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1.xml" ContentType="application/vnd.openxmlformats-officedocument.wordprocessingml.footer+xml"/>
  <Override PartName="/word/header23.xml" ContentType="application/vnd.openxmlformats-officedocument.wordprocessingml.header+xml"/>
  <Override PartName="/word/footer12.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3.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15.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16.xml" ContentType="application/vnd.openxmlformats-officedocument.wordprocessingml.footer+xml"/>
  <Override PartName="/word/header32.xml" ContentType="application/vnd.openxmlformats-officedocument.wordprocessingml.header+xml"/>
  <Override PartName="/word/footer17.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21.xml" ContentType="application/vnd.openxmlformats-officedocument.wordprocessingml.footer+xml"/>
  <Override PartName="/word/header38.xml" ContentType="application/vnd.openxmlformats-officedocument.wordprocessingml.header+xml"/>
  <Override PartName="/word/footer2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23.xml" ContentType="application/vnd.openxmlformats-officedocument.wordprocessingml.footer+xml"/>
  <Override PartName="/word/header41.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oter26.xml" ContentType="application/vnd.openxmlformats-officedocument.wordprocessingml.footer+xml"/>
  <Override PartName="/word/header46.xml" ContentType="application/vnd.openxmlformats-officedocument.wordprocessingml.header+xml"/>
  <Override PartName="/word/footer27.xml" ContentType="application/vnd.openxmlformats-officedocument.wordprocessingml.footer+xml"/>
  <Override PartName="/word/header47.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32.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footer33.xml" ContentType="application/vnd.openxmlformats-officedocument.wordprocessingml.footer+xml"/>
  <Override PartName="/word/header57.xml" ContentType="application/vnd.openxmlformats-officedocument.wordprocessingml.header+xml"/>
  <Override PartName="/word/footer34.xml" ContentType="application/vnd.openxmlformats-officedocument.wordprocessingml.footer+xml"/>
  <Override PartName="/word/header58.xml" ContentType="application/vnd.openxmlformats-officedocument.wordprocessingml.header+xml"/>
  <Override PartName="/word/footer35.xml" ContentType="application/vnd.openxmlformats-officedocument.wordprocessingml.footer+xml"/>
  <Override PartName="/word/header59.xml" ContentType="application/vnd.openxmlformats-officedocument.wordprocessingml.header+xml"/>
  <Override PartName="/word/footer36.xml" ContentType="application/vnd.openxmlformats-officedocument.wordprocessingml.footer+xml"/>
  <Override PartName="/word/header60.xml" ContentType="application/vnd.openxmlformats-officedocument.wordprocessingml.header+xml"/>
  <Override PartName="/word/footer37.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63.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42.xml" ContentType="application/vnd.openxmlformats-officedocument.wordprocessingml.footer+xml"/>
  <Override PartName="/word/header66.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45.xml" ContentType="application/vnd.openxmlformats-officedocument.wordprocessingml.footer+xml"/>
  <Override PartName="/word/header69.xml" ContentType="application/vnd.openxmlformats-officedocument.wordprocessingml.header+xml"/>
  <Override PartName="/word/footer46.xml" ContentType="application/vnd.openxmlformats-officedocument.wordprocessingml.footer+xml"/>
  <Override PartName="/word/header70.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71.xml" ContentType="application/vnd.openxmlformats-officedocument.wordprocessingml.header+xml"/>
  <Override PartName="/word/footer49.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footer50.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51.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52.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header80.xml" ContentType="application/vnd.openxmlformats-officedocument.wordprocessingml.header+xml"/>
  <Override PartName="/word/footer56.xml" ContentType="application/vnd.openxmlformats-officedocument.wordprocessingml.footer+xml"/>
  <Override PartName="/word/header81.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22028101"/>
    <w:bookmarkStart w:id="1" w:name="_Toc522086103"/>
    <w:bookmarkStart w:id="2" w:name="_Toc522099519"/>
    <w:p w14:paraId="468EE430" w14:textId="77777777" w:rsidR="004D09A0" w:rsidRDefault="009D4D60" w:rsidP="004D09A0">
      <w:pPr>
        <w:ind w:left="0"/>
        <w:jc w:val="center"/>
        <w:rPr>
          <w:rFonts w:cs="Guttman Hodes"/>
          <w:sz w:val="32"/>
          <w:szCs w:val="32"/>
          <w:rtl/>
        </w:rPr>
      </w:pPr>
      <w:r>
        <w:rPr>
          <w:rFonts w:cs="Guttman Hodes"/>
          <w:noProof/>
          <w:sz w:val="32"/>
          <w:szCs w:val="32"/>
          <w:rtl/>
        </w:rPr>
        <mc:AlternateContent>
          <mc:Choice Requires="wps">
            <w:drawing>
              <wp:anchor distT="0" distB="0" distL="114300" distR="114300" simplePos="0" relativeHeight="251671552" behindDoc="1" locked="0" layoutInCell="1" allowOverlap="1" wp14:anchorId="0DC61E11" wp14:editId="047C1865">
                <wp:simplePos x="0" y="0"/>
                <wp:positionH relativeFrom="column">
                  <wp:posOffset>-38100</wp:posOffset>
                </wp:positionH>
                <wp:positionV relativeFrom="paragraph">
                  <wp:posOffset>0</wp:posOffset>
                </wp:positionV>
                <wp:extent cx="6686550" cy="9696450"/>
                <wp:effectExtent l="19050" t="19050" r="19050" b="19050"/>
                <wp:wrapNone/>
                <wp:docPr id="16" name="מלבן מעוגל 16"/>
                <wp:cNvGraphicFramePr/>
                <a:graphic xmlns:a="http://schemas.openxmlformats.org/drawingml/2006/main">
                  <a:graphicData uri="http://schemas.microsoft.com/office/word/2010/wordprocessingShape">
                    <wps:wsp>
                      <wps:cNvSpPr/>
                      <wps:spPr>
                        <a:xfrm>
                          <a:off x="0" y="0"/>
                          <a:ext cx="6686550" cy="9696450"/>
                        </a:xfrm>
                        <a:prstGeom prst="roundRect">
                          <a:avLst/>
                        </a:prstGeom>
                        <a:noFill/>
                        <a:ln w="31750" cap="rnd" cmpd="tri">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F1EFB1B" w14:textId="77777777" w:rsidR="00345400" w:rsidRDefault="00345400" w:rsidP="00EF1AB5">
                            <w:pPr>
                              <w:ind w:left="0"/>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id="מלבן מעוגל 16" o:spid="_x0000_s1026" style="position:absolute;left:0;text-align:left;margin-left:-3pt;margin-top:0;width:526.5pt;height:763.5pt;z-index:-251644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" filled="f" strokecolor="black [3213]" strokeweight="2.5pt">
                <v:stroke linestyle="thickBetweenThin" endcap="round"/>
                <v:textbox>
                  <w:txbxContent>
                    <w:p w:rsidR="00345400" w:rsidRDefault="00345400" w:rsidP="00EF1AB5">
                      <w:pPr>
                        <w:ind w:left="0"/>
                        <w:jc w:val="center"/>
                      </w:pPr>
                    </w:p>
                  </w:txbxContent>
                </v:textbox>
              </v:roundrect>
            </w:pict>
          </mc:Fallback>
        </mc:AlternateContent>
      </w:r>
    </w:p>
    <w:p w14:paraId="72D4EBDD" w14:textId="77777777" w:rsidR="004D09A0" w:rsidRDefault="004D09A0" w:rsidP="004D09A0">
      <w:pPr>
        <w:ind w:left="0"/>
        <w:jc w:val="center"/>
        <w:rPr>
          <w:rFonts w:cs="Guttman Hodes"/>
          <w:sz w:val="32"/>
          <w:szCs w:val="32"/>
          <w:rtl/>
        </w:rPr>
      </w:pPr>
    </w:p>
    <w:p w14:paraId="6D6962BC" w14:textId="77777777" w:rsidR="004D09A0" w:rsidRDefault="004D09A0" w:rsidP="004D09A0">
      <w:pPr>
        <w:ind w:left="0"/>
        <w:jc w:val="center"/>
        <w:rPr>
          <w:rFonts w:cs="Guttman Hodes"/>
          <w:sz w:val="32"/>
          <w:szCs w:val="32"/>
          <w:rtl/>
        </w:rPr>
      </w:pPr>
    </w:p>
    <w:p w14:paraId="7EFDC466" w14:textId="77777777" w:rsidR="004D09A0" w:rsidRPr="00184E80" w:rsidRDefault="004D09A0" w:rsidP="004D09A0">
      <w:pPr>
        <w:ind w:left="0"/>
        <w:jc w:val="center"/>
        <w:rPr>
          <w:rFonts w:cs="Guttman Hodes"/>
          <w:sz w:val="32"/>
          <w:szCs w:val="32"/>
          <w:rtl/>
        </w:rPr>
      </w:pPr>
      <w:r w:rsidRPr="00184E80">
        <w:rPr>
          <w:rFonts w:cs="Guttman Hodes" w:hint="cs"/>
          <w:sz w:val="32"/>
          <w:szCs w:val="32"/>
          <w:rtl/>
        </w:rPr>
        <w:t>מראי מקומות וביאורים</w:t>
      </w:r>
    </w:p>
    <w:p w14:paraId="686471DE" w14:textId="77777777" w:rsidR="004D09A0" w:rsidRPr="00184E80" w:rsidRDefault="004D09A0" w:rsidP="004D09A0">
      <w:pPr>
        <w:pStyle w:val="a9"/>
        <w:ind w:left="0"/>
        <w:jc w:val="center"/>
        <w:rPr>
          <w:rFonts w:cs="Guttman Hodes"/>
          <w:b/>
          <w:bCs/>
          <w:sz w:val="96"/>
          <w:szCs w:val="96"/>
          <w:rtl/>
        </w:rPr>
      </w:pPr>
      <w:r w:rsidRPr="00184E80">
        <w:rPr>
          <w:rFonts w:cs="Guttman Hodes" w:hint="cs"/>
          <w:b/>
          <w:bCs/>
          <w:sz w:val="96"/>
          <w:szCs w:val="96"/>
          <w:rtl/>
        </w:rPr>
        <w:t>משנתם סדורה</w:t>
      </w:r>
    </w:p>
    <w:p w14:paraId="70713261" w14:textId="77777777" w:rsidR="004D09A0" w:rsidRDefault="004D09A0" w:rsidP="004D09A0">
      <w:pPr>
        <w:ind w:left="0"/>
        <w:jc w:val="center"/>
        <w:rPr>
          <w:rFonts w:cs="Guttman Hodes"/>
          <w:sz w:val="32"/>
          <w:szCs w:val="32"/>
          <w:rtl/>
        </w:rPr>
      </w:pPr>
    </w:p>
    <w:p w14:paraId="41A6A02F" w14:textId="77777777" w:rsidR="004D09A0" w:rsidRDefault="004D09A0" w:rsidP="003F057A">
      <w:pPr>
        <w:ind w:left="0"/>
        <w:jc w:val="center"/>
        <w:rPr>
          <w:rFonts w:cs="Guttman Hodes"/>
          <w:b/>
          <w:bCs/>
          <w:sz w:val="44"/>
          <w:szCs w:val="44"/>
          <w:rtl/>
        </w:rPr>
      </w:pPr>
      <w:r>
        <w:rPr>
          <w:rFonts w:cs="Guttman Hodes" w:hint="cs"/>
          <w:b/>
          <w:bCs/>
          <w:sz w:val="44"/>
          <w:szCs w:val="44"/>
          <w:rtl/>
        </w:rPr>
        <w:t xml:space="preserve">על </w:t>
      </w:r>
      <w:r w:rsidR="0034133F">
        <w:rPr>
          <w:rFonts w:cs="Guttman Hodes" w:hint="cs"/>
          <w:b/>
          <w:bCs/>
          <w:sz w:val="44"/>
          <w:szCs w:val="44"/>
          <w:rtl/>
        </w:rPr>
        <w:t>עניני</w:t>
      </w:r>
      <w:r w:rsidRPr="00C4594D">
        <w:rPr>
          <w:rFonts w:cs="Guttman Hodes" w:hint="cs"/>
          <w:b/>
          <w:bCs/>
          <w:sz w:val="44"/>
          <w:szCs w:val="44"/>
          <w:rtl/>
        </w:rPr>
        <w:t xml:space="preserve"> </w:t>
      </w:r>
      <w:r>
        <w:rPr>
          <w:rFonts w:cs="Guttman Hodes" w:hint="cs"/>
          <w:b/>
          <w:bCs/>
          <w:sz w:val="44"/>
          <w:szCs w:val="44"/>
          <w:rtl/>
        </w:rPr>
        <w:t xml:space="preserve">רוב וחזקה </w:t>
      </w:r>
    </w:p>
    <w:p w14:paraId="305C091C" w14:textId="77777777" w:rsidR="0034133F" w:rsidRDefault="003F057A" w:rsidP="003F057A">
      <w:pPr>
        <w:ind w:left="0"/>
        <w:jc w:val="center"/>
        <w:rPr>
          <w:rFonts w:cs="Guttman Hodes"/>
          <w:b/>
          <w:bCs/>
          <w:sz w:val="44"/>
          <w:szCs w:val="44"/>
          <w:rtl/>
        </w:rPr>
      </w:pPr>
      <w:r>
        <w:rPr>
          <w:rFonts w:cs="Guttman Hodes" w:hint="cs"/>
          <w:b/>
          <w:bCs/>
          <w:sz w:val="44"/>
          <w:szCs w:val="44"/>
          <w:rtl/>
        </w:rPr>
        <w:t>הגרמה ו</w:t>
      </w:r>
      <w:r w:rsidR="0034133F">
        <w:rPr>
          <w:rFonts w:cs="Guttman Hodes" w:hint="cs"/>
          <w:b/>
          <w:bCs/>
          <w:sz w:val="44"/>
          <w:szCs w:val="44"/>
          <w:rtl/>
        </w:rPr>
        <w:t>בן פקועה</w:t>
      </w:r>
    </w:p>
    <w:p w14:paraId="55D64F70" w14:textId="77777777" w:rsidR="004D09A0" w:rsidRDefault="0034133F" w:rsidP="0034133F">
      <w:pPr>
        <w:ind w:left="0"/>
        <w:jc w:val="center"/>
        <w:rPr>
          <w:rFonts w:cs="Guttman Hodes"/>
          <w:b/>
          <w:bCs/>
          <w:sz w:val="32"/>
          <w:szCs w:val="32"/>
          <w:rtl/>
        </w:rPr>
      </w:pPr>
      <w:r>
        <w:rPr>
          <w:rFonts w:cs="Guttman Hodes" w:hint="cs"/>
          <w:b/>
          <w:bCs/>
          <w:sz w:val="44"/>
          <w:szCs w:val="44"/>
          <w:rtl/>
        </w:rPr>
        <w:t>במסכת חולין</w:t>
      </w:r>
    </w:p>
    <w:p w14:paraId="19B2547B" w14:textId="77777777" w:rsidR="004D09A0" w:rsidRDefault="004D09A0" w:rsidP="004D09A0">
      <w:pPr>
        <w:ind w:left="0"/>
        <w:jc w:val="center"/>
        <w:rPr>
          <w:rFonts w:cs="Guttman Hodes"/>
          <w:sz w:val="32"/>
          <w:szCs w:val="32"/>
          <w:rtl/>
        </w:rPr>
      </w:pPr>
    </w:p>
    <w:p w14:paraId="695FAF86" w14:textId="77777777" w:rsidR="004D09A0" w:rsidRDefault="004D09A0" w:rsidP="004D09A0">
      <w:pPr>
        <w:ind w:left="0"/>
        <w:jc w:val="center"/>
        <w:rPr>
          <w:rFonts w:cs="Guttman Hodes"/>
          <w:sz w:val="32"/>
          <w:szCs w:val="32"/>
          <w:rtl/>
        </w:rPr>
      </w:pPr>
    </w:p>
    <w:p w14:paraId="16DD9467" w14:textId="77777777" w:rsidR="004D09A0" w:rsidRDefault="004D09A0" w:rsidP="004D09A0">
      <w:pPr>
        <w:ind w:left="0"/>
        <w:jc w:val="center"/>
        <w:rPr>
          <w:rFonts w:cs="Guttman Hodes"/>
          <w:sz w:val="32"/>
          <w:szCs w:val="32"/>
          <w:rtl/>
        </w:rPr>
      </w:pPr>
    </w:p>
    <w:p w14:paraId="4D92FC66" w14:textId="77777777" w:rsidR="004D09A0" w:rsidRDefault="004D09A0" w:rsidP="004D09A0">
      <w:pPr>
        <w:ind w:left="0"/>
        <w:jc w:val="center"/>
        <w:rPr>
          <w:rFonts w:cs="Guttman Hodes"/>
          <w:sz w:val="32"/>
          <w:szCs w:val="32"/>
          <w:rtl/>
        </w:rPr>
      </w:pPr>
      <w:r>
        <w:rPr>
          <w:rFonts w:cs="Guttman Hodes" w:hint="cs"/>
          <w:sz w:val="32"/>
          <w:szCs w:val="32"/>
          <w:rtl/>
        </w:rPr>
        <w:t xml:space="preserve">כולל </w:t>
      </w:r>
      <w:r w:rsidRPr="00F3181A">
        <w:rPr>
          <w:rFonts w:cs="Guttman Hodes" w:hint="cs"/>
          <w:sz w:val="32"/>
          <w:szCs w:val="32"/>
          <w:rtl/>
        </w:rPr>
        <w:t>ביאורי ראשי הישיבות</w:t>
      </w:r>
    </w:p>
    <w:p w14:paraId="1AE9ABC0" w14:textId="77777777" w:rsidR="004D09A0" w:rsidRPr="007E5FDB" w:rsidRDefault="004D09A0" w:rsidP="004D09A0">
      <w:pPr>
        <w:ind w:left="0"/>
        <w:jc w:val="center"/>
        <w:rPr>
          <w:rFonts w:cs="Guttman Hodes"/>
          <w:sz w:val="32"/>
          <w:szCs w:val="32"/>
          <w:rtl/>
          <w14:textOutline w14:w="9525" w14:cap="rnd" w14:cmpd="sng" w14:algn="ctr">
            <w14:solidFill>
              <w14:schemeClr w14:val="tx1"/>
            </w14:solidFill>
            <w14:prstDash w14:val="solid"/>
            <w14:bevel/>
          </w14:textOutline>
        </w:rPr>
      </w:pPr>
    </w:p>
    <w:p w14:paraId="116E9E4C" w14:textId="77777777" w:rsidR="004D09A0" w:rsidRDefault="004D09A0" w:rsidP="004D09A0">
      <w:pPr>
        <w:spacing w:line="240" w:lineRule="auto"/>
        <w:ind w:left="0"/>
        <w:jc w:val="center"/>
        <w:rPr>
          <w:rFonts w:ascii="Times New Roman" w:eastAsia="Times New Roman" w:hAnsi="Times New Roman" w:cs="Guttman Hodes"/>
          <w:sz w:val="36"/>
          <w:szCs w:val="36"/>
          <w:rtl/>
          <w:lang w:eastAsia="he-IL"/>
        </w:rPr>
      </w:pPr>
    </w:p>
    <w:p w14:paraId="5BBB9044" w14:textId="77777777" w:rsidR="004D09A0" w:rsidRDefault="004D09A0" w:rsidP="004D09A0">
      <w:pPr>
        <w:spacing w:line="240" w:lineRule="auto"/>
        <w:ind w:left="0"/>
        <w:jc w:val="center"/>
        <w:rPr>
          <w:rFonts w:ascii="Times New Roman" w:eastAsia="Times New Roman" w:hAnsi="Times New Roman" w:cs="Guttman Hodes"/>
          <w:sz w:val="36"/>
          <w:szCs w:val="36"/>
          <w:rtl/>
          <w:lang w:eastAsia="he-IL"/>
        </w:rPr>
      </w:pPr>
    </w:p>
    <w:p w14:paraId="459A658E" w14:textId="77777777" w:rsidR="004D09A0" w:rsidRDefault="004D09A0" w:rsidP="004D09A0">
      <w:pPr>
        <w:spacing w:line="240" w:lineRule="auto"/>
        <w:ind w:left="0"/>
        <w:jc w:val="center"/>
        <w:rPr>
          <w:rFonts w:ascii="Times New Roman" w:eastAsia="Times New Roman" w:hAnsi="Times New Roman" w:cs="Guttman Hodes"/>
          <w:sz w:val="36"/>
          <w:szCs w:val="36"/>
          <w:rtl/>
          <w:lang w:eastAsia="he-IL"/>
        </w:rPr>
      </w:pPr>
    </w:p>
    <w:p w14:paraId="4F36E528" w14:textId="77777777" w:rsidR="004D09A0" w:rsidRPr="00CC2539" w:rsidRDefault="004D09A0" w:rsidP="004D09A0">
      <w:pPr>
        <w:spacing w:line="240" w:lineRule="auto"/>
        <w:ind w:left="0"/>
        <w:jc w:val="center"/>
        <w:rPr>
          <w:rFonts w:ascii="Times New Roman" w:eastAsia="Times New Roman" w:hAnsi="Times New Roman" w:cs="Guttman Hodes"/>
          <w:sz w:val="36"/>
          <w:szCs w:val="36"/>
          <w:rtl/>
          <w:lang w:eastAsia="he-IL"/>
        </w:rPr>
      </w:pPr>
    </w:p>
    <w:p w14:paraId="080210F1" w14:textId="77777777" w:rsidR="004D09A0" w:rsidRDefault="004D09A0" w:rsidP="004D09A0">
      <w:pPr>
        <w:spacing w:line="240" w:lineRule="auto"/>
        <w:ind w:left="0"/>
        <w:jc w:val="center"/>
        <w:rPr>
          <w:rFonts w:ascii="Times New Roman" w:eastAsia="Times New Roman" w:hAnsi="Times New Roman" w:cs="Guttman Hodes"/>
          <w:sz w:val="36"/>
          <w:szCs w:val="36"/>
          <w:rtl/>
          <w:lang w:eastAsia="he-IL"/>
        </w:rPr>
      </w:pPr>
    </w:p>
    <w:p w14:paraId="5250A61F" w14:textId="77777777" w:rsidR="004D09A0" w:rsidRPr="00CC2539" w:rsidRDefault="004D09A0" w:rsidP="004D09A0">
      <w:pPr>
        <w:spacing w:line="240" w:lineRule="auto"/>
        <w:ind w:left="0"/>
        <w:jc w:val="center"/>
        <w:rPr>
          <w:rFonts w:ascii="Times New Roman" w:eastAsia="Times New Roman" w:hAnsi="Times New Roman" w:cs="Guttman Hodes"/>
          <w:b/>
          <w:bCs/>
          <w:sz w:val="36"/>
          <w:szCs w:val="36"/>
          <w:rtl/>
          <w:lang w:eastAsia="he-IL"/>
        </w:rPr>
      </w:pPr>
      <w:r w:rsidRPr="00CC2539">
        <w:rPr>
          <w:rFonts w:ascii="Times New Roman" w:eastAsia="Times New Roman" w:hAnsi="Times New Roman" w:cs="Guttman Hodes" w:hint="cs"/>
          <w:b/>
          <w:bCs/>
          <w:sz w:val="40"/>
          <w:szCs w:val="40"/>
          <w:rtl/>
          <w:lang w:eastAsia="he-IL"/>
        </w:rPr>
        <w:t>שלמה זושא הכהן הנדל</w:t>
      </w:r>
    </w:p>
    <w:p w14:paraId="7B01D26B" w14:textId="77777777" w:rsidR="004D09A0" w:rsidRPr="00CC2539" w:rsidRDefault="004D09A0" w:rsidP="004D09A0">
      <w:pPr>
        <w:spacing w:line="240" w:lineRule="auto"/>
        <w:ind w:left="0"/>
        <w:jc w:val="center"/>
        <w:rPr>
          <w:rFonts w:ascii="Times New Roman" w:eastAsia="Times New Roman" w:hAnsi="Times New Roman" w:cs="Guttman Hodes"/>
          <w:sz w:val="36"/>
          <w:szCs w:val="36"/>
          <w:rtl/>
          <w:lang w:eastAsia="he-IL"/>
        </w:rPr>
      </w:pPr>
      <w:r w:rsidRPr="00CC2539">
        <w:rPr>
          <w:rFonts w:ascii="Times New Roman" w:eastAsia="Times New Roman" w:hAnsi="Times New Roman" w:cs="Guttman Hodes" w:hint="cs"/>
          <w:sz w:val="36"/>
          <w:szCs w:val="36"/>
          <w:rtl/>
          <w:lang w:eastAsia="he-IL"/>
        </w:rPr>
        <w:t xml:space="preserve">בלאאמו"ר הרב </w:t>
      </w:r>
      <w:r w:rsidRPr="00CC2539">
        <w:rPr>
          <w:rFonts w:ascii="Times New Roman" w:eastAsia="Times New Roman" w:hAnsi="Times New Roman" w:cs="Guttman Hodes" w:hint="cs"/>
          <w:b/>
          <w:bCs/>
          <w:sz w:val="40"/>
          <w:szCs w:val="40"/>
          <w:rtl/>
          <w:lang w:eastAsia="he-IL"/>
        </w:rPr>
        <w:t>אהרן</w:t>
      </w:r>
      <w:r w:rsidRPr="00CC2539">
        <w:rPr>
          <w:rFonts w:ascii="Times New Roman" w:eastAsia="Times New Roman" w:hAnsi="Times New Roman" w:cs="Guttman Hodes" w:hint="cs"/>
          <w:sz w:val="36"/>
          <w:szCs w:val="36"/>
          <w:rtl/>
          <w:lang w:eastAsia="he-IL"/>
        </w:rPr>
        <w:t xml:space="preserve"> שליט"א</w:t>
      </w:r>
    </w:p>
    <w:p w14:paraId="0FF246F0" w14:textId="77777777" w:rsidR="004D09A0" w:rsidRPr="00CC2539" w:rsidRDefault="004D09A0" w:rsidP="004D09A0">
      <w:pPr>
        <w:spacing w:line="240" w:lineRule="auto"/>
        <w:ind w:left="0"/>
        <w:jc w:val="center"/>
        <w:rPr>
          <w:rFonts w:ascii="Times New Roman" w:eastAsia="Times New Roman" w:hAnsi="Times New Roman" w:cs="Guttman Hodes"/>
          <w:sz w:val="36"/>
          <w:szCs w:val="36"/>
          <w:rtl/>
          <w:lang w:eastAsia="he-IL"/>
        </w:rPr>
      </w:pPr>
    </w:p>
    <w:p w14:paraId="5C982699" w14:textId="77777777" w:rsidR="004D09A0" w:rsidRDefault="004D09A0" w:rsidP="004D09A0">
      <w:pPr>
        <w:spacing w:line="240" w:lineRule="auto"/>
        <w:ind w:left="0"/>
        <w:jc w:val="center"/>
        <w:rPr>
          <w:rFonts w:ascii="Times New Roman" w:eastAsia="Times New Roman" w:hAnsi="Times New Roman" w:cs="Guttman Hodes"/>
          <w:sz w:val="36"/>
          <w:szCs w:val="36"/>
          <w:rtl/>
          <w:lang w:eastAsia="he-IL"/>
        </w:rPr>
      </w:pPr>
      <w:r>
        <w:rPr>
          <w:rFonts w:ascii="Times New Roman" w:eastAsia="Times New Roman" w:hAnsi="Times New Roman" w:cs="Guttman Hodes" w:hint="cs"/>
          <w:sz w:val="36"/>
          <w:szCs w:val="36"/>
          <w:rtl/>
          <w:lang w:eastAsia="he-IL"/>
        </w:rPr>
        <w:t xml:space="preserve">ישיבת בית הלל </w:t>
      </w:r>
    </w:p>
    <w:p w14:paraId="540DAB60" w14:textId="77777777" w:rsidR="00C273D6" w:rsidRDefault="004D09A0" w:rsidP="004D09A0">
      <w:pPr>
        <w:spacing w:line="240" w:lineRule="auto"/>
        <w:ind w:left="0"/>
        <w:jc w:val="center"/>
        <w:rPr>
          <w:rFonts w:ascii="Guttman Hodes" w:eastAsia="Guttman Hodes" w:hAnsi="Guttman Hodes" w:cs="Guttman Hodes"/>
          <w:b/>
          <w:bCs/>
          <w:rtl/>
        </w:rPr>
        <w:sectPr w:rsidR="00C273D6" w:rsidSect="00852065">
          <w:footerReference w:type="default" r:id="rId8"/>
          <w:headerReference w:type="first" r:id="rId9"/>
          <w:footerReference w:type="first" r:id="rId10"/>
          <w:pgSz w:w="11906" w:h="16838"/>
          <w:pgMar w:top="720" w:right="720" w:bottom="720" w:left="720" w:header="283" w:footer="283" w:gutter="0"/>
          <w:pgNumType w:fmt="hebrew1"/>
          <w:cols w:space="567"/>
          <w:bidi/>
          <w:rtlGutter/>
          <w:docGrid w:linePitch="299"/>
        </w:sectPr>
      </w:pPr>
      <w:r w:rsidRPr="00CC2539">
        <w:rPr>
          <w:rFonts w:ascii="Times New Roman" w:eastAsia="Times New Roman" w:hAnsi="Times New Roman" w:cs="Guttman Hodes" w:hint="cs"/>
          <w:sz w:val="36"/>
          <w:szCs w:val="36"/>
          <w:rtl/>
          <w:lang w:eastAsia="he-IL"/>
        </w:rPr>
        <w:t>בני ברק</w:t>
      </w:r>
    </w:p>
    <w:p w14:paraId="2B745C04" w14:textId="77777777" w:rsidR="004D5390" w:rsidRDefault="004D5390" w:rsidP="004D5390">
      <w:pPr>
        <w:pStyle w:val="a3"/>
        <w:rPr>
          <w:rtl/>
        </w:rPr>
      </w:pPr>
    </w:p>
    <w:p w14:paraId="29FACCA3" w14:textId="77777777" w:rsidR="004D5390" w:rsidRDefault="004D5390" w:rsidP="004D5390">
      <w:pPr>
        <w:pStyle w:val="a3"/>
        <w:rPr>
          <w:rtl/>
        </w:rPr>
      </w:pPr>
    </w:p>
    <w:p w14:paraId="1589521F" w14:textId="77777777" w:rsidR="004D5390" w:rsidRDefault="004D5390" w:rsidP="004D5390">
      <w:pPr>
        <w:pStyle w:val="a3"/>
        <w:rPr>
          <w:rtl/>
        </w:rPr>
      </w:pPr>
    </w:p>
    <w:p w14:paraId="50203EFC" w14:textId="77777777" w:rsidR="004D5390" w:rsidRDefault="004D5390" w:rsidP="004D5390">
      <w:pPr>
        <w:pStyle w:val="a3"/>
        <w:rPr>
          <w:rtl/>
        </w:rPr>
      </w:pPr>
    </w:p>
    <w:p w14:paraId="001D2D95" w14:textId="77777777" w:rsidR="004D5390" w:rsidRDefault="004D5390" w:rsidP="004D5390">
      <w:pPr>
        <w:pStyle w:val="a3"/>
        <w:rPr>
          <w:rtl/>
        </w:rPr>
      </w:pPr>
    </w:p>
    <w:p w14:paraId="7A6A4D0C" w14:textId="77777777" w:rsidR="004D5390" w:rsidRDefault="004D5390" w:rsidP="004D5390">
      <w:pPr>
        <w:pStyle w:val="a3"/>
        <w:rPr>
          <w:rtl/>
        </w:rPr>
      </w:pPr>
    </w:p>
    <w:p w14:paraId="5B1AADBC" w14:textId="77777777" w:rsidR="004D5390" w:rsidRDefault="004D5390" w:rsidP="004D5390">
      <w:pPr>
        <w:pStyle w:val="a3"/>
        <w:rPr>
          <w:rtl/>
        </w:rPr>
      </w:pPr>
    </w:p>
    <w:p w14:paraId="2987EE93" w14:textId="77777777" w:rsidR="004D5390" w:rsidRDefault="004D5390" w:rsidP="004D5390">
      <w:pPr>
        <w:pStyle w:val="a3"/>
        <w:rPr>
          <w:rtl/>
        </w:rPr>
      </w:pPr>
    </w:p>
    <w:p w14:paraId="5ED838BE" w14:textId="77777777" w:rsidR="004D5390" w:rsidRDefault="004D5390" w:rsidP="004D5390">
      <w:pPr>
        <w:pStyle w:val="a3"/>
        <w:rPr>
          <w:rtl/>
        </w:rPr>
      </w:pPr>
    </w:p>
    <w:p w14:paraId="2805CBD5" w14:textId="77777777" w:rsidR="004D5390" w:rsidRPr="0050146A" w:rsidRDefault="004D5390" w:rsidP="004D5390">
      <w:pPr>
        <w:pStyle w:val="a3"/>
        <w:rPr>
          <w:rtl/>
        </w:rPr>
      </w:pPr>
      <w:r w:rsidRPr="0050146A">
        <w:rPr>
          <w:rFonts w:hint="cs"/>
          <w:rtl/>
        </w:rPr>
        <w:t>© כל הזכויות שמורות</w:t>
      </w:r>
    </w:p>
    <w:p w14:paraId="0169790F" w14:textId="77777777" w:rsidR="004D5390" w:rsidRPr="0050146A" w:rsidRDefault="004D5390" w:rsidP="004D5390">
      <w:pPr>
        <w:spacing w:line="240" w:lineRule="auto"/>
        <w:jc w:val="center"/>
        <w:rPr>
          <w:rFonts w:cs="Guttman Hodes"/>
          <w:rtl/>
        </w:rPr>
      </w:pPr>
    </w:p>
    <w:p w14:paraId="4655DD49" w14:textId="77777777" w:rsidR="004D5390" w:rsidRPr="0050146A" w:rsidRDefault="004D5390" w:rsidP="004D5390">
      <w:pPr>
        <w:spacing w:line="240" w:lineRule="auto"/>
        <w:ind w:left="0"/>
        <w:jc w:val="center"/>
        <w:rPr>
          <w:rFonts w:cs="Guttman Hodes"/>
          <w:rtl/>
        </w:rPr>
      </w:pPr>
      <w:r w:rsidRPr="0050146A">
        <w:rPr>
          <w:rFonts w:cs="Guttman Hodes" w:hint="cs"/>
          <w:rtl/>
        </w:rPr>
        <w:t>בכל עניני הספר</w:t>
      </w:r>
    </w:p>
    <w:p w14:paraId="67171322" w14:textId="77777777" w:rsidR="004D5390" w:rsidRPr="0050146A" w:rsidRDefault="004D5390" w:rsidP="004D5390">
      <w:pPr>
        <w:spacing w:line="240" w:lineRule="auto"/>
        <w:ind w:left="0"/>
        <w:jc w:val="center"/>
        <w:rPr>
          <w:rFonts w:cs="Guttman Hodes"/>
          <w:rtl/>
        </w:rPr>
      </w:pPr>
      <w:r w:rsidRPr="0050146A">
        <w:rPr>
          <w:rFonts w:cs="Guttman Hodes" w:hint="cs"/>
          <w:rtl/>
        </w:rPr>
        <w:t>ניתן לפנות:</w:t>
      </w:r>
    </w:p>
    <w:p w14:paraId="7B45EDF1" w14:textId="77777777" w:rsidR="004D5390" w:rsidRPr="0050146A" w:rsidRDefault="004D5390" w:rsidP="004D5390">
      <w:pPr>
        <w:spacing w:line="240" w:lineRule="auto"/>
        <w:ind w:left="0"/>
        <w:jc w:val="center"/>
        <w:rPr>
          <w:rFonts w:cs="Guttman Hodes"/>
          <w:rtl/>
        </w:rPr>
      </w:pPr>
      <w:r w:rsidRPr="0050146A">
        <w:rPr>
          <w:rFonts w:cs="Guttman Hodes" w:hint="cs"/>
          <w:rtl/>
        </w:rPr>
        <w:t>שלמה הנדל</w:t>
      </w:r>
    </w:p>
    <w:p w14:paraId="44C63AA6" w14:textId="77777777" w:rsidR="004D5390" w:rsidRPr="0050146A" w:rsidRDefault="004D5390" w:rsidP="004D5390">
      <w:pPr>
        <w:spacing w:line="240" w:lineRule="auto"/>
        <w:ind w:left="0"/>
        <w:jc w:val="center"/>
        <w:rPr>
          <w:rFonts w:cs="Guttman Hodes"/>
          <w:rtl/>
        </w:rPr>
      </w:pPr>
      <w:r w:rsidRPr="0050146A">
        <w:rPr>
          <w:rFonts w:cs="Guttman Hodes" w:hint="cs"/>
          <w:rtl/>
        </w:rPr>
        <w:t>רבי יהושע 13 בני ברק</w:t>
      </w:r>
    </w:p>
    <w:p w14:paraId="03C4D524" w14:textId="77777777" w:rsidR="004D5390" w:rsidRPr="0050146A" w:rsidRDefault="004D5390" w:rsidP="004D5390">
      <w:pPr>
        <w:spacing w:line="240" w:lineRule="auto"/>
        <w:ind w:left="0"/>
        <w:jc w:val="center"/>
        <w:rPr>
          <w:rFonts w:cs="Guttman Hodes"/>
          <w:rtl/>
        </w:rPr>
      </w:pPr>
      <w:r w:rsidRPr="0050146A">
        <w:rPr>
          <w:rFonts w:cs="Guttman Hodes" w:hint="cs"/>
          <w:rtl/>
        </w:rPr>
        <w:t>טל 052-7676412</w:t>
      </w:r>
    </w:p>
    <w:p w14:paraId="31316998" w14:textId="77777777" w:rsidR="004D5390" w:rsidRPr="0050146A" w:rsidRDefault="004D5390" w:rsidP="004D5390">
      <w:pPr>
        <w:spacing w:line="240" w:lineRule="auto"/>
        <w:ind w:left="0"/>
        <w:jc w:val="center"/>
        <w:rPr>
          <w:rFonts w:cs="Guttman Hodes"/>
          <w:rtl/>
        </w:rPr>
      </w:pPr>
    </w:p>
    <w:p w14:paraId="4FACC9CE" w14:textId="77777777" w:rsidR="004D5390" w:rsidRDefault="004D5390" w:rsidP="004D5390">
      <w:pPr>
        <w:spacing w:line="240" w:lineRule="auto"/>
        <w:ind w:left="0"/>
        <w:jc w:val="center"/>
        <w:rPr>
          <w:rFonts w:cs="Guttman Hodes"/>
          <w:rtl/>
        </w:rPr>
      </w:pPr>
    </w:p>
    <w:p w14:paraId="32C6B8A8" w14:textId="77777777" w:rsidR="004D5390" w:rsidRPr="0050146A" w:rsidRDefault="004D5390" w:rsidP="004D5390">
      <w:pPr>
        <w:spacing w:line="240" w:lineRule="auto"/>
        <w:ind w:left="0"/>
        <w:jc w:val="center"/>
        <w:rPr>
          <w:rFonts w:cs="Guttman Hodes"/>
          <w:rtl/>
        </w:rPr>
      </w:pPr>
      <w:r w:rsidRPr="0050146A">
        <w:rPr>
          <w:rFonts w:cs="Guttman Hodes" w:hint="cs"/>
          <w:rtl/>
        </w:rPr>
        <w:t>הערות והארות</w:t>
      </w:r>
    </w:p>
    <w:p w14:paraId="0CA6D030" w14:textId="77777777" w:rsidR="004D5390" w:rsidRPr="0050146A" w:rsidRDefault="004D5390" w:rsidP="004D5390">
      <w:pPr>
        <w:spacing w:line="240" w:lineRule="auto"/>
        <w:ind w:left="0"/>
        <w:jc w:val="center"/>
        <w:rPr>
          <w:rFonts w:cs="Cambria"/>
          <w:rtl/>
        </w:rPr>
      </w:pPr>
      <w:r w:rsidRPr="0050146A">
        <w:rPr>
          <w:rFonts w:cs="Guttman Hodes" w:hint="cs"/>
          <w:rtl/>
        </w:rPr>
        <w:t xml:space="preserve">ניתן לשלוח גם לכתובת מייל: </w:t>
      </w:r>
    </w:p>
    <w:p w14:paraId="768D7C07" w14:textId="77777777" w:rsidR="004D5390" w:rsidRPr="0050146A" w:rsidRDefault="004D5390" w:rsidP="004D5390">
      <w:pPr>
        <w:bidi w:val="0"/>
        <w:spacing w:line="240" w:lineRule="auto"/>
        <w:ind w:left="0"/>
        <w:jc w:val="center"/>
        <w:rPr>
          <w:rFonts w:cs="Arial"/>
        </w:rPr>
      </w:pPr>
      <w:r>
        <w:rPr>
          <w:rFonts w:cs="Cambria" w:hint="cs"/>
        </w:rPr>
        <w:t>SH</w:t>
      </w:r>
      <w:r w:rsidRPr="0050146A">
        <w:rPr>
          <w:rFonts w:cs="Cambria" w:hint="cs"/>
          <w:rtl/>
        </w:rPr>
        <w:t>527676412</w:t>
      </w:r>
      <w:r w:rsidRPr="0050146A">
        <w:rPr>
          <w:rFonts w:cs="Cambria"/>
        </w:rPr>
        <w:t>@GMAIL</w:t>
      </w:r>
      <w:r w:rsidRPr="0050146A">
        <w:rPr>
          <w:rFonts w:cs="Arial" w:hint="cs"/>
          <w:rtl/>
        </w:rPr>
        <w:t>.</w:t>
      </w:r>
      <w:r w:rsidRPr="0050146A">
        <w:rPr>
          <w:rFonts w:cs="Arial"/>
        </w:rPr>
        <w:t>COM</w:t>
      </w:r>
    </w:p>
    <w:p w14:paraId="2CDC1A65" w14:textId="77777777" w:rsidR="004D5390" w:rsidRDefault="004D5390" w:rsidP="004D5390">
      <w:pPr>
        <w:pStyle w:val="a3"/>
        <w:spacing w:before="0" w:line="240" w:lineRule="auto"/>
        <w:rPr>
          <w:noProof/>
          <w:sz w:val="20"/>
          <w:szCs w:val="20"/>
          <w:rtl/>
        </w:rPr>
      </w:pPr>
    </w:p>
    <w:p w14:paraId="12ED664B" w14:textId="77777777" w:rsidR="004D5390" w:rsidRDefault="004D5390" w:rsidP="004D5390">
      <w:pPr>
        <w:pStyle w:val="a3"/>
        <w:spacing w:before="0" w:line="240" w:lineRule="auto"/>
        <w:rPr>
          <w:b/>
          <w:bCs/>
          <w:noProof/>
          <w:sz w:val="20"/>
          <w:szCs w:val="20"/>
          <w:rtl/>
        </w:rPr>
      </w:pPr>
    </w:p>
    <w:p w14:paraId="3879F74E" w14:textId="77777777" w:rsidR="004D5390" w:rsidRDefault="004D5390" w:rsidP="004D5390">
      <w:pPr>
        <w:pStyle w:val="a3"/>
        <w:spacing w:before="0" w:line="240" w:lineRule="auto"/>
        <w:rPr>
          <w:b/>
          <w:bCs/>
          <w:noProof/>
          <w:sz w:val="20"/>
          <w:szCs w:val="20"/>
          <w:rtl/>
        </w:rPr>
      </w:pPr>
    </w:p>
    <w:p w14:paraId="3A113DAF" w14:textId="77777777" w:rsidR="004D5390" w:rsidRDefault="004D5390" w:rsidP="004D5390">
      <w:pPr>
        <w:pStyle w:val="11"/>
        <w:rPr>
          <w:noProof/>
          <w:rtl/>
        </w:rPr>
      </w:pPr>
    </w:p>
    <w:p w14:paraId="42782DF4" w14:textId="77777777" w:rsidR="004D5390" w:rsidRDefault="004D5390" w:rsidP="004D5390">
      <w:pPr>
        <w:pStyle w:val="11"/>
        <w:rPr>
          <w:rtl/>
        </w:rPr>
      </w:pPr>
    </w:p>
    <w:p w14:paraId="1787B924" w14:textId="77777777" w:rsidR="004D5390" w:rsidRDefault="004D5390" w:rsidP="004D5390">
      <w:pPr>
        <w:pStyle w:val="11"/>
        <w:rPr>
          <w:rtl/>
        </w:rPr>
      </w:pPr>
    </w:p>
    <w:p w14:paraId="4CD66934" w14:textId="77777777" w:rsidR="004D5390" w:rsidRDefault="004D5390" w:rsidP="004D5390">
      <w:pPr>
        <w:pStyle w:val="11"/>
        <w:rPr>
          <w:rtl/>
        </w:rPr>
      </w:pPr>
    </w:p>
    <w:p w14:paraId="588EC289" w14:textId="77777777" w:rsidR="004D5390" w:rsidRDefault="004D5390" w:rsidP="004D5390">
      <w:pPr>
        <w:pStyle w:val="11"/>
        <w:rPr>
          <w:rtl/>
        </w:rPr>
      </w:pPr>
    </w:p>
    <w:p w14:paraId="77C9E905" w14:textId="77777777" w:rsidR="004D5390" w:rsidRDefault="004D5390" w:rsidP="004D5390">
      <w:pPr>
        <w:pStyle w:val="11"/>
        <w:rPr>
          <w:rtl/>
        </w:rPr>
      </w:pPr>
    </w:p>
    <w:p w14:paraId="17FD4A32" w14:textId="77777777" w:rsidR="004D5390" w:rsidRDefault="004D5390" w:rsidP="004D5390">
      <w:pPr>
        <w:pStyle w:val="11"/>
        <w:rPr>
          <w:rtl/>
        </w:rPr>
      </w:pPr>
    </w:p>
    <w:p w14:paraId="6B1430DC" w14:textId="77777777" w:rsidR="004D5390" w:rsidRDefault="004D5390" w:rsidP="004D5390">
      <w:pPr>
        <w:pStyle w:val="11"/>
        <w:rPr>
          <w:rtl/>
        </w:rPr>
      </w:pPr>
    </w:p>
    <w:p w14:paraId="00A359D1" w14:textId="77777777" w:rsidR="004D5390" w:rsidRPr="0010646E" w:rsidRDefault="004D5390" w:rsidP="004D5390">
      <w:pPr>
        <w:pStyle w:val="11"/>
        <w:rPr>
          <w:rtl/>
        </w:rPr>
      </w:pPr>
    </w:p>
    <w:p w14:paraId="15B95E00" w14:textId="77777777" w:rsidR="004D5390" w:rsidRDefault="004D5390" w:rsidP="004D5390">
      <w:pPr>
        <w:pStyle w:val="11"/>
        <w:rPr>
          <w:noProof/>
          <w:rtl/>
        </w:rPr>
      </w:pPr>
    </w:p>
    <w:p w14:paraId="0357ECE3" w14:textId="77777777" w:rsidR="00FD665A" w:rsidRDefault="00FD665A" w:rsidP="00FD665A">
      <w:pPr>
        <w:pStyle w:val="a3"/>
        <w:spacing w:before="0" w:line="240" w:lineRule="auto"/>
        <w:rPr>
          <w:b/>
          <w:bCs/>
          <w:noProof/>
          <w:sz w:val="20"/>
          <w:szCs w:val="20"/>
        </w:rPr>
      </w:pPr>
      <w:r>
        <w:rPr>
          <w:rFonts w:hint="cs"/>
          <w:b/>
          <w:bCs/>
          <w:noProof/>
          <w:sz w:val="20"/>
          <w:szCs w:val="20"/>
          <w:rtl/>
        </w:rPr>
        <w:t>כמו"כ ניתן להשיג בכתובת הנ"ל את ספרי "משנתם סדורה":</w:t>
      </w:r>
    </w:p>
    <w:p w14:paraId="5F2778FF" w14:textId="77777777" w:rsidR="004D5390" w:rsidRPr="00FD665A" w:rsidRDefault="004D5390" w:rsidP="004D5390">
      <w:pPr>
        <w:pStyle w:val="11"/>
        <w:rPr>
          <w:noProof/>
          <w:sz w:val="20"/>
          <w:szCs w:val="20"/>
          <w:rtl/>
        </w:rPr>
      </w:pPr>
    </w:p>
    <w:p w14:paraId="0859BD7F" w14:textId="77777777" w:rsidR="004D5390" w:rsidRPr="004D5390" w:rsidRDefault="004D5390" w:rsidP="004D5390">
      <w:pPr>
        <w:pStyle w:val="11"/>
        <w:bidi w:val="0"/>
        <w:rPr>
          <w:rFonts w:asciiTheme="minorHAnsi" w:hAnsiTheme="minorHAnsi"/>
          <w:sz w:val="20"/>
          <w:szCs w:val="20"/>
          <w:rtl/>
        </w:rPr>
        <w:sectPr w:rsidR="004D5390" w:rsidRPr="004D5390">
          <w:pgSz w:w="11906" w:h="16838"/>
          <w:pgMar w:top="1440" w:right="1800" w:bottom="1440" w:left="1800" w:header="708" w:footer="708" w:gutter="0"/>
          <w:cols w:space="720"/>
          <w:bidi/>
          <w:rtlGutter/>
        </w:sectPr>
      </w:pPr>
    </w:p>
    <w:p w14:paraId="75C76DAD" w14:textId="77777777" w:rsidR="004D5390" w:rsidRPr="00AD31F4" w:rsidRDefault="004D5390" w:rsidP="004D5390">
      <w:pPr>
        <w:pStyle w:val="11"/>
        <w:rPr>
          <w:b/>
          <w:bCs/>
          <w:sz w:val="20"/>
          <w:szCs w:val="20"/>
          <w:rtl/>
        </w:rPr>
      </w:pPr>
      <w:r w:rsidRPr="00AD31F4">
        <w:rPr>
          <w:rFonts w:hint="cs"/>
          <w:b/>
          <w:bCs/>
          <w:sz w:val="20"/>
          <w:szCs w:val="20"/>
          <w:rtl/>
        </w:rPr>
        <w:t>על פרק "המפקיד"</w:t>
      </w:r>
    </w:p>
    <w:p w14:paraId="7EC77D0E" w14:textId="77777777" w:rsidR="004D5390" w:rsidRPr="00AD31F4" w:rsidRDefault="004D5390" w:rsidP="004D5390">
      <w:pPr>
        <w:pStyle w:val="11"/>
        <w:rPr>
          <w:b/>
          <w:bCs/>
          <w:sz w:val="20"/>
          <w:szCs w:val="20"/>
          <w:rtl/>
        </w:rPr>
      </w:pPr>
    </w:p>
    <w:p w14:paraId="461581FD" w14:textId="77777777" w:rsidR="004D5390" w:rsidRPr="00AD31F4" w:rsidRDefault="004D5390" w:rsidP="004D5390">
      <w:pPr>
        <w:pStyle w:val="11"/>
        <w:rPr>
          <w:b/>
          <w:bCs/>
          <w:noProof/>
          <w:sz w:val="20"/>
          <w:szCs w:val="20"/>
          <w:rtl/>
        </w:rPr>
      </w:pPr>
      <w:r w:rsidRPr="00AD31F4">
        <w:rPr>
          <w:rFonts w:hint="cs"/>
          <w:b/>
          <w:bCs/>
          <w:noProof/>
          <w:sz w:val="20"/>
          <w:szCs w:val="20"/>
          <w:rtl/>
        </w:rPr>
        <w:t>על פרק "איזהו נשך"</w:t>
      </w:r>
    </w:p>
    <w:p w14:paraId="4228A326" w14:textId="77777777" w:rsidR="004D5390" w:rsidRPr="004D5390" w:rsidRDefault="004D5390" w:rsidP="004D5390">
      <w:pPr>
        <w:pStyle w:val="11"/>
        <w:rPr>
          <w:b/>
          <w:bCs/>
          <w:sz w:val="20"/>
          <w:szCs w:val="20"/>
          <w:rtl/>
        </w:rPr>
        <w:sectPr w:rsidR="004D5390" w:rsidRPr="004D5390" w:rsidSect="004D5390">
          <w:type w:val="continuous"/>
          <w:pgSz w:w="11906" w:h="16838"/>
          <w:pgMar w:top="1440" w:right="1800" w:bottom="1440" w:left="1800" w:header="708" w:footer="708" w:gutter="0"/>
          <w:cols w:num="2" w:space="113"/>
          <w:bidi/>
          <w:rtlGutter/>
        </w:sectPr>
      </w:pPr>
      <w:r w:rsidRPr="004D5390">
        <w:rPr>
          <w:b/>
          <w:bCs/>
          <w:sz w:val="20"/>
          <w:szCs w:val="20"/>
          <w:rtl/>
        </w:rPr>
        <w:t>על תערובות (ח"א) בעניני ביטול בשישים וטעם כעיקר</w:t>
      </w:r>
      <w:r>
        <w:rPr>
          <w:rFonts w:hint="cs"/>
          <w:b/>
          <w:bCs/>
          <w:sz w:val="20"/>
          <w:szCs w:val="20"/>
          <w:rtl/>
        </w:rPr>
        <w:t xml:space="preserve"> </w:t>
      </w:r>
      <w:r w:rsidRPr="004D5390">
        <w:rPr>
          <w:b/>
          <w:bCs/>
          <w:sz w:val="20"/>
          <w:szCs w:val="20"/>
          <w:rtl/>
        </w:rPr>
        <w:t>ונותן טעם לפגם</w:t>
      </w:r>
      <w:r>
        <w:rPr>
          <w:rFonts w:hint="cs"/>
          <w:b/>
          <w:bCs/>
          <w:sz w:val="20"/>
          <w:szCs w:val="20"/>
          <w:rtl/>
        </w:rPr>
        <w:t xml:space="preserve"> </w:t>
      </w:r>
      <w:r w:rsidRPr="004D5390">
        <w:rPr>
          <w:b/>
          <w:bCs/>
          <w:sz w:val="20"/>
          <w:szCs w:val="20"/>
          <w:rtl/>
        </w:rPr>
        <w:t>בחולין ובע"ז</w:t>
      </w:r>
      <w:r>
        <w:rPr>
          <w:rFonts w:hint="cs"/>
          <w:b/>
          <w:bCs/>
          <w:sz w:val="20"/>
          <w:szCs w:val="20"/>
          <w:rtl/>
        </w:rPr>
        <w:t>.</w:t>
      </w:r>
    </w:p>
    <w:p w14:paraId="2C07B349" w14:textId="77777777" w:rsidR="004D5390" w:rsidRPr="00AD31F4" w:rsidRDefault="004D5390" w:rsidP="004D5390">
      <w:pPr>
        <w:bidi w:val="0"/>
        <w:spacing w:line="240" w:lineRule="auto"/>
        <w:ind w:left="0"/>
        <w:jc w:val="left"/>
        <w:rPr>
          <w:rFonts w:eastAsia="Guttman Hodes" w:cs="Guttman Hodes"/>
          <w:noProof/>
          <w:sz w:val="20"/>
          <w:szCs w:val="20"/>
        </w:rPr>
        <w:sectPr w:rsidR="004D5390" w:rsidRPr="00AD31F4">
          <w:type w:val="continuous"/>
          <w:pgSz w:w="11906" w:h="16838"/>
          <w:pgMar w:top="1440" w:right="1800" w:bottom="1440" w:left="1800" w:header="708" w:footer="708" w:gutter="0"/>
          <w:cols w:num="2" w:space="709"/>
          <w:bidi/>
          <w:rtlGutter/>
        </w:sectPr>
      </w:pPr>
    </w:p>
    <w:p w14:paraId="3E75C020" w14:textId="77777777" w:rsidR="00FF765F" w:rsidRDefault="00FF765F" w:rsidP="00FF765F">
      <w:pPr>
        <w:ind w:left="0"/>
        <w:jc w:val="center"/>
        <w:rPr>
          <w:rFonts w:ascii="Guttman Hodes" w:eastAsia="Guttman Hodes" w:hAnsi="Guttman Hodes" w:cs="Guttman Hodes"/>
          <w:b/>
          <w:bCs/>
        </w:rPr>
      </w:pPr>
      <w:r>
        <w:rPr>
          <w:rFonts w:ascii="Guttman Hodes" w:eastAsia="Guttman Hodes" w:hAnsi="Guttman Hodes" w:cs="Guttman Hodes" w:hint="cs"/>
          <w:b/>
          <w:bCs/>
          <w:rtl/>
        </w:rPr>
        <w:t>דברים אחדים</w:t>
      </w:r>
    </w:p>
    <w:p w14:paraId="465865D7" w14:textId="77777777" w:rsidR="008771C4" w:rsidRPr="0050146A" w:rsidRDefault="008771C4" w:rsidP="008771C4">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הסוגיא. </w:t>
      </w:r>
    </w:p>
    <w:p w14:paraId="4847B741" w14:textId="77777777" w:rsidR="008771C4" w:rsidRPr="0050146A" w:rsidRDefault="008771C4" w:rsidP="00270F25">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לתועלת הלומדים אפרט את סדר העריכה שבספר זה, בכל סוגיא וסוגיא ערוכ</w:t>
      </w:r>
      <w:r w:rsidR="00270F25">
        <w:rPr>
          <w:rFonts w:ascii="Guttman Hodes" w:eastAsia="Guttman Hodes" w:hAnsi="Guttman Hodes" w:cs="Guttman Hodes" w:hint="cs"/>
          <w:sz w:val="18"/>
          <w:szCs w:val="18"/>
          <w:rtl/>
        </w:rPr>
        <w:t>ים</w:t>
      </w:r>
      <w:r w:rsidRPr="0050146A">
        <w:rPr>
          <w:rFonts w:ascii="Guttman Hodes" w:eastAsia="Guttman Hodes" w:hAnsi="Guttman Hodes" w:cs="Guttman Hodes" w:hint="cs"/>
          <w:sz w:val="18"/>
          <w:szCs w:val="18"/>
          <w:rtl/>
        </w:rPr>
        <w:t xml:space="preserve"> לפני הלומד ", </w:t>
      </w:r>
      <w:r w:rsidR="00270F25">
        <w:rPr>
          <w:rFonts w:ascii="Guttman Hodes" w:eastAsia="Guttman Hodes" w:hAnsi="Guttman Hodes" w:cs="Guttman Hodes" w:hint="cs"/>
          <w:sz w:val="18"/>
          <w:szCs w:val="18"/>
          <w:rtl/>
        </w:rPr>
        <w:t xml:space="preserve">דבריהם </w:t>
      </w:r>
      <w:r w:rsidRPr="0050146A">
        <w:rPr>
          <w:rFonts w:ascii="Guttman Hodes" w:eastAsia="Guttman Hodes" w:hAnsi="Guttman Hodes" w:cs="Guttman Hodes" w:hint="cs"/>
          <w:sz w:val="18"/>
          <w:szCs w:val="18"/>
          <w:rtl/>
        </w:rPr>
        <w:t>האחרונים וראשי הישיבות בלשון קלה ובהירה, ואף שלא הובאו דבריהם "בלשונם", מ"מ נעשתה השתדלות גדולה שיהיו הדברים "ככתבם", בלא להוסיף ולפרשם יותר מן הנצרך להבנת הדברים,</w:t>
      </w:r>
      <w:r>
        <w:rPr>
          <w:rFonts w:ascii="Guttman Hodes" w:eastAsia="Guttman Hodes" w:hAnsi="Guttman Hodes" w:cs="Guttman Hodes" w:hint="cs"/>
          <w:sz w:val="18"/>
          <w:szCs w:val="18"/>
          <w:rtl/>
        </w:rPr>
        <w:t xml:space="preserve"> אלא שנסדרו וחולקו לפי עניני וסדרי הסוגיא, כך שהלומד שעוסק בתוך הסוגיא, יכול למצא בהם תועלת גדולה, ובפרט כשיראה את הדברים במקו</w:t>
      </w:r>
      <w:r w:rsidR="00270F25">
        <w:rPr>
          <w:rFonts w:ascii="Guttman Hodes" w:eastAsia="Guttman Hodes" w:hAnsi="Guttman Hodes" w:cs="Guttman Hodes" w:hint="cs"/>
          <w:sz w:val="18"/>
          <w:szCs w:val="18"/>
          <w:rtl/>
        </w:rPr>
        <w:t>ר</w:t>
      </w:r>
      <w:r>
        <w:rPr>
          <w:rFonts w:ascii="Guttman Hodes" w:eastAsia="Guttman Hodes" w:hAnsi="Guttman Hodes" w:cs="Guttman Hodes" w:hint="cs"/>
          <w:sz w:val="18"/>
          <w:szCs w:val="18"/>
          <w:rtl/>
        </w:rPr>
        <w:t>ם, ו</w:t>
      </w:r>
      <w:r w:rsidR="00270F25">
        <w:rPr>
          <w:rFonts w:ascii="Guttman Hodes" w:eastAsia="Guttman Hodes" w:hAnsi="Guttman Hodes" w:cs="Guttman Hodes" w:hint="cs"/>
          <w:sz w:val="18"/>
          <w:szCs w:val="18"/>
          <w:rtl/>
        </w:rPr>
        <w:t>ל</w:t>
      </w:r>
      <w:r>
        <w:rPr>
          <w:rFonts w:ascii="Guttman Hodes" w:eastAsia="Guttman Hodes" w:hAnsi="Guttman Hodes" w:cs="Guttman Hodes" w:hint="cs"/>
          <w:sz w:val="18"/>
          <w:szCs w:val="18"/>
          <w:rtl/>
        </w:rPr>
        <w:t xml:space="preserve">כן קראתי את שם הספר </w:t>
      </w:r>
      <w:r w:rsidRPr="0050146A">
        <w:rPr>
          <w:rFonts w:ascii="Guttman Hodes" w:eastAsia="Guttman Hodes" w:hAnsi="Guttman Hodes" w:cs="Guttman Hodes" w:hint="cs"/>
          <w:sz w:val="18"/>
          <w:szCs w:val="18"/>
          <w:rtl/>
        </w:rPr>
        <w:t>"</w:t>
      </w:r>
      <w:r w:rsidRPr="0050146A">
        <w:rPr>
          <w:rFonts w:ascii="Guttman Hodes" w:eastAsia="Guttman Hodes" w:hAnsi="Guttman Hodes" w:cs="Guttman Hodes" w:hint="cs"/>
          <w:b/>
          <w:bCs/>
          <w:sz w:val="18"/>
          <w:szCs w:val="18"/>
          <w:rtl/>
        </w:rPr>
        <w:t>משנתם סדורה</w:t>
      </w:r>
      <w:r w:rsidRPr="0050146A">
        <w:rPr>
          <w:rFonts w:ascii="Guttman Hodes" w:eastAsia="Guttman Hodes" w:hAnsi="Guttman Hodes" w:cs="Guttman Hodes" w:hint="cs"/>
          <w:sz w:val="18"/>
          <w:szCs w:val="18"/>
          <w:rtl/>
        </w:rPr>
        <w:t>"</w:t>
      </w:r>
      <w:r>
        <w:rPr>
          <w:rFonts w:ascii="Guttman Hodes" w:eastAsia="Guttman Hodes" w:hAnsi="Guttman Hodes" w:cs="Guttman Hodes" w:hint="cs"/>
          <w:sz w:val="18"/>
          <w:szCs w:val="18"/>
          <w:rtl/>
        </w:rPr>
        <w:t>, שהוא "משנתם" של הראשונים והאחרונים וראשי הישיבות, אשר נערכו ונסדרו</w:t>
      </w:r>
      <w:r w:rsidR="00270F25">
        <w:rPr>
          <w:rFonts w:ascii="Guttman Hodes" w:eastAsia="Guttman Hodes" w:hAnsi="Guttman Hodes" w:cs="Guttman Hodes" w:hint="cs"/>
          <w:sz w:val="18"/>
          <w:szCs w:val="18"/>
          <w:rtl/>
        </w:rPr>
        <w:t>,</w:t>
      </w:r>
      <w:r>
        <w:rPr>
          <w:rFonts w:ascii="Guttman Hodes" w:eastAsia="Guttman Hodes" w:hAnsi="Guttman Hodes" w:cs="Guttman Hodes" w:hint="cs"/>
          <w:sz w:val="18"/>
          <w:szCs w:val="18"/>
          <w:rtl/>
        </w:rPr>
        <w:t xml:space="preserve"> כדי שתהיה הסוגיא "סדורה"</w:t>
      </w:r>
      <w:r w:rsidRPr="0050146A">
        <w:rPr>
          <w:rFonts w:ascii="Guttman Hodes" w:eastAsia="Guttman Hodes" w:hAnsi="Guttman Hodes" w:cs="Guttman Hodes" w:hint="cs"/>
          <w:sz w:val="18"/>
          <w:szCs w:val="18"/>
          <w:rtl/>
        </w:rPr>
        <w:t xml:space="preserve"> לפני הלומד.</w:t>
      </w:r>
    </w:p>
    <w:p w14:paraId="024E23C4" w14:textId="77777777" w:rsidR="008771C4" w:rsidRDefault="008771C4" w:rsidP="00270F25">
      <w:pPr>
        <w:spacing w:before="240" w:line="240" w:lineRule="auto"/>
        <w:ind w:left="0"/>
        <w:rPr>
          <w:rFonts w:ascii="Guttman Hodes" w:eastAsia="Guttman Hodes" w:hAnsi="Guttman Hodes" w:cs="Guttman Hodes"/>
          <w:sz w:val="18"/>
          <w:szCs w:val="18"/>
        </w:rPr>
      </w:pPr>
      <w:r>
        <w:rPr>
          <w:rFonts w:ascii="Guttman Hodes" w:eastAsia="Guttman Hodes" w:hAnsi="Guttman Hodes" w:cs="Guttman Hodes" w:hint="cs"/>
          <w:sz w:val="18"/>
          <w:szCs w:val="18"/>
          <w:rtl/>
        </w:rPr>
        <w:t>בתחילת כל סימן נכתב "</w:t>
      </w:r>
      <w:r w:rsidR="000A0C31">
        <w:rPr>
          <w:rFonts w:ascii="Guttman Hodes" w:eastAsia="Guttman Hodes" w:hAnsi="Guttman Hodes" w:cs="Guttman Hodes" w:hint="cs"/>
          <w:b/>
          <w:bCs/>
          <w:sz w:val="18"/>
          <w:szCs w:val="18"/>
          <w:rtl/>
        </w:rPr>
        <w:t>מפתח הסוגיא</w:t>
      </w:r>
      <w:r>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בסוגיא, ויוכל לעיין בתוך הסימן באותיות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הסוגיא יכול הלומד לעיין במהירות בכל הכותרות שהובאו בתוך הסימן</w:t>
      </w:r>
      <w:r w:rsidR="00270F25">
        <w:rPr>
          <w:rFonts w:ascii="Guttman Hodes" w:eastAsia="Guttman Hodes" w:hAnsi="Guttman Hodes" w:cs="Guttman Hodes" w:hint="cs"/>
          <w:sz w:val="18"/>
          <w:szCs w:val="18"/>
          <w:rtl/>
        </w:rPr>
        <w:t>,</w:t>
      </w:r>
      <w:r>
        <w:rPr>
          <w:rFonts w:ascii="Guttman Hodes" w:eastAsia="Guttman Hodes" w:hAnsi="Guttman Hodes" w:cs="Guttman Hodes" w:hint="cs"/>
          <w:sz w:val="18"/>
          <w:szCs w:val="18"/>
          <w:rtl/>
        </w:rPr>
        <w:t xml:space="preserve"> ולראות מה</w:t>
      </w:r>
      <w:r w:rsidR="00270F25">
        <w:rPr>
          <w:rFonts w:ascii="Guttman Hodes" w:eastAsia="Guttman Hodes" w:hAnsi="Guttman Hodes" w:cs="Guttman Hodes" w:hint="cs"/>
          <w:sz w:val="18"/>
          <w:szCs w:val="18"/>
          <w:rtl/>
        </w:rPr>
        <w:t xml:space="preserve"> ה</w:t>
      </w:r>
      <w:r>
        <w:rPr>
          <w:rFonts w:ascii="Guttman Hodes" w:eastAsia="Guttman Hodes" w:hAnsi="Guttman Hodes" w:cs="Guttman Hodes" w:hint="cs"/>
          <w:sz w:val="18"/>
          <w:szCs w:val="18"/>
          <w:rtl/>
        </w:rPr>
        <w:t>ם הנדונים בסוגיא, ולעיין במה שלבו חפץ.</w:t>
      </w:r>
    </w:p>
    <w:p w14:paraId="0ABEBFF1" w14:textId="77777777" w:rsidR="008771C4" w:rsidRPr="0050146A" w:rsidRDefault="008771C4" w:rsidP="00270F25">
      <w:pPr>
        <w:spacing w:before="240" w:line="240" w:lineRule="auto"/>
        <w:ind w:left="0"/>
        <w:rPr>
          <w:rFonts w:ascii="Cambria" w:eastAsia="Guttman Hodes" w:hAnsi="Cambria" w:cs="Guttman Hodes"/>
          <w:sz w:val="18"/>
          <w:szCs w:val="18"/>
          <w:rtl/>
        </w:rPr>
      </w:pPr>
      <w:r>
        <w:rPr>
          <w:rFonts w:ascii="Guttman Hodes" w:eastAsia="Guttman Hodes" w:hAnsi="Guttman Hodes" w:cs="Guttman Hodes" w:hint="cs"/>
          <w:sz w:val="18"/>
          <w:szCs w:val="18"/>
          <w:rtl/>
        </w:rPr>
        <w:t xml:space="preserve">בתוך הסימן הובאו באריכות </w:t>
      </w:r>
      <w:r w:rsidRPr="0050146A">
        <w:rPr>
          <w:rFonts w:ascii="Guttman Hodes" w:eastAsia="Guttman Hodes" w:hAnsi="Guttman Hodes" w:cs="Guttman Hodes" w:hint="cs"/>
          <w:sz w:val="18"/>
          <w:szCs w:val="18"/>
          <w:rtl/>
        </w:rPr>
        <w:t xml:space="preserve">דברי הראשונים והאחרונים, </w:t>
      </w:r>
      <w:r>
        <w:rPr>
          <w:rFonts w:ascii="Guttman Hodes" w:eastAsia="Guttman Hodes" w:hAnsi="Guttman Hodes" w:cs="Guttman Hodes" w:hint="cs"/>
          <w:sz w:val="18"/>
          <w:szCs w:val="18"/>
          <w:rtl/>
        </w:rPr>
        <w:t>ו</w:t>
      </w:r>
      <w:r w:rsidRPr="0050146A">
        <w:rPr>
          <w:rFonts w:ascii="Guttman Hodes" w:eastAsia="Guttman Hodes" w:hAnsi="Guttman Hodes" w:cs="Guttman Hodes" w:hint="cs"/>
          <w:sz w:val="18"/>
          <w:szCs w:val="18"/>
          <w:rtl/>
        </w:rPr>
        <w:t>אחר</w:t>
      </w:r>
      <w:r>
        <w:rPr>
          <w:rFonts w:ascii="Guttman Hodes" w:eastAsia="Guttman Hodes" w:hAnsi="Guttman Hodes" w:cs="Guttman Hodes" w:hint="cs"/>
          <w:sz w:val="18"/>
          <w:szCs w:val="18"/>
          <w:rtl/>
        </w:rPr>
        <w:t>יהם</w:t>
      </w:r>
      <w:r w:rsidRPr="0050146A">
        <w:rPr>
          <w:rFonts w:ascii="Guttman Hodes" w:eastAsia="Guttman Hodes" w:hAnsi="Guttman Hodes" w:cs="Guttman Hodes" w:hint="cs"/>
          <w:sz w:val="18"/>
          <w:szCs w:val="18"/>
          <w:rtl/>
        </w:rPr>
        <w:t xml:space="preserve"> נכתבו </w:t>
      </w:r>
      <w:r w:rsidRPr="0050146A">
        <w:rPr>
          <w:rFonts w:ascii="Cambria" w:eastAsia="Guttman Hodes" w:hAnsi="Cambria" w:cs="Guttman Hodes" w:hint="cs"/>
          <w:sz w:val="18"/>
          <w:szCs w:val="18"/>
          <w:rtl/>
        </w:rPr>
        <w:t>במדור נפרד "</w:t>
      </w:r>
      <w:r w:rsidRPr="0050146A">
        <w:rPr>
          <w:rFonts w:ascii="Cambria" w:eastAsia="Guttman Hodes" w:hAnsi="Cambria" w:cs="Guttman Hodes" w:hint="cs"/>
          <w:b/>
          <w:bCs/>
          <w:sz w:val="18"/>
          <w:szCs w:val="18"/>
          <w:rtl/>
        </w:rPr>
        <w:t>ביאורי ראשי הישיבות</w:t>
      </w:r>
      <w:r w:rsidRPr="0050146A">
        <w:rPr>
          <w:rFonts w:ascii="Cambria" w:eastAsia="Guttman Hodes" w:hAnsi="Cambria" w:cs="Guttman Hodes" w:hint="cs"/>
          <w:sz w:val="18"/>
          <w:szCs w:val="18"/>
          <w:rtl/>
        </w:rPr>
        <w:t>", בו הובאו דבריהם של רבותינו ראשי הישיבות</w:t>
      </w:r>
      <w:r>
        <w:rPr>
          <w:rFonts w:ascii="Cambria" w:eastAsia="Guttman Hodes" w:hAnsi="Cambria" w:cs="Guttman Hodes" w:hint="cs"/>
          <w:sz w:val="18"/>
          <w:szCs w:val="18"/>
          <w:rtl/>
        </w:rPr>
        <w:t>, החל מרבינו הגר"ח מבריסק ואילך, כאשר מטר</w:t>
      </w:r>
      <w:r w:rsidR="00270F25">
        <w:rPr>
          <w:rFonts w:ascii="Cambria" w:eastAsia="Guttman Hodes" w:hAnsi="Cambria" w:cs="Guttman Hodes" w:hint="cs"/>
          <w:sz w:val="18"/>
          <w:szCs w:val="18"/>
          <w:rtl/>
        </w:rPr>
        <w:t xml:space="preserve">ת </w:t>
      </w:r>
      <w:r>
        <w:rPr>
          <w:rFonts w:ascii="Cambria" w:eastAsia="Guttman Hodes" w:hAnsi="Cambria" w:cs="Guttman Hodes" w:hint="cs"/>
          <w:sz w:val="18"/>
          <w:szCs w:val="18"/>
          <w:rtl/>
        </w:rPr>
        <w:t>חלוקה זו, היא בכדי להעמיד בבירור את גדרי הדינים והבנת הסברות, כפי דרך הלימוד המקובלת בישיבות</w:t>
      </w:r>
      <w:r w:rsidRPr="0050146A">
        <w:rPr>
          <w:rFonts w:ascii="Cambria" w:eastAsia="Guttman Hodes" w:hAnsi="Cambria" w:cs="Guttman Hodes" w:hint="cs"/>
          <w:sz w:val="18"/>
          <w:szCs w:val="18"/>
          <w:rtl/>
        </w:rPr>
        <w:t>.</w:t>
      </w:r>
    </w:p>
    <w:p w14:paraId="52D63AB2" w14:textId="77777777" w:rsidR="008771C4" w:rsidRDefault="008771C4" w:rsidP="008771C4">
      <w:pPr>
        <w:spacing w:before="240" w:line="240" w:lineRule="auto"/>
        <w:ind w:left="0"/>
        <w:rPr>
          <w:rFonts w:ascii="Guttman Hodes" w:eastAsia="Guttman Hodes" w:hAnsi="Guttman Hodes" w:cs="Guttman Hodes"/>
          <w:sz w:val="18"/>
          <w:szCs w:val="18"/>
          <w:rtl/>
        </w:rPr>
      </w:pPr>
      <w:r>
        <w:rPr>
          <w:rFonts w:ascii="Guttman Hodes" w:eastAsia="Guttman Hodes" w:hAnsi="Guttman Hodes" w:cs="Guttman Hodes" w:hint="cs"/>
          <w:sz w:val="18"/>
          <w:szCs w:val="18"/>
          <w:rtl/>
        </w:rPr>
        <w:t>בסוגיות בהם האריכו הראשונים והאחרונים בביאור דברי הרמב"ם, קבעו דברי הרמב"ם מקום לעצמם, ונוסף בסוף הסימן "</w:t>
      </w:r>
      <w:r>
        <w:rPr>
          <w:rFonts w:ascii="Guttman Hodes" w:eastAsia="Guttman Hodes" w:hAnsi="Guttman Hodes" w:cs="Guttman Hodes" w:hint="cs"/>
          <w:b/>
          <w:bCs/>
          <w:sz w:val="18"/>
          <w:szCs w:val="18"/>
          <w:rtl/>
        </w:rPr>
        <w:t>מראי מקומות וביאורים על הרמב"ם</w:t>
      </w:r>
      <w:r>
        <w:rPr>
          <w:rFonts w:ascii="Guttman Hodes" w:eastAsia="Guttman Hodes" w:hAnsi="Guttman Hodes" w:cs="Guttman Hodes" w:hint="cs"/>
          <w:sz w:val="18"/>
          <w:szCs w:val="18"/>
          <w:rtl/>
        </w:rPr>
        <w:t>", בו הובאו דברי הראשונים והאחרונים וראשי הישיבות, שדנו בדברי הרמב"ם.</w:t>
      </w:r>
    </w:p>
    <w:p w14:paraId="7F96ADB2" w14:textId="77777777" w:rsidR="008771C4" w:rsidRPr="0050146A" w:rsidRDefault="00375AE1" w:rsidP="008771C4">
      <w:pPr>
        <w:spacing w:before="240" w:line="240" w:lineRule="auto"/>
        <w:ind w:left="0"/>
        <w:rPr>
          <w:rFonts w:ascii="Guttman Hodes" w:eastAsia="Guttman Hodes" w:hAnsi="Guttman Hodes" w:cs="Guttman Hodes"/>
          <w:sz w:val="18"/>
          <w:szCs w:val="18"/>
          <w:rtl/>
        </w:rPr>
      </w:pPr>
      <w:r>
        <w:rPr>
          <w:rFonts w:ascii="Guttman Hodes" w:eastAsia="Guttman Hodes" w:hAnsi="Guttman Hodes" w:cs="Guttman Hodes" w:hint="cs"/>
          <w:sz w:val="18"/>
          <w:szCs w:val="18"/>
          <w:rtl/>
        </w:rPr>
        <w:t>מראי מקומות אלו נכתבו תוך כדי לימוד הסוגיא בזמן אלול ה' תשע"ח ובזמן חורף ה' תשע"ט</w:t>
      </w:r>
      <w:r w:rsidR="008771C4">
        <w:rPr>
          <w:rFonts w:ascii="Guttman Hodes" w:eastAsia="Guttman Hodes" w:hAnsi="Guttman Hodes" w:cs="Guttman Hodes" w:hint="cs"/>
          <w:sz w:val="18"/>
          <w:szCs w:val="18"/>
          <w:rtl/>
        </w:rPr>
        <w:t xml:space="preserve">, </w:t>
      </w:r>
      <w:r w:rsidR="008771C4" w:rsidRPr="0050146A">
        <w:rPr>
          <w:rFonts w:ascii="Guttman Hodes" w:eastAsia="Guttman Hodes" w:hAnsi="Guttman Hodes" w:cs="Guttman Hodes" w:hint="cs"/>
          <w:sz w:val="18"/>
          <w:szCs w:val="18"/>
          <w:rtl/>
        </w:rPr>
        <w:t>במבצר התורה "</w:t>
      </w:r>
      <w:r w:rsidR="008771C4" w:rsidRPr="0050146A">
        <w:rPr>
          <w:rFonts w:ascii="Guttman Hodes" w:eastAsia="Guttman Hodes" w:hAnsi="Guttman Hodes" w:cs="Guttman Hodes" w:hint="cs"/>
          <w:b/>
          <w:bCs/>
          <w:sz w:val="18"/>
          <w:szCs w:val="18"/>
          <w:rtl/>
        </w:rPr>
        <w:t>ישיבת בית הלל"</w:t>
      </w:r>
      <w:r w:rsidR="008771C4" w:rsidRPr="0050146A">
        <w:rPr>
          <w:rFonts w:ascii="Guttman Hodes" w:eastAsia="Guttman Hodes" w:hAnsi="Guttman Hodes" w:cs="Guttman Hodes" w:hint="cs"/>
          <w:sz w:val="18"/>
          <w:szCs w:val="18"/>
          <w:rtl/>
        </w:rPr>
        <w:t xml:space="preserve"> בעיה"ת בני ברק, ובראש ובראשונה נתונה התודה למורינו ראש הכולל</w:t>
      </w:r>
      <w:r w:rsidR="008771C4" w:rsidRPr="0050146A">
        <w:rPr>
          <w:rFonts w:ascii="Guttman Hodes" w:eastAsia="Guttman Hodes" w:hAnsi="Guttman Hodes" w:cs="Guttman Hodes" w:hint="cs"/>
          <w:b/>
          <w:bCs/>
          <w:sz w:val="18"/>
          <w:szCs w:val="18"/>
          <w:rtl/>
        </w:rPr>
        <w:t xml:space="preserve"> הגאון רבי יוסף יעקב מן שליט"א</w:t>
      </w:r>
      <w:r w:rsidR="008771C4" w:rsidRPr="0050146A">
        <w:rPr>
          <w:rFonts w:ascii="Guttman Hodes" w:eastAsia="Guttman Hodes" w:hAnsi="Guttman Hodes" w:cs="Guttman Hodes" w:hint="cs"/>
          <w:sz w:val="18"/>
          <w:szCs w:val="18"/>
          <w:rtl/>
        </w:rPr>
        <w:t>,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לראות איך כל אברך ואברך יקיף בעיון את כל הסוגיא מכל עבריה מחד, ומאידך יספיק ללמוד בהספק גדול ככל הניתן,</w:t>
      </w:r>
      <w:r w:rsidR="008771C4" w:rsidRPr="0050146A">
        <w:rPr>
          <w:rtl/>
        </w:rPr>
        <w:t xml:space="preserve"> </w:t>
      </w:r>
      <w:r w:rsidR="008771C4" w:rsidRPr="0050146A">
        <w:rPr>
          <w:rFonts w:ascii="Guttman Hodes" w:eastAsia="Guttman Hodes" w:hAnsi="Guttman Hodes" w:cs="Guttman Hodes" w:hint="cs"/>
          <w:sz w:val="18"/>
          <w:szCs w:val="18"/>
          <w:rtl/>
        </w:rPr>
        <w:t>וכל זאת בהשקפה גדולה להמשיך את צורת הישיבה, כפי שהנחילו אביו הגאון הגדול רבי מרדכי לייב מן זצוק"ל, הברכה אחת היא שיזכה להגדיל תורה ולהאדירה, וירחיב ה' את גבולו בעמלי תורה, מתוך מנוחת הדעת ושלוות הנפש.</w:t>
      </w:r>
    </w:p>
    <w:p w14:paraId="52927DEC" w14:textId="77777777" w:rsidR="008771C4" w:rsidRPr="0050146A" w:rsidRDefault="008771C4" w:rsidP="008771C4">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יזכו להמשיך ולהרביץ תורה, ולהעמיד תלמידים הרבה, מעוטרים בכתרה של תורה.</w:t>
      </w:r>
    </w:p>
    <w:p w14:paraId="58F5B51A" w14:textId="77777777" w:rsidR="008771C4" w:rsidRPr="0050146A" w:rsidRDefault="008771C4" w:rsidP="008771C4">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וכן אודה לכל בני החבורה בישיבת בית הלל כל אחד ואחד לפי מעלתו, אשר היו שותפים בעצה ובתבונה והאירו עיני בהרבה ענינים, וניתן לומר שהכתיבה היתה כידא אריכתא של בני הכולל, אברכם שיזכו להמשיך לעמול ולהתיגע בתורה, ולא תמוש התורה מפיהם ומפי זרעם עד עולם.</w:t>
      </w:r>
    </w:p>
    <w:p w14:paraId="653195A3" w14:textId="77777777" w:rsidR="008771C4" w:rsidRPr="0050146A" w:rsidRDefault="008771C4" w:rsidP="008771C4">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 xml:space="preserve">וכן אודה לכל הת"ח הגדולים </w:t>
      </w:r>
      <w:r w:rsidRPr="0050146A">
        <w:rPr>
          <w:rFonts w:ascii="Guttman Hodes" w:eastAsia="Guttman Hodes" w:hAnsi="Guttman Hodes" w:cs="Guttman Hodes" w:hint="cs"/>
          <w:b/>
          <w:bCs/>
          <w:sz w:val="18"/>
          <w:szCs w:val="18"/>
          <w:rtl/>
        </w:rPr>
        <w:t>מחברי הספרים</w:t>
      </w:r>
      <w:r w:rsidRPr="0050146A">
        <w:rPr>
          <w:rFonts w:ascii="Guttman Hodes" w:eastAsia="Guttman Hodes" w:hAnsi="Guttman Hodes" w:cs="Guttman Hodes" w:hint="cs"/>
          <w:sz w:val="18"/>
          <w:szCs w:val="18"/>
          <w:rtl/>
        </w:rPr>
        <w:t xml:space="preserve"> והמראי מקומות על מסכת חולין, ועל ענייני </w:t>
      </w:r>
      <w:r>
        <w:rPr>
          <w:rFonts w:ascii="Guttman Hodes" w:eastAsia="Guttman Hodes" w:hAnsi="Guttman Hodes" w:cs="Guttman Hodes" w:hint="cs"/>
          <w:sz w:val="18"/>
          <w:szCs w:val="18"/>
          <w:rtl/>
        </w:rPr>
        <w:t>רוב וחזקה ובן פקועה</w:t>
      </w:r>
      <w:r w:rsidRPr="0050146A">
        <w:rPr>
          <w:rFonts w:ascii="Guttman Hodes" w:eastAsia="Guttman Hodes" w:hAnsi="Guttman Hodes" w:cs="Guttman Hodes" w:hint="cs"/>
          <w:sz w:val="18"/>
          <w:szCs w:val="18"/>
          <w:rtl/>
        </w:rPr>
        <w:t>, אשר העמידו בבהירות את מראי המקומות והנקודות הנחוצות להבנת הסוגיות, שנעזרתי בהם רבות בלימוד המסכת, לכולם אודה מעומק לבי, ואברכם בברכת כהן שיזכו להמשיך להגדיל תורה ולהאדירה.</w:t>
      </w:r>
    </w:p>
    <w:p w14:paraId="3A467D56" w14:textId="77777777" w:rsidR="00FF765F" w:rsidRDefault="00FF765F" w:rsidP="00FF765F">
      <w:pPr>
        <w:spacing w:before="240" w:line="240" w:lineRule="auto"/>
        <w:ind w:left="0"/>
        <w:rPr>
          <w:rFonts w:ascii="Guttman Hodes" w:eastAsia="Guttman Hodes" w:hAnsi="Guttman Hodes" w:cs="Guttman Hodes"/>
          <w:sz w:val="18"/>
          <w:szCs w:val="18"/>
          <w:rtl/>
        </w:rPr>
      </w:pPr>
      <w:r>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14:paraId="3D430E08" w14:textId="77777777" w:rsidR="00FF765F" w:rsidRDefault="00FF765F" w:rsidP="00FF765F">
      <w:pPr>
        <w:spacing w:before="240" w:line="240" w:lineRule="auto"/>
        <w:ind w:left="0"/>
        <w:rPr>
          <w:rFonts w:ascii="Guttman Hodes" w:eastAsia="Guttman Hodes" w:hAnsi="Guttman Hodes" w:cs="Guttman Hodes"/>
          <w:sz w:val="18"/>
          <w:szCs w:val="18"/>
          <w:rtl/>
        </w:rPr>
      </w:pPr>
      <w:r>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14:paraId="507E0ED0" w14:textId="77777777" w:rsidR="00FF765F" w:rsidRDefault="00FF765F" w:rsidP="00FF765F">
      <w:pPr>
        <w:spacing w:before="240" w:line="240" w:lineRule="auto"/>
        <w:ind w:left="0"/>
        <w:rPr>
          <w:rFonts w:ascii="Guttman Hodes" w:eastAsia="Guttman Hodes" w:hAnsi="Guttman Hodes" w:cs="Guttman Hodes"/>
          <w:sz w:val="18"/>
          <w:szCs w:val="18"/>
          <w:rtl/>
        </w:rPr>
      </w:pPr>
      <w:r>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14:paraId="0F0B2D76" w14:textId="77777777" w:rsidR="00FF765F" w:rsidRDefault="00FF765F" w:rsidP="00FF765F">
      <w:pPr>
        <w:spacing w:before="240" w:line="240" w:lineRule="auto"/>
        <w:ind w:left="0"/>
        <w:rPr>
          <w:rFonts w:ascii="Guttman Hodes" w:eastAsia="Guttman Hodes" w:hAnsi="Guttman Hodes" w:cs="Guttman Hodes"/>
          <w:sz w:val="18"/>
          <w:szCs w:val="18"/>
          <w:rtl/>
        </w:rPr>
      </w:pPr>
    </w:p>
    <w:p w14:paraId="3ADBD0EC" w14:textId="77777777" w:rsidR="00FF765F" w:rsidRDefault="00FF765F" w:rsidP="00FF765F">
      <w:pPr>
        <w:pStyle w:val="11"/>
        <w:jc w:val="right"/>
        <w:rPr>
          <w:sz w:val="18"/>
          <w:szCs w:val="18"/>
          <w:rtl/>
        </w:rPr>
      </w:pPr>
      <w:r>
        <w:rPr>
          <w:rFonts w:hint="cs"/>
          <w:sz w:val="18"/>
          <w:szCs w:val="18"/>
          <w:rtl/>
        </w:rPr>
        <w:t>שלמה זושא הכהן הנדל</w:t>
      </w:r>
    </w:p>
    <w:p w14:paraId="1DEACB66" w14:textId="77777777" w:rsidR="00FF765F" w:rsidRDefault="00FF765F" w:rsidP="00FF765F">
      <w:pPr>
        <w:pStyle w:val="11"/>
        <w:jc w:val="right"/>
        <w:rPr>
          <w:sz w:val="18"/>
          <w:szCs w:val="18"/>
          <w:rtl/>
        </w:rPr>
      </w:pPr>
      <w:r>
        <w:rPr>
          <w:rFonts w:hint="cs"/>
          <w:sz w:val="18"/>
          <w:szCs w:val="18"/>
          <w:rtl/>
        </w:rPr>
        <w:t>ישיבת בית הלל בני ברק</w:t>
      </w:r>
    </w:p>
    <w:p w14:paraId="5389BD7A" w14:textId="77777777" w:rsidR="00013DCA" w:rsidRDefault="00013DCA" w:rsidP="00FF765F">
      <w:pPr>
        <w:bidi w:val="0"/>
        <w:spacing w:line="240" w:lineRule="auto"/>
        <w:ind w:left="0"/>
        <w:jc w:val="left"/>
        <w:rPr>
          <w:rFonts w:eastAsia="Guttman Hodes" w:cs="Guttman Hodes"/>
          <w:sz w:val="18"/>
          <w:szCs w:val="18"/>
        </w:rPr>
      </w:pPr>
      <w:r>
        <w:rPr>
          <w:rFonts w:eastAsia="Guttman Hodes" w:cs="Guttman Hodes"/>
          <w:sz w:val="18"/>
          <w:szCs w:val="18"/>
        </w:rPr>
        <w:br w:type="page"/>
      </w:r>
    </w:p>
    <w:p w14:paraId="6636DEB7" w14:textId="77777777" w:rsidR="00013DCA" w:rsidRDefault="00013DCA" w:rsidP="00013DCA">
      <w:pPr>
        <w:spacing w:line="240" w:lineRule="auto"/>
        <w:ind w:left="0"/>
        <w:jc w:val="center"/>
        <w:rPr>
          <w:rFonts w:ascii="Guttman Hodes" w:eastAsia="Guttman Hodes" w:hAnsi="Guttman Hodes" w:cs="Guttman Hodes"/>
          <w:b/>
          <w:bCs/>
          <w:rtl/>
        </w:rPr>
      </w:pPr>
    </w:p>
    <w:p w14:paraId="620AF3D0" w14:textId="77777777" w:rsidR="00013DCA" w:rsidRDefault="00013DCA" w:rsidP="00013DCA">
      <w:pPr>
        <w:spacing w:line="240" w:lineRule="auto"/>
        <w:ind w:left="0"/>
        <w:jc w:val="center"/>
        <w:rPr>
          <w:rFonts w:ascii="Guttman Hodes" w:eastAsia="Guttman Hodes" w:hAnsi="Guttman Hodes" w:cs="Guttman Hodes"/>
          <w:b/>
          <w:bCs/>
          <w:rtl/>
        </w:rPr>
      </w:pPr>
    </w:p>
    <w:p w14:paraId="59384A87" w14:textId="77777777" w:rsidR="00013DCA" w:rsidRDefault="00013DCA" w:rsidP="00013DCA">
      <w:pPr>
        <w:spacing w:line="240" w:lineRule="auto"/>
        <w:ind w:left="0"/>
        <w:jc w:val="center"/>
        <w:rPr>
          <w:rFonts w:ascii="Guttman Hodes" w:eastAsia="Guttman Hodes" w:hAnsi="Guttman Hodes" w:cs="Guttman Hodes"/>
          <w:b/>
          <w:bCs/>
          <w:rtl/>
        </w:rPr>
      </w:pPr>
    </w:p>
    <w:p w14:paraId="5F900052" w14:textId="77777777" w:rsidR="00013DCA" w:rsidRDefault="00013DCA" w:rsidP="00013DCA">
      <w:pPr>
        <w:spacing w:line="240" w:lineRule="auto"/>
        <w:ind w:left="0"/>
        <w:jc w:val="center"/>
        <w:rPr>
          <w:rFonts w:ascii="Guttman Hodes" w:eastAsia="Guttman Hodes" w:hAnsi="Guttman Hodes" w:cs="Guttman Hodes"/>
          <w:b/>
          <w:bCs/>
          <w:rtl/>
        </w:rPr>
      </w:pPr>
      <w:r>
        <w:rPr>
          <w:rFonts w:ascii="Guttman Hodes" w:eastAsia="Guttman Hodes" w:hAnsi="Guttman Hodes" w:cs="Guttman Hodes" w:hint="cs"/>
          <w:b/>
          <w:bCs/>
          <w:rtl/>
        </w:rPr>
        <w:t>מכתב ברכה ממורינו ראש הכולל הגאון רבי יעקב יוסף מן שליט"א</w:t>
      </w:r>
    </w:p>
    <w:p w14:paraId="32693D7B" w14:textId="77777777" w:rsidR="00013DCA" w:rsidRDefault="00013DCA" w:rsidP="00013DCA">
      <w:pPr>
        <w:spacing w:line="240" w:lineRule="auto"/>
        <w:ind w:left="0"/>
        <w:jc w:val="center"/>
        <w:rPr>
          <w:rFonts w:ascii="Guttman Hodes" w:eastAsia="Guttman Hodes" w:hAnsi="Guttman Hodes" w:cs="Guttman Hodes"/>
          <w:b/>
          <w:bCs/>
          <w:rtl/>
        </w:rPr>
      </w:pPr>
    </w:p>
    <w:p w14:paraId="0A685C8C" w14:textId="77777777" w:rsidR="00013DCA" w:rsidRDefault="00013DCA" w:rsidP="00013DCA">
      <w:pPr>
        <w:spacing w:line="240" w:lineRule="auto"/>
        <w:ind w:left="0"/>
        <w:jc w:val="center"/>
        <w:rPr>
          <w:rFonts w:ascii="Guttman Hodes" w:eastAsia="Guttman Hodes" w:hAnsi="Guttman Hodes" w:cs="Guttman Hodes"/>
          <w:b/>
          <w:bCs/>
          <w:rtl/>
        </w:rPr>
      </w:pPr>
    </w:p>
    <w:p w14:paraId="60B31790" w14:textId="77777777" w:rsidR="00013DCA" w:rsidRDefault="00013DCA" w:rsidP="00013DCA">
      <w:pPr>
        <w:spacing w:line="240" w:lineRule="auto"/>
        <w:ind w:left="0"/>
        <w:jc w:val="center"/>
        <w:rPr>
          <w:rFonts w:ascii="Guttman Hodes" w:eastAsia="Guttman Hodes" w:hAnsi="Guttman Hodes" w:cs="Guttman Hodes"/>
          <w:b/>
          <w:bCs/>
          <w:noProof/>
          <w:rtl/>
        </w:rPr>
      </w:pPr>
      <w:r w:rsidRPr="00743E0E">
        <w:rPr>
          <w:rFonts w:ascii="Guttman Hodes" w:eastAsia="Guttman Hodes" w:hAnsi="Guttman Hodes" w:cs="Guttman Hodes"/>
          <w:b/>
          <w:bCs/>
          <w:noProof/>
          <w:rtl/>
        </w:rPr>
        <w:drawing>
          <wp:inline distT="0" distB="0" distL="0" distR="0" wp14:anchorId="27C0803B" wp14:editId="1F04315A">
            <wp:extent cx="5598000" cy="7635600"/>
            <wp:effectExtent l="0" t="0" r="3175" b="3810"/>
            <wp:docPr id="30" name="תמונה 30"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14:paraId="519BCBB3" w14:textId="77777777" w:rsidR="00013DCA" w:rsidRDefault="00013DCA" w:rsidP="00013DCA">
      <w:pPr>
        <w:spacing w:line="240" w:lineRule="auto"/>
        <w:ind w:left="0"/>
        <w:jc w:val="center"/>
        <w:rPr>
          <w:rFonts w:ascii="Guttman Hodes" w:eastAsia="Guttman Hodes" w:hAnsi="Guttman Hodes" w:cs="Guttman Hodes"/>
          <w:b/>
          <w:bCs/>
          <w:rtl/>
        </w:rPr>
      </w:pPr>
    </w:p>
    <w:p w14:paraId="60E26A71" w14:textId="77777777" w:rsidR="00013DCA" w:rsidRDefault="00013DCA" w:rsidP="00013DCA">
      <w:pPr>
        <w:spacing w:line="240" w:lineRule="auto"/>
        <w:ind w:left="0"/>
        <w:jc w:val="center"/>
        <w:rPr>
          <w:rFonts w:ascii="Guttman Hodes" w:eastAsia="Guttman Hodes" w:hAnsi="Guttman Hodes" w:cs="Guttman Hodes"/>
          <w:b/>
          <w:bCs/>
          <w:rtl/>
        </w:rPr>
      </w:pPr>
    </w:p>
    <w:p w14:paraId="691A57C6" w14:textId="77777777" w:rsidR="00FF765F" w:rsidRPr="0062119D" w:rsidRDefault="00FF765F" w:rsidP="00FF765F">
      <w:pPr>
        <w:bidi w:val="0"/>
        <w:spacing w:line="240" w:lineRule="auto"/>
        <w:ind w:left="0"/>
        <w:jc w:val="left"/>
        <w:rPr>
          <w:rFonts w:eastAsia="Guttman Hodes" w:cs="Guttman Hodes"/>
          <w:sz w:val="18"/>
          <w:szCs w:val="18"/>
        </w:rPr>
        <w:sectPr w:rsidR="00FF765F" w:rsidRPr="0062119D">
          <w:headerReference w:type="default" r:id="rId12"/>
          <w:pgSz w:w="11906" w:h="16838"/>
          <w:pgMar w:top="720" w:right="720" w:bottom="720" w:left="720" w:header="283" w:footer="283" w:gutter="0"/>
          <w:pgNumType w:fmt="hebrew1"/>
          <w:cols w:space="720"/>
          <w:bidi/>
          <w:rtlGutter/>
        </w:sectPr>
      </w:pPr>
    </w:p>
    <w:p w14:paraId="32A64842" w14:textId="77777777" w:rsidR="00FF765F" w:rsidRDefault="00FF765F" w:rsidP="00FF765F">
      <w:pPr>
        <w:spacing w:line="240" w:lineRule="auto"/>
        <w:ind w:left="0"/>
        <w:jc w:val="center"/>
        <w:rPr>
          <w:rFonts w:ascii="Guttman Hodes" w:eastAsia="Guttman Hodes" w:hAnsi="Guttman Hodes" w:cs="Guttman Hodes"/>
          <w:b/>
          <w:bCs/>
        </w:rPr>
      </w:pPr>
    </w:p>
    <w:p w14:paraId="302ED316" w14:textId="77777777" w:rsidR="00CA5254" w:rsidRPr="0050146A" w:rsidRDefault="00CA5254" w:rsidP="00CA5254">
      <w:pPr>
        <w:spacing w:line="240" w:lineRule="auto"/>
        <w:ind w:left="0"/>
        <w:jc w:val="center"/>
        <w:rPr>
          <w:rFonts w:ascii="Guttman Hodes" w:eastAsia="Guttman Hodes" w:hAnsi="Guttman Hodes" w:cs="Guttman Hodes"/>
          <w:b/>
          <w:bCs/>
          <w:rtl/>
        </w:rPr>
      </w:pPr>
      <w:r w:rsidRPr="0050146A">
        <w:rPr>
          <w:rFonts w:ascii="Guttman Hodes" w:eastAsia="Guttman Hodes" w:hAnsi="Guttman Hodes" w:cs="Guttman Hodes" w:hint="cs"/>
          <w:b/>
          <w:bCs/>
          <w:rtl/>
        </w:rPr>
        <w:t>מכתב ברכה מהגאון רבי דוד מילר שליט"א מראשי ישיבת פוניבז'</w:t>
      </w:r>
    </w:p>
    <w:p w14:paraId="0F64B4EF" w14:textId="77777777" w:rsidR="00CA5254" w:rsidRPr="0050146A" w:rsidRDefault="00CA5254" w:rsidP="00CA5254">
      <w:pPr>
        <w:tabs>
          <w:tab w:val="left" w:pos="1163"/>
        </w:tabs>
        <w:spacing w:after="120" w:line="240" w:lineRule="auto"/>
        <w:ind w:left="284" w:right="284"/>
        <w:rPr>
          <w:rFonts w:ascii="David" w:eastAsia="Guttman Hodes" w:hAnsi="David" w:cs="David"/>
          <w:b/>
          <w:bCs/>
          <w:noProof/>
          <w:sz w:val="30"/>
          <w:szCs w:val="30"/>
          <w:rtl/>
        </w:rPr>
      </w:pPr>
    </w:p>
    <w:p w14:paraId="257DE24F" w14:textId="77777777" w:rsidR="00CA5254" w:rsidRPr="0050146A" w:rsidRDefault="00CA5254" w:rsidP="00CA5254">
      <w:pPr>
        <w:tabs>
          <w:tab w:val="left" w:pos="1163"/>
        </w:tabs>
        <w:spacing w:after="120" w:line="240" w:lineRule="auto"/>
        <w:ind w:left="284" w:right="284"/>
        <w:rPr>
          <w:rFonts w:ascii="David" w:eastAsia="Guttman Hodes" w:hAnsi="David" w:cs="David"/>
          <w:b/>
          <w:bCs/>
          <w:noProof/>
          <w:sz w:val="30"/>
          <w:szCs w:val="30"/>
          <w:rtl/>
        </w:rPr>
      </w:pPr>
      <w:r w:rsidRPr="0050146A">
        <w:rPr>
          <w:rFonts w:ascii="Guttman Hodes" w:eastAsia="Guttman Hodes" w:hAnsi="Guttman Hodes" w:cs="Guttman Hodes"/>
          <w:noProof/>
          <w:sz w:val="18"/>
          <w:szCs w:val="18"/>
        </w:rPr>
        <w:drawing>
          <wp:anchor distT="0" distB="0" distL="114300" distR="114300" simplePos="0" relativeHeight="251675648" behindDoc="1" locked="0" layoutInCell="1" allowOverlap="1" wp14:anchorId="7EE5FBF8" wp14:editId="580054B9">
            <wp:simplePos x="0" y="0"/>
            <wp:positionH relativeFrom="margin">
              <wp:posOffset>146649</wp:posOffset>
            </wp:positionH>
            <wp:positionV relativeFrom="page">
              <wp:posOffset>1449238</wp:posOffset>
            </wp:positionV>
            <wp:extent cx="6364605" cy="8039819"/>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5FADFD" w14:textId="77777777" w:rsidR="00CA5254" w:rsidRPr="0050146A" w:rsidRDefault="00CA5254" w:rsidP="00CA5254">
      <w:pPr>
        <w:tabs>
          <w:tab w:val="left" w:pos="1163"/>
        </w:tabs>
        <w:spacing w:after="120" w:line="240" w:lineRule="auto"/>
        <w:ind w:left="284" w:right="284"/>
        <w:rPr>
          <w:rFonts w:ascii="David" w:eastAsia="Guttman Hodes" w:hAnsi="David" w:cs="David"/>
          <w:b/>
          <w:bCs/>
          <w:noProof/>
          <w:sz w:val="30"/>
          <w:szCs w:val="30"/>
          <w:rtl/>
        </w:rPr>
      </w:pPr>
    </w:p>
    <w:p w14:paraId="16A2B315" w14:textId="77777777" w:rsidR="00CA5254" w:rsidRPr="0050146A" w:rsidRDefault="00CA5254" w:rsidP="00CA5254">
      <w:pPr>
        <w:tabs>
          <w:tab w:val="left" w:pos="1163"/>
        </w:tabs>
        <w:spacing w:after="120" w:line="240" w:lineRule="auto"/>
        <w:ind w:left="284" w:right="284"/>
        <w:rPr>
          <w:rFonts w:ascii="David" w:eastAsia="Guttman Hodes" w:hAnsi="David" w:cs="David"/>
          <w:b/>
          <w:bCs/>
          <w:noProof/>
          <w:sz w:val="30"/>
          <w:szCs w:val="30"/>
          <w:rtl/>
        </w:rPr>
      </w:pPr>
    </w:p>
    <w:p w14:paraId="7ABCDCE1" w14:textId="77777777" w:rsidR="00CA5254" w:rsidRPr="0050146A" w:rsidRDefault="00CA5254" w:rsidP="00CA5254">
      <w:pPr>
        <w:tabs>
          <w:tab w:val="left" w:pos="1163"/>
        </w:tabs>
        <w:spacing w:after="120" w:line="240" w:lineRule="auto"/>
        <w:ind w:left="284" w:right="284"/>
        <w:rPr>
          <w:rFonts w:ascii="David" w:eastAsia="Guttman Hodes" w:hAnsi="David" w:cs="David"/>
          <w:b/>
          <w:bCs/>
          <w:noProof/>
          <w:sz w:val="30"/>
          <w:szCs w:val="30"/>
          <w:rtl/>
        </w:rPr>
      </w:pPr>
    </w:p>
    <w:p w14:paraId="3A72A30B" w14:textId="77777777" w:rsidR="00CA5254" w:rsidRPr="0050146A" w:rsidRDefault="00CA5254" w:rsidP="00CA5254">
      <w:pPr>
        <w:tabs>
          <w:tab w:val="left" w:pos="1163"/>
        </w:tabs>
        <w:spacing w:after="120" w:line="240" w:lineRule="auto"/>
        <w:ind w:left="284" w:right="284"/>
        <w:rPr>
          <w:rFonts w:ascii="David" w:eastAsia="Guttman Hodes" w:hAnsi="David" w:cs="David"/>
          <w:b/>
          <w:bCs/>
          <w:noProof/>
          <w:sz w:val="30"/>
          <w:szCs w:val="30"/>
          <w:rtl/>
        </w:rPr>
      </w:pPr>
    </w:p>
    <w:p w14:paraId="5AE5A7D9" w14:textId="77777777" w:rsidR="00CA5254" w:rsidRPr="0050146A" w:rsidRDefault="00CA5254" w:rsidP="00CA5254">
      <w:pPr>
        <w:tabs>
          <w:tab w:val="left" w:pos="1163"/>
        </w:tabs>
        <w:spacing w:after="120" w:line="240" w:lineRule="auto"/>
        <w:ind w:left="284" w:right="284"/>
        <w:rPr>
          <w:rFonts w:ascii="David" w:eastAsia="Guttman Hodes" w:hAnsi="David" w:cs="David"/>
          <w:b/>
          <w:bCs/>
          <w:noProof/>
          <w:sz w:val="30"/>
          <w:szCs w:val="30"/>
          <w:rtl/>
        </w:rPr>
      </w:pPr>
    </w:p>
    <w:p w14:paraId="37651B48" w14:textId="77777777" w:rsidR="00CA5254" w:rsidRPr="0050146A" w:rsidRDefault="00CA5254" w:rsidP="00CA5254">
      <w:pPr>
        <w:tabs>
          <w:tab w:val="left" w:pos="1163"/>
        </w:tabs>
        <w:spacing w:after="120" w:line="240" w:lineRule="auto"/>
        <w:ind w:left="284" w:right="284"/>
        <w:rPr>
          <w:rFonts w:ascii="David" w:eastAsia="Guttman Hodes" w:hAnsi="David" w:cs="David"/>
          <w:b/>
          <w:bCs/>
          <w:noProof/>
          <w:sz w:val="31"/>
          <w:szCs w:val="31"/>
          <w:rtl/>
        </w:rPr>
      </w:pPr>
    </w:p>
    <w:p w14:paraId="3CD45EC4" w14:textId="77777777" w:rsidR="00CA5254" w:rsidRPr="0050146A" w:rsidRDefault="00CA5254" w:rsidP="00CA5254">
      <w:pPr>
        <w:tabs>
          <w:tab w:val="left" w:pos="1163"/>
        </w:tabs>
        <w:spacing w:after="120" w:line="240" w:lineRule="auto"/>
        <w:ind w:left="454" w:right="454"/>
        <w:rPr>
          <w:rFonts w:ascii="David" w:eastAsia="Guttman Hodes" w:hAnsi="David" w:cs="David"/>
          <w:b/>
          <w:bCs/>
          <w:noProof/>
          <w:sz w:val="31"/>
          <w:szCs w:val="31"/>
          <w:rtl/>
        </w:rPr>
      </w:pPr>
    </w:p>
    <w:p w14:paraId="3A44553A" w14:textId="77777777" w:rsidR="00CA5254" w:rsidRDefault="00CA5254" w:rsidP="00CA5254">
      <w:pPr>
        <w:tabs>
          <w:tab w:val="left" w:pos="1163"/>
        </w:tabs>
        <w:spacing w:after="120" w:line="240" w:lineRule="auto"/>
        <w:ind w:left="454" w:right="454"/>
        <w:rPr>
          <w:rFonts w:ascii="David" w:eastAsia="Guttman Hodes" w:hAnsi="David" w:cs="David"/>
          <w:b/>
          <w:bCs/>
          <w:noProof/>
          <w:sz w:val="36"/>
          <w:szCs w:val="36"/>
          <w:rtl/>
        </w:rPr>
      </w:pPr>
    </w:p>
    <w:p w14:paraId="6A866B9B" w14:textId="77777777" w:rsidR="00CA5254" w:rsidRPr="0050146A" w:rsidRDefault="00CA5254" w:rsidP="00CA5254">
      <w:pPr>
        <w:tabs>
          <w:tab w:val="left" w:pos="1163"/>
        </w:tabs>
        <w:spacing w:after="120" w:line="240" w:lineRule="auto"/>
        <w:ind w:left="454" w:right="454"/>
        <w:rPr>
          <w:rFonts w:ascii="David" w:eastAsia="Guttman Hodes" w:hAnsi="David" w:cs="David"/>
          <w:b/>
          <w:bCs/>
          <w:noProof/>
          <w:sz w:val="36"/>
          <w:szCs w:val="36"/>
        </w:rPr>
      </w:pPr>
      <w:r w:rsidRPr="0050146A">
        <w:rPr>
          <w:rFonts w:ascii="David" w:eastAsia="Guttman Hodes" w:hAnsi="David" w:cs="David"/>
          <w:b/>
          <w:bCs/>
          <w:noProof/>
          <w:sz w:val="36"/>
          <w:szCs w:val="36"/>
          <w:rtl/>
        </w:rPr>
        <w:t>לכב' הרב הגאון ר' שלמה הנדל שליט"א</w:t>
      </w:r>
    </w:p>
    <w:p w14:paraId="41DB1BD5" w14:textId="77777777" w:rsidR="00CA5254" w:rsidRPr="0050146A" w:rsidRDefault="00CA5254" w:rsidP="00CA5254">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שלום וברכה !</w:t>
      </w:r>
    </w:p>
    <w:p w14:paraId="0DC7A442" w14:textId="77777777" w:rsidR="00CA5254" w:rsidRPr="0050146A" w:rsidRDefault="00CA5254" w:rsidP="00CA5254">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 xml:space="preserve">הנני להודות לכת"ר על הקונטרס הנפלא "ליקוטי </w:t>
      </w:r>
      <w:r>
        <w:rPr>
          <w:rFonts w:ascii="David" w:eastAsia="Guttman Hodes" w:hAnsi="David" w:cs="David" w:hint="cs"/>
          <w:b/>
          <w:bCs/>
          <w:noProof/>
          <w:sz w:val="36"/>
          <w:szCs w:val="36"/>
          <w:rtl/>
        </w:rPr>
        <w:t>הרמב"ם</w:t>
      </w:r>
      <w:r w:rsidRPr="00A25FA5">
        <w:rPr>
          <w:rFonts w:ascii="David" w:eastAsia="Guttman Hodes" w:hAnsi="David" w:cs="David" w:hint="cs"/>
          <w:b/>
          <w:bCs/>
          <w:noProof/>
          <w:sz w:val="36"/>
          <w:szCs w:val="36"/>
          <w:vertAlign w:val="superscript"/>
          <w:rtl/>
        </w:rPr>
        <w:t>*</w:t>
      </w:r>
      <w:r w:rsidRPr="0050146A">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וסוגיא, בהבאת השיטות השונות ובביאורם, ובחישוב הנפ"מ שביניהם, והמו"מ בדבריהם, מתוך הסוגיא בבהירות נפלאה, ובלשון צחה וקצרה מועט המחזיק את המרובה</w:t>
      </w:r>
      <w:r w:rsidRPr="0050146A">
        <w:rPr>
          <w:rFonts w:ascii="David" w:eastAsia="Guttman Hodes" w:hAnsi="David" w:cs="David" w:hint="cs"/>
          <w:b/>
          <w:bCs/>
          <w:noProof/>
          <w:sz w:val="36"/>
          <w:szCs w:val="36"/>
          <w:rtl/>
        </w:rPr>
        <w:t>.</w:t>
      </w:r>
    </w:p>
    <w:p w14:paraId="3EF51E57" w14:textId="77777777" w:rsidR="00CA5254" w:rsidRPr="0050146A" w:rsidRDefault="00CA5254" w:rsidP="00CA5254">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כולו "חכמה" ואינה מלאכה</w:t>
      </w:r>
      <w:r w:rsidRPr="0050146A">
        <w:rPr>
          <w:rFonts w:ascii="David" w:eastAsia="Guttman Hodes" w:hAnsi="David" w:cs="David" w:hint="cs"/>
          <w:b/>
          <w:bCs/>
          <w:noProof/>
          <w:sz w:val="36"/>
          <w:szCs w:val="36"/>
          <w:rtl/>
        </w:rPr>
        <w:t>.</w:t>
      </w:r>
    </w:p>
    <w:p w14:paraId="5C99C971" w14:textId="77777777" w:rsidR="00CA5254" w:rsidRPr="0050146A" w:rsidRDefault="00CA5254" w:rsidP="00CA5254">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ישר כוחכם על כך.</w:t>
      </w:r>
    </w:p>
    <w:p w14:paraId="12D1EC17" w14:textId="77777777" w:rsidR="00CA5254" w:rsidRPr="0050146A" w:rsidRDefault="00CA5254" w:rsidP="00CA5254">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14:paraId="1A5AE162" w14:textId="77777777" w:rsidR="00CA5254" w:rsidRPr="0050146A" w:rsidRDefault="00CA5254" w:rsidP="00CA5254">
      <w:pPr>
        <w:spacing w:after="160" w:line="259" w:lineRule="auto"/>
        <w:ind w:left="0"/>
        <w:jc w:val="left"/>
        <w:rPr>
          <w:rFonts w:ascii="Calibri" w:eastAsia="Calibri" w:hAnsi="Calibri" w:cs="Arial"/>
        </w:rPr>
      </w:pPr>
    </w:p>
    <w:p w14:paraId="2B853AD4" w14:textId="77777777" w:rsidR="00CA5254" w:rsidRPr="0050146A" w:rsidRDefault="00CA5254" w:rsidP="00CA5254">
      <w:pPr>
        <w:spacing w:after="160" w:line="259" w:lineRule="auto"/>
        <w:ind w:left="0"/>
        <w:jc w:val="left"/>
        <w:rPr>
          <w:rFonts w:ascii="Calibri" w:eastAsia="Calibri" w:hAnsi="Calibri" w:cs="Arial"/>
          <w:b/>
          <w:bCs/>
          <w:rtl/>
        </w:rPr>
      </w:pPr>
    </w:p>
    <w:p w14:paraId="312EA2C5" w14:textId="77777777" w:rsidR="00CA5254" w:rsidRPr="0050146A" w:rsidRDefault="00CA5254" w:rsidP="00CA5254">
      <w:pPr>
        <w:spacing w:after="160" w:line="259" w:lineRule="auto"/>
        <w:ind w:left="0"/>
        <w:jc w:val="left"/>
        <w:rPr>
          <w:rFonts w:ascii="Calibri" w:eastAsia="Calibri" w:hAnsi="Calibri" w:cs="Arial"/>
          <w:b/>
          <w:bCs/>
          <w:rtl/>
        </w:rPr>
      </w:pPr>
    </w:p>
    <w:p w14:paraId="65272B8B" w14:textId="77777777" w:rsidR="00CA5254" w:rsidRPr="0050146A" w:rsidRDefault="00CA5254" w:rsidP="00CA5254">
      <w:pPr>
        <w:spacing w:after="160" w:line="259" w:lineRule="auto"/>
        <w:ind w:left="0"/>
        <w:jc w:val="left"/>
        <w:rPr>
          <w:rFonts w:ascii="Calibri" w:eastAsia="Calibri" w:hAnsi="Calibri" w:cs="Arial"/>
          <w:b/>
          <w:bCs/>
          <w:rtl/>
        </w:rPr>
      </w:pPr>
      <w:r w:rsidRPr="00A25FA5">
        <w:rPr>
          <w:rFonts w:ascii="David" w:eastAsia="Guttman Hodes" w:hAnsi="David" w:cs="David" w:hint="cs"/>
          <w:b/>
          <w:bCs/>
          <w:noProof/>
          <w:sz w:val="36"/>
          <w:szCs w:val="36"/>
          <w:vertAlign w:val="superscript"/>
          <w:rtl/>
        </w:rPr>
        <w:t>*</w:t>
      </w:r>
      <w:r>
        <w:rPr>
          <w:rFonts w:ascii="Calibri" w:eastAsia="Calibri" w:hAnsi="Calibri" w:cs="Arial" w:hint="cs"/>
          <w:b/>
          <w:bCs/>
          <w:rtl/>
        </w:rPr>
        <w:t xml:space="preserve"> </w:t>
      </w:r>
      <w:r w:rsidRPr="006345E2">
        <w:rPr>
          <w:rFonts w:ascii="David" w:eastAsia="Guttman Hodes" w:hAnsi="David" w:cs="David" w:hint="cs"/>
          <w:noProof/>
          <w:sz w:val="18"/>
          <w:szCs w:val="18"/>
          <w:rtl/>
        </w:rPr>
        <w:t xml:space="preserve">ספר </w:t>
      </w:r>
      <w:r>
        <w:rPr>
          <w:rFonts w:ascii="David" w:eastAsia="Guttman Hodes" w:hAnsi="David" w:cs="David" w:hint="cs"/>
          <w:noProof/>
          <w:sz w:val="18"/>
          <w:szCs w:val="18"/>
          <w:rtl/>
        </w:rPr>
        <w:t>"</w:t>
      </w:r>
      <w:r w:rsidRPr="006345E2">
        <w:rPr>
          <w:rFonts w:ascii="David" w:eastAsia="Guttman Hodes" w:hAnsi="David" w:cs="David" w:hint="cs"/>
          <w:noProof/>
          <w:sz w:val="18"/>
          <w:szCs w:val="18"/>
          <w:rtl/>
        </w:rPr>
        <w:t>משנתם סדורה</w:t>
      </w:r>
      <w:r>
        <w:rPr>
          <w:rFonts w:ascii="David" w:eastAsia="Guttman Hodes" w:hAnsi="David" w:cs="David" w:hint="cs"/>
          <w:noProof/>
          <w:sz w:val="18"/>
          <w:szCs w:val="18"/>
          <w:rtl/>
        </w:rPr>
        <w:t>"</w:t>
      </w:r>
      <w:r w:rsidRPr="006345E2">
        <w:rPr>
          <w:rFonts w:ascii="David" w:eastAsia="Guttman Hodes" w:hAnsi="David" w:cs="David" w:hint="cs"/>
          <w:noProof/>
          <w:sz w:val="18"/>
          <w:szCs w:val="18"/>
          <w:rtl/>
        </w:rPr>
        <w:t xml:space="preserve"> </w:t>
      </w:r>
      <w:r>
        <w:rPr>
          <w:rFonts w:ascii="David" w:eastAsia="Guttman Hodes" w:hAnsi="David" w:cs="David" w:hint="cs"/>
          <w:noProof/>
          <w:sz w:val="18"/>
          <w:szCs w:val="18"/>
          <w:rtl/>
        </w:rPr>
        <w:t>נד'</w:t>
      </w:r>
      <w:r w:rsidRPr="006345E2">
        <w:rPr>
          <w:rFonts w:ascii="David" w:eastAsia="Guttman Hodes" w:hAnsi="David" w:cs="David" w:hint="cs"/>
          <w:noProof/>
          <w:sz w:val="18"/>
          <w:szCs w:val="18"/>
          <w:rtl/>
        </w:rPr>
        <w:t xml:space="preserve"> בתחילה </w:t>
      </w:r>
      <w:r>
        <w:rPr>
          <w:rFonts w:ascii="David" w:eastAsia="Guttman Hodes" w:hAnsi="David" w:cs="David" w:hint="cs"/>
          <w:noProof/>
          <w:sz w:val="18"/>
          <w:szCs w:val="18"/>
          <w:rtl/>
        </w:rPr>
        <w:t xml:space="preserve">בקונט' </w:t>
      </w:r>
      <w:r w:rsidRPr="006345E2">
        <w:rPr>
          <w:rFonts w:ascii="David" w:eastAsia="Guttman Hodes" w:hAnsi="David" w:cs="David" w:hint="cs"/>
          <w:noProof/>
          <w:sz w:val="18"/>
          <w:szCs w:val="18"/>
          <w:rtl/>
        </w:rPr>
        <w:t>בשם זה.</w:t>
      </w:r>
    </w:p>
    <w:p w14:paraId="2ABE5461" w14:textId="77777777" w:rsidR="00CA5254" w:rsidRPr="0050146A" w:rsidRDefault="00CA5254" w:rsidP="00CA5254">
      <w:pPr>
        <w:spacing w:after="160" w:line="259" w:lineRule="auto"/>
        <w:ind w:left="0"/>
        <w:jc w:val="left"/>
        <w:rPr>
          <w:rFonts w:ascii="Calibri" w:eastAsia="Calibri" w:hAnsi="Calibri" w:cs="Arial"/>
          <w:b/>
          <w:bCs/>
          <w:rtl/>
        </w:rPr>
      </w:pPr>
    </w:p>
    <w:p w14:paraId="62B7E1C1" w14:textId="77777777" w:rsidR="00CA5254" w:rsidRPr="0050146A" w:rsidRDefault="00CA5254" w:rsidP="00CA5254">
      <w:pPr>
        <w:spacing w:after="160" w:line="259" w:lineRule="auto"/>
        <w:ind w:left="0"/>
        <w:jc w:val="left"/>
        <w:rPr>
          <w:rFonts w:ascii="Calibri" w:eastAsia="Calibri" w:hAnsi="Calibri" w:cs="Arial"/>
          <w:b/>
          <w:bCs/>
          <w:rtl/>
        </w:rPr>
      </w:pPr>
    </w:p>
    <w:p w14:paraId="435CA51F" w14:textId="77777777" w:rsidR="00CA5254" w:rsidRPr="0050146A" w:rsidRDefault="00CA5254" w:rsidP="00CA5254">
      <w:pPr>
        <w:spacing w:after="160" w:line="259" w:lineRule="auto"/>
        <w:ind w:left="0"/>
        <w:jc w:val="left"/>
        <w:rPr>
          <w:rFonts w:ascii="Calibri" w:eastAsia="Calibri" w:hAnsi="Calibri" w:cs="Arial"/>
          <w:b/>
          <w:bCs/>
          <w:rtl/>
        </w:rPr>
      </w:pPr>
    </w:p>
    <w:p w14:paraId="54376157" w14:textId="77777777" w:rsidR="00CA5254" w:rsidRPr="0050146A" w:rsidRDefault="00CA5254" w:rsidP="00CA5254">
      <w:pPr>
        <w:spacing w:after="160" w:line="259" w:lineRule="auto"/>
        <w:ind w:left="0"/>
        <w:jc w:val="left"/>
        <w:rPr>
          <w:rFonts w:ascii="Calibri" w:eastAsia="Calibri" w:hAnsi="Calibri" w:cs="Arial"/>
          <w:b/>
          <w:bCs/>
          <w:rtl/>
        </w:rPr>
      </w:pPr>
    </w:p>
    <w:p w14:paraId="6B9E2098" w14:textId="77777777" w:rsidR="00CA5254" w:rsidRPr="0050146A" w:rsidRDefault="00CA5254" w:rsidP="00CA5254">
      <w:pPr>
        <w:spacing w:after="160" w:line="259" w:lineRule="auto"/>
        <w:ind w:left="0"/>
        <w:jc w:val="left"/>
        <w:rPr>
          <w:rFonts w:ascii="Calibri" w:eastAsia="Calibri" w:hAnsi="Calibri" w:cs="Arial"/>
          <w:b/>
          <w:bCs/>
          <w:rtl/>
        </w:rPr>
      </w:pPr>
    </w:p>
    <w:p w14:paraId="2C5546D4" w14:textId="77777777" w:rsidR="00CA5254" w:rsidRPr="0050146A" w:rsidRDefault="00CA5254" w:rsidP="00CA5254">
      <w:pPr>
        <w:spacing w:after="160" w:line="259" w:lineRule="auto"/>
        <w:ind w:left="0"/>
        <w:jc w:val="left"/>
        <w:rPr>
          <w:rFonts w:ascii="Calibri" w:eastAsia="Calibri" w:hAnsi="Calibri" w:cs="Arial"/>
          <w:b/>
          <w:bCs/>
          <w:rtl/>
        </w:rPr>
      </w:pPr>
    </w:p>
    <w:p w14:paraId="5E8B0429" w14:textId="77777777" w:rsidR="00CA5254" w:rsidRPr="0050146A" w:rsidRDefault="00CA5254" w:rsidP="00CA5254">
      <w:pPr>
        <w:spacing w:after="160" w:line="480" w:lineRule="auto"/>
        <w:ind w:left="0" w:right="1418"/>
        <w:jc w:val="left"/>
        <w:rPr>
          <w:rFonts w:ascii="David" w:eastAsia="Calibri" w:hAnsi="David" w:cs="David"/>
          <w:b/>
          <w:bCs/>
          <w:sz w:val="36"/>
          <w:szCs w:val="36"/>
          <w:rtl/>
        </w:rPr>
      </w:pPr>
    </w:p>
    <w:p w14:paraId="162B8E3C" w14:textId="77777777" w:rsidR="00CA5254" w:rsidRPr="0050146A" w:rsidRDefault="00CA5254" w:rsidP="00CA5254">
      <w:pPr>
        <w:spacing w:line="240" w:lineRule="auto"/>
        <w:ind w:left="0"/>
        <w:jc w:val="center"/>
        <w:rPr>
          <w:rFonts w:ascii="Guttman Hodes" w:eastAsia="Guttman Hodes" w:hAnsi="Guttman Hodes" w:cs="Guttman Hodes"/>
          <w:sz w:val="20"/>
          <w:szCs w:val="20"/>
          <w:rtl/>
        </w:rPr>
      </w:pPr>
      <w:r w:rsidRPr="0050146A">
        <w:rPr>
          <w:rFonts w:ascii="Guttman Hodes" w:eastAsia="Guttman Hodes" w:hAnsi="Guttman Hodes" w:cs="Guttman Hodes" w:hint="cs"/>
          <w:sz w:val="20"/>
          <w:szCs w:val="20"/>
          <w:rtl/>
        </w:rPr>
        <w:t>מכתב זה ניתן לספר "משנתם סדורה" על פרק איזהו נשך</w:t>
      </w:r>
      <w:r>
        <w:rPr>
          <w:rFonts w:ascii="Guttman Hodes" w:eastAsia="Guttman Hodes" w:hAnsi="Guttman Hodes" w:cs="Guttman Hodes" w:hint="cs"/>
          <w:sz w:val="20"/>
          <w:szCs w:val="20"/>
          <w:rtl/>
        </w:rPr>
        <w:t xml:space="preserve"> ונדפס כאן ברשות ראש הישיבה שליט"א</w:t>
      </w:r>
    </w:p>
    <w:p w14:paraId="1FFC5882" w14:textId="77777777" w:rsidR="00FF765F" w:rsidRDefault="00FF765F" w:rsidP="00FF765F">
      <w:pPr>
        <w:spacing w:line="240" w:lineRule="auto"/>
        <w:ind w:left="0"/>
        <w:jc w:val="center"/>
        <w:rPr>
          <w:rFonts w:ascii="Guttman Hodes" w:eastAsia="Guttman Hodes" w:hAnsi="Guttman Hodes" w:cs="Guttman Hodes"/>
          <w:b/>
          <w:bCs/>
          <w:rtl/>
        </w:rPr>
      </w:pPr>
    </w:p>
    <w:p w14:paraId="2EDC3C5C" w14:textId="77777777" w:rsidR="00FF765F" w:rsidRDefault="00FF765F" w:rsidP="00FF765F">
      <w:pPr>
        <w:spacing w:line="240" w:lineRule="auto"/>
        <w:ind w:left="0"/>
        <w:jc w:val="center"/>
        <w:rPr>
          <w:rFonts w:ascii="Guttman Hodes" w:eastAsia="Guttman Hodes" w:hAnsi="Guttman Hodes" w:cs="Guttman Hodes"/>
          <w:b/>
          <w:bCs/>
          <w:rtl/>
        </w:rPr>
      </w:pPr>
    </w:p>
    <w:p w14:paraId="520453B0" w14:textId="77777777" w:rsidR="00FF765F" w:rsidRDefault="00FF765F" w:rsidP="00FF765F">
      <w:pPr>
        <w:spacing w:line="240" w:lineRule="auto"/>
        <w:ind w:left="0"/>
        <w:jc w:val="center"/>
        <w:rPr>
          <w:rFonts w:ascii="Guttman Hodes" w:eastAsia="Guttman Hodes" w:hAnsi="Guttman Hodes" w:cs="Guttman Hodes"/>
          <w:b/>
          <w:bCs/>
          <w:rtl/>
        </w:rPr>
      </w:pPr>
      <w:r>
        <w:rPr>
          <w:rFonts w:ascii="Guttman Hodes" w:eastAsia="Guttman Hodes" w:hAnsi="Guttman Hodes" w:cs="Guttman Hodes" w:hint="cs"/>
          <w:b/>
          <w:bCs/>
          <w:rtl/>
        </w:rPr>
        <w:t xml:space="preserve">מכתב ברכה </w:t>
      </w:r>
      <w:r w:rsidR="002A096E">
        <w:rPr>
          <w:rFonts w:ascii="Guttman Hodes" w:eastAsia="Guttman Hodes" w:hAnsi="Guttman Hodes" w:cs="Guttman Hodes" w:hint="cs"/>
          <w:b/>
          <w:bCs/>
          <w:rtl/>
        </w:rPr>
        <w:t xml:space="preserve">מהגאון רבי </w:t>
      </w:r>
      <w:r>
        <w:rPr>
          <w:rFonts w:ascii="Guttman Hodes" w:eastAsia="Guttman Hodes" w:hAnsi="Guttman Hodes" w:cs="Guttman Hodes" w:hint="cs"/>
          <w:b/>
          <w:bCs/>
          <w:rtl/>
        </w:rPr>
        <w:t>איתמר גרבוז שליט"א ראש ישיבת אורחות תורה</w:t>
      </w:r>
    </w:p>
    <w:p w14:paraId="0B0B5E9B" w14:textId="77777777" w:rsidR="00FF765F" w:rsidRDefault="00FF765F" w:rsidP="00FF765F">
      <w:pPr>
        <w:spacing w:after="160" w:line="480" w:lineRule="auto"/>
        <w:ind w:left="0" w:right="1418"/>
        <w:jc w:val="left"/>
        <w:rPr>
          <w:rFonts w:ascii="David" w:eastAsia="Calibri" w:hAnsi="David" w:cs="David"/>
          <w:b/>
          <w:bCs/>
          <w:sz w:val="36"/>
          <w:szCs w:val="36"/>
          <w:rtl/>
        </w:rPr>
      </w:pPr>
      <w:r>
        <w:rPr>
          <w:rFonts w:hint="cs"/>
          <w:noProof/>
          <w:rtl/>
        </w:rPr>
        <w:drawing>
          <wp:anchor distT="0" distB="0" distL="114300" distR="114300" simplePos="0" relativeHeight="251659264" behindDoc="1" locked="0" layoutInCell="1" allowOverlap="1" wp14:anchorId="1FBF3252" wp14:editId="04FA49F6">
            <wp:simplePos x="0" y="0"/>
            <wp:positionH relativeFrom="margin">
              <wp:align>left</wp:align>
            </wp:positionH>
            <wp:positionV relativeFrom="page">
              <wp:posOffset>1414021</wp:posOffset>
            </wp:positionV>
            <wp:extent cx="6536690" cy="8436989"/>
            <wp:effectExtent l="0" t="0" r="0" b="254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Pr>
          <w:rFonts w:ascii="David" w:eastAsia="Calibri" w:hAnsi="David" w:cs="David"/>
          <w:b/>
          <w:bCs/>
          <w:sz w:val="36"/>
          <w:szCs w:val="36"/>
          <w:rtl/>
        </w:rPr>
        <w:t xml:space="preserve">  </w:t>
      </w:r>
    </w:p>
    <w:p w14:paraId="4E3927B7" w14:textId="77777777" w:rsidR="00FF765F" w:rsidRDefault="00FF765F" w:rsidP="00FF765F">
      <w:pPr>
        <w:spacing w:after="160" w:line="480" w:lineRule="auto"/>
        <w:ind w:left="0" w:right="1418"/>
        <w:jc w:val="left"/>
        <w:rPr>
          <w:rFonts w:ascii="David" w:eastAsia="Calibri" w:hAnsi="David" w:cs="David"/>
          <w:b/>
          <w:bCs/>
          <w:sz w:val="36"/>
          <w:szCs w:val="36"/>
          <w:rtl/>
        </w:rPr>
      </w:pPr>
    </w:p>
    <w:p w14:paraId="01B5754B" w14:textId="77777777" w:rsidR="00FF765F" w:rsidRDefault="00FF765F" w:rsidP="00FF765F">
      <w:pPr>
        <w:spacing w:after="160" w:line="480" w:lineRule="auto"/>
        <w:ind w:left="0" w:right="1418"/>
        <w:jc w:val="left"/>
        <w:rPr>
          <w:rFonts w:ascii="David" w:eastAsia="Calibri" w:hAnsi="David" w:cs="David"/>
          <w:b/>
          <w:bCs/>
          <w:sz w:val="36"/>
          <w:szCs w:val="36"/>
          <w:rtl/>
        </w:rPr>
      </w:pPr>
    </w:p>
    <w:p w14:paraId="2961819C" w14:textId="77777777" w:rsidR="00FF765F" w:rsidRDefault="00FF765F" w:rsidP="00FF765F">
      <w:pPr>
        <w:spacing w:after="160" w:line="480" w:lineRule="auto"/>
        <w:ind w:left="0" w:right="1418"/>
        <w:jc w:val="left"/>
        <w:rPr>
          <w:rFonts w:ascii="David" w:eastAsia="Calibri" w:hAnsi="David" w:cs="David"/>
          <w:b/>
          <w:bCs/>
          <w:sz w:val="16"/>
          <w:szCs w:val="16"/>
          <w:rtl/>
        </w:rPr>
      </w:pPr>
    </w:p>
    <w:p w14:paraId="1CB5FC77" w14:textId="77777777" w:rsidR="00FF765F" w:rsidRDefault="00FF765F" w:rsidP="00FF765F">
      <w:pPr>
        <w:spacing w:after="160" w:line="480" w:lineRule="auto"/>
        <w:ind w:left="340" w:right="1418"/>
        <w:jc w:val="left"/>
        <w:rPr>
          <w:rFonts w:ascii="David" w:eastAsia="Calibri" w:hAnsi="David" w:cs="David"/>
          <w:b/>
          <w:bCs/>
          <w:sz w:val="36"/>
          <w:szCs w:val="36"/>
          <w:rtl/>
        </w:rPr>
      </w:pPr>
    </w:p>
    <w:p w14:paraId="0CA333F4" w14:textId="77777777" w:rsidR="00FF765F" w:rsidRDefault="00FF765F" w:rsidP="00FF765F">
      <w:pPr>
        <w:spacing w:after="160" w:line="480" w:lineRule="auto"/>
        <w:ind w:left="340" w:right="1418"/>
        <w:jc w:val="left"/>
        <w:rPr>
          <w:rFonts w:ascii="David" w:eastAsia="Calibri" w:hAnsi="David" w:cs="David"/>
          <w:b/>
          <w:bCs/>
          <w:sz w:val="36"/>
          <w:szCs w:val="36"/>
          <w:rtl/>
        </w:rPr>
      </w:pPr>
      <w:r>
        <w:rPr>
          <w:rFonts w:ascii="David" w:eastAsia="Calibri" w:hAnsi="David" w:cs="David"/>
          <w:b/>
          <w:bCs/>
          <w:sz w:val="36"/>
          <w:szCs w:val="36"/>
          <w:rtl/>
        </w:rPr>
        <w:t>הנני בזה להוקיר את הרה"ג הנעלה והמצויין</w:t>
      </w:r>
    </w:p>
    <w:p w14:paraId="6C0CDF7F" w14:textId="77777777" w:rsidR="00FF765F" w:rsidRDefault="00FF765F" w:rsidP="00FF765F">
      <w:pPr>
        <w:spacing w:after="160" w:line="480" w:lineRule="auto"/>
        <w:ind w:left="340" w:right="1418"/>
        <w:jc w:val="left"/>
        <w:rPr>
          <w:rFonts w:ascii="David" w:eastAsia="Calibri" w:hAnsi="David" w:cs="David"/>
          <w:b/>
          <w:bCs/>
          <w:sz w:val="36"/>
          <w:szCs w:val="36"/>
          <w:rtl/>
        </w:rPr>
      </w:pPr>
      <w:r>
        <w:rPr>
          <w:rFonts w:ascii="David" w:eastAsia="Calibri" w:hAnsi="David" w:cs="David"/>
          <w:b/>
          <w:bCs/>
          <w:sz w:val="36"/>
          <w:szCs w:val="36"/>
          <w:rtl/>
        </w:rPr>
        <w:t>רבי שלמה הנדל שליט"א מטובי האברכים</w:t>
      </w:r>
    </w:p>
    <w:p w14:paraId="44E6EC65" w14:textId="77777777" w:rsidR="00FF765F" w:rsidRDefault="00FF765F" w:rsidP="00FF765F">
      <w:pPr>
        <w:spacing w:after="160" w:line="480" w:lineRule="auto"/>
        <w:ind w:left="340" w:right="1418"/>
        <w:jc w:val="left"/>
        <w:rPr>
          <w:rFonts w:ascii="David" w:eastAsia="Calibri" w:hAnsi="David" w:cs="David"/>
          <w:b/>
          <w:bCs/>
          <w:sz w:val="36"/>
          <w:szCs w:val="36"/>
          <w:rtl/>
        </w:rPr>
      </w:pPr>
      <w:r>
        <w:rPr>
          <w:rFonts w:ascii="David" w:eastAsia="Calibri" w:hAnsi="David" w:cs="David"/>
          <w:b/>
          <w:bCs/>
          <w:sz w:val="36"/>
          <w:szCs w:val="36"/>
          <w:rtl/>
        </w:rPr>
        <w:t>בישיבת בית הלל, אשר עורך ומסדר בטוטו"ד</w:t>
      </w:r>
    </w:p>
    <w:p w14:paraId="6A07AFD6" w14:textId="77777777" w:rsidR="00FF765F" w:rsidRDefault="00FF765F" w:rsidP="00FF765F">
      <w:pPr>
        <w:spacing w:after="160" w:line="480" w:lineRule="auto"/>
        <w:ind w:left="340" w:right="1418"/>
        <w:jc w:val="left"/>
        <w:rPr>
          <w:rFonts w:ascii="David" w:eastAsia="Calibri" w:hAnsi="David" w:cs="David"/>
          <w:b/>
          <w:bCs/>
          <w:sz w:val="36"/>
          <w:szCs w:val="36"/>
          <w:rtl/>
        </w:rPr>
      </w:pPr>
      <w:r>
        <w:rPr>
          <w:rFonts w:ascii="David" w:eastAsia="Calibri" w:hAnsi="David" w:cs="David"/>
          <w:b/>
          <w:bCs/>
          <w:sz w:val="36"/>
          <w:szCs w:val="36"/>
          <w:rtl/>
        </w:rPr>
        <w:t>יסודות הסוגיות החמורות דפרק איזהו נשך,</w:t>
      </w:r>
    </w:p>
    <w:p w14:paraId="43F19A14" w14:textId="77777777" w:rsidR="00FF765F" w:rsidRDefault="00FF765F" w:rsidP="00FF765F">
      <w:pPr>
        <w:spacing w:after="160" w:line="480" w:lineRule="auto"/>
        <w:ind w:left="340" w:right="1418"/>
        <w:jc w:val="left"/>
        <w:rPr>
          <w:rFonts w:ascii="David" w:eastAsia="Calibri" w:hAnsi="David" w:cs="David"/>
          <w:b/>
          <w:bCs/>
          <w:sz w:val="36"/>
          <w:szCs w:val="36"/>
          <w:rtl/>
        </w:rPr>
      </w:pPr>
      <w:r>
        <w:rPr>
          <w:rFonts w:ascii="David" w:eastAsia="Calibri" w:hAnsi="David" w:cs="David"/>
          <w:b/>
          <w:bCs/>
          <w:sz w:val="36"/>
          <w:szCs w:val="36"/>
          <w:rtl/>
        </w:rPr>
        <w:t>מדברי רבותינו ראשי הישיבות,</w:t>
      </w:r>
    </w:p>
    <w:p w14:paraId="26B0DC57" w14:textId="77777777" w:rsidR="00FF765F" w:rsidRDefault="00FF765F" w:rsidP="00FF765F">
      <w:pPr>
        <w:spacing w:after="160" w:line="480" w:lineRule="auto"/>
        <w:ind w:left="340" w:right="1418"/>
        <w:jc w:val="left"/>
        <w:rPr>
          <w:rFonts w:ascii="David" w:eastAsia="Calibri" w:hAnsi="David" w:cs="David"/>
          <w:b/>
          <w:bCs/>
          <w:sz w:val="36"/>
          <w:szCs w:val="36"/>
          <w:rtl/>
        </w:rPr>
      </w:pPr>
      <w:r>
        <w:rPr>
          <w:rFonts w:ascii="David" w:eastAsia="Calibri" w:hAnsi="David" w:cs="David"/>
          <w:b/>
          <w:bCs/>
          <w:sz w:val="36"/>
          <w:szCs w:val="36"/>
          <w:rtl/>
        </w:rPr>
        <w:t>וגם מאריך לבאר שיטת הרמב"ם בכל סוגיא וסוגיא,</w:t>
      </w:r>
    </w:p>
    <w:p w14:paraId="6A01BEBC" w14:textId="77777777" w:rsidR="00FF765F" w:rsidRDefault="00FF765F" w:rsidP="00FF765F">
      <w:pPr>
        <w:spacing w:after="160" w:line="480" w:lineRule="auto"/>
        <w:ind w:left="340" w:right="1418"/>
        <w:jc w:val="left"/>
        <w:rPr>
          <w:rFonts w:ascii="David" w:eastAsia="Calibri" w:hAnsi="David" w:cs="David"/>
          <w:b/>
          <w:bCs/>
          <w:sz w:val="36"/>
          <w:szCs w:val="36"/>
          <w:rtl/>
        </w:rPr>
      </w:pPr>
      <w:r>
        <w:rPr>
          <w:rFonts w:ascii="David" w:eastAsia="Calibri" w:hAnsi="David" w:cs="David"/>
          <w:b/>
          <w:bCs/>
          <w:sz w:val="36"/>
          <w:szCs w:val="36"/>
          <w:rtl/>
        </w:rPr>
        <w:t>בדברים מאירים ומשמחים,</w:t>
      </w:r>
    </w:p>
    <w:p w14:paraId="5FFF16ED" w14:textId="77777777" w:rsidR="00FF765F" w:rsidRDefault="00FF765F" w:rsidP="00FF765F">
      <w:pPr>
        <w:spacing w:after="160" w:line="480" w:lineRule="auto"/>
        <w:ind w:left="340" w:right="1418"/>
        <w:jc w:val="left"/>
        <w:rPr>
          <w:rFonts w:ascii="David" w:eastAsia="Calibri" w:hAnsi="David" w:cs="David"/>
          <w:b/>
          <w:bCs/>
          <w:sz w:val="36"/>
          <w:szCs w:val="36"/>
          <w:rtl/>
        </w:rPr>
      </w:pPr>
      <w:r>
        <w:rPr>
          <w:rFonts w:ascii="David" w:eastAsia="Calibri" w:hAnsi="David" w:cs="David"/>
          <w:b/>
          <w:bCs/>
          <w:sz w:val="36"/>
          <w:szCs w:val="36"/>
          <w:rtl/>
        </w:rPr>
        <w:t>ורבים נהנו מזה והיה לתועלת.</w:t>
      </w:r>
    </w:p>
    <w:p w14:paraId="581F59C3" w14:textId="77777777" w:rsidR="00FF765F" w:rsidRDefault="00FF765F" w:rsidP="00FF765F">
      <w:pPr>
        <w:spacing w:line="240" w:lineRule="auto"/>
        <w:ind w:left="0"/>
        <w:jc w:val="center"/>
        <w:rPr>
          <w:rFonts w:ascii="Guttman Hodes" w:eastAsia="Guttman Hodes" w:hAnsi="Guttman Hodes" w:cs="Guttman Hodes"/>
          <w:sz w:val="20"/>
          <w:szCs w:val="20"/>
          <w:rtl/>
        </w:rPr>
      </w:pPr>
    </w:p>
    <w:p w14:paraId="45C37B9C" w14:textId="77777777" w:rsidR="00FF765F" w:rsidRDefault="00FF765F" w:rsidP="00FF765F">
      <w:pPr>
        <w:spacing w:line="240" w:lineRule="auto"/>
        <w:ind w:left="0"/>
        <w:jc w:val="center"/>
        <w:rPr>
          <w:rFonts w:ascii="Guttman Hodes" w:eastAsia="Guttman Hodes" w:hAnsi="Guttman Hodes" w:cs="Guttman Hodes"/>
          <w:sz w:val="20"/>
          <w:szCs w:val="20"/>
          <w:rtl/>
        </w:rPr>
      </w:pPr>
    </w:p>
    <w:p w14:paraId="7769ED7B" w14:textId="77777777" w:rsidR="00FF765F" w:rsidRDefault="00FF765F" w:rsidP="00FF765F">
      <w:pPr>
        <w:spacing w:line="240" w:lineRule="auto"/>
        <w:ind w:left="0"/>
        <w:jc w:val="center"/>
        <w:rPr>
          <w:rFonts w:ascii="Guttman Hodes" w:eastAsia="Guttman Hodes" w:hAnsi="Guttman Hodes" w:cs="Guttman Hodes"/>
          <w:sz w:val="20"/>
          <w:szCs w:val="20"/>
          <w:rtl/>
        </w:rPr>
      </w:pPr>
    </w:p>
    <w:p w14:paraId="35C87169" w14:textId="77777777" w:rsidR="00FF765F" w:rsidRDefault="00FF765F" w:rsidP="00FF765F">
      <w:pPr>
        <w:spacing w:line="240" w:lineRule="auto"/>
        <w:ind w:left="0"/>
        <w:jc w:val="center"/>
        <w:rPr>
          <w:rFonts w:ascii="Guttman Hodes" w:eastAsia="Guttman Hodes" w:hAnsi="Guttman Hodes" w:cs="Guttman Hodes"/>
          <w:sz w:val="20"/>
          <w:szCs w:val="20"/>
          <w:rtl/>
        </w:rPr>
      </w:pPr>
    </w:p>
    <w:p w14:paraId="65B38802" w14:textId="77777777" w:rsidR="00FF765F" w:rsidRDefault="00FF765F" w:rsidP="00FF765F">
      <w:pPr>
        <w:spacing w:line="240" w:lineRule="auto"/>
        <w:ind w:left="0"/>
        <w:jc w:val="center"/>
        <w:rPr>
          <w:rFonts w:ascii="Guttman Hodes" w:eastAsia="Guttman Hodes" w:hAnsi="Guttman Hodes" w:cs="Guttman Hodes"/>
          <w:sz w:val="20"/>
          <w:szCs w:val="20"/>
          <w:rtl/>
        </w:rPr>
      </w:pPr>
    </w:p>
    <w:p w14:paraId="33759DC7" w14:textId="77777777" w:rsidR="00FF765F" w:rsidRDefault="00FF765F" w:rsidP="00FF765F">
      <w:pPr>
        <w:spacing w:line="240" w:lineRule="auto"/>
        <w:ind w:left="0"/>
        <w:jc w:val="center"/>
        <w:rPr>
          <w:rFonts w:ascii="Guttman Hodes" w:eastAsia="Guttman Hodes" w:hAnsi="Guttman Hodes" w:cs="Guttman Hodes"/>
          <w:sz w:val="20"/>
          <w:szCs w:val="20"/>
          <w:rtl/>
        </w:rPr>
      </w:pPr>
    </w:p>
    <w:p w14:paraId="4232A818" w14:textId="77777777" w:rsidR="00FF765F" w:rsidRDefault="00FF765F" w:rsidP="00FF765F">
      <w:pPr>
        <w:spacing w:line="240" w:lineRule="auto"/>
        <w:ind w:left="0"/>
        <w:jc w:val="center"/>
        <w:rPr>
          <w:rFonts w:ascii="Guttman Hodes" w:eastAsia="Guttman Hodes" w:hAnsi="Guttman Hodes" w:cs="Guttman Hodes"/>
          <w:sz w:val="20"/>
          <w:szCs w:val="20"/>
          <w:rtl/>
        </w:rPr>
      </w:pPr>
    </w:p>
    <w:p w14:paraId="2C678187" w14:textId="77777777" w:rsidR="00B5464B" w:rsidRDefault="00B5464B" w:rsidP="00FF765F">
      <w:pPr>
        <w:spacing w:line="240" w:lineRule="auto"/>
        <w:ind w:left="0"/>
        <w:jc w:val="center"/>
        <w:rPr>
          <w:rFonts w:ascii="Guttman Hodes" w:eastAsia="Guttman Hodes" w:hAnsi="Guttman Hodes" w:cs="Guttman Hodes"/>
          <w:sz w:val="20"/>
          <w:szCs w:val="20"/>
          <w:rtl/>
        </w:rPr>
      </w:pPr>
    </w:p>
    <w:p w14:paraId="19E0E599" w14:textId="77777777" w:rsidR="00B5464B" w:rsidRDefault="00B5464B" w:rsidP="00FF765F">
      <w:pPr>
        <w:spacing w:line="240" w:lineRule="auto"/>
        <w:ind w:left="0"/>
        <w:jc w:val="center"/>
        <w:rPr>
          <w:rFonts w:ascii="Guttman Hodes" w:eastAsia="Guttman Hodes" w:hAnsi="Guttman Hodes" w:cs="Guttman Hodes"/>
          <w:sz w:val="20"/>
          <w:szCs w:val="20"/>
          <w:rtl/>
        </w:rPr>
      </w:pPr>
    </w:p>
    <w:p w14:paraId="63D4D1FB" w14:textId="77777777" w:rsidR="00FF765F" w:rsidRDefault="00FF765F" w:rsidP="00FF765F">
      <w:pPr>
        <w:spacing w:line="240" w:lineRule="auto"/>
        <w:ind w:left="0"/>
        <w:jc w:val="center"/>
        <w:rPr>
          <w:rFonts w:ascii="Guttman Hodes" w:eastAsia="Guttman Hodes" w:hAnsi="Guttman Hodes" w:cs="Guttman Hodes"/>
          <w:sz w:val="20"/>
          <w:szCs w:val="20"/>
          <w:rtl/>
        </w:rPr>
      </w:pPr>
    </w:p>
    <w:p w14:paraId="76887B3F" w14:textId="77777777" w:rsidR="00FF765F" w:rsidRDefault="00FF765F" w:rsidP="00FF765F">
      <w:pPr>
        <w:spacing w:line="240" w:lineRule="auto"/>
        <w:ind w:left="0"/>
        <w:jc w:val="center"/>
        <w:rPr>
          <w:rFonts w:ascii="Guttman Hodes" w:eastAsia="Guttman Hodes" w:hAnsi="Guttman Hodes" w:cs="Guttman Hodes"/>
          <w:sz w:val="20"/>
          <w:szCs w:val="20"/>
          <w:rtl/>
        </w:rPr>
      </w:pPr>
    </w:p>
    <w:p w14:paraId="6CED23C2" w14:textId="77777777" w:rsidR="00461BCA" w:rsidRPr="0050146A" w:rsidRDefault="00461BCA" w:rsidP="00461BCA">
      <w:pPr>
        <w:spacing w:line="240" w:lineRule="auto"/>
        <w:ind w:left="0"/>
        <w:jc w:val="center"/>
        <w:rPr>
          <w:rFonts w:ascii="Guttman Hodes" w:eastAsia="Guttman Hodes" w:hAnsi="Guttman Hodes" w:cs="Guttman Hodes"/>
          <w:sz w:val="20"/>
          <w:szCs w:val="20"/>
          <w:rtl/>
        </w:rPr>
      </w:pPr>
      <w:r w:rsidRPr="0050146A">
        <w:rPr>
          <w:rFonts w:ascii="Guttman Hodes" w:eastAsia="Guttman Hodes" w:hAnsi="Guttman Hodes" w:cs="Guttman Hodes" w:hint="cs"/>
          <w:sz w:val="20"/>
          <w:szCs w:val="20"/>
          <w:rtl/>
        </w:rPr>
        <w:t>מכתב זה ניתן לספר "משנתם סדורה" על פרק איזהו נשך</w:t>
      </w:r>
      <w:r>
        <w:rPr>
          <w:rFonts w:ascii="Guttman Hodes" w:eastAsia="Guttman Hodes" w:hAnsi="Guttman Hodes" w:cs="Guttman Hodes" w:hint="cs"/>
          <w:sz w:val="20"/>
          <w:szCs w:val="20"/>
          <w:rtl/>
        </w:rPr>
        <w:t xml:space="preserve"> ונדפס כאן ברשות ראש הישיבה שליט"א</w:t>
      </w:r>
    </w:p>
    <w:p w14:paraId="6081BDB0" w14:textId="77777777" w:rsidR="004D5390" w:rsidRPr="0050146A" w:rsidRDefault="004D5390" w:rsidP="004D5390">
      <w:pPr>
        <w:ind w:left="0"/>
        <w:jc w:val="right"/>
        <w:rPr>
          <w:rtl/>
        </w:rPr>
        <w:sectPr w:rsidR="004D5390" w:rsidRPr="0050146A" w:rsidSect="00852065">
          <w:headerReference w:type="default" r:id="rId15"/>
          <w:pgSz w:w="11906" w:h="16838"/>
          <w:pgMar w:top="720" w:right="720" w:bottom="720" w:left="720" w:header="283" w:footer="283" w:gutter="0"/>
          <w:pgNumType w:fmt="hebrew1"/>
          <w:cols w:space="567"/>
          <w:bidi/>
          <w:rtlGutter/>
          <w:docGrid w:linePitch="299"/>
        </w:sectPr>
      </w:pPr>
    </w:p>
    <w:p w14:paraId="6C56FEA6" w14:textId="77777777" w:rsidR="004D5390" w:rsidRPr="0050146A" w:rsidRDefault="004D5390" w:rsidP="004D5390">
      <w:pPr>
        <w:rPr>
          <w:rtl/>
        </w:rPr>
      </w:pPr>
      <w:r w:rsidRPr="0050146A">
        <w:rPr>
          <w:noProof/>
          <w:rtl/>
        </w:rPr>
        <mc:AlternateContent>
          <mc:Choice Requires="wps">
            <w:drawing>
              <wp:anchor distT="45720" distB="45720" distL="114300" distR="114300" simplePos="0" relativeHeight="251677696" behindDoc="0" locked="0" layoutInCell="1" allowOverlap="1" wp14:anchorId="10F41180" wp14:editId="7E5018A3">
                <wp:simplePos x="0" y="0"/>
                <wp:positionH relativeFrom="margin">
                  <wp:align>right</wp:align>
                </wp:positionH>
                <wp:positionV relativeFrom="paragraph">
                  <wp:posOffset>283210</wp:posOffset>
                </wp:positionV>
                <wp:extent cx="6331585" cy="4599940"/>
                <wp:effectExtent l="19050" t="19050" r="12065" b="1016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31585" cy="4599940"/>
                        </a:xfrm>
                        <a:prstGeom prst="roundRect">
                          <a:avLst/>
                        </a:prstGeom>
                        <a:solidFill>
                          <a:srgbClr val="FFFFFF"/>
                        </a:solidFill>
                        <a:ln w="28575" cap="rnd" cmpd="thickThin">
                          <a:solidFill>
                            <a:schemeClr val="tx1"/>
                          </a:solidFill>
                          <a:prstDash val="solid"/>
                          <a:round/>
                          <a:headEnd/>
                          <a:tailEnd/>
                        </a:ln>
                      </wps:spPr>
                      <wps:txbx>
                        <w:txbxContent>
                          <w:p w14:paraId="57B4E15C" w14:textId="77777777" w:rsidR="00345400" w:rsidRPr="00E94D6C" w:rsidRDefault="00345400" w:rsidP="004D5390">
                            <w:pPr>
                              <w:ind w:left="0"/>
                              <w:jc w:val="center"/>
                              <w:rPr>
                                <w:rFonts w:cs="Guttman Hodes"/>
                                <w:sz w:val="24"/>
                                <w:szCs w:val="24"/>
                                <w:rtl/>
                              </w:rPr>
                            </w:pPr>
                            <w:r w:rsidRPr="00E94D6C">
                              <w:rPr>
                                <w:rFonts w:cs="Guttman Hodes" w:hint="cs"/>
                                <w:sz w:val="24"/>
                                <w:szCs w:val="24"/>
                                <w:rtl/>
                              </w:rPr>
                              <w:t>לע"נ</w:t>
                            </w:r>
                          </w:p>
                          <w:p w14:paraId="51365F96" w14:textId="77777777" w:rsidR="00345400" w:rsidRPr="00807603" w:rsidRDefault="00345400" w:rsidP="004D5390">
                            <w:pPr>
                              <w:ind w:left="0"/>
                              <w:jc w:val="center"/>
                              <w:rPr>
                                <w:rFonts w:cs="Guttman Hodes"/>
                                <w:b/>
                                <w:bCs/>
                                <w:sz w:val="44"/>
                                <w:szCs w:val="44"/>
                                <w:rtl/>
                              </w:rPr>
                            </w:pPr>
                            <w:r w:rsidRPr="00807603">
                              <w:rPr>
                                <w:rFonts w:cs="Guttman Hodes" w:hint="cs"/>
                                <w:b/>
                                <w:bCs/>
                                <w:sz w:val="44"/>
                                <w:szCs w:val="44"/>
                                <w:rtl/>
                              </w:rPr>
                              <w:t xml:space="preserve"> אמי מורתי</w:t>
                            </w:r>
                          </w:p>
                          <w:p w14:paraId="2DFDDD2D" w14:textId="77777777" w:rsidR="00345400" w:rsidRDefault="00345400" w:rsidP="004D5390">
                            <w:pPr>
                              <w:ind w:left="0"/>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7F1ADF76" w14:textId="77777777" w:rsidR="00345400" w:rsidRPr="009A3AD9" w:rsidRDefault="00345400" w:rsidP="004D5390">
                            <w:pPr>
                              <w:ind w:left="0"/>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44FBA315" w14:textId="77777777" w:rsidR="00345400" w:rsidRPr="005723BD" w:rsidRDefault="00345400" w:rsidP="004D5390">
                            <w:pPr>
                              <w:ind w:left="0"/>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04AC4828" w14:textId="77777777" w:rsidR="00345400" w:rsidRPr="003F2095" w:rsidRDefault="00345400" w:rsidP="004D5390">
                            <w:pPr>
                              <w:ind w:left="0"/>
                              <w:jc w:val="center"/>
                              <w:rPr>
                                <w:rFonts w:cs="Guttman Hodes"/>
                                <w:sz w:val="10"/>
                                <w:szCs w:val="10"/>
                                <w:rtl/>
                                <w:cs/>
                              </w:rPr>
                            </w:pPr>
                          </w:p>
                          <w:p w14:paraId="6058CCBE" w14:textId="77777777" w:rsidR="00345400" w:rsidRPr="005723BD" w:rsidRDefault="00345400" w:rsidP="004D5390">
                            <w:pPr>
                              <w:ind w:left="0"/>
                              <w:jc w:val="center"/>
                              <w:rPr>
                                <w:rFonts w:cs="Guttman Hodes"/>
                                <w:rtl/>
                                <w:cs/>
                              </w:rPr>
                            </w:pPr>
                            <w:r w:rsidRPr="005723BD">
                              <w:rPr>
                                <w:rFonts w:cs="Guttman Hodes" w:hint="cs"/>
                                <w:rtl/>
                                <w:cs/>
                              </w:rPr>
                              <w:t>אהבת התורה שפיעמה בקרבה, ושמחתה השלימה בגומרה של תורה,</w:t>
                            </w:r>
                          </w:p>
                          <w:p w14:paraId="49B3874A" w14:textId="77777777" w:rsidR="00345400" w:rsidRPr="005723BD" w:rsidRDefault="00345400" w:rsidP="004D5390">
                            <w:pPr>
                              <w:ind w:left="0"/>
                              <w:jc w:val="center"/>
                              <w:rPr>
                                <w:rFonts w:cs="Guttman Hodes"/>
                                <w:rtl/>
                                <w:cs/>
                              </w:rPr>
                            </w:pPr>
                            <w:r w:rsidRPr="005723BD">
                              <w:rPr>
                                <w:rFonts w:cs="Guttman Hodes" w:hint="cs"/>
                                <w:rtl/>
                                <w:cs/>
                              </w:rPr>
                              <w:t>הם שנתנו לי את הכוח למלאכה גדולה זו.</w:t>
                            </w:r>
                          </w:p>
                          <w:p w14:paraId="0759FBCD" w14:textId="77777777" w:rsidR="00345400" w:rsidRPr="003F2095" w:rsidRDefault="00345400" w:rsidP="004D5390">
                            <w:pPr>
                              <w:ind w:left="0"/>
                              <w:jc w:val="center"/>
                              <w:rPr>
                                <w:rFonts w:cs="Guttman Hodes"/>
                                <w:sz w:val="10"/>
                                <w:szCs w:val="10"/>
                                <w:rtl/>
                                <w:cs/>
                              </w:rPr>
                            </w:pPr>
                          </w:p>
                          <w:p w14:paraId="221D99C0" w14:textId="77777777" w:rsidR="00345400" w:rsidRDefault="00345400" w:rsidP="004D5390">
                            <w:pPr>
                              <w:ind w:left="0"/>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64A03004" w14:textId="77777777" w:rsidR="00345400" w:rsidRDefault="00345400" w:rsidP="004D5390">
                            <w:pPr>
                              <w:ind w:left="0"/>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705EFE6A" w14:textId="77777777" w:rsidR="00345400" w:rsidRDefault="00345400" w:rsidP="004D5390">
                            <w:pPr>
                              <w:ind w:left="0"/>
                              <w:jc w:val="center"/>
                              <w:rPr>
                                <w:rFonts w:cs="Guttman Hodes"/>
                                <w:rtl/>
                                <w:cs/>
                              </w:rPr>
                            </w:pPr>
                            <w:r>
                              <w:rPr>
                                <w:rFonts w:cs="Guttman Hodes" w:hint="cs"/>
                                <w:rtl/>
                                <w:cs/>
                              </w:rPr>
                              <w:t>ת.נ.צ.ב.ה.</w:t>
                            </w:r>
                            <w:r w:rsidRPr="005723BD">
                              <w:rPr>
                                <w:rFonts w:cs="Guttman Hodes" w:hint="cs"/>
                                <w:rtl/>
                                <w:cs/>
                              </w:rPr>
                              <w:t xml:space="preserve"> </w:t>
                            </w:r>
                          </w:p>
                          <w:p w14:paraId="0753171B" w14:textId="77777777" w:rsidR="00345400" w:rsidRDefault="00345400" w:rsidP="004D5390">
                            <w:pPr>
                              <w:jc w:val="center"/>
                              <w:rPr>
                                <w:rFonts w:cs="Guttman Hodes"/>
                                <w:rtl/>
                                <w:cs/>
                              </w:rPr>
                            </w:pPr>
                          </w:p>
                          <w:p w14:paraId="19AA1E2F" w14:textId="77777777" w:rsidR="00345400" w:rsidRDefault="00345400" w:rsidP="004D5390">
                            <w:pPr>
                              <w:jc w:val="center"/>
                              <w:rPr>
                                <w:rFonts w:cs="Guttman Hodes"/>
                                <w:rtl/>
                                <w:cs/>
                              </w:rPr>
                            </w:pPr>
                          </w:p>
                          <w:p w14:paraId="2E54AD78" w14:textId="77777777" w:rsidR="00345400" w:rsidRPr="005723BD" w:rsidRDefault="00345400" w:rsidP="004D5390">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A268A9D" id="תיבת טקסט 2" o:spid="_x0000_s1027" style="position:absolute;left:0;text-align:left;margin-left:447.35pt;margin-top:22.3pt;width:498.55pt;height:362.2pt;flip:x;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" strokecolor="black [3213]" strokeweight="2.25pt">
                <v:stroke linestyle="thickThin" endcap="round"/>
                <v:textbox>
                  <w:txbxContent>
                    <w:p w:rsidR="00345400" w:rsidRPr="00E94D6C" w:rsidRDefault="00345400" w:rsidP="004D5390">
                      <w:pPr>
                        <w:ind w:left="0"/>
                        <w:jc w:val="center"/>
                        <w:rPr>
                          <w:rFonts w:cs="Guttman Hodes"/>
                          <w:sz w:val="24"/>
                          <w:szCs w:val="24"/>
                          <w:rtl/>
                        </w:rPr>
                      </w:pPr>
                      <w:r w:rsidRPr="00E94D6C">
                        <w:rPr>
                          <w:rFonts w:cs="Guttman Hodes" w:hint="cs"/>
                          <w:sz w:val="24"/>
                          <w:szCs w:val="24"/>
                          <w:rtl/>
                        </w:rPr>
                        <w:t>לע"נ</w:t>
                      </w:r>
                    </w:p>
                    <w:p w:rsidR="00345400" w:rsidRPr="00807603" w:rsidRDefault="00345400" w:rsidP="004D5390">
                      <w:pPr>
                        <w:ind w:left="0"/>
                        <w:jc w:val="center"/>
                        <w:rPr>
                          <w:rFonts w:cs="Guttman Hodes"/>
                          <w:b/>
                          <w:bCs/>
                          <w:sz w:val="44"/>
                          <w:szCs w:val="44"/>
                          <w:rtl/>
                        </w:rPr>
                      </w:pPr>
                      <w:r w:rsidRPr="00807603">
                        <w:rPr>
                          <w:rFonts w:cs="Guttman Hodes" w:hint="cs"/>
                          <w:b/>
                          <w:bCs/>
                          <w:sz w:val="44"/>
                          <w:szCs w:val="44"/>
                          <w:rtl/>
                        </w:rPr>
                        <w:t xml:space="preserve"> אמי מורתי</w:t>
                      </w:r>
                    </w:p>
                    <w:p w:rsidR="00345400" w:rsidRDefault="00345400" w:rsidP="004D5390">
                      <w:pPr>
                        <w:ind w:left="0"/>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rsidR="00345400" w:rsidRPr="009A3AD9" w:rsidRDefault="00345400" w:rsidP="004D5390">
                      <w:pPr>
                        <w:ind w:left="0"/>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rsidR="00345400" w:rsidRPr="005723BD" w:rsidRDefault="00345400" w:rsidP="004D5390">
                      <w:pPr>
                        <w:ind w:left="0"/>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rsidR="00345400" w:rsidRPr="003F2095" w:rsidRDefault="00345400" w:rsidP="004D5390">
                      <w:pPr>
                        <w:ind w:left="0"/>
                        <w:jc w:val="center"/>
                        <w:rPr>
                          <w:rFonts w:cs="Guttman Hodes"/>
                          <w:sz w:val="10"/>
                          <w:szCs w:val="10"/>
                          <w:rtl/>
                          <w:cs/>
                        </w:rPr>
                      </w:pPr>
                    </w:p>
                    <w:p w:rsidR="00345400" w:rsidRPr="005723BD" w:rsidRDefault="00345400" w:rsidP="004D5390">
                      <w:pPr>
                        <w:ind w:left="0"/>
                        <w:jc w:val="center"/>
                        <w:rPr>
                          <w:rFonts w:cs="Guttman Hodes"/>
                          <w:rtl/>
                          <w:cs/>
                        </w:rPr>
                      </w:pPr>
                      <w:r w:rsidRPr="005723BD">
                        <w:rPr>
                          <w:rFonts w:cs="Guttman Hodes" w:hint="cs"/>
                          <w:rtl/>
                          <w:cs/>
                        </w:rPr>
                        <w:t>אהבת התורה שפיעמה בקרבה, ושמחתה השלימה בגומרה של תורה,</w:t>
                      </w:r>
                    </w:p>
                    <w:p w:rsidR="00345400" w:rsidRPr="005723BD" w:rsidRDefault="00345400" w:rsidP="004D5390">
                      <w:pPr>
                        <w:ind w:left="0"/>
                        <w:jc w:val="center"/>
                        <w:rPr>
                          <w:rFonts w:cs="Guttman Hodes"/>
                          <w:rtl/>
                          <w:cs/>
                        </w:rPr>
                      </w:pPr>
                      <w:r w:rsidRPr="005723BD">
                        <w:rPr>
                          <w:rFonts w:cs="Guttman Hodes" w:hint="cs"/>
                          <w:rtl/>
                          <w:cs/>
                        </w:rPr>
                        <w:t>הם שנתנו לי את הכוח למלאכה גדולה זו.</w:t>
                      </w:r>
                    </w:p>
                    <w:p w:rsidR="00345400" w:rsidRPr="003F2095" w:rsidRDefault="00345400" w:rsidP="004D5390">
                      <w:pPr>
                        <w:ind w:left="0"/>
                        <w:jc w:val="center"/>
                        <w:rPr>
                          <w:rFonts w:cs="Guttman Hodes"/>
                          <w:sz w:val="10"/>
                          <w:szCs w:val="10"/>
                          <w:rtl/>
                          <w:cs/>
                        </w:rPr>
                      </w:pPr>
                    </w:p>
                    <w:p w:rsidR="00345400" w:rsidRDefault="00345400" w:rsidP="004D5390">
                      <w:pPr>
                        <w:ind w:left="0"/>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rsidR="00345400" w:rsidRDefault="00345400" w:rsidP="004D5390">
                      <w:pPr>
                        <w:ind w:left="0"/>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rsidR="00345400" w:rsidRDefault="00345400" w:rsidP="004D5390">
                      <w:pPr>
                        <w:ind w:left="0"/>
                        <w:jc w:val="center"/>
                        <w:rPr>
                          <w:rFonts w:cs="Guttman Hodes"/>
                          <w:rtl/>
                          <w:cs/>
                        </w:rPr>
                      </w:pPr>
                      <w:r>
                        <w:rPr>
                          <w:rFonts w:cs="Guttman Hodes" w:hint="cs"/>
                          <w:rtl/>
                          <w:cs/>
                        </w:rPr>
                        <w:t>ת.נ.צ.ב.ה.</w:t>
                      </w:r>
                      <w:r w:rsidRPr="005723BD">
                        <w:rPr>
                          <w:rFonts w:cs="Guttman Hodes" w:hint="cs"/>
                          <w:rtl/>
                          <w:cs/>
                        </w:rPr>
                        <w:t xml:space="preserve"> </w:t>
                      </w:r>
                    </w:p>
                    <w:p w:rsidR="00345400" w:rsidRDefault="00345400" w:rsidP="004D5390">
                      <w:pPr>
                        <w:jc w:val="center"/>
                        <w:rPr>
                          <w:rFonts w:cs="Guttman Hodes"/>
                          <w:rtl/>
                          <w:cs/>
                        </w:rPr>
                      </w:pPr>
                    </w:p>
                    <w:p w:rsidR="00345400" w:rsidRDefault="00345400" w:rsidP="004D5390">
                      <w:pPr>
                        <w:jc w:val="center"/>
                        <w:rPr>
                          <w:rFonts w:cs="Guttman Hodes"/>
                          <w:rtl/>
                          <w:cs/>
                        </w:rPr>
                      </w:pPr>
                    </w:p>
                    <w:p w:rsidR="00345400" w:rsidRPr="005723BD" w:rsidRDefault="00345400" w:rsidP="004D5390">
                      <w:pPr>
                        <w:jc w:val="center"/>
                        <w:rPr>
                          <w:rFonts w:cs="Guttman Hodes"/>
                          <w:rtl/>
                          <w:cs/>
                        </w:rPr>
                      </w:pPr>
                    </w:p>
                  </w:txbxContent>
                </v:textbox>
                <w10:wrap type="square" anchorx="margin"/>
              </v:roundrect>
            </w:pict>
          </mc:Fallback>
        </mc:AlternateContent>
      </w:r>
    </w:p>
    <w:p w14:paraId="60740DDB" w14:textId="77777777" w:rsidR="004D5390" w:rsidRDefault="004D5390" w:rsidP="004D5390">
      <w:pPr>
        <w:tabs>
          <w:tab w:val="center" w:pos="4153"/>
          <w:tab w:val="right" w:pos="8306"/>
        </w:tabs>
        <w:spacing w:line="240" w:lineRule="auto"/>
        <w:ind w:left="0"/>
        <w:jc w:val="center"/>
        <w:rPr>
          <w:rFonts w:ascii="Calibri" w:eastAsia="Calibri" w:hAnsi="Calibri" w:cs="Guttman Hodes"/>
          <w:b/>
          <w:bCs/>
          <w:sz w:val="36"/>
          <w:szCs w:val="36"/>
          <w:rtl/>
        </w:rPr>
        <w:sectPr w:rsidR="004D5390" w:rsidSect="00852065">
          <w:headerReference w:type="default" r:id="rId16"/>
          <w:pgSz w:w="11906" w:h="16838"/>
          <w:pgMar w:top="720" w:right="720" w:bottom="720" w:left="720" w:header="283" w:footer="283" w:gutter="0"/>
          <w:pgNumType w:fmt="hebrew1"/>
          <w:cols w:space="567"/>
          <w:bidi/>
          <w:rtlGutter/>
          <w:docGrid w:linePitch="299"/>
        </w:sectPr>
      </w:pPr>
    </w:p>
    <w:bookmarkStart w:id="3" w:name="_Toc19388840"/>
    <w:bookmarkStart w:id="4" w:name="_Toc19392337"/>
    <w:p w14:paraId="5F446598" w14:textId="77777777" w:rsidR="00B020A4" w:rsidRDefault="00B020A4" w:rsidP="00B020A4">
      <w:pPr>
        <w:spacing w:line="240" w:lineRule="auto"/>
        <w:ind w:left="0"/>
        <w:jc w:val="center"/>
        <w:rPr>
          <w:rFonts w:ascii="Calibri" w:eastAsia="Calibri" w:hAnsi="Calibri" w:cs="Guttman Hodes"/>
          <w:rtl/>
        </w:rPr>
      </w:pPr>
      <w:r w:rsidRPr="00553801">
        <w:rPr>
          <w:rFonts w:ascii="Calibri" w:eastAsia="Calibri" w:hAnsi="Calibri" w:cs="Guttman Hodes"/>
          <w:b/>
          <w:bCs/>
          <w:noProof/>
          <w:sz w:val="28"/>
          <w:szCs w:val="28"/>
          <w:rtl/>
        </w:rPr>
        <mc:AlternateContent>
          <mc:Choice Requires="wps">
            <w:drawing>
              <wp:anchor distT="45720" distB="45720" distL="114300" distR="114300" simplePos="0" relativeHeight="251680768" behindDoc="1" locked="0" layoutInCell="1" allowOverlap="1" wp14:anchorId="61CE2DCF" wp14:editId="3DC03D22">
                <wp:simplePos x="0" y="0"/>
                <wp:positionH relativeFrom="column">
                  <wp:posOffset>361949</wp:posOffset>
                </wp:positionH>
                <wp:positionV relativeFrom="paragraph">
                  <wp:posOffset>19050</wp:posOffset>
                </wp:positionV>
                <wp:extent cx="4589145" cy="2000250"/>
                <wp:effectExtent l="19050" t="19050" r="20955" b="19050"/>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14:paraId="7CB41191" w14:textId="77777777" w:rsidR="00345400" w:rsidRDefault="00345400" w:rsidP="00B020A4">
                            <w:pPr>
                              <w:jc w:val="center"/>
                              <w:rPr>
                                <w:rFonts w:cs="Guttman Hodes"/>
                                <w:rtl/>
                                <w:cs/>
                              </w:rPr>
                            </w:pPr>
                          </w:p>
                          <w:p w14:paraId="2312E27D" w14:textId="77777777" w:rsidR="00345400" w:rsidRDefault="00345400" w:rsidP="00B020A4">
                            <w:pPr>
                              <w:jc w:val="center"/>
                              <w:rPr>
                                <w:rFonts w:cs="Guttman Hodes"/>
                                <w:rtl/>
                                <w:cs/>
                              </w:rPr>
                            </w:pPr>
                          </w:p>
                          <w:p w14:paraId="26878956" w14:textId="77777777" w:rsidR="00345400" w:rsidRDefault="00345400" w:rsidP="00B020A4">
                            <w:pPr>
                              <w:jc w:val="center"/>
                              <w:rPr>
                                <w:rFonts w:cs="Guttman Hodes"/>
                                <w:rtl/>
                                <w:cs/>
                              </w:rPr>
                            </w:pPr>
                          </w:p>
                          <w:p w14:paraId="38AC7D5D" w14:textId="77777777" w:rsidR="00345400" w:rsidRPr="005723BD" w:rsidRDefault="00345400" w:rsidP="00B020A4">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098DCA9" id="_x0000_s1028" style="position:absolute;left:0;text-align:left;margin-left:28.5pt;margin-top:1.5pt;width:361.35pt;height:157.5pt;flip:x;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" strokecolor="windowText" strokeweight="2.25pt">
                <v:stroke endcap="round"/>
                <v:textbox>
                  <w:txbxContent>
                    <w:p w:rsidR="00345400" w:rsidRDefault="00345400" w:rsidP="00B020A4">
                      <w:pPr>
                        <w:jc w:val="center"/>
                        <w:rPr>
                          <w:rFonts w:cs="Guttman Hodes"/>
                          <w:rtl/>
                          <w:cs/>
                        </w:rPr>
                      </w:pPr>
                    </w:p>
                    <w:p w:rsidR="00345400" w:rsidRDefault="00345400" w:rsidP="00B020A4">
                      <w:pPr>
                        <w:jc w:val="center"/>
                        <w:rPr>
                          <w:rFonts w:cs="Guttman Hodes"/>
                          <w:rtl/>
                          <w:cs/>
                        </w:rPr>
                      </w:pPr>
                    </w:p>
                    <w:p w:rsidR="00345400" w:rsidRDefault="00345400" w:rsidP="00B020A4">
                      <w:pPr>
                        <w:jc w:val="center"/>
                        <w:rPr>
                          <w:rFonts w:cs="Guttman Hodes"/>
                          <w:rtl/>
                          <w:cs/>
                        </w:rPr>
                      </w:pPr>
                    </w:p>
                    <w:p w:rsidR="00345400" w:rsidRPr="005723BD" w:rsidRDefault="00345400" w:rsidP="00B020A4">
                      <w:pPr>
                        <w:jc w:val="center"/>
                        <w:rPr>
                          <w:rFonts w:cs="Guttman Hodes"/>
                          <w:rtl/>
                          <w:cs/>
                        </w:rPr>
                      </w:pPr>
                    </w:p>
                  </w:txbxContent>
                </v:textbox>
              </v:roundrect>
            </w:pict>
          </mc:Fallback>
        </mc:AlternateContent>
      </w:r>
    </w:p>
    <w:p w14:paraId="5DFA6CA8" w14:textId="77777777" w:rsidR="00B020A4" w:rsidRPr="00553801" w:rsidRDefault="00B020A4" w:rsidP="00B020A4">
      <w:pPr>
        <w:spacing w:line="240" w:lineRule="auto"/>
        <w:ind w:left="0"/>
        <w:jc w:val="center"/>
        <w:rPr>
          <w:rFonts w:ascii="Calibri" w:eastAsia="Calibri" w:hAnsi="Calibri" w:cs="Guttman Hodes"/>
          <w:b/>
          <w:bCs/>
          <w:sz w:val="28"/>
          <w:szCs w:val="28"/>
          <w:rtl/>
        </w:rPr>
      </w:pPr>
      <w:r w:rsidRPr="00553801">
        <w:rPr>
          <w:rFonts w:ascii="Calibri" w:eastAsia="Calibri" w:hAnsi="Calibri" w:cs="Guttman Hodes" w:hint="cs"/>
          <w:b/>
          <w:bCs/>
          <w:sz w:val="28"/>
          <w:szCs w:val="28"/>
          <w:rtl/>
        </w:rPr>
        <w:t>לזכר עולם יהיה צדיק</w:t>
      </w:r>
    </w:p>
    <w:p w14:paraId="6B274D35" w14:textId="77777777" w:rsidR="00B020A4" w:rsidRPr="00553801" w:rsidRDefault="00B020A4" w:rsidP="00B020A4">
      <w:pPr>
        <w:spacing w:line="240" w:lineRule="auto"/>
        <w:ind w:left="0"/>
        <w:jc w:val="center"/>
        <w:rPr>
          <w:rFonts w:ascii="Calibri" w:eastAsia="Calibri" w:hAnsi="Calibri" w:cs="Guttman Hodes"/>
          <w:rtl/>
        </w:rPr>
      </w:pPr>
      <w:r w:rsidRPr="00553801">
        <w:rPr>
          <w:rFonts w:ascii="Calibri" w:eastAsia="Calibri" w:hAnsi="Calibri" w:cs="Guttman Hodes" w:hint="cs"/>
          <w:rtl/>
        </w:rPr>
        <w:t>לע"נ מוח"ז הגה"ק</w:t>
      </w:r>
    </w:p>
    <w:p w14:paraId="5DC9E4D6" w14:textId="77777777" w:rsidR="00B020A4" w:rsidRPr="00553801" w:rsidRDefault="00B020A4" w:rsidP="00B020A4">
      <w:pPr>
        <w:spacing w:line="240" w:lineRule="auto"/>
        <w:ind w:left="0"/>
        <w:jc w:val="center"/>
        <w:rPr>
          <w:rFonts w:ascii="Calibri" w:eastAsia="Calibri" w:hAnsi="Calibri" w:cs="Guttman Hodes"/>
          <w:rtl/>
        </w:rPr>
      </w:pPr>
      <w:r w:rsidRPr="00553801">
        <w:rPr>
          <w:rFonts w:ascii="Calibri" w:eastAsia="Calibri" w:hAnsi="Calibri" w:cs="Guttman Hodes" w:hint="cs"/>
          <w:rtl/>
        </w:rPr>
        <w:t xml:space="preserve">רבי </w:t>
      </w:r>
      <w:r w:rsidRPr="00553801">
        <w:rPr>
          <w:rFonts w:ascii="Calibri" w:eastAsia="Calibri" w:hAnsi="Calibri" w:cs="Guttman Hodes" w:hint="cs"/>
          <w:b/>
          <w:bCs/>
          <w:sz w:val="28"/>
          <w:szCs w:val="28"/>
          <w:rtl/>
        </w:rPr>
        <w:t xml:space="preserve">חיים משה </w:t>
      </w:r>
      <w:r w:rsidRPr="00553801">
        <w:rPr>
          <w:rFonts w:ascii="Calibri" w:eastAsia="Calibri" w:hAnsi="Calibri" w:cs="Guttman Hodes" w:hint="cs"/>
          <w:rtl/>
        </w:rPr>
        <w:t xml:space="preserve">ב"ר מאיר יוסף </w:t>
      </w:r>
      <w:r w:rsidRPr="00553801">
        <w:rPr>
          <w:rFonts w:ascii="Calibri" w:eastAsia="Calibri" w:hAnsi="Calibri" w:cs="Guttman Hodes" w:hint="cs"/>
          <w:b/>
          <w:bCs/>
          <w:sz w:val="28"/>
          <w:szCs w:val="28"/>
          <w:rtl/>
        </w:rPr>
        <w:t>מנדל</w:t>
      </w:r>
      <w:r w:rsidRPr="00553801">
        <w:rPr>
          <w:rFonts w:ascii="Calibri" w:eastAsia="Calibri" w:hAnsi="Calibri" w:cs="Guttman Hodes" w:hint="cs"/>
          <w:rtl/>
        </w:rPr>
        <w:t xml:space="preserve"> זצוקלל"ה</w:t>
      </w:r>
    </w:p>
    <w:p w14:paraId="255CC5E1" w14:textId="77777777" w:rsidR="00B020A4" w:rsidRPr="00553801" w:rsidRDefault="00B020A4" w:rsidP="00B020A4">
      <w:pPr>
        <w:spacing w:line="240" w:lineRule="auto"/>
        <w:ind w:left="0"/>
        <w:jc w:val="center"/>
        <w:rPr>
          <w:rFonts w:ascii="Calibri" w:eastAsia="Calibri" w:hAnsi="Calibri" w:cs="Guttman Hodes"/>
          <w:rtl/>
        </w:rPr>
      </w:pPr>
      <w:r w:rsidRPr="00553801">
        <w:rPr>
          <w:rFonts w:ascii="Calibri" w:eastAsia="Calibri" w:hAnsi="Calibri" w:cs="Guttman Hodes" w:hint="cs"/>
          <w:rtl/>
        </w:rPr>
        <w:t>נלב"ע ד' תמוז</w:t>
      </w:r>
    </w:p>
    <w:p w14:paraId="731FFDEF" w14:textId="77777777" w:rsidR="00B020A4" w:rsidRPr="00553801" w:rsidRDefault="00B020A4" w:rsidP="00B020A4">
      <w:pPr>
        <w:spacing w:line="240" w:lineRule="auto"/>
        <w:ind w:left="0"/>
        <w:jc w:val="center"/>
        <w:rPr>
          <w:rFonts w:ascii="Calibri" w:eastAsia="Calibri" w:hAnsi="Calibri" w:cs="Guttman Hodes"/>
          <w:rtl/>
        </w:rPr>
      </w:pPr>
      <w:r w:rsidRPr="00553801">
        <w:rPr>
          <w:rFonts w:ascii="Calibri" w:eastAsia="Calibri" w:hAnsi="Calibri" w:cs="Guttman Hodes" w:hint="cs"/>
          <w:rtl/>
        </w:rPr>
        <w:t>ת.נ.צ.ב.ה.</w:t>
      </w:r>
    </w:p>
    <w:p w14:paraId="2D5DB8AE" w14:textId="77777777" w:rsidR="00B020A4" w:rsidRPr="00553801" w:rsidRDefault="00B020A4" w:rsidP="00B020A4">
      <w:pPr>
        <w:spacing w:line="240" w:lineRule="auto"/>
        <w:ind w:left="0"/>
        <w:jc w:val="center"/>
        <w:rPr>
          <w:rFonts w:ascii="Calibri" w:eastAsia="Calibri" w:hAnsi="Calibri" w:cs="Guttman Hodes"/>
          <w:rtl/>
        </w:rPr>
      </w:pPr>
    </w:p>
    <w:p w14:paraId="7F82B29D" w14:textId="77777777" w:rsidR="00B020A4" w:rsidRPr="00465A71" w:rsidRDefault="00B020A4" w:rsidP="00B020A4">
      <w:pPr>
        <w:spacing w:line="240" w:lineRule="auto"/>
        <w:ind w:left="0"/>
        <w:jc w:val="center"/>
        <w:rPr>
          <w:rFonts w:ascii="Calibri" w:eastAsia="Calibri" w:hAnsi="Calibri" w:cs="Guttman Hodes"/>
          <w:rtl/>
        </w:rPr>
      </w:pPr>
      <w:r w:rsidRPr="00465A71">
        <w:rPr>
          <w:rFonts w:ascii="Calibri" w:eastAsia="Calibri" w:hAnsi="Calibri" w:cs="Guttman Hodes" w:hint="cs"/>
          <w:rtl/>
        </w:rPr>
        <w:t xml:space="preserve">ורעיתו </w:t>
      </w:r>
      <w:r>
        <w:rPr>
          <w:rFonts w:ascii="Calibri" w:eastAsia="Calibri" w:hAnsi="Calibri" w:cs="Guttman Hodes" w:hint="cs"/>
          <w:rtl/>
        </w:rPr>
        <w:t xml:space="preserve">הרבנית </w:t>
      </w:r>
      <w:r w:rsidRPr="00465A71">
        <w:rPr>
          <w:rFonts w:ascii="Calibri" w:eastAsia="Calibri" w:hAnsi="Calibri" w:cs="Guttman Hodes" w:hint="cs"/>
          <w:rtl/>
        </w:rPr>
        <w:t>מרת פערל ע"ה ב"ר ישראל זצ</w:t>
      </w:r>
      <w:r>
        <w:rPr>
          <w:rFonts w:ascii="Calibri" w:eastAsia="Calibri" w:hAnsi="Calibri" w:cs="Guttman Hodes" w:hint="cs"/>
          <w:rtl/>
        </w:rPr>
        <w:t>וק</w:t>
      </w:r>
      <w:r w:rsidRPr="00465A71">
        <w:rPr>
          <w:rFonts w:ascii="Calibri" w:eastAsia="Calibri" w:hAnsi="Calibri" w:cs="Guttman Hodes" w:hint="cs"/>
          <w:rtl/>
        </w:rPr>
        <w:t>"ל</w:t>
      </w:r>
    </w:p>
    <w:p w14:paraId="540B3535" w14:textId="77777777" w:rsidR="00B020A4" w:rsidRPr="00553801" w:rsidRDefault="00B020A4" w:rsidP="00B020A4">
      <w:pPr>
        <w:spacing w:line="240" w:lineRule="auto"/>
        <w:ind w:left="0"/>
        <w:jc w:val="center"/>
        <w:rPr>
          <w:rFonts w:ascii="Calibri" w:eastAsia="Calibri" w:hAnsi="Calibri" w:cs="Guttman Hodes"/>
          <w:rtl/>
        </w:rPr>
      </w:pPr>
      <w:r w:rsidRPr="00553801">
        <w:rPr>
          <w:rFonts w:ascii="Calibri" w:eastAsia="Calibri" w:hAnsi="Calibri" w:cs="Guttman Hodes" w:hint="cs"/>
          <w:rtl/>
        </w:rPr>
        <w:t>נלב"ע ג' חשון</w:t>
      </w:r>
    </w:p>
    <w:p w14:paraId="4D051BFA" w14:textId="77777777" w:rsidR="00B020A4" w:rsidRPr="00553801" w:rsidRDefault="00B020A4" w:rsidP="00B020A4">
      <w:pPr>
        <w:spacing w:line="240" w:lineRule="auto"/>
        <w:ind w:left="0"/>
        <w:jc w:val="center"/>
        <w:rPr>
          <w:rFonts w:ascii="Calibri" w:eastAsia="Calibri" w:hAnsi="Calibri" w:cs="Guttman Hodes"/>
          <w:rtl/>
        </w:rPr>
      </w:pPr>
      <w:r w:rsidRPr="00553801">
        <w:rPr>
          <w:rFonts w:ascii="Calibri" w:eastAsia="Calibri" w:hAnsi="Calibri" w:cs="Guttman Hodes" w:hint="cs"/>
          <w:rtl/>
        </w:rPr>
        <w:t>ת.נ.צ.ב.ה.</w:t>
      </w:r>
    </w:p>
    <w:p w14:paraId="580F2AF9" w14:textId="77777777" w:rsidR="00B020A4" w:rsidRPr="00553801" w:rsidRDefault="00B020A4" w:rsidP="00B020A4">
      <w:pPr>
        <w:spacing w:line="240" w:lineRule="auto"/>
        <w:ind w:left="0"/>
        <w:jc w:val="center"/>
        <w:rPr>
          <w:rFonts w:ascii="Calibri" w:eastAsia="Calibri" w:hAnsi="Calibri" w:cs="Guttman Hodes"/>
          <w:rtl/>
        </w:rPr>
      </w:pPr>
      <w:r w:rsidRPr="00553801">
        <w:rPr>
          <w:rFonts w:ascii="Calibri" w:eastAsia="Calibri" w:hAnsi="Calibri" w:cs="Arial"/>
          <w:noProof/>
          <w:rtl/>
        </w:rPr>
        <mc:AlternateContent>
          <mc:Choice Requires="wps">
            <w:drawing>
              <wp:anchor distT="45720" distB="45720" distL="114300" distR="114300" simplePos="0" relativeHeight="251679744" behindDoc="1" locked="0" layoutInCell="1" allowOverlap="1" wp14:anchorId="12F62083" wp14:editId="074A0F4B">
                <wp:simplePos x="0" y="0"/>
                <wp:positionH relativeFrom="margin">
                  <wp:posOffset>-334789</wp:posOffset>
                </wp:positionH>
                <wp:positionV relativeFrom="paragraph">
                  <wp:posOffset>194371</wp:posOffset>
                </wp:positionV>
                <wp:extent cx="6003925" cy="4524806"/>
                <wp:effectExtent l="19050" t="19050" r="15875" b="28575"/>
                <wp:wrapNone/>
                <wp:docPr id="34" name="תיבת טקסט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4806"/>
                        </a:xfrm>
                        <a:prstGeom prst="roundRect">
                          <a:avLst/>
                        </a:prstGeom>
                        <a:solidFill>
                          <a:srgbClr val="FFFFFF"/>
                        </a:solidFill>
                        <a:ln w="28575" cap="rnd">
                          <a:solidFill>
                            <a:sysClr val="windowText" lastClr="000000"/>
                          </a:solidFill>
                          <a:prstDash val="solid"/>
                          <a:round/>
                          <a:headEnd/>
                          <a:tailEnd/>
                        </a:ln>
                      </wps:spPr>
                      <wps:txbx>
                        <w:txbxContent>
                          <w:p w14:paraId="04A72141" w14:textId="77777777" w:rsidR="00345400" w:rsidRDefault="00345400" w:rsidP="00B020A4">
                            <w:pPr>
                              <w:jc w:val="center"/>
                              <w:rPr>
                                <w:rFonts w:cs="Guttman Hodes"/>
                                <w:rtl/>
                                <w:cs/>
                              </w:rPr>
                            </w:pPr>
                          </w:p>
                          <w:p w14:paraId="1AB3713D" w14:textId="77777777" w:rsidR="00345400" w:rsidRDefault="00345400" w:rsidP="00B020A4">
                            <w:pPr>
                              <w:jc w:val="center"/>
                              <w:rPr>
                                <w:rFonts w:cs="Guttman Hodes"/>
                                <w:rtl/>
                                <w:cs/>
                              </w:rPr>
                            </w:pPr>
                          </w:p>
                          <w:p w14:paraId="710BF498" w14:textId="77777777" w:rsidR="00345400" w:rsidRPr="005723BD" w:rsidRDefault="00345400" w:rsidP="00B020A4">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64444CD" id="תיבת טקסט 34" o:spid="_x0000_s1029" style="position:absolute;left:0;text-align:left;margin-left:-26.35pt;margin-top:15.3pt;width:472.75pt;height:356.3pt;flip:x;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IalS49iAgAAkwQAAA4AAAAAAAAAAAAAAAAALgIAAGRycy9l&#10;Mm9Eb2MueG1sUEsBAi0AFAAGAAgAAAAhALffa/ffAAAACgEAAA8AAAAAAAAAAAAAAAAAvAQAAGRy&#10;cy9kb3ducmV2LnhtbFBLBQYAAAAABAAEAPMAAADIBQAAAAA=&#10;" strokecolor="windowText" strokeweight="2.25pt">
                <v:stroke endcap="round"/>
                <v:textbox>
                  <w:txbxContent>
                    <w:p w:rsidR="00345400" w:rsidRDefault="00345400" w:rsidP="00B020A4">
                      <w:pPr>
                        <w:jc w:val="center"/>
                        <w:rPr>
                          <w:rFonts w:cs="Guttman Hodes"/>
                          <w:rtl/>
                          <w:cs/>
                        </w:rPr>
                      </w:pPr>
                    </w:p>
                    <w:p w:rsidR="00345400" w:rsidRDefault="00345400" w:rsidP="00B020A4">
                      <w:pPr>
                        <w:jc w:val="center"/>
                        <w:rPr>
                          <w:rFonts w:cs="Guttman Hodes"/>
                          <w:rtl/>
                          <w:cs/>
                        </w:rPr>
                      </w:pPr>
                    </w:p>
                    <w:p w:rsidR="00345400" w:rsidRPr="005723BD" w:rsidRDefault="00345400" w:rsidP="00B020A4">
                      <w:pPr>
                        <w:jc w:val="center"/>
                        <w:rPr>
                          <w:rFonts w:cs="Guttman Hodes"/>
                          <w:rtl/>
                          <w:cs/>
                        </w:rPr>
                      </w:pPr>
                    </w:p>
                  </w:txbxContent>
                </v:textbox>
                <w10:wrap anchorx="margin"/>
              </v:roundrect>
            </w:pict>
          </mc:Fallback>
        </mc:AlternateContent>
      </w:r>
    </w:p>
    <w:p w14:paraId="58F07489" w14:textId="77777777" w:rsidR="00B020A4" w:rsidRPr="00553801" w:rsidRDefault="00B020A4" w:rsidP="00B020A4">
      <w:pPr>
        <w:spacing w:line="240" w:lineRule="auto"/>
        <w:ind w:left="0"/>
        <w:jc w:val="center"/>
        <w:rPr>
          <w:rFonts w:ascii="Calibri" w:eastAsia="Calibri" w:hAnsi="Calibri" w:cs="Guttman Hodes"/>
          <w:rtl/>
        </w:rPr>
        <w:sectPr w:rsidR="00B020A4" w:rsidRPr="00553801" w:rsidSect="00553801">
          <w:pgSz w:w="11906" w:h="16838"/>
          <w:pgMar w:top="1440" w:right="1800" w:bottom="1440" w:left="1800" w:header="708" w:footer="708" w:gutter="0"/>
          <w:cols w:space="709"/>
          <w:bidi/>
          <w:rtlGutter/>
          <w:docGrid w:linePitch="360"/>
        </w:sectPr>
      </w:pPr>
    </w:p>
    <w:p w14:paraId="1BB3A30F" w14:textId="77777777" w:rsidR="00B020A4" w:rsidRPr="00A4779E" w:rsidRDefault="00B020A4" w:rsidP="00B020A4">
      <w:pPr>
        <w:spacing w:line="240" w:lineRule="auto"/>
        <w:ind w:left="0"/>
        <w:jc w:val="center"/>
        <w:rPr>
          <w:rFonts w:ascii="Calibri" w:eastAsia="Calibri" w:hAnsi="Calibri" w:cs="Guttman Hodes"/>
          <w:sz w:val="20"/>
          <w:szCs w:val="20"/>
          <w:rtl/>
        </w:rPr>
      </w:pPr>
    </w:p>
    <w:p w14:paraId="55833085"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לע"נ אא"ז</w:t>
      </w:r>
    </w:p>
    <w:p w14:paraId="24E92F64"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הרב דוד משה הכהן הנדל זצ"ל</w:t>
      </w:r>
    </w:p>
    <w:p w14:paraId="20CBD756"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בן ציון ז"ל</w:t>
      </w:r>
    </w:p>
    <w:p w14:paraId="4710C713"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ט"ו אב</w:t>
      </w:r>
    </w:p>
    <w:p w14:paraId="69B1ECA8"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14:paraId="69D0D12E" w14:textId="77777777" w:rsidR="00B020A4" w:rsidRPr="00A4779E" w:rsidRDefault="00B020A4" w:rsidP="00B020A4">
      <w:pPr>
        <w:spacing w:line="240" w:lineRule="auto"/>
        <w:ind w:left="0"/>
        <w:jc w:val="center"/>
        <w:rPr>
          <w:rFonts w:ascii="Calibri" w:eastAsia="Calibri" w:hAnsi="Calibri" w:cs="Guttman Hodes"/>
          <w:sz w:val="18"/>
          <w:szCs w:val="18"/>
          <w:rtl/>
        </w:rPr>
      </w:pPr>
    </w:p>
    <w:p w14:paraId="0AF5BDFC"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ורעיתו א"ז מרת רחל פייגא הנדל ע"ה</w:t>
      </w:r>
    </w:p>
    <w:p w14:paraId="10863215"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אהרן הי"ד</w:t>
      </w:r>
    </w:p>
    <w:p w14:paraId="073C18B0"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ח' טבת</w:t>
      </w:r>
    </w:p>
    <w:p w14:paraId="278BCF3D"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14:paraId="399A0C96" w14:textId="77777777" w:rsidR="00B020A4" w:rsidRPr="00A4779E" w:rsidRDefault="00B020A4" w:rsidP="00B020A4">
      <w:pPr>
        <w:spacing w:line="240" w:lineRule="auto"/>
        <w:ind w:left="0"/>
        <w:jc w:val="center"/>
        <w:rPr>
          <w:rFonts w:ascii="Calibri" w:eastAsia="Calibri" w:hAnsi="Calibri" w:cs="Guttman Hodes"/>
          <w:sz w:val="18"/>
          <w:szCs w:val="18"/>
          <w:rtl/>
        </w:rPr>
      </w:pPr>
    </w:p>
    <w:p w14:paraId="65E19D86"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לע"נ אא"ז</w:t>
      </w:r>
    </w:p>
    <w:p w14:paraId="1B64FF04" w14:textId="77777777" w:rsidR="00B020A4" w:rsidRPr="00A4779E" w:rsidRDefault="00B020A4" w:rsidP="00B020A4">
      <w:pPr>
        <w:spacing w:line="240" w:lineRule="auto"/>
        <w:ind w:left="0"/>
        <w:jc w:val="center"/>
        <w:rPr>
          <w:rFonts w:ascii="Calibri" w:eastAsia="Calibri" w:hAnsi="Calibri" w:cs="Guttman Hodes"/>
          <w:sz w:val="20"/>
          <w:szCs w:val="20"/>
          <w:rtl/>
        </w:rPr>
      </w:pPr>
      <w:r w:rsidRPr="00A4779E">
        <w:rPr>
          <w:rFonts w:ascii="Calibri" w:eastAsia="Calibri" w:hAnsi="Calibri" w:cs="Guttman Hodes" w:hint="cs"/>
          <w:sz w:val="20"/>
          <w:szCs w:val="20"/>
          <w:rtl/>
        </w:rPr>
        <w:t>הרב שמחה גרינבוים זצ"ל</w:t>
      </w:r>
    </w:p>
    <w:p w14:paraId="0C97EE0F" w14:textId="77777777" w:rsidR="00B020A4" w:rsidRPr="00A4779E" w:rsidRDefault="00B020A4" w:rsidP="00B020A4">
      <w:pPr>
        <w:spacing w:line="240" w:lineRule="auto"/>
        <w:ind w:left="0"/>
        <w:jc w:val="center"/>
        <w:rPr>
          <w:rFonts w:ascii="Calibri" w:eastAsia="Calibri" w:hAnsi="Calibri" w:cs="Guttman Hodes"/>
          <w:sz w:val="20"/>
          <w:szCs w:val="20"/>
          <w:rtl/>
        </w:rPr>
      </w:pPr>
      <w:r w:rsidRPr="00A4779E">
        <w:rPr>
          <w:rFonts w:ascii="Calibri" w:eastAsia="Calibri" w:hAnsi="Calibri" w:cs="Guttman Hodes" w:hint="cs"/>
          <w:sz w:val="20"/>
          <w:szCs w:val="20"/>
          <w:rtl/>
        </w:rPr>
        <w:t>ב"ר יהודה זצ"ל</w:t>
      </w:r>
    </w:p>
    <w:p w14:paraId="3B94725E" w14:textId="77777777" w:rsidR="00B020A4" w:rsidRPr="00A4779E" w:rsidRDefault="00B020A4" w:rsidP="00B020A4">
      <w:pPr>
        <w:spacing w:line="240" w:lineRule="auto"/>
        <w:ind w:left="0"/>
        <w:jc w:val="center"/>
        <w:rPr>
          <w:rFonts w:ascii="Calibri" w:eastAsia="Calibri" w:hAnsi="Calibri" w:cs="Guttman Hodes"/>
          <w:sz w:val="20"/>
          <w:szCs w:val="20"/>
          <w:rtl/>
        </w:rPr>
      </w:pPr>
      <w:r w:rsidRPr="00A4779E">
        <w:rPr>
          <w:rFonts w:ascii="Calibri" w:eastAsia="Calibri" w:hAnsi="Calibri" w:cs="Guttman Hodes" w:hint="cs"/>
          <w:sz w:val="20"/>
          <w:szCs w:val="20"/>
          <w:rtl/>
        </w:rPr>
        <w:t>נלב"ע כ"ג שבט</w:t>
      </w:r>
    </w:p>
    <w:p w14:paraId="48F44D79" w14:textId="77777777" w:rsidR="00B020A4" w:rsidRPr="00A4779E" w:rsidRDefault="00B020A4" w:rsidP="00B020A4">
      <w:pPr>
        <w:spacing w:line="240" w:lineRule="auto"/>
        <w:ind w:left="0"/>
        <w:jc w:val="center"/>
        <w:rPr>
          <w:rFonts w:ascii="Calibri" w:eastAsia="Calibri" w:hAnsi="Calibri" w:cs="Guttman Hodes"/>
          <w:sz w:val="20"/>
          <w:szCs w:val="20"/>
          <w:rtl/>
        </w:rPr>
      </w:pPr>
      <w:r w:rsidRPr="00A4779E">
        <w:rPr>
          <w:rFonts w:ascii="Calibri" w:eastAsia="Calibri" w:hAnsi="Calibri" w:cs="Guttman Hodes" w:hint="cs"/>
          <w:sz w:val="20"/>
          <w:szCs w:val="20"/>
          <w:rtl/>
        </w:rPr>
        <w:t>ת.נ.צ.ב.ה.</w:t>
      </w:r>
    </w:p>
    <w:p w14:paraId="5F4D062E" w14:textId="77777777" w:rsidR="00B020A4" w:rsidRPr="00A4779E" w:rsidRDefault="00B020A4" w:rsidP="00B020A4">
      <w:pPr>
        <w:spacing w:line="240" w:lineRule="auto"/>
        <w:ind w:left="0"/>
        <w:jc w:val="center"/>
        <w:rPr>
          <w:rFonts w:ascii="Calibri" w:eastAsia="Calibri" w:hAnsi="Calibri" w:cs="Guttman Hodes"/>
          <w:sz w:val="18"/>
          <w:szCs w:val="18"/>
          <w:rtl/>
        </w:rPr>
      </w:pPr>
    </w:p>
    <w:p w14:paraId="28F2E9C8"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לע"נ אא"ז</w:t>
      </w:r>
    </w:p>
    <w:p w14:paraId="09FF53AF"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הרב יהודה גרינבוים זצ"ל</w:t>
      </w:r>
    </w:p>
    <w:p w14:paraId="233A12A1" w14:textId="77777777" w:rsidR="00B020A4"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 xml:space="preserve">ב"ר שמחה זצ"ל </w:t>
      </w:r>
    </w:p>
    <w:p w14:paraId="05E96ADB" w14:textId="77777777" w:rsidR="00B020A4" w:rsidRPr="00A4779E" w:rsidRDefault="00B020A4" w:rsidP="00B020A4">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נלב"ע י"ב אב</w:t>
      </w:r>
    </w:p>
    <w:p w14:paraId="66B50828" w14:textId="77777777" w:rsidR="00B020A4" w:rsidRPr="00A4779E" w:rsidRDefault="00B020A4" w:rsidP="00B020A4">
      <w:pPr>
        <w:spacing w:line="240" w:lineRule="auto"/>
        <w:ind w:left="0"/>
        <w:jc w:val="center"/>
        <w:rPr>
          <w:rFonts w:ascii="Calibri" w:eastAsia="Calibri" w:hAnsi="Calibri" w:cs="Guttman Hodes"/>
          <w:sz w:val="18"/>
          <w:szCs w:val="18"/>
          <w:rtl/>
        </w:rPr>
      </w:pPr>
    </w:p>
    <w:p w14:paraId="4A06D400" w14:textId="77777777" w:rsidR="00B020A4" w:rsidRPr="00A4779E" w:rsidRDefault="00B020A4" w:rsidP="00B020A4">
      <w:pPr>
        <w:spacing w:line="240" w:lineRule="auto"/>
        <w:ind w:left="0"/>
        <w:jc w:val="center"/>
        <w:rPr>
          <w:rFonts w:ascii="Calibri" w:eastAsia="Calibri" w:hAnsi="Calibri" w:cs="Guttman Hodes"/>
          <w:sz w:val="18"/>
          <w:szCs w:val="18"/>
          <w:rtl/>
        </w:rPr>
      </w:pPr>
    </w:p>
    <w:p w14:paraId="02FFEC4E" w14:textId="77777777" w:rsidR="00B020A4" w:rsidRPr="00A4779E" w:rsidRDefault="00B020A4" w:rsidP="00B020A4">
      <w:pPr>
        <w:spacing w:line="240" w:lineRule="auto"/>
        <w:ind w:left="0"/>
        <w:jc w:val="center"/>
        <w:rPr>
          <w:rFonts w:ascii="Calibri" w:eastAsia="Calibri" w:hAnsi="Calibri" w:cs="Guttman Hodes"/>
          <w:sz w:val="18"/>
          <w:szCs w:val="18"/>
          <w:rtl/>
        </w:rPr>
      </w:pPr>
    </w:p>
    <w:p w14:paraId="2F1919D2" w14:textId="77777777" w:rsidR="00B020A4" w:rsidRPr="00A4779E" w:rsidRDefault="00B020A4" w:rsidP="00B020A4">
      <w:pPr>
        <w:spacing w:line="240" w:lineRule="auto"/>
        <w:ind w:left="0"/>
        <w:jc w:val="center"/>
        <w:rPr>
          <w:rFonts w:ascii="Calibri" w:eastAsia="Calibri" w:hAnsi="Calibri" w:cs="Guttman Hodes"/>
          <w:sz w:val="18"/>
          <w:szCs w:val="18"/>
          <w:rtl/>
        </w:rPr>
      </w:pPr>
    </w:p>
    <w:p w14:paraId="71004A95" w14:textId="77777777" w:rsidR="00B020A4" w:rsidRPr="00A4779E" w:rsidRDefault="00B020A4" w:rsidP="00B020A4">
      <w:pPr>
        <w:spacing w:line="240" w:lineRule="auto"/>
        <w:ind w:left="0"/>
        <w:jc w:val="center"/>
        <w:rPr>
          <w:rFonts w:ascii="Calibri" w:eastAsia="Calibri" w:hAnsi="Calibri" w:cs="Guttman Hodes"/>
          <w:sz w:val="18"/>
          <w:szCs w:val="18"/>
          <w:rtl/>
        </w:rPr>
      </w:pPr>
    </w:p>
    <w:p w14:paraId="333A16F0"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לע"ז מוח"ז</w:t>
      </w:r>
    </w:p>
    <w:p w14:paraId="568EC2BD"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הרב גבריאל שטרנפלד זצ"ל</w:t>
      </w:r>
    </w:p>
    <w:p w14:paraId="3DD1A66D"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מיכאל ז"ל נלב"ע ז' ניסן</w:t>
      </w:r>
    </w:p>
    <w:p w14:paraId="2EEA6E4D"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14:paraId="72965D7B" w14:textId="77777777" w:rsidR="00B020A4" w:rsidRPr="00A4779E" w:rsidRDefault="00B020A4" w:rsidP="00B020A4">
      <w:pPr>
        <w:spacing w:line="240" w:lineRule="auto"/>
        <w:ind w:left="0"/>
        <w:jc w:val="center"/>
        <w:rPr>
          <w:rFonts w:ascii="Calibri" w:eastAsia="Calibri" w:hAnsi="Calibri" w:cs="Guttman Hodes"/>
          <w:sz w:val="18"/>
          <w:szCs w:val="18"/>
          <w:rtl/>
        </w:rPr>
      </w:pPr>
    </w:p>
    <w:p w14:paraId="0D8D2BE7"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ורעיתו מרת מרת רעכל שטרנפלד ע"ה</w:t>
      </w:r>
    </w:p>
    <w:p w14:paraId="7BD9E5E7"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יוסף יצחק זצ"ל</w:t>
      </w:r>
    </w:p>
    <w:p w14:paraId="7155B677"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כ' כסליו</w:t>
      </w:r>
    </w:p>
    <w:p w14:paraId="0045F4A3"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14:paraId="16C6B901" w14:textId="77777777" w:rsidR="00B020A4" w:rsidRPr="00A4779E" w:rsidRDefault="00B020A4" w:rsidP="00B020A4">
      <w:pPr>
        <w:spacing w:line="240" w:lineRule="auto"/>
        <w:ind w:left="0"/>
        <w:jc w:val="center"/>
        <w:rPr>
          <w:rFonts w:ascii="Calibri" w:eastAsia="Calibri" w:hAnsi="Calibri" w:cs="Guttman Hodes"/>
          <w:sz w:val="18"/>
          <w:szCs w:val="18"/>
          <w:rtl/>
        </w:rPr>
      </w:pPr>
    </w:p>
    <w:p w14:paraId="60B42026" w14:textId="77777777" w:rsidR="00B020A4" w:rsidRPr="00A4779E" w:rsidRDefault="00B020A4" w:rsidP="00B020A4">
      <w:pPr>
        <w:spacing w:line="240" w:lineRule="auto"/>
        <w:ind w:left="0"/>
        <w:jc w:val="center"/>
        <w:rPr>
          <w:rFonts w:ascii="Calibri" w:eastAsia="Calibri" w:hAnsi="Calibri" w:cs="Guttman Hodes"/>
          <w:sz w:val="18"/>
          <w:szCs w:val="18"/>
          <w:rtl/>
        </w:rPr>
      </w:pPr>
    </w:p>
    <w:p w14:paraId="79423044"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 xml:space="preserve">לע"נ אמי זקנתי </w:t>
      </w:r>
    </w:p>
    <w:p w14:paraId="7B42AAA5"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הרבנית מרת רחל לאה בירנצוויג ע"ה</w:t>
      </w:r>
    </w:p>
    <w:p w14:paraId="47996537"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 xml:space="preserve">בת הרה"צ רבי חיים משה מנדל זצוק"ל </w:t>
      </w:r>
    </w:p>
    <w:p w14:paraId="62CCD0C3"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י"א ניסן</w:t>
      </w:r>
    </w:p>
    <w:p w14:paraId="6671A440"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14:paraId="30B71C2B" w14:textId="77777777" w:rsidR="00B020A4" w:rsidRPr="00A4779E" w:rsidRDefault="00B020A4" w:rsidP="00B020A4">
      <w:pPr>
        <w:spacing w:line="240" w:lineRule="auto"/>
        <w:ind w:left="0"/>
        <w:jc w:val="center"/>
        <w:rPr>
          <w:rFonts w:ascii="Calibri" w:eastAsia="Calibri" w:hAnsi="Calibri" w:cs="Guttman Hodes"/>
          <w:sz w:val="18"/>
          <w:szCs w:val="18"/>
          <w:rtl/>
        </w:rPr>
      </w:pPr>
    </w:p>
    <w:p w14:paraId="7BC06D31" w14:textId="77777777" w:rsidR="00B020A4" w:rsidRPr="00A4779E" w:rsidRDefault="00B020A4" w:rsidP="00B020A4">
      <w:pPr>
        <w:spacing w:line="240" w:lineRule="auto"/>
        <w:ind w:left="0"/>
        <w:jc w:val="center"/>
        <w:rPr>
          <w:rFonts w:ascii="Calibri" w:eastAsia="Calibri" w:hAnsi="Calibri" w:cs="Guttman Hodes"/>
          <w:sz w:val="18"/>
          <w:szCs w:val="18"/>
          <w:rtl/>
        </w:rPr>
        <w:sectPr w:rsidR="00B020A4" w:rsidRPr="00A4779E" w:rsidSect="009D4D60">
          <w:type w:val="continuous"/>
          <w:pgSz w:w="11906" w:h="16838"/>
          <w:pgMar w:top="1440" w:right="1800" w:bottom="1440" w:left="1800" w:header="708" w:footer="708" w:gutter="0"/>
          <w:cols w:num="2" w:space="709"/>
          <w:bidi/>
          <w:rtlGutter/>
          <w:docGrid w:linePitch="360"/>
        </w:sectPr>
      </w:pPr>
    </w:p>
    <w:p w14:paraId="2029ED42"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14:paraId="037FCB95" w14:textId="77777777" w:rsidR="00B020A4" w:rsidRPr="00A4779E" w:rsidRDefault="00B020A4" w:rsidP="00B020A4">
      <w:pPr>
        <w:spacing w:line="240" w:lineRule="auto"/>
        <w:ind w:left="0"/>
        <w:jc w:val="center"/>
        <w:rPr>
          <w:rFonts w:ascii="Calibri" w:eastAsia="Calibri" w:hAnsi="Calibri" w:cs="Guttman Hodes"/>
          <w:sz w:val="18"/>
          <w:szCs w:val="18"/>
          <w:rtl/>
        </w:rPr>
      </w:pPr>
    </w:p>
    <w:p w14:paraId="58B1B4FF"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 xml:space="preserve">ורעיתו א"ז מרת ביילא גרינבוים ע"ה </w:t>
      </w:r>
    </w:p>
    <w:p w14:paraId="3479785F"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אליעזר ליפא הי"ד</w:t>
      </w:r>
    </w:p>
    <w:p w14:paraId="330BB745"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כ"ט ניסן</w:t>
      </w:r>
    </w:p>
    <w:p w14:paraId="638294FA" w14:textId="77777777" w:rsidR="00B020A4" w:rsidRPr="00A4779E" w:rsidRDefault="00B020A4" w:rsidP="00B020A4">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14:paraId="239A1C87" w14:textId="77777777" w:rsidR="00B020A4" w:rsidRPr="00A4779E" w:rsidRDefault="00B020A4" w:rsidP="00B020A4">
      <w:pPr>
        <w:spacing w:line="240" w:lineRule="auto"/>
        <w:ind w:left="0"/>
        <w:jc w:val="center"/>
        <w:rPr>
          <w:rFonts w:ascii="Calibri" w:eastAsia="Calibri" w:hAnsi="Calibri" w:cs="Guttman Hodes"/>
          <w:sz w:val="18"/>
          <w:szCs w:val="18"/>
          <w:rtl/>
        </w:rPr>
      </w:pPr>
    </w:p>
    <w:p w14:paraId="6A453B7C" w14:textId="77777777" w:rsidR="00B020A4" w:rsidRPr="00A4779E" w:rsidRDefault="00B020A4" w:rsidP="00B020A4">
      <w:pPr>
        <w:spacing w:line="240" w:lineRule="auto"/>
        <w:ind w:left="0"/>
        <w:jc w:val="center"/>
        <w:rPr>
          <w:rFonts w:ascii="Calibri" w:eastAsia="Calibri" w:hAnsi="Calibri" w:cs="Guttman Hodes"/>
          <w:sz w:val="18"/>
          <w:szCs w:val="18"/>
          <w:rtl/>
        </w:rPr>
      </w:pPr>
    </w:p>
    <w:p w14:paraId="7D07F915" w14:textId="77777777" w:rsidR="00B020A4" w:rsidRPr="00A17ABF" w:rsidRDefault="00B020A4" w:rsidP="00B020A4">
      <w:pPr>
        <w:spacing w:line="240" w:lineRule="auto"/>
        <w:ind w:left="0"/>
        <w:jc w:val="center"/>
        <w:rPr>
          <w:rFonts w:ascii="Calibri" w:eastAsia="Calibri" w:hAnsi="Calibri" w:cs="Guttman Hodes"/>
          <w:sz w:val="18"/>
          <w:szCs w:val="18"/>
          <w:rtl/>
        </w:rPr>
      </w:pPr>
    </w:p>
    <w:p w14:paraId="35EB9031" w14:textId="77777777" w:rsidR="00B020A4" w:rsidRPr="00A17ABF" w:rsidRDefault="00B020A4" w:rsidP="00B020A4">
      <w:pPr>
        <w:spacing w:line="240" w:lineRule="auto"/>
        <w:ind w:left="0"/>
        <w:jc w:val="center"/>
        <w:rPr>
          <w:rFonts w:ascii="Calibri" w:eastAsia="Calibri" w:hAnsi="Calibri" w:cs="Guttman Hodes"/>
          <w:sz w:val="18"/>
          <w:szCs w:val="18"/>
          <w:rtl/>
        </w:rPr>
      </w:pPr>
    </w:p>
    <w:p w14:paraId="2907817E" w14:textId="77777777" w:rsidR="00B020A4" w:rsidRDefault="00B020A4" w:rsidP="00B020A4">
      <w:pPr>
        <w:spacing w:line="240" w:lineRule="auto"/>
        <w:ind w:left="0"/>
        <w:jc w:val="center"/>
        <w:rPr>
          <w:rFonts w:ascii="Calibri" w:eastAsia="Calibri" w:hAnsi="Calibri" w:cs="Guttman Hodes"/>
          <w:sz w:val="16"/>
          <w:szCs w:val="16"/>
          <w:rtl/>
        </w:rPr>
      </w:pPr>
    </w:p>
    <w:p w14:paraId="1FFF8283" w14:textId="77777777" w:rsidR="00B020A4" w:rsidRPr="00A4779E" w:rsidRDefault="00B020A4" w:rsidP="00B020A4">
      <w:pPr>
        <w:spacing w:line="240" w:lineRule="auto"/>
        <w:ind w:left="0"/>
        <w:jc w:val="center"/>
        <w:rPr>
          <w:rFonts w:ascii="Calibri" w:eastAsia="Calibri" w:hAnsi="Calibri" w:cs="Guttman Hodes"/>
          <w:sz w:val="16"/>
          <w:szCs w:val="16"/>
          <w:rtl/>
        </w:rPr>
      </w:pPr>
      <w:r w:rsidRPr="00A4779E">
        <w:rPr>
          <w:rFonts w:ascii="Calibri" w:eastAsia="Calibri" w:hAnsi="Calibri" w:cs="Guttman Hodes"/>
          <w:sz w:val="16"/>
          <w:szCs w:val="16"/>
          <w:rtl/>
        </w:rPr>
        <w:t>לע"נ דודי הרב</w:t>
      </w:r>
      <w:r>
        <w:rPr>
          <w:rFonts w:ascii="Calibri" w:eastAsia="Calibri" w:hAnsi="Calibri" w:cs="Guttman Hodes" w:hint="cs"/>
          <w:sz w:val="16"/>
          <w:szCs w:val="16"/>
          <w:rtl/>
        </w:rPr>
        <w:t xml:space="preserve"> </w:t>
      </w:r>
      <w:r w:rsidRPr="00A4779E">
        <w:rPr>
          <w:rFonts w:ascii="Calibri" w:eastAsia="Calibri" w:hAnsi="Calibri" w:cs="Guttman Hodes"/>
          <w:sz w:val="16"/>
          <w:szCs w:val="16"/>
          <w:rtl/>
        </w:rPr>
        <w:t xml:space="preserve">אברהם אבא הכהן רובין </w:t>
      </w:r>
      <w:r w:rsidRPr="00A4779E">
        <w:rPr>
          <w:rFonts w:ascii="Calibri" w:eastAsia="Calibri" w:hAnsi="Calibri" w:cs="Guttman Hodes" w:hint="cs"/>
          <w:sz w:val="16"/>
          <w:szCs w:val="16"/>
          <w:rtl/>
        </w:rPr>
        <w:t>זצ"ל</w:t>
      </w:r>
    </w:p>
    <w:p w14:paraId="283E96DC" w14:textId="77777777" w:rsidR="00B020A4" w:rsidRPr="00A4779E" w:rsidRDefault="00B020A4" w:rsidP="00B020A4">
      <w:pPr>
        <w:spacing w:line="240" w:lineRule="auto"/>
        <w:ind w:left="0"/>
        <w:jc w:val="center"/>
        <w:rPr>
          <w:rFonts w:ascii="Calibri" w:eastAsia="Calibri" w:hAnsi="Calibri" w:cs="Guttman Hodes"/>
          <w:sz w:val="16"/>
          <w:szCs w:val="16"/>
          <w:rtl/>
        </w:rPr>
      </w:pPr>
      <w:r w:rsidRPr="00A4779E">
        <w:rPr>
          <w:rFonts w:ascii="Calibri" w:eastAsia="Calibri" w:hAnsi="Calibri" w:cs="Guttman Hodes"/>
          <w:sz w:val="16"/>
          <w:szCs w:val="16"/>
          <w:rtl/>
        </w:rPr>
        <w:t xml:space="preserve">ב"ר יחיאל מיכל </w:t>
      </w:r>
      <w:r w:rsidRPr="00A4779E">
        <w:rPr>
          <w:rFonts w:ascii="Calibri" w:eastAsia="Calibri" w:hAnsi="Calibri" w:cs="Guttman Hodes" w:hint="cs"/>
          <w:sz w:val="16"/>
          <w:szCs w:val="16"/>
          <w:rtl/>
        </w:rPr>
        <w:t>שיבלט"א</w:t>
      </w:r>
      <w:r>
        <w:rPr>
          <w:rFonts w:ascii="Calibri" w:eastAsia="Calibri" w:hAnsi="Calibri" w:cs="Guttman Hodes" w:hint="cs"/>
          <w:sz w:val="16"/>
          <w:szCs w:val="16"/>
          <w:rtl/>
        </w:rPr>
        <w:t xml:space="preserve"> </w:t>
      </w:r>
      <w:r w:rsidRPr="00A4779E">
        <w:rPr>
          <w:rFonts w:ascii="Calibri" w:eastAsia="Calibri" w:hAnsi="Calibri" w:cs="Guttman Hodes" w:hint="cs"/>
          <w:sz w:val="16"/>
          <w:szCs w:val="16"/>
          <w:rtl/>
        </w:rPr>
        <w:t>נלב"ע י"ד תשרי</w:t>
      </w:r>
      <w:r>
        <w:rPr>
          <w:rFonts w:ascii="Calibri" w:eastAsia="Calibri" w:hAnsi="Calibri" w:cs="Guttman Hodes" w:hint="cs"/>
          <w:sz w:val="16"/>
          <w:szCs w:val="16"/>
          <w:rtl/>
        </w:rPr>
        <w:t xml:space="preserve"> </w:t>
      </w:r>
      <w:r w:rsidRPr="00A4779E">
        <w:rPr>
          <w:rFonts w:ascii="Calibri" w:eastAsia="Calibri" w:hAnsi="Calibri" w:cs="Guttman Hodes" w:hint="cs"/>
          <w:sz w:val="16"/>
          <w:szCs w:val="16"/>
          <w:rtl/>
        </w:rPr>
        <w:t>ת.נ.צ.ב.ה.</w:t>
      </w:r>
    </w:p>
    <w:p w14:paraId="042E4367" w14:textId="77777777" w:rsidR="00B020A4" w:rsidRPr="00A4779E" w:rsidRDefault="00B020A4" w:rsidP="00B020A4">
      <w:pPr>
        <w:spacing w:line="240" w:lineRule="auto"/>
        <w:ind w:left="0"/>
        <w:jc w:val="center"/>
        <w:rPr>
          <w:rFonts w:ascii="Calibri" w:eastAsia="Calibri" w:hAnsi="Calibri" w:cs="Guttman Hodes"/>
          <w:sz w:val="16"/>
          <w:szCs w:val="16"/>
          <w:rtl/>
        </w:rPr>
      </w:pPr>
    </w:p>
    <w:p w14:paraId="7DDC72D9" w14:textId="77777777" w:rsidR="00B020A4" w:rsidRPr="00A4779E" w:rsidRDefault="00B020A4" w:rsidP="00B020A4">
      <w:pPr>
        <w:spacing w:line="240" w:lineRule="auto"/>
        <w:ind w:left="0"/>
        <w:jc w:val="center"/>
        <w:rPr>
          <w:rFonts w:ascii="Calibri" w:eastAsia="Calibri" w:hAnsi="Calibri" w:cs="Guttman Hodes"/>
          <w:sz w:val="16"/>
          <w:szCs w:val="16"/>
          <w:rtl/>
        </w:rPr>
      </w:pPr>
      <w:r w:rsidRPr="00A4779E">
        <w:rPr>
          <w:rFonts w:ascii="Calibri" w:eastAsia="Calibri" w:hAnsi="Calibri" w:cs="Guttman Hodes"/>
          <w:sz w:val="16"/>
          <w:szCs w:val="16"/>
          <w:rtl/>
        </w:rPr>
        <w:t>לע"נ דודי הרב</w:t>
      </w:r>
      <w:r>
        <w:rPr>
          <w:rFonts w:ascii="Calibri" w:eastAsia="Calibri" w:hAnsi="Calibri" w:cs="Guttman Hodes" w:hint="cs"/>
          <w:sz w:val="16"/>
          <w:szCs w:val="16"/>
          <w:rtl/>
        </w:rPr>
        <w:t xml:space="preserve"> </w:t>
      </w:r>
      <w:r w:rsidRPr="00A4779E">
        <w:rPr>
          <w:rFonts w:ascii="Calibri" w:eastAsia="Calibri" w:hAnsi="Calibri" w:cs="Guttman Hodes"/>
          <w:sz w:val="16"/>
          <w:szCs w:val="16"/>
          <w:rtl/>
        </w:rPr>
        <w:t>משה שטרנפלד</w:t>
      </w:r>
      <w:r w:rsidRPr="00A4779E">
        <w:rPr>
          <w:rFonts w:ascii="Calibri" w:eastAsia="Calibri" w:hAnsi="Calibri" w:cs="Guttman Hodes" w:hint="cs"/>
          <w:sz w:val="16"/>
          <w:szCs w:val="16"/>
          <w:rtl/>
        </w:rPr>
        <w:t xml:space="preserve"> זצ"ל</w:t>
      </w:r>
    </w:p>
    <w:p w14:paraId="0D2EE406" w14:textId="77777777" w:rsidR="00B020A4" w:rsidRPr="00A4779E" w:rsidRDefault="00B020A4" w:rsidP="00B020A4">
      <w:pPr>
        <w:spacing w:line="240" w:lineRule="auto"/>
        <w:ind w:left="0"/>
        <w:jc w:val="center"/>
        <w:rPr>
          <w:rFonts w:ascii="Calibri" w:eastAsia="Calibri" w:hAnsi="Calibri" w:cs="Guttman Hodes"/>
          <w:sz w:val="16"/>
          <w:szCs w:val="16"/>
          <w:rtl/>
        </w:rPr>
      </w:pPr>
      <w:r w:rsidRPr="00A4779E">
        <w:rPr>
          <w:rFonts w:ascii="Calibri" w:eastAsia="Calibri" w:hAnsi="Calibri" w:cs="Guttman Hodes"/>
          <w:sz w:val="16"/>
          <w:szCs w:val="16"/>
          <w:rtl/>
        </w:rPr>
        <w:t>ב"ר גבריאל ז</w:t>
      </w:r>
      <w:r w:rsidRPr="00A4779E">
        <w:rPr>
          <w:rFonts w:ascii="Calibri" w:eastAsia="Calibri" w:hAnsi="Calibri" w:cs="Guttman Hodes" w:hint="cs"/>
          <w:sz w:val="16"/>
          <w:szCs w:val="16"/>
          <w:rtl/>
        </w:rPr>
        <w:t>צ</w:t>
      </w:r>
      <w:r w:rsidRPr="00A4779E">
        <w:rPr>
          <w:rFonts w:ascii="Calibri" w:eastAsia="Calibri" w:hAnsi="Calibri" w:cs="Guttman Hodes"/>
          <w:sz w:val="16"/>
          <w:szCs w:val="16"/>
          <w:rtl/>
        </w:rPr>
        <w:t>"ל</w:t>
      </w:r>
      <w:r>
        <w:rPr>
          <w:rFonts w:ascii="Calibri" w:eastAsia="Calibri" w:hAnsi="Calibri" w:cs="Guttman Hodes" w:hint="cs"/>
          <w:sz w:val="16"/>
          <w:szCs w:val="16"/>
          <w:rtl/>
        </w:rPr>
        <w:t xml:space="preserve"> </w:t>
      </w:r>
      <w:r w:rsidRPr="00A4779E">
        <w:rPr>
          <w:rFonts w:ascii="Calibri" w:eastAsia="Calibri" w:hAnsi="Calibri" w:cs="Guttman Hodes" w:hint="cs"/>
          <w:sz w:val="16"/>
          <w:szCs w:val="16"/>
          <w:rtl/>
        </w:rPr>
        <w:t>נלב"ע כ"ג אב</w:t>
      </w:r>
      <w:r>
        <w:rPr>
          <w:rFonts w:ascii="Calibri" w:eastAsia="Calibri" w:hAnsi="Calibri" w:cs="Guttman Hodes" w:hint="cs"/>
          <w:sz w:val="16"/>
          <w:szCs w:val="16"/>
          <w:rtl/>
        </w:rPr>
        <w:t xml:space="preserve"> </w:t>
      </w:r>
      <w:r w:rsidRPr="00A4779E">
        <w:rPr>
          <w:rFonts w:ascii="Calibri" w:eastAsia="Calibri" w:hAnsi="Calibri" w:cs="Guttman Hodes" w:hint="cs"/>
          <w:sz w:val="16"/>
          <w:szCs w:val="16"/>
          <w:rtl/>
        </w:rPr>
        <w:t>ת.נ.צ.ב.ה.</w:t>
      </w:r>
    </w:p>
    <w:p w14:paraId="5AEE70F3" w14:textId="77777777" w:rsidR="00B020A4" w:rsidRDefault="00B020A4" w:rsidP="00B020A4">
      <w:pPr>
        <w:spacing w:line="240" w:lineRule="auto"/>
        <w:ind w:left="0"/>
        <w:jc w:val="center"/>
        <w:rPr>
          <w:rFonts w:ascii="Calibri" w:eastAsia="Calibri" w:hAnsi="Calibri" w:cs="Guttman Hodes"/>
          <w:sz w:val="16"/>
          <w:szCs w:val="16"/>
          <w:rtl/>
        </w:rPr>
      </w:pPr>
    </w:p>
    <w:p w14:paraId="08701204" w14:textId="77777777" w:rsidR="00B020A4" w:rsidRDefault="00B020A4" w:rsidP="00B020A4">
      <w:pPr>
        <w:spacing w:line="240" w:lineRule="auto"/>
        <w:ind w:left="0"/>
        <w:jc w:val="center"/>
        <w:rPr>
          <w:rFonts w:ascii="Calibri" w:eastAsia="Calibri" w:hAnsi="Calibri" w:cs="Guttman Hodes"/>
          <w:sz w:val="16"/>
          <w:szCs w:val="16"/>
          <w:rtl/>
        </w:rPr>
      </w:pPr>
      <w:r w:rsidRPr="00627AB4">
        <w:rPr>
          <w:rFonts w:ascii="Calibri" w:eastAsia="Calibri" w:hAnsi="Calibri" w:cs="Guttman Hodes"/>
          <w:sz w:val="16"/>
          <w:szCs w:val="16"/>
          <w:rtl/>
        </w:rPr>
        <w:t>לע"נ</w:t>
      </w:r>
      <w:r>
        <w:rPr>
          <w:rFonts w:ascii="Calibri" w:eastAsia="Calibri" w:hAnsi="Calibri" w:cs="Guttman Hodes" w:hint="cs"/>
          <w:sz w:val="16"/>
          <w:szCs w:val="16"/>
          <w:rtl/>
        </w:rPr>
        <w:t xml:space="preserve"> </w:t>
      </w:r>
      <w:r w:rsidRPr="00627AB4">
        <w:rPr>
          <w:rFonts w:ascii="Calibri" w:eastAsia="Calibri" w:hAnsi="Calibri" w:cs="Guttman Hodes"/>
          <w:sz w:val="16"/>
          <w:szCs w:val="16"/>
          <w:rtl/>
        </w:rPr>
        <w:t>הרב אליעזר דוד</w:t>
      </w:r>
      <w:r w:rsidRPr="00627AB4">
        <w:rPr>
          <w:rFonts w:ascii="Calibri" w:eastAsia="Calibri" w:hAnsi="Calibri" w:cs="Guttman Hodes" w:hint="cs"/>
          <w:sz w:val="16"/>
          <w:szCs w:val="16"/>
          <w:rtl/>
        </w:rPr>
        <w:t xml:space="preserve"> זצ"ל</w:t>
      </w:r>
      <w:r>
        <w:rPr>
          <w:rFonts w:ascii="Calibri" w:eastAsia="Calibri" w:hAnsi="Calibri" w:cs="Guttman Hodes" w:hint="cs"/>
          <w:sz w:val="16"/>
          <w:szCs w:val="16"/>
          <w:rtl/>
        </w:rPr>
        <w:t xml:space="preserve"> </w:t>
      </w:r>
      <w:r w:rsidRPr="00627AB4">
        <w:rPr>
          <w:rFonts w:ascii="Calibri" w:eastAsia="Calibri" w:hAnsi="Calibri" w:cs="Guttman Hodes"/>
          <w:sz w:val="16"/>
          <w:szCs w:val="16"/>
          <w:rtl/>
        </w:rPr>
        <w:t>ב"ר משה יהושע ז</w:t>
      </w:r>
      <w:r w:rsidRPr="00627AB4">
        <w:rPr>
          <w:rFonts w:ascii="Calibri" w:eastAsia="Calibri" w:hAnsi="Calibri" w:cs="Guttman Hodes" w:hint="cs"/>
          <w:sz w:val="16"/>
          <w:szCs w:val="16"/>
          <w:rtl/>
        </w:rPr>
        <w:t>צ</w:t>
      </w:r>
      <w:r w:rsidRPr="00627AB4">
        <w:rPr>
          <w:rFonts w:ascii="Calibri" w:eastAsia="Calibri" w:hAnsi="Calibri" w:cs="Guttman Hodes"/>
          <w:sz w:val="16"/>
          <w:szCs w:val="16"/>
          <w:rtl/>
        </w:rPr>
        <w:t>"ל</w:t>
      </w:r>
    </w:p>
    <w:p w14:paraId="4E6FE0F8" w14:textId="77777777" w:rsidR="00B020A4" w:rsidRPr="00627AB4" w:rsidRDefault="00B020A4" w:rsidP="00B020A4">
      <w:pPr>
        <w:spacing w:line="240" w:lineRule="auto"/>
        <w:ind w:left="0"/>
        <w:jc w:val="center"/>
        <w:rPr>
          <w:rFonts w:ascii="Calibri" w:eastAsia="Calibri" w:hAnsi="Calibri" w:cs="Guttman Hodes"/>
          <w:sz w:val="16"/>
          <w:szCs w:val="16"/>
          <w:rtl/>
        </w:rPr>
      </w:pPr>
      <w:r w:rsidRPr="00627AB4">
        <w:rPr>
          <w:rFonts w:ascii="Calibri" w:eastAsia="Calibri" w:hAnsi="Calibri" w:cs="Guttman Hodes"/>
          <w:sz w:val="16"/>
          <w:szCs w:val="16"/>
          <w:rtl/>
        </w:rPr>
        <w:t>נלב"ע כ"ד אייר</w:t>
      </w:r>
      <w:r>
        <w:rPr>
          <w:rFonts w:ascii="Calibri" w:eastAsia="Calibri" w:hAnsi="Calibri" w:cs="Guttman Hodes" w:hint="cs"/>
          <w:sz w:val="16"/>
          <w:szCs w:val="16"/>
          <w:rtl/>
        </w:rPr>
        <w:t xml:space="preserve"> </w:t>
      </w:r>
      <w:r w:rsidRPr="00627AB4">
        <w:rPr>
          <w:rFonts w:ascii="Calibri" w:eastAsia="Calibri" w:hAnsi="Calibri" w:cs="Guttman Hodes" w:hint="cs"/>
          <w:sz w:val="16"/>
          <w:szCs w:val="16"/>
          <w:rtl/>
        </w:rPr>
        <w:t>ת.נ.צ.ב.ה.</w:t>
      </w:r>
    </w:p>
    <w:p w14:paraId="351668CE" w14:textId="77777777" w:rsidR="00B020A4" w:rsidRDefault="00B020A4" w:rsidP="00B020A4">
      <w:pPr>
        <w:spacing w:line="240" w:lineRule="auto"/>
        <w:ind w:left="0"/>
        <w:jc w:val="center"/>
        <w:rPr>
          <w:rFonts w:ascii="Calibri" w:eastAsia="Calibri" w:hAnsi="Calibri" w:cs="Guttman Hodes"/>
          <w:sz w:val="16"/>
          <w:szCs w:val="16"/>
          <w:rtl/>
        </w:rPr>
      </w:pPr>
    </w:p>
    <w:p w14:paraId="37BF7117" w14:textId="77777777" w:rsidR="00B020A4" w:rsidRDefault="00B020A4" w:rsidP="00B020A4">
      <w:pPr>
        <w:spacing w:line="240" w:lineRule="auto"/>
        <w:ind w:left="0"/>
        <w:jc w:val="center"/>
        <w:rPr>
          <w:rFonts w:ascii="Calibri" w:eastAsia="Calibri" w:hAnsi="Calibri" w:cs="Guttman Hodes"/>
          <w:sz w:val="16"/>
          <w:szCs w:val="16"/>
          <w:rtl/>
        </w:rPr>
      </w:pPr>
    </w:p>
    <w:p w14:paraId="4662596B" w14:textId="77777777" w:rsidR="00B020A4" w:rsidRDefault="00B020A4" w:rsidP="00B020A4">
      <w:pPr>
        <w:spacing w:line="240" w:lineRule="auto"/>
        <w:ind w:left="0"/>
        <w:jc w:val="center"/>
        <w:rPr>
          <w:rFonts w:ascii="Calibri" w:eastAsia="Calibri" w:hAnsi="Calibri" w:cs="Guttman Hodes"/>
          <w:sz w:val="16"/>
          <w:szCs w:val="16"/>
          <w:rtl/>
        </w:rPr>
      </w:pPr>
    </w:p>
    <w:p w14:paraId="460D4473" w14:textId="77777777" w:rsidR="00B020A4" w:rsidRDefault="00B020A4" w:rsidP="00B020A4">
      <w:pPr>
        <w:spacing w:line="240" w:lineRule="auto"/>
        <w:ind w:left="0"/>
        <w:jc w:val="center"/>
        <w:rPr>
          <w:rFonts w:ascii="Calibri" w:eastAsia="Calibri" w:hAnsi="Calibri" w:cs="Guttman Hodes"/>
          <w:sz w:val="16"/>
          <w:szCs w:val="16"/>
          <w:rtl/>
        </w:rPr>
      </w:pPr>
    </w:p>
    <w:p w14:paraId="0607BCCF" w14:textId="77777777" w:rsidR="00B020A4" w:rsidRDefault="00B020A4" w:rsidP="00B020A4">
      <w:pPr>
        <w:spacing w:line="240" w:lineRule="auto"/>
        <w:ind w:left="0"/>
        <w:jc w:val="center"/>
        <w:rPr>
          <w:rFonts w:ascii="Calibri" w:eastAsia="Calibri" w:hAnsi="Calibri" w:cs="Guttman Hodes"/>
          <w:sz w:val="16"/>
          <w:szCs w:val="16"/>
          <w:rtl/>
        </w:rPr>
      </w:pPr>
    </w:p>
    <w:p w14:paraId="71E2FA2F" w14:textId="77777777" w:rsidR="00B020A4" w:rsidRDefault="00B020A4" w:rsidP="00B020A4">
      <w:pPr>
        <w:spacing w:line="240" w:lineRule="auto"/>
        <w:ind w:left="0"/>
        <w:jc w:val="center"/>
        <w:rPr>
          <w:rFonts w:ascii="Calibri" w:eastAsia="Calibri" w:hAnsi="Calibri" w:cs="Guttman Hodes"/>
          <w:sz w:val="16"/>
          <w:szCs w:val="16"/>
          <w:rtl/>
        </w:rPr>
      </w:pPr>
    </w:p>
    <w:p w14:paraId="2BA4C4A0" w14:textId="77777777" w:rsidR="00B020A4" w:rsidRDefault="00B020A4" w:rsidP="00B020A4">
      <w:pPr>
        <w:spacing w:line="240" w:lineRule="auto"/>
        <w:ind w:left="0"/>
        <w:jc w:val="center"/>
        <w:rPr>
          <w:rFonts w:ascii="Calibri" w:eastAsia="Calibri" w:hAnsi="Calibri" w:cs="Guttman Hodes"/>
          <w:sz w:val="16"/>
          <w:szCs w:val="16"/>
          <w:rtl/>
        </w:rPr>
      </w:pPr>
    </w:p>
    <w:p w14:paraId="6B180929" w14:textId="77777777" w:rsidR="00B020A4" w:rsidRPr="00A4779E" w:rsidRDefault="00B020A4" w:rsidP="00B020A4">
      <w:pPr>
        <w:spacing w:line="240" w:lineRule="auto"/>
        <w:ind w:left="0"/>
        <w:jc w:val="center"/>
        <w:rPr>
          <w:rFonts w:ascii="Calibri" w:eastAsia="Calibri" w:hAnsi="Calibri" w:cs="Guttman Hodes"/>
          <w:sz w:val="16"/>
          <w:szCs w:val="16"/>
          <w:rtl/>
        </w:rPr>
      </w:pPr>
    </w:p>
    <w:p w14:paraId="14245E56" w14:textId="77777777" w:rsidR="00B020A4" w:rsidRPr="00A4779E" w:rsidRDefault="00B020A4" w:rsidP="00B020A4">
      <w:pPr>
        <w:spacing w:line="240" w:lineRule="auto"/>
        <w:ind w:left="0"/>
        <w:jc w:val="center"/>
        <w:rPr>
          <w:rFonts w:ascii="Calibri" w:eastAsia="Calibri" w:hAnsi="Calibri" w:cs="Guttman Hodes"/>
          <w:sz w:val="16"/>
          <w:szCs w:val="16"/>
          <w:rtl/>
        </w:rPr>
      </w:pPr>
    </w:p>
    <w:p w14:paraId="5243C735" w14:textId="77777777" w:rsidR="00B020A4" w:rsidRPr="00A4779E" w:rsidRDefault="00B020A4" w:rsidP="00B020A4">
      <w:pPr>
        <w:spacing w:line="240" w:lineRule="auto"/>
        <w:ind w:left="0"/>
        <w:jc w:val="center"/>
        <w:rPr>
          <w:rFonts w:ascii="Calibri" w:eastAsia="Calibri" w:hAnsi="Calibri" w:cs="Guttman Hodes"/>
          <w:sz w:val="16"/>
          <w:szCs w:val="16"/>
          <w:rtl/>
        </w:rPr>
      </w:pPr>
    </w:p>
    <w:p w14:paraId="0D3E1E6A" w14:textId="77777777" w:rsidR="00B020A4" w:rsidRPr="00A4779E" w:rsidRDefault="00B020A4" w:rsidP="00B020A4">
      <w:pPr>
        <w:spacing w:line="240" w:lineRule="auto"/>
        <w:ind w:left="0"/>
        <w:jc w:val="center"/>
        <w:rPr>
          <w:rFonts w:ascii="Calibri" w:eastAsia="Calibri" w:hAnsi="Calibri" w:cs="Guttman Hodes"/>
          <w:sz w:val="16"/>
          <w:szCs w:val="16"/>
          <w:rtl/>
        </w:rPr>
      </w:pPr>
      <w:r w:rsidRPr="00A4779E">
        <w:rPr>
          <w:rFonts w:ascii="Calibri" w:eastAsia="Calibri" w:hAnsi="Calibri" w:cs="Arial"/>
          <w:noProof/>
          <w:sz w:val="18"/>
          <w:szCs w:val="18"/>
          <w:rtl/>
        </w:rPr>
        <mc:AlternateContent>
          <mc:Choice Requires="wps">
            <w:drawing>
              <wp:anchor distT="45720" distB="45720" distL="114300" distR="114300" simplePos="0" relativeHeight="251681792" behindDoc="1" locked="0" layoutInCell="1" allowOverlap="1" wp14:anchorId="3F397195" wp14:editId="19C749F5">
                <wp:simplePos x="0" y="0"/>
                <wp:positionH relativeFrom="margin">
                  <wp:posOffset>-470475</wp:posOffset>
                </wp:positionH>
                <wp:positionV relativeFrom="paragraph">
                  <wp:posOffset>188636</wp:posOffset>
                </wp:positionV>
                <wp:extent cx="6003925" cy="1675417"/>
                <wp:effectExtent l="19050" t="19050" r="15875" b="20320"/>
                <wp:wrapNone/>
                <wp:docPr id="40" name="תיבת טקסט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675417"/>
                        </a:xfrm>
                        <a:prstGeom prst="roundRect">
                          <a:avLst/>
                        </a:prstGeom>
                        <a:solidFill>
                          <a:srgbClr val="FFFFFF"/>
                        </a:solidFill>
                        <a:ln w="28575" cap="rnd">
                          <a:solidFill>
                            <a:sysClr val="windowText" lastClr="000000"/>
                          </a:solidFill>
                          <a:prstDash val="solid"/>
                          <a:round/>
                          <a:headEnd/>
                          <a:tailEnd/>
                        </a:ln>
                      </wps:spPr>
                      <wps:txbx>
                        <w:txbxContent>
                          <w:p w14:paraId="652A82A3" w14:textId="77777777" w:rsidR="00345400" w:rsidRDefault="00345400" w:rsidP="00B020A4">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E804715" id="תיבת טקסט 40" o:spid="_x0000_s1030" style="position:absolute;left:0;text-align:left;margin-left:-37.05pt;margin-top:14.85pt;width:472.75pt;height:131.9pt;flip:x;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" strokecolor="windowText" strokeweight="2.25pt">
                <v:stroke endcap="round"/>
                <v:textbox>
                  <w:txbxContent>
                    <w:p w:rsidR="00345400" w:rsidRDefault="00345400" w:rsidP="00B020A4">
                      <w:pPr>
                        <w:rPr>
                          <w:rFonts w:cs="Guttman Hodes"/>
                          <w:rtl/>
                          <w:cs/>
                        </w:rPr>
                      </w:pPr>
                    </w:p>
                  </w:txbxContent>
                </v:textbox>
                <w10:wrap anchorx="margin"/>
              </v:roundrect>
            </w:pict>
          </mc:Fallback>
        </mc:AlternateContent>
      </w:r>
    </w:p>
    <w:p w14:paraId="23217A0A" w14:textId="77777777" w:rsidR="00B020A4" w:rsidRPr="00A4779E" w:rsidRDefault="00B020A4" w:rsidP="00B020A4">
      <w:pPr>
        <w:spacing w:line="240" w:lineRule="auto"/>
        <w:ind w:left="0"/>
        <w:jc w:val="center"/>
        <w:rPr>
          <w:rFonts w:ascii="Calibri" w:eastAsia="Calibri" w:hAnsi="Calibri" w:cs="Guttman Hodes"/>
          <w:sz w:val="18"/>
          <w:szCs w:val="18"/>
          <w:rtl/>
        </w:rPr>
      </w:pPr>
    </w:p>
    <w:p w14:paraId="56538795" w14:textId="77777777" w:rsidR="00B020A4" w:rsidRPr="00A4779E" w:rsidRDefault="00B020A4" w:rsidP="00B020A4">
      <w:pPr>
        <w:spacing w:line="240" w:lineRule="auto"/>
        <w:ind w:left="0"/>
        <w:jc w:val="center"/>
        <w:rPr>
          <w:rFonts w:ascii="Calibri" w:eastAsia="Calibri" w:hAnsi="Calibri" w:cs="Guttman Hodes"/>
          <w:sz w:val="18"/>
          <w:szCs w:val="18"/>
          <w:rtl/>
        </w:rPr>
      </w:pPr>
    </w:p>
    <w:p w14:paraId="5D853093" w14:textId="77777777" w:rsidR="00B020A4" w:rsidRDefault="00B020A4" w:rsidP="00B020A4">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לע"נ הרב משה ב"ר ירמיהו זצ"ל</w:t>
      </w:r>
    </w:p>
    <w:p w14:paraId="59A56240" w14:textId="77777777" w:rsidR="00B020A4" w:rsidRDefault="00B020A4" w:rsidP="00B020A4">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נבל"ע כ"ו אב תשע"ט ת.נ.צ.ב.ה.</w:t>
      </w:r>
    </w:p>
    <w:p w14:paraId="38B70BD7" w14:textId="77777777" w:rsidR="00B020A4" w:rsidRDefault="00B020A4" w:rsidP="00B020A4">
      <w:pPr>
        <w:spacing w:line="240" w:lineRule="auto"/>
        <w:ind w:left="0"/>
        <w:jc w:val="center"/>
        <w:rPr>
          <w:rFonts w:ascii="Calibri" w:eastAsia="Calibri" w:hAnsi="Calibri" w:cs="Guttman Hodes"/>
          <w:sz w:val="18"/>
          <w:szCs w:val="18"/>
          <w:rtl/>
        </w:rPr>
      </w:pPr>
    </w:p>
    <w:p w14:paraId="614E01BB" w14:textId="77777777" w:rsidR="00B020A4" w:rsidRDefault="00B020A4" w:rsidP="00B020A4">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לע"נ הרב משה ב"ר נתן זצ"ל</w:t>
      </w:r>
    </w:p>
    <w:p w14:paraId="08A55FD8" w14:textId="77777777" w:rsidR="00B020A4" w:rsidRDefault="00B020A4" w:rsidP="00B020A4">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נבל"ע ח' סיון תשע"ו ת.נ.צ.ב.ה.</w:t>
      </w:r>
    </w:p>
    <w:p w14:paraId="4B5A8D14" w14:textId="77777777" w:rsidR="00B020A4" w:rsidRDefault="00B020A4" w:rsidP="00B020A4">
      <w:pPr>
        <w:spacing w:line="240" w:lineRule="auto"/>
        <w:ind w:left="0"/>
        <w:jc w:val="center"/>
        <w:rPr>
          <w:rFonts w:ascii="Calibri" w:eastAsia="Calibri" w:hAnsi="Calibri" w:cs="Guttman Hodes"/>
          <w:sz w:val="16"/>
          <w:szCs w:val="16"/>
          <w:rtl/>
        </w:rPr>
      </w:pPr>
    </w:p>
    <w:p w14:paraId="6BE3072A" w14:textId="77777777" w:rsidR="00B020A4" w:rsidRPr="00627AB4" w:rsidRDefault="00B020A4" w:rsidP="00B020A4">
      <w:pPr>
        <w:spacing w:line="240" w:lineRule="auto"/>
        <w:ind w:left="0"/>
        <w:jc w:val="center"/>
        <w:rPr>
          <w:rFonts w:ascii="Calibri" w:eastAsia="Calibri" w:hAnsi="Calibri" w:cs="Guttman Hodes"/>
          <w:sz w:val="16"/>
          <w:szCs w:val="16"/>
          <w:rtl/>
        </w:rPr>
      </w:pPr>
      <w:r w:rsidRPr="00627AB4">
        <w:rPr>
          <w:rFonts w:ascii="Calibri" w:eastAsia="Calibri" w:hAnsi="Calibri" w:cs="Guttman Hodes"/>
          <w:sz w:val="16"/>
          <w:szCs w:val="16"/>
          <w:rtl/>
        </w:rPr>
        <w:t xml:space="preserve">לע"נ </w:t>
      </w:r>
      <w:r w:rsidRPr="00627AB4">
        <w:rPr>
          <w:rFonts w:ascii="Calibri" w:eastAsia="Calibri" w:hAnsi="Calibri" w:cs="Guttman Hodes" w:hint="cs"/>
          <w:sz w:val="16"/>
          <w:szCs w:val="16"/>
          <w:rtl/>
        </w:rPr>
        <w:t>הרב משה זצ"ל</w:t>
      </w:r>
      <w:r>
        <w:rPr>
          <w:rFonts w:ascii="Calibri" w:eastAsia="Calibri" w:hAnsi="Calibri" w:cs="Guttman Hodes" w:hint="cs"/>
          <w:sz w:val="16"/>
          <w:szCs w:val="16"/>
          <w:rtl/>
        </w:rPr>
        <w:t xml:space="preserve"> </w:t>
      </w:r>
      <w:r w:rsidRPr="00627AB4">
        <w:rPr>
          <w:rFonts w:ascii="Calibri" w:eastAsia="Calibri" w:hAnsi="Calibri" w:cs="Guttman Hodes" w:hint="cs"/>
          <w:sz w:val="16"/>
          <w:szCs w:val="16"/>
          <w:rtl/>
        </w:rPr>
        <w:t>ב"ר יצחק זצ"ל</w:t>
      </w:r>
    </w:p>
    <w:p w14:paraId="7F96BA5C" w14:textId="77777777" w:rsidR="00B020A4" w:rsidRPr="00627AB4" w:rsidRDefault="00B020A4" w:rsidP="00B020A4">
      <w:pPr>
        <w:spacing w:line="240" w:lineRule="auto"/>
        <w:ind w:left="0"/>
        <w:jc w:val="center"/>
        <w:rPr>
          <w:rFonts w:ascii="Calibri" w:eastAsia="Calibri" w:hAnsi="Calibri" w:cs="Guttman Hodes"/>
          <w:sz w:val="16"/>
          <w:szCs w:val="16"/>
          <w:rtl/>
        </w:rPr>
      </w:pPr>
      <w:r w:rsidRPr="00627AB4">
        <w:rPr>
          <w:rFonts w:ascii="Calibri" w:eastAsia="Calibri" w:hAnsi="Calibri" w:cs="Guttman Hodes" w:hint="cs"/>
          <w:sz w:val="16"/>
          <w:szCs w:val="16"/>
          <w:rtl/>
        </w:rPr>
        <w:t>נלב"ע י"ז סיון</w:t>
      </w:r>
      <w:r>
        <w:rPr>
          <w:rFonts w:ascii="Calibri" w:eastAsia="Calibri" w:hAnsi="Calibri" w:cs="Guttman Hodes" w:hint="cs"/>
          <w:sz w:val="16"/>
          <w:szCs w:val="16"/>
          <w:rtl/>
        </w:rPr>
        <w:t xml:space="preserve"> </w:t>
      </w:r>
      <w:r w:rsidRPr="00627AB4">
        <w:rPr>
          <w:rFonts w:ascii="Calibri" w:eastAsia="Calibri" w:hAnsi="Calibri" w:cs="Guttman Hodes" w:hint="cs"/>
          <w:sz w:val="16"/>
          <w:szCs w:val="16"/>
          <w:rtl/>
        </w:rPr>
        <w:t>ת.נ.צ.ב.ה.</w:t>
      </w:r>
    </w:p>
    <w:p w14:paraId="54784F09" w14:textId="77777777" w:rsidR="00B020A4" w:rsidRPr="00627AB4" w:rsidRDefault="00B020A4" w:rsidP="00B020A4">
      <w:pPr>
        <w:spacing w:line="240" w:lineRule="auto"/>
        <w:ind w:left="0"/>
        <w:jc w:val="center"/>
        <w:rPr>
          <w:rFonts w:ascii="Calibri" w:eastAsia="Calibri" w:hAnsi="Calibri" w:cs="Guttman Hodes"/>
          <w:sz w:val="16"/>
          <w:szCs w:val="16"/>
          <w:rtl/>
        </w:rPr>
      </w:pPr>
    </w:p>
    <w:p w14:paraId="267CF09A" w14:textId="77777777" w:rsidR="00B020A4" w:rsidRPr="00553801" w:rsidRDefault="00B020A4" w:rsidP="00B020A4">
      <w:pPr>
        <w:spacing w:line="240" w:lineRule="auto"/>
        <w:ind w:left="0"/>
        <w:rPr>
          <w:rFonts w:ascii="Calibri" w:eastAsia="Calibri" w:hAnsi="Calibri" w:cs="Guttman Hodes"/>
          <w:rtl/>
        </w:rPr>
        <w:sectPr w:rsidR="00B020A4" w:rsidRPr="00553801" w:rsidSect="009D4D60">
          <w:type w:val="continuous"/>
          <w:pgSz w:w="11906" w:h="16838"/>
          <w:pgMar w:top="1440" w:right="1800" w:bottom="1440" w:left="1800" w:header="708" w:footer="708" w:gutter="0"/>
          <w:cols w:num="2" w:space="709"/>
          <w:bidi/>
          <w:rtlGutter/>
          <w:docGrid w:linePitch="360"/>
        </w:sectPr>
      </w:pPr>
    </w:p>
    <w:p w14:paraId="2226FFBE" w14:textId="77777777" w:rsidR="00B020A4" w:rsidRPr="00553801" w:rsidRDefault="00B020A4" w:rsidP="00B020A4">
      <w:pPr>
        <w:spacing w:line="240" w:lineRule="auto"/>
        <w:ind w:left="0"/>
        <w:jc w:val="left"/>
        <w:rPr>
          <w:rFonts w:ascii="Calibri" w:eastAsia="Calibri" w:hAnsi="Calibri" w:cs="Arial"/>
          <w:rtl/>
        </w:rPr>
        <w:sectPr w:rsidR="00B020A4" w:rsidRPr="00553801" w:rsidSect="009D4D60">
          <w:type w:val="continuous"/>
          <w:pgSz w:w="11906" w:h="16838"/>
          <w:pgMar w:top="1440" w:right="1800" w:bottom="1440" w:left="1800" w:header="708" w:footer="708" w:gutter="0"/>
          <w:cols w:space="708"/>
          <w:bidi/>
          <w:rtlGutter/>
          <w:docGrid w:linePitch="360"/>
        </w:sectPr>
      </w:pPr>
    </w:p>
    <w:p w14:paraId="4D2DCD8D" w14:textId="77777777" w:rsidR="00B020A4" w:rsidRPr="00BF39B2" w:rsidRDefault="00B020A4" w:rsidP="00B020A4">
      <w:pPr>
        <w:tabs>
          <w:tab w:val="center" w:pos="4153"/>
          <w:tab w:val="right" w:pos="8306"/>
        </w:tabs>
        <w:spacing w:line="240" w:lineRule="auto"/>
        <w:ind w:left="0"/>
        <w:jc w:val="center"/>
        <w:rPr>
          <w:rFonts w:ascii="Calibri" w:eastAsia="Calibri" w:hAnsi="Calibri" w:cs="Guttman Hodes"/>
          <w:b/>
          <w:bCs/>
          <w:sz w:val="28"/>
          <w:szCs w:val="28"/>
          <w:rtl/>
        </w:rPr>
      </w:pPr>
      <w:r w:rsidRPr="00BF39B2">
        <w:rPr>
          <w:rFonts w:ascii="Calibri" w:eastAsia="Calibri" w:hAnsi="Calibri" w:cs="Guttman Hodes" w:hint="cs"/>
          <w:b/>
          <w:bCs/>
          <w:sz w:val="28"/>
          <w:szCs w:val="28"/>
          <w:rtl/>
        </w:rPr>
        <w:t>תוכן העניינים</w:t>
      </w:r>
    </w:p>
    <w:p w14:paraId="71337688" w14:textId="77777777" w:rsidR="00EC5BA3" w:rsidRPr="00BF39B2" w:rsidRDefault="00EC5BA3" w:rsidP="00BF39B2">
      <w:pPr>
        <w:pStyle w:val="1"/>
        <w:rPr>
          <w:rStyle w:val="Hyperlink"/>
          <w:color w:val="auto"/>
          <w:u w:val="none"/>
          <w:rtl/>
        </w:rPr>
      </w:pPr>
      <w:r w:rsidRPr="00BF39B2">
        <w:rPr>
          <w:rStyle w:val="Hyperlink"/>
          <w:rFonts w:hint="cs"/>
          <w:color w:val="auto"/>
          <w:u w:val="none"/>
          <w:rtl/>
        </w:rPr>
        <w:t>פרק ה</w:t>
      </w:r>
      <w:r w:rsidR="00123158" w:rsidRPr="00BF39B2">
        <w:rPr>
          <w:rStyle w:val="Hyperlink"/>
          <w:rFonts w:hint="cs"/>
          <w:color w:val="auto"/>
          <w:u w:val="none"/>
          <w:rtl/>
        </w:rPr>
        <w:t xml:space="preserve">כל </w:t>
      </w:r>
      <w:r w:rsidRPr="00BF39B2">
        <w:rPr>
          <w:rStyle w:val="Hyperlink"/>
          <w:rFonts w:hint="cs"/>
          <w:color w:val="auto"/>
          <w:u w:val="none"/>
          <w:rtl/>
        </w:rPr>
        <w:t>ש</w:t>
      </w:r>
      <w:r w:rsidR="00123158" w:rsidRPr="00BF39B2">
        <w:rPr>
          <w:rStyle w:val="Hyperlink"/>
          <w:rFonts w:hint="cs"/>
          <w:color w:val="auto"/>
          <w:u w:val="none"/>
          <w:rtl/>
        </w:rPr>
        <w:t>ו</w:t>
      </w:r>
      <w:r w:rsidRPr="00BF39B2">
        <w:rPr>
          <w:rStyle w:val="Hyperlink"/>
          <w:rFonts w:hint="cs"/>
          <w:color w:val="auto"/>
          <w:u w:val="none"/>
          <w:rtl/>
        </w:rPr>
        <w:t>חט</w:t>
      </w:r>
      <w:r w:rsidR="00123158" w:rsidRPr="00BF39B2">
        <w:rPr>
          <w:rStyle w:val="Hyperlink"/>
          <w:rFonts w:hint="cs"/>
          <w:color w:val="auto"/>
          <w:u w:val="none"/>
          <w:rtl/>
        </w:rPr>
        <w:t>ין</w:t>
      </w:r>
      <w:bookmarkEnd w:id="3"/>
      <w:bookmarkEnd w:id="4"/>
    </w:p>
    <w:p w14:paraId="5E573737" w14:textId="77777777" w:rsidR="00F31AA3" w:rsidRPr="00ED6DB9" w:rsidRDefault="00F31AA3" w:rsidP="00F31AA3">
      <w:pPr>
        <w:pStyle w:val="TOC2"/>
        <w:tabs>
          <w:tab w:val="right" w:leader="dot" w:pos="10456"/>
        </w:tabs>
        <w:rPr>
          <w:rFonts w:eastAsiaTheme="minorEastAsia" w:cs="Guttman Hodes"/>
          <w:i w:val="0"/>
          <w:iCs w:val="0"/>
          <w:noProof/>
          <w:rtl/>
        </w:rPr>
      </w:pPr>
      <w:r w:rsidRPr="00ED6DB9">
        <w:rPr>
          <w:rFonts w:ascii="Calibri" w:eastAsia="Calibri" w:hAnsi="Calibri" w:cs="Guttman Hodes"/>
          <w:b/>
          <w:bCs/>
          <w:sz w:val="24"/>
          <w:szCs w:val="24"/>
          <w:rtl/>
        </w:rPr>
        <w:fldChar w:fldCharType="begin"/>
      </w:r>
      <w:r w:rsidRPr="00ED6DB9">
        <w:rPr>
          <w:rFonts w:ascii="Calibri" w:eastAsia="Calibri" w:hAnsi="Calibri" w:cs="Guttman Hodes"/>
          <w:b/>
          <w:bCs/>
          <w:sz w:val="24"/>
          <w:szCs w:val="24"/>
          <w:rtl/>
        </w:rPr>
        <w:instrText xml:space="preserve"> </w:instrText>
      </w:r>
      <w:r w:rsidRPr="00ED6DB9">
        <w:rPr>
          <w:rFonts w:ascii="Calibri" w:eastAsia="Calibri" w:hAnsi="Calibri" w:cs="Guttman Hodes"/>
          <w:b/>
          <w:bCs/>
          <w:sz w:val="24"/>
          <w:szCs w:val="24"/>
        </w:rPr>
        <w:instrText>TOC</w:instrText>
      </w:r>
      <w:r w:rsidRPr="00ED6DB9">
        <w:rPr>
          <w:rFonts w:ascii="Calibri" w:eastAsia="Calibri" w:hAnsi="Calibri" w:cs="Guttman Hodes"/>
          <w:b/>
          <w:bCs/>
          <w:sz w:val="24"/>
          <w:szCs w:val="24"/>
          <w:rtl/>
        </w:rPr>
        <w:instrText xml:space="preserve"> \</w:instrText>
      </w:r>
      <w:r w:rsidRPr="00ED6DB9">
        <w:rPr>
          <w:rFonts w:ascii="Calibri" w:eastAsia="Calibri" w:hAnsi="Calibri" w:cs="Guttman Hodes"/>
          <w:b/>
          <w:bCs/>
          <w:sz w:val="24"/>
          <w:szCs w:val="24"/>
        </w:rPr>
        <w:instrText>h \z \t</w:instrText>
      </w:r>
      <w:r w:rsidRPr="00ED6DB9">
        <w:rPr>
          <w:rFonts w:ascii="Calibri" w:eastAsia="Calibri" w:hAnsi="Calibri" w:cs="Guttman Hodes"/>
          <w:b/>
          <w:bCs/>
          <w:sz w:val="24"/>
          <w:szCs w:val="24"/>
          <w:rtl/>
        </w:rPr>
        <w:instrText xml:space="preserve"> "כות מקטע,2" </w:instrText>
      </w:r>
      <w:r w:rsidRPr="00ED6DB9">
        <w:rPr>
          <w:rFonts w:ascii="Calibri" w:eastAsia="Calibri" w:hAnsi="Calibri" w:cs="Guttman Hodes"/>
          <w:b/>
          <w:bCs/>
          <w:sz w:val="24"/>
          <w:szCs w:val="24"/>
          <w:rtl/>
        </w:rPr>
        <w:fldChar w:fldCharType="separate"/>
      </w:r>
      <w:hyperlink w:anchor="_Toc16669719" w:history="1">
        <w:r w:rsidRPr="00ED6DB9">
          <w:rPr>
            <w:rStyle w:val="Hyperlink"/>
            <w:rFonts w:cs="Guttman Hodes"/>
            <w:noProof/>
            <w:sz w:val="18"/>
            <w:szCs w:val="18"/>
            <w:rtl/>
          </w:rPr>
          <w:t>סימן א'</w:t>
        </w:r>
        <w:r w:rsidRPr="00ED6DB9">
          <w:rPr>
            <w:rFonts w:cs="Guttman Hodes" w:hint="cs"/>
            <w:noProof/>
            <w:webHidden/>
            <w:sz w:val="18"/>
            <w:szCs w:val="18"/>
            <w:rtl/>
          </w:rPr>
          <w:t xml:space="preserve"> </w:t>
        </w:r>
        <w:r w:rsidRPr="00ED6DB9">
          <w:rPr>
            <w:rFonts w:cs="Guttman Hodes"/>
            <w:noProof/>
            <w:sz w:val="18"/>
            <w:szCs w:val="18"/>
            <w:rtl/>
          </w:rPr>
          <w:t>בענין בהמה בחייה בחזקת איסור עומדת</w:t>
        </w:r>
        <w:r w:rsidRPr="00ED6DB9">
          <w:rPr>
            <w:rFonts w:cs="Guttman Hodes"/>
            <w:noProof/>
            <w:webHidden/>
            <w:sz w:val="18"/>
            <w:szCs w:val="18"/>
            <w:rtl/>
          </w:rPr>
          <w:tab/>
        </w:r>
        <w:r w:rsidRPr="00ED6DB9">
          <w:rPr>
            <w:rStyle w:val="Hyperlink"/>
            <w:rFonts w:cs="Guttman Hodes"/>
            <w:noProof/>
            <w:sz w:val="18"/>
            <w:szCs w:val="18"/>
            <w:rtl/>
          </w:rPr>
          <w:fldChar w:fldCharType="begin"/>
        </w:r>
        <w:r w:rsidRPr="00ED6DB9">
          <w:rPr>
            <w:rFonts w:cs="Guttman Hodes"/>
            <w:noProof/>
            <w:webHidden/>
            <w:sz w:val="18"/>
            <w:szCs w:val="18"/>
            <w:rtl/>
          </w:rPr>
          <w:instrText xml:space="preserve"> </w:instrText>
        </w:r>
        <w:r w:rsidRPr="00ED6DB9">
          <w:rPr>
            <w:rFonts w:cs="Guttman Hodes"/>
            <w:noProof/>
            <w:webHidden/>
            <w:sz w:val="18"/>
            <w:szCs w:val="18"/>
          </w:rPr>
          <w:instrText>PAGEREF</w:instrText>
        </w:r>
        <w:r w:rsidRPr="00ED6DB9">
          <w:rPr>
            <w:rFonts w:cs="Guttman Hodes"/>
            <w:noProof/>
            <w:webHidden/>
            <w:sz w:val="18"/>
            <w:szCs w:val="18"/>
            <w:rtl/>
          </w:rPr>
          <w:instrText xml:space="preserve"> _</w:instrText>
        </w:r>
        <w:r w:rsidRPr="00ED6DB9">
          <w:rPr>
            <w:rFonts w:cs="Guttman Hodes"/>
            <w:noProof/>
            <w:webHidden/>
            <w:sz w:val="18"/>
            <w:szCs w:val="18"/>
          </w:rPr>
          <w:instrText>Toc16669719 \h</w:instrText>
        </w:r>
        <w:r w:rsidRPr="00ED6DB9">
          <w:rPr>
            <w:rFonts w:cs="Guttman Hodes"/>
            <w:noProof/>
            <w:webHidden/>
            <w:sz w:val="18"/>
            <w:szCs w:val="18"/>
            <w:rtl/>
          </w:rPr>
          <w:instrText xml:space="preserve"> </w:instrText>
        </w:r>
        <w:r w:rsidRPr="00ED6DB9">
          <w:rPr>
            <w:rStyle w:val="Hyperlink"/>
            <w:rFonts w:cs="Guttman Hodes"/>
            <w:noProof/>
            <w:sz w:val="18"/>
            <w:szCs w:val="18"/>
            <w:rtl/>
          </w:rPr>
        </w:r>
        <w:r w:rsidRPr="00ED6DB9">
          <w:rPr>
            <w:rStyle w:val="Hyperlink"/>
            <w:rFonts w:cs="Guttman Hodes"/>
            <w:noProof/>
            <w:sz w:val="18"/>
            <w:szCs w:val="18"/>
            <w:rtl/>
          </w:rPr>
          <w:fldChar w:fldCharType="separate"/>
        </w:r>
        <w:r w:rsidR="00345400">
          <w:rPr>
            <w:rFonts w:cs="Guttman Hodes"/>
            <w:noProof/>
            <w:webHidden/>
            <w:sz w:val="18"/>
            <w:szCs w:val="18"/>
            <w:rtl/>
          </w:rPr>
          <w:t>1</w:t>
        </w:r>
        <w:r w:rsidRPr="00ED6DB9">
          <w:rPr>
            <w:rStyle w:val="Hyperlink"/>
            <w:rFonts w:cs="Guttman Hodes"/>
            <w:noProof/>
            <w:sz w:val="18"/>
            <w:szCs w:val="18"/>
            <w:rtl/>
          </w:rPr>
          <w:fldChar w:fldCharType="end"/>
        </w:r>
      </w:hyperlink>
    </w:p>
    <w:p w14:paraId="52EE23E7" w14:textId="77777777" w:rsidR="00F31AA3" w:rsidRPr="00ED6DB9" w:rsidRDefault="004B65FC">
      <w:pPr>
        <w:pStyle w:val="TOC2"/>
        <w:tabs>
          <w:tab w:val="right" w:leader="dot" w:pos="10456"/>
        </w:tabs>
        <w:rPr>
          <w:rFonts w:eastAsiaTheme="minorEastAsia" w:cs="Guttman Hodes"/>
          <w:i w:val="0"/>
          <w:iCs w:val="0"/>
          <w:noProof/>
          <w:rtl/>
        </w:rPr>
      </w:pPr>
      <w:hyperlink w:anchor="_Toc16669721" w:history="1">
        <w:r w:rsidR="00F31AA3" w:rsidRPr="00ED6DB9">
          <w:rPr>
            <w:rStyle w:val="Hyperlink"/>
            <w:rFonts w:cs="Guttman Hodes"/>
            <w:noProof/>
            <w:sz w:val="18"/>
            <w:szCs w:val="18"/>
            <w:rtl/>
          </w:rPr>
          <w:t>סימן ב'</w:t>
        </w:r>
        <w:r w:rsidR="00F31AA3" w:rsidRPr="00ED6DB9">
          <w:rPr>
            <w:rFonts w:cs="Guttman Hodes"/>
            <w:sz w:val="18"/>
            <w:szCs w:val="18"/>
            <w:rtl/>
          </w:rPr>
          <w:t xml:space="preserve"> </w:t>
        </w:r>
        <w:r w:rsidR="00F31AA3" w:rsidRPr="00ED6DB9">
          <w:rPr>
            <w:rFonts w:cs="Guttman Hodes"/>
            <w:noProof/>
            <w:sz w:val="18"/>
            <w:szCs w:val="18"/>
            <w:rtl/>
          </w:rPr>
          <w:t>בענין מחזיקין מאיסור לאיסור</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Toc16669721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15</w:t>
        </w:r>
        <w:r w:rsidR="00F31AA3" w:rsidRPr="00ED6DB9">
          <w:rPr>
            <w:rStyle w:val="Hyperlink"/>
            <w:rFonts w:cs="Guttman Hodes"/>
            <w:noProof/>
            <w:sz w:val="18"/>
            <w:szCs w:val="18"/>
            <w:rtl/>
          </w:rPr>
          <w:fldChar w:fldCharType="end"/>
        </w:r>
      </w:hyperlink>
    </w:p>
    <w:p w14:paraId="14E4367A" w14:textId="77777777" w:rsidR="00F31AA3" w:rsidRPr="00ED6DB9" w:rsidRDefault="004B65FC">
      <w:pPr>
        <w:pStyle w:val="TOC2"/>
        <w:tabs>
          <w:tab w:val="right" w:leader="dot" w:pos="10456"/>
        </w:tabs>
        <w:rPr>
          <w:rFonts w:eastAsiaTheme="minorEastAsia" w:cs="Guttman Hodes"/>
          <w:i w:val="0"/>
          <w:iCs w:val="0"/>
          <w:noProof/>
          <w:rtl/>
        </w:rPr>
      </w:pPr>
      <w:hyperlink w:anchor="_Toc16669723" w:history="1">
        <w:r w:rsidR="00F31AA3" w:rsidRPr="00ED6DB9">
          <w:rPr>
            <w:rStyle w:val="Hyperlink"/>
            <w:rFonts w:cs="Guttman Hodes"/>
            <w:noProof/>
            <w:sz w:val="18"/>
            <w:szCs w:val="18"/>
            <w:rtl/>
          </w:rPr>
          <w:t>סימן ג'</w:t>
        </w:r>
        <w:r w:rsidR="00F31AA3" w:rsidRPr="00ED6DB9">
          <w:rPr>
            <w:rFonts w:cs="Guttman Hodes"/>
            <w:sz w:val="18"/>
            <w:szCs w:val="18"/>
            <w:rtl/>
          </w:rPr>
          <w:t xml:space="preserve"> </w:t>
        </w:r>
        <w:r w:rsidR="00F31AA3" w:rsidRPr="00ED6DB9">
          <w:rPr>
            <w:rFonts w:cs="Guttman Hodes"/>
            <w:noProof/>
            <w:sz w:val="18"/>
            <w:szCs w:val="18"/>
            <w:rtl/>
          </w:rPr>
          <w:t>בענין חזקת היתר בספק טריפה</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Toc16669723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29</w:t>
        </w:r>
        <w:r w:rsidR="00F31AA3" w:rsidRPr="00ED6DB9">
          <w:rPr>
            <w:rStyle w:val="Hyperlink"/>
            <w:rFonts w:cs="Guttman Hodes"/>
            <w:noProof/>
            <w:sz w:val="18"/>
            <w:szCs w:val="18"/>
            <w:rtl/>
          </w:rPr>
          <w:fldChar w:fldCharType="end"/>
        </w:r>
      </w:hyperlink>
    </w:p>
    <w:p w14:paraId="120AACD5" w14:textId="77777777" w:rsidR="00F31AA3" w:rsidRPr="00ED6DB9" w:rsidRDefault="004B65FC">
      <w:pPr>
        <w:pStyle w:val="TOC2"/>
        <w:tabs>
          <w:tab w:val="right" w:leader="dot" w:pos="10456"/>
        </w:tabs>
        <w:rPr>
          <w:rFonts w:eastAsiaTheme="minorEastAsia" w:cs="Guttman Hodes"/>
          <w:i w:val="0"/>
          <w:iCs w:val="0"/>
          <w:noProof/>
          <w:rtl/>
        </w:rPr>
      </w:pPr>
      <w:hyperlink w:anchor="_Toc16669725" w:history="1">
        <w:r w:rsidR="00F31AA3" w:rsidRPr="00ED6DB9">
          <w:rPr>
            <w:rStyle w:val="Hyperlink"/>
            <w:rFonts w:cs="Guttman Hodes"/>
            <w:noProof/>
            <w:sz w:val="18"/>
            <w:szCs w:val="18"/>
            <w:rtl/>
          </w:rPr>
          <w:t>סימן ד'</w:t>
        </w:r>
        <w:r w:rsidR="00F31AA3" w:rsidRPr="00ED6DB9">
          <w:rPr>
            <w:rFonts w:cs="Guttman Hodes"/>
            <w:sz w:val="18"/>
            <w:szCs w:val="18"/>
            <w:rtl/>
          </w:rPr>
          <w:t xml:space="preserve"> </w:t>
        </w:r>
        <w:r w:rsidR="00F31AA3" w:rsidRPr="00ED6DB9">
          <w:rPr>
            <w:rFonts w:cs="Guttman Hodes"/>
            <w:noProof/>
            <w:sz w:val="18"/>
            <w:szCs w:val="18"/>
            <w:rtl/>
          </w:rPr>
          <w:t>בסוגיא דהשוחט בסכין ונמצאת פגומה (א')</w:t>
        </w:r>
        <w:r w:rsidR="00F31AA3" w:rsidRPr="00ED6DB9">
          <w:rPr>
            <w:rFonts w:cs="Guttman Hodes"/>
            <w:sz w:val="18"/>
            <w:szCs w:val="18"/>
            <w:rtl/>
          </w:rPr>
          <w:t xml:space="preserve"> </w:t>
        </w:r>
        <w:r w:rsidR="00F31AA3" w:rsidRPr="00ED6DB9">
          <w:rPr>
            <w:rFonts w:cs="Guttman Hodes"/>
            <w:noProof/>
            <w:sz w:val="18"/>
            <w:szCs w:val="18"/>
            <w:rtl/>
          </w:rPr>
          <w:t>בחיוב הבדיקה ובדין אבד הסכין</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Toc16669725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43</w:t>
        </w:r>
        <w:r w:rsidR="00F31AA3" w:rsidRPr="00ED6DB9">
          <w:rPr>
            <w:rStyle w:val="Hyperlink"/>
            <w:rFonts w:cs="Guttman Hodes"/>
            <w:noProof/>
            <w:sz w:val="18"/>
            <w:szCs w:val="18"/>
            <w:rtl/>
          </w:rPr>
          <w:fldChar w:fldCharType="end"/>
        </w:r>
      </w:hyperlink>
    </w:p>
    <w:p w14:paraId="3E9517EF" w14:textId="77777777" w:rsidR="00F31AA3" w:rsidRPr="00ED6DB9" w:rsidRDefault="004B65FC">
      <w:pPr>
        <w:pStyle w:val="TOC2"/>
        <w:tabs>
          <w:tab w:val="right" w:leader="dot" w:pos="10456"/>
        </w:tabs>
        <w:rPr>
          <w:rFonts w:eastAsiaTheme="minorEastAsia" w:cs="Guttman Hodes"/>
          <w:i w:val="0"/>
          <w:iCs w:val="0"/>
          <w:noProof/>
          <w:rtl/>
        </w:rPr>
      </w:pPr>
      <w:hyperlink w:anchor="_Toc16669728" w:history="1">
        <w:r w:rsidR="00F31AA3" w:rsidRPr="00ED6DB9">
          <w:rPr>
            <w:rStyle w:val="Hyperlink"/>
            <w:rFonts w:cs="Guttman Hodes"/>
            <w:noProof/>
            <w:sz w:val="18"/>
            <w:szCs w:val="18"/>
            <w:rtl/>
          </w:rPr>
          <w:t>סימן ה'</w:t>
        </w:r>
        <w:r w:rsidR="00F31AA3" w:rsidRPr="00ED6DB9">
          <w:rPr>
            <w:rFonts w:cs="Guttman Hodes"/>
            <w:sz w:val="18"/>
            <w:szCs w:val="18"/>
            <w:rtl/>
          </w:rPr>
          <w:t xml:space="preserve"> </w:t>
        </w:r>
        <w:r w:rsidR="00F31AA3" w:rsidRPr="00ED6DB9">
          <w:rPr>
            <w:rFonts w:cs="Guttman Hodes"/>
            <w:noProof/>
            <w:sz w:val="18"/>
            <w:szCs w:val="18"/>
            <w:rtl/>
          </w:rPr>
          <w:t>בסוגיא דהשוחט בסכין ונמצאת פגומה (ב')</w:t>
        </w:r>
        <w:r w:rsidR="00F31AA3" w:rsidRPr="00ED6DB9">
          <w:rPr>
            <w:rFonts w:cs="Guttman Hodes"/>
            <w:sz w:val="18"/>
            <w:szCs w:val="18"/>
            <w:rtl/>
          </w:rPr>
          <w:t xml:space="preserve"> </w:t>
        </w:r>
        <w:r w:rsidR="00F31AA3" w:rsidRPr="00ED6DB9">
          <w:rPr>
            <w:rFonts w:cs="Guttman Hodes"/>
            <w:noProof/>
            <w:sz w:val="18"/>
            <w:szCs w:val="18"/>
            <w:rtl/>
          </w:rPr>
          <w:t>בביאור סברת ההיתר לרב חסדא</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Toc16669728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55</w:t>
        </w:r>
        <w:r w:rsidR="00F31AA3" w:rsidRPr="00ED6DB9">
          <w:rPr>
            <w:rStyle w:val="Hyperlink"/>
            <w:rFonts w:cs="Guttman Hodes"/>
            <w:noProof/>
            <w:sz w:val="18"/>
            <w:szCs w:val="18"/>
            <w:rtl/>
          </w:rPr>
          <w:fldChar w:fldCharType="end"/>
        </w:r>
      </w:hyperlink>
    </w:p>
    <w:p w14:paraId="78C3FA45" w14:textId="77777777" w:rsidR="00F31AA3" w:rsidRPr="00ED6DB9" w:rsidRDefault="004B65FC">
      <w:pPr>
        <w:pStyle w:val="TOC2"/>
        <w:tabs>
          <w:tab w:val="right" w:leader="dot" w:pos="10456"/>
        </w:tabs>
        <w:rPr>
          <w:rFonts w:eastAsiaTheme="minorEastAsia" w:cs="Guttman Hodes"/>
          <w:i w:val="0"/>
          <w:iCs w:val="0"/>
          <w:noProof/>
          <w:rtl/>
        </w:rPr>
      </w:pPr>
      <w:hyperlink w:anchor="_Toc16669731" w:history="1">
        <w:r w:rsidR="00F31AA3" w:rsidRPr="00ED6DB9">
          <w:rPr>
            <w:rStyle w:val="Hyperlink"/>
            <w:rFonts w:cs="Guttman Hodes"/>
            <w:noProof/>
            <w:sz w:val="18"/>
            <w:szCs w:val="18"/>
            <w:rtl/>
          </w:rPr>
          <w:t>סימן ו'</w:t>
        </w:r>
        <w:r w:rsidR="00F31AA3" w:rsidRPr="00ED6DB9">
          <w:rPr>
            <w:rFonts w:cs="Guttman Hodes"/>
            <w:sz w:val="18"/>
            <w:szCs w:val="18"/>
            <w:rtl/>
          </w:rPr>
          <w:t xml:space="preserve"> </w:t>
        </w:r>
        <w:r w:rsidR="00F31AA3" w:rsidRPr="00ED6DB9">
          <w:rPr>
            <w:rFonts w:cs="Guttman Hodes"/>
            <w:noProof/>
            <w:sz w:val="18"/>
            <w:szCs w:val="18"/>
            <w:rtl/>
          </w:rPr>
          <w:t>בסוגיא דהשוחט בסכין ונמצאת פגומה (ג')</w:t>
        </w:r>
        <w:r w:rsidR="00F31AA3" w:rsidRPr="00ED6DB9">
          <w:rPr>
            <w:rFonts w:cs="Guttman Hodes"/>
            <w:sz w:val="18"/>
            <w:szCs w:val="18"/>
            <w:rtl/>
          </w:rPr>
          <w:t xml:space="preserve"> </w:t>
        </w:r>
        <w:r w:rsidR="00F31AA3" w:rsidRPr="00ED6DB9">
          <w:rPr>
            <w:rFonts w:cs="Guttman Hodes"/>
            <w:noProof/>
            <w:sz w:val="18"/>
            <w:szCs w:val="18"/>
            <w:rtl/>
          </w:rPr>
          <w:t>בענין תליה במפרקת ובבדיקה בין שחיטה לשחיטה</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Toc16669731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65</w:t>
        </w:r>
        <w:r w:rsidR="00F31AA3" w:rsidRPr="00ED6DB9">
          <w:rPr>
            <w:rStyle w:val="Hyperlink"/>
            <w:rFonts w:cs="Guttman Hodes"/>
            <w:noProof/>
            <w:sz w:val="18"/>
            <w:szCs w:val="18"/>
            <w:rtl/>
          </w:rPr>
          <w:fldChar w:fldCharType="end"/>
        </w:r>
      </w:hyperlink>
    </w:p>
    <w:p w14:paraId="11653017" w14:textId="77777777" w:rsidR="00F31AA3" w:rsidRPr="00ED6DB9" w:rsidRDefault="004B65FC">
      <w:pPr>
        <w:pStyle w:val="TOC2"/>
        <w:tabs>
          <w:tab w:val="right" w:leader="dot" w:pos="10456"/>
        </w:tabs>
        <w:rPr>
          <w:rFonts w:eastAsiaTheme="minorEastAsia" w:cs="Guttman Hodes"/>
          <w:i w:val="0"/>
          <w:iCs w:val="0"/>
          <w:noProof/>
          <w:rtl/>
        </w:rPr>
      </w:pPr>
      <w:hyperlink w:anchor="_Toc16669734" w:history="1">
        <w:r w:rsidR="00F31AA3" w:rsidRPr="00ED6DB9">
          <w:rPr>
            <w:rStyle w:val="Hyperlink"/>
            <w:rFonts w:cs="Guttman Hodes"/>
            <w:noProof/>
            <w:sz w:val="18"/>
            <w:szCs w:val="18"/>
            <w:rtl/>
          </w:rPr>
          <w:t>סימן ז'</w:t>
        </w:r>
        <w:r w:rsidR="00F31AA3" w:rsidRPr="00ED6DB9">
          <w:rPr>
            <w:rFonts w:cs="Guttman Hodes"/>
            <w:sz w:val="18"/>
            <w:szCs w:val="18"/>
            <w:rtl/>
          </w:rPr>
          <w:t xml:space="preserve"> </w:t>
        </w:r>
        <w:r w:rsidR="00F31AA3" w:rsidRPr="00ED6DB9">
          <w:rPr>
            <w:rFonts w:cs="Guttman Hodes"/>
            <w:noProof/>
            <w:sz w:val="18"/>
            <w:szCs w:val="18"/>
            <w:rtl/>
          </w:rPr>
          <w:t>בילפותא דחזקה מבית המנוגע</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Toc16669734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79</w:t>
        </w:r>
        <w:r w:rsidR="00F31AA3" w:rsidRPr="00ED6DB9">
          <w:rPr>
            <w:rStyle w:val="Hyperlink"/>
            <w:rFonts w:cs="Guttman Hodes"/>
            <w:noProof/>
            <w:sz w:val="18"/>
            <w:szCs w:val="18"/>
            <w:rtl/>
          </w:rPr>
          <w:fldChar w:fldCharType="end"/>
        </w:r>
      </w:hyperlink>
    </w:p>
    <w:p w14:paraId="71F2A21E" w14:textId="77777777" w:rsidR="00F31AA3" w:rsidRPr="00ED6DB9" w:rsidRDefault="004B65FC">
      <w:pPr>
        <w:pStyle w:val="TOC2"/>
        <w:tabs>
          <w:tab w:val="right" w:leader="dot" w:pos="10456"/>
        </w:tabs>
        <w:rPr>
          <w:rFonts w:eastAsiaTheme="minorEastAsia" w:cs="Guttman Hodes"/>
          <w:i w:val="0"/>
          <w:iCs w:val="0"/>
          <w:noProof/>
          <w:rtl/>
        </w:rPr>
      </w:pPr>
      <w:hyperlink w:anchor="_Toc16669736" w:history="1">
        <w:r w:rsidR="00F31AA3" w:rsidRPr="00ED6DB9">
          <w:rPr>
            <w:rStyle w:val="Hyperlink"/>
            <w:rFonts w:cs="Guttman Hodes"/>
            <w:noProof/>
            <w:sz w:val="18"/>
            <w:szCs w:val="18"/>
            <w:rtl/>
          </w:rPr>
          <w:t>סימן ח'</w:t>
        </w:r>
        <w:r w:rsidR="00F31AA3" w:rsidRPr="00ED6DB9">
          <w:rPr>
            <w:rFonts w:cs="Guttman Hodes"/>
            <w:sz w:val="18"/>
            <w:szCs w:val="18"/>
            <w:rtl/>
          </w:rPr>
          <w:t xml:space="preserve"> </w:t>
        </w:r>
        <w:r w:rsidR="00F31AA3" w:rsidRPr="00ED6DB9">
          <w:rPr>
            <w:rFonts w:cs="Guttman Hodes"/>
            <w:noProof/>
            <w:sz w:val="18"/>
            <w:szCs w:val="18"/>
            <w:rtl/>
          </w:rPr>
          <w:t>בסוגיא דרוב (א')</w:t>
        </w:r>
        <w:r w:rsidR="00F31AA3" w:rsidRPr="00ED6DB9">
          <w:rPr>
            <w:rFonts w:cs="Guttman Hodes"/>
            <w:sz w:val="18"/>
            <w:szCs w:val="18"/>
            <w:rtl/>
          </w:rPr>
          <w:t xml:space="preserve"> </w:t>
        </w:r>
        <w:r w:rsidR="00F31AA3" w:rsidRPr="00ED6DB9">
          <w:rPr>
            <w:rFonts w:cs="Guttman Hodes"/>
            <w:noProof/>
            <w:sz w:val="18"/>
            <w:szCs w:val="18"/>
            <w:rtl/>
          </w:rPr>
          <w:t>בביאור הילפותא וגדר הדין ברובא דאיתא קמן וליתא קמן</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Toc16669736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90</w:t>
        </w:r>
        <w:r w:rsidR="00F31AA3" w:rsidRPr="00ED6DB9">
          <w:rPr>
            <w:rStyle w:val="Hyperlink"/>
            <w:rFonts w:cs="Guttman Hodes"/>
            <w:noProof/>
            <w:sz w:val="18"/>
            <w:szCs w:val="18"/>
            <w:rtl/>
          </w:rPr>
          <w:fldChar w:fldCharType="end"/>
        </w:r>
      </w:hyperlink>
    </w:p>
    <w:p w14:paraId="044248D8" w14:textId="77777777" w:rsidR="00F31AA3" w:rsidRPr="00ED6DB9" w:rsidRDefault="004B65FC">
      <w:pPr>
        <w:pStyle w:val="TOC2"/>
        <w:tabs>
          <w:tab w:val="right" w:leader="dot" w:pos="10456"/>
        </w:tabs>
        <w:rPr>
          <w:rFonts w:eastAsiaTheme="minorEastAsia" w:cs="Guttman Hodes"/>
          <w:i w:val="0"/>
          <w:iCs w:val="0"/>
          <w:noProof/>
          <w:rtl/>
        </w:rPr>
      </w:pPr>
      <w:hyperlink w:anchor="_Toc16669739" w:history="1">
        <w:r w:rsidR="00F31AA3" w:rsidRPr="00ED6DB9">
          <w:rPr>
            <w:rStyle w:val="Hyperlink"/>
            <w:rFonts w:cs="Guttman Hodes"/>
            <w:noProof/>
            <w:sz w:val="18"/>
            <w:szCs w:val="18"/>
            <w:rtl/>
          </w:rPr>
          <w:t>סימן ט'</w:t>
        </w:r>
        <w:r w:rsidR="00F31AA3" w:rsidRPr="00ED6DB9">
          <w:rPr>
            <w:rFonts w:cs="Guttman Hodes"/>
            <w:sz w:val="18"/>
            <w:szCs w:val="18"/>
            <w:rtl/>
          </w:rPr>
          <w:t xml:space="preserve"> </w:t>
        </w:r>
        <w:r w:rsidR="00F31AA3" w:rsidRPr="00ED6DB9">
          <w:rPr>
            <w:rFonts w:cs="Guttman Hodes"/>
            <w:noProof/>
            <w:sz w:val="18"/>
            <w:szCs w:val="18"/>
            <w:rtl/>
          </w:rPr>
          <w:t>בסוגיא דרוב (ב')</w:t>
        </w:r>
        <w:r w:rsidR="00F31AA3" w:rsidRPr="00ED6DB9">
          <w:rPr>
            <w:rFonts w:cs="Guttman Hodes"/>
            <w:sz w:val="18"/>
            <w:szCs w:val="18"/>
            <w:rtl/>
          </w:rPr>
          <w:t xml:space="preserve"> </w:t>
        </w:r>
        <w:r w:rsidR="00F31AA3" w:rsidRPr="00ED6DB9">
          <w:rPr>
            <w:rFonts w:cs="Guttman Hodes"/>
            <w:noProof/>
            <w:sz w:val="18"/>
            <w:szCs w:val="18"/>
            <w:rtl/>
          </w:rPr>
          <w:t>בענין חזקה שלא נתבררה בשעתה וחזקה מכח רוב</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Toc16669739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105</w:t>
        </w:r>
        <w:r w:rsidR="00F31AA3" w:rsidRPr="00ED6DB9">
          <w:rPr>
            <w:rStyle w:val="Hyperlink"/>
            <w:rFonts w:cs="Guttman Hodes"/>
            <w:noProof/>
            <w:sz w:val="18"/>
            <w:szCs w:val="18"/>
            <w:rtl/>
          </w:rPr>
          <w:fldChar w:fldCharType="end"/>
        </w:r>
      </w:hyperlink>
    </w:p>
    <w:p w14:paraId="7DF14854" w14:textId="77777777" w:rsidR="00F31AA3" w:rsidRPr="00ED6DB9" w:rsidRDefault="004B65FC">
      <w:pPr>
        <w:pStyle w:val="TOC2"/>
        <w:tabs>
          <w:tab w:val="right" w:leader="dot" w:pos="10456"/>
        </w:tabs>
        <w:rPr>
          <w:rFonts w:eastAsiaTheme="minorEastAsia" w:cs="Guttman Hodes"/>
          <w:i w:val="0"/>
          <w:iCs w:val="0"/>
          <w:noProof/>
          <w:rtl/>
        </w:rPr>
      </w:pPr>
      <w:hyperlink w:anchor="_Toc16669742" w:history="1">
        <w:r w:rsidR="00F31AA3" w:rsidRPr="00ED6DB9">
          <w:rPr>
            <w:rStyle w:val="Hyperlink"/>
            <w:rFonts w:cs="Guttman Hodes"/>
            <w:noProof/>
            <w:sz w:val="18"/>
            <w:szCs w:val="18"/>
            <w:rtl/>
          </w:rPr>
          <w:t>סימן י'</w:t>
        </w:r>
        <w:r w:rsidR="00F31AA3" w:rsidRPr="00ED6DB9">
          <w:rPr>
            <w:rFonts w:cs="Guttman Hodes"/>
            <w:sz w:val="18"/>
            <w:szCs w:val="18"/>
            <w:rtl/>
          </w:rPr>
          <w:t xml:space="preserve"> </w:t>
        </w:r>
        <w:r w:rsidR="00F31AA3" w:rsidRPr="00ED6DB9">
          <w:rPr>
            <w:rFonts w:cs="Guttman Hodes"/>
            <w:noProof/>
            <w:sz w:val="18"/>
            <w:szCs w:val="18"/>
            <w:rtl/>
          </w:rPr>
          <w:t>בסוגיא דרוב (ג')</w:t>
        </w:r>
        <w:r w:rsidR="00F31AA3" w:rsidRPr="00ED6DB9">
          <w:rPr>
            <w:rFonts w:cs="Guttman Hodes"/>
            <w:sz w:val="18"/>
            <w:szCs w:val="18"/>
            <w:rtl/>
          </w:rPr>
          <w:t xml:space="preserve"> </w:t>
        </w:r>
        <w:r w:rsidR="00F31AA3" w:rsidRPr="00ED6DB9">
          <w:rPr>
            <w:rFonts w:cs="Guttman Hodes"/>
            <w:noProof/>
            <w:sz w:val="18"/>
            <w:szCs w:val="18"/>
            <w:rtl/>
          </w:rPr>
          <w:t>בילפותא ממכה אביו ובענין רוב בדיני נפשות</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Toc16669742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119</w:t>
        </w:r>
        <w:r w:rsidR="00F31AA3" w:rsidRPr="00ED6DB9">
          <w:rPr>
            <w:rStyle w:val="Hyperlink"/>
            <w:rFonts w:cs="Guttman Hodes"/>
            <w:noProof/>
            <w:sz w:val="18"/>
            <w:szCs w:val="18"/>
            <w:rtl/>
          </w:rPr>
          <w:fldChar w:fldCharType="end"/>
        </w:r>
      </w:hyperlink>
    </w:p>
    <w:p w14:paraId="2C70B1C2" w14:textId="77777777" w:rsidR="00F31AA3" w:rsidRPr="00ED6DB9" w:rsidRDefault="004B65FC">
      <w:pPr>
        <w:pStyle w:val="TOC2"/>
        <w:tabs>
          <w:tab w:val="right" w:leader="dot" w:pos="10456"/>
        </w:tabs>
        <w:rPr>
          <w:rFonts w:eastAsiaTheme="minorEastAsia" w:cs="Guttman Hodes"/>
          <w:i w:val="0"/>
          <w:iCs w:val="0"/>
          <w:noProof/>
          <w:rtl/>
        </w:rPr>
      </w:pPr>
      <w:hyperlink w:anchor="_Toc16669745" w:history="1">
        <w:r w:rsidR="00F31AA3" w:rsidRPr="00ED6DB9">
          <w:rPr>
            <w:rStyle w:val="Hyperlink"/>
            <w:rFonts w:cs="Guttman Hodes"/>
            <w:noProof/>
            <w:sz w:val="18"/>
            <w:szCs w:val="18"/>
            <w:rtl/>
          </w:rPr>
          <w:t>סימן י"א</w:t>
        </w:r>
        <w:r w:rsidR="00F31AA3" w:rsidRPr="00ED6DB9">
          <w:rPr>
            <w:rFonts w:cs="Guttman Hodes"/>
            <w:sz w:val="18"/>
            <w:szCs w:val="18"/>
            <w:rtl/>
          </w:rPr>
          <w:t xml:space="preserve"> </w:t>
        </w:r>
        <w:r w:rsidR="00F31AA3" w:rsidRPr="00ED6DB9">
          <w:rPr>
            <w:rFonts w:cs="Guttman Hodes"/>
            <w:noProof/>
            <w:sz w:val="18"/>
            <w:szCs w:val="18"/>
            <w:rtl/>
          </w:rPr>
          <w:t>בסוגיא דרוב (ד')</w:t>
        </w:r>
        <w:r w:rsidR="00F31AA3" w:rsidRPr="00ED6DB9">
          <w:rPr>
            <w:rFonts w:cs="Guttman Hodes"/>
            <w:sz w:val="18"/>
            <w:szCs w:val="18"/>
            <w:rtl/>
          </w:rPr>
          <w:t xml:space="preserve"> </w:t>
        </w:r>
        <w:r w:rsidR="00F31AA3" w:rsidRPr="00ED6DB9">
          <w:rPr>
            <w:rFonts w:cs="Guttman Hodes"/>
            <w:noProof/>
            <w:sz w:val="18"/>
            <w:szCs w:val="18"/>
            <w:rtl/>
          </w:rPr>
          <w:t>בפלוגתת ר"מ ורבנן אי חיישינן למיעוטא ובסמוך מיעוטא לחזקה</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Toc16669745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135</w:t>
        </w:r>
        <w:r w:rsidR="00F31AA3" w:rsidRPr="00ED6DB9">
          <w:rPr>
            <w:rStyle w:val="Hyperlink"/>
            <w:rFonts w:cs="Guttman Hodes"/>
            <w:noProof/>
            <w:sz w:val="18"/>
            <w:szCs w:val="18"/>
            <w:rtl/>
          </w:rPr>
          <w:fldChar w:fldCharType="end"/>
        </w:r>
      </w:hyperlink>
    </w:p>
    <w:p w14:paraId="7A602109" w14:textId="77777777" w:rsidR="00F31AA3" w:rsidRPr="00ED6DB9" w:rsidRDefault="004B65FC">
      <w:pPr>
        <w:pStyle w:val="TOC2"/>
        <w:tabs>
          <w:tab w:val="right" w:leader="dot" w:pos="10456"/>
        </w:tabs>
        <w:rPr>
          <w:rFonts w:eastAsiaTheme="minorEastAsia" w:cs="Guttman Hodes"/>
          <w:i w:val="0"/>
          <w:iCs w:val="0"/>
          <w:noProof/>
          <w:rtl/>
        </w:rPr>
      </w:pPr>
      <w:hyperlink w:anchor="_Toc16669748" w:history="1">
        <w:r w:rsidR="00F31AA3" w:rsidRPr="00ED6DB9">
          <w:rPr>
            <w:rStyle w:val="Hyperlink"/>
            <w:rFonts w:cs="Guttman Hodes"/>
            <w:noProof/>
            <w:sz w:val="18"/>
            <w:szCs w:val="18"/>
            <w:rtl/>
          </w:rPr>
          <w:t>סימן י"ב</w:t>
        </w:r>
        <w:r w:rsidR="00F31AA3" w:rsidRPr="00ED6DB9">
          <w:rPr>
            <w:rFonts w:cs="Guttman Hodes"/>
            <w:sz w:val="18"/>
            <w:szCs w:val="18"/>
            <w:rtl/>
          </w:rPr>
          <w:t xml:space="preserve"> </w:t>
        </w:r>
        <w:r w:rsidR="00F31AA3" w:rsidRPr="00ED6DB9">
          <w:rPr>
            <w:rFonts w:cs="Guttman Hodes"/>
            <w:noProof/>
            <w:sz w:val="18"/>
            <w:szCs w:val="18"/>
            <w:rtl/>
          </w:rPr>
          <w:t>סוגיא דהגרמה (א')</w:t>
        </w:r>
        <w:r w:rsidR="00F31AA3" w:rsidRPr="00ED6DB9">
          <w:rPr>
            <w:rFonts w:cs="Guttman Hodes"/>
            <w:sz w:val="18"/>
            <w:szCs w:val="18"/>
            <w:rtl/>
          </w:rPr>
          <w:t xml:space="preserve"> </w:t>
        </w:r>
        <w:r w:rsidR="00F31AA3" w:rsidRPr="00ED6DB9">
          <w:rPr>
            <w:rFonts w:cs="Guttman Hodes"/>
            <w:noProof/>
            <w:sz w:val="18"/>
            <w:szCs w:val="18"/>
            <w:rtl/>
          </w:rPr>
          <w:t>בפלוגתת רבנן וריבר"י ברוב סימן בהגרמה ובשחיטה</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Toc16669748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147</w:t>
        </w:r>
        <w:r w:rsidR="00F31AA3" w:rsidRPr="00ED6DB9">
          <w:rPr>
            <w:rStyle w:val="Hyperlink"/>
            <w:rFonts w:cs="Guttman Hodes"/>
            <w:noProof/>
            <w:sz w:val="18"/>
            <w:szCs w:val="18"/>
            <w:rtl/>
          </w:rPr>
          <w:fldChar w:fldCharType="end"/>
        </w:r>
      </w:hyperlink>
    </w:p>
    <w:p w14:paraId="54E05400" w14:textId="77777777" w:rsidR="00F31AA3" w:rsidRPr="00ED6DB9" w:rsidRDefault="004B65FC">
      <w:pPr>
        <w:pStyle w:val="TOC2"/>
        <w:tabs>
          <w:tab w:val="right" w:leader="dot" w:pos="10456"/>
        </w:tabs>
        <w:rPr>
          <w:rFonts w:eastAsiaTheme="minorEastAsia" w:cs="Guttman Hodes"/>
          <w:i w:val="0"/>
          <w:iCs w:val="0"/>
          <w:noProof/>
          <w:rtl/>
        </w:rPr>
      </w:pPr>
      <w:hyperlink w:anchor="_Toc16669751" w:history="1">
        <w:r w:rsidR="00F31AA3" w:rsidRPr="00ED6DB9">
          <w:rPr>
            <w:rStyle w:val="Hyperlink"/>
            <w:rFonts w:cs="Guttman Hodes"/>
            <w:noProof/>
            <w:sz w:val="18"/>
            <w:szCs w:val="18"/>
            <w:rtl/>
          </w:rPr>
          <w:t>סימן י"ג</w:t>
        </w:r>
        <w:r w:rsidR="00F31AA3" w:rsidRPr="00ED6DB9">
          <w:rPr>
            <w:rFonts w:cs="Guttman Hodes"/>
            <w:sz w:val="18"/>
            <w:szCs w:val="18"/>
            <w:rtl/>
          </w:rPr>
          <w:t xml:space="preserve"> </w:t>
        </w:r>
        <w:r w:rsidR="00F31AA3" w:rsidRPr="00ED6DB9">
          <w:rPr>
            <w:rFonts w:cs="Guttman Hodes"/>
            <w:noProof/>
            <w:sz w:val="18"/>
            <w:szCs w:val="18"/>
            <w:rtl/>
          </w:rPr>
          <w:t>סוגיא דהגרמה (ב')</w:t>
        </w:r>
        <w:r w:rsidR="00F31AA3" w:rsidRPr="00ED6DB9">
          <w:rPr>
            <w:rFonts w:cs="Guttman Hodes"/>
            <w:sz w:val="18"/>
            <w:szCs w:val="18"/>
            <w:rtl/>
          </w:rPr>
          <w:t xml:space="preserve"> </w:t>
        </w:r>
        <w:r w:rsidR="00F31AA3" w:rsidRPr="00ED6DB9">
          <w:rPr>
            <w:rFonts w:cs="Guttman Hodes"/>
            <w:noProof/>
            <w:sz w:val="18"/>
            <w:szCs w:val="18"/>
            <w:rtl/>
          </w:rPr>
          <w:t>בביאור הל"ב בפלוגתת ריבר"י ורבנן ובפלוגתת רב הונא ורב יהודה</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Toc16669751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157</w:t>
        </w:r>
        <w:r w:rsidR="00F31AA3" w:rsidRPr="00ED6DB9">
          <w:rPr>
            <w:rStyle w:val="Hyperlink"/>
            <w:rFonts w:cs="Guttman Hodes"/>
            <w:noProof/>
            <w:sz w:val="18"/>
            <w:szCs w:val="18"/>
            <w:rtl/>
          </w:rPr>
          <w:fldChar w:fldCharType="end"/>
        </w:r>
      </w:hyperlink>
    </w:p>
    <w:p w14:paraId="3D03560C" w14:textId="77777777" w:rsidR="00F31AA3" w:rsidRPr="00ED6DB9" w:rsidRDefault="004B65FC">
      <w:pPr>
        <w:pStyle w:val="TOC2"/>
        <w:tabs>
          <w:tab w:val="right" w:leader="dot" w:pos="10456"/>
        </w:tabs>
        <w:rPr>
          <w:rFonts w:eastAsiaTheme="minorEastAsia" w:cs="Guttman Hodes"/>
          <w:i w:val="0"/>
          <w:iCs w:val="0"/>
          <w:noProof/>
          <w:rtl/>
        </w:rPr>
      </w:pPr>
      <w:hyperlink w:anchor="_Toc16669754" w:history="1">
        <w:r w:rsidR="00F31AA3" w:rsidRPr="00ED6DB9">
          <w:rPr>
            <w:rStyle w:val="Hyperlink"/>
            <w:rFonts w:cs="Guttman Hodes"/>
            <w:noProof/>
            <w:sz w:val="18"/>
            <w:szCs w:val="18"/>
            <w:rtl/>
          </w:rPr>
          <w:t>סימן י"ד</w:t>
        </w:r>
        <w:r w:rsidR="00F31AA3" w:rsidRPr="00ED6DB9">
          <w:rPr>
            <w:rFonts w:cs="Guttman Hodes"/>
            <w:sz w:val="18"/>
            <w:szCs w:val="18"/>
            <w:rtl/>
          </w:rPr>
          <w:t xml:space="preserve"> </w:t>
        </w:r>
        <w:r w:rsidR="00F31AA3" w:rsidRPr="00ED6DB9">
          <w:rPr>
            <w:rFonts w:cs="Guttman Hodes"/>
            <w:noProof/>
            <w:sz w:val="18"/>
            <w:szCs w:val="18"/>
            <w:rtl/>
          </w:rPr>
          <w:t>סוגיא דהגרמה (ג')</w:t>
        </w:r>
        <w:r w:rsidR="00F31AA3" w:rsidRPr="00ED6DB9">
          <w:rPr>
            <w:rFonts w:cs="Guttman Hodes"/>
            <w:sz w:val="18"/>
            <w:szCs w:val="18"/>
            <w:rtl/>
          </w:rPr>
          <w:t xml:space="preserve"> </w:t>
        </w:r>
        <w:r w:rsidR="00F31AA3" w:rsidRPr="00ED6DB9">
          <w:rPr>
            <w:rFonts w:cs="Guttman Hodes"/>
            <w:noProof/>
            <w:sz w:val="18"/>
            <w:szCs w:val="18"/>
            <w:rtl/>
          </w:rPr>
          <w:t>בענין הגרמה ושאר פסולי שחיטה במיעוט בתרא</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Toc16669754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170</w:t>
        </w:r>
        <w:r w:rsidR="00F31AA3" w:rsidRPr="00ED6DB9">
          <w:rPr>
            <w:rStyle w:val="Hyperlink"/>
            <w:rFonts w:cs="Guttman Hodes"/>
            <w:noProof/>
            <w:sz w:val="18"/>
            <w:szCs w:val="18"/>
            <w:rtl/>
          </w:rPr>
          <w:fldChar w:fldCharType="end"/>
        </w:r>
      </w:hyperlink>
    </w:p>
    <w:p w14:paraId="4408E03A" w14:textId="77777777" w:rsidR="008E00C2" w:rsidRPr="00ED6DB9" w:rsidRDefault="00B276F2" w:rsidP="00BF39B2">
      <w:pPr>
        <w:pStyle w:val="1"/>
        <w:rPr>
          <w:rStyle w:val="Hyperlink"/>
          <w:color w:val="auto"/>
          <w:u w:val="none"/>
          <w:rtl/>
        </w:rPr>
      </w:pPr>
      <w:bookmarkStart w:id="5" w:name="_Toc19388841"/>
      <w:bookmarkStart w:id="6" w:name="_Toc19392338"/>
      <w:r w:rsidRPr="00ED6DB9">
        <w:rPr>
          <w:rStyle w:val="Hyperlink"/>
          <w:rFonts w:hint="cs"/>
          <w:color w:val="auto"/>
          <w:u w:val="none"/>
          <w:rtl/>
        </w:rPr>
        <w:t>פרק בהמה המקשה</w:t>
      </w:r>
      <w:bookmarkEnd w:id="5"/>
      <w:bookmarkEnd w:id="6"/>
    </w:p>
    <w:p w14:paraId="238EF10E" w14:textId="77777777" w:rsidR="00F31AA3" w:rsidRPr="00ED6DB9" w:rsidRDefault="004B65FC" w:rsidP="00F31AA3">
      <w:pPr>
        <w:pStyle w:val="TOC2"/>
        <w:tabs>
          <w:tab w:val="right" w:leader="dot" w:pos="10456"/>
        </w:tabs>
        <w:rPr>
          <w:rFonts w:eastAsiaTheme="minorEastAsia" w:cs="Guttman Hodes"/>
          <w:i w:val="0"/>
          <w:iCs w:val="0"/>
          <w:noProof/>
          <w:rtl/>
        </w:rPr>
      </w:pPr>
      <w:hyperlink w:anchor="_Toc16669757" w:history="1">
        <w:r w:rsidR="00F31AA3" w:rsidRPr="00ED6DB9">
          <w:rPr>
            <w:rStyle w:val="Hyperlink"/>
            <w:rFonts w:cs="Guttman Hodes"/>
            <w:noProof/>
            <w:sz w:val="18"/>
            <w:szCs w:val="18"/>
            <w:rtl/>
          </w:rPr>
          <w:t>סימן ט"ו</w:t>
        </w:r>
        <w:r w:rsidR="00F31AA3" w:rsidRPr="00ED6DB9">
          <w:rPr>
            <w:rFonts w:cs="Guttman Hodes"/>
            <w:sz w:val="18"/>
            <w:szCs w:val="18"/>
            <w:rtl/>
          </w:rPr>
          <w:t xml:space="preserve"> </w:t>
        </w:r>
        <w:r w:rsidR="00F31AA3" w:rsidRPr="00ED6DB9">
          <w:rPr>
            <w:rFonts w:cs="Guttman Hodes"/>
            <w:noProof/>
            <w:sz w:val="18"/>
            <w:szCs w:val="18"/>
            <w:rtl/>
          </w:rPr>
          <w:t>סוגיא דאבר היוצא (א')</w:t>
        </w:r>
        <w:r w:rsidR="00F31AA3" w:rsidRPr="00ED6DB9">
          <w:rPr>
            <w:rFonts w:cs="Guttman Hodes"/>
            <w:sz w:val="18"/>
            <w:szCs w:val="18"/>
            <w:rtl/>
          </w:rPr>
          <w:t xml:space="preserve"> </w:t>
        </w:r>
        <w:r w:rsidR="00F31AA3" w:rsidRPr="00ED6DB9">
          <w:rPr>
            <w:rFonts w:cs="Guttman Hodes"/>
            <w:noProof/>
            <w:sz w:val="18"/>
            <w:szCs w:val="18"/>
            <w:rtl/>
          </w:rPr>
          <w:t>בהיתר חותך מעובר שבמעיה ובאיסור אבר היוצא ומקום חתך</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Toc16669757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187</w:t>
        </w:r>
        <w:r w:rsidR="00F31AA3" w:rsidRPr="00ED6DB9">
          <w:rPr>
            <w:rStyle w:val="Hyperlink"/>
            <w:rFonts w:cs="Guttman Hodes"/>
            <w:noProof/>
            <w:sz w:val="18"/>
            <w:szCs w:val="18"/>
            <w:rtl/>
          </w:rPr>
          <w:fldChar w:fldCharType="end"/>
        </w:r>
      </w:hyperlink>
    </w:p>
    <w:p w14:paraId="3DC273B6" w14:textId="77777777" w:rsidR="00F31AA3" w:rsidRPr="00ED6DB9" w:rsidRDefault="004B65FC">
      <w:pPr>
        <w:pStyle w:val="TOC2"/>
        <w:tabs>
          <w:tab w:val="right" w:leader="dot" w:pos="10456"/>
        </w:tabs>
        <w:rPr>
          <w:rFonts w:eastAsiaTheme="minorEastAsia" w:cs="Guttman Hodes"/>
          <w:i w:val="0"/>
          <w:iCs w:val="0"/>
          <w:noProof/>
          <w:rtl/>
        </w:rPr>
      </w:pPr>
      <w:hyperlink w:anchor="_Toc16669760" w:history="1">
        <w:r w:rsidR="00F31AA3" w:rsidRPr="00ED6DB9">
          <w:rPr>
            <w:rStyle w:val="Hyperlink"/>
            <w:rFonts w:cs="Guttman Hodes"/>
            <w:noProof/>
            <w:sz w:val="18"/>
            <w:szCs w:val="18"/>
            <w:rtl/>
          </w:rPr>
          <w:t>סימן ט"ז</w:t>
        </w:r>
        <w:r w:rsidR="00F31AA3" w:rsidRPr="00ED6DB9">
          <w:rPr>
            <w:rFonts w:cs="Guttman Hodes"/>
            <w:sz w:val="18"/>
            <w:szCs w:val="18"/>
            <w:rtl/>
          </w:rPr>
          <w:t xml:space="preserve"> </w:t>
        </w:r>
        <w:r w:rsidR="00F31AA3" w:rsidRPr="00ED6DB9">
          <w:rPr>
            <w:rFonts w:cs="Guttman Hodes"/>
            <w:noProof/>
            <w:sz w:val="18"/>
            <w:szCs w:val="18"/>
            <w:rtl/>
          </w:rPr>
          <w:t>סוגיא דאבר היוצא (ב')</w:t>
        </w:r>
        <w:r w:rsidR="00F31AA3" w:rsidRPr="00ED6DB9">
          <w:rPr>
            <w:rFonts w:cs="Guttman Hodes"/>
            <w:sz w:val="18"/>
            <w:szCs w:val="18"/>
            <w:rtl/>
          </w:rPr>
          <w:t xml:space="preserve"> </w:t>
        </w:r>
        <w:r w:rsidR="00F31AA3" w:rsidRPr="00ED6DB9">
          <w:rPr>
            <w:rFonts w:cs="Guttman Hodes"/>
            <w:noProof/>
            <w:sz w:val="18"/>
            <w:szCs w:val="18"/>
            <w:rtl/>
          </w:rPr>
          <w:t>בדין לידה בהוציא ראשו ובסוגיא דלידה דאברים</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Toc16669760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201</w:t>
        </w:r>
        <w:r w:rsidR="00F31AA3" w:rsidRPr="00ED6DB9">
          <w:rPr>
            <w:rStyle w:val="Hyperlink"/>
            <w:rFonts w:cs="Guttman Hodes"/>
            <w:noProof/>
            <w:sz w:val="18"/>
            <w:szCs w:val="18"/>
            <w:rtl/>
          </w:rPr>
          <w:fldChar w:fldCharType="end"/>
        </w:r>
      </w:hyperlink>
    </w:p>
    <w:p w14:paraId="67DDEDD9" w14:textId="77777777" w:rsidR="00F31AA3" w:rsidRPr="00ED6DB9" w:rsidRDefault="004B65FC">
      <w:pPr>
        <w:pStyle w:val="TOC2"/>
        <w:tabs>
          <w:tab w:val="right" w:leader="dot" w:pos="10456"/>
        </w:tabs>
        <w:rPr>
          <w:rFonts w:eastAsiaTheme="minorEastAsia" w:cs="Guttman Hodes"/>
          <w:i w:val="0"/>
          <w:iCs w:val="0"/>
          <w:noProof/>
          <w:rtl/>
        </w:rPr>
      </w:pPr>
      <w:hyperlink w:anchor="_Toc16669765" w:history="1">
        <w:r w:rsidR="00F31AA3" w:rsidRPr="00ED6DB9">
          <w:rPr>
            <w:rStyle w:val="Hyperlink"/>
            <w:rFonts w:cs="Guttman Hodes"/>
            <w:noProof/>
            <w:sz w:val="18"/>
            <w:szCs w:val="18"/>
            <w:rtl/>
          </w:rPr>
          <w:t>סימן י"ז</w:t>
        </w:r>
        <w:r w:rsidR="008E00C2" w:rsidRPr="00ED6DB9">
          <w:rPr>
            <w:rFonts w:cs="Guttman Hodes"/>
            <w:sz w:val="18"/>
            <w:szCs w:val="18"/>
            <w:rtl/>
          </w:rPr>
          <w:t xml:space="preserve"> </w:t>
        </w:r>
        <w:r w:rsidR="008E00C2" w:rsidRPr="00ED6DB9">
          <w:rPr>
            <w:rFonts w:cs="Guttman Hodes"/>
            <w:noProof/>
            <w:sz w:val="18"/>
            <w:szCs w:val="18"/>
            <w:rtl/>
          </w:rPr>
          <w:t>סוגיא דאבר היוצא (ג')</w:t>
        </w:r>
        <w:r w:rsidR="008E00C2" w:rsidRPr="00ED6DB9">
          <w:rPr>
            <w:rFonts w:cs="Guttman Hodes"/>
            <w:sz w:val="18"/>
            <w:szCs w:val="18"/>
            <w:rtl/>
          </w:rPr>
          <w:t xml:space="preserve"> </w:t>
        </w:r>
        <w:r w:rsidR="008E00C2" w:rsidRPr="00ED6DB9">
          <w:rPr>
            <w:rFonts w:cs="Guttman Hodes"/>
            <w:noProof/>
            <w:sz w:val="18"/>
            <w:szCs w:val="18"/>
            <w:rtl/>
          </w:rPr>
          <w:t>בדין בן פקועה הבא על בהמה מעלמא ובדין חלב הבא מכח אבר היוצא</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Toc16669765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215</w:t>
        </w:r>
        <w:r w:rsidR="00F31AA3" w:rsidRPr="00ED6DB9">
          <w:rPr>
            <w:rStyle w:val="Hyperlink"/>
            <w:rFonts w:cs="Guttman Hodes"/>
            <w:noProof/>
            <w:sz w:val="18"/>
            <w:szCs w:val="18"/>
            <w:rtl/>
          </w:rPr>
          <w:fldChar w:fldCharType="end"/>
        </w:r>
      </w:hyperlink>
    </w:p>
    <w:p w14:paraId="47FA8AC7" w14:textId="77777777" w:rsidR="00F31AA3" w:rsidRPr="00ED6DB9" w:rsidRDefault="004B65FC">
      <w:pPr>
        <w:pStyle w:val="TOC2"/>
        <w:tabs>
          <w:tab w:val="right" w:leader="dot" w:pos="10456"/>
        </w:tabs>
        <w:rPr>
          <w:rFonts w:eastAsiaTheme="minorEastAsia" w:cs="Guttman Hodes"/>
          <w:i w:val="0"/>
          <w:iCs w:val="0"/>
          <w:noProof/>
          <w:rtl/>
        </w:rPr>
      </w:pPr>
      <w:hyperlink w:anchor="_Toc16669768" w:history="1">
        <w:r w:rsidR="00F31AA3" w:rsidRPr="00ED6DB9">
          <w:rPr>
            <w:rStyle w:val="Hyperlink"/>
            <w:rFonts w:cs="Guttman Hodes"/>
            <w:noProof/>
            <w:sz w:val="18"/>
            <w:szCs w:val="18"/>
            <w:rtl/>
          </w:rPr>
          <w:t>סימן י"ח</w:t>
        </w:r>
        <w:r w:rsidR="008E00C2" w:rsidRPr="00ED6DB9">
          <w:rPr>
            <w:rFonts w:cs="Guttman Hodes"/>
            <w:sz w:val="18"/>
            <w:szCs w:val="18"/>
            <w:rtl/>
          </w:rPr>
          <w:t xml:space="preserve"> </w:t>
        </w:r>
        <w:r w:rsidR="008E00C2" w:rsidRPr="00ED6DB9">
          <w:rPr>
            <w:rFonts w:cs="Guttman Hodes"/>
            <w:noProof/>
            <w:sz w:val="18"/>
            <w:szCs w:val="18"/>
            <w:rtl/>
          </w:rPr>
          <w:t>סוגיא דאבר היוצא (ד')</w:t>
        </w:r>
        <w:r w:rsidR="008E00C2" w:rsidRPr="00ED6DB9">
          <w:rPr>
            <w:rFonts w:cs="Guttman Hodes"/>
            <w:sz w:val="18"/>
            <w:szCs w:val="18"/>
            <w:rtl/>
          </w:rPr>
          <w:t xml:space="preserve"> </w:t>
        </w:r>
        <w:r w:rsidR="008E00C2" w:rsidRPr="00ED6DB9">
          <w:rPr>
            <w:rFonts w:cs="Guttman Hodes"/>
            <w:noProof/>
            <w:sz w:val="18"/>
            <w:szCs w:val="18"/>
            <w:rtl/>
          </w:rPr>
          <w:t>בביאור הספק בבא על בן פקועה דכוותיה ובגדר זה וזה גורם וחוששין לזרע האב</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Toc16669768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229</w:t>
        </w:r>
        <w:r w:rsidR="00F31AA3" w:rsidRPr="00ED6DB9">
          <w:rPr>
            <w:rStyle w:val="Hyperlink"/>
            <w:rFonts w:cs="Guttman Hodes"/>
            <w:noProof/>
            <w:sz w:val="18"/>
            <w:szCs w:val="18"/>
            <w:rtl/>
          </w:rPr>
          <w:fldChar w:fldCharType="end"/>
        </w:r>
      </w:hyperlink>
    </w:p>
    <w:p w14:paraId="71AAD22D" w14:textId="77777777" w:rsidR="00F31AA3" w:rsidRPr="00ED6DB9" w:rsidRDefault="004B65FC">
      <w:pPr>
        <w:pStyle w:val="TOC2"/>
        <w:tabs>
          <w:tab w:val="right" w:leader="dot" w:pos="10456"/>
        </w:tabs>
        <w:rPr>
          <w:rFonts w:eastAsiaTheme="minorEastAsia" w:cs="Guttman Hodes"/>
          <w:i w:val="0"/>
          <w:iCs w:val="0"/>
          <w:noProof/>
          <w:rtl/>
        </w:rPr>
      </w:pPr>
      <w:hyperlink w:anchor="_Toc16669771" w:history="1">
        <w:r w:rsidR="00F31AA3" w:rsidRPr="00ED6DB9">
          <w:rPr>
            <w:rStyle w:val="Hyperlink"/>
            <w:rFonts w:cs="Guttman Hodes"/>
            <w:noProof/>
            <w:sz w:val="18"/>
            <w:szCs w:val="18"/>
            <w:rtl/>
          </w:rPr>
          <w:t>סימן י"ט</w:t>
        </w:r>
        <w:r w:rsidR="00123158" w:rsidRPr="00ED6DB9">
          <w:rPr>
            <w:rFonts w:cs="Guttman Hodes"/>
            <w:sz w:val="18"/>
            <w:szCs w:val="18"/>
            <w:rtl/>
          </w:rPr>
          <w:t xml:space="preserve"> </w:t>
        </w:r>
        <w:r w:rsidR="00123158" w:rsidRPr="00ED6DB9">
          <w:rPr>
            <w:rFonts w:cs="Guttman Hodes"/>
            <w:noProof/>
            <w:sz w:val="18"/>
            <w:szCs w:val="18"/>
            <w:rtl/>
          </w:rPr>
          <w:t>בספיקא דרב הושעיא בשחט עובר במעי אמו</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Toc16669771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239</w:t>
        </w:r>
        <w:r w:rsidR="00F31AA3" w:rsidRPr="00ED6DB9">
          <w:rPr>
            <w:rStyle w:val="Hyperlink"/>
            <w:rFonts w:cs="Guttman Hodes"/>
            <w:noProof/>
            <w:sz w:val="18"/>
            <w:szCs w:val="18"/>
            <w:rtl/>
          </w:rPr>
          <w:fldChar w:fldCharType="end"/>
        </w:r>
      </w:hyperlink>
    </w:p>
    <w:p w14:paraId="414DF90A" w14:textId="77777777" w:rsidR="00F31AA3" w:rsidRPr="00ED6DB9" w:rsidRDefault="004B65FC">
      <w:pPr>
        <w:pStyle w:val="TOC2"/>
        <w:tabs>
          <w:tab w:val="right" w:leader="dot" w:pos="10456"/>
        </w:tabs>
        <w:rPr>
          <w:rFonts w:eastAsiaTheme="minorEastAsia" w:cs="Guttman Hodes"/>
          <w:i w:val="0"/>
          <w:iCs w:val="0"/>
          <w:noProof/>
          <w:rtl/>
        </w:rPr>
      </w:pPr>
      <w:hyperlink w:anchor="_Toc16669773" w:history="1">
        <w:r w:rsidR="00F31AA3" w:rsidRPr="00ED6DB9">
          <w:rPr>
            <w:rStyle w:val="Hyperlink"/>
            <w:rFonts w:cs="Guttman Hodes"/>
            <w:noProof/>
            <w:sz w:val="18"/>
            <w:szCs w:val="18"/>
            <w:rtl/>
          </w:rPr>
          <w:t>סימן כ'</w:t>
        </w:r>
        <w:r w:rsidR="00123158" w:rsidRPr="00ED6DB9">
          <w:rPr>
            <w:rFonts w:cs="Guttman Hodes"/>
            <w:sz w:val="18"/>
            <w:szCs w:val="18"/>
            <w:rtl/>
          </w:rPr>
          <w:t xml:space="preserve"> </w:t>
        </w:r>
        <w:r w:rsidR="00123158" w:rsidRPr="00ED6DB9">
          <w:rPr>
            <w:rFonts w:cs="Guttman Hodes"/>
            <w:noProof/>
            <w:sz w:val="18"/>
            <w:szCs w:val="18"/>
            <w:rtl/>
          </w:rPr>
          <w:t>בהיתר בן ח' ובן ט' מת לכו"ע ובפלוגתת ר"מ ורבנן בבן ט' חי</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Toc16669773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243</w:t>
        </w:r>
        <w:r w:rsidR="00F31AA3" w:rsidRPr="00ED6DB9">
          <w:rPr>
            <w:rStyle w:val="Hyperlink"/>
            <w:rFonts w:cs="Guttman Hodes"/>
            <w:noProof/>
            <w:sz w:val="18"/>
            <w:szCs w:val="18"/>
            <w:rtl/>
          </w:rPr>
          <w:fldChar w:fldCharType="end"/>
        </w:r>
      </w:hyperlink>
    </w:p>
    <w:p w14:paraId="6757D5AA" w14:textId="77777777" w:rsidR="00F31AA3" w:rsidRPr="00ED6DB9" w:rsidRDefault="004B65FC">
      <w:pPr>
        <w:pStyle w:val="TOC2"/>
        <w:tabs>
          <w:tab w:val="right" w:leader="dot" w:pos="10456"/>
        </w:tabs>
        <w:rPr>
          <w:rFonts w:eastAsiaTheme="minorEastAsia" w:cs="Guttman Hodes"/>
          <w:i w:val="0"/>
          <w:iCs w:val="0"/>
          <w:noProof/>
          <w:rtl/>
        </w:rPr>
      </w:pPr>
      <w:hyperlink w:anchor="_Toc16669775" w:history="1">
        <w:r w:rsidR="00F31AA3" w:rsidRPr="00ED6DB9">
          <w:rPr>
            <w:rStyle w:val="Hyperlink"/>
            <w:rFonts w:cs="Guttman Hodes"/>
            <w:noProof/>
            <w:sz w:val="18"/>
            <w:szCs w:val="18"/>
            <w:rtl/>
          </w:rPr>
          <w:t>סימן כ"א</w:t>
        </w:r>
        <w:r w:rsidR="00123158" w:rsidRPr="00ED6DB9">
          <w:rPr>
            <w:rFonts w:cs="Guttman Hodes"/>
            <w:sz w:val="18"/>
            <w:szCs w:val="18"/>
            <w:rtl/>
          </w:rPr>
          <w:t xml:space="preserve"> </w:t>
        </w:r>
        <w:r w:rsidR="00123158" w:rsidRPr="00ED6DB9">
          <w:rPr>
            <w:rFonts w:cs="Guttman Hodes"/>
            <w:noProof/>
            <w:sz w:val="18"/>
            <w:szCs w:val="18"/>
            <w:rtl/>
          </w:rPr>
          <w:t>סוגיא דחלב וגיד (א')</w:t>
        </w:r>
        <w:r w:rsidR="00123158" w:rsidRPr="00ED6DB9">
          <w:rPr>
            <w:rFonts w:cs="Guttman Hodes"/>
            <w:sz w:val="18"/>
            <w:szCs w:val="18"/>
            <w:rtl/>
          </w:rPr>
          <w:t xml:space="preserve"> </w:t>
        </w:r>
        <w:r w:rsidR="00123158" w:rsidRPr="00ED6DB9">
          <w:rPr>
            <w:rFonts w:cs="Guttman Hodes"/>
            <w:noProof/>
            <w:sz w:val="18"/>
            <w:szCs w:val="18"/>
            <w:rtl/>
          </w:rPr>
          <w:t>בדברי רב הושעיא דר"מ ור"י הלכו לשיטתם ובפלוגתת ריו"ח ור"ל בחלב</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Toc16669775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255</w:t>
        </w:r>
        <w:r w:rsidR="00F31AA3" w:rsidRPr="00ED6DB9">
          <w:rPr>
            <w:rStyle w:val="Hyperlink"/>
            <w:rFonts w:cs="Guttman Hodes"/>
            <w:noProof/>
            <w:sz w:val="18"/>
            <w:szCs w:val="18"/>
            <w:rtl/>
          </w:rPr>
          <w:fldChar w:fldCharType="end"/>
        </w:r>
      </w:hyperlink>
    </w:p>
    <w:p w14:paraId="2FACBD37" w14:textId="77777777" w:rsidR="00F31AA3" w:rsidRPr="00ED6DB9" w:rsidRDefault="004B65FC">
      <w:pPr>
        <w:pStyle w:val="TOC2"/>
        <w:tabs>
          <w:tab w:val="right" w:leader="dot" w:pos="10456"/>
        </w:tabs>
        <w:rPr>
          <w:rFonts w:eastAsiaTheme="minorEastAsia" w:cs="Guttman Hodes"/>
          <w:i w:val="0"/>
          <w:iCs w:val="0"/>
          <w:noProof/>
          <w:rtl/>
        </w:rPr>
      </w:pPr>
      <w:hyperlink w:anchor="_Toc16669778" w:history="1">
        <w:r w:rsidR="00F31AA3" w:rsidRPr="00ED6DB9">
          <w:rPr>
            <w:rStyle w:val="Hyperlink"/>
            <w:rFonts w:cs="Guttman Hodes"/>
            <w:noProof/>
            <w:sz w:val="18"/>
            <w:szCs w:val="18"/>
            <w:rtl/>
          </w:rPr>
          <w:t>סימן כ"ב</w:t>
        </w:r>
        <w:r w:rsidR="00123158" w:rsidRPr="00ED6DB9">
          <w:rPr>
            <w:rFonts w:cs="Guttman Hodes"/>
            <w:sz w:val="18"/>
            <w:szCs w:val="18"/>
            <w:rtl/>
          </w:rPr>
          <w:t xml:space="preserve"> </w:t>
        </w:r>
        <w:r w:rsidR="00123158" w:rsidRPr="00ED6DB9">
          <w:rPr>
            <w:rFonts w:cs="Guttman Hodes"/>
            <w:noProof/>
            <w:sz w:val="18"/>
            <w:szCs w:val="18"/>
            <w:rtl/>
          </w:rPr>
          <w:t>סוגיא דחלב וגיד (ב')</w:t>
        </w:r>
        <w:r w:rsidR="00123158" w:rsidRPr="00ED6DB9">
          <w:rPr>
            <w:rFonts w:cs="Guttman Hodes"/>
            <w:sz w:val="18"/>
            <w:szCs w:val="18"/>
            <w:rtl/>
          </w:rPr>
          <w:t xml:space="preserve"> </w:t>
        </w:r>
        <w:r w:rsidR="00123158" w:rsidRPr="00ED6DB9">
          <w:rPr>
            <w:rFonts w:cs="Guttman Hodes"/>
            <w:noProof/>
            <w:sz w:val="18"/>
            <w:szCs w:val="18"/>
            <w:rtl/>
          </w:rPr>
          <w:t>בשיטת הרמב"ם בפלוגתת ר"מ ור"י וריו"ח ור"ל בחלב וגיד ובגדר היתר בן פקועה</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Toc16669778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267</w:t>
        </w:r>
        <w:r w:rsidR="00F31AA3" w:rsidRPr="00ED6DB9">
          <w:rPr>
            <w:rStyle w:val="Hyperlink"/>
            <w:rFonts w:cs="Guttman Hodes"/>
            <w:noProof/>
            <w:sz w:val="18"/>
            <w:szCs w:val="18"/>
            <w:rtl/>
          </w:rPr>
          <w:fldChar w:fldCharType="end"/>
        </w:r>
      </w:hyperlink>
    </w:p>
    <w:p w14:paraId="10E3B462" w14:textId="77777777" w:rsidR="00F31AA3" w:rsidRPr="00ED6DB9" w:rsidRDefault="004B65FC">
      <w:pPr>
        <w:pStyle w:val="TOC2"/>
        <w:tabs>
          <w:tab w:val="right" w:leader="dot" w:pos="10456"/>
        </w:tabs>
        <w:rPr>
          <w:rFonts w:eastAsiaTheme="minorEastAsia" w:cs="Guttman Hodes"/>
          <w:i w:val="0"/>
          <w:iCs w:val="0"/>
          <w:noProof/>
          <w:rtl/>
        </w:rPr>
      </w:pPr>
      <w:hyperlink w:anchor="_Toc16669781" w:history="1">
        <w:r w:rsidR="00F31AA3" w:rsidRPr="00ED6DB9">
          <w:rPr>
            <w:rStyle w:val="Hyperlink"/>
            <w:rFonts w:cs="Guttman Hodes"/>
            <w:noProof/>
            <w:sz w:val="18"/>
            <w:szCs w:val="18"/>
            <w:rtl/>
          </w:rPr>
          <w:t>סימן כ"ג</w:t>
        </w:r>
        <w:r w:rsidR="00123158" w:rsidRPr="00ED6DB9">
          <w:rPr>
            <w:rFonts w:cs="Guttman Hodes"/>
            <w:sz w:val="18"/>
            <w:szCs w:val="18"/>
            <w:rtl/>
          </w:rPr>
          <w:t xml:space="preserve"> </w:t>
        </w:r>
        <w:r w:rsidR="00123158" w:rsidRPr="00ED6DB9">
          <w:rPr>
            <w:rFonts w:cs="Guttman Hodes"/>
            <w:noProof/>
            <w:sz w:val="18"/>
            <w:szCs w:val="18"/>
            <w:rtl/>
          </w:rPr>
          <w:t>בפלוגתת ריו"ח ור"ל בדם הנפש בשליל</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Toc16669781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281</w:t>
        </w:r>
        <w:r w:rsidR="00F31AA3" w:rsidRPr="00ED6DB9">
          <w:rPr>
            <w:rStyle w:val="Hyperlink"/>
            <w:rFonts w:cs="Guttman Hodes"/>
            <w:noProof/>
            <w:sz w:val="18"/>
            <w:szCs w:val="18"/>
            <w:rtl/>
          </w:rPr>
          <w:fldChar w:fldCharType="end"/>
        </w:r>
      </w:hyperlink>
    </w:p>
    <w:p w14:paraId="0A8BDF6F" w14:textId="77777777" w:rsidR="00F31AA3" w:rsidRPr="00ED6DB9" w:rsidRDefault="004B65FC">
      <w:pPr>
        <w:pStyle w:val="TOC2"/>
        <w:tabs>
          <w:tab w:val="right" w:leader="dot" w:pos="10456"/>
        </w:tabs>
        <w:rPr>
          <w:rFonts w:eastAsiaTheme="minorEastAsia" w:cs="Guttman Hodes"/>
          <w:i w:val="0"/>
          <w:iCs w:val="0"/>
          <w:noProof/>
          <w:rtl/>
        </w:rPr>
      </w:pPr>
      <w:hyperlink w:anchor="_Toc16669783" w:history="1">
        <w:r w:rsidR="00F31AA3" w:rsidRPr="00ED6DB9">
          <w:rPr>
            <w:rStyle w:val="Hyperlink"/>
            <w:rFonts w:cs="Guttman Hodes"/>
            <w:noProof/>
            <w:sz w:val="18"/>
            <w:szCs w:val="18"/>
            <w:rtl/>
          </w:rPr>
          <w:t>סימן כ"ד</w:t>
        </w:r>
        <w:r w:rsidR="00123158" w:rsidRPr="00ED6DB9">
          <w:rPr>
            <w:rFonts w:cs="Guttman Hodes"/>
            <w:sz w:val="18"/>
            <w:szCs w:val="18"/>
            <w:rtl/>
          </w:rPr>
          <w:t xml:space="preserve"> </w:t>
        </w:r>
        <w:r w:rsidR="00123158" w:rsidRPr="00ED6DB9">
          <w:rPr>
            <w:rFonts w:cs="Guttman Hodes"/>
            <w:noProof/>
            <w:sz w:val="18"/>
            <w:szCs w:val="18"/>
            <w:rtl/>
          </w:rPr>
          <w:t>בענין בן פקועה הנמצא במעי טריפה</w:t>
        </w:r>
        <w:r w:rsidR="00F31AA3" w:rsidRPr="00ED6DB9">
          <w:rPr>
            <w:rFonts w:cs="Guttman Hodes"/>
            <w:noProof/>
            <w:webHidden/>
            <w:sz w:val="18"/>
            <w:szCs w:val="18"/>
            <w:rtl/>
          </w:rPr>
          <w:tab/>
        </w:r>
        <w:r w:rsidR="00F31AA3" w:rsidRPr="00ED6DB9">
          <w:rPr>
            <w:rStyle w:val="Hyperlink"/>
            <w:rFonts w:cs="Guttman Hodes"/>
            <w:noProof/>
            <w:sz w:val="18"/>
            <w:szCs w:val="18"/>
            <w:rtl/>
          </w:rPr>
          <w:fldChar w:fldCharType="begin"/>
        </w:r>
        <w:r w:rsidR="00F31AA3" w:rsidRPr="00ED6DB9">
          <w:rPr>
            <w:rFonts w:cs="Guttman Hodes"/>
            <w:noProof/>
            <w:webHidden/>
            <w:sz w:val="18"/>
            <w:szCs w:val="18"/>
            <w:rtl/>
          </w:rPr>
          <w:instrText xml:space="preserve"> </w:instrText>
        </w:r>
        <w:r w:rsidR="00F31AA3" w:rsidRPr="00ED6DB9">
          <w:rPr>
            <w:rFonts w:cs="Guttman Hodes"/>
            <w:noProof/>
            <w:webHidden/>
            <w:sz w:val="18"/>
            <w:szCs w:val="18"/>
          </w:rPr>
          <w:instrText>PAGEREF</w:instrText>
        </w:r>
        <w:r w:rsidR="00F31AA3" w:rsidRPr="00ED6DB9">
          <w:rPr>
            <w:rFonts w:cs="Guttman Hodes"/>
            <w:noProof/>
            <w:webHidden/>
            <w:sz w:val="18"/>
            <w:szCs w:val="18"/>
            <w:rtl/>
          </w:rPr>
          <w:instrText xml:space="preserve"> _</w:instrText>
        </w:r>
        <w:r w:rsidR="00F31AA3" w:rsidRPr="00ED6DB9">
          <w:rPr>
            <w:rFonts w:cs="Guttman Hodes"/>
            <w:noProof/>
            <w:webHidden/>
            <w:sz w:val="18"/>
            <w:szCs w:val="18"/>
          </w:rPr>
          <w:instrText>Toc16669783 \h</w:instrText>
        </w:r>
        <w:r w:rsidR="00F31AA3" w:rsidRPr="00ED6DB9">
          <w:rPr>
            <w:rFonts w:cs="Guttman Hodes"/>
            <w:noProof/>
            <w:webHidden/>
            <w:sz w:val="18"/>
            <w:szCs w:val="18"/>
            <w:rtl/>
          </w:rPr>
          <w:instrText xml:space="preserve"> </w:instrText>
        </w:r>
        <w:r w:rsidR="00F31AA3" w:rsidRPr="00ED6DB9">
          <w:rPr>
            <w:rStyle w:val="Hyperlink"/>
            <w:rFonts w:cs="Guttman Hodes"/>
            <w:noProof/>
            <w:sz w:val="18"/>
            <w:szCs w:val="18"/>
            <w:rtl/>
          </w:rPr>
        </w:r>
        <w:r w:rsidR="00F31AA3" w:rsidRPr="00ED6DB9">
          <w:rPr>
            <w:rStyle w:val="Hyperlink"/>
            <w:rFonts w:cs="Guttman Hodes"/>
            <w:noProof/>
            <w:sz w:val="18"/>
            <w:szCs w:val="18"/>
            <w:rtl/>
          </w:rPr>
          <w:fldChar w:fldCharType="separate"/>
        </w:r>
        <w:r w:rsidR="00345400">
          <w:rPr>
            <w:rFonts w:cs="Guttman Hodes"/>
            <w:noProof/>
            <w:webHidden/>
            <w:sz w:val="18"/>
            <w:szCs w:val="18"/>
            <w:rtl/>
          </w:rPr>
          <w:t>290</w:t>
        </w:r>
        <w:r w:rsidR="00F31AA3" w:rsidRPr="00ED6DB9">
          <w:rPr>
            <w:rStyle w:val="Hyperlink"/>
            <w:rFonts w:cs="Guttman Hodes"/>
            <w:noProof/>
            <w:sz w:val="18"/>
            <w:szCs w:val="18"/>
            <w:rtl/>
          </w:rPr>
          <w:fldChar w:fldCharType="end"/>
        </w:r>
      </w:hyperlink>
    </w:p>
    <w:p w14:paraId="330751E8" w14:textId="77777777" w:rsidR="00961775" w:rsidRDefault="00F31AA3" w:rsidP="009B165E">
      <w:pPr>
        <w:tabs>
          <w:tab w:val="center" w:pos="4153"/>
          <w:tab w:val="right" w:pos="8306"/>
        </w:tabs>
        <w:spacing w:line="240" w:lineRule="auto"/>
        <w:ind w:left="0"/>
        <w:rPr>
          <w:rFonts w:ascii="Calibri" w:eastAsia="Calibri" w:hAnsi="Calibri" w:cs="Guttman Hodes"/>
          <w:b/>
          <w:bCs/>
          <w:sz w:val="28"/>
          <w:szCs w:val="28"/>
          <w:rtl/>
        </w:rPr>
      </w:pPr>
      <w:r w:rsidRPr="00ED6DB9">
        <w:rPr>
          <w:rFonts w:ascii="Calibri" w:eastAsia="Calibri" w:hAnsi="Calibri" w:cs="Guttman Hodes"/>
          <w:b/>
          <w:bCs/>
          <w:sz w:val="24"/>
          <w:szCs w:val="24"/>
          <w:rtl/>
        </w:rPr>
        <w:fldChar w:fldCharType="end"/>
      </w:r>
    </w:p>
    <w:p w14:paraId="3ADE0E0B" w14:textId="77777777" w:rsidR="004D5390" w:rsidRDefault="004D5390" w:rsidP="006D6D32">
      <w:pPr>
        <w:pStyle w:val="afd"/>
        <w:rPr>
          <w:rtl/>
        </w:rPr>
        <w:sectPr w:rsidR="004D5390" w:rsidSect="007505CE">
          <w:headerReference w:type="default" r:id="rId17"/>
          <w:footerReference w:type="default" r:id="rId18"/>
          <w:pgSz w:w="11906" w:h="16838"/>
          <w:pgMar w:top="720" w:right="720" w:bottom="720" w:left="720" w:header="283" w:footer="283" w:gutter="0"/>
          <w:pgNumType w:start="1"/>
          <w:cols w:space="567"/>
          <w:bidi/>
          <w:rtlGutter/>
          <w:docGrid w:linePitch="299"/>
        </w:sectPr>
      </w:pPr>
      <w:bookmarkStart w:id="7" w:name="_Toc534142054"/>
      <w:bookmarkStart w:id="8" w:name="_Toc16669719"/>
    </w:p>
    <w:p w14:paraId="73CD90E3" w14:textId="77777777" w:rsidR="00ED6DB9" w:rsidRDefault="00ED6DB9" w:rsidP="006D6D32">
      <w:pPr>
        <w:pStyle w:val="afd"/>
        <w:rPr>
          <w:rtl/>
        </w:rPr>
        <w:sectPr w:rsidR="00ED6DB9" w:rsidSect="007505CE">
          <w:pgSz w:w="11906" w:h="16838"/>
          <w:pgMar w:top="720" w:right="720" w:bottom="720" w:left="720" w:header="283" w:footer="283" w:gutter="0"/>
          <w:pgNumType w:start="1"/>
          <w:cols w:space="567"/>
          <w:bidi/>
          <w:rtlGutter/>
          <w:docGrid w:linePitch="299"/>
        </w:sectPr>
      </w:pPr>
    </w:p>
    <w:p w14:paraId="303C4CF3" w14:textId="77777777" w:rsidR="00852065" w:rsidRPr="0011670A" w:rsidRDefault="00852065" w:rsidP="006D6D32">
      <w:pPr>
        <w:pStyle w:val="afd"/>
        <w:rPr>
          <w:rtl/>
        </w:rPr>
      </w:pPr>
      <w:bookmarkStart w:id="9" w:name="_Toc19435109"/>
      <w:bookmarkStart w:id="10" w:name="_Toc20080492"/>
      <w:r w:rsidRPr="0011670A">
        <w:rPr>
          <w:rtl/>
        </w:rPr>
        <w:t xml:space="preserve">סימן </w:t>
      </w:r>
      <w:r w:rsidRPr="0011670A">
        <w:rPr>
          <w:rFonts w:hint="cs"/>
          <w:rtl/>
        </w:rPr>
        <w:t>א'</w:t>
      </w:r>
      <w:bookmarkEnd w:id="0"/>
      <w:bookmarkEnd w:id="1"/>
      <w:bookmarkEnd w:id="2"/>
      <w:bookmarkEnd w:id="7"/>
      <w:bookmarkEnd w:id="8"/>
      <w:bookmarkEnd w:id="9"/>
      <w:bookmarkEnd w:id="10"/>
    </w:p>
    <w:p w14:paraId="1460E31E" w14:textId="77777777" w:rsidR="00852065" w:rsidRPr="0011670A" w:rsidRDefault="00852065" w:rsidP="006D6D32">
      <w:pPr>
        <w:pStyle w:val="afd"/>
        <w:rPr>
          <w:rtl/>
        </w:rPr>
      </w:pPr>
      <w:bookmarkStart w:id="11" w:name="_Toc522028102"/>
      <w:bookmarkStart w:id="12" w:name="_Toc522086104"/>
      <w:bookmarkStart w:id="13" w:name="_Toc522099520"/>
      <w:bookmarkStart w:id="14" w:name="_Toc534141907"/>
      <w:bookmarkStart w:id="15" w:name="_Toc534142055"/>
      <w:bookmarkStart w:id="16" w:name="_Toc16669720"/>
      <w:bookmarkStart w:id="17" w:name="_Toc19435110"/>
      <w:bookmarkStart w:id="18" w:name="_Toc20080493"/>
      <w:r w:rsidRPr="0011670A">
        <w:rPr>
          <w:rFonts w:hint="cs"/>
          <w:rtl/>
        </w:rPr>
        <w:t>בענין בהמה בחייה בחזקת איסור עומדת</w:t>
      </w:r>
      <w:bookmarkEnd w:id="11"/>
      <w:bookmarkEnd w:id="12"/>
      <w:bookmarkEnd w:id="13"/>
      <w:bookmarkEnd w:id="14"/>
      <w:bookmarkEnd w:id="15"/>
      <w:bookmarkEnd w:id="16"/>
      <w:bookmarkEnd w:id="17"/>
      <w:bookmarkEnd w:id="18"/>
    </w:p>
    <w:p w14:paraId="63F5AB65" w14:textId="77777777" w:rsidR="00852065" w:rsidRDefault="000A0C31" w:rsidP="00852065">
      <w:pPr>
        <w:pStyle w:val="2"/>
        <w:rPr>
          <w:rtl/>
        </w:rPr>
      </w:pPr>
      <w:r>
        <w:rPr>
          <w:rFonts w:hint="cs"/>
          <w:rtl/>
        </w:rPr>
        <w:t>מפתח הסוגיא</w:t>
      </w:r>
    </w:p>
    <w:p w14:paraId="62BD360E" w14:textId="77777777" w:rsidR="00852065" w:rsidRDefault="00852065" w:rsidP="00852065">
      <w:pPr>
        <w:pStyle w:val="2"/>
        <w:rPr>
          <w:rtl/>
        </w:rPr>
        <w:sectPr w:rsidR="00852065" w:rsidSect="007505CE">
          <w:headerReference w:type="default" r:id="rId19"/>
          <w:footerReference w:type="default" r:id="rId20"/>
          <w:pgSz w:w="11906" w:h="16838"/>
          <w:pgMar w:top="720" w:right="720" w:bottom="720" w:left="720" w:header="283" w:footer="283" w:gutter="0"/>
          <w:pgNumType w:start="1"/>
          <w:cols w:space="567"/>
          <w:bidi/>
          <w:rtlGutter/>
          <w:docGrid w:linePitch="299"/>
        </w:sectPr>
      </w:pPr>
    </w:p>
    <w:p w14:paraId="0FCF944D" w14:textId="77777777" w:rsidR="00852065" w:rsidRDefault="00852065" w:rsidP="00852065">
      <w:pPr>
        <w:pStyle w:val="2"/>
        <w:rPr>
          <w:rtl/>
        </w:rPr>
      </w:pPr>
      <w:bookmarkStart w:id="19" w:name="_Toc19435112"/>
      <w:r>
        <w:rPr>
          <w:rFonts w:hint="cs"/>
          <w:rtl/>
        </w:rPr>
        <w:t>מראי מקומות וביאורים על הסוגיא</w:t>
      </w:r>
      <w:bookmarkEnd w:id="19"/>
    </w:p>
    <w:p w14:paraId="2978FFF4" w14:textId="77777777" w:rsidR="00852065" w:rsidRPr="00E60537" w:rsidRDefault="00852065" w:rsidP="00852065">
      <w:pPr>
        <w:pStyle w:val="2"/>
        <w:rPr>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bookmarkStart w:id="20" w:name="_Toc19435113"/>
      <w:r>
        <w:rPr>
          <w:noProof/>
          <w:rtl/>
        </w:rPr>
        <w:t>בביאור הספק ב</w:t>
      </w:r>
      <w:r w:rsidRPr="00E60537">
        <w:rPr>
          <w:rtl/>
        </w:rPr>
        <w:t>לא בדק</w:t>
      </w:r>
      <w:r w:rsidRPr="00E60537">
        <w:rPr>
          <w:rFonts w:hint="cs"/>
          <w:rtl/>
        </w:rPr>
        <w:t xml:space="preserve"> בסימנים</w:t>
      </w:r>
      <w:bookmarkEnd w:id="20"/>
    </w:p>
    <w:p w14:paraId="21FFED0A" w14:textId="77777777" w:rsidR="00852065" w:rsidRDefault="00852065" w:rsidP="00852065">
      <w:pPr>
        <w:pStyle w:val="aff4"/>
        <w:rPr>
          <w:rFonts w:eastAsiaTheme="minorEastAsia" w:cstheme="minorBidi"/>
          <w:i/>
          <w:iCs/>
          <w:noProof/>
          <w:sz w:val="22"/>
          <w:szCs w:val="22"/>
          <w:rtl/>
        </w:rPr>
      </w:pPr>
      <w:bookmarkStart w:id="21" w:name="_Toc19435114"/>
      <w:bookmarkStart w:id="22" w:name="_Toc20080494"/>
      <w:r>
        <w:rPr>
          <w:noProof/>
          <w:rtl/>
        </w:rPr>
        <w:t>דעת רש"י והרי"ף דבודק רק אם נשחטו רוב הסימנים</w:t>
      </w:r>
      <w:bookmarkEnd w:id="21"/>
      <w:bookmarkEnd w:id="22"/>
    </w:p>
    <w:p w14:paraId="7235515A" w14:textId="77777777" w:rsidR="00852065" w:rsidRPr="00456A15" w:rsidRDefault="00852065" w:rsidP="005077A7">
      <w:pPr>
        <w:pStyle w:val="a"/>
        <w:rPr>
          <w:rFonts w:eastAsiaTheme="minorEastAsia" w:cstheme="minorBidi"/>
          <w:noProof/>
          <w:sz w:val="22"/>
          <w:szCs w:val="22"/>
          <w:rtl/>
        </w:rPr>
      </w:pPr>
      <w:r>
        <w:rPr>
          <w:noProof/>
          <w:rtl/>
        </w:rPr>
        <w:t>דברי רש"י והרי"ף דהספק האם נשחטו הסימנים כראוי</w:t>
      </w:r>
    </w:p>
    <w:p w14:paraId="027ED6CC" w14:textId="77777777" w:rsidR="00852065" w:rsidRDefault="00852065" w:rsidP="00852065">
      <w:pPr>
        <w:pStyle w:val="aff4"/>
        <w:rPr>
          <w:rFonts w:eastAsiaTheme="minorEastAsia" w:cstheme="minorBidi"/>
          <w:i/>
          <w:iCs/>
          <w:noProof/>
          <w:sz w:val="22"/>
          <w:szCs w:val="22"/>
          <w:rtl/>
        </w:rPr>
      </w:pPr>
      <w:bookmarkStart w:id="23" w:name="_Toc19435115"/>
      <w:bookmarkStart w:id="24" w:name="_Toc20080495"/>
      <w:r>
        <w:rPr>
          <w:noProof/>
          <w:rtl/>
        </w:rPr>
        <w:t>דעת הרמב"ן והמאירי דבודק גם אם לא הגרים</w:t>
      </w:r>
      <w:bookmarkEnd w:id="23"/>
      <w:bookmarkEnd w:id="24"/>
    </w:p>
    <w:p w14:paraId="5702EF34" w14:textId="77777777" w:rsidR="00852065" w:rsidRDefault="00852065" w:rsidP="005077A7">
      <w:pPr>
        <w:pStyle w:val="a"/>
        <w:rPr>
          <w:rFonts w:eastAsiaTheme="minorEastAsia" w:cstheme="minorBidi"/>
          <w:noProof/>
          <w:sz w:val="22"/>
          <w:szCs w:val="22"/>
          <w:rtl/>
        </w:rPr>
      </w:pPr>
      <w:r>
        <w:rPr>
          <w:noProof/>
          <w:rtl/>
        </w:rPr>
        <w:t>דברי הרמב"ן דצריך לבדוק גם אם לא הגרים בשחיטה</w:t>
      </w:r>
    </w:p>
    <w:p w14:paraId="269F8658" w14:textId="77777777" w:rsidR="00852065" w:rsidRPr="00205D81" w:rsidRDefault="00852065" w:rsidP="005077A7">
      <w:pPr>
        <w:pStyle w:val="a"/>
      </w:pPr>
      <w:r>
        <w:rPr>
          <w:rFonts w:hint="cs"/>
          <w:rtl/>
        </w:rPr>
        <w:t>דברי הרמב"ן דהלשון טריפה היינו שאינה מטמאה אך דינה באכילה כנבילה וכרבי ישבב</w:t>
      </w:r>
    </w:p>
    <w:p w14:paraId="50F1B064" w14:textId="77777777" w:rsidR="00852065" w:rsidRDefault="00852065" w:rsidP="005077A7">
      <w:pPr>
        <w:pStyle w:val="a"/>
        <w:rPr>
          <w:rFonts w:eastAsiaTheme="minorEastAsia" w:cstheme="minorBidi"/>
          <w:noProof/>
          <w:sz w:val="22"/>
          <w:szCs w:val="22"/>
          <w:rtl/>
        </w:rPr>
      </w:pPr>
      <w:r>
        <w:rPr>
          <w:noProof/>
          <w:rtl/>
        </w:rPr>
        <w:t>ביאור המאירי דמיעוט סימנים והגרמה הם פסול בשחיטה</w:t>
      </w:r>
    </w:p>
    <w:p w14:paraId="6308BEAC" w14:textId="77777777" w:rsidR="00852065" w:rsidRDefault="00852065" w:rsidP="005077A7">
      <w:pPr>
        <w:pStyle w:val="a"/>
        <w:rPr>
          <w:rFonts w:eastAsiaTheme="minorEastAsia" w:cstheme="minorBidi"/>
          <w:noProof/>
          <w:sz w:val="22"/>
          <w:szCs w:val="22"/>
          <w:rtl/>
        </w:rPr>
      </w:pPr>
      <w:r>
        <w:rPr>
          <w:noProof/>
          <w:rtl/>
        </w:rPr>
        <w:t>ביאור הגר"א בדעת הי"א בשו"ע דספק בהגרמה הוא בכלל חזקת איסור</w:t>
      </w:r>
    </w:p>
    <w:p w14:paraId="6187BE39" w14:textId="77777777" w:rsidR="00852065" w:rsidRDefault="00852065" w:rsidP="00852065">
      <w:pPr>
        <w:pStyle w:val="aff4"/>
        <w:rPr>
          <w:rFonts w:eastAsiaTheme="minorEastAsia" w:cstheme="minorBidi"/>
          <w:i/>
          <w:iCs/>
          <w:noProof/>
          <w:sz w:val="22"/>
          <w:szCs w:val="22"/>
          <w:rtl/>
        </w:rPr>
      </w:pPr>
      <w:bookmarkStart w:id="25" w:name="_Toc19435116"/>
      <w:bookmarkStart w:id="26" w:name="_Toc20080496"/>
      <w:r>
        <w:rPr>
          <w:noProof/>
          <w:rtl/>
        </w:rPr>
        <w:t>דעת הבה"ג דבודק גם אם לא נעקרו הסימנים</w:t>
      </w:r>
      <w:bookmarkEnd w:id="25"/>
      <w:bookmarkEnd w:id="26"/>
    </w:p>
    <w:p w14:paraId="2F998692" w14:textId="77777777" w:rsidR="00852065" w:rsidRDefault="00852065" w:rsidP="005077A7">
      <w:pPr>
        <w:pStyle w:val="a"/>
        <w:rPr>
          <w:rFonts w:eastAsiaTheme="minorEastAsia" w:cstheme="minorBidi"/>
          <w:noProof/>
          <w:sz w:val="22"/>
          <w:szCs w:val="22"/>
          <w:rtl/>
        </w:rPr>
      </w:pPr>
      <w:r>
        <w:rPr>
          <w:noProof/>
          <w:rtl/>
        </w:rPr>
        <w:t>דברי הרמב"ן בשם י"א והר"ן בשם הבה"ג דצריך לבדוק שלא נעקרו הסימנים</w:t>
      </w:r>
    </w:p>
    <w:p w14:paraId="2FCC5E2A" w14:textId="77777777" w:rsidR="00852065" w:rsidRDefault="00852065" w:rsidP="005077A7">
      <w:pPr>
        <w:pStyle w:val="a"/>
        <w:rPr>
          <w:rFonts w:eastAsiaTheme="minorEastAsia" w:cstheme="minorBidi"/>
          <w:noProof/>
          <w:sz w:val="22"/>
          <w:szCs w:val="22"/>
          <w:rtl/>
        </w:rPr>
      </w:pPr>
      <w:r>
        <w:rPr>
          <w:noProof/>
          <w:rtl/>
        </w:rPr>
        <w:t>דחיית הרמב"ן והר"ן דהיא בחזקת חיה שלא נעקרו הסימנים והספק הוא רק בשחיטה</w:t>
      </w:r>
    </w:p>
    <w:p w14:paraId="4E4543E7" w14:textId="77777777" w:rsidR="00852065" w:rsidRDefault="00852065" w:rsidP="005077A7">
      <w:pPr>
        <w:pStyle w:val="a"/>
        <w:rPr>
          <w:rFonts w:eastAsiaTheme="minorEastAsia" w:cstheme="minorBidi"/>
          <w:noProof/>
          <w:sz w:val="22"/>
          <w:szCs w:val="22"/>
          <w:rtl/>
        </w:rPr>
      </w:pPr>
      <w:r>
        <w:rPr>
          <w:noProof/>
          <w:rtl/>
        </w:rPr>
        <w:t>דברי הרא"ש דבעיקור סימנים סמכינן על הרוב כמו בי"ח טריפות</w:t>
      </w:r>
    </w:p>
    <w:p w14:paraId="524ADC2B" w14:textId="77777777" w:rsidR="00852065" w:rsidRDefault="00852065" w:rsidP="00852065">
      <w:pPr>
        <w:pStyle w:val="2"/>
        <w:rPr>
          <w:rFonts w:eastAsiaTheme="minorEastAsia" w:cstheme="minorBidi"/>
          <w:i/>
          <w:iCs/>
          <w:noProof/>
          <w:rtl/>
        </w:rPr>
      </w:pPr>
      <w:bookmarkStart w:id="27" w:name="_Toc19435117"/>
      <w:r>
        <w:rPr>
          <w:noProof/>
          <w:rtl/>
        </w:rPr>
        <w:t>בביאור החזקת איסור</w:t>
      </w:r>
      <w:bookmarkEnd w:id="27"/>
    </w:p>
    <w:p w14:paraId="1CED4300" w14:textId="77777777" w:rsidR="00852065" w:rsidRDefault="00852065" w:rsidP="00852065">
      <w:pPr>
        <w:pStyle w:val="aff4"/>
        <w:rPr>
          <w:rFonts w:eastAsiaTheme="minorEastAsia" w:cstheme="minorBidi"/>
          <w:i/>
          <w:iCs/>
          <w:noProof/>
          <w:sz w:val="22"/>
          <w:szCs w:val="22"/>
          <w:rtl/>
        </w:rPr>
      </w:pPr>
      <w:bookmarkStart w:id="28" w:name="_Toc19435118"/>
      <w:bookmarkStart w:id="29" w:name="_Toc20080497"/>
      <w:r>
        <w:rPr>
          <w:noProof/>
          <w:rtl/>
        </w:rPr>
        <w:t>פלוגתת רש"י ותוס' אי מוחזקת באבמה"ח או באינו זבוח</w:t>
      </w:r>
      <w:bookmarkEnd w:id="28"/>
      <w:bookmarkEnd w:id="29"/>
    </w:p>
    <w:p w14:paraId="5530279F" w14:textId="77777777" w:rsidR="00852065" w:rsidRDefault="00852065" w:rsidP="005077A7">
      <w:pPr>
        <w:pStyle w:val="a"/>
        <w:rPr>
          <w:rFonts w:eastAsiaTheme="minorEastAsia" w:cstheme="minorBidi"/>
          <w:noProof/>
          <w:sz w:val="22"/>
          <w:szCs w:val="22"/>
          <w:rtl/>
        </w:rPr>
      </w:pPr>
      <w:bookmarkStart w:id="30" w:name="_Ref522100076"/>
      <w:r>
        <w:rPr>
          <w:noProof/>
          <w:rtl/>
        </w:rPr>
        <w:t>דברי רש"י דמעמידים אותה על חזקתה מחיים דאסורה באבר מן החי וא"א להתירה מספק</w:t>
      </w:r>
      <w:bookmarkEnd w:id="30"/>
    </w:p>
    <w:p w14:paraId="336CE9AF" w14:textId="77777777" w:rsidR="00852065" w:rsidRDefault="00852065" w:rsidP="005077A7">
      <w:pPr>
        <w:pStyle w:val="a"/>
        <w:rPr>
          <w:rFonts w:eastAsiaTheme="minorEastAsia" w:cstheme="minorBidi"/>
          <w:noProof/>
          <w:sz w:val="22"/>
          <w:szCs w:val="22"/>
          <w:rtl/>
        </w:rPr>
      </w:pPr>
      <w:r>
        <w:rPr>
          <w:noProof/>
          <w:rtl/>
        </w:rPr>
        <w:t>קושית התוס' בביצה והמאירי דאף שיש ספק בשחיטה מ"מ היא מתה ואינה בכלל אבמה"ח</w:t>
      </w:r>
    </w:p>
    <w:p w14:paraId="744DC021" w14:textId="77777777" w:rsidR="00852065" w:rsidRDefault="00852065" w:rsidP="005077A7">
      <w:pPr>
        <w:pStyle w:val="a"/>
        <w:rPr>
          <w:rFonts w:eastAsiaTheme="minorEastAsia" w:cstheme="minorBidi"/>
          <w:noProof/>
          <w:sz w:val="22"/>
          <w:szCs w:val="22"/>
          <w:rtl/>
        </w:rPr>
      </w:pPr>
      <w:bookmarkStart w:id="31" w:name="_Ref522100086"/>
      <w:r>
        <w:rPr>
          <w:noProof/>
          <w:rtl/>
        </w:rPr>
        <w:t>דברי התוס' בביצה והרשב"א דכיון שיש ספק בשחיטה מעמידים בחזקת שאינה זבוחה</w:t>
      </w:r>
      <w:bookmarkEnd w:id="31"/>
    </w:p>
    <w:p w14:paraId="65D09EDB" w14:textId="77777777" w:rsidR="00852065" w:rsidRDefault="00852065" w:rsidP="00852065">
      <w:pPr>
        <w:pStyle w:val="2"/>
        <w:rPr>
          <w:rFonts w:eastAsiaTheme="minorEastAsia" w:cstheme="minorBidi"/>
          <w:i/>
          <w:iCs/>
          <w:noProof/>
          <w:rtl/>
        </w:rPr>
      </w:pPr>
      <w:bookmarkStart w:id="32" w:name="_Toc19435119"/>
      <w:r>
        <w:rPr>
          <w:noProof/>
          <w:rtl/>
        </w:rPr>
        <w:t xml:space="preserve">בביאור המחלוקת אי </w:t>
      </w:r>
      <w:r>
        <w:rPr>
          <w:rFonts w:hint="cs"/>
          <w:noProof/>
          <w:rtl/>
        </w:rPr>
        <w:t>מטמאה בנבילה</w:t>
      </w:r>
      <w:bookmarkEnd w:id="32"/>
    </w:p>
    <w:p w14:paraId="0F6B34EB" w14:textId="77777777" w:rsidR="00852065" w:rsidRDefault="00852065" w:rsidP="00852065">
      <w:pPr>
        <w:pStyle w:val="aff4"/>
        <w:rPr>
          <w:rFonts w:eastAsiaTheme="minorEastAsia" w:cstheme="minorBidi"/>
          <w:i/>
          <w:iCs/>
          <w:noProof/>
          <w:sz w:val="22"/>
          <w:szCs w:val="22"/>
          <w:rtl/>
        </w:rPr>
      </w:pPr>
      <w:bookmarkStart w:id="33" w:name="_Toc19435120"/>
      <w:bookmarkStart w:id="34" w:name="_Toc20080498"/>
      <w:r>
        <w:rPr>
          <w:noProof/>
          <w:rtl/>
        </w:rPr>
        <w:t>ביאור רש"י בדעת הברייתא דמטמאה בנבילה</w:t>
      </w:r>
      <w:bookmarkEnd w:id="33"/>
      <w:bookmarkEnd w:id="34"/>
    </w:p>
    <w:p w14:paraId="1ED9CA6E" w14:textId="77777777" w:rsidR="00852065" w:rsidRDefault="00852065" w:rsidP="005077A7">
      <w:pPr>
        <w:pStyle w:val="a"/>
        <w:rPr>
          <w:rFonts w:eastAsiaTheme="minorEastAsia" w:cstheme="minorBidi"/>
          <w:noProof/>
          <w:sz w:val="22"/>
          <w:szCs w:val="22"/>
          <w:rtl/>
        </w:rPr>
      </w:pPr>
      <w:bookmarkStart w:id="35" w:name="_Ref522100237"/>
      <w:r>
        <w:rPr>
          <w:noProof/>
          <w:rtl/>
        </w:rPr>
        <w:t>דברי רש"י בדעת הברייתא דמטמאה כיון שהיא בחזקת שאינה שחוטה</w:t>
      </w:r>
      <w:bookmarkEnd w:id="35"/>
    </w:p>
    <w:p w14:paraId="24379423" w14:textId="77777777" w:rsidR="00852065" w:rsidRDefault="00852065" w:rsidP="005077A7">
      <w:pPr>
        <w:pStyle w:val="a"/>
        <w:rPr>
          <w:rFonts w:eastAsiaTheme="minorEastAsia" w:cstheme="minorBidi"/>
          <w:noProof/>
          <w:sz w:val="22"/>
          <w:szCs w:val="22"/>
          <w:rtl/>
        </w:rPr>
      </w:pPr>
      <w:r>
        <w:rPr>
          <w:noProof/>
          <w:rtl/>
        </w:rPr>
        <w:t>דברי השיטמ"ק דלרש"י לכו"ע אסור מדאו'</w:t>
      </w:r>
    </w:p>
    <w:p w14:paraId="033AC2B5" w14:textId="77777777" w:rsidR="00852065" w:rsidRDefault="00852065" w:rsidP="005077A7">
      <w:pPr>
        <w:pStyle w:val="a"/>
        <w:rPr>
          <w:rFonts w:eastAsiaTheme="minorEastAsia" w:cstheme="minorBidi"/>
          <w:noProof/>
          <w:sz w:val="22"/>
          <w:szCs w:val="22"/>
          <w:rtl/>
        </w:rPr>
      </w:pPr>
      <w:r>
        <w:rPr>
          <w:noProof/>
          <w:rtl/>
        </w:rPr>
        <w:t>ביאור השיטמ"ק דלדעת רש"י ממשיכים את האבמה"ח לאינה שחוטה ולכן מטמאה</w:t>
      </w:r>
    </w:p>
    <w:p w14:paraId="004C51E1" w14:textId="77777777" w:rsidR="00852065" w:rsidRDefault="00852065" w:rsidP="00852065">
      <w:pPr>
        <w:pStyle w:val="aff4"/>
        <w:rPr>
          <w:rFonts w:eastAsiaTheme="minorEastAsia" w:cstheme="minorBidi"/>
          <w:i/>
          <w:iCs/>
          <w:noProof/>
          <w:sz w:val="22"/>
          <w:szCs w:val="22"/>
          <w:rtl/>
        </w:rPr>
      </w:pPr>
      <w:bookmarkStart w:id="36" w:name="_Toc19435121"/>
      <w:bookmarkStart w:id="37" w:name="_Toc20080499"/>
      <w:r>
        <w:rPr>
          <w:noProof/>
          <w:rtl/>
        </w:rPr>
        <w:t>ביאור רש"י בדעת ר"א ב"ר ינאי דאינה מטמאה בנבילה</w:t>
      </w:r>
      <w:bookmarkEnd w:id="36"/>
      <w:bookmarkEnd w:id="37"/>
    </w:p>
    <w:p w14:paraId="0AEDDA18" w14:textId="77777777" w:rsidR="00852065" w:rsidRDefault="00852065" w:rsidP="005077A7">
      <w:pPr>
        <w:pStyle w:val="a"/>
        <w:rPr>
          <w:rFonts w:eastAsiaTheme="minorEastAsia" w:cstheme="minorBidi"/>
          <w:noProof/>
          <w:sz w:val="22"/>
          <w:szCs w:val="22"/>
          <w:rtl/>
        </w:rPr>
      </w:pPr>
      <w:r>
        <w:rPr>
          <w:noProof/>
          <w:rtl/>
        </w:rPr>
        <w:t>דברי רש"י דמחיים אסורה רק באכילה ואינה מטמאה דבשר מן החי לא מטמא</w:t>
      </w:r>
    </w:p>
    <w:p w14:paraId="61D47B6A" w14:textId="77777777" w:rsidR="00852065" w:rsidRDefault="00852065" w:rsidP="005077A7">
      <w:pPr>
        <w:pStyle w:val="a"/>
        <w:rPr>
          <w:rFonts w:eastAsiaTheme="minorEastAsia" w:cstheme="minorBidi"/>
          <w:noProof/>
          <w:sz w:val="22"/>
          <w:szCs w:val="22"/>
          <w:rtl/>
        </w:rPr>
      </w:pPr>
      <w:bookmarkStart w:id="38" w:name="_Ref522100254"/>
      <w:r>
        <w:rPr>
          <w:noProof/>
          <w:rtl/>
        </w:rPr>
        <w:t>דברי השיטמ"ק דלא גרסינן ברש"י דמחיים אסורה באכילה ואינה מטמאה</w:t>
      </w:r>
      <w:bookmarkEnd w:id="38"/>
    </w:p>
    <w:p w14:paraId="2F8F8402" w14:textId="77777777" w:rsidR="00852065" w:rsidRDefault="00852065" w:rsidP="005077A7">
      <w:pPr>
        <w:pStyle w:val="a"/>
        <w:rPr>
          <w:rFonts w:eastAsiaTheme="minorEastAsia" w:cstheme="minorBidi"/>
          <w:noProof/>
          <w:sz w:val="22"/>
          <w:szCs w:val="22"/>
          <w:rtl/>
        </w:rPr>
      </w:pPr>
      <w:r>
        <w:rPr>
          <w:noProof/>
          <w:rtl/>
        </w:rPr>
        <w:t>ביאור השיטמ"ק בדעת רש"י דלר"א אינה מטמאה דיצאה מכלל אבמה"ח והוא פנים חדשות</w:t>
      </w:r>
    </w:p>
    <w:p w14:paraId="2FC81878" w14:textId="77777777" w:rsidR="00852065" w:rsidRDefault="00852065" w:rsidP="005077A7">
      <w:pPr>
        <w:pStyle w:val="a"/>
        <w:rPr>
          <w:rFonts w:eastAsiaTheme="minorEastAsia" w:cstheme="minorBidi"/>
          <w:noProof/>
          <w:sz w:val="22"/>
          <w:szCs w:val="22"/>
          <w:rtl/>
        </w:rPr>
      </w:pPr>
      <w:r>
        <w:rPr>
          <w:noProof/>
          <w:rtl/>
        </w:rPr>
        <w:t>דברי השיטמ"ק דכן מבואר לגירסתו ברש"י</w:t>
      </w:r>
    </w:p>
    <w:p w14:paraId="2A5F81F8" w14:textId="77777777" w:rsidR="00852065" w:rsidRDefault="00852065" w:rsidP="00852065">
      <w:pPr>
        <w:pStyle w:val="aff4"/>
        <w:rPr>
          <w:rFonts w:eastAsiaTheme="minorEastAsia" w:cstheme="minorBidi"/>
          <w:i/>
          <w:iCs/>
          <w:noProof/>
          <w:sz w:val="22"/>
          <w:szCs w:val="22"/>
          <w:rtl/>
        </w:rPr>
      </w:pPr>
      <w:bookmarkStart w:id="39" w:name="_Toc19435122"/>
      <w:bookmarkStart w:id="40" w:name="_Toc20080500"/>
      <w:r>
        <w:rPr>
          <w:noProof/>
          <w:rtl/>
        </w:rPr>
        <w:t>דעת הר"ן דנחלקו בחזקת טומאה</w:t>
      </w:r>
      <w:bookmarkEnd w:id="39"/>
      <w:bookmarkEnd w:id="40"/>
    </w:p>
    <w:p w14:paraId="2D09E0C9" w14:textId="77777777" w:rsidR="00852065" w:rsidRDefault="00852065" w:rsidP="005077A7">
      <w:pPr>
        <w:pStyle w:val="a"/>
        <w:rPr>
          <w:rFonts w:eastAsiaTheme="minorEastAsia" w:cstheme="minorBidi"/>
          <w:noProof/>
          <w:sz w:val="22"/>
          <w:szCs w:val="22"/>
          <w:rtl/>
        </w:rPr>
      </w:pPr>
      <w:r>
        <w:rPr>
          <w:noProof/>
          <w:rtl/>
        </w:rPr>
        <w:t>דברי הר"ן דלר"א אין לה חזקת טומאה מחיים כמו דשחיטת טריפה מטהרת מנבילה</w:t>
      </w:r>
    </w:p>
    <w:p w14:paraId="6F0142C1" w14:textId="77777777" w:rsidR="00852065" w:rsidRDefault="00852065" w:rsidP="005077A7">
      <w:pPr>
        <w:pStyle w:val="a"/>
        <w:rPr>
          <w:rFonts w:eastAsiaTheme="minorEastAsia" w:cstheme="minorBidi"/>
          <w:noProof/>
          <w:sz w:val="22"/>
          <w:szCs w:val="22"/>
          <w:rtl/>
        </w:rPr>
      </w:pPr>
      <w:bookmarkStart w:id="41" w:name="_Ref522100413"/>
      <w:r>
        <w:rPr>
          <w:noProof/>
          <w:rtl/>
        </w:rPr>
        <w:t>דברי הר"ן בדעת הברייתא דמחיים היא בחזקת אינה שחוטה והשתא דמתה היא נבילה</w:t>
      </w:r>
      <w:bookmarkEnd w:id="41"/>
    </w:p>
    <w:p w14:paraId="1E6AC7BF" w14:textId="77777777" w:rsidR="00852065" w:rsidRDefault="00852065" w:rsidP="00852065">
      <w:pPr>
        <w:pStyle w:val="aff4"/>
        <w:rPr>
          <w:rFonts w:eastAsiaTheme="minorEastAsia" w:cstheme="minorBidi"/>
          <w:i/>
          <w:iCs/>
          <w:noProof/>
          <w:sz w:val="22"/>
          <w:szCs w:val="22"/>
          <w:rtl/>
        </w:rPr>
      </w:pPr>
      <w:bookmarkStart w:id="42" w:name="_Toc19435123"/>
      <w:bookmarkStart w:id="43" w:name="_Toc20080501"/>
      <w:r>
        <w:rPr>
          <w:noProof/>
          <w:rtl/>
        </w:rPr>
        <w:t>ביאור החת"ס ונימוקי הגרי"ב בפלוגתת רש"י ותוס'</w:t>
      </w:r>
      <w:bookmarkEnd w:id="42"/>
      <w:bookmarkEnd w:id="43"/>
    </w:p>
    <w:p w14:paraId="017DB7F1" w14:textId="77777777" w:rsidR="00852065" w:rsidRDefault="00852065" w:rsidP="005077A7">
      <w:pPr>
        <w:pStyle w:val="a"/>
        <w:rPr>
          <w:rFonts w:eastAsiaTheme="minorEastAsia" w:cstheme="minorBidi"/>
          <w:noProof/>
          <w:sz w:val="22"/>
          <w:szCs w:val="22"/>
          <w:rtl/>
        </w:rPr>
      </w:pPr>
      <w:r>
        <w:rPr>
          <w:noProof/>
          <w:rtl/>
        </w:rPr>
        <w:t>קושית החת"ס דרש"י כתב גם אבר מן החי וגם שאינה שחוטה</w:t>
      </w:r>
    </w:p>
    <w:p w14:paraId="4F064BF3" w14:textId="77777777" w:rsidR="00852065" w:rsidRDefault="00852065" w:rsidP="005077A7">
      <w:pPr>
        <w:pStyle w:val="a"/>
        <w:rPr>
          <w:rFonts w:eastAsiaTheme="minorEastAsia" w:cstheme="minorBidi"/>
          <w:noProof/>
          <w:sz w:val="22"/>
          <w:szCs w:val="22"/>
          <w:rtl/>
        </w:rPr>
      </w:pPr>
      <w:bookmarkStart w:id="44" w:name="_Ref522100279"/>
      <w:r>
        <w:rPr>
          <w:noProof/>
          <w:rtl/>
        </w:rPr>
        <w:t>ביאור החת"ס דלרש"י לדעת ר"א ב"ר ינאי היא בחזקת אבר מן החי ומחזיקין מאיסור לאיסור</w:t>
      </w:r>
      <w:bookmarkEnd w:id="44"/>
    </w:p>
    <w:p w14:paraId="3F9C9A58" w14:textId="77777777" w:rsidR="00852065" w:rsidRDefault="00852065" w:rsidP="005077A7">
      <w:pPr>
        <w:pStyle w:val="a"/>
        <w:rPr>
          <w:rFonts w:eastAsiaTheme="minorEastAsia" w:cstheme="minorBidi"/>
          <w:noProof/>
          <w:sz w:val="22"/>
          <w:szCs w:val="22"/>
          <w:rtl/>
        </w:rPr>
      </w:pPr>
      <w:r>
        <w:rPr>
          <w:noProof/>
          <w:rtl/>
        </w:rPr>
        <w:t>ביאור החת"ס דלרש"י לדעת הברייתא היא בחזקת אינו זבוח וא"צ להחזיק מאיסור לאיסור</w:t>
      </w:r>
    </w:p>
    <w:p w14:paraId="75DA0AF1" w14:textId="77777777" w:rsidR="00852065" w:rsidRDefault="00852065" w:rsidP="005077A7">
      <w:pPr>
        <w:pStyle w:val="a"/>
        <w:rPr>
          <w:rFonts w:eastAsiaTheme="minorEastAsia" w:cstheme="minorBidi"/>
          <w:noProof/>
          <w:sz w:val="22"/>
          <w:szCs w:val="22"/>
          <w:rtl/>
        </w:rPr>
      </w:pPr>
      <w:r>
        <w:rPr>
          <w:noProof/>
          <w:rtl/>
        </w:rPr>
        <w:t>דברי החת"ס דלענין טומאה אין לה לא חזקת טהרה ולא חזקת טומאה</w:t>
      </w:r>
    </w:p>
    <w:p w14:paraId="48E2ABBF" w14:textId="77777777" w:rsidR="00852065" w:rsidRDefault="00852065" w:rsidP="00852065">
      <w:pPr>
        <w:pStyle w:val="aff4"/>
        <w:rPr>
          <w:rFonts w:eastAsiaTheme="minorEastAsia" w:cstheme="minorBidi"/>
          <w:i/>
          <w:iCs/>
          <w:noProof/>
          <w:sz w:val="22"/>
          <w:szCs w:val="22"/>
          <w:rtl/>
        </w:rPr>
      </w:pPr>
      <w:bookmarkStart w:id="45" w:name="_Toc19435124"/>
      <w:bookmarkStart w:id="46" w:name="_Toc20080502"/>
      <w:r>
        <w:rPr>
          <w:noProof/>
          <w:rtl/>
        </w:rPr>
        <w:t>ביאור התוס' והרשב"א בדעת ר"א דמדאו' מותרת מדין רוב</w:t>
      </w:r>
      <w:bookmarkEnd w:id="45"/>
      <w:bookmarkEnd w:id="46"/>
    </w:p>
    <w:p w14:paraId="3AE3A351" w14:textId="77777777" w:rsidR="00852065" w:rsidRDefault="00852065" w:rsidP="005077A7">
      <w:pPr>
        <w:pStyle w:val="a"/>
        <w:rPr>
          <w:rFonts w:eastAsiaTheme="minorEastAsia" w:cstheme="minorBidi"/>
          <w:noProof/>
          <w:sz w:val="22"/>
          <w:szCs w:val="22"/>
          <w:rtl/>
        </w:rPr>
      </w:pPr>
      <w:bookmarkStart w:id="47" w:name="_Ref522100144"/>
      <w:r>
        <w:rPr>
          <w:noProof/>
          <w:rtl/>
        </w:rPr>
        <w:t>דברי התוס' דלר"א אינה מטמאה דמדאו' יש רוב שנשחטה והחמירו רבנן רק לענין איסור</w:t>
      </w:r>
      <w:bookmarkEnd w:id="47"/>
    </w:p>
    <w:p w14:paraId="49FD279A" w14:textId="77777777" w:rsidR="00852065" w:rsidRDefault="00852065" w:rsidP="005077A7">
      <w:pPr>
        <w:pStyle w:val="a"/>
        <w:rPr>
          <w:rFonts w:eastAsiaTheme="minorEastAsia" w:cstheme="minorBidi"/>
          <w:noProof/>
          <w:sz w:val="22"/>
          <w:szCs w:val="22"/>
          <w:rtl/>
        </w:rPr>
      </w:pPr>
      <w:bookmarkStart w:id="48" w:name="_Ref522100154"/>
      <w:r>
        <w:rPr>
          <w:noProof/>
          <w:rtl/>
        </w:rPr>
        <w:t>דברי הרשב"א דלענין איסור לא סמכינן על הרוב דהוא רוב התלוי במעשה</w:t>
      </w:r>
      <w:bookmarkEnd w:id="48"/>
    </w:p>
    <w:p w14:paraId="0FE51C3C" w14:textId="77777777" w:rsidR="00852065" w:rsidRDefault="00852065" w:rsidP="00852065">
      <w:pPr>
        <w:pStyle w:val="aff4"/>
        <w:rPr>
          <w:rFonts w:eastAsiaTheme="minorEastAsia" w:cstheme="minorBidi"/>
          <w:i/>
          <w:iCs/>
          <w:noProof/>
          <w:sz w:val="22"/>
          <w:szCs w:val="22"/>
          <w:rtl/>
        </w:rPr>
      </w:pPr>
      <w:bookmarkStart w:id="49" w:name="_Toc19435125"/>
      <w:bookmarkStart w:id="50" w:name="_Toc20080503"/>
      <w:r>
        <w:rPr>
          <w:noProof/>
          <w:rtl/>
        </w:rPr>
        <w:t>דעת הסוברים דלתוס' לכו"ע מדאו' מותרת מדין רוב</w:t>
      </w:r>
      <w:bookmarkEnd w:id="49"/>
      <w:bookmarkEnd w:id="50"/>
    </w:p>
    <w:p w14:paraId="6378E2BE" w14:textId="77777777" w:rsidR="00852065" w:rsidRDefault="00852065" w:rsidP="005077A7">
      <w:pPr>
        <w:pStyle w:val="a"/>
        <w:rPr>
          <w:rFonts w:eastAsiaTheme="minorEastAsia" w:cstheme="minorBidi"/>
          <w:noProof/>
          <w:sz w:val="22"/>
          <w:szCs w:val="22"/>
          <w:rtl/>
        </w:rPr>
      </w:pPr>
      <w:r>
        <w:rPr>
          <w:noProof/>
          <w:rtl/>
        </w:rPr>
        <w:t>דעת השיטמ"ק דלתוס' אף לדעת הברייתא יש רוב מדאו' ונחלקו בגזירה מדרבנן</w:t>
      </w:r>
    </w:p>
    <w:p w14:paraId="2F9F6EA9" w14:textId="77777777" w:rsidR="00852065" w:rsidRDefault="00852065" w:rsidP="005077A7">
      <w:pPr>
        <w:pStyle w:val="a"/>
        <w:rPr>
          <w:rFonts w:eastAsiaTheme="minorEastAsia" w:cstheme="minorBidi"/>
          <w:noProof/>
          <w:sz w:val="22"/>
          <w:szCs w:val="22"/>
          <w:rtl/>
        </w:rPr>
      </w:pPr>
      <w:r>
        <w:rPr>
          <w:noProof/>
          <w:rtl/>
        </w:rPr>
        <w:t>משמעות הגרעק"א דלתוס' לכו"ע מדאו' סמכינן על הרוב והרמב"ם פליג</w:t>
      </w:r>
    </w:p>
    <w:p w14:paraId="126528DB" w14:textId="77777777" w:rsidR="00852065" w:rsidRDefault="00852065" w:rsidP="005077A7">
      <w:pPr>
        <w:pStyle w:val="a"/>
        <w:rPr>
          <w:rFonts w:eastAsiaTheme="minorEastAsia" w:cstheme="minorBidi"/>
          <w:noProof/>
          <w:sz w:val="22"/>
          <w:szCs w:val="22"/>
          <w:rtl/>
        </w:rPr>
      </w:pPr>
      <w:r>
        <w:rPr>
          <w:noProof/>
          <w:rtl/>
        </w:rPr>
        <w:t>דברי הפרי תואר דאף לברייתא הוא דרבנן דפשיטא דלא נחלקו אסורה בודאי או בספק</w:t>
      </w:r>
    </w:p>
    <w:p w14:paraId="4DDD1CC5" w14:textId="77777777" w:rsidR="00852065" w:rsidRDefault="00852065" w:rsidP="005077A7">
      <w:pPr>
        <w:pStyle w:val="a"/>
        <w:rPr>
          <w:rFonts w:eastAsiaTheme="minorEastAsia" w:cstheme="minorBidi"/>
          <w:noProof/>
          <w:sz w:val="22"/>
          <w:szCs w:val="22"/>
          <w:rtl/>
        </w:rPr>
      </w:pPr>
      <w:r>
        <w:rPr>
          <w:noProof/>
          <w:rtl/>
        </w:rPr>
        <w:t>דברי הפרי תואר דאף אי נימא דלברייתא אין רוב מ"מ הוא ספק דאין לה חזקת איסור</w:t>
      </w:r>
    </w:p>
    <w:p w14:paraId="36A588C9" w14:textId="77777777" w:rsidR="00852065" w:rsidRDefault="00852065" w:rsidP="005077A7">
      <w:pPr>
        <w:pStyle w:val="a"/>
        <w:rPr>
          <w:rFonts w:eastAsiaTheme="minorEastAsia" w:cstheme="minorBidi"/>
          <w:noProof/>
          <w:sz w:val="22"/>
          <w:szCs w:val="22"/>
          <w:rtl/>
        </w:rPr>
      </w:pPr>
      <w:r>
        <w:rPr>
          <w:noProof/>
          <w:rtl/>
        </w:rPr>
        <w:t>דחיית הפרמ"ג דאף בספק השקול היא בחזקת איסור וכ"ש דמוחזקת שלא נחתכו הסימנים</w:t>
      </w:r>
    </w:p>
    <w:p w14:paraId="077D4AFC" w14:textId="77777777" w:rsidR="00852065" w:rsidRDefault="00852065" w:rsidP="00852065">
      <w:pPr>
        <w:pStyle w:val="aff4"/>
        <w:rPr>
          <w:rFonts w:eastAsiaTheme="minorEastAsia" w:cstheme="minorBidi"/>
          <w:i/>
          <w:iCs/>
          <w:noProof/>
          <w:sz w:val="22"/>
          <w:szCs w:val="22"/>
          <w:rtl/>
        </w:rPr>
      </w:pPr>
      <w:bookmarkStart w:id="51" w:name="_Toc19435126"/>
      <w:bookmarkStart w:id="52" w:name="_Toc20080504"/>
      <w:r>
        <w:rPr>
          <w:noProof/>
          <w:rtl/>
        </w:rPr>
        <w:t>דעת הסוברים דלתוס' לדעת הברייתא אסורה מדאו'</w:t>
      </w:r>
      <w:bookmarkEnd w:id="51"/>
      <w:bookmarkEnd w:id="52"/>
    </w:p>
    <w:p w14:paraId="6CB24F5B" w14:textId="77777777" w:rsidR="00852065" w:rsidRDefault="00852065" w:rsidP="005077A7">
      <w:pPr>
        <w:pStyle w:val="a"/>
        <w:rPr>
          <w:rFonts w:eastAsiaTheme="minorEastAsia" w:cstheme="minorBidi"/>
          <w:noProof/>
          <w:sz w:val="22"/>
          <w:szCs w:val="22"/>
          <w:rtl/>
        </w:rPr>
      </w:pPr>
      <w:r>
        <w:rPr>
          <w:noProof/>
          <w:rtl/>
        </w:rPr>
        <w:t>דעת הפרמ"ג והש"ש והמהר"ם דרק לדעת ר"א יש רוב ואילו לברייתא אסורה מדאו'</w:t>
      </w:r>
    </w:p>
    <w:p w14:paraId="0F9B3D8A" w14:textId="77777777" w:rsidR="00852065" w:rsidRDefault="00852065" w:rsidP="00852065">
      <w:pPr>
        <w:pStyle w:val="aff4"/>
        <w:rPr>
          <w:rFonts w:eastAsiaTheme="minorEastAsia" w:cstheme="minorBidi"/>
          <w:i/>
          <w:iCs/>
          <w:noProof/>
          <w:sz w:val="22"/>
          <w:szCs w:val="22"/>
          <w:rtl/>
        </w:rPr>
      </w:pPr>
      <w:bookmarkStart w:id="53" w:name="_Toc19435127"/>
      <w:bookmarkStart w:id="54" w:name="_Toc20080505"/>
      <w:r>
        <w:rPr>
          <w:noProof/>
          <w:rtl/>
        </w:rPr>
        <w:t>ביאור הגרעק"א והראש יוסף בחומרא דרבנן לדעת התוס'</w:t>
      </w:r>
      <w:bookmarkEnd w:id="53"/>
      <w:bookmarkEnd w:id="54"/>
    </w:p>
    <w:p w14:paraId="519484C3" w14:textId="77777777" w:rsidR="00852065" w:rsidRDefault="00852065" w:rsidP="005077A7">
      <w:pPr>
        <w:pStyle w:val="a"/>
        <w:rPr>
          <w:rFonts w:eastAsiaTheme="minorEastAsia" w:cstheme="minorBidi"/>
          <w:noProof/>
          <w:sz w:val="22"/>
          <w:szCs w:val="22"/>
          <w:rtl/>
        </w:rPr>
      </w:pPr>
      <w:r>
        <w:rPr>
          <w:noProof/>
          <w:rtl/>
        </w:rPr>
        <w:t>ביאור הגרעק"א והראש יוסף דהחמירו רבנן לסמוך מיעוטא לחזקה</w:t>
      </w:r>
    </w:p>
    <w:p w14:paraId="49B61E6E" w14:textId="77777777" w:rsidR="00852065" w:rsidRDefault="00852065" w:rsidP="005077A7">
      <w:pPr>
        <w:pStyle w:val="a"/>
        <w:rPr>
          <w:rFonts w:eastAsiaTheme="minorEastAsia" w:cstheme="minorBidi"/>
          <w:noProof/>
          <w:sz w:val="22"/>
          <w:szCs w:val="22"/>
          <w:rtl/>
        </w:rPr>
      </w:pPr>
      <w:r>
        <w:rPr>
          <w:noProof/>
          <w:rtl/>
        </w:rPr>
        <w:t>דברי הגרעק"א והראש יוסף דמדאו' מותרת ומדרבנן לא סמכינן על רוב התלוי במעשה</w:t>
      </w:r>
    </w:p>
    <w:p w14:paraId="6ABA49E2" w14:textId="77777777" w:rsidR="00852065" w:rsidRDefault="00852065" w:rsidP="005077A7">
      <w:pPr>
        <w:pStyle w:val="a"/>
        <w:rPr>
          <w:rFonts w:eastAsiaTheme="minorEastAsia" w:cstheme="minorBidi"/>
          <w:noProof/>
          <w:sz w:val="22"/>
          <w:szCs w:val="22"/>
          <w:rtl/>
        </w:rPr>
      </w:pPr>
      <w:r>
        <w:rPr>
          <w:noProof/>
          <w:rtl/>
        </w:rPr>
        <w:t>דברי המהר"ם דבאיסור העמידו על חזקת איסור ובטומאה שאין לה חזקה לא החמירו</w:t>
      </w:r>
    </w:p>
    <w:p w14:paraId="07B160D6" w14:textId="77777777" w:rsidR="00852065" w:rsidRDefault="00852065" w:rsidP="005077A7">
      <w:pPr>
        <w:pStyle w:val="a"/>
        <w:rPr>
          <w:rFonts w:eastAsiaTheme="minorEastAsia" w:cstheme="minorBidi"/>
          <w:noProof/>
          <w:sz w:val="22"/>
          <w:szCs w:val="22"/>
          <w:rtl/>
        </w:rPr>
      </w:pPr>
      <w:r>
        <w:rPr>
          <w:noProof/>
          <w:rtl/>
        </w:rPr>
        <w:t>דברי הבינת אדם דקנסו רבנן שלא לסמוך על רוב התלוי במעשה כיון שלא בדק</w:t>
      </w:r>
    </w:p>
    <w:p w14:paraId="3ADC9D47" w14:textId="77777777" w:rsidR="00852065" w:rsidRDefault="00852065" w:rsidP="00852065">
      <w:pPr>
        <w:pStyle w:val="aff4"/>
        <w:rPr>
          <w:rFonts w:eastAsiaTheme="minorEastAsia" w:cstheme="minorBidi"/>
          <w:i/>
          <w:iCs/>
          <w:noProof/>
          <w:sz w:val="22"/>
          <w:szCs w:val="22"/>
          <w:rtl/>
        </w:rPr>
      </w:pPr>
      <w:bookmarkStart w:id="55" w:name="_Toc19435128"/>
      <w:bookmarkStart w:id="56" w:name="_Toc20080506"/>
      <w:r>
        <w:rPr>
          <w:noProof/>
          <w:rtl/>
        </w:rPr>
        <w:t>ביאורי האחרונים בקושית התוס'</w:t>
      </w:r>
      <w:bookmarkEnd w:id="55"/>
      <w:bookmarkEnd w:id="56"/>
    </w:p>
    <w:p w14:paraId="3C8A74BA" w14:textId="77777777" w:rsidR="00852065" w:rsidRDefault="00852065" w:rsidP="005077A7">
      <w:pPr>
        <w:pStyle w:val="a"/>
        <w:rPr>
          <w:rFonts w:eastAsiaTheme="minorEastAsia" w:cstheme="minorBidi"/>
          <w:noProof/>
          <w:sz w:val="22"/>
          <w:szCs w:val="22"/>
          <w:rtl/>
        </w:rPr>
      </w:pPr>
      <w:bookmarkStart w:id="57" w:name="_Ref522109883"/>
      <w:r>
        <w:rPr>
          <w:noProof/>
          <w:rtl/>
        </w:rPr>
        <w:t>ביאור המהר"ם דהוקשה לתוס' דע"י החזקה ממילא היא נבילה ואף אם אין חזקה תטמא מספק</w:t>
      </w:r>
      <w:bookmarkEnd w:id="57"/>
    </w:p>
    <w:p w14:paraId="26ACC56F" w14:textId="77777777" w:rsidR="00852065" w:rsidRDefault="00852065" w:rsidP="005077A7">
      <w:pPr>
        <w:pStyle w:val="a"/>
        <w:rPr>
          <w:rFonts w:eastAsiaTheme="minorEastAsia" w:cstheme="minorBidi"/>
          <w:noProof/>
          <w:sz w:val="22"/>
          <w:szCs w:val="22"/>
          <w:rtl/>
        </w:rPr>
      </w:pPr>
      <w:r>
        <w:rPr>
          <w:noProof/>
          <w:rtl/>
        </w:rPr>
        <w:t>דברי נימוק"י הגרי"ב דלתוס' דהיא בחזקת אינו זבוח קשה אמאי אינה מטמאה</w:t>
      </w:r>
    </w:p>
    <w:p w14:paraId="4D1F0033" w14:textId="77777777" w:rsidR="00852065" w:rsidRDefault="00852065" w:rsidP="00852065">
      <w:pPr>
        <w:pStyle w:val="aff4"/>
        <w:rPr>
          <w:rFonts w:eastAsiaTheme="minorEastAsia" w:cstheme="minorBidi"/>
          <w:i/>
          <w:iCs/>
          <w:noProof/>
          <w:sz w:val="22"/>
          <w:szCs w:val="22"/>
          <w:rtl/>
        </w:rPr>
      </w:pPr>
      <w:bookmarkStart w:id="58" w:name="_Toc19435129"/>
      <w:bookmarkStart w:id="59" w:name="_Toc20080507"/>
      <w:r>
        <w:rPr>
          <w:noProof/>
          <w:rtl/>
        </w:rPr>
        <w:t>ביאור הרשב"א בדעת הברייתא דממילא מטמאה בנבילה</w:t>
      </w:r>
      <w:bookmarkEnd w:id="58"/>
      <w:bookmarkEnd w:id="59"/>
    </w:p>
    <w:p w14:paraId="39578C4E" w14:textId="77777777" w:rsidR="00852065" w:rsidRDefault="00852065" w:rsidP="005077A7">
      <w:pPr>
        <w:pStyle w:val="a"/>
        <w:rPr>
          <w:rFonts w:eastAsiaTheme="minorEastAsia" w:cstheme="minorBidi"/>
          <w:noProof/>
          <w:sz w:val="22"/>
          <w:szCs w:val="22"/>
          <w:rtl/>
        </w:rPr>
      </w:pPr>
      <w:r>
        <w:rPr>
          <w:noProof/>
          <w:rtl/>
        </w:rPr>
        <w:t>דברי הרשב"א דלהברייתא כיון שהיא בחזקת איסור והיא מתה  מספק א"א להוציאה מטומאתה</w:t>
      </w:r>
    </w:p>
    <w:p w14:paraId="6EAE55C3" w14:textId="77777777" w:rsidR="00852065" w:rsidRDefault="00852065" w:rsidP="00852065">
      <w:pPr>
        <w:pStyle w:val="aff4"/>
        <w:rPr>
          <w:rFonts w:eastAsiaTheme="minorEastAsia" w:cstheme="minorBidi"/>
          <w:i/>
          <w:iCs/>
          <w:noProof/>
          <w:sz w:val="22"/>
          <w:szCs w:val="22"/>
          <w:rtl/>
        </w:rPr>
      </w:pPr>
      <w:bookmarkStart w:id="60" w:name="_Toc19435130"/>
      <w:bookmarkStart w:id="61" w:name="_Toc20080508"/>
      <w:r>
        <w:rPr>
          <w:noProof/>
          <w:rtl/>
        </w:rPr>
        <w:t>ביאור הגרעק"א ברשב"א דא"א להתיר מספק מעשה תיקון</w:t>
      </w:r>
      <w:bookmarkEnd w:id="60"/>
      <w:bookmarkEnd w:id="61"/>
    </w:p>
    <w:p w14:paraId="311D1A58" w14:textId="77777777" w:rsidR="00852065" w:rsidRDefault="00852065" w:rsidP="005077A7">
      <w:pPr>
        <w:pStyle w:val="a"/>
        <w:rPr>
          <w:rFonts w:eastAsiaTheme="minorEastAsia" w:cstheme="minorBidi"/>
          <w:noProof/>
          <w:sz w:val="22"/>
          <w:szCs w:val="22"/>
          <w:rtl/>
        </w:rPr>
      </w:pPr>
      <w:r>
        <w:rPr>
          <w:noProof/>
          <w:rtl/>
        </w:rPr>
        <w:t>דברי הגרעק"א דלרשב"א ס"ל להברייתא דממילא נעשית נבילה וצריך ראיה שנעשה בה תיקון</w:t>
      </w:r>
    </w:p>
    <w:p w14:paraId="4488693A" w14:textId="77777777" w:rsidR="00852065" w:rsidRDefault="00852065" w:rsidP="005077A7">
      <w:pPr>
        <w:pStyle w:val="a"/>
        <w:rPr>
          <w:rFonts w:eastAsiaTheme="minorEastAsia" w:cstheme="minorBidi"/>
          <w:noProof/>
          <w:sz w:val="22"/>
          <w:szCs w:val="22"/>
          <w:rtl/>
        </w:rPr>
      </w:pPr>
      <w:r>
        <w:rPr>
          <w:noProof/>
          <w:rtl/>
        </w:rPr>
        <w:t>דברי הגרעק"א דלרשב"א אסורה לברייתא דמתה לפנינו וא"צ לדין מחזיקין מאיסור לאיסור</w:t>
      </w:r>
    </w:p>
    <w:p w14:paraId="4039A5F2" w14:textId="77777777" w:rsidR="00852065" w:rsidRDefault="00852065" w:rsidP="005077A7">
      <w:pPr>
        <w:pStyle w:val="a"/>
        <w:rPr>
          <w:rFonts w:eastAsiaTheme="minorEastAsia" w:cstheme="minorBidi"/>
          <w:noProof/>
          <w:sz w:val="22"/>
          <w:szCs w:val="22"/>
          <w:rtl/>
        </w:rPr>
      </w:pPr>
      <w:r>
        <w:rPr>
          <w:noProof/>
          <w:rtl/>
        </w:rPr>
        <w:t>דברי האבי עזרי דכוונת הרשב"א דלבריו ביבמות שצריך ראיה להתיר ע"י מעשה התחדשות</w:t>
      </w:r>
    </w:p>
    <w:p w14:paraId="7EA00083" w14:textId="77777777" w:rsidR="00852065" w:rsidRDefault="00852065" w:rsidP="005077A7">
      <w:pPr>
        <w:pStyle w:val="a"/>
        <w:rPr>
          <w:rFonts w:eastAsiaTheme="minorEastAsia" w:cstheme="minorBidi"/>
          <w:noProof/>
          <w:sz w:val="22"/>
          <w:szCs w:val="22"/>
          <w:rtl/>
        </w:rPr>
      </w:pPr>
      <w:r>
        <w:rPr>
          <w:noProof/>
          <w:rtl/>
        </w:rPr>
        <w:t>דברי הגרעק"א דכל הנדון בתוס' באינו זבוח אינו לדעת הברייתא דממילא אסורה</w:t>
      </w:r>
    </w:p>
    <w:p w14:paraId="5B40AC5B" w14:textId="77777777" w:rsidR="00852065" w:rsidRDefault="00852065" w:rsidP="00852065">
      <w:pPr>
        <w:pStyle w:val="aff4"/>
        <w:rPr>
          <w:rFonts w:eastAsiaTheme="minorEastAsia" w:cstheme="minorBidi"/>
          <w:i/>
          <w:iCs/>
          <w:noProof/>
          <w:sz w:val="22"/>
          <w:szCs w:val="22"/>
          <w:rtl/>
        </w:rPr>
      </w:pPr>
      <w:bookmarkStart w:id="62" w:name="_Toc19435131"/>
      <w:bookmarkStart w:id="63" w:name="_Toc20080509"/>
      <w:r>
        <w:rPr>
          <w:noProof/>
          <w:rtl/>
        </w:rPr>
        <w:t>ביאור הגרעק"א דלברייתא אי אינה מטמאה הוי תרתי דסתרי</w:t>
      </w:r>
      <w:bookmarkEnd w:id="62"/>
      <w:bookmarkEnd w:id="63"/>
    </w:p>
    <w:p w14:paraId="5B21082F" w14:textId="77777777" w:rsidR="00852065" w:rsidRDefault="00852065" w:rsidP="005077A7">
      <w:pPr>
        <w:pStyle w:val="a"/>
        <w:rPr>
          <w:rFonts w:eastAsiaTheme="minorEastAsia" w:cstheme="minorBidi"/>
          <w:noProof/>
          <w:sz w:val="22"/>
          <w:szCs w:val="22"/>
          <w:rtl/>
        </w:rPr>
      </w:pPr>
      <w:r>
        <w:rPr>
          <w:noProof/>
          <w:rtl/>
        </w:rPr>
        <w:t>דברי הגרעק"א דבגמ' משמע דלהברייתא הוא תרתי דסתרי לומר דאסורה ואינה טמאה</w:t>
      </w:r>
    </w:p>
    <w:p w14:paraId="1D43C6D9" w14:textId="77777777" w:rsidR="00852065" w:rsidRDefault="00852065" w:rsidP="00852065">
      <w:pPr>
        <w:pStyle w:val="aff4"/>
        <w:rPr>
          <w:rFonts w:eastAsiaTheme="minorEastAsia" w:cstheme="minorBidi"/>
          <w:i/>
          <w:iCs/>
          <w:noProof/>
          <w:sz w:val="22"/>
          <w:szCs w:val="22"/>
          <w:rtl/>
        </w:rPr>
      </w:pPr>
      <w:bookmarkStart w:id="64" w:name="_Toc19435132"/>
      <w:bookmarkStart w:id="65" w:name="_Toc20080510"/>
      <w:r>
        <w:rPr>
          <w:noProof/>
          <w:rtl/>
        </w:rPr>
        <w:t>ביאור הש"ש והעונג יו"ט דחזקת איסור מהני לענין טומאה</w:t>
      </w:r>
      <w:bookmarkEnd w:id="64"/>
      <w:bookmarkEnd w:id="65"/>
    </w:p>
    <w:p w14:paraId="4C302928" w14:textId="77777777" w:rsidR="00852065" w:rsidRDefault="00852065" w:rsidP="005077A7">
      <w:pPr>
        <w:pStyle w:val="a"/>
        <w:rPr>
          <w:rFonts w:eastAsiaTheme="minorEastAsia" w:cstheme="minorBidi"/>
          <w:noProof/>
          <w:sz w:val="22"/>
          <w:szCs w:val="22"/>
          <w:rtl/>
        </w:rPr>
      </w:pPr>
      <w:r>
        <w:rPr>
          <w:noProof/>
          <w:rtl/>
        </w:rPr>
        <w:t>דברי הש"ש דכיון שהספק הוא בשחיטה עצמה והוחזקה שלא נשחטה ממילא מטמאה</w:t>
      </w:r>
    </w:p>
    <w:p w14:paraId="6EA7B174" w14:textId="77777777" w:rsidR="00852065" w:rsidRDefault="00852065" w:rsidP="005077A7">
      <w:pPr>
        <w:pStyle w:val="a"/>
        <w:rPr>
          <w:rFonts w:eastAsiaTheme="minorEastAsia" w:cstheme="minorBidi"/>
          <w:noProof/>
          <w:sz w:val="22"/>
          <w:szCs w:val="22"/>
          <w:rtl/>
        </w:rPr>
      </w:pPr>
      <w:r>
        <w:rPr>
          <w:noProof/>
          <w:rtl/>
        </w:rPr>
        <w:t>דברי הש"ש דלר"א ב"ר ינאי רק מחמת הרוב אינה מטמאה בנבילה</w:t>
      </w:r>
    </w:p>
    <w:p w14:paraId="324FABBF" w14:textId="77777777" w:rsidR="00852065" w:rsidRDefault="00852065" w:rsidP="005077A7">
      <w:pPr>
        <w:pStyle w:val="a"/>
        <w:rPr>
          <w:rFonts w:eastAsiaTheme="minorEastAsia" w:cstheme="minorBidi"/>
          <w:noProof/>
          <w:sz w:val="22"/>
          <w:szCs w:val="22"/>
          <w:rtl/>
        </w:rPr>
      </w:pPr>
      <w:r>
        <w:rPr>
          <w:noProof/>
          <w:rtl/>
        </w:rPr>
        <w:t>דברי העונג יו"ט דכיון שהנדון הוא בשחיטה עצמה מהני החזקה אף לטומאה</w:t>
      </w:r>
    </w:p>
    <w:p w14:paraId="357C9AED" w14:textId="77777777" w:rsidR="00852065" w:rsidRDefault="00852065" w:rsidP="005077A7">
      <w:pPr>
        <w:pStyle w:val="a"/>
        <w:rPr>
          <w:rFonts w:eastAsiaTheme="minorEastAsia" w:cstheme="minorBidi"/>
          <w:noProof/>
          <w:sz w:val="22"/>
          <w:szCs w:val="22"/>
          <w:rtl/>
        </w:rPr>
      </w:pPr>
      <w:r>
        <w:rPr>
          <w:noProof/>
          <w:rtl/>
        </w:rPr>
        <w:t>דברי העונג יו"ט דאי"ז דין רק בנבילה שא"א לחלק את האיסור מהטומאה אלא בכל ספק</w:t>
      </w:r>
    </w:p>
    <w:p w14:paraId="08503617" w14:textId="77777777" w:rsidR="00852065" w:rsidRDefault="00852065" w:rsidP="005077A7">
      <w:pPr>
        <w:pStyle w:val="a"/>
        <w:rPr>
          <w:rFonts w:eastAsiaTheme="minorEastAsia" w:cstheme="minorBidi"/>
          <w:noProof/>
          <w:sz w:val="22"/>
          <w:szCs w:val="22"/>
          <w:rtl/>
        </w:rPr>
      </w:pPr>
      <w:r>
        <w:rPr>
          <w:noProof/>
          <w:rtl/>
        </w:rPr>
        <w:t>דברי העונג יו"ט דהחזקה מהני לומר שלא נעשה בה מעשה שחיטה ולכן ממילא מטמאה</w:t>
      </w:r>
    </w:p>
    <w:p w14:paraId="0837C87B" w14:textId="77777777" w:rsidR="00852065" w:rsidRDefault="00852065" w:rsidP="005077A7">
      <w:pPr>
        <w:pStyle w:val="a"/>
        <w:rPr>
          <w:rFonts w:eastAsiaTheme="minorEastAsia" w:cstheme="minorBidi"/>
          <w:noProof/>
          <w:sz w:val="22"/>
          <w:szCs w:val="22"/>
          <w:rtl/>
        </w:rPr>
      </w:pPr>
      <w:r>
        <w:rPr>
          <w:noProof/>
          <w:rtl/>
        </w:rPr>
        <w:t>דברי העונג יו"ט דלר"א ב"ר ינאי לא מהני החזקת איסור לטומאה ולולי הרוב טמאה מספק</w:t>
      </w:r>
    </w:p>
    <w:p w14:paraId="5F12CC08" w14:textId="77777777" w:rsidR="00852065" w:rsidRDefault="00852065" w:rsidP="005077A7">
      <w:pPr>
        <w:pStyle w:val="a"/>
        <w:rPr>
          <w:rFonts w:eastAsiaTheme="minorEastAsia" w:cstheme="minorBidi"/>
          <w:noProof/>
          <w:sz w:val="22"/>
          <w:szCs w:val="22"/>
          <w:rtl/>
        </w:rPr>
      </w:pPr>
      <w:r>
        <w:rPr>
          <w:noProof/>
          <w:rtl/>
        </w:rPr>
        <w:t>דברי העונג יו"ט דמחיים לא שייך להעמיד על חזקת טהרה דלא שייך טומאה בבע"ח</w:t>
      </w:r>
    </w:p>
    <w:p w14:paraId="6F2A3555" w14:textId="77777777" w:rsidR="00852065" w:rsidRDefault="00852065" w:rsidP="00852065">
      <w:pPr>
        <w:pStyle w:val="aff4"/>
        <w:rPr>
          <w:rFonts w:eastAsiaTheme="minorEastAsia" w:cstheme="minorBidi"/>
          <w:i/>
          <w:iCs/>
          <w:noProof/>
          <w:sz w:val="22"/>
          <w:szCs w:val="22"/>
          <w:rtl/>
        </w:rPr>
      </w:pPr>
      <w:bookmarkStart w:id="66" w:name="_Toc19435133"/>
      <w:bookmarkStart w:id="67" w:name="_Toc20080511"/>
      <w:r>
        <w:rPr>
          <w:noProof/>
          <w:rtl/>
        </w:rPr>
        <w:t>דעת הרא"ש בתשו' ורבינו יחיאל</w:t>
      </w:r>
      <w:bookmarkEnd w:id="66"/>
      <w:bookmarkEnd w:id="67"/>
    </w:p>
    <w:p w14:paraId="414CE355" w14:textId="77777777" w:rsidR="00852065" w:rsidRDefault="00852065" w:rsidP="005077A7">
      <w:pPr>
        <w:pStyle w:val="a"/>
        <w:rPr>
          <w:rFonts w:eastAsiaTheme="minorEastAsia" w:cstheme="minorBidi"/>
          <w:noProof/>
          <w:sz w:val="22"/>
          <w:szCs w:val="22"/>
          <w:rtl/>
        </w:rPr>
      </w:pPr>
      <w:bookmarkStart w:id="68" w:name="_Ref522100433"/>
      <w:r>
        <w:rPr>
          <w:noProof/>
          <w:rtl/>
        </w:rPr>
        <w:t>קושית רבינו יחיאל אמאי אינה מותרת לגמרי מדין רוב מצויין אצל שחיטה מומחין</w:t>
      </w:r>
      <w:bookmarkEnd w:id="68"/>
    </w:p>
    <w:p w14:paraId="3DBA0B9F" w14:textId="77777777" w:rsidR="00852065" w:rsidRDefault="00852065" w:rsidP="005077A7">
      <w:pPr>
        <w:pStyle w:val="a"/>
        <w:rPr>
          <w:rFonts w:eastAsiaTheme="minorEastAsia" w:cstheme="minorBidi"/>
          <w:noProof/>
          <w:sz w:val="22"/>
          <w:szCs w:val="22"/>
          <w:rtl/>
        </w:rPr>
      </w:pPr>
      <w:r>
        <w:rPr>
          <w:noProof/>
          <w:rtl/>
        </w:rPr>
        <w:t>דברי רבינו יחיאל בשם הראבי"ה דבשחט לפנינו סמכינן על הרוב ששחט כראוי</w:t>
      </w:r>
    </w:p>
    <w:p w14:paraId="255CA123" w14:textId="77777777" w:rsidR="00852065" w:rsidRDefault="00852065" w:rsidP="005077A7">
      <w:pPr>
        <w:pStyle w:val="a"/>
        <w:rPr>
          <w:rFonts w:eastAsiaTheme="minorEastAsia" w:cstheme="minorBidi"/>
          <w:noProof/>
          <w:sz w:val="22"/>
          <w:szCs w:val="22"/>
          <w:rtl/>
        </w:rPr>
      </w:pPr>
      <w:r>
        <w:rPr>
          <w:noProof/>
          <w:rtl/>
        </w:rPr>
        <w:t>דברי הרא"ש בתשו' דבדיקה היא מדיני שחיטה וכל שלא בדק אינו בכלל הרוב מומחין</w:t>
      </w:r>
    </w:p>
    <w:p w14:paraId="6D9E9567" w14:textId="77777777" w:rsidR="00852065" w:rsidRDefault="00852065" w:rsidP="005077A7">
      <w:pPr>
        <w:pStyle w:val="a"/>
        <w:rPr>
          <w:rFonts w:eastAsiaTheme="minorEastAsia" w:cstheme="minorBidi"/>
          <w:noProof/>
          <w:sz w:val="22"/>
          <w:szCs w:val="22"/>
          <w:rtl/>
        </w:rPr>
      </w:pPr>
      <w:r>
        <w:rPr>
          <w:noProof/>
          <w:rtl/>
        </w:rPr>
        <w:t>דברי הרא"ש דלא מצינו שיש רוב דשוחטים את הסימנים כראוי</w:t>
      </w:r>
    </w:p>
    <w:p w14:paraId="77D67A83" w14:textId="77777777" w:rsidR="00852065" w:rsidRDefault="00852065" w:rsidP="005077A7">
      <w:pPr>
        <w:pStyle w:val="a"/>
        <w:rPr>
          <w:rFonts w:eastAsiaTheme="minorEastAsia" w:cstheme="minorBidi"/>
          <w:noProof/>
          <w:sz w:val="22"/>
          <w:szCs w:val="22"/>
          <w:rtl/>
        </w:rPr>
      </w:pPr>
      <w:r>
        <w:rPr>
          <w:noProof/>
          <w:rtl/>
        </w:rPr>
        <w:t>דברי הבינת אדם דס"ל להרא"ש דהיא ספק נבילה מדאו'</w:t>
      </w:r>
    </w:p>
    <w:p w14:paraId="7A26FB95" w14:textId="77777777" w:rsidR="00852065" w:rsidRDefault="00852065" w:rsidP="00852065">
      <w:pPr>
        <w:pStyle w:val="aff4"/>
        <w:rPr>
          <w:rFonts w:eastAsiaTheme="minorEastAsia" w:cstheme="minorBidi"/>
          <w:i/>
          <w:iCs/>
          <w:noProof/>
          <w:sz w:val="22"/>
          <w:szCs w:val="22"/>
          <w:rtl/>
        </w:rPr>
      </w:pPr>
      <w:bookmarkStart w:id="69" w:name="_Toc19435134"/>
      <w:bookmarkStart w:id="70" w:name="_Toc20080512"/>
      <w:r>
        <w:rPr>
          <w:noProof/>
          <w:rtl/>
        </w:rPr>
        <w:t>דעת המרדכי דלא אזלינן בתר רובא</w:t>
      </w:r>
      <w:bookmarkEnd w:id="69"/>
      <w:bookmarkEnd w:id="70"/>
    </w:p>
    <w:p w14:paraId="448E770B" w14:textId="77777777" w:rsidR="00852065" w:rsidRDefault="00852065" w:rsidP="005077A7">
      <w:pPr>
        <w:pStyle w:val="a"/>
        <w:rPr>
          <w:rFonts w:eastAsiaTheme="minorEastAsia" w:cstheme="minorBidi"/>
          <w:noProof/>
          <w:sz w:val="22"/>
          <w:szCs w:val="22"/>
          <w:rtl/>
        </w:rPr>
      </w:pPr>
      <w:r>
        <w:rPr>
          <w:noProof/>
          <w:rtl/>
        </w:rPr>
        <w:t>התירוץ הראשון במרדכי דלא אזלינן בתר רוב דסמכינן את המיעוט לחזקה</w:t>
      </w:r>
    </w:p>
    <w:p w14:paraId="2879BAD6" w14:textId="77777777" w:rsidR="00852065" w:rsidRDefault="00852065" w:rsidP="005077A7">
      <w:pPr>
        <w:pStyle w:val="a"/>
        <w:rPr>
          <w:rFonts w:eastAsiaTheme="minorEastAsia" w:cstheme="minorBidi"/>
          <w:noProof/>
          <w:sz w:val="22"/>
          <w:szCs w:val="22"/>
          <w:rtl/>
        </w:rPr>
      </w:pPr>
      <w:r>
        <w:rPr>
          <w:noProof/>
          <w:rtl/>
        </w:rPr>
        <w:t>התירוץ השני במרדכי דאין רוב מבורר שנשחטו רוב הסימנים</w:t>
      </w:r>
    </w:p>
    <w:p w14:paraId="6101756A" w14:textId="77777777" w:rsidR="00852065" w:rsidRDefault="00852065" w:rsidP="005077A7">
      <w:pPr>
        <w:pStyle w:val="a"/>
        <w:rPr>
          <w:rFonts w:eastAsiaTheme="minorEastAsia" w:cstheme="minorBidi"/>
          <w:noProof/>
          <w:sz w:val="22"/>
          <w:szCs w:val="22"/>
          <w:rtl/>
        </w:rPr>
      </w:pPr>
      <w:r>
        <w:rPr>
          <w:noProof/>
          <w:rtl/>
        </w:rPr>
        <w:t>דברי הבינת אדם דלתי' הראשון במרדכי אסורה מדרבנן ולתי' השני אסורה מדאו'</w:t>
      </w:r>
    </w:p>
    <w:p w14:paraId="10023CE7" w14:textId="77777777" w:rsidR="00852065" w:rsidRDefault="00852065" w:rsidP="00852065">
      <w:pPr>
        <w:pStyle w:val="aff4"/>
        <w:rPr>
          <w:rFonts w:eastAsiaTheme="minorEastAsia" w:cstheme="minorBidi"/>
          <w:i/>
          <w:iCs/>
          <w:noProof/>
          <w:sz w:val="22"/>
          <w:szCs w:val="22"/>
          <w:rtl/>
        </w:rPr>
      </w:pPr>
      <w:bookmarkStart w:id="71" w:name="_Toc19435135"/>
      <w:bookmarkStart w:id="72" w:name="_Toc20080513"/>
      <w:r>
        <w:rPr>
          <w:noProof/>
          <w:rtl/>
        </w:rPr>
        <w:t>ביאור הרא"ה דנחלקו אם מחיים יש לה חזקת נבילה לכשתמות</w:t>
      </w:r>
      <w:bookmarkEnd w:id="71"/>
      <w:bookmarkEnd w:id="72"/>
    </w:p>
    <w:p w14:paraId="40E711C8" w14:textId="77777777" w:rsidR="00852065" w:rsidRDefault="00852065" w:rsidP="005077A7">
      <w:pPr>
        <w:pStyle w:val="a"/>
        <w:rPr>
          <w:rFonts w:eastAsiaTheme="minorEastAsia" w:cstheme="minorBidi"/>
          <w:noProof/>
          <w:sz w:val="22"/>
          <w:szCs w:val="22"/>
          <w:rtl/>
        </w:rPr>
      </w:pPr>
      <w:r>
        <w:rPr>
          <w:noProof/>
          <w:rtl/>
        </w:rPr>
        <w:t>ביאור הרא"ה בדעת הברייתא דכיון שסופה למות היא בחזקת נבילה מחיים לכשתמות</w:t>
      </w:r>
    </w:p>
    <w:p w14:paraId="7BA1F168" w14:textId="77777777" w:rsidR="00852065" w:rsidRDefault="00852065" w:rsidP="005077A7">
      <w:pPr>
        <w:pStyle w:val="a"/>
        <w:rPr>
          <w:rFonts w:eastAsiaTheme="minorEastAsia" w:cstheme="minorBidi"/>
          <w:noProof/>
          <w:sz w:val="22"/>
          <w:szCs w:val="22"/>
        </w:rPr>
      </w:pPr>
      <w:r>
        <w:rPr>
          <w:noProof/>
          <w:rtl/>
        </w:rPr>
        <w:t>ביאור הרא"ה בדעת ר"א דכיון שיתכן שלא תהיה טמאה לעולם אין לה חזקה שתטמא לכשתמות</w:t>
      </w:r>
    </w:p>
    <w:p w14:paraId="0EB71520" w14:textId="77777777" w:rsidR="00852065" w:rsidRDefault="00852065" w:rsidP="00852065">
      <w:pPr>
        <w:pStyle w:val="2"/>
        <w:rPr>
          <w:rFonts w:eastAsiaTheme="minorEastAsia" w:cstheme="minorBidi"/>
          <w:i/>
          <w:iCs/>
          <w:noProof/>
          <w:rtl/>
        </w:rPr>
      </w:pPr>
      <w:bookmarkStart w:id="73" w:name="_Toc19435136"/>
      <w:r>
        <w:rPr>
          <w:noProof/>
          <w:rtl/>
        </w:rPr>
        <w:t>ביאורי ראשי הישיבות על הסוגיא</w:t>
      </w:r>
      <w:bookmarkEnd w:id="73"/>
    </w:p>
    <w:p w14:paraId="20B2274C" w14:textId="77777777" w:rsidR="00852065" w:rsidRDefault="00852065" w:rsidP="00852065">
      <w:pPr>
        <w:pStyle w:val="aff4"/>
        <w:rPr>
          <w:rFonts w:eastAsiaTheme="minorEastAsia" w:cstheme="minorBidi"/>
          <w:i/>
          <w:iCs/>
          <w:noProof/>
          <w:sz w:val="22"/>
          <w:szCs w:val="22"/>
          <w:rtl/>
        </w:rPr>
      </w:pPr>
      <w:bookmarkStart w:id="74" w:name="_Toc19435137"/>
      <w:bookmarkStart w:id="75" w:name="_Toc20080514"/>
      <w:r>
        <w:rPr>
          <w:noProof/>
          <w:rtl/>
        </w:rPr>
        <w:t>ביאור הברכ"ש אי מהני חזקת איסור לענין טומאה</w:t>
      </w:r>
      <w:bookmarkEnd w:id="74"/>
      <w:bookmarkEnd w:id="75"/>
    </w:p>
    <w:p w14:paraId="6D9A4AB3" w14:textId="77777777" w:rsidR="00852065" w:rsidRDefault="00852065" w:rsidP="005077A7">
      <w:pPr>
        <w:pStyle w:val="a"/>
        <w:rPr>
          <w:rFonts w:eastAsiaTheme="minorEastAsia" w:cstheme="minorBidi"/>
          <w:noProof/>
          <w:sz w:val="22"/>
          <w:szCs w:val="22"/>
          <w:rtl/>
        </w:rPr>
      </w:pPr>
      <w:r>
        <w:rPr>
          <w:noProof/>
          <w:rtl/>
        </w:rPr>
        <w:t>דברי הברכ"ש דכיון שהשחיטה היא המכשיר לענין נבילה מהני חזקת איסור לטומאה</w:t>
      </w:r>
    </w:p>
    <w:p w14:paraId="5330A8CA" w14:textId="77777777" w:rsidR="00852065" w:rsidRDefault="00852065" w:rsidP="005077A7">
      <w:pPr>
        <w:pStyle w:val="a"/>
        <w:rPr>
          <w:rFonts w:eastAsiaTheme="minorEastAsia" w:cstheme="minorBidi"/>
          <w:noProof/>
          <w:sz w:val="22"/>
          <w:szCs w:val="22"/>
          <w:rtl/>
        </w:rPr>
      </w:pPr>
      <w:r>
        <w:rPr>
          <w:noProof/>
          <w:rtl/>
        </w:rPr>
        <w:t>ביאור הברכ"ש דכיון שהחזקת איסור מכריעה שלא נעשה מעשה מכשיר ממילא מטמאה</w:t>
      </w:r>
    </w:p>
    <w:p w14:paraId="0CC83FA7" w14:textId="77777777" w:rsidR="00852065" w:rsidRDefault="00852065" w:rsidP="00852065">
      <w:pPr>
        <w:pStyle w:val="aff4"/>
        <w:rPr>
          <w:rFonts w:eastAsiaTheme="minorEastAsia" w:cstheme="minorBidi"/>
          <w:i/>
          <w:iCs/>
          <w:noProof/>
          <w:sz w:val="22"/>
          <w:szCs w:val="22"/>
          <w:rtl/>
        </w:rPr>
      </w:pPr>
      <w:bookmarkStart w:id="76" w:name="_Toc19435138"/>
      <w:bookmarkStart w:id="77" w:name="_Toc20080515"/>
      <w:r>
        <w:rPr>
          <w:noProof/>
          <w:rtl/>
        </w:rPr>
        <w:t>דברי הגרב"ב בביאור דעת הרשב"א</w:t>
      </w:r>
      <w:bookmarkEnd w:id="76"/>
      <w:bookmarkEnd w:id="77"/>
    </w:p>
    <w:p w14:paraId="793E9D37" w14:textId="77777777" w:rsidR="00852065" w:rsidRDefault="00852065" w:rsidP="005077A7">
      <w:pPr>
        <w:pStyle w:val="a"/>
        <w:rPr>
          <w:rFonts w:eastAsiaTheme="minorEastAsia" w:cstheme="minorBidi"/>
          <w:noProof/>
          <w:sz w:val="22"/>
          <w:szCs w:val="22"/>
          <w:rtl/>
        </w:rPr>
      </w:pPr>
      <w:r>
        <w:rPr>
          <w:noProof/>
          <w:rtl/>
        </w:rPr>
        <w:t>ביאור הגרב"ב בתי' הא' ברשב"א דכיון דמוחזקת שלא נשחטה ממילא מטמאה בנבילה</w:t>
      </w:r>
    </w:p>
    <w:p w14:paraId="722245FB" w14:textId="77777777" w:rsidR="00852065" w:rsidRDefault="00852065" w:rsidP="005077A7">
      <w:pPr>
        <w:pStyle w:val="a"/>
        <w:rPr>
          <w:rFonts w:eastAsiaTheme="minorEastAsia" w:cstheme="minorBidi"/>
          <w:noProof/>
          <w:sz w:val="22"/>
          <w:szCs w:val="22"/>
          <w:rtl/>
        </w:rPr>
      </w:pPr>
      <w:r>
        <w:rPr>
          <w:noProof/>
          <w:rtl/>
        </w:rPr>
        <w:t>ביאור הגרב"ב בתי' הב' ברשב"א דיש לה חזקת טומאה מחיים לכשתמות בלא שחיטה</w:t>
      </w:r>
    </w:p>
    <w:p w14:paraId="27E3A9E4" w14:textId="77777777" w:rsidR="00852065" w:rsidRDefault="00852065" w:rsidP="00852065">
      <w:pPr>
        <w:pStyle w:val="aff4"/>
        <w:rPr>
          <w:rFonts w:eastAsiaTheme="minorEastAsia" w:cstheme="minorBidi"/>
          <w:i/>
          <w:iCs/>
          <w:noProof/>
          <w:sz w:val="22"/>
          <w:szCs w:val="22"/>
          <w:rtl/>
        </w:rPr>
      </w:pPr>
      <w:bookmarkStart w:id="78" w:name="_Toc19435139"/>
      <w:bookmarkStart w:id="79" w:name="_Toc20080516"/>
      <w:r>
        <w:rPr>
          <w:noProof/>
          <w:rtl/>
        </w:rPr>
        <w:t>קושית השער"י על הש"ש דחזקת איסור לא מהני לטומאה</w:t>
      </w:r>
      <w:bookmarkEnd w:id="78"/>
      <w:bookmarkEnd w:id="79"/>
    </w:p>
    <w:p w14:paraId="63F96578" w14:textId="77777777" w:rsidR="00852065" w:rsidRDefault="00852065" w:rsidP="005077A7">
      <w:pPr>
        <w:pStyle w:val="a"/>
        <w:rPr>
          <w:rFonts w:eastAsiaTheme="minorEastAsia" w:cstheme="minorBidi"/>
          <w:noProof/>
          <w:sz w:val="22"/>
          <w:szCs w:val="22"/>
          <w:rtl/>
        </w:rPr>
      </w:pPr>
      <w:r>
        <w:rPr>
          <w:noProof/>
          <w:rtl/>
        </w:rPr>
        <w:t>קושית השער"י על הש"ש דאין חזקת הגוף על עצם השחיטה שמכריעה שלא נשחטה</w:t>
      </w:r>
    </w:p>
    <w:p w14:paraId="71B69E08" w14:textId="77777777" w:rsidR="00852065" w:rsidRDefault="00852065" w:rsidP="005077A7">
      <w:pPr>
        <w:pStyle w:val="a"/>
        <w:rPr>
          <w:rFonts w:eastAsiaTheme="minorEastAsia" w:cstheme="minorBidi"/>
          <w:noProof/>
          <w:sz w:val="22"/>
          <w:szCs w:val="22"/>
          <w:rtl/>
        </w:rPr>
      </w:pPr>
      <w:r>
        <w:rPr>
          <w:noProof/>
          <w:rtl/>
        </w:rPr>
        <w:t>דברי השער"י דיש רק חזקת איסור ואין חזקה על עצם השחיטה ולא מהני לענין טומאה</w:t>
      </w:r>
    </w:p>
    <w:p w14:paraId="05D99943" w14:textId="77777777" w:rsidR="00852065" w:rsidRDefault="00852065" w:rsidP="00852065">
      <w:pPr>
        <w:pStyle w:val="aff4"/>
        <w:rPr>
          <w:rFonts w:eastAsiaTheme="minorEastAsia" w:cstheme="minorBidi"/>
          <w:i/>
          <w:iCs/>
          <w:noProof/>
          <w:sz w:val="22"/>
          <w:szCs w:val="22"/>
          <w:rtl/>
        </w:rPr>
      </w:pPr>
      <w:bookmarkStart w:id="80" w:name="_Toc19435140"/>
      <w:bookmarkStart w:id="81" w:name="_Toc20080517"/>
      <w:r>
        <w:rPr>
          <w:noProof/>
          <w:rtl/>
        </w:rPr>
        <w:t>ביאור השער"י דהשחיטה לטומאה תלויה בחזקת חיה לאכילה</w:t>
      </w:r>
      <w:bookmarkEnd w:id="80"/>
      <w:bookmarkEnd w:id="81"/>
    </w:p>
    <w:p w14:paraId="07D958AA" w14:textId="77777777" w:rsidR="00852065" w:rsidRDefault="00852065" w:rsidP="005077A7">
      <w:pPr>
        <w:pStyle w:val="a"/>
        <w:rPr>
          <w:rFonts w:eastAsiaTheme="minorEastAsia" w:cstheme="minorBidi"/>
          <w:noProof/>
          <w:sz w:val="22"/>
          <w:szCs w:val="22"/>
          <w:rtl/>
        </w:rPr>
      </w:pPr>
      <w:r>
        <w:rPr>
          <w:noProof/>
          <w:rtl/>
        </w:rPr>
        <w:t>ביאור השער"י דהכשר שחיטה בטומאה תלוי בהיתר אכילה דכשיש לה דין שחוטה אינה נבילה</w:t>
      </w:r>
    </w:p>
    <w:p w14:paraId="382B2383" w14:textId="77777777" w:rsidR="00852065" w:rsidRDefault="00852065" w:rsidP="005077A7">
      <w:pPr>
        <w:pStyle w:val="a"/>
        <w:rPr>
          <w:rFonts w:eastAsiaTheme="minorEastAsia" w:cstheme="minorBidi"/>
          <w:noProof/>
          <w:sz w:val="22"/>
          <w:szCs w:val="22"/>
          <w:rtl/>
        </w:rPr>
      </w:pPr>
      <w:r>
        <w:rPr>
          <w:noProof/>
          <w:rtl/>
        </w:rPr>
        <w:t>ביאור השער"י דהיתר שחיטה בטומאה תלוי בדין חזקת חיה של הבהמה ולא במעשה השחיטה</w:t>
      </w:r>
    </w:p>
    <w:p w14:paraId="69FE2371" w14:textId="77777777" w:rsidR="00852065" w:rsidRDefault="00852065" w:rsidP="005077A7">
      <w:pPr>
        <w:pStyle w:val="a"/>
        <w:rPr>
          <w:rFonts w:eastAsiaTheme="minorEastAsia" w:cstheme="minorBidi"/>
          <w:noProof/>
          <w:sz w:val="22"/>
          <w:szCs w:val="22"/>
          <w:rtl/>
        </w:rPr>
      </w:pPr>
      <w:r>
        <w:rPr>
          <w:noProof/>
          <w:rtl/>
        </w:rPr>
        <w:t>ביאור השער"י דספק בטומאה הוא ספק בדין חיה וע"י חזקת חיה ממילא מטמאה כשמתה</w:t>
      </w:r>
    </w:p>
    <w:p w14:paraId="55A2917F" w14:textId="77777777" w:rsidR="00852065" w:rsidRDefault="00852065" w:rsidP="00852065">
      <w:pPr>
        <w:pStyle w:val="aff4"/>
        <w:rPr>
          <w:rFonts w:eastAsiaTheme="minorEastAsia" w:cstheme="minorBidi"/>
          <w:i/>
          <w:iCs/>
          <w:noProof/>
          <w:sz w:val="22"/>
          <w:szCs w:val="22"/>
          <w:rtl/>
        </w:rPr>
      </w:pPr>
      <w:bookmarkStart w:id="82" w:name="_Toc19435141"/>
      <w:bookmarkStart w:id="83" w:name="_Toc20080518"/>
      <w:r>
        <w:rPr>
          <w:noProof/>
          <w:rtl/>
        </w:rPr>
        <w:t>ביאור השער"י ברשב"א דע"י חזקת איסור יש חזקת חיה</w:t>
      </w:r>
      <w:bookmarkEnd w:id="82"/>
      <w:bookmarkEnd w:id="83"/>
    </w:p>
    <w:p w14:paraId="58B4A11B" w14:textId="77777777" w:rsidR="00852065" w:rsidRDefault="00852065" w:rsidP="005077A7">
      <w:pPr>
        <w:pStyle w:val="a"/>
        <w:rPr>
          <w:rFonts w:eastAsiaTheme="minorEastAsia" w:cstheme="minorBidi"/>
          <w:noProof/>
          <w:sz w:val="22"/>
          <w:szCs w:val="22"/>
          <w:rtl/>
        </w:rPr>
      </w:pPr>
      <w:r>
        <w:rPr>
          <w:noProof/>
          <w:rtl/>
        </w:rPr>
        <w:t>ביאור השער"י ברשב"א דע"י החזקת איסור יש לה חזקת חיה ולכן ממילא היא מטמאה</w:t>
      </w:r>
    </w:p>
    <w:p w14:paraId="24957F33" w14:textId="77777777" w:rsidR="00852065" w:rsidRDefault="00852065" w:rsidP="005077A7">
      <w:pPr>
        <w:pStyle w:val="a"/>
        <w:rPr>
          <w:rFonts w:eastAsiaTheme="minorEastAsia" w:cstheme="minorBidi"/>
          <w:noProof/>
          <w:sz w:val="22"/>
          <w:szCs w:val="22"/>
          <w:rtl/>
        </w:rPr>
      </w:pPr>
      <w:r>
        <w:rPr>
          <w:noProof/>
          <w:rtl/>
        </w:rPr>
        <w:t>ביאור השער"י ברשב"א דלר"א לא אזלינן בתר חזקת חיה כיון דהטומאה לא הוחזקה בפועל</w:t>
      </w:r>
    </w:p>
    <w:p w14:paraId="163D7AB5" w14:textId="77777777" w:rsidR="00852065" w:rsidRDefault="00852065" w:rsidP="005077A7">
      <w:pPr>
        <w:pStyle w:val="a"/>
        <w:rPr>
          <w:rFonts w:eastAsiaTheme="minorEastAsia" w:cstheme="minorBidi"/>
          <w:noProof/>
          <w:sz w:val="22"/>
          <w:szCs w:val="22"/>
          <w:rtl/>
        </w:rPr>
      </w:pPr>
      <w:r>
        <w:rPr>
          <w:noProof/>
          <w:rtl/>
        </w:rPr>
        <w:t>דברי השער"י בביאור הרשב"א ברש"י דמחזיקין מחזקת חי לאיסור אבמה"ח לאיסור נבילה</w:t>
      </w:r>
    </w:p>
    <w:p w14:paraId="4F99278D" w14:textId="77777777" w:rsidR="00852065" w:rsidRDefault="00852065" w:rsidP="005077A7">
      <w:pPr>
        <w:pStyle w:val="a"/>
        <w:rPr>
          <w:rFonts w:eastAsiaTheme="minorEastAsia" w:cstheme="minorBidi"/>
          <w:noProof/>
          <w:sz w:val="22"/>
          <w:szCs w:val="22"/>
          <w:rtl/>
        </w:rPr>
      </w:pPr>
      <w:r>
        <w:rPr>
          <w:noProof/>
          <w:rtl/>
        </w:rPr>
        <w:t>דחיית השער"י דא"כ לדברי ר"א דאינה מטמאה אין מחזיקין מאיסור לאיסור</w:t>
      </w:r>
    </w:p>
    <w:p w14:paraId="418F3619" w14:textId="77777777" w:rsidR="00852065" w:rsidRDefault="00852065" w:rsidP="005077A7">
      <w:pPr>
        <w:pStyle w:val="a"/>
        <w:rPr>
          <w:rFonts w:eastAsiaTheme="minorEastAsia" w:cstheme="minorBidi"/>
          <w:noProof/>
          <w:sz w:val="22"/>
          <w:szCs w:val="22"/>
          <w:rtl/>
        </w:rPr>
      </w:pPr>
      <w:r>
        <w:rPr>
          <w:noProof/>
          <w:rtl/>
        </w:rPr>
        <w:t>ביאור השער"י דרש"י איירי בספק דאו' ובזה ביאר הרשב"א דמהני אף שלא הוחזקה בפועל</w:t>
      </w:r>
    </w:p>
    <w:p w14:paraId="2E1B29CF" w14:textId="77777777" w:rsidR="00852065" w:rsidRDefault="00852065" w:rsidP="00852065">
      <w:pPr>
        <w:pStyle w:val="aff4"/>
        <w:rPr>
          <w:rFonts w:eastAsiaTheme="minorEastAsia" w:cstheme="minorBidi"/>
          <w:i/>
          <w:iCs/>
          <w:noProof/>
          <w:sz w:val="22"/>
          <w:szCs w:val="22"/>
          <w:rtl/>
        </w:rPr>
      </w:pPr>
      <w:bookmarkStart w:id="84" w:name="_Toc19435142"/>
      <w:bookmarkStart w:id="85" w:name="_Toc20080519"/>
      <w:r>
        <w:rPr>
          <w:noProof/>
          <w:rtl/>
        </w:rPr>
        <w:t>קושית השער"י על ביאור הגרעק"א ברשב"א</w:t>
      </w:r>
      <w:bookmarkEnd w:id="84"/>
      <w:bookmarkEnd w:id="85"/>
    </w:p>
    <w:p w14:paraId="631FC409" w14:textId="77777777" w:rsidR="00852065" w:rsidRDefault="00852065" w:rsidP="005077A7">
      <w:pPr>
        <w:pStyle w:val="a"/>
        <w:rPr>
          <w:rFonts w:eastAsiaTheme="minorEastAsia" w:cstheme="minorBidi"/>
          <w:noProof/>
          <w:sz w:val="22"/>
          <w:szCs w:val="22"/>
          <w:rtl/>
        </w:rPr>
      </w:pPr>
      <w:r>
        <w:rPr>
          <w:noProof/>
          <w:rtl/>
        </w:rPr>
        <w:t>ביאור השער"י בגרעק"א דלברייתא כיון שידוע שמתה א"א להוציאה מחזקתה בספק מעשה תיקון</w:t>
      </w:r>
    </w:p>
    <w:p w14:paraId="54B0854E" w14:textId="77777777" w:rsidR="00852065" w:rsidRDefault="00852065" w:rsidP="005077A7">
      <w:pPr>
        <w:pStyle w:val="a"/>
        <w:rPr>
          <w:rFonts w:eastAsiaTheme="minorEastAsia" w:cstheme="minorBidi"/>
          <w:noProof/>
          <w:sz w:val="22"/>
          <w:szCs w:val="22"/>
          <w:rtl/>
        </w:rPr>
      </w:pPr>
      <w:r>
        <w:rPr>
          <w:noProof/>
          <w:rtl/>
        </w:rPr>
        <w:t>קושית השער"י דלהגרעק"א למה אמר רב הונא חזקת איסור ולא דהייתה חיה מעיקרא</w:t>
      </w:r>
    </w:p>
    <w:p w14:paraId="12F6DABA" w14:textId="77777777" w:rsidR="00852065" w:rsidRDefault="00852065" w:rsidP="005077A7">
      <w:pPr>
        <w:pStyle w:val="a"/>
        <w:rPr>
          <w:rFonts w:eastAsiaTheme="minorEastAsia" w:cstheme="minorBidi"/>
          <w:noProof/>
          <w:sz w:val="22"/>
          <w:szCs w:val="22"/>
          <w:rtl/>
        </w:rPr>
      </w:pPr>
      <w:r>
        <w:rPr>
          <w:noProof/>
          <w:rtl/>
        </w:rPr>
        <w:t>קושית השער"י דלגרעק"א ר"א ב"ר ינאי לא ס"ל כסברת הרשב"א</w:t>
      </w:r>
    </w:p>
    <w:p w14:paraId="2331DFCC" w14:textId="77777777" w:rsidR="00852065" w:rsidRDefault="00852065" w:rsidP="00852065">
      <w:pPr>
        <w:pStyle w:val="aff4"/>
        <w:rPr>
          <w:rFonts w:eastAsiaTheme="minorEastAsia" w:cstheme="minorBidi"/>
          <w:i/>
          <w:iCs/>
          <w:noProof/>
          <w:sz w:val="22"/>
          <w:szCs w:val="22"/>
          <w:rtl/>
        </w:rPr>
      </w:pPr>
      <w:bookmarkStart w:id="86" w:name="_Toc19435143"/>
      <w:bookmarkStart w:id="87" w:name="_Toc20080520"/>
      <w:r>
        <w:rPr>
          <w:noProof/>
          <w:rtl/>
        </w:rPr>
        <w:t>ביאור המשנת ר"א בדברי הגרעק"א בדעת רש"י ותוס'</w:t>
      </w:r>
      <w:bookmarkEnd w:id="86"/>
      <w:bookmarkEnd w:id="87"/>
    </w:p>
    <w:p w14:paraId="4B6360DD" w14:textId="77777777" w:rsidR="00852065" w:rsidRDefault="00852065" w:rsidP="005077A7">
      <w:pPr>
        <w:pStyle w:val="a"/>
        <w:rPr>
          <w:rFonts w:eastAsiaTheme="minorEastAsia" w:cstheme="minorBidi"/>
          <w:noProof/>
          <w:sz w:val="22"/>
          <w:szCs w:val="22"/>
          <w:rtl/>
        </w:rPr>
      </w:pPr>
      <w:r>
        <w:rPr>
          <w:noProof/>
          <w:rtl/>
        </w:rPr>
        <w:t>דברי המשנת ר"א דלרש"י ותוס' מבואר דהחזקה היא רק על האיסור ולא על הטומאה</w:t>
      </w:r>
    </w:p>
    <w:p w14:paraId="3E87CA43" w14:textId="77777777" w:rsidR="00852065" w:rsidRDefault="00852065" w:rsidP="005077A7">
      <w:pPr>
        <w:pStyle w:val="a"/>
        <w:rPr>
          <w:rFonts w:eastAsiaTheme="minorEastAsia" w:cstheme="minorBidi"/>
          <w:noProof/>
          <w:sz w:val="22"/>
          <w:szCs w:val="22"/>
          <w:rtl/>
        </w:rPr>
      </w:pPr>
      <w:r>
        <w:rPr>
          <w:noProof/>
          <w:rtl/>
        </w:rPr>
        <w:t>דברי המשנת ר"א דלרש"י ותוס' לברייתא אם אינה מטמאה הוא תרתי דסתרי כגרעק"א</w:t>
      </w:r>
    </w:p>
    <w:p w14:paraId="7A674D38" w14:textId="77777777" w:rsidR="00852065" w:rsidRDefault="00852065" w:rsidP="005077A7">
      <w:pPr>
        <w:pStyle w:val="a"/>
        <w:rPr>
          <w:rFonts w:eastAsiaTheme="minorEastAsia" w:cstheme="minorBidi"/>
          <w:noProof/>
          <w:sz w:val="22"/>
          <w:szCs w:val="22"/>
          <w:rtl/>
        </w:rPr>
      </w:pPr>
      <w:r>
        <w:rPr>
          <w:noProof/>
          <w:rtl/>
        </w:rPr>
        <w:t>דברי המשנת ר"א דלרש"י ותוס' סבר ר"א דמעמידים את האיסור והטומאה על חזקתם</w:t>
      </w:r>
    </w:p>
    <w:p w14:paraId="680A5839" w14:textId="77777777" w:rsidR="00852065" w:rsidRDefault="00852065" w:rsidP="00852065">
      <w:pPr>
        <w:pStyle w:val="aff4"/>
        <w:rPr>
          <w:rFonts w:eastAsiaTheme="minorEastAsia" w:cstheme="minorBidi"/>
          <w:i/>
          <w:iCs/>
          <w:noProof/>
          <w:sz w:val="22"/>
          <w:szCs w:val="22"/>
          <w:rtl/>
        </w:rPr>
      </w:pPr>
      <w:bookmarkStart w:id="88" w:name="_Toc19435144"/>
      <w:bookmarkStart w:id="89" w:name="_Toc20080521"/>
      <w:r>
        <w:rPr>
          <w:noProof/>
          <w:rtl/>
        </w:rPr>
        <w:t>ביאור המשנת ר"א בדברי הגרעק"א בדעת הרשב"א</w:t>
      </w:r>
      <w:bookmarkEnd w:id="88"/>
      <w:bookmarkEnd w:id="89"/>
    </w:p>
    <w:p w14:paraId="6FE77EB6" w14:textId="77777777" w:rsidR="00852065" w:rsidRDefault="00852065" w:rsidP="005077A7">
      <w:pPr>
        <w:pStyle w:val="a"/>
        <w:rPr>
          <w:rFonts w:eastAsiaTheme="minorEastAsia" w:cstheme="minorBidi"/>
          <w:noProof/>
          <w:sz w:val="22"/>
          <w:szCs w:val="22"/>
          <w:rtl/>
        </w:rPr>
      </w:pPr>
      <w:r>
        <w:rPr>
          <w:noProof/>
          <w:rtl/>
        </w:rPr>
        <w:t>דברי המשנת ר"א דלהרשב"א ביאר הגרעק"א דלברייתא החזקה היא שלא נשחטה כראוי</w:t>
      </w:r>
    </w:p>
    <w:p w14:paraId="1EF4FD90" w14:textId="77777777" w:rsidR="00852065" w:rsidRDefault="00852065" w:rsidP="005077A7">
      <w:pPr>
        <w:pStyle w:val="a"/>
        <w:rPr>
          <w:rFonts w:eastAsiaTheme="minorEastAsia" w:cstheme="minorBidi"/>
          <w:noProof/>
          <w:sz w:val="22"/>
          <w:szCs w:val="22"/>
          <w:rtl/>
        </w:rPr>
      </w:pPr>
      <w:r>
        <w:rPr>
          <w:noProof/>
          <w:rtl/>
        </w:rPr>
        <w:t>ביאור המשנת ר"א דלרשב"א להברייתא אין החזקה מחמת האיסור אלא שהיא מתה ונבילה</w:t>
      </w:r>
    </w:p>
    <w:p w14:paraId="37B03117" w14:textId="77777777" w:rsidR="00852065" w:rsidRDefault="00852065" w:rsidP="005077A7">
      <w:pPr>
        <w:pStyle w:val="a"/>
        <w:rPr>
          <w:rFonts w:eastAsiaTheme="minorEastAsia" w:cstheme="minorBidi"/>
          <w:noProof/>
          <w:sz w:val="22"/>
          <w:szCs w:val="22"/>
          <w:rtl/>
        </w:rPr>
      </w:pPr>
      <w:r>
        <w:rPr>
          <w:noProof/>
          <w:rtl/>
        </w:rPr>
        <w:t>ביאור המשנת ר"א דלרשב"א סבר ר"א דכיון שלא הוחזקה טומאה בפועל היא בחזקת טהרה</w:t>
      </w:r>
    </w:p>
    <w:p w14:paraId="7D580689" w14:textId="77777777" w:rsidR="00852065" w:rsidRDefault="00852065" w:rsidP="00852065">
      <w:pPr>
        <w:pStyle w:val="aff4"/>
        <w:rPr>
          <w:rFonts w:eastAsiaTheme="minorEastAsia" w:cstheme="minorBidi"/>
          <w:i/>
          <w:iCs/>
          <w:noProof/>
          <w:sz w:val="22"/>
          <w:szCs w:val="22"/>
          <w:rtl/>
        </w:rPr>
      </w:pPr>
      <w:bookmarkStart w:id="90" w:name="_Toc19435145"/>
      <w:bookmarkStart w:id="91" w:name="_Toc20080522"/>
      <w:r>
        <w:rPr>
          <w:noProof/>
          <w:rtl/>
        </w:rPr>
        <w:t>דברי המשנת ר"א דנחלקו אם מחיים היא בחזקת טומאה</w:t>
      </w:r>
      <w:bookmarkEnd w:id="90"/>
      <w:bookmarkEnd w:id="91"/>
    </w:p>
    <w:p w14:paraId="34FFA50A" w14:textId="77777777" w:rsidR="00852065" w:rsidRDefault="00852065" w:rsidP="005077A7">
      <w:pPr>
        <w:pStyle w:val="a"/>
        <w:rPr>
          <w:rFonts w:eastAsiaTheme="minorEastAsia" w:cstheme="minorBidi"/>
          <w:noProof/>
          <w:sz w:val="22"/>
          <w:szCs w:val="22"/>
          <w:rtl/>
        </w:rPr>
      </w:pPr>
      <w:r>
        <w:rPr>
          <w:noProof/>
          <w:rtl/>
        </w:rPr>
        <w:t>דברי המשנת ר"א דבספק צרת ערוה יש חזקת היתר דהייתה ודאי סיבת היתר במיתת הבעל</w:t>
      </w:r>
    </w:p>
    <w:p w14:paraId="4E6B406E" w14:textId="77777777" w:rsidR="00852065" w:rsidRDefault="00852065" w:rsidP="005077A7">
      <w:pPr>
        <w:pStyle w:val="a"/>
        <w:rPr>
          <w:rFonts w:eastAsiaTheme="minorEastAsia" w:cstheme="minorBidi"/>
          <w:noProof/>
          <w:sz w:val="22"/>
          <w:szCs w:val="22"/>
          <w:rtl/>
        </w:rPr>
      </w:pPr>
      <w:r>
        <w:rPr>
          <w:noProof/>
          <w:rtl/>
        </w:rPr>
        <w:t>דברי המשנת ר"א דבספק בשחיטה סבר ר"א דאין חזקה שתטמא ומעמידים על חזקת טהרה</w:t>
      </w:r>
    </w:p>
    <w:p w14:paraId="0393A6F6" w14:textId="77777777" w:rsidR="00852065" w:rsidRDefault="00852065" w:rsidP="005077A7">
      <w:pPr>
        <w:pStyle w:val="a"/>
        <w:rPr>
          <w:rFonts w:eastAsiaTheme="minorEastAsia" w:cstheme="minorBidi"/>
          <w:noProof/>
          <w:sz w:val="22"/>
          <w:szCs w:val="22"/>
          <w:rtl/>
        </w:rPr>
      </w:pPr>
      <w:r>
        <w:rPr>
          <w:noProof/>
          <w:rtl/>
        </w:rPr>
        <w:t>דברי המשנת ר"א דלברייתא הוחזקה מחיים שתטמא כשתמות בלא הכשר שחיטה</w:t>
      </w:r>
    </w:p>
    <w:p w14:paraId="5278ED87" w14:textId="77777777" w:rsidR="00852065" w:rsidRDefault="00852065" w:rsidP="00852065">
      <w:pPr>
        <w:pStyle w:val="aff4"/>
        <w:rPr>
          <w:rFonts w:eastAsiaTheme="minorEastAsia" w:cstheme="minorBidi"/>
          <w:i/>
          <w:iCs/>
          <w:noProof/>
          <w:sz w:val="22"/>
          <w:szCs w:val="22"/>
          <w:rtl/>
        </w:rPr>
      </w:pPr>
      <w:bookmarkStart w:id="92" w:name="_Toc19435146"/>
      <w:bookmarkStart w:id="93" w:name="_Toc20080523"/>
      <w:r>
        <w:rPr>
          <w:noProof/>
          <w:rtl/>
        </w:rPr>
        <w:t>ביאור נוסף במשנת ר"א דאף לרש"י ותוס' יש חזקת טומאה</w:t>
      </w:r>
      <w:bookmarkEnd w:id="92"/>
      <w:bookmarkEnd w:id="93"/>
    </w:p>
    <w:p w14:paraId="043D3CCC" w14:textId="77777777" w:rsidR="00852065" w:rsidRDefault="00852065" w:rsidP="005077A7">
      <w:pPr>
        <w:pStyle w:val="a"/>
        <w:rPr>
          <w:rFonts w:eastAsiaTheme="minorEastAsia" w:cstheme="minorBidi"/>
          <w:noProof/>
          <w:sz w:val="22"/>
          <w:szCs w:val="22"/>
          <w:rtl/>
        </w:rPr>
      </w:pPr>
      <w:r>
        <w:rPr>
          <w:noProof/>
          <w:rtl/>
        </w:rPr>
        <w:t>דברי המשנת ר"א דאף לרש"י ותוס' להברייתא ע"י החזקת איסור יש לה חזקת טומאה</w:t>
      </w:r>
    </w:p>
    <w:p w14:paraId="3C520F0A" w14:textId="77777777" w:rsidR="00852065" w:rsidRDefault="00852065" w:rsidP="005077A7">
      <w:pPr>
        <w:pStyle w:val="a"/>
        <w:rPr>
          <w:rFonts w:eastAsiaTheme="minorEastAsia" w:cstheme="minorBidi"/>
          <w:noProof/>
          <w:sz w:val="22"/>
          <w:szCs w:val="22"/>
          <w:rtl/>
        </w:rPr>
      </w:pPr>
      <w:r>
        <w:rPr>
          <w:noProof/>
          <w:rtl/>
        </w:rPr>
        <w:t>ביאור המשנת ר"א דע"י האיסור אבר מן החי אין לה חזקת היתר והיא בחזקת אינו זבוח</w:t>
      </w:r>
    </w:p>
    <w:p w14:paraId="3317BD90" w14:textId="77777777" w:rsidR="00852065" w:rsidRDefault="00852065" w:rsidP="005077A7">
      <w:pPr>
        <w:pStyle w:val="a"/>
        <w:rPr>
          <w:rFonts w:eastAsiaTheme="minorEastAsia" w:cstheme="minorBidi"/>
          <w:noProof/>
          <w:sz w:val="22"/>
          <w:szCs w:val="22"/>
          <w:rtl/>
        </w:rPr>
      </w:pPr>
      <w:r>
        <w:rPr>
          <w:noProof/>
          <w:rtl/>
        </w:rPr>
        <w:t>ביאור המשנת ר"א דלרש"י ותוס' ע"י חזקת אינו זבוח חשיב שיש לה חזקת טומאה</w:t>
      </w:r>
    </w:p>
    <w:p w14:paraId="30D0095E" w14:textId="77777777" w:rsidR="00852065" w:rsidRDefault="00852065" w:rsidP="00852065">
      <w:pPr>
        <w:pStyle w:val="aff4"/>
        <w:rPr>
          <w:rFonts w:eastAsiaTheme="minorEastAsia" w:cstheme="minorBidi"/>
          <w:i/>
          <w:iCs/>
          <w:noProof/>
          <w:sz w:val="22"/>
          <w:szCs w:val="22"/>
          <w:rtl/>
        </w:rPr>
      </w:pPr>
      <w:bookmarkStart w:id="94" w:name="_Toc19435147"/>
      <w:bookmarkStart w:id="95" w:name="_Toc20080524"/>
      <w:r>
        <w:rPr>
          <w:noProof/>
          <w:rtl/>
        </w:rPr>
        <w:t>ביאור הקה"י דנחלקו אי אמרינן פלגינן בחזקת הגוף</w:t>
      </w:r>
      <w:bookmarkEnd w:id="94"/>
      <w:bookmarkEnd w:id="95"/>
    </w:p>
    <w:p w14:paraId="38041CA3" w14:textId="77777777" w:rsidR="00852065" w:rsidRDefault="00852065" w:rsidP="005077A7">
      <w:pPr>
        <w:pStyle w:val="a"/>
        <w:rPr>
          <w:rFonts w:eastAsiaTheme="minorEastAsia" w:cstheme="minorBidi"/>
          <w:noProof/>
          <w:sz w:val="22"/>
          <w:szCs w:val="22"/>
          <w:rtl/>
        </w:rPr>
      </w:pPr>
      <w:r>
        <w:rPr>
          <w:noProof/>
          <w:rtl/>
        </w:rPr>
        <w:t>דברי הקה"י דלר"א פלגינן בין החזקת איסור לחזקת טומאה</w:t>
      </w:r>
    </w:p>
    <w:p w14:paraId="10CB699E" w14:textId="77777777" w:rsidR="00852065" w:rsidRDefault="00852065" w:rsidP="005077A7">
      <w:pPr>
        <w:pStyle w:val="a"/>
        <w:rPr>
          <w:rFonts w:eastAsiaTheme="minorEastAsia" w:cstheme="minorBidi"/>
          <w:noProof/>
          <w:sz w:val="22"/>
          <w:szCs w:val="22"/>
          <w:rtl/>
        </w:rPr>
      </w:pPr>
      <w:r>
        <w:rPr>
          <w:noProof/>
          <w:rtl/>
        </w:rPr>
        <w:t>דברי הקה"י דלדעת הברייתא בסוגיין לא אמרינן פלגינן בחזקה</w:t>
      </w:r>
    </w:p>
    <w:p w14:paraId="669F820D" w14:textId="77777777" w:rsidR="00852065" w:rsidRDefault="00852065" w:rsidP="005077A7">
      <w:pPr>
        <w:pStyle w:val="a"/>
        <w:rPr>
          <w:rFonts w:eastAsiaTheme="minorEastAsia" w:cstheme="minorBidi"/>
          <w:noProof/>
          <w:sz w:val="22"/>
          <w:szCs w:val="22"/>
          <w:rtl/>
        </w:rPr>
      </w:pPr>
      <w:r>
        <w:rPr>
          <w:noProof/>
          <w:rtl/>
        </w:rPr>
        <w:t>ביאור הקה"י דלברייתא ברק בחזקת איסור אמרינן פלגינן בחזקה ולא בחזקת הגוף</w:t>
      </w:r>
    </w:p>
    <w:p w14:paraId="104D1AA5" w14:textId="77777777" w:rsidR="00852065" w:rsidRDefault="00852065" w:rsidP="005077A7">
      <w:pPr>
        <w:pStyle w:val="a"/>
        <w:rPr>
          <w:rFonts w:eastAsiaTheme="minorEastAsia" w:cstheme="minorBidi"/>
          <w:noProof/>
          <w:sz w:val="22"/>
          <w:szCs w:val="22"/>
          <w:rtl/>
        </w:rPr>
      </w:pPr>
      <w:r>
        <w:rPr>
          <w:noProof/>
          <w:rtl/>
        </w:rPr>
        <w:t>קושית הקה"י דהכא אין חזקת הגוף כיון שהיה בה חידוש או של שחיטה או של מיתה</w:t>
      </w:r>
    </w:p>
    <w:p w14:paraId="7903F152" w14:textId="77777777" w:rsidR="00852065" w:rsidRDefault="00852065" w:rsidP="005077A7">
      <w:pPr>
        <w:pStyle w:val="a"/>
        <w:rPr>
          <w:rFonts w:eastAsiaTheme="minorEastAsia" w:cstheme="minorBidi"/>
          <w:noProof/>
          <w:sz w:val="22"/>
          <w:szCs w:val="22"/>
          <w:rtl/>
        </w:rPr>
      </w:pPr>
      <w:r>
        <w:rPr>
          <w:noProof/>
          <w:rtl/>
        </w:rPr>
        <w:t>ביאור הקה"י דרק שחיטה הוא התחדשות מעשה משא"כ מיתה דסופה למות</w:t>
      </w:r>
    </w:p>
    <w:p w14:paraId="274DDEA3" w14:textId="77777777" w:rsidR="00852065" w:rsidRDefault="00852065" w:rsidP="00852065">
      <w:pPr>
        <w:pStyle w:val="aff4"/>
        <w:rPr>
          <w:rFonts w:eastAsiaTheme="minorEastAsia" w:cstheme="minorBidi"/>
          <w:i/>
          <w:iCs/>
          <w:noProof/>
          <w:sz w:val="22"/>
          <w:szCs w:val="22"/>
          <w:rtl/>
        </w:rPr>
      </w:pPr>
      <w:bookmarkStart w:id="96" w:name="_Toc19435148"/>
      <w:bookmarkStart w:id="97" w:name="_Toc20080525"/>
      <w:r>
        <w:rPr>
          <w:noProof/>
          <w:rtl/>
        </w:rPr>
        <w:t>דברי הגרש"ר בדעת התוס' דמדאו' יש רוב</w:t>
      </w:r>
      <w:bookmarkEnd w:id="96"/>
      <w:bookmarkEnd w:id="97"/>
    </w:p>
    <w:p w14:paraId="7162D2D4" w14:textId="77777777" w:rsidR="00852065" w:rsidRDefault="00852065" w:rsidP="005077A7">
      <w:pPr>
        <w:pStyle w:val="a"/>
        <w:rPr>
          <w:rFonts w:eastAsiaTheme="minorEastAsia" w:cstheme="minorBidi"/>
          <w:noProof/>
          <w:sz w:val="22"/>
          <w:szCs w:val="22"/>
          <w:rtl/>
        </w:rPr>
      </w:pPr>
      <w:r>
        <w:rPr>
          <w:noProof/>
          <w:rtl/>
        </w:rPr>
        <w:t>קושית הגרש"ר אמאי אינה מטמאה לר"א הא היא ספק נבילה ואין לה חזקת טהרה מחיים</w:t>
      </w:r>
    </w:p>
    <w:p w14:paraId="773EF105" w14:textId="77777777" w:rsidR="00852065" w:rsidRDefault="00852065" w:rsidP="005077A7">
      <w:pPr>
        <w:pStyle w:val="a"/>
        <w:rPr>
          <w:rFonts w:eastAsiaTheme="minorEastAsia" w:cstheme="minorBidi"/>
          <w:noProof/>
          <w:sz w:val="22"/>
          <w:szCs w:val="22"/>
          <w:rtl/>
        </w:rPr>
      </w:pPr>
      <w:r>
        <w:rPr>
          <w:noProof/>
          <w:rtl/>
        </w:rPr>
        <w:t>קושית הגרש"ר על התוס' דבגמ' משמע דאינה מטמאה דאינה בחזקת טומאה ולא מחמת הרוב</w:t>
      </w:r>
    </w:p>
    <w:p w14:paraId="44B13D22" w14:textId="77777777" w:rsidR="00852065" w:rsidRDefault="00852065" w:rsidP="005077A7">
      <w:pPr>
        <w:pStyle w:val="a"/>
        <w:rPr>
          <w:rFonts w:eastAsiaTheme="minorEastAsia" w:cstheme="minorBidi"/>
          <w:noProof/>
          <w:sz w:val="22"/>
          <w:szCs w:val="22"/>
          <w:rtl/>
        </w:rPr>
      </w:pPr>
      <w:r>
        <w:rPr>
          <w:noProof/>
          <w:rtl/>
        </w:rPr>
        <w:t>דברי הגרש"ר דלר"א החזקת איסור לא מהני לטומאה כמ"ד דחזקת האם לא מהני לבת</w:t>
      </w:r>
    </w:p>
    <w:p w14:paraId="5E8325FB" w14:textId="77777777" w:rsidR="00852065" w:rsidRDefault="00852065" w:rsidP="005077A7">
      <w:pPr>
        <w:pStyle w:val="a"/>
        <w:rPr>
          <w:rFonts w:eastAsiaTheme="minorEastAsia" w:cstheme="minorBidi"/>
          <w:noProof/>
          <w:sz w:val="22"/>
          <w:szCs w:val="22"/>
          <w:rtl/>
        </w:rPr>
      </w:pPr>
      <w:r>
        <w:rPr>
          <w:noProof/>
          <w:rtl/>
        </w:rPr>
        <w:t>דברי הגרש"ר דס"ל לתוס' דטומאה הוא תולדה מהאיסור וא"א לחלק ביניהם</w:t>
      </w:r>
    </w:p>
    <w:p w14:paraId="6854E5D9" w14:textId="77777777" w:rsidR="00852065" w:rsidRDefault="00852065" w:rsidP="005077A7">
      <w:pPr>
        <w:pStyle w:val="a"/>
        <w:rPr>
          <w:rFonts w:eastAsiaTheme="minorEastAsia" w:cstheme="minorBidi"/>
          <w:noProof/>
          <w:sz w:val="22"/>
          <w:szCs w:val="22"/>
          <w:rtl/>
        </w:rPr>
      </w:pPr>
      <w:r>
        <w:rPr>
          <w:noProof/>
          <w:rtl/>
        </w:rPr>
        <w:t>דחיית הגרש"ר דהפשטות דאיסור אכילה ודין טומאה הם ב' דינים שונים ואפשר לחלק בחזקה</w:t>
      </w:r>
    </w:p>
    <w:p w14:paraId="1C02A39B" w14:textId="77777777" w:rsidR="00852065" w:rsidRDefault="00852065" w:rsidP="00852065">
      <w:pPr>
        <w:pStyle w:val="2"/>
        <w:rPr>
          <w:rFonts w:eastAsiaTheme="minorEastAsia" w:cstheme="minorBidi"/>
          <w:i/>
          <w:iCs/>
          <w:noProof/>
          <w:rtl/>
        </w:rPr>
      </w:pPr>
      <w:bookmarkStart w:id="98" w:name="_Toc19435149"/>
      <w:r>
        <w:rPr>
          <w:noProof/>
          <w:rtl/>
        </w:rPr>
        <w:t>מראי מקומות וביאורים על הרמב"ם</w:t>
      </w:r>
      <w:bookmarkEnd w:id="98"/>
    </w:p>
    <w:p w14:paraId="2C4B28C2" w14:textId="77777777" w:rsidR="00852065" w:rsidRDefault="00852065" w:rsidP="00852065">
      <w:pPr>
        <w:pStyle w:val="aff4"/>
        <w:rPr>
          <w:rFonts w:eastAsiaTheme="minorEastAsia" w:cstheme="minorBidi"/>
          <w:i/>
          <w:iCs/>
          <w:noProof/>
          <w:sz w:val="22"/>
          <w:szCs w:val="22"/>
          <w:rtl/>
        </w:rPr>
      </w:pPr>
      <w:bookmarkStart w:id="99" w:name="_Toc19435150"/>
      <w:bookmarkStart w:id="100" w:name="_Toc20080526"/>
      <w:r>
        <w:rPr>
          <w:noProof/>
          <w:rtl/>
        </w:rPr>
        <w:t>דברי הרמב"ם דבלא בדק ה"ז נבילה</w:t>
      </w:r>
      <w:bookmarkEnd w:id="99"/>
      <w:bookmarkEnd w:id="100"/>
    </w:p>
    <w:p w14:paraId="5A675DD6" w14:textId="77777777" w:rsidR="00852065" w:rsidRDefault="00852065" w:rsidP="005077A7">
      <w:pPr>
        <w:pStyle w:val="a"/>
        <w:rPr>
          <w:rFonts w:eastAsiaTheme="minorEastAsia" w:cstheme="minorBidi"/>
          <w:noProof/>
          <w:sz w:val="22"/>
          <w:szCs w:val="22"/>
          <w:rtl/>
        </w:rPr>
      </w:pPr>
      <w:r>
        <w:rPr>
          <w:noProof/>
          <w:rtl/>
        </w:rPr>
        <w:t>דברי הרמב"ם דבדלא בדק בסימנים הוי נבילה אף שהשוחט זריז</w:t>
      </w:r>
    </w:p>
    <w:p w14:paraId="4A87BFE5" w14:textId="77777777" w:rsidR="00852065" w:rsidRDefault="00852065" w:rsidP="005077A7">
      <w:pPr>
        <w:pStyle w:val="a"/>
        <w:rPr>
          <w:rFonts w:eastAsiaTheme="minorEastAsia" w:cstheme="minorBidi"/>
          <w:noProof/>
          <w:sz w:val="22"/>
          <w:szCs w:val="22"/>
          <w:rtl/>
        </w:rPr>
      </w:pPr>
      <w:r>
        <w:rPr>
          <w:noProof/>
          <w:rtl/>
        </w:rPr>
        <w:t>הוספת הרמב"ם דהבהמה בחזקת איסור</w:t>
      </w:r>
    </w:p>
    <w:p w14:paraId="54D99646" w14:textId="77777777" w:rsidR="00852065" w:rsidRDefault="00852065" w:rsidP="00852065">
      <w:pPr>
        <w:pStyle w:val="aff4"/>
        <w:rPr>
          <w:rFonts w:eastAsiaTheme="minorEastAsia" w:cstheme="minorBidi"/>
          <w:i/>
          <w:iCs/>
          <w:noProof/>
          <w:sz w:val="22"/>
          <w:szCs w:val="22"/>
          <w:rtl/>
        </w:rPr>
      </w:pPr>
      <w:bookmarkStart w:id="101" w:name="_Toc19435151"/>
      <w:bookmarkStart w:id="102" w:name="_Toc20080527"/>
      <w:r>
        <w:rPr>
          <w:noProof/>
          <w:rtl/>
        </w:rPr>
        <w:t>בביאור הטעם דהוי נבילה לדעת הרמב"ם</w:t>
      </w:r>
      <w:bookmarkEnd w:id="101"/>
      <w:bookmarkEnd w:id="102"/>
    </w:p>
    <w:p w14:paraId="3A66CC5A" w14:textId="77777777" w:rsidR="00852065" w:rsidRDefault="00852065" w:rsidP="005077A7">
      <w:pPr>
        <w:pStyle w:val="a"/>
        <w:rPr>
          <w:rFonts w:eastAsiaTheme="minorEastAsia" w:cstheme="minorBidi"/>
          <w:noProof/>
          <w:sz w:val="22"/>
          <w:szCs w:val="22"/>
          <w:rtl/>
        </w:rPr>
      </w:pPr>
      <w:r>
        <w:rPr>
          <w:noProof/>
          <w:rtl/>
        </w:rPr>
        <w:t>דברי הכס"מ דהרמב"ם פסק לחומרא כברייתא דמטמאה בנבילה</w:t>
      </w:r>
    </w:p>
    <w:p w14:paraId="14BA7922" w14:textId="77777777" w:rsidR="00852065" w:rsidRDefault="00852065" w:rsidP="005077A7">
      <w:pPr>
        <w:pStyle w:val="a"/>
        <w:rPr>
          <w:rFonts w:eastAsiaTheme="minorEastAsia" w:cstheme="minorBidi"/>
          <w:noProof/>
          <w:sz w:val="22"/>
          <w:szCs w:val="22"/>
          <w:rtl/>
        </w:rPr>
      </w:pPr>
      <w:r>
        <w:rPr>
          <w:noProof/>
          <w:rtl/>
        </w:rPr>
        <w:t>דברי הכס"מ דהטעם של הברייתא הוא המסתבר דהיא בחזקת איסור ועכשיו מתה</w:t>
      </w:r>
    </w:p>
    <w:p w14:paraId="50C5B80F" w14:textId="77777777" w:rsidR="00852065" w:rsidRDefault="00852065" w:rsidP="005077A7">
      <w:pPr>
        <w:pStyle w:val="a"/>
        <w:rPr>
          <w:rFonts w:eastAsiaTheme="minorEastAsia" w:cstheme="minorBidi"/>
          <w:noProof/>
          <w:sz w:val="22"/>
          <w:szCs w:val="22"/>
          <w:rtl/>
        </w:rPr>
      </w:pPr>
      <w:r>
        <w:rPr>
          <w:noProof/>
          <w:rtl/>
        </w:rPr>
        <w:t>דברי הכס"מ והלח"מ דכוונת הרמב"ם דהחזקת איסור הוא הטעם דמטמאה בנבילה</w:t>
      </w:r>
    </w:p>
    <w:p w14:paraId="4C3305D1" w14:textId="77777777" w:rsidR="00852065" w:rsidRDefault="00852065" w:rsidP="005077A7">
      <w:pPr>
        <w:pStyle w:val="a"/>
        <w:rPr>
          <w:rFonts w:eastAsiaTheme="minorEastAsia" w:cstheme="minorBidi"/>
          <w:noProof/>
          <w:sz w:val="22"/>
          <w:szCs w:val="22"/>
          <w:rtl/>
        </w:rPr>
      </w:pPr>
      <w:r>
        <w:rPr>
          <w:noProof/>
          <w:rtl/>
        </w:rPr>
        <w:t>קושית הלח"מ דאף לר"א היא בחזקת איסור ואפ"ה ס"ל דאינה מטמאה בנבילה</w:t>
      </w:r>
    </w:p>
    <w:p w14:paraId="5C73121E" w14:textId="77777777" w:rsidR="00852065" w:rsidRDefault="00852065" w:rsidP="005077A7">
      <w:pPr>
        <w:pStyle w:val="a"/>
        <w:rPr>
          <w:rFonts w:eastAsiaTheme="minorEastAsia" w:cstheme="minorBidi"/>
          <w:noProof/>
          <w:sz w:val="22"/>
          <w:szCs w:val="22"/>
          <w:rtl/>
        </w:rPr>
      </w:pPr>
      <w:r>
        <w:rPr>
          <w:noProof/>
          <w:rtl/>
        </w:rPr>
        <w:t>ביאור הלח"מ דכוונת הרמב"ם דהחזקת איסור הוא הטעם דאסורה או דהוא דין בפנ"ע</w:t>
      </w:r>
    </w:p>
    <w:p w14:paraId="458AF804" w14:textId="77777777" w:rsidR="00852065" w:rsidRDefault="00852065" w:rsidP="005077A7">
      <w:pPr>
        <w:pStyle w:val="a"/>
        <w:rPr>
          <w:rFonts w:eastAsiaTheme="minorEastAsia" w:cstheme="minorBidi"/>
          <w:noProof/>
          <w:sz w:val="22"/>
          <w:szCs w:val="22"/>
          <w:rtl/>
        </w:rPr>
      </w:pPr>
      <w:r>
        <w:rPr>
          <w:noProof/>
          <w:rtl/>
        </w:rPr>
        <w:t>דברי המאירי דבנחתך הראש א"א לבדוק את הסימנים</w:t>
      </w:r>
    </w:p>
    <w:p w14:paraId="7F59999A" w14:textId="77777777" w:rsidR="00852065" w:rsidRDefault="00852065" w:rsidP="00852065">
      <w:pPr>
        <w:pStyle w:val="aff4"/>
        <w:rPr>
          <w:rFonts w:eastAsiaTheme="minorEastAsia" w:cstheme="minorBidi"/>
          <w:i/>
          <w:iCs/>
          <w:noProof/>
          <w:sz w:val="22"/>
          <w:szCs w:val="22"/>
          <w:rtl/>
        </w:rPr>
      </w:pPr>
      <w:bookmarkStart w:id="103" w:name="_Toc19435152"/>
      <w:bookmarkStart w:id="104" w:name="_Toc20080528"/>
      <w:r>
        <w:rPr>
          <w:noProof/>
          <w:rtl/>
        </w:rPr>
        <w:t>דעת הגרעק"א והפרי תואר דלהרמב"ם הוא ספק דאו'</w:t>
      </w:r>
      <w:bookmarkEnd w:id="103"/>
      <w:bookmarkEnd w:id="104"/>
    </w:p>
    <w:p w14:paraId="2B669538" w14:textId="77777777" w:rsidR="00852065" w:rsidRDefault="00852065" w:rsidP="005077A7">
      <w:pPr>
        <w:pStyle w:val="a"/>
        <w:rPr>
          <w:rFonts w:eastAsiaTheme="minorEastAsia" w:cstheme="minorBidi"/>
          <w:noProof/>
          <w:sz w:val="22"/>
          <w:szCs w:val="22"/>
          <w:rtl/>
        </w:rPr>
      </w:pPr>
      <w:bookmarkStart w:id="105" w:name="_Ref522100480"/>
      <w:r>
        <w:rPr>
          <w:noProof/>
          <w:rtl/>
        </w:rPr>
        <w:t>דברי הגרעק"א דלרמב"ם מדאו' לא סמכינן על רוב התלוי במעשה ואסורה מספק</w:t>
      </w:r>
      <w:bookmarkEnd w:id="105"/>
    </w:p>
    <w:p w14:paraId="19774AF4" w14:textId="77777777" w:rsidR="00852065" w:rsidRDefault="00852065" w:rsidP="005077A7">
      <w:pPr>
        <w:pStyle w:val="a"/>
        <w:rPr>
          <w:rFonts w:eastAsiaTheme="minorEastAsia" w:cstheme="minorBidi"/>
          <w:noProof/>
          <w:sz w:val="22"/>
          <w:szCs w:val="22"/>
          <w:rtl/>
        </w:rPr>
      </w:pPr>
      <w:r>
        <w:rPr>
          <w:noProof/>
          <w:rtl/>
        </w:rPr>
        <w:t>ביאר הגרעק"א דר"א והברייתא נחלקו אי מדאו' סמכינן על רוב התלוי במעשה</w:t>
      </w:r>
    </w:p>
    <w:p w14:paraId="108342AB" w14:textId="77777777" w:rsidR="00852065" w:rsidRDefault="00852065" w:rsidP="005077A7">
      <w:pPr>
        <w:pStyle w:val="a"/>
        <w:rPr>
          <w:rFonts w:eastAsiaTheme="minorEastAsia" w:cstheme="minorBidi"/>
          <w:noProof/>
          <w:sz w:val="22"/>
          <w:szCs w:val="22"/>
          <w:rtl/>
        </w:rPr>
      </w:pPr>
      <w:r>
        <w:rPr>
          <w:noProof/>
          <w:rtl/>
        </w:rPr>
        <w:t>דברי הפרי תואר דלהרמב"ם הביאור בגמ' דאינה בחזקת טמאה אלא היא ספק נבילה</w:t>
      </w:r>
    </w:p>
    <w:p w14:paraId="16A14D4D" w14:textId="77777777" w:rsidR="00852065" w:rsidRDefault="00852065" w:rsidP="005077A7">
      <w:pPr>
        <w:pStyle w:val="a"/>
        <w:rPr>
          <w:rFonts w:eastAsiaTheme="minorEastAsia" w:cstheme="minorBidi"/>
          <w:noProof/>
          <w:sz w:val="22"/>
          <w:szCs w:val="22"/>
          <w:rtl/>
        </w:rPr>
      </w:pPr>
      <w:r>
        <w:rPr>
          <w:noProof/>
          <w:rtl/>
        </w:rPr>
        <w:t>דברי הגרעק"א דלהרמב"ם להברייתא אסורה מדאו' ומטמאה מדרבנן</w:t>
      </w:r>
    </w:p>
    <w:p w14:paraId="451F38C5" w14:textId="77777777" w:rsidR="00852065" w:rsidRDefault="00852065" w:rsidP="005077A7">
      <w:pPr>
        <w:pStyle w:val="a"/>
        <w:rPr>
          <w:rFonts w:eastAsiaTheme="minorEastAsia" w:cstheme="minorBidi"/>
          <w:noProof/>
          <w:sz w:val="22"/>
          <w:szCs w:val="22"/>
          <w:rtl/>
        </w:rPr>
      </w:pPr>
      <w:r>
        <w:rPr>
          <w:noProof/>
          <w:rtl/>
        </w:rPr>
        <w:t>ביאור הגרעק"א דלאיסור יש לה חזקה והטומאה היא מדרבנן דלא יהיה כתרתי דסתרי</w:t>
      </w:r>
    </w:p>
    <w:p w14:paraId="59D1C770" w14:textId="77777777" w:rsidR="00852065" w:rsidRDefault="00852065" w:rsidP="00852065">
      <w:pPr>
        <w:pStyle w:val="aff4"/>
        <w:rPr>
          <w:rFonts w:eastAsiaTheme="minorEastAsia" w:cstheme="minorBidi"/>
          <w:i/>
          <w:iCs/>
          <w:noProof/>
          <w:sz w:val="22"/>
          <w:szCs w:val="22"/>
          <w:rtl/>
        </w:rPr>
      </w:pPr>
      <w:bookmarkStart w:id="106" w:name="_Toc19435153"/>
      <w:bookmarkStart w:id="107" w:name="_Toc20080529"/>
      <w:r>
        <w:rPr>
          <w:noProof/>
          <w:rtl/>
        </w:rPr>
        <w:t>דעת התבו"ש והפרמ"ג דלהרמב"ם הוי ודאי נבילה</w:t>
      </w:r>
      <w:bookmarkEnd w:id="106"/>
      <w:bookmarkEnd w:id="107"/>
    </w:p>
    <w:p w14:paraId="5FDD06C7" w14:textId="77777777" w:rsidR="00852065" w:rsidRDefault="00852065" w:rsidP="005077A7">
      <w:pPr>
        <w:pStyle w:val="a"/>
        <w:rPr>
          <w:rFonts w:eastAsiaTheme="minorEastAsia" w:cstheme="minorBidi"/>
          <w:noProof/>
          <w:sz w:val="22"/>
          <w:szCs w:val="22"/>
          <w:rtl/>
        </w:rPr>
      </w:pPr>
      <w:r>
        <w:rPr>
          <w:noProof/>
          <w:rtl/>
        </w:rPr>
        <w:t>דברי הפרמ"ג דמשמע דהכס"מ מסתפק אי הוי ודאי נבילה לדעת הרמב"ם</w:t>
      </w:r>
    </w:p>
    <w:p w14:paraId="3D59DA22" w14:textId="77777777" w:rsidR="00852065" w:rsidRDefault="00852065" w:rsidP="005077A7">
      <w:pPr>
        <w:pStyle w:val="a"/>
        <w:rPr>
          <w:rFonts w:eastAsiaTheme="minorEastAsia" w:cstheme="minorBidi"/>
          <w:noProof/>
          <w:sz w:val="22"/>
          <w:szCs w:val="22"/>
          <w:rtl/>
        </w:rPr>
      </w:pPr>
      <w:r>
        <w:rPr>
          <w:noProof/>
          <w:rtl/>
        </w:rPr>
        <w:t>דברי הפרמ"ג והתבואות שור דלרמב"ם ולש"ך הוי ודאי נבילה</w:t>
      </w:r>
    </w:p>
    <w:p w14:paraId="3B121C06" w14:textId="77777777" w:rsidR="00852065" w:rsidRDefault="00852065" w:rsidP="005077A7">
      <w:pPr>
        <w:pStyle w:val="a"/>
        <w:rPr>
          <w:rFonts w:eastAsiaTheme="minorEastAsia" w:cstheme="minorBidi"/>
          <w:noProof/>
          <w:sz w:val="22"/>
          <w:szCs w:val="22"/>
          <w:rtl/>
        </w:rPr>
      </w:pPr>
      <w:r>
        <w:rPr>
          <w:noProof/>
          <w:rtl/>
        </w:rPr>
        <w:t>ביאור הפרמ"ג דהרמב"ם ס"ל כתירוץ הב' במרדכי דאין רוב ששחט כראוי</w:t>
      </w:r>
    </w:p>
    <w:p w14:paraId="40C9EB92" w14:textId="77777777" w:rsidR="00852065" w:rsidRDefault="00852065" w:rsidP="005077A7">
      <w:pPr>
        <w:pStyle w:val="a"/>
        <w:rPr>
          <w:rFonts w:eastAsiaTheme="minorEastAsia" w:cstheme="minorBidi"/>
          <w:noProof/>
          <w:sz w:val="22"/>
          <w:szCs w:val="22"/>
          <w:rtl/>
        </w:rPr>
      </w:pPr>
      <w:r>
        <w:rPr>
          <w:noProof/>
          <w:rtl/>
        </w:rPr>
        <w:t>דברי הפרמ"ג דלהרמב"ם לוקין על אכילתה בלאו דנבילה מכח החזקת איסור</w:t>
      </w:r>
    </w:p>
    <w:p w14:paraId="1D5F0E44" w14:textId="77777777" w:rsidR="00852065" w:rsidRDefault="00852065" w:rsidP="005077A7">
      <w:pPr>
        <w:pStyle w:val="a"/>
        <w:rPr>
          <w:rFonts w:eastAsiaTheme="minorEastAsia" w:cstheme="minorBidi"/>
          <w:noProof/>
          <w:sz w:val="22"/>
          <w:szCs w:val="22"/>
          <w:rtl/>
        </w:rPr>
      </w:pPr>
      <w:r>
        <w:rPr>
          <w:noProof/>
          <w:rtl/>
        </w:rPr>
        <w:t>דברי הפרמ"ג דלהרמב"ם אין לה חזקת טומאה ואין לוקין עליה לענין טומאה</w:t>
      </w:r>
    </w:p>
    <w:p w14:paraId="62B31274" w14:textId="77777777" w:rsidR="00852065" w:rsidRDefault="00852065" w:rsidP="005077A7">
      <w:pPr>
        <w:pStyle w:val="a"/>
        <w:rPr>
          <w:rFonts w:eastAsiaTheme="minorEastAsia" w:cstheme="minorBidi"/>
          <w:noProof/>
          <w:sz w:val="22"/>
          <w:szCs w:val="22"/>
          <w:rtl/>
        </w:rPr>
      </w:pPr>
      <w:r>
        <w:rPr>
          <w:noProof/>
          <w:rtl/>
        </w:rPr>
        <w:t>דברי התבואות שור דלהרמב"ם אין רוב ומספק מוקמינן לה בחזקת איסור</w:t>
      </w:r>
    </w:p>
    <w:p w14:paraId="0AD7DE7C" w14:textId="77777777" w:rsidR="00852065" w:rsidRDefault="00852065" w:rsidP="005077A7">
      <w:pPr>
        <w:pStyle w:val="a"/>
        <w:rPr>
          <w:rFonts w:eastAsiaTheme="minorEastAsia" w:cstheme="minorBidi"/>
          <w:noProof/>
          <w:sz w:val="22"/>
          <w:szCs w:val="22"/>
          <w:rtl/>
        </w:rPr>
      </w:pPr>
      <w:r>
        <w:rPr>
          <w:noProof/>
          <w:rtl/>
        </w:rPr>
        <w:t>דברי התבואות שור דהרמב"ם לא הכריע במחלוקת לענין נבילה</w:t>
      </w:r>
    </w:p>
    <w:p w14:paraId="167EF592" w14:textId="77777777" w:rsidR="00852065" w:rsidRDefault="00852065" w:rsidP="005077A7">
      <w:pPr>
        <w:pStyle w:val="a"/>
        <w:rPr>
          <w:rFonts w:eastAsiaTheme="minorEastAsia" w:cstheme="minorBidi"/>
          <w:noProof/>
          <w:sz w:val="22"/>
          <w:szCs w:val="22"/>
          <w:rtl/>
        </w:rPr>
      </w:pPr>
      <w:r>
        <w:rPr>
          <w:noProof/>
          <w:rtl/>
        </w:rPr>
        <w:t>דברי התבואות שור דמלשון נבילה אין ראיה דאף לענין אכילה היא נבילה ולא טריפה</w:t>
      </w:r>
    </w:p>
    <w:p w14:paraId="1F9F9032" w14:textId="77777777" w:rsidR="00852065" w:rsidRDefault="00852065" w:rsidP="005077A7">
      <w:pPr>
        <w:pStyle w:val="a"/>
        <w:rPr>
          <w:rFonts w:eastAsiaTheme="minorEastAsia" w:cstheme="minorBidi"/>
          <w:noProof/>
          <w:sz w:val="22"/>
          <w:szCs w:val="22"/>
          <w:rtl/>
        </w:rPr>
      </w:pPr>
      <w:r>
        <w:rPr>
          <w:noProof/>
          <w:rtl/>
        </w:rPr>
        <w:t>ביאור הפרמ"ג דבאיסור שמחיים לוקה ה"ה לאחר מיתה משא"כ בטומאה דאינו לוקה</w:t>
      </w:r>
    </w:p>
    <w:p w14:paraId="476BA3CF" w14:textId="77777777" w:rsidR="00852065" w:rsidRDefault="00852065" w:rsidP="00852065">
      <w:pPr>
        <w:pStyle w:val="aff4"/>
        <w:rPr>
          <w:rFonts w:eastAsiaTheme="minorEastAsia" w:cstheme="minorBidi"/>
          <w:i/>
          <w:iCs/>
          <w:noProof/>
          <w:sz w:val="22"/>
          <w:szCs w:val="22"/>
          <w:rtl/>
        </w:rPr>
      </w:pPr>
      <w:bookmarkStart w:id="108" w:name="_Toc19435154"/>
      <w:bookmarkStart w:id="109" w:name="_Toc20080530"/>
      <w:r>
        <w:rPr>
          <w:noProof/>
          <w:rtl/>
        </w:rPr>
        <w:t>בסתירת דברי הרמב"ם משאר הספיקות</w:t>
      </w:r>
      <w:bookmarkEnd w:id="108"/>
      <w:bookmarkEnd w:id="109"/>
    </w:p>
    <w:p w14:paraId="07780748" w14:textId="77777777" w:rsidR="00852065" w:rsidRDefault="00852065" w:rsidP="005077A7">
      <w:pPr>
        <w:pStyle w:val="a"/>
        <w:rPr>
          <w:rFonts w:eastAsiaTheme="minorEastAsia" w:cstheme="minorBidi"/>
          <w:noProof/>
          <w:sz w:val="22"/>
          <w:szCs w:val="22"/>
          <w:rtl/>
        </w:rPr>
      </w:pPr>
      <w:r>
        <w:rPr>
          <w:noProof/>
          <w:rtl/>
        </w:rPr>
        <w:t>קושית הפרמ"ג דהכא כתב הרמב"ם דהיא ודאי נבילה ובשאר ספיקות כתב דהיא ספק נבילה</w:t>
      </w:r>
    </w:p>
    <w:p w14:paraId="22BC08C9" w14:textId="77777777" w:rsidR="00852065" w:rsidRDefault="00852065" w:rsidP="005077A7">
      <w:pPr>
        <w:pStyle w:val="a"/>
        <w:rPr>
          <w:rFonts w:eastAsiaTheme="minorEastAsia" w:cstheme="minorBidi"/>
          <w:noProof/>
          <w:sz w:val="22"/>
          <w:szCs w:val="22"/>
          <w:rtl/>
        </w:rPr>
      </w:pPr>
      <w:r>
        <w:rPr>
          <w:noProof/>
          <w:rtl/>
        </w:rPr>
        <w:t>דברי הפרמ"ג דבשאר הספיקות סמכינן מיעוטא לחזקה והוי פלגא ופלגא ואסורה מספק</w:t>
      </w:r>
    </w:p>
    <w:p w14:paraId="22A9C044" w14:textId="77777777" w:rsidR="00852065" w:rsidRDefault="00852065" w:rsidP="005077A7">
      <w:pPr>
        <w:pStyle w:val="a"/>
        <w:rPr>
          <w:rFonts w:eastAsiaTheme="minorEastAsia" w:cstheme="minorBidi"/>
          <w:noProof/>
          <w:sz w:val="22"/>
          <w:szCs w:val="22"/>
          <w:rtl/>
        </w:rPr>
      </w:pPr>
      <w:r>
        <w:rPr>
          <w:noProof/>
          <w:rtl/>
        </w:rPr>
        <w:t>ביאור הפרמ"ג דהרוב תלוי במעשה והמיעוט אינו תלוי במעשה ומוקמנין בחזקת איסור</w:t>
      </w:r>
    </w:p>
    <w:p w14:paraId="6541C1D9" w14:textId="77777777" w:rsidR="00852065" w:rsidRDefault="00852065" w:rsidP="005077A7">
      <w:pPr>
        <w:pStyle w:val="a"/>
        <w:rPr>
          <w:rFonts w:eastAsiaTheme="minorEastAsia" w:cstheme="minorBidi"/>
          <w:noProof/>
          <w:sz w:val="22"/>
          <w:szCs w:val="22"/>
          <w:rtl/>
        </w:rPr>
      </w:pPr>
      <w:r>
        <w:rPr>
          <w:noProof/>
          <w:rtl/>
        </w:rPr>
        <w:t>דברי הפרמ"ג דלהכס"מ דהיא ספק נבילה אף בספק נבילה כתב הרמב"ם ה"ז נבילה</w:t>
      </w:r>
    </w:p>
    <w:p w14:paraId="26B6972C" w14:textId="77777777" w:rsidR="00852065" w:rsidRDefault="00852065" w:rsidP="005077A7">
      <w:pPr>
        <w:pStyle w:val="a"/>
        <w:rPr>
          <w:rFonts w:eastAsiaTheme="minorEastAsia" w:cstheme="minorBidi"/>
          <w:noProof/>
          <w:sz w:val="22"/>
          <w:szCs w:val="22"/>
          <w:rtl/>
        </w:rPr>
      </w:pPr>
      <w:r>
        <w:rPr>
          <w:noProof/>
          <w:rtl/>
        </w:rPr>
        <w:t>דברי האחיעזר דמסתימת דברי הרמב"ם משמע דכל שאין רוב להתיר הוי ספק נבילה</w:t>
      </w:r>
    </w:p>
    <w:p w14:paraId="45D237B2" w14:textId="77777777" w:rsidR="00852065" w:rsidRDefault="00852065" w:rsidP="005077A7">
      <w:pPr>
        <w:pStyle w:val="a"/>
        <w:rPr>
          <w:rFonts w:eastAsiaTheme="minorEastAsia" w:cstheme="minorBidi"/>
          <w:noProof/>
          <w:sz w:val="22"/>
          <w:szCs w:val="22"/>
          <w:rtl/>
        </w:rPr>
      </w:pPr>
      <w:r>
        <w:rPr>
          <w:noProof/>
          <w:rtl/>
        </w:rPr>
        <w:t>תירוץ הבית הלוי והאחיעזר דבשאר הספיקות יש סתירה בין החזקת איסור לחזקת שאינה טמאה</w:t>
      </w:r>
    </w:p>
    <w:p w14:paraId="2CAF70CC" w14:textId="77777777" w:rsidR="00852065" w:rsidRDefault="00852065" w:rsidP="005077A7">
      <w:pPr>
        <w:pStyle w:val="a"/>
        <w:rPr>
          <w:noProof/>
          <w:rtl/>
        </w:rPr>
      </w:pPr>
      <w:r>
        <w:rPr>
          <w:noProof/>
          <w:rtl/>
        </w:rPr>
        <w:t>ביאור הבית הלוי והאחיעזר דבלא בדק בסימנים יש חזקת הגוף שאסורה ולכן הוי ודאי נבילה</w:t>
      </w:r>
      <w:r w:rsidRPr="00132BE1">
        <w:rPr>
          <w:noProof/>
          <w:rtl/>
        </w:rPr>
        <w:t xml:space="preserve"> </w:t>
      </w:r>
    </w:p>
    <w:p w14:paraId="61870060" w14:textId="77777777" w:rsidR="00852065" w:rsidRDefault="00852065" w:rsidP="00852065">
      <w:pPr>
        <w:pStyle w:val="aff4"/>
        <w:rPr>
          <w:rtl/>
        </w:rPr>
      </w:pPr>
      <w:bookmarkStart w:id="110" w:name="_Toc19435155"/>
      <w:bookmarkStart w:id="111" w:name="_Toc20080531"/>
      <w:r>
        <w:rPr>
          <w:rFonts w:hint="cs"/>
          <w:rtl/>
        </w:rPr>
        <w:t>ביאור הבינת אדם דהרמב"ם ס"ל דהכא גרע מכל ספיקות</w:t>
      </w:r>
      <w:bookmarkEnd w:id="110"/>
      <w:bookmarkEnd w:id="111"/>
    </w:p>
    <w:p w14:paraId="13263A8B" w14:textId="77777777" w:rsidR="00852065" w:rsidRDefault="00852065" w:rsidP="005077A7">
      <w:pPr>
        <w:pStyle w:val="a"/>
        <w:rPr>
          <w:rFonts w:eastAsiaTheme="minorEastAsia" w:cstheme="minorBidi"/>
          <w:noProof/>
          <w:sz w:val="22"/>
          <w:szCs w:val="22"/>
          <w:rtl/>
        </w:rPr>
      </w:pPr>
      <w:r>
        <w:rPr>
          <w:noProof/>
          <w:rtl/>
        </w:rPr>
        <w:t>דבר</w:t>
      </w:r>
      <w:r>
        <w:rPr>
          <w:rFonts w:hint="cs"/>
          <w:noProof/>
          <w:rtl/>
        </w:rPr>
        <w:t>י</w:t>
      </w:r>
      <w:r>
        <w:rPr>
          <w:noProof/>
          <w:rtl/>
        </w:rPr>
        <w:t xml:space="preserve"> הבינת אדם דהרמב"ם ס"ל כהרא"ש דהיא נבילה מדאו'</w:t>
      </w:r>
    </w:p>
    <w:p w14:paraId="3CA0ADE7" w14:textId="77777777" w:rsidR="00852065" w:rsidRDefault="00852065" w:rsidP="005077A7">
      <w:pPr>
        <w:pStyle w:val="a"/>
        <w:rPr>
          <w:rFonts w:eastAsiaTheme="minorEastAsia" w:cstheme="minorBidi"/>
          <w:noProof/>
          <w:sz w:val="22"/>
          <w:szCs w:val="22"/>
          <w:rtl/>
        </w:rPr>
      </w:pPr>
      <w:r>
        <w:rPr>
          <w:noProof/>
          <w:rtl/>
        </w:rPr>
        <w:t>ביאור הבינת אדם דהכא שמודה שלא בדק גרע ממי שאינו יודע הלכות שחיטה</w:t>
      </w:r>
    </w:p>
    <w:p w14:paraId="7B3C54BA" w14:textId="77777777" w:rsidR="00852065" w:rsidRDefault="00852065" w:rsidP="005077A7">
      <w:pPr>
        <w:pStyle w:val="a"/>
        <w:rPr>
          <w:rFonts w:eastAsiaTheme="minorEastAsia" w:cstheme="minorBidi"/>
          <w:noProof/>
          <w:sz w:val="22"/>
          <w:szCs w:val="22"/>
          <w:rtl/>
        </w:rPr>
      </w:pPr>
      <w:r>
        <w:rPr>
          <w:noProof/>
          <w:rtl/>
        </w:rPr>
        <w:t>ביאור הבינת אדם דזו כוונת הרמב"ם דהשוחט זריז דמ"מ הוי נבילה דמודה שלא שחט כדין</w:t>
      </w:r>
    </w:p>
    <w:p w14:paraId="548B4D4B" w14:textId="77777777" w:rsidR="00852065" w:rsidRDefault="00852065" w:rsidP="005077A7">
      <w:pPr>
        <w:pStyle w:val="a"/>
        <w:numPr>
          <w:ilvl w:val="0"/>
          <w:numId w:val="0"/>
        </w:numPr>
        <w:ind w:left="567"/>
        <w:rPr>
          <w:noProof/>
          <w:rtl/>
        </w:rPr>
      </w:pPr>
    </w:p>
    <w:p w14:paraId="7F211B78" w14:textId="77777777" w:rsidR="00852065" w:rsidRPr="00EF30A3" w:rsidRDefault="00852065" w:rsidP="006D6D32">
      <w:pPr>
        <w:pStyle w:val="a3"/>
        <w:rPr>
          <w:rtl/>
        </w:rPr>
        <w:sectPr w:rsidR="00852065" w:rsidRPr="00EF30A3" w:rsidSect="009D6D1F">
          <w:type w:val="continuous"/>
          <w:pgSz w:w="11906" w:h="16838"/>
          <w:pgMar w:top="720" w:right="720" w:bottom="720" w:left="720" w:header="283" w:footer="283" w:gutter="0"/>
          <w:cols w:num="2" w:space="170"/>
          <w:bidi/>
          <w:rtlGutter/>
          <w:docGrid w:linePitch="299"/>
        </w:sectPr>
      </w:pPr>
      <w:r>
        <w:rPr>
          <w:rtl/>
        </w:rPr>
        <w:fldChar w:fldCharType="end"/>
      </w:r>
    </w:p>
    <w:p w14:paraId="3427DA02" w14:textId="77777777" w:rsidR="00852065" w:rsidRDefault="00852065" w:rsidP="00852065">
      <w:pPr>
        <w:pStyle w:val="aff4"/>
        <w:rPr>
          <w:rtl/>
        </w:rPr>
        <w:sectPr w:rsidR="00852065" w:rsidSect="00852065">
          <w:type w:val="continuous"/>
          <w:pgSz w:w="11906" w:h="16838"/>
          <w:pgMar w:top="720" w:right="720" w:bottom="720" w:left="720" w:header="283" w:footer="283" w:gutter="0"/>
          <w:cols w:num="2" w:space="567"/>
          <w:bidi/>
          <w:rtlGutter/>
          <w:docGrid w:linePitch="299"/>
        </w:sectPr>
      </w:pPr>
    </w:p>
    <w:p w14:paraId="77E34BAD" w14:textId="77777777" w:rsidR="00852065" w:rsidRDefault="00852065" w:rsidP="00852065">
      <w:pPr>
        <w:pStyle w:val="aff4"/>
        <w:rPr>
          <w:rtl/>
        </w:rPr>
        <w:sectPr w:rsidR="00852065" w:rsidSect="00852065">
          <w:type w:val="continuous"/>
          <w:pgSz w:w="11906" w:h="16838"/>
          <w:pgMar w:top="720" w:right="720" w:bottom="720" w:left="720" w:header="283" w:footer="283" w:gutter="0"/>
          <w:cols w:num="2" w:space="567"/>
          <w:bidi/>
          <w:rtlGutter/>
          <w:docGrid w:linePitch="299"/>
        </w:sectPr>
      </w:pPr>
    </w:p>
    <w:p w14:paraId="65DB1A97" w14:textId="77777777" w:rsidR="00852065" w:rsidRDefault="00852065" w:rsidP="00852065">
      <w:pPr>
        <w:pStyle w:val="aff4"/>
        <w:rPr>
          <w:rtl/>
        </w:rPr>
        <w:sectPr w:rsidR="00852065" w:rsidSect="00852065">
          <w:type w:val="continuous"/>
          <w:pgSz w:w="11906" w:h="16838"/>
          <w:pgMar w:top="720" w:right="720" w:bottom="720" w:left="720" w:header="283" w:footer="283" w:gutter="0"/>
          <w:cols w:num="2" w:space="567"/>
          <w:bidi/>
          <w:rtlGutter/>
          <w:docGrid w:linePitch="299"/>
        </w:sectPr>
      </w:pPr>
    </w:p>
    <w:p w14:paraId="2197FEAE" w14:textId="77777777" w:rsidR="00852065" w:rsidRDefault="00852065" w:rsidP="00852065">
      <w:pPr>
        <w:pStyle w:val="aff4"/>
        <w:rPr>
          <w:rtl/>
        </w:rPr>
        <w:sectPr w:rsidR="00852065" w:rsidSect="00852065">
          <w:type w:val="continuous"/>
          <w:pgSz w:w="11906" w:h="16838"/>
          <w:pgMar w:top="720" w:right="720" w:bottom="720" w:left="720" w:header="283" w:footer="283" w:gutter="0"/>
          <w:cols w:num="2" w:space="567"/>
          <w:bidi/>
          <w:rtlGutter/>
          <w:docGrid w:linePitch="299"/>
        </w:sectPr>
      </w:pPr>
    </w:p>
    <w:p w14:paraId="5F121B4C" w14:textId="77777777" w:rsidR="00852065" w:rsidRDefault="00852065" w:rsidP="006D6D32">
      <w:pPr>
        <w:pStyle w:val="afe"/>
        <w:rPr>
          <w:rtl/>
        </w:rPr>
      </w:pPr>
      <w:bookmarkStart w:id="112" w:name="_Toc522028104"/>
      <w:bookmarkStart w:id="113" w:name="_Toc522086106"/>
      <w:bookmarkStart w:id="114" w:name="_Toc522099523"/>
      <w:bookmarkStart w:id="115" w:name="_Toc19435156"/>
      <w:bookmarkStart w:id="116" w:name="_Toc20080532"/>
      <w:r>
        <w:rPr>
          <w:rFonts w:hint="cs"/>
          <w:rtl/>
        </w:rPr>
        <w:t>מראי מקומות וביאורים על הסוגיא</w:t>
      </w:r>
      <w:bookmarkEnd w:id="112"/>
      <w:bookmarkEnd w:id="113"/>
      <w:bookmarkEnd w:id="114"/>
      <w:bookmarkEnd w:id="115"/>
      <w:bookmarkEnd w:id="116"/>
    </w:p>
    <w:p w14:paraId="54AE1464" w14:textId="77777777" w:rsidR="00852065" w:rsidRDefault="00852065" w:rsidP="00852065">
      <w:pPr>
        <w:rPr>
          <w:rtl/>
        </w:rPr>
      </w:pPr>
    </w:p>
    <w:p w14:paraId="35511BBE" w14:textId="77777777" w:rsidR="00852065" w:rsidRPr="003C4730" w:rsidRDefault="00852065" w:rsidP="00852065">
      <w:pPr>
        <w:rPr>
          <w:rtl/>
        </w:rPr>
        <w:sectPr w:rsidR="00852065" w:rsidRPr="003C4730" w:rsidSect="009D6D1F">
          <w:pgSz w:w="11906" w:h="16838"/>
          <w:pgMar w:top="720" w:right="720" w:bottom="720" w:left="720" w:header="283" w:footer="283" w:gutter="0"/>
          <w:cols w:space="567"/>
          <w:bidi/>
          <w:rtlGutter/>
          <w:docGrid w:linePitch="299"/>
        </w:sectPr>
      </w:pPr>
    </w:p>
    <w:p w14:paraId="03A21295" w14:textId="77777777" w:rsidR="00852065" w:rsidRPr="00D83851" w:rsidRDefault="00852065" w:rsidP="006D6D32">
      <w:pPr>
        <w:pStyle w:val="afe"/>
        <w:rPr>
          <w:rtl/>
        </w:rPr>
      </w:pPr>
      <w:bookmarkStart w:id="117" w:name="_Toc19435157"/>
      <w:bookmarkStart w:id="118" w:name="_Toc20080533"/>
      <w:bookmarkStart w:id="119" w:name="_Toc522099525"/>
      <w:bookmarkStart w:id="120" w:name="_Toc521324875"/>
      <w:bookmarkStart w:id="121" w:name="_Toc521338182"/>
      <w:bookmarkStart w:id="122" w:name="_Toc521361975"/>
      <w:r w:rsidRPr="00D83851">
        <w:rPr>
          <w:rtl/>
        </w:rPr>
        <w:t>בביאור הספק בלא בדק בסימנים</w:t>
      </w:r>
      <w:bookmarkEnd w:id="117"/>
      <w:bookmarkEnd w:id="118"/>
    </w:p>
    <w:p w14:paraId="7BAF8756" w14:textId="77777777" w:rsidR="00852065" w:rsidRDefault="00852065" w:rsidP="00BF39B2">
      <w:pPr>
        <w:pStyle w:val="1"/>
        <w:rPr>
          <w:rtl/>
        </w:rPr>
      </w:pPr>
      <w:bookmarkStart w:id="123" w:name="_Toc19388842"/>
      <w:bookmarkStart w:id="124" w:name="_Toc19392339"/>
      <w:r>
        <w:rPr>
          <w:rFonts w:hint="cs"/>
          <w:rtl/>
        </w:rPr>
        <w:t>דעת רש"י והרי"ף דבודק רק אם נשחטו רוב הסימנים</w:t>
      </w:r>
      <w:bookmarkEnd w:id="119"/>
      <w:bookmarkEnd w:id="123"/>
      <w:bookmarkEnd w:id="124"/>
    </w:p>
    <w:p w14:paraId="17E7EAB3" w14:textId="77777777" w:rsidR="00852065" w:rsidRPr="007636D1" w:rsidRDefault="00852065" w:rsidP="006D6D32">
      <w:pPr>
        <w:pStyle w:val="a3"/>
        <w:rPr>
          <w:rtl/>
        </w:rPr>
      </w:pPr>
      <w:bookmarkStart w:id="125" w:name="_Toc522028106"/>
      <w:bookmarkStart w:id="126" w:name="_Toc522086108"/>
      <w:bookmarkStart w:id="127" w:name="_Toc522099526"/>
      <w:bookmarkStart w:id="128" w:name="_Toc19388843"/>
      <w:bookmarkStart w:id="129" w:name="_Toc19392340"/>
      <w:r>
        <w:rPr>
          <w:rFonts w:hint="cs"/>
          <w:rtl/>
        </w:rPr>
        <w:t>דברי רש"י והרי"ף דהספק האם נשחטו הסימנים כראוי</w:t>
      </w:r>
      <w:bookmarkEnd w:id="125"/>
      <w:bookmarkEnd w:id="126"/>
      <w:bookmarkEnd w:id="127"/>
      <w:bookmarkEnd w:id="128"/>
      <w:bookmarkEnd w:id="129"/>
    </w:p>
    <w:p w14:paraId="3723A3A1" w14:textId="77777777" w:rsidR="00852065" w:rsidRDefault="00852065" w:rsidP="00223668">
      <w:pPr>
        <w:pStyle w:val="a0"/>
      </w:pPr>
      <w:r>
        <w:rPr>
          <w:rFonts w:hint="cs"/>
          <w:rtl/>
        </w:rPr>
        <w:t xml:space="preserve">כתב </w:t>
      </w:r>
      <w:r w:rsidRPr="009F2239">
        <w:rPr>
          <w:rStyle w:val="af9"/>
          <w:rFonts w:hint="cs"/>
          <w:rtl/>
        </w:rPr>
        <w:t>רש"י</w:t>
      </w:r>
      <w:r>
        <w:rPr>
          <w:rFonts w:hint="cs"/>
          <w:rtl/>
        </w:rPr>
        <w:t xml:space="preserve"> </w:t>
      </w:r>
      <w:r w:rsidRPr="003F1AEC">
        <w:rPr>
          <w:rStyle w:val="af7"/>
          <w:rFonts w:eastAsia="Guttman Hodes" w:hint="cs"/>
          <w:rtl/>
        </w:rPr>
        <w:t>(ד"ה לא)</w:t>
      </w:r>
      <w:r>
        <w:rPr>
          <w:rFonts w:hint="cs"/>
          <w:rtl/>
        </w:rPr>
        <w:t xml:space="preserve"> דהספק בבדיקה הוא בסימנים, וביאר</w:t>
      </w:r>
      <w:r w:rsidRPr="009F2239">
        <w:rPr>
          <w:rStyle w:val="af9"/>
          <w:rFonts w:hint="cs"/>
          <w:rtl/>
        </w:rPr>
        <w:t xml:space="preserve"> רש"י </w:t>
      </w:r>
      <w:r w:rsidRPr="003F1AEC">
        <w:rPr>
          <w:rStyle w:val="af7"/>
          <w:rFonts w:eastAsia="Guttman Hodes" w:hint="cs"/>
          <w:rtl/>
        </w:rPr>
        <w:t>(ד"ה נשחטה)</w:t>
      </w:r>
      <w:r>
        <w:rPr>
          <w:rFonts w:hint="cs"/>
          <w:rtl/>
        </w:rPr>
        <w:t xml:space="preserve"> דהספק הוא האם שחט את רוב </w:t>
      </w:r>
      <w:r w:rsidRPr="003B3412">
        <w:rPr>
          <w:rFonts w:hint="cs"/>
          <w:rtl/>
        </w:rPr>
        <w:t>הסימנים או לא. וכ"כ</w:t>
      </w:r>
      <w:r>
        <w:rPr>
          <w:rStyle w:val="af9"/>
          <w:rFonts w:hint="cs"/>
          <w:rtl/>
        </w:rPr>
        <w:t xml:space="preserve"> </w:t>
      </w:r>
      <w:r w:rsidRPr="009F2239">
        <w:rPr>
          <w:rStyle w:val="af9"/>
          <w:rFonts w:hint="cs"/>
          <w:rtl/>
        </w:rPr>
        <w:t>הרי"ף</w:t>
      </w:r>
      <w:r>
        <w:rPr>
          <w:rFonts w:hint="cs"/>
          <w:rtl/>
        </w:rPr>
        <w:t xml:space="preserve"> </w:t>
      </w:r>
      <w:r w:rsidRPr="003F1AEC">
        <w:rPr>
          <w:rStyle w:val="af7"/>
          <w:rFonts w:eastAsia="Guttman Hodes" w:hint="cs"/>
          <w:rtl/>
        </w:rPr>
        <w:t>(דף א: מדפי הרי"ף)</w:t>
      </w:r>
      <w:r>
        <w:rPr>
          <w:rFonts w:hint="cs"/>
          <w:rtl/>
        </w:rPr>
        <w:t xml:space="preserve"> דהספק הוא האם נשחטה כראוי בסימנים ובסכין יפה, וכל שלא נתברר אם נשחטה כראוי בסימנים ובסכין טוב אסורה. </w:t>
      </w:r>
    </w:p>
    <w:p w14:paraId="6D491FB7" w14:textId="77777777" w:rsidR="00852065" w:rsidRDefault="00852065" w:rsidP="00BF39B2">
      <w:pPr>
        <w:pStyle w:val="1"/>
        <w:rPr>
          <w:rtl/>
        </w:rPr>
      </w:pPr>
      <w:bookmarkStart w:id="130" w:name="_Toc522099527"/>
      <w:bookmarkStart w:id="131" w:name="_Toc19388844"/>
      <w:bookmarkStart w:id="132" w:name="_Toc19392341"/>
      <w:bookmarkStart w:id="133" w:name="_Toc522028107"/>
      <w:bookmarkStart w:id="134" w:name="_Toc522086109"/>
      <w:r>
        <w:rPr>
          <w:rFonts w:hint="cs"/>
          <w:rtl/>
        </w:rPr>
        <w:t>דעת הרמב"ן והמאירי דבודק גם אם לא הגרים</w:t>
      </w:r>
      <w:bookmarkEnd w:id="130"/>
      <w:bookmarkEnd w:id="131"/>
      <w:bookmarkEnd w:id="132"/>
    </w:p>
    <w:p w14:paraId="2952B395" w14:textId="77777777" w:rsidR="00852065" w:rsidRDefault="00852065" w:rsidP="006D6D32">
      <w:pPr>
        <w:pStyle w:val="a3"/>
        <w:rPr>
          <w:rtl/>
        </w:rPr>
      </w:pPr>
      <w:bookmarkStart w:id="135" w:name="_Toc522099528"/>
      <w:bookmarkStart w:id="136" w:name="_Toc19388845"/>
      <w:bookmarkStart w:id="137" w:name="_Toc19392342"/>
      <w:r>
        <w:rPr>
          <w:rFonts w:hint="cs"/>
          <w:rtl/>
        </w:rPr>
        <w:t>דברי הרמב"ן דצריך לבדוק גם אם לא הגרים בשחיטה</w:t>
      </w:r>
      <w:bookmarkEnd w:id="133"/>
      <w:bookmarkEnd w:id="134"/>
      <w:bookmarkEnd w:id="135"/>
      <w:bookmarkEnd w:id="136"/>
      <w:bookmarkEnd w:id="137"/>
    </w:p>
    <w:p w14:paraId="64C01798" w14:textId="77777777" w:rsidR="00852065" w:rsidRDefault="00852065" w:rsidP="00223668">
      <w:pPr>
        <w:pStyle w:val="a0"/>
        <w:rPr>
          <w:rtl/>
        </w:rPr>
      </w:pPr>
      <w:r w:rsidRPr="009B23F5">
        <w:rPr>
          <w:rStyle w:val="af9"/>
          <w:rFonts w:hint="cs"/>
          <w:rtl/>
        </w:rPr>
        <w:t>והרמב"ן</w:t>
      </w:r>
      <w:r>
        <w:rPr>
          <w:rFonts w:hint="cs"/>
          <w:rtl/>
        </w:rPr>
        <w:t xml:space="preserve"> </w:t>
      </w:r>
      <w:r w:rsidRPr="009B23F5">
        <w:rPr>
          <w:rStyle w:val="af7"/>
          <w:rFonts w:eastAsia="Guttman Hodes" w:hint="cs"/>
          <w:rtl/>
        </w:rPr>
        <w:t>(ד"ה טבח)</w:t>
      </w:r>
      <w:r>
        <w:rPr>
          <w:rFonts w:hint="cs"/>
          <w:rtl/>
        </w:rPr>
        <w:t xml:space="preserve"> כתב דכל דינא דרב הוא רק בבדיקה אם שחט את רוב הסימנים והאם לא הגרים בשחיטה.</w:t>
      </w:r>
    </w:p>
    <w:p w14:paraId="38561276" w14:textId="77777777" w:rsidR="00852065" w:rsidRPr="00205D81" w:rsidRDefault="00852065" w:rsidP="006D6D32">
      <w:pPr>
        <w:pStyle w:val="a3"/>
      </w:pPr>
      <w:bookmarkStart w:id="138" w:name="_Toc522028108"/>
      <w:bookmarkStart w:id="139" w:name="_Toc522086110"/>
      <w:bookmarkStart w:id="140" w:name="_Toc522099529"/>
      <w:bookmarkStart w:id="141" w:name="_Toc19388846"/>
      <w:bookmarkStart w:id="142" w:name="_Toc19392343"/>
      <w:r>
        <w:rPr>
          <w:rFonts w:hint="cs"/>
          <w:rtl/>
        </w:rPr>
        <w:t>דברי הרמב"ן דהלשון טריפה היינו שאינה מטמאה אך דינה באכילה כנבילה וכרבי ישבב</w:t>
      </w:r>
      <w:bookmarkEnd w:id="138"/>
      <w:bookmarkEnd w:id="139"/>
      <w:bookmarkEnd w:id="140"/>
      <w:bookmarkEnd w:id="141"/>
      <w:bookmarkEnd w:id="142"/>
    </w:p>
    <w:p w14:paraId="590F1674" w14:textId="77777777" w:rsidR="00852065" w:rsidRDefault="00852065" w:rsidP="00223668">
      <w:pPr>
        <w:pStyle w:val="a0"/>
        <w:rPr>
          <w:rtl/>
        </w:rPr>
      </w:pPr>
      <w:r>
        <w:rPr>
          <w:rFonts w:hint="cs"/>
          <w:rtl/>
        </w:rPr>
        <w:t xml:space="preserve">והוסיף </w:t>
      </w:r>
      <w:r w:rsidRPr="00205D81">
        <w:rPr>
          <w:rStyle w:val="af9"/>
          <w:rFonts w:hint="cs"/>
          <w:rtl/>
        </w:rPr>
        <w:t>הרמב"ן</w:t>
      </w:r>
      <w:r>
        <w:rPr>
          <w:rFonts w:hint="cs"/>
          <w:rtl/>
        </w:rPr>
        <w:t xml:space="preserve"> דהא דאמרינן דהיא טריפה, היינו דדינה כטריפה דאסורה רק באכילה, אך אינה מטמאה, אבל גם לענין אכילה דינה כנבילה ולא כטריפה, וכדברי רבי ישבב לקמן </w:t>
      </w:r>
      <w:r w:rsidRPr="000D79B9">
        <w:rPr>
          <w:rStyle w:val="af7"/>
          <w:rFonts w:eastAsia="Guttman Hodes" w:hint="cs"/>
          <w:rtl/>
        </w:rPr>
        <w:t>(לב.)</w:t>
      </w:r>
      <w:r>
        <w:rPr>
          <w:rFonts w:hint="cs"/>
          <w:rtl/>
        </w:rPr>
        <w:t>.</w:t>
      </w:r>
    </w:p>
    <w:p w14:paraId="32DD34F6" w14:textId="77777777" w:rsidR="00852065" w:rsidRDefault="00852065" w:rsidP="006D6D32">
      <w:pPr>
        <w:pStyle w:val="a3"/>
        <w:rPr>
          <w:rtl/>
        </w:rPr>
      </w:pPr>
      <w:bookmarkStart w:id="143" w:name="_Toc522028109"/>
      <w:bookmarkStart w:id="144" w:name="_Toc522086111"/>
      <w:bookmarkStart w:id="145" w:name="_Toc522099530"/>
      <w:bookmarkStart w:id="146" w:name="_Toc19388847"/>
      <w:bookmarkStart w:id="147" w:name="_Toc19392344"/>
      <w:r>
        <w:rPr>
          <w:rFonts w:hint="cs"/>
          <w:rtl/>
        </w:rPr>
        <w:t>ביאור המאירי דמיעוט סימנים והגרמה הם פסול בשחיטה</w:t>
      </w:r>
      <w:bookmarkEnd w:id="143"/>
      <w:bookmarkEnd w:id="144"/>
      <w:bookmarkEnd w:id="145"/>
      <w:bookmarkEnd w:id="146"/>
      <w:bookmarkEnd w:id="147"/>
    </w:p>
    <w:p w14:paraId="6B458C85" w14:textId="77777777" w:rsidR="00852065" w:rsidRPr="005D7F80" w:rsidRDefault="00852065" w:rsidP="00223668">
      <w:pPr>
        <w:pStyle w:val="a0"/>
        <w:rPr>
          <w:rtl/>
        </w:rPr>
      </w:pPr>
      <w:r>
        <w:rPr>
          <w:rFonts w:hint="cs"/>
          <w:rtl/>
        </w:rPr>
        <w:t xml:space="preserve">וכ"כ </w:t>
      </w:r>
      <w:r w:rsidRPr="00A84FC7">
        <w:rPr>
          <w:rStyle w:val="af9"/>
          <w:rFonts w:hint="cs"/>
          <w:rtl/>
        </w:rPr>
        <w:t>המאירי</w:t>
      </w:r>
      <w:r>
        <w:rPr>
          <w:rFonts w:hint="cs"/>
          <w:rtl/>
        </w:rPr>
        <w:t xml:space="preserve"> </w:t>
      </w:r>
      <w:r w:rsidRPr="00A84FC7">
        <w:rPr>
          <w:rStyle w:val="af7"/>
          <w:rFonts w:eastAsia="Guttman Hodes" w:hint="cs"/>
          <w:rtl/>
        </w:rPr>
        <w:t>(ד"ה השוחט)</w:t>
      </w:r>
      <w:r>
        <w:rPr>
          <w:rFonts w:hint="cs"/>
          <w:rtl/>
        </w:rPr>
        <w:t xml:space="preserve"> דצריך לבדוק אף שמא הגרים, וביאר </w:t>
      </w:r>
      <w:r w:rsidRPr="00A84FC7">
        <w:rPr>
          <w:rStyle w:val="af9"/>
          <w:rFonts w:hint="cs"/>
          <w:rtl/>
        </w:rPr>
        <w:t>המאירי</w:t>
      </w:r>
      <w:r>
        <w:rPr>
          <w:rFonts w:hint="cs"/>
          <w:rtl/>
        </w:rPr>
        <w:t xml:space="preserve"> דשחיטת מיעוט סימנים והגרמה, הם פסולים שיכולים לבא ע"י שחיטה, וכיון דבחזקת איסור עומדת, אסור לשוחט לסמוך על בקיאותו ולומר שכיון שהחזיר את הסכין אילך ואילך כבר שחט את רוב הסימנים, דלפעמים השוחט סבור שנשחטו רובן אף שלא נשחטו, ולכן מספק אסור להתיר בלא בדיקה, ואם לא בדק ואינו יכול לבדוק כגון שנחתך הראש </w:t>
      </w:r>
      <w:r w:rsidRPr="00A84FC7">
        <w:rPr>
          <w:rStyle w:val="afb"/>
          <w:rFonts w:hint="cs"/>
          <w:rtl/>
        </w:rPr>
        <w:t xml:space="preserve">[כלשון </w:t>
      </w:r>
      <w:r w:rsidRPr="00A84FC7">
        <w:rPr>
          <w:rStyle w:val="affa"/>
          <w:rFonts w:hint="cs"/>
          <w:rtl/>
        </w:rPr>
        <w:t>הרמב"ם</w:t>
      </w:r>
      <w:r w:rsidRPr="00A84FC7">
        <w:rPr>
          <w:rStyle w:val="afb"/>
          <w:rFonts w:hint="cs"/>
          <w:rtl/>
        </w:rPr>
        <w:t xml:space="preserve"> </w:t>
      </w:r>
      <w:r w:rsidRPr="001E0443">
        <w:rPr>
          <w:rStyle w:val="aff6"/>
          <w:rFonts w:hint="cs"/>
          <w:rtl/>
        </w:rPr>
        <w:t xml:space="preserve">(עי' אות </w:t>
      </w:r>
      <w:r w:rsidRPr="001E0443">
        <w:rPr>
          <w:rStyle w:val="aff6"/>
          <w:rtl/>
        </w:rPr>
        <w:fldChar w:fldCharType="begin"/>
      </w:r>
      <w:r w:rsidRPr="001E0443">
        <w:rPr>
          <w:rStyle w:val="aff6"/>
          <w:rtl/>
        </w:rPr>
        <w:instrText xml:space="preserve"> </w:instrText>
      </w:r>
      <w:r w:rsidRPr="001E0443">
        <w:rPr>
          <w:rStyle w:val="aff6"/>
          <w:rFonts w:hint="cs"/>
        </w:rPr>
        <w:instrText>REF</w:instrText>
      </w:r>
      <w:r w:rsidRPr="001E0443">
        <w:rPr>
          <w:rStyle w:val="aff6"/>
          <w:rFonts w:hint="cs"/>
          <w:rtl/>
        </w:rPr>
        <w:instrText xml:space="preserve"> _</w:instrText>
      </w:r>
      <w:r w:rsidRPr="001E0443">
        <w:rPr>
          <w:rStyle w:val="aff6"/>
          <w:rFonts w:hint="cs"/>
        </w:rPr>
        <w:instrText>Ref522099767 \r \h</w:instrText>
      </w:r>
      <w:r w:rsidRPr="001E0443">
        <w:rPr>
          <w:rStyle w:val="aff6"/>
          <w:rtl/>
        </w:rPr>
        <w:instrText xml:space="preserve"> </w:instrText>
      </w:r>
      <w:r w:rsidRPr="001E0443">
        <w:rPr>
          <w:rStyle w:val="aff6"/>
          <w:rtl/>
        </w:rPr>
      </w:r>
      <w:r w:rsidRPr="001E0443">
        <w:rPr>
          <w:rStyle w:val="aff6"/>
          <w:rtl/>
        </w:rPr>
        <w:fldChar w:fldCharType="separate"/>
      </w:r>
      <w:r w:rsidR="00345400">
        <w:rPr>
          <w:rStyle w:val="aff6"/>
          <w:cs/>
        </w:rPr>
        <w:t>‎</w:t>
      </w:r>
      <w:r w:rsidR="00345400">
        <w:rPr>
          <w:rStyle w:val="aff6"/>
          <w:rtl/>
        </w:rPr>
        <w:t>קא)</w:t>
      </w:r>
      <w:r w:rsidRPr="001E0443">
        <w:rPr>
          <w:rStyle w:val="aff6"/>
          <w:rtl/>
        </w:rPr>
        <w:fldChar w:fldCharType="end"/>
      </w:r>
      <w:r w:rsidRPr="00A84FC7">
        <w:rPr>
          <w:rStyle w:val="afb"/>
          <w:rFonts w:hint="cs"/>
          <w:rtl/>
        </w:rPr>
        <w:t>]</w:t>
      </w:r>
      <w:r>
        <w:rPr>
          <w:rFonts w:hint="cs"/>
          <w:rtl/>
        </w:rPr>
        <w:t>.</w:t>
      </w:r>
    </w:p>
    <w:p w14:paraId="662CAB46" w14:textId="77777777" w:rsidR="00852065" w:rsidRPr="00D972CF" w:rsidRDefault="00852065" w:rsidP="006D6D32">
      <w:pPr>
        <w:pStyle w:val="a3"/>
      </w:pPr>
      <w:bookmarkStart w:id="148" w:name="_Toc522028110"/>
      <w:bookmarkStart w:id="149" w:name="_Toc522086112"/>
      <w:bookmarkStart w:id="150" w:name="_Toc522099531"/>
      <w:bookmarkStart w:id="151" w:name="_Toc19388848"/>
      <w:bookmarkStart w:id="152" w:name="_Toc19392345"/>
      <w:r>
        <w:rPr>
          <w:rFonts w:hint="cs"/>
          <w:rtl/>
        </w:rPr>
        <w:t>ביאור הגר"א בדעת הי"א בשו"ע דספק בהגרמה הוא בכלל חזקת איסור</w:t>
      </w:r>
      <w:bookmarkEnd w:id="148"/>
      <w:bookmarkEnd w:id="149"/>
      <w:bookmarkEnd w:id="150"/>
      <w:bookmarkEnd w:id="151"/>
      <w:bookmarkEnd w:id="152"/>
    </w:p>
    <w:p w14:paraId="5AB37811" w14:textId="77777777" w:rsidR="00852065" w:rsidRPr="000136E2" w:rsidRDefault="00852065" w:rsidP="00223668">
      <w:pPr>
        <w:pStyle w:val="a0"/>
        <w:rPr>
          <w:rStyle w:val="afb"/>
          <w:rtl/>
        </w:rPr>
      </w:pPr>
      <w:r>
        <w:rPr>
          <w:rFonts w:hint="cs"/>
          <w:rtl/>
        </w:rPr>
        <w:t xml:space="preserve">וכ"כ </w:t>
      </w:r>
      <w:r w:rsidRPr="00A84FC7">
        <w:rPr>
          <w:rStyle w:val="af9"/>
          <w:rFonts w:hint="cs"/>
          <w:rtl/>
        </w:rPr>
        <w:t>השו"ע</w:t>
      </w:r>
      <w:r>
        <w:rPr>
          <w:rFonts w:hint="cs"/>
          <w:rtl/>
        </w:rPr>
        <w:t xml:space="preserve"> </w:t>
      </w:r>
      <w:r w:rsidRPr="00A84FC7">
        <w:rPr>
          <w:rStyle w:val="af7"/>
          <w:rFonts w:eastAsia="Guttman Hodes" w:hint="cs"/>
          <w:rtl/>
        </w:rPr>
        <w:t>(כ"ה א')</w:t>
      </w:r>
      <w:r>
        <w:rPr>
          <w:rFonts w:hint="cs"/>
          <w:rtl/>
        </w:rPr>
        <w:t xml:space="preserve"> בשם יש מי שאומר דצריך לבדוק גם אם לא הגרים, וביאר </w:t>
      </w:r>
      <w:r w:rsidRPr="00A84FC7">
        <w:rPr>
          <w:rStyle w:val="af9"/>
          <w:rFonts w:hint="cs"/>
          <w:rtl/>
        </w:rPr>
        <w:t>הגר"א</w:t>
      </w:r>
      <w:r w:rsidRPr="00A84FC7">
        <w:rPr>
          <w:rStyle w:val="af7"/>
          <w:rFonts w:eastAsia="Guttman Hodes" w:hint="cs"/>
          <w:rtl/>
        </w:rPr>
        <w:t xml:space="preserve"> (כ"ה ב')</w:t>
      </w:r>
      <w:r>
        <w:rPr>
          <w:rFonts w:hint="cs"/>
          <w:rtl/>
        </w:rPr>
        <w:t xml:space="preserve"> דאף ספק בהגרמה הוא בכלל החזקת איסור עד שיודע במה נשחטה. </w:t>
      </w:r>
      <w:r w:rsidRPr="000136E2">
        <w:rPr>
          <w:rStyle w:val="afb"/>
          <w:rFonts w:hint="cs"/>
          <w:rtl/>
        </w:rPr>
        <w:t xml:space="preserve">[והיינו דלדעת </w:t>
      </w:r>
      <w:r w:rsidRPr="00A84FC7">
        <w:rPr>
          <w:rStyle w:val="affa"/>
          <w:rFonts w:hint="cs"/>
          <w:rtl/>
        </w:rPr>
        <w:t>הרמב"ן</w:t>
      </w:r>
      <w:r w:rsidRPr="000136E2">
        <w:rPr>
          <w:rStyle w:val="afb"/>
          <w:rFonts w:hint="cs"/>
          <w:rtl/>
        </w:rPr>
        <w:t xml:space="preserve"> אף הגרמה היא בכלל ספק בשחיטה, ואינ</w:t>
      </w:r>
      <w:r>
        <w:rPr>
          <w:rStyle w:val="afb"/>
          <w:rFonts w:hint="cs"/>
          <w:rtl/>
        </w:rPr>
        <w:t>ו</w:t>
      </w:r>
      <w:r w:rsidRPr="000136E2">
        <w:rPr>
          <w:rStyle w:val="afb"/>
          <w:rFonts w:hint="cs"/>
          <w:rtl/>
        </w:rPr>
        <w:t xml:space="preserve"> כנעקרו או נ</w:t>
      </w:r>
      <w:r>
        <w:rPr>
          <w:rStyle w:val="afb"/>
          <w:rFonts w:hint="cs"/>
          <w:rtl/>
        </w:rPr>
        <w:t>י</w:t>
      </w:r>
      <w:r w:rsidRPr="000136E2">
        <w:rPr>
          <w:rStyle w:val="afb"/>
          <w:rFonts w:hint="cs"/>
          <w:rtl/>
        </w:rPr>
        <w:t>קבו הסימנים].</w:t>
      </w:r>
    </w:p>
    <w:p w14:paraId="321203A3" w14:textId="77777777" w:rsidR="00852065" w:rsidRDefault="00852065" w:rsidP="00BF39B2">
      <w:pPr>
        <w:pStyle w:val="1"/>
        <w:rPr>
          <w:rtl/>
        </w:rPr>
      </w:pPr>
      <w:bookmarkStart w:id="153" w:name="_Toc522099532"/>
      <w:bookmarkStart w:id="154" w:name="_Toc19388849"/>
      <w:bookmarkStart w:id="155" w:name="_Toc19392346"/>
      <w:bookmarkStart w:id="156" w:name="_Toc522028111"/>
      <w:bookmarkStart w:id="157" w:name="_Toc522086113"/>
      <w:r>
        <w:rPr>
          <w:rFonts w:hint="cs"/>
          <w:rtl/>
        </w:rPr>
        <w:t>דעת הבה"ג דבודק גם אם לא נעקרו הסימנים</w:t>
      </w:r>
      <w:bookmarkEnd w:id="153"/>
      <w:bookmarkEnd w:id="154"/>
      <w:bookmarkEnd w:id="155"/>
    </w:p>
    <w:p w14:paraId="7822476C" w14:textId="77777777" w:rsidR="00852065" w:rsidRDefault="00852065" w:rsidP="006D6D32">
      <w:pPr>
        <w:pStyle w:val="a3"/>
        <w:rPr>
          <w:rtl/>
        </w:rPr>
      </w:pPr>
      <w:bookmarkStart w:id="158" w:name="_Toc522099533"/>
      <w:bookmarkStart w:id="159" w:name="_Toc19388850"/>
      <w:bookmarkStart w:id="160" w:name="_Toc19392347"/>
      <w:r>
        <w:rPr>
          <w:rFonts w:hint="cs"/>
          <w:rtl/>
        </w:rPr>
        <w:t>דברי הרמב"ן בשם י"א והר"ן בשם הבה"ג דצריך לבדוק שלא נעקרו הסימנים</w:t>
      </w:r>
      <w:bookmarkEnd w:id="156"/>
      <w:bookmarkEnd w:id="157"/>
      <w:bookmarkEnd w:id="158"/>
      <w:bookmarkEnd w:id="159"/>
      <w:bookmarkEnd w:id="160"/>
    </w:p>
    <w:p w14:paraId="561AF7D0" w14:textId="77777777" w:rsidR="00852065" w:rsidRPr="00A30B32" w:rsidRDefault="00852065" w:rsidP="00223668">
      <w:pPr>
        <w:pStyle w:val="a0"/>
        <w:rPr>
          <w:rStyle w:val="afb"/>
          <w:rtl/>
        </w:rPr>
      </w:pPr>
      <w:r>
        <w:rPr>
          <w:rFonts w:hint="cs"/>
          <w:rtl/>
        </w:rPr>
        <w:t xml:space="preserve">אך הביא </w:t>
      </w:r>
      <w:r w:rsidRPr="00B803C2">
        <w:rPr>
          <w:rStyle w:val="af9"/>
          <w:rFonts w:hint="cs"/>
          <w:rtl/>
        </w:rPr>
        <w:t xml:space="preserve">הרמב"ן </w:t>
      </w:r>
      <w:r>
        <w:rPr>
          <w:rFonts w:hint="cs"/>
          <w:rtl/>
        </w:rPr>
        <w:t xml:space="preserve">בשם </w:t>
      </w:r>
      <w:r w:rsidRPr="00B803C2">
        <w:rPr>
          <w:rStyle w:val="af9"/>
          <w:rFonts w:hint="cs"/>
          <w:rtl/>
        </w:rPr>
        <w:t>י"א</w:t>
      </w:r>
      <w:r>
        <w:rPr>
          <w:rFonts w:hint="cs"/>
          <w:rtl/>
        </w:rPr>
        <w:t xml:space="preserve"> דהבדיקה אינה רק אם נשחטו הסימנים כראוי, אלא בכל הספיקות בשחיטה, וצריך לבדוק אף אם נעקרו הסימנים. </w:t>
      </w:r>
      <w:r w:rsidRPr="00D55F1A">
        <w:rPr>
          <w:rFonts w:hint="cs"/>
          <w:rtl/>
        </w:rPr>
        <w:t>וכ</w:t>
      </w:r>
      <w:r>
        <w:rPr>
          <w:rFonts w:hint="cs"/>
          <w:rtl/>
        </w:rPr>
        <w:t>"</w:t>
      </w:r>
      <w:r w:rsidRPr="00322A7B">
        <w:rPr>
          <w:rStyle w:val="af9"/>
          <w:rFonts w:hint="cs"/>
          <w:rtl/>
        </w:rPr>
        <w:t>כ הר"ן</w:t>
      </w:r>
      <w:r>
        <w:rPr>
          <w:rFonts w:hint="cs"/>
          <w:rtl/>
        </w:rPr>
        <w:t xml:space="preserve"> </w:t>
      </w:r>
      <w:r w:rsidRPr="00322A7B">
        <w:rPr>
          <w:rStyle w:val="af7"/>
          <w:rFonts w:eastAsia="Guttman Hodes" w:hint="cs"/>
          <w:rtl/>
        </w:rPr>
        <w:t>(דף א: מדפי הרי"ף</w:t>
      </w:r>
      <w:r w:rsidRPr="007D6D53">
        <w:rPr>
          <w:rStyle w:val="aa"/>
          <w:rFonts w:hint="cs"/>
          <w:rtl/>
        </w:rPr>
        <w:t xml:space="preserve"> </w:t>
      </w:r>
      <w:r>
        <w:rPr>
          <w:rStyle w:val="af7"/>
          <w:rFonts w:eastAsia="Guttman Hodes" w:hint="cs"/>
          <w:rtl/>
        </w:rPr>
        <w:t>ד"ה הטבח</w:t>
      </w:r>
      <w:r w:rsidRPr="00322A7B">
        <w:rPr>
          <w:rStyle w:val="af7"/>
          <w:rFonts w:eastAsia="Guttman Hodes" w:hint="cs"/>
          <w:rtl/>
        </w:rPr>
        <w:t>)</w:t>
      </w:r>
      <w:r>
        <w:rPr>
          <w:rFonts w:hint="cs"/>
          <w:rtl/>
        </w:rPr>
        <w:t xml:space="preserve"> בשם</w:t>
      </w:r>
      <w:r w:rsidRPr="00D55F1A">
        <w:rPr>
          <w:rFonts w:hint="cs"/>
          <w:rtl/>
        </w:rPr>
        <w:t xml:space="preserve"> </w:t>
      </w:r>
      <w:r w:rsidRPr="00322A7B">
        <w:rPr>
          <w:rStyle w:val="af9"/>
          <w:rFonts w:hint="cs"/>
          <w:rtl/>
        </w:rPr>
        <w:t>הבה"ג</w:t>
      </w:r>
      <w:r>
        <w:rPr>
          <w:rFonts w:hint="cs"/>
          <w:rtl/>
        </w:rPr>
        <w:t>.</w:t>
      </w:r>
      <w:r>
        <w:rPr>
          <w:rStyle w:val="afb"/>
          <w:rFonts w:hint="cs"/>
          <w:rtl/>
        </w:rPr>
        <w:t xml:space="preserve"> [</w:t>
      </w:r>
      <w:r w:rsidRPr="00A30B32">
        <w:rPr>
          <w:rStyle w:val="afb"/>
          <w:rFonts w:hint="cs"/>
          <w:rtl/>
        </w:rPr>
        <w:t xml:space="preserve">כתב </w:t>
      </w:r>
      <w:r w:rsidRPr="00A30B32">
        <w:rPr>
          <w:rStyle w:val="affa"/>
          <w:rFonts w:hint="cs"/>
          <w:rtl/>
        </w:rPr>
        <w:t>הבה"ג</w:t>
      </w:r>
      <w:r w:rsidRPr="00A30B32">
        <w:rPr>
          <w:rStyle w:val="afb"/>
          <w:rFonts w:hint="cs"/>
          <w:rtl/>
        </w:rPr>
        <w:t xml:space="preserve"> </w:t>
      </w:r>
      <w:r w:rsidRPr="00A30B32">
        <w:rPr>
          <w:rStyle w:val="aff6"/>
          <w:rFonts w:hint="cs"/>
          <w:rtl/>
        </w:rPr>
        <w:t>(הל' שחיטת חולין עמ' תרי"א)</w:t>
      </w:r>
      <w:r>
        <w:rPr>
          <w:rStyle w:val="afb"/>
          <w:rFonts w:hint="cs"/>
          <w:rtl/>
        </w:rPr>
        <w:t xml:space="preserve"> </w:t>
      </w:r>
      <w:r w:rsidRPr="00A30B32">
        <w:rPr>
          <w:rStyle w:val="afb"/>
          <w:rFonts w:hint="cs"/>
          <w:rtl/>
        </w:rPr>
        <w:t xml:space="preserve">שצריך לבדוק שמא יש פסול בקנה ובושט, ואולי ביאר </w:t>
      </w:r>
      <w:r w:rsidRPr="00322A7B">
        <w:rPr>
          <w:rStyle w:val="affa"/>
          <w:rFonts w:hint="cs"/>
          <w:rtl/>
        </w:rPr>
        <w:t>הר"ן</w:t>
      </w:r>
      <w:r w:rsidRPr="00A30B32">
        <w:rPr>
          <w:rStyle w:val="afb"/>
          <w:rFonts w:hint="cs"/>
          <w:rtl/>
        </w:rPr>
        <w:t xml:space="preserve"> בדבריו דפסול היינו שנעקרו הסימנים].</w:t>
      </w:r>
    </w:p>
    <w:p w14:paraId="63A1D0E2" w14:textId="77777777" w:rsidR="00852065" w:rsidRPr="00FD5FCB" w:rsidRDefault="00852065" w:rsidP="006D6D32">
      <w:pPr>
        <w:pStyle w:val="a3"/>
        <w:rPr>
          <w:rtl/>
        </w:rPr>
      </w:pPr>
      <w:bookmarkStart w:id="161" w:name="_Toc522028112"/>
      <w:bookmarkStart w:id="162" w:name="_Toc522086114"/>
      <w:bookmarkStart w:id="163" w:name="_Toc522099534"/>
      <w:bookmarkStart w:id="164" w:name="_Toc19388851"/>
      <w:bookmarkStart w:id="165" w:name="_Toc19392348"/>
      <w:r>
        <w:rPr>
          <w:rFonts w:hint="cs"/>
          <w:rtl/>
        </w:rPr>
        <w:t>דחיית הרמב"ן והר"ן דהיא בחזקת חיה שלא נעקרו הסימנים והספק הוא רק בשחיטה</w:t>
      </w:r>
      <w:bookmarkEnd w:id="161"/>
      <w:bookmarkEnd w:id="162"/>
      <w:bookmarkEnd w:id="163"/>
      <w:bookmarkEnd w:id="164"/>
      <w:bookmarkEnd w:id="165"/>
    </w:p>
    <w:p w14:paraId="51D764A3" w14:textId="77777777" w:rsidR="00852065" w:rsidRPr="00322A7B" w:rsidRDefault="00852065" w:rsidP="00223668">
      <w:pPr>
        <w:pStyle w:val="a0"/>
      </w:pPr>
      <w:r>
        <w:rPr>
          <w:rFonts w:hint="cs"/>
          <w:rtl/>
        </w:rPr>
        <w:t xml:space="preserve">ודחה </w:t>
      </w:r>
      <w:r w:rsidRPr="00A84FC7">
        <w:rPr>
          <w:rStyle w:val="af9"/>
          <w:rFonts w:hint="cs"/>
          <w:rtl/>
        </w:rPr>
        <w:t>הרמב"ן</w:t>
      </w:r>
      <w:r>
        <w:rPr>
          <w:rFonts w:hint="cs"/>
          <w:rtl/>
        </w:rPr>
        <w:t xml:space="preserve"> דכיון שהבהמה בחזקת חיה עומדת, וכל הספק הוא האם נשחטה כראוי, א"כ כל הבדיקה היא רק בשחיטה עצמה אם שחט את רוב הסימנים ואם לא הגרים,</w:t>
      </w:r>
      <w:r w:rsidRPr="00322A7B">
        <w:rPr>
          <w:rFonts w:hint="cs"/>
          <w:rtl/>
        </w:rPr>
        <w:t xml:space="preserve"> אך כתב </w:t>
      </w:r>
      <w:r w:rsidRPr="00A84FC7">
        <w:rPr>
          <w:rStyle w:val="af9"/>
          <w:rFonts w:hint="cs"/>
          <w:rtl/>
        </w:rPr>
        <w:t>הרמב"ן</w:t>
      </w:r>
      <w:r w:rsidRPr="00322A7B">
        <w:rPr>
          <w:rFonts w:hint="cs"/>
          <w:rtl/>
        </w:rPr>
        <w:t xml:space="preserve"> דמ"מ לכתחילה צריך לבדוק את כל</w:t>
      </w:r>
      <w:r>
        <w:rPr>
          <w:rFonts w:hint="cs"/>
          <w:rtl/>
        </w:rPr>
        <w:t xml:space="preserve"> הספיקות בשחיטה.</w:t>
      </w:r>
      <w:r w:rsidRPr="00EF4646">
        <w:rPr>
          <w:rStyle w:val="af9"/>
          <w:rFonts w:hint="cs"/>
          <w:rtl/>
        </w:rPr>
        <w:t xml:space="preserve"> </w:t>
      </w:r>
      <w:r>
        <w:rPr>
          <w:rStyle w:val="af9"/>
          <w:rFonts w:hint="cs"/>
          <w:rtl/>
        </w:rPr>
        <w:t>ו</w:t>
      </w:r>
      <w:r w:rsidRPr="00322A7B">
        <w:rPr>
          <w:rStyle w:val="af9"/>
          <w:rFonts w:hint="cs"/>
          <w:rtl/>
        </w:rPr>
        <w:t>הר"ן</w:t>
      </w:r>
      <w:r>
        <w:rPr>
          <w:rFonts w:hint="cs"/>
          <w:rtl/>
        </w:rPr>
        <w:t xml:space="preserve"> </w:t>
      </w:r>
      <w:r w:rsidRPr="00322A7B">
        <w:rPr>
          <w:rStyle w:val="af7"/>
          <w:rFonts w:eastAsia="Guttman Hodes" w:hint="cs"/>
          <w:rtl/>
        </w:rPr>
        <w:t>(דף א: מדפי הרי"ף</w:t>
      </w:r>
      <w:r>
        <w:rPr>
          <w:rStyle w:val="af7"/>
          <w:rFonts w:eastAsia="Guttman Hodes" w:hint="cs"/>
          <w:rtl/>
        </w:rPr>
        <w:t xml:space="preserve"> ד"ה הטבח</w:t>
      </w:r>
      <w:r w:rsidRPr="00322A7B">
        <w:rPr>
          <w:rStyle w:val="af7"/>
          <w:rFonts w:eastAsia="Guttman Hodes" w:hint="cs"/>
          <w:rtl/>
        </w:rPr>
        <w:t>)</w:t>
      </w:r>
      <w:r>
        <w:rPr>
          <w:rFonts w:hint="cs"/>
          <w:rtl/>
        </w:rPr>
        <w:t xml:space="preserve"> דחה דבהמה בחייה לאו בחזקת עיקור סימנים קיימא.</w:t>
      </w:r>
    </w:p>
    <w:p w14:paraId="4F3CA8B1" w14:textId="77777777" w:rsidR="00852065" w:rsidRPr="00322A7B" w:rsidRDefault="00852065" w:rsidP="006D6D32">
      <w:pPr>
        <w:pStyle w:val="a3"/>
      </w:pPr>
      <w:bookmarkStart w:id="166" w:name="_Toc522028113"/>
      <w:bookmarkStart w:id="167" w:name="_Toc522086115"/>
      <w:bookmarkStart w:id="168" w:name="_Toc522099535"/>
      <w:bookmarkStart w:id="169" w:name="_Toc19388852"/>
      <w:bookmarkStart w:id="170" w:name="_Toc19392349"/>
      <w:r>
        <w:rPr>
          <w:rFonts w:hint="cs"/>
          <w:rtl/>
        </w:rPr>
        <w:t>דברי הרא"ש דבעיקור סימנים סמכינן על הרוב כמו בי"ח טריפות</w:t>
      </w:r>
      <w:bookmarkEnd w:id="166"/>
      <w:bookmarkEnd w:id="167"/>
      <w:bookmarkEnd w:id="168"/>
      <w:bookmarkEnd w:id="169"/>
      <w:bookmarkEnd w:id="170"/>
    </w:p>
    <w:p w14:paraId="65206238" w14:textId="77777777" w:rsidR="00852065" w:rsidRDefault="00852065" w:rsidP="00223668">
      <w:pPr>
        <w:pStyle w:val="a0"/>
        <w:rPr>
          <w:rtl/>
        </w:rPr>
      </w:pPr>
      <w:bookmarkStart w:id="171" w:name="_Toc521324859"/>
      <w:bookmarkStart w:id="172" w:name="_Toc521338160"/>
      <w:bookmarkStart w:id="173" w:name="_Toc521361938"/>
      <w:r w:rsidRPr="00A84FC7">
        <w:rPr>
          <w:rStyle w:val="af9"/>
          <w:rFonts w:hint="cs"/>
          <w:rtl/>
        </w:rPr>
        <w:t>והרא"ש</w:t>
      </w:r>
      <w:r>
        <w:rPr>
          <w:rFonts w:hint="cs"/>
          <w:rtl/>
        </w:rPr>
        <w:t xml:space="preserve"> </w:t>
      </w:r>
      <w:r w:rsidRPr="00A84FC7">
        <w:rPr>
          <w:rStyle w:val="af7"/>
          <w:rFonts w:eastAsia="Guttman Hodes" w:hint="cs"/>
          <w:rtl/>
        </w:rPr>
        <w:t xml:space="preserve">(סי' י"ד) </w:t>
      </w:r>
      <w:r>
        <w:rPr>
          <w:rFonts w:hint="cs"/>
          <w:rtl/>
        </w:rPr>
        <w:t>כתב דא"צ לבדוק אם נעקרו הסימנים ממקומם, או אם נקבו, דבספק זה סמכינן על הרוב, כדין י"ח טריפות.</w:t>
      </w:r>
    </w:p>
    <w:p w14:paraId="2664E8F8" w14:textId="77777777" w:rsidR="00852065" w:rsidRDefault="00852065" w:rsidP="006D6D32">
      <w:pPr>
        <w:pStyle w:val="afe"/>
        <w:rPr>
          <w:rtl/>
        </w:rPr>
      </w:pPr>
      <w:bookmarkStart w:id="174" w:name="_Toc522028114"/>
      <w:bookmarkStart w:id="175" w:name="_Toc522086116"/>
      <w:bookmarkStart w:id="176" w:name="_Toc522099536"/>
      <w:bookmarkStart w:id="177" w:name="_Toc19435158"/>
      <w:bookmarkStart w:id="178" w:name="_Toc20080534"/>
      <w:r>
        <w:rPr>
          <w:rFonts w:hint="cs"/>
          <w:rtl/>
        </w:rPr>
        <w:t>בביאור החזקת איסור</w:t>
      </w:r>
      <w:bookmarkEnd w:id="174"/>
      <w:bookmarkEnd w:id="175"/>
      <w:bookmarkEnd w:id="176"/>
      <w:bookmarkEnd w:id="177"/>
      <w:bookmarkEnd w:id="178"/>
    </w:p>
    <w:p w14:paraId="084A37C8" w14:textId="77777777" w:rsidR="00852065" w:rsidRDefault="00852065" w:rsidP="00BF39B2">
      <w:pPr>
        <w:pStyle w:val="1"/>
        <w:rPr>
          <w:rtl/>
        </w:rPr>
      </w:pPr>
      <w:bookmarkStart w:id="179" w:name="_Toc522028115"/>
      <w:bookmarkStart w:id="180" w:name="_Toc522086117"/>
      <w:bookmarkStart w:id="181" w:name="_Toc522099537"/>
      <w:bookmarkStart w:id="182" w:name="_Toc19388853"/>
      <w:bookmarkStart w:id="183" w:name="_Toc19392350"/>
      <w:bookmarkEnd w:id="171"/>
      <w:bookmarkEnd w:id="172"/>
      <w:bookmarkEnd w:id="173"/>
      <w:r>
        <w:rPr>
          <w:rFonts w:hint="cs"/>
          <w:rtl/>
        </w:rPr>
        <w:t>פלוגתת רש"י ותוס' אי מוחזקת באבמה"ח או באינו זבוח</w:t>
      </w:r>
      <w:bookmarkEnd w:id="179"/>
      <w:bookmarkEnd w:id="180"/>
      <w:bookmarkEnd w:id="181"/>
      <w:bookmarkEnd w:id="182"/>
      <w:bookmarkEnd w:id="183"/>
    </w:p>
    <w:p w14:paraId="224AA449" w14:textId="77777777" w:rsidR="00852065" w:rsidRPr="007636D1" w:rsidRDefault="00852065" w:rsidP="006D6D32">
      <w:pPr>
        <w:pStyle w:val="a3"/>
        <w:rPr>
          <w:rtl/>
        </w:rPr>
      </w:pPr>
      <w:bookmarkStart w:id="184" w:name="_Toc521324860"/>
      <w:bookmarkStart w:id="185" w:name="_Toc521338161"/>
      <w:bookmarkStart w:id="186" w:name="_Toc521361939"/>
      <w:bookmarkStart w:id="187" w:name="_Toc522028116"/>
      <w:bookmarkStart w:id="188" w:name="_Toc522086118"/>
      <w:bookmarkStart w:id="189" w:name="_Toc522099538"/>
      <w:bookmarkStart w:id="190" w:name="_Toc19388854"/>
      <w:bookmarkStart w:id="191" w:name="_Toc19392351"/>
      <w:r>
        <w:rPr>
          <w:rFonts w:hint="cs"/>
          <w:rtl/>
        </w:rPr>
        <w:t>דברי רש"י דמעמידים אותה על חזקתה מחיים דאסורה באבר מן החי וא"א להתירה מספק</w:t>
      </w:r>
      <w:bookmarkEnd w:id="184"/>
      <w:bookmarkEnd w:id="185"/>
      <w:bookmarkEnd w:id="186"/>
      <w:bookmarkEnd w:id="187"/>
      <w:bookmarkEnd w:id="188"/>
      <w:bookmarkEnd w:id="189"/>
      <w:bookmarkEnd w:id="190"/>
      <w:bookmarkEnd w:id="191"/>
    </w:p>
    <w:p w14:paraId="248D59F1" w14:textId="77777777" w:rsidR="00852065" w:rsidRPr="00255366" w:rsidRDefault="00852065" w:rsidP="00223668">
      <w:pPr>
        <w:pStyle w:val="a0"/>
        <w:rPr>
          <w:rtl/>
        </w:rPr>
      </w:pPr>
      <w:bookmarkStart w:id="192" w:name="_Ref520278781"/>
      <w:bookmarkStart w:id="193" w:name="_Ref521920672"/>
      <w:bookmarkStart w:id="194" w:name="_Ref522100765"/>
      <w:r>
        <w:rPr>
          <w:rFonts w:hint="cs"/>
          <w:rtl/>
        </w:rPr>
        <w:t xml:space="preserve">בדברי רב הונא דבהמה בחייה בחזקת איסור עומדת ביאר </w:t>
      </w:r>
      <w:r w:rsidRPr="00B03043">
        <w:rPr>
          <w:rStyle w:val="af9"/>
          <w:rFonts w:hint="cs"/>
          <w:rtl/>
        </w:rPr>
        <w:t>רש"י</w:t>
      </w:r>
      <w:r>
        <w:rPr>
          <w:rFonts w:hint="cs"/>
          <w:rtl/>
        </w:rPr>
        <w:t xml:space="preserve"> </w:t>
      </w:r>
      <w:r w:rsidRPr="000F513E">
        <w:rPr>
          <w:rStyle w:val="af7"/>
          <w:rFonts w:eastAsia="Guttman Hodes" w:hint="cs"/>
          <w:rtl/>
        </w:rPr>
        <w:t xml:space="preserve">(ד"ה בהמה) </w:t>
      </w:r>
      <w:r>
        <w:rPr>
          <w:rFonts w:hint="cs"/>
          <w:rtl/>
        </w:rPr>
        <w:t>דכיון שהבהמה אסורה מדין אבר מן החי, ולכן כשנולד ספק בשחיטה, כיון שהדין בספיקות הוא להעמיד על החזקה, מעמידים את הבהמה בחזקת איסור דהייתה אסור מדין אבר מן החי, וא"א להתירה מספק שמא נשחטה עד שיתברר שנשחטה כראוי,</w:t>
      </w:r>
      <w:r w:rsidRPr="00B03043">
        <w:rPr>
          <w:rFonts w:hint="cs"/>
          <w:rtl/>
        </w:rPr>
        <w:t xml:space="preserve"> </w:t>
      </w:r>
      <w:r>
        <w:rPr>
          <w:rFonts w:hint="cs"/>
          <w:rtl/>
        </w:rPr>
        <w:t xml:space="preserve">וכ"כ </w:t>
      </w:r>
      <w:r w:rsidRPr="00B03043">
        <w:rPr>
          <w:rStyle w:val="af9"/>
          <w:rFonts w:hint="cs"/>
          <w:rtl/>
        </w:rPr>
        <w:t>רש</w:t>
      </w:r>
      <w:r w:rsidRPr="00F42C81">
        <w:rPr>
          <w:rStyle w:val="af9"/>
          <w:rFonts w:hint="cs"/>
          <w:rtl/>
        </w:rPr>
        <w:t xml:space="preserve">"י </w:t>
      </w:r>
      <w:r w:rsidRPr="00413AAA">
        <w:rPr>
          <w:rFonts w:hint="cs"/>
          <w:rtl/>
        </w:rPr>
        <w:t>לקמן</w:t>
      </w:r>
      <w:r w:rsidRPr="000F513E">
        <w:rPr>
          <w:rStyle w:val="af7"/>
          <w:rFonts w:eastAsia="Guttman Hodes" w:hint="cs"/>
          <w:rtl/>
        </w:rPr>
        <w:t xml:space="preserve"> (פו. ד"ה מאי איריא)</w:t>
      </w:r>
      <w:r w:rsidRPr="00413AAA">
        <w:rPr>
          <w:rStyle w:val="af9"/>
          <w:rFonts w:hint="cs"/>
          <w:rtl/>
        </w:rPr>
        <w:t xml:space="preserve"> </w:t>
      </w:r>
      <w:r w:rsidRPr="00413AAA">
        <w:rPr>
          <w:rFonts w:hint="cs"/>
          <w:rtl/>
        </w:rPr>
        <w:t>ובביצה</w:t>
      </w:r>
      <w:r>
        <w:rPr>
          <w:rFonts w:hint="cs"/>
          <w:rtl/>
        </w:rPr>
        <w:t xml:space="preserve"> </w:t>
      </w:r>
      <w:r w:rsidRPr="000F513E">
        <w:rPr>
          <w:rStyle w:val="af7"/>
          <w:rFonts w:eastAsia="Guttman Hodes" w:hint="cs"/>
          <w:rtl/>
        </w:rPr>
        <w:t>(כה. ד"ה לאפוקי</w:t>
      </w:r>
      <w:bookmarkEnd w:id="192"/>
      <w:r>
        <w:rPr>
          <w:rStyle w:val="af7"/>
          <w:rFonts w:eastAsia="Guttman Hodes" w:hint="cs"/>
          <w:rtl/>
        </w:rPr>
        <w:t>)</w:t>
      </w:r>
      <w:r>
        <w:rPr>
          <w:rFonts w:hint="cs"/>
          <w:rtl/>
        </w:rPr>
        <w:t>.</w:t>
      </w:r>
      <w:bookmarkEnd w:id="193"/>
      <w:r w:rsidRPr="00255366">
        <w:rPr>
          <w:rFonts w:hint="cs"/>
          <w:rtl/>
        </w:rPr>
        <w:t xml:space="preserve"> וביארו </w:t>
      </w:r>
      <w:r w:rsidRPr="007C2CC4">
        <w:rPr>
          <w:rStyle w:val="af9"/>
          <w:rFonts w:hint="cs"/>
          <w:rtl/>
        </w:rPr>
        <w:t>הרמב"ן ביבמות</w:t>
      </w:r>
      <w:r w:rsidRPr="007C2CC4">
        <w:rPr>
          <w:rFonts w:hint="cs"/>
          <w:rtl/>
        </w:rPr>
        <w:t xml:space="preserve"> </w:t>
      </w:r>
      <w:r w:rsidRPr="007C2CC4">
        <w:rPr>
          <w:rStyle w:val="af7"/>
          <w:rFonts w:eastAsia="Guttman Hodes" w:hint="cs"/>
          <w:rtl/>
        </w:rPr>
        <w:t>(ל: ד"ה ואקשינן)</w:t>
      </w:r>
      <w:r w:rsidRPr="007C2CC4">
        <w:rPr>
          <w:rFonts w:hint="cs"/>
          <w:rtl/>
        </w:rPr>
        <w:t xml:space="preserve"> </w:t>
      </w:r>
      <w:r w:rsidRPr="007C2CC4">
        <w:rPr>
          <w:rStyle w:val="af9"/>
          <w:rFonts w:hint="cs"/>
          <w:rtl/>
        </w:rPr>
        <w:t>והרשב"א ביבמות</w:t>
      </w:r>
      <w:r w:rsidRPr="007C2CC4">
        <w:rPr>
          <w:rFonts w:hint="cs"/>
          <w:rtl/>
        </w:rPr>
        <w:t xml:space="preserve"> </w:t>
      </w:r>
      <w:r w:rsidRPr="007C2CC4">
        <w:rPr>
          <w:rStyle w:val="af7"/>
          <w:rFonts w:eastAsia="Guttman Hodes" w:hint="cs"/>
          <w:rtl/>
        </w:rPr>
        <w:t>(ל: ד"ה והא)</w:t>
      </w:r>
      <w:r w:rsidRPr="007C2CC4">
        <w:rPr>
          <w:rFonts w:hint="cs"/>
          <w:rtl/>
        </w:rPr>
        <w:t xml:space="preserve"> </w:t>
      </w:r>
      <w:r w:rsidRPr="00255366">
        <w:rPr>
          <w:rFonts w:hint="cs"/>
          <w:rtl/>
        </w:rPr>
        <w:t>דהוא מדין מחזיקין מאיסור לאיסור</w:t>
      </w:r>
      <w:r>
        <w:rPr>
          <w:rFonts w:hint="cs"/>
          <w:rtl/>
        </w:rPr>
        <w:t xml:space="preserve">, ועמ"ש בזה באריכות </w:t>
      </w:r>
      <w:r w:rsidRPr="0008506D">
        <w:rPr>
          <w:rStyle w:val="af7"/>
          <w:rFonts w:eastAsia="Guttman Hodes" w:hint="cs"/>
          <w:rtl/>
        </w:rPr>
        <w:t xml:space="preserve">(עי' </w:t>
      </w:r>
      <w:r w:rsidRPr="00C6066B">
        <w:rPr>
          <w:rStyle w:val="af7"/>
          <w:rFonts w:eastAsia="Guttman Hodes" w:hint="cs"/>
          <w:rtl/>
        </w:rPr>
        <w:t xml:space="preserve">סימן ב' אות </w:t>
      </w:r>
      <w:r w:rsidRPr="00C6066B">
        <w:rPr>
          <w:rStyle w:val="af7"/>
          <w:rFonts w:eastAsia="Guttman Hodes"/>
          <w:rtl/>
        </w:rPr>
        <w:fldChar w:fldCharType="begin"/>
      </w:r>
      <w:r w:rsidRPr="00C6066B">
        <w:rPr>
          <w:rStyle w:val="af7"/>
          <w:rFonts w:eastAsia="Guttman Hodes"/>
          <w:rtl/>
        </w:rPr>
        <w:instrText xml:space="preserve"> </w:instrText>
      </w:r>
      <w:r w:rsidRPr="00C6066B">
        <w:rPr>
          <w:rStyle w:val="af7"/>
          <w:rFonts w:eastAsia="Guttman Hodes" w:hint="cs"/>
        </w:rPr>
        <w:instrText>REF</w:instrText>
      </w:r>
      <w:r w:rsidRPr="00C6066B">
        <w:rPr>
          <w:rStyle w:val="af7"/>
          <w:rFonts w:eastAsia="Guttman Hodes" w:hint="cs"/>
          <w:rtl/>
        </w:rPr>
        <w:instrText xml:space="preserve"> _</w:instrText>
      </w:r>
      <w:r w:rsidRPr="00C6066B">
        <w:rPr>
          <w:rStyle w:val="af7"/>
          <w:rFonts w:eastAsia="Guttman Hodes" w:hint="cs"/>
        </w:rPr>
        <w:instrText>Ref522187774 \r \h</w:instrText>
      </w:r>
      <w:r w:rsidRPr="00C6066B">
        <w:rPr>
          <w:rStyle w:val="af7"/>
          <w:rFonts w:eastAsia="Guttman Hodes"/>
          <w:rtl/>
        </w:rPr>
        <w:instrText xml:space="preserve"> </w:instrText>
      </w:r>
      <w:r w:rsidRPr="00C6066B">
        <w:rPr>
          <w:rStyle w:val="af7"/>
          <w:rFonts w:eastAsia="Guttman Hodes"/>
          <w:rtl/>
        </w:rPr>
      </w:r>
      <w:r w:rsidRPr="00C6066B">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C6066B">
        <w:rPr>
          <w:rStyle w:val="af7"/>
          <w:rFonts w:eastAsia="Guttman Hodes"/>
          <w:rtl/>
        </w:rPr>
        <w:fldChar w:fldCharType="end"/>
      </w:r>
      <w:r>
        <w:rPr>
          <w:rFonts w:hint="cs"/>
          <w:rtl/>
        </w:rPr>
        <w:t>.</w:t>
      </w:r>
      <w:bookmarkEnd w:id="194"/>
    </w:p>
    <w:p w14:paraId="5DC028B9" w14:textId="77777777" w:rsidR="00852065" w:rsidRPr="00F1032B" w:rsidRDefault="00852065" w:rsidP="006D6D32">
      <w:pPr>
        <w:pStyle w:val="a3"/>
        <w:rPr>
          <w:rtl/>
        </w:rPr>
      </w:pPr>
      <w:bookmarkStart w:id="195" w:name="_Toc521324863"/>
      <w:bookmarkStart w:id="196" w:name="_Toc521338164"/>
      <w:bookmarkStart w:id="197" w:name="_Toc521361942"/>
      <w:bookmarkStart w:id="198" w:name="_Toc522028117"/>
      <w:bookmarkStart w:id="199" w:name="_Toc522086119"/>
      <w:bookmarkStart w:id="200" w:name="_Toc522099539"/>
      <w:bookmarkStart w:id="201" w:name="_Toc19388855"/>
      <w:bookmarkStart w:id="202" w:name="_Toc19392352"/>
      <w:r>
        <w:rPr>
          <w:rFonts w:hint="cs"/>
          <w:rtl/>
        </w:rPr>
        <w:t xml:space="preserve">קושית התוס' בביצה והמאירי דאף שיש ספק בשחיטה מ"מ היא מתה ואינה בכלל </w:t>
      </w:r>
      <w:bookmarkEnd w:id="195"/>
      <w:bookmarkEnd w:id="196"/>
      <w:r>
        <w:rPr>
          <w:rFonts w:hint="cs"/>
          <w:rtl/>
        </w:rPr>
        <w:t>אבמה"ח</w:t>
      </w:r>
      <w:bookmarkEnd w:id="197"/>
      <w:bookmarkEnd w:id="198"/>
      <w:bookmarkEnd w:id="199"/>
      <w:bookmarkEnd w:id="200"/>
      <w:bookmarkEnd w:id="201"/>
      <w:bookmarkEnd w:id="202"/>
    </w:p>
    <w:p w14:paraId="2FE7278F" w14:textId="77777777" w:rsidR="00852065" w:rsidRDefault="00852065" w:rsidP="00223668">
      <w:pPr>
        <w:pStyle w:val="a0"/>
        <w:rPr>
          <w:rtl/>
        </w:rPr>
      </w:pPr>
      <w:bookmarkStart w:id="203" w:name="_Ref522109305"/>
      <w:r>
        <w:rPr>
          <w:rFonts w:hint="cs"/>
          <w:rtl/>
        </w:rPr>
        <w:t xml:space="preserve">והקשו </w:t>
      </w:r>
      <w:r w:rsidRPr="004A3023">
        <w:rPr>
          <w:rStyle w:val="af9"/>
          <w:rFonts w:hint="cs"/>
          <w:rtl/>
        </w:rPr>
        <w:t>התוס' בביצה</w:t>
      </w:r>
      <w:r>
        <w:rPr>
          <w:rFonts w:hint="cs"/>
          <w:rtl/>
        </w:rPr>
        <w:t xml:space="preserve"> </w:t>
      </w:r>
      <w:r w:rsidRPr="007E13E7">
        <w:rPr>
          <w:rStyle w:val="af7"/>
          <w:rFonts w:eastAsia="Guttman Hodes" w:hint="cs"/>
          <w:rtl/>
        </w:rPr>
        <w:t>(כה. ד"ה בחזקת)</w:t>
      </w:r>
      <w:r>
        <w:rPr>
          <w:rFonts w:hint="cs"/>
          <w:rtl/>
        </w:rPr>
        <w:t xml:space="preserve"> </w:t>
      </w:r>
      <w:r>
        <w:rPr>
          <w:rStyle w:val="af9"/>
          <w:rFonts w:hint="cs"/>
          <w:rtl/>
        </w:rPr>
        <w:t>ו</w:t>
      </w:r>
      <w:r w:rsidRPr="00246EF7">
        <w:rPr>
          <w:rStyle w:val="af9"/>
          <w:rFonts w:hint="cs"/>
          <w:rtl/>
        </w:rPr>
        <w:t>המאירי</w:t>
      </w:r>
      <w:r>
        <w:rPr>
          <w:rFonts w:hint="cs"/>
          <w:rtl/>
        </w:rPr>
        <w:t xml:space="preserve"> </w:t>
      </w:r>
      <w:r w:rsidRPr="00246EF7">
        <w:rPr>
          <w:rStyle w:val="af7"/>
          <w:rFonts w:eastAsia="Guttman Adii-Light" w:hint="cs"/>
          <w:rtl/>
        </w:rPr>
        <w:t>(בסוגיין ד"ה השוחט)</w:t>
      </w:r>
      <w:r>
        <w:rPr>
          <w:rFonts w:hint="cs"/>
          <w:rtl/>
        </w:rPr>
        <w:t xml:space="preserve"> על </w:t>
      </w:r>
      <w:r w:rsidRPr="004A3023">
        <w:rPr>
          <w:rStyle w:val="af9"/>
          <w:rFonts w:hint="cs"/>
          <w:rtl/>
        </w:rPr>
        <w:t xml:space="preserve">רש"י </w:t>
      </w:r>
      <w:r>
        <w:rPr>
          <w:rFonts w:hint="cs"/>
          <w:rtl/>
        </w:rPr>
        <w:t>דכיון שמתה לפנינו א"א להעמידה בחזקת איסור אבר מן החי דהוא רק מחיים, ואף שלא ידוע אם נשחטה כדין, מ"מ עכשיו היא מתה ולא שייך במתה אבר מן החי,</w:t>
      </w:r>
      <w:r w:rsidRPr="0081135A">
        <w:rPr>
          <w:rFonts w:hint="cs"/>
          <w:rtl/>
        </w:rPr>
        <w:t xml:space="preserve"> </w:t>
      </w:r>
      <w:r>
        <w:rPr>
          <w:rFonts w:hint="cs"/>
          <w:rtl/>
        </w:rPr>
        <w:t xml:space="preserve">והיאך אפש"ל שלא יצאה מחזקת איסור זה. וכ"כ </w:t>
      </w:r>
      <w:r w:rsidRPr="00EC67BF">
        <w:rPr>
          <w:rStyle w:val="af9"/>
          <w:rFonts w:hint="cs"/>
          <w:rtl/>
        </w:rPr>
        <w:t>הרשב"א</w:t>
      </w:r>
      <w:r>
        <w:rPr>
          <w:rFonts w:hint="cs"/>
          <w:rtl/>
        </w:rPr>
        <w:t xml:space="preserve"> </w:t>
      </w:r>
      <w:r w:rsidRPr="007E13E7">
        <w:rPr>
          <w:rStyle w:val="af7"/>
          <w:rFonts w:eastAsia="Guttman Hodes" w:hint="cs"/>
          <w:rtl/>
        </w:rPr>
        <w:t>(</w:t>
      </w:r>
      <w:r w:rsidRPr="002C064B">
        <w:rPr>
          <w:rStyle w:val="af7"/>
          <w:rFonts w:eastAsia="Guttman Hodes" w:hint="cs"/>
          <w:rtl/>
        </w:rPr>
        <w:t xml:space="preserve">בסוגיין </w:t>
      </w:r>
      <w:r w:rsidRPr="007E13E7">
        <w:rPr>
          <w:rStyle w:val="af7"/>
          <w:rFonts w:eastAsia="Guttman Hodes" w:hint="cs"/>
          <w:rtl/>
        </w:rPr>
        <w:t>ד"ה בהמה)</w:t>
      </w:r>
      <w:r>
        <w:rPr>
          <w:rFonts w:hint="cs"/>
          <w:rtl/>
        </w:rPr>
        <w:t xml:space="preserve"> </w:t>
      </w:r>
      <w:r>
        <w:rPr>
          <w:rStyle w:val="af9"/>
          <w:rFonts w:hint="cs"/>
          <w:rtl/>
        </w:rPr>
        <w:t>ו</w:t>
      </w:r>
      <w:r w:rsidRPr="00380397">
        <w:rPr>
          <w:rStyle w:val="af9"/>
          <w:rFonts w:hint="cs"/>
          <w:rtl/>
        </w:rPr>
        <w:t>הש</w:t>
      </w:r>
      <w:r>
        <w:rPr>
          <w:rStyle w:val="af9"/>
          <w:rFonts w:hint="cs"/>
          <w:rtl/>
        </w:rPr>
        <w:t>י</w:t>
      </w:r>
      <w:r w:rsidRPr="00380397">
        <w:rPr>
          <w:rStyle w:val="af9"/>
          <w:rFonts w:hint="cs"/>
          <w:rtl/>
        </w:rPr>
        <w:t>טמ"ק בביצה</w:t>
      </w:r>
      <w:r>
        <w:rPr>
          <w:rFonts w:hint="cs"/>
          <w:rtl/>
        </w:rPr>
        <w:t xml:space="preserve"> </w:t>
      </w:r>
      <w:r w:rsidRPr="007E13E7">
        <w:rPr>
          <w:rStyle w:val="af7"/>
          <w:rFonts w:eastAsia="Guttman Hodes" w:hint="cs"/>
          <w:rtl/>
        </w:rPr>
        <w:t>(כה. ד"ה בהמה)</w:t>
      </w:r>
      <w:r>
        <w:rPr>
          <w:rFonts w:hint="cs"/>
          <w:rtl/>
        </w:rPr>
        <w:t xml:space="preserve"> דכיון שנשחטה אינה בכלל איסור אבר מן החי, בין אם היא שחיטה טובה ובין אם שחט רק מיעוט סימנים.</w:t>
      </w:r>
      <w:bookmarkEnd w:id="203"/>
    </w:p>
    <w:p w14:paraId="51E5776F" w14:textId="77777777" w:rsidR="00852065" w:rsidRPr="00DA637F" w:rsidRDefault="00852065" w:rsidP="006D6D32">
      <w:pPr>
        <w:pStyle w:val="a3"/>
        <w:rPr>
          <w:rtl/>
        </w:rPr>
      </w:pPr>
      <w:bookmarkStart w:id="204" w:name="_Toc521324867"/>
      <w:bookmarkStart w:id="205" w:name="_Toc521338168"/>
      <w:bookmarkStart w:id="206" w:name="_Toc521361946"/>
      <w:bookmarkStart w:id="207" w:name="_Toc522028118"/>
      <w:bookmarkStart w:id="208" w:name="_Toc522086120"/>
      <w:bookmarkStart w:id="209" w:name="_Toc522099540"/>
      <w:bookmarkStart w:id="210" w:name="_Toc19388856"/>
      <w:bookmarkStart w:id="211" w:name="_Toc19392353"/>
      <w:r>
        <w:rPr>
          <w:rFonts w:hint="cs"/>
          <w:rtl/>
        </w:rPr>
        <w:t>דברי התוס' בביצה והרשב"א דכיון שיש ספק בשחיטה מעמידים בחזקת שאינה זבוחה</w:t>
      </w:r>
      <w:bookmarkEnd w:id="204"/>
      <w:bookmarkEnd w:id="205"/>
      <w:bookmarkEnd w:id="206"/>
      <w:bookmarkEnd w:id="207"/>
      <w:bookmarkEnd w:id="208"/>
      <w:bookmarkEnd w:id="209"/>
      <w:bookmarkEnd w:id="210"/>
      <w:bookmarkEnd w:id="211"/>
    </w:p>
    <w:p w14:paraId="6B23B909" w14:textId="77777777" w:rsidR="00852065" w:rsidRDefault="00852065" w:rsidP="00223668">
      <w:pPr>
        <w:pStyle w:val="a0"/>
        <w:rPr>
          <w:rtl/>
        </w:rPr>
      </w:pPr>
      <w:bookmarkStart w:id="212" w:name="_Ref522100783"/>
      <w:r>
        <w:rPr>
          <w:rFonts w:hint="cs"/>
          <w:rtl/>
        </w:rPr>
        <w:t xml:space="preserve">אלא ביארו </w:t>
      </w:r>
      <w:r w:rsidRPr="004A3023">
        <w:rPr>
          <w:rStyle w:val="af9"/>
          <w:rFonts w:hint="cs"/>
          <w:rtl/>
        </w:rPr>
        <w:t>התוס' בביצה</w:t>
      </w:r>
      <w:r>
        <w:rPr>
          <w:rFonts w:hint="cs"/>
          <w:rtl/>
        </w:rPr>
        <w:t xml:space="preserve"> </w:t>
      </w:r>
      <w:r w:rsidRPr="002C064B">
        <w:rPr>
          <w:rStyle w:val="af9"/>
          <w:rFonts w:hint="cs"/>
          <w:rtl/>
        </w:rPr>
        <w:t>והרשב"א</w:t>
      </w:r>
      <w:r>
        <w:rPr>
          <w:rFonts w:hint="cs"/>
          <w:rtl/>
        </w:rPr>
        <w:t xml:space="preserve"> </w:t>
      </w:r>
      <w:r w:rsidRPr="002C064B">
        <w:rPr>
          <w:rStyle w:val="af7"/>
          <w:rFonts w:eastAsia="Guttman Hodes" w:hint="cs"/>
          <w:rtl/>
        </w:rPr>
        <w:t xml:space="preserve">(בסוגיין ד"ה בהמה) </w:t>
      </w:r>
      <w:r>
        <w:rPr>
          <w:rFonts w:hint="cs"/>
          <w:rtl/>
        </w:rPr>
        <w:t>דהבהמה בחזקת איסור שלא נשחטה, דהוא איסור אינו זבוח,  כיון שרק ע"י זביחה יש היתר אכילה, כדכתיב "תזבח ואכלת",</w:t>
      </w:r>
      <w:r w:rsidRPr="008F5562">
        <w:rPr>
          <w:rFonts w:hint="cs"/>
          <w:rtl/>
        </w:rPr>
        <w:t xml:space="preserve"> </w:t>
      </w:r>
      <w:r>
        <w:rPr>
          <w:rFonts w:hint="cs"/>
          <w:rtl/>
        </w:rPr>
        <w:t xml:space="preserve">והוסיף </w:t>
      </w:r>
      <w:r w:rsidRPr="00EC67BF">
        <w:rPr>
          <w:rStyle w:val="af9"/>
          <w:rFonts w:hint="cs"/>
          <w:rtl/>
        </w:rPr>
        <w:t>הרשב"א</w:t>
      </w:r>
      <w:r>
        <w:rPr>
          <w:rFonts w:hint="cs"/>
          <w:rtl/>
        </w:rPr>
        <w:t xml:space="preserve"> דעד שלא נתברר אם נשחטה כראוי בסימנים, היא עומדת באיסורה עד שיתברר שנחשחטה בשחיטה כראוי, ולכן כל שלא בדק בסימנים היא עדיין בחזקת איסור,</w:t>
      </w:r>
      <w:r w:rsidRPr="00177043">
        <w:rPr>
          <w:rFonts w:hint="cs"/>
          <w:rtl/>
        </w:rPr>
        <w:t xml:space="preserve"> </w:t>
      </w:r>
      <w:r>
        <w:rPr>
          <w:rFonts w:hint="cs"/>
          <w:rtl/>
        </w:rPr>
        <w:t xml:space="preserve">וכ"כ </w:t>
      </w:r>
      <w:r w:rsidRPr="00380397">
        <w:rPr>
          <w:rStyle w:val="af9"/>
          <w:rFonts w:hint="cs"/>
          <w:rtl/>
        </w:rPr>
        <w:t>השיטמ"ק בביצה</w:t>
      </w:r>
      <w:r>
        <w:rPr>
          <w:rFonts w:hint="cs"/>
          <w:rtl/>
        </w:rPr>
        <w:t xml:space="preserve"> דהיא בחזקת אינה שחוטה</w:t>
      </w:r>
      <w:r>
        <w:rPr>
          <w:rStyle w:val="af1"/>
          <w:rtl/>
        </w:rPr>
        <w:footnoteReference w:id="1"/>
      </w:r>
      <w:r>
        <w:rPr>
          <w:rFonts w:hint="cs"/>
          <w:rtl/>
        </w:rPr>
        <w:t xml:space="preserve">, ועמ"ש בזה באריכות </w:t>
      </w:r>
      <w:r w:rsidRPr="0008506D">
        <w:rPr>
          <w:rStyle w:val="af7"/>
          <w:rFonts w:eastAsia="Guttman Hodes" w:hint="cs"/>
          <w:rtl/>
        </w:rPr>
        <w:t xml:space="preserve">(עי' סימן </w:t>
      </w:r>
      <w:r w:rsidRPr="00C6066B">
        <w:rPr>
          <w:rStyle w:val="af7"/>
          <w:rFonts w:eastAsia="Guttman Hodes" w:hint="cs"/>
          <w:rtl/>
        </w:rPr>
        <w:t xml:space="preserve">ב' אות </w:t>
      </w:r>
      <w:r w:rsidRPr="00C6066B">
        <w:rPr>
          <w:rStyle w:val="af7"/>
          <w:rFonts w:eastAsia="Guttman Hodes"/>
          <w:rtl/>
        </w:rPr>
        <w:fldChar w:fldCharType="begin"/>
      </w:r>
      <w:r w:rsidRPr="00C6066B">
        <w:rPr>
          <w:rStyle w:val="af7"/>
          <w:rFonts w:eastAsia="Guttman Hodes"/>
          <w:rtl/>
        </w:rPr>
        <w:instrText xml:space="preserve"> </w:instrText>
      </w:r>
      <w:r w:rsidRPr="00C6066B">
        <w:rPr>
          <w:rStyle w:val="af7"/>
          <w:rFonts w:eastAsia="Guttman Hodes" w:hint="cs"/>
        </w:rPr>
        <w:instrText>REF</w:instrText>
      </w:r>
      <w:r w:rsidRPr="00C6066B">
        <w:rPr>
          <w:rStyle w:val="af7"/>
          <w:rFonts w:eastAsia="Guttman Hodes" w:hint="cs"/>
          <w:rtl/>
        </w:rPr>
        <w:instrText xml:space="preserve"> _</w:instrText>
      </w:r>
      <w:r w:rsidRPr="00C6066B">
        <w:rPr>
          <w:rStyle w:val="af7"/>
          <w:rFonts w:eastAsia="Guttman Hodes" w:hint="cs"/>
        </w:rPr>
        <w:instrText>Ref522197328 \r \h</w:instrText>
      </w:r>
      <w:r w:rsidRPr="00C6066B">
        <w:rPr>
          <w:rStyle w:val="af7"/>
          <w:rFonts w:eastAsia="Guttman Hodes"/>
          <w:rtl/>
        </w:rPr>
        <w:instrText xml:space="preserve"> </w:instrText>
      </w:r>
      <w:r w:rsidRPr="00C6066B">
        <w:rPr>
          <w:rStyle w:val="af7"/>
          <w:rFonts w:eastAsia="Guttman Hodes"/>
          <w:rtl/>
        </w:rPr>
      </w:r>
      <w:r w:rsidRPr="00C6066B">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C6066B">
        <w:rPr>
          <w:rStyle w:val="af7"/>
          <w:rFonts w:eastAsia="Guttman Hodes"/>
          <w:rtl/>
        </w:rPr>
        <w:fldChar w:fldCharType="end"/>
      </w:r>
      <w:r>
        <w:rPr>
          <w:rFonts w:hint="cs"/>
          <w:rtl/>
        </w:rPr>
        <w:t>.</w:t>
      </w:r>
      <w:bookmarkEnd w:id="212"/>
    </w:p>
    <w:p w14:paraId="547E74B2" w14:textId="77777777" w:rsidR="00F10315" w:rsidRPr="00F10315" w:rsidRDefault="00F10315" w:rsidP="006D6D32">
      <w:pPr>
        <w:pStyle w:val="a3"/>
        <w:rPr>
          <w:rtl/>
        </w:rPr>
      </w:pPr>
    </w:p>
    <w:p w14:paraId="124FB632" w14:textId="77777777" w:rsidR="00852065" w:rsidRDefault="00852065" w:rsidP="006D6D32">
      <w:pPr>
        <w:pStyle w:val="afe"/>
        <w:rPr>
          <w:rFonts w:eastAsiaTheme="minorEastAsia" w:cstheme="minorBidi"/>
          <w:i/>
          <w:iCs/>
        </w:rPr>
      </w:pPr>
      <w:bookmarkStart w:id="213" w:name="_Toc19435159"/>
      <w:bookmarkStart w:id="214" w:name="_Toc20080535"/>
      <w:bookmarkStart w:id="215" w:name="_Toc521361976"/>
      <w:bookmarkStart w:id="216" w:name="_Toc522028120"/>
      <w:bookmarkStart w:id="217" w:name="_Toc522086122"/>
      <w:bookmarkStart w:id="218" w:name="_Toc522099542"/>
      <w:bookmarkEnd w:id="120"/>
      <w:bookmarkEnd w:id="121"/>
      <w:bookmarkEnd w:id="122"/>
      <w:r>
        <w:rPr>
          <w:rFonts w:hint="cs"/>
          <w:rtl/>
        </w:rPr>
        <w:t>בביאור המחלוקת אי מטמאה בנבילה</w:t>
      </w:r>
      <w:bookmarkEnd w:id="213"/>
      <w:bookmarkEnd w:id="214"/>
    </w:p>
    <w:p w14:paraId="170D545D" w14:textId="77777777" w:rsidR="00852065" w:rsidRDefault="00852065" w:rsidP="00BF39B2">
      <w:pPr>
        <w:pStyle w:val="1"/>
        <w:rPr>
          <w:rtl/>
        </w:rPr>
      </w:pPr>
      <w:bookmarkStart w:id="219" w:name="_Toc19388857"/>
      <w:bookmarkStart w:id="220" w:name="_Toc19392354"/>
      <w:r>
        <w:rPr>
          <w:rFonts w:hint="cs"/>
          <w:rtl/>
        </w:rPr>
        <w:t>ביאור רש"י בדעת הברייתא דמטמאה בנבילה</w:t>
      </w:r>
      <w:bookmarkEnd w:id="215"/>
      <w:bookmarkEnd w:id="216"/>
      <w:bookmarkEnd w:id="217"/>
      <w:bookmarkEnd w:id="218"/>
      <w:bookmarkEnd w:id="219"/>
      <w:bookmarkEnd w:id="220"/>
    </w:p>
    <w:p w14:paraId="756A3019" w14:textId="77777777" w:rsidR="00852065" w:rsidRDefault="00852065" w:rsidP="006D6D32">
      <w:pPr>
        <w:pStyle w:val="a3"/>
        <w:rPr>
          <w:rtl/>
        </w:rPr>
      </w:pPr>
      <w:bookmarkStart w:id="221" w:name="_Toc521361977"/>
      <w:bookmarkStart w:id="222" w:name="_Toc522028121"/>
      <w:bookmarkStart w:id="223" w:name="_Toc522086123"/>
      <w:bookmarkStart w:id="224" w:name="_Toc522099543"/>
      <w:bookmarkStart w:id="225" w:name="_Toc19388858"/>
      <w:bookmarkStart w:id="226" w:name="_Toc19392355"/>
      <w:r>
        <w:rPr>
          <w:rFonts w:hint="cs"/>
          <w:rtl/>
        </w:rPr>
        <w:t>דברי רש"י בדעת הברייתא דמטמאה כיון שהיא בחזקת שאינה שחוטה</w:t>
      </w:r>
      <w:bookmarkEnd w:id="221"/>
      <w:bookmarkEnd w:id="222"/>
      <w:bookmarkEnd w:id="223"/>
      <w:bookmarkEnd w:id="224"/>
      <w:bookmarkEnd w:id="225"/>
      <w:bookmarkEnd w:id="226"/>
      <w:r>
        <w:rPr>
          <w:rFonts w:hint="cs"/>
          <w:rtl/>
        </w:rPr>
        <w:t xml:space="preserve"> </w:t>
      </w:r>
    </w:p>
    <w:p w14:paraId="05C437C1" w14:textId="77777777" w:rsidR="00852065" w:rsidRDefault="00852065" w:rsidP="00223668">
      <w:pPr>
        <w:pStyle w:val="a0"/>
        <w:rPr>
          <w:rtl/>
        </w:rPr>
      </w:pPr>
      <w:bookmarkStart w:id="227" w:name="_Ref521920654"/>
      <w:r>
        <w:rPr>
          <w:rFonts w:hint="cs"/>
          <w:rtl/>
        </w:rPr>
        <w:t xml:space="preserve">בביאור דעת הברייתא דמטמאה אף בנבילה, כתב </w:t>
      </w:r>
      <w:r w:rsidRPr="00900325">
        <w:rPr>
          <w:rStyle w:val="af9"/>
          <w:rtl/>
        </w:rPr>
        <w:t>רש"י</w:t>
      </w:r>
      <w:r w:rsidRPr="0052641D">
        <w:rPr>
          <w:rtl/>
        </w:rPr>
        <w:t xml:space="preserve"> </w:t>
      </w:r>
      <w:r w:rsidRPr="00900325">
        <w:rPr>
          <w:rStyle w:val="af7"/>
          <w:rFonts w:eastAsia="Guttman Hodes"/>
          <w:rtl/>
        </w:rPr>
        <w:t>(ד"ה מר סבר)</w:t>
      </w:r>
      <w:r>
        <w:rPr>
          <w:rFonts w:hint="cs"/>
          <w:rtl/>
        </w:rPr>
        <w:t xml:space="preserve"> ד</w:t>
      </w:r>
      <w:r w:rsidRPr="0052641D">
        <w:rPr>
          <w:rtl/>
        </w:rPr>
        <w:t>הבהמה עומדת בחזקת האיסור הראשון שאינה שחוטה, וכיון שהיא בחזקת שאינה שחוטה הרי היא כמתה ומטמאה</w:t>
      </w:r>
      <w:r>
        <w:rPr>
          <w:rFonts w:hint="cs"/>
          <w:rtl/>
        </w:rPr>
        <w:t>.</w:t>
      </w:r>
      <w:bookmarkEnd w:id="227"/>
    </w:p>
    <w:p w14:paraId="539BA694" w14:textId="77777777" w:rsidR="00852065" w:rsidRDefault="00852065" w:rsidP="006D6D32">
      <w:pPr>
        <w:pStyle w:val="a3"/>
        <w:rPr>
          <w:rtl/>
        </w:rPr>
      </w:pPr>
      <w:bookmarkStart w:id="228" w:name="_Toc522028122"/>
      <w:bookmarkStart w:id="229" w:name="_Toc522086124"/>
      <w:bookmarkStart w:id="230" w:name="_Toc522099544"/>
      <w:bookmarkStart w:id="231" w:name="_Toc19388859"/>
      <w:bookmarkStart w:id="232" w:name="_Toc19392356"/>
      <w:r>
        <w:rPr>
          <w:rFonts w:hint="cs"/>
          <w:rtl/>
        </w:rPr>
        <w:t>דברי השיטמ</w:t>
      </w:r>
      <w:r>
        <w:rPr>
          <w:rtl/>
        </w:rPr>
        <w:t>"</w:t>
      </w:r>
      <w:r>
        <w:rPr>
          <w:rFonts w:hint="cs"/>
          <w:rtl/>
        </w:rPr>
        <w:t>ק דלרש"י לכו"ע אסור מדאו'</w:t>
      </w:r>
      <w:bookmarkEnd w:id="228"/>
      <w:bookmarkEnd w:id="229"/>
      <w:bookmarkEnd w:id="230"/>
      <w:bookmarkEnd w:id="231"/>
      <w:bookmarkEnd w:id="232"/>
    </w:p>
    <w:p w14:paraId="15524FD7" w14:textId="77777777" w:rsidR="00852065" w:rsidRPr="005402A8" w:rsidRDefault="00852065" w:rsidP="00223668">
      <w:pPr>
        <w:pStyle w:val="a0"/>
        <w:rPr>
          <w:rtl/>
        </w:rPr>
      </w:pPr>
      <w:r w:rsidRPr="005402A8">
        <w:rPr>
          <w:rFonts w:hint="cs"/>
          <w:rtl/>
        </w:rPr>
        <w:t xml:space="preserve">וכתב </w:t>
      </w:r>
      <w:r w:rsidRPr="005402A8">
        <w:rPr>
          <w:rStyle w:val="af9"/>
          <w:rFonts w:hint="cs"/>
          <w:rtl/>
        </w:rPr>
        <w:t>ה</w:t>
      </w:r>
      <w:r>
        <w:rPr>
          <w:rStyle w:val="af9"/>
          <w:rFonts w:hint="cs"/>
          <w:rtl/>
        </w:rPr>
        <w:t>שיטמ</w:t>
      </w:r>
      <w:r>
        <w:rPr>
          <w:rStyle w:val="af9"/>
          <w:rtl/>
        </w:rPr>
        <w:t>"</w:t>
      </w:r>
      <w:r>
        <w:rPr>
          <w:rStyle w:val="af9"/>
          <w:rFonts w:hint="cs"/>
          <w:rtl/>
        </w:rPr>
        <w:t>ק</w:t>
      </w:r>
      <w:r>
        <w:rPr>
          <w:rFonts w:hint="cs"/>
          <w:rtl/>
        </w:rPr>
        <w:t xml:space="preserve"> </w:t>
      </w:r>
      <w:r w:rsidRPr="005402A8">
        <w:rPr>
          <w:rStyle w:val="af7"/>
          <w:rFonts w:eastAsia="Guttman Hodes" w:hint="cs"/>
          <w:rtl/>
        </w:rPr>
        <w:t>(עמ' קי"ח ד"ה ורש"י ז"ל תירץ)</w:t>
      </w:r>
      <w:r w:rsidRPr="005402A8">
        <w:rPr>
          <w:rFonts w:hint="cs"/>
          <w:rtl/>
        </w:rPr>
        <w:t xml:space="preserve"> דס"ל דהוא דאו' כמבואר בדברי </w:t>
      </w:r>
      <w:r w:rsidRPr="00372640">
        <w:rPr>
          <w:rStyle w:val="af9"/>
          <w:rFonts w:hint="cs"/>
          <w:rtl/>
        </w:rPr>
        <w:t>רש"י</w:t>
      </w:r>
      <w:r w:rsidRPr="005402A8">
        <w:rPr>
          <w:rFonts w:hint="cs"/>
          <w:rtl/>
        </w:rPr>
        <w:t xml:space="preserve"> </w:t>
      </w:r>
      <w:r w:rsidRPr="005402A8">
        <w:rPr>
          <w:rStyle w:val="af7"/>
          <w:rFonts w:eastAsia="Guttman Hodes" w:hint="cs"/>
          <w:rtl/>
        </w:rPr>
        <w:t>(ד"ה טריפה)</w:t>
      </w:r>
      <w:r>
        <w:rPr>
          <w:rFonts w:hint="cs"/>
          <w:rtl/>
        </w:rPr>
        <w:t xml:space="preserve"> דכתב</w:t>
      </w:r>
      <w:r w:rsidRPr="00372640">
        <w:rPr>
          <w:rFonts w:hint="cs"/>
          <w:rtl/>
        </w:rPr>
        <w:t xml:space="preserve"> </w:t>
      </w:r>
      <w:r>
        <w:rPr>
          <w:rFonts w:hint="cs"/>
          <w:rtl/>
        </w:rPr>
        <w:t xml:space="preserve">דטריפה שנשחטה אינה מטמאה, כדילפינן מדכתיב מן הבהמה, וכתב </w:t>
      </w:r>
      <w:r w:rsidRPr="00372640">
        <w:rPr>
          <w:rStyle w:val="af9"/>
          <w:rFonts w:hint="cs"/>
          <w:rtl/>
        </w:rPr>
        <w:t>ה</w:t>
      </w:r>
      <w:r>
        <w:rPr>
          <w:rStyle w:val="af9"/>
          <w:rFonts w:hint="cs"/>
          <w:rtl/>
        </w:rPr>
        <w:t>שיטמ</w:t>
      </w:r>
      <w:r>
        <w:rPr>
          <w:rStyle w:val="af9"/>
          <w:rtl/>
        </w:rPr>
        <w:t>"</w:t>
      </w:r>
      <w:r>
        <w:rPr>
          <w:rStyle w:val="af9"/>
          <w:rFonts w:hint="cs"/>
          <w:rtl/>
        </w:rPr>
        <w:t>ק</w:t>
      </w:r>
      <w:r>
        <w:rPr>
          <w:rFonts w:hint="cs"/>
          <w:rtl/>
        </w:rPr>
        <w:t xml:space="preserve"> דמבואר </w:t>
      </w:r>
      <w:r w:rsidRPr="00372640">
        <w:rPr>
          <w:rStyle w:val="af9"/>
          <w:rFonts w:hint="cs"/>
          <w:rtl/>
        </w:rPr>
        <w:t>מרש"י</w:t>
      </w:r>
      <w:r>
        <w:rPr>
          <w:rFonts w:hint="cs"/>
          <w:rtl/>
        </w:rPr>
        <w:t xml:space="preserve"> דהא דלר"א ב"ר ינאי אינה מטמאה הוא מדאו', ובזה פליגא הברייתא וס"ל דמדאו' מטמאה,</w:t>
      </w:r>
      <w:r w:rsidRPr="004C1742">
        <w:rPr>
          <w:rFonts w:hint="cs"/>
          <w:rtl/>
        </w:rPr>
        <w:t xml:space="preserve"> </w:t>
      </w:r>
      <w:r>
        <w:rPr>
          <w:rFonts w:hint="cs"/>
          <w:rtl/>
        </w:rPr>
        <w:t>וא"כ האיסור אכילה הוא מדאו', ודלא</w:t>
      </w:r>
      <w:r w:rsidRPr="004C1742">
        <w:rPr>
          <w:rStyle w:val="af9"/>
          <w:rFonts w:hint="cs"/>
          <w:rtl/>
        </w:rPr>
        <w:t xml:space="preserve"> כתוס' </w:t>
      </w:r>
      <w:r w:rsidRPr="003C1391">
        <w:rPr>
          <w:rStyle w:val="af7"/>
          <w:rFonts w:eastAsia="Guttman Hodes" w:hint="cs"/>
          <w:rtl/>
        </w:rPr>
        <w:t xml:space="preserve">(עי' </w:t>
      </w:r>
      <w:r w:rsidRPr="00BB3A68">
        <w:rPr>
          <w:rStyle w:val="af7"/>
          <w:rFonts w:eastAsia="Guttman Hodes" w:hint="cs"/>
          <w:rtl/>
        </w:rPr>
        <w:t xml:space="preserve">אות </w:t>
      </w:r>
      <w:r w:rsidRPr="00BB3A68">
        <w:rPr>
          <w:rStyle w:val="af7"/>
          <w:rFonts w:eastAsia="Guttman Hodes"/>
          <w:rtl/>
        </w:rPr>
        <w:fldChar w:fldCharType="begin"/>
      </w:r>
      <w:r w:rsidRPr="00BB3A68">
        <w:rPr>
          <w:rStyle w:val="af7"/>
          <w:rFonts w:eastAsia="Guttman Hodes"/>
          <w:rtl/>
        </w:rPr>
        <w:instrText xml:space="preserve"> </w:instrText>
      </w:r>
      <w:r w:rsidRPr="00BB3A68">
        <w:rPr>
          <w:rStyle w:val="af7"/>
          <w:rFonts w:eastAsia="Guttman Hodes" w:hint="cs"/>
        </w:rPr>
        <w:instrText>REF</w:instrText>
      </w:r>
      <w:r w:rsidRPr="00BB3A68">
        <w:rPr>
          <w:rStyle w:val="af7"/>
          <w:rFonts w:eastAsia="Guttman Hodes" w:hint="cs"/>
          <w:rtl/>
        </w:rPr>
        <w:instrText xml:space="preserve"> _</w:instrText>
      </w:r>
      <w:r w:rsidRPr="00BB3A68">
        <w:rPr>
          <w:rStyle w:val="af7"/>
          <w:rFonts w:eastAsia="Guttman Hodes" w:hint="cs"/>
        </w:rPr>
        <w:instrText>Ref522101098 \r \h</w:instrText>
      </w:r>
      <w:r w:rsidRPr="00BB3A68">
        <w:rPr>
          <w:rStyle w:val="af7"/>
          <w:rFonts w:eastAsia="Guttman Hodes"/>
          <w:rtl/>
        </w:rPr>
        <w:instrText xml:space="preserve"> </w:instrText>
      </w:r>
      <w:r w:rsidRPr="00BB3A68">
        <w:rPr>
          <w:rStyle w:val="af7"/>
          <w:rFonts w:eastAsia="Guttman Hodes"/>
          <w:rtl/>
        </w:rPr>
      </w:r>
      <w:r w:rsidRPr="00BB3A68">
        <w:rPr>
          <w:rStyle w:val="af7"/>
          <w:rFonts w:eastAsia="Guttman Hodes"/>
          <w:rtl/>
        </w:rPr>
        <w:fldChar w:fldCharType="separate"/>
      </w:r>
      <w:r w:rsidR="00345400">
        <w:rPr>
          <w:rStyle w:val="af7"/>
          <w:rFonts w:eastAsia="Guttman Hodes"/>
          <w:cs/>
        </w:rPr>
        <w:t>‎</w:t>
      </w:r>
      <w:r w:rsidR="00345400">
        <w:rPr>
          <w:rStyle w:val="af7"/>
          <w:rFonts w:eastAsia="Guttman Hodes"/>
          <w:rtl/>
        </w:rPr>
        <w:t>כה)</w:t>
      </w:r>
      <w:r w:rsidRPr="00BB3A68">
        <w:rPr>
          <w:rStyle w:val="af7"/>
          <w:rFonts w:eastAsia="Guttman Hodes"/>
          <w:rtl/>
        </w:rPr>
        <w:fldChar w:fldCharType="end"/>
      </w:r>
      <w:r>
        <w:rPr>
          <w:rStyle w:val="af9"/>
          <w:rFonts w:hint="cs"/>
          <w:rtl/>
        </w:rPr>
        <w:t xml:space="preserve"> </w:t>
      </w:r>
      <w:r w:rsidRPr="004C1742">
        <w:rPr>
          <w:rStyle w:val="af9"/>
          <w:rFonts w:hint="cs"/>
          <w:rtl/>
        </w:rPr>
        <w:t>והרשב"א</w:t>
      </w:r>
      <w:r>
        <w:rPr>
          <w:rFonts w:hint="cs"/>
          <w:rtl/>
        </w:rPr>
        <w:t xml:space="preserve">  </w:t>
      </w:r>
      <w:r w:rsidRPr="003C1391">
        <w:rPr>
          <w:rStyle w:val="af7"/>
          <w:rFonts w:eastAsia="Guttman Hodes" w:hint="cs"/>
          <w:rtl/>
        </w:rPr>
        <w:t xml:space="preserve">(עי' </w:t>
      </w:r>
      <w:r w:rsidRPr="00BB3A68">
        <w:rPr>
          <w:rStyle w:val="af7"/>
          <w:rFonts w:eastAsia="Guttman Hodes" w:hint="cs"/>
          <w:rtl/>
        </w:rPr>
        <w:t xml:space="preserve">אות </w:t>
      </w:r>
      <w:r w:rsidRPr="00BB3A68">
        <w:rPr>
          <w:rStyle w:val="af7"/>
          <w:rFonts w:eastAsia="Guttman Hodes"/>
          <w:rtl/>
        </w:rPr>
        <w:fldChar w:fldCharType="begin"/>
      </w:r>
      <w:r w:rsidRPr="00BB3A68">
        <w:rPr>
          <w:rStyle w:val="af7"/>
          <w:rFonts w:eastAsia="Guttman Hodes"/>
          <w:rtl/>
        </w:rPr>
        <w:instrText xml:space="preserve"> </w:instrText>
      </w:r>
      <w:r w:rsidRPr="00BB3A68">
        <w:rPr>
          <w:rStyle w:val="af7"/>
          <w:rFonts w:eastAsia="Guttman Hodes" w:hint="cs"/>
        </w:rPr>
        <w:instrText>REF</w:instrText>
      </w:r>
      <w:r w:rsidRPr="00BB3A68">
        <w:rPr>
          <w:rStyle w:val="af7"/>
          <w:rFonts w:eastAsia="Guttman Hodes" w:hint="cs"/>
          <w:rtl/>
        </w:rPr>
        <w:instrText xml:space="preserve"> _</w:instrText>
      </w:r>
      <w:r w:rsidRPr="00BB3A68">
        <w:rPr>
          <w:rStyle w:val="af7"/>
          <w:rFonts w:eastAsia="Guttman Hodes" w:hint="cs"/>
        </w:rPr>
        <w:instrText>Ref522109344 \r \h</w:instrText>
      </w:r>
      <w:r w:rsidRPr="00BB3A68">
        <w:rPr>
          <w:rStyle w:val="af7"/>
          <w:rFonts w:eastAsia="Guttman Hodes"/>
          <w:rtl/>
        </w:rPr>
        <w:instrText xml:space="preserve"> </w:instrText>
      </w:r>
      <w:r w:rsidRPr="00BB3A68">
        <w:rPr>
          <w:rStyle w:val="af7"/>
          <w:rFonts w:eastAsia="Guttman Hodes"/>
          <w:rtl/>
        </w:rPr>
      </w:r>
      <w:r w:rsidRPr="00BB3A68">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BB3A68">
        <w:rPr>
          <w:rStyle w:val="af7"/>
          <w:rFonts w:eastAsia="Guttman Hodes"/>
          <w:rtl/>
        </w:rPr>
        <w:fldChar w:fldCharType="end"/>
      </w:r>
      <w:r>
        <w:rPr>
          <w:rStyle w:val="af7"/>
          <w:rFonts w:eastAsia="Guttman Hodes" w:hint="cs"/>
          <w:rtl/>
        </w:rPr>
        <w:t xml:space="preserve"> </w:t>
      </w:r>
      <w:r>
        <w:rPr>
          <w:rFonts w:hint="cs"/>
          <w:rtl/>
        </w:rPr>
        <w:t>דכתבו דהוא דרבנן.</w:t>
      </w:r>
    </w:p>
    <w:p w14:paraId="11CD96F1" w14:textId="77777777" w:rsidR="00852065" w:rsidRPr="008D2EBB" w:rsidRDefault="00852065" w:rsidP="006D6D32">
      <w:pPr>
        <w:pStyle w:val="a3"/>
      </w:pPr>
      <w:bookmarkStart w:id="233" w:name="_Toc521361978"/>
      <w:bookmarkStart w:id="234" w:name="_Toc522028123"/>
      <w:bookmarkStart w:id="235" w:name="_Toc522086125"/>
      <w:bookmarkStart w:id="236" w:name="_Toc522099545"/>
      <w:bookmarkStart w:id="237" w:name="_Toc19388860"/>
      <w:bookmarkStart w:id="238" w:name="_Toc19392357"/>
      <w:r>
        <w:rPr>
          <w:rFonts w:hint="cs"/>
          <w:rtl/>
        </w:rPr>
        <w:t>ביאור השיטמ</w:t>
      </w:r>
      <w:r>
        <w:rPr>
          <w:rtl/>
        </w:rPr>
        <w:t>"</w:t>
      </w:r>
      <w:r>
        <w:rPr>
          <w:rFonts w:hint="cs"/>
          <w:rtl/>
        </w:rPr>
        <w:t>ק דלדעת רש"י ממשיכים את האבמה"ח לאינה שחוטה ולכן מטמאה</w:t>
      </w:r>
      <w:bookmarkEnd w:id="233"/>
      <w:bookmarkEnd w:id="234"/>
      <w:bookmarkEnd w:id="235"/>
      <w:bookmarkEnd w:id="236"/>
      <w:bookmarkEnd w:id="237"/>
      <w:bookmarkEnd w:id="238"/>
    </w:p>
    <w:p w14:paraId="172458FF" w14:textId="77777777" w:rsidR="00852065" w:rsidRDefault="00852065" w:rsidP="00223668">
      <w:pPr>
        <w:pStyle w:val="a0"/>
        <w:rPr>
          <w:rtl/>
        </w:rPr>
      </w:pPr>
      <w:bookmarkStart w:id="239" w:name="_Ref522262262"/>
      <w:r>
        <w:rPr>
          <w:rStyle w:val="af9"/>
          <w:rFonts w:hint="cs"/>
          <w:rtl/>
        </w:rPr>
        <w:t>ו</w:t>
      </w:r>
      <w:r w:rsidRPr="00900325">
        <w:rPr>
          <w:rStyle w:val="af9"/>
          <w:rFonts w:hint="cs"/>
          <w:rtl/>
        </w:rPr>
        <w:t>ה</w:t>
      </w:r>
      <w:r>
        <w:rPr>
          <w:rStyle w:val="af9"/>
          <w:rFonts w:hint="cs"/>
          <w:rtl/>
        </w:rPr>
        <w:t>שיטמ</w:t>
      </w:r>
      <w:r>
        <w:rPr>
          <w:rStyle w:val="af9"/>
          <w:rtl/>
        </w:rPr>
        <w:t>"</w:t>
      </w:r>
      <w:r>
        <w:rPr>
          <w:rStyle w:val="af9"/>
          <w:rFonts w:hint="cs"/>
          <w:rtl/>
        </w:rPr>
        <w:t>ק</w:t>
      </w:r>
      <w:r w:rsidRPr="005643AD">
        <w:rPr>
          <w:rFonts w:hint="cs"/>
          <w:rtl/>
        </w:rPr>
        <w:t xml:space="preserve"> </w:t>
      </w:r>
      <w:r w:rsidRPr="005643AD">
        <w:rPr>
          <w:rStyle w:val="af7"/>
          <w:rFonts w:eastAsia="Guttman Hodes" w:hint="cs"/>
          <w:rtl/>
        </w:rPr>
        <w:t>(עמ' קי"ט ד"ה כתב עוד ז"ל)</w:t>
      </w:r>
      <w:r w:rsidRPr="005643AD">
        <w:rPr>
          <w:rFonts w:hint="cs"/>
          <w:rtl/>
        </w:rPr>
        <w:t xml:space="preserve"> </w:t>
      </w:r>
      <w:r>
        <w:rPr>
          <w:rFonts w:hint="cs"/>
          <w:rtl/>
        </w:rPr>
        <w:t>ביאר</w:t>
      </w:r>
      <w:r w:rsidRPr="005643AD">
        <w:rPr>
          <w:rFonts w:hint="cs"/>
          <w:rtl/>
        </w:rPr>
        <w:t xml:space="preserve"> דכוונת </w:t>
      </w:r>
      <w:r w:rsidRPr="005643AD">
        <w:rPr>
          <w:rStyle w:val="af9"/>
          <w:rFonts w:hint="cs"/>
          <w:rtl/>
        </w:rPr>
        <w:t>רש"י</w:t>
      </w:r>
      <w:r w:rsidRPr="005643AD">
        <w:rPr>
          <w:rFonts w:hint="cs"/>
          <w:rtl/>
        </w:rPr>
        <w:t xml:space="preserve"> לומר דהברייתא סברה דאף שיצאה מאיסור אבר מן החי, מ"מ לא יצאה מאיסור אינה שחוטה, ו</w:t>
      </w:r>
      <w:r>
        <w:rPr>
          <w:rFonts w:hint="cs"/>
          <w:rtl/>
        </w:rPr>
        <w:t>לכן מעמידים אותה בחזקת שאינה שחוטה שדומה לה, דכל מה שאפשר להמשיך עליה את האיסור הראשון ממשכינן, וכשיצאה מאיסור אבר מן החי נכנסה לכלל איסורה הדומה לה שהוא אינה שחוטה.</w:t>
      </w:r>
      <w:bookmarkEnd w:id="239"/>
    </w:p>
    <w:p w14:paraId="6876E003" w14:textId="77777777" w:rsidR="00852065" w:rsidRDefault="00852065" w:rsidP="00BF39B2">
      <w:pPr>
        <w:pStyle w:val="1"/>
        <w:rPr>
          <w:rtl/>
        </w:rPr>
      </w:pPr>
      <w:bookmarkStart w:id="240" w:name="_Toc522028124"/>
      <w:bookmarkStart w:id="241" w:name="_Toc522086126"/>
      <w:bookmarkStart w:id="242" w:name="_Toc522099546"/>
      <w:bookmarkStart w:id="243" w:name="_Toc19388861"/>
      <w:bookmarkStart w:id="244" w:name="_Toc19392358"/>
      <w:r>
        <w:rPr>
          <w:rFonts w:hint="cs"/>
          <w:rtl/>
        </w:rPr>
        <w:t>ביאור רש"י בדעת ר"א ב"ר ינאי דאינה מטמאה בנבילה</w:t>
      </w:r>
      <w:bookmarkEnd w:id="240"/>
      <w:bookmarkEnd w:id="241"/>
      <w:bookmarkEnd w:id="242"/>
      <w:bookmarkEnd w:id="243"/>
      <w:bookmarkEnd w:id="244"/>
    </w:p>
    <w:p w14:paraId="337CC7D4" w14:textId="77777777" w:rsidR="00852065" w:rsidRPr="00D17E7A" w:rsidRDefault="00852065" w:rsidP="006D6D32">
      <w:pPr>
        <w:pStyle w:val="a3"/>
        <w:rPr>
          <w:rtl/>
        </w:rPr>
      </w:pPr>
      <w:bookmarkStart w:id="245" w:name="_Toc522086127"/>
      <w:bookmarkStart w:id="246" w:name="_Toc522099547"/>
      <w:bookmarkStart w:id="247" w:name="_Toc19388862"/>
      <w:bookmarkStart w:id="248" w:name="_Toc19392359"/>
      <w:r>
        <w:rPr>
          <w:rFonts w:hint="cs"/>
          <w:rtl/>
        </w:rPr>
        <w:t>דברי רש"י דמחיים אסורה רק באכילה ואינה מטמאה דבשר מן החי לא מטמא</w:t>
      </w:r>
      <w:bookmarkEnd w:id="245"/>
      <w:bookmarkEnd w:id="246"/>
      <w:bookmarkEnd w:id="247"/>
      <w:bookmarkEnd w:id="248"/>
    </w:p>
    <w:p w14:paraId="550AE9B4" w14:textId="77777777" w:rsidR="00852065" w:rsidRPr="00FA599F" w:rsidRDefault="00852065" w:rsidP="00223668">
      <w:pPr>
        <w:pStyle w:val="a0"/>
        <w:rPr>
          <w:rStyle w:val="afb"/>
          <w:rtl/>
        </w:rPr>
      </w:pPr>
      <w:r>
        <w:rPr>
          <w:rFonts w:hint="cs"/>
          <w:rtl/>
        </w:rPr>
        <w:t xml:space="preserve">ובדעת ר"א ב"ר ינאי דאסורה באכילה ואינה מטמאה, ביאר </w:t>
      </w:r>
      <w:r w:rsidRPr="00FA599F">
        <w:rPr>
          <w:rStyle w:val="af9"/>
          <w:rFonts w:hint="cs"/>
          <w:rtl/>
        </w:rPr>
        <w:t>רש"י</w:t>
      </w:r>
      <w:r>
        <w:rPr>
          <w:rFonts w:hint="cs"/>
          <w:rtl/>
        </w:rPr>
        <w:t xml:space="preserve"> </w:t>
      </w:r>
      <w:r w:rsidRPr="00FA599F">
        <w:rPr>
          <w:rStyle w:val="af7"/>
          <w:rFonts w:eastAsia="Guttman Hodes" w:hint="cs"/>
          <w:rtl/>
        </w:rPr>
        <w:t>(ד"ה ומר סבר, וד"ה לא)</w:t>
      </w:r>
      <w:r>
        <w:rPr>
          <w:rFonts w:hint="cs"/>
          <w:rtl/>
        </w:rPr>
        <w:t xml:space="preserve"> דקודם שחיטה הייתה אסורה רק באכילה, אבל מחיים אינה מטמאה דבשר מן החי אינו מטמא. </w:t>
      </w:r>
      <w:r w:rsidRPr="00FA599F">
        <w:rPr>
          <w:rStyle w:val="afb"/>
          <w:rFonts w:hint="cs"/>
          <w:rtl/>
        </w:rPr>
        <w:t xml:space="preserve">[והיינו דמחיים הייתה לה חזקת איסור ולא חזקת טומאה]. </w:t>
      </w:r>
    </w:p>
    <w:p w14:paraId="1EB4887E" w14:textId="77777777" w:rsidR="00852065" w:rsidRPr="0081186A" w:rsidRDefault="00852065" w:rsidP="006D6D32">
      <w:pPr>
        <w:pStyle w:val="a3"/>
      </w:pPr>
      <w:bookmarkStart w:id="249" w:name="_Toc521361979"/>
      <w:bookmarkStart w:id="250" w:name="_Toc522028125"/>
      <w:bookmarkStart w:id="251" w:name="_Toc522086128"/>
      <w:bookmarkStart w:id="252" w:name="_Toc522099548"/>
      <w:bookmarkStart w:id="253" w:name="_Toc19388863"/>
      <w:bookmarkStart w:id="254" w:name="_Toc19392360"/>
      <w:r>
        <w:rPr>
          <w:rFonts w:hint="cs"/>
          <w:rtl/>
        </w:rPr>
        <w:t>דברי השיטמ"ק דלא גרסינן ברש"י דמחיים אסורה באכילה ואינה מטמאה</w:t>
      </w:r>
      <w:bookmarkEnd w:id="249"/>
      <w:bookmarkEnd w:id="250"/>
      <w:bookmarkEnd w:id="251"/>
      <w:bookmarkEnd w:id="252"/>
      <w:bookmarkEnd w:id="253"/>
      <w:bookmarkEnd w:id="254"/>
    </w:p>
    <w:p w14:paraId="0EE5050C" w14:textId="77777777" w:rsidR="00852065" w:rsidRPr="0081186A" w:rsidRDefault="00852065" w:rsidP="00223668">
      <w:pPr>
        <w:pStyle w:val="a0"/>
      </w:pPr>
      <w:bookmarkStart w:id="255" w:name="_Ref522220920"/>
      <w:r w:rsidRPr="005767BE">
        <w:rPr>
          <w:rStyle w:val="af9"/>
          <w:rFonts w:hint="cs"/>
          <w:rtl/>
        </w:rPr>
        <w:t>ובהג' השיטמ"ק</w:t>
      </w:r>
      <w:r>
        <w:rPr>
          <w:rFonts w:hint="cs"/>
          <w:rtl/>
        </w:rPr>
        <w:t xml:space="preserve"> </w:t>
      </w:r>
      <w:r w:rsidRPr="00002727">
        <w:rPr>
          <w:rStyle w:val="af7"/>
          <w:rFonts w:eastAsia="Guttman Hodes" w:hint="cs"/>
          <w:rtl/>
        </w:rPr>
        <w:t xml:space="preserve">(על הדף אות י', מהדו' "עוז והדר" אות נ') </w:t>
      </w:r>
      <w:r>
        <w:rPr>
          <w:rFonts w:hint="cs"/>
          <w:rtl/>
        </w:rPr>
        <w:t xml:space="preserve">כתב דלא גרסינן </w:t>
      </w:r>
      <w:r w:rsidRPr="005767BE">
        <w:rPr>
          <w:rStyle w:val="af9"/>
          <w:rFonts w:hint="cs"/>
          <w:rtl/>
        </w:rPr>
        <w:t>ברש"י</w:t>
      </w:r>
      <w:r>
        <w:rPr>
          <w:rFonts w:hint="cs"/>
          <w:rtl/>
        </w:rPr>
        <w:t xml:space="preserve"> דקודם שחיטה אסורה רק באכילה ולא מטמאה, אלא רק דאסורה באכילה.</w:t>
      </w:r>
      <w:bookmarkEnd w:id="255"/>
    </w:p>
    <w:p w14:paraId="02FF447A" w14:textId="77777777" w:rsidR="00852065" w:rsidRDefault="00852065" w:rsidP="006D6D32">
      <w:pPr>
        <w:pStyle w:val="a3"/>
        <w:rPr>
          <w:rtl/>
        </w:rPr>
      </w:pPr>
      <w:bookmarkStart w:id="256" w:name="_Toc521361980"/>
      <w:bookmarkStart w:id="257" w:name="_Toc522028126"/>
      <w:bookmarkStart w:id="258" w:name="_Toc522086129"/>
      <w:bookmarkStart w:id="259" w:name="_Toc522099549"/>
      <w:bookmarkStart w:id="260" w:name="_Toc19388864"/>
      <w:bookmarkStart w:id="261" w:name="_Toc19392361"/>
      <w:r>
        <w:rPr>
          <w:rFonts w:hint="cs"/>
          <w:rtl/>
        </w:rPr>
        <w:t>ביאור השיטמ"ק בדעת רש"י דלר"א אינה מטמאה דיצאה מכלל אבמה"ח והוא פנים חדשות</w:t>
      </w:r>
      <w:bookmarkEnd w:id="256"/>
      <w:bookmarkEnd w:id="257"/>
      <w:bookmarkEnd w:id="258"/>
      <w:bookmarkEnd w:id="259"/>
      <w:bookmarkEnd w:id="260"/>
      <w:bookmarkEnd w:id="261"/>
    </w:p>
    <w:p w14:paraId="15F2A8C1" w14:textId="77777777" w:rsidR="00852065" w:rsidRDefault="00852065" w:rsidP="00223668">
      <w:pPr>
        <w:pStyle w:val="a0"/>
        <w:rPr>
          <w:rtl/>
        </w:rPr>
      </w:pPr>
      <w:r>
        <w:rPr>
          <w:rFonts w:hint="cs"/>
          <w:rtl/>
        </w:rPr>
        <w:t xml:space="preserve">וביאר </w:t>
      </w:r>
      <w:r w:rsidRPr="00900325">
        <w:rPr>
          <w:rStyle w:val="af9"/>
          <w:rFonts w:hint="cs"/>
          <w:rtl/>
        </w:rPr>
        <w:t>ה</w:t>
      </w:r>
      <w:r>
        <w:rPr>
          <w:rStyle w:val="af9"/>
          <w:rFonts w:hint="cs"/>
          <w:rtl/>
        </w:rPr>
        <w:t>שיטמ</w:t>
      </w:r>
      <w:r>
        <w:rPr>
          <w:rStyle w:val="af9"/>
          <w:rtl/>
        </w:rPr>
        <w:t>"</w:t>
      </w:r>
      <w:r>
        <w:rPr>
          <w:rStyle w:val="af9"/>
          <w:rFonts w:hint="cs"/>
          <w:rtl/>
        </w:rPr>
        <w:t>ק</w:t>
      </w:r>
      <w:r>
        <w:rPr>
          <w:rFonts w:hint="cs"/>
          <w:rtl/>
        </w:rPr>
        <w:t xml:space="preserve"> בדעת </w:t>
      </w:r>
      <w:r w:rsidRPr="00900325">
        <w:rPr>
          <w:rStyle w:val="af9"/>
          <w:rFonts w:hint="cs"/>
          <w:rtl/>
        </w:rPr>
        <w:t>רש"י</w:t>
      </w:r>
      <w:r>
        <w:rPr>
          <w:rFonts w:hint="cs"/>
          <w:rtl/>
        </w:rPr>
        <w:t xml:space="preserve"> דכיון שיצאה מכלל איסור אבר מן החי, לכן אף שמחזיקין מאיסור לאיסור, מ"מ פנים חדשות באו לכאן, ואפשר להעמידה רק בחזקת איסור לאכילה, אבל החזקת טומאה דאבר מן החי נסתלקה, וא"א לומר שיש לה חזקת שאינה שחוטה, דהרי שחוטה לפניך, ואף שנולד ספק בשחיטה שמא לא נשחטו רוב הסימנים,</w:t>
      </w:r>
      <w:r w:rsidRPr="00300B59">
        <w:rPr>
          <w:rFonts w:hint="cs"/>
          <w:rtl/>
        </w:rPr>
        <w:t xml:space="preserve"> </w:t>
      </w:r>
      <w:r>
        <w:rPr>
          <w:rFonts w:hint="cs"/>
          <w:rtl/>
        </w:rPr>
        <w:t>מ"מ כיון שהספק</w:t>
      </w:r>
      <w:r w:rsidRPr="00300B59">
        <w:rPr>
          <w:rFonts w:hint="cs"/>
          <w:rtl/>
        </w:rPr>
        <w:t xml:space="preserve"> </w:t>
      </w:r>
      <w:r>
        <w:rPr>
          <w:rFonts w:hint="cs"/>
          <w:rtl/>
        </w:rPr>
        <w:t>נולד לאחר השחיטה, א"א להחזיקה בטומאה.</w:t>
      </w:r>
    </w:p>
    <w:p w14:paraId="1940C2F1" w14:textId="77777777" w:rsidR="00852065" w:rsidRPr="001405C5" w:rsidRDefault="00852065" w:rsidP="006D6D32">
      <w:pPr>
        <w:pStyle w:val="a3"/>
      </w:pPr>
      <w:bookmarkStart w:id="262" w:name="_Toc521361981"/>
      <w:bookmarkStart w:id="263" w:name="_Toc522028127"/>
      <w:bookmarkStart w:id="264" w:name="_Toc522086130"/>
      <w:bookmarkStart w:id="265" w:name="_Toc522099550"/>
      <w:bookmarkStart w:id="266" w:name="_Toc19388865"/>
      <w:bookmarkStart w:id="267" w:name="_Toc19392362"/>
      <w:r>
        <w:rPr>
          <w:rFonts w:hint="cs"/>
          <w:rtl/>
        </w:rPr>
        <w:t>דברי השיטמ</w:t>
      </w:r>
      <w:r>
        <w:rPr>
          <w:rtl/>
        </w:rPr>
        <w:t>"</w:t>
      </w:r>
      <w:r>
        <w:rPr>
          <w:rFonts w:hint="cs"/>
          <w:rtl/>
        </w:rPr>
        <w:t>ק דכן מבואר לגירסתו ברש"י</w:t>
      </w:r>
      <w:bookmarkEnd w:id="262"/>
      <w:bookmarkEnd w:id="263"/>
      <w:bookmarkEnd w:id="264"/>
      <w:bookmarkEnd w:id="265"/>
      <w:bookmarkEnd w:id="266"/>
      <w:bookmarkEnd w:id="267"/>
    </w:p>
    <w:p w14:paraId="64836553" w14:textId="77777777" w:rsidR="00852065" w:rsidRDefault="00852065" w:rsidP="00223668">
      <w:pPr>
        <w:pStyle w:val="a0"/>
        <w:rPr>
          <w:rtl/>
        </w:rPr>
      </w:pPr>
      <w:r>
        <w:rPr>
          <w:rFonts w:hint="cs"/>
          <w:rtl/>
        </w:rPr>
        <w:t>ו</w:t>
      </w:r>
      <w:r w:rsidRPr="00E344FC">
        <w:rPr>
          <w:rtl/>
        </w:rPr>
        <w:t xml:space="preserve">הוסיף </w:t>
      </w:r>
      <w:r w:rsidRPr="0081186A">
        <w:rPr>
          <w:rStyle w:val="af9"/>
          <w:rtl/>
        </w:rPr>
        <w:t>ה</w:t>
      </w:r>
      <w:r>
        <w:rPr>
          <w:rStyle w:val="af9"/>
          <w:rtl/>
        </w:rPr>
        <w:t>שיטמ"ק</w:t>
      </w:r>
      <w:r w:rsidRPr="00E344FC">
        <w:rPr>
          <w:rtl/>
        </w:rPr>
        <w:t xml:space="preserve"> דכן הוא הביאור לפי </w:t>
      </w:r>
      <w:r>
        <w:rPr>
          <w:rFonts w:hint="cs"/>
          <w:rtl/>
        </w:rPr>
        <w:t xml:space="preserve">גירסתו המדוייקת </w:t>
      </w:r>
      <w:r w:rsidRPr="00E344FC">
        <w:rPr>
          <w:rtl/>
        </w:rPr>
        <w:t xml:space="preserve">בדברי </w:t>
      </w:r>
      <w:r w:rsidRPr="0081186A">
        <w:rPr>
          <w:rStyle w:val="af9"/>
          <w:rtl/>
        </w:rPr>
        <w:t xml:space="preserve">רש"י </w:t>
      </w:r>
      <w:r w:rsidRPr="0081186A">
        <w:rPr>
          <w:rStyle w:val="af7"/>
          <w:rFonts w:eastAsia="Guttman Rashi"/>
          <w:rtl/>
        </w:rPr>
        <w:t>(ד"ה ומר סבר)</w:t>
      </w:r>
      <w:r w:rsidRPr="00E344FC">
        <w:rPr>
          <w:rtl/>
        </w:rPr>
        <w:t xml:space="preserve"> "בחזקת איסור אמרינן ולאכילה</w:t>
      </w:r>
      <w:r w:rsidRPr="00002727">
        <w:rPr>
          <w:rStyle w:val="afb"/>
          <w:rtl/>
        </w:rPr>
        <w:t>"</w:t>
      </w:r>
      <w:r w:rsidRPr="00002727">
        <w:rPr>
          <w:rStyle w:val="afb"/>
          <w:rFonts w:hint="cs"/>
          <w:rtl/>
        </w:rPr>
        <w:t>.</w:t>
      </w:r>
      <w:r w:rsidRPr="00002727">
        <w:rPr>
          <w:rStyle w:val="afb"/>
          <w:rtl/>
        </w:rPr>
        <w:t xml:space="preserve"> </w:t>
      </w:r>
      <w:r w:rsidRPr="00002727">
        <w:rPr>
          <w:rStyle w:val="afb"/>
          <w:rFonts w:hint="cs"/>
          <w:rtl/>
        </w:rPr>
        <w:t>[ו</w:t>
      </w:r>
      <w:r>
        <w:rPr>
          <w:rStyle w:val="afb"/>
          <w:rFonts w:hint="cs"/>
          <w:rtl/>
        </w:rPr>
        <w:t xml:space="preserve">היינו דלגירסא דידן </w:t>
      </w:r>
      <w:r w:rsidRPr="001405C5">
        <w:rPr>
          <w:rStyle w:val="affa"/>
          <w:rtl/>
        </w:rPr>
        <w:t>ברש"י</w:t>
      </w:r>
      <w:r w:rsidRPr="00002727">
        <w:rPr>
          <w:rStyle w:val="afb"/>
          <w:rtl/>
        </w:rPr>
        <w:t xml:space="preserve"> משמע</w:t>
      </w:r>
      <w:r w:rsidRPr="00002727">
        <w:rPr>
          <w:rStyle w:val="afb"/>
          <w:rFonts w:hint="cs"/>
          <w:rtl/>
        </w:rPr>
        <w:t xml:space="preserve"> </w:t>
      </w:r>
      <w:r w:rsidRPr="00002727">
        <w:rPr>
          <w:rStyle w:val="afb"/>
          <w:rtl/>
        </w:rPr>
        <w:t xml:space="preserve">דקודם השחיטה </w:t>
      </w:r>
      <w:r>
        <w:rPr>
          <w:rStyle w:val="afb"/>
          <w:rFonts w:hint="cs"/>
          <w:rtl/>
        </w:rPr>
        <w:t>הייתה בחזקת איסור ו</w:t>
      </w:r>
      <w:r w:rsidRPr="00002727">
        <w:rPr>
          <w:rStyle w:val="afb"/>
          <w:rtl/>
        </w:rPr>
        <w:t xml:space="preserve">לא הייתה בחזקת טומאה, ואילו לגירסת </w:t>
      </w:r>
      <w:r w:rsidRPr="001405C5">
        <w:rPr>
          <w:rStyle w:val="affa"/>
          <w:rtl/>
        </w:rPr>
        <w:t>ה</w:t>
      </w:r>
      <w:r>
        <w:rPr>
          <w:rStyle w:val="affa"/>
          <w:rtl/>
        </w:rPr>
        <w:t>שיטמ"ק</w:t>
      </w:r>
      <w:r w:rsidRPr="001405C5">
        <w:rPr>
          <w:rStyle w:val="affa"/>
          <w:rtl/>
        </w:rPr>
        <w:t xml:space="preserve"> ברש"י</w:t>
      </w:r>
      <w:r w:rsidRPr="00002727">
        <w:rPr>
          <w:rStyle w:val="afb"/>
          <w:rtl/>
        </w:rPr>
        <w:t>, אף שקודם השחיטה הייתה בחזקת טומאה מחמת איסור אבר מן החי, מ"מ כיון ששחוטה לפניך ויצאה מכלל איסור אבר מן החי, א"א להחזיקה בחזקת טומאה].</w:t>
      </w:r>
    </w:p>
    <w:p w14:paraId="1FD30FD3" w14:textId="77777777" w:rsidR="00F10315" w:rsidRPr="00F10315" w:rsidRDefault="00F10315" w:rsidP="006D6D32">
      <w:pPr>
        <w:pStyle w:val="a3"/>
        <w:rPr>
          <w:rtl/>
        </w:rPr>
      </w:pPr>
    </w:p>
    <w:p w14:paraId="7F12CFFD" w14:textId="77777777" w:rsidR="00F10315" w:rsidRPr="00F10315" w:rsidRDefault="00F10315" w:rsidP="006D6D32">
      <w:pPr>
        <w:pStyle w:val="a3"/>
        <w:rPr>
          <w:rtl/>
        </w:rPr>
      </w:pPr>
    </w:p>
    <w:p w14:paraId="0FC221E9" w14:textId="77777777" w:rsidR="00852065" w:rsidRDefault="00852065" w:rsidP="00BF39B2">
      <w:pPr>
        <w:pStyle w:val="1"/>
        <w:rPr>
          <w:rtl/>
        </w:rPr>
      </w:pPr>
      <w:bookmarkStart w:id="268" w:name="_Toc522028128"/>
      <w:bookmarkStart w:id="269" w:name="_Toc522086131"/>
      <w:bookmarkStart w:id="270" w:name="_Toc522099551"/>
      <w:bookmarkStart w:id="271" w:name="_Toc19388866"/>
      <w:bookmarkStart w:id="272" w:name="_Toc19392363"/>
      <w:r>
        <w:rPr>
          <w:rFonts w:hint="cs"/>
          <w:rtl/>
        </w:rPr>
        <w:t>דעת הר"ן דנחלקו בחזקת טומאה</w:t>
      </w:r>
      <w:bookmarkEnd w:id="268"/>
      <w:bookmarkEnd w:id="269"/>
      <w:bookmarkEnd w:id="270"/>
      <w:bookmarkEnd w:id="271"/>
      <w:bookmarkEnd w:id="272"/>
    </w:p>
    <w:p w14:paraId="259BAB02" w14:textId="77777777" w:rsidR="00852065" w:rsidRPr="007653B9" w:rsidRDefault="00852065" w:rsidP="006D6D32">
      <w:pPr>
        <w:pStyle w:val="a3"/>
        <w:rPr>
          <w:rtl/>
        </w:rPr>
      </w:pPr>
      <w:bookmarkStart w:id="273" w:name="_Toc522086132"/>
      <w:bookmarkStart w:id="274" w:name="_Toc522099552"/>
      <w:bookmarkStart w:id="275" w:name="_Toc19388867"/>
      <w:bookmarkStart w:id="276" w:name="_Toc19392364"/>
      <w:r w:rsidRPr="007653B9">
        <w:rPr>
          <w:rFonts w:hint="cs"/>
          <w:rtl/>
        </w:rPr>
        <w:t xml:space="preserve">דברי הר"ן </w:t>
      </w:r>
      <w:r>
        <w:rPr>
          <w:rFonts w:hint="cs"/>
          <w:rtl/>
        </w:rPr>
        <w:t>דלר"א אין לה חזקת טומאה מחיים כמו דשחיטת טריפה מטהרת מנבילה</w:t>
      </w:r>
      <w:bookmarkEnd w:id="273"/>
      <w:bookmarkEnd w:id="274"/>
      <w:bookmarkEnd w:id="275"/>
      <w:bookmarkEnd w:id="276"/>
      <w:r>
        <w:rPr>
          <w:rFonts w:hint="cs"/>
          <w:rtl/>
        </w:rPr>
        <w:t xml:space="preserve"> </w:t>
      </w:r>
    </w:p>
    <w:p w14:paraId="5FFC2A84" w14:textId="77777777" w:rsidR="00852065" w:rsidRPr="00C12F90" w:rsidRDefault="00852065" w:rsidP="00223668">
      <w:pPr>
        <w:pStyle w:val="a0"/>
        <w:rPr>
          <w:rtl/>
        </w:rPr>
      </w:pPr>
      <w:r>
        <w:rPr>
          <w:rFonts w:hint="cs"/>
          <w:rtl/>
        </w:rPr>
        <w:t xml:space="preserve">והנה בביאור דעת ר"א ב"ר ינאי דאינה מטמאה, העתיק </w:t>
      </w:r>
      <w:r w:rsidRPr="00372640">
        <w:rPr>
          <w:rStyle w:val="af9"/>
          <w:rFonts w:hint="cs"/>
          <w:rtl/>
        </w:rPr>
        <w:t>הר"ן</w:t>
      </w:r>
      <w:r>
        <w:rPr>
          <w:rFonts w:hint="cs"/>
          <w:rtl/>
        </w:rPr>
        <w:t xml:space="preserve"> </w:t>
      </w:r>
      <w:r w:rsidRPr="00372640">
        <w:rPr>
          <w:rStyle w:val="af7"/>
          <w:rFonts w:eastAsia="Guttman Hodes" w:hint="cs"/>
          <w:rtl/>
        </w:rPr>
        <w:t>(דף א: מדפי הרי"ף ד"ה טריפה)</w:t>
      </w:r>
      <w:r>
        <w:rPr>
          <w:rFonts w:hint="cs"/>
          <w:rtl/>
        </w:rPr>
        <w:t xml:space="preserve"> את דברי </w:t>
      </w:r>
      <w:r w:rsidRPr="00372640">
        <w:rPr>
          <w:rStyle w:val="af9"/>
          <w:rFonts w:hint="cs"/>
          <w:rtl/>
        </w:rPr>
        <w:t>רש"י</w:t>
      </w:r>
      <w:r>
        <w:rPr>
          <w:rFonts w:hint="cs"/>
          <w:rtl/>
        </w:rPr>
        <w:t xml:space="preserve"> דטריפה שחוטה אינה מטמאה, והוסיף </w:t>
      </w:r>
      <w:r w:rsidRPr="00163FCE">
        <w:rPr>
          <w:rStyle w:val="af9"/>
          <w:rFonts w:hint="cs"/>
          <w:rtl/>
        </w:rPr>
        <w:t>הר"ן</w:t>
      </w:r>
      <w:r>
        <w:rPr>
          <w:rFonts w:hint="cs"/>
          <w:rtl/>
        </w:rPr>
        <w:t xml:space="preserve"> דכמו דבטריפה שחיטתה מטהרתה מטומאת נבילה, ה"ה בלא בדק בסימנים דאסורה באכילה אך אינה מטמאה כנבילה, דבחזקת איסור קיימא ולא בחזקת טומאה, ולכן מוקמינן לה על חזקתה דאסורה </w:t>
      </w:r>
      <w:r w:rsidRPr="00C12F90">
        <w:rPr>
          <w:rFonts w:hint="cs"/>
          <w:rtl/>
        </w:rPr>
        <w:t>באכילה.</w:t>
      </w:r>
    </w:p>
    <w:p w14:paraId="67F7EC08" w14:textId="77777777" w:rsidR="00852065" w:rsidRPr="00C12F90" w:rsidRDefault="00852065" w:rsidP="006D6D32">
      <w:pPr>
        <w:pStyle w:val="a3"/>
      </w:pPr>
      <w:bookmarkStart w:id="277" w:name="_Toc522086133"/>
      <w:bookmarkStart w:id="278" w:name="_Toc522099553"/>
      <w:bookmarkStart w:id="279" w:name="_Toc19388868"/>
      <w:bookmarkStart w:id="280" w:name="_Toc19392365"/>
      <w:r>
        <w:rPr>
          <w:rFonts w:hint="cs"/>
          <w:rtl/>
        </w:rPr>
        <w:t>דברי הר"ן בדעת הברייתא דמחיים היא בחזקת אינה שחוטה והשתא דמתה היא נבילה</w:t>
      </w:r>
      <w:bookmarkEnd w:id="277"/>
      <w:bookmarkEnd w:id="278"/>
      <w:bookmarkEnd w:id="279"/>
      <w:bookmarkEnd w:id="280"/>
    </w:p>
    <w:p w14:paraId="2D26E632" w14:textId="77777777" w:rsidR="00852065" w:rsidRPr="005402A8" w:rsidRDefault="00852065" w:rsidP="00223668">
      <w:pPr>
        <w:pStyle w:val="a0"/>
        <w:rPr>
          <w:rStyle w:val="afb"/>
          <w:rtl/>
        </w:rPr>
      </w:pPr>
      <w:bookmarkStart w:id="281" w:name="_Ref522221044"/>
      <w:r>
        <w:rPr>
          <w:rFonts w:hint="cs"/>
          <w:rtl/>
        </w:rPr>
        <w:t xml:space="preserve">ובדעת הברייתא דמטמאה כתב </w:t>
      </w:r>
      <w:r w:rsidRPr="00163FCE">
        <w:rPr>
          <w:rStyle w:val="af9"/>
          <w:rFonts w:hint="cs"/>
          <w:rtl/>
        </w:rPr>
        <w:t xml:space="preserve">הר"ן </w:t>
      </w:r>
      <w:r w:rsidRPr="00163FCE">
        <w:rPr>
          <w:rStyle w:val="af7"/>
          <w:rFonts w:eastAsia="Guttman Hodes" w:hint="cs"/>
          <w:rtl/>
        </w:rPr>
        <w:t>(</w:t>
      </w:r>
      <w:r w:rsidRPr="00372640">
        <w:rPr>
          <w:rStyle w:val="af7"/>
          <w:rFonts w:eastAsia="Guttman Hodes" w:hint="cs"/>
          <w:rtl/>
        </w:rPr>
        <w:t xml:space="preserve">דף א: מדפי הרי"ף </w:t>
      </w:r>
      <w:r w:rsidRPr="00163FCE">
        <w:rPr>
          <w:rStyle w:val="af7"/>
          <w:rFonts w:eastAsia="Guttman Hodes" w:hint="cs"/>
          <w:rtl/>
        </w:rPr>
        <w:t>ד"ה נבילה)</w:t>
      </w:r>
      <w:r>
        <w:rPr>
          <w:rFonts w:hint="cs"/>
          <w:rtl/>
        </w:rPr>
        <w:t xml:space="preserve"> כדברי </w:t>
      </w:r>
      <w:r w:rsidRPr="00163FCE">
        <w:rPr>
          <w:rStyle w:val="af9"/>
          <w:rFonts w:hint="cs"/>
          <w:rtl/>
        </w:rPr>
        <w:t>רש"י</w:t>
      </w:r>
      <w:r>
        <w:rPr>
          <w:rFonts w:hint="cs"/>
          <w:rtl/>
        </w:rPr>
        <w:t xml:space="preserve"> </w:t>
      </w:r>
      <w:r w:rsidRPr="003C1391">
        <w:rPr>
          <w:rStyle w:val="af7"/>
          <w:rFonts w:eastAsia="Guttman Hodes" w:hint="cs"/>
          <w:rtl/>
        </w:rPr>
        <w:t>(</w:t>
      </w:r>
      <w:r w:rsidRPr="00E848CA">
        <w:rPr>
          <w:rStyle w:val="af7"/>
          <w:rFonts w:eastAsia="Guttman Hodes" w:hint="cs"/>
          <w:rtl/>
        </w:rPr>
        <w:t xml:space="preserve">עי' אות </w:t>
      </w:r>
      <w:r w:rsidRPr="00E848CA">
        <w:rPr>
          <w:rStyle w:val="af7"/>
          <w:rFonts w:eastAsia="Guttman Hodes"/>
          <w:rtl/>
        </w:rPr>
        <w:fldChar w:fldCharType="begin"/>
      </w:r>
      <w:r w:rsidRPr="00E848CA">
        <w:rPr>
          <w:rStyle w:val="af7"/>
          <w:rFonts w:eastAsia="Guttman Hodes"/>
          <w:rtl/>
        </w:rPr>
        <w:instrText xml:space="preserve"> </w:instrText>
      </w:r>
      <w:r w:rsidRPr="00E848CA">
        <w:rPr>
          <w:rStyle w:val="af7"/>
          <w:rFonts w:eastAsia="Guttman Hodes" w:hint="cs"/>
        </w:rPr>
        <w:instrText>REF</w:instrText>
      </w:r>
      <w:r w:rsidRPr="00E848CA">
        <w:rPr>
          <w:rStyle w:val="af7"/>
          <w:rFonts w:eastAsia="Guttman Hodes" w:hint="cs"/>
          <w:rtl/>
        </w:rPr>
        <w:instrText xml:space="preserve"> _</w:instrText>
      </w:r>
      <w:r w:rsidRPr="00E848CA">
        <w:rPr>
          <w:rStyle w:val="af7"/>
          <w:rFonts w:eastAsia="Guttman Hodes" w:hint="cs"/>
        </w:rPr>
        <w:instrText>Ref521920654 \r \h</w:instrText>
      </w:r>
      <w:r w:rsidRPr="00E848CA">
        <w:rPr>
          <w:rStyle w:val="af7"/>
          <w:rFonts w:eastAsia="Guttman Hodes"/>
          <w:rtl/>
        </w:rPr>
        <w:instrText xml:space="preserve"> </w:instrText>
      </w:r>
      <w:r w:rsidRPr="00E848CA">
        <w:rPr>
          <w:rStyle w:val="af7"/>
          <w:rFonts w:eastAsia="Guttman Hodes"/>
          <w:rtl/>
        </w:rPr>
      </w:r>
      <w:r w:rsidRPr="00E848CA">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E848CA">
        <w:rPr>
          <w:rStyle w:val="af7"/>
          <w:rFonts w:eastAsia="Guttman Hodes"/>
          <w:rtl/>
        </w:rPr>
        <w:fldChar w:fldCharType="end"/>
      </w:r>
      <w:r>
        <w:rPr>
          <w:rFonts w:hint="cs"/>
          <w:rtl/>
        </w:rPr>
        <w:t xml:space="preserve"> דבחייה היא בחזקת שאינה שחוטה והשתא דמתה ומטמאה. </w:t>
      </w:r>
      <w:r w:rsidRPr="005402A8">
        <w:rPr>
          <w:rStyle w:val="afb"/>
          <w:rFonts w:hint="cs"/>
          <w:rtl/>
        </w:rPr>
        <w:t xml:space="preserve">[ומשמע דביאר </w:t>
      </w:r>
      <w:r w:rsidRPr="00116416">
        <w:rPr>
          <w:rStyle w:val="affa"/>
          <w:rFonts w:hint="cs"/>
          <w:rtl/>
        </w:rPr>
        <w:t>הר"ן</w:t>
      </w:r>
      <w:r>
        <w:rPr>
          <w:rStyle w:val="afb"/>
          <w:rFonts w:hint="cs"/>
          <w:rtl/>
        </w:rPr>
        <w:t xml:space="preserve"> </w:t>
      </w:r>
      <w:r w:rsidRPr="005402A8">
        <w:rPr>
          <w:rStyle w:val="afb"/>
          <w:rFonts w:hint="cs"/>
          <w:rtl/>
        </w:rPr>
        <w:t xml:space="preserve">בדעת </w:t>
      </w:r>
      <w:r w:rsidRPr="00116416">
        <w:rPr>
          <w:rStyle w:val="affa"/>
          <w:rFonts w:hint="cs"/>
          <w:rtl/>
        </w:rPr>
        <w:t>רש"י</w:t>
      </w:r>
      <w:r w:rsidRPr="005402A8">
        <w:rPr>
          <w:rStyle w:val="afb"/>
          <w:rFonts w:hint="cs"/>
          <w:rtl/>
        </w:rPr>
        <w:t xml:space="preserve"> דנחלקו אם יש לה חזקת איסור או חזקת טומאה, </w:t>
      </w:r>
      <w:r>
        <w:rPr>
          <w:rStyle w:val="afb"/>
          <w:rFonts w:hint="cs"/>
          <w:rtl/>
        </w:rPr>
        <w:t xml:space="preserve">ודלא כגריסת וביאור </w:t>
      </w:r>
      <w:r w:rsidRPr="007653B9">
        <w:rPr>
          <w:rStyle w:val="affa"/>
          <w:rFonts w:hint="cs"/>
          <w:rtl/>
        </w:rPr>
        <w:t>השיטמ"ק ברש"י</w:t>
      </w:r>
      <w:r>
        <w:rPr>
          <w:rStyle w:val="afb"/>
          <w:rFonts w:hint="cs"/>
          <w:rtl/>
        </w:rPr>
        <w:t xml:space="preserve"> </w:t>
      </w:r>
      <w:r w:rsidRPr="003C1391">
        <w:rPr>
          <w:rStyle w:val="aff6"/>
          <w:rFonts w:hint="cs"/>
          <w:rtl/>
        </w:rPr>
        <w:t xml:space="preserve">(עי' </w:t>
      </w:r>
      <w:r w:rsidRPr="00E848CA">
        <w:rPr>
          <w:rStyle w:val="aff6"/>
          <w:rFonts w:hint="cs"/>
          <w:rtl/>
        </w:rPr>
        <w:t xml:space="preserve">אות </w:t>
      </w:r>
      <w:r w:rsidRPr="00E848CA">
        <w:rPr>
          <w:rStyle w:val="aff6"/>
          <w:rtl/>
        </w:rPr>
        <w:fldChar w:fldCharType="begin"/>
      </w:r>
      <w:r w:rsidRPr="00E848CA">
        <w:rPr>
          <w:rStyle w:val="aff6"/>
          <w:rtl/>
        </w:rPr>
        <w:instrText xml:space="preserve"> </w:instrText>
      </w:r>
      <w:r w:rsidRPr="00E848CA">
        <w:rPr>
          <w:rStyle w:val="aff6"/>
          <w:rFonts w:hint="cs"/>
        </w:rPr>
        <w:instrText>REF</w:instrText>
      </w:r>
      <w:r w:rsidRPr="00E848CA">
        <w:rPr>
          <w:rStyle w:val="aff6"/>
          <w:rFonts w:hint="cs"/>
          <w:rtl/>
        </w:rPr>
        <w:instrText xml:space="preserve"> _</w:instrText>
      </w:r>
      <w:r w:rsidRPr="00E848CA">
        <w:rPr>
          <w:rStyle w:val="aff6"/>
          <w:rFonts w:hint="cs"/>
        </w:rPr>
        <w:instrText>Ref522220920 \r \h</w:instrText>
      </w:r>
      <w:r w:rsidRPr="00E848CA">
        <w:rPr>
          <w:rStyle w:val="aff6"/>
          <w:rtl/>
        </w:rPr>
        <w:instrText xml:space="preserve"> </w:instrText>
      </w:r>
      <w:r w:rsidRPr="00E848CA">
        <w:rPr>
          <w:rStyle w:val="aff6"/>
          <w:rtl/>
        </w:rPr>
      </w:r>
      <w:r w:rsidRPr="00E848CA">
        <w:rPr>
          <w:rStyle w:val="aff6"/>
          <w:rtl/>
        </w:rPr>
        <w:fldChar w:fldCharType="separate"/>
      </w:r>
      <w:r w:rsidR="00345400">
        <w:rPr>
          <w:rStyle w:val="aff6"/>
          <w:cs/>
        </w:rPr>
        <w:t>‎</w:t>
      </w:r>
      <w:r w:rsidR="00345400">
        <w:rPr>
          <w:rStyle w:val="aff6"/>
          <w:rtl/>
        </w:rPr>
        <w:t>טז)</w:t>
      </w:r>
      <w:r w:rsidRPr="00E848CA">
        <w:rPr>
          <w:rStyle w:val="aff6"/>
          <w:rtl/>
        </w:rPr>
        <w:fldChar w:fldCharType="end"/>
      </w:r>
      <w:r>
        <w:rPr>
          <w:rStyle w:val="afb"/>
          <w:rFonts w:hint="cs"/>
          <w:rtl/>
        </w:rPr>
        <w:t xml:space="preserve">. </w:t>
      </w:r>
      <w:r w:rsidRPr="005402A8">
        <w:rPr>
          <w:rStyle w:val="afb"/>
          <w:rFonts w:hint="cs"/>
          <w:rtl/>
        </w:rPr>
        <w:t xml:space="preserve">וע"ע במה שביאר </w:t>
      </w:r>
      <w:r w:rsidRPr="00116416">
        <w:rPr>
          <w:rStyle w:val="affa"/>
          <w:rFonts w:hint="cs"/>
          <w:rtl/>
        </w:rPr>
        <w:t>החת"ס</w:t>
      </w:r>
      <w:r w:rsidRPr="005402A8">
        <w:rPr>
          <w:rStyle w:val="afb"/>
          <w:rFonts w:hint="cs"/>
          <w:rtl/>
        </w:rPr>
        <w:t xml:space="preserve"> </w:t>
      </w:r>
      <w:r w:rsidRPr="003C1391">
        <w:rPr>
          <w:rStyle w:val="aff6"/>
          <w:rFonts w:hint="cs"/>
          <w:rtl/>
        </w:rPr>
        <w:t xml:space="preserve">(עי' </w:t>
      </w:r>
      <w:r w:rsidRPr="00E848CA">
        <w:rPr>
          <w:rStyle w:val="aff6"/>
          <w:rFonts w:hint="cs"/>
          <w:rtl/>
        </w:rPr>
        <w:t xml:space="preserve">אות </w:t>
      </w:r>
      <w:r w:rsidRPr="00E848CA">
        <w:rPr>
          <w:rStyle w:val="aff6"/>
          <w:rtl/>
        </w:rPr>
        <w:fldChar w:fldCharType="begin"/>
      </w:r>
      <w:r w:rsidRPr="00E848CA">
        <w:rPr>
          <w:rStyle w:val="aff6"/>
          <w:rtl/>
        </w:rPr>
        <w:instrText xml:space="preserve"> </w:instrText>
      </w:r>
      <w:r w:rsidRPr="00E848CA">
        <w:rPr>
          <w:rStyle w:val="aff6"/>
          <w:rFonts w:hint="cs"/>
        </w:rPr>
        <w:instrText>REF</w:instrText>
      </w:r>
      <w:r w:rsidRPr="00E848CA">
        <w:rPr>
          <w:rStyle w:val="aff6"/>
          <w:rFonts w:hint="cs"/>
          <w:rtl/>
        </w:rPr>
        <w:instrText xml:space="preserve"> _</w:instrText>
      </w:r>
      <w:r w:rsidRPr="00E848CA">
        <w:rPr>
          <w:rStyle w:val="aff6"/>
          <w:rFonts w:hint="cs"/>
        </w:rPr>
        <w:instrText>Ref522220943 \r \h</w:instrText>
      </w:r>
      <w:r w:rsidRPr="00E848CA">
        <w:rPr>
          <w:rStyle w:val="aff6"/>
          <w:rtl/>
        </w:rPr>
        <w:instrText xml:space="preserve"> </w:instrText>
      </w:r>
      <w:r w:rsidRPr="00E848CA">
        <w:rPr>
          <w:rStyle w:val="aff6"/>
          <w:rtl/>
        </w:rPr>
      </w:r>
      <w:r w:rsidRPr="00E848CA">
        <w:rPr>
          <w:rStyle w:val="aff6"/>
          <w:rtl/>
        </w:rPr>
        <w:fldChar w:fldCharType="separate"/>
      </w:r>
      <w:r w:rsidR="00345400">
        <w:rPr>
          <w:rStyle w:val="aff6"/>
          <w:cs/>
        </w:rPr>
        <w:t>‎</w:t>
      </w:r>
      <w:r w:rsidR="00345400">
        <w:rPr>
          <w:rStyle w:val="aff6"/>
          <w:rtl/>
        </w:rPr>
        <w:t>כב)</w:t>
      </w:r>
      <w:r w:rsidRPr="00E848CA">
        <w:rPr>
          <w:rStyle w:val="aff6"/>
          <w:rtl/>
        </w:rPr>
        <w:fldChar w:fldCharType="end"/>
      </w:r>
      <w:r w:rsidRPr="005402A8">
        <w:rPr>
          <w:rStyle w:val="afb"/>
          <w:rFonts w:hint="cs"/>
          <w:rtl/>
        </w:rPr>
        <w:t xml:space="preserve">, ויתכן דכן משמע בלשון </w:t>
      </w:r>
      <w:r w:rsidRPr="00116416">
        <w:rPr>
          <w:rStyle w:val="affa"/>
          <w:rFonts w:hint="cs"/>
          <w:rtl/>
        </w:rPr>
        <w:t>הר"ן</w:t>
      </w:r>
      <w:r w:rsidRPr="005402A8">
        <w:rPr>
          <w:rStyle w:val="afb"/>
          <w:rFonts w:hint="cs"/>
          <w:rtl/>
        </w:rPr>
        <w:t>].</w:t>
      </w:r>
      <w:bookmarkEnd w:id="281"/>
    </w:p>
    <w:p w14:paraId="4859C63C" w14:textId="77777777" w:rsidR="00852065" w:rsidRDefault="00852065" w:rsidP="00BF39B2">
      <w:pPr>
        <w:pStyle w:val="1"/>
        <w:rPr>
          <w:rtl/>
        </w:rPr>
      </w:pPr>
      <w:bookmarkStart w:id="282" w:name="_Toc522028129"/>
      <w:bookmarkStart w:id="283" w:name="_Toc522086134"/>
      <w:bookmarkStart w:id="284" w:name="_Toc522099554"/>
      <w:bookmarkStart w:id="285" w:name="_Toc19388869"/>
      <w:bookmarkStart w:id="286" w:name="_Toc19392366"/>
      <w:r>
        <w:rPr>
          <w:rFonts w:hint="cs"/>
          <w:rtl/>
        </w:rPr>
        <w:t>ביאור החת"ס ונימוקי הגרי"ב בפלוגתת רש"י ותוס'</w:t>
      </w:r>
      <w:bookmarkEnd w:id="282"/>
      <w:bookmarkEnd w:id="283"/>
      <w:bookmarkEnd w:id="284"/>
      <w:bookmarkEnd w:id="285"/>
      <w:bookmarkEnd w:id="286"/>
    </w:p>
    <w:p w14:paraId="3716BCDF" w14:textId="77777777" w:rsidR="00852065" w:rsidRDefault="00852065" w:rsidP="006D6D32">
      <w:pPr>
        <w:pStyle w:val="a3"/>
        <w:rPr>
          <w:rtl/>
        </w:rPr>
      </w:pPr>
      <w:bookmarkStart w:id="287" w:name="_Toc522028130"/>
      <w:bookmarkStart w:id="288" w:name="_Toc522086135"/>
      <w:bookmarkStart w:id="289" w:name="_Toc522099555"/>
      <w:bookmarkStart w:id="290" w:name="_Toc19388870"/>
      <w:bookmarkStart w:id="291" w:name="_Toc19392367"/>
      <w:r>
        <w:rPr>
          <w:rFonts w:hint="cs"/>
          <w:rtl/>
        </w:rPr>
        <w:t>קושית החת"ס דרש"י כתב גם אבר מן החי וגם שאינה שחוטה</w:t>
      </w:r>
      <w:bookmarkEnd w:id="287"/>
      <w:bookmarkEnd w:id="288"/>
      <w:bookmarkEnd w:id="289"/>
      <w:bookmarkEnd w:id="290"/>
      <w:bookmarkEnd w:id="291"/>
    </w:p>
    <w:p w14:paraId="7E587F04" w14:textId="77777777" w:rsidR="00852065" w:rsidRDefault="00852065" w:rsidP="00223668">
      <w:pPr>
        <w:pStyle w:val="a0"/>
        <w:rPr>
          <w:rtl/>
        </w:rPr>
      </w:pPr>
      <w:r>
        <w:rPr>
          <w:rFonts w:hint="cs"/>
          <w:rtl/>
        </w:rPr>
        <w:t xml:space="preserve">והקשה </w:t>
      </w:r>
      <w:r w:rsidRPr="005D115C">
        <w:rPr>
          <w:rStyle w:val="af9"/>
          <w:rFonts w:hint="cs"/>
          <w:rtl/>
        </w:rPr>
        <w:t xml:space="preserve">החת"ס </w:t>
      </w:r>
      <w:r w:rsidRPr="005D115C">
        <w:rPr>
          <w:rStyle w:val="af7"/>
          <w:rFonts w:eastAsia="Guttman Hodes" w:hint="cs"/>
          <w:rtl/>
        </w:rPr>
        <w:t xml:space="preserve">(ד"ה מה סבר) </w:t>
      </w:r>
      <w:r>
        <w:rPr>
          <w:rFonts w:hint="cs"/>
          <w:rtl/>
        </w:rPr>
        <w:t xml:space="preserve">דבדעת הברייתא דמטמאה כנבילה ביאר </w:t>
      </w:r>
      <w:r w:rsidRPr="005D115C">
        <w:rPr>
          <w:rStyle w:val="af9"/>
          <w:rFonts w:hint="cs"/>
          <w:rtl/>
        </w:rPr>
        <w:t>רש"י</w:t>
      </w:r>
      <w:r>
        <w:rPr>
          <w:rFonts w:hint="cs"/>
          <w:rtl/>
        </w:rPr>
        <w:t xml:space="preserve"> </w:t>
      </w:r>
      <w:r w:rsidRPr="00B745B1">
        <w:rPr>
          <w:rStyle w:val="af7"/>
          <w:rFonts w:eastAsia="Guttman Hodes" w:hint="cs"/>
          <w:rtl/>
        </w:rPr>
        <w:t xml:space="preserve">(עי' </w:t>
      </w:r>
      <w:r w:rsidRPr="00E848CA">
        <w:rPr>
          <w:rStyle w:val="af7"/>
          <w:rFonts w:eastAsia="Guttman Hodes" w:hint="cs"/>
          <w:rtl/>
        </w:rPr>
        <w:t xml:space="preserve">אות </w:t>
      </w:r>
      <w:r w:rsidRPr="00E848CA">
        <w:rPr>
          <w:rStyle w:val="af7"/>
          <w:rFonts w:eastAsia="Guttman Hodes"/>
          <w:rtl/>
        </w:rPr>
        <w:fldChar w:fldCharType="begin"/>
      </w:r>
      <w:r w:rsidRPr="00E848CA">
        <w:rPr>
          <w:rStyle w:val="af7"/>
          <w:rFonts w:eastAsia="Guttman Hodes"/>
          <w:rtl/>
        </w:rPr>
        <w:instrText xml:space="preserve"> </w:instrText>
      </w:r>
      <w:r w:rsidRPr="00E848CA">
        <w:rPr>
          <w:rStyle w:val="af7"/>
          <w:rFonts w:eastAsia="Guttman Hodes" w:hint="cs"/>
        </w:rPr>
        <w:instrText>REF</w:instrText>
      </w:r>
      <w:r w:rsidRPr="00E848CA">
        <w:rPr>
          <w:rStyle w:val="af7"/>
          <w:rFonts w:eastAsia="Guttman Hodes" w:hint="cs"/>
          <w:rtl/>
        </w:rPr>
        <w:instrText xml:space="preserve"> _</w:instrText>
      </w:r>
      <w:r w:rsidRPr="00E848CA">
        <w:rPr>
          <w:rStyle w:val="af7"/>
          <w:rFonts w:eastAsia="Guttman Hodes" w:hint="cs"/>
        </w:rPr>
        <w:instrText>Ref521920654 \r \h</w:instrText>
      </w:r>
      <w:r w:rsidRPr="00E848CA">
        <w:rPr>
          <w:rStyle w:val="af7"/>
          <w:rFonts w:eastAsia="Guttman Hodes"/>
          <w:rtl/>
        </w:rPr>
        <w:instrText xml:space="preserve"> </w:instrText>
      </w:r>
      <w:r w:rsidRPr="00E848CA">
        <w:rPr>
          <w:rStyle w:val="af7"/>
          <w:rFonts w:eastAsia="Guttman Hodes"/>
          <w:rtl/>
        </w:rPr>
      </w:r>
      <w:r w:rsidRPr="00E848CA">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E848CA">
        <w:rPr>
          <w:rStyle w:val="af7"/>
          <w:rFonts w:eastAsia="Guttman Hodes"/>
          <w:rtl/>
        </w:rPr>
        <w:fldChar w:fldCharType="end"/>
      </w:r>
      <w:r>
        <w:rPr>
          <w:rFonts w:hint="cs"/>
          <w:rtl/>
        </w:rPr>
        <w:t xml:space="preserve"> דהבהמה בחזקת שאינה שחוטה, ומשמע דס"ל דהיא בחזקת אינו זבוח, ואילו בדעת ר"א ב"ר ינאי דאסורה רק באכילה, ביאר </w:t>
      </w:r>
      <w:r w:rsidRPr="001E0831">
        <w:rPr>
          <w:rStyle w:val="af9"/>
          <w:rFonts w:hint="cs"/>
          <w:rtl/>
        </w:rPr>
        <w:t>רש"י</w:t>
      </w:r>
      <w:r w:rsidRPr="001E0831">
        <w:rPr>
          <w:rStyle w:val="af7"/>
          <w:rFonts w:eastAsia="Guttman Hodes" w:hint="cs"/>
          <w:rtl/>
        </w:rPr>
        <w:t xml:space="preserve"> (ד"ה לא אמרינן) </w:t>
      </w:r>
      <w:r>
        <w:rPr>
          <w:rFonts w:hint="cs"/>
          <w:rtl/>
        </w:rPr>
        <w:t xml:space="preserve">דכיון שבשר מן החי אינו מטמאה לכן בספק שחיטה אינה מטמאה כנבילה, ומשמע דהבהמה בחזקת איסור דאבר מן החי, ומחזיקין מאיסור לאיסור, כדכתב </w:t>
      </w:r>
      <w:r w:rsidRPr="007C2CC4">
        <w:rPr>
          <w:rStyle w:val="af9"/>
          <w:rFonts w:hint="cs"/>
          <w:rtl/>
        </w:rPr>
        <w:t>והרשב"א ביבמות</w:t>
      </w:r>
      <w:r w:rsidRPr="007C2CC4">
        <w:rPr>
          <w:rFonts w:hint="cs"/>
          <w:rtl/>
        </w:rPr>
        <w:t xml:space="preserve"> </w:t>
      </w:r>
      <w:r w:rsidRPr="007C2CC4">
        <w:rPr>
          <w:rStyle w:val="af7"/>
          <w:rFonts w:eastAsia="Guttman Hodes" w:hint="cs"/>
          <w:rtl/>
        </w:rPr>
        <w:t>(ל: ד"ה והא</w:t>
      </w:r>
      <w:r>
        <w:rPr>
          <w:rStyle w:val="af7"/>
          <w:rFonts w:eastAsia="Guttman Hodes" w:hint="cs"/>
          <w:rtl/>
        </w:rPr>
        <w:t>, הובא ב</w:t>
      </w:r>
      <w:r w:rsidRPr="0008506D">
        <w:rPr>
          <w:rStyle w:val="af7"/>
          <w:rFonts w:eastAsia="Guttman Hodes" w:hint="cs"/>
          <w:rtl/>
        </w:rPr>
        <w:t xml:space="preserve">סימן </w:t>
      </w:r>
      <w:r w:rsidRPr="00C6066B">
        <w:rPr>
          <w:rStyle w:val="af7"/>
          <w:rFonts w:eastAsia="Guttman Hodes" w:hint="cs"/>
          <w:rtl/>
        </w:rPr>
        <w:t xml:space="preserve">ב' אות </w:t>
      </w:r>
      <w:r w:rsidRPr="00C6066B">
        <w:rPr>
          <w:rStyle w:val="af7"/>
          <w:rFonts w:eastAsia="Guttman Hodes"/>
          <w:rtl/>
        </w:rPr>
        <w:fldChar w:fldCharType="begin"/>
      </w:r>
      <w:r w:rsidRPr="00C6066B">
        <w:rPr>
          <w:rStyle w:val="af7"/>
          <w:rFonts w:eastAsia="Guttman Hodes"/>
          <w:rtl/>
        </w:rPr>
        <w:instrText xml:space="preserve"> </w:instrText>
      </w:r>
      <w:r w:rsidRPr="00C6066B">
        <w:rPr>
          <w:rStyle w:val="af7"/>
          <w:rFonts w:eastAsia="Guttman Hodes" w:hint="cs"/>
        </w:rPr>
        <w:instrText>REF</w:instrText>
      </w:r>
      <w:r w:rsidRPr="00C6066B">
        <w:rPr>
          <w:rStyle w:val="af7"/>
          <w:rFonts w:eastAsia="Guttman Hodes" w:hint="cs"/>
          <w:rtl/>
        </w:rPr>
        <w:instrText xml:space="preserve"> _</w:instrText>
      </w:r>
      <w:r w:rsidRPr="00C6066B">
        <w:rPr>
          <w:rStyle w:val="af7"/>
          <w:rFonts w:eastAsia="Guttman Hodes" w:hint="cs"/>
        </w:rPr>
        <w:instrText>Ref522187437 \r \h</w:instrText>
      </w:r>
      <w:r w:rsidRPr="00C6066B">
        <w:rPr>
          <w:rStyle w:val="af7"/>
          <w:rFonts w:eastAsia="Guttman Hodes"/>
          <w:rtl/>
        </w:rPr>
        <w:instrText xml:space="preserve"> </w:instrText>
      </w:r>
      <w:r w:rsidRPr="00C6066B">
        <w:rPr>
          <w:rStyle w:val="af7"/>
          <w:rFonts w:eastAsia="Guttman Hodes"/>
          <w:rtl/>
        </w:rPr>
      </w:r>
      <w:r w:rsidRPr="00C6066B">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sidRPr="00C6066B">
        <w:rPr>
          <w:rStyle w:val="af7"/>
          <w:rFonts w:eastAsia="Guttman Hodes"/>
          <w:rtl/>
        </w:rPr>
        <w:fldChar w:fldCharType="end"/>
      </w:r>
      <w:r>
        <w:rPr>
          <w:rFonts w:hint="cs"/>
          <w:rtl/>
        </w:rPr>
        <w:t xml:space="preserve">, וכן הקשה </w:t>
      </w:r>
      <w:r w:rsidRPr="00656469">
        <w:rPr>
          <w:rStyle w:val="af9"/>
          <w:rFonts w:hint="cs"/>
          <w:rtl/>
        </w:rPr>
        <w:t>בנימוק"י הגרי"ב</w:t>
      </w:r>
      <w:r>
        <w:rPr>
          <w:rFonts w:hint="cs"/>
          <w:rtl/>
        </w:rPr>
        <w:t xml:space="preserve"> </w:t>
      </w:r>
      <w:r w:rsidRPr="00656469">
        <w:rPr>
          <w:rStyle w:val="af7"/>
          <w:rFonts w:eastAsia="Guttman Hodes" w:hint="cs"/>
          <w:rtl/>
        </w:rPr>
        <w:t xml:space="preserve">(נד' במפרשים בסוף המסכת) </w:t>
      </w:r>
      <w:r>
        <w:rPr>
          <w:rFonts w:hint="cs"/>
          <w:rtl/>
        </w:rPr>
        <w:t xml:space="preserve">דבדברי רב הונא ביאר </w:t>
      </w:r>
      <w:r w:rsidRPr="005D115C">
        <w:rPr>
          <w:rStyle w:val="af9"/>
          <w:rFonts w:hint="cs"/>
          <w:rtl/>
        </w:rPr>
        <w:t>רש"י</w:t>
      </w:r>
      <w:r>
        <w:rPr>
          <w:rFonts w:hint="cs"/>
          <w:rtl/>
        </w:rPr>
        <w:t xml:space="preserve"> </w:t>
      </w:r>
      <w:r w:rsidRPr="00B745B1">
        <w:rPr>
          <w:rStyle w:val="af7"/>
          <w:rFonts w:eastAsia="Guttman Hodes" w:hint="cs"/>
          <w:rtl/>
        </w:rPr>
        <w:t xml:space="preserve">(עי' אות </w:t>
      </w:r>
      <w:r w:rsidRPr="00B745B1">
        <w:rPr>
          <w:rStyle w:val="af7"/>
          <w:rFonts w:eastAsia="Guttman Hodes"/>
          <w:rtl/>
        </w:rPr>
        <w:fldChar w:fldCharType="begin"/>
      </w:r>
      <w:r w:rsidRPr="00B745B1">
        <w:rPr>
          <w:rStyle w:val="af7"/>
          <w:rFonts w:eastAsia="Guttman Hodes"/>
          <w:rtl/>
        </w:rPr>
        <w:instrText xml:space="preserve"> </w:instrText>
      </w:r>
      <w:r w:rsidRPr="00B745B1">
        <w:rPr>
          <w:rStyle w:val="af7"/>
          <w:rFonts w:eastAsia="Guttman Hodes" w:hint="cs"/>
        </w:rPr>
        <w:instrText>REF</w:instrText>
      </w:r>
      <w:r w:rsidRPr="00B745B1">
        <w:rPr>
          <w:rStyle w:val="af7"/>
          <w:rFonts w:eastAsia="Guttman Hodes" w:hint="cs"/>
          <w:rtl/>
        </w:rPr>
        <w:instrText xml:space="preserve"> _</w:instrText>
      </w:r>
      <w:r w:rsidRPr="00B745B1">
        <w:rPr>
          <w:rStyle w:val="af7"/>
          <w:rFonts w:eastAsia="Guttman Hodes" w:hint="cs"/>
        </w:rPr>
        <w:instrText>Ref521920672 \r \h</w:instrText>
      </w:r>
      <w:r w:rsidRPr="00B745B1">
        <w:rPr>
          <w:rStyle w:val="af7"/>
          <w:rFonts w:eastAsia="Guttman Hodes"/>
          <w:rtl/>
        </w:rPr>
        <w:instrText xml:space="preserve"> </w:instrText>
      </w:r>
      <w:r w:rsidRPr="00B745B1">
        <w:rPr>
          <w:rStyle w:val="af7"/>
          <w:rFonts w:eastAsia="Guttman Hodes"/>
          <w:rtl/>
        </w:rPr>
      </w:r>
      <w:r w:rsidRPr="00B745B1">
        <w:rPr>
          <w:rStyle w:val="af7"/>
          <w:rFonts w:eastAsia="Guttman Hodes"/>
          <w:rtl/>
        </w:rPr>
        <w:fldChar w:fldCharType="separate"/>
      </w:r>
      <w:r w:rsidR="00345400">
        <w:rPr>
          <w:rStyle w:val="af7"/>
          <w:rFonts w:eastAsia="Guttman Hodes"/>
          <w:cs/>
        </w:rPr>
        <w:t>‎</w:t>
      </w:r>
      <w:r w:rsidR="00345400">
        <w:rPr>
          <w:rStyle w:val="af7"/>
          <w:rFonts w:eastAsia="Guttman Hodes"/>
          <w:rtl/>
        </w:rPr>
        <w:t>ט)</w:t>
      </w:r>
      <w:r w:rsidRPr="00B745B1">
        <w:rPr>
          <w:rStyle w:val="af7"/>
          <w:rFonts w:eastAsia="Guttman Hodes"/>
          <w:rtl/>
        </w:rPr>
        <w:fldChar w:fldCharType="end"/>
      </w:r>
      <w:r>
        <w:rPr>
          <w:rFonts w:hint="cs"/>
          <w:rtl/>
        </w:rPr>
        <w:t xml:space="preserve"> דמחזיקין מאיסור אבר מן החי.</w:t>
      </w:r>
    </w:p>
    <w:p w14:paraId="240DABA6" w14:textId="77777777" w:rsidR="00852065" w:rsidRPr="00B745B1" w:rsidRDefault="00852065" w:rsidP="006D6D32">
      <w:pPr>
        <w:pStyle w:val="a3"/>
        <w:rPr>
          <w:rtl/>
        </w:rPr>
      </w:pPr>
      <w:bookmarkStart w:id="292" w:name="_Toc522028131"/>
      <w:bookmarkStart w:id="293" w:name="_Toc522086136"/>
      <w:bookmarkStart w:id="294" w:name="_Toc522099556"/>
      <w:bookmarkStart w:id="295" w:name="_Toc19388871"/>
      <w:bookmarkStart w:id="296" w:name="_Toc19392368"/>
      <w:r>
        <w:rPr>
          <w:rFonts w:hint="cs"/>
          <w:rtl/>
        </w:rPr>
        <w:t>ביאור החת"ס דלרש"י לדעת ר"א ב"ר ינאי היא בחזקת אבר מן החי ומחזיקין מאיסור לאיסור</w:t>
      </w:r>
      <w:bookmarkEnd w:id="292"/>
      <w:bookmarkEnd w:id="293"/>
      <w:bookmarkEnd w:id="294"/>
      <w:bookmarkEnd w:id="295"/>
      <w:bookmarkEnd w:id="296"/>
    </w:p>
    <w:p w14:paraId="3B7EC810" w14:textId="77777777" w:rsidR="00852065" w:rsidRDefault="00852065" w:rsidP="00223668">
      <w:pPr>
        <w:pStyle w:val="a0"/>
        <w:rPr>
          <w:rtl/>
        </w:rPr>
      </w:pPr>
      <w:bookmarkStart w:id="297" w:name="_Ref522220943"/>
      <w:r>
        <w:rPr>
          <w:rFonts w:hint="cs"/>
          <w:rtl/>
        </w:rPr>
        <w:t xml:space="preserve">וביאר </w:t>
      </w:r>
      <w:r w:rsidRPr="00737DAC">
        <w:rPr>
          <w:rStyle w:val="af9"/>
          <w:rFonts w:hint="cs"/>
          <w:rtl/>
        </w:rPr>
        <w:t>החת"ס</w:t>
      </w:r>
      <w:r>
        <w:rPr>
          <w:rFonts w:hint="cs"/>
          <w:rtl/>
        </w:rPr>
        <w:t xml:space="preserve"> דס"ל </w:t>
      </w:r>
      <w:r w:rsidRPr="00737DAC">
        <w:rPr>
          <w:rStyle w:val="af9"/>
          <w:rFonts w:hint="cs"/>
          <w:rtl/>
        </w:rPr>
        <w:t>לרש"י</w:t>
      </w:r>
      <w:r>
        <w:rPr>
          <w:rFonts w:hint="cs"/>
          <w:rtl/>
        </w:rPr>
        <w:t xml:space="preserve"> דהמחלוקת בדין טומאת נבילה תלויה בביאור החזקת איסור דרב הונא, דלדעת ר"א ב"ר ינאי, הבהמה בחזקת איסור אבר מן החי, ומחזיקין מאיסור לאיסור, וכיון שיש רוב דהמומחין שוחטין כראוי, אלא דהוא רוב התלוי במעשה, א"א להוציא את הבהמה מחזקת איסור אבר מן החי, כדכתב </w:t>
      </w:r>
      <w:r w:rsidRPr="00737DAC">
        <w:rPr>
          <w:rStyle w:val="af9"/>
          <w:rFonts w:hint="cs"/>
          <w:rtl/>
        </w:rPr>
        <w:t>הרשב"א</w:t>
      </w:r>
      <w:r>
        <w:rPr>
          <w:rFonts w:hint="cs"/>
          <w:rtl/>
        </w:rPr>
        <w:t xml:space="preserve"> </w:t>
      </w:r>
      <w:r w:rsidRPr="003C1391">
        <w:rPr>
          <w:rStyle w:val="af7"/>
          <w:rFonts w:eastAsia="Guttman Hodes" w:hint="cs"/>
          <w:rtl/>
        </w:rPr>
        <w:t>(</w:t>
      </w:r>
      <w:r w:rsidRPr="00E848CA">
        <w:rPr>
          <w:rStyle w:val="af7"/>
          <w:rFonts w:eastAsia="Guttman Hodes" w:hint="cs"/>
          <w:rtl/>
        </w:rPr>
        <w:t xml:space="preserve">עי' אות </w:t>
      </w:r>
      <w:r w:rsidRPr="00E848CA">
        <w:rPr>
          <w:rStyle w:val="af7"/>
          <w:rFonts w:eastAsia="Guttman Hodes"/>
          <w:rtl/>
        </w:rPr>
        <w:fldChar w:fldCharType="begin"/>
      </w:r>
      <w:r w:rsidRPr="00E848CA">
        <w:rPr>
          <w:rStyle w:val="af7"/>
          <w:rFonts w:eastAsia="Guttman Hodes"/>
          <w:rtl/>
        </w:rPr>
        <w:instrText xml:space="preserve"> </w:instrText>
      </w:r>
      <w:r w:rsidRPr="00E848CA">
        <w:rPr>
          <w:rStyle w:val="af7"/>
          <w:rFonts w:eastAsia="Guttman Hodes" w:hint="cs"/>
        </w:rPr>
        <w:instrText>REF</w:instrText>
      </w:r>
      <w:r w:rsidRPr="00E848CA">
        <w:rPr>
          <w:rStyle w:val="af7"/>
          <w:rFonts w:eastAsia="Guttman Hodes" w:hint="cs"/>
          <w:rtl/>
        </w:rPr>
        <w:instrText xml:space="preserve"> _</w:instrText>
      </w:r>
      <w:r w:rsidRPr="00E848CA">
        <w:rPr>
          <w:rStyle w:val="af7"/>
          <w:rFonts w:eastAsia="Guttman Hodes" w:hint="cs"/>
        </w:rPr>
        <w:instrText>Ref522109344 \r \h</w:instrText>
      </w:r>
      <w:r w:rsidRPr="00E848CA">
        <w:rPr>
          <w:rStyle w:val="af7"/>
          <w:rFonts w:eastAsia="Guttman Hodes"/>
          <w:rtl/>
        </w:rPr>
        <w:instrText xml:space="preserve"> </w:instrText>
      </w:r>
      <w:r w:rsidRPr="00E848CA">
        <w:rPr>
          <w:rStyle w:val="af7"/>
          <w:rFonts w:eastAsia="Guttman Hodes"/>
          <w:rtl/>
        </w:rPr>
      </w:r>
      <w:r w:rsidRPr="00E848CA">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E848CA">
        <w:rPr>
          <w:rStyle w:val="af7"/>
          <w:rFonts w:eastAsia="Guttman Hodes"/>
          <w:rtl/>
        </w:rPr>
        <w:fldChar w:fldCharType="end"/>
      </w:r>
      <w:r>
        <w:rPr>
          <w:rFonts w:hint="cs"/>
          <w:rtl/>
        </w:rPr>
        <w:t>, ולכן רק לענין איסור היא בחזקת אבר מן החי, אבל לענין טומאה אינה כנבילה.</w:t>
      </w:r>
      <w:bookmarkEnd w:id="297"/>
    </w:p>
    <w:p w14:paraId="09CDCF9A" w14:textId="77777777" w:rsidR="00852065" w:rsidRPr="00AB1566" w:rsidRDefault="00852065" w:rsidP="006D6D32">
      <w:pPr>
        <w:pStyle w:val="a3"/>
        <w:rPr>
          <w:rtl/>
        </w:rPr>
      </w:pPr>
      <w:bookmarkStart w:id="298" w:name="_Toc522028132"/>
      <w:bookmarkStart w:id="299" w:name="_Toc522086137"/>
      <w:bookmarkStart w:id="300" w:name="_Toc522099557"/>
      <w:bookmarkStart w:id="301" w:name="_Toc19388872"/>
      <w:bookmarkStart w:id="302" w:name="_Toc19392369"/>
      <w:r>
        <w:rPr>
          <w:rFonts w:hint="cs"/>
          <w:rtl/>
        </w:rPr>
        <w:t>ביאור החת"ס דלרש"י לדעת הברייתא היא בחזקת אינו זבוח וא"צ להחזיק מאיסור לאיסור</w:t>
      </w:r>
      <w:bookmarkEnd w:id="298"/>
      <w:bookmarkEnd w:id="299"/>
      <w:bookmarkEnd w:id="300"/>
      <w:bookmarkEnd w:id="301"/>
      <w:bookmarkEnd w:id="302"/>
    </w:p>
    <w:p w14:paraId="37A20CDB" w14:textId="77777777" w:rsidR="00852065" w:rsidRDefault="00852065" w:rsidP="00223668">
      <w:pPr>
        <w:pStyle w:val="a0"/>
        <w:rPr>
          <w:rtl/>
        </w:rPr>
      </w:pPr>
      <w:r>
        <w:rPr>
          <w:rFonts w:hint="cs"/>
          <w:rtl/>
        </w:rPr>
        <w:t xml:space="preserve">ובדעת הברייתא דמטמאה במשא כתב </w:t>
      </w:r>
      <w:r w:rsidRPr="00531F9A">
        <w:rPr>
          <w:rStyle w:val="af9"/>
          <w:rFonts w:hint="cs"/>
          <w:rtl/>
        </w:rPr>
        <w:t>החת"ס</w:t>
      </w:r>
      <w:r>
        <w:rPr>
          <w:rFonts w:hint="cs"/>
          <w:rtl/>
        </w:rPr>
        <w:t xml:space="preserve"> דביאר </w:t>
      </w:r>
      <w:r w:rsidRPr="00531F9A">
        <w:rPr>
          <w:rStyle w:val="af9"/>
          <w:rFonts w:hint="cs"/>
          <w:rtl/>
        </w:rPr>
        <w:t>רש"י</w:t>
      </w:r>
      <w:r>
        <w:rPr>
          <w:rFonts w:hint="cs"/>
          <w:rtl/>
        </w:rPr>
        <w:t xml:space="preserve"> דס"ל לברייתא דהבהמה בחזקת אינו זבוח, וכיון שמתה לפנינו ואינה זבוחה, ממילא היא כנבילה לגמרי גם לענין טומאה, ואי"ז מדין מחזיקין מאיסור לאיסור מהחזקה הראשונה, אלא דעכשיו היא נבילה כיון שמתה ואינה זבוחה,</w:t>
      </w:r>
      <w:r w:rsidRPr="007875D0">
        <w:rPr>
          <w:rFonts w:hint="cs"/>
          <w:rtl/>
        </w:rPr>
        <w:t xml:space="preserve"> </w:t>
      </w:r>
      <w:r>
        <w:rPr>
          <w:rFonts w:hint="cs"/>
          <w:rtl/>
        </w:rPr>
        <w:t xml:space="preserve">וכעי"ז ביאר </w:t>
      </w:r>
      <w:r w:rsidRPr="00656469">
        <w:rPr>
          <w:rStyle w:val="af9"/>
          <w:rFonts w:hint="cs"/>
          <w:rtl/>
        </w:rPr>
        <w:t>בנימוק"י הגרי"ב</w:t>
      </w:r>
      <w:r>
        <w:rPr>
          <w:rFonts w:hint="cs"/>
          <w:rtl/>
        </w:rPr>
        <w:t xml:space="preserve"> </w:t>
      </w:r>
      <w:r w:rsidRPr="00656469">
        <w:rPr>
          <w:rStyle w:val="af7"/>
          <w:rFonts w:eastAsia="Guttman Hodes" w:hint="cs"/>
          <w:rtl/>
        </w:rPr>
        <w:t>(נד' במפרשים בסוף המסכת)</w:t>
      </w:r>
      <w:r>
        <w:rPr>
          <w:rFonts w:hint="cs"/>
          <w:rtl/>
        </w:rPr>
        <w:t xml:space="preserve">, וע"ע בדברי </w:t>
      </w:r>
      <w:r w:rsidRPr="009A0D2C">
        <w:rPr>
          <w:rStyle w:val="af9"/>
          <w:rFonts w:hint="cs"/>
          <w:rtl/>
        </w:rPr>
        <w:t>הר"ן</w:t>
      </w:r>
      <w:r>
        <w:rPr>
          <w:rFonts w:hint="cs"/>
          <w:rtl/>
        </w:rPr>
        <w:t xml:space="preserve"> </w:t>
      </w:r>
      <w:r w:rsidRPr="00A94E67">
        <w:rPr>
          <w:rStyle w:val="af7"/>
          <w:rFonts w:eastAsia="Guttman Hodes" w:hint="cs"/>
          <w:rtl/>
        </w:rPr>
        <w:t>(</w:t>
      </w:r>
      <w:r w:rsidRPr="00E848CA">
        <w:rPr>
          <w:rStyle w:val="af7"/>
          <w:rFonts w:eastAsia="Guttman Hodes" w:hint="cs"/>
          <w:rtl/>
        </w:rPr>
        <w:t xml:space="preserve">עי' אות </w:t>
      </w:r>
      <w:r w:rsidRPr="00E848CA">
        <w:rPr>
          <w:rStyle w:val="af7"/>
          <w:rFonts w:eastAsia="Guttman Hodes"/>
          <w:rtl/>
        </w:rPr>
        <w:fldChar w:fldCharType="begin"/>
      </w:r>
      <w:r w:rsidRPr="00E848CA">
        <w:rPr>
          <w:rStyle w:val="af7"/>
          <w:rFonts w:eastAsia="Guttman Hodes"/>
          <w:rtl/>
        </w:rPr>
        <w:instrText xml:space="preserve"> </w:instrText>
      </w:r>
      <w:r w:rsidRPr="00E848CA">
        <w:rPr>
          <w:rStyle w:val="af7"/>
          <w:rFonts w:eastAsia="Guttman Hodes" w:hint="cs"/>
        </w:rPr>
        <w:instrText>REF</w:instrText>
      </w:r>
      <w:r w:rsidRPr="00E848CA">
        <w:rPr>
          <w:rStyle w:val="af7"/>
          <w:rFonts w:eastAsia="Guttman Hodes" w:hint="cs"/>
          <w:rtl/>
        </w:rPr>
        <w:instrText xml:space="preserve"> _</w:instrText>
      </w:r>
      <w:r w:rsidRPr="00E848CA">
        <w:rPr>
          <w:rStyle w:val="af7"/>
          <w:rFonts w:eastAsia="Guttman Hodes" w:hint="cs"/>
        </w:rPr>
        <w:instrText>Ref522100413 \r \h</w:instrText>
      </w:r>
      <w:r w:rsidRPr="00E848CA">
        <w:rPr>
          <w:rStyle w:val="af7"/>
          <w:rFonts w:eastAsia="Guttman Hodes"/>
          <w:rtl/>
        </w:rPr>
        <w:instrText xml:space="preserve"> </w:instrText>
      </w:r>
      <w:r w:rsidRPr="00E848CA">
        <w:rPr>
          <w:rStyle w:val="af7"/>
          <w:rFonts w:eastAsia="Guttman Hodes"/>
          <w:rtl/>
        </w:rPr>
      </w:r>
      <w:r w:rsidRPr="00E848CA">
        <w:rPr>
          <w:rStyle w:val="af7"/>
          <w:rFonts w:eastAsia="Guttman Hodes"/>
          <w:rtl/>
        </w:rPr>
        <w:fldChar w:fldCharType="separate"/>
      </w:r>
      <w:r w:rsidR="00345400">
        <w:rPr>
          <w:rStyle w:val="af7"/>
          <w:rFonts w:eastAsia="Guttman Hodes"/>
          <w:cs/>
        </w:rPr>
        <w:t>‎</w:t>
      </w:r>
      <w:r w:rsidR="00345400">
        <w:rPr>
          <w:rStyle w:val="af7"/>
          <w:rFonts w:eastAsia="Guttman Hodes"/>
          <w:rtl/>
        </w:rPr>
        <w:t>כ)</w:t>
      </w:r>
      <w:r w:rsidRPr="00E848CA">
        <w:rPr>
          <w:rStyle w:val="af7"/>
          <w:rFonts w:eastAsia="Guttman Hodes"/>
          <w:rtl/>
        </w:rPr>
        <w:fldChar w:fldCharType="end"/>
      </w:r>
      <w:r w:rsidRPr="00E848CA">
        <w:rPr>
          <w:rStyle w:val="af7"/>
          <w:rFonts w:eastAsia="Guttman Hodes"/>
          <w:rtl/>
        </w:rPr>
        <w:fldChar w:fldCharType="begin"/>
      </w:r>
      <w:r w:rsidRPr="00E848CA">
        <w:rPr>
          <w:rStyle w:val="af7"/>
          <w:rFonts w:eastAsia="Guttman Hodes"/>
          <w:rtl/>
        </w:rPr>
        <w:instrText xml:space="preserve"> </w:instrText>
      </w:r>
      <w:r w:rsidRPr="00E848CA">
        <w:rPr>
          <w:rStyle w:val="af7"/>
          <w:rFonts w:eastAsia="Guttman Hodes" w:hint="cs"/>
        </w:rPr>
        <w:instrText>REF</w:instrText>
      </w:r>
      <w:r w:rsidRPr="00E848CA">
        <w:rPr>
          <w:rStyle w:val="af7"/>
          <w:rFonts w:eastAsia="Guttman Hodes" w:hint="cs"/>
          <w:rtl/>
        </w:rPr>
        <w:instrText xml:space="preserve"> _</w:instrText>
      </w:r>
      <w:r w:rsidRPr="00E848CA">
        <w:rPr>
          <w:rStyle w:val="af7"/>
          <w:rFonts w:eastAsia="Guttman Hodes" w:hint="cs"/>
        </w:rPr>
        <w:instrText>Ref522221044 \r \h</w:instrText>
      </w:r>
      <w:r w:rsidRPr="00E848CA">
        <w:rPr>
          <w:rStyle w:val="af7"/>
          <w:rFonts w:eastAsia="Guttman Hodes"/>
          <w:rtl/>
        </w:rPr>
        <w:instrText xml:space="preserve"> </w:instrText>
      </w:r>
      <w:r w:rsidRPr="00E848CA">
        <w:rPr>
          <w:rStyle w:val="af7"/>
          <w:rFonts w:eastAsia="Guttman Hodes"/>
          <w:rtl/>
        </w:rPr>
      </w:r>
      <w:r w:rsidRPr="00E848CA">
        <w:rPr>
          <w:rStyle w:val="af7"/>
          <w:rFonts w:eastAsia="Guttman Hodes"/>
          <w:rtl/>
        </w:rPr>
        <w:fldChar w:fldCharType="separate"/>
      </w:r>
      <w:r w:rsidR="00345400">
        <w:rPr>
          <w:rStyle w:val="af7"/>
          <w:rFonts w:eastAsia="Guttman Hodes"/>
          <w:cs/>
        </w:rPr>
        <w:t>‎</w:t>
      </w:r>
      <w:r w:rsidR="00345400">
        <w:rPr>
          <w:rStyle w:val="af7"/>
          <w:rFonts w:eastAsia="Guttman Hodes"/>
          <w:rtl/>
        </w:rPr>
        <w:t>כ)</w:t>
      </w:r>
      <w:r w:rsidRPr="00E848CA">
        <w:rPr>
          <w:rStyle w:val="af7"/>
          <w:rFonts w:eastAsia="Guttman Hodes"/>
          <w:rtl/>
        </w:rPr>
        <w:fldChar w:fldCharType="end"/>
      </w:r>
      <w:r>
        <w:rPr>
          <w:rFonts w:hint="cs"/>
          <w:rtl/>
        </w:rPr>
        <w:t>.</w:t>
      </w:r>
    </w:p>
    <w:p w14:paraId="5ED3F317" w14:textId="77777777" w:rsidR="00852065" w:rsidRDefault="00852065" w:rsidP="006D6D32">
      <w:pPr>
        <w:pStyle w:val="a3"/>
        <w:rPr>
          <w:rtl/>
        </w:rPr>
      </w:pPr>
      <w:bookmarkStart w:id="303" w:name="_Toc522028133"/>
      <w:bookmarkStart w:id="304" w:name="_Toc522086138"/>
      <w:bookmarkStart w:id="305" w:name="_Toc522099558"/>
      <w:bookmarkStart w:id="306" w:name="_Toc19388873"/>
      <w:bookmarkStart w:id="307" w:name="_Toc19392370"/>
      <w:r>
        <w:rPr>
          <w:rFonts w:hint="cs"/>
          <w:rtl/>
        </w:rPr>
        <w:t>דברי החת"ס דלענין טומאה אין לה לא חזקת טהרה ולא חזקת טומאה</w:t>
      </w:r>
      <w:bookmarkEnd w:id="303"/>
      <w:bookmarkEnd w:id="304"/>
      <w:bookmarkEnd w:id="305"/>
      <w:bookmarkEnd w:id="306"/>
      <w:bookmarkEnd w:id="307"/>
    </w:p>
    <w:p w14:paraId="0421A8C7" w14:textId="77777777" w:rsidR="00852065" w:rsidRDefault="00852065" w:rsidP="00223668">
      <w:pPr>
        <w:pStyle w:val="a0"/>
        <w:rPr>
          <w:rtl/>
        </w:rPr>
      </w:pPr>
      <w:r>
        <w:rPr>
          <w:rFonts w:hint="cs"/>
          <w:rtl/>
        </w:rPr>
        <w:t xml:space="preserve">והוסיף </w:t>
      </w:r>
      <w:r w:rsidRPr="00531F9A">
        <w:rPr>
          <w:rStyle w:val="af9"/>
          <w:rFonts w:hint="cs"/>
          <w:rtl/>
        </w:rPr>
        <w:t>החת"ס</w:t>
      </w:r>
      <w:r>
        <w:rPr>
          <w:rFonts w:hint="cs"/>
          <w:rtl/>
        </w:rPr>
        <w:t xml:space="preserve"> דא"א לומר שנעמיד את הבהמה לענין טומאה בחזקת טהרה שמחיים הייתה טהורה, דאף מחיים עמדה לכך שכשתמות בלא שחיטה תטמא בנבילה, וכיון שיש ספק אם נשחטה כראוי, וצריך להוציאה מחזקתה שעודמת להיות טמאה לאחר מיתה, ולומר שנעשה בה מעשה שחיטה, וכיון שיש ספק אם נשחטה אין לה חזקת טומאה, אך גם אין לה חזקת טהרה.</w:t>
      </w:r>
    </w:p>
    <w:p w14:paraId="1A549198" w14:textId="77777777" w:rsidR="00804CF8" w:rsidRPr="00804CF8" w:rsidRDefault="00804CF8" w:rsidP="00804CF8">
      <w:pPr>
        <w:pStyle w:val="a3"/>
        <w:rPr>
          <w:rtl/>
        </w:rPr>
      </w:pPr>
    </w:p>
    <w:p w14:paraId="396229A5" w14:textId="77777777" w:rsidR="00804CF8" w:rsidRPr="00804CF8" w:rsidRDefault="00804CF8" w:rsidP="00804CF8">
      <w:pPr>
        <w:pStyle w:val="a3"/>
        <w:rPr>
          <w:rtl/>
        </w:rPr>
      </w:pPr>
    </w:p>
    <w:p w14:paraId="05E465FA" w14:textId="77777777" w:rsidR="00F10315" w:rsidRPr="00F10315" w:rsidRDefault="00F10315" w:rsidP="006D6D32">
      <w:pPr>
        <w:pStyle w:val="a3"/>
        <w:rPr>
          <w:rtl/>
        </w:rPr>
      </w:pPr>
    </w:p>
    <w:p w14:paraId="2628E2CA" w14:textId="77777777" w:rsidR="00852065" w:rsidRPr="002F6BB7" w:rsidRDefault="00852065" w:rsidP="00BF39B2">
      <w:pPr>
        <w:pStyle w:val="1"/>
        <w:rPr>
          <w:rtl/>
        </w:rPr>
      </w:pPr>
      <w:bookmarkStart w:id="308" w:name="_Toc521361982"/>
      <w:bookmarkStart w:id="309" w:name="_Toc522028134"/>
      <w:bookmarkStart w:id="310" w:name="_Toc522086139"/>
      <w:bookmarkStart w:id="311" w:name="_Toc522099559"/>
      <w:bookmarkStart w:id="312" w:name="_Toc19388874"/>
      <w:bookmarkStart w:id="313" w:name="_Toc19392371"/>
      <w:r w:rsidRPr="002F6BB7">
        <w:rPr>
          <w:rFonts w:hint="cs"/>
          <w:rtl/>
        </w:rPr>
        <w:t xml:space="preserve">ביאור התוס' </w:t>
      </w:r>
      <w:r>
        <w:rPr>
          <w:rFonts w:hint="cs"/>
          <w:rtl/>
        </w:rPr>
        <w:t>והרשב"א בדעת ר"א דמדאו'</w:t>
      </w:r>
      <w:bookmarkEnd w:id="308"/>
      <w:r>
        <w:rPr>
          <w:rFonts w:hint="cs"/>
          <w:rtl/>
        </w:rPr>
        <w:t xml:space="preserve"> מותרת מדין רוב</w:t>
      </w:r>
      <w:bookmarkEnd w:id="309"/>
      <w:bookmarkEnd w:id="310"/>
      <w:bookmarkEnd w:id="311"/>
      <w:bookmarkEnd w:id="312"/>
      <w:bookmarkEnd w:id="313"/>
      <w:r>
        <w:rPr>
          <w:rFonts w:hint="cs"/>
          <w:rtl/>
        </w:rPr>
        <w:t xml:space="preserve"> </w:t>
      </w:r>
    </w:p>
    <w:p w14:paraId="0991375A" w14:textId="77777777" w:rsidR="00852065" w:rsidRPr="002F6BB7" w:rsidRDefault="00852065" w:rsidP="006D6D32">
      <w:pPr>
        <w:pStyle w:val="a3"/>
        <w:rPr>
          <w:rtl/>
        </w:rPr>
      </w:pPr>
      <w:bookmarkStart w:id="314" w:name="_Toc522028135"/>
      <w:bookmarkStart w:id="315" w:name="_Toc522086140"/>
      <w:bookmarkStart w:id="316" w:name="_Toc522099560"/>
      <w:bookmarkStart w:id="317" w:name="_Toc19388875"/>
      <w:bookmarkStart w:id="318" w:name="_Toc19392372"/>
      <w:r>
        <w:rPr>
          <w:rFonts w:hint="cs"/>
          <w:rtl/>
        </w:rPr>
        <w:t>דברי התוס' דלר"א אינה מטמאה דמדאו' יש רוב שנשחטה והחמירו רבנן רק לענין איסור</w:t>
      </w:r>
      <w:bookmarkEnd w:id="314"/>
      <w:bookmarkEnd w:id="315"/>
      <w:bookmarkEnd w:id="316"/>
      <w:bookmarkEnd w:id="317"/>
      <w:bookmarkEnd w:id="318"/>
    </w:p>
    <w:p w14:paraId="2305349D" w14:textId="77777777" w:rsidR="00852065" w:rsidRDefault="00852065" w:rsidP="00223668">
      <w:pPr>
        <w:pStyle w:val="a0"/>
        <w:rPr>
          <w:rtl/>
        </w:rPr>
      </w:pPr>
      <w:bookmarkStart w:id="319" w:name="_Ref522101098"/>
      <w:r w:rsidRPr="002F6BB7">
        <w:rPr>
          <w:rFonts w:hint="cs"/>
          <w:rtl/>
        </w:rPr>
        <w:t>כתבו</w:t>
      </w:r>
      <w:r w:rsidRPr="00FA599F">
        <w:rPr>
          <w:rStyle w:val="af9"/>
          <w:rFonts w:hint="cs"/>
          <w:rtl/>
        </w:rPr>
        <w:t xml:space="preserve"> התוס'</w:t>
      </w:r>
      <w:r w:rsidRPr="00573BD7">
        <w:rPr>
          <w:rStyle w:val="af7"/>
          <w:rFonts w:eastAsia="Guttman Hodes" w:hint="cs"/>
          <w:rtl/>
        </w:rPr>
        <w:t xml:space="preserve"> (ד"ה ואסורה) </w:t>
      </w:r>
      <w:r w:rsidRPr="00FA599F">
        <w:rPr>
          <w:rStyle w:val="af9"/>
          <w:rFonts w:hint="cs"/>
          <w:rtl/>
        </w:rPr>
        <w:t>והתוס' הרא"ש</w:t>
      </w:r>
      <w:r w:rsidRPr="002F6BB7">
        <w:rPr>
          <w:rFonts w:hint="cs"/>
          <w:rtl/>
        </w:rPr>
        <w:t xml:space="preserve"> </w:t>
      </w:r>
      <w:r w:rsidRPr="00573BD7">
        <w:rPr>
          <w:rStyle w:val="af7"/>
          <w:rFonts w:eastAsia="Guttman Hodes" w:hint="cs"/>
          <w:rtl/>
        </w:rPr>
        <w:t>(ד"ה טריפה)</w:t>
      </w:r>
      <w:r w:rsidRPr="002F6BB7">
        <w:rPr>
          <w:rFonts w:hint="cs"/>
          <w:rtl/>
        </w:rPr>
        <w:t xml:space="preserve"> בביאור דעת ר"א ב"ר ינאי דאסורה</w:t>
      </w:r>
      <w:r>
        <w:rPr>
          <w:rFonts w:hint="cs"/>
          <w:rtl/>
        </w:rPr>
        <w:t xml:space="preserve"> באכילה ואינה מטמאה כנבילה, דכיון שיש רוב ששחט כראוי, ומדאו' אינה אסורה כלל, לכן לא החמירו רבנן להחשיבה כנבילה אף לענין טומאה, ועי' בדברי </w:t>
      </w:r>
      <w:r w:rsidRPr="004553D3">
        <w:rPr>
          <w:rStyle w:val="af9"/>
          <w:rFonts w:hint="cs"/>
          <w:rtl/>
        </w:rPr>
        <w:t xml:space="preserve">רבינו יחיאל בן הרא"ש </w:t>
      </w:r>
      <w:r w:rsidRPr="00A94E67">
        <w:rPr>
          <w:rStyle w:val="af7"/>
          <w:rFonts w:eastAsia="Guttman Hodes" w:hint="cs"/>
          <w:rtl/>
        </w:rPr>
        <w:t xml:space="preserve">(עי' אות </w:t>
      </w:r>
      <w:r w:rsidRPr="00A94E67">
        <w:rPr>
          <w:rStyle w:val="af7"/>
          <w:rFonts w:eastAsia="Guttman Hodes"/>
          <w:rtl/>
        </w:rPr>
        <w:fldChar w:fldCharType="begin"/>
      </w:r>
      <w:r w:rsidRPr="00A94E67">
        <w:rPr>
          <w:rStyle w:val="af7"/>
          <w:rFonts w:eastAsia="Guttman Hodes"/>
          <w:rtl/>
        </w:rPr>
        <w:instrText xml:space="preserve"> </w:instrText>
      </w:r>
      <w:r w:rsidRPr="00A94E67">
        <w:rPr>
          <w:rStyle w:val="af7"/>
          <w:rFonts w:eastAsia="Guttman Hodes" w:hint="cs"/>
        </w:rPr>
        <w:instrText>REF</w:instrText>
      </w:r>
      <w:r w:rsidRPr="00A94E67">
        <w:rPr>
          <w:rStyle w:val="af7"/>
          <w:rFonts w:eastAsia="Guttman Hodes" w:hint="cs"/>
          <w:rtl/>
        </w:rPr>
        <w:instrText xml:space="preserve"> _</w:instrText>
      </w:r>
      <w:r w:rsidRPr="00A94E67">
        <w:rPr>
          <w:rStyle w:val="af7"/>
          <w:rFonts w:eastAsia="Guttman Hodes" w:hint="cs"/>
        </w:rPr>
        <w:instrText>Ref522100433 \r \h</w:instrText>
      </w:r>
      <w:r w:rsidRPr="00A94E67">
        <w:rPr>
          <w:rStyle w:val="af7"/>
          <w:rFonts w:eastAsia="Guttman Hodes"/>
          <w:rtl/>
        </w:rPr>
        <w:instrText xml:space="preserve"> </w:instrText>
      </w:r>
      <w:r w:rsidRPr="00A94E67">
        <w:rPr>
          <w:rStyle w:val="af7"/>
          <w:rFonts w:eastAsia="Guttman Hodes"/>
          <w:rtl/>
        </w:rPr>
      </w:r>
      <w:r w:rsidRPr="00A94E67">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A94E67">
        <w:rPr>
          <w:rStyle w:val="af7"/>
          <w:rFonts w:eastAsia="Guttman Hodes"/>
          <w:rtl/>
        </w:rPr>
        <w:fldChar w:fldCharType="end"/>
      </w:r>
      <w:r>
        <w:rPr>
          <w:rFonts w:hint="cs"/>
          <w:rtl/>
        </w:rPr>
        <w:t>.</w:t>
      </w:r>
      <w:bookmarkEnd w:id="319"/>
      <w:r>
        <w:rPr>
          <w:rFonts w:hint="cs"/>
          <w:rtl/>
        </w:rPr>
        <w:t xml:space="preserve"> </w:t>
      </w:r>
    </w:p>
    <w:p w14:paraId="19C0385D" w14:textId="77777777" w:rsidR="00852065" w:rsidRPr="00573BD7" w:rsidRDefault="00852065" w:rsidP="006D6D32">
      <w:pPr>
        <w:pStyle w:val="a3"/>
        <w:rPr>
          <w:rtl/>
        </w:rPr>
      </w:pPr>
      <w:bookmarkStart w:id="320" w:name="_Toc522028136"/>
      <w:bookmarkStart w:id="321" w:name="_Toc522086141"/>
      <w:bookmarkStart w:id="322" w:name="_Toc522099561"/>
      <w:bookmarkStart w:id="323" w:name="_Toc19388876"/>
      <w:bookmarkStart w:id="324" w:name="_Toc19392373"/>
      <w:r>
        <w:rPr>
          <w:rFonts w:hint="cs"/>
          <w:rtl/>
        </w:rPr>
        <w:t>דברי הרשב"א דלענין איסור לא סמכינן על הרוב דהוא רוב התלוי במעשה</w:t>
      </w:r>
      <w:bookmarkEnd w:id="320"/>
      <w:bookmarkEnd w:id="321"/>
      <w:bookmarkEnd w:id="322"/>
      <w:bookmarkEnd w:id="323"/>
      <w:bookmarkEnd w:id="324"/>
    </w:p>
    <w:p w14:paraId="7E3F0CA4" w14:textId="77777777" w:rsidR="00852065" w:rsidRPr="00531F9A" w:rsidRDefault="00852065" w:rsidP="00223668">
      <w:pPr>
        <w:pStyle w:val="a0"/>
        <w:rPr>
          <w:rtl/>
        </w:rPr>
      </w:pPr>
      <w:bookmarkStart w:id="325" w:name="_Ref522109344"/>
      <w:r>
        <w:rPr>
          <w:rFonts w:hint="cs"/>
          <w:rtl/>
        </w:rPr>
        <w:t xml:space="preserve">וכעי"ז כתב </w:t>
      </w:r>
      <w:r w:rsidRPr="00B24964">
        <w:rPr>
          <w:rStyle w:val="af9"/>
          <w:rFonts w:hint="cs"/>
          <w:rtl/>
        </w:rPr>
        <w:t>הרשב"א</w:t>
      </w:r>
      <w:r>
        <w:rPr>
          <w:rFonts w:hint="cs"/>
          <w:rtl/>
        </w:rPr>
        <w:t xml:space="preserve"> </w:t>
      </w:r>
      <w:r w:rsidRPr="00B24964">
        <w:rPr>
          <w:rStyle w:val="af7"/>
          <w:rFonts w:eastAsia="Guttman Hodes" w:hint="cs"/>
          <w:rtl/>
        </w:rPr>
        <w:t>(ד"ה מר)</w:t>
      </w:r>
      <w:r>
        <w:rPr>
          <w:rFonts w:hint="cs"/>
          <w:rtl/>
        </w:rPr>
        <w:t xml:space="preserve"> דר"א ב"ר ינאי ס"ל דכיון דהמיתה ע"י שחיטה של מומחה, אמרינן דמסתמא שחט כראוי, דברוב הפעמים הסימנין נשחטים כראוי בשחיטת מומחה, וביאר </w:t>
      </w:r>
      <w:r w:rsidRPr="009076C7">
        <w:rPr>
          <w:rStyle w:val="af9"/>
          <w:rFonts w:hint="cs"/>
          <w:rtl/>
        </w:rPr>
        <w:t>הרשב"א</w:t>
      </w:r>
      <w:r>
        <w:rPr>
          <w:rFonts w:hint="cs"/>
          <w:rtl/>
        </w:rPr>
        <w:t xml:space="preserve"> דמ"מ לענין איסור לא מהני הרוב להתיר, כיון שהוא רוב התלוי במעשה, ואיתא בגמ' בבכורות </w:t>
      </w:r>
      <w:r w:rsidRPr="00B24964">
        <w:rPr>
          <w:rStyle w:val="af7"/>
          <w:rFonts w:eastAsia="Guttman Hodes" w:hint="cs"/>
          <w:rtl/>
        </w:rPr>
        <w:t>(כ.)</w:t>
      </w:r>
      <w:r>
        <w:rPr>
          <w:rFonts w:hint="cs"/>
          <w:rtl/>
        </w:rPr>
        <w:t xml:space="preserve"> דלא אזלינן בתר רוב התלוי במעשה, ולכן מעמידים את הבהמה בחזקת איסור, אבל בחזקת טומאה לא </w:t>
      </w:r>
      <w:r w:rsidRPr="00531F9A">
        <w:rPr>
          <w:rFonts w:hint="cs"/>
          <w:rtl/>
        </w:rPr>
        <w:t xml:space="preserve">מעמידים אותה </w:t>
      </w:r>
      <w:r w:rsidRPr="00A51B24">
        <w:rPr>
          <w:rStyle w:val="afb"/>
          <w:rFonts w:hint="cs"/>
          <w:rtl/>
        </w:rPr>
        <w:t>[מחמת הרוב]</w:t>
      </w:r>
      <w:r w:rsidRPr="00531F9A">
        <w:rPr>
          <w:rFonts w:hint="cs"/>
          <w:rtl/>
        </w:rPr>
        <w:t>.</w:t>
      </w:r>
      <w:bookmarkEnd w:id="325"/>
    </w:p>
    <w:p w14:paraId="53D4ED02" w14:textId="77777777" w:rsidR="00852065" w:rsidRDefault="00852065" w:rsidP="00BF39B2">
      <w:pPr>
        <w:pStyle w:val="1"/>
        <w:rPr>
          <w:rtl/>
        </w:rPr>
      </w:pPr>
      <w:bookmarkStart w:id="326" w:name="_Toc522086142"/>
      <w:bookmarkStart w:id="327" w:name="_Toc522099562"/>
      <w:bookmarkStart w:id="328" w:name="_Toc19388877"/>
      <w:bookmarkStart w:id="329" w:name="_Toc19392374"/>
      <w:r>
        <w:rPr>
          <w:rFonts w:hint="cs"/>
          <w:rtl/>
        </w:rPr>
        <w:t>דעת הסוברים דלתוס' לכו"ע מדאו' מותרת מדין רוב</w:t>
      </w:r>
      <w:bookmarkEnd w:id="326"/>
      <w:bookmarkEnd w:id="327"/>
      <w:bookmarkEnd w:id="328"/>
      <w:bookmarkEnd w:id="329"/>
    </w:p>
    <w:p w14:paraId="2A954244" w14:textId="77777777" w:rsidR="00852065" w:rsidRPr="00B57673" w:rsidRDefault="00852065" w:rsidP="006D6D32">
      <w:pPr>
        <w:pStyle w:val="a3"/>
        <w:rPr>
          <w:rtl/>
        </w:rPr>
      </w:pPr>
      <w:bookmarkStart w:id="330" w:name="_Toc522028139"/>
      <w:bookmarkStart w:id="331" w:name="_Toc522086143"/>
      <w:bookmarkStart w:id="332" w:name="_Toc522099563"/>
      <w:bookmarkStart w:id="333" w:name="_Toc19388878"/>
      <w:bookmarkStart w:id="334" w:name="_Toc19392375"/>
      <w:r>
        <w:rPr>
          <w:rFonts w:hint="cs"/>
          <w:rtl/>
        </w:rPr>
        <w:t>דעת השיטמ"ק דלתוס' אף לדעת הברייתא יש רוב מדאו' ונחלקו בגזירה מדרבנן</w:t>
      </w:r>
      <w:bookmarkEnd w:id="330"/>
      <w:bookmarkEnd w:id="331"/>
      <w:bookmarkEnd w:id="332"/>
      <w:bookmarkEnd w:id="333"/>
      <w:bookmarkEnd w:id="334"/>
    </w:p>
    <w:p w14:paraId="3B1BEAB1" w14:textId="77777777" w:rsidR="00852065" w:rsidRDefault="00852065" w:rsidP="00223668">
      <w:pPr>
        <w:pStyle w:val="a0"/>
        <w:rPr>
          <w:rtl/>
        </w:rPr>
      </w:pPr>
      <w:bookmarkStart w:id="335" w:name="_Ref522262426"/>
      <w:r>
        <w:rPr>
          <w:rFonts w:hint="cs"/>
          <w:rtl/>
        </w:rPr>
        <w:t xml:space="preserve">וביאר </w:t>
      </w:r>
      <w:r w:rsidRPr="00531F9A">
        <w:rPr>
          <w:rStyle w:val="af9"/>
          <w:rFonts w:hint="cs"/>
          <w:rtl/>
        </w:rPr>
        <w:t>ה</w:t>
      </w:r>
      <w:r>
        <w:rPr>
          <w:rStyle w:val="af9"/>
          <w:rFonts w:hint="cs"/>
          <w:rtl/>
        </w:rPr>
        <w:t>שיטמ</w:t>
      </w:r>
      <w:r>
        <w:rPr>
          <w:rStyle w:val="af9"/>
          <w:rtl/>
        </w:rPr>
        <w:t>"</w:t>
      </w:r>
      <w:r>
        <w:rPr>
          <w:rStyle w:val="af9"/>
          <w:rFonts w:hint="cs"/>
          <w:rtl/>
        </w:rPr>
        <w:t>ק</w:t>
      </w:r>
      <w:r w:rsidRPr="00531F9A">
        <w:rPr>
          <w:rStyle w:val="af9"/>
          <w:rFonts w:hint="cs"/>
          <w:rtl/>
        </w:rPr>
        <w:t xml:space="preserve"> </w:t>
      </w:r>
      <w:r w:rsidRPr="00531F9A">
        <w:rPr>
          <w:rStyle w:val="af7"/>
          <w:rFonts w:eastAsia="Guttman Hodes" w:hint="cs"/>
          <w:rtl/>
        </w:rPr>
        <w:t xml:space="preserve">(ד"ה והתוס') </w:t>
      </w:r>
      <w:r>
        <w:rPr>
          <w:rFonts w:hint="cs"/>
          <w:rtl/>
        </w:rPr>
        <w:t xml:space="preserve">דס"ל </w:t>
      </w:r>
      <w:r w:rsidRPr="00531F9A">
        <w:rPr>
          <w:rStyle w:val="af9"/>
          <w:rFonts w:hint="cs"/>
          <w:rtl/>
        </w:rPr>
        <w:t>להתוס'</w:t>
      </w:r>
      <w:r>
        <w:rPr>
          <w:rFonts w:hint="cs"/>
          <w:rtl/>
        </w:rPr>
        <w:t xml:space="preserve"> דלכו"ע מדאו' הבהמה מותרת, כיון שרוב מצויין אצל שחיטה מומחין, אלא דכיון שלא בדק גזרו רבנן דאסורה, ולר"א ב"ר ינאי גזרו רק לאכילה ולא לטומאה, ולברייתא גזרו אף לטומאה, וכן מבואר </w:t>
      </w:r>
      <w:r w:rsidRPr="00531F9A">
        <w:rPr>
          <w:rStyle w:val="af9"/>
          <w:rFonts w:hint="cs"/>
          <w:rtl/>
        </w:rPr>
        <w:t>בבינת אדם</w:t>
      </w:r>
      <w:r>
        <w:rPr>
          <w:rFonts w:hint="cs"/>
          <w:rtl/>
        </w:rPr>
        <w:t xml:space="preserve"> </w:t>
      </w:r>
      <w:r w:rsidRPr="00531F9A">
        <w:rPr>
          <w:rStyle w:val="af7"/>
          <w:rFonts w:eastAsia="Guttman Hodes" w:hint="cs"/>
          <w:rtl/>
        </w:rPr>
        <w:t>(שער רוב וחזקה סי' א')</w:t>
      </w:r>
      <w:r>
        <w:rPr>
          <w:rFonts w:hint="cs"/>
          <w:rtl/>
        </w:rPr>
        <w:t>.</w:t>
      </w:r>
      <w:bookmarkEnd w:id="335"/>
    </w:p>
    <w:p w14:paraId="390766C9" w14:textId="77777777" w:rsidR="00852065" w:rsidRPr="00952D87" w:rsidRDefault="00852065" w:rsidP="006D6D32">
      <w:pPr>
        <w:pStyle w:val="a3"/>
        <w:rPr>
          <w:rtl/>
        </w:rPr>
      </w:pPr>
      <w:bookmarkStart w:id="336" w:name="_Toc522086144"/>
      <w:bookmarkStart w:id="337" w:name="_Toc522099564"/>
      <w:bookmarkStart w:id="338" w:name="_Toc19388879"/>
      <w:bookmarkStart w:id="339" w:name="_Toc19392376"/>
      <w:bookmarkStart w:id="340" w:name="_Toc522028140"/>
      <w:r>
        <w:rPr>
          <w:rFonts w:hint="cs"/>
          <w:rtl/>
        </w:rPr>
        <w:t>משמעות הגרעק"א דלתוס' לכו"ע מדאו' סמכינן על הרוב והרמב"ם פליג</w:t>
      </w:r>
      <w:bookmarkEnd w:id="336"/>
      <w:bookmarkEnd w:id="337"/>
      <w:bookmarkEnd w:id="338"/>
      <w:bookmarkEnd w:id="339"/>
    </w:p>
    <w:p w14:paraId="6BFF08BB" w14:textId="77777777" w:rsidR="00852065" w:rsidRPr="00150377" w:rsidRDefault="00852065" w:rsidP="00223668">
      <w:pPr>
        <w:pStyle w:val="a0"/>
        <w:rPr>
          <w:rtl/>
        </w:rPr>
      </w:pPr>
      <w:r>
        <w:rPr>
          <w:rFonts w:hint="cs"/>
          <w:rtl/>
        </w:rPr>
        <w:t xml:space="preserve">וכתב </w:t>
      </w:r>
      <w:r w:rsidRPr="00F04077">
        <w:rPr>
          <w:rStyle w:val="af9"/>
          <w:rFonts w:hint="cs"/>
          <w:rtl/>
        </w:rPr>
        <w:t>בגרעק"א</w:t>
      </w:r>
      <w:r>
        <w:rPr>
          <w:rFonts w:hint="cs"/>
          <w:rtl/>
        </w:rPr>
        <w:t xml:space="preserve"> </w:t>
      </w:r>
      <w:r w:rsidRPr="00F04077">
        <w:rPr>
          <w:rStyle w:val="af7"/>
          <w:rFonts w:eastAsia="Guttman Hodes" w:hint="cs"/>
          <w:rtl/>
        </w:rPr>
        <w:t xml:space="preserve">(על השו"ע סי' ב' סעיף ב', שו"ת מהדו"ק קס"ב ד"ה והנה אף) </w:t>
      </w:r>
      <w:r>
        <w:rPr>
          <w:rFonts w:hint="cs"/>
          <w:rtl/>
        </w:rPr>
        <w:t xml:space="preserve">דמה שהוכיחו </w:t>
      </w:r>
      <w:r w:rsidRPr="00F04077">
        <w:rPr>
          <w:rStyle w:val="af9"/>
          <w:rFonts w:hint="cs"/>
          <w:rtl/>
        </w:rPr>
        <w:t xml:space="preserve">התוס' </w:t>
      </w:r>
      <w:r>
        <w:rPr>
          <w:rFonts w:hint="cs"/>
          <w:rtl/>
        </w:rPr>
        <w:t xml:space="preserve">מהא דלר"א ב"ר ינאי אינה מטמאה כנבילה, </w:t>
      </w:r>
      <w:r w:rsidRPr="00F04077">
        <w:rPr>
          <w:rStyle w:val="af9"/>
          <w:rFonts w:hint="cs"/>
          <w:rtl/>
        </w:rPr>
        <w:t xml:space="preserve">הרמב"ם </w:t>
      </w:r>
      <w:r w:rsidRPr="00A94E67">
        <w:rPr>
          <w:rStyle w:val="af7"/>
          <w:rFonts w:eastAsia="Guttman Hodes" w:hint="cs"/>
          <w:rtl/>
        </w:rPr>
        <w:t>(</w:t>
      </w:r>
      <w:r w:rsidRPr="00E848CA">
        <w:rPr>
          <w:rStyle w:val="af7"/>
          <w:rFonts w:eastAsia="Guttman Hodes" w:hint="cs"/>
          <w:rtl/>
        </w:rPr>
        <w:t xml:space="preserve">עי' אות </w:t>
      </w:r>
      <w:r w:rsidRPr="00E848CA">
        <w:rPr>
          <w:rStyle w:val="af7"/>
          <w:rFonts w:eastAsia="Guttman Hodes"/>
          <w:rtl/>
        </w:rPr>
        <w:fldChar w:fldCharType="begin"/>
      </w:r>
      <w:r w:rsidRPr="00E848CA">
        <w:rPr>
          <w:rStyle w:val="af7"/>
          <w:rFonts w:eastAsia="Guttman Hodes"/>
          <w:rtl/>
        </w:rPr>
        <w:instrText xml:space="preserve"> </w:instrText>
      </w:r>
      <w:r w:rsidRPr="00E848CA">
        <w:rPr>
          <w:rStyle w:val="af7"/>
          <w:rFonts w:eastAsia="Guttman Hodes" w:hint="cs"/>
        </w:rPr>
        <w:instrText>REF</w:instrText>
      </w:r>
      <w:r w:rsidRPr="00E848CA">
        <w:rPr>
          <w:rStyle w:val="af7"/>
          <w:rFonts w:eastAsia="Guttman Hodes" w:hint="cs"/>
          <w:rtl/>
        </w:rPr>
        <w:instrText xml:space="preserve"> _</w:instrText>
      </w:r>
      <w:r w:rsidRPr="00E848CA">
        <w:rPr>
          <w:rStyle w:val="af7"/>
          <w:rFonts w:eastAsia="Guttman Hodes" w:hint="cs"/>
        </w:rPr>
        <w:instrText>Ref522221102 \r \h</w:instrText>
      </w:r>
      <w:r w:rsidRPr="00E848CA">
        <w:rPr>
          <w:rStyle w:val="af7"/>
          <w:rFonts w:eastAsia="Guttman Hodes"/>
          <w:rtl/>
        </w:rPr>
        <w:instrText xml:space="preserve"> </w:instrText>
      </w:r>
      <w:r w:rsidRPr="00E848CA">
        <w:rPr>
          <w:rStyle w:val="af7"/>
          <w:rFonts w:eastAsia="Guttman Hodes"/>
          <w:rtl/>
        </w:rPr>
      </w:r>
      <w:r w:rsidRPr="00E848CA">
        <w:rPr>
          <w:rStyle w:val="af7"/>
          <w:rFonts w:eastAsia="Guttman Hodes"/>
          <w:rtl/>
        </w:rPr>
        <w:fldChar w:fldCharType="separate"/>
      </w:r>
      <w:r w:rsidR="00345400">
        <w:rPr>
          <w:rStyle w:val="af7"/>
          <w:rFonts w:eastAsia="Guttman Hodes"/>
          <w:cs/>
        </w:rPr>
        <w:t>‎</w:t>
      </w:r>
      <w:r w:rsidR="00345400">
        <w:rPr>
          <w:rStyle w:val="af7"/>
          <w:rFonts w:eastAsia="Guttman Hodes"/>
          <w:rtl/>
        </w:rPr>
        <w:t>קט)</w:t>
      </w:r>
      <w:r w:rsidRPr="00E848CA">
        <w:rPr>
          <w:rStyle w:val="af7"/>
          <w:rFonts w:eastAsia="Guttman Hodes"/>
          <w:rtl/>
        </w:rPr>
        <w:fldChar w:fldCharType="end"/>
      </w:r>
      <w:r>
        <w:rPr>
          <w:rFonts w:hint="cs"/>
          <w:rtl/>
        </w:rPr>
        <w:t xml:space="preserve"> פליג בזה על </w:t>
      </w:r>
      <w:r w:rsidRPr="00636E21">
        <w:rPr>
          <w:rStyle w:val="af9"/>
          <w:rFonts w:hint="cs"/>
          <w:rtl/>
        </w:rPr>
        <w:t xml:space="preserve">התוס' </w:t>
      </w:r>
      <w:r>
        <w:rPr>
          <w:rFonts w:hint="cs"/>
          <w:rtl/>
        </w:rPr>
        <w:t xml:space="preserve">וס"ל דבזה גופא נחלקו, </w:t>
      </w:r>
      <w:r w:rsidRPr="00B67293">
        <w:rPr>
          <w:rtl/>
        </w:rPr>
        <w:t>דלדעת ר"א ב"ר ינאי רק מדרבנן היא נבילה, ו</w:t>
      </w:r>
      <w:r>
        <w:rPr>
          <w:rFonts w:hint="cs"/>
          <w:rtl/>
        </w:rPr>
        <w:t>ל</w:t>
      </w:r>
      <w:r>
        <w:rPr>
          <w:rtl/>
        </w:rPr>
        <w:t xml:space="preserve">ברייתא </w:t>
      </w:r>
      <w:r w:rsidRPr="00B67293">
        <w:rPr>
          <w:rtl/>
        </w:rPr>
        <w:t>אף מדאו' היא נבילה, דלא סמכינן על הרוב</w:t>
      </w:r>
      <w:r>
        <w:rPr>
          <w:rFonts w:hint="cs"/>
          <w:rtl/>
        </w:rPr>
        <w:t xml:space="preserve">. ומשמע מדברי </w:t>
      </w:r>
      <w:r>
        <w:rPr>
          <w:rStyle w:val="af9"/>
          <w:rFonts w:hint="cs"/>
          <w:rtl/>
        </w:rPr>
        <w:t>ה</w:t>
      </w:r>
      <w:r w:rsidRPr="00F04077">
        <w:rPr>
          <w:rStyle w:val="af9"/>
          <w:rFonts w:hint="cs"/>
          <w:rtl/>
        </w:rPr>
        <w:t>גרעק"א</w:t>
      </w:r>
      <w:r>
        <w:rPr>
          <w:rFonts w:hint="cs"/>
          <w:rtl/>
        </w:rPr>
        <w:t xml:space="preserve"> דלדעת </w:t>
      </w:r>
      <w:r w:rsidRPr="00F04077">
        <w:rPr>
          <w:rStyle w:val="af9"/>
          <w:rFonts w:hint="cs"/>
          <w:rtl/>
        </w:rPr>
        <w:t>התוס'</w:t>
      </w:r>
      <w:r>
        <w:rPr>
          <w:rFonts w:hint="cs"/>
          <w:rtl/>
        </w:rPr>
        <w:t xml:space="preserve"> לכו"ע אסורה רק מדרבנן.</w:t>
      </w:r>
    </w:p>
    <w:p w14:paraId="31FED45D" w14:textId="77777777" w:rsidR="00852065" w:rsidRDefault="00852065" w:rsidP="006D6D32">
      <w:pPr>
        <w:pStyle w:val="a3"/>
        <w:rPr>
          <w:rtl/>
        </w:rPr>
      </w:pPr>
      <w:bookmarkStart w:id="341" w:name="_Toc522086145"/>
      <w:bookmarkStart w:id="342" w:name="_Toc522099565"/>
      <w:bookmarkStart w:id="343" w:name="_Toc19388880"/>
      <w:bookmarkStart w:id="344" w:name="_Toc19392377"/>
      <w:r>
        <w:rPr>
          <w:rFonts w:hint="cs"/>
          <w:rtl/>
        </w:rPr>
        <w:t>דברי הפרי תואר דאף לברייתא הוא דרבנן דפשיטא דלא נחלקו אסורה בודאי או בספק</w:t>
      </w:r>
      <w:bookmarkEnd w:id="340"/>
      <w:bookmarkEnd w:id="341"/>
      <w:bookmarkEnd w:id="342"/>
      <w:bookmarkEnd w:id="343"/>
      <w:bookmarkEnd w:id="344"/>
      <w:r>
        <w:rPr>
          <w:rFonts w:hint="cs"/>
          <w:rtl/>
        </w:rPr>
        <w:t xml:space="preserve"> </w:t>
      </w:r>
    </w:p>
    <w:p w14:paraId="1825B2F4" w14:textId="77777777" w:rsidR="00852065" w:rsidRPr="00DC5F37" w:rsidRDefault="00852065" w:rsidP="00223668">
      <w:pPr>
        <w:pStyle w:val="a0"/>
        <w:rPr>
          <w:rtl/>
        </w:rPr>
      </w:pPr>
      <w:bookmarkStart w:id="345" w:name="_Ref522110372"/>
      <w:r>
        <w:rPr>
          <w:rFonts w:hint="cs"/>
          <w:rtl/>
        </w:rPr>
        <w:t xml:space="preserve">וכ"כ </w:t>
      </w:r>
      <w:r w:rsidRPr="00531F9A">
        <w:rPr>
          <w:rStyle w:val="af9"/>
          <w:rFonts w:hint="cs"/>
          <w:rtl/>
        </w:rPr>
        <w:t>בפרי תואר</w:t>
      </w:r>
      <w:r>
        <w:rPr>
          <w:rFonts w:hint="cs"/>
          <w:rtl/>
        </w:rPr>
        <w:t xml:space="preserve"> </w:t>
      </w:r>
      <w:r w:rsidRPr="00531F9A">
        <w:rPr>
          <w:rStyle w:val="af7"/>
          <w:rFonts w:eastAsia="Guttman Hodes" w:hint="cs"/>
          <w:rtl/>
        </w:rPr>
        <w:t>(כ"ה א')</w:t>
      </w:r>
      <w:r>
        <w:rPr>
          <w:rFonts w:hint="cs"/>
          <w:rtl/>
        </w:rPr>
        <w:t xml:space="preserve"> דכוונת</w:t>
      </w:r>
      <w:r w:rsidRPr="00531F9A">
        <w:rPr>
          <w:rStyle w:val="af9"/>
          <w:rFonts w:hint="cs"/>
          <w:rtl/>
        </w:rPr>
        <w:t xml:space="preserve"> התוס'</w:t>
      </w:r>
      <w:r>
        <w:rPr>
          <w:rFonts w:hint="cs"/>
          <w:rtl/>
        </w:rPr>
        <w:t xml:space="preserve"> דלכו"ע מדאו' היא מותרת, ונחלקו אי החמירו רבנן לענין טומאה, ואף לדעת הברייתא דהיא נבילה ומטמאה במשא, אין הכוונה דהיא ודאי נבילה, דפשיטא שלא נחלקו התנאים אי הוי ודאי נבילה או ספק נבילה, והא דתני בברייתא לשון נבילה, היינו דמטמאה כנבילה אך אינו מדין ודאי, ועי' </w:t>
      </w:r>
      <w:r w:rsidRPr="009E4E2A">
        <w:rPr>
          <w:rStyle w:val="af7"/>
          <w:rFonts w:eastAsia="Guttman Hodes" w:hint="cs"/>
          <w:rtl/>
        </w:rPr>
        <w:t xml:space="preserve">(עי' אות </w:t>
      </w:r>
      <w:r w:rsidRPr="009E4E2A">
        <w:rPr>
          <w:rStyle w:val="af7"/>
          <w:rFonts w:eastAsia="Guttman Hodes"/>
          <w:rtl/>
        </w:rPr>
        <w:fldChar w:fldCharType="begin"/>
      </w:r>
      <w:r w:rsidRPr="009E4E2A">
        <w:rPr>
          <w:rStyle w:val="af7"/>
          <w:rFonts w:eastAsia="Guttman Hodes"/>
          <w:rtl/>
        </w:rPr>
        <w:instrText xml:space="preserve"> </w:instrText>
      </w:r>
      <w:r w:rsidRPr="009E4E2A">
        <w:rPr>
          <w:rStyle w:val="af7"/>
          <w:rFonts w:eastAsia="Guttman Hodes" w:hint="cs"/>
        </w:rPr>
        <w:instrText>REF</w:instrText>
      </w:r>
      <w:r w:rsidRPr="009E4E2A">
        <w:rPr>
          <w:rStyle w:val="af7"/>
          <w:rFonts w:eastAsia="Guttman Hodes" w:hint="cs"/>
          <w:rtl/>
        </w:rPr>
        <w:instrText xml:space="preserve"> _</w:instrText>
      </w:r>
      <w:r w:rsidRPr="009E4E2A">
        <w:rPr>
          <w:rStyle w:val="af7"/>
          <w:rFonts w:eastAsia="Guttman Hodes" w:hint="cs"/>
        </w:rPr>
        <w:instrText>Ref522100643 \r \h</w:instrText>
      </w:r>
      <w:r w:rsidRPr="009E4E2A">
        <w:rPr>
          <w:rStyle w:val="af7"/>
          <w:rFonts w:eastAsia="Guttman Hodes"/>
          <w:rtl/>
        </w:rPr>
        <w:instrText xml:space="preserve"> </w:instrText>
      </w:r>
      <w:r w:rsidRPr="009E4E2A">
        <w:rPr>
          <w:rStyle w:val="af7"/>
          <w:rFonts w:eastAsia="Guttman Hodes"/>
          <w:rtl/>
        </w:rPr>
      </w:r>
      <w:r w:rsidRPr="009E4E2A">
        <w:rPr>
          <w:rStyle w:val="af7"/>
          <w:rFonts w:eastAsia="Guttman Hodes"/>
          <w:rtl/>
        </w:rPr>
        <w:fldChar w:fldCharType="separate"/>
      </w:r>
      <w:r w:rsidR="00345400">
        <w:rPr>
          <w:rStyle w:val="af7"/>
          <w:rFonts w:eastAsia="Guttman Hodes"/>
          <w:cs/>
        </w:rPr>
        <w:t>‎</w:t>
      </w:r>
      <w:r w:rsidR="00345400">
        <w:rPr>
          <w:rStyle w:val="af7"/>
          <w:rFonts w:eastAsia="Guttman Hodes"/>
          <w:rtl/>
        </w:rPr>
        <w:t>קיא)</w:t>
      </w:r>
      <w:r w:rsidRPr="009E4E2A">
        <w:rPr>
          <w:rStyle w:val="af7"/>
          <w:rFonts w:eastAsia="Guttman Hodes"/>
          <w:rtl/>
        </w:rPr>
        <w:fldChar w:fldCharType="end"/>
      </w:r>
      <w:r>
        <w:rPr>
          <w:rFonts w:hint="cs"/>
          <w:rtl/>
        </w:rPr>
        <w:t xml:space="preserve"> דכ"כ </w:t>
      </w:r>
      <w:r w:rsidRPr="00531F9A">
        <w:rPr>
          <w:rStyle w:val="af9"/>
          <w:rFonts w:hint="cs"/>
          <w:rtl/>
        </w:rPr>
        <w:t>הפרי תואר</w:t>
      </w:r>
      <w:r>
        <w:rPr>
          <w:rFonts w:hint="cs"/>
          <w:rtl/>
        </w:rPr>
        <w:t xml:space="preserve"> בדעת </w:t>
      </w:r>
      <w:r w:rsidRPr="00531F9A">
        <w:rPr>
          <w:rStyle w:val="af9"/>
          <w:rFonts w:hint="cs"/>
          <w:rtl/>
        </w:rPr>
        <w:t>הרמב"ם</w:t>
      </w:r>
      <w:r w:rsidRPr="00DC5F37">
        <w:rPr>
          <w:rFonts w:hint="cs"/>
          <w:rtl/>
        </w:rPr>
        <w:t>.</w:t>
      </w:r>
      <w:bookmarkEnd w:id="345"/>
    </w:p>
    <w:p w14:paraId="794EF2D5" w14:textId="77777777" w:rsidR="00852065" w:rsidRPr="002E578E" w:rsidRDefault="00852065" w:rsidP="006D6D32">
      <w:pPr>
        <w:pStyle w:val="a3"/>
      </w:pPr>
      <w:bookmarkStart w:id="346" w:name="_Toc522028141"/>
      <w:bookmarkStart w:id="347" w:name="_Toc522086146"/>
      <w:bookmarkStart w:id="348" w:name="_Toc522099566"/>
      <w:bookmarkStart w:id="349" w:name="_Toc19388881"/>
      <w:bookmarkStart w:id="350" w:name="_Toc19392378"/>
      <w:r>
        <w:rPr>
          <w:rFonts w:hint="cs"/>
          <w:rtl/>
        </w:rPr>
        <w:t>דברי הפרי תואר דאף אי נימא דלברייתא אין רוב מ"מ הוא ספק דאין לה חזקת איסור</w:t>
      </w:r>
      <w:bookmarkEnd w:id="346"/>
      <w:bookmarkEnd w:id="347"/>
      <w:bookmarkEnd w:id="348"/>
      <w:bookmarkEnd w:id="349"/>
      <w:bookmarkEnd w:id="350"/>
    </w:p>
    <w:p w14:paraId="64C6DE6C" w14:textId="77777777" w:rsidR="00852065" w:rsidRDefault="00852065" w:rsidP="00223668">
      <w:pPr>
        <w:pStyle w:val="a0"/>
        <w:rPr>
          <w:rtl/>
        </w:rPr>
      </w:pPr>
      <w:r>
        <w:rPr>
          <w:rFonts w:hint="cs"/>
          <w:rtl/>
        </w:rPr>
        <w:t xml:space="preserve">והוסיף </w:t>
      </w:r>
      <w:r w:rsidRPr="00531F9A">
        <w:rPr>
          <w:rStyle w:val="af9"/>
          <w:rFonts w:hint="cs"/>
          <w:rtl/>
        </w:rPr>
        <w:t>הפרי תואר</w:t>
      </w:r>
      <w:r>
        <w:rPr>
          <w:rFonts w:hint="cs"/>
          <w:rtl/>
        </w:rPr>
        <w:t xml:space="preserve"> דאף אי נימא דהברייתא ס"ל דאין רוב שנשחטה כראוי, מ"מ הוא רק ספק, דאין לה עכשיו את החזקת איסור שהייתה לה.</w:t>
      </w:r>
    </w:p>
    <w:p w14:paraId="3C4FB79E" w14:textId="77777777" w:rsidR="00852065" w:rsidRDefault="00852065" w:rsidP="006D6D32">
      <w:pPr>
        <w:pStyle w:val="a3"/>
        <w:rPr>
          <w:rtl/>
        </w:rPr>
      </w:pPr>
      <w:bookmarkStart w:id="351" w:name="_Toc522028142"/>
      <w:bookmarkStart w:id="352" w:name="_Toc522086147"/>
      <w:bookmarkStart w:id="353" w:name="_Toc522099567"/>
      <w:bookmarkStart w:id="354" w:name="_Toc19388882"/>
      <w:bookmarkStart w:id="355" w:name="_Toc19392379"/>
      <w:r>
        <w:rPr>
          <w:rFonts w:hint="cs"/>
          <w:rtl/>
        </w:rPr>
        <w:t>דחיית הפרמ"ג דאף בספק השקול היא בחזקת איסור וכ"ש דמוחזקת שלא נחתכו הסימנים</w:t>
      </w:r>
      <w:bookmarkEnd w:id="351"/>
      <w:bookmarkEnd w:id="352"/>
      <w:bookmarkEnd w:id="353"/>
      <w:bookmarkEnd w:id="354"/>
      <w:bookmarkEnd w:id="355"/>
    </w:p>
    <w:p w14:paraId="5943EED4" w14:textId="77777777" w:rsidR="00852065" w:rsidRDefault="00852065" w:rsidP="00223668">
      <w:pPr>
        <w:pStyle w:val="a0"/>
        <w:rPr>
          <w:rtl/>
        </w:rPr>
      </w:pPr>
      <w:r>
        <w:rPr>
          <w:rFonts w:hint="cs"/>
          <w:rtl/>
        </w:rPr>
        <w:t xml:space="preserve">ודחה </w:t>
      </w:r>
      <w:r w:rsidRPr="00531F9A">
        <w:rPr>
          <w:rStyle w:val="af9"/>
          <w:rFonts w:hint="cs"/>
          <w:rtl/>
        </w:rPr>
        <w:t>הפרמ"ג</w:t>
      </w:r>
      <w:r>
        <w:rPr>
          <w:rFonts w:hint="cs"/>
          <w:rtl/>
        </w:rPr>
        <w:t xml:space="preserve"> </w:t>
      </w:r>
      <w:r w:rsidRPr="00531F9A">
        <w:rPr>
          <w:rStyle w:val="af7"/>
          <w:rFonts w:eastAsia="Guttman Hodes" w:hint="cs"/>
          <w:rtl/>
        </w:rPr>
        <w:t>(</w:t>
      </w:r>
      <w:r>
        <w:rPr>
          <w:rStyle w:val="af7"/>
          <w:rFonts w:eastAsia="Guttman Hodes" w:hint="cs"/>
          <w:rtl/>
        </w:rPr>
        <w:t>שפתי דעת</w:t>
      </w:r>
      <w:r w:rsidRPr="00531F9A">
        <w:rPr>
          <w:rStyle w:val="af7"/>
          <w:rFonts w:eastAsia="Guttman Hodes" w:hint="cs"/>
          <w:rtl/>
        </w:rPr>
        <w:t xml:space="preserve"> כ"ה א')</w:t>
      </w:r>
      <w:r>
        <w:rPr>
          <w:rFonts w:hint="cs"/>
          <w:rtl/>
        </w:rPr>
        <w:t xml:space="preserve"> את דברי </w:t>
      </w:r>
      <w:r w:rsidRPr="00531F9A">
        <w:rPr>
          <w:rStyle w:val="af9"/>
          <w:rFonts w:hint="cs"/>
          <w:rtl/>
        </w:rPr>
        <w:t>הפרי תואר</w:t>
      </w:r>
      <w:r>
        <w:rPr>
          <w:rFonts w:hint="cs"/>
          <w:rtl/>
        </w:rPr>
        <w:t xml:space="preserve"> דאף אי נימא דהוא ספק השקול, מ"מ צריך להעמידה על חזקתה, וכ"ש שיש לה חזקה דמעיקרא לא היו הסימנים חתוכים.</w:t>
      </w:r>
    </w:p>
    <w:p w14:paraId="1E2E3154" w14:textId="77777777" w:rsidR="00852065" w:rsidRDefault="00852065" w:rsidP="00BF39B2">
      <w:pPr>
        <w:pStyle w:val="1"/>
        <w:rPr>
          <w:rtl/>
        </w:rPr>
      </w:pPr>
      <w:bookmarkStart w:id="356" w:name="_Toc522086148"/>
      <w:bookmarkStart w:id="357" w:name="_Toc522099568"/>
      <w:bookmarkStart w:id="358" w:name="_Toc19388883"/>
      <w:bookmarkStart w:id="359" w:name="_Toc19392380"/>
      <w:bookmarkStart w:id="360" w:name="_Toc522028143"/>
      <w:r>
        <w:rPr>
          <w:rFonts w:hint="cs"/>
          <w:rtl/>
        </w:rPr>
        <w:t>דעת הסוברים דלתוס' לדעת הברייתא אסורה מדאו'</w:t>
      </w:r>
      <w:bookmarkEnd w:id="356"/>
      <w:bookmarkEnd w:id="357"/>
      <w:bookmarkEnd w:id="358"/>
      <w:bookmarkEnd w:id="359"/>
    </w:p>
    <w:p w14:paraId="6D273616" w14:textId="77777777" w:rsidR="00852065" w:rsidRPr="00AA0C60" w:rsidRDefault="00852065" w:rsidP="006D6D32">
      <w:pPr>
        <w:pStyle w:val="a3"/>
        <w:rPr>
          <w:rtl/>
        </w:rPr>
      </w:pPr>
      <w:bookmarkStart w:id="361" w:name="_Toc522086149"/>
      <w:bookmarkStart w:id="362" w:name="_Toc522099569"/>
      <w:bookmarkStart w:id="363" w:name="_Toc19388884"/>
      <w:bookmarkStart w:id="364" w:name="_Toc19392381"/>
      <w:r>
        <w:rPr>
          <w:rFonts w:hint="cs"/>
          <w:rtl/>
        </w:rPr>
        <w:t>דעת הפרמ"ג והש"ש והמהר"ם דרק לדעת ר"א יש רוב ואילו לברייתא אסורה מדאו'</w:t>
      </w:r>
      <w:bookmarkEnd w:id="360"/>
      <w:bookmarkEnd w:id="361"/>
      <w:bookmarkEnd w:id="362"/>
      <w:bookmarkEnd w:id="363"/>
      <w:bookmarkEnd w:id="364"/>
    </w:p>
    <w:p w14:paraId="1452CA47" w14:textId="77777777" w:rsidR="00852065" w:rsidRDefault="00852065" w:rsidP="00223668">
      <w:pPr>
        <w:pStyle w:val="a0"/>
        <w:rPr>
          <w:rtl/>
        </w:rPr>
      </w:pPr>
      <w:bookmarkStart w:id="365" w:name="_Toc522086150"/>
      <w:bookmarkStart w:id="366" w:name="_Toc522099570"/>
      <w:r>
        <w:rPr>
          <w:rFonts w:hint="cs"/>
          <w:rtl/>
        </w:rPr>
        <w:t xml:space="preserve">וכתב </w:t>
      </w:r>
      <w:r w:rsidRPr="00531F9A">
        <w:rPr>
          <w:rStyle w:val="af9"/>
          <w:rFonts w:hint="cs"/>
          <w:rtl/>
        </w:rPr>
        <w:t>הפרמ"ג</w:t>
      </w:r>
      <w:r>
        <w:rPr>
          <w:rFonts w:hint="cs"/>
          <w:rtl/>
        </w:rPr>
        <w:t xml:space="preserve"> </w:t>
      </w:r>
      <w:r w:rsidRPr="00531F9A">
        <w:rPr>
          <w:rStyle w:val="af7"/>
          <w:rFonts w:eastAsia="Guttman Hodes" w:hint="cs"/>
          <w:rtl/>
        </w:rPr>
        <w:t xml:space="preserve">(פתיחה להלכות שחיטה שורש </w:t>
      </w:r>
      <w:r>
        <w:rPr>
          <w:rStyle w:val="af7"/>
          <w:rFonts w:eastAsia="Guttman Hodes" w:hint="cs"/>
          <w:rtl/>
        </w:rPr>
        <w:t>הד</w:t>
      </w:r>
      <w:r w:rsidRPr="00531F9A">
        <w:rPr>
          <w:rStyle w:val="af7"/>
          <w:rFonts w:eastAsia="Guttman Hodes" w:hint="cs"/>
          <w:rtl/>
        </w:rPr>
        <w:t>' ד"ה דע כי)</w:t>
      </w:r>
      <w:r>
        <w:rPr>
          <w:rFonts w:hint="cs"/>
          <w:rtl/>
        </w:rPr>
        <w:t xml:space="preserve"> דאפשר לבאר דכל דברי </w:t>
      </w:r>
      <w:r w:rsidRPr="00531F9A">
        <w:rPr>
          <w:rStyle w:val="af9"/>
          <w:rFonts w:hint="cs"/>
          <w:rtl/>
        </w:rPr>
        <w:t xml:space="preserve">התוס' </w:t>
      </w:r>
      <w:r>
        <w:rPr>
          <w:rFonts w:hint="cs"/>
          <w:rtl/>
        </w:rPr>
        <w:t>דמדאו' מותרת האיסור הוא מדרבנן, הם רק לדעת ר"א ב"ר ינאי דאינה מטמאה כנבילה, אבל להלכה דקיי"ל כברייתא דמטמאה כנבילה, האיסור הוא מדאו', ולכן מטמאה כנבילה, דהיא נבילה גמורה מדאו', וכן משמע קצת</w:t>
      </w:r>
      <w:r>
        <w:rPr>
          <w:rStyle w:val="af9"/>
          <w:rFonts w:hint="cs"/>
          <w:rtl/>
        </w:rPr>
        <w:t xml:space="preserve"> ב</w:t>
      </w:r>
      <w:r w:rsidRPr="00531F9A">
        <w:rPr>
          <w:rStyle w:val="af9"/>
          <w:rFonts w:hint="cs"/>
          <w:rtl/>
        </w:rPr>
        <w:t>מהר"ם</w:t>
      </w:r>
      <w:r>
        <w:rPr>
          <w:rFonts w:hint="cs"/>
          <w:rtl/>
        </w:rPr>
        <w:t xml:space="preserve"> דדברי </w:t>
      </w:r>
      <w:r w:rsidRPr="00531F9A">
        <w:rPr>
          <w:rStyle w:val="af9"/>
          <w:rFonts w:hint="cs"/>
          <w:rtl/>
        </w:rPr>
        <w:t xml:space="preserve">התוס' </w:t>
      </w:r>
      <w:r>
        <w:rPr>
          <w:rFonts w:hint="cs"/>
          <w:rtl/>
        </w:rPr>
        <w:t>הם לדעת ר"א ב"ר ינאי, וכן משמע קצת</w:t>
      </w:r>
      <w:r>
        <w:rPr>
          <w:rStyle w:val="af9"/>
          <w:rFonts w:hint="cs"/>
          <w:rtl/>
        </w:rPr>
        <w:t xml:space="preserve"> </w:t>
      </w:r>
      <w:r>
        <w:rPr>
          <w:rFonts w:hint="cs"/>
          <w:rtl/>
        </w:rPr>
        <w:t xml:space="preserve">בדברי </w:t>
      </w:r>
      <w:r w:rsidRPr="00531F9A">
        <w:rPr>
          <w:rStyle w:val="af9"/>
          <w:rFonts w:hint="cs"/>
          <w:rtl/>
        </w:rPr>
        <w:t>הש"ש</w:t>
      </w:r>
      <w:r>
        <w:rPr>
          <w:rFonts w:hint="cs"/>
          <w:rtl/>
        </w:rPr>
        <w:t xml:space="preserve"> </w:t>
      </w:r>
      <w:r w:rsidRPr="009E4E2A">
        <w:rPr>
          <w:rStyle w:val="af7"/>
          <w:rFonts w:eastAsia="Guttman Hodes" w:hint="cs"/>
          <w:rtl/>
        </w:rPr>
        <w:t xml:space="preserve">(עי' אות </w:t>
      </w:r>
      <w:r w:rsidRPr="009E4E2A">
        <w:rPr>
          <w:rStyle w:val="af7"/>
          <w:rFonts w:eastAsia="Guttman Hodes"/>
          <w:rtl/>
        </w:rPr>
        <w:fldChar w:fldCharType="begin"/>
      </w:r>
      <w:r w:rsidRPr="009E4E2A">
        <w:rPr>
          <w:rStyle w:val="af7"/>
          <w:rFonts w:eastAsia="Guttman Hodes"/>
          <w:rtl/>
        </w:rPr>
        <w:instrText xml:space="preserve"> </w:instrText>
      </w:r>
      <w:r w:rsidRPr="009E4E2A">
        <w:rPr>
          <w:rStyle w:val="af7"/>
          <w:rFonts w:eastAsia="Guttman Hodes" w:hint="cs"/>
        </w:rPr>
        <w:instrText>REF</w:instrText>
      </w:r>
      <w:r w:rsidRPr="009E4E2A">
        <w:rPr>
          <w:rStyle w:val="af7"/>
          <w:rFonts w:eastAsia="Guttman Hodes" w:hint="cs"/>
          <w:rtl/>
        </w:rPr>
        <w:instrText xml:space="preserve"> _</w:instrText>
      </w:r>
      <w:r w:rsidRPr="009E4E2A">
        <w:rPr>
          <w:rStyle w:val="af7"/>
          <w:rFonts w:eastAsia="Guttman Hodes" w:hint="cs"/>
        </w:rPr>
        <w:instrText>Ref522100684 \r \h</w:instrText>
      </w:r>
      <w:r w:rsidRPr="009E4E2A">
        <w:rPr>
          <w:rStyle w:val="af7"/>
          <w:rFonts w:eastAsia="Guttman Hodes"/>
          <w:rtl/>
        </w:rPr>
        <w:instrText xml:space="preserve"> </w:instrText>
      </w:r>
      <w:r w:rsidRPr="009E4E2A">
        <w:rPr>
          <w:rStyle w:val="af7"/>
          <w:rFonts w:eastAsia="Guttman Hodes"/>
          <w:rtl/>
        </w:rPr>
      </w:r>
      <w:r w:rsidRPr="009E4E2A">
        <w:rPr>
          <w:rStyle w:val="af7"/>
          <w:rFonts w:eastAsia="Guttman Hodes"/>
          <w:rtl/>
        </w:rPr>
        <w:fldChar w:fldCharType="separate"/>
      </w:r>
      <w:r w:rsidR="00345400">
        <w:rPr>
          <w:rStyle w:val="af7"/>
          <w:rFonts w:eastAsia="Guttman Hodes"/>
          <w:cs/>
        </w:rPr>
        <w:t>‎</w:t>
      </w:r>
      <w:r w:rsidR="00345400">
        <w:rPr>
          <w:rStyle w:val="af7"/>
          <w:rFonts w:eastAsia="Guttman Hodes"/>
          <w:rtl/>
        </w:rPr>
        <w:t>מו)</w:t>
      </w:r>
      <w:r w:rsidRPr="009E4E2A">
        <w:rPr>
          <w:rStyle w:val="af7"/>
          <w:rFonts w:eastAsia="Guttman Hodes"/>
          <w:rtl/>
        </w:rPr>
        <w:fldChar w:fldCharType="end"/>
      </w:r>
      <w:r>
        <w:rPr>
          <w:rFonts w:hint="cs"/>
          <w:rtl/>
        </w:rPr>
        <w:t>.</w:t>
      </w:r>
    </w:p>
    <w:p w14:paraId="4726C901" w14:textId="77777777" w:rsidR="00852065" w:rsidRDefault="00852065" w:rsidP="00BF39B2">
      <w:pPr>
        <w:pStyle w:val="1"/>
        <w:rPr>
          <w:rtl/>
        </w:rPr>
      </w:pPr>
      <w:bookmarkStart w:id="367" w:name="_Toc19388885"/>
      <w:bookmarkStart w:id="368" w:name="_Toc19392382"/>
      <w:r>
        <w:rPr>
          <w:rFonts w:hint="cs"/>
          <w:rtl/>
        </w:rPr>
        <w:t>ביאור הגרעק"א והראש יוסף בחומרא דרבנן לדעת התוס'</w:t>
      </w:r>
      <w:bookmarkEnd w:id="365"/>
      <w:bookmarkEnd w:id="366"/>
      <w:bookmarkEnd w:id="367"/>
      <w:bookmarkEnd w:id="368"/>
      <w:r>
        <w:rPr>
          <w:rFonts w:hint="cs"/>
          <w:rtl/>
        </w:rPr>
        <w:t xml:space="preserve"> </w:t>
      </w:r>
    </w:p>
    <w:p w14:paraId="35FA0295" w14:textId="77777777" w:rsidR="00852065" w:rsidRPr="0090574F" w:rsidRDefault="00852065" w:rsidP="006D6D32">
      <w:pPr>
        <w:pStyle w:val="a3"/>
        <w:rPr>
          <w:rtl/>
        </w:rPr>
      </w:pPr>
      <w:bookmarkStart w:id="369" w:name="_Toc522086151"/>
      <w:bookmarkStart w:id="370" w:name="_Toc522099571"/>
      <w:bookmarkStart w:id="371" w:name="_Toc19388886"/>
      <w:bookmarkStart w:id="372" w:name="_Toc19392383"/>
      <w:r>
        <w:rPr>
          <w:rFonts w:hint="cs"/>
          <w:rtl/>
        </w:rPr>
        <w:t>ביאור הגרעק"א והראש יוסף דהחמירו רבנן לסמוך מיעוטא לחזקה</w:t>
      </w:r>
      <w:bookmarkEnd w:id="369"/>
      <w:bookmarkEnd w:id="370"/>
      <w:bookmarkEnd w:id="371"/>
      <w:bookmarkEnd w:id="372"/>
    </w:p>
    <w:p w14:paraId="5341D217" w14:textId="77777777" w:rsidR="00852065" w:rsidRPr="009E77BD" w:rsidRDefault="00852065" w:rsidP="00223668">
      <w:pPr>
        <w:pStyle w:val="a0"/>
        <w:rPr>
          <w:rStyle w:val="afb"/>
          <w:rtl/>
        </w:rPr>
      </w:pPr>
      <w:r>
        <w:rPr>
          <w:rFonts w:hint="cs"/>
          <w:rtl/>
        </w:rPr>
        <w:t xml:space="preserve">וביארו </w:t>
      </w:r>
      <w:r w:rsidRPr="001E69C9">
        <w:rPr>
          <w:rStyle w:val="af9"/>
          <w:rFonts w:hint="cs"/>
          <w:rtl/>
        </w:rPr>
        <w:t>הגרעק"א</w:t>
      </w:r>
      <w:r>
        <w:rPr>
          <w:rFonts w:hint="cs"/>
          <w:rtl/>
        </w:rPr>
        <w:t xml:space="preserve"> </w:t>
      </w:r>
      <w:r w:rsidRPr="001E69C9">
        <w:rPr>
          <w:rStyle w:val="af7"/>
          <w:rFonts w:eastAsia="Guttman Hodes" w:hint="cs"/>
          <w:rtl/>
        </w:rPr>
        <w:t xml:space="preserve">(על השו"ע כ"ה א' בתו"ד) </w:t>
      </w:r>
      <w:r w:rsidRPr="00420D73">
        <w:rPr>
          <w:rStyle w:val="af9"/>
          <w:rFonts w:hint="cs"/>
          <w:rtl/>
        </w:rPr>
        <w:t>והראש יוסף</w:t>
      </w:r>
      <w:r>
        <w:rPr>
          <w:rFonts w:hint="cs"/>
          <w:rtl/>
        </w:rPr>
        <w:t xml:space="preserve"> </w:t>
      </w:r>
      <w:r w:rsidRPr="00420D73">
        <w:rPr>
          <w:rStyle w:val="af7"/>
          <w:rFonts w:eastAsia="Guttman Hodes" w:hint="cs"/>
          <w:rtl/>
        </w:rPr>
        <w:t xml:space="preserve">(ד"ה ובתוס' ד"ה ואסורה) </w:t>
      </w:r>
      <w:r w:rsidRPr="001E69C9">
        <w:rPr>
          <w:rFonts w:hint="cs"/>
          <w:rtl/>
        </w:rPr>
        <w:t>את ד</w:t>
      </w:r>
      <w:r>
        <w:rPr>
          <w:rFonts w:hint="cs"/>
          <w:rtl/>
        </w:rPr>
        <w:t xml:space="preserve">ברי </w:t>
      </w:r>
      <w:r w:rsidRPr="001E69C9">
        <w:rPr>
          <w:rStyle w:val="af9"/>
          <w:rFonts w:hint="cs"/>
          <w:rtl/>
        </w:rPr>
        <w:t xml:space="preserve">התוס' </w:t>
      </w:r>
      <w:r>
        <w:rPr>
          <w:rFonts w:hint="cs"/>
          <w:rtl/>
        </w:rPr>
        <w:t xml:space="preserve">דהחמירו רבנן לסמוך מיעוטא שאינם שוחטים כראוי, לחזקת איסור, והוי פלגא ופלגא, ואסורה מספק, </w:t>
      </w:r>
      <w:r w:rsidRPr="008A3D66">
        <w:rPr>
          <w:rStyle w:val="afb"/>
          <w:rFonts w:hint="cs"/>
          <w:rtl/>
        </w:rPr>
        <w:t>[</w:t>
      </w:r>
      <w:r w:rsidRPr="00F04077">
        <w:rPr>
          <w:rStyle w:val="affa"/>
          <w:rFonts w:hint="cs"/>
          <w:rtl/>
        </w:rPr>
        <w:t>כמרדכי בתירוץ הראשון</w:t>
      </w:r>
      <w:r w:rsidRPr="008A3D66">
        <w:rPr>
          <w:rStyle w:val="afb"/>
          <w:rFonts w:hint="cs"/>
          <w:rtl/>
        </w:rPr>
        <w:t xml:space="preserve"> </w:t>
      </w:r>
      <w:r w:rsidRPr="009E4E2A">
        <w:rPr>
          <w:rStyle w:val="aff6"/>
          <w:rFonts w:hint="cs"/>
          <w:rtl/>
        </w:rPr>
        <w:t xml:space="preserve">(עי' אות </w:t>
      </w:r>
      <w:r w:rsidRPr="009E4E2A">
        <w:rPr>
          <w:rStyle w:val="aff6"/>
          <w:rtl/>
        </w:rPr>
        <w:fldChar w:fldCharType="begin"/>
      </w:r>
      <w:r w:rsidRPr="009E4E2A">
        <w:rPr>
          <w:rStyle w:val="aff6"/>
          <w:rtl/>
        </w:rPr>
        <w:instrText xml:space="preserve"> </w:instrText>
      </w:r>
      <w:r w:rsidRPr="009E4E2A">
        <w:rPr>
          <w:rStyle w:val="aff6"/>
          <w:rFonts w:hint="cs"/>
        </w:rPr>
        <w:instrText>REF</w:instrText>
      </w:r>
      <w:r w:rsidRPr="009E4E2A">
        <w:rPr>
          <w:rStyle w:val="aff6"/>
          <w:rFonts w:hint="cs"/>
          <w:rtl/>
        </w:rPr>
        <w:instrText xml:space="preserve"> _</w:instrText>
      </w:r>
      <w:r w:rsidRPr="009E4E2A">
        <w:rPr>
          <w:rStyle w:val="aff6"/>
          <w:rFonts w:hint="cs"/>
        </w:rPr>
        <w:instrText>Ref522100704 \r \h</w:instrText>
      </w:r>
      <w:r w:rsidRPr="009E4E2A">
        <w:rPr>
          <w:rStyle w:val="aff6"/>
          <w:rtl/>
        </w:rPr>
        <w:instrText xml:space="preserve"> </w:instrText>
      </w:r>
      <w:r w:rsidRPr="009E4E2A">
        <w:rPr>
          <w:rStyle w:val="aff6"/>
          <w:rtl/>
        </w:rPr>
      </w:r>
      <w:r w:rsidRPr="009E4E2A">
        <w:rPr>
          <w:rStyle w:val="aff6"/>
          <w:rtl/>
        </w:rPr>
        <w:fldChar w:fldCharType="separate"/>
      </w:r>
      <w:r w:rsidR="00345400">
        <w:rPr>
          <w:rStyle w:val="aff6"/>
          <w:cs/>
        </w:rPr>
        <w:t>‎</w:t>
      </w:r>
      <w:r w:rsidR="00345400">
        <w:rPr>
          <w:rStyle w:val="aff6"/>
          <w:rtl/>
        </w:rPr>
        <w:t>נז)</w:t>
      </w:r>
      <w:r w:rsidRPr="009E4E2A">
        <w:rPr>
          <w:rStyle w:val="aff6"/>
          <w:rtl/>
        </w:rPr>
        <w:fldChar w:fldCharType="end"/>
      </w:r>
      <w:r w:rsidRPr="009E77BD">
        <w:rPr>
          <w:rStyle w:val="afb"/>
          <w:rFonts w:hint="cs"/>
          <w:rtl/>
        </w:rPr>
        <w:t>].</w:t>
      </w:r>
    </w:p>
    <w:p w14:paraId="1F258C88" w14:textId="77777777" w:rsidR="00852065" w:rsidRPr="006242ED" w:rsidRDefault="00852065" w:rsidP="006D6D32">
      <w:pPr>
        <w:pStyle w:val="a3"/>
        <w:rPr>
          <w:rtl/>
        </w:rPr>
      </w:pPr>
      <w:bookmarkStart w:id="373" w:name="_Toc522086152"/>
      <w:bookmarkStart w:id="374" w:name="_Toc522099572"/>
      <w:bookmarkStart w:id="375" w:name="_Toc19388887"/>
      <w:bookmarkStart w:id="376" w:name="_Toc19392384"/>
      <w:r>
        <w:rPr>
          <w:rFonts w:hint="cs"/>
          <w:rtl/>
        </w:rPr>
        <w:t>דברי הגרעק"א והראש יוסף דמדאו' מותרת ומדרבנן לא סמכינן על רוב התלוי במעשה</w:t>
      </w:r>
      <w:bookmarkEnd w:id="373"/>
      <w:bookmarkEnd w:id="374"/>
      <w:bookmarkEnd w:id="375"/>
      <w:bookmarkEnd w:id="376"/>
    </w:p>
    <w:p w14:paraId="7E8CFE84" w14:textId="77777777" w:rsidR="00852065" w:rsidRDefault="00852065" w:rsidP="00223668">
      <w:pPr>
        <w:pStyle w:val="a0"/>
        <w:rPr>
          <w:rtl/>
        </w:rPr>
      </w:pPr>
      <w:r>
        <w:rPr>
          <w:rFonts w:hint="cs"/>
          <w:rtl/>
        </w:rPr>
        <w:t xml:space="preserve">וכתבו </w:t>
      </w:r>
      <w:r w:rsidRPr="00F04077">
        <w:rPr>
          <w:rStyle w:val="af9"/>
          <w:rFonts w:hint="cs"/>
          <w:rtl/>
        </w:rPr>
        <w:t>הגרעק"א</w:t>
      </w:r>
      <w:r>
        <w:rPr>
          <w:rFonts w:hint="cs"/>
          <w:rtl/>
        </w:rPr>
        <w:t xml:space="preserve"> </w:t>
      </w:r>
      <w:r w:rsidRPr="00F04077">
        <w:rPr>
          <w:rStyle w:val="af7"/>
          <w:rFonts w:eastAsia="Guttman Hodes" w:hint="cs"/>
          <w:rtl/>
        </w:rPr>
        <w:t xml:space="preserve">(על השו"ע סי' ב' סעיף ב', שו"ת מהדו"ק קס"ב ד"ה והנה אף) </w:t>
      </w:r>
      <w:r w:rsidRPr="00420D73">
        <w:rPr>
          <w:rStyle w:val="af9"/>
          <w:rFonts w:hint="cs"/>
          <w:rtl/>
        </w:rPr>
        <w:t>והראש יוסף</w:t>
      </w:r>
      <w:r>
        <w:rPr>
          <w:rFonts w:hint="cs"/>
          <w:rtl/>
        </w:rPr>
        <w:t xml:space="preserve"> דדעת </w:t>
      </w:r>
      <w:r w:rsidRPr="00F04077">
        <w:rPr>
          <w:rStyle w:val="af9"/>
          <w:rFonts w:hint="cs"/>
          <w:rtl/>
        </w:rPr>
        <w:t xml:space="preserve">התוס' והרשב"א </w:t>
      </w:r>
      <w:r>
        <w:rPr>
          <w:rFonts w:hint="cs"/>
          <w:rtl/>
        </w:rPr>
        <w:t xml:space="preserve">דמדאו' הבהמה מותרת אף בלא בדיקה, ומה שכתב </w:t>
      </w:r>
      <w:r w:rsidRPr="00F04077">
        <w:rPr>
          <w:rStyle w:val="af9"/>
          <w:rFonts w:hint="cs"/>
          <w:rtl/>
        </w:rPr>
        <w:t>הרשב"א</w:t>
      </w:r>
      <w:r>
        <w:rPr>
          <w:rFonts w:hint="cs"/>
          <w:rtl/>
        </w:rPr>
        <w:t xml:space="preserve"> דלא סמכינן על הרוב כיון שהוא תלוי במעשה, כתבו </w:t>
      </w:r>
      <w:r w:rsidRPr="00F04077">
        <w:rPr>
          <w:rStyle w:val="af9"/>
          <w:rFonts w:hint="cs"/>
          <w:rtl/>
        </w:rPr>
        <w:t>הגרעק"א</w:t>
      </w:r>
      <w:r>
        <w:rPr>
          <w:rFonts w:hint="cs"/>
          <w:rtl/>
        </w:rPr>
        <w:t xml:space="preserve"> </w:t>
      </w:r>
      <w:r w:rsidRPr="00420D73">
        <w:rPr>
          <w:rStyle w:val="af9"/>
          <w:rFonts w:hint="cs"/>
          <w:rtl/>
        </w:rPr>
        <w:t>והראש יוסף</w:t>
      </w:r>
      <w:r>
        <w:rPr>
          <w:rFonts w:hint="cs"/>
          <w:rtl/>
        </w:rPr>
        <w:t xml:space="preserve"> דמשמע מדבריו דמדרבנן לא סמכינן על הרוב.</w:t>
      </w:r>
    </w:p>
    <w:p w14:paraId="020D083D" w14:textId="77777777" w:rsidR="00852065" w:rsidRPr="00522AE8" w:rsidRDefault="00852065" w:rsidP="006D6D32">
      <w:pPr>
        <w:pStyle w:val="a3"/>
      </w:pPr>
      <w:bookmarkStart w:id="377" w:name="_Toc522086153"/>
      <w:bookmarkStart w:id="378" w:name="_Toc522099573"/>
      <w:bookmarkStart w:id="379" w:name="_Toc19388888"/>
      <w:bookmarkStart w:id="380" w:name="_Toc19392385"/>
      <w:bookmarkStart w:id="381" w:name="_Toc522028146"/>
      <w:r>
        <w:rPr>
          <w:rFonts w:hint="cs"/>
          <w:rtl/>
        </w:rPr>
        <w:t>דברי המהר"ם דבאיסור העמידו על חזקת איסור ובטומאה שאין לה חזקה לא החמירו</w:t>
      </w:r>
      <w:bookmarkEnd w:id="377"/>
      <w:bookmarkEnd w:id="378"/>
      <w:bookmarkEnd w:id="379"/>
      <w:bookmarkEnd w:id="380"/>
    </w:p>
    <w:p w14:paraId="4901D06B" w14:textId="77777777" w:rsidR="00852065" w:rsidRDefault="00852065" w:rsidP="00223668">
      <w:pPr>
        <w:pStyle w:val="a0"/>
        <w:rPr>
          <w:rtl/>
        </w:rPr>
      </w:pPr>
      <w:r>
        <w:rPr>
          <w:rStyle w:val="af9"/>
          <w:rFonts w:hint="cs"/>
          <w:rtl/>
        </w:rPr>
        <w:t>ו</w:t>
      </w:r>
      <w:r w:rsidRPr="00ED35D8">
        <w:rPr>
          <w:rStyle w:val="af9"/>
          <w:rFonts w:hint="cs"/>
          <w:rtl/>
        </w:rPr>
        <w:t>המהר"ם</w:t>
      </w:r>
      <w:r>
        <w:rPr>
          <w:rFonts w:hint="cs"/>
          <w:rtl/>
        </w:rPr>
        <w:t xml:space="preserve"> ביאר בדעת </w:t>
      </w:r>
      <w:r w:rsidRPr="00ED35D8">
        <w:rPr>
          <w:rStyle w:val="af9"/>
          <w:rFonts w:hint="cs"/>
          <w:rtl/>
        </w:rPr>
        <w:t>התוס'</w:t>
      </w:r>
      <w:r>
        <w:rPr>
          <w:rFonts w:hint="cs"/>
          <w:rtl/>
        </w:rPr>
        <w:t xml:space="preserve"> דלר"א ב"ר ינאי החמירו לאוסרה באכילה, כיון שאפשר להעמידה על חזקתה דבחייה בחזקת איסור עומדת, אבל לענין טומאה שאין לה חזקה שהיא טמאה, לא החמירו לטמאותה כנבילה.  </w:t>
      </w:r>
    </w:p>
    <w:p w14:paraId="65A584EB" w14:textId="77777777" w:rsidR="00852065" w:rsidRDefault="00852065" w:rsidP="006D6D32">
      <w:pPr>
        <w:pStyle w:val="a3"/>
        <w:rPr>
          <w:rtl/>
        </w:rPr>
      </w:pPr>
      <w:bookmarkStart w:id="382" w:name="_Toc522086154"/>
      <w:bookmarkStart w:id="383" w:name="_Toc522099574"/>
      <w:bookmarkStart w:id="384" w:name="_Toc19388889"/>
      <w:bookmarkStart w:id="385" w:name="_Toc19392386"/>
      <w:r>
        <w:rPr>
          <w:rFonts w:hint="cs"/>
          <w:rtl/>
        </w:rPr>
        <w:t>דברי הבינת אדם דקנסו רבנן שלא לסמוך על רוב התלוי במעשה כיון שלא בדק</w:t>
      </w:r>
      <w:bookmarkEnd w:id="382"/>
      <w:bookmarkEnd w:id="383"/>
      <w:bookmarkEnd w:id="384"/>
      <w:bookmarkEnd w:id="385"/>
    </w:p>
    <w:p w14:paraId="19E9195E" w14:textId="77777777" w:rsidR="00852065" w:rsidRPr="00E51560" w:rsidRDefault="00852065" w:rsidP="00223668">
      <w:pPr>
        <w:pStyle w:val="a0"/>
        <w:rPr>
          <w:rtl/>
        </w:rPr>
      </w:pPr>
      <w:r w:rsidRPr="00412B92">
        <w:rPr>
          <w:rStyle w:val="af9"/>
          <w:rFonts w:hint="cs"/>
          <w:rtl/>
        </w:rPr>
        <w:t>ובבינת אדם</w:t>
      </w:r>
      <w:r>
        <w:rPr>
          <w:rFonts w:hint="cs"/>
          <w:rtl/>
        </w:rPr>
        <w:t xml:space="preserve"> </w:t>
      </w:r>
      <w:r w:rsidRPr="00412B92">
        <w:rPr>
          <w:rStyle w:val="af7"/>
          <w:rFonts w:eastAsia="Guttman Hodes" w:hint="cs"/>
          <w:rtl/>
        </w:rPr>
        <w:t>(שער רוב וחזקה סי' ה')</w:t>
      </w:r>
      <w:r>
        <w:rPr>
          <w:rFonts w:hint="cs"/>
          <w:rtl/>
        </w:rPr>
        <w:t xml:space="preserve"> כתב דאפש"ל דהביאור בדברי </w:t>
      </w:r>
      <w:r w:rsidRPr="000F2A2D">
        <w:rPr>
          <w:rStyle w:val="af9"/>
          <w:rFonts w:hint="cs"/>
          <w:rtl/>
        </w:rPr>
        <w:t>התוס'</w:t>
      </w:r>
      <w:r>
        <w:rPr>
          <w:rFonts w:hint="cs"/>
          <w:rtl/>
        </w:rPr>
        <w:t xml:space="preserve"> דמדרבנן לא סמכינן על רוב התלוי במעשה, הוא כיון דקנסוהו רבנן על שלא בדק בסימנים.</w:t>
      </w:r>
    </w:p>
    <w:p w14:paraId="1E7EF781" w14:textId="77777777" w:rsidR="00852065" w:rsidRDefault="00852065" w:rsidP="00BF39B2">
      <w:pPr>
        <w:pStyle w:val="1"/>
        <w:rPr>
          <w:rtl/>
        </w:rPr>
      </w:pPr>
      <w:bookmarkStart w:id="386" w:name="_Toc522086155"/>
      <w:bookmarkStart w:id="387" w:name="_Toc522099575"/>
      <w:bookmarkStart w:id="388" w:name="_Toc19388890"/>
      <w:bookmarkStart w:id="389" w:name="_Toc19392387"/>
      <w:r>
        <w:rPr>
          <w:rFonts w:hint="cs"/>
          <w:rtl/>
        </w:rPr>
        <w:t>ביאורי האחרונים בקושית התוס'</w:t>
      </w:r>
      <w:bookmarkEnd w:id="381"/>
      <w:bookmarkEnd w:id="386"/>
      <w:bookmarkEnd w:id="387"/>
      <w:bookmarkEnd w:id="388"/>
      <w:bookmarkEnd w:id="389"/>
    </w:p>
    <w:p w14:paraId="07E9C6DD" w14:textId="77777777" w:rsidR="00852065" w:rsidRPr="00E402C2" w:rsidRDefault="00852065" w:rsidP="006D6D32">
      <w:pPr>
        <w:pStyle w:val="a3"/>
        <w:rPr>
          <w:rtl/>
        </w:rPr>
      </w:pPr>
      <w:bookmarkStart w:id="390" w:name="_Toc522086156"/>
      <w:bookmarkStart w:id="391" w:name="_Toc522099576"/>
      <w:bookmarkStart w:id="392" w:name="_Toc19388891"/>
      <w:bookmarkStart w:id="393" w:name="_Toc19392388"/>
      <w:r>
        <w:rPr>
          <w:rFonts w:hint="cs"/>
          <w:rtl/>
        </w:rPr>
        <w:t>ביאור המהר"ם דהוקשה לתוס' דע"י החזקה ממילא היא נבילה ואף אם אין חזקה תטמא מספק</w:t>
      </w:r>
      <w:bookmarkEnd w:id="390"/>
      <w:bookmarkEnd w:id="391"/>
      <w:bookmarkEnd w:id="392"/>
      <w:bookmarkEnd w:id="393"/>
      <w:r>
        <w:rPr>
          <w:rFonts w:hint="cs"/>
          <w:rtl/>
        </w:rPr>
        <w:t xml:space="preserve"> </w:t>
      </w:r>
    </w:p>
    <w:p w14:paraId="2E7ECC33" w14:textId="77777777" w:rsidR="00852065" w:rsidRDefault="00852065" w:rsidP="00223668">
      <w:pPr>
        <w:pStyle w:val="a0"/>
        <w:rPr>
          <w:rtl/>
        </w:rPr>
      </w:pPr>
      <w:r>
        <w:rPr>
          <w:rFonts w:hint="cs"/>
          <w:rtl/>
        </w:rPr>
        <w:t xml:space="preserve">כתב </w:t>
      </w:r>
      <w:r w:rsidRPr="00ED35D8">
        <w:rPr>
          <w:rStyle w:val="af9"/>
          <w:rFonts w:hint="cs"/>
          <w:rtl/>
        </w:rPr>
        <w:t>המהר"ם</w:t>
      </w:r>
      <w:r>
        <w:rPr>
          <w:rFonts w:hint="cs"/>
          <w:rtl/>
        </w:rPr>
        <w:t xml:space="preserve"> דהוקשה </w:t>
      </w:r>
      <w:r w:rsidRPr="00ED35D8">
        <w:rPr>
          <w:rStyle w:val="af9"/>
          <w:rFonts w:hint="cs"/>
          <w:rtl/>
        </w:rPr>
        <w:t xml:space="preserve">לתוס' </w:t>
      </w:r>
      <w:r>
        <w:rPr>
          <w:rFonts w:hint="cs"/>
          <w:rtl/>
        </w:rPr>
        <w:t xml:space="preserve">אמאי ס"ל לר"א ב"ר ינאי אמאי אינה מטמאה כנבילה, הרי היא בחזקת אינה שחוטה, ועכשיו היא מתה וממילא נעשית נבילה, ועוד הוקשה </w:t>
      </w:r>
      <w:r w:rsidRPr="00ED35D8">
        <w:rPr>
          <w:rStyle w:val="af9"/>
          <w:rFonts w:hint="cs"/>
          <w:rtl/>
        </w:rPr>
        <w:t xml:space="preserve">לתוס' </w:t>
      </w:r>
      <w:r>
        <w:rPr>
          <w:rFonts w:hint="cs"/>
          <w:rtl/>
        </w:rPr>
        <w:t>דאף אם נימא דאין חזקה והוא רק ספק אם נשחטה כראוי, ג"כ צריכה לטמא מספק.</w:t>
      </w:r>
    </w:p>
    <w:p w14:paraId="516C980B" w14:textId="77777777" w:rsidR="00852065" w:rsidRDefault="00852065" w:rsidP="006D6D32">
      <w:pPr>
        <w:pStyle w:val="a3"/>
      </w:pPr>
      <w:bookmarkStart w:id="394" w:name="_Toc522086157"/>
      <w:bookmarkStart w:id="395" w:name="_Toc522099577"/>
      <w:bookmarkStart w:id="396" w:name="_Toc19388892"/>
      <w:bookmarkStart w:id="397" w:name="_Toc19392389"/>
      <w:r>
        <w:rPr>
          <w:rFonts w:hint="cs"/>
          <w:rtl/>
        </w:rPr>
        <w:t>דברי נימוק"י הגרי"ב דלתוס' דהיא בחזקת אינו זבוח קשה אמאי אינה מטמאה</w:t>
      </w:r>
      <w:bookmarkEnd w:id="394"/>
      <w:bookmarkEnd w:id="395"/>
      <w:bookmarkEnd w:id="396"/>
      <w:bookmarkEnd w:id="397"/>
    </w:p>
    <w:p w14:paraId="4E11BDD4" w14:textId="77777777" w:rsidR="00852065" w:rsidRPr="00ED35D8" w:rsidRDefault="00852065" w:rsidP="00223668">
      <w:pPr>
        <w:pStyle w:val="a0"/>
        <w:rPr>
          <w:rtl/>
        </w:rPr>
      </w:pPr>
      <w:r w:rsidRPr="00ED35D8">
        <w:rPr>
          <w:rFonts w:hint="cs"/>
          <w:rtl/>
        </w:rPr>
        <w:t xml:space="preserve">וכתב </w:t>
      </w:r>
      <w:r w:rsidRPr="00ED35D8">
        <w:rPr>
          <w:rStyle w:val="af9"/>
          <w:rFonts w:hint="cs"/>
          <w:rtl/>
        </w:rPr>
        <w:t>בנימוק"י הגרי"ב</w:t>
      </w:r>
      <w:r w:rsidRPr="00ED35D8">
        <w:rPr>
          <w:rFonts w:hint="cs"/>
          <w:rtl/>
        </w:rPr>
        <w:t xml:space="preserve"> </w:t>
      </w:r>
      <w:r w:rsidRPr="00ED35D8">
        <w:rPr>
          <w:rStyle w:val="af7"/>
          <w:rFonts w:eastAsia="Guttman Hodes" w:hint="cs"/>
          <w:rtl/>
        </w:rPr>
        <w:t xml:space="preserve">(נד' במפרשים בסוף המסכת) </w:t>
      </w:r>
      <w:r w:rsidRPr="00ED35D8">
        <w:rPr>
          <w:rFonts w:hint="cs"/>
          <w:rtl/>
        </w:rPr>
        <w:t>ד</w:t>
      </w:r>
      <w:r>
        <w:rPr>
          <w:rFonts w:hint="cs"/>
          <w:rtl/>
        </w:rPr>
        <w:t xml:space="preserve">כיון </w:t>
      </w:r>
      <w:r w:rsidRPr="00FD58D9">
        <w:rPr>
          <w:rStyle w:val="af9"/>
          <w:rFonts w:hint="cs"/>
          <w:rtl/>
        </w:rPr>
        <w:t>דהתוס'</w:t>
      </w:r>
      <w:r>
        <w:rPr>
          <w:rFonts w:hint="cs"/>
          <w:rtl/>
        </w:rPr>
        <w:t xml:space="preserve"> </w:t>
      </w:r>
      <w:r w:rsidRPr="00ED35D8">
        <w:rPr>
          <w:rFonts w:hint="cs"/>
          <w:rtl/>
        </w:rPr>
        <w:t xml:space="preserve">פליגי על </w:t>
      </w:r>
      <w:r w:rsidRPr="00FD58D9">
        <w:rPr>
          <w:rStyle w:val="af9"/>
          <w:rFonts w:hint="cs"/>
          <w:rtl/>
        </w:rPr>
        <w:t>רש"י</w:t>
      </w:r>
      <w:r w:rsidRPr="00ED35D8">
        <w:rPr>
          <w:rFonts w:hint="cs"/>
          <w:rtl/>
        </w:rPr>
        <w:t xml:space="preserve"> </w:t>
      </w:r>
      <w:r w:rsidRPr="009E4E2A">
        <w:rPr>
          <w:rStyle w:val="af7"/>
          <w:rFonts w:eastAsia="Guttman Hodes" w:hint="cs"/>
          <w:rtl/>
        </w:rPr>
        <w:t xml:space="preserve">(עי' אות </w:t>
      </w:r>
      <w:r w:rsidRPr="009E4E2A">
        <w:rPr>
          <w:rStyle w:val="af7"/>
          <w:rFonts w:eastAsia="Guttman Hodes"/>
          <w:rtl/>
        </w:rPr>
        <w:fldChar w:fldCharType="begin"/>
      </w:r>
      <w:r w:rsidRPr="009E4E2A">
        <w:rPr>
          <w:rStyle w:val="af7"/>
          <w:rFonts w:eastAsia="Guttman Hodes"/>
          <w:rtl/>
        </w:rPr>
        <w:instrText xml:space="preserve"> </w:instrText>
      </w:r>
      <w:r w:rsidRPr="009E4E2A">
        <w:rPr>
          <w:rStyle w:val="af7"/>
          <w:rFonts w:eastAsia="Guttman Hodes" w:hint="cs"/>
        </w:rPr>
        <w:instrText>REF</w:instrText>
      </w:r>
      <w:r w:rsidRPr="009E4E2A">
        <w:rPr>
          <w:rStyle w:val="af7"/>
          <w:rFonts w:eastAsia="Guttman Hodes" w:hint="cs"/>
          <w:rtl/>
        </w:rPr>
        <w:instrText xml:space="preserve"> _</w:instrText>
      </w:r>
      <w:r w:rsidRPr="009E4E2A">
        <w:rPr>
          <w:rStyle w:val="af7"/>
          <w:rFonts w:eastAsia="Guttman Hodes" w:hint="cs"/>
        </w:rPr>
        <w:instrText>Ref522100765 \r \h</w:instrText>
      </w:r>
      <w:r w:rsidRPr="009E4E2A">
        <w:rPr>
          <w:rStyle w:val="af7"/>
          <w:rFonts w:eastAsia="Guttman Hodes"/>
          <w:rtl/>
        </w:rPr>
        <w:instrText xml:space="preserve"> </w:instrText>
      </w:r>
      <w:r w:rsidRPr="009E4E2A">
        <w:rPr>
          <w:rStyle w:val="af7"/>
          <w:rFonts w:eastAsia="Guttman Hodes"/>
          <w:rtl/>
        </w:rPr>
      </w:r>
      <w:r w:rsidRPr="009E4E2A">
        <w:rPr>
          <w:rStyle w:val="af7"/>
          <w:rFonts w:eastAsia="Guttman Hodes"/>
          <w:rtl/>
        </w:rPr>
        <w:fldChar w:fldCharType="separate"/>
      </w:r>
      <w:r w:rsidR="00345400">
        <w:rPr>
          <w:rStyle w:val="af7"/>
          <w:rFonts w:eastAsia="Guttman Hodes"/>
          <w:cs/>
        </w:rPr>
        <w:t>‎</w:t>
      </w:r>
      <w:r w:rsidR="00345400">
        <w:rPr>
          <w:rStyle w:val="af7"/>
          <w:rFonts w:eastAsia="Guttman Hodes"/>
          <w:rtl/>
        </w:rPr>
        <w:t>ט)</w:t>
      </w:r>
      <w:r w:rsidRPr="009E4E2A">
        <w:rPr>
          <w:rStyle w:val="af7"/>
          <w:rFonts w:eastAsia="Guttman Hodes"/>
          <w:rtl/>
        </w:rPr>
        <w:fldChar w:fldCharType="end"/>
      </w:r>
      <w:r>
        <w:rPr>
          <w:rFonts w:hint="cs"/>
          <w:rtl/>
        </w:rPr>
        <w:t xml:space="preserve"> </w:t>
      </w:r>
      <w:r w:rsidRPr="00ED35D8">
        <w:rPr>
          <w:rFonts w:hint="cs"/>
          <w:rtl/>
        </w:rPr>
        <w:t>וס"ל דא"א לומר דמחזיקין מאיסור אבר מן החי</w:t>
      </w:r>
      <w:r>
        <w:rPr>
          <w:rFonts w:hint="cs"/>
          <w:rtl/>
        </w:rPr>
        <w:t xml:space="preserve"> לאיסור נבילה</w:t>
      </w:r>
      <w:r w:rsidRPr="00ED35D8">
        <w:rPr>
          <w:rFonts w:hint="cs"/>
          <w:rtl/>
        </w:rPr>
        <w:t xml:space="preserve">, </w:t>
      </w:r>
      <w:r>
        <w:rPr>
          <w:rFonts w:hint="cs"/>
          <w:rtl/>
        </w:rPr>
        <w:t xml:space="preserve">וס"ל </w:t>
      </w:r>
      <w:r w:rsidRPr="00E74E15">
        <w:rPr>
          <w:rStyle w:val="af9"/>
          <w:rFonts w:hint="cs"/>
          <w:rtl/>
        </w:rPr>
        <w:t>כתוס' בביצה</w:t>
      </w:r>
      <w:r>
        <w:rPr>
          <w:rFonts w:hint="cs"/>
          <w:rtl/>
        </w:rPr>
        <w:t xml:space="preserve"> </w:t>
      </w:r>
      <w:r w:rsidRPr="009E4E2A">
        <w:rPr>
          <w:rStyle w:val="af7"/>
          <w:rFonts w:eastAsia="Guttman Hodes" w:hint="cs"/>
          <w:rtl/>
        </w:rPr>
        <w:t xml:space="preserve">(עי' אות </w:t>
      </w:r>
      <w:r w:rsidRPr="009E4E2A">
        <w:rPr>
          <w:rStyle w:val="af7"/>
          <w:rFonts w:eastAsia="Guttman Hodes"/>
          <w:rtl/>
        </w:rPr>
        <w:fldChar w:fldCharType="begin"/>
      </w:r>
      <w:r w:rsidRPr="009E4E2A">
        <w:rPr>
          <w:rStyle w:val="af7"/>
          <w:rFonts w:eastAsia="Guttman Hodes"/>
          <w:rtl/>
        </w:rPr>
        <w:instrText xml:space="preserve"> </w:instrText>
      </w:r>
      <w:r w:rsidRPr="009E4E2A">
        <w:rPr>
          <w:rStyle w:val="af7"/>
          <w:rFonts w:eastAsia="Guttman Hodes" w:hint="cs"/>
        </w:rPr>
        <w:instrText>REF</w:instrText>
      </w:r>
      <w:r w:rsidRPr="009E4E2A">
        <w:rPr>
          <w:rStyle w:val="af7"/>
          <w:rFonts w:eastAsia="Guttman Hodes" w:hint="cs"/>
          <w:rtl/>
        </w:rPr>
        <w:instrText xml:space="preserve"> _</w:instrText>
      </w:r>
      <w:r w:rsidRPr="009E4E2A">
        <w:rPr>
          <w:rStyle w:val="af7"/>
          <w:rFonts w:eastAsia="Guttman Hodes" w:hint="cs"/>
        </w:rPr>
        <w:instrText>Ref522100783 \r \h</w:instrText>
      </w:r>
      <w:r w:rsidRPr="009E4E2A">
        <w:rPr>
          <w:rStyle w:val="af7"/>
          <w:rFonts w:eastAsia="Guttman Hodes"/>
          <w:rtl/>
        </w:rPr>
        <w:instrText xml:space="preserve"> </w:instrText>
      </w:r>
      <w:r w:rsidRPr="009E4E2A">
        <w:rPr>
          <w:rStyle w:val="af7"/>
          <w:rFonts w:eastAsia="Guttman Hodes"/>
          <w:rtl/>
        </w:rPr>
      </w:r>
      <w:r w:rsidRPr="009E4E2A">
        <w:rPr>
          <w:rStyle w:val="af7"/>
          <w:rFonts w:eastAsia="Guttman Hodes"/>
          <w:rtl/>
        </w:rPr>
        <w:fldChar w:fldCharType="separate"/>
      </w:r>
      <w:r w:rsidR="00345400">
        <w:rPr>
          <w:rStyle w:val="af7"/>
          <w:rFonts w:eastAsia="Guttman Hodes"/>
          <w:cs/>
        </w:rPr>
        <w:t>‎</w:t>
      </w:r>
      <w:r w:rsidR="00345400">
        <w:rPr>
          <w:rStyle w:val="af7"/>
          <w:rFonts w:eastAsia="Guttman Hodes"/>
          <w:rtl/>
        </w:rPr>
        <w:t>יא)</w:t>
      </w:r>
      <w:r w:rsidRPr="009E4E2A">
        <w:rPr>
          <w:rStyle w:val="af7"/>
          <w:rFonts w:eastAsia="Guttman Hodes"/>
          <w:rtl/>
        </w:rPr>
        <w:fldChar w:fldCharType="end"/>
      </w:r>
      <w:r>
        <w:rPr>
          <w:rFonts w:hint="cs"/>
          <w:rtl/>
        </w:rPr>
        <w:t xml:space="preserve"> דלכו"ע היא בחזקת שאינו זבוח, לכן </w:t>
      </w:r>
      <w:r w:rsidRPr="00ED35D8">
        <w:rPr>
          <w:rFonts w:hint="cs"/>
          <w:rtl/>
        </w:rPr>
        <w:t xml:space="preserve">הוקשה </w:t>
      </w:r>
      <w:r w:rsidRPr="00412B92">
        <w:rPr>
          <w:rStyle w:val="af9"/>
          <w:rFonts w:hint="cs"/>
          <w:rtl/>
        </w:rPr>
        <w:t>לתוס'</w:t>
      </w:r>
      <w:r w:rsidRPr="00ED35D8">
        <w:rPr>
          <w:rFonts w:hint="cs"/>
          <w:rtl/>
        </w:rPr>
        <w:t xml:space="preserve"> </w:t>
      </w:r>
      <w:r>
        <w:rPr>
          <w:rFonts w:hint="cs"/>
          <w:rtl/>
        </w:rPr>
        <w:t>ד</w:t>
      </w:r>
      <w:r w:rsidRPr="00ED35D8">
        <w:rPr>
          <w:rFonts w:hint="cs"/>
          <w:rtl/>
        </w:rPr>
        <w:t xml:space="preserve">אמאי אינה מטמאה כנבילה לדעת ר"א ב"ר ינאי אף שהיא בחזקת שלא נשחטה, </w:t>
      </w:r>
      <w:r>
        <w:rPr>
          <w:rFonts w:hint="cs"/>
          <w:rtl/>
        </w:rPr>
        <w:t>ו</w:t>
      </w:r>
      <w:r w:rsidRPr="00ED35D8">
        <w:rPr>
          <w:rFonts w:hint="cs"/>
          <w:rtl/>
        </w:rPr>
        <w:t xml:space="preserve">הוצרכו </w:t>
      </w:r>
      <w:r w:rsidRPr="00412B92">
        <w:rPr>
          <w:rStyle w:val="af9"/>
          <w:rFonts w:hint="cs"/>
          <w:rtl/>
        </w:rPr>
        <w:t>התוס'</w:t>
      </w:r>
      <w:r w:rsidRPr="00ED35D8">
        <w:rPr>
          <w:rFonts w:hint="cs"/>
          <w:rtl/>
        </w:rPr>
        <w:t xml:space="preserve"> לבאר דמדאו' יש רוב שנשחטה כראוי, ולא החמירו לעשותה כנבילה לענין טומאה.</w:t>
      </w:r>
    </w:p>
    <w:p w14:paraId="19AC5412" w14:textId="77777777" w:rsidR="00852065" w:rsidRDefault="00852065" w:rsidP="00BF39B2">
      <w:pPr>
        <w:pStyle w:val="1"/>
        <w:rPr>
          <w:rtl/>
        </w:rPr>
      </w:pPr>
      <w:bookmarkStart w:id="398" w:name="_Toc522086158"/>
      <w:bookmarkStart w:id="399" w:name="_Toc522099578"/>
      <w:bookmarkStart w:id="400" w:name="_Toc19388893"/>
      <w:bookmarkStart w:id="401" w:name="_Toc19392390"/>
      <w:bookmarkStart w:id="402" w:name="_Toc522028147"/>
      <w:r>
        <w:rPr>
          <w:rFonts w:hint="cs"/>
          <w:rtl/>
        </w:rPr>
        <w:t>ביאור הרשב"א בדעת הברייתא דממילא מטמאה בנבילה</w:t>
      </w:r>
      <w:bookmarkEnd w:id="398"/>
      <w:bookmarkEnd w:id="399"/>
      <w:bookmarkEnd w:id="400"/>
      <w:bookmarkEnd w:id="401"/>
    </w:p>
    <w:p w14:paraId="0321F928" w14:textId="77777777" w:rsidR="00852065" w:rsidRDefault="00852065" w:rsidP="006D6D32">
      <w:pPr>
        <w:pStyle w:val="a3"/>
        <w:rPr>
          <w:rtl/>
        </w:rPr>
      </w:pPr>
      <w:bookmarkStart w:id="403" w:name="_Toc522028137"/>
      <w:bookmarkStart w:id="404" w:name="_Toc522086159"/>
      <w:bookmarkStart w:id="405" w:name="_Toc522099579"/>
      <w:bookmarkStart w:id="406" w:name="_Toc19388894"/>
      <w:bookmarkStart w:id="407" w:name="_Toc19392391"/>
      <w:bookmarkStart w:id="408" w:name="_Toc522028144"/>
      <w:r>
        <w:rPr>
          <w:rFonts w:hint="cs"/>
          <w:rtl/>
        </w:rPr>
        <w:t>דברי הרשב"א דלהברייתא כיון שהיא בחזקת איסור והיא מתה  מספק א"א להוציאה מטומאתה</w:t>
      </w:r>
      <w:bookmarkEnd w:id="403"/>
      <w:bookmarkEnd w:id="404"/>
      <w:bookmarkEnd w:id="405"/>
      <w:bookmarkEnd w:id="406"/>
      <w:bookmarkEnd w:id="407"/>
    </w:p>
    <w:p w14:paraId="49601300" w14:textId="77777777" w:rsidR="00852065" w:rsidRDefault="00852065" w:rsidP="00223668">
      <w:pPr>
        <w:pStyle w:val="a0"/>
        <w:rPr>
          <w:rtl/>
        </w:rPr>
      </w:pPr>
      <w:bookmarkStart w:id="409" w:name="_Ref522100935"/>
      <w:r>
        <w:rPr>
          <w:rFonts w:hint="cs"/>
          <w:rtl/>
        </w:rPr>
        <w:t xml:space="preserve">בדעת הברייתא דסברה דהיא בחזקת טומאה, ביאר </w:t>
      </w:r>
      <w:r w:rsidRPr="00B24964">
        <w:rPr>
          <w:rStyle w:val="af9"/>
          <w:rFonts w:hint="cs"/>
          <w:rtl/>
        </w:rPr>
        <w:t>הרשב"א</w:t>
      </w:r>
      <w:r>
        <w:rPr>
          <w:rFonts w:hint="cs"/>
          <w:rtl/>
        </w:rPr>
        <w:t xml:space="preserve"> </w:t>
      </w:r>
      <w:r w:rsidRPr="00B24964">
        <w:rPr>
          <w:rStyle w:val="af7"/>
          <w:rFonts w:eastAsia="Guttman Hodes" w:hint="cs"/>
          <w:rtl/>
        </w:rPr>
        <w:t>(</w:t>
      </w:r>
      <w:r>
        <w:rPr>
          <w:rStyle w:val="af7"/>
          <w:rFonts w:eastAsia="Guttman Hodes" w:hint="cs"/>
          <w:rtl/>
        </w:rPr>
        <w:t>סו</w:t>
      </w:r>
      <w:r w:rsidRPr="00B24964">
        <w:rPr>
          <w:rStyle w:val="af7"/>
          <w:rFonts w:eastAsia="Guttman Hodes" w:hint="cs"/>
          <w:rtl/>
        </w:rPr>
        <w:t>ד"ה מר)</w:t>
      </w:r>
      <w:r>
        <w:rPr>
          <w:rFonts w:hint="cs"/>
          <w:rtl/>
        </w:rPr>
        <w:t xml:space="preserve"> דכיון שמחיים הייתה באיסור, ועכשיו היא מתה, ובהמה חיה שמתה היא נבילה, וא"א להוציאה מטומאתה מספק שמא נשחטה כראוי.</w:t>
      </w:r>
      <w:bookmarkEnd w:id="409"/>
    </w:p>
    <w:p w14:paraId="05C5CBEF" w14:textId="77777777" w:rsidR="00804CF8" w:rsidRPr="00804CF8" w:rsidRDefault="00804CF8" w:rsidP="00804CF8">
      <w:pPr>
        <w:pStyle w:val="a3"/>
        <w:rPr>
          <w:rtl/>
        </w:rPr>
      </w:pPr>
    </w:p>
    <w:p w14:paraId="102D4DA5" w14:textId="77777777" w:rsidR="00804CF8" w:rsidRPr="00804CF8" w:rsidRDefault="00804CF8" w:rsidP="00804CF8">
      <w:pPr>
        <w:pStyle w:val="a3"/>
        <w:rPr>
          <w:rtl/>
        </w:rPr>
      </w:pPr>
    </w:p>
    <w:p w14:paraId="350860CC" w14:textId="77777777" w:rsidR="00852065" w:rsidRPr="007875D0" w:rsidRDefault="00852065" w:rsidP="00BF39B2">
      <w:pPr>
        <w:pStyle w:val="1"/>
        <w:rPr>
          <w:rtl/>
        </w:rPr>
      </w:pPr>
      <w:bookmarkStart w:id="410" w:name="_Toc522086160"/>
      <w:bookmarkStart w:id="411" w:name="_Toc522099580"/>
      <w:bookmarkStart w:id="412" w:name="_Toc19388895"/>
      <w:bookmarkStart w:id="413" w:name="_Toc19392392"/>
      <w:r w:rsidRPr="0053425A">
        <w:rPr>
          <w:rFonts w:hint="cs"/>
          <w:rtl/>
        </w:rPr>
        <w:t>ביאור הגרעק"א ברשב"א</w:t>
      </w:r>
      <w:bookmarkEnd w:id="408"/>
      <w:r>
        <w:rPr>
          <w:rFonts w:hint="cs"/>
          <w:rtl/>
        </w:rPr>
        <w:t xml:space="preserve"> דא"א להתיר מספק מעשה תיקון</w:t>
      </w:r>
      <w:bookmarkEnd w:id="410"/>
      <w:bookmarkEnd w:id="411"/>
      <w:bookmarkEnd w:id="412"/>
      <w:bookmarkEnd w:id="413"/>
    </w:p>
    <w:p w14:paraId="1D76523F" w14:textId="77777777" w:rsidR="00852065" w:rsidRDefault="00852065" w:rsidP="006D6D32">
      <w:pPr>
        <w:pStyle w:val="a3"/>
        <w:rPr>
          <w:rtl/>
        </w:rPr>
      </w:pPr>
      <w:bookmarkStart w:id="414" w:name="_Toc522086161"/>
      <w:bookmarkStart w:id="415" w:name="_Toc522099581"/>
      <w:bookmarkStart w:id="416" w:name="_Toc19388896"/>
      <w:bookmarkStart w:id="417" w:name="_Toc19392393"/>
      <w:r>
        <w:rPr>
          <w:rFonts w:hint="cs"/>
          <w:rtl/>
        </w:rPr>
        <w:t>דברי הגרעק"א דלרשב"א ס"ל להברייתא דממילא נעשית נבילה וצריך ראיה שנעשה בה תיקון</w:t>
      </w:r>
      <w:bookmarkEnd w:id="414"/>
      <w:bookmarkEnd w:id="415"/>
      <w:bookmarkEnd w:id="416"/>
      <w:bookmarkEnd w:id="417"/>
    </w:p>
    <w:p w14:paraId="5F3DF016" w14:textId="77777777" w:rsidR="00852065" w:rsidRDefault="00852065" w:rsidP="00223668">
      <w:pPr>
        <w:pStyle w:val="a0"/>
        <w:rPr>
          <w:rtl/>
        </w:rPr>
      </w:pPr>
      <w:bookmarkStart w:id="418" w:name="_Ref522109595"/>
      <w:r>
        <w:rPr>
          <w:rFonts w:hint="cs"/>
          <w:rtl/>
        </w:rPr>
        <w:t xml:space="preserve">וביאר </w:t>
      </w:r>
      <w:r w:rsidRPr="00D559BB">
        <w:rPr>
          <w:rStyle w:val="af9"/>
          <w:rFonts w:hint="cs"/>
          <w:rtl/>
        </w:rPr>
        <w:t>הגרעק"א</w:t>
      </w:r>
      <w:r>
        <w:rPr>
          <w:rFonts w:hint="cs"/>
          <w:rtl/>
        </w:rPr>
        <w:t xml:space="preserve"> </w:t>
      </w:r>
      <w:r w:rsidRPr="00D559BB">
        <w:rPr>
          <w:rStyle w:val="af7"/>
          <w:rFonts w:eastAsia="Guttman Hodes" w:hint="cs"/>
          <w:rtl/>
        </w:rPr>
        <w:t>(</w:t>
      </w:r>
      <w:r>
        <w:rPr>
          <w:rStyle w:val="af7"/>
          <w:rFonts w:eastAsia="Guttman Hodes" w:hint="cs"/>
          <w:rtl/>
        </w:rPr>
        <w:t xml:space="preserve">לקמן לב. ד"ה </w:t>
      </w:r>
      <w:r w:rsidRPr="00696CFE">
        <w:rPr>
          <w:rStyle w:val="af7"/>
          <w:rFonts w:eastAsia="Guttman Hodes" w:hint="cs"/>
          <w:rtl/>
        </w:rPr>
        <w:t>אמנם אעפי"כ</w:t>
      </w:r>
      <w:r>
        <w:rPr>
          <w:rStyle w:val="af7"/>
          <w:rFonts w:eastAsia="Guttman Hodes" w:hint="cs"/>
          <w:rtl/>
        </w:rPr>
        <w:t>, שו</w:t>
      </w:r>
      <w:r>
        <w:rPr>
          <w:rStyle w:val="af7"/>
          <w:rFonts w:eastAsia="Guttman Hodes"/>
          <w:rtl/>
        </w:rPr>
        <w:t>"</w:t>
      </w:r>
      <w:r>
        <w:rPr>
          <w:rStyle w:val="af7"/>
          <w:rFonts w:eastAsia="Guttman Hodes" w:hint="cs"/>
          <w:rtl/>
        </w:rPr>
        <w:t>ע סי' כ</w:t>
      </w:r>
      <w:r>
        <w:rPr>
          <w:rStyle w:val="af7"/>
          <w:rFonts w:eastAsia="Guttman Hodes"/>
          <w:rtl/>
        </w:rPr>
        <w:t>"</w:t>
      </w:r>
      <w:r>
        <w:rPr>
          <w:rStyle w:val="af7"/>
          <w:rFonts w:eastAsia="Guttman Hodes" w:hint="cs"/>
          <w:rtl/>
        </w:rPr>
        <w:t xml:space="preserve">ז) </w:t>
      </w:r>
      <w:r>
        <w:rPr>
          <w:rFonts w:hint="cs"/>
          <w:rtl/>
        </w:rPr>
        <w:t xml:space="preserve">דכוונת </w:t>
      </w:r>
      <w:r w:rsidRPr="000709E4">
        <w:rPr>
          <w:rStyle w:val="af9"/>
          <w:rFonts w:hint="cs"/>
          <w:rtl/>
        </w:rPr>
        <w:t>הרשב"א</w:t>
      </w:r>
      <w:r>
        <w:rPr>
          <w:rFonts w:hint="cs"/>
          <w:rtl/>
        </w:rPr>
        <w:t xml:space="preserve"> לומר דלדעת הברייתא דמטמאה בנבילה, כיון שעד עכשיו הייתה הבהמה חיה, וכל חיה שמתה בלא שנעשה בה מעשה שחיטה שמתירה, היא טמאה בטומאת נבילה, וא"א להתירה מספק שמא נעשה בה מעשה תיקון של שחיטה.</w:t>
      </w:r>
      <w:bookmarkEnd w:id="418"/>
    </w:p>
    <w:p w14:paraId="6630547B" w14:textId="77777777" w:rsidR="00852065" w:rsidRPr="00AA7FAE" w:rsidRDefault="00852065" w:rsidP="006D6D32">
      <w:pPr>
        <w:pStyle w:val="a3"/>
        <w:rPr>
          <w:rtl/>
        </w:rPr>
      </w:pPr>
      <w:bookmarkStart w:id="419" w:name="_Toc522086162"/>
      <w:bookmarkStart w:id="420" w:name="_Toc522099582"/>
      <w:bookmarkStart w:id="421" w:name="_Toc19388897"/>
      <w:bookmarkStart w:id="422" w:name="_Toc19392394"/>
      <w:r>
        <w:rPr>
          <w:rFonts w:hint="cs"/>
          <w:rtl/>
        </w:rPr>
        <w:t>דברי הגרעק"א דלרשב"א אסורה לברייתא דמתה לפנינו וא"צ לדין מחזיקין מאיסור לאיסור</w:t>
      </w:r>
      <w:bookmarkEnd w:id="419"/>
      <w:bookmarkEnd w:id="420"/>
      <w:bookmarkEnd w:id="421"/>
      <w:bookmarkEnd w:id="422"/>
      <w:r>
        <w:rPr>
          <w:rFonts w:hint="cs"/>
          <w:rtl/>
        </w:rPr>
        <w:t xml:space="preserve"> </w:t>
      </w:r>
    </w:p>
    <w:p w14:paraId="6725E060" w14:textId="77777777" w:rsidR="00852065" w:rsidRPr="000709E4" w:rsidRDefault="00852065" w:rsidP="00223668">
      <w:pPr>
        <w:pStyle w:val="a0"/>
        <w:rPr>
          <w:rStyle w:val="afb"/>
          <w:rtl/>
        </w:rPr>
      </w:pPr>
      <w:r>
        <w:rPr>
          <w:rFonts w:hint="cs"/>
          <w:rtl/>
        </w:rPr>
        <w:t xml:space="preserve">והוסיף </w:t>
      </w:r>
      <w:r w:rsidRPr="000709E4">
        <w:rPr>
          <w:rStyle w:val="af9"/>
          <w:rFonts w:hint="cs"/>
          <w:rtl/>
        </w:rPr>
        <w:t>הגרעק"א</w:t>
      </w:r>
      <w:r>
        <w:rPr>
          <w:rFonts w:hint="cs"/>
          <w:rtl/>
        </w:rPr>
        <w:t xml:space="preserve"> דמבואר מדברי </w:t>
      </w:r>
      <w:r w:rsidRPr="000709E4">
        <w:rPr>
          <w:rStyle w:val="af9"/>
          <w:rFonts w:hint="cs"/>
          <w:rtl/>
        </w:rPr>
        <w:t>הרשב"א</w:t>
      </w:r>
      <w:r>
        <w:rPr>
          <w:rFonts w:hint="cs"/>
          <w:rtl/>
        </w:rPr>
        <w:t xml:space="preserve"> דלדעת הברייתא דמטמאה היא בחזקת איסור וטומאה, אף אם אין חזקת אבר מן החי או איסור אינו זבוח, ובלא דין "מחזיקין מאיסור לאיסור", דכל בהמה חיה שמתה בלא מעשה תיקון אסורה באיסור נבילה, וכיון שמתה לפנינו א"א להוציאה מאיסורה ע"י ספק, שמא נעשה בה מעשה  תיקון.</w:t>
      </w:r>
    </w:p>
    <w:p w14:paraId="331DC015" w14:textId="77777777" w:rsidR="00852065" w:rsidRDefault="00852065" w:rsidP="006D6D32">
      <w:pPr>
        <w:pStyle w:val="a3"/>
        <w:rPr>
          <w:rtl/>
        </w:rPr>
      </w:pPr>
      <w:bookmarkStart w:id="423" w:name="_Toc522086163"/>
      <w:bookmarkStart w:id="424" w:name="_Toc522099583"/>
      <w:bookmarkStart w:id="425" w:name="_Toc19388898"/>
      <w:bookmarkStart w:id="426" w:name="_Toc19392395"/>
      <w:r>
        <w:rPr>
          <w:rFonts w:hint="cs"/>
          <w:rtl/>
        </w:rPr>
        <w:t>דברי האבי עזרי דכוונת הרשב"א דלבריו ביבמות שצריך ראיה</w:t>
      </w:r>
      <w:r w:rsidRPr="00941179">
        <w:rPr>
          <w:rFonts w:hint="cs"/>
          <w:rtl/>
        </w:rPr>
        <w:t xml:space="preserve"> </w:t>
      </w:r>
      <w:r>
        <w:rPr>
          <w:rFonts w:hint="cs"/>
          <w:rtl/>
        </w:rPr>
        <w:t>להתיר ע"י מעשה התחדשות</w:t>
      </w:r>
      <w:bookmarkEnd w:id="423"/>
      <w:bookmarkEnd w:id="424"/>
      <w:bookmarkEnd w:id="425"/>
      <w:bookmarkEnd w:id="426"/>
    </w:p>
    <w:p w14:paraId="175EAD1D" w14:textId="77777777" w:rsidR="00852065" w:rsidRPr="009E77BD" w:rsidRDefault="00852065" w:rsidP="00223668">
      <w:pPr>
        <w:pStyle w:val="a0"/>
        <w:rPr>
          <w:rStyle w:val="afb"/>
          <w:rtl/>
        </w:rPr>
      </w:pPr>
      <w:bookmarkStart w:id="427" w:name="_Ref522109006"/>
      <w:r>
        <w:rPr>
          <w:rStyle w:val="af9"/>
          <w:rFonts w:hint="cs"/>
          <w:rtl/>
        </w:rPr>
        <w:t>ו</w:t>
      </w:r>
      <w:r w:rsidRPr="00511019">
        <w:rPr>
          <w:rStyle w:val="af9"/>
          <w:rFonts w:hint="cs"/>
          <w:rtl/>
        </w:rPr>
        <w:t>באבי עזרי</w:t>
      </w:r>
      <w:r>
        <w:rPr>
          <w:rFonts w:hint="cs"/>
          <w:rtl/>
        </w:rPr>
        <w:t xml:space="preserve"> </w:t>
      </w:r>
      <w:r w:rsidRPr="00511019">
        <w:rPr>
          <w:rStyle w:val="af7"/>
          <w:rFonts w:eastAsia="Guttman Hodes" w:hint="cs"/>
          <w:rtl/>
        </w:rPr>
        <w:t>(שחיטה א י"ג ד"ה ובחולין)</w:t>
      </w:r>
      <w:r>
        <w:rPr>
          <w:rFonts w:hint="cs"/>
          <w:rtl/>
        </w:rPr>
        <w:t xml:space="preserve"> ביאר דכוונת </w:t>
      </w:r>
      <w:r w:rsidRPr="00511019">
        <w:rPr>
          <w:rStyle w:val="af9"/>
          <w:rFonts w:hint="cs"/>
          <w:rtl/>
        </w:rPr>
        <w:t>הרשב"א</w:t>
      </w:r>
      <w:r>
        <w:rPr>
          <w:rFonts w:hint="cs"/>
          <w:rtl/>
        </w:rPr>
        <w:t xml:space="preserve"> לסברתו שכתב </w:t>
      </w:r>
      <w:r>
        <w:rPr>
          <w:rStyle w:val="af9"/>
          <w:rFonts w:hint="cs"/>
          <w:rtl/>
        </w:rPr>
        <w:t>ב</w:t>
      </w:r>
      <w:r w:rsidRPr="00511019">
        <w:rPr>
          <w:rStyle w:val="af9"/>
          <w:rFonts w:hint="cs"/>
          <w:rtl/>
        </w:rPr>
        <w:t>רשב"א ביבמות</w:t>
      </w:r>
      <w:r>
        <w:rPr>
          <w:rFonts w:hint="cs"/>
          <w:rtl/>
        </w:rPr>
        <w:t xml:space="preserve"> </w:t>
      </w:r>
      <w:r w:rsidRPr="007C2CC4">
        <w:rPr>
          <w:rStyle w:val="af7"/>
          <w:rFonts w:eastAsia="Guttman Hodes" w:hint="cs"/>
          <w:rtl/>
        </w:rPr>
        <w:t>(ל: ד"ה והא</w:t>
      </w:r>
      <w:r>
        <w:rPr>
          <w:rStyle w:val="af7"/>
          <w:rFonts w:eastAsia="Guttman Hodes" w:hint="cs"/>
          <w:rtl/>
        </w:rPr>
        <w:t>,</w:t>
      </w:r>
      <w:r w:rsidRPr="007C2CC4">
        <w:rPr>
          <w:rFonts w:hint="cs"/>
          <w:rtl/>
        </w:rPr>
        <w:t xml:space="preserve"> </w:t>
      </w:r>
      <w:r w:rsidRPr="00E649C7">
        <w:rPr>
          <w:rStyle w:val="af7"/>
          <w:rFonts w:eastAsia="Guttman Hodes" w:hint="cs"/>
          <w:rtl/>
        </w:rPr>
        <w:t xml:space="preserve">הובא </w:t>
      </w:r>
      <w:r>
        <w:rPr>
          <w:rStyle w:val="af7"/>
          <w:rFonts w:eastAsia="Guttman Hodes" w:hint="cs"/>
          <w:rtl/>
        </w:rPr>
        <w:t>ב</w:t>
      </w:r>
      <w:r w:rsidRPr="0008506D">
        <w:rPr>
          <w:rStyle w:val="af7"/>
          <w:rFonts w:eastAsia="Guttman Hodes" w:hint="cs"/>
          <w:rtl/>
        </w:rPr>
        <w:t xml:space="preserve">סימן </w:t>
      </w:r>
      <w:r w:rsidRPr="00C6066B">
        <w:rPr>
          <w:rStyle w:val="af7"/>
          <w:rFonts w:eastAsia="Guttman Hodes" w:hint="cs"/>
          <w:rtl/>
        </w:rPr>
        <w:t xml:space="preserve">ב' אות </w:t>
      </w:r>
      <w:r w:rsidRPr="00C6066B">
        <w:rPr>
          <w:rStyle w:val="af7"/>
          <w:rFonts w:eastAsia="Guttman Hodes"/>
          <w:rtl/>
        </w:rPr>
        <w:fldChar w:fldCharType="begin"/>
      </w:r>
      <w:r w:rsidRPr="00C6066B">
        <w:rPr>
          <w:rStyle w:val="af7"/>
          <w:rFonts w:eastAsia="Guttman Hodes"/>
          <w:rtl/>
        </w:rPr>
        <w:instrText xml:space="preserve"> </w:instrText>
      </w:r>
      <w:r w:rsidRPr="00C6066B">
        <w:rPr>
          <w:rStyle w:val="af7"/>
          <w:rFonts w:eastAsia="Guttman Hodes" w:hint="cs"/>
        </w:rPr>
        <w:instrText>REF</w:instrText>
      </w:r>
      <w:r w:rsidRPr="00C6066B">
        <w:rPr>
          <w:rStyle w:val="af7"/>
          <w:rFonts w:eastAsia="Guttman Hodes" w:hint="cs"/>
          <w:rtl/>
        </w:rPr>
        <w:instrText xml:space="preserve"> _</w:instrText>
      </w:r>
      <w:r w:rsidRPr="00C6066B">
        <w:rPr>
          <w:rStyle w:val="af7"/>
          <w:rFonts w:eastAsia="Guttman Hodes" w:hint="cs"/>
        </w:rPr>
        <w:instrText>Ref522187437 \r \h</w:instrText>
      </w:r>
      <w:r w:rsidRPr="00C6066B">
        <w:rPr>
          <w:rStyle w:val="af7"/>
          <w:rFonts w:eastAsia="Guttman Hodes"/>
          <w:rtl/>
        </w:rPr>
        <w:instrText xml:space="preserve"> </w:instrText>
      </w:r>
      <w:r w:rsidRPr="00C6066B">
        <w:rPr>
          <w:rStyle w:val="af7"/>
          <w:rFonts w:eastAsia="Guttman Hodes"/>
          <w:rtl/>
        </w:rPr>
      </w:r>
      <w:r w:rsidRPr="00C6066B">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sidRPr="00C6066B">
        <w:rPr>
          <w:rStyle w:val="af7"/>
          <w:rFonts w:eastAsia="Guttman Hodes"/>
          <w:rtl/>
        </w:rPr>
        <w:fldChar w:fldCharType="end"/>
      </w:r>
      <w:r>
        <w:rPr>
          <w:rFonts w:hint="cs"/>
          <w:rtl/>
        </w:rPr>
        <w:t xml:space="preserve"> דכל שההיתר הוא ע"י מעשה התחדשות צריך להביא ראיה שנעשה בה המעשה, ולכן אף שאין לבהמה חזקת טומאה, מ"מ כיון שמתה לפנינו דינה כנבילה שמטמאה. </w:t>
      </w:r>
      <w:r w:rsidRPr="001C2F29">
        <w:rPr>
          <w:rStyle w:val="afb"/>
          <w:rFonts w:hint="cs"/>
          <w:rtl/>
        </w:rPr>
        <w:t xml:space="preserve">[ומשמע דכן </w:t>
      </w:r>
      <w:r>
        <w:rPr>
          <w:rStyle w:val="afb"/>
          <w:rFonts w:hint="cs"/>
          <w:rtl/>
        </w:rPr>
        <w:t>ביאר</w:t>
      </w:r>
      <w:r w:rsidRPr="001C2F29">
        <w:rPr>
          <w:rStyle w:val="afb"/>
          <w:rFonts w:hint="cs"/>
          <w:rtl/>
        </w:rPr>
        <w:t xml:space="preserve"> </w:t>
      </w:r>
      <w:r w:rsidRPr="001C2F29">
        <w:rPr>
          <w:rStyle w:val="affa"/>
          <w:rFonts w:hint="cs"/>
          <w:rtl/>
        </w:rPr>
        <w:t>הגרעק"א</w:t>
      </w:r>
      <w:r w:rsidRPr="001C2F29">
        <w:rPr>
          <w:rStyle w:val="afb"/>
          <w:rFonts w:hint="cs"/>
          <w:rtl/>
        </w:rPr>
        <w:t>, אך לא הביא</w:t>
      </w:r>
      <w:r w:rsidRPr="00A028ED">
        <w:rPr>
          <w:rStyle w:val="aa"/>
          <w:rFonts w:hint="cs"/>
          <w:rtl/>
        </w:rPr>
        <w:t xml:space="preserve"> </w:t>
      </w:r>
      <w:r w:rsidRPr="001C2F29">
        <w:rPr>
          <w:rStyle w:val="affa"/>
          <w:rFonts w:hint="cs"/>
          <w:rtl/>
        </w:rPr>
        <w:t>הגרעק"א</w:t>
      </w:r>
      <w:r w:rsidRPr="001C2F29">
        <w:rPr>
          <w:rStyle w:val="afb"/>
          <w:rFonts w:hint="cs"/>
          <w:rtl/>
        </w:rPr>
        <w:t xml:space="preserve"> את דברי </w:t>
      </w:r>
      <w:r w:rsidRPr="001C2F29">
        <w:rPr>
          <w:rStyle w:val="affa"/>
          <w:rFonts w:hint="cs"/>
          <w:rtl/>
        </w:rPr>
        <w:t>הרשב"א ביבמות</w:t>
      </w:r>
      <w:r w:rsidRPr="009E77BD">
        <w:rPr>
          <w:rStyle w:val="afb"/>
          <w:rFonts w:hint="cs"/>
          <w:rtl/>
        </w:rPr>
        <w:t>].</w:t>
      </w:r>
      <w:bookmarkEnd w:id="427"/>
    </w:p>
    <w:p w14:paraId="2623EFF4" w14:textId="77777777" w:rsidR="00852065" w:rsidRDefault="00852065" w:rsidP="006D6D32">
      <w:pPr>
        <w:pStyle w:val="a3"/>
        <w:rPr>
          <w:rtl/>
        </w:rPr>
      </w:pPr>
      <w:bookmarkStart w:id="428" w:name="_Toc522086164"/>
      <w:bookmarkStart w:id="429" w:name="_Toc522099584"/>
      <w:bookmarkStart w:id="430" w:name="_Toc19388899"/>
      <w:bookmarkStart w:id="431" w:name="_Toc19392396"/>
      <w:r>
        <w:rPr>
          <w:rFonts w:hint="cs"/>
          <w:rtl/>
        </w:rPr>
        <w:t>דברי הגרעק"א דכל הנדון בתוס' באינו זבוח אינו לדעת הברייתא דממילא אסורה</w:t>
      </w:r>
      <w:bookmarkEnd w:id="428"/>
      <w:bookmarkEnd w:id="429"/>
      <w:bookmarkEnd w:id="430"/>
      <w:bookmarkEnd w:id="431"/>
    </w:p>
    <w:p w14:paraId="4BB922E1" w14:textId="77777777" w:rsidR="00852065" w:rsidRDefault="00852065" w:rsidP="00223668">
      <w:pPr>
        <w:pStyle w:val="a0"/>
        <w:rPr>
          <w:rtl/>
        </w:rPr>
      </w:pPr>
      <w:bookmarkStart w:id="432" w:name="_Ref522109421"/>
      <w:r>
        <w:rPr>
          <w:rFonts w:hint="cs"/>
          <w:rtl/>
        </w:rPr>
        <w:t xml:space="preserve">וכתב </w:t>
      </w:r>
      <w:r w:rsidRPr="000709E4">
        <w:rPr>
          <w:rStyle w:val="af9"/>
          <w:rFonts w:hint="cs"/>
          <w:rtl/>
        </w:rPr>
        <w:t>הגרעק"א</w:t>
      </w:r>
      <w:r>
        <w:rPr>
          <w:rFonts w:hint="cs"/>
          <w:rtl/>
        </w:rPr>
        <w:t xml:space="preserve"> דלפי"ז מה שכתבו </w:t>
      </w:r>
      <w:r w:rsidRPr="00A81C1F">
        <w:rPr>
          <w:rStyle w:val="af9"/>
          <w:rFonts w:hint="cs"/>
          <w:rtl/>
        </w:rPr>
        <w:t>התוס' בביצה</w:t>
      </w:r>
      <w:r>
        <w:rPr>
          <w:rFonts w:hint="cs"/>
          <w:rtl/>
        </w:rPr>
        <w:t xml:space="preserve"> </w:t>
      </w:r>
      <w:r w:rsidRPr="009E4E2A">
        <w:rPr>
          <w:rStyle w:val="af7"/>
          <w:rFonts w:eastAsia="Guttman Hodes" w:hint="cs"/>
          <w:rtl/>
        </w:rPr>
        <w:t xml:space="preserve">(עי' אות </w:t>
      </w:r>
      <w:r w:rsidRPr="009E4E2A">
        <w:rPr>
          <w:rStyle w:val="af7"/>
          <w:rFonts w:eastAsia="Guttman Hodes"/>
          <w:rtl/>
        </w:rPr>
        <w:fldChar w:fldCharType="begin"/>
      </w:r>
      <w:r w:rsidRPr="009E4E2A">
        <w:rPr>
          <w:rStyle w:val="af7"/>
          <w:rFonts w:eastAsia="Guttman Hodes"/>
          <w:rtl/>
        </w:rPr>
        <w:instrText xml:space="preserve"> </w:instrText>
      </w:r>
      <w:r w:rsidRPr="009E4E2A">
        <w:rPr>
          <w:rStyle w:val="af7"/>
          <w:rFonts w:eastAsia="Guttman Hodes" w:hint="cs"/>
        </w:rPr>
        <w:instrText>REF</w:instrText>
      </w:r>
      <w:r w:rsidRPr="009E4E2A">
        <w:rPr>
          <w:rStyle w:val="af7"/>
          <w:rFonts w:eastAsia="Guttman Hodes" w:hint="cs"/>
          <w:rtl/>
        </w:rPr>
        <w:instrText xml:space="preserve"> _</w:instrText>
      </w:r>
      <w:r w:rsidRPr="009E4E2A">
        <w:rPr>
          <w:rStyle w:val="af7"/>
          <w:rFonts w:eastAsia="Guttman Hodes" w:hint="cs"/>
        </w:rPr>
        <w:instrText>Ref522100783 \r \h</w:instrText>
      </w:r>
      <w:r w:rsidRPr="009E4E2A">
        <w:rPr>
          <w:rStyle w:val="af7"/>
          <w:rFonts w:eastAsia="Guttman Hodes"/>
          <w:rtl/>
        </w:rPr>
        <w:instrText xml:space="preserve"> </w:instrText>
      </w:r>
      <w:r w:rsidRPr="009E4E2A">
        <w:rPr>
          <w:rStyle w:val="af7"/>
          <w:rFonts w:eastAsia="Guttman Hodes"/>
          <w:rtl/>
        </w:rPr>
      </w:r>
      <w:r w:rsidRPr="009E4E2A">
        <w:rPr>
          <w:rStyle w:val="af7"/>
          <w:rFonts w:eastAsia="Guttman Hodes"/>
          <w:rtl/>
        </w:rPr>
        <w:fldChar w:fldCharType="separate"/>
      </w:r>
      <w:r w:rsidR="00345400">
        <w:rPr>
          <w:rStyle w:val="af7"/>
          <w:rFonts w:eastAsia="Guttman Hodes"/>
          <w:cs/>
        </w:rPr>
        <w:t>‎</w:t>
      </w:r>
      <w:r w:rsidR="00345400">
        <w:rPr>
          <w:rStyle w:val="af7"/>
          <w:rFonts w:eastAsia="Guttman Hodes"/>
          <w:rtl/>
        </w:rPr>
        <w:t>יא)</w:t>
      </w:r>
      <w:r w:rsidRPr="009E4E2A">
        <w:rPr>
          <w:rStyle w:val="af7"/>
          <w:rFonts w:eastAsia="Guttman Hodes"/>
          <w:rtl/>
        </w:rPr>
        <w:fldChar w:fldCharType="end"/>
      </w:r>
      <w:r>
        <w:rPr>
          <w:rFonts w:hint="cs"/>
          <w:rtl/>
        </w:rPr>
        <w:t xml:space="preserve">  דהחזקת איסור הוא מחמת איסור שאינו זבוח, </w:t>
      </w:r>
      <w:r w:rsidRPr="005D41FA">
        <w:rPr>
          <w:rStyle w:val="afb"/>
          <w:rFonts w:hint="cs"/>
          <w:rtl/>
        </w:rPr>
        <w:t>[</w:t>
      </w:r>
      <w:r w:rsidRPr="001E69C9">
        <w:rPr>
          <w:rStyle w:val="affa"/>
          <w:rFonts w:hint="cs"/>
          <w:rtl/>
        </w:rPr>
        <w:t>ולרש"י</w:t>
      </w:r>
      <w:r w:rsidRPr="005D41FA">
        <w:rPr>
          <w:rStyle w:val="afb"/>
          <w:rFonts w:hint="cs"/>
          <w:rtl/>
        </w:rPr>
        <w:t xml:space="preserve"> ב</w:t>
      </w:r>
      <w:r>
        <w:rPr>
          <w:rStyle w:val="afb"/>
          <w:rFonts w:hint="cs"/>
          <w:rtl/>
        </w:rPr>
        <w:t xml:space="preserve">איסור </w:t>
      </w:r>
      <w:r w:rsidRPr="005D41FA">
        <w:rPr>
          <w:rStyle w:val="afb"/>
          <w:rFonts w:hint="cs"/>
          <w:rtl/>
        </w:rPr>
        <w:t>אבר מן החי],</w:t>
      </w:r>
      <w:r>
        <w:rPr>
          <w:rFonts w:hint="cs"/>
          <w:rtl/>
        </w:rPr>
        <w:t xml:space="preserve"> זהו דוקא לר"א ב"ר ינאי דלא מוקמינן לה בחזקת טומאה, דלא ס"ל דכל חיה שמתה יש לה חזקת נבילה, ולכן הוצרך להעמידה בחזקת איסור שהיה בה, אבל לדעת הברייתא דהיא בחזקת טומאה, אסורה אף בלא איסור שאינו זבוח</w:t>
      </w:r>
      <w:r>
        <w:rPr>
          <w:rStyle w:val="afb"/>
          <w:rFonts w:hint="cs"/>
          <w:rtl/>
        </w:rPr>
        <w:t xml:space="preserve"> </w:t>
      </w:r>
      <w:r w:rsidRPr="005D41FA">
        <w:rPr>
          <w:rStyle w:val="afb"/>
          <w:rFonts w:hint="cs"/>
          <w:rtl/>
        </w:rPr>
        <w:t>[</w:t>
      </w:r>
      <w:r w:rsidRPr="001E69C9">
        <w:rPr>
          <w:rStyle w:val="affa"/>
          <w:rFonts w:hint="cs"/>
          <w:rtl/>
        </w:rPr>
        <w:t>ולרש"י</w:t>
      </w:r>
      <w:r w:rsidRPr="005D41FA">
        <w:rPr>
          <w:rStyle w:val="afb"/>
          <w:rFonts w:hint="cs"/>
          <w:rtl/>
        </w:rPr>
        <w:t xml:space="preserve"> </w:t>
      </w:r>
      <w:r>
        <w:rPr>
          <w:rStyle w:val="afb"/>
          <w:rFonts w:hint="cs"/>
          <w:rtl/>
        </w:rPr>
        <w:t xml:space="preserve">אף בלא איסור </w:t>
      </w:r>
      <w:r w:rsidRPr="005D41FA">
        <w:rPr>
          <w:rStyle w:val="afb"/>
          <w:rFonts w:hint="cs"/>
          <w:rtl/>
        </w:rPr>
        <w:t>אבר מן החי],</w:t>
      </w:r>
      <w:r>
        <w:rPr>
          <w:rFonts w:hint="cs"/>
          <w:rtl/>
        </w:rPr>
        <w:t xml:space="preserve">  ועיי"ש דישב </w:t>
      </w:r>
      <w:r w:rsidRPr="000709E4">
        <w:rPr>
          <w:rStyle w:val="af9"/>
          <w:rFonts w:hint="cs"/>
          <w:rtl/>
        </w:rPr>
        <w:t>הגרעק"א</w:t>
      </w:r>
      <w:r>
        <w:rPr>
          <w:rFonts w:hint="cs"/>
          <w:rtl/>
        </w:rPr>
        <w:t xml:space="preserve"> בזה את המ"ד דס"ל שאין איסור שאינו זבוח. </w:t>
      </w:r>
      <w:r w:rsidRPr="00CE35C9">
        <w:rPr>
          <w:rStyle w:val="afb"/>
          <w:rFonts w:hint="cs"/>
          <w:rtl/>
        </w:rPr>
        <w:t xml:space="preserve">[ומשמע דכוונת </w:t>
      </w:r>
      <w:r w:rsidRPr="00CE35C9">
        <w:rPr>
          <w:rStyle w:val="affa"/>
          <w:rFonts w:hint="cs"/>
          <w:rtl/>
        </w:rPr>
        <w:t>הגרעק"א</w:t>
      </w:r>
      <w:r w:rsidRPr="00CE35C9">
        <w:rPr>
          <w:rStyle w:val="afb"/>
          <w:rFonts w:hint="cs"/>
          <w:rtl/>
        </w:rPr>
        <w:t xml:space="preserve"> לבאר </w:t>
      </w:r>
      <w:r>
        <w:rPr>
          <w:rStyle w:val="afb"/>
          <w:rFonts w:hint="cs"/>
          <w:rtl/>
        </w:rPr>
        <w:t xml:space="preserve">את דברי </w:t>
      </w:r>
      <w:r w:rsidRPr="000709E4">
        <w:rPr>
          <w:rStyle w:val="affa"/>
          <w:rFonts w:hint="cs"/>
          <w:rtl/>
        </w:rPr>
        <w:t>הרשב"א</w:t>
      </w:r>
      <w:r>
        <w:rPr>
          <w:rStyle w:val="afb"/>
          <w:rFonts w:hint="cs"/>
          <w:rtl/>
        </w:rPr>
        <w:t xml:space="preserve"> דלר"א ב"ר ינאי</w:t>
      </w:r>
      <w:r w:rsidRPr="00CE35C9">
        <w:rPr>
          <w:rStyle w:val="afb"/>
          <w:rFonts w:hint="cs"/>
          <w:rtl/>
        </w:rPr>
        <w:t xml:space="preserve"> דאינה מטמאה</w:t>
      </w:r>
      <w:r>
        <w:rPr>
          <w:rStyle w:val="afb"/>
          <w:rFonts w:hint="cs"/>
          <w:rtl/>
        </w:rPr>
        <w:t>,</w:t>
      </w:r>
      <w:r w:rsidRPr="00CE35C9">
        <w:rPr>
          <w:rStyle w:val="afb"/>
          <w:rFonts w:hint="cs"/>
          <w:rtl/>
        </w:rPr>
        <w:t xml:space="preserve"> ד</w:t>
      </w:r>
      <w:r>
        <w:rPr>
          <w:rStyle w:val="afb"/>
          <w:rFonts w:hint="cs"/>
          <w:rtl/>
        </w:rPr>
        <w:t>מוקמינן לה בחזקת האיסור שהיה בה</w:t>
      </w:r>
      <w:r w:rsidRPr="00CE35C9">
        <w:rPr>
          <w:rStyle w:val="afb"/>
          <w:rFonts w:hint="cs"/>
          <w:rtl/>
        </w:rPr>
        <w:t xml:space="preserve"> אבר מן החי או אינו זבוח, ובאיסור זה לא הייתה חזקת טומאה, ולכן אינה מטמאה</w:t>
      </w:r>
      <w:r>
        <w:rPr>
          <w:rStyle w:val="afb"/>
          <w:rFonts w:hint="cs"/>
          <w:rtl/>
        </w:rPr>
        <w:t>, משא"כ לברייתא דממילא היא בחזקת טומאה דמתה לפנינו</w:t>
      </w:r>
      <w:r w:rsidRPr="00CE35C9">
        <w:rPr>
          <w:rStyle w:val="afb"/>
          <w:rFonts w:hint="cs"/>
          <w:rtl/>
        </w:rPr>
        <w:t>].</w:t>
      </w:r>
      <w:bookmarkEnd w:id="432"/>
    </w:p>
    <w:p w14:paraId="187BF745" w14:textId="77777777" w:rsidR="00852065" w:rsidRDefault="00852065" w:rsidP="00BF39B2">
      <w:pPr>
        <w:pStyle w:val="1"/>
        <w:rPr>
          <w:rtl/>
        </w:rPr>
      </w:pPr>
      <w:bookmarkStart w:id="433" w:name="_Toc522086165"/>
      <w:bookmarkStart w:id="434" w:name="_Toc522099585"/>
      <w:bookmarkStart w:id="435" w:name="_Toc19388900"/>
      <w:bookmarkStart w:id="436" w:name="_Toc19392397"/>
      <w:r>
        <w:rPr>
          <w:rFonts w:hint="cs"/>
          <w:rtl/>
        </w:rPr>
        <w:t>ביאור הגרעק"א דלברייתא אי אינה מטמאה הוי תרתי דסתרי</w:t>
      </w:r>
      <w:bookmarkEnd w:id="433"/>
      <w:bookmarkEnd w:id="434"/>
      <w:bookmarkEnd w:id="435"/>
      <w:bookmarkEnd w:id="436"/>
    </w:p>
    <w:p w14:paraId="66C9CA43" w14:textId="77777777" w:rsidR="00852065" w:rsidRDefault="00852065" w:rsidP="006D6D32">
      <w:pPr>
        <w:pStyle w:val="a3"/>
      </w:pPr>
      <w:bookmarkStart w:id="437" w:name="_Toc522086166"/>
      <w:bookmarkStart w:id="438" w:name="_Toc522099586"/>
      <w:bookmarkStart w:id="439" w:name="_Toc19388901"/>
      <w:bookmarkStart w:id="440" w:name="_Toc19392398"/>
      <w:r>
        <w:rPr>
          <w:rFonts w:hint="cs"/>
          <w:rtl/>
        </w:rPr>
        <w:t>דברי הגרעק"א דבגמ' משמע דלהברייתא הוא תרתי דסתרי לומר דאסורה ואינה טמאה</w:t>
      </w:r>
      <w:bookmarkEnd w:id="437"/>
      <w:bookmarkEnd w:id="438"/>
      <w:bookmarkEnd w:id="439"/>
      <w:bookmarkEnd w:id="440"/>
    </w:p>
    <w:p w14:paraId="66614F05" w14:textId="77777777" w:rsidR="00852065" w:rsidRPr="008F64D1" w:rsidRDefault="00852065" w:rsidP="00223668">
      <w:pPr>
        <w:pStyle w:val="a0"/>
        <w:rPr>
          <w:rtl/>
        </w:rPr>
      </w:pPr>
      <w:bookmarkStart w:id="441" w:name="_Ref522109526"/>
      <w:r>
        <w:rPr>
          <w:rFonts w:hint="cs"/>
          <w:rtl/>
        </w:rPr>
        <w:t xml:space="preserve">כתב </w:t>
      </w:r>
      <w:r w:rsidRPr="00675524">
        <w:rPr>
          <w:rStyle w:val="af9"/>
          <w:rFonts w:hint="cs"/>
          <w:rtl/>
        </w:rPr>
        <w:t>הגרעק"א</w:t>
      </w:r>
      <w:r>
        <w:rPr>
          <w:rFonts w:hint="cs"/>
          <w:rtl/>
        </w:rPr>
        <w:t xml:space="preserve"> </w:t>
      </w:r>
      <w:r w:rsidRPr="001E69C9">
        <w:rPr>
          <w:rStyle w:val="af7"/>
          <w:rFonts w:eastAsia="Guttman Hodes" w:hint="cs"/>
          <w:rtl/>
        </w:rPr>
        <w:t>(על השו"ע סי' כ"ה א')</w:t>
      </w:r>
      <w:r>
        <w:rPr>
          <w:rFonts w:hint="cs"/>
          <w:rtl/>
        </w:rPr>
        <w:t xml:space="preserve"> דמלשון הגמ' "מר סבר בחזקת איסור קיימא והשתא מתה" מבואר דהברייתא ס"ל דכיון שלענין איסור אכילה דנים </w:t>
      </w:r>
      <w:r w:rsidRPr="008F64D1">
        <w:rPr>
          <w:rFonts w:hint="cs"/>
          <w:rtl/>
        </w:rPr>
        <w:t>מכח החזקה שלא נשחטה, ממילא היא מטמאה כדין נבילה, דאי אסורה באכילה ואינה מטמאה כנבילה הוא תרתי דסתרי</w:t>
      </w:r>
      <w:r>
        <w:rPr>
          <w:rFonts w:hint="cs"/>
          <w:rtl/>
        </w:rPr>
        <w:t>.</w:t>
      </w:r>
      <w:r w:rsidRPr="008F64D1">
        <w:rPr>
          <w:rFonts w:hint="cs"/>
          <w:rtl/>
        </w:rPr>
        <w:t xml:space="preserve"> או </w:t>
      </w:r>
      <w:r>
        <w:rPr>
          <w:rFonts w:hint="cs"/>
          <w:rtl/>
        </w:rPr>
        <w:t xml:space="preserve">דהביאור בגמ' הוא </w:t>
      </w:r>
      <w:r w:rsidRPr="008F64D1">
        <w:rPr>
          <w:rFonts w:hint="cs"/>
          <w:rtl/>
        </w:rPr>
        <w:t xml:space="preserve">כדביאר </w:t>
      </w:r>
      <w:r w:rsidRPr="0053425A">
        <w:rPr>
          <w:rStyle w:val="af9"/>
          <w:rFonts w:hint="cs"/>
          <w:rtl/>
        </w:rPr>
        <w:t>הרשב"א</w:t>
      </w:r>
      <w:r w:rsidRPr="008F64D1">
        <w:rPr>
          <w:rFonts w:hint="cs"/>
          <w:rtl/>
        </w:rPr>
        <w:t xml:space="preserve"> </w:t>
      </w:r>
      <w:r w:rsidRPr="00BD7E6B">
        <w:rPr>
          <w:rStyle w:val="af7"/>
          <w:rFonts w:eastAsia="Guttman Hodes" w:hint="cs"/>
          <w:rtl/>
        </w:rPr>
        <w:t xml:space="preserve">(עי' אות </w:t>
      </w:r>
      <w:r w:rsidRPr="00BD7E6B">
        <w:rPr>
          <w:rStyle w:val="af7"/>
          <w:rFonts w:eastAsia="Guttman Hodes"/>
          <w:rtl/>
        </w:rPr>
        <w:fldChar w:fldCharType="begin"/>
      </w:r>
      <w:r w:rsidRPr="00BD7E6B">
        <w:rPr>
          <w:rStyle w:val="af7"/>
          <w:rFonts w:eastAsia="Guttman Hodes"/>
          <w:rtl/>
        </w:rPr>
        <w:instrText xml:space="preserve"> </w:instrText>
      </w:r>
      <w:r w:rsidRPr="00BD7E6B">
        <w:rPr>
          <w:rStyle w:val="af7"/>
          <w:rFonts w:eastAsia="Guttman Hodes" w:hint="cs"/>
        </w:rPr>
        <w:instrText>REF</w:instrText>
      </w:r>
      <w:r w:rsidRPr="00BD7E6B">
        <w:rPr>
          <w:rStyle w:val="af7"/>
          <w:rFonts w:eastAsia="Guttman Hodes" w:hint="cs"/>
          <w:rtl/>
        </w:rPr>
        <w:instrText xml:space="preserve"> _</w:instrText>
      </w:r>
      <w:r w:rsidRPr="00BD7E6B">
        <w:rPr>
          <w:rStyle w:val="af7"/>
          <w:rFonts w:eastAsia="Guttman Hodes" w:hint="cs"/>
        </w:rPr>
        <w:instrText>Ref522100935 \r \h</w:instrText>
      </w:r>
      <w:r w:rsidRPr="00BD7E6B">
        <w:rPr>
          <w:rStyle w:val="af7"/>
          <w:rFonts w:eastAsia="Guttman Hodes"/>
          <w:rtl/>
        </w:rPr>
        <w:instrText xml:space="preserve"> </w:instrText>
      </w:r>
      <w:r w:rsidRPr="00BD7E6B">
        <w:rPr>
          <w:rStyle w:val="af7"/>
          <w:rFonts w:eastAsia="Guttman Hodes"/>
          <w:rtl/>
        </w:rPr>
      </w:r>
      <w:r w:rsidRPr="00BD7E6B">
        <w:rPr>
          <w:rStyle w:val="af7"/>
          <w:rFonts w:eastAsia="Guttman Hodes"/>
          <w:rtl/>
        </w:rPr>
        <w:fldChar w:fldCharType="separate"/>
      </w:r>
      <w:r w:rsidR="00345400">
        <w:rPr>
          <w:rStyle w:val="af7"/>
          <w:rFonts w:eastAsia="Guttman Hodes"/>
          <w:cs/>
        </w:rPr>
        <w:t>‎</w:t>
      </w:r>
      <w:r w:rsidR="00345400">
        <w:rPr>
          <w:rStyle w:val="af7"/>
          <w:rFonts w:eastAsia="Guttman Hodes"/>
          <w:rtl/>
        </w:rPr>
        <w:t>לט)</w:t>
      </w:r>
      <w:r w:rsidRPr="00BD7E6B">
        <w:rPr>
          <w:rStyle w:val="af7"/>
          <w:rFonts w:eastAsia="Guttman Hodes"/>
          <w:rtl/>
        </w:rPr>
        <w:fldChar w:fldCharType="end"/>
      </w:r>
      <w:r w:rsidRPr="00BD7E6B">
        <w:rPr>
          <w:rStyle w:val="af7"/>
          <w:rFonts w:eastAsia="Guttman Hodes" w:hint="cs"/>
          <w:rtl/>
        </w:rPr>
        <w:t xml:space="preserve"> </w:t>
      </w:r>
      <w:r w:rsidRPr="008F64D1">
        <w:rPr>
          <w:rFonts w:hint="cs"/>
          <w:rtl/>
        </w:rPr>
        <w:t>דאף לענין טומאה יש קצת חזקת איסור כיון דמתה לפניך, וכל חיה שמתה מטמאה, ומספק א"א להוציאה מחזקתה.</w:t>
      </w:r>
      <w:bookmarkEnd w:id="441"/>
    </w:p>
    <w:p w14:paraId="3E21551F" w14:textId="77777777" w:rsidR="00852065" w:rsidRPr="00E402C2" w:rsidRDefault="00852065" w:rsidP="00BF39B2">
      <w:pPr>
        <w:pStyle w:val="1"/>
        <w:rPr>
          <w:rtl/>
        </w:rPr>
      </w:pPr>
      <w:bookmarkStart w:id="442" w:name="_Toc522028145"/>
      <w:bookmarkStart w:id="443" w:name="_Toc522086167"/>
      <w:bookmarkStart w:id="444" w:name="_Toc522099587"/>
      <w:bookmarkStart w:id="445" w:name="_Toc19388902"/>
      <w:bookmarkStart w:id="446" w:name="_Toc19392399"/>
      <w:r w:rsidRPr="00E402C2">
        <w:rPr>
          <w:rFonts w:hint="cs"/>
          <w:rtl/>
        </w:rPr>
        <w:t>ביאור הש"ש</w:t>
      </w:r>
      <w:r>
        <w:rPr>
          <w:rFonts w:hint="cs"/>
          <w:rtl/>
        </w:rPr>
        <w:t xml:space="preserve"> והעונג יו"ט</w:t>
      </w:r>
      <w:r w:rsidRPr="00E402C2">
        <w:rPr>
          <w:rFonts w:hint="cs"/>
          <w:rtl/>
        </w:rPr>
        <w:t xml:space="preserve"> דחזק</w:t>
      </w:r>
      <w:r>
        <w:rPr>
          <w:rFonts w:hint="cs"/>
          <w:rtl/>
        </w:rPr>
        <w:t xml:space="preserve">ת איסור </w:t>
      </w:r>
      <w:r w:rsidRPr="00E402C2">
        <w:rPr>
          <w:rFonts w:hint="cs"/>
          <w:rtl/>
        </w:rPr>
        <w:t>מהני ל</w:t>
      </w:r>
      <w:r>
        <w:rPr>
          <w:rFonts w:hint="cs"/>
          <w:rtl/>
        </w:rPr>
        <w:t xml:space="preserve">ענין </w:t>
      </w:r>
      <w:r w:rsidRPr="00E402C2">
        <w:rPr>
          <w:rFonts w:hint="cs"/>
          <w:rtl/>
        </w:rPr>
        <w:t>טומאה</w:t>
      </w:r>
      <w:bookmarkEnd w:id="442"/>
      <w:bookmarkEnd w:id="443"/>
      <w:bookmarkEnd w:id="444"/>
      <w:bookmarkEnd w:id="445"/>
      <w:bookmarkEnd w:id="446"/>
    </w:p>
    <w:p w14:paraId="1FCB6C17" w14:textId="77777777" w:rsidR="00852065" w:rsidRPr="00B10051" w:rsidRDefault="00852065" w:rsidP="006D6D32">
      <w:pPr>
        <w:pStyle w:val="a3"/>
      </w:pPr>
      <w:bookmarkStart w:id="447" w:name="_Toc522086168"/>
      <w:bookmarkStart w:id="448" w:name="_Toc522099588"/>
      <w:bookmarkStart w:id="449" w:name="_Toc19388903"/>
      <w:bookmarkStart w:id="450" w:name="_Toc19392400"/>
      <w:r>
        <w:rPr>
          <w:rFonts w:hint="cs"/>
          <w:rtl/>
        </w:rPr>
        <w:t>דברי הש"ש דכיון שהספק הוא בשחיטה עצמה והוחזקה שלא נשחטה ממילא מטמאה</w:t>
      </w:r>
      <w:bookmarkEnd w:id="447"/>
      <w:bookmarkEnd w:id="448"/>
      <w:bookmarkEnd w:id="449"/>
      <w:bookmarkEnd w:id="450"/>
    </w:p>
    <w:p w14:paraId="59FE826C" w14:textId="77777777" w:rsidR="00852065" w:rsidRDefault="00852065" w:rsidP="00223668">
      <w:pPr>
        <w:pStyle w:val="a0"/>
        <w:rPr>
          <w:rtl/>
        </w:rPr>
      </w:pPr>
      <w:bookmarkStart w:id="451" w:name="_Ref522113471"/>
      <w:r w:rsidRPr="00F04077">
        <w:rPr>
          <w:rStyle w:val="af9"/>
          <w:rFonts w:hint="cs"/>
          <w:rtl/>
        </w:rPr>
        <w:t>הש"ש</w:t>
      </w:r>
      <w:r w:rsidRPr="00E402C2">
        <w:rPr>
          <w:rFonts w:hint="cs"/>
          <w:rtl/>
        </w:rPr>
        <w:t xml:space="preserve"> </w:t>
      </w:r>
      <w:r w:rsidRPr="00F04077">
        <w:rPr>
          <w:rStyle w:val="af7"/>
          <w:rFonts w:eastAsia="Guttman Hodes" w:hint="cs"/>
          <w:rtl/>
        </w:rPr>
        <w:t xml:space="preserve">(ש"ד פ"ג ד"ה וראיה) </w:t>
      </w:r>
      <w:r>
        <w:rPr>
          <w:rFonts w:hint="cs"/>
          <w:rtl/>
        </w:rPr>
        <w:t xml:space="preserve">ביאר </w:t>
      </w:r>
      <w:r w:rsidRPr="00E402C2">
        <w:rPr>
          <w:rFonts w:hint="cs"/>
          <w:rtl/>
        </w:rPr>
        <w:t>דדעת הברייתא דאף שהייתה רק בחזקת איסור, ומעולם לא הייתה טמאה, מ"מ מהני החזקת איסור אף לענין טומאה, דכיון שהספק לענין טומאה אינו ספק בדין טומאה בפנ"ע, אלא הספק</w:t>
      </w:r>
      <w:r>
        <w:rPr>
          <w:rFonts w:hint="cs"/>
          <w:rtl/>
        </w:rPr>
        <w:t xml:space="preserve"> הוא האם נשחטה כראוי או לא, ואם לא נשחטה כראוי ממילא היא מטמאה, לכן כיון שיש חזקה על עיקר הספק דאינו זבוח, ואמרינן שלא נשחטה כראוי, ממילא כיון שהיא מתה היא מטמאה כנבילה, ועי' במ"ש </w:t>
      </w:r>
      <w:r w:rsidRPr="00ED35D8">
        <w:rPr>
          <w:rStyle w:val="af9"/>
          <w:rFonts w:hint="cs"/>
          <w:rtl/>
        </w:rPr>
        <w:t>השער"י</w:t>
      </w:r>
      <w:r>
        <w:rPr>
          <w:rFonts w:hint="cs"/>
          <w:rtl/>
        </w:rPr>
        <w:t xml:space="preserve"> </w:t>
      </w:r>
      <w:r w:rsidRPr="00BD7E6B">
        <w:rPr>
          <w:rStyle w:val="af7"/>
          <w:rFonts w:eastAsia="Guttman Hodes" w:hint="cs"/>
          <w:rtl/>
        </w:rPr>
        <w:t xml:space="preserve">(עי' אות </w:t>
      </w:r>
      <w:r w:rsidRPr="00BD7E6B">
        <w:rPr>
          <w:rStyle w:val="af7"/>
          <w:rFonts w:eastAsia="Guttman Hodes"/>
          <w:rtl/>
        </w:rPr>
        <w:fldChar w:fldCharType="begin"/>
      </w:r>
      <w:r w:rsidRPr="00BD7E6B">
        <w:rPr>
          <w:rStyle w:val="af7"/>
          <w:rFonts w:eastAsia="Guttman Hodes"/>
          <w:rtl/>
        </w:rPr>
        <w:instrText xml:space="preserve"> </w:instrText>
      </w:r>
      <w:r w:rsidRPr="00BD7E6B">
        <w:rPr>
          <w:rStyle w:val="af7"/>
          <w:rFonts w:eastAsia="Guttman Hodes" w:hint="cs"/>
        </w:rPr>
        <w:instrText>REF</w:instrText>
      </w:r>
      <w:r w:rsidRPr="00BD7E6B">
        <w:rPr>
          <w:rStyle w:val="af7"/>
          <w:rFonts w:eastAsia="Guttman Hodes" w:hint="cs"/>
          <w:rtl/>
        </w:rPr>
        <w:instrText xml:space="preserve"> _</w:instrText>
      </w:r>
      <w:r w:rsidRPr="00BD7E6B">
        <w:rPr>
          <w:rStyle w:val="af7"/>
          <w:rFonts w:eastAsia="Guttman Hodes" w:hint="cs"/>
        </w:rPr>
        <w:instrText>Ref522100973 \r \h</w:instrText>
      </w:r>
      <w:r w:rsidRPr="00BD7E6B">
        <w:rPr>
          <w:rStyle w:val="af7"/>
          <w:rFonts w:eastAsia="Guttman Hodes"/>
          <w:rtl/>
        </w:rPr>
        <w:instrText xml:space="preserve"> </w:instrText>
      </w:r>
      <w:r w:rsidRPr="00BD7E6B">
        <w:rPr>
          <w:rStyle w:val="af7"/>
          <w:rFonts w:eastAsia="Guttman Hodes"/>
          <w:rtl/>
        </w:rPr>
      </w:r>
      <w:r w:rsidRPr="00BD7E6B">
        <w:rPr>
          <w:rStyle w:val="af7"/>
          <w:rFonts w:eastAsia="Guttman Hodes"/>
          <w:rtl/>
        </w:rPr>
        <w:fldChar w:fldCharType="separate"/>
      </w:r>
      <w:r w:rsidR="00345400">
        <w:rPr>
          <w:rStyle w:val="af7"/>
          <w:rFonts w:eastAsia="Guttman Hodes"/>
          <w:cs/>
        </w:rPr>
        <w:t>‎</w:t>
      </w:r>
      <w:r w:rsidR="00345400">
        <w:rPr>
          <w:rStyle w:val="af7"/>
          <w:rFonts w:eastAsia="Guttman Hodes"/>
          <w:rtl/>
        </w:rPr>
        <w:t>סו)</w:t>
      </w:r>
      <w:r w:rsidRPr="00BD7E6B">
        <w:rPr>
          <w:rStyle w:val="af7"/>
          <w:rFonts w:eastAsia="Guttman Hodes"/>
          <w:rtl/>
        </w:rPr>
        <w:fldChar w:fldCharType="end"/>
      </w:r>
      <w:r>
        <w:rPr>
          <w:rFonts w:hint="cs"/>
          <w:rtl/>
        </w:rPr>
        <w:t xml:space="preserve"> בזה.</w:t>
      </w:r>
      <w:bookmarkEnd w:id="451"/>
    </w:p>
    <w:p w14:paraId="13DE61CC" w14:textId="77777777" w:rsidR="00804CF8" w:rsidRPr="00804CF8" w:rsidRDefault="00804CF8" w:rsidP="00804CF8">
      <w:pPr>
        <w:pStyle w:val="a3"/>
        <w:rPr>
          <w:rtl/>
        </w:rPr>
      </w:pPr>
    </w:p>
    <w:p w14:paraId="555A8C8D" w14:textId="77777777" w:rsidR="00852065" w:rsidRDefault="00852065" w:rsidP="006D6D32">
      <w:pPr>
        <w:pStyle w:val="a3"/>
        <w:rPr>
          <w:rtl/>
        </w:rPr>
      </w:pPr>
      <w:bookmarkStart w:id="452" w:name="_Toc522086169"/>
      <w:bookmarkStart w:id="453" w:name="_Toc522099589"/>
      <w:bookmarkStart w:id="454" w:name="_Toc19388904"/>
      <w:bookmarkStart w:id="455" w:name="_Toc19392401"/>
      <w:r>
        <w:rPr>
          <w:rFonts w:hint="cs"/>
          <w:rtl/>
        </w:rPr>
        <w:t>דברי הש"ש דלר"א ב"ר ינאי רק מחמת הרוב אינה מטמאה בנבילה</w:t>
      </w:r>
      <w:bookmarkEnd w:id="452"/>
      <w:bookmarkEnd w:id="453"/>
      <w:bookmarkEnd w:id="454"/>
      <w:bookmarkEnd w:id="455"/>
    </w:p>
    <w:p w14:paraId="0DCED4F8" w14:textId="77777777" w:rsidR="00852065" w:rsidRPr="00D51519" w:rsidRDefault="00852065" w:rsidP="00223668">
      <w:pPr>
        <w:pStyle w:val="a0"/>
        <w:rPr>
          <w:rStyle w:val="afb"/>
          <w:rtl/>
        </w:rPr>
      </w:pPr>
      <w:bookmarkStart w:id="456" w:name="_Ref522100684"/>
      <w:r>
        <w:rPr>
          <w:rFonts w:hint="cs"/>
          <w:rtl/>
        </w:rPr>
        <w:t xml:space="preserve">והוסיף </w:t>
      </w:r>
      <w:r w:rsidRPr="00ED35D8">
        <w:rPr>
          <w:rStyle w:val="af9"/>
          <w:rFonts w:hint="cs"/>
          <w:rtl/>
        </w:rPr>
        <w:t>הש"ש</w:t>
      </w:r>
      <w:r>
        <w:rPr>
          <w:rFonts w:hint="cs"/>
          <w:rtl/>
        </w:rPr>
        <w:t xml:space="preserve"> דאף לדעת ר"א ב"ר ינאי דאינה מטמאה כנבילה, כתבו</w:t>
      </w:r>
      <w:r w:rsidRPr="00260F28">
        <w:rPr>
          <w:rStyle w:val="af9"/>
          <w:rFonts w:hint="cs"/>
          <w:rtl/>
        </w:rPr>
        <w:t xml:space="preserve"> התוס'</w:t>
      </w:r>
      <w:r>
        <w:rPr>
          <w:rFonts w:hint="cs"/>
          <w:rtl/>
        </w:rPr>
        <w:t xml:space="preserve"> דמדאו' היא מותרת דיש רוב שנשחטה כראוי, והחמירו רבנן רק לענין נבילה</w:t>
      </w:r>
      <w:r w:rsidRPr="00D51519">
        <w:rPr>
          <w:rStyle w:val="afb"/>
          <w:rFonts w:hint="cs"/>
          <w:rtl/>
        </w:rPr>
        <w:t>, [והיינו, דלא ס"ל דאינה מטמאה מחמת דלענין נבילה לא אזלינן בתר החזקת איסור, דמודה ר"א ב"ר ינאי דמהני החזקת איסור לטומאה, אלא דס"ל דאזלינן בתר הרוב ולא בתר החזקה</w:t>
      </w:r>
      <w:r>
        <w:rPr>
          <w:rStyle w:val="afb"/>
          <w:rFonts w:hint="cs"/>
          <w:rtl/>
        </w:rPr>
        <w:t xml:space="preserve">, ודלא </w:t>
      </w:r>
      <w:r w:rsidRPr="00F15EE2">
        <w:rPr>
          <w:rStyle w:val="affa"/>
          <w:rFonts w:hint="cs"/>
          <w:rtl/>
        </w:rPr>
        <w:t>כעונג יו"ט</w:t>
      </w:r>
      <w:r>
        <w:rPr>
          <w:rStyle w:val="afb"/>
          <w:rFonts w:hint="cs"/>
          <w:rtl/>
        </w:rPr>
        <w:t xml:space="preserve"> </w:t>
      </w:r>
      <w:r w:rsidRPr="00BD7E6B">
        <w:rPr>
          <w:rStyle w:val="aff6"/>
          <w:rFonts w:hint="cs"/>
          <w:rtl/>
        </w:rPr>
        <w:t xml:space="preserve">(עי' אות </w:t>
      </w:r>
      <w:r w:rsidRPr="00BD7E6B">
        <w:rPr>
          <w:rStyle w:val="aff6"/>
          <w:rtl/>
        </w:rPr>
        <w:fldChar w:fldCharType="begin"/>
      </w:r>
      <w:r w:rsidRPr="00BD7E6B">
        <w:rPr>
          <w:rStyle w:val="aff6"/>
          <w:rtl/>
        </w:rPr>
        <w:instrText xml:space="preserve"> </w:instrText>
      </w:r>
      <w:r w:rsidRPr="00BD7E6B">
        <w:rPr>
          <w:rStyle w:val="aff6"/>
          <w:rFonts w:hint="cs"/>
        </w:rPr>
        <w:instrText>REF</w:instrText>
      </w:r>
      <w:r w:rsidRPr="00BD7E6B">
        <w:rPr>
          <w:rStyle w:val="aff6"/>
          <w:rFonts w:hint="cs"/>
          <w:rtl/>
        </w:rPr>
        <w:instrText xml:space="preserve"> _</w:instrText>
      </w:r>
      <w:r w:rsidRPr="00BD7E6B">
        <w:rPr>
          <w:rStyle w:val="aff6"/>
          <w:rFonts w:hint="cs"/>
        </w:rPr>
        <w:instrText>Ref522101013 \r \h</w:instrText>
      </w:r>
      <w:r w:rsidRPr="00BD7E6B">
        <w:rPr>
          <w:rStyle w:val="aff6"/>
          <w:rtl/>
        </w:rPr>
        <w:instrText xml:space="preserve"> </w:instrText>
      </w:r>
      <w:r w:rsidRPr="00BD7E6B">
        <w:rPr>
          <w:rStyle w:val="aff6"/>
          <w:rtl/>
        </w:rPr>
      </w:r>
      <w:r w:rsidRPr="00BD7E6B">
        <w:rPr>
          <w:rStyle w:val="aff6"/>
          <w:rtl/>
        </w:rPr>
        <w:fldChar w:fldCharType="separate"/>
      </w:r>
      <w:r w:rsidR="00345400">
        <w:rPr>
          <w:rStyle w:val="aff6"/>
          <w:cs/>
        </w:rPr>
        <w:t>‎</w:t>
      </w:r>
      <w:r w:rsidR="00345400">
        <w:rPr>
          <w:rStyle w:val="aff6"/>
          <w:rtl/>
        </w:rPr>
        <w:t>נ)</w:t>
      </w:r>
      <w:r w:rsidRPr="00BD7E6B">
        <w:rPr>
          <w:rStyle w:val="aff6"/>
          <w:rtl/>
        </w:rPr>
        <w:fldChar w:fldCharType="end"/>
      </w:r>
      <w:r w:rsidRPr="00D51519">
        <w:rPr>
          <w:rStyle w:val="afb"/>
          <w:rFonts w:hint="cs"/>
          <w:rtl/>
        </w:rPr>
        <w:t>].</w:t>
      </w:r>
      <w:bookmarkEnd w:id="456"/>
    </w:p>
    <w:p w14:paraId="52CCD61B" w14:textId="77777777" w:rsidR="00852065" w:rsidRPr="000E47E5" w:rsidRDefault="00852065" w:rsidP="006D6D32">
      <w:pPr>
        <w:pStyle w:val="a3"/>
        <w:rPr>
          <w:rtl/>
        </w:rPr>
      </w:pPr>
      <w:bookmarkStart w:id="457" w:name="_Toc522086170"/>
      <w:bookmarkStart w:id="458" w:name="_Toc522099590"/>
      <w:bookmarkStart w:id="459" w:name="_Toc19388905"/>
      <w:bookmarkStart w:id="460" w:name="_Toc19392402"/>
      <w:r>
        <w:rPr>
          <w:rFonts w:hint="cs"/>
          <w:rtl/>
        </w:rPr>
        <w:t>דברי העונג יו"ט דכיון שהנדון הוא בשחיטה עצמה מהני החזקה אף לטומאה</w:t>
      </w:r>
      <w:bookmarkEnd w:id="457"/>
      <w:bookmarkEnd w:id="458"/>
      <w:bookmarkEnd w:id="459"/>
      <w:bookmarkEnd w:id="460"/>
    </w:p>
    <w:p w14:paraId="173EA380" w14:textId="77777777" w:rsidR="00852065" w:rsidRDefault="00852065" w:rsidP="00223668">
      <w:pPr>
        <w:pStyle w:val="a0"/>
        <w:rPr>
          <w:rtl/>
        </w:rPr>
      </w:pPr>
      <w:r w:rsidRPr="009C74EA">
        <w:rPr>
          <w:rStyle w:val="af9"/>
          <w:rFonts w:hint="cs"/>
          <w:rtl/>
        </w:rPr>
        <w:t>ובעונג יו"ט</w:t>
      </w:r>
      <w:r w:rsidRPr="009C74EA">
        <w:rPr>
          <w:rFonts w:hint="cs"/>
          <w:rtl/>
        </w:rPr>
        <w:t xml:space="preserve"> </w:t>
      </w:r>
      <w:r w:rsidRPr="009C74EA">
        <w:rPr>
          <w:rStyle w:val="af7"/>
          <w:rFonts w:eastAsia="Guttman Hodes" w:hint="cs"/>
          <w:rtl/>
        </w:rPr>
        <w:t>(ריש סי' נ"ו)</w:t>
      </w:r>
      <w:r w:rsidRPr="009C74EA">
        <w:rPr>
          <w:rFonts w:hint="cs"/>
          <w:rtl/>
        </w:rPr>
        <w:t xml:space="preserve"> ביאר בדעת הברייתא דמטמאה בנבילה, דכיון </w:t>
      </w:r>
      <w:r>
        <w:rPr>
          <w:rFonts w:hint="cs"/>
          <w:rtl/>
        </w:rPr>
        <w:t>שהספק לענין טומאה הוא האם נשחטה, ו</w:t>
      </w:r>
      <w:r w:rsidRPr="009C74EA">
        <w:rPr>
          <w:rFonts w:hint="cs"/>
          <w:rtl/>
        </w:rPr>
        <w:t xml:space="preserve">היא בחזקת שלא נשחטה כראוי, </w:t>
      </w:r>
      <w:r>
        <w:rPr>
          <w:rFonts w:hint="cs"/>
          <w:rtl/>
        </w:rPr>
        <w:t>ו</w:t>
      </w:r>
      <w:r w:rsidRPr="009C74EA">
        <w:rPr>
          <w:rFonts w:hint="cs"/>
          <w:rtl/>
        </w:rPr>
        <w:t>ממילא היא מטמאה</w:t>
      </w:r>
      <w:r>
        <w:rPr>
          <w:rFonts w:hint="cs"/>
          <w:rtl/>
        </w:rPr>
        <w:t>.</w:t>
      </w:r>
    </w:p>
    <w:p w14:paraId="5913293C" w14:textId="77777777" w:rsidR="00852065" w:rsidRPr="00E249E3" w:rsidRDefault="00852065" w:rsidP="006D6D32">
      <w:pPr>
        <w:pStyle w:val="a3"/>
      </w:pPr>
      <w:bookmarkStart w:id="461" w:name="_Toc522086171"/>
      <w:bookmarkStart w:id="462" w:name="_Toc522099591"/>
      <w:bookmarkStart w:id="463" w:name="_Toc19388906"/>
      <w:bookmarkStart w:id="464" w:name="_Toc19392403"/>
      <w:r>
        <w:rPr>
          <w:rFonts w:hint="cs"/>
          <w:rtl/>
        </w:rPr>
        <w:t>דברי העונג יו"ט דאי"ז דין רק בנבילה שא"א לחלק את האיסור מהטומאה אלא בכל ספק</w:t>
      </w:r>
      <w:bookmarkEnd w:id="461"/>
      <w:bookmarkEnd w:id="462"/>
      <w:bookmarkEnd w:id="463"/>
      <w:bookmarkEnd w:id="464"/>
    </w:p>
    <w:p w14:paraId="4F21C46E" w14:textId="77777777" w:rsidR="00852065" w:rsidRDefault="00852065" w:rsidP="00223668">
      <w:pPr>
        <w:pStyle w:val="a0"/>
        <w:rPr>
          <w:rtl/>
        </w:rPr>
      </w:pPr>
      <w:r w:rsidRPr="009C74EA">
        <w:rPr>
          <w:rFonts w:hint="cs"/>
          <w:rtl/>
        </w:rPr>
        <w:t xml:space="preserve">והוסיף </w:t>
      </w:r>
      <w:r w:rsidRPr="00E249E3">
        <w:rPr>
          <w:rStyle w:val="af9"/>
          <w:rFonts w:hint="cs"/>
          <w:rtl/>
        </w:rPr>
        <w:t>העונג יו"ט</w:t>
      </w:r>
      <w:r w:rsidRPr="009C74EA">
        <w:rPr>
          <w:rFonts w:hint="cs"/>
          <w:rtl/>
        </w:rPr>
        <w:t xml:space="preserve"> דאי"ז דוקא לענין טומאה, דלא שייך שלא נשחטה כראוי ואינה טמאה, אלא אף לדינים אחרים כגון איסור הנאה בספק שחט לע"ז, אמרינן דכיון שהיא בחזקת שלא נשחטה כראוי, היא אסורה בהנאה, אף ששייך שתהיה נבילה ולא תאסר בהנאה, דאף שאפשר לחלק בין האיסור להנאה, מ"מ כיון שהנדון הוא באותו השחיטה, ומחזקינן שלא נשחטה לענין איסור, ה"ה לענין טומאה ואיסור הנאה.</w:t>
      </w:r>
    </w:p>
    <w:p w14:paraId="5D797D6F" w14:textId="77777777" w:rsidR="00852065" w:rsidRDefault="00852065" w:rsidP="006D6D32">
      <w:pPr>
        <w:pStyle w:val="a3"/>
        <w:rPr>
          <w:rtl/>
        </w:rPr>
      </w:pPr>
      <w:bookmarkStart w:id="465" w:name="_Toc522086172"/>
      <w:bookmarkStart w:id="466" w:name="_Toc522099592"/>
      <w:bookmarkStart w:id="467" w:name="_Toc19388907"/>
      <w:bookmarkStart w:id="468" w:name="_Toc19392404"/>
      <w:r>
        <w:rPr>
          <w:rFonts w:hint="cs"/>
          <w:rtl/>
        </w:rPr>
        <w:t>דברי העונג יו"ט דהחזקה מהני לומר שלא נעשה בה מעשה שחיטה ולכן ממילא מטמאה</w:t>
      </w:r>
      <w:bookmarkEnd w:id="465"/>
      <w:bookmarkEnd w:id="466"/>
      <w:bookmarkEnd w:id="467"/>
      <w:bookmarkEnd w:id="468"/>
    </w:p>
    <w:p w14:paraId="18CE047C" w14:textId="77777777" w:rsidR="00852065" w:rsidRDefault="00852065" w:rsidP="00223668">
      <w:pPr>
        <w:pStyle w:val="a0"/>
        <w:rPr>
          <w:rtl/>
        </w:rPr>
      </w:pPr>
      <w:r>
        <w:rPr>
          <w:rFonts w:hint="cs"/>
          <w:rtl/>
        </w:rPr>
        <w:t xml:space="preserve">אך כתב </w:t>
      </w:r>
      <w:r w:rsidRPr="0084711D">
        <w:rPr>
          <w:rStyle w:val="af9"/>
          <w:rFonts w:hint="cs"/>
          <w:rtl/>
        </w:rPr>
        <w:t>העונג יו"ט</w:t>
      </w:r>
      <w:r>
        <w:rPr>
          <w:rFonts w:hint="cs"/>
          <w:rtl/>
        </w:rPr>
        <w:t xml:space="preserve"> </w:t>
      </w:r>
      <w:r w:rsidRPr="003774CA">
        <w:rPr>
          <w:rStyle w:val="af7"/>
          <w:rFonts w:eastAsia="Guttman Hodes" w:hint="cs"/>
          <w:rtl/>
        </w:rPr>
        <w:t>(סי' נ"ו ד"ה מיהו)</w:t>
      </w:r>
      <w:r>
        <w:rPr>
          <w:rFonts w:hint="cs"/>
          <w:rtl/>
        </w:rPr>
        <w:t xml:space="preserve"> דאפש"ל דהא דמהני חזקת איסור לענין טומאה, הוא כיון דע"י החזקה אמרינן שלא נעשה בבהמה כל מעשה מכשיר, ולכן מהני אף לטומאה דבהמה שלא נעשה בה מעשה מכשיר ממילא מטמאה בנבילה, דהרי היא מתה, ולכן כל שלא בדק בסימנים מהני החזקת איסור לטמאותה, [אבל לענין איסור הנאה אי מהני החזקה לומר שלא נעשה בה כל מעשה, היא מותרת בהנאה דלא נשחטה, עיי"ש].</w:t>
      </w:r>
    </w:p>
    <w:p w14:paraId="328ED7DF" w14:textId="77777777" w:rsidR="00852065" w:rsidRDefault="00852065" w:rsidP="006D6D32">
      <w:pPr>
        <w:pStyle w:val="a3"/>
        <w:rPr>
          <w:rtl/>
        </w:rPr>
      </w:pPr>
      <w:bookmarkStart w:id="469" w:name="_Toc522086173"/>
      <w:bookmarkStart w:id="470" w:name="_Toc522099593"/>
      <w:bookmarkStart w:id="471" w:name="_Toc19388908"/>
      <w:bookmarkStart w:id="472" w:name="_Toc19392405"/>
      <w:r>
        <w:rPr>
          <w:rFonts w:hint="cs"/>
          <w:rtl/>
        </w:rPr>
        <w:t>דברי העונג יו"ט דלר"א ב"ר ינאי לא מהני החזקת איסור לטומאה ולולי הרוב טמאה מספק</w:t>
      </w:r>
      <w:bookmarkEnd w:id="469"/>
      <w:bookmarkEnd w:id="470"/>
      <w:bookmarkEnd w:id="471"/>
      <w:bookmarkEnd w:id="472"/>
    </w:p>
    <w:p w14:paraId="2CFC6326" w14:textId="77777777" w:rsidR="00852065" w:rsidRPr="003774CA" w:rsidRDefault="00852065" w:rsidP="00223668">
      <w:pPr>
        <w:pStyle w:val="a0"/>
        <w:rPr>
          <w:sz w:val="10"/>
          <w:szCs w:val="14"/>
        </w:rPr>
      </w:pPr>
      <w:bookmarkStart w:id="473" w:name="_Ref522101013"/>
      <w:r>
        <w:rPr>
          <w:rFonts w:hint="cs"/>
          <w:rtl/>
        </w:rPr>
        <w:t xml:space="preserve">וכתב </w:t>
      </w:r>
      <w:r w:rsidRPr="009F6A86">
        <w:rPr>
          <w:rStyle w:val="af9"/>
          <w:rFonts w:hint="cs"/>
          <w:rtl/>
        </w:rPr>
        <w:t>העונג יו"ט</w:t>
      </w:r>
      <w:r>
        <w:rPr>
          <w:rFonts w:hint="cs"/>
          <w:rtl/>
        </w:rPr>
        <w:t xml:space="preserve"> </w:t>
      </w:r>
      <w:r w:rsidRPr="009F6A86">
        <w:rPr>
          <w:rStyle w:val="af7"/>
          <w:rFonts w:eastAsia="Guttman Hodes" w:hint="cs"/>
          <w:rtl/>
        </w:rPr>
        <w:t xml:space="preserve">(סי' נ"ו ד"ה ונ"ל להביא בתו"ד) </w:t>
      </w:r>
      <w:r>
        <w:rPr>
          <w:rFonts w:hint="cs"/>
          <w:rtl/>
        </w:rPr>
        <w:t xml:space="preserve">דלדעת ר"א ב"ר ינאי הוצרכו </w:t>
      </w:r>
      <w:r w:rsidRPr="009F6A86">
        <w:rPr>
          <w:rStyle w:val="af9"/>
          <w:rFonts w:hint="cs"/>
          <w:rtl/>
        </w:rPr>
        <w:t>התוס'</w:t>
      </w:r>
      <w:r>
        <w:rPr>
          <w:rFonts w:hint="cs"/>
          <w:rtl/>
        </w:rPr>
        <w:t xml:space="preserve"> </w:t>
      </w:r>
      <w:r w:rsidRPr="00FA5600">
        <w:rPr>
          <w:rStyle w:val="af7"/>
          <w:rFonts w:eastAsia="Guttman Hodes" w:hint="cs"/>
          <w:rtl/>
        </w:rPr>
        <w:t xml:space="preserve">(עי' אות </w:t>
      </w:r>
      <w:r w:rsidRPr="00FA5600">
        <w:rPr>
          <w:rStyle w:val="af7"/>
          <w:rFonts w:eastAsia="Guttman Hodes"/>
          <w:rtl/>
        </w:rPr>
        <w:fldChar w:fldCharType="begin"/>
      </w:r>
      <w:r w:rsidRPr="00FA5600">
        <w:rPr>
          <w:rStyle w:val="af7"/>
          <w:rFonts w:eastAsia="Guttman Hodes"/>
          <w:rtl/>
        </w:rPr>
        <w:instrText xml:space="preserve"> </w:instrText>
      </w:r>
      <w:r w:rsidRPr="00FA5600">
        <w:rPr>
          <w:rStyle w:val="af7"/>
          <w:rFonts w:eastAsia="Guttman Hodes" w:hint="cs"/>
        </w:rPr>
        <w:instrText>REF</w:instrText>
      </w:r>
      <w:r w:rsidRPr="00FA5600">
        <w:rPr>
          <w:rStyle w:val="af7"/>
          <w:rFonts w:eastAsia="Guttman Hodes" w:hint="cs"/>
          <w:rtl/>
        </w:rPr>
        <w:instrText xml:space="preserve"> _</w:instrText>
      </w:r>
      <w:r w:rsidRPr="00FA5600">
        <w:rPr>
          <w:rStyle w:val="af7"/>
          <w:rFonts w:eastAsia="Guttman Hodes" w:hint="cs"/>
        </w:rPr>
        <w:instrText>Ref522101098 \r \h</w:instrText>
      </w:r>
      <w:r w:rsidRPr="00FA5600">
        <w:rPr>
          <w:rStyle w:val="af7"/>
          <w:rFonts w:eastAsia="Guttman Hodes"/>
          <w:rtl/>
        </w:rPr>
        <w:instrText xml:space="preserve"> </w:instrText>
      </w:r>
      <w:r w:rsidRPr="00FA5600">
        <w:rPr>
          <w:rStyle w:val="af7"/>
          <w:rFonts w:eastAsia="Guttman Hodes"/>
          <w:rtl/>
        </w:rPr>
      </w:r>
      <w:r w:rsidRPr="00FA5600">
        <w:rPr>
          <w:rStyle w:val="af7"/>
          <w:rFonts w:eastAsia="Guttman Hodes"/>
          <w:rtl/>
        </w:rPr>
        <w:fldChar w:fldCharType="separate"/>
      </w:r>
      <w:r w:rsidR="00345400">
        <w:rPr>
          <w:rStyle w:val="af7"/>
          <w:rFonts w:eastAsia="Guttman Hodes"/>
          <w:cs/>
        </w:rPr>
        <w:t>‎</w:t>
      </w:r>
      <w:r w:rsidR="00345400">
        <w:rPr>
          <w:rStyle w:val="af7"/>
          <w:rFonts w:eastAsia="Guttman Hodes"/>
          <w:rtl/>
        </w:rPr>
        <w:t>כה)</w:t>
      </w:r>
      <w:r w:rsidRPr="00FA5600">
        <w:rPr>
          <w:rStyle w:val="af7"/>
          <w:rFonts w:eastAsia="Guttman Hodes"/>
          <w:rtl/>
        </w:rPr>
        <w:fldChar w:fldCharType="end"/>
      </w:r>
      <w:r>
        <w:rPr>
          <w:rFonts w:hint="cs"/>
          <w:rtl/>
        </w:rPr>
        <w:t xml:space="preserve"> לומר דמדאו' מותרת מדין רוב, דס"ל דלא מהני החזקת איסור לענין טומאה, ולולי הרוב היה צריך לטמא מספק, ומהני הרוב להתיר מדאו', </w:t>
      </w:r>
      <w:r w:rsidRPr="00F15EE2">
        <w:rPr>
          <w:rStyle w:val="afb"/>
          <w:rFonts w:hint="cs"/>
          <w:rtl/>
        </w:rPr>
        <w:t xml:space="preserve">[ודלא </w:t>
      </w:r>
      <w:r w:rsidRPr="00F15EE2">
        <w:rPr>
          <w:rStyle w:val="affa"/>
          <w:rFonts w:hint="cs"/>
          <w:rtl/>
        </w:rPr>
        <w:t>כש"ש</w:t>
      </w:r>
      <w:r w:rsidRPr="00F15EE2">
        <w:rPr>
          <w:rStyle w:val="afb"/>
          <w:rFonts w:hint="cs"/>
          <w:rtl/>
        </w:rPr>
        <w:t xml:space="preserve"> </w:t>
      </w:r>
      <w:r w:rsidRPr="00BD7E6B">
        <w:rPr>
          <w:rStyle w:val="aff6"/>
          <w:rFonts w:hint="cs"/>
          <w:rtl/>
        </w:rPr>
        <w:t xml:space="preserve">(עי' אות </w:t>
      </w:r>
      <w:r w:rsidRPr="00BD7E6B">
        <w:rPr>
          <w:rStyle w:val="aff6"/>
          <w:rtl/>
        </w:rPr>
        <w:fldChar w:fldCharType="begin"/>
      </w:r>
      <w:r w:rsidRPr="00BD7E6B">
        <w:rPr>
          <w:rStyle w:val="aff6"/>
          <w:rtl/>
        </w:rPr>
        <w:instrText xml:space="preserve"> </w:instrText>
      </w:r>
      <w:r w:rsidRPr="00BD7E6B">
        <w:rPr>
          <w:rStyle w:val="aff6"/>
          <w:rFonts w:hint="cs"/>
        </w:rPr>
        <w:instrText>REF</w:instrText>
      </w:r>
      <w:r w:rsidRPr="00BD7E6B">
        <w:rPr>
          <w:rStyle w:val="aff6"/>
          <w:rFonts w:hint="cs"/>
          <w:rtl/>
        </w:rPr>
        <w:instrText xml:space="preserve"> _</w:instrText>
      </w:r>
      <w:r w:rsidRPr="00BD7E6B">
        <w:rPr>
          <w:rStyle w:val="aff6"/>
          <w:rFonts w:hint="cs"/>
        </w:rPr>
        <w:instrText>Ref522100684 \r \h</w:instrText>
      </w:r>
      <w:r w:rsidRPr="00BD7E6B">
        <w:rPr>
          <w:rStyle w:val="aff6"/>
          <w:rtl/>
        </w:rPr>
        <w:instrText xml:space="preserve"> </w:instrText>
      </w:r>
      <w:r w:rsidRPr="00BD7E6B">
        <w:rPr>
          <w:rStyle w:val="aff6"/>
          <w:rtl/>
        </w:rPr>
      </w:r>
      <w:r w:rsidRPr="00BD7E6B">
        <w:rPr>
          <w:rStyle w:val="aff6"/>
          <w:rtl/>
        </w:rPr>
        <w:fldChar w:fldCharType="separate"/>
      </w:r>
      <w:r w:rsidR="00345400">
        <w:rPr>
          <w:rStyle w:val="aff6"/>
          <w:cs/>
        </w:rPr>
        <w:t>‎</w:t>
      </w:r>
      <w:r w:rsidR="00345400">
        <w:rPr>
          <w:rStyle w:val="aff6"/>
          <w:rtl/>
        </w:rPr>
        <w:t>מו)</w:t>
      </w:r>
      <w:r w:rsidRPr="00BD7E6B">
        <w:rPr>
          <w:rStyle w:val="aff6"/>
          <w:rtl/>
        </w:rPr>
        <w:fldChar w:fldCharType="end"/>
      </w:r>
      <w:r w:rsidRPr="00F15EE2">
        <w:rPr>
          <w:rStyle w:val="afb"/>
          <w:rFonts w:hint="cs"/>
          <w:rtl/>
        </w:rPr>
        <w:t>].</w:t>
      </w:r>
      <w:bookmarkEnd w:id="473"/>
    </w:p>
    <w:p w14:paraId="69747A2D" w14:textId="77777777" w:rsidR="00852065" w:rsidRDefault="00852065" w:rsidP="006D6D32">
      <w:pPr>
        <w:pStyle w:val="a3"/>
      </w:pPr>
      <w:bookmarkStart w:id="474" w:name="_Toc522086174"/>
      <w:bookmarkStart w:id="475" w:name="_Toc522099594"/>
      <w:bookmarkStart w:id="476" w:name="_Toc19388909"/>
      <w:bookmarkStart w:id="477" w:name="_Toc19392406"/>
      <w:r>
        <w:rPr>
          <w:rFonts w:hint="cs"/>
          <w:rtl/>
        </w:rPr>
        <w:t>דברי העונג יו"ט דמחיים לא שייך להעמיד על חזקת טהרה דלא שייך טומאה בבע"ח</w:t>
      </w:r>
      <w:bookmarkEnd w:id="474"/>
      <w:bookmarkEnd w:id="475"/>
      <w:bookmarkEnd w:id="476"/>
      <w:bookmarkEnd w:id="477"/>
    </w:p>
    <w:p w14:paraId="347FF43A" w14:textId="77777777" w:rsidR="00852065" w:rsidRPr="0032487F" w:rsidRDefault="00852065" w:rsidP="00223668">
      <w:pPr>
        <w:pStyle w:val="a0"/>
        <w:rPr>
          <w:rtl/>
        </w:rPr>
      </w:pPr>
      <w:r>
        <w:rPr>
          <w:rFonts w:hint="cs"/>
          <w:rtl/>
        </w:rPr>
        <w:t xml:space="preserve">והוסיף </w:t>
      </w:r>
      <w:r w:rsidRPr="00F15EE2">
        <w:rPr>
          <w:rStyle w:val="af9"/>
          <w:rFonts w:hint="cs"/>
          <w:rtl/>
        </w:rPr>
        <w:t>העונג יו"ט</w:t>
      </w:r>
      <w:r>
        <w:rPr>
          <w:rFonts w:hint="cs"/>
          <w:rtl/>
        </w:rPr>
        <w:t xml:space="preserve"> דלא שייך להעמיד על החזקת טהרה דמחיים לא הייתה טמאה, דכיון דלא שייך טומאה בבעלי חיים, לכן הא דמחיים לא הייתה מטמאה, אינה בחזקת טהרה, דחזקה בדבר שלא שייך בו הדין אינה חזקה, ועי' בדברי </w:t>
      </w:r>
      <w:r w:rsidRPr="00962A7C">
        <w:rPr>
          <w:rStyle w:val="af9"/>
          <w:rFonts w:hint="cs"/>
          <w:rtl/>
        </w:rPr>
        <w:t>הרא"ה</w:t>
      </w:r>
      <w:r>
        <w:rPr>
          <w:rFonts w:hint="cs"/>
          <w:rtl/>
        </w:rPr>
        <w:t xml:space="preserve"> </w:t>
      </w:r>
      <w:r w:rsidRPr="00BD7E6B">
        <w:rPr>
          <w:rStyle w:val="af7"/>
          <w:rFonts w:eastAsia="Guttman Hodes" w:hint="cs"/>
          <w:rtl/>
        </w:rPr>
        <w:t xml:space="preserve">(עי' אות </w:t>
      </w:r>
      <w:r w:rsidRPr="00BD7E6B">
        <w:rPr>
          <w:rStyle w:val="af7"/>
          <w:rFonts w:eastAsia="Guttman Hodes"/>
          <w:rtl/>
        </w:rPr>
        <w:fldChar w:fldCharType="begin"/>
      </w:r>
      <w:r w:rsidRPr="00BD7E6B">
        <w:rPr>
          <w:rStyle w:val="af7"/>
          <w:rFonts w:eastAsia="Guttman Hodes"/>
          <w:rtl/>
        </w:rPr>
        <w:instrText xml:space="preserve"> </w:instrText>
      </w:r>
      <w:r w:rsidRPr="00BD7E6B">
        <w:rPr>
          <w:rStyle w:val="af7"/>
          <w:rFonts w:eastAsia="Guttman Hodes" w:hint="cs"/>
        </w:rPr>
        <w:instrText>REF</w:instrText>
      </w:r>
      <w:r w:rsidRPr="00BD7E6B">
        <w:rPr>
          <w:rStyle w:val="af7"/>
          <w:rFonts w:eastAsia="Guttman Hodes" w:hint="cs"/>
          <w:rtl/>
        </w:rPr>
        <w:instrText xml:space="preserve"> _</w:instrText>
      </w:r>
      <w:r w:rsidRPr="00BD7E6B">
        <w:rPr>
          <w:rStyle w:val="af7"/>
          <w:rFonts w:eastAsia="Guttman Hodes" w:hint="cs"/>
        </w:rPr>
        <w:instrText>Ref522101068 \r \h</w:instrText>
      </w:r>
      <w:r w:rsidRPr="00BD7E6B">
        <w:rPr>
          <w:rStyle w:val="af7"/>
          <w:rFonts w:eastAsia="Guttman Hodes"/>
          <w:rtl/>
        </w:rPr>
        <w:instrText xml:space="preserve"> </w:instrText>
      </w:r>
      <w:r w:rsidRPr="00BD7E6B">
        <w:rPr>
          <w:rStyle w:val="af7"/>
          <w:rFonts w:eastAsia="Guttman Hodes"/>
          <w:rtl/>
        </w:rPr>
      </w:r>
      <w:r w:rsidRPr="00BD7E6B">
        <w:rPr>
          <w:rStyle w:val="af7"/>
          <w:rFonts w:eastAsia="Guttman Hodes"/>
          <w:rtl/>
        </w:rPr>
        <w:fldChar w:fldCharType="separate"/>
      </w:r>
      <w:r w:rsidR="00345400">
        <w:rPr>
          <w:rStyle w:val="af7"/>
          <w:rFonts w:eastAsia="Guttman Hodes"/>
          <w:cs/>
        </w:rPr>
        <w:t>‎</w:t>
      </w:r>
      <w:r w:rsidR="00345400">
        <w:rPr>
          <w:rStyle w:val="af7"/>
          <w:rFonts w:eastAsia="Guttman Hodes"/>
          <w:rtl/>
        </w:rPr>
        <w:t>סא)</w:t>
      </w:r>
      <w:r w:rsidRPr="00BD7E6B">
        <w:rPr>
          <w:rStyle w:val="af7"/>
          <w:rFonts w:eastAsia="Guttman Hodes"/>
          <w:rtl/>
        </w:rPr>
        <w:fldChar w:fldCharType="end"/>
      </w:r>
      <w:r>
        <w:rPr>
          <w:rFonts w:hint="cs"/>
          <w:rtl/>
        </w:rPr>
        <w:t>.</w:t>
      </w:r>
    </w:p>
    <w:p w14:paraId="2BC933C8" w14:textId="77777777" w:rsidR="00852065" w:rsidRPr="009E2257" w:rsidRDefault="00852065" w:rsidP="00BF39B2">
      <w:pPr>
        <w:pStyle w:val="1"/>
        <w:rPr>
          <w:rtl/>
        </w:rPr>
      </w:pPr>
      <w:bookmarkStart w:id="478" w:name="_Toc522086175"/>
      <w:bookmarkStart w:id="479" w:name="_Toc522099595"/>
      <w:bookmarkStart w:id="480" w:name="_Toc19388910"/>
      <w:bookmarkStart w:id="481" w:name="_Toc19392407"/>
      <w:r w:rsidRPr="009E2257">
        <w:rPr>
          <w:rFonts w:hint="cs"/>
          <w:rtl/>
        </w:rPr>
        <w:t>דעת הרא"ש בתשו'</w:t>
      </w:r>
      <w:bookmarkEnd w:id="402"/>
      <w:r w:rsidRPr="00CB0DF6">
        <w:rPr>
          <w:rFonts w:hint="cs"/>
          <w:rtl/>
        </w:rPr>
        <w:t xml:space="preserve"> </w:t>
      </w:r>
      <w:r>
        <w:rPr>
          <w:rFonts w:hint="cs"/>
          <w:rtl/>
        </w:rPr>
        <w:t>ורבינו יחיאל</w:t>
      </w:r>
      <w:bookmarkEnd w:id="478"/>
      <w:bookmarkEnd w:id="479"/>
      <w:bookmarkEnd w:id="480"/>
      <w:bookmarkEnd w:id="481"/>
    </w:p>
    <w:p w14:paraId="60D449E9" w14:textId="77777777" w:rsidR="00852065" w:rsidRPr="009E2257" w:rsidRDefault="00852065" w:rsidP="006D6D32">
      <w:pPr>
        <w:pStyle w:val="a3"/>
        <w:rPr>
          <w:rtl/>
        </w:rPr>
      </w:pPr>
      <w:bookmarkStart w:id="482" w:name="_Toc522086176"/>
      <w:bookmarkStart w:id="483" w:name="_Toc522099596"/>
      <w:bookmarkStart w:id="484" w:name="_Toc19388911"/>
      <w:bookmarkStart w:id="485" w:name="_Toc19392408"/>
      <w:r>
        <w:rPr>
          <w:rFonts w:hint="cs"/>
          <w:rtl/>
        </w:rPr>
        <w:t>קושית רבינו יחיאל אמאי אינה מותרת לגמרי מדין רוב מצויין אצל שחיטה מומחין</w:t>
      </w:r>
      <w:bookmarkEnd w:id="482"/>
      <w:bookmarkEnd w:id="483"/>
      <w:bookmarkEnd w:id="484"/>
      <w:bookmarkEnd w:id="485"/>
    </w:p>
    <w:p w14:paraId="4B2449B5" w14:textId="77777777" w:rsidR="00852065" w:rsidRPr="00412B92" w:rsidRDefault="00852065" w:rsidP="00223668">
      <w:pPr>
        <w:pStyle w:val="a0"/>
        <w:rPr>
          <w:rStyle w:val="afb"/>
          <w:rtl/>
        </w:rPr>
      </w:pPr>
      <w:r w:rsidRPr="009E2257">
        <w:rPr>
          <w:rFonts w:hint="cs"/>
          <w:rtl/>
        </w:rPr>
        <w:t>הקשה</w:t>
      </w:r>
      <w:r w:rsidRPr="00412B92">
        <w:rPr>
          <w:rStyle w:val="af9"/>
          <w:rFonts w:hint="cs"/>
          <w:rtl/>
        </w:rPr>
        <w:t xml:space="preserve"> רבינו יחיאל בן הרא"ש</w:t>
      </w:r>
      <w:r w:rsidRPr="00412B92">
        <w:rPr>
          <w:rStyle w:val="af7"/>
          <w:rFonts w:eastAsia="Guttman Hodes" w:hint="cs"/>
          <w:rtl/>
        </w:rPr>
        <w:t xml:space="preserve"> (שו</w:t>
      </w:r>
      <w:r>
        <w:rPr>
          <w:rStyle w:val="af7"/>
          <w:rFonts w:eastAsia="Guttman Hodes" w:hint="cs"/>
          <w:rtl/>
        </w:rPr>
        <w:t>"</w:t>
      </w:r>
      <w:r w:rsidRPr="00412B92">
        <w:rPr>
          <w:rStyle w:val="af7"/>
          <w:rFonts w:eastAsia="Guttman Hodes" w:hint="cs"/>
          <w:rtl/>
        </w:rPr>
        <w:t xml:space="preserve">ת הרא"ש כלל כ' סי' י"ד) </w:t>
      </w:r>
      <w:r w:rsidRPr="00175EF2">
        <w:rPr>
          <w:rStyle w:val="af9"/>
          <w:rFonts w:hint="cs"/>
          <w:rtl/>
        </w:rPr>
        <w:t>להרא"ש</w:t>
      </w:r>
      <w:r w:rsidRPr="009E2257">
        <w:rPr>
          <w:rFonts w:hint="cs"/>
          <w:rtl/>
        </w:rPr>
        <w:t xml:space="preserve"> דבין לר"א ב"ר ינאי דהיא כטריפה ובין לברייתא דהיא נבילה, מחמת חזקה דרב הונא, הא כיון דרוב מצויין אצל שחיטה מומחין הן, א"כ אמאי לא אזלינן בתר הרוב, דהא רובא וחזקה רובא</w:t>
      </w:r>
      <w:r>
        <w:rPr>
          <w:rFonts w:hint="cs"/>
          <w:rtl/>
        </w:rPr>
        <w:t xml:space="preserve"> עדיף, </w:t>
      </w:r>
      <w:r w:rsidRPr="00412B92">
        <w:rPr>
          <w:rStyle w:val="afb"/>
          <w:rFonts w:hint="cs"/>
          <w:rtl/>
        </w:rPr>
        <w:t xml:space="preserve">[וכעין דברי </w:t>
      </w:r>
      <w:r w:rsidRPr="00412B92">
        <w:rPr>
          <w:rStyle w:val="affa"/>
          <w:rFonts w:hint="cs"/>
          <w:rtl/>
        </w:rPr>
        <w:t>התוס'</w:t>
      </w:r>
      <w:r w:rsidRPr="00412B92">
        <w:rPr>
          <w:rStyle w:val="afb"/>
          <w:rFonts w:hint="cs"/>
          <w:rtl/>
        </w:rPr>
        <w:t xml:space="preserve"> </w:t>
      </w:r>
      <w:r w:rsidRPr="00107988">
        <w:rPr>
          <w:rStyle w:val="aff6"/>
          <w:rFonts w:hint="cs"/>
          <w:rtl/>
        </w:rPr>
        <w:t xml:space="preserve">(עי' אות </w:t>
      </w:r>
      <w:r w:rsidRPr="00107988">
        <w:rPr>
          <w:rStyle w:val="aff6"/>
          <w:rtl/>
        </w:rPr>
        <w:fldChar w:fldCharType="begin"/>
      </w:r>
      <w:r w:rsidRPr="00107988">
        <w:rPr>
          <w:rStyle w:val="aff6"/>
          <w:rtl/>
        </w:rPr>
        <w:instrText xml:space="preserve"> </w:instrText>
      </w:r>
      <w:r w:rsidRPr="00107988">
        <w:rPr>
          <w:rStyle w:val="aff6"/>
          <w:rFonts w:hint="cs"/>
        </w:rPr>
        <w:instrText>REF</w:instrText>
      </w:r>
      <w:r w:rsidRPr="00107988">
        <w:rPr>
          <w:rStyle w:val="aff6"/>
          <w:rFonts w:hint="cs"/>
          <w:rtl/>
        </w:rPr>
        <w:instrText xml:space="preserve"> _</w:instrText>
      </w:r>
      <w:r w:rsidRPr="00107988">
        <w:rPr>
          <w:rStyle w:val="aff6"/>
          <w:rFonts w:hint="cs"/>
        </w:rPr>
        <w:instrText>Ref522101098 \r \h</w:instrText>
      </w:r>
      <w:r w:rsidRPr="00107988">
        <w:rPr>
          <w:rStyle w:val="aff6"/>
          <w:rtl/>
        </w:rPr>
        <w:instrText xml:space="preserve"> </w:instrText>
      </w:r>
      <w:r w:rsidRPr="00107988">
        <w:rPr>
          <w:rStyle w:val="aff6"/>
          <w:rtl/>
        </w:rPr>
      </w:r>
      <w:r w:rsidRPr="00107988">
        <w:rPr>
          <w:rStyle w:val="aff6"/>
          <w:rtl/>
        </w:rPr>
        <w:fldChar w:fldCharType="separate"/>
      </w:r>
      <w:r w:rsidR="00345400">
        <w:rPr>
          <w:rStyle w:val="aff6"/>
          <w:cs/>
        </w:rPr>
        <w:t>‎</w:t>
      </w:r>
      <w:r w:rsidR="00345400">
        <w:rPr>
          <w:rStyle w:val="aff6"/>
          <w:rtl/>
        </w:rPr>
        <w:t>כה)</w:t>
      </w:r>
      <w:r w:rsidRPr="00107988">
        <w:rPr>
          <w:rStyle w:val="aff6"/>
          <w:rtl/>
        </w:rPr>
        <w:fldChar w:fldCharType="end"/>
      </w:r>
      <w:r w:rsidRPr="00412B92">
        <w:rPr>
          <w:rStyle w:val="afb"/>
          <w:rFonts w:hint="cs"/>
          <w:rtl/>
        </w:rPr>
        <w:t>.</w:t>
      </w:r>
    </w:p>
    <w:p w14:paraId="4A2C8B55" w14:textId="77777777" w:rsidR="00852065" w:rsidRDefault="00852065" w:rsidP="006D6D32">
      <w:pPr>
        <w:pStyle w:val="a3"/>
        <w:rPr>
          <w:rtl/>
        </w:rPr>
      </w:pPr>
      <w:bookmarkStart w:id="486" w:name="_Toc522086177"/>
      <w:bookmarkStart w:id="487" w:name="_Toc522099597"/>
      <w:bookmarkStart w:id="488" w:name="_Toc19388912"/>
      <w:bookmarkStart w:id="489" w:name="_Toc19392409"/>
      <w:r>
        <w:rPr>
          <w:rFonts w:hint="cs"/>
          <w:rtl/>
        </w:rPr>
        <w:t>דברי רבינו יחיאל בשם הראבי"ה דבשחט לפנינו סמכינן על הרוב ששחט כראוי</w:t>
      </w:r>
      <w:bookmarkEnd w:id="486"/>
      <w:bookmarkEnd w:id="487"/>
      <w:bookmarkEnd w:id="488"/>
      <w:bookmarkEnd w:id="489"/>
    </w:p>
    <w:p w14:paraId="29EA08E8" w14:textId="77777777" w:rsidR="00852065" w:rsidRDefault="00852065" w:rsidP="00223668">
      <w:pPr>
        <w:pStyle w:val="a0"/>
        <w:rPr>
          <w:rtl/>
        </w:rPr>
      </w:pPr>
      <w:r>
        <w:rPr>
          <w:rFonts w:hint="cs"/>
          <w:rtl/>
        </w:rPr>
        <w:t xml:space="preserve">והביא </w:t>
      </w:r>
      <w:r w:rsidRPr="00412B92">
        <w:rPr>
          <w:rStyle w:val="af9"/>
          <w:rFonts w:hint="cs"/>
          <w:rtl/>
        </w:rPr>
        <w:t xml:space="preserve">רבינו יחיאל בן הרא"ש </w:t>
      </w:r>
      <w:r>
        <w:rPr>
          <w:rFonts w:hint="cs"/>
          <w:rtl/>
        </w:rPr>
        <w:t xml:space="preserve">בשם </w:t>
      </w:r>
      <w:r w:rsidRPr="00412B92">
        <w:rPr>
          <w:rStyle w:val="af9"/>
          <w:rFonts w:hint="cs"/>
          <w:rtl/>
        </w:rPr>
        <w:t xml:space="preserve">הראבי"ה </w:t>
      </w:r>
      <w:r>
        <w:rPr>
          <w:rFonts w:hint="cs"/>
          <w:rtl/>
        </w:rPr>
        <w:t>דכל הדין דבלא בדק אסורה באכילה, הוא דוקא כשהשוחט לפנינו ואינו יודע לומר אם שחט כראוי, אבל אם השוחט לא לפנינו, כיון שאין כל ריעותא בשחיטה סמכינן על הרוב ומותר, דמסתמא בדק את הסימנים אחר השחיטה.</w:t>
      </w:r>
    </w:p>
    <w:p w14:paraId="12647BA2" w14:textId="77777777" w:rsidR="00852065" w:rsidRDefault="00852065" w:rsidP="006D6D32">
      <w:pPr>
        <w:pStyle w:val="a3"/>
        <w:rPr>
          <w:rtl/>
        </w:rPr>
      </w:pPr>
      <w:bookmarkStart w:id="490" w:name="_Toc522086178"/>
      <w:bookmarkStart w:id="491" w:name="_Toc522099598"/>
      <w:bookmarkStart w:id="492" w:name="_Toc19388913"/>
      <w:bookmarkStart w:id="493" w:name="_Toc19392410"/>
      <w:r>
        <w:rPr>
          <w:rFonts w:hint="cs"/>
          <w:rtl/>
        </w:rPr>
        <w:t>דברי הרא"ש בתשו' דבדיקה היא מדיני שחיטה וכל שלא בדק אינו בכלל הרוב מומחין</w:t>
      </w:r>
      <w:bookmarkEnd w:id="490"/>
      <w:bookmarkEnd w:id="491"/>
      <w:bookmarkEnd w:id="492"/>
      <w:bookmarkEnd w:id="493"/>
    </w:p>
    <w:p w14:paraId="33E7B70A" w14:textId="77777777" w:rsidR="00852065" w:rsidRDefault="00852065" w:rsidP="00223668">
      <w:pPr>
        <w:pStyle w:val="a0"/>
        <w:rPr>
          <w:rtl/>
        </w:rPr>
      </w:pPr>
      <w:bookmarkStart w:id="494" w:name="_Ref522110597"/>
      <w:r>
        <w:rPr>
          <w:rFonts w:hint="cs"/>
          <w:rtl/>
        </w:rPr>
        <w:t xml:space="preserve">והשיב </w:t>
      </w:r>
      <w:r w:rsidRPr="00412B92">
        <w:rPr>
          <w:rStyle w:val="af9"/>
          <w:rFonts w:hint="cs"/>
          <w:rtl/>
        </w:rPr>
        <w:t>הרא"ש</w:t>
      </w:r>
      <w:r>
        <w:rPr>
          <w:rFonts w:hint="cs"/>
          <w:rtl/>
        </w:rPr>
        <w:t xml:space="preserve"> דכיון דהדין שצריך לבדוק את הסימנים אחר השחיטה, הוא חלק מדיני השחיטה, א"כ דין זה כלול ברוב, דרוב מצויין אצל שחיטה הם מומחים ובודקים את הסימנים, ולכן כשהשוחט אינו לפנינו סמכינן שבדק כראוי, אבל כשהשוחיט לפנינו ואומר שלא בדק בסימנים, הוא מודה שלא שחט כדין, ולכן לא יצאה הבהמה מחזקת אינה זבוחה.</w:t>
      </w:r>
      <w:bookmarkEnd w:id="494"/>
    </w:p>
    <w:p w14:paraId="5B65D585" w14:textId="77777777" w:rsidR="00852065" w:rsidRDefault="00852065" w:rsidP="006D6D32">
      <w:pPr>
        <w:pStyle w:val="a3"/>
        <w:rPr>
          <w:rtl/>
        </w:rPr>
      </w:pPr>
      <w:bookmarkStart w:id="495" w:name="_Toc522086179"/>
      <w:bookmarkStart w:id="496" w:name="_Toc522099599"/>
      <w:bookmarkStart w:id="497" w:name="_Toc19388914"/>
      <w:bookmarkStart w:id="498" w:name="_Toc19392411"/>
      <w:r>
        <w:rPr>
          <w:rFonts w:hint="cs"/>
          <w:rtl/>
        </w:rPr>
        <w:t>דברי הרא"ש דלא מצינו שיש רוב דשוחטים את הסימנים כראוי</w:t>
      </w:r>
      <w:bookmarkEnd w:id="495"/>
      <w:bookmarkEnd w:id="496"/>
      <w:bookmarkEnd w:id="497"/>
      <w:bookmarkEnd w:id="498"/>
    </w:p>
    <w:p w14:paraId="6CBD35D1" w14:textId="77777777" w:rsidR="00852065" w:rsidRDefault="00852065" w:rsidP="00223668">
      <w:pPr>
        <w:pStyle w:val="a0"/>
        <w:rPr>
          <w:rtl/>
        </w:rPr>
      </w:pPr>
      <w:bookmarkStart w:id="499" w:name="_Ref522108382"/>
      <w:r>
        <w:rPr>
          <w:rFonts w:hint="cs"/>
          <w:rtl/>
        </w:rPr>
        <w:t xml:space="preserve">והוסיף </w:t>
      </w:r>
      <w:r w:rsidRPr="00412B92">
        <w:rPr>
          <w:rStyle w:val="af9"/>
          <w:rFonts w:hint="cs"/>
          <w:rtl/>
        </w:rPr>
        <w:t>הרא"ש</w:t>
      </w:r>
      <w:r>
        <w:rPr>
          <w:rFonts w:hint="cs"/>
          <w:rtl/>
        </w:rPr>
        <w:t xml:space="preserve"> דלא מצינו שיש רוב, דרוב השוחטים שוחטים את רוב הסימנים כראוי, שיהיה אפשר לסמוך על רוב זה להוציא מהחזקה,.</w:t>
      </w:r>
      <w:bookmarkEnd w:id="499"/>
    </w:p>
    <w:p w14:paraId="31C67F59" w14:textId="77777777" w:rsidR="00852065" w:rsidRPr="00D51519" w:rsidRDefault="00852065" w:rsidP="006D6D32">
      <w:pPr>
        <w:pStyle w:val="a3"/>
        <w:rPr>
          <w:rtl/>
        </w:rPr>
      </w:pPr>
      <w:bookmarkStart w:id="500" w:name="_Toc522086180"/>
      <w:bookmarkStart w:id="501" w:name="_Toc522099600"/>
      <w:bookmarkStart w:id="502" w:name="_Toc19388915"/>
      <w:bookmarkStart w:id="503" w:name="_Toc19392412"/>
      <w:r>
        <w:rPr>
          <w:rFonts w:hint="cs"/>
          <w:rtl/>
        </w:rPr>
        <w:t>דברי הבינת אדם דס"ל להרא"ש דהיא ספק נבילה מדאו'</w:t>
      </w:r>
      <w:bookmarkEnd w:id="500"/>
      <w:bookmarkEnd w:id="501"/>
      <w:bookmarkEnd w:id="502"/>
      <w:bookmarkEnd w:id="503"/>
    </w:p>
    <w:p w14:paraId="27104CE1" w14:textId="77777777" w:rsidR="00852065" w:rsidRPr="00534C78" w:rsidRDefault="00852065" w:rsidP="00223668">
      <w:pPr>
        <w:pStyle w:val="a0"/>
        <w:rPr>
          <w:rtl/>
        </w:rPr>
      </w:pPr>
      <w:bookmarkStart w:id="504" w:name="_Ref522110569"/>
      <w:r>
        <w:rPr>
          <w:rFonts w:hint="cs"/>
          <w:rtl/>
        </w:rPr>
        <w:t xml:space="preserve">וכתב </w:t>
      </w:r>
      <w:r w:rsidRPr="008315B6">
        <w:rPr>
          <w:rStyle w:val="af9"/>
          <w:rFonts w:hint="cs"/>
          <w:rtl/>
        </w:rPr>
        <w:t>הבינת אדם</w:t>
      </w:r>
      <w:r>
        <w:rPr>
          <w:rFonts w:hint="cs"/>
          <w:rtl/>
        </w:rPr>
        <w:t xml:space="preserve"> </w:t>
      </w:r>
      <w:r w:rsidRPr="008315B6">
        <w:rPr>
          <w:rStyle w:val="af7"/>
          <w:rFonts w:eastAsia="Guttman Hodes" w:hint="cs"/>
          <w:rtl/>
        </w:rPr>
        <w:t>(שער רוב וחזקה א' ד"ה ועל כן)</w:t>
      </w:r>
      <w:r>
        <w:rPr>
          <w:rFonts w:hint="cs"/>
          <w:rtl/>
        </w:rPr>
        <w:t xml:space="preserve"> דלדעת </w:t>
      </w:r>
      <w:r w:rsidRPr="008315B6">
        <w:rPr>
          <w:rStyle w:val="af9"/>
          <w:rFonts w:hint="cs"/>
          <w:rtl/>
        </w:rPr>
        <w:t>הרא"ש</w:t>
      </w:r>
      <w:r>
        <w:rPr>
          <w:rFonts w:hint="cs"/>
          <w:rtl/>
        </w:rPr>
        <w:t xml:space="preserve"> היא ספק נבילה מדאו'.</w:t>
      </w:r>
      <w:r w:rsidRPr="008315B6">
        <w:rPr>
          <w:rFonts w:hint="cs"/>
          <w:rtl/>
        </w:rPr>
        <w:t xml:space="preserve"> </w:t>
      </w:r>
      <w:r>
        <w:rPr>
          <w:rFonts w:hint="cs"/>
          <w:rtl/>
        </w:rPr>
        <w:t xml:space="preserve">וכן מבואר </w:t>
      </w:r>
      <w:r w:rsidRPr="008315B6">
        <w:rPr>
          <w:rStyle w:val="af9"/>
          <w:rFonts w:hint="cs"/>
          <w:rtl/>
        </w:rPr>
        <w:t>במרדכי בתירוצו השני</w:t>
      </w:r>
      <w:r>
        <w:rPr>
          <w:rFonts w:hint="cs"/>
          <w:rtl/>
        </w:rPr>
        <w:t xml:space="preserve"> </w:t>
      </w:r>
      <w:r w:rsidRPr="009F0C8D">
        <w:rPr>
          <w:rStyle w:val="af7"/>
          <w:rFonts w:eastAsia="Guttman Hodes" w:hint="cs"/>
          <w:rtl/>
        </w:rPr>
        <w:t xml:space="preserve">(עי' אות </w:t>
      </w:r>
      <w:r w:rsidRPr="009F0C8D">
        <w:rPr>
          <w:rStyle w:val="af7"/>
          <w:rFonts w:eastAsia="Guttman Hodes"/>
          <w:rtl/>
        </w:rPr>
        <w:fldChar w:fldCharType="begin"/>
      </w:r>
      <w:r w:rsidRPr="009F0C8D">
        <w:rPr>
          <w:rStyle w:val="af7"/>
          <w:rFonts w:eastAsia="Guttman Hodes"/>
          <w:rtl/>
        </w:rPr>
        <w:instrText xml:space="preserve"> </w:instrText>
      </w:r>
      <w:r w:rsidRPr="009F0C8D">
        <w:rPr>
          <w:rStyle w:val="af7"/>
          <w:rFonts w:eastAsia="Guttman Hodes" w:hint="cs"/>
        </w:rPr>
        <w:instrText>REF</w:instrText>
      </w:r>
      <w:r w:rsidRPr="009F0C8D">
        <w:rPr>
          <w:rStyle w:val="af7"/>
          <w:rFonts w:eastAsia="Guttman Hodes" w:hint="cs"/>
          <w:rtl/>
        </w:rPr>
        <w:instrText xml:space="preserve"> _</w:instrText>
      </w:r>
      <w:r w:rsidRPr="009F0C8D">
        <w:rPr>
          <w:rStyle w:val="af7"/>
          <w:rFonts w:eastAsia="Guttman Hodes" w:hint="cs"/>
        </w:rPr>
        <w:instrText>Ref522108347 \r \h</w:instrText>
      </w:r>
      <w:r w:rsidRPr="009F0C8D">
        <w:rPr>
          <w:rStyle w:val="af7"/>
          <w:rFonts w:eastAsia="Guttman Hodes"/>
          <w:rtl/>
        </w:rPr>
        <w:instrText xml:space="preserve"> </w:instrText>
      </w:r>
      <w:r w:rsidRPr="009F0C8D">
        <w:rPr>
          <w:rStyle w:val="af7"/>
          <w:rFonts w:eastAsia="Guttman Hodes"/>
          <w:rtl/>
        </w:rPr>
      </w:r>
      <w:r w:rsidRPr="009F0C8D">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9F0C8D">
        <w:rPr>
          <w:rStyle w:val="af7"/>
          <w:rFonts w:eastAsia="Guttman Hodes"/>
          <w:rtl/>
        </w:rPr>
        <w:fldChar w:fldCharType="end"/>
      </w:r>
      <w:r>
        <w:rPr>
          <w:rFonts w:hint="cs"/>
          <w:rtl/>
        </w:rPr>
        <w:t xml:space="preserve"> דכתב שאין רוב ברור ששחט כראוי.</w:t>
      </w:r>
      <w:bookmarkEnd w:id="504"/>
    </w:p>
    <w:p w14:paraId="37621B85" w14:textId="77777777" w:rsidR="00852065" w:rsidRPr="00491AE0" w:rsidRDefault="00852065" w:rsidP="00BF39B2">
      <w:pPr>
        <w:pStyle w:val="1"/>
        <w:rPr>
          <w:rtl/>
        </w:rPr>
      </w:pPr>
      <w:bookmarkStart w:id="505" w:name="_Toc522028148"/>
      <w:bookmarkStart w:id="506" w:name="_Toc522086181"/>
      <w:bookmarkStart w:id="507" w:name="_Toc522099601"/>
      <w:bookmarkStart w:id="508" w:name="_Toc19388916"/>
      <w:bookmarkStart w:id="509" w:name="_Toc19392413"/>
      <w:r>
        <w:rPr>
          <w:rFonts w:hint="cs"/>
          <w:rtl/>
        </w:rPr>
        <w:t>דעת המרדכי דלא אזלינן בתר רובא</w:t>
      </w:r>
      <w:bookmarkEnd w:id="505"/>
      <w:bookmarkEnd w:id="506"/>
      <w:bookmarkEnd w:id="507"/>
      <w:bookmarkEnd w:id="508"/>
      <w:bookmarkEnd w:id="509"/>
    </w:p>
    <w:p w14:paraId="49C6979B" w14:textId="77777777" w:rsidR="00852065" w:rsidRDefault="00852065" w:rsidP="006D6D32">
      <w:pPr>
        <w:pStyle w:val="a3"/>
        <w:rPr>
          <w:rtl/>
        </w:rPr>
      </w:pPr>
      <w:bookmarkStart w:id="510" w:name="_Toc522086182"/>
      <w:bookmarkStart w:id="511" w:name="_Toc522099602"/>
      <w:bookmarkStart w:id="512" w:name="_Toc19388917"/>
      <w:bookmarkStart w:id="513" w:name="_Toc19392414"/>
      <w:r>
        <w:rPr>
          <w:rFonts w:hint="cs"/>
          <w:rtl/>
        </w:rPr>
        <w:t>התירוץ הראשון במרדכי דלא אזלינן בתר רוב דסמכינן את המיעוט לחזקה</w:t>
      </w:r>
      <w:bookmarkEnd w:id="510"/>
      <w:bookmarkEnd w:id="511"/>
      <w:bookmarkEnd w:id="512"/>
      <w:bookmarkEnd w:id="513"/>
    </w:p>
    <w:p w14:paraId="62B2EA6D" w14:textId="77777777" w:rsidR="00852065" w:rsidRDefault="00852065" w:rsidP="00223668">
      <w:pPr>
        <w:pStyle w:val="a0"/>
        <w:rPr>
          <w:rtl/>
        </w:rPr>
      </w:pPr>
      <w:bookmarkStart w:id="514" w:name="_Ref522100704"/>
      <w:r>
        <w:rPr>
          <w:rStyle w:val="af9"/>
          <w:rFonts w:hint="cs"/>
          <w:rtl/>
        </w:rPr>
        <w:t>ו</w:t>
      </w:r>
      <w:r w:rsidRPr="00240718">
        <w:rPr>
          <w:rStyle w:val="af9"/>
          <w:rFonts w:hint="cs"/>
          <w:rtl/>
        </w:rPr>
        <w:t>המרדכי</w:t>
      </w:r>
      <w:r>
        <w:rPr>
          <w:rStyle w:val="af9"/>
          <w:rFonts w:hint="cs"/>
          <w:rtl/>
        </w:rPr>
        <w:t xml:space="preserve"> בתירוצו הראשון</w:t>
      </w:r>
      <w:r>
        <w:rPr>
          <w:rFonts w:hint="cs"/>
          <w:rtl/>
        </w:rPr>
        <w:t xml:space="preserve"> </w:t>
      </w:r>
      <w:r w:rsidRPr="00240718">
        <w:rPr>
          <w:rStyle w:val="af7"/>
          <w:rFonts w:eastAsia="Guttman Hodes" w:hint="cs"/>
          <w:rtl/>
        </w:rPr>
        <w:t xml:space="preserve">(תקע"ח) </w:t>
      </w:r>
      <w:r>
        <w:rPr>
          <w:rFonts w:hint="cs"/>
          <w:rtl/>
        </w:rPr>
        <w:t>כתב דר"א ב"ר ינאי ס"ל דמדינא היא טמאה כנבילה, ולא אזלינן בתר הרוב ששוחטין את רוב הסימנים, כיון שהבהמה בחזקת איסור עומדת, אמרינן סמוך מיעוטא שלא נשחטו רובן לחזקת איסור ואסורה.</w:t>
      </w:r>
      <w:bookmarkEnd w:id="514"/>
    </w:p>
    <w:p w14:paraId="04D83EA1" w14:textId="77777777" w:rsidR="00852065" w:rsidRPr="00F7440E" w:rsidRDefault="00852065" w:rsidP="006D6D32">
      <w:pPr>
        <w:pStyle w:val="a3"/>
      </w:pPr>
      <w:bookmarkStart w:id="515" w:name="_Toc522086183"/>
      <w:bookmarkStart w:id="516" w:name="_Toc522099603"/>
      <w:bookmarkStart w:id="517" w:name="_Toc19388918"/>
      <w:bookmarkStart w:id="518" w:name="_Toc19392415"/>
      <w:r>
        <w:rPr>
          <w:rFonts w:hint="cs"/>
          <w:rtl/>
        </w:rPr>
        <w:t>התירוץ השני במרדכי דאין רוב מבורר שנשחטו רוב הסימנים</w:t>
      </w:r>
      <w:bookmarkEnd w:id="515"/>
      <w:bookmarkEnd w:id="516"/>
      <w:bookmarkEnd w:id="517"/>
      <w:bookmarkEnd w:id="518"/>
    </w:p>
    <w:p w14:paraId="76E75098" w14:textId="77777777" w:rsidR="00852065" w:rsidRDefault="00852065" w:rsidP="00223668">
      <w:pPr>
        <w:pStyle w:val="a0"/>
        <w:rPr>
          <w:rtl/>
        </w:rPr>
      </w:pPr>
      <w:bookmarkStart w:id="519" w:name="_Ref522108347"/>
      <w:r>
        <w:rPr>
          <w:rFonts w:hint="cs"/>
          <w:rtl/>
        </w:rPr>
        <w:t>ועו"כ</w:t>
      </w:r>
      <w:r w:rsidRPr="00240718">
        <w:rPr>
          <w:rStyle w:val="af9"/>
          <w:rFonts w:hint="cs"/>
          <w:rtl/>
        </w:rPr>
        <w:t xml:space="preserve"> המרדכי</w:t>
      </w:r>
      <w:r>
        <w:rPr>
          <w:rFonts w:hint="cs"/>
          <w:rtl/>
        </w:rPr>
        <w:t xml:space="preserve"> </w:t>
      </w:r>
      <w:r>
        <w:rPr>
          <w:rStyle w:val="af9"/>
          <w:rFonts w:hint="cs"/>
          <w:rtl/>
        </w:rPr>
        <w:t>בתירוצו השני</w:t>
      </w:r>
      <w:r>
        <w:rPr>
          <w:rFonts w:hint="cs"/>
          <w:rtl/>
        </w:rPr>
        <w:t xml:space="preserve"> דהרוב ששוחטין את רוב הסימנים אינו רוב מבורר, דיש הרבה פעמים שלא נשחטו רוב הסימנים</w:t>
      </w:r>
      <w:bookmarkStart w:id="520" w:name="_Ref521924385"/>
      <w:r>
        <w:rPr>
          <w:rFonts w:hint="cs"/>
          <w:rtl/>
        </w:rPr>
        <w:t xml:space="preserve">, [וכ"כ </w:t>
      </w:r>
      <w:r w:rsidRPr="00EF4CA1">
        <w:rPr>
          <w:rStyle w:val="af9"/>
          <w:rFonts w:hint="cs"/>
          <w:rtl/>
        </w:rPr>
        <w:t>הרא"ש בתשו'</w:t>
      </w:r>
      <w:r>
        <w:rPr>
          <w:rFonts w:hint="cs"/>
          <w:rtl/>
        </w:rPr>
        <w:t xml:space="preserve"> </w:t>
      </w:r>
      <w:r w:rsidRPr="009F0C8D">
        <w:rPr>
          <w:rStyle w:val="af7"/>
          <w:rFonts w:eastAsia="Guttman Hodes" w:hint="cs"/>
          <w:rtl/>
        </w:rPr>
        <w:t xml:space="preserve">(עי' אות </w:t>
      </w:r>
      <w:r w:rsidRPr="009F0C8D">
        <w:rPr>
          <w:rStyle w:val="af7"/>
          <w:rFonts w:eastAsia="Guttman Hodes"/>
          <w:rtl/>
        </w:rPr>
        <w:fldChar w:fldCharType="begin"/>
      </w:r>
      <w:r w:rsidRPr="009F0C8D">
        <w:rPr>
          <w:rStyle w:val="af7"/>
          <w:rFonts w:eastAsia="Guttman Hodes"/>
          <w:rtl/>
        </w:rPr>
        <w:instrText xml:space="preserve"> </w:instrText>
      </w:r>
      <w:r w:rsidRPr="009F0C8D">
        <w:rPr>
          <w:rStyle w:val="af7"/>
          <w:rFonts w:eastAsia="Guttman Hodes" w:hint="cs"/>
        </w:rPr>
        <w:instrText>REF</w:instrText>
      </w:r>
      <w:r w:rsidRPr="009F0C8D">
        <w:rPr>
          <w:rStyle w:val="af7"/>
          <w:rFonts w:eastAsia="Guttman Hodes" w:hint="cs"/>
          <w:rtl/>
        </w:rPr>
        <w:instrText xml:space="preserve"> _</w:instrText>
      </w:r>
      <w:r w:rsidRPr="009F0C8D">
        <w:rPr>
          <w:rStyle w:val="af7"/>
          <w:rFonts w:eastAsia="Guttman Hodes" w:hint="cs"/>
        </w:rPr>
        <w:instrText>Ref522108382 \r \h</w:instrText>
      </w:r>
      <w:r w:rsidRPr="009F0C8D">
        <w:rPr>
          <w:rStyle w:val="af7"/>
          <w:rFonts w:eastAsia="Guttman Hodes"/>
          <w:rtl/>
        </w:rPr>
        <w:instrText xml:space="preserve"> </w:instrText>
      </w:r>
      <w:r w:rsidRPr="009F0C8D">
        <w:rPr>
          <w:rStyle w:val="af7"/>
          <w:rFonts w:eastAsia="Guttman Hodes"/>
          <w:rtl/>
        </w:rPr>
      </w:r>
      <w:r w:rsidRPr="009F0C8D">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9F0C8D">
        <w:rPr>
          <w:rStyle w:val="af7"/>
          <w:rFonts w:eastAsia="Guttman Hodes"/>
          <w:rtl/>
        </w:rPr>
        <w:fldChar w:fldCharType="end"/>
      </w:r>
      <w:r>
        <w:rPr>
          <w:rFonts w:hint="cs"/>
          <w:rtl/>
        </w:rPr>
        <w:t>]</w:t>
      </w:r>
      <w:r>
        <w:rPr>
          <w:rStyle w:val="af1"/>
          <w:rtl/>
        </w:rPr>
        <w:footnoteReference w:id="2"/>
      </w:r>
      <w:bookmarkEnd w:id="520"/>
      <w:r>
        <w:rPr>
          <w:rFonts w:hint="cs"/>
          <w:rtl/>
        </w:rPr>
        <w:t>.</w:t>
      </w:r>
      <w:bookmarkEnd w:id="519"/>
    </w:p>
    <w:p w14:paraId="230BDA92" w14:textId="77777777" w:rsidR="00852065" w:rsidRPr="00785FF4" w:rsidRDefault="00852065" w:rsidP="006D6D32">
      <w:pPr>
        <w:pStyle w:val="a3"/>
        <w:rPr>
          <w:rtl/>
        </w:rPr>
      </w:pPr>
      <w:bookmarkStart w:id="521" w:name="_Toc522086184"/>
      <w:bookmarkStart w:id="522" w:name="_Toc522099604"/>
      <w:bookmarkStart w:id="523" w:name="_Toc19388919"/>
      <w:bookmarkStart w:id="524" w:name="_Toc19392416"/>
      <w:r>
        <w:rPr>
          <w:rFonts w:hint="cs"/>
          <w:rtl/>
        </w:rPr>
        <w:t>דברי הבינת אדם דלתי' הראשון במרדכי אסורה מדרבנן ולתי' השני אסורה מדאו'</w:t>
      </w:r>
      <w:bookmarkEnd w:id="521"/>
      <w:bookmarkEnd w:id="522"/>
      <w:bookmarkEnd w:id="523"/>
      <w:bookmarkEnd w:id="524"/>
    </w:p>
    <w:p w14:paraId="18CCD68D" w14:textId="77777777" w:rsidR="00852065" w:rsidRDefault="00852065" w:rsidP="00223668">
      <w:pPr>
        <w:pStyle w:val="a0"/>
        <w:rPr>
          <w:rtl/>
        </w:rPr>
      </w:pPr>
      <w:r>
        <w:rPr>
          <w:rFonts w:hint="cs"/>
          <w:rtl/>
        </w:rPr>
        <w:t xml:space="preserve">וכתב </w:t>
      </w:r>
      <w:r w:rsidRPr="00240718">
        <w:rPr>
          <w:rStyle w:val="af9"/>
          <w:rFonts w:hint="cs"/>
          <w:rtl/>
        </w:rPr>
        <w:t>הבינת אדם</w:t>
      </w:r>
      <w:r>
        <w:rPr>
          <w:rFonts w:hint="cs"/>
          <w:rtl/>
        </w:rPr>
        <w:t xml:space="preserve"> </w:t>
      </w:r>
      <w:r w:rsidRPr="00240718">
        <w:rPr>
          <w:rStyle w:val="af7"/>
          <w:rFonts w:eastAsia="Guttman Hodes" w:hint="cs"/>
          <w:rtl/>
        </w:rPr>
        <w:t>(שער רוב וחזקה א' ד"ה ולפי"ז)</w:t>
      </w:r>
      <w:r>
        <w:rPr>
          <w:rFonts w:hint="cs"/>
          <w:rtl/>
        </w:rPr>
        <w:t xml:space="preserve"> </w:t>
      </w:r>
      <w:r>
        <w:rPr>
          <w:rStyle w:val="af9"/>
          <w:rFonts w:hint="cs"/>
          <w:rtl/>
        </w:rPr>
        <w:t>ל</w:t>
      </w:r>
      <w:r w:rsidRPr="00240718">
        <w:rPr>
          <w:rStyle w:val="af9"/>
          <w:rFonts w:hint="cs"/>
          <w:rtl/>
        </w:rPr>
        <w:t>המרדכי</w:t>
      </w:r>
      <w:r>
        <w:rPr>
          <w:rStyle w:val="af9"/>
          <w:rFonts w:hint="cs"/>
          <w:rtl/>
        </w:rPr>
        <w:t xml:space="preserve"> בתירוצו הראשון</w:t>
      </w:r>
      <w:r>
        <w:rPr>
          <w:rFonts w:hint="cs"/>
          <w:rtl/>
        </w:rPr>
        <w:t xml:space="preserve"> היא נבילה מדרבנן, וכדעת </w:t>
      </w:r>
      <w:r w:rsidRPr="00EC2343">
        <w:rPr>
          <w:rStyle w:val="af9"/>
          <w:rFonts w:hint="cs"/>
          <w:rtl/>
        </w:rPr>
        <w:t>התוס' והרשב"א</w:t>
      </w:r>
      <w:r w:rsidRPr="00D738CE">
        <w:rPr>
          <w:rStyle w:val="af7"/>
          <w:rFonts w:eastAsia="Guttman Hodes" w:hint="cs"/>
          <w:rtl/>
        </w:rPr>
        <w:t xml:space="preserve"> (עי' אות </w:t>
      </w:r>
      <w:r w:rsidRPr="00D738CE">
        <w:rPr>
          <w:rStyle w:val="af7"/>
          <w:rFonts w:eastAsia="Guttman Hodes"/>
          <w:rtl/>
        </w:rPr>
        <w:fldChar w:fldCharType="begin"/>
      </w:r>
      <w:r w:rsidRPr="00D738CE">
        <w:rPr>
          <w:rStyle w:val="af7"/>
          <w:rFonts w:eastAsia="Guttman Hodes"/>
          <w:rtl/>
        </w:rPr>
        <w:instrText xml:space="preserve"> </w:instrText>
      </w:r>
      <w:r w:rsidRPr="00D738CE">
        <w:rPr>
          <w:rStyle w:val="af7"/>
          <w:rFonts w:eastAsia="Guttman Hodes" w:hint="cs"/>
        </w:rPr>
        <w:instrText>REF</w:instrText>
      </w:r>
      <w:r w:rsidRPr="00D738CE">
        <w:rPr>
          <w:rStyle w:val="af7"/>
          <w:rFonts w:eastAsia="Guttman Hodes" w:hint="cs"/>
          <w:rtl/>
        </w:rPr>
        <w:instrText xml:space="preserve"> _</w:instrText>
      </w:r>
      <w:r w:rsidRPr="00D738CE">
        <w:rPr>
          <w:rStyle w:val="af7"/>
          <w:rFonts w:eastAsia="Guttman Hodes" w:hint="cs"/>
        </w:rPr>
        <w:instrText>Ref522101098 \r \h</w:instrText>
      </w:r>
      <w:r w:rsidRPr="00D738CE">
        <w:rPr>
          <w:rStyle w:val="af7"/>
          <w:rFonts w:eastAsia="Guttman Hodes"/>
          <w:rtl/>
        </w:rPr>
        <w:instrText xml:space="preserve"> </w:instrText>
      </w:r>
      <w:r w:rsidRPr="00D738CE">
        <w:rPr>
          <w:rStyle w:val="af7"/>
          <w:rFonts w:eastAsia="Guttman Hodes"/>
          <w:rtl/>
        </w:rPr>
      </w:r>
      <w:r w:rsidRPr="00D738CE">
        <w:rPr>
          <w:rStyle w:val="af7"/>
          <w:rFonts w:eastAsia="Guttman Hodes"/>
          <w:rtl/>
        </w:rPr>
        <w:fldChar w:fldCharType="separate"/>
      </w:r>
      <w:r w:rsidR="00345400">
        <w:rPr>
          <w:rStyle w:val="af7"/>
          <w:rFonts w:eastAsia="Guttman Hodes"/>
          <w:cs/>
        </w:rPr>
        <w:t>‎</w:t>
      </w:r>
      <w:r w:rsidR="00345400">
        <w:rPr>
          <w:rStyle w:val="af7"/>
          <w:rFonts w:eastAsia="Guttman Hodes"/>
          <w:rtl/>
        </w:rPr>
        <w:t>כה)</w:t>
      </w:r>
      <w:r w:rsidRPr="00D738CE">
        <w:rPr>
          <w:rStyle w:val="af7"/>
          <w:rFonts w:eastAsia="Guttman Hodes"/>
          <w:rtl/>
        </w:rPr>
        <w:fldChar w:fldCharType="end"/>
      </w:r>
      <w:r>
        <w:rPr>
          <w:rFonts w:hint="cs"/>
          <w:rtl/>
        </w:rPr>
        <w:t xml:space="preserve">, </w:t>
      </w:r>
      <w:r>
        <w:rPr>
          <w:rStyle w:val="af9"/>
          <w:rFonts w:hint="cs"/>
          <w:rtl/>
        </w:rPr>
        <w:t>ול</w:t>
      </w:r>
      <w:r w:rsidRPr="00240718">
        <w:rPr>
          <w:rStyle w:val="af9"/>
          <w:rFonts w:hint="cs"/>
          <w:rtl/>
        </w:rPr>
        <w:t>המרדכי</w:t>
      </w:r>
      <w:r>
        <w:rPr>
          <w:rFonts w:hint="cs"/>
          <w:rtl/>
        </w:rPr>
        <w:t xml:space="preserve"> </w:t>
      </w:r>
      <w:r>
        <w:rPr>
          <w:rStyle w:val="af9"/>
          <w:rFonts w:hint="cs"/>
          <w:rtl/>
        </w:rPr>
        <w:t>בתירוצו השני</w:t>
      </w:r>
      <w:r>
        <w:rPr>
          <w:rFonts w:hint="cs"/>
          <w:rtl/>
        </w:rPr>
        <w:t xml:space="preserve">, היא נבילה מדאו' כדעת </w:t>
      </w:r>
      <w:r w:rsidRPr="00EC2343">
        <w:rPr>
          <w:rStyle w:val="af9"/>
          <w:rFonts w:hint="cs"/>
          <w:rtl/>
        </w:rPr>
        <w:t>הרא"ש</w:t>
      </w:r>
      <w:r>
        <w:rPr>
          <w:rFonts w:hint="cs"/>
          <w:rtl/>
        </w:rPr>
        <w:t xml:space="preserve"> </w:t>
      </w:r>
      <w:r w:rsidRPr="009F0C8D">
        <w:rPr>
          <w:rStyle w:val="af7"/>
          <w:rFonts w:eastAsia="Guttman Hodes" w:hint="cs"/>
          <w:rtl/>
        </w:rPr>
        <w:t xml:space="preserve">(עי' אות </w:t>
      </w:r>
      <w:r w:rsidRPr="009F0C8D">
        <w:rPr>
          <w:rStyle w:val="af7"/>
          <w:rFonts w:eastAsia="Guttman Hodes"/>
          <w:rtl/>
        </w:rPr>
        <w:fldChar w:fldCharType="begin"/>
      </w:r>
      <w:r w:rsidRPr="009F0C8D">
        <w:rPr>
          <w:rStyle w:val="af7"/>
          <w:rFonts w:eastAsia="Guttman Hodes"/>
          <w:rtl/>
        </w:rPr>
        <w:instrText xml:space="preserve"> </w:instrText>
      </w:r>
      <w:r w:rsidRPr="009F0C8D">
        <w:rPr>
          <w:rStyle w:val="af7"/>
          <w:rFonts w:eastAsia="Guttman Hodes" w:hint="cs"/>
        </w:rPr>
        <w:instrText>REF</w:instrText>
      </w:r>
      <w:r w:rsidRPr="009F0C8D">
        <w:rPr>
          <w:rStyle w:val="af7"/>
          <w:rFonts w:eastAsia="Guttman Hodes" w:hint="cs"/>
          <w:rtl/>
        </w:rPr>
        <w:instrText xml:space="preserve"> _</w:instrText>
      </w:r>
      <w:r w:rsidRPr="009F0C8D">
        <w:rPr>
          <w:rStyle w:val="af7"/>
          <w:rFonts w:eastAsia="Guttman Hodes" w:hint="cs"/>
        </w:rPr>
        <w:instrText>Ref522108382 \r \h</w:instrText>
      </w:r>
      <w:r w:rsidRPr="009F0C8D">
        <w:rPr>
          <w:rStyle w:val="af7"/>
          <w:rFonts w:eastAsia="Guttman Hodes"/>
          <w:rtl/>
        </w:rPr>
        <w:instrText xml:space="preserve"> </w:instrText>
      </w:r>
      <w:r w:rsidRPr="009F0C8D">
        <w:rPr>
          <w:rStyle w:val="af7"/>
          <w:rFonts w:eastAsia="Guttman Hodes"/>
          <w:rtl/>
        </w:rPr>
      </w:r>
      <w:r w:rsidRPr="009F0C8D">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9F0C8D">
        <w:rPr>
          <w:rStyle w:val="af7"/>
          <w:rFonts w:eastAsia="Guttman Hodes"/>
          <w:rtl/>
        </w:rPr>
        <w:fldChar w:fldCharType="end"/>
      </w:r>
      <w:r>
        <w:rPr>
          <w:rFonts w:hint="cs"/>
          <w:rtl/>
        </w:rPr>
        <w:t>.</w:t>
      </w:r>
    </w:p>
    <w:p w14:paraId="054FABF4" w14:textId="77777777" w:rsidR="00852065" w:rsidRDefault="00852065" w:rsidP="00BF39B2">
      <w:pPr>
        <w:pStyle w:val="1"/>
        <w:rPr>
          <w:rtl/>
        </w:rPr>
      </w:pPr>
      <w:bookmarkStart w:id="525" w:name="_Toc522028149"/>
      <w:bookmarkStart w:id="526" w:name="_Toc522086185"/>
      <w:bookmarkStart w:id="527" w:name="_Toc522099605"/>
      <w:bookmarkStart w:id="528" w:name="_Toc19388920"/>
      <w:bookmarkStart w:id="529" w:name="_Toc19392417"/>
      <w:r>
        <w:rPr>
          <w:rFonts w:hint="cs"/>
          <w:rtl/>
        </w:rPr>
        <w:t>ביאור הרא"ה דנחלקו אם מחיים יש לה חזקת נבילה לכשתמות</w:t>
      </w:r>
      <w:bookmarkEnd w:id="525"/>
      <w:bookmarkEnd w:id="526"/>
      <w:bookmarkEnd w:id="527"/>
      <w:bookmarkEnd w:id="528"/>
      <w:bookmarkEnd w:id="529"/>
      <w:r>
        <w:rPr>
          <w:rFonts w:hint="cs"/>
          <w:rtl/>
        </w:rPr>
        <w:t xml:space="preserve"> </w:t>
      </w:r>
    </w:p>
    <w:p w14:paraId="5C84631D" w14:textId="77777777" w:rsidR="00852065" w:rsidRPr="00953F41" w:rsidRDefault="00852065" w:rsidP="006D6D32">
      <w:pPr>
        <w:pStyle w:val="a3"/>
        <w:rPr>
          <w:rtl/>
        </w:rPr>
      </w:pPr>
      <w:bookmarkStart w:id="530" w:name="_Toc522028150"/>
      <w:bookmarkStart w:id="531" w:name="_Toc522086186"/>
      <w:bookmarkStart w:id="532" w:name="_Toc522099606"/>
      <w:bookmarkStart w:id="533" w:name="_Toc19388921"/>
      <w:bookmarkStart w:id="534" w:name="_Toc19392418"/>
      <w:r>
        <w:rPr>
          <w:rFonts w:hint="cs"/>
          <w:rtl/>
        </w:rPr>
        <w:t>ביאור הרא"ה בדעת הברייתא דכיון שסופה למות היא בחזקת נבילה מחיים לכשתמות</w:t>
      </w:r>
      <w:bookmarkEnd w:id="530"/>
      <w:bookmarkEnd w:id="531"/>
      <w:bookmarkEnd w:id="532"/>
      <w:bookmarkEnd w:id="533"/>
      <w:bookmarkEnd w:id="534"/>
    </w:p>
    <w:p w14:paraId="5DDB4792" w14:textId="77777777" w:rsidR="00852065" w:rsidRDefault="00852065" w:rsidP="00223668">
      <w:pPr>
        <w:pStyle w:val="a0"/>
      </w:pPr>
      <w:bookmarkStart w:id="535" w:name="_Ref522109041"/>
      <w:r w:rsidRPr="00531F9A">
        <w:rPr>
          <w:rStyle w:val="af9"/>
          <w:rFonts w:hint="cs"/>
          <w:rtl/>
        </w:rPr>
        <w:t>וב</w:t>
      </w:r>
      <w:r>
        <w:rPr>
          <w:rStyle w:val="af9"/>
          <w:rFonts w:hint="cs"/>
          <w:rtl/>
        </w:rPr>
        <w:t>שיטמ</w:t>
      </w:r>
      <w:r>
        <w:rPr>
          <w:rStyle w:val="af9"/>
          <w:rtl/>
        </w:rPr>
        <w:t>"</w:t>
      </w:r>
      <w:r>
        <w:rPr>
          <w:rStyle w:val="af9"/>
          <w:rFonts w:hint="cs"/>
          <w:rtl/>
        </w:rPr>
        <w:t>ק</w:t>
      </w:r>
      <w:r>
        <w:rPr>
          <w:rFonts w:hint="cs"/>
          <w:rtl/>
        </w:rPr>
        <w:t xml:space="preserve"> </w:t>
      </w:r>
      <w:r w:rsidRPr="00531F9A">
        <w:rPr>
          <w:rStyle w:val="af7"/>
          <w:rFonts w:eastAsia="Guttman Hodes" w:hint="cs"/>
          <w:rtl/>
        </w:rPr>
        <w:t>(עמ' קכ"ב ד"ה והרא"ה)</w:t>
      </w:r>
      <w:r>
        <w:rPr>
          <w:rFonts w:hint="cs"/>
          <w:rtl/>
        </w:rPr>
        <w:t xml:space="preserve"> כתב בשם </w:t>
      </w:r>
      <w:r w:rsidRPr="00531F9A">
        <w:rPr>
          <w:rStyle w:val="af9"/>
          <w:rFonts w:hint="cs"/>
          <w:rtl/>
        </w:rPr>
        <w:t>הרא"ה</w:t>
      </w:r>
      <w:r>
        <w:rPr>
          <w:rFonts w:hint="cs"/>
          <w:rtl/>
        </w:rPr>
        <w:t xml:space="preserve"> דהברייתא ס"ל דכיון שסופה שתהיה מאליה בכלל נבילה כשתמות, לכן מעכשיו היא בחזקת איסור נבילה לכשתמות.</w:t>
      </w:r>
      <w:bookmarkEnd w:id="535"/>
    </w:p>
    <w:p w14:paraId="4055856E" w14:textId="77777777" w:rsidR="00852065" w:rsidRDefault="00852065" w:rsidP="006D6D32">
      <w:pPr>
        <w:pStyle w:val="a3"/>
      </w:pPr>
      <w:bookmarkStart w:id="536" w:name="_Toc522028151"/>
      <w:bookmarkStart w:id="537" w:name="_Toc522086187"/>
      <w:bookmarkStart w:id="538" w:name="_Toc522099607"/>
      <w:bookmarkStart w:id="539" w:name="_Toc19388922"/>
      <w:bookmarkStart w:id="540" w:name="_Toc19392419"/>
      <w:r>
        <w:rPr>
          <w:rFonts w:hint="cs"/>
          <w:rtl/>
        </w:rPr>
        <w:t>ביאור הרא"ה בדעת ר</w:t>
      </w:r>
      <w:r>
        <w:rPr>
          <w:rtl/>
        </w:rPr>
        <w:t>"</w:t>
      </w:r>
      <w:r>
        <w:rPr>
          <w:rFonts w:hint="cs"/>
          <w:rtl/>
        </w:rPr>
        <w:t>א דכיון שיתכן שלא תהיה טמאה לעולם אין לה חזקה שתטמא לכשתמות</w:t>
      </w:r>
      <w:bookmarkEnd w:id="536"/>
      <w:bookmarkEnd w:id="537"/>
      <w:bookmarkEnd w:id="538"/>
      <w:bookmarkEnd w:id="539"/>
      <w:bookmarkEnd w:id="540"/>
    </w:p>
    <w:p w14:paraId="2BEC9B30" w14:textId="77777777" w:rsidR="00852065" w:rsidRDefault="00852065" w:rsidP="00223668">
      <w:pPr>
        <w:pStyle w:val="a0"/>
        <w:rPr>
          <w:rtl/>
        </w:rPr>
        <w:sectPr w:rsidR="00852065" w:rsidSect="00804CF8">
          <w:type w:val="continuous"/>
          <w:pgSz w:w="11906" w:h="16838"/>
          <w:pgMar w:top="720" w:right="720" w:bottom="720" w:left="720" w:header="283" w:footer="283" w:gutter="0"/>
          <w:cols w:num="2" w:space="567"/>
          <w:bidi/>
          <w:rtlGutter/>
          <w:docGrid w:linePitch="299"/>
        </w:sectPr>
      </w:pPr>
      <w:bookmarkStart w:id="541" w:name="_Ref522101068"/>
      <w:r>
        <w:rPr>
          <w:rFonts w:hint="cs"/>
          <w:rtl/>
        </w:rPr>
        <w:t xml:space="preserve">ובדעת ר"א ב"ר ינאי ביאר </w:t>
      </w:r>
      <w:r w:rsidRPr="00531F9A">
        <w:rPr>
          <w:rStyle w:val="af9"/>
          <w:rFonts w:hint="cs"/>
          <w:rtl/>
        </w:rPr>
        <w:t>ה</w:t>
      </w:r>
      <w:r>
        <w:rPr>
          <w:rStyle w:val="af9"/>
          <w:rFonts w:hint="cs"/>
          <w:rtl/>
        </w:rPr>
        <w:t>שיטמ</w:t>
      </w:r>
      <w:r>
        <w:rPr>
          <w:rStyle w:val="af9"/>
          <w:rtl/>
        </w:rPr>
        <w:t>"</w:t>
      </w:r>
      <w:r>
        <w:rPr>
          <w:rStyle w:val="af9"/>
          <w:rFonts w:hint="cs"/>
          <w:rtl/>
        </w:rPr>
        <w:t>ק</w:t>
      </w:r>
      <w:r>
        <w:rPr>
          <w:rFonts w:hint="cs"/>
          <w:rtl/>
        </w:rPr>
        <w:t xml:space="preserve"> בשם </w:t>
      </w:r>
      <w:r w:rsidRPr="00531F9A">
        <w:rPr>
          <w:rStyle w:val="af9"/>
          <w:rFonts w:hint="cs"/>
          <w:rtl/>
        </w:rPr>
        <w:t>הרא"ה</w:t>
      </w:r>
      <w:r>
        <w:rPr>
          <w:rFonts w:hint="cs"/>
          <w:rtl/>
        </w:rPr>
        <w:t xml:space="preserve"> דס"ל דמחיים אינה בחזקת טומאה, ואף שסופה שתהיה מאליה בכלל נבילה, מ"מ כיון שמחיים אינה בכלל טומאה, ויתכן שלא תטמא לעולם אם תשחט, לכן א"א להחזיקה בטומאה כלל, דכל מה ששייך חזקה וטומאה הוא בדבר שהייתה בו מעיקרא או שסופה שיהיה בה, ולכן כיון שלא נטמאה בחייה, ויתכן שלא תטמא א"א להחזיקה בטומאה, וכ"ש דיתכן שתהיה בכלל היתר אם תשחט, ואף שעכשיו היא בחזקת איסור, מ"מ אפשר להעמידה לענין טומאה בחזקת היתר, מדין חזקה דרבה כדאיתא ביבמות </w:t>
      </w:r>
      <w:r w:rsidRPr="00531F9A">
        <w:rPr>
          <w:rStyle w:val="af7"/>
          <w:rFonts w:eastAsia="Guttman Hodes" w:hint="cs"/>
          <w:rtl/>
        </w:rPr>
        <w:t>(ל:)</w:t>
      </w:r>
      <w:r>
        <w:rPr>
          <w:rFonts w:hint="cs"/>
          <w:rtl/>
        </w:rPr>
        <w:t xml:space="preserve"> כיון שסופה להיות מותרת ע"י שחיטה.</w:t>
      </w:r>
      <w:bookmarkEnd w:id="541"/>
    </w:p>
    <w:p w14:paraId="2F0A4C31" w14:textId="77777777" w:rsidR="00852065" w:rsidRDefault="00852065" w:rsidP="00852065">
      <w:pPr>
        <w:tabs>
          <w:tab w:val="left" w:pos="1163"/>
        </w:tabs>
        <w:spacing w:after="120" w:line="240" w:lineRule="auto"/>
        <w:ind w:left="0"/>
        <w:rPr>
          <w:rFonts w:ascii="Guttman Hodes" w:eastAsia="Guttman Hodes" w:hAnsi="Guttman Hodes" w:cs="Guttman Hodes"/>
          <w:noProof/>
          <w:sz w:val="18"/>
          <w:szCs w:val="18"/>
        </w:rPr>
        <w:sectPr w:rsidR="00852065" w:rsidSect="00852065">
          <w:type w:val="continuous"/>
          <w:pgSz w:w="11906" w:h="16838"/>
          <w:pgMar w:top="720" w:right="720" w:bottom="720" w:left="720" w:header="283" w:footer="283" w:gutter="0"/>
          <w:cols w:space="567"/>
          <w:bidi/>
          <w:rtlGutter/>
        </w:sectPr>
      </w:pPr>
    </w:p>
    <w:p w14:paraId="3919BFC7" w14:textId="77777777" w:rsidR="00852065" w:rsidRPr="0061208F" w:rsidRDefault="004B65FC" w:rsidP="00852065">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0D6CF3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4pt;height:4.45pt" o:hrpct="0" o:hralign="center" o:hr="t">
            <v:imagedata r:id="rId21" o:title="BD14845_"/>
          </v:shape>
        </w:pict>
      </w:r>
      <w:r w:rsidR="00852065" w:rsidRPr="0061208F">
        <w:rPr>
          <w:rFonts w:ascii="Guttman Hodes" w:eastAsia="Guttman Hodes" w:hAnsi="Guttman Hodes" w:cs="Guttman Hodes" w:hint="cs"/>
          <w:noProof/>
          <w:sz w:val="18"/>
          <w:szCs w:val="18"/>
          <w:rtl/>
        </w:rPr>
        <w:t xml:space="preserve"> </w:t>
      </w:r>
    </w:p>
    <w:p w14:paraId="2BDF162D" w14:textId="77777777" w:rsidR="00852065" w:rsidRDefault="00852065" w:rsidP="00852065">
      <w:pPr>
        <w:pStyle w:val="2"/>
        <w:rPr>
          <w:rtl/>
        </w:rPr>
        <w:sectPr w:rsidR="00852065" w:rsidSect="00E20916">
          <w:pgSz w:w="11906" w:h="16838"/>
          <w:pgMar w:top="720" w:right="720" w:bottom="720" w:left="720" w:header="283" w:footer="283" w:gutter="0"/>
          <w:cols w:space="567"/>
          <w:bidi/>
          <w:rtlGutter/>
        </w:sectPr>
      </w:pPr>
      <w:bookmarkStart w:id="542" w:name="_Toc518562421"/>
      <w:bookmarkStart w:id="543" w:name="_Toc518666456"/>
      <w:bookmarkStart w:id="544" w:name="_Toc518774446"/>
      <w:bookmarkStart w:id="545" w:name="_Toc519088401"/>
      <w:bookmarkStart w:id="546" w:name="_Toc519239396"/>
      <w:bookmarkStart w:id="547" w:name="_Toc519418659"/>
      <w:bookmarkStart w:id="548" w:name="_Toc521324877"/>
      <w:bookmarkStart w:id="549" w:name="_Toc521338184"/>
      <w:bookmarkStart w:id="550" w:name="_Toc521361984"/>
      <w:bookmarkStart w:id="551" w:name="_Toc522028152"/>
      <w:bookmarkStart w:id="552" w:name="_Toc522086188"/>
      <w:bookmarkStart w:id="553" w:name="_Toc522099608"/>
      <w:bookmarkStart w:id="554" w:name="_Toc19435160"/>
      <w:r>
        <w:rPr>
          <w:rFonts w:hint="cs"/>
          <w:rtl/>
        </w:rPr>
        <w:t>ביאורי ראשי הישיבות על הסוגיא</w:t>
      </w:r>
      <w:bookmarkEnd w:id="542"/>
      <w:bookmarkEnd w:id="543"/>
      <w:bookmarkEnd w:id="544"/>
      <w:bookmarkEnd w:id="545"/>
      <w:bookmarkEnd w:id="546"/>
      <w:bookmarkEnd w:id="547"/>
      <w:bookmarkEnd w:id="548"/>
      <w:bookmarkEnd w:id="549"/>
      <w:bookmarkEnd w:id="550"/>
      <w:bookmarkEnd w:id="551"/>
      <w:bookmarkEnd w:id="552"/>
      <w:bookmarkEnd w:id="553"/>
      <w:bookmarkEnd w:id="554"/>
    </w:p>
    <w:p w14:paraId="286290DE" w14:textId="77777777" w:rsidR="00852065" w:rsidRDefault="00852065" w:rsidP="00BF39B2">
      <w:pPr>
        <w:pStyle w:val="1"/>
        <w:rPr>
          <w:rtl/>
        </w:rPr>
      </w:pPr>
      <w:bookmarkStart w:id="555" w:name="_Toc521324888"/>
      <w:bookmarkStart w:id="556" w:name="_Toc521338195"/>
      <w:bookmarkStart w:id="557" w:name="_Toc521361995"/>
      <w:bookmarkStart w:id="558" w:name="_Toc522028153"/>
      <w:bookmarkStart w:id="559" w:name="_Toc522086189"/>
      <w:bookmarkStart w:id="560" w:name="_Toc522099609"/>
      <w:bookmarkStart w:id="561" w:name="_Toc19388923"/>
      <w:bookmarkStart w:id="562" w:name="_Toc19392420"/>
      <w:r>
        <w:rPr>
          <w:rFonts w:hint="cs"/>
          <w:rtl/>
        </w:rPr>
        <w:t>ביאור הברכ"ש</w:t>
      </w:r>
      <w:bookmarkEnd w:id="555"/>
      <w:bookmarkEnd w:id="556"/>
      <w:bookmarkEnd w:id="557"/>
      <w:r>
        <w:rPr>
          <w:rFonts w:hint="cs"/>
          <w:rtl/>
        </w:rPr>
        <w:t xml:space="preserve"> אי מהני חזקת איסור לענין טומאה</w:t>
      </w:r>
      <w:bookmarkEnd w:id="558"/>
      <w:bookmarkEnd w:id="559"/>
      <w:bookmarkEnd w:id="560"/>
      <w:bookmarkEnd w:id="561"/>
      <w:bookmarkEnd w:id="562"/>
    </w:p>
    <w:p w14:paraId="685C6A4A" w14:textId="77777777" w:rsidR="00852065" w:rsidRDefault="00852065" w:rsidP="006D6D32">
      <w:pPr>
        <w:pStyle w:val="a3"/>
        <w:rPr>
          <w:rtl/>
        </w:rPr>
      </w:pPr>
      <w:bookmarkStart w:id="563" w:name="_Toc522086190"/>
      <w:bookmarkStart w:id="564" w:name="_Toc522099610"/>
      <w:bookmarkStart w:id="565" w:name="_Toc19388924"/>
      <w:bookmarkStart w:id="566" w:name="_Toc19392421"/>
      <w:r>
        <w:rPr>
          <w:rFonts w:hint="cs"/>
          <w:rtl/>
        </w:rPr>
        <w:t>דברי הברכ"ש דכיון שהשחיטה היא המכשיר לענין נבילה מהני חזקת איסור לטומאה</w:t>
      </w:r>
      <w:bookmarkEnd w:id="563"/>
      <w:bookmarkEnd w:id="564"/>
      <w:bookmarkEnd w:id="565"/>
      <w:bookmarkEnd w:id="566"/>
    </w:p>
    <w:p w14:paraId="3C668A53" w14:textId="77777777" w:rsidR="00852065" w:rsidRDefault="00852065" w:rsidP="00223668">
      <w:pPr>
        <w:pStyle w:val="a0"/>
        <w:rPr>
          <w:rtl/>
        </w:rPr>
      </w:pPr>
      <w:r>
        <w:rPr>
          <w:rFonts w:hint="cs"/>
          <w:rtl/>
        </w:rPr>
        <w:t xml:space="preserve">כתב </w:t>
      </w:r>
      <w:r w:rsidRPr="00140646">
        <w:rPr>
          <w:rStyle w:val="af9"/>
          <w:rFonts w:hint="cs"/>
          <w:rtl/>
        </w:rPr>
        <w:t>הברכ"ש</w:t>
      </w:r>
      <w:r>
        <w:rPr>
          <w:rFonts w:hint="cs"/>
          <w:rtl/>
        </w:rPr>
        <w:t xml:space="preserve"> </w:t>
      </w:r>
      <w:r w:rsidRPr="006D33D5">
        <w:rPr>
          <w:rStyle w:val="af7"/>
          <w:rFonts w:eastAsia="Guttman Hodes" w:hint="cs"/>
          <w:rtl/>
        </w:rPr>
        <w:t>(כתובות סי' כ"ז אות ב')</w:t>
      </w:r>
      <w:r>
        <w:rPr>
          <w:rFonts w:hint="cs"/>
          <w:rtl/>
        </w:rPr>
        <w:t xml:space="preserve"> בביאור דעת הברייתא דמטמאה בטומאת נבילה, דאף שאין לה חזקת טומאה, מ"מ כיון שלענין איסור היא בחזקת נבילה ממילא היא מטמאה, כיון שהשחיטה עצמה היא המעשה שמכשיר את הבהמה שאינה נבילה.</w:t>
      </w:r>
    </w:p>
    <w:p w14:paraId="44D56C24" w14:textId="77777777" w:rsidR="00852065" w:rsidRPr="009207A3" w:rsidRDefault="00852065" w:rsidP="006D6D32">
      <w:pPr>
        <w:pStyle w:val="a3"/>
      </w:pPr>
      <w:bookmarkStart w:id="567" w:name="_Toc522086191"/>
      <w:bookmarkStart w:id="568" w:name="_Toc522099611"/>
      <w:bookmarkStart w:id="569" w:name="_Toc19388925"/>
      <w:bookmarkStart w:id="570" w:name="_Toc19392422"/>
      <w:r>
        <w:rPr>
          <w:rFonts w:hint="cs"/>
          <w:rtl/>
        </w:rPr>
        <w:t>ביאור הברכ"ש דכיון שהחזקת איסור מכריעה שלא נעשה מעשה מכשיר ממילא מטמאה</w:t>
      </w:r>
      <w:bookmarkEnd w:id="567"/>
      <w:bookmarkEnd w:id="568"/>
      <w:bookmarkEnd w:id="569"/>
      <w:bookmarkEnd w:id="570"/>
    </w:p>
    <w:p w14:paraId="4AA280B0" w14:textId="77777777" w:rsidR="00852065" w:rsidRPr="0070380B" w:rsidRDefault="00852065" w:rsidP="00223668">
      <w:pPr>
        <w:pStyle w:val="a0"/>
        <w:rPr>
          <w:rtl/>
        </w:rPr>
      </w:pPr>
      <w:r>
        <w:rPr>
          <w:rFonts w:hint="cs"/>
          <w:rtl/>
        </w:rPr>
        <w:t xml:space="preserve">וביאר </w:t>
      </w:r>
      <w:r w:rsidRPr="00EC2343">
        <w:rPr>
          <w:rStyle w:val="af9"/>
          <w:rFonts w:hint="cs"/>
          <w:rtl/>
        </w:rPr>
        <w:t>הברכ"ש</w:t>
      </w:r>
      <w:r>
        <w:rPr>
          <w:rFonts w:hint="cs"/>
          <w:rtl/>
        </w:rPr>
        <w:t xml:space="preserve"> דכל שיש ספק במעשה המכשיר הוא שייך לחזקת איסור של הבהמה, ולכן החזקת איסור מכריעה את הספק בשחיטה שלא נעשה בה מעשה המכשיר, ולכן ס"ל לתנא דברייתא דכל שהוחזק איסור במעשה השחיטה לענין איסור</w:t>
      </w:r>
      <w:r w:rsidRPr="00D258C6">
        <w:rPr>
          <w:rFonts w:hint="cs"/>
          <w:rtl/>
        </w:rPr>
        <w:t xml:space="preserve"> </w:t>
      </w:r>
      <w:r>
        <w:rPr>
          <w:rFonts w:hint="cs"/>
          <w:rtl/>
        </w:rPr>
        <w:t>אכילה, ממילא מטמאה בטומאת נבילה</w:t>
      </w:r>
      <w:r>
        <w:rPr>
          <w:rStyle w:val="af1"/>
          <w:rtl/>
        </w:rPr>
        <w:footnoteReference w:id="3"/>
      </w:r>
      <w:r>
        <w:rPr>
          <w:rFonts w:hint="cs"/>
          <w:rtl/>
        </w:rPr>
        <w:t>.</w:t>
      </w:r>
    </w:p>
    <w:p w14:paraId="572FB115" w14:textId="77777777" w:rsidR="00852065" w:rsidRDefault="00852065" w:rsidP="00BF39B2">
      <w:pPr>
        <w:pStyle w:val="1"/>
        <w:rPr>
          <w:rtl/>
        </w:rPr>
      </w:pPr>
      <w:bookmarkStart w:id="571" w:name="_Toc522028154"/>
      <w:bookmarkStart w:id="572" w:name="_Toc522086192"/>
      <w:bookmarkStart w:id="573" w:name="_Toc522099612"/>
      <w:bookmarkStart w:id="574" w:name="_Toc19388926"/>
      <w:bookmarkStart w:id="575" w:name="_Toc19392423"/>
      <w:r>
        <w:rPr>
          <w:rFonts w:hint="cs"/>
          <w:rtl/>
        </w:rPr>
        <w:t>דברי הגרב"ב בביאור דעת הרשב"א</w:t>
      </w:r>
      <w:bookmarkEnd w:id="571"/>
      <w:bookmarkEnd w:id="572"/>
      <w:bookmarkEnd w:id="573"/>
      <w:bookmarkEnd w:id="574"/>
      <w:bookmarkEnd w:id="575"/>
    </w:p>
    <w:p w14:paraId="5BA967F7" w14:textId="77777777" w:rsidR="00852065" w:rsidRPr="00CC1260" w:rsidRDefault="00852065" w:rsidP="006D6D32">
      <w:pPr>
        <w:pStyle w:val="a3"/>
        <w:rPr>
          <w:rtl/>
        </w:rPr>
      </w:pPr>
      <w:bookmarkStart w:id="576" w:name="_Toc522086193"/>
      <w:bookmarkStart w:id="577" w:name="_Toc522099613"/>
      <w:bookmarkStart w:id="578" w:name="_Toc19388927"/>
      <w:bookmarkStart w:id="579" w:name="_Toc19392424"/>
      <w:r>
        <w:rPr>
          <w:rFonts w:hint="cs"/>
          <w:rtl/>
        </w:rPr>
        <w:t>ביאור הגרב"ב בתי' הא' ברשב"א דכיון דמוחזקת שלא נשחטה ממילא מטמאה בנבילה</w:t>
      </w:r>
      <w:bookmarkEnd w:id="576"/>
      <w:bookmarkEnd w:id="577"/>
      <w:bookmarkEnd w:id="578"/>
      <w:bookmarkEnd w:id="579"/>
    </w:p>
    <w:p w14:paraId="0D0659CE" w14:textId="77777777" w:rsidR="00852065" w:rsidRPr="00AB4065" w:rsidRDefault="00852065" w:rsidP="00223668">
      <w:pPr>
        <w:pStyle w:val="a0"/>
        <w:rPr>
          <w:rStyle w:val="af9"/>
          <w:b w:val="0"/>
          <w:bCs w:val="0"/>
        </w:rPr>
      </w:pPr>
      <w:r w:rsidRPr="00E07167">
        <w:rPr>
          <w:rStyle w:val="af9"/>
          <w:rFonts w:hint="cs"/>
          <w:rtl/>
        </w:rPr>
        <w:t>בחו"ש הגרב"ב</w:t>
      </w:r>
      <w:r>
        <w:rPr>
          <w:rFonts w:hint="cs"/>
          <w:rtl/>
        </w:rPr>
        <w:t xml:space="preserve"> </w:t>
      </w:r>
      <w:r w:rsidRPr="00BB0C8C">
        <w:rPr>
          <w:rStyle w:val="af7"/>
          <w:rFonts w:eastAsia="Guttman Hodes" w:hint="cs"/>
          <w:rtl/>
        </w:rPr>
        <w:t>(יבמות סי' כ"ט ד"ה והנה)</w:t>
      </w:r>
      <w:r w:rsidRPr="00EC2343">
        <w:rPr>
          <w:rFonts w:hint="cs"/>
          <w:rtl/>
        </w:rPr>
        <w:t xml:space="preserve"> </w:t>
      </w:r>
      <w:r>
        <w:rPr>
          <w:rFonts w:hint="cs"/>
          <w:rtl/>
        </w:rPr>
        <w:t xml:space="preserve">הביא דכתב </w:t>
      </w:r>
      <w:r w:rsidRPr="00BE3876">
        <w:rPr>
          <w:rStyle w:val="af9"/>
          <w:rFonts w:hint="cs"/>
          <w:rtl/>
        </w:rPr>
        <w:t>הרשב"א</w:t>
      </w:r>
      <w:r>
        <w:rPr>
          <w:rFonts w:hint="cs"/>
          <w:rtl/>
        </w:rPr>
        <w:t xml:space="preserve"> ב' ביאורים בדעת הברייתא דמטמאה בנבילה, וכתב </w:t>
      </w:r>
      <w:r w:rsidRPr="00D86B81">
        <w:rPr>
          <w:rStyle w:val="af9"/>
          <w:rFonts w:hint="cs"/>
          <w:rtl/>
        </w:rPr>
        <w:t>בחו"ש הגרב"ב</w:t>
      </w:r>
      <w:r>
        <w:rPr>
          <w:rFonts w:hint="cs"/>
          <w:rtl/>
        </w:rPr>
        <w:t xml:space="preserve"> דהביאור </w:t>
      </w:r>
      <w:r w:rsidRPr="00EC2343">
        <w:rPr>
          <w:rFonts w:hint="cs"/>
          <w:rtl/>
        </w:rPr>
        <w:t>ב</w:t>
      </w:r>
      <w:r>
        <w:rPr>
          <w:rFonts w:hint="cs"/>
          <w:rtl/>
        </w:rPr>
        <w:t xml:space="preserve">דברי </w:t>
      </w:r>
      <w:r w:rsidRPr="00E07167">
        <w:rPr>
          <w:rStyle w:val="af9"/>
          <w:rFonts w:hint="cs"/>
          <w:rtl/>
        </w:rPr>
        <w:t>הרשב"א בתירוצו הראשון</w:t>
      </w:r>
      <w:r>
        <w:rPr>
          <w:rFonts w:hint="cs"/>
          <w:rtl/>
        </w:rPr>
        <w:t xml:space="preserve"> הוא, דאף שאין לה חזקה לענין טומאה, מ"מ כיון דלענין אכילה מוקמינן לה בחזקתה, שלא היה בה מעשה שחיטה והיא נבילה, לכן יש בה גם טומאת נבילה. </w:t>
      </w:r>
      <w:r w:rsidRPr="002015E4">
        <w:rPr>
          <w:rStyle w:val="afb"/>
          <w:rFonts w:hint="cs"/>
          <w:rtl/>
        </w:rPr>
        <w:t>[</w:t>
      </w:r>
      <w:r w:rsidRPr="00694CF9">
        <w:rPr>
          <w:rStyle w:val="affa"/>
          <w:rFonts w:hint="cs"/>
          <w:rtl/>
        </w:rPr>
        <w:t>הרשב"א בסוגיין</w:t>
      </w:r>
      <w:r w:rsidRPr="00426DB7">
        <w:rPr>
          <w:rStyle w:val="afb"/>
          <w:rFonts w:hint="cs"/>
          <w:rtl/>
        </w:rPr>
        <w:t xml:space="preserve"> </w:t>
      </w:r>
      <w:r w:rsidRPr="00FA5600">
        <w:rPr>
          <w:rStyle w:val="aff6"/>
          <w:rFonts w:hint="cs"/>
          <w:rtl/>
        </w:rPr>
        <w:t xml:space="preserve">(עי' אות </w:t>
      </w:r>
      <w:r w:rsidRPr="00FA5600">
        <w:rPr>
          <w:rStyle w:val="aff6"/>
          <w:rtl/>
        </w:rPr>
        <w:fldChar w:fldCharType="begin"/>
      </w:r>
      <w:r w:rsidRPr="00FA5600">
        <w:rPr>
          <w:rStyle w:val="aff6"/>
          <w:rtl/>
        </w:rPr>
        <w:instrText xml:space="preserve"> </w:instrText>
      </w:r>
      <w:r w:rsidRPr="00FA5600">
        <w:rPr>
          <w:rStyle w:val="aff6"/>
          <w:rFonts w:hint="cs"/>
        </w:rPr>
        <w:instrText>REF</w:instrText>
      </w:r>
      <w:r w:rsidRPr="00FA5600">
        <w:rPr>
          <w:rStyle w:val="aff6"/>
          <w:rFonts w:hint="cs"/>
          <w:rtl/>
        </w:rPr>
        <w:instrText xml:space="preserve"> _</w:instrText>
      </w:r>
      <w:r w:rsidRPr="00FA5600">
        <w:rPr>
          <w:rStyle w:val="aff6"/>
          <w:rFonts w:hint="cs"/>
        </w:rPr>
        <w:instrText>Ref522100935 \r \h</w:instrText>
      </w:r>
      <w:r w:rsidRPr="00FA5600">
        <w:rPr>
          <w:rStyle w:val="aff6"/>
          <w:rtl/>
        </w:rPr>
        <w:instrText xml:space="preserve"> </w:instrText>
      </w:r>
      <w:r w:rsidRPr="00FA5600">
        <w:rPr>
          <w:rStyle w:val="aff6"/>
          <w:rtl/>
        </w:rPr>
      </w:r>
      <w:r w:rsidRPr="00FA5600">
        <w:rPr>
          <w:rStyle w:val="aff6"/>
          <w:rtl/>
        </w:rPr>
        <w:fldChar w:fldCharType="separate"/>
      </w:r>
      <w:r w:rsidR="00345400">
        <w:rPr>
          <w:rStyle w:val="aff6"/>
          <w:cs/>
        </w:rPr>
        <w:t>‎</w:t>
      </w:r>
      <w:r w:rsidR="00345400">
        <w:rPr>
          <w:rStyle w:val="aff6"/>
          <w:rtl/>
        </w:rPr>
        <w:t>לט)</w:t>
      </w:r>
      <w:r w:rsidRPr="00FA5600">
        <w:rPr>
          <w:rStyle w:val="aff6"/>
          <w:rtl/>
        </w:rPr>
        <w:fldChar w:fldCharType="end"/>
      </w:r>
      <w:r>
        <w:rPr>
          <w:rStyle w:val="afb"/>
          <w:rFonts w:hint="cs"/>
          <w:rtl/>
        </w:rPr>
        <w:t xml:space="preserve"> כתב רק ביאור אחד, ו</w:t>
      </w:r>
      <w:r w:rsidRPr="00426DB7">
        <w:rPr>
          <w:rStyle w:val="afb"/>
          <w:rFonts w:hint="cs"/>
          <w:rtl/>
        </w:rPr>
        <w:t>אולי כוונת</w:t>
      </w:r>
      <w:r>
        <w:rPr>
          <w:rStyle w:val="afb"/>
          <w:rFonts w:hint="cs"/>
          <w:rtl/>
        </w:rPr>
        <w:t xml:space="preserve"> </w:t>
      </w:r>
      <w:r w:rsidRPr="00694CF9">
        <w:rPr>
          <w:rStyle w:val="affa"/>
          <w:rFonts w:hint="cs"/>
          <w:rtl/>
        </w:rPr>
        <w:t>הגרב"ב</w:t>
      </w:r>
      <w:r w:rsidRPr="00426DB7">
        <w:rPr>
          <w:rStyle w:val="afb"/>
          <w:rFonts w:hint="cs"/>
          <w:rtl/>
        </w:rPr>
        <w:t xml:space="preserve"> לדברי </w:t>
      </w:r>
      <w:r w:rsidRPr="00694CF9">
        <w:rPr>
          <w:rStyle w:val="affa"/>
          <w:rFonts w:hint="cs"/>
          <w:rtl/>
        </w:rPr>
        <w:t>הרשב"א</w:t>
      </w:r>
      <w:r w:rsidRPr="00694CF9">
        <w:rPr>
          <w:rStyle w:val="affa"/>
          <w:rtl/>
        </w:rPr>
        <w:t xml:space="preserve"> ביבמות</w:t>
      </w:r>
      <w:r w:rsidRPr="00426DB7">
        <w:rPr>
          <w:rStyle w:val="afb"/>
          <w:rtl/>
        </w:rPr>
        <w:t xml:space="preserve"> </w:t>
      </w:r>
      <w:r w:rsidRPr="00DA124B">
        <w:rPr>
          <w:rStyle w:val="aff6"/>
          <w:rFonts w:hint="cs"/>
          <w:rtl/>
        </w:rPr>
        <w:t xml:space="preserve">(ל: ד"ה והא, הובא </w:t>
      </w:r>
      <w:r w:rsidRPr="00C6066B">
        <w:rPr>
          <w:rStyle w:val="aff6"/>
          <w:rFonts w:hint="cs"/>
          <w:rtl/>
        </w:rPr>
        <w:t xml:space="preserve">בסימן ב' אות </w:t>
      </w:r>
      <w:r w:rsidRPr="00C6066B">
        <w:rPr>
          <w:rStyle w:val="aff6"/>
          <w:rtl/>
        </w:rPr>
        <w:fldChar w:fldCharType="begin"/>
      </w:r>
      <w:r w:rsidRPr="00C6066B">
        <w:rPr>
          <w:rStyle w:val="aff6"/>
          <w:rtl/>
        </w:rPr>
        <w:instrText xml:space="preserve"> </w:instrText>
      </w:r>
      <w:r w:rsidRPr="00C6066B">
        <w:rPr>
          <w:rStyle w:val="aff6"/>
          <w:rFonts w:hint="cs"/>
        </w:rPr>
        <w:instrText>REF</w:instrText>
      </w:r>
      <w:r w:rsidRPr="00C6066B">
        <w:rPr>
          <w:rStyle w:val="aff6"/>
          <w:rFonts w:hint="cs"/>
          <w:rtl/>
        </w:rPr>
        <w:instrText xml:space="preserve"> _</w:instrText>
      </w:r>
      <w:r w:rsidRPr="00C6066B">
        <w:rPr>
          <w:rStyle w:val="aff6"/>
          <w:rFonts w:hint="cs"/>
        </w:rPr>
        <w:instrText>Ref522187437 \r \h</w:instrText>
      </w:r>
      <w:r w:rsidRPr="00C6066B">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C6066B">
        <w:rPr>
          <w:rStyle w:val="aff6"/>
          <w:rtl/>
        </w:rPr>
      </w:r>
      <w:r w:rsidRPr="00C6066B">
        <w:rPr>
          <w:rStyle w:val="aff6"/>
          <w:rtl/>
        </w:rPr>
        <w:fldChar w:fldCharType="separate"/>
      </w:r>
      <w:r w:rsidR="00345400">
        <w:rPr>
          <w:rStyle w:val="aff6"/>
          <w:cs/>
        </w:rPr>
        <w:t>‎</w:t>
      </w:r>
      <w:r w:rsidR="00345400">
        <w:rPr>
          <w:rStyle w:val="aff6"/>
          <w:rtl/>
        </w:rPr>
        <w:t>לב)</w:t>
      </w:r>
      <w:r w:rsidRPr="00C6066B">
        <w:rPr>
          <w:rStyle w:val="aff6"/>
          <w:rtl/>
        </w:rPr>
        <w:fldChar w:fldCharType="end"/>
      </w:r>
      <w:r w:rsidRPr="00DA124B">
        <w:rPr>
          <w:rStyle w:val="aff6"/>
          <w:rtl/>
        </w:rPr>
        <w:t xml:space="preserve"> </w:t>
      </w:r>
      <w:r w:rsidRPr="00426DB7">
        <w:rPr>
          <w:rStyle w:val="afb"/>
          <w:rFonts w:hint="cs"/>
          <w:rtl/>
        </w:rPr>
        <w:t xml:space="preserve">דהביא את דברי </w:t>
      </w:r>
      <w:r w:rsidRPr="00694CF9">
        <w:rPr>
          <w:rStyle w:val="affa"/>
          <w:rFonts w:hint="cs"/>
          <w:rtl/>
        </w:rPr>
        <w:t>הרמב"ן</w:t>
      </w:r>
      <w:r w:rsidRPr="00426DB7">
        <w:rPr>
          <w:rStyle w:val="afb"/>
          <w:rFonts w:hint="cs"/>
          <w:rtl/>
        </w:rPr>
        <w:t xml:space="preserve"> </w:t>
      </w:r>
      <w:r w:rsidRPr="00694CF9">
        <w:rPr>
          <w:rStyle w:val="affa"/>
          <w:rtl/>
        </w:rPr>
        <w:t>ביבמות</w:t>
      </w:r>
      <w:r w:rsidRPr="00426DB7">
        <w:rPr>
          <w:rStyle w:val="afb"/>
          <w:rtl/>
        </w:rPr>
        <w:t xml:space="preserve"> </w:t>
      </w:r>
      <w:r>
        <w:rPr>
          <w:rStyle w:val="af7"/>
          <w:rFonts w:eastAsia="Guttman Hodes" w:hint="cs"/>
          <w:rtl/>
        </w:rPr>
        <w:t>(ל: ד"ה ואקשינן, הואבא ב</w:t>
      </w:r>
      <w:r w:rsidRPr="0008506D">
        <w:rPr>
          <w:rStyle w:val="af7"/>
          <w:rFonts w:eastAsia="Guttman Hodes" w:hint="cs"/>
          <w:rtl/>
        </w:rPr>
        <w:t xml:space="preserve">סימן ב' </w:t>
      </w:r>
      <w:r w:rsidRPr="00C6066B">
        <w:rPr>
          <w:rStyle w:val="aff6"/>
          <w:rFonts w:hint="cs"/>
          <w:rtl/>
        </w:rPr>
        <w:t xml:space="preserve">אות </w:t>
      </w:r>
      <w:r w:rsidRPr="00C6066B">
        <w:rPr>
          <w:rStyle w:val="aff6"/>
          <w:rtl/>
        </w:rPr>
        <w:fldChar w:fldCharType="begin"/>
      </w:r>
      <w:r w:rsidRPr="00C6066B">
        <w:rPr>
          <w:rStyle w:val="aff6"/>
          <w:rtl/>
        </w:rPr>
        <w:instrText xml:space="preserve"> </w:instrText>
      </w:r>
      <w:r w:rsidRPr="00C6066B">
        <w:rPr>
          <w:rStyle w:val="aff6"/>
          <w:rFonts w:hint="cs"/>
        </w:rPr>
        <w:instrText>REF</w:instrText>
      </w:r>
      <w:r w:rsidRPr="00C6066B">
        <w:rPr>
          <w:rStyle w:val="aff6"/>
          <w:rFonts w:hint="cs"/>
          <w:rtl/>
        </w:rPr>
        <w:instrText xml:space="preserve"> _</w:instrText>
      </w:r>
      <w:r w:rsidRPr="00C6066B">
        <w:rPr>
          <w:rStyle w:val="aff6"/>
          <w:rFonts w:hint="cs"/>
        </w:rPr>
        <w:instrText>Ref522187593 \r \h</w:instrText>
      </w:r>
      <w:r w:rsidRPr="00C6066B">
        <w:rPr>
          <w:rStyle w:val="aff6"/>
          <w:rtl/>
        </w:rPr>
        <w:instrText xml:space="preserve"> </w:instrText>
      </w:r>
      <w:r w:rsidRPr="00C6066B">
        <w:rPr>
          <w:rStyle w:val="aff6"/>
          <w:rtl/>
        </w:rPr>
      </w:r>
      <w:r w:rsidRPr="00C6066B">
        <w:rPr>
          <w:rStyle w:val="aff6"/>
          <w:rtl/>
        </w:rPr>
        <w:fldChar w:fldCharType="separate"/>
      </w:r>
      <w:r w:rsidR="00345400">
        <w:rPr>
          <w:rStyle w:val="aff6"/>
          <w:cs/>
        </w:rPr>
        <w:t>‎</w:t>
      </w:r>
      <w:r w:rsidR="00345400">
        <w:rPr>
          <w:rStyle w:val="aff6"/>
          <w:rtl/>
        </w:rPr>
        <w:t>כח)</w:t>
      </w:r>
      <w:r w:rsidRPr="00C6066B">
        <w:rPr>
          <w:rStyle w:val="aff6"/>
          <w:rtl/>
        </w:rPr>
        <w:fldChar w:fldCharType="end"/>
      </w:r>
      <w:r w:rsidRPr="007C2CC4">
        <w:rPr>
          <w:rFonts w:hint="cs"/>
          <w:rtl/>
        </w:rPr>
        <w:t xml:space="preserve"> </w:t>
      </w:r>
      <w:r>
        <w:rPr>
          <w:rStyle w:val="afb"/>
          <w:rFonts w:hint="cs"/>
          <w:rtl/>
        </w:rPr>
        <w:t>ודחאו</w:t>
      </w:r>
      <w:r w:rsidRPr="00426DB7">
        <w:rPr>
          <w:rStyle w:val="afb"/>
          <w:rFonts w:hint="cs"/>
          <w:rtl/>
        </w:rPr>
        <w:t xml:space="preserve"> </w:t>
      </w:r>
      <w:r w:rsidRPr="00694CF9">
        <w:rPr>
          <w:rStyle w:val="affa"/>
          <w:rFonts w:hint="cs"/>
          <w:rtl/>
        </w:rPr>
        <w:t>הרשב"א</w:t>
      </w:r>
      <w:r w:rsidRPr="00426DB7">
        <w:rPr>
          <w:rStyle w:val="afb"/>
          <w:rFonts w:hint="cs"/>
          <w:rtl/>
        </w:rPr>
        <w:t xml:space="preserve"> וביאר באופ"א</w:t>
      </w:r>
      <w:r>
        <w:rPr>
          <w:rStyle w:val="afb"/>
          <w:rFonts w:hint="cs"/>
          <w:rtl/>
        </w:rPr>
        <w:t xml:space="preserve">, עיי"ש. אמנם </w:t>
      </w:r>
      <w:r w:rsidRPr="00694CF9">
        <w:rPr>
          <w:rStyle w:val="affa"/>
          <w:rFonts w:hint="cs"/>
          <w:rtl/>
        </w:rPr>
        <w:t>הרשב"א</w:t>
      </w:r>
      <w:r w:rsidRPr="00694CF9">
        <w:rPr>
          <w:rStyle w:val="affa"/>
          <w:rtl/>
        </w:rPr>
        <w:t xml:space="preserve"> ביבמות</w:t>
      </w:r>
      <w:r w:rsidRPr="00426DB7">
        <w:rPr>
          <w:rStyle w:val="afb"/>
          <w:rtl/>
        </w:rPr>
        <w:t xml:space="preserve"> </w:t>
      </w:r>
      <w:r>
        <w:rPr>
          <w:rStyle w:val="afb"/>
          <w:rFonts w:hint="cs"/>
          <w:rtl/>
        </w:rPr>
        <w:t xml:space="preserve">לא ביאר את דין טומאה כלל, אך אולי כוונת </w:t>
      </w:r>
      <w:r w:rsidRPr="00694CF9">
        <w:rPr>
          <w:rStyle w:val="affa"/>
          <w:rFonts w:hint="cs"/>
          <w:rtl/>
        </w:rPr>
        <w:t>הגרב"ב</w:t>
      </w:r>
      <w:r>
        <w:rPr>
          <w:rStyle w:val="afb"/>
          <w:rFonts w:hint="cs"/>
          <w:rtl/>
        </w:rPr>
        <w:t xml:space="preserve"> לבאר את דין טומאה עפי"ד </w:t>
      </w:r>
      <w:r w:rsidRPr="00694CF9">
        <w:rPr>
          <w:rStyle w:val="affa"/>
          <w:rFonts w:hint="cs"/>
          <w:rtl/>
        </w:rPr>
        <w:t>הרשב"א ביבמות</w:t>
      </w:r>
      <w:r>
        <w:rPr>
          <w:rStyle w:val="afb"/>
          <w:rFonts w:hint="cs"/>
          <w:rtl/>
        </w:rPr>
        <w:t xml:space="preserve"> כמבואר מדברי </w:t>
      </w:r>
      <w:r w:rsidRPr="00694CF9">
        <w:rPr>
          <w:rStyle w:val="affa"/>
          <w:rFonts w:hint="cs"/>
          <w:rtl/>
        </w:rPr>
        <w:t>הגרעק"א</w:t>
      </w:r>
      <w:r>
        <w:rPr>
          <w:rStyle w:val="afb"/>
          <w:rFonts w:hint="cs"/>
          <w:rtl/>
        </w:rPr>
        <w:t xml:space="preserve"> וכדכתב </w:t>
      </w:r>
      <w:r w:rsidRPr="00694CF9">
        <w:rPr>
          <w:rStyle w:val="affa"/>
          <w:rFonts w:hint="cs"/>
          <w:rtl/>
        </w:rPr>
        <w:t>האבי עזרי</w:t>
      </w:r>
      <w:r>
        <w:rPr>
          <w:rStyle w:val="afb"/>
          <w:rFonts w:hint="cs"/>
          <w:rtl/>
        </w:rPr>
        <w:t xml:space="preserve"> </w:t>
      </w:r>
      <w:r w:rsidRPr="00AB4065">
        <w:rPr>
          <w:rStyle w:val="af7"/>
          <w:rFonts w:eastAsia="Guttman Hodes" w:hint="cs"/>
          <w:rtl/>
        </w:rPr>
        <w:t xml:space="preserve">(עי' אות </w:t>
      </w:r>
      <w:r w:rsidRPr="00AB4065">
        <w:rPr>
          <w:rStyle w:val="af7"/>
          <w:rFonts w:eastAsia="Guttman Hodes"/>
          <w:rtl/>
        </w:rPr>
        <w:fldChar w:fldCharType="begin"/>
      </w:r>
      <w:r w:rsidRPr="00AB4065">
        <w:rPr>
          <w:rStyle w:val="af7"/>
          <w:rFonts w:eastAsia="Guttman Hodes"/>
          <w:rtl/>
        </w:rPr>
        <w:instrText xml:space="preserve"> </w:instrText>
      </w:r>
      <w:r w:rsidRPr="00AB4065">
        <w:rPr>
          <w:rStyle w:val="af7"/>
          <w:rFonts w:eastAsia="Guttman Hodes" w:hint="cs"/>
        </w:rPr>
        <w:instrText>REF</w:instrText>
      </w:r>
      <w:r w:rsidRPr="00AB4065">
        <w:rPr>
          <w:rStyle w:val="af7"/>
          <w:rFonts w:eastAsia="Guttman Hodes" w:hint="cs"/>
          <w:rtl/>
        </w:rPr>
        <w:instrText xml:space="preserve"> _</w:instrText>
      </w:r>
      <w:r w:rsidRPr="00AB4065">
        <w:rPr>
          <w:rStyle w:val="af7"/>
          <w:rFonts w:eastAsia="Guttman Hodes" w:hint="cs"/>
        </w:rPr>
        <w:instrText>Ref522109006 \r \h</w:instrText>
      </w:r>
      <w:r w:rsidRPr="00AB4065">
        <w:rPr>
          <w:rStyle w:val="af7"/>
          <w:rFonts w:eastAsia="Guttman Hodes"/>
          <w:rtl/>
        </w:rPr>
        <w:instrText xml:space="preserve"> </w:instrText>
      </w:r>
      <w:r w:rsidRPr="00AB4065">
        <w:rPr>
          <w:rStyle w:val="af7"/>
          <w:rFonts w:eastAsia="Guttman Hodes"/>
          <w:rtl/>
        </w:rPr>
      </w:r>
      <w:r w:rsidRPr="00AB4065">
        <w:rPr>
          <w:rStyle w:val="af7"/>
          <w:rFonts w:eastAsia="Guttman Hodes"/>
          <w:rtl/>
        </w:rPr>
        <w:fldChar w:fldCharType="separate"/>
      </w:r>
      <w:r w:rsidR="00345400">
        <w:rPr>
          <w:rStyle w:val="af7"/>
          <w:rFonts w:eastAsia="Guttman Hodes"/>
          <w:cs/>
        </w:rPr>
        <w:t>‎</w:t>
      </w:r>
      <w:r w:rsidR="00345400">
        <w:rPr>
          <w:rStyle w:val="af7"/>
          <w:rFonts w:eastAsia="Guttman Hodes"/>
          <w:rtl/>
        </w:rPr>
        <w:t>מב)</w:t>
      </w:r>
      <w:r w:rsidRPr="00AB4065">
        <w:rPr>
          <w:rStyle w:val="af7"/>
          <w:rFonts w:eastAsia="Guttman Hodes"/>
          <w:rtl/>
        </w:rPr>
        <w:fldChar w:fldCharType="end"/>
      </w:r>
      <w:r w:rsidRPr="002015E4">
        <w:rPr>
          <w:rStyle w:val="afb"/>
          <w:rFonts w:hint="cs"/>
          <w:rtl/>
        </w:rPr>
        <w:t>].</w:t>
      </w:r>
      <w:r w:rsidRPr="00DA124B">
        <w:rPr>
          <w:rStyle w:val="af9"/>
          <w:rFonts w:hint="cs"/>
          <w:rtl/>
        </w:rPr>
        <w:t xml:space="preserve"> </w:t>
      </w:r>
      <w:bookmarkStart w:id="580" w:name="_Toc522086194"/>
      <w:bookmarkStart w:id="581" w:name="_Toc522099614"/>
    </w:p>
    <w:p w14:paraId="47AFFCF7" w14:textId="77777777" w:rsidR="00852065" w:rsidRPr="00694CF9" w:rsidRDefault="00852065" w:rsidP="006D6D32">
      <w:pPr>
        <w:pStyle w:val="a3"/>
        <w:rPr>
          <w:rtl/>
        </w:rPr>
      </w:pPr>
      <w:bookmarkStart w:id="582" w:name="_Toc19388928"/>
      <w:bookmarkStart w:id="583" w:name="_Toc19392425"/>
      <w:r>
        <w:rPr>
          <w:rFonts w:hint="cs"/>
          <w:rtl/>
        </w:rPr>
        <w:t>ביאור הגרב"ב בתי' הב' ברשב"א דיש לה חזקת טומאה מחיים לכשתמות בלא שחיטה</w:t>
      </w:r>
      <w:bookmarkEnd w:id="580"/>
      <w:bookmarkEnd w:id="581"/>
      <w:bookmarkEnd w:id="582"/>
      <w:bookmarkEnd w:id="583"/>
    </w:p>
    <w:p w14:paraId="4588745C" w14:textId="77777777" w:rsidR="00852065" w:rsidRDefault="00852065" w:rsidP="00223668">
      <w:pPr>
        <w:pStyle w:val="a0"/>
        <w:rPr>
          <w:rtl/>
        </w:rPr>
      </w:pPr>
      <w:r w:rsidRPr="00A547B8">
        <w:rPr>
          <w:rStyle w:val="af9"/>
          <w:rFonts w:hint="cs"/>
          <w:rtl/>
        </w:rPr>
        <w:t>ובתירוץ הב' ברשב"א</w:t>
      </w:r>
      <w:r>
        <w:rPr>
          <w:rStyle w:val="af9"/>
          <w:rFonts w:hint="cs"/>
          <w:rtl/>
        </w:rPr>
        <w:t xml:space="preserve"> </w:t>
      </w:r>
      <w:r>
        <w:rPr>
          <w:rFonts w:hint="cs"/>
          <w:rtl/>
        </w:rPr>
        <w:t xml:space="preserve">ביאר </w:t>
      </w:r>
      <w:r w:rsidRPr="00E07167">
        <w:rPr>
          <w:rStyle w:val="af9"/>
          <w:rFonts w:hint="cs"/>
          <w:rtl/>
        </w:rPr>
        <w:t>בחו"ש הגרב"ב</w:t>
      </w:r>
      <w:r>
        <w:rPr>
          <w:rFonts w:hint="cs"/>
          <w:rtl/>
        </w:rPr>
        <w:t xml:space="preserve"> דאף לענין טומאה יש לה חזקה, כיון שמחיים עמדה לכך שאם יעשה בה מעשה שחיטה שמכשירה לא תטמא בטומאת נבילה, ואם לא יעשה בה מעשה שחיטה תטמא, ולכן בספק אם נעשה בה מעשה שחיטה, יש לה חזקת טומאה דמחיים עמדה לטמא לכשתמות בלא הכשר, וא"כ א"צ לומר דמחמת דאסורה באכילה ממילא מטמאה, אלא הוא חזקה בטומאה גופא, [וכדברי </w:t>
      </w:r>
      <w:r w:rsidRPr="000B4B96">
        <w:rPr>
          <w:rStyle w:val="af9"/>
          <w:rFonts w:hint="cs"/>
          <w:rtl/>
        </w:rPr>
        <w:t>השיטמ"ק</w:t>
      </w:r>
      <w:r>
        <w:rPr>
          <w:rFonts w:hint="cs"/>
          <w:rtl/>
        </w:rPr>
        <w:t xml:space="preserve"> בשם </w:t>
      </w:r>
      <w:r w:rsidRPr="000B4B96">
        <w:rPr>
          <w:rStyle w:val="af9"/>
          <w:rFonts w:hint="cs"/>
          <w:rtl/>
        </w:rPr>
        <w:t>הרא"ה</w:t>
      </w:r>
      <w:r>
        <w:rPr>
          <w:rFonts w:hint="cs"/>
          <w:rtl/>
        </w:rPr>
        <w:t xml:space="preserve"> </w:t>
      </w:r>
      <w:r w:rsidRPr="00AB4065">
        <w:rPr>
          <w:rStyle w:val="af7"/>
          <w:rFonts w:eastAsia="Guttman Hodes" w:hint="cs"/>
          <w:rtl/>
        </w:rPr>
        <w:t xml:space="preserve">(עי' אות </w:t>
      </w:r>
      <w:r w:rsidRPr="00AB4065">
        <w:rPr>
          <w:rStyle w:val="af7"/>
          <w:rFonts w:eastAsia="Guttman Hodes"/>
          <w:rtl/>
        </w:rPr>
        <w:fldChar w:fldCharType="begin"/>
      </w:r>
      <w:r w:rsidRPr="00AB4065">
        <w:rPr>
          <w:rStyle w:val="af7"/>
          <w:rFonts w:eastAsia="Guttman Hodes"/>
          <w:rtl/>
        </w:rPr>
        <w:instrText xml:space="preserve"> </w:instrText>
      </w:r>
      <w:r w:rsidRPr="00AB4065">
        <w:rPr>
          <w:rStyle w:val="af7"/>
          <w:rFonts w:eastAsia="Guttman Hodes" w:hint="cs"/>
        </w:rPr>
        <w:instrText>REF</w:instrText>
      </w:r>
      <w:r w:rsidRPr="00AB4065">
        <w:rPr>
          <w:rStyle w:val="af7"/>
          <w:rFonts w:eastAsia="Guttman Hodes" w:hint="cs"/>
          <w:rtl/>
        </w:rPr>
        <w:instrText xml:space="preserve"> _</w:instrText>
      </w:r>
      <w:r w:rsidRPr="00AB4065">
        <w:rPr>
          <w:rStyle w:val="af7"/>
          <w:rFonts w:eastAsia="Guttman Hodes" w:hint="cs"/>
        </w:rPr>
        <w:instrText>Ref522109041 \r \h</w:instrText>
      </w:r>
      <w:r w:rsidRPr="00AB4065">
        <w:rPr>
          <w:rStyle w:val="af7"/>
          <w:rFonts w:eastAsia="Guttman Hodes"/>
          <w:rtl/>
        </w:rPr>
        <w:instrText xml:space="preserve"> </w:instrText>
      </w:r>
      <w:r w:rsidRPr="00AB4065">
        <w:rPr>
          <w:rStyle w:val="af7"/>
          <w:rFonts w:eastAsia="Guttman Hodes"/>
          <w:rtl/>
        </w:rPr>
      </w:r>
      <w:r w:rsidRPr="00AB4065">
        <w:rPr>
          <w:rStyle w:val="af7"/>
          <w:rFonts w:eastAsia="Guttman Hodes"/>
          <w:rtl/>
        </w:rPr>
        <w:fldChar w:fldCharType="separate"/>
      </w:r>
      <w:r w:rsidR="00345400">
        <w:rPr>
          <w:rStyle w:val="af7"/>
          <w:rFonts w:eastAsia="Guttman Hodes"/>
          <w:cs/>
        </w:rPr>
        <w:t>‎</w:t>
      </w:r>
      <w:r w:rsidR="00345400">
        <w:rPr>
          <w:rStyle w:val="af7"/>
          <w:rFonts w:eastAsia="Guttman Hodes"/>
          <w:rtl/>
        </w:rPr>
        <w:t>ס)</w:t>
      </w:r>
      <w:r w:rsidRPr="00AB4065">
        <w:rPr>
          <w:rStyle w:val="af7"/>
          <w:rFonts w:eastAsia="Guttman Hodes"/>
          <w:rtl/>
        </w:rPr>
        <w:fldChar w:fldCharType="end"/>
      </w:r>
      <w:r>
        <w:rPr>
          <w:rFonts w:hint="cs"/>
          <w:rtl/>
        </w:rPr>
        <w:t>].</w:t>
      </w:r>
    </w:p>
    <w:p w14:paraId="1EE4C517" w14:textId="77777777" w:rsidR="00852065" w:rsidRDefault="00852065" w:rsidP="00BF39B2">
      <w:pPr>
        <w:pStyle w:val="1"/>
        <w:rPr>
          <w:rtl/>
        </w:rPr>
      </w:pPr>
      <w:bookmarkStart w:id="584" w:name="_Toc522028155"/>
      <w:bookmarkStart w:id="585" w:name="_Toc522086195"/>
      <w:bookmarkStart w:id="586" w:name="_Toc522099615"/>
      <w:bookmarkStart w:id="587" w:name="_Toc19388929"/>
      <w:bookmarkStart w:id="588" w:name="_Toc19392426"/>
      <w:r>
        <w:rPr>
          <w:rFonts w:hint="cs"/>
          <w:rtl/>
        </w:rPr>
        <w:t>קושית השער"י על הש"ש דחזקת איסור לא מהני לטומאה</w:t>
      </w:r>
      <w:bookmarkEnd w:id="584"/>
      <w:bookmarkEnd w:id="585"/>
      <w:bookmarkEnd w:id="586"/>
      <w:bookmarkEnd w:id="587"/>
      <w:bookmarkEnd w:id="588"/>
    </w:p>
    <w:p w14:paraId="4969CAC3" w14:textId="77777777" w:rsidR="00852065" w:rsidRPr="00700506" w:rsidRDefault="00852065" w:rsidP="006D6D32">
      <w:pPr>
        <w:pStyle w:val="a3"/>
        <w:rPr>
          <w:rStyle w:val="af9"/>
          <w:b w:val="0"/>
          <w:bCs w:val="0"/>
        </w:rPr>
      </w:pPr>
      <w:bookmarkStart w:id="589" w:name="_Toc522086196"/>
      <w:bookmarkStart w:id="590" w:name="_Toc522099616"/>
      <w:bookmarkStart w:id="591" w:name="_Toc19388930"/>
      <w:bookmarkStart w:id="592" w:name="_Toc19392427"/>
      <w:r w:rsidRPr="00700506">
        <w:rPr>
          <w:rtl/>
        </w:rPr>
        <w:t xml:space="preserve">קושית השער"י על הש"ש דאין חזקת הגוף </w:t>
      </w:r>
      <w:r w:rsidRPr="00700506">
        <w:rPr>
          <w:rFonts w:hint="cs"/>
          <w:rtl/>
        </w:rPr>
        <w:t xml:space="preserve">על עצם השחיטה </w:t>
      </w:r>
      <w:r w:rsidRPr="00700506">
        <w:rPr>
          <w:rtl/>
        </w:rPr>
        <w:t>שמכריעה שלא נשחטה</w:t>
      </w:r>
      <w:bookmarkEnd w:id="589"/>
      <w:bookmarkEnd w:id="590"/>
      <w:bookmarkEnd w:id="591"/>
      <w:bookmarkEnd w:id="592"/>
    </w:p>
    <w:p w14:paraId="7A9478A6" w14:textId="77777777" w:rsidR="00852065" w:rsidRDefault="00852065" w:rsidP="00223668">
      <w:pPr>
        <w:pStyle w:val="a0"/>
        <w:rPr>
          <w:rtl/>
        </w:rPr>
      </w:pPr>
      <w:bookmarkStart w:id="593" w:name="_Ref522100973"/>
      <w:r w:rsidRPr="00C900D4">
        <w:rPr>
          <w:rStyle w:val="af9"/>
          <w:rFonts w:hint="cs"/>
          <w:rtl/>
        </w:rPr>
        <w:t>השער"י</w:t>
      </w:r>
      <w:r w:rsidRPr="006929B7">
        <w:rPr>
          <w:rFonts w:hint="cs"/>
          <w:rtl/>
        </w:rPr>
        <w:t xml:space="preserve"> </w:t>
      </w:r>
      <w:r w:rsidRPr="00A31D5A">
        <w:rPr>
          <w:rStyle w:val="af7"/>
          <w:rFonts w:eastAsia="Guttman Hodes" w:hint="cs"/>
          <w:rtl/>
        </w:rPr>
        <w:t>(שער החזקות פ"ו)</w:t>
      </w:r>
      <w:r w:rsidRPr="006929B7">
        <w:rPr>
          <w:rFonts w:hint="cs"/>
          <w:rtl/>
        </w:rPr>
        <w:t xml:space="preserve"> הביא את דברי </w:t>
      </w:r>
      <w:r w:rsidRPr="00C900D4">
        <w:rPr>
          <w:rStyle w:val="af9"/>
          <w:rFonts w:hint="cs"/>
          <w:rtl/>
        </w:rPr>
        <w:t>הש"ש</w:t>
      </w:r>
      <w:r w:rsidRPr="006929B7">
        <w:rPr>
          <w:rFonts w:hint="cs"/>
          <w:rtl/>
        </w:rPr>
        <w:t xml:space="preserve"> </w:t>
      </w:r>
      <w:r w:rsidRPr="00FA5600">
        <w:rPr>
          <w:rStyle w:val="af7"/>
          <w:rFonts w:eastAsia="Guttman Hodes" w:hint="cs"/>
          <w:rtl/>
        </w:rPr>
        <w:t xml:space="preserve">(עי' אות </w:t>
      </w:r>
      <w:r w:rsidRPr="00FA5600">
        <w:rPr>
          <w:rStyle w:val="af7"/>
          <w:rFonts w:eastAsia="Guttman Hodes"/>
          <w:rtl/>
        </w:rPr>
        <w:fldChar w:fldCharType="begin"/>
      </w:r>
      <w:r w:rsidRPr="00FA5600">
        <w:rPr>
          <w:rStyle w:val="af7"/>
          <w:rFonts w:eastAsia="Guttman Hodes"/>
          <w:rtl/>
        </w:rPr>
        <w:instrText xml:space="preserve"> </w:instrText>
      </w:r>
      <w:r w:rsidRPr="00FA5600">
        <w:rPr>
          <w:rStyle w:val="af7"/>
          <w:rFonts w:eastAsia="Guttman Hodes" w:hint="cs"/>
        </w:rPr>
        <w:instrText>REF</w:instrText>
      </w:r>
      <w:r w:rsidRPr="00FA5600">
        <w:rPr>
          <w:rStyle w:val="af7"/>
          <w:rFonts w:eastAsia="Guttman Hodes" w:hint="cs"/>
          <w:rtl/>
        </w:rPr>
        <w:instrText xml:space="preserve"> _</w:instrText>
      </w:r>
      <w:r w:rsidRPr="00FA5600">
        <w:rPr>
          <w:rStyle w:val="af7"/>
          <w:rFonts w:eastAsia="Guttman Hodes" w:hint="cs"/>
        </w:rPr>
        <w:instrText>Ref522113471 \r \h</w:instrText>
      </w:r>
      <w:r w:rsidRPr="00FA5600">
        <w:rPr>
          <w:rStyle w:val="af7"/>
          <w:rFonts w:eastAsia="Guttman Hodes"/>
          <w:rtl/>
        </w:rPr>
        <w:instrText xml:space="preserve"> </w:instrText>
      </w:r>
      <w:r w:rsidRPr="00FA5600">
        <w:rPr>
          <w:rStyle w:val="af7"/>
          <w:rFonts w:eastAsia="Guttman Hodes"/>
          <w:rtl/>
        </w:rPr>
      </w:r>
      <w:r w:rsidRPr="00FA5600">
        <w:rPr>
          <w:rStyle w:val="af7"/>
          <w:rFonts w:eastAsia="Guttman Hodes"/>
          <w:rtl/>
        </w:rPr>
        <w:fldChar w:fldCharType="separate"/>
      </w:r>
      <w:r w:rsidR="00345400">
        <w:rPr>
          <w:rStyle w:val="af7"/>
          <w:rFonts w:eastAsia="Guttman Hodes"/>
          <w:cs/>
        </w:rPr>
        <w:t>‎</w:t>
      </w:r>
      <w:r w:rsidR="00345400">
        <w:rPr>
          <w:rStyle w:val="af7"/>
          <w:rFonts w:eastAsia="Guttman Hodes"/>
          <w:rtl/>
        </w:rPr>
        <w:t>מה)</w:t>
      </w:r>
      <w:r w:rsidRPr="00FA5600">
        <w:rPr>
          <w:rStyle w:val="af7"/>
          <w:rFonts w:eastAsia="Guttman Hodes"/>
          <w:rtl/>
        </w:rPr>
        <w:fldChar w:fldCharType="end"/>
      </w:r>
      <w:r w:rsidRPr="006929B7">
        <w:rPr>
          <w:rFonts w:hint="cs"/>
          <w:rtl/>
        </w:rPr>
        <w:t xml:space="preserve"> דביאר דכיון </w:t>
      </w:r>
      <w:r>
        <w:rPr>
          <w:rFonts w:hint="cs"/>
          <w:rtl/>
        </w:rPr>
        <w:t xml:space="preserve">דאזלינן בתר חזקת אינו זבוח, ממילא מטמאה כנבילה. והקשה </w:t>
      </w:r>
      <w:r w:rsidRPr="00C900D4">
        <w:rPr>
          <w:rStyle w:val="af9"/>
          <w:rFonts w:hint="cs"/>
          <w:rtl/>
        </w:rPr>
        <w:t>השער"י</w:t>
      </w:r>
      <w:r>
        <w:rPr>
          <w:rFonts w:hint="cs"/>
          <w:rtl/>
        </w:rPr>
        <w:t xml:space="preserve"> </w:t>
      </w:r>
      <w:r w:rsidRPr="00A31D5A">
        <w:rPr>
          <w:rStyle w:val="af7"/>
          <w:rFonts w:eastAsia="Guttman Hodes" w:hint="cs"/>
          <w:rtl/>
        </w:rPr>
        <w:t>(שער החזקות פ"ו ד"ה ודבריו)</w:t>
      </w:r>
      <w:r>
        <w:rPr>
          <w:rFonts w:hint="cs"/>
          <w:rtl/>
        </w:rPr>
        <w:t xml:space="preserve"> דדוקא אם החזקה הייתה על עצם מעשה השחיטה, דמחזקינן לה שלא נשחטה, א"כ פשיטא דכמו דלענין איסור אזלינן בתר חזקה דאינה שחוטה, ה"ה לענין טומאה, דהוא כעין חזקת הגוף דמהני החזקה גם לדינים שנולדים מהספק, אבל בסוגיין א"א להעמידה בחזקת אינה שחוטה, דהא נעשה מעשה שחיטה לפנינו, והספק הוא רק האם נשחטו הסימנים כראוי, וא"א לומר דיש לה חזקה שלא נשתנה הגוף, דאף אם לא נשחטו כראוי היה שינוי בגוף.</w:t>
      </w:r>
      <w:bookmarkEnd w:id="593"/>
    </w:p>
    <w:p w14:paraId="2CE56208" w14:textId="77777777" w:rsidR="00852065" w:rsidRPr="002F57D0" w:rsidRDefault="00852065" w:rsidP="006D6D32">
      <w:pPr>
        <w:pStyle w:val="a3"/>
        <w:rPr>
          <w:rtl/>
        </w:rPr>
      </w:pPr>
      <w:bookmarkStart w:id="594" w:name="_Toc522086197"/>
      <w:bookmarkStart w:id="595" w:name="_Toc522099617"/>
      <w:bookmarkStart w:id="596" w:name="_Toc19388931"/>
      <w:bookmarkStart w:id="597" w:name="_Toc19392428"/>
      <w:r>
        <w:rPr>
          <w:rFonts w:hint="cs"/>
          <w:rtl/>
        </w:rPr>
        <w:t>דברי השער"י דיש רק חזקת איסור ואין חזקה על עצם השחיטה ולא מהני לענין טומאה</w:t>
      </w:r>
      <w:bookmarkEnd w:id="594"/>
      <w:bookmarkEnd w:id="595"/>
      <w:bookmarkEnd w:id="596"/>
      <w:bookmarkEnd w:id="597"/>
    </w:p>
    <w:p w14:paraId="76EE8BC5" w14:textId="77777777" w:rsidR="00852065" w:rsidRDefault="00852065" w:rsidP="00223668">
      <w:pPr>
        <w:pStyle w:val="a0"/>
        <w:rPr>
          <w:rtl/>
        </w:rPr>
      </w:pPr>
      <w:r>
        <w:rPr>
          <w:rFonts w:hint="cs"/>
          <w:rtl/>
        </w:rPr>
        <w:t xml:space="preserve">וכתב </w:t>
      </w:r>
      <w:r w:rsidRPr="00C900D4">
        <w:rPr>
          <w:rStyle w:val="af9"/>
          <w:rFonts w:hint="cs"/>
          <w:rtl/>
        </w:rPr>
        <w:t>השער"י</w:t>
      </w:r>
      <w:r>
        <w:rPr>
          <w:rFonts w:hint="cs"/>
          <w:rtl/>
        </w:rPr>
        <w:t xml:space="preserve"> דלכן אפשר להעמידה רק על חזקת איסור שמחיים הייתה אסורה באכילה, כדאמר רב הונא דבהמה בחייה בחזקת איסור עומדת, דאי"ז חזקת הגוף אלא חזקת איסור דאינו זבוח, כדכתבו </w:t>
      </w:r>
      <w:r w:rsidRPr="00C900D4">
        <w:rPr>
          <w:rStyle w:val="af9"/>
          <w:rFonts w:hint="cs"/>
          <w:rtl/>
        </w:rPr>
        <w:t>התוס' בביצה</w:t>
      </w:r>
      <w:r>
        <w:rPr>
          <w:rFonts w:hint="cs"/>
          <w:rtl/>
        </w:rPr>
        <w:t xml:space="preserve"> </w:t>
      </w:r>
      <w:r w:rsidRPr="00AB4065">
        <w:rPr>
          <w:rStyle w:val="af7"/>
          <w:rFonts w:eastAsia="Guttman Hodes" w:hint="cs"/>
          <w:rtl/>
        </w:rPr>
        <w:t xml:space="preserve">(עי' אות </w:t>
      </w:r>
      <w:r w:rsidRPr="00AB4065">
        <w:rPr>
          <w:rStyle w:val="af7"/>
          <w:rFonts w:eastAsia="Guttman Hodes"/>
          <w:rtl/>
        </w:rPr>
        <w:fldChar w:fldCharType="begin"/>
      </w:r>
      <w:r w:rsidRPr="00AB4065">
        <w:rPr>
          <w:rStyle w:val="af7"/>
          <w:rFonts w:eastAsia="Guttman Hodes"/>
          <w:rtl/>
        </w:rPr>
        <w:instrText xml:space="preserve"> </w:instrText>
      </w:r>
      <w:r w:rsidRPr="00AB4065">
        <w:rPr>
          <w:rStyle w:val="af7"/>
          <w:rFonts w:eastAsia="Guttman Hodes" w:hint="cs"/>
        </w:rPr>
        <w:instrText>REF</w:instrText>
      </w:r>
      <w:r w:rsidRPr="00AB4065">
        <w:rPr>
          <w:rStyle w:val="af7"/>
          <w:rFonts w:eastAsia="Guttman Hodes" w:hint="cs"/>
          <w:rtl/>
        </w:rPr>
        <w:instrText xml:space="preserve"> _</w:instrText>
      </w:r>
      <w:r w:rsidRPr="00AB4065">
        <w:rPr>
          <w:rStyle w:val="af7"/>
          <w:rFonts w:eastAsia="Guttman Hodes" w:hint="cs"/>
        </w:rPr>
        <w:instrText>Ref522100783 \r \h</w:instrText>
      </w:r>
      <w:r w:rsidRPr="00AB4065">
        <w:rPr>
          <w:rStyle w:val="af7"/>
          <w:rFonts w:eastAsia="Guttman Hodes"/>
          <w:rtl/>
        </w:rPr>
        <w:instrText xml:space="preserve"> </w:instrText>
      </w:r>
      <w:r w:rsidRPr="00AB4065">
        <w:rPr>
          <w:rStyle w:val="af7"/>
          <w:rFonts w:eastAsia="Guttman Hodes"/>
          <w:rtl/>
        </w:rPr>
      </w:r>
      <w:r w:rsidRPr="00AB4065">
        <w:rPr>
          <w:rStyle w:val="af7"/>
          <w:rFonts w:eastAsia="Guttman Hodes"/>
          <w:rtl/>
        </w:rPr>
        <w:fldChar w:fldCharType="separate"/>
      </w:r>
      <w:r w:rsidR="00345400">
        <w:rPr>
          <w:rStyle w:val="af7"/>
          <w:rFonts w:eastAsia="Guttman Hodes"/>
          <w:cs/>
        </w:rPr>
        <w:t>‎</w:t>
      </w:r>
      <w:r w:rsidR="00345400">
        <w:rPr>
          <w:rStyle w:val="af7"/>
          <w:rFonts w:eastAsia="Guttman Hodes"/>
          <w:rtl/>
        </w:rPr>
        <w:t>יא)</w:t>
      </w:r>
      <w:r w:rsidRPr="00AB4065">
        <w:rPr>
          <w:rStyle w:val="af7"/>
          <w:rFonts w:eastAsia="Guttman Hodes"/>
          <w:rtl/>
        </w:rPr>
        <w:fldChar w:fldCharType="end"/>
      </w:r>
      <w:r>
        <w:rPr>
          <w:rFonts w:hint="cs"/>
          <w:rtl/>
        </w:rPr>
        <w:t>, וכיון דהיא חזקת איסור לענין אכילה, א"כ א"א לומר דמהני החזקה אף לענין טומאה, דאדרבה צריך להעמידה על חזקת טהרה שלא הייתה טמאה מחיים, דהרי דין הטומאה הוא תלוי בעצם השחיטה, וכיון שאין חזקה על עצם השחיטה, צריך להעמיד כל דין על חזקתו.</w:t>
      </w:r>
    </w:p>
    <w:p w14:paraId="3874ED9E" w14:textId="77777777" w:rsidR="00852065" w:rsidRDefault="00852065" w:rsidP="00BF39B2">
      <w:pPr>
        <w:pStyle w:val="1"/>
        <w:rPr>
          <w:rtl/>
        </w:rPr>
      </w:pPr>
      <w:bookmarkStart w:id="598" w:name="_Toc522086198"/>
      <w:bookmarkStart w:id="599" w:name="_Toc522099618"/>
      <w:bookmarkStart w:id="600" w:name="_Toc19388932"/>
      <w:bookmarkStart w:id="601" w:name="_Toc19392429"/>
      <w:r>
        <w:rPr>
          <w:rFonts w:hint="cs"/>
          <w:rtl/>
        </w:rPr>
        <w:t>ביאור השער"י דהשחיטה לטומאה תלויה בחזקת חיה לאכילה</w:t>
      </w:r>
      <w:bookmarkEnd w:id="598"/>
      <w:bookmarkEnd w:id="599"/>
      <w:bookmarkEnd w:id="600"/>
      <w:bookmarkEnd w:id="601"/>
    </w:p>
    <w:p w14:paraId="78CC9359" w14:textId="77777777" w:rsidR="00852065" w:rsidRPr="003A56C3" w:rsidRDefault="00852065" w:rsidP="006D6D32">
      <w:pPr>
        <w:pStyle w:val="a3"/>
        <w:rPr>
          <w:rtl/>
        </w:rPr>
      </w:pPr>
      <w:bookmarkStart w:id="602" w:name="_Toc522086199"/>
      <w:bookmarkStart w:id="603" w:name="_Toc522099619"/>
      <w:bookmarkStart w:id="604" w:name="_Toc19388933"/>
      <w:bookmarkStart w:id="605" w:name="_Toc19392430"/>
      <w:r>
        <w:rPr>
          <w:rFonts w:hint="cs"/>
          <w:rtl/>
        </w:rPr>
        <w:t>ביאור השער"י דהכשר שחיטה בטומאה תלוי בהיתר אכילה דכשיש לה דין שחוטה אינה נבילה</w:t>
      </w:r>
      <w:bookmarkEnd w:id="602"/>
      <w:bookmarkEnd w:id="603"/>
      <w:bookmarkEnd w:id="604"/>
      <w:bookmarkEnd w:id="605"/>
    </w:p>
    <w:p w14:paraId="5B3DAC13" w14:textId="77777777" w:rsidR="00852065" w:rsidRDefault="00852065" w:rsidP="00223668">
      <w:pPr>
        <w:pStyle w:val="a0"/>
        <w:rPr>
          <w:rtl/>
        </w:rPr>
      </w:pPr>
      <w:bookmarkStart w:id="606" w:name="_Ref522262309"/>
      <w:r>
        <w:rPr>
          <w:rFonts w:hint="cs"/>
          <w:rtl/>
        </w:rPr>
        <w:t xml:space="preserve">אלא ביאר </w:t>
      </w:r>
      <w:r w:rsidRPr="00C900D4">
        <w:rPr>
          <w:rStyle w:val="af9"/>
          <w:rFonts w:hint="cs"/>
          <w:rtl/>
        </w:rPr>
        <w:t>השער"י</w:t>
      </w:r>
      <w:r>
        <w:rPr>
          <w:rFonts w:hint="cs"/>
          <w:rtl/>
        </w:rPr>
        <w:t xml:space="preserve"> </w:t>
      </w:r>
      <w:r>
        <w:rPr>
          <w:rStyle w:val="af7"/>
          <w:rFonts w:eastAsia="Guttman Hodes" w:hint="cs"/>
          <w:rtl/>
        </w:rPr>
        <w:t>(שער החזקות פ"ו</w:t>
      </w:r>
      <w:r w:rsidRPr="00C900D4">
        <w:rPr>
          <w:rStyle w:val="af7"/>
          <w:rFonts w:eastAsia="Guttman Hodes" w:hint="cs"/>
          <w:rtl/>
        </w:rPr>
        <w:t xml:space="preserve"> ד"ה ונראה לענ"ד)</w:t>
      </w:r>
      <w:r>
        <w:rPr>
          <w:rFonts w:hint="cs"/>
          <w:rtl/>
        </w:rPr>
        <w:t xml:space="preserve"> דאף לענין טומאה ההכשר של השחיטה תלוי באיסור האכילה, דהא דהשחיטה מהני להחשיבה כאינה נבילה, הוא מחמת דע"י שחיטה בטל ממנה דין חיה, כמבואר בדין מפרכסת ובדין בן פקועה [עיי"ש בדבריו], דהתורה החשיבה בהמה שחוטה כמתה, ולכן במה שמתה אחר השחיטה אינה נעשית נבילה, דיש לה דין שחוטה כבר כשהיא מפרכסת לאחר השחיטה ועיין היא חיה, והדין טומאה בנבילה הוא מדכתי' "וכי ימות מן הבהמה", והיכא דיש לה דין שחוטה חשיבא כמתה מעיקרא, ולכן הדין שחוטה לענין טומאה תלוי בדין שחיטה לענין איסור, דכשחל עליה דין שחוטה ממילא אינה נבילה.</w:t>
      </w:r>
      <w:bookmarkEnd w:id="606"/>
    </w:p>
    <w:p w14:paraId="67FF40B9" w14:textId="77777777" w:rsidR="00852065" w:rsidRDefault="00852065" w:rsidP="006D6D32">
      <w:pPr>
        <w:pStyle w:val="a3"/>
        <w:rPr>
          <w:rtl/>
        </w:rPr>
      </w:pPr>
      <w:bookmarkStart w:id="607" w:name="_Toc522086200"/>
      <w:bookmarkStart w:id="608" w:name="_Toc522099620"/>
      <w:bookmarkStart w:id="609" w:name="_Toc19388934"/>
      <w:bookmarkStart w:id="610" w:name="_Toc19392431"/>
      <w:r>
        <w:rPr>
          <w:rFonts w:hint="cs"/>
          <w:rtl/>
        </w:rPr>
        <w:t>ביאור השער"י דהיתר שחיטה בטומאה תלוי בדין חזקת חיה של הבהמה ולא במעשה השחיטה</w:t>
      </w:r>
      <w:bookmarkEnd w:id="607"/>
      <w:bookmarkEnd w:id="608"/>
      <w:bookmarkEnd w:id="609"/>
      <w:bookmarkEnd w:id="610"/>
    </w:p>
    <w:p w14:paraId="4662E1A8" w14:textId="77777777" w:rsidR="00852065" w:rsidRDefault="00852065" w:rsidP="00223668">
      <w:pPr>
        <w:pStyle w:val="a0"/>
        <w:rPr>
          <w:rtl/>
        </w:rPr>
      </w:pPr>
      <w:r>
        <w:rPr>
          <w:rFonts w:hint="cs"/>
          <w:rtl/>
        </w:rPr>
        <w:t xml:space="preserve">וכתב </w:t>
      </w:r>
      <w:r w:rsidRPr="00C900D4">
        <w:rPr>
          <w:rStyle w:val="af9"/>
          <w:rFonts w:hint="cs"/>
          <w:rtl/>
        </w:rPr>
        <w:t>השער"י</w:t>
      </w:r>
      <w:r>
        <w:rPr>
          <w:rFonts w:hint="cs"/>
          <w:rtl/>
        </w:rPr>
        <w:t xml:space="preserve"> </w:t>
      </w:r>
      <w:r w:rsidRPr="00C900D4">
        <w:rPr>
          <w:rStyle w:val="af7"/>
          <w:rFonts w:eastAsia="Guttman Hodes" w:hint="cs"/>
          <w:rtl/>
        </w:rPr>
        <w:t>(שער החזקות פ"ו ד"ה ולפי"ז י"ל)</w:t>
      </w:r>
      <w:r>
        <w:rPr>
          <w:rFonts w:hint="cs"/>
          <w:rtl/>
        </w:rPr>
        <w:t xml:space="preserve"> דכל דין שחיטה לענין נבילה, הוא תולדה מהדין שנשתנה בחיות של הבהמה, ואינו תוצאה מהמעשה שחיטה עצמו, ולכן בספק שחיטה לענין טומאה, אין הנדון על מעשה השחיטה, אלא האם נשתנה הדין חיה בבהמה מעיקרא, דכל שהיה לה דין חיה ממילא כשמתה היא נעשית נבילה, אלא דאי"ז חזקת חיה דחזקת הגוף שהוא חזקה במציאות, אלא היא חזקת דין דאף שאחר שנשחטו הסימנים כראוי ובמציאות היא חיה ומפרכסת, מ"מ ע"י השחיטה אין לה דין חיה.</w:t>
      </w:r>
    </w:p>
    <w:p w14:paraId="5A77CBD0" w14:textId="77777777" w:rsidR="00852065" w:rsidRPr="00EA3D26" w:rsidRDefault="00852065" w:rsidP="006D6D32">
      <w:pPr>
        <w:pStyle w:val="a3"/>
        <w:rPr>
          <w:rtl/>
        </w:rPr>
      </w:pPr>
      <w:bookmarkStart w:id="611" w:name="_Toc522086201"/>
      <w:bookmarkStart w:id="612" w:name="_Toc522099621"/>
      <w:bookmarkStart w:id="613" w:name="_Toc19388935"/>
      <w:bookmarkStart w:id="614" w:name="_Toc19392432"/>
      <w:r>
        <w:rPr>
          <w:rFonts w:hint="cs"/>
          <w:rtl/>
        </w:rPr>
        <w:t>ביאור השער"י דספק בטומאה הוא ספק בדין חיה וע"י חזקת חיה ממילא מטמאה כשמתה</w:t>
      </w:r>
      <w:bookmarkEnd w:id="611"/>
      <w:bookmarkEnd w:id="612"/>
      <w:bookmarkEnd w:id="613"/>
      <w:bookmarkEnd w:id="614"/>
    </w:p>
    <w:p w14:paraId="40D2C5FA" w14:textId="77777777" w:rsidR="00852065" w:rsidRDefault="00852065" w:rsidP="00223668">
      <w:pPr>
        <w:pStyle w:val="a0"/>
        <w:rPr>
          <w:rtl/>
        </w:rPr>
      </w:pPr>
      <w:r>
        <w:rPr>
          <w:rFonts w:hint="cs"/>
          <w:rtl/>
        </w:rPr>
        <w:t xml:space="preserve">וביאר </w:t>
      </w:r>
      <w:r w:rsidRPr="00C900D4">
        <w:rPr>
          <w:rStyle w:val="af9"/>
          <w:rFonts w:hint="cs"/>
          <w:rtl/>
        </w:rPr>
        <w:t>השער"י</w:t>
      </w:r>
      <w:r>
        <w:rPr>
          <w:rFonts w:hint="cs"/>
          <w:rtl/>
        </w:rPr>
        <w:t xml:space="preserve"> דאיסור אבר מן החי הוא במקום שיש לבהמה דין חיה, וספק בשחיטה גם לענין טומאת נבילה, הוא ספק בחזקת דין חיה, דכל שלא נשחטה כראוי עדיין יש לה בשחיטה דין חיה, וכשמתה ממילא נעשית נבילה, וזהו כוונת הגמ' בביאור דעת הברייתא דמטמאה כנבילה, דסברה הברייתא דבחזקת איסור קיימא ועכשיו היא מתה, והיינו דכיון שמעולם היייתה בחזקת דין חיה, וחיה שמתה ממילא נעשית נבילה.</w:t>
      </w:r>
    </w:p>
    <w:p w14:paraId="7101D25F" w14:textId="77777777" w:rsidR="00FE0CB4" w:rsidRPr="00FE0CB4" w:rsidRDefault="00FE0CB4" w:rsidP="006D6D32">
      <w:pPr>
        <w:pStyle w:val="a3"/>
        <w:rPr>
          <w:rtl/>
        </w:rPr>
      </w:pPr>
    </w:p>
    <w:p w14:paraId="6DF07C72" w14:textId="77777777" w:rsidR="00FE0CB4" w:rsidRPr="00FE0CB4" w:rsidRDefault="00FE0CB4" w:rsidP="006D6D32">
      <w:pPr>
        <w:pStyle w:val="a3"/>
        <w:rPr>
          <w:rtl/>
        </w:rPr>
      </w:pPr>
    </w:p>
    <w:p w14:paraId="3DE31E05" w14:textId="77777777" w:rsidR="00852065" w:rsidRDefault="00852065" w:rsidP="00BF39B2">
      <w:pPr>
        <w:pStyle w:val="1"/>
        <w:rPr>
          <w:rtl/>
        </w:rPr>
      </w:pPr>
      <w:bookmarkStart w:id="615" w:name="_Toc522028156"/>
      <w:bookmarkStart w:id="616" w:name="_Toc522086202"/>
      <w:bookmarkStart w:id="617" w:name="_Toc522099622"/>
      <w:bookmarkStart w:id="618" w:name="_Toc19388936"/>
      <w:bookmarkStart w:id="619" w:name="_Toc19392433"/>
      <w:r>
        <w:rPr>
          <w:rFonts w:hint="cs"/>
          <w:rtl/>
        </w:rPr>
        <w:t>ביאור השער"י ברשב"א</w:t>
      </w:r>
      <w:bookmarkEnd w:id="615"/>
      <w:r>
        <w:rPr>
          <w:rFonts w:hint="cs"/>
          <w:rtl/>
        </w:rPr>
        <w:t xml:space="preserve"> דע"י חזקת איסור יש חזקת חיה</w:t>
      </w:r>
      <w:bookmarkEnd w:id="616"/>
      <w:bookmarkEnd w:id="617"/>
      <w:bookmarkEnd w:id="618"/>
      <w:bookmarkEnd w:id="619"/>
      <w:r>
        <w:rPr>
          <w:rFonts w:hint="cs"/>
          <w:rtl/>
        </w:rPr>
        <w:t xml:space="preserve"> </w:t>
      </w:r>
    </w:p>
    <w:p w14:paraId="4D03825A" w14:textId="77777777" w:rsidR="00852065" w:rsidRPr="00AE27FA" w:rsidRDefault="00852065" w:rsidP="006D6D32">
      <w:pPr>
        <w:pStyle w:val="a3"/>
        <w:rPr>
          <w:rtl/>
        </w:rPr>
      </w:pPr>
      <w:bookmarkStart w:id="620" w:name="_Toc522086203"/>
      <w:bookmarkStart w:id="621" w:name="_Toc522099623"/>
      <w:bookmarkStart w:id="622" w:name="_Toc19388937"/>
      <w:bookmarkStart w:id="623" w:name="_Toc19392434"/>
      <w:r>
        <w:rPr>
          <w:rFonts w:hint="cs"/>
          <w:rtl/>
        </w:rPr>
        <w:t>ביאור השער"י ברשב"א דע"י החזקת איסור יש לה חזקת חיה ולכן ממילא היא מטמאה</w:t>
      </w:r>
      <w:bookmarkEnd w:id="620"/>
      <w:bookmarkEnd w:id="621"/>
      <w:bookmarkEnd w:id="622"/>
      <w:bookmarkEnd w:id="623"/>
      <w:r>
        <w:rPr>
          <w:rFonts w:hint="cs"/>
          <w:rtl/>
        </w:rPr>
        <w:t xml:space="preserve"> </w:t>
      </w:r>
    </w:p>
    <w:p w14:paraId="1AAC9D0D" w14:textId="77777777" w:rsidR="00852065" w:rsidRDefault="00852065" w:rsidP="00223668">
      <w:pPr>
        <w:pStyle w:val="a0"/>
        <w:rPr>
          <w:rtl/>
        </w:rPr>
      </w:pPr>
      <w:bookmarkStart w:id="624" w:name="_Ref522262328"/>
      <w:r>
        <w:rPr>
          <w:rFonts w:hint="cs"/>
          <w:rtl/>
        </w:rPr>
        <w:t xml:space="preserve">והביא </w:t>
      </w:r>
      <w:r w:rsidRPr="00C900D4">
        <w:rPr>
          <w:rStyle w:val="af9"/>
          <w:rFonts w:hint="cs"/>
          <w:rtl/>
        </w:rPr>
        <w:t>השער"י</w:t>
      </w:r>
      <w:r>
        <w:rPr>
          <w:rFonts w:hint="cs"/>
          <w:rtl/>
        </w:rPr>
        <w:t xml:space="preserve"> </w:t>
      </w:r>
      <w:r w:rsidRPr="00C900D4">
        <w:rPr>
          <w:rStyle w:val="af7"/>
          <w:rFonts w:eastAsia="Guttman Hodes" w:hint="cs"/>
          <w:rtl/>
        </w:rPr>
        <w:t>(שער החזקות פ"ו ד"ה ועפ"ד)</w:t>
      </w:r>
      <w:r>
        <w:rPr>
          <w:rFonts w:hint="cs"/>
          <w:rtl/>
        </w:rPr>
        <w:t xml:space="preserve"> את דברי </w:t>
      </w:r>
      <w:r w:rsidRPr="0078710F">
        <w:rPr>
          <w:rStyle w:val="af9"/>
          <w:rFonts w:hint="cs"/>
          <w:rtl/>
        </w:rPr>
        <w:t>הרשב"א</w:t>
      </w:r>
      <w:r>
        <w:rPr>
          <w:rFonts w:hint="cs"/>
          <w:rtl/>
        </w:rPr>
        <w:t xml:space="preserve"> </w:t>
      </w:r>
      <w:r w:rsidRPr="00AB4065">
        <w:rPr>
          <w:rStyle w:val="af7"/>
          <w:rFonts w:eastAsia="Guttman Hodes" w:hint="cs"/>
          <w:rtl/>
        </w:rPr>
        <w:t xml:space="preserve">(עי' אות </w:t>
      </w:r>
      <w:r w:rsidRPr="00AB4065">
        <w:rPr>
          <w:rStyle w:val="af7"/>
          <w:rFonts w:eastAsia="Guttman Hodes"/>
          <w:rtl/>
        </w:rPr>
        <w:fldChar w:fldCharType="begin"/>
      </w:r>
      <w:r w:rsidRPr="00AB4065">
        <w:rPr>
          <w:rStyle w:val="af7"/>
          <w:rFonts w:eastAsia="Guttman Hodes"/>
          <w:rtl/>
        </w:rPr>
        <w:instrText xml:space="preserve"> </w:instrText>
      </w:r>
      <w:r w:rsidRPr="00AB4065">
        <w:rPr>
          <w:rStyle w:val="af7"/>
          <w:rFonts w:eastAsia="Guttman Hodes" w:hint="cs"/>
        </w:rPr>
        <w:instrText>REF</w:instrText>
      </w:r>
      <w:r w:rsidRPr="00AB4065">
        <w:rPr>
          <w:rStyle w:val="af7"/>
          <w:rFonts w:eastAsia="Guttman Hodes" w:hint="cs"/>
          <w:rtl/>
        </w:rPr>
        <w:instrText xml:space="preserve"> _</w:instrText>
      </w:r>
      <w:r w:rsidRPr="00AB4065">
        <w:rPr>
          <w:rStyle w:val="af7"/>
          <w:rFonts w:eastAsia="Guttman Hodes" w:hint="cs"/>
        </w:rPr>
        <w:instrText>Ref522100935 \r \h</w:instrText>
      </w:r>
      <w:r w:rsidRPr="00AB4065">
        <w:rPr>
          <w:rStyle w:val="af7"/>
          <w:rFonts w:eastAsia="Guttman Hodes"/>
          <w:rtl/>
        </w:rPr>
        <w:instrText xml:space="preserve"> </w:instrText>
      </w:r>
      <w:r w:rsidRPr="00AB4065">
        <w:rPr>
          <w:rStyle w:val="af7"/>
          <w:rFonts w:eastAsia="Guttman Hodes"/>
          <w:rtl/>
        </w:rPr>
      </w:r>
      <w:r w:rsidRPr="00AB4065">
        <w:rPr>
          <w:rStyle w:val="af7"/>
          <w:rFonts w:eastAsia="Guttman Hodes"/>
          <w:rtl/>
        </w:rPr>
        <w:fldChar w:fldCharType="separate"/>
      </w:r>
      <w:r w:rsidR="00345400">
        <w:rPr>
          <w:rStyle w:val="af7"/>
          <w:rFonts w:eastAsia="Guttman Hodes"/>
          <w:cs/>
        </w:rPr>
        <w:t>‎</w:t>
      </w:r>
      <w:r w:rsidR="00345400">
        <w:rPr>
          <w:rStyle w:val="af7"/>
          <w:rFonts w:eastAsia="Guttman Hodes"/>
          <w:rtl/>
        </w:rPr>
        <w:t>לט)</w:t>
      </w:r>
      <w:r w:rsidRPr="00AB4065">
        <w:rPr>
          <w:rStyle w:val="af7"/>
          <w:rFonts w:eastAsia="Guttman Hodes"/>
          <w:rtl/>
        </w:rPr>
        <w:fldChar w:fldCharType="end"/>
      </w:r>
      <w:r w:rsidRPr="007D517A">
        <w:rPr>
          <w:rFonts w:hint="cs"/>
          <w:rtl/>
        </w:rPr>
        <w:t xml:space="preserve"> דכתב </w:t>
      </w:r>
      <w:r>
        <w:rPr>
          <w:rFonts w:hint="cs"/>
          <w:rtl/>
        </w:rPr>
        <w:t xml:space="preserve">דכיון שמחיים הייתה באיסור, ועכשיו היא מתה, ובהמה חיה שמתה היא נבילה, וא"א להוציאה מטומאתה מספק שמא נשחטה כראוי. וכתב </w:t>
      </w:r>
      <w:r w:rsidRPr="00AB0637">
        <w:rPr>
          <w:rStyle w:val="af9"/>
          <w:rFonts w:hint="cs"/>
          <w:rtl/>
        </w:rPr>
        <w:t>השער"י</w:t>
      </w:r>
      <w:r>
        <w:rPr>
          <w:rFonts w:hint="cs"/>
          <w:rtl/>
        </w:rPr>
        <w:t xml:space="preserve"> דמבואר בדברי </w:t>
      </w:r>
      <w:r w:rsidRPr="00AB0637">
        <w:rPr>
          <w:rStyle w:val="af9"/>
          <w:rFonts w:hint="cs"/>
          <w:rtl/>
        </w:rPr>
        <w:t>הרשב"א</w:t>
      </w:r>
      <w:r>
        <w:rPr>
          <w:rFonts w:hint="cs"/>
          <w:rtl/>
        </w:rPr>
        <w:t xml:space="preserve"> דהחזקת איסור לא מהני לענין טומאה, אלא דע"י החזקת איסור יש לבהמה חזקת חיה, וממילא היא נבילה דכל בהמה שמתה נעשית נבילה, וסברה הברייתא דחזקה זו היא חזקה גמורה, ולכן מהני החזקת איסור לענין טומאה.</w:t>
      </w:r>
      <w:bookmarkEnd w:id="624"/>
    </w:p>
    <w:p w14:paraId="6B11B3D7" w14:textId="77777777" w:rsidR="00852065" w:rsidRDefault="00852065" w:rsidP="006D6D32">
      <w:pPr>
        <w:pStyle w:val="a3"/>
        <w:rPr>
          <w:rtl/>
        </w:rPr>
      </w:pPr>
      <w:bookmarkStart w:id="625" w:name="_Toc522086204"/>
      <w:bookmarkStart w:id="626" w:name="_Toc522099624"/>
      <w:bookmarkStart w:id="627" w:name="_Toc19388938"/>
      <w:bookmarkStart w:id="628" w:name="_Toc19392435"/>
      <w:r>
        <w:rPr>
          <w:rFonts w:hint="cs"/>
          <w:rtl/>
        </w:rPr>
        <w:t>ביאור השער"י ברשב"א דלר"א לא אזלינן בתר חזקת חיה כיון דהטומאה לא הוחזקה בפועל</w:t>
      </w:r>
      <w:bookmarkEnd w:id="625"/>
      <w:bookmarkEnd w:id="626"/>
      <w:bookmarkEnd w:id="627"/>
      <w:bookmarkEnd w:id="628"/>
    </w:p>
    <w:p w14:paraId="212D412F" w14:textId="77777777" w:rsidR="00852065" w:rsidRDefault="00852065" w:rsidP="00223668">
      <w:pPr>
        <w:pStyle w:val="a0"/>
        <w:rPr>
          <w:rtl/>
        </w:rPr>
      </w:pPr>
      <w:bookmarkStart w:id="629" w:name="_Ref522109634"/>
      <w:r>
        <w:rPr>
          <w:rFonts w:hint="cs"/>
          <w:rtl/>
        </w:rPr>
        <w:t xml:space="preserve">ובדעת ר"א ב"ר ינאי דס"ל דאינה מטמאה כנבילה, ביאר </w:t>
      </w:r>
      <w:r w:rsidRPr="00C900D4">
        <w:rPr>
          <w:rStyle w:val="af9"/>
          <w:rFonts w:hint="cs"/>
          <w:rtl/>
        </w:rPr>
        <w:t>השער"י</w:t>
      </w:r>
      <w:r>
        <w:rPr>
          <w:rFonts w:hint="cs"/>
          <w:rtl/>
        </w:rPr>
        <w:t xml:space="preserve"> בדעת </w:t>
      </w:r>
      <w:r w:rsidRPr="00C900D4">
        <w:rPr>
          <w:rStyle w:val="af9"/>
          <w:rFonts w:hint="cs"/>
          <w:rtl/>
        </w:rPr>
        <w:t>הרשב"א</w:t>
      </w:r>
      <w:r>
        <w:rPr>
          <w:rFonts w:hint="cs"/>
          <w:rtl/>
        </w:rPr>
        <w:t xml:space="preserve"> דאף שע"י החזקת איסור יש לבהמה חזקת חיה, וממילא היא נבילה, מ"מ אי"ז כחזקה בכל מקום דהרי לא הוחזק דבר זה מעיקרא, ולכן ס"ל דכיון שמדאו' יש רוב שנשחטה כראוי ומותרת באכילה, ורק מדרבנן אסורה כיון שהוא רוב התלוי במעשה, לכן אזלינן בתר החזקת חיה דאיסור רק לענין אכילה, כיון דהחזקת איסור אכילה הוחזקה בפועל מחיים [באיסור אבר מן החי], אבל לענין טומאה שלא הוחזקה החזקה בפועל, לא אזלינן בתר החזקת חיה.</w:t>
      </w:r>
      <w:bookmarkEnd w:id="629"/>
    </w:p>
    <w:p w14:paraId="602A6823" w14:textId="77777777" w:rsidR="00852065" w:rsidRPr="00AD0B26" w:rsidRDefault="00852065" w:rsidP="006D6D32">
      <w:pPr>
        <w:pStyle w:val="a3"/>
        <w:rPr>
          <w:rtl/>
        </w:rPr>
      </w:pPr>
      <w:bookmarkStart w:id="630" w:name="_Toc522086205"/>
      <w:bookmarkStart w:id="631" w:name="_Toc522099625"/>
      <w:bookmarkStart w:id="632" w:name="_Toc19388939"/>
      <w:bookmarkStart w:id="633" w:name="_Toc19392436"/>
      <w:r>
        <w:rPr>
          <w:rFonts w:hint="cs"/>
          <w:rtl/>
        </w:rPr>
        <w:t>דברי השער"י בביאור הרשב"א ברש"י דמחזיקין מחזקת חי לאיסור אבמה"ח לאיסור נבילה</w:t>
      </w:r>
      <w:bookmarkEnd w:id="630"/>
      <w:bookmarkEnd w:id="631"/>
      <w:bookmarkEnd w:id="632"/>
      <w:bookmarkEnd w:id="633"/>
    </w:p>
    <w:p w14:paraId="55E9EC2B" w14:textId="77777777" w:rsidR="00852065" w:rsidRDefault="00852065" w:rsidP="00223668">
      <w:pPr>
        <w:pStyle w:val="a0"/>
        <w:rPr>
          <w:rtl/>
        </w:rPr>
      </w:pPr>
      <w:r>
        <w:rPr>
          <w:rFonts w:hint="cs"/>
          <w:rtl/>
        </w:rPr>
        <w:t xml:space="preserve">והביא </w:t>
      </w:r>
      <w:r w:rsidRPr="00C900D4">
        <w:rPr>
          <w:rStyle w:val="af9"/>
          <w:rFonts w:hint="cs"/>
          <w:rtl/>
        </w:rPr>
        <w:t>השער"י</w:t>
      </w:r>
      <w:r>
        <w:rPr>
          <w:rFonts w:hint="cs"/>
          <w:rtl/>
        </w:rPr>
        <w:t xml:space="preserve"> </w:t>
      </w:r>
      <w:r w:rsidRPr="00361928">
        <w:rPr>
          <w:rStyle w:val="af7"/>
          <w:rFonts w:eastAsia="Guttman Hodes" w:hint="cs"/>
          <w:rtl/>
        </w:rPr>
        <w:t>(שער החזקות פ"ו ד"ה והנה מה)</w:t>
      </w:r>
      <w:r>
        <w:rPr>
          <w:rFonts w:hint="cs"/>
          <w:rtl/>
        </w:rPr>
        <w:t xml:space="preserve"> את ישוב </w:t>
      </w:r>
      <w:r w:rsidRPr="00C900D4">
        <w:rPr>
          <w:rStyle w:val="af9"/>
          <w:rFonts w:hint="cs"/>
          <w:rtl/>
        </w:rPr>
        <w:t>הרשב"א</w:t>
      </w:r>
      <w:r>
        <w:rPr>
          <w:rFonts w:hint="cs"/>
          <w:rtl/>
        </w:rPr>
        <w:t xml:space="preserve"> </w:t>
      </w:r>
      <w:r w:rsidRPr="002C064B">
        <w:rPr>
          <w:rStyle w:val="af7"/>
          <w:rFonts w:eastAsia="Guttman Hodes" w:hint="cs"/>
          <w:rtl/>
        </w:rPr>
        <w:t>(</w:t>
      </w:r>
      <w:r w:rsidRPr="0093383A">
        <w:rPr>
          <w:rStyle w:val="af7"/>
          <w:rFonts w:eastAsia="Guttman Hodes" w:hint="cs"/>
          <w:rtl/>
        </w:rPr>
        <w:t xml:space="preserve">בסוגיין ד"ה בהמה, הובא </w:t>
      </w:r>
      <w:r w:rsidRPr="00C6066B">
        <w:rPr>
          <w:rStyle w:val="aff6"/>
          <w:rFonts w:hint="cs"/>
          <w:rtl/>
        </w:rPr>
        <w:t xml:space="preserve">בסימן ב' אות </w:t>
      </w:r>
      <w:r w:rsidRPr="00C6066B">
        <w:rPr>
          <w:rStyle w:val="aff6"/>
          <w:rtl/>
        </w:rPr>
        <w:fldChar w:fldCharType="begin"/>
      </w:r>
      <w:r w:rsidRPr="00C6066B">
        <w:rPr>
          <w:rStyle w:val="aff6"/>
          <w:rtl/>
        </w:rPr>
        <w:instrText xml:space="preserve"> </w:instrText>
      </w:r>
      <w:r w:rsidRPr="00C6066B">
        <w:rPr>
          <w:rStyle w:val="aff6"/>
          <w:rFonts w:hint="cs"/>
        </w:rPr>
        <w:instrText>REF</w:instrText>
      </w:r>
      <w:r w:rsidRPr="00C6066B">
        <w:rPr>
          <w:rStyle w:val="aff6"/>
          <w:rFonts w:hint="cs"/>
          <w:rtl/>
        </w:rPr>
        <w:instrText xml:space="preserve"> _</w:instrText>
      </w:r>
      <w:r w:rsidRPr="00C6066B">
        <w:rPr>
          <w:rStyle w:val="aff6"/>
          <w:rFonts w:hint="cs"/>
        </w:rPr>
        <w:instrText>Ref522187514 \r \h</w:instrText>
      </w:r>
      <w:r w:rsidRPr="00C6066B">
        <w:rPr>
          <w:rStyle w:val="aff6"/>
          <w:rtl/>
        </w:rPr>
        <w:instrText xml:space="preserve"> </w:instrText>
      </w:r>
      <w:r w:rsidRPr="00C6066B">
        <w:rPr>
          <w:rStyle w:val="aff6"/>
          <w:rtl/>
        </w:rPr>
      </w:r>
      <w:r w:rsidRPr="00C6066B">
        <w:rPr>
          <w:rStyle w:val="aff6"/>
          <w:rtl/>
        </w:rPr>
        <w:fldChar w:fldCharType="separate"/>
      </w:r>
      <w:r w:rsidR="00345400">
        <w:rPr>
          <w:rStyle w:val="aff6"/>
          <w:cs/>
        </w:rPr>
        <w:t>‎</w:t>
      </w:r>
      <w:r w:rsidR="00345400">
        <w:rPr>
          <w:rStyle w:val="aff6"/>
          <w:rtl/>
        </w:rPr>
        <w:t>ד)</w:t>
      </w:r>
      <w:r w:rsidRPr="00C6066B">
        <w:rPr>
          <w:rStyle w:val="aff6"/>
          <w:rtl/>
        </w:rPr>
        <w:fldChar w:fldCharType="end"/>
      </w:r>
      <w:r>
        <w:rPr>
          <w:rFonts w:hint="cs"/>
          <w:rtl/>
        </w:rPr>
        <w:t xml:space="preserve"> על קושית</w:t>
      </w:r>
      <w:r w:rsidRPr="00361928">
        <w:rPr>
          <w:rStyle w:val="af9"/>
          <w:rFonts w:hint="cs"/>
          <w:rtl/>
        </w:rPr>
        <w:t xml:space="preserve"> התוס' בביצה </w:t>
      </w:r>
      <w:r w:rsidRPr="0093383A">
        <w:rPr>
          <w:rStyle w:val="af7"/>
          <w:rFonts w:eastAsia="Guttman Hodes" w:hint="cs"/>
          <w:rtl/>
        </w:rPr>
        <w:t xml:space="preserve">(עי' אות </w:t>
      </w:r>
      <w:r w:rsidRPr="0093383A">
        <w:rPr>
          <w:rStyle w:val="af7"/>
          <w:rFonts w:eastAsia="Guttman Hodes"/>
          <w:rtl/>
        </w:rPr>
        <w:fldChar w:fldCharType="begin"/>
      </w:r>
      <w:r w:rsidRPr="0093383A">
        <w:rPr>
          <w:rStyle w:val="af7"/>
          <w:rFonts w:eastAsia="Guttman Hodes"/>
          <w:rtl/>
        </w:rPr>
        <w:instrText xml:space="preserve"> </w:instrText>
      </w:r>
      <w:r w:rsidRPr="0093383A">
        <w:rPr>
          <w:rStyle w:val="af7"/>
          <w:rFonts w:eastAsia="Guttman Hodes" w:hint="cs"/>
        </w:rPr>
        <w:instrText>REF</w:instrText>
      </w:r>
      <w:r w:rsidRPr="0093383A">
        <w:rPr>
          <w:rStyle w:val="af7"/>
          <w:rFonts w:eastAsia="Guttman Hodes" w:hint="cs"/>
          <w:rtl/>
        </w:rPr>
        <w:instrText xml:space="preserve"> _</w:instrText>
      </w:r>
      <w:r w:rsidRPr="0093383A">
        <w:rPr>
          <w:rStyle w:val="af7"/>
          <w:rFonts w:eastAsia="Guttman Hodes" w:hint="cs"/>
        </w:rPr>
        <w:instrText>Ref522109305 \r \h</w:instrText>
      </w:r>
      <w:r w:rsidRPr="0093383A">
        <w:rPr>
          <w:rStyle w:val="af7"/>
          <w:rFonts w:eastAsia="Guttman Hodes"/>
          <w:rtl/>
        </w:rPr>
        <w:instrText xml:space="preserve"> </w:instrText>
      </w:r>
      <w:r w:rsidRPr="0093383A">
        <w:rPr>
          <w:rStyle w:val="af7"/>
          <w:rFonts w:eastAsia="Guttman Hodes"/>
          <w:rtl/>
        </w:rPr>
      </w:r>
      <w:r w:rsidRPr="0093383A">
        <w:rPr>
          <w:rStyle w:val="af7"/>
          <w:rFonts w:eastAsia="Guttman Hodes"/>
          <w:rtl/>
        </w:rPr>
        <w:fldChar w:fldCharType="separate"/>
      </w:r>
      <w:r w:rsidR="00345400">
        <w:rPr>
          <w:rStyle w:val="af7"/>
          <w:rFonts w:eastAsia="Guttman Hodes"/>
          <w:cs/>
        </w:rPr>
        <w:t>‎</w:t>
      </w:r>
      <w:r w:rsidR="00345400">
        <w:rPr>
          <w:rStyle w:val="af7"/>
          <w:rFonts w:eastAsia="Guttman Hodes"/>
          <w:rtl/>
        </w:rPr>
        <w:t>י)</w:t>
      </w:r>
      <w:r w:rsidRPr="0093383A">
        <w:rPr>
          <w:rStyle w:val="af7"/>
          <w:rFonts w:eastAsia="Guttman Hodes"/>
          <w:rtl/>
        </w:rPr>
        <w:fldChar w:fldCharType="end"/>
      </w:r>
      <w:r>
        <w:rPr>
          <w:rFonts w:hint="cs"/>
          <w:rtl/>
        </w:rPr>
        <w:t xml:space="preserve"> על </w:t>
      </w:r>
      <w:r w:rsidRPr="00361928">
        <w:rPr>
          <w:rStyle w:val="af9"/>
          <w:rFonts w:hint="cs"/>
          <w:rtl/>
        </w:rPr>
        <w:t>רש"י</w:t>
      </w:r>
      <w:r>
        <w:rPr>
          <w:rFonts w:hint="cs"/>
          <w:rtl/>
        </w:rPr>
        <w:t xml:space="preserve"> דא"א להעמידה באבר מן החי דהא מתה לפנינו, וכתב </w:t>
      </w:r>
      <w:r w:rsidRPr="00E224AB">
        <w:rPr>
          <w:rStyle w:val="af9"/>
          <w:rFonts w:hint="cs"/>
          <w:rtl/>
        </w:rPr>
        <w:t>הרשב"א</w:t>
      </w:r>
      <w:r>
        <w:rPr>
          <w:rFonts w:hint="cs"/>
          <w:rtl/>
        </w:rPr>
        <w:t xml:space="preserve"> דמ"מ מחזיקין מאיסור לאיסור, וביאר</w:t>
      </w:r>
      <w:r w:rsidRPr="000B27AA">
        <w:rPr>
          <w:rStyle w:val="af9"/>
          <w:rFonts w:hint="cs"/>
          <w:rtl/>
        </w:rPr>
        <w:t xml:space="preserve"> השער"י </w:t>
      </w:r>
      <w:r>
        <w:rPr>
          <w:rFonts w:hint="cs"/>
          <w:rtl/>
        </w:rPr>
        <w:t>דכוונתו דכמו שחזקת האיסור מהני לענין טומאה, דמוקמינן לה בחזקת שהיא חיה לענין איסור אבר מן החי, וכיון שיש לה חזקת חיה ומתה ממילא מטמאה כנבילה, א"כ ה"ה לענין איסור אכילה, דכיון שהיא בחזקת חיה לענין אבר מן החי, היא בחזקת חיה שלא נשחטה כראוי ומתה ואסורה כנבילה.</w:t>
      </w:r>
    </w:p>
    <w:p w14:paraId="0A160537" w14:textId="77777777" w:rsidR="00852065" w:rsidRDefault="00852065" w:rsidP="006D6D32">
      <w:pPr>
        <w:pStyle w:val="a3"/>
        <w:rPr>
          <w:rtl/>
        </w:rPr>
      </w:pPr>
      <w:bookmarkStart w:id="634" w:name="_Toc522086206"/>
      <w:bookmarkStart w:id="635" w:name="_Toc522099626"/>
      <w:bookmarkStart w:id="636" w:name="_Toc19388940"/>
      <w:bookmarkStart w:id="637" w:name="_Toc19392437"/>
      <w:r>
        <w:rPr>
          <w:rFonts w:hint="cs"/>
          <w:rtl/>
        </w:rPr>
        <w:t>דחיית השער"י דא"כ לדברי ר"א דאינה מטמאה אין מחזיקין מאיסור לאיסור</w:t>
      </w:r>
      <w:bookmarkEnd w:id="634"/>
      <w:bookmarkEnd w:id="635"/>
      <w:bookmarkEnd w:id="636"/>
      <w:bookmarkEnd w:id="637"/>
    </w:p>
    <w:p w14:paraId="09D2CF6C" w14:textId="77777777" w:rsidR="00852065" w:rsidRDefault="00852065" w:rsidP="00223668">
      <w:pPr>
        <w:pStyle w:val="a0"/>
        <w:rPr>
          <w:rtl/>
        </w:rPr>
      </w:pPr>
      <w:r>
        <w:rPr>
          <w:rFonts w:hint="cs"/>
          <w:rtl/>
        </w:rPr>
        <w:t xml:space="preserve">אך דחה </w:t>
      </w:r>
      <w:r w:rsidRPr="000B27AA">
        <w:rPr>
          <w:rStyle w:val="af9"/>
          <w:rFonts w:hint="cs"/>
          <w:rtl/>
        </w:rPr>
        <w:t>השער"י</w:t>
      </w:r>
      <w:r>
        <w:rPr>
          <w:rFonts w:hint="cs"/>
          <w:rtl/>
        </w:rPr>
        <w:t xml:space="preserve"> דא"כ כל דברי </w:t>
      </w:r>
      <w:r w:rsidRPr="000B27AA">
        <w:rPr>
          <w:rStyle w:val="af9"/>
          <w:rFonts w:hint="cs"/>
          <w:rtl/>
        </w:rPr>
        <w:t>הרשב"א</w:t>
      </w:r>
      <w:r>
        <w:rPr>
          <w:rFonts w:hint="cs"/>
          <w:rtl/>
        </w:rPr>
        <w:t xml:space="preserve"> הם רק לדעת הברייתא דמטמאה כנבילה, אבל לדעת ר"א ב"ר ינאי דאינה מטמאה, כיון שאסורה רק מדרבנן כדכתב </w:t>
      </w:r>
      <w:r w:rsidRPr="000B27AA">
        <w:rPr>
          <w:rStyle w:val="af9"/>
          <w:rFonts w:hint="cs"/>
          <w:rtl/>
        </w:rPr>
        <w:t>הרשב"א</w:t>
      </w:r>
      <w:r>
        <w:rPr>
          <w:rFonts w:hint="cs"/>
          <w:rtl/>
        </w:rPr>
        <w:t xml:space="preserve"> </w:t>
      </w:r>
      <w:r w:rsidRPr="0093383A">
        <w:rPr>
          <w:rStyle w:val="af7"/>
          <w:rFonts w:eastAsia="Guttman Hodes" w:hint="cs"/>
          <w:rtl/>
        </w:rPr>
        <w:t xml:space="preserve">(עי' אות </w:t>
      </w:r>
      <w:r w:rsidRPr="0093383A">
        <w:rPr>
          <w:rStyle w:val="af7"/>
          <w:rFonts w:eastAsia="Guttman Hodes"/>
          <w:rtl/>
        </w:rPr>
        <w:fldChar w:fldCharType="begin"/>
      </w:r>
      <w:r w:rsidRPr="0093383A">
        <w:rPr>
          <w:rStyle w:val="af7"/>
          <w:rFonts w:eastAsia="Guttman Hodes"/>
          <w:rtl/>
        </w:rPr>
        <w:instrText xml:space="preserve"> </w:instrText>
      </w:r>
      <w:r w:rsidRPr="0093383A">
        <w:rPr>
          <w:rStyle w:val="af7"/>
          <w:rFonts w:eastAsia="Guttman Hodes" w:hint="cs"/>
        </w:rPr>
        <w:instrText>REF</w:instrText>
      </w:r>
      <w:r w:rsidRPr="0093383A">
        <w:rPr>
          <w:rStyle w:val="af7"/>
          <w:rFonts w:eastAsia="Guttman Hodes" w:hint="cs"/>
          <w:rtl/>
        </w:rPr>
        <w:instrText xml:space="preserve"> _</w:instrText>
      </w:r>
      <w:r w:rsidRPr="0093383A">
        <w:rPr>
          <w:rStyle w:val="af7"/>
          <w:rFonts w:eastAsia="Guttman Hodes" w:hint="cs"/>
        </w:rPr>
        <w:instrText>Ref522109344 \r \h</w:instrText>
      </w:r>
      <w:r w:rsidRPr="0093383A">
        <w:rPr>
          <w:rStyle w:val="af7"/>
          <w:rFonts w:eastAsia="Guttman Hodes"/>
          <w:rtl/>
        </w:rPr>
        <w:instrText xml:space="preserve"> </w:instrText>
      </w:r>
      <w:r w:rsidRPr="0093383A">
        <w:rPr>
          <w:rStyle w:val="af7"/>
          <w:rFonts w:eastAsia="Guttman Hodes"/>
          <w:rtl/>
        </w:rPr>
      </w:r>
      <w:r w:rsidRPr="0093383A">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93383A">
        <w:rPr>
          <w:rStyle w:val="af7"/>
          <w:rFonts w:eastAsia="Guttman Hodes"/>
          <w:rtl/>
        </w:rPr>
        <w:fldChar w:fldCharType="end"/>
      </w:r>
      <w:r>
        <w:rPr>
          <w:rFonts w:hint="cs"/>
          <w:rtl/>
        </w:rPr>
        <w:t xml:space="preserve"> דמדאו' יש רוב שנשחטה כראוי, ומעמידים רק בחזקה שהוחזקה בו בפועל, שהוא חזקת אבר מן החי מחיים, וא"כ עכשיו שמתה ולא שייך איסור אבר מן החי, א"א להעמידה בחזקת אבר מן החי, וא"כ לדברי ר"א ב"ר ינאי לא שייך לפי"ז לומר דמחזיקין מאיסור לאיסור.</w:t>
      </w:r>
    </w:p>
    <w:p w14:paraId="776C1DCD" w14:textId="77777777" w:rsidR="00852065" w:rsidRPr="007D3616" w:rsidRDefault="00852065" w:rsidP="006D6D32">
      <w:pPr>
        <w:pStyle w:val="a3"/>
        <w:rPr>
          <w:rtl/>
        </w:rPr>
      </w:pPr>
      <w:bookmarkStart w:id="638" w:name="_Toc522086207"/>
      <w:bookmarkStart w:id="639" w:name="_Toc522099627"/>
      <w:bookmarkStart w:id="640" w:name="_Toc19388941"/>
      <w:bookmarkStart w:id="641" w:name="_Toc19392438"/>
      <w:r>
        <w:rPr>
          <w:rFonts w:hint="cs"/>
          <w:rtl/>
        </w:rPr>
        <w:t>ביאור השער"י דרש"י איירי בספק דאו' ובזה ביאר הרשב"א דמהני אף שלא הוחזקה בפועל</w:t>
      </w:r>
      <w:bookmarkEnd w:id="638"/>
      <w:bookmarkEnd w:id="639"/>
      <w:bookmarkEnd w:id="640"/>
      <w:bookmarkEnd w:id="641"/>
      <w:r>
        <w:rPr>
          <w:rFonts w:hint="cs"/>
          <w:rtl/>
        </w:rPr>
        <w:t xml:space="preserve">  </w:t>
      </w:r>
    </w:p>
    <w:p w14:paraId="09C02AD3" w14:textId="77777777" w:rsidR="00852065" w:rsidRDefault="00852065" w:rsidP="00223668">
      <w:pPr>
        <w:pStyle w:val="a0"/>
        <w:rPr>
          <w:rtl/>
        </w:rPr>
      </w:pPr>
      <w:r>
        <w:rPr>
          <w:rFonts w:hint="cs"/>
          <w:rtl/>
        </w:rPr>
        <w:t xml:space="preserve">ותירץ </w:t>
      </w:r>
      <w:r w:rsidRPr="000B27AA">
        <w:rPr>
          <w:rStyle w:val="af9"/>
          <w:rFonts w:hint="cs"/>
          <w:rtl/>
        </w:rPr>
        <w:t>השער"י דרש"י</w:t>
      </w:r>
      <w:r>
        <w:rPr>
          <w:rFonts w:hint="cs"/>
          <w:rtl/>
        </w:rPr>
        <w:t xml:space="preserve"> </w:t>
      </w:r>
      <w:r w:rsidRPr="0093383A">
        <w:rPr>
          <w:rStyle w:val="af7"/>
          <w:rFonts w:eastAsia="Guttman Hodes" w:hint="cs"/>
          <w:rtl/>
        </w:rPr>
        <w:t xml:space="preserve">(עי' אות </w:t>
      </w:r>
      <w:r w:rsidRPr="0093383A">
        <w:rPr>
          <w:rStyle w:val="af7"/>
          <w:rFonts w:eastAsia="Guttman Hodes"/>
          <w:rtl/>
        </w:rPr>
        <w:fldChar w:fldCharType="begin"/>
      </w:r>
      <w:r w:rsidRPr="0093383A">
        <w:rPr>
          <w:rStyle w:val="af7"/>
          <w:rFonts w:eastAsia="Guttman Hodes"/>
          <w:rtl/>
        </w:rPr>
        <w:instrText xml:space="preserve"> </w:instrText>
      </w:r>
      <w:r w:rsidRPr="0093383A">
        <w:rPr>
          <w:rStyle w:val="af7"/>
          <w:rFonts w:eastAsia="Guttman Hodes" w:hint="cs"/>
        </w:rPr>
        <w:instrText>REF</w:instrText>
      </w:r>
      <w:r w:rsidRPr="0093383A">
        <w:rPr>
          <w:rStyle w:val="af7"/>
          <w:rFonts w:eastAsia="Guttman Hodes" w:hint="cs"/>
          <w:rtl/>
        </w:rPr>
        <w:instrText xml:space="preserve"> _</w:instrText>
      </w:r>
      <w:r w:rsidRPr="0093383A">
        <w:rPr>
          <w:rStyle w:val="af7"/>
          <w:rFonts w:eastAsia="Guttman Hodes" w:hint="cs"/>
        </w:rPr>
        <w:instrText>Ref522100765 \r \h</w:instrText>
      </w:r>
      <w:r w:rsidRPr="0093383A">
        <w:rPr>
          <w:rStyle w:val="af7"/>
          <w:rFonts w:eastAsia="Guttman Hodes"/>
          <w:rtl/>
        </w:rPr>
        <w:instrText xml:space="preserve"> </w:instrText>
      </w:r>
      <w:r w:rsidRPr="0093383A">
        <w:rPr>
          <w:rStyle w:val="af7"/>
          <w:rFonts w:eastAsia="Guttman Hodes"/>
          <w:rtl/>
        </w:rPr>
      </w:r>
      <w:r w:rsidRPr="0093383A">
        <w:rPr>
          <w:rStyle w:val="af7"/>
          <w:rFonts w:eastAsia="Guttman Hodes"/>
          <w:rtl/>
        </w:rPr>
        <w:fldChar w:fldCharType="separate"/>
      </w:r>
      <w:r w:rsidR="00345400">
        <w:rPr>
          <w:rStyle w:val="af7"/>
          <w:rFonts w:eastAsia="Guttman Hodes"/>
          <w:cs/>
        </w:rPr>
        <w:t>‎</w:t>
      </w:r>
      <w:r w:rsidR="00345400">
        <w:rPr>
          <w:rStyle w:val="af7"/>
          <w:rFonts w:eastAsia="Guttman Hodes"/>
          <w:rtl/>
        </w:rPr>
        <w:t>ט)</w:t>
      </w:r>
      <w:r w:rsidRPr="0093383A">
        <w:rPr>
          <w:rStyle w:val="af7"/>
          <w:rFonts w:eastAsia="Guttman Hodes"/>
          <w:rtl/>
        </w:rPr>
        <w:fldChar w:fldCharType="end"/>
      </w:r>
      <w:r>
        <w:rPr>
          <w:rFonts w:hint="cs"/>
          <w:rtl/>
        </w:rPr>
        <w:t xml:space="preserve"> כתב דמחזיקין מאיסור אבר מן החי לאיסור נבילה בעיקר דברי רב הונא דהוא על כל ספק בשחיטה, דהוא ספק דאו', ולא רק על ספק אם נשחטה כראוי, ואילו </w:t>
      </w:r>
      <w:r w:rsidRPr="00195712">
        <w:rPr>
          <w:rStyle w:val="af9"/>
          <w:rFonts w:hint="cs"/>
          <w:rtl/>
        </w:rPr>
        <w:t>התוס' והרשב"א</w:t>
      </w:r>
      <w:r>
        <w:rPr>
          <w:rFonts w:hint="cs"/>
          <w:rtl/>
        </w:rPr>
        <w:t xml:space="preserve"> כתבו בספק דאו', דיש רוב שנשחטו כראוי</w:t>
      </w:r>
      <w:r w:rsidRPr="001F1D57">
        <w:rPr>
          <w:rFonts w:hint="cs"/>
          <w:rtl/>
        </w:rPr>
        <w:t xml:space="preserve"> </w:t>
      </w:r>
      <w:r>
        <w:rPr>
          <w:rFonts w:hint="cs"/>
          <w:rtl/>
        </w:rPr>
        <w:t xml:space="preserve">ומותר מדאו', וזו כוונת </w:t>
      </w:r>
      <w:r w:rsidRPr="007443AA">
        <w:rPr>
          <w:rStyle w:val="af9"/>
          <w:rFonts w:hint="cs"/>
          <w:rtl/>
        </w:rPr>
        <w:t>הרשב"א</w:t>
      </w:r>
      <w:r>
        <w:rPr>
          <w:rFonts w:hint="cs"/>
          <w:rtl/>
        </w:rPr>
        <w:t xml:space="preserve"> בביאור דברי </w:t>
      </w:r>
      <w:r w:rsidRPr="007443AA">
        <w:rPr>
          <w:rStyle w:val="af9"/>
          <w:rFonts w:hint="cs"/>
          <w:rtl/>
        </w:rPr>
        <w:t>רש"י</w:t>
      </w:r>
      <w:r>
        <w:rPr>
          <w:rFonts w:hint="cs"/>
          <w:rtl/>
        </w:rPr>
        <w:t xml:space="preserve"> דכיון דאיירי בספק דאו' מהני החזקה אף אם לא הוחזקה בפועל, [</w:t>
      </w:r>
      <w:r w:rsidRPr="005A0624">
        <w:rPr>
          <w:rStyle w:val="afb"/>
          <w:rFonts w:hint="cs"/>
          <w:rtl/>
        </w:rPr>
        <w:t xml:space="preserve">אף לדעת ר"א ב"ר ינאי דס"ל </w:t>
      </w:r>
      <w:r>
        <w:rPr>
          <w:rStyle w:val="afb"/>
          <w:rFonts w:hint="cs"/>
          <w:rtl/>
        </w:rPr>
        <w:t xml:space="preserve">בספק דרבנן </w:t>
      </w:r>
      <w:r w:rsidRPr="005A0624">
        <w:rPr>
          <w:rStyle w:val="afb"/>
          <w:rFonts w:hint="cs"/>
          <w:rtl/>
        </w:rPr>
        <w:t xml:space="preserve">דלא מהני], </w:t>
      </w:r>
      <w:r>
        <w:rPr>
          <w:rFonts w:hint="cs"/>
          <w:rtl/>
        </w:rPr>
        <w:t>דע"י שמחיים הייתה בחזקת אבר מן החי חשיב כאילו הוחזקה נשחטה, וממילא בהמה שלא נשחטה ומתה דינה כנבילה.</w:t>
      </w:r>
    </w:p>
    <w:p w14:paraId="2C37A31E" w14:textId="77777777" w:rsidR="00852065" w:rsidRDefault="00852065" w:rsidP="00BF39B2">
      <w:pPr>
        <w:pStyle w:val="1"/>
        <w:rPr>
          <w:rtl/>
        </w:rPr>
      </w:pPr>
      <w:bookmarkStart w:id="642" w:name="_Toc522086208"/>
      <w:bookmarkStart w:id="643" w:name="_Toc522099628"/>
      <w:bookmarkStart w:id="644" w:name="_Toc19388942"/>
      <w:bookmarkStart w:id="645" w:name="_Toc19392439"/>
      <w:r>
        <w:rPr>
          <w:rFonts w:hint="cs"/>
          <w:rtl/>
        </w:rPr>
        <w:t>קושית השער"י על ביאור הגרעק"א ברשב"א</w:t>
      </w:r>
      <w:bookmarkEnd w:id="642"/>
      <w:bookmarkEnd w:id="643"/>
      <w:bookmarkEnd w:id="644"/>
      <w:bookmarkEnd w:id="645"/>
    </w:p>
    <w:p w14:paraId="6D796DCB" w14:textId="77777777" w:rsidR="00852065" w:rsidRPr="00A062CE" w:rsidRDefault="00852065" w:rsidP="006D6D32">
      <w:pPr>
        <w:pStyle w:val="a3"/>
        <w:rPr>
          <w:rtl/>
        </w:rPr>
      </w:pPr>
      <w:bookmarkStart w:id="646" w:name="_Toc522086209"/>
      <w:bookmarkStart w:id="647" w:name="_Toc522099629"/>
      <w:bookmarkStart w:id="648" w:name="_Toc19388943"/>
      <w:bookmarkStart w:id="649" w:name="_Toc19392440"/>
      <w:r>
        <w:rPr>
          <w:rFonts w:hint="cs"/>
          <w:rtl/>
        </w:rPr>
        <w:t>ביאור השער"י בגרעק"א דלברייתא כיון שידוע שמתה א"א להוציאה מחזקתה בספק מעשה תיקון</w:t>
      </w:r>
      <w:bookmarkEnd w:id="646"/>
      <w:bookmarkEnd w:id="647"/>
      <w:bookmarkEnd w:id="648"/>
      <w:bookmarkEnd w:id="649"/>
    </w:p>
    <w:p w14:paraId="6675F1EA" w14:textId="77777777" w:rsidR="00852065" w:rsidRDefault="00852065" w:rsidP="00223668">
      <w:pPr>
        <w:pStyle w:val="a0"/>
        <w:rPr>
          <w:rtl/>
        </w:rPr>
      </w:pPr>
      <w:r>
        <w:rPr>
          <w:rFonts w:hint="cs"/>
          <w:rtl/>
        </w:rPr>
        <w:t xml:space="preserve">והביא </w:t>
      </w:r>
      <w:r w:rsidRPr="00195712">
        <w:rPr>
          <w:rStyle w:val="af9"/>
          <w:rFonts w:hint="cs"/>
          <w:rtl/>
        </w:rPr>
        <w:t>השער"י</w:t>
      </w:r>
      <w:r>
        <w:rPr>
          <w:rFonts w:hint="cs"/>
          <w:rtl/>
        </w:rPr>
        <w:t xml:space="preserve"> </w:t>
      </w:r>
      <w:r w:rsidRPr="00195712">
        <w:rPr>
          <w:rStyle w:val="af7"/>
          <w:rFonts w:eastAsia="Guttman Hodes" w:hint="cs"/>
          <w:rtl/>
        </w:rPr>
        <w:t>(שער החזקות פ"ו ד"ה ומצאתי)</w:t>
      </w:r>
      <w:r>
        <w:rPr>
          <w:rFonts w:hint="cs"/>
          <w:rtl/>
        </w:rPr>
        <w:t xml:space="preserve"> את דברי </w:t>
      </w:r>
      <w:r w:rsidRPr="00195712">
        <w:rPr>
          <w:rStyle w:val="af9"/>
          <w:rFonts w:hint="cs"/>
          <w:rtl/>
        </w:rPr>
        <w:t>הגרעק"א</w:t>
      </w:r>
      <w:r>
        <w:rPr>
          <w:rFonts w:hint="cs"/>
          <w:rtl/>
        </w:rPr>
        <w:t xml:space="preserve"> </w:t>
      </w:r>
      <w:r w:rsidRPr="00321CC6">
        <w:rPr>
          <w:rStyle w:val="af7"/>
          <w:rFonts w:eastAsia="Guttman Hodes" w:hint="cs"/>
          <w:rtl/>
        </w:rPr>
        <w:t xml:space="preserve">(עי' אות </w:t>
      </w:r>
      <w:r w:rsidRPr="00321CC6">
        <w:rPr>
          <w:rStyle w:val="af7"/>
          <w:rFonts w:eastAsia="Guttman Hodes"/>
          <w:rtl/>
        </w:rPr>
        <w:fldChar w:fldCharType="begin"/>
      </w:r>
      <w:r w:rsidRPr="00321CC6">
        <w:rPr>
          <w:rStyle w:val="af7"/>
          <w:rFonts w:eastAsia="Guttman Hodes"/>
          <w:rtl/>
        </w:rPr>
        <w:instrText xml:space="preserve"> </w:instrText>
      </w:r>
      <w:r w:rsidRPr="00321CC6">
        <w:rPr>
          <w:rStyle w:val="af7"/>
          <w:rFonts w:eastAsia="Guttman Hodes" w:hint="cs"/>
        </w:rPr>
        <w:instrText>REF</w:instrText>
      </w:r>
      <w:r w:rsidRPr="00321CC6">
        <w:rPr>
          <w:rStyle w:val="af7"/>
          <w:rFonts w:eastAsia="Guttman Hodes" w:hint="cs"/>
          <w:rtl/>
        </w:rPr>
        <w:instrText xml:space="preserve"> _</w:instrText>
      </w:r>
      <w:r w:rsidRPr="00321CC6">
        <w:rPr>
          <w:rStyle w:val="af7"/>
          <w:rFonts w:eastAsia="Guttman Hodes" w:hint="cs"/>
        </w:rPr>
        <w:instrText>Ref522109421 \r \h</w:instrText>
      </w:r>
      <w:r w:rsidRPr="00321CC6">
        <w:rPr>
          <w:rStyle w:val="af7"/>
          <w:rFonts w:eastAsia="Guttman Hodes"/>
          <w:rtl/>
        </w:rPr>
        <w:instrText xml:space="preserve"> </w:instrText>
      </w:r>
      <w:r w:rsidRPr="00321CC6">
        <w:rPr>
          <w:rStyle w:val="af7"/>
          <w:rFonts w:eastAsia="Guttman Hodes"/>
          <w:rtl/>
        </w:rPr>
      </w:r>
      <w:r w:rsidRPr="00321CC6">
        <w:rPr>
          <w:rStyle w:val="af7"/>
          <w:rFonts w:eastAsia="Guttman Hodes"/>
          <w:rtl/>
        </w:rPr>
        <w:fldChar w:fldCharType="separate"/>
      </w:r>
      <w:r w:rsidR="00345400">
        <w:rPr>
          <w:rStyle w:val="af7"/>
          <w:rFonts w:eastAsia="Guttman Hodes"/>
          <w:cs/>
        </w:rPr>
        <w:t>‎</w:t>
      </w:r>
      <w:r w:rsidR="00345400">
        <w:rPr>
          <w:rStyle w:val="af7"/>
          <w:rFonts w:eastAsia="Guttman Hodes"/>
          <w:rtl/>
        </w:rPr>
        <w:t>מג)</w:t>
      </w:r>
      <w:r w:rsidRPr="00321CC6">
        <w:rPr>
          <w:rStyle w:val="af7"/>
          <w:rFonts w:eastAsia="Guttman Hodes"/>
          <w:rtl/>
        </w:rPr>
        <w:fldChar w:fldCharType="end"/>
      </w:r>
      <w:r>
        <w:rPr>
          <w:rFonts w:hint="cs"/>
          <w:rtl/>
        </w:rPr>
        <w:t xml:space="preserve"> דכתב דלפי דברי </w:t>
      </w:r>
      <w:r w:rsidRPr="00195712">
        <w:rPr>
          <w:rStyle w:val="af9"/>
          <w:rFonts w:hint="cs"/>
          <w:rtl/>
        </w:rPr>
        <w:t>הרשב"א</w:t>
      </w:r>
      <w:r>
        <w:rPr>
          <w:rFonts w:hint="cs"/>
          <w:rtl/>
        </w:rPr>
        <w:t xml:space="preserve"> כל הנדון </w:t>
      </w:r>
      <w:r w:rsidRPr="00195712">
        <w:rPr>
          <w:rStyle w:val="af9"/>
          <w:rFonts w:hint="cs"/>
          <w:rtl/>
        </w:rPr>
        <w:t>בתוס' בביצה</w:t>
      </w:r>
      <w:r>
        <w:rPr>
          <w:rFonts w:hint="cs"/>
          <w:rtl/>
        </w:rPr>
        <w:t xml:space="preserve"> דמחזיקין מאבר מן החי או מאינו זבוח, הוא רק לדעת ר"א ב"ר ינאי, אבל לדעת הברייתא דהיא בחזקת טומאה, אסורה אף בלא איסור שאינו זבוח,  וביאר </w:t>
      </w:r>
      <w:r w:rsidRPr="00A062CE">
        <w:rPr>
          <w:rStyle w:val="af9"/>
          <w:rFonts w:hint="cs"/>
          <w:rtl/>
        </w:rPr>
        <w:t>השער"י</w:t>
      </w:r>
      <w:r>
        <w:rPr>
          <w:rFonts w:hint="cs"/>
          <w:rtl/>
        </w:rPr>
        <w:t xml:space="preserve"> דכיון שהסיבה שאוסרת לאחר מיתה ידועה, ויש ספק אם נעשה בה מעשה תיקון של שחיטה, א"א להוציאה מחזקת נבילה מספק.</w:t>
      </w:r>
    </w:p>
    <w:p w14:paraId="55CE90DF" w14:textId="77777777" w:rsidR="00852065" w:rsidRPr="00195712" w:rsidRDefault="00852065" w:rsidP="006D6D32">
      <w:pPr>
        <w:pStyle w:val="a3"/>
      </w:pPr>
      <w:bookmarkStart w:id="650" w:name="_Toc522086210"/>
      <w:bookmarkStart w:id="651" w:name="_Toc522099630"/>
      <w:bookmarkStart w:id="652" w:name="_Toc19388944"/>
      <w:bookmarkStart w:id="653" w:name="_Toc19392441"/>
      <w:r>
        <w:rPr>
          <w:rFonts w:hint="cs"/>
          <w:rtl/>
        </w:rPr>
        <w:t>קושית השער"י דלהגרעק"א למה אמר רב הונא חזקת איסור ולא דהייתה חיה מעיקרא</w:t>
      </w:r>
      <w:bookmarkEnd w:id="650"/>
      <w:bookmarkEnd w:id="651"/>
      <w:bookmarkEnd w:id="652"/>
      <w:bookmarkEnd w:id="653"/>
    </w:p>
    <w:p w14:paraId="7098A64E" w14:textId="77777777" w:rsidR="00852065" w:rsidRDefault="00852065" w:rsidP="00223668">
      <w:pPr>
        <w:pStyle w:val="a0"/>
        <w:rPr>
          <w:rtl/>
        </w:rPr>
      </w:pPr>
      <w:r>
        <w:rPr>
          <w:rFonts w:hint="cs"/>
          <w:rtl/>
        </w:rPr>
        <w:t xml:space="preserve"> והקשה </w:t>
      </w:r>
      <w:r w:rsidRPr="00195712">
        <w:rPr>
          <w:rStyle w:val="af9"/>
          <w:rFonts w:hint="cs"/>
          <w:rtl/>
        </w:rPr>
        <w:t>השער"י</w:t>
      </w:r>
      <w:r>
        <w:rPr>
          <w:rFonts w:hint="cs"/>
          <w:rtl/>
        </w:rPr>
        <w:t xml:space="preserve"> דאם כוונת </w:t>
      </w:r>
      <w:r w:rsidRPr="00195712">
        <w:rPr>
          <w:rStyle w:val="af9"/>
          <w:rFonts w:hint="cs"/>
          <w:rtl/>
        </w:rPr>
        <w:t>הרשב"א</w:t>
      </w:r>
      <w:r>
        <w:rPr>
          <w:rFonts w:hint="cs"/>
          <w:rtl/>
        </w:rPr>
        <w:t xml:space="preserve"> לומר דכל שהייתה חיה מעיקרא דינה כנבילה, למה הוצרך רב הונא לומר שהיא בחזקת איסור, [ואי כוונתו לחזקה דרבה שהוחזקה מחיים שתטמא לאח"מ, ציין </w:t>
      </w:r>
      <w:r w:rsidRPr="00195712">
        <w:rPr>
          <w:rStyle w:val="af9"/>
          <w:rFonts w:hint="cs"/>
          <w:rtl/>
        </w:rPr>
        <w:t>השער"י</w:t>
      </w:r>
      <w:r>
        <w:rPr>
          <w:rFonts w:hint="cs"/>
          <w:rtl/>
        </w:rPr>
        <w:t xml:space="preserve"> שם לדבריו במק"א במה שביאר בזה].</w:t>
      </w:r>
    </w:p>
    <w:p w14:paraId="2B3102BC" w14:textId="77777777" w:rsidR="00852065" w:rsidRPr="007932A0" w:rsidRDefault="00852065" w:rsidP="006D6D32">
      <w:pPr>
        <w:pStyle w:val="a3"/>
        <w:rPr>
          <w:rtl/>
        </w:rPr>
      </w:pPr>
      <w:bookmarkStart w:id="654" w:name="_Toc522086211"/>
      <w:bookmarkStart w:id="655" w:name="_Toc522099631"/>
      <w:bookmarkStart w:id="656" w:name="_Toc19388945"/>
      <w:bookmarkStart w:id="657" w:name="_Toc19392442"/>
      <w:r>
        <w:rPr>
          <w:rFonts w:hint="cs"/>
          <w:rtl/>
        </w:rPr>
        <w:t>קושית השער"י דלגרעק"א ר"א ב"ר ינאי לא ס"ל כסברת הרשב"א</w:t>
      </w:r>
      <w:bookmarkEnd w:id="654"/>
      <w:bookmarkEnd w:id="655"/>
      <w:bookmarkEnd w:id="656"/>
      <w:bookmarkEnd w:id="657"/>
    </w:p>
    <w:p w14:paraId="1242BEA4" w14:textId="77777777" w:rsidR="00852065" w:rsidRDefault="00852065" w:rsidP="00223668">
      <w:pPr>
        <w:pStyle w:val="a0"/>
        <w:rPr>
          <w:rtl/>
        </w:rPr>
      </w:pPr>
      <w:r>
        <w:rPr>
          <w:rFonts w:hint="cs"/>
          <w:rtl/>
        </w:rPr>
        <w:t xml:space="preserve">ועוד הקשה </w:t>
      </w:r>
      <w:r w:rsidRPr="00195712">
        <w:rPr>
          <w:rStyle w:val="af9"/>
          <w:rFonts w:hint="cs"/>
          <w:rtl/>
        </w:rPr>
        <w:t>השער"י</w:t>
      </w:r>
      <w:r>
        <w:rPr>
          <w:rFonts w:hint="cs"/>
          <w:rtl/>
        </w:rPr>
        <w:t xml:space="preserve"> על דברי </w:t>
      </w:r>
      <w:r w:rsidRPr="00195712">
        <w:rPr>
          <w:rStyle w:val="af9"/>
          <w:rFonts w:hint="cs"/>
          <w:rtl/>
        </w:rPr>
        <w:t>הגרעק"א</w:t>
      </w:r>
      <w:r>
        <w:rPr>
          <w:rFonts w:hint="cs"/>
          <w:rtl/>
        </w:rPr>
        <w:t xml:space="preserve"> דסברת </w:t>
      </w:r>
      <w:r w:rsidRPr="00195712">
        <w:rPr>
          <w:rStyle w:val="af9"/>
          <w:rFonts w:hint="cs"/>
          <w:rtl/>
        </w:rPr>
        <w:t>הרשב"א</w:t>
      </w:r>
      <w:r>
        <w:rPr>
          <w:rFonts w:hint="cs"/>
          <w:rtl/>
        </w:rPr>
        <w:t xml:space="preserve"> אינה נכונה לדעת ר"א ב"ר ינאי, דהא מדכתבו</w:t>
      </w:r>
      <w:r w:rsidRPr="00C70D1E">
        <w:rPr>
          <w:rStyle w:val="af9"/>
          <w:rFonts w:hint="cs"/>
          <w:rtl/>
        </w:rPr>
        <w:t xml:space="preserve"> התוס' והרשב"א</w:t>
      </w:r>
      <w:r>
        <w:rPr>
          <w:rFonts w:hint="cs"/>
          <w:rtl/>
        </w:rPr>
        <w:t xml:space="preserve"> דדוקא בספק בשחיטה שלא בדק בסימנים, ס"ל לר"א ב"ר ינאי דאינה מטמאה, כיון דמדאו' יש רוב דנשחטה כראוי, א"כ מבואר דבספק בשחיטה שאין בו רוב לכו"ע מטמאה כנבילה, ומוכח דמודה ר"א ב"ר ינאי לסברת </w:t>
      </w:r>
      <w:r w:rsidRPr="00195712">
        <w:rPr>
          <w:rStyle w:val="af9"/>
          <w:rFonts w:hint="cs"/>
          <w:rtl/>
        </w:rPr>
        <w:t>הרשב"א</w:t>
      </w:r>
      <w:r>
        <w:rPr>
          <w:rFonts w:hint="cs"/>
          <w:rtl/>
        </w:rPr>
        <w:t>.</w:t>
      </w:r>
    </w:p>
    <w:p w14:paraId="259852FA" w14:textId="77777777" w:rsidR="00852065" w:rsidRDefault="00852065" w:rsidP="00BF39B2">
      <w:pPr>
        <w:pStyle w:val="1"/>
        <w:rPr>
          <w:rtl/>
        </w:rPr>
      </w:pPr>
      <w:bookmarkStart w:id="658" w:name="_Toc521338196"/>
      <w:bookmarkStart w:id="659" w:name="_Toc521361996"/>
      <w:bookmarkStart w:id="660" w:name="_Toc522028157"/>
      <w:bookmarkStart w:id="661" w:name="_Toc522086212"/>
      <w:bookmarkStart w:id="662" w:name="_Toc522099632"/>
      <w:bookmarkStart w:id="663" w:name="_Toc19388946"/>
      <w:bookmarkStart w:id="664" w:name="_Toc19392443"/>
      <w:r>
        <w:rPr>
          <w:rFonts w:hint="cs"/>
          <w:rtl/>
        </w:rPr>
        <w:t xml:space="preserve">ביאור המשנת ר"א </w:t>
      </w:r>
      <w:bookmarkEnd w:id="658"/>
      <w:bookmarkEnd w:id="659"/>
      <w:bookmarkEnd w:id="660"/>
      <w:bookmarkEnd w:id="661"/>
      <w:r>
        <w:rPr>
          <w:rFonts w:hint="cs"/>
          <w:rtl/>
        </w:rPr>
        <w:t>בדברי הגרעק"א בדעת רש"י ותוס'</w:t>
      </w:r>
      <w:bookmarkEnd w:id="662"/>
      <w:bookmarkEnd w:id="663"/>
      <w:bookmarkEnd w:id="664"/>
    </w:p>
    <w:p w14:paraId="5FB3F98A" w14:textId="77777777" w:rsidR="00852065" w:rsidRDefault="00852065" w:rsidP="006D6D32">
      <w:pPr>
        <w:pStyle w:val="a3"/>
        <w:rPr>
          <w:rtl/>
        </w:rPr>
      </w:pPr>
      <w:bookmarkStart w:id="665" w:name="_Toc522099633"/>
      <w:bookmarkStart w:id="666" w:name="_Toc19388947"/>
      <w:bookmarkStart w:id="667" w:name="_Toc19392444"/>
      <w:r>
        <w:rPr>
          <w:rFonts w:hint="cs"/>
          <w:rtl/>
        </w:rPr>
        <w:t>דברי המשנת ר"א דלרש"י ותוס' מבואר דהחזקה היא רק על האיסור ולא על הטומאה</w:t>
      </w:r>
      <w:bookmarkEnd w:id="665"/>
      <w:bookmarkEnd w:id="666"/>
      <w:bookmarkEnd w:id="667"/>
    </w:p>
    <w:p w14:paraId="1679103B" w14:textId="77777777" w:rsidR="00852065" w:rsidRDefault="00852065" w:rsidP="00223668">
      <w:pPr>
        <w:pStyle w:val="a0"/>
        <w:rPr>
          <w:rtl/>
        </w:rPr>
      </w:pPr>
      <w:r w:rsidRPr="008D3E02">
        <w:rPr>
          <w:rFonts w:hint="cs"/>
          <w:rtl/>
        </w:rPr>
        <w:t xml:space="preserve">כתב </w:t>
      </w:r>
      <w:r w:rsidRPr="00CE54EA">
        <w:rPr>
          <w:rStyle w:val="af9"/>
          <w:rFonts w:hint="cs"/>
          <w:rtl/>
        </w:rPr>
        <w:t>במשנת ר"א</w:t>
      </w:r>
      <w:r w:rsidRPr="008D3E02">
        <w:rPr>
          <w:rFonts w:hint="cs"/>
          <w:rtl/>
        </w:rPr>
        <w:t xml:space="preserve"> </w:t>
      </w:r>
      <w:r w:rsidRPr="00A1486B">
        <w:rPr>
          <w:rStyle w:val="af7"/>
          <w:rFonts w:eastAsia="Guttman Hodes" w:hint="cs"/>
          <w:rtl/>
        </w:rPr>
        <w:t>(בכורות דף יח: אות ז')</w:t>
      </w:r>
      <w:r w:rsidRPr="008D3E02">
        <w:rPr>
          <w:rFonts w:hint="cs"/>
          <w:rtl/>
        </w:rPr>
        <w:t xml:space="preserve"> </w:t>
      </w:r>
      <w:r>
        <w:rPr>
          <w:rFonts w:hint="cs"/>
          <w:rtl/>
        </w:rPr>
        <w:t>דלדעת</w:t>
      </w:r>
      <w:r w:rsidRPr="008D3E02">
        <w:rPr>
          <w:rFonts w:hint="cs"/>
          <w:rtl/>
        </w:rPr>
        <w:t xml:space="preserve"> </w:t>
      </w:r>
      <w:r w:rsidRPr="00CE54EA">
        <w:rPr>
          <w:rStyle w:val="af9"/>
          <w:rFonts w:hint="cs"/>
          <w:rtl/>
        </w:rPr>
        <w:t>רש"י</w:t>
      </w:r>
      <w:r w:rsidRPr="008D3E02">
        <w:rPr>
          <w:rFonts w:hint="cs"/>
          <w:rtl/>
        </w:rPr>
        <w:t xml:space="preserve"> </w:t>
      </w:r>
      <w:r w:rsidRPr="00321CC6">
        <w:rPr>
          <w:rStyle w:val="af7"/>
          <w:rFonts w:eastAsia="Guttman Hodes" w:hint="cs"/>
          <w:rtl/>
        </w:rPr>
        <w:t xml:space="preserve">(עי' אות </w:t>
      </w:r>
      <w:r w:rsidRPr="00321CC6">
        <w:rPr>
          <w:rStyle w:val="af7"/>
          <w:rFonts w:eastAsia="Guttman Hodes"/>
          <w:rtl/>
        </w:rPr>
        <w:fldChar w:fldCharType="begin"/>
      </w:r>
      <w:r w:rsidRPr="00321CC6">
        <w:rPr>
          <w:rStyle w:val="af7"/>
          <w:rFonts w:eastAsia="Guttman Hodes"/>
          <w:rtl/>
        </w:rPr>
        <w:instrText xml:space="preserve"> </w:instrText>
      </w:r>
      <w:r w:rsidRPr="00321CC6">
        <w:rPr>
          <w:rStyle w:val="af7"/>
          <w:rFonts w:eastAsia="Guttman Hodes" w:hint="cs"/>
        </w:rPr>
        <w:instrText>REF</w:instrText>
      </w:r>
      <w:r w:rsidRPr="00321CC6">
        <w:rPr>
          <w:rStyle w:val="af7"/>
          <w:rFonts w:eastAsia="Guttman Hodes" w:hint="cs"/>
          <w:rtl/>
        </w:rPr>
        <w:instrText xml:space="preserve"> _</w:instrText>
      </w:r>
      <w:r w:rsidRPr="00321CC6">
        <w:rPr>
          <w:rStyle w:val="af7"/>
          <w:rFonts w:eastAsia="Guttman Hodes" w:hint="cs"/>
        </w:rPr>
        <w:instrText>Ref522100765 \r \h</w:instrText>
      </w:r>
      <w:r w:rsidRPr="00321CC6">
        <w:rPr>
          <w:rStyle w:val="af7"/>
          <w:rFonts w:eastAsia="Guttman Hodes"/>
          <w:rtl/>
        </w:rPr>
        <w:instrText xml:space="preserve"> </w:instrText>
      </w:r>
      <w:r w:rsidRPr="00321CC6">
        <w:rPr>
          <w:rStyle w:val="af7"/>
          <w:rFonts w:eastAsia="Guttman Hodes"/>
          <w:rtl/>
        </w:rPr>
      </w:r>
      <w:r w:rsidRPr="00321CC6">
        <w:rPr>
          <w:rStyle w:val="af7"/>
          <w:rFonts w:eastAsia="Guttman Hodes"/>
          <w:rtl/>
        </w:rPr>
        <w:fldChar w:fldCharType="separate"/>
      </w:r>
      <w:r w:rsidR="00345400">
        <w:rPr>
          <w:rStyle w:val="af7"/>
          <w:rFonts w:eastAsia="Guttman Hodes"/>
          <w:cs/>
        </w:rPr>
        <w:t>‎</w:t>
      </w:r>
      <w:r w:rsidR="00345400">
        <w:rPr>
          <w:rStyle w:val="af7"/>
          <w:rFonts w:eastAsia="Guttman Hodes"/>
          <w:rtl/>
        </w:rPr>
        <w:t>ט)</w:t>
      </w:r>
      <w:r w:rsidRPr="00321CC6">
        <w:rPr>
          <w:rStyle w:val="af7"/>
          <w:rFonts w:eastAsia="Guttman Hodes"/>
          <w:rtl/>
        </w:rPr>
        <w:fldChar w:fldCharType="end"/>
      </w:r>
      <w:r>
        <w:rPr>
          <w:rFonts w:hint="cs"/>
          <w:rtl/>
        </w:rPr>
        <w:t xml:space="preserve"> </w:t>
      </w:r>
      <w:r w:rsidRPr="008D3E02">
        <w:rPr>
          <w:rFonts w:hint="cs"/>
          <w:rtl/>
        </w:rPr>
        <w:t>דמחזיקין מאיסור אבר מן החי, ו</w:t>
      </w:r>
      <w:r>
        <w:rPr>
          <w:rFonts w:hint="cs"/>
          <w:rtl/>
        </w:rPr>
        <w:t xml:space="preserve">דלדעת </w:t>
      </w:r>
      <w:r>
        <w:rPr>
          <w:rStyle w:val="af9"/>
          <w:rFonts w:hint="cs"/>
          <w:rtl/>
        </w:rPr>
        <w:t>ה</w:t>
      </w:r>
      <w:r w:rsidRPr="00CE54EA">
        <w:rPr>
          <w:rStyle w:val="af9"/>
          <w:rFonts w:hint="cs"/>
          <w:rtl/>
        </w:rPr>
        <w:t>תוס'</w:t>
      </w:r>
      <w:r>
        <w:rPr>
          <w:rStyle w:val="af9"/>
          <w:rFonts w:hint="cs"/>
          <w:rtl/>
        </w:rPr>
        <w:t xml:space="preserve"> בביצה</w:t>
      </w:r>
      <w:r w:rsidRPr="008D3E02">
        <w:rPr>
          <w:rFonts w:hint="cs"/>
          <w:rtl/>
        </w:rPr>
        <w:t xml:space="preserve"> </w:t>
      </w:r>
      <w:r w:rsidRPr="00321CC6">
        <w:rPr>
          <w:rStyle w:val="af7"/>
          <w:rFonts w:eastAsia="Guttman Hodes" w:hint="cs"/>
          <w:rtl/>
        </w:rPr>
        <w:t xml:space="preserve">(עי' אות </w:t>
      </w:r>
      <w:r w:rsidRPr="00321CC6">
        <w:rPr>
          <w:rStyle w:val="af7"/>
          <w:rFonts w:eastAsia="Guttman Hodes"/>
          <w:rtl/>
        </w:rPr>
        <w:fldChar w:fldCharType="begin"/>
      </w:r>
      <w:r w:rsidRPr="00321CC6">
        <w:rPr>
          <w:rStyle w:val="af7"/>
          <w:rFonts w:eastAsia="Guttman Hodes"/>
          <w:rtl/>
        </w:rPr>
        <w:instrText xml:space="preserve"> </w:instrText>
      </w:r>
      <w:r w:rsidRPr="00321CC6">
        <w:rPr>
          <w:rStyle w:val="af7"/>
          <w:rFonts w:eastAsia="Guttman Hodes" w:hint="cs"/>
        </w:rPr>
        <w:instrText>REF</w:instrText>
      </w:r>
      <w:r w:rsidRPr="00321CC6">
        <w:rPr>
          <w:rStyle w:val="af7"/>
          <w:rFonts w:eastAsia="Guttman Hodes" w:hint="cs"/>
          <w:rtl/>
        </w:rPr>
        <w:instrText xml:space="preserve"> _</w:instrText>
      </w:r>
      <w:r w:rsidRPr="00321CC6">
        <w:rPr>
          <w:rStyle w:val="af7"/>
          <w:rFonts w:eastAsia="Guttman Hodes" w:hint="cs"/>
        </w:rPr>
        <w:instrText>Ref522100783 \r \h</w:instrText>
      </w:r>
      <w:r w:rsidRPr="00321CC6">
        <w:rPr>
          <w:rStyle w:val="af7"/>
          <w:rFonts w:eastAsia="Guttman Hodes"/>
          <w:rtl/>
        </w:rPr>
        <w:instrText xml:space="preserve"> </w:instrText>
      </w:r>
      <w:r w:rsidRPr="00321CC6">
        <w:rPr>
          <w:rStyle w:val="af7"/>
          <w:rFonts w:eastAsia="Guttman Hodes"/>
          <w:rtl/>
        </w:rPr>
      </w:r>
      <w:r w:rsidRPr="00321CC6">
        <w:rPr>
          <w:rStyle w:val="af7"/>
          <w:rFonts w:eastAsia="Guttman Hodes"/>
          <w:rtl/>
        </w:rPr>
        <w:fldChar w:fldCharType="separate"/>
      </w:r>
      <w:r w:rsidR="00345400">
        <w:rPr>
          <w:rStyle w:val="af7"/>
          <w:rFonts w:eastAsia="Guttman Hodes"/>
          <w:cs/>
        </w:rPr>
        <w:t>‎</w:t>
      </w:r>
      <w:r w:rsidR="00345400">
        <w:rPr>
          <w:rStyle w:val="af7"/>
          <w:rFonts w:eastAsia="Guttman Hodes"/>
          <w:rtl/>
        </w:rPr>
        <w:t>יא)</w:t>
      </w:r>
      <w:r w:rsidRPr="00321CC6">
        <w:rPr>
          <w:rStyle w:val="af7"/>
          <w:rFonts w:eastAsia="Guttman Hodes"/>
          <w:rtl/>
        </w:rPr>
        <w:fldChar w:fldCharType="end"/>
      </w:r>
      <w:r>
        <w:rPr>
          <w:rFonts w:hint="cs"/>
          <w:rtl/>
        </w:rPr>
        <w:t xml:space="preserve"> </w:t>
      </w:r>
      <w:r w:rsidRPr="008D3E02">
        <w:rPr>
          <w:rFonts w:hint="cs"/>
          <w:rtl/>
        </w:rPr>
        <w:t>דמעמידים בחזקת שאינ</w:t>
      </w:r>
      <w:r>
        <w:rPr>
          <w:rFonts w:hint="cs"/>
          <w:rtl/>
        </w:rPr>
        <w:t>ו</w:t>
      </w:r>
      <w:r w:rsidRPr="008D3E02">
        <w:rPr>
          <w:rFonts w:hint="cs"/>
          <w:rtl/>
        </w:rPr>
        <w:t xml:space="preserve"> זבוח, החזקה היא רק באיסור אכילה ולא בטומאה, </w:t>
      </w:r>
      <w:r>
        <w:rPr>
          <w:rFonts w:hint="cs"/>
          <w:rtl/>
        </w:rPr>
        <w:t>א"כ מבואר דלכו"ע החזקה היא רק לענין האיסור אכילה, ולא לענין הטומאה, כמבואר בלשון הגמ'.</w:t>
      </w:r>
    </w:p>
    <w:p w14:paraId="3D706CE5" w14:textId="77777777" w:rsidR="00852065" w:rsidRPr="00337658" w:rsidRDefault="00852065" w:rsidP="006D6D32">
      <w:pPr>
        <w:pStyle w:val="a3"/>
      </w:pPr>
      <w:bookmarkStart w:id="668" w:name="_Toc522099634"/>
      <w:bookmarkStart w:id="669" w:name="_Toc19388948"/>
      <w:bookmarkStart w:id="670" w:name="_Toc19392445"/>
      <w:r>
        <w:rPr>
          <w:rFonts w:hint="cs"/>
          <w:rtl/>
        </w:rPr>
        <w:t>דברי המשנת ר"א דלרש"י ותוס' לברייתא אם אינה מטמאה הוא תרתי דסתרי כגרעק"א</w:t>
      </w:r>
      <w:bookmarkEnd w:id="668"/>
      <w:bookmarkEnd w:id="669"/>
      <w:bookmarkEnd w:id="670"/>
    </w:p>
    <w:p w14:paraId="1D0E4F48" w14:textId="77777777" w:rsidR="00852065" w:rsidRDefault="00852065" w:rsidP="00223668">
      <w:pPr>
        <w:pStyle w:val="a0"/>
        <w:rPr>
          <w:rtl/>
        </w:rPr>
      </w:pPr>
      <w:r>
        <w:rPr>
          <w:rFonts w:hint="cs"/>
          <w:rtl/>
        </w:rPr>
        <w:t xml:space="preserve">וביאר </w:t>
      </w:r>
      <w:r w:rsidRPr="00A620F0">
        <w:rPr>
          <w:rStyle w:val="af9"/>
          <w:rFonts w:hint="cs"/>
          <w:rtl/>
        </w:rPr>
        <w:t>במשנת ר"א דלרש"י ותוס'</w:t>
      </w:r>
      <w:r>
        <w:rPr>
          <w:rFonts w:hint="cs"/>
          <w:rtl/>
        </w:rPr>
        <w:t xml:space="preserve"> הביאור הוא כדכתב </w:t>
      </w:r>
      <w:r w:rsidRPr="002449E7">
        <w:rPr>
          <w:rStyle w:val="af9"/>
          <w:rFonts w:hint="cs"/>
          <w:rtl/>
        </w:rPr>
        <w:t>הגרעק"א</w:t>
      </w:r>
      <w:r>
        <w:rPr>
          <w:rFonts w:hint="cs"/>
          <w:rtl/>
        </w:rPr>
        <w:t xml:space="preserve"> </w:t>
      </w:r>
      <w:r w:rsidRPr="00321CC6">
        <w:rPr>
          <w:rStyle w:val="af7"/>
          <w:rFonts w:eastAsia="Guttman Hodes" w:hint="cs"/>
          <w:rtl/>
        </w:rPr>
        <w:t xml:space="preserve">(עי' אות </w:t>
      </w:r>
      <w:r w:rsidRPr="00321CC6">
        <w:rPr>
          <w:rStyle w:val="af7"/>
          <w:rFonts w:eastAsia="Guttman Hodes"/>
          <w:rtl/>
        </w:rPr>
        <w:fldChar w:fldCharType="begin"/>
      </w:r>
      <w:r w:rsidRPr="00321CC6">
        <w:rPr>
          <w:rStyle w:val="af7"/>
          <w:rFonts w:eastAsia="Guttman Hodes"/>
          <w:rtl/>
        </w:rPr>
        <w:instrText xml:space="preserve"> </w:instrText>
      </w:r>
      <w:r w:rsidRPr="00321CC6">
        <w:rPr>
          <w:rStyle w:val="af7"/>
          <w:rFonts w:eastAsia="Guttman Hodes" w:hint="cs"/>
        </w:rPr>
        <w:instrText>REF</w:instrText>
      </w:r>
      <w:r w:rsidRPr="00321CC6">
        <w:rPr>
          <w:rStyle w:val="af7"/>
          <w:rFonts w:eastAsia="Guttman Hodes" w:hint="cs"/>
          <w:rtl/>
        </w:rPr>
        <w:instrText xml:space="preserve"> _</w:instrText>
      </w:r>
      <w:r w:rsidRPr="00321CC6">
        <w:rPr>
          <w:rStyle w:val="af7"/>
          <w:rFonts w:eastAsia="Guttman Hodes" w:hint="cs"/>
        </w:rPr>
        <w:instrText>Ref522109526 \r \h</w:instrText>
      </w:r>
      <w:r w:rsidRPr="00321CC6">
        <w:rPr>
          <w:rStyle w:val="af7"/>
          <w:rFonts w:eastAsia="Guttman Hodes"/>
          <w:rtl/>
        </w:rPr>
        <w:instrText xml:space="preserve"> </w:instrText>
      </w:r>
      <w:r w:rsidRPr="00321CC6">
        <w:rPr>
          <w:rStyle w:val="af7"/>
          <w:rFonts w:eastAsia="Guttman Hodes"/>
          <w:rtl/>
        </w:rPr>
      </w:r>
      <w:r w:rsidRPr="00321CC6">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321CC6">
        <w:rPr>
          <w:rStyle w:val="af7"/>
          <w:rFonts w:eastAsia="Guttman Hodes"/>
          <w:rtl/>
        </w:rPr>
        <w:fldChar w:fldCharType="end"/>
      </w:r>
      <w:r>
        <w:rPr>
          <w:rFonts w:hint="cs"/>
          <w:rtl/>
        </w:rPr>
        <w:t xml:space="preserve"> דלדעת הברייתא דמטמאה בנבילה, דהחילוק בין איסור לטומאה</w:t>
      </w:r>
      <w:r w:rsidRPr="008D3E02">
        <w:rPr>
          <w:rFonts w:hint="cs"/>
          <w:rtl/>
        </w:rPr>
        <w:t xml:space="preserve"> הוא תרתי דסתרי, וכיון שמעמידים על חזקת איסור ממילא ה"ה לטומאה</w:t>
      </w:r>
      <w:r>
        <w:rPr>
          <w:rFonts w:hint="cs"/>
          <w:rtl/>
        </w:rPr>
        <w:t>.</w:t>
      </w:r>
    </w:p>
    <w:p w14:paraId="49043893" w14:textId="77777777" w:rsidR="00852065" w:rsidRPr="005112A7" w:rsidRDefault="00852065" w:rsidP="006D6D32">
      <w:pPr>
        <w:pStyle w:val="a3"/>
      </w:pPr>
      <w:bookmarkStart w:id="671" w:name="_Toc522099635"/>
      <w:bookmarkStart w:id="672" w:name="_Toc19388949"/>
      <w:bookmarkStart w:id="673" w:name="_Toc19392446"/>
      <w:r>
        <w:rPr>
          <w:rFonts w:hint="cs"/>
          <w:rtl/>
        </w:rPr>
        <w:t>דברי המשנת ר"א דלרש"י ותוס' סבר ר"א דמעמידים את האיסור והטומאה על חזקתם</w:t>
      </w:r>
      <w:bookmarkEnd w:id="671"/>
      <w:bookmarkEnd w:id="672"/>
      <w:bookmarkEnd w:id="673"/>
    </w:p>
    <w:p w14:paraId="41FB3AD1" w14:textId="77777777" w:rsidR="00852065" w:rsidRPr="008D3E02" w:rsidRDefault="00852065" w:rsidP="00223668">
      <w:pPr>
        <w:pStyle w:val="a0"/>
        <w:rPr>
          <w:rtl/>
        </w:rPr>
      </w:pPr>
      <w:r w:rsidRPr="008D3E02">
        <w:rPr>
          <w:rFonts w:hint="cs"/>
          <w:rtl/>
        </w:rPr>
        <w:t>ו</w:t>
      </w:r>
      <w:r>
        <w:rPr>
          <w:rFonts w:hint="cs"/>
          <w:rtl/>
        </w:rPr>
        <w:t>ל</w:t>
      </w:r>
      <w:r w:rsidRPr="008D3E02">
        <w:rPr>
          <w:rFonts w:hint="cs"/>
          <w:rtl/>
        </w:rPr>
        <w:t xml:space="preserve">דעת ר"א ב"ר ינאי </w:t>
      </w:r>
      <w:r>
        <w:rPr>
          <w:rFonts w:hint="cs"/>
          <w:rtl/>
        </w:rPr>
        <w:t xml:space="preserve">ביאר </w:t>
      </w:r>
      <w:r w:rsidRPr="00A620F0">
        <w:rPr>
          <w:rStyle w:val="af9"/>
          <w:rFonts w:hint="cs"/>
          <w:rtl/>
        </w:rPr>
        <w:t>במשנת ר"א</w:t>
      </w:r>
      <w:r>
        <w:rPr>
          <w:rFonts w:hint="cs"/>
          <w:rtl/>
        </w:rPr>
        <w:t xml:space="preserve"> בדעת </w:t>
      </w:r>
      <w:r w:rsidRPr="00A620F0">
        <w:rPr>
          <w:rStyle w:val="af9"/>
          <w:rFonts w:hint="cs"/>
          <w:rtl/>
        </w:rPr>
        <w:t>רש"י ותוס'</w:t>
      </w:r>
      <w:r>
        <w:rPr>
          <w:rFonts w:hint="cs"/>
          <w:rtl/>
        </w:rPr>
        <w:t xml:space="preserve"> </w:t>
      </w:r>
      <w:r w:rsidRPr="008D3E02">
        <w:rPr>
          <w:rFonts w:hint="cs"/>
          <w:rtl/>
        </w:rPr>
        <w:t>ד</w:t>
      </w:r>
      <w:r>
        <w:rPr>
          <w:rFonts w:hint="cs"/>
          <w:rtl/>
        </w:rPr>
        <w:t>א</w:t>
      </w:r>
      <w:r w:rsidRPr="008D3E02">
        <w:rPr>
          <w:rFonts w:hint="cs"/>
          <w:rtl/>
        </w:rPr>
        <w:t>פשר לחלק בין האיסור לטומאה ולהעמיד כל דין על חזקתו, ד</w:t>
      </w:r>
      <w:r>
        <w:rPr>
          <w:rFonts w:hint="cs"/>
          <w:rtl/>
        </w:rPr>
        <w:t xml:space="preserve">הבהמה </w:t>
      </w:r>
      <w:r w:rsidRPr="008D3E02">
        <w:rPr>
          <w:rFonts w:hint="cs"/>
          <w:rtl/>
        </w:rPr>
        <w:t>היא בחזקת איסור ואינה בחזקת טומאה</w:t>
      </w:r>
      <w:r>
        <w:rPr>
          <w:rFonts w:hint="cs"/>
          <w:rtl/>
        </w:rPr>
        <w:t>.</w:t>
      </w:r>
    </w:p>
    <w:p w14:paraId="5E0C2E7A" w14:textId="77777777" w:rsidR="00852065" w:rsidRDefault="00852065" w:rsidP="00BF39B2">
      <w:pPr>
        <w:pStyle w:val="1"/>
      </w:pPr>
      <w:bookmarkStart w:id="674" w:name="_Toc522099636"/>
      <w:bookmarkStart w:id="675" w:name="_Toc19388950"/>
      <w:bookmarkStart w:id="676" w:name="_Toc19392447"/>
      <w:r>
        <w:rPr>
          <w:rFonts w:hint="cs"/>
          <w:rtl/>
        </w:rPr>
        <w:t>ביאור המשנת ר"א בדברי הגרעק"א בדעת הרשב"א</w:t>
      </w:r>
      <w:bookmarkEnd w:id="674"/>
      <w:bookmarkEnd w:id="675"/>
      <w:bookmarkEnd w:id="676"/>
    </w:p>
    <w:p w14:paraId="145FF443" w14:textId="77777777" w:rsidR="00852065" w:rsidRDefault="00852065" w:rsidP="006D6D32">
      <w:pPr>
        <w:pStyle w:val="a3"/>
      </w:pPr>
      <w:bookmarkStart w:id="677" w:name="_Toc522099637"/>
      <w:bookmarkStart w:id="678" w:name="_Toc19388951"/>
      <w:bookmarkStart w:id="679" w:name="_Toc19392448"/>
      <w:r>
        <w:rPr>
          <w:rFonts w:hint="cs"/>
          <w:rtl/>
        </w:rPr>
        <w:t>דברי המשנת ר"א דלהרשב"א ביאר הגרעק"א דלברייתא החזקה היא שלא נשחטה כראוי</w:t>
      </w:r>
      <w:bookmarkEnd w:id="677"/>
      <w:bookmarkEnd w:id="678"/>
      <w:bookmarkEnd w:id="679"/>
    </w:p>
    <w:p w14:paraId="402A5E12" w14:textId="77777777" w:rsidR="00852065" w:rsidRDefault="00852065" w:rsidP="00223668">
      <w:pPr>
        <w:pStyle w:val="a0"/>
        <w:rPr>
          <w:rtl/>
        </w:rPr>
      </w:pPr>
      <w:r w:rsidRPr="008D3E02">
        <w:rPr>
          <w:rFonts w:hint="cs"/>
          <w:rtl/>
        </w:rPr>
        <w:t xml:space="preserve">ובדעת </w:t>
      </w:r>
      <w:r w:rsidRPr="002F05CF">
        <w:rPr>
          <w:rStyle w:val="af9"/>
          <w:rFonts w:hint="cs"/>
          <w:rtl/>
        </w:rPr>
        <w:t xml:space="preserve">הרשב"א </w:t>
      </w:r>
      <w:r w:rsidRPr="00126EAA">
        <w:rPr>
          <w:rStyle w:val="af7"/>
          <w:rFonts w:eastAsia="Guttman Hodes" w:hint="cs"/>
          <w:rtl/>
        </w:rPr>
        <w:t xml:space="preserve">(עי' אות </w:t>
      </w:r>
      <w:r w:rsidRPr="00126EAA">
        <w:rPr>
          <w:rStyle w:val="af7"/>
          <w:rFonts w:eastAsia="Guttman Hodes"/>
          <w:rtl/>
        </w:rPr>
        <w:fldChar w:fldCharType="begin"/>
      </w:r>
      <w:r w:rsidRPr="00126EAA">
        <w:rPr>
          <w:rStyle w:val="af7"/>
          <w:rFonts w:eastAsia="Guttman Hodes"/>
          <w:rtl/>
        </w:rPr>
        <w:instrText xml:space="preserve"> </w:instrText>
      </w:r>
      <w:r w:rsidRPr="00126EAA">
        <w:rPr>
          <w:rStyle w:val="af7"/>
          <w:rFonts w:eastAsia="Guttman Hodes" w:hint="cs"/>
        </w:rPr>
        <w:instrText>REF</w:instrText>
      </w:r>
      <w:r w:rsidRPr="00126EAA">
        <w:rPr>
          <w:rStyle w:val="af7"/>
          <w:rFonts w:eastAsia="Guttman Hodes" w:hint="cs"/>
          <w:rtl/>
        </w:rPr>
        <w:instrText xml:space="preserve"> _</w:instrText>
      </w:r>
      <w:r w:rsidRPr="00126EAA">
        <w:rPr>
          <w:rStyle w:val="af7"/>
          <w:rFonts w:eastAsia="Guttman Hodes" w:hint="cs"/>
        </w:rPr>
        <w:instrText>Ref522100935 \r \h</w:instrText>
      </w:r>
      <w:r w:rsidRPr="00126EAA">
        <w:rPr>
          <w:rStyle w:val="af7"/>
          <w:rFonts w:eastAsia="Guttman Hodes"/>
          <w:rtl/>
        </w:rPr>
        <w:instrText xml:space="preserve"> </w:instrText>
      </w:r>
      <w:r w:rsidRPr="00126EAA">
        <w:rPr>
          <w:rStyle w:val="af7"/>
          <w:rFonts w:eastAsia="Guttman Hodes"/>
          <w:rtl/>
        </w:rPr>
      </w:r>
      <w:r w:rsidRPr="00126EAA">
        <w:rPr>
          <w:rStyle w:val="af7"/>
          <w:rFonts w:eastAsia="Guttman Hodes"/>
          <w:rtl/>
        </w:rPr>
        <w:fldChar w:fldCharType="separate"/>
      </w:r>
      <w:r w:rsidR="00345400">
        <w:rPr>
          <w:rStyle w:val="af7"/>
          <w:rFonts w:eastAsia="Guttman Hodes"/>
          <w:cs/>
        </w:rPr>
        <w:t>‎</w:t>
      </w:r>
      <w:r w:rsidR="00345400">
        <w:rPr>
          <w:rStyle w:val="af7"/>
          <w:rFonts w:eastAsia="Guttman Hodes"/>
          <w:rtl/>
        </w:rPr>
        <w:t>לט)</w:t>
      </w:r>
      <w:r w:rsidRPr="00126EAA">
        <w:rPr>
          <w:rStyle w:val="af7"/>
          <w:rFonts w:eastAsia="Guttman Hodes"/>
          <w:rtl/>
        </w:rPr>
        <w:fldChar w:fldCharType="end"/>
      </w:r>
      <w:r>
        <w:rPr>
          <w:rFonts w:hint="cs"/>
          <w:rtl/>
        </w:rPr>
        <w:t xml:space="preserve"> דכתב דלדעת הברייתא דמטמאה בנבילה, הוא כיון שמחיים היא בחזקת איסור ובהמה חיה שמתה היא נבילה, וא"א להוציאה מטומאתה מספק, כתב </w:t>
      </w:r>
      <w:r w:rsidRPr="00337658">
        <w:rPr>
          <w:rStyle w:val="af9"/>
          <w:rFonts w:hint="cs"/>
          <w:rtl/>
        </w:rPr>
        <w:t>במשנת ר"א</w:t>
      </w:r>
      <w:r>
        <w:rPr>
          <w:rFonts w:hint="cs"/>
          <w:rtl/>
        </w:rPr>
        <w:t xml:space="preserve"> </w:t>
      </w:r>
      <w:r w:rsidRPr="00A1486B">
        <w:rPr>
          <w:rStyle w:val="af7"/>
          <w:rFonts w:eastAsia="Guttman Hodes" w:hint="cs"/>
          <w:rtl/>
        </w:rPr>
        <w:t>(בכורות דף יח: אות ז'</w:t>
      </w:r>
      <w:r>
        <w:rPr>
          <w:rStyle w:val="af7"/>
          <w:rFonts w:eastAsia="Guttman Hodes" w:hint="cs"/>
          <w:rtl/>
        </w:rPr>
        <w:t xml:space="preserve"> ד"ה אך הרשב"א</w:t>
      </w:r>
      <w:r w:rsidRPr="00A1486B">
        <w:rPr>
          <w:rStyle w:val="af7"/>
          <w:rFonts w:eastAsia="Guttman Hodes" w:hint="cs"/>
          <w:rtl/>
        </w:rPr>
        <w:t>)</w:t>
      </w:r>
      <w:r w:rsidRPr="008D3E02">
        <w:rPr>
          <w:rFonts w:hint="cs"/>
          <w:rtl/>
        </w:rPr>
        <w:t xml:space="preserve"> </w:t>
      </w:r>
      <w:r>
        <w:rPr>
          <w:rFonts w:hint="cs"/>
          <w:rtl/>
        </w:rPr>
        <w:t>דהביאור הוא כדברי</w:t>
      </w:r>
      <w:r w:rsidRPr="008D3E02">
        <w:rPr>
          <w:rFonts w:hint="cs"/>
          <w:rtl/>
        </w:rPr>
        <w:t xml:space="preserve"> </w:t>
      </w:r>
      <w:r w:rsidRPr="00CE54EA">
        <w:rPr>
          <w:rStyle w:val="af9"/>
          <w:rFonts w:hint="cs"/>
          <w:rtl/>
        </w:rPr>
        <w:t>הגרעק"א</w:t>
      </w:r>
      <w:r>
        <w:rPr>
          <w:rFonts w:hint="cs"/>
          <w:rtl/>
        </w:rPr>
        <w:t xml:space="preserve"> </w:t>
      </w:r>
      <w:r w:rsidRPr="00126EAA">
        <w:rPr>
          <w:rStyle w:val="af7"/>
          <w:rFonts w:eastAsia="Guttman Hodes" w:hint="cs"/>
          <w:rtl/>
        </w:rPr>
        <w:t xml:space="preserve">(עי' אות </w:t>
      </w:r>
      <w:r w:rsidRPr="00126EAA">
        <w:rPr>
          <w:rStyle w:val="af7"/>
          <w:rFonts w:eastAsia="Guttman Hodes"/>
          <w:rtl/>
        </w:rPr>
        <w:fldChar w:fldCharType="begin"/>
      </w:r>
      <w:r w:rsidRPr="00126EAA">
        <w:rPr>
          <w:rStyle w:val="af7"/>
          <w:rFonts w:eastAsia="Guttman Hodes"/>
          <w:rtl/>
        </w:rPr>
        <w:instrText xml:space="preserve"> </w:instrText>
      </w:r>
      <w:r w:rsidRPr="00126EAA">
        <w:rPr>
          <w:rStyle w:val="af7"/>
          <w:rFonts w:eastAsia="Guttman Hodes" w:hint="cs"/>
        </w:rPr>
        <w:instrText>REF</w:instrText>
      </w:r>
      <w:r w:rsidRPr="00126EAA">
        <w:rPr>
          <w:rStyle w:val="af7"/>
          <w:rFonts w:eastAsia="Guttman Hodes" w:hint="cs"/>
          <w:rtl/>
        </w:rPr>
        <w:instrText xml:space="preserve"> _</w:instrText>
      </w:r>
      <w:r w:rsidRPr="00126EAA">
        <w:rPr>
          <w:rStyle w:val="af7"/>
          <w:rFonts w:eastAsia="Guttman Hodes" w:hint="cs"/>
        </w:rPr>
        <w:instrText>Ref522109595 \r \h</w:instrText>
      </w:r>
      <w:r w:rsidRPr="00126EAA">
        <w:rPr>
          <w:rStyle w:val="af7"/>
          <w:rFonts w:eastAsia="Guttman Hodes"/>
          <w:rtl/>
        </w:rPr>
        <w:instrText xml:space="preserve"> </w:instrText>
      </w:r>
      <w:r w:rsidRPr="00126EAA">
        <w:rPr>
          <w:rStyle w:val="af7"/>
          <w:rFonts w:eastAsia="Guttman Hodes"/>
          <w:rtl/>
        </w:rPr>
      </w:r>
      <w:r w:rsidRPr="00126EAA">
        <w:rPr>
          <w:rStyle w:val="af7"/>
          <w:rFonts w:eastAsia="Guttman Hodes"/>
          <w:rtl/>
        </w:rPr>
        <w:fldChar w:fldCharType="separate"/>
      </w:r>
      <w:r w:rsidR="00345400">
        <w:rPr>
          <w:rStyle w:val="af7"/>
          <w:rFonts w:eastAsia="Guttman Hodes"/>
          <w:cs/>
        </w:rPr>
        <w:t>‎</w:t>
      </w:r>
      <w:r w:rsidR="00345400">
        <w:rPr>
          <w:rStyle w:val="af7"/>
          <w:rFonts w:eastAsia="Guttman Hodes"/>
          <w:rtl/>
        </w:rPr>
        <w:t>מ)</w:t>
      </w:r>
      <w:r w:rsidRPr="00126EAA">
        <w:rPr>
          <w:rStyle w:val="af7"/>
          <w:rFonts w:eastAsia="Guttman Hodes"/>
          <w:rtl/>
        </w:rPr>
        <w:fldChar w:fldCharType="end"/>
      </w:r>
      <w:r>
        <w:rPr>
          <w:rFonts w:hint="cs"/>
          <w:rtl/>
        </w:rPr>
        <w:t xml:space="preserve"> דס"ל להברייתא דיש חזקה שלא נעשה בה מעשה שחיטה כראוי.</w:t>
      </w:r>
    </w:p>
    <w:p w14:paraId="3467A711" w14:textId="77777777" w:rsidR="00852065" w:rsidRPr="00211297" w:rsidRDefault="00852065" w:rsidP="006D6D32">
      <w:pPr>
        <w:pStyle w:val="a3"/>
      </w:pPr>
      <w:bookmarkStart w:id="680" w:name="_Toc522099638"/>
      <w:bookmarkStart w:id="681" w:name="_Toc19388952"/>
      <w:bookmarkStart w:id="682" w:name="_Toc19392449"/>
      <w:r>
        <w:rPr>
          <w:rFonts w:hint="cs"/>
          <w:rtl/>
        </w:rPr>
        <w:t>ביאור המשנת ר"א דלרשב"א להברייתא אין החזקה מחמת האיסור אלא שהיא מתה ונבילה</w:t>
      </w:r>
      <w:bookmarkEnd w:id="680"/>
      <w:bookmarkEnd w:id="681"/>
      <w:bookmarkEnd w:id="682"/>
      <w:r>
        <w:rPr>
          <w:rFonts w:hint="cs"/>
          <w:rtl/>
        </w:rPr>
        <w:t xml:space="preserve"> </w:t>
      </w:r>
    </w:p>
    <w:p w14:paraId="0780F871" w14:textId="77777777" w:rsidR="00852065" w:rsidRPr="0011039D" w:rsidRDefault="00852065" w:rsidP="00223668">
      <w:pPr>
        <w:pStyle w:val="a0"/>
        <w:rPr>
          <w:rtl/>
        </w:rPr>
      </w:pPr>
      <w:r>
        <w:rPr>
          <w:rFonts w:hint="cs"/>
          <w:rtl/>
        </w:rPr>
        <w:t xml:space="preserve">וביאר </w:t>
      </w:r>
      <w:r w:rsidRPr="0085465A">
        <w:rPr>
          <w:rStyle w:val="af9"/>
          <w:rFonts w:hint="cs"/>
          <w:rtl/>
        </w:rPr>
        <w:t>המשנת ר"א</w:t>
      </w:r>
      <w:r>
        <w:rPr>
          <w:rFonts w:hint="cs"/>
          <w:rtl/>
        </w:rPr>
        <w:t xml:space="preserve"> דסברה הברייתא לדעת </w:t>
      </w:r>
      <w:r w:rsidRPr="0085465A">
        <w:rPr>
          <w:rStyle w:val="af9"/>
          <w:rFonts w:hint="cs"/>
          <w:rtl/>
        </w:rPr>
        <w:t>הרשב"א</w:t>
      </w:r>
      <w:r>
        <w:rPr>
          <w:rFonts w:hint="cs"/>
          <w:rtl/>
        </w:rPr>
        <w:t xml:space="preserve"> דכיון שלא נשחטה ממילא היא מטמאה, וחזקה זו היא בין אם היה על הבהמה איסור מחיים, ובין אם לא הייתה אסורה מחיים, דהחזקה היא שכל שלא ודאי נשחטה, היא ממילא נבילה במיתתה.</w:t>
      </w:r>
    </w:p>
    <w:p w14:paraId="79C7C28A" w14:textId="77777777" w:rsidR="00852065" w:rsidRPr="00C02DB2" w:rsidRDefault="00852065" w:rsidP="006D6D32">
      <w:pPr>
        <w:pStyle w:val="a3"/>
      </w:pPr>
      <w:bookmarkStart w:id="683" w:name="_Toc522099639"/>
      <w:bookmarkStart w:id="684" w:name="_Toc19388953"/>
      <w:bookmarkStart w:id="685" w:name="_Toc19392450"/>
      <w:r>
        <w:rPr>
          <w:rFonts w:hint="cs"/>
          <w:rtl/>
        </w:rPr>
        <w:t>ביאור המשנת ר"א דלרשב"א סבר ר"א דכיון שלא הוחזקה טומאה בפועל היא בחזקת טהרה</w:t>
      </w:r>
      <w:bookmarkEnd w:id="683"/>
      <w:bookmarkEnd w:id="684"/>
      <w:bookmarkEnd w:id="685"/>
    </w:p>
    <w:p w14:paraId="7F7F30E0" w14:textId="77777777" w:rsidR="00852065" w:rsidRDefault="00852065" w:rsidP="00223668">
      <w:pPr>
        <w:pStyle w:val="a0"/>
        <w:rPr>
          <w:rtl/>
        </w:rPr>
      </w:pPr>
      <w:r>
        <w:rPr>
          <w:rFonts w:hint="cs"/>
          <w:rtl/>
        </w:rPr>
        <w:t xml:space="preserve">ובטעמיה דר"א ב"ר ינאי דס"ל דאינה מטמאה בנבילה, ביאר </w:t>
      </w:r>
      <w:r w:rsidRPr="002F05CF">
        <w:rPr>
          <w:rStyle w:val="af9"/>
          <w:rFonts w:hint="cs"/>
          <w:rtl/>
        </w:rPr>
        <w:t xml:space="preserve">במשנת ר"א </w:t>
      </w:r>
      <w:r w:rsidRPr="002F05CF">
        <w:rPr>
          <w:rStyle w:val="af7"/>
          <w:rFonts w:eastAsia="Guttman Hodes" w:hint="cs"/>
          <w:rtl/>
        </w:rPr>
        <w:t>(בכורות דף יח</w:t>
      </w:r>
      <w:r>
        <w:rPr>
          <w:rStyle w:val="af7"/>
          <w:rFonts w:eastAsia="Guttman Hodes" w:hint="cs"/>
          <w:rtl/>
        </w:rPr>
        <w:t>:</w:t>
      </w:r>
      <w:r w:rsidRPr="002F05CF">
        <w:rPr>
          <w:rStyle w:val="af7"/>
          <w:rFonts w:eastAsia="Guttman Hodes" w:hint="cs"/>
          <w:rtl/>
        </w:rPr>
        <w:t xml:space="preserve"> אות ז' ד"ה ובטעם)</w:t>
      </w:r>
      <w:r>
        <w:rPr>
          <w:rFonts w:hint="cs"/>
          <w:rtl/>
        </w:rPr>
        <w:t xml:space="preserve"> לדעת </w:t>
      </w:r>
      <w:r w:rsidRPr="002F05CF">
        <w:rPr>
          <w:rStyle w:val="af9"/>
          <w:rFonts w:hint="cs"/>
          <w:rtl/>
        </w:rPr>
        <w:t>הרשב"א</w:t>
      </w:r>
      <w:r>
        <w:rPr>
          <w:rFonts w:hint="cs"/>
          <w:rtl/>
        </w:rPr>
        <w:t xml:space="preserve"> דכיון שמחיים לא הייתה על הבהמה טומאה בפועל, חשיב שיש לה חזקת טהרה, ושכאנו באים לטמאה מחמת איסור אינו זבוח, אין חזקת אינו זבוח לחדש בה דין טומאה אלא להיפך מעמידים אותה  בחזקת שאינה  טמאה כפי שהייתה </w:t>
      </w:r>
      <w:r w:rsidRPr="007E48AD">
        <w:rPr>
          <w:rFonts w:hint="cs"/>
          <w:rtl/>
        </w:rPr>
        <w:t xml:space="preserve">מחיים. ועי' </w:t>
      </w:r>
      <w:r w:rsidRPr="007E48AD">
        <w:rPr>
          <w:rStyle w:val="af9"/>
          <w:rFonts w:hint="cs"/>
          <w:rtl/>
        </w:rPr>
        <w:t>בשער"י</w:t>
      </w:r>
      <w:r w:rsidRPr="007E48AD">
        <w:rPr>
          <w:rFonts w:hint="cs"/>
          <w:rtl/>
        </w:rPr>
        <w:t xml:space="preserve"> </w:t>
      </w:r>
      <w:r w:rsidRPr="00126EAA">
        <w:rPr>
          <w:rStyle w:val="af7"/>
          <w:rFonts w:eastAsia="Guttman Hodes" w:hint="cs"/>
          <w:rtl/>
        </w:rPr>
        <w:t xml:space="preserve">(עי' אות </w:t>
      </w:r>
      <w:r w:rsidRPr="00126EAA">
        <w:rPr>
          <w:rStyle w:val="af7"/>
          <w:rFonts w:eastAsia="Guttman Hodes"/>
          <w:rtl/>
        </w:rPr>
        <w:fldChar w:fldCharType="begin"/>
      </w:r>
      <w:r w:rsidRPr="00126EAA">
        <w:rPr>
          <w:rStyle w:val="af7"/>
          <w:rFonts w:eastAsia="Guttman Hodes"/>
          <w:rtl/>
        </w:rPr>
        <w:instrText xml:space="preserve"> </w:instrText>
      </w:r>
      <w:r w:rsidRPr="00126EAA">
        <w:rPr>
          <w:rStyle w:val="af7"/>
          <w:rFonts w:eastAsia="Guttman Hodes" w:hint="cs"/>
        </w:rPr>
        <w:instrText>REF</w:instrText>
      </w:r>
      <w:r w:rsidRPr="00126EAA">
        <w:rPr>
          <w:rStyle w:val="af7"/>
          <w:rFonts w:eastAsia="Guttman Hodes" w:hint="cs"/>
          <w:rtl/>
        </w:rPr>
        <w:instrText xml:space="preserve"> _</w:instrText>
      </w:r>
      <w:r w:rsidRPr="00126EAA">
        <w:rPr>
          <w:rStyle w:val="af7"/>
          <w:rFonts w:eastAsia="Guttman Hodes" w:hint="cs"/>
        </w:rPr>
        <w:instrText>Ref522109634 \r \h</w:instrText>
      </w:r>
      <w:r w:rsidRPr="00126EAA">
        <w:rPr>
          <w:rStyle w:val="af7"/>
          <w:rFonts w:eastAsia="Guttman Hodes"/>
          <w:rtl/>
        </w:rPr>
        <w:instrText xml:space="preserve"> </w:instrText>
      </w:r>
      <w:r w:rsidRPr="00126EAA">
        <w:rPr>
          <w:rStyle w:val="af7"/>
          <w:rFonts w:eastAsia="Guttman Hodes"/>
          <w:rtl/>
        </w:rPr>
      </w:r>
      <w:r w:rsidRPr="00126EAA">
        <w:rPr>
          <w:rStyle w:val="af7"/>
          <w:rFonts w:eastAsia="Guttman Hodes"/>
          <w:rtl/>
        </w:rPr>
        <w:fldChar w:fldCharType="separate"/>
      </w:r>
      <w:r w:rsidR="00345400">
        <w:rPr>
          <w:rStyle w:val="af7"/>
          <w:rFonts w:eastAsia="Guttman Hodes"/>
          <w:cs/>
        </w:rPr>
        <w:t>‎</w:t>
      </w:r>
      <w:r w:rsidR="00345400">
        <w:rPr>
          <w:rStyle w:val="af7"/>
          <w:rFonts w:eastAsia="Guttman Hodes"/>
          <w:rtl/>
        </w:rPr>
        <w:t>עב)</w:t>
      </w:r>
      <w:r w:rsidRPr="00126EAA">
        <w:rPr>
          <w:rStyle w:val="af7"/>
          <w:rFonts w:eastAsia="Guttman Hodes"/>
          <w:rtl/>
        </w:rPr>
        <w:fldChar w:fldCharType="end"/>
      </w:r>
      <w:r>
        <w:rPr>
          <w:rFonts w:hint="cs"/>
          <w:rtl/>
        </w:rPr>
        <w:t xml:space="preserve">. </w:t>
      </w:r>
    </w:p>
    <w:p w14:paraId="4D82EE3F" w14:textId="77777777" w:rsidR="00852065" w:rsidRDefault="00852065" w:rsidP="00BF39B2">
      <w:pPr>
        <w:pStyle w:val="1"/>
        <w:rPr>
          <w:rtl/>
        </w:rPr>
      </w:pPr>
      <w:bookmarkStart w:id="686" w:name="_Toc522099640"/>
      <w:bookmarkStart w:id="687" w:name="_Toc19388954"/>
      <w:bookmarkStart w:id="688" w:name="_Toc19392451"/>
      <w:r>
        <w:rPr>
          <w:rFonts w:hint="cs"/>
          <w:rtl/>
        </w:rPr>
        <w:t>דברי המשנת ר"א דנחלקו אם מחיים היא בחזקת טומאה</w:t>
      </w:r>
      <w:bookmarkEnd w:id="686"/>
      <w:bookmarkEnd w:id="687"/>
      <w:bookmarkEnd w:id="688"/>
    </w:p>
    <w:p w14:paraId="32FABDE1" w14:textId="77777777" w:rsidR="00852065" w:rsidRPr="007E48AD" w:rsidRDefault="00852065" w:rsidP="006D6D32">
      <w:pPr>
        <w:pStyle w:val="a3"/>
        <w:rPr>
          <w:rtl/>
        </w:rPr>
      </w:pPr>
      <w:bookmarkStart w:id="689" w:name="_Toc522099641"/>
      <w:bookmarkStart w:id="690" w:name="_Toc19388955"/>
      <w:bookmarkStart w:id="691" w:name="_Toc19392452"/>
      <w:r>
        <w:rPr>
          <w:rFonts w:hint="cs"/>
          <w:rtl/>
        </w:rPr>
        <w:t>דברי המשנת ר"א דבספק צרת ערוה יש חזקת היתר דהייתה ודאי סיבת היתר במיתת הבעל</w:t>
      </w:r>
      <w:bookmarkEnd w:id="689"/>
      <w:bookmarkEnd w:id="690"/>
      <w:bookmarkEnd w:id="691"/>
    </w:p>
    <w:p w14:paraId="58533628" w14:textId="77777777" w:rsidR="00852065" w:rsidRDefault="00852065" w:rsidP="00223668">
      <w:pPr>
        <w:pStyle w:val="a0"/>
      </w:pPr>
      <w:r>
        <w:rPr>
          <w:rFonts w:hint="cs"/>
          <w:rtl/>
        </w:rPr>
        <w:t xml:space="preserve">והוסיף </w:t>
      </w:r>
      <w:r w:rsidRPr="00A547B8">
        <w:rPr>
          <w:rStyle w:val="af9"/>
          <w:rFonts w:hint="cs"/>
          <w:rtl/>
        </w:rPr>
        <w:t>במשנת ר"א</w:t>
      </w:r>
      <w:r>
        <w:rPr>
          <w:rFonts w:hint="cs"/>
          <w:rtl/>
        </w:rPr>
        <w:t xml:space="preserve"> </w:t>
      </w:r>
      <w:r w:rsidRPr="00A547B8">
        <w:rPr>
          <w:rStyle w:val="af7"/>
          <w:rFonts w:eastAsia="Guttman Hodes" w:hint="cs"/>
          <w:rtl/>
        </w:rPr>
        <w:t>(בכורות דף יח</w:t>
      </w:r>
      <w:r>
        <w:rPr>
          <w:rStyle w:val="af7"/>
          <w:rFonts w:eastAsia="Guttman Hodes" w:hint="cs"/>
          <w:rtl/>
        </w:rPr>
        <w:t>:</w:t>
      </w:r>
      <w:r w:rsidRPr="00A547B8">
        <w:rPr>
          <w:rStyle w:val="af7"/>
          <w:rFonts w:eastAsia="Guttman Hodes" w:hint="cs"/>
          <w:rtl/>
        </w:rPr>
        <w:t xml:space="preserve"> אות ז' ד"ה והנה לכאו') </w:t>
      </w:r>
      <w:r>
        <w:rPr>
          <w:rFonts w:hint="cs"/>
          <w:rtl/>
        </w:rPr>
        <w:t xml:space="preserve">דהא דלא אמרינן דמחיים יש לה חזקה דלאחר שתמות תטמא בנבילה, כמו דאמרינן בגמ' ביבמות </w:t>
      </w:r>
      <w:r w:rsidRPr="00A547B8">
        <w:rPr>
          <w:rStyle w:val="af7"/>
          <w:rFonts w:eastAsia="Guttman Hodes" w:hint="cs"/>
          <w:rtl/>
        </w:rPr>
        <w:t>(ל:)</w:t>
      </w:r>
      <w:r>
        <w:rPr>
          <w:rFonts w:hint="cs"/>
          <w:rtl/>
        </w:rPr>
        <w:t xml:space="preserve"> בספק צרת ערוה דמחיים יש לה חזקת היתר לשוק לאחר שימות בעלה, הוא כיון דבספק צרת ערוה הייתה בה בודאי סיבת היתר שהיא מיתת הבעל, וחזקתה שבמיתתו תהיה מותרת לשוק, ואנו רוצים לחדש שנאסרה ונעשית צרת ערוה, ולכן יש לה חזקת היתר.</w:t>
      </w:r>
    </w:p>
    <w:p w14:paraId="0B517912" w14:textId="77777777" w:rsidR="00852065" w:rsidRDefault="00852065" w:rsidP="006D6D32">
      <w:pPr>
        <w:pStyle w:val="a3"/>
      </w:pPr>
      <w:bookmarkStart w:id="692" w:name="_Toc522099642"/>
      <w:bookmarkStart w:id="693" w:name="_Toc19388956"/>
      <w:bookmarkStart w:id="694" w:name="_Toc19392453"/>
      <w:r>
        <w:rPr>
          <w:rFonts w:hint="cs"/>
          <w:rtl/>
        </w:rPr>
        <w:t>דברי המשנת ר"א דבספק בשחיטה סבר ר"א דאין חזקה שתטמא ומעמידים על חזקת טהרה</w:t>
      </w:r>
      <w:bookmarkEnd w:id="692"/>
      <w:bookmarkEnd w:id="693"/>
      <w:bookmarkEnd w:id="694"/>
    </w:p>
    <w:p w14:paraId="4F9E6787" w14:textId="77777777" w:rsidR="00852065" w:rsidRDefault="00852065" w:rsidP="00223668">
      <w:pPr>
        <w:pStyle w:val="a0"/>
        <w:rPr>
          <w:rtl/>
        </w:rPr>
      </w:pPr>
      <w:r>
        <w:rPr>
          <w:rFonts w:hint="cs"/>
          <w:rtl/>
        </w:rPr>
        <w:t xml:space="preserve">אבל בספק בשחיטה ביאר </w:t>
      </w:r>
      <w:r w:rsidRPr="00A547B8">
        <w:rPr>
          <w:rStyle w:val="af9"/>
          <w:rFonts w:hint="cs"/>
          <w:rtl/>
        </w:rPr>
        <w:t>במשנת ר"א</w:t>
      </w:r>
      <w:r>
        <w:rPr>
          <w:rFonts w:hint="cs"/>
          <w:rtl/>
        </w:rPr>
        <w:t xml:space="preserve"> דהחזקה הייתה שאם תמות תטמא בנבילה, אבל אם תשחט תהיה מותרת, וא"א לומר דהרי מתה לפניך, דהא יתכן שהיא שחוטה, ורק מחמת חזקת אינו זבוח אמרינן שאינה שחוטה, ובזה ס"ל לר"א ב"ר ינאי דלא מהני חזקת אינו זבוח לחדש בה דין טומאה, דאדרבה מעמידים אותה על חזקתה שאינה טמאה.</w:t>
      </w:r>
    </w:p>
    <w:p w14:paraId="0AF68488" w14:textId="77777777" w:rsidR="00852065" w:rsidRDefault="00852065" w:rsidP="006D6D32">
      <w:pPr>
        <w:pStyle w:val="a3"/>
        <w:rPr>
          <w:rtl/>
        </w:rPr>
      </w:pPr>
      <w:bookmarkStart w:id="695" w:name="_Toc522099643"/>
      <w:bookmarkStart w:id="696" w:name="_Toc19388957"/>
      <w:bookmarkStart w:id="697" w:name="_Toc19392454"/>
      <w:r>
        <w:rPr>
          <w:rFonts w:hint="cs"/>
          <w:rtl/>
        </w:rPr>
        <w:t>דברי המשנת ר"א דלברייתא הוחזקה מחיים שתטמא כשתמות בלא הכשר שחיטה</w:t>
      </w:r>
      <w:bookmarkEnd w:id="695"/>
      <w:bookmarkEnd w:id="696"/>
      <w:bookmarkEnd w:id="697"/>
    </w:p>
    <w:p w14:paraId="2E470AC2" w14:textId="77777777" w:rsidR="00852065" w:rsidRDefault="00852065" w:rsidP="00223668">
      <w:pPr>
        <w:pStyle w:val="a0"/>
        <w:rPr>
          <w:rtl/>
        </w:rPr>
      </w:pPr>
      <w:r>
        <w:rPr>
          <w:rFonts w:hint="cs"/>
          <w:rtl/>
        </w:rPr>
        <w:t xml:space="preserve">ובדעת הברייתא דס"ל דמטמאה בנבילה, ביאר </w:t>
      </w:r>
      <w:r w:rsidRPr="00750E72">
        <w:rPr>
          <w:rStyle w:val="af9"/>
          <w:rFonts w:hint="cs"/>
          <w:rtl/>
        </w:rPr>
        <w:t>המשנת ר"א</w:t>
      </w:r>
      <w:r>
        <w:rPr>
          <w:rFonts w:hint="cs"/>
          <w:rtl/>
        </w:rPr>
        <w:t xml:space="preserve"> דמחמת חזקת אינו זבוח חשיב שהיא כמתה לפנינו, וכיון שהחזקה שהייתה לה מחיים, היא שאם תמות בלא הכשר שחיטה תטמא בנבילה, וכיון שיש לה חזקת אינו זבוח ואינה חיה לפנינו, חשיב שיש לה חזקה גם לענין טומאה, דמחיים הוחזקה שתטמא לאחר מיתה.</w:t>
      </w:r>
    </w:p>
    <w:p w14:paraId="7674748A" w14:textId="77777777" w:rsidR="00852065" w:rsidRDefault="00852065" w:rsidP="00BF39B2">
      <w:pPr>
        <w:pStyle w:val="1"/>
        <w:rPr>
          <w:rtl/>
        </w:rPr>
      </w:pPr>
      <w:bookmarkStart w:id="698" w:name="_Toc522099644"/>
      <w:bookmarkStart w:id="699" w:name="_Toc19388958"/>
      <w:bookmarkStart w:id="700" w:name="_Toc19392455"/>
      <w:r>
        <w:rPr>
          <w:rFonts w:hint="cs"/>
          <w:rtl/>
        </w:rPr>
        <w:t>ביאור נוסף במשנת ר"א דאף לרש"י ותוס' יש חזקת טומאה</w:t>
      </w:r>
      <w:bookmarkEnd w:id="698"/>
      <w:bookmarkEnd w:id="699"/>
      <w:bookmarkEnd w:id="700"/>
    </w:p>
    <w:p w14:paraId="6CA7B795" w14:textId="77777777" w:rsidR="00852065" w:rsidRDefault="00852065" w:rsidP="006D6D32">
      <w:pPr>
        <w:pStyle w:val="a3"/>
        <w:rPr>
          <w:rtl/>
        </w:rPr>
      </w:pPr>
      <w:bookmarkStart w:id="701" w:name="_Toc522099645"/>
      <w:bookmarkStart w:id="702" w:name="_Toc19388959"/>
      <w:bookmarkStart w:id="703" w:name="_Toc19392456"/>
      <w:bookmarkStart w:id="704" w:name="_Toc521324886"/>
      <w:bookmarkStart w:id="705" w:name="_Toc521338193"/>
      <w:bookmarkStart w:id="706" w:name="_Toc521361993"/>
      <w:bookmarkStart w:id="707" w:name="_Toc522028158"/>
      <w:bookmarkStart w:id="708" w:name="_Toc522086213"/>
      <w:r>
        <w:rPr>
          <w:rFonts w:hint="cs"/>
          <w:rtl/>
        </w:rPr>
        <w:t>דברי המשנת ר"א דאף לרש"י ותוס' להברייתא ע"י החזקת איסור יש לה חזקת טומאה</w:t>
      </w:r>
      <w:bookmarkEnd w:id="701"/>
      <w:bookmarkEnd w:id="702"/>
      <w:bookmarkEnd w:id="703"/>
    </w:p>
    <w:p w14:paraId="793ACD3B" w14:textId="77777777" w:rsidR="00852065" w:rsidRDefault="00852065" w:rsidP="00223668">
      <w:pPr>
        <w:pStyle w:val="a0"/>
        <w:rPr>
          <w:rtl/>
        </w:rPr>
      </w:pPr>
      <w:r>
        <w:rPr>
          <w:rFonts w:hint="cs"/>
          <w:rtl/>
        </w:rPr>
        <w:t xml:space="preserve">ועו"כ </w:t>
      </w:r>
      <w:r w:rsidRPr="00750E72">
        <w:rPr>
          <w:rStyle w:val="af9"/>
          <w:rFonts w:hint="cs"/>
          <w:rtl/>
        </w:rPr>
        <w:t>במשנת ר"א</w:t>
      </w:r>
      <w:r w:rsidRPr="008D3E02">
        <w:rPr>
          <w:rFonts w:hint="cs"/>
          <w:rtl/>
        </w:rPr>
        <w:t xml:space="preserve"> </w:t>
      </w:r>
      <w:r w:rsidRPr="00750E72">
        <w:rPr>
          <w:rStyle w:val="af7"/>
          <w:rFonts w:eastAsia="Guttman Hodes" w:hint="cs"/>
          <w:rtl/>
        </w:rPr>
        <w:t>(בכורות דף יח. סוף אות ח' ד"ה עוד נראה)</w:t>
      </w:r>
      <w:r>
        <w:rPr>
          <w:rFonts w:hint="cs"/>
          <w:rtl/>
        </w:rPr>
        <w:t xml:space="preserve"> דאפש"ל דאף לדעת </w:t>
      </w:r>
      <w:r w:rsidRPr="00750E72">
        <w:rPr>
          <w:rStyle w:val="af9"/>
          <w:rFonts w:hint="cs"/>
          <w:rtl/>
        </w:rPr>
        <w:t>רש"</w:t>
      </w:r>
      <w:r w:rsidRPr="00DB075B">
        <w:rPr>
          <w:rStyle w:val="af9"/>
          <w:rFonts w:hint="cs"/>
          <w:rtl/>
        </w:rPr>
        <w:t>י ותוס'</w:t>
      </w:r>
      <w:r>
        <w:rPr>
          <w:rFonts w:hint="cs"/>
          <w:rtl/>
        </w:rPr>
        <w:t xml:space="preserve"> דהבהמה בחזקת איסור, </w:t>
      </w:r>
      <w:r w:rsidRPr="00CB4B79">
        <w:rPr>
          <w:rStyle w:val="af9"/>
          <w:rFonts w:hint="cs"/>
          <w:rtl/>
        </w:rPr>
        <w:t>לרש"</w:t>
      </w:r>
      <w:r>
        <w:rPr>
          <w:rStyle w:val="af9"/>
          <w:rFonts w:hint="cs"/>
          <w:rtl/>
        </w:rPr>
        <w:t>י</w:t>
      </w:r>
      <w:r w:rsidRPr="00126EAA">
        <w:rPr>
          <w:rStyle w:val="af7"/>
          <w:rFonts w:eastAsia="Guttman Hodes" w:hint="cs"/>
          <w:rtl/>
        </w:rPr>
        <w:t xml:space="preserve"> (עי' אות </w:t>
      </w:r>
      <w:r w:rsidRPr="00126EAA">
        <w:rPr>
          <w:rStyle w:val="af7"/>
          <w:rFonts w:eastAsia="Guttman Hodes"/>
          <w:rtl/>
        </w:rPr>
        <w:fldChar w:fldCharType="begin"/>
      </w:r>
      <w:r w:rsidRPr="00126EAA">
        <w:rPr>
          <w:rStyle w:val="af7"/>
          <w:rFonts w:eastAsia="Guttman Hodes"/>
          <w:rtl/>
        </w:rPr>
        <w:instrText xml:space="preserve"> </w:instrText>
      </w:r>
      <w:r w:rsidRPr="00126EAA">
        <w:rPr>
          <w:rStyle w:val="af7"/>
          <w:rFonts w:eastAsia="Guttman Hodes" w:hint="cs"/>
        </w:rPr>
        <w:instrText>REF</w:instrText>
      </w:r>
      <w:r w:rsidRPr="00126EAA">
        <w:rPr>
          <w:rStyle w:val="af7"/>
          <w:rFonts w:eastAsia="Guttman Hodes" w:hint="cs"/>
          <w:rtl/>
        </w:rPr>
        <w:instrText xml:space="preserve"> _</w:instrText>
      </w:r>
      <w:r w:rsidRPr="00126EAA">
        <w:rPr>
          <w:rStyle w:val="af7"/>
          <w:rFonts w:eastAsia="Guttman Hodes" w:hint="cs"/>
        </w:rPr>
        <w:instrText>Ref522100765 \r \h</w:instrText>
      </w:r>
      <w:r w:rsidRPr="00126EAA">
        <w:rPr>
          <w:rStyle w:val="af7"/>
          <w:rFonts w:eastAsia="Guttman Hodes"/>
          <w:rtl/>
        </w:rPr>
        <w:instrText xml:space="preserve"> </w:instrText>
      </w:r>
      <w:r w:rsidRPr="00126EAA">
        <w:rPr>
          <w:rStyle w:val="af7"/>
          <w:rFonts w:eastAsia="Guttman Hodes"/>
          <w:rtl/>
        </w:rPr>
      </w:r>
      <w:r w:rsidRPr="00126EAA">
        <w:rPr>
          <w:rStyle w:val="af7"/>
          <w:rFonts w:eastAsia="Guttman Hodes"/>
          <w:rtl/>
        </w:rPr>
        <w:fldChar w:fldCharType="separate"/>
      </w:r>
      <w:r w:rsidR="00345400">
        <w:rPr>
          <w:rStyle w:val="af7"/>
          <w:rFonts w:eastAsia="Guttman Hodes"/>
          <w:cs/>
        </w:rPr>
        <w:t>‎</w:t>
      </w:r>
      <w:r w:rsidR="00345400">
        <w:rPr>
          <w:rStyle w:val="af7"/>
          <w:rFonts w:eastAsia="Guttman Hodes"/>
          <w:rtl/>
        </w:rPr>
        <w:t>ט)</w:t>
      </w:r>
      <w:r w:rsidRPr="00126EAA">
        <w:rPr>
          <w:rStyle w:val="af7"/>
          <w:rFonts w:eastAsia="Guttman Hodes"/>
          <w:rtl/>
        </w:rPr>
        <w:fldChar w:fldCharType="end"/>
      </w:r>
      <w:r>
        <w:rPr>
          <w:rFonts w:hint="cs"/>
          <w:rtl/>
        </w:rPr>
        <w:t xml:space="preserve"> מדין מחזיקין מאיסור לאיסור מאבר מן החי, </w:t>
      </w:r>
      <w:r w:rsidRPr="00CB4B79">
        <w:rPr>
          <w:rStyle w:val="af9"/>
          <w:rFonts w:hint="cs"/>
          <w:rtl/>
        </w:rPr>
        <w:t>ולתוס'</w:t>
      </w:r>
      <w:r>
        <w:rPr>
          <w:rStyle w:val="af9"/>
          <w:rFonts w:hint="cs"/>
          <w:rtl/>
        </w:rPr>
        <w:t xml:space="preserve"> בביצה</w:t>
      </w:r>
      <w:r>
        <w:rPr>
          <w:rFonts w:hint="cs"/>
          <w:rtl/>
        </w:rPr>
        <w:t xml:space="preserve"> </w:t>
      </w:r>
      <w:r w:rsidRPr="00126EAA">
        <w:rPr>
          <w:rStyle w:val="af7"/>
          <w:rFonts w:eastAsia="Guttman Hodes" w:hint="cs"/>
          <w:rtl/>
        </w:rPr>
        <w:t xml:space="preserve"> (עי' אות </w:t>
      </w:r>
      <w:r w:rsidRPr="00126EAA">
        <w:rPr>
          <w:rStyle w:val="af7"/>
          <w:rFonts w:eastAsia="Guttman Hodes"/>
          <w:rtl/>
        </w:rPr>
        <w:fldChar w:fldCharType="begin"/>
      </w:r>
      <w:r w:rsidRPr="00126EAA">
        <w:rPr>
          <w:rStyle w:val="af7"/>
          <w:rFonts w:eastAsia="Guttman Hodes"/>
          <w:rtl/>
        </w:rPr>
        <w:instrText xml:space="preserve"> </w:instrText>
      </w:r>
      <w:r w:rsidRPr="00126EAA">
        <w:rPr>
          <w:rStyle w:val="af7"/>
          <w:rFonts w:eastAsia="Guttman Hodes" w:hint="cs"/>
        </w:rPr>
        <w:instrText>REF</w:instrText>
      </w:r>
      <w:r w:rsidRPr="00126EAA">
        <w:rPr>
          <w:rStyle w:val="af7"/>
          <w:rFonts w:eastAsia="Guttman Hodes" w:hint="cs"/>
          <w:rtl/>
        </w:rPr>
        <w:instrText xml:space="preserve"> _</w:instrText>
      </w:r>
      <w:r w:rsidRPr="00126EAA">
        <w:rPr>
          <w:rStyle w:val="af7"/>
          <w:rFonts w:eastAsia="Guttman Hodes" w:hint="cs"/>
        </w:rPr>
        <w:instrText>Ref522100783 \r \h</w:instrText>
      </w:r>
      <w:r w:rsidRPr="00126EAA">
        <w:rPr>
          <w:rStyle w:val="af7"/>
          <w:rFonts w:eastAsia="Guttman Hodes"/>
          <w:rtl/>
        </w:rPr>
        <w:instrText xml:space="preserve"> </w:instrText>
      </w:r>
      <w:r w:rsidRPr="00126EAA">
        <w:rPr>
          <w:rStyle w:val="af7"/>
          <w:rFonts w:eastAsia="Guttman Hodes"/>
          <w:rtl/>
        </w:rPr>
      </w:r>
      <w:r w:rsidRPr="00126EAA">
        <w:rPr>
          <w:rStyle w:val="af7"/>
          <w:rFonts w:eastAsia="Guttman Hodes"/>
          <w:rtl/>
        </w:rPr>
        <w:fldChar w:fldCharType="separate"/>
      </w:r>
      <w:r w:rsidR="00345400">
        <w:rPr>
          <w:rStyle w:val="af7"/>
          <w:rFonts w:eastAsia="Guttman Hodes"/>
          <w:cs/>
        </w:rPr>
        <w:t>‎</w:t>
      </w:r>
      <w:r w:rsidR="00345400">
        <w:rPr>
          <w:rStyle w:val="af7"/>
          <w:rFonts w:eastAsia="Guttman Hodes"/>
          <w:rtl/>
        </w:rPr>
        <w:t>יא)</w:t>
      </w:r>
      <w:r w:rsidRPr="00126EAA">
        <w:rPr>
          <w:rStyle w:val="af7"/>
          <w:rFonts w:eastAsia="Guttman Hodes"/>
          <w:rtl/>
        </w:rPr>
        <w:fldChar w:fldCharType="end"/>
      </w:r>
      <w:r>
        <w:rPr>
          <w:rFonts w:hint="cs"/>
          <w:rtl/>
        </w:rPr>
        <w:t xml:space="preserve"> מחזקת אינו זבוח, ג"כ אפש"ל דהחזקת איסור מהני לחזקת טומאה, ולדעת הברייתא יש לה חזקת טומאה.</w:t>
      </w:r>
    </w:p>
    <w:p w14:paraId="5FE0453F" w14:textId="77777777" w:rsidR="00852065" w:rsidRPr="007D0C8A" w:rsidRDefault="00852065" w:rsidP="006D6D32">
      <w:pPr>
        <w:pStyle w:val="a3"/>
      </w:pPr>
      <w:bookmarkStart w:id="709" w:name="_Toc522099646"/>
      <w:bookmarkStart w:id="710" w:name="_Toc19388960"/>
      <w:bookmarkStart w:id="711" w:name="_Toc19392457"/>
      <w:r>
        <w:rPr>
          <w:rFonts w:hint="cs"/>
          <w:rtl/>
        </w:rPr>
        <w:t>ביאור המשנת ר"א דע"י האיסור אבר מן החי אין לה חזקת היתר והיא בחזקת אינו זבוח</w:t>
      </w:r>
      <w:bookmarkEnd w:id="709"/>
      <w:bookmarkEnd w:id="710"/>
      <w:bookmarkEnd w:id="711"/>
    </w:p>
    <w:p w14:paraId="39CD629F" w14:textId="77777777" w:rsidR="00852065" w:rsidRDefault="00852065" w:rsidP="00223668">
      <w:pPr>
        <w:pStyle w:val="a0"/>
        <w:rPr>
          <w:rtl/>
        </w:rPr>
      </w:pPr>
      <w:bookmarkStart w:id="712" w:name="_Ref522262379"/>
      <w:r>
        <w:rPr>
          <w:rFonts w:hint="cs"/>
          <w:rtl/>
        </w:rPr>
        <w:t xml:space="preserve">וביאר </w:t>
      </w:r>
      <w:r w:rsidRPr="007227A8">
        <w:rPr>
          <w:rStyle w:val="af9"/>
          <w:rFonts w:hint="cs"/>
          <w:rtl/>
        </w:rPr>
        <w:t>במשנת ר"א</w:t>
      </w:r>
      <w:r>
        <w:rPr>
          <w:rFonts w:hint="cs"/>
          <w:rtl/>
        </w:rPr>
        <w:t xml:space="preserve"> דאף </w:t>
      </w:r>
      <w:r w:rsidRPr="007227A8">
        <w:rPr>
          <w:rStyle w:val="af9"/>
          <w:rFonts w:hint="cs"/>
          <w:rtl/>
        </w:rPr>
        <w:t>לרש"י</w:t>
      </w:r>
      <w:r>
        <w:rPr>
          <w:rFonts w:hint="cs"/>
          <w:rtl/>
        </w:rPr>
        <w:t xml:space="preserve"> דמחזיקין מאיסור לאיסור, אין הכוונה דבכל איסור מחזיקין, אלא </w:t>
      </w:r>
      <w:r>
        <w:rPr>
          <w:rtl/>
        </w:rPr>
        <w:t>דבספק בשחיטה</w:t>
      </w:r>
      <w:r>
        <w:rPr>
          <w:rFonts w:hint="cs"/>
          <w:rtl/>
        </w:rPr>
        <w:t xml:space="preserve"> יש חזקת אינו זבוח, והא דהוצרך </w:t>
      </w:r>
      <w:r w:rsidRPr="00FC742C">
        <w:rPr>
          <w:rStyle w:val="af9"/>
          <w:rFonts w:hint="cs"/>
          <w:rtl/>
        </w:rPr>
        <w:t>רש"י</w:t>
      </w:r>
      <w:r>
        <w:rPr>
          <w:rFonts w:hint="cs"/>
          <w:rtl/>
        </w:rPr>
        <w:t xml:space="preserve"> לומר דאסרינן באיסור אבר מן החי, הוא כיון דא"א לחדש איסור מכח חזקת אינו זבוח, וכיון דמחיים הייתה אסורה באיסור אבר מן החי, אין לה עכשיו חזקת היתר, וממילא כיון שאין לה חזקת היתר אסורה באיסור אינו זבוח.</w:t>
      </w:r>
      <w:bookmarkEnd w:id="712"/>
    </w:p>
    <w:p w14:paraId="174D3459" w14:textId="77777777" w:rsidR="00852065" w:rsidRPr="007227A8" w:rsidRDefault="00852065" w:rsidP="006D6D32">
      <w:pPr>
        <w:pStyle w:val="a3"/>
        <w:rPr>
          <w:rtl/>
        </w:rPr>
      </w:pPr>
      <w:bookmarkStart w:id="713" w:name="_Toc522099647"/>
      <w:bookmarkStart w:id="714" w:name="_Toc19388961"/>
      <w:bookmarkStart w:id="715" w:name="_Toc19392458"/>
      <w:r>
        <w:rPr>
          <w:rFonts w:hint="cs"/>
          <w:rtl/>
        </w:rPr>
        <w:t>ביאור המשנת ר"א דלרש"י ותוס' ע"י חזקת אינו זבוח חשיב שיש לה חזקת טומאה</w:t>
      </w:r>
      <w:bookmarkEnd w:id="713"/>
      <w:bookmarkEnd w:id="714"/>
      <w:bookmarkEnd w:id="715"/>
    </w:p>
    <w:p w14:paraId="07DDF1DC" w14:textId="77777777" w:rsidR="00852065" w:rsidRDefault="00852065" w:rsidP="00223668">
      <w:pPr>
        <w:pStyle w:val="a0"/>
        <w:rPr>
          <w:rtl/>
        </w:rPr>
      </w:pPr>
      <w:r>
        <w:rPr>
          <w:rFonts w:hint="cs"/>
          <w:rtl/>
        </w:rPr>
        <w:t xml:space="preserve">ובזה ביאר </w:t>
      </w:r>
      <w:r w:rsidRPr="00750E72">
        <w:rPr>
          <w:rStyle w:val="af9"/>
          <w:rFonts w:hint="cs"/>
          <w:rtl/>
        </w:rPr>
        <w:t>במשנת ר"א</w:t>
      </w:r>
      <w:r>
        <w:rPr>
          <w:rFonts w:hint="cs"/>
          <w:rtl/>
        </w:rPr>
        <w:t xml:space="preserve"> לדעת </w:t>
      </w:r>
      <w:r w:rsidRPr="00750E72">
        <w:rPr>
          <w:rStyle w:val="af9"/>
          <w:rFonts w:hint="cs"/>
          <w:rtl/>
        </w:rPr>
        <w:t>רש"י</w:t>
      </w:r>
      <w:r>
        <w:rPr>
          <w:rStyle w:val="af9"/>
          <w:rFonts w:hint="cs"/>
          <w:rtl/>
        </w:rPr>
        <w:t xml:space="preserve"> ותוס'</w:t>
      </w:r>
      <w:r>
        <w:rPr>
          <w:rFonts w:hint="cs"/>
          <w:rtl/>
        </w:rPr>
        <w:t xml:space="preserve"> את דעת הברייתא דמטמאה בנבילה, דס"ל לברייתא דהחזקת אינו זבוח מהני אף לטומאה, וחשיב שיש לה חזקת טומאה, דכל שאינה זבוחה היא מטמאה, ולא איכפת לן שמחיים לא הייתה טמאה, אך כתב </w:t>
      </w:r>
      <w:r w:rsidRPr="000D6503">
        <w:rPr>
          <w:rStyle w:val="af9"/>
          <w:rFonts w:hint="cs"/>
          <w:rtl/>
        </w:rPr>
        <w:t>במשנת ר"א</w:t>
      </w:r>
      <w:r>
        <w:rPr>
          <w:rFonts w:hint="cs"/>
          <w:rtl/>
        </w:rPr>
        <w:t xml:space="preserve"> דצ"ע בלשון </w:t>
      </w:r>
      <w:r w:rsidRPr="00CE54EA">
        <w:rPr>
          <w:rStyle w:val="af9"/>
          <w:rFonts w:hint="cs"/>
          <w:rtl/>
        </w:rPr>
        <w:t>רש"י</w:t>
      </w:r>
      <w:r>
        <w:rPr>
          <w:rFonts w:hint="cs"/>
          <w:rtl/>
        </w:rPr>
        <w:t>.</w:t>
      </w:r>
    </w:p>
    <w:p w14:paraId="689428E3" w14:textId="77777777" w:rsidR="00852065" w:rsidRPr="003D703C" w:rsidRDefault="00852065" w:rsidP="00BF39B2">
      <w:pPr>
        <w:pStyle w:val="1"/>
        <w:rPr>
          <w:rtl/>
        </w:rPr>
      </w:pPr>
      <w:bookmarkStart w:id="716" w:name="_Toc522099648"/>
      <w:bookmarkStart w:id="717" w:name="_Toc19388962"/>
      <w:bookmarkStart w:id="718" w:name="_Toc19392459"/>
      <w:r w:rsidRPr="00C72B48">
        <w:rPr>
          <w:rFonts w:hint="cs"/>
          <w:rtl/>
        </w:rPr>
        <w:t xml:space="preserve">ביאור הקה"י דנחלקו אי </w:t>
      </w:r>
      <w:r>
        <w:rPr>
          <w:rFonts w:hint="cs"/>
          <w:rtl/>
        </w:rPr>
        <w:t>אמרינן פלגינן</w:t>
      </w:r>
      <w:r w:rsidRPr="00C72B48">
        <w:rPr>
          <w:rFonts w:hint="cs"/>
          <w:rtl/>
        </w:rPr>
        <w:t xml:space="preserve"> בחזקת</w:t>
      </w:r>
      <w:r>
        <w:rPr>
          <w:rFonts w:hint="cs"/>
          <w:rtl/>
        </w:rPr>
        <w:t xml:space="preserve"> הגוף</w:t>
      </w:r>
      <w:bookmarkEnd w:id="716"/>
      <w:bookmarkEnd w:id="717"/>
      <w:bookmarkEnd w:id="718"/>
      <w:r>
        <w:rPr>
          <w:rFonts w:hint="cs"/>
          <w:rtl/>
        </w:rPr>
        <w:t xml:space="preserve"> </w:t>
      </w:r>
      <w:bookmarkEnd w:id="704"/>
      <w:bookmarkEnd w:id="705"/>
      <w:bookmarkEnd w:id="706"/>
      <w:bookmarkEnd w:id="707"/>
      <w:bookmarkEnd w:id="708"/>
    </w:p>
    <w:p w14:paraId="16F16D80" w14:textId="77777777" w:rsidR="00852065" w:rsidRPr="00E41696" w:rsidRDefault="00852065" w:rsidP="006D6D32">
      <w:pPr>
        <w:pStyle w:val="a3"/>
      </w:pPr>
      <w:bookmarkStart w:id="719" w:name="_Toc522099649"/>
      <w:bookmarkStart w:id="720" w:name="_Toc19388963"/>
      <w:bookmarkStart w:id="721" w:name="_Toc19392460"/>
      <w:r>
        <w:rPr>
          <w:rFonts w:hint="cs"/>
          <w:rtl/>
        </w:rPr>
        <w:t>דברי הקה"י דלר"א פלגינן בין החזקת איסור לחזקת טומאה</w:t>
      </w:r>
      <w:bookmarkEnd w:id="719"/>
      <w:bookmarkEnd w:id="720"/>
      <w:bookmarkEnd w:id="721"/>
    </w:p>
    <w:p w14:paraId="47028398" w14:textId="77777777" w:rsidR="00852065" w:rsidRDefault="00852065" w:rsidP="00223668">
      <w:pPr>
        <w:pStyle w:val="a0"/>
        <w:rPr>
          <w:rtl/>
        </w:rPr>
      </w:pPr>
      <w:r>
        <w:rPr>
          <w:rFonts w:hint="cs"/>
          <w:rtl/>
        </w:rPr>
        <w:t xml:space="preserve">כתב </w:t>
      </w:r>
      <w:r w:rsidRPr="003D703C">
        <w:rPr>
          <w:rStyle w:val="af9"/>
          <w:rFonts w:hint="cs"/>
          <w:rtl/>
        </w:rPr>
        <w:t>הקה"י</w:t>
      </w:r>
      <w:r w:rsidRPr="00E85B20">
        <w:rPr>
          <w:rStyle w:val="af7"/>
          <w:rFonts w:eastAsia="Guttman Hodes" w:hint="cs"/>
          <w:rtl/>
        </w:rPr>
        <w:t xml:space="preserve"> (סי' ט"ו ד"ה ולכאורה, יבמות ס'י כ"ב)</w:t>
      </w:r>
      <w:r w:rsidRPr="00D67F58">
        <w:rPr>
          <w:rStyle w:val="afb"/>
          <w:rFonts w:hint="cs"/>
          <w:rtl/>
        </w:rPr>
        <w:t xml:space="preserve"> [</w:t>
      </w:r>
      <w:r>
        <w:rPr>
          <w:rStyle w:val="afb"/>
          <w:rFonts w:hint="cs"/>
          <w:rtl/>
        </w:rPr>
        <w:t>בביאור דברי</w:t>
      </w:r>
      <w:r w:rsidRPr="00D67F58">
        <w:rPr>
          <w:rStyle w:val="afb"/>
          <w:rFonts w:hint="cs"/>
          <w:rtl/>
        </w:rPr>
        <w:t xml:space="preserve"> </w:t>
      </w:r>
      <w:r w:rsidRPr="003D703C">
        <w:rPr>
          <w:rStyle w:val="affa"/>
          <w:rFonts w:hint="cs"/>
          <w:rtl/>
        </w:rPr>
        <w:t>הש"ש</w:t>
      </w:r>
      <w:r w:rsidRPr="00D67F58">
        <w:rPr>
          <w:rStyle w:val="afb"/>
          <w:rFonts w:hint="cs"/>
          <w:rtl/>
        </w:rPr>
        <w:t xml:space="preserve"> </w:t>
      </w:r>
      <w:r w:rsidRPr="00B97C91">
        <w:rPr>
          <w:rStyle w:val="aff6"/>
          <w:rFonts w:hint="cs"/>
          <w:rtl/>
        </w:rPr>
        <w:t>(ש"ה פ"י)</w:t>
      </w:r>
      <w:r w:rsidRPr="00D67F58">
        <w:rPr>
          <w:rStyle w:val="afb"/>
          <w:rFonts w:hint="cs"/>
          <w:rtl/>
        </w:rPr>
        <w:t xml:space="preserve">, עיי"ש </w:t>
      </w:r>
      <w:r w:rsidRPr="003D703C">
        <w:rPr>
          <w:rStyle w:val="affa"/>
          <w:rFonts w:hint="cs"/>
          <w:rtl/>
        </w:rPr>
        <w:t>בקה"י</w:t>
      </w:r>
      <w:r w:rsidRPr="00D67F58">
        <w:rPr>
          <w:rStyle w:val="afb"/>
          <w:rFonts w:hint="cs"/>
          <w:rtl/>
        </w:rPr>
        <w:t xml:space="preserve"> </w:t>
      </w:r>
      <w:r w:rsidRPr="00B97C91">
        <w:rPr>
          <w:rStyle w:val="aff6"/>
          <w:rFonts w:hint="cs"/>
          <w:rtl/>
        </w:rPr>
        <w:t>(ד"ה וכה"ג)</w:t>
      </w:r>
      <w:r w:rsidRPr="00D67F58">
        <w:rPr>
          <w:rStyle w:val="afb"/>
          <w:rFonts w:hint="cs"/>
          <w:rtl/>
        </w:rPr>
        <w:t xml:space="preserve">] </w:t>
      </w:r>
      <w:r>
        <w:rPr>
          <w:rFonts w:hint="cs"/>
          <w:rtl/>
        </w:rPr>
        <w:t xml:space="preserve">דר"א ב"ר ינאי דאמר דאינה מטמאה בנבילה, ס"ל </w:t>
      </w:r>
      <w:r w:rsidRPr="00D61FA5">
        <w:rPr>
          <w:rStyle w:val="af9"/>
          <w:rFonts w:hint="cs"/>
          <w:rtl/>
        </w:rPr>
        <w:t>דלרש"י</w:t>
      </w:r>
      <w:r>
        <w:rPr>
          <w:rFonts w:hint="cs"/>
          <w:rtl/>
        </w:rPr>
        <w:t xml:space="preserve"> </w:t>
      </w:r>
      <w:r w:rsidRPr="00E85B20">
        <w:rPr>
          <w:rStyle w:val="af7"/>
          <w:rFonts w:eastAsia="Guttman Hodes" w:hint="cs"/>
          <w:rtl/>
        </w:rPr>
        <w:t xml:space="preserve">(עי' אות </w:t>
      </w:r>
      <w:r w:rsidRPr="00E85B20">
        <w:rPr>
          <w:rStyle w:val="af7"/>
          <w:rFonts w:eastAsia="Guttman Hodes"/>
          <w:rtl/>
        </w:rPr>
        <w:fldChar w:fldCharType="begin"/>
      </w:r>
      <w:r w:rsidRPr="00E85B20">
        <w:rPr>
          <w:rStyle w:val="af7"/>
          <w:rFonts w:eastAsia="Guttman Hodes"/>
          <w:rtl/>
        </w:rPr>
        <w:instrText xml:space="preserve"> </w:instrText>
      </w:r>
      <w:r w:rsidRPr="00E85B20">
        <w:rPr>
          <w:rStyle w:val="af7"/>
          <w:rFonts w:eastAsia="Guttman Hodes" w:hint="cs"/>
        </w:rPr>
        <w:instrText>REF</w:instrText>
      </w:r>
      <w:r w:rsidRPr="00E85B20">
        <w:rPr>
          <w:rStyle w:val="af7"/>
          <w:rFonts w:eastAsia="Guttman Hodes" w:hint="cs"/>
          <w:rtl/>
        </w:rPr>
        <w:instrText xml:space="preserve"> _</w:instrText>
      </w:r>
      <w:r w:rsidRPr="00E85B20">
        <w:rPr>
          <w:rStyle w:val="af7"/>
          <w:rFonts w:eastAsia="Guttman Hodes" w:hint="cs"/>
        </w:rPr>
        <w:instrText>Ref522100765 \r \h</w:instrText>
      </w:r>
      <w:r w:rsidRPr="00E85B20">
        <w:rPr>
          <w:rStyle w:val="af7"/>
          <w:rFonts w:eastAsia="Guttman Hodes"/>
          <w:rtl/>
        </w:rPr>
        <w:instrText xml:space="preserve"> </w:instrText>
      </w:r>
      <w:r w:rsidRPr="00E85B20">
        <w:rPr>
          <w:rStyle w:val="af7"/>
          <w:rFonts w:eastAsia="Guttman Hodes"/>
          <w:rtl/>
        </w:rPr>
      </w:r>
      <w:r w:rsidRPr="00E85B20">
        <w:rPr>
          <w:rStyle w:val="af7"/>
          <w:rFonts w:eastAsia="Guttman Hodes"/>
          <w:rtl/>
        </w:rPr>
        <w:fldChar w:fldCharType="separate"/>
      </w:r>
      <w:r w:rsidR="00345400">
        <w:rPr>
          <w:rStyle w:val="af7"/>
          <w:rFonts w:eastAsia="Guttman Hodes"/>
          <w:cs/>
        </w:rPr>
        <w:t>‎</w:t>
      </w:r>
      <w:r w:rsidR="00345400">
        <w:rPr>
          <w:rStyle w:val="af7"/>
          <w:rFonts w:eastAsia="Guttman Hodes"/>
          <w:rtl/>
        </w:rPr>
        <w:t>ט)</w:t>
      </w:r>
      <w:r w:rsidRPr="00E85B20">
        <w:rPr>
          <w:rStyle w:val="af7"/>
          <w:rFonts w:eastAsia="Guttman Hodes"/>
          <w:rtl/>
        </w:rPr>
        <w:fldChar w:fldCharType="end"/>
      </w:r>
      <w:r>
        <w:rPr>
          <w:rFonts w:hint="cs"/>
          <w:rtl/>
        </w:rPr>
        <w:t xml:space="preserve"> שהאיסור הוא מחמת אבר מן החי, </w:t>
      </w:r>
      <w:r w:rsidRPr="00D61FA5">
        <w:rPr>
          <w:rStyle w:val="af9"/>
          <w:rFonts w:hint="cs"/>
          <w:rtl/>
        </w:rPr>
        <w:t xml:space="preserve">ולתוס' </w:t>
      </w:r>
      <w:r>
        <w:rPr>
          <w:rStyle w:val="af9"/>
          <w:rFonts w:hint="cs"/>
          <w:rtl/>
        </w:rPr>
        <w:t>בביצה</w:t>
      </w:r>
      <w:r>
        <w:rPr>
          <w:rFonts w:hint="cs"/>
          <w:rtl/>
        </w:rPr>
        <w:t xml:space="preserve"> </w:t>
      </w:r>
      <w:r w:rsidRPr="00E85B20">
        <w:rPr>
          <w:rStyle w:val="af7"/>
          <w:rFonts w:eastAsia="Guttman Hodes" w:hint="cs"/>
          <w:rtl/>
        </w:rPr>
        <w:t xml:space="preserve"> (עי' אות </w:t>
      </w:r>
      <w:r w:rsidRPr="00E85B20">
        <w:rPr>
          <w:rStyle w:val="af7"/>
          <w:rFonts w:eastAsia="Guttman Hodes"/>
          <w:rtl/>
        </w:rPr>
        <w:fldChar w:fldCharType="begin"/>
      </w:r>
      <w:r w:rsidRPr="00E85B20">
        <w:rPr>
          <w:rStyle w:val="af7"/>
          <w:rFonts w:eastAsia="Guttman Hodes"/>
          <w:rtl/>
        </w:rPr>
        <w:instrText xml:space="preserve"> </w:instrText>
      </w:r>
      <w:r w:rsidRPr="00E85B20">
        <w:rPr>
          <w:rStyle w:val="af7"/>
          <w:rFonts w:eastAsia="Guttman Hodes" w:hint="cs"/>
        </w:rPr>
        <w:instrText>REF</w:instrText>
      </w:r>
      <w:r w:rsidRPr="00E85B20">
        <w:rPr>
          <w:rStyle w:val="af7"/>
          <w:rFonts w:eastAsia="Guttman Hodes" w:hint="cs"/>
          <w:rtl/>
        </w:rPr>
        <w:instrText xml:space="preserve"> _</w:instrText>
      </w:r>
      <w:r w:rsidRPr="00E85B20">
        <w:rPr>
          <w:rStyle w:val="af7"/>
          <w:rFonts w:eastAsia="Guttman Hodes" w:hint="cs"/>
        </w:rPr>
        <w:instrText>Ref522100783 \r \h</w:instrText>
      </w:r>
      <w:r w:rsidRPr="00E85B20">
        <w:rPr>
          <w:rStyle w:val="af7"/>
          <w:rFonts w:eastAsia="Guttman Hodes"/>
          <w:rtl/>
        </w:rPr>
        <w:instrText xml:space="preserve"> </w:instrText>
      </w:r>
      <w:r w:rsidRPr="00E85B20">
        <w:rPr>
          <w:rStyle w:val="af7"/>
          <w:rFonts w:eastAsia="Guttman Hodes"/>
          <w:rtl/>
        </w:rPr>
      </w:r>
      <w:r w:rsidRPr="00E85B20">
        <w:rPr>
          <w:rStyle w:val="af7"/>
          <w:rFonts w:eastAsia="Guttman Hodes"/>
          <w:rtl/>
        </w:rPr>
        <w:fldChar w:fldCharType="separate"/>
      </w:r>
      <w:r w:rsidR="00345400">
        <w:rPr>
          <w:rStyle w:val="af7"/>
          <w:rFonts w:eastAsia="Guttman Hodes"/>
          <w:cs/>
        </w:rPr>
        <w:t>‎</w:t>
      </w:r>
      <w:r w:rsidR="00345400">
        <w:rPr>
          <w:rStyle w:val="af7"/>
          <w:rFonts w:eastAsia="Guttman Hodes"/>
          <w:rtl/>
        </w:rPr>
        <w:t>יא)</w:t>
      </w:r>
      <w:r w:rsidRPr="00E85B20">
        <w:rPr>
          <w:rStyle w:val="af7"/>
          <w:rFonts w:eastAsia="Guttman Hodes"/>
          <w:rtl/>
        </w:rPr>
        <w:fldChar w:fldCharType="end"/>
      </w:r>
      <w:r w:rsidRPr="00E85B20">
        <w:rPr>
          <w:rStyle w:val="af7"/>
          <w:rFonts w:eastAsia="Guttman Hodes" w:hint="cs"/>
          <w:rtl/>
        </w:rPr>
        <w:t xml:space="preserve"> </w:t>
      </w:r>
      <w:r>
        <w:rPr>
          <w:rFonts w:hint="cs"/>
          <w:rtl/>
        </w:rPr>
        <w:t>שהאיסור הוא מחזקת אינו זבוח, א"כ החזקה היא רק לענין אכילה, אבל לטומאה כיון דמחיים הייתה לה חזקה שאינה טמאה, ה"ה כשמתה, והיינו דעושים פלגינן בחזקה, דלענין אכילה מחזקינן לה כאינה שחוטה כמו שהייתה קודם, ולענין טומאה אמרינן שהיא שחוטה ואינה מטמאה כמו שהייתה קודם.</w:t>
      </w:r>
    </w:p>
    <w:p w14:paraId="467F2B9F" w14:textId="77777777" w:rsidR="00852065" w:rsidRDefault="00852065" w:rsidP="006D6D32">
      <w:pPr>
        <w:pStyle w:val="a3"/>
        <w:rPr>
          <w:rtl/>
        </w:rPr>
      </w:pPr>
      <w:bookmarkStart w:id="722" w:name="_Toc522099650"/>
      <w:bookmarkStart w:id="723" w:name="_Toc19388964"/>
      <w:bookmarkStart w:id="724" w:name="_Toc19392461"/>
      <w:r>
        <w:rPr>
          <w:rFonts w:hint="cs"/>
          <w:rtl/>
        </w:rPr>
        <w:t>דברי הקה"י דלדעת הברייתא בסוגיין לא אמרינן פלגינן בחזקה</w:t>
      </w:r>
      <w:bookmarkEnd w:id="722"/>
      <w:bookmarkEnd w:id="723"/>
      <w:bookmarkEnd w:id="724"/>
    </w:p>
    <w:p w14:paraId="17B93E98" w14:textId="77777777" w:rsidR="00852065" w:rsidRPr="00664511" w:rsidRDefault="00852065" w:rsidP="00223668">
      <w:pPr>
        <w:pStyle w:val="a0"/>
        <w:rPr>
          <w:rtl/>
        </w:rPr>
      </w:pPr>
      <w:r>
        <w:rPr>
          <w:rFonts w:hint="cs"/>
          <w:rtl/>
        </w:rPr>
        <w:t xml:space="preserve">ובדעת הברייתא דס"ל דמטמאה בטומאת נבילה, ביאר </w:t>
      </w:r>
      <w:r w:rsidRPr="00B97C91">
        <w:rPr>
          <w:rStyle w:val="af9"/>
          <w:rFonts w:hint="cs"/>
          <w:rtl/>
        </w:rPr>
        <w:t>הקה"י</w:t>
      </w:r>
      <w:r>
        <w:rPr>
          <w:rFonts w:hint="cs"/>
          <w:rtl/>
        </w:rPr>
        <w:t xml:space="preserve"> דס"ל דלא אמרינן פלגינן, וכיון דלענין אכילה מחזקינן לה כאינה שחוטה ואסרינן לה, ה"ה לענין טומאה דמחזקינן לה כאינה שחוטה ומטמאה.</w:t>
      </w:r>
    </w:p>
    <w:p w14:paraId="38A2F9CD" w14:textId="77777777" w:rsidR="00852065" w:rsidRDefault="00852065" w:rsidP="006D6D32">
      <w:pPr>
        <w:pStyle w:val="a3"/>
        <w:rPr>
          <w:rtl/>
        </w:rPr>
      </w:pPr>
      <w:bookmarkStart w:id="725" w:name="_Toc522099651"/>
      <w:bookmarkStart w:id="726" w:name="_Toc19388965"/>
      <w:bookmarkStart w:id="727" w:name="_Toc19392462"/>
      <w:r>
        <w:rPr>
          <w:rFonts w:hint="cs"/>
          <w:rtl/>
        </w:rPr>
        <w:t>ביאור הקה"י דלברייתא ברק בחזקת איסור אמרינן פלגינן בחזקה ולא בחזקת הגוף</w:t>
      </w:r>
      <w:bookmarkEnd w:id="725"/>
      <w:bookmarkEnd w:id="726"/>
      <w:bookmarkEnd w:id="727"/>
    </w:p>
    <w:p w14:paraId="5F560A3B" w14:textId="77777777" w:rsidR="00852065" w:rsidRDefault="00852065" w:rsidP="00223668">
      <w:pPr>
        <w:pStyle w:val="a0"/>
        <w:rPr>
          <w:rtl/>
        </w:rPr>
      </w:pPr>
      <w:r>
        <w:rPr>
          <w:rFonts w:hint="cs"/>
          <w:rtl/>
        </w:rPr>
        <w:t xml:space="preserve">וביאר </w:t>
      </w:r>
      <w:r w:rsidRPr="00677A99">
        <w:rPr>
          <w:rStyle w:val="af9"/>
          <w:rFonts w:hint="cs"/>
          <w:rtl/>
        </w:rPr>
        <w:t>הקה"י</w:t>
      </w:r>
      <w:r>
        <w:rPr>
          <w:rFonts w:hint="cs"/>
          <w:rtl/>
        </w:rPr>
        <w:t xml:space="preserve"> </w:t>
      </w:r>
      <w:r w:rsidRPr="00B97C91">
        <w:rPr>
          <w:rStyle w:val="af7"/>
          <w:rFonts w:eastAsia="Guttman Hodes" w:hint="cs"/>
          <w:rtl/>
        </w:rPr>
        <w:t>(ד"ה אכן)</w:t>
      </w:r>
      <w:r>
        <w:rPr>
          <w:rFonts w:hint="cs"/>
          <w:rtl/>
        </w:rPr>
        <w:t xml:space="preserve"> דאף הברייתא מודה דשייך לומר פלגינן בחזקה </w:t>
      </w:r>
      <w:r w:rsidRPr="00D67F58">
        <w:rPr>
          <w:rStyle w:val="afb"/>
          <w:rFonts w:hint="cs"/>
          <w:rtl/>
        </w:rPr>
        <w:t>[</w:t>
      </w:r>
      <w:r>
        <w:rPr>
          <w:rStyle w:val="afb"/>
          <w:rFonts w:hint="cs"/>
          <w:rtl/>
        </w:rPr>
        <w:t>וכדברי</w:t>
      </w:r>
      <w:r w:rsidRPr="00D67F58">
        <w:rPr>
          <w:rStyle w:val="afb"/>
          <w:rFonts w:hint="cs"/>
          <w:rtl/>
        </w:rPr>
        <w:t xml:space="preserve"> </w:t>
      </w:r>
      <w:r w:rsidRPr="003D703C">
        <w:rPr>
          <w:rStyle w:val="affa"/>
          <w:rFonts w:hint="cs"/>
          <w:rtl/>
        </w:rPr>
        <w:t>הש"ש</w:t>
      </w:r>
      <w:r w:rsidRPr="00D67F58">
        <w:rPr>
          <w:rStyle w:val="afb"/>
          <w:rFonts w:hint="cs"/>
          <w:rtl/>
        </w:rPr>
        <w:t xml:space="preserve"> </w:t>
      </w:r>
      <w:r w:rsidRPr="00B97C91">
        <w:rPr>
          <w:rStyle w:val="aff6"/>
          <w:rFonts w:hint="cs"/>
          <w:rtl/>
        </w:rPr>
        <w:t>(ש"ה פ"י)</w:t>
      </w:r>
      <w:r>
        <w:rPr>
          <w:rStyle w:val="afb"/>
          <w:rFonts w:hint="cs"/>
          <w:rtl/>
        </w:rPr>
        <w:t>]</w:t>
      </w:r>
      <w:r>
        <w:rPr>
          <w:rFonts w:hint="cs"/>
          <w:rtl/>
        </w:rPr>
        <w:t xml:space="preserve">, אלא דבסוגיין לא אסרינן לה מחמת חזקת איסור, אלא הוא חזקת הגוף דאמרינן שלא נעשה בה מעשה השחיטה, ולא היה שינוי בגוף הבהמה, ולכן אף לענין טומאה אמרינן דהיא בזקת שלא נשחטה ואסורה, אבל בחזקת איסור בעלמא לכו"ע אמרינן פלגינן. [עיי"ש שישב </w:t>
      </w:r>
      <w:r w:rsidRPr="00677A99">
        <w:rPr>
          <w:rStyle w:val="af9"/>
          <w:rFonts w:hint="cs"/>
          <w:rtl/>
        </w:rPr>
        <w:t>הקה"י</w:t>
      </w:r>
      <w:r>
        <w:rPr>
          <w:rFonts w:hint="cs"/>
          <w:rtl/>
        </w:rPr>
        <w:t xml:space="preserve"> בזה את דברי </w:t>
      </w:r>
      <w:r w:rsidRPr="00617267">
        <w:rPr>
          <w:rStyle w:val="af9"/>
          <w:rFonts w:hint="cs"/>
          <w:rtl/>
        </w:rPr>
        <w:t>הש"ש</w:t>
      </w:r>
      <w:r>
        <w:rPr>
          <w:rFonts w:hint="cs"/>
          <w:rtl/>
        </w:rPr>
        <w:t xml:space="preserve"> במחזיקין מאיסור אבר מן החי לאיסור טריפה, דהוא חזקת איסור ואמרינן פלגינן לכו"ע].</w:t>
      </w:r>
    </w:p>
    <w:p w14:paraId="02D374B2" w14:textId="77777777" w:rsidR="00852065" w:rsidRDefault="00852065" w:rsidP="006D6D32">
      <w:pPr>
        <w:pStyle w:val="a3"/>
        <w:rPr>
          <w:rtl/>
        </w:rPr>
      </w:pPr>
      <w:bookmarkStart w:id="728" w:name="_Toc522099652"/>
      <w:bookmarkStart w:id="729" w:name="_Toc19388966"/>
      <w:bookmarkStart w:id="730" w:name="_Toc19392463"/>
      <w:r>
        <w:rPr>
          <w:rFonts w:hint="cs"/>
          <w:rtl/>
        </w:rPr>
        <w:t>קושית הקה"י דהכא אין חזקת הגוף כיון שהיה בה חידוש או של שחיטה או של מיתה</w:t>
      </w:r>
      <w:bookmarkEnd w:id="728"/>
      <w:bookmarkEnd w:id="729"/>
      <w:bookmarkEnd w:id="730"/>
    </w:p>
    <w:p w14:paraId="05307C6D" w14:textId="77777777" w:rsidR="00852065" w:rsidRDefault="00852065" w:rsidP="00223668">
      <w:pPr>
        <w:pStyle w:val="a0"/>
        <w:rPr>
          <w:rtl/>
        </w:rPr>
      </w:pPr>
      <w:r>
        <w:rPr>
          <w:rFonts w:hint="cs"/>
          <w:rtl/>
        </w:rPr>
        <w:t xml:space="preserve">אך דחה </w:t>
      </w:r>
      <w:r w:rsidRPr="00CB61C3">
        <w:rPr>
          <w:rStyle w:val="af9"/>
          <w:rFonts w:hint="cs"/>
          <w:rtl/>
        </w:rPr>
        <w:t xml:space="preserve">הקה"י </w:t>
      </w:r>
      <w:r w:rsidRPr="00D67F58">
        <w:rPr>
          <w:rStyle w:val="af7"/>
          <w:rFonts w:eastAsia="Guttman Hodes" w:hint="cs"/>
          <w:rtl/>
        </w:rPr>
        <w:t xml:space="preserve">(סי' ט"ו ד"ה </w:t>
      </w:r>
      <w:r>
        <w:rPr>
          <w:rStyle w:val="af7"/>
          <w:rFonts w:eastAsia="Guttman Hodes" w:hint="cs"/>
          <w:rtl/>
        </w:rPr>
        <w:t>אולם, יבמות סי' כ"ב</w:t>
      </w:r>
      <w:r w:rsidRPr="00D67F58">
        <w:rPr>
          <w:rStyle w:val="af7"/>
          <w:rFonts w:eastAsia="Guttman Hodes" w:hint="cs"/>
          <w:rtl/>
        </w:rPr>
        <w:t>)</w:t>
      </w:r>
      <w:r w:rsidRPr="00D67F58">
        <w:rPr>
          <w:rStyle w:val="afb"/>
          <w:rFonts w:hint="cs"/>
          <w:rtl/>
        </w:rPr>
        <w:t xml:space="preserve"> </w:t>
      </w:r>
      <w:r>
        <w:rPr>
          <w:rFonts w:hint="cs"/>
          <w:rtl/>
        </w:rPr>
        <w:t xml:space="preserve">דא"א לומר דהא דלדעת הברייתא דטמאה בטומאת נבילה, הוא מחמת חזקת הגוף, דאמרינן שלא היה בה מעשה התחדשות של שחיטה, דהא אי נימא של נשחטה, א"כ צ"ל שנתנבלה, וגם זהו ההתחדשות בבהמה שמתחילה לא הייתה נבילה, וא"כ ודאי שהיה בה מעשה התחדשות או שחיטה או שנתנבלה, וא"כ א"א לומר דהחזקת שאינה שחוטה שהייתה קודם, תכריע איזה התחדשות נעשה בה. וא"כ מוכח דלמ"ד דטמאה הוא מחמת דאף בחזקת איסור לא אמרינן פלגינן [ודלא </w:t>
      </w:r>
      <w:r w:rsidRPr="00CB61C3">
        <w:rPr>
          <w:rStyle w:val="af9"/>
          <w:rFonts w:hint="cs"/>
          <w:rtl/>
        </w:rPr>
        <w:t>כש"ש</w:t>
      </w:r>
      <w:r>
        <w:rPr>
          <w:rFonts w:hint="cs"/>
          <w:rtl/>
        </w:rPr>
        <w:t>].</w:t>
      </w:r>
    </w:p>
    <w:p w14:paraId="30221813" w14:textId="77777777" w:rsidR="00852065" w:rsidRDefault="00852065" w:rsidP="006D6D32">
      <w:pPr>
        <w:pStyle w:val="a3"/>
        <w:rPr>
          <w:rtl/>
        </w:rPr>
      </w:pPr>
      <w:bookmarkStart w:id="731" w:name="_Toc522099653"/>
      <w:bookmarkStart w:id="732" w:name="_Toc19388967"/>
      <w:bookmarkStart w:id="733" w:name="_Toc19392464"/>
      <w:r>
        <w:rPr>
          <w:rFonts w:hint="cs"/>
          <w:rtl/>
        </w:rPr>
        <w:t>ביאור הקה"י דרק שחיטה הוא התחדשות מעשה משא"כ מיתה דסופה למות</w:t>
      </w:r>
      <w:bookmarkEnd w:id="731"/>
      <w:bookmarkEnd w:id="732"/>
      <w:bookmarkEnd w:id="733"/>
    </w:p>
    <w:p w14:paraId="27025D66" w14:textId="77777777" w:rsidR="00852065" w:rsidRDefault="00852065" w:rsidP="00223668">
      <w:pPr>
        <w:pStyle w:val="a0"/>
        <w:rPr>
          <w:rtl/>
        </w:rPr>
      </w:pPr>
      <w:r>
        <w:rPr>
          <w:rFonts w:hint="cs"/>
          <w:rtl/>
        </w:rPr>
        <w:t xml:space="preserve">ותירץ </w:t>
      </w:r>
      <w:r w:rsidRPr="00CB61C3">
        <w:rPr>
          <w:rStyle w:val="af9"/>
          <w:rFonts w:hint="cs"/>
          <w:rtl/>
        </w:rPr>
        <w:t>הקה"י</w:t>
      </w:r>
      <w:r>
        <w:rPr>
          <w:rFonts w:hint="cs"/>
          <w:rtl/>
        </w:rPr>
        <w:t xml:space="preserve"> </w:t>
      </w:r>
      <w:r w:rsidRPr="00D67F58">
        <w:rPr>
          <w:rStyle w:val="af7"/>
          <w:rFonts w:eastAsia="Guttman Hodes" w:hint="cs"/>
          <w:rtl/>
        </w:rPr>
        <w:t xml:space="preserve">(סי' ט"ו ד"ה </w:t>
      </w:r>
      <w:r>
        <w:rPr>
          <w:rStyle w:val="af7"/>
          <w:rFonts w:eastAsia="Guttman Hodes" w:hint="cs"/>
          <w:rtl/>
        </w:rPr>
        <w:t>אבל, יבמות ס'י כ"ב</w:t>
      </w:r>
      <w:r w:rsidRPr="00D67F58">
        <w:rPr>
          <w:rStyle w:val="af7"/>
          <w:rFonts w:eastAsia="Guttman Hodes" w:hint="cs"/>
          <w:rtl/>
        </w:rPr>
        <w:t>)</w:t>
      </w:r>
      <w:r w:rsidRPr="00D67F58">
        <w:rPr>
          <w:rStyle w:val="afb"/>
          <w:rFonts w:hint="cs"/>
          <w:rtl/>
        </w:rPr>
        <w:t xml:space="preserve"> </w:t>
      </w:r>
      <w:r>
        <w:rPr>
          <w:rFonts w:hint="cs"/>
          <w:rtl/>
        </w:rPr>
        <w:t xml:space="preserve">דלעולם האיסור הוא מחמת חזקת הגוף דאמרינן שלא נתחדש בה מעשה שחיטה, והא דממילא אמרינן דנתנבלה אי"ז חשיב התחדשות בבהמה, דהא כל בהמה עומדת למות, וממילא נעשית נבילה, אבל שחיטה הוא מעשה התחדשות ע"י האדם שמכשירה לאכילה, ואינו בטבעה וסדר חייה של הבהמה, ולכן אמרינן דנחזיקנה בחזקת הגוף שלא נתחדש בה מעשה שחיטה, וכתב </w:t>
      </w:r>
      <w:r w:rsidRPr="00CB61C3">
        <w:rPr>
          <w:rStyle w:val="af9"/>
          <w:rFonts w:hint="cs"/>
          <w:rtl/>
        </w:rPr>
        <w:t>הקה"י</w:t>
      </w:r>
      <w:r>
        <w:rPr>
          <w:rFonts w:hint="cs"/>
          <w:rtl/>
        </w:rPr>
        <w:t xml:space="preserve"> דזהו כדברי </w:t>
      </w:r>
      <w:r w:rsidRPr="00CB61C3">
        <w:rPr>
          <w:rStyle w:val="af9"/>
          <w:rFonts w:hint="cs"/>
          <w:rtl/>
        </w:rPr>
        <w:t>הרשב"א ביבמות</w:t>
      </w:r>
      <w:r>
        <w:rPr>
          <w:rFonts w:hint="cs"/>
          <w:rtl/>
        </w:rPr>
        <w:t xml:space="preserve"> </w:t>
      </w:r>
      <w:r w:rsidRPr="007C2CC4">
        <w:rPr>
          <w:rStyle w:val="af7"/>
          <w:rFonts w:eastAsia="Guttman Hodes" w:hint="cs"/>
          <w:rtl/>
        </w:rPr>
        <w:t>(ל: ד"ה והא</w:t>
      </w:r>
      <w:r>
        <w:rPr>
          <w:rStyle w:val="af7"/>
          <w:rFonts w:eastAsia="Guttman Hodes" w:hint="cs"/>
          <w:rtl/>
        </w:rPr>
        <w:t>, הובא ב</w:t>
      </w:r>
      <w:r w:rsidRPr="0008506D">
        <w:rPr>
          <w:rStyle w:val="af7"/>
          <w:rFonts w:eastAsia="Guttman Hodes" w:hint="cs"/>
          <w:rtl/>
        </w:rPr>
        <w:t xml:space="preserve">סימן </w:t>
      </w:r>
      <w:r w:rsidRPr="00C6066B">
        <w:rPr>
          <w:rStyle w:val="af7"/>
          <w:rFonts w:eastAsia="Guttman Hodes" w:hint="cs"/>
          <w:rtl/>
        </w:rPr>
        <w:t xml:space="preserve">ב' אות </w:t>
      </w:r>
      <w:r w:rsidRPr="00C6066B">
        <w:rPr>
          <w:rStyle w:val="af7"/>
          <w:rFonts w:eastAsia="Guttman Hodes"/>
          <w:rtl/>
        </w:rPr>
        <w:fldChar w:fldCharType="begin"/>
      </w:r>
      <w:r w:rsidRPr="00C6066B">
        <w:rPr>
          <w:rStyle w:val="af7"/>
          <w:rFonts w:eastAsia="Guttman Hodes"/>
          <w:rtl/>
        </w:rPr>
        <w:instrText xml:space="preserve"> </w:instrText>
      </w:r>
      <w:r w:rsidRPr="00C6066B">
        <w:rPr>
          <w:rStyle w:val="af7"/>
          <w:rFonts w:eastAsia="Guttman Hodes" w:hint="cs"/>
        </w:rPr>
        <w:instrText>REF</w:instrText>
      </w:r>
      <w:r w:rsidRPr="00C6066B">
        <w:rPr>
          <w:rStyle w:val="af7"/>
          <w:rFonts w:eastAsia="Guttman Hodes" w:hint="cs"/>
          <w:rtl/>
        </w:rPr>
        <w:instrText xml:space="preserve"> _</w:instrText>
      </w:r>
      <w:r w:rsidRPr="00C6066B">
        <w:rPr>
          <w:rStyle w:val="af7"/>
          <w:rFonts w:eastAsia="Guttman Hodes" w:hint="cs"/>
        </w:rPr>
        <w:instrText>Ref522187437 \r \h</w:instrText>
      </w:r>
      <w:r w:rsidRPr="00C6066B">
        <w:rPr>
          <w:rStyle w:val="af7"/>
          <w:rFonts w:eastAsia="Guttman Hodes"/>
          <w:rtl/>
        </w:rPr>
        <w:instrText xml:space="preserve"> </w:instrText>
      </w:r>
      <w:r w:rsidRPr="00C6066B">
        <w:rPr>
          <w:rStyle w:val="af7"/>
          <w:rFonts w:eastAsia="Guttman Hodes"/>
          <w:rtl/>
        </w:rPr>
      </w:r>
      <w:r w:rsidRPr="00C6066B">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sidRPr="00C6066B">
        <w:rPr>
          <w:rStyle w:val="af7"/>
          <w:rFonts w:eastAsia="Guttman Hodes"/>
          <w:rtl/>
        </w:rPr>
        <w:fldChar w:fldCharType="end"/>
      </w:r>
      <w:r>
        <w:rPr>
          <w:rFonts w:hint="cs"/>
          <w:rtl/>
        </w:rPr>
        <w:t>.</w:t>
      </w:r>
    </w:p>
    <w:p w14:paraId="20C5C7BE" w14:textId="77777777" w:rsidR="00852065" w:rsidRPr="0009607E" w:rsidRDefault="00852065" w:rsidP="00BF39B2">
      <w:pPr>
        <w:pStyle w:val="1"/>
        <w:rPr>
          <w:rtl/>
        </w:rPr>
      </w:pPr>
      <w:bookmarkStart w:id="734" w:name="_Toc522028159"/>
      <w:bookmarkStart w:id="735" w:name="_Toc522086214"/>
      <w:bookmarkStart w:id="736" w:name="_Toc522099654"/>
      <w:bookmarkStart w:id="737" w:name="_Toc19388968"/>
      <w:bookmarkStart w:id="738" w:name="_Toc19392465"/>
      <w:r>
        <w:rPr>
          <w:rFonts w:hint="cs"/>
          <w:rtl/>
        </w:rPr>
        <w:t>דברי הגרש"ר בדעת התוס' דמדאו' יש רוב</w:t>
      </w:r>
      <w:bookmarkEnd w:id="734"/>
      <w:bookmarkEnd w:id="735"/>
      <w:bookmarkEnd w:id="736"/>
      <w:bookmarkEnd w:id="737"/>
      <w:bookmarkEnd w:id="738"/>
    </w:p>
    <w:p w14:paraId="5E8C9043" w14:textId="77777777" w:rsidR="00852065" w:rsidRPr="00C322CA" w:rsidRDefault="00852065" w:rsidP="006D6D32">
      <w:pPr>
        <w:pStyle w:val="a3"/>
        <w:rPr>
          <w:rtl/>
        </w:rPr>
      </w:pPr>
      <w:bookmarkStart w:id="739" w:name="_Toc522099655"/>
      <w:bookmarkStart w:id="740" w:name="_Toc19388969"/>
      <w:bookmarkStart w:id="741" w:name="_Toc19392466"/>
      <w:r>
        <w:rPr>
          <w:rFonts w:hint="cs"/>
          <w:rtl/>
        </w:rPr>
        <w:t>קושית הגרש"ר אמאי אינה מטמאה לר"א הא היא ספק נבילה ואין לה חזקת טהרה מחיים</w:t>
      </w:r>
      <w:bookmarkEnd w:id="739"/>
      <w:bookmarkEnd w:id="740"/>
      <w:bookmarkEnd w:id="741"/>
    </w:p>
    <w:p w14:paraId="5187406E" w14:textId="77777777" w:rsidR="00852065" w:rsidRDefault="00852065" w:rsidP="00223668">
      <w:pPr>
        <w:pStyle w:val="a0"/>
        <w:rPr>
          <w:rtl/>
        </w:rPr>
      </w:pPr>
      <w:r>
        <w:rPr>
          <w:rFonts w:hint="cs"/>
          <w:rtl/>
        </w:rPr>
        <w:t xml:space="preserve">הקשה </w:t>
      </w:r>
      <w:r w:rsidRPr="008F5FE2">
        <w:rPr>
          <w:rStyle w:val="af9"/>
          <w:rFonts w:hint="cs"/>
          <w:rtl/>
        </w:rPr>
        <w:t>הגרש"ר</w:t>
      </w:r>
      <w:r>
        <w:rPr>
          <w:rFonts w:hint="cs"/>
          <w:rtl/>
        </w:rPr>
        <w:t xml:space="preserve"> </w:t>
      </w:r>
      <w:r w:rsidRPr="00397534">
        <w:rPr>
          <w:rStyle w:val="af7"/>
          <w:rFonts w:eastAsia="Guttman Hodes" w:hint="cs"/>
          <w:rtl/>
        </w:rPr>
        <w:t>(זכרון שמואל סי' ע"א)</w:t>
      </w:r>
      <w:r>
        <w:rPr>
          <w:rFonts w:hint="cs"/>
          <w:rtl/>
        </w:rPr>
        <w:t xml:space="preserve"> אמאי לר"א ב"ר ינאי אינה מטמאה כנבילה מספק, וכתב </w:t>
      </w:r>
      <w:r w:rsidRPr="00397534">
        <w:rPr>
          <w:rStyle w:val="af9"/>
          <w:rFonts w:hint="cs"/>
          <w:rtl/>
        </w:rPr>
        <w:t>הגרש"ר</w:t>
      </w:r>
      <w:r>
        <w:rPr>
          <w:rFonts w:hint="cs"/>
          <w:rtl/>
        </w:rPr>
        <w:t xml:space="preserve"> דא"א לומר דכיון שאין לה חזקת טומאה מוקמינן לה בחזקת טהרה שמחיים לא הייתה נבילה, דבמקום שלא שייך הדין אין בו חזקה, וכיון דמחיים לא היה שייך בה טומאת נבילה, אין לה חזקה מחיים ללאחר מיתה.</w:t>
      </w:r>
    </w:p>
    <w:p w14:paraId="4CBF9546" w14:textId="77777777" w:rsidR="00852065" w:rsidRDefault="00852065" w:rsidP="006D6D32">
      <w:pPr>
        <w:pStyle w:val="a3"/>
        <w:rPr>
          <w:rtl/>
        </w:rPr>
      </w:pPr>
      <w:bookmarkStart w:id="742" w:name="_Toc522099656"/>
      <w:bookmarkStart w:id="743" w:name="_Toc19388970"/>
      <w:bookmarkStart w:id="744" w:name="_Toc19392467"/>
      <w:r>
        <w:rPr>
          <w:rFonts w:hint="cs"/>
          <w:rtl/>
        </w:rPr>
        <w:t>קושית הגרש"ר על התוס' דבגמ' משמע דאינה מטמאה דאינה בחזקת טומאה ולא מחמת הרוב</w:t>
      </w:r>
      <w:bookmarkEnd w:id="742"/>
      <w:bookmarkEnd w:id="743"/>
      <w:bookmarkEnd w:id="744"/>
    </w:p>
    <w:p w14:paraId="6CCE8C0C" w14:textId="77777777" w:rsidR="00852065" w:rsidRDefault="00852065" w:rsidP="00223668">
      <w:pPr>
        <w:pStyle w:val="a0"/>
      </w:pPr>
      <w:r>
        <w:rPr>
          <w:rFonts w:hint="cs"/>
          <w:rtl/>
        </w:rPr>
        <w:t xml:space="preserve">וכתב </w:t>
      </w:r>
      <w:r w:rsidRPr="008F5FE2">
        <w:rPr>
          <w:rStyle w:val="af9"/>
          <w:rFonts w:hint="cs"/>
          <w:rtl/>
        </w:rPr>
        <w:t>הגרש"ר</w:t>
      </w:r>
      <w:r>
        <w:rPr>
          <w:rFonts w:hint="cs"/>
          <w:rtl/>
        </w:rPr>
        <w:t xml:space="preserve"> דלדעת </w:t>
      </w:r>
      <w:r w:rsidRPr="008F5FE2">
        <w:rPr>
          <w:rStyle w:val="af9"/>
          <w:rFonts w:hint="cs"/>
          <w:rtl/>
        </w:rPr>
        <w:t>התוס'</w:t>
      </w:r>
      <w:r>
        <w:rPr>
          <w:rFonts w:hint="cs"/>
          <w:rtl/>
        </w:rPr>
        <w:t xml:space="preserve"> דהטעם דר"א ב"ר ינאי דאינה מטמאה כנבילה, הוא מחמת שיש רוב שנשחטה כראוי, מיושב אמאי אינה מטמאה. אך הקשה </w:t>
      </w:r>
      <w:r w:rsidRPr="008F5FE2">
        <w:rPr>
          <w:rStyle w:val="af9"/>
          <w:rFonts w:hint="cs"/>
          <w:rtl/>
        </w:rPr>
        <w:t>הגרש"ר</w:t>
      </w:r>
      <w:r>
        <w:rPr>
          <w:rFonts w:hint="cs"/>
          <w:rtl/>
        </w:rPr>
        <w:t xml:space="preserve"> על </w:t>
      </w:r>
      <w:r w:rsidRPr="008F5FE2">
        <w:rPr>
          <w:rStyle w:val="af9"/>
          <w:rFonts w:hint="cs"/>
          <w:rtl/>
        </w:rPr>
        <w:t>התוס'</w:t>
      </w:r>
      <w:r>
        <w:rPr>
          <w:rFonts w:hint="cs"/>
          <w:rtl/>
        </w:rPr>
        <w:t xml:space="preserve"> דהא איתא בגמ' דטעמיה דר"א ב"ר ינאי הוא דבחזקת טומאה לא אמרינן, וביאר רש"י דמחיים אינו מטמאה, ולא משמע כדכתבו </w:t>
      </w:r>
      <w:r w:rsidRPr="00EB5B11">
        <w:rPr>
          <w:rStyle w:val="af9"/>
          <w:rFonts w:hint="cs"/>
          <w:rtl/>
        </w:rPr>
        <w:t>התוס'</w:t>
      </w:r>
      <w:r>
        <w:rPr>
          <w:rFonts w:hint="cs"/>
          <w:rtl/>
        </w:rPr>
        <w:t xml:space="preserve"> דהוא מטעם רוב.</w:t>
      </w:r>
    </w:p>
    <w:p w14:paraId="4ADF9E99" w14:textId="77777777" w:rsidR="00852065" w:rsidRDefault="00852065" w:rsidP="006D6D32">
      <w:pPr>
        <w:pStyle w:val="a3"/>
      </w:pPr>
      <w:bookmarkStart w:id="745" w:name="_Toc522099657"/>
      <w:bookmarkStart w:id="746" w:name="_Toc19388971"/>
      <w:bookmarkStart w:id="747" w:name="_Toc19392468"/>
      <w:r>
        <w:rPr>
          <w:rFonts w:hint="cs"/>
          <w:rtl/>
        </w:rPr>
        <w:t>דברי הגרש"ר דלר"א החזקת איסור לא מהני לטומאה כמ"ד דחזקת האם לא מהני לבת</w:t>
      </w:r>
      <w:bookmarkEnd w:id="745"/>
      <w:bookmarkEnd w:id="746"/>
      <w:bookmarkEnd w:id="747"/>
    </w:p>
    <w:p w14:paraId="7FD41F55" w14:textId="77777777" w:rsidR="00852065" w:rsidRPr="006513B8" w:rsidRDefault="00852065" w:rsidP="00223668">
      <w:pPr>
        <w:pStyle w:val="a0"/>
        <w:rPr>
          <w:rtl/>
        </w:rPr>
      </w:pPr>
      <w:r>
        <w:rPr>
          <w:rFonts w:hint="cs"/>
          <w:rtl/>
        </w:rPr>
        <w:t xml:space="preserve">וכתב </w:t>
      </w:r>
      <w:r w:rsidRPr="00A63D34">
        <w:rPr>
          <w:rStyle w:val="af9"/>
          <w:rFonts w:hint="cs"/>
          <w:rtl/>
        </w:rPr>
        <w:t xml:space="preserve">הגרש"ר </w:t>
      </w:r>
      <w:r>
        <w:rPr>
          <w:rFonts w:hint="cs"/>
          <w:rtl/>
        </w:rPr>
        <w:t xml:space="preserve">דדוחק לומר דהוקשה </w:t>
      </w:r>
      <w:r w:rsidRPr="00EB5B11">
        <w:rPr>
          <w:rStyle w:val="af9"/>
          <w:rFonts w:hint="cs"/>
          <w:rtl/>
        </w:rPr>
        <w:t xml:space="preserve">לתוס' </w:t>
      </w:r>
      <w:r>
        <w:rPr>
          <w:rFonts w:hint="cs"/>
          <w:rtl/>
        </w:rPr>
        <w:t xml:space="preserve">אמאי לר"א ב"ר ינאי אינה ספק נבילה, ולכן חידשו שיש רוב, </w:t>
      </w:r>
      <w:r w:rsidRPr="00D51519">
        <w:rPr>
          <w:rStyle w:val="afb"/>
          <w:rFonts w:hint="cs"/>
          <w:rtl/>
        </w:rPr>
        <w:t xml:space="preserve">[אך יעוי' </w:t>
      </w:r>
      <w:r w:rsidRPr="00A63D34">
        <w:rPr>
          <w:rStyle w:val="affa"/>
          <w:rFonts w:hint="cs"/>
          <w:rtl/>
        </w:rPr>
        <w:t>במהר"ם</w:t>
      </w:r>
      <w:r w:rsidRPr="00D51519">
        <w:rPr>
          <w:rStyle w:val="afb"/>
          <w:rFonts w:hint="cs"/>
          <w:rtl/>
        </w:rPr>
        <w:t xml:space="preserve"> </w:t>
      </w:r>
      <w:r w:rsidRPr="00CF4623">
        <w:rPr>
          <w:rStyle w:val="aff6"/>
          <w:rFonts w:hint="cs"/>
          <w:rtl/>
        </w:rPr>
        <w:t xml:space="preserve">(עי' אות </w:t>
      </w:r>
      <w:r w:rsidRPr="00CF4623">
        <w:rPr>
          <w:rStyle w:val="aff6"/>
          <w:rtl/>
        </w:rPr>
        <w:fldChar w:fldCharType="begin"/>
      </w:r>
      <w:r w:rsidRPr="00CF4623">
        <w:rPr>
          <w:rStyle w:val="aff6"/>
          <w:rtl/>
        </w:rPr>
        <w:instrText xml:space="preserve"> </w:instrText>
      </w:r>
      <w:r w:rsidRPr="00CF4623">
        <w:rPr>
          <w:rStyle w:val="aff6"/>
          <w:rFonts w:hint="cs"/>
        </w:rPr>
        <w:instrText>REF</w:instrText>
      </w:r>
      <w:r w:rsidRPr="00CF4623">
        <w:rPr>
          <w:rStyle w:val="aff6"/>
          <w:rFonts w:hint="cs"/>
          <w:rtl/>
        </w:rPr>
        <w:instrText xml:space="preserve"> _</w:instrText>
      </w:r>
      <w:r w:rsidRPr="00CF4623">
        <w:rPr>
          <w:rStyle w:val="aff6"/>
          <w:rFonts w:hint="cs"/>
        </w:rPr>
        <w:instrText>Ref522109883 \r \h</w:instrText>
      </w:r>
      <w:r w:rsidRPr="00CF4623">
        <w:rPr>
          <w:rStyle w:val="aff6"/>
          <w:rtl/>
        </w:rPr>
        <w:instrText xml:space="preserve"> </w:instrText>
      </w:r>
      <w:r w:rsidRPr="00CF4623">
        <w:rPr>
          <w:rStyle w:val="aff6"/>
          <w:rtl/>
        </w:rPr>
      </w:r>
      <w:r w:rsidRPr="00CF4623">
        <w:rPr>
          <w:rStyle w:val="aff6"/>
          <w:rtl/>
        </w:rPr>
        <w:fldChar w:fldCharType="separate"/>
      </w:r>
      <w:r w:rsidR="00345400">
        <w:rPr>
          <w:rStyle w:val="aff6"/>
          <w:cs/>
        </w:rPr>
        <w:t>‎</w:t>
      </w:r>
      <w:r w:rsidR="00345400">
        <w:rPr>
          <w:rStyle w:val="aff6"/>
          <w:rtl/>
        </w:rPr>
        <w:t>לז)</w:t>
      </w:r>
      <w:r w:rsidRPr="00CF4623">
        <w:rPr>
          <w:rStyle w:val="aff6"/>
          <w:rtl/>
        </w:rPr>
        <w:fldChar w:fldCharType="end"/>
      </w:r>
      <w:r>
        <w:rPr>
          <w:rStyle w:val="afb"/>
          <w:rFonts w:hint="cs"/>
          <w:rtl/>
        </w:rPr>
        <w:t xml:space="preserve"> </w:t>
      </w:r>
      <w:r w:rsidRPr="00A63D34">
        <w:rPr>
          <w:rStyle w:val="afb"/>
          <w:rFonts w:hint="cs"/>
          <w:rtl/>
        </w:rPr>
        <w:t>דביאר כן].</w:t>
      </w:r>
      <w:r>
        <w:rPr>
          <w:rFonts w:hint="cs"/>
          <w:rtl/>
        </w:rPr>
        <w:t xml:space="preserve"> וכן א"א לומר דהוקשה להם אמאי אין הבהמה בחזקת טומאה כיון שמוקמינן לה בחזקת איסור, דהרי יש מ"ד בגמ' בכתובות </w:t>
      </w:r>
      <w:r w:rsidRPr="00A63D34">
        <w:rPr>
          <w:rStyle w:val="af7"/>
          <w:rFonts w:eastAsia="Guttman Hodes" w:hint="cs"/>
          <w:rtl/>
        </w:rPr>
        <w:t>(יג.)</w:t>
      </w:r>
      <w:r>
        <w:rPr>
          <w:rFonts w:hint="cs"/>
          <w:rtl/>
        </w:rPr>
        <w:t xml:space="preserve"> דחזקת האם לא מהני לבת. [ועיי"ש דכתב </w:t>
      </w:r>
      <w:r w:rsidRPr="00A63D34">
        <w:rPr>
          <w:rStyle w:val="af9"/>
          <w:rFonts w:hint="cs"/>
          <w:rtl/>
        </w:rPr>
        <w:t>הגרש"ר</w:t>
      </w:r>
      <w:r>
        <w:rPr>
          <w:rFonts w:hint="cs"/>
          <w:rtl/>
        </w:rPr>
        <w:t xml:space="preserve"> דאף למ"ד דמהני חזקת האם לבת, לא דמי להכא].</w:t>
      </w:r>
    </w:p>
    <w:p w14:paraId="07C2F239" w14:textId="77777777" w:rsidR="00852065" w:rsidRDefault="00852065" w:rsidP="006D6D32">
      <w:pPr>
        <w:pStyle w:val="a3"/>
        <w:rPr>
          <w:rtl/>
        </w:rPr>
      </w:pPr>
      <w:bookmarkStart w:id="748" w:name="_Toc522099658"/>
      <w:bookmarkStart w:id="749" w:name="_Toc19388972"/>
      <w:bookmarkStart w:id="750" w:name="_Toc19392469"/>
      <w:r>
        <w:rPr>
          <w:rFonts w:hint="cs"/>
          <w:rtl/>
        </w:rPr>
        <w:t>דברי הגרש"ר דס"ל לתוס' דטומאה הוא תולדה מהאיסור וא"א לחלק ביניהם</w:t>
      </w:r>
      <w:bookmarkEnd w:id="748"/>
      <w:bookmarkEnd w:id="749"/>
      <w:bookmarkEnd w:id="750"/>
    </w:p>
    <w:p w14:paraId="5CD32F60" w14:textId="77777777" w:rsidR="00852065" w:rsidRDefault="00852065" w:rsidP="00223668">
      <w:pPr>
        <w:pStyle w:val="a0"/>
        <w:rPr>
          <w:rtl/>
        </w:rPr>
      </w:pPr>
      <w:r>
        <w:rPr>
          <w:rFonts w:hint="cs"/>
          <w:rtl/>
        </w:rPr>
        <w:t xml:space="preserve">וכתב </w:t>
      </w:r>
      <w:r w:rsidRPr="008F5FE2">
        <w:rPr>
          <w:rStyle w:val="af9"/>
          <w:rFonts w:hint="cs"/>
          <w:rtl/>
        </w:rPr>
        <w:t>הגרש"ר</w:t>
      </w:r>
      <w:r>
        <w:rPr>
          <w:rFonts w:hint="cs"/>
          <w:rtl/>
        </w:rPr>
        <w:t xml:space="preserve"> </w:t>
      </w:r>
      <w:r w:rsidRPr="008F5FE2">
        <w:rPr>
          <w:rStyle w:val="af7"/>
          <w:rFonts w:eastAsia="Guttman Hodes" w:hint="cs"/>
          <w:rtl/>
        </w:rPr>
        <w:t xml:space="preserve">(זכרון שמואל </w:t>
      </w:r>
      <w:r>
        <w:rPr>
          <w:rStyle w:val="af7"/>
          <w:rFonts w:eastAsia="Guttman Hodes" w:hint="cs"/>
          <w:rtl/>
        </w:rPr>
        <w:t xml:space="preserve">סי' </w:t>
      </w:r>
      <w:r w:rsidRPr="008F5FE2">
        <w:rPr>
          <w:rStyle w:val="af7"/>
          <w:rFonts w:eastAsia="Guttman Hodes" w:hint="cs"/>
          <w:rtl/>
        </w:rPr>
        <w:t>ע"א ד"ה ולכאו')</w:t>
      </w:r>
      <w:r>
        <w:rPr>
          <w:rFonts w:hint="cs"/>
          <w:rtl/>
        </w:rPr>
        <w:t xml:space="preserve"> דהיה אפשר לבאר דס"ל </w:t>
      </w:r>
      <w:r w:rsidRPr="0057170C">
        <w:rPr>
          <w:rStyle w:val="af9"/>
          <w:rFonts w:hint="cs"/>
          <w:rtl/>
        </w:rPr>
        <w:t xml:space="preserve">להתוס' </w:t>
      </w:r>
      <w:r>
        <w:rPr>
          <w:rFonts w:hint="cs"/>
          <w:rtl/>
        </w:rPr>
        <w:t xml:space="preserve">דא"א לחלק בנבילה בין הדין טומאה לדין איסור, דהטומאה היא תולדה מהאיסור אכילה, וס"ל </w:t>
      </w:r>
      <w:r w:rsidRPr="00A577BE">
        <w:rPr>
          <w:rStyle w:val="af9"/>
          <w:rFonts w:hint="cs"/>
          <w:rtl/>
        </w:rPr>
        <w:t xml:space="preserve">להתוס' </w:t>
      </w:r>
      <w:r>
        <w:rPr>
          <w:rFonts w:hint="cs"/>
          <w:rtl/>
        </w:rPr>
        <w:t xml:space="preserve">שאם לא היה רוב, הייתה מטמאה כנבילה מדאו', אף בלא חזקת טומאה, [והוסיף </w:t>
      </w:r>
      <w:r w:rsidRPr="008F5FE2">
        <w:rPr>
          <w:rStyle w:val="af9"/>
          <w:rFonts w:hint="cs"/>
          <w:rtl/>
        </w:rPr>
        <w:t>הגרש"ר</w:t>
      </w:r>
      <w:r>
        <w:rPr>
          <w:rFonts w:hint="cs"/>
          <w:rtl/>
        </w:rPr>
        <w:t xml:space="preserve"> דבכה"ג הוא תולדה בדין, ול"ד לחזקת האם לבת].</w:t>
      </w:r>
    </w:p>
    <w:p w14:paraId="2CCD5855" w14:textId="77777777" w:rsidR="00852065" w:rsidRDefault="00852065" w:rsidP="006D6D32">
      <w:pPr>
        <w:pStyle w:val="a3"/>
        <w:rPr>
          <w:rtl/>
        </w:rPr>
      </w:pPr>
      <w:bookmarkStart w:id="751" w:name="_Toc522099659"/>
      <w:bookmarkStart w:id="752" w:name="_Toc19388973"/>
      <w:bookmarkStart w:id="753" w:name="_Toc19392470"/>
      <w:r>
        <w:rPr>
          <w:rFonts w:hint="cs"/>
          <w:rtl/>
        </w:rPr>
        <w:t>דחיית הגרש"ר דהפשטות דאיסור אכילה ודין טומאה הם ב' דינים שונים ואפשר לחלק בחזקה</w:t>
      </w:r>
      <w:bookmarkEnd w:id="751"/>
      <w:bookmarkEnd w:id="752"/>
      <w:bookmarkEnd w:id="753"/>
    </w:p>
    <w:p w14:paraId="5CC28247" w14:textId="77777777" w:rsidR="00852065" w:rsidRPr="0084660F" w:rsidRDefault="00852065" w:rsidP="00223668">
      <w:pPr>
        <w:pStyle w:val="a0"/>
        <w:rPr>
          <w:rFonts w:asciiTheme="minorHAnsi" w:hAnsiTheme="minorHAnsi"/>
        </w:rPr>
      </w:pPr>
      <w:r>
        <w:rPr>
          <w:rFonts w:hint="cs"/>
          <w:rtl/>
        </w:rPr>
        <w:t xml:space="preserve">אך כתב </w:t>
      </w:r>
      <w:r w:rsidRPr="00A63D34">
        <w:rPr>
          <w:rStyle w:val="af9"/>
          <w:rFonts w:hint="cs"/>
          <w:rtl/>
        </w:rPr>
        <w:t>הגרש"ר</w:t>
      </w:r>
      <w:r>
        <w:rPr>
          <w:rFonts w:hint="cs"/>
          <w:rtl/>
        </w:rPr>
        <w:t xml:space="preserve"> דמחודש לומר דהדין איסור אכילה והדין טומאה בנבילה, הם דין אחד, דהפשטות היא  דהאיסור אכילה בנבילה, ודין טומאה דנבילה הם ב' דינים שונים, ואינם בתולדה אחד מהשני, ורק במציאות לא שייך שתהיה נבילה לענין אכילה, דאותה המיתה שעל ידה היא אסורה באכילה, היא מטמאתה בנבילה, וכיון שמכריעים את הדין ע"י החזקה, אפשר לפסוק כל חזקה בפנ"ע, אף שבמציאות לא יתכן לחלק ביניהם, וכדמוכח מדעת המ"ד דחזקת האם לא מהני לבת, [ועיי"ש שהאריך בזה טובא].</w:t>
      </w:r>
    </w:p>
    <w:p w14:paraId="2D0CCFFC" w14:textId="77777777" w:rsidR="00852065" w:rsidRDefault="00852065" w:rsidP="00223668">
      <w:pPr>
        <w:pStyle w:val="a0"/>
        <w:rPr>
          <w:rtl/>
        </w:rPr>
        <w:sectPr w:rsidR="00852065" w:rsidSect="002B676A">
          <w:type w:val="continuous"/>
          <w:pgSz w:w="11906" w:h="16838"/>
          <w:pgMar w:top="720" w:right="720" w:bottom="720" w:left="720" w:header="283" w:footer="283" w:gutter="0"/>
          <w:cols w:num="2" w:space="567"/>
          <w:bidi/>
          <w:rtlGutter/>
          <w:docGrid w:linePitch="299"/>
        </w:sectPr>
      </w:pPr>
    </w:p>
    <w:p w14:paraId="5F93C97E" w14:textId="77777777" w:rsidR="00852065" w:rsidRDefault="00852065" w:rsidP="00223668">
      <w:pPr>
        <w:pStyle w:val="a0"/>
        <w:rPr>
          <w:rtl/>
        </w:rPr>
        <w:sectPr w:rsidR="00852065" w:rsidSect="00DC4DE5">
          <w:type w:val="continuous"/>
          <w:pgSz w:w="11906" w:h="16838"/>
          <w:pgMar w:top="720" w:right="720" w:bottom="720" w:left="720" w:header="283" w:footer="283" w:gutter="0"/>
          <w:cols w:num="2" w:space="567"/>
          <w:bidi/>
          <w:rtlGutter/>
          <w:docGrid w:linePitch="299"/>
        </w:sectPr>
      </w:pPr>
    </w:p>
    <w:p w14:paraId="43A5C389" w14:textId="77777777" w:rsidR="002B676A" w:rsidRDefault="002B676A" w:rsidP="00852065">
      <w:pPr>
        <w:tabs>
          <w:tab w:val="left" w:pos="1163"/>
        </w:tabs>
        <w:spacing w:line="240" w:lineRule="auto"/>
        <w:ind w:left="0"/>
        <w:jc w:val="center"/>
        <w:rPr>
          <w:rFonts w:ascii="Guttman Hodes" w:eastAsia="Guttman Hodes" w:hAnsi="Guttman Hodes" w:cs="Guttman Hodes"/>
          <w:noProof/>
          <w:sz w:val="18"/>
          <w:szCs w:val="18"/>
        </w:rPr>
        <w:sectPr w:rsidR="002B676A" w:rsidSect="00852065">
          <w:type w:val="continuous"/>
          <w:pgSz w:w="11906" w:h="16838"/>
          <w:pgMar w:top="720" w:right="720" w:bottom="720" w:left="720" w:header="283" w:footer="283" w:gutter="0"/>
          <w:cols w:space="567"/>
          <w:bidi/>
          <w:rtlGutter/>
          <w:docGrid w:linePitch="299"/>
        </w:sectPr>
      </w:pPr>
    </w:p>
    <w:p w14:paraId="494B33AA" w14:textId="77777777" w:rsidR="00852065" w:rsidRDefault="004B65FC" w:rsidP="00852065">
      <w:pPr>
        <w:tabs>
          <w:tab w:val="left" w:pos="1163"/>
        </w:tabs>
        <w:spacing w:line="240" w:lineRule="auto"/>
        <w:ind w:left="0"/>
        <w:jc w:val="center"/>
      </w:pPr>
      <w:r>
        <w:rPr>
          <w:rFonts w:ascii="Guttman Hodes" w:eastAsia="Guttman Hodes" w:hAnsi="Guttman Hodes" w:cs="Guttman Hodes"/>
          <w:noProof/>
          <w:sz w:val="18"/>
          <w:szCs w:val="18"/>
        </w:rPr>
        <w:pict w14:anchorId="27D5ABBA">
          <v:shape id="_x0000_i1026" type="#_x0000_t75" style="width:409.4pt;height:4.45pt" o:hrpct="0" o:hralign="center" o:hr="t">
            <v:imagedata r:id="rId21" o:title="BD14845_"/>
          </v:shape>
        </w:pict>
      </w:r>
    </w:p>
    <w:p w14:paraId="6509D2E1" w14:textId="77777777" w:rsidR="00852065" w:rsidRDefault="00852065" w:rsidP="00852065">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hint="cs"/>
          <w:noProof/>
          <w:sz w:val="18"/>
          <w:szCs w:val="18"/>
          <w:rtl/>
        </w:rPr>
        <w:t xml:space="preserve"> </w:t>
      </w:r>
    </w:p>
    <w:p w14:paraId="44EBDE93" w14:textId="77777777" w:rsidR="00852065" w:rsidRDefault="00852065" w:rsidP="00852065">
      <w:pPr>
        <w:pStyle w:val="2"/>
        <w:rPr>
          <w:rtl/>
        </w:rPr>
      </w:pPr>
      <w:bookmarkStart w:id="754" w:name="_Toc513810617"/>
      <w:bookmarkStart w:id="755" w:name="_Toc513931148"/>
      <w:bookmarkStart w:id="756" w:name="_Toc513931804"/>
      <w:bookmarkStart w:id="757" w:name="_Toc516518458"/>
      <w:bookmarkStart w:id="758" w:name="_Toc516738455"/>
      <w:bookmarkStart w:id="759" w:name="_Toc516739877"/>
      <w:bookmarkStart w:id="760" w:name="_Toc519088399"/>
      <w:bookmarkStart w:id="761" w:name="_Toc519239394"/>
      <w:bookmarkStart w:id="762" w:name="_Toc519418652"/>
      <w:bookmarkStart w:id="763" w:name="_Toc522028167"/>
      <w:bookmarkStart w:id="764" w:name="_Toc522086222"/>
      <w:bookmarkStart w:id="765" w:name="_Toc522099667"/>
      <w:bookmarkStart w:id="766" w:name="_Toc19435161"/>
      <w:r w:rsidRPr="0075165B">
        <w:rPr>
          <w:rFonts w:hint="cs"/>
          <w:rtl/>
        </w:rPr>
        <w:t>מראי מקומות וביאורים על הרמב"ם</w:t>
      </w:r>
      <w:bookmarkStart w:id="767" w:name="_Toc519088400"/>
      <w:bookmarkStart w:id="768" w:name="_Toc519239395"/>
      <w:bookmarkStart w:id="769" w:name="_Toc519418653"/>
      <w:bookmarkEnd w:id="754"/>
      <w:bookmarkEnd w:id="755"/>
      <w:bookmarkEnd w:id="756"/>
      <w:bookmarkEnd w:id="757"/>
      <w:bookmarkEnd w:id="758"/>
      <w:bookmarkEnd w:id="759"/>
      <w:bookmarkEnd w:id="760"/>
      <w:bookmarkEnd w:id="761"/>
      <w:bookmarkEnd w:id="762"/>
      <w:bookmarkEnd w:id="763"/>
      <w:bookmarkEnd w:id="764"/>
      <w:bookmarkEnd w:id="765"/>
      <w:bookmarkEnd w:id="766"/>
    </w:p>
    <w:p w14:paraId="27C68944" w14:textId="77777777" w:rsidR="00852065" w:rsidRPr="00427B01" w:rsidRDefault="00852065" w:rsidP="006D6D32">
      <w:pPr>
        <w:pStyle w:val="a3"/>
        <w:rPr>
          <w:rtl/>
        </w:rPr>
      </w:pPr>
    </w:p>
    <w:p w14:paraId="068CC3B5" w14:textId="77777777" w:rsidR="00852065" w:rsidRDefault="00852065" w:rsidP="00852065">
      <w:pPr>
        <w:pStyle w:val="2"/>
        <w:rPr>
          <w:rtl/>
        </w:rPr>
        <w:sectPr w:rsidR="00852065" w:rsidSect="002B676A">
          <w:pgSz w:w="11906" w:h="16838"/>
          <w:pgMar w:top="720" w:right="720" w:bottom="720" w:left="720" w:header="283" w:footer="283" w:gutter="0"/>
          <w:cols w:space="567"/>
          <w:bidi/>
          <w:rtlGutter/>
          <w:docGrid w:linePitch="299"/>
        </w:sectPr>
      </w:pPr>
    </w:p>
    <w:p w14:paraId="613CAD9A" w14:textId="77777777" w:rsidR="00852065" w:rsidRDefault="00852065" w:rsidP="00BF39B2">
      <w:pPr>
        <w:pStyle w:val="1"/>
      </w:pPr>
      <w:bookmarkStart w:id="770" w:name="_Toc522028168"/>
      <w:bookmarkStart w:id="771" w:name="_Toc522086223"/>
      <w:bookmarkStart w:id="772" w:name="_Toc522099668"/>
      <w:bookmarkStart w:id="773" w:name="_Toc19388974"/>
      <w:bookmarkStart w:id="774" w:name="_Toc19392471"/>
      <w:r>
        <w:rPr>
          <w:rFonts w:hint="cs"/>
          <w:rtl/>
        </w:rPr>
        <w:t>דברי</w:t>
      </w:r>
      <w:r w:rsidRPr="0075165B">
        <w:rPr>
          <w:rFonts w:hint="cs"/>
          <w:rtl/>
        </w:rPr>
        <w:t xml:space="preserve"> הרמב"ם </w:t>
      </w:r>
      <w:bookmarkEnd w:id="767"/>
      <w:bookmarkEnd w:id="768"/>
      <w:bookmarkEnd w:id="769"/>
      <w:r>
        <w:rPr>
          <w:rFonts w:hint="cs"/>
          <w:rtl/>
        </w:rPr>
        <w:t>דבלא בדק ה"ז נבילה</w:t>
      </w:r>
      <w:bookmarkEnd w:id="770"/>
      <w:bookmarkEnd w:id="771"/>
      <w:bookmarkEnd w:id="772"/>
      <w:bookmarkEnd w:id="773"/>
      <w:bookmarkEnd w:id="774"/>
    </w:p>
    <w:p w14:paraId="6FDCC548" w14:textId="77777777" w:rsidR="00852065" w:rsidRDefault="00852065" w:rsidP="006D6D32">
      <w:pPr>
        <w:pStyle w:val="a3"/>
        <w:rPr>
          <w:rtl/>
        </w:rPr>
      </w:pPr>
      <w:bookmarkStart w:id="775" w:name="_Toc522099669"/>
      <w:bookmarkStart w:id="776" w:name="_Toc19388975"/>
      <w:bookmarkStart w:id="777" w:name="_Toc19392472"/>
      <w:r>
        <w:rPr>
          <w:rFonts w:hint="cs"/>
          <w:rtl/>
        </w:rPr>
        <w:t>דברי הרמב"ם דבדלא בדק בסימנים הוי נבילה אף שהשוחט זריז</w:t>
      </w:r>
      <w:bookmarkEnd w:id="775"/>
      <w:bookmarkEnd w:id="776"/>
      <w:bookmarkEnd w:id="777"/>
    </w:p>
    <w:p w14:paraId="03896148" w14:textId="77777777" w:rsidR="00852065" w:rsidRDefault="00852065" w:rsidP="00223668">
      <w:pPr>
        <w:pStyle w:val="a0"/>
        <w:rPr>
          <w:rtl/>
        </w:rPr>
      </w:pPr>
      <w:bookmarkStart w:id="778" w:name="_Ref522099767"/>
      <w:r>
        <w:rPr>
          <w:rFonts w:hint="cs"/>
          <w:rtl/>
        </w:rPr>
        <w:t xml:space="preserve">כתב </w:t>
      </w:r>
      <w:r w:rsidRPr="00A63D34">
        <w:rPr>
          <w:rStyle w:val="af9"/>
          <w:rFonts w:hint="cs"/>
          <w:rtl/>
        </w:rPr>
        <w:t>הרמב"ם</w:t>
      </w:r>
      <w:r>
        <w:rPr>
          <w:rFonts w:hint="cs"/>
          <w:rtl/>
        </w:rPr>
        <w:t xml:space="preserve"> </w:t>
      </w:r>
      <w:r w:rsidRPr="00A63D34">
        <w:rPr>
          <w:rStyle w:val="af7"/>
          <w:rFonts w:eastAsia="Guttman Hodes" w:hint="cs"/>
          <w:rtl/>
        </w:rPr>
        <w:t>(שחיטה א' י"ב)</w:t>
      </w:r>
      <w:r>
        <w:rPr>
          <w:rFonts w:hint="cs"/>
          <w:rtl/>
        </w:rPr>
        <w:t xml:space="preserve"> דכל שלא בדק את הסימנים אחר השחיטה ונחתך הראש לפני שנבדק, הרי היא זו נבילה, אף אם השוחט הוא זריז ומהיר.</w:t>
      </w:r>
      <w:bookmarkEnd w:id="778"/>
    </w:p>
    <w:p w14:paraId="4865C007" w14:textId="77777777" w:rsidR="00852065" w:rsidRDefault="00852065" w:rsidP="006D6D32">
      <w:pPr>
        <w:pStyle w:val="a3"/>
        <w:rPr>
          <w:rtl/>
        </w:rPr>
      </w:pPr>
      <w:bookmarkStart w:id="779" w:name="_Toc522099670"/>
      <w:bookmarkStart w:id="780" w:name="_Toc19388976"/>
      <w:bookmarkStart w:id="781" w:name="_Toc19392473"/>
      <w:r>
        <w:rPr>
          <w:rFonts w:hint="cs"/>
          <w:rtl/>
        </w:rPr>
        <w:t>הוספת הרמב"ם דהבהמה בחזקת איסור</w:t>
      </w:r>
      <w:bookmarkEnd w:id="779"/>
      <w:bookmarkEnd w:id="780"/>
      <w:bookmarkEnd w:id="781"/>
    </w:p>
    <w:p w14:paraId="0284A137" w14:textId="77777777" w:rsidR="00852065" w:rsidRPr="00C8462E" w:rsidRDefault="00852065" w:rsidP="00223668">
      <w:pPr>
        <w:pStyle w:val="a0"/>
        <w:rPr>
          <w:rStyle w:val="afb"/>
          <w:rtl/>
        </w:rPr>
      </w:pPr>
      <w:r>
        <w:rPr>
          <w:rFonts w:hint="cs"/>
          <w:rtl/>
        </w:rPr>
        <w:t xml:space="preserve">והוסיף </w:t>
      </w:r>
      <w:r w:rsidRPr="00EF6785">
        <w:rPr>
          <w:rStyle w:val="af9"/>
          <w:rFonts w:hint="cs"/>
          <w:rtl/>
        </w:rPr>
        <w:t>הרמב"ם</w:t>
      </w:r>
      <w:r>
        <w:rPr>
          <w:rFonts w:hint="cs"/>
          <w:rtl/>
        </w:rPr>
        <w:t xml:space="preserve"> </w:t>
      </w:r>
      <w:r w:rsidRPr="00EF6785">
        <w:rPr>
          <w:rStyle w:val="af7"/>
          <w:rFonts w:eastAsia="Guttman Hodes" w:hint="cs"/>
          <w:rtl/>
        </w:rPr>
        <w:t xml:space="preserve">(שחיטה א' י"ג) </w:t>
      </w:r>
      <w:r>
        <w:rPr>
          <w:rFonts w:hint="cs"/>
          <w:rtl/>
        </w:rPr>
        <w:t xml:space="preserve">דכל בהמה בחייה בחזקת איסור עומדת, עד שיודע בודאי שנשחטה שחיטה כשרה. </w:t>
      </w:r>
      <w:r w:rsidRPr="00C8462E">
        <w:rPr>
          <w:rStyle w:val="afb"/>
          <w:rFonts w:hint="cs"/>
          <w:rtl/>
        </w:rPr>
        <w:t>[בגי' הדפוסים הוא הלכה בפנ"ע וגרסינן "כל בהמה", ו</w:t>
      </w:r>
      <w:r>
        <w:rPr>
          <w:rStyle w:val="afb"/>
          <w:rFonts w:hint="cs"/>
          <w:rtl/>
        </w:rPr>
        <w:t>ב</w:t>
      </w:r>
      <w:r w:rsidRPr="00C8462E">
        <w:rPr>
          <w:rStyle w:val="afb"/>
          <w:rFonts w:hint="cs"/>
          <w:rtl/>
        </w:rPr>
        <w:t>מהדו' פרנקל הוא המשך להי"ב וגרסינן "שכל בהמה"].</w:t>
      </w:r>
    </w:p>
    <w:p w14:paraId="35297833" w14:textId="77777777" w:rsidR="00852065" w:rsidRDefault="00852065" w:rsidP="00BF39B2">
      <w:pPr>
        <w:pStyle w:val="1"/>
        <w:rPr>
          <w:rtl/>
        </w:rPr>
      </w:pPr>
      <w:bookmarkStart w:id="782" w:name="_Toc522028169"/>
      <w:bookmarkStart w:id="783" w:name="_Toc522086224"/>
      <w:bookmarkStart w:id="784" w:name="_Toc522099671"/>
      <w:bookmarkStart w:id="785" w:name="_Toc19388977"/>
      <w:bookmarkStart w:id="786" w:name="_Toc19392474"/>
      <w:r>
        <w:rPr>
          <w:rFonts w:hint="cs"/>
          <w:rtl/>
        </w:rPr>
        <w:t>בביאור הטעם דהוי נבילה לדעת הרמב"ם</w:t>
      </w:r>
      <w:bookmarkEnd w:id="782"/>
      <w:bookmarkEnd w:id="783"/>
      <w:bookmarkEnd w:id="784"/>
      <w:bookmarkEnd w:id="785"/>
      <w:bookmarkEnd w:id="786"/>
    </w:p>
    <w:p w14:paraId="12F4FF5E" w14:textId="77777777" w:rsidR="00852065" w:rsidRPr="00063E4E" w:rsidRDefault="00852065" w:rsidP="006D6D32">
      <w:pPr>
        <w:pStyle w:val="a3"/>
        <w:rPr>
          <w:rtl/>
        </w:rPr>
      </w:pPr>
      <w:bookmarkStart w:id="787" w:name="_Toc522099672"/>
      <w:bookmarkStart w:id="788" w:name="_Toc19388978"/>
      <w:bookmarkStart w:id="789" w:name="_Toc19392475"/>
      <w:r>
        <w:rPr>
          <w:rFonts w:hint="cs"/>
          <w:rtl/>
        </w:rPr>
        <w:t>דברי הכס"מ דהרמב"ם פסק לחומרא כברייתא דמטמאה בנבילה</w:t>
      </w:r>
      <w:bookmarkEnd w:id="787"/>
      <w:bookmarkEnd w:id="788"/>
      <w:bookmarkEnd w:id="789"/>
    </w:p>
    <w:p w14:paraId="5BF58486" w14:textId="77777777" w:rsidR="00852065" w:rsidRDefault="00852065" w:rsidP="00223668">
      <w:pPr>
        <w:pStyle w:val="a0"/>
        <w:rPr>
          <w:rtl/>
        </w:rPr>
      </w:pPr>
      <w:bookmarkStart w:id="790" w:name="_Ref522110533"/>
      <w:r>
        <w:rPr>
          <w:rFonts w:hint="cs"/>
          <w:rtl/>
        </w:rPr>
        <w:t xml:space="preserve">וכתב </w:t>
      </w:r>
      <w:r w:rsidRPr="00F00585">
        <w:rPr>
          <w:rStyle w:val="af9"/>
          <w:rFonts w:hint="cs"/>
          <w:rtl/>
        </w:rPr>
        <w:t>הכס"מ</w:t>
      </w:r>
      <w:r>
        <w:rPr>
          <w:rFonts w:hint="cs"/>
          <w:rtl/>
        </w:rPr>
        <w:t xml:space="preserve"> </w:t>
      </w:r>
      <w:r w:rsidRPr="00F00585">
        <w:rPr>
          <w:rStyle w:val="af7"/>
          <w:rFonts w:eastAsia="Guttman Hodes" w:hint="cs"/>
          <w:rtl/>
        </w:rPr>
        <w:t>(שחיטה א' י"ב)</w:t>
      </w:r>
      <w:r>
        <w:rPr>
          <w:rFonts w:hint="cs"/>
          <w:rtl/>
        </w:rPr>
        <w:t xml:space="preserve"> </w:t>
      </w:r>
      <w:r w:rsidRPr="00F00585">
        <w:rPr>
          <w:rStyle w:val="af9"/>
          <w:rFonts w:hint="cs"/>
          <w:rtl/>
        </w:rPr>
        <w:t>דהרמב"ם</w:t>
      </w:r>
      <w:r>
        <w:rPr>
          <w:rFonts w:hint="cs"/>
          <w:rtl/>
        </w:rPr>
        <w:t xml:space="preserve"> פסק כברייתא דמטמאה כנבילה</w:t>
      </w:r>
      <w:r w:rsidRPr="006F417B">
        <w:rPr>
          <w:rFonts w:hint="cs"/>
          <w:rtl/>
        </w:rPr>
        <w:t xml:space="preserve"> </w:t>
      </w:r>
      <w:r>
        <w:rPr>
          <w:rFonts w:hint="cs"/>
          <w:rtl/>
        </w:rPr>
        <w:t xml:space="preserve">לחומרא, ועי' במ"ש </w:t>
      </w:r>
      <w:r w:rsidRPr="00EB35A7">
        <w:rPr>
          <w:rStyle w:val="af9"/>
          <w:rFonts w:hint="cs"/>
          <w:rtl/>
        </w:rPr>
        <w:t>הפרמ"ג</w:t>
      </w:r>
      <w:r>
        <w:rPr>
          <w:rFonts w:hint="cs"/>
          <w:rtl/>
        </w:rPr>
        <w:t xml:space="preserve"> </w:t>
      </w:r>
      <w:r w:rsidRPr="000E790C">
        <w:rPr>
          <w:rStyle w:val="af7"/>
          <w:rFonts w:eastAsia="Guttman Hodes" w:hint="cs"/>
          <w:rtl/>
        </w:rPr>
        <w:t xml:space="preserve">(עי' אות </w:t>
      </w:r>
      <w:r w:rsidRPr="000E790C">
        <w:rPr>
          <w:rStyle w:val="af7"/>
          <w:rFonts w:eastAsia="Guttman Hodes"/>
          <w:rtl/>
        </w:rPr>
        <w:fldChar w:fldCharType="begin"/>
      </w:r>
      <w:r w:rsidRPr="000E790C">
        <w:rPr>
          <w:rStyle w:val="af7"/>
          <w:rFonts w:eastAsia="Guttman Hodes"/>
          <w:rtl/>
        </w:rPr>
        <w:instrText xml:space="preserve"> </w:instrText>
      </w:r>
      <w:r w:rsidRPr="000E790C">
        <w:rPr>
          <w:rStyle w:val="af7"/>
          <w:rFonts w:eastAsia="Guttman Hodes" w:hint="cs"/>
        </w:rPr>
        <w:instrText>REF</w:instrText>
      </w:r>
      <w:r w:rsidRPr="000E790C">
        <w:rPr>
          <w:rStyle w:val="af7"/>
          <w:rFonts w:eastAsia="Guttman Hodes" w:hint="cs"/>
          <w:rtl/>
        </w:rPr>
        <w:instrText xml:space="preserve"> _</w:instrText>
      </w:r>
      <w:r w:rsidRPr="000E790C">
        <w:rPr>
          <w:rStyle w:val="af7"/>
          <w:rFonts w:eastAsia="Guttman Hodes" w:hint="cs"/>
        </w:rPr>
        <w:instrText>Ref522110261 \r \h</w:instrText>
      </w:r>
      <w:r w:rsidRPr="000E790C">
        <w:rPr>
          <w:rStyle w:val="af7"/>
          <w:rFonts w:eastAsia="Guttman Hodes"/>
          <w:rtl/>
        </w:rPr>
        <w:instrText xml:space="preserve"> </w:instrText>
      </w:r>
      <w:r w:rsidRPr="000E790C">
        <w:rPr>
          <w:rStyle w:val="af7"/>
          <w:rFonts w:eastAsia="Guttman Hodes"/>
          <w:rtl/>
        </w:rPr>
      </w:r>
      <w:r w:rsidRPr="000E790C">
        <w:rPr>
          <w:rStyle w:val="af7"/>
          <w:rFonts w:eastAsia="Guttman Hodes"/>
          <w:rtl/>
        </w:rPr>
        <w:fldChar w:fldCharType="separate"/>
      </w:r>
      <w:r w:rsidR="00345400">
        <w:rPr>
          <w:rStyle w:val="af7"/>
          <w:rFonts w:eastAsia="Guttman Hodes"/>
          <w:cs/>
        </w:rPr>
        <w:t>‎</w:t>
      </w:r>
      <w:r w:rsidR="00345400">
        <w:rPr>
          <w:rStyle w:val="af7"/>
          <w:rFonts w:eastAsia="Guttman Hodes"/>
          <w:rtl/>
        </w:rPr>
        <w:t>קיד)</w:t>
      </w:r>
      <w:r w:rsidRPr="000E790C">
        <w:rPr>
          <w:rStyle w:val="af7"/>
          <w:rFonts w:eastAsia="Guttman Hodes"/>
          <w:rtl/>
        </w:rPr>
        <w:fldChar w:fldCharType="end"/>
      </w:r>
      <w:r>
        <w:rPr>
          <w:rFonts w:hint="cs"/>
          <w:rtl/>
        </w:rPr>
        <w:t>.</w:t>
      </w:r>
      <w:bookmarkEnd w:id="790"/>
    </w:p>
    <w:p w14:paraId="74E9FE8A" w14:textId="77777777" w:rsidR="00852065" w:rsidRPr="00BC66FF" w:rsidRDefault="00852065" w:rsidP="006D6D32">
      <w:pPr>
        <w:pStyle w:val="a3"/>
      </w:pPr>
      <w:bookmarkStart w:id="791" w:name="_Toc522099673"/>
      <w:bookmarkStart w:id="792" w:name="_Toc19388979"/>
      <w:bookmarkStart w:id="793" w:name="_Toc19392476"/>
      <w:r>
        <w:rPr>
          <w:rFonts w:hint="cs"/>
          <w:rtl/>
        </w:rPr>
        <w:t>דברי הכס"מ דהטעם של הברייתא הוא המסתבר דהיא בחזקת איסור ועכשיו מתה</w:t>
      </w:r>
      <w:bookmarkEnd w:id="791"/>
      <w:bookmarkEnd w:id="792"/>
      <w:bookmarkEnd w:id="793"/>
    </w:p>
    <w:p w14:paraId="4FD6E99F" w14:textId="77777777" w:rsidR="00852065" w:rsidRDefault="00852065" w:rsidP="00223668">
      <w:pPr>
        <w:pStyle w:val="a0"/>
        <w:rPr>
          <w:rtl/>
        </w:rPr>
      </w:pPr>
      <w:bookmarkStart w:id="794" w:name="_Ref522110515"/>
      <w:r>
        <w:rPr>
          <w:rFonts w:hint="cs"/>
          <w:rtl/>
        </w:rPr>
        <w:t xml:space="preserve">ועוד הוסיף </w:t>
      </w:r>
      <w:r w:rsidRPr="00BC66FF">
        <w:rPr>
          <w:rStyle w:val="af9"/>
          <w:rFonts w:hint="cs"/>
          <w:rtl/>
        </w:rPr>
        <w:t>הכס"מ</w:t>
      </w:r>
      <w:r>
        <w:rPr>
          <w:rFonts w:hint="cs"/>
          <w:rtl/>
        </w:rPr>
        <w:t xml:space="preserve"> דהטעם של הברייתא דמטמאה כנבילה, הוא מסתבר כיון דהיא בחזקת איסור ועכשיו היא מתה.</w:t>
      </w:r>
      <w:bookmarkEnd w:id="794"/>
    </w:p>
    <w:p w14:paraId="02CD4B69" w14:textId="77777777" w:rsidR="00852065" w:rsidRPr="00A52970" w:rsidRDefault="00852065" w:rsidP="006D6D32">
      <w:pPr>
        <w:pStyle w:val="a3"/>
      </w:pPr>
      <w:bookmarkStart w:id="795" w:name="_Toc522099674"/>
      <w:bookmarkStart w:id="796" w:name="_Toc19388980"/>
      <w:bookmarkStart w:id="797" w:name="_Toc19392477"/>
      <w:r>
        <w:rPr>
          <w:rFonts w:hint="cs"/>
          <w:rtl/>
        </w:rPr>
        <w:t>דברי הכס"מ והלח"מ דכוונת הרמב"ם דהחזקת איסור הוא הטעם דמטמאה בנבילה</w:t>
      </w:r>
      <w:bookmarkEnd w:id="795"/>
      <w:bookmarkEnd w:id="796"/>
      <w:bookmarkEnd w:id="797"/>
    </w:p>
    <w:p w14:paraId="18D2BC09" w14:textId="77777777" w:rsidR="00852065" w:rsidRDefault="00852065" w:rsidP="00223668">
      <w:pPr>
        <w:pStyle w:val="a0"/>
        <w:rPr>
          <w:rtl/>
        </w:rPr>
      </w:pPr>
      <w:r>
        <w:rPr>
          <w:rFonts w:hint="cs"/>
          <w:rtl/>
        </w:rPr>
        <w:t xml:space="preserve">וכתב הכס"מ דלכן סמך </w:t>
      </w:r>
      <w:r w:rsidRPr="00BC66FF">
        <w:rPr>
          <w:rStyle w:val="af9"/>
          <w:rFonts w:hint="cs"/>
          <w:rtl/>
        </w:rPr>
        <w:t>הרמב"ם</w:t>
      </w:r>
      <w:r>
        <w:rPr>
          <w:rFonts w:hint="cs"/>
          <w:rtl/>
        </w:rPr>
        <w:t xml:space="preserve"> לדין דמטמאה כנבילה, את הדין דכל בהמה בחייה בחזקת איסור עומדת, דזהו הטעם דמטמאה כנבילה. </w:t>
      </w:r>
      <w:r w:rsidRPr="009B6CCC">
        <w:rPr>
          <w:rStyle w:val="afb"/>
          <w:rFonts w:hint="cs"/>
          <w:rtl/>
        </w:rPr>
        <w:t xml:space="preserve">[ולכאו' הוצרך </w:t>
      </w:r>
      <w:r w:rsidRPr="00B45D59">
        <w:rPr>
          <w:rStyle w:val="affa"/>
          <w:rFonts w:hint="cs"/>
          <w:rtl/>
        </w:rPr>
        <w:t>הכס"מ</w:t>
      </w:r>
      <w:r w:rsidRPr="009B6CCC">
        <w:rPr>
          <w:rStyle w:val="afb"/>
          <w:rFonts w:hint="cs"/>
          <w:rtl/>
        </w:rPr>
        <w:t xml:space="preserve"> לבאר כן דגרס דהי"ג הוא הלכה בפנ"ע ול"ג "שכל" בהמה וכו', ולגי' מהדו' פרנקל לכאו' הוא מפורש </w:t>
      </w:r>
      <w:r w:rsidRPr="00B45D59">
        <w:rPr>
          <w:rStyle w:val="affa"/>
          <w:rFonts w:hint="cs"/>
          <w:rtl/>
        </w:rPr>
        <w:t>ברמב"ם</w:t>
      </w:r>
      <w:r w:rsidRPr="009B6CCC">
        <w:rPr>
          <w:rStyle w:val="afb"/>
          <w:rFonts w:hint="cs"/>
          <w:rtl/>
        </w:rPr>
        <w:t xml:space="preserve"> שזהו הטעם].</w:t>
      </w:r>
      <w:r>
        <w:rPr>
          <w:rFonts w:hint="cs"/>
          <w:rtl/>
        </w:rPr>
        <w:t xml:space="preserve"> וכ"כ </w:t>
      </w:r>
      <w:r w:rsidRPr="00EF6785">
        <w:rPr>
          <w:rStyle w:val="af9"/>
          <w:rFonts w:hint="cs"/>
          <w:rtl/>
        </w:rPr>
        <w:t>הלח"מ</w:t>
      </w:r>
      <w:r>
        <w:rPr>
          <w:rFonts w:hint="cs"/>
          <w:rtl/>
        </w:rPr>
        <w:t xml:space="preserve"> </w:t>
      </w:r>
      <w:r w:rsidRPr="00A52970">
        <w:rPr>
          <w:rStyle w:val="af7"/>
          <w:rFonts w:eastAsia="Guttman Hodes" w:hint="cs"/>
          <w:rtl/>
        </w:rPr>
        <w:t>(שחיטה א' י"ג)</w:t>
      </w:r>
      <w:r>
        <w:rPr>
          <w:rFonts w:hint="cs"/>
          <w:rtl/>
        </w:rPr>
        <w:t xml:space="preserve"> דיתכן דדברי </w:t>
      </w:r>
      <w:r w:rsidRPr="00EF6785">
        <w:rPr>
          <w:rStyle w:val="af9"/>
          <w:rFonts w:hint="cs"/>
          <w:rtl/>
        </w:rPr>
        <w:t>הרמב"ם</w:t>
      </w:r>
      <w:r>
        <w:rPr>
          <w:rFonts w:hint="cs"/>
          <w:rtl/>
        </w:rPr>
        <w:t xml:space="preserve"> </w:t>
      </w:r>
      <w:r w:rsidRPr="00A52970">
        <w:rPr>
          <w:rStyle w:val="af7"/>
          <w:rFonts w:eastAsia="Guttman Hodes" w:hint="cs"/>
          <w:rtl/>
        </w:rPr>
        <w:t>(הי"ג)</w:t>
      </w:r>
      <w:r>
        <w:rPr>
          <w:rFonts w:hint="cs"/>
          <w:rtl/>
        </w:rPr>
        <w:t xml:space="preserve"> דבחזקת איסור עומדת, הם הטעם למה שכתב</w:t>
      </w:r>
      <w:r w:rsidRPr="00EF6785">
        <w:rPr>
          <w:rStyle w:val="af9"/>
          <w:rFonts w:hint="cs"/>
          <w:rtl/>
        </w:rPr>
        <w:t xml:space="preserve"> הרמב"ם</w:t>
      </w:r>
      <w:r>
        <w:rPr>
          <w:rFonts w:hint="cs"/>
          <w:rtl/>
        </w:rPr>
        <w:t xml:space="preserve"> </w:t>
      </w:r>
      <w:r w:rsidRPr="00A52970">
        <w:rPr>
          <w:rStyle w:val="af7"/>
          <w:rFonts w:eastAsia="Guttman Hodes" w:hint="cs"/>
          <w:rtl/>
        </w:rPr>
        <w:t>(הי"ב)</w:t>
      </w:r>
      <w:r>
        <w:rPr>
          <w:rFonts w:hint="cs"/>
          <w:rtl/>
        </w:rPr>
        <w:t xml:space="preserve"> דמטמאה כנבילה, וכתב </w:t>
      </w:r>
      <w:r w:rsidRPr="00EF6785">
        <w:rPr>
          <w:rStyle w:val="af9"/>
          <w:rFonts w:hint="cs"/>
          <w:rtl/>
        </w:rPr>
        <w:t>הלח"מ</w:t>
      </w:r>
      <w:r>
        <w:rPr>
          <w:rFonts w:hint="cs"/>
          <w:rtl/>
        </w:rPr>
        <w:t xml:space="preserve"> דהגירסא היא </w:t>
      </w:r>
      <w:r w:rsidRPr="005B27CC">
        <w:rPr>
          <w:rStyle w:val="afb"/>
          <w:rFonts w:hint="cs"/>
          <w:rtl/>
        </w:rPr>
        <w:t>[כמהדו' פרנקל]</w:t>
      </w:r>
      <w:r>
        <w:rPr>
          <w:rFonts w:hint="cs"/>
          <w:rtl/>
        </w:rPr>
        <w:t xml:space="preserve"> "שכל" בהמה בחייה וכו'.</w:t>
      </w:r>
    </w:p>
    <w:p w14:paraId="67846449" w14:textId="77777777" w:rsidR="00852065" w:rsidRPr="00A52970" w:rsidRDefault="00852065" w:rsidP="006D6D32">
      <w:pPr>
        <w:pStyle w:val="a3"/>
      </w:pPr>
      <w:bookmarkStart w:id="798" w:name="_Toc522099675"/>
      <w:bookmarkStart w:id="799" w:name="_Toc19388981"/>
      <w:bookmarkStart w:id="800" w:name="_Toc19392478"/>
      <w:r>
        <w:rPr>
          <w:rFonts w:hint="cs"/>
          <w:rtl/>
        </w:rPr>
        <w:t>קושית הלח"מ דאף לר"א היא בחזקת איסור ואפ"ה ס"ל דאינה מטמאה בנבילה</w:t>
      </w:r>
      <w:bookmarkEnd w:id="798"/>
      <w:bookmarkEnd w:id="799"/>
      <w:bookmarkEnd w:id="800"/>
    </w:p>
    <w:p w14:paraId="5D082C25" w14:textId="77777777" w:rsidR="00852065" w:rsidRDefault="00852065" w:rsidP="00223668">
      <w:pPr>
        <w:pStyle w:val="a0"/>
        <w:rPr>
          <w:rtl/>
        </w:rPr>
      </w:pPr>
      <w:r>
        <w:rPr>
          <w:rFonts w:hint="cs"/>
          <w:rtl/>
        </w:rPr>
        <w:t xml:space="preserve">אך הקשה </w:t>
      </w:r>
      <w:r w:rsidRPr="00F00585">
        <w:rPr>
          <w:rStyle w:val="af9"/>
          <w:rFonts w:hint="cs"/>
          <w:rtl/>
        </w:rPr>
        <w:t>הלח"מ</w:t>
      </w:r>
      <w:r>
        <w:rPr>
          <w:rFonts w:hint="cs"/>
          <w:rtl/>
        </w:rPr>
        <w:t xml:space="preserve"> דא"כ משמע דכוונת </w:t>
      </w:r>
      <w:r w:rsidRPr="00F00585">
        <w:rPr>
          <w:rStyle w:val="af9"/>
          <w:rFonts w:hint="cs"/>
          <w:rtl/>
        </w:rPr>
        <w:t>הרמב"ם</w:t>
      </w:r>
      <w:r>
        <w:rPr>
          <w:rFonts w:hint="cs"/>
          <w:rtl/>
        </w:rPr>
        <w:t xml:space="preserve"> לומר הוא הטעם של הברייתא דמטמאה כנבילה, וא"א לומר כן דהא אף לר"א ב"ר ינאי דאינה מטמאה כנבילה, ס"ל דבחזקת איסור עומדת.</w:t>
      </w:r>
    </w:p>
    <w:p w14:paraId="1D92694D" w14:textId="77777777" w:rsidR="00852065" w:rsidRDefault="00852065" w:rsidP="006D6D32">
      <w:pPr>
        <w:pStyle w:val="a3"/>
        <w:rPr>
          <w:rtl/>
        </w:rPr>
      </w:pPr>
      <w:bookmarkStart w:id="801" w:name="_Toc522099676"/>
      <w:bookmarkStart w:id="802" w:name="_Toc19388982"/>
      <w:bookmarkStart w:id="803" w:name="_Toc19392479"/>
      <w:r>
        <w:rPr>
          <w:rFonts w:hint="cs"/>
          <w:rtl/>
        </w:rPr>
        <w:t>ביאור הלח"מ דכוונת הרמב"ם דהחזקת איסור הוא הטעם דאסורה או דהוא דין בפנ"ע</w:t>
      </w:r>
      <w:bookmarkEnd w:id="801"/>
      <w:bookmarkEnd w:id="802"/>
      <w:bookmarkEnd w:id="803"/>
    </w:p>
    <w:p w14:paraId="14DE6AFE" w14:textId="77777777" w:rsidR="00852065" w:rsidRPr="003846BC" w:rsidRDefault="00852065" w:rsidP="00223668">
      <w:pPr>
        <w:pStyle w:val="a0"/>
        <w:rPr>
          <w:rtl/>
        </w:rPr>
      </w:pPr>
      <w:r>
        <w:rPr>
          <w:rFonts w:hint="cs"/>
          <w:rtl/>
        </w:rPr>
        <w:t xml:space="preserve">אלא ביאר </w:t>
      </w:r>
      <w:r w:rsidRPr="00EF6785">
        <w:rPr>
          <w:rStyle w:val="af9"/>
          <w:rFonts w:hint="cs"/>
          <w:rtl/>
        </w:rPr>
        <w:t>הלח"מ</w:t>
      </w:r>
      <w:r>
        <w:rPr>
          <w:rFonts w:hint="cs"/>
          <w:rtl/>
        </w:rPr>
        <w:t xml:space="preserve"> דאין כוונת </w:t>
      </w:r>
      <w:r w:rsidRPr="00EF6785">
        <w:rPr>
          <w:rStyle w:val="af9"/>
          <w:rFonts w:hint="cs"/>
          <w:rtl/>
        </w:rPr>
        <w:t>הרמב"ם</w:t>
      </w:r>
      <w:r>
        <w:rPr>
          <w:rFonts w:hint="cs"/>
          <w:rtl/>
        </w:rPr>
        <w:t xml:space="preserve"> לומר דזהו הטעם דמטמאה כנבילה, אלא דכוונתו לומר דאינה מותרת לגמרי. ועוד ביאר </w:t>
      </w:r>
      <w:r w:rsidRPr="00C12D6B">
        <w:rPr>
          <w:rStyle w:val="af9"/>
          <w:rFonts w:hint="cs"/>
          <w:rtl/>
        </w:rPr>
        <w:t>הלח"מ</w:t>
      </w:r>
      <w:r>
        <w:rPr>
          <w:rFonts w:hint="cs"/>
          <w:rtl/>
        </w:rPr>
        <w:t xml:space="preserve"> דהדין דבהמה בחייה בחזקת איסור עומדת הוא דין בפנ"ע, ואין כוונת </w:t>
      </w:r>
      <w:r w:rsidRPr="00C12D6B">
        <w:rPr>
          <w:rStyle w:val="af9"/>
          <w:rFonts w:hint="cs"/>
          <w:rtl/>
        </w:rPr>
        <w:t>הרמב"ם</w:t>
      </w:r>
      <w:r>
        <w:rPr>
          <w:rFonts w:hint="cs"/>
          <w:rtl/>
        </w:rPr>
        <w:t xml:space="preserve"> לומר שזהו הטעם לדין דלא בדק בסימנים.</w:t>
      </w:r>
    </w:p>
    <w:p w14:paraId="33BB58B5" w14:textId="77777777" w:rsidR="00852065" w:rsidRDefault="00852065" w:rsidP="006D6D32">
      <w:pPr>
        <w:pStyle w:val="a3"/>
        <w:rPr>
          <w:rtl/>
        </w:rPr>
      </w:pPr>
      <w:bookmarkStart w:id="804" w:name="_Toc522099677"/>
      <w:bookmarkStart w:id="805" w:name="_Toc19388983"/>
      <w:bookmarkStart w:id="806" w:name="_Toc19392480"/>
      <w:r>
        <w:rPr>
          <w:rFonts w:hint="cs"/>
          <w:rtl/>
        </w:rPr>
        <w:t>דברי המאירי דבנחתך הראש א"א לבדוק את הסימנים</w:t>
      </w:r>
      <w:bookmarkEnd w:id="804"/>
      <w:bookmarkEnd w:id="805"/>
      <w:bookmarkEnd w:id="806"/>
    </w:p>
    <w:p w14:paraId="3546E7B4" w14:textId="77777777" w:rsidR="00852065" w:rsidRDefault="00852065" w:rsidP="00223668">
      <w:pPr>
        <w:pStyle w:val="a0"/>
        <w:rPr>
          <w:rtl/>
        </w:rPr>
      </w:pPr>
      <w:r>
        <w:rPr>
          <w:rFonts w:hint="cs"/>
          <w:rtl/>
        </w:rPr>
        <w:t xml:space="preserve">במה שכתב </w:t>
      </w:r>
      <w:r w:rsidRPr="00F00585">
        <w:rPr>
          <w:rStyle w:val="af9"/>
          <w:rFonts w:hint="cs"/>
          <w:rtl/>
        </w:rPr>
        <w:t>הרמב"ם</w:t>
      </w:r>
      <w:r>
        <w:rPr>
          <w:rFonts w:hint="cs"/>
          <w:rtl/>
        </w:rPr>
        <w:t xml:space="preserve"> דנחתך הראש כ"כ </w:t>
      </w:r>
      <w:r w:rsidRPr="00F00585">
        <w:rPr>
          <w:rStyle w:val="af9"/>
          <w:rFonts w:hint="cs"/>
          <w:rtl/>
        </w:rPr>
        <w:t>המאירי</w:t>
      </w:r>
      <w:r>
        <w:rPr>
          <w:rFonts w:hint="cs"/>
          <w:rtl/>
        </w:rPr>
        <w:t xml:space="preserve"> </w:t>
      </w:r>
      <w:r w:rsidRPr="00F00585">
        <w:rPr>
          <w:rStyle w:val="af7"/>
          <w:rFonts w:eastAsia="Guttman Hodes" w:hint="cs"/>
          <w:rtl/>
        </w:rPr>
        <w:t>(ד"ה השוחט)</w:t>
      </w:r>
      <w:r>
        <w:rPr>
          <w:rFonts w:hint="cs"/>
          <w:rtl/>
        </w:rPr>
        <w:t xml:space="preserve"> דמספק אסור להתיר שחיטה בלא בדיקת הסימנים, ואם לא בדק ואינו יכול לבדוק, כגון שנחתך הראש אסורה, [ופסק </w:t>
      </w:r>
      <w:r w:rsidRPr="00F00585">
        <w:rPr>
          <w:rStyle w:val="af9"/>
          <w:rFonts w:hint="cs"/>
          <w:rtl/>
        </w:rPr>
        <w:t xml:space="preserve">המאירי </w:t>
      </w:r>
      <w:r>
        <w:rPr>
          <w:rFonts w:hint="cs"/>
          <w:rtl/>
        </w:rPr>
        <w:t xml:space="preserve">כר"א ב"ר ינאי דהיא כטריפה ואסורה באכילה, ואינה מטומאה כנבילה]. </w:t>
      </w:r>
    </w:p>
    <w:p w14:paraId="7C33B6F5" w14:textId="77777777" w:rsidR="002B676A" w:rsidRPr="002B676A" w:rsidRDefault="002B676A" w:rsidP="002B676A">
      <w:pPr>
        <w:pStyle w:val="a3"/>
        <w:rPr>
          <w:rtl/>
        </w:rPr>
      </w:pPr>
    </w:p>
    <w:p w14:paraId="66FEDBA6" w14:textId="77777777" w:rsidR="00852065" w:rsidRDefault="00852065" w:rsidP="00BF39B2">
      <w:pPr>
        <w:pStyle w:val="1"/>
        <w:rPr>
          <w:rtl/>
        </w:rPr>
      </w:pPr>
      <w:bookmarkStart w:id="807" w:name="_Toc522028170"/>
      <w:bookmarkStart w:id="808" w:name="_Toc522086225"/>
      <w:bookmarkStart w:id="809" w:name="_Toc522099678"/>
      <w:bookmarkStart w:id="810" w:name="_Toc19388984"/>
      <w:bookmarkStart w:id="811" w:name="_Toc19392481"/>
      <w:r>
        <w:rPr>
          <w:rFonts w:hint="cs"/>
          <w:rtl/>
        </w:rPr>
        <w:t>דעת הגרעק"א והפרי תואר דלהרמב"ם הוא ספק דאו'</w:t>
      </w:r>
      <w:bookmarkEnd w:id="807"/>
      <w:bookmarkEnd w:id="808"/>
      <w:bookmarkEnd w:id="809"/>
      <w:bookmarkEnd w:id="810"/>
      <w:bookmarkEnd w:id="811"/>
    </w:p>
    <w:p w14:paraId="5A3D58E1" w14:textId="77777777" w:rsidR="00852065" w:rsidRPr="009C18C0" w:rsidRDefault="00852065" w:rsidP="006D6D32">
      <w:pPr>
        <w:pStyle w:val="a3"/>
        <w:rPr>
          <w:rtl/>
        </w:rPr>
      </w:pPr>
      <w:bookmarkStart w:id="812" w:name="_Toc522099679"/>
      <w:bookmarkStart w:id="813" w:name="_Toc19388985"/>
      <w:bookmarkStart w:id="814" w:name="_Toc19392482"/>
      <w:r>
        <w:rPr>
          <w:rFonts w:hint="cs"/>
          <w:rtl/>
        </w:rPr>
        <w:t>דברי הגרעק"א דלרמב"ם מדאו' לא סמכינן על רוב התלוי במעשה ואסורה מספק</w:t>
      </w:r>
      <w:bookmarkEnd w:id="812"/>
      <w:bookmarkEnd w:id="813"/>
      <w:bookmarkEnd w:id="814"/>
    </w:p>
    <w:p w14:paraId="7E8786F4" w14:textId="77777777" w:rsidR="00852065" w:rsidRDefault="00852065" w:rsidP="00223668">
      <w:pPr>
        <w:pStyle w:val="a0"/>
        <w:rPr>
          <w:rtl/>
        </w:rPr>
      </w:pPr>
      <w:bookmarkStart w:id="815" w:name="_Ref522221102"/>
      <w:r w:rsidRPr="004F4DCB">
        <w:rPr>
          <w:rFonts w:hint="cs"/>
          <w:rtl/>
        </w:rPr>
        <w:t xml:space="preserve">וכתב </w:t>
      </w:r>
      <w:r w:rsidRPr="004F4DCB">
        <w:rPr>
          <w:rStyle w:val="af9"/>
          <w:rFonts w:hint="cs"/>
          <w:rtl/>
        </w:rPr>
        <w:t xml:space="preserve">הגרעק"א </w:t>
      </w:r>
      <w:r w:rsidRPr="004F4DCB">
        <w:rPr>
          <w:rStyle w:val="af7"/>
          <w:rFonts w:eastAsia="Guttman Hodes" w:hint="cs"/>
          <w:rtl/>
        </w:rPr>
        <w:t>(על השו"ע סי' ב' סעיף ב', שו"ת מהדו"ק קס"ב ד"ה והנה אף)</w:t>
      </w:r>
      <w:r w:rsidRPr="004F4DCB">
        <w:rPr>
          <w:rFonts w:hint="cs"/>
          <w:rtl/>
        </w:rPr>
        <w:t xml:space="preserve"> דמשמע </w:t>
      </w:r>
      <w:r w:rsidRPr="004F4DCB">
        <w:rPr>
          <w:rStyle w:val="af9"/>
          <w:rFonts w:hint="cs"/>
          <w:rtl/>
        </w:rPr>
        <w:t>ברמב"ם</w:t>
      </w:r>
      <w:r w:rsidRPr="004F4DCB">
        <w:rPr>
          <w:rFonts w:hint="cs"/>
          <w:rtl/>
        </w:rPr>
        <w:t xml:space="preserve"> דמדאו' הוי ספק נבילה, דאף שכתבו </w:t>
      </w:r>
      <w:r w:rsidRPr="004F4DCB">
        <w:rPr>
          <w:rStyle w:val="af9"/>
          <w:rFonts w:hint="cs"/>
          <w:rtl/>
        </w:rPr>
        <w:t>התוס' והרשב"א</w:t>
      </w:r>
      <w:r w:rsidRPr="004F4DCB">
        <w:rPr>
          <w:rFonts w:hint="cs"/>
          <w:rtl/>
        </w:rPr>
        <w:t xml:space="preserve"> </w:t>
      </w:r>
      <w:r w:rsidRPr="000E790C">
        <w:rPr>
          <w:rStyle w:val="af7"/>
          <w:rFonts w:eastAsia="Guttman Hodes" w:hint="cs"/>
          <w:rtl/>
        </w:rPr>
        <w:t xml:space="preserve">(עי' אות </w:t>
      </w:r>
      <w:r w:rsidRPr="000E790C">
        <w:rPr>
          <w:rStyle w:val="af7"/>
          <w:rFonts w:eastAsia="Guttman Hodes"/>
          <w:rtl/>
        </w:rPr>
        <w:fldChar w:fldCharType="begin"/>
      </w:r>
      <w:r w:rsidRPr="000E790C">
        <w:rPr>
          <w:rStyle w:val="af7"/>
          <w:rFonts w:eastAsia="Guttman Hodes"/>
          <w:rtl/>
        </w:rPr>
        <w:instrText xml:space="preserve"> </w:instrText>
      </w:r>
      <w:r w:rsidRPr="000E790C">
        <w:rPr>
          <w:rStyle w:val="af7"/>
          <w:rFonts w:eastAsia="Guttman Hodes" w:hint="cs"/>
        </w:rPr>
        <w:instrText>REF</w:instrText>
      </w:r>
      <w:r w:rsidRPr="000E790C">
        <w:rPr>
          <w:rStyle w:val="af7"/>
          <w:rFonts w:eastAsia="Guttman Hodes" w:hint="cs"/>
          <w:rtl/>
        </w:rPr>
        <w:instrText xml:space="preserve"> _</w:instrText>
      </w:r>
      <w:r w:rsidRPr="000E790C">
        <w:rPr>
          <w:rStyle w:val="af7"/>
          <w:rFonts w:eastAsia="Guttman Hodes" w:hint="cs"/>
        </w:rPr>
        <w:instrText>Ref522101098 \r \h</w:instrText>
      </w:r>
      <w:r w:rsidRPr="000E790C">
        <w:rPr>
          <w:rStyle w:val="af7"/>
          <w:rFonts w:eastAsia="Guttman Hodes"/>
          <w:rtl/>
        </w:rPr>
        <w:instrText xml:space="preserve"> </w:instrText>
      </w:r>
      <w:r w:rsidRPr="000E790C">
        <w:rPr>
          <w:rStyle w:val="af7"/>
          <w:rFonts w:eastAsia="Guttman Hodes"/>
          <w:rtl/>
        </w:rPr>
      </w:r>
      <w:r w:rsidRPr="000E790C">
        <w:rPr>
          <w:rStyle w:val="af7"/>
          <w:rFonts w:eastAsia="Guttman Hodes"/>
          <w:rtl/>
        </w:rPr>
        <w:fldChar w:fldCharType="separate"/>
      </w:r>
      <w:r w:rsidR="00345400">
        <w:rPr>
          <w:rStyle w:val="af7"/>
          <w:rFonts w:eastAsia="Guttman Hodes"/>
          <w:cs/>
        </w:rPr>
        <w:t>‎</w:t>
      </w:r>
      <w:r w:rsidR="00345400">
        <w:rPr>
          <w:rStyle w:val="af7"/>
          <w:rFonts w:eastAsia="Guttman Hodes"/>
          <w:rtl/>
        </w:rPr>
        <w:t>כה)</w:t>
      </w:r>
      <w:r w:rsidRPr="000E790C">
        <w:rPr>
          <w:rStyle w:val="af7"/>
          <w:rFonts w:eastAsia="Guttman Hodes"/>
          <w:rtl/>
        </w:rPr>
        <w:fldChar w:fldCharType="end"/>
      </w:r>
      <w:r w:rsidRPr="004F4DCB">
        <w:rPr>
          <w:rFonts w:hint="cs"/>
          <w:rtl/>
        </w:rPr>
        <w:t xml:space="preserve"> דיש רוב שנשחטה כראוי, מ"מ כתב </w:t>
      </w:r>
      <w:r w:rsidRPr="00242FF8">
        <w:rPr>
          <w:rStyle w:val="af9"/>
          <w:rFonts w:hint="cs"/>
          <w:rtl/>
        </w:rPr>
        <w:t>הרשב"א</w:t>
      </w:r>
      <w:r>
        <w:rPr>
          <w:rFonts w:hint="cs"/>
          <w:rtl/>
        </w:rPr>
        <w:t xml:space="preserve"> דהוא רוב התלוי במעשה ולא סמכינן עליו, וס"ל </w:t>
      </w:r>
      <w:r w:rsidRPr="00242FF8">
        <w:rPr>
          <w:rStyle w:val="af9"/>
          <w:rFonts w:hint="cs"/>
          <w:rtl/>
        </w:rPr>
        <w:t>להרמב"ם</w:t>
      </w:r>
      <w:r>
        <w:rPr>
          <w:rFonts w:hint="cs"/>
          <w:rtl/>
        </w:rPr>
        <w:t xml:space="preserve"> דמדאו' לא סמכינן על הרוב, [ודלא </w:t>
      </w:r>
      <w:r w:rsidRPr="004F4DCB">
        <w:rPr>
          <w:rStyle w:val="af9"/>
          <w:rFonts w:hint="cs"/>
          <w:rtl/>
        </w:rPr>
        <w:t>כהרשב"א</w:t>
      </w:r>
      <w:r>
        <w:rPr>
          <w:rFonts w:hint="cs"/>
          <w:rtl/>
        </w:rPr>
        <w:t xml:space="preserve"> דמשמע מדבריו דרק מדרבנן לא סמכינן על הרוב].</w:t>
      </w:r>
      <w:bookmarkEnd w:id="815"/>
    </w:p>
    <w:p w14:paraId="305128F7" w14:textId="77777777" w:rsidR="00852065" w:rsidRDefault="00852065" w:rsidP="006D6D32">
      <w:pPr>
        <w:pStyle w:val="a3"/>
        <w:rPr>
          <w:rtl/>
        </w:rPr>
      </w:pPr>
      <w:bookmarkStart w:id="816" w:name="_Toc522099680"/>
      <w:bookmarkStart w:id="817" w:name="_Toc19388986"/>
      <w:bookmarkStart w:id="818" w:name="_Toc19392483"/>
      <w:r>
        <w:rPr>
          <w:rFonts w:hint="cs"/>
          <w:rtl/>
        </w:rPr>
        <w:t>ביאר הגרעק"א דר"א והברייתא נחלקו אי מדאו' סמכינן על רוב התלוי במעשה</w:t>
      </w:r>
      <w:bookmarkEnd w:id="816"/>
      <w:bookmarkEnd w:id="817"/>
      <w:bookmarkEnd w:id="818"/>
    </w:p>
    <w:p w14:paraId="349D5BFB" w14:textId="77777777" w:rsidR="00852065" w:rsidRDefault="00852065" w:rsidP="00223668">
      <w:pPr>
        <w:pStyle w:val="a0"/>
        <w:rPr>
          <w:rtl/>
        </w:rPr>
      </w:pPr>
      <w:bookmarkStart w:id="819" w:name="_Ref522110344"/>
      <w:r>
        <w:rPr>
          <w:rFonts w:hint="cs"/>
          <w:rtl/>
        </w:rPr>
        <w:t xml:space="preserve">וביאר </w:t>
      </w:r>
      <w:r w:rsidRPr="009C18C0">
        <w:rPr>
          <w:rStyle w:val="af9"/>
          <w:rFonts w:hint="cs"/>
          <w:rtl/>
        </w:rPr>
        <w:t>הגרעק"א</w:t>
      </w:r>
      <w:r>
        <w:rPr>
          <w:rFonts w:hint="cs"/>
          <w:rtl/>
        </w:rPr>
        <w:t xml:space="preserve"> דס"ל </w:t>
      </w:r>
      <w:r w:rsidRPr="009C18C0">
        <w:rPr>
          <w:rStyle w:val="af9"/>
          <w:rFonts w:hint="cs"/>
          <w:rtl/>
        </w:rPr>
        <w:t>להרמב"ם</w:t>
      </w:r>
      <w:r>
        <w:rPr>
          <w:rFonts w:hint="cs"/>
          <w:rtl/>
        </w:rPr>
        <w:t xml:space="preserve"> דבזה גופא נחלקו ר"א ב"ר ינאי והברייתא, דלדעת ר"א ב"ר ינאי רק מדרבנן היא נבילה, </w:t>
      </w:r>
      <w:r w:rsidRPr="009C18C0">
        <w:rPr>
          <w:rStyle w:val="af9"/>
          <w:rFonts w:hint="cs"/>
          <w:rtl/>
        </w:rPr>
        <w:t>והרמב"ם</w:t>
      </w:r>
      <w:r>
        <w:rPr>
          <w:rFonts w:hint="cs"/>
          <w:rtl/>
        </w:rPr>
        <w:t xml:space="preserve"> פסק כברייתא דאף מדאו' היא נבילה, דלא סמכינן על הרוב. [ועי' </w:t>
      </w:r>
      <w:r w:rsidRPr="009C18C0">
        <w:rPr>
          <w:rStyle w:val="af9"/>
          <w:rFonts w:hint="cs"/>
          <w:rtl/>
        </w:rPr>
        <w:t>בגרעק"א</w:t>
      </w:r>
      <w:r>
        <w:rPr>
          <w:rFonts w:hint="cs"/>
          <w:rtl/>
        </w:rPr>
        <w:t xml:space="preserve"> דביאר דאף שר"א ב"ר ינאי הוא אמורא, מ"מ פליג על הברייתא, כיון שיש לו ראיה מברייתא אחרת בדין מומר, עיי"ש, ודלא </w:t>
      </w:r>
      <w:r w:rsidRPr="00E672FD">
        <w:rPr>
          <w:rStyle w:val="af9"/>
          <w:rFonts w:hint="cs"/>
          <w:rtl/>
        </w:rPr>
        <w:t>כתבואות שור</w:t>
      </w:r>
      <w:r>
        <w:rPr>
          <w:rFonts w:hint="cs"/>
          <w:rtl/>
        </w:rPr>
        <w:t xml:space="preserve"> </w:t>
      </w:r>
      <w:r w:rsidRPr="000E790C">
        <w:rPr>
          <w:rStyle w:val="af7"/>
          <w:rFonts w:eastAsia="Guttman Hodes" w:hint="cs"/>
          <w:rtl/>
        </w:rPr>
        <w:t xml:space="preserve">(עי' אות </w:t>
      </w:r>
      <w:r w:rsidRPr="000E790C">
        <w:rPr>
          <w:rStyle w:val="af7"/>
          <w:rFonts w:eastAsia="Guttman Hodes"/>
          <w:rtl/>
        </w:rPr>
        <w:fldChar w:fldCharType="begin"/>
      </w:r>
      <w:r w:rsidRPr="000E790C">
        <w:rPr>
          <w:rStyle w:val="af7"/>
          <w:rFonts w:eastAsia="Guttman Hodes"/>
          <w:rtl/>
        </w:rPr>
        <w:instrText xml:space="preserve"> </w:instrText>
      </w:r>
      <w:r w:rsidRPr="000E790C">
        <w:rPr>
          <w:rStyle w:val="af7"/>
          <w:rFonts w:eastAsia="Guttman Hodes" w:hint="cs"/>
        </w:rPr>
        <w:instrText>REF</w:instrText>
      </w:r>
      <w:r w:rsidRPr="000E790C">
        <w:rPr>
          <w:rStyle w:val="af7"/>
          <w:rFonts w:eastAsia="Guttman Hodes" w:hint="cs"/>
          <w:rtl/>
        </w:rPr>
        <w:instrText xml:space="preserve"> _</w:instrText>
      </w:r>
      <w:r w:rsidRPr="000E790C">
        <w:rPr>
          <w:rStyle w:val="af7"/>
          <w:rFonts w:eastAsia="Guttman Hodes" w:hint="cs"/>
        </w:rPr>
        <w:instrText>Ref522110331 \r \h</w:instrText>
      </w:r>
      <w:r w:rsidRPr="000E790C">
        <w:rPr>
          <w:rStyle w:val="af7"/>
          <w:rFonts w:eastAsia="Guttman Hodes"/>
          <w:rtl/>
        </w:rPr>
        <w:instrText xml:space="preserve"> </w:instrText>
      </w:r>
      <w:r w:rsidRPr="000E790C">
        <w:rPr>
          <w:rStyle w:val="af7"/>
          <w:rFonts w:eastAsia="Guttman Hodes"/>
          <w:rtl/>
        </w:rPr>
      </w:r>
      <w:r w:rsidRPr="000E790C">
        <w:rPr>
          <w:rStyle w:val="af7"/>
          <w:rFonts w:eastAsia="Guttman Hodes"/>
          <w:rtl/>
        </w:rPr>
        <w:fldChar w:fldCharType="separate"/>
      </w:r>
      <w:r w:rsidR="00345400">
        <w:rPr>
          <w:rStyle w:val="af7"/>
          <w:rFonts w:eastAsia="Guttman Hodes"/>
          <w:cs/>
        </w:rPr>
        <w:t>‎</w:t>
      </w:r>
      <w:r w:rsidR="00345400">
        <w:rPr>
          <w:rStyle w:val="af7"/>
          <w:rFonts w:eastAsia="Guttman Hodes"/>
          <w:rtl/>
        </w:rPr>
        <w:t>קיט)</w:t>
      </w:r>
      <w:r w:rsidRPr="000E790C">
        <w:rPr>
          <w:rStyle w:val="af7"/>
          <w:rFonts w:eastAsia="Guttman Hodes"/>
          <w:rtl/>
        </w:rPr>
        <w:fldChar w:fldCharType="end"/>
      </w:r>
      <w:r>
        <w:rPr>
          <w:rFonts w:hint="cs"/>
          <w:rtl/>
        </w:rPr>
        <w:t>].</w:t>
      </w:r>
      <w:bookmarkEnd w:id="819"/>
    </w:p>
    <w:p w14:paraId="13DE7445" w14:textId="77777777" w:rsidR="00852065" w:rsidRDefault="00852065" w:rsidP="006D6D32">
      <w:pPr>
        <w:pStyle w:val="a3"/>
        <w:rPr>
          <w:rtl/>
        </w:rPr>
      </w:pPr>
      <w:bookmarkStart w:id="820" w:name="_Toc522099681"/>
      <w:bookmarkStart w:id="821" w:name="_Toc19388987"/>
      <w:bookmarkStart w:id="822" w:name="_Toc19392484"/>
      <w:r>
        <w:rPr>
          <w:rFonts w:hint="cs"/>
          <w:rtl/>
        </w:rPr>
        <w:t>דברי הפרי תואר דלהרמב"ם הביאור בגמ' דאינה בחזקת טמאה אלא היא ספק נבילה</w:t>
      </w:r>
      <w:bookmarkEnd w:id="820"/>
      <w:bookmarkEnd w:id="821"/>
      <w:bookmarkEnd w:id="822"/>
    </w:p>
    <w:p w14:paraId="581F2480" w14:textId="77777777" w:rsidR="00852065" w:rsidRPr="005802ED" w:rsidRDefault="00852065" w:rsidP="00223668">
      <w:pPr>
        <w:pStyle w:val="a0"/>
        <w:rPr>
          <w:rtl/>
        </w:rPr>
      </w:pPr>
      <w:bookmarkStart w:id="823" w:name="_Ref522100643"/>
      <w:r>
        <w:rPr>
          <w:rStyle w:val="af9"/>
          <w:rFonts w:hint="cs"/>
          <w:rtl/>
        </w:rPr>
        <w:t>ו</w:t>
      </w:r>
      <w:r w:rsidRPr="009C18C0">
        <w:rPr>
          <w:rStyle w:val="af9"/>
          <w:rFonts w:hint="cs"/>
          <w:rtl/>
        </w:rPr>
        <w:t>הפרי תואר</w:t>
      </w:r>
      <w:r>
        <w:rPr>
          <w:rFonts w:hint="cs"/>
          <w:rtl/>
        </w:rPr>
        <w:t xml:space="preserve"> </w:t>
      </w:r>
      <w:r w:rsidRPr="009C71EB">
        <w:rPr>
          <w:rStyle w:val="af7"/>
          <w:rFonts w:eastAsia="Guttman Hodes" w:hint="cs"/>
          <w:rtl/>
        </w:rPr>
        <w:t>(כ"ה א')</w:t>
      </w:r>
      <w:r>
        <w:rPr>
          <w:rFonts w:hint="cs"/>
          <w:rtl/>
        </w:rPr>
        <w:t xml:space="preserve"> כתב דאף דסתם </w:t>
      </w:r>
      <w:r w:rsidRPr="009C71EB">
        <w:rPr>
          <w:rStyle w:val="af9"/>
          <w:rFonts w:hint="cs"/>
          <w:rtl/>
        </w:rPr>
        <w:t>הרמב"ם</w:t>
      </w:r>
      <w:r>
        <w:rPr>
          <w:rFonts w:hint="cs"/>
          <w:rtl/>
        </w:rPr>
        <w:t xml:space="preserve"> וכתב ה"ז נבילה, ומשמע דס"ל דהיא ודאי נבילה, צ"ל דכוונתו דהיא ספק נבילה ואינו לוקה עליה, </w:t>
      </w:r>
      <w:r w:rsidRPr="006077D4">
        <w:rPr>
          <w:rStyle w:val="afb"/>
          <w:rFonts w:hint="cs"/>
          <w:rtl/>
        </w:rPr>
        <w:t xml:space="preserve">[וכמ"ש </w:t>
      </w:r>
      <w:r w:rsidRPr="006077D4">
        <w:rPr>
          <w:rStyle w:val="affa"/>
          <w:rFonts w:hint="cs"/>
          <w:rtl/>
        </w:rPr>
        <w:t>הרמב"ם</w:t>
      </w:r>
      <w:r w:rsidRPr="006077D4">
        <w:rPr>
          <w:rStyle w:val="afb"/>
          <w:rFonts w:hint="cs"/>
          <w:rtl/>
        </w:rPr>
        <w:t xml:space="preserve"> </w:t>
      </w:r>
      <w:r w:rsidRPr="006077D4">
        <w:rPr>
          <w:rStyle w:val="aff6"/>
          <w:rFonts w:hint="cs"/>
          <w:rtl/>
        </w:rPr>
        <w:t>(שחיטה ד' י"ב)</w:t>
      </w:r>
      <w:r w:rsidRPr="006077D4">
        <w:rPr>
          <w:rStyle w:val="afb"/>
          <w:rFonts w:hint="cs"/>
          <w:rtl/>
        </w:rPr>
        <w:t xml:space="preserve"> דגוי שאינו עובד ע"ז שחיטתו נבילה, אף דפשיטא דמדאו' אינו לוקה].</w:t>
      </w:r>
      <w:r>
        <w:rPr>
          <w:rFonts w:hint="cs"/>
          <w:rtl/>
        </w:rPr>
        <w:t xml:space="preserve"> ואף דאיתא בגמ' דהטעם של הברייתא הוא "בחזקת איסור קיימא והשתא מתה היא", אין הכוונה דלכן היא בחזקת נבילה, אלא שזהו הביאור בצד שאסורה מספק, ועי' </w:t>
      </w:r>
      <w:r w:rsidRPr="00E84C32">
        <w:rPr>
          <w:rStyle w:val="af7"/>
          <w:rFonts w:eastAsia="Guttman Hodes" w:hint="cs"/>
          <w:rtl/>
        </w:rPr>
        <w:t xml:space="preserve">(עי' אות </w:t>
      </w:r>
      <w:r w:rsidRPr="00E84C32">
        <w:rPr>
          <w:rStyle w:val="af7"/>
          <w:rFonts w:eastAsia="Guttman Hodes"/>
          <w:rtl/>
        </w:rPr>
        <w:fldChar w:fldCharType="begin"/>
      </w:r>
      <w:r w:rsidRPr="00E84C32">
        <w:rPr>
          <w:rStyle w:val="af7"/>
          <w:rFonts w:eastAsia="Guttman Hodes"/>
          <w:rtl/>
        </w:rPr>
        <w:instrText xml:space="preserve"> </w:instrText>
      </w:r>
      <w:r w:rsidRPr="00E84C32">
        <w:rPr>
          <w:rStyle w:val="af7"/>
          <w:rFonts w:eastAsia="Guttman Hodes" w:hint="cs"/>
        </w:rPr>
        <w:instrText>REF</w:instrText>
      </w:r>
      <w:r w:rsidRPr="00E84C32">
        <w:rPr>
          <w:rStyle w:val="af7"/>
          <w:rFonts w:eastAsia="Guttman Hodes" w:hint="cs"/>
          <w:rtl/>
        </w:rPr>
        <w:instrText xml:space="preserve"> _</w:instrText>
      </w:r>
      <w:r w:rsidRPr="00E84C32">
        <w:rPr>
          <w:rStyle w:val="af7"/>
          <w:rFonts w:eastAsia="Guttman Hodes" w:hint="cs"/>
        </w:rPr>
        <w:instrText>Ref522110372 \r \h</w:instrText>
      </w:r>
      <w:r w:rsidRPr="00E84C32">
        <w:rPr>
          <w:rStyle w:val="af7"/>
          <w:rFonts w:eastAsia="Guttman Hodes"/>
          <w:rtl/>
        </w:rPr>
        <w:instrText xml:space="preserve"> </w:instrText>
      </w:r>
      <w:r w:rsidRPr="00E84C32">
        <w:rPr>
          <w:rStyle w:val="af7"/>
          <w:rFonts w:eastAsia="Guttman Hodes"/>
          <w:rtl/>
        </w:rPr>
      </w:r>
      <w:r w:rsidRPr="00E84C32">
        <w:rPr>
          <w:rStyle w:val="af7"/>
          <w:rFonts w:eastAsia="Guttman Hodes"/>
          <w:rtl/>
        </w:rPr>
        <w:fldChar w:fldCharType="separate"/>
      </w:r>
      <w:r w:rsidR="00345400">
        <w:rPr>
          <w:rStyle w:val="af7"/>
          <w:rFonts w:eastAsia="Guttman Hodes"/>
          <w:cs/>
        </w:rPr>
        <w:t>‎</w:t>
      </w:r>
      <w:r w:rsidR="00345400">
        <w:rPr>
          <w:rStyle w:val="af7"/>
          <w:rFonts w:eastAsia="Guttman Hodes"/>
          <w:rtl/>
        </w:rPr>
        <w:t>כט)</w:t>
      </w:r>
      <w:r w:rsidRPr="00E84C32">
        <w:rPr>
          <w:rStyle w:val="af7"/>
          <w:rFonts w:eastAsia="Guttman Hodes"/>
          <w:rtl/>
        </w:rPr>
        <w:fldChar w:fldCharType="end"/>
      </w:r>
      <w:r>
        <w:rPr>
          <w:rFonts w:hint="cs"/>
          <w:rtl/>
        </w:rPr>
        <w:t xml:space="preserve"> במ"ש </w:t>
      </w:r>
      <w:r w:rsidRPr="00A77FEC">
        <w:rPr>
          <w:rStyle w:val="af9"/>
          <w:rFonts w:hint="cs"/>
          <w:rtl/>
        </w:rPr>
        <w:t>הפרי תואר</w:t>
      </w:r>
      <w:r>
        <w:rPr>
          <w:rFonts w:hint="cs"/>
          <w:rtl/>
        </w:rPr>
        <w:t xml:space="preserve"> בדעת </w:t>
      </w:r>
      <w:r w:rsidRPr="00A77FEC">
        <w:rPr>
          <w:rStyle w:val="af9"/>
          <w:rFonts w:hint="cs"/>
          <w:rtl/>
        </w:rPr>
        <w:t>התוס'</w:t>
      </w:r>
      <w:r>
        <w:rPr>
          <w:rFonts w:hint="cs"/>
          <w:rtl/>
        </w:rPr>
        <w:t>.</w:t>
      </w:r>
      <w:bookmarkEnd w:id="823"/>
    </w:p>
    <w:p w14:paraId="3DC82D80" w14:textId="77777777" w:rsidR="00852065" w:rsidRDefault="00852065" w:rsidP="006D6D32">
      <w:pPr>
        <w:pStyle w:val="a3"/>
        <w:rPr>
          <w:rtl/>
        </w:rPr>
      </w:pPr>
      <w:bookmarkStart w:id="824" w:name="_Toc522099682"/>
      <w:bookmarkStart w:id="825" w:name="_Toc19388988"/>
      <w:bookmarkStart w:id="826" w:name="_Toc19392485"/>
      <w:bookmarkStart w:id="827" w:name="_Toc522028171"/>
      <w:bookmarkStart w:id="828" w:name="_Toc522086226"/>
      <w:r>
        <w:rPr>
          <w:rFonts w:hint="cs"/>
          <w:rtl/>
        </w:rPr>
        <w:t>דברי הגרעק"א דלהרמב"ם להברייתא אסורה מדאו' ומטמאה מדרבנן</w:t>
      </w:r>
      <w:bookmarkEnd w:id="824"/>
      <w:bookmarkEnd w:id="825"/>
      <w:bookmarkEnd w:id="826"/>
      <w:r>
        <w:rPr>
          <w:rFonts w:hint="cs"/>
          <w:rtl/>
        </w:rPr>
        <w:t xml:space="preserve"> </w:t>
      </w:r>
    </w:p>
    <w:p w14:paraId="438649A9" w14:textId="77777777" w:rsidR="00852065" w:rsidRDefault="00852065" w:rsidP="00223668">
      <w:pPr>
        <w:pStyle w:val="a0"/>
        <w:rPr>
          <w:rtl/>
        </w:rPr>
      </w:pPr>
      <w:r>
        <w:rPr>
          <w:rFonts w:hint="cs"/>
          <w:rtl/>
        </w:rPr>
        <w:t xml:space="preserve">וכתב </w:t>
      </w:r>
      <w:r w:rsidRPr="00DF65ED">
        <w:rPr>
          <w:rStyle w:val="af9"/>
          <w:rFonts w:hint="cs"/>
          <w:rtl/>
        </w:rPr>
        <w:t>הגרעק"א</w:t>
      </w:r>
      <w:r>
        <w:rPr>
          <w:rFonts w:hint="cs"/>
          <w:rtl/>
        </w:rPr>
        <w:t xml:space="preserve"> </w:t>
      </w:r>
      <w:r w:rsidRPr="00DF65ED">
        <w:rPr>
          <w:rStyle w:val="af7"/>
          <w:rFonts w:eastAsia="Guttman Hodes" w:hint="cs"/>
          <w:rtl/>
        </w:rPr>
        <w:t>(על השו"ע סי' כ"ה א')</w:t>
      </w:r>
      <w:r>
        <w:rPr>
          <w:rFonts w:hint="cs"/>
          <w:rtl/>
        </w:rPr>
        <w:t xml:space="preserve"> דאף דדעת </w:t>
      </w:r>
      <w:r w:rsidRPr="00DF65ED">
        <w:rPr>
          <w:rStyle w:val="af9"/>
          <w:rFonts w:hint="cs"/>
          <w:rtl/>
        </w:rPr>
        <w:t>הרמב"ם</w:t>
      </w:r>
      <w:r>
        <w:rPr>
          <w:rFonts w:hint="cs"/>
          <w:rtl/>
        </w:rPr>
        <w:t xml:space="preserve"> דמדאו' היא נבילה כדכתב </w:t>
      </w:r>
      <w:r w:rsidRPr="00DF65ED">
        <w:rPr>
          <w:rStyle w:val="af9"/>
          <w:rFonts w:hint="cs"/>
          <w:rtl/>
        </w:rPr>
        <w:t>התבואות שור</w:t>
      </w:r>
      <w:r>
        <w:rPr>
          <w:rFonts w:hint="cs"/>
          <w:rtl/>
        </w:rPr>
        <w:t xml:space="preserve"> </w:t>
      </w:r>
      <w:r w:rsidRPr="00E84C32">
        <w:rPr>
          <w:rStyle w:val="af7"/>
          <w:rFonts w:eastAsia="Guttman Hodes" w:hint="cs"/>
          <w:rtl/>
        </w:rPr>
        <w:t xml:space="preserve">(עי' אות </w:t>
      </w:r>
      <w:r w:rsidRPr="00E84C32">
        <w:rPr>
          <w:rStyle w:val="af7"/>
          <w:rFonts w:eastAsia="Guttman Hodes"/>
          <w:rtl/>
        </w:rPr>
        <w:fldChar w:fldCharType="begin"/>
      </w:r>
      <w:r w:rsidRPr="00E84C32">
        <w:rPr>
          <w:rStyle w:val="af7"/>
          <w:rFonts w:eastAsia="Guttman Hodes"/>
          <w:rtl/>
        </w:rPr>
        <w:instrText xml:space="preserve"> </w:instrText>
      </w:r>
      <w:r w:rsidRPr="00E84C32">
        <w:rPr>
          <w:rStyle w:val="af7"/>
          <w:rFonts w:eastAsia="Guttman Hodes" w:hint="cs"/>
        </w:rPr>
        <w:instrText>REF</w:instrText>
      </w:r>
      <w:r w:rsidRPr="00E84C32">
        <w:rPr>
          <w:rStyle w:val="af7"/>
          <w:rFonts w:eastAsia="Guttman Hodes" w:hint="cs"/>
          <w:rtl/>
        </w:rPr>
        <w:instrText xml:space="preserve"> _</w:instrText>
      </w:r>
      <w:r w:rsidRPr="00E84C32">
        <w:rPr>
          <w:rStyle w:val="af7"/>
          <w:rFonts w:eastAsia="Guttman Hodes" w:hint="cs"/>
        </w:rPr>
        <w:instrText>Ref522110429 \r \h</w:instrText>
      </w:r>
      <w:r w:rsidRPr="00E84C32">
        <w:rPr>
          <w:rStyle w:val="af7"/>
          <w:rFonts w:eastAsia="Guttman Hodes"/>
          <w:rtl/>
        </w:rPr>
        <w:instrText xml:space="preserve"> </w:instrText>
      </w:r>
      <w:r w:rsidRPr="00E84C32">
        <w:rPr>
          <w:rStyle w:val="af7"/>
          <w:rFonts w:eastAsia="Guttman Hodes"/>
          <w:rtl/>
        </w:rPr>
      </w:r>
      <w:r w:rsidRPr="00E84C32">
        <w:rPr>
          <w:rStyle w:val="af7"/>
          <w:rFonts w:eastAsia="Guttman Hodes"/>
          <w:rtl/>
        </w:rPr>
        <w:fldChar w:fldCharType="separate"/>
      </w:r>
      <w:r w:rsidR="00345400">
        <w:rPr>
          <w:rStyle w:val="af7"/>
          <w:rFonts w:eastAsia="Guttman Hodes"/>
          <w:cs/>
        </w:rPr>
        <w:t>‎</w:t>
      </w:r>
      <w:r w:rsidR="00345400">
        <w:rPr>
          <w:rStyle w:val="af7"/>
          <w:rFonts w:eastAsia="Guttman Hodes"/>
          <w:rtl/>
        </w:rPr>
        <w:t>קטו)</w:t>
      </w:r>
      <w:r w:rsidRPr="00E84C32">
        <w:rPr>
          <w:rStyle w:val="af7"/>
          <w:rFonts w:eastAsia="Guttman Hodes"/>
          <w:rtl/>
        </w:rPr>
        <w:fldChar w:fldCharType="end"/>
      </w:r>
      <w:r>
        <w:rPr>
          <w:rFonts w:hint="cs"/>
          <w:rtl/>
        </w:rPr>
        <w:t xml:space="preserve">, מ"מ לענין טומאה ס"ל </w:t>
      </w:r>
      <w:r w:rsidRPr="00823AF7">
        <w:rPr>
          <w:rStyle w:val="af9"/>
          <w:rFonts w:hint="cs"/>
          <w:rtl/>
        </w:rPr>
        <w:t>להרמב"ם</w:t>
      </w:r>
      <w:r>
        <w:rPr>
          <w:rFonts w:hint="cs"/>
          <w:rtl/>
        </w:rPr>
        <w:t xml:space="preserve"> דלדדעת הברייתא דמטמאה בנבילה, הוא דין דרבנן.</w:t>
      </w:r>
    </w:p>
    <w:p w14:paraId="11C4C126" w14:textId="77777777" w:rsidR="00852065" w:rsidRPr="002805C1" w:rsidRDefault="00852065" w:rsidP="006D6D32">
      <w:pPr>
        <w:pStyle w:val="a3"/>
      </w:pPr>
      <w:bookmarkStart w:id="829" w:name="_Toc522099683"/>
      <w:bookmarkStart w:id="830" w:name="_Toc19388989"/>
      <w:bookmarkStart w:id="831" w:name="_Toc19392486"/>
      <w:r>
        <w:rPr>
          <w:rFonts w:hint="cs"/>
          <w:rtl/>
        </w:rPr>
        <w:t>ביאור הגרעק"א דלאיסור יש לה חזקה והטומאה היא מדרבנן דלא יהיה כתרתי דסתרי</w:t>
      </w:r>
      <w:bookmarkEnd w:id="829"/>
      <w:bookmarkEnd w:id="830"/>
      <w:bookmarkEnd w:id="831"/>
    </w:p>
    <w:p w14:paraId="44327FBC" w14:textId="77777777" w:rsidR="00852065" w:rsidRDefault="00852065" w:rsidP="00223668">
      <w:pPr>
        <w:pStyle w:val="a0"/>
        <w:rPr>
          <w:rtl/>
        </w:rPr>
      </w:pPr>
      <w:r>
        <w:rPr>
          <w:rFonts w:hint="cs"/>
          <w:rtl/>
        </w:rPr>
        <w:t xml:space="preserve">וביאר </w:t>
      </w:r>
      <w:r w:rsidRPr="00DF65ED">
        <w:rPr>
          <w:rStyle w:val="af9"/>
          <w:rFonts w:hint="cs"/>
          <w:rtl/>
        </w:rPr>
        <w:t>הגרעק"א</w:t>
      </w:r>
      <w:r>
        <w:rPr>
          <w:rFonts w:hint="cs"/>
          <w:rtl/>
        </w:rPr>
        <w:t xml:space="preserve"> דלענין איסור יש לה חזקה דאסורה, ואמרו רבנן דכיון שהיא בחזקת איסור והשתא מתה, אף לטומאה היא נבילה, דלא יהיה כתרתי דסתרי, והוסיף </w:t>
      </w:r>
      <w:r w:rsidRPr="007A4DAC">
        <w:rPr>
          <w:rStyle w:val="af9"/>
          <w:rFonts w:hint="cs"/>
          <w:rtl/>
        </w:rPr>
        <w:t>הגרעק"א</w:t>
      </w:r>
      <w:r>
        <w:rPr>
          <w:rFonts w:hint="cs"/>
          <w:rtl/>
        </w:rPr>
        <w:t xml:space="preserve"> דכיון דהדין טומאה הוא דרבנן, קיי"ל כר"א ב"ר ינאי דהוא המיקל.</w:t>
      </w:r>
    </w:p>
    <w:p w14:paraId="605B1A39" w14:textId="77777777" w:rsidR="00852065" w:rsidRDefault="00852065" w:rsidP="00BF39B2">
      <w:pPr>
        <w:pStyle w:val="1"/>
        <w:rPr>
          <w:rtl/>
        </w:rPr>
      </w:pPr>
      <w:bookmarkStart w:id="832" w:name="_Toc522099684"/>
      <w:bookmarkStart w:id="833" w:name="_Toc19388990"/>
      <w:bookmarkStart w:id="834" w:name="_Toc19392487"/>
      <w:r w:rsidRPr="00300E20">
        <w:rPr>
          <w:rFonts w:hint="cs"/>
          <w:rtl/>
        </w:rPr>
        <w:t>דעת התבו"ש והפרמ"ג</w:t>
      </w:r>
      <w:r>
        <w:rPr>
          <w:rFonts w:hint="cs"/>
          <w:rtl/>
        </w:rPr>
        <w:t xml:space="preserve"> דלהרמב"ם הוי ודאי נבילה</w:t>
      </w:r>
      <w:bookmarkEnd w:id="827"/>
      <w:bookmarkEnd w:id="828"/>
      <w:bookmarkEnd w:id="832"/>
      <w:bookmarkEnd w:id="833"/>
      <w:bookmarkEnd w:id="834"/>
    </w:p>
    <w:p w14:paraId="2209EF20" w14:textId="77777777" w:rsidR="00852065" w:rsidRDefault="00852065" w:rsidP="006D6D32">
      <w:pPr>
        <w:pStyle w:val="a3"/>
        <w:rPr>
          <w:rtl/>
        </w:rPr>
      </w:pPr>
      <w:bookmarkStart w:id="835" w:name="_Toc522099685"/>
      <w:bookmarkStart w:id="836" w:name="_Toc19388991"/>
      <w:bookmarkStart w:id="837" w:name="_Toc19392488"/>
      <w:r>
        <w:rPr>
          <w:rFonts w:hint="cs"/>
          <w:rtl/>
        </w:rPr>
        <w:t>דברי הפרמ"ג דמשמע דהכס"מ מסתפק אי הוי ודאי נבילה לדעת הרמב"ם</w:t>
      </w:r>
      <w:bookmarkEnd w:id="835"/>
      <w:bookmarkEnd w:id="836"/>
      <w:bookmarkEnd w:id="837"/>
    </w:p>
    <w:p w14:paraId="7227601C" w14:textId="77777777" w:rsidR="00852065" w:rsidRDefault="00852065" w:rsidP="00223668">
      <w:pPr>
        <w:pStyle w:val="a0"/>
        <w:rPr>
          <w:rtl/>
        </w:rPr>
      </w:pPr>
      <w:bookmarkStart w:id="838" w:name="_Ref522110261"/>
      <w:r>
        <w:rPr>
          <w:rFonts w:hint="cs"/>
          <w:rtl/>
        </w:rPr>
        <w:t>הביא</w:t>
      </w:r>
      <w:r w:rsidRPr="00A77FEC">
        <w:rPr>
          <w:rStyle w:val="af9"/>
          <w:rFonts w:hint="cs"/>
          <w:rtl/>
        </w:rPr>
        <w:t xml:space="preserve"> הפרמ"ג </w:t>
      </w:r>
      <w:r w:rsidRPr="004461D7">
        <w:rPr>
          <w:rStyle w:val="af7"/>
          <w:rFonts w:eastAsia="Guttman Hodes" w:hint="cs"/>
          <w:rtl/>
        </w:rPr>
        <w:t>(</w:t>
      </w:r>
      <w:r>
        <w:rPr>
          <w:rStyle w:val="af7"/>
          <w:rFonts w:eastAsia="Guttman Hodes" w:hint="cs"/>
          <w:rtl/>
        </w:rPr>
        <w:t>שפתי דעת</w:t>
      </w:r>
      <w:r w:rsidRPr="004461D7">
        <w:rPr>
          <w:rStyle w:val="af7"/>
          <w:rFonts w:eastAsia="Guttman Hodes" w:hint="cs"/>
          <w:rtl/>
        </w:rPr>
        <w:t xml:space="preserve"> כ"ה א'</w:t>
      </w:r>
      <w:r>
        <w:rPr>
          <w:rStyle w:val="af7"/>
          <w:rFonts w:eastAsia="Guttman Hodes" w:hint="cs"/>
          <w:rtl/>
        </w:rPr>
        <w:t>,</w:t>
      </w:r>
      <w:r w:rsidRPr="00263E8C">
        <w:rPr>
          <w:rStyle w:val="af7"/>
          <w:rFonts w:eastAsia="Guttman Hodes" w:hint="cs"/>
          <w:rtl/>
        </w:rPr>
        <w:t xml:space="preserve"> </w:t>
      </w:r>
      <w:r w:rsidRPr="004461D7">
        <w:rPr>
          <w:rStyle w:val="af7"/>
          <w:rFonts w:eastAsia="Guttman Hodes" w:hint="cs"/>
          <w:rtl/>
        </w:rPr>
        <w:t>פתיחה להלכות שחיטה השורש הג' ד"ה דע כי)</w:t>
      </w:r>
      <w:r>
        <w:rPr>
          <w:rFonts w:hint="cs"/>
          <w:rtl/>
        </w:rPr>
        <w:t xml:space="preserve"> את דברי </w:t>
      </w:r>
      <w:r w:rsidRPr="00106AE4">
        <w:rPr>
          <w:rStyle w:val="af9"/>
          <w:rFonts w:hint="cs"/>
          <w:rtl/>
        </w:rPr>
        <w:t>הכס"מ</w:t>
      </w:r>
      <w:r>
        <w:rPr>
          <w:rFonts w:hint="cs"/>
          <w:rtl/>
        </w:rPr>
        <w:t xml:space="preserve"> </w:t>
      </w:r>
      <w:r w:rsidRPr="00FA5600">
        <w:rPr>
          <w:rStyle w:val="af7"/>
          <w:rFonts w:eastAsia="Guttman Hodes" w:hint="cs"/>
          <w:rtl/>
        </w:rPr>
        <w:t xml:space="preserve">(עי' אות </w:t>
      </w:r>
      <w:r w:rsidRPr="00FA5600">
        <w:rPr>
          <w:rStyle w:val="af7"/>
          <w:rFonts w:eastAsia="Guttman Hodes"/>
          <w:rtl/>
        </w:rPr>
        <w:fldChar w:fldCharType="begin"/>
      </w:r>
      <w:r w:rsidRPr="00FA5600">
        <w:rPr>
          <w:rStyle w:val="af7"/>
          <w:rFonts w:eastAsia="Guttman Hodes"/>
          <w:rtl/>
        </w:rPr>
        <w:instrText xml:space="preserve"> </w:instrText>
      </w:r>
      <w:r w:rsidRPr="00FA5600">
        <w:rPr>
          <w:rStyle w:val="af7"/>
          <w:rFonts w:eastAsia="Guttman Hodes" w:hint="cs"/>
        </w:rPr>
        <w:instrText>REF</w:instrText>
      </w:r>
      <w:r w:rsidRPr="00FA5600">
        <w:rPr>
          <w:rStyle w:val="af7"/>
          <w:rFonts w:eastAsia="Guttman Hodes" w:hint="cs"/>
          <w:rtl/>
        </w:rPr>
        <w:instrText xml:space="preserve"> _</w:instrText>
      </w:r>
      <w:r w:rsidRPr="00FA5600">
        <w:rPr>
          <w:rStyle w:val="af7"/>
          <w:rFonts w:eastAsia="Guttman Hodes" w:hint="cs"/>
        </w:rPr>
        <w:instrText>Ref522110533 \r \h</w:instrText>
      </w:r>
      <w:r w:rsidRPr="00FA5600">
        <w:rPr>
          <w:rStyle w:val="af7"/>
          <w:rFonts w:eastAsia="Guttman Hodes"/>
          <w:rtl/>
        </w:rPr>
        <w:instrText xml:space="preserve"> </w:instrText>
      </w:r>
      <w:r w:rsidRPr="00FA5600">
        <w:rPr>
          <w:rStyle w:val="af7"/>
          <w:rFonts w:eastAsia="Guttman Hodes"/>
          <w:rtl/>
        </w:rPr>
      </w:r>
      <w:r w:rsidRPr="00FA5600">
        <w:rPr>
          <w:rStyle w:val="af7"/>
          <w:rFonts w:eastAsia="Guttman Hodes"/>
          <w:rtl/>
        </w:rPr>
        <w:fldChar w:fldCharType="separate"/>
      </w:r>
      <w:r w:rsidR="00345400">
        <w:rPr>
          <w:rStyle w:val="af7"/>
          <w:rFonts w:eastAsia="Guttman Hodes"/>
          <w:cs/>
        </w:rPr>
        <w:t>‎</w:t>
      </w:r>
      <w:r w:rsidR="00345400">
        <w:rPr>
          <w:rStyle w:val="af7"/>
          <w:rFonts w:eastAsia="Guttman Hodes"/>
          <w:rtl/>
        </w:rPr>
        <w:t>קג)</w:t>
      </w:r>
      <w:r w:rsidRPr="00FA5600">
        <w:rPr>
          <w:rStyle w:val="af7"/>
          <w:rFonts w:eastAsia="Guttman Hodes"/>
          <w:rtl/>
        </w:rPr>
        <w:fldChar w:fldCharType="end"/>
      </w:r>
      <w:r>
        <w:rPr>
          <w:rFonts w:hint="cs"/>
          <w:rtl/>
        </w:rPr>
        <w:t xml:space="preserve"> דכתב </w:t>
      </w:r>
      <w:r w:rsidRPr="00A77FEC">
        <w:rPr>
          <w:rStyle w:val="af9"/>
          <w:rFonts w:hint="cs"/>
          <w:rtl/>
        </w:rPr>
        <w:t>דהרמב"ם</w:t>
      </w:r>
      <w:r>
        <w:rPr>
          <w:rFonts w:hint="cs"/>
          <w:rtl/>
        </w:rPr>
        <w:t xml:space="preserve"> פסק לחומרא, וכתב </w:t>
      </w:r>
      <w:r w:rsidRPr="00A77FEC">
        <w:rPr>
          <w:rStyle w:val="af9"/>
          <w:rFonts w:hint="cs"/>
          <w:rtl/>
        </w:rPr>
        <w:t>הפרמ"ג</w:t>
      </w:r>
      <w:r>
        <w:rPr>
          <w:rFonts w:hint="cs"/>
          <w:rtl/>
        </w:rPr>
        <w:t xml:space="preserve"> דמשמע דהסתפק </w:t>
      </w:r>
      <w:r w:rsidRPr="00106AE4">
        <w:rPr>
          <w:rStyle w:val="af9"/>
          <w:rFonts w:hint="cs"/>
          <w:rtl/>
        </w:rPr>
        <w:t>הכס"מ</w:t>
      </w:r>
      <w:r>
        <w:rPr>
          <w:rFonts w:hint="cs"/>
          <w:rtl/>
        </w:rPr>
        <w:t xml:space="preserve"> אי לדעת </w:t>
      </w:r>
      <w:r w:rsidRPr="00A77FEC">
        <w:rPr>
          <w:rStyle w:val="af9"/>
          <w:rFonts w:hint="cs"/>
          <w:rtl/>
        </w:rPr>
        <w:t>הרמב"ם</w:t>
      </w:r>
      <w:r>
        <w:rPr>
          <w:rFonts w:hint="cs"/>
          <w:rtl/>
        </w:rPr>
        <w:t xml:space="preserve"> הוי ודאי נבילה.</w:t>
      </w:r>
      <w:bookmarkEnd w:id="838"/>
    </w:p>
    <w:p w14:paraId="6B9F08EE" w14:textId="77777777" w:rsidR="00852065" w:rsidRPr="00B22392" w:rsidRDefault="00852065" w:rsidP="006D6D32">
      <w:pPr>
        <w:pStyle w:val="a3"/>
      </w:pPr>
      <w:bookmarkStart w:id="839" w:name="_Toc522099686"/>
      <w:bookmarkStart w:id="840" w:name="_Toc19388992"/>
      <w:bookmarkStart w:id="841" w:name="_Toc19392489"/>
      <w:r>
        <w:rPr>
          <w:rFonts w:hint="cs"/>
          <w:rtl/>
        </w:rPr>
        <w:t>דברי הפרמ"ג והתבואות שור דלרמב"ם ולש"ך הוי ודאי נבילה</w:t>
      </w:r>
      <w:bookmarkEnd w:id="839"/>
      <w:bookmarkEnd w:id="840"/>
      <w:bookmarkEnd w:id="841"/>
    </w:p>
    <w:p w14:paraId="4F268EEB" w14:textId="77777777" w:rsidR="00852065" w:rsidRDefault="00852065" w:rsidP="00223668">
      <w:pPr>
        <w:pStyle w:val="a0"/>
        <w:rPr>
          <w:rtl/>
        </w:rPr>
      </w:pPr>
      <w:bookmarkStart w:id="842" w:name="_Ref522110429"/>
      <w:r>
        <w:rPr>
          <w:rFonts w:hint="cs"/>
          <w:rtl/>
        </w:rPr>
        <w:t xml:space="preserve">והקשה </w:t>
      </w:r>
      <w:r w:rsidRPr="00A77FEC">
        <w:rPr>
          <w:rStyle w:val="af9"/>
          <w:rFonts w:hint="cs"/>
          <w:rtl/>
        </w:rPr>
        <w:t>הפרמ"ג</w:t>
      </w:r>
      <w:r>
        <w:rPr>
          <w:rFonts w:hint="cs"/>
          <w:rtl/>
        </w:rPr>
        <w:t xml:space="preserve"> דמדכתב </w:t>
      </w:r>
      <w:r w:rsidRPr="00A77FEC">
        <w:rPr>
          <w:rStyle w:val="af9"/>
          <w:rFonts w:hint="cs"/>
          <w:rtl/>
        </w:rPr>
        <w:t>הרמב"ם</w:t>
      </w:r>
      <w:r>
        <w:rPr>
          <w:rFonts w:hint="cs"/>
          <w:rtl/>
        </w:rPr>
        <w:t xml:space="preserve"> ה"ז נבילה, משמע דמדאו' היא נבילה, והוסיף </w:t>
      </w:r>
      <w:r w:rsidRPr="00A77FEC">
        <w:rPr>
          <w:rStyle w:val="af9"/>
          <w:rFonts w:hint="cs"/>
          <w:rtl/>
        </w:rPr>
        <w:t>הפרמ"ג</w:t>
      </w:r>
      <w:r>
        <w:rPr>
          <w:rFonts w:hint="cs"/>
          <w:rtl/>
        </w:rPr>
        <w:t xml:space="preserve"> דכן משמע </w:t>
      </w:r>
      <w:r w:rsidRPr="00A77FEC">
        <w:rPr>
          <w:rStyle w:val="af9"/>
          <w:rFonts w:hint="cs"/>
          <w:rtl/>
        </w:rPr>
        <w:t>בש"ך</w:t>
      </w:r>
      <w:r>
        <w:rPr>
          <w:rFonts w:hint="cs"/>
          <w:rtl/>
        </w:rPr>
        <w:t xml:space="preserve"> </w:t>
      </w:r>
      <w:r w:rsidRPr="00A77FEC">
        <w:rPr>
          <w:rStyle w:val="af7"/>
          <w:rFonts w:eastAsia="Guttman Hodes" w:hint="cs"/>
          <w:rtl/>
        </w:rPr>
        <w:t>(כ"ה א')</w:t>
      </w:r>
      <w:r>
        <w:rPr>
          <w:rFonts w:hint="cs"/>
          <w:rtl/>
        </w:rPr>
        <w:t xml:space="preserve"> דכתב דהוי נבילה, ולא כתב דהיא ספק נבילה.</w:t>
      </w:r>
      <w:r w:rsidRPr="00774DBE">
        <w:rPr>
          <w:rFonts w:hint="cs"/>
          <w:rtl/>
        </w:rPr>
        <w:t xml:space="preserve"> </w:t>
      </w:r>
      <w:r>
        <w:rPr>
          <w:rFonts w:hint="cs"/>
          <w:rtl/>
        </w:rPr>
        <w:t xml:space="preserve">וכ"כ </w:t>
      </w:r>
      <w:r w:rsidRPr="00A77FEC">
        <w:rPr>
          <w:rStyle w:val="af9"/>
          <w:rFonts w:hint="cs"/>
          <w:rtl/>
        </w:rPr>
        <w:t>התבואות שור</w:t>
      </w:r>
      <w:r>
        <w:rPr>
          <w:rFonts w:hint="cs"/>
          <w:rtl/>
        </w:rPr>
        <w:t xml:space="preserve"> </w:t>
      </w:r>
      <w:r w:rsidRPr="00A77FEC">
        <w:rPr>
          <w:rStyle w:val="af7"/>
          <w:rFonts w:eastAsia="Guttman Hodes" w:hint="cs"/>
          <w:rtl/>
        </w:rPr>
        <w:t>(סי' כ"ה ג')</w:t>
      </w:r>
      <w:r>
        <w:rPr>
          <w:rFonts w:hint="cs"/>
          <w:rtl/>
        </w:rPr>
        <w:t xml:space="preserve">. ועוד הקשה התבואות שור על </w:t>
      </w:r>
      <w:r w:rsidRPr="00A77FEC">
        <w:rPr>
          <w:rStyle w:val="af9"/>
          <w:rFonts w:hint="cs"/>
          <w:rtl/>
        </w:rPr>
        <w:t>הכס"מ</w:t>
      </w:r>
      <w:r>
        <w:rPr>
          <w:rFonts w:hint="cs"/>
          <w:rtl/>
        </w:rPr>
        <w:t xml:space="preserve"> דהוא חומרא דאתי לידי קולא דישרפו ע"ז תרומה וקדשים.</w:t>
      </w:r>
      <w:bookmarkEnd w:id="842"/>
    </w:p>
    <w:p w14:paraId="15459BF9" w14:textId="77777777" w:rsidR="00852065" w:rsidRDefault="00852065" w:rsidP="006D6D32">
      <w:pPr>
        <w:pStyle w:val="a3"/>
        <w:rPr>
          <w:rtl/>
        </w:rPr>
      </w:pPr>
      <w:bookmarkStart w:id="843" w:name="_Toc522099687"/>
      <w:bookmarkStart w:id="844" w:name="_Toc19388993"/>
      <w:bookmarkStart w:id="845" w:name="_Toc19392490"/>
      <w:r>
        <w:rPr>
          <w:rFonts w:hint="cs"/>
          <w:rtl/>
        </w:rPr>
        <w:t>ביאור הפרמ"ג דהרמב"ם ס"ל כתירוץ הב' במרדכי דאין רוב ששחט כראוי</w:t>
      </w:r>
      <w:bookmarkEnd w:id="843"/>
      <w:bookmarkEnd w:id="844"/>
      <w:bookmarkEnd w:id="845"/>
    </w:p>
    <w:p w14:paraId="2A7D67B1" w14:textId="77777777" w:rsidR="00852065" w:rsidRDefault="00852065" w:rsidP="00223668">
      <w:pPr>
        <w:pStyle w:val="a0"/>
        <w:rPr>
          <w:rtl/>
        </w:rPr>
      </w:pPr>
      <w:r>
        <w:rPr>
          <w:rFonts w:hint="cs"/>
          <w:rtl/>
        </w:rPr>
        <w:t xml:space="preserve">וביאר </w:t>
      </w:r>
      <w:r w:rsidRPr="00D952E6">
        <w:rPr>
          <w:rStyle w:val="af9"/>
          <w:rFonts w:hint="cs"/>
          <w:rtl/>
        </w:rPr>
        <w:t>הפרמ"ג</w:t>
      </w:r>
      <w:r>
        <w:rPr>
          <w:rFonts w:hint="cs"/>
          <w:rtl/>
        </w:rPr>
        <w:t xml:space="preserve"> דס"ל </w:t>
      </w:r>
      <w:r w:rsidRPr="00D952E6">
        <w:rPr>
          <w:rStyle w:val="af9"/>
          <w:rFonts w:hint="cs"/>
          <w:rtl/>
        </w:rPr>
        <w:t>להרמב"ם כמרדכי בתירוצו השני</w:t>
      </w:r>
      <w:r>
        <w:rPr>
          <w:rFonts w:hint="cs"/>
          <w:rtl/>
        </w:rPr>
        <w:t xml:space="preserve"> </w:t>
      </w:r>
      <w:r w:rsidRPr="00E84C32">
        <w:rPr>
          <w:rStyle w:val="af7"/>
          <w:rFonts w:eastAsia="Guttman Hodes" w:hint="cs"/>
          <w:rtl/>
        </w:rPr>
        <w:t xml:space="preserve">(עי' אות </w:t>
      </w:r>
      <w:r w:rsidRPr="00E84C32">
        <w:rPr>
          <w:rStyle w:val="af7"/>
          <w:rFonts w:eastAsia="Guttman Hodes"/>
          <w:rtl/>
        </w:rPr>
        <w:fldChar w:fldCharType="begin"/>
      </w:r>
      <w:r w:rsidRPr="00E84C32">
        <w:rPr>
          <w:rStyle w:val="af7"/>
          <w:rFonts w:eastAsia="Guttman Hodes"/>
          <w:rtl/>
        </w:rPr>
        <w:instrText xml:space="preserve"> </w:instrText>
      </w:r>
      <w:r w:rsidRPr="00E84C32">
        <w:rPr>
          <w:rStyle w:val="af7"/>
          <w:rFonts w:eastAsia="Guttman Hodes" w:hint="cs"/>
        </w:rPr>
        <w:instrText>REF</w:instrText>
      </w:r>
      <w:r w:rsidRPr="00E84C32">
        <w:rPr>
          <w:rStyle w:val="af7"/>
          <w:rFonts w:eastAsia="Guttman Hodes" w:hint="cs"/>
          <w:rtl/>
        </w:rPr>
        <w:instrText xml:space="preserve"> _</w:instrText>
      </w:r>
      <w:r w:rsidRPr="00E84C32">
        <w:rPr>
          <w:rStyle w:val="af7"/>
          <w:rFonts w:eastAsia="Guttman Hodes" w:hint="cs"/>
        </w:rPr>
        <w:instrText>Ref522108347 \r \h</w:instrText>
      </w:r>
      <w:r w:rsidRPr="00E84C32">
        <w:rPr>
          <w:rStyle w:val="af7"/>
          <w:rFonts w:eastAsia="Guttman Hodes"/>
          <w:rtl/>
        </w:rPr>
        <w:instrText xml:space="preserve"> </w:instrText>
      </w:r>
      <w:r w:rsidRPr="00E84C32">
        <w:rPr>
          <w:rStyle w:val="af7"/>
          <w:rFonts w:eastAsia="Guttman Hodes"/>
          <w:rtl/>
        </w:rPr>
      </w:r>
      <w:r w:rsidRPr="00E84C32">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E84C32">
        <w:rPr>
          <w:rStyle w:val="af7"/>
          <w:rFonts w:eastAsia="Guttman Hodes"/>
          <w:rtl/>
        </w:rPr>
        <w:fldChar w:fldCharType="end"/>
      </w:r>
      <w:r>
        <w:rPr>
          <w:rFonts w:hint="cs"/>
          <w:rtl/>
        </w:rPr>
        <w:t xml:space="preserve"> דאין רוב ששחט את רוב הסימנים </w:t>
      </w:r>
      <w:r w:rsidRPr="0042660F">
        <w:rPr>
          <w:rStyle w:val="af7"/>
          <w:rFonts w:eastAsia="Guttman Hodes" w:hint="cs"/>
          <w:rtl/>
        </w:rPr>
        <w:t xml:space="preserve">(עי' הערה </w:t>
      </w:r>
      <w:r w:rsidRPr="0042660F">
        <w:rPr>
          <w:rStyle w:val="af7"/>
          <w:rFonts w:eastAsia="Guttman Hodes"/>
          <w:rtl/>
        </w:rPr>
        <w:fldChar w:fldCharType="begin"/>
      </w:r>
      <w:r w:rsidRPr="0042660F">
        <w:rPr>
          <w:rStyle w:val="af7"/>
          <w:rFonts w:eastAsia="Guttman Hodes"/>
          <w:rtl/>
        </w:rPr>
        <w:instrText xml:space="preserve"> </w:instrText>
      </w:r>
      <w:r w:rsidRPr="0042660F">
        <w:rPr>
          <w:rStyle w:val="af7"/>
          <w:rFonts w:eastAsia="Guttman Hodes" w:hint="cs"/>
        </w:rPr>
        <w:instrText>NOTEREF</w:instrText>
      </w:r>
      <w:r w:rsidRPr="0042660F">
        <w:rPr>
          <w:rStyle w:val="af7"/>
          <w:rFonts w:eastAsia="Guttman Hodes" w:hint="cs"/>
          <w:rtl/>
        </w:rPr>
        <w:instrText xml:space="preserve"> _</w:instrText>
      </w:r>
      <w:r w:rsidRPr="0042660F">
        <w:rPr>
          <w:rStyle w:val="af7"/>
          <w:rFonts w:eastAsia="Guttman Hodes" w:hint="cs"/>
        </w:rPr>
        <w:instrText>Ref521924385 \h</w:instrText>
      </w:r>
      <w:r w:rsidRPr="0042660F">
        <w:rPr>
          <w:rStyle w:val="af7"/>
          <w:rFonts w:eastAsia="Guttman Hodes"/>
          <w:rtl/>
        </w:rPr>
        <w:instrText xml:space="preserve"> </w:instrText>
      </w:r>
      <w:r w:rsidRPr="0042660F">
        <w:rPr>
          <w:rStyle w:val="af7"/>
          <w:rFonts w:eastAsia="Guttman Hodes"/>
          <w:rtl/>
        </w:rPr>
      </w:r>
      <w:r w:rsidRPr="0042660F">
        <w:rPr>
          <w:rStyle w:val="af7"/>
          <w:rFonts w:eastAsia="Guttman Hodes"/>
          <w:rtl/>
        </w:rPr>
        <w:fldChar w:fldCharType="separate"/>
      </w:r>
      <w:r w:rsidR="00345400">
        <w:rPr>
          <w:rStyle w:val="af7"/>
          <w:rFonts w:eastAsia="Guttman Hodes"/>
          <w:rtl/>
        </w:rPr>
        <w:t>2</w:t>
      </w:r>
      <w:r w:rsidRPr="0042660F">
        <w:rPr>
          <w:rStyle w:val="af7"/>
          <w:rFonts w:eastAsia="Guttman Hodes"/>
          <w:rtl/>
        </w:rPr>
        <w:fldChar w:fldCharType="end"/>
      </w:r>
      <w:r w:rsidRPr="0042660F">
        <w:rPr>
          <w:rStyle w:val="af7"/>
          <w:rFonts w:eastAsia="Guttman Hodes" w:hint="cs"/>
          <w:rtl/>
        </w:rPr>
        <w:t>)</w:t>
      </w:r>
      <w:r>
        <w:rPr>
          <w:rFonts w:hint="cs"/>
          <w:rtl/>
        </w:rPr>
        <w:t>.</w:t>
      </w:r>
    </w:p>
    <w:p w14:paraId="27FFA8AD" w14:textId="77777777" w:rsidR="00852065" w:rsidRPr="00B22392" w:rsidRDefault="00852065" w:rsidP="006D6D32">
      <w:pPr>
        <w:pStyle w:val="a3"/>
        <w:rPr>
          <w:rtl/>
        </w:rPr>
      </w:pPr>
      <w:bookmarkStart w:id="846" w:name="_Toc522099688"/>
      <w:bookmarkStart w:id="847" w:name="_Toc19388994"/>
      <w:bookmarkStart w:id="848" w:name="_Toc19392491"/>
      <w:r>
        <w:rPr>
          <w:rFonts w:hint="cs"/>
          <w:rtl/>
        </w:rPr>
        <w:t>דברי הפרמ"ג דלהרמב"ם לוקין על אכילתה בלאו דנבילה מכח החזקת איסור</w:t>
      </w:r>
      <w:bookmarkEnd w:id="846"/>
      <w:bookmarkEnd w:id="847"/>
      <w:bookmarkEnd w:id="848"/>
    </w:p>
    <w:p w14:paraId="15F6B13E" w14:textId="77777777" w:rsidR="00852065" w:rsidRDefault="00852065" w:rsidP="00223668">
      <w:pPr>
        <w:pStyle w:val="a0"/>
        <w:rPr>
          <w:rtl/>
        </w:rPr>
      </w:pPr>
      <w:r>
        <w:rPr>
          <w:rFonts w:hint="cs"/>
          <w:rtl/>
        </w:rPr>
        <w:t xml:space="preserve">וכתב </w:t>
      </w:r>
      <w:r w:rsidRPr="00D952E6">
        <w:rPr>
          <w:rStyle w:val="af9"/>
          <w:rFonts w:hint="cs"/>
          <w:rtl/>
        </w:rPr>
        <w:t>הפרמ"ג</w:t>
      </w:r>
      <w:r>
        <w:rPr>
          <w:rFonts w:hint="cs"/>
          <w:rtl/>
        </w:rPr>
        <w:t xml:space="preserve"> דכיון דהיא נבילה מדאו' מחמת החזקת איסור, א"כ הדין הוא דלענין אכילה לוקה עליה דסוקלין ושורפין על החזקות.</w:t>
      </w:r>
    </w:p>
    <w:p w14:paraId="33FA5A6F" w14:textId="77777777" w:rsidR="00852065" w:rsidRPr="00AB6237" w:rsidRDefault="00852065" w:rsidP="006D6D32">
      <w:pPr>
        <w:pStyle w:val="a3"/>
      </w:pPr>
      <w:bookmarkStart w:id="849" w:name="_Toc522099689"/>
      <w:bookmarkStart w:id="850" w:name="_Toc19388995"/>
      <w:bookmarkStart w:id="851" w:name="_Toc19392492"/>
      <w:r>
        <w:rPr>
          <w:rFonts w:hint="cs"/>
          <w:rtl/>
        </w:rPr>
        <w:t>דברי הפרמ"ג דלהרמב"ם אין לה חזקת טומאה ואין לוקין עליה לענין טומאה</w:t>
      </w:r>
      <w:bookmarkEnd w:id="849"/>
      <w:bookmarkEnd w:id="850"/>
      <w:bookmarkEnd w:id="851"/>
    </w:p>
    <w:p w14:paraId="266C3608" w14:textId="77777777" w:rsidR="00852065" w:rsidRDefault="00852065" w:rsidP="00223668">
      <w:pPr>
        <w:pStyle w:val="a0"/>
        <w:rPr>
          <w:rtl/>
        </w:rPr>
      </w:pPr>
      <w:r>
        <w:rPr>
          <w:rFonts w:hint="cs"/>
          <w:rtl/>
        </w:rPr>
        <w:t xml:space="preserve">אך כתב </w:t>
      </w:r>
      <w:r w:rsidRPr="00D952E6">
        <w:rPr>
          <w:rStyle w:val="af9"/>
          <w:rFonts w:hint="cs"/>
          <w:rtl/>
        </w:rPr>
        <w:t>הפרמ"ג</w:t>
      </w:r>
      <w:r>
        <w:rPr>
          <w:rFonts w:hint="cs"/>
          <w:rtl/>
        </w:rPr>
        <w:t xml:space="preserve"> דמ"מ לענין טומאה אינו לוקה עליה, ולכן לא כתב </w:t>
      </w:r>
      <w:r w:rsidRPr="00D952E6">
        <w:rPr>
          <w:rStyle w:val="af9"/>
          <w:rFonts w:hint="cs"/>
          <w:rtl/>
        </w:rPr>
        <w:t>הרמב"ם</w:t>
      </w:r>
      <w:r>
        <w:rPr>
          <w:rFonts w:hint="cs"/>
          <w:rtl/>
        </w:rPr>
        <w:t xml:space="preserve"> דמטמאה במשא, וכתב </w:t>
      </w:r>
      <w:r w:rsidRPr="00D952E6">
        <w:rPr>
          <w:rStyle w:val="af9"/>
          <w:rFonts w:hint="cs"/>
          <w:rtl/>
        </w:rPr>
        <w:t>הפרמ"ג</w:t>
      </w:r>
      <w:r>
        <w:rPr>
          <w:rFonts w:hint="cs"/>
          <w:rtl/>
        </w:rPr>
        <w:t xml:space="preserve"> דלכן לא הביא </w:t>
      </w:r>
      <w:r w:rsidRPr="00D952E6">
        <w:rPr>
          <w:rStyle w:val="af9"/>
          <w:rFonts w:hint="cs"/>
          <w:rtl/>
        </w:rPr>
        <w:t>הרמב"ם</w:t>
      </w:r>
      <w:r>
        <w:rPr>
          <w:rFonts w:hint="cs"/>
          <w:rtl/>
        </w:rPr>
        <w:t xml:space="preserve"> בהל' שאר אבות הטומאה דין זה, דהיכא שלא בדק בסימנים מטמאה במשא, דכל מה שהיא נבילה הוא כיון שמעמידים אותה בחזקתה הראשונה לענין איסור, וממילא היא נבילה, וכמו דבחייה לוקה עליה מדין אבר מן החי, עכשיו שהיא מתה היא נבילה גמורה ולוקה עליה, אבל לענין טומאה שלא הוחזקה בטומאה לא מהני החזקה, ולכן אינו לוקה עליה.</w:t>
      </w:r>
    </w:p>
    <w:p w14:paraId="2061A55A" w14:textId="77777777" w:rsidR="00852065" w:rsidRPr="00300E20" w:rsidRDefault="00852065" w:rsidP="006D6D32">
      <w:pPr>
        <w:pStyle w:val="a3"/>
        <w:rPr>
          <w:rtl/>
        </w:rPr>
      </w:pPr>
      <w:bookmarkStart w:id="852" w:name="_Toc522099690"/>
      <w:bookmarkStart w:id="853" w:name="_Toc19388996"/>
      <w:bookmarkStart w:id="854" w:name="_Toc19392493"/>
      <w:r>
        <w:rPr>
          <w:rFonts w:hint="cs"/>
          <w:rtl/>
        </w:rPr>
        <w:t>דברי התבואות שור דלהרמב"ם אין רוב ומספק מוקמינן לה בחזקת איסור</w:t>
      </w:r>
      <w:bookmarkEnd w:id="852"/>
      <w:bookmarkEnd w:id="853"/>
      <w:bookmarkEnd w:id="854"/>
    </w:p>
    <w:p w14:paraId="5D113C5E" w14:textId="77777777" w:rsidR="00852065" w:rsidRDefault="00852065" w:rsidP="00223668">
      <w:pPr>
        <w:pStyle w:val="a0"/>
        <w:rPr>
          <w:rtl/>
        </w:rPr>
      </w:pPr>
      <w:bookmarkStart w:id="855" w:name="_Ref522110331"/>
      <w:r w:rsidRPr="004F4DCB">
        <w:rPr>
          <w:rStyle w:val="af9"/>
          <w:rFonts w:hint="cs"/>
          <w:rtl/>
        </w:rPr>
        <w:t>והתבואות שור</w:t>
      </w:r>
      <w:r>
        <w:rPr>
          <w:rFonts w:hint="cs"/>
          <w:rtl/>
        </w:rPr>
        <w:t xml:space="preserve"> </w:t>
      </w:r>
      <w:r w:rsidRPr="004F4DCB">
        <w:rPr>
          <w:rStyle w:val="af7"/>
          <w:rFonts w:eastAsia="Guttman Hodes" w:hint="cs"/>
          <w:rtl/>
        </w:rPr>
        <w:t>(סי' כ"ה ג')</w:t>
      </w:r>
      <w:r>
        <w:rPr>
          <w:rFonts w:hint="cs"/>
          <w:rtl/>
        </w:rPr>
        <w:t xml:space="preserve"> ביאר דס"ל </w:t>
      </w:r>
      <w:r w:rsidRPr="004F4DCB">
        <w:rPr>
          <w:rStyle w:val="af9"/>
          <w:rFonts w:hint="cs"/>
          <w:rtl/>
        </w:rPr>
        <w:t>להרמב"ם</w:t>
      </w:r>
      <w:r>
        <w:rPr>
          <w:rFonts w:hint="cs"/>
          <w:rtl/>
        </w:rPr>
        <w:t xml:space="preserve"> דאין רוב שחיטות כשרות, והוא ספק השקול, ולכן מוקמינן לה על חזקתה דהיא ודאי נבילה, או כדכתב </w:t>
      </w:r>
      <w:r w:rsidRPr="004F4DCB">
        <w:rPr>
          <w:rStyle w:val="af9"/>
          <w:rFonts w:hint="cs"/>
          <w:rtl/>
        </w:rPr>
        <w:t xml:space="preserve">המרדכי </w:t>
      </w:r>
      <w:r w:rsidRPr="00E84C32">
        <w:rPr>
          <w:rStyle w:val="af7"/>
          <w:rFonts w:eastAsia="Guttman Hodes" w:hint="cs"/>
          <w:rtl/>
        </w:rPr>
        <w:t xml:space="preserve">(עי' אות </w:t>
      </w:r>
      <w:r w:rsidRPr="00E84C32">
        <w:rPr>
          <w:rStyle w:val="af7"/>
          <w:rFonts w:eastAsia="Guttman Hodes"/>
          <w:rtl/>
        </w:rPr>
        <w:fldChar w:fldCharType="begin"/>
      </w:r>
      <w:r w:rsidRPr="00E84C32">
        <w:rPr>
          <w:rStyle w:val="af7"/>
          <w:rFonts w:eastAsia="Guttman Hodes"/>
          <w:rtl/>
        </w:rPr>
        <w:instrText xml:space="preserve"> </w:instrText>
      </w:r>
      <w:r w:rsidRPr="00E84C32">
        <w:rPr>
          <w:rStyle w:val="af7"/>
          <w:rFonts w:eastAsia="Guttman Hodes" w:hint="cs"/>
        </w:rPr>
        <w:instrText>REF</w:instrText>
      </w:r>
      <w:r w:rsidRPr="00E84C32">
        <w:rPr>
          <w:rStyle w:val="af7"/>
          <w:rFonts w:eastAsia="Guttman Hodes" w:hint="cs"/>
          <w:rtl/>
        </w:rPr>
        <w:instrText xml:space="preserve"> _</w:instrText>
      </w:r>
      <w:r w:rsidRPr="00E84C32">
        <w:rPr>
          <w:rStyle w:val="af7"/>
          <w:rFonts w:eastAsia="Guttman Hodes" w:hint="cs"/>
        </w:rPr>
        <w:instrText>Ref522100704 \r \h</w:instrText>
      </w:r>
      <w:r w:rsidRPr="00E84C32">
        <w:rPr>
          <w:rStyle w:val="af7"/>
          <w:rFonts w:eastAsia="Guttman Hodes"/>
          <w:rtl/>
        </w:rPr>
        <w:instrText xml:space="preserve"> </w:instrText>
      </w:r>
      <w:r w:rsidRPr="00E84C32">
        <w:rPr>
          <w:rStyle w:val="af7"/>
          <w:rFonts w:eastAsia="Guttman Hodes"/>
          <w:rtl/>
        </w:rPr>
      </w:r>
      <w:r w:rsidRPr="00E84C32">
        <w:rPr>
          <w:rStyle w:val="af7"/>
          <w:rFonts w:eastAsia="Guttman Hodes"/>
          <w:rtl/>
        </w:rPr>
        <w:fldChar w:fldCharType="separate"/>
      </w:r>
      <w:r w:rsidR="00345400">
        <w:rPr>
          <w:rStyle w:val="af7"/>
          <w:rFonts w:eastAsia="Guttman Hodes"/>
          <w:cs/>
        </w:rPr>
        <w:t>‎</w:t>
      </w:r>
      <w:r w:rsidR="00345400">
        <w:rPr>
          <w:rStyle w:val="af7"/>
          <w:rFonts w:eastAsia="Guttman Hodes"/>
          <w:rtl/>
        </w:rPr>
        <w:t>נז)</w:t>
      </w:r>
      <w:r w:rsidRPr="00E84C32">
        <w:rPr>
          <w:rStyle w:val="af7"/>
          <w:rFonts w:eastAsia="Guttman Hodes"/>
          <w:rtl/>
        </w:rPr>
        <w:fldChar w:fldCharType="end"/>
      </w:r>
      <w:r>
        <w:rPr>
          <w:rFonts w:hint="cs"/>
          <w:rtl/>
        </w:rPr>
        <w:t xml:space="preserve"> דאמרינן סמוך מיעוטא לחזקה, או שאינו רוב מבורר. והוסיף </w:t>
      </w:r>
      <w:r w:rsidRPr="004F4DCB">
        <w:rPr>
          <w:rStyle w:val="af9"/>
          <w:rFonts w:hint="cs"/>
          <w:rtl/>
        </w:rPr>
        <w:t>התבואות שור</w:t>
      </w:r>
      <w:r>
        <w:rPr>
          <w:rFonts w:hint="cs"/>
          <w:rtl/>
        </w:rPr>
        <w:t xml:space="preserve"> דא"א לומר דכיון שהוא ברייתא פסק הרמב"ם כוותה , דמדלא הקשתה הגמ' על ר"א ב"ר ינאי מהברייתא, משמע דהיה לו כח לחלוק על הברייתא , ועי' </w:t>
      </w:r>
      <w:r w:rsidRPr="000E790C">
        <w:rPr>
          <w:rStyle w:val="af9"/>
          <w:rFonts w:hint="cs"/>
          <w:rtl/>
        </w:rPr>
        <w:t>בגרעק"א</w:t>
      </w:r>
      <w:r>
        <w:rPr>
          <w:rFonts w:hint="cs"/>
          <w:rtl/>
        </w:rPr>
        <w:t xml:space="preserve"> </w:t>
      </w:r>
      <w:r w:rsidRPr="000E790C">
        <w:rPr>
          <w:rStyle w:val="af7"/>
          <w:rFonts w:eastAsia="Guttman Hodes" w:hint="cs"/>
          <w:rtl/>
        </w:rPr>
        <w:t xml:space="preserve">(עי' אות </w:t>
      </w:r>
      <w:r w:rsidRPr="000E790C">
        <w:rPr>
          <w:rStyle w:val="af7"/>
          <w:rFonts w:eastAsia="Guttman Hodes"/>
          <w:rtl/>
        </w:rPr>
        <w:fldChar w:fldCharType="begin"/>
      </w:r>
      <w:r w:rsidRPr="000E790C">
        <w:rPr>
          <w:rStyle w:val="af7"/>
          <w:rFonts w:eastAsia="Guttman Hodes"/>
          <w:rtl/>
        </w:rPr>
        <w:instrText xml:space="preserve"> </w:instrText>
      </w:r>
      <w:r w:rsidRPr="000E790C">
        <w:rPr>
          <w:rStyle w:val="af7"/>
          <w:rFonts w:eastAsia="Guttman Hodes" w:hint="cs"/>
        </w:rPr>
        <w:instrText>REF</w:instrText>
      </w:r>
      <w:r w:rsidRPr="000E790C">
        <w:rPr>
          <w:rStyle w:val="af7"/>
          <w:rFonts w:eastAsia="Guttman Hodes" w:hint="cs"/>
          <w:rtl/>
        </w:rPr>
        <w:instrText xml:space="preserve"> _</w:instrText>
      </w:r>
      <w:r w:rsidRPr="000E790C">
        <w:rPr>
          <w:rStyle w:val="af7"/>
          <w:rFonts w:eastAsia="Guttman Hodes" w:hint="cs"/>
        </w:rPr>
        <w:instrText>Ref522110344 \r \h</w:instrText>
      </w:r>
      <w:r w:rsidRPr="000E790C">
        <w:rPr>
          <w:rStyle w:val="af7"/>
          <w:rFonts w:eastAsia="Guttman Hodes"/>
          <w:rtl/>
        </w:rPr>
        <w:instrText xml:space="preserve"> </w:instrText>
      </w:r>
      <w:r w:rsidRPr="000E790C">
        <w:rPr>
          <w:rStyle w:val="af7"/>
          <w:rFonts w:eastAsia="Guttman Hodes"/>
          <w:rtl/>
        </w:rPr>
      </w:r>
      <w:r w:rsidRPr="000E790C">
        <w:rPr>
          <w:rStyle w:val="af7"/>
          <w:rFonts w:eastAsia="Guttman Hodes"/>
          <w:rtl/>
        </w:rPr>
        <w:fldChar w:fldCharType="separate"/>
      </w:r>
      <w:r w:rsidR="00345400">
        <w:rPr>
          <w:rStyle w:val="af7"/>
          <w:rFonts w:eastAsia="Guttman Hodes"/>
          <w:cs/>
        </w:rPr>
        <w:t>‎</w:t>
      </w:r>
      <w:r w:rsidR="00345400">
        <w:rPr>
          <w:rStyle w:val="af7"/>
          <w:rFonts w:eastAsia="Guttman Hodes"/>
          <w:rtl/>
        </w:rPr>
        <w:t>קי)</w:t>
      </w:r>
      <w:r w:rsidRPr="000E790C">
        <w:rPr>
          <w:rStyle w:val="af7"/>
          <w:rFonts w:eastAsia="Guttman Hodes"/>
          <w:rtl/>
        </w:rPr>
        <w:fldChar w:fldCharType="end"/>
      </w:r>
      <w:r>
        <w:rPr>
          <w:rFonts w:hint="cs"/>
          <w:rtl/>
        </w:rPr>
        <w:t>.</w:t>
      </w:r>
      <w:bookmarkEnd w:id="855"/>
      <w:r>
        <w:rPr>
          <w:rFonts w:hint="cs"/>
          <w:rtl/>
        </w:rPr>
        <w:t xml:space="preserve"> </w:t>
      </w:r>
    </w:p>
    <w:p w14:paraId="7945D7B5" w14:textId="77777777" w:rsidR="00852065" w:rsidRDefault="00852065" w:rsidP="006D6D32">
      <w:pPr>
        <w:pStyle w:val="a3"/>
        <w:rPr>
          <w:rtl/>
        </w:rPr>
      </w:pPr>
      <w:bookmarkStart w:id="856" w:name="_Toc522099691"/>
      <w:bookmarkStart w:id="857" w:name="_Toc19388997"/>
      <w:bookmarkStart w:id="858" w:name="_Toc19392494"/>
      <w:r>
        <w:rPr>
          <w:rFonts w:hint="cs"/>
          <w:rtl/>
        </w:rPr>
        <w:t>דברי התבואות שור דהרמב"ם לא הכריע במחלוקת לענין נבילה</w:t>
      </w:r>
      <w:bookmarkEnd w:id="856"/>
      <w:bookmarkEnd w:id="857"/>
      <w:bookmarkEnd w:id="858"/>
    </w:p>
    <w:p w14:paraId="07713ABC" w14:textId="77777777" w:rsidR="00852065" w:rsidRDefault="00852065" w:rsidP="00223668">
      <w:pPr>
        <w:pStyle w:val="a0"/>
        <w:rPr>
          <w:rtl/>
        </w:rPr>
      </w:pPr>
      <w:r>
        <w:rPr>
          <w:rFonts w:hint="cs"/>
          <w:rtl/>
        </w:rPr>
        <w:t xml:space="preserve">אלא כתב </w:t>
      </w:r>
      <w:r w:rsidRPr="004F4DCB">
        <w:rPr>
          <w:rStyle w:val="af9"/>
          <w:rFonts w:hint="cs"/>
          <w:rtl/>
        </w:rPr>
        <w:t>התבואות שור</w:t>
      </w:r>
      <w:r>
        <w:rPr>
          <w:rFonts w:hint="cs"/>
          <w:rtl/>
        </w:rPr>
        <w:t xml:space="preserve"> </w:t>
      </w:r>
      <w:r w:rsidRPr="004F4DCB">
        <w:rPr>
          <w:rStyle w:val="af7"/>
          <w:rFonts w:eastAsia="Guttman Hodes" w:hint="cs"/>
          <w:rtl/>
        </w:rPr>
        <w:t>(סי' כ"ה ג' ד"ה והנלע"ד)</w:t>
      </w:r>
      <w:r>
        <w:rPr>
          <w:rFonts w:hint="cs"/>
          <w:rtl/>
        </w:rPr>
        <w:t xml:space="preserve"> דאף דלענין איסור כתב </w:t>
      </w:r>
      <w:r w:rsidRPr="00E9240D">
        <w:rPr>
          <w:rStyle w:val="af9"/>
          <w:rFonts w:hint="cs"/>
          <w:rtl/>
        </w:rPr>
        <w:t>הרמב"ם</w:t>
      </w:r>
      <w:r>
        <w:rPr>
          <w:rFonts w:hint="cs"/>
          <w:rtl/>
        </w:rPr>
        <w:t xml:space="preserve"> דהיא ודאי נבילה, מ"מ לענין טומאה לא הכריע </w:t>
      </w:r>
      <w:r w:rsidRPr="00E9240D">
        <w:rPr>
          <w:rStyle w:val="af9"/>
          <w:rFonts w:hint="cs"/>
          <w:rtl/>
        </w:rPr>
        <w:t>הרמב"ם</w:t>
      </w:r>
      <w:r>
        <w:rPr>
          <w:rFonts w:hint="cs"/>
          <w:rtl/>
        </w:rPr>
        <w:t xml:space="preserve"> במחלוקת אי מטמאה כנבילה.</w:t>
      </w:r>
    </w:p>
    <w:p w14:paraId="1DE6FB11" w14:textId="77777777" w:rsidR="00852065" w:rsidRPr="00E9240D" w:rsidRDefault="00852065" w:rsidP="006D6D32">
      <w:pPr>
        <w:pStyle w:val="a3"/>
      </w:pPr>
      <w:bookmarkStart w:id="859" w:name="_Toc522099692"/>
      <w:bookmarkStart w:id="860" w:name="_Toc19388998"/>
      <w:bookmarkStart w:id="861" w:name="_Toc19392495"/>
      <w:r>
        <w:rPr>
          <w:rFonts w:hint="cs"/>
          <w:rtl/>
        </w:rPr>
        <w:t>דברי התבואות שור דמלשון נבילה אין ראיה דאף לענין אכילה היא נבילה ולא טריפה</w:t>
      </w:r>
      <w:bookmarkEnd w:id="859"/>
      <w:bookmarkEnd w:id="860"/>
      <w:bookmarkEnd w:id="861"/>
    </w:p>
    <w:p w14:paraId="413A7A91" w14:textId="77777777" w:rsidR="00852065" w:rsidRDefault="00852065" w:rsidP="00223668">
      <w:pPr>
        <w:pStyle w:val="a0"/>
        <w:rPr>
          <w:rtl/>
        </w:rPr>
      </w:pPr>
      <w:r>
        <w:rPr>
          <w:rFonts w:hint="cs"/>
          <w:rtl/>
        </w:rPr>
        <w:t xml:space="preserve">וביאר </w:t>
      </w:r>
      <w:r w:rsidRPr="00E9240D">
        <w:rPr>
          <w:rStyle w:val="af9"/>
          <w:rFonts w:hint="cs"/>
          <w:rtl/>
        </w:rPr>
        <w:t>התבואות שור</w:t>
      </w:r>
      <w:r>
        <w:rPr>
          <w:rFonts w:hint="cs"/>
          <w:rtl/>
        </w:rPr>
        <w:t xml:space="preserve"> דמדכתב </w:t>
      </w:r>
      <w:r w:rsidRPr="00FF048E">
        <w:rPr>
          <w:rStyle w:val="af9"/>
          <w:rFonts w:hint="cs"/>
          <w:rtl/>
        </w:rPr>
        <w:t>הרמב"ם</w:t>
      </w:r>
      <w:r>
        <w:rPr>
          <w:rFonts w:hint="cs"/>
          <w:rtl/>
        </w:rPr>
        <w:t xml:space="preserve"> ה"ז נבילה, אין כל ראיה דהיא ודאי נבילה, דאף למ"ד דאינה מטמאה לענין אכילה היא נבילה, והלשון בגמ' דהיא טריפה הוא לאו דוקא דהא אי"ז טריפה כלל, דכל ספק בשחיטה היא נבילה, אלא דקרי לה טריפה כיון שאינה מטמאה, ולכן אמר ר"א ב"ר ינאי "טריפה ואסורה באכילה" דהוא פשיטא דטריפה אסורה, אלא דכוונתו דהיא כטריפה דאסורה באכילה ואינה מטמאה.</w:t>
      </w:r>
    </w:p>
    <w:p w14:paraId="7B7CD9C6" w14:textId="77777777" w:rsidR="00852065" w:rsidRPr="00EB740E" w:rsidRDefault="00852065" w:rsidP="006D6D32">
      <w:pPr>
        <w:pStyle w:val="a3"/>
      </w:pPr>
      <w:bookmarkStart w:id="862" w:name="_Toc522099693"/>
      <w:bookmarkStart w:id="863" w:name="_Toc19388999"/>
      <w:bookmarkStart w:id="864" w:name="_Toc19392496"/>
      <w:r>
        <w:rPr>
          <w:rFonts w:hint="cs"/>
          <w:rtl/>
        </w:rPr>
        <w:t>ביאור הפרמ"ג דבאיסור שמחיים לוקה ה"ה לאחר מיתה משא"כ בטומאה דאינו לוקה</w:t>
      </w:r>
      <w:bookmarkEnd w:id="862"/>
      <w:bookmarkEnd w:id="863"/>
      <w:bookmarkEnd w:id="864"/>
    </w:p>
    <w:p w14:paraId="7FBB7D9B" w14:textId="77777777" w:rsidR="00852065" w:rsidRDefault="00852065" w:rsidP="00223668">
      <w:pPr>
        <w:pStyle w:val="a0"/>
        <w:rPr>
          <w:rtl/>
        </w:rPr>
      </w:pPr>
      <w:r w:rsidRPr="00713329">
        <w:rPr>
          <w:rFonts w:hint="cs"/>
          <w:rtl/>
        </w:rPr>
        <w:t>וביאר</w:t>
      </w:r>
      <w:r>
        <w:rPr>
          <w:rFonts w:hint="cs"/>
          <w:rtl/>
        </w:rPr>
        <w:t xml:space="preserve"> </w:t>
      </w:r>
      <w:r w:rsidRPr="009C71EB">
        <w:rPr>
          <w:rStyle w:val="af9"/>
          <w:rFonts w:hint="cs"/>
          <w:rtl/>
        </w:rPr>
        <w:t>הפרמ"ג</w:t>
      </w:r>
      <w:r>
        <w:rPr>
          <w:rFonts w:hint="cs"/>
          <w:rtl/>
        </w:rPr>
        <w:t xml:space="preserve"> </w:t>
      </w:r>
      <w:r w:rsidRPr="009C71EB">
        <w:rPr>
          <w:rStyle w:val="af7"/>
          <w:rFonts w:eastAsia="Guttman Hodes" w:hint="cs"/>
          <w:rtl/>
        </w:rPr>
        <w:t>(</w:t>
      </w:r>
      <w:r>
        <w:rPr>
          <w:rStyle w:val="af7"/>
          <w:rFonts w:eastAsia="Guttman Hodes" w:hint="cs"/>
          <w:rtl/>
        </w:rPr>
        <w:t>שפתי דעת</w:t>
      </w:r>
      <w:r w:rsidRPr="009C71EB">
        <w:rPr>
          <w:rStyle w:val="af7"/>
          <w:rFonts w:eastAsia="Guttman Hodes" w:hint="cs"/>
          <w:rtl/>
        </w:rPr>
        <w:t xml:space="preserve"> כ"ה א')</w:t>
      </w:r>
      <w:r>
        <w:rPr>
          <w:rFonts w:hint="cs"/>
          <w:rtl/>
        </w:rPr>
        <w:t xml:space="preserve"> דאף דכתב </w:t>
      </w:r>
      <w:r w:rsidRPr="00FF048E">
        <w:rPr>
          <w:rStyle w:val="af9"/>
          <w:rFonts w:hint="cs"/>
          <w:rtl/>
        </w:rPr>
        <w:t>התבואות שור</w:t>
      </w:r>
      <w:r w:rsidRPr="00713329">
        <w:rPr>
          <w:rFonts w:hint="cs"/>
          <w:rtl/>
        </w:rPr>
        <w:t xml:space="preserve"> ד</w:t>
      </w:r>
      <w:r>
        <w:rPr>
          <w:rFonts w:hint="cs"/>
          <w:rtl/>
        </w:rPr>
        <w:t xml:space="preserve">לוקה על אכילתה מ"מ </w:t>
      </w:r>
      <w:r w:rsidRPr="00713329">
        <w:rPr>
          <w:rFonts w:hint="cs"/>
          <w:rtl/>
        </w:rPr>
        <w:t>אינה טמאה</w:t>
      </w:r>
      <w:r>
        <w:rPr>
          <w:rFonts w:hint="cs"/>
          <w:rtl/>
        </w:rPr>
        <w:t>, דכוונתו לומר דהדין שהיה על הבהמה מחיים כן הוא דינה עכשיו, וכיון דמחיים היה לוקה על אכילתה מדין אבר מן החי, לוקה עכשיו מדין נבילה, ולענין טומאה כיון דמחיים לא היה לוקה, ה"ה לאחר מיתה דאינו לוקה.</w:t>
      </w:r>
    </w:p>
    <w:p w14:paraId="56CEAD1A" w14:textId="77777777" w:rsidR="00852065" w:rsidRDefault="00852065" w:rsidP="00BF39B2">
      <w:pPr>
        <w:pStyle w:val="1"/>
        <w:rPr>
          <w:rtl/>
        </w:rPr>
      </w:pPr>
      <w:bookmarkStart w:id="865" w:name="_Toc522028173"/>
      <w:bookmarkStart w:id="866" w:name="_Toc522086228"/>
      <w:bookmarkStart w:id="867" w:name="_Toc522099698"/>
      <w:bookmarkStart w:id="868" w:name="_Toc19389000"/>
      <w:bookmarkStart w:id="869" w:name="_Toc19392497"/>
      <w:r>
        <w:rPr>
          <w:rFonts w:hint="cs"/>
          <w:rtl/>
        </w:rPr>
        <w:t>בסתירת דברי הרמב"ם משאר הספיקות</w:t>
      </w:r>
      <w:bookmarkEnd w:id="865"/>
      <w:bookmarkEnd w:id="866"/>
      <w:bookmarkEnd w:id="867"/>
      <w:bookmarkEnd w:id="868"/>
      <w:bookmarkEnd w:id="869"/>
    </w:p>
    <w:p w14:paraId="51D399C8" w14:textId="77777777" w:rsidR="00852065" w:rsidRDefault="00852065" w:rsidP="006D6D32">
      <w:pPr>
        <w:pStyle w:val="a3"/>
        <w:rPr>
          <w:rtl/>
        </w:rPr>
      </w:pPr>
      <w:bookmarkStart w:id="870" w:name="_Toc522099699"/>
      <w:bookmarkStart w:id="871" w:name="_Toc19389001"/>
      <w:bookmarkStart w:id="872" w:name="_Toc19392498"/>
      <w:r>
        <w:rPr>
          <w:rFonts w:hint="cs"/>
          <w:rtl/>
        </w:rPr>
        <w:t>קושית הפרמ"ג דהכא כתב הרמב"ם דהיא ודאי נבילה ובשאר ספיקות כתב דהיא ספק נבילה</w:t>
      </w:r>
      <w:bookmarkEnd w:id="870"/>
      <w:bookmarkEnd w:id="871"/>
      <w:bookmarkEnd w:id="872"/>
    </w:p>
    <w:p w14:paraId="3DBF779B" w14:textId="77777777" w:rsidR="00852065" w:rsidRDefault="00852065" w:rsidP="00223668">
      <w:pPr>
        <w:pStyle w:val="a0"/>
        <w:rPr>
          <w:rtl/>
        </w:rPr>
      </w:pPr>
      <w:bookmarkStart w:id="873" w:name="_Ref522110068"/>
      <w:r>
        <w:rPr>
          <w:rFonts w:hint="cs"/>
          <w:rtl/>
        </w:rPr>
        <w:t xml:space="preserve">כתב </w:t>
      </w:r>
      <w:r w:rsidRPr="006832DB">
        <w:rPr>
          <w:rStyle w:val="af9"/>
          <w:rFonts w:hint="cs"/>
          <w:rtl/>
        </w:rPr>
        <w:t>בפרמ"ג</w:t>
      </w:r>
      <w:r>
        <w:rPr>
          <w:rFonts w:hint="cs"/>
          <w:rtl/>
        </w:rPr>
        <w:t xml:space="preserve"> </w:t>
      </w:r>
      <w:r w:rsidRPr="006832DB">
        <w:rPr>
          <w:rStyle w:val="af7"/>
          <w:rFonts w:eastAsia="Guttman Hodes" w:hint="cs"/>
          <w:rtl/>
        </w:rPr>
        <w:t>(</w:t>
      </w:r>
      <w:r>
        <w:rPr>
          <w:rStyle w:val="af7"/>
          <w:rFonts w:eastAsia="Guttman Hodes" w:hint="cs"/>
          <w:rtl/>
        </w:rPr>
        <w:t>שפתי דעת</w:t>
      </w:r>
      <w:r w:rsidRPr="006832DB">
        <w:rPr>
          <w:rStyle w:val="af7"/>
          <w:rFonts w:eastAsia="Guttman Hodes" w:hint="cs"/>
          <w:rtl/>
        </w:rPr>
        <w:t xml:space="preserve"> י"ח א') </w:t>
      </w:r>
      <w:r w:rsidRPr="006832DB">
        <w:rPr>
          <w:rStyle w:val="af9"/>
          <w:rFonts w:hint="cs"/>
          <w:rtl/>
        </w:rPr>
        <w:t>ובראש יוסף</w:t>
      </w:r>
      <w:r>
        <w:rPr>
          <w:rFonts w:hint="cs"/>
          <w:rtl/>
        </w:rPr>
        <w:t xml:space="preserve"> </w:t>
      </w:r>
      <w:r w:rsidRPr="006832DB">
        <w:rPr>
          <w:rStyle w:val="af7"/>
          <w:rFonts w:eastAsia="Guttman Hodes" w:hint="cs"/>
          <w:rtl/>
        </w:rPr>
        <w:t>(ד"ה במתניתא)</w:t>
      </w:r>
      <w:r>
        <w:rPr>
          <w:rFonts w:hint="cs"/>
          <w:rtl/>
        </w:rPr>
        <w:t xml:space="preserve"> דמבואר </w:t>
      </w:r>
      <w:r w:rsidRPr="00C970A8">
        <w:rPr>
          <w:rStyle w:val="af9"/>
          <w:rFonts w:hint="cs"/>
          <w:rtl/>
        </w:rPr>
        <w:t>ברמב"ם</w:t>
      </w:r>
      <w:r>
        <w:rPr>
          <w:rFonts w:hint="cs"/>
          <w:rtl/>
        </w:rPr>
        <w:t xml:space="preserve"> דהיא ודאי נבילה, וטעמו כדכתב </w:t>
      </w:r>
      <w:r w:rsidRPr="006832DB">
        <w:rPr>
          <w:rStyle w:val="af9"/>
          <w:rFonts w:hint="cs"/>
          <w:rtl/>
        </w:rPr>
        <w:t>הכס"מ</w:t>
      </w:r>
      <w:r>
        <w:rPr>
          <w:rFonts w:hint="cs"/>
          <w:rtl/>
        </w:rPr>
        <w:t xml:space="preserve"> </w:t>
      </w:r>
      <w:r w:rsidRPr="00E84C32">
        <w:rPr>
          <w:rStyle w:val="af7"/>
          <w:rFonts w:eastAsia="Guttman Hodes" w:hint="cs"/>
          <w:rtl/>
        </w:rPr>
        <w:t xml:space="preserve">(עי' אות </w:t>
      </w:r>
      <w:r w:rsidRPr="00E84C32">
        <w:rPr>
          <w:rStyle w:val="af7"/>
          <w:rFonts w:eastAsia="Guttman Hodes"/>
          <w:rtl/>
        </w:rPr>
        <w:fldChar w:fldCharType="begin"/>
      </w:r>
      <w:r w:rsidRPr="00E84C32">
        <w:rPr>
          <w:rStyle w:val="af7"/>
          <w:rFonts w:eastAsia="Guttman Hodes"/>
          <w:rtl/>
        </w:rPr>
        <w:instrText xml:space="preserve"> </w:instrText>
      </w:r>
      <w:r w:rsidRPr="00E84C32">
        <w:rPr>
          <w:rStyle w:val="af7"/>
          <w:rFonts w:eastAsia="Guttman Hodes" w:hint="cs"/>
        </w:rPr>
        <w:instrText>REF</w:instrText>
      </w:r>
      <w:r w:rsidRPr="00E84C32">
        <w:rPr>
          <w:rStyle w:val="af7"/>
          <w:rFonts w:eastAsia="Guttman Hodes" w:hint="cs"/>
          <w:rtl/>
        </w:rPr>
        <w:instrText xml:space="preserve"> _</w:instrText>
      </w:r>
      <w:r w:rsidRPr="00E84C32">
        <w:rPr>
          <w:rStyle w:val="af7"/>
          <w:rFonts w:eastAsia="Guttman Hodes" w:hint="cs"/>
        </w:rPr>
        <w:instrText>Ref522110515 \r \h</w:instrText>
      </w:r>
      <w:r w:rsidRPr="00E84C32">
        <w:rPr>
          <w:rStyle w:val="af7"/>
          <w:rFonts w:eastAsia="Guttman Hodes"/>
          <w:rtl/>
        </w:rPr>
        <w:instrText xml:space="preserve"> </w:instrText>
      </w:r>
      <w:r w:rsidRPr="00E84C32">
        <w:rPr>
          <w:rStyle w:val="af7"/>
          <w:rFonts w:eastAsia="Guttman Hodes"/>
          <w:rtl/>
        </w:rPr>
      </w:r>
      <w:r w:rsidRPr="00E84C32">
        <w:rPr>
          <w:rStyle w:val="af7"/>
          <w:rFonts w:eastAsia="Guttman Hodes"/>
          <w:rtl/>
        </w:rPr>
        <w:fldChar w:fldCharType="separate"/>
      </w:r>
      <w:r w:rsidR="00345400">
        <w:rPr>
          <w:rStyle w:val="af7"/>
          <w:rFonts w:eastAsia="Guttman Hodes"/>
          <w:cs/>
        </w:rPr>
        <w:t>‎</w:t>
      </w:r>
      <w:r w:rsidR="00345400">
        <w:rPr>
          <w:rStyle w:val="af7"/>
          <w:rFonts w:eastAsia="Guttman Hodes"/>
          <w:rtl/>
        </w:rPr>
        <w:t>קד)</w:t>
      </w:r>
      <w:r w:rsidRPr="00E84C32">
        <w:rPr>
          <w:rStyle w:val="af7"/>
          <w:rFonts w:eastAsia="Guttman Hodes"/>
          <w:rtl/>
        </w:rPr>
        <w:fldChar w:fldCharType="end"/>
      </w:r>
      <w:r>
        <w:rPr>
          <w:rFonts w:hint="cs"/>
          <w:rtl/>
        </w:rPr>
        <w:t xml:space="preserve"> דמוקמינן לה אחזקתה שלא נשחטה כראוי, ולכן היא ודאי נבילה. אך הקשה </w:t>
      </w:r>
      <w:r w:rsidRPr="006832DB">
        <w:rPr>
          <w:rStyle w:val="af9"/>
          <w:rFonts w:hint="cs"/>
          <w:rtl/>
        </w:rPr>
        <w:t>בפרמ"ג ובראש יוסף</w:t>
      </w:r>
      <w:r>
        <w:rPr>
          <w:rFonts w:hint="cs"/>
          <w:rtl/>
        </w:rPr>
        <w:t xml:space="preserve"> דהא בשאר ספיקות בשחיטה כתב </w:t>
      </w:r>
      <w:r w:rsidRPr="006832DB">
        <w:rPr>
          <w:rStyle w:val="af9"/>
          <w:rFonts w:hint="cs"/>
          <w:rtl/>
        </w:rPr>
        <w:t>הרמב"ם</w:t>
      </w:r>
      <w:r>
        <w:rPr>
          <w:rFonts w:hint="cs"/>
          <w:rtl/>
        </w:rPr>
        <w:t xml:space="preserve"> </w:t>
      </w:r>
      <w:r w:rsidRPr="006832DB">
        <w:rPr>
          <w:rStyle w:val="af7"/>
          <w:rFonts w:eastAsia="Guttman Hodes" w:hint="cs"/>
          <w:rtl/>
        </w:rPr>
        <w:t>(שחיטה ג' י"ח)</w:t>
      </w:r>
      <w:r>
        <w:rPr>
          <w:rFonts w:hint="cs"/>
          <w:rtl/>
        </w:rPr>
        <w:t xml:space="preserve"> דהיא ספק נבילה, ואמאי לא מוקמינן לה בחזקת אינה שחוטה ותהיה נבילה בודאי, ועיי"ש </w:t>
      </w:r>
      <w:r w:rsidRPr="007A5657">
        <w:rPr>
          <w:rStyle w:val="af9"/>
          <w:rFonts w:hint="cs"/>
          <w:rtl/>
        </w:rPr>
        <w:t>בפרמ"ג</w:t>
      </w:r>
      <w:r>
        <w:rPr>
          <w:rFonts w:hint="cs"/>
          <w:rtl/>
        </w:rPr>
        <w:t xml:space="preserve"> דהביא מדברי </w:t>
      </w:r>
      <w:r w:rsidRPr="007A5657">
        <w:rPr>
          <w:rStyle w:val="af9"/>
          <w:rFonts w:hint="cs"/>
          <w:rtl/>
        </w:rPr>
        <w:t>הרמב"ם</w:t>
      </w:r>
      <w:r>
        <w:rPr>
          <w:rFonts w:hint="cs"/>
          <w:rtl/>
        </w:rPr>
        <w:t xml:space="preserve"> בכמה מקומות שכתב דהוי ספק נבילה.</w:t>
      </w:r>
      <w:bookmarkEnd w:id="873"/>
    </w:p>
    <w:p w14:paraId="755C4900" w14:textId="77777777" w:rsidR="00852065" w:rsidRPr="001110F3" w:rsidRDefault="00852065" w:rsidP="006D6D32">
      <w:pPr>
        <w:pStyle w:val="a3"/>
        <w:rPr>
          <w:rtl/>
        </w:rPr>
      </w:pPr>
      <w:bookmarkStart w:id="874" w:name="_Toc522099700"/>
      <w:bookmarkStart w:id="875" w:name="_Toc19389002"/>
      <w:bookmarkStart w:id="876" w:name="_Toc19392499"/>
      <w:r>
        <w:rPr>
          <w:rFonts w:hint="cs"/>
          <w:rtl/>
        </w:rPr>
        <w:t>דברי הפרמ"ג דבשאר הספיקות סמכינן מיעוטא לחזקה והוי פלגא ופלגא ואסורה מספק</w:t>
      </w:r>
      <w:bookmarkEnd w:id="874"/>
      <w:bookmarkEnd w:id="875"/>
      <w:bookmarkEnd w:id="876"/>
    </w:p>
    <w:p w14:paraId="70698114" w14:textId="77777777" w:rsidR="00852065" w:rsidRDefault="00852065" w:rsidP="00223668">
      <w:pPr>
        <w:pStyle w:val="a0"/>
        <w:rPr>
          <w:rtl/>
        </w:rPr>
      </w:pPr>
      <w:r>
        <w:rPr>
          <w:rFonts w:hint="cs"/>
          <w:rtl/>
        </w:rPr>
        <w:t xml:space="preserve">ותירץ </w:t>
      </w:r>
      <w:r w:rsidRPr="001110F3">
        <w:rPr>
          <w:rStyle w:val="af9"/>
          <w:rFonts w:hint="cs"/>
          <w:rtl/>
        </w:rPr>
        <w:t>בפרמ"ג ובראש יוסף</w:t>
      </w:r>
      <w:r>
        <w:rPr>
          <w:rFonts w:hint="cs"/>
          <w:rtl/>
        </w:rPr>
        <w:t xml:space="preserve"> </w:t>
      </w:r>
      <w:r w:rsidRPr="001110F3">
        <w:rPr>
          <w:rStyle w:val="af7"/>
          <w:rFonts w:eastAsia="Guttman Hodes" w:hint="cs"/>
          <w:rtl/>
        </w:rPr>
        <w:t>(ד"ה וכן בנמצא)</w:t>
      </w:r>
      <w:r>
        <w:rPr>
          <w:rFonts w:hint="cs"/>
          <w:rtl/>
        </w:rPr>
        <w:t xml:space="preserve"> דס"ל </w:t>
      </w:r>
      <w:r w:rsidRPr="001110F3">
        <w:rPr>
          <w:rStyle w:val="af9"/>
          <w:rFonts w:hint="cs"/>
          <w:rtl/>
        </w:rPr>
        <w:t>להרמב"ם</w:t>
      </w:r>
      <w:r>
        <w:rPr>
          <w:rFonts w:hint="cs"/>
          <w:rtl/>
        </w:rPr>
        <w:t xml:space="preserve"> דבכל ספק בשחיטה יש רוב שהיא כשירה [או שנשחטה כראוי, או דאינה טריפה, ולא נפסקו סימניה], אך כיון דבחזקת איסור קיימא, אמרינן סמוך מיעוטא שאינה כשרה לחזקה, והוי פלגא ופלגא.</w:t>
      </w:r>
    </w:p>
    <w:p w14:paraId="1A89D4AE" w14:textId="77777777" w:rsidR="00852065" w:rsidRPr="003B5C8D" w:rsidRDefault="00852065" w:rsidP="006D6D32">
      <w:pPr>
        <w:pStyle w:val="a3"/>
      </w:pPr>
      <w:bookmarkStart w:id="877" w:name="_Toc522099701"/>
      <w:bookmarkStart w:id="878" w:name="_Toc19389003"/>
      <w:bookmarkStart w:id="879" w:name="_Toc19392500"/>
      <w:r>
        <w:rPr>
          <w:rFonts w:hint="cs"/>
          <w:rtl/>
        </w:rPr>
        <w:t>ביאור הפרמ"ג דהרוב תלוי במעשה והמיעוט אינו תלוי במעשה ומוקמנין בחזקת איסור</w:t>
      </w:r>
      <w:bookmarkEnd w:id="877"/>
      <w:bookmarkEnd w:id="878"/>
      <w:bookmarkEnd w:id="879"/>
    </w:p>
    <w:p w14:paraId="34B0C6CB" w14:textId="77777777" w:rsidR="00852065" w:rsidRDefault="00852065" w:rsidP="00223668">
      <w:pPr>
        <w:pStyle w:val="a0"/>
        <w:rPr>
          <w:rtl/>
        </w:rPr>
      </w:pPr>
      <w:r>
        <w:rPr>
          <w:rFonts w:hint="cs"/>
          <w:rtl/>
        </w:rPr>
        <w:t xml:space="preserve">אבל בלא בדק בסימנים ביאר </w:t>
      </w:r>
      <w:r w:rsidRPr="001110F3">
        <w:rPr>
          <w:rStyle w:val="af9"/>
          <w:rFonts w:hint="cs"/>
          <w:rtl/>
        </w:rPr>
        <w:t>בפרמ"ג ובראש יוסף</w:t>
      </w:r>
      <w:r>
        <w:rPr>
          <w:rFonts w:hint="cs"/>
          <w:rtl/>
        </w:rPr>
        <w:t xml:space="preserve"> דאף שיש רוב שהיא כשרה, מ"מ הוא רוב התלוי במעשה</w:t>
      </w:r>
      <w:r w:rsidRPr="00A2281D">
        <w:rPr>
          <w:rFonts w:hint="cs"/>
          <w:rtl/>
        </w:rPr>
        <w:t xml:space="preserve"> </w:t>
      </w:r>
      <w:r>
        <w:rPr>
          <w:rFonts w:hint="cs"/>
          <w:rtl/>
        </w:rPr>
        <w:t xml:space="preserve">כדכתב </w:t>
      </w:r>
      <w:r w:rsidRPr="001110F3">
        <w:rPr>
          <w:rStyle w:val="af9"/>
          <w:rFonts w:hint="cs"/>
          <w:rtl/>
        </w:rPr>
        <w:t>הרשב"א</w:t>
      </w:r>
      <w:r>
        <w:rPr>
          <w:rFonts w:hint="cs"/>
          <w:rtl/>
        </w:rPr>
        <w:t xml:space="preserve"> </w:t>
      </w:r>
      <w:r w:rsidRPr="006064F6">
        <w:rPr>
          <w:rStyle w:val="af7"/>
          <w:rFonts w:eastAsia="Guttman Hodes" w:hint="cs"/>
          <w:rtl/>
        </w:rPr>
        <w:t xml:space="preserve">(עי' אות </w:t>
      </w:r>
      <w:r w:rsidRPr="006064F6">
        <w:rPr>
          <w:rStyle w:val="af7"/>
          <w:rFonts w:eastAsia="Guttman Hodes"/>
          <w:rtl/>
        </w:rPr>
        <w:fldChar w:fldCharType="begin"/>
      </w:r>
      <w:r w:rsidRPr="006064F6">
        <w:rPr>
          <w:rStyle w:val="af7"/>
          <w:rFonts w:eastAsia="Guttman Hodes"/>
          <w:rtl/>
        </w:rPr>
        <w:instrText xml:space="preserve"> </w:instrText>
      </w:r>
      <w:r w:rsidRPr="006064F6">
        <w:rPr>
          <w:rStyle w:val="af7"/>
          <w:rFonts w:eastAsia="Guttman Hodes" w:hint="cs"/>
        </w:rPr>
        <w:instrText>REF</w:instrText>
      </w:r>
      <w:r w:rsidRPr="006064F6">
        <w:rPr>
          <w:rStyle w:val="af7"/>
          <w:rFonts w:eastAsia="Guttman Hodes" w:hint="cs"/>
          <w:rtl/>
        </w:rPr>
        <w:instrText xml:space="preserve"> _</w:instrText>
      </w:r>
      <w:r w:rsidRPr="006064F6">
        <w:rPr>
          <w:rStyle w:val="af7"/>
          <w:rFonts w:eastAsia="Guttman Hodes" w:hint="cs"/>
        </w:rPr>
        <w:instrText>Ref522109344 \r \h</w:instrText>
      </w:r>
      <w:r w:rsidRPr="006064F6">
        <w:rPr>
          <w:rStyle w:val="af7"/>
          <w:rFonts w:eastAsia="Guttman Hodes"/>
          <w:rtl/>
        </w:rPr>
        <w:instrText xml:space="preserve"> </w:instrText>
      </w:r>
      <w:r w:rsidRPr="006064F6">
        <w:rPr>
          <w:rStyle w:val="af7"/>
          <w:rFonts w:eastAsia="Guttman Hodes"/>
          <w:rtl/>
        </w:rPr>
      </w:r>
      <w:r w:rsidRPr="006064F6">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6064F6">
        <w:rPr>
          <w:rStyle w:val="af7"/>
          <w:rFonts w:eastAsia="Guttman Hodes"/>
          <w:rtl/>
        </w:rPr>
        <w:fldChar w:fldCharType="end"/>
      </w:r>
      <w:r>
        <w:rPr>
          <w:rFonts w:hint="cs"/>
          <w:rtl/>
        </w:rPr>
        <w:t>, ואילו המיעוט אינו תלוי במעשה, ולכן לא סמכינן על הרוב, ומוקמינן לה בחזקת איסור והוי ודאי נבילה.</w:t>
      </w:r>
    </w:p>
    <w:p w14:paraId="7CC71A55" w14:textId="77777777" w:rsidR="00852065" w:rsidRDefault="00852065" w:rsidP="006D6D32">
      <w:pPr>
        <w:pStyle w:val="a3"/>
        <w:rPr>
          <w:rtl/>
        </w:rPr>
      </w:pPr>
      <w:bookmarkStart w:id="880" w:name="_Toc522099702"/>
      <w:bookmarkStart w:id="881" w:name="_Toc19389004"/>
      <w:bookmarkStart w:id="882" w:name="_Toc19392501"/>
      <w:r>
        <w:rPr>
          <w:rFonts w:hint="cs"/>
          <w:rtl/>
        </w:rPr>
        <w:t>דברי הפרמ"ג דלהכס"מ דהיא ספק נבילה אף בספק נבילה כתב הרמב"ם ה"ז נבילה</w:t>
      </w:r>
      <w:bookmarkEnd w:id="880"/>
      <w:bookmarkEnd w:id="881"/>
      <w:bookmarkEnd w:id="882"/>
    </w:p>
    <w:p w14:paraId="7D4A1EBE" w14:textId="77777777" w:rsidR="00852065" w:rsidRDefault="00852065" w:rsidP="00223668">
      <w:pPr>
        <w:pStyle w:val="a0"/>
        <w:rPr>
          <w:rtl/>
        </w:rPr>
      </w:pPr>
      <w:bookmarkStart w:id="883" w:name="_Ref522110108"/>
      <w:r>
        <w:rPr>
          <w:rFonts w:hint="cs"/>
          <w:rtl/>
        </w:rPr>
        <w:t xml:space="preserve">וכתב </w:t>
      </w:r>
      <w:r w:rsidRPr="001110F3">
        <w:rPr>
          <w:rStyle w:val="af9"/>
          <w:rFonts w:hint="cs"/>
          <w:rtl/>
        </w:rPr>
        <w:t>הפרמ"ג</w:t>
      </w:r>
      <w:r>
        <w:rPr>
          <w:rFonts w:hint="cs"/>
          <w:rtl/>
        </w:rPr>
        <w:t xml:space="preserve"> דלדברי </w:t>
      </w:r>
      <w:r w:rsidRPr="001110F3">
        <w:rPr>
          <w:rStyle w:val="af9"/>
          <w:rFonts w:hint="cs"/>
          <w:rtl/>
        </w:rPr>
        <w:t>הכס"מ</w:t>
      </w:r>
      <w:r>
        <w:rPr>
          <w:rFonts w:hint="cs"/>
          <w:rtl/>
        </w:rPr>
        <w:t xml:space="preserve"> </w:t>
      </w:r>
      <w:r w:rsidRPr="00E84C32">
        <w:rPr>
          <w:rStyle w:val="af7"/>
          <w:rFonts w:eastAsia="Guttman Hodes" w:hint="cs"/>
          <w:rtl/>
        </w:rPr>
        <w:t xml:space="preserve">(עי' אות </w:t>
      </w:r>
      <w:r w:rsidRPr="00E84C32">
        <w:rPr>
          <w:rStyle w:val="af7"/>
          <w:rFonts w:eastAsia="Guttman Hodes"/>
          <w:rtl/>
        </w:rPr>
        <w:fldChar w:fldCharType="begin"/>
      </w:r>
      <w:r w:rsidRPr="00E84C32">
        <w:rPr>
          <w:rStyle w:val="af7"/>
          <w:rFonts w:eastAsia="Guttman Hodes"/>
          <w:rtl/>
        </w:rPr>
        <w:instrText xml:space="preserve"> </w:instrText>
      </w:r>
      <w:r w:rsidRPr="00E84C32">
        <w:rPr>
          <w:rStyle w:val="af7"/>
          <w:rFonts w:eastAsia="Guttman Hodes" w:hint="cs"/>
        </w:rPr>
        <w:instrText>REF</w:instrText>
      </w:r>
      <w:r w:rsidRPr="00E84C32">
        <w:rPr>
          <w:rStyle w:val="af7"/>
          <w:rFonts w:eastAsia="Guttman Hodes" w:hint="cs"/>
          <w:rtl/>
        </w:rPr>
        <w:instrText xml:space="preserve"> _</w:instrText>
      </w:r>
      <w:r w:rsidRPr="00E84C32">
        <w:rPr>
          <w:rStyle w:val="af7"/>
          <w:rFonts w:eastAsia="Guttman Hodes" w:hint="cs"/>
        </w:rPr>
        <w:instrText>Ref522110533 \r \h</w:instrText>
      </w:r>
      <w:r w:rsidRPr="00E84C32">
        <w:rPr>
          <w:rStyle w:val="af7"/>
          <w:rFonts w:eastAsia="Guttman Hodes"/>
          <w:rtl/>
        </w:rPr>
        <w:instrText xml:space="preserve"> </w:instrText>
      </w:r>
      <w:r w:rsidRPr="00E84C32">
        <w:rPr>
          <w:rStyle w:val="af7"/>
          <w:rFonts w:eastAsia="Guttman Hodes"/>
          <w:rtl/>
        </w:rPr>
      </w:r>
      <w:r w:rsidRPr="00E84C32">
        <w:rPr>
          <w:rStyle w:val="af7"/>
          <w:rFonts w:eastAsia="Guttman Hodes"/>
          <w:rtl/>
        </w:rPr>
        <w:fldChar w:fldCharType="separate"/>
      </w:r>
      <w:r w:rsidR="00345400">
        <w:rPr>
          <w:rStyle w:val="af7"/>
          <w:rFonts w:eastAsia="Guttman Hodes"/>
          <w:cs/>
        </w:rPr>
        <w:t>‎</w:t>
      </w:r>
      <w:r w:rsidR="00345400">
        <w:rPr>
          <w:rStyle w:val="af7"/>
          <w:rFonts w:eastAsia="Guttman Hodes"/>
          <w:rtl/>
        </w:rPr>
        <w:t>קג)</w:t>
      </w:r>
      <w:r w:rsidRPr="00E84C32">
        <w:rPr>
          <w:rStyle w:val="af7"/>
          <w:rFonts w:eastAsia="Guttman Hodes"/>
          <w:rtl/>
        </w:rPr>
        <w:fldChar w:fldCharType="end"/>
      </w:r>
      <w:r>
        <w:rPr>
          <w:rFonts w:hint="cs"/>
          <w:rtl/>
        </w:rPr>
        <w:t xml:space="preserve"> דדעת </w:t>
      </w:r>
      <w:r w:rsidRPr="00D952E6">
        <w:rPr>
          <w:rStyle w:val="af9"/>
          <w:rFonts w:hint="cs"/>
          <w:rtl/>
        </w:rPr>
        <w:t>הרמב"ם</w:t>
      </w:r>
      <w:r>
        <w:rPr>
          <w:rFonts w:hint="cs"/>
          <w:rtl/>
        </w:rPr>
        <w:t xml:space="preserve"> דהיא נבילה לחומרא, ומשמע דהיא ספק נבילה, וא"כ אף לספק נבילה קרי </w:t>
      </w:r>
      <w:r w:rsidRPr="001110F3">
        <w:rPr>
          <w:rStyle w:val="af9"/>
          <w:rFonts w:hint="cs"/>
          <w:rtl/>
        </w:rPr>
        <w:t>הרמב"ם</w:t>
      </w:r>
      <w:r>
        <w:rPr>
          <w:rFonts w:hint="cs"/>
          <w:rtl/>
        </w:rPr>
        <w:t xml:space="preserve"> נבילה בסתמא, וצ"ל דמ"ש </w:t>
      </w:r>
      <w:r w:rsidRPr="001110F3">
        <w:rPr>
          <w:rStyle w:val="af9"/>
          <w:rFonts w:hint="cs"/>
          <w:rtl/>
        </w:rPr>
        <w:t>הרמב"ם</w:t>
      </w:r>
      <w:r>
        <w:rPr>
          <w:rFonts w:hint="cs"/>
          <w:rtl/>
        </w:rPr>
        <w:t xml:space="preserve"> </w:t>
      </w:r>
      <w:r w:rsidRPr="001110F3">
        <w:rPr>
          <w:rStyle w:val="af7"/>
          <w:rFonts w:eastAsia="Guttman Hodes" w:hint="cs"/>
          <w:rtl/>
        </w:rPr>
        <w:t>(שחיטה ג' י"ח)</w:t>
      </w:r>
      <w:r>
        <w:rPr>
          <w:rFonts w:hint="cs"/>
          <w:rtl/>
        </w:rPr>
        <w:t xml:space="preserve"> דכל ספק בשחיטה היא ספק נבילה, הוא דוקא על שחיטה פסולה כדכתב </w:t>
      </w:r>
      <w:r w:rsidRPr="001110F3">
        <w:rPr>
          <w:rStyle w:val="af9"/>
          <w:rFonts w:hint="cs"/>
          <w:rtl/>
        </w:rPr>
        <w:t>הרמב"ם</w:t>
      </w:r>
      <w:r>
        <w:rPr>
          <w:rFonts w:hint="cs"/>
          <w:rtl/>
        </w:rPr>
        <w:t xml:space="preserve"> בתחילת דבריו, אך כתב </w:t>
      </w:r>
      <w:r w:rsidRPr="001110F3">
        <w:rPr>
          <w:rStyle w:val="af9"/>
          <w:rFonts w:hint="cs"/>
          <w:rtl/>
        </w:rPr>
        <w:t>הפרמ"ג</w:t>
      </w:r>
      <w:r>
        <w:rPr>
          <w:rFonts w:hint="cs"/>
          <w:rtl/>
        </w:rPr>
        <w:t xml:space="preserve"> דעדיין צ"ע מדברי </w:t>
      </w:r>
      <w:r w:rsidRPr="001110F3">
        <w:rPr>
          <w:rStyle w:val="af9"/>
          <w:rFonts w:hint="cs"/>
          <w:rtl/>
        </w:rPr>
        <w:t>הרמב"ם</w:t>
      </w:r>
      <w:r>
        <w:rPr>
          <w:rFonts w:hint="cs"/>
          <w:rtl/>
        </w:rPr>
        <w:t xml:space="preserve"> </w:t>
      </w:r>
      <w:r w:rsidRPr="001110F3">
        <w:rPr>
          <w:rStyle w:val="af7"/>
          <w:rFonts w:eastAsia="Guttman Hodes" w:hint="cs"/>
          <w:rtl/>
        </w:rPr>
        <w:t>(שחיטה ד' א')</w:t>
      </w:r>
      <w:r>
        <w:rPr>
          <w:rFonts w:hint="cs"/>
          <w:rtl/>
        </w:rPr>
        <w:t xml:space="preserve"> דכתב דישראל שאינו יודע הלכות שחיטה ה"ז קרובה לספק נבילה.</w:t>
      </w:r>
      <w:bookmarkEnd w:id="883"/>
    </w:p>
    <w:p w14:paraId="1F8A6692" w14:textId="77777777" w:rsidR="00852065" w:rsidRDefault="00852065" w:rsidP="006D6D32">
      <w:pPr>
        <w:pStyle w:val="a3"/>
        <w:rPr>
          <w:rtl/>
        </w:rPr>
      </w:pPr>
      <w:bookmarkStart w:id="884" w:name="_Toc522099703"/>
      <w:bookmarkStart w:id="885" w:name="_Toc19389005"/>
      <w:bookmarkStart w:id="886" w:name="_Toc19392502"/>
      <w:r>
        <w:rPr>
          <w:rFonts w:hint="cs"/>
          <w:rtl/>
        </w:rPr>
        <w:t>דברי האחיעזר דמסתימת דברי הרמב"ם משמע דכל שאין רוב להתיר הוי ספק נבילה</w:t>
      </w:r>
      <w:bookmarkEnd w:id="884"/>
      <w:bookmarkEnd w:id="885"/>
      <w:bookmarkEnd w:id="886"/>
    </w:p>
    <w:p w14:paraId="1B8DB925" w14:textId="77777777" w:rsidR="00852065" w:rsidRDefault="00852065" w:rsidP="00223668">
      <w:pPr>
        <w:pStyle w:val="a0"/>
        <w:rPr>
          <w:rtl/>
        </w:rPr>
      </w:pPr>
      <w:bookmarkStart w:id="887" w:name="_Ref522110075"/>
      <w:r w:rsidRPr="006832DB">
        <w:rPr>
          <w:rStyle w:val="af9"/>
          <w:rFonts w:hint="cs"/>
          <w:rtl/>
        </w:rPr>
        <w:t>והאחיעזר</w:t>
      </w:r>
      <w:r>
        <w:rPr>
          <w:rFonts w:hint="cs"/>
          <w:rtl/>
        </w:rPr>
        <w:t xml:space="preserve"> </w:t>
      </w:r>
      <w:r w:rsidRPr="006832DB">
        <w:rPr>
          <w:rStyle w:val="af7"/>
          <w:rFonts w:eastAsia="Guttman Hodes" w:hint="cs"/>
          <w:rtl/>
        </w:rPr>
        <w:t>(ח"ב יו"ד סי' ב' אות ב')</w:t>
      </w:r>
      <w:r>
        <w:rPr>
          <w:rFonts w:hint="cs"/>
          <w:rtl/>
        </w:rPr>
        <w:t xml:space="preserve"> הביא את קושית </w:t>
      </w:r>
      <w:r w:rsidRPr="006832DB">
        <w:rPr>
          <w:rStyle w:val="af9"/>
          <w:rFonts w:hint="cs"/>
          <w:rtl/>
        </w:rPr>
        <w:t>הפרמ"ג</w:t>
      </w:r>
      <w:r>
        <w:rPr>
          <w:rFonts w:hint="cs"/>
          <w:rtl/>
        </w:rPr>
        <w:t xml:space="preserve"> </w:t>
      </w:r>
      <w:r w:rsidRPr="00FA5600">
        <w:rPr>
          <w:rStyle w:val="af7"/>
          <w:rFonts w:eastAsia="Guttman Hodes" w:hint="cs"/>
          <w:rtl/>
        </w:rPr>
        <w:t xml:space="preserve">(עי' אות </w:t>
      </w:r>
      <w:r w:rsidRPr="00FA5600">
        <w:rPr>
          <w:rStyle w:val="af7"/>
          <w:rFonts w:eastAsia="Guttman Hodes"/>
          <w:rtl/>
        </w:rPr>
        <w:fldChar w:fldCharType="begin"/>
      </w:r>
      <w:r w:rsidRPr="00FA5600">
        <w:rPr>
          <w:rStyle w:val="af7"/>
          <w:rFonts w:eastAsia="Guttman Hodes"/>
          <w:rtl/>
        </w:rPr>
        <w:instrText xml:space="preserve"> </w:instrText>
      </w:r>
      <w:r w:rsidRPr="00FA5600">
        <w:rPr>
          <w:rStyle w:val="af7"/>
          <w:rFonts w:eastAsia="Guttman Hodes" w:hint="cs"/>
        </w:rPr>
        <w:instrText>REF</w:instrText>
      </w:r>
      <w:r w:rsidRPr="00FA5600">
        <w:rPr>
          <w:rStyle w:val="af7"/>
          <w:rFonts w:eastAsia="Guttman Hodes" w:hint="cs"/>
          <w:rtl/>
        </w:rPr>
        <w:instrText xml:space="preserve"> _</w:instrText>
      </w:r>
      <w:r w:rsidRPr="00FA5600">
        <w:rPr>
          <w:rStyle w:val="af7"/>
          <w:rFonts w:eastAsia="Guttman Hodes" w:hint="cs"/>
        </w:rPr>
        <w:instrText>Ref522110068 \r \h</w:instrText>
      </w:r>
      <w:r w:rsidRPr="00FA5600">
        <w:rPr>
          <w:rStyle w:val="af7"/>
          <w:rFonts w:eastAsia="Guttman Hodes"/>
          <w:rtl/>
        </w:rPr>
        <w:instrText xml:space="preserve"> </w:instrText>
      </w:r>
      <w:r w:rsidRPr="00FA5600">
        <w:rPr>
          <w:rStyle w:val="af7"/>
          <w:rFonts w:eastAsia="Guttman Hodes"/>
          <w:rtl/>
        </w:rPr>
      </w:r>
      <w:r w:rsidRPr="00FA5600">
        <w:rPr>
          <w:rStyle w:val="af7"/>
          <w:rFonts w:eastAsia="Guttman Hodes"/>
          <w:rtl/>
        </w:rPr>
        <w:fldChar w:fldCharType="separate"/>
      </w:r>
      <w:r w:rsidR="00345400">
        <w:rPr>
          <w:rStyle w:val="af7"/>
          <w:rFonts w:eastAsia="Guttman Hodes"/>
          <w:cs/>
        </w:rPr>
        <w:t>‎</w:t>
      </w:r>
      <w:r w:rsidR="00345400">
        <w:rPr>
          <w:rStyle w:val="af7"/>
          <w:rFonts w:eastAsia="Guttman Hodes"/>
          <w:rtl/>
        </w:rPr>
        <w:t>קכג)</w:t>
      </w:r>
      <w:r w:rsidRPr="00FA5600">
        <w:rPr>
          <w:rStyle w:val="af7"/>
          <w:rFonts w:eastAsia="Guttman Hodes"/>
          <w:rtl/>
        </w:rPr>
        <w:fldChar w:fldCharType="end"/>
      </w:r>
      <w:r>
        <w:rPr>
          <w:rFonts w:hint="cs"/>
          <w:rtl/>
        </w:rPr>
        <w:t xml:space="preserve"> דאמאי כתב </w:t>
      </w:r>
      <w:r w:rsidRPr="006832DB">
        <w:rPr>
          <w:rStyle w:val="af9"/>
          <w:rFonts w:hint="cs"/>
          <w:rtl/>
        </w:rPr>
        <w:t>הרמב"ם</w:t>
      </w:r>
      <w:r>
        <w:rPr>
          <w:rFonts w:hint="cs"/>
          <w:rtl/>
        </w:rPr>
        <w:t xml:space="preserve"> דהיא ודאי נבילה, והא כתב </w:t>
      </w:r>
      <w:r w:rsidRPr="006832DB">
        <w:rPr>
          <w:rStyle w:val="af9"/>
          <w:rFonts w:hint="cs"/>
          <w:rtl/>
        </w:rPr>
        <w:t>הרמב"ם</w:t>
      </w:r>
      <w:r>
        <w:rPr>
          <w:rFonts w:hint="cs"/>
          <w:rtl/>
        </w:rPr>
        <w:t xml:space="preserve"> </w:t>
      </w:r>
      <w:r w:rsidRPr="006832DB">
        <w:rPr>
          <w:rStyle w:val="af7"/>
          <w:rFonts w:eastAsia="Guttman Hodes" w:hint="cs"/>
          <w:rtl/>
        </w:rPr>
        <w:t>(שחיטה ג' י"ח)</w:t>
      </w:r>
      <w:r>
        <w:rPr>
          <w:rFonts w:hint="cs"/>
          <w:rtl/>
        </w:rPr>
        <w:t xml:space="preserve"> דהכלל בכל ספק בשחיטה דהיא ספק נבילה, ומשמע דאף בספק במציאות אמרינן דהיא ספק, וקשה דאמאי לא מוקמינן לה בחזקת איסור, וכתב </w:t>
      </w:r>
      <w:r w:rsidRPr="006832DB">
        <w:rPr>
          <w:rStyle w:val="af9"/>
          <w:rFonts w:hint="cs"/>
          <w:rtl/>
        </w:rPr>
        <w:t>האחיעזר</w:t>
      </w:r>
      <w:r>
        <w:rPr>
          <w:rFonts w:hint="cs"/>
          <w:rtl/>
        </w:rPr>
        <w:t xml:space="preserve"> דמסתימת דברי </w:t>
      </w:r>
      <w:r w:rsidRPr="006832DB">
        <w:rPr>
          <w:rStyle w:val="af9"/>
          <w:rFonts w:hint="cs"/>
          <w:rtl/>
        </w:rPr>
        <w:t>הרמב"ם</w:t>
      </w:r>
      <w:r>
        <w:rPr>
          <w:rFonts w:hint="cs"/>
          <w:rtl/>
        </w:rPr>
        <w:t xml:space="preserve"> משמע דבכל מקום שאין רוב שמסייע להתיר, הוי ספק נבילה.</w:t>
      </w:r>
      <w:bookmarkEnd w:id="887"/>
    </w:p>
    <w:p w14:paraId="27048C92" w14:textId="77777777" w:rsidR="00852065" w:rsidRDefault="00852065" w:rsidP="006D6D32">
      <w:pPr>
        <w:pStyle w:val="a3"/>
        <w:rPr>
          <w:rtl/>
        </w:rPr>
      </w:pPr>
      <w:bookmarkStart w:id="888" w:name="_Toc522099704"/>
      <w:bookmarkStart w:id="889" w:name="_Toc19389006"/>
      <w:bookmarkStart w:id="890" w:name="_Toc19392503"/>
      <w:r>
        <w:rPr>
          <w:rFonts w:hint="cs"/>
          <w:rtl/>
        </w:rPr>
        <w:t>תירוץ הבית הלוי והאחיעזר דבשאר הספיקות יש סתירה בין החזקת איסור לחזקת שאינה טמאה</w:t>
      </w:r>
      <w:bookmarkEnd w:id="888"/>
      <w:bookmarkEnd w:id="889"/>
      <w:bookmarkEnd w:id="890"/>
      <w:r>
        <w:rPr>
          <w:rFonts w:hint="cs"/>
          <w:rtl/>
        </w:rPr>
        <w:t xml:space="preserve"> </w:t>
      </w:r>
    </w:p>
    <w:p w14:paraId="7491857E" w14:textId="77777777" w:rsidR="00852065" w:rsidRDefault="00852065" w:rsidP="00223668">
      <w:pPr>
        <w:pStyle w:val="a0"/>
        <w:rPr>
          <w:rtl/>
        </w:rPr>
      </w:pPr>
      <w:r>
        <w:rPr>
          <w:rFonts w:hint="cs"/>
          <w:rtl/>
        </w:rPr>
        <w:t xml:space="preserve">ותירצו </w:t>
      </w:r>
      <w:r w:rsidRPr="001110F3">
        <w:rPr>
          <w:rStyle w:val="af9"/>
          <w:rFonts w:hint="cs"/>
          <w:rtl/>
        </w:rPr>
        <w:t>הבית הלוי</w:t>
      </w:r>
      <w:r>
        <w:rPr>
          <w:rFonts w:hint="cs"/>
          <w:rtl/>
        </w:rPr>
        <w:t xml:space="preserve"> </w:t>
      </w:r>
      <w:r w:rsidRPr="001110F3">
        <w:rPr>
          <w:rStyle w:val="af7"/>
          <w:rFonts w:eastAsia="Guttman Hodes" w:hint="cs"/>
          <w:rtl/>
        </w:rPr>
        <w:t>(ח"ב סי' כ"א אות ו')</w:t>
      </w:r>
      <w:r>
        <w:rPr>
          <w:rFonts w:hint="cs"/>
          <w:rtl/>
        </w:rPr>
        <w:t xml:space="preserve"> </w:t>
      </w:r>
      <w:r w:rsidRPr="001110F3">
        <w:rPr>
          <w:rStyle w:val="af9"/>
          <w:rFonts w:hint="cs"/>
          <w:rtl/>
        </w:rPr>
        <w:t>והאחיעזר</w:t>
      </w:r>
      <w:r>
        <w:rPr>
          <w:rFonts w:hint="cs"/>
          <w:rtl/>
        </w:rPr>
        <w:t xml:space="preserve"> עפ"י דברי </w:t>
      </w:r>
      <w:r w:rsidRPr="001110F3">
        <w:rPr>
          <w:rStyle w:val="af9"/>
          <w:rFonts w:hint="cs"/>
          <w:rtl/>
        </w:rPr>
        <w:t>הנוב"י</w:t>
      </w:r>
      <w:r>
        <w:rPr>
          <w:rFonts w:hint="cs"/>
          <w:rtl/>
        </w:rPr>
        <w:t xml:space="preserve"> </w:t>
      </w:r>
      <w:r w:rsidRPr="001110F3">
        <w:rPr>
          <w:rStyle w:val="af7"/>
          <w:rFonts w:eastAsia="Guttman Hodes" w:hint="cs"/>
          <w:rtl/>
        </w:rPr>
        <w:t>(מהדו"ק אה"ע סי' מ"ג)</w:t>
      </w:r>
      <w:r>
        <w:rPr>
          <w:rFonts w:hint="cs"/>
          <w:rtl/>
        </w:rPr>
        <w:t xml:space="preserve"> דבשאר הספיקות בשחיטה, יש סתירה בין החזקת איסור של הבהמה, לחזקה שאינה מקבלת טומאה, וכיון שיש ב' חזקות סותרות פסק </w:t>
      </w:r>
      <w:r w:rsidRPr="000C6605">
        <w:rPr>
          <w:rStyle w:val="af9"/>
          <w:rFonts w:hint="cs"/>
          <w:rtl/>
        </w:rPr>
        <w:t>הרמב"ם</w:t>
      </w:r>
      <w:r>
        <w:rPr>
          <w:rFonts w:hint="cs"/>
          <w:rtl/>
        </w:rPr>
        <w:t xml:space="preserve"> דהוא ספק, עיי"ש בדבריהם.</w:t>
      </w:r>
    </w:p>
    <w:p w14:paraId="0DBB256B" w14:textId="77777777" w:rsidR="00852065" w:rsidRPr="000C6605" w:rsidRDefault="00852065" w:rsidP="006D6D32">
      <w:pPr>
        <w:pStyle w:val="a3"/>
      </w:pPr>
      <w:bookmarkStart w:id="891" w:name="_Toc522099705"/>
      <w:bookmarkStart w:id="892" w:name="_Toc19389007"/>
      <w:bookmarkStart w:id="893" w:name="_Toc19392504"/>
      <w:r>
        <w:rPr>
          <w:rFonts w:hint="cs"/>
          <w:rtl/>
        </w:rPr>
        <w:t>ביאור הבית הלוי והאחיעזר דבלא בדק בסימנים יש חזקת הגוף שאסורה ולכן הוי ודאי נבילה</w:t>
      </w:r>
      <w:bookmarkEnd w:id="891"/>
      <w:bookmarkEnd w:id="892"/>
      <w:bookmarkEnd w:id="893"/>
    </w:p>
    <w:p w14:paraId="5F972A0C" w14:textId="77777777" w:rsidR="00852065" w:rsidRDefault="00852065" w:rsidP="00223668">
      <w:pPr>
        <w:pStyle w:val="a0"/>
        <w:rPr>
          <w:rtl/>
        </w:rPr>
      </w:pPr>
      <w:r>
        <w:rPr>
          <w:rFonts w:hint="cs"/>
          <w:rtl/>
        </w:rPr>
        <w:t xml:space="preserve">אבל בלא בדק את הסימנים, ביארו </w:t>
      </w:r>
      <w:r w:rsidRPr="001110F3">
        <w:rPr>
          <w:rStyle w:val="af9"/>
          <w:rFonts w:hint="cs"/>
          <w:rtl/>
        </w:rPr>
        <w:t>הבית הלוי</w:t>
      </w:r>
      <w:r>
        <w:rPr>
          <w:rStyle w:val="af7"/>
          <w:rFonts w:eastAsia="Guttman Hodes" w:hint="cs"/>
          <w:rtl/>
        </w:rPr>
        <w:t xml:space="preserve"> </w:t>
      </w:r>
      <w:r w:rsidRPr="001110F3">
        <w:rPr>
          <w:rStyle w:val="af9"/>
          <w:rFonts w:hint="cs"/>
          <w:rtl/>
        </w:rPr>
        <w:t>והאחיעזר</w:t>
      </w:r>
      <w:r>
        <w:rPr>
          <w:rFonts w:hint="cs"/>
          <w:rtl/>
        </w:rPr>
        <w:t xml:space="preserve"> שיש חזקת הגוף שלא נעשה מעשה שחיטה בבהמה, ואין כל חזקה שסותרת את חזקת הגוף הזו, לכן אף שהורעה החזקה ע"י ששחטה בסכין, מ"מ מדאו' היא חזקה, ולכן פסק </w:t>
      </w:r>
      <w:r w:rsidRPr="000C6605">
        <w:rPr>
          <w:rStyle w:val="af9"/>
          <w:rFonts w:hint="cs"/>
          <w:rtl/>
        </w:rPr>
        <w:t>הרמב"ם</w:t>
      </w:r>
      <w:r>
        <w:rPr>
          <w:rFonts w:hint="cs"/>
          <w:rtl/>
        </w:rPr>
        <w:t xml:space="preserve"> דהיא ודאי נבילה, וכדמוכח בגמ' דמטמאה בנבילה.</w:t>
      </w:r>
    </w:p>
    <w:p w14:paraId="453506B2" w14:textId="77777777" w:rsidR="00852065" w:rsidRDefault="00852065" w:rsidP="00BF39B2">
      <w:pPr>
        <w:pStyle w:val="1"/>
        <w:rPr>
          <w:rtl/>
        </w:rPr>
      </w:pPr>
      <w:bookmarkStart w:id="894" w:name="_Toc522028172"/>
      <w:bookmarkStart w:id="895" w:name="_Toc522086227"/>
      <w:bookmarkStart w:id="896" w:name="_Toc522099694"/>
      <w:bookmarkStart w:id="897" w:name="_Toc19389008"/>
      <w:bookmarkStart w:id="898" w:name="_Toc19392505"/>
      <w:r>
        <w:rPr>
          <w:rFonts w:hint="cs"/>
          <w:rtl/>
        </w:rPr>
        <w:t xml:space="preserve">ביאור הבינת אדם דהרמב"ם ס"ל </w:t>
      </w:r>
      <w:bookmarkEnd w:id="894"/>
      <w:bookmarkEnd w:id="895"/>
      <w:bookmarkEnd w:id="896"/>
      <w:r>
        <w:rPr>
          <w:rFonts w:hint="cs"/>
          <w:rtl/>
        </w:rPr>
        <w:t>דהכא גרע מכל ספיקות</w:t>
      </w:r>
      <w:bookmarkEnd w:id="897"/>
      <w:bookmarkEnd w:id="898"/>
    </w:p>
    <w:p w14:paraId="1E4EA991" w14:textId="77777777" w:rsidR="00852065" w:rsidRPr="00DF65ED" w:rsidRDefault="00852065" w:rsidP="006D6D32">
      <w:pPr>
        <w:pStyle w:val="a3"/>
        <w:rPr>
          <w:rtl/>
        </w:rPr>
      </w:pPr>
      <w:bookmarkStart w:id="899" w:name="_Toc522099695"/>
      <w:bookmarkStart w:id="900" w:name="_Toc19389009"/>
      <w:bookmarkStart w:id="901" w:name="_Toc19392506"/>
      <w:r>
        <w:rPr>
          <w:rFonts w:hint="cs"/>
          <w:rtl/>
        </w:rPr>
        <w:t>דברי הבינת אדם דהרמב"ם ס"ל כהרא"ש דהיא נבילה מדאו'</w:t>
      </w:r>
      <w:bookmarkEnd w:id="899"/>
      <w:bookmarkEnd w:id="900"/>
      <w:bookmarkEnd w:id="901"/>
    </w:p>
    <w:p w14:paraId="4ACBDD6B" w14:textId="77777777" w:rsidR="00852065" w:rsidRDefault="00852065" w:rsidP="00223668">
      <w:pPr>
        <w:pStyle w:val="a0"/>
        <w:rPr>
          <w:sz w:val="16"/>
          <w:szCs w:val="16"/>
          <w:rtl/>
        </w:rPr>
      </w:pPr>
      <w:r w:rsidRPr="00DF65ED">
        <w:rPr>
          <w:rStyle w:val="af9"/>
          <w:rFonts w:hint="cs"/>
          <w:rtl/>
        </w:rPr>
        <w:t>והבינת אדם</w:t>
      </w:r>
      <w:r>
        <w:rPr>
          <w:rFonts w:hint="cs"/>
          <w:rtl/>
        </w:rPr>
        <w:t xml:space="preserve"> </w:t>
      </w:r>
      <w:r w:rsidRPr="00DF65ED">
        <w:rPr>
          <w:rStyle w:val="af7"/>
          <w:rFonts w:eastAsia="Guttman Hodes" w:hint="cs"/>
          <w:rtl/>
        </w:rPr>
        <w:t>(שער רוב וחזקה א' ד"ה והרמב"ם)</w:t>
      </w:r>
      <w:r>
        <w:rPr>
          <w:rFonts w:hint="cs"/>
          <w:rtl/>
        </w:rPr>
        <w:t xml:space="preserve"> כתב </w:t>
      </w:r>
      <w:r w:rsidRPr="00DF65ED">
        <w:rPr>
          <w:rStyle w:val="af9"/>
          <w:rFonts w:hint="cs"/>
          <w:rtl/>
        </w:rPr>
        <w:t>דהרמב"ם</w:t>
      </w:r>
      <w:r>
        <w:rPr>
          <w:rFonts w:hint="cs"/>
          <w:rtl/>
        </w:rPr>
        <w:t xml:space="preserve"> וכתב ה"ז נבילה, דיתכן דכוונתו דהיא נבילה מדאו' וכדעת </w:t>
      </w:r>
      <w:r w:rsidRPr="00DF65ED">
        <w:rPr>
          <w:rStyle w:val="af9"/>
          <w:rFonts w:hint="cs"/>
          <w:rtl/>
        </w:rPr>
        <w:t>הרא"ש</w:t>
      </w:r>
      <w:r>
        <w:rPr>
          <w:rFonts w:hint="cs"/>
          <w:rtl/>
        </w:rPr>
        <w:t xml:space="preserve"> </w:t>
      </w:r>
      <w:r w:rsidRPr="00E84C32">
        <w:rPr>
          <w:rStyle w:val="af7"/>
          <w:rFonts w:eastAsia="Guttman Hodes" w:hint="cs"/>
          <w:rtl/>
        </w:rPr>
        <w:t xml:space="preserve">(עי' אות </w:t>
      </w:r>
      <w:r w:rsidRPr="00E84C32">
        <w:rPr>
          <w:rStyle w:val="af7"/>
          <w:rFonts w:eastAsia="Guttman Hodes"/>
          <w:rtl/>
        </w:rPr>
        <w:fldChar w:fldCharType="begin"/>
      </w:r>
      <w:r w:rsidRPr="00E84C32">
        <w:rPr>
          <w:rStyle w:val="af7"/>
          <w:rFonts w:eastAsia="Guttman Hodes"/>
          <w:rtl/>
        </w:rPr>
        <w:instrText xml:space="preserve"> </w:instrText>
      </w:r>
      <w:r w:rsidRPr="00E84C32">
        <w:rPr>
          <w:rStyle w:val="af7"/>
          <w:rFonts w:eastAsia="Guttman Hodes" w:hint="cs"/>
        </w:rPr>
        <w:instrText>REF</w:instrText>
      </w:r>
      <w:r w:rsidRPr="00E84C32">
        <w:rPr>
          <w:rStyle w:val="af7"/>
          <w:rFonts w:eastAsia="Guttman Hodes" w:hint="cs"/>
          <w:rtl/>
        </w:rPr>
        <w:instrText xml:space="preserve"> _</w:instrText>
      </w:r>
      <w:r w:rsidRPr="00E84C32">
        <w:rPr>
          <w:rStyle w:val="af7"/>
          <w:rFonts w:eastAsia="Guttman Hodes" w:hint="cs"/>
        </w:rPr>
        <w:instrText>Ref522110569 \r \h</w:instrText>
      </w:r>
      <w:r w:rsidRPr="00E84C32">
        <w:rPr>
          <w:rStyle w:val="af7"/>
          <w:rFonts w:eastAsia="Guttman Hodes"/>
          <w:rtl/>
        </w:rPr>
        <w:instrText xml:space="preserve"> </w:instrText>
      </w:r>
      <w:r w:rsidRPr="00E84C32">
        <w:rPr>
          <w:rStyle w:val="af7"/>
          <w:rFonts w:eastAsia="Guttman Hodes"/>
          <w:rtl/>
        </w:rPr>
      </w:r>
      <w:r w:rsidRPr="00E84C32">
        <w:rPr>
          <w:rStyle w:val="af7"/>
          <w:rFonts w:eastAsia="Guttman Hodes"/>
          <w:rtl/>
        </w:rPr>
        <w:fldChar w:fldCharType="separate"/>
      </w:r>
      <w:r w:rsidR="00345400">
        <w:rPr>
          <w:rStyle w:val="af7"/>
          <w:rFonts w:eastAsia="Guttman Hodes"/>
          <w:cs/>
        </w:rPr>
        <w:t>‎</w:t>
      </w:r>
      <w:r w:rsidR="00345400">
        <w:rPr>
          <w:rStyle w:val="af7"/>
          <w:rFonts w:eastAsia="Guttman Hodes"/>
          <w:rtl/>
        </w:rPr>
        <w:t>נו)</w:t>
      </w:r>
      <w:r w:rsidRPr="00E84C32">
        <w:rPr>
          <w:rStyle w:val="af7"/>
          <w:rFonts w:eastAsia="Guttman Hodes"/>
          <w:rtl/>
        </w:rPr>
        <w:fldChar w:fldCharType="end"/>
      </w:r>
      <w:r>
        <w:rPr>
          <w:rFonts w:hint="cs"/>
          <w:rtl/>
        </w:rPr>
        <w:t>.</w:t>
      </w:r>
    </w:p>
    <w:p w14:paraId="09FA1F20" w14:textId="77777777" w:rsidR="00852065" w:rsidRPr="008A0F75" w:rsidRDefault="00852065" w:rsidP="006D6D32">
      <w:pPr>
        <w:pStyle w:val="a3"/>
      </w:pPr>
      <w:bookmarkStart w:id="902" w:name="_Toc522099696"/>
      <w:bookmarkStart w:id="903" w:name="_Toc19389010"/>
      <w:bookmarkStart w:id="904" w:name="_Toc19392507"/>
      <w:r>
        <w:rPr>
          <w:rFonts w:hint="cs"/>
          <w:rtl/>
        </w:rPr>
        <w:t>ביאור הבינת אדם דהכא שמודה שלא בדק גרע ממי שאינו יודע הלכות שחיטה</w:t>
      </w:r>
      <w:bookmarkEnd w:id="902"/>
      <w:bookmarkEnd w:id="903"/>
      <w:bookmarkEnd w:id="904"/>
    </w:p>
    <w:p w14:paraId="5B88CC84" w14:textId="77777777" w:rsidR="00852065" w:rsidRPr="00F7440E" w:rsidRDefault="00852065" w:rsidP="00223668">
      <w:pPr>
        <w:pStyle w:val="a0"/>
        <w:rPr>
          <w:sz w:val="16"/>
          <w:szCs w:val="16"/>
        </w:rPr>
      </w:pPr>
      <w:r>
        <w:rPr>
          <w:rFonts w:hint="cs"/>
          <w:rtl/>
        </w:rPr>
        <w:t xml:space="preserve">והוסיף </w:t>
      </w:r>
      <w:r w:rsidRPr="008A0F75">
        <w:rPr>
          <w:rStyle w:val="af9"/>
          <w:rFonts w:hint="cs"/>
          <w:rtl/>
        </w:rPr>
        <w:t>הבינת אדם</w:t>
      </w:r>
      <w:r>
        <w:rPr>
          <w:rFonts w:hint="cs"/>
          <w:rtl/>
        </w:rPr>
        <w:t xml:space="preserve"> דאף דכתב </w:t>
      </w:r>
      <w:r w:rsidRPr="00DF65ED">
        <w:rPr>
          <w:rStyle w:val="af9"/>
          <w:rFonts w:hint="cs"/>
          <w:rtl/>
        </w:rPr>
        <w:t>הרמב"ם</w:t>
      </w:r>
      <w:r>
        <w:rPr>
          <w:rFonts w:hint="cs"/>
          <w:rtl/>
        </w:rPr>
        <w:t xml:space="preserve"> </w:t>
      </w:r>
      <w:r w:rsidRPr="00DF65ED">
        <w:rPr>
          <w:rStyle w:val="af7"/>
          <w:rFonts w:eastAsia="Guttman Hodes" w:hint="cs"/>
          <w:rtl/>
        </w:rPr>
        <w:t>(שחיטה ד' א')</w:t>
      </w:r>
      <w:r>
        <w:rPr>
          <w:rFonts w:hint="cs"/>
          <w:rtl/>
        </w:rPr>
        <w:t xml:space="preserve"> דמי שאינו יודע הלכות שחיטה ושחט בינו לבין עצמו הוא קרוב לספק נבילה, ואילו בלא בדק אחר השחיטה כתב </w:t>
      </w:r>
      <w:r w:rsidRPr="00A77FEC">
        <w:rPr>
          <w:rStyle w:val="af9"/>
          <w:rFonts w:hint="cs"/>
          <w:rtl/>
        </w:rPr>
        <w:t>הרמב"ם</w:t>
      </w:r>
      <w:r>
        <w:rPr>
          <w:rFonts w:hint="cs"/>
          <w:rtl/>
        </w:rPr>
        <w:t xml:space="preserve"> דה"ז נבילה, ביאר </w:t>
      </w:r>
      <w:r w:rsidRPr="009C71EB">
        <w:rPr>
          <w:rStyle w:val="af9"/>
          <w:rFonts w:hint="cs"/>
          <w:rtl/>
        </w:rPr>
        <w:t>הבינת אדם</w:t>
      </w:r>
      <w:r>
        <w:rPr>
          <w:rFonts w:hint="cs"/>
          <w:rtl/>
        </w:rPr>
        <w:t xml:space="preserve"> דהכא גרע, כיון שהשוחט לפנינו ומודה שלא שחט כדין דלא בדק אחר השחיטה, וכדכתב </w:t>
      </w:r>
      <w:r w:rsidRPr="00A77FEC">
        <w:rPr>
          <w:rStyle w:val="af9"/>
          <w:rFonts w:hint="cs"/>
          <w:rtl/>
        </w:rPr>
        <w:t>הרא"ש</w:t>
      </w:r>
      <w:r>
        <w:rPr>
          <w:rFonts w:hint="cs"/>
          <w:rtl/>
        </w:rPr>
        <w:t xml:space="preserve"> </w:t>
      </w:r>
      <w:r w:rsidRPr="00E84C32">
        <w:rPr>
          <w:rStyle w:val="af7"/>
          <w:rFonts w:eastAsia="Guttman Hodes" w:hint="cs"/>
          <w:rtl/>
        </w:rPr>
        <w:t xml:space="preserve">(עי' אות </w:t>
      </w:r>
      <w:r w:rsidRPr="00E84C32">
        <w:rPr>
          <w:rStyle w:val="af7"/>
          <w:rFonts w:eastAsia="Guttman Hodes"/>
          <w:rtl/>
        </w:rPr>
        <w:fldChar w:fldCharType="begin"/>
      </w:r>
      <w:r w:rsidRPr="00E84C32">
        <w:rPr>
          <w:rStyle w:val="af7"/>
          <w:rFonts w:eastAsia="Guttman Hodes"/>
          <w:rtl/>
        </w:rPr>
        <w:instrText xml:space="preserve"> </w:instrText>
      </w:r>
      <w:r w:rsidRPr="00E84C32">
        <w:rPr>
          <w:rStyle w:val="af7"/>
          <w:rFonts w:eastAsia="Guttman Hodes" w:hint="cs"/>
        </w:rPr>
        <w:instrText>REF</w:instrText>
      </w:r>
      <w:r w:rsidRPr="00E84C32">
        <w:rPr>
          <w:rStyle w:val="af7"/>
          <w:rFonts w:eastAsia="Guttman Hodes" w:hint="cs"/>
          <w:rtl/>
        </w:rPr>
        <w:instrText xml:space="preserve"> _</w:instrText>
      </w:r>
      <w:r w:rsidRPr="00E84C32">
        <w:rPr>
          <w:rStyle w:val="af7"/>
          <w:rFonts w:eastAsia="Guttman Hodes" w:hint="cs"/>
        </w:rPr>
        <w:instrText>Ref522110597 \r \h</w:instrText>
      </w:r>
      <w:r w:rsidRPr="00E84C32">
        <w:rPr>
          <w:rStyle w:val="af7"/>
          <w:rFonts w:eastAsia="Guttman Hodes"/>
          <w:rtl/>
        </w:rPr>
        <w:instrText xml:space="preserve"> </w:instrText>
      </w:r>
      <w:r w:rsidRPr="00E84C32">
        <w:rPr>
          <w:rStyle w:val="af7"/>
          <w:rFonts w:eastAsia="Guttman Hodes"/>
          <w:rtl/>
        </w:rPr>
      </w:r>
      <w:r w:rsidRPr="00E84C32">
        <w:rPr>
          <w:rStyle w:val="af7"/>
          <w:rFonts w:eastAsia="Guttman Hodes"/>
          <w:rtl/>
        </w:rPr>
        <w:fldChar w:fldCharType="separate"/>
      </w:r>
      <w:r w:rsidR="00345400">
        <w:rPr>
          <w:rStyle w:val="af7"/>
          <w:rFonts w:eastAsia="Guttman Hodes"/>
          <w:cs/>
        </w:rPr>
        <w:t>‎</w:t>
      </w:r>
      <w:r w:rsidR="00345400">
        <w:rPr>
          <w:rStyle w:val="af7"/>
          <w:rFonts w:eastAsia="Guttman Hodes"/>
          <w:rtl/>
        </w:rPr>
        <w:t>נד)</w:t>
      </w:r>
      <w:r w:rsidRPr="00E84C32">
        <w:rPr>
          <w:rStyle w:val="af7"/>
          <w:rFonts w:eastAsia="Guttman Hodes"/>
          <w:rtl/>
        </w:rPr>
        <w:fldChar w:fldCharType="end"/>
      </w:r>
      <w:r>
        <w:rPr>
          <w:rFonts w:hint="cs"/>
          <w:rtl/>
        </w:rPr>
        <w:t>.</w:t>
      </w:r>
    </w:p>
    <w:p w14:paraId="2A1ABF24" w14:textId="77777777" w:rsidR="00852065" w:rsidRDefault="00852065" w:rsidP="006D6D32">
      <w:pPr>
        <w:pStyle w:val="a3"/>
        <w:rPr>
          <w:sz w:val="16"/>
          <w:szCs w:val="16"/>
          <w:rtl/>
        </w:rPr>
      </w:pPr>
      <w:bookmarkStart w:id="905" w:name="_Toc522099697"/>
      <w:bookmarkStart w:id="906" w:name="_Toc19389011"/>
      <w:bookmarkStart w:id="907" w:name="_Toc19392508"/>
      <w:r>
        <w:rPr>
          <w:rFonts w:hint="cs"/>
          <w:rtl/>
        </w:rPr>
        <w:t>ביאור הבינת אדם דזו כוונת הרמב"ם דהשוחט זריז דמ"מ הוי נבילה דמודה שלא שחט כדין</w:t>
      </w:r>
      <w:bookmarkEnd w:id="905"/>
      <w:bookmarkEnd w:id="906"/>
      <w:bookmarkEnd w:id="907"/>
    </w:p>
    <w:p w14:paraId="5F23A417" w14:textId="77777777" w:rsidR="00852065" w:rsidRDefault="00852065" w:rsidP="00223668">
      <w:pPr>
        <w:pStyle w:val="a0"/>
        <w:rPr>
          <w:sz w:val="16"/>
          <w:szCs w:val="16"/>
          <w:rtl/>
        </w:rPr>
      </w:pPr>
      <w:r>
        <w:rPr>
          <w:rFonts w:hint="cs"/>
          <w:rtl/>
        </w:rPr>
        <w:t xml:space="preserve">וביאר </w:t>
      </w:r>
      <w:r w:rsidRPr="00D952E6">
        <w:rPr>
          <w:rStyle w:val="af9"/>
          <w:rFonts w:hint="cs"/>
          <w:rtl/>
        </w:rPr>
        <w:t>הבינת אדם</w:t>
      </w:r>
      <w:r>
        <w:rPr>
          <w:rFonts w:hint="cs"/>
          <w:rtl/>
        </w:rPr>
        <w:t xml:space="preserve"> </w:t>
      </w:r>
      <w:r w:rsidRPr="00D952E6">
        <w:rPr>
          <w:rStyle w:val="af7"/>
          <w:rFonts w:eastAsia="Guttman Hodes" w:hint="cs"/>
          <w:rtl/>
        </w:rPr>
        <w:t>(שער רוב וחזקה א' ד"ה ולפי הנראה)</w:t>
      </w:r>
      <w:r>
        <w:rPr>
          <w:rFonts w:hint="cs"/>
          <w:rtl/>
        </w:rPr>
        <w:t xml:space="preserve"> דמ"ש </w:t>
      </w:r>
      <w:r w:rsidRPr="00D952E6">
        <w:rPr>
          <w:rStyle w:val="af9"/>
          <w:rFonts w:hint="cs"/>
          <w:rtl/>
        </w:rPr>
        <w:t>הרמב"ם</w:t>
      </w:r>
      <w:r>
        <w:rPr>
          <w:rFonts w:hint="cs"/>
          <w:rtl/>
        </w:rPr>
        <w:t xml:space="preserve"> שהיא נבילה אפילו אם השוחט הוא זריז ומהיר, דכוונתו לומר דאף כיון שהוא מודה שלא שחט כדין, לכן אף שהוא זריז ומהיר ומסתמא שחט כדין, מ"מ ה"ז נבילה.</w:t>
      </w:r>
    </w:p>
    <w:p w14:paraId="755AE24A" w14:textId="77777777" w:rsidR="00852065" w:rsidRPr="0080243B" w:rsidRDefault="00852065" w:rsidP="006D6D32">
      <w:pPr>
        <w:pStyle w:val="a3"/>
        <w:rPr>
          <w:rtl/>
        </w:rPr>
        <w:sectPr w:rsidR="00852065" w:rsidRPr="0080243B" w:rsidSect="002B676A">
          <w:type w:val="continuous"/>
          <w:pgSz w:w="11906" w:h="16838"/>
          <w:pgMar w:top="720" w:right="720" w:bottom="720" w:left="720" w:header="283" w:footer="283" w:gutter="0"/>
          <w:cols w:num="2" w:space="567"/>
          <w:bidi/>
          <w:rtlGutter/>
          <w:docGrid w:linePitch="299"/>
        </w:sectPr>
      </w:pPr>
    </w:p>
    <w:p w14:paraId="3AA82C37" w14:textId="77777777" w:rsidR="00D006F7" w:rsidRDefault="00D006F7" w:rsidP="00223668">
      <w:pPr>
        <w:pStyle w:val="a0"/>
        <w:numPr>
          <w:ilvl w:val="0"/>
          <w:numId w:val="0"/>
        </w:numPr>
        <w:rPr>
          <w:rtl/>
        </w:rPr>
        <w:sectPr w:rsidR="00D006F7" w:rsidSect="00DC4DE5">
          <w:type w:val="continuous"/>
          <w:pgSz w:w="11906" w:h="16838"/>
          <w:pgMar w:top="720" w:right="720" w:bottom="720" w:left="720" w:header="283" w:footer="283" w:gutter="0"/>
          <w:cols w:num="2" w:space="567"/>
          <w:bidi/>
          <w:rtlGutter/>
          <w:docGrid w:linePitch="299"/>
        </w:sectPr>
      </w:pPr>
    </w:p>
    <w:p w14:paraId="60B51338" w14:textId="77777777" w:rsidR="00852065" w:rsidRDefault="00852065" w:rsidP="00223668">
      <w:pPr>
        <w:pStyle w:val="a0"/>
        <w:numPr>
          <w:ilvl w:val="0"/>
          <w:numId w:val="0"/>
        </w:numPr>
        <w:rPr>
          <w:rtl/>
        </w:rPr>
        <w:sectPr w:rsidR="00852065" w:rsidSect="00D006F7">
          <w:headerReference w:type="default" r:id="rId22"/>
          <w:pgSz w:w="11906" w:h="16838"/>
          <w:pgMar w:top="720" w:right="720" w:bottom="720" w:left="720" w:header="283" w:footer="283" w:gutter="0"/>
          <w:cols w:num="2" w:space="567"/>
          <w:bidi/>
          <w:rtlGutter/>
          <w:docGrid w:linePitch="299"/>
        </w:sectPr>
      </w:pPr>
    </w:p>
    <w:p w14:paraId="1DAF31FF" w14:textId="77777777" w:rsidR="00852065" w:rsidRDefault="00852065" w:rsidP="006D6D32">
      <w:pPr>
        <w:pStyle w:val="afd"/>
        <w:rPr>
          <w:rFonts w:eastAsiaTheme="minorEastAsia" w:cstheme="minorBidi"/>
          <w:rtl/>
        </w:rPr>
      </w:pPr>
      <w:bookmarkStart w:id="908" w:name="_Toc522200117"/>
      <w:bookmarkStart w:id="909" w:name="_Toc534142056"/>
      <w:bookmarkStart w:id="910" w:name="_Toc16669721"/>
      <w:bookmarkStart w:id="911" w:name="_Toc19435162"/>
      <w:bookmarkStart w:id="912" w:name="_Toc20080536"/>
      <w:bookmarkStart w:id="913" w:name="_Toc521324856"/>
      <w:bookmarkStart w:id="914" w:name="_Toc521338157"/>
      <w:r>
        <w:rPr>
          <w:rtl/>
        </w:rPr>
        <w:t xml:space="preserve">סימן </w:t>
      </w:r>
      <w:r>
        <w:rPr>
          <w:rFonts w:hint="cs"/>
          <w:rtl/>
        </w:rPr>
        <w:t>ב</w:t>
      </w:r>
      <w:r>
        <w:rPr>
          <w:rtl/>
        </w:rPr>
        <w:t>'</w:t>
      </w:r>
      <w:bookmarkEnd w:id="908"/>
      <w:bookmarkEnd w:id="909"/>
      <w:bookmarkEnd w:id="910"/>
      <w:bookmarkEnd w:id="911"/>
      <w:bookmarkEnd w:id="912"/>
      <w:r>
        <w:rPr>
          <w:rFonts w:eastAsiaTheme="minorEastAsia" w:cstheme="minorBidi" w:hint="cs"/>
          <w:rtl/>
        </w:rPr>
        <w:t xml:space="preserve"> </w:t>
      </w:r>
    </w:p>
    <w:p w14:paraId="651DD7A1" w14:textId="77777777" w:rsidR="00852065" w:rsidRDefault="00852065" w:rsidP="006D6D32">
      <w:pPr>
        <w:pStyle w:val="afd"/>
        <w:rPr>
          <w:rFonts w:eastAsiaTheme="minorEastAsia" w:cstheme="minorBidi"/>
          <w:rtl/>
        </w:rPr>
      </w:pPr>
      <w:bookmarkStart w:id="915" w:name="_Toc522200118"/>
      <w:bookmarkStart w:id="916" w:name="_Toc534141909"/>
      <w:bookmarkStart w:id="917" w:name="_Toc534142057"/>
      <w:bookmarkStart w:id="918" w:name="_Toc16669722"/>
      <w:bookmarkStart w:id="919" w:name="_Toc19435163"/>
      <w:bookmarkStart w:id="920" w:name="_Toc20080537"/>
      <w:r>
        <w:rPr>
          <w:rtl/>
        </w:rPr>
        <w:t>בענין מחזיקין מאיסור לאיסור</w:t>
      </w:r>
      <w:bookmarkEnd w:id="915"/>
      <w:bookmarkEnd w:id="916"/>
      <w:bookmarkEnd w:id="917"/>
      <w:bookmarkEnd w:id="918"/>
      <w:bookmarkEnd w:id="919"/>
      <w:bookmarkEnd w:id="920"/>
    </w:p>
    <w:p w14:paraId="44E62D14" w14:textId="77777777" w:rsidR="00852065" w:rsidRDefault="000A0C31" w:rsidP="00852065">
      <w:pPr>
        <w:pStyle w:val="2"/>
        <w:rPr>
          <w:rtl/>
        </w:rPr>
      </w:pPr>
      <w:r>
        <w:rPr>
          <w:rFonts w:hint="cs"/>
          <w:rtl/>
        </w:rPr>
        <w:t>מפתח הסוגיא</w:t>
      </w:r>
    </w:p>
    <w:p w14:paraId="4D5C4031" w14:textId="77777777" w:rsidR="00887E67" w:rsidRDefault="00887E67" w:rsidP="006D6D32">
      <w:pPr>
        <w:pStyle w:val="afe"/>
        <w:rPr>
          <w:rtl/>
        </w:rPr>
        <w:sectPr w:rsidR="00887E67" w:rsidSect="002B676A">
          <w:headerReference w:type="default" r:id="rId23"/>
          <w:footerReference w:type="default" r:id="rId24"/>
          <w:headerReference w:type="first" r:id="rId25"/>
          <w:pgSz w:w="11906" w:h="16838"/>
          <w:pgMar w:top="720" w:right="720" w:bottom="720" w:left="720" w:header="283" w:footer="283" w:gutter="0"/>
          <w:cols w:space="170"/>
          <w:titlePg/>
          <w:bidi/>
          <w:rtlGutter/>
          <w:docGrid w:linePitch="299"/>
        </w:sectPr>
      </w:pPr>
    </w:p>
    <w:p w14:paraId="67176F2A" w14:textId="77777777" w:rsidR="00887E67" w:rsidRDefault="00887E67" w:rsidP="0011670A">
      <w:pPr>
        <w:pStyle w:val="2"/>
        <w:rPr>
          <w:rFonts w:eastAsiaTheme="minorEastAsia" w:cstheme="minorBidi"/>
          <w:i/>
          <w:iCs/>
          <w:noProof/>
          <w:rtl/>
        </w:rPr>
      </w:pPr>
      <w:bookmarkStart w:id="921" w:name="_Toc19435165"/>
      <w:r>
        <w:rPr>
          <w:noProof/>
          <w:rtl/>
        </w:rPr>
        <w:t>מראי מקומות וביאורים על הסוגיא</w:t>
      </w:r>
      <w:bookmarkEnd w:id="921"/>
    </w:p>
    <w:p w14:paraId="09109685" w14:textId="77777777" w:rsidR="00887E67" w:rsidRPr="0017666E" w:rsidRDefault="00887E67" w:rsidP="0011670A">
      <w:pPr>
        <w:pStyle w:val="2"/>
        <w:rPr>
          <w:rFonts w:eastAsiaTheme="minorEastAsia" w:cstheme="minorBidi"/>
          <w:i/>
          <w:iCs/>
          <w:noProof/>
          <w:rtl/>
        </w:rPr>
      </w:pPr>
      <w:r>
        <w:rPr>
          <w:noProof/>
          <w:sz w:val="22"/>
          <w:szCs w:val="22"/>
          <w:rtl/>
        </w:rPr>
        <w:fldChar w:fldCharType="begin"/>
      </w:r>
      <w:r>
        <w:rPr>
          <w:noProof/>
          <w:rtl/>
        </w:rPr>
        <w:instrText xml:space="preserve"> </w:instrText>
      </w:r>
      <w:r>
        <w:rPr>
          <w:noProof/>
        </w:rPr>
        <w:instrText>TOC</w:instrText>
      </w:r>
      <w:r>
        <w:rPr>
          <w:noProof/>
          <w:rtl/>
        </w:rPr>
        <w:instrText xml:space="preserve"> \</w:instrText>
      </w:r>
      <w:r>
        <w:rPr>
          <w:noProof/>
        </w:rPr>
        <w:instrText>o "1-9" \n \p " " \z \t</w:instrText>
      </w:r>
      <w:r>
        <w:rPr>
          <w:noProof/>
          <w:rtl/>
        </w:rPr>
        <w:instrText xml:space="preserve"> "כותרת 1,2,כות קט,3,כות מקטע,1" </w:instrText>
      </w:r>
      <w:r>
        <w:rPr>
          <w:noProof/>
          <w:sz w:val="22"/>
          <w:szCs w:val="22"/>
          <w:rtl/>
        </w:rPr>
        <w:fldChar w:fldCharType="separate"/>
      </w:r>
      <w:bookmarkStart w:id="922" w:name="_Toc19435166"/>
      <w:r>
        <w:rPr>
          <w:noProof/>
          <w:rtl/>
        </w:rPr>
        <w:t>פלוגתת רש"י ותוס' אי מחזיקין מאיסור לאיסור</w:t>
      </w:r>
      <w:bookmarkEnd w:id="922"/>
    </w:p>
    <w:p w14:paraId="5C6B343F" w14:textId="77777777" w:rsidR="00887E67" w:rsidRDefault="00887E67" w:rsidP="00887E67">
      <w:pPr>
        <w:pStyle w:val="aff4"/>
        <w:rPr>
          <w:rFonts w:eastAsiaTheme="minorEastAsia" w:cstheme="minorBidi"/>
          <w:i/>
          <w:iCs/>
          <w:noProof/>
          <w:sz w:val="22"/>
          <w:szCs w:val="22"/>
          <w:rtl/>
        </w:rPr>
      </w:pPr>
      <w:bookmarkStart w:id="923" w:name="_Toc19435167"/>
      <w:bookmarkStart w:id="924" w:name="_Toc20080538"/>
      <w:r>
        <w:rPr>
          <w:noProof/>
          <w:rtl/>
        </w:rPr>
        <w:t>ביאור רש"י והרי"ף דמחזיקין מאיסור אבר מן החי</w:t>
      </w:r>
      <w:bookmarkEnd w:id="923"/>
      <w:bookmarkEnd w:id="924"/>
    </w:p>
    <w:p w14:paraId="17C03D1D" w14:textId="77777777" w:rsidR="005B633C" w:rsidRPr="005077A7" w:rsidRDefault="005B633C" w:rsidP="00E12979">
      <w:pPr>
        <w:pStyle w:val="a"/>
        <w:numPr>
          <w:ilvl w:val="0"/>
          <w:numId w:val="19"/>
        </w:numPr>
        <w:rPr>
          <w:rFonts w:eastAsiaTheme="minorEastAsia" w:cstheme="minorBidi"/>
          <w:noProof/>
          <w:sz w:val="22"/>
          <w:szCs w:val="22"/>
        </w:rPr>
      </w:pPr>
      <w:r w:rsidRPr="005B633C">
        <w:rPr>
          <w:noProof/>
          <w:rtl/>
        </w:rPr>
        <w:t>דברי רש"י דמעמידים אותה על חזקתה מחיים דאסורה באבר מן החי וא"א להתירה מספק</w:t>
      </w:r>
      <w:r>
        <w:rPr>
          <w:noProof/>
          <w:rtl/>
        </w:rPr>
        <w:t xml:space="preserve"> </w:t>
      </w:r>
    </w:p>
    <w:p w14:paraId="44F54E69" w14:textId="77777777" w:rsidR="00887E67" w:rsidRDefault="00887E67" w:rsidP="005077A7">
      <w:pPr>
        <w:pStyle w:val="a"/>
        <w:rPr>
          <w:rFonts w:eastAsiaTheme="minorEastAsia" w:cstheme="minorBidi"/>
          <w:noProof/>
          <w:sz w:val="22"/>
          <w:szCs w:val="22"/>
          <w:rtl/>
        </w:rPr>
      </w:pPr>
      <w:r>
        <w:rPr>
          <w:noProof/>
          <w:rtl/>
        </w:rPr>
        <w:t>דברי הרי"ף דכיון שאסורה מחיים באבר מן החי כל שלא נתברר שנשחטה היא בחזקת איסור</w:t>
      </w:r>
    </w:p>
    <w:p w14:paraId="11CDF9EC" w14:textId="77777777" w:rsidR="00887E67" w:rsidRDefault="00887E67" w:rsidP="00887E67">
      <w:pPr>
        <w:pStyle w:val="aff4"/>
        <w:rPr>
          <w:rFonts w:eastAsiaTheme="minorEastAsia" w:cstheme="minorBidi"/>
          <w:i/>
          <w:iCs/>
          <w:noProof/>
          <w:sz w:val="22"/>
          <w:szCs w:val="22"/>
          <w:rtl/>
        </w:rPr>
      </w:pPr>
      <w:bookmarkStart w:id="925" w:name="_Toc19435168"/>
      <w:bookmarkStart w:id="926" w:name="_Toc20080539"/>
      <w:r>
        <w:rPr>
          <w:noProof/>
          <w:rtl/>
        </w:rPr>
        <w:t>קושית התוס' בביצה דבמתה לפנינו א"א להחזיק באבר מן החי</w:t>
      </w:r>
      <w:bookmarkEnd w:id="925"/>
      <w:bookmarkEnd w:id="926"/>
    </w:p>
    <w:p w14:paraId="25F99C2B" w14:textId="77777777" w:rsidR="00887E67" w:rsidRDefault="00887E67" w:rsidP="005077A7">
      <w:pPr>
        <w:pStyle w:val="a"/>
        <w:rPr>
          <w:rFonts w:eastAsiaTheme="minorEastAsia" w:cstheme="minorBidi"/>
          <w:noProof/>
          <w:sz w:val="22"/>
          <w:szCs w:val="22"/>
          <w:rtl/>
        </w:rPr>
      </w:pPr>
      <w:r>
        <w:rPr>
          <w:noProof/>
          <w:rtl/>
        </w:rPr>
        <w:t>קושית התוס' בביצה והמאירי דאף שיש ספק בשחיטה מ"מ היא מתה ואינה בכלל אבמה"ח</w:t>
      </w:r>
    </w:p>
    <w:p w14:paraId="73E8D165" w14:textId="77777777" w:rsidR="00887E67" w:rsidRDefault="00887E67" w:rsidP="005077A7">
      <w:pPr>
        <w:pStyle w:val="a"/>
        <w:rPr>
          <w:rFonts w:eastAsiaTheme="minorEastAsia" w:cstheme="minorBidi"/>
          <w:noProof/>
          <w:sz w:val="22"/>
          <w:szCs w:val="22"/>
          <w:rtl/>
        </w:rPr>
      </w:pPr>
      <w:r>
        <w:rPr>
          <w:noProof/>
          <w:rtl/>
        </w:rPr>
        <w:t>ישוב הרשב"א ברש"י דאף שמתה לפנינו מ"מ מחזיקין מאיסור לאיסור</w:t>
      </w:r>
    </w:p>
    <w:p w14:paraId="45B5FD3D" w14:textId="77777777" w:rsidR="00887E67" w:rsidRDefault="00887E67" w:rsidP="005077A7">
      <w:pPr>
        <w:pStyle w:val="a"/>
        <w:rPr>
          <w:rFonts w:eastAsiaTheme="minorEastAsia" w:cstheme="minorBidi"/>
          <w:noProof/>
          <w:sz w:val="22"/>
          <w:szCs w:val="22"/>
          <w:rtl/>
        </w:rPr>
      </w:pPr>
      <w:r>
        <w:rPr>
          <w:noProof/>
          <w:rtl/>
        </w:rPr>
        <w:t>דברי הרשב"א דבגמ' ביבמות מוכח דמחזיקין מאיסור לאיסור</w:t>
      </w:r>
    </w:p>
    <w:p w14:paraId="71C0D636" w14:textId="77777777" w:rsidR="00887E67" w:rsidRDefault="00887E67" w:rsidP="005077A7">
      <w:pPr>
        <w:pStyle w:val="a"/>
        <w:rPr>
          <w:rFonts w:eastAsiaTheme="minorEastAsia" w:cstheme="minorBidi"/>
          <w:noProof/>
          <w:sz w:val="22"/>
          <w:szCs w:val="22"/>
          <w:rtl/>
        </w:rPr>
      </w:pPr>
      <w:r>
        <w:rPr>
          <w:noProof/>
          <w:rtl/>
        </w:rPr>
        <w:t>תירוץ הש"ש דאף שפקע האבמה"ח אין לה חזקת היתר דזה גופא הספק אם נשחטה והותרה</w:t>
      </w:r>
    </w:p>
    <w:p w14:paraId="0DE6D9A5" w14:textId="77777777" w:rsidR="00887E67" w:rsidRDefault="00887E67" w:rsidP="00887E67">
      <w:pPr>
        <w:pStyle w:val="aff4"/>
        <w:rPr>
          <w:rFonts w:eastAsiaTheme="minorEastAsia" w:cstheme="minorBidi"/>
          <w:i/>
          <w:iCs/>
          <w:noProof/>
          <w:sz w:val="22"/>
          <w:szCs w:val="22"/>
          <w:rtl/>
        </w:rPr>
      </w:pPr>
      <w:bookmarkStart w:id="927" w:name="_Toc19435169"/>
      <w:bookmarkStart w:id="928" w:name="_Toc20080540"/>
      <w:r>
        <w:rPr>
          <w:noProof/>
          <w:rtl/>
        </w:rPr>
        <w:t>ביאור התוס' בביצה והרשב"א דמעמידים בחזקת אינו זבוח</w:t>
      </w:r>
      <w:bookmarkEnd w:id="927"/>
      <w:bookmarkEnd w:id="928"/>
    </w:p>
    <w:p w14:paraId="6C384483" w14:textId="77777777" w:rsidR="00887E67" w:rsidRDefault="00887E67" w:rsidP="005077A7">
      <w:pPr>
        <w:pStyle w:val="a"/>
        <w:rPr>
          <w:rFonts w:eastAsiaTheme="minorEastAsia" w:cstheme="minorBidi"/>
          <w:noProof/>
          <w:sz w:val="22"/>
          <w:szCs w:val="22"/>
          <w:rtl/>
        </w:rPr>
      </w:pPr>
      <w:r>
        <w:rPr>
          <w:noProof/>
          <w:rtl/>
        </w:rPr>
        <w:t>דברי התוס' בביצה והרשב"א דכיון שיש ספק בשחיטה מעמידים בחזקת שאינה זבוחה</w:t>
      </w:r>
    </w:p>
    <w:p w14:paraId="45A950EC" w14:textId="77777777" w:rsidR="00887E67" w:rsidRDefault="00887E67" w:rsidP="005077A7">
      <w:pPr>
        <w:pStyle w:val="a"/>
        <w:rPr>
          <w:rFonts w:eastAsiaTheme="minorEastAsia" w:cstheme="minorBidi"/>
          <w:noProof/>
          <w:sz w:val="22"/>
          <w:szCs w:val="22"/>
          <w:rtl/>
        </w:rPr>
      </w:pPr>
      <w:r>
        <w:rPr>
          <w:noProof/>
          <w:rtl/>
        </w:rPr>
        <w:t>ביאור המאירי דכיון שיכולה למות בלא שחיטה אף במתה לפנינו היא בחזקת שאינה זבוחה</w:t>
      </w:r>
    </w:p>
    <w:p w14:paraId="0B9246FA" w14:textId="77777777" w:rsidR="00887E67" w:rsidRDefault="00887E67" w:rsidP="005077A7">
      <w:pPr>
        <w:pStyle w:val="a"/>
        <w:rPr>
          <w:rFonts w:eastAsiaTheme="minorEastAsia" w:cstheme="minorBidi"/>
          <w:noProof/>
          <w:sz w:val="22"/>
          <w:szCs w:val="22"/>
          <w:rtl/>
        </w:rPr>
      </w:pPr>
      <w:r>
        <w:rPr>
          <w:noProof/>
          <w:rtl/>
        </w:rPr>
        <w:t>ביאור הריטב"א והמאירי דאסורה מחיים ולאח"מ מדין אינו זבוח דאין מחזיקין מאיסור לאיסור</w:t>
      </w:r>
    </w:p>
    <w:p w14:paraId="05B9A51D" w14:textId="77777777" w:rsidR="00887E67" w:rsidRDefault="00887E67" w:rsidP="005077A7">
      <w:pPr>
        <w:pStyle w:val="a"/>
        <w:rPr>
          <w:rFonts w:eastAsiaTheme="minorEastAsia" w:cstheme="minorBidi"/>
          <w:noProof/>
          <w:sz w:val="22"/>
          <w:szCs w:val="22"/>
          <w:rtl/>
        </w:rPr>
      </w:pPr>
      <w:r>
        <w:rPr>
          <w:noProof/>
          <w:rtl/>
        </w:rPr>
        <w:t>דחיית השיטמ"ק דכיון שמחיים האיסור הוא אבמה"ח א"א להעמידה באינו זבוח</w:t>
      </w:r>
    </w:p>
    <w:p w14:paraId="3DFFF72B" w14:textId="77777777" w:rsidR="00887E67" w:rsidRDefault="00887E67" w:rsidP="005077A7">
      <w:pPr>
        <w:pStyle w:val="a"/>
        <w:rPr>
          <w:rFonts w:eastAsiaTheme="minorEastAsia" w:cstheme="minorBidi"/>
          <w:noProof/>
          <w:sz w:val="22"/>
          <w:szCs w:val="22"/>
          <w:rtl/>
        </w:rPr>
      </w:pPr>
      <w:r>
        <w:rPr>
          <w:noProof/>
          <w:rtl/>
        </w:rPr>
        <w:t>ביאור הריטב"א דמחיים אסורה באינו זבוח כמו באבמה"ח ולכן מעמידים אותה בחזקתה</w:t>
      </w:r>
    </w:p>
    <w:p w14:paraId="1FB9F7DA" w14:textId="77777777" w:rsidR="00887E67" w:rsidRDefault="00887E67" w:rsidP="005077A7">
      <w:pPr>
        <w:pStyle w:val="a"/>
        <w:rPr>
          <w:rFonts w:eastAsiaTheme="minorEastAsia" w:cstheme="minorBidi"/>
          <w:noProof/>
          <w:sz w:val="22"/>
          <w:szCs w:val="22"/>
          <w:rtl/>
        </w:rPr>
      </w:pPr>
      <w:r>
        <w:rPr>
          <w:noProof/>
          <w:rtl/>
        </w:rPr>
        <w:t>קושית הפנ"י דאינו זבוח אינו חזקת איסור דהא אף בלא חזקה אסורה דספק דאו' לחומרא</w:t>
      </w:r>
    </w:p>
    <w:p w14:paraId="3C6627C2" w14:textId="77777777" w:rsidR="00887E67" w:rsidRDefault="00887E67" w:rsidP="005077A7">
      <w:pPr>
        <w:pStyle w:val="a"/>
        <w:rPr>
          <w:rFonts w:eastAsiaTheme="minorEastAsia" w:cstheme="minorBidi"/>
          <w:noProof/>
          <w:sz w:val="22"/>
          <w:szCs w:val="22"/>
          <w:rtl/>
        </w:rPr>
      </w:pPr>
      <w:r>
        <w:rPr>
          <w:noProof/>
          <w:rtl/>
        </w:rPr>
        <w:t>דברי הפנ"י דמדברי רב הונא  דאמר בחזקת איסור מוכח כרש"י דמחזיקין מאיסור אבמה"ח</w:t>
      </w:r>
    </w:p>
    <w:p w14:paraId="361014D8" w14:textId="77777777" w:rsidR="00887E67" w:rsidRDefault="00887E67" w:rsidP="00887E67">
      <w:pPr>
        <w:pStyle w:val="aff4"/>
        <w:rPr>
          <w:rFonts w:eastAsiaTheme="minorEastAsia" w:cstheme="minorBidi"/>
          <w:i/>
          <w:iCs/>
          <w:noProof/>
          <w:sz w:val="22"/>
          <w:szCs w:val="22"/>
          <w:rtl/>
        </w:rPr>
      </w:pPr>
      <w:bookmarkStart w:id="929" w:name="_Toc19435170"/>
      <w:bookmarkStart w:id="930" w:name="_Toc20080541"/>
      <w:r>
        <w:rPr>
          <w:noProof/>
          <w:rtl/>
        </w:rPr>
        <w:t>ביאור השיטמ"ק בדעת רש"י</w:t>
      </w:r>
      <w:bookmarkEnd w:id="929"/>
      <w:bookmarkEnd w:id="930"/>
    </w:p>
    <w:p w14:paraId="21FC745E" w14:textId="77777777" w:rsidR="00887E67" w:rsidRDefault="00887E67" w:rsidP="005077A7">
      <w:pPr>
        <w:pStyle w:val="a"/>
        <w:rPr>
          <w:rFonts w:eastAsiaTheme="minorEastAsia" w:cstheme="minorBidi"/>
          <w:noProof/>
          <w:sz w:val="22"/>
          <w:szCs w:val="22"/>
          <w:rtl/>
        </w:rPr>
      </w:pPr>
      <w:r>
        <w:rPr>
          <w:noProof/>
          <w:rtl/>
        </w:rPr>
        <w:t>תירוץ השיטמ"ק בדעת רש"י דאף שמתה מ"מ אין לה חזקה שאפשר להתיר בה את הספק</w:t>
      </w:r>
    </w:p>
    <w:p w14:paraId="6D090214" w14:textId="77777777" w:rsidR="00887E67" w:rsidRDefault="00887E67" w:rsidP="00887E67">
      <w:pPr>
        <w:pStyle w:val="aff4"/>
        <w:rPr>
          <w:rFonts w:eastAsiaTheme="minorEastAsia" w:cstheme="minorBidi"/>
          <w:i/>
          <w:iCs/>
          <w:noProof/>
          <w:sz w:val="22"/>
          <w:szCs w:val="22"/>
          <w:rtl/>
        </w:rPr>
      </w:pPr>
      <w:bookmarkStart w:id="931" w:name="_Toc19435171"/>
      <w:bookmarkStart w:id="932" w:name="_Toc20080542"/>
      <w:r>
        <w:rPr>
          <w:noProof/>
          <w:rtl/>
        </w:rPr>
        <w:t>דברי האחרונים דפליגי רש"י ותוס' אי מחזיקין מאיסור לאיסור</w:t>
      </w:r>
      <w:bookmarkEnd w:id="931"/>
      <w:bookmarkEnd w:id="932"/>
    </w:p>
    <w:p w14:paraId="0DA1A17F" w14:textId="77777777" w:rsidR="00887E67" w:rsidRDefault="00887E67" w:rsidP="005077A7">
      <w:pPr>
        <w:pStyle w:val="a"/>
        <w:rPr>
          <w:rFonts w:eastAsiaTheme="minorEastAsia" w:cstheme="minorBidi"/>
          <w:noProof/>
          <w:sz w:val="22"/>
          <w:szCs w:val="22"/>
          <w:rtl/>
        </w:rPr>
      </w:pPr>
      <w:r>
        <w:rPr>
          <w:noProof/>
          <w:rtl/>
        </w:rPr>
        <w:t>דברי הפרמ"ג דנחלקו רש"י ותוס' אי מחזיקין מאיסור לאיסור</w:t>
      </w:r>
    </w:p>
    <w:p w14:paraId="0CBD2BBA" w14:textId="77777777" w:rsidR="00887E67" w:rsidRDefault="00887E67" w:rsidP="005077A7">
      <w:pPr>
        <w:pStyle w:val="a"/>
        <w:rPr>
          <w:rFonts w:eastAsiaTheme="minorEastAsia" w:cstheme="minorBidi"/>
          <w:noProof/>
          <w:sz w:val="22"/>
          <w:szCs w:val="22"/>
          <w:rtl/>
        </w:rPr>
      </w:pPr>
      <w:r>
        <w:rPr>
          <w:noProof/>
          <w:rtl/>
        </w:rPr>
        <w:t>דברי הפני" והש"ש דכהתוס' בביצה כן מבואר בתוס' ביבמות דאין מחזיקין מאיסור לאיסור</w:t>
      </w:r>
    </w:p>
    <w:p w14:paraId="504346F3" w14:textId="77777777" w:rsidR="00887E67" w:rsidRDefault="00887E67" w:rsidP="005077A7">
      <w:pPr>
        <w:pStyle w:val="a"/>
        <w:rPr>
          <w:rFonts w:eastAsiaTheme="minorEastAsia" w:cstheme="minorBidi"/>
          <w:noProof/>
          <w:sz w:val="22"/>
          <w:szCs w:val="22"/>
          <w:rtl/>
        </w:rPr>
      </w:pPr>
      <w:r>
        <w:rPr>
          <w:noProof/>
          <w:rtl/>
        </w:rPr>
        <w:t>דברי הגרעקא דרש"י ותוס' נחלקו במח' בתוס' בשבועות אם יש איסור אינו זבוח</w:t>
      </w:r>
    </w:p>
    <w:p w14:paraId="4005C3F3" w14:textId="77777777" w:rsidR="00887E67" w:rsidRDefault="00887E67" w:rsidP="005077A7">
      <w:pPr>
        <w:pStyle w:val="a"/>
        <w:rPr>
          <w:rFonts w:eastAsiaTheme="minorEastAsia" w:cstheme="minorBidi"/>
          <w:noProof/>
          <w:sz w:val="22"/>
          <w:szCs w:val="22"/>
          <w:rtl/>
        </w:rPr>
      </w:pPr>
      <w:r>
        <w:rPr>
          <w:noProof/>
          <w:rtl/>
        </w:rPr>
        <w:t>דברי הגרעק"א והפרמ"ג דלרש"י ולריצב"א מחזיקין מאיסור לאיסור ולתוס' אין מחזיקין</w:t>
      </w:r>
    </w:p>
    <w:p w14:paraId="383B1BCB" w14:textId="77777777" w:rsidR="00887E67" w:rsidRDefault="00887E67" w:rsidP="00887E67">
      <w:pPr>
        <w:pStyle w:val="aff4"/>
        <w:rPr>
          <w:rFonts w:eastAsiaTheme="minorEastAsia" w:cstheme="minorBidi"/>
          <w:i/>
          <w:iCs/>
          <w:noProof/>
          <w:sz w:val="22"/>
          <w:szCs w:val="22"/>
          <w:rtl/>
        </w:rPr>
      </w:pPr>
      <w:bookmarkStart w:id="933" w:name="_Toc19435172"/>
      <w:bookmarkStart w:id="934" w:name="_Toc20080543"/>
      <w:r>
        <w:rPr>
          <w:noProof/>
          <w:rtl/>
        </w:rPr>
        <w:t>דעת ה</w:t>
      </w:r>
      <w:r w:rsidR="00345400">
        <w:rPr>
          <w:noProof/>
          <w:rtl/>
        </w:rPr>
        <w:t>פלתי</w:t>
      </w:r>
      <w:r>
        <w:rPr>
          <w:noProof/>
          <w:rtl/>
        </w:rPr>
        <w:t xml:space="preserve"> והש"ש דלדעת רש"י מחזיקין אף לאיסור מעלמא</w:t>
      </w:r>
      <w:bookmarkEnd w:id="933"/>
      <w:bookmarkEnd w:id="934"/>
    </w:p>
    <w:p w14:paraId="4EA5FE68" w14:textId="77777777" w:rsidR="00887E67" w:rsidRDefault="00887E67" w:rsidP="005077A7">
      <w:pPr>
        <w:pStyle w:val="a"/>
        <w:rPr>
          <w:rFonts w:eastAsiaTheme="minorEastAsia" w:cstheme="minorBidi"/>
          <w:noProof/>
          <w:sz w:val="22"/>
          <w:szCs w:val="22"/>
          <w:rtl/>
        </w:rPr>
      </w:pPr>
      <w:r>
        <w:rPr>
          <w:noProof/>
          <w:rtl/>
        </w:rPr>
        <w:t>דברי הש"ש דאף מאבמה"ח לטריפה מחזיקין ומבואר דלא רק לאיסור נבילה מחזיקין</w:t>
      </w:r>
    </w:p>
    <w:p w14:paraId="511DB672" w14:textId="77777777" w:rsidR="00887E67" w:rsidRDefault="00887E67" w:rsidP="005077A7">
      <w:pPr>
        <w:pStyle w:val="a"/>
        <w:rPr>
          <w:rFonts w:eastAsiaTheme="minorEastAsia" w:cstheme="minorBidi"/>
          <w:noProof/>
          <w:sz w:val="22"/>
          <w:szCs w:val="22"/>
          <w:rtl/>
        </w:rPr>
      </w:pPr>
      <w:r>
        <w:rPr>
          <w:noProof/>
          <w:rtl/>
        </w:rPr>
        <w:t>דברי המהרי"ט והש"ש דדינא דמחזיקין הוא בכל ב' איסורים אף שהוא איסור מעלמא</w:t>
      </w:r>
    </w:p>
    <w:p w14:paraId="7BED0502" w14:textId="77777777" w:rsidR="00887E67" w:rsidRDefault="00887E67" w:rsidP="005077A7">
      <w:pPr>
        <w:pStyle w:val="a"/>
        <w:rPr>
          <w:rFonts w:eastAsiaTheme="minorEastAsia" w:cstheme="minorBidi"/>
          <w:noProof/>
          <w:sz w:val="22"/>
          <w:szCs w:val="22"/>
          <w:rtl/>
        </w:rPr>
      </w:pPr>
      <w:r>
        <w:rPr>
          <w:noProof/>
          <w:rtl/>
        </w:rPr>
        <w:t>דברי ה</w:t>
      </w:r>
      <w:r w:rsidR="00345400">
        <w:rPr>
          <w:noProof/>
          <w:rtl/>
        </w:rPr>
        <w:t>פלתי</w:t>
      </w:r>
      <w:r>
        <w:rPr>
          <w:noProof/>
          <w:rtl/>
        </w:rPr>
        <w:t xml:space="preserve"> דאף לאיסור שחיטה בתקרובת ע"ז מחזיקין מאבר מן החי דלא נשחטה בהיתר</w:t>
      </w:r>
    </w:p>
    <w:p w14:paraId="4EE61683" w14:textId="77777777" w:rsidR="00887E67" w:rsidRDefault="00887E67" w:rsidP="00887E67">
      <w:pPr>
        <w:pStyle w:val="aff4"/>
        <w:rPr>
          <w:rFonts w:eastAsiaTheme="minorEastAsia" w:cstheme="minorBidi"/>
          <w:i/>
          <w:iCs/>
          <w:noProof/>
          <w:sz w:val="22"/>
          <w:szCs w:val="22"/>
          <w:rtl/>
        </w:rPr>
      </w:pPr>
      <w:bookmarkStart w:id="935" w:name="_Toc19435173"/>
      <w:bookmarkStart w:id="936" w:name="_Toc20080544"/>
      <w:r>
        <w:rPr>
          <w:rFonts w:hint="cs"/>
          <w:rtl/>
        </w:rPr>
        <w:t>ביאור האו"ש ברשב"א</w:t>
      </w:r>
      <w:r>
        <w:rPr>
          <w:noProof/>
          <w:rtl/>
        </w:rPr>
        <w:t xml:space="preserve"> דרק מאבמה"ח לנבילה מחזיקין</w:t>
      </w:r>
      <w:bookmarkEnd w:id="935"/>
      <w:bookmarkEnd w:id="936"/>
    </w:p>
    <w:p w14:paraId="6BFA71EF" w14:textId="77777777" w:rsidR="00887E67" w:rsidRDefault="00887E67" w:rsidP="005077A7">
      <w:pPr>
        <w:pStyle w:val="a"/>
        <w:rPr>
          <w:rFonts w:eastAsiaTheme="minorEastAsia" w:cstheme="minorBidi"/>
          <w:noProof/>
          <w:sz w:val="22"/>
          <w:szCs w:val="22"/>
          <w:rtl/>
        </w:rPr>
      </w:pPr>
      <w:r>
        <w:rPr>
          <w:noProof/>
          <w:rtl/>
        </w:rPr>
        <w:t>דברי האו"ש והבינת אדם דדעת הרשב"א דדוקא מאבר מן החי לנבילה מחזיקין</w:t>
      </w:r>
    </w:p>
    <w:p w14:paraId="01F1CF92" w14:textId="77777777" w:rsidR="00887E67" w:rsidRDefault="00887E67" w:rsidP="005077A7">
      <w:pPr>
        <w:pStyle w:val="a"/>
        <w:rPr>
          <w:rFonts w:eastAsiaTheme="minorEastAsia" w:cstheme="minorBidi"/>
          <w:noProof/>
          <w:sz w:val="22"/>
          <w:szCs w:val="22"/>
          <w:rtl/>
        </w:rPr>
      </w:pPr>
      <w:r>
        <w:rPr>
          <w:noProof/>
          <w:rtl/>
        </w:rPr>
        <w:t>ביאור השיטמ"ק ברש"י דדדוקא מאבר מן החי לנבילה מחזיקין</w:t>
      </w:r>
    </w:p>
    <w:p w14:paraId="34B4BD53" w14:textId="77777777" w:rsidR="00887E67" w:rsidRDefault="00887E67" w:rsidP="00887E67">
      <w:pPr>
        <w:pStyle w:val="aff4"/>
        <w:rPr>
          <w:rFonts w:eastAsiaTheme="minorEastAsia" w:cstheme="minorBidi"/>
          <w:i/>
          <w:iCs/>
          <w:noProof/>
          <w:sz w:val="22"/>
          <w:szCs w:val="22"/>
          <w:rtl/>
        </w:rPr>
      </w:pPr>
      <w:bookmarkStart w:id="937" w:name="_Toc19435174"/>
      <w:bookmarkStart w:id="938" w:name="_Toc20080545"/>
      <w:r>
        <w:rPr>
          <w:noProof/>
          <w:rtl/>
        </w:rPr>
        <w:t>דעת הגרעק"א דרק מאבמה"ח לנבילה מחזיקין לדעת רש"י</w:t>
      </w:r>
      <w:bookmarkEnd w:id="937"/>
      <w:bookmarkEnd w:id="938"/>
    </w:p>
    <w:p w14:paraId="14CFF638" w14:textId="77777777" w:rsidR="00887E67" w:rsidRDefault="00887E67" w:rsidP="005077A7">
      <w:pPr>
        <w:pStyle w:val="a"/>
        <w:rPr>
          <w:rFonts w:eastAsiaTheme="minorEastAsia" w:cstheme="minorBidi"/>
          <w:noProof/>
          <w:sz w:val="22"/>
          <w:szCs w:val="22"/>
          <w:rtl/>
        </w:rPr>
      </w:pPr>
      <w:r>
        <w:rPr>
          <w:noProof/>
          <w:rtl/>
        </w:rPr>
        <w:t>דברי הגרעק"א דמחזיקין דוקא מאבמה"ח לנבילה דבלא הכשר כל בהמה נבילה</w:t>
      </w:r>
    </w:p>
    <w:p w14:paraId="09257D64" w14:textId="77777777" w:rsidR="00887E67" w:rsidRDefault="00887E67" w:rsidP="005077A7">
      <w:pPr>
        <w:pStyle w:val="a"/>
        <w:rPr>
          <w:rFonts w:eastAsiaTheme="minorEastAsia" w:cstheme="minorBidi"/>
          <w:noProof/>
          <w:sz w:val="22"/>
          <w:szCs w:val="22"/>
          <w:rtl/>
        </w:rPr>
      </w:pPr>
      <w:r>
        <w:rPr>
          <w:noProof/>
          <w:rtl/>
        </w:rPr>
        <w:t>דברי הגרעק"א דבספק שחיטה ובאיסור שבא מעלמא אין מחזיקין בנשחטה כראוי</w:t>
      </w:r>
    </w:p>
    <w:p w14:paraId="7E481DE5" w14:textId="77777777" w:rsidR="00887E67" w:rsidRDefault="00887E67" w:rsidP="005077A7">
      <w:pPr>
        <w:pStyle w:val="a"/>
        <w:rPr>
          <w:rFonts w:eastAsiaTheme="minorEastAsia" w:cstheme="minorBidi"/>
          <w:noProof/>
          <w:sz w:val="22"/>
          <w:szCs w:val="22"/>
          <w:rtl/>
        </w:rPr>
      </w:pPr>
      <w:r>
        <w:rPr>
          <w:noProof/>
          <w:rtl/>
        </w:rPr>
        <w:t>דברי הגרעק"א דבתקורבת ע"ז שהוא איסור שבא מעלמא מודה רש"י דאין מחזיקין</w:t>
      </w:r>
    </w:p>
    <w:p w14:paraId="2FAFDFB7" w14:textId="77777777" w:rsidR="00887E67" w:rsidRDefault="00887E67" w:rsidP="0011670A">
      <w:pPr>
        <w:pStyle w:val="2"/>
        <w:rPr>
          <w:rFonts w:eastAsiaTheme="minorEastAsia" w:cstheme="minorBidi"/>
          <w:i/>
          <w:iCs/>
          <w:noProof/>
          <w:rtl/>
        </w:rPr>
      </w:pPr>
      <w:bookmarkStart w:id="939" w:name="_Toc19435175"/>
      <w:r>
        <w:rPr>
          <w:noProof/>
          <w:rtl/>
        </w:rPr>
        <w:t>בביאור דינא דמחזיקין מאיסור לאיסור בצרת ערוה</w:t>
      </w:r>
      <w:bookmarkEnd w:id="939"/>
    </w:p>
    <w:p w14:paraId="09263D56" w14:textId="77777777" w:rsidR="00887E67" w:rsidRDefault="00887E67" w:rsidP="00887E67">
      <w:pPr>
        <w:pStyle w:val="aff4"/>
        <w:rPr>
          <w:rFonts w:eastAsiaTheme="minorEastAsia" w:cstheme="minorBidi"/>
          <w:i/>
          <w:iCs/>
          <w:noProof/>
          <w:sz w:val="22"/>
          <w:szCs w:val="22"/>
          <w:rtl/>
        </w:rPr>
      </w:pPr>
      <w:bookmarkStart w:id="940" w:name="_Toc19435176"/>
      <w:bookmarkStart w:id="941" w:name="_Toc20080546"/>
      <w:r>
        <w:rPr>
          <w:noProof/>
          <w:rtl/>
        </w:rPr>
        <w:t>קושית הראשונים ביבמות דבספק צר"ע אין מחזיקין מאל"א</w:t>
      </w:r>
      <w:bookmarkEnd w:id="940"/>
      <w:bookmarkEnd w:id="941"/>
    </w:p>
    <w:p w14:paraId="1B0BB528" w14:textId="77777777" w:rsidR="00887E67" w:rsidRDefault="00887E67" w:rsidP="005077A7">
      <w:pPr>
        <w:pStyle w:val="a"/>
        <w:rPr>
          <w:rFonts w:eastAsiaTheme="minorEastAsia" w:cstheme="minorBidi"/>
          <w:noProof/>
          <w:sz w:val="22"/>
          <w:szCs w:val="22"/>
          <w:rtl/>
        </w:rPr>
      </w:pPr>
      <w:bookmarkStart w:id="942" w:name="_Ref522480411"/>
      <w:r>
        <w:rPr>
          <w:noProof/>
          <w:rtl/>
        </w:rPr>
        <w:t>קושית הרמב"ן והרשב"א אמאי בספק צרת ערוה אין מחזיקין מאיסור לאיסור</w:t>
      </w:r>
      <w:bookmarkEnd w:id="942"/>
    </w:p>
    <w:p w14:paraId="2B3179C1" w14:textId="77777777" w:rsidR="00887E67" w:rsidRDefault="00887E67" w:rsidP="00887E67">
      <w:pPr>
        <w:pStyle w:val="aff4"/>
        <w:rPr>
          <w:rFonts w:eastAsiaTheme="minorEastAsia" w:cstheme="minorBidi"/>
          <w:i/>
          <w:iCs/>
          <w:noProof/>
          <w:sz w:val="22"/>
          <w:szCs w:val="22"/>
          <w:rtl/>
        </w:rPr>
      </w:pPr>
      <w:bookmarkStart w:id="943" w:name="_Toc19435177"/>
      <w:bookmarkStart w:id="944" w:name="_Toc20080547"/>
      <w:r>
        <w:rPr>
          <w:noProof/>
          <w:rtl/>
        </w:rPr>
        <w:t>דברי הרמב"ן בחילוק בין ספק שחיטה לספק צר"ע</w:t>
      </w:r>
      <w:bookmarkEnd w:id="943"/>
      <w:bookmarkEnd w:id="944"/>
    </w:p>
    <w:p w14:paraId="241899C3" w14:textId="77777777" w:rsidR="00887E67" w:rsidRDefault="00887E67" w:rsidP="005077A7">
      <w:pPr>
        <w:pStyle w:val="a"/>
        <w:rPr>
          <w:rFonts w:eastAsiaTheme="minorEastAsia" w:cstheme="minorBidi"/>
          <w:noProof/>
          <w:sz w:val="22"/>
          <w:szCs w:val="22"/>
          <w:rtl/>
        </w:rPr>
      </w:pPr>
      <w:r>
        <w:rPr>
          <w:noProof/>
          <w:rtl/>
        </w:rPr>
        <w:t>תירוץ הרמב"ן דבהמה יוצאת מאבמה"ח לנבילה ואילו צר"ע אינה יוצאת ממיתה לאיסור לשוק</w:t>
      </w:r>
    </w:p>
    <w:p w14:paraId="5ECF8D9A" w14:textId="77777777" w:rsidR="00887E67" w:rsidRDefault="00887E67" w:rsidP="005077A7">
      <w:pPr>
        <w:pStyle w:val="a"/>
        <w:rPr>
          <w:rFonts w:eastAsiaTheme="minorEastAsia" w:cstheme="minorBidi"/>
          <w:noProof/>
          <w:sz w:val="22"/>
          <w:szCs w:val="22"/>
          <w:rtl/>
        </w:rPr>
      </w:pPr>
      <w:r>
        <w:rPr>
          <w:noProof/>
          <w:rtl/>
        </w:rPr>
        <w:t>דברי הרמב"ן דבצר"ע יש לה חזקת איסור ליבם ולכן מעמידים על חזקת היתר לשוק</w:t>
      </w:r>
    </w:p>
    <w:p w14:paraId="5B783CE3" w14:textId="77777777" w:rsidR="00887E67" w:rsidRDefault="00887E67" w:rsidP="005077A7">
      <w:pPr>
        <w:pStyle w:val="a"/>
        <w:rPr>
          <w:rFonts w:eastAsiaTheme="minorEastAsia" w:cstheme="minorBidi"/>
          <w:noProof/>
          <w:sz w:val="22"/>
          <w:szCs w:val="22"/>
          <w:rtl/>
        </w:rPr>
      </w:pPr>
      <w:r>
        <w:rPr>
          <w:noProof/>
          <w:rtl/>
        </w:rPr>
        <w:t>דחיית הרשב"א לתירוץ הרמב"ן דאף צר"ע יוצאת לאיסור לשוק אם חלו הגירושין בערוה</w:t>
      </w:r>
    </w:p>
    <w:p w14:paraId="2EC4B88B" w14:textId="77777777" w:rsidR="00887E67" w:rsidRDefault="00887E67" w:rsidP="005077A7">
      <w:pPr>
        <w:pStyle w:val="a"/>
        <w:rPr>
          <w:rFonts w:eastAsiaTheme="minorEastAsia" w:cstheme="minorBidi"/>
          <w:noProof/>
          <w:sz w:val="22"/>
          <w:szCs w:val="22"/>
          <w:rtl/>
        </w:rPr>
      </w:pPr>
      <w:r>
        <w:rPr>
          <w:noProof/>
          <w:rtl/>
        </w:rPr>
        <w:t>קושית הרשב"א דאמאי בספק קידושין יש לה חזקת היתר ליבם הרי יכולה לצאת באיסור ליבם</w:t>
      </w:r>
    </w:p>
    <w:p w14:paraId="4BE86B6F" w14:textId="77777777" w:rsidR="005B633C" w:rsidRDefault="005B633C" w:rsidP="00887E67">
      <w:pPr>
        <w:pStyle w:val="aff4"/>
        <w:rPr>
          <w:noProof/>
          <w:rtl/>
        </w:rPr>
      </w:pPr>
    </w:p>
    <w:p w14:paraId="2E6E7158" w14:textId="77777777" w:rsidR="00887E67" w:rsidRDefault="00887E67" w:rsidP="00887E67">
      <w:pPr>
        <w:pStyle w:val="aff4"/>
        <w:rPr>
          <w:rFonts w:eastAsiaTheme="minorEastAsia" w:cstheme="minorBidi"/>
          <w:i/>
          <w:iCs/>
          <w:noProof/>
          <w:sz w:val="22"/>
          <w:szCs w:val="22"/>
          <w:rtl/>
        </w:rPr>
      </w:pPr>
      <w:bookmarkStart w:id="945" w:name="_Toc19435178"/>
      <w:bookmarkStart w:id="946" w:name="_Toc20080548"/>
      <w:r>
        <w:rPr>
          <w:noProof/>
          <w:rtl/>
        </w:rPr>
        <w:t>תירוץ הרשב"א דבשחיטה צריך לחדש מעשה ועליו הראיה</w:t>
      </w:r>
      <w:bookmarkEnd w:id="945"/>
      <w:bookmarkEnd w:id="946"/>
    </w:p>
    <w:p w14:paraId="5DFF05A6" w14:textId="77777777" w:rsidR="00887E67" w:rsidRDefault="00887E67" w:rsidP="005077A7">
      <w:pPr>
        <w:pStyle w:val="a"/>
        <w:rPr>
          <w:rFonts w:eastAsiaTheme="minorEastAsia" w:cstheme="minorBidi"/>
          <w:noProof/>
          <w:sz w:val="22"/>
          <w:szCs w:val="22"/>
          <w:rtl/>
        </w:rPr>
      </w:pPr>
      <w:r>
        <w:rPr>
          <w:noProof/>
          <w:rtl/>
        </w:rPr>
        <w:t>תירוץ הרשב"א דבספק שחיטה צריך לחדש מעשה בכדי להכשירה</w:t>
      </w:r>
    </w:p>
    <w:p w14:paraId="1B88927D" w14:textId="77777777" w:rsidR="00887E67" w:rsidRDefault="00887E67" w:rsidP="005077A7">
      <w:pPr>
        <w:pStyle w:val="a"/>
        <w:rPr>
          <w:rFonts w:eastAsiaTheme="minorEastAsia" w:cstheme="minorBidi"/>
          <w:noProof/>
          <w:sz w:val="22"/>
          <w:szCs w:val="22"/>
          <w:rtl/>
        </w:rPr>
      </w:pPr>
      <w:r>
        <w:rPr>
          <w:noProof/>
          <w:rtl/>
        </w:rPr>
        <w:t>דברי הרשב"א דבצר"ע צריך להוכיח שנתחדש בה איסור לשוק</w:t>
      </w:r>
    </w:p>
    <w:p w14:paraId="61688F70" w14:textId="77777777" w:rsidR="00887E67" w:rsidRDefault="00887E67" w:rsidP="00887E67">
      <w:pPr>
        <w:pStyle w:val="aff4"/>
        <w:rPr>
          <w:rFonts w:eastAsiaTheme="minorEastAsia" w:cstheme="minorBidi"/>
          <w:i/>
          <w:iCs/>
          <w:noProof/>
          <w:sz w:val="22"/>
          <w:szCs w:val="22"/>
          <w:rtl/>
        </w:rPr>
      </w:pPr>
      <w:bookmarkStart w:id="947" w:name="_Toc19435179"/>
      <w:bookmarkStart w:id="948" w:name="_Toc20080549"/>
      <w:r>
        <w:rPr>
          <w:noProof/>
          <w:rtl/>
        </w:rPr>
        <w:t>תירוץ הריטב"א והמאירי דאף בשחיטה אין מחזיקין מאל"א</w:t>
      </w:r>
      <w:bookmarkEnd w:id="947"/>
      <w:bookmarkEnd w:id="948"/>
    </w:p>
    <w:p w14:paraId="0353A737" w14:textId="77777777" w:rsidR="00887E67" w:rsidRDefault="00887E67" w:rsidP="005077A7">
      <w:pPr>
        <w:pStyle w:val="a"/>
        <w:rPr>
          <w:rFonts w:eastAsiaTheme="minorEastAsia" w:cstheme="minorBidi"/>
          <w:noProof/>
          <w:sz w:val="22"/>
          <w:szCs w:val="22"/>
          <w:rtl/>
        </w:rPr>
      </w:pPr>
      <w:r>
        <w:rPr>
          <w:noProof/>
          <w:rtl/>
        </w:rPr>
        <w:t>תירוץ הריטב"א והמאירי דבספק בשחיטה אסורה באינו זבוח ולא מחמת דמחזיקין מאל"א</w:t>
      </w:r>
    </w:p>
    <w:p w14:paraId="3B428F32" w14:textId="77777777" w:rsidR="00887E67" w:rsidRDefault="00887E67" w:rsidP="005077A7">
      <w:pPr>
        <w:pStyle w:val="a"/>
        <w:rPr>
          <w:rFonts w:eastAsiaTheme="minorEastAsia" w:cstheme="minorBidi"/>
          <w:noProof/>
          <w:sz w:val="22"/>
          <w:szCs w:val="22"/>
          <w:rtl/>
        </w:rPr>
      </w:pPr>
      <w:r>
        <w:rPr>
          <w:noProof/>
          <w:rtl/>
        </w:rPr>
        <w:t>דברי המאירי דכיון שאין מחזיקין מאל"א לכן בספק צרת ערוה היא בחזקת היתר</w:t>
      </w:r>
    </w:p>
    <w:p w14:paraId="037C3D13" w14:textId="77777777" w:rsidR="00887E67" w:rsidRDefault="00887E67" w:rsidP="005077A7">
      <w:pPr>
        <w:pStyle w:val="a"/>
        <w:rPr>
          <w:rFonts w:eastAsiaTheme="minorEastAsia" w:cstheme="minorBidi"/>
          <w:noProof/>
          <w:sz w:val="22"/>
          <w:szCs w:val="22"/>
          <w:rtl/>
        </w:rPr>
      </w:pPr>
      <w:r>
        <w:rPr>
          <w:noProof/>
          <w:rtl/>
        </w:rPr>
        <w:t>ביאור רבי ראובן דכן דעת התוס' ביבמות שלא הקשו מדינא דאין מחזיקין מאל"א</w:t>
      </w:r>
    </w:p>
    <w:p w14:paraId="503FA618" w14:textId="77777777" w:rsidR="00887E67" w:rsidRDefault="00887E67" w:rsidP="00887E67">
      <w:pPr>
        <w:pStyle w:val="aff4"/>
        <w:rPr>
          <w:rFonts w:eastAsiaTheme="minorEastAsia" w:cstheme="minorBidi"/>
          <w:i/>
          <w:iCs/>
          <w:noProof/>
          <w:sz w:val="22"/>
          <w:szCs w:val="22"/>
          <w:rtl/>
        </w:rPr>
      </w:pPr>
      <w:bookmarkStart w:id="949" w:name="_Toc19435180"/>
      <w:bookmarkStart w:id="950" w:name="_Toc20080550"/>
      <w:r>
        <w:rPr>
          <w:noProof/>
          <w:rtl/>
        </w:rPr>
        <w:t>ביאור האו"ש בדברי הרמב"ן והרשב"א ביבמות</w:t>
      </w:r>
      <w:bookmarkEnd w:id="949"/>
      <w:bookmarkEnd w:id="950"/>
    </w:p>
    <w:p w14:paraId="34D3B64B" w14:textId="77777777" w:rsidR="00887E67" w:rsidRDefault="00887E67" w:rsidP="005077A7">
      <w:pPr>
        <w:pStyle w:val="a"/>
        <w:rPr>
          <w:rFonts w:eastAsiaTheme="minorEastAsia" w:cstheme="minorBidi"/>
          <w:noProof/>
          <w:sz w:val="22"/>
          <w:szCs w:val="22"/>
          <w:rtl/>
        </w:rPr>
      </w:pPr>
      <w:r>
        <w:rPr>
          <w:noProof/>
          <w:rtl/>
        </w:rPr>
        <w:t>קושית האו"ש דבספק צרת ערוה צריך להתיר מדין מחזיקין מאל"א דאסורה ליבם באשת אח</w:t>
      </w:r>
    </w:p>
    <w:p w14:paraId="39053157" w14:textId="77777777" w:rsidR="00887E67" w:rsidRDefault="00887E67" w:rsidP="005077A7">
      <w:pPr>
        <w:pStyle w:val="a"/>
        <w:rPr>
          <w:rFonts w:eastAsiaTheme="minorEastAsia" w:cstheme="minorBidi"/>
          <w:noProof/>
          <w:sz w:val="22"/>
          <w:szCs w:val="22"/>
          <w:rtl/>
        </w:rPr>
      </w:pPr>
      <w:r>
        <w:rPr>
          <w:noProof/>
          <w:rtl/>
        </w:rPr>
        <w:t>קושית האו"ש דמדברי אביי בספק קידושין מוכח דמחזיקין מאיסור לאיסור</w:t>
      </w:r>
    </w:p>
    <w:p w14:paraId="1742A522" w14:textId="77777777" w:rsidR="00887E67" w:rsidRDefault="00887E67" w:rsidP="005077A7">
      <w:pPr>
        <w:pStyle w:val="a"/>
        <w:rPr>
          <w:rFonts w:eastAsiaTheme="minorEastAsia" w:cstheme="minorBidi"/>
          <w:noProof/>
          <w:sz w:val="22"/>
          <w:szCs w:val="22"/>
          <w:rtl/>
        </w:rPr>
      </w:pPr>
      <w:r>
        <w:rPr>
          <w:noProof/>
          <w:rtl/>
        </w:rPr>
        <w:t>תירוץ האו"ש דבספק קידושין מכח האשת אח א"א לחדש מעשה ולומר שחלו הקידושין</w:t>
      </w:r>
    </w:p>
    <w:p w14:paraId="72C5CA9D" w14:textId="77777777" w:rsidR="00887E67" w:rsidRDefault="00887E67" w:rsidP="00887E67">
      <w:pPr>
        <w:pStyle w:val="aff4"/>
        <w:rPr>
          <w:rFonts w:eastAsiaTheme="minorEastAsia" w:cstheme="minorBidi"/>
          <w:i/>
          <w:iCs/>
          <w:noProof/>
          <w:sz w:val="22"/>
          <w:szCs w:val="22"/>
          <w:rtl/>
        </w:rPr>
      </w:pPr>
      <w:bookmarkStart w:id="951" w:name="_Toc19435181"/>
      <w:bookmarkStart w:id="952" w:name="_Toc20080551"/>
      <w:r>
        <w:rPr>
          <w:noProof/>
          <w:rtl/>
        </w:rPr>
        <w:t>ביאור החזו"א בדברי הרמב"ן והרשב"א ביבמות</w:t>
      </w:r>
      <w:bookmarkEnd w:id="951"/>
      <w:bookmarkEnd w:id="952"/>
    </w:p>
    <w:p w14:paraId="28FACAE5" w14:textId="77777777" w:rsidR="00887E67" w:rsidRDefault="00887E67" w:rsidP="005077A7">
      <w:pPr>
        <w:pStyle w:val="a"/>
        <w:rPr>
          <w:rFonts w:eastAsiaTheme="minorEastAsia" w:cstheme="minorBidi"/>
          <w:noProof/>
          <w:sz w:val="22"/>
          <w:szCs w:val="22"/>
          <w:rtl/>
        </w:rPr>
      </w:pPr>
      <w:r>
        <w:rPr>
          <w:noProof/>
          <w:rtl/>
        </w:rPr>
        <w:t>דברי החזו"א דבספק בשחיטה אם לא נשחטה כראוי מחיים היא מוחזקת לנבילה</w:t>
      </w:r>
    </w:p>
    <w:p w14:paraId="38466F5C" w14:textId="77777777" w:rsidR="00887E67" w:rsidRDefault="00887E67" w:rsidP="005077A7">
      <w:pPr>
        <w:pStyle w:val="a"/>
        <w:rPr>
          <w:rFonts w:eastAsiaTheme="minorEastAsia" w:cstheme="minorBidi"/>
          <w:noProof/>
          <w:sz w:val="22"/>
          <w:szCs w:val="22"/>
          <w:rtl/>
        </w:rPr>
      </w:pPr>
      <w:r>
        <w:rPr>
          <w:noProof/>
          <w:rtl/>
        </w:rPr>
        <w:t>ביאור החזו"א ברמב"ן דבספק צר"ע יש לה חזקת איסור מחיים כמו בספק בשחיטה</w:t>
      </w:r>
    </w:p>
    <w:p w14:paraId="012AF0CC" w14:textId="77777777" w:rsidR="00887E67" w:rsidRDefault="00887E67" w:rsidP="005077A7">
      <w:pPr>
        <w:pStyle w:val="a"/>
        <w:rPr>
          <w:rFonts w:eastAsiaTheme="minorEastAsia" w:cstheme="minorBidi"/>
          <w:noProof/>
          <w:sz w:val="22"/>
          <w:szCs w:val="22"/>
          <w:rtl/>
        </w:rPr>
      </w:pPr>
      <w:r>
        <w:rPr>
          <w:noProof/>
          <w:rtl/>
        </w:rPr>
        <w:t>ביאור החזו"א ברמב"ן דבצר"ע המיתה התירתה והשינוי בדבר אחר ולכן אי"ז חשיב חזקת איסור</w:t>
      </w:r>
    </w:p>
    <w:p w14:paraId="67646373" w14:textId="77777777" w:rsidR="00887E67" w:rsidRDefault="00887E67" w:rsidP="005077A7">
      <w:pPr>
        <w:pStyle w:val="a"/>
        <w:rPr>
          <w:rFonts w:eastAsiaTheme="minorEastAsia" w:cstheme="minorBidi"/>
          <w:noProof/>
          <w:sz w:val="22"/>
          <w:szCs w:val="22"/>
          <w:rtl/>
        </w:rPr>
      </w:pPr>
      <w:r>
        <w:rPr>
          <w:noProof/>
          <w:rtl/>
        </w:rPr>
        <w:t>ביאור החזו"א ברמב"ן דבשחיטה שיש שחיטה שאינה מתירה באכילה היא בחזקת איסור</w:t>
      </w:r>
    </w:p>
    <w:p w14:paraId="11482C77" w14:textId="77777777" w:rsidR="00887E67" w:rsidRDefault="00887E67" w:rsidP="005077A7">
      <w:pPr>
        <w:pStyle w:val="a"/>
        <w:rPr>
          <w:rFonts w:eastAsiaTheme="minorEastAsia" w:cstheme="minorBidi"/>
          <w:noProof/>
          <w:sz w:val="22"/>
          <w:szCs w:val="22"/>
          <w:rtl/>
        </w:rPr>
      </w:pPr>
      <w:r>
        <w:rPr>
          <w:noProof/>
          <w:rtl/>
        </w:rPr>
        <w:t>ביאור החזו"א ברשב"א דבשחיטה שיש בה דינים כשמתה לא רואים היתר לפנינו</w:t>
      </w:r>
    </w:p>
    <w:p w14:paraId="18DE8F93" w14:textId="77777777" w:rsidR="00887E67" w:rsidRDefault="00887E67" w:rsidP="005077A7">
      <w:pPr>
        <w:pStyle w:val="a"/>
        <w:rPr>
          <w:rFonts w:eastAsiaTheme="minorEastAsia" w:cstheme="minorBidi"/>
          <w:noProof/>
          <w:sz w:val="22"/>
          <w:szCs w:val="22"/>
          <w:rtl/>
        </w:rPr>
      </w:pPr>
      <w:r>
        <w:rPr>
          <w:noProof/>
          <w:rtl/>
        </w:rPr>
        <w:t>ביאור החזו"א ברשב"א דבצר"ע דכל מיתה מתירה כשמת הבעל אנו רואים היתר לפנינו</w:t>
      </w:r>
    </w:p>
    <w:p w14:paraId="2D36B2AD" w14:textId="77777777" w:rsidR="00887E67" w:rsidRDefault="00887E67" w:rsidP="005077A7">
      <w:pPr>
        <w:pStyle w:val="a"/>
        <w:rPr>
          <w:rFonts w:eastAsiaTheme="minorEastAsia" w:cstheme="minorBidi"/>
          <w:noProof/>
          <w:sz w:val="22"/>
          <w:szCs w:val="22"/>
          <w:rtl/>
        </w:rPr>
      </w:pPr>
      <w:r>
        <w:rPr>
          <w:noProof/>
          <w:rtl/>
        </w:rPr>
        <w:t>ביאור החזו"א בתירוץ השני ברמב"ן דבצר"ע יש סתירה בחזקות ומוקמינן בחזקת היתר</w:t>
      </w:r>
    </w:p>
    <w:p w14:paraId="26715A23" w14:textId="77777777" w:rsidR="00887E67" w:rsidRDefault="00887E67" w:rsidP="005077A7">
      <w:pPr>
        <w:pStyle w:val="a"/>
        <w:rPr>
          <w:rFonts w:eastAsiaTheme="minorEastAsia" w:cstheme="minorBidi"/>
          <w:noProof/>
          <w:sz w:val="22"/>
          <w:szCs w:val="22"/>
          <w:rtl/>
        </w:rPr>
      </w:pPr>
      <w:r>
        <w:rPr>
          <w:noProof/>
          <w:rtl/>
        </w:rPr>
        <w:t>דברי החזו"א דמסברא אפשר לומר דכל חזקה פוסקת בפנ"ע ואסורה בין לשוק ובין ליבם</w:t>
      </w:r>
    </w:p>
    <w:p w14:paraId="659BA889" w14:textId="77777777" w:rsidR="00887E67" w:rsidRDefault="00887E67" w:rsidP="005077A7">
      <w:pPr>
        <w:pStyle w:val="a"/>
        <w:rPr>
          <w:rFonts w:eastAsiaTheme="minorEastAsia" w:cstheme="minorBidi"/>
          <w:noProof/>
          <w:sz w:val="22"/>
          <w:szCs w:val="22"/>
          <w:rtl/>
        </w:rPr>
      </w:pPr>
      <w:r>
        <w:rPr>
          <w:noProof/>
          <w:rtl/>
        </w:rPr>
        <w:t>דחיית החזו"א דדוקא בב' שבילין דהם ב' גופים אפשר להעמיד כל חזקה בפנ"ע</w:t>
      </w:r>
    </w:p>
    <w:p w14:paraId="1F9D75F9" w14:textId="77777777" w:rsidR="00887E67" w:rsidRDefault="00887E67" w:rsidP="00887E67">
      <w:pPr>
        <w:pStyle w:val="aff4"/>
        <w:rPr>
          <w:rFonts w:eastAsiaTheme="minorEastAsia" w:cstheme="minorBidi"/>
          <w:i/>
          <w:iCs/>
          <w:noProof/>
          <w:sz w:val="22"/>
          <w:szCs w:val="22"/>
          <w:rtl/>
        </w:rPr>
      </w:pPr>
      <w:bookmarkStart w:id="953" w:name="_Toc19435182"/>
      <w:bookmarkStart w:id="954" w:name="_Toc20080552"/>
      <w:r>
        <w:rPr>
          <w:noProof/>
          <w:rtl/>
        </w:rPr>
        <w:t>בקושית התוס' ביבמות מנשחטה בחזקת היתר קיימא</w:t>
      </w:r>
      <w:bookmarkEnd w:id="953"/>
      <w:bookmarkEnd w:id="954"/>
    </w:p>
    <w:p w14:paraId="76C3A200" w14:textId="77777777" w:rsidR="00887E67" w:rsidRDefault="00887E67" w:rsidP="005077A7">
      <w:pPr>
        <w:pStyle w:val="a"/>
        <w:rPr>
          <w:rFonts w:eastAsiaTheme="minorEastAsia" w:cstheme="minorBidi"/>
          <w:noProof/>
          <w:sz w:val="22"/>
          <w:szCs w:val="22"/>
          <w:rtl/>
        </w:rPr>
      </w:pPr>
      <w:r>
        <w:rPr>
          <w:noProof/>
          <w:rtl/>
        </w:rPr>
        <w:t>דברי התוס' ביבמות דבצר"ע אף כשנולד הספק מחיים מוקמינן בחזקת היתר</w:t>
      </w:r>
    </w:p>
    <w:p w14:paraId="4A2AE451" w14:textId="77777777" w:rsidR="00887E67" w:rsidRDefault="00887E67" w:rsidP="005077A7">
      <w:pPr>
        <w:pStyle w:val="a"/>
        <w:rPr>
          <w:rFonts w:eastAsiaTheme="minorEastAsia" w:cstheme="minorBidi"/>
          <w:noProof/>
          <w:sz w:val="22"/>
          <w:szCs w:val="22"/>
          <w:rtl/>
        </w:rPr>
      </w:pPr>
      <w:r>
        <w:rPr>
          <w:noProof/>
          <w:rtl/>
        </w:rPr>
        <w:t>קושית התוס' ביבמות דבשחיטה בספק דרוסה שנולד הספק מחיים מוקמינן בחזקת איסור</w:t>
      </w:r>
    </w:p>
    <w:p w14:paraId="6A85DD40" w14:textId="77777777" w:rsidR="00887E67" w:rsidRDefault="00887E67" w:rsidP="005077A7">
      <w:pPr>
        <w:pStyle w:val="a"/>
        <w:rPr>
          <w:rFonts w:eastAsiaTheme="minorEastAsia" w:cstheme="minorBidi"/>
          <w:noProof/>
          <w:sz w:val="22"/>
          <w:szCs w:val="22"/>
          <w:rtl/>
        </w:rPr>
      </w:pPr>
      <w:r>
        <w:rPr>
          <w:noProof/>
          <w:rtl/>
        </w:rPr>
        <w:t>דברי התורא"ש דבסוגיין מבואר דבלא היה לה היתר מעולם רק בספק שנולד אח"כ מותרת</w:t>
      </w:r>
    </w:p>
    <w:p w14:paraId="2C85DAAF" w14:textId="77777777" w:rsidR="00887E67" w:rsidRDefault="00887E67" w:rsidP="005077A7">
      <w:pPr>
        <w:pStyle w:val="a"/>
        <w:rPr>
          <w:rFonts w:eastAsiaTheme="minorEastAsia" w:cstheme="minorBidi"/>
          <w:noProof/>
          <w:sz w:val="22"/>
          <w:szCs w:val="22"/>
          <w:rtl/>
        </w:rPr>
      </w:pPr>
      <w:r>
        <w:rPr>
          <w:noProof/>
          <w:rtl/>
        </w:rPr>
        <w:t>קושית התורא"ש דבספק שנולד מחיים אין חזקת היתר לכשתשחט ומוקמינן בחזקת איסור</w:t>
      </w:r>
    </w:p>
    <w:p w14:paraId="26233DC6" w14:textId="77777777" w:rsidR="00887E67" w:rsidRDefault="00887E67" w:rsidP="00887E67">
      <w:pPr>
        <w:pStyle w:val="aff4"/>
        <w:rPr>
          <w:rFonts w:eastAsiaTheme="minorEastAsia" w:cstheme="minorBidi"/>
          <w:i/>
          <w:iCs/>
          <w:noProof/>
          <w:sz w:val="22"/>
          <w:szCs w:val="22"/>
          <w:rtl/>
        </w:rPr>
      </w:pPr>
      <w:bookmarkStart w:id="955" w:name="_Toc19435183"/>
      <w:bookmarkStart w:id="956" w:name="_Toc20080553"/>
      <w:r>
        <w:rPr>
          <w:noProof/>
          <w:rtl/>
        </w:rPr>
        <w:t>תירוץ התוס' ביבמות דרק בדבר ששכיח ומוכח לאיסור אסורה</w:t>
      </w:r>
      <w:bookmarkEnd w:id="955"/>
      <w:bookmarkEnd w:id="956"/>
    </w:p>
    <w:p w14:paraId="3105925F" w14:textId="77777777" w:rsidR="00887E67" w:rsidRDefault="00887E67" w:rsidP="005077A7">
      <w:pPr>
        <w:pStyle w:val="a"/>
        <w:rPr>
          <w:rFonts w:eastAsiaTheme="minorEastAsia" w:cstheme="minorBidi"/>
          <w:noProof/>
          <w:sz w:val="22"/>
          <w:szCs w:val="22"/>
          <w:rtl/>
        </w:rPr>
      </w:pPr>
      <w:r>
        <w:rPr>
          <w:noProof/>
          <w:rtl/>
        </w:rPr>
        <w:t>תירוץ התוס' ביבמות דספק דרוסה יותר שכיח האיסור מההיתר ולכן מוקמינן בחזקת איסור</w:t>
      </w:r>
    </w:p>
    <w:p w14:paraId="3DCD1E41" w14:textId="77777777" w:rsidR="00887E67" w:rsidRDefault="00887E67" w:rsidP="0011670A">
      <w:pPr>
        <w:pStyle w:val="2"/>
        <w:rPr>
          <w:rFonts w:eastAsiaTheme="minorEastAsia" w:cstheme="minorBidi"/>
          <w:i/>
          <w:iCs/>
          <w:noProof/>
          <w:rtl/>
        </w:rPr>
      </w:pPr>
      <w:bookmarkStart w:id="957" w:name="_Toc19435184"/>
      <w:r>
        <w:rPr>
          <w:noProof/>
          <w:rtl/>
        </w:rPr>
        <w:t>דברי הש"ש בדין מחזיקין מאיסור לאיסור</w:t>
      </w:r>
      <w:bookmarkEnd w:id="957"/>
    </w:p>
    <w:p w14:paraId="010E71FE" w14:textId="77777777" w:rsidR="00887E67" w:rsidRDefault="00887E67" w:rsidP="00887E67">
      <w:pPr>
        <w:pStyle w:val="aff4"/>
        <w:rPr>
          <w:rFonts w:eastAsiaTheme="minorEastAsia" w:cstheme="minorBidi"/>
          <w:i/>
          <w:iCs/>
          <w:noProof/>
          <w:sz w:val="22"/>
          <w:szCs w:val="22"/>
          <w:rtl/>
        </w:rPr>
      </w:pPr>
      <w:bookmarkStart w:id="958" w:name="_Toc19435185"/>
      <w:bookmarkStart w:id="959" w:name="_Toc20080554"/>
      <w:r>
        <w:rPr>
          <w:noProof/>
          <w:rtl/>
        </w:rPr>
        <w:t>ביאור הש"ש בדברי התוס' ביבמות</w:t>
      </w:r>
      <w:bookmarkEnd w:id="958"/>
      <w:bookmarkEnd w:id="959"/>
    </w:p>
    <w:p w14:paraId="2237D09A" w14:textId="77777777" w:rsidR="00887E67" w:rsidRDefault="00887E67" w:rsidP="005077A7">
      <w:pPr>
        <w:pStyle w:val="a"/>
        <w:rPr>
          <w:rFonts w:eastAsiaTheme="minorEastAsia" w:cstheme="minorBidi"/>
          <w:noProof/>
          <w:sz w:val="22"/>
          <w:szCs w:val="22"/>
          <w:rtl/>
        </w:rPr>
      </w:pPr>
      <w:r>
        <w:rPr>
          <w:noProof/>
          <w:rtl/>
        </w:rPr>
        <w:t>דברי הש"ש דמבואר בתוס' ביבמות דאין מחזיקין מאיסור לאיסור</w:t>
      </w:r>
    </w:p>
    <w:p w14:paraId="524A67AE" w14:textId="77777777" w:rsidR="00887E67" w:rsidRDefault="00887E67" w:rsidP="005077A7">
      <w:pPr>
        <w:pStyle w:val="a"/>
        <w:rPr>
          <w:rFonts w:eastAsiaTheme="minorEastAsia" w:cstheme="minorBidi"/>
          <w:noProof/>
          <w:sz w:val="22"/>
          <w:szCs w:val="22"/>
          <w:rtl/>
        </w:rPr>
      </w:pPr>
      <w:r>
        <w:rPr>
          <w:noProof/>
          <w:rtl/>
        </w:rPr>
        <w:t>דברי הדרכ"מ דבתוס' ביבמות מבואר דבריעותא מחיים א"א להתיר מחמת דנשחטה בהיתר</w:t>
      </w:r>
    </w:p>
    <w:p w14:paraId="0B786B59" w14:textId="77777777" w:rsidR="00887E67" w:rsidRDefault="00887E67" w:rsidP="005077A7">
      <w:pPr>
        <w:pStyle w:val="a"/>
        <w:rPr>
          <w:rFonts w:eastAsiaTheme="minorEastAsia" w:cstheme="minorBidi"/>
          <w:noProof/>
          <w:sz w:val="22"/>
          <w:szCs w:val="22"/>
          <w:rtl/>
        </w:rPr>
      </w:pPr>
      <w:r>
        <w:rPr>
          <w:noProof/>
          <w:rtl/>
        </w:rPr>
        <w:t>קושית המהר"ם מלובלין דבתוס' ביבמות מבואר דבריעותא מחיים רק בדבר שכיח אסור</w:t>
      </w:r>
    </w:p>
    <w:p w14:paraId="25BAEB22" w14:textId="77777777" w:rsidR="00887E67" w:rsidRDefault="00887E67" w:rsidP="005077A7">
      <w:pPr>
        <w:pStyle w:val="a"/>
        <w:rPr>
          <w:rFonts w:eastAsiaTheme="minorEastAsia" w:cstheme="minorBidi"/>
          <w:noProof/>
          <w:sz w:val="22"/>
          <w:szCs w:val="22"/>
          <w:rtl/>
        </w:rPr>
      </w:pPr>
      <w:r>
        <w:rPr>
          <w:noProof/>
          <w:rtl/>
        </w:rPr>
        <w:t>דברי הש"ש דהש"ך ביאר בתוס' ביבמות דבריעותא מחיים מחזיקין מאיסור לאיסור</w:t>
      </w:r>
    </w:p>
    <w:p w14:paraId="0EDB3ADE" w14:textId="77777777" w:rsidR="00887E67" w:rsidRDefault="00887E67" w:rsidP="00887E67">
      <w:pPr>
        <w:pStyle w:val="aff4"/>
        <w:rPr>
          <w:rFonts w:eastAsiaTheme="minorEastAsia" w:cstheme="minorBidi"/>
          <w:i/>
          <w:iCs/>
          <w:noProof/>
          <w:sz w:val="22"/>
          <w:szCs w:val="22"/>
          <w:rtl/>
        </w:rPr>
      </w:pPr>
      <w:bookmarkStart w:id="960" w:name="_Toc19435186"/>
      <w:bookmarkStart w:id="961" w:name="_Toc20080555"/>
      <w:r>
        <w:rPr>
          <w:noProof/>
          <w:rtl/>
        </w:rPr>
        <w:t>פלוגתת המהרי"ט והש"ש בדין מחזיקין מאיסור לאיסור</w:t>
      </w:r>
      <w:bookmarkEnd w:id="960"/>
      <w:bookmarkEnd w:id="961"/>
    </w:p>
    <w:p w14:paraId="0B6DFD04" w14:textId="77777777" w:rsidR="00887E67" w:rsidRDefault="00887E67" w:rsidP="005077A7">
      <w:pPr>
        <w:pStyle w:val="a"/>
        <w:rPr>
          <w:rFonts w:eastAsiaTheme="minorEastAsia" w:cstheme="minorBidi"/>
          <w:noProof/>
          <w:sz w:val="22"/>
          <w:szCs w:val="22"/>
          <w:rtl/>
        </w:rPr>
      </w:pPr>
      <w:r>
        <w:rPr>
          <w:noProof/>
          <w:rtl/>
        </w:rPr>
        <w:t>דברי המהרי"ט דבסוגיין מוכח דמחזיקין מאיסור לאיסור</w:t>
      </w:r>
    </w:p>
    <w:p w14:paraId="159035EF" w14:textId="77777777" w:rsidR="00887E67" w:rsidRDefault="00887E67" w:rsidP="005077A7">
      <w:pPr>
        <w:pStyle w:val="a"/>
        <w:rPr>
          <w:rFonts w:eastAsiaTheme="minorEastAsia" w:cstheme="minorBidi"/>
          <w:noProof/>
          <w:sz w:val="22"/>
          <w:szCs w:val="22"/>
          <w:rtl/>
        </w:rPr>
      </w:pPr>
      <w:r>
        <w:rPr>
          <w:noProof/>
          <w:rtl/>
        </w:rPr>
        <w:t>דברי הש"ש דמבואר בתוס' דבסוגיין אינו מדין מחזיקין מאיסור לאיסור</w:t>
      </w:r>
    </w:p>
    <w:p w14:paraId="5871BD22" w14:textId="77777777" w:rsidR="00887E67" w:rsidRDefault="00887E67" w:rsidP="005077A7">
      <w:pPr>
        <w:pStyle w:val="a"/>
        <w:rPr>
          <w:rFonts w:eastAsiaTheme="minorEastAsia" w:cstheme="minorBidi"/>
          <w:noProof/>
          <w:sz w:val="22"/>
          <w:szCs w:val="22"/>
          <w:rtl/>
        </w:rPr>
      </w:pPr>
      <w:r>
        <w:rPr>
          <w:noProof/>
          <w:rtl/>
        </w:rPr>
        <w:t>ראיית המהרי"ט דמחזיקין מאיסור לאיסור מטומאת התהום בנזיר</w:t>
      </w:r>
    </w:p>
    <w:p w14:paraId="1E719ABE" w14:textId="77777777" w:rsidR="00887E67" w:rsidRDefault="00887E67" w:rsidP="005077A7">
      <w:pPr>
        <w:pStyle w:val="a"/>
        <w:rPr>
          <w:rFonts w:eastAsiaTheme="minorEastAsia" w:cstheme="minorBidi"/>
          <w:noProof/>
          <w:sz w:val="22"/>
          <w:szCs w:val="22"/>
          <w:rtl/>
        </w:rPr>
      </w:pPr>
      <w:r>
        <w:rPr>
          <w:noProof/>
          <w:rtl/>
        </w:rPr>
        <w:t>דחיית הש"ש דבנזיר הוא אותו איסור ואין ראיה דמחזיקין מאל"א בב' איסורים</w:t>
      </w:r>
    </w:p>
    <w:p w14:paraId="074A3941" w14:textId="77777777" w:rsidR="00887E67" w:rsidRDefault="00887E67" w:rsidP="005077A7">
      <w:pPr>
        <w:pStyle w:val="a"/>
        <w:rPr>
          <w:rFonts w:eastAsiaTheme="minorEastAsia" w:cstheme="minorBidi"/>
          <w:noProof/>
          <w:sz w:val="22"/>
          <w:szCs w:val="22"/>
          <w:rtl/>
        </w:rPr>
      </w:pPr>
      <w:r>
        <w:rPr>
          <w:noProof/>
          <w:rtl/>
        </w:rPr>
        <w:t>דברי הש"ש דדוקא במקום שיש ספק אם האיסור הראשון נסתלק מחזיקין מאל"א</w:t>
      </w:r>
    </w:p>
    <w:p w14:paraId="45831801" w14:textId="77777777" w:rsidR="00887E67" w:rsidRDefault="00887E67" w:rsidP="005077A7">
      <w:pPr>
        <w:pStyle w:val="a"/>
        <w:rPr>
          <w:rFonts w:eastAsiaTheme="minorEastAsia" w:cstheme="minorBidi"/>
          <w:noProof/>
          <w:sz w:val="22"/>
          <w:szCs w:val="22"/>
          <w:rtl/>
        </w:rPr>
      </w:pPr>
      <w:r>
        <w:rPr>
          <w:noProof/>
          <w:rtl/>
        </w:rPr>
        <w:t>דברי הש"ש דבספק טריפה אף לר"ת אין מחזיקין מאל"א דמוקמינן בחזקת הגוף דהיא כשרה</w:t>
      </w:r>
    </w:p>
    <w:p w14:paraId="513CAA57" w14:textId="77777777" w:rsidR="00887E67" w:rsidRDefault="00887E67" w:rsidP="005077A7">
      <w:pPr>
        <w:pStyle w:val="a"/>
        <w:rPr>
          <w:rFonts w:eastAsiaTheme="minorEastAsia" w:cstheme="minorBidi"/>
          <w:noProof/>
          <w:sz w:val="22"/>
          <w:szCs w:val="22"/>
          <w:rtl/>
        </w:rPr>
      </w:pPr>
      <w:r>
        <w:rPr>
          <w:noProof/>
          <w:rtl/>
        </w:rPr>
        <w:t>דברי הש"ש דלהרשב"א אף בספק השקול בטריפה מחזיקין מאיסור לאיסור</w:t>
      </w:r>
    </w:p>
    <w:p w14:paraId="1F5FAC7D" w14:textId="77777777" w:rsidR="00887E67" w:rsidRDefault="00887E67" w:rsidP="00887E67">
      <w:pPr>
        <w:pStyle w:val="aff4"/>
        <w:rPr>
          <w:rFonts w:eastAsiaTheme="minorEastAsia" w:cstheme="minorBidi"/>
          <w:i/>
          <w:iCs/>
          <w:noProof/>
          <w:sz w:val="22"/>
          <w:szCs w:val="22"/>
          <w:rtl/>
        </w:rPr>
      </w:pPr>
      <w:bookmarkStart w:id="962" w:name="_Toc19435187"/>
      <w:bookmarkStart w:id="963" w:name="_Toc20080556"/>
      <w:r>
        <w:rPr>
          <w:noProof/>
          <w:rtl/>
        </w:rPr>
        <w:t>ביאור הש"ש בחילוק בין ספק בשחיטה לצר"ע ולטריפה</w:t>
      </w:r>
      <w:bookmarkEnd w:id="962"/>
      <w:bookmarkEnd w:id="963"/>
    </w:p>
    <w:p w14:paraId="34690BEE" w14:textId="77777777" w:rsidR="00887E67" w:rsidRDefault="00887E67" w:rsidP="005077A7">
      <w:pPr>
        <w:pStyle w:val="a"/>
        <w:rPr>
          <w:rFonts w:eastAsiaTheme="minorEastAsia" w:cstheme="minorBidi"/>
          <w:noProof/>
          <w:sz w:val="22"/>
          <w:szCs w:val="22"/>
          <w:rtl/>
        </w:rPr>
      </w:pPr>
      <w:r>
        <w:rPr>
          <w:noProof/>
          <w:rtl/>
        </w:rPr>
        <w:t>דברי הש"ש דבצר"ע אף שהספק בזמן האיסור היה לה חזקת היתר לכשימות בעלה</w:t>
      </w:r>
    </w:p>
    <w:p w14:paraId="3CFB7F1B" w14:textId="77777777" w:rsidR="00887E67" w:rsidRDefault="00887E67" w:rsidP="005077A7">
      <w:pPr>
        <w:pStyle w:val="a"/>
        <w:rPr>
          <w:rFonts w:eastAsiaTheme="minorEastAsia" w:cstheme="minorBidi"/>
          <w:noProof/>
          <w:sz w:val="22"/>
          <w:szCs w:val="22"/>
          <w:rtl/>
        </w:rPr>
      </w:pPr>
      <w:r>
        <w:rPr>
          <w:noProof/>
          <w:rtl/>
        </w:rPr>
        <w:t>דברי הש"ש דבספק טריפה אף שנולד הספק בזמן האיסור היה לה חזקת היתר לכשתשחט</w:t>
      </w:r>
    </w:p>
    <w:p w14:paraId="1747F9E4" w14:textId="77777777" w:rsidR="00887E67" w:rsidRDefault="00887E67" w:rsidP="005077A7">
      <w:pPr>
        <w:pStyle w:val="a"/>
        <w:rPr>
          <w:rFonts w:eastAsiaTheme="minorEastAsia" w:cstheme="minorBidi"/>
          <w:noProof/>
          <w:sz w:val="22"/>
          <w:szCs w:val="22"/>
          <w:rtl/>
        </w:rPr>
      </w:pPr>
      <w:r>
        <w:rPr>
          <w:noProof/>
          <w:rtl/>
        </w:rPr>
        <w:t>ביאור הש"ש דבשחיטה אף שפקע האבמה"ח אין חזקת היתר דזה גופא הספק אם נשחטה והותרה</w:t>
      </w:r>
    </w:p>
    <w:p w14:paraId="3F4A5374" w14:textId="77777777" w:rsidR="00887E67" w:rsidRDefault="00887E67" w:rsidP="005077A7">
      <w:pPr>
        <w:pStyle w:val="a"/>
        <w:rPr>
          <w:rFonts w:eastAsiaTheme="minorEastAsia" w:cstheme="minorBidi"/>
          <w:noProof/>
          <w:sz w:val="22"/>
          <w:szCs w:val="22"/>
          <w:rtl/>
        </w:rPr>
      </w:pPr>
      <w:r>
        <w:rPr>
          <w:noProof/>
          <w:rtl/>
        </w:rPr>
        <w:t>ביאור הש"ש דכשיש לה חזקת היתר כניקב הושט אין מחזיקין מאל"א אף מאמה"ח לנבילה</w:t>
      </w:r>
    </w:p>
    <w:p w14:paraId="217068C0" w14:textId="77777777" w:rsidR="00887E67" w:rsidRDefault="00887E67" w:rsidP="0011670A">
      <w:pPr>
        <w:pStyle w:val="2"/>
        <w:rPr>
          <w:rFonts w:eastAsiaTheme="minorEastAsia" w:cstheme="minorBidi"/>
          <w:i/>
          <w:iCs/>
          <w:noProof/>
          <w:rtl/>
        </w:rPr>
      </w:pPr>
      <w:bookmarkStart w:id="964" w:name="_Toc19435188"/>
      <w:r>
        <w:rPr>
          <w:noProof/>
          <w:rtl/>
        </w:rPr>
        <w:t>ביאורי ראשי הישיבות על הסוגיא</w:t>
      </w:r>
      <w:bookmarkEnd w:id="964"/>
    </w:p>
    <w:p w14:paraId="706F5EE5" w14:textId="77777777" w:rsidR="00887E67" w:rsidRDefault="00887E67" w:rsidP="00887E67">
      <w:pPr>
        <w:pStyle w:val="aff4"/>
        <w:rPr>
          <w:rFonts w:eastAsiaTheme="minorEastAsia" w:cstheme="minorBidi"/>
          <w:i/>
          <w:iCs/>
          <w:noProof/>
          <w:sz w:val="22"/>
          <w:szCs w:val="22"/>
          <w:rtl/>
        </w:rPr>
      </w:pPr>
      <w:bookmarkStart w:id="965" w:name="_Toc19435189"/>
      <w:bookmarkStart w:id="966" w:name="_Toc20080557"/>
      <w:r>
        <w:rPr>
          <w:noProof/>
          <w:rtl/>
        </w:rPr>
        <w:t>ביאור השער"י בדברי הרשב"א ביבמות</w:t>
      </w:r>
      <w:bookmarkEnd w:id="965"/>
      <w:bookmarkEnd w:id="966"/>
    </w:p>
    <w:p w14:paraId="7B986C87" w14:textId="77777777" w:rsidR="00887E67" w:rsidRDefault="00887E67" w:rsidP="005077A7">
      <w:pPr>
        <w:pStyle w:val="a"/>
        <w:rPr>
          <w:rFonts w:eastAsiaTheme="minorEastAsia" w:cstheme="minorBidi"/>
          <w:noProof/>
          <w:sz w:val="22"/>
          <w:szCs w:val="22"/>
          <w:rtl/>
        </w:rPr>
      </w:pPr>
      <w:r>
        <w:rPr>
          <w:noProof/>
          <w:rtl/>
        </w:rPr>
        <w:t>קושית השער"י דבצר"ע ההיתר מדין חזקה דרבה ולא מדין מחזיקין מאיסור לאיסור</w:t>
      </w:r>
    </w:p>
    <w:p w14:paraId="21886244" w14:textId="77777777" w:rsidR="00887E67" w:rsidRDefault="00887E67" w:rsidP="005077A7">
      <w:pPr>
        <w:pStyle w:val="a"/>
        <w:rPr>
          <w:rFonts w:eastAsiaTheme="minorEastAsia" w:cstheme="minorBidi"/>
          <w:noProof/>
          <w:sz w:val="22"/>
          <w:szCs w:val="22"/>
          <w:rtl/>
        </w:rPr>
      </w:pPr>
      <w:r>
        <w:rPr>
          <w:noProof/>
          <w:rtl/>
        </w:rPr>
        <w:t>ביאור השער"י בקושית הרשב"א דמהא דמחזיקין מאל"א מוכח דא"א לומר כחזקה דרבה</w:t>
      </w:r>
    </w:p>
    <w:p w14:paraId="082EA1D9" w14:textId="77777777" w:rsidR="00887E67" w:rsidRDefault="00887E67" w:rsidP="005077A7">
      <w:pPr>
        <w:pStyle w:val="a"/>
        <w:rPr>
          <w:rFonts w:eastAsiaTheme="minorEastAsia" w:cstheme="minorBidi"/>
          <w:noProof/>
          <w:sz w:val="22"/>
          <w:szCs w:val="22"/>
          <w:rtl/>
        </w:rPr>
      </w:pPr>
      <w:r>
        <w:rPr>
          <w:noProof/>
          <w:rtl/>
        </w:rPr>
        <w:t>ביאור השער"י בתירוץ הרשב"א דאיסור נבילה בא ממילא ובצר"ע יש סיבה ודאית להיתר</w:t>
      </w:r>
    </w:p>
    <w:p w14:paraId="0003BED4" w14:textId="77777777" w:rsidR="00887E67" w:rsidRDefault="00887E67" w:rsidP="005077A7">
      <w:pPr>
        <w:pStyle w:val="a"/>
        <w:rPr>
          <w:rFonts w:eastAsiaTheme="minorEastAsia" w:cstheme="minorBidi"/>
          <w:noProof/>
          <w:sz w:val="22"/>
          <w:szCs w:val="22"/>
          <w:rtl/>
        </w:rPr>
      </w:pPr>
      <w:r>
        <w:rPr>
          <w:noProof/>
          <w:rtl/>
        </w:rPr>
        <w:t>ביאור השער"י בדברי הרשב"א דאי הייתה מותרת מחיים חשיב ספק בסיבת האיסור</w:t>
      </w:r>
    </w:p>
    <w:p w14:paraId="2ABC78F3" w14:textId="77777777" w:rsidR="00887E67" w:rsidRDefault="00887E67" w:rsidP="00887E67">
      <w:pPr>
        <w:pStyle w:val="aff4"/>
        <w:rPr>
          <w:rFonts w:eastAsiaTheme="minorEastAsia" w:cstheme="minorBidi"/>
          <w:i/>
          <w:iCs/>
          <w:noProof/>
          <w:sz w:val="22"/>
          <w:szCs w:val="22"/>
          <w:rtl/>
        </w:rPr>
      </w:pPr>
      <w:bookmarkStart w:id="967" w:name="_Toc19435190"/>
      <w:bookmarkStart w:id="968" w:name="_Toc20080558"/>
      <w:r>
        <w:rPr>
          <w:noProof/>
          <w:rtl/>
        </w:rPr>
        <w:t>דברי השער"י בדין חזקה דרבה בשחיטה ובצר"ע</w:t>
      </w:r>
      <w:bookmarkEnd w:id="967"/>
      <w:bookmarkEnd w:id="968"/>
    </w:p>
    <w:p w14:paraId="1B78C305" w14:textId="77777777" w:rsidR="00887E67" w:rsidRDefault="00887E67" w:rsidP="005077A7">
      <w:pPr>
        <w:pStyle w:val="a"/>
        <w:rPr>
          <w:rFonts w:eastAsiaTheme="minorEastAsia" w:cstheme="minorBidi"/>
          <w:noProof/>
          <w:sz w:val="22"/>
          <w:szCs w:val="22"/>
          <w:rtl/>
        </w:rPr>
      </w:pPr>
      <w:r>
        <w:rPr>
          <w:noProof/>
          <w:rtl/>
        </w:rPr>
        <w:t>דברי השער"י דעצם הנדון אי מחזיקין מאל"א אינו שייך בדין צרת ערוה כלל</w:t>
      </w:r>
    </w:p>
    <w:p w14:paraId="02DE55B9" w14:textId="77777777" w:rsidR="00887E67" w:rsidRDefault="00887E67" w:rsidP="005077A7">
      <w:pPr>
        <w:pStyle w:val="a"/>
        <w:rPr>
          <w:rFonts w:eastAsiaTheme="minorEastAsia" w:cstheme="minorBidi"/>
          <w:noProof/>
          <w:sz w:val="22"/>
          <w:szCs w:val="22"/>
          <w:rtl/>
        </w:rPr>
      </w:pPr>
      <w:r>
        <w:rPr>
          <w:noProof/>
          <w:rtl/>
        </w:rPr>
        <w:t>דברי השער"י דבחזקה דרבה מבואר דלא שייך להחזיק מאל"א דהיא בחזקת היתר</w:t>
      </w:r>
    </w:p>
    <w:p w14:paraId="268B4D33" w14:textId="77777777" w:rsidR="00887E67" w:rsidRDefault="00887E67" w:rsidP="005077A7">
      <w:pPr>
        <w:pStyle w:val="a"/>
        <w:rPr>
          <w:rFonts w:eastAsiaTheme="minorEastAsia" w:cstheme="minorBidi"/>
          <w:noProof/>
          <w:sz w:val="22"/>
          <w:szCs w:val="22"/>
          <w:rtl/>
        </w:rPr>
      </w:pPr>
      <w:r>
        <w:rPr>
          <w:noProof/>
          <w:rtl/>
        </w:rPr>
        <w:t>דחיית השער"י דברשב"א מבואר דהנדון בגמ' ביבמות הוא בדין מחזיקין מאל"א</w:t>
      </w:r>
    </w:p>
    <w:p w14:paraId="491D5517" w14:textId="77777777" w:rsidR="00887E67" w:rsidRDefault="00887E67" w:rsidP="005077A7">
      <w:pPr>
        <w:pStyle w:val="a"/>
        <w:rPr>
          <w:rFonts w:eastAsiaTheme="minorEastAsia" w:cstheme="minorBidi"/>
          <w:noProof/>
          <w:sz w:val="22"/>
          <w:szCs w:val="22"/>
          <w:rtl/>
        </w:rPr>
      </w:pPr>
      <w:r>
        <w:rPr>
          <w:noProof/>
          <w:rtl/>
        </w:rPr>
        <w:t>ביאור השער"י ברשב"א דבחזקה דרבה מוכח שיש לבהמה חזקת איסור מחיים לכשתמות ממילא</w:t>
      </w:r>
    </w:p>
    <w:p w14:paraId="055624FE" w14:textId="77777777" w:rsidR="00887E67" w:rsidRDefault="00887E67" w:rsidP="005077A7">
      <w:pPr>
        <w:pStyle w:val="a"/>
        <w:rPr>
          <w:rFonts w:eastAsiaTheme="minorEastAsia" w:cstheme="minorBidi"/>
          <w:noProof/>
          <w:sz w:val="22"/>
          <w:szCs w:val="22"/>
          <w:rtl/>
        </w:rPr>
      </w:pPr>
      <w:r>
        <w:rPr>
          <w:noProof/>
          <w:rtl/>
        </w:rPr>
        <w:t>דברי השער"י דבצר"ע האיסור מחיים מתיר לאח"מ ולכן אפשר להחזיק מחיים ללאח"מ</w:t>
      </w:r>
    </w:p>
    <w:p w14:paraId="54D5E6F5" w14:textId="77777777" w:rsidR="00887E67" w:rsidRDefault="00887E67" w:rsidP="005077A7">
      <w:pPr>
        <w:pStyle w:val="a"/>
        <w:rPr>
          <w:rFonts w:eastAsiaTheme="minorEastAsia" w:cstheme="minorBidi"/>
          <w:noProof/>
          <w:sz w:val="22"/>
          <w:szCs w:val="22"/>
          <w:rtl/>
        </w:rPr>
      </w:pPr>
      <w:r>
        <w:rPr>
          <w:noProof/>
          <w:rtl/>
        </w:rPr>
        <w:t>קושית השער"י דבבהמה איסור נבילה מתחדש במיתה וא"א להחזיק מחיים למה שיתחדש בה</w:t>
      </w:r>
    </w:p>
    <w:p w14:paraId="2D0A382C" w14:textId="77777777" w:rsidR="00887E67" w:rsidRDefault="00887E67" w:rsidP="00887E67">
      <w:pPr>
        <w:pStyle w:val="aff4"/>
        <w:rPr>
          <w:rFonts w:eastAsiaTheme="minorEastAsia" w:cstheme="minorBidi"/>
          <w:i/>
          <w:iCs/>
          <w:noProof/>
          <w:sz w:val="22"/>
          <w:szCs w:val="22"/>
          <w:rtl/>
        </w:rPr>
      </w:pPr>
      <w:bookmarkStart w:id="969" w:name="_Toc19435191"/>
      <w:bookmarkStart w:id="970" w:name="_Toc20080559"/>
      <w:r>
        <w:rPr>
          <w:noProof/>
          <w:rtl/>
        </w:rPr>
        <w:t>ביאור השער"י דאיסור נבילה הוא תוצאה מאבמה"ח</w:t>
      </w:r>
      <w:bookmarkEnd w:id="969"/>
      <w:bookmarkEnd w:id="970"/>
    </w:p>
    <w:p w14:paraId="7C19AA6D" w14:textId="77777777" w:rsidR="00887E67" w:rsidRDefault="00887E67" w:rsidP="005077A7">
      <w:pPr>
        <w:pStyle w:val="a"/>
        <w:rPr>
          <w:rFonts w:eastAsiaTheme="minorEastAsia" w:cstheme="minorBidi"/>
          <w:noProof/>
          <w:sz w:val="22"/>
          <w:szCs w:val="22"/>
          <w:rtl/>
        </w:rPr>
      </w:pPr>
      <w:r>
        <w:rPr>
          <w:noProof/>
          <w:rtl/>
        </w:rPr>
        <w:t>ביאור השער"י דאיסור נבילה הוא תולדה מאבמה"ח ואינו איסור שמתחדש</w:t>
      </w:r>
    </w:p>
    <w:p w14:paraId="7FAC0B82" w14:textId="77777777" w:rsidR="00887E67" w:rsidRDefault="00887E67" w:rsidP="005077A7">
      <w:pPr>
        <w:pStyle w:val="a"/>
        <w:rPr>
          <w:rFonts w:eastAsiaTheme="minorEastAsia" w:cstheme="minorBidi"/>
          <w:noProof/>
          <w:sz w:val="22"/>
          <w:szCs w:val="22"/>
          <w:rtl/>
        </w:rPr>
      </w:pPr>
      <w:r>
        <w:rPr>
          <w:noProof/>
          <w:rtl/>
        </w:rPr>
        <w:t>ביאור השער"י בדברי הרשב"א דבחזקה דרבה מבואר דהבהמה מוחזקת מחיים לאיסור נבילה</w:t>
      </w:r>
    </w:p>
    <w:p w14:paraId="06427A6F" w14:textId="77777777" w:rsidR="00887E67" w:rsidRDefault="00887E67" w:rsidP="00887E67">
      <w:pPr>
        <w:pStyle w:val="aff4"/>
        <w:rPr>
          <w:rFonts w:eastAsiaTheme="minorEastAsia" w:cstheme="minorBidi"/>
          <w:i/>
          <w:iCs/>
          <w:noProof/>
          <w:sz w:val="22"/>
          <w:szCs w:val="22"/>
          <w:rtl/>
        </w:rPr>
      </w:pPr>
      <w:bookmarkStart w:id="971" w:name="_Toc19435192"/>
      <w:bookmarkStart w:id="972" w:name="_Toc20080560"/>
      <w:r>
        <w:rPr>
          <w:noProof/>
          <w:rtl/>
        </w:rPr>
        <w:t>דברי השער"י דאף לרש"י אין מחזיקין מאיסור לאיסור</w:t>
      </w:r>
      <w:bookmarkEnd w:id="971"/>
      <w:bookmarkEnd w:id="972"/>
    </w:p>
    <w:p w14:paraId="3F5F9FB5" w14:textId="77777777" w:rsidR="00887E67" w:rsidRDefault="00887E67" w:rsidP="005077A7">
      <w:pPr>
        <w:pStyle w:val="a"/>
        <w:rPr>
          <w:rFonts w:eastAsiaTheme="minorEastAsia" w:cstheme="minorBidi"/>
          <w:noProof/>
          <w:sz w:val="22"/>
          <w:szCs w:val="22"/>
          <w:rtl/>
        </w:rPr>
      </w:pPr>
      <w:r>
        <w:rPr>
          <w:noProof/>
          <w:rtl/>
        </w:rPr>
        <w:t>ביאור השער"י דאף לדעת רש"י אין מחזיקין מאיסור לאיסור אלא דמחיים יש חזקת איסור</w:t>
      </w:r>
    </w:p>
    <w:p w14:paraId="527EC31C" w14:textId="77777777" w:rsidR="00887E67" w:rsidRDefault="00887E67" w:rsidP="005077A7">
      <w:pPr>
        <w:pStyle w:val="a"/>
        <w:rPr>
          <w:rFonts w:eastAsiaTheme="minorEastAsia" w:cstheme="minorBidi"/>
          <w:noProof/>
          <w:sz w:val="22"/>
          <w:szCs w:val="22"/>
          <w:rtl/>
        </w:rPr>
      </w:pPr>
      <w:r>
        <w:rPr>
          <w:noProof/>
          <w:rtl/>
        </w:rPr>
        <w:t>דברי השער"י דאין ראיה מהתוס' בכתובות ומטומאת התהום בנזיר</w:t>
      </w:r>
    </w:p>
    <w:p w14:paraId="640FF9A3" w14:textId="77777777" w:rsidR="00887E67" w:rsidRDefault="00887E67" w:rsidP="005077A7">
      <w:pPr>
        <w:pStyle w:val="a"/>
        <w:rPr>
          <w:rFonts w:eastAsiaTheme="minorEastAsia" w:cstheme="minorBidi"/>
          <w:noProof/>
          <w:sz w:val="22"/>
          <w:szCs w:val="22"/>
          <w:rtl/>
        </w:rPr>
      </w:pPr>
      <w:r>
        <w:rPr>
          <w:noProof/>
          <w:rtl/>
        </w:rPr>
        <w:t>דברי השער"י דבטריפה לא שייך מחזיקין מאל"א דצריך מחיים להחזיקה בב' איסורים</w:t>
      </w:r>
    </w:p>
    <w:p w14:paraId="53E8D4B4" w14:textId="77777777" w:rsidR="00887E67" w:rsidRDefault="00887E67" w:rsidP="005077A7">
      <w:pPr>
        <w:pStyle w:val="a"/>
        <w:rPr>
          <w:rFonts w:eastAsiaTheme="minorEastAsia" w:cstheme="minorBidi"/>
          <w:noProof/>
          <w:sz w:val="22"/>
          <w:szCs w:val="22"/>
          <w:rtl/>
        </w:rPr>
      </w:pPr>
      <w:r>
        <w:rPr>
          <w:noProof/>
          <w:rtl/>
        </w:rPr>
        <w:t>ביאור השער"י דע"י החזקת איסור יש לה חזקת חיה ולכן מטמאה בנבילה</w:t>
      </w:r>
    </w:p>
    <w:p w14:paraId="2634EC36" w14:textId="77777777" w:rsidR="00887E67" w:rsidRDefault="00887E67" w:rsidP="00887E67">
      <w:pPr>
        <w:pStyle w:val="aff4"/>
        <w:rPr>
          <w:rFonts w:eastAsiaTheme="minorEastAsia" w:cstheme="minorBidi"/>
          <w:i/>
          <w:iCs/>
          <w:noProof/>
          <w:sz w:val="22"/>
          <w:szCs w:val="22"/>
          <w:rtl/>
        </w:rPr>
      </w:pPr>
      <w:bookmarkStart w:id="973" w:name="_Toc19435193"/>
      <w:bookmarkStart w:id="974" w:name="_Toc20080561"/>
      <w:r>
        <w:rPr>
          <w:noProof/>
          <w:rtl/>
        </w:rPr>
        <w:t>ביאור הברכ"ש בתוס' ביבמות</w:t>
      </w:r>
      <w:bookmarkEnd w:id="973"/>
      <w:bookmarkEnd w:id="974"/>
    </w:p>
    <w:p w14:paraId="57569FE5" w14:textId="77777777" w:rsidR="00887E67" w:rsidRDefault="00887E67" w:rsidP="005077A7">
      <w:pPr>
        <w:pStyle w:val="a"/>
        <w:rPr>
          <w:rFonts w:eastAsiaTheme="minorEastAsia" w:cstheme="minorBidi"/>
          <w:noProof/>
          <w:sz w:val="22"/>
          <w:szCs w:val="22"/>
          <w:rtl/>
        </w:rPr>
      </w:pPr>
      <w:r>
        <w:rPr>
          <w:noProof/>
          <w:rtl/>
        </w:rPr>
        <w:t>ביאור הברכ"ש בקושית התוס' ביבמות דבצר"ע נחזיק מאל"א כמו בטריפה</w:t>
      </w:r>
    </w:p>
    <w:p w14:paraId="3140EA96" w14:textId="77777777" w:rsidR="00887E67" w:rsidRDefault="00887E67" w:rsidP="005077A7">
      <w:pPr>
        <w:pStyle w:val="a"/>
        <w:rPr>
          <w:rFonts w:eastAsiaTheme="minorEastAsia" w:cstheme="minorBidi"/>
          <w:noProof/>
          <w:sz w:val="22"/>
          <w:szCs w:val="22"/>
          <w:rtl/>
        </w:rPr>
      </w:pPr>
      <w:r>
        <w:rPr>
          <w:noProof/>
          <w:rtl/>
        </w:rPr>
        <w:t>קושית הברכ"ש על התוס' דאיסור אשת אח סותר לחזקה דמכח האשת איש</w:t>
      </w:r>
    </w:p>
    <w:p w14:paraId="22744087" w14:textId="77777777" w:rsidR="00887E67" w:rsidRDefault="00887E67" w:rsidP="005077A7">
      <w:pPr>
        <w:pStyle w:val="a"/>
        <w:rPr>
          <w:rFonts w:eastAsiaTheme="minorEastAsia" w:cstheme="minorBidi"/>
          <w:noProof/>
          <w:sz w:val="22"/>
          <w:szCs w:val="22"/>
          <w:rtl/>
        </w:rPr>
      </w:pPr>
      <w:r>
        <w:rPr>
          <w:noProof/>
          <w:rtl/>
        </w:rPr>
        <w:t>קושית הגרב"ב דבצר"ע יש ב' ספיקות בב' נשים וא"א להחזיק מא' על חברתה</w:t>
      </w:r>
    </w:p>
    <w:p w14:paraId="60DC522F" w14:textId="77777777" w:rsidR="00887E67" w:rsidRDefault="00887E67" w:rsidP="00887E67">
      <w:pPr>
        <w:pStyle w:val="aff4"/>
        <w:rPr>
          <w:rFonts w:eastAsiaTheme="minorEastAsia" w:cstheme="minorBidi"/>
          <w:i/>
          <w:iCs/>
          <w:noProof/>
          <w:sz w:val="22"/>
          <w:szCs w:val="22"/>
          <w:rtl/>
        </w:rPr>
      </w:pPr>
      <w:bookmarkStart w:id="975" w:name="_Toc19435194"/>
      <w:bookmarkStart w:id="976" w:name="_Toc20080562"/>
      <w:r>
        <w:rPr>
          <w:noProof/>
          <w:rtl/>
        </w:rPr>
        <w:t>דברי הגרב"ב בביאור דעת הרשב"א</w:t>
      </w:r>
      <w:bookmarkEnd w:id="975"/>
      <w:bookmarkEnd w:id="976"/>
    </w:p>
    <w:p w14:paraId="7F49B86D" w14:textId="77777777" w:rsidR="00887E67" w:rsidRDefault="00887E67" w:rsidP="005077A7">
      <w:pPr>
        <w:pStyle w:val="a"/>
        <w:rPr>
          <w:rFonts w:eastAsiaTheme="minorEastAsia" w:cstheme="minorBidi"/>
          <w:noProof/>
          <w:sz w:val="22"/>
          <w:szCs w:val="22"/>
          <w:rtl/>
        </w:rPr>
      </w:pPr>
      <w:r>
        <w:rPr>
          <w:noProof/>
          <w:rtl/>
        </w:rPr>
        <w:t>ביאור הגרב"ב בתי' הא' ברשב"א דכיון דמוחזקת שלא נשחטה ממילא מטמאה בנבילה</w:t>
      </w:r>
    </w:p>
    <w:p w14:paraId="4A352841" w14:textId="77777777" w:rsidR="00887E67" w:rsidRDefault="00887E67" w:rsidP="005077A7">
      <w:pPr>
        <w:pStyle w:val="a"/>
        <w:rPr>
          <w:rFonts w:eastAsiaTheme="minorEastAsia" w:cstheme="minorBidi"/>
          <w:noProof/>
          <w:sz w:val="22"/>
          <w:szCs w:val="22"/>
          <w:rtl/>
        </w:rPr>
      </w:pPr>
      <w:r>
        <w:rPr>
          <w:noProof/>
          <w:rtl/>
        </w:rPr>
        <w:t>ביאור הגרב"ב בתי' הא' ברשב"א דבשחיטה הטומאה תלויה בספק בשחיטה וא"א לחלק</w:t>
      </w:r>
    </w:p>
    <w:p w14:paraId="74562CC9" w14:textId="77777777" w:rsidR="00887E67" w:rsidRDefault="00887E67" w:rsidP="005077A7">
      <w:pPr>
        <w:pStyle w:val="a"/>
        <w:rPr>
          <w:rFonts w:eastAsiaTheme="minorEastAsia" w:cstheme="minorBidi"/>
          <w:noProof/>
          <w:sz w:val="22"/>
          <w:szCs w:val="22"/>
          <w:rtl/>
        </w:rPr>
      </w:pPr>
      <w:r>
        <w:rPr>
          <w:noProof/>
          <w:rtl/>
        </w:rPr>
        <w:t>ביאור הגרב"ב דבצר"ע עצם הספק הוא בדין אשת איש ואינו שייך לספק של הצרה</w:t>
      </w:r>
    </w:p>
    <w:p w14:paraId="29011FCB" w14:textId="77777777" w:rsidR="00887E67" w:rsidRDefault="00887E67" w:rsidP="005077A7">
      <w:pPr>
        <w:pStyle w:val="a"/>
        <w:rPr>
          <w:rFonts w:eastAsiaTheme="minorEastAsia" w:cstheme="minorBidi"/>
          <w:noProof/>
          <w:sz w:val="22"/>
          <w:szCs w:val="22"/>
          <w:rtl/>
        </w:rPr>
      </w:pPr>
      <w:r>
        <w:rPr>
          <w:noProof/>
          <w:rtl/>
        </w:rPr>
        <w:t>ביאור הגרב"ב בתי' הב' ברשב"א דיש לה חזקת טומאה מחיים לכשתמות בלא שחיטה</w:t>
      </w:r>
    </w:p>
    <w:p w14:paraId="2B2D837E" w14:textId="77777777" w:rsidR="00887E67" w:rsidRDefault="00887E67" w:rsidP="005077A7">
      <w:pPr>
        <w:pStyle w:val="a"/>
        <w:rPr>
          <w:rFonts w:eastAsiaTheme="minorEastAsia" w:cstheme="minorBidi"/>
          <w:noProof/>
          <w:sz w:val="22"/>
          <w:szCs w:val="22"/>
          <w:rtl/>
        </w:rPr>
      </w:pPr>
      <w:r>
        <w:rPr>
          <w:noProof/>
          <w:rtl/>
        </w:rPr>
        <w:t>דברי הגרב"ב דבצר"ע אין לצרה חזקה בפנ"ע כמו בשחיטה</w:t>
      </w:r>
    </w:p>
    <w:p w14:paraId="0C1A3CF6" w14:textId="77777777" w:rsidR="00887E67" w:rsidRDefault="00887E67" w:rsidP="00887E67">
      <w:pPr>
        <w:pStyle w:val="aff4"/>
        <w:rPr>
          <w:rFonts w:eastAsiaTheme="minorEastAsia" w:cstheme="minorBidi"/>
          <w:i/>
          <w:iCs/>
          <w:noProof/>
          <w:sz w:val="22"/>
          <w:szCs w:val="22"/>
          <w:rtl/>
        </w:rPr>
      </w:pPr>
      <w:bookmarkStart w:id="977" w:name="_Toc19435195"/>
      <w:bookmarkStart w:id="978" w:name="_Toc20080563"/>
      <w:r>
        <w:rPr>
          <w:noProof/>
          <w:rtl/>
        </w:rPr>
        <w:t>קושית הגר"ח דבקידושין נחזיק לאיסור מאשת איש לאשת אח</w:t>
      </w:r>
      <w:bookmarkEnd w:id="977"/>
      <w:bookmarkEnd w:id="978"/>
    </w:p>
    <w:p w14:paraId="65A16815" w14:textId="77777777" w:rsidR="00887E67" w:rsidRDefault="00887E67" w:rsidP="005077A7">
      <w:pPr>
        <w:pStyle w:val="a"/>
        <w:rPr>
          <w:rFonts w:eastAsiaTheme="minorEastAsia" w:cstheme="minorBidi"/>
          <w:noProof/>
          <w:sz w:val="22"/>
          <w:szCs w:val="22"/>
          <w:rtl/>
        </w:rPr>
      </w:pPr>
      <w:r>
        <w:rPr>
          <w:noProof/>
          <w:rtl/>
        </w:rPr>
        <w:t>קושית הגר"ח דאמאי בספק קידושין אין מחזיקין מאשת איש לאשת אח</w:t>
      </w:r>
    </w:p>
    <w:p w14:paraId="7C22C8BD" w14:textId="77777777" w:rsidR="00887E67" w:rsidRDefault="00887E67" w:rsidP="00887E67">
      <w:pPr>
        <w:pStyle w:val="aff4"/>
        <w:rPr>
          <w:rFonts w:eastAsiaTheme="minorEastAsia" w:cstheme="minorBidi"/>
          <w:i/>
          <w:iCs/>
          <w:noProof/>
          <w:sz w:val="22"/>
          <w:szCs w:val="22"/>
          <w:rtl/>
        </w:rPr>
      </w:pPr>
      <w:bookmarkStart w:id="979" w:name="_Toc19435196"/>
      <w:bookmarkStart w:id="980" w:name="_Toc20080564"/>
      <w:r>
        <w:rPr>
          <w:noProof/>
          <w:rtl/>
        </w:rPr>
        <w:t>ביאור רבי ראובן בדברי התוס' ביבמות</w:t>
      </w:r>
      <w:bookmarkEnd w:id="979"/>
      <w:bookmarkEnd w:id="980"/>
    </w:p>
    <w:p w14:paraId="5D7BF611" w14:textId="77777777" w:rsidR="00887E67" w:rsidRDefault="00887E67" w:rsidP="005077A7">
      <w:pPr>
        <w:pStyle w:val="a"/>
        <w:rPr>
          <w:rFonts w:eastAsiaTheme="minorEastAsia" w:cstheme="minorBidi"/>
          <w:noProof/>
          <w:sz w:val="22"/>
          <w:szCs w:val="22"/>
          <w:rtl/>
        </w:rPr>
      </w:pPr>
      <w:r>
        <w:rPr>
          <w:noProof/>
          <w:rtl/>
        </w:rPr>
        <w:t>דברי רבי ראובן דהתוס' לא הקשו מדין מחזיקין מאיסור לאיסור</w:t>
      </w:r>
    </w:p>
    <w:p w14:paraId="779BCA4E" w14:textId="77777777" w:rsidR="00887E67" w:rsidRDefault="00887E67" w:rsidP="005077A7">
      <w:pPr>
        <w:pStyle w:val="a"/>
        <w:rPr>
          <w:rFonts w:eastAsiaTheme="minorEastAsia" w:cstheme="minorBidi"/>
          <w:noProof/>
          <w:sz w:val="22"/>
          <w:szCs w:val="22"/>
          <w:rtl/>
        </w:rPr>
      </w:pPr>
      <w:r>
        <w:rPr>
          <w:noProof/>
          <w:rtl/>
        </w:rPr>
        <w:t>ביאור רבי ראובן בתוס' ביבמות דהחזקה היא לפי המצב של זמן הספק</w:t>
      </w:r>
    </w:p>
    <w:p w14:paraId="2EAD1443" w14:textId="77777777" w:rsidR="00887E67" w:rsidRDefault="00887E67" w:rsidP="005077A7">
      <w:pPr>
        <w:pStyle w:val="a"/>
        <w:rPr>
          <w:rFonts w:eastAsiaTheme="minorEastAsia" w:cstheme="minorBidi"/>
          <w:noProof/>
          <w:sz w:val="22"/>
          <w:szCs w:val="22"/>
          <w:rtl/>
        </w:rPr>
      </w:pPr>
      <w:r>
        <w:rPr>
          <w:noProof/>
          <w:rtl/>
        </w:rPr>
        <w:t>ביאור רבי ראובן בתוס' דבדרוסה מחיים היא בחזקת היתר למצב של אחר השחיטה</w:t>
      </w:r>
    </w:p>
    <w:p w14:paraId="40EF26FB" w14:textId="77777777" w:rsidR="00887E67" w:rsidRDefault="00887E67" w:rsidP="005077A7">
      <w:pPr>
        <w:pStyle w:val="a"/>
        <w:rPr>
          <w:rFonts w:eastAsiaTheme="minorEastAsia" w:cstheme="minorBidi"/>
          <w:noProof/>
          <w:sz w:val="22"/>
          <w:szCs w:val="22"/>
          <w:rtl/>
        </w:rPr>
      </w:pPr>
      <w:r>
        <w:rPr>
          <w:noProof/>
          <w:rtl/>
        </w:rPr>
        <w:t>דברי רבי ראובן דבספק בשחיטה אין כל חזקה מחיים על המצב של ספק</w:t>
      </w:r>
    </w:p>
    <w:p w14:paraId="31B74074" w14:textId="77777777" w:rsidR="00887E67" w:rsidRDefault="00887E67" w:rsidP="00887E67">
      <w:pPr>
        <w:pStyle w:val="aff4"/>
        <w:rPr>
          <w:rFonts w:eastAsiaTheme="minorEastAsia" w:cstheme="minorBidi"/>
          <w:i/>
          <w:iCs/>
          <w:noProof/>
          <w:sz w:val="22"/>
          <w:szCs w:val="22"/>
          <w:rtl/>
        </w:rPr>
      </w:pPr>
      <w:bookmarkStart w:id="981" w:name="_Toc19435197"/>
      <w:bookmarkStart w:id="982" w:name="_Toc20080565"/>
      <w:r>
        <w:rPr>
          <w:noProof/>
          <w:rtl/>
        </w:rPr>
        <w:t>ביאור רבי ראובן בדעת הרמב"ן והרשב"א בדין מחזיקין מאל"א</w:t>
      </w:r>
      <w:bookmarkEnd w:id="981"/>
      <w:bookmarkEnd w:id="982"/>
    </w:p>
    <w:p w14:paraId="5E3070BD" w14:textId="77777777" w:rsidR="00887E67" w:rsidRDefault="00887E67" w:rsidP="005077A7">
      <w:pPr>
        <w:pStyle w:val="a"/>
        <w:rPr>
          <w:rFonts w:eastAsiaTheme="minorEastAsia" w:cstheme="minorBidi"/>
          <w:noProof/>
          <w:sz w:val="22"/>
          <w:szCs w:val="22"/>
          <w:rtl/>
        </w:rPr>
      </w:pPr>
      <w:r>
        <w:rPr>
          <w:noProof/>
          <w:rtl/>
        </w:rPr>
        <w:t>דברי רבי ראובן דלרמב"ן והרשב"א ההיתר בצר"ע הוא דאין מחזיקין מאל"א</w:t>
      </w:r>
    </w:p>
    <w:p w14:paraId="0361F142" w14:textId="77777777" w:rsidR="00887E67" w:rsidRDefault="00887E67" w:rsidP="005077A7">
      <w:pPr>
        <w:pStyle w:val="a"/>
        <w:rPr>
          <w:rFonts w:eastAsiaTheme="minorEastAsia" w:cstheme="minorBidi"/>
          <w:noProof/>
          <w:sz w:val="22"/>
          <w:szCs w:val="22"/>
          <w:rtl/>
        </w:rPr>
      </w:pPr>
      <w:r>
        <w:rPr>
          <w:noProof/>
          <w:rtl/>
        </w:rPr>
        <w:t>ביאור רבי ראובן דאין מחזיקין מאל"א דהאיסור השני חשיב כהיתר לגבי האיסור הראשון</w:t>
      </w:r>
    </w:p>
    <w:p w14:paraId="5F712859" w14:textId="77777777" w:rsidR="00887E67" w:rsidRDefault="00887E67" w:rsidP="005077A7">
      <w:pPr>
        <w:pStyle w:val="a"/>
        <w:rPr>
          <w:rFonts w:eastAsiaTheme="minorEastAsia" w:cstheme="minorBidi"/>
          <w:noProof/>
          <w:sz w:val="22"/>
          <w:szCs w:val="22"/>
          <w:rtl/>
        </w:rPr>
      </w:pPr>
      <w:r>
        <w:rPr>
          <w:noProof/>
          <w:rtl/>
        </w:rPr>
        <w:t>קושית רבי ראובן דאמאי בספק קידושין יש לה חזקת היתר הא הוא אותו האיסור</w:t>
      </w:r>
    </w:p>
    <w:p w14:paraId="1325C117" w14:textId="77777777" w:rsidR="00887E67" w:rsidRDefault="00887E67" w:rsidP="005077A7">
      <w:pPr>
        <w:pStyle w:val="a"/>
        <w:rPr>
          <w:rFonts w:eastAsiaTheme="minorEastAsia" w:cstheme="minorBidi"/>
          <w:noProof/>
          <w:sz w:val="22"/>
          <w:szCs w:val="22"/>
          <w:rtl/>
        </w:rPr>
      </w:pPr>
      <w:r>
        <w:rPr>
          <w:noProof/>
          <w:rtl/>
        </w:rPr>
        <w:t>קושית רבי ראובן דבספק קידושין היא בחזקת היתר לשוק</w:t>
      </w:r>
    </w:p>
    <w:p w14:paraId="2A6D5245" w14:textId="77777777" w:rsidR="00887E67" w:rsidRDefault="00887E67" w:rsidP="005077A7">
      <w:pPr>
        <w:pStyle w:val="a"/>
        <w:rPr>
          <w:rFonts w:eastAsiaTheme="minorEastAsia" w:cstheme="minorBidi"/>
          <w:noProof/>
          <w:sz w:val="22"/>
          <w:szCs w:val="22"/>
          <w:rtl/>
        </w:rPr>
      </w:pPr>
      <w:r>
        <w:rPr>
          <w:noProof/>
          <w:rtl/>
        </w:rPr>
        <w:t>ביאור רבי ראובן דאף באותו האיסור יש לה חזקה על המצב שלאחר מיתת הבעל</w:t>
      </w:r>
    </w:p>
    <w:p w14:paraId="3EF9DC69" w14:textId="77777777" w:rsidR="00887E67" w:rsidRDefault="00887E67" w:rsidP="005077A7">
      <w:pPr>
        <w:pStyle w:val="a"/>
        <w:rPr>
          <w:rFonts w:eastAsiaTheme="minorEastAsia" w:cstheme="minorBidi"/>
          <w:noProof/>
          <w:sz w:val="22"/>
          <w:szCs w:val="22"/>
          <w:rtl/>
        </w:rPr>
      </w:pPr>
      <w:r>
        <w:rPr>
          <w:noProof/>
          <w:rtl/>
        </w:rPr>
        <w:t>ביאור רבי ראובן ברמב"ן וברשב"א דכשנגמרה סיבת האיסור הראשון א"א לחדש איסור אחר</w:t>
      </w:r>
    </w:p>
    <w:p w14:paraId="12897C98" w14:textId="77777777" w:rsidR="00887E67" w:rsidRDefault="00887E67" w:rsidP="005077A7">
      <w:pPr>
        <w:pStyle w:val="a"/>
        <w:rPr>
          <w:rFonts w:eastAsiaTheme="minorEastAsia" w:cstheme="minorBidi"/>
          <w:noProof/>
          <w:sz w:val="22"/>
          <w:szCs w:val="22"/>
          <w:rtl/>
        </w:rPr>
      </w:pPr>
      <w:r>
        <w:rPr>
          <w:noProof/>
          <w:rtl/>
        </w:rPr>
        <w:t>ביאור רבי ראובן דבספק קידושין נסתלקה סיבת האיסור וצריך לחדש איסור על היבם</w:t>
      </w:r>
    </w:p>
    <w:p w14:paraId="3F7D7B88" w14:textId="77777777" w:rsidR="00887E67" w:rsidRDefault="00887E67" w:rsidP="005077A7">
      <w:pPr>
        <w:pStyle w:val="a"/>
        <w:rPr>
          <w:rFonts w:eastAsiaTheme="minorEastAsia" w:cstheme="minorBidi"/>
          <w:noProof/>
          <w:sz w:val="22"/>
          <w:szCs w:val="22"/>
          <w:rtl/>
        </w:rPr>
      </w:pPr>
      <w:r>
        <w:rPr>
          <w:noProof/>
          <w:rtl/>
        </w:rPr>
        <w:t>ביאור רבי ראובן דבסוגיין מבואר דאף שנסתלקה סיבת האבמה"ח מחזיקין לנבילה</w:t>
      </w:r>
    </w:p>
    <w:p w14:paraId="4BF8DF9B" w14:textId="77777777" w:rsidR="00887E67" w:rsidRDefault="00887E67" w:rsidP="005077A7">
      <w:pPr>
        <w:pStyle w:val="a"/>
        <w:rPr>
          <w:rFonts w:eastAsiaTheme="minorEastAsia" w:cstheme="minorBidi"/>
          <w:noProof/>
          <w:sz w:val="22"/>
          <w:szCs w:val="22"/>
          <w:rtl/>
        </w:rPr>
      </w:pPr>
      <w:r>
        <w:rPr>
          <w:noProof/>
          <w:rtl/>
        </w:rPr>
        <w:t>דברי רבי ראובן דאף בתוס' אפשר לבאר כרמב"ן והרשב"א</w:t>
      </w:r>
    </w:p>
    <w:p w14:paraId="25A716ED" w14:textId="77777777" w:rsidR="00887E67" w:rsidRDefault="00887E67" w:rsidP="00887E67">
      <w:pPr>
        <w:pStyle w:val="aff4"/>
        <w:rPr>
          <w:rFonts w:eastAsiaTheme="minorEastAsia" w:cstheme="minorBidi"/>
          <w:i/>
          <w:iCs/>
          <w:noProof/>
          <w:sz w:val="22"/>
          <w:szCs w:val="22"/>
          <w:rtl/>
        </w:rPr>
      </w:pPr>
      <w:bookmarkStart w:id="983" w:name="_Toc19435198"/>
      <w:bookmarkStart w:id="984" w:name="_Toc20080566"/>
      <w:r>
        <w:rPr>
          <w:noProof/>
          <w:rtl/>
        </w:rPr>
        <w:t>ביאור הגרש"ר בפלוגתת רש"י ותוס' במחזיקין מאיסור לאיסור</w:t>
      </w:r>
      <w:bookmarkEnd w:id="983"/>
      <w:bookmarkEnd w:id="984"/>
    </w:p>
    <w:p w14:paraId="16273EDE" w14:textId="77777777" w:rsidR="00887E67" w:rsidRDefault="00887E67" w:rsidP="005077A7">
      <w:pPr>
        <w:pStyle w:val="a"/>
        <w:rPr>
          <w:rFonts w:eastAsiaTheme="minorEastAsia" w:cstheme="minorBidi"/>
          <w:noProof/>
          <w:sz w:val="22"/>
          <w:szCs w:val="22"/>
          <w:rtl/>
        </w:rPr>
      </w:pPr>
      <w:r>
        <w:rPr>
          <w:noProof/>
          <w:rtl/>
        </w:rPr>
        <w:t>ביאור הגרש"ר ברש"י דכל שנהוג איסור מתחילה אף שפקע האיסור צריך להמשיך את ההנהגה</w:t>
      </w:r>
    </w:p>
    <w:p w14:paraId="7AA38A09" w14:textId="77777777" w:rsidR="00887E67" w:rsidRDefault="00887E67" w:rsidP="005077A7">
      <w:pPr>
        <w:pStyle w:val="a"/>
        <w:rPr>
          <w:rFonts w:eastAsiaTheme="minorEastAsia" w:cstheme="minorBidi"/>
          <w:noProof/>
          <w:sz w:val="22"/>
          <w:szCs w:val="22"/>
          <w:rtl/>
        </w:rPr>
      </w:pPr>
      <w:r>
        <w:rPr>
          <w:noProof/>
          <w:rtl/>
        </w:rPr>
        <w:t>ביאור הגרש"ר בתוס' דרק כשאפשר להנהיג את האיסור הראשון שייך להחזיק</w:t>
      </w:r>
    </w:p>
    <w:p w14:paraId="6EF36EBB" w14:textId="77777777" w:rsidR="00887E67" w:rsidRDefault="00887E67" w:rsidP="00887E67">
      <w:pPr>
        <w:pStyle w:val="aff4"/>
        <w:rPr>
          <w:rFonts w:eastAsiaTheme="minorEastAsia" w:cstheme="minorBidi"/>
          <w:i/>
          <w:iCs/>
          <w:noProof/>
          <w:sz w:val="22"/>
          <w:szCs w:val="22"/>
          <w:rtl/>
        </w:rPr>
      </w:pPr>
      <w:bookmarkStart w:id="985" w:name="_Toc19435199"/>
      <w:bookmarkStart w:id="986" w:name="_Toc20080567"/>
      <w:r>
        <w:rPr>
          <w:noProof/>
          <w:rtl/>
        </w:rPr>
        <w:t>ביאור הגרש"ר בקושית הרמב"ן והרשב"א ביבמות</w:t>
      </w:r>
      <w:bookmarkEnd w:id="985"/>
      <w:bookmarkEnd w:id="986"/>
    </w:p>
    <w:p w14:paraId="0BEBF8B1" w14:textId="77777777" w:rsidR="00887E67" w:rsidRDefault="00887E67" w:rsidP="005077A7">
      <w:pPr>
        <w:pStyle w:val="a"/>
        <w:rPr>
          <w:rFonts w:eastAsiaTheme="minorEastAsia" w:cstheme="minorBidi"/>
          <w:noProof/>
          <w:sz w:val="22"/>
          <w:szCs w:val="22"/>
          <w:rtl/>
        </w:rPr>
      </w:pPr>
      <w:r>
        <w:rPr>
          <w:noProof/>
          <w:rtl/>
        </w:rPr>
        <w:t>קושית הגרש"ר על הרמב"ן דאף במקום חזקה גמורה אמר רבה שיש חזקת היתר מחיים</w:t>
      </w:r>
    </w:p>
    <w:p w14:paraId="76B06268" w14:textId="77777777" w:rsidR="00887E67" w:rsidRDefault="00887E67" w:rsidP="005077A7">
      <w:pPr>
        <w:pStyle w:val="a"/>
        <w:rPr>
          <w:rFonts w:eastAsiaTheme="minorEastAsia" w:cstheme="minorBidi"/>
          <w:noProof/>
          <w:sz w:val="22"/>
          <w:szCs w:val="22"/>
          <w:rtl/>
        </w:rPr>
      </w:pPr>
      <w:r>
        <w:rPr>
          <w:noProof/>
          <w:rtl/>
        </w:rPr>
        <w:t>דחיית הגרש"ר לביאור השער"י דאין כוונת הרמב"ן להקשות דיש סתירה בחזקות</w:t>
      </w:r>
    </w:p>
    <w:p w14:paraId="67BC3441" w14:textId="77777777" w:rsidR="00887E67" w:rsidRDefault="00887E67" w:rsidP="005077A7">
      <w:pPr>
        <w:pStyle w:val="a"/>
        <w:rPr>
          <w:rFonts w:eastAsiaTheme="minorEastAsia" w:cstheme="minorBidi"/>
          <w:noProof/>
          <w:sz w:val="22"/>
          <w:szCs w:val="22"/>
          <w:rtl/>
        </w:rPr>
      </w:pPr>
      <w:r>
        <w:rPr>
          <w:noProof/>
          <w:rtl/>
        </w:rPr>
        <w:t>ביאור הגרש"ר ברמב"ן דסברת חזקה דרבה סותרת לסברת מחזיקין מאל"א</w:t>
      </w:r>
    </w:p>
    <w:p w14:paraId="3A2D80D9" w14:textId="77777777" w:rsidR="00887E67" w:rsidRDefault="00887E67" w:rsidP="00887E67">
      <w:pPr>
        <w:pStyle w:val="aff4"/>
        <w:rPr>
          <w:rFonts w:eastAsiaTheme="minorEastAsia" w:cstheme="minorBidi"/>
          <w:i/>
          <w:iCs/>
          <w:noProof/>
          <w:sz w:val="22"/>
          <w:szCs w:val="22"/>
          <w:rtl/>
        </w:rPr>
      </w:pPr>
      <w:bookmarkStart w:id="987" w:name="_Toc19435200"/>
      <w:bookmarkStart w:id="988" w:name="_Toc20080568"/>
      <w:r>
        <w:rPr>
          <w:noProof/>
          <w:rtl/>
        </w:rPr>
        <w:t>ביאור הגרש"ר בתירוצי הרמב"ן והרשב"א ביבמות</w:t>
      </w:r>
      <w:bookmarkEnd w:id="987"/>
      <w:bookmarkEnd w:id="988"/>
    </w:p>
    <w:p w14:paraId="7EB4D97F" w14:textId="77777777" w:rsidR="00887E67" w:rsidRDefault="00887E67" w:rsidP="005077A7">
      <w:pPr>
        <w:pStyle w:val="a"/>
        <w:rPr>
          <w:rFonts w:eastAsiaTheme="minorEastAsia" w:cstheme="minorBidi"/>
          <w:noProof/>
          <w:sz w:val="22"/>
          <w:szCs w:val="22"/>
          <w:rtl/>
        </w:rPr>
      </w:pPr>
      <w:r>
        <w:rPr>
          <w:noProof/>
          <w:rtl/>
        </w:rPr>
        <w:t>הגרש"ר ברמב"ן דבבהמה אין חזקת היתר דאף כשיפקע האבמה"ח עדיין אסורה</w:t>
      </w:r>
    </w:p>
    <w:p w14:paraId="7B08E714" w14:textId="77777777" w:rsidR="00887E67" w:rsidRDefault="00887E67" w:rsidP="005077A7">
      <w:pPr>
        <w:pStyle w:val="a"/>
        <w:rPr>
          <w:rFonts w:eastAsiaTheme="minorEastAsia" w:cstheme="minorBidi"/>
          <w:noProof/>
          <w:sz w:val="22"/>
          <w:szCs w:val="22"/>
          <w:rtl/>
        </w:rPr>
      </w:pPr>
      <w:r>
        <w:rPr>
          <w:noProof/>
          <w:rtl/>
        </w:rPr>
        <w:t>ביאור הגרש"ר ברמב"ן דבצרת ערוה כשיפקע האיסור א"א היא מותרת והיא בחזקת היתר</w:t>
      </w:r>
    </w:p>
    <w:p w14:paraId="1F95D38B" w14:textId="77777777" w:rsidR="00887E67" w:rsidRDefault="00887E67" w:rsidP="005077A7">
      <w:pPr>
        <w:pStyle w:val="a"/>
        <w:rPr>
          <w:rFonts w:eastAsiaTheme="minorEastAsia" w:cstheme="minorBidi"/>
          <w:noProof/>
          <w:sz w:val="22"/>
          <w:szCs w:val="22"/>
          <w:rtl/>
        </w:rPr>
      </w:pPr>
      <w:r>
        <w:rPr>
          <w:noProof/>
          <w:rtl/>
        </w:rPr>
        <w:t>קושית הגרש"ר על הרשב"א דאמאי הוסיף שמחיים אסורה באמר מן החי</w:t>
      </w:r>
    </w:p>
    <w:p w14:paraId="51E136EA" w14:textId="77777777" w:rsidR="00887E67" w:rsidRDefault="00887E67" w:rsidP="00887E67">
      <w:pPr>
        <w:pStyle w:val="aff4"/>
        <w:rPr>
          <w:rFonts w:eastAsiaTheme="minorEastAsia" w:cstheme="minorBidi"/>
          <w:i/>
          <w:iCs/>
          <w:noProof/>
          <w:sz w:val="22"/>
          <w:szCs w:val="22"/>
          <w:rtl/>
        </w:rPr>
      </w:pPr>
      <w:bookmarkStart w:id="989" w:name="_Toc19435201"/>
      <w:bookmarkStart w:id="990" w:name="_Toc20080569"/>
      <w:r>
        <w:rPr>
          <w:noProof/>
          <w:rtl/>
        </w:rPr>
        <w:t>ביאור הגרנ"פ ברמב"ן וברשב"א ביבמות</w:t>
      </w:r>
      <w:bookmarkEnd w:id="989"/>
      <w:bookmarkEnd w:id="990"/>
    </w:p>
    <w:p w14:paraId="48048A6C" w14:textId="77777777" w:rsidR="00887E67" w:rsidRDefault="00887E67" w:rsidP="005077A7">
      <w:pPr>
        <w:pStyle w:val="a"/>
        <w:rPr>
          <w:rFonts w:eastAsiaTheme="minorEastAsia" w:cstheme="minorBidi"/>
          <w:noProof/>
          <w:sz w:val="22"/>
          <w:szCs w:val="22"/>
          <w:rtl/>
        </w:rPr>
      </w:pPr>
      <w:r>
        <w:rPr>
          <w:noProof/>
          <w:rtl/>
        </w:rPr>
        <w:t>ביאור הגרנ"פ ברמב"ן דבצר"ע יש לה חזקת היתר ובבהמה אין חזקת היתר לכשתמות</w:t>
      </w:r>
    </w:p>
    <w:p w14:paraId="713F1BC9" w14:textId="77777777" w:rsidR="00887E67" w:rsidRDefault="00887E67" w:rsidP="005077A7">
      <w:pPr>
        <w:pStyle w:val="a"/>
        <w:rPr>
          <w:rFonts w:eastAsiaTheme="minorEastAsia" w:cstheme="minorBidi"/>
          <w:noProof/>
          <w:sz w:val="22"/>
          <w:szCs w:val="22"/>
          <w:rtl/>
        </w:rPr>
      </w:pPr>
      <w:r>
        <w:rPr>
          <w:noProof/>
          <w:rtl/>
        </w:rPr>
        <w:t>ביאור הגרנ"פ ברשב"א דאי מחזיקין מאל"א לא שייך לומר שיש לה חזקת היתר</w:t>
      </w:r>
    </w:p>
    <w:p w14:paraId="1D19E3F6" w14:textId="77777777" w:rsidR="00887E67" w:rsidRDefault="00887E67" w:rsidP="00887E67">
      <w:pPr>
        <w:pStyle w:val="aff4"/>
        <w:rPr>
          <w:rFonts w:eastAsiaTheme="minorEastAsia" w:cstheme="minorBidi"/>
          <w:i/>
          <w:iCs/>
          <w:noProof/>
          <w:sz w:val="22"/>
          <w:szCs w:val="22"/>
          <w:rtl/>
        </w:rPr>
      </w:pPr>
      <w:bookmarkStart w:id="991" w:name="_Toc19435202"/>
      <w:bookmarkStart w:id="992" w:name="_Toc20080570"/>
      <w:r>
        <w:rPr>
          <w:noProof/>
          <w:rtl/>
        </w:rPr>
        <w:t>ביאור הגרנ"פ בפלוגתת הרמב"ן והרשב"א במחזיקין מאל"א</w:t>
      </w:r>
      <w:bookmarkEnd w:id="991"/>
      <w:bookmarkEnd w:id="992"/>
    </w:p>
    <w:p w14:paraId="054B0440" w14:textId="77777777" w:rsidR="00887E67" w:rsidRDefault="00887E67" w:rsidP="005077A7">
      <w:pPr>
        <w:pStyle w:val="a"/>
        <w:rPr>
          <w:rFonts w:eastAsiaTheme="minorEastAsia" w:cstheme="minorBidi"/>
          <w:noProof/>
          <w:sz w:val="22"/>
          <w:szCs w:val="22"/>
          <w:rtl/>
        </w:rPr>
      </w:pPr>
      <w:r>
        <w:rPr>
          <w:noProof/>
          <w:rtl/>
        </w:rPr>
        <w:t>ביאור הגרנ"פ ברשב"א דגדר מחזיקין מאל"א דמי לחזקה דרבה</w:t>
      </w:r>
    </w:p>
    <w:p w14:paraId="29EEC15A" w14:textId="77777777" w:rsidR="00887E67" w:rsidRDefault="00887E67" w:rsidP="005077A7">
      <w:pPr>
        <w:pStyle w:val="a"/>
        <w:rPr>
          <w:rFonts w:eastAsiaTheme="minorEastAsia" w:cstheme="minorBidi"/>
          <w:noProof/>
          <w:sz w:val="22"/>
          <w:szCs w:val="22"/>
          <w:rtl/>
        </w:rPr>
      </w:pPr>
      <w:r>
        <w:rPr>
          <w:noProof/>
          <w:rtl/>
        </w:rPr>
        <w:t>ביאור הגרנ"פ ברמב"ן דמחזיקין מאל"א היינו דכיון שהייתה אסורה א"א להתירה מספק</w:t>
      </w:r>
    </w:p>
    <w:p w14:paraId="477C52B7" w14:textId="77777777" w:rsidR="00887E67" w:rsidRDefault="00887E67" w:rsidP="00887E67">
      <w:pPr>
        <w:pStyle w:val="aff4"/>
        <w:rPr>
          <w:rFonts w:eastAsiaTheme="minorEastAsia" w:cstheme="minorBidi"/>
          <w:i/>
          <w:iCs/>
          <w:noProof/>
          <w:sz w:val="22"/>
          <w:szCs w:val="22"/>
          <w:rtl/>
        </w:rPr>
      </w:pPr>
      <w:bookmarkStart w:id="993" w:name="_Toc19435203"/>
      <w:bookmarkStart w:id="994" w:name="_Toc20080571"/>
      <w:r>
        <w:rPr>
          <w:noProof/>
          <w:rtl/>
        </w:rPr>
        <w:t>ביאור הגרנ"פ בפלוגתת הרמב"ן והרשב"א בגדר חזקת איסור</w:t>
      </w:r>
      <w:bookmarkEnd w:id="993"/>
      <w:bookmarkEnd w:id="994"/>
    </w:p>
    <w:p w14:paraId="077E1917" w14:textId="77777777" w:rsidR="00887E67" w:rsidRDefault="00887E67" w:rsidP="005077A7">
      <w:pPr>
        <w:pStyle w:val="a"/>
        <w:rPr>
          <w:rFonts w:eastAsiaTheme="minorEastAsia" w:cstheme="minorBidi"/>
          <w:noProof/>
          <w:sz w:val="22"/>
          <w:szCs w:val="22"/>
          <w:rtl/>
        </w:rPr>
      </w:pPr>
      <w:r>
        <w:rPr>
          <w:noProof/>
          <w:rtl/>
        </w:rPr>
        <w:t>ביאור הגרנ"פ ברמב"ן דהחזקה אינה על עצם הספק אלא על דין האיסור</w:t>
      </w:r>
    </w:p>
    <w:p w14:paraId="0B953C55" w14:textId="77777777" w:rsidR="00887E67" w:rsidRDefault="00887E67" w:rsidP="005077A7">
      <w:pPr>
        <w:pStyle w:val="a"/>
        <w:rPr>
          <w:rFonts w:eastAsiaTheme="minorEastAsia" w:cstheme="minorBidi"/>
          <w:noProof/>
          <w:sz w:val="22"/>
          <w:szCs w:val="22"/>
          <w:rtl/>
        </w:rPr>
      </w:pPr>
      <w:r>
        <w:rPr>
          <w:noProof/>
          <w:rtl/>
        </w:rPr>
        <w:t>ביאור הגרנ"פ ברמב"ן דהשהיא אסורה א"א להתיר מספק אף שהאיסור הראשון נסתלק</w:t>
      </w:r>
    </w:p>
    <w:p w14:paraId="77384C76" w14:textId="77777777" w:rsidR="00887E67" w:rsidRDefault="00887E67" w:rsidP="005077A7">
      <w:pPr>
        <w:pStyle w:val="a"/>
        <w:rPr>
          <w:rFonts w:eastAsiaTheme="minorEastAsia" w:cstheme="minorBidi"/>
          <w:noProof/>
          <w:sz w:val="22"/>
          <w:szCs w:val="22"/>
          <w:rtl/>
        </w:rPr>
      </w:pPr>
      <w:r>
        <w:rPr>
          <w:noProof/>
          <w:rtl/>
        </w:rPr>
        <w:t>ביאור הגרנ"פ ברשב"א דהחזקה היא על עצם השחיטה או הגירושין</w:t>
      </w:r>
    </w:p>
    <w:p w14:paraId="45DA44ED" w14:textId="77777777" w:rsidR="00887E67" w:rsidRDefault="00887E67" w:rsidP="005077A7">
      <w:pPr>
        <w:pStyle w:val="a"/>
        <w:rPr>
          <w:rFonts w:eastAsiaTheme="minorEastAsia" w:cstheme="minorBidi"/>
          <w:noProof/>
          <w:sz w:val="22"/>
          <w:szCs w:val="22"/>
          <w:rtl/>
        </w:rPr>
      </w:pPr>
      <w:r>
        <w:rPr>
          <w:noProof/>
          <w:rtl/>
        </w:rPr>
        <w:t>ביאור הגרנ"פ ברשב"א דא"א להתירה מאבמה"ח כל שלא נתחדש בה מעשה מתיר</w:t>
      </w:r>
    </w:p>
    <w:p w14:paraId="61930DE4" w14:textId="77777777" w:rsidR="00887E67" w:rsidRDefault="00887E67" w:rsidP="00887E67">
      <w:pPr>
        <w:pStyle w:val="aff4"/>
        <w:rPr>
          <w:rFonts w:eastAsiaTheme="minorEastAsia" w:cstheme="minorBidi"/>
          <w:i/>
          <w:iCs/>
          <w:noProof/>
          <w:sz w:val="22"/>
          <w:szCs w:val="22"/>
          <w:rtl/>
        </w:rPr>
      </w:pPr>
      <w:bookmarkStart w:id="995" w:name="_Toc19435204"/>
      <w:bookmarkStart w:id="996" w:name="_Toc20080572"/>
      <w:r>
        <w:rPr>
          <w:noProof/>
          <w:rtl/>
        </w:rPr>
        <w:t>ביאור הגרנ"פ בפלוגתת הרמב"ן והרשב"א בספק טריפה</w:t>
      </w:r>
      <w:bookmarkEnd w:id="995"/>
      <w:bookmarkEnd w:id="996"/>
    </w:p>
    <w:p w14:paraId="6188BCD7" w14:textId="77777777" w:rsidR="00887E67" w:rsidRDefault="00887E67" w:rsidP="005077A7">
      <w:pPr>
        <w:pStyle w:val="a"/>
        <w:rPr>
          <w:rFonts w:eastAsiaTheme="minorEastAsia" w:cstheme="minorBidi"/>
          <w:noProof/>
          <w:sz w:val="22"/>
          <w:szCs w:val="22"/>
          <w:rtl/>
        </w:rPr>
      </w:pPr>
      <w:r>
        <w:rPr>
          <w:noProof/>
          <w:rtl/>
        </w:rPr>
        <w:t>ביאור הגרנ"פ ברשב"א דבטריפה דאינה נעשית טריפה ממילא ואין מחזיקין מאל"א</w:t>
      </w:r>
    </w:p>
    <w:p w14:paraId="55C17C37" w14:textId="77777777" w:rsidR="00887E67" w:rsidRDefault="00887E67" w:rsidP="005077A7">
      <w:pPr>
        <w:pStyle w:val="a"/>
        <w:rPr>
          <w:rFonts w:eastAsiaTheme="minorEastAsia" w:cstheme="minorBidi"/>
          <w:noProof/>
          <w:sz w:val="22"/>
          <w:szCs w:val="22"/>
          <w:rtl/>
        </w:rPr>
      </w:pPr>
      <w:r>
        <w:rPr>
          <w:noProof/>
          <w:rtl/>
        </w:rPr>
        <w:t>ביאור הגרנ"פ ברמב"ן דטריפה היא בחזקת היתר ולא שייך דין מחזיקין מאיסור לאיסור</w:t>
      </w:r>
    </w:p>
    <w:p w14:paraId="7AC72A56" w14:textId="77777777" w:rsidR="00887E67" w:rsidRDefault="00887E67" w:rsidP="005077A7">
      <w:pPr>
        <w:pStyle w:val="a"/>
        <w:rPr>
          <w:rFonts w:eastAsiaTheme="minorEastAsia" w:cstheme="minorBidi"/>
          <w:noProof/>
          <w:sz w:val="22"/>
          <w:szCs w:val="22"/>
          <w:rtl/>
        </w:rPr>
      </w:pPr>
      <w:r>
        <w:rPr>
          <w:noProof/>
          <w:rtl/>
        </w:rPr>
        <w:t>דברי הגרנ"פ דלרמב"ן בספק דרוסה מחזיקין מאיסור לאיסור דשכיח איסורא</w:t>
      </w:r>
    </w:p>
    <w:p w14:paraId="45B015B6" w14:textId="77777777" w:rsidR="00887E67" w:rsidRDefault="00887E67" w:rsidP="005077A7">
      <w:pPr>
        <w:pStyle w:val="a"/>
        <w:rPr>
          <w:rFonts w:eastAsiaTheme="minorEastAsia" w:cstheme="minorBidi"/>
          <w:noProof/>
          <w:sz w:val="22"/>
          <w:szCs w:val="22"/>
          <w:rtl/>
        </w:rPr>
      </w:pPr>
      <w:r>
        <w:rPr>
          <w:noProof/>
          <w:rtl/>
        </w:rPr>
        <w:t>דברי הגרנ"פ דלרשב"א בספק דרוסה שאינה נעשית טריפה ממילא אין מחזיקין מאל"א</w:t>
      </w:r>
    </w:p>
    <w:p w14:paraId="0F3DB353" w14:textId="77777777" w:rsidR="00887E67" w:rsidRDefault="00887E67" w:rsidP="00887E67">
      <w:pPr>
        <w:pStyle w:val="aff4"/>
        <w:rPr>
          <w:rFonts w:eastAsiaTheme="minorEastAsia" w:cstheme="minorBidi"/>
          <w:i/>
          <w:iCs/>
          <w:noProof/>
          <w:sz w:val="22"/>
          <w:szCs w:val="22"/>
          <w:rtl/>
        </w:rPr>
      </w:pPr>
      <w:bookmarkStart w:id="997" w:name="_Toc19435205"/>
      <w:bookmarkStart w:id="998" w:name="_Toc20080573"/>
      <w:r>
        <w:rPr>
          <w:noProof/>
          <w:rtl/>
        </w:rPr>
        <w:t>ביאור האבי עזרי ברמב"ן וברשב"א ביבמות</w:t>
      </w:r>
      <w:bookmarkEnd w:id="997"/>
      <w:bookmarkEnd w:id="998"/>
    </w:p>
    <w:p w14:paraId="4D152036" w14:textId="77777777" w:rsidR="00887E67" w:rsidRDefault="00887E67" w:rsidP="005077A7">
      <w:pPr>
        <w:pStyle w:val="a"/>
        <w:rPr>
          <w:rFonts w:eastAsiaTheme="minorEastAsia" w:cstheme="minorBidi"/>
          <w:noProof/>
          <w:sz w:val="22"/>
          <w:szCs w:val="22"/>
          <w:rtl/>
        </w:rPr>
      </w:pPr>
      <w:r>
        <w:rPr>
          <w:noProof/>
          <w:rtl/>
        </w:rPr>
        <w:t>ביאור האבי עזרי ברמב"ן דבשחיטה לא חשיב מחזיקין מאל"א דממילא היא אסורה</w:t>
      </w:r>
    </w:p>
    <w:p w14:paraId="3E81A623" w14:textId="77777777" w:rsidR="00887E67" w:rsidRDefault="00887E67" w:rsidP="005077A7">
      <w:pPr>
        <w:pStyle w:val="a"/>
        <w:rPr>
          <w:rFonts w:eastAsiaTheme="minorEastAsia" w:cstheme="minorBidi"/>
          <w:noProof/>
          <w:sz w:val="22"/>
          <w:szCs w:val="22"/>
          <w:rtl/>
        </w:rPr>
      </w:pPr>
      <w:r>
        <w:rPr>
          <w:noProof/>
          <w:rtl/>
        </w:rPr>
        <w:t>ביאור האבי עזרי ברמב"ן דבצר"ע צריך להחזיקה מאשת איש לאיסור יבמה לשוק</w:t>
      </w:r>
    </w:p>
    <w:p w14:paraId="0ECF637C" w14:textId="77777777" w:rsidR="00887E67" w:rsidRDefault="00887E67" w:rsidP="005077A7">
      <w:pPr>
        <w:pStyle w:val="a"/>
        <w:rPr>
          <w:rFonts w:eastAsiaTheme="minorEastAsia" w:cstheme="minorBidi"/>
          <w:noProof/>
          <w:sz w:val="22"/>
          <w:szCs w:val="22"/>
          <w:rtl/>
        </w:rPr>
      </w:pPr>
      <w:r>
        <w:rPr>
          <w:noProof/>
          <w:rtl/>
        </w:rPr>
        <w:t>ביאור האבי עזרי בקושית הרשב"א על הרמב"ן</w:t>
      </w:r>
    </w:p>
    <w:p w14:paraId="45284C8F" w14:textId="77777777" w:rsidR="00887E67" w:rsidRDefault="00887E67" w:rsidP="005077A7">
      <w:pPr>
        <w:pStyle w:val="a"/>
        <w:rPr>
          <w:rFonts w:eastAsiaTheme="minorEastAsia" w:cstheme="minorBidi"/>
          <w:noProof/>
          <w:sz w:val="22"/>
          <w:szCs w:val="22"/>
          <w:rtl/>
        </w:rPr>
      </w:pPr>
      <w:r>
        <w:rPr>
          <w:noProof/>
          <w:rtl/>
        </w:rPr>
        <w:t>ביאור האבי עזרי ברשב"א דאין מחזיקין באיסור הראשון אלא צריך ראיה על התחדשות</w:t>
      </w:r>
    </w:p>
    <w:p w14:paraId="360DF2DA" w14:textId="77777777" w:rsidR="00887E67" w:rsidRDefault="00887E67" w:rsidP="00887E67">
      <w:pPr>
        <w:pStyle w:val="aff4"/>
        <w:rPr>
          <w:rFonts w:eastAsiaTheme="minorEastAsia" w:cstheme="minorBidi"/>
          <w:i/>
          <w:iCs/>
          <w:noProof/>
          <w:sz w:val="22"/>
          <w:szCs w:val="22"/>
          <w:rtl/>
        </w:rPr>
      </w:pPr>
      <w:bookmarkStart w:id="999" w:name="_Toc19435206"/>
      <w:bookmarkStart w:id="1000" w:name="_Toc20080574"/>
      <w:r>
        <w:rPr>
          <w:noProof/>
          <w:rtl/>
        </w:rPr>
        <w:t>דברי המשנת ר"א בדעת רש"י דהבהמה בחזקת אינו זבוח</w:t>
      </w:r>
      <w:bookmarkEnd w:id="999"/>
      <w:bookmarkEnd w:id="1000"/>
    </w:p>
    <w:p w14:paraId="502A540F" w14:textId="77777777" w:rsidR="00887E67" w:rsidRDefault="00887E67" w:rsidP="005077A7">
      <w:pPr>
        <w:pStyle w:val="a"/>
        <w:rPr>
          <w:rFonts w:eastAsiaTheme="minorEastAsia" w:cstheme="minorBidi"/>
          <w:noProof/>
          <w:sz w:val="22"/>
          <w:szCs w:val="22"/>
          <w:rtl/>
        </w:rPr>
      </w:pPr>
      <w:r>
        <w:rPr>
          <w:noProof/>
          <w:rtl/>
        </w:rPr>
        <w:t>ביאור המשנת ר"א דלרש"י ע"י אבמה"ח נעשה איסור אינו זבוח</w:t>
      </w:r>
    </w:p>
    <w:p w14:paraId="02E7AC81" w14:textId="77777777" w:rsidR="00887E67" w:rsidRDefault="00887E67" w:rsidP="00887E67">
      <w:pPr>
        <w:pStyle w:val="aff4"/>
        <w:rPr>
          <w:rFonts w:eastAsiaTheme="minorEastAsia" w:cstheme="minorBidi"/>
          <w:i/>
          <w:iCs/>
          <w:noProof/>
          <w:sz w:val="22"/>
          <w:szCs w:val="22"/>
          <w:rtl/>
        </w:rPr>
      </w:pPr>
      <w:bookmarkStart w:id="1001" w:name="_Toc19435207"/>
      <w:bookmarkStart w:id="1002" w:name="_Toc20080575"/>
      <w:r>
        <w:rPr>
          <w:noProof/>
          <w:rtl/>
        </w:rPr>
        <w:t>ביאור הקוה"ע בדעת הרשב"א דשחיטה מתרת בכל שעה ושעה</w:t>
      </w:r>
      <w:bookmarkEnd w:id="1001"/>
      <w:bookmarkEnd w:id="1002"/>
    </w:p>
    <w:p w14:paraId="0CD1774E" w14:textId="77777777" w:rsidR="00887E67" w:rsidRDefault="00887E67" w:rsidP="005077A7">
      <w:pPr>
        <w:pStyle w:val="a"/>
        <w:rPr>
          <w:rFonts w:eastAsiaTheme="minorEastAsia" w:cstheme="minorBidi"/>
          <w:noProof/>
          <w:sz w:val="22"/>
          <w:szCs w:val="22"/>
          <w:rtl/>
        </w:rPr>
      </w:pPr>
      <w:r>
        <w:rPr>
          <w:noProof/>
          <w:rtl/>
        </w:rPr>
        <w:t>חקירת הקוה"ע אי שחיטה מתרת בשעת השחיטה או דמתירה בכל שעה ושעה</w:t>
      </w:r>
    </w:p>
    <w:p w14:paraId="5ADAA5C8" w14:textId="77777777" w:rsidR="00887E67" w:rsidRDefault="00887E67" w:rsidP="005077A7">
      <w:pPr>
        <w:pStyle w:val="a"/>
        <w:rPr>
          <w:rFonts w:eastAsiaTheme="minorEastAsia" w:cstheme="minorBidi"/>
          <w:noProof/>
          <w:sz w:val="22"/>
          <w:szCs w:val="22"/>
          <w:rtl/>
        </w:rPr>
      </w:pPr>
      <w:r>
        <w:rPr>
          <w:noProof/>
          <w:rtl/>
        </w:rPr>
        <w:t>קושית הקוה"ע על הרשב"א דבספק בשחיטה דהספק הוא בשחיטה המתרת אינה עומדת להיתר</w:t>
      </w:r>
    </w:p>
    <w:p w14:paraId="1116CE34" w14:textId="77777777" w:rsidR="00887E67" w:rsidRDefault="00887E67" w:rsidP="005077A7">
      <w:pPr>
        <w:pStyle w:val="a"/>
        <w:rPr>
          <w:rFonts w:eastAsiaTheme="minorEastAsia" w:cstheme="minorBidi"/>
          <w:noProof/>
          <w:sz w:val="22"/>
          <w:szCs w:val="22"/>
          <w:rtl/>
        </w:rPr>
      </w:pPr>
      <w:r>
        <w:rPr>
          <w:noProof/>
          <w:rtl/>
        </w:rPr>
        <w:t>ביאור הקוה"ע בקושית הרשב"א דבצר"ע החזקת איסור תסתור לחזקת היתר דרבה</w:t>
      </w:r>
    </w:p>
    <w:p w14:paraId="32F1624E" w14:textId="77777777" w:rsidR="00887E67" w:rsidRDefault="00887E67" w:rsidP="005077A7">
      <w:pPr>
        <w:pStyle w:val="a"/>
        <w:rPr>
          <w:rFonts w:eastAsiaTheme="minorEastAsia" w:cstheme="minorBidi"/>
          <w:noProof/>
          <w:sz w:val="22"/>
          <w:szCs w:val="22"/>
          <w:rtl/>
        </w:rPr>
      </w:pPr>
      <w:r>
        <w:rPr>
          <w:noProof/>
          <w:rtl/>
        </w:rPr>
        <w:t>קושית הקוה"ע על תירוץ הרשב"א דאי מחזיקין מאל"א לא מהני החזקת היתר בצר"ע</w:t>
      </w:r>
    </w:p>
    <w:p w14:paraId="715513C3" w14:textId="77777777" w:rsidR="00887E67" w:rsidRDefault="00887E67" w:rsidP="005077A7">
      <w:pPr>
        <w:pStyle w:val="a"/>
        <w:rPr>
          <w:rFonts w:eastAsiaTheme="minorEastAsia" w:cstheme="minorBidi"/>
          <w:noProof/>
          <w:sz w:val="22"/>
          <w:szCs w:val="22"/>
          <w:rtl/>
        </w:rPr>
      </w:pPr>
      <w:r>
        <w:rPr>
          <w:noProof/>
          <w:rtl/>
        </w:rPr>
        <w:t>ביאור הקוה"ע דלרהשב"א שחיטה מתירה כל שעה וודאי סיבת איסור מפקיע מספק סיבת היתר</w:t>
      </w:r>
    </w:p>
    <w:p w14:paraId="67E42057" w14:textId="77777777" w:rsidR="00887E67" w:rsidRDefault="00887E67" w:rsidP="005077A7">
      <w:pPr>
        <w:pStyle w:val="a"/>
        <w:rPr>
          <w:rFonts w:eastAsiaTheme="minorEastAsia" w:cstheme="minorBidi"/>
          <w:noProof/>
          <w:sz w:val="22"/>
          <w:szCs w:val="22"/>
          <w:rtl/>
        </w:rPr>
      </w:pPr>
      <w:r>
        <w:rPr>
          <w:noProof/>
          <w:rtl/>
        </w:rPr>
        <w:t>קושית הקוה"ע דברשב"א בסוגיין מבואר דהנדון בצר"ע הוא בדין מחזיקין מאל"א</w:t>
      </w:r>
    </w:p>
    <w:p w14:paraId="35B9973A" w14:textId="77777777" w:rsidR="00887E67" w:rsidRDefault="00887E67" w:rsidP="00887E67">
      <w:pPr>
        <w:pStyle w:val="aff4"/>
        <w:rPr>
          <w:rFonts w:eastAsiaTheme="minorEastAsia" w:cstheme="minorBidi"/>
          <w:i/>
          <w:iCs/>
          <w:noProof/>
          <w:sz w:val="22"/>
          <w:szCs w:val="22"/>
          <w:rtl/>
        </w:rPr>
      </w:pPr>
      <w:bookmarkStart w:id="1003" w:name="_Toc19435208"/>
      <w:bookmarkStart w:id="1004" w:name="_Toc20080576"/>
      <w:r>
        <w:rPr>
          <w:noProof/>
          <w:rtl/>
        </w:rPr>
        <w:t>דברי המקדש דוד בגדר חזקת הבהמה מחיים</w:t>
      </w:r>
      <w:bookmarkEnd w:id="1003"/>
      <w:bookmarkEnd w:id="1004"/>
    </w:p>
    <w:p w14:paraId="2BEB5BF2" w14:textId="77777777" w:rsidR="00887E67" w:rsidRDefault="00887E67" w:rsidP="005077A7">
      <w:pPr>
        <w:pStyle w:val="a"/>
        <w:rPr>
          <w:rFonts w:eastAsiaTheme="minorEastAsia" w:cstheme="minorBidi"/>
          <w:noProof/>
          <w:sz w:val="22"/>
          <w:szCs w:val="22"/>
          <w:rtl/>
        </w:rPr>
      </w:pPr>
      <w:r>
        <w:rPr>
          <w:noProof/>
          <w:rtl/>
        </w:rPr>
        <w:t>חקירת המקדש דוד אי כל שנשחטה אינה נבילה או דדין שחוטה הוא המתיר</w:t>
      </w:r>
    </w:p>
    <w:p w14:paraId="7F331E83" w14:textId="77777777" w:rsidR="00887E67" w:rsidRDefault="00887E67" w:rsidP="005077A7">
      <w:pPr>
        <w:pStyle w:val="a"/>
        <w:rPr>
          <w:rFonts w:eastAsiaTheme="minorEastAsia" w:cstheme="minorBidi"/>
          <w:noProof/>
          <w:sz w:val="22"/>
          <w:szCs w:val="22"/>
          <w:rtl/>
        </w:rPr>
      </w:pPr>
      <w:r>
        <w:rPr>
          <w:noProof/>
          <w:rtl/>
        </w:rPr>
        <w:t>הוכחת המקדש דוד דדין שחוטה הוא המתיר מהא דבן פקועה מותר אף שלא נשחט</w:t>
      </w:r>
    </w:p>
    <w:p w14:paraId="6726925B" w14:textId="77777777" w:rsidR="00887E67" w:rsidRDefault="00887E67" w:rsidP="005077A7">
      <w:pPr>
        <w:pStyle w:val="a"/>
        <w:rPr>
          <w:rFonts w:eastAsiaTheme="minorEastAsia" w:cstheme="minorBidi"/>
          <w:noProof/>
          <w:sz w:val="22"/>
          <w:szCs w:val="22"/>
          <w:rtl/>
        </w:rPr>
      </w:pPr>
      <w:r>
        <w:rPr>
          <w:noProof/>
          <w:rtl/>
        </w:rPr>
        <w:t>דברי המקדש דוד דא"כ הבהמה בחזקת נבילה לכשתמות</w:t>
      </w:r>
    </w:p>
    <w:p w14:paraId="4DC9962F" w14:textId="77777777" w:rsidR="00887E67" w:rsidRDefault="00887E67" w:rsidP="005077A7">
      <w:pPr>
        <w:pStyle w:val="a"/>
        <w:rPr>
          <w:rFonts w:eastAsiaTheme="minorEastAsia" w:cstheme="minorBidi"/>
          <w:noProof/>
          <w:sz w:val="22"/>
          <w:szCs w:val="22"/>
          <w:rtl/>
        </w:rPr>
      </w:pPr>
      <w:r>
        <w:rPr>
          <w:noProof/>
          <w:rtl/>
        </w:rPr>
        <w:t>קושית המקדש דוד דא"צ להחזיק מאבמה"ח דהא יש לה חזקת איסור</w:t>
      </w:r>
    </w:p>
    <w:p w14:paraId="49935CD8" w14:textId="77777777" w:rsidR="00887E67" w:rsidRDefault="00887E67" w:rsidP="005077A7">
      <w:pPr>
        <w:pStyle w:val="a"/>
        <w:rPr>
          <w:rFonts w:eastAsiaTheme="minorEastAsia" w:cstheme="minorBidi"/>
          <w:noProof/>
          <w:sz w:val="22"/>
          <w:szCs w:val="22"/>
          <w:rtl/>
        </w:rPr>
      </w:pPr>
      <w:r>
        <w:rPr>
          <w:noProof/>
          <w:rtl/>
        </w:rPr>
        <w:t>תירוץ המקדש דוד דלולי האיסור אבמה"ח יש לה חזקת היתר מחיים לכשתחשט</w:t>
      </w:r>
    </w:p>
    <w:p w14:paraId="355DA728" w14:textId="77777777" w:rsidR="00887E67" w:rsidRPr="00887E67" w:rsidRDefault="00887E67" w:rsidP="00887E67">
      <w:pPr>
        <w:rPr>
          <w:rtl/>
        </w:rPr>
      </w:pPr>
      <w:r>
        <w:rPr>
          <w:noProof/>
          <w:rtl/>
        </w:rPr>
        <w:fldChar w:fldCharType="end"/>
      </w:r>
    </w:p>
    <w:p w14:paraId="64E27774" w14:textId="77777777" w:rsidR="00852065" w:rsidRDefault="00852065" w:rsidP="00852065">
      <w:pPr>
        <w:pStyle w:val="2"/>
        <w:rPr>
          <w:noProof/>
          <w:rtl/>
        </w:rPr>
        <w:sectPr w:rsidR="00852065" w:rsidSect="005B633C">
          <w:type w:val="continuous"/>
          <w:pgSz w:w="11906" w:h="16838"/>
          <w:pgMar w:top="720" w:right="720" w:bottom="720" w:left="720" w:header="283" w:footer="283" w:gutter="0"/>
          <w:cols w:num="2" w:space="170"/>
          <w:titlePg/>
          <w:bidi/>
          <w:rtlGutter/>
          <w:docGrid w:linePitch="299"/>
        </w:sectPr>
      </w:pPr>
      <w:r>
        <w:rPr>
          <w:rtl/>
        </w:rPr>
        <w:fldChar w:fldCharType="begin"/>
      </w:r>
      <w:r>
        <w:rPr>
          <w:rtl/>
        </w:rPr>
        <w:instrText xml:space="preserve"> </w:instrText>
      </w:r>
      <w:r>
        <w:instrText>TOC</w:instrText>
      </w:r>
      <w:r>
        <w:rPr>
          <w:rtl/>
        </w:rPr>
        <w:instrText xml:space="preserve"> \</w:instrText>
      </w:r>
      <w:r>
        <w:instrText>o "3-3" \n \p " " \z \t</w:instrText>
      </w:r>
      <w:r>
        <w:rPr>
          <w:rtl/>
        </w:rPr>
        <w:instrText xml:space="preserve"> "כותרת 1,2,כותרת 2,2,כות קט,3,כות מקטע,1,כות מק פנ,1" </w:instrText>
      </w:r>
      <w:r>
        <w:rPr>
          <w:rtl/>
        </w:rPr>
        <w:fldChar w:fldCharType="separate"/>
      </w:r>
    </w:p>
    <w:p w14:paraId="5F0D99BF" w14:textId="77777777" w:rsidR="00852065" w:rsidRDefault="00852065" w:rsidP="00852065">
      <w:pPr>
        <w:pStyle w:val="2"/>
        <w:rPr>
          <w:rtl/>
        </w:rPr>
        <w:sectPr w:rsidR="00852065" w:rsidSect="00852065">
          <w:type w:val="continuous"/>
          <w:pgSz w:w="11906" w:h="16838"/>
          <w:pgMar w:top="720" w:right="720" w:bottom="720" w:left="720" w:header="283" w:footer="283" w:gutter="0"/>
          <w:cols w:num="2" w:space="567"/>
          <w:bidi/>
          <w:rtlGutter/>
          <w:docGrid w:linePitch="299"/>
        </w:sectPr>
      </w:pPr>
      <w:r>
        <w:rPr>
          <w:b/>
          <w:bCs/>
          <w:sz w:val="22"/>
          <w:szCs w:val="22"/>
          <w:rtl/>
        </w:rPr>
        <w:fldChar w:fldCharType="end"/>
      </w:r>
    </w:p>
    <w:p w14:paraId="27D010DA" w14:textId="77777777" w:rsidR="00852065" w:rsidRDefault="00852065" w:rsidP="00852065">
      <w:pPr>
        <w:pStyle w:val="2"/>
        <w:rPr>
          <w:rtl/>
        </w:rPr>
        <w:sectPr w:rsidR="00852065" w:rsidSect="00F54A0E">
          <w:footerReference w:type="default" r:id="rId26"/>
          <w:pgSz w:w="11906" w:h="16838"/>
          <w:pgMar w:top="720" w:right="720" w:bottom="720" w:left="720" w:header="283" w:footer="283" w:gutter="0"/>
          <w:cols w:space="567"/>
          <w:bidi/>
          <w:rtlGutter/>
          <w:docGrid w:linePitch="299"/>
        </w:sectPr>
      </w:pPr>
      <w:bookmarkStart w:id="1005" w:name="_Toc522200123"/>
      <w:bookmarkStart w:id="1006" w:name="_Toc521324858"/>
      <w:bookmarkStart w:id="1007" w:name="_Toc521338159"/>
      <w:bookmarkStart w:id="1008" w:name="_Toc521361937"/>
      <w:bookmarkStart w:id="1009" w:name="_Toc19435209"/>
      <w:bookmarkEnd w:id="913"/>
      <w:bookmarkEnd w:id="914"/>
      <w:r>
        <w:rPr>
          <w:rFonts w:hint="cs"/>
          <w:rtl/>
        </w:rPr>
        <w:t>מראי מקומות וביאורים על הסוגיא</w:t>
      </w:r>
      <w:bookmarkEnd w:id="1005"/>
      <w:bookmarkEnd w:id="1006"/>
      <w:bookmarkEnd w:id="1007"/>
      <w:bookmarkEnd w:id="1008"/>
      <w:bookmarkEnd w:id="1009"/>
    </w:p>
    <w:p w14:paraId="74233436" w14:textId="77777777" w:rsidR="00852065" w:rsidRDefault="004E1310" w:rsidP="006D6D32">
      <w:pPr>
        <w:pStyle w:val="afe"/>
        <w:rPr>
          <w:rtl/>
        </w:rPr>
      </w:pPr>
      <w:bookmarkStart w:id="1010" w:name="_Toc522200124"/>
      <w:bookmarkStart w:id="1011" w:name="_Toc19435210"/>
      <w:bookmarkStart w:id="1012" w:name="_Toc20080577"/>
      <w:r>
        <w:rPr>
          <w:rFonts w:hint="cs"/>
          <w:rtl/>
        </w:rPr>
        <w:t>דעת</w:t>
      </w:r>
      <w:r w:rsidR="00852065">
        <w:rPr>
          <w:rFonts w:hint="cs"/>
          <w:rtl/>
        </w:rPr>
        <w:t xml:space="preserve"> רש"י ותוס' </w:t>
      </w:r>
      <w:r>
        <w:rPr>
          <w:rFonts w:hint="cs"/>
          <w:rtl/>
        </w:rPr>
        <w:t>במ</w:t>
      </w:r>
      <w:r w:rsidR="00852065">
        <w:rPr>
          <w:rFonts w:hint="cs"/>
          <w:rtl/>
        </w:rPr>
        <w:t>חזיקין מאיסור לאיסור</w:t>
      </w:r>
      <w:bookmarkEnd w:id="1010"/>
      <w:bookmarkEnd w:id="1011"/>
      <w:bookmarkEnd w:id="1012"/>
    </w:p>
    <w:p w14:paraId="05970497" w14:textId="77777777" w:rsidR="00852065" w:rsidRDefault="00852065" w:rsidP="00BF39B2">
      <w:pPr>
        <w:pStyle w:val="1"/>
        <w:rPr>
          <w:rtl/>
        </w:rPr>
      </w:pPr>
      <w:bookmarkStart w:id="1013" w:name="_Toc522200125"/>
      <w:bookmarkStart w:id="1014" w:name="_Toc19389012"/>
      <w:bookmarkStart w:id="1015" w:name="_Toc19392509"/>
      <w:r>
        <w:rPr>
          <w:rFonts w:hint="cs"/>
          <w:rtl/>
        </w:rPr>
        <w:t>ביאור רש"י והרי"ף דמחזיקין מאיסור אבר מן החי</w:t>
      </w:r>
      <w:bookmarkEnd w:id="1013"/>
      <w:bookmarkEnd w:id="1014"/>
      <w:bookmarkEnd w:id="1015"/>
    </w:p>
    <w:p w14:paraId="0D97C9D5" w14:textId="77777777" w:rsidR="00852065" w:rsidRPr="007636D1" w:rsidRDefault="00852065" w:rsidP="006D6D32">
      <w:pPr>
        <w:pStyle w:val="a3"/>
        <w:rPr>
          <w:rtl/>
        </w:rPr>
      </w:pPr>
      <w:bookmarkStart w:id="1016" w:name="_Toc522200126"/>
      <w:bookmarkStart w:id="1017" w:name="_Toc19389013"/>
      <w:bookmarkStart w:id="1018" w:name="_Toc19392510"/>
      <w:r>
        <w:rPr>
          <w:rFonts w:hint="cs"/>
          <w:rtl/>
        </w:rPr>
        <w:t>דברי רש"י דמעמידים אותה על חזקתה מחיים דאסורה באבר מן החי וא"א להתירה מספק</w:t>
      </w:r>
      <w:bookmarkEnd w:id="1016"/>
      <w:bookmarkEnd w:id="1017"/>
      <w:bookmarkEnd w:id="1018"/>
    </w:p>
    <w:p w14:paraId="1326B3F8" w14:textId="77777777" w:rsidR="00852065" w:rsidRDefault="00852065" w:rsidP="00E12979">
      <w:pPr>
        <w:pStyle w:val="a0"/>
        <w:numPr>
          <w:ilvl w:val="0"/>
          <w:numId w:val="4"/>
        </w:numPr>
        <w:rPr>
          <w:rtl/>
        </w:rPr>
      </w:pPr>
      <w:bookmarkStart w:id="1019" w:name="_Ref522199154"/>
      <w:r>
        <w:rPr>
          <w:rFonts w:hint="cs"/>
          <w:rtl/>
        </w:rPr>
        <w:t xml:space="preserve">בדברי רב הונא דבהמה בחייה בחזקת איסור עומדת ביאר </w:t>
      </w:r>
      <w:r w:rsidRPr="00B03043">
        <w:rPr>
          <w:rStyle w:val="af9"/>
          <w:rFonts w:hint="cs"/>
          <w:rtl/>
        </w:rPr>
        <w:t>רש"י</w:t>
      </w:r>
      <w:r>
        <w:rPr>
          <w:rFonts w:hint="cs"/>
          <w:rtl/>
        </w:rPr>
        <w:t xml:space="preserve"> </w:t>
      </w:r>
      <w:r w:rsidRPr="00223668">
        <w:rPr>
          <w:rStyle w:val="af7"/>
          <w:rFonts w:eastAsia="Guttman Hodes" w:hint="cs"/>
          <w:rtl/>
        </w:rPr>
        <w:t xml:space="preserve">(ד"ה בהמה) </w:t>
      </w:r>
      <w:r>
        <w:rPr>
          <w:rFonts w:hint="cs"/>
          <w:rtl/>
        </w:rPr>
        <w:t>דכיון שהבהמה אסורה מדין אבר מן החי, ולכן כשנולד ספק בשחיטה, כיון שהדין בספיקות הוא להעמיד על החזקה, מעמידים את הבהמה בחזקת איסור דהייתה אסור מדין אבר מן החי, וא"א להתירה מספק שמא נשחטה עד שיתברר שנשחטה כראוי,</w:t>
      </w:r>
      <w:r w:rsidRPr="00B03043">
        <w:rPr>
          <w:rFonts w:hint="cs"/>
          <w:rtl/>
        </w:rPr>
        <w:t xml:space="preserve"> </w:t>
      </w:r>
      <w:r>
        <w:rPr>
          <w:rFonts w:hint="cs"/>
          <w:rtl/>
        </w:rPr>
        <w:t xml:space="preserve">וכ"כ </w:t>
      </w:r>
      <w:r w:rsidRPr="00B03043">
        <w:rPr>
          <w:rStyle w:val="af9"/>
          <w:rFonts w:hint="cs"/>
          <w:rtl/>
        </w:rPr>
        <w:t>רש</w:t>
      </w:r>
      <w:r w:rsidRPr="00F42C81">
        <w:rPr>
          <w:rStyle w:val="af9"/>
          <w:rFonts w:hint="cs"/>
          <w:rtl/>
        </w:rPr>
        <w:t xml:space="preserve">"י </w:t>
      </w:r>
      <w:r w:rsidRPr="00413AAA">
        <w:rPr>
          <w:rFonts w:hint="cs"/>
          <w:rtl/>
        </w:rPr>
        <w:t>לקמן</w:t>
      </w:r>
      <w:r w:rsidRPr="00223668">
        <w:rPr>
          <w:rStyle w:val="af7"/>
          <w:rFonts w:eastAsia="Guttman Hodes" w:hint="cs"/>
          <w:rtl/>
        </w:rPr>
        <w:t xml:space="preserve"> (פו. ד"ה מאי איריא)</w:t>
      </w:r>
      <w:r w:rsidRPr="00413AAA">
        <w:rPr>
          <w:rStyle w:val="af9"/>
          <w:rFonts w:hint="cs"/>
          <w:rtl/>
        </w:rPr>
        <w:t xml:space="preserve"> </w:t>
      </w:r>
      <w:r w:rsidRPr="00413AAA">
        <w:rPr>
          <w:rFonts w:hint="cs"/>
          <w:rtl/>
        </w:rPr>
        <w:t>ובביצה</w:t>
      </w:r>
      <w:r>
        <w:rPr>
          <w:rFonts w:hint="cs"/>
          <w:rtl/>
        </w:rPr>
        <w:t xml:space="preserve"> </w:t>
      </w:r>
      <w:r w:rsidRPr="00223668">
        <w:rPr>
          <w:rStyle w:val="af7"/>
          <w:rFonts w:eastAsia="Guttman Hodes" w:hint="cs"/>
          <w:rtl/>
        </w:rPr>
        <w:t>(כה. ד"ה לאפוקי)</w:t>
      </w:r>
      <w:r>
        <w:rPr>
          <w:rFonts w:hint="cs"/>
          <w:rtl/>
        </w:rPr>
        <w:t xml:space="preserve">, וביארו </w:t>
      </w:r>
      <w:r w:rsidRPr="00DE2932">
        <w:rPr>
          <w:rStyle w:val="af9"/>
          <w:rFonts w:hint="cs"/>
          <w:rtl/>
        </w:rPr>
        <w:t>הרמב"ן ביבמות</w:t>
      </w:r>
      <w:r>
        <w:rPr>
          <w:rFonts w:hint="cs"/>
          <w:rtl/>
        </w:rPr>
        <w:t xml:space="preserve"> </w:t>
      </w:r>
      <w:r w:rsidRPr="00223668">
        <w:rPr>
          <w:rStyle w:val="af7"/>
          <w:rFonts w:eastAsia="Guttman Hodes" w:hint="eastAsia"/>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Ref522187593 \r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כח)</w:t>
      </w:r>
      <w:r w:rsidRPr="00223668">
        <w:rPr>
          <w:rStyle w:val="af7"/>
          <w:rFonts w:eastAsia="Guttman Hodes"/>
          <w:rtl/>
        </w:rPr>
        <w:fldChar w:fldCharType="end"/>
      </w:r>
      <w:r w:rsidRPr="00223668">
        <w:rPr>
          <w:rStyle w:val="af7"/>
          <w:rFonts w:eastAsia="Guttman Hodes" w:hint="cs"/>
          <w:rtl/>
        </w:rPr>
        <w:t xml:space="preserve"> </w:t>
      </w:r>
      <w:r>
        <w:rPr>
          <w:rStyle w:val="af9"/>
          <w:rFonts w:hint="cs"/>
          <w:rtl/>
        </w:rPr>
        <w:t>והרשב"א</w:t>
      </w:r>
      <w:r w:rsidRPr="00DE2932">
        <w:rPr>
          <w:rStyle w:val="af9"/>
          <w:rFonts w:hint="cs"/>
          <w:rtl/>
        </w:rPr>
        <w:t xml:space="preserve"> ביבמות</w:t>
      </w:r>
      <w:r>
        <w:rPr>
          <w:rFonts w:hint="cs"/>
          <w:rtl/>
        </w:rPr>
        <w:t xml:space="preserve"> </w:t>
      </w:r>
      <w:r w:rsidRPr="00223668">
        <w:rPr>
          <w:rStyle w:val="af7"/>
          <w:rFonts w:eastAsia="Guttman Hodes" w:hint="eastAsia"/>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Ref522187437 \r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sidRPr="00223668">
        <w:rPr>
          <w:rStyle w:val="af7"/>
          <w:rFonts w:eastAsia="Guttman Hodes"/>
          <w:rtl/>
        </w:rPr>
        <w:fldChar w:fldCharType="end"/>
      </w:r>
      <w:r w:rsidRPr="00223668">
        <w:rPr>
          <w:rStyle w:val="af7"/>
          <w:rFonts w:eastAsia="Guttman Hodes" w:hint="cs"/>
          <w:rtl/>
        </w:rPr>
        <w:t xml:space="preserve"> </w:t>
      </w:r>
      <w:r>
        <w:rPr>
          <w:rFonts w:hint="cs"/>
          <w:rtl/>
        </w:rPr>
        <w:t>דהוא מדין מחזיקין מאיסור לאיסור</w:t>
      </w:r>
      <w:r w:rsidRPr="000F513E">
        <w:rPr>
          <w:rStyle w:val="afb"/>
          <w:rFonts w:hint="cs"/>
          <w:rtl/>
        </w:rPr>
        <w:t xml:space="preserve"> [ו</w:t>
      </w:r>
      <w:r>
        <w:rPr>
          <w:rStyle w:val="afb"/>
          <w:rFonts w:hint="cs"/>
          <w:rtl/>
        </w:rPr>
        <w:t>עי' בדברי</w:t>
      </w:r>
      <w:r w:rsidRPr="000F513E">
        <w:rPr>
          <w:rStyle w:val="afb"/>
          <w:rFonts w:hint="cs"/>
          <w:rtl/>
        </w:rPr>
        <w:t xml:space="preserve"> </w:t>
      </w:r>
      <w:r>
        <w:rPr>
          <w:rStyle w:val="affa"/>
          <w:rFonts w:hint="cs"/>
          <w:rtl/>
        </w:rPr>
        <w:t>ה</w:t>
      </w:r>
      <w:r w:rsidRPr="000F513E">
        <w:rPr>
          <w:rStyle w:val="affa"/>
          <w:rFonts w:hint="cs"/>
          <w:rtl/>
        </w:rPr>
        <w:t>רשב"א בסוגיין</w:t>
      </w:r>
      <w:r>
        <w:rPr>
          <w:rStyle w:val="afb"/>
          <w:rFonts w:hint="cs"/>
          <w:rtl/>
        </w:rPr>
        <w:t xml:space="preserve"> </w:t>
      </w:r>
      <w:r w:rsidRPr="00C82C7A">
        <w:rPr>
          <w:rStyle w:val="aff6"/>
          <w:rFonts w:hint="cs"/>
          <w:rtl/>
        </w:rPr>
        <w:t xml:space="preserve">(עי' אות </w:t>
      </w:r>
      <w:r w:rsidRPr="00C82C7A">
        <w:rPr>
          <w:rStyle w:val="aff6"/>
          <w:rtl/>
        </w:rPr>
        <w:fldChar w:fldCharType="begin"/>
      </w:r>
      <w:r w:rsidRPr="00C82C7A">
        <w:rPr>
          <w:rStyle w:val="aff6"/>
          <w:rtl/>
        </w:rPr>
        <w:instrText xml:space="preserve"> </w:instrText>
      </w:r>
      <w:r w:rsidRPr="00C82C7A">
        <w:rPr>
          <w:rStyle w:val="aff6"/>
          <w:rFonts w:hint="cs"/>
        </w:rPr>
        <w:instrText>REF</w:instrText>
      </w:r>
      <w:r w:rsidRPr="00C82C7A">
        <w:rPr>
          <w:rStyle w:val="aff6"/>
          <w:rFonts w:hint="cs"/>
          <w:rtl/>
        </w:rPr>
        <w:instrText xml:space="preserve"> _</w:instrText>
      </w:r>
      <w:r w:rsidRPr="00C82C7A">
        <w:rPr>
          <w:rStyle w:val="aff6"/>
          <w:rFonts w:hint="cs"/>
        </w:rPr>
        <w:instrText>Ref522187514 \r \h</w:instrText>
      </w:r>
      <w:r w:rsidRPr="00C82C7A">
        <w:rPr>
          <w:rStyle w:val="aff6"/>
          <w:rtl/>
        </w:rPr>
        <w:instrText xml:space="preserve"> </w:instrText>
      </w:r>
      <w:r w:rsidRPr="00C82C7A">
        <w:rPr>
          <w:rStyle w:val="aff6"/>
          <w:rtl/>
        </w:rPr>
      </w:r>
      <w:r w:rsidRPr="00C82C7A">
        <w:rPr>
          <w:rStyle w:val="aff6"/>
          <w:rtl/>
        </w:rPr>
        <w:fldChar w:fldCharType="separate"/>
      </w:r>
      <w:r w:rsidR="00345400">
        <w:rPr>
          <w:rStyle w:val="aff6"/>
          <w:cs/>
        </w:rPr>
        <w:t>‎</w:t>
      </w:r>
      <w:r w:rsidR="00345400">
        <w:rPr>
          <w:rStyle w:val="aff6"/>
          <w:rtl/>
        </w:rPr>
        <w:t>ד)</w:t>
      </w:r>
      <w:r w:rsidRPr="00C82C7A">
        <w:rPr>
          <w:rStyle w:val="aff6"/>
          <w:rtl/>
        </w:rPr>
        <w:fldChar w:fldCharType="end"/>
      </w:r>
      <w:r w:rsidRPr="000F513E">
        <w:rPr>
          <w:rStyle w:val="afb"/>
          <w:rFonts w:hint="cs"/>
          <w:rtl/>
        </w:rPr>
        <w:t>]</w:t>
      </w:r>
      <w:r>
        <w:rPr>
          <w:rFonts w:hint="cs"/>
          <w:rtl/>
        </w:rPr>
        <w:t>.</w:t>
      </w:r>
      <w:bookmarkEnd w:id="1019"/>
    </w:p>
    <w:p w14:paraId="4ED2DE6D" w14:textId="77777777" w:rsidR="00852065" w:rsidRPr="00B53329" w:rsidRDefault="00852065" w:rsidP="006D6D32">
      <w:pPr>
        <w:pStyle w:val="a3"/>
        <w:rPr>
          <w:rtl/>
        </w:rPr>
      </w:pPr>
      <w:bookmarkStart w:id="1020" w:name="_Toc521324861"/>
      <w:bookmarkStart w:id="1021" w:name="_Toc521338162"/>
      <w:bookmarkStart w:id="1022" w:name="_Toc521361940"/>
      <w:bookmarkStart w:id="1023" w:name="_Toc522200127"/>
      <w:bookmarkStart w:id="1024" w:name="_Toc19389014"/>
      <w:bookmarkStart w:id="1025" w:name="_Toc19392511"/>
      <w:r>
        <w:rPr>
          <w:rFonts w:hint="cs"/>
          <w:rtl/>
        </w:rPr>
        <w:t>דברי הרי"ף דכיון שאסורה מחיים באבר מן החי כל שלא נתברר שנשחטה היא בחזקת איסור</w:t>
      </w:r>
      <w:bookmarkEnd w:id="1020"/>
      <w:bookmarkEnd w:id="1021"/>
      <w:bookmarkEnd w:id="1022"/>
      <w:bookmarkEnd w:id="1023"/>
      <w:bookmarkEnd w:id="1024"/>
      <w:bookmarkEnd w:id="1025"/>
    </w:p>
    <w:p w14:paraId="0AABD152" w14:textId="77777777" w:rsidR="00852065" w:rsidRDefault="00852065" w:rsidP="00223668">
      <w:pPr>
        <w:pStyle w:val="a0"/>
        <w:rPr>
          <w:rtl/>
        </w:rPr>
      </w:pPr>
      <w:r>
        <w:rPr>
          <w:rFonts w:hint="cs"/>
          <w:rtl/>
        </w:rPr>
        <w:t xml:space="preserve">וכן ביאר </w:t>
      </w:r>
      <w:r w:rsidRPr="006419AC">
        <w:rPr>
          <w:rStyle w:val="af9"/>
          <w:rFonts w:hint="cs"/>
          <w:rtl/>
        </w:rPr>
        <w:t>הרי"ף</w:t>
      </w:r>
      <w:r>
        <w:rPr>
          <w:rFonts w:hint="cs"/>
          <w:rtl/>
        </w:rPr>
        <w:t xml:space="preserve"> </w:t>
      </w:r>
      <w:r w:rsidRPr="006419AC">
        <w:rPr>
          <w:rStyle w:val="af7"/>
          <w:rFonts w:eastAsia="Guttman Hodes" w:hint="cs"/>
          <w:rtl/>
        </w:rPr>
        <w:t>(דף א: מדפי הרי"ף)</w:t>
      </w:r>
      <w:r>
        <w:rPr>
          <w:rFonts w:hint="cs"/>
          <w:rtl/>
        </w:rPr>
        <w:t xml:space="preserve"> דכיון שבחייה אסורה הבהמה מדין אבר מן החי ומותרת רק ע"י שחיטה כשרה ובסכין שאינו פגום, לכן כל שלא נתברר שנשחטה כראוי בין בסימנין ובין בסכין טוב, הרי היא בחזקת איסור, עד שיתברר במה נשחטה, ומטמאה כנבילה.</w:t>
      </w:r>
    </w:p>
    <w:p w14:paraId="7C89E278" w14:textId="77777777" w:rsidR="00852065" w:rsidRDefault="00852065" w:rsidP="00BF39B2">
      <w:pPr>
        <w:pStyle w:val="1"/>
        <w:rPr>
          <w:rtl/>
        </w:rPr>
      </w:pPr>
      <w:bookmarkStart w:id="1026" w:name="_Toc521324862"/>
      <w:bookmarkStart w:id="1027" w:name="_Toc521338163"/>
      <w:bookmarkStart w:id="1028" w:name="_Toc521361941"/>
      <w:bookmarkStart w:id="1029" w:name="_Toc522200128"/>
      <w:bookmarkStart w:id="1030" w:name="_Toc19389015"/>
      <w:bookmarkStart w:id="1031" w:name="_Toc19392512"/>
      <w:r>
        <w:rPr>
          <w:rFonts w:hint="cs"/>
          <w:rtl/>
        </w:rPr>
        <w:t>קושית התוס' בביצה דבמתה לפנינו א"א להחזיק באבר מן החי</w:t>
      </w:r>
      <w:bookmarkEnd w:id="1026"/>
      <w:bookmarkEnd w:id="1027"/>
      <w:bookmarkEnd w:id="1028"/>
      <w:bookmarkEnd w:id="1029"/>
      <w:bookmarkEnd w:id="1030"/>
      <w:bookmarkEnd w:id="1031"/>
      <w:r>
        <w:rPr>
          <w:rFonts w:hint="cs"/>
          <w:rtl/>
        </w:rPr>
        <w:t xml:space="preserve"> </w:t>
      </w:r>
    </w:p>
    <w:p w14:paraId="50C211D3" w14:textId="77777777" w:rsidR="00852065" w:rsidRPr="00F1032B" w:rsidRDefault="00852065" w:rsidP="006D6D32">
      <w:pPr>
        <w:pStyle w:val="a3"/>
        <w:rPr>
          <w:rtl/>
        </w:rPr>
      </w:pPr>
      <w:bookmarkStart w:id="1032" w:name="_Toc522200129"/>
      <w:bookmarkStart w:id="1033" w:name="_Toc19389016"/>
      <w:bookmarkStart w:id="1034" w:name="_Toc19392513"/>
      <w:r>
        <w:rPr>
          <w:rFonts w:hint="cs"/>
          <w:rtl/>
        </w:rPr>
        <w:t>קושית התוס' בביצה והמאירי דאף שיש ספק בשחיטה מ"מ היא מתה ואינה בכלל אבמה"ח</w:t>
      </w:r>
      <w:bookmarkEnd w:id="1032"/>
      <w:bookmarkEnd w:id="1033"/>
      <w:bookmarkEnd w:id="1034"/>
    </w:p>
    <w:p w14:paraId="4032ABC9" w14:textId="77777777" w:rsidR="00852065" w:rsidRDefault="00852065" w:rsidP="00223668">
      <w:pPr>
        <w:pStyle w:val="a0"/>
        <w:rPr>
          <w:rtl/>
        </w:rPr>
      </w:pPr>
      <w:bookmarkStart w:id="1035" w:name="_Ref522199033"/>
      <w:r>
        <w:rPr>
          <w:rFonts w:hint="cs"/>
          <w:rtl/>
        </w:rPr>
        <w:t xml:space="preserve">והקשו </w:t>
      </w:r>
      <w:r w:rsidRPr="004A3023">
        <w:rPr>
          <w:rStyle w:val="af9"/>
          <w:rFonts w:hint="cs"/>
          <w:rtl/>
        </w:rPr>
        <w:t>התוס' בביצה</w:t>
      </w:r>
      <w:r>
        <w:rPr>
          <w:rFonts w:hint="cs"/>
          <w:rtl/>
        </w:rPr>
        <w:t xml:space="preserve"> </w:t>
      </w:r>
      <w:r w:rsidRPr="007E13E7">
        <w:rPr>
          <w:rStyle w:val="af7"/>
          <w:rFonts w:eastAsia="Guttman Hodes" w:hint="cs"/>
          <w:rtl/>
        </w:rPr>
        <w:t>(כה. ד"ה בחזקת)</w:t>
      </w:r>
      <w:r>
        <w:rPr>
          <w:rFonts w:hint="cs"/>
          <w:rtl/>
        </w:rPr>
        <w:t xml:space="preserve"> </w:t>
      </w:r>
      <w:r>
        <w:rPr>
          <w:rStyle w:val="af9"/>
          <w:rFonts w:hint="cs"/>
          <w:rtl/>
        </w:rPr>
        <w:t>ו</w:t>
      </w:r>
      <w:r w:rsidRPr="00246EF7">
        <w:rPr>
          <w:rStyle w:val="af9"/>
          <w:rFonts w:hint="cs"/>
          <w:rtl/>
        </w:rPr>
        <w:t>המאירי</w:t>
      </w:r>
      <w:r>
        <w:rPr>
          <w:rFonts w:hint="cs"/>
          <w:rtl/>
        </w:rPr>
        <w:t xml:space="preserve"> </w:t>
      </w:r>
      <w:r w:rsidRPr="00246EF7">
        <w:rPr>
          <w:rStyle w:val="af7"/>
          <w:rFonts w:eastAsia="Guttman Adii-Light" w:hint="cs"/>
          <w:rtl/>
        </w:rPr>
        <w:t>(בסוגיין ד"ה השוחט)</w:t>
      </w:r>
      <w:r>
        <w:rPr>
          <w:rFonts w:hint="cs"/>
          <w:rtl/>
        </w:rPr>
        <w:t xml:space="preserve"> על </w:t>
      </w:r>
      <w:r w:rsidRPr="004A3023">
        <w:rPr>
          <w:rStyle w:val="af9"/>
          <w:rFonts w:hint="cs"/>
          <w:rtl/>
        </w:rPr>
        <w:t xml:space="preserve">רש"י </w:t>
      </w:r>
      <w:r>
        <w:rPr>
          <w:rFonts w:hint="cs"/>
          <w:rtl/>
        </w:rPr>
        <w:t>דכיון שמתה לפנינו א"א להעמידה בחזקת איסור אבר מן החי דהוא רק מחיים, ואף שלא ידוע אם נשחטה כדין, מ"מ עכשיו היא מתה ולא שייך במתה אבר מן החי,</w:t>
      </w:r>
      <w:r w:rsidRPr="0081135A">
        <w:rPr>
          <w:rFonts w:hint="cs"/>
          <w:rtl/>
        </w:rPr>
        <w:t xml:space="preserve"> </w:t>
      </w:r>
      <w:r>
        <w:rPr>
          <w:rFonts w:hint="cs"/>
          <w:rtl/>
        </w:rPr>
        <w:t xml:space="preserve">והיאך אפש"ל שלא יצאה מחזקת איסור זה. וכ"כ </w:t>
      </w:r>
      <w:r w:rsidRPr="00EC67BF">
        <w:rPr>
          <w:rStyle w:val="af9"/>
          <w:rFonts w:hint="cs"/>
          <w:rtl/>
        </w:rPr>
        <w:t>הרשב"א</w:t>
      </w:r>
      <w:r>
        <w:rPr>
          <w:rFonts w:hint="cs"/>
          <w:rtl/>
        </w:rPr>
        <w:t xml:space="preserve"> </w:t>
      </w:r>
      <w:r w:rsidRPr="007E13E7">
        <w:rPr>
          <w:rStyle w:val="af7"/>
          <w:rFonts w:eastAsia="Guttman Hodes" w:hint="cs"/>
          <w:rtl/>
        </w:rPr>
        <w:t>(</w:t>
      </w:r>
      <w:r w:rsidRPr="002C064B">
        <w:rPr>
          <w:rStyle w:val="af7"/>
          <w:rFonts w:eastAsia="Guttman Hodes" w:hint="cs"/>
          <w:rtl/>
        </w:rPr>
        <w:t xml:space="preserve">בסוגיין </w:t>
      </w:r>
      <w:r w:rsidRPr="007E13E7">
        <w:rPr>
          <w:rStyle w:val="af7"/>
          <w:rFonts w:eastAsia="Guttman Hodes" w:hint="cs"/>
          <w:rtl/>
        </w:rPr>
        <w:t>ד"ה בהמה)</w:t>
      </w:r>
      <w:r>
        <w:rPr>
          <w:rFonts w:hint="cs"/>
          <w:rtl/>
        </w:rPr>
        <w:t xml:space="preserve"> </w:t>
      </w:r>
      <w:r>
        <w:rPr>
          <w:rStyle w:val="af9"/>
          <w:rFonts w:hint="cs"/>
          <w:rtl/>
        </w:rPr>
        <w:t>ו</w:t>
      </w:r>
      <w:r w:rsidRPr="00380397">
        <w:rPr>
          <w:rStyle w:val="af9"/>
          <w:rFonts w:hint="cs"/>
          <w:rtl/>
        </w:rPr>
        <w:t>הש</w:t>
      </w:r>
      <w:r>
        <w:rPr>
          <w:rStyle w:val="af9"/>
          <w:rFonts w:hint="cs"/>
          <w:rtl/>
        </w:rPr>
        <w:t>י</w:t>
      </w:r>
      <w:r w:rsidRPr="00380397">
        <w:rPr>
          <w:rStyle w:val="af9"/>
          <w:rFonts w:hint="cs"/>
          <w:rtl/>
        </w:rPr>
        <w:t>טמ"ק בביצה</w:t>
      </w:r>
      <w:r>
        <w:rPr>
          <w:rFonts w:hint="cs"/>
          <w:rtl/>
        </w:rPr>
        <w:t xml:space="preserve"> </w:t>
      </w:r>
      <w:r w:rsidRPr="007E13E7">
        <w:rPr>
          <w:rStyle w:val="af7"/>
          <w:rFonts w:eastAsia="Guttman Hodes" w:hint="cs"/>
          <w:rtl/>
        </w:rPr>
        <w:t>(כה. ד"ה בהמה)</w:t>
      </w:r>
      <w:r>
        <w:rPr>
          <w:rFonts w:hint="cs"/>
          <w:rtl/>
        </w:rPr>
        <w:t xml:space="preserve"> דכיון שנשחטה אינה בכלל איסור אבר מן החי, בין אם היא שחיטה טובה ובין אם שחט רק מיעוט סימנים.</w:t>
      </w:r>
      <w:bookmarkEnd w:id="1035"/>
    </w:p>
    <w:p w14:paraId="72F51994" w14:textId="77777777" w:rsidR="00852065" w:rsidRDefault="00852065" w:rsidP="006D6D32">
      <w:pPr>
        <w:pStyle w:val="a3"/>
        <w:rPr>
          <w:rtl/>
        </w:rPr>
      </w:pPr>
      <w:bookmarkStart w:id="1036" w:name="_Toc521324864"/>
      <w:bookmarkStart w:id="1037" w:name="_Toc521338165"/>
      <w:bookmarkStart w:id="1038" w:name="_Toc521361943"/>
      <w:bookmarkStart w:id="1039" w:name="_Toc522200130"/>
      <w:bookmarkStart w:id="1040" w:name="_Toc19389017"/>
      <w:bookmarkStart w:id="1041" w:name="_Toc19392514"/>
      <w:r>
        <w:rPr>
          <w:rFonts w:hint="cs"/>
          <w:rtl/>
        </w:rPr>
        <w:t>ישוב הרשב"א ברש"י דאף שמתה לפנינו מ"מ מחזיקין מאיסור לאיסור</w:t>
      </w:r>
      <w:bookmarkEnd w:id="1036"/>
      <w:bookmarkEnd w:id="1037"/>
      <w:bookmarkEnd w:id="1038"/>
      <w:bookmarkEnd w:id="1039"/>
      <w:bookmarkEnd w:id="1040"/>
      <w:bookmarkEnd w:id="1041"/>
    </w:p>
    <w:p w14:paraId="3FE3419F" w14:textId="77777777" w:rsidR="00852065" w:rsidRDefault="00852065" w:rsidP="00223668">
      <w:pPr>
        <w:pStyle w:val="a0"/>
        <w:rPr>
          <w:rtl/>
        </w:rPr>
      </w:pPr>
      <w:bookmarkStart w:id="1042" w:name="_Ref522187514"/>
      <w:r>
        <w:rPr>
          <w:rFonts w:hint="cs"/>
          <w:rtl/>
        </w:rPr>
        <w:t xml:space="preserve">אך כתב </w:t>
      </w:r>
      <w:r w:rsidRPr="00562557">
        <w:rPr>
          <w:rStyle w:val="af9"/>
          <w:rFonts w:hint="cs"/>
          <w:rtl/>
        </w:rPr>
        <w:t>הרשב"א</w:t>
      </w:r>
      <w:r>
        <w:rPr>
          <w:rFonts w:hint="cs"/>
          <w:rtl/>
        </w:rPr>
        <w:t xml:space="preserve"> </w:t>
      </w:r>
      <w:r w:rsidRPr="002C064B">
        <w:rPr>
          <w:rStyle w:val="af7"/>
          <w:rFonts w:eastAsia="Guttman Hodes" w:hint="cs"/>
          <w:rtl/>
        </w:rPr>
        <w:t xml:space="preserve">(בסוגיין ד"ה בהמה) </w:t>
      </w:r>
      <w:r>
        <w:rPr>
          <w:rFonts w:hint="cs"/>
          <w:rtl/>
        </w:rPr>
        <w:t xml:space="preserve">דאפשר לבאר את דעת </w:t>
      </w:r>
      <w:r w:rsidRPr="00562557">
        <w:rPr>
          <w:rStyle w:val="af9"/>
          <w:rFonts w:hint="cs"/>
          <w:rtl/>
        </w:rPr>
        <w:t>רש"י</w:t>
      </w:r>
      <w:r>
        <w:rPr>
          <w:rFonts w:hint="cs"/>
          <w:rtl/>
        </w:rPr>
        <w:t xml:space="preserve"> דאף שיצאה מאיסור אבר מן החי, גם אם נשחטה שלא כראוי, מ"מ </w:t>
      </w:r>
      <w:r w:rsidRPr="00701369">
        <w:rPr>
          <w:rFonts w:hint="cs"/>
          <w:rtl/>
        </w:rPr>
        <w:t>מחזיקין אותה מאיסור לאיסור</w:t>
      </w:r>
      <w:r>
        <w:rPr>
          <w:rFonts w:hint="cs"/>
          <w:rtl/>
        </w:rPr>
        <w:t xml:space="preserve">, דכיון שמתחילה הייתה </w:t>
      </w:r>
      <w:r w:rsidRPr="00701369">
        <w:rPr>
          <w:rFonts w:hint="cs"/>
          <w:rtl/>
        </w:rPr>
        <w:t>בחזקת איסור אבר מן החי, ולא נתברר אם נשחטה כראוי,</w:t>
      </w:r>
      <w:r>
        <w:rPr>
          <w:rFonts w:hint="cs"/>
          <w:rtl/>
        </w:rPr>
        <w:t xml:space="preserve"> אפשר להעמידה בחזקת איסור מחמת שהייתה אסורה באיסור אבר מן החי.</w:t>
      </w:r>
      <w:bookmarkEnd w:id="1042"/>
    </w:p>
    <w:p w14:paraId="0C59382C" w14:textId="77777777" w:rsidR="00852065" w:rsidRPr="00B94EC9" w:rsidRDefault="00852065" w:rsidP="006D6D32">
      <w:pPr>
        <w:pStyle w:val="a3"/>
      </w:pPr>
      <w:bookmarkStart w:id="1043" w:name="_Toc521324865"/>
      <w:bookmarkStart w:id="1044" w:name="_Toc521338166"/>
      <w:bookmarkStart w:id="1045" w:name="_Toc521361944"/>
      <w:bookmarkStart w:id="1046" w:name="_Toc522200131"/>
      <w:bookmarkStart w:id="1047" w:name="_Toc19389018"/>
      <w:bookmarkStart w:id="1048" w:name="_Toc19392515"/>
      <w:r>
        <w:rPr>
          <w:rFonts w:hint="cs"/>
          <w:rtl/>
        </w:rPr>
        <w:t>דברי הרשב"א דבגמ' ביבמות מוכח דמחזיקין מאיסור לאיסור</w:t>
      </w:r>
      <w:bookmarkEnd w:id="1043"/>
      <w:bookmarkEnd w:id="1044"/>
      <w:bookmarkEnd w:id="1045"/>
      <w:bookmarkEnd w:id="1046"/>
      <w:bookmarkEnd w:id="1047"/>
      <w:bookmarkEnd w:id="1048"/>
    </w:p>
    <w:p w14:paraId="55CCA76E" w14:textId="77777777" w:rsidR="00852065" w:rsidRDefault="00852065" w:rsidP="00223668">
      <w:pPr>
        <w:pStyle w:val="a0"/>
        <w:rPr>
          <w:rtl/>
        </w:rPr>
      </w:pPr>
      <w:r>
        <w:rPr>
          <w:rFonts w:hint="cs"/>
          <w:rtl/>
        </w:rPr>
        <w:t xml:space="preserve">והוסיף </w:t>
      </w:r>
      <w:r w:rsidRPr="00E5121D">
        <w:rPr>
          <w:rStyle w:val="af9"/>
          <w:rFonts w:hint="cs"/>
          <w:rtl/>
        </w:rPr>
        <w:t>הרשב"א</w:t>
      </w:r>
      <w:r>
        <w:rPr>
          <w:rFonts w:hint="cs"/>
          <w:rtl/>
        </w:rPr>
        <w:t xml:space="preserve"> דכן </w:t>
      </w:r>
      <w:r w:rsidRPr="00701369">
        <w:rPr>
          <w:rFonts w:hint="cs"/>
          <w:rtl/>
        </w:rPr>
        <w:t xml:space="preserve">איתא ביבמות </w:t>
      </w:r>
      <w:r w:rsidRPr="00D82566">
        <w:rPr>
          <w:rStyle w:val="af7"/>
          <w:rFonts w:eastAsia="Guttman Hodes" w:hint="cs"/>
          <w:rtl/>
        </w:rPr>
        <w:t>(ל:)</w:t>
      </w:r>
      <w:r w:rsidRPr="00701369">
        <w:rPr>
          <w:rFonts w:hint="cs"/>
          <w:rtl/>
        </w:rPr>
        <w:t xml:space="preserve"> דמחזיקין מאיסור אשת איש לאיסור יבמה לשוק</w:t>
      </w:r>
      <w:r>
        <w:rPr>
          <w:rFonts w:hint="cs"/>
          <w:rtl/>
        </w:rPr>
        <w:t>,</w:t>
      </w:r>
      <w:r w:rsidRPr="00D82566">
        <w:rPr>
          <w:rtl/>
        </w:rPr>
        <w:t xml:space="preserve"> </w:t>
      </w:r>
      <w:r>
        <w:rPr>
          <w:rFonts w:hint="cs"/>
          <w:rtl/>
        </w:rPr>
        <w:t>ו</w:t>
      </w:r>
      <w:r>
        <w:rPr>
          <w:rtl/>
        </w:rPr>
        <w:t xml:space="preserve">ציין </w:t>
      </w:r>
      <w:r w:rsidRPr="00D82566">
        <w:rPr>
          <w:rStyle w:val="af9"/>
          <w:rtl/>
        </w:rPr>
        <w:t>הרשב"א</w:t>
      </w:r>
      <w:r>
        <w:rPr>
          <w:rtl/>
        </w:rPr>
        <w:t xml:space="preserve"> ל</w:t>
      </w:r>
      <w:r>
        <w:rPr>
          <w:rFonts w:hint="cs"/>
          <w:rtl/>
        </w:rPr>
        <w:t>מה שביאר בזה</w:t>
      </w:r>
      <w:r>
        <w:rPr>
          <w:rtl/>
        </w:rPr>
        <w:t xml:space="preserve"> ביבמות </w:t>
      </w:r>
      <w:r w:rsidRPr="000F513E">
        <w:rPr>
          <w:rStyle w:val="af7"/>
          <w:rFonts w:eastAsia="Guttman Hodes" w:hint="eastAsia"/>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Ref522187437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Pr>
          <w:rStyle w:val="af7"/>
          <w:rFonts w:eastAsia="Guttman Hodes"/>
          <w:rtl/>
        </w:rPr>
        <w:fldChar w:fldCharType="end"/>
      </w:r>
      <w:r>
        <w:rPr>
          <w:rFonts w:hint="cs"/>
          <w:rtl/>
        </w:rPr>
        <w:t>.</w:t>
      </w:r>
    </w:p>
    <w:p w14:paraId="274010B0" w14:textId="77777777" w:rsidR="00852065" w:rsidRDefault="00852065" w:rsidP="006D6D32">
      <w:pPr>
        <w:pStyle w:val="a3"/>
        <w:rPr>
          <w:rtl/>
        </w:rPr>
      </w:pPr>
      <w:bookmarkStart w:id="1049" w:name="_Toc522200132"/>
      <w:bookmarkStart w:id="1050" w:name="_Toc19389019"/>
      <w:bookmarkStart w:id="1051" w:name="_Toc19392516"/>
      <w:r>
        <w:rPr>
          <w:rFonts w:hint="cs"/>
          <w:rtl/>
        </w:rPr>
        <w:t>תירוץ הש"ש דאף שפקע האבמה"ח אין לה חזקת היתר דזה גופא הספק אם נשחטה והותרה</w:t>
      </w:r>
      <w:bookmarkEnd w:id="1049"/>
      <w:bookmarkEnd w:id="1050"/>
      <w:bookmarkEnd w:id="1051"/>
    </w:p>
    <w:p w14:paraId="5FCCEEBA" w14:textId="77777777" w:rsidR="00852065" w:rsidRDefault="00852065" w:rsidP="00223668">
      <w:pPr>
        <w:pStyle w:val="a0"/>
        <w:rPr>
          <w:rtl/>
        </w:rPr>
      </w:pPr>
      <w:r>
        <w:rPr>
          <w:rStyle w:val="af9"/>
          <w:rFonts w:hint="cs"/>
          <w:rtl/>
        </w:rPr>
        <w:t>וה</w:t>
      </w:r>
      <w:r w:rsidRPr="00EE078B">
        <w:rPr>
          <w:rStyle w:val="af9"/>
          <w:rFonts w:hint="cs"/>
          <w:rtl/>
        </w:rPr>
        <w:t>ש"ש</w:t>
      </w:r>
      <w:r>
        <w:rPr>
          <w:rFonts w:hint="cs"/>
          <w:rtl/>
        </w:rPr>
        <w:t xml:space="preserve"> </w:t>
      </w:r>
      <w:r w:rsidRPr="00EE078B">
        <w:rPr>
          <w:rStyle w:val="af7"/>
          <w:rFonts w:eastAsia="Guttman Hodes" w:hint="cs"/>
          <w:rtl/>
        </w:rPr>
        <w:t>(ש"ה פ"ו)</w:t>
      </w:r>
      <w:r>
        <w:rPr>
          <w:rFonts w:hint="cs"/>
          <w:rtl/>
        </w:rPr>
        <w:t xml:space="preserve"> תירץ את קושית </w:t>
      </w:r>
      <w:r w:rsidRPr="00EE078B">
        <w:rPr>
          <w:rStyle w:val="af9"/>
          <w:rFonts w:hint="cs"/>
          <w:rtl/>
        </w:rPr>
        <w:t>התוס' בביצה</w:t>
      </w:r>
      <w:r>
        <w:rPr>
          <w:rFonts w:hint="cs"/>
          <w:rtl/>
        </w:rPr>
        <w:t xml:space="preserve"> דהא דמחזיקין מאיסור אבר מן החי לאיסור נבילה, הוא כיון שא"א לומר שנעמידנה על החזקת היתר שהייתה לה מחיים, שהיא מותרת לכשתשחט, דהא זהו גופא הספק אם נשחטה כראוי, ולכן אף שהאיסור אבר מן החי נסתלק, דהבהמה מתה לפנינו, מ"מ א"א להתיר את הספק בשחיטה ע"י החזקת היתר שהייתה לה, דכל החזקת היתר היא לאחר שנשחטה כראוי, וכתב </w:t>
      </w:r>
      <w:r w:rsidRPr="009E7B31">
        <w:rPr>
          <w:rStyle w:val="af9"/>
          <w:rFonts w:hint="cs"/>
          <w:rtl/>
        </w:rPr>
        <w:t>הש"ש</w:t>
      </w:r>
      <w:r>
        <w:rPr>
          <w:rFonts w:hint="cs"/>
          <w:rtl/>
        </w:rPr>
        <w:t xml:space="preserve"> </w:t>
      </w:r>
      <w:r w:rsidRPr="007A6AFC">
        <w:rPr>
          <w:rStyle w:val="af7"/>
          <w:rFonts w:eastAsia="Guttman Hodes" w:hint="cs"/>
          <w:rtl/>
        </w:rPr>
        <w:t xml:space="preserve">(עי' אות </w:t>
      </w:r>
      <w:r w:rsidRPr="007A6AFC">
        <w:rPr>
          <w:rStyle w:val="af7"/>
          <w:rFonts w:eastAsia="Guttman Hodes"/>
          <w:rtl/>
        </w:rPr>
        <w:fldChar w:fldCharType="begin"/>
      </w:r>
      <w:r w:rsidRPr="007A6AFC">
        <w:rPr>
          <w:rStyle w:val="af7"/>
          <w:rFonts w:eastAsia="Guttman Hodes"/>
          <w:rtl/>
        </w:rPr>
        <w:instrText xml:space="preserve"> </w:instrText>
      </w:r>
      <w:r w:rsidRPr="007A6AFC">
        <w:rPr>
          <w:rStyle w:val="af7"/>
          <w:rFonts w:eastAsia="Guttman Hodes" w:hint="cs"/>
        </w:rPr>
        <w:instrText>REF</w:instrText>
      </w:r>
      <w:r w:rsidRPr="007A6AFC">
        <w:rPr>
          <w:rStyle w:val="af7"/>
          <w:rFonts w:eastAsia="Guttman Hodes" w:hint="cs"/>
          <w:rtl/>
        </w:rPr>
        <w:instrText xml:space="preserve"> _</w:instrText>
      </w:r>
      <w:r w:rsidRPr="007A6AFC">
        <w:rPr>
          <w:rStyle w:val="af7"/>
          <w:rFonts w:eastAsia="Guttman Hodes" w:hint="cs"/>
        </w:rPr>
        <w:instrText>Ref522187679 \r \h</w:instrText>
      </w:r>
      <w:r w:rsidRPr="007A6AFC">
        <w:rPr>
          <w:rStyle w:val="af7"/>
          <w:rFonts w:eastAsia="Guttman Hodes"/>
          <w:rtl/>
        </w:rPr>
        <w:instrText xml:space="preserve"> </w:instrText>
      </w:r>
      <w:r w:rsidRPr="007A6AFC">
        <w:rPr>
          <w:rStyle w:val="af7"/>
          <w:rFonts w:eastAsia="Guttman Hodes"/>
          <w:rtl/>
        </w:rPr>
      </w:r>
      <w:r w:rsidRPr="007A6AFC">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7A6AFC">
        <w:rPr>
          <w:rStyle w:val="af7"/>
          <w:rFonts w:eastAsia="Guttman Hodes"/>
          <w:rtl/>
        </w:rPr>
        <w:fldChar w:fldCharType="end"/>
      </w:r>
      <w:r>
        <w:rPr>
          <w:rFonts w:hint="cs"/>
          <w:rtl/>
        </w:rPr>
        <w:t xml:space="preserve"> דבמקום שיש לה חזקת היתר מחיים, אין מחזיקין מאיסור לאיסור אף לאיסור נבילה.</w:t>
      </w:r>
    </w:p>
    <w:p w14:paraId="53EF37A7" w14:textId="77777777" w:rsidR="00852065" w:rsidRDefault="00852065" w:rsidP="00BF39B2">
      <w:pPr>
        <w:pStyle w:val="1"/>
        <w:rPr>
          <w:rtl/>
        </w:rPr>
      </w:pPr>
      <w:bookmarkStart w:id="1052" w:name="_Toc521324866"/>
      <w:bookmarkStart w:id="1053" w:name="_Toc521338167"/>
      <w:bookmarkStart w:id="1054" w:name="_Toc521361945"/>
      <w:bookmarkStart w:id="1055" w:name="_Toc522200133"/>
      <w:bookmarkStart w:id="1056" w:name="_Toc19389020"/>
      <w:bookmarkStart w:id="1057" w:name="_Toc19392517"/>
      <w:r>
        <w:rPr>
          <w:rFonts w:hint="cs"/>
          <w:rtl/>
        </w:rPr>
        <w:t>ביאור התוס' בביצה והרשב"א דמעמידים בחזקת אינו זבוח</w:t>
      </w:r>
      <w:bookmarkEnd w:id="1052"/>
      <w:bookmarkEnd w:id="1053"/>
      <w:bookmarkEnd w:id="1054"/>
      <w:bookmarkEnd w:id="1055"/>
      <w:bookmarkEnd w:id="1056"/>
      <w:bookmarkEnd w:id="1057"/>
    </w:p>
    <w:p w14:paraId="1B36D298" w14:textId="77777777" w:rsidR="00852065" w:rsidRPr="00DA637F" w:rsidRDefault="00852065" w:rsidP="006D6D32">
      <w:pPr>
        <w:pStyle w:val="a3"/>
        <w:rPr>
          <w:rtl/>
        </w:rPr>
      </w:pPr>
      <w:bookmarkStart w:id="1058" w:name="_Toc522200134"/>
      <w:bookmarkStart w:id="1059" w:name="_Toc19389021"/>
      <w:bookmarkStart w:id="1060" w:name="_Toc19392518"/>
      <w:r>
        <w:rPr>
          <w:rFonts w:hint="cs"/>
          <w:rtl/>
        </w:rPr>
        <w:t>דברי התוס' בביצה והרשב"א דכיון שיש ספק בשחיטה מעמידים בחזקת שאינה זבוחה</w:t>
      </w:r>
      <w:bookmarkEnd w:id="1058"/>
      <w:bookmarkEnd w:id="1059"/>
      <w:bookmarkEnd w:id="1060"/>
    </w:p>
    <w:p w14:paraId="2139CB4A" w14:textId="77777777" w:rsidR="00852065" w:rsidRDefault="00852065" w:rsidP="00223668">
      <w:pPr>
        <w:pStyle w:val="a0"/>
        <w:rPr>
          <w:rtl/>
        </w:rPr>
      </w:pPr>
      <w:bookmarkStart w:id="1061" w:name="_Ref522197328"/>
      <w:r>
        <w:rPr>
          <w:rStyle w:val="af9"/>
          <w:rFonts w:hint="cs"/>
          <w:rtl/>
        </w:rPr>
        <w:t>ו</w:t>
      </w:r>
      <w:r w:rsidRPr="004A3023">
        <w:rPr>
          <w:rStyle w:val="af9"/>
          <w:rFonts w:hint="cs"/>
          <w:rtl/>
        </w:rPr>
        <w:t>התוס' בביצה</w:t>
      </w:r>
      <w:r>
        <w:rPr>
          <w:rFonts w:hint="cs"/>
          <w:rtl/>
        </w:rPr>
        <w:t xml:space="preserve"> </w:t>
      </w:r>
      <w:r w:rsidRPr="002C064B">
        <w:rPr>
          <w:rStyle w:val="af9"/>
          <w:rFonts w:hint="cs"/>
          <w:rtl/>
        </w:rPr>
        <w:t>והרשב"א</w:t>
      </w:r>
      <w:r>
        <w:rPr>
          <w:rFonts w:hint="cs"/>
          <w:rtl/>
        </w:rPr>
        <w:t xml:space="preserve"> </w:t>
      </w:r>
      <w:r w:rsidRPr="002C064B">
        <w:rPr>
          <w:rStyle w:val="af7"/>
          <w:rFonts w:eastAsia="Guttman Hodes" w:hint="cs"/>
          <w:rtl/>
        </w:rPr>
        <w:t xml:space="preserve">(בסוגיין ד"ה בהמה) </w:t>
      </w:r>
      <w:r>
        <w:rPr>
          <w:rFonts w:hint="cs"/>
          <w:rtl/>
        </w:rPr>
        <w:t>ביארו דהבהמה בחזקת איסור שלא נשחטה, דהוא איסור אינו זבוח,  כיון שרק ע"י זביחה יש היתר אכילה, כדכתיב "תזבח ואכלת",</w:t>
      </w:r>
      <w:r w:rsidRPr="008F5562">
        <w:rPr>
          <w:rFonts w:hint="cs"/>
          <w:rtl/>
        </w:rPr>
        <w:t xml:space="preserve"> </w:t>
      </w:r>
      <w:r>
        <w:rPr>
          <w:rFonts w:hint="cs"/>
          <w:rtl/>
        </w:rPr>
        <w:t xml:space="preserve">והוסיף </w:t>
      </w:r>
      <w:r w:rsidRPr="00EC67BF">
        <w:rPr>
          <w:rStyle w:val="af9"/>
          <w:rFonts w:hint="cs"/>
          <w:rtl/>
        </w:rPr>
        <w:t>הרשב"א</w:t>
      </w:r>
      <w:r>
        <w:rPr>
          <w:rFonts w:hint="cs"/>
          <w:rtl/>
        </w:rPr>
        <w:t xml:space="preserve"> דעד שלא נתברר אם נשחטה כראוי בסימנים, היא עומדת באיסורה עד שיתברר שנחשחטה בשחיטה כראוי, ולכן כל שלא בדק בסימנים היא עדיין בחזקת איסור,</w:t>
      </w:r>
      <w:r w:rsidRPr="00177043">
        <w:rPr>
          <w:rFonts w:hint="cs"/>
          <w:rtl/>
        </w:rPr>
        <w:t xml:space="preserve"> </w:t>
      </w:r>
      <w:r>
        <w:rPr>
          <w:rFonts w:hint="cs"/>
          <w:rtl/>
        </w:rPr>
        <w:t xml:space="preserve">וכ"כ </w:t>
      </w:r>
      <w:r w:rsidRPr="00380397">
        <w:rPr>
          <w:rStyle w:val="af9"/>
          <w:rFonts w:hint="cs"/>
          <w:rtl/>
        </w:rPr>
        <w:t>השיטמ"ק בביצה</w:t>
      </w:r>
      <w:r>
        <w:rPr>
          <w:rFonts w:hint="cs"/>
          <w:rtl/>
        </w:rPr>
        <w:t xml:space="preserve"> דהיא בחזקת אינה שחוטה</w:t>
      </w:r>
      <w:r>
        <w:rPr>
          <w:rStyle w:val="af1"/>
          <w:rtl/>
        </w:rPr>
        <w:footnoteReference w:id="4"/>
      </w:r>
      <w:r>
        <w:rPr>
          <w:rFonts w:hint="cs"/>
          <w:rtl/>
        </w:rPr>
        <w:t>.</w:t>
      </w:r>
      <w:bookmarkEnd w:id="1061"/>
    </w:p>
    <w:p w14:paraId="4138A6F5" w14:textId="77777777" w:rsidR="00852065" w:rsidRPr="00DA637F" w:rsidRDefault="00852065" w:rsidP="006D6D32">
      <w:pPr>
        <w:pStyle w:val="a3"/>
      </w:pPr>
      <w:bookmarkStart w:id="1062" w:name="_Toc521324868"/>
      <w:bookmarkStart w:id="1063" w:name="_Toc521338169"/>
      <w:bookmarkStart w:id="1064" w:name="_Toc521361947"/>
      <w:bookmarkStart w:id="1065" w:name="_Toc522200135"/>
      <w:bookmarkStart w:id="1066" w:name="_Toc19389022"/>
      <w:bookmarkStart w:id="1067" w:name="_Toc19392519"/>
      <w:r>
        <w:rPr>
          <w:rFonts w:hint="cs"/>
          <w:rtl/>
        </w:rPr>
        <w:t>ביאור המאירי דכיון שיכולה למות בלא שחיטה אף במתה לפנינו היא בחזקת שאינה זבוחה</w:t>
      </w:r>
      <w:bookmarkEnd w:id="1062"/>
      <w:bookmarkEnd w:id="1063"/>
      <w:bookmarkEnd w:id="1064"/>
      <w:bookmarkEnd w:id="1065"/>
      <w:bookmarkEnd w:id="1066"/>
      <w:bookmarkEnd w:id="1067"/>
    </w:p>
    <w:p w14:paraId="3569CD03" w14:textId="77777777" w:rsidR="00852065" w:rsidRDefault="00852065" w:rsidP="00223668">
      <w:pPr>
        <w:pStyle w:val="a0"/>
        <w:rPr>
          <w:rtl/>
        </w:rPr>
      </w:pPr>
      <w:r>
        <w:rPr>
          <w:rStyle w:val="af9"/>
          <w:rFonts w:hint="cs"/>
          <w:rtl/>
        </w:rPr>
        <w:t>ו</w:t>
      </w:r>
      <w:r w:rsidRPr="00DA637F">
        <w:rPr>
          <w:rStyle w:val="af9"/>
          <w:rtl/>
        </w:rPr>
        <w:t xml:space="preserve">המאירי </w:t>
      </w:r>
      <w:r w:rsidRPr="00DA637F">
        <w:rPr>
          <w:rStyle w:val="af7"/>
          <w:rFonts w:eastAsia="Guttman Hodes"/>
          <w:rtl/>
        </w:rPr>
        <w:t>(בסוגיין ד"ה השוחט)</w:t>
      </w:r>
      <w:r>
        <w:rPr>
          <w:rFonts w:hint="cs"/>
          <w:rtl/>
        </w:rPr>
        <w:t xml:space="preserve"> כתב </w:t>
      </w:r>
      <w:r w:rsidRPr="00633D96">
        <w:rPr>
          <w:rStyle w:val="af9"/>
          <w:rFonts w:hint="cs"/>
          <w:rtl/>
        </w:rPr>
        <w:t>כתוס' בביצה</w:t>
      </w:r>
      <w:r>
        <w:rPr>
          <w:rFonts w:hint="cs"/>
          <w:rtl/>
        </w:rPr>
        <w:t xml:space="preserve"> דאסורה מדין אינו זבוח, </w:t>
      </w:r>
      <w:r w:rsidRPr="00DA637F">
        <w:rPr>
          <w:rtl/>
        </w:rPr>
        <w:t>וביאר  דכיון שיתכן שתמות כשאינה זבוחה, לכן אף שרואין שמתה לפנינו לא יצאה מחזקת אינו זבוח.</w:t>
      </w:r>
    </w:p>
    <w:p w14:paraId="36EAB4EC" w14:textId="77777777" w:rsidR="00852065" w:rsidRDefault="00852065" w:rsidP="006D6D32">
      <w:pPr>
        <w:pStyle w:val="a3"/>
        <w:rPr>
          <w:rtl/>
        </w:rPr>
      </w:pPr>
      <w:bookmarkStart w:id="1068" w:name="_Toc522200136"/>
      <w:bookmarkStart w:id="1069" w:name="_Toc19389023"/>
      <w:bookmarkStart w:id="1070" w:name="_Toc19392520"/>
      <w:r>
        <w:rPr>
          <w:rFonts w:hint="cs"/>
          <w:rtl/>
        </w:rPr>
        <w:t>ביאור הריטב"א והמאירי דאסורה מחיים ולאח"מ מדין אינו זבוח דאין מחזיקין מאיסור לאיסור</w:t>
      </w:r>
      <w:bookmarkEnd w:id="1068"/>
      <w:bookmarkEnd w:id="1069"/>
      <w:bookmarkEnd w:id="1070"/>
    </w:p>
    <w:p w14:paraId="652B8A7D" w14:textId="77777777" w:rsidR="00852065" w:rsidRDefault="00852065" w:rsidP="00223668">
      <w:pPr>
        <w:pStyle w:val="a0"/>
      </w:pPr>
      <w:bookmarkStart w:id="1071" w:name="_Ref522188049"/>
      <w:r>
        <w:rPr>
          <w:rFonts w:hint="cs"/>
          <w:rtl/>
        </w:rPr>
        <w:t>והוסיפו</w:t>
      </w:r>
      <w:r w:rsidRPr="00FA547C">
        <w:rPr>
          <w:rStyle w:val="af9"/>
          <w:rFonts w:hint="cs"/>
          <w:rtl/>
        </w:rPr>
        <w:t xml:space="preserve"> הריטב"א ביבמות</w:t>
      </w:r>
      <w:r>
        <w:rPr>
          <w:rFonts w:hint="cs"/>
          <w:rtl/>
        </w:rPr>
        <w:t xml:space="preserve"> </w:t>
      </w:r>
      <w:r w:rsidRPr="00FA547C">
        <w:rPr>
          <w:rStyle w:val="af7"/>
          <w:rFonts w:eastAsia="Guttman Hodes" w:hint="cs"/>
          <w:rtl/>
        </w:rPr>
        <w:t>(ל: ד"ה והקשו)</w:t>
      </w:r>
      <w:r>
        <w:rPr>
          <w:rFonts w:hint="cs"/>
          <w:rtl/>
        </w:rPr>
        <w:t xml:space="preserve"> </w:t>
      </w:r>
      <w:r w:rsidRPr="00FA547C">
        <w:rPr>
          <w:rStyle w:val="af9"/>
          <w:rFonts w:hint="cs"/>
          <w:rtl/>
        </w:rPr>
        <w:t>והמאירי ביבמות</w:t>
      </w:r>
      <w:r>
        <w:rPr>
          <w:rFonts w:hint="cs"/>
          <w:rtl/>
        </w:rPr>
        <w:t xml:space="preserve"> </w:t>
      </w:r>
      <w:r w:rsidRPr="00961817">
        <w:rPr>
          <w:rStyle w:val="af7"/>
          <w:rFonts w:eastAsia="Guttman Hodes" w:hint="cs"/>
          <w:rtl/>
        </w:rPr>
        <w:t>(ל: ד"ה יש)</w:t>
      </w:r>
      <w:r>
        <w:rPr>
          <w:rFonts w:hint="cs"/>
          <w:rtl/>
        </w:rPr>
        <w:t xml:space="preserve"> על דברי </w:t>
      </w:r>
      <w:r w:rsidRPr="00961817">
        <w:rPr>
          <w:rStyle w:val="af9"/>
          <w:rFonts w:hint="cs"/>
          <w:rtl/>
        </w:rPr>
        <w:t>התוס' בביצה</w:t>
      </w:r>
      <w:r>
        <w:rPr>
          <w:rFonts w:hint="cs"/>
          <w:rtl/>
        </w:rPr>
        <w:t xml:space="preserve"> דאין כוונת רב הונא דאסורה מדין מחזיקין מאיסור לאיסור </w:t>
      </w:r>
      <w:r w:rsidRPr="00961817">
        <w:rPr>
          <w:rStyle w:val="afb"/>
          <w:rFonts w:hint="cs"/>
          <w:rtl/>
        </w:rPr>
        <w:t xml:space="preserve">[ודלא </w:t>
      </w:r>
      <w:r w:rsidRPr="00961817">
        <w:rPr>
          <w:rStyle w:val="affa"/>
          <w:rFonts w:hint="cs"/>
          <w:rtl/>
        </w:rPr>
        <w:t>כרמב"ן והרשב"א ביבמות</w:t>
      </w:r>
      <w:r w:rsidRPr="00961817">
        <w:rPr>
          <w:rStyle w:val="aff6"/>
          <w:rFonts w:hint="cs"/>
          <w:rtl/>
        </w:rPr>
        <w:t xml:space="preserve"> (עי' אות </w:t>
      </w:r>
      <w:r w:rsidRPr="00961817">
        <w:rPr>
          <w:rStyle w:val="aff6"/>
          <w:rtl/>
        </w:rPr>
        <w:fldChar w:fldCharType="begin"/>
      </w:r>
      <w:r w:rsidRPr="00961817">
        <w:rPr>
          <w:rStyle w:val="aff6"/>
          <w:rtl/>
        </w:rPr>
        <w:instrText xml:space="preserve"> </w:instrText>
      </w:r>
      <w:r w:rsidRPr="00961817">
        <w:rPr>
          <w:rStyle w:val="aff6"/>
          <w:rFonts w:hint="cs"/>
        </w:rPr>
        <w:instrText>REF</w:instrText>
      </w:r>
      <w:r w:rsidRPr="00961817">
        <w:rPr>
          <w:rStyle w:val="aff6"/>
          <w:rFonts w:hint="cs"/>
          <w:rtl/>
        </w:rPr>
        <w:instrText xml:space="preserve"> _</w:instrText>
      </w:r>
      <w:r w:rsidRPr="00961817">
        <w:rPr>
          <w:rStyle w:val="aff6"/>
          <w:rFonts w:hint="cs"/>
        </w:rPr>
        <w:instrText>Ref521598824 \r \h</w:instrText>
      </w:r>
      <w:r w:rsidRPr="00961817">
        <w:rPr>
          <w:rStyle w:val="aff6"/>
          <w:rtl/>
        </w:rPr>
        <w:instrText xml:space="preserve"> </w:instrText>
      </w:r>
      <w:r w:rsidRPr="00961817">
        <w:rPr>
          <w:rStyle w:val="aff6"/>
          <w:rtl/>
        </w:rPr>
      </w:r>
      <w:r w:rsidRPr="00961817">
        <w:rPr>
          <w:rStyle w:val="aff6"/>
          <w:rtl/>
        </w:rPr>
        <w:fldChar w:fldCharType="separate"/>
      </w:r>
      <w:r w:rsidR="00345400">
        <w:rPr>
          <w:rStyle w:val="aff6"/>
          <w:rFonts w:hint="cs"/>
          <w:b/>
          <w:bCs/>
          <w:rtl/>
        </w:rPr>
        <w:t>שגיאה! מקור ההפניה לא נמצא.</w:t>
      </w:r>
      <w:r w:rsidRPr="00961817">
        <w:rPr>
          <w:rStyle w:val="aff6"/>
          <w:rtl/>
        </w:rPr>
        <w:fldChar w:fldCharType="end"/>
      </w:r>
      <w:r w:rsidRPr="00961817">
        <w:rPr>
          <w:rStyle w:val="afb"/>
          <w:rFonts w:hint="cs"/>
          <w:rtl/>
        </w:rPr>
        <w:t>]</w:t>
      </w:r>
      <w:r>
        <w:rPr>
          <w:rFonts w:hint="cs"/>
          <w:rtl/>
        </w:rPr>
        <w:t xml:space="preserve"> אלא היא עומדת בחזקת אינו זבוח, שהייתה אסורה בו בין מחיים ובין לאחר מיתה</w:t>
      </w:r>
      <w:r>
        <w:rPr>
          <w:rStyle w:val="af1"/>
          <w:rtl/>
        </w:rPr>
        <w:footnoteReference w:id="5"/>
      </w:r>
      <w:r>
        <w:rPr>
          <w:rFonts w:hint="cs"/>
          <w:rtl/>
        </w:rPr>
        <w:t>.</w:t>
      </w:r>
      <w:bookmarkEnd w:id="1071"/>
    </w:p>
    <w:p w14:paraId="526CC58F" w14:textId="77777777" w:rsidR="00852065" w:rsidRDefault="00852065" w:rsidP="006D6D32">
      <w:pPr>
        <w:pStyle w:val="a3"/>
        <w:rPr>
          <w:rtl/>
        </w:rPr>
      </w:pPr>
      <w:bookmarkStart w:id="1072" w:name="_Toc521324869"/>
      <w:bookmarkStart w:id="1073" w:name="_Toc521338170"/>
      <w:bookmarkStart w:id="1074" w:name="_Toc521361951"/>
      <w:bookmarkStart w:id="1075" w:name="_Toc522200137"/>
      <w:bookmarkStart w:id="1076" w:name="_Toc19389024"/>
      <w:bookmarkStart w:id="1077" w:name="_Toc19392521"/>
      <w:r>
        <w:rPr>
          <w:rFonts w:hint="cs"/>
          <w:rtl/>
        </w:rPr>
        <w:t>דחיית השיטמ</w:t>
      </w:r>
      <w:r>
        <w:rPr>
          <w:rtl/>
        </w:rPr>
        <w:t>"</w:t>
      </w:r>
      <w:r>
        <w:rPr>
          <w:rFonts w:hint="cs"/>
          <w:rtl/>
        </w:rPr>
        <w:t>ק דכיון שמחיים האיסור הוא אבמה"ח א"א להעמידה באינו זבוח</w:t>
      </w:r>
      <w:bookmarkEnd w:id="1072"/>
      <w:bookmarkEnd w:id="1073"/>
      <w:bookmarkEnd w:id="1074"/>
      <w:bookmarkEnd w:id="1075"/>
      <w:bookmarkEnd w:id="1076"/>
      <w:bookmarkEnd w:id="1077"/>
    </w:p>
    <w:p w14:paraId="31E3EB39" w14:textId="77777777" w:rsidR="00852065" w:rsidRDefault="00852065" w:rsidP="00223668">
      <w:pPr>
        <w:pStyle w:val="a0"/>
        <w:rPr>
          <w:rtl/>
        </w:rPr>
      </w:pPr>
      <w:r w:rsidRPr="00425051">
        <w:rPr>
          <w:rStyle w:val="af9"/>
          <w:rFonts w:hint="cs"/>
          <w:rtl/>
        </w:rPr>
        <w:t>וה</w:t>
      </w:r>
      <w:r>
        <w:rPr>
          <w:rStyle w:val="af9"/>
          <w:rFonts w:hint="cs"/>
          <w:rtl/>
        </w:rPr>
        <w:t>שיטמ</w:t>
      </w:r>
      <w:r>
        <w:rPr>
          <w:rStyle w:val="af9"/>
          <w:rtl/>
        </w:rPr>
        <w:t>"</w:t>
      </w:r>
      <w:r>
        <w:rPr>
          <w:rStyle w:val="af9"/>
          <w:rFonts w:hint="cs"/>
          <w:rtl/>
        </w:rPr>
        <w:t>ק</w:t>
      </w:r>
      <w:r w:rsidRPr="00744B7C">
        <w:rPr>
          <w:rFonts w:hint="cs"/>
          <w:rtl/>
        </w:rPr>
        <w:t xml:space="preserve"> </w:t>
      </w:r>
      <w:r w:rsidRPr="00744B7C">
        <w:rPr>
          <w:rStyle w:val="af7"/>
          <w:rFonts w:eastAsia="Guttman Hodes" w:hint="cs"/>
          <w:rtl/>
        </w:rPr>
        <w:t>(ריש עמ' קכ"ב)</w:t>
      </w:r>
      <w:r w:rsidRPr="00744B7C">
        <w:rPr>
          <w:rFonts w:hint="cs"/>
          <w:rtl/>
        </w:rPr>
        <w:t xml:space="preserve"> דחה את ביאור </w:t>
      </w:r>
      <w:r w:rsidRPr="00744B7C">
        <w:rPr>
          <w:rStyle w:val="af9"/>
          <w:rFonts w:hint="cs"/>
          <w:rtl/>
        </w:rPr>
        <w:t>התוס' בביצה והרשב"א</w:t>
      </w:r>
      <w:r w:rsidRPr="00744B7C">
        <w:rPr>
          <w:rFonts w:hint="cs"/>
          <w:rtl/>
        </w:rPr>
        <w:t>, וכתב דא"א לומר דהבהמה מעיקרא בחזקת שאינה זבוחה, דהא מחיים עיקר</w:t>
      </w:r>
      <w:r>
        <w:rPr>
          <w:rFonts w:hint="cs"/>
          <w:rtl/>
        </w:rPr>
        <w:t xml:space="preserve"> האיסור שלה הוא אבר מן החי, ואין בה איסור שאינה זבוחה, אלא ודאי דבחזקת איסור קיימא היינו בחזקת אבר מן החי.</w:t>
      </w:r>
    </w:p>
    <w:p w14:paraId="0FC3AF3E" w14:textId="77777777" w:rsidR="00852065" w:rsidRDefault="00852065" w:rsidP="006D6D32">
      <w:pPr>
        <w:pStyle w:val="a3"/>
        <w:rPr>
          <w:rtl/>
        </w:rPr>
      </w:pPr>
      <w:bookmarkStart w:id="1078" w:name="_Toc522200138"/>
      <w:bookmarkStart w:id="1079" w:name="_Toc19389025"/>
      <w:bookmarkStart w:id="1080" w:name="_Toc19392522"/>
      <w:r>
        <w:rPr>
          <w:rFonts w:hint="cs"/>
          <w:rtl/>
        </w:rPr>
        <w:t>ביאור הריטב"א דמחיים אסורה באינו זבוח כמו באבמה"ח ולכן מעמידים אותה בחזקתה</w:t>
      </w:r>
      <w:bookmarkEnd w:id="1078"/>
      <w:bookmarkEnd w:id="1079"/>
      <w:bookmarkEnd w:id="1080"/>
    </w:p>
    <w:p w14:paraId="6126A694" w14:textId="77777777" w:rsidR="00852065" w:rsidRDefault="00852065" w:rsidP="00223668">
      <w:pPr>
        <w:pStyle w:val="a0"/>
      </w:pPr>
      <w:r>
        <w:rPr>
          <w:rStyle w:val="af9"/>
          <w:rFonts w:hint="cs"/>
          <w:rtl/>
        </w:rPr>
        <w:t>וב</w:t>
      </w:r>
      <w:r w:rsidRPr="00710F87">
        <w:rPr>
          <w:rStyle w:val="af9"/>
          <w:rFonts w:hint="cs"/>
          <w:rtl/>
        </w:rPr>
        <w:t xml:space="preserve">ריטב"א ביבמות </w:t>
      </w:r>
      <w:r w:rsidRPr="00710F87">
        <w:rPr>
          <w:rStyle w:val="af7"/>
          <w:rFonts w:eastAsia="Guttman Hodes" w:hint="cs"/>
          <w:rtl/>
        </w:rPr>
        <w:t>(ל: ד"ה והקשו)</w:t>
      </w:r>
      <w:r>
        <w:rPr>
          <w:rFonts w:hint="cs"/>
          <w:rtl/>
        </w:rPr>
        <w:t xml:space="preserve"> ביאר דכמו שבחייה אסורה הבהמה באיסור אבר מן החי, כך היא מוחזקת בחזקת שלא האיסור אינו זבוח דכתיב "וזבחת" שהוא איסור אף מחיים, ולכן מעמידים אותה בחזקת שאינה זבוחה בין מחיים ובין לאחר מיתה, כל זמן שלא נתברר שנשחטה כראוי. </w:t>
      </w:r>
    </w:p>
    <w:p w14:paraId="22D1596E" w14:textId="77777777" w:rsidR="00852065" w:rsidRDefault="00852065" w:rsidP="006D6D32">
      <w:pPr>
        <w:pStyle w:val="a3"/>
      </w:pPr>
      <w:bookmarkStart w:id="1081" w:name="_Toc521338171"/>
      <w:bookmarkStart w:id="1082" w:name="_Toc521361948"/>
      <w:bookmarkStart w:id="1083" w:name="_Toc522200139"/>
      <w:bookmarkStart w:id="1084" w:name="_Toc19389026"/>
      <w:bookmarkStart w:id="1085" w:name="_Toc19392523"/>
      <w:bookmarkStart w:id="1086" w:name="_Toc521324870"/>
      <w:r>
        <w:rPr>
          <w:rFonts w:hint="cs"/>
          <w:rtl/>
        </w:rPr>
        <w:t>קושית הפנ"י דאינו זבוח אינו חזקת איסור דהא אף בלא חזקה אסורה דספק דאו' לחומרא</w:t>
      </w:r>
      <w:bookmarkEnd w:id="1081"/>
      <w:bookmarkEnd w:id="1082"/>
      <w:bookmarkEnd w:id="1083"/>
      <w:bookmarkEnd w:id="1084"/>
      <w:bookmarkEnd w:id="1085"/>
    </w:p>
    <w:p w14:paraId="54608662" w14:textId="77777777" w:rsidR="00852065" w:rsidRDefault="00852065" w:rsidP="00223668">
      <w:pPr>
        <w:pStyle w:val="a0"/>
        <w:rPr>
          <w:rtl/>
        </w:rPr>
      </w:pPr>
      <w:r>
        <w:rPr>
          <w:rStyle w:val="af9"/>
          <w:rFonts w:hint="cs"/>
          <w:rtl/>
        </w:rPr>
        <w:t>ו</w:t>
      </w:r>
      <w:r w:rsidRPr="0017799F">
        <w:rPr>
          <w:rStyle w:val="af9"/>
          <w:rFonts w:hint="cs"/>
          <w:rtl/>
        </w:rPr>
        <w:t>הפנ"י</w:t>
      </w:r>
      <w:r>
        <w:rPr>
          <w:rFonts w:hint="cs"/>
          <w:rtl/>
        </w:rPr>
        <w:t xml:space="preserve"> </w:t>
      </w:r>
      <w:r w:rsidRPr="0017799F">
        <w:rPr>
          <w:rStyle w:val="af7"/>
          <w:rFonts w:eastAsia="Guttman Hodes" w:hint="cs"/>
          <w:rtl/>
        </w:rPr>
        <w:t>(</w:t>
      </w:r>
      <w:r>
        <w:rPr>
          <w:rStyle w:val="af7"/>
          <w:rFonts w:eastAsia="Guttman Hodes" w:hint="cs"/>
          <w:rtl/>
        </w:rPr>
        <w:t xml:space="preserve">ביצה כה. </w:t>
      </w:r>
      <w:r w:rsidRPr="0017799F">
        <w:rPr>
          <w:rStyle w:val="af7"/>
          <w:rFonts w:eastAsia="Guttman Hodes" w:hint="cs"/>
          <w:rtl/>
        </w:rPr>
        <w:t>על תוד"ה בחזקת)</w:t>
      </w:r>
      <w:r>
        <w:rPr>
          <w:rFonts w:hint="cs"/>
          <w:rtl/>
        </w:rPr>
        <w:t xml:space="preserve"> הקשה על </w:t>
      </w:r>
      <w:r w:rsidRPr="00B76822">
        <w:rPr>
          <w:rStyle w:val="af9"/>
          <w:rFonts w:hint="cs"/>
          <w:rtl/>
        </w:rPr>
        <w:t>התוס' בביצה</w:t>
      </w:r>
      <w:r>
        <w:rPr>
          <w:rFonts w:hint="cs"/>
          <w:rtl/>
        </w:rPr>
        <w:t xml:space="preserve"> דמנא להו דאיסור אינו זבוח חשיב חזקת איסור, הרי כיון דלדבריהם איסור אבר מן החי נסתלק בתחילת השחיטה, א"כ אף שנולד ספק בשחיטה אינה בחזקת איסור, אלא דכיון שרק ע"י שחיטה כראוי הבהמה מותרת, לכן אף שיש ספק השקול בשחיטה ואין חזקת היתר או חזקת איסור הבהמה אסורה, וכדעת </w:t>
      </w:r>
      <w:r w:rsidRPr="0017799F">
        <w:rPr>
          <w:rStyle w:val="af9"/>
          <w:rFonts w:hint="cs"/>
          <w:rtl/>
        </w:rPr>
        <w:t>התוס'</w:t>
      </w:r>
      <w:r>
        <w:rPr>
          <w:rFonts w:hint="cs"/>
          <w:rtl/>
        </w:rPr>
        <w:t xml:space="preserve"> בכמה מקומות </w:t>
      </w:r>
      <w:r w:rsidRPr="0017799F">
        <w:rPr>
          <w:rStyle w:val="afb"/>
          <w:rFonts w:hint="cs"/>
          <w:rtl/>
        </w:rPr>
        <w:t>[</w:t>
      </w:r>
      <w:r w:rsidRPr="002A2C2B">
        <w:rPr>
          <w:rStyle w:val="affa"/>
          <w:rFonts w:hint="cs"/>
          <w:rtl/>
        </w:rPr>
        <w:t>כהרשב"א</w:t>
      </w:r>
      <w:r w:rsidRPr="0017799F">
        <w:rPr>
          <w:rStyle w:val="afb"/>
          <w:rFonts w:hint="cs"/>
          <w:rtl/>
        </w:rPr>
        <w:t xml:space="preserve"> ודלא </w:t>
      </w:r>
      <w:r w:rsidRPr="002A2C2B">
        <w:rPr>
          <w:rStyle w:val="affa"/>
          <w:rFonts w:hint="cs"/>
          <w:rtl/>
        </w:rPr>
        <w:t>כהרמב"ם</w:t>
      </w:r>
      <w:r w:rsidRPr="0017799F">
        <w:rPr>
          <w:rStyle w:val="afb"/>
          <w:rFonts w:hint="cs"/>
          <w:rtl/>
        </w:rPr>
        <w:t>]</w:t>
      </w:r>
      <w:r>
        <w:rPr>
          <w:rFonts w:hint="cs"/>
          <w:rtl/>
        </w:rPr>
        <w:t xml:space="preserve"> דספק דאו' מדאו' לחומרא.</w:t>
      </w:r>
    </w:p>
    <w:p w14:paraId="16104B00" w14:textId="77777777" w:rsidR="00852065" w:rsidRPr="00961A93" w:rsidRDefault="00852065" w:rsidP="006D6D32">
      <w:pPr>
        <w:pStyle w:val="a3"/>
      </w:pPr>
      <w:bookmarkStart w:id="1087" w:name="_Toc521338172"/>
      <w:bookmarkStart w:id="1088" w:name="_Toc521361949"/>
      <w:bookmarkStart w:id="1089" w:name="_Toc522200140"/>
      <w:bookmarkStart w:id="1090" w:name="_Toc19389027"/>
      <w:bookmarkStart w:id="1091" w:name="_Toc19392524"/>
      <w:r>
        <w:rPr>
          <w:rFonts w:hint="cs"/>
          <w:rtl/>
        </w:rPr>
        <w:t>דברי הפנ"י דמדברי רב הונא  דאמר בחזקת איסור מוכח כרש"י דמחזיקין מאיסור אבמה"ח</w:t>
      </w:r>
      <w:bookmarkEnd w:id="1087"/>
      <w:bookmarkEnd w:id="1088"/>
      <w:bookmarkEnd w:id="1089"/>
      <w:bookmarkEnd w:id="1090"/>
      <w:bookmarkEnd w:id="1091"/>
    </w:p>
    <w:p w14:paraId="0A19F9F9" w14:textId="77777777" w:rsidR="00852065" w:rsidRDefault="00852065" w:rsidP="00223668">
      <w:pPr>
        <w:pStyle w:val="a0"/>
        <w:rPr>
          <w:rtl/>
        </w:rPr>
      </w:pPr>
      <w:r>
        <w:rPr>
          <w:rFonts w:hint="cs"/>
          <w:rtl/>
        </w:rPr>
        <w:t xml:space="preserve">וכתב </w:t>
      </w:r>
      <w:r w:rsidRPr="00961A93">
        <w:rPr>
          <w:rStyle w:val="af9"/>
          <w:rFonts w:hint="cs"/>
          <w:rtl/>
        </w:rPr>
        <w:t>הפנ"י</w:t>
      </w:r>
      <w:r>
        <w:rPr>
          <w:rFonts w:hint="cs"/>
          <w:rtl/>
        </w:rPr>
        <w:t xml:space="preserve"> דא"כ מבואר כדעת </w:t>
      </w:r>
      <w:r w:rsidRPr="00961A93">
        <w:rPr>
          <w:rStyle w:val="af9"/>
          <w:rFonts w:hint="cs"/>
          <w:rtl/>
        </w:rPr>
        <w:t>רש"י</w:t>
      </w:r>
      <w:r>
        <w:rPr>
          <w:rFonts w:hint="cs"/>
          <w:rtl/>
        </w:rPr>
        <w:t xml:space="preserve"> דהאיסור הוא מדין אבר מן החי, דכיון דאמר רב הונא דהבהמה בחזקת איסור מוכח דכוונתו לאיסור אבר מן החי, דאי האיסור הוא מדין ספק בשחיטה אי"ז חזקת איסור, אלא הוא דין ספק דאו' לחומרא.</w:t>
      </w:r>
    </w:p>
    <w:p w14:paraId="21977710" w14:textId="77777777" w:rsidR="00852065" w:rsidRDefault="00852065" w:rsidP="00BF39B2">
      <w:pPr>
        <w:pStyle w:val="1"/>
        <w:rPr>
          <w:rtl/>
        </w:rPr>
      </w:pPr>
      <w:bookmarkStart w:id="1092" w:name="_Toc521324873"/>
      <w:bookmarkStart w:id="1093" w:name="_Toc521338180"/>
      <w:bookmarkStart w:id="1094" w:name="_Toc521361950"/>
      <w:bookmarkStart w:id="1095" w:name="_Toc522200141"/>
      <w:bookmarkStart w:id="1096" w:name="_Toc19389028"/>
      <w:bookmarkStart w:id="1097" w:name="_Toc19392525"/>
      <w:bookmarkStart w:id="1098" w:name="_Toc521338173"/>
      <w:r>
        <w:rPr>
          <w:rFonts w:hint="cs"/>
          <w:rtl/>
        </w:rPr>
        <w:t>ביאור השיטמ</w:t>
      </w:r>
      <w:r>
        <w:rPr>
          <w:rtl/>
        </w:rPr>
        <w:t>"</w:t>
      </w:r>
      <w:r>
        <w:rPr>
          <w:rFonts w:hint="cs"/>
          <w:rtl/>
        </w:rPr>
        <w:t>ק בדעת רש"י</w:t>
      </w:r>
      <w:bookmarkEnd w:id="1092"/>
      <w:bookmarkEnd w:id="1093"/>
      <w:bookmarkEnd w:id="1094"/>
      <w:bookmarkEnd w:id="1095"/>
      <w:bookmarkEnd w:id="1096"/>
      <w:bookmarkEnd w:id="1097"/>
    </w:p>
    <w:p w14:paraId="4ABF5DBB" w14:textId="77777777" w:rsidR="00852065" w:rsidRDefault="00852065" w:rsidP="006D6D32">
      <w:pPr>
        <w:pStyle w:val="a3"/>
        <w:rPr>
          <w:rtl/>
        </w:rPr>
      </w:pPr>
      <w:bookmarkStart w:id="1099" w:name="_Toc521361952"/>
      <w:bookmarkStart w:id="1100" w:name="_Toc522200142"/>
      <w:bookmarkStart w:id="1101" w:name="_Toc19389029"/>
      <w:bookmarkStart w:id="1102" w:name="_Toc19392526"/>
      <w:r>
        <w:rPr>
          <w:rFonts w:hint="cs"/>
          <w:rtl/>
        </w:rPr>
        <w:t>תירוץ השיטמ"ק בדעת רש"י דאף שמתה מ"מ אין לה חזקה שאפשר להתיר בה את הספק</w:t>
      </w:r>
      <w:bookmarkEnd w:id="1099"/>
      <w:bookmarkEnd w:id="1100"/>
      <w:bookmarkEnd w:id="1101"/>
      <w:bookmarkEnd w:id="1102"/>
    </w:p>
    <w:p w14:paraId="2A7B9C43" w14:textId="77777777" w:rsidR="00852065" w:rsidRDefault="00852065" w:rsidP="00246D9F">
      <w:pPr>
        <w:pStyle w:val="a0"/>
        <w:rPr>
          <w:rtl/>
        </w:rPr>
      </w:pPr>
      <w:bookmarkStart w:id="1103" w:name="_Ref522197228"/>
      <w:r>
        <w:rPr>
          <w:rStyle w:val="af9"/>
          <w:rFonts w:hint="cs"/>
          <w:rtl/>
        </w:rPr>
        <w:t>ו</w:t>
      </w:r>
      <w:r w:rsidRPr="00787AA6">
        <w:rPr>
          <w:rStyle w:val="af9"/>
          <w:rFonts w:hint="cs"/>
          <w:rtl/>
        </w:rPr>
        <w:t>בשיטמ</w:t>
      </w:r>
      <w:r w:rsidRPr="00787AA6">
        <w:rPr>
          <w:rStyle w:val="af9"/>
          <w:rtl/>
        </w:rPr>
        <w:t>"</w:t>
      </w:r>
      <w:r w:rsidRPr="00787AA6">
        <w:rPr>
          <w:rStyle w:val="af9"/>
          <w:rFonts w:hint="cs"/>
          <w:rtl/>
        </w:rPr>
        <w:t>ק</w:t>
      </w:r>
      <w:r w:rsidRPr="00787AA6">
        <w:rPr>
          <w:rFonts w:hint="cs"/>
          <w:rtl/>
        </w:rPr>
        <w:t xml:space="preserve"> </w:t>
      </w:r>
      <w:r w:rsidRPr="00787AA6">
        <w:rPr>
          <w:rStyle w:val="af7"/>
          <w:rFonts w:eastAsia="Guttman Hodes" w:hint="cs"/>
          <w:rtl/>
        </w:rPr>
        <w:t>(עמ' קי"ט ד"ה כתב עוד ז"ל)</w:t>
      </w:r>
      <w:r w:rsidRPr="00787AA6">
        <w:rPr>
          <w:rFonts w:hint="cs"/>
          <w:rtl/>
        </w:rPr>
        <w:t xml:space="preserve"> כתב לתרץ את קושית </w:t>
      </w:r>
      <w:r w:rsidRPr="00787AA6">
        <w:rPr>
          <w:rStyle w:val="af9"/>
          <w:rFonts w:hint="cs"/>
          <w:rtl/>
        </w:rPr>
        <w:t>התוס' בביצה והרשב"א</w:t>
      </w:r>
      <w:r w:rsidRPr="00787AA6">
        <w:rPr>
          <w:rFonts w:hint="cs"/>
          <w:rtl/>
        </w:rPr>
        <w:t xml:space="preserve"> דס"ל </w:t>
      </w:r>
      <w:r w:rsidRPr="00787AA6">
        <w:rPr>
          <w:rStyle w:val="af9"/>
          <w:rFonts w:hint="cs"/>
          <w:rtl/>
        </w:rPr>
        <w:t>לרש"י</w:t>
      </w:r>
      <w:r w:rsidRPr="00787AA6">
        <w:rPr>
          <w:rFonts w:hint="cs"/>
          <w:rtl/>
        </w:rPr>
        <w:t xml:space="preserve"> דכל</w:t>
      </w:r>
      <w:r>
        <w:rPr>
          <w:rFonts w:hint="cs"/>
          <w:rtl/>
        </w:rPr>
        <w:t xml:space="preserve"> שהיה עליה איסור אבר מן החי, ויש ספק אם נשחטה כראוי לכן אף שיצאה מכלל איסור אבר מן החי עדיין לא נכנסה לכלל היתר, ובכה"ג אמרינן דמחזיקין מאיסור לאיסור, דכל מה שאפשר להתיר ספיקות הוא ע"י שמעמידים אותם על החזקת היתר שהייתה בהם מתחילה, אבל </w:t>
      </w:r>
      <w:r>
        <w:rPr>
          <w:rtl/>
        </w:rPr>
        <w:t>בספק בשחיטה</w:t>
      </w:r>
      <w:r>
        <w:rPr>
          <w:rFonts w:hint="cs"/>
          <w:rtl/>
        </w:rPr>
        <w:t xml:space="preserve"> שלא הייתה לה מעולם חזקת היתר כל שיש לנו ספק א"א להתירה, ולכן היא אסורה ועומדת עד שיתברר אם נשחטה כראוי, [ועי' במה שביאר לפי"ז </w:t>
      </w:r>
      <w:r w:rsidRPr="00900325">
        <w:rPr>
          <w:rStyle w:val="af9"/>
          <w:rFonts w:hint="cs"/>
          <w:rtl/>
        </w:rPr>
        <w:t>ה</w:t>
      </w:r>
      <w:r>
        <w:rPr>
          <w:rStyle w:val="af9"/>
          <w:rFonts w:hint="cs"/>
          <w:rtl/>
        </w:rPr>
        <w:t>שיטמ</w:t>
      </w:r>
      <w:r>
        <w:rPr>
          <w:rStyle w:val="af9"/>
          <w:rtl/>
        </w:rPr>
        <w:t>"</w:t>
      </w:r>
      <w:r>
        <w:rPr>
          <w:rStyle w:val="af9"/>
          <w:rFonts w:hint="cs"/>
          <w:rtl/>
        </w:rPr>
        <w:t>ק</w:t>
      </w:r>
      <w:r>
        <w:rPr>
          <w:rFonts w:hint="cs"/>
          <w:rtl/>
        </w:rPr>
        <w:t xml:space="preserve"> </w:t>
      </w:r>
      <w:r w:rsidRPr="00C14000">
        <w:rPr>
          <w:rStyle w:val="af7"/>
          <w:rFonts w:eastAsia="Guttman Hodes" w:hint="cs"/>
          <w:rtl/>
        </w:rPr>
        <w:t xml:space="preserve">(הובא </w:t>
      </w:r>
      <w:r w:rsidR="00246D9F">
        <w:rPr>
          <w:rStyle w:val="af7"/>
          <w:rFonts w:eastAsia="Guttman Hodes" w:hint="cs"/>
          <w:rtl/>
        </w:rPr>
        <w:t>ב</w:t>
      </w:r>
      <w:r w:rsidRPr="00C14000">
        <w:rPr>
          <w:rStyle w:val="af7"/>
          <w:rFonts w:eastAsia="Guttman Hodes" w:hint="cs"/>
          <w:rtl/>
        </w:rPr>
        <w:t xml:space="preserve">סימן </w:t>
      </w:r>
      <w:r w:rsidRPr="00CB5F03">
        <w:rPr>
          <w:rStyle w:val="af7"/>
          <w:rFonts w:eastAsia="Guttman Hodes" w:hint="cs"/>
          <w:rtl/>
        </w:rPr>
        <w:t xml:space="preserve">א' אות </w:t>
      </w:r>
      <w:r w:rsidRPr="00CB5F03">
        <w:rPr>
          <w:rStyle w:val="af7"/>
          <w:rFonts w:eastAsia="Guttman Hodes"/>
          <w:rtl/>
        </w:rPr>
        <w:fldChar w:fldCharType="begin"/>
      </w:r>
      <w:r w:rsidRPr="00CB5F03">
        <w:rPr>
          <w:rStyle w:val="af7"/>
          <w:rFonts w:eastAsia="Guttman Hodes"/>
          <w:rtl/>
        </w:rPr>
        <w:instrText xml:space="preserve"> </w:instrText>
      </w:r>
      <w:r w:rsidRPr="00CB5F03">
        <w:rPr>
          <w:rStyle w:val="af7"/>
          <w:rFonts w:eastAsia="Guttman Hodes"/>
        </w:rPr>
        <w:instrText>REF</w:instrText>
      </w:r>
      <w:r w:rsidRPr="00CB5F03">
        <w:rPr>
          <w:rStyle w:val="af7"/>
          <w:rFonts w:eastAsia="Guttman Hodes"/>
          <w:rtl/>
        </w:rPr>
        <w:instrText xml:space="preserve"> _</w:instrText>
      </w:r>
      <w:r w:rsidRPr="00CB5F03">
        <w:rPr>
          <w:rStyle w:val="af7"/>
          <w:rFonts w:eastAsia="Guttman Hodes"/>
        </w:rPr>
        <w:instrText>Ref522262262 \r \h</w:instrText>
      </w:r>
      <w:r w:rsidRPr="00CB5F03">
        <w:rPr>
          <w:rStyle w:val="af7"/>
          <w:rFonts w:eastAsia="Guttman Hodes"/>
          <w:rtl/>
        </w:rPr>
        <w:instrText xml:space="preserve"> </w:instrText>
      </w:r>
      <w:r w:rsidRPr="00CB5F03">
        <w:rPr>
          <w:rStyle w:val="af7"/>
          <w:rFonts w:eastAsia="Guttman Hodes"/>
          <w:rtl/>
        </w:rPr>
      </w:r>
      <w:r w:rsidRPr="00CB5F03">
        <w:rPr>
          <w:rStyle w:val="af7"/>
          <w:rFonts w:eastAsia="Guttman Hodes"/>
          <w:rtl/>
        </w:rPr>
        <w:fldChar w:fldCharType="separate"/>
      </w:r>
      <w:r w:rsidR="00345400">
        <w:rPr>
          <w:rStyle w:val="af7"/>
          <w:rFonts w:eastAsia="Guttman Hodes"/>
          <w:cs/>
        </w:rPr>
        <w:t>‎</w:t>
      </w:r>
      <w:r w:rsidR="00345400">
        <w:rPr>
          <w:rStyle w:val="af7"/>
          <w:rFonts w:eastAsia="Guttman Hodes"/>
          <w:rtl/>
        </w:rPr>
        <w:t>יד)</w:t>
      </w:r>
      <w:r w:rsidRPr="00CB5F03">
        <w:rPr>
          <w:rStyle w:val="af7"/>
          <w:rFonts w:eastAsia="Guttman Hodes"/>
          <w:rtl/>
        </w:rPr>
        <w:fldChar w:fldCharType="end"/>
      </w:r>
      <w:r w:rsidRPr="001125DD">
        <w:rPr>
          <w:rtl/>
        </w:rPr>
        <w:t xml:space="preserve"> </w:t>
      </w:r>
      <w:r>
        <w:rPr>
          <w:rFonts w:hint="cs"/>
          <w:rtl/>
        </w:rPr>
        <w:t xml:space="preserve">בדברי </w:t>
      </w:r>
      <w:r w:rsidRPr="00900325">
        <w:rPr>
          <w:rStyle w:val="af9"/>
          <w:rtl/>
        </w:rPr>
        <w:t>רש"י</w:t>
      </w:r>
      <w:r>
        <w:rPr>
          <w:rFonts w:hint="cs"/>
          <w:rtl/>
        </w:rPr>
        <w:t xml:space="preserve"> </w:t>
      </w:r>
      <w:r w:rsidR="00246D9F">
        <w:rPr>
          <w:rStyle w:val="af7"/>
          <w:rFonts w:eastAsia="Guttman Hodes" w:hint="cs"/>
          <w:rtl/>
        </w:rPr>
        <w:t>(הובא ב</w:t>
      </w:r>
      <w:r w:rsidRPr="00C14000">
        <w:rPr>
          <w:rStyle w:val="af7"/>
          <w:rFonts w:eastAsia="Guttman Hodes" w:hint="cs"/>
          <w:rtl/>
        </w:rPr>
        <w:t xml:space="preserve">סימן א' </w:t>
      </w:r>
      <w:r w:rsidRPr="00CB5F03">
        <w:rPr>
          <w:rStyle w:val="af7"/>
          <w:rFonts w:eastAsia="Guttman Hodes" w:hint="cs"/>
          <w:rtl/>
        </w:rPr>
        <w:t xml:space="preserve">אות </w:t>
      </w:r>
      <w:r w:rsidRPr="00CB5F03">
        <w:rPr>
          <w:rStyle w:val="af7"/>
          <w:rFonts w:eastAsia="Guttman Hodes"/>
          <w:rtl/>
        </w:rPr>
        <w:fldChar w:fldCharType="begin"/>
      </w:r>
      <w:r w:rsidRPr="00CB5F03">
        <w:rPr>
          <w:rStyle w:val="af7"/>
          <w:rFonts w:eastAsia="Guttman Hodes"/>
          <w:rtl/>
        </w:rPr>
        <w:instrText xml:space="preserve"> </w:instrText>
      </w:r>
      <w:r w:rsidRPr="00CB5F03">
        <w:rPr>
          <w:rStyle w:val="af7"/>
          <w:rFonts w:eastAsia="Guttman Hodes"/>
        </w:rPr>
        <w:instrText>REF</w:instrText>
      </w:r>
      <w:r w:rsidRPr="00CB5F03">
        <w:rPr>
          <w:rStyle w:val="af7"/>
          <w:rFonts w:eastAsia="Guttman Hodes"/>
          <w:rtl/>
        </w:rPr>
        <w:instrText xml:space="preserve"> _</w:instrText>
      </w:r>
      <w:r w:rsidRPr="00CB5F03">
        <w:rPr>
          <w:rStyle w:val="af7"/>
          <w:rFonts w:eastAsia="Guttman Hodes"/>
        </w:rPr>
        <w:instrText>Ref521920654 \r \h</w:instrText>
      </w:r>
      <w:r w:rsidRPr="00CB5F03">
        <w:rPr>
          <w:rStyle w:val="af7"/>
          <w:rFonts w:eastAsia="Guttman Hodes"/>
          <w:rtl/>
        </w:rPr>
        <w:instrText xml:space="preserve"> </w:instrText>
      </w:r>
      <w:r w:rsidRPr="00CB5F03">
        <w:rPr>
          <w:rStyle w:val="af7"/>
          <w:rFonts w:eastAsia="Guttman Hodes"/>
          <w:rtl/>
        </w:rPr>
      </w:r>
      <w:r w:rsidRPr="00CB5F03">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CB5F03">
        <w:rPr>
          <w:rStyle w:val="af7"/>
          <w:rFonts w:eastAsia="Guttman Hodes"/>
          <w:rtl/>
        </w:rPr>
        <w:fldChar w:fldCharType="end"/>
      </w:r>
      <w:r w:rsidRPr="001125DD">
        <w:rPr>
          <w:rtl/>
        </w:rPr>
        <w:t xml:space="preserve"> </w:t>
      </w:r>
      <w:r>
        <w:rPr>
          <w:rFonts w:hint="cs"/>
          <w:rtl/>
        </w:rPr>
        <w:t>במחלוקת אי מטמאה כנבילה].</w:t>
      </w:r>
      <w:bookmarkEnd w:id="1103"/>
    </w:p>
    <w:p w14:paraId="63267B32" w14:textId="77777777" w:rsidR="00852065" w:rsidRDefault="00852065" w:rsidP="00BF39B2">
      <w:pPr>
        <w:pStyle w:val="1"/>
        <w:rPr>
          <w:rtl/>
        </w:rPr>
      </w:pPr>
      <w:bookmarkStart w:id="1104" w:name="_Toc521361953"/>
      <w:bookmarkStart w:id="1105" w:name="_Toc522200143"/>
      <w:bookmarkStart w:id="1106" w:name="_Toc19389030"/>
      <w:bookmarkStart w:id="1107" w:name="_Toc19392527"/>
      <w:r>
        <w:rPr>
          <w:rFonts w:hint="cs"/>
          <w:rtl/>
        </w:rPr>
        <w:t>דברי האחרונים דפליגי רש"י ותוס' אי מחזיקין מאיסור לאיסור</w:t>
      </w:r>
      <w:bookmarkEnd w:id="1086"/>
      <w:bookmarkEnd w:id="1098"/>
      <w:bookmarkEnd w:id="1104"/>
      <w:bookmarkEnd w:id="1105"/>
      <w:bookmarkEnd w:id="1106"/>
      <w:bookmarkEnd w:id="1107"/>
    </w:p>
    <w:p w14:paraId="56512A98" w14:textId="77777777" w:rsidR="00852065" w:rsidRPr="007108DE" w:rsidRDefault="00852065" w:rsidP="006D6D32">
      <w:pPr>
        <w:pStyle w:val="a3"/>
        <w:rPr>
          <w:rtl/>
        </w:rPr>
      </w:pPr>
      <w:bookmarkStart w:id="1108" w:name="_Toc521324871"/>
      <w:bookmarkStart w:id="1109" w:name="_Toc521338174"/>
      <w:bookmarkStart w:id="1110" w:name="_Toc521361954"/>
      <w:bookmarkStart w:id="1111" w:name="_Toc522200144"/>
      <w:bookmarkStart w:id="1112" w:name="_Toc19389031"/>
      <w:bookmarkStart w:id="1113" w:name="_Toc19392528"/>
      <w:r>
        <w:rPr>
          <w:rFonts w:hint="cs"/>
          <w:rtl/>
        </w:rPr>
        <w:t>דברי הפרמ"ג דנחלקו רש"י ותוס' אי מחזיקין מאיסור לאיסור</w:t>
      </w:r>
      <w:bookmarkEnd w:id="1108"/>
      <w:bookmarkEnd w:id="1109"/>
      <w:bookmarkEnd w:id="1110"/>
      <w:bookmarkEnd w:id="1111"/>
      <w:bookmarkEnd w:id="1112"/>
      <w:bookmarkEnd w:id="1113"/>
    </w:p>
    <w:p w14:paraId="02DBE59C" w14:textId="77777777" w:rsidR="00852065" w:rsidRDefault="00852065" w:rsidP="00223668">
      <w:pPr>
        <w:pStyle w:val="a0"/>
        <w:rPr>
          <w:rStyle w:val="afb"/>
          <w:rtl/>
        </w:rPr>
      </w:pPr>
      <w:r>
        <w:rPr>
          <w:rFonts w:hint="cs"/>
          <w:rtl/>
        </w:rPr>
        <w:t xml:space="preserve">כתב </w:t>
      </w:r>
      <w:r w:rsidRPr="00015728">
        <w:rPr>
          <w:rStyle w:val="af9"/>
          <w:rFonts w:hint="cs"/>
          <w:rtl/>
        </w:rPr>
        <w:t>הפרמ"ג בשושנת העמקים</w:t>
      </w:r>
      <w:r>
        <w:rPr>
          <w:rFonts w:hint="cs"/>
          <w:rtl/>
        </w:rPr>
        <w:t xml:space="preserve"> </w:t>
      </w:r>
      <w:r w:rsidRPr="00015728">
        <w:rPr>
          <w:rStyle w:val="af7"/>
          <w:rFonts w:eastAsia="Guttman Hodes" w:hint="cs"/>
          <w:rtl/>
        </w:rPr>
        <w:t xml:space="preserve">(כלל י"ב </w:t>
      </w:r>
      <w:r w:rsidRPr="00C82C7A">
        <w:rPr>
          <w:rStyle w:val="af7"/>
          <w:rFonts w:eastAsia="Guttman Hodes" w:hint="cs"/>
          <w:rtl/>
        </w:rPr>
        <w:t>החלק הו')</w:t>
      </w:r>
      <w:r w:rsidRPr="00C82C7A">
        <w:rPr>
          <w:rFonts w:hint="cs"/>
          <w:rtl/>
        </w:rPr>
        <w:t xml:space="preserve"> </w:t>
      </w:r>
      <w:r w:rsidRPr="00C82C7A">
        <w:rPr>
          <w:rStyle w:val="af9"/>
          <w:rFonts w:hint="cs"/>
          <w:rtl/>
        </w:rPr>
        <w:t>דרש"י</w:t>
      </w:r>
      <w:r w:rsidRPr="00C82C7A">
        <w:rPr>
          <w:rFonts w:hint="cs"/>
          <w:rtl/>
        </w:rPr>
        <w:t xml:space="preserve"> ס"ל דמחזיקין מאיסור לאיסור, </w:t>
      </w:r>
      <w:r w:rsidRPr="00C82C7A">
        <w:rPr>
          <w:rStyle w:val="af9"/>
          <w:rFonts w:hint="cs"/>
          <w:rtl/>
        </w:rPr>
        <w:t xml:space="preserve">והתוס' בביצה </w:t>
      </w:r>
      <w:r w:rsidRPr="00C82C7A">
        <w:rPr>
          <w:rFonts w:hint="cs"/>
          <w:rtl/>
        </w:rPr>
        <w:t xml:space="preserve">ס"ל דאין מחזיקין מאיסור לאיסור ולכן ביארו דמעמידים אותה באיסור שאינו זבוח, </w:t>
      </w:r>
      <w:r w:rsidRPr="00C82C7A">
        <w:rPr>
          <w:rStyle w:val="afb"/>
          <w:rFonts w:hint="cs"/>
          <w:rtl/>
        </w:rPr>
        <w:t xml:space="preserve">[וכדכתבו </w:t>
      </w:r>
      <w:r w:rsidRPr="00C82C7A">
        <w:rPr>
          <w:rStyle w:val="affa"/>
          <w:rFonts w:hint="cs"/>
          <w:rtl/>
        </w:rPr>
        <w:t>הריטב"א והמאירי</w:t>
      </w:r>
      <w:r w:rsidRPr="00C82C7A">
        <w:rPr>
          <w:rStyle w:val="afb"/>
          <w:rFonts w:hint="cs"/>
          <w:rtl/>
        </w:rPr>
        <w:t xml:space="preserve"> </w:t>
      </w:r>
      <w:r w:rsidRPr="00C14000">
        <w:rPr>
          <w:rStyle w:val="aff6"/>
          <w:rFonts w:hint="cs"/>
          <w:rtl/>
        </w:rPr>
        <w:t xml:space="preserve">(עי' אות </w:t>
      </w:r>
      <w:r w:rsidRPr="00C14000">
        <w:rPr>
          <w:rStyle w:val="aff6"/>
          <w:rtl/>
        </w:rPr>
        <w:fldChar w:fldCharType="begin"/>
      </w:r>
      <w:r w:rsidRPr="00C14000">
        <w:rPr>
          <w:rStyle w:val="aff6"/>
          <w:rtl/>
        </w:rPr>
        <w:instrText xml:space="preserve"> </w:instrText>
      </w:r>
      <w:r w:rsidRPr="00C14000">
        <w:rPr>
          <w:rStyle w:val="aff6"/>
          <w:rFonts w:hint="cs"/>
        </w:rPr>
        <w:instrText>REF</w:instrText>
      </w:r>
      <w:r w:rsidRPr="00C14000">
        <w:rPr>
          <w:rStyle w:val="aff6"/>
          <w:rFonts w:hint="cs"/>
          <w:rtl/>
        </w:rPr>
        <w:instrText xml:space="preserve"> _</w:instrText>
      </w:r>
      <w:r w:rsidRPr="00C14000">
        <w:rPr>
          <w:rStyle w:val="aff6"/>
          <w:rFonts w:hint="cs"/>
        </w:rPr>
        <w:instrText>Ref522188049 \r \h</w:instrText>
      </w:r>
      <w:r w:rsidRPr="00C14000">
        <w:rPr>
          <w:rStyle w:val="aff6"/>
          <w:rtl/>
        </w:rPr>
        <w:instrText xml:space="preserve"> </w:instrText>
      </w:r>
      <w:r w:rsidRPr="00C14000">
        <w:rPr>
          <w:rStyle w:val="aff6"/>
          <w:rtl/>
        </w:rPr>
      </w:r>
      <w:r w:rsidRPr="00C14000">
        <w:rPr>
          <w:rStyle w:val="aff6"/>
          <w:rtl/>
        </w:rPr>
        <w:fldChar w:fldCharType="separate"/>
      </w:r>
      <w:r w:rsidR="00345400">
        <w:rPr>
          <w:rStyle w:val="aff6"/>
          <w:cs/>
        </w:rPr>
        <w:t>‎</w:t>
      </w:r>
      <w:r w:rsidR="00345400">
        <w:rPr>
          <w:rStyle w:val="aff6"/>
          <w:rtl/>
        </w:rPr>
        <w:t>ט)</w:t>
      </w:r>
      <w:r w:rsidRPr="00C14000">
        <w:rPr>
          <w:rStyle w:val="aff6"/>
          <w:rtl/>
        </w:rPr>
        <w:fldChar w:fldCharType="end"/>
      </w:r>
      <w:r w:rsidRPr="00C82C7A">
        <w:rPr>
          <w:rStyle w:val="afb"/>
          <w:rFonts w:hint="cs"/>
          <w:rtl/>
        </w:rPr>
        <w:t xml:space="preserve">] </w:t>
      </w:r>
      <w:r w:rsidRPr="00C82C7A">
        <w:rPr>
          <w:rFonts w:hint="cs"/>
          <w:rtl/>
        </w:rPr>
        <w:t xml:space="preserve">והוסיף </w:t>
      </w:r>
      <w:r w:rsidRPr="00C82C7A">
        <w:rPr>
          <w:rStyle w:val="af9"/>
          <w:rFonts w:hint="cs"/>
          <w:rtl/>
        </w:rPr>
        <w:t xml:space="preserve">הפרמ"ג בשושנת העמקים </w:t>
      </w:r>
      <w:r w:rsidRPr="00C82C7A">
        <w:rPr>
          <w:rFonts w:hint="cs"/>
          <w:rtl/>
        </w:rPr>
        <w:t xml:space="preserve">דכדעת </w:t>
      </w:r>
      <w:r w:rsidRPr="00C82C7A">
        <w:rPr>
          <w:rStyle w:val="af9"/>
          <w:rFonts w:hint="cs"/>
          <w:rtl/>
        </w:rPr>
        <w:t>התוס'</w:t>
      </w:r>
      <w:r w:rsidRPr="00C82C7A">
        <w:rPr>
          <w:rFonts w:hint="cs"/>
          <w:rtl/>
        </w:rPr>
        <w:t xml:space="preserve"> כן מבואר בגמ' ביבמות </w:t>
      </w:r>
      <w:r w:rsidRPr="00C82C7A">
        <w:rPr>
          <w:rStyle w:val="af7"/>
          <w:rFonts w:eastAsia="Guttman Hodes" w:hint="cs"/>
          <w:rtl/>
        </w:rPr>
        <w:t>(ל:)</w:t>
      </w:r>
      <w:r w:rsidRPr="00C82C7A">
        <w:rPr>
          <w:rFonts w:hint="cs"/>
          <w:rtl/>
        </w:rPr>
        <w:t>, אך</w:t>
      </w:r>
      <w:r>
        <w:rPr>
          <w:rFonts w:hint="cs"/>
          <w:rtl/>
        </w:rPr>
        <w:t xml:space="preserve"> ציין </w:t>
      </w:r>
      <w:r w:rsidRPr="000E5E3F">
        <w:rPr>
          <w:rStyle w:val="af9"/>
          <w:rFonts w:hint="cs"/>
          <w:rtl/>
        </w:rPr>
        <w:t>דהרשב"א ביבמות</w:t>
      </w:r>
      <w:r>
        <w:rPr>
          <w:rFonts w:hint="cs"/>
          <w:rtl/>
        </w:rPr>
        <w:t xml:space="preserve"> </w:t>
      </w:r>
      <w:r w:rsidRPr="001532C5">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Ref522187437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Pr>
          <w:rStyle w:val="af7"/>
          <w:rFonts w:eastAsia="Guttman Hodes"/>
          <w:rtl/>
        </w:rPr>
        <w:fldChar w:fldCharType="end"/>
      </w:r>
      <w:r w:rsidRPr="001532C5">
        <w:rPr>
          <w:rStyle w:val="af7"/>
          <w:rFonts w:eastAsia="Guttman Hodes" w:hint="cs"/>
          <w:rtl/>
        </w:rPr>
        <w:t xml:space="preserve"> </w:t>
      </w:r>
      <w:r>
        <w:rPr>
          <w:rFonts w:hint="cs"/>
          <w:rtl/>
        </w:rPr>
        <w:t>כתב לחלק בין הגמ' ביבמות לדין אין מחזיקין מאיסור לאיסור.</w:t>
      </w:r>
    </w:p>
    <w:p w14:paraId="490443B9" w14:textId="77777777" w:rsidR="00852065" w:rsidRPr="001568A4" w:rsidRDefault="00852065" w:rsidP="006D6D32">
      <w:pPr>
        <w:pStyle w:val="a3"/>
        <w:rPr>
          <w:rtl/>
        </w:rPr>
      </w:pPr>
      <w:bookmarkStart w:id="1114" w:name="_Toc521338176"/>
      <w:bookmarkStart w:id="1115" w:name="_Toc521361956"/>
      <w:bookmarkStart w:id="1116" w:name="_Toc522200145"/>
      <w:bookmarkStart w:id="1117" w:name="_Toc19389032"/>
      <w:bookmarkStart w:id="1118" w:name="_Toc19392529"/>
      <w:r>
        <w:rPr>
          <w:rFonts w:hint="cs"/>
          <w:rtl/>
        </w:rPr>
        <w:t>דברי הפני" והש"ש דכהתוס' בביצה כן מבואר בתוס' ביבמות דאין מחזיקין מאיסור לאיסור</w:t>
      </w:r>
      <w:bookmarkEnd w:id="1114"/>
      <w:bookmarkEnd w:id="1115"/>
      <w:bookmarkEnd w:id="1116"/>
      <w:bookmarkEnd w:id="1117"/>
      <w:bookmarkEnd w:id="1118"/>
    </w:p>
    <w:p w14:paraId="43A6F6F0" w14:textId="77777777" w:rsidR="00852065" w:rsidRDefault="00852065" w:rsidP="00223668">
      <w:pPr>
        <w:pStyle w:val="a0"/>
        <w:rPr>
          <w:rtl/>
        </w:rPr>
      </w:pPr>
      <w:r>
        <w:rPr>
          <w:rFonts w:hint="cs"/>
          <w:rtl/>
        </w:rPr>
        <w:t xml:space="preserve">וכ"כ </w:t>
      </w:r>
      <w:r w:rsidRPr="0017799F">
        <w:rPr>
          <w:rStyle w:val="af9"/>
          <w:rFonts w:hint="cs"/>
          <w:rtl/>
        </w:rPr>
        <w:t>הפנ"י</w:t>
      </w:r>
      <w:r>
        <w:rPr>
          <w:rFonts w:hint="cs"/>
          <w:rtl/>
        </w:rPr>
        <w:t xml:space="preserve"> </w:t>
      </w:r>
      <w:r w:rsidRPr="0017799F">
        <w:rPr>
          <w:rStyle w:val="af7"/>
          <w:rFonts w:eastAsia="Guttman Hodes" w:hint="cs"/>
          <w:rtl/>
        </w:rPr>
        <w:t>(</w:t>
      </w:r>
      <w:r>
        <w:rPr>
          <w:rStyle w:val="af7"/>
          <w:rFonts w:eastAsia="Guttman Hodes" w:hint="cs"/>
          <w:rtl/>
        </w:rPr>
        <w:t xml:space="preserve">ביצה כה. </w:t>
      </w:r>
      <w:r w:rsidRPr="0017799F">
        <w:rPr>
          <w:rStyle w:val="af7"/>
          <w:rFonts w:eastAsia="Guttman Hodes" w:hint="cs"/>
          <w:rtl/>
        </w:rPr>
        <w:t>על תוד"ה בחזקת)</w:t>
      </w:r>
      <w:r>
        <w:rPr>
          <w:rFonts w:hint="cs"/>
          <w:rtl/>
        </w:rPr>
        <w:t xml:space="preserve"> </w:t>
      </w:r>
      <w:r>
        <w:rPr>
          <w:rStyle w:val="af9"/>
          <w:rFonts w:hint="cs"/>
          <w:rtl/>
        </w:rPr>
        <w:t>ד</w:t>
      </w:r>
      <w:r w:rsidRPr="00B76822">
        <w:rPr>
          <w:rStyle w:val="af9"/>
          <w:rFonts w:hint="cs"/>
          <w:rtl/>
        </w:rPr>
        <w:t>התוס' בביצה</w:t>
      </w:r>
      <w:r w:rsidRPr="000B442C">
        <w:rPr>
          <w:rFonts w:hint="cs"/>
          <w:rtl/>
        </w:rPr>
        <w:t xml:space="preserve"> </w:t>
      </w:r>
      <w:r>
        <w:rPr>
          <w:rFonts w:hint="cs"/>
          <w:rtl/>
        </w:rPr>
        <w:t xml:space="preserve">ס"ל דאין מחזיקין מאיסור לאיסור, וכמבואר מדברי </w:t>
      </w:r>
      <w:r w:rsidRPr="001568A4">
        <w:rPr>
          <w:rStyle w:val="af9"/>
          <w:rFonts w:hint="cs"/>
          <w:rtl/>
        </w:rPr>
        <w:t>התוס' ביבמות</w:t>
      </w:r>
      <w:r>
        <w:rPr>
          <w:rFonts w:hint="cs"/>
          <w:rtl/>
        </w:rPr>
        <w:t xml:space="preserve"> </w:t>
      </w:r>
      <w:r w:rsidRPr="00C14000">
        <w:rPr>
          <w:rStyle w:val="af7"/>
          <w:rFonts w:eastAsia="Guttman Hodes" w:hint="cs"/>
          <w:rtl/>
        </w:rPr>
        <w:t xml:space="preserve">(עי' אות </w:t>
      </w:r>
      <w:r w:rsidRPr="00C14000">
        <w:rPr>
          <w:rStyle w:val="af7"/>
          <w:rFonts w:eastAsia="Guttman Hodes"/>
          <w:rtl/>
        </w:rPr>
        <w:fldChar w:fldCharType="begin"/>
      </w:r>
      <w:r w:rsidRPr="00C14000">
        <w:rPr>
          <w:rStyle w:val="af7"/>
          <w:rFonts w:eastAsia="Guttman Hodes"/>
          <w:rtl/>
        </w:rPr>
        <w:instrText xml:space="preserve"> </w:instrText>
      </w:r>
      <w:r w:rsidRPr="00C14000">
        <w:rPr>
          <w:rStyle w:val="af7"/>
          <w:rFonts w:eastAsia="Guttman Hodes" w:hint="cs"/>
        </w:rPr>
        <w:instrText>REF</w:instrText>
      </w:r>
      <w:r w:rsidRPr="00C14000">
        <w:rPr>
          <w:rStyle w:val="af7"/>
          <w:rFonts w:eastAsia="Guttman Hodes" w:hint="cs"/>
          <w:rtl/>
        </w:rPr>
        <w:instrText xml:space="preserve"> _</w:instrText>
      </w:r>
      <w:r w:rsidRPr="00C14000">
        <w:rPr>
          <w:rStyle w:val="af7"/>
          <w:rFonts w:eastAsia="Guttman Hodes" w:hint="cs"/>
        </w:rPr>
        <w:instrText>Ref522188102 \r \h</w:instrText>
      </w:r>
      <w:r w:rsidRPr="00C14000">
        <w:rPr>
          <w:rStyle w:val="af7"/>
          <w:rFonts w:eastAsia="Guttman Hodes"/>
          <w:rtl/>
        </w:rPr>
        <w:instrText xml:space="preserve"> </w:instrText>
      </w:r>
      <w:r w:rsidRPr="00C14000">
        <w:rPr>
          <w:rStyle w:val="af7"/>
          <w:rFonts w:eastAsia="Guttman Hodes"/>
          <w:rtl/>
        </w:rPr>
      </w:r>
      <w:r w:rsidRPr="00C14000">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C14000">
        <w:rPr>
          <w:rStyle w:val="af7"/>
          <w:rFonts w:eastAsia="Guttman Hodes"/>
          <w:rtl/>
        </w:rPr>
        <w:fldChar w:fldCharType="end"/>
      </w:r>
      <w:r w:rsidRPr="00C14000">
        <w:rPr>
          <w:rStyle w:val="af7"/>
          <w:rFonts w:eastAsia="Guttman Hodes" w:hint="cs"/>
          <w:rtl/>
        </w:rPr>
        <w:t xml:space="preserve"> </w:t>
      </w:r>
      <w:r>
        <w:rPr>
          <w:rFonts w:hint="cs"/>
          <w:rtl/>
        </w:rPr>
        <w:t xml:space="preserve">דכתבו דדוקא בספק דרוסה מעמידים בחזקת איסור מחמת דהוא שכיח, ולא מחמת דמחזיקין מאיסור לאיסור, וכ"כ </w:t>
      </w:r>
      <w:r w:rsidRPr="001D4DAD">
        <w:rPr>
          <w:rStyle w:val="af9"/>
          <w:rFonts w:hint="cs"/>
          <w:rtl/>
        </w:rPr>
        <w:t>הש"ש</w:t>
      </w:r>
      <w:r>
        <w:rPr>
          <w:rFonts w:hint="cs"/>
          <w:rtl/>
        </w:rPr>
        <w:t xml:space="preserve"> </w:t>
      </w:r>
      <w:r w:rsidRPr="00C14000">
        <w:rPr>
          <w:rStyle w:val="af7"/>
          <w:rFonts w:eastAsia="Guttman Hodes" w:hint="cs"/>
          <w:rtl/>
        </w:rPr>
        <w:t xml:space="preserve">(עי' אות </w:t>
      </w:r>
      <w:r w:rsidRPr="00C14000">
        <w:rPr>
          <w:rStyle w:val="af7"/>
          <w:rFonts w:eastAsia="Guttman Hodes"/>
          <w:rtl/>
        </w:rPr>
        <w:fldChar w:fldCharType="begin"/>
      </w:r>
      <w:r w:rsidRPr="00C14000">
        <w:rPr>
          <w:rStyle w:val="af7"/>
          <w:rFonts w:eastAsia="Guttman Hodes"/>
          <w:rtl/>
        </w:rPr>
        <w:instrText xml:space="preserve"> </w:instrText>
      </w:r>
      <w:r w:rsidRPr="00C14000">
        <w:rPr>
          <w:rStyle w:val="af7"/>
          <w:rFonts w:eastAsia="Guttman Hodes" w:hint="cs"/>
        </w:rPr>
        <w:instrText>REF</w:instrText>
      </w:r>
      <w:r w:rsidRPr="00C14000">
        <w:rPr>
          <w:rStyle w:val="af7"/>
          <w:rFonts w:eastAsia="Guttman Hodes" w:hint="cs"/>
          <w:rtl/>
        </w:rPr>
        <w:instrText xml:space="preserve"> _</w:instrText>
      </w:r>
      <w:r w:rsidRPr="00C14000">
        <w:rPr>
          <w:rStyle w:val="af7"/>
          <w:rFonts w:eastAsia="Guttman Hodes" w:hint="cs"/>
        </w:rPr>
        <w:instrText>Ref522188117 \r \h</w:instrText>
      </w:r>
      <w:r w:rsidRPr="00C14000">
        <w:rPr>
          <w:rStyle w:val="af7"/>
          <w:rFonts w:eastAsia="Guttman Hodes"/>
          <w:rtl/>
        </w:rPr>
        <w:instrText xml:space="preserve"> </w:instrText>
      </w:r>
      <w:r w:rsidRPr="00C14000">
        <w:rPr>
          <w:rStyle w:val="af7"/>
          <w:rFonts w:eastAsia="Guttman Hodes"/>
          <w:rtl/>
        </w:rPr>
      </w:r>
      <w:r w:rsidRPr="00C14000">
        <w:rPr>
          <w:rStyle w:val="af7"/>
          <w:rFonts w:eastAsia="Guttman Hodes"/>
          <w:rtl/>
        </w:rPr>
        <w:fldChar w:fldCharType="separate"/>
      </w:r>
      <w:r w:rsidR="00345400">
        <w:rPr>
          <w:rStyle w:val="af7"/>
          <w:rFonts w:eastAsia="Guttman Hodes"/>
          <w:cs/>
        </w:rPr>
        <w:t>‎</w:t>
      </w:r>
      <w:r w:rsidR="00345400">
        <w:rPr>
          <w:rStyle w:val="af7"/>
          <w:rFonts w:eastAsia="Guttman Hodes"/>
          <w:rtl/>
        </w:rPr>
        <w:t>נד)</w:t>
      </w:r>
      <w:r w:rsidRPr="00C14000">
        <w:rPr>
          <w:rStyle w:val="af7"/>
          <w:rFonts w:eastAsia="Guttman Hodes"/>
          <w:rtl/>
        </w:rPr>
        <w:fldChar w:fldCharType="end"/>
      </w:r>
      <w:r>
        <w:rPr>
          <w:rFonts w:hint="cs"/>
          <w:rtl/>
        </w:rPr>
        <w:t xml:space="preserve">, אך כתב </w:t>
      </w:r>
      <w:r w:rsidRPr="0092130A">
        <w:rPr>
          <w:rStyle w:val="af9"/>
          <w:rFonts w:hint="cs"/>
          <w:rtl/>
        </w:rPr>
        <w:t>הש"ש</w:t>
      </w:r>
      <w:r>
        <w:rPr>
          <w:rFonts w:hint="cs"/>
          <w:rtl/>
        </w:rPr>
        <w:t xml:space="preserve"> </w:t>
      </w:r>
      <w:r w:rsidRPr="00C14000">
        <w:rPr>
          <w:rStyle w:val="af7"/>
          <w:rFonts w:eastAsia="Guttman Hodes" w:hint="cs"/>
          <w:rtl/>
        </w:rPr>
        <w:t xml:space="preserve">(עי' אות </w:t>
      </w:r>
      <w:r w:rsidRPr="00C14000">
        <w:rPr>
          <w:rStyle w:val="af7"/>
          <w:rFonts w:eastAsia="Guttman Hodes"/>
          <w:rtl/>
        </w:rPr>
        <w:fldChar w:fldCharType="begin"/>
      </w:r>
      <w:r w:rsidRPr="00C14000">
        <w:rPr>
          <w:rStyle w:val="af7"/>
          <w:rFonts w:eastAsia="Guttman Hodes"/>
          <w:rtl/>
        </w:rPr>
        <w:instrText xml:space="preserve"> </w:instrText>
      </w:r>
      <w:r w:rsidRPr="00C14000">
        <w:rPr>
          <w:rStyle w:val="af7"/>
          <w:rFonts w:eastAsia="Guttman Hodes" w:hint="cs"/>
        </w:rPr>
        <w:instrText>REF</w:instrText>
      </w:r>
      <w:r w:rsidRPr="00C14000">
        <w:rPr>
          <w:rStyle w:val="af7"/>
          <w:rFonts w:eastAsia="Guttman Hodes" w:hint="cs"/>
          <w:rtl/>
        </w:rPr>
        <w:instrText xml:space="preserve"> _</w:instrText>
      </w:r>
      <w:r w:rsidRPr="00C14000">
        <w:rPr>
          <w:rStyle w:val="af7"/>
          <w:rFonts w:eastAsia="Guttman Hodes" w:hint="cs"/>
        </w:rPr>
        <w:instrText>Ref522188142 \r \h</w:instrText>
      </w:r>
      <w:r w:rsidRPr="00C14000">
        <w:rPr>
          <w:rStyle w:val="af7"/>
          <w:rFonts w:eastAsia="Guttman Hodes"/>
          <w:rtl/>
        </w:rPr>
        <w:instrText xml:space="preserve"> </w:instrText>
      </w:r>
      <w:r w:rsidRPr="00C14000">
        <w:rPr>
          <w:rStyle w:val="af7"/>
          <w:rFonts w:eastAsia="Guttman Hodes"/>
          <w:rtl/>
        </w:rPr>
      </w:r>
      <w:r w:rsidRPr="00C14000">
        <w:rPr>
          <w:rStyle w:val="af7"/>
          <w:rFonts w:eastAsia="Guttman Hodes"/>
          <w:rtl/>
        </w:rPr>
        <w:fldChar w:fldCharType="separate"/>
      </w:r>
      <w:r w:rsidR="00345400">
        <w:rPr>
          <w:rStyle w:val="af7"/>
          <w:rFonts w:eastAsia="Guttman Hodes"/>
          <w:cs/>
        </w:rPr>
        <w:t>‎</w:t>
      </w:r>
      <w:r w:rsidR="00345400">
        <w:rPr>
          <w:rStyle w:val="af7"/>
          <w:rFonts w:eastAsia="Guttman Hodes"/>
          <w:rtl/>
        </w:rPr>
        <w:t>נז)</w:t>
      </w:r>
      <w:r w:rsidRPr="00C14000">
        <w:rPr>
          <w:rStyle w:val="af7"/>
          <w:rFonts w:eastAsia="Guttman Hodes"/>
          <w:rtl/>
        </w:rPr>
        <w:fldChar w:fldCharType="end"/>
      </w:r>
      <w:r>
        <w:rPr>
          <w:rFonts w:hint="cs"/>
          <w:rtl/>
        </w:rPr>
        <w:t xml:space="preserve"> דבדברי </w:t>
      </w:r>
      <w:r w:rsidRPr="0092130A">
        <w:rPr>
          <w:rStyle w:val="af9"/>
          <w:rFonts w:hint="cs"/>
          <w:rtl/>
        </w:rPr>
        <w:t>הש"ך</w:t>
      </w:r>
      <w:r>
        <w:rPr>
          <w:rFonts w:hint="cs"/>
          <w:rtl/>
        </w:rPr>
        <w:t xml:space="preserve"> מבואר דלדעת </w:t>
      </w:r>
      <w:r w:rsidRPr="0092130A">
        <w:rPr>
          <w:rStyle w:val="af9"/>
          <w:rFonts w:hint="cs"/>
          <w:rtl/>
        </w:rPr>
        <w:t>התוס' ביבמות</w:t>
      </w:r>
      <w:r>
        <w:rPr>
          <w:rFonts w:hint="cs"/>
          <w:rtl/>
        </w:rPr>
        <w:t xml:space="preserve"> מחזיקין מאיסור לאיסור.</w:t>
      </w:r>
    </w:p>
    <w:p w14:paraId="775C20C9" w14:textId="77777777" w:rsidR="00852065" w:rsidRDefault="00852065" w:rsidP="006D6D32">
      <w:pPr>
        <w:pStyle w:val="a3"/>
        <w:rPr>
          <w:rtl/>
        </w:rPr>
      </w:pPr>
      <w:bookmarkStart w:id="1119" w:name="_Toc521338177"/>
      <w:bookmarkStart w:id="1120" w:name="_Toc521361957"/>
      <w:bookmarkStart w:id="1121" w:name="_Toc522200146"/>
      <w:bookmarkStart w:id="1122" w:name="_Toc19389033"/>
      <w:bookmarkStart w:id="1123" w:name="_Toc19392530"/>
      <w:r>
        <w:rPr>
          <w:rFonts w:hint="cs"/>
          <w:rtl/>
        </w:rPr>
        <w:t>דברי הגרעקא דרש"י ותוס' נחלקו במח' בתוס' בשבועות אם יש איסור אינו זבוח</w:t>
      </w:r>
      <w:bookmarkEnd w:id="1119"/>
      <w:bookmarkEnd w:id="1120"/>
      <w:bookmarkEnd w:id="1121"/>
      <w:bookmarkEnd w:id="1122"/>
      <w:bookmarkEnd w:id="1123"/>
    </w:p>
    <w:p w14:paraId="2462C9CA" w14:textId="77777777" w:rsidR="00852065" w:rsidRDefault="00852065" w:rsidP="00223668">
      <w:pPr>
        <w:pStyle w:val="a0"/>
        <w:rPr>
          <w:rtl/>
        </w:rPr>
      </w:pPr>
      <w:r>
        <w:rPr>
          <w:rFonts w:hint="cs"/>
          <w:rtl/>
        </w:rPr>
        <w:t xml:space="preserve">וכתב </w:t>
      </w:r>
      <w:r w:rsidRPr="00D559BB">
        <w:rPr>
          <w:rStyle w:val="af9"/>
          <w:rFonts w:hint="cs"/>
          <w:rtl/>
        </w:rPr>
        <w:t>הגרעק"א</w:t>
      </w:r>
      <w:r>
        <w:rPr>
          <w:rFonts w:hint="cs"/>
          <w:rtl/>
        </w:rPr>
        <w:t xml:space="preserve"> </w:t>
      </w:r>
      <w:r w:rsidRPr="00D559BB">
        <w:rPr>
          <w:rStyle w:val="af7"/>
          <w:rFonts w:eastAsia="Guttman Hodes" w:hint="cs"/>
          <w:rtl/>
        </w:rPr>
        <w:t>(</w:t>
      </w:r>
      <w:r>
        <w:rPr>
          <w:rStyle w:val="af7"/>
          <w:rFonts w:eastAsia="Guttman Hodes" w:hint="cs"/>
          <w:rtl/>
        </w:rPr>
        <w:t>לקמן לב. ד"ה וראיתי להכו"פ, שו</w:t>
      </w:r>
      <w:r>
        <w:rPr>
          <w:rStyle w:val="af7"/>
          <w:rFonts w:eastAsia="Guttman Hodes"/>
          <w:rtl/>
        </w:rPr>
        <w:t>"</w:t>
      </w:r>
      <w:r>
        <w:rPr>
          <w:rStyle w:val="af7"/>
          <w:rFonts w:eastAsia="Guttman Hodes" w:hint="cs"/>
          <w:rtl/>
        </w:rPr>
        <w:t>ע סי' כ</w:t>
      </w:r>
      <w:r>
        <w:rPr>
          <w:rStyle w:val="af7"/>
          <w:rFonts w:eastAsia="Guttman Hodes"/>
          <w:rtl/>
        </w:rPr>
        <w:t>"</w:t>
      </w:r>
      <w:r>
        <w:rPr>
          <w:rStyle w:val="af7"/>
          <w:rFonts w:eastAsia="Guttman Hodes" w:hint="cs"/>
          <w:rtl/>
        </w:rPr>
        <w:t xml:space="preserve">ז) </w:t>
      </w:r>
      <w:r>
        <w:rPr>
          <w:rFonts w:hint="cs"/>
          <w:rtl/>
        </w:rPr>
        <w:t xml:space="preserve">דדעת </w:t>
      </w:r>
      <w:r>
        <w:rPr>
          <w:rStyle w:val="af9"/>
          <w:rFonts w:hint="cs"/>
          <w:rtl/>
        </w:rPr>
        <w:t>ה</w:t>
      </w:r>
      <w:r w:rsidRPr="00D559BB">
        <w:rPr>
          <w:rStyle w:val="af9"/>
          <w:rFonts w:hint="cs"/>
          <w:rtl/>
        </w:rPr>
        <w:t>תוס'</w:t>
      </w:r>
      <w:r>
        <w:rPr>
          <w:rFonts w:hint="cs"/>
          <w:rtl/>
        </w:rPr>
        <w:t xml:space="preserve"> דאסורה באיסור אינו זבוח, היא כדעת </w:t>
      </w:r>
      <w:r>
        <w:rPr>
          <w:rStyle w:val="af9"/>
          <w:rFonts w:hint="cs"/>
          <w:rtl/>
        </w:rPr>
        <w:t>ה</w:t>
      </w:r>
      <w:r w:rsidRPr="00D559BB">
        <w:rPr>
          <w:rStyle w:val="af9"/>
          <w:rFonts w:hint="cs"/>
          <w:rtl/>
        </w:rPr>
        <w:t>תוס' בשבועות</w:t>
      </w:r>
      <w:r>
        <w:rPr>
          <w:rFonts w:hint="cs"/>
          <w:rtl/>
        </w:rPr>
        <w:t xml:space="preserve"> </w:t>
      </w:r>
      <w:r w:rsidRPr="00D559BB">
        <w:rPr>
          <w:rStyle w:val="af7"/>
          <w:rFonts w:eastAsia="Guttman Hodes" w:hint="cs"/>
          <w:rtl/>
        </w:rPr>
        <w:t>(כד. ד"ה האוכל)</w:t>
      </w:r>
      <w:r>
        <w:rPr>
          <w:rFonts w:hint="cs"/>
          <w:rtl/>
        </w:rPr>
        <w:t xml:space="preserve"> דאיסור אינו זבוח הוא לאו הבא מכלל עשה דכתיב "וזבחת". ודעת </w:t>
      </w:r>
      <w:r w:rsidRPr="00D559BB">
        <w:rPr>
          <w:rStyle w:val="af9"/>
          <w:rFonts w:hint="cs"/>
          <w:rtl/>
        </w:rPr>
        <w:t xml:space="preserve">רש"י </w:t>
      </w:r>
      <w:r>
        <w:rPr>
          <w:rFonts w:hint="cs"/>
          <w:rtl/>
        </w:rPr>
        <w:t xml:space="preserve">דאסורה באיסור אבר מן החי, היא כדעת </w:t>
      </w:r>
      <w:r w:rsidRPr="00D559BB">
        <w:rPr>
          <w:rStyle w:val="af9"/>
          <w:rFonts w:hint="cs"/>
          <w:rtl/>
        </w:rPr>
        <w:t>הריצב"א בתוס' בשבועות</w:t>
      </w:r>
      <w:r>
        <w:rPr>
          <w:rFonts w:hint="cs"/>
          <w:rtl/>
        </w:rPr>
        <w:t xml:space="preserve"> דאין איסור נוסף דאינו זבוח מדין "וזבחת", כיון שהבהמה כבר אסורה באיסור אבר מן החי, והדין "וזבחת" בא רק להתירה בשחיטה, וכ"כ </w:t>
      </w:r>
      <w:r w:rsidRPr="00B94AA3">
        <w:rPr>
          <w:rStyle w:val="af9"/>
          <w:rFonts w:hint="cs"/>
          <w:rtl/>
        </w:rPr>
        <w:t>האו"ש</w:t>
      </w:r>
      <w:r>
        <w:rPr>
          <w:rFonts w:hint="cs"/>
          <w:rtl/>
        </w:rPr>
        <w:t xml:space="preserve"> </w:t>
      </w:r>
      <w:r w:rsidRPr="00B94AA3">
        <w:rPr>
          <w:rStyle w:val="af7"/>
          <w:rFonts w:eastAsia="Guttman Hodes" w:hint="cs"/>
          <w:rtl/>
        </w:rPr>
        <w:t>(שחיטה א' י"ג)</w:t>
      </w:r>
      <w:r>
        <w:rPr>
          <w:rFonts w:hint="cs"/>
          <w:rtl/>
        </w:rPr>
        <w:t>.</w:t>
      </w:r>
    </w:p>
    <w:p w14:paraId="7CE40D24" w14:textId="77777777" w:rsidR="00852065" w:rsidRPr="00AD708F" w:rsidRDefault="00852065" w:rsidP="006D6D32">
      <w:pPr>
        <w:pStyle w:val="a3"/>
        <w:rPr>
          <w:rtl/>
        </w:rPr>
      </w:pPr>
      <w:bookmarkStart w:id="1124" w:name="_Toc521324872"/>
      <w:bookmarkStart w:id="1125" w:name="_Toc521338178"/>
      <w:bookmarkStart w:id="1126" w:name="_Toc521361958"/>
      <w:bookmarkStart w:id="1127" w:name="_Toc522200147"/>
      <w:bookmarkStart w:id="1128" w:name="_Toc19389034"/>
      <w:bookmarkStart w:id="1129" w:name="_Toc19392531"/>
      <w:r>
        <w:rPr>
          <w:rFonts w:hint="cs"/>
          <w:rtl/>
        </w:rPr>
        <w:t>דברי הגרעק"א והפרמ"ג דלרש"י ולריצב"א מחזיקין מאיסור לאיסור ולתוס' אין מחזיקין</w:t>
      </w:r>
      <w:bookmarkEnd w:id="1124"/>
      <w:bookmarkEnd w:id="1125"/>
      <w:bookmarkEnd w:id="1126"/>
      <w:bookmarkEnd w:id="1127"/>
      <w:bookmarkEnd w:id="1128"/>
      <w:bookmarkEnd w:id="1129"/>
    </w:p>
    <w:p w14:paraId="53D91836" w14:textId="77777777" w:rsidR="00852065" w:rsidRPr="00C24296" w:rsidRDefault="00852065" w:rsidP="00223668">
      <w:pPr>
        <w:pStyle w:val="a0"/>
        <w:rPr>
          <w:rtl/>
        </w:rPr>
      </w:pPr>
      <w:r>
        <w:rPr>
          <w:rFonts w:hint="cs"/>
          <w:rtl/>
        </w:rPr>
        <w:t xml:space="preserve">ובדעת </w:t>
      </w:r>
      <w:r w:rsidRPr="00D559BB">
        <w:rPr>
          <w:rStyle w:val="af9"/>
          <w:rFonts w:hint="cs"/>
          <w:rtl/>
        </w:rPr>
        <w:t>הריצב"א בתוס' בשבועות</w:t>
      </w:r>
      <w:r>
        <w:rPr>
          <w:rFonts w:hint="cs"/>
          <w:rtl/>
        </w:rPr>
        <w:t xml:space="preserve"> דס"ל דאין איסור אינו זבוח, כתב </w:t>
      </w:r>
      <w:r w:rsidRPr="00DB5DB7">
        <w:rPr>
          <w:rStyle w:val="af9"/>
          <w:rFonts w:hint="cs"/>
          <w:rtl/>
        </w:rPr>
        <w:t>הגרעק"א</w:t>
      </w:r>
      <w:r>
        <w:rPr>
          <w:rFonts w:hint="cs"/>
          <w:rtl/>
        </w:rPr>
        <w:t xml:space="preserve"> דצ"ל דהביאור בסוגיין הוא </w:t>
      </w:r>
      <w:r w:rsidRPr="00D559BB">
        <w:rPr>
          <w:rStyle w:val="af9"/>
          <w:rFonts w:hint="cs"/>
          <w:rtl/>
        </w:rPr>
        <w:t>כרש"י</w:t>
      </w:r>
      <w:r>
        <w:rPr>
          <w:rFonts w:hint="cs"/>
          <w:rtl/>
        </w:rPr>
        <w:t xml:space="preserve"> דמחזיקין מאיסור לאיסור,</w:t>
      </w:r>
      <w:r w:rsidRPr="00210CDC">
        <w:rPr>
          <w:rFonts w:hint="cs"/>
          <w:rtl/>
        </w:rPr>
        <w:t xml:space="preserve"> </w:t>
      </w:r>
      <w:r>
        <w:rPr>
          <w:rFonts w:hint="cs"/>
          <w:rtl/>
        </w:rPr>
        <w:t xml:space="preserve">ומעמידים אותה באיסור אבר מן החי, וכ"כ </w:t>
      </w:r>
      <w:r w:rsidRPr="00015728">
        <w:rPr>
          <w:rStyle w:val="af9"/>
          <w:rFonts w:hint="cs"/>
          <w:rtl/>
        </w:rPr>
        <w:t xml:space="preserve">הפרמ"ג </w:t>
      </w:r>
      <w:r>
        <w:rPr>
          <w:rStyle w:val="af9"/>
          <w:rFonts w:hint="cs"/>
          <w:rtl/>
        </w:rPr>
        <w:t xml:space="preserve">בפתיחה להל' שחיטה </w:t>
      </w:r>
      <w:r w:rsidRPr="00B36235">
        <w:rPr>
          <w:rStyle w:val="af7"/>
          <w:rFonts w:eastAsia="Guttman Hodes" w:hint="cs"/>
          <w:rtl/>
        </w:rPr>
        <w:t>(שורש ב', וכן ב</w:t>
      </w:r>
      <w:r>
        <w:rPr>
          <w:rStyle w:val="af7"/>
          <w:rFonts w:eastAsia="Guttman Hodes" w:hint="cs"/>
          <w:rtl/>
        </w:rPr>
        <w:t xml:space="preserve">ספר </w:t>
      </w:r>
      <w:r w:rsidRPr="00B36235">
        <w:rPr>
          <w:rStyle w:val="af7"/>
          <w:rFonts w:eastAsia="Guttman Hodes" w:hint="cs"/>
          <w:rtl/>
        </w:rPr>
        <w:t xml:space="preserve">שושנת העמקים כלל י"ב החלק </w:t>
      </w:r>
      <w:r w:rsidRPr="00015728">
        <w:rPr>
          <w:rStyle w:val="af7"/>
          <w:rFonts w:eastAsia="Guttman Hodes" w:hint="cs"/>
          <w:rtl/>
        </w:rPr>
        <w:t>הו')</w:t>
      </w:r>
      <w:r>
        <w:rPr>
          <w:rFonts w:hint="cs"/>
          <w:rtl/>
        </w:rPr>
        <w:t xml:space="preserve">, והוסיף </w:t>
      </w:r>
      <w:r w:rsidRPr="00D559BB">
        <w:rPr>
          <w:rStyle w:val="af9"/>
          <w:rFonts w:hint="cs"/>
          <w:rtl/>
        </w:rPr>
        <w:t>הגרעק"א</w:t>
      </w:r>
      <w:r>
        <w:rPr>
          <w:rFonts w:hint="cs"/>
          <w:rtl/>
        </w:rPr>
        <w:t xml:space="preserve"> </w:t>
      </w:r>
      <w:r w:rsidRPr="00D559BB">
        <w:rPr>
          <w:rStyle w:val="af7"/>
          <w:rFonts w:eastAsia="Guttman Hodes" w:hint="cs"/>
          <w:rtl/>
        </w:rPr>
        <w:t>(בהמשך דבריו שם</w:t>
      </w:r>
      <w:r>
        <w:rPr>
          <w:rStyle w:val="af7"/>
          <w:rFonts w:eastAsia="Guttman Hodes" w:hint="cs"/>
          <w:rtl/>
        </w:rPr>
        <w:t xml:space="preserve"> ד"ה והנה בהא</w:t>
      </w:r>
      <w:r w:rsidRPr="00D559BB">
        <w:rPr>
          <w:rStyle w:val="af7"/>
          <w:rFonts w:eastAsia="Guttman Hodes" w:hint="cs"/>
          <w:rtl/>
        </w:rPr>
        <w:t>)</w:t>
      </w:r>
      <w:r>
        <w:rPr>
          <w:rFonts w:hint="cs"/>
          <w:rtl/>
        </w:rPr>
        <w:t xml:space="preserve"> </w:t>
      </w:r>
      <w:r w:rsidRPr="00D559BB">
        <w:rPr>
          <w:rStyle w:val="af9"/>
          <w:rFonts w:hint="cs"/>
          <w:rtl/>
        </w:rPr>
        <w:t xml:space="preserve">דהתוס' </w:t>
      </w:r>
      <w:r>
        <w:rPr>
          <w:rFonts w:hint="cs"/>
          <w:rtl/>
        </w:rPr>
        <w:t xml:space="preserve">פליגי וס"ל דאין מחזיקין מאיסור לאיסור כיון דמתה לפנינו, [ועיי"ש </w:t>
      </w:r>
      <w:r w:rsidRPr="00D559BB">
        <w:rPr>
          <w:rStyle w:val="af9"/>
          <w:rFonts w:hint="cs"/>
          <w:rtl/>
        </w:rPr>
        <w:t>בגרעק"א</w:t>
      </w:r>
      <w:r>
        <w:rPr>
          <w:rFonts w:hint="cs"/>
          <w:rtl/>
        </w:rPr>
        <w:t xml:space="preserve"> במה שהאריך בזה, ובמ"ש לתרץ את קושית </w:t>
      </w:r>
      <w:r w:rsidRPr="00D559BB">
        <w:rPr>
          <w:rStyle w:val="af9"/>
          <w:rFonts w:hint="cs"/>
          <w:rtl/>
        </w:rPr>
        <w:t xml:space="preserve">התוס' </w:t>
      </w:r>
      <w:r>
        <w:rPr>
          <w:rFonts w:hint="cs"/>
          <w:rtl/>
        </w:rPr>
        <w:t xml:space="preserve">על </w:t>
      </w:r>
      <w:r w:rsidRPr="00D559BB">
        <w:rPr>
          <w:rStyle w:val="af9"/>
          <w:rFonts w:hint="cs"/>
          <w:rtl/>
        </w:rPr>
        <w:t>רש"י</w:t>
      </w:r>
      <w:r>
        <w:rPr>
          <w:rFonts w:hint="cs"/>
          <w:rtl/>
        </w:rPr>
        <w:t xml:space="preserve">, ועי' במ"ש </w:t>
      </w:r>
      <w:r w:rsidRPr="0041728D">
        <w:rPr>
          <w:rStyle w:val="af9"/>
          <w:rFonts w:hint="cs"/>
          <w:rtl/>
        </w:rPr>
        <w:t>האבהא"ז</w:t>
      </w:r>
      <w:r w:rsidRPr="0041728D">
        <w:rPr>
          <w:rStyle w:val="af7"/>
          <w:rFonts w:eastAsia="Guttman Hodes" w:hint="cs"/>
          <w:rtl/>
        </w:rPr>
        <w:t xml:space="preserve"> (שחיטה א' י"ב) </w:t>
      </w:r>
      <w:r>
        <w:rPr>
          <w:rFonts w:hint="cs"/>
          <w:rtl/>
        </w:rPr>
        <w:t xml:space="preserve">בדברי </w:t>
      </w:r>
      <w:r w:rsidRPr="0041728D">
        <w:rPr>
          <w:rStyle w:val="af9"/>
          <w:rFonts w:hint="cs"/>
          <w:rtl/>
        </w:rPr>
        <w:t>הגרעק"א</w:t>
      </w:r>
      <w:r>
        <w:rPr>
          <w:rFonts w:hint="cs"/>
          <w:rtl/>
        </w:rPr>
        <w:t>].</w:t>
      </w:r>
    </w:p>
    <w:p w14:paraId="4A82AC74" w14:textId="77777777" w:rsidR="00852065" w:rsidRDefault="00852065" w:rsidP="00BF39B2">
      <w:pPr>
        <w:pStyle w:val="1"/>
        <w:rPr>
          <w:rtl/>
        </w:rPr>
      </w:pPr>
      <w:bookmarkStart w:id="1130" w:name="_Toc522200148"/>
      <w:bookmarkStart w:id="1131" w:name="_Toc19389035"/>
      <w:bookmarkStart w:id="1132" w:name="_Toc19392532"/>
      <w:bookmarkStart w:id="1133" w:name="_Toc521361962"/>
      <w:bookmarkStart w:id="1134" w:name="_Toc521338179"/>
      <w:bookmarkStart w:id="1135" w:name="_Toc521361959"/>
      <w:r>
        <w:rPr>
          <w:rFonts w:hint="cs"/>
          <w:rtl/>
        </w:rPr>
        <w:t>דעת ה</w:t>
      </w:r>
      <w:r w:rsidR="00345400">
        <w:rPr>
          <w:rFonts w:hint="cs"/>
          <w:rtl/>
        </w:rPr>
        <w:t>פלתי</w:t>
      </w:r>
      <w:r>
        <w:rPr>
          <w:rFonts w:hint="cs"/>
          <w:rtl/>
        </w:rPr>
        <w:t xml:space="preserve"> והש"ש דלדעת רש"י</w:t>
      </w:r>
      <w:r w:rsidRPr="00F35661">
        <w:rPr>
          <w:rFonts w:hint="cs"/>
          <w:rtl/>
        </w:rPr>
        <w:t xml:space="preserve"> </w:t>
      </w:r>
      <w:r>
        <w:rPr>
          <w:rFonts w:hint="cs"/>
          <w:rtl/>
        </w:rPr>
        <w:t>מחזיקין אף לאיסור מעלמא</w:t>
      </w:r>
      <w:bookmarkEnd w:id="1130"/>
      <w:bookmarkEnd w:id="1131"/>
      <w:bookmarkEnd w:id="1132"/>
    </w:p>
    <w:p w14:paraId="121EBA01" w14:textId="77777777" w:rsidR="00852065" w:rsidRDefault="00852065" w:rsidP="006D6D32">
      <w:pPr>
        <w:pStyle w:val="a3"/>
        <w:rPr>
          <w:rtl/>
        </w:rPr>
      </w:pPr>
      <w:bookmarkStart w:id="1136" w:name="_Toc522200149"/>
      <w:bookmarkStart w:id="1137" w:name="_Toc19389036"/>
      <w:bookmarkStart w:id="1138" w:name="_Toc19392533"/>
      <w:bookmarkEnd w:id="1133"/>
      <w:r>
        <w:rPr>
          <w:rFonts w:hint="cs"/>
          <w:rtl/>
        </w:rPr>
        <w:t>דברי הש"ש דאף מאבמה"ח לטריפה מחזיקין ומבואר דלא רק לאיסור נבילה מחזיקין</w:t>
      </w:r>
      <w:bookmarkEnd w:id="1136"/>
      <w:bookmarkEnd w:id="1137"/>
      <w:bookmarkEnd w:id="1138"/>
    </w:p>
    <w:p w14:paraId="3FD2865D" w14:textId="77777777" w:rsidR="00852065" w:rsidRDefault="00852065" w:rsidP="00223668">
      <w:pPr>
        <w:pStyle w:val="a0"/>
        <w:rPr>
          <w:rtl/>
        </w:rPr>
      </w:pPr>
      <w:bookmarkStart w:id="1139" w:name="_Ref522197164"/>
      <w:r>
        <w:rPr>
          <w:rFonts w:hint="cs"/>
          <w:rtl/>
        </w:rPr>
        <w:t xml:space="preserve">כתב </w:t>
      </w:r>
      <w:r w:rsidRPr="00C844E3">
        <w:rPr>
          <w:rStyle w:val="af9"/>
          <w:rFonts w:hint="cs"/>
          <w:rtl/>
        </w:rPr>
        <w:t>הש"ש</w:t>
      </w:r>
      <w:r>
        <w:rPr>
          <w:rFonts w:hint="cs"/>
          <w:rtl/>
        </w:rPr>
        <w:t xml:space="preserve"> </w:t>
      </w:r>
      <w:r w:rsidRPr="003955EB">
        <w:rPr>
          <w:rStyle w:val="af7"/>
          <w:rFonts w:eastAsia="Guttman Hodes" w:hint="cs"/>
          <w:rtl/>
        </w:rPr>
        <w:t xml:space="preserve">(עי' אותיות </w:t>
      </w:r>
      <w:r w:rsidRPr="003955EB">
        <w:rPr>
          <w:rStyle w:val="af7"/>
          <w:rFonts w:eastAsia="Guttman Hodes"/>
          <w:rtl/>
        </w:rPr>
        <w:fldChar w:fldCharType="begin"/>
      </w:r>
      <w:r w:rsidRPr="003955EB">
        <w:rPr>
          <w:rStyle w:val="af7"/>
          <w:rFonts w:eastAsia="Guttman Hodes"/>
          <w:rtl/>
        </w:rPr>
        <w:instrText xml:space="preserve"> </w:instrText>
      </w:r>
      <w:r w:rsidRPr="003955EB">
        <w:rPr>
          <w:rStyle w:val="af7"/>
          <w:rFonts w:eastAsia="Guttman Hodes" w:hint="cs"/>
        </w:rPr>
        <w:instrText>REF</w:instrText>
      </w:r>
      <w:r w:rsidRPr="003955EB">
        <w:rPr>
          <w:rStyle w:val="af7"/>
          <w:rFonts w:eastAsia="Guttman Hodes" w:hint="cs"/>
          <w:rtl/>
        </w:rPr>
        <w:instrText xml:space="preserve"> _</w:instrText>
      </w:r>
      <w:r w:rsidRPr="003955EB">
        <w:rPr>
          <w:rStyle w:val="af7"/>
          <w:rFonts w:eastAsia="Guttman Hodes" w:hint="cs"/>
        </w:rPr>
        <w:instrText>Ref522188142 \r \h</w:instrText>
      </w:r>
      <w:r w:rsidRPr="003955EB">
        <w:rPr>
          <w:rStyle w:val="af7"/>
          <w:rFonts w:eastAsia="Guttman Hodes"/>
          <w:rtl/>
        </w:rPr>
        <w:instrText xml:space="preserve"> </w:instrText>
      </w:r>
      <w:r w:rsidRPr="003955EB">
        <w:rPr>
          <w:rStyle w:val="af7"/>
          <w:rFonts w:eastAsia="Guttman Hodes"/>
          <w:rtl/>
        </w:rPr>
      </w:r>
      <w:r w:rsidRPr="003955EB">
        <w:rPr>
          <w:rStyle w:val="af7"/>
          <w:rFonts w:eastAsia="Guttman Hodes"/>
          <w:rtl/>
        </w:rPr>
        <w:fldChar w:fldCharType="separate"/>
      </w:r>
      <w:r w:rsidR="00345400">
        <w:rPr>
          <w:rStyle w:val="af7"/>
          <w:rFonts w:eastAsia="Guttman Hodes"/>
          <w:cs/>
        </w:rPr>
        <w:t>‎</w:t>
      </w:r>
      <w:r w:rsidR="00345400">
        <w:rPr>
          <w:rStyle w:val="af7"/>
          <w:rFonts w:eastAsia="Guttman Hodes"/>
          <w:rtl/>
        </w:rPr>
        <w:t>נז)</w:t>
      </w:r>
      <w:r w:rsidRPr="003955EB">
        <w:rPr>
          <w:rStyle w:val="af7"/>
          <w:rFonts w:eastAsia="Guttman Hodes"/>
          <w:rtl/>
        </w:rPr>
        <w:fldChar w:fldCharType="end"/>
      </w:r>
      <w:r w:rsidRPr="003955EB">
        <w:rPr>
          <w:rStyle w:val="af7"/>
          <w:rFonts w:eastAsia="Guttman Hodes" w:hint="cs"/>
          <w:rtl/>
        </w:rPr>
        <w:t xml:space="preserve"> </w:t>
      </w:r>
      <w:r w:rsidRPr="003955EB">
        <w:rPr>
          <w:rStyle w:val="af7"/>
          <w:rFonts w:eastAsia="Guttman Hodes"/>
          <w:rtl/>
        </w:rPr>
        <w:fldChar w:fldCharType="begin"/>
      </w:r>
      <w:r w:rsidRPr="003955EB">
        <w:rPr>
          <w:rStyle w:val="af7"/>
          <w:rFonts w:eastAsia="Guttman Hodes"/>
          <w:rtl/>
        </w:rPr>
        <w:instrText xml:space="preserve"> </w:instrText>
      </w:r>
      <w:r w:rsidRPr="003955EB">
        <w:rPr>
          <w:rStyle w:val="af7"/>
          <w:rFonts w:eastAsia="Guttman Hodes" w:hint="cs"/>
        </w:rPr>
        <w:instrText>REF</w:instrText>
      </w:r>
      <w:r w:rsidRPr="003955EB">
        <w:rPr>
          <w:rStyle w:val="af7"/>
          <w:rFonts w:eastAsia="Guttman Hodes" w:hint="cs"/>
          <w:rtl/>
        </w:rPr>
        <w:instrText xml:space="preserve"> _</w:instrText>
      </w:r>
      <w:r w:rsidRPr="003955EB">
        <w:rPr>
          <w:rStyle w:val="af7"/>
          <w:rFonts w:eastAsia="Guttman Hodes" w:hint="cs"/>
        </w:rPr>
        <w:instrText>Ref522196883 \r \h</w:instrText>
      </w:r>
      <w:r w:rsidRPr="003955EB">
        <w:rPr>
          <w:rStyle w:val="af7"/>
          <w:rFonts w:eastAsia="Guttman Hodes"/>
          <w:rtl/>
        </w:rPr>
        <w:instrText xml:space="preserve"> </w:instrText>
      </w:r>
      <w:r w:rsidRPr="003955EB">
        <w:rPr>
          <w:rStyle w:val="af7"/>
          <w:rFonts w:eastAsia="Guttman Hodes"/>
          <w:rtl/>
        </w:rPr>
      </w:r>
      <w:r w:rsidRPr="003955EB">
        <w:rPr>
          <w:rStyle w:val="af7"/>
          <w:rFonts w:eastAsia="Guttman Hodes"/>
          <w:rtl/>
        </w:rPr>
        <w:fldChar w:fldCharType="separate"/>
      </w:r>
      <w:r w:rsidR="00345400">
        <w:rPr>
          <w:rStyle w:val="af7"/>
          <w:rFonts w:eastAsia="Guttman Hodes"/>
          <w:cs/>
        </w:rPr>
        <w:t>‎</w:t>
      </w:r>
      <w:r w:rsidR="00345400">
        <w:rPr>
          <w:rStyle w:val="af7"/>
          <w:rFonts w:eastAsia="Guttman Hodes"/>
          <w:rtl/>
        </w:rPr>
        <w:t>סו)</w:t>
      </w:r>
      <w:r w:rsidRPr="003955EB">
        <w:rPr>
          <w:rStyle w:val="af7"/>
          <w:rFonts w:eastAsia="Guttman Hodes"/>
          <w:rtl/>
        </w:rPr>
        <w:fldChar w:fldCharType="end"/>
      </w:r>
      <w:r>
        <w:rPr>
          <w:rFonts w:hint="cs"/>
          <w:rtl/>
        </w:rPr>
        <w:t xml:space="preserve"> דדינא דאין מחזיקין מאיסור לאיסור, אינו רק מאיסור אבר מן החי לנבילה, אלא אף מאבר מן החי לטריפה,</w:t>
      </w:r>
      <w:r w:rsidRPr="00465313">
        <w:rPr>
          <w:rFonts w:hint="cs"/>
          <w:rtl/>
        </w:rPr>
        <w:t xml:space="preserve"> וכתבו </w:t>
      </w:r>
      <w:r w:rsidRPr="00465313">
        <w:rPr>
          <w:rStyle w:val="af9"/>
          <w:rFonts w:hint="cs"/>
          <w:rtl/>
        </w:rPr>
        <w:t xml:space="preserve">האו"ש </w:t>
      </w:r>
      <w:r w:rsidRPr="00306AE0">
        <w:rPr>
          <w:rStyle w:val="af7"/>
          <w:rFonts w:eastAsia="Guttman Hodes" w:hint="cs"/>
          <w:rtl/>
        </w:rPr>
        <w:t>(שחיטה א' י"ג</w:t>
      </w:r>
      <w:r>
        <w:rPr>
          <w:rStyle w:val="af7"/>
          <w:rFonts w:eastAsia="Guttman Hodes" w:hint="cs"/>
          <w:rtl/>
        </w:rPr>
        <w:t>)</w:t>
      </w:r>
      <w:r w:rsidRPr="00306AE0">
        <w:rPr>
          <w:rStyle w:val="af7"/>
          <w:rFonts w:eastAsia="Guttman Hodes" w:hint="cs"/>
          <w:rtl/>
        </w:rPr>
        <w:t xml:space="preserve"> </w:t>
      </w:r>
      <w:r w:rsidRPr="00465313">
        <w:rPr>
          <w:rStyle w:val="af9"/>
          <w:rFonts w:hint="cs"/>
          <w:rtl/>
        </w:rPr>
        <w:t>ורבי ראובן</w:t>
      </w:r>
      <w:r w:rsidRPr="00465313">
        <w:rPr>
          <w:rFonts w:hint="cs"/>
          <w:rtl/>
        </w:rPr>
        <w:t xml:space="preserve"> </w:t>
      </w:r>
      <w:r w:rsidRPr="003955EB">
        <w:rPr>
          <w:rStyle w:val="af7"/>
          <w:rFonts w:eastAsia="Guttman Hodes" w:hint="cs"/>
          <w:rtl/>
        </w:rPr>
        <w:t>(יבמות סי' כ"ז)</w:t>
      </w:r>
      <w:r>
        <w:rPr>
          <w:rFonts w:hint="cs"/>
          <w:rtl/>
        </w:rPr>
        <w:t xml:space="preserve"> </w:t>
      </w:r>
      <w:r w:rsidRPr="00465313">
        <w:rPr>
          <w:rFonts w:hint="cs"/>
          <w:rtl/>
        </w:rPr>
        <w:t xml:space="preserve">דמבואר מדברי </w:t>
      </w:r>
      <w:r w:rsidRPr="00465313">
        <w:rPr>
          <w:rStyle w:val="af9"/>
          <w:rFonts w:hint="cs"/>
          <w:rtl/>
        </w:rPr>
        <w:t xml:space="preserve">הש"ש </w:t>
      </w:r>
      <w:r w:rsidRPr="00465313">
        <w:rPr>
          <w:rFonts w:hint="cs"/>
          <w:rtl/>
        </w:rPr>
        <w:t xml:space="preserve">דבכל איסור </w:t>
      </w:r>
      <w:r>
        <w:rPr>
          <w:rFonts w:hint="cs"/>
          <w:rtl/>
        </w:rPr>
        <w:t xml:space="preserve">שייך דינא </w:t>
      </w:r>
      <w:r w:rsidRPr="00465313">
        <w:rPr>
          <w:rFonts w:hint="cs"/>
          <w:rtl/>
        </w:rPr>
        <w:t>דמחזיקין מאיסור לאיסור, ולא רק מאיסור אבר מן החי לנבילה.</w:t>
      </w:r>
      <w:bookmarkEnd w:id="1139"/>
    </w:p>
    <w:p w14:paraId="0A797B00" w14:textId="77777777" w:rsidR="00852065" w:rsidRPr="000D48E7" w:rsidRDefault="00852065" w:rsidP="006D6D32">
      <w:pPr>
        <w:pStyle w:val="a3"/>
        <w:rPr>
          <w:rtl/>
        </w:rPr>
      </w:pPr>
      <w:bookmarkStart w:id="1140" w:name="_Toc522200150"/>
      <w:bookmarkStart w:id="1141" w:name="_Toc19389037"/>
      <w:bookmarkStart w:id="1142" w:name="_Toc19392534"/>
      <w:r>
        <w:rPr>
          <w:rFonts w:hint="cs"/>
          <w:rtl/>
        </w:rPr>
        <w:t>דברי המהרי"ט והש"ש דדינא דמחזיקין הוא בכל ב' איסורים אף שהוא איסור מעלמא</w:t>
      </w:r>
      <w:bookmarkEnd w:id="1140"/>
      <w:bookmarkEnd w:id="1141"/>
      <w:bookmarkEnd w:id="1142"/>
    </w:p>
    <w:p w14:paraId="717060F9" w14:textId="77777777" w:rsidR="00852065" w:rsidRPr="00A052B7" w:rsidRDefault="00852065" w:rsidP="00223668">
      <w:pPr>
        <w:pStyle w:val="a0"/>
        <w:rPr>
          <w:rtl/>
        </w:rPr>
      </w:pPr>
      <w:r>
        <w:rPr>
          <w:rFonts w:hint="cs"/>
          <w:rtl/>
        </w:rPr>
        <w:t xml:space="preserve">ועוד הביא </w:t>
      </w:r>
      <w:r w:rsidRPr="00401465">
        <w:rPr>
          <w:rStyle w:val="af9"/>
          <w:rFonts w:hint="cs"/>
          <w:rtl/>
        </w:rPr>
        <w:t>הש"ש</w:t>
      </w:r>
      <w:r>
        <w:rPr>
          <w:rFonts w:hint="cs"/>
          <w:rtl/>
        </w:rPr>
        <w:t xml:space="preserve"> </w:t>
      </w:r>
      <w:r w:rsidRPr="003955EB">
        <w:rPr>
          <w:rStyle w:val="af7"/>
          <w:rFonts w:eastAsia="Guttman Hodes" w:hint="cs"/>
          <w:rtl/>
        </w:rPr>
        <w:t xml:space="preserve">(עי' אות </w:t>
      </w:r>
      <w:r w:rsidRPr="003955EB">
        <w:rPr>
          <w:rStyle w:val="af7"/>
          <w:rFonts w:eastAsia="Guttman Hodes"/>
          <w:rtl/>
        </w:rPr>
        <w:fldChar w:fldCharType="begin"/>
      </w:r>
      <w:r w:rsidRPr="003955EB">
        <w:rPr>
          <w:rStyle w:val="af7"/>
          <w:rFonts w:eastAsia="Guttman Hodes"/>
          <w:rtl/>
        </w:rPr>
        <w:instrText xml:space="preserve"> </w:instrText>
      </w:r>
      <w:r w:rsidRPr="003955EB">
        <w:rPr>
          <w:rStyle w:val="af7"/>
          <w:rFonts w:eastAsia="Guttman Hodes" w:hint="cs"/>
        </w:rPr>
        <w:instrText>REF</w:instrText>
      </w:r>
      <w:r w:rsidRPr="003955EB">
        <w:rPr>
          <w:rStyle w:val="af7"/>
          <w:rFonts w:eastAsia="Guttman Hodes" w:hint="cs"/>
          <w:rtl/>
        </w:rPr>
        <w:instrText xml:space="preserve"> _</w:instrText>
      </w:r>
      <w:r w:rsidRPr="003955EB">
        <w:rPr>
          <w:rStyle w:val="af7"/>
          <w:rFonts w:eastAsia="Guttman Hodes" w:hint="cs"/>
        </w:rPr>
        <w:instrText>Ref522197029 \r \h</w:instrText>
      </w:r>
      <w:r w:rsidRPr="003955EB">
        <w:rPr>
          <w:rStyle w:val="af7"/>
          <w:rFonts w:eastAsia="Guttman Hodes"/>
          <w:rtl/>
        </w:rPr>
        <w:instrText xml:space="preserve"> </w:instrText>
      </w:r>
      <w:r w:rsidRPr="003955EB">
        <w:rPr>
          <w:rStyle w:val="af7"/>
          <w:rFonts w:eastAsia="Guttman Hodes"/>
          <w:rtl/>
        </w:rPr>
      </w:r>
      <w:r w:rsidRPr="003955EB">
        <w:rPr>
          <w:rStyle w:val="af7"/>
          <w:rFonts w:eastAsia="Guttman Hodes"/>
          <w:rtl/>
        </w:rPr>
        <w:fldChar w:fldCharType="separate"/>
      </w:r>
      <w:r w:rsidR="00345400">
        <w:rPr>
          <w:rStyle w:val="af7"/>
          <w:rFonts w:eastAsia="Guttman Hodes"/>
          <w:cs/>
        </w:rPr>
        <w:t>‎</w:t>
      </w:r>
      <w:r w:rsidR="00345400">
        <w:rPr>
          <w:rStyle w:val="af7"/>
          <w:rFonts w:eastAsia="Guttman Hodes"/>
          <w:rtl/>
        </w:rPr>
        <w:t>ס)</w:t>
      </w:r>
      <w:r w:rsidRPr="003955EB">
        <w:rPr>
          <w:rStyle w:val="af7"/>
          <w:rFonts w:eastAsia="Guttman Hodes"/>
          <w:rtl/>
        </w:rPr>
        <w:fldChar w:fldCharType="end"/>
      </w:r>
      <w:r>
        <w:rPr>
          <w:rFonts w:hint="cs"/>
          <w:rtl/>
        </w:rPr>
        <w:t xml:space="preserve"> את דברי </w:t>
      </w:r>
      <w:r w:rsidRPr="00401465">
        <w:rPr>
          <w:rStyle w:val="af9"/>
          <w:rFonts w:hint="cs"/>
          <w:rtl/>
        </w:rPr>
        <w:t>המהרי"ט</w:t>
      </w:r>
      <w:r>
        <w:rPr>
          <w:rFonts w:hint="cs"/>
          <w:rtl/>
        </w:rPr>
        <w:t xml:space="preserve">, שהביא ראיות דמחזיקין מאיסור לאיסור, מדינא דנזיר בטומאת התהום, וכן הביא </w:t>
      </w:r>
      <w:r w:rsidRPr="00401465">
        <w:rPr>
          <w:rStyle w:val="af9"/>
          <w:rFonts w:hint="cs"/>
          <w:rtl/>
        </w:rPr>
        <w:t>המהרי"ט</w:t>
      </w:r>
      <w:r>
        <w:rPr>
          <w:rFonts w:hint="cs"/>
          <w:rtl/>
        </w:rPr>
        <w:t xml:space="preserve"> ראיה מטומאת נגעים ומעוד דינים, והאריך </w:t>
      </w:r>
      <w:r w:rsidRPr="00401465">
        <w:rPr>
          <w:rStyle w:val="af9"/>
          <w:rFonts w:hint="cs"/>
          <w:rtl/>
        </w:rPr>
        <w:t>הש"ש</w:t>
      </w:r>
      <w:r>
        <w:rPr>
          <w:rFonts w:hint="cs"/>
          <w:rtl/>
        </w:rPr>
        <w:t xml:space="preserve"> </w:t>
      </w:r>
      <w:r w:rsidRPr="003716F2">
        <w:rPr>
          <w:rStyle w:val="af7"/>
          <w:rFonts w:eastAsia="Guttman Hodes" w:hint="cs"/>
          <w:rtl/>
        </w:rPr>
        <w:t xml:space="preserve">(עי' אות </w:t>
      </w:r>
      <w:r w:rsidRPr="003716F2">
        <w:rPr>
          <w:rStyle w:val="af7"/>
          <w:rFonts w:eastAsia="Guttman Hodes"/>
          <w:rtl/>
        </w:rPr>
        <w:fldChar w:fldCharType="begin"/>
      </w:r>
      <w:r w:rsidRPr="003716F2">
        <w:rPr>
          <w:rStyle w:val="af7"/>
          <w:rFonts w:eastAsia="Guttman Hodes"/>
          <w:rtl/>
        </w:rPr>
        <w:instrText xml:space="preserve"> </w:instrText>
      </w:r>
      <w:r w:rsidRPr="003716F2">
        <w:rPr>
          <w:rStyle w:val="af7"/>
          <w:rFonts w:eastAsia="Guttman Hodes" w:hint="cs"/>
        </w:rPr>
        <w:instrText>REF</w:instrText>
      </w:r>
      <w:r w:rsidRPr="003716F2">
        <w:rPr>
          <w:rStyle w:val="af7"/>
          <w:rFonts w:eastAsia="Guttman Hodes" w:hint="cs"/>
          <w:rtl/>
        </w:rPr>
        <w:instrText xml:space="preserve"> _</w:instrText>
      </w:r>
      <w:r w:rsidRPr="003716F2">
        <w:rPr>
          <w:rStyle w:val="af7"/>
          <w:rFonts w:eastAsia="Guttman Hodes" w:hint="cs"/>
        </w:rPr>
        <w:instrText>Ref522197059 \r \h</w:instrText>
      </w:r>
      <w:r w:rsidRPr="003716F2">
        <w:rPr>
          <w:rStyle w:val="af7"/>
          <w:rFonts w:eastAsia="Guttman Hodes"/>
          <w:rtl/>
        </w:rPr>
        <w:instrText xml:space="preserve"> </w:instrText>
      </w:r>
      <w:r w:rsidRPr="003716F2">
        <w:rPr>
          <w:rStyle w:val="af7"/>
          <w:rFonts w:eastAsia="Guttman Hodes"/>
          <w:rtl/>
        </w:rPr>
      </w:r>
      <w:r w:rsidRPr="003716F2">
        <w:rPr>
          <w:rStyle w:val="af7"/>
          <w:rFonts w:eastAsia="Guttman Hodes"/>
          <w:rtl/>
        </w:rPr>
        <w:fldChar w:fldCharType="separate"/>
      </w:r>
      <w:r w:rsidR="00345400">
        <w:rPr>
          <w:rStyle w:val="af7"/>
          <w:rFonts w:eastAsia="Guttman Hodes"/>
          <w:cs/>
        </w:rPr>
        <w:t>‎</w:t>
      </w:r>
      <w:r w:rsidR="00345400">
        <w:rPr>
          <w:rStyle w:val="af7"/>
          <w:rFonts w:eastAsia="Guttman Hodes"/>
          <w:rtl/>
        </w:rPr>
        <w:t>סא)</w:t>
      </w:r>
      <w:r w:rsidRPr="003716F2">
        <w:rPr>
          <w:rStyle w:val="af7"/>
          <w:rFonts w:eastAsia="Guttman Hodes"/>
          <w:rtl/>
        </w:rPr>
        <w:fldChar w:fldCharType="end"/>
      </w:r>
      <w:r>
        <w:rPr>
          <w:rFonts w:hint="cs"/>
          <w:rtl/>
        </w:rPr>
        <w:t xml:space="preserve"> לדחות את ראיות </w:t>
      </w:r>
      <w:r w:rsidRPr="00401465">
        <w:rPr>
          <w:rStyle w:val="af9"/>
          <w:rFonts w:hint="cs"/>
          <w:rtl/>
        </w:rPr>
        <w:t>המהרי"ט</w:t>
      </w:r>
      <w:r>
        <w:rPr>
          <w:rFonts w:hint="cs"/>
          <w:rtl/>
        </w:rPr>
        <w:t>,</w:t>
      </w:r>
      <w:r w:rsidRPr="004C7D40">
        <w:rPr>
          <w:rFonts w:hint="cs"/>
          <w:rtl/>
        </w:rPr>
        <w:t xml:space="preserve"> </w:t>
      </w:r>
      <w:r>
        <w:rPr>
          <w:rFonts w:hint="cs"/>
          <w:rtl/>
        </w:rPr>
        <w:t xml:space="preserve">וכתב </w:t>
      </w:r>
      <w:r w:rsidRPr="00C844E3">
        <w:rPr>
          <w:rStyle w:val="af9"/>
          <w:rFonts w:hint="cs"/>
          <w:rtl/>
        </w:rPr>
        <w:t>הש"ש</w:t>
      </w:r>
      <w:r>
        <w:rPr>
          <w:rFonts w:hint="cs"/>
          <w:rtl/>
        </w:rPr>
        <w:t xml:space="preserve"> דנחלקו </w:t>
      </w:r>
      <w:r w:rsidRPr="00C844E3">
        <w:rPr>
          <w:rStyle w:val="af9"/>
          <w:rFonts w:hint="cs"/>
          <w:rtl/>
        </w:rPr>
        <w:t>רש"י ותוס'</w:t>
      </w:r>
      <w:r>
        <w:rPr>
          <w:rFonts w:hint="cs"/>
          <w:rtl/>
        </w:rPr>
        <w:t xml:space="preserve"> בדין מחזיקין מאיסור לאיסור. ומבואר מדברי </w:t>
      </w:r>
      <w:r w:rsidRPr="00C844E3">
        <w:rPr>
          <w:rStyle w:val="af9"/>
          <w:rFonts w:hint="cs"/>
          <w:rtl/>
        </w:rPr>
        <w:t>הש"ש והמהרי"ט</w:t>
      </w:r>
      <w:r>
        <w:rPr>
          <w:rFonts w:hint="cs"/>
          <w:rtl/>
        </w:rPr>
        <w:t xml:space="preserve"> דבכל ב' איסורים שונים, אף שאין להם כל שייכות, שייך דינא דמחזיקין מאיסור לאיסור.</w:t>
      </w:r>
    </w:p>
    <w:p w14:paraId="7F453693" w14:textId="77777777" w:rsidR="00852065" w:rsidRDefault="00852065" w:rsidP="006D6D32">
      <w:pPr>
        <w:pStyle w:val="a3"/>
        <w:rPr>
          <w:rtl/>
        </w:rPr>
      </w:pPr>
      <w:bookmarkStart w:id="1143" w:name="_Toc522200151"/>
      <w:bookmarkStart w:id="1144" w:name="_Toc19389038"/>
      <w:bookmarkStart w:id="1145" w:name="_Toc19392535"/>
      <w:r>
        <w:rPr>
          <w:rFonts w:hint="cs"/>
          <w:rtl/>
        </w:rPr>
        <w:t>דברי ה</w:t>
      </w:r>
      <w:r w:rsidR="00345400">
        <w:rPr>
          <w:rFonts w:hint="cs"/>
          <w:rtl/>
        </w:rPr>
        <w:t>פלתי</w:t>
      </w:r>
      <w:r>
        <w:rPr>
          <w:rFonts w:hint="cs"/>
          <w:rtl/>
        </w:rPr>
        <w:t xml:space="preserve"> דאף לאיסור שחיטה בתקרובת ע"ז מחזיקין מאבר מן החי דלא נשחטה בהיתר</w:t>
      </w:r>
      <w:bookmarkEnd w:id="1143"/>
      <w:bookmarkEnd w:id="1144"/>
      <w:bookmarkEnd w:id="1145"/>
    </w:p>
    <w:p w14:paraId="1D4BAB00" w14:textId="77777777" w:rsidR="00852065" w:rsidRDefault="00852065" w:rsidP="00223668">
      <w:pPr>
        <w:pStyle w:val="a0"/>
        <w:rPr>
          <w:rtl/>
        </w:rPr>
      </w:pPr>
      <w:bookmarkStart w:id="1146" w:name="_Ref522197252"/>
      <w:r>
        <w:rPr>
          <w:rFonts w:hint="cs"/>
          <w:rtl/>
        </w:rPr>
        <w:t xml:space="preserve">וכן מבואר </w:t>
      </w:r>
      <w:r>
        <w:rPr>
          <w:rStyle w:val="af9"/>
          <w:rFonts w:hint="cs"/>
          <w:rtl/>
        </w:rPr>
        <w:t>ב</w:t>
      </w:r>
      <w:r w:rsidR="00345400">
        <w:rPr>
          <w:rStyle w:val="af9"/>
          <w:rFonts w:hint="cs"/>
          <w:rtl/>
        </w:rPr>
        <w:t>פלתי</w:t>
      </w:r>
      <w:r w:rsidRPr="000B2804">
        <w:rPr>
          <w:rStyle w:val="af9"/>
          <w:rFonts w:hint="cs"/>
          <w:rtl/>
        </w:rPr>
        <w:t xml:space="preserve"> </w:t>
      </w:r>
      <w:r w:rsidRPr="000B2804">
        <w:rPr>
          <w:rStyle w:val="af7"/>
          <w:rFonts w:eastAsia="Guttman Hodes" w:hint="cs"/>
          <w:rtl/>
        </w:rPr>
        <w:t xml:space="preserve">(יו"ד סי' ד' אות ב') </w:t>
      </w:r>
      <w:r>
        <w:rPr>
          <w:rFonts w:hint="cs"/>
          <w:rtl/>
        </w:rPr>
        <w:t xml:space="preserve">דכתב דהדין דבספק בשחיטה אמרינן דבהמה בחייה בחזקת איסור עומדת, הוא אוסר אף במקום שיש ספק בדין תקרובת ע"ז, דאם שחטה לע"ז אי"ז שחיטה דהוא שחיטת זבחי מתים, וכתב </w:t>
      </w:r>
      <w:r w:rsidRPr="000B2804">
        <w:rPr>
          <w:rStyle w:val="af9"/>
          <w:rFonts w:hint="cs"/>
          <w:rtl/>
        </w:rPr>
        <w:t>הגרעק"א</w:t>
      </w:r>
      <w:r>
        <w:rPr>
          <w:rFonts w:hint="cs"/>
          <w:rtl/>
        </w:rPr>
        <w:t xml:space="preserve"> </w:t>
      </w:r>
      <w:r w:rsidRPr="000B2804">
        <w:rPr>
          <w:rStyle w:val="af7"/>
          <w:rFonts w:eastAsia="Guttman Hodes" w:hint="cs"/>
          <w:rtl/>
        </w:rPr>
        <w:t>(יו"ד ד' סק"ב)</w:t>
      </w:r>
      <w:r>
        <w:rPr>
          <w:rFonts w:hint="cs"/>
          <w:rtl/>
        </w:rPr>
        <w:t xml:space="preserve"> דמבואר</w:t>
      </w:r>
      <w:r w:rsidRPr="00BA6EB6">
        <w:rPr>
          <w:rStyle w:val="af9"/>
          <w:rFonts w:hint="cs"/>
          <w:rtl/>
        </w:rPr>
        <w:t xml:space="preserve"> ב</w:t>
      </w:r>
      <w:r w:rsidR="00345400">
        <w:rPr>
          <w:rStyle w:val="af9"/>
          <w:rFonts w:hint="cs"/>
          <w:rtl/>
        </w:rPr>
        <w:t>פלתי</w:t>
      </w:r>
      <w:r>
        <w:rPr>
          <w:rFonts w:hint="cs"/>
          <w:rtl/>
        </w:rPr>
        <w:t xml:space="preserve"> דאף בב' איסורים שונים, מחזיקין מאיסור לאיסור, ודחה </w:t>
      </w:r>
      <w:r w:rsidRPr="007D47DB">
        <w:rPr>
          <w:rStyle w:val="af9"/>
          <w:rFonts w:hint="cs"/>
          <w:rtl/>
        </w:rPr>
        <w:t>הגרעק"א</w:t>
      </w:r>
      <w:r>
        <w:rPr>
          <w:rFonts w:hint="cs"/>
          <w:rtl/>
        </w:rPr>
        <w:t xml:space="preserve"> </w:t>
      </w:r>
      <w:r w:rsidRPr="003716F2">
        <w:rPr>
          <w:rStyle w:val="af7"/>
          <w:rFonts w:eastAsia="Guttman Hodes" w:hint="cs"/>
          <w:rtl/>
        </w:rPr>
        <w:t xml:space="preserve">(עי' אות </w:t>
      </w:r>
      <w:r w:rsidRPr="003716F2">
        <w:rPr>
          <w:rStyle w:val="af7"/>
          <w:rFonts w:eastAsia="Guttman Hodes"/>
          <w:rtl/>
        </w:rPr>
        <w:fldChar w:fldCharType="begin"/>
      </w:r>
      <w:r w:rsidRPr="003716F2">
        <w:rPr>
          <w:rStyle w:val="af7"/>
          <w:rFonts w:eastAsia="Guttman Hodes"/>
          <w:rtl/>
        </w:rPr>
        <w:instrText xml:space="preserve"> </w:instrText>
      </w:r>
      <w:r w:rsidRPr="003716F2">
        <w:rPr>
          <w:rStyle w:val="af7"/>
          <w:rFonts w:eastAsia="Guttman Hodes" w:hint="cs"/>
        </w:rPr>
        <w:instrText>REF</w:instrText>
      </w:r>
      <w:r w:rsidRPr="003716F2">
        <w:rPr>
          <w:rStyle w:val="af7"/>
          <w:rFonts w:eastAsia="Guttman Hodes" w:hint="cs"/>
          <w:rtl/>
        </w:rPr>
        <w:instrText xml:space="preserve"> _</w:instrText>
      </w:r>
      <w:r w:rsidRPr="003716F2">
        <w:rPr>
          <w:rStyle w:val="af7"/>
          <w:rFonts w:eastAsia="Guttman Hodes" w:hint="cs"/>
        </w:rPr>
        <w:instrText>Ref522197111 \r \h</w:instrText>
      </w:r>
      <w:r w:rsidRPr="003716F2">
        <w:rPr>
          <w:rStyle w:val="af7"/>
          <w:rFonts w:eastAsia="Guttman Hodes"/>
          <w:rtl/>
        </w:rPr>
        <w:instrText xml:space="preserve"> </w:instrText>
      </w:r>
      <w:r w:rsidRPr="003716F2">
        <w:rPr>
          <w:rStyle w:val="af7"/>
          <w:rFonts w:eastAsia="Guttman Hodes"/>
          <w:rtl/>
        </w:rPr>
      </w:r>
      <w:r w:rsidRPr="003716F2">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3716F2">
        <w:rPr>
          <w:rStyle w:val="af7"/>
          <w:rFonts w:eastAsia="Guttman Hodes"/>
          <w:rtl/>
        </w:rPr>
        <w:fldChar w:fldCharType="end"/>
      </w:r>
      <w:r w:rsidRPr="003716F2">
        <w:rPr>
          <w:rStyle w:val="af7"/>
          <w:rFonts w:eastAsia="Guttman Hodes" w:hint="cs"/>
          <w:rtl/>
        </w:rPr>
        <w:t xml:space="preserve"> </w:t>
      </w:r>
      <w:r>
        <w:rPr>
          <w:rFonts w:hint="cs"/>
          <w:rtl/>
        </w:rPr>
        <w:t xml:space="preserve">את דברי </w:t>
      </w:r>
      <w:r w:rsidRPr="007D47DB">
        <w:rPr>
          <w:rStyle w:val="af9"/>
          <w:rFonts w:hint="cs"/>
          <w:rtl/>
        </w:rPr>
        <w:t>ה</w:t>
      </w:r>
      <w:r w:rsidR="00345400">
        <w:rPr>
          <w:rStyle w:val="af9"/>
          <w:rFonts w:hint="cs"/>
          <w:rtl/>
        </w:rPr>
        <w:t>פלתי</w:t>
      </w:r>
      <w:r>
        <w:rPr>
          <w:rFonts w:hint="cs"/>
          <w:rtl/>
        </w:rPr>
        <w:t>.</w:t>
      </w:r>
      <w:bookmarkEnd w:id="1146"/>
    </w:p>
    <w:p w14:paraId="7AEBF3BE" w14:textId="77777777" w:rsidR="00852065" w:rsidRDefault="00852065" w:rsidP="00BF39B2">
      <w:pPr>
        <w:pStyle w:val="1"/>
        <w:rPr>
          <w:rtl/>
        </w:rPr>
      </w:pPr>
      <w:bookmarkStart w:id="1147" w:name="_Toc522200152"/>
      <w:bookmarkStart w:id="1148" w:name="_Toc19389039"/>
      <w:bookmarkStart w:id="1149" w:name="_Toc19392536"/>
      <w:r>
        <w:rPr>
          <w:rFonts w:hint="cs"/>
          <w:rtl/>
        </w:rPr>
        <w:t>דעת הרשב"א והשיטמ"ק דרק מאבמה"ח לנבילה</w:t>
      </w:r>
      <w:r w:rsidRPr="00BA6EB6">
        <w:rPr>
          <w:rFonts w:hint="cs"/>
          <w:rtl/>
        </w:rPr>
        <w:t xml:space="preserve"> </w:t>
      </w:r>
      <w:r>
        <w:rPr>
          <w:rFonts w:hint="cs"/>
          <w:rtl/>
        </w:rPr>
        <w:t>מחזיקין</w:t>
      </w:r>
      <w:bookmarkEnd w:id="1147"/>
      <w:bookmarkEnd w:id="1148"/>
      <w:bookmarkEnd w:id="1149"/>
    </w:p>
    <w:p w14:paraId="48F2AA92" w14:textId="77777777" w:rsidR="00852065" w:rsidRDefault="00852065" w:rsidP="006D6D32">
      <w:pPr>
        <w:pStyle w:val="a3"/>
      </w:pPr>
      <w:bookmarkStart w:id="1150" w:name="_Toc522200153"/>
      <w:bookmarkStart w:id="1151" w:name="_Toc19389040"/>
      <w:bookmarkStart w:id="1152" w:name="_Toc19392537"/>
      <w:r>
        <w:rPr>
          <w:rFonts w:hint="cs"/>
          <w:rtl/>
        </w:rPr>
        <w:t>דברי האו"ש והבינת אדם דדעת הרשב"א דדוקא מאבר מן החי לנבילה מחזיקין</w:t>
      </w:r>
      <w:bookmarkEnd w:id="1150"/>
      <w:bookmarkEnd w:id="1151"/>
      <w:bookmarkEnd w:id="1152"/>
      <w:r w:rsidRPr="00200EDA">
        <w:rPr>
          <w:rFonts w:hint="cs"/>
          <w:rtl/>
        </w:rPr>
        <w:t xml:space="preserve"> </w:t>
      </w:r>
    </w:p>
    <w:p w14:paraId="20868845" w14:textId="77777777" w:rsidR="00852065" w:rsidRDefault="00852065" w:rsidP="00223668">
      <w:pPr>
        <w:pStyle w:val="a0"/>
        <w:rPr>
          <w:rtl/>
        </w:rPr>
      </w:pPr>
      <w:r>
        <w:rPr>
          <w:rFonts w:hint="cs"/>
          <w:rtl/>
        </w:rPr>
        <w:t xml:space="preserve">כתבו </w:t>
      </w:r>
      <w:r w:rsidRPr="00306AE0">
        <w:rPr>
          <w:rStyle w:val="af9"/>
          <w:rFonts w:hint="cs"/>
          <w:rtl/>
        </w:rPr>
        <w:t>האו"ש</w:t>
      </w:r>
      <w:r>
        <w:rPr>
          <w:rFonts w:hint="cs"/>
          <w:rtl/>
        </w:rPr>
        <w:t xml:space="preserve">  </w:t>
      </w:r>
      <w:r w:rsidRPr="00306AE0">
        <w:rPr>
          <w:rStyle w:val="af7"/>
          <w:rFonts w:eastAsia="Guttman Hodes" w:hint="cs"/>
          <w:rtl/>
        </w:rPr>
        <w:t xml:space="preserve">(שחיטה א' י"ג ד"ה </w:t>
      </w:r>
      <w:r>
        <w:rPr>
          <w:rStyle w:val="af7"/>
          <w:rFonts w:eastAsia="Guttman Hodes" w:hint="cs"/>
          <w:rtl/>
        </w:rPr>
        <w:t>ונראה דלפי</w:t>
      </w:r>
      <w:r w:rsidRPr="00306AE0">
        <w:rPr>
          <w:rStyle w:val="af7"/>
          <w:rFonts w:eastAsia="Guttman Hodes" w:hint="cs"/>
          <w:rtl/>
        </w:rPr>
        <w:t xml:space="preserve">) </w:t>
      </w:r>
      <w:r>
        <w:rPr>
          <w:rStyle w:val="af9"/>
          <w:rFonts w:hint="cs"/>
          <w:rtl/>
        </w:rPr>
        <w:t>וה</w:t>
      </w:r>
      <w:r w:rsidRPr="00C10118">
        <w:rPr>
          <w:rStyle w:val="af9"/>
          <w:rFonts w:hint="cs"/>
          <w:rtl/>
        </w:rPr>
        <w:t>בינת אדם</w:t>
      </w:r>
      <w:r w:rsidRPr="00C10118">
        <w:rPr>
          <w:rStyle w:val="af7"/>
          <w:rFonts w:eastAsia="Guttman Hodes" w:hint="cs"/>
          <w:rtl/>
        </w:rPr>
        <w:t xml:space="preserve"> (שער רוב וחזקה סי</w:t>
      </w:r>
      <w:r>
        <w:rPr>
          <w:rStyle w:val="af7"/>
          <w:rFonts w:eastAsia="Guttman Hodes" w:hint="cs"/>
          <w:rtl/>
        </w:rPr>
        <w:t>'</w:t>
      </w:r>
      <w:r w:rsidRPr="00C10118">
        <w:rPr>
          <w:rStyle w:val="af7"/>
          <w:rFonts w:eastAsia="Guttman Hodes" w:hint="cs"/>
          <w:rtl/>
        </w:rPr>
        <w:t xml:space="preserve"> כ</w:t>
      </w:r>
      <w:r>
        <w:rPr>
          <w:rStyle w:val="af7"/>
          <w:rFonts w:eastAsia="Guttman Hodes" w:hint="cs"/>
          <w:rtl/>
        </w:rPr>
        <w:t>"</w:t>
      </w:r>
      <w:r w:rsidRPr="00C10118">
        <w:rPr>
          <w:rStyle w:val="af7"/>
          <w:rFonts w:eastAsia="Guttman Hodes" w:hint="cs"/>
          <w:rtl/>
        </w:rPr>
        <w:t xml:space="preserve">ב) </w:t>
      </w:r>
      <w:r>
        <w:rPr>
          <w:rStyle w:val="af9"/>
          <w:rFonts w:hint="cs"/>
          <w:rtl/>
        </w:rPr>
        <w:t>דמה</w:t>
      </w:r>
      <w:r w:rsidRPr="00306AE0">
        <w:rPr>
          <w:rStyle w:val="af9"/>
          <w:rFonts w:hint="cs"/>
          <w:rtl/>
        </w:rPr>
        <w:t>רשב"א ביבמות</w:t>
      </w:r>
      <w:r w:rsidRPr="001E37FA">
        <w:rPr>
          <w:rStyle w:val="af7"/>
          <w:rFonts w:eastAsia="Guttman Hodes" w:hint="cs"/>
          <w:rtl/>
        </w:rPr>
        <w:t xml:space="preserve"> (עי'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Ref522187437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Pr>
          <w:rStyle w:val="af7"/>
          <w:rFonts w:eastAsia="Guttman Hodes"/>
          <w:rtl/>
        </w:rPr>
        <w:fldChar w:fldCharType="end"/>
      </w:r>
      <w:r w:rsidRPr="001E37FA">
        <w:rPr>
          <w:rStyle w:val="af7"/>
          <w:rFonts w:eastAsia="Guttman Hodes" w:hint="cs"/>
          <w:rtl/>
        </w:rPr>
        <w:t xml:space="preserve"> </w:t>
      </w:r>
      <w:r>
        <w:rPr>
          <w:rFonts w:hint="cs"/>
          <w:rtl/>
        </w:rPr>
        <w:t xml:space="preserve">מבואר דדוקא מאיסור אבר מן החי לנבילה מחזיקין מאיסור לאיסור, דכתב </w:t>
      </w:r>
      <w:r>
        <w:rPr>
          <w:rStyle w:val="af9"/>
          <w:rFonts w:hint="cs"/>
          <w:rtl/>
        </w:rPr>
        <w:t>ה</w:t>
      </w:r>
      <w:r w:rsidRPr="007C2CC4">
        <w:rPr>
          <w:rStyle w:val="af9"/>
          <w:rFonts w:hint="cs"/>
          <w:rtl/>
        </w:rPr>
        <w:t>רשב"א ביבמות</w:t>
      </w:r>
      <w:r>
        <w:rPr>
          <w:rFonts w:hint="cs"/>
          <w:rtl/>
        </w:rPr>
        <w:t xml:space="preserve"> דבספק שחיטה מחזיקין מאיסור לאיסור, כיון שמחיים הבהמה אסורה, ובכדי להתירה צריך שתתחדש בה שחיטה. וכתב </w:t>
      </w:r>
      <w:r w:rsidRPr="0016726C">
        <w:rPr>
          <w:rStyle w:val="af9"/>
          <w:rFonts w:hint="cs"/>
          <w:rtl/>
        </w:rPr>
        <w:t>האו"ש</w:t>
      </w:r>
      <w:r>
        <w:rPr>
          <w:rFonts w:hint="cs"/>
          <w:rtl/>
        </w:rPr>
        <w:t xml:space="preserve"> דמבואר מדבריו דכשפוקע האבר מן החי ממילא חייל איסור נבילה, ורק אם עושה מעשה מכוון שהוא השחיטה, לא חל איסור נבילה כשפוקע האבר מן החי, וכתבו </w:t>
      </w:r>
      <w:r w:rsidRPr="00306AE0">
        <w:rPr>
          <w:rStyle w:val="af9"/>
          <w:rFonts w:hint="cs"/>
          <w:rtl/>
        </w:rPr>
        <w:t>האו"ש</w:t>
      </w:r>
      <w:r>
        <w:rPr>
          <w:rFonts w:hint="cs"/>
          <w:rtl/>
        </w:rPr>
        <w:t xml:space="preserve"> </w:t>
      </w:r>
      <w:r>
        <w:rPr>
          <w:rStyle w:val="af9"/>
          <w:rFonts w:hint="cs"/>
          <w:rtl/>
        </w:rPr>
        <w:t>וה</w:t>
      </w:r>
      <w:r w:rsidRPr="00C10118">
        <w:rPr>
          <w:rStyle w:val="af9"/>
          <w:rFonts w:hint="cs"/>
          <w:rtl/>
        </w:rPr>
        <w:t>בינת אדם</w:t>
      </w:r>
      <w:r w:rsidRPr="00C10118">
        <w:rPr>
          <w:rStyle w:val="af7"/>
          <w:rFonts w:eastAsia="Guttman Hodes" w:hint="cs"/>
          <w:rtl/>
        </w:rPr>
        <w:t xml:space="preserve"> </w:t>
      </w:r>
      <w:r w:rsidRPr="00110C0D">
        <w:rPr>
          <w:rFonts w:hint="cs"/>
          <w:rtl/>
        </w:rPr>
        <w:t xml:space="preserve">דמבואר מזה דלאיסור טריפה לא מחזקינן מאיסור לאיסור, ודלא </w:t>
      </w:r>
      <w:r w:rsidRPr="00110C0D">
        <w:rPr>
          <w:rStyle w:val="af9"/>
          <w:rFonts w:hint="cs"/>
          <w:rtl/>
        </w:rPr>
        <w:t>כש"ש</w:t>
      </w:r>
      <w:r w:rsidRPr="00110C0D">
        <w:rPr>
          <w:rFonts w:hint="cs"/>
          <w:rtl/>
        </w:rPr>
        <w:t xml:space="preserve"> </w:t>
      </w:r>
      <w:r w:rsidRPr="003716F2">
        <w:rPr>
          <w:rStyle w:val="af7"/>
          <w:rFonts w:eastAsia="Guttman Hodes" w:hint="cs"/>
          <w:rtl/>
        </w:rPr>
        <w:t xml:space="preserve">(עי' אות </w:t>
      </w:r>
      <w:r w:rsidRPr="003716F2">
        <w:rPr>
          <w:rStyle w:val="af7"/>
          <w:rFonts w:eastAsia="Guttman Hodes"/>
          <w:rtl/>
        </w:rPr>
        <w:fldChar w:fldCharType="begin"/>
      </w:r>
      <w:r w:rsidRPr="003716F2">
        <w:rPr>
          <w:rStyle w:val="af7"/>
          <w:rFonts w:eastAsia="Guttman Hodes"/>
          <w:rtl/>
        </w:rPr>
        <w:instrText xml:space="preserve"> </w:instrText>
      </w:r>
      <w:r w:rsidRPr="003716F2">
        <w:rPr>
          <w:rStyle w:val="af7"/>
          <w:rFonts w:eastAsia="Guttman Hodes" w:hint="cs"/>
        </w:rPr>
        <w:instrText>REF</w:instrText>
      </w:r>
      <w:r w:rsidRPr="003716F2">
        <w:rPr>
          <w:rStyle w:val="af7"/>
          <w:rFonts w:eastAsia="Guttman Hodes" w:hint="cs"/>
          <w:rtl/>
        </w:rPr>
        <w:instrText xml:space="preserve"> _</w:instrText>
      </w:r>
      <w:r w:rsidRPr="003716F2">
        <w:rPr>
          <w:rStyle w:val="af7"/>
          <w:rFonts w:eastAsia="Guttman Hodes" w:hint="cs"/>
        </w:rPr>
        <w:instrText>Ref522197164 \r \h</w:instrText>
      </w:r>
      <w:r w:rsidRPr="003716F2">
        <w:rPr>
          <w:rStyle w:val="af7"/>
          <w:rFonts w:eastAsia="Guttman Hodes"/>
          <w:rtl/>
        </w:rPr>
        <w:instrText xml:space="preserve"> </w:instrText>
      </w:r>
      <w:r w:rsidRPr="003716F2">
        <w:rPr>
          <w:rStyle w:val="af7"/>
          <w:rFonts w:eastAsia="Guttman Hodes"/>
          <w:rtl/>
        </w:rPr>
      </w:r>
      <w:r w:rsidRPr="003716F2">
        <w:rPr>
          <w:rStyle w:val="af7"/>
          <w:rFonts w:eastAsia="Guttman Hodes"/>
          <w:rtl/>
        </w:rPr>
        <w:fldChar w:fldCharType="separate"/>
      </w:r>
      <w:r w:rsidR="00345400">
        <w:rPr>
          <w:rStyle w:val="af7"/>
          <w:rFonts w:eastAsia="Guttman Hodes"/>
          <w:cs/>
        </w:rPr>
        <w:t>‎</w:t>
      </w:r>
      <w:r w:rsidR="00345400">
        <w:rPr>
          <w:rStyle w:val="af7"/>
          <w:rFonts w:eastAsia="Guttman Hodes"/>
          <w:rtl/>
        </w:rPr>
        <w:t>יט)</w:t>
      </w:r>
      <w:r w:rsidRPr="003716F2">
        <w:rPr>
          <w:rStyle w:val="af7"/>
          <w:rFonts w:eastAsia="Guttman Hodes"/>
          <w:rtl/>
        </w:rPr>
        <w:fldChar w:fldCharType="end"/>
      </w:r>
      <w:r w:rsidRPr="00110C0D">
        <w:rPr>
          <w:rFonts w:hint="cs"/>
          <w:rtl/>
        </w:rPr>
        <w:t>,</w:t>
      </w:r>
      <w:r>
        <w:rPr>
          <w:rFonts w:hint="cs"/>
          <w:rtl/>
        </w:rPr>
        <w:t xml:space="preserve"> ועיי"ש במה שהאריך </w:t>
      </w:r>
      <w:r w:rsidRPr="00306AE0">
        <w:rPr>
          <w:rStyle w:val="af9"/>
          <w:rFonts w:hint="cs"/>
          <w:rtl/>
        </w:rPr>
        <w:t>האו"ש</w:t>
      </w:r>
      <w:r>
        <w:rPr>
          <w:rFonts w:hint="cs"/>
          <w:rtl/>
        </w:rPr>
        <w:t xml:space="preserve"> בזה.</w:t>
      </w:r>
    </w:p>
    <w:p w14:paraId="642681C0" w14:textId="77777777" w:rsidR="00852065" w:rsidRPr="00110C0D" w:rsidRDefault="00852065" w:rsidP="006D6D32">
      <w:pPr>
        <w:pStyle w:val="a3"/>
        <w:rPr>
          <w:rtl/>
        </w:rPr>
      </w:pPr>
      <w:bookmarkStart w:id="1153" w:name="_Toc522200154"/>
      <w:bookmarkStart w:id="1154" w:name="_Toc19389041"/>
      <w:bookmarkStart w:id="1155" w:name="_Toc19392538"/>
      <w:r>
        <w:rPr>
          <w:rFonts w:hint="cs"/>
          <w:rtl/>
        </w:rPr>
        <w:t>ביאור השיטמ"ק ברש"י דדדוקא מאבר מן החי לנבילה מחזיקין</w:t>
      </w:r>
      <w:bookmarkEnd w:id="1153"/>
      <w:bookmarkEnd w:id="1154"/>
      <w:bookmarkEnd w:id="1155"/>
    </w:p>
    <w:p w14:paraId="344C95EA" w14:textId="77777777" w:rsidR="00852065" w:rsidRDefault="00852065" w:rsidP="00223668">
      <w:pPr>
        <w:pStyle w:val="a0"/>
        <w:rPr>
          <w:rtl/>
        </w:rPr>
      </w:pPr>
      <w:r>
        <w:rPr>
          <w:rFonts w:hint="cs"/>
          <w:rtl/>
        </w:rPr>
        <w:t>וכן מבואר</w:t>
      </w:r>
      <w:r w:rsidRPr="00CC5E30">
        <w:rPr>
          <w:rStyle w:val="af9"/>
          <w:rFonts w:hint="cs"/>
          <w:rtl/>
        </w:rPr>
        <w:t xml:space="preserve"> </w:t>
      </w:r>
      <w:r w:rsidRPr="00787AA6">
        <w:rPr>
          <w:rStyle w:val="af9"/>
          <w:rFonts w:hint="cs"/>
          <w:rtl/>
        </w:rPr>
        <w:t>בשיטמ</w:t>
      </w:r>
      <w:r w:rsidRPr="00787AA6">
        <w:rPr>
          <w:rStyle w:val="af9"/>
          <w:rtl/>
        </w:rPr>
        <w:t>"</w:t>
      </w:r>
      <w:r w:rsidRPr="00787AA6">
        <w:rPr>
          <w:rStyle w:val="af9"/>
          <w:rFonts w:hint="cs"/>
          <w:rtl/>
        </w:rPr>
        <w:t>ק</w:t>
      </w:r>
      <w:r w:rsidRPr="00787AA6">
        <w:rPr>
          <w:rFonts w:hint="cs"/>
          <w:rtl/>
        </w:rPr>
        <w:t xml:space="preserve"> </w:t>
      </w:r>
      <w:r w:rsidRPr="00787AA6">
        <w:rPr>
          <w:rStyle w:val="af7"/>
          <w:rFonts w:eastAsia="Guttman Hodes" w:hint="cs"/>
          <w:rtl/>
        </w:rPr>
        <w:t>(</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Ref522197228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יד)</w:t>
      </w:r>
      <w:r>
        <w:rPr>
          <w:rStyle w:val="af7"/>
          <w:rFonts w:eastAsia="Guttman Hodes"/>
          <w:rtl/>
        </w:rPr>
        <w:fldChar w:fldCharType="end"/>
      </w:r>
      <w:r>
        <w:rPr>
          <w:rStyle w:val="af7"/>
          <w:rFonts w:eastAsia="Guttman Hodes" w:hint="cs"/>
          <w:rtl/>
        </w:rPr>
        <w:t xml:space="preserve"> </w:t>
      </w:r>
      <w:r>
        <w:rPr>
          <w:rFonts w:hint="cs"/>
          <w:rtl/>
        </w:rPr>
        <w:t>דביאר בדעת</w:t>
      </w:r>
      <w:r w:rsidRPr="00787AA6">
        <w:rPr>
          <w:rFonts w:hint="cs"/>
          <w:rtl/>
        </w:rPr>
        <w:t xml:space="preserve"> </w:t>
      </w:r>
      <w:r w:rsidRPr="00787AA6">
        <w:rPr>
          <w:rStyle w:val="af9"/>
          <w:rFonts w:hint="cs"/>
          <w:rtl/>
        </w:rPr>
        <w:t>רש"י</w:t>
      </w:r>
      <w:r w:rsidRPr="00787AA6">
        <w:rPr>
          <w:rFonts w:hint="cs"/>
          <w:rtl/>
        </w:rPr>
        <w:t xml:space="preserve"> </w:t>
      </w:r>
      <w:r>
        <w:rPr>
          <w:rFonts w:hint="cs"/>
          <w:rtl/>
        </w:rPr>
        <w:t>ד</w:t>
      </w:r>
      <w:r>
        <w:rPr>
          <w:rtl/>
        </w:rPr>
        <w:t>בספק בשחיטה</w:t>
      </w:r>
      <w:r>
        <w:rPr>
          <w:rFonts w:hint="cs"/>
          <w:rtl/>
        </w:rPr>
        <w:t xml:space="preserve"> שלא הייתה מותרת מעולם א"א להתירה</w:t>
      </w:r>
      <w:r w:rsidRPr="00D9360E">
        <w:rPr>
          <w:rFonts w:hint="cs"/>
          <w:rtl/>
        </w:rPr>
        <w:t xml:space="preserve"> </w:t>
      </w:r>
      <w:r>
        <w:rPr>
          <w:rFonts w:hint="cs"/>
          <w:rtl/>
        </w:rPr>
        <w:t xml:space="preserve">מספק, עד שיתברר אם נשחטה כראוי, </w:t>
      </w:r>
      <w:r w:rsidRPr="00787AA6">
        <w:rPr>
          <w:rFonts w:hint="cs"/>
          <w:rtl/>
        </w:rPr>
        <w:t>ד</w:t>
      </w:r>
      <w:r>
        <w:rPr>
          <w:rFonts w:hint="cs"/>
          <w:rtl/>
        </w:rPr>
        <w:t>אף שיצאה מכלל איסור אבר מן החי עדיין לא נכנסה לכלל היתר,</w:t>
      </w:r>
      <w:r w:rsidRPr="00CC5E30">
        <w:rPr>
          <w:rFonts w:hint="cs"/>
          <w:rtl/>
        </w:rPr>
        <w:t xml:space="preserve"> </w:t>
      </w:r>
      <w:r>
        <w:rPr>
          <w:rFonts w:hint="cs"/>
          <w:rtl/>
        </w:rPr>
        <w:t xml:space="preserve">ומבואר מדברי </w:t>
      </w:r>
      <w:r w:rsidRPr="00AA256F">
        <w:rPr>
          <w:rStyle w:val="af9"/>
          <w:rFonts w:hint="cs"/>
          <w:rtl/>
        </w:rPr>
        <w:t>השיטמ"ק</w:t>
      </w:r>
      <w:r>
        <w:rPr>
          <w:rFonts w:hint="cs"/>
          <w:rtl/>
        </w:rPr>
        <w:t xml:space="preserve"> דדוקא מאבר מן החי לנבילה, שייך דינא דמחזיקין מאיסור לאיסור, ולא באיסור דעלמא.</w:t>
      </w:r>
    </w:p>
    <w:p w14:paraId="792012D0" w14:textId="77777777" w:rsidR="00852065" w:rsidRDefault="00852065" w:rsidP="00BF39B2">
      <w:pPr>
        <w:pStyle w:val="1"/>
        <w:rPr>
          <w:rtl/>
        </w:rPr>
      </w:pPr>
      <w:bookmarkStart w:id="1156" w:name="_Toc522200155"/>
      <w:bookmarkStart w:id="1157" w:name="_Toc19389042"/>
      <w:bookmarkStart w:id="1158" w:name="_Toc19392539"/>
      <w:r>
        <w:rPr>
          <w:rFonts w:hint="cs"/>
          <w:rtl/>
        </w:rPr>
        <w:t>דעת הגרעק"א ד</w:t>
      </w:r>
      <w:bookmarkEnd w:id="1134"/>
      <w:bookmarkEnd w:id="1135"/>
      <w:r>
        <w:rPr>
          <w:rFonts w:hint="cs"/>
          <w:rtl/>
        </w:rPr>
        <w:t>רק מאבמה"ח לנבילה</w:t>
      </w:r>
      <w:r w:rsidRPr="00BA6EB6">
        <w:rPr>
          <w:rFonts w:hint="cs"/>
          <w:rtl/>
        </w:rPr>
        <w:t xml:space="preserve"> </w:t>
      </w:r>
      <w:r>
        <w:rPr>
          <w:rFonts w:hint="cs"/>
          <w:rtl/>
        </w:rPr>
        <w:t>מחזיקין לדעת רש"י</w:t>
      </w:r>
      <w:bookmarkEnd w:id="1156"/>
      <w:bookmarkEnd w:id="1157"/>
      <w:bookmarkEnd w:id="1158"/>
      <w:r w:rsidRPr="00787AA6">
        <w:rPr>
          <w:rFonts w:hint="cs"/>
          <w:rtl/>
        </w:rPr>
        <w:t xml:space="preserve"> </w:t>
      </w:r>
    </w:p>
    <w:p w14:paraId="5E7EA97A" w14:textId="77777777" w:rsidR="00852065" w:rsidRPr="00042F32" w:rsidRDefault="00852065" w:rsidP="006D6D32">
      <w:pPr>
        <w:pStyle w:val="a3"/>
        <w:rPr>
          <w:rtl/>
        </w:rPr>
      </w:pPr>
      <w:bookmarkStart w:id="1159" w:name="_Toc521361960"/>
      <w:bookmarkStart w:id="1160" w:name="_Toc522200156"/>
      <w:bookmarkStart w:id="1161" w:name="_Toc19389043"/>
      <w:bookmarkStart w:id="1162" w:name="_Toc19392540"/>
      <w:r>
        <w:rPr>
          <w:rFonts w:hint="cs"/>
          <w:rtl/>
        </w:rPr>
        <w:t>דברי הגרעק"א דמחזיקין דוקא מאבמה"ח לנבילה דבלא הכשר כל בהמה נבילה</w:t>
      </w:r>
      <w:bookmarkEnd w:id="1159"/>
      <w:bookmarkEnd w:id="1160"/>
      <w:bookmarkEnd w:id="1161"/>
      <w:bookmarkEnd w:id="1162"/>
    </w:p>
    <w:p w14:paraId="3C388729" w14:textId="77777777" w:rsidR="00852065" w:rsidRDefault="00852065" w:rsidP="00223668">
      <w:pPr>
        <w:pStyle w:val="a0"/>
      </w:pPr>
      <w:r>
        <w:rPr>
          <w:rFonts w:hint="cs"/>
          <w:rtl/>
        </w:rPr>
        <w:t xml:space="preserve">כתב </w:t>
      </w:r>
      <w:r w:rsidRPr="00234E88">
        <w:rPr>
          <w:rStyle w:val="af9"/>
          <w:rFonts w:hint="cs"/>
          <w:rtl/>
        </w:rPr>
        <w:t>הגרעק"א</w:t>
      </w:r>
      <w:r w:rsidRPr="00234E88">
        <w:rPr>
          <w:rStyle w:val="af7"/>
          <w:rFonts w:eastAsia="Guttman Hodes" w:hint="cs"/>
          <w:rtl/>
        </w:rPr>
        <w:t xml:space="preserve"> (ד"ה בהמה)</w:t>
      </w:r>
      <w:r>
        <w:rPr>
          <w:rFonts w:hint="cs"/>
          <w:rtl/>
        </w:rPr>
        <w:t xml:space="preserve"> דהא דלדעת </w:t>
      </w:r>
      <w:r w:rsidRPr="00234E88">
        <w:rPr>
          <w:rStyle w:val="af9"/>
          <w:rFonts w:hint="cs"/>
          <w:rtl/>
        </w:rPr>
        <w:t>רש"י</w:t>
      </w:r>
      <w:r>
        <w:rPr>
          <w:rFonts w:hint="cs"/>
          <w:rtl/>
        </w:rPr>
        <w:t xml:space="preserve"> מחזיקין מאיסור אבר מן החי לאיסור נבילה, היינו דוקא לאיסור נבילה כיון שדבכל בהמה שלא עושים בה מעשה שחיטה להכשירה, היא יוצאת מאיסור אבר מן החי לאיסור נבילה, ורק כשעושה תיקון במעשה שחיטה היא מותרת, ולכן כשיש ספק אם עשה בה מעשה המכשירה, מחזקינן לה שלא עשה בה מעשה תיקון כראוי. </w:t>
      </w:r>
    </w:p>
    <w:p w14:paraId="5FA60191" w14:textId="77777777" w:rsidR="00F54A0E" w:rsidRDefault="00F54A0E" w:rsidP="006D6D32">
      <w:pPr>
        <w:pStyle w:val="a3"/>
        <w:rPr>
          <w:rtl/>
        </w:rPr>
      </w:pPr>
      <w:bookmarkStart w:id="1163" w:name="_Toc521361961"/>
      <w:bookmarkStart w:id="1164" w:name="_Toc522200157"/>
    </w:p>
    <w:p w14:paraId="7E96F110" w14:textId="77777777" w:rsidR="00852065" w:rsidRDefault="00852065" w:rsidP="006D6D32">
      <w:pPr>
        <w:pStyle w:val="a3"/>
        <w:rPr>
          <w:rtl/>
        </w:rPr>
      </w:pPr>
      <w:bookmarkStart w:id="1165" w:name="_Toc19389044"/>
      <w:bookmarkStart w:id="1166" w:name="_Toc19392541"/>
      <w:r>
        <w:rPr>
          <w:rFonts w:hint="cs"/>
          <w:rtl/>
        </w:rPr>
        <w:t>דברי הגרעק"א דבספק שחיטה ובאיסור שבא מעלמא אין מחזיקין בנשחטה כראוי</w:t>
      </w:r>
      <w:bookmarkEnd w:id="1163"/>
      <w:bookmarkEnd w:id="1164"/>
      <w:bookmarkEnd w:id="1165"/>
      <w:bookmarkEnd w:id="1166"/>
    </w:p>
    <w:p w14:paraId="7FAAE766" w14:textId="77777777" w:rsidR="00852065" w:rsidRDefault="00852065" w:rsidP="00223668">
      <w:pPr>
        <w:pStyle w:val="a0"/>
        <w:rPr>
          <w:rtl/>
        </w:rPr>
      </w:pPr>
      <w:r>
        <w:rPr>
          <w:rFonts w:hint="cs"/>
          <w:rtl/>
        </w:rPr>
        <w:t xml:space="preserve">וכתב </w:t>
      </w:r>
      <w:r w:rsidRPr="00234E88">
        <w:rPr>
          <w:rStyle w:val="af9"/>
          <w:rFonts w:hint="cs"/>
          <w:rtl/>
        </w:rPr>
        <w:t>הגרעק"א</w:t>
      </w:r>
      <w:r>
        <w:rPr>
          <w:rFonts w:hint="cs"/>
          <w:rtl/>
        </w:rPr>
        <w:t xml:space="preserve"> דהיכא שנשחטה כראוי ויש ספק איסור אחר שבא מעלמא אף לדעת </w:t>
      </w:r>
      <w:r w:rsidRPr="00234E88">
        <w:rPr>
          <w:rStyle w:val="af9"/>
          <w:rFonts w:hint="cs"/>
          <w:rtl/>
        </w:rPr>
        <w:t>רש"י</w:t>
      </w:r>
      <w:r>
        <w:rPr>
          <w:rFonts w:hint="cs"/>
          <w:rtl/>
        </w:rPr>
        <w:t xml:space="preserve"> אין מחזיקין מאיסור לאיסור, דכיון שהתיקון בשחיטה נעשה כראוי ונסתלק איסור אבר מן החי, מעמידים אותה בחזקת היתר, ולכן בספק טריפה מעמידים על חזקת היתר.</w:t>
      </w:r>
    </w:p>
    <w:p w14:paraId="5A7C262B" w14:textId="77777777" w:rsidR="00852065" w:rsidRDefault="00852065" w:rsidP="006D6D32">
      <w:pPr>
        <w:pStyle w:val="a3"/>
        <w:rPr>
          <w:rtl/>
        </w:rPr>
      </w:pPr>
      <w:bookmarkStart w:id="1167" w:name="_Toc521361963"/>
      <w:bookmarkStart w:id="1168" w:name="_Toc522200158"/>
      <w:bookmarkStart w:id="1169" w:name="_Toc19389045"/>
      <w:bookmarkStart w:id="1170" w:name="_Toc19392542"/>
      <w:r>
        <w:rPr>
          <w:rFonts w:hint="cs"/>
          <w:rtl/>
        </w:rPr>
        <w:t>דברי הגרעק"א דבתקורבת ע"ז שהוא איסור שבא מעלמא מודה רש"י דאין מחזיקין</w:t>
      </w:r>
      <w:bookmarkEnd w:id="1167"/>
      <w:bookmarkEnd w:id="1168"/>
      <w:bookmarkEnd w:id="1169"/>
      <w:bookmarkEnd w:id="1170"/>
    </w:p>
    <w:p w14:paraId="67D13209" w14:textId="77777777" w:rsidR="00852065" w:rsidRDefault="00852065" w:rsidP="00223668">
      <w:pPr>
        <w:pStyle w:val="a0"/>
        <w:rPr>
          <w:rtl/>
        </w:rPr>
      </w:pPr>
      <w:bookmarkStart w:id="1171" w:name="_Ref522197111"/>
      <w:r>
        <w:rPr>
          <w:rFonts w:hint="cs"/>
          <w:rtl/>
        </w:rPr>
        <w:t xml:space="preserve">ובדברי </w:t>
      </w:r>
      <w:r w:rsidRPr="00F75A70">
        <w:rPr>
          <w:rStyle w:val="af9"/>
          <w:rFonts w:hint="cs"/>
          <w:rtl/>
        </w:rPr>
        <w:t>ה</w:t>
      </w:r>
      <w:r w:rsidR="00345400">
        <w:rPr>
          <w:rStyle w:val="af9"/>
          <w:rFonts w:hint="cs"/>
          <w:rtl/>
        </w:rPr>
        <w:t>פלתי</w:t>
      </w:r>
      <w:r w:rsidRPr="00F75A70">
        <w:rPr>
          <w:rStyle w:val="af9"/>
          <w:rFonts w:hint="cs"/>
          <w:rtl/>
        </w:rPr>
        <w:t xml:space="preserve"> </w:t>
      </w:r>
      <w:r w:rsidRPr="003716F2">
        <w:rPr>
          <w:rStyle w:val="af7"/>
          <w:rFonts w:eastAsia="Guttman Hodes" w:hint="cs"/>
          <w:rtl/>
        </w:rPr>
        <w:t xml:space="preserve">(עי' אות </w:t>
      </w:r>
      <w:r w:rsidRPr="003716F2">
        <w:rPr>
          <w:rStyle w:val="af7"/>
          <w:rFonts w:eastAsia="Guttman Hodes"/>
          <w:rtl/>
        </w:rPr>
        <w:fldChar w:fldCharType="begin"/>
      </w:r>
      <w:r w:rsidRPr="003716F2">
        <w:rPr>
          <w:rStyle w:val="af7"/>
          <w:rFonts w:eastAsia="Guttman Hodes"/>
          <w:rtl/>
        </w:rPr>
        <w:instrText xml:space="preserve"> </w:instrText>
      </w:r>
      <w:r w:rsidRPr="003716F2">
        <w:rPr>
          <w:rStyle w:val="af7"/>
          <w:rFonts w:eastAsia="Guttman Hodes" w:hint="cs"/>
        </w:rPr>
        <w:instrText>REF</w:instrText>
      </w:r>
      <w:r w:rsidRPr="003716F2">
        <w:rPr>
          <w:rStyle w:val="af7"/>
          <w:rFonts w:eastAsia="Guttman Hodes" w:hint="cs"/>
          <w:rtl/>
        </w:rPr>
        <w:instrText xml:space="preserve"> _</w:instrText>
      </w:r>
      <w:r w:rsidRPr="003716F2">
        <w:rPr>
          <w:rStyle w:val="af7"/>
          <w:rFonts w:eastAsia="Guttman Hodes" w:hint="cs"/>
        </w:rPr>
        <w:instrText>Ref522197252 \r \h</w:instrText>
      </w:r>
      <w:r w:rsidRPr="003716F2">
        <w:rPr>
          <w:rStyle w:val="af7"/>
          <w:rFonts w:eastAsia="Guttman Hodes"/>
          <w:rtl/>
        </w:rPr>
        <w:instrText xml:space="preserve"> </w:instrText>
      </w:r>
      <w:r w:rsidRPr="003716F2">
        <w:rPr>
          <w:rStyle w:val="af7"/>
          <w:rFonts w:eastAsia="Guttman Hodes"/>
          <w:rtl/>
        </w:rPr>
      </w:r>
      <w:r w:rsidRPr="003716F2">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3716F2">
        <w:rPr>
          <w:rStyle w:val="af7"/>
          <w:rFonts w:eastAsia="Guttman Hodes"/>
          <w:rtl/>
        </w:rPr>
        <w:fldChar w:fldCharType="end"/>
      </w:r>
      <w:r>
        <w:rPr>
          <w:rFonts w:hint="cs"/>
          <w:rtl/>
        </w:rPr>
        <w:t xml:space="preserve"> דמחזיקין מאיסור אבר מן החי, לאיסור תקרובת ע"ז, דחה </w:t>
      </w:r>
      <w:r w:rsidRPr="000B2804">
        <w:rPr>
          <w:rStyle w:val="af9"/>
          <w:rFonts w:hint="cs"/>
          <w:rtl/>
        </w:rPr>
        <w:t>הגרעק"א</w:t>
      </w:r>
      <w:r>
        <w:rPr>
          <w:rFonts w:hint="cs"/>
          <w:rtl/>
        </w:rPr>
        <w:t xml:space="preserve"> </w:t>
      </w:r>
      <w:r w:rsidRPr="000B2804">
        <w:rPr>
          <w:rStyle w:val="af7"/>
          <w:rFonts w:eastAsia="Guttman Hodes" w:hint="cs"/>
          <w:rtl/>
        </w:rPr>
        <w:t>(יו"ד ד' סק"ב)</w:t>
      </w:r>
      <w:r>
        <w:rPr>
          <w:rFonts w:hint="cs"/>
          <w:rtl/>
        </w:rPr>
        <w:t xml:space="preserve"> וכתב דאף לדעת </w:t>
      </w:r>
      <w:r w:rsidRPr="000B2804">
        <w:rPr>
          <w:rStyle w:val="af9"/>
          <w:rFonts w:hint="cs"/>
          <w:rtl/>
        </w:rPr>
        <w:t>רש"י</w:t>
      </w:r>
      <w:r>
        <w:rPr>
          <w:rFonts w:hint="cs"/>
          <w:rtl/>
        </w:rPr>
        <w:t xml:space="preserve"> דמחזיקין מאיסור לאיסור, זהו דוקא לאיסור נבילה, כיון דכל בהמה שאסורה באיסור אבן מן החי, במיתתה היא נעשית נבילה אם לא עשו בה מעשה שחיטה שמכשיר אותה, לכן בספק במעשה השחיטה המכשיר, מוקמינן לה בחזקת איסור שלא שחט כראוי וממילא היא נבילה, אבל באיסור אחר דתקרובת ע"ז שהוא איסור שבא מעלמא, אמרינן ששחט כראוי, ונסתלק לגמרי אסור אבר מן החי, ובספק על האיסור האחר יש לה חזקת היתר כמו שלענין ספק טריפה יש לה חזקת היתר.</w:t>
      </w:r>
      <w:bookmarkEnd w:id="1171"/>
    </w:p>
    <w:p w14:paraId="5F796B1E" w14:textId="77777777" w:rsidR="00852065" w:rsidRDefault="00852065" w:rsidP="009E6908">
      <w:pPr>
        <w:pStyle w:val="2"/>
      </w:pPr>
      <w:bookmarkStart w:id="1172" w:name="_Toc522200159"/>
      <w:bookmarkStart w:id="1173" w:name="_Toc521324874"/>
      <w:bookmarkStart w:id="1174" w:name="_Toc521338181"/>
      <w:bookmarkStart w:id="1175" w:name="_Toc521361964"/>
      <w:bookmarkStart w:id="1176" w:name="_Toc19435211"/>
      <w:r>
        <w:rPr>
          <w:rFonts w:hint="cs"/>
          <w:rtl/>
        </w:rPr>
        <w:t>בביאור דינא דמחזיקין מאיסור לאיסור בצר</w:t>
      </w:r>
      <w:r w:rsidR="009E6908">
        <w:rPr>
          <w:rFonts w:hint="cs"/>
          <w:rtl/>
        </w:rPr>
        <w:t>"ע</w:t>
      </w:r>
      <w:bookmarkEnd w:id="1172"/>
      <w:bookmarkEnd w:id="1173"/>
      <w:bookmarkEnd w:id="1174"/>
      <w:bookmarkEnd w:id="1175"/>
      <w:bookmarkEnd w:id="1176"/>
    </w:p>
    <w:p w14:paraId="500F54A9" w14:textId="77777777" w:rsidR="00852065" w:rsidRPr="00DC350A" w:rsidRDefault="00852065" w:rsidP="00BF39B2">
      <w:pPr>
        <w:pStyle w:val="1"/>
        <w:rPr>
          <w:rtl/>
        </w:rPr>
      </w:pPr>
      <w:bookmarkStart w:id="1177" w:name="_Toc522200160"/>
      <w:bookmarkStart w:id="1178" w:name="_Toc19389046"/>
      <w:bookmarkStart w:id="1179" w:name="_Toc19392543"/>
      <w:bookmarkStart w:id="1180" w:name="_Toc521361965"/>
      <w:r>
        <w:rPr>
          <w:rFonts w:hint="cs"/>
          <w:rtl/>
        </w:rPr>
        <w:t>קושית</w:t>
      </w:r>
      <w:r w:rsidRPr="007C2CC4">
        <w:rPr>
          <w:rFonts w:hint="cs"/>
          <w:rtl/>
        </w:rPr>
        <w:t xml:space="preserve"> הראשונים ביבמות</w:t>
      </w:r>
      <w:r>
        <w:rPr>
          <w:rFonts w:hint="cs"/>
          <w:rtl/>
        </w:rPr>
        <w:t xml:space="preserve"> דבספק צר"ע אין מחזיקין מאל"א</w:t>
      </w:r>
      <w:bookmarkEnd w:id="1177"/>
      <w:bookmarkEnd w:id="1178"/>
      <w:bookmarkEnd w:id="1179"/>
    </w:p>
    <w:p w14:paraId="772FAD69" w14:textId="77777777" w:rsidR="00852065" w:rsidRPr="0080770F" w:rsidRDefault="00852065" w:rsidP="006D6D32">
      <w:pPr>
        <w:pStyle w:val="a3"/>
        <w:rPr>
          <w:rtl/>
        </w:rPr>
      </w:pPr>
      <w:bookmarkStart w:id="1181" w:name="_Toc522200161"/>
      <w:bookmarkStart w:id="1182" w:name="_Toc19389047"/>
      <w:bookmarkStart w:id="1183" w:name="_Toc19392544"/>
      <w:r>
        <w:rPr>
          <w:rFonts w:hint="cs"/>
          <w:rtl/>
        </w:rPr>
        <w:t>קושית הרמב"ן והרשב"א אמאי בספק צרת ערוה אין מחזיקין מאיסור לאיסור</w:t>
      </w:r>
      <w:bookmarkEnd w:id="1180"/>
      <w:bookmarkEnd w:id="1181"/>
      <w:bookmarkEnd w:id="1182"/>
      <w:bookmarkEnd w:id="1183"/>
    </w:p>
    <w:p w14:paraId="7B1C8310" w14:textId="77777777" w:rsidR="00852065" w:rsidRDefault="009E6908" w:rsidP="00223668">
      <w:pPr>
        <w:pStyle w:val="a0"/>
        <w:rPr>
          <w:rtl/>
        </w:rPr>
      </w:pPr>
      <w:bookmarkStart w:id="1184" w:name="_Ref522187774"/>
      <w:r w:rsidRPr="007C2CC4">
        <w:rPr>
          <w:rFonts w:hint="cs"/>
          <w:rtl/>
        </w:rPr>
        <w:t>איתא בגמ' ביבמות</w:t>
      </w:r>
      <w:r>
        <w:rPr>
          <w:rStyle w:val="af1"/>
          <w:rtl/>
        </w:rPr>
        <w:footnoteReference w:id="6"/>
      </w:r>
      <w:r w:rsidRPr="007C2CC4">
        <w:rPr>
          <w:rFonts w:hint="cs"/>
          <w:rtl/>
        </w:rPr>
        <w:t xml:space="preserve"> </w:t>
      </w:r>
      <w:r w:rsidRPr="00042F96">
        <w:rPr>
          <w:rStyle w:val="aff6"/>
          <w:rFonts w:hint="cs"/>
          <w:rtl/>
        </w:rPr>
        <w:t>(ל:)</w:t>
      </w:r>
      <w:r w:rsidRPr="007C2CC4">
        <w:rPr>
          <w:rStyle w:val="af7"/>
          <w:rFonts w:eastAsia="Guttman Hodes" w:hint="cs"/>
          <w:rtl/>
        </w:rPr>
        <w:t xml:space="preserve"> </w:t>
      </w:r>
      <w:r w:rsidRPr="007C2CC4">
        <w:rPr>
          <w:rFonts w:hint="cs"/>
          <w:rtl/>
        </w:rPr>
        <w:t>דאשה שנפלה לפני יבם, ויש לה צרה שהיא ערוה על היבם שפוטרת את כל צרותיה מיבום, דאם יש באותה ערוה ספק אם נתגרשה מהמת</w:t>
      </w:r>
      <w:r>
        <w:rPr>
          <w:rFonts w:hint="cs"/>
          <w:rtl/>
        </w:rPr>
        <w:t xml:space="preserve">, </w:t>
      </w:r>
      <w:r w:rsidRPr="00042F96">
        <w:rPr>
          <w:rFonts w:hint="cs"/>
          <w:rtl/>
        </w:rPr>
        <w:t>דהגט הוא ספק קרוב לו ספק קרוב לה</w:t>
      </w:r>
      <w:r>
        <w:rPr>
          <w:rFonts w:hint="cs"/>
          <w:rtl/>
        </w:rPr>
        <w:t xml:space="preserve">, ואם חלו הגירושין בערוה </w:t>
      </w:r>
      <w:r w:rsidRPr="007C2CC4">
        <w:rPr>
          <w:rFonts w:hint="cs"/>
          <w:rtl/>
        </w:rPr>
        <w:t>אינה צרתה כלל,</w:t>
      </w:r>
      <w:r>
        <w:rPr>
          <w:rFonts w:hint="cs"/>
          <w:rtl/>
        </w:rPr>
        <w:t xml:space="preserve"> והצרה נופלת ליבום,</w:t>
      </w:r>
      <w:r w:rsidRPr="007C2CC4">
        <w:rPr>
          <w:rFonts w:hint="cs"/>
          <w:rtl/>
        </w:rPr>
        <w:t xml:space="preserve"> דאמר רבה דהצרה פטורה אף מחליצה, כיון שהיא בחזקת היתר לשוק דהיא בחזקת צרת ערוה, ומספק שמא נתגרשה הערוה ואינה צרתה, א"א לאוסרה.</w:t>
      </w:r>
      <w:r>
        <w:rPr>
          <w:rFonts w:hint="cs"/>
          <w:rtl/>
        </w:rPr>
        <w:t xml:space="preserve"> ו</w:t>
      </w:r>
      <w:r w:rsidR="00852065" w:rsidRPr="007C2CC4">
        <w:rPr>
          <w:rFonts w:hint="cs"/>
          <w:rtl/>
        </w:rPr>
        <w:t xml:space="preserve">הקשו </w:t>
      </w:r>
      <w:r w:rsidR="00852065" w:rsidRPr="007C2CC4">
        <w:rPr>
          <w:rStyle w:val="af9"/>
          <w:rFonts w:hint="cs"/>
          <w:rtl/>
        </w:rPr>
        <w:t>הרמב"ן ביבמות</w:t>
      </w:r>
      <w:r w:rsidR="00852065" w:rsidRPr="007C2CC4">
        <w:rPr>
          <w:rFonts w:hint="cs"/>
          <w:rtl/>
        </w:rPr>
        <w:t xml:space="preserve"> </w:t>
      </w:r>
      <w:r w:rsidR="00852065" w:rsidRPr="007C2CC4">
        <w:rPr>
          <w:rStyle w:val="af7"/>
          <w:rFonts w:eastAsia="Guttman Hodes" w:hint="cs"/>
          <w:rtl/>
        </w:rPr>
        <w:t>(ל: ד"ה ואקשינן)</w:t>
      </w:r>
      <w:r w:rsidR="00852065" w:rsidRPr="007C2CC4">
        <w:rPr>
          <w:rFonts w:hint="cs"/>
          <w:rtl/>
        </w:rPr>
        <w:t xml:space="preserve"> </w:t>
      </w:r>
      <w:r w:rsidR="00852065" w:rsidRPr="007C2CC4">
        <w:rPr>
          <w:rStyle w:val="af9"/>
          <w:rFonts w:hint="cs"/>
          <w:rtl/>
        </w:rPr>
        <w:t>והרשב"א ביבמות</w:t>
      </w:r>
      <w:r w:rsidR="00852065" w:rsidRPr="007C2CC4">
        <w:rPr>
          <w:rFonts w:hint="cs"/>
          <w:rtl/>
        </w:rPr>
        <w:t xml:space="preserve"> </w:t>
      </w:r>
      <w:r w:rsidR="00852065" w:rsidRPr="007C2CC4">
        <w:rPr>
          <w:rStyle w:val="af7"/>
          <w:rFonts w:eastAsia="Guttman Hodes" w:hint="cs"/>
          <w:rtl/>
        </w:rPr>
        <w:t>(ל: ד"ה והא)</w:t>
      </w:r>
      <w:r w:rsidR="00852065" w:rsidRPr="007C2CC4">
        <w:rPr>
          <w:rFonts w:hint="cs"/>
          <w:rtl/>
        </w:rPr>
        <w:t xml:space="preserve"> </w:t>
      </w:r>
      <w:r w:rsidR="00852065" w:rsidRPr="007C2CC4">
        <w:rPr>
          <w:rStyle w:val="af9"/>
          <w:rFonts w:hint="cs"/>
          <w:rtl/>
        </w:rPr>
        <w:t>והר</w:t>
      </w:r>
      <w:r w:rsidR="00852065">
        <w:rPr>
          <w:rStyle w:val="af9"/>
          <w:rFonts w:hint="cs"/>
          <w:rtl/>
        </w:rPr>
        <w:t>יט</w:t>
      </w:r>
      <w:r w:rsidR="00852065" w:rsidRPr="007C2CC4">
        <w:rPr>
          <w:rStyle w:val="af9"/>
          <w:rFonts w:hint="cs"/>
          <w:rtl/>
        </w:rPr>
        <w:t>ב"א ביבמות</w:t>
      </w:r>
      <w:r w:rsidR="00852065" w:rsidRPr="007C2CC4">
        <w:rPr>
          <w:rFonts w:hint="cs"/>
          <w:rtl/>
        </w:rPr>
        <w:t xml:space="preserve"> </w:t>
      </w:r>
      <w:r w:rsidR="00852065" w:rsidRPr="007C2CC4">
        <w:rPr>
          <w:rStyle w:val="af7"/>
          <w:rFonts w:eastAsia="Guttman Hodes" w:hint="cs"/>
          <w:rtl/>
        </w:rPr>
        <w:t>(ל: ד"ה וה</w:t>
      </w:r>
      <w:r w:rsidR="00852065">
        <w:rPr>
          <w:rStyle w:val="af7"/>
          <w:rFonts w:eastAsia="Guttman Hodes" w:hint="cs"/>
          <w:rtl/>
        </w:rPr>
        <w:t>קשו</w:t>
      </w:r>
      <w:r w:rsidR="00852065" w:rsidRPr="007C2CC4">
        <w:rPr>
          <w:rStyle w:val="af7"/>
          <w:rFonts w:eastAsia="Guttman Hodes" w:hint="cs"/>
          <w:rtl/>
        </w:rPr>
        <w:t>)</w:t>
      </w:r>
      <w:r w:rsidR="00852065" w:rsidRPr="007C2CC4">
        <w:rPr>
          <w:rFonts w:hint="cs"/>
          <w:rtl/>
        </w:rPr>
        <w:t xml:space="preserve"> דאמאי </w:t>
      </w:r>
      <w:r w:rsidR="00852065">
        <w:rPr>
          <w:rFonts w:hint="cs"/>
          <w:rtl/>
        </w:rPr>
        <w:t xml:space="preserve">בספק צרת ערוה </w:t>
      </w:r>
      <w:r w:rsidR="00852065" w:rsidRPr="007C2CC4">
        <w:rPr>
          <w:rFonts w:hint="cs"/>
          <w:rtl/>
        </w:rPr>
        <w:t>היא בחזקת היתר הא מחזיקין מאיסור לאיסור, דהרי קודם המיתה הייתה בחזקת אשת איש, וכשמת ויש ספק אם</w:t>
      </w:r>
      <w:r w:rsidR="00852065">
        <w:rPr>
          <w:rFonts w:hint="cs"/>
          <w:rtl/>
        </w:rPr>
        <w:t xml:space="preserve"> היא מותרת לשוק נעמידנה בחזקת איסור, אף שהאיסור אשת איש נסתלק, וכדאמרינן בסוגיין דבספק שחיטה הבהמה שהייתה בחזקת אבר מן החי היא בחזקת איסור, וחוששין לנבילה עד שיודע במה נשחטה, אף שמשעת המיתה כבר נסתלק איסור אבר מן החי.</w:t>
      </w:r>
      <w:bookmarkEnd w:id="1184"/>
      <w:r w:rsidR="00852065" w:rsidRPr="005C7698">
        <w:rPr>
          <w:rtl/>
        </w:rPr>
        <w:t xml:space="preserve"> </w:t>
      </w:r>
    </w:p>
    <w:p w14:paraId="0FDCE8A3" w14:textId="77777777" w:rsidR="00852065" w:rsidRDefault="00852065" w:rsidP="00BF39B2">
      <w:pPr>
        <w:pStyle w:val="1"/>
        <w:rPr>
          <w:rtl/>
        </w:rPr>
      </w:pPr>
      <w:bookmarkStart w:id="1185" w:name="_Toc521361966"/>
      <w:bookmarkStart w:id="1186" w:name="_Toc522200162"/>
      <w:bookmarkStart w:id="1187" w:name="_Toc19389048"/>
      <w:bookmarkStart w:id="1188" w:name="_Toc19392545"/>
      <w:r>
        <w:rPr>
          <w:rFonts w:hint="cs"/>
          <w:rtl/>
        </w:rPr>
        <w:t>דברי הרמב"ן בחילוק בין ספק שחיטה לספק צר"ע</w:t>
      </w:r>
      <w:bookmarkEnd w:id="1185"/>
      <w:bookmarkEnd w:id="1186"/>
      <w:bookmarkEnd w:id="1187"/>
      <w:bookmarkEnd w:id="1188"/>
    </w:p>
    <w:p w14:paraId="28D57761" w14:textId="77777777" w:rsidR="00852065" w:rsidRDefault="00852065" w:rsidP="006D6D32">
      <w:pPr>
        <w:pStyle w:val="a3"/>
        <w:rPr>
          <w:rtl/>
        </w:rPr>
      </w:pPr>
      <w:bookmarkStart w:id="1189" w:name="_Toc521361967"/>
      <w:bookmarkStart w:id="1190" w:name="_Toc522200163"/>
      <w:bookmarkStart w:id="1191" w:name="_Toc19389049"/>
      <w:bookmarkStart w:id="1192" w:name="_Toc19392546"/>
      <w:r>
        <w:rPr>
          <w:rFonts w:hint="cs"/>
          <w:rtl/>
        </w:rPr>
        <w:t>תירוץ הרמב"ן דבהמה יוצאת מאבמה"ח לנבילה ואילו צר"ע אינה יוצאת ממיתה לאיסור לשוק</w:t>
      </w:r>
      <w:bookmarkEnd w:id="1189"/>
      <w:bookmarkEnd w:id="1190"/>
      <w:bookmarkEnd w:id="1191"/>
      <w:bookmarkEnd w:id="1192"/>
    </w:p>
    <w:p w14:paraId="205186A1" w14:textId="77777777" w:rsidR="00852065" w:rsidRDefault="00852065" w:rsidP="00223668">
      <w:pPr>
        <w:pStyle w:val="a0"/>
        <w:rPr>
          <w:rtl/>
        </w:rPr>
      </w:pPr>
      <w:bookmarkStart w:id="1193" w:name="_Ref522187593"/>
      <w:r>
        <w:rPr>
          <w:rFonts w:hint="cs"/>
          <w:rtl/>
        </w:rPr>
        <w:t xml:space="preserve">ותירץ </w:t>
      </w:r>
      <w:r w:rsidRPr="00DE2932">
        <w:rPr>
          <w:rStyle w:val="af9"/>
          <w:rFonts w:hint="cs"/>
          <w:rtl/>
        </w:rPr>
        <w:t>הרמב"ן ביבמות</w:t>
      </w:r>
      <w:r>
        <w:rPr>
          <w:rFonts w:hint="cs"/>
          <w:rtl/>
        </w:rPr>
        <w:t xml:space="preserve"> דבספק שחיטה הבהמה יכולה לצאת מאיסור אבר מן החי לאיסור נבילה ע"י שנתנבלה, ולכן בספק מחזקינן מאיסור לאיסור, אבל בספק צרת ערוה שלא יתכן שתצא מתחת בעלה כשאינה מותרת לשוק, לכן חשיבא שהיא בחזקת היתר לשוק.</w:t>
      </w:r>
      <w:bookmarkEnd w:id="1193"/>
    </w:p>
    <w:p w14:paraId="72A67F6A" w14:textId="77777777" w:rsidR="00BA54AC" w:rsidRPr="00BA54AC" w:rsidRDefault="00BA54AC" w:rsidP="00BA54AC">
      <w:pPr>
        <w:pStyle w:val="a3"/>
        <w:rPr>
          <w:rtl/>
        </w:rPr>
      </w:pPr>
    </w:p>
    <w:p w14:paraId="7872F6CC" w14:textId="77777777" w:rsidR="00BA54AC" w:rsidRPr="00BA54AC" w:rsidRDefault="00BA54AC" w:rsidP="00BA54AC">
      <w:pPr>
        <w:pStyle w:val="a3"/>
        <w:rPr>
          <w:rtl/>
        </w:rPr>
      </w:pPr>
    </w:p>
    <w:p w14:paraId="6D72E286" w14:textId="77777777" w:rsidR="00852065" w:rsidRPr="00DD055A" w:rsidRDefault="00852065" w:rsidP="006D6D32">
      <w:pPr>
        <w:pStyle w:val="a3"/>
      </w:pPr>
      <w:bookmarkStart w:id="1194" w:name="_Toc521361968"/>
      <w:bookmarkStart w:id="1195" w:name="_Toc522200164"/>
      <w:bookmarkStart w:id="1196" w:name="_Toc19389050"/>
      <w:bookmarkStart w:id="1197" w:name="_Toc19392547"/>
      <w:r>
        <w:rPr>
          <w:rFonts w:hint="cs"/>
          <w:rtl/>
        </w:rPr>
        <w:t>דברי הרמב"ן דבצר"ע יש לה חזקת איסור ליבם ולכן מעמידים על חזקת היתר לשוק</w:t>
      </w:r>
      <w:bookmarkEnd w:id="1194"/>
      <w:bookmarkEnd w:id="1195"/>
      <w:bookmarkEnd w:id="1196"/>
      <w:bookmarkEnd w:id="1197"/>
    </w:p>
    <w:p w14:paraId="6B69169A" w14:textId="77777777" w:rsidR="00852065" w:rsidRPr="00451540" w:rsidRDefault="00852065" w:rsidP="00223668">
      <w:pPr>
        <w:pStyle w:val="a0"/>
        <w:rPr>
          <w:rtl/>
        </w:rPr>
      </w:pPr>
      <w:bookmarkStart w:id="1198" w:name="_Ref522197500"/>
      <w:r>
        <w:rPr>
          <w:rFonts w:hint="cs"/>
          <w:rtl/>
        </w:rPr>
        <w:t xml:space="preserve">והוסיף </w:t>
      </w:r>
      <w:r w:rsidRPr="00DE2932">
        <w:rPr>
          <w:rStyle w:val="af9"/>
          <w:rFonts w:hint="cs"/>
          <w:rtl/>
        </w:rPr>
        <w:t>הרמב"ן ביבמות</w:t>
      </w:r>
      <w:r>
        <w:rPr>
          <w:rFonts w:hint="cs"/>
          <w:rtl/>
        </w:rPr>
        <w:t xml:space="preserve"> דבספק צרת ערוה היא גם עומדת בחזקת איסור ליבם, ולכן מוקמינן לה על חזקת היתר לשוק כשמת בעלה.</w:t>
      </w:r>
      <w:bookmarkEnd w:id="1198"/>
      <w:r>
        <w:rPr>
          <w:rFonts w:hint="cs"/>
          <w:rtl/>
        </w:rPr>
        <w:t xml:space="preserve"> </w:t>
      </w:r>
    </w:p>
    <w:p w14:paraId="39950FC0" w14:textId="77777777" w:rsidR="00852065" w:rsidRDefault="00852065" w:rsidP="006D6D32">
      <w:pPr>
        <w:pStyle w:val="a3"/>
        <w:rPr>
          <w:rtl/>
        </w:rPr>
      </w:pPr>
      <w:bookmarkStart w:id="1199" w:name="_Toc521361969"/>
      <w:bookmarkStart w:id="1200" w:name="_Toc522200165"/>
      <w:bookmarkStart w:id="1201" w:name="_Toc19389051"/>
      <w:bookmarkStart w:id="1202" w:name="_Toc19392548"/>
      <w:r>
        <w:rPr>
          <w:rFonts w:hint="cs"/>
          <w:rtl/>
        </w:rPr>
        <w:t>דחיית הרשב"א לתירוץ הרמב"ן דאף צר"ע יוצאת לאיסור לשוק אם חלו הגירושין בערוה</w:t>
      </w:r>
      <w:bookmarkEnd w:id="1199"/>
      <w:bookmarkEnd w:id="1200"/>
      <w:bookmarkEnd w:id="1201"/>
      <w:bookmarkEnd w:id="1202"/>
    </w:p>
    <w:p w14:paraId="268A11B1" w14:textId="77777777" w:rsidR="00852065" w:rsidRDefault="00852065" w:rsidP="00223668">
      <w:pPr>
        <w:pStyle w:val="a0"/>
        <w:rPr>
          <w:rtl/>
        </w:rPr>
      </w:pPr>
      <w:r w:rsidRPr="00EC1D4F">
        <w:rPr>
          <w:rFonts w:hint="cs"/>
          <w:rtl/>
        </w:rPr>
        <w:t xml:space="preserve">ודחה </w:t>
      </w:r>
      <w:r w:rsidRPr="00411A39">
        <w:rPr>
          <w:rStyle w:val="af9"/>
          <w:rFonts w:hint="cs"/>
          <w:rtl/>
        </w:rPr>
        <w:t>הרשב"א ביבמות</w:t>
      </w:r>
      <w:r w:rsidRPr="00EC1D4F">
        <w:rPr>
          <w:rFonts w:hint="cs"/>
          <w:rtl/>
        </w:rPr>
        <w:t xml:space="preserve"> </w:t>
      </w:r>
      <w:r>
        <w:rPr>
          <w:rFonts w:hint="cs"/>
          <w:rtl/>
        </w:rPr>
        <w:t xml:space="preserve"> </w:t>
      </w:r>
      <w:r w:rsidRPr="00DE2932">
        <w:rPr>
          <w:rStyle w:val="af7"/>
          <w:rFonts w:eastAsia="Guttman Hodes" w:hint="cs"/>
          <w:rtl/>
        </w:rPr>
        <w:t>(ל: ד"ה ו</w:t>
      </w:r>
      <w:r>
        <w:rPr>
          <w:rStyle w:val="af7"/>
          <w:rFonts w:eastAsia="Guttman Hodes" w:hint="cs"/>
          <w:rtl/>
        </w:rPr>
        <w:t>ה</w:t>
      </w:r>
      <w:r w:rsidRPr="00DE2932">
        <w:rPr>
          <w:rStyle w:val="af7"/>
          <w:rFonts w:eastAsia="Guttman Hodes" w:hint="cs"/>
          <w:rtl/>
        </w:rPr>
        <w:t>א)</w:t>
      </w:r>
      <w:r>
        <w:rPr>
          <w:rFonts w:hint="cs"/>
          <w:rtl/>
        </w:rPr>
        <w:t xml:space="preserve"> </w:t>
      </w:r>
      <w:r w:rsidRPr="00EC1D4F">
        <w:rPr>
          <w:rFonts w:hint="cs"/>
          <w:rtl/>
        </w:rPr>
        <w:t xml:space="preserve">את תירוץ </w:t>
      </w:r>
      <w:r w:rsidRPr="00411A39">
        <w:rPr>
          <w:rStyle w:val="af9"/>
          <w:rFonts w:hint="cs"/>
          <w:rtl/>
        </w:rPr>
        <w:t xml:space="preserve">הרמב"ן </w:t>
      </w:r>
      <w:r w:rsidRPr="00EC1D4F">
        <w:rPr>
          <w:rFonts w:hint="cs"/>
          <w:rtl/>
        </w:rPr>
        <w:t>דאף ב</w:t>
      </w:r>
      <w:r>
        <w:rPr>
          <w:rFonts w:hint="cs"/>
          <w:rtl/>
        </w:rPr>
        <w:t>ספק צרת ערוה</w:t>
      </w:r>
      <w:r w:rsidRPr="00EC1D4F">
        <w:rPr>
          <w:rFonts w:hint="cs"/>
          <w:rtl/>
        </w:rPr>
        <w:t xml:space="preserve"> היא יכולה לצאת מתחת בעלה כשהיא אסורה לשוק, </w:t>
      </w:r>
      <w:r>
        <w:rPr>
          <w:rFonts w:hint="cs"/>
          <w:rtl/>
        </w:rPr>
        <w:t xml:space="preserve">במקום שנתגרשה הערוה כדין </w:t>
      </w:r>
      <w:r w:rsidRPr="003D02E8">
        <w:rPr>
          <w:rStyle w:val="afb"/>
          <w:rFonts w:hint="cs"/>
          <w:rtl/>
        </w:rPr>
        <w:t>[כשהגט קרוב לה]</w:t>
      </w:r>
      <w:r>
        <w:rPr>
          <w:rFonts w:hint="cs"/>
          <w:rtl/>
        </w:rPr>
        <w:t xml:space="preserve">, </w:t>
      </w:r>
      <w:r w:rsidRPr="00EC1D4F">
        <w:rPr>
          <w:rFonts w:hint="cs"/>
          <w:rtl/>
        </w:rPr>
        <w:t>וכיון ש</w:t>
      </w:r>
      <w:r>
        <w:rPr>
          <w:rFonts w:hint="cs"/>
          <w:rtl/>
        </w:rPr>
        <w:t>יש</w:t>
      </w:r>
      <w:r w:rsidRPr="00EC1D4F">
        <w:rPr>
          <w:rFonts w:hint="cs"/>
          <w:rtl/>
        </w:rPr>
        <w:t xml:space="preserve"> ספק </w:t>
      </w:r>
      <w:r>
        <w:rPr>
          <w:rFonts w:hint="cs"/>
          <w:rtl/>
        </w:rPr>
        <w:t>אם היא צרת ערוה, ד</w:t>
      </w:r>
      <w:r w:rsidRPr="00EC1D4F">
        <w:rPr>
          <w:rFonts w:hint="cs"/>
          <w:rtl/>
        </w:rPr>
        <w:t xml:space="preserve">יתכן דנתגרשה </w:t>
      </w:r>
      <w:r>
        <w:rPr>
          <w:rFonts w:hint="cs"/>
          <w:rtl/>
        </w:rPr>
        <w:t>הערוה ואינה צרתה, והצרה אסורה לשוק</w:t>
      </w:r>
      <w:r w:rsidRPr="00EC1D4F">
        <w:rPr>
          <w:rFonts w:hint="cs"/>
          <w:rtl/>
        </w:rPr>
        <w:t>, צריך להעמידה בחזקת איסור לשוק</w:t>
      </w:r>
      <w:r>
        <w:rPr>
          <w:rFonts w:hint="cs"/>
          <w:rtl/>
        </w:rPr>
        <w:t>.</w:t>
      </w:r>
    </w:p>
    <w:p w14:paraId="19D57E15" w14:textId="77777777" w:rsidR="00852065" w:rsidRDefault="00852065" w:rsidP="006D6D32">
      <w:pPr>
        <w:pStyle w:val="a3"/>
        <w:rPr>
          <w:rtl/>
        </w:rPr>
      </w:pPr>
      <w:bookmarkStart w:id="1203" w:name="_Toc521361970"/>
      <w:bookmarkStart w:id="1204" w:name="_Toc522200166"/>
      <w:bookmarkStart w:id="1205" w:name="_Toc19389052"/>
      <w:bookmarkStart w:id="1206" w:name="_Toc19392549"/>
      <w:r>
        <w:rPr>
          <w:rFonts w:hint="cs"/>
          <w:rtl/>
        </w:rPr>
        <w:t>קושית הרשב"א דאמאי בספק קידושין יש לה חזקת היתר ליבם הרי יכולה לצאת באיסור ליבם</w:t>
      </w:r>
      <w:bookmarkEnd w:id="1203"/>
      <w:bookmarkEnd w:id="1204"/>
      <w:bookmarkEnd w:id="1205"/>
      <w:bookmarkEnd w:id="1206"/>
    </w:p>
    <w:p w14:paraId="2E52A9BF" w14:textId="77777777" w:rsidR="00852065" w:rsidRDefault="00852065" w:rsidP="00223668">
      <w:pPr>
        <w:pStyle w:val="a0"/>
        <w:rPr>
          <w:rtl/>
        </w:rPr>
      </w:pPr>
      <w:r>
        <w:rPr>
          <w:rFonts w:hint="cs"/>
          <w:rtl/>
        </w:rPr>
        <w:t xml:space="preserve">והוסיף </w:t>
      </w:r>
      <w:r w:rsidRPr="00411A39">
        <w:rPr>
          <w:rStyle w:val="af9"/>
          <w:rFonts w:hint="cs"/>
          <w:rtl/>
        </w:rPr>
        <w:t>הרשב"א ביבמות</w:t>
      </w:r>
      <w:r>
        <w:rPr>
          <w:rFonts w:hint="cs"/>
          <w:rtl/>
        </w:rPr>
        <w:t xml:space="preserve"> להקשות על </w:t>
      </w:r>
      <w:r w:rsidRPr="00966A14">
        <w:rPr>
          <w:rStyle w:val="af9"/>
          <w:rFonts w:hint="cs"/>
          <w:rtl/>
        </w:rPr>
        <w:t>הרמב"ן</w:t>
      </w:r>
      <w:r>
        <w:rPr>
          <w:rFonts w:hint="cs"/>
          <w:rtl/>
        </w:rPr>
        <w:t xml:space="preserve"> דבספק קידושין בערוה </w:t>
      </w:r>
      <w:r w:rsidRPr="003D02E8">
        <w:rPr>
          <w:rStyle w:val="afb"/>
          <w:rFonts w:hint="cs"/>
          <w:rtl/>
        </w:rPr>
        <w:t>[ספק קרוב לו ספק קרוב לה]</w:t>
      </w:r>
      <w:r>
        <w:rPr>
          <w:rFonts w:hint="cs"/>
          <w:rtl/>
        </w:rPr>
        <w:t xml:space="preserve"> תני במתני' ביבמות </w:t>
      </w:r>
      <w:r w:rsidRPr="00DE2932">
        <w:rPr>
          <w:rStyle w:val="af7"/>
          <w:rFonts w:eastAsia="Guttman Hodes" w:hint="cs"/>
          <w:rtl/>
        </w:rPr>
        <w:t xml:space="preserve">(ל:) </w:t>
      </w:r>
      <w:r>
        <w:rPr>
          <w:rFonts w:hint="cs"/>
          <w:rtl/>
        </w:rPr>
        <w:t xml:space="preserve">דחולצת, והקשה אביי </w:t>
      </w:r>
      <w:r w:rsidRPr="003D02E8">
        <w:rPr>
          <w:rStyle w:val="afb"/>
          <w:rFonts w:hint="cs"/>
          <w:rtl/>
        </w:rPr>
        <w:t xml:space="preserve">[על סברת רבה דבגירושין מעמידים בחזקת היתר לשוק] </w:t>
      </w:r>
      <w:r>
        <w:rPr>
          <w:rFonts w:hint="cs"/>
          <w:rtl/>
        </w:rPr>
        <w:t xml:space="preserve">דאף בקידושין אמאי לא מעמידים אותה בחזקת היתר ליבם, ונימא דלא אסרינן לה מספק, והקשה </w:t>
      </w:r>
      <w:r w:rsidRPr="00411A39">
        <w:rPr>
          <w:rStyle w:val="af9"/>
          <w:rFonts w:hint="cs"/>
          <w:rtl/>
        </w:rPr>
        <w:t>הרשב"א</w:t>
      </w:r>
      <w:r>
        <w:rPr>
          <w:rFonts w:hint="cs"/>
          <w:rtl/>
        </w:rPr>
        <w:t xml:space="preserve"> דלסברת </w:t>
      </w:r>
      <w:r w:rsidRPr="00411A39">
        <w:rPr>
          <w:rStyle w:val="af9"/>
          <w:rFonts w:hint="cs"/>
          <w:rtl/>
        </w:rPr>
        <w:t>הרמב"ן</w:t>
      </w:r>
      <w:r>
        <w:rPr>
          <w:rFonts w:hint="cs"/>
          <w:rtl/>
        </w:rPr>
        <w:t xml:space="preserve"> הרי גם בספק קידושין יתכן שתצא מתחת בעלה והיא אסורה ליבם, דיתכן שהערוה מקודשת למת, וממילא האשה היא צרת ערוה ואסורה ליבם.</w:t>
      </w:r>
    </w:p>
    <w:p w14:paraId="3446CE1E" w14:textId="77777777" w:rsidR="00852065" w:rsidRDefault="00852065" w:rsidP="00BF39B2">
      <w:pPr>
        <w:pStyle w:val="1"/>
        <w:rPr>
          <w:rtl/>
        </w:rPr>
      </w:pPr>
      <w:bookmarkStart w:id="1207" w:name="_Toc521361971"/>
      <w:bookmarkStart w:id="1208" w:name="_Toc522200167"/>
      <w:bookmarkStart w:id="1209" w:name="_Toc19389053"/>
      <w:bookmarkStart w:id="1210" w:name="_Toc19392550"/>
      <w:r>
        <w:rPr>
          <w:rFonts w:hint="cs"/>
          <w:rtl/>
        </w:rPr>
        <w:t>תירוץ הרשב"א</w:t>
      </w:r>
      <w:bookmarkEnd w:id="1207"/>
      <w:r>
        <w:rPr>
          <w:rFonts w:hint="cs"/>
          <w:rtl/>
        </w:rPr>
        <w:t xml:space="preserve"> דבשחיטה צריך לחדש מעשה ועליו הראיה</w:t>
      </w:r>
      <w:bookmarkEnd w:id="1208"/>
      <w:bookmarkEnd w:id="1209"/>
      <w:bookmarkEnd w:id="1210"/>
    </w:p>
    <w:p w14:paraId="1B5E248D" w14:textId="77777777" w:rsidR="00852065" w:rsidRPr="002967AA" w:rsidRDefault="00852065" w:rsidP="006D6D32">
      <w:pPr>
        <w:pStyle w:val="a3"/>
        <w:rPr>
          <w:rtl/>
        </w:rPr>
      </w:pPr>
      <w:bookmarkStart w:id="1211" w:name="_Toc521361972"/>
      <w:bookmarkStart w:id="1212" w:name="_Toc522200168"/>
      <w:bookmarkStart w:id="1213" w:name="_Toc19389054"/>
      <w:bookmarkStart w:id="1214" w:name="_Toc19392551"/>
      <w:r>
        <w:rPr>
          <w:rFonts w:hint="cs"/>
          <w:rtl/>
        </w:rPr>
        <w:t>תירוץ הרשב"א דבספק שחיטה צריך לחדש מעשה בכדי להכשירה</w:t>
      </w:r>
      <w:bookmarkEnd w:id="1211"/>
      <w:bookmarkEnd w:id="1212"/>
      <w:bookmarkEnd w:id="1213"/>
      <w:bookmarkEnd w:id="1214"/>
    </w:p>
    <w:p w14:paraId="05ACEBED" w14:textId="77777777" w:rsidR="00852065" w:rsidRDefault="00852065" w:rsidP="00223668">
      <w:pPr>
        <w:pStyle w:val="a0"/>
      </w:pPr>
      <w:bookmarkStart w:id="1215" w:name="_Ref522187437"/>
      <w:r>
        <w:rPr>
          <w:rFonts w:hint="cs"/>
          <w:rtl/>
        </w:rPr>
        <w:t xml:space="preserve">אלא תירצו </w:t>
      </w:r>
      <w:r w:rsidRPr="007C2CC4">
        <w:rPr>
          <w:rStyle w:val="af9"/>
          <w:rFonts w:hint="cs"/>
          <w:rtl/>
        </w:rPr>
        <w:t>הרשב"א ביבמות</w:t>
      </w:r>
      <w:r w:rsidRPr="007C2CC4">
        <w:rPr>
          <w:rFonts w:hint="cs"/>
          <w:rtl/>
        </w:rPr>
        <w:t xml:space="preserve"> </w:t>
      </w:r>
      <w:r w:rsidRPr="007C2CC4">
        <w:rPr>
          <w:rStyle w:val="af7"/>
          <w:rFonts w:eastAsia="Guttman Hodes" w:hint="cs"/>
          <w:rtl/>
        </w:rPr>
        <w:t>(ל: ד"ה והא)</w:t>
      </w:r>
      <w:r w:rsidRPr="007C2CC4">
        <w:rPr>
          <w:rFonts w:hint="cs"/>
          <w:rtl/>
        </w:rPr>
        <w:t xml:space="preserve"> </w:t>
      </w:r>
      <w:r w:rsidRPr="007C2CC4">
        <w:rPr>
          <w:rStyle w:val="af9"/>
          <w:rFonts w:hint="cs"/>
          <w:rtl/>
        </w:rPr>
        <w:t>והר</w:t>
      </w:r>
      <w:r>
        <w:rPr>
          <w:rStyle w:val="af9"/>
          <w:rFonts w:hint="cs"/>
          <w:rtl/>
        </w:rPr>
        <w:t>יט</w:t>
      </w:r>
      <w:r w:rsidRPr="007C2CC4">
        <w:rPr>
          <w:rStyle w:val="af9"/>
          <w:rFonts w:hint="cs"/>
          <w:rtl/>
        </w:rPr>
        <w:t>ב"א ביבמות</w:t>
      </w:r>
      <w:r w:rsidRPr="007C2CC4">
        <w:rPr>
          <w:rFonts w:hint="cs"/>
          <w:rtl/>
        </w:rPr>
        <w:t xml:space="preserve"> </w:t>
      </w:r>
      <w:r w:rsidRPr="007C2CC4">
        <w:rPr>
          <w:rStyle w:val="af7"/>
          <w:rFonts w:eastAsia="Guttman Hodes" w:hint="cs"/>
          <w:rtl/>
        </w:rPr>
        <w:t>(ל: ד"ה וה</w:t>
      </w:r>
      <w:r>
        <w:rPr>
          <w:rStyle w:val="af7"/>
          <w:rFonts w:eastAsia="Guttman Hodes" w:hint="cs"/>
          <w:rtl/>
        </w:rPr>
        <w:t>קשו</w:t>
      </w:r>
      <w:r w:rsidRPr="007C2CC4">
        <w:rPr>
          <w:rStyle w:val="af7"/>
          <w:rFonts w:eastAsia="Guttman Hodes" w:hint="cs"/>
          <w:rtl/>
        </w:rPr>
        <w:t>)</w:t>
      </w:r>
      <w:r w:rsidRPr="007C2CC4">
        <w:rPr>
          <w:rFonts w:hint="cs"/>
          <w:rtl/>
        </w:rPr>
        <w:t xml:space="preserve"> </w:t>
      </w:r>
      <w:r>
        <w:rPr>
          <w:rFonts w:hint="cs"/>
          <w:rtl/>
        </w:rPr>
        <w:t>דהא דבספק שחיטה מחזיקין מאיסור לאיסור, הוא כיון שהבהמה אסורה כל זמן שלא מתה, או אם מתה ממילא או אם לא נשחטה כדין, ובכדי להתירה צריך שתתחדש בה שחיטה כדין ורק בזה היא מותרת, ולכן כל שבא להתירה עליו להביא ראיה שנעשה בה מעשה שמתיר אותה.</w:t>
      </w:r>
      <w:bookmarkEnd w:id="1215"/>
    </w:p>
    <w:p w14:paraId="55E38723" w14:textId="77777777" w:rsidR="00852065" w:rsidRDefault="00852065" w:rsidP="006D6D32">
      <w:pPr>
        <w:pStyle w:val="a3"/>
      </w:pPr>
      <w:bookmarkStart w:id="1216" w:name="_Toc521361973"/>
      <w:bookmarkStart w:id="1217" w:name="_Toc522200169"/>
      <w:bookmarkStart w:id="1218" w:name="_Toc19389055"/>
      <w:bookmarkStart w:id="1219" w:name="_Toc19392552"/>
      <w:r>
        <w:rPr>
          <w:rFonts w:hint="cs"/>
          <w:rtl/>
        </w:rPr>
        <w:t>דברי הרשב"א דבצר"ע צריך להוכיח שנתחדש בה איסור לשוק</w:t>
      </w:r>
      <w:bookmarkEnd w:id="1216"/>
      <w:bookmarkEnd w:id="1217"/>
      <w:bookmarkEnd w:id="1218"/>
      <w:bookmarkEnd w:id="1219"/>
    </w:p>
    <w:p w14:paraId="14C431B8" w14:textId="77777777" w:rsidR="00852065" w:rsidRDefault="00852065" w:rsidP="00223668">
      <w:pPr>
        <w:pStyle w:val="a0"/>
        <w:rPr>
          <w:rtl/>
        </w:rPr>
      </w:pPr>
      <w:r>
        <w:rPr>
          <w:rFonts w:hint="cs"/>
          <w:rtl/>
        </w:rPr>
        <w:t xml:space="preserve">אבל בספק צרת ערוה כתבו </w:t>
      </w:r>
      <w:r w:rsidRPr="00411A39">
        <w:rPr>
          <w:rStyle w:val="af9"/>
          <w:rFonts w:hint="cs"/>
          <w:rtl/>
        </w:rPr>
        <w:t xml:space="preserve">הרשב"א </w:t>
      </w:r>
      <w:r w:rsidRPr="007C2CC4">
        <w:rPr>
          <w:rStyle w:val="af9"/>
          <w:rFonts w:hint="cs"/>
          <w:rtl/>
        </w:rPr>
        <w:t>והר</w:t>
      </w:r>
      <w:r>
        <w:rPr>
          <w:rStyle w:val="af9"/>
          <w:rFonts w:hint="cs"/>
          <w:rtl/>
        </w:rPr>
        <w:t>יט</w:t>
      </w:r>
      <w:r w:rsidRPr="007C2CC4">
        <w:rPr>
          <w:rStyle w:val="af9"/>
          <w:rFonts w:hint="cs"/>
          <w:rtl/>
        </w:rPr>
        <w:t>ב"א</w:t>
      </w:r>
      <w:r w:rsidRPr="00411A39">
        <w:rPr>
          <w:rStyle w:val="af9"/>
          <w:rFonts w:hint="cs"/>
          <w:rtl/>
        </w:rPr>
        <w:t xml:space="preserve"> ביבמות</w:t>
      </w:r>
      <w:r>
        <w:rPr>
          <w:rFonts w:hint="cs"/>
          <w:rtl/>
        </w:rPr>
        <w:t xml:space="preserve"> דמתחילה היא בחזקת צרת ערוה, ועומדת להיות מותרת לשוק, וכשמת הבעל ממילא היא מותרת דקברו מוכיח עליו, ולכן כל שבא לאוסרה ולומר דהערוה נתגרשה ואינה צרת ערוה, וממילא אסורה לשוק דנופלת לפני יבם, עליו להביא ראיה,</w:t>
      </w:r>
      <w:r w:rsidRPr="005147B2">
        <w:rPr>
          <w:rFonts w:hint="cs"/>
          <w:rtl/>
        </w:rPr>
        <w:t xml:space="preserve"> </w:t>
      </w:r>
      <w:r>
        <w:rPr>
          <w:rFonts w:hint="cs"/>
          <w:rtl/>
        </w:rPr>
        <w:t xml:space="preserve">וכתב </w:t>
      </w:r>
      <w:r w:rsidRPr="00995301">
        <w:rPr>
          <w:rStyle w:val="af9"/>
          <w:rFonts w:hint="cs"/>
          <w:rtl/>
        </w:rPr>
        <w:t>הרשב"א ביבמות</w:t>
      </w:r>
      <w:r>
        <w:rPr>
          <w:rFonts w:hint="cs"/>
          <w:rtl/>
        </w:rPr>
        <w:t xml:space="preserve"> דה"ה בספק קידושין, ועי' </w:t>
      </w:r>
      <w:r>
        <w:rPr>
          <w:rStyle w:val="af9"/>
          <w:rFonts w:hint="cs"/>
          <w:rtl/>
        </w:rPr>
        <w:t>ב</w:t>
      </w:r>
      <w:r w:rsidRPr="00995301">
        <w:rPr>
          <w:rStyle w:val="af9"/>
          <w:rFonts w:hint="cs"/>
          <w:rtl/>
        </w:rPr>
        <w:t>ריטב"א ביבמות</w:t>
      </w:r>
      <w:r w:rsidRPr="00DA1E0E">
        <w:rPr>
          <w:rFonts w:hint="cs"/>
          <w:rtl/>
        </w:rPr>
        <w:t xml:space="preserve"> </w:t>
      </w:r>
      <w:r>
        <w:rPr>
          <w:rFonts w:hint="cs"/>
          <w:rtl/>
        </w:rPr>
        <w:t>במה שביאר.</w:t>
      </w:r>
    </w:p>
    <w:p w14:paraId="45B417D1" w14:textId="77777777" w:rsidR="00852065" w:rsidRDefault="00852065" w:rsidP="00BF39B2">
      <w:pPr>
        <w:pStyle w:val="1"/>
        <w:rPr>
          <w:rtl/>
        </w:rPr>
      </w:pPr>
      <w:bookmarkStart w:id="1220" w:name="_Toc522200170"/>
      <w:bookmarkStart w:id="1221" w:name="_Toc19389056"/>
      <w:bookmarkStart w:id="1222" w:name="_Toc19392553"/>
      <w:r>
        <w:rPr>
          <w:rFonts w:hint="cs"/>
          <w:rtl/>
        </w:rPr>
        <w:t>תירוץ הריטב"א והמאירי דאף בשחיטה אין מחזיקין מאל"א</w:t>
      </w:r>
      <w:bookmarkEnd w:id="1220"/>
      <w:bookmarkEnd w:id="1221"/>
      <w:bookmarkEnd w:id="1222"/>
    </w:p>
    <w:p w14:paraId="29027AB4" w14:textId="77777777" w:rsidR="00852065" w:rsidRPr="004E11C8" w:rsidRDefault="00852065" w:rsidP="006D6D32">
      <w:pPr>
        <w:pStyle w:val="a3"/>
        <w:rPr>
          <w:rtl/>
        </w:rPr>
      </w:pPr>
      <w:bookmarkStart w:id="1223" w:name="_Toc522200171"/>
      <w:bookmarkStart w:id="1224" w:name="_Toc19389057"/>
      <w:bookmarkStart w:id="1225" w:name="_Toc19392554"/>
      <w:r w:rsidRPr="004E11C8">
        <w:rPr>
          <w:rFonts w:hint="cs"/>
          <w:rtl/>
        </w:rPr>
        <w:t xml:space="preserve">תירוץ הריטב"א והמאירי דבספק בשחיטה אסורה </w:t>
      </w:r>
      <w:r>
        <w:rPr>
          <w:rFonts w:hint="cs"/>
          <w:rtl/>
        </w:rPr>
        <w:t>ב</w:t>
      </w:r>
      <w:r w:rsidRPr="004E11C8">
        <w:rPr>
          <w:rFonts w:hint="cs"/>
          <w:rtl/>
        </w:rPr>
        <w:t xml:space="preserve">אינו זבוח </w:t>
      </w:r>
      <w:r>
        <w:rPr>
          <w:rFonts w:hint="cs"/>
          <w:rtl/>
        </w:rPr>
        <w:t>ולא מחמת</w:t>
      </w:r>
      <w:r w:rsidRPr="004E11C8">
        <w:rPr>
          <w:rFonts w:hint="cs"/>
          <w:rtl/>
        </w:rPr>
        <w:t xml:space="preserve"> </w:t>
      </w:r>
      <w:r>
        <w:rPr>
          <w:rFonts w:hint="cs"/>
          <w:rtl/>
        </w:rPr>
        <w:t>ד</w:t>
      </w:r>
      <w:r w:rsidRPr="004E11C8">
        <w:rPr>
          <w:rFonts w:hint="cs"/>
          <w:rtl/>
        </w:rPr>
        <w:t>מחזיקין</w:t>
      </w:r>
      <w:r>
        <w:rPr>
          <w:rFonts w:hint="cs"/>
          <w:rtl/>
        </w:rPr>
        <w:t xml:space="preserve"> מאל"א</w:t>
      </w:r>
      <w:bookmarkEnd w:id="1223"/>
      <w:bookmarkEnd w:id="1224"/>
      <w:bookmarkEnd w:id="1225"/>
    </w:p>
    <w:p w14:paraId="5F2A13B2" w14:textId="77777777" w:rsidR="00852065" w:rsidRDefault="00852065" w:rsidP="00223668">
      <w:pPr>
        <w:pStyle w:val="a0"/>
        <w:rPr>
          <w:rtl/>
        </w:rPr>
      </w:pPr>
      <w:r>
        <w:rPr>
          <w:rFonts w:hint="cs"/>
          <w:rtl/>
        </w:rPr>
        <w:t xml:space="preserve">ועוד תירצו </w:t>
      </w:r>
      <w:r w:rsidRPr="00D64AC4">
        <w:rPr>
          <w:rStyle w:val="af9"/>
          <w:rFonts w:hint="cs"/>
          <w:rtl/>
        </w:rPr>
        <w:t xml:space="preserve">הריטב"א ביבמות </w:t>
      </w:r>
      <w:r w:rsidRPr="007C2CC4">
        <w:rPr>
          <w:rStyle w:val="af7"/>
          <w:rFonts w:eastAsia="Guttman Hodes" w:hint="cs"/>
          <w:rtl/>
        </w:rPr>
        <w:t>(ל: ד"ה וה</w:t>
      </w:r>
      <w:r>
        <w:rPr>
          <w:rStyle w:val="af7"/>
          <w:rFonts w:eastAsia="Guttman Hodes" w:hint="cs"/>
          <w:rtl/>
        </w:rPr>
        <w:t>קשו</w:t>
      </w:r>
      <w:r w:rsidRPr="007C2CC4">
        <w:rPr>
          <w:rStyle w:val="af7"/>
          <w:rFonts w:eastAsia="Guttman Hodes" w:hint="cs"/>
          <w:rtl/>
        </w:rPr>
        <w:t>)</w:t>
      </w:r>
      <w:r w:rsidRPr="007C2CC4">
        <w:rPr>
          <w:rFonts w:hint="cs"/>
          <w:rtl/>
        </w:rPr>
        <w:t xml:space="preserve"> </w:t>
      </w:r>
      <w:r w:rsidRPr="00D64AC4">
        <w:rPr>
          <w:rStyle w:val="af9"/>
          <w:rFonts w:hint="cs"/>
          <w:rtl/>
        </w:rPr>
        <w:t>והמאירי ביבמות</w:t>
      </w:r>
      <w:r>
        <w:rPr>
          <w:rFonts w:hint="cs"/>
          <w:rtl/>
        </w:rPr>
        <w:t xml:space="preserve"> </w:t>
      </w:r>
      <w:r w:rsidRPr="00D64AC4">
        <w:rPr>
          <w:rStyle w:val="af7"/>
          <w:rFonts w:eastAsia="Guttman Hodes" w:hint="cs"/>
          <w:rtl/>
        </w:rPr>
        <w:t>(ל: ד"ה יש)</w:t>
      </w:r>
      <w:r>
        <w:rPr>
          <w:rFonts w:hint="cs"/>
          <w:rtl/>
        </w:rPr>
        <w:t xml:space="preserve"> דבספק בשחיטה אינה בחזקת איסור מחמת דמחזיקין מאיסור לאיסור, אלא דהבהמה מוחזקת בחזקת שלא האיסור אינו זבוח דכתיב "וזבחת" </w:t>
      </w:r>
      <w:r w:rsidRPr="005D753A">
        <w:rPr>
          <w:rStyle w:val="afb"/>
          <w:rFonts w:hint="cs"/>
          <w:rtl/>
        </w:rPr>
        <w:t>[</w:t>
      </w:r>
      <w:r w:rsidRPr="005D753A">
        <w:rPr>
          <w:rStyle w:val="affa"/>
          <w:rFonts w:hint="cs"/>
          <w:rtl/>
        </w:rPr>
        <w:t>כתוס' בביצה</w:t>
      </w:r>
      <w:r w:rsidRPr="005D753A">
        <w:rPr>
          <w:rStyle w:val="afb"/>
          <w:rFonts w:hint="cs"/>
          <w:rtl/>
        </w:rPr>
        <w:t xml:space="preserve"> </w:t>
      </w:r>
      <w:r w:rsidRPr="00B234AE">
        <w:rPr>
          <w:rStyle w:val="aff6"/>
          <w:rFonts w:hint="cs"/>
          <w:rtl/>
        </w:rPr>
        <w:t xml:space="preserve">(עי' אות </w:t>
      </w:r>
      <w:r w:rsidRPr="00B234AE">
        <w:rPr>
          <w:rStyle w:val="aff6"/>
          <w:rtl/>
        </w:rPr>
        <w:fldChar w:fldCharType="begin"/>
      </w:r>
      <w:r w:rsidRPr="00B234AE">
        <w:rPr>
          <w:rStyle w:val="aff6"/>
          <w:rtl/>
        </w:rPr>
        <w:instrText xml:space="preserve"> </w:instrText>
      </w:r>
      <w:r w:rsidRPr="00B234AE">
        <w:rPr>
          <w:rStyle w:val="aff6"/>
          <w:rFonts w:hint="cs"/>
        </w:rPr>
        <w:instrText>REF</w:instrText>
      </w:r>
      <w:r w:rsidRPr="00B234AE">
        <w:rPr>
          <w:rStyle w:val="aff6"/>
          <w:rFonts w:hint="cs"/>
          <w:rtl/>
        </w:rPr>
        <w:instrText xml:space="preserve"> _</w:instrText>
      </w:r>
      <w:r w:rsidRPr="00B234AE">
        <w:rPr>
          <w:rStyle w:val="aff6"/>
          <w:rFonts w:hint="cs"/>
        </w:rPr>
        <w:instrText>Ref522197328 \r \h</w:instrText>
      </w:r>
      <w:r w:rsidRPr="00B234AE">
        <w:rPr>
          <w:rStyle w:val="aff6"/>
          <w:rtl/>
        </w:rPr>
        <w:instrText xml:space="preserve"> </w:instrText>
      </w:r>
      <w:r w:rsidRPr="00B234AE">
        <w:rPr>
          <w:rStyle w:val="aff6"/>
          <w:rtl/>
        </w:rPr>
      </w:r>
      <w:r w:rsidRPr="00B234AE">
        <w:rPr>
          <w:rStyle w:val="aff6"/>
          <w:rtl/>
        </w:rPr>
        <w:fldChar w:fldCharType="separate"/>
      </w:r>
      <w:r w:rsidR="00345400">
        <w:rPr>
          <w:rStyle w:val="aff6"/>
          <w:cs/>
        </w:rPr>
        <w:t>‎</w:t>
      </w:r>
      <w:r w:rsidR="00345400">
        <w:rPr>
          <w:rStyle w:val="aff6"/>
          <w:rtl/>
        </w:rPr>
        <w:t>ז)</w:t>
      </w:r>
      <w:r w:rsidRPr="00B234AE">
        <w:rPr>
          <w:rStyle w:val="aff6"/>
          <w:rtl/>
        </w:rPr>
        <w:fldChar w:fldCharType="end"/>
      </w:r>
      <w:r w:rsidRPr="005D753A">
        <w:rPr>
          <w:rStyle w:val="afb"/>
          <w:rFonts w:hint="cs"/>
          <w:rtl/>
        </w:rPr>
        <w:t>]</w:t>
      </w:r>
      <w:r>
        <w:rPr>
          <w:rStyle w:val="afb"/>
          <w:rFonts w:hint="cs"/>
          <w:rtl/>
        </w:rPr>
        <w:t>,</w:t>
      </w:r>
      <w:r>
        <w:rPr>
          <w:rFonts w:hint="cs"/>
          <w:rtl/>
        </w:rPr>
        <w:t xml:space="preserve"> שהוא איסור אף מחיים, ולכן כל זמן שלא נתברר שנשחטה כראוי, מעמידים אותה בחזקת שאינה זבוחה בין מחיים ובין לאחר מיתה.</w:t>
      </w:r>
    </w:p>
    <w:p w14:paraId="6C42785E" w14:textId="77777777" w:rsidR="00BA54AC" w:rsidRPr="00BA54AC" w:rsidRDefault="00BA54AC" w:rsidP="00BA54AC">
      <w:pPr>
        <w:pStyle w:val="a3"/>
        <w:rPr>
          <w:rtl/>
        </w:rPr>
      </w:pPr>
    </w:p>
    <w:p w14:paraId="4D108CC8" w14:textId="77777777" w:rsidR="004E1310" w:rsidRDefault="004E1310" w:rsidP="006D6D32">
      <w:pPr>
        <w:pStyle w:val="a3"/>
        <w:rPr>
          <w:rtl/>
        </w:rPr>
      </w:pPr>
    </w:p>
    <w:p w14:paraId="0EF5BE62" w14:textId="77777777" w:rsidR="00852065" w:rsidRPr="004E11C8" w:rsidRDefault="00852065" w:rsidP="006D6D32">
      <w:pPr>
        <w:pStyle w:val="a3"/>
      </w:pPr>
      <w:bookmarkStart w:id="1226" w:name="_Toc522200172"/>
      <w:bookmarkStart w:id="1227" w:name="_Toc19389058"/>
      <w:bookmarkStart w:id="1228" w:name="_Toc19392555"/>
      <w:r>
        <w:rPr>
          <w:rFonts w:hint="cs"/>
          <w:rtl/>
        </w:rPr>
        <w:t>דברי המאירי דכיון שאין מחזיקין מאל"א לכן בספק צרת ערוה היא בחזקת היתר</w:t>
      </w:r>
      <w:bookmarkEnd w:id="1226"/>
      <w:bookmarkEnd w:id="1227"/>
      <w:bookmarkEnd w:id="1228"/>
    </w:p>
    <w:p w14:paraId="04957465" w14:textId="77777777" w:rsidR="00852065" w:rsidRDefault="00852065" w:rsidP="00223668">
      <w:pPr>
        <w:pStyle w:val="a0"/>
        <w:rPr>
          <w:rtl/>
        </w:rPr>
      </w:pPr>
      <w:r>
        <w:rPr>
          <w:rFonts w:hint="cs"/>
          <w:rtl/>
        </w:rPr>
        <w:t xml:space="preserve">והוסיף </w:t>
      </w:r>
      <w:r w:rsidRPr="00D64AC4">
        <w:rPr>
          <w:rStyle w:val="af9"/>
          <w:rFonts w:hint="cs"/>
          <w:rtl/>
        </w:rPr>
        <w:t>המאירי</w:t>
      </w:r>
      <w:r>
        <w:rPr>
          <w:rFonts w:hint="cs"/>
          <w:rtl/>
        </w:rPr>
        <w:t xml:space="preserve"> דכיון שאין מחזיקין מאיסור לאיסור לכן בספק צרת ערוה היא בחזקת היתר לשוק,  </w:t>
      </w:r>
      <w:r w:rsidRPr="00153F85">
        <w:rPr>
          <w:rStyle w:val="afb"/>
          <w:rFonts w:hint="cs"/>
          <w:rtl/>
        </w:rPr>
        <w:t>[דהאיסור אשת איש פקע לאחר מיתת הבעל, והאיסור יבמה לשוק לא שייך מחיים].</w:t>
      </w:r>
    </w:p>
    <w:p w14:paraId="749F0268" w14:textId="77777777" w:rsidR="00852065" w:rsidRPr="00FF2789" w:rsidRDefault="00852065" w:rsidP="006D6D32">
      <w:pPr>
        <w:pStyle w:val="a3"/>
      </w:pPr>
      <w:bookmarkStart w:id="1229" w:name="_Toc522200173"/>
      <w:bookmarkStart w:id="1230" w:name="_Toc19389059"/>
      <w:bookmarkStart w:id="1231" w:name="_Toc19392556"/>
      <w:r>
        <w:rPr>
          <w:rFonts w:hint="cs"/>
          <w:rtl/>
        </w:rPr>
        <w:t>ביאור רבי ראובן דכן דעת התוס' ביבמות שלא הקשו מדינא דאין מחזיקין מאל"א</w:t>
      </w:r>
      <w:bookmarkEnd w:id="1229"/>
      <w:bookmarkEnd w:id="1230"/>
      <w:bookmarkEnd w:id="1231"/>
    </w:p>
    <w:p w14:paraId="132C4712" w14:textId="77777777" w:rsidR="00852065" w:rsidRPr="006F7331" w:rsidRDefault="00852065" w:rsidP="00223668">
      <w:pPr>
        <w:pStyle w:val="a0"/>
      </w:pPr>
      <w:r>
        <w:rPr>
          <w:rFonts w:hint="cs"/>
          <w:rtl/>
        </w:rPr>
        <w:t xml:space="preserve">וכתב </w:t>
      </w:r>
      <w:r w:rsidRPr="00FF2789">
        <w:rPr>
          <w:rStyle w:val="af9"/>
          <w:rFonts w:hint="cs"/>
          <w:rtl/>
        </w:rPr>
        <w:t>רבי ראובן</w:t>
      </w:r>
      <w:r>
        <w:rPr>
          <w:rFonts w:hint="cs"/>
          <w:rtl/>
        </w:rPr>
        <w:t xml:space="preserve"> </w:t>
      </w:r>
      <w:r w:rsidRPr="001E7B6D">
        <w:rPr>
          <w:rStyle w:val="af7"/>
          <w:rFonts w:eastAsia="Guttman Hodes" w:hint="cs"/>
          <w:rtl/>
        </w:rPr>
        <w:t xml:space="preserve">(יבמות סי' כ"ז א' ד"ה והנך) </w:t>
      </w:r>
      <w:r>
        <w:rPr>
          <w:rFonts w:hint="cs"/>
          <w:rtl/>
        </w:rPr>
        <w:t xml:space="preserve">דעפ"י דברי </w:t>
      </w:r>
      <w:r w:rsidRPr="00FF2789">
        <w:rPr>
          <w:rStyle w:val="af9"/>
          <w:rFonts w:hint="cs"/>
          <w:rtl/>
        </w:rPr>
        <w:t>הריטב"א והמאירי</w:t>
      </w:r>
      <w:r>
        <w:rPr>
          <w:rFonts w:hint="cs"/>
          <w:rtl/>
        </w:rPr>
        <w:t xml:space="preserve"> אפשר לבאר את דברי </w:t>
      </w:r>
      <w:r w:rsidRPr="00FF2789">
        <w:rPr>
          <w:rStyle w:val="af9"/>
          <w:rFonts w:hint="cs"/>
          <w:rtl/>
        </w:rPr>
        <w:t>התוס' ביבמות</w:t>
      </w:r>
      <w:r>
        <w:rPr>
          <w:rFonts w:hint="cs"/>
          <w:rtl/>
        </w:rPr>
        <w:t xml:space="preserve"> דלא הקשו כקושית הרמב"ן והרשב"א, מדין מחזיקין מאיסור לאיסור, אלא מספק דרוסה, דס"ל </w:t>
      </w:r>
      <w:r w:rsidRPr="00FF2789">
        <w:rPr>
          <w:rStyle w:val="af9"/>
          <w:rFonts w:hint="cs"/>
          <w:rtl/>
        </w:rPr>
        <w:t>כתוס' בביצה</w:t>
      </w:r>
      <w:r>
        <w:rPr>
          <w:rFonts w:hint="cs"/>
          <w:rtl/>
        </w:rPr>
        <w:t xml:space="preserve"> </w:t>
      </w:r>
      <w:r w:rsidRPr="00B234AE">
        <w:rPr>
          <w:rStyle w:val="af7"/>
          <w:rFonts w:eastAsia="Guttman Hodes" w:hint="cs"/>
          <w:rtl/>
        </w:rPr>
        <w:t xml:space="preserve">(עי' אות </w:t>
      </w:r>
      <w:r w:rsidRPr="00B234AE">
        <w:rPr>
          <w:rStyle w:val="af7"/>
          <w:rFonts w:eastAsia="Guttman Hodes"/>
          <w:rtl/>
        </w:rPr>
        <w:fldChar w:fldCharType="begin"/>
      </w:r>
      <w:r w:rsidRPr="00B234AE">
        <w:rPr>
          <w:rStyle w:val="af7"/>
          <w:rFonts w:eastAsia="Guttman Hodes"/>
          <w:rtl/>
        </w:rPr>
        <w:instrText xml:space="preserve"> </w:instrText>
      </w:r>
      <w:r w:rsidRPr="00B234AE">
        <w:rPr>
          <w:rStyle w:val="af7"/>
          <w:rFonts w:eastAsia="Guttman Hodes" w:hint="cs"/>
        </w:rPr>
        <w:instrText>REF</w:instrText>
      </w:r>
      <w:r w:rsidRPr="00B234AE">
        <w:rPr>
          <w:rStyle w:val="af7"/>
          <w:rFonts w:eastAsia="Guttman Hodes" w:hint="cs"/>
          <w:rtl/>
        </w:rPr>
        <w:instrText xml:space="preserve"> _</w:instrText>
      </w:r>
      <w:r w:rsidRPr="00B234AE">
        <w:rPr>
          <w:rStyle w:val="af7"/>
          <w:rFonts w:eastAsia="Guttman Hodes" w:hint="cs"/>
        </w:rPr>
        <w:instrText>Ref522197328 \r \h</w:instrText>
      </w:r>
      <w:r w:rsidRPr="00B234AE">
        <w:rPr>
          <w:rStyle w:val="af7"/>
          <w:rFonts w:eastAsia="Guttman Hodes"/>
          <w:rtl/>
        </w:rPr>
        <w:instrText xml:space="preserve"> </w:instrText>
      </w:r>
      <w:r w:rsidRPr="00B234AE">
        <w:rPr>
          <w:rStyle w:val="af7"/>
          <w:rFonts w:eastAsia="Guttman Hodes"/>
          <w:rtl/>
        </w:rPr>
      </w:r>
      <w:r w:rsidRPr="00B234AE">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B234AE">
        <w:rPr>
          <w:rStyle w:val="af7"/>
          <w:rFonts w:eastAsia="Guttman Hodes"/>
          <w:rtl/>
        </w:rPr>
        <w:fldChar w:fldCharType="end"/>
      </w:r>
      <w:r>
        <w:rPr>
          <w:rFonts w:hint="cs"/>
          <w:rtl/>
        </w:rPr>
        <w:t xml:space="preserve"> דהחזקת איסור הוא אינו זבוח, וכדביארו </w:t>
      </w:r>
      <w:r w:rsidRPr="00FF2789">
        <w:rPr>
          <w:rStyle w:val="af9"/>
          <w:rFonts w:hint="cs"/>
          <w:rtl/>
        </w:rPr>
        <w:t>הריטב"א והמאירי</w:t>
      </w:r>
      <w:r>
        <w:rPr>
          <w:rFonts w:hint="cs"/>
          <w:rtl/>
        </w:rPr>
        <w:t xml:space="preserve"> דאין מחזיקין מאיסור לאיסור.</w:t>
      </w:r>
    </w:p>
    <w:p w14:paraId="24AF379C" w14:textId="77777777" w:rsidR="00852065" w:rsidRDefault="00852065" w:rsidP="00BF39B2">
      <w:pPr>
        <w:pStyle w:val="1"/>
        <w:rPr>
          <w:rtl/>
        </w:rPr>
      </w:pPr>
      <w:bookmarkStart w:id="1232" w:name="_Toc522200174"/>
      <w:bookmarkStart w:id="1233" w:name="_Toc19389060"/>
      <w:bookmarkStart w:id="1234" w:name="_Toc19392557"/>
      <w:r>
        <w:rPr>
          <w:rFonts w:hint="cs"/>
          <w:rtl/>
        </w:rPr>
        <w:t>ביאור האו"ש בדברי הרמב"ן והרשב"א ביבמות</w:t>
      </w:r>
      <w:bookmarkEnd w:id="1232"/>
      <w:bookmarkEnd w:id="1233"/>
      <w:bookmarkEnd w:id="1234"/>
    </w:p>
    <w:p w14:paraId="70F52CBE" w14:textId="77777777" w:rsidR="00852065" w:rsidRPr="00E95160" w:rsidRDefault="00852065" w:rsidP="006D6D32">
      <w:pPr>
        <w:pStyle w:val="a3"/>
        <w:rPr>
          <w:rtl/>
        </w:rPr>
      </w:pPr>
      <w:bookmarkStart w:id="1235" w:name="_Toc522200175"/>
      <w:bookmarkStart w:id="1236" w:name="_Toc19389061"/>
      <w:bookmarkStart w:id="1237" w:name="_Toc19392558"/>
      <w:r>
        <w:rPr>
          <w:rFonts w:hint="cs"/>
          <w:rtl/>
        </w:rPr>
        <w:t>קושית האו"ש דבספק צרת ערוה צריך להתיר מדין מחזיקין מאל"א דאסורה ליבם באשת אח</w:t>
      </w:r>
      <w:bookmarkEnd w:id="1235"/>
      <w:bookmarkEnd w:id="1236"/>
      <w:bookmarkEnd w:id="1237"/>
    </w:p>
    <w:p w14:paraId="08C26366" w14:textId="77777777" w:rsidR="00852065" w:rsidRDefault="00852065" w:rsidP="00223668">
      <w:pPr>
        <w:pStyle w:val="a0"/>
        <w:rPr>
          <w:rtl/>
        </w:rPr>
      </w:pPr>
      <w:r w:rsidRPr="005F68B8">
        <w:rPr>
          <w:rStyle w:val="af9"/>
          <w:rFonts w:hint="cs"/>
          <w:rtl/>
        </w:rPr>
        <w:t>האו"ש</w:t>
      </w:r>
      <w:r>
        <w:rPr>
          <w:rFonts w:hint="cs"/>
          <w:rtl/>
        </w:rPr>
        <w:t xml:space="preserve"> </w:t>
      </w:r>
      <w:r w:rsidRPr="005F68B8">
        <w:rPr>
          <w:rStyle w:val="af7"/>
          <w:rFonts w:eastAsia="Guttman Hodes" w:hint="cs"/>
          <w:rtl/>
        </w:rPr>
        <w:t>(שחיטה א' י"ג ד"ה אולם)</w:t>
      </w:r>
      <w:r>
        <w:rPr>
          <w:rFonts w:hint="cs"/>
          <w:rtl/>
        </w:rPr>
        <w:t xml:space="preserve"> תמה על קושית [</w:t>
      </w:r>
      <w:r w:rsidRPr="005F68B8">
        <w:rPr>
          <w:rStyle w:val="af9"/>
          <w:rFonts w:hint="cs"/>
          <w:rtl/>
        </w:rPr>
        <w:t>הרמב"ן</w:t>
      </w:r>
      <w:r>
        <w:rPr>
          <w:rFonts w:hint="cs"/>
          <w:rtl/>
        </w:rPr>
        <w:t xml:space="preserve">] </w:t>
      </w:r>
      <w:r w:rsidRPr="005F68B8">
        <w:rPr>
          <w:rStyle w:val="af9"/>
          <w:rFonts w:hint="cs"/>
          <w:rtl/>
        </w:rPr>
        <w:t xml:space="preserve">והרשב"א ביבמות </w:t>
      </w:r>
      <w:r>
        <w:rPr>
          <w:rFonts w:hint="cs"/>
          <w:rtl/>
        </w:rPr>
        <w:t xml:space="preserve">דמה שייך </w:t>
      </w:r>
      <w:r>
        <w:rPr>
          <w:rtl/>
        </w:rPr>
        <w:t>בספק צרת ערוה</w:t>
      </w:r>
      <w:r>
        <w:rPr>
          <w:rFonts w:hint="cs"/>
          <w:rtl/>
        </w:rPr>
        <w:t xml:space="preserve"> לאסור לשוק, מדין מחזיקין מאיסור לאיסור, הא אדרבה מדין זה היא צריכה להיות מותרת לשוק, דנחזיק אותה מאיסור אשת אח, דהייתה אסורה מחיים על היבם, דעכשיו ג"כ תאסר על היבם, דנימא שלא נתגרשה הערוה, ויש על האשה איסור אשת אח, עיי"ש במה שהאריך בזה טובא.</w:t>
      </w:r>
    </w:p>
    <w:p w14:paraId="246BE299" w14:textId="77777777" w:rsidR="00852065" w:rsidRDefault="00852065" w:rsidP="006D6D32">
      <w:pPr>
        <w:pStyle w:val="a3"/>
      </w:pPr>
      <w:bookmarkStart w:id="1238" w:name="_Toc522200176"/>
      <w:bookmarkStart w:id="1239" w:name="_Toc19389062"/>
      <w:bookmarkStart w:id="1240" w:name="_Toc19392559"/>
      <w:r>
        <w:rPr>
          <w:rFonts w:hint="cs"/>
          <w:rtl/>
        </w:rPr>
        <w:t>קושית האו"ש דמדברי אביי בספק קידושין מוכח דמחזיקין מאיסור לאיסור</w:t>
      </w:r>
      <w:bookmarkEnd w:id="1238"/>
      <w:bookmarkEnd w:id="1239"/>
      <w:bookmarkEnd w:id="1240"/>
    </w:p>
    <w:p w14:paraId="59E0D74E" w14:textId="77777777" w:rsidR="00852065" w:rsidRDefault="00852065" w:rsidP="00223668">
      <w:pPr>
        <w:pStyle w:val="a0"/>
        <w:rPr>
          <w:rtl/>
        </w:rPr>
      </w:pPr>
      <w:r>
        <w:rPr>
          <w:rFonts w:hint="cs"/>
          <w:rtl/>
        </w:rPr>
        <w:t xml:space="preserve">והוסיף </w:t>
      </w:r>
      <w:r w:rsidRPr="00306AE0">
        <w:rPr>
          <w:rStyle w:val="af9"/>
          <w:rFonts w:hint="cs"/>
          <w:rtl/>
        </w:rPr>
        <w:t>האו"ש</w:t>
      </w:r>
      <w:r>
        <w:rPr>
          <w:rFonts w:hint="cs"/>
          <w:rtl/>
        </w:rPr>
        <w:t xml:space="preserve"> דאדרבה מהגמ' ביבמות מוכח דמחזיקין מאיסור לאיסור, מהא דהקשה אביי דבספק צרת ערוה בספק קידושין, </w:t>
      </w:r>
      <w:r w:rsidRPr="00CF4753">
        <w:rPr>
          <w:rStyle w:val="afb"/>
          <w:rFonts w:hint="cs"/>
          <w:rtl/>
        </w:rPr>
        <w:t>[היכא דנקדשה הערוה בקידושי ספק למת]</w:t>
      </w:r>
      <w:r>
        <w:rPr>
          <w:rStyle w:val="afb"/>
          <w:rFonts w:hint="cs"/>
          <w:rtl/>
        </w:rPr>
        <w:t>,</w:t>
      </w:r>
      <w:r>
        <w:rPr>
          <w:rFonts w:hint="cs"/>
          <w:rtl/>
        </w:rPr>
        <w:t xml:space="preserve"> דצריך להעמידה בחזקת היתר ליבם, ואי מחזיקין מאיסור לאיסור צריך לומר להיפך דכמו שמחיים הייתה אסורה באיסור אשת אח, אף לאחר מיתה נימא דחלו הקידושין של המת</w:t>
      </w:r>
      <w:r w:rsidRPr="0010667C">
        <w:rPr>
          <w:rFonts w:hint="cs"/>
          <w:rtl/>
        </w:rPr>
        <w:t xml:space="preserve"> </w:t>
      </w:r>
      <w:r>
        <w:rPr>
          <w:rFonts w:hint="cs"/>
          <w:rtl/>
        </w:rPr>
        <w:t>בערוה, וצרתה נעשית לצרת ערוה, ואסורה באיסור אשת אח.</w:t>
      </w:r>
    </w:p>
    <w:p w14:paraId="21B0AF5E" w14:textId="77777777" w:rsidR="00852065" w:rsidRDefault="00852065" w:rsidP="006D6D32">
      <w:pPr>
        <w:pStyle w:val="a3"/>
        <w:rPr>
          <w:rtl/>
        </w:rPr>
      </w:pPr>
      <w:bookmarkStart w:id="1241" w:name="_Toc522200177"/>
      <w:bookmarkStart w:id="1242" w:name="_Toc19389063"/>
      <w:bookmarkStart w:id="1243" w:name="_Toc19392560"/>
      <w:r>
        <w:rPr>
          <w:rFonts w:hint="cs"/>
          <w:rtl/>
        </w:rPr>
        <w:t>תירוץ האו"ש דבספק קידושין מכח האשת אח א"א לחדש מעשה ולומר שחלו הקידושין</w:t>
      </w:r>
      <w:bookmarkEnd w:id="1241"/>
      <w:bookmarkEnd w:id="1242"/>
      <w:bookmarkEnd w:id="1243"/>
    </w:p>
    <w:p w14:paraId="12446F6F" w14:textId="77777777" w:rsidR="00852065" w:rsidRPr="00D47335" w:rsidRDefault="00852065" w:rsidP="00223668">
      <w:pPr>
        <w:pStyle w:val="a0"/>
        <w:rPr>
          <w:rtl/>
        </w:rPr>
      </w:pPr>
      <w:r>
        <w:rPr>
          <w:rFonts w:hint="cs"/>
          <w:rtl/>
        </w:rPr>
        <w:t xml:space="preserve">ותירץ </w:t>
      </w:r>
      <w:r w:rsidRPr="00306AE0">
        <w:rPr>
          <w:rStyle w:val="af9"/>
          <w:rFonts w:hint="cs"/>
          <w:rtl/>
        </w:rPr>
        <w:t xml:space="preserve">האו"ש </w:t>
      </w:r>
      <w:r>
        <w:rPr>
          <w:rFonts w:hint="cs"/>
          <w:rtl/>
        </w:rPr>
        <w:t xml:space="preserve"> </w:t>
      </w:r>
      <w:r w:rsidRPr="00306AE0">
        <w:rPr>
          <w:rStyle w:val="af7"/>
          <w:rFonts w:eastAsia="Guttman Hodes" w:hint="cs"/>
          <w:rtl/>
        </w:rPr>
        <w:t xml:space="preserve">(שחיטה א' י"ג ד"ה אמנם) </w:t>
      </w:r>
      <w:r>
        <w:rPr>
          <w:rFonts w:hint="cs"/>
          <w:rtl/>
        </w:rPr>
        <w:t xml:space="preserve">דכיון שבכדי לאוסרה באשת אח בספק קידושין, צריך לחדש מעשה ולומר שחלו הקידושין בערוה, וא"א לחדש מעשה מכח חזקת איסור, וכתב </w:t>
      </w:r>
      <w:r w:rsidRPr="00306AE0">
        <w:rPr>
          <w:rStyle w:val="af9"/>
          <w:rFonts w:hint="cs"/>
          <w:rtl/>
        </w:rPr>
        <w:t>האו"ש</w:t>
      </w:r>
      <w:r>
        <w:rPr>
          <w:rFonts w:hint="cs"/>
          <w:rtl/>
        </w:rPr>
        <w:t xml:space="preserve"> דזהו כעין תירוץ </w:t>
      </w:r>
      <w:r w:rsidRPr="00306AE0">
        <w:rPr>
          <w:rStyle w:val="af9"/>
          <w:rFonts w:hint="cs"/>
          <w:rtl/>
        </w:rPr>
        <w:t>הרשב"א</w:t>
      </w:r>
      <w:r>
        <w:rPr>
          <w:rFonts w:hint="cs"/>
          <w:rtl/>
        </w:rPr>
        <w:t xml:space="preserve"> </w:t>
      </w:r>
      <w:r w:rsidRPr="00B234AE">
        <w:rPr>
          <w:rStyle w:val="af7"/>
          <w:rFonts w:eastAsia="Guttman Hodes" w:hint="cs"/>
          <w:rtl/>
        </w:rPr>
        <w:t xml:space="preserve">(עי' אות </w:t>
      </w:r>
      <w:r w:rsidRPr="00B234AE">
        <w:rPr>
          <w:rStyle w:val="af7"/>
          <w:rFonts w:eastAsia="Guttman Hodes"/>
          <w:rtl/>
        </w:rPr>
        <w:fldChar w:fldCharType="begin"/>
      </w:r>
      <w:r w:rsidRPr="00B234AE">
        <w:rPr>
          <w:rStyle w:val="af7"/>
          <w:rFonts w:eastAsia="Guttman Hodes"/>
          <w:rtl/>
        </w:rPr>
        <w:instrText xml:space="preserve"> </w:instrText>
      </w:r>
      <w:r w:rsidRPr="00B234AE">
        <w:rPr>
          <w:rStyle w:val="af7"/>
          <w:rFonts w:eastAsia="Guttman Hodes" w:hint="cs"/>
        </w:rPr>
        <w:instrText>REF</w:instrText>
      </w:r>
      <w:r w:rsidRPr="00B234AE">
        <w:rPr>
          <w:rStyle w:val="af7"/>
          <w:rFonts w:eastAsia="Guttman Hodes" w:hint="cs"/>
          <w:rtl/>
        </w:rPr>
        <w:instrText xml:space="preserve"> _</w:instrText>
      </w:r>
      <w:r w:rsidRPr="00B234AE">
        <w:rPr>
          <w:rStyle w:val="af7"/>
          <w:rFonts w:eastAsia="Guttman Hodes" w:hint="cs"/>
        </w:rPr>
        <w:instrText>Ref522187437 \r \h</w:instrText>
      </w:r>
      <w:r w:rsidRPr="00B234AE">
        <w:rPr>
          <w:rStyle w:val="af7"/>
          <w:rFonts w:eastAsia="Guttman Hodes"/>
          <w:rtl/>
        </w:rPr>
        <w:instrText xml:space="preserve"> </w:instrText>
      </w:r>
      <w:r w:rsidRPr="00B234AE">
        <w:rPr>
          <w:rStyle w:val="af7"/>
          <w:rFonts w:eastAsia="Guttman Hodes"/>
          <w:rtl/>
        </w:rPr>
      </w:r>
      <w:r w:rsidRPr="00B234AE">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sidRPr="00B234AE">
        <w:rPr>
          <w:rStyle w:val="af7"/>
          <w:rFonts w:eastAsia="Guttman Hodes"/>
          <w:rtl/>
        </w:rPr>
        <w:fldChar w:fldCharType="end"/>
      </w:r>
      <w:r>
        <w:rPr>
          <w:rFonts w:hint="cs"/>
          <w:rtl/>
        </w:rPr>
        <w:t>.</w:t>
      </w:r>
    </w:p>
    <w:p w14:paraId="6673B756" w14:textId="77777777" w:rsidR="00852065" w:rsidRDefault="00852065" w:rsidP="00BF39B2">
      <w:pPr>
        <w:pStyle w:val="1"/>
        <w:rPr>
          <w:rtl/>
        </w:rPr>
      </w:pPr>
      <w:bookmarkStart w:id="1244" w:name="_Toc522200178"/>
      <w:bookmarkStart w:id="1245" w:name="_Toc19389064"/>
      <w:bookmarkStart w:id="1246" w:name="_Toc19392561"/>
      <w:r>
        <w:rPr>
          <w:rFonts w:hint="cs"/>
          <w:rtl/>
        </w:rPr>
        <w:t>ביאור החזו"א בדברי הרמב"ן והרשב"א ביבמות</w:t>
      </w:r>
      <w:bookmarkEnd w:id="1244"/>
      <w:bookmarkEnd w:id="1245"/>
      <w:bookmarkEnd w:id="1246"/>
    </w:p>
    <w:p w14:paraId="004D390F" w14:textId="77777777" w:rsidR="00852065" w:rsidRPr="00E24180" w:rsidRDefault="00852065" w:rsidP="006D6D32">
      <w:pPr>
        <w:pStyle w:val="a3"/>
      </w:pPr>
      <w:bookmarkStart w:id="1247" w:name="_Toc522200179"/>
      <w:bookmarkStart w:id="1248" w:name="_Toc19389065"/>
      <w:bookmarkStart w:id="1249" w:name="_Toc19392562"/>
      <w:r>
        <w:rPr>
          <w:rFonts w:hint="cs"/>
          <w:rtl/>
        </w:rPr>
        <w:t>דברי החזו"א דבספק בשחיטה אם לא נשחטה כראוי מחיים היא מוחזקת לנבילה</w:t>
      </w:r>
      <w:bookmarkEnd w:id="1247"/>
      <w:bookmarkEnd w:id="1248"/>
      <w:bookmarkEnd w:id="1249"/>
    </w:p>
    <w:p w14:paraId="2D92AD9F" w14:textId="77777777" w:rsidR="00852065" w:rsidRDefault="00852065" w:rsidP="00223668">
      <w:pPr>
        <w:pStyle w:val="a0"/>
        <w:rPr>
          <w:rtl/>
        </w:rPr>
      </w:pPr>
      <w:r>
        <w:rPr>
          <w:rFonts w:hint="cs"/>
          <w:rtl/>
        </w:rPr>
        <w:t xml:space="preserve">וכתב </w:t>
      </w:r>
      <w:r w:rsidRPr="005F68B8">
        <w:rPr>
          <w:rStyle w:val="af9"/>
          <w:rFonts w:hint="cs"/>
          <w:rtl/>
        </w:rPr>
        <w:t xml:space="preserve">החזו"א </w:t>
      </w:r>
      <w:r w:rsidRPr="005F68B8">
        <w:rPr>
          <w:rStyle w:val="af7"/>
          <w:rFonts w:eastAsia="Guttman Hodes" w:hint="cs"/>
          <w:rtl/>
        </w:rPr>
        <w:t xml:space="preserve">(אבן העזר פ"א א') </w:t>
      </w:r>
      <w:r>
        <w:rPr>
          <w:rFonts w:hint="cs"/>
          <w:rtl/>
        </w:rPr>
        <w:t xml:space="preserve">דאין כוונת </w:t>
      </w:r>
      <w:r w:rsidRPr="005F68B8">
        <w:rPr>
          <w:rStyle w:val="af9"/>
          <w:rFonts w:hint="cs"/>
          <w:rtl/>
        </w:rPr>
        <w:t xml:space="preserve">הרמב"ן ביבמות </w:t>
      </w:r>
      <w:r w:rsidRPr="00B234AE">
        <w:rPr>
          <w:rStyle w:val="af7"/>
          <w:rFonts w:eastAsia="Guttman Hodes" w:hint="cs"/>
          <w:rtl/>
        </w:rPr>
        <w:t xml:space="preserve">(עי' אות </w:t>
      </w:r>
      <w:r w:rsidRPr="00B234AE">
        <w:rPr>
          <w:rStyle w:val="af7"/>
          <w:rFonts w:eastAsia="Guttman Hodes"/>
          <w:rtl/>
        </w:rPr>
        <w:fldChar w:fldCharType="begin"/>
      </w:r>
      <w:r w:rsidRPr="00B234AE">
        <w:rPr>
          <w:rStyle w:val="af7"/>
          <w:rFonts w:eastAsia="Guttman Hodes"/>
          <w:rtl/>
        </w:rPr>
        <w:instrText xml:space="preserve"> </w:instrText>
      </w:r>
      <w:r w:rsidRPr="00B234AE">
        <w:rPr>
          <w:rStyle w:val="af7"/>
          <w:rFonts w:eastAsia="Guttman Hodes" w:hint="cs"/>
        </w:rPr>
        <w:instrText>REF</w:instrText>
      </w:r>
      <w:r w:rsidRPr="00B234AE">
        <w:rPr>
          <w:rStyle w:val="af7"/>
          <w:rFonts w:eastAsia="Guttman Hodes" w:hint="cs"/>
          <w:rtl/>
        </w:rPr>
        <w:instrText xml:space="preserve"> _</w:instrText>
      </w:r>
      <w:r w:rsidRPr="00B234AE">
        <w:rPr>
          <w:rStyle w:val="af7"/>
          <w:rFonts w:eastAsia="Guttman Hodes" w:hint="cs"/>
        </w:rPr>
        <w:instrText>Ref522187774 \r \h</w:instrText>
      </w:r>
      <w:r w:rsidRPr="00B234AE">
        <w:rPr>
          <w:rStyle w:val="af7"/>
          <w:rFonts w:eastAsia="Guttman Hodes"/>
          <w:rtl/>
        </w:rPr>
        <w:instrText xml:space="preserve"> </w:instrText>
      </w:r>
      <w:r w:rsidRPr="00B234AE">
        <w:rPr>
          <w:rStyle w:val="af7"/>
          <w:rFonts w:eastAsia="Guttman Hodes"/>
          <w:rtl/>
        </w:rPr>
      </w:r>
      <w:r w:rsidRPr="00B234AE">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B234AE">
        <w:rPr>
          <w:rStyle w:val="af7"/>
          <w:rFonts w:eastAsia="Guttman Hodes"/>
          <w:rtl/>
        </w:rPr>
        <w:fldChar w:fldCharType="end"/>
      </w:r>
      <w:r w:rsidRPr="00B234AE">
        <w:rPr>
          <w:rStyle w:val="af7"/>
          <w:rFonts w:eastAsia="Guttman Hodes" w:hint="cs"/>
          <w:rtl/>
        </w:rPr>
        <w:t xml:space="preserve"> </w:t>
      </w:r>
      <w:r>
        <w:rPr>
          <w:rFonts w:hint="cs"/>
          <w:rtl/>
        </w:rPr>
        <w:t xml:space="preserve">להקשות בספק בשחיטה נאמר שיש לבהמה חזקת היתר מחיים דכשתשחט תהיה מותרת, כחזקה דרבה </w:t>
      </w:r>
      <w:r>
        <w:rPr>
          <w:rtl/>
        </w:rPr>
        <w:t>בספק צרת ערוה</w:t>
      </w:r>
      <w:r>
        <w:rPr>
          <w:rFonts w:hint="cs"/>
          <w:rtl/>
        </w:rPr>
        <w:t>,</w:t>
      </w:r>
      <w:r>
        <w:rPr>
          <w:rtl/>
        </w:rPr>
        <w:t xml:space="preserve"> </w:t>
      </w:r>
      <w:r>
        <w:rPr>
          <w:rFonts w:hint="cs"/>
          <w:rtl/>
        </w:rPr>
        <w:t>דמותרת לאחר מיתת הבעל. דדוקא לענין ספק גירושין בערוה אפש"ל דיש לה חזקה, כיון שהגירושין עצמם אינם אוסרים את האשה לשוק, ורק משנים את דינה לכשימות הבעל, משא"כ בספק בשחיטה דאם לא נשחטה כראוי, שחיטה זו עושה אותה נבילה, ומחיים היא עומדת להיות או מותרת בשחיטה, או אסורה בנבילה בשאר הריגות שאינם שחיטה.</w:t>
      </w:r>
    </w:p>
    <w:p w14:paraId="6F1B76F1" w14:textId="77777777" w:rsidR="00852065" w:rsidRDefault="00852065" w:rsidP="006D6D32">
      <w:pPr>
        <w:pStyle w:val="a3"/>
        <w:rPr>
          <w:rtl/>
        </w:rPr>
      </w:pPr>
      <w:bookmarkStart w:id="1250" w:name="_Toc522200180"/>
      <w:bookmarkStart w:id="1251" w:name="_Toc19389066"/>
      <w:bookmarkStart w:id="1252" w:name="_Toc19392563"/>
      <w:r>
        <w:rPr>
          <w:rFonts w:hint="cs"/>
          <w:rtl/>
        </w:rPr>
        <w:t>ביאור החזו"א ברמב"ן דבספק צר"ע יש לה חזקת איסור מחיים כמו בספק בשחיטה</w:t>
      </w:r>
      <w:bookmarkEnd w:id="1250"/>
      <w:bookmarkEnd w:id="1251"/>
      <w:bookmarkEnd w:id="1252"/>
    </w:p>
    <w:p w14:paraId="0BAEDD09" w14:textId="77777777" w:rsidR="00852065" w:rsidRPr="002701E1" w:rsidRDefault="00852065" w:rsidP="00223668">
      <w:pPr>
        <w:pStyle w:val="a0"/>
        <w:rPr>
          <w:rtl/>
        </w:rPr>
      </w:pPr>
      <w:r>
        <w:rPr>
          <w:rFonts w:hint="cs"/>
          <w:rtl/>
        </w:rPr>
        <w:t xml:space="preserve">אלא ביאר </w:t>
      </w:r>
      <w:r w:rsidRPr="005F68B8">
        <w:rPr>
          <w:rStyle w:val="af9"/>
          <w:rFonts w:hint="cs"/>
          <w:rtl/>
        </w:rPr>
        <w:t>החזו"א</w:t>
      </w:r>
      <w:r>
        <w:rPr>
          <w:rFonts w:hint="cs"/>
          <w:rtl/>
        </w:rPr>
        <w:t xml:space="preserve"> את קושית </w:t>
      </w:r>
      <w:r w:rsidRPr="005F68B8">
        <w:rPr>
          <w:rStyle w:val="af9"/>
          <w:rFonts w:hint="cs"/>
          <w:rtl/>
        </w:rPr>
        <w:t>הרמב"ן ביבמות</w:t>
      </w:r>
      <w:r>
        <w:rPr>
          <w:rFonts w:hint="cs"/>
          <w:rtl/>
        </w:rPr>
        <w:t xml:space="preserve"> דבספק צרת ערוה נעמידנה בחזקת האיסור שהייתה בו מחיים, כמו </w:t>
      </w:r>
      <w:r>
        <w:rPr>
          <w:rtl/>
        </w:rPr>
        <w:t>בספק בשחיטה</w:t>
      </w:r>
      <w:r>
        <w:rPr>
          <w:rFonts w:hint="cs"/>
          <w:rtl/>
        </w:rPr>
        <w:t>, וחזקה זו סותרת לחזקה דרבה דמחיים בחזקת היתר עומדת לכשימות הבעל, והוי חזקה נגד חזקה ותאסר.</w:t>
      </w:r>
    </w:p>
    <w:p w14:paraId="4E6261E2" w14:textId="77777777" w:rsidR="00852065" w:rsidRDefault="00852065" w:rsidP="006D6D32">
      <w:pPr>
        <w:pStyle w:val="a3"/>
        <w:rPr>
          <w:rtl/>
        </w:rPr>
      </w:pPr>
      <w:bookmarkStart w:id="1253" w:name="_Toc522200181"/>
      <w:bookmarkStart w:id="1254" w:name="_Toc19389067"/>
      <w:bookmarkStart w:id="1255" w:name="_Toc19392564"/>
      <w:r>
        <w:rPr>
          <w:rFonts w:hint="cs"/>
          <w:rtl/>
        </w:rPr>
        <w:t>ביאור החזו"א ברמב"ן דבצר"ע המיתה התירתה והשינוי בדבר אחר ולכן אי"ז חשיב חזקת איסור</w:t>
      </w:r>
      <w:bookmarkEnd w:id="1253"/>
      <w:bookmarkEnd w:id="1254"/>
      <w:bookmarkEnd w:id="1255"/>
    </w:p>
    <w:p w14:paraId="2F51FD1C" w14:textId="77777777" w:rsidR="00852065" w:rsidRDefault="00852065" w:rsidP="00223668">
      <w:pPr>
        <w:pStyle w:val="a0"/>
        <w:rPr>
          <w:rtl/>
        </w:rPr>
      </w:pPr>
      <w:r>
        <w:rPr>
          <w:rFonts w:hint="cs"/>
          <w:rtl/>
        </w:rPr>
        <w:t xml:space="preserve">ובביאור תירוץ </w:t>
      </w:r>
      <w:r w:rsidRPr="00FF087F">
        <w:rPr>
          <w:rStyle w:val="af9"/>
          <w:rFonts w:hint="cs"/>
          <w:rtl/>
        </w:rPr>
        <w:t>הרמב"ן ביבמות</w:t>
      </w:r>
      <w:r>
        <w:rPr>
          <w:rFonts w:hint="cs"/>
          <w:rtl/>
        </w:rPr>
        <w:t xml:space="preserve"> </w:t>
      </w:r>
      <w:r w:rsidRPr="00B234AE">
        <w:rPr>
          <w:rStyle w:val="af7"/>
          <w:rFonts w:eastAsia="Guttman Hodes" w:hint="cs"/>
          <w:rtl/>
        </w:rPr>
        <w:t xml:space="preserve">(עי' אות </w:t>
      </w:r>
      <w:r w:rsidRPr="00B234AE">
        <w:rPr>
          <w:rStyle w:val="af7"/>
          <w:rFonts w:eastAsia="Guttman Hodes"/>
          <w:rtl/>
        </w:rPr>
        <w:fldChar w:fldCharType="begin"/>
      </w:r>
      <w:r w:rsidRPr="00B234AE">
        <w:rPr>
          <w:rStyle w:val="af7"/>
          <w:rFonts w:eastAsia="Guttman Hodes"/>
          <w:rtl/>
        </w:rPr>
        <w:instrText xml:space="preserve"> </w:instrText>
      </w:r>
      <w:r w:rsidRPr="00B234AE">
        <w:rPr>
          <w:rStyle w:val="af7"/>
          <w:rFonts w:eastAsia="Guttman Hodes" w:hint="cs"/>
        </w:rPr>
        <w:instrText>REF</w:instrText>
      </w:r>
      <w:r w:rsidRPr="00B234AE">
        <w:rPr>
          <w:rStyle w:val="af7"/>
          <w:rFonts w:eastAsia="Guttman Hodes" w:hint="cs"/>
          <w:rtl/>
        </w:rPr>
        <w:instrText xml:space="preserve"> _</w:instrText>
      </w:r>
      <w:r w:rsidRPr="00B234AE">
        <w:rPr>
          <w:rStyle w:val="af7"/>
          <w:rFonts w:eastAsia="Guttman Hodes" w:hint="cs"/>
        </w:rPr>
        <w:instrText>Ref522187593 \r \h</w:instrText>
      </w:r>
      <w:r w:rsidRPr="00B234AE">
        <w:rPr>
          <w:rStyle w:val="af7"/>
          <w:rFonts w:eastAsia="Guttman Hodes"/>
          <w:rtl/>
        </w:rPr>
        <w:instrText xml:space="preserve"> </w:instrText>
      </w:r>
      <w:r w:rsidRPr="00B234AE">
        <w:rPr>
          <w:rStyle w:val="af7"/>
          <w:rFonts w:eastAsia="Guttman Hodes"/>
          <w:rtl/>
        </w:rPr>
      </w:r>
      <w:r w:rsidRPr="00B234AE">
        <w:rPr>
          <w:rStyle w:val="af7"/>
          <w:rFonts w:eastAsia="Guttman Hodes"/>
          <w:rtl/>
        </w:rPr>
        <w:fldChar w:fldCharType="separate"/>
      </w:r>
      <w:r w:rsidR="00345400">
        <w:rPr>
          <w:rStyle w:val="af7"/>
          <w:rFonts w:eastAsia="Guttman Hodes"/>
          <w:cs/>
        </w:rPr>
        <w:t>‎</w:t>
      </w:r>
      <w:r w:rsidR="00345400">
        <w:rPr>
          <w:rStyle w:val="af7"/>
          <w:rFonts w:eastAsia="Guttman Hodes"/>
          <w:rtl/>
        </w:rPr>
        <w:t>כח)</w:t>
      </w:r>
      <w:r w:rsidRPr="00B234AE">
        <w:rPr>
          <w:rStyle w:val="af7"/>
          <w:rFonts w:eastAsia="Guttman Hodes"/>
          <w:rtl/>
        </w:rPr>
        <w:fldChar w:fldCharType="end"/>
      </w:r>
      <w:r>
        <w:rPr>
          <w:rFonts w:hint="cs"/>
          <w:rtl/>
        </w:rPr>
        <w:t xml:space="preserve"> כתב </w:t>
      </w:r>
      <w:r w:rsidRPr="005F68B8">
        <w:rPr>
          <w:rStyle w:val="af9"/>
          <w:rFonts w:hint="cs"/>
          <w:rtl/>
        </w:rPr>
        <w:t>החזו"א</w:t>
      </w:r>
      <w:r>
        <w:rPr>
          <w:rFonts w:hint="cs"/>
          <w:rtl/>
        </w:rPr>
        <w:t xml:space="preserve"> דבספק צרת ערוה כיון שבמיתה עצמה אין כל שינוי, וכל מיתה מתירתה לשוק, והשינוי הוא מצד אחר, </w:t>
      </w:r>
      <w:r w:rsidRPr="00FF7ACD">
        <w:rPr>
          <w:rStyle w:val="afb"/>
          <w:rFonts w:hint="cs"/>
          <w:rtl/>
        </w:rPr>
        <w:t>[דהיה ספק בגירושין של הערוה],</w:t>
      </w:r>
      <w:r>
        <w:rPr>
          <w:rFonts w:hint="cs"/>
          <w:rtl/>
        </w:rPr>
        <w:t xml:space="preserve"> לכן אי"ז נקרא חזקת איסור.</w:t>
      </w:r>
    </w:p>
    <w:p w14:paraId="7767E51F" w14:textId="77777777" w:rsidR="00852065" w:rsidRPr="00FF087F" w:rsidRDefault="00852065" w:rsidP="006D6D32">
      <w:pPr>
        <w:pStyle w:val="a3"/>
      </w:pPr>
      <w:bookmarkStart w:id="1256" w:name="_Toc522200182"/>
      <w:bookmarkStart w:id="1257" w:name="_Toc19389068"/>
      <w:bookmarkStart w:id="1258" w:name="_Toc19392565"/>
      <w:r>
        <w:rPr>
          <w:rFonts w:hint="cs"/>
          <w:rtl/>
        </w:rPr>
        <w:t>ביאור החזו"א ברמב"ן דבשחיטה שיש שחיטה שאינה מתירה באכילה היא בחזקת איסור</w:t>
      </w:r>
      <w:bookmarkEnd w:id="1256"/>
      <w:bookmarkEnd w:id="1257"/>
      <w:bookmarkEnd w:id="1258"/>
    </w:p>
    <w:p w14:paraId="67CDE12D" w14:textId="77777777" w:rsidR="00852065" w:rsidRDefault="00852065" w:rsidP="00223668">
      <w:pPr>
        <w:pStyle w:val="a0"/>
        <w:rPr>
          <w:rtl/>
        </w:rPr>
      </w:pPr>
      <w:r>
        <w:rPr>
          <w:rFonts w:hint="cs"/>
          <w:rtl/>
        </w:rPr>
        <w:t xml:space="preserve">אבל </w:t>
      </w:r>
      <w:r>
        <w:rPr>
          <w:rtl/>
        </w:rPr>
        <w:t>בספק בשחיטה</w:t>
      </w:r>
      <w:r>
        <w:rPr>
          <w:rFonts w:hint="cs"/>
          <w:rtl/>
        </w:rPr>
        <w:t xml:space="preserve"> ביאר </w:t>
      </w:r>
      <w:r w:rsidRPr="00FF087F">
        <w:rPr>
          <w:rStyle w:val="af9"/>
          <w:rFonts w:hint="cs"/>
          <w:rtl/>
        </w:rPr>
        <w:t>החזו"א</w:t>
      </w:r>
      <w:r>
        <w:rPr>
          <w:rFonts w:hint="cs"/>
          <w:rtl/>
        </w:rPr>
        <w:t xml:space="preserve"> את תירוץ </w:t>
      </w:r>
      <w:r w:rsidRPr="00FF087F">
        <w:rPr>
          <w:rStyle w:val="af9"/>
          <w:rFonts w:hint="cs"/>
          <w:rtl/>
        </w:rPr>
        <w:t>הרמב"ן ביבמות</w:t>
      </w:r>
      <w:r>
        <w:rPr>
          <w:rFonts w:hint="cs"/>
          <w:rtl/>
        </w:rPr>
        <w:t xml:space="preserve"> דכיון שלא כל שחיטה מתירה את הבהמה לאכילה, </w:t>
      </w:r>
      <w:r w:rsidRPr="00EE3DF5">
        <w:rPr>
          <w:rStyle w:val="afb"/>
          <w:rFonts w:hint="cs"/>
          <w:rtl/>
        </w:rPr>
        <w:t>[היכא דלא נשחטה כראוי</w:t>
      </w:r>
      <w:r>
        <w:rPr>
          <w:rStyle w:val="afb"/>
          <w:rFonts w:hint="cs"/>
          <w:rtl/>
        </w:rPr>
        <w:t>,</w:t>
      </w:r>
      <w:r w:rsidRPr="00EE3DF5">
        <w:rPr>
          <w:rStyle w:val="afb"/>
          <w:rFonts w:hint="cs"/>
          <w:rtl/>
        </w:rPr>
        <w:t xml:space="preserve"> או בשאר הריגות],</w:t>
      </w:r>
      <w:r>
        <w:rPr>
          <w:rFonts w:hint="cs"/>
          <w:rtl/>
        </w:rPr>
        <w:t xml:space="preserve"> ולכן הבהמה בחזקת איסור, דיש ספק בעצם המתיר אם היה בו שינוי, ולא בדבר אחר.</w:t>
      </w:r>
    </w:p>
    <w:p w14:paraId="6044728F" w14:textId="77777777" w:rsidR="00852065" w:rsidRPr="002701E1" w:rsidRDefault="00852065" w:rsidP="006D6D32">
      <w:pPr>
        <w:pStyle w:val="a3"/>
        <w:rPr>
          <w:rtl/>
        </w:rPr>
      </w:pPr>
      <w:bookmarkStart w:id="1259" w:name="_Toc522200183"/>
      <w:bookmarkStart w:id="1260" w:name="_Toc19389069"/>
      <w:bookmarkStart w:id="1261" w:name="_Toc19392566"/>
      <w:r>
        <w:rPr>
          <w:rFonts w:hint="cs"/>
          <w:rtl/>
        </w:rPr>
        <w:t>ביאור החזו"א ברשב"א דבשחיטה שיש בה דינים כשמתה לא רואים היתר לפנינו</w:t>
      </w:r>
      <w:bookmarkEnd w:id="1259"/>
      <w:bookmarkEnd w:id="1260"/>
      <w:bookmarkEnd w:id="1261"/>
    </w:p>
    <w:p w14:paraId="3CEBB16A" w14:textId="77777777" w:rsidR="00852065" w:rsidRDefault="00852065" w:rsidP="00223668">
      <w:pPr>
        <w:pStyle w:val="a0"/>
        <w:rPr>
          <w:rtl/>
        </w:rPr>
      </w:pPr>
      <w:r>
        <w:rPr>
          <w:rFonts w:hint="cs"/>
          <w:rtl/>
        </w:rPr>
        <w:t xml:space="preserve">ובתירוץ </w:t>
      </w:r>
      <w:r>
        <w:rPr>
          <w:rStyle w:val="af9"/>
          <w:rFonts w:hint="cs"/>
          <w:rtl/>
        </w:rPr>
        <w:t xml:space="preserve">הרשב"א </w:t>
      </w:r>
      <w:r w:rsidRPr="00CF51FC">
        <w:rPr>
          <w:rStyle w:val="af9"/>
          <w:rFonts w:hint="cs"/>
          <w:rtl/>
        </w:rPr>
        <w:t>ביבמות</w:t>
      </w:r>
      <w:r>
        <w:rPr>
          <w:rFonts w:hint="cs"/>
          <w:rtl/>
        </w:rPr>
        <w:t xml:space="preserve"> </w:t>
      </w:r>
      <w:r w:rsidRPr="00B234AE">
        <w:rPr>
          <w:rStyle w:val="af7"/>
          <w:rFonts w:eastAsia="Guttman Hodes" w:hint="cs"/>
          <w:rtl/>
        </w:rPr>
        <w:t xml:space="preserve">(עי' אות </w:t>
      </w:r>
      <w:r w:rsidRPr="00B234AE">
        <w:rPr>
          <w:rStyle w:val="af7"/>
          <w:rFonts w:eastAsia="Guttman Hodes"/>
          <w:rtl/>
        </w:rPr>
        <w:fldChar w:fldCharType="begin"/>
      </w:r>
      <w:r w:rsidRPr="00B234AE">
        <w:rPr>
          <w:rStyle w:val="af7"/>
          <w:rFonts w:eastAsia="Guttman Hodes"/>
          <w:rtl/>
        </w:rPr>
        <w:instrText xml:space="preserve"> </w:instrText>
      </w:r>
      <w:r w:rsidRPr="00B234AE">
        <w:rPr>
          <w:rStyle w:val="af7"/>
          <w:rFonts w:eastAsia="Guttman Hodes" w:hint="cs"/>
        </w:rPr>
        <w:instrText>REF</w:instrText>
      </w:r>
      <w:r w:rsidRPr="00B234AE">
        <w:rPr>
          <w:rStyle w:val="af7"/>
          <w:rFonts w:eastAsia="Guttman Hodes" w:hint="cs"/>
          <w:rtl/>
        </w:rPr>
        <w:instrText xml:space="preserve"> _</w:instrText>
      </w:r>
      <w:r w:rsidRPr="00B234AE">
        <w:rPr>
          <w:rStyle w:val="af7"/>
          <w:rFonts w:eastAsia="Guttman Hodes" w:hint="cs"/>
        </w:rPr>
        <w:instrText>Ref522187437 \r \h</w:instrText>
      </w:r>
      <w:r w:rsidRPr="00B234AE">
        <w:rPr>
          <w:rStyle w:val="af7"/>
          <w:rFonts w:eastAsia="Guttman Hodes"/>
          <w:rtl/>
        </w:rPr>
        <w:instrText xml:space="preserve"> </w:instrText>
      </w:r>
      <w:r w:rsidRPr="00B234AE">
        <w:rPr>
          <w:rStyle w:val="af7"/>
          <w:rFonts w:eastAsia="Guttman Hodes"/>
          <w:rtl/>
        </w:rPr>
      </w:r>
      <w:r w:rsidRPr="00B234AE">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sidRPr="00B234AE">
        <w:rPr>
          <w:rStyle w:val="af7"/>
          <w:rFonts w:eastAsia="Guttman Hodes"/>
          <w:rtl/>
        </w:rPr>
        <w:fldChar w:fldCharType="end"/>
      </w:r>
      <w:r>
        <w:rPr>
          <w:rFonts w:hint="cs"/>
          <w:rtl/>
        </w:rPr>
        <w:t xml:space="preserve"> ביאר </w:t>
      </w:r>
      <w:r w:rsidRPr="00CF51FC">
        <w:rPr>
          <w:rStyle w:val="af9"/>
          <w:rFonts w:hint="cs"/>
          <w:rtl/>
        </w:rPr>
        <w:t xml:space="preserve">החזו"א </w:t>
      </w:r>
      <w:r>
        <w:rPr>
          <w:rFonts w:hint="cs"/>
          <w:rtl/>
        </w:rPr>
        <w:t>דכיון שיש דינים מיוחדים בשחיטה, דרק על ידם הבהמה מותרת, וסתם מיתה אינה שחיטה, לכן מה שאנו רואים שהבהמה מתה אי"ז נחשב דאנו רואים היתר לפנינו.</w:t>
      </w:r>
    </w:p>
    <w:p w14:paraId="390204B4" w14:textId="77777777" w:rsidR="00852065" w:rsidRPr="005C396C" w:rsidRDefault="00852065" w:rsidP="006D6D32">
      <w:pPr>
        <w:pStyle w:val="a3"/>
      </w:pPr>
      <w:bookmarkStart w:id="1262" w:name="_Toc522200184"/>
      <w:bookmarkStart w:id="1263" w:name="_Toc19389070"/>
      <w:bookmarkStart w:id="1264" w:name="_Toc19392567"/>
      <w:r>
        <w:rPr>
          <w:rFonts w:hint="cs"/>
          <w:rtl/>
        </w:rPr>
        <w:t>ביאור החזו"א ברשב"א דבצר"ע דכל מיתה מתירה כשמת הבעל אנו רואים היתר לפנינו</w:t>
      </w:r>
      <w:bookmarkEnd w:id="1262"/>
      <w:bookmarkEnd w:id="1263"/>
      <w:bookmarkEnd w:id="1264"/>
      <w:r>
        <w:rPr>
          <w:rFonts w:hint="cs"/>
          <w:rtl/>
        </w:rPr>
        <w:t xml:space="preserve"> </w:t>
      </w:r>
    </w:p>
    <w:p w14:paraId="1D7B3506" w14:textId="77777777" w:rsidR="00852065" w:rsidRDefault="00852065" w:rsidP="00223668">
      <w:pPr>
        <w:pStyle w:val="a0"/>
        <w:rPr>
          <w:rtl/>
        </w:rPr>
      </w:pPr>
      <w:r>
        <w:rPr>
          <w:rFonts w:hint="cs"/>
          <w:rtl/>
        </w:rPr>
        <w:t xml:space="preserve">אבל </w:t>
      </w:r>
      <w:r>
        <w:rPr>
          <w:rtl/>
        </w:rPr>
        <w:t xml:space="preserve">בספק </w:t>
      </w:r>
      <w:r>
        <w:rPr>
          <w:rFonts w:hint="cs"/>
          <w:rtl/>
        </w:rPr>
        <w:t xml:space="preserve">צרת ערוה ביאר </w:t>
      </w:r>
      <w:r w:rsidRPr="00FF087F">
        <w:rPr>
          <w:rStyle w:val="af9"/>
          <w:rFonts w:hint="cs"/>
          <w:rtl/>
        </w:rPr>
        <w:t>החזו"א</w:t>
      </w:r>
      <w:r>
        <w:rPr>
          <w:rFonts w:hint="cs"/>
          <w:rtl/>
        </w:rPr>
        <w:t xml:space="preserve"> את תירוץ </w:t>
      </w:r>
      <w:r>
        <w:rPr>
          <w:rStyle w:val="af9"/>
          <w:rFonts w:hint="cs"/>
          <w:rtl/>
        </w:rPr>
        <w:t>הרשב"א</w:t>
      </w:r>
      <w:r w:rsidRPr="00FF087F">
        <w:rPr>
          <w:rStyle w:val="af9"/>
          <w:rFonts w:hint="cs"/>
          <w:rtl/>
        </w:rPr>
        <w:t xml:space="preserve"> ביבמות</w:t>
      </w:r>
      <w:r>
        <w:rPr>
          <w:rFonts w:hint="cs"/>
          <w:rtl/>
        </w:rPr>
        <w:t xml:space="preserve"> דכיון שהבעל מת והצרת ערוה לפנינו, ואנו רואים לפנינו היתר ע"י מיתת הבעל, אלא שיש ספק שמא נשתנה הדין ממה שאנו רואים לפנינו, והוסיף </w:t>
      </w:r>
      <w:r w:rsidRPr="00CF51FC">
        <w:rPr>
          <w:rStyle w:val="af9"/>
          <w:rFonts w:hint="cs"/>
          <w:rtl/>
        </w:rPr>
        <w:t>החזו"א</w:t>
      </w:r>
      <w:r>
        <w:rPr>
          <w:rFonts w:hint="cs"/>
          <w:rtl/>
        </w:rPr>
        <w:t xml:space="preserve"> דדברי </w:t>
      </w:r>
      <w:r w:rsidRPr="00CF51FC">
        <w:rPr>
          <w:rStyle w:val="af9"/>
          <w:rFonts w:hint="cs"/>
          <w:rtl/>
        </w:rPr>
        <w:t>הרשב"א</w:t>
      </w:r>
      <w:r>
        <w:rPr>
          <w:rFonts w:hint="cs"/>
          <w:rtl/>
        </w:rPr>
        <w:t xml:space="preserve"> קרובים לדברי </w:t>
      </w:r>
      <w:r w:rsidRPr="00CF51FC">
        <w:rPr>
          <w:rStyle w:val="af9"/>
          <w:rFonts w:hint="cs"/>
          <w:rtl/>
        </w:rPr>
        <w:t>הרמב"ן</w:t>
      </w:r>
      <w:r>
        <w:rPr>
          <w:rFonts w:hint="cs"/>
          <w:rtl/>
        </w:rPr>
        <w:t>.</w:t>
      </w:r>
    </w:p>
    <w:p w14:paraId="1AADF389" w14:textId="77777777" w:rsidR="00852065" w:rsidRPr="00451540" w:rsidRDefault="00852065" w:rsidP="006D6D32">
      <w:pPr>
        <w:pStyle w:val="a3"/>
        <w:rPr>
          <w:rtl/>
        </w:rPr>
      </w:pPr>
      <w:bookmarkStart w:id="1265" w:name="_Toc522200185"/>
      <w:bookmarkStart w:id="1266" w:name="_Toc19389071"/>
      <w:bookmarkStart w:id="1267" w:name="_Toc19392568"/>
      <w:r>
        <w:rPr>
          <w:rFonts w:hint="cs"/>
          <w:rtl/>
        </w:rPr>
        <w:t>ביאור החזו"א בתירוץ השני ברמב"ן דבצר"ע יש סתירה בחזקות ומוקמינן בחזקת היתר</w:t>
      </w:r>
      <w:bookmarkEnd w:id="1265"/>
      <w:bookmarkEnd w:id="1266"/>
      <w:bookmarkEnd w:id="1267"/>
    </w:p>
    <w:p w14:paraId="1E6485C5" w14:textId="77777777" w:rsidR="00852065" w:rsidRDefault="00852065" w:rsidP="00223668">
      <w:pPr>
        <w:pStyle w:val="a0"/>
        <w:rPr>
          <w:rtl/>
        </w:rPr>
      </w:pPr>
      <w:r>
        <w:rPr>
          <w:rFonts w:hint="cs"/>
          <w:rtl/>
        </w:rPr>
        <w:t xml:space="preserve">והביא </w:t>
      </w:r>
      <w:r w:rsidRPr="00F549BA">
        <w:rPr>
          <w:rStyle w:val="af9"/>
          <w:rFonts w:hint="cs"/>
          <w:rtl/>
        </w:rPr>
        <w:t>החזו"א</w:t>
      </w:r>
      <w:r>
        <w:rPr>
          <w:rFonts w:hint="cs"/>
          <w:rtl/>
        </w:rPr>
        <w:t xml:space="preserve"> את דברי </w:t>
      </w:r>
      <w:r w:rsidRPr="00F549BA">
        <w:rPr>
          <w:rStyle w:val="af9"/>
          <w:rFonts w:hint="cs"/>
          <w:rtl/>
        </w:rPr>
        <w:t>הרמב"ן</w:t>
      </w:r>
      <w:r>
        <w:rPr>
          <w:rStyle w:val="af9"/>
          <w:rFonts w:hint="cs"/>
          <w:rtl/>
        </w:rPr>
        <w:t xml:space="preserve"> </w:t>
      </w:r>
      <w:r w:rsidRPr="00A14A13">
        <w:rPr>
          <w:rStyle w:val="af9"/>
          <w:rFonts w:hint="cs"/>
          <w:rtl/>
        </w:rPr>
        <w:t>ביבמות בתירוצו השני</w:t>
      </w:r>
      <w:r>
        <w:rPr>
          <w:rFonts w:hint="cs"/>
          <w:rtl/>
        </w:rPr>
        <w:t xml:space="preserve"> </w:t>
      </w:r>
      <w:r w:rsidRPr="00B234AE">
        <w:rPr>
          <w:rStyle w:val="af7"/>
          <w:rFonts w:eastAsia="Guttman Hodes" w:hint="cs"/>
          <w:rtl/>
        </w:rPr>
        <w:t xml:space="preserve">(עי' אות </w:t>
      </w:r>
      <w:r w:rsidRPr="00B234AE">
        <w:rPr>
          <w:rStyle w:val="af7"/>
          <w:rFonts w:eastAsia="Guttman Hodes"/>
          <w:rtl/>
        </w:rPr>
        <w:fldChar w:fldCharType="begin"/>
      </w:r>
      <w:r w:rsidRPr="00B234AE">
        <w:rPr>
          <w:rStyle w:val="af7"/>
          <w:rFonts w:eastAsia="Guttman Hodes"/>
          <w:rtl/>
        </w:rPr>
        <w:instrText xml:space="preserve"> </w:instrText>
      </w:r>
      <w:r w:rsidRPr="00B234AE">
        <w:rPr>
          <w:rStyle w:val="af7"/>
          <w:rFonts w:eastAsia="Guttman Hodes" w:hint="cs"/>
        </w:rPr>
        <w:instrText>REF</w:instrText>
      </w:r>
      <w:r w:rsidRPr="00B234AE">
        <w:rPr>
          <w:rStyle w:val="af7"/>
          <w:rFonts w:eastAsia="Guttman Hodes" w:hint="cs"/>
          <w:rtl/>
        </w:rPr>
        <w:instrText xml:space="preserve"> _</w:instrText>
      </w:r>
      <w:r w:rsidRPr="00B234AE">
        <w:rPr>
          <w:rStyle w:val="af7"/>
          <w:rFonts w:eastAsia="Guttman Hodes" w:hint="cs"/>
        </w:rPr>
        <w:instrText>Ref522197500 \r \h</w:instrText>
      </w:r>
      <w:r w:rsidRPr="00B234AE">
        <w:rPr>
          <w:rStyle w:val="af7"/>
          <w:rFonts w:eastAsia="Guttman Hodes"/>
          <w:rtl/>
        </w:rPr>
        <w:instrText xml:space="preserve"> </w:instrText>
      </w:r>
      <w:r w:rsidRPr="00B234AE">
        <w:rPr>
          <w:rStyle w:val="af7"/>
          <w:rFonts w:eastAsia="Guttman Hodes"/>
          <w:rtl/>
        </w:rPr>
      </w:r>
      <w:r w:rsidRPr="00B234AE">
        <w:rPr>
          <w:rStyle w:val="af7"/>
          <w:rFonts w:eastAsia="Guttman Hodes"/>
          <w:rtl/>
        </w:rPr>
        <w:fldChar w:fldCharType="separate"/>
      </w:r>
      <w:r w:rsidR="00345400">
        <w:rPr>
          <w:rStyle w:val="af7"/>
          <w:rFonts w:eastAsia="Guttman Hodes"/>
          <w:cs/>
        </w:rPr>
        <w:t>‎</w:t>
      </w:r>
      <w:r w:rsidR="00345400">
        <w:rPr>
          <w:rStyle w:val="af7"/>
          <w:rFonts w:eastAsia="Guttman Hodes"/>
          <w:rtl/>
        </w:rPr>
        <w:t>כט)</w:t>
      </w:r>
      <w:r w:rsidRPr="00B234AE">
        <w:rPr>
          <w:rStyle w:val="af7"/>
          <w:rFonts w:eastAsia="Guttman Hodes"/>
          <w:rtl/>
        </w:rPr>
        <w:fldChar w:fldCharType="end"/>
      </w:r>
      <w:r w:rsidRPr="00B234AE">
        <w:rPr>
          <w:rStyle w:val="af7"/>
          <w:rFonts w:eastAsia="Guttman Hodes" w:hint="cs"/>
          <w:rtl/>
        </w:rPr>
        <w:t xml:space="preserve"> </w:t>
      </w:r>
      <w:r>
        <w:rPr>
          <w:rFonts w:hint="cs"/>
          <w:rtl/>
        </w:rPr>
        <w:t>דכתב דבספק צרת ערוה היא גם עומדת בחזקת איסור ליבם, ולכן מוקמינן לה על חזקת היתר לשוק כשמת בעלה, וביאר החזו"א  דכיון שבספק צרת ערוה יש ב' חזקות סותרות, דהיא בחזקת איסור לשוק, ובחזקת איסור ליבם, וכיון שיש סתירא בין החזקות הדין דהיא מותרת.</w:t>
      </w:r>
    </w:p>
    <w:p w14:paraId="116C967C" w14:textId="77777777" w:rsidR="00852065" w:rsidRPr="00FB6E76" w:rsidRDefault="00852065" w:rsidP="006D6D32">
      <w:pPr>
        <w:pStyle w:val="a3"/>
      </w:pPr>
      <w:bookmarkStart w:id="1268" w:name="_Toc522200186"/>
      <w:bookmarkStart w:id="1269" w:name="_Toc19389072"/>
      <w:bookmarkStart w:id="1270" w:name="_Toc19392569"/>
      <w:r>
        <w:rPr>
          <w:rFonts w:hint="cs"/>
          <w:rtl/>
        </w:rPr>
        <w:t>דברי החזו"א דמסברא אפשר לומר דכל חזקה פוסקת בפנ"ע ואסורה בין לשוק ובין ליבם</w:t>
      </w:r>
      <w:bookmarkEnd w:id="1268"/>
      <w:bookmarkEnd w:id="1269"/>
      <w:bookmarkEnd w:id="1270"/>
    </w:p>
    <w:p w14:paraId="0DD5C434" w14:textId="77777777" w:rsidR="00852065" w:rsidRDefault="00852065" w:rsidP="00223668">
      <w:pPr>
        <w:pStyle w:val="a0"/>
        <w:rPr>
          <w:rtl/>
        </w:rPr>
      </w:pPr>
      <w:r>
        <w:rPr>
          <w:rFonts w:hint="cs"/>
          <w:rtl/>
        </w:rPr>
        <w:t xml:space="preserve">וכתב </w:t>
      </w:r>
      <w:r w:rsidRPr="00A1336A">
        <w:rPr>
          <w:rStyle w:val="af9"/>
          <w:rFonts w:hint="cs"/>
          <w:rtl/>
        </w:rPr>
        <w:t>החזו"א</w:t>
      </w:r>
      <w:r>
        <w:rPr>
          <w:rFonts w:hint="cs"/>
          <w:rtl/>
        </w:rPr>
        <w:t xml:space="preserve"> דאף דמשמעות דברי </w:t>
      </w:r>
      <w:r w:rsidRPr="00FB6E76">
        <w:rPr>
          <w:rStyle w:val="af9"/>
          <w:rFonts w:hint="cs"/>
          <w:rtl/>
        </w:rPr>
        <w:t>הראשונים</w:t>
      </w:r>
      <w:r>
        <w:rPr>
          <w:rFonts w:hint="cs"/>
          <w:rtl/>
        </w:rPr>
        <w:t xml:space="preserve"> דהתירוץ הזה הוא ברור, מ"מ אפש"ל דאין הכרח לומר דכיון שהם חזקות סותרות לא אזלינן בתר החזקת איסור, דיתכן שהחזקת איסור תאסרנה בין לשוק ובין ליבם, דדמי לשני שבילין, דכ"א בפנ"ע מעמידים אותו על חזקתו.</w:t>
      </w:r>
    </w:p>
    <w:p w14:paraId="5CD4B85C" w14:textId="77777777" w:rsidR="00852065" w:rsidRPr="00387F89" w:rsidRDefault="00852065" w:rsidP="006D6D32">
      <w:pPr>
        <w:pStyle w:val="a3"/>
      </w:pPr>
      <w:bookmarkStart w:id="1271" w:name="_Toc522200187"/>
      <w:bookmarkStart w:id="1272" w:name="_Toc19389073"/>
      <w:bookmarkStart w:id="1273" w:name="_Toc19392570"/>
      <w:r>
        <w:rPr>
          <w:rFonts w:hint="cs"/>
          <w:rtl/>
        </w:rPr>
        <w:t>דחיית החזו"א דדוקא בב' שבילין דהם ב' גופים</w:t>
      </w:r>
      <w:r w:rsidRPr="003664F3">
        <w:rPr>
          <w:rFonts w:hint="cs"/>
          <w:rtl/>
        </w:rPr>
        <w:t xml:space="preserve"> </w:t>
      </w:r>
      <w:r>
        <w:rPr>
          <w:rFonts w:hint="cs"/>
          <w:rtl/>
        </w:rPr>
        <w:t>אפשר להעמיד כל חזקה בפנ"ע</w:t>
      </w:r>
      <w:bookmarkEnd w:id="1271"/>
      <w:bookmarkEnd w:id="1272"/>
      <w:bookmarkEnd w:id="1273"/>
    </w:p>
    <w:p w14:paraId="67B18779" w14:textId="77777777" w:rsidR="00852065" w:rsidRDefault="00852065" w:rsidP="00223668">
      <w:pPr>
        <w:pStyle w:val="a0"/>
        <w:rPr>
          <w:rtl/>
        </w:rPr>
      </w:pPr>
      <w:r>
        <w:rPr>
          <w:rFonts w:hint="cs"/>
          <w:rtl/>
        </w:rPr>
        <w:t xml:space="preserve">אך דחה </w:t>
      </w:r>
      <w:r w:rsidRPr="00CF4753">
        <w:rPr>
          <w:rStyle w:val="af9"/>
          <w:rFonts w:hint="cs"/>
          <w:rtl/>
        </w:rPr>
        <w:t>החזו"א</w:t>
      </w:r>
      <w:r>
        <w:rPr>
          <w:rFonts w:hint="cs"/>
          <w:rtl/>
        </w:rPr>
        <w:t xml:space="preserve"> דספק צרת ערוה לא דמי לשני שבילין, דהם ב' גופים שונים ולכן אפשר להעמיד את כ"א על חזקתו, אבל הכא שמדובר באשה אחת, א"א להעמיד בב' חזקות סותרות, דכ"א תפסוק בפנ"ע.</w:t>
      </w:r>
    </w:p>
    <w:p w14:paraId="20A715EF" w14:textId="77777777" w:rsidR="00852065" w:rsidRDefault="00852065" w:rsidP="00BF39B2">
      <w:pPr>
        <w:pStyle w:val="1"/>
        <w:rPr>
          <w:rtl/>
        </w:rPr>
      </w:pPr>
      <w:bookmarkStart w:id="1274" w:name="_Toc521324876"/>
      <w:bookmarkStart w:id="1275" w:name="_Toc521338183"/>
      <w:bookmarkStart w:id="1276" w:name="_Toc521361983"/>
      <w:bookmarkStart w:id="1277" w:name="_Toc522200188"/>
      <w:bookmarkStart w:id="1278" w:name="_Toc19389074"/>
      <w:bookmarkStart w:id="1279" w:name="_Toc19392571"/>
      <w:r>
        <w:rPr>
          <w:rFonts w:hint="cs"/>
          <w:rtl/>
        </w:rPr>
        <w:t>בקושית התוס' ביבמות מנשחטה בחזקת היתר קיימא</w:t>
      </w:r>
      <w:bookmarkEnd w:id="1274"/>
      <w:bookmarkEnd w:id="1275"/>
      <w:bookmarkEnd w:id="1276"/>
      <w:bookmarkEnd w:id="1277"/>
      <w:bookmarkEnd w:id="1278"/>
      <w:bookmarkEnd w:id="1279"/>
    </w:p>
    <w:p w14:paraId="450137A8" w14:textId="77777777" w:rsidR="00852065" w:rsidRPr="00DA54AA" w:rsidRDefault="00852065" w:rsidP="006D6D32">
      <w:pPr>
        <w:pStyle w:val="a3"/>
        <w:rPr>
          <w:rtl/>
        </w:rPr>
      </w:pPr>
      <w:bookmarkStart w:id="1280" w:name="_Toc522200189"/>
      <w:bookmarkStart w:id="1281" w:name="_Toc19389075"/>
      <w:bookmarkStart w:id="1282" w:name="_Toc19392572"/>
      <w:r>
        <w:rPr>
          <w:rFonts w:hint="cs"/>
          <w:rtl/>
        </w:rPr>
        <w:t>דברי התוס' ביבמות דבצר"ע אף כשנולד הספק מחיים מוקמינן בחזקת היתר</w:t>
      </w:r>
      <w:bookmarkEnd w:id="1280"/>
      <w:bookmarkEnd w:id="1281"/>
      <w:bookmarkEnd w:id="1282"/>
      <w:r>
        <w:rPr>
          <w:rFonts w:hint="cs"/>
          <w:rtl/>
        </w:rPr>
        <w:t xml:space="preserve"> </w:t>
      </w:r>
    </w:p>
    <w:p w14:paraId="5AC10CF5" w14:textId="77777777" w:rsidR="00852065" w:rsidRDefault="00852065" w:rsidP="00223668">
      <w:pPr>
        <w:pStyle w:val="a0"/>
        <w:rPr>
          <w:rtl/>
        </w:rPr>
      </w:pPr>
      <w:bookmarkStart w:id="1283" w:name="_Ref522199551"/>
      <w:r w:rsidRPr="00285CD2">
        <w:rPr>
          <w:rFonts w:hint="cs"/>
          <w:rtl/>
        </w:rPr>
        <w:t>ו</w:t>
      </w:r>
      <w:r>
        <w:rPr>
          <w:rFonts w:hint="cs"/>
          <w:rtl/>
        </w:rPr>
        <w:t xml:space="preserve">הנה בנשחטה כראוי ונולד בה ספק אחר השחיטה, דאמר רב הונא דבחזקת היתר קיימא, הקשו </w:t>
      </w:r>
      <w:r w:rsidRPr="00A47858">
        <w:rPr>
          <w:rStyle w:val="af9"/>
          <w:rFonts w:hint="cs"/>
          <w:rtl/>
        </w:rPr>
        <w:t>התוס' ביבמות</w:t>
      </w:r>
      <w:r w:rsidRPr="00285CD2">
        <w:rPr>
          <w:rFonts w:hint="cs"/>
          <w:rtl/>
        </w:rPr>
        <w:t xml:space="preserve"> </w:t>
      </w:r>
      <w:r w:rsidRPr="00A47858">
        <w:rPr>
          <w:rStyle w:val="af7"/>
          <w:rFonts w:eastAsia="Guttman Hodes" w:hint="cs"/>
          <w:rtl/>
        </w:rPr>
        <w:t>(ל: ד"ה אשה)</w:t>
      </w:r>
      <w:r w:rsidRPr="00285CD2">
        <w:rPr>
          <w:rFonts w:hint="cs"/>
          <w:rtl/>
        </w:rPr>
        <w:t xml:space="preserve"> </w:t>
      </w:r>
      <w:r>
        <w:rPr>
          <w:rFonts w:hint="cs"/>
          <w:rtl/>
        </w:rPr>
        <w:t xml:space="preserve">דאיתא בגמ' ביבמות </w:t>
      </w:r>
      <w:r w:rsidRPr="00E8197E">
        <w:rPr>
          <w:rStyle w:val="af7"/>
          <w:rFonts w:eastAsia="Guttman Hodes" w:hint="cs"/>
          <w:rtl/>
        </w:rPr>
        <w:t>(ל:)</w:t>
      </w:r>
      <w:r>
        <w:rPr>
          <w:rFonts w:hint="cs"/>
          <w:rtl/>
        </w:rPr>
        <w:t xml:space="preserve"> דב</w:t>
      </w:r>
      <w:r w:rsidRPr="00285CD2">
        <w:rPr>
          <w:rFonts w:hint="cs"/>
          <w:rtl/>
        </w:rPr>
        <w:t>ספק צרת ערוה ד</w:t>
      </w:r>
      <w:r>
        <w:rPr>
          <w:rFonts w:hint="cs"/>
          <w:rtl/>
        </w:rPr>
        <w:t xml:space="preserve">מוקמינן לה </w:t>
      </w:r>
      <w:r w:rsidRPr="00285CD2">
        <w:rPr>
          <w:rFonts w:hint="cs"/>
          <w:rtl/>
        </w:rPr>
        <w:t xml:space="preserve">בחזקת היתר לשוק, </w:t>
      </w:r>
      <w:r>
        <w:rPr>
          <w:rFonts w:hint="cs"/>
          <w:rtl/>
        </w:rPr>
        <w:t>כיון שמחיים הייתה בחזקת היתר דהיא צרת ערוה, ו</w:t>
      </w:r>
      <w:r w:rsidRPr="00285CD2">
        <w:rPr>
          <w:rFonts w:hint="cs"/>
          <w:rtl/>
        </w:rPr>
        <w:t xml:space="preserve">הרי בזמן שנולד הספק </w:t>
      </w:r>
      <w:r>
        <w:rPr>
          <w:rtl/>
        </w:rPr>
        <w:t>בספק צרת ערוה</w:t>
      </w:r>
      <w:r>
        <w:rPr>
          <w:rFonts w:hint="cs"/>
          <w:rtl/>
        </w:rPr>
        <w:t xml:space="preserve"> </w:t>
      </w:r>
      <w:r w:rsidRPr="00285CD2">
        <w:rPr>
          <w:rFonts w:hint="cs"/>
          <w:rtl/>
        </w:rPr>
        <w:t>כש</w:t>
      </w:r>
      <w:r>
        <w:rPr>
          <w:rFonts w:hint="cs"/>
          <w:rtl/>
        </w:rPr>
        <w:t>הערו</w:t>
      </w:r>
      <w:r w:rsidRPr="00285CD2">
        <w:rPr>
          <w:rFonts w:hint="cs"/>
          <w:rtl/>
        </w:rPr>
        <w:t>ה ספק נתגרשה</w:t>
      </w:r>
      <w:r>
        <w:rPr>
          <w:rFonts w:hint="cs"/>
          <w:rtl/>
        </w:rPr>
        <w:t>,</w:t>
      </w:r>
      <w:r w:rsidRPr="00285CD2">
        <w:rPr>
          <w:rFonts w:hint="cs"/>
          <w:rtl/>
        </w:rPr>
        <w:t xml:space="preserve"> הייתה האשה בחזקת איסור אשת איש דבעלה היה חי</w:t>
      </w:r>
      <w:r>
        <w:rPr>
          <w:rFonts w:hint="cs"/>
          <w:rtl/>
        </w:rPr>
        <w:t>.</w:t>
      </w:r>
      <w:bookmarkEnd w:id="1283"/>
    </w:p>
    <w:p w14:paraId="3B1B068B" w14:textId="77777777" w:rsidR="00852065" w:rsidRPr="005F6E2C" w:rsidRDefault="00852065" w:rsidP="006D6D32">
      <w:pPr>
        <w:pStyle w:val="a3"/>
      </w:pPr>
      <w:bookmarkStart w:id="1284" w:name="_Toc522200190"/>
      <w:bookmarkStart w:id="1285" w:name="_Toc19389076"/>
      <w:bookmarkStart w:id="1286" w:name="_Toc19392573"/>
      <w:r>
        <w:rPr>
          <w:rFonts w:hint="cs"/>
          <w:rtl/>
        </w:rPr>
        <w:t>קושית התוס' ביבמות דבשחיטה בספק דרוסה שנולד הספק מחיים מוקמינן בחזקת איסור</w:t>
      </w:r>
      <w:bookmarkEnd w:id="1284"/>
      <w:bookmarkEnd w:id="1285"/>
      <w:bookmarkEnd w:id="1286"/>
      <w:r>
        <w:rPr>
          <w:rFonts w:hint="cs"/>
          <w:rtl/>
        </w:rPr>
        <w:t xml:space="preserve"> </w:t>
      </w:r>
    </w:p>
    <w:p w14:paraId="16D6DFC9" w14:textId="77777777" w:rsidR="00852065" w:rsidRDefault="00852065" w:rsidP="00223668">
      <w:pPr>
        <w:pStyle w:val="a0"/>
        <w:rPr>
          <w:rtl/>
        </w:rPr>
      </w:pPr>
      <w:bookmarkStart w:id="1287" w:name="_Ref522199380"/>
      <w:r w:rsidRPr="00285CD2">
        <w:rPr>
          <w:rFonts w:hint="cs"/>
          <w:rtl/>
        </w:rPr>
        <w:t>ו</w:t>
      </w:r>
      <w:r>
        <w:rPr>
          <w:rFonts w:hint="cs"/>
          <w:rtl/>
        </w:rPr>
        <w:t xml:space="preserve">הקשו </w:t>
      </w:r>
      <w:r w:rsidRPr="005F6E2C">
        <w:rPr>
          <w:rStyle w:val="af9"/>
          <w:rFonts w:hint="cs"/>
          <w:rtl/>
        </w:rPr>
        <w:t>התוס' ביבמות</w:t>
      </w:r>
      <w:r>
        <w:rPr>
          <w:rFonts w:hint="cs"/>
          <w:rtl/>
        </w:rPr>
        <w:t xml:space="preserve"> דהא </w:t>
      </w:r>
      <w:r w:rsidRPr="00285CD2">
        <w:rPr>
          <w:rFonts w:hint="cs"/>
          <w:rtl/>
        </w:rPr>
        <w:t xml:space="preserve">בסוגיין מבואר </w:t>
      </w:r>
      <w:r>
        <w:rPr>
          <w:rFonts w:hint="cs"/>
          <w:rtl/>
        </w:rPr>
        <w:t>דדוקא בספק שנולד אחר השחיטה</w:t>
      </w:r>
      <w:r w:rsidRPr="00285CD2">
        <w:rPr>
          <w:rFonts w:hint="cs"/>
          <w:rtl/>
        </w:rPr>
        <w:t xml:space="preserve"> מעמידים אותה בחזקת היתר, </w:t>
      </w:r>
      <w:r>
        <w:rPr>
          <w:rFonts w:hint="cs"/>
          <w:rtl/>
        </w:rPr>
        <w:t>אבל במקום ש</w:t>
      </w:r>
      <w:r w:rsidRPr="00285CD2">
        <w:rPr>
          <w:rFonts w:hint="cs"/>
          <w:rtl/>
        </w:rPr>
        <w:t xml:space="preserve">נולד בה מחיים </w:t>
      </w:r>
      <w:r>
        <w:rPr>
          <w:rFonts w:hint="cs"/>
          <w:rtl/>
        </w:rPr>
        <w:t xml:space="preserve">כגון </w:t>
      </w:r>
      <w:r w:rsidRPr="00285CD2">
        <w:rPr>
          <w:rFonts w:hint="cs"/>
          <w:rtl/>
        </w:rPr>
        <w:t xml:space="preserve">ספק דרוסה </w:t>
      </w:r>
      <w:r>
        <w:rPr>
          <w:rFonts w:hint="cs"/>
          <w:rtl/>
        </w:rPr>
        <w:t xml:space="preserve">אסורה, </w:t>
      </w:r>
      <w:r w:rsidRPr="00285CD2">
        <w:rPr>
          <w:rFonts w:hint="cs"/>
          <w:rtl/>
        </w:rPr>
        <w:t xml:space="preserve">כיון שבשעה שנולד הספק הייתה בחזקת איסור, </w:t>
      </w:r>
      <w:r>
        <w:rPr>
          <w:rFonts w:hint="cs"/>
          <w:rtl/>
        </w:rPr>
        <w:t>וא"כ אף האשה תאסר דבשעת לידת הספק הייתה בחזקת אשת איש.</w:t>
      </w:r>
      <w:bookmarkEnd w:id="1287"/>
    </w:p>
    <w:p w14:paraId="4C53DAF7" w14:textId="77777777" w:rsidR="00852065" w:rsidRDefault="00852065" w:rsidP="006D6D32">
      <w:pPr>
        <w:pStyle w:val="a3"/>
        <w:rPr>
          <w:noProof/>
          <w:rtl/>
        </w:rPr>
      </w:pPr>
      <w:bookmarkStart w:id="1288" w:name="_Toc522200191"/>
      <w:bookmarkStart w:id="1289" w:name="_Toc19389077"/>
      <w:bookmarkStart w:id="1290" w:name="_Toc19392574"/>
      <w:r>
        <w:rPr>
          <w:rFonts w:hint="cs"/>
          <w:noProof/>
          <w:rtl/>
        </w:rPr>
        <w:t>דברי התורא"ש דבסוגיין מבואר דבלא היה לה היתר מעולם רק בספק שנולד אח"כ מותרת</w:t>
      </w:r>
      <w:bookmarkEnd w:id="1288"/>
      <w:bookmarkEnd w:id="1289"/>
      <w:bookmarkEnd w:id="1290"/>
      <w:r>
        <w:rPr>
          <w:rFonts w:hint="cs"/>
          <w:noProof/>
          <w:rtl/>
        </w:rPr>
        <w:t xml:space="preserve"> </w:t>
      </w:r>
    </w:p>
    <w:p w14:paraId="4804115E" w14:textId="77777777" w:rsidR="00852065" w:rsidRDefault="00852065" w:rsidP="00223668">
      <w:pPr>
        <w:pStyle w:val="a0"/>
        <w:rPr>
          <w:rtl/>
        </w:rPr>
      </w:pPr>
      <w:r>
        <w:rPr>
          <w:rFonts w:hint="cs"/>
          <w:rtl/>
        </w:rPr>
        <w:t xml:space="preserve">והוסיף </w:t>
      </w:r>
      <w:r w:rsidRPr="00A47858">
        <w:rPr>
          <w:rStyle w:val="af9"/>
          <w:rFonts w:hint="cs"/>
          <w:rtl/>
        </w:rPr>
        <w:t>התוס' הרא"ש ביבמות</w:t>
      </w:r>
      <w:r>
        <w:rPr>
          <w:rFonts w:hint="cs"/>
          <w:rtl/>
        </w:rPr>
        <w:t xml:space="preserve"> </w:t>
      </w:r>
      <w:r w:rsidRPr="00A47858">
        <w:rPr>
          <w:rStyle w:val="af7"/>
          <w:rFonts w:eastAsia="Guttman Hodes" w:hint="cs"/>
          <w:rtl/>
        </w:rPr>
        <w:t>(ל: ד"ה אשה)</w:t>
      </w:r>
      <w:r w:rsidRPr="00285CD2">
        <w:rPr>
          <w:rFonts w:hint="cs"/>
          <w:rtl/>
        </w:rPr>
        <w:t xml:space="preserve"> </w:t>
      </w:r>
      <w:r>
        <w:rPr>
          <w:rFonts w:hint="cs"/>
          <w:rtl/>
        </w:rPr>
        <w:t>דבספק צרת ערוה לא הייתה</w:t>
      </w:r>
      <w:r w:rsidRPr="00A94249">
        <w:rPr>
          <w:rFonts w:hint="cs"/>
          <w:rtl/>
        </w:rPr>
        <w:t xml:space="preserve"> </w:t>
      </w:r>
      <w:r>
        <w:rPr>
          <w:rFonts w:hint="cs"/>
          <w:rtl/>
        </w:rPr>
        <w:t>לה חזקת היתר מעולם, דמתחילה הייתה בחזקת איסור אשת איש</w:t>
      </w:r>
      <w:r w:rsidRPr="005A0670">
        <w:rPr>
          <w:rFonts w:hint="cs"/>
          <w:rtl/>
        </w:rPr>
        <w:t xml:space="preserve"> </w:t>
      </w:r>
      <w:r w:rsidRPr="00285CD2">
        <w:rPr>
          <w:rFonts w:hint="cs"/>
          <w:rtl/>
        </w:rPr>
        <w:t>דבעלה היה חי</w:t>
      </w:r>
      <w:r>
        <w:rPr>
          <w:rFonts w:hint="cs"/>
          <w:rtl/>
        </w:rPr>
        <w:t xml:space="preserve">, ולפני שמת והותר האיסור אשת איש, כבר </w:t>
      </w:r>
      <w:r w:rsidRPr="00285CD2">
        <w:rPr>
          <w:rFonts w:hint="cs"/>
          <w:rtl/>
        </w:rPr>
        <w:t>נולד</w:t>
      </w:r>
      <w:r>
        <w:rPr>
          <w:rFonts w:hint="cs"/>
          <w:rtl/>
        </w:rPr>
        <w:t xml:space="preserve"> בה</w:t>
      </w:r>
      <w:r w:rsidRPr="00285CD2">
        <w:rPr>
          <w:rFonts w:hint="cs"/>
          <w:rtl/>
        </w:rPr>
        <w:t xml:space="preserve"> </w:t>
      </w:r>
      <w:r>
        <w:rPr>
          <w:rFonts w:hint="cs"/>
          <w:rtl/>
        </w:rPr>
        <w:t xml:space="preserve">ספק דאסורה לשוק </w:t>
      </w:r>
      <w:r w:rsidRPr="00285CD2">
        <w:rPr>
          <w:rFonts w:hint="cs"/>
          <w:rtl/>
        </w:rPr>
        <w:t>כשצרתה ספק נתגרשה</w:t>
      </w:r>
      <w:r>
        <w:rPr>
          <w:rFonts w:hint="cs"/>
          <w:rtl/>
        </w:rPr>
        <w:t>,</w:t>
      </w:r>
      <w:r w:rsidRPr="00285CD2">
        <w:rPr>
          <w:rFonts w:hint="cs"/>
          <w:rtl/>
        </w:rPr>
        <w:t xml:space="preserve"> </w:t>
      </w:r>
      <w:r>
        <w:rPr>
          <w:rFonts w:hint="cs"/>
          <w:rtl/>
        </w:rPr>
        <w:t>ובכה"ג אמרינן בסוגיין</w:t>
      </w:r>
      <w:r w:rsidRPr="00285CD2">
        <w:rPr>
          <w:rFonts w:hint="cs"/>
          <w:rtl/>
        </w:rPr>
        <w:t xml:space="preserve"> </w:t>
      </w:r>
      <w:r>
        <w:rPr>
          <w:rFonts w:hint="cs"/>
          <w:rtl/>
        </w:rPr>
        <w:t>דדוקא בספק שנולד אחר השחיטה,</w:t>
      </w:r>
      <w:r w:rsidRPr="00285CD2">
        <w:rPr>
          <w:rFonts w:hint="cs"/>
          <w:rtl/>
        </w:rPr>
        <w:t xml:space="preserve"> מעמידים אותה בחזקת היתר</w:t>
      </w:r>
      <w:r>
        <w:rPr>
          <w:rFonts w:hint="cs"/>
          <w:rtl/>
        </w:rPr>
        <w:t>.</w:t>
      </w:r>
    </w:p>
    <w:p w14:paraId="5F1B229B" w14:textId="77777777" w:rsidR="00852065" w:rsidRPr="00504AE7" w:rsidRDefault="00852065" w:rsidP="006D6D32">
      <w:pPr>
        <w:pStyle w:val="a3"/>
      </w:pPr>
      <w:bookmarkStart w:id="1291" w:name="_Toc522200192"/>
      <w:bookmarkStart w:id="1292" w:name="_Toc19389078"/>
      <w:bookmarkStart w:id="1293" w:name="_Toc19392575"/>
      <w:r>
        <w:rPr>
          <w:rFonts w:hint="cs"/>
          <w:rtl/>
        </w:rPr>
        <w:t>קושית התורא"ש דבספק שנולד מחיים אין חזקת היתר לכשתשחט ומוקמינן בחזקת איסור</w:t>
      </w:r>
      <w:bookmarkEnd w:id="1291"/>
      <w:bookmarkEnd w:id="1292"/>
      <w:bookmarkEnd w:id="1293"/>
      <w:r>
        <w:rPr>
          <w:rFonts w:hint="cs"/>
          <w:rtl/>
        </w:rPr>
        <w:t xml:space="preserve"> </w:t>
      </w:r>
    </w:p>
    <w:p w14:paraId="2F0B7DE2" w14:textId="77777777" w:rsidR="00852065" w:rsidRDefault="00852065" w:rsidP="00223668">
      <w:pPr>
        <w:pStyle w:val="a0"/>
        <w:rPr>
          <w:rtl/>
        </w:rPr>
      </w:pPr>
      <w:r>
        <w:rPr>
          <w:rFonts w:hint="cs"/>
          <w:rtl/>
        </w:rPr>
        <w:t>אבל במקום ש</w:t>
      </w:r>
      <w:r w:rsidRPr="00285CD2">
        <w:rPr>
          <w:rFonts w:hint="cs"/>
          <w:rtl/>
        </w:rPr>
        <w:t>נולד בה מחיים</w:t>
      </w:r>
      <w:r>
        <w:rPr>
          <w:rFonts w:hint="cs"/>
          <w:rtl/>
        </w:rPr>
        <w:t xml:space="preserve">, כתב </w:t>
      </w:r>
      <w:r w:rsidRPr="00C04E3B">
        <w:rPr>
          <w:rStyle w:val="af9"/>
          <w:rFonts w:hint="cs"/>
          <w:rtl/>
        </w:rPr>
        <w:t>התוס' הרא"ש ביבמות</w:t>
      </w:r>
      <w:r>
        <w:rPr>
          <w:rFonts w:hint="cs"/>
          <w:rtl/>
        </w:rPr>
        <w:t xml:space="preserve"> דמבואר בדין </w:t>
      </w:r>
      <w:r w:rsidRPr="00285CD2">
        <w:rPr>
          <w:rFonts w:hint="cs"/>
          <w:rtl/>
        </w:rPr>
        <w:t xml:space="preserve">ספק דרוסה </w:t>
      </w:r>
      <w:r>
        <w:rPr>
          <w:rFonts w:hint="cs"/>
          <w:rtl/>
        </w:rPr>
        <w:t xml:space="preserve">דאסורה, ולא אמרינן דיש לה חזקת היתר דעומדת להיות מותרת אחר השחיטה, אלא אמרינן להיפך דיש לה חזקת איסור שאינה שחוטה, וא"א להתירה ולומר שאינה טריפה אף שנשחטה כראוי, </w:t>
      </w:r>
      <w:r w:rsidRPr="00285CD2">
        <w:rPr>
          <w:rFonts w:hint="cs"/>
          <w:rtl/>
        </w:rPr>
        <w:t xml:space="preserve">כיון שבשעה שנולד הספק הייתה בחזקת איסור, </w:t>
      </w:r>
      <w:r>
        <w:rPr>
          <w:rFonts w:hint="cs"/>
          <w:rtl/>
        </w:rPr>
        <w:t>וא"כ אף</w:t>
      </w:r>
      <w:r w:rsidRPr="00F01AA3">
        <w:rPr>
          <w:rtl/>
        </w:rPr>
        <w:t xml:space="preserve"> </w:t>
      </w:r>
      <w:r>
        <w:rPr>
          <w:rtl/>
        </w:rPr>
        <w:t>בספק צרת ערוה</w:t>
      </w:r>
      <w:r>
        <w:rPr>
          <w:rFonts w:hint="cs"/>
          <w:rtl/>
        </w:rPr>
        <w:t xml:space="preserve"> תאסר דאף שודאי מת הבעל, מ"מ כיון שבשעת לידת הספק הייתה בחזקת אשת איש, א"א להעמידה בחזקת היתר לשוק.</w:t>
      </w:r>
    </w:p>
    <w:p w14:paraId="66E91E51" w14:textId="77777777" w:rsidR="00852065" w:rsidRDefault="00852065" w:rsidP="00BF39B2">
      <w:pPr>
        <w:pStyle w:val="1"/>
        <w:rPr>
          <w:rtl/>
        </w:rPr>
      </w:pPr>
      <w:bookmarkStart w:id="1294" w:name="_Toc522200193"/>
      <w:bookmarkStart w:id="1295" w:name="_Toc19389079"/>
      <w:bookmarkStart w:id="1296" w:name="_Toc19392576"/>
      <w:r>
        <w:rPr>
          <w:rFonts w:hint="cs"/>
          <w:rtl/>
        </w:rPr>
        <w:t>תירוץ התוס' ביבמות דרק בדבר ששכיח ומוכח לאיסור אסורה</w:t>
      </w:r>
      <w:bookmarkEnd w:id="1294"/>
      <w:bookmarkEnd w:id="1295"/>
      <w:bookmarkEnd w:id="1296"/>
    </w:p>
    <w:p w14:paraId="183CF3C0" w14:textId="77777777" w:rsidR="00852065" w:rsidRDefault="00852065" w:rsidP="006D6D32">
      <w:pPr>
        <w:pStyle w:val="a3"/>
        <w:rPr>
          <w:noProof/>
          <w:rtl/>
        </w:rPr>
      </w:pPr>
      <w:bookmarkStart w:id="1297" w:name="_Toc522200194"/>
      <w:bookmarkStart w:id="1298" w:name="_Toc19389080"/>
      <w:bookmarkStart w:id="1299" w:name="_Toc19392577"/>
      <w:r>
        <w:rPr>
          <w:rFonts w:hint="cs"/>
          <w:noProof/>
          <w:rtl/>
        </w:rPr>
        <w:t>תירוץ התוס' ביבמות דספק דרוסה יותר שכיח האיסור מההיתר ולכן מוקמינן בחזקת איסור</w:t>
      </w:r>
      <w:bookmarkEnd w:id="1297"/>
      <w:bookmarkEnd w:id="1298"/>
      <w:bookmarkEnd w:id="1299"/>
    </w:p>
    <w:p w14:paraId="755FDCEC" w14:textId="77777777" w:rsidR="00852065" w:rsidRDefault="00852065" w:rsidP="00223668">
      <w:pPr>
        <w:pStyle w:val="a0"/>
        <w:rPr>
          <w:rtl/>
        </w:rPr>
      </w:pPr>
      <w:bookmarkStart w:id="1300" w:name="_Ref522188102"/>
      <w:r>
        <w:rPr>
          <w:rFonts w:hint="cs"/>
          <w:rtl/>
        </w:rPr>
        <w:t xml:space="preserve">ותירצו </w:t>
      </w:r>
      <w:r w:rsidRPr="00A47858">
        <w:rPr>
          <w:rStyle w:val="af9"/>
          <w:rFonts w:hint="cs"/>
          <w:rtl/>
        </w:rPr>
        <w:t>התוס' ביבמות</w:t>
      </w:r>
      <w:r>
        <w:rPr>
          <w:rFonts w:hint="cs"/>
          <w:rtl/>
        </w:rPr>
        <w:t xml:space="preserve"> דהא ד</w:t>
      </w:r>
      <w:r>
        <w:rPr>
          <w:rtl/>
        </w:rPr>
        <w:t>בספק בשחיטה</w:t>
      </w:r>
      <w:r>
        <w:rPr>
          <w:rFonts w:hint="cs"/>
          <w:rtl/>
        </w:rPr>
        <w:t xml:space="preserve"> בנולד בה ספק מחיים מוקמינן לה בחזקת איסור, הוא דוקא בספק דרוסה דהוא שכיחא, ומוכח יותר לאיסור מלהיתר, אבל בספק גירושין לא מקומינן לה מחיים בחזקת איסור אשת איש</w:t>
      </w:r>
      <w:bookmarkStart w:id="1301" w:name="_Ref522124644"/>
      <w:r>
        <w:rPr>
          <w:rStyle w:val="af1"/>
          <w:rtl/>
        </w:rPr>
        <w:footnoteReference w:id="7"/>
      </w:r>
      <w:bookmarkEnd w:id="1301"/>
      <w:r>
        <w:rPr>
          <w:rFonts w:hint="cs"/>
          <w:rtl/>
        </w:rPr>
        <w:t>.</w:t>
      </w:r>
      <w:bookmarkEnd w:id="1300"/>
    </w:p>
    <w:p w14:paraId="79AB3135" w14:textId="77777777" w:rsidR="00852065" w:rsidRDefault="00852065" w:rsidP="00852065">
      <w:pPr>
        <w:pStyle w:val="2"/>
        <w:rPr>
          <w:rtl/>
        </w:rPr>
      </w:pPr>
      <w:bookmarkStart w:id="1302" w:name="_Toc522200195"/>
      <w:bookmarkStart w:id="1303" w:name="_Toc19435212"/>
      <w:r>
        <w:rPr>
          <w:rFonts w:hint="cs"/>
          <w:rtl/>
        </w:rPr>
        <w:t>דברי הש"ש בדין מחזיקין מאיסור לאיסור</w:t>
      </w:r>
      <w:bookmarkEnd w:id="1302"/>
      <w:bookmarkEnd w:id="1303"/>
    </w:p>
    <w:p w14:paraId="378BB89D" w14:textId="77777777" w:rsidR="00852065" w:rsidRPr="00F067C0" w:rsidRDefault="00852065" w:rsidP="00BF39B2">
      <w:pPr>
        <w:pStyle w:val="1"/>
        <w:rPr>
          <w:rtl/>
        </w:rPr>
      </w:pPr>
      <w:bookmarkStart w:id="1304" w:name="_Toc522200196"/>
      <w:bookmarkStart w:id="1305" w:name="_Toc19389081"/>
      <w:bookmarkStart w:id="1306" w:name="_Toc19392578"/>
      <w:r w:rsidRPr="00F067C0">
        <w:rPr>
          <w:rFonts w:hint="cs"/>
          <w:rtl/>
        </w:rPr>
        <w:t>ביאור הש"ש בדברי התוס' ביבמות</w:t>
      </w:r>
      <w:bookmarkEnd w:id="1304"/>
      <w:bookmarkEnd w:id="1305"/>
      <w:bookmarkEnd w:id="1306"/>
    </w:p>
    <w:p w14:paraId="06362A58" w14:textId="77777777" w:rsidR="00852065" w:rsidRPr="00F067C0" w:rsidRDefault="00852065" w:rsidP="006D6D32">
      <w:pPr>
        <w:pStyle w:val="a3"/>
        <w:rPr>
          <w:rtl/>
        </w:rPr>
      </w:pPr>
      <w:bookmarkStart w:id="1307" w:name="_Toc522200197"/>
      <w:bookmarkStart w:id="1308" w:name="_Toc19389082"/>
      <w:bookmarkStart w:id="1309" w:name="_Toc19392579"/>
      <w:r>
        <w:rPr>
          <w:rFonts w:hint="cs"/>
          <w:rtl/>
        </w:rPr>
        <w:t>דברי הש"ש דמבואר בתוס' ביבמות דאין מחזיקין מאיסור לאיסור</w:t>
      </w:r>
      <w:bookmarkEnd w:id="1307"/>
      <w:bookmarkEnd w:id="1308"/>
      <w:bookmarkEnd w:id="1309"/>
    </w:p>
    <w:p w14:paraId="67031422" w14:textId="77777777" w:rsidR="00852065" w:rsidRPr="00D05012" w:rsidRDefault="00852065" w:rsidP="00223668">
      <w:pPr>
        <w:pStyle w:val="a0"/>
        <w:rPr>
          <w:rtl/>
        </w:rPr>
      </w:pPr>
      <w:bookmarkStart w:id="1310" w:name="_Ref522188117"/>
      <w:r>
        <w:rPr>
          <w:rFonts w:hint="cs"/>
          <w:rtl/>
        </w:rPr>
        <w:t xml:space="preserve">כתב </w:t>
      </w:r>
      <w:r w:rsidRPr="00D05012">
        <w:rPr>
          <w:rStyle w:val="af9"/>
          <w:rFonts w:hint="cs"/>
          <w:rtl/>
        </w:rPr>
        <w:t>הש"ש</w:t>
      </w:r>
      <w:r>
        <w:rPr>
          <w:rFonts w:hint="cs"/>
          <w:rtl/>
        </w:rPr>
        <w:t xml:space="preserve"> </w:t>
      </w:r>
      <w:r w:rsidRPr="00D05012">
        <w:rPr>
          <w:rStyle w:val="af7"/>
          <w:rFonts w:eastAsia="Guttman Hodes" w:hint="cs"/>
          <w:rtl/>
        </w:rPr>
        <w:t>(ש"ה פ"א)</w:t>
      </w:r>
      <w:r>
        <w:rPr>
          <w:rFonts w:hint="cs"/>
          <w:rtl/>
        </w:rPr>
        <w:t xml:space="preserve"> דמבואר מדברי </w:t>
      </w:r>
      <w:r w:rsidRPr="00D05012">
        <w:rPr>
          <w:rStyle w:val="af9"/>
          <w:rFonts w:hint="cs"/>
          <w:rtl/>
        </w:rPr>
        <w:t>התוס' ביבמות</w:t>
      </w:r>
      <w:r>
        <w:rPr>
          <w:rFonts w:hint="cs"/>
          <w:rtl/>
        </w:rPr>
        <w:t xml:space="preserve"> דבדבר שהוא ספק השקול, ואין שכיחות לאיסור יותר מלהיתר, מעמידים בחזקת היתר, אף כשנולד הספק בזמן שהייתה באיסור אשת איש, דאין מחזיקין מאיסור לאיסור.</w:t>
      </w:r>
      <w:bookmarkEnd w:id="1310"/>
    </w:p>
    <w:p w14:paraId="7C2855F5" w14:textId="77777777" w:rsidR="00852065" w:rsidRPr="00122144" w:rsidRDefault="00852065" w:rsidP="006D6D32">
      <w:pPr>
        <w:pStyle w:val="a3"/>
        <w:rPr>
          <w:rtl/>
        </w:rPr>
      </w:pPr>
      <w:bookmarkStart w:id="1311" w:name="_Toc522200198"/>
      <w:bookmarkStart w:id="1312" w:name="_Toc19389083"/>
      <w:bookmarkStart w:id="1313" w:name="_Toc19392580"/>
      <w:r w:rsidRPr="00122144">
        <w:rPr>
          <w:rFonts w:hint="cs"/>
          <w:rtl/>
        </w:rPr>
        <w:t>דברי הדרכ"מ דבתוס' ביבמות מבואר דבריעותא מחיים א"א להתיר מחמת דנשחטה בהיתר</w:t>
      </w:r>
      <w:bookmarkEnd w:id="1311"/>
      <w:bookmarkEnd w:id="1312"/>
      <w:bookmarkEnd w:id="1313"/>
    </w:p>
    <w:p w14:paraId="327690A4" w14:textId="77777777" w:rsidR="00852065" w:rsidRPr="00AC6F4A" w:rsidRDefault="00852065" w:rsidP="00223668">
      <w:pPr>
        <w:pStyle w:val="a0"/>
        <w:rPr>
          <w:rtl/>
        </w:rPr>
      </w:pPr>
      <w:r>
        <w:rPr>
          <w:rFonts w:hint="cs"/>
          <w:rtl/>
        </w:rPr>
        <w:t xml:space="preserve">והביא </w:t>
      </w:r>
      <w:r w:rsidRPr="00D05012">
        <w:rPr>
          <w:rStyle w:val="af9"/>
          <w:rFonts w:hint="cs"/>
          <w:rtl/>
        </w:rPr>
        <w:t>הש"ש</w:t>
      </w:r>
      <w:r>
        <w:rPr>
          <w:rFonts w:hint="cs"/>
          <w:rtl/>
        </w:rPr>
        <w:t xml:space="preserve"> את דברי </w:t>
      </w:r>
      <w:r w:rsidRPr="00D05012">
        <w:rPr>
          <w:rStyle w:val="af9"/>
          <w:rFonts w:hint="cs"/>
          <w:rtl/>
        </w:rPr>
        <w:t>הדרכ"מ</w:t>
      </w:r>
      <w:r>
        <w:rPr>
          <w:rFonts w:hint="cs"/>
          <w:rtl/>
        </w:rPr>
        <w:t xml:space="preserve"> </w:t>
      </w:r>
      <w:r w:rsidRPr="00D05012">
        <w:rPr>
          <w:rStyle w:val="af7"/>
          <w:rFonts w:eastAsia="Guttman Hodes" w:hint="cs"/>
          <w:rtl/>
        </w:rPr>
        <w:t>(סי' ל"א א')</w:t>
      </w:r>
      <w:r>
        <w:rPr>
          <w:rFonts w:hint="cs"/>
          <w:rtl/>
        </w:rPr>
        <w:t xml:space="preserve"> דכתב דבספק טריפה מוקמינן לה בחזקת היתר כדאיתא בסוגיין דנשחטה בחזקת היתר קיימא, וכדכתבו </w:t>
      </w:r>
      <w:r w:rsidRPr="00D05012">
        <w:rPr>
          <w:rStyle w:val="af9"/>
          <w:rFonts w:hint="cs"/>
          <w:rtl/>
        </w:rPr>
        <w:t>התוס' ביבמות</w:t>
      </w:r>
      <w:r>
        <w:rPr>
          <w:rFonts w:hint="cs"/>
          <w:rtl/>
        </w:rPr>
        <w:t xml:space="preserve">, ודחה </w:t>
      </w:r>
      <w:r w:rsidRPr="00D05012">
        <w:rPr>
          <w:rStyle w:val="af9"/>
          <w:rFonts w:hint="cs"/>
          <w:rtl/>
        </w:rPr>
        <w:t>הדרכ"מ</w:t>
      </w:r>
      <w:r>
        <w:rPr>
          <w:rFonts w:hint="cs"/>
          <w:rtl/>
        </w:rPr>
        <w:t xml:space="preserve"> דבמקום שיש ריעותא מחיים, א"א להתיר מחמת החזקה דנשחטה </w:t>
      </w:r>
      <w:r w:rsidRPr="00AC6F4A">
        <w:rPr>
          <w:rFonts w:hint="cs"/>
          <w:rtl/>
        </w:rPr>
        <w:t>בהיתר.</w:t>
      </w:r>
    </w:p>
    <w:p w14:paraId="0997A824" w14:textId="77777777" w:rsidR="00852065" w:rsidRPr="00AC6F4A" w:rsidRDefault="00852065" w:rsidP="006D6D32">
      <w:pPr>
        <w:pStyle w:val="a3"/>
      </w:pPr>
      <w:bookmarkStart w:id="1314" w:name="_Toc522200199"/>
      <w:bookmarkStart w:id="1315" w:name="_Toc19389084"/>
      <w:bookmarkStart w:id="1316" w:name="_Toc19392581"/>
      <w:r>
        <w:rPr>
          <w:rFonts w:hint="cs"/>
          <w:rtl/>
        </w:rPr>
        <w:t>קושית המהר"ם מלובלין דבתוס' ביבמות מבואר דבריעותא מחיים רק בדבר שכיח אסור</w:t>
      </w:r>
      <w:bookmarkEnd w:id="1314"/>
      <w:bookmarkEnd w:id="1315"/>
      <w:bookmarkEnd w:id="1316"/>
      <w:r>
        <w:rPr>
          <w:rFonts w:hint="cs"/>
          <w:rtl/>
        </w:rPr>
        <w:t xml:space="preserve"> </w:t>
      </w:r>
    </w:p>
    <w:p w14:paraId="1A1A2846" w14:textId="77777777" w:rsidR="00852065" w:rsidRDefault="00852065" w:rsidP="00223668">
      <w:pPr>
        <w:pStyle w:val="a0"/>
        <w:rPr>
          <w:rtl/>
        </w:rPr>
      </w:pPr>
      <w:r>
        <w:rPr>
          <w:rFonts w:hint="cs"/>
          <w:rtl/>
        </w:rPr>
        <w:t xml:space="preserve">והביא </w:t>
      </w:r>
      <w:r w:rsidRPr="004E5969">
        <w:rPr>
          <w:rStyle w:val="af9"/>
          <w:rFonts w:hint="cs"/>
          <w:rtl/>
        </w:rPr>
        <w:t>הש"</w:t>
      </w:r>
      <w:r>
        <w:rPr>
          <w:rStyle w:val="af9"/>
          <w:rFonts w:hint="cs"/>
          <w:rtl/>
        </w:rPr>
        <w:t>ש ד</w:t>
      </w:r>
      <w:r w:rsidRPr="004E5969">
        <w:rPr>
          <w:rStyle w:val="af9"/>
          <w:rFonts w:hint="cs"/>
          <w:rtl/>
        </w:rPr>
        <w:t>המהר"ם מלובלין</w:t>
      </w:r>
      <w:r w:rsidRPr="004E5969">
        <w:rPr>
          <w:rStyle w:val="af7"/>
          <w:rFonts w:eastAsia="Guttman Hodes" w:hint="cs"/>
          <w:rtl/>
        </w:rPr>
        <w:t xml:space="preserve"> (</w:t>
      </w:r>
      <w:r w:rsidRPr="004E5969">
        <w:rPr>
          <w:rStyle w:val="af7"/>
          <w:rFonts w:eastAsia="Guttman Hodes"/>
          <w:rtl/>
        </w:rPr>
        <w:t xml:space="preserve">שו"ת </w:t>
      </w:r>
      <w:r w:rsidRPr="004E5969">
        <w:rPr>
          <w:rStyle w:val="af7"/>
          <w:rFonts w:eastAsia="Guttman Hodes" w:hint="cs"/>
          <w:rtl/>
        </w:rPr>
        <w:t xml:space="preserve">ס"ו) </w:t>
      </w:r>
      <w:r>
        <w:rPr>
          <w:rFonts w:hint="cs"/>
          <w:rtl/>
        </w:rPr>
        <w:t xml:space="preserve">הקשה על </w:t>
      </w:r>
      <w:r w:rsidRPr="004E5969">
        <w:rPr>
          <w:rStyle w:val="af9"/>
          <w:rFonts w:hint="cs"/>
          <w:rtl/>
        </w:rPr>
        <w:t>הדרכ"מ דבתוס'</w:t>
      </w:r>
      <w:r>
        <w:rPr>
          <w:rFonts w:hint="cs"/>
          <w:rtl/>
        </w:rPr>
        <w:t xml:space="preserve"> </w:t>
      </w:r>
      <w:r w:rsidRPr="00D05012">
        <w:rPr>
          <w:rStyle w:val="af9"/>
          <w:rFonts w:hint="cs"/>
          <w:rtl/>
        </w:rPr>
        <w:t>ביבמות</w:t>
      </w:r>
      <w:r>
        <w:rPr>
          <w:rFonts w:hint="cs"/>
          <w:rtl/>
        </w:rPr>
        <w:t xml:space="preserve"> מבואר להיפך דאף בדבר שנולד הספק מחיים, רק בדבר שהוא שכיח כספק דרוסה אסורה, אבל בדבר שאינו שכיח לאיסור יותר מלהיתר, אף אם נולדה הריעותא מחיים מעמידים בחזקת היתר.</w:t>
      </w:r>
    </w:p>
    <w:p w14:paraId="7887CBEF" w14:textId="77777777" w:rsidR="00BD0784" w:rsidRPr="00BD0784" w:rsidRDefault="00BD0784" w:rsidP="006D6D32">
      <w:pPr>
        <w:pStyle w:val="a3"/>
        <w:rPr>
          <w:rtl/>
        </w:rPr>
      </w:pPr>
    </w:p>
    <w:p w14:paraId="0CA78D1C" w14:textId="77777777" w:rsidR="00852065" w:rsidRPr="001E490A" w:rsidRDefault="00852065" w:rsidP="006D6D32">
      <w:pPr>
        <w:pStyle w:val="a3"/>
      </w:pPr>
      <w:bookmarkStart w:id="1317" w:name="_Toc522200200"/>
      <w:bookmarkStart w:id="1318" w:name="_Toc19389085"/>
      <w:bookmarkStart w:id="1319" w:name="_Toc19392582"/>
      <w:r>
        <w:rPr>
          <w:rFonts w:hint="cs"/>
          <w:rtl/>
        </w:rPr>
        <w:t>דברי הש"ש דהש"ך ביאר בתוס' ביבמות דבריעותא מחיים</w:t>
      </w:r>
      <w:r w:rsidRPr="00E44183">
        <w:rPr>
          <w:rFonts w:hint="cs"/>
          <w:rtl/>
        </w:rPr>
        <w:t xml:space="preserve"> </w:t>
      </w:r>
      <w:r>
        <w:rPr>
          <w:rFonts w:hint="cs"/>
          <w:rtl/>
        </w:rPr>
        <w:t>מחזיקין מאיסור לאיסור</w:t>
      </w:r>
      <w:bookmarkEnd w:id="1317"/>
      <w:bookmarkEnd w:id="1318"/>
      <w:bookmarkEnd w:id="1319"/>
    </w:p>
    <w:p w14:paraId="12DD1343" w14:textId="77777777" w:rsidR="00852065" w:rsidRPr="00164CD4" w:rsidRDefault="00852065" w:rsidP="00223668">
      <w:pPr>
        <w:pStyle w:val="a0"/>
        <w:rPr>
          <w:rtl/>
        </w:rPr>
      </w:pPr>
      <w:bookmarkStart w:id="1320" w:name="_Ref522188142"/>
      <w:r>
        <w:rPr>
          <w:rFonts w:hint="cs"/>
          <w:rtl/>
        </w:rPr>
        <w:t xml:space="preserve">והביא </w:t>
      </w:r>
      <w:r w:rsidRPr="004E5969">
        <w:rPr>
          <w:rStyle w:val="af9"/>
          <w:rFonts w:hint="cs"/>
          <w:rtl/>
        </w:rPr>
        <w:t>הש"ש דהש"ך</w:t>
      </w:r>
      <w:r>
        <w:rPr>
          <w:rFonts w:hint="cs"/>
          <w:rtl/>
        </w:rPr>
        <w:t xml:space="preserve"> </w:t>
      </w:r>
      <w:r w:rsidRPr="00A92151">
        <w:rPr>
          <w:rStyle w:val="af7"/>
          <w:rFonts w:eastAsia="Guttman Hodes" w:hint="cs"/>
          <w:rtl/>
        </w:rPr>
        <w:t>(סי' נ' סק"ג)</w:t>
      </w:r>
      <w:r>
        <w:rPr>
          <w:rFonts w:hint="cs"/>
          <w:rtl/>
        </w:rPr>
        <w:t xml:space="preserve"> כתב </w:t>
      </w:r>
      <w:r w:rsidRPr="005C02CA">
        <w:rPr>
          <w:rStyle w:val="af9"/>
          <w:rFonts w:hint="cs"/>
          <w:rtl/>
        </w:rPr>
        <w:t xml:space="preserve">דהדרכ"מ </w:t>
      </w:r>
      <w:r>
        <w:rPr>
          <w:rFonts w:hint="cs"/>
          <w:rtl/>
        </w:rPr>
        <w:t xml:space="preserve">ביאר </w:t>
      </w:r>
      <w:r w:rsidRPr="005C02CA">
        <w:rPr>
          <w:rStyle w:val="af9"/>
          <w:rFonts w:hint="cs"/>
          <w:rtl/>
        </w:rPr>
        <w:t xml:space="preserve">בתוס' </w:t>
      </w:r>
      <w:r w:rsidRPr="00D05012">
        <w:rPr>
          <w:rStyle w:val="af9"/>
          <w:rFonts w:hint="cs"/>
          <w:rtl/>
        </w:rPr>
        <w:t>ביבמות</w:t>
      </w:r>
      <w:r>
        <w:rPr>
          <w:rFonts w:hint="cs"/>
          <w:rtl/>
        </w:rPr>
        <w:t xml:space="preserve"> דכתבו כן למסקנת אביי ורבא בגמ' ביבמות, וביארו </w:t>
      </w:r>
      <w:r w:rsidRPr="00AC6F4A">
        <w:rPr>
          <w:rStyle w:val="af9"/>
          <w:rFonts w:hint="cs"/>
          <w:rtl/>
        </w:rPr>
        <w:t>התוס'</w:t>
      </w:r>
      <w:r w:rsidRPr="00A92151">
        <w:rPr>
          <w:rStyle w:val="af9"/>
          <w:rFonts w:hint="cs"/>
          <w:rtl/>
        </w:rPr>
        <w:t xml:space="preserve"> </w:t>
      </w:r>
      <w:r w:rsidRPr="00D05012">
        <w:rPr>
          <w:rStyle w:val="af9"/>
          <w:rFonts w:hint="cs"/>
          <w:rtl/>
        </w:rPr>
        <w:t>ביבמות</w:t>
      </w:r>
      <w:r w:rsidRPr="00AC6F4A">
        <w:rPr>
          <w:rStyle w:val="af9"/>
          <w:rFonts w:hint="cs"/>
          <w:rtl/>
        </w:rPr>
        <w:t xml:space="preserve"> </w:t>
      </w:r>
      <w:r>
        <w:rPr>
          <w:rFonts w:hint="cs"/>
          <w:rtl/>
        </w:rPr>
        <w:t xml:space="preserve">דס"ל דבמקום שנולדה ריעותא מחיים לא מעמידים על חזקת היתר, </w:t>
      </w:r>
      <w:r w:rsidRPr="00DC64A9">
        <w:rPr>
          <w:rStyle w:val="afb"/>
          <w:rFonts w:hint="cs"/>
          <w:rtl/>
        </w:rPr>
        <w:t xml:space="preserve">[ודלא כביאור </w:t>
      </w:r>
      <w:r w:rsidRPr="00DC64A9">
        <w:rPr>
          <w:rStyle w:val="affa"/>
          <w:rFonts w:hint="cs"/>
          <w:rtl/>
        </w:rPr>
        <w:t>הנימוק"י ביבמות</w:t>
      </w:r>
      <w:r w:rsidRPr="00DC64A9">
        <w:rPr>
          <w:rStyle w:val="afb"/>
          <w:rFonts w:hint="cs"/>
          <w:rtl/>
        </w:rPr>
        <w:t xml:space="preserve"> </w:t>
      </w:r>
      <w:r w:rsidRPr="00DC64A9">
        <w:rPr>
          <w:rStyle w:val="aff6"/>
          <w:rFonts w:hint="cs"/>
          <w:rtl/>
        </w:rPr>
        <w:t xml:space="preserve">(דף ח: מדפי הרי"ף ד"ה ספק) </w:t>
      </w:r>
      <w:r w:rsidRPr="00DC64A9">
        <w:rPr>
          <w:rStyle w:val="afb"/>
          <w:rFonts w:hint="cs"/>
          <w:rtl/>
        </w:rPr>
        <w:t>במסקנת הגמ' שם].</w:t>
      </w:r>
      <w:r>
        <w:rPr>
          <w:rFonts w:hint="cs"/>
          <w:rtl/>
        </w:rPr>
        <w:t xml:space="preserve"> וכתב </w:t>
      </w:r>
      <w:r w:rsidRPr="00DC64A9">
        <w:rPr>
          <w:rStyle w:val="af9"/>
          <w:rFonts w:hint="cs"/>
          <w:rtl/>
        </w:rPr>
        <w:t>הש"ש</w:t>
      </w:r>
      <w:r>
        <w:rPr>
          <w:rFonts w:hint="cs"/>
          <w:rtl/>
        </w:rPr>
        <w:t xml:space="preserve"> דמבואר מדברי </w:t>
      </w:r>
      <w:r w:rsidRPr="00DC64A9">
        <w:rPr>
          <w:rStyle w:val="af9"/>
          <w:rFonts w:hint="cs"/>
          <w:rtl/>
        </w:rPr>
        <w:t>הש"ך</w:t>
      </w:r>
      <w:r>
        <w:rPr>
          <w:rFonts w:hint="cs"/>
          <w:rtl/>
        </w:rPr>
        <w:t xml:space="preserve"> דאף לדעת </w:t>
      </w:r>
      <w:r w:rsidRPr="00DC64A9">
        <w:rPr>
          <w:rStyle w:val="af9"/>
          <w:rFonts w:hint="cs"/>
          <w:rtl/>
        </w:rPr>
        <w:t xml:space="preserve">התוס' </w:t>
      </w:r>
      <w:r w:rsidRPr="00D05012">
        <w:rPr>
          <w:rStyle w:val="af9"/>
          <w:rFonts w:hint="cs"/>
          <w:rtl/>
        </w:rPr>
        <w:t>ביבמות</w:t>
      </w:r>
      <w:r>
        <w:rPr>
          <w:rFonts w:hint="cs"/>
          <w:rtl/>
        </w:rPr>
        <w:t xml:space="preserve"> מחזיקין מאיסור לאיסור, במקום שנולדה ריעותא מחיים, דהבהמה היא טריפה.</w:t>
      </w:r>
      <w:bookmarkEnd w:id="1320"/>
    </w:p>
    <w:p w14:paraId="4638ABA2" w14:textId="77777777" w:rsidR="00852065" w:rsidRPr="00400903" w:rsidRDefault="00852065" w:rsidP="00BF39B2">
      <w:pPr>
        <w:pStyle w:val="1"/>
        <w:rPr>
          <w:rtl/>
        </w:rPr>
      </w:pPr>
      <w:bookmarkStart w:id="1321" w:name="_Toc522200201"/>
      <w:bookmarkStart w:id="1322" w:name="_Toc19389086"/>
      <w:bookmarkStart w:id="1323" w:name="_Toc19392583"/>
      <w:r>
        <w:rPr>
          <w:rFonts w:hint="cs"/>
          <w:rtl/>
        </w:rPr>
        <w:t>פלוגתת המהרי"ט והש"ש בדין מחזיקין מאיסור לאיסור</w:t>
      </w:r>
      <w:bookmarkEnd w:id="1321"/>
      <w:bookmarkEnd w:id="1322"/>
      <w:bookmarkEnd w:id="1323"/>
    </w:p>
    <w:p w14:paraId="071D4BD5" w14:textId="77777777" w:rsidR="00852065" w:rsidRDefault="00852065" w:rsidP="006D6D32">
      <w:pPr>
        <w:pStyle w:val="a3"/>
      </w:pPr>
      <w:bookmarkStart w:id="1324" w:name="_Toc522200202"/>
      <w:bookmarkStart w:id="1325" w:name="_Toc19389087"/>
      <w:bookmarkStart w:id="1326" w:name="_Toc19392584"/>
      <w:r>
        <w:rPr>
          <w:rFonts w:hint="cs"/>
          <w:rtl/>
        </w:rPr>
        <w:t>דברי המהרי"ט דבסוגיין מוכח דמחזיקין מאיסור לאיסור</w:t>
      </w:r>
      <w:bookmarkEnd w:id="1324"/>
      <w:bookmarkEnd w:id="1325"/>
      <w:bookmarkEnd w:id="1326"/>
    </w:p>
    <w:p w14:paraId="09F2E607" w14:textId="77777777" w:rsidR="00852065" w:rsidRDefault="00852065" w:rsidP="00223668">
      <w:pPr>
        <w:pStyle w:val="a0"/>
        <w:rPr>
          <w:rtl/>
        </w:rPr>
      </w:pPr>
      <w:r>
        <w:rPr>
          <w:rFonts w:hint="cs"/>
          <w:rtl/>
        </w:rPr>
        <w:t xml:space="preserve">כתב </w:t>
      </w:r>
      <w:r w:rsidRPr="00D24DBF">
        <w:rPr>
          <w:rStyle w:val="af9"/>
          <w:rFonts w:hint="cs"/>
          <w:rtl/>
        </w:rPr>
        <w:t>הש"ש</w:t>
      </w:r>
      <w:r>
        <w:rPr>
          <w:rFonts w:hint="cs"/>
          <w:rtl/>
        </w:rPr>
        <w:t xml:space="preserve"> </w:t>
      </w:r>
      <w:r w:rsidRPr="00D24DBF">
        <w:rPr>
          <w:rStyle w:val="af7"/>
          <w:rFonts w:eastAsia="Guttman Hodes" w:hint="cs"/>
          <w:rtl/>
        </w:rPr>
        <w:t xml:space="preserve">(ש"ה פ"א ד"ה ובתשובת) </w:t>
      </w:r>
      <w:r>
        <w:rPr>
          <w:rFonts w:hint="cs"/>
          <w:rtl/>
        </w:rPr>
        <w:t xml:space="preserve">בשם </w:t>
      </w:r>
      <w:r w:rsidRPr="00D24DBF">
        <w:rPr>
          <w:rStyle w:val="af9"/>
          <w:rFonts w:hint="cs"/>
          <w:rtl/>
        </w:rPr>
        <w:t>המהרי"ט</w:t>
      </w:r>
      <w:r>
        <w:rPr>
          <w:rFonts w:hint="cs"/>
          <w:rtl/>
        </w:rPr>
        <w:t xml:space="preserve"> </w:t>
      </w:r>
      <w:r w:rsidRPr="00D24DBF">
        <w:rPr>
          <w:rStyle w:val="af7"/>
          <w:rFonts w:eastAsia="Guttman Hodes" w:hint="cs"/>
          <w:rtl/>
        </w:rPr>
        <w:t>(ח"א סי' פ"ב)</w:t>
      </w:r>
      <w:r>
        <w:rPr>
          <w:rFonts w:hint="cs"/>
          <w:rtl/>
        </w:rPr>
        <w:t xml:space="preserve"> דקיי"ל דמחזיקין מאיסור לאיסור, וכתב </w:t>
      </w:r>
      <w:r w:rsidRPr="00D24DBF">
        <w:rPr>
          <w:rStyle w:val="af9"/>
          <w:rFonts w:hint="cs"/>
          <w:rtl/>
        </w:rPr>
        <w:t>הש"ש</w:t>
      </w:r>
      <w:r>
        <w:rPr>
          <w:rFonts w:hint="cs"/>
          <w:rtl/>
        </w:rPr>
        <w:t xml:space="preserve"> </w:t>
      </w:r>
      <w:r w:rsidRPr="00D24DBF">
        <w:rPr>
          <w:rStyle w:val="af7"/>
          <w:rFonts w:eastAsia="Guttman Hodes" w:hint="cs"/>
          <w:rtl/>
        </w:rPr>
        <w:t>(ד"ה וכן מוכח)</w:t>
      </w:r>
      <w:r>
        <w:rPr>
          <w:rFonts w:hint="cs"/>
          <w:rtl/>
        </w:rPr>
        <w:t xml:space="preserve"> בשם </w:t>
      </w:r>
      <w:r w:rsidRPr="00D24DBF">
        <w:rPr>
          <w:rStyle w:val="af9"/>
          <w:rFonts w:hint="cs"/>
          <w:rtl/>
        </w:rPr>
        <w:t>המהרי"ט</w:t>
      </w:r>
      <w:r>
        <w:rPr>
          <w:rFonts w:hint="cs"/>
          <w:rtl/>
        </w:rPr>
        <w:t xml:space="preserve"> דכן מבואר בסוגיין דבספק בשחיטה מחזיקין מאיסור אבר מן החי לאיסור נבילה, אף דאיסור אבר מן החי פקע, והבהמה מותרת לבן נח.</w:t>
      </w:r>
    </w:p>
    <w:p w14:paraId="466F3E22" w14:textId="77777777" w:rsidR="00852065" w:rsidRPr="0075427E" w:rsidRDefault="00852065" w:rsidP="006D6D32">
      <w:pPr>
        <w:pStyle w:val="a3"/>
        <w:rPr>
          <w:rtl/>
        </w:rPr>
      </w:pPr>
      <w:bookmarkStart w:id="1327" w:name="_Toc522200203"/>
      <w:bookmarkStart w:id="1328" w:name="_Toc19389088"/>
      <w:bookmarkStart w:id="1329" w:name="_Toc19392585"/>
      <w:r>
        <w:rPr>
          <w:rFonts w:hint="cs"/>
          <w:rtl/>
        </w:rPr>
        <w:t>דברי הש"ש דמבואר בתוס' דבסוגיין אינו מדין מחזיקין מאיסור לאיסור</w:t>
      </w:r>
      <w:bookmarkEnd w:id="1327"/>
      <w:bookmarkEnd w:id="1328"/>
      <w:bookmarkEnd w:id="1329"/>
    </w:p>
    <w:p w14:paraId="34AF82E8" w14:textId="77777777" w:rsidR="00852065" w:rsidRDefault="00852065" w:rsidP="00223668">
      <w:pPr>
        <w:pStyle w:val="a0"/>
        <w:rPr>
          <w:rtl/>
        </w:rPr>
      </w:pPr>
      <w:r>
        <w:rPr>
          <w:rFonts w:hint="cs"/>
          <w:rtl/>
        </w:rPr>
        <w:t xml:space="preserve">ודחה </w:t>
      </w:r>
      <w:r>
        <w:rPr>
          <w:rStyle w:val="af9"/>
          <w:rFonts w:hint="cs"/>
          <w:rtl/>
        </w:rPr>
        <w:t>ה</w:t>
      </w:r>
      <w:r w:rsidRPr="004553CE">
        <w:rPr>
          <w:rStyle w:val="af9"/>
          <w:rFonts w:hint="cs"/>
          <w:rtl/>
        </w:rPr>
        <w:t>ש"ש</w:t>
      </w:r>
      <w:r w:rsidRPr="004553CE">
        <w:rPr>
          <w:rStyle w:val="af7"/>
          <w:rFonts w:eastAsia="Guttman Hodes" w:hint="cs"/>
          <w:rtl/>
        </w:rPr>
        <w:t xml:space="preserve"> (ש"ה פ"ב ד"ה והשלישית) </w:t>
      </w:r>
      <w:r>
        <w:rPr>
          <w:rFonts w:hint="cs"/>
          <w:rtl/>
        </w:rPr>
        <w:t xml:space="preserve">את ראיית </w:t>
      </w:r>
      <w:r w:rsidRPr="0075427E">
        <w:rPr>
          <w:rStyle w:val="af9"/>
          <w:rFonts w:hint="cs"/>
          <w:rtl/>
        </w:rPr>
        <w:t>המהרי"ט</w:t>
      </w:r>
      <w:r>
        <w:rPr>
          <w:rFonts w:hint="cs"/>
          <w:rtl/>
        </w:rPr>
        <w:t xml:space="preserve"> מסוגיין, דהא מבואר </w:t>
      </w:r>
      <w:r w:rsidRPr="004553CE">
        <w:rPr>
          <w:rStyle w:val="af9"/>
          <w:rFonts w:hint="cs"/>
          <w:rtl/>
        </w:rPr>
        <w:t>בתוס' בביצה</w:t>
      </w:r>
      <w:r>
        <w:rPr>
          <w:rFonts w:hint="cs"/>
          <w:rtl/>
        </w:rPr>
        <w:t xml:space="preserve"> </w:t>
      </w:r>
      <w:r w:rsidRPr="00EF49DB">
        <w:rPr>
          <w:rStyle w:val="af7"/>
          <w:rFonts w:eastAsia="Guttman Hodes" w:hint="cs"/>
          <w:rtl/>
        </w:rPr>
        <w:t xml:space="preserve">(עי' אות </w:t>
      </w:r>
      <w:r w:rsidRPr="00EF49DB">
        <w:rPr>
          <w:rStyle w:val="af7"/>
          <w:rFonts w:eastAsia="Guttman Hodes"/>
          <w:rtl/>
        </w:rPr>
        <w:fldChar w:fldCharType="begin"/>
      </w:r>
      <w:r w:rsidRPr="00EF49DB">
        <w:rPr>
          <w:rStyle w:val="af7"/>
          <w:rFonts w:eastAsia="Guttman Hodes"/>
          <w:rtl/>
        </w:rPr>
        <w:instrText xml:space="preserve"> </w:instrText>
      </w:r>
      <w:r w:rsidRPr="00EF49DB">
        <w:rPr>
          <w:rStyle w:val="af7"/>
          <w:rFonts w:eastAsia="Guttman Hodes" w:hint="cs"/>
        </w:rPr>
        <w:instrText>REF</w:instrText>
      </w:r>
      <w:r w:rsidRPr="00EF49DB">
        <w:rPr>
          <w:rStyle w:val="af7"/>
          <w:rFonts w:eastAsia="Guttman Hodes" w:hint="cs"/>
          <w:rtl/>
        </w:rPr>
        <w:instrText xml:space="preserve"> _</w:instrText>
      </w:r>
      <w:r w:rsidRPr="00EF49DB">
        <w:rPr>
          <w:rStyle w:val="af7"/>
          <w:rFonts w:eastAsia="Guttman Hodes" w:hint="cs"/>
        </w:rPr>
        <w:instrText>Ref522197328 \r \h</w:instrText>
      </w:r>
      <w:r w:rsidRPr="00EF49DB">
        <w:rPr>
          <w:rStyle w:val="af7"/>
          <w:rFonts w:eastAsia="Guttman Hodes"/>
          <w:rtl/>
        </w:rPr>
        <w:instrText xml:space="preserve"> </w:instrText>
      </w:r>
      <w:r w:rsidRPr="00EF49DB">
        <w:rPr>
          <w:rStyle w:val="af7"/>
          <w:rFonts w:eastAsia="Guttman Hodes"/>
          <w:rtl/>
        </w:rPr>
      </w:r>
      <w:r w:rsidRPr="00EF49DB">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EF49DB">
        <w:rPr>
          <w:rStyle w:val="af7"/>
          <w:rFonts w:eastAsia="Guttman Hodes"/>
          <w:rtl/>
        </w:rPr>
        <w:fldChar w:fldCharType="end"/>
      </w:r>
      <w:r>
        <w:rPr>
          <w:rFonts w:hint="cs"/>
          <w:rtl/>
        </w:rPr>
        <w:t xml:space="preserve"> דס"ל דאין מחזיקין מאיסור לאיסור, ובספק בשחיטה הבהמה אסורה רק מחמת חזקת שאינו זבוח.</w:t>
      </w:r>
    </w:p>
    <w:p w14:paraId="4C3DCEFB" w14:textId="77777777" w:rsidR="00852065" w:rsidRPr="0079304C" w:rsidRDefault="00852065" w:rsidP="006D6D32">
      <w:pPr>
        <w:pStyle w:val="a3"/>
        <w:rPr>
          <w:rtl/>
        </w:rPr>
      </w:pPr>
      <w:bookmarkStart w:id="1330" w:name="_Toc522200204"/>
      <w:bookmarkStart w:id="1331" w:name="_Toc19389089"/>
      <w:bookmarkStart w:id="1332" w:name="_Toc19392586"/>
      <w:r>
        <w:rPr>
          <w:rFonts w:hint="cs"/>
          <w:rtl/>
        </w:rPr>
        <w:t>ראיית המהרי"ט דמחזיקין מאיסור לאיסור מטומאת התהום בנזיר</w:t>
      </w:r>
      <w:bookmarkEnd w:id="1330"/>
      <w:bookmarkEnd w:id="1331"/>
      <w:bookmarkEnd w:id="1332"/>
    </w:p>
    <w:p w14:paraId="7A3A3EB5" w14:textId="77777777" w:rsidR="00852065" w:rsidRDefault="00852065" w:rsidP="00223668">
      <w:pPr>
        <w:pStyle w:val="a0"/>
        <w:rPr>
          <w:rtl/>
        </w:rPr>
      </w:pPr>
      <w:bookmarkStart w:id="1333" w:name="_Ref522197029"/>
      <w:r>
        <w:rPr>
          <w:rFonts w:hint="cs"/>
          <w:rtl/>
        </w:rPr>
        <w:t xml:space="preserve">והביא </w:t>
      </w:r>
      <w:r w:rsidRPr="00D24DBF">
        <w:rPr>
          <w:rStyle w:val="af9"/>
          <w:rFonts w:hint="cs"/>
          <w:rtl/>
        </w:rPr>
        <w:t>הש"ש</w:t>
      </w:r>
      <w:r>
        <w:rPr>
          <w:rFonts w:hint="cs"/>
          <w:rtl/>
        </w:rPr>
        <w:t xml:space="preserve"> </w:t>
      </w:r>
      <w:r w:rsidRPr="00D24DBF">
        <w:rPr>
          <w:rStyle w:val="af7"/>
          <w:rFonts w:eastAsia="Guttman Hodes" w:hint="cs"/>
          <w:rtl/>
        </w:rPr>
        <w:t>(ש"ה פ"א ד"ה ומנא)</w:t>
      </w:r>
      <w:r>
        <w:rPr>
          <w:rFonts w:hint="cs"/>
          <w:rtl/>
        </w:rPr>
        <w:t xml:space="preserve"> בשם </w:t>
      </w:r>
      <w:r w:rsidRPr="00D24DBF">
        <w:rPr>
          <w:rStyle w:val="af9"/>
          <w:rFonts w:hint="cs"/>
          <w:rtl/>
        </w:rPr>
        <w:t>המהרי"ט</w:t>
      </w:r>
      <w:r>
        <w:rPr>
          <w:rFonts w:hint="cs"/>
          <w:rtl/>
        </w:rPr>
        <w:t xml:space="preserve"> </w:t>
      </w:r>
      <w:r w:rsidRPr="00D24DBF">
        <w:rPr>
          <w:rStyle w:val="af7"/>
          <w:rFonts w:eastAsia="Guttman Hodes" w:hint="cs"/>
          <w:rtl/>
        </w:rPr>
        <w:t>(ח"א סי' פ"ב)</w:t>
      </w:r>
      <w:r>
        <w:rPr>
          <w:rFonts w:hint="cs"/>
          <w:rtl/>
        </w:rPr>
        <w:t xml:space="preserve"> ראיה מהמשנה בנזיר </w:t>
      </w:r>
      <w:r w:rsidRPr="00D24DBF">
        <w:rPr>
          <w:rStyle w:val="af7"/>
          <w:rFonts w:eastAsia="Guttman Hodes" w:hint="cs"/>
          <w:rtl/>
        </w:rPr>
        <w:t>(סג.)</w:t>
      </w:r>
      <w:r>
        <w:rPr>
          <w:rFonts w:hint="cs"/>
          <w:rtl/>
        </w:rPr>
        <w:t xml:space="preserve"> דנזיר שנטמא בטומאת התהום הלכה למשה מסיני דאינו סותר נזירותו, וביארה המשנה דאיירי בטבל במערה ואח"כ נמצא מת במערה דאם היה טהור וירד למערה להקר הוא טהור, ואם ירד לטבול מטומאת מת אף בטומאת התהום הוא טמא דרגלים לדבר. וכתב </w:t>
      </w:r>
      <w:r w:rsidRPr="00931D82">
        <w:rPr>
          <w:rStyle w:val="af9"/>
          <w:rFonts w:hint="cs"/>
          <w:rtl/>
        </w:rPr>
        <w:t xml:space="preserve">הש"ש </w:t>
      </w:r>
      <w:r>
        <w:rPr>
          <w:rtl/>
        </w:rPr>
        <w:t xml:space="preserve">בשם </w:t>
      </w:r>
      <w:r>
        <w:rPr>
          <w:rStyle w:val="af9"/>
          <w:rtl/>
        </w:rPr>
        <w:t>המהרי"ט</w:t>
      </w:r>
      <w:r>
        <w:rPr>
          <w:rtl/>
        </w:rPr>
        <w:t xml:space="preserve"> </w:t>
      </w:r>
      <w:r>
        <w:rPr>
          <w:rStyle w:val="af7"/>
          <w:rFonts w:eastAsiaTheme="minorHAnsi" w:hint="cs"/>
          <w:rtl/>
        </w:rPr>
        <w:t>(ח"א סי' פ"ב)</w:t>
      </w:r>
      <w:r>
        <w:rPr>
          <w:rtl/>
        </w:rPr>
        <w:t xml:space="preserve"> </w:t>
      </w:r>
      <w:r>
        <w:rPr>
          <w:rFonts w:hint="cs"/>
          <w:rtl/>
        </w:rPr>
        <w:t>דמבואר דאף שנטהר מהטומאה הראשונה בטבילתו מ"מ מספק אמרינן דהוא טמא בטומאה אחרת, וסותר את ימי נזירותו הקודמים, ומבואר דמחזיקין מאיסור לאיסור.</w:t>
      </w:r>
      <w:bookmarkEnd w:id="1333"/>
    </w:p>
    <w:p w14:paraId="2784A98E" w14:textId="77777777" w:rsidR="00852065" w:rsidRPr="00400903" w:rsidRDefault="00852065" w:rsidP="006D6D32">
      <w:pPr>
        <w:pStyle w:val="a3"/>
        <w:rPr>
          <w:rtl/>
        </w:rPr>
      </w:pPr>
      <w:bookmarkStart w:id="1334" w:name="_Toc522200205"/>
      <w:bookmarkStart w:id="1335" w:name="_Toc19389090"/>
      <w:bookmarkStart w:id="1336" w:name="_Toc19392587"/>
      <w:r>
        <w:rPr>
          <w:rFonts w:hint="cs"/>
          <w:rtl/>
        </w:rPr>
        <w:t>דחיית הש"ש דבנזיר הוא אותו איסור ואין ראיה דמחזיקין מאל"א בב' איסורים</w:t>
      </w:r>
      <w:bookmarkEnd w:id="1334"/>
      <w:bookmarkEnd w:id="1335"/>
      <w:bookmarkEnd w:id="1336"/>
    </w:p>
    <w:p w14:paraId="2769738B" w14:textId="77777777" w:rsidR="00852065" w:rsidRDefault="00852065" w:rsidP="00223668">
      <w:pPr>
        <w:pStyle w:val="a0"/>
        <w:rPr>
          <w:rtl/>
        </w:rPr>
      </w:pPr>
      <w:bookmarkStart w:id="1337" w:name="_Ref522197059"/>
      <w:r>
        <w:rPr>
          <w:rFonts w:hint="cs"/>
          <w:rtl/>
        </w:rPr>
        <w:t xml:space="preserve">ודחה </w:t>
      </w:r>
      <w:r w:rsidRPr="00931D82">
        <w:rPr>
          <w:rStyle w:val="af9"/>
          <w:rFonts w:hint="cs"/>
          <w:rtl/>
        </w:rPr>
        <w:t>הש"ש</w:t>
      </w:r>
      <w:r>
        <w:rPr>
          <w:rFonts w:hint="cs"/>
          <w:rtl/>
        </w:rPr>
        <w:t xml:space="preserve"> </w:t>
      </w:r>
      <w:r w:rsidRPr="00931D82">
        <w:rPr>
          <w:rStyle w:val="af7"/>
          <w:rFonts w:eastAsia="Guttman Hodes" w:hint="cs"/>
          <w:rtl/>
        </w:rPr>
        <w:t>(ש"ה פ"ב ד"ה אם)</w:t>
      </w:r>
      <w:r>
        <w:rPr>
          <w:rFonts w:hint="cs"/>
          <w:rtl/>
        </w:rPr>
        <w:t xml:space="preserve"> את ראיית </w:t>
      </w:r>
      <w:r w:rsidRPr="00931D82">
        <w:rPr>
          <w:rStyle w:val="af9"/>
          <w:rFonts w:hint="cs"/>
          <w:rtl/>
        </w:rPr>
        <w:t>המהרי"ט</w:t>
      </w:r>
      <w:r>
        <w:rPr>
          <w:rFonts w:hint="cs"/>
          <w:rtl/>
        </w:rPr>
        <w:t xml:space="preserve"> מטומאת התהום בנזיר, דבנזיר גם האיסור הראשון וגם השני האם טומאת מת, ולכן מחזיקין מאיסור לאיסור, אך אין מזה ראיה דבב' איסורים שונים מחזיקין מאיסור לאיסור, וכתב </w:t>
      </w:r>
      <w:r w:rsidRPr="00931D82">
        <w:rPr>
          <w:rStyle w:val="af9"/>
          <w:rFonts w:hint="cs"/>
          <w:rtl/>
        </w:rPr>
        <w:t>הש"ש</w:t>
      </w:r>
      <w:r>
        <w:rPr>
          <w:rFonts w:hint="cs"/>
          <w:rtl/>
        </w:rPr>
        <w:t xml:space="preserve"> דאדרבה מהא דכתבו </w:t>
      </w:r>
      <w:r w:rsidRPr="00931D82">
        <w:rPr>
          <w:rStyle w:val="af9"/>
          <w:rFonts w:hint="cs"/>
          <w:rtl/>
        </w:rPr>
        <w:t xml:space="preserve">התוס' בנזיר </w:t>
      </w:r>
      <w:r w:rsidRPr="00931D82">
        <w:rPr>
          <w:rStyle w:val="af7"/>
          <w:rFonts w:eastAsia="Guttman Hodes" w:hint="cs"/>
          <w:rtl/>
        </w:rPr>
        <w:t>(סג. ד"ה כיצד)</w:t>
      </w:r>
      <w:r>
        <w:rPr>
          <w:rFonts w:hint="cs"/>
          <w:rtl/>
        </w:rPr>
        <w:t xml:space="preserve"> דאם טבל מטומאת שרץ לא אמרינן דחזקת טמא טמא, ומוכח דבב' שמות אין מחזיקין מאיסור לאיסור.</w:t>
      </w:r>
      <w:bookmarkEnd w:id="1337"/>
    </w:p>
    <w:p w14:paraId="138275DD" w14:textId="77777777" w:rsidR="00852065" w:rsidRPr="009F4878" w:rsidRDefault="00852065" w:rsidP="006D6D32">
      <w:pPr>
        <w:pStyle w:val="a3"/>
        <w:rPr>
          <w:rtl/>
        </w:rPr>
      </w:pPr>
      <w:bookmarkStart w:id="1338" w:name="_Toc522200206"/>
      <w:bookmarkStart w:id="1339" w:name="_Toc19389091"/>
      <w:bookmarkStart w:id="1340" w:name="_Toc19392588"/>
      <w:r>
        <w:rPr>
          <w:rFonts w:hint="cs"/>
          <w:rtl/>
        </w:rPr>
        <w:t>דברי הש"ש דדוקא במקום שיש ספק אם האיסור הראשון נסתלק מחזיקין מאל"א</w:t>
      </w:r>
      <w:bookmarkEnd w:id="1338"/>
      <w:bookmarkEnd w:id="1339"/>
      <w:bookmarkEnd w:id="1340"/>
    </w:p>
    <w:p w14:paraId="0EF05503" w14:textId="77777777" w:rsidR="00852065" w:rsidRDefault="00852065" w:rsidP="00223668">
      <w:pPr>
        <w:pStyle w:val="a0"/>
        <w:rPr>
          <w:rtl/>
        </w:rPr>
      </w:pPr>
      <w:r>
        <w:rPr>
          <w:rFonts w:hint="cs"/>
          <w:rtl/>
        </w:rPr>
        <w:t xml:space="preserve">אלא כתב </w:t>
      </w:r>
      <w:r w:rsidRPr="00931D82">
        <w:rPr>
          <w:rStyle w:val="af9"/>
          <w:rFonts w:hint="cs"/>
          <w:rtl/>
        </w:rPr>
        <w:t xml:space="preserve">הש"ש </w:t>
      </w:r>
      <w:r w:rsidRPr="00931D82">
        <w:rPr>
          <w:rStyle w:val="af7"/>
          <w:rFonts w:eastAsia="Guttman Hodes" w:hint="cs"/>
          <w:rtl/>
        </w:rPr>
        <w:t>(ש"ה פ"ב ד"ה אלא)</w:t>
      </w:r>
      <w:r>
        <w:rPr>
          <w:rFonts w:hint="cs"/>
          <w:rtl/>
        </w:rPr>
        <w:t xml:space="preserve"> דבמקום שהאיסור הראשון נסתלק לגמרי, אין מחזיקין מאיסור לאיסור אף אם ב' האיסורים הם משם אחד, וכל מה שמעמידים בחזקת איסור, הוא במקום שיש ספק אם האיסור הראשון נסתלק, והדין בטומאת התהום בנזיר אינו מדין חזקה כלל, אלא הוא דין בטומאת התהום כמבואר </w:t>
      </w:r>
      <w:r w:rsidRPr="00931D82">
        <w:rPr>
          <w:rStyle w:val="af9"/>
          <w:rFonts w:hint="cs"/>
          <w:rtl/>
        </w:rPr>
        <w:t>בתוס' בנזיר</w:t>
      </w:r>
      <w:r>
        <w:rPr>
          <w:rFonts w:hint="cs"/>
          <w:rtl/>
        </w:rPr>
        <w:t xml:space="preserve"> </w:t>
      </w:r>
      <w:r w:rsidRPr="002B22F6">
        <w:rPr>
          <w:rStyle w:val="af7"/>
          <w:rFonts w:eastAsia="Guttman Hodes" w:hint="cs"/>
          <w:rtl/>
        </w:rPr>
        <w:t>(סג. ד"ה משוקע)</w:t>
      </w:r>
      <w:r>
        <w:rPr>
          <w:rFonts w:hint="cs"/>
          <w:rtl/>
        </w:rPr>
        <w:t xml:space="preserve">, ועיי"ש בדברי </w:t>
      </w:r>
      <w:r w:rsidRPr="00931D82">
        <w:rPr>
          <w:rStyle w:val="af9"/>
          <w:rFonts w:hint="cs"/>
          <w:rtl/>
        </w:rPr>
        <w:t>הש"ש</w:t>
      </w:r>
      <w:r>
        <w:rPr>
          <w:rFonts w:hint="cs"/>
          <w:rtl/>
        </w:rPr>
        <w:t xml:space="preserve"> במה שהאריך בזה. ועמ"ש </w:t>
      </w:r>
      <w:r w:rsidRPr="002B22F6">
        <w:rPr>
          <w:rStyle w:val="af9"/>
          <w:rFonts w:hint="cs"/>
          <w:rtl/>
        </w:rPr>
        <w:t>בשער"י</w:t>
      </w:r>
      <w:r>
        <w:rPr>
          <w:rFonts w:hint="cs"/>
          <w:rtl/>
        </w:rPr>
        <w:t xml:space="preserve"> </w:t>
      </w:r>
      <w:r w:rsidRPr="002B22F6">
        <w:rPr>
          <w:rStyle w:val="af7"/>
          <w:rFonts w:eastAsia="Guttman Hodes" w:hint="cs"/>
          <w:rtl/>
        </w:rPr>
        <w:t>(שער החזקות פ"כ)</w:t>
      </w:r>
      <w:r>
        <w:rPr>
          <w:rFonts w:hint="cs"/>
          <w:rtl/>
        </w:rPr>
        <w:t>.</w:t>
      </w:r>
    </w:p>
    <w:p w14:paraId="34FA10A2" w14:textId="77777777" w:rsidR="00852065" w:rsidRDefault="00852065" w:rsidP="006D6D32">
      <w:pPr>
        <w:pStyle w:val="a3"/>
        <w:rPr>
          <w:rtl/>
        </w:rPr>
      </w:pPr>
      <w:bookmarkStart w:id="1341" w:name="_Toc522200207"/>
      <w:bookmarkStart w:id="1342" w:name="_Toc19389092"/>
      <w:bookmarkStart w:id="1343" w:name="_Toc19392589"/>
      <w:r>
        <w:rPr>
          <w:rFonts w:hint="cs"/>
          <w:rtl/>
        </w:rPr>
        <w:t>דברי הש"ש דבספק טריפה אף לר"ת אין מחזיקין מאל"א דמוקמינן בחזקת הגוף דהיא כשרה</w:t>
      </w:r>
      <w:bookmarkEnd w:id="1341"/>
      <w:bookmarkEnd w:id="1342"/>
      <w:bookmarkEnd w:id="1343"/>
    </w:p>
    <w:p w14:paraId="785CE7B2" w14:textId="77777777" w:rsidR="00852065" w:rsidRDefault="00852065" w:rsidP="00223668">
      <w:pPr>
        <w:pStyle w:val="a0"/>
        <w:rPr>
          <w:rtl/>
        </w:rPr>
      </w:pPr>
      <w:bookmarkStart w:id="1344" w:name="_Ref522199281"/>
      <w:r>
        <w:rPr>
          <w:rFonts w:hint="cs"/>
          <w:rtl/>
        </w:rPr>
        <w:t>ועיי</w:t>
      </w:r>
      <w:r w:rsidRPr="00D72AAB">
        <w:rPr>
          <w:rFonts w:hint="cs"/>
          <w:rtl/>
        </w:rPr>
        <w:t>"</w:t>
      </w:r>
      <w:r>
        <w:rPr>
          <w:rFonts w:hint="cs"/>
          <w:rtl/>
        </w:rPr>
        <w:t xml:space="preserve">ש דכתב </w:t>
      </w:r>
      <w:r w:rsidRPr="00E44183">
        <w:rPr>
          <w:rStyle w:val="af9"/>
          <w:rFonts w:hint="cs"/>
          <w:rtl/>
        </w:rPr>
        <w:t>הש"ש</w:t>
      </w:r>
      <w:r>
        <w:rPr>
          <w:rFonts w:hint="cs"/>
          <w:rtl/>
        </w:rPr>
        <w:t xml:space="preserve"> </w:t>
      </w:r>
      <w:r w:rsidRPr="00D72AAB">
        <w:rPr>
          <w:rStyle w:val="af7"/>
          <w:rFonts w:eastAsiaTheme="minorHAnsi" w:hint="cs"/>
          <w:rtl/>
        </w:rPr>
        <w:t>(ש"ה פ"ד)</w:t>
      </w:r>
      <w:r>
        <w:rPr>
          <w:rFonts w:hint="cs"/>
          <w:rtl/>
        </w:rPr>
        <w:t xml:space="preserve"> דמדברי </w:t>
      </w:r>
      <w:r w:rsidRPr="00E44183">
        <w:rPr>
          <w:rStyle w:val="af9"/>
          <w:rFonts w:hint="cs"/>
          <w:rtl/>
        </w:rPr>
        <w:t>ר"ת בתוס' בכתובות</w:t>
      </w:r>
      <w:r>
        <w:rPr>
          <w:rFonts w:hint="cs"/>
          <w:rtl/>
        </w:rPr>
        <w:t xml:space="preserve"> </w:t>
      </w:r>
      <w:r w:rsidRPr="00D72AAB">
        <w:rPr>
          <w:rStyle w:val="af7"/>
          <w:rFonts w:eastAsiaTheme="minorHAnsi" w:hint="cs"/>
          <w:rtl/>
        </w:rPr>
        <w:t xml:space="preserve">(עה: ד"ה ד"ה ספק) </w:t>
      </w:r>
      <w:r>
        <w:rPr>
          <w:rFonts w:hint="cs"/>
          <w:rtl/>
        </w:rPr>
        <w:t xml:space="preserve">מבואר דמחזיקין מאיסור לאיסור, אך כתב </w:t>
      </w:r>
      <w:r w:rsidRPr="005F2895">
        <w:rPr>
          <w:rStyle w:val="af9"/>
          <w:rFonts w:hint="cs"/>
          <w:rtl/>
        </w:rPr>
        <w:t>הש"ש</w:t>
      </w:r>
      <w:r>
        <w:rPr>
          <w:rFonts w:hint="cs"/>
          <w:rtl/>
        </w:rPr>
        <w:t xml:space="preserve"> </w:t>
      </w:r>
      <w:r w:rsidRPr="00D72AAB">
        <w:rPr>
          <w:rStyle w:val="af7"/>
          <w:rFonts w:eastAsia="Guttman Hodes" w:hint="cs"/>
          <w:rtl/>
        </w:rPr>
        <w:t>(ש"ה פ"ד ד"ה ומבואר)</w:t>
      </w:r>
      <w:r>
        <w:rPr>
          <w:rFonts w:hint="cs"/>
          <w:rtl/>
        </w:rPr>
        <w:t xml:space="preserve"> דמ"מ להלכה מבואר מדברי </w:t>
      </w:r>
      <w:r w:rsidRPr="00D72AAB">
        <w:rPr>
          <w:rStyle w:val="af9"/>
          <w:rFonts w:hint="cs"/>
          <w:rtl/>
        </w:rPr>
        <w:t>הפוסקים</w:t>
      </w:r>
      <w:r>
        <w:rPr>
          <w:rFonts w:hint="cs"/>
          <w:rtl/>
        </w:rPr>
        <w:t xml:space="preserve"> דאין מחזיקין מאיסור לאיסור, ודלא </w:t>
      </w:r>
      <w:r w:rsidRPr="00D72AAB">
        <w:rPr>
          <w:rStyle w:val="af9"/>
          <w:rFonts w:hint="cs"/>
          <w:rtl/>
        </w:rPr>
        <w:t>כמהרי"ט</w:t>
      </w:r>
      <w:r>
        <w:rPr>
          <w:rFonts w:hint="cs"/>
          <w:rtl/>
        </w:rPr>
        <w:t xml:space="preserve"> דכתב דמחזיקין מאיסור לאיסור,</w:t>
      </w:r>
      <w:r w:rsidRPr="00D72AAB">
        <w:rPr>
          <w:rFonts w:hint="cs"/>
          <w:rtl/>
        </w:rPr>
        <w:t xml:space="preserve"> </w:t>
      </w:r>
      <w:r>
        <w:rPr>
          <w:rFonts w:hint="cs"/>
          <w:rtl/>
        </w:rPr>
        <w:t xml:space="preserve">עיי"ש שהאריך בזה. והוסיף </w:t>
      </w:r>
      <w:r w:rsidRPr="00D72AAB">
        <w:rPr>
          <w:rStyle w:val="af9"/>
          <w:rFonts w:hint="cs"/>
          <w:rtl/>
        </w:rPr>
        <w:t>הש"ש</w:t>
      </w:r>
      <w:r>
        <w:rPr>
          <w:rFonts w:hint="cs"/>
          <w:rtl/>
        </w:rPr>
        <w:t xml:space="preserve"> דאף דלעת </w:t>
      </w:r>
      <w:r w:rsidRPr="00D72AAB">
        <w:rPr>
          <w:rStyle w:val="af9"/>
          <w:rFonts w:hint="cs"/>
          <w:rtl/>
        </w:rPr>
        <w:t>ר"ת בכתובות</w:t>
      </w:r>
      <w:r>
        <w:rPr>
          <w:rFonts w:hint="cs"/>
          <w:rtl/>
        </w:rPr>
        <w:t xml:space="preserve"> דמחזיקין מאיסור לאיסור, מ"מ בספק השקול בטריפה לא מחזקינן מאיסור לאיסור, דמעמידים את הבהמה בחזקת הגוף שאינה טריפה, דחזקת הגוף עדיפא מחזקת איסור. ועמ"ש </w:t>
      </w:r>
      <w:r w:rsidRPr="002B22F6">
        <w:rPr>
          <w:rStyle w:val="af9"/>
          <w:rFonts w:hint="cs"/>
          <w:rtl/>
        </w:rPr>
        <w:t>בשער"י</w:t>
      </w:r>
      <w:r>
        <w:rPr>
          <w:rFonts w:hint="cs"/>
          <w:rtl/>
        </w:rPr>
        <w:t xml:space="preserve"> </w:t>
      </w:r>
      <w:r w:rsidRPr="00D72AAB">
        <w:rPr>
          <w:rStyle w:val="af7"/>
          <w:rFonts w:eastAsia="Guttman Hodes" w:hint="cs"/>
          <w:rtl/>
        </w:rPr>
        <w:t>(שער החזקות פ"כ)</w:t>
      </w:r>
      <w:r>
        <w:rPr>
          <w:rFonts w:hint="cs"/>
          <w:rtl/>
        </w:rPr>
        <w:t>.</w:t>
      </w:r>
      <w:bookmarkEnd w:id="1344"/>
    </w:p>
    <w:p w14:paraId="1F31977E" w14:textId="77777777" w:rsidR="00852065" w:rsidRPr="00995291" w:rsidRDefault="00852065" w:rsidP="006D6D32">
      <w:pPr>
        <w:pStyle w:val="a3"/>
        <w:rPr>
          <w:rtl/>
        </w:rPr>
      </w:pPr>
      <w:bookmarkStart w:id="1345" w:name="_Toc522200208"/>
      <w:bookmarkStart w:id="1346" w:name="_Toc19389093"/>
      <w:bookmarkStart w:id="1347" w:name="_Toc19392590"/>
      <w:r>
        <w:rPr>
          <w:rFonts w:hint="cs"/>
          <w:rtl/>
        </w:rPr>
        <w:t>דברי הש"ש דלהרשב"א אף בספק השקול בטריפה מחזיקין מאיסור לאיסור</w:t>
      </w:r>
      <w:bookmarkEnd w:id="1345"/>
      <w:bookmarkEnd w:id="1346"/>
      <w:bookmarkEnd w:id="1347"/>
    </w:p>
    <w:p w14:paraId="4C8D921E" w14:textId="77777777" w:rsidR="00852065" w:rsidRPr="00A355DD" w:rsidRDefault="00852065" w:rsidP="00223668">
      <w:pPr>
        <w:pStyle w:val="a0"/>
        <w:rPr>
          <w:rStyle w:val="afb"/>
          <w:rtl/>
        </w:rPr>
      </w:pPr>
      <w:bookmarkStart w:id="1348" w:name="_Ref522186991"/>
      <w:r w:rsidRPr="00343992">
        <w:rPr>
          <w:rStyle w:val="af9"/>
          <w:rFonts w:hint="cs"/>
          <w:rtl/>
        </w:rPr>
        <w:t>וכתב הש"ש</w:t>
      </w:r>
      <w:r w:rsidRPr="00963619">
        <w:rPr>
          <w:rFonts w:hint="cs"/>
          <w:rtl/>
        </w:rPr>
        <w:t xml:space="preserve"> </w:t>
      </w:r>
      <w:r w:rsidRPr="00343992">
        <w:rPr>
          <w:rStyle w:val="af7"/>
          <w:rFonts w:eastAsia="Guttman Hodes" w:hint="cs"/>
          <w:rtl/>
        </w:rPr>
        <w:t>(ש"ה פ"ט ד"ה ונראה טעמא)</w:t>
      </w:r>
      <w:r w:rsidRPr="00963619">
        <w:rPr>
          <w:rFonts w:hint="cs"/>
          <w:rtl/>
        </w:rPr>
        <w:t xml:space="preserve"> דמבואר מדברי </w:t>
      </w:r>
      <w:r w:rsidRPr="00343992">
        <w:rPr>
          <w:rStyle w:val="af9"/>
          <w:rFonts w:hint="cs"/>
          <w:rtl/>
        </w:rPr>
        <w:t>הרשב"א ביבמות</w:t>
      </w:r>
      <w:r w:rsidRPr="00963619">
        <w:rPr>
          <w:rFonts w:hint="cs"/>
          <w:rtl/>
        </w:rPr>
        <w:t xml:space="preserve"> </w:t>
      </w:r>
      <w:r w:rsidRPr="00EF49DB">
        <w:rPr>
          <w:rStyle w:val="af7"/>
          <w:rFonts w:eastAsia="Guttman Hodes" w:hint="cs"/>
          <w:rtl/>
        </w:rPr>
        <w:t xml:space="preserve">(עי' אות </w:t>
      </w:r>
      <w:r w:rsidRPr="00EF49DB">
        <w:rPr>
          <w:rStyle w:val="af7"/>
          <w:rFonts w:eastAsia="Guttman Hodes"/>
          <w:rtl/>
        </w:rPr>
        <w:fldChar w:fldCharType="begin"/>
      </w:r>
      <w:r w:rsidRPr="00EF49DB">
        <w:rPr>
          <w:rStyle w:val="af7"/>
          <w:rFonts w:eastAsia="Guttman Hodes"/>
          <w:rtl/>
        </w:rPr>
        <w:instrText xml:space="preserve"> </w:instrText>
      </w:r>
      <w:r w:rsidRPr="00EF49DB">
        <w:rPr>
          <w:rStyle w:val="af7"/>
          <w:rFonts w:eastAsia="Guttman Hodes" w:hint="cs"/>
        </w:rPr>
        <w:instrText>REF</w:instrText>
      </w:r>
      <w:r w:rsidRPr="00EF49DB">
        <w:rPr>
          <w:rStyle w:val="af7"/>
          <w:rFonts w:eastAsia="Guttman Hodes" w:hint="cs"/>
          <w:rtl/>
        </w:rPr>
        <w:instrText xml:space="preserve"> _</w:instrText>
      </w:r>
      <w:r w:rsidRPr="00EF49DB">
        <w:rPr>
          <w:rStyle w:val="af7"/>
          <w:rFonts w:eastAsia="Guttman Hodes" w:hint="cs"/>
        </w:rPr>
        <w:instrText>Ref522187437 \r \h</w:instrText>
      </w:r>
      <w:r w:rsidRPr="00EF49DB">
        <w:rPr>
          <w:rStyle w:val="af7"/>
          <w:rFonts w:eastAsia="Guttman Hodes"/>
          <w:rtl/>
        </w:rPr>
        <w:instrText xml:space="preserve"> </w:instrText>
      </w:r>
      <w:r w:rsidRPr="00EF49DB">
        <w:rPr>
          <w:rStyle w:val="af7"/>
          <w:rFonts w:eastAsia="Guttman Hodes"/>
          <w:rtl/>
        </w:rPr>
      </w:r>
      <w:r w:rsidRPr="00EF49DB">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sidRPr="00EF49DB">
        <w:rPr>
          <w:rStyle w:val="af7"/>
          <w:rFonts w:eastAsia="Guttman Hodes"/>
          <w:rtl/>
        </w:rPr>
        <w:fldChar w:fldCharType="end"/>
      </w:r>
      <w:r>
        <w:rPr>
          <w:rFonts w:hint="cs"/>
          <w:rtl/>
        </w:rPr>
        <w:t xml:space="preserve"> </w:t>
      </w:r>
      <w:r w:rsidRPr="00963619">
        <w:rPr>
          <w:rFonts w:hint="cs"/>
          <w:rtl/>
        </w:rPr>
        <w:t>דמחזיקין מאיסור אבר מן החי לאיסור  נבילה, כיון שא"א להתיר את אבר מן החי אלא ע"י שחיטה, וממילא נעשית נבילה כל שלא נשחטה כדין</w:t>
      </w:r>
      <w:r>
        <w:rPr>
          <w:rFonts w:hint="cs"/>
          <w:rtl/>
        </w:rPr>
        <w:t>,</w:t>
      </w:r>
      <w:r w:rsidRPr="00647F73">
        <w:rPr>
          <w:rFonts w:hint="cs"/>
          <w:rtl/>
        </w:rPr>
        <w:t xml:space="preserve"> </w:t>
      </w:r>
      <w:r>
        <w:rPr>
          <w:rFonts w:hint="cs"/>
          <w:rtl/>
        </w:rPr>
        <w:t>וכתב</w:t>
      </w:r>
      <w:r w:rsidRPr="00343992">
        <w:rPr>
          <w:rStyle w:val="af9"/>
          <w:rFonts w:hint="cs"/>
          <w:rtl/>
        </w:rPr>
        <w:t xml:space="preserve"> הש"ש </w:t>
      </w:r>
      <w:r>
        <w:rPr>
          <w:rFonts w:hint="cs"/>
          <w:rtl/>
        </w:rPr>
        <w:t xml:space="preserve">דא"כ לדעת </w:t>
      </w:r>
      <w:r w:rsidRPr="00343992">
        <w:rPr>
          <w:rStyle w:val="af9"/>
          <w:rFonts w:hint="cs"/>
          <w:rtl/>
        </w:rPr>
        <w:t>הרשב"א</w:t>
      </w:r>
      <w:r>
        <w:rPr>
          <w:rFonts w:hint="cs"/>
          <w:rtl/>
        </w:rPr>
        <w:t xml:space="preserve"> אף בספק השקול בטריפה מחזקינן מאיסור אבר מן החי לאיסור טריפה, וביאר הש"ש בזה את דברי </w:t>
      </w:r>
      <w:r w:rsidRPr="00343992">
        <w:rPr>
          <w:rStyle w:val="af9"/>
          <w:rFonts w:hint="cs"/>
          <w:rtl/>
        </w:rPr>
        <w:t>הרשב"א לקמן</w:t>
      </w:r>
      <w:r>
        <w:rPr>
          <w:rFonts w:hint="cs"/>
          <w:rtl/>
        </w:rPr>
        <w:t xml:space="preserve"> </w:t>
      </w:r>
      <w:r w:rsidRPr="00343992">
        <w:rPr>
          <w:rStyle w:val="af7"/>
          <w:rFonts w:eastAsia="Guttman Hodes" w:hint="cs"/>
          <w:rtl/>
        </w:rPr>
        <w:t>(י: ד"ה ולענין)</w:t>
      </w:r>
      <w:r>
        <w:rPr>
          <w:rFonts w:hint="cs"/>
          <w:rtl/>
        </w:rPr>
        <w:t xml:space="preserve"> עיי"ש.</w:t>
      </w:r>
      <w:bookmarkEnd w:id="1348"/>
      <w:r w:rsidRPr="00A355DD">
        <w:rPr>
          <w:rStyle w:val="afb"/>
          <w:rFonts w:hint="cs"/>
          <w:color w:val="7030A0"/>
          <w:highlight w:val="yellow"/>
          <w:rtl/>
        </w:rPr>
        <w:t xml:space="preserve"> </w:t>
      </w:r>
    </w:p>
    <w:p w14:paraId="6E2B5E77" w14:textId="77777777" w:rsidR="00852065" w:rsidRDefault="00852065" w:rsidP="00BF39B2">
      <w:pPr>
        <w:pStyle w:val="1"/>
        <w:rPr>
          <w:rtl/>
        </w:rPr>
      </w:pPr>
      <w:bookmarkStart w:id="1349" w:name="_Toc522200209"/>
      <w:bookmarkStart w:id="1350" w:name="_Toc19389094"/>
      <w:bookmarkStart w:id="1351" w:name="_Toc19392591"/>
      <w:r>
        <w:rPr>
          <w:rFonts w:hint="cs"/>
          <w:rtl/>
        </w:rPr>
        <w:t>ביאור הש"ש בחילוק בין ספק בשחיטה לצר"ע ולטריפה</w:t>
      </w:r>
      <w:bookmarkEnd w:id="1349"/>
      <w:bookmarkEnd w:id="1350"/>
      <w:bookmarkEnd w:id="1351"/>
    </w:p>
    <w:p w14:paraId="10D3E5B5" w14:textId="77777777" w:rsidR="00852065" w:rsidRPr="003F245D" w:rsidRDefault="00852065" w:rsidP="006D6D32">
      <w:pPr>
        <w:pStyle w:val="a3"/>
        <w:rPr>
          <w:rtl/>
        </w:rPr>
      </w:pPr>
      <w:bookmarkStart w:id="1352" w:name="_Toc522200210"/>
      <w:bookmarkStart w:id="1353" w:name="_Toc19389095"/>
      <w:bookmarkStart w:id="1354" w:name="_Toc19392592"/>
      <w:r>
        <w:rPr>
          <w:rFonts w:hint="cs"/>
          <w:rtl/>
        </w:rPr>
        <w:t>דברי הש"ש דבצר"ע אף שהספק בזמן האיסור היה לה חזקת היתר לכשימות בעלה</w:t>
      </w:r>
      <w:bookmarkEnd w:id="1352"/>
      <w:bookmarkEnd w:id="1353"/>
      <w:bookmarkEnd w:id="1354"/>
    </w:p>
    <w:p w14:paraId="2C200894" w14:textId="77777777" w:rsidR="00852065" w:rsidRDefault="00852065" w:rsidP="00223668">
      <w:pPr>
        <w:pStyle w:val="a0"/>
        <w:rPr>
          <w:rtl/>
        </w:rPr>
      </w:pPr>
      <w:r>
        <w:rPr>
          <w:rFonts w:hint="cs"/>
          <w:rtl/>
        </w:rPr>
        <w:t xml:space="preserve">כתב </w:t>
      </w:r>
      <w:r w:rsidRPr="00DB00C8">
        <w:rPr>
          <w:rStyle w:val="af9"/>
          <w:rFonts w:hint="cs"/>
          <w:rtl/>
        </w:rPr>
        <w:t>הש"ש</w:t>
      </w:r>
      <w:r>
        <w:rPr>
          <w:rFonts w:hint="cs"/>
          <w:rtl/>
        </w:rPr>
        <w:t xml:space="preserve"> </w:t>
      </w:r>
      <w:r w:rsidRPr="00DB00C8">
        <w:rPr>
          <w:rStyle w:val="af7"/>
          <w:rFonts w:eastAsia="Guttman Hodes" w:hint="cs"/>
          <w:rtl/>
        </w:rPr>
        <w:t>(ש"ה פ"ו)</w:t>
      </w:r>
      <w:r>
        <w:rPr>
          <w:rFonts w:hint="cs"/>
          <w:rtl/>
        </w:rPr>
        <w:t xml:space="preserve"> דהא דאמר רבה ביבמות </w:t>
      </w:r>
      <w:r w:rsidRPr="007E5871">
        <w:rPr>
          <w:rStyle w:val="af7"/>
          <w:rFonts w:eastAsia="Guttman Hodes" w:hint="cs"/>
          <w:rtl/>
        </w:rPr>
        <w:t>(ל:)</w:t>
      </w:r>
      <w:r>
        <w:rPr>
          <w:rFonts w:hint="cs"/>
          <w:rtl/>
        </w:rPr>
        <w:t xml:space="preserve"> דבספק צרת ערוה בחזקת היתר עומדת, אף שהספק נולד בחיי הבעל כשהייתה אסורה באיסור אשת איש, מ"מ מעיקרא היה לה חזקת היתר לכשימות, וא"א לאוסרה מספק ולכן כשמת הבעל היא מותרת, כמו שהייתה מותרת קודם לידת הספק לכשימות בעלה.</w:t>
      </w:r>
    </w:p>
    <w:p w14:paraId="63F5D59A" w14:textId="77777777" w:rsidR="00852065" w:rsidRDefault="00852065" w:rsidP="006D6D32">
      <w:pPr>
        <w:pStyle w:val="a3"/>
        <w:rPr>
          <w:rtl/>
        </w:rPr>
      </w:pPr>
      <w:bookmarkStart w:id="1355" w:name="_Toc522200211"/>
      <w:bookmarkStart w:id="1356" w:name="_Toc19389096"/>
      <w:bookmarkStart w:id="1357" w:name="_Toc19392593"/>
      <w:r>
        <w:rPr>
          <w:rFonts w:hint="cs"/>
          <w:rtl/>
        </w:rPr>
        <w:t>דברי הש"ש דבספק טריפה אף שנולד הספק בזמן האיסור היה לה חזקת היתר לכשתשחט</w:t>
      </w:r>
      <w:bookmarkEnd w:id="1355"/>
      <w:bookmarkEnd w:id="1356"/>
      <w:bookmarkEnd w:id="1357"/>
    </w:p>
    <w:p w14:paraId="69106BDB" w14:textId="77777777" w:rsidR="00852065" w:rsidRDefault="00852065" w:rsidP="00223668">
      <w:pPr>
        <w:pStyle w:val="a0"/>
        <w:rPr>
          <w:rtl/>
        </w:rPr>
      </w:pPr>
      <w:bookmarkStart w:id="1358" w:name="_Ref522196883"/>
      <w:r>
        <w:rPr>
          <w:rFonts w:hint="cs"/>
          <w:rtl/>
        </w:rPr>
        <w:t xml:space="preserve">וכתב </w:t>
      </w:r>
      <w:r w:rsidRPr="008266B0">
        <w:rPr>
          <w:rStyle w:val="af9"/>
          <w:rFonts w:hint="cs"/>
          <w:rtl/>
        </w:rPr>
        <w:t>הש"ש</w:t>
      </w:r>
      <w:r>
        <w:rPr>
          <w:rFonts w:hint="cs"/>
          <w:rtl/>
        </w:rPr>
        <w:t xml:space="preserve"> דה"ה בספק טריפה דאף שנולד הספק טריפה מחיים, כשהייתה אסורה באיסור אבר מן החי, מ"מ כיון שקודם לידת הספק הייתה בחזקת היתר לכשתשחט, לכן לאחר שנשחטה א"א לאוסרה, דמעמידים אותה בחזקת היתר, כמו שהייתה מותרת קודם לידת הספק לכשתשחט.</w:t>
      </w:r>
      <w:bookmarkEnd w:id="1358"/>
    </w:p>
    <w:p w14:paraId="36069484" w14:textId="77777777" w:rsidR="00852065" w:rsidRDefault="00852065" w:rsidP="006D6D32">
      <w:pPr>
        <w:pStyle w:val="a3"/>
        <w:rPr>
          <w:rtl/>
        </w:rPr>
      </w:pPr>
      <w:bookmarkStart w:id="1359" w:name="_Toc522200212"/>
      <w:bookmarkStart w:id="1360" w:name="_Toc19389097"/>
      <w:bookmarkStart w:id="1361" w:name="_Toc19392594"/>
      <w:r>
        <w:rPr>
          <w:rFonts w:hint="cs"/>
          <w:rtl/>
        </w:rPr>
        <w:t>ביאור הש"ש דבשחיטה אף שפקע האבמה"ח אין חזקת היתר דזה גופא הספק אם נשחטה והותרה</w:t>
      </w:r>
      <w:bookmarkEnd w:id="1359"/>
      <w:bookmarkEnd w:id="1360"/>
      <w:bookmarkEnd w:id="1361"/>
    </w:p>
    <w:p w14:paraId="357C4B45" w14:textId="77777777" w:rsidR="00852065" w:rsidRDefault="00852065" w:rsidP="00223668">
      <w:pPr>
        <w:pStyle w:val="a0"/>
        <w:rPr>
          <w:rtl/>
        </w:rPr>
      </w:pPr>
      <w:bookmarkStart w:id="1362" w:name="_Ref522187679"/>
      <w:r>
        <w:rPr>
          <w:rFonts w:hint="cs"/>
          <w:rtl/>
        </w:rPr>
        <w:t xml:space="preserve">אבל בספק בשחיטה עצמה אם נשחטה כראוי, כתב </w:t>
      </w:r>
      <w:r w:rsidRPr="00DB00C8">
        <w:rPr>
          <w:rStyle w:val="af9"/>
          <w:rFonts w:hint="cs"/>
          <w:rtl/>
        </w:rPr>
        <w:t>הש"ש</w:t>
      </w:r>
      <w:r>
        <w:rPr>
          <w:rFonts w:hint="cs"/>
          <w:rtl/>
        </w:rPr>
        <w:t xml:space="preserve"> דמחזיקין מאיסור אבר מן החי לאיסור נבילה, כיון שא"א לומר שנעמידנה על החזקת היתר שהייתה לה, שהיא מותרת לכשתשחט, דהא זהו גופא הספק אם נשחטה כראוי, ובזה ישב </w:t>
      </w:r>
      <w:r w:rsidRPr="00DB00C8">
        <w:rPr>
          <w:rStyle w:val="af9"/>
          <w:rFonts w:hint="cs"/>
          <w:rtl/>
        </w:rPr>
        <w:t>הש"ש</w:t>
      </w:r>
      <w:r>
        <w:rPr>
          <w:rFonts w:hint="cs"/>
          <w:rtl/>
        </w:rPr>
        <w:t xml:space="preserve"> את קושית את קושית </w:t>
      </w:r>
      <w:r w:rsidRPr="00EE078B">
        <w:rPr>
          <w:rStyle w:val="af9"/>
          <w:rFonts w:hint="cs"/>
          <w:rtl/>
        </w:rPr>
        <w:t>התוס' בביצה</w:t>
      </w:r>
      <w:r>
        <w:rPr>
          <w:rFonts w:hint="cs"/>
          <w:rtl/>
        </w:rPr>
        <w:t xml:space="preserve"> </w:t>
      </w:r>
      <w:r w:rsidRPr="00AC4724">
        <w:rPr>
          <w:rStyle w:val="af7"/>
          <w:rFonts w:eastAsia="Guttman Hodes" w:hint="cs"/>
          <w:rtl/>
        </w:rPr>
        <w:t xml:space="preserve">(עי' אות </w:t>
      </w:r>
      <w:r w:rsidRPr="00AC4724">
        <w:rPr>
          <w:rStyle w:val="af7"/>
          <w:rFonts w:eastAsia="Guttman Hodes"/>
          <w:rtl/>
        </w:rPr>
        <w:fldChar w:fldCharType="begin"/>
      </w:r>
      <w:r w:rsidRPr="00AC4724">
        <w:rPr>
          <w:rStyle w:val="af7"/>
          <w:rFonts w:eastAsia="Guttman Hodes"/>
          <w:rtl/>
        </w:rPr>
        <w:instrText xml:space="preserve"> </w:instrText>
      </w:r>
      <w:r w:rsidRPr="00AC4724">
        <w:rPr>
          <w:rStyle w:val="af7"/>
          <w:rFonts w:eastAsia="Guttman Hodes" w:hint="cs"/>
        </w:rPr>
        <w:instrText>REF</w:instrText>
      </w:r>
      <w:r w:rsidRPr="00AC4724">
        <w:rPr>
          <w:rStyle w:val="af7"/>
          <w:rFonts w:eastAsia="Guttman Hodes" w:hint="cs"/>
          <w:rtl/>
        </w:rPr>
        <w:instrText xml:space="preserve"> _</w:instrText>
      </w:r>
      <w:r w:rsidRPr="00AC4724">
        <w:rPr>
          <w:rStyle w:val="af7"/>
          <w:rFonts w:eastAsia="Guttman Hodes" w:hint="cs"/>
        </w:rPr>
        <w:instrText>Ref522199033 \r \h</w:instrText>
      </w:r>
      <w:r w:rsidRPr="00AC4724">
        <w:rPr>
          <w:rStyle w:val="af7"/>
          <w:rFonts w:eastAsia="Guttman Hodes"/>
          <w:rtl/>
        </w:rPr>
        <w:instrText xml:space="preserve"> </w:instrText>
      </w:r>
      <w:r w:rsidRPr="00AC4724">
        <w:rPr>
          <w:rStyle w:val="af7"/>
          <w:rFonts w:eastAsia="Guttman Hodes"/>
          <w:rtl/>
        </w:rPr>
      </w:r>
      <w:r w:rsidRPr="00AC4724">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AC4724">
        <w:rPr>
          <w:rStyle w:val="af7"/>
          <w:rFonts w:eastAsia="Guttman Hodes"/>
          <w:rtl/>
        </w:rPr>
        <w:fldChar w:fldCharType="end"/>
      </w:r>
      <w:r>
        <w:rPr>
          <w:rFonts w:hint="cs"/>
          <w:rtl/>
        </w:rPr>
        <w:t xml:space="preserve"> דכיון שמתה לפנינו א"א להעמידה בחזקת איסור אבר מן החי, דלא שייך במתה אבר מן החי, דאף שהאיסור הראשון הותר דהבהמה מתה לפנינו ולא שייך בה איסור אבר מן החי, מ"מ א"א להתיר את הספק בשחיטה ע"י החזקת היתר שהייתה לה, דכל החזקת היתר היא לאחר שנשחטה כראוי.</w:t>
      </w:r>
      <w:bookmarkEnd w:id="1362"/>
    </w:p>
    <w:p w14:paraId="7C605C32" w14:textId="77777777" w:rsidR="00852065" w:rsidRDefault="00852065" w:rsidP="006D6D32">
      <w:pPr>
        <w:pStyle w:val="a3"/>
        <w:rPr>
          <w:rtl/>
        </w:rPr>
      </w:pPr>
      <w:bookmarkStart w:id="1363" w:name="_Toc522200213"/>
      <w:bookmarkStart w:id="1364" w:name="_Toc19389098"/>
      <w:bookmarkStart w:id="1365" w:name="_Toc19392595"/>
      <w:r>
        <w:rPr>
          <w:rFonts w:hint="cs"/>
          <w:rtl/>
        </w:rPr>
        <w:t>ביאור הש"ש דכשיש לה חזקת היתר כניקב הושט אין מחזיקין מאל"א אף מאמה"ח לנבילה</w:t>
      </w:r>
      <w:bookmarkEnd w:id="1363"/>
      <w:bookmarkEnd w:id="1364"/>
      <w:bookmarkEnd w:id="1365"/>
    </w:p>
    <w:p w14:paraId="17BDEAF8" w14:textId="77777777" w:rsidR="00852065" w:rsidRDefault="00852065" w:rsidP="00223668">
      <w:pPr>
        <w:pStyle w:val="a0"/>
        <w:rPr>
          <w:rtl/>
        </w:rPr>
      </w:pPr>
      <w:r>
        <w:rPr>
          <w:rFonts w:hint="cs"/>
          <w:rtl/>
        </w:rPr>
        <w:t xml:space="preserve">וכתב </w:t>
      </w:r>
      <w:r w:rsidRPr="003F46B2">
        <w:rPr>
          <w:rStyle w:val="af9"/>
          <w:rFonts w:hint="cs"/>
          <w:rtl/>
        </w:rPr>
        <w:t>הש"ש</w:t>
      </w:r>
      <w:r>
        <w:rPr>
          <w:rFonts w:hint="cs"/>
          <w:rtl/>
        </w:rPr>
        <w:t xml:space="preserve"> </w:t>
      </w:r>
      <w:r w:rsidRPr="003F46B2">
        <w:rPr>
          <w:rStyle w:val="af7"/>
          <w:rFonts w:eastAsia="Guttman Hodes" w:hint="cs"/>
          <w:rtl/>
        </w:rPr>
        <w:t xml:space="preserve">(ש"ה פ"ו ד"ה והנה ראיתי) </w:t>
      </w:r>
      <w:r>
        <w:rPr>
          <w:rFonts w:hint="cs"/>
          <w:rtl/>
        </w:rPr>
        <w:t xml:space="preserve">דלפי"ז במקום שהשחיטה מצד עצמה הייתה ראויה ששחט את הסימנים כראוי, אלא שיש ספק אם קודם השחיטה ניקב הושט ועי"ז חשיב נעשית נבילה, דאין מחזיקין מאיסור לאיסור אף לענין נבילה, דכיון שקודם לידת הספק היה לה חזקה שאם תשחט תהיה מותרת, והשחיטה עצמה הייתה כראוי, ואם היו שוחטים אותה בשחיטה זו קודם לידת הספק הייתה מותרת, א"א לאוסרה לאחר השחיטה ומעמידים אותה בחזקת היתר, ודלא </w:t>
      </w:r>
      <w:r w:rsidRPr="007E33B0">
        <w:rPr>
          <w:rStyle w:val="af9"/>
          <w:rFonts w:hint="cs"/>
          <w:rtl/>
        </w:rPr>
        <w:t>כה</w:t>
      </w:r>
      <w:r w:rsidR="00345400">
        <w:rPr>
          <w:rStyle w:val="af9"/>
          <w:rFonts w:hint="cs"/>
          <w:rtl/>
        </w:rPr>
        <w:t>פלתי</w:t>
      </w:r>
      <w:r w:rsidRPr="007E33B0">
        <w:rPr>
          <w:rStyle w:val="af9"/>
          <w:rFonts w:hint="cs"/>
          <w:rtl/>
        </w:rPr>
        <w:t xml:space="preserve"> </w:t>
      </w:r>
      <w:r w:rsidRPr="007E33B0">
        <w:rPr>
          <w:rStyle w:val="af7"/>
          <w:rFonts w:eastAsia="Guttman Hodes" w:hint="cs"/>
          <w:rtl/>
        </w:rPr>
        <w:t>(ל"ג סק"ד)</w:t>
      </w:r>
      <w:r>
        <w:rPr>
          <w:rFonts w:hint="cs"/>
          <w:rtl/>
        </w:rPr>
        <w:t xml:space="preserve"> דכתב דבספק נקובת הושט חשיב ספק בשחיטה, והבהמה בחזקת איסור, ועיי"ש במה שהאריך </w:t>
      </w:r>
      <w:r w:rsidRPr="00761499">
        <w:rPr>
          <w:rStyle w:val="af9"/>
          <w:rFonts w:hint="cs"/>
          <w:rtl/>
        </w:rPr>
        <w:t>הש"ש</w:t>
      </w:r>
      <w:r>
        <w:rPr>
          <w:rFonts w:hint="cs"/>
          <w:rtl/>
        </w:rPr>
        <w:t xml:space="preserve"> בזה, ועי' </w:t>
      </w:r>
      <w:r w:rsidRPr="003F46B2">
        <w:rPr>
          <w:rStyle w:val="af9"/>
          <w:rFonts w:hint="cs"/>
          <w:rtl/>
        </w:rPr>
        <w:t>בשער"י</w:t>
      </w:r>
      <w:r>
        <w:rPr>
          <w:rFonts w:hint="cs"/>
          <w:rtl/>
        </w:rPr>
        <w:t xml:space="preserve"> </w:t>
      </w:r>
      <w:r w:rsidRPr="003F46B2">
        <w:rPr>
          <w:rStyle w:val="af7"/>
          <w:rFonts w:eastAsia="Guttman Hodes" w:hint="cs"/>
          <w:rtl/>
        </w:rPr>
        <w:t>(שער החזקות סופי"ח)</w:t>
      </w:r>
      <w:r>
        <w:rPr>
          <w:rFonts w:hint="cs"/>
          <w:rtl/>
        </w:rPr>
        <w:t xml:space="preserve"> במ"ש בזה.</w:t>
      </w:r>
    </w:p>
    <w:p w14:paraId="6BEBE8DC" w14:textId="77777777" w:rsidR="00852065" w:rsidRPr="00225A7F" w:rsidRDefault="00852065" w:rsidP="006D6D32">
      <w:pPr>
        <w:pStyle w:val="a3"/>
        <w:rPr>
          <w:rtl/>
        </w:rPr>
        <w:sectPr w:rsidR="00852065" w:rsidRPr="00225A7F" w:rsidSect="00F54A0E">
          <w:type w:val="continuous"/>
          <w:pgSz w:w="11906" w:h="16838"/>
          <w:pgMar w:top="720" w:right="720" w:bottom="720" w:left="720" w:header="283" w:footer="283" w:gutter="0"/>
          <w:cols w:num="2" w:space="567"/>
          <w:bidi/>
          <w:rtlGutter/>
          <w:docGrid w:linePitch="299"/>
        </w:sectPr>
      </w:pPr>
    </w:p>
    <w:p w14:paraId="545125AC" w14:textId="77777777" w:rsidR="00852065" w:rsidRDefault="00852065" w:rsidP="00852065">
      <w:pPr>
        <w:tabs>
          <w:tab w:val="left" w:pos="1163"/>
        </w:tabs>
        <w:spacing w:after="120" w:line="240" w:lineRule="auto"/>
        <w:ind w:left="0"/>
        <w:rPr>
          <w:rFonts w:ascii="Guttman Hodes" w:eastAsia="Guttman Hodes" w:hAnsi="Guttman Hodes" w:cs="Guttman Hodes"/>
          <w:noProof/>
          <w:sz w:val="18"/>
          <w:szCs w:val="18"/>
        </w:rPr>
        <w:sectPr w:rsidR="00852065" w:rsidSect="006C52BA">
          <w:type w:val="continuous"/>
          <w:pgSz w:w="11906" w:h="16838"/>
          <w:pgMar w:top="720" w:right="720" w:bottom="720" w:left="720" w:header="283" w:footer="283" w:gutter="0"/>
          <w:cols w:space="567"/>
          <w:bidi/>
          <w:rtlGutter/>
        </w:sectPr>
      </w:pPr>
    </w:p>
    <w:p w14:paraId="481F2B19" w14:textId="77777777" w:rsidR="00852065" w:rsidRPr="0061208F" w:rsidRDefault="004B65FC" w:rsidP="00852065">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4B29CAFF">
          <v:shape id="_x0000_i1027" type="#_x0000_t75" style="width:409.4pt;height:4.45pt" o:hrpct="0" o:hralign="center" o:hr="t">
            <v:imagedata r:id="rId21" o:title="BD14845_"/>
          </v:shape>
        </w:pict>
      </w:r>
      <w:r w:rsidR="00852065" w:rsidRPr="0061208F">
        <w:rPr>
          <w:rFonts w:ascii="Guttman Hodes" w:eastAsia="Guttman Hodes" w:hAnsi="Guttman Hodes" w:cs="Guttman Hodes" w:hint="cs"/>
          <w:noProof/>
          <w:sz w:val="18"/>
          <w:szCs w:val="18"/>
          <w:rtl/>
        </w:rPr>
        <w:t xml:space="preserve"> </w:t>
      </w:r>
    </w:p>
    <w:p w14:paraId="6EC54255" w14:textId="77777777" w:rsidR="00852065" w:rsidRDefault="00852065" w:rsidP="00852065">
      <w:pPr>
        <w:pStyle w:val="2"/>
        <w:rPr>
          <w:rtl/>
        </w:rPr>
        <w:sectPr w:rsidR="00852065" w:rsidSect="00BA54AC">
          <w:pgSz w:w="11906" w:h="16838"/>
          <w:pgMar w:top="720" w:right="720" w:bottom="720" w:left="720" w:header="283" w:footer="283" w:gutter="0"/>
          <w:cols w:space="567"/>
          <w:bidi/>
          <w:rtlGutter/>
        </w:sectPr>
      </w:pPr>
      <w:bookmarkStart w:id="1366" w:name="_Toc522200214"/>
      <w:bookmarkStart w:id="1367" w:name="_Toc19435213"/>
      <w:r>
        <w:rPr>
          <w:rFonts w:hint="cs"/>
          <w:rtl/>
        </w:rPr>
        <w:t>ביאורי ראשי הישיבות על הסוגיא</w:t>
      </w:r>
      <w:bookmarkEnd w:id="1366"/>
      <w:bookmarkEnd w:id="1367"/>
    </w:p>
    <w:p w14:paraId="208EB86F" w14:textId="77777777" w:rsidR="00852065" w:rsidRDefault="00852065" w:rsidP="00BF39B2">
      <w:pPr>
        <w:pStyle w:val="1"/>
        <w:rPr>
          <w:rtl/>
        </w:rPr>
      </w:pPr>
      <w:bookmarkStart w:id="1368" w:name="_Toc521324878"/>
      <w:bookmarkStart w:id="1369" w:name="_Toc521338185"/>
      <w:bookmarkStart w:id="1370" w:name="_Toc521361985"/>
      <w:bookmarkStart w:id="1371" w:name="_Toc522200215"/>
      <w:bookmarkStart w:id="1372" w:name="_Toc19389099"/>
      <w:bookmarkStart w:id="1373" w:name="_Toc19392596"/>
      <w:bookmarkStart w:id="1374" w:name="_Toc518774448"/>
      <w:bookmarkStart w:id="1375" w:name="_Toc519088402"/>
      <w:bookmarkStart w:id="1376" w:name="_Toc519239397"/>
      <w:bookmarkStart w:id="1377" w:name="_Toc519418660"/>
      <w:r>
        <w:rPr>
          <w:rFonts w:hint="cs"/>
          <w:rtl/>
        </w:rPr>
        <w:t>ביאור השער"י בדברי הרשב"א ביבמות</w:t>
      </w:r>
      <w:bookmarkEnd w:id="1368"/>
      <w:bookmarkEnd w:id="1369"/>
      <w:bookmarkEnd w:id="1370"/>
      <w:bookmarkEnd w:id="1371"/>
      <w:bookmarkEnd w:id="1372"/>
      <w:bookmarkEnd w:id="1373"/>
    </w:p>
    <w:p w14:paraId="1E46300D" w14:textId="77777777" w:rsidR="00852065" w:rsidRPr="0012432E" w:rsidRDefault="00852065" w:rsidP="006D6D32">
      <w:pPr>
        <w:pStyle w:val="a3"/>
        <w:rPr>
          <w:rtl/>
        </w:rPr>
      </w:pPr>
      <w:bookmarkStart w:id="1378" w:name="_Toc522200216"/>
      <w:bookmarkStart w:id="1379" w:name="_Toc19389100"/>
      <w:bookmarkStart w:id="1380" w:name="_Toc19392597"/>
      <w:r>
        <w:rPr>
          <w:rFonts w:hint="cs"/>
          <w:rtl/>
        </w:rPr>
        <w:t>קושית השער"י דבצר"ע ההיתר מדין חזקה דרבה ולא מדין מחזיקין מאיסור לאיסור</w:t>
      </w:r>
      <w:bookmarkEnd w:id="1378"/>
      <w:bookmarkEnd w:id="1379"/>
      <w:bookmarkEnd w:id="1380"/>
    </w:p>
    <w:p w14:paraId="05AE1F45" w14:textId="77777777" w:rsidR="00852065" w:rsidRDefault="00852065" w:rsidP="00223668">
      <w:pPr>
        <w:pStyle w:val="a0"/>
        <w:rPr>
          <w:rtl/>
        </w:rPr>
      </w:pPr>
      <w:r>
        <w:rPr>
          <w:rStyle w:val="af9"/>
          <w:rFonts w:hint="cs"/>
          <w:rtl/>
        </w:rPr>
        <w:t>ה</w:t>
      </w:r>
      <w:r w:rsidRPr="00D97899">
        <w:rPr>
          <w:rStyle w:val="af9"/>
          <w:rFonts w:hint="cs"/>
          <w:rtl/>
        </w:rPr>
        <w:t>שער"י</w:t>
      </w:r>
      <w:r>
        <w:rPr>
          <w:rFonts w:hint="cs"/>
          <w:rtl/>
        </w:rPr>
        <w:t xml:space="preserve"> </w:t>
      </w:r>
      <w:r w:rsidRPr="00D97899">
        <w:rPr>
          <w:rStyle w:val="af7"/>
          <w:rFonts w:eastAsia="Guttman Hodes" w:hint="cs"/>
          <w:rtl/>
        </w:rPr>
        <w:t>(שער החזקות פי"ט ד"ה והנה בחידושי הרשב"א)</w:t>
      </w:r>
      <w:r>
        <w:rPr>
          <w:rFonts w:hint="cs"/>
          <w:rtl/>
        </w:rPr>
        <w:t xml:space="preserve"> הביא את קושית </w:t>
      </w:r>
      <w:r w:rsidRPr="00D97899">
        <w:rPr>
          <w:rStyle w:val="af9"/>
          <w:rFonts w:hint="cs"/>
          <w:rtl/>
        </w:rPr>
        <w:t>הרשב"א ביבמות</w:t>
      </w:r>
      <w:r>
        <w:rPr>
          <w:rFonts w:hint="cs"/>
          <w:rtl/>
        </w:rPr>
        <w:t xml:space="preserve"> </w:t>
      </w:r>
      <w:r w:rsidRPr="00893DC6">
        <w:rPr>
          <w:rStyle w:val="af7"/>
          <w:rFonts w:eastAsia="Guttman Hodes" w:hint="cs"/>
          <w:rtl/>
        </w:rPr>
        <w:t xml:space="preserve">(עי' אות </w:t>
      </w:r>
      <w:r w:rsidRPr="00893DC6">
        <w:rPr>
          <w:rStyle w:val="af7"/>
          <w:rFonts w:eastAsia="Guttman Hodes"/>
          <w:rtl/>
        </w:rPr>
        <w:fldChar w:fldCharType="begin"/>
      </w:r>
      <w:r w:rsidRPr="00893DC6">
        <w:rPr>
          <w:rStyle w:val="af7"/>
          <w:rFonts w:eastAsia="Guttman Hodes"/>
          <w:rtl/>
        </w:rPr>
        <w:instrText xml:space="preserve"> </w:instrText>
      </w:r>
      <w:r w:rsidRPr="00893DC6">
        <w:rPr>
          <w:rStyle w:val="af7"/>
          <w:rFonts w:eastAsia="Guttman Hodes" w:hint="cs"/>
        </w:rPr>
        <w:instrText>REF</w:instrText>
      </w:r>
      <w:r w:rsidRPr="00893DC6">
        <w:rPr>
          <w:rStyle w:val="af7"/>
          <w:rFonts w:eastAsia="Guttman Hodes" w:hint="cs"/>
          <w:rtl/>
        </w:rPr>
        <w:instrText xml:space="preserve"> _</w:instrText>
      </w:r>
      <w:r w:rsidRPr="00893DC6">
        <w:rPr>
          <w:rStyle w:val="af7"/>
          <w:rFonts w:eastAsia="Guttman Hodes" w:hint="cs"/>
        </w:rPr>
        <w:instrText>Ref522187774 \r \h</w:instrText>
      </w:r>
      <w:r w:rsidRPr="00893DC6">
        <w:rPr>
          <w:rStyle w:val="af7"/>
          <w:rFonts w:eastAsia="Guttman Hodes"/>
          <w:rtl/>
        </w:rPr>
        <w:instrText xml:space="preserve"> </w:instrText>
      </w:r>
      <w:r w:rsidRPr="00893DC6">
        <w:rPr>
          <w:rStyle w:val="af7"/>
          <w:rFonts w:eastAsia="Guttman Hodes"/>
          <w:rtl/>
        </w:rPr>
      </w:r>
      <w:r w:rsidRPr="00893DC6">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893DC6">
        <w:rPr>
          <w:rStyle w:val="af7"/>
          <w:rFonts w:eastAsia="Guttman Hodes"/>
          <w:rtl/>
        </w:rPr>
        <w:fldChar w:fldCharType="end"/>
      </w:r>
      <w:r>
        <w:rPr>
          <w:rFonts w:hint="cs"/>
          <w:rtl/>
        </w:rPr>
        <w:t xml:space="preserve"> ד</w:t>
      </w:r>
      <w:r>
        <w:rPr>
          <w:rtl/>
        </w:rPr>
        <w:t xml:space="preserve">בספק צרת ערוה </w:t>
      </w:r>
      <w:r>
        <w:rPr>
          <w:rFonts w:hint="cs"/>
          <w:rtl/>
        </w:rPr>
        <w:t xml:space="preserve">נימא דמחזיקין מאיסור לאיסור כמו </w:t>
      </w:r>
      <w:r>
        <w:rPr>
          <w:rtl/>
        </w:rPr>
        <w:t>בספק בשחיטה</w:t>
      </w:r>
      <w:r>
        <w:rPr>
          <w:rFonts w:hint="cs"/>
          <w:rtl/>
        </w:rPr>
        <w:t xml:space="preserve">, והקשה </w:t>
      </w:r>
      <w:r w:rsidRPr="004D4B52">
        <w:rPr>
          <w:rStyle w:val="af9"/>
          <w:rFonts w:hint="cs"/>
          <w:rtl/>
        </w:rPr>
        <w:t>השער"י</w:t>
      </w:r>
      <w:r>
        <w:rPr>
          <w:rFonts w:hint="cs"/>
          <w:rtl/>
        </w:rPr>
        <w:t xml:space="preserve"> דהא דאמר רבה דהאשה בחזקת היתר היינו שבחיי הבעל יש לה חזקה שתהיה מותרת לשוק לאחר שימות הבעל, וא"כ אי"ז שייך כלל לדין מחזיקין מאיסור לאיסור, </w:t>
      </w:r>
      <w:r>
        <w:rPr>
          <w:rtl/>
        </w:rPr>
        <w:t>דבספק צרת ערוה</w:t>
      </w:r>
      <w:r>
        <w:rPr>
          <w:rFonts w:hint="cs"/>
          <w:rtl/>
        </w:rPr>
        <w:t xml:space="preserve"> החזקה היא שהאיסור הראשון שהיה עליה מחיים יהיה מותר לאחר מיתת הבעל, ואילו </w:t>
      </w:r>
      <w:r>
        <w:rPr>
          <w:rtl/>
        </w:rPr>
        <w:t>בספק בשחיטה</w:t>
      </w:r>
      <w:r>
        <w:rPr>
          <w:rFonts w:hint="cs"/>
          <w:rtl/>
        </w:rPr>
        <w:t xml:space="preserve"> הנדון הוא ליהפך דהוחזקה מחיים שתהיה אסורה במיתתה.</w:t>
      </w:r>
    </w:p>
    <w:p w14:paraId="03F2448E" w14:textId="77777777" w:rsidR="00852065" w:rsidRDefault="00852065" w:rsidP="006D6D32">
      <w:pPr>
        <w:pStyle w:val="a3"/>
        <w:rPr>
          <w:rtl/>
        </w:rPr>
      </w:pPr>
      <w:bookmarkStart w:id="1381" w:name="_Toc522200217"/>
      <w:bookmarkStart w:id="1382" w:name="_Toc19389101"/>
      <w:bookmarkStart w:id="1383" w:name="_Toc19392598"/>
      <w:r>
        <w:rPr>
          <w:rFonts w:hint="cs"/>
          <w:rtl/>
        </w:rPr>
        <w:t>ביאור השער"י בקושית הרשב"א דמהא דמחזיקין מאל"א מוכח דא"א לומר כחזקה דרבה</w:t>
      </w:r>
      <w:bookmarkEnd w:id="1381"/>
      <w:bookmarkEnd w:id="1382"/>
      <w:bookmarkEnd w:id="1383"/>
      <w:r>
        <w:rPr>
          <w:rFonts w:hint="cs"/>
          <w:rtl/>
        </w:rPr>
        <w:t xml:space="preserve"> </w:t>
      </w:r>
    </w:p>
    <w:p w14:paraId="003CAEB1" w14:textId="77777777" w:rsidR="00852065" w:rsidRDefault="00852065" w:rsidP="00223668">
      <w:pPr>
        <w:pStyle w:val="a0"/>
        <w:rPr>
          <w:rtl/>
        </w:rPr>
      </w:pPr>
      <w:bookmarkStart w:id="1384" w:name="_Ref521576959"/>
      <w:r>
        <w:rPr>
          <w:rFonts w:hint="cs"/>
          <w:rtl/>
        </w:rPr>
        <w:t xml:space="preserve">וביאר </w:t>
      </w:r>
      <w:r w:rsidRPr="00D97899">
        <w:rPr>
          <w:rStyle w:val="af9"/>
          <w:rFonts w:hint="cs"/>
          <w:rtl/>
        </w:rPr>
        <w:t>השער"י</w:t>
      </w:r>
      <w:r>
        <w:rPr>
          <w:rFonts w:hint="cs"/>
          <w:rtl/>
        </w:rPr>
        <w:t xml:space="preserve"> דכוונת </w:t>
      </w:r>
      <w:r w:rsidRPr="00D97899">
        <w:rPr>
          <w:rStyle w:val="af9"/>
          <w:rFonts w:hint="cs"/>
          <w:rtl/>
        </w:rPr>
        <w:t>הרשב"א</w:t>
      </w:r>
      <w:r>
        <w:rPr>
          <w:rFonts w:hint="cs"/>
          <w:rtl/>
        </w:rPr>
        <w:t xml:space="preserve"> להקשות על דברי רבה ביבמות דאמר דשייך להחזיקה מחיים בחזקת היתר לאחר מיתה, דע"י שעומדת להיות מותרת במיתת הבעל חשיב שיש לה כבר חזקת היתר, דבסוגיין מוכח דא"א לומר כן דאי מחזיקין מאיסור לאיסור, מוכח שלא אמרינן דכל שעומדת סיבת האיסור להתבטל יש לה מעכשיו חזקה שתהיה מותרת לאחר מיתה, אלא להיפך דמחזיקין אותה בחזקת האיסור שהייתה בו, ועמ"ש </w:t>
      </w:r>
      <w:r w:rsidRPr="0012432E">
        <w:rPr>
          <w:rStyle w:val="af9"/>
          <w:rFonts w:hint="cs"/>
          <w:rtl/>
        </w:rPr>
        <w:t>הגרש"ר</w:t>
      </w:r>
      <w:r>
        <w:rPr>
          <w:rFonts w:hint="cs"/>
          <w:rtl/>
        </w:rPr>
        <w:t xml:space="preserve"> </w:t>
      </w:r>
      <w:r w:rsidRPr="00780C47">
        <w:rPr>
          <w:rStyle w:val="af7"/>
          <w:rFonts w:eastAsia="Guttman Hodes" w:hint="cs"/>
          <w:rtl/>
        </w:rPr>
        <w:t xml:space="preserve">(עי' אות </w:t>
      </w:r>
      <w:r w:rsidRPr="00780C47">
        <w:rPr>
          <w:rStyle w:val="af7"/>
          <w:rFonts w:eastAsia="Guttman Hodes"/>
          <w:rtl/>
        </w:rPr>
        <w:fldChar w:fldCharType="begin"/>
      </w:r>
      <w:r w:rsidRPr="00780C47">
        <w:rPr>
          <w:rStyle w:val="af7"/>
          <w:rFonts w:eastAsia="Guttman Hodes"/>
          <w:rtl/>
        </w:rPr>
        <w:instrText xml:space="preserve"> </w:instrText>
      </w:r>
      <w:r w:rsidRPr="00780C47">
        <w:rPr>
          <w:rStyle w:val="af7"/>
          <w:rFonts w:eastAsia="Guttman Hodes" w:hint="cs"/>
        </w:rPr>
        <w:instrText>REF</w:instrText>
      </w:r>
      <w:r w:rsidRPr="00780C47">
        <w:rPr>
          <w:rStyle w:val="af7"/>
          <w:rFonts w:eastAsia="Guttman Hodes" w:hint="cs"/>
          <w:rtl/>
        </w:rPr>
        <w:instrText xml:space="preserve"> _</w:instrText>
      </w:r>
      <w:r w:rsidRPr="00780C47">
        <w:rPr>
          <w:rStyle w:val="af7"/>
          <w:rFonts w:eastAsia="Guttman Hodes" w:hint="cs"/>
        </w:rPr>
        <w:instrText>Ref521576916 \r \h</w:instrText>
      </w:r>
      <w:r w:rsidRPr="00780C47">
        <w:rPr>
          <w:rStyle w:val="af7"/>
          <w:rFonts w:eastAsia="Guttman Hodes"/>
          <w:rtl/>
        </w:rPr>
        <w:instrText xml:space="preserve"> </w:instrText>
      </w:r>
      <w:r w:rsidRPr="00780C47">
        <w:rPr>
          <w:rStyle w:val="af7"/>
          <w:rFonts w:eastAsia="Guttman Hodes"/>
          <w:rtl/>
        </w:rPr>
      </w:r>
      <w:r w:rsidRPr="00780C47">
        <w:rPr>
          <w:rStyle w:val="af7"/>
          <w:rFonts w:eastAsia="Guttman Hodes"/>
          <w:rtl/>
        </w:rPr>
        <w:fldChar w:fldCharType="separate"/>
      </w:r>
      <w:r w:rsidR="00345400">
        <w:rPr>
          <w:rStyle w:val="af7"/>
          <w:rFonts w:eastAsia="Guttman Hodes"/>
          <w:cs/>
        </w:rPr>
        <w:t>‎</w:t>
      </w:r>
      <w:r w:rsidR="00345400">
        <w:rPr>
          <w:rStyle w:val="af7"/>
          <w:rFonts w:eastAsia="Guttman Hodes"/>
          <w:rtl/>
        </w:rPr>
        <w:t>קי)</w:t>
      </w:r>
      <w:r w:rsidRPr="00780C47">
        <w:rPr>
          <w:rStyle w:val="af7"/>
          <w:rFonts w:eastAsia="Guttman Hodes"/>
          <w:rtl/>
        </w:rPr>
        <w:fldChar w:fldCharType="end"/>
      </w:r>
      <w:r>
        <w:rPr>
          <w:rFonts w:hint="cs"/>
          <w:rtl/>
        </w:rPr>
        <w:t xml:space="preserve"> בזה.</w:t>
      </w:r>
      <w:bookmarkEnd w:id="1384"/>
    </w:p>
    <w:p w14:paraId="33066B22" w14:textId="77777777" w:rsidR="00852065" w:rsidRDefault="00852065" w:rsidP="006D6D32">
      <w:pPr>
        <w:pStyle w:val="a3"/>
        <w:rPr>
          <w:rtl/>
        </w:rPr>
      </w:pPr>
      <w:bookmarkStart w:id="1385" w:name="_Toc522200218"/>
      <w:bookmarkStart w:id="1386" w:name="_Toc19389102"/>
      <w:bookmarkStart w:id="1387" w:name="_Toc19392599"/>
      <w:r>
        <w:rPr>
          <w:rFonts w:hint="cs"/>
          <w:rtl/>
        </w:rPr>
        <w:t>ביאור השער"י בתירוץ הרשב"א דאיסור נבילה בא ממילא ובצר"ע יש סיבה ודאית להיתר</w:t>
      </w:r>
      <w:bookmarkEnd w:id="1385"/>
      <w:bookmarkEnd w:id="1386"/>
      <w:bookmarkEnd w:id="1387"/>
    </w:p>
    <w:p w14:paraId="1848BEFD" w14:textId="77777777" w:rsidR="00852065" w:rsidRDefault="00852065" w:rsidP="00223668">
      <w:pPr>
        <w:pStyle w:val="a0"/>
        <w:rPr>
          <w:rtl/>
        </w:rPr>
      </w:pPr>
      <w:bookmarkStart w:id="1388" w:name="_Ref520231408"/>
      <w:r>
        <w:rPr>
          <w:rFonts w:hint="cs"/>
          <w:rtl/>
        </w:rPr>
        <w:t xml:space="preserve">ובתירוץ </w:t>
      </w:r>
      <w:r w:rsidRPr="00EC7882">
        <w:rPr>
          <w:rStyle w:val="af9"/>
          <w:rFonts w:hint="cs"/>
          <w:rtl/>
        </w:rPr>
        <w:t xml:space="preserve">הרשב"א </w:t>
      </w:r>
      <w:r w:rsidRPr="00AC4724">
        <w:rPr>
          <w:rStyle w:val="af7"/>
          <w:rFonts w:eastAsia="Guttman Hodes" w:hint="cs"/>
          <w:rtl/>
        </w:rPr>
        <w:t xml:space="preserve">(עי' אות </w:t>
      </w:r>
      <w:r w:rsidRPr="00AC4724">
        <w:rPr>
          <w:rStyle w:val="af7"/>
          <w:rFonts w:eastAsia="Guttman Hodes"/>
          <w:rtl/>
        </w:rPr>
        <w:fldChar w:fldCharType="begin"/>
      </w:r>
      <w:r w:rsidRPr="00AC4724">
        <w:rPr>
          <w:rStyle w:val="af7"/>
          <w:rFonts w:eastAsia="Guttman Hodes"/>
          <w:rtl/>
        </w:rPr>
        <w:instrText xml:space="preserve"> </w:instrText>
      </w:r>
      <w:r w:rsidRPr="00AC4724">
        <w:rPr>
          <w:rStyle w:val="af7"/>
          <w:rFonts w:eastAsia="Guttman Hodes" w:hint="cs"/>
        </w:rPr>
        <w:instrText>REF</w:instrText>
      </w:r>
      <w:r w:rsidRPr="00AC4724">
        <w:rPr>
          <w:rStyle w:val="af7"/>
          <w:rFonts w:eastAsia="Guttman Hodes" w:hint="cs"/>
          <w:rtl/>
        </w:rPr>
        <w:instrText xml:space="preserve"> _</w:instrText>
      </w:r>
      <w:r w:rsidRPr="00AC4724">
        <w:rPr>
          <w:rStyle w:val="af7"/>
          <w:rFonts w:eastAsia="Guttman Hodes" w:hint="cs"/>
        </w:rPr>
        <w:instrText>Ref522187437 \r \h</w:instrText>
      </w:r>
      <w:r w:rsidRPr="00AC4724">
        <w:rPr>
          <w:rStyle w:val="af7"/>
          <w:rFonts w:eastAsia="Guttman Hodes"/>
          <w:rtl/>
        </w:rPr>
        <w:instrText xml:space="preserve"> </w:instrText>
      </w:r>
      <w:r w:rsidRPr="00AC4724">
        <w:rPr>
          <w:rStyle w:val="af7"/>
          <w:rFonts w:eastAsia="Guttman Hodes"/>
          <w:rtl/>
        </w:rPr>
      </w:r>
      <w:r w:rsidRPr="00AC4724">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sidRPr="00AC4724">
        <w:rPr>
          <w:rStyle w:val="af7"/>
          <w:rFonts w:eastAsia="Guttman Hodes"/>
          <w:rtl/>
        </w:rPr>
        <w:fldChar w:fldCharType="end"/>
      </w:r>
      <w:r>
        <w:rPr>
          <w:rFonts w:hint="cs"/>
          <w:rtl/>
        </w:rPr>
        <w:t xml:space="preserve"> ביאר </w:t>
      </w:r>
      <w:r w:rsidRPr="00D97899">
        <w:rPr>
          <w:rStyle w:val="af9"/>
          <w:rFonts w:hint="cs"/>
          <w:rtl/>
        </w:rPr>
        <w:t>השער"י</w:t>
      </w:r>
      <w:r>
        <w:rPr>
          <w:rFonts w:hint="cs"/>
          <w:rtl/>
        </w:rPr>
        <w:t xml:space="preserve"> </w:t>
      </w:r>
      <w:r>
        <w:rPr>
          <w:rtl/>
        </w:rPr>
        <w:t>דבספק בשחיטה</w:t>
      </w:r>
      <w:r>
        <w:rPr>
          <w:rFonts w:hint="cs"/>
          <w:rtl/>
        </w:rPr>
        <w:t xml:space="preserve"> האיסור נבילה בא ממילא, דכל שאין כאן מעשה שחיטה היא אסורה, ויש ספק אם היה בה מעשה המכשירה, אבל </w:t>
      </w:r>
      <w:r>
        <w:rPr>
          <w:rtl/>
        </w:rPr>
        <w:t>בספק צרת ערוה</w:t>
      </w:r>
      <w:r>
        <w:rPr>
          <w:rFonts w:hint="cs"/>
          <w:rtl/>
        </w:rPr>
        <w:t xml:space="preserve"> הסיבה המתרת היא ודאית דקברו של הבעל, מוכיח שהיא מותרת.</w:t>
      </w:r>
      <w:bookmarkEnd w:id="1388"/>
    </w:p>
    <w:p w14:paraId="39D3A449" w14:textId="77777777" w:rsidR="00852065" w:rsidRPr="00D97899" w:rsidRDefault="00852065" w:rsidP="006D6D32">
      <w:pPr>
        <w:pStyle w:val="a3"/>
      </w:pPr>
      <w:bookmarkStart w:id="1389" w:name="_Toc522200219"/>
      <w:bookmarkStart w:id="1390" w:name="_Toc19389103"/>
      <w:bookmarkStart w:id="1391" w:name="_Toc19392600"/>
      <w:r>
        <w:rPr>
          <w:rFonts w:hint="cs"/>
          <w:rtl/>
        </w:rPr>
        <w:t>ביאור השער"י בדברי הרשב"א דאי הייתה מותרת מחיים חשיב ספק בסיבת האיסור</w:t>
      </w:r>
      <w:bookmarkEnd w:id="1389"/>
      <w:bookmarkEnd w:id="1390"/>
      <w:bookmarkEnd w:id="1391"/>
    </w:p>
    <w:p w14:paraId="07525D17" w14:textId="77777777" w:rsidR="00852065" w:rsidRDefault="00852065" w:rsidP="00223668">
      <w:pPr>
        <w:pStyle w:val="a0"/>
        <w:rPr>
          <w:rtl/>
        </w:rPr>
      </w:pPr>
      <w:bookmarkStart w:id="1392" w:name="_Ref522199882"/>
      <w:r>
        <w:rPr>
          <w:rFonts w:hint="cs"/>
          <w:rtl/>
        </w:rPr>
        <w:t xml:space="preserve">ובמה שכתב </w:t>
      </w:r>
      <w:r w:rsidRPr="00D97899">
        <w:rPr>
          <w:rStyle w:val="af9"/>
          <w:rFonts w:hint="cs"/>
          <w:rtl/>
        </w:rPr>
        <w:t>הרשב"א</w:t>
      </w:r>
      <w:r>
        <w:rPr>
          <w:rFonts w:hint="cs"/>
          <w:rtl/>
        </w:rPr>
        <w:t xml:space="preserve"> דהבהמה אסורה כבר מחיים, ביאר </w:t>
      </w:r>
      <w:r w:rsidRPr="00D97899">
        <w:rPr>
          <w:rStyle w:val="af9"/>
          <w:rFonts w:hint="cs"/>
          <w:rtl/>
        </w:rPr>
        <w:t>השער"י</w:t>
      </w:r>
      <w:r>
        <w:rPr>
          <w:rFonts w:hint="cs"/>
          <w:rtl/>
        </w:rPr>
        <w:t xml:space="preserve"> דכוונתו לומר דאם מחיים הייתה מותרת והמיתה הייתה מחדשת בה איסור, א"כ כשנולד ספק אם מתה או נשחטה כראוי, חשיב שיש ספק בסיבה שאוסרת אותה, אבל כיון שבין מחיים ובין לאחר מיתה היא אסורה, ורק אם נתחדש בה מעשה שחיטה שמתיר אותה היא מותרת, לכן חשיב שיש ודאי סיבת איסור וספק סיבת היתר, ולכן בחזקת איסור עומדת</w:t>
      </w:r>
      <w:r>
        <w:rPr>
          <w:rStyle w:val="af1"/>
          <w:rtl/>
        </w:rPr>
        <w:footnoteReference w:id="8"/>
      </w:r>
      <w:r>
        <w:rPr>
          <w:rFonts w:hint="cs"/>
          <w:rtl/>
        </w:rPr>
        <w:t>.</w:t>
      </w:r>
      <w:bookmarkEnd w:id="1392"/>
    </w:p>
    <w:p w14:paraId="7DC9E34A" w14:textId="77777777" w:rsidR="00852065" w:rsidRDefault="00852065" w:rsidP="00BF39B2">
      <w:pPr>
        <w:pStyle w:val="1"/>
        <w:rPr>
          <w:rtl/>
        </w:rPr>
      </w:pPr>
      <w:bookmarkStart w:id="1393" w:name="_Toc522200220"/>
      <w:bookmarkStart w:id="1394" w:name="_Toc19389104"/>
      <w:bookmarkStart w:id="1395" w:name="_Toc19392601"/>
      <w:r>
        <w:rPr>
          <w:rFonts w:hint="cs"/>
          <w:rtl/>
        </w:rPr>
        <w:t>דברי השער"י בדין חזקה דרבה בשחיטה ובצר"ע</w:t>
      </w:r>
      <w:bookmarkEnd w:id="1393"/>
      <w:bookmarkEnd w:id="1394"/>
      <w:bookmarkEnd w:id="1395"/>
    </w:p>
    <w:p w14:paraId="452186F8" w14:textId="77777777" w:rsidR="00852065" w:rsidRDefault="00852065" w:rsidP="006D6D32">
      <w:pPr>
        <w:pStyle w:val="a3"/>
      </w:pPr>
      <w:bookmarkStart w:id="1396" w:name="_Toc522200221"/>
      <w:bookmarkStart w:id="1397" w:name="_Toc19389105"/>
      <w:bookmarkStart w:id="1398" w:name="_Toc19392602"/>
      <w:r>
        <w:rPr>
          <w:rFonts w:hint="cs"/>
          <w:rtl/>
        </w:rPr>
        <w:t>דברי השער"י דעצם הנדון אי מחזיקין מאל"א אינו שייך בדין צרת ערוה כלל</w:t>
      </w:r>
      <w:bookmarkEnd w:id="1396"/>
      <w:bookmarkEnd w:id="1397"/>
      <w:bookmarkEnd w:id="1398"/>
    </w:p>
    <w:p w14:paraId="32439FF3" w14:textId="77777777" w:rsidR="00852065" w:rsidRDefault="00852065" w:rsidP="00223668">
      <w:pPr>
        <w:pStyle w:val="a0"/>
        <w:rPr>
          <w:rtl/>
        </w:rPr>
      </w:pPr>
      <w:r>
        <w:rPr>
          <w:rFonts w:hint="cs"/>
          <w:rtl/>
        </w:rPr>
        <w:t xml:space="preserve">עוד </w:t>
      </w:r>
      <w:r w:rsidRPr="00362243">
        <w:rPr>
          <w:rFonts w:hint="cs"/>
          <w:rtl/>
        </w:rPr>
        <w:t xml:space="preserve">כתב </w:t>
      </w:r>
      <w:r w:rsidRPr="003D34A7">
        <w:rPr>
          <w:rStyle w:val="af9"/>
          <w:rFonts w:hint="cs"/>
          <w:rtl/>
        </w:rPr>
        <w:t>השער"י</w:t>
      </w:r>
      <w:r w:rsidRPr="00362243">
        <w:rPr>
          <w:rFonts w:hint="cs"/>
          <w:rtl/>
        </w:rPr>
        <w:t xml:space="preserve"> </w:t>
      </w:r>
      <w:r w:rsidRPr="003D34A7">
        <w:rPr>
          <w:rStyle w:val="af7"/>
          <w:rFonts w:eastAsia="Guttman Hodes" w:hint="cs"/>
          <w:rtl/>
        </w:rPr>
        <w:t>(שער החזקות פ"כ)</w:t>
      </w:r>
      <w:r w:rsidRPr="00362243">
        <w:rPr>
          <w:rFonts w:hint="cs"/>
          <w:rtl/>
        </w:rPr>
        <w:t xml:space="preserve"> דמהגמ' ביבמות </w:t>
      </w:r>
      <w:r w:rsidRPr="003D34A7">
        <w:rPr>
          <w:rStyle w:val="af7"/>
          <w:rFonts w:eastAsia="Guttman Hodes" w:hint="cs"/>
          <w:rtl/>
        </w:rPr>
        <w:t>(ל:)</w:t>
      </w:r>
      <w:r w:rsidRPr="00362243">
        <w:rPr>
          <w:rFonts w:hint="cs"/>
          <w:rtl/>
        </w:rPr>
        <w:t xml:space="preserve"> אין כל ראיה ל</w:t>
      </w:r>
      <w:r>
        <w:rPr>
          <w:rFonts w:hint="cs"/>
          <w:rtl/>
        </w:rPr>
        <w:t>עצם ה</w:t>
      </w:r>
      <w:r w:rsidRPr="00362243">
        <w:rPr>
          <w:rFonts w:hint="cs"/>
          <w:rtl/>
        </w:rPr>
        <w:t>נדון אם מחזיקין מאיסור לאיסור, דהנדון אם מחזיקין מאיסור לאיסור הוא האם אחר שנסתלק האיסור הראשון</w:t>
      </w:r>
      <w:r>
        <w:rPr>
          <w:rFonts w:hint="cs"/>
          <w:rtl/>
        </w:rPr>
        <w:t>,</w:t>
      </w:r>
      <w:r w:rsidRPr="00362243">
        <w:rPr>
          <w:rFonts w:hint="cs"/>
          <w:rtl/>
        </w:rPr>
        <w:t xml:space="preserve"> אפשר להעמידה בחזקת איסור</w:t>
      </w:r>
      <w:r>
        <w:rPr>
          <w:rFonts w:hint="cs"/>
          <w:rtl/>
        </w:rPr>
        <w:t>,</w:t>
      </w:r>
      <w:r w:rsidRPr="00362243">
        <w:rPr>
          <w:rFonts w:hint="cs"/>
          <w:rtl/>
        </w:rPr>
        <w:t xml:space="preserve"> מחמת איסור שנתחדש בה ולא היה עד עכשיו, מאיסור ישן לאיסור חדש, או כשנתחלף שם האיסור, ובנדון זה אין כל ראיה מהגמ' שם, דמ"מ כיון שהיה מתחילה איסור חשיב שמוחזקת בחזקת איסור.</w:t>
      </w:r>
    </w:p>
    <w:p w14:paraId="675C0E88" w14:textId="77777777" w:rsidR="00852065" w:rsidRDefault="00852065" w:rsidP="006D6D32">
      <w:pPr>
        <w:pStyle w:val="a3"/>
        <w:rPr>
          <w:rtl/>
        </w:rPr>
      </w:pPr>
      <w:bookmarkStart w:id="1399" w:name="_Toc522200222"/>
    </w:p>
    <w:p w14:paraId="51A66EC4" w14:textId="77777777" w:rsidR="00852065" w:rsidRPr="00CA5AB7" w:rsidRDefault="00852065" w:rsidP="006D6D32">
      <w:pPr>
        <w:pStyle w:val="a3"/>
      </w:pPr>
      <w:bookmarkStart w:id="1400" w:name="_Toc19389106"/>
      <w:bookmarkStart w:id="1401" w:name="_Toc19392603"/>
      <w:r>
        <w:rPr>
          <w:rFonts w:hint="cs"/>
          <w:rtl/>
        </w:rPr>
        <w:t>דברי השער"י דבחזקה דרבה מבואר דלא שייך להחזיק מאל"א דהיא בחזקת היתר</w:t>
      </w:r>
      <w:bookmarkEnd w:id="1399"/>
      <w:bookmarkEnd w:id="1400"/>
      <w:bookmarkEnd w:id="1401"/>
    </w:p>
    <w:p w14:paraId="78F43C9A" w14:textId="77777777" w:rsidR="00852065" w:rsidRDefault="00852065" w:rsidP="00223668">
      <w:pPr>
        <w:pStyle w:val="a0"/>
        <w:rPr>
          <w:rtl/>
        </w:rPr>
      </w:pPr>
      <w:r>
        <w:rPr>
          <w:rFonts w:hint="cs"/>
          <w:rtl/>
        </w:rPr>
        <w:t xml:space="preserve">וביאר </w:t>
      </w:r>
      <w:r w:rsidRPr="00FA174C">
        <w:rPr>
          <w:rStyle w:val="af9"/>
          <w:rFonts w:hint="cs"/>
          <w:rtl/>
        </w:rPr>
        <w:t>השער"י</w:t>
      </w:r>
      <w:r>
        <w:rPr>
          <w:rFonts w:hint="cs"/>
          <w:rtl/>
        </w:rPr>
        <w:t xml:space="preserve"> דמ"מ מדברי רבה מבואר שאין כל נ"מ אי מחזיקין מאיסור לאיסור, </w:t>
      </w:r>
      <w:r w:rsidRPr="00362243">
        <w:rPr>
          <w:rFonts w:hint="cs"/>
          <w:rtl/>
        </w:rPr>
        <w:t xml:space="preserve">דכיון דאמר רבה דמחמת שמחיים </w:t>
      </w:r>
      <w:r>
        <w:rPr>
          <w:rFonts w:hint="cs"/>
          <w:rtl/>
        </w:rPr>
        <w:t xml:space="preserve">הייתה עומדת להיות מותרת לאחר מיתה, חשיב שמחיים </w:t>
      </w:r>
      <w:r w:rsidRPr="00362243">
        <w:rPr>
          <w:rFonts w:hint="cs"/>
          <w:rtl/>
        </w:rPr>
        <w:t>היה לה חזקת היתר לשוק</w:t>
      </w:r>
      <w:r>
        <w:rPr>
          <w:rFonts w:hint="cs"/>
          <w:rtl/>
        </w:rPr>
        <w:t xml:space="preserve"> לכשימות הבעל, א"</w:t>
      </w:r>
      <w:r w:rsidRPr="00883F36">
        <w:rPr>
          <w:rFonts w:hint="cs"/>
          <w:rtl/>
        </w:rPr>
        <w:t xml:space="preserve">כ לא שייך כלל נדון להחזיק מאיסור לאסור דאדרבה היא עומדת בחזקת היתר לשיסתלק האיסור הראשון, ולכן ביאר </w:t>
      </w:r>
      <w:r w:rsidRPr="00883F36">
        <w:rPr>
          <w:rStyle w:val="af9"/>
          <w:rFonts w:hint="cs"/>
          <w:rtl/>
        </w:rPr>
        <w:t>הרשב"א ביבמות</w:t>
      </w:r>
      <w:r w:rsidRPr="00883F36">
        <w:rPr>
          <w:rFonts w:hint="cs"/>
          <w:rtl/>
        </w:rPr>
        <w:t xml:space="preserve"> </w:t>
      </w:r>
      <w:r w:rsidRPr="00883F36">
        <w:rPr>
          <w:rStyle w:val="af7"/>
          <w:rFonts w:eastAsia="Guttman Hodes" w:hint="cs"/>
          <w:rtl/>
        </w:rPr>
        <w:t xml:space="preserve">(עי' אות </w:t>
      </w:r>
      <w:r w:rsidRPr="00883F36">
        <w:rPr>
          <w:rStyle w:val="af7"/>
          <w:rFonts w:eastAsia="Guttman Hodes"/>
          <w:rtl/>
        </w:rPr>
        <w:fldChar w:fldCharType="begin"/>
      </w:r>
      <w:r w:rsidRPr="00883F36">
        <w:rPr>
          <w:rStyle w:val="af7"/>
          <w:rFonts w:eastAsia="Guttman Hodes"/>
          <w:rtl/>
        </w:rPr>
        <w:instrText xml:space="preserve"> </w:instrText>
      </w:r>
      <w:r w:rsidRPr="00883F36">
        <w:rPr>
          <w:rStyle w:val="af7"/>
          <w:rFonts w:eastAsia="Guttman Hodes" w:hint="cs"/>
        </w:rPr>
        <w:instrText>REF</w:instrText>
      </w:r>
      <w:r w:rsidRPr="00883F36">
        <w:rPr>
          <w:rStyle w:val="af7"/>
          <w:rFonts w:eastAsia="Guttman Hodes" w:hint="cs"/>
          <w:rtl/>
        </w:rPr>
        <w:instrText xml:space="preserve"> _</w:instrText>
      </w:r>
      <w:r w:rsidRPr="00883F36">
        <w:rPr>
          <w:rStyle w:val="af7"/>
          <w:rFonts w:eastAsia="Guttman Hodes" w:hint="cs"/>
        </w:rPr>
        <w:instrText>Ref520231408 \r \h</w:instrText>
      </w:r>
      <w:r w:rsidRPr="00883F36">
        <w:rPr>
          <w:rStyle w:val="af7"/>
          <w:rFonts w:eastAsia="Guttman Hodes"/>
          <w:rtl/>
        </w:rPr>
        <w:instrText xml:space="preserve"> </w:instrText>
      </w:r>
      <w:r w:rsidRPr="00883F36">
        <w:rPr>
          <w:rStyle w:val="af7"/>
          <w:rFonts w:eastAsia="Guttman Hodes"/>
          <w:rtl/>
        </w:rPr>
      </w:r>
      <w:r w:rsidRPr="00883F36">
        <w:rPr>
          <w:rStyle w:val="af7"/>
          <w:rFonts w:eastAsia="Guttman Hodes"/>
          <w:rtl/>
        </w:rPr>
        <w:fldChar w:fldCharType="separate"/>
      </w:r>
      <w:r w:rsidR="00345400">
        <w:rPr>
          <w:rStyle w:val="af7"/>
          <w:rFonts w:eastAsia="Guttman Hodes"/>
          <w:cs/>
        </w:rPr>
        <w:t>‎</w:t>
      </w:r>
      <w:r w:rsidR="00345400">
        <w:rPr>
          <w:rStyle w:val="af7"/>
          <w:rFonts w:eastAsia="Guttman Hodes"/>
          <w:rtl/>
        </w:rPr>
        <w:t>עא)</w:t>
      </w:r>
      <w:r w:rsidRPr="00883F36">
        <w:rPr>
          <w:rStyle w:val="af7"/>
          <w:rFonts w:eastAsia="Guttman Hodes"/>
          <w:rtl/>
        </w:rPr>
        <w:fldChar w:fldCharType="end"/>
      </w:r>
      <w:r w:rsidRPr="00883F36">
        <w:rPr>
          <w:rFonts w:hint="cs"/>
          <w:rtl/>
        </w:rPr>
        <w:t xml:space="preserve"> דבסוגיין</w:t>
      </w:r>
      <w:r>
        <w:rPr>
          <w:rFonts w:hint="cs"/>
          <w:rtl/>
        </w:rPr>
        <w:t xml:space="preserve"> לא דמי לרבה כלל, ולכן בסוגיין אמרינן דמחזיקין מאיסור לאיסור, ובנדון בגמ' ביבמות היא בחזקת היתר.</w:t>
      </w:r>
    </w:p>
    <w:p w14:paraId="4CC5D342" w14:textId="77777777" w:rsidR="00852065" w:rsidRDefault="00852065" w:rsidP="006D6D32">
      <w:pPr>
        <w:pStyle w:val="a3"/>
        <w:rPr>
          <w:rtl/>
        </w:rPr>
      </w:pPr>
      <w:bookmarkStart w:id="1402" w:name="_Toc522200223"/>
      <w:bookmarkStart w:id="1403" w:name="_Toc19389107"/>
      <w:bookmarkStart w:id="1404" w:name="_Toc19392604"/>
      <w:r>
        <w:rPr>
          <w:rFonts w:hint="cs"/>
          <w:rtl/>
        </w:rPr>
        <w:t>דחיית השער"י דברשב"א מבואר דהנדון בגמ' ביבמות הוא בדין מחזיקין מאל"א</w:t>
      </w:r>
      <w:bookmarkEnd w:id="1402"/>
      <w:bookmarkEnd w:id="1403"/>
      <w:bookmarkEnd w:id="1404"/>
    </w:p>
    <w:p w14:paraId="5C4679CB" w14:textId="77777777" w:rsidR="00852065" w:rsidRDefault="00852065" w:rsidP="00223668">
      <w:pPr>
        <w:pStyle w:val="a0"/>
        <w:rPr>
          <w:rtl/>
        </w:rPr>
      </w:pPr>
      <w:r>
        <w:rPr>
          <w:rFonts w:hint="cs"/>
          <w:rtl/>
        </w:rPr>
        <w:t xml:space="preserve">אך הביא </w:t>
      </w:r>
      <w:r w:rsidRPr="00DE40A9">
        <w:rPr>
          <w:rStyle w:val="af9"/>
          <w:rFonts w:hint="cs"/>
          <w:rtl/>
        </w:rPr>
        <w:t>השער"י</w:t>
      </w:r>
      <w:r>
        <w:rPr>
          <w:rFonts w:hint="cs"/>
          <w:rtl/>
        </w:rPr>
        <w:t xml:space="preserve"> את דברי </w:t>
      </w:r>
      <w:r w:rsidRPr="00DE40A9">
        <w:rPr>
          <w:rStyle w:val="af9"/>
          <w:rFonts w:hint="cs"/>
          <w:rtl/>
        </w:rPr>
        <w:t>הרשב"א בסוגיין</w:t>
      </w:r>
      <w:r>
        <w:rPr>
          <w:rFonts w:hint="cs"/>
          <w:rtl/>
        </w:rPr>
        <w:t xml:space="preserve"> </w:t>
      </w:r>
      <w:r w:rsidRPr="00750EAE">
        <w:rPr>
          <w:rStyle w:val="af7"/>
          <w:rFonts w:eastAsia="Guttman Hodes" w:hint="cs"/>
          <w:rtl/>
        </w:rPr>
        <w:t xml:space="preserve">(עי' אות </w:t>
      </w:r>
      <w:r w:rsidRPr="00750EAE">
        <w:rPr>
          <w:rStyle w:val="af7"/>
          <w:rFonts w:eastAsia="Guttman Hodes"/>
          <w:rtl/>
        </w:rPr>
        <w:fldChar w:fldCharType="begin"/>
      </w:r>
      <w:r w:rsidRPr="00750EAE">
        <w:rPr>
          <w:rStyle w:val="af7"/>
          <w:rFonts w:eastAsia="Guttman Hodes"/>
          <w:rtl/>
        </w:rPr>
        <w:instrText xml:space="preserve"> </w:instrText>
      </w:r>
      <w:r w:rsidRPr="00750EAE">
        <w:rPr>
          <w:rStyle w:val="af7"/>
          <w:rFonts w:eastAsia="Guttman Hodes" w:hint="cs"/>
        </w:rPr>
        <w:instrText>REF</w:instrText>
      </w:r>
      <w:r w:rsidRPr="00750EAE">
        <w:rPr>
          <w:rStyle w:val="af7"/>
          <w:rFonts w:eastAsia="Guttman Hodes" w:hint="cs"/>
          <w:rtl/>
        </w:rPr>
        <w:instrText xml:space="preserve"> _</w:instrText>
      </w:r>
      <w:r w:rsidRPr="00750EAE">
        <w:rPr>
          <w:rStyle w:val="af7"/>
          <w:rFonts w:eastAsia="Guttman Hodes" w:hint="cs"/>
        </w:rPr>
        <w:instrText>Ref522187514 \r \h</w:instrText>
      </w:r>
      <w:r w:rsidRPr="00750EAE">
        <w:rPr>
          <w:rStyle w:val="af7"/>
          <w:rFonts w:eastAsia="Guttman Hodes"/>
          <w:rtl/>
        </w:rPr>
        <w:instrText xml:space="preserve"> </w:instrText>
      </w:r>
      <w:r w:rsidRPr="00750EAE">
        <w:rPr>
          <w:rStyle w:val="af7"/>
          <w:rFonts w:eastAsia="Guttman Hodes"/>
          <w:rtl/>
        </w:rPr>
      </w:r>
      <w:r w:rsidRPr="00750EAE">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750EAE">
        <w:rPr>
          <w:rStyle w:val="af7"/>
          <w:rFonts w:eastAsia="Guttman Hodes"/>
          <w:rtl/>
        </w:rPr>
        <w:fldChar w:fldCharType="end"/>
      </w:r>
      <w:r w:rsidRPr="00750EAE">
        <w:rPr>
          <w:rStyle w:val="af7"/>
          <w:rFonts w:eastAsia="Guttman Hodes" w:hint="cs"/>
          <w:rtl/>
        </w:rPr>
        <w:t xml:space="preserve"> </w:t>
      </w:r>
      <w:r>
        <w:rPr>
          <w:rFonts w:hint="cs"/>
          <w:rtl/>
        </w:rPr>
        <w:t xml:space="preserve">דכתב דבגמ' ביבמות </w:t>
      </w:r>
      <w:r w:rsidRPr="00DE40A9">
        <w:rPr>
          <w:rStyle w:val="af7"/>
          <w:rFonts w:eastAsia="Guttman Hodes" w:hint="cs"/>
          <w:rtl/>
        </w:rPr>
        <w:t>(ל:)</w:t>
      </w:r>
      <w:r>
        <w:rPr>
          <w:rFonts w:hint="cs"/>
          <w:rtl/>
        </w:rPr>
        <w:t xml:space="preserve"> משמע </w:t>
      </w:r>
      <w:r w:rsidRPr="00DE40A9">
        <w:rPr>
          <w:rStyle w:val="af9"/>
          <w:rFonts w:hint="cs"/>
          <w:rtl/>
        </w:rPr>
        <w:t>כרש"י</w:t>
      </w:r>
      <w:r>
        <w:rPr>
          <w:rFonts w:hint="cs"/>
          <w:rtl/>
        </w:rPr>
        <w:t xml:space="preserve"> </w:t>
      </w:r>
      <w:r w:rsidRPr="00AC4724">
        <w:rPr>
          <w:rStyle w:val="af7"/>
          <w:rFonts w:eastAsia="Guttman Hodes" w:hint="cs"/>
          <w:rtl/>
        </w:rPr>
        <w:t xml:space="preserve">(עי' אות </w:t>
      </w:r>
      <w:r w:rsidRPr="00AC4724">
        <w:rPr>
          <w:rStyle w:val="af7"/>
          <w:rFonts w:eastAsia="Guttman Hodes"/>
          <w:rtl/>
        </w:rPr>
        <w:fldChar w:fldCharType="begin"/>
      </w:r>
      <w:r w:rsidRPr="00AC4724">
        <w:rPr>
          <w:rStyle w:val="af7"/>
          <w:rFonts w:eastAsia="Guttman Hodes"/>
          <w:rtl/>
        </w:rPr>
        <w:instrText xml:space="preserve"> </w:instrText>
      </w:r>
      <w:r w:rsidRPr="00AC4724">
        <w:rPr>
          <w:rStyle w:val="af7"/>
          <w:rFonts w:eastAsia="Guttman Hodes" w:hint="cs"/>
        </w:rPr>
        <w:instrText>REF</w:instrText>
      </w:r>
      <w:r w:rsidRPr="00AC4724">
        <w:rPr>
          <w:rStyle w:val="af7"/>
          <w:rFonts w:eastAsia="Guttman Hodes" w:hint="cs"/>
          <w:rtl/>
        </w:rPr>
        <w:instrText xml:space="preserve"> _</w:instrText>
      </w:r>
      <w:r w:rsidRPr="00AC4724">
        <w:rPr>
          <w:rStyle w:val="af7"/>
          <w:rFonts w:eastAsia="Guttman Hodes" w:hint="cs"/>
        </w:rPr>
        <w:instrText>Ref522199154 \r \h</w:instrText>
      </w:r>
      <w:r w:rsidRPr="00AC4724">
        <w:rPr>
          <w:rStyle w:val="af7"/>
          <w:rFonts w:eastAsia="Guttman Hodes"/>
          <w:rtl/>
        </w:rPr>
        <w:instrText xml:space="preserve"> </w:instrText>
      </w:r>
      <w:r w:rsidRPr="00AC4724">
        <w:rPr>
          <w:rStyle w:val="af7"/>
          <w:rFonts w:eastAsia="Guttman Hodes"/>
          <w:rtl/>
        </w:rPr>
      </w:r>
      <w:r w:rsidRPr="00AC4724">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AC4724">
        <w:rPr>
          <w:rStyle w:val="af7"/>
          <w:rFonts w:eastAsia="Guttman Hodes"/>
          <w:rtl/>
        </w:rPr>
        <w:fldChar w:fldCharType="end"/>
      </w:r>
      <w:r>
        <w:rPr>
          <w:rFonts w:hint="cs"/>
          <w:rtl/>
        </w:rPr>
        <w:t xml:space="preserve"> דמחזיקין מחזקת איסור אבר מן החי לחזקת נבילה, וציין </w:t>
      </w:r>
      <w:r w:rsidRPr="00DE40A9">
        <w:rPr>
          <w:rStyle w:val="af9"/>
          <w:rFonts w:hint="cs"/>
          <w:rtl/>
        </w:rPr>
        <w:t>הרשב"א</w:t>
      </w:r>
      <w:r>
        <w:rPr>
          <w:rFonts w:hint="cs"/>
          <w:rtl/>
        </w:rPr>
        <w:t xml:space="preserve"> לדבריו ביבמות </w:t>
      </w:r>
      <w:r w:rsidRPr="00750EAE">
        <w:rPr>
          <w:rStyle w:val="af7"/>
          <w:rFonts w:eastAsia="Guttman Hodes" w:hint="cs"/>
          <w:rtl/>
        </w:rPr>
        <w:t xml:space="preserve">(עי' אות </w:t>
      </w:r>
      <w:r w:rsidRPr="00750EAE">
        <w:rPr>
          <w:rStyle w:val="af7"/>
          <w:rFonts w:eastAsia="Guttman Hodes"/>
          <w:rtl/>
        </w:rPr>
        <w:fldChar w:fldCharType="begin"/>
      </w:r>
      <w:r w:rsidRPr="00750EAE">
        <w:rPr>
          <w:rStyle w:val="af7"/>
          <w:rFonts w:eastAsia="Guttman Hodes"/>
          <w:rtl/>
        </w:rPr>
        <w:instrText xml:space="preserve"> </w:instrText>
      </w:r>
      <w:r w:rsidRPr="00750EAE">
        <w:rPr>
          <w:rStyle w:val="af7"/>
          <w:rFonts w:eastAsia="Guttman Hodes" w:hint="cs"/>
        </w:rPr>
        <w:instrText>REF</w:instrText>
      </w:r>
      <w:r w:rsidRPr="00750EAE">
        <w:rPr>
          <w:rStyle w:val="af7"/>
          <w:rFonts w:eastAsia="Guttman Hodes" w:hint="cs"/>
          <w:rtl/>
        </w:rPr>
        <w:instrText xml:space="preserve"> _</w:instrText>
      </w:r>
      <w:r w:rsidRPr="00750EAE">
        <w:rPr>
          <w:rStyle w:val="af7"/>
          <w:rFonts w:eastAsia="Guttman Hodes" w:hint="cs"/>
        </w:rPr>
        <w:instrText>Ref522187437 \r \h</w:instrText>
      </w:r>
      <w:r w:rsidRPr="00750EAE">
        <w:rPr>
          <w:rStyle w:val="af7"/>
          <w:rFonts w:eastAsia="Guttman Hodes"/>
          <w:rtl/>
        </w:rPr>
        <w:instrText xml:space="preserve"> </w:instrText>
      </w:r>
      <w:r w:rsidRPr="00750EAE">
        <w:rPr>
          <w:rStyle w:val="af7"/>
          <w:rFonts w:eastAsia="Guttman Hodes"/>
          <w:rtl/>
        </w:rPr>
      </w:r>
      <w:r w:rsidRPr="00750EAE">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sidRPr="00750EAE">
        <w:rPr>
          <w:rStyle w:val="af7"/>
          <w:rFonts w:eastAsia="Guttman Hodes"/>
          <w:rtl/>
        </w:rPr>
        <w:fldChar w:fldCharType="end"/>
      </w:r>
      <w:r>
        <w:rPr>
          <w:rFonts w:hint="cs"/>
          <w:rtl/>
        </w:rPr>
        <w:t xml:space="preserve">, והקשה </w:t>
      </w:r>
      <w:r w:rsidRPr="00DE40A9">
        <w:rPr>
          <w:rStyle w:val="af9"/>
          <w:rFonts w:hint="cs"/>
          <w:rtl/>
        </w:rPr>
        <w:t>השער"י</w:t>
      </w:r>
      <w:r>
        <w:rPr>
          <w:rFonts w:hint="cs"/>
          <w:rtl/>
        </w:rPr>
        <w:t xml:space="preserve"> דהרי בגמ' ביבמות אין כל ראיה דמחזיקין מאיסור אבר מן החי לאיסור נבילה, ומה שציין </w:t>
      </w:r>
      <w:r w:rsidRPr="00DE40A9">
        <w:rPr>
          <w:rStyle w:val="af9"/>
          <w:rFonts w:hint="cs"/>
          <w:rtl/>
        </w:rPr>
        <w:t>הרשב"א</w:t>
      </w:r>
      <w:r>
        <w:rPr>
          <w:rFonts w:hint="cs"/>
          <w:rtl/>
        </w:rPr>
        <w:t xml:space="preserve"> לדבריו, ג"כ הוא קשה דכל ביאורו הוא דא"א להקשות מהגמ' ביבמות על סוגיין, אך עדיין אין מזה כל ראיה לדברי </w:t>
      </w:r>
      <w:r w:rsidRPr="00DE40A9">
        <w:rPr>
          <w:rStyle w:val="af9"/>
          <w:rFonts w:hint="cs"/>
          <w:rtl/>
        </w:rPr>
        <w:t>רש"י</w:t>
      </w:r>
      <w:r>
        <w:rPr>
          <w:rFonts w:hint="cs"/>
          <w:rtl/>
        </w:rPr>
        <w:t>.</w:t>
      </w:r>
    </w:p>
    <w:p w14:paraId="16BB5364" w14:textId="77777777" w:rsidR="00852065" w:rsidRDefault="00852065" w:rsidP="006D6D32">
      <w:pPr>
        <w:pStyle w:val="a3"/>
        <w:rPr>
          <w:rtl/>
        </w:rPr>
      </w:pPr>
      <w:bookmarkStart w:id="1405" w:name="_Toc522200224"/>
      <w:bookmarkStart w:id="1406" w:name="_Toc19389108"/>
      <w:bookmarkStart w:id="1407" w:name="_Toc19392605"/>
      <w:r>
        <w:rPr>
          <w:rFonts w:hint="cs"/>
          <w:rtl/>
        </w:rPr>
        <w:t>ביאור השער"י ברשב"א דבחזקה דרבה מוכח שיש לבהמה חזקת איסור מחיים לכשתמות ממילא</w:t>
      </w:r>
      <w:bookmarkEnd w:id="1405"/>
      <w:bookmarkEnd w:id="1406"/>
      <w:bookmarkEnd w:id="1407"/>
    </w:p>
    <w:p w14:paraId="2B7AD35C" w14:textId="77777777" w:rsidR="00852065" w:rsidRDefault="00852065" w:rsidP="00223668">
      <w:pPr>
        <w:pStyle w:val="a0"/>
        <w:rPr>
          <w:rtl/>
        </w:rPr>
      </w:pPr>
      <w:r>
        <w:rPr>
          <w:rFonts w:hint="cs"/>
          <w:rtl/>
        </w:rPr>
        <w:t xml:space="preserve">אלא ביאר </w:t>
      </w:r>
      <w:r w:rsidRPr="007B621C">
        <w:rPr>
          <w:rStyle w:val="af9"/>
          <w:rFonts w:hint="cs"/>
          <w:rtl/>
        </w:rPr>
        <w:t>השער"י</w:t>
      </w:r>
      <w:r>
        <w:rPr>
          <w:rFonts w:hint="cs"/>
          <w:rtl/>
        </w:rPr>
        <w:t xml:space="preserve"> </w:t>
      </w:r>
      <w:r w:rsidRPr="007B621C">
        <w:rPr>
          <w:rStyle w:val="af7"/>
          <w:rFonts w:eastAsia="Guttman Hodes" w:hint="cs"/>
          <w:rtl/>
        </w:rPr>
        <w:t>(שער החזקות פ"כ ד"ה ונראה לי)</w:t>
      </w:r>
      <w:r w:rsidRPr="000631F7">
        <w:rPr>
          <w:rFonts w:hint="cs"/>
          <w:rtl/>
        </w:rPr>
        <w:t xml:space="preserve"> </w:t>
      </w:r>
      <w:r>
        <w:rPr>
          <w:rFonts w:hint="cs"/>
          <w:rtl/>
        </w:rPr>
        <w:t xml:space="preserve"> דכוונת </w:t>
      </w:r>
      <w:r w:rsidRPr="00AC2C6B">
        <w:rPr>
          <w:rStyle w:val="af9"/>
          <w:rFonts w:hint="cs"/>
          <w:rtl/>
        </w:rPr>
        <w:t>הרשב"א</w:t>
      </w:r>
      <w:r>
        <w:rPr>
          <w:rFonts w:hint="cs"/>
          <w:rtl/>
        </w:rPr>
        <w:t xml:space="preserve"> לומר דכיון שאם מתה הבהמה ממילא היא אסורה באיסור נבילה, לכן אף בחייה היא מוחזקת באיסור, עד שיתברר שנשחטה כראוי, ועל סברא זו כתב </w:t>
      </w:r>
      <w:r w:rsidRPr="00AC2C6B">
        <w:rPr>
          <w:rStyle w:val="af9"/>
          <w:rFonts w:hint="cs"/>
          <w:rtl/>
        </w:rPr>
        <w:t>הרשב"א</w:t>
      </w:r>
      <w:r>
        <w:rPr>
          <w:rFonts w:hint="cs"/>
          <w:rtl/>
        </w:rPr>
        <w:t xml:space="preserve"> דכן מבואר בגמ' ביבמות </w:t>
      </w:r>
      <w:r w:rsidRPr="00750EAE">
        <w:rPr>
          <w:rStyle w:val="af7"/>
          <w:rFonts w:eastAsia="Guttman Hodes" w:hint="cs"/>
          <w:rtl/>
        </w:rPr>
        <w:t>(ל:)</w:t>
      </w:r>
      <w:r>
        <w:rPr>
          <w:rFonts w:hint="cs"/>
          <w:rtl/>
        </w:rPr>
        <w:t>, דמבואר מדברי רבה דבספק צרת ערוה אף שבחייה היא אסורה באיסור אשת איש, מ"מ כבר בחיי הבעל היא בחזקת היתר יבם לאחר מיתת הבעל, אם לא יתחדש בה שינוי שאוסרה ליבום, וה"ה בספק שחיטה דאף שאסורה מחיים, מ"מ היא מוחזקת שאם תמות תאסר באיסור נבילה, אם לא יהיה בה שינוי של מעשה שחיטה שמכשירה.</w:t>
      </w:r>
    </w:p>
    <w:p w14:paraId="220B3475" w14:textId="77777777" w:rsidR="00852065" w:rsidRPr="00B71F31" w:rsidRDefault="00852065" w:rsidP="006D6D32">
      <w:pPr>
        <w:pStyle w:val="a3"/>
        <w:rPr>
          <w:rtl/>
        </w:rPr>
      </w:pPr>
      <w:bookmarkStart w:id="1408" w:name="_Toc522200225"/>
      <w:bookmarkStart w:id="1409" w:name="_Toc19389109"/>
      <w:bookmarkStart w:id="1410" w:name="_Toc19392606"/>
      <w:r>
        <w:rPr>
          <w:rFonts w:hint="cs"/>
          <w:rtl/>
        </w:rPr>
        <w:t>דברי השער"י דבצר"ע האיסור מחיים מתיר לאח"מ ולכן אפשר להחזיק מחיים ללאח"מ</w:t>
      </w:r>
      <w:bookmarkEnd w:id="1408"/>
      <w:bookmarkEnd w:id="1409"/>
      <w:bookmarkEnd w:id="1410"/>
    </w:p>
    <w:p w14:paraId="22E843A6" w14:textId="77777777" w:rsidR="00852065" w:rsidRDefault="00852065" w:rsidP="00223668">
      <w:pPr>
        <w:pStyle w:val="a0"/>
        <w:rPr>
          <w:rtl/>
        </w:rPr>
      </w:pPr>
      <w:r>
        <w:rPr>
          <w:rFonts w:hint="cs"/>
          <w:rtl/>
        </w:rPr>
        <w:t xml:space="preserve">אך הקשה </w:t>
      </w:r>
      <w:r w:rsidRPr="007B621C">
        <w:rPr>
          <w:rStyle w:val="af9"/>
          <w:rFonts w:hint="cs"/>
          <w:rtl/>
        </w:rPr>
        <w:t>השער"י</w:t>
      </w:r>
      <w:r>
        <w:rPr>
          <w:rFonts w:hint="cs"/>
          <w:rtl/>
        </w:rPr>
        <w:t xml:space="preserve"> דהא דבספק צרת ערוה יש לה חזקת היתר כבר מחיים, הוא כיון שאותו האיסור שיש עליה מחיים שהוא אשת איש, הוא גורם את ההיתר לאחר מיתה, דע"י שסיבת האיסור שיש בה עכשיו תסתלק במיתת הבעל, זה גופא מתיר אותה, כיון שיש בה רק איסור אשת איש ולא איסור אחר.</w:t>
      </w:r>
    </w:p>
    <w:p w14:paraId="4377F44C" w14:textId="77777777" w:rsidR="00852065" w:rsidRPr="00B71F31" w:rsidRDefault="00852065" w:rsidP="006D6D32">
      <w:pPr>
        <w:pStyle w:val="a3"/>
      </w:pPr>
      <w:bookmarkStart w:id="1411" w:name="_Toc522200226"/>
      <w:bookmarkStart w:id="1412" w:name="_Toc19389110"/>
      <w:bookmarkStart w:id="1413" w:name="_Toc19392607"/>
      <w:r>
        <w:rPr>
          <w:rFonts w:hint="cs"/>
          <w:rtl/>
        </w:rPr>
        <w:t>קושית השער"י דבבהמה איסור נבילה מתחדש במיתה וא"א להחזיק מחיים למה שיתחדש בה</w:t>
      </w:r>
      <w:bookmarkEnd w:id="1411"/>
      <w:bookmarkEnd w:id="1412"/>
      <w:bookmarkEnd w:id="1413"/>
    </w:p>
    <w:p w14:paraId="6BE3DBE7" w14:textId="77777777" w:rsidR="00852065" w:rsidRDefault="00852065" w:rsidP="00223668">
      <w:pPr>
        <w:pStyle w:val="a0"/>
        <w:rPr>
          <w:rtl/>
        </w:rPr>
      </w:pPr>
      <w:r>
        <w:rPr>
          <w:rFonts w:hint="cs"/>
          <w:rtl/>
        </w:rPr>
        <w:t xml:space="preserve">אבל בספק שחיטה הקשה </w:t>
      </w:r>
      <w:r w:rsidRPr="00750EAE">
        <w:rPr>
          <w:rStyle w:val="af9"/>
          <w:rFonts w:hint="cs"/>
          <w:rtl/>
        </w:rPr>
        <w:t>השער"י</w:t>
      </w:r>
      <w:r>
        <w:rPr>
          <w:rFonts w:hint="cs"/>
          <w:rtl/>
        </w:rPr>
        <w:t xml:space="preserve"> דא"א לומר שבחייה היא מוחזקת שתאסר, מחמת ההתחדשות שתהיה בה אח"כ אם תמות, דהדין נבילה שיהיה בה לאחר מיתה אינו מחמת האיסור אבר מן החי שיש בה עכשיו, וא"א לומר שיש בה חזקה מחיים שיהיה בה איסור נבילה לאחר מיתה.</w:t>
      </w:r>
    </w:p>
    <w:p w14:paraId="1F781406" w14:textId="77777777" w:rsidR="0089660E" w:rsidRPr="0089660E" w:rsidRDefault="0089660E" w:rsidP="006D6D32">
      <w:pPr>
        <w:pStyle w:val="a3"/>
        <w:rPr>
          <w:rtl/>
        </w:rPr>
      </w:pPr>
    </w:p>
    <w:p w14:paraId="5CA4DB42" w14:textId="77777777" w:rsidR="0089660E" w:rsidRPr="0089660E" w:rsidRDefault="0089660E" w:rsidP="006D6D32">
      <w:pPr>
        <w:pStyle w:val="a3"/>
        <w:rPr>
          <w:rtl/>
        </w:rPr>
      </w:pPr>
    </w:p>
    <w:p w14:paraId="3B7C4BD8" w14:textId="77777777" w:rsidR="0089660E" w:rsidRPr="0089660E" w:rsidRDefault="0089660E" w:rsidP="006D6D32">
      <w:pPr>
        <w:pStyle w:val="a3"/>
        <w:rPr>
          <w:rtl/>
        </w:rPr>
      </w:pPr>
    </w:p>
    <w:p w14:paraId="2A766148" w14:textId="77777777" w:rsidR="00852065" w:rsidRDefault="00852065" w:rsidP="00BF39B2">
      <w:pPr>
        <w:pStyle w:val="1"/>
        <w:rPr>
          <w:rtl/>
        </w:rPr>
      </w:pPr>
      <w:bookmarkStart w:id="1414" w:name="_Toc522200227"/>
      <w:bookmarkStart w:id="1415" w:name="_Toc19389111"/>
      <w:bookmarkStart w:id="1416" w:name="_Toc19392608"/>
      <w:r>
        <w:rPr>
          <w:rFonts w:hint="cs"/>
          <w:rtl/>
        </w:rPr>
        <w:t>ביאור השער"י דאיסור נבילה הוא תוצאה מאבמה"ח</w:t>
      </w:r>
      <w:bookmarkEnd w:id="1414"/>
      <w:bookmarkEnd w:id="1415"/>
      <w:bookmarkEnd w:id="1416"/>
    </w:p>
    <w:p w14:paraId="1A7EC965" w14:textId="77777777" w:rsidR="00852065" w:rsidRDefault="00852065" w:rsidP="006D6D32">
      <w:pPr>
        <w:pStyle w:val="a3"/>
        <w:rPr>
          <w:rtl/>
        </w:rPr>
      </w:pPr>
      <w:bookmarkStart w:id="1417" w:name="_Toc522200228"/>
      <w:bookmarkStart w:id="1418" w:name="_Toc19389112"/>
      <w:bookmarkStart w:id="1419" w:name="_Toc19392609"/>
      <w:r>
        <w:rPr>
          <w:rFonts w:hint="cs"/>
          <w:rtl/>
        </w:rPr>
        <w:t>ביאור השער"י דאיסור נבילה הוא תולדה מאבמה"ח ואינו איסור שמתחדש</w:t>
      </w:r>
      <w:bookmarkEnd w:id="1417"/>
      <w:bookmarkEnd w:id="1418"/>
      <w:bookmarkEnd w:id="1419"/>
    </w:p>
    <w:p w14:paraId="0D00F10D" w14:textId="77777777" w:rsidR="00852065" w:rsidRDefault="00852065" w:rsidP="00223668">
      <w:pPr>
        <w:pStyle w:val="a0"/>
        <w:rPr>
          <w:rtl/>
        </w:rPr>
      </w:pPr>
      <w:r>
        <w:rPr>
          <w:rFonts w:hint="cs"/>
          <w:rtl/>
        </w:rPr>
        <w:t xml:space="preserve">ותירץ </w:t>
      </w:r>
      <w:r w:rsidRPr="007B621C">
        <w:rPr>
          <w:rStyle w:val="af9"/>
          <w:rFonts w:hint="cs"/>
          <w:rtl/>
        </w:rPr>
        <w:t>השער"י</w:t>
      </w:r>
      <w:r>
        <w:rPr>
          <w:rFonts w:hint="cs"/>
          <w:rtl/>
        </w:rPr>
        <w:t xml:space="preserve"> </w:t>
      </w:r>
      <w:r w:rsidRPr="007B621C">
        <w:rPr>
          <w:rStyle w:val="af7"/>
          <w:rFonts w:eastAsia="Guttman Hodes" w:hint="cs"/>
          <w:rtl/>
        </w:rPr>
        <w:t>(שער החזקות פ"כ ד"ה אכן י"ל)</w:t>
      </w:r>
      <w:r>
        <w:rPr>
          <w:rFonts w:hint="cs"/>
          <w:rtl/>
        </w:rPr>
        <w:t xml:space="preserve"> דאיסור נבילה שמתחדש בבהמה לאחר מיתה, הוא תולדה מאיסור אבר מן החי שאסורה בו בחייה, ואם היה שייך שלא תהיה הבהמה אסורה בחייה, לא היה בה איסור נבילה לאחר מיתה, ולכן כל שיש בה איסור אבר מן החי מחיים, היא מוחזקת מחמת זה לאיסור נבילה לאחר מיתה. וזה הביאור בדברי </w:t>
      </w:r>
      <w:r w:rsidRPr="007B621C">
        <w:rPr>
          <w:rStyle w:val="af9"/>
          <w:rFonts w:hint="cs"/>
          <w:rtl/>
        </w:rPr>
        <w:t>הרשב"א</w:t>
      </w:r>
      <w:r>
        <w:rPr>
          <w:rFonts w:hint="cs"/>
          <w:rtl/>
        </w:rPr>
        <w:t xml:space="preserve"> דדימה את החזקה </w:t>
      </w:r>
      <w:r>
        <w:rPr>
          <w:rtl/>
        </w:rPr>
        <w:t>בספק בשחיטה</w:t>
      </w:r>
      <w:r>
        <w:rPr>
          <w:rFonts w:hint="cs"/>
          <w:rtl/>
        </w:rPr>
        <w:t xml:space="preserve"> בחייה, לחזקת ספק צרת ערוה, דכמו שהאשה מוחזקת בחייה להיתר לשוק, אף שאסורה באיסור אשת איש, ה"ה </w:t>
      </w:r>
      <w:r>
        <w:rPr>
          <w:rtl/>
        </w:rPr>
        <w:t>בספק בשחיטה</w:t>
      </w:r>
      <w:r>
        <w:rPr>
          <w:rFonts w:hint="cs"/>
          <w:rtl/>
        </w:rPr>
        <w:t xml:space="preserve"> דמוחזקת בחייה שתאסר בנבילה.</w:t>
      </w:r>
    </w:p>
    <w:p w14:paraId="782C2C87" w14:textId="77777777" w:rsidR="00852065" w:rsidRPr="00B35AE0" w:rsidRDefault="00852065" w:rsidP="006D6D32">
      <w:pPr>
        <w:pStyle w:val="a3"/>
        <w:rPr>
          <w:rtl/>
        </w:rPr>
      </w:pPr>
      <w:bookmarkStart w:id="1420" w:name="_Toc522200229"/>
      <w:bookmarkStart w:id="1421" w:name="_Toc19389113"/>
      <w:bookmarkStart w:id="1422" w:name="_Toc19392610"/>
      <w:r>
        <w:rPr>
          <w:rFonts w:hint="cs"/>
          <w:rtl/>
        </w:rPr>
        <w:t>ביאור השער"י בדברי הרשב"א דבחזקה דרבה מבואר דהבהמה מוחזקת מחיים לאיסור נבילה</w:t>
      </w:r>
      <w:bookmarkEnd w:id="1420"/>
      <w:bookmarkEnd w:id="1421"/>
      <w:bookmarkEnd w:id="1422"/>
    </w:p>
    <w:p w14:paraId="51B528B5" w14:textId="77777777" w:rsidR="00852065" w:rsidRDefault="00852065" w:rsidP="00223668">
      <w:pPr>
        <w:pStyle w:val="a0"/>
        <w:rPr>
          <w:rtl/>
        </w:rPr>
      </w:pPr>
      <w:r>
        <w:rPr>
          <w:rFonts w:hint="cs"/>
          <w:rtl/>
        </w:rPr>
        <w:t xml:space="preserve">והוסיף </w:t>
      </w:r>
      <w:r w:rsidRPr="007B621C">
        <w:rPr>
          <w:rStyle w:val="af9"/>
          <w:rFonts w:hint="cs"/>
          <w:rtl/>
        </w:rPr>
        <w:t>השער"י</w:t>
      </w:r>
      <w:r>
        <w:rPr>
          <w:rFonts w:hint="cs"/>
          <w:rtl/>
        </w:rPr>
        <w:t xml:space="preserve"> דזו כוונת </w:t>
      </w:r>
      <w:r w:rsidRPr="007B621C">
        <w:rPr>
          <w:rStyle w:val="af9"/>
          <w:rFonts w:hint="cs"/>
          <w:rtl/>
        </w:rPr>
        <w:t>הרשב"א</w:t>
      </w:r>
      <w:r>
        <w:rPr>
          <w:rFonts w:hint="cs"/>
          <w:rtl/>
        </w:rPr>
        <w:t xml:space="preserve"> בסוגיין שציין לדבריו ביבמות, דכוונתו למ"ש </w:t>
      </w:r>
      <w:r w:rsidRPr="007B621C">
        <w:rPr>
          <w:rStyle w:val="af9"/>
          <w:rFonts w:hint="cs"/>
          <w:rtl/>
        </w:rPr>
        <w:t>הרשב"א</w:t>
      </w:r>
      <w:r>
        <w:rPr>
          <w:rStyle w:val="af9"/>
          <w:rFonts w:hint="cs"/>
          <w:rtl/>
        </w:rPr>
        <w:t xml:space="preserve"> ביבמות</w:t>
      </w:r>
      <w:r>
        <w:rPr>
          <w:rFonts w:hint="cs"/>
          <w:rtl/>
        </w:rPr>
        <w:t xml:space="preserve"> </w:t>
      </w:r>
      <w:r w:rsidRPr="00750EAE">
        <w:rPr>
          <w:rStyle w:val="af7"/>
          <w:rFonts w:eastAsia="Guttman Hodes" w:hint="cs"/>
          <w:rtl/>
        </w:rPr>
        <w:t xml:space="preserve">(עי' אות </w:t>
      </w:r>
      <w:r w:rsidRPr="00750EAE">
        <w:rPr>
          <w:rStyle w:val="af7"/>
          <w:rFonts w:eastAsia="Guttman Hodes"/>
          <w:rtl/>
        </w:rPr>
        <w:fldChar w:fldCharType="begin"/>
      </w:r>
      <w:r w:rsidRPr="00750EAE">
        <w:rPr>
          <w:rStyle w:val="af7"/>
          <w:rFonts w:eastAsia="Guttman Hodes"/>
          <w:rtl/>
        </w:rPr>
        <w:instrText xml:space="preserve"> </w:instrText>
      </w:r>
      <w:r w:rsidRPr="00750EAE">
        <w:rPr>
          <w:rStyle w:val="af7"/>
          <w:rFonts w:eastAsia="Guttman Hodes" w:hint="cs"/>
        </w:rPr>
        <w:instrText>REF</w:instrText>
      </w:r>
      <w:r w:rsidRPr="00750EAE">
        <w:rPr>
          <w:rStyle w:val="af7"/>
          <w:rFonts w:eastAsia="Guttman Hodes" w:hint="cs"/>
          <w:rtl/>
        </w:rPr>
        <w:instrText xml:space="preserve"> _</w:instrText>
      </w:r>
      <w:r w:rsidRPr="00750EAE">
        <w:rPr>
          <w:rStyle w:val="af7"/>
          <w:rFonts w:eastAsia="Guttman Hodes" w:hint="cs"/>
        </w:rPr>
        <w:instrText>Ref522187437 \r \h</w:instrText>
      </w:r>
      <w:r w:rsidRPr="00750EAE">
        <w:rPr>
          <w:rStyle w:val="af7"/>
          <w:rFonts w:eastAsia="Guttman Hodes"/>
          <w:rtl/>
        </w:rPr>
        <w:instrText xml:space="preserve"> </w:instrText>
      </w:r>
      <w:r w:rsidRPr="00750EAE">
        <w:rPr>
          <w:rStyle w:val="af7"/>
          <w:rFonts w:eastAsia="Guttman Hodes"/>
          <w:rtl/>
        </w:rPr>
      </w:r>
      <w:r w:rsidRPr="00750EAE">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sidRPr="00750EAE">
        <w:rPr>
          <w:rStyle w:val="af7"/>
          <w:rFonts w:eastAsia="Guttman Hodes"/>
          <w:rtl/>
        </w:rPr>
        <w:fldChar w:fldCharType="end"/>
      </w:r>
      <w:r>
        <w:rPr>
          <w:rFonts w:hint="cs"/>
          <w:rtl/>
        </w:rPr>
        <w:t xml:space="preserve"> דכמו שספק שחוטה מוחזקת באיסור נבילה, ה"ה בספק צרת ערוה דמוחזקת מחיים  בחזקת היתר לשוק.</w:t>
      </w:r>
    </w:p>
    <w:p w14:paraId="2DE796B9" w14:textId="77777777" w:rsidR="00852065" w:rsidRDefault="00852065" w:rsidP="00BF39B2">
      <w:pPr>
        <w:pStyle w:val="1"/>
        <w:rPr>
          <w:rtl/>
        </w:rPr>
      </w:pPr>
      <w:bookmarkStart w:id="1423" w:name="_Toc522200230"/>
      <w:bookmarkStart w:id="1424" w:name="_Toc19389114"/>
      <w:bookmarkStart w:id="1425" w:name="_Toc19392611"/>
      <w:r>
        <w:rPr>
          <w:rFonts w:hint="cs"/>
          <w:rtl/>
        </w:rPr>
        <w:t>דברי השער"י דאף לרש"י אין מחזיקין מאיסור לאיסור</w:t>
      </w:r>
      <w:bookmarkEnd w:id="1423"/>
      <w:bookmarkEnd w:id="1424"/>
      <w:bookmarkEnd w:id="1425"/>
    </w:p>
    <w:p w14:paraId="288E116C" w14:textId="77777777" w:rsidR="00852065" w:rsidRDefault="00852065" w:rsidP="006D6D32">
      <w:pPr>
        <w:pStyle w:val="a3"/>
        <w:rPr>
          <w:rtl/>
        </w:rPr>
      </w:pPr>
      <w:bookmarkStart w:id="1426" w:name="_Toc522200231"/>
      <w:bookmarkStart w:id="1427" w:name="_Toc19389115"/>
      <w:bookmarkStart w:id="1428" w:name="_Toc19392612"/>
      <w:r>
        <w:rPr>
          <w:rFonts w:hint="cs"/>
          <w:rtl/>
        </w:rPr>
        <w:t>ביאור השער"י דאף לדעת רש"י אין מחזיקין מאיסור לאיסור אלא דמחיים יש חזקת איסור</w:t>
      </w:r>
      <w:bookmarkEnd w:id="1426"/>
      <w:bookmarkEnd w:id="1427"/>
      <w:bookmarkEnd w:id="1428"/>
    </w:p>
    <w:p w14:paraId="6D3F2A62" w14:textId="77777777" w:rsidR="00852065" w:rsidRDefault="00852065" w:rsidP="00223668">
      <w:pPr>
        <w:pStyle w:val="a0"/>
        <w:rPr>
          <w:rtl/>
        </w:rPr>
      </w:pPr>
      <w:r>
        <w:rPr>
          <w:rFonts w:hint="cs"/>
          <w:rtl/>
        </w:rPr>
        <w:t xml:space="preserve">וכתב </w:t>
      </w:r>
      <w:r w:rsidRPr="007B621C">
        <w:rPr>
          <w:rStyle w:val="af9"/>
          <w:rFonts w:hint="cs"/>
          <w:rtl/>
        </w:rPr>
        <w:t>השער"י</w:t>
      </w:r>
      <w:r>
        <w:rPr>
          <w:rFonts w:hint="cs"/>
          <w:rtl/>
        </w:rPr>
        <w:t xml:space="preserve"> דלפי"ז מבואר מדברי </w:t>
      </w:r>
      <w:r w:rsidRPr="007B621C">
        <w:rPr>
          <w:rStyle w:val="af9"/>
          <w:rFonts w:hint="cs"/>
          <w:rtl/>
        </w:rPr>
        <w:t>הרשב"א</w:t>
      </w:r>
      <w:r>
        <w:rPr>
          <w:rFonts w:hint="cs"/>
          <w:rtl/>
        </w:rPr>
        <w:t xml:space="preserve"> דפשיטא ליה דאין מחזיקין מאיסור לאיסור, וכמבואר להדיא </w:t>
      </w:r>
      <w:r w:rsidRPr="007B621C">
        <w:rPr>
          <w:rStyle w:val="af9"/>
          <w:rFonts w:hint="cs"/>
          <w:rtl/>
        </w:rPr>
        <w:t>בתוס' בביצה</w:t>
      </w:r>
      <w:r>
        <w:rPr>
          <w:rFonts w:hint="cs"/>
          <w:rtl/>
        </w:rPr>
        <w:t xml:space="preserve"> </w:t>
      </w:r>
      <w:r w:rsidRPr="00750EAE">
        <w:rPr>
          <w:rStyle w:val="af7"/>
          <w:rFonts w:eastAsia="Guttman Hodes" w:hint="cs"/>
          <w:rtl/>
        </w:rPr>
        <w:t xml:space="preserve">(עי' אות </w:t>
      </w:r>
      <w:r w:rsidRPr="00750EAE">
        <w:rPr>
          <w:rStyle w:val="af7"/>
          <w:rFonts w:eastAsia="Guttman Hodes"/>
          <w:rtl/>
        </w:rPr>
        <w:fldChar w:fldCharType="begin"/>
      </w:r>
      <w:r w:rsidRPr="00750EAE">
        <w:rPr>
          <w:rStyle w:val="af7"/>
          <w:rFonts w:eastAsia="Guttman Hodes"/>
          <w:rtl/>
        </w:rPr>
        <w:instrText xml:space="preserve"> </w:instrText>
      </w:r>
      <w:r w:rsidRPr="00750EAE">
        <w:rPr>
          <w:rStyle w:val="af7"/>
          <w:rFonts w:eastAsia="Guttman Hodes" w:hint="cs"/>
        </w:rPr>
        <w:instrText>REF</w:instrText>
      </w:r>
      <w:r w:rsidRPr="00750EAE">
        <w:rPr>
          <w:rStyle w:val="af7"/>
          <w:rFonts w:eastAsia="Guttman Hodes" w:hint="cs"/>
          <w:rtl/>
        </w:rPr>
        <w:instrText xml:space="preserve"> _</w:instrText>
      </w:r>
      <w:r w:rsidRPr="00750EAE">
        <w:rPr>
          <w:rStyle w:val="af7"/>
          <w:rFonts w:eastAsia="Guttman Hodes" w:hint="cs"/>
        </w:rPr>
        <w:instrText>Ref522197328 \r \h</w:instrText>
      </w:r>
      <w:r w:rsidRPr="00750EAE">
        <w:rPr>
          <w:rStyle w:val="af7"/>
          <w:rFonts w:eastAsia="Guttman Hodes"/>
          <w:rtl/>
        </w:rPr>
        <w:instrText xml:space="preserve"> </w:instrText>
      </w:r>
      <w:r w:rsidRPr="00750EAE">
        <w:rPr>
          <w:rStyle w:val="af7"/>
          <w:rFonts w:eastAsia="Guttman Hodes"/>
          <w:rtl/>
        </w:rPr>
      </w:r>
      <w:r w:rsidRPr="00750EAE">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750EAE">
        <w:rPr>
          <w:rStyle w:val="af7"/>
          <w:rFonts w:eastAsia="Guttman Hodes"/>
          <w:rtl/>
        </w:rPr>
        <w:fldChar w:fldCharType="end"/>
      </w:r>
      <w:r>
        <w:rPr>
          <w:rFonts w:hint="cs"/>
          <w:rtl/>
        </w:rPr>
        <w:t xml:space="preserve">, ואף בדעת </w:t>
      </w:r>
      <w:r w:rsidRPr="007B621C">
        <w:rPr>
          <w:rStyle w:val="af9"/>
          <w:rFonts w:hint="cs"/>
          <w:rtl/>
        </w:rPr>
        <w:t>רש"י</w:t>
      </w:r>
      <w:r>
        <w:rPr>
          <w:rFonts w:hint="cs"/>
          <w:rtl/>
        </w:rPr>
        <w:t xml:space="preserve"> ביאר </w:t>
      </w:r>
      <w:r w:rsidRPr="007B621C">
        <w:rPr>
          <w:rStyle w:val="af9"/>
          <w:rFonts w:hint="cs"/>
          <w:rtl/>
        </w:rPr>
        <w:t>הרשב"א</w:t>
      </w:r>
      <w:r>
        <w:rPr>
          <w:rFonts w:hint="cs"/>
          <w:rtl/>
        </w:rPr>
        <w:t xml:space="preserve"> דאינו מדין מחזיקין מאיסור לאיסור, אלא הכוונה דכבר בחיי הבהמה היא מוחזקת שתהיה אסורה לאחר מיתה באיסור נבילה, ע"י שאסורה עכשיו באיסור אבר מן החי, וא"כ מבואר מדברי </w:t>
      </w:r>
      <w:r w:rsidRPr="009F145D">
        <w:rPr>
          <w:rStyle w:val="af9"/>
          <w:rFonts w:hint="cs"/>
          <w:rtl/>
        </w:rPr>
        <w:t>הרשב"א</w:t>
      </w:r>
      <w:r>
        <w:rPr>
          <w:rFonts w:hint="cs"/>
          <w:rtl/>
        </w:rPr>
        <w:t xml:space="preserve"> דבין לדעת </w:t>
      </w:r>
      <w:r w:rsidRPr="009F145D">
        <w:rPr>
          <w:rStyle w:val="af9"/>
          <w:rFonts w:hint="cs"/>
          <w:rtl/>
        </w:rPr>
        <w:t>רש"י</w:t>
      </w:r>
      <w:r>
        <w:rPr>
          <w:rFonts w:hint="cs"/>
          <w:rtl/>
        </w:rPr>
        <w:t xml:space="preserve"> ובן לדעת </w:t>
      </w:r>
      <w:r w:rsidRPr="009F145D">
        <w:rPr>
          <w:rStyle w:val="af9"/>
          <w:rFonts w:hint="cs"/>
          <w:rtl/>
        </w:rPr>
        <w:t xml:space="preserve">התוס' </w:t>
      </w:r>
      <w:r>
        <w:rPr>
          <w:rFonts w:hint="cs"/>
          <w:rtl/>
        </w:rPr>
        <w:t>אין מחזיקין מאיסור לאיסור.</w:t>
      </w:r>
    </w:p>
    <w:p w14:paraId="2B49DCC0" w14:textId="77777777" w:rsidR="00852065" w:rsidRPr="00CA59DB" w:rsidRDefault="00852065" w:rsidP="006D6D32">
      <w:pPr>
        <w:pStyle w:val="a3"/>
      </w:pPr>
      <w:bookmarkStart w:id="1429" w:name="_Toc521324879"/>
      <w:bookmarkStart w:id="1430" w:name="_Toc521338186"/>
      <w:bookmarkStart w:id="1431" w:name="_Toc521361986"/>
      <w:bookmarkStart w:id="1432" w:name="_Toc522200232"/>
      <w:bookmarkStart w:id="1433" w:name="_Toc19389116"/>
      <w:bookmarkStart w:id="1434" w:name="_Toc19392613"/>
      <w:r>
        <w:rPr>
          <w:rFonts w:hint="cs"/>
          <w:rtl/>
        </w:rPr>
        <w:t>דברי השער"י דאין ראיה מהתוס' בכתובות ומטומאת התהום בנזיר</w:t>
      </w:r>
      <w:bookmarkEnd w:id="1429"/>
      <w:bookmarkEnd w:id="1430"/>
      <w:bookmarkEnd w:id="1431"/>
      <w:bookmarkEnd w:id="1432"/>
      <w:bookmarkEnd w:id="1433"/>
      <w:bookmarkEnd w:id="1434"/>
    </w:p>
    <w:p w14:paraId="4BA681FF" w14:textId="77777777" w:rsidR="00852065" w:rsidRDefault="00852065" w:rsidP="00223668">
      <w:pPr>
        <w:pStyle w:val="a0"/>
        <w:rPr>
          <w:rtl/>
        </w:rPr>
      </w:pPr>
      <w:r>
        <w:rPr>
          <w:rFonts w:hint="cs"/>
          <w:rtl/>
        </w:rPr>
        <w:t xml:space="preserve">וע"ע בדברי </w:t>
      </w:r>
      <w:r w:rsidRPr="009F145D">
        <w:rPr>
          <w:rStyle w:val="af9"/>
          <w:rFonts w:hint="cs"/>
          <w:rtl/>
        </w:rPr>
        <w:t>השער"י</w:t>
      </w:r>
      <w:r>
        <w:rPr>
          <w:rFonts w:hint="cs"/>
          <w:rtl/>
        </w:rPr>
        <w:t xml:space="preserve"> </w:t>
      </w:r>
      <w:r w:rsidRPr="009F145D">
        <w:rPr>
          <w:rStyle w:val="af7"/>
          <w:rFonts w:eastAsia="Guttman Hodes" w:hint="cs"/>
          <w:rtl/>
        </w:rPr>
        <w:t>(שער החזקות פ"כ ד"ה ונלענ"ד לחלק)</w:t>
      </w:r>
      <w:r>
        <w:rPr>
          <w:rFonts w:hint="cs"/>
          <w:rtl/>
        </w:rPr>
        <w:t xml:space="preserve"> במה שהאריך לדחות את ראיית </w:t>
      </w:r>
      <w:r w:rsidRPr="000F4F90">
        <w:rPr>
          <w:rStyle w:val="af9"/>
          <w:rFonts w:hint="cs"/>
          <w:rtl/>
        </w:rPr>
        <w:t>הש"ש</w:t>
      </w:r>
      <w:r>
        <w:rPr>
          <w:rFonts w:hint="cs"/>
          <w:rtl/>
        </w:rPr>
        <w:t xml:space="preserve"> </w:t>
      </w:r>
      <w:r w:rsidRPr="00750EAE">
        <w:rPr>
          <w:rStyle w:val="af7"/>
          <w:rFonts w:eastAsia="Guttman Hodes" w:hint="cs"/>
          <w:rtl/>
        </w:rPr>
        <w:t xml:space="preserve">(עי' אות </w:t>
      </w:r>
      <w:r w:rsidRPr="00750EAE">
        <w:rPr>
          <w:rStyle w:val="af7"/>
          <w:rFonts w:eastAsia="Guttman Hodes"/>
          <w:rtl/>
        </w:rPr>
        <w:fldChar w:fldCharType="begin"/>
      </w:r>
      <w:r w:rsidRPr="00750EAE">
        <w:rPr>
          <w:rStyle w:val="af7"/>
          <w:rFonts w:eastAsia="Guttman Hodes"/>
          <w:rtl/>
        </w:rPr>
        <w:instrText xml:space="preserve"> </w:instrText>
      </w:r>
      <w:r w:rsidRPr="00750EAE">
        <w:rPr>
          <w:rStyle w:val="af7"/>
          <w:rFonts w:eastAsia="Guttman Hodes" w:hint="cs"/>
        </w:rPr>
        <w:instrText>REF</w:instrText>
      </w:r>
      <w:r w:rsidRPr="00750EAE">
        <w:rPr>
          <w:rStyle w:val="af7"/>
          <w:rFonts w:eastAsia="Guttman Hodes" w:hint="cs"/>
          <w:rtl/>
        </w:rPr>
        <w:instrText xml:space="preserve"> _</w:instrText>
      </w:r>
      <w:r w:rsidRPr="00750EAE">
        <w:rPr>
          <w:rStyle w:val="af7"/>
          <w:rFonts w:eastAsia="Guttman Hodes" w:hint="cs"/>
        </w:rPr>
        <w:instrText>Ref522199281 \r \h</w:instrText>
      </w:r>
      <w:r w:rsidRPr="00750EAE">
        <w:rPr>
          <w:rStyle w:val="af7"/>
          <w:rFonts w:eastAsia="Guttman Hodes"/>
          <w:rtl/>
        </w:rPr>
        <w:instrText xml:space="preserve"> </w:instrText>
      </w:r>
      <w:r w:rsidRPr="00750EAE">
        <w:rPr>
          <w:rStyle w:val="af7"/>
          <w:rFonts w:eastAsia="Guttman Hodes"/>
          <w:rtl/>
        </w:rPr>
      </w:r>
      <w:r w:rsidRPr="00750EAE">
        <w:rPr>
          <w:rStyle w:val="af7"/>
          <w:rFonts w:eastAsia="Guttman Hodes"/>
          <w:rtl/>
        </w:rPr>
        <w:fldChar w:fldCharType="separate"/>
      </w:r>
      <w:r w:rsidR="00345400">
        <w:rPr>
          <w:rStyle w:val="af7"/>
          <w:rFonts w:eastAsia="Guttman Hodes"/>
          <w:cs/>
        </w:rPr>
        <w:t>‎</w:t>
      </w:r>
      <w:r w:rsidR="00345400">
        <w:rPr>
          <w:rStyle w:val="af7"/>
          <w:rFonts w:eastAsia="Guttman Hodes"/>
          <w:rtl/>
        </w:rPr>
        <w:t>סג)</w:t>
      </w:r>
      <w:r w:rsidRPr="00750EAE">
        <w:rPr>
          <w:rStyle w:val="af7"/>
          <w:rFonts w:eastAsia="Guttman Hodes"/>
          <w:rtl/>
        </w:rPr>
        <w:fldChar w:fldCharType="end"/>
      </w:r>
      <w:r w:rsidRPr="000F4F90">
        <w:rPr>
          <w:rFonts w:hint="cs"/>
          <w:rtl/>
        </w:rPr>
        <w:t xml:space="preserve"> מדברי</w:t>
      </w:r>
      <w:r>
        <w:rPr>
          <w:rFonts w:hint="cs"/>
          <w:rtl/>
        </w:rPr>
        <w:t xml:space="preserve"> </w:t>
      </w:r>
      <w:r w:rsidRPr="009F145D">
        <w:rPr>
          <w:rStyle w:val="af9"/>
          <w:rFonts w:hint="cs"/>
          <w:rtl/>
        </w:rPr>
        <w:t>התוס' בכתובות</w:t>
      </w:r>
      <w:r>
        <w:rPr>
          <w:rFonts w:hint="cs"/>
          <w:rtl/>
        </w:rPr>
        <w:t xml:space="preserve"> דמחזיקין מאיסור לאיסור, וכן את ראיית </w:t>
      </w:r>
      <w:r w:rsidRPr="009F145D">
        <w:rPr>
          <w:rStyle w:val="af9"/>
          <w:rFonts w:hint="cs"/>
          <w:rtl/>
        </w:rPr>
        <w:t>המהרי"ט</w:t>
      </w:r>
      <w:r>
        <w:rPr>
          <w:rFonts w:hint="cs"/>
          <w:rtl/>
        </w:rPr>
        <w:t xml:space="preserve"> שהביא </w:t>
      </w:r>
      <w:r w:rsidRPr="009F145D">
        <w:rPr>
          <w:rStyle w:val="af9"/>
          <w:rFonts w:hint="cs"/>
          <w:rtl/>
        </w:rPr>
        <w:t>הש"ש</w:t>
      </w:r>
      <w:r>
        <w:rPr>
          <w:rFonts w:hint="cs"/>
          <w:rtl/>
        </w:rPr>
        <w:t xml:space="preserve"> </w:t>
      </w:r>
      <w:r w:rsidRPr="00750EAE">
        <w:rPr>
          <w:rStyle w:val="af7"/>
          <w:rFonts w:eastAsia="Guttman Hodes" w:hint="cs"/>
          <w:rtl/>
        </w:rPr>
        <w:t xml:space="preserve">(עי' אות </w:t>
      </w:r>
      <w:r w:rsidRPr="00750EAE">
        <w:rPr>
          <w:rStyle w:val="af7"/>
          <w:rFonts w:eastAsia="Guttman Hodes"/>
          <w:rtl/>
        </w:rPr>
        <w:fldChar w:fldCharType="begin"/>
      </w:r>
      <w:r w:rsidRPr="00750EAE">
        <w:rPr>
          <w:rStyle w:val="af7"/>
          <w:rFonts w:eastAsia="Guttman Hodes"/>
          <w:rtl/>
        </w:rPr>
        <w:instrText xml:space="preserve"> </w:instrText>
      </w:r>
      <w:r w:rsidRPr="00750EAE">
        <w:rPr>
          <w:rStyle w:val="af7"/>
          <w:rFonts w:eastAsia="Guttman Hodes" w:hint="cs"/>
        </w:rPr>
        <w:instrText>REF</w:instrText>
      </w:r>
      <w:r w:rsidRPr="00750EAE">
        <w:rPr>
          <w:rStyle w:val="af7"/>
          <w:rFonts w:eastAsia="Guttman Hodes" w:hint="cs"/>
          <w:rtl/>
        </w:rPr>
        <w:instrText xml:space="preserve"> _</w:instrText>
      </w:r>
      <w:r w:rsidRPr="00750EAE">
        <w:rPr>
          <w:rStyle w:val="af7"/>
          <w:rFonts w:eastAsia="Guttman Hodes" w:hint="cs"/>
        </w:rPr>
        <w:instrText>Ref522197029 \r \h</w:instrText>
      </w:r>
      <w:r w:rsidRPr="00750EAE">
        <w:rPr>
          <w:rStyle w:val="af7"/>
          <w:rFonts w:eastAsia="Guttman Hodes"/>
          <w:rtl/>
        </w:rPr>
        <w:instrText xml:space="preserve"> </w:instrText>
      </w:r>
      <w:r w:rsidRPr="00750EAE">
        <w:rPr>
          <w:rStyle w:val="af7"/>
          <w:rFonts w:eastAsia="Guttman Hodes"/>
          <w:rtl/>
        </w:rPr>
      </w:r>
      <w:r w:rsidRPr="00750EAE">
        <w:rPr>
          <w:rStyle w:val="af7"/>
          <w:rFonts w:eastAsia="Guttman Hodes"/>
          <w:rtl/>
        </w:rPr>
        <w:fldChar w:fldCharType="separate"/>
      </w:r>
      <w:r w:rsidR="00345400">
        <w:rPr>
          <w:rStyle w:val="af7"/>
          <w:rFonts w:eastAsia="Guttman Hodes"/>
          <w:cs/>
        </w:rPr>
        <w:t>‎</w:t>
      </w:r>
      <w:r w:rsidR="00345400">
        <w:rPr>
          <w:rStyle w:val="af7"/>
          <w:rFonts w:eastAsia="Guttman Hodes"/>
          <w:rtl/>
        </w:rPr>
        <w:t>ס)</w:t>
      </w:r>
      <w:r w:rsidRPr="00750EAE">
        <w:rPr>
          <w:rStyle w:val="af7"/>
          <w:rFonts w:eastAsia="Guttman Hodes"/>
          <w:rtl/>
        </w:rPr>
        <w:fldChar w:fldCharType="end"/>
      </w:r>
      <w:r>
        <w:rPr>
          <w:rFonts w:hint="cs"/>
          <w:rtl/>
        </w:rPr>
        <w:t xml:space="preserve"> מטומאת התהום בנזיר, עיי"ש.</w:t>
      </w:r>
    </w:p>
    <w:p w14:paraId="4DD60215" w14:textId="77777777" w:rsidR="00852065" w:rsidRDefault="00852065" w:rsidP="006D6D32">
      <w:pPr>
        <w:pStyle w:val="a3"/>
        <w:rPr>
          <w:rtl/>
        </w:rPr>
      </w:pPr>
      <w:bookmarkStart w:id="1435" w:name="_Toc522200233"/>
      <w:bookmarkStart w:id="1436" w:name="_Toc19389117"/>
      <w:bookmarkStart w:id="1437" w:name="_Toc19392614"/>
      <w:bookmarkStart w:id="1438" w:name="_Toc521324880"/>
      <w:bookmarkStart w:id="1439" w:name="_Toc521338187"/>
      <w:bookmarkStart w:id="1440" w:name="_Toc521361987"/>
      <w:r>
        <w:rPr>
          <w:rFonts w:hint="cs"/>
          <w:rtl/>
        </w:rPr>
        <w:t>דברי השער"י דבטריפה לא שייך מחזיקין מאל"א דצריך מחיים להחזיקה בב' איסורים</w:t>
      </w:r>
      <w:bookmarkEnd w:id="1435"/>
      <w:bookmarkEnd w:id="1436"/>
      <w:bookmarkEnd w:id="1437"/>
    </w:p>
    <w:p w14:paraId="261AAF6E" w14:textId="77777777" w:rsidR="00852065" w:rsidRDefault="00852065" w:rsidP="00223668">
      <w:pPr>
        <w:pStyle w:val="a0"/>
        <w:rPr>
          <w:rtl/>
        </w:rPr>
      </w:pPr>
      <w:r>
        <w:rPr>
          <w:rFonts w:hint="cs"/>
          <w:rtl/>
        </w:rPr>
        <w:t xml:space="preserve">ובמה שכתב </w:t>
      </w:r>
      <w:r w:rsidRPr="00BD610A">
        <w:rPr>
          <w:rStyle w:val="af9"/>
          <w:rFonts w:hint="cs"/>
          <w:rtl/>
        </w:rPr>
        <w:t>הש"ש</w:t>
      </w:r>
      <w:r>
        <w:rPr>
          <w:rFonts w:hint="cs"/>
          <w:rtl/>
        </w:rPr>
        <w:t xml:space="preserve"> </w:t>
      </w:r>
      <w:r w:rsidRPr="00750EAE">
        <w:rPr>
          <w:rStyle w:val="af7"/>
          <w:rFonts w:eastAsia="Guttman Hodes" w:hint="cs"/>
          <w:rtl/>
        </w:rPr>
        <w:t>(עי' אותיות</w:t>
      </w:r>
      <w:r w:rsidRPr="00750EAE">
        <w:rPr>
          <w:rStyle w:val="af7"/>
          <w:rFonts w:eastAsia="Guttman Hodes"/>
          <w:rtl/>
        </w:rPr>
        <w:fldChar w:fldCharType="begin"/>
      </w:r>
      <w:r w:rsidRPr="00750EAE">
        <w:rPr>
          <w:rStyle w:val="af7"/>
          <w:rFonts w:eastAsia="Guttman Hodes"/>
          <w:rtl/>
        </w:rPr>
        <w:instrText xml:space="preserve"> </w:instrText>
      </w:r>
      <w:r w:rsidRPr="00750EAE">
        <w:rPr>
          <w:rStyle w:val="af7"/>
          <w:rFonts w:eastAsia="Guttman Hodes" w:hint="cs"/>
        </w:rPr>
        <w:instrText>REF</w:instrText>
      </w:r>
      <w:r w:rsidRPr="00750EAE">
        <w:rPr>
          <w:rStyle w:val="af7"/>
          <w:rFonts w:eastAsia="Guttman Hodes" w:hint="cs"/>
          <w:rtl/>
        </w:rPr>
        <w:instrText xml:space="preserve"> _</w:instrText>
      </w:r>
      <w:r w:rsidRPr="00750EAE">
        <w:rPr>
          <w:rStyle w:val="af7"/>
          <w:rFonts w:eastAsia="Guttman Hodes" w:hint="cs"/>
        </w:rPr>
        <w:instrText>Ref522196883 \r \h</w:instrText>
      </w:r>
      <w:r w:rsidRPr="00750EAE">
        <w:rPr>
          <w:rStyle w:val="af7"/>
          <w:rFonts w:eastAsia="Guttman Hodes"/>
          <w:rtl/>
        </w:rPr>
        <w:instrText xml:space="preserve"> </w:instrText>
      </w:r>
      <w:r w:rsidRPr="00750EAE">
        <w:rPr>
          <w:rStyle w:val="af7"/>
          <w:rFonts w:eastAsia="Guttman Hodes"/>
          <w:rtl/>
        </w:rPr>
      </w:r>
      <w:r w:rsidRPr="00750EAE">
        <w:rPr>
          <w:rStyle w:val="af7"/>
          <w:rFonts w:eastAsia="Guttman Hodes"/>
          <w:rtl/>
        </w:rPr>
        <w:fldChar w:fldCharType="separate"/>
      </w:r>
      <w:r w:rsidR="00345400">
        <w:rPr>
          <w:rStyle w:val="af7"/>
          <w:rFonts w:eastAsia="Guttman Hodes"/>
          <w:cs/>
        </w:rPr>
        <w:t>‎</w:t>
      </w:r>
      <w:r w:rsidR="00345400">
        <w:rPr>
          <w:rStyle w:val="af7"/>
          <w:rFonts w:eastAsia="Guttman Hodes"/>
          <w:rtl/>
        </w:rPr>
        <w:t>סו)</w:t>
      </w:r>
      <w:r w:rsidRPr="00750EAE">
        <w:rPr>
          <w:rStyle w:val="af7"/>
          <w:rFonts w:eastAsia="Guttman Hodes"/>
          <w:rtl/>
        </w:rPr>
        <w:fldChar w:fldCharType="end"/>
      </w:r>
      <w:r w:rsidRPr="00750EAE">
        <w:rPr>
          <w:rStyle w:val="af7"/>
          <w:rFonts w:eastAsia="Guttman Hodes" w:hint="cs"/>
          <w:rtl/>
        </w:rPr>
        <w:t xml:space="preserve"> </w:t>
      </w:r>
      <w:r w:rsidRPr="00750EAE">
        <w:rPr>
          <w:rStyle w:val="af7"/>
          <w:rFonts w:eastAsia="Guttman Hodes"/>
          <w:rtl/>
        </w:rPr>
        <w:fldChar w:fldCharType="begin"/>
      </w:r>
      <w:r w:rsidRPr="00750EAE">
        <w:rPr>
          <w:rStyle w:val="af7"/>
          <w:rFonts w:eastAsia="Guttman Hodes"/>
          <w:rtl/>
        </w:rPr>
        <w:instrText xml:space="preserve"> </w:instrText>
      </w:r>
      <w:r w:rsidRPr="00750EAE">
        <w:rPr>
          <w:rStyle w:val="af7"/>
          <w:rFonts w:eastAsia="Guttman Hodes" w:hint="cs"/>
        </w:rPr>
        <w:instrText>REF</w:instrText>
      </w:r>
      <w:r w:rsidRPr="00750EAE">
        <w:rPr>
          <w:rStyle w:val="af7"/>
          <w:rFonts w:eastAsia="Guttman Hodes" w:hint="cs"/>
          <w:rtl/>
        </w:rPr>
        <w:instrText xml:space="preserve"> _</w:instrText>
      </w:r>
      <w:r w:rsidRPr="00750EAE">
        <w:rPr>
          <w:rStyle w:val="af7"/>
          <w:rFonts w:eastAsia="Guttman Hodes" w:hint="cs"/>
        </w:rPr>
        <w:instrText>Ref522188142 \r \h</w:instrText>
      </w:r>
      <w:r w:rsidRPr="00750EAE">
        <w:rPr>
          <w:rStyle w:val="af7"/>
          <w:rFonts w:eastAsia="Guttman Hodes"/>
          <w:rtl/>
        </w:rPr>
        <w:instrText xml:space="preserve"> </w:instrText>
      </w:r>
      <w:r w:rsidRPr="00750EAE">
        <w:rPr>
          <w:rStyle w:val="af7"/>
          <w:rFonts w:eastAsia="Guttman Hodes"/>
          <w:rtl/>
        </w:rPr>
      </w:r>
      <w:r w:rsidRPr="00750EAE">
        <w:rPr>
          <w:rStyle w:val="af7"/>
          <w:rFonts w:eastAsia="Guttman Hodes"/>
          <w:rtl/>
        </w:rPr>
        <w:fldChar w:fldCharType="separate"/>
      </w:r>
      <w:r w:rsidR="00345400">
        <w:rPr>
          <w:rStyle w:val="af7"/>
          <w:rFonts w:eastAsia="Guttman Hodes"/>
          <w:cs/>
        </w:rPr>
        <w:t>‎</w:t>
      </w:r>
      <w:r w:rsidR="00345400">
        <w:rPr>
          <w:rStyle w:val="af7"/>
          <w:rFonts w:eastAsia="Guttman Hodes"/>
          <w:rtl/>
        </w:rPr>
        <w:t>נז)</w:t>
      </w:r>
      <w:r w:rsidRPr="00750EAE">
        <w:rPr>
          <w:rStyle w:val="af7"/>
          <w:rFonts w:eastAsia="Guttman Hodes"/>
          <w:rtl/>
        </w:rPr>
        <w:fldChar w:fldCharType="end"/>
      </w:r>
      <w:r>
        <w:rPr>
          <w:rFonts w:hint="cs"/>
          <w:rtl/>
        </w:rPr>
        <w:t xml:space="preserve"> דמחזיקין מאיסור לאיסור אף לענין טריפה, דחה </w:t>
      </w:r>
      <w:r>
        <w:rPr>
          <w:rStyle w:val="af9"/>
          <w:rFonts w:hint="cs"/>
          <w:rtl/>
        </w:rPr>
        <w:t>ה</w:t>
      </w:r>
      <w:r w:rsidRPr="008266B0">
        <w:rPr>
          <w:rStyle w:val="af9"/>
          <w:rFonts w:hint="cs"/>
          <w:rtl/>
        </w:rPr>
        <w:t>שער"י</w:t>
      </w:r>
      <w:r>
        <w:rPr>
          <w:rFonts w:hint="cs"/>
          <w:rtl/>
        </w:rPr>
        <w:t xml:space="preserve"> </w:t>
      </w:r>
      <w:r w:rsidRPr="008266B0">
        <w:rPr>
          <w:rStyle w:val="af7"/>
          <w:rFonts w:eastAsia="Guttman Hodes" w:hint="cs"/>
          <w:rtl/>
        </w:rPr>
        <w:t>(שער החזקות סופי"ח ד"ה עוד נלענ"ד)</w:t>
      </w:r>
      <w:r>
        <w:rPr>
          <w:rFonts w:hint="cs"/>
          <w:rtl/>
        </w:rPr>
        <w:t xml:space="preserve"> וכתב דכ"מ ששייך להחזיק מאיסור אחד לאיסור אחר, הוא במקום שהתחלף האיסור, דאמרינן שלא יצאה מאיסור להיתר, אבל בספק טריפה צריך לומר שמחיים נטרפה, ומלבד האיסור אבר מן החי שהיה עליה מחיים נתחדש בה איסור נוסף שהוא טריפה, ומחיים א"א להחזיק איסור נוסף על הבהמה מחמת שיש עליה איסור אחר, דהרי הוחזקה רק באיסור אחד ולא בב' איסורים.</w:t>
      </w:r>
    </w:p>
    <w:p w14:paraId="68C8D398" w14:textId="77777777" w:rsidR="00852065" w:rsidRPr="00BD610A" w:rsidRDefault="00852065" w:rsidP="006D6D32">
      <w:pPr>
        <w:pStyle w:val="a3"/>
        <w:rPr>
          <w:rtl/>
        </w:rPr>
      </w:pPr>
      <w:bookmarkStart w:id="1441" w:name="_Toc522200234"/>
      <w:bookmarkStart w:id="1442" w:name="_Toc19389118"/>
      <w:bookmarkStart w:id="1443" w:name="_Toc19392615"/>
      <w:r>
        <w:rPr>
          <w:rFonts w:hint="cs"/>
          <w:rtl/>
        </w:rPr>
        <w:t>ביאור השער"י דע"י החזקת איסור יש לה חזקת חיה ולכן מטמאה בנבילה</w:t>
      </w:r>
      <w:bookmarkEnd w:id="1441"/>
      <w:bookmarkEnd w:id="1442"/>
      <w:bookmarkEnd w:id="1443"/>
    </w:p>
    <w:p w14:paraId="7B6A56BE" w14:textId="77777777" w:rsidR="00852065" w:rsidRDefault="00852065" w:rsidP="00223668">
      <w:pPr>
        <w:pStyle w:val="a0"/>
        <w:rPr>
          <w:rFonts w:eastAsiaTheme="minorEastAsia" w:cstheme="minorBidi"/>
          <w:sz w:val="22"/>
          <w:szCs w:val="22"/>
          <w:rtl/>
        </w:rPr>
      </w:pPr>
      <w:r>
        <w:rPr>
          <w:rFonts w:hint="cs"/>
          <w:rtl/>
        </w:rPr>
        <w:t xml:space="preserve">וע"ע במה שהאריך </w:t>
      </w:r>
      <w:r w:rsidRPr="00C900D4">
        <w:rPr>
          <w:rStyle w:val="af9"/>
          <w:rFonts w:hint="cs"/>
          <w:rtl/>
        </w:rPr>
        <w:t>השער"י</w:t>
      </w:r>
      <w:r w:rsidRPr="006929B7">
        <w:rPr>
          <w:rFonts w:hint="cs"/>
          <w:rtl/>
        </w:rPr>
        <w:t xml:space="preserve"> </w:t>
      </w:r>
      <w:r w:rsidRPr="00A31D5A">
        <w:rPr>
          <w:rStyle w:val="af7"/>
          <w:rFonts w:eastAsia="Guttman Hodes" w:hint="cs"/>
          <w:rtl/>
        </w:rPr>
        <w:t>(שער החזקות פ"ו</w:t>
      </w:r>
      <w:r>
        <w:rPr>
          <w:rStyle w:val="af7"/>
          <w:rFonts w:eastAsia="Guttman Hodes" w:hint="cs"/>
          <w:rtl/>
        </w:rPr>
        <w:t xml:space="preserve">, </w:t>
      </w:r>
      <w:r w:rsidR="00AC7E32">
        <w:rPr>
          <w:rStyle w:val="af7"/>
          <w:rFonts w:eastAsia="Guttman Hodes" w:hint="cs"/>
          <w:rtl/>
        </w:rPr>
        <w:t>הובא בסימן</w:t>
      </w:r>
      <w:r w:rsidRPr="00CB5F03">
        <w:rPr>
          <w:rStyle w:val="af7"/>
          <w:rFonts w:eastAsia="Guttman Hodes" w:hint="cs"/>
          <w:rtl/>
        </w:rPr>
        <w:t xml:space="preserve"> א' אות </w:t>
      </w:r>
      <w:r w:rsidRPr="00CB5F03">
        <w:rPr>
          <w:rStyle w:val="af7"/>
          <w:rFonts w:eastAsia="Guttman Hodes"/>
          <w:rtl/>
        </w:rPr>
        <w:fldChar w:fldCharType="begin"/>
      </w:r>
      <w:r w:rsidRPr="00CB5F03">
        <w:rPr>
          <w:rStyle w:val="af7"/>
          <w:rFonts w:eastAsia="Guttman Hodes"/>
          <w:rtl/>
        </w:rPr>
        <w:instrText xml:space="preserve"> </w:instrText>
      </w:r>
      <w:r w:rsidRPr="00CB5F03">
        <w:rPr>
          <w:rStyle w:val="af7"/>
          <w:rFonts w:eastAsia="Guttman Hodes" w:hint="cs"/>
        </w:rPr>
        <w:instrText>REF</w:instrText>
      </w:r>
      <w:r w:rsidRPr="00CB5F03">
        <w:rPr>
          <w:rStyle w:val="af7"/>
          <w:rFonts w:eastAsia="Guttman Hodes" w:hint="cs"/>
          <w:rtl/>
        </w:rPr>
        <w:instrText xml:space="preserve"> _</w:instrText>
      </w:r>
      <w:r w:rsidRPr="00CB5F03">
        <w:rPr>
          <w:rStyle w:val="af7"/>
          <w:rFonts w:eastAsia="Guttman Hodes" w:hint="cs"/>
        </w:rPr>
        <w:instrText>Ref522262309 \r \h</w:instrText>
      </w:r>
      <w:r w:rsidRPr="00CB5F03">
        <w:rPr>
          <w:rStyle w:val="af7"/>
          <w:rFonts w:eastAsia="Guttman Hodes"/>
          <w:rtl/>
        </w:rPr>
        <w:instrText xml:space="preserve"> </w:instrText>
      </w:r>
      <w:r w:rsidRPr="00CB5F03">
        <w:rPr>
          <w:rStyle w:val="af7"/>
          <w:rFonts w:eastAsia="Guttman Hodes"/>
          <w:rtl/>
        </w:rPr>
      </w:r>
      <w:r w:rsidRPr="00CB5F03">
        <w:rPr>
          <w:rStyle w:val="af7"/>
          <w:rFonts w:eastAsia="Guttman Hodes"/>
          <w:rtl/>
        </w:rPr>
        <w:fldChar w:fldCharType="separate"/>
      </w:r>
      <w:r w:rsidR="00345400">
        <w:rPr>
          <w:rStyle w:val="af7"/>
          <w:rFonts w:eastAsia="Guttman Hodes"/>
          <w:cs/>
        </w:rPr>
        <w:t>‎</w:t>
      </w:r>
      <w:r w:rsidR="00345400">
        <w:rPr>
          <w:rStyle w:val="af7"/>
          <w:rFonts w:eastAsia="Guttman Hodes"/>
          <w:rtl/>
        </w:rPr>
        <w:t>סח)</w:t>
      </w:r>
      <w:r w:rsidRPr="00CB5F03">
        <w:rPr>
          <w:rStyle w:val="af7"/>
          <w:rFonts w:eastAsia="Guttman Hodes"/>
          <w:rtl/>
        </w:rPr>
        <w:fldChar w:fldCharType="end"/>
      </w:r>
      <w:r w:rsidRPr="006929B7">
        <w:rPr>
          <w:rFonts w:hint="cs"/>
          <w:rtl/>
        </w:rPr>
        <w:t xml:space="preserve"> </w:t>
      </w:r>
      <w:r>
        <w:rPr>
          <w:rFonts w:hint="cs"/>
          <w:rtl/>
        </w:rPr>
        <w:t>דהכשר שחיטה בטומאה תלוי בהיתר אכילה, דכשיש לה דין שחוטה אינה נבילה, וכן במה שביאר השער"י</w:t>
      </w:r>
      <w:r>
        <w:rPr>
          <w:rStyle w:val="af7"/>
          <w:rFonts w:eastAsia="Guttman Hodes" w:hint="cs"/>
          <w:rtl/>
        </w:rPr>
        <w:t xml:space="preserve"> </w:t>
      </w:r>
      <w:r w:rsidRPr="00C900D4">
        <w:rPr>
          <w:rStyle w:val="af7"/>
          <w:rFonts w:eastAsia="Guttman Hodes" w:hint="cs"/>
          <w:rtl/>
        </w:rPr>
        <w:t>(שער החזקות פ"ו ד"ה ועפ"ד</w:t>
      </w:r>
      <w:r>
        <w:rPr>
          <w:rStyle w:val="af7"/>
          <w:rFonts w:eastAsia="Guttman Hodes" w:hint="cs"/>
          <w:rtl/>
        </w:rPr>
        <w:t xml:space="preserve">, </w:t>
      </w:r>
      <w:r w:rsidR="00AC7E32">
        <w:rPr>
          <w:rStyle w:val="af7"/>
          <w:rFonts w:eastAsia="Guttman Hodes" w:hint="cs"/>
          <w:rtl/>
        </w:rPr>
        <w:t>הובא בסימן</w:t>
      </w:r>
      <w:r w:rsidRPr="00CB5F03">
        <w:rPr>
          <w:rStyle w:val="af7"/>
          <w:rFonts w:eastAsia="Guttman Hodes" w:hint="cs"/>
          <w:rtl/>
        </w:rPr>
        <w:t xml:space="preserve"> א' אות </w:t>
      </w:r>
      <w:r w:rsidRPr="00CB5F03">
        <w:rPr>
          <w:rStyle w:val="af7"/>
          <w:rFonts w:eastAsia="Guttman Hodes"/>
          <w:rtl/>
        </w:rPr>
        <w:fldChar w:fldCharType="begin"/>
      </w:r>
      <w:r w:rsidRPr="00CB5F03">
        <w:rPr>
          <w:rStyle w:val="af7"/>
          <w:rFonts w:eastAsia="Guttman Hodes"/>
          <w:rtl/>
        </w:rPr>
        <w:instrText xml:space="preserve"> </w:instrText>
      </w:r>
      <w:r w:rsidRPr="00CB5F03">
        <w:rPr>
          <w:rStyle w:val="af7"/>
          <w:rFonts w:eastAsia="Guttman Hodes" w:hint="cs"/>
        </w:rPr>
        <w:instrText>REF</w:instrText>
      </w:r>
      <w:r w:rsidRPr="00CB5F03">
        <w:rPr>
          <w:rStyle w:val="af7"/>
          <w:rFonts w:eastAsia="Guttman Hodes" w:hint="cs"/>
          <w:rtl/>
        </w:rPr>
        <w:instrText xml:space="preserve"> _</w:instrText>
      </w:r>
      <w:r w:rsidRPr="00CB5F03">
        <w:rPr>
          <w:rStyle w:val="af7"/>
          <w:rFonts w:eastAsia="Guttman Hodes" w:hint="cs"/>
        </w:rPr>
        <w:instrText>Ref522262328 \r \h</w:instrText>
      </w:r>
      <w:r w:rsidRPr="00CB5F03">
        <w:rPr>
          <w:rStyle w:val="af7"/>
          <w:rFonts w:eastAsia="Guttman Hodes"/>
          <w:rtl/>
        </w:rPr>
        <w:instrText xml:space="preserve"> </w:instrText>
      </w:r>
      <w:r w:rsidRPr="00CB5F03">
        <w:rPr>
          <w:rStyle w:val="af7"/>
          <w:rFonts w:eastAsia="Guttman Hodes"/>
          <w:rtl/>
        </w:rPr>
      </w:r>
      <w:r w:rsidRPr="00CB5F03">
        <w:rPr>
          <w:rStyle w:val="af7"/>
          <w:rFonts w:eastAsia="Guttman Hodes"/>
          <w:rtl/>
        </w:rPr>
        <w:fldChar w:fldCharType="separate"/>
      </w:r>
      <w:r w:rsidR="00345400">
        <w:rPr>
          <w:rStyle w:val="af7"/>
          <w:rFonts w:eastAsia="Guttman Hodes"/>
          <w:cs/>
        </w:rPr>
        <w:t>‎</w:t>
      </w:r>
      <w:r w:rsidR="00345400">
        <w:rPr>
          <w:rStyle w:val="af7"/>
          <w:rFonts w:eastAsia="Guttman Hodes"/>
          <w:rtl/>
        </w:rPr>
        <w:t>עא)</w:t>
      </w:r>
      <w:r w:rsidRPr="00CB5F03">
        <w:rPr>
          <w:rStyle w:val="af7"/>
          <w:rFonts w:eastAsia="Guttman Hodes"/>
          <w:rtl/>
        </w:rPr>
        <w:fldChar w:fldCharType="end"/>
      </w:r>
      <w:r>
        <w:rPr>
          <w:rFonts w:hint="cs"/>
          <w:rtl/>
        </w:rPr>
        <w:t xml:space="preserve"> </w:t>
      </w:r>
      <w:r>
        <w:rPr>
          <w:rtl/>
        </w:rPr>
        <w:t xml:space="preserve"> </w:t>
      </w:r>
      <w:r w:rsidRPr="00BD610A">
        <w:rPr>
          <w:rStyle w:val="af9"/>
          <w:rtl/>
        </w:rPr>
        <w:t>ברשב"א</w:t>
      </w:r>
      <w:r w:rsidRPr="00BD610A">
        <w:rPr>
          <w:rStyle w:val="af9"/>
          <w:rFonts w:hint="cs"/>
          <w:rtl/>
        </w:rPr>
        <w:t xml:space="preserve"> ביבמות</w:t>
      </w:r>
      <w:r>
        <w:rPr>
          <w:rtl/>
        </w:rPr>
        <w:t xml:space="preserve"> דע"י החזקת איסור יש לה חזקת חיה ולכן ממילא היא מטמאה</w:t>
      </w:r>
      <w:r>
        <w:rPr>
          <w:rFonts w:eastAsiaTheme="minorEastAsia" w:cstheme="minorBidi" w:hint="cs"/>
          <w:sz w:val="22"/>
          <w:szCs w:val="22"/>
          <w:rtl/>
        </w:rPr>
        <w:t>.</w:t>
      </w:r>
    </w:p>
    <w:p w14:paraId="398E9FC6" w14:textId="77777777" w:rsidR="00852065" w:rsidRDefault="00852065" w:rsidP="00BF39B2">
      <w:pPr>
        <w:pStyle w:val="1"/>
        <w:rPr>
          <w:rtl/>
        </w:rPr>
      </w:pPr>
      <w:bookmarkStart w:id="1444" w:name="_Toc522200235"/>
      <w:bookmarkStart w:id="1445" w:name="_Toc19389119"/>
      <w:bookmarkStart w:id="1446" w:name="_Toc19392616"/>
      <w:bookmarkEnd w:id="1374"/>
      <w:r>
        <w:rPr>
          <w:rFonts w:hint="cs"/>
          <w:rtl/>
        </w:rPr>
        <w:t>ביאור הברכ"ש בתוס' ביבמות</w:t>
      </w:r>
      <w:bookmarkEnd w:id="1444"/>
      <w:bookmarkEnd w:id="1445"/>
      <w:bookmarkEnd w:id="1446"/>
    </w:p>
    <w:p w14:paraId="2F94465F" w14:textId="77777777" w:rsidR="00852065" w:rsidRPr="002C6983" w:rsidRDefault="00852065" w:rsidP="006D6D32">
      <w:pPr>
        <w:pStyle w:val="a3"/>
      </w:pPr>
      <w:bookmarkStart w:id="1447" w:name="_Toc522200236"/>
      <w:bookmarkStart w:id="1448" w:name="_Toc19389120"/>
      <w:bookmarkStart w:id="1449" w:name="_Toc19392617"/>
      <w:r>
        <w:rPr>
          <w:rFonts w:hint="cs"/>
          <w:rtl/>
        </w:rPr>
        <w:t>ביאור הברכ"ש בקושית התוס' ביבמות דבצר"ע נחזיק מאל"א כמו בטריפה</w:t>
      </w:r>
      <w:bookmarkEnd w:id="1447"/>
      <w:bookmarkEnd w:id="1448"/>
      <w:bookmarkEnd w:id="1449"/>
    </w:p>
    <w:p w14:paraId="665C8360" w14:textId="77777777" w:rsidR="00852065" w:rsidRDefault="00852065" w:rsidP="00223668">
      <w:pPr>
        <w:pStyle w:val="a0"/>
        <w:rPr>
          <w:rtl/>
        </w:rPr>
      </w:pPr>
      <w:r w:rsidRPr="002C6983">
        <w:rPr>
          <w:rStyle w:val="af9"/>
          <w:rFonts w:hint="cs"/>
          <w:rtl/>
        </w:rPr>
        <w:t>בברכ</w:t>
      </w:r>
      <w:r w:rsidRPr="00C71525">
        <w:rPr>
          <w:rStyle w:val="af9"/>
          <w:rFonts w:hint="cs"/>
          <w:rtl/>
        </w:rPr>
        <w:t>"ש</w:t>
      </w:r>
      <w:r w:rsidRPr="00C71525">
        <w:rPr>
          <w:rFonts w:hint="cs"/>
          <w:rtl/>
        </w:rPr>
        <w:t xml:space="preserve"> </w:t>
      </w:r>
      <w:r w:rsidRPr="00C71525">
        <w:rPr>
          <w:rStyle w:val="af7"/>
          <w:rFonts w:eastAsia="Guttman Hodes" w:hint="cs"/>
          <w:rtl/>
        </w:rPr>
        <w:t>(כתובות סי' ל"ז אות א')</w:t>
      </w:r>
      <w:r w:rsidRPr="00C71525">
        <w:rPr>
          <w:rFonts w:hint="cs"/>
          <w:rtl/>
        </w:rPr>
        <w:t xml:space="preserve"> </w:t>
      </w:r>
      <w:r>
        <w:rPr>
          <w:rFonts w:hint="cs"/>
          <w:rtl/>
        </w:rPr>
        <w:t xml:space="preserve">ביאר </w:t>
      </w:r>
      <w:r w:rsidRPr="00C71525">
        <w:rPr>
          <w:rFonts w:hint="cs"/>
          <w:rtl/>
        </w:rPr>
        <w:t xml:space="preserve">את </w:t>
      </w:r>
      <w:r>
        <w:rPr>
          <w:rFonts w:hint="cs"/>
          <w:rtl/>
        </w:rPr>
        <w:t>קושית</w:t>
      </w:r>
      <w:r w:rsidRPr="00C71525">
        <w:rPr>
          <w:rFonts w:hint="cs"/>
          <w:rtl/>
        </w:rPr>
        <w:t xml:space="preserve"> </w:t>
      </w:r>
      <w:r w:rsidRPr="00C71525">
        <w:rPr>
          <w:rStyle w:val="af9"/>
          <w:rFonts w:hint="cs"/>
          <w:rtl/>
        </w:rPr>
        <w:t>התוס' ביבמות</w:t>
      </w:r>
      <w:r w:rsidRPr="00C71525">
        <w:rPr>
          <w:rFonts w:hint="cs"/>
          <w:rtl/>
        </w:rPr>
        <w:t xml:space="preserve"> </w:t>
      </w:r>
      <w:r w:rsidRPr="00750EAE">
        <w:rPr>
          <w:rStyle w:val="af7"/>
          <w:rFonts w:eastAsia="Guttman Hodes" w:hint="cs"/>
          <w:rtl/>
        </w:rPr>
        <w:t xml:space="preserve">(עי' אות </w:t>
      </w:r>
      <w:r w:rsidRPr="00750EAE">
        <w:rPr>
          <w:rStyle w:val="af7"/>
          <w:rFonts w:eastAsia="Guttman Hodes"/>
          <w:rtl/>
        </w:rPr>
        <w:fldChar w:fldCharType="begin"/>
      </w:r>
      <w:r w:rsidRPr="00750EAE">
        <w:rPr>
          <w:rStyle w:val="af7"/>
          <w:rFonts w:eastAsia="Guttman Hodes"/>
          <w:rtl/>
        </w:rPr>
        <w:instrText xml:space="preserve"> </w:instrText>
      </w:r>
      <w:r w:rsidRPr="00750EAE">
        <w:rPr>
          <w:rStyle w:val="af7"/>
          <w:rFonts w:eastAsia="Guttman Hodes" w:hint="cs"/>
        </w:rPr>
        <w:instrText>REF</w:instrText>
      </w:r>
      <w:r w:rsidRPr="00750EAE">
        <w:rPr>
          <w:rStyle w:val="af7"/>
          <w:rFonts w:eastAsia="Guttman Hodes" w:hint="cs"/>
          <w:rtl/>
        </w:rPr>
        <w:instrText xml:space="preserve"> _</w:instrText>
      </w:r>
      <w:r w:rsidRPr="00750EAE">
        <w:rPr>
          <w:rStyle w:val="af7"/>
          <w:rFonts w:eastAsia="Guttman Hodes" w:hint="cs"/>
        </w:rPr>
        <w:instrText>Ref522199380 \r \h</w:instrText>
      </w:r>
      <w:r w:rsidRPr="00750EAE">
        <w:rPr>
          <w:rStyle w:val="af7"/>
          <w:rFonts w:eastAsia="Guttman Hodes"/>
          <w:rtl/>
        </w:rPr>
        <w:instrText xml:space="preserve"> </w:instrText>
      </w:r>
      <w:r w:rsidRPr="00750EAE">
        <w:rPr>
          <w:rStyle w:val="af7"/>
          <w:rFonts w:eastAsia="Guttman Hodes"/>
          <w:rtl/>
        </w:rPr>
      </w:r>
      <w:r w:rsidRPr="00750EAE">
        <w:rPr>
          <w:rStyle w:val="af7"/>
          <w:rFonts w:eastAsia="Guttman Hodes"/>
          <w:rtl/>
        </w:rPr>
        <w:fldChar w:fldCharType="separate"/>
      </w:r>
      <w:r w:rsidR="00345400">
        <w:rPr>
          <w:rStyle w:val="af7"/>
          <w:rFonts w:eastAsia="Guttman Hodes"/>
          <w:cs/>
        </w:rPr>
        <w:t>‎</w:t>
      </w:r>
      <w:r w:rsidR="00345400">
        <w:rPr>
          <w:rStyle w:val="af7"/>
          <w:rFonts w:eastAsia="Guttman Hodes"/>
          <w:rtl/>
        </w:rPr>
        <w:t>נ)</w:t>
      </w:r>
      <w:r w:rsidRPr="00750EAE">
        <w:rPr>
          <w:rStyle w:val="af7"/>
          <w:rFonts w:eastAsia="Guttman Hodes"/>
          <w:rtl/>
        </w:rPr>
        <w:fldChar w:fldCharType="end"/>
      </w:r>
      <w:r w:rsidRPr="00750EAE">
        <w:rPr>
          <w:rStyle w:val="af7"/>
          <w:rFonts w:eastAsia="Guttman Hodes" w:hint="cs"/>
          <w:rtl/>
        </w:rPr>
        <w:t xml:space="preserve"> </w:t>
      </w:r>
      <w:r>
        <w:rPr>
          <w:rFonts w:hint="cs"/>
          <w:rtl/>
        </w:rPr>
        <w:t xml:space="preserve">דבספק צרת ערוה </w:t>
      </w:r>
      <w:r w:rsidRPr="00C71525">
        <w:rPr>
          <w:rFonts w:hint="cs"/>
          <w:rtl/>
        </w:rPr>
        <w:t xml:space="preserve">נחזיק מאיסור אשת איש לאיסור יבמה לשוק, </w:t>
      </w:r>
      <w:r>
        <w:rPr>
          <w:rFonts w:hint="cs"/>
          <w:rtl/>
        </w:rPr>
        <w:t>כמו בספק דרוסה דמחזיקין מאינו זבוח לטריפה, אף שהאיסור אינו זבוח נסתלק כבר בשחיטה, ואיסור טריפה אינו שייך לאיסור אינו זבוח.</w:t>
      </w:r>
    </w:p>
    <w:p w14:paraId="0628E40D" w14:textId="77777777" w:rsidR="00852065" w:rsidRPr="00F33A4E" w:rsidRDefault="00852065" w:rsidP="006D6D32">
      <w:pPr>
        <w:pStyle w:val="a3"/>
      </w:pPr>
      <w:bookmarkStart w:id="1450" w:name="_Toc522200237"/>
      <w:bookmarkStart w:id="1451" w:name="_Toc19389121"/>
      <w:bookmarkStart w:id="1452" w:name="_Toc19392618"/>
      <w:r>
        <w:rPr>
          <w:rFonts w:hint="cs"/>
          <w:rtl/>
        </w:rPr>
        <w:t>קושית הברכ"ש על התוס' דאיסור אשת אח סותר לחזקה דמכח האשת איש</w:t>
      </w:r>
      <w:bookmarkEnd w:id="1450"/>
      <w:bookmarkEnd w:id="1451"/>
      <w:bookmarkEnd w:id="1452"/>
    </w:p>
    <w:p w14:paraId="69C188F5" w14:textId="77777777" w:rsidR="00852065" w:rsidRPr="0016089F" w:rsidRDefault="00852065" w:rsidP="00223668">
      <w:pPr>
        <w:pStyle w:val="a0"/>
      </w:pPr>
      <w:r>
        <w:rPr>
          <w:rFonts w:hint="cs"/>
          <w:rtl/>
        </w:rPr>
        <w:t xml:space="preserve">והקשה </w:t>
      </w:r>
      <w:r w:rsidRPr="007F55DB">
        <w:rPr>
          <w:rStyle w:val="af9"/>
          <w:rFonts w:hint="cs"/>
          <w:rtl/>
        </w:rPr>
        <w:t>הברכ"ש</w:t>
      </w:r>
      <w:r>
        <w:rPr>
          <w:rFonts w:hint="cs"/>
          <w:rtl/>
        </w:rPr>
        <w:t xml:space="preserve"> על </w:t>
      </w:r>
      <w:r w:rsidRPr="00C71525">
        <w:rPr>
          <w:rStyle w:val="af9"/>
          <w:rFonts w:hint="cs"/>
          <w:rtl/>
        </w:rPr>
        <w:t>התוס' ביבמות</w:t>
      </w:r>
      <w:r w:rsidRPr="00C71525">
        <w:rPr>
          <w:rFonts w:hint="cs"/>
          <w:rtl/>
        </w:rPr>
        <w:t xml:space="preserve"> </w:t>
      </w:r>
      <w:r>
        <w:rPr>
          <w:rFonts w:hint="cs"/>
          <w:rtl/>
        </w:rPr>
        <w:t>דאם מחזיקין מאיסור אשת איש לאיסור יבמה לשוק, דיש עליה זיקה ליבם ואסורה לשוק, א"כ צריך להחזיקה דהיא מותרת ליבם, וקשה דהאיך אפשר להתירה ליבם, הרי מחיים היה עליה איסור אשת אח, וממילא האשת אח סותר את החזקה שמכח האשת איש.</w:t>
      </w:r>
    </w:p>
    <w:p w14:paraId="40B00EB9" w14:textId="77777777" w:rsidR="00852065" w:rsidRPr="00A72527" w:rsidRDefault="00852065" w:rsidP="006D6D32">
      <w:pPr>
        <w:pStyle w:val="a3"/>
      </w:pPr>
      <w:bookmarkStart w:id="1453" w:name="_Toc522200238"/>
      <w:bookmarkStart w:id="1454" w:name="_Toc19389122"/>
      <w:bookmarkStart w:id="1455" w:name="_Toc19392619"/>
      <w:r>
        <w:rPr>
          <w:rFonts w:hint="cs"/>
          <w:rtl/>
        </w:rPr>
        <w:t>קושית הגרב"ב דבצר"ע יש ב' ספיקות בב' נשים וא"א להחזיק מא' על חברתה</w:t>
      </w:r>
      <w:bookmarkEnd w:id="1453"/>
      <w:bookmarkEnd w:id="1454"/>
      <w:bookmarkEnd w:id="1455"/>
    </w:p>
    <w:p w14:paraId="3D31A261" w14:textId="77777777" w:rsidR="00852065" w:rsidRDefault="00852065" w:rsidP="00223668">
      <w:pPr>
        <w:pStyle w:val="a0"/>
        <w:rPr>
          <w:rtl/>
        </w:rPr>
      </w:pPr>
      <w:r w:rsidRPr="00524FB8">
        <w:rPr>
          <w:rStyle w:val="af9"/>
          <w:rFonts w:hint="cs"/>
          <w:rtl/>
        </w:rPr>
        <w:t>ובחו"ש הגרב"ב</w:t>
      </w:r>
      <w:r>
        <w:rPr>
          <w:rFonts w:hint="cs"/>
          <w:rtl/>
        </w:rPr>
        <w:t xml:space="preserve"> </w:t>
      </w:r>
      <w:r w:rsidRPr="00524FB8">
        <w:rPr>
          <w:rStyle w:val="af7"/>
          <w:rFonts w:eastAsia="Guttman Hodes" w:hint="cs"/>
          <w:rtl/>
        </w:rPr>
        <w:t>(יבמות סי' כ"ט)</w:t>
      </w:r>
      <w:r>
        <w:rPr>
          <w:rFonts w:hint="cs"/>
          <w:rtl/>
        </w:rPr>
        <w:t xml:space="preserve"> הוסיף להקשות על </w:t>
      </w:r>
      <w:r w:rsidRPr="00524FB8">
        <w:rPr>
          <w:rStyle w:val="af9"/>
          <w:rFonts w:hint="cs"/>
          <w:rtl/>
        </w:rPr>
        <w:t>התוס' ביבמות</w:t>
      </w:r>
      <w:r>
        <w:rPr>
          <w:rFonts w:hint="cs"/>
          <w:rtl/>
        </w:rPr>
        <w:t xml:space="preserve"> דדבספק צרת ערוה יש ב' ספיקות, הא' ספק  בדין אשת איש בערוה האם נתגרשה, והב' ספק בצרה האם נפלה עם צרת ערוה ליבום, וא"כ אף אי מחזיקין מאיסור לאיסור, א"א לאסור את האשה בחזקת איסור ליבם ע"י שמחזיקין את הערוה בחזקת אשת איש, דהם ב' ספקות בב' נשים ולא מהני חזקת אחת על חברתה</w:t>
      </w:r>
      <w:r>
        <w:rPr>
          <w:rStyle w:val="af1"/>
          <w:rtl/>
        </w:rPr>
        <w:footnoteReference w:id="9"/>
      </w:r>
      <w:r>
        <w:rPr>
          <w:rFonts w:hint="cs"/>
          <w:rtl/>
        </w:rPr>
        <w:t>.</w:t>
      </w:r>
    </w:p>
    <w:p w14:paraId="342F2E8B" w14:textId="77777777" w:rsidR="00852065" w:rsidRDefault="00852065" w:rsidP="00BF39B2">
      <w:pPr>
        <w:pStyle w:val="1"/>
        <w:rPr>
          <w:rtl/>
        </w:rPr>
      </w:pPr>
      <w:bookmarkStart w:id="1456" w:name="_Toc522200239"/>
      <w:bookmarkStart w:id="1457" w:name="_Toc19389123"/>
      <w:bookmarkStart w:id="1458" w:name="_Toc19392620"/>
      <w:r>
        <w:rPr>
          <w:rFonts w:hint="cs"/>
          <w:rtl/>
        </w:rPr>
        <w:t>דברי הגרב"ב בביאור דעת הרשב"א</w:t>
      </w:r>
      <w:bookmarkEnd w:id="1456"/>
      <w:bookmarkEnd w:id="1457"/>
      <w:bookmarkEnd w:id="1458"/>
    </w:p>
    <w:p w14:paraId="11195308" w14:textId="77777777" w:rsidR="00852065" w:rsidRPr="00CC1260" w:rsidRDefault="00852065" w:rsidP="006D6D32">
      <w:pPr>
        <w:pStyle w:val="a3"/>
        <w:rPr>
          <w:rtl/>
        </w:rPr>
      </w:pPr>
      <w:bookmarkStart w:id="1459" w:name="_Toc522200240"/>
      <w:bookmarkStart w:id="1460" w:name="_Toc19389124"/>
      <w:bookmarkStart w:id="1461" w:name="_Toc19392621"/>
      <w:r>
        <w:rPr>
          <w:rFonts w:hint="cs"/>
          <w:rtl/>
        </w:rPr>
        <w:t>ביאור הגרב"ב בתי' הא' ברשב"א דכיון דמוחזקת שלא נשחטה ממילא מטמאה בנבילה</w:t>
      </w:r>
      <w:bookmarkEnd w:id="1459"/>
      <w:bookmarkEnd w:id="1460"/>
      <w:bookmarkEnd w:id="1461"/>
    </w:p>
    <w:p w14:paraId="139306CB" w14:textId="77777777" w:rsidR="00852065" w:rsidRPr="00AB4065" w:rsidRDefault="00852065" w:rsidP="00223668">
      <w:pPr>
        <w:pStyle w:val="a0"/>
        <w:rPr>
          <w:rStyle w:val="af9"/>
          <w:b w:val="0"/>
          <w:bCs w:val="0"/>
        </w:rPr>
      </w:pPr>
      <w:r>
        <w:rPr>
          <w:rFonts w:hint="cs"/>
          <w:rtl/>
        </w:rPr>
        <w:t xml:space="preserve">והנה הביא </w:t>
      </w:r>
      <w:r w:rsidRPr="00E07167">
        <w:rPr>
          <w:rStyle w:val="af9"/>
          <w:rFonts w:hint="cs"/>
          <w:rtl/>
        </w:rPr>
        <w:t>בחו"ש הגרב"ב</w:t>
      </w:r>
      <w:r>
        <w:rPr>
          <w:rFonts w:hint="cs"/>
          <w:rtl/>
        </w:rPr>
        <w:t xml:space="preserve"> </w:t>
      </w:r>
      <w:r w:rsidRPr="00BB0C8C">
        <w:rPr>
          <w:rStyle w:val="af7"/>
          <w:rFonts w:eastAsia="Guttman Hodes" w:hint="cs"/>
          <w:rtl/>
        </w:rPr>
        <w:t>(יבמות סי' כ"ט ד"ה והנה)</w:t>
      </w:r>
      <w:r w:rsidRPr="00EC2343">
        <w:rPr>
          <w:rFonts w:hint="cs"/>
          <w:rtl/>
        </w:rPr>
        <w:t xml:space="preserve"> </w:t>
      </w:r>
      <w:r>
        <w:rPr>
          <w:rFonts w:hint="cs"/>
          <w:rtl/>
        </w:rPr>
        <w:t xml:space="preserve">דכתב </w:t>
      </w:r>
      <w:r w:rsidRPr="00BE3876">
        <w:rPr>
          <w:rStyle w:val="af9"/>
          <w:rFonts w:hint="cs"/>
          <w:rtl/>
        </w:rPr>
        <w:t>הרשב"א</w:t>
      </w:r>
      <w:r>
        <w:rPr>
          <w:rFonts w:hint="cs"/>
          <w:rtl/>
        </w:rPr>
        <w:t xml:space="preserve"> ב' ביאורים בדעת הברייתא דמטמאה בנבילה, וכתב </w:t>
      </w:r>
      <w:r w:rsidRPr="00D86B81">
        <w:rPr>
          <w:rStyle w:val="af9"/>
          <w:rFonts w:hint="cs"/>
          <w:rtl/>
        </w:rPr>
        <w:t>בחו"ש הגרב"ב</w:t>
      </w:r>
      <w:r>
        <w:rPr>
          <w:rFonts w:hint="cs"/>
          <w:rtl/>
        </w:rPr>
        <w:t xml:space="preserve"> דהביאור </w:t>
      </w:r>
      <w:r w:rsidRPr="00EC2343">
        <w:rPr>
          <w:rFonts w:hint="cs"/>
          <w:rtl/>
        </w:rPr>
        <w:t>ב</w:t>
      </w:r>
      <w:r>
        <w:rPr>
          <w:rFonts w:hint="cs"/>
          <w:rtl/>
        </w:rPr>
        <w:t xml:space="preserve">דברי </w:t>
      </w:r>
      <w:r w:rsidRPr="00E07167">
        <w:rPr>
          <w:rStyle w:val="af9"/>
          <w:rFonts w:hint="cs"/>
          <w:rtl/>
        </w:rPr>
        <w:t>הרשב"א בתירוצו הראשון</w:t>
      </w:r>
      <w:r>
        <w:rPr>
          <w:rFonts w:hint="cs"/>
          <w:rtl/>
        </w:rPr>
        <w:t xml:space="preserve"> הוא, דאף שאין לה חזקה לענין טומאה, מ"מ כיון דלענין אכילה מוקמינן לה בחזקתה, שלא היה בה מעשה שחיטה והיא נבילה, לכן יש בה גם טומאת נבילה. </w:t>
      </w:r>
      <w:r w:rsidRPr="002015E4">
        <w:rPr>
          <w:rStyle w:val="afb"/>
          <w:rFonts w:hint="cs"/>
          <w:rtl/>
        </w:rPr>
        <w:t>[</w:t>
      </w:r>
      <w:r w:rsidRPr="00694CF9">
        <w:rPr>
          <w:rStyle w:val="affa"/>
          <w:rFonts w:hint="cs"/>
          <w:rtl/>
        </w:rPr>
        <w:t>הרשב"א בסוגיין</w:t>
      </w:r>
      <w:r w:rsidRPr="00426DB7">
        <w:rPr>
          <w:rStyle w:val="afb"/>
          <w:rFonts w:hint="cs"/>
          <w:rtl/>
        </w:rPr>
        <w:t xml:space="preserve"> </w:t>
      </w:r>
      <w:r w:rsidRPr="00FA5600">
        <w:rPr>
          <w:rStyle w:val="aff6"/>
          <w:rFonts w:hint="cs"/>
          <w:rtl/>
        </w:rPr>
        <w:t>(</w:t>
      </w:r>
      <w:r w:rsidRPr="00893DC6">
        <w:rPr>
          <w:rStyle w:val="aff6"/>
          <w:rFonts w:hint="cs"/>
          <w:rtl/>
        </w:rPr>
        <w:t xml:space="preserve">עי' אות </w:t>
      </w:r>
      <w:r w:rsidRPr="00893DC6">
        <w:rPr>
          <w:rStyle w:val="aff6"/>
          <w:rtl/>
        </w:rPr>
        <w:fldChar w:fldCharType="begin"/>
      </w:r>
      <w:r w:rsidRPr="00893DC6">
        <w:rPr>
          <w:rStyle w:val="aff6"/>
          <w:rtl/>
        </w:rPr>
        <w:instrText xml:space="preserve"> </w:instrText>
      </w:r>
      <w:r w:rsidRPr="00893DC6">
        <w:rPr>
          <w:rStyle w:val="aff6"/>
          <w:rFonts w:hint="cs"/>
        </w:rPr>
        <w:instrText>REF</w:instrText>
      </w:r>
      <w:r w:rsidRPr="00893DC6">
        <w:rPr>
          <w:rStyle w:val="aff6"/>
          <w:rFonts w:hint="cs"/>
          <w:rtl/>
        </w:rPr>
        <w:instrText xml:space="preserve"> _</w:instrText>
      </w:r>
      <w:r w:rsidRPr="00893DC6">
        <w:rPr>
          <w:rStyle w:val="aff6"/>
          <w:rFonts w:hint="cs"/>
        </w:rPr>
        <w:instrText>Ref522187514 \r \h</w:instrText>
      </w:r>
      <w:r w:rsidRPr="00893DC6">
        <w:rPr>
          <w:rStyle w:val="aff6"/>
          <w:rtl/>
        </w:rPr>
        <w:instrText xml:space="preserve"> </w:instrText>
      </w:r>
      <w:r w:rsidRPr="00893DC6">
        <w:rPr>
          <w:rStyle w:val="aff6"/>
          <w:rtl/>
        </w:rPr>
      </w:r>
      <w:r w:rsidRPr="00893DC6">
        <w:rPr>
          <w:rStyle w:val="aff6"/>
          <w:rtl/>
        </w:rPr>
        <w:fldChar w:fldCharType="separate"/>
      </w:r>
      <w:r w:rsidR="00345400">
        <w:rPr>
          <w:rStyle w:val="aff6"/>
          <w:cs/>
        </w:rPr>
        <w:t>‎</w:t>
      </w:r>
      <w:r w:rsidR="00345400">
        <w:rPr>
          <w:rStyle w:val="aff6"/>
          <w:rtl/>
        </w:rPr>
        <w:t>ד)</w:t>
      </w:r>
      <w:r w:rsidRPr="00893DC6">
        <w:rPr>
          <w:rStyle w:val="aff6"/>
          <w:rtl/>
        </w:rPr>
        <w:fldChar w:fldCharType="end"/>
      </w:r>
      <w:r>
        <w:rPr>
          <w:rStyle w:val="afb"/>
          <w:rFonts w:hint="cs"/>
          <w:rtl/>
        </w:rPr>
        <w:t xml:space="preserve"> כתב רק ביאור אחד, ו</w:t>
      </w:r>
      <w:r w:rsidRPr="00426DB7">
        <w:rPr>
          <w:rStyle w:val="afb"/>
          <w:rFonts w:hint="cs"/>
          <w:rtl/>
        </w:rPr>
        <w:t>אולי כוונת</w:t>
      </w:r>
      <w:r>
        <w:rPr>
          <w:rStyle w:val="afb"/>
          <w:rFonts w:hint="cs"/>
          <w:rtl/>
        </w:rPr>
        <w:t xml:space="preserve"> </w:t>
      </w:r>
      <w:r w:rsidRPr="00694CF9">
        <w:rPr>
          <w:rStyle w:val="affa"/>
          <w:rFonts w:hint="cs"/>
          <w:rtl/>
        </w:rPr>
        <w:t>הגרב"ב</w:t>
      </w:r>
      <w:r w:rsidRPr="00426DB7">
        <w:rPr>
          <w:rStyle w:val="afb"/>
          <w:rFonts w:hint="cs"/>
          <w:rtl/>
        </w:rPr>
        <w:t xml:space="preserve"> לדברי </w:t>
      </w:r>
      <w:r w:rsidRPr="00694CF9">
        <w:rPr>
          <w:rStyle w:val="affa"/>
          <w:rFonts w:hint="cs"/>
          <w:rtl/>
        </w:rPr>
        <w:t>הרשב"א</w:t>
      </w:r>
      <w:r w:rsidRPr="00694CF9">
        <w:rPr>
          <w:rStyle w:val="affa"/>
          <w:rtl/>
        </w:rPr>
        <w:t xml:space="preserve"> ביבמות</w:t>
      </w:r>
      <w:r w:rsidRPr="00426DB7">
        <w:rPr>
          <w:rStyle w:val="afb"/>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Ref522187437 \r \h</w:instrText>
      </w:r>
      <w:r>
        <w:rPr>
          <w:rStyle w:val="aff6"/>
          <w:rtl/>
        </w:rPr>
        <w:instrText xml:space="preserve"> </w:instrText>
      </w:r>
      <w:r>
        <w:rPr>
          <w:rStyle w:val="aff6"/>
          <w:rtl/>
        </w:rPr>
      </w:r>
      <w:r>
        <w:rPr>
          <w:rStyle w:val="aff6"/>
          <w:rtl/>
        </w:rPr>
        <w:fldChar w:fldCharType="separate"/>
      </w:r>
      <w:r w:rsidR="00345400">
        <w:rPr>
          <w:rStyle w:val="aff6"/>
          <w:cs/>
        </w:rPr>
        <w:t>‎</w:t>
      </w:r>
      <w:r w:rsidR="00345400">
        <w:rPr>
          <w:rStyle w:val="aff6"/>
          <w:rtl/>
        </w:rPr>
        <w:t>לב)</w:t>
      </w:r>
      <w:r>
        <w:rPr>
          <w:rStyle w:val="aff6"/>
          <w:rtl/>
        </w:rPr>
        <w:fldChar w:fldCharType="end"/>
      </w:r>
      <w:r>
        <w:rPr>
          <w:rStyle w:val="aff6"/>
          <w:rFonts w:hint="cs"/>
          <w:rtl/>
        </w:rPr>
        <w:t xml:space="preserve"> </w:t>
      </w:r>
      <w:r w:rsidRPr="00DA124B">
        <w:rPr>
          <w:rStyle w:val="aff6"/>
          <w:rtl/>
        </w:rPr>
        <w:t xml:space="preserve"> </w:t>
      </w:r>
      <w:r w:rsidRPr="00426DB7">
        <w:rPr>
          <w:rStyle w:val="afb"/>
          <w:rFonts w:hint="cs"/>
          <w:rtl/>
        </w:rPr>
        <w:t xml:space="preserve">דהביא את דברי </w:t>
      </w:r>
      <w:r w:rsidRPr="00694CF9">
        <w:rPr>
          <w:rStyle w:val="affa"/>
          <w:rFonts w:hint="cs"/>
          <w:rtl/>
        </w:rPr>
        <w:t>הרמב"ן</w:t>
      </w:r>
      <w:r w:rsidRPr="00426DB7">
        <w:rPr>
          <w:rStyle w:val="afb"/>
          <w:rFonts w:hint="cs"/>
          <w:rtl/>
        </w:rPr>
        <w:t xml:space="preserve"> </w:t>
      </w:r>
      <w:r w:rsidRPr="00694CF9">
        <w:rPr>
          <w:rStyle w:val="affa"/>
          <w:rtl/>
        </w:rPr>
        <w:t>ביבמות</w:t>
      </w:r>
      <w:r w:rsidRPr="00426DB7">
        <w:rPr>
          <w:rStyle w:val="afb"/>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Ref522187593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כח)</w:t>
      </w:r>
      <w:r>
        <w:rPr>
          <w:rStyle w:val="af7"/>
          <w:rFonts w:eastAsia="Guttman Hodes"/>
          <w:rtl/>
        </w:rPr>
        <w:fldChar w:fldCharType="end"/>
      </w:r>
      <w:r>
        <w:rPr>
          <w:rStyle w:val="af7"/>
          <w:rFonts w:eastAsia="Guttman Hodes" w:hint="cs"/>
          <w:rtl/>
        </w:rPr>
        <w:t xml:space="preserve"> </w:t>
      </w:r>
      <w:r>
        <w:rPr>
          <w:rStyle w:val="afb"/>
          <w:rFonts w:hint="cs"/>
          <w:rtl/>
        </w:rPr>
        <w:t>ודחאו</w:t>
      </w:r>
      <w:r w:rsidRPr="00426DB7">
        <w:rPr>
          <w:rStyle w:val="afb"/>
          <w:rFonts w:hint="cs"/>
          <w:rtl/>
        </w:rPr>
        <w:t xml:space="preserve"> </w:t>
      </w:r>
      <w:r w:rsidRPr="00694CF9">
        <w:rPr>
          <w:rStyle w:val="affa"/>
          <w:rFonts w:hint="cs"/>
          <w:rtl/>
        </w:rPr>
        <w:t>הרשב"א</w:t>
      </w:r>
      <w:r w:rsidRPr="00426DB7">
        <w:rPr>
          <w:rStyle w:val="afb"/>
          <w:rFonts w:hint="cs"/>
          <w:rtl/>
        </w:rPr>
        <w:t xml:space="preserve"> וביאר באופ"א</w:t>
      </w:r>
      <w:r>
        <w:rPr>
          <w:rStyle w:val="afb"/>
          <w:rFonts w:hint="cs"/>
          <w:rtl/>
        </w:rPr>
        <w:t xml:space="preserve">, עיי"ש. אמנם </w:t>
      </w:r>
      <w:r w:rsidRPr="00694CF9">
        <w:rPr>
          <w:rStyle w:val="affa"/>
          <w:rFonts w:hint="cs"/>
          <w:rtl/>
        </w:rPr>
        <w:t>הרשב"א</w:t>
      </w:r>
      <w:r w:rsidRPr="00694CF9">
        <w:rPr>
          <w:rStyle w:val="affa"/>
          <w:rtl/>
        </w:rPr>
        <w:t xml:space="preserve"> ביבמות</w:t>
      </w:r>
      <w:r w:rsidRPr="00426DB7">
        <w:rPr>
          <w:rStyle w:val="afb"/>
          <w:rtl/>
        </w:rPr>
        <w:t xml:space="preserve"> </w:t>
      </w:r>
      <w:r>
        <w:rPr>
          <w:rStyle w:val="afb"/>
          <w:rFonts w:hint="cs"/>
          <w:rtl/>
        </w:rPr>
        <w:t xml:space="preserve">לא ביאר את דין טומאה כלל, אך אולי כוונת </w:t>
      </w:r>
      <w:r w:rsidRPr="00694CF9">
        <w:rPr>
          <w:rStyle w:val="affa"/>
          <w:rFonts w:hint="cs"/>
          <w:rtl/>
        </w:rPr>
        <w:t>הגרב"ב</w:t>
      </w:r>
      <w:r>
        <w:rPr>
          <w:rStyle w:val="afb"/>
          <w:rFonts w:hint="cs"/>
          <w:rtl/>
        </w:rPr>
        <w:t xml:space="preserve"> לבאר את דין טומאה עפי"ד </w:t>
      </w:r>
      <w:r w:rsidRPr="00694CF9">
        <w:rPr>
          <w:rStyle w:val="affa"/>
          <w:rFonts w:hint="cs"/>
          <w:rtl/>
        </w:rPr>
        <w:t>הרשב"א ביבמות</w:t>
      </w:r>
      <w:r>
        <w:rPr>
          <w:rStyle w:val="afb"/>
          <w:rFonts w:hint="cs"/>
          <w:rtl/>
        </w:rPr>
        <w:t xml:space="preserve"> כמבואר מדברי </w:t>
      </w:r>
      <w:r w:rsidRPr="00694CF9">
        <w:rPr>
          <w:rStyle w:val="affa"/>
          <w:rFonts w:hint="cs"/>
          <w:rtl/>
        </w:rPr>
        <w:t>הגרעק"א</w:t>
      </w:r>
      <w:r>
        <w:rPr>
          <w:rStyle w:val="afb"/>
          <w:rFonts w:hint="cs"/>
          <w:rtl/>
        </w:rPr>
        <w:t xml:space="preserve"> וכדכתב </w:t>
      </w:r>
      <w:r w:rsidRPr="00694CF9">
        <w:rPr>
          <w:rStyle w:val="affa"/>
          <w:rFonts w:hint="cs"/>
          <w:rtl/>
        </w:rPr>
        <w:t>האבי עזרי</w:t>
      </w:r>
      <w:r>
        <w:rPr>
          <w:rStyle w:val="afb"/>
          <w:rFonts w:hint="cs"/>
          <w:rtl/>
        </w:rPr>
        <w:t xml:space="preserve"> </w:t>
      </w:r>
      <w:r w:rsidRPr="00AB4065">
        <w:rPr>
          <w:rStyle w:val="af7"/>
          <w:rFonts w:eastAsia="Guttman Hodes" w:hint="cs"/>
          <w:rtl/>
        </w:rPr>
        <w:t>(</w:t>
      </w:r>
      <w:r w:rsidR="00AC7E32">
        <w:rPr>
          <w:rStyle w:val="af7"/>
          <w:rFonts w:eastAsia="Guttman Hodes" w:hint="cs"/>
          <w:rtl/>
        </w:rPr>
        <w:t>הובא בסימן</w:t>
      </w:r>
      <w:r>
        <w:rPr>
          <w:rStyle w:val="af7"/>
          <w:rFonts w:eastAsia="Guttman Hodes" w:hint="cs"/>
          <w:rtl/>
        </w:rPr>
        <w:t xml:space="preserve"> א'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Ref522109006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מב)</w:t>
      </w:r>
      <w:r>
        <w:rPr>
          <w:rStyle w:val="af7"/>
          <w:rFonts w:eastAsia="Guttman Hodes"/>
          <w:rtl/>
        </w:rPr>
        <w:fldChar w:fldCharType="end"/>
      </w:r>
      <w:r w:rsidRPr="002015E4">
        <w:rPr>
          <w:rStyle w:val="afb"/>
          <w:rFonts w:hint="cs"/>
          <w:rtl/>
        </w:rPr>
        <w:t>].</w:t>
      </w:r>
      <w:r w:rsidRPr="00DA124B">
        <w:rPr>
          <w:rStyle w:val="af9"/>
          <w:rFonts w:hint="cs"/>
          <w:rtl/>
        </w:rPr>
        <w:t xml:space="preserve"> </w:t>
      </w:r>
    </w:p>
    <w:p w14:paraId="0A7845A8" w14:textId="77777777" w:rsidR="00852065" w:rsidRDefault="00852065" w:rsidP="006D6D32">
      <w:pPr>
        <w:pStyle w:val="a3"/>
        <w:rPr>
          <w:rtl/>
        </w:rPr>
      </w:pPr>
      <w:bookmarkStart w:id="1462" w:name="_Toc522200241"/>
      <w:bookmarkStart w:id="1463" w:name="_Toc19389125"/>
      <w:bookmarkStart w:id="1464" w:name="_Toc19392622"/>
      <w:r>
        <w:rPr>
          <w:rFonts w:hint="cs"/>
          <w:rtl/>
        </w:rPr>
        <w:t>ביאור הגרב"ב בתי' הא' ברשב"א דבשחיטה הטומאה תלויה בספק בשחיטה</w:t>
      </w:r>
      <w:r w:rsidRPr="008E2428">
        <w:rPr>
          <w:rFonts w:hint="cs"/>
          <w:rtl/>
        </w:rPr>
        <w:t xml:space="preserve"> </w:t>
      </w:r>
      <w:r>
        <w:rPr>
          <w:rFonts w:hint="cs"/>
          <w:rtl/>
        </w:rPr>
        <w:t>וא"א לחלק</w:t>
      </w:r>
      <w:bookmarkEnd w:id="1462"/>
      <w:bookmarkEnd w:id="1463"/>
      <w:bookmarkEnd w:id="1464"/>
    </w:p>
    <w:p w14:paraId="43150271" w14:textId="77777777" w:rsidR="00852065" w:rsidRDefault="00852065" w:rsidP="00223668">
      <w:pPr>
        <w:pStyle w:val="a0"/>
        <w:rPr>
          <w:rtl/>
        </w:rPr>
      </w:pPr>
      <w:r>
        <w:rPr>
          <w:rFonts w:hint="cs"/>
          <w:rtl/>
        </w:rPr>
        <w:t xml:space="preserve">וביאר </w:t>
      </w:r>
      <w:r w:rsidRPr="00A547B8">
        <w:rPr>
          <w:rStyle w:val="af9"/>
          <w:rFonts w:hint="cs"/>
          <w:rtl/>
        </w:rPr>
        <w:t>בחו"ש הגרב"ב</w:t>
      </w:r>
      <w:r w:rsidRPr="00A547B8">
        <w:rPr>
          <w:rStyle w:val="af7"/>
          <w:rFonts w:eastAsia="Guttman Hodes" w:hint="cs"/>
          <w:rtl/>
        </w:rPr>
        <w:t xml:space="preserve"> (יבמות סי' כ"ט ד"ה והנה כ"ז) </w:t>
      </w:r>
      <w:r>
        <w:rPr>
          <w:rFonts w:hint="cs"/>
          <w:rtl/>
        </w:rPr>
        <w:t xml:space="preserve">דהחילוק בין ספק בשחיטה לספק צרת ערוה, הוא דכל דברי </w:t>
      </w:r>
      <w:r>
        <w:rPr>
          <w:rStyle w:val="af9"/>
          <w:rFonts w:hint="cs"/>
          <w:rtl/>
        </w:rPr>
        <w:t>ה</w:t>
      </w:r>
      <w:r w:rsidRPr="00A547B8">
        <w:rPr>
          <w:rStyle w:val="af9"/>
          <w:rFonts w:hint="cs"/>
          <w:rtl/>
        </w:rPr>
        <w:t>רשב"א</w:t>
      </w:r>
      <w:r>
        <w:rPr>
          <w:rFonts w:hint="cs"/>
          <w:rtl/>
        </w:rPr>
        <w:t xml:space="preserve"> </w:t>
      </w:r>
      <w:r>
        <w:rPr>
          <w:rStyle w:val="af9"/>
          <w:rFonts w:hint="cs"/>
          <w:rtl/>
        </w:rPr>
        <w:t>ב</w:t>
      </w:r>
      <w:r w:rsidRPr="00A547B8">
        <w:rPr>
          <w:rStyle w:val="af9"/>
          <w:rFonts w:hint="cs"/>
          <w:rtl/>
        </w:rPr>
        <w:t>תירו</w:t>
      </w:r>
      <w:r>
        <w:rPr>
          <w:rStyle w:val="af9"/>
          <w:rFonts w:hint="cs"/>
          <w:rtl/>
        </w:rPr>
        <w:t>צו</w:t>
      </w:r>
      <w:r w:rsidRPr="00A547B8">
        <w:rPr>
          <w:rStyle w:val="af9"/>
          <w:rFonts w:hint="cs"/>
          <w:rtl/>
        </w:rPr>
        <w:t xml:space="preserve"> הראשון </w:t>
      </w:r>
      <w:r>
        <w:rPr>
          <w:rFonts w:hint="cs"/>
          <w:rtl/>
        </w:rPr>
        <w:t>הם רק בספק בשחיטה, דכיון שיש ספק בשחיטה ממילא היא בחזקת נבילה אף לענין טומאה, דהטומאה תלויה בספק אם נשחטה כראוי, וא"א לחלק את החזקה לחצאין.</w:t>
      </w:r>
    </w:p>
    <w:p w14:paraId="180B7CAC" w14:textId="77777777" w:rsidR="00852065" w:rsidRPr="008E2428" w:rsidRDefault="00852065" w:rsidP="006D6D32">
      <w:pPr>
        <w:pStyle w:val="a3"/>
      </w:pPr>
      <w:bookmarkStart w:id="1465" w:name="_Toc522200242"/>
      <w:bookmarkStart w:id="1466" w:name="_Toc19389126"/>
      <w:bookmarkStart w:id="1467" w:name="_Toc19392623"/>
      <w:r>
        <w:rPr>
          <w:rFonts w:hint="cs"/>
          <w:rtl/>
        </w:rPr>
        <w:t>ביאור הגרב"ב דבצר"ע עצם הספק הוא בדין אשת איש ואינו שייך לספק של הצרה</w:t>
      </w:r>
      <w:bookmarkEnd w:id="1465"/>
      <w:bookmarkEnd w:id="1466"/>
      <w:bookmarkEnd w:id="1467"/>
    </w:p>
    <w:p w14:paraId="0BBAA13D" w14:textId="77777777" w:rsidR="00852065" w:rsidRDefault="00852065" w:rsidP="00223668">
      <w:pPr>
        <w:pStyle w:val="a0"/>
        <w:rPr>
          <w:rtl/>
        </w:rPr>
      </w:pPr>
      <w:r>
        <w:rPr>
          <w:rFonts w:hint="cs"/>
          <w:rtl/>
        </w:rPr>
        <w:t xml:space="preserve">אבל בספק צרת ערוה, ביאר </w:t>
      </w:r>
      <w:r w:rsidRPr="00A547B8">
        <w:rPr>
          <w:rStyle w:val="af9"/>
          <w:rFonts w:hint="cs"/>
          <w:rtl/>
        </w:rPr>
        <w:t>בחו"ש הגרב"ב</w:t>
      </w:r>
      <w:r w:rsidRPr="00A547B8">
        <w:rPr>
          <w:rStyle w:val="af7"/>
          <w:rFonts w:eastAsia="Guttman Hodes" w:hint="cs"/>
          <w:rtl/>
        </w:rPr>
        <w:t xml:space="preserve"> </w:t>
      </w:r>
      <w:r>
        <w:rPr>
          <w:rFonts w:hint="cs"/>
          <w:rtl/>
        </w:rPr>
        <w:t xml:space="preserve">בדברי </w:t>
      </w:r>
      <w:r>
        <w:rPr>
          <w:rStyle w:val="af9"/>
          <w:rFonts w:hint="cs"/>
          <w:rtl/>
        </w:rPr>
        <w:t>ה</w:t>
      </w:r>
      <w:r w:rsidRPr="00A547B8">
        <w:rPr>
          <w:rStyle w:val="af9"/>
          <w:rFonts w:hint="cs"/>
          <w:rtl/>
        </w:rPr>
        <w:t>רשב"א</w:t>
      </w:r>
      <w:r>
        <w:rPr>
          <w:rFonts w:hint="cs"/>
          <w:rtl/>
        </w:rPr>
        <w:t xml:space="preserve"> </w:t>
      </w:r>
      <w:r>
        <w:rPr>
          <w:rStyle w:val="af9"/>
          <w:rFonts w:hint="cs"/>
          <w:rtl/>
        </w:rPr>
        <w:t>ב</w:t>
      </w:r>
      <w:r w:rsidRPr="00A547B8">
        <w:rPr>
          <w:rStyle w:val="af9"/>
          <w:rFonts w:hint="cs"/>
          <w:rtl/>
        </w:rPr>
        <w:t>תירו</w:t>
      </w:r>
      <w:r>
        <w:rPr>
          <w:rStyle w:val="af9"/>
          <w:rFonts w:hint="cs"/>
          <w:rtl/>
        </w:rPr>
        <w:t>צו</w:t>
      </w:r>
      <w:r w:rsidRPr="00A547B8">
        <w:rPr>
          <w:rStyle w:val="af9"/>
          <w:rFonts w:hint="cs"/>
          <w:rtl/>
        </w:rPr>
        <w:t xml:space="preserve"> הראשון </w:t>
      </w:r>
      <w:r>
        <w:rPr>
          <w:rFonts w:hint="cs"/>
          <w:rtl/>
        </w:rPr>
        <w:t>דכיון שעצם הספק הוא בדין אשת איש בערוה האם נתגרשה או לא, ואינו שייך לספק של הצרה בדין יבום כלל, אי"ז נחשב שמחלקין את חזקה לחצאין.</w:t>
      </w:r>
    </w:p>
    <w:p w14:paraId="11C850F8" w14:textId="77777777" w:rsidR="00852065" w:rsidRPr="00694CF9" w:rsidRDefault="00852065" w:rsidP="006D6D32">
      <w:pPr>
        <w:pStyle w:val="a3"/>
        <w:rPr>
          <w:rtl/>
        </w:rPr>
      </w:pPr>
      <w:bookmarkStart w:id="1468" w:name="_Toc522200243"/>
      <w:bookmarkStart w:id="1469" w:name="_Toc19389127"/>
      <w:bookmarkStart w:id="1470" w:name="_Toc19392624"/>
      <w:r>
        <w:rPr>
          <w:rFonts w:hint="cs"/>
          <w:rtl/>
        </w:rPr>
        <w:t>ביאור הגרב"ב בתי' הב' ברשב"א דיש לה חזקת טומאה מחיים לכשתמות בלא שחיטה</w:t>
      </w:r>
      <w:bookmarkEnd w:id="1468"/>
      <w:bookmarkEnd w:id="1469"/>
      <w:bookmarkEnd w:id="1470"/>
    </w:p>
    <w:p w14:paraId="4CD6E939" w14:textId="77777777" w:rsidR="00852065" w:rsidRDefault="00852065" w:rsidP="00223668">
      <w:pPr>
        <w:pStyle w:val="a0"/>
        <w:rPr>
          <w:rtl/>
        </w:rPr>
      </w:pPr>
      <w:r w:rsidRPr="00A547B8">
        <w:rPr>
          <w:rStyle w:val="af9"/>
          <w:rFonts w:hint="cs"/>
          <w:rtl/>
        </w:rPr>
        <w:t>ובתירוץ הב' ברשב"א</w:t>
      </w:r>
      <w:r>
        <w:rPr>
          <w:rStyle w:val="af9"/>
          <w:rFonts w:hint="cs"/>
          <w:rtl/>
        </w:rPr>
        <w:t xml:space="preserve"> </w:t>
      </w:r>
      <w:r>
        <w:rPr>
          <w:rFonts w:hint="cs"/>
          <w:rtl/>
        </w:rPr>
        <w:t xml:space="preserve">ביאר </w:t>
      </w:r>
      <w:r w:rsidRPr="00E07167">
        <w:rPr>
          <w:rStyle w:val="af9"/>
          <w:rFonts w:hint="cs"/>
          <w:rtl/>
        </w:rPr>
        <w:t>בחו"ש הגרב"ב</w:t>
      </w:r>
      <w:r>
        <w:rPr>
          <w:rFonts w:hint="cs"/>
          <w:rtl/>
        </w:rPr>
        <w:t xml:space="preserve"> דאף לענין טומאה יש לה חזקה, כיון שמחיים עמדה לכך שאם יעשה בה מעשה שחיטה שמכשירה לא תטמא בטומאת נבילה, ואם לא יעשה בה מעשה שחיטה תטמא, ולכן בספק אם נעשה בה מעשה שחיטה, יש לה חזקת טומאה דמחיים עמדה לטמא לכשתמות בלא הכשר, וא"כ א"צ לומר דמחמת דאסורה באכילה ממילא מטמאה, אלא הוא חזקה בטומאה גופא.</w:t>
      </w:r>
    </w:p>
    <w:p w14:paraId="6BBE1336" w14:textId="77777777" w:rsidR="00852065" w:rsidRDefault="00852065" w:rsidP="006D6D32">
      <w:pPr>
        <w:pStyle w:val="a3"/>
        <w:rPr>
          <w:rtl/>
        </w:rPr>
      </w:pPr>
      <w:bookmarkStart w:id="1471" w:name="_Toc522200244"/>
      <w:bookmarkStart w:id="1472" w:name="_Toc19389128"/>
      <w:bookmarkStart w:id="1473" w:name="_Toc19392625"/>
      <w:r>
        <w:rPr>
          <w:rFonts w:hint="cs"/>
          <w:rtl/>
        </w:rPr>
        <w:t>דברי הגרב"ב דבצר"ע אין לצרה חזקה בפנ"ע כמו בשחיטה</w:t>
      </w:r>
      <w:bookmarkEnd w:id="1471"/>
      <w:bookmarkEnd w:id="1472"/>
      <w:bookmarkEnd w:id="1473"/>
    </w:p>
    <w:p w14:paraId="75F3E0D8" w14:textId="77777777" w:rsidR="00852065" w:rsidRDefault="00852065" w:rsidP="00223668">
      <w:pPr>
        <w:pStyle w:val="a0"/>
        <w:rPr>
          <w:rtl/>
        </w:rPr>
      </w:pPr>
      <w:r>
        <w:rPr>
          <w:rFonts w:hint="cs"/>
          <w:rtl/>
        </w:rPr>
        <w:t xml:space="preserve">וביאר </w:t>
      </w:r>
      <w:r w:rsidRPr="00A547B8">
        <w:rPr>
          <w:rStyle w:val="af9"/>
          <w:rFonts w:hint="cs"/>
          <w:rtl/>
        </w:rPr>
        <w:t>בחו"ש הגרב"ב</w:t>
      </w:r>
      <w:r>
        <w:rPr>
          <w:rFonts w:hint="cs"/>
          <w:rtl/>
        </w:rPr>
        <w:t xml:space="preserve"> בדברי</w:t>
      </w:r>
      <w:r w:rsidRPr="00A547B8">
        <w:rPr>
          <w:rStyle w:val="af9"/>
          <w:rFonts w:hint="cs"/>
          <w:rtl/>
        </w:rPr>
        <w:t xml:space="preserve"> </w:t>
      </w:r>
      <w:r>
        <w:rPr>
          <w:rStyle w:val="af9"/>
          <w:rFonts w:hint="cs"/>
          <w:rtl/>
        </w:rPr>
        <w:t>ב</w:t>
      </w:r>
      <w:r w:rsidRPr="00A547B8">
        <w:rPr>
          <w:rStyle w:val="af9"/>
          <w:rFonts w:hint="cs"/>
          <w:rtl/>
        </w:rPr>
        <w:t>רשב"א</w:t>
      </w:r>
      <w:r>
        <w:rPr>
          <w:rFonts w:hint="cs"/>
          <w:rtl/>
        </w:rPr>
        <w:t xml:space="preserve"> </w:t>
      </w:r>
      <w:r w:rsidRPr="00A547B8">
        <w:rPr>
          <w:rStyle w:val="af9"/>
          <w:rFonts w:hint="cs"/>
          <w:rtl/>
        </w:rPr>
        <w:t>בתירו</w:t>
      </w:r>
      <w:r>
        <w:rPr>
          <w:rStyle w:val="af9"/>
          <w:rFonts w:hint="cs"/>
          <w:rtl/>
        </w:rPr>
        <w:t>צו</w:t>
      </w:r>
      <w:r>
        <w:rPr>
          <w:rFonts w:hint="cs"/>
          <w:rtl/>
        </w:rPr>
        <w:t xml:space="preserve"> </w:t>
      </w:r>
      <w:r w:rsidRPr="00A547B8">
        <w:rPr>
          <w:rStyle w:val="af9"/>
          <w:rFonts w:hint="cs"/>
          <w:rtl/>
        </w:rPr>
        <w:t>ה</w:t>
      </w:r>
      <w:r>
        <w:rPr>
          <w:rStyle w:val="af9"/>
          <w:rFonts w:hint="cs"/>
          <w:rtl/>
        </w:rPr>
        <w:t xml:space="preserve">שני </w:t>
      </w:r>
      <w:r>
        <w:rPr>
          <w:rFonts w:hint="cs"/>
          <w:rtl/>
        </w:rPr>
        <w:t>דבספק צרת ערוה, אין לצרה חזקה בפנ"ע שמבררת אם היא נופלת ליבום, דהחזקה היא בערוה דהיא אשת איש, ולא בצרה, ולא דמי לספק בשחיטה שיש לה חזקה שלא שנחטה</w:t>
      </w:r>
      <w:r>
        <w:rPr>
          <w:rStyle w:val="af1"/>
          <w:rtl/>
        </w:rPr>
        <w:footnoteReference w:id="10"/>
      </w:r>
      <w:r>
        <w:rPr>
          <w:rFonts w:hint="cs"/>
          <w:rtl/>
        </w:rPr>
        <w:t>.</w:t>
      </w:r>
    </w:p>
    <w:p w14:paraId="2805C3C5" w14:textId="77777777" w:rsidR="00852065" w:rsidRDefault="00852065" w:rsidP="00BF39B2">
      <w:pPr>
        <w:pStyle w:val="1"/>
        <w:rPr>
          <w:rtl/>
        </w:rPr>
      </w:pPr>
      <w:bookmarkStart w:id="1474" w:name="_Toc522200245"/>
      <w:bookmarkStart w:id="1475" w:name="_Toc19389129"/>
      <w:bookmarkStart w:id="1476" w:name="_Toc19392626"/>
      <w:r>
        <w:rPr>
          <w:rFonts w:hint="cs"/>
          <w:rtl/>
        </w:rPr>
        <w:t>קושית הגר"ח דבקידושין נחזיק לאיסור מאשת איש לאשת אח</w:t>
      </w:r>
      <w:bookmarkEnd w:id="1474"/>
      <w:bookmarkEnd w:id="1475"/>
      <w:bookmarkEnd w:id="1476"/>
      <w:r>
        <w:rPr>
          <w:rFonts w:hint="cs"/>
          <w:rtl/>
        </w:rPr>
        <w:t xml:space="preserve"> </w:t>
      </w:r>
    </w:p>
    <w:p w14:paraId="00341571" w14:textId="77777777" w:rsidR="00852065" w:rsidRDefault="00852065" w:rsidP="006D6D32">
      <w:pPr>
        <w:pStyle w:val="a3"/>
        <w:rPr>
          <w:rtl/>
        </w:rPr>
      </w:pPr>
      <w:bookmarkStart w:id="1477" w:name="_Toc522200246"/>
      <w:bookmarkStart w:id="1478" w:name="_Toc19389130"/>
      <w:bookmarkStart w:id="1479" w:name="_Toc19392627"/>
      <w:r>
        <w:rPr>
          <w:rFonts w:hint="cs"/>
          <w:rtl/>
        </w:rPr>
        <w:t>קושית הגר"ח דאמאי בספק קידושין אין מחזיקין מאשת איש לאשת אח</w:t>
      </w:r>
      <w:bookmarkEnd w:id="1477"/>
      <w:bookmarkEnd w:id="1478"/>
      <w:bookmarkEnd w:id="1479"/>
    </w:p>
    <w:p w14:paraId="69273E5B" w14:textId="77777777" w:rsidR="00852065" w:rsidRDefault="00852065" w:rsidP="00223668">
      <w:pPr>
        <w:pStyle w:val="a0"/>
        <w:rPr>
          <w:rtl/>
        </w:rPr>
      </w:pPr>
      <w:r>
        <w:rPr>
          <w:rFonts w:hint="cs"/>
          <w:rtl/>
        </w:rPr>
        <w:t xml:space="preserve">ועוד הביא </w:t>
      </w:r>
      <w:r w:rsidRPr="00750E72">
        <w:rPr>
          <w:rStyle w:val="af9"/>
          <w:rFonts w:hint="cs"/>
          <w:rtl/>
        </w:rPr>
        <w:t>בחו"ש הגרב"ב</w:t>
      </w:r>
      <w:r>
        <w:rPr>
          <w:rFonts w:hint="cs"/>
          <w:rtl/>
        </w:rPr>
        <w:t xml:space="preserve"> </w:t>
      </w:r>
      <w:r w:rsidRPr="00750E72">
        <w:rPr>
          <w:rStyle w:val="af7"/>
          <w:rFonts w:eastAsia="Guttman Hodes" w:hint="cs"/>
          <w:rtl/>
        </w:rPr>
        <w:t xml:space="preserve">(יבמות סי' כ"ט ד"ה הנה בקושית התוס') </w:t>
      </w:r>
      <w:r>
        <w:rPr>
          <w:rFonts w:hint="cs"/>
          <w:rtl/>
        </w:rPr>
        <w:t xml:space="preserve">בשם </w:t>
      </w:r>
      <w:r w:rsidRPr="00750E72">
        <w:rPr>
          <w:rStyle w:val="af9"/>
          <w:rFonts w:hint="cs"/>
          <w:rtl/>
        </w:rPr>
        <w:t>הגר"ח</w:t>
      </w:r>
      <w:r>
        <w:rPr>
          <w:rFonts w:hint="cs"/>
          <w:rtl/>
        </w:rPr>
        <w:t xml:space="preserve"> שהקשה על </w:t>
      </w:r>
      <w:r w:rsidRPr="00750E72">
        <w:rPr>
          <w:rStyle w:val="af9"/>
          <w:rFonts w:hint="cs"/>
          <w:rtl/>
        </w:rPr>
        <w:t>התוס' ביבמות</w:t>
      </w:r>
      <w:r>
        <w:rPr>
          <w:rFonts w:hint="cs"/>
          <w:rtl/>
        </w:rPr>
        <w:t xml:space="preserve"> </w:t>
      </w:r>
      <w:r w:rsidRPr="00893DC6">
        <w:rPr>
          <w:rStyle w:val="af7"/>
          <w:rFonts w:eastAsia="Guttman Hodes" w:hint="cs"/>
          <w:rtl/>
        </w:rPr>
        <w:t xml:space="preserve">(עי' אות </w:t>
      </w:r>
      <w:r w:rsidRPr="00893DC6">
        <w:rPr>
          <w:rStyle w:val="af7"/>
          <w:rFonts w:eastAsia="Guttman Hodes"/>
          <w:rtl/>
        </w:rPr>
        <w:fldChar w:fldCharType="begin"/>
      </w:r>
      <w:r w:rsidRPr="00893DC6">
        <w:rPr>
          <w:rStyle w:val="af7"/>
          <w:rFonts w:eastAsia="Guttman Hodes"/>
          <w:rtl/>
        </w:rPr>
        <w:instrText xml:space="preserve"> </w:instrText>
      </w:r>
      <w:r w:rsidRPr="00893DC6">
        <w:rPr>
          <w:rStyle w:val="af7"/>
          <w:rFonts w:eastAsia="Guttman Hodes" w:hint="cs"/>
        </w:rPr>
        <w:instrText>REF</w:instrText>
      </w:r>
      <w:r w:rsidRPr="00893DC6">
        <w:rPr>
          <w:rStyle w:val="af7"/>
          <w:rFonts w:eastAsia="Guttman Hodes" w:hint="cs"/>
          <w:rtl/>
        </w:rPr>
        <w:instrText xml:space="preserve"> _</w:instrText>
      </w:r>
      <w:r w:rsidRPr="00893DC6">
        <w:rPr>
          <w:rStyle w:val="af7"/>
          <w:rFonts w:eastAsia="Guttman Hodes" w:hint="cs"/>
        </w:rPr>
        <w:instrText>Ref522199551 \r \h</w:instrText>
      </w:r>
      <w:r w:rsidRPr="00893DC6">
        <w:rPr>
          <w:rStyle w:val="af7"/>
          <w:rFonts w:eastAsia="Guttman Hodes"/>
          <w:rtl/>
        </w:rPr>
        <w:instrText xml:space="preserve"> </w:instrText>
      </w:r>
      <w:r w:rsidRPr="00893DC6">
        <w:rPr>
          <w:rStyle w:val="af7"/>
          <w:rFonts w:eastAsia="Guttman Hodes"/>
          <w:rtl/>
        </w:rPr>
      </w:r>
      <w:r w:rsidRPr="00893DC6">
        <w:rPr>
          <w:rStyle w:val="af7"/>
          <w:rFonts w:eastAsia="Guttman Hodes"/>
          <w:rtl/>
        </w:rPr>
        <w:fldChar w:fldCharType="separate"/>
      </w:r>
      <w:r w:rsidR="00345400">
        <w:rPr>
          <w:rStyle w:val="af7"/>
          <w:rFonts w:eastAsia="Guttman Hodes"/>
          <w:cs/>
        </w:rPr>
        <w:t>‎</w:t>
      </w:r>
      <w:r w:rsidR="00345400">
        <w:rPr>
          <w:rStyle w:val="af7"/>
          <w:rFonts w:eastAsia="Guttman Hodes"/>
          <w:rtl/>
        </w:rPr>
        <w:t>מט)</w:t>
      </w:r>
      <w:r w:rsidRPr="00893DC6">
        <w:rPr>
          <w:rStyle w:val="af7"/>
          <w:rFonts w:eastAsia="Guttman Hodes"/>
          <w:rtl/>
        </w:rPr>
        <w:fldChar w:fldCharType="end"/>
      </w:r>
      <w:r>
        <w:rPr>
          <w:rFonts w:hint="cs"/>
          <w:rtl/>
        </w:rPr>
        <w:t xml:space="preserve"> דהקשו היאך בספק קידושין מעמידים אותה בחזקת היתר לשוק, ואמאי אין מחזיקין מאיסור אשת איש מחיים לאיסור יבמה לשוק, הרי אפש"ל דמחזיקין מאיסור אשת איש לאיסור אשת אח ליבם דהיא צרת ערוה ואסורה עליו, והיאך אפשר להתירה ליבם ע"י שמחזיקין מאיסור אשת איש לאיסור יבמה לשוק. ועיי"ש במה שתירץ </w:t>
      </w:r>
      <w:r w:rsidRPr="00750E72">
        <w:rPr>
          <w:rStyle w:val="af9"/>
          <w:rFonts w:hint="cs"/>
          <w:rtl/>
        </w:rPr>
        <w:t>הגר"ח</w:t>
      </w:r>
      <w:r>
        <w:rPr>
          <w:rFonts w:hint="cs"/>
          <w:rtl/>
        </w:rPr>
        <w:t xml:space="preserve"> בגדר חזקת אשת איש.</w:t>
      </w:r>
    </w:p>
    <w:p w14:paraId="21900CA4" w14:textId="77777777" w:rsidR="00852065" w:rsidRDefault="00852065" w:rsidP="00BF39B2">
      <w:pPr>
        <w:pStyle w:val="1"/>
        <w:rPr>
          <w:rtl/>
        </w:rPr>
      </w:pPr>
      <w:bookmarkStart w:id="1480" w:name="_Toc521324887"/>
      <w:bookmarkStart w:id="1481" w:name="_Toc521338194"/>
      <w:bookmarkStart w:id="1482" w:name="_Toc521361994"/>
      <w:bookmarkStart w:id="1483" w:name="_Toc522200247"/>
      <w:bookmarkStart w:id="1484" w:name="_Toc19389131"/>
      <w:bookmarkStart w:id="1485" w:name="_Toc19392628"/>
      <w:r w:rsidRPr="00090806">
        <w:rPr>
          <w:rFonts w:hint="cs"/>
          <w:rtl/>
        </w:rPr>
        <w:t>ביאור רבי ראובן</w:t>
      </w:r>
      <w:bookmarkEnd w:id="1480"/>
      <w:bookmarkEnd w:id="1481"/>
      <w:bookmarkEnd w:id="1482"/>
      <w:r>
        <w:rPr>
          <w:rFonts w:hint="cs"/>
          <w:rtl/>
        </w:rPr>
        <w:t xml:space="preserve"> בדברי התוס' ביבמות</w:t>
      </w:r>
      <w:bookmarkEnd w:id="1483"/>
      <w:bookmarkEnd w:id="1484"/>
      <w:bookmarkEnd w:id="1485"/>
    </w:p>
    <w:p w14:paraId="2E41C0CD" w14:textId="77777777" w:rsidR="00852065" w:rsidRPr="009905AB" w:rsidRDefault="00852065" w:rsidP="006D6D32">
      <w:pPr>
        <w:pStyle w:val="a3"/>
        <w:rPr>
          <w:rtl/>
        </w:rPr>
      </w:pPr>
      <w:bookmarkStart w:id="1486" w:name="_Toc522200248"/>
      <w:bookmarkStart w:id="1487" w:name="_Toc19389132"/>
      <w:bookmarkStart w:id="1488" w:name="_Toc19392629"/>
      <w:r>
        <w:rPr>
          <w:rFonts w:hint="cs"/>
          <w:rtl/>
        </w:rPr>
        <w:t>דברי רבי ראובן דהתוס' לא הקשו מדין מחזיקין מאיסור לאיסור</w:t>
      </w:r>
      <w:bookmarkEnd w:id="1486"/>
      <w:bookmarkEnd w:id="1487"/>
      <w:bookmarkEnd w:id="1488"/>
    </w:p>
    <w:p w14:paraId="2B8E4E6B" w14:textId="77777777" w:rsidR="00852065" w:rsidRPr="004D5025" w:rsidRDefault="00852065" w:rsidP="00223668">
      <w:pPr>
        <w:pStyle w:val="a0"/>
      </w:pPr>
      <w:r w:rsidRPr="004D5025">
        <w:rPr>
          <w:rStyle w:val="af9"/>
          <w:rFonts w:hint="cs"/>
          <w:rtl/>
        </w:rPr>
        <w:t>בחידושי רבי ראובן</w:t>
      </w:r>
      <w:r w:rsidRPr="004D5025">
        <w:rPr>
          <w:rFonts w:hint="cs"/>
          <w:rtl/>
        </w:rPr>
        <w:t xml:space="preserve"> </w:t>
      </w:r>
      <w:r w:rsidRPr="004D5025">
        <w:rPr>
          <w:rStyle w:val="af7"/>
          <w:rFonts w:eastAsia="Guttman Hodes" w:hint="cs"/>
          <w:rtl/>
        </w:rPr>
        <w:t>(יבמות סי' כ"ז)</w:t>
      </w:r>
      <w:r w:rsidRPr="004D5025">
        <w:rPr>
          <w:rFonts w:hint="cs"/>
          <w:rtl/>
        </w:rPr>
        <w:t xml:space="preserve"> הביא את דברי </w:t>
      </w:r>
      <w:r w:rsidRPr="004D5025">
        <w:rPr>
          <w:rStyle w:val="af9"/>
          <w:rFonts w:hint="cs"/>
          <w:rtl/>
        </w:rPr>
        <w:t>התוס' ביבמות</w:t>
      </w:r>
      <w:r w:rsidRPr="004D5025">
        <w:rPr>
          <w:rFonts w:hint="cs"/>
          <w:rtl/>
        </w:rPr>
        <w:t xml:space="preserve"> </w:t>
      </w:r>
      <w:r w:rsidRPr="00720F6B">
        <w:rPr>
          <w:rStyle w:val="af7"/>
          <w:rFonts w:eastAsia="Guttman Hodes" w:hint="cs"/>
          <w:rtl/>
        </w:rPr>
        <w:t xml:space="preserve">(עי' אות </w:t>
      </w:r>
      <w:r w:rsidRPr="00720F6B">
        <w:rPr>
          <w:rStyle w:val="af7"/>
          <w:rFonts w:eastAsia="Guttman Hodes"/>
          <w:rtl/>
        </w:rPr>
        <w:fldChar w:fldCharType="begin"/>
      </w:r>
      <w:r w:rsidRPr="00720F6B">
        <w:rPr>
          <w:rStyle w:val="af7"/>
          <w:rFonts w:eastAsia="Guttman Hodes"/>
          <w:rtl/>
        </w:rPr>
        <w:instrText xml:space="preserve"> </w:instrText>
      </w:r>
      <w:r w:rsidRPr="00720F6B">
        <w:rPr>
          <w:rStyle w:val="af7"/>
          <w:rFonts w:eastAsia="Guttman Hodes" w:hint="cs"/>
        </w:rPr>
        <w:instrText>REF</w:instrText>
      </w:r>
      <w:r w:rsidRPr="00720F6B">
        <w:rPr>
          <w:rStyle w:val="af7"/>
          <w:rFonts w:eastAsia="Guttman Hodes" w:hint="cs"/>
          <w:rtl/>
        </w:rPr>
        <w:instrText xml:space="preserve"> _</w:instrText>
      </w:r>
      <w:r w:rsidRPr="00720F6B">
        <w:rPr>
          <w:rStyle w:val="af7"/>
          <w:rFonts w:eastAsia="Guttman Hodes" w:hint="cs"/>
        </w:rPr>
        <w:instrText>Ref522199551 \r \h</w:instrText>
      </w:r>
      <w:r w:rsidRPr="00720F6B">
        <w:rPr>
          <w:rStyle w:val="af7"/>
          <w:rFonts w:eastAsia="Guttman Hodes"/>
          <w:rtl/>
        </w:rPr>
        <w:instrText xml:space="preserve"> </w:instrText>
      </w:r>
      <w:r w:rsidRPr="00720F6B">
        <w:rPr>
          <w:rStyle w:val="af7"/>
          <w:rFonts w:eastAsia="Guttman Hodes"/>
          <w:rtl/>
        </w:rPr>
      </w:r>
      <w:r w:rsidRPr="00720F6B">
        <w:rPr>
          <w:rStyle w:val="af7"/>
          <w:rFonts w:eastAsia="Guttman Hodes"/>
          <w:rtl/>
        </w:rPr>
        <w:fldChar w:fldCharType="separate"/>
      </w:r>
      <w:r w:rsidR="00345400">
        <w:rPr>
          <w:rStyle w:val="af7"/>
          <w:rFonts w:eastAsia="Guttman Hodes"/>
          <w:cs/>
        </w:rPr>
        <w:t>‎</w:t>
      </w:r>
      <w:r w:rsidR="00345400">
        <w:rPr>
          <w:rStyle w:val="af7"/>
          <w:rFonts w:eastAsia="Guttman Hodes"/>
          <w:rtl/>
        </w:rPr>
        <w:t>מט)</w:t>
      </w:r>
      <w:r w:rsidRPr="00720F6B">
        <w:rPr>
          <w:rStyle w:val="af7"/>
          <w:rFonts w:eastAsia="Guttman Hodes"/>
          <w:rtl/>
        </w:rPr>
        <w:fldChar w:fldCharType="end"/>
      </w:r>
      <w:r w:rsidRPr="004D5025">
        <w:rPr>
          <w:rFonts w:hint="cs"/>
          <w:rtl/>
        </w:rPr>
        <w:t xml:space="preserve"> דהקשו מספק דרוסה על ספק צרת ערוה, וכתב </w:t>
      </w:r>
      <w:r w:rsidRPr="004D5025">
        <w:rPr>
          <w:rStyle w:val="af9"/>
          <w:rFonts w:hint="cs"/>
          <w:rtl/>
        </w:rPr>
        <w:t>רבי ראובן</w:t>
      </w:r>
      <w:r w:rsidRPr="004D5025">
        <w:rPr>
          <w:rFonts w:hint="cs"/>
          <w:rtl/>
        </w:rPr>
        <w:t xml:space="preserve"> דמשמע דלא הוקשה </w:t>
      </w:r>
      <w:r w:rsidRPr="004D5025">
        <w:rPr>
          <w:rStyle w:val="af9"/>
          <w:rFonts w:hint="cs"/>
          <w:rtl/>
        </w:rPr>
        <w:t xml:space="preserve">לתוס' </w:t>
      </w:r>
      <w:r w:rsidRPr="004D5025">
        <w:rPr>
          <w:rFonts w:hint="cs"/>
          <w:rtl/>
        </w:rPr>
        <w:t xml:space="preserve">קושית </w:t>
      </w:r>
      <w:r w:rsidRPr="004D5025">
        <w:rPr>
          <w:rStyle w:val="af9"/>
          <w:rFonts w:hint="cs"/>
          <w:rtl/>
        </w:rPr>
        <w:t>הרמב"ן והרשב"א</w:t>
      </w:r>
      <w:r w:rsidRPr="004D5025">
        <w:rPr>
          <w:rFonts w:hint="cs"/>
          <w:rtl/>
        </w:rPr>
        <w:t xml:space="preserve"> </w:t>
      </w:r>
      <w:r w:rsidRPr="00893DC6">
        <w:rPr>
          <w:rStyle w:val="af7"/>
          <w:rFonts w:eastAsia="Guttman Hodes" w:hint="cs"/>
          <w:rtl/>
        </w:rPr>
        <w:t xml:space="preserve">(עי' אות </w:t>
      </w:r>
      <w:r w:rsidRPr="00893DC6">
        <w:rPr>
          <w:rStyle w:val="af7"/>
          <w:rFonts w:eastAsia="Guttman Hodes"/>
          <w:rtl/>
        </w:rPr>
        <w:fldChar w:fldCharType="begin"/>
      </w:r>
      <w:r w:rsidRPr="00893DC6">
        <w:rPr>
          <w:rStyle w:val="af7"/>
          <w:rFonts w:eastAsia="Guttman Hodes"/>
          <w:rtl/>
        </w:rPr>
        <w:instrText xml:space="preserve"> </w:instrText>
      </w:r>
      <w:r w:rsidRPr="00893DC6">
        <w:rPr>
          <w:rStyle w:val="af7"/>
          <w:rFonts w:eastAsia="Guttman Hodes" w:hint="cs"/>
        </w:rPr>
        <w:instrText>REF</w:instrText>
      </w:r>
      <w:r w:rsidRPr="00893DC6">
        <w:rPr>
          <w:rStyle w:val="af7"/>
          <w:rFonts w:eastAsia="Guttman Hodes" w:hint="cs"/>
          <w:rtl/>
        </w:rPr>
        <w:instrText xml:space="preserve"> _</w:instrText>
      </w:r>
      <w:r w:rsidRPr="00893DC6">
        <w:rPr>
          <w:rStyle w:val="af7"/>
          <w:rFonts w:eastAsia="Guttman Hodes" w:hint="cs"/>
        </w:rPr>
        <w:instrText>Ref522187774 \r \h</w:instrText>
      </w:r>
      <w:r w:rsidRPr="00893DC6">
        <w:rPr>
          <w:rStyle w:val="af7"/>
          <w:rFonts w:eastAsia="Guttman Hodes"/>
          <w:rtl/>
        </w:rPr>
        <w:instrText xml:space="preserve"> </w:instrText>
      </w:r>
      <w:r w:rsidRPr="00893DC6">
        <w:rPr>
          <w:rStyle w:val="af7"/>
          <w:rFonts w:eastAsia="Guttman Hodes"/>
          <w:rtl/>
        </w:rPr>
      </w:r>
      <w:r w:rsidRPr="00893DC6">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893DC6">
        <w:rPr>
          <w:rStyle w:val="af7"/>
          <w:rFonts w:eastAsia="Guttman Hodes"/>
          <w:rtl/>
        </w:rPr>
        <w:fldChar w:fldCharType="end"/>
      </w:r>
      <w:r w:rsidRPr="004D5025">
        <w:rPr>
          <w:rFonts w:hint="cs"/>
          <w:rtl/>
        </w:rPr>
        <w:t xml:space="preserve"> מספק בשחיטה דמוקמינן לה בחזקת איסור דמחזיקין מאיסור אבא מן החי  לאיסור נבילה, ואמאי </w:t>
      </w:r>
      <w:r w:rsidRPr="004D5025">
        <w:rPr>
          <w:rtl/>
        </w:rPr>
        <w:t>בספק צרת ערוה</w:t>
      </w:r>
      <w:r w:rsidRPr="004D5025">
        <w:rPr>
          <w:rFonts w:hint="cs"/>
          <w:rtl/>
        </w:rPr>
        <w:t xml:space="preserve"> לא מחזיקין מאיסור אשת איש לאיסור יבמה לשוק</w:t>
      </w:r>
      <w:r w:rsidRPr="004D5025">
        <w:rPr>
          <w:rStyle w:val="af1"/>
          <w:rtl/>
        </w:rPr>
        <w:footnoteReference w:id="11"/>
      </w:r>
      <w:r w:rsidRPr="004D5025">
        <w:rPr>
          <w:rFonts w:hint="cs"/>
          <w:rtl/>
        </w:rPr>
        <w:t>.</w:t>
      </w:r>
    </w:p>
    <w:p w14:paraId="0D631F76" w14:textId="77777777" w:rsidR="00852065" w:rsidRDefault="00852065" w:rsidP="006D6D32">
      <w:pPr>
        <w:pStyle w:val="a3"/>
      </w:pPr>
      <w:bookmarkStart w:id="1489" w:name="_Toc522200249"/>
      <w:bookmarkStart w:id="1490" w:name="_Toc19389133"/>
      <w:bookmarkStart w:id="1491" w:name="_Toc19392630"/>
      <w:r>
        <w:rPr>
          <w:rFonts w:hint="cs"/>
          <w:rtl/>
        </w:rPr>
        <w:t>ביאור רבי ראובן בתוס' ביבמות דהחזקה היא לפי המצב של זמן הספק</w:t>
      </w:r>
      <w:bookmarkEnd w:id="1489"/>
      <w:bookmarkEnd w:id="1490"/>
      <w:bookmarkEnd w:id="1491"/>
    </w:p>
    <w:p w14:paraId="2EBABB60" w14:textId="77777777" w:rsidR="00852065" w:rsidRDefault="00852065" w:rsidP="00223668">
      <w:pPr>
        <w:pStyle w:val="a0"/>
        <w:rPr>
          <w:rtl/>
        </w:rPr>
      </w:pPr>
      <w:bookmarkStart w:id="1492" w:name="_Ref522198656"/>
      <w:r>
        <w:rPr>
          <w:rFonts w:hint="cs"/>
          <w:rtl/>
        </w:rPr>
        <w:t xml:space="preserve">וכתב </w:t>
      </w:r>
      <w:r w:rsidRPr="00062E39">
        <w:rPr>
          <w:rStyle w:val="af9"/>
          <w:rFonts w:hint="cs"/>
          <w:rtl/>
        </w:rPr>
        <w:t>רבי ראובן דהתוס'</w:t>
      </w:r>
      <w:r>
        <w:rPr>
          <w:rFonts w:hint="cs"/>
          <w:rtl/>
        </w:rPr>
        <w:t xml:space="preserve"> ביארו דהא דבספק צרת ערוה בחזקת יש לה חזקת, אינו מחמת דאין מחזיקין מאיסור אשת איש לאיסור יבמה לשוק, כדביארו </w:t>
      </w:r>
      <w:r w:rsidRPr="00086331">
        <w:rPr>
          <w:rStyle w:val="af9"/>
          <w:rFonts w:hint="cs"/>
          <w:rtl/>
        </w:rPr>
        <w:t>הרשב"א והרמב"ן</w:t>
      </w:r>
      <w:r>
        <w:rPr>
          <w:rFonts w:hint="cs"/>
          <w:rtl/>
        </w:rPr>
        <w:t>, אלא דהחזקת היתר של האשה היא לפי המצב של זמן הספק, והיינו דאף שבחיי הבעל היא בחזקת איסור, מ"מ אף בחיי הבעל יש לה חזקת היתר לשוק, לענין המצב שיהיה לאחר מיתת הבעל, כיון שהיא צרת ערוה, ומחזקינן שלא השתנה ההיתר שלה, ולכן במיתת הבעל החזקת היתר לשוק שהייתה לה מתחילה על המצב שלאחר המיתה, מוציאתה מהחזקת איסור אשת איש שהייתה לה בחיי הבעל.</w:t>
      </w:r>
      <w:bookmarkEnd w:id="1492"/>
    </w:p>
    <w:p w14:paraId="4CB30C9E" w14:textId="77777777" w:rsidR="00852065" w:rsidRDefault="00852065" w:rsidP="006D6D32">
      <w:pPr>
        <w:pStyle w:val="a3"/>
        <w:rPr>
          <w:rtl/>
        </w:rPr>
      </w:pPr>
      <w:bookmarkStart w:id="1493" w:name="_Toc522200250"/>
      <w:bookmarkStart w:id="1494" w:name="_Toc19389134"/>
      <w:bookmarkStart w:id="1495" w:name="_Toc19392631"/>
      <w:r>
        <w:rPr>
          <w:rFonts w:hint="cs"/>
          <w:rtl/>
        </w:rPr>
        <w:t>ביאור רבי ראובן בתוס' דבדרוסה מחיים היא בחזקת היתר למצב של אחר השחיטה</w:t>
      </w:r>
      <w:bookmarkEnd w:id="1493"/>
      <w:bookmarkEnd w:id="1494"/>
      <w:bookmarkEnd w:id="1495"/>
    </w:p>
    <w:p w14:paraId="0BF7F2D3" w14:textId="77777777" w:rsidR="00852065" w:rsidRPr="00384EFD" w:rsidRDefault="00852065" w:rsidP="00223668">
      <w:pPr>
        <w:pStyle w:val="a0"/>
        <w:rPr>
          <w:rtl/>
        </w:rPr>
      </w:pPr>
      <w:r>
        <w:rPr>
          <w:rFonts w:hint="cs"/>
          <w:rtl/>
        </w:rPr>
        <w:t xml:space="preserve">והוסיף </w:t>
      </w:r>
      <w:r w:rsidRPr="00863C63">
        <w:rPr>
          <w:rStyle w:val="af9"/>
          <w:rFonts w:hint="cs"/>
          <w:rtl/>
        </w:rPr>
        <w:t>רבי ראובן</w:t>
      </w:r>
      <w:r>
        <w:rPr>
          <w:rFonts w:hint="cs"/>
          <w:rtl/>
        </w:rPr>
        <w:t xml:space="preserve"> דלכן הקשו </w:t>
      </w:r>
      <w:r w:rsidRPr="009B2F6D">
        <w:rPr>
          <w:rStyle w:val="af9"/>
          <w:rFonts w:hint="cs"/>
          <w:rtl/>
        </w:rPr>
        <w:t>התוס' ביבמות</w:t>
      </w:r>
      <w:r>
        <w:rPr>
          <w:rFonts w:hint="cs"/>
          <w:rtl/>
        </w:rPr>
        <w:t xml:space="preserve"> מספק דרוסה, דמחיים הייתה בחזקת היתר למצב שלאחר שחיטה, ומחזקינן לה שנשארה בחזקתה, ולא היה בה שינוי שמטריף אותה, ואף שבחייה הייתה אסורה באיסור אבר מן החי, ודמי לחזקה דרבה.</w:t>
      </w:r>
    </w:p>
    <w:p w14:paraId="422B51EF" w14:textId="77777777" w:rsidR="00852065" w:rsidRDefault="00852065" w:rsidP="006D6D32">
      <w:pPr>
        <w:pStyle w:val="a3"/>
        <w:rPr>
          <w:rtl/>
        </w:rPr>
      </w:pPr>
      <w:bookmarkStart w:id="1496" w:name="_Toc522200251"/>
      <w:bookmarkStart w:id="1497" w:name="_Toc19389135"/>
      <w:bookmarkStart w:id="1498" w:name="_Toc19392632"/>
      <w:r>
        <w:rPr>
          <w:rFonts w:hint="cs"/>
          <w:rtl/>
        </w:rPr>
        <w:t>דברי רבי ראובן דבספק בשחיטה אין כל חזקה מחיים על המצב של ספק</w:t>
      </w:r>
      <w:bookmarkEnd w:id="1496"/>
      <w:bookmarkEnd w:id="1497"/>
      <w:bookmarkEnd w:id="1498"/>
    </w:p>
    <w:p w14:paraId="12F30A08" w14:textId="77777777" w:rsidR="00852065" w:rsidRDefault="00852065" w:rsidP="00223668">
      <w:pPr>
        <w:pStyle w:val="a0"/>
        <w:rPr>
          <w:rtl/>
        </w:rPr>
      </w:pPr>
      <w:r>
        <w:rPr>
          <w:rFonts w:hint="cs"/>
          <w:rtl/>
        </w:rPr>
        <w:t xml:space="preserve">וכתב </w:t>
      </w:r>
      <w:r w:rsidRPr="009B2F6D">
        <w:rPr>
          <w:rStyle w:val="af9"/>
          <w:rFonts w:hint="cs"/>
          <w:rtl/>
        </w:rPr>
        <w:t>רבי ראובן</w:t>
      </w:r>
      <w:r>
        <w:rPr>
          <w:rFonts w:hint="cs"/>
          <w:rtl/>
        </w:rPr>
        <w:t xml:space="preserve"> דבספק צרת ערוה כיון שכל החזקת היתר על המצב שלאחר מיתת הבעל, היא רק באופן שמחיים כבר הייתה מוחזקת להיתר למצב שלאחר מיתה, לכן בספק בשחיטה לא הוקשה לתוס' ביבמות כלל, דכל החזקה שיש לבהמה מחיים על המצב שלאחר שחיטה הוא רק כששחוטה לפנינו, אבל כשיש ספק בשחיטה, אין לה חזקת היתר מחיים על המצב הזה, ומעמידים אותה בחזקת איסור אבר מן החי שהייתה בו דאין לה חזקת היתר שתוציאנה מהחזקת איסור, ובכה"ג ס"ל </w:t>
      </w:r>
      <w:r w:rsidRPr="00CC1AD6">
        <w:rPr>
          <w:rStyle w:val="af9"/>
          <w:rFonts w:hint="cs"/>
          <w:rtl/>
        </w:rPr>
        <w:t>להתוס' ביבמות</w:t>
      </w:r>
      <w:r>
        <w:rPr>
          <w:rFonts w:hint="cs"/>
          <w:rtl/>
        </w:rPr>
        <w:t xml:space="preserve"> דמחזיקין מאיסור לאיסור, ועי' במה שביאר </w:t>
      </w:r>
      <w:r w:rsidRPr="004059D9">
        <w:rPr>
          <w:rStyle w:val="af9"/>
          <w:rFonts w:hint="cs"/>
          <w:rtl/>
        </w:rPr>
        <w:t>רבי ראובן</w:t>
      </w:r>
      <w:r>
        <w:rPr>
          <w:rFonts w:hint="cs"/>
          <w:rtl/>
        </w:rPr>
        <w:t xml:space="preserve"> </w:t>
      </w:r>
      <w:r w:rsidRPr="00F06371">
        <w:rPr>
          <w:rStyle w:val="af7"/>
          <w:rFonts w:eastAsia="Guttman Hodes" w:hint="cs"/>
          <w:rtl/>
        </w:rPr>
        <w:t xml:space="preserve">(עי' הערה </w:t>
      </w:r>
      <w:r w:rsidRPr="00F06371">
        <w:rPr>
          <w:rStyle w:val="af7"/>
          <w:rFonts w:eastAsia="Guttman Hodes"/>
          <w:rtl/>
        </w:rPr>
        <w:fldChar w:fldCharType="begin"/>
      </w:r>
      <w:r w:rsidRPr="00F06371">
        <w:rPr>
          <w:rStyle w:val="af7"/>
          <w:rFonts w:eastAsia="Guttman Hodes"/>
          <w:rtl/>
        </w:rPr>
        <w:instrText xml:space="preserve"> </w:instrText>
      </w:r>
      <w:r w:rsidRPr="00F06371">
        <w:rPr>
          <w:rStyle w:val="af7"/>
          <w:rFonts w:eastAsia="Guttman Hodes" w:hint="cs"/>
        </w:rPr>
        <w:instrText>NOTEREF</w:instrText>
      </w:r>
      <w:r w:rsidRPr="00F06371">
        <w:rPr>
          <w:rStyle w:val="af7"/>
          <w:rFonts w:eastAsia="Guttman Hodes" w:hint="cs"/>
          <w:rtl/>
        </w:rPr>
        <w:instrText xml:space="preserve"> _</w:instrText>
      </w:r>
      <w:r w:rsidRPr="00F06371">
        <w:rPr>
          <w:rStyle w:val="af7"/>
          <w:rFonts w:eastAsia="Guttman Hodes" w:hint="cs"/>
        </w:rPr>
        <w:instrText>Ref522124644 \h</w:instrText>
      </w:r>
      <w:r w:rsidRPr="00F06371">
        <w:rPr>
          <w:rStyle w:val="af7"/>
          <w:rFonts w:eastAsia="Guttman Hodes"/>
          <w:rtl/>
        </w:rPr>
        <w:instrText xml:space="preserve"> </w:instrText>
      </w:r>
      <w:r w:rsidRPr="00F06371">
        <w:rPr>
          <w:rStyle w:val="af7"/>
          <w:rFonts w:eastAsia="Guttman Hodes"/>
          <w:rtl/>
        </w:rPr>
      </w:r>
      <w:r w:rsidRPr="00F06371">
        <w:rPr>
          <w:rStyle w:val="af7"/>
          <w:rFonts w:eastAsia="Guttman Hodes"/>
          <w:rtl/>
        </w:rPr>
        <w:fldChar w:fldCharType="separate"/>
      </w:r>
      <w:r w:rsidR="00345400">
        <w:rPr>
          <w:rStyle w:val="af7"/>
          <w:rFonts w:eastAsia="Guttman Hodes"/>
          <w:rtl/>
        </w:rPr>
        <w:t>7</w:t>
      </w:r>
      <w:r w:rsidRPr="00F06371">
        <w:rPr>
          <w:rStyle w:val="af7"/>
          <w:rFonts w:eastAsia="Guttman Hodes"/>
          <w:rtl/>
        </w:rPr>
        <w:fldChar w:fldCharType="end"/>
      </w:r>
      <w:r w:rsidRPr="00F06371">
        <w:rPr>
          <w:rStyle w:val="af7"/>
          <w:rFonts w:eastAsia="Guttman Hodes" w:hint="cs"/>
          <w:rtl/>
        </w:rPr>
        <w:t>)</w:t>
      </w:r>
      <w:r>
        <w:rPr>
          <w:rFonts w:hint="cs"/>
          <w:rtl/>
        </w:rPr>
        <w:t xml:space="preserve"> בזה את דברי </w:t>
      </w:r>
      <w:r w:rsidRPr="00F06371">
        <w:rPr>
          <w:rStyle w:val="af9"/>
          <w:rFonts w:hint="cs"/>
          <w:rtl/>
        </w:rPr>
        <w:t>התוס' ישנים ביבמות</w:t>
      </w:r>
      <w:r>
        <w:rPr>
          <w:rFonts w:hint="cs"/>
          <w:rtl/>
        </w:rPr>
        <w:t>.</w:t>
      </w:r>
    </w:p>
    <w:p w14:paraId="10D47DF8" w14:textId="77777777" w:rsidR="00852065" w:rsidRDefault="00852065" w:rsidP="00BF39B2">
      <w:pPr>
        <w:pStyle w:val="1"/>
        <w:rPr>
          <w:rtl/>
        </w:rPr>
      </w:pPr>
      <w:bookmarkStart w:id="1499" w:name="_Toc522200252"/>
      <w:bookmarkStart w:id="1500" w:name="_Toc19389136"/>
      <w:bookmarkStart w:id="1501" w:name="_Toc19392633"/>
      <w:r>
        <w:rPr>
          <w:rFonts w:hint="cs"/>
          <w:rtl/>
        </w:rPr>
        <w:t>ביאור רבי ראובן בדעת הרמב"ן והרשב"א בדין מחזיקין מאל"א</w:t>
      </w:r>
      <w:bookmarkEnd w:id="1499"/>
      <w:bookmarkEnd w:id="1500"/>
      <w:bookmarkEnd w:id="1501"/>
    </w:p>
    <w:p w14:paraId="42F15B40" w14:textId="77777777" w:rsidR="00852065" w:rsidRPr="00801C49" w:rsidRDefault="00852065" w:rsidP="006D6D32">
      <w:pPr>
        <w:pStyle w:val="a3"/>
        <w:rPr>
          <w:rtl/>
        </w:rPr>
      </w:pPr>
      <w:bookmarkStart w:id="1502" w:name="_Toc522200253"/>
      <w:bookmarkStart w:id="1503" w:name="_Toc19389137"/>
      <w:bookmarkStart w:id="1504" w:name="_Toc19392634"/>
      <w:r>
        <w:rPr>
          <w:rFonts w:hint="cs"/>
          <w:rtl/>
        </w:rPr>
        <w:t>דברי רבי ראובן דלרמב"ן והרשב"א ההיתר בצר"ע הוא דאין מחזיקין מאל"א</w:t>
      </w:r>
      <w:bookmarkEnd w:id="1502"/>
      <w:bookmarkEnd w:id="1503"/>
      <w:bookmarkEnd w:id="1504"/>
    </w:p>
    <w:p w14:paraId="40467D04" w14:textId="77777777" w:rsidR="00852065" w:rsidRDefault="00852065" w:rsidP="00223668">
      <w:pPr>
        <w:pStyle w:val="a0"/>
        <w:rPr>
          <w:rtl/>
        </w:rPr>
      </w:pPr>
      <w:r>
        <w:rPr>
          <w:rFonts w:hint="cs"/>
          <w:rtl/>
        </w:rPr>
        <w:t xml:space="preserve">ובדעת </w:t>
      </w:r>
      <w:r w:rsidRPr="009B2F6D">
        <w:rPr>
          <w:rStyle w:val="af9"/>
          <w:rFonts w:hint="cs"/>
          <w:rtl/>
        </w:rPr>
        <w:t>הרמב"ן והרשב"א ביבמות</w:t>
      </w:r>
      <w:r>
        <w:rPr>
          <w:rFonts w:hint="cs"/>
          <w:rtl/>
        </w:rPr>
        <w:t xml:space="preserve"> </w:t>
      </w:r>
      <w:r w:rsidRPr="00893DC6">
        <w:rPr>
          <w:rStyle w:val="af7"/>
          <w:rFonts w:eastAsia="Guttman Hodes" w:hint="cs"/>
          <w:rtl/>
        </w:rPr>
        <w:t xml:space="preserve">(עי' אות </w:t>
      </w:r>
      <w:r w:rsidRPr="00893DC6">
        <w:rPr>
          <w:rStyle w:val="af7"/>
          <w:rFonts w:eastAsia="Guttman Hodes"/>
          <w:rtl/>
        </w:rPr>
        <w:fldChar w:fldCharType="begin"/>
      </w:r>
      <w:r w:rsidRPr="00893DC6">
        <w:rPr>
          <w:rStyle w:val="af7"/>
          <w:rFonts w:eastAsia="Guttman Hodes"/>
          <w:rtl/>
        </w:rPr>
        <w:instrText xml:space="preserve"> </w:instrText>
      </w:r>
      <w:r w:rsidRPr="00893DC6">
        <w:rPr>
          <w:rStyle w:val="af7"/>
          <w:rFonts w:eastAsia="Guttman Hodes" w:hint="cs"/>
        </w:rPr>
        <w:instrText>REF</w:instrText>
      </w:r>
      <w:r w:rsidRPr="00893DC6">
        <w:rPr>
          <w:rStyle w:val="af7"/>
          <w:rFonts w:eastAsia="Guttman Hodes" w:hint="cs"/>
          <w:rtl/>
        </w:rPr>
        <w:instrText xml:space="preserve"> _</w:instrText>
      </w:r>
      <w:r w:rsidRPr="00893DC6">
        <w:rPr>
          <w:rStyle w:val="af7"/>
          <w:rFonts w:eastAsia="Guttman Hodes" w:hint="cs"/>
        </w:rPr>
        <w:instrText>Ref522187774 \r \h</w:instrText>
      </w:r>
      <w:r w:rsidRPr="00893DC6">
        <w:rPr>
          <w:rStyle w:val="af7"/>
          <w:rFonts w:eastAsia="Guttman Hodes"/>
          <w:rtl/>
        </w:rPr>
        <w:instrText xml:space="preserve"> </w:instrText>
      </w:r>
      <w:r w:rsidRPr="00893DC6">
        <w:rPr>
          <w:rStyle w:val="af7"/>
          <w:rFonts w:eastAsia="Guttman Hodes"/>
          <w:rtl/>
        </w:rPr>
      </w:r>
      <w:r w:rsidRPr="00893DC6">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893DC6">
        <w:rPr>
          <w:rStyle w:val="af7"/>
          <w:rFonts w:eastAsia="Guttman Hodes"/>
          <w:rtl/>
        </w:rPr>
        <w:fldChar w:fldCharType="end"/>
      </w:r>
      <w:r>
        <w:rPr>
          <w:rFonts w:hint="cs"/>
          <w:rtl/>
        </w:rPr>
        <w:t xml:space="preserve"> שהקשו מספק בשחיטה, ביאר </w:t>
      </w:r>
      <w:r w:rsidRPr="00CC1AD6">
        <w:rPr>
          <w:rStyle w:val="af9"/>
          <w:rFonts w:hint="cs"/>
          <w:rtl/>
        </w:rPr>
        <w:t>רבי ראובן</w:t>
      </w:r>
      <w:r w:rsidRPr="00CC1AD6">
        <w:rPr>
          <w:rFonts w:hint="cs"/>
          <w:rtl/>
        </w:rPr>
        <w:t xml:space="preserve"> </w:t>
      </w:r>
      <w:r w:rsidRPr="00CC1AD6">
        <w:rPr>
          <w:rStyle w:val="af7"/>
          <w:rFonts w:eastAsia="Guttman Hodes"/>
          <w:rtl/>
        </w:rPr>
        <w:t>(</w:t>
      </w:r>
      <w:r w:rsidRPr="00CC1AD6">
        <w:rPr>
          <w:rStyle w:val="af7"/>
          <w:rFonts w:eastAsia="Guttman Hodes" w:hint="cs"/>
          <w:rtl/>
        </w:rPr>
        <w:t>יבמות סי' כ"ז</w:t>
      </w:r>
      <w:r w:rsidRPr="00CC1AD6">
        <w:rPr>
          <w:rStyle w:val="af7"/>
          <w:rFonts w:eastAsia="Guttman Hodes"/>
          <w:rtl/>
        </w:rPr>
        <w:t xml:space="preserve"> </w:t>
      </w:r>
      <w:r w:rsidRPr="00CC1AD6">
        <w:rPr>
          <w:rStyle w:val="af7"/>
          <w:rFonts w:eastAsia="Guttman Hodes" w:hint="cs"/>
          <w:rtl/>
        </w:rPr>
        <w:t xml:space="preserve">אות א' </w:t>
      </w:r>
      <w:r w:rsidRPr="00CC1AD6">
        <w:rPr>
          <w:rStyle w:val="af7"/>
          <w:rFonts w:eastAsia="Guttman Hodes"/>
          <w:rtl/>
        </w:rPr>
        <w:t>ד"ה והנך)</w:t>
      </w:r>
      <w:r w:rsidRPr="00CC1AD6">
        <w:rPr>
          <w:rtl/>
        </w:rPr>
        <w:t xml:space="preserve"> </w:t>
      </w:r>
      <w:r w:rsidRPr="00CC1AD6">
        <w:rPr>
          <w:rFonts w:hint="cs"/>
          <w:rtl/>
        </w:rPr>
        <w:t>דההיתר בספק צרת ערוה הוא מחמת ד</w:t>
      </w:r>
      <w:r>
        <w:rPr>
          <w:rFonts w:hint="cs"/>
          <w:rtl/>
        </w:rPr>
        <w:t xml:space="preserve">אין מחזיקין מאיסור לאיסור, ולכן הקשו דבסוגיין מבואר דמחזיקין מאיסור אבר מן החי לאיסור נבילה, </w:t>
      </w:r>
      <w:r w:rsidRPr="00086331">
        <w:rPr>
          <w:rStyle w:val="af9"/>
          <w:rFonts w:hint="cs"/>
          <w:rtl/>
        </w:rPr>
        <w:t>כדביאר רש"י</w:t>
      </w:r>
      <w:r>
        <w:rPr>
          <w:rFonts w:hint="cs"/>
          <w:rtl/>
        </w:rPr>
        <w:t xml:space="preserve"> </w:t>
      </w:r>
      <w:r w:rsidRPr="00893DC6">
        <w:rPr>
          <w:rStyle w:val="af7"/>
          <w:rFonts w:eastAsia="Guttman Hodes" w:hint="cs"/>
          <w:rtl/>
        </w:rPr>
        <w:t xml:space="preserve">(עי' אות </w:t>
      </w:r>
      <w:r w:rsidRPr="00893DC6">
        <w:rPr>
          <w:rStyle w:val="af7"/>
          <w:rFonts w:eastAsia="Guttman Hodes"/>
          <w:rtl/>
        </w:rPr>
        <w:fldChar w:fldCharType="begin"/>
      </w:r>
      <w:r w:rsidRPr="00893DC6">
        <w:rPr>
          <w:rStyle w:val="af7"/>
          <w:rFonts w:eastAsia="Guttman Hodes"/>
          <w:rtl/>
        </w:rPr>
        <w:instrText xml:space="preserve"> </w:instrText>
      </w:r>
      <w:r w:rsidRPr="00893DC6">
        <w:rPr>
          <w:rStyle w:val="af7"/>
          <w:rFonts w:eastAsia="Guttman Hodes" w:hint="cs"/>
        </w:rPr>
        <w:instrText>REF</w:instrText>
      </w:r>
      <w:r w:rsidRPr="00893DC6">
        <w:rPr>
          <w:rStyle w:val="af7"/>
          <w:rFonts w:eastAsia="Guttman Hodes" w:hint="cs"/>
          <w:rtl/>
        </w:rPr>
        <w:instrText xml:space="preserve"> _</w:instrText>
      </w:r>
      <w:r w:rsidRPr="00893DC6">
        <w:rPr>
          <w:rStyle w:val="af7"/>
          <w:rFonts w:eastAsia="Guttman Hodes" w:hint="cs"/>
        </w:rPr>
        <w:instrText>Ref522199154 \r \h</w:instrText>
      </w:r>
      <w:r w:rsidRPr="00893DC6">
        <w:rPr>
          <w:rStyle w:val="af7"/>
          <w:rFonts w:eastAsia="Guttman Hodes"/>
          <w:rtl/>
        </w:rPr>
        <w:instrText xml:space="preserve"> </w:instrText>
      </w:r>
      <w:r w:rsidRPr="00893DC6">
        <w:rPr>
          <w:rStyle w:val="af7"/>
          <w:rFonts w:eastAsia="Guttman Hodes"/>
          <w:rtl/>
        </w:rPr>
      </w:r>
      <w:r w:rsidRPr="00893DC6">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893DC6">
        <w:rPr>
          <w:rStyle w:val="af7"/>
          <w:rFonts w:eastAsia="Guttman Hodes"/>
          <w:rtl/>
        </w:rPr>
        <w:fldChar w:fldCharType="end"/>
      </w:r>
      <w:r>
        <w:rPr>
          <w:rFonts w:hint="cs"/>
          <w:rtl/>
        </w:rPr>
        <w:t>.</w:t>
      </w:r>
    </w:p>
    <w:p w14:paraId="6B36E954" w14:textId="77777777" w:rsidR="00852065" w:rsidRPr="003452DD" w:rsidRDefault="00852065" w:rsidP="006D6D32">
      <w:pPr>
        <w:pStyle w:val="a3"/>
        <w:rPr>
          <w:rtl/>
        </w:rPr>
      </w:pPr>
      <w:bookmarkStart w:id="1505" w:name="_Toc522200254"/>
      <w:bookmarkStart w:id="1506" w:name="_Toc19389138"/>
      <w:bookmarkStart w:id="1507" w:name="_Toc19392635"/>
      <w:r>
        <w:rPr>
          <w:rFonts w:hint="cs"/>
          <w:rtl/>
        </w:rPr>
        <w:t>ביאור רבי ראובן דאין מחזיקין מאל"א דהאיסור השני חשיב כהיתר לגבי האיסור הראשון</w:t>
      </w:r>
      <w:bookmarkEnd w:id="1505"/>
      <w:bookmarkEnd w:id="1506"/>
      <w:bookmarkEnd w:id="1507"/>
    </w:p>
    <w:p w14:paraId="34A2246B" w14:textId="77777777" w:rsidR="00852065" w:rsidRDefault="00852065" w:rsidP="00223668">
      <w:pPr>
        <w:pStyle w:val="a0"/>
        <w:rPr>
          <w:rtl/>
        </w:rPr>
      </w:pPr>
      <w:r>
        <w:rPr>
          <w:rFonts w:hint="cs"/>
          <w:rtl/>
        </w:rPr>
        <w:t xml:space="preserve">וביאר </w:t>
      </w:r>
      <w:r w:rsidRPr="009B2F6D">
        <w:rPr>
          <w:rStyle w:val="af9"/>
          <w:rFonts w:hint="cs"/>
          <w:rtl/>
        </w:rPr>
        <w:t>רבי ראובן</w:t>
      </w:r>
      <w:r>
        <w:rPr>
          <w:rFonts w:hint="cs"/>
          <w:rtl/>
        </w:rPr>
        <w:t xml:space="preserve"> </w:t>
      </w:r>
      <w:r w:rsidRPr="009B2F6D">
        <w:rPr>
          <w:rStyle w:val="af7"/>
          <w:rFonts w:eastAsia="Guttman Hodes" w:hint="cs"/>
          <w:rtl/>
        </w:rPr>
        <w:t>(יבמות סי' כ"ז ד"ה ולכאו')</w:t>
      </w:r>
      <w:r>
        <w:rPr>
          <w:rFonts w:hint="cs"/>
          <w:rtl/>
        </w:rPr>
        <w:t xml:space="preserve"> דהטעם דאין מחזיקין מאיסור לאיסור, הוא כיון דכל איסור חשיב כהיתר לגבי איסור אחר, כדעת ר"ל בזבחים </w:t>
      </w:r>
      <w:r w:rsidRPr="00E51497">
        <w:rPr>
          <w:rStyle w:val="af7"/>
          <w:rFonts w:eastAsia="Guttman Hodes" w:hint="cs"/>
          <w:rtl/>
        </w:rPr>
        <w:t>(עח.)</w:t>
      </w:r>
      <w:r>
        <w:rPr>
          <w:rFonts w:hint="cs"/>
          <w:rtl/>
        </w:rPr>
        <w:t xml:space="preserve"> דאיסורין מבטלין זה את זה, </w:t>
      </w:r>
      <w:r w:rsidRPr="00742CBE">
        <w:rPr>
          <w:rStyle w:val="afb"/>
          <w:rFonts w:hint="cs"/>
          <w:rtl/>
        </w:rPr>
        <w:t>[</w:t>
      </w:r>
      <w:r>
        <w:rPr>
          <w:rStyle w:val="afb"/>
          <w:rFonts w:hint="cs"/>
          <w:rtl/>
        </w:rPr>
        <w:t>ו</w:t>
      </w:r>
      <w:r w:rsidRPr="00742CBE">
        <w:rPr>
          <w:rStyle w:val="afb"/>
          <w:rFonts w:hint="cs"/>
          <w:rtl/>
        </w:rPr>
        <w:t xml:space="preserve">מאן דפליג הוא מחמת דמין במינו אינו מבטל], </w:t>
      </w:r>
      <w:r>
        <w:rPr>
          <w:rFonts w:hint="cs"/>
          <w:rtl/>
        </w:rPr>
        <w:t>ולכן לגבי איסור יבמה לשוק, חשיב שמחיים הייתה בחזקת היתר, אף שהייתה אסורה באיסור אשת איש, וכן איסור אבר מן החי חשיב כהיתר לענין איסור נבילה, ואן אבר מן החי ואינו זבוח לענין איסור טריפה.</w:t>
      </w:r>
    </w:p>
    <w:p w14:paraId="4B5BDBBC" w14:textId="77777777" w:rsidR="00852065" w:rsidRDefault="00852065" w:rsidP="006D6D32">
      <w:pPr>
        <w:pStyle w:val="a3"/>
        <w:rPr>
          <w:rtl/>
        </w:rPr>
      </w:pPr>
      <w:bookmarkStart w:id="1508" w:name="_Toc522200255"/>
      <w:bookmarkStart w:id="1509" w:name="_Toc19389139"/>
      <w:bookmarkStart w:id="1510" w:name="_Toc19392636"/>
      <w:r>
        <w:rPr>
          <w:rFonts w:hint="cs"/>
          <w:rtl/>
        </w:rPr>
        <w:t>קושית רבי ראובן דאמאי בספק קידושין יש לה חזקת היתר</w:t>
      </w:r>
      <w:r w:rsidRPr="00F2667C">
        <w:rPr>
          <w:rFonts w:hint="cs"/>
          <w:rtl/>
        </w:rPr>
        <w:t xml:space="preserve"> </w:t>
      </w:r>
      <w:r>
        <w:rPr>
          <w:rFonts w:hint="cs"/>
          <w:rtl/>
        </w:rPr>
        <w:t>הא הוא אותו האיסור</w:t>
      </w:r>
      <w:bookmarkEnd w:id="1508"/>
      <w:bookmarkEnd w:id="1509"/>
      <w:bookmarkEnd w:id="1510"/>
    </w:p>
    <w:p w14:paraId="1E09A459" w14:textId="77777777" w:rsidR="00852065" w:rsidRDefault="00852065" w:rsidP="00223668">
      <w:pPr>
        <w:pStyle w:val="a0"/>
        <w:rPr>
          <w:rtl/>
        </w:rPr>
      </w:pPr>
      <w:r>
        <w:rPr>
          <w:rFonts w:hint="cs"/>
          <w:rtl/>
        </w:rPr>
        <w:t xml:space="preserve">אך הקשה </w:t>
      </w:r>
      <w:r w:rsidRPr="004059D9">
        <w:rPr>
          <w:rStyle w:val="af9"/>
          <w:rFonts w:hint="cs"/>
          <w:rtl/>
        </w:rPr>
        <w:t>רבי ראובן</w:t>
      </w:r>
      <w:r>
        <w:rPr>
          <w:rFonts w:hint="cs"/>
          <w:rtl/>
        </w:rPr>
        <w:t xml:space="preserve"> דא"כ בספק קידושין בערוה, שהצרה היא בחזקת היתר ליבום, והספק הוא האם הותר ליבם האיסור אשת אח שהיה עליה מחיים, והרי מחיים היה עליה גם איסור אשת איש יחד עם האשת אח שהוא אותו האיסור שעליו יש ספק לאחר מיתה, וא"כ  צריך להעמידה בחזקת איסור ליבם ולא בחזקת היתר.</w:t>
      </w:r>
    </w:p>
    <w:p w14:paraId="72F2B721" w14:textId="77777777" w:rsidR="00852065" w:rsidRDefault="00852065" w:rsidP="006D6D32">
      <w:pPr>
        <w:pStyle w:val="a3"/>
        <w:rPr>
          <w:rtl/>
        </w:rPr>
      </w:pPr>
      <w:bookmarkStart w:id="1511" w:name="_Toc522200256"/>
      <w:bookmarkStart w:id="1512" w:name="_Toc19389140"/>
      <w:bookmarkStart w:id="1513" w:name="_Toc19392637"/>
      <w:r>
        <w:rPr>
          <w:rFonts w:hint="cs"/>
          <w:rtl/>
        </w:rPr>
        <w:t>קושית רבי ראובן דבספק קידושין היא בחזקת היתר לשוק</w:t>
      </w:r>
      <w:bookmarkEnd w:id="1511"/>
      <w:bookmarkEnd w:id="1512"/>
      <w:bookmarkEnd w:id="1513"/>
    </w:p>
    <w:p w14:paraId="64687428" w14:textId="77777777" w:rsidR="00852065" w:rsidRDefault="00852065" w:rsidP="00223668">
      <w:pPr>
        <w:pStyle w:val="a0"/>
        <w:rPr>
          <w:rtl/>
        </w:rPr>
      </w:pPr>
      <w:r>
        <w:rPr>
          <w:rFonts w:hint="cs"/>
          <w:rtl/>
        </w:rPr>
        <w:t xml:space="preserve">ועוד הקשה </w:t>
      </w:r>
      <w:r w:rsidRPr="004059D9">
        <w:rPr>
          <w:rStyle w:val="af9"/>
          <w:rFonts w:hint="cs"/>
          <w:rtl/>
        </w:rPr>
        <w:t>רבי ראובן</w:t>
      </w:r>
      <w:r>
        <w:rPr>
          <w:rFonts w:hint="cs"/>
          <w:rtl/>
        </w:rPr>
        <w:t xml:space="preserve"> דבספק קידושין צריך להעמידה בחזקת היתר לשוק, דאף שלפני שנולד הספק לא הייתה צרת ערוה, מ"מ מחיים לא היה עליה איסור יבמה לשוק, אלא איסור אשת איש, וא"כ לענין איסור יבמה לשוק חשיב שהיא בחזקת היתר כיון שאיסור אשת איש הוא כחזקת היתר לאיסור אחר שהוא יבמה לשוק.</w:t>
      </w:r>
    </w:p>
    <w:p w14:paraId="163D1673" w14:textId="77777777" w:rsidR="00852065" w:rsidRDefault="00852065" w:rsidP="006D6D32">
      <w:pPr>
        <w:pStyle w:val="a3"/>
        <w:rPr>
          <w:rtl/>
        </w:rPr>
      </w:pPr>
      <w:bookmarkStart w:id="1514" w:name="_Toc522200257"/>
      <w:bookmarkStart w:id="1515" w:name="_Toc19389141"/>
      <w:bookmarkStart w:id="1516" w:name="_Toc19392638"/>
      <w:r>
        <w:rPr>
          <w:rFonts w:hint="cs"/>
          <w:rtl/>
        </w:rPr>
        <w:t>ביאור רבי ראובן דאף באותו האיסור יש לה חזקה על המצב שלאחר מיתת הבעל</w:t>
      </w:r>
      <w:bookmarkEnd w:id="1514"/>
      <w:bookmarkEnd w:id="1515"/>
      <w:bookmarkEnd w:id="1516"/>
    </w:p>
    <w:p w14:paraId="4092ED2E" w14:textId="77777777" w:rsidR="00852065" w:rsidRDefault="00852065" w:rsidP="00223668">
      <w:pPr>
        <w:pStyle w:val="a0"/>
        <w:rPr>
          <w:rtl/>
        </w:rPr>
      </w:pPr>
      <w:r>
        <w:rPr>
          <w:rFonts w:hint="cs"/>
          <w:rtl/>
        </w:rPr>
        <w:t xml:space="preserve">ותירץ </w:t>
      </w:r>
      <w:r w:rsidRPr="00062E39">
        <w:rPr>
          <w:rStyle w:val="af9"/>
          <w:rFonts w:hint="cs"/>
          <w:rtl/>
        </w:rPr>
        <w:t>רבי ראובן</w:t>
      </w:r>
      <w:r>
        <w:rPr>
          <w:rFonts w:hint="cs"/>
          <w:rtl/>
        </w:rPr>
        <w:t xml:space="preserve"> עפ"י מה שביאר בדעת </w:t>
      </w:r>
      <w:r w:rsidRPr="00062E39">
        <w:rPr>
          <w:rStyle w:val="af9"/>
          <w:rFonts w:hint="cs"/>
          <w:rtl/>
        </w:rPr>
        <w:t xml:space="preserve">התוס' </w:t>
      </w:r>
      <w:r w:rsidRPr="00720F6B">
        <w:rPr>
          <w:rStyle w:val="af7"/>
          <w:rFonts w:eastAsia="Guttman Hodes" w:hint="cs"/>
          <w:rtl/>
        </w:rPr>
        <w:t xml:space="preserve">(עי' אות </w:t>
      </w:r>
      <w:r w:rsidRPr="00720F6B">
        <w:rPr>
          <w:rStyle w:val="af7"/>
          <w:rFonts w:eastAsia="Guttman Hodes"/>
          <w:rtl/>
        </w:rPr>
        <w:fldChar w:fldCharType="begin"/>
      </w:r>
      <w:r w:rsidRPr="00720F6B">
        <w:rPr>
          <w:rStyle w:val="af7"/>
          <w:rFonts w:eastAsia="Guttman Hodes"/>
          <w:rtl/>
        </w:rPr>
        <w:instrText xml:space="preserve"> </w:instrText>
      </w:r>
      <w:r w:rsidRPr="00720F6B">
        <w:rPr>
          <w:rStyle w:val="af7"/>
          <w:rFonts w:eastAsia="Guttman Hodes" w:hint="cs"/>
        </w:rPr>
        <w:instrText>REF</w:instrText>
      </w:r>
      <w:r w:rsidRPr="00720F6B">
        <w:rPr>
          <w:rStyle w:val="af7"/>
          <w:rFonts w:eastAsia="Guttman Hodes" w:hint="cs"/>
          <w:rtl/>
        </w:rPr>
        <w:instrText xml:space="preserve"> _</w:instrText>
      </w:r>
      <w:r w:rsidRPr="00720F6B">
        <w:rPr>
          <w:rStyle w:val="af7"/>
          <w:rFonts w:eastAsia="Guttman Hodes" w:hint="cs"/>
        </w:rPr>
        <w:instrText>Ref522198656 \r \h</w:instrText>
      </w:r>
      <w:r w:rsidRPr="00720F6B">
        <w:rPr>
          <w:rStyle w:val="af7"/>
          <w:rFonts w:eastAsia="Guttman Hodes"/>
          <w:rtl/>
        </w:rPr>
        <w:instrText xml:space="preserve"> </w:instrText>
      </w:r>
      <w:r w:rsidRPr="00720F6B">
        <w:rPr>
          <w:rStyle w:val="af7"/>
          <w:rFonts w:eastAsia="Guttman Hodes"/>
          <w:rtl/>
        </w:rPr>
      </w:r>
      <w:r w:rsidRPr="00720F6B">
        <w:rPr>
          <w:rStyle w:val="af7"/>
          <w:rFonts w:eastAsia="Guttman Hodes"/>
          <w:rtl/>
        </w:rPr>
        <w:fldChar w:fldCharType="separate"/>
      </w:r>
      <w:r w:rsidR="00345400">
        <w:rPr>
          <w:rStyle w:val="af7"/>
          <w:rFonts w:eastAsia="Guttman Hodes"/>
          <w:cs/>
        </w:rPr>
        <w:t>‎</w:t>
      </w:r>
      <w:r w:rsidR="00345400">
        <w:rPr>
          <w:rStyle w:val="af7"/>
          <w:rFonts w:eastAsia="Guttman Hodes"/>
          <w:rtl/>
        </w:rPr>
        <w:t>צה)</w:t>
      </w:r>
      <w:r w:rsidRPr="00720F6B">
        <w:rPr>
          <w:rStyle w:val="af7"/>
          <w:rFonts w:eastAsia="Guttman Hodes"/>
          <w:rtl/>
        </w:rPr>
        <w:fldChar w:fldCharType="end"/>
      </w:r>
      <w:r>
        <w:rPr>
          <w:rFonts w:hint="cs"/>
          <w:rtl/>
        </w:rPr>
        <w:t xml:space="preserve"> דכיון שמחיים יש לאשה חזקה על המצב שיהיה לאחר מיתת הבעל, דתהיה מותרת ליבם, לכן יש לה חזקת היתר, ואף שהספק הוא על אותו האיסור שהיה עליה מחיים שהוא האשת אח, אבל לשוק יש עליה חזקת איסור כיון שעל המצב שלאחר מיתת הבעל היה לה מחיים חזקת איסור לשוק, ואף שמחיים לא היה שייך איסור יבמה לשוק כלל.</w:t>
      </w:r>
    </w:p>
    <w:p w14:paraId="5FA1C86A" w14:textId="77777777" w:rsidR="00852065" w:rsidRDefault="00852065" w:rsidP="006D6D32">
      <w:pPr>
        <w:pStyle w:val="a3"/>
        <w:rPr>
          <w:rtl/>
        </w:rPr>
      </w:pPr>
      <w:bookmarkStart w:id="1517" w:name="_Toc522200258"/>
      <w:bookmarkStart w:id="1518" w:name="_Toc19389142"/>
      <w:bookmarkStart w:id="1519" w:name="_Toc19392639"/>
      <w:r>
        <w:rPr>
          <w:rFonts w:hint="cs"/>
          <w:rtl/>
        </w:rPr>
        <w:t>ביאור רבי ראובן ברמב"ן וברשב"א דכשנגמרה סיבת האיסור הראשון א"א לחדש איסור אחר</w:t>
      </w:r>
      <w:bookmarkEnd w:id="1517"/>
      <w:bookmarkEnd w:id="1518"/>
      <w:bookmarkEnd w:id="1519"/>
    </w:p>
    <w:p w14:paraId="5C926804" w14:textId="77777777" w:rsidR="00852065" w:rsidRDefault="00852065" w:rsidP="00223668">
      <w:pPr>
        <w:pStyle w:val="a0"/>
        <w:rPr>
          <w:rtl/>
        </w:rPr>
      </w:pPr>
      <w:r>
        <w:rPr>
          <w:rFonts w:hint="cs"/>
          <w:rtl/>
        </w:rPr>
        <w:t xml:space="preserve">אלא ביאר </w:t>
      </w:r>
      <w:r w:rsidRPr="00086331">
        <w:rPr>
          <w:rStyle w:val="af9"/>
          <w:rFonts w:hint="cs"/>
          <w:rtl/>
        </w:rPr>
        <w:t>רבי ראובן</w:t>
      </w:r>
      <w:r>
        <w:rPr>
          <w:rFonts w:hint="cs"/>
          <w:rtl/>
        </w:rPr>
        <w:t xml:space="preserve"> </w:t>
      </w:r>
      <w:r w:rsidRPr="00086331">
        <w:rPr>
          <w:rStyle w:val="af7"/>
          <w:rFonts w:eastAsia="Guttman Hodes" w:hint="cs"/>
          <w:rtl/>
        </w:rPr>
        <w:t>(יבמות סי' כ"ז ד"ה על כן)</w:t>
      </w:r>
      <w:r>
        <w:rPr>
          <w:rFonts w:hint="cs"/>
          <w:rtl/>
        </w:rPr>
        <w:t xml:space="preserve"> דהטעם דלדעת </w:t>
      </w:r>
      <w:r w:rsidRPr="00310155">
        <w:rPr>
          <w:rStyle w:val="af9"/>
          <w:rFonts w:hint="cs"/>
          <w:rtl/>
        </w:rPr>
        <w:t>הרמב"ן והרשב"א</w:t>
      </w:r>
      <w:r>
        <w:rPr>
          <w:rFonts w:hint="cs"/>
          <w:rtl/>
        </w:rPr>
        <w:t xml:space="preserve"> דאין מחזיקין מאיסור לאיסור, אינו מחמת שהוא מאיסור אחד לאיסור אחר, אלא דכל שנגמרה סיבת האיסור הראשון, ממילא האיסור מותר כבר, ויש ספק אם נתחדש מעשה אחר שיאסור מכאן ולהבא, ובכה"ג אמרינן דאין מחזיקין מאיסור לאיסור, אפילו אם הספק הוא באותו לאו ובאותו האיסור, כל שסיבת האיסור הראשון כלתה, ונתחדש מעשה נוסף שאוסרה מחמת אותו האיסור, ועיי"ש במה שהביא </w:t>
      </w:r>
      <w:r w:rsidRPr="00284DC4">
        <w:rPr>
          <w:rStyle w:val="af9"/>
          <w:rFonts w:hint="cs"/>
          <w:rtl/>
        </w:rPr>
        <w:t>רבי ראובן</w:t>
      </w:r>
      <w:r>
        <w:rPr>
          <w:rFonts w:hint="cs"/>
          <w:rtl/>
        </w:rPr>
        <w:t xml:space="preserve"> ראיה לביאור זה, מנאמנות אשה בז' נקיים, ומדינא דנזיר בטומאת התהום.</w:t>
      </w:r>
    </w:p>
    <w:p w14:paraId="77AD55AA" w14:textId="77777777" w:rsidR="00852065" w:rsidRDefault="00852065" w:rsidP="006D6D32">
      <w:pPr>
        <w:pStyle w:val="a3"/>
      </w:pPr>
      <w:bookmarkStart w:id="1520" w:name="_Toc522200259"/>
      <w:bookmarkStart w:id="1521" w:name="_Toc19389143"/>
      <w:bookmarkStart w:id="1522" w:name="_Toc19392640"/>
      <w:r>
        <w:rPr>
          <w:rFonts w:hint="cs"/>
          <w:rtl/>
        </w:rPr>
        <w:t>ביאור רבי ראובן דבספק קידושין נסתלקה סיבת האיסור וצריך לחדש איסור על היבם</w:t>
      </w:r>
      <w:bookmarkEnd w:id="1520"/>
      <w:bookmarkEnd w:id="1521"/>
      <w:bookmarkEnd w:id="1522"/>
    </w:p>
    <w:p w14:paraId="4FBC5065" w14:textId="77777777" w:rsidR="00852065" w:rsidRDefault="00852065" w:rsidP="00223668">
      <w:pPr>
        <w:pStyle w:val="a0"/>
        <w:rPr>
          <w:rtl/>
        </w:rPr>
      </w:pPr>
      <w:r>
        <w:rPr>
          <w:rFonts w:hint="cs"/>
          <w:rtl/>
        </w:rPr>
        <w:t xml:space="preserve">וכתב </w:t>
      </w:r>
      <w:r w:rsidRPr="00611022">
        <w:rPr>
          <w:rStyle w:val="af9"/>
          <w:rFonts w:hint="cs"/>
          <w:rtl/>
        </w:rPr>
        <w:t>רבי ראובן</w:t>
      </w:r>
      <w:r w:rsidRPr="00611022">
        <w:rPr>
          <w:rStyle w:val="af7"/>
          <w:rFonts w:eastAsia="Guttman Hodes" w:hint="cs"/>
          <w:rtl/>
        </w:rPr>
        <w:t xml:space="preserve"> (יבמות סי' כ"ז ד"ה והשתא) </w:t>
      </w:r>
      <w:r>
        <w:rPr>
          <w:rFonts w:hint="cs"/>
          <w:rtl/>
        </w:rPr>
        <w:t>דבזה מבואר הא דבספק קידושין מעמידים אותה בחזקת היתר ליבם, דאף שמחיים הייתה אסורה באיסור אשת אח, מ"מ כשמת הבעל נסתלקה סיבת האיסור, כיון שאינה צרת ערוה ונופלת ליבום, וא"א להמשיך את האיסור אשת אח, ע"י שנאמר שנתחדש בה דין צרת ערוה ע"י הספק קידושין בצרתה.</w:t>
      </w:r>
    </w:p>
    <w:p w14:paraId="0665136D" w14:textId="77777777" w:rsidR="00852065" w:rsidRDefault="00852065" w:rsidP="006D6D32">
      <w:pPr>
        <w:pStyle w:val="a3"/>
        <w:rPr>
          <w:rtl/>
        </w:rPr>
      </w:pPr>
      <w:bookmarkStart w:id="1523" w:name="_Toc522200260"/>
      <w:bookmarkStart w:id="1524" w:name="_Toc19389144"/>
      <w:bookmarkStart w:id="1525" w:name="_Toc19392641"/>
      <w:r>
        <w:rPr>
          <w:rFonts w:hint="cs"/>
          <w:rtl/>
        </w:rPr>
        <w:t>ביאור רבי ראובן דבסוגיין מבואר דאף שנסתלקה סיבת האבמה"ח מחזיקין לנבילה</w:t>
      </w:r>
      <w:bookmarkEnd w:id="1523"/>
      <w:bookmarkEnd w:id="1524"/>
      <w:bookmarkEnd w:id="1525"/>
    </w:p>
    <w:p w14:paraId="6EA7032D" w14:textId="77777777" w:rsidR="00852065" w:rsidRDefault="00852065" w:rsidP="00223668">
      <w:pPr>
        <w:pStyle w:val="a0"/>
        <w:rPr>
          <w:rtl/>
        </w:rPr>
      </w:pPr>
      <w:r>
        <w:rPr>
          <w:rFonts w:hint="cs"/>
          <w:rtl/>
        </w:rPr>
        <w:t xml:space="preserve">והא דהקשו </w:t>
      </w:r>
      <w:r w:rsidRPr="00611022">
        <w:rPr>
          <w:rStyle w:val="af9"/>
          <w:rFonts w:hint="cs"/>
          <w:rtl/>
        </w:rPr>
        <w:t>הרמב"ן והרשב"א</w:t>
      </w:r>
      <w:r>
        <w:rPr>
          <w:rFonts w:hint="cs"/>
          <w:rtl/>
        </w:rPr>
        <w:t xml:space="preserve"> </w:t>
      </w:r>
      <w:r w:rsidRPr="00720F6B">
        <w:rPr>
          <w:rStyle w:val="af7"/>
          <w:rFonts w:eastAsia="Guttman Hodes" w:hint="cs"/>
          <w:rtl/>
        </w:rPr>
        <w:t xml:space="preserve">(עי' אות </w:t>
      </w:r>
      <w:r w:rsidRPr="00720F6B">
        <w:rPr>
          <w:rStyle w:val="af7"/>
          <w:rFonts w:eastAsia="Guttman Hodes"/>
          <w:rtl/>
        </w:rPr>
        <w:fldChar w:fldCharType="begin"/>
      </w:r>
      <w:r w:rsidRPr="00720F6B">
        <w:rPr>
          <w:rStyle w:val="af7"/>
          <w:rFonts w:eastAsia="Guttman Hodes"/>
          <w:rtl/>
        </w:rPr>
        <w:instrText xml:space="preserve"> </w:instrText>
      </w:r>
      <w:r w:rsidRPr="00720F6B">
        <w:rPr>
          <w:rStyle w:val="af7"/>
          <w:rFonts w:eastAsia="Guttman Hodes" w:hint="cs"/>
        </w:rPr>
        <w:instrText>REF</w:instrText>
      </w:r>
      <w:r w:rsidRPr="00720F6B">
        <w:rPr>
          <w:rStyle w:val="af7"/>
          <w:rFonts w:eastAsia="Guttman Hodes" w:hint="cs"/>
          <w:rtl/>
        </w:rPr>
        <w:instrText xml:space="preserve"> _</w:instrText>
      </w:r>
      <w:r w:rsidRPr="00720F6B">
        <w:rPr>
          <w:rStyle w:val="af7"/>
          <w:rFonts w:eastAsia="Guttman Hodes" w:hint="cs"/>
        </w:rPr>
        <w:instrText>Ref522187774 \r \h</w:instrText>
      </w:r>
      <w:r w:rsidRPr="00720F6B">
        <w:rPr>
          <w:rStyle w:val="af7"/>
          <w:rFonts w:eastAsia="Guttman Hodes"/>
          <w:rtl/>
        </w:rPr>
        <w:instrText xml:space="preserve"> </w:instrText>
      </w:r>
      <w:r w:rsidRPr="00720F6B">
        <w:rPr>
          <w:rStyle w:val="af7"/>
          <w:rFonts w:eastAsia="Guttman Hodes"/>
          <w:rtl/>
        </w:rPr>
      </w:r>
      <w:r w:rsidRPr="00720F6B">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720F6B">
        <w:rPr>
          <w:rStyle w:val="af7"/>
          <w:rFonts w:eastAsia="Guttman Hodes"/>
          <w:rtl/>
        </w:rPr>
        <w:fldChar w:fldCharType="end"/>
      </w:r>
      <w:r>
        <w:rPr>
          <w:rFonts w:hint="cs"/>
          <w:rtl/>
        </w:rPr>
        <w:t xml:space="preserve"> מספק בשחיטה דמחזיקין מאיסור לאיסור, ביאר </w:t>
      </w:r>
      <w:r w:rsidRPr="00611022">
        <w:rPr>
          <w:rStyle w:val="af9"/>
          <w:rFonts w:hint="cs"/>
          <w:rtl/>
        </w:rPr>
        <w:t>רבי ראובן</w:t>
      </w:r>
      <w:r>
        <w:rPr>
          <w:rFonts w:hint="cs"/>
          <w:rtl/>
        </w:rPr>
        <w:t xml:space="preserve"> דכיון דלדעת </w:t>
      </w:r>
      <w:r w:rsidRPr="00611022">
        <w:rPr>
          <w:rStyle w:val="af9"/>
          <w:rFonts w:hint="cs"/>
          <w:rtl/>
        </w:rPr>
        <w:t>רש"י</w:t>
      </w:r>
      <w:r>
        <w:rPr>
          <w:rFonts w:hint="cs"/>
          <w:rtl/>
        </w:rPr>
        <w:t xml:space="preserve"> </w:t>
      </w:r>
      <w:r w:rsidRPr="00720F6B">
        <w:rPr>
          <w:rStyle w:val="af7"/>
          <w:rFonts w:eastAsia="Guttman Hodes" w:hint="cs"/>
          <w:rtl/>
        </w:rPr>
        <w:t xml:space="preserve">(עי' אות </w:t>
      </w:r>
      <w:r w:rsidRPr="00720F6B">
        <w:rPr>
          <w:rStyle w:val="af7"/>
          <w:rFonts w:eastAsia="Guttman Hodes"/>
          <w:rtl/>
        </w:rPr>
        <w:fldChar w:fldCharType="begin"/>
      </w:r>
      <w:r w:rsidRPr="00720F6B">
        <w:rPr>
          <w:rStyle w:val="af7"/>
          <w:rFonts w:eastAsia="Guttman Hodes"/>
          <w:rtl/>
        </w:rPr>
        <w:instrText xml:space="preserve"> </w:instrText>
      </w:r>
      <w:r w:rsidRPr="00720F6B">
        <w:rPr>
          <w:rStyle w:val="af7"/>
          <w:rFonts w:eastAsia="Guttman Hodes" w:hint="cs"/>
        </w:rPr>
        <w:instrText>REF</w:instrText>
      </w:r>
      <w:r w:rsidRPr="00720F6B">
        <w:rPr>
          <w:rStyle w:val="af7"/>
          <w:rFonts w:eastAsia="Guttman Hodes" w:hint="cs"/>
          <w:rtl/>
        </w:rPr>
        <w:instrText xml:space="preserve"> _</w:instrText>
      </w:r>
      <w:r w:rsidRPr="00720F6B">
        <w:rPr>
          <w:rStyle w:val="af7"/>
          <w:rFonts w:eastAsia="Guttman Hodes" w:hint="cs"/>
        </w:rPr>
        <w:instrText>Ref522199154 \r \h</w:instrText>
      </w:r>
      <w:r w:rsidRPr="00720F6B">
        <w:rPr>
          <w:rStyle w:val="af7"/>
          <w:rFonts w:eastAsia="Guttman Hodes"/>
          <w:rtl/>
        </w:rPr>
        <w:instrText xml:space="preserve"> </w:instrText>
      </w:r>
      <w:r w:rsidRPr="00720F6B">
        <w:rPr>
          <w:rStyle w:val="af7"/>
          <w:rFonts w:eastAsia="Guttman Hodes"/>
          <w:rtl/>
        </w:rPr>
      </w:r>
      <w:r w:rsidRPr="00720F6B">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720F6B">
        <w:rPr>
          <w:rStyle w:val="af7"/>
          <w:rFonts w:eastAsia="Guttman Hodes"/>
          <w:rtl/>
        </w:rPr>
        <w:fldChar w:fldCharType="end"/>
      </w:r>
      <w:r>
        <w:rPr>
          <w:rFonts w:hint="cs"/>
          <w:rtl/>
        </w:rPr>
        <w:t xml:space="preserve"> מחזיקין מאיסור אבר מן החי, א"כ מוכח דאף שסיבת האיסור של אבר מן החי נגמרה כשמתה הבהמה, ואף שלא הותרה הבהמה לאכילה מכל האיסורים דהוא ספק אם נשחטה כראוי, מ"מ איסור אבר מן החי נסתלק לגמרי, ואפ"ה מחזיקין מאיסור אבר מן החי לאיסור נבילה, ואמאי בספק צרת ערוה אמרינן דהיא בחזקת היתר ליבם ולא אמרינן דמחזיקין מאיסור אשת איש לאיסור יבמה לשוק [ועיי"ש בהערה במה שביאר </w:t>
      </w:r>
      <w:r w:rsidRPr="00FD0739">
        <w:rPr>
          <w:rStyle w:val="af9"/>
          <w:rFonts w:hint="cs"/>
          <w:rtl/>
        </w:rPr>
        <w:t>רבי ראובן</w:t>
      </w:r>
      <w:r>
        <w:rPr>
          <w:rFonts w:hint="cs"/>
          <w:rtl/>
        </w:rPr>
        <w:t xml:space="preserve"> לפי"ז בספק קידושין].</w:t>
      </w:r>
    </w:p>
    <w:p w14:paraId="1831D999" w14:textId="77777777" w:rsidR="00852065" w:rsidRDefault="00852065" w:rsidP="006D6D32">
      <w:pPr>
        <w:pStyle w:val="a3"/>
        <w:rPr>
          <w:rtl/>
        </w:rPr>
      </w:pPr>
      <w:bookmarkStart w:id="1526" w:name="_Toc522200261"/>
      <w:bookmarkStart w:id="1527" w:name="_Toc19389145"/>
      <w:bookmarkStart w:id="1528" w:name="_Toc19392642"/>
      <w:r>
        <w:rPr>
          <w:rFonts w:hint="cs"/>
          <w:rtl/>
        </w:rPr>
        <w:t>דברי רבי ראובן דאף בתוס' אפשר לבאר כרמב"ן והרשב"א</w:t>
      </w:r>
      <w:bookmarkEnd w:id="1526"/>
      <w:bookmarkEnd w:id="1527"/>
      <w:bookmarkEnd w:id="1528"/>
    </w:p>
    <w:p w14:paraId="4B758CFC" w14:textId="77777777" w:rsidR="00852065" w:rsidRPr="00F872B2" w:rsidRDefault="00852065" w:rsidP="00223668">
      <w:pPr>
        <w:pStyle w:val="a0"/>
        <w:rPr>
          <w:rtl/>
        </w:rPr>
      </w:pPr>
      <w:r w:rsidRPr="000A7BE9">
        <w:rPr>
          <w:rFonts w:hint="cs"/>
          <w:rtl/>
        </w:rPr>
        <w:t xml:space="preserve">וכתב רבי </w:t>
      </w:r>
      <w:r w:rsidRPr="00611022">
        <w:rPr>
          <w:rStyle w:val="af9"/>
          <w:rFonts w:hint="cs"/>
          <w:rtl/>
        </w:rPr>
        <w:t>ראובן</w:t>
      </w:r>
      <w:r w:rsidRPr="000A7BE9">
        <w:rPr>
          <w:rFonts w:hint="cs"/>
          <w:rtl/>
        </w:rPr>
        <w:t xml:space="preserve"> </w:t>
      </w:r>
      <w:r w:rsidRPr="00611022">
        <w:rPr>
          <w:rStyle w:val="af7"/>
          <w:rFonts w:eastAsia="Guttman Hodes" w:hint="cs"/>
          <w:rtl/>
        </w:rPr>
        <w:t>(יבמות סי' כ"ז אות ג')</w:t>
      </w:r>
      <w:r>
        <w:rPr>
          <w:rFonts w:hint="cs"/>
          <w:rtl/>
        </w:rPr>
        <w:t xml:space="preserve"> דאף בדעת </w:t>
      </w:r>
      <w:r w:rsidRPr="00EE4718">
        <w:rPr>
          <w:rStyle w:val="af9"/>
          <w:rFonts w:hint="cs"/>
          <w:rtl/>
        </w:rPr>
        <w:t>התוס' ביבמות</w:t>
      </w:r>
      <w:r>
        <w:rPr>
          <w:rFonts w:hint="cs"/>
          <w:rtl/>
        </w:rPr>
        <w:t xml:space="preserve"> אפשר לבאר כמו שביאר בדעת </w:t>
      </w:r>
      <w:r w:rsidRPr="00611022">
        <w:rPr>
          <w:rStyle w:val="af9"/>
          <w:rFonts w:hint="cs"/>
          <w:rtl/>
        </w:rPr>
        <w:t>הרמב"ן והרשב"א</w:t>
      </w:r>
      <w:r>
        <w:rPr>
          <w:rFonts w:hint="cs"/>
          <w:rtl/>
        </w:rPr>
        <w:t xml:space="preserve"> ומה שלא הקשו </w:t>
      </w:r>
      <w:r w:rsidRPr="00EE4718">
        <w:rPr>
          <w:rStyle w:val="af9"/>
          <w:rFonts w:hint="cs"/>
          <w:rtl/>
        </w:rPr>
        <w:t>התוס' ביבמות</w:t>
      </w:r>
      <w:r>
        <w:rPr>
          <w:rFonts w:hint="cs"/>
          <w:rtl/>
        </w:rPr>
        <w:t xml:space="preserve"> מספק </w:t>
      </w:r>
      <w:r w:rsidRPr="00F872B2">
        <w:rPr>
          <w:rFonts w:hint="cs"/>
          <w:rtl/>
        </w:rPr>
        <w:t xml:space="preserve">בשחיטה, הוא כיון דס"ל </w:t>
      </w:r>
      <w:r w:rsidRPr="00611022">
        <w:rPr>
          <w:rStyle w:val="af9"/>
          <w:rFonts w:hint="cs"/>
          <w:rtl/>
        </w:rPr>
        <w:t>כתוס' בביצה</w:t>
      </w:r>
      <w:r w:rsidRPr="00F872B2">
        <w:rPr>
          <w:rFonts w:hint="cs"/>
          <w:rtl/>
        </w:rPr>
        <w:t xml:space="preserve"> דמוקימנן לה בחזקת אינו זבוח כדתירצו </w:t>
      </w:r>
      <w:r w:rsidRPr="00611022">
        <w:rPr>
          <w:rStyle w:val="af9"/>
          <w:rFonts w:hint="cs"/>
          <w:rtl/>
        </w:rPr>
        <w:t>הריטב"א והמאירי</w:t>
      </w:r>
      <w:r w:rsidRPr="00F872B2">
        <w:rPr>
          <w:rFonts w:hint="cs"/>
          <w:rtl/>
        </w:rPr>
        <w:t xml:space="preserve"> </w:t>
      </w:r>
      <w:r w:rsidRPr="00720F6B">
        <w:rPr>
          <w:rStyle w:val="af7"/>
          <w:rFonts w:eastAsia="Guttman Hodes" w:hint="cs"/>
          <w:rtl/>
        </w:rPr>
        <w:t xml:space="preserve">(עי' אות </w:t>
      </w:r>
      <w:r w:rsidRPr="00720F6B">
        <w:rPr>
          <w:rStyle w:val="af7"/>
          <w:rFonts w:eastAsia="Guttman Hodes"/>
          <w:rtl/>
        </w:rPr>
        <w:fldChar w:fldCharType="begin"/>
      </w:r>
      <w:r w:rsidRPr="00720F6B">
        <w:rPr>
          <w:rStyle w:val="af7"/>
          <w:rFonts w:eastAsia="Guttman Hodes"/>
          <w:rtl/>
        </w:rPr>
        <w:instrText xml:space="preserve"> </w:instrText>
      </w:r>
      <w:r w:rsidRPr="00720F6B">
        <w:rPr>
          <w:rStyle w:val="af7"/>
          <w:rFonts w:eastAsia="Guttman Hodes" w:hint="cs"/>
        </w:rPr>
        <w:instrText>REF</w:instrText>
      </w:r>
      <w:r w:rsidRPr="00720F6B">
        <w:rPr>
          <w:rStyle w:val="af7"/>
          <w:rFonts w:eastAsia="Guttman Hodes" w:hint="cs"/>
          <w:rtl/>
        </w:rPr>
        <w:instrText xml:space="preserve"> _</w:instrText>
      </w:r>
      <w:r w:rsidRPr="00720F6B">
        <w:rPr>
          <w:rStyle w:val="af7"/>
          <w:rFonts w:eastAsia="Guttman Hodes" w:hint="cs"/>
        </w:rPr>
        <w:instrText>Ref522188049 \r \h</w:instrText>
      </w:r>
      <w:r w:rsidRPr="00720F6B">
        <w:rPr>
          <w:rStyle w:val="af7"/>
          <w:rFonts w:eastAsia="Guttman Hodes"/>
          <w:rtl/>
        </w:rPr>
        <w:instrText xml:space="preserve"> </w:instrText>
      </w:r>
      <w:r w:rsidRPr="00720F6B">
        <w:rPr>
          <w:rStyle w:val="af7"/>
          <w:rFonts w:eastAsia="Guttman Hodes"/>
          <w:rtl/>
        </w:rPr>
      </w:r>
      <w:r w:rsidRPr="00720F6B">
        <w:rPr>
          <w:rStyle w:val="af7"/>
          <w:rFonts w:eastAsia="Guttman Hodes"/>
          <w:rtl/>
        </w:rPr>
        <w:fldChar w:fldCharType="separate"/>
      </w:r>
      <w:r w:rsidR="00345400">
        <w:rPr>
          <w:rStyle w:val="af7"/>
          <w:rFonts w:eastAsia="Guttman Hodes"/>
          <w:cs/>
        </w:rPr>
        <w:t>‎</w:t>
      </w:r>
      <w:r w:rsidR="00345400">
        <w:rPr>
          <w:rStyle w:val="af7"/>
          <w:rFonts w:eastAsia="Guttman Hodes"/>
          <w:rtl/>
        </w:rPr>
        <w:t>ט)</w:t>
      </w:r>
      <w:r w:rsidRPr="00720F6B">
        <w:rPr>
          <w:rStyle w:val="af7"/>
          <w:rFonts w:eastAsia="Guttman Hodes"/>
          <w:rtl/>
        </w:rPr>
        <w:fldChar w:fldCharType="end"/>
      </w:r>
      <w:r>
        <w:rPr>
          <w:rFonts w:hint="cs"/>
          <w:rtl/>
        </w:rPr>
        <w:t>, ועיי"ש במ"ש בזה.</w:t>
      </w:r>
    </w:p>
    <w:p w14:paraId="77AE878B" w14:textId="77777777" w:rsidR="00852065" w:rsidRDefault="00852065" w:rsidP="00BF39B2">
      <w:pPr>
        <w:pStyle w:val="1"/>
        <w:rPr>
          <w:rtl/>
        </w:rPr>
      </w:pPr>
      <w:bookmarkStart w:id="1529" w:name="_Toc522200262"/>
      <w:bookmarkStart w:id="1530" w:name="_Toc19389146"/>
      <w:bookmarkStart w:id="1531" w:name="_Toc19392643"/>
      <w:r>
        <w:rPr>
          <w:rFonts w:hint="cs"/>
          <w:rtl/>
        </w:rPr>
        <w:t>ביאור הגרש"ר בפלוגתת רש"י ותוס' במחזיקין מאיסור לאיסור</w:t>
      </w:r>
      <w:bookmarkEnd w:id="1529"/>
      <w:bookmarkEnd w:id="1530"/>
      <w:bookmarkEnd w:id="1531"/>
    </w:p>
    <w:p w14:paraId="7D92E431" w14:textId="77777777" w:rsidR="00852065" w:rsidRPr="00FB36F9" w:rsidRDefault="00852065" w:rsidP="006D6D32">
      <w:pPr>
        <w:pStyle w:val="a3"/>
        <w:rPr>
          <w:rtl/>
        </w:rPr>
      </w:pPr>
      <w:bookmarkStart w:id="1532" w:name="_Toc522200263"/>
      <w:bookmarkStart w:id="1533" w:name="_Toc19389147"/>
      <w:bookmarkStart w:id="1534" w:name="_Toc19392644"/>
      <w:r>
        <w:rPr>
          <w:rFonts w:hint="cs"/>
          <w:rtl/>
        </w:rPr>
        <w:t>ביאור הגרש"ר ברש"י דכל שנהוג איסור מתחילה אף שפקע האיסור צריך להמשיך את ההנהגה</w:t>
      </w:r>
      <w:bookmarkEnd w:id="1532"/>
      <w:bookmarkEnd w:id="1533"/>
      <w:bookmarkEnd w:id="1534"/>
      <w:r>
        <w:rPr>
          <w:rFonts w:hint="cs"/>
          <w:rtl/>
        </w:rPr>
        <w:t xml:space="preserve"> </w:t>
      </w:r>
    </w:p>
    <w:p w14:paraId="07492005" w14:textId="77777777" w:rsidR="00852065" w:rsidRDefault="00852065" w:rsidP="00223668">
      <w:pPr>
        <w:pStyle w:val="a0"/>
        <w:rPr>
          <w:rtl/>
        </w:rPr>
      </w:pPr>
      <w:r w:rsidRPr="001D7D95">
        <w:rPr>
          <w:rStyle w:val="af9"/>
          <w:rFonts w:hint="cs"/>
          <w:rtl/>
        </w:rPr>
        <w:t>בשיעורי הגרש"ר</w:t>
      </w:r>
      <w:r>
        <w:rPr>
          <w:rFonts w:hint="cs"/>
          <w:rtl/>
        </w:rPr>
        <w:t xml:space="preserve"> </w:t>
      </w:r>
      <w:r w:rsidRPr="001D7D95">
        <w:rPr>
          <w:rStyle w:val="af7"/>
          <w:rFonts w:eastAsia="Guttman Hodes" w:hint="cs"/>
          <w:rtl/>
        </w:rPr>
        <w:t>(יבמות ל: אות קצ"ט)</w:t>
      </w:r>
      <w:r>
        <w:rPr>
          <w:rFonts w:hint="cs"/>
          <w:rtl/>
        </w:rPr>
        <w:t xml:space="preserve"> ביאר בדעת </w:t>
      </w:r>
      <w:r w:rsidRPr="001D7D95">
        <w:rPr>
          <w:rStyle w:val="af9"/>
          <w:rFonts w:hint="cs"/>
          <w:rtl/>
        </w:rPr>
        <w:t xml:space="preserve">רש"י </w:t>
      </w:r>
      <w:r w:rsidRPr="00720F6B">
        <w:rPr>
          <w:rStyle w:val="af7"/>
          <w:rFonts w:eastAsia="Guttman Hodes" w:hint="cs"/>
          <w:rtl/>
        </w:rPr>
        <w:t xml:space="preserve">(עי' אות </w:t>
      </w:r>
      <w:r w:rsidRPr="00720F6B">
        <w:rPr>
          <w:rStyle w:val="af7"/>
          <w:rFonts w:eastAsia="Guttman Hodes"/>
          <w:rtl/>
        </w:rPr>
        <w:fldChar w:fldCharType="begin"/>
      </w:r>
      <w:r w:rsidRPr="00720F6B">
        <w:rPr>
          <w:rStyle w:val="af7"/>
          <w:rFonts w:eastAsia="Guttman Hodes"/>
          <w:rtl/>
        </w:rPr>
        <w:instrText xml:space="preserve"> </w:instrText>
      </w:r>
      <w:r w:rsidRPr="00720F6B">
        <w:rPr>
          <w:rStyle w:val="af7"/>
          <w:rFonts w:eastAsia="Guttman Hodes" w:hint="cs"/>
        </w:rPr>
        <w:instrText>REF</w:instrText>
      </w:r>
      <w:r w:rsidRPr="00720F6B">
        <w:rPr>
          <w:rStyle w:val="af7"/>
          <w:rFonts w:eastAsia="Guttman Hodes" w:hint="cs"/>
          <w:rtl/>
        </w:rPr>
        <w:instrText xml:space="preserve"> _</w:instrText>
      </w:r>
      <w:r w:rsidRPr="00720F6B">
        <w:rPr>
          <w:rStyle w:val="af7"/>
          <w:rFonts w:eastAsia="Guttman Hodes" w:hint="cs"/>
        </w:rPr>
        <w:instrText>Ref522199154 \r \h</w:instrText>
      </w:r>
      <w:r w:rsidRPr="00720F6B">
        <w:rPr>
          <w:rStyle w:val="af7"/>
          <w:rFonts w:eastAsia="Guttman Hodes"/>
          <w:rtl/>
        </w:rPr>
        <w:instrText xml:space="preserve"> </w:instrText>
      </w:r>
      <w:r w:rsidRPr="00720F6B">
        <w:rPr>
          <w:rStyle w:val="af7"/>
          <w:rFonts w:eastAsia="Guttman Hodes"/>
          <w:rtl/>
        </w:rPr>
      </w:r>
      <w:r w:rsidRPr="00720F6B">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720F6B">
        <w:rPr>
          <w:rStyle w:val="af7"/>
          <w:rFonts w:eastAsia="Guttman Hodes"/>
          <w:rtl/>
        </w:rPr>
        <w:fldChar w:fldCharType="end"/>
      </w:r>
      <w:r>
        <w:rPr>
          <w:rFonts w:hint="cs"/>
          <w:rtl/>
        </w:rPr>
        <w:t xml:space="preserve"> דמחזיקין מאיסור לאיסור, דכיון שמתחילה נהגנו איסור, לכן אף שעכשיו האיסור ודאי פקע, ובכדי להמשיך הנהגה של איסור, צריך שיחול איסור חדש דנבילה, מ"מ מספק א"א לבטל את הנהגת האיסור.</w:t>
      </w:r>
    </w:p>
    <w:p w14:paraId="1B5E08CE" w14:textId="77777777" w:rsidR="00852065" w:rsidRDefault="00852065" w:rsidP="006D6D32">
      <w:pPr>
        <w:pStyle w:val="a3"/>
        <w:rPr>
          <w:rtl/>
        </w:rPr>
      </w:pPr>
      <w:bookmarkStart w:id="1535" w:name="_Toc522200264"/>
      <w:bookmarkStart w:id="1536" w:name="_Toc19389148"/>
      <w:bookmarkStart w:id="1537" w:name="_Toc19392645"/>
      <w:r>
        <w:rPr>
          <w:rFonts w:hint="cs"/>
          <w:rtl/>
        </w:rPr>
        <w:t>ביאור הגרש"ר בתוס' דרק כשאפשר להנהיג את האיסור הראשון שייך להחזיק</w:t>
      </w:r>
      <w:bookmarkEnd w:id="1535"/>
      <w:bookmarkEnd w:id="1536"/>
      <w:bookmarkEnd w:id="1537"/>
    </w:p>
    <w:p w14:paraId="01848807" w14:textId="77777777" w:rsidR="00852065" w:rsidRDefault="00852065" w:rsidP="00223668">
      <w:pPr>
        <w:pStyle w:val="a0"/>
        <w:rPr>
          <w:rtl/>
        </w:rPr>
      </w:pPr>
      <w:r>
        <w:rPr>
          <w:rFonts w:hint="cs"/>
          <w:rtl/>
        </w:rPr>
        <w:t xml:space="preserve">ובדעת </w:t>
      </w:r>
      <w:r w:rsidRPr="001D7D95">
        <w:rPr>
          <w:rStyle w:val="af9"/>
          <w:rFonts w:hint="cs"/>
          <w:rtl/>
        </w:rPr>
        <w:t>התוס' בביצה</w:t>
      </w:r>
      <w:r>
        <w:rPr>
          <w:rFonts w:hint="cs"/>
          <w:rtl/>
        </w:rPr>
        <w:t xml:space="preserve"> </w:t>
      </w:r>
      <w:r w:rsidRPr="00720F6B">
        <w:rPr>
          <w:rStyle w:val="af7"/>
          <w:rFonts w:eastAsia="Guttman Hodes" w:hint="cs"/>
          <w:rtl/>
        </w:rPr>
        <w:t xml:space="preserve">(עי' אות </w:t>
      </w:r>
      <w:r w:rsidRPr="00720F6B">
        <w:rPr>
          <w:rStyle w:val="af7"/>
          <w:rFonts w:eastAsia="Guttman Hodes"/>
          <w:rtl/>
        </w:rPr>
        <w:fldChar w:fldCharType="begin"/>
      </w:r>
      <w:r w:rsidRPr="00720F6B">
        <w:rPr>
          <w:rStyle w:val="af7"/>
          <w:rFonts w:eastAsia="Guttman Hodes"/>
          <w:rtl/>
        </w:rPr>
        <w:instrText xml:space="preserve"> </w:instrText>
      </w:r>
      <w:r w:rsidRPr="00720F6B">
        <w:rPr>
          <w:rStyle w:val="af7"/>
          <w:rFonts w:eastAsia="Guttman Hodes" w:hint="cs"/>
        </w:rPr>
        <w:instrText>REF</w:instrText>
      </w:r>
      <w:r w:rsidRPr="00720F6B">
        <w:rPr>
          <w:rStyle w:val="af7"/>
          <w:rFonts w:eastAsia="Guttman Hodes" w:hint="cs"/>
          <w:rtl/>
        </w:rPr>
        <w:instrText xml:space="preserve"> _</w:instrText>
      </w:r>
      <w:r w:rsidRPr="00720F6B">
        <w:rPr>
          <w:rStyle w:val="af7"/>
          <w:rFonts w:eastAsia="Guttman Hodes" w:hint="cs"/>
        </w:rPr>
        <w:instrText>Ref522197328 \r \h</w:instrText>
      </w:r>
      <w:r w:rsidRPr="00720F6B">
        <w:rPr>
          <w:rStyle w:val="af7"/>
          <w:rFonts w:eastAsia="Guttman Hodes"/>
          <w:rtl/>
        </w:rPr>
        <w:instrText xml:space="preserve"> </w:instrText>
      </w:r>
      <w:r w:rsidRPr="00720F6B">
        <w:rPr>
          <w:rStyle w:val="af7"/>
          <w:rFonts w:eastAsia="Guttman Hodes"/>
          <w:rtl/>
        </w:rPr>
      </w:r>
      <w:r w:rsidRPr="00720F6B">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720F6B">
        <w:rPr>
          <w:rStyle w:val="af7"/>
          <w:rFonts w:eastAsia="Guttman Hodes"/>
          <w:rtl/>
        </w:rPr>
        <w:fldChar w:fldCharType="end"/>
      </w:r>
      <w:r>
        <w:rPr>
          <w:rFonts w:hint="cs"/>
          <w:rtl/>
        </w:rPr>
        <w:t xml:space="preserve"> דס"ל דאין מחזיקין מאיסור לאיסור, ביאר </w:t>
      </w:r>
      <w:r w:rsidRPr="001D7D95">
        <w:rPr>
          <w:rStyle w:val="af9"/>
          <w:rFonts w:hint="cs"/>
          <w:rtl/>
        </w:rPr>
        <w:t>הגרש"ר</w:t>
      </w:r>
      <w:r>
        <w:rPr>
          <w:rFonts w:hint="cs"/>
          <w:rtl/>
        </w:rPr>
        <w:t xml:space="preserve"> דהא דמעמידים על חזקה הוא רק במקום שאפשר להמשיך ולהנהיג את האיסור שהיה בתחילה, דמספק אמרינן דלא נתבטל האיסור, אבל במקום שהאיסור הראשון ודאי פקע לא שייך להנהיג איסור חדש.</w:t>
      </w:r>
    </w:p>
    <w:p w14:paraId="54632911" w14:textId="77777777" w:rsidR="00852065" w:rsidRDefault="00852065" w:rsidP="00BF39B2">
      <w:pPr>
        <w:pStyle w:val="1"/>
        <w:rPr>
          <w:rtl/>
        </w:rPr>
      </w:pPr>
      <w:bookmarkStart w:id="1538" w:name="_Toc522200265"/>
      <w:bookmarkStart w:id="1539" w:name="_Toc19389149"/>
      <w:bookmarkStart w:id="1540" w:name="_Toc19392646"/>
      <w:r>
        <w:rPr>
          <w:rFonts w:hint="cs"/>
          <w:rtl/>
        </w:rPr>
        <w:t>ביאור הגרש"ר בקושית הרמב"ן והרשב"א ביבמות</w:t>
      </w:r>
      <w:bookmarkEnd w:id="1538"/>
      <w:bookmarkEnd w:id="1539"/>
      <w:bookmarkEnd w:id="1540"/>
    </w:p>
    <w:p w14:paraId="7B2B57AD" w14:textId="77777777" w:rsidR="00852065" w:rsidRPr="00584A0C" w:rsidRDefault="00852065" w:rsidP="006D6D32">
      <w:pPr>
        <w:pStyle w:val="a3"/>
        <w:rPr>
          <w:rtl/>
        </w:rPr>
      </w:pPr>
      <w:bookmarkStart w:id="1541" w:name="_Toc522200266"/>
      <w:bookmarkStart w:id="1542" w:name="_Toc19389150"/>
      <w:bookmarkStart w:id="1543" w:name="_Toc19392647"/>
      <w:r w:rsidRPr="00584A0C">
        <w:rPr>
          <w:rFonts w:hint="cs"/>
          <w:rtl/>
        </w:rPr>
        <w:t xml:space="preserve">קושית </w:t>
      </w:r>
      <w:r>
        <w:rPr>
          <w:rFonts w:hint="cs"/>
          <w:rtl/>
        </w:rPr>
        <w:t>הגרש"ר על הרמב"ן דאף במקום חזקה גמורה אמר רבה שיש חזקת היתר מחיים</w:t>
      </w:r>
      <w:bookmarkEnd w:id="1541"/>
      <w:bookmarkEnd w:id="1542"/>
      <w:bookmarkEnd w:id="1543"/>
      <w:r>
        <w:rPr>
          <w:rFonts w:hint="cs"/>
          <w:rtl/>
        </w:rPr>
        <w:t xml:space="preserve"> </w:t>
      </w:r>
    </w:p>
    <w:p w14:paraId="48CF7FBC" w14:textId="77777777" w:rsidR="00852065" w:rsidRDefault="00852065" w:rsidP="00223668">
      <w:pPr>
        <w:pStyle w:val="a0"/>
        <w:rPr>
          <w:rtl/>
        </w:rPr>
      </w:pPr>
      <w:r>
        <w:rPr>
          <w:rFonts w:hint="cs"/>
          <w:rtl/>
        </w:rPr>
        <w:t xml:space="preserve">והביא </w:t>
      </w:r>
      <w:r w:rsidRPr="00611022">
        <w:rPr>
          <w:rStyle w:val="af9"/>
          <w:rFonts w:hint="cs"/>
          <w:rtl/>
        </w:rPr>
        <w:t>הגרש"ר</w:t>
      </w:r>
      <w:r>
        <w:rPr>
          <w:rFonts w:hint="cs"/>
          <w:rtl/>
        </w:rPr>
        <w:t xml:space="preserve"> </w:t>
      </w:r>
      <w:r w:rsidRPr="00611022">
        <w:rPr>
          <w:rStyle w:val="af7"/>
          <w:rFonts w:eastAsia="Guttman Hodes" w:hint="cs"/>
          <w:rtl/>
        </w:rPr>
        <w:t>(יבמות ל: אות ר"ח)</w:t>
      </w:r>
      <w:r>
        <w:rPr>
          <w:rFonts w:hint="cs"/>
          <w:rtl/>
        </w:rPr>
        <w:t xml:space="preserve"> את קושית </w:t>
      </w:r>
      <w:r w:rsidRPr="00611022">
        <w:rPr>
          <w:rStyle w:val="af9"/>
          <w:rFonts w:hint="cs"/>
          <w:rtl/>
        </w:rPr>
        <w:t>הרמב"ן והרשב"א</w:t>
      </w:r>
      <w:r>
        <w:rPr>
          <w:rFonts w:hint="cs"/>
          <w:rtl/>
        </w:rPr>
        <w:t xml:space="preserve"> </w:t>
      </w:r>
      <w:r w:rsidRPr="00611022">
        <w:rPr>
          <w:rStyle w:val="af9"/>
          <w:rFonts w:hint="cs"/>
          <w:rtl/>
        </w:rPr>
        <w:t>ביבמות</w:t>
      </w:r>
      <w:r w:rsidRPr="00480450">
        <w:rPr>
          <w:rStyle w:val="af7"/>
          <w:rFonts w:eastAsia="Guttman Hodes" w:hint="cs"/>
          <w:rtl/>
        </w:rPr>
        <w:t xml:space="preserve"> (עי' אות </w:t>
      </w:r>
      <w:r w:rsidRPr="00480450">
        <w:rPr>
          <w:rStyle w:val="af7"/>
          <w:rFonts w:eastAsia="Guttman Hodes"/>
          <w:rtl/>
        </w:rPr>
        <w:fldChar w:fldCharType="begin"/>
      </w:r>
      <w:r w:rsidRPr="00480450">
        <w:rPr>
          <w:rStyle w:val="af7"/>
          <w:rFonts w:eastAsia="Guttman Hodes"/>
          <w:rtl/>
        </w:rPr>
        <w:instrText xml:space="preserve"> </w:instrText>
      </w:r>
      <w:r w:rsidRPr="00480450">
        <w:rPr>
          <w:rStyle w:val="af7"/>
          <w:rFonts w:eastAsia="Guttman Hodes" w:hint="cs"/>
        </w:rPr>
        <w:instrText>REF</w:instrText>
      </w:r>
      <w:r w:rsidRPr="00480450">
        <w:rPr>
          <w:rStyle w:val="af7"/>
          <w:rFonts w:eastAsia="Guttman Hodes" w:hint="cs"/>
          <w:rtl/>
        </w:rPr>
        <w:instrText xml:space="preserve"> _</w:instrText>
      </w:r>
      <w:r w:rsidRPr="00480450">
        <w:rPr>
          <w:rStyle w:val="af7"/>
          <w:rFonts w:eastAsia="Guttman Hodes" w:hint="cs"/>
        </w:rPr>
        <w:instrText>Ref522187774 \r \h</w:instrText>
      </w:r>
      <w:r w:rsidRPr="00480450">
        <w:rPr>
          <w:rStyle w:val="af7"/>
          <w:rFonts w:eastAsia="Guttman Hodes"/>
          <w:rtl/>
        </w:rPr>
        <w:instrText xml:space="preserve"> </w:instrText>
      </w:r>
      <w:r w:rsidRPr="00480450">
        <w:rPr>
          <w:rStyle w:val="af7"/>
          <w:rFonts w:eastAsia="Guttman Hodes"/>
          <w:rtl/>
        </w:rPr>
      </w:r>
      <w:r w:rsidRPr="00480450">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480450">
        <w:rPr>
          <w:rStyle w:val="af7"/>
          <w:rFonts w:eastAsia="Guttman Hodes"/>
          <w:rtl/>
        </w:rPr>
        <w:fldChar w:fldCharType="end"/>
      </w:r>
      <w:r w:rsidRPr="00480450">
        <w:rPr>
          <w:rStyle w:val="af7"/>
          <w:rFonts w:eastAsia="Guttman Hodes" w:hint="cs"/>
          <w:rtl/>
        </w:rPr>
        <w:t xml:space="preserve"> </w:t>
      </w:r>
      <w:r>
        <w:rPr>
          <w:rFonts w:hint="cs"/>
          <w:rtl/>
        </w:rPr>
        <w:t xml:space="preserve">דאמאי אין מחזיקין מאיסור אשת איש לאיסור יבמה לשוק, והקשה </w:t>
      </w:r>
      <w:r w:rsidRPr="00611022">
        <w:rPr>
          <w:rStyle w:val="af9"/>
          <w:rFonts w:hint="cs"/>
          <w:rtl/>
        </w:rPr>
        <w:t>הגרש"ר</w:t>
      </w:r>
      <w:r>
        <w:rPr>
          <w:rFonts w:hint="cs"/>
          <w:rtl/>
        </w:rPr>
        <w:t xml:space="preserve"> דהרי כתבו </w:t>
      </w:r>
      <w:r w:rsidRPr="00611022">
        <w:rPr>
          <w:rStyle w:val="af9"/>
          <w:rFonts w:hint="cs"/>
          <w:rtl/>
        </w:rPr>
        <w:t>הש"ש והגרעק"א</w:t>
      </w:r>
      <w:r>
        <w:rPr>
          <w:rFonts w:hint="cs"/>
          <w:rtl/>
        </w:rPr>
        <w:t xml:space="preserve"> דרבה איירי אף במקום שיש לה חזקה גמורה לאסור, ואפ"ה אמר רבה דיש חזקת היתר לשוק ליבם לכשימות הבעל, דהא אמר דיש חזקה אף בספק קידושין, שיש חזקה גמורה דאשת אח לאסור, וא"כ לא דמי כלל לדין מחזיקין מאיסור לאיסור, דהאיסור הראשון פקע ואין לה חזקה מחמתו, ומה הקשו </w:t>
      </w:r>
      <w:r w:rsidRPr="00435029">
        <w:rPr>
          <w:rStyle w:val="af9"/>
          <w:rFonts w:hint="cs"/>
          <w:rtl/>
        </w:rPr>
        <w:t>הרמב"ן והרשב"א</w:t>
      </w:r>
      <w:r>
        <w:rPr>
          <w:rFonts w:hint="cs"/>
          <w:rtl/>
        </w:rPr>
        <w:t xml:space="preserve"> דבספק גירושין נאסור ע"י דנחזיק מאיסור לאיסור, ולא נתיר מחמת החזקת אשת אח שמתירתה ליבום, דמחיים היא בחזקת צרת ערוה.</w:t>
      </w:r>
    </w:p>
    <w:p w14:paraId="5B641AC0" w14:textId="77777777" w:rsidR="00852065" w:rsidRDefault="00852065" w:rsidP="006D6D32">
      <w:pPr>
        <w:pStyle w:val="a3"/>
        <w:rPr>
          <w:rtl/>
        </w:rPr>
      </w:pPr>
      <w:bookmarkStart w:id="1544" w:name="_Toc522200267"/>
      <w:bookmarkStart w:id="1545" w:name="_Toc19389151"/>
      <w:bookmarkStart w:id="1546" w:name="_Toc19392648"/>
      <w:r>
        <w:rPr>
          <w:rFonts w:hint="cs"/>
          <w:rtl/>
        </w:rPr>
        <w:t>דחיית הגרש"ר לביאור השער"י דאין כוונת הרמב"ן להקשות דיש סתירה בחזקות</w:t>
      </w:r>
      <w:bookmarkEnd w:id="1544"/>
      <w:bookmarkEnd w:id="1545"/>
      <w:bookmarkEnd w:id="1546"/>
    </w:p>
    <w:p w14:paraId="2A630E38" w14:textId="77777777" w:rsidR="00852065" w:rsidRDefault="00852065" w:rsidP="00223668">
      <w:pPr>
        <w:pStyle w:val="a0"/>
        <w:rPr>
          <w:rtl/>
        </w:rPr>
      </w:pPr>
      <w:bookmarkStart w:id="1547" w:name="_Ref521576916"/>
      <w:r>
        <w:rPr>
          <w:rFonts w:hint="cs"/>
          <w:rtl/>
        </w:rPr>
        <w:t xml:space="preserve">והביא </w:t>
      </w:r>
      <w:r w:rsidRPr="00297E8A">
        <w:rPr>
          <w:rStyle w:val="af9"/>
          <w:rFonts w:hint="cs"/>
          <w:rtl/>
        </w:rPr>
        <w:t>הגרש"ר דהשער"י</w:t>
      </w:r>
      <w:r>
        <w:rPr>
          <w:rFonts w:hint="cs"/>
          <w:rtl/>
        </w:rPr>
        <w:t xml:space="preserve"> </w:t>
      </w:r>
      <w:r w:rsidRPr="00297E8A">
        <w:rPr>
          <w:rStyle w:val="af7"/>
          <w:rFonts w:eastAsia="Guttman Hodes" w:hint="cs"/>
          <w:rtl/>
        </w:rPr>
        <w:t xml:space="preserve">(עי' אות </w:t>
      </w:r>
      <w:r w:rsidRPr="00297E8A">
        <w:rPr>
          <w:rStyle w:val="af7"/>
          <w:rFonts w:eastAsia="Guttman Hodes"/>
          <w:rtl/>
        </w:rPr>
        <w:fldChar w:fldCharType="begin"/>
      </w:r>
      <w:r w:rsidRPr="00297E8A">
        <w:rPr>
          <w:rStyle w:val="af7"/>
          <w:rFonts w:eastAsia="Guttman Hodes"/>
          <w:rtl/>
        </w:rPr>
        <w:instrText xml:space="preserve"> </w:instrText>
      </w:r>
      <w:r w:rsidRPr="00297E8A">
        <w:rPr>
          <w:rStyle w:val="af7"/>
          <w:rFonts w:eastAsia="Guttman Hodes" w:hint="cs"/>
        </w:rPr>
        <w:instrText>REF</w:instrText>
      </w:r>
      <w:r w:rsidRPr="00297E8A">
        <w:rPr>
          <w:rStyle w:val="af7"/>
          <w:rFonts w:eastAsia="Guttman Hodes" w:hint="cs"/>
          <w:rtl/>
        </w:rPr>
        <w:instrText xml:space="preserve"> _</w:instrText>
      </w:r>
      <w:r w:rsidRPr="00297E8A">
        <w:rPr>
          <w:rStyle w:val="af7"/>
          <w:rFonts w:eastAsia="Guttman Hodes" w:hint="cs"/>
        </w:rPr>
        <w:instrText>Ref521576959 \r \h</w:instrText>
      </w:r>
      <w:r w:rsidRPr="00297E8A">
        <w:rPr>
          <w:rStyle w:val="af7"/>
          <w:rFonts w:eastAsia="Guttman Hodes"/>
          <w:rtl/>
        </w:rPr>
        <w:instrText xml:space="preserve"> </w:instrText>
      </w:r>
      <w:r w:rsidRPr="00297E8A">
        <w:rPr>
          <w:rStyle w:val="af7"/>
          <w:rFonts w:eastAsia="Guttman Hodes"/>
          <w:rtl/>
        </w:rPr>
      </w:r>
      <w:r w:rsidRPr="00297E8A">
        <w:rPr>
          <w:rStyle w:val="af7"/>
          <w:rFonts w:eastAsia="Guttman Hodes"/>
          <w:rtl/>
        </w:rPr>
        <w:fldChar w:fldCharType="separate"/>
      </w:r>
      <w:r w:rsidR="00345400">
        <w:rPr>
          <w:rStyle w:val="af7"/>
          <w:rFonts w:eastAsia="Guttman Hodes"/>
          <w:cs/>
        </w:rPr>
        <w:t>‎</w:t>
      </w:r>
      <w:r w:rsidR="00345400">
        <w:rPr>
          <w:rStyle w:val="af7"/>
          <w:rFonts w:eastAsia="Guttman Hodes"/>
          <w:rtl/>
        </w:rPr>
        <w:t>ע)</w:t>
      </w:r>
      <w:r w:rsidRPr="00297E8A">
        <w:rPr>
          <w:rStyle w:val="af7"/>
          <w:rFonts w:eastAsia="Guttman Hodes"/>
          <w:rtl/>
        </w:rPr>
        <w:fldChar w:fldCharType="end"/>
      </w:r>
      <w:r>
        <w:rPr>
          <w:rFonts w:hint="cs"/>
          <w:rtl/>
        </w:rPr>
        <w:t xml:space="preserve"> ביאר דיש סתירה בחזקות בין החזקת היתר לכשימות הבעל, לחזקה מאיסור לאיסור, ולכן הקשו </w:t>
      </w:r>
      <w:r w:rsidRPr="00435029">
        <w:rPr>
          <w:rStyle w:val="af9"/>
          <w:rFonts w:hint="cs"/>
          <w:rtl/>
        </w:rPr>
        <w:t>הרמב"ן והרשב"א</w:t>
      </w:r>
      <w:r>
        <w:rPr>
          <w:rFonts w:hint="cs"/>
          <w:rtl/>
        </w:rPr>
        <w:t xml:space="preserve"> היאך התיר רבה מחמת החזקת היתר, אך דחה </w:t>
      </w:r>
      <w:r w:rsidRPr="00435029">
        <w:rPr>
          <w:rStyle w:val="af9"/>
          <w:rFonts w:hint="cs"/>
          <w:rtl/>
        </w:rPr>
        <w:t>הגרש"ר</w:t>
      </w:r>
      <w:r>
        <w:rPr>
          <w:rFonts w:hint="cs"/>
          <w:rtl/>
        </w:rPr>
        <w:t xml:space="preserve"> דאין כוונתם להקשות דיש סתירה בחזקות, דאף דבספק צרת ערוה, יש סתירא בין החזקת היתר לכשימות הבעל, לחזקה דמאיסור לאיסור, אבל בספק בשחיטה, א"א לומר דהוא סתירה בחזקות דהא יתכן שהאיסור אבר מן החי יסתלק לכשתמות, ולא יהיה בה היתר ע"י שחיטה כשמתה מאליה.</w:t>
      </w:r>
      <w:bookmarkEnd w:id="1547"/>
    </w:p>
    <w:p w14:paraId="35254559" w14:textId="77777777" w:rsidR="00852065" w:rsidRDefault="00852065" w:rsidP="006D6D32">
      <w:pPr>
        <w:pStyle w:val="a3"/>
        <w:rPr>
          <w:rtl/>
        </w:rPr>
      </w:pPr>
      <w:bookmarkStart w:id="1548" w:name="_Toc522200268"/>
      <w:bookmarkStart w:id="1549" w:name="_Toc19389152"/>
      <w:bookmarkStart w:id="1550" w:name="_Toc19392649"/>
      <w:r>
        <w:rPr>
          <w:rFonts w:hint="cs"/>
          <w:rtl/>
        </w:rPr>
        <w:t>ביאור הגרש"ר ברמב"ן דסברת חזקה דרבה סותרת לסברת מחזיקין מאל"א</w:t>
      </w:r>
      <w:bookmarkEnd w:id="1548"/>
      <w:bookmarkEnd w:id="1549"/>
      <w:bookmarkEnd w:id="1550"/>
    </w:p>
    <w:p w14:paraId="71E23A5A" w14:textId="77777777" w:rsidR="00852065" w:rsidRPr="0082319E" w:rsidRDefault="00852065" w:rsidP="00223668">
      <w:pPr>
        <w:pStyle w:val="a0"/>
        <w:rPr>
          <w:rtl/>
        </w:rPr>
      </w:pPr>
      <w:r>
        <w:rPr>
          <w:rFonts w:hint="cs"/>
          <w:rtl/>
        </w:rPr>
        <w:t xml:space="preserve">וכתב </w:t>
      </w:r>
      <w:r w:rsidRPr="00611022">
        <w:rPr>
          <w:rStyle w:val="af9"/>
          <w:rFonts w:hint="cs"/>
          <w:rtl/>
        </w:rPr>
        <w:t>הגרש"ר</w:t>
      </w:r>
      <w:r>
        <w:rPr>
          <w:rFonts w:hint="cs"/>
          <w:rtl/>
        </w:rPr>
        <w:t xml:space="preserve"> דאפשר לדחוק דכוונת </w:t>
      </w:r>
      <w:r w:rsidRPr="00611022">
        <w:rPr>
          <w:rStyle w:val="af9"/>
          <w:rFonts w:hint="cs"/>
          <w:rtl/>
        </w:rPr>
        <w:t>הרמב"ן והרשב"א</w:t>
      </w:r>
      <w:r>
        <w:rPr>
          <w:rFonts w:hint="cs"/>
          <w:rtl/>
        </w:rPr>
        <w:t xml:space="preserve"> להקשות דהסברא של חזקת היתר דרבה דמחיים מוחזקת להיתר לאחר מיתת הבעל, סותרת לסברא דמחזיקין מאיסור לאיסור, דאי דנין לפי המצב בפועל דיש בה איסור, א"כ מחזיקין מאיסור לאיסור, ואי דנין לפי הדין שהיה במצב אחר שאינו המצב בפועל, דהיינו מה יהיה הדין לכשימות הבעל, א"כ האי בחזקת היתר כחזקה דרבה, אך כתב </w:t>
      </w:r>
      <w:r w:rsidRPr="00575D35">
        <w:rPr>
          <w:rStyle w:val="af9"/>
          <w:rFonts w:hint="cs"/>
          <w:rtl/>
        </w:rPr>
        <w:t>הגרש"ר</w:t>
      </w:r>
      <w:r>
        <w:rPr>
          <w:rFonts w:hint="cs"/>
          <w:rtl/>
        </w:rPr>
        <w:t xml:space="preserve"> דבדברי </w:t>
      </w:r>
      <w:r w:rsidRPr="00575D35">
        <w:rPr>
          <w:rStyle w:val="af9"/>
          <w:rFonts w:hint="cs"/>
          <w:rtl/>
        </w:rPr>
        <w:t>הרשב"א ביבמות</w:t>
      </w:r>
      <w:r>
        <w:rPr>
          <w:rFonts w:hint="cs"/>
          <w:rtl/>
        </w:rPr>
        <w:t xml:space="preserve"> לא משמע כן.</w:t>
      </w:r>
    </w:p>
    <w:p w14:paraId="0EE5726E" w14:textId="77777777" w:rsidR="00852065" w:rsidRDefault="00852065" w:rsidP="00BF39B2">
      <w:pPr>
        <w:pStyle w:val="1"/>
        <w:rPr>
          <w:rtl/>
        </w:rPr>
      </w:pPr>
      <w:bookmarkStart w:id="1551" w:name="_Toc522200269"/>
      <w:bookmarkStart w:id="1552" w:name="_Toc19389153"/>
      <w:bookmarkStart w:id="1553" w:name="_Toc19392650"/>
      <w:r>
        <w:rPr>
          <w:rFonts w:hint="cs"/>
          <w:rtl/>
        </w:rPr>
        <w:t>ביאור הגרש"ר בתירוצי הרמב"ן והרשב"א ביבמות</w:t>
      </w:r>
      <w:bookmarkEnd w:id="1551"/>
      <w:bookmarkEnd w:id="1552"/>
      <w:bookmarkEnd w:id="1553"/>
    </w:p>
    <w:p w14:paraId="13639073" w14:textId="77777777" w:rsidR="00852065" w:rsidRDefault="00852065" w:rsidP="006D6D32">
      <w:pPr>
        <w:pStyle w:val="a3"/>
        <w:rPr>
          <w:rtl/>
        </w:rPr>
      </w:pPr>
      <w:bookmarkStart w:id="1554" w:name="_Toc522200270"/>
      <w:bookmarkStart w:id="1555" w:name="_Toc19389154"/>
      <w:bookmarkStart w:id="1556" w:name="_Toc19392651"/>
      <w:r>
        <w:rPr>
          <w:rFonts w:hint="cs"/>
          <w:rtl/>
        </w:rPr>
        <w:t>הגרש"ר ברמב"ן דבבהמה אין חזקת היתר דאף כשיפקע האבמה"ח עדיין אסורה</w:t>
      </w:r>
      <w:bookmarkEnd w:id="1554"/>
      <w:bookmarkEnd w:id="1555"/>
      <w:bookmarkEnd w:id="1556"/>
    </w:p>
    <w:p w14:paraId="6DA93EE0" w14:textId="77777777" w:rsidR="00852065" w:rsidRDefault="00852065" w:rsidP="00223668">
      <w:pPr>
        <w:pStyle w:val="a0"/>
        <w:rPr>
          <w:rtl/>
        </w:rPr>
      </w:pPr>
      <w:r>
        <w:rPr>
          <w:rFonts w:hint="cs"/>
          <w:rtl/>
        </w:rPr>
        <w:t xml:space="preserve">וכתב </w:t>
      </w:r>
      <w:r w:rsidRPr="001D7D95">
        <w:rPr>
          <w:rStyle w:val="af9"/>
          <w:rFonts w:hint="cs"/>
          <w:rtl/>
        </w:rPr>
        <w:t>הגרש"ר</w:t>
      </w:r>
      <w:r>
        <w:rPr>
          <w:rFonts w:hint="cs"/>
          <w:rtl/>
        </w:rPr>
        <w:t xml:space="preserve"> דזהו הביאור בתירוץ </w:t>
      </w:r>
      <w:r w:rsidRPr="001D7D95">
        <w:rPr>
          <w:rStyle w:val="af9"/>
          <w:rFonts w:hint="cs"/>
          <w:rtl/>
        </w:rPr>
        <w:t>הרמב"ן ביבמות</w:t>
      </w:r>
      <w:r>
        <w:rPr>
          <w:rFonts w:hint="cs"/>
          <w:rtl/>
        </w:rPr>
        <w:t xml:space="preserve"> </w:t>
      </w:r>
      <w:r w:rsidRPr="00720F6B">
        <w:rPr>
          <w:rStyle w:val="af7"/>
          <w:rFonts w:eastAsia="Guttman Hodes" w:hint="cs"/>
          <w:rtl/>
        </w:rPr>
        <w:t xml:space="preserve">(עי' אות </w:t>
      </w:r>
      <w:r w:rsidRPr="00720F6B">
        <w:rPr>
          <w:rStyle w:val="af7"/>
          <w:rFonts w:eastAsia="Guttman Hodes"/>
          <w:rtl/>
        </w:rPr>
        <w:fldChar w:fldCharType="begin"/>
      </w:r>
      <w:r w:rsidRPr="00720F6B">
        <w:rPr>
          <w:rStyle w:val="af7"/>
          <w:rFonts w:eastAsia="Guttman Hodes"/>
          <w:rtl/>
        </w:rPr>
        <w:instrText xml:space="preserve"> </w:instrText>
      </w:r>
      <w:r w:rsidRPr="00720F6B">
        <w:rPr>
          <w:rStyle w:val="af7"/>
          <w:rFonts w:eastAsia="Guttman Hodes" w:hint="cs"/>
        </w:rPr>
        <w:instrText>REF</w:instrText>
      </w:r>
      <w:r w:rsidRPr="00720F6B">
        <w:rPr>
          <w:rStyle w:val="af7"/>
          <w:rFonts w:eastAsia="Guttman Hodes" w:hint="cs"/>
          <w:rtl/>
        </w:rPr>
        <w:instrText xml:space="preserve"> _</w:instrText>
      </w:r>
      <w:r w:rsidRPr="00720F6B">
        <w:rPr>
          <w:rStyle w:val="af7"/>
          <w:rFonts w:eastAsia="Guttman Hodes" w:hint="cs"/>
        </w:rPr>
        <w:instrText>Ref522187593 \r \h</w:instrText>
      </w:r>
      <w:r w:rsidRPr="00720F6B">
        <w:rPr>
          <w:rStyle w:val="af7"/>
          <w:rFonts w:eastAsia="Guttman Hodes"/>
          <w:rtl/>
        </w:rPr>
        <w:instrText xml:space="preserve"> </w:instrText>
      </w:r>
      <w:r w:rsidRPr="00720F6B">
        <w:rPr>
          <w:rStyle w:val="af7"/>
          <w:rFonts w:eastAsia="Guttman Hodes"/>
          <w:rtl/>
        </w:rPr>
      </w:r>
      <w:r w:rsidRPr="00720F6B">
        <w:rPr>
          <w:rStyle w:val="af7"/>
          <w:rFonts w:eastAsia="Guttman Hodes"/>
          <w:rtl/>
        </w:rPr>
        <w:fldChar w:fldCharType="separate"/>
      </w:r>
      <w:r w:rsidR="00345400">
        <w:rPr>
          <w:rStyle w:val="af7"/>
          <w:rFonts w:eastAsia="Guttman Hodes"/>
          <w:cs/>
        </w:rPr>
        <w:t>‎</w:t>
      </w:r>
      <w:r w:rsidR="00345400">
        <w:rPr>
          <w:rStyle w:val="af7"/>
          <w:rFonts w:eastAsia="Guttman Hodes"/>
          <w:rtl/>
        </w:rPr>
        <w:t>כח)</w:t>
      </w:r>
      <w:r w:rsidRPr="00720F6B">
        <w:rPr>
          <w:rStyle w:val="af7"/>
          <w:rFonts w:eastAsia="Guttman Hodes"/>
          <w:rtl/>
        </w:rPr>
        <w:fldChar w:fldCharType="end"/>
      </w:r>
      <w:r>
        <w:rPr>
          <w:rFonts w:hint="cs"/>
          <w:rtl/>
        </w:rPr>
        <w:t>, דבספק בשחיטה היא יכולה לצאת מאיסור לאיסור ע"י שמתה, ולכן בבהמה לא שייך חזקת היתר כלל, דאף אם יסתלק האיסור אבר מן החי עדין היא אסורה בלא שחיטה.</w:t>
      </w:r>
    </w:p>
    <w:p w14:paraId="10DE12EF" w14:textId="77777777" w:rsidR="00852065" w:rsidRPr="00810C19" w:rsidRDefault="00852065" w:rsidP="006D6D32">
      <w:pPr>
        <w:pStyle w:val="a3"/>
      </w:pPr>
      <w:bookmarkStart w:id="1557" w:name="_Toc522200271"/>
      <w:bookmarkStart w:id="1558" w:name="_Toc19389155"/>
      <w:bookmarkStart w:id="1559" w:name="_Toc19392652"/>
      <w:r>
        <w:rPr>
          <w:rFonts w:hint="cs"/>
          <w:rtl/>
        </w:rPr>
        <w:t>ביאור הגרש"ר ברמב"ן דבצרת ערוה כשיפקע האיסור א"א היא מותרת והיא בחזקת היתר</w:t>
      </w:r>
      <w:bookmarkEnd w:id="1557"/>
      <w:bookmarkEnd w:id="1558"/>
      <w:bookmarkEnd w:id="1559"/>
    </w:p>
    <w:p w14:paraId="32892288" w14:textId="77777777" w:rsidR="00852065" w:rsidRDefault="00852065" w:rsidP="00223668">
      <w:pPr>
        <w:pStyle w:val="a0"/>
        <w:rPr>
          <w:rtl/>
        </w:rPr>
      </w:pPr>
      <w:r>
        <w:rPr>
          <w:rFonts w:hint="cs"/>
          <w:rtl/>
        </w:rPr>
        <w:t xml:space="preserve">אבל בספק בצרת ערוה ביאר </w:t>
      </w:r>
      <w:r w:rsidRPr="001D7D95">
        <w:rPr>
          <w:rStyle w:val="af9"/>
          <w:rFonts w:hint="cs"/>
          <w:rtl/>
        </w:rPr>
        <w:t>הגרש"ר</w:t>
      </w:r>
      <w:r>
        <w:rPr>
          <w:rFonts w:hint="cs"/>
          <w:rtl/>
        </w:rPr>
        <w:t xml:space="preserve"> בתירוץ </w:t>
      </w:r>
      <w:r w:rsidRPr="001D7D95">
        <w:rPr>
          <w:rStyle w:val="af9"/>
          <w:rFonts w:hint="cs"/>
          <w:rtl/>
        </w:rPr>
        <w:t>הרמב"ן ביבמות</w:t>
      </w:r>
      <w:r>
        <w:rPr>
          <w:rFonts w:hint="cs"/>
          <w:rtl/>
        </w:rPr>
        <w:t xml:space="preserve"> דכיון שאינה יכולה לצאת מבעלה בלא היתר לשוק, דע"י מיתת הבעל היא בחזקת היתר, ולכן אף מחיים יש לה חזקת היתר.</w:t>
      </w:r>
    </w:p>
    <w:p w14:paraId="51FE8EBA" w14:textId="77777777" w:rsidR="00852065" w:rsidRDefault="00852065" w:rsidP="006D6D32">
      <w:pPr>
        <w:pStyle w:val="a3"/>
        <w:rPr>
          <w:rtl/>
        </w:rPr>
      </w:pPr>
      <w:bookmarkStart w:id="1560" w:name="_Toc522200272"/>
      <w:bookmarkStart w:id="1561" w:name="_Toc19389156"/>
      <w:bookmarkStart w:id="1562" w:name="_Toc19392653"/>
      <w:r>
        <w:rPr>
          <w:rFonts w:hint="cs"/>
          <w:rtl/>
        </w:rPr>
        <w:t>קושית הגרש"ר על הרשב"א דאמאי הוסיף שמחיים אסורה באמר מן החי</w:t>
      </w:r>
      <w:bookmarkEnd w:id="1560"/>
      <w:bookmarkEnd w:id="1561"/>
      <w:bookmarkEnd w:id="1562"/>
    </w:p>
    <w:p w14:paraId="2DB64ED0" w14:textId="77777777" w:rsidR="00852065" w:rsidRDefault="00852065" w:rsidP="00223668">
      <w:pPr>
        <w:pStyle w:val="a0"/>
        <w:rPr>
          <w:rtl/>
        </w:rPr>
      </w:pPr>
      <w:r>
        <w:rPr>
          <w:rFonts w:hint="cs"/>
          <w:rtl/>
        </w:rPr>
        <w:t xml:space="preserve">ובביאור תירוץ </w:t>
      </w:r>
      <w:r w:rsidRPr="001D7D95">
        <w:rPr>
          <w:rStyle w:val="af9"/>
          <w:rFonts w:hint="cs"/>
          <w:rtl/>
        </w:rPr>
        <w:t>הרשב"א ביבמות</w:t>
      </w:r>
      <w:r>
        <w:rPr>
          <w:rFonts w:hint="cs"/>
          <w:rtl/>
        </w:rPr>
        <w:t xml:space="preserve"> כתב </w:t>
      </w:r>
      <w:r w:rsidRPr="001D7D95">
        <w:rPr>
          <w:rStyle w:val="af9"/>
          <w:rFonts w:hint="cs"/>
          <w:rtl/>
        </w:rPr>
        <w:t>הגרש"ר</w:t>
      </w:r>
      <w:r>
        <w:rPr>
          <w:rFonts w:hint="cs"/>
          <w:rtl/>
        </w:rPr>
        <w:t xml:space="preserve"> דבספק בשחיטה כיון דבלא שיתחדש בה מעשה היא תהיה נבילה, צריך להביא ראיה שנתחדשה בה שחיטה, משא"כ בספק צרת ערוה בלא שיתחדש בה מעשה היא מותרת, אך הקשה </w:t>
      </w:r>
      <w:r w:rsidRPr="001D7D95">
        <w:rPr>
          <w:rStyle w:val="af9"/>
          <w:rFonts w:hint="cs"/>
          <w:rtl/>
        </w:rPr>
        <w:t>הגרש"ר</w:t>
      </w:r>
      <w:r>
        <w:rPr>
          <w:rFonts w:hint="cs"/>
          <w:rtl/>
        </w:rPr>
        <w:t xml:space="preserve"> דא"כ אמאי הוסיף </w:t>
      </w:r>
      <w:r w:rsidRPr="001D7D95">
        <w:rPr>
          <w:rStyle w:val="af9"/>
          <w:rFonts w:hint="cs"/>
          <w:rtl/>
        </w:rPr>
        <w:t>הרשב"א ביבמות</w:t>
      </w:r>
      <w:r>
        <w:rPr>
          <w:rFonts w:hint="cs"/>
          <w:rtl/>
        </w:rPr>
        <w:t xml:space="preserve"> שכל שלא מתה יש בה איסור אבר מן החי, דהרי תירוץ הרשבא הוא בגדרי החזקות, ומהו הוא שייך לאיסור אבר מן החי, וציין </w:t>
      </w:r>
      <w:r w:rsidRPr="001D7D95">
        <w:rPr>
          <w:rStyle w:val="af9"/>
          <w:rFonts w:hint="cs"/>
          <w:rtl/>
        </w:rPr>
        <w:t>הגרש"ר</w:t>
      </w:r>
      <w:r>
        <w:rPr>
          <w:rFonts w:hint="cs"/>
          <w:rtl/>
        </w:rPr>
        <w:t xml:space="preserve"> למה שביאר </w:t>
      </w:r>
      <w:r w:rsidRPr="001D7D95">
        <w:rPr>
          <w:rStyle w:val="af9"/>
          <w:rFonts w:hint="cs"/>
          <w:rtl/>
        </w:rPr>
        <w:t>השער"י</w:t>
      </w:r>
      <w:r>
        <w:rPr>
          <w:rFonts w:hint="cs"/>
          <w:rtl/>
        </w:rPr>
        <w:t xml:space="preserve"> </w:t>
      </w:r>
      <w:r w:rsidRPr="00720F6B">
        <w:rPr>
          <w:rStyle w:val="af7"/>
          <w:rFonts w:eastAsia="Guttman Hodes" w:hint="cs"/>
          <w:rtl/>
        </w:rPr>
        <w:t xml:space="preserve">(עי' אות </w:t>
      </w:r>
      <w:r w:rsidRPr="00720F6B">
        <w:rPr>
          <w:rStyle w:val="af7"/>
          <w:rFonts w:eastAsia="Guttman Hodes"/>
          <w:rtl/>
        </w:rPr>
        <w:fldChar w:fldCharType="begin"/>
      </w:r>
      <w:r w:rsidRPr="00720F6B">
        <w:rPr>
          <w:rStyle w:val="af7"/>
          <w:rFonts w:eastAsia="Guttman Hodes"/>
          <w:rtl/>
        </w:rPr>
        <w:instrText xml:space="preserve"> </w:instrText>
      </w:r>
      <w:r w:rsidRPr="00720F6B">
        <w:rPr>
          <w:rStyle w:val="af7"/>
          <w:rFonts w:eastAsia="Guttman Hodes" w:hint="cs"/>
        </w:rPr>
        <w:instrText>REF</w:instrText>
      </w:r>
      <w:r w:rsidRPr="00720F6B">
        <w:rPr>
          <w:rStyle w:val="af7"/>
          <w:rFonts w:eastAsia="Guttman Hodes" w:hint="cs"/>
          <w:rtl/>
        </w:rPr>
        <w:instrText xml:space="preserve"> _</w:instrText>
      </w:r>
      <w:r w:rsidRPr="00720F6B">
        <w:rPr>
          <w:rStyle w:val="af7"/>
          <w:rFonts w:eastAsia="Guttman Hodes" w:hint="cs"/>
        </w:rPr>
        <w:instrText>Ref522199882 \r \h</w:instrText>
      </w:r>
      <w:r w:rsidRPr="00720F6B">
        <w:rPr>
          <w:rStyle w:val="af7"/>
          <w:rFonts w:eastAsia="Guttman Hodes"/>
          <w:rtl/>
        </w:rPr>
        <w:instrText xml:space="preserve"> </w:instrText>
      </w:r>
      <w:r w:rsidRPr="00720F6B">
        <w:rPr>
          <w:rStyle w:val="af7"/>
          <w:rFonts w:eastAsia="Guttman Hodes"/>
          <w:rtl/>
        </w:rPr>
      </w:r>
      <w:r w:rsidRPr="00720F6B">
        <w:rPr>
          <w:rStyle w:val="af7"/>
          <w:rFonts w:eastAsia="Guttman Hodes"/>
          <w:rtl/>
        </w:rPr>
        <w:fldChar w:fldCharType="separate"/>
      </w:r>
      <w:r w:rsidR="00345400">
        <w:rPr>
          <w:rStyle w:val="af7"/>
          <w:rFonts w:eastAsia="Guttman Hodes"/>
          <w:cs/>
        </w:rPr>
        <w:t>‎</w:t>
      </w:r>
      <w:r w:rsidR="00345400">
        <w:rPr>
          <w:rStyle w:val="af7"/>
          <w:rFonts w:eastAsia="Guttman Hodes"/>
          <w:rtl/>
        </w:rPr>
        <w:t>עב)</w:t>
      </w:r>
      <w:r w:rsidRPr="00720F6B">
        <w:rPr>
          <w:rStyle w:val="af7"/>
          <w:rFonts w:eastAsia="Guttman Hodes"/>
          <w:rtl/>
        </w:rPr>
        <w:fldChar w:fldCharType="end"/>
      </w:r>
      <w:r>
        <w:rPr>
          <w:rFonts w:hint="cs"/>
          <w:rtl/>
        </w:rPr>
        <w:t xml:space="preserve"> בזה.</w:t>
      </w:r>
    </w:p>
    <w:p w14:paraId="45FA41DA" w14:textId="77777777" w:rsidR="00852065" w:rsidRDefault="00852065" w:rsidP="00BF39B2">
      <w:pPr>
        <w:pStyle w:val="1"/>
        <w:rPr>
          <w:rtl/>
        </w:rPr>
      </w:pPr>
      <w:bookmarkStart w:id="1563" w:name="_Toc522200273"/>
      <w:bookmarkStart w:id="1564" w:name="_Toc19389157"/>
      <w:bookmarkStart w:id="1565" w:name="_Toc19392654"/>
      <w:r>
        <w:rPr>
          <w:rFonts w:hint="cs"/>
          <w:rtl/>
        </w:rPr>
        <w:t>ביאור הגר</w:t>
      </w:r>
      <w:bookmarkEnd w:id="1375"/>
      <w:bookmarkEnd w:id="1376"/>
      <w:bookmarkEnd w:id="1377"/>
      <w:r>
        <w:rPr>
          <w:rFonts w:hint="cs"/>
          <w:rtl/>
        </w:rPr>
        <w:t>נ"פ</w:t>
      </w:r>
      <w:bookmarkEnd w:id="1438"/>
      <w:bookmarkEnd w:id="1439"/>
      <w:bookmarkEnd w:id="1440"/>
      <w:r>
        <w:rPr>
          <w:rFonts w:hint="cs"/>
          <w:rtl/>
        </w:rPr>
        <w:t xml:space="preserve"> ברמב"ן וברשב"א ביבמות</w:t>
      </w:r>
      <w:bookmarkEnd w:id="1563"/>
      <w:bookmarkEnd w:id="1564"/>
      <w:bookmarkEnd w:id="1565"/>
    </w:p>
    <w:p w14:paraId="2CBD1C31" w14:textId="77777777" w:rsidR="00852065" w:rsidRDefault="00852065" w:rsidP="006D6D32">
      <w:pPr>
        <w:pStyle w:val="a3"/>
        <w:rPr>
          <w:rtl/>
        </w:rPr>
      </w:pPr>
      <w:bookmarkStart w:id="1566" w:name="_Toc522200274"/>
      <w:bookmarkStart w:id="1567" w:name="_Toc19389158"/>
      <w:bookmarkStart w:id="1568" w:name="_Toc19392655"/>
      <w:r>
        <w:rPr>
          <w:rFonts w:hint="cs"/>
          <w:rtl/>
        </w:rPr>
        <w:t>ביאור הגרנ"פ ברמב"ן דבצר"ע יש לה חזקת היתר ובבהמה אין חזקת היתר לכשתמות</w:t>
      </w:r>
      <w:bookmarkEnd w:id="1566"/>
      <w:bookmarkEnd w:id="1567"/>
      <w:bookmarkEnd w:id="1568"/>
    </w:p>
    <w:p w14:paraId="6DEF4F07" w14:textId="77777777" w:rsidR="00852065" w:rsidRDefault="00852065" w:rsidP="00223668">
      <w:pPr>
        <w:pStyle w:val="a0"/>
        <w:rPr>
          <w:rtl/>
        </w:rPr>
      </w:pPr>
      <w:r w:rsidRPr="005F68B8">
        <w:rPr>
          <w:rStyle w:val="af9"/>
          <w:rFonts w:hint="cs"/>
          <w:rtl/>
        </w:rPr>
        <w:t>בחידושי רבי נחום</w:t>
      </w:r>
      <w:r>
        <w:rPr>
          <w:rFonts w:hint="cs"/>
          <w:rtl/>
        </w:rPr>
        <w:t xml:space="preserve"> </w:t>
      </w:r>
      <w:r w:rsidRPr="006E2432">
        <w:rPr>
          <w:rStyle w:val="af7"/>
          <w:rFonts w:eastAsia="Guttman Hodes" w:hint="cs"/>
          <w:rtl/>
        </w:rPr>
        <w:t>(יבמות ל: אות תקכ"ב)</w:t>
      </w:r>
      <w:r>
        <w:rPr>
          <w:rFonts w:hint="cs"/>
          <w:rtl/>
        </w:rPr>
        <w:t xml:space="preserve"> הביא את תירוץ </w:t>
      </w:r>
      <w:r w:rsidRPr="005F68B8">
        <w:rPr>
          <w:rStyle w:val="af9"/>
          <w:rFonts w:hint="cs"/>
          <w:rtl/>
        </w:rPr>
        <w:t>הרמב"ן ביבמות</w:t>
      </w:r>
      <w:r>
        <w:rPr>
          <w:rFonts w:hint="cs"/>
          <w:rtl/>
        </w:rPr>
        <w:t xml:space="preserve"> </w:t>
      </w:r>
      <w:r w:rsidRPr="00971C0C">
        <w:rPr>
          <w:rStyle w:val="af7"/>
          <w:rFonts w:eastAsia="Guttman Hodes" w:hint="cs"/>
          <w:rtl/>
        </w:rPr>
        <w:t xml:space="preserve">(עי' אות </w:t>
      </w:r>
      <w:r w:rsidRPr="00971C0C">
        <w:rPr>
          <w:rStyle w:val="af7"/>
          <w:rFonts w:eastAsia="Guttman Hodes"/>
          <w:rtl/>
        </w:rPr>
        <w:fldChar w:fldCharType="begin"/>
      </w:r>
      <w:r w:rsidRPr="00971C0C">
        <w:rPr>
          <w:rStyle w:val="af7"/>
          <w:rFonts w:eastAsia="Guttman Hodes"/>
          <w:rtl/>
        </w:rPr>
        <w:instrText xml:space="preserve"> </w:instrText>
      </w:r>
      <w:r w:rsidRPr="00971C0C">
        <w:rPr>
          <w:rStyle w:val="af7"/>
          <w:rFonts w:eastAsia="Guttman Hodes" w:hint="cs"/>
        </w:rPr>
        <w:instrText>REF</w:instrText>
      </w:r>
      <w:r w:rsidRPr="00971C0C">
        <w:rPr>
          <w:rStyle w:val="af7"/>
          <w:rFonts w:eastAsia="Guttman Hodes" w:hint="cs"/>
          <w:rtl/>
        </w:rPr>
        <w:instrText xml:space="preserve"> _</w:instrText>
      </w:r>
      <w:r w:rsidRPr="00971C0C">
        <w:rPr>
          <w:rStyle w:val="af7"/>
          <w:rFonts w:eastAsia="Guttman Hodes" w:hint="cs"/>
        </w:rPr>
        <w:instrText>Ref522187593 \r \h</w:instrText>
      </w:r>
      <w:r w:rsidRPr="00971C0C">
        <w:rPr>
          <w:rStyle w:val="af7"/>
          <w:rFonts w:eastAsia="Guttman Hodes"/>
          <w:rtl/>
        </w:rPr>
        <w:instrText xml:space="preserve"> </w:instrText>
      </w:r>
      <w:r w:rsidRPr="00971C0C">
        <w:rPr>
          <w:rStyle w:val="af7"/>
          <w:rFonts w:eastAsia="Guttman Hodes"/>
          <w:rtl/>
        </w:rPr>
      </w:r>
      <w:r w:rsidRPr="00971C0C">
        <w:rPr>
          <w:rStyle w:val="af7"/>
          <w:rFonts w:eastAsia="Guttman Hodes"/>
          <w:rtl/>
        </w:rPr>
        <w:fldChar w:fldCharType="separate"/>
      </w:r>
      <w:r w:rsidR="00345400">
        <w:rPr>
          <w:rStyle w:val="af7"/>
          <w:rFonts w:eastAsia="Guttman Hodes"/>
          <w:cs/>
        </w:rPr>
        <w:t>‎</w:t>
      </w:r>
      <w:r w:rsidR="00345400">
        <w:rPr>
          <w:rStyle w:val="af7"/>
          <w:rFonts w:eastAsia="Guttman Hodes"/>
          <w:rtl/>
        </w:rPr>
        <w:t>כח)</w:t>
      </w:r>
      <w:r w:rsidRPr="00971C0C">
        <w:rPr>
          <w:rStyle w:val="af7"/>
          <w:rFonts w:eastAsia="Guttman Hodes"/>
          <w:rtl/>
        </w:rPr>
        <w:fldChar w:fldCharType="end"/>
      </w:r>
      <w:r>
        <w:rPr>
          <w:rFonts w:hint="cs"/>
          <w:rtl/>
        </w:rPr>
        <w:t xml:space="preserve"> דהבהמה יכולה לצאת מאיסור אבר מן החי לאיסור נבילה ע"י שנתנבלה, אבל </w:t>
      </w:r>
      <w:r>
        <w:rPr>
          <w:rtl/>
        </w:rPr>
        <w:t>בספק צרת ערוה</w:t>
      </w:r>
      <w:r>
        <w:rPr>
          <w:rFonts w:hint="cs"/>
          <w:rtl/>
        </w:rPr>
        <w:t xml:space="preserve"> שלא יתכן שתצא מתחת בעלה ואינה מותרת לשוק, וביאר </w:t>
      </w:r>
      <w:r w:rsidRPr="005F68B8">
        <w:rPr>
          <w:rStyle w:val="af9"/>
          <w:rFonts w:hint="cs"/>
          <w:rtl/>
        </w:rPr>
        <w:t>הגרנ"פ</w:t>
      </w:r>
      <w:r>
        <w:rPr>
          <w:rFonts w:hint="cs"/>
          <w:rtl/>
        </w:rPr>
        <w:t xml:space="preserve"> ד</w:t>
      </w:r>
      <w:r>
        <w:rPr>
          <w:rtl/>
        </w:rPr>
        <w:t>בספק צרת ערוה</w:t>
      </w:r>
      <w:r>
        <w:rPr>
          <w:rFonts w:hint="cs"/>
          <w:rtl/>
        </w:rPr>
        <w:t xml:space="preserve"> שאמר רבה ביבמות </w:t>
      </w:r>
      <w:r w:rsidRPr="00DE0F54">
        <w:rPr>
          <w:rStyle w:val="af7"/>
          <w:rFonts w:eastAsia="Guttman Hodes" w:hint="cs"/>
          <w:rtl/>
        </w:rPr>
        <w:t>(ל:)</w:t>
      </w:r>
      <w:r>
        <w:rPr>
          <w:rFonts w:hint="cs"/>
          <w:rtl/>
        </w:rPr>
        <w:t xml:space="preserve"> דבחזקת היתר עומדת, </w:t>
      </w:r>
      <w:r w:rsidRPr="006E2432">
        <w:rPr>
          <w:rStyle w:val="afb"/>
          <w:rFonts w:hint="cs"/>
          <w:rtl/>
        </w:rPr>
        <w:t>[דבמיתת הבעל היא בחזקת היתר לשוק דהיא צרת ערוה]</w:t>
      </w:r>
      <w:r>
        <w:rPr>
          <w:rStyle w:val="afb"/>
          <w:rFonts w:hint="cs"/>
          <w:rtl/>
        </w:rPr>
        <w:t>,</w:t>
      </w:r>
      <w:r>
        <w:rPr>
          <w:rFonts w:hint="cs"/>
          <w:rtl/>
        </w:rPr>
        <w:t xml:space="preserve"> ולכן א"א להחזיקה בחזקת איסור אשת איש שהיה לה, דכיון דבחזקת היתר עומדת מעמידים אותה על חזקתה דמותרת, משא"כ </w:t>
      </w:r>
      <w:r>
        <w:rPr>
          <w:rtl/>
        </w:rPr>
        <w:t>בספק בשחיטה</w:t>
      </w:r>
      <w:r>
        <w:rPr>
          <w:rFonts w:hint="cs"/>
          <w:rtl/>
        </w:rPr>
        <w:t xml:space="preserve"> דאינה עומדת בחזקת היתר לאחר מיתה, דהא במיתתה היא נעשית נבילה, ואין בה חזקת היתר כשהיא מתה, ומשו"ה מחזיקין אותה מהאיסור שהייתה בו מחיים דאבר מן החי, לאיסור נבילה.</w:t>
      </w:r>
    </w:p>
    <w:p w14:paraId="10B7A779" w14:textId="77777777" w:rsidR="00852065" w:rsidRPr="00472379" w:rsidRDefault="00852065" w:rsidP="006D6D32">
      <w:pPr>
        <w:pStyle w:val="a3"/>
        <w:rPr>
          <w:rtl/>
        </w:rPr>
      </w:pPr>
      <w:bookmarkStart w:id="1569" w:name="_Toc522200275"/>
      <w:bookmarkStart w:id="1570" w:name="_Toc19389159"/>
      <w:bookmarkStart w:id="1571" w:name="_Toc19392656"/>
      <w:r w:rsidRPr="00472379">
        <w:rPr>
          <w:rFonts w:hint="cs"/>
          <w:rtl/>
        </w:rPr>
        <w:t xml:space="preserve">ביאור הגרנ"פ ברשב"א דאי מחזיקין מאל"א </w:t>
      </w:r>
      <w:r>
        <w:rPr>
          <w:rFonts w:hint="cs"/>
          <w:rtl/>
        </w:rPr>
        <w:t>לא שייך לומר שיש לה חזקת היתר</w:t>
      </w:r>
      <w:bookmarkEnd w:id="1569"/>
      <w:bookmarkEnd w:id="1570"/>
      <w:bookmarkEnd w:id="1571"/>
    </w:p>
    <w:p w14:paraId="70A07E08" w14:textId="77777777" w:rsidR="00852065" w:rsidRDefault="00852065" w:rsidP="00223668">
      <w:pPr>
        <w:pStyle w:val="a0"/>
        <w:rPr>
          <w:rtl/>
        </w:rPr>
      </w:pPr>
      <w:r>
        <w:rPr>
          <w:rFonts w:hint="cs"/>
          <w:rtl/>
        </w:rPr>
        <w:t xml:space="preserve">ובדעת </w:t>
      </w:r>
      <w:r w:rsidRPr="00DA59BF">
        <w:rPr>
          <w:rStyle w:val="af9"/>
          <w:rFonts w:hint="cs"/>
          <w:rtl/>
        </w:rPr>
        <w:t>הרשב"א</w:t>
      </w:r>
      <w:r>
        <w:rPr>
          <w:rFonts w:hint="cs"/>
          <w:rtl/>
        </w:rPr>
        <w:t xml:space="preserve"> </w:t>
      </w:r>
      <w:r w:rsidRPr="00971C0C">
        <w:rPr>
          <w:rStyle w:val="af7"/>
          <w:rFonts w:eastAsia="Guttman Hodes" w:hint="cs"/>
          <w:rtl/>
        </w:rPr>
        <w:t xml:space="preserve">(עי' אות </w:t>
      </w:r>
      <w:r w:rsidRPr="00971C0C">
        <w:rPr>
          <w:rStyle w:val="af7"/>
          <w:rFonts w:eastAsia="Guttman Hodes"/>
          <w:rtl/>
        </w:rPr>
        <w:fldChar w:fldCharType="begin"/>
      </w:r>
      <w:r w:rsidRPr="00971C0C">
        <w:rPr>
          <w:rStyle w:val="af7"/>
          <w:rFonts w:eastAsia="Guttman Hodes"/>
          <w:rtl/>
        </w:rPr>
        <w:instrText xml:space="preserve"> </w:instrText>
      </w:r>
      <w:r w:rsidRPr="00971C0C">
        <w:rPr>
          <w:rStyle w:val="af7"/>
          <w:rFonts w:eastAsia="Guttman Hodes" w:hint="cs"/>
        </w:rPr>
        <w:instrText>REF</w:instrText>
      </w:r>
      <w:r w:rsidRPr="00971C0C">
        <w:rPr>
          <w:rStyle w:val="af7"/>
          <w:rFonts w:eastAsia="Guttman Hodes" w:hint="cs"/>
          <w:rtl/>
        </w:rPr>
        <w:instrText xml:space="preserve"> _</w:instrText>
      </w:r>
      <w:r w:rsidRPr="00971C0C">
        <w:rPr>
          <w:rStyle w:val="af7"/>
          <w:rFonts w:eastAsia="Guttman Hodes" w:hint="cs"/>
        </w:rPr>
        <w:instrText>Ref522187437 \r \h</w:instrText>
      </w:r>
      <w:r w:rsidRPr="00971C0C">
        <w:rPr>
          <w:rStyle w:val="af7"/>
          <w:rFonts w:eastAsia="Guttman Hodes"/>
          <w:rtl/>
        </w:rPr>
        <w:instrText xml:space="preserve"> </w:instrText>
      </w:r>
      <w:r w:rsidRPr="00971C0C">
        <w:rPr>
          <w:rStyle w:val="af7"/>
          <w:rFonts w:eastAsia="Guttman Hodes"/>
          <w:rtl/>
        </w:rPr>
      </w:r>
      <w:r w:rsidRPr="00971C0C">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sidRPr="00971C0C">
        <w:rPr>
          <w:rStyle w:val="af7"/>
          <w:rFonts w:eastAsia="Guttman Hodes"/>
          <w:rtl/>
        </w:rPr>
        <w:fldChar w:fldCharType="end"/>
      </w:r>
      <w:r>
        <w:rPr>
          <w:rFonts w:hint="cs"/>
          <w:rtl/>
        </w:rPr>
        <w:t xml:space="preserve"> ביאר </w:t>
      </w:r>
      <w:r w:rsidRPr="00DA59BF">
        <w:rPr>
          <w:rStyle w:val="af9"/>
          <w:rFonts w:hint="cs"/>
          <w:rtl/>
        </w:rPr>
        <w:t>הגרנ"פ</w:t>
      </w:r>
      <w:r>
        <w:rPr>
          <w:rFonts w:hint="cs"/>
          <w:rtl/>
        </w:rPr>
        <w:t xml:space="preserve"> </w:t>
      </w:r>
      <w:r w:rsidRPr="00DA59BF">
        <w:rPr>
          <w:rStyle w:val="af7"/>
          <w:rFonts w:eastAsia="Guttman Hodes" w:hint="cs"/>
          <w:rtl/>
        </w:rPr>
        <w:t xml:space="preserve">(יבמות ל: אות תקכ"ג) </w:t>
      </w:r>
      <w:r>
        <w:rPr>
          <w:rFonts w:hint="cs"/>
          <w:rtl/>
        </w:rPr>
        <w:t>דבמקום שמחזיקים מאיסור לאיסור לא שייך כלל לומר דעומדת בחזקת היתר, דהא כיון שמחזיקין אותה בחזקת איסור אבר מן החי, יש לה חזקת איסור ואין לה חזקת היתר.</w:t>
      </w:r>
    </w:p>
    <w:p w14:paraId="580FF822" w14:textId="77777777" w:rsidR="00852065" w:rsidRPr="00D24834" w:rsidRDefault="00852065" w:rsidP="00BF39B2">
      <w:pPr>
        <w:pStyle w:val="1"/>
      </w:pPr>
      <w:bookmarkStart w:id="1572" w:name="_Toc521324881"/>
      <w:bookmarkStart w:id="1573" w:name="_Toc521338188"/>
      <w:bookmarkStart w:id="1574" w:name="_Toc521361988"/>
      <w:bookmarkStart w:id="1575" w:name="_Toc522200276"/>
      <w:bookmarkStart w:id="1576" w:name="_Toc19389160"/>
      <w:bookmarkStart w:id="1577" w:name="_Toc19392657"/>
      <w:r>
        <w:rPr>
          <w:rFonts w:hint="cs"/>
          <w:rtl/>
        </w:rPr>
        <w:t>ביאור הגרנ"פ בפלוגתת הרמב"ן והרשב"א ב</w:t>
      </w:r>
      <w:bookmarkEnd w:id="1572"/>
      <w:bookmarkEnd w:id="1573"/>
      <w:bookmarkEnd w:id="1574"/>
      <w:r>
        <w:rPr>
          <w:rFonts w:hint="cs"/>
          <w:rtl/>
        </w:rPr>
        <w:t>מחזיקין מאל"א</w:t>
      </w:r>
      <w:bookmarkEnd w:id="1575"/>
      <w:bookmarkEnd w:id="1576"/>
      <w:bookmarkEnd w:id="1577"/>
      <w:r>
        <w:rPr>
          <w:rFonts w:hint="cs"/>
          <w:rtl/>
        </w:rPr>
        <w:t xml:space="preserve"> </w:t>
      </w:r>
    </w:p>
    <w:p w14:paraId="77AF1AAC" w14:textId="77777777" w:rsidR="00852065" w:rsidRDefault="00852065" w:rsidP="006D6D32">
      <w:pPr>
        <w:pStyle w:val="a3"/>
        <w:rPr>
          <w:rtl/>
        </w:rPr>
      </w:pPr>
      <w:bookmarkStart w:id="1578" w:name="_Toc522200277"/>
      <w:bookmarkStart w:id="1579" w:name="_Toc19389161"/>
      <w:bookmarkStart w:id="1580" w:name="_Toc19392658"/>
      <w:r>
        <w:rPr>
          <w:rFonts w:hint="cs"/>
          <w:rtl/>
        </w:rPr>
        <w:t>ביאור הגרנ"פ ברשב"א דגדר מחזיקין מאל"א דמי לחזקה דרבה</w:t>
      </w:r>
      <w:bookmarkEnd w:id="1578"/>
      <w:bookmarkEnd w:id="1579"/>
      <w:bookmarkEnd w:id="1580"/>
    </w:p>
    <w:p w14:paraId="139F2F06" w14:textId="77777777" w:rsidR="00852065" w:rsidRDefault="00852065" w:rsidP="00223668">
      <w:pPr>
        <w:pStyle w:val="a0"/>
        <w:rPr>
          <w:rtl/>
        </w:rPr>
      </w:pPr>
      <w:r>
        <w:rPr>
          <w:rFonts w:hint="cs"/>
          <w:rtl/>
        </w:rPr>
        <w:t xml:space="preserve">וכתב </w:t>
      </w:r>
      <w:r w:rsidRPr="00DA59BF">
        <w:rPr>
          <w:rStyle w:val="af9"/>
          <w:rFonts w:hint="cs"/>
          <w:rtl/>
        </w:rPr>
        <w:t>הגרנ"פ</w:t>
      </w:r>
      <w:r>
        <w:rPr>
          <w:rFonts w:hint="cs"/>
          <w:rtl/>
        </w:rPr>
        <w:t xml:space="preserve"> דדעת </w:t>
      </w:r>
      <w:r w:rsidRPr="00DA59BF">
        <w:rPr>
          <w:rStyle w:val="af9"/>
          <w:rFonts w:hint="cs"/>
          <w:rtl/>
        </w:rPr>
        <w:t>הרשב"א</w:t>
      </w:r>
      <w:r>
        <w:rPr>
          <w:rFonts w:hint="cs"/>
          <w:rtl/>
        </w:rPr>
        <w:t xml:space="preserve"> בדינא דמחזיקין מאיסור לאיסור הוא דאין הכוונה שהיא מוחזקת באיסור הראשון שהייתה בו דהוא אבר מן החי, דהא כיון שמתה נסתלק איסור זה, אלא גדר הדין הוא דומיא דבחזקת היתר עומדת, דהיינו דבהמה בחייה אסורה וכל שלא נעשה בה מעשה שמכשיר אותה לאכילה, עדיין היא בחזקת איסור. אבל </w:t>
      </w:r>
      <w:r>
        <w:rPr>
          <w:rtl/>
        </w:rPr>
        <w:t xml:space="preserve">בספק צרת ערוה </w:t>
      </w:r>
      <w:r>
        <w:rPr>
          <w:rFonts w:hint="cs"/>
          <w:rtl/>
        </w:rPr>
        <w:t xml:space="preserve">דכיון שנעשה בה מעשה מיתה שמתיר אותה לשוק, ואין צריך לחדש בה מעשה המתירה בכדי להתירה לשוק, אלא דיתכן שהיא אסורה דשמא הערוה נתגרשה ואינה צרתה, בזה ביאר </w:t>
      </w:r>
      <w:r w:rsidRPr="00DA59BF">
        <w:rPr>
          <w:rStyle w:val="af9"/>
          <w:rFonts w:hint="cs"/>
          <w:rtl/>
        </w:rPr>
        <w:t>הרשב"א</w:t>
      </w:r>
      <w:r>
        <w:rPr>
          <w:rFonts w:hint="cs"/>
          <w:rtl/>
        </w:rPr>
        <w:t xml:space="preserve"> דלא אמרינן בחזקת איסור עומדת. </w:t>
      </w:r>
    </w:p>
    <w:p w14:paraId="5CDBBA71" w14:textId="77777777" w:rsidR="00852065" w:rsidRDefault="00852065" w:rsidP="006D6D32">
      <w:pPr>
        <w:pStyle w:val="a3"/>
        <w:rPr>
          <w:rtl/>
        </w:rPr>
      </w:pPr>
      <w:bookmarkStart w:id="1581" w:name="_Toc522200278"/>
      <w:bookmarkStart w:id="1582" w:name="_Toc19389162"/>
      <w:bookmarkStart w:id="1583" w:name="_Toc19392659"/>
      <w:r>
        <w:rPr>
          <w:rFonts w:hint="cs"/>
          <w:rtl/>
        </w:rPr>
        <w:t>ביאור הגרנ"פ ברמב"ן דמחזיקין מאל"א היינו דכיון שהייתה אסורה א"א להתירה מספק</w:t>
      </w:r>
      <w:bookmarkEnd w:id="1581"/>
      <w:bookmarkEnd w:id="1582"/>
      <w:bookmarkEnd w:id="1583"/>
      <w:r>
        <w:rPr>
          <w:rFonts w:hint="cs"/>
          <w:rtl/>
        </w:rPr>
        <w:t xml:space="preserve"> </w:t>
      </w:r>
    </w:p>
    <w:p w14:paraId="748C62E7" w14:textId="77777777" w:rsidR="00852065" w:rsidRPr="004A2D36" w:rsidRDefault="00852065" w:rsidP="00223668">
      <w:pPr>
        <w:pStyle w:val="a0"/>
        <w:rPr>
          <w:rtl/>
        </w:rPr>
      </w:pPr>
      <w:r>
        <w:rPr>
          <w:rFonts w:hint="cs"/>
          <w:rtl/>
        </w:rPr>
        <w:t xml:space="preserve">ובדעת </w:t>
      </w:r>
      <w:r w:rsidRPr="00DA59BF">
        <w:rPr>
          <w:rStyle w:val="af9"/>
          <w:rFonts w:hint="cs"/>
          <w:rtl/>
        </w:rPr>
        <w:t>הרמב"ן</w:t>
      </w:r>
      <w:r>
        <w:rPr>
          <w:rFonts w:hint="cs"/>
          <w:rtl/>
        </w:rPr>
        <w:t xml:space="preserve"> בדינא דאין מחזיקין מאיסור לאיסור, ביאר </w:t>
      </w:r>
      <w:r w:rsidRPr="00D24834">
        <w:rPr>
          <w:rStyle w:val="af9"/>
          <w:rFonts w:hint="cs"/>
          <w:rtl/>
        </w:rPr>
        <w:t>הגרנ"פ</w:t>
      </w:r>
      <w:r>
        <w:rPr>
          <w:rFonts w:hint="cs"/>
          <w:rtl/>
        </w:rPr>
        <w:t xml:space="preserve"> דס"ל דהבהמה בחזקת איסור עומדת ומספק א"א להתירה, ואף שהאיסור הראשון נסתלק כבר, מ"מ א"א להתירה מספק, ולכן </w:t>
      </w:r>
      <w:r>
        <w:rPr>
          <w:rtl/>
        </w:rPr>
        <w:t>בספק צרת ערוה</w:t>
      </w:r>
      <w:r>
        <w:rPr>
          <w:rFonts w:hint="cs"/>
          <w:rtl/>
        </w:rPr>
        <w:t xml:space="preserve"> הוצרך </w:t>
      </w:r>
      <w:r w:rsidRPr="008167D3">
        <w:rPr>
          <w:rStyle w:val="af9"/>
          <w:rFonts w:hint="cs"/>
          <w:rtl/>
        </w:rPr>
        <w:t>הרמב"ן</w:t>
      </w:r>
      <w:r>
        <w:rPr>
          <w:rFonts w:hint="cs"/>
          <w:rtl/>
        </w:rPr>
        <w:t xml:space="preserve"> לבאר דהחזקת איסור א"א שהייתה בה מחיים פקעה, דלא יתכן שתצא מתחת בעלה ואינה מותרת </w:t>
      </w:r>
      <w:r w:rsidRPr="004A2D36">
        <w:rPr>
          <w:rFonts w:hint="cs"/>
          <w:rtl/>
        </w:rPr>
        <w:t>לשוק.</w:t>
      </w:r>
    </w:p>
    <w:p w14:paraId="48BB40A9" w14:textId="77777777" w:rsidR="00852065" w:rsidRPr="00D24834" w:rsidRDefault="00852065" w:rsidP="00BF39B2">
      <w:pPr>
        <w:pStyle w:val="1"/>
      </w:pPr>
      <w:bookmarkStart w:id="1584" w:name="_Toc522200279"/>
      <w:bookmarkStart w:id="1585" w:name="_Toc19389163"/>
      <w:bookmarkStart w:id="1586" w:name="_Toc19392660"/>
      <w:r>
        <w:rPr>
          <w:rFonts w:hint="cs"/>
          <w:rtl/>
        </w:rPr>
        <w:t>ביאור הגרנ"פ בפלוגתת הרמב"ן והרשב"א בגדר חזקת איסור</w:t>
      </w:r>
      <w:bookmarkEnd w:id="1584"/>
      <w:bookmarkEnd w:id="1585"/>
      <w:bookmarkEnd w:id="1586"/>
      <w:r>
        <w:rPr>
          <w:rFonts w:hint="cs"/>
          <w:rtl/>
        </w:rPr>
        <w:t xml:space="preserve"> </w:t>
      </w:r>
    </w:p>
    <w:p w14:paraId="52AC8044" w14:textId="77777777" w:rsidR="00852065" w:rsidRDefault="00852065" w:rsidP="006D6D32">
      <w:pPr>
        <w:pStyle w:val="a3"/>
      </w:pPr>
      <w:bookmarkStart w:id="1587" w:name="_Toc522200280"/>
      <w:bookmarkStart w:id="1588" w:name="_Toc19389164"/>
      <w:bookmarkStart w:id="1589" w:name="_Toc19392661"/>
      <w:r>
        <w:rPr>
          <w:rFonts w:hint="cs"/>
          <w:rtl/>
        </w:rPr>
        <w:t>ביאור הגרנ"פ ברמב"ן דהחזקה אינה על עצם הספק אלא על דין האיסור</w:t>
      </w:r>
      <w:bookmarkEnd w:id="1587"/>
      <w:bookmarkEnd w:id="1588"/>
      <w:bookmarkEnd w:id="1589"/>
    </w:p>
    <w:p w14:paraId="3EC1879F" w14:textId="77777777" w:rsidR="00852065" w:rsidRDefault="00852065" w:rsidP="00223668">
      <w:pPr>
        <w:pStyle w:val="a0"/>
        <w:rPr>
          <w:rtl/>
        </w:rPr>
      </w:pPr>
      <w:r>
        <w:rPr>
          <w:rFonts w:hint="cs"/>
          <w:rtl/>
        </w:rPr>
        <w:t xml:space="preserve">וכתב </w:t>
      </w:r>
      <w:r w:rsidRPr="001A1B32">
        <w:rPr>
          <w:rStyle w:val="af9"/>
          <w:rFonts w:hint="cs"/>
          <w:rtl/>
        </w:rPr>
        <w:t>הגרנ"פ</w:t>
      </w:r>
      <w:r w:rsidRPr="001A1B32">
        <w:rPr>
          <w:rFonts w:hint="cs"/>
          <w:rtl/>
        </w:rPr>
        <w:t xml:space="preserve"> דנחלקו </w:t>
      </w:r>
      <w:r w:rsidRPr="001A1B32">
        <w:rPr>
          <w:rStyle w:val="af9"/>
          <w:rFonts w:hint="cs"/>
          <w:rtl/>
        </w:rPr>
        <w:t>הרמב"ן והרשב"א</w:t>
      </w:r>
      <w:r w:rsidRPr="001A1B32">
        <w:rPr>
          <w:rFonts w:hint="cs"/>
          <w:rtl/>
        </w:rPr>
        <w:t xml:space="preserve"> </w:t>
      </w:r>
      <w:r>
        <w:rPr>
          <w:rFonts w:hint="cs"/>
          <w:rtl/>
        </w:rPr>
        <w:t>בעיקר דין החזקה במחזיקין מאיסור</w:t>
      </w:r>
      <w:r w:rsidRPr="001A1B32">
        <w:rPr>
          <w:rFonts w:hint="cs"/>
          <w:rtl/>
        </w:rPr>
        <w:t xml:space="preserve"> לאיסור, דלדעת </w:t>
      </w:r>
      <w:r w:rsidRPr="001A1B32">
        <w:rPr>
          <w:rStyle w:val="af9"/>
          <w:rFonts w:hint="cs"/>
          <w:rtl/>
        </w:rPr>
        <w:t>הרמב"ן</w:t>
      </w:r>
      <w:r w:rsidRPr="001A1B32">
        <w:rPr>
          <w:rFonts w:hint="cs"/>
          <w:rtl/>
        </w:rPr>
        <w:t xml:space="preserve"> החזקה אינה על עצם הספק אם נשחטה הבהמה, או אם נתגרשה הערוה, אלא החזקה היא על האיסור או ההיתר</w:t>
      </w:r>
      <w:r>
        <w:rPr>
          <w:rFonts w:hint="cs"/>
          <w:rtl/>
        </w:rPr>
        <w:t>.</w:t>
      </w:r>
    </w:p>
    <w:p w14:paraId="217CAD37" w14:textId="77777777" w:rsidR="00852065" w:rsidRPr="00377B1D" w:rsidRDefault="00852065" w:rsidP="006D6D32">
      <w:pPr>
        <w:pStyle w:val="a3"/>
      </w:pPr>
      <w:bookmarkStart w:id="1590" w:name="_Toc522200281"/>
      <w:bookmarkStart w:id="1591" w:name="_Toc19389165"/>
      <w:bookmarkStart w:id="1592" w:name="_Toc19392662"/>
      <w:r>
        <w:rPr>
          <w:rFonts w:hint="cs"/>
          <w:rtl/>
        </w:rPr>
        <w:t>ביאור הגרנ"פ ברמב"ן דהשהיא אסורה א"א להתיר מספק</w:t>
      </w:r>
      <w:r w:rsidRPr="00377B1D">
        <w:rPr>
          <w:rFonts w:hint="cs"/>
          <w:rtl/>
        </w:rPr>
        <w:t xml:space="preserve"> </w:t>
      </w:r>
      <w:r>
        <w:rPr>
          <w:rFonts w:hint="cs"/>
          <w:rtl/>
        </w:rPr>
        <w:t>אף שהאיסור הראשון נסתלק</w:t>
      </w:r>
      <w:bookmarkEnd w:id="1590"/>
      <w:bookmarkEnd w:id="1591"/>
      <w:bookmarkEnd w:id="1592"/>
    </w:p>
    <w:p w14:paraId="470DD146" w14:textId="77777777" w:rsidR="00852065" w:rsidRDefault="00852065" w:rsidP="00223668">
      <w:pPr>
        <w:pStyle w:val="a0"/>
        <w:rPr>
          <w:rtl/>
        </w:rPr>
      </w:pPr>
      <w:r>
        <w:rPr>
          <w:rFonts w:hint="cs"/>
          <w:rtl/>
        </w:rPr>
        <w:t xml:space="preserve">וביאר </w:t>
      </w:r>
      <w:r w:rsidRPr="00FE7E28">
        <w:rPr>
          <w:rStyle w:val="af9"/>
          <w:rFonts w:hint="cs"/>
          <w:rtl/>
        </w:rPr>
        <w:t>הגרנ"פ</w:t>
      </w:r>
      <w:r>
        <w:rPr>
          <w:rFonts w:hint="cs"/>
          <w:rtl/>
        </w:rPr>
        <w:t xml:space="preserve"> דלכן לדעת </w:t>
      </w:r>
      <w:r w:rsidRPr="00FE7E28">
        <w:rPr>
          <w:rStyle w:val="af9"/>
          <w:rFonts w:hint="cs"/>
          <w:rtl/>
        </w:rPr>
        <w:t>הרמב"ן</w:t>
      </w:r>
      <w:r>
        <w:rPr>
          <w:rFonts w:hint="cs"/>
          <w:rtl/>
        </w:rPr>
        <w:t xml:space="preserve"> כל שהיא בחזקת איסור אמרינן דא"א להתירה מספק, ואף שאיסור אבר מן החי נסתלק עדיין היא אסורה, וכשהיא בחזקת היתר א"א לאוסרה מספק, ואין החזקה על הספק אם נשחטה או לא.</w:t>
      </w:r>
    </w:p>
    <w:p w14:paraId="78225067" w14:textId="77777777" w:rsidR="00852065" w:rsidRDefault="00852065" w:rsidP="006D6D32">
      <w:pPr>
        <w:pStyle w:val="a3"/>
        <w:rPr>
          <w:rtl/>
        </w:rPr>
      </w:pPr>
      <w:bookmarkStart w:id="1593" w:name="_Toc522200282"/>
      <w:bookmarkStart w:id="1594" w:name="_Toc19389166"/>
      <w:bookmarkStart w:id="1595" w:name="_Toc19392663"/>
      <w:r>
        <w:rPr>
          <w:rFonts w:hint="cs"/>
          <w:rtl/>
        </w:rPr>
        <w:t>ביאור הגרנ"פ ברשב"א דהחזקה היא על עצם השחיטה או הגירושין</w:t>
      </w:r>
      <w:bookmarkEnd w:id="1593"/>
      <w:bookmarkEnd w:id="1594"/>
      <w:bookmarkEnd w:id="1595"/>
    </w:p>
    <w:p w14:paraId="577387C9" w14:textId="77777777" w:rsidR="00852065" w:rsidRDefault="00852065" w:rsidP="00223668">
      <w:pPr>
        <w:pStyle w:val="a0"/>
        <w:rPr>
          <w:rtl/>
        </w:rPr>
      </w:pPr>
      <w:r>
        <w:rPr>
          <w:rFonts w:hint="cs"/>
          <w:rtl/>
        </w:rPr>
        <w:t xml:space="preserve">אבל בדעת </w:t>
      </w:r>
      <w:r w:rsidRPr="00D24834">
        <w:rPr>
          <w:rStyle w:val="af9"/>
          <w:rFonts w:hint="cs"/>
          <w:rtl/>
        </w:rPr>
        <w:t>הרשב"א</w:t>
      </w:r>
      <w:r>
        <w:rPr>
          <w:rFonts w:hint="cs"/>
          <w:rtl/>
        </w:rPr>
        <w:t xml:space="preserve"> ביאר </w:t>
      </w:r>
      <w:r w:rsidRPr="00D24834">
        <w:rPr>
          <w:rStyle w:val="af9"/>
          <w:rFonts w:hint="cs"/>
          <w:rtl/>
        </w:rPr>
        <w:t>הגרנ"פ</w:t>
      </w:r>
      <w:r>
        <w:rPr>
          <w:rFonts w:hint="cs"/>
          <w:rtl/>
        </w:rPr>
        <w:t xml:space="preserve"> דהחזקת איסור היא על עצם הספק אם נשחטה הבהמה, או אם נתגרשה הערוה, ולכן בספק בשחיטה א"א לאוסרה ע"י שנעמיד אותה בחזקת איסור אבר מן החי, </w:t>
      </w:r>
      <w:r w:rsidRPr="00D24834">
        <w:rPr>
          <w:rStyle w:val="afb"/>
          <w:rFonts w:hint="cs"/>
          <w:rtl/>
        </w:rPr>
        <w:t xml:space="preserve">[דהא אין החזקה הזו פושטת את הספק בשחיטה], </w:t>
      </w:r>
      <w:r>
        <w:rPr>
          <w:rFonts w:hint="cs"/>
          <w:rtl/>
        </w:rPr>
        <w:t>ואין לה חזקת איסור שאינה שחוטה.</w:t>
      </w:r>
    </w:p>
    <w:p w14:paraId="062D1A57" w14:textId="77777777" w:rsidR="00852065" w:rsidRPr="008F7887" w:rsidRDefault="00852065" w:rsidP="006D6D32">
      <w:pPr>
        <w:pStyle w:val="a3"/>
      </w:pPr>
      <w:bookmarkStart w:id="1596" w:name="_Toc522200283"/>
      <w:bookmarkStart w:id="1597" w:name="_Toc19389167"/>
      <w:bookmarkStart w:id="1598" w:name="_Toc19392664"/>
      <w:r>
        <w:rPr>
          <w:rFonts w:hint="cs"/>
          <w:rtl/>
        </w:rPr>
        <w:t>ביאור הגרנ"פ ברשב"א דא"א להתירה מאבמה"ח כל שלא נתחדש בה מעשה מתיר</w:t>
      </w:r>
      <w:bookmarkEnd w:id="1596"/>
      <w:bookmarkEnd w:id="1597"/>
      <w:bookmarkEnd w:id="1598"/>
    </w:p>
    <w:p w14:paraId="0B5839CD" w14:textId="77777777" w:rsidR="00852065" w:rsidRPr="004F085A" w:rsidRDefault="00852065" w:rsidP="00223668">
      <w:pPr>
        <w:pStyle w:val="a0"/>
        <w:rPr>
          <w:rtl/>
        </w:rPr>
      </w:pPr>
      <w:r>
        <w:rPr>
          <w:rFonts w:hint="cs"/>
          <w:rtl/>
        </w:rPr>
        <w:t xml:space="preserve">אלא כתב </w:t>
      </w:r>
      <w:r w:rsidRPr="008F7887">
        <w:rPr>
          <w:rStyle w:val="af9"/>
          <w:rFonts w:hint="cs"/>
          <w:rtl/>
        </w:rPr>
        <w:t>הגרנ"פ</w:t>
      </w:r>
      <w:r>
        <w:rPr>
          <w:rFonts w:hint="cs"/>
          <w:rtl/>
        </w:rPr>
        <w:t xml:space="preserve"> </w:t>
      </w:r>
      <w:r w:rsidRPr="008F7887">
        <w:rPr>
          <w:rStyle w:val="af9"/>
          <w:rFonts w:hint="cs"/>
          <w:rtl/>
        </w:rPr>
        <w:t>דלהרשב"א</w:t>
      </w:r>
      <w:r>
        <w:rPr>
          <w:rFonts w:hint="cs"/>
          <w:rtl/>
        </w:rPr>
        <w:t xml:space="preserve"> הביאור בדינא דמחזיקין מאיסור לאיסור, הוא דכיון שהיא בחזקת איסור אבר מן החי, לכן כל שלא נתחדש בה מעשה שמכשירה לאכילה, היא בחזקת איסור, אבל </w:t>
      </w:r>
      <w:r>
        <w:rPr>
          <w:rtl/>
        </w:rPr>
        <w:t>בספק צרת ערוה</w:t>
      </w:r>
      <w:r>
        <w:rPr>
          <w:rFonts w:hint="cs"/>
          <w:rtl/>
        </w:rPr>
        <w:t xml:space="preserve"> שמיתת הבעל המתירתה לשוק וא"צ לחדש בה מעשה שמתירה, לא שייך דינא דאין מחזיקין מאיסור לאיסור</w:t>
      </w:r>
      <w:r>
        <w:rPr>
          <w:rStyle w:val="af1"/>
          <w:rtl/>
        </w:rPr>
        <w:footnoteReference w:id="12"/>
      </w:r>
      <w:r>
        <w:rPr>
          <w:rFonts w:hint="cs"/>
          <w:rtl/>
        </w:rPr>
        <w:t xml:space="preserve">. </w:t>
      </w:r>
      <w:r w:rsidRPr="00D24834">
        <w:rPr>
          <w:rStyle w:val="afb"/>
          <w:rFonts w:hint="cs"/>
          <w:rtl/>
        </w:rPr>
        <w:t xml:space="preserve">[ועיי"ש דביאר </w:t>
      </w:r>
      <w:r w:rsidRPr="00D24834">
        <w:rPr>
          <w:rStyle w:val="affa"/>
          <w:rFonts w:hint="cs"/>
          <w:rtl/>
        </w:rPr>
        <w:t>הגרנ"פ דהרמב"ן והרשב"א</w:t>
      </w:r>
      <w:r w:rsidRPr="00D24834">
        <w:rPr>
          <w:rStyle w:val="afb"/>
          <w:rFonts w:hint="cs"/>
          <w:rtl/>
        </w:rPr>
        <w:t xml:space="preserve"> נחלקו בגדר החזקה בגמ' ביבמות].</w:t>
      </w:r>
    </w:p>
    <w:p w14:paraId="52AE17CE" w14:textId="77777777" w:rsidR="00852065" w:rsidRPr="00D24834" w:rsidRDefault="00852065" w:rsidP="00BF39B2">
      <w:pPr>
        <w:pStyle w:val="1"/>
      </w:pPr>
      <w:bookmarkStart w:id="1599" w:name="_Toc522200284"/>
      <w:bookmarkStart w:id="1600" w:name="_Toc19389168"/>
      <w:bookmarkStart w:id="1601" w:name="_Toc19392665"/>
      <w:bookmarkStart w:id="1602" w:name="_Toc521324882"/>
      <w:bookmarkStart w:id="1603" w:name="_Toc521338189"/>
      <w:bookmarkStart w:id="1604" w:name="_Toc521361989"/>
      <w:r>
        <w:rPr>
          <w:rFonts w:hint="cs"/>
          <w:rtl/>
        </w:rPr>
        <w:t>ביאור הגרנ"פ בפלוגתת הרמב"ן והרשב"א בספק טריפה</w:t>
      </w:r>
      <w:bookmarkEnd w:id="1599"/>
      <w:bookmarkEnd w:id="1600"/>
      <w:bookmarkEnd w:id="1601"/>
      <w:r>
        <w:rPr>
          <w:rFonts w:hint="cs"/>
          <w:rtl/>
        </w:rPr>
        <w:t xml:space="preserve"> </w:t>
      </w:r>
    </w:p>
    <w:p w14:paraId="7BD42BB9" w14:textId="77777777" w:rsidR="00852065" w:rsidRDefault="00852065" w:rsidP="006D6D32">
      <w:pPr>
        <w:pStyle w:val="a3"/>
      </w:pPr>
      <w:bookmarkStart w:id="1605" w:name="_Toc522200285"/>
      <w:bookmarkStart w:id="1606" w:name="_Toc19389169"/>
      <w:bookmarkStart w:id="1607" w:name="_Toc19392666"/>
      <w:r>
        <w:rPr>
          <w:rFonts w:hint="cs"/>
          <w:rtl/>
        </w:rPr>
        <w:t>ביאור הגרנ"פ ברשב"א דבטריפה דאינה נעשית טריפה ממילא ואין מחזיקין מאל"א</w:t>
      </w:r>
      <w:bookmarkEnd w:id="1605"/>
      <w:bookmarkEnd w:id="1606"/>
      <w:bookmarkEnd w:id="1607"/>
    </w:p>
    <w:p w14:paraId="159E5C02" w14:textId="77777777" w:rsidR="00852065" w:rsidRDefault="00852065" w:rsidP="00223668">
      <w:pPr>
        <w:pStyle w:val="a0"/>
        <w:rPr>
          <w:rStyle w:val="a8"/>
          <w:rtl/>
        </w:rPr>
      </w:pPr>
      <w:r w:rsidRPr="00924894">
        <w:rPr>
          <w:rStyle w:val="a8"/>
          <w:rFonts w:hint="cs"/>
          <w:rtl/>
        </w:rPr>
        <w:t xml:space="preserve">וכתב </w:t>
      </w:r>
      <w:r w:rsidRPr="00DA59BF">
        <w:rPr>
          <w:rStyle w:val="af9"/>
          <w:rFonts w:hint="cs"/>
          <w:rtl/>
        </w:rPr>
        <w:t>הגרנ"פ</w:t>
      </w:r>
      <w:r>
        <w:rPr>
          <w:rFonts w:hint="cs"/>
          <w:rtl/>
        </w:rPr>
        <w:t xml:space="preserve"> </w:t>
      </w:r>
      <w:r w:rsidRPr="00DA59BF">
        <w:rPr>
          <w:rStyle w:val="af7"/>
          <w:rFonts w:eastAsia="Guttman Hodes" w:hint="cs"/>
          <w:rtl/>
        </w:rPr>
        <w:t>(יבמות ל: אות תקכ"ג</w:t>
      </w:r>
      <w:r>
        <w:rPr>
          <w:rStyle w:val="af7"/>
          <w:rFonts w:eastAsia="Guttman Hodes" w:hint="cs"/>
          <w:rtl/>
        </w:rPr>
        <w:t xml:space="preserve"> ד"ה ונראה דהיכא</w:t>
      </w:r>
      <w:r w:rsidRPr="00DA59BF">
        <w:rPr>
          <w:rStyle w:val="af7"/>
          <w:rFonts w:eastAsia="Guttman Hodes" w:hint="cs"/>
          <w:rtl/>
        </w:rPr>
        <w:t>)</w:t>
      </w:r>
      <w:r w:rsidRPr="00924894">
        <w:rPr>
          <w:rStyle w:val="a8"/>
          <w:rFonts w:hint="cs"/>
          <w:rtl/>
        </w:rPr>
        <w:t xml:space="preserve"> דבספק </w:t>
      </w:r>
      <w:r>
        <w:rPr>
          <w:rStyle w:val="a8"/>
          <w:rFonts w:hint="cs"/>
          <w:rtl/>
        </w:rPr>
        <w:t xml:space="preserve">טריפה בין לדעת </w:t>
      </w:r>
      <w:r w:rsidRPr="00E8488B">
        <w:rPr>
          <w:rStyle w:val="af9"/>
          <w:rFonts w:hint="cs"/>
          <w:rtl/>
        </w:rPr>
        <w:t>הרמב"ן</w:t>
      </w:r>
      <w:r>
        <w:rPr>
          <w:rStyle w:val="a8"/>
          <w:rFonts w:hint="cs"/>
          <w:rtl/>
        </w:rPr>
        <w:t xml:space="preserve"> ובין לדעת </w:t>
      </w:r>
      <w:r w:rsidRPr="00E8488B">
        <w:rPr>
          <w:rStyle w:val="af9"/>
          <w:rFonts w:hint="cs"/>
          <w:rtl/>
        </w:rPr>
        <w:t>הרשב"א</w:t>
      </w:r>
      <w:r>
        <w:rPr>
          <w:rStyle w:val="a8"/>
          <w:rFonts w:hint="cs"/>
          <w:rtl/>
        </w:rPr>
        <w:t xml:space="preserve"> אין מחזיקין מאיסור לאיסור, אבל לדעת </w:t>
      </w:r>
      <w:r w:rsidRPr="00E8488B">
        <w:rPr>
          <w:rStyle w:val="af9"/>
          <w:rFonts w:hint="cs"/>
          <w:rtl/>
        </w:rPr>
        <w:t>הרשב"א</w:t>
      </w:r>
      <w:r>
        <w:rPr>
          <w:rStyle w:val="a8"/>
          <w:rFonts w:hint="cs"/>
          <w:rtl/>
        </w:rPr>
        <w:t xml:space="preserve"> הביאור הוא דכל הדין דמחזיקין מאיסור לאיסור שייך במקום שכל שלא נעשה מעשה </w:t>
      </w:r>
      <w:r w:rsidRPr="00D74E51">
        <w:rPr>
          <w:rStyle w:val="a8"/>
          <w:rFonts w:hint="cs"/>
          <w:rtl/>
        </w:rPr>
        <w:t>המכשיר ממילא אסורה, וא"כ אפש"ל כן רק לענין נבילה, אבל לענין טריפה א"א לומר דממילא בחזקת טריפה היא.</w:t>
      </w:r>
    </w:p>
    <w:p w14:paraId="773C7FAE" w14:textId="77777777" w:rsidR="00852065" w:rsidRPr="00E8488B" w:rsidRDefault="00852065" w:rsidP="006D6D32">
      <w:pPr>
        <w:pStyle w:val="a3"/>
        <w:rPr>
          <w:rtl/>
        </w:rPr>
      </w:pPr>
      <w:bookmarkStart w:id="1608" w:name="_Toc522200286"/>
      <w:bookmarkStart w:id="1609" w:name="_Toc19389170"/>
      <w:bookmarkStart w:id="1610" w:name="_Toc19392667"/>
      <w:r>
        <w:rPr>
          <w:rFonts w:hint="cs"/>
          <w:rtl/>
        </w:rPr>
        <w:t>ביאור הגרנ"פ ברמב"ן דטריפה היא בחזקת היתר ולא שייך דין מחזיקין מאיסור לאיסור</w:t>
      </w:r>
      <w:bookmarkEnd w:id="1608"/>
      <w:bookmarkEnd w:id="1609"/>
      <w:bookmarkEnd w:id="1610"/>
    </w:p>
    <w:p w14:paraId="66FB36F0" w14:textId="77777777" w:rsidR="00852065" w:rsidRDefault="00852065" w:rsidP="00223668">
      <w:pPr>
        <w:pStyle w:val="a0"/>
        <w:rPr>
          <w:rStyle w:val="a8"/>
          <w:rtl/>
        </w:rPr>
      </w:pPr>
      <w:r>
        <w:rPr>
          <w:rStyle w:val="a8"/>
          <w:rFonts w:hint="cs"/>
          <w:rtl/>
        </w:rPr>
        <w:t xml:space="preserve">ובדעת </w:t>
      </w:r>
      <w:r w:rsidRPr="001D4DAD">
        <w:rPr>
          <w:rStyle w:val="af9"/>
          <w:rFonts w:hint="cs"/>
          <w:rtl/>
        </w:rPr>
        <w:t>הרמב"ן</w:t>
      </w:r>
      <w:r>
        <w:rPr>
          <w:rStyle w:val="a8"/>
          <w:rFonts w:hint="cs"/>
          <w:rtl/>
        </w:rPr>
        <w:t xml:space="preserve"> ביאר </w:t>
      </w:r>
      <w:r w:rsidRPr="001D4DAD">
        <w:rPr>
          <w:rStyle w:val="af9"/>
          <w:rFonts w:hint="cs"/>
          <w:rtl/>
        </w:rPr>
        <w:t>הגרנ"פ</w:t>
      </w:r>
      <w:r>
        <w:rPr>
          <w:rStyle w:val="a8"/>
          <w:rFonts w:hint="cs"/>
          <w:rtl/>
        </w:rPr>
        <w:t xml:space="preserve"> דאף שהטעם שמחזיקין מאיסור לאיסור הוא כיון שהיא אסורה וא"א להתירה מספק, מ"מ בספק טריפה אף </w:t>
      </w:r>
      <w:r w:rsidRPr="005437E2">
        <w:rPr>
          <w:rStyle w:val="af9"/>
          <w:rFonts w:hint="cs"/>
          <w:rtl/>
        </w:rPr>
        <w:t>להרמב"ן</w:t>
      </w:r>
      <w:r>
        <w:rPr>
          <w:rStyle w:val="a8"/>
          <w:rFonts w:hint="cs"/>
          <w:rtl/>
        </w:rPr>
        <w:t xml:space="preserve"> אין מחזיקין מאיסור לאיסור, דהא לענין טריפה הבהמה בחזקת היתר, דעומדת להיות מותרת בשחיטה, ולכן וא"א להחזיקה מאיסור אבר מן החי, כיון שהיא בחזקת היתר.</w:t>
      </w:r>
    </w:p>
    <w:p w14:paraId="4E77716C" w14:textId="77777777" w:rsidR="00852065" w:rsidRDefault="00852065" w:rsidP="006D6D32">
      <w:pPr>
        <w:pStyle w:val="a3"/>
        <w:rPr>
          <w:rtl/>
        </w:rPr>
      </w:pPr>
      <w:bookmarkStart w:id="1611" w:name="_Toc522200287"/>
      <w:bookmarkStart w:id="1612" w:name="_Toc19389171"/>
      <w:bookmarkStart w:id="1613" w:name="_Toc19392668"/>
      <w:r>
        <w:rPr>
          <w:rFonts w:hint="cs"/>
          <w:rtl/>
        </w:rPr>
        <w:t>דברי הגרנ"פ דלרמב"ן בספק דרוסה מחזיקין מאיסור לאיסור דשכיח איסורא</w:t>
      </w:r>
      <w:bookmarkEnd w:id="1611"/>
      <w:bookmarkEnd w:id="1612"/>
      <w:bookmarkEnd w:id="1613"/>
    </w:p>
    <w:p w14:paraId="57472D13" w14:textId="77777777" w:rsidR="00852065" w:rsidRDefault="00852065" w:rsidP="00223668">
      <w:pPr>
        <w:pStyle w:val="a0"/>
        <w:rPr>
          <w:rtl/>
        </w:rPr>
      </w:pPr>
      <w:r>
        <w:rPr>
          <w:rFonts w:hint="cs"/>
          <w:rtl/>
        </w:rPr>
        <w:t xml:space="preserve">וכתב </w:t>
      </w:r>
      <w:r w:rsidRPr="00124E96">
        <w:rPr>
          <w:rStyle w:val="af9"/>
          <w:rFonts w:hint="cs"/>
          <w:rtl/>
        </w:rPr>
        <w:t>הגרנ"פ</w:t>
      </w:r>
      <w:r>
        <w:rPr>
          <w:rFonts w:hint="cs"/>
          <w:rtl/>
        </w:rPr>
        <w:t xml:space="preserve"> דלפי"ז מ"ש דברי </w:t>
      </w:r>
      <w:r w:rsidRPr="00124E96">
        <w:rPr>
          <w:rStyle w:val="af9"/>
          <w:rFonts w:hint="cs"/>
          <w:rtl/>
        </w:rPr>
        <w:t>התוס' ביבמות</w:t>
      </w:r>
      <w:r>
        <w:rPr>
          <w:rFonts w:hint="cs"/>
          <w:rtl/>
        </w:rPr>
        <w:t xml:space="preserve"> </w:t>
      </w:r>
      <w:r w:rsidRPr="00971C0C">
        <w:rPr>
          <w:rStyle w:val="af7"/>
          <w:rFonts w:eastAsia="Guttman Hodes" w:hint="cs"/>
          <w:rtl/>
        </w:rPr>
        <w:t xml:space="preserve">(עי' אות </w:t>
      </w:r>
      <w:r w:rsidRPr="00971C0C">
        <w:rPr>
          <w:rStyle w:val="af7"/>
          <w:rFonts w:eastAsia="Guttman Hodes"/>
          <w:rtl/>
        </w:rPr>
        <w:fldChar w:fldCharType="begin"/>
      </w:r>
      <w:r w:rsidRPr="00971C0C">
        <w:rPr>
          <w:rStyle w:val="af7"/>
          <w:rFonts w:eastAsia="Guttman Hodes"/>
          <w:rtl/>
        </w:rPr>
        <w:instrText xml:space="preserve"> </w:instrText>
      </w:r>
      <w:r w:rsidRPr="00971C0C">
        <w:rPr>
          <w:rStyle w:val="af7"/>
          <w:rFonts w:eastAsia="Guttman Hodes" w:hint="cs"/>
        </w:rPr>
        <w:instrText>REF</w:instrText>
      </w:r>
      <w:r w:rsidRPr="00971C0C">
        <w:rPr>
          <w:rStyle w:val="af7"/>
          <w:rFonts w:eastAsia="Guttman Hodes" w:hint="cs"/>
          <w:rtl/>
        </w:rPr>
        <w:instrText xml:space="preserve"> _</w:instrText>
      </w:r>
      <w:r w:rsidRPr="00971C0C">
        <w:rPr>
          <w:rStyle w:val="af7"/>
          <w:rFonts w:eastAsia="Guttman Hodes" w:hint="cs"/>
        </w:rPr>
        <w:instrText>Ref522188102 \r \h</w:instrText>
      </w:r>
      <w:r w:rsidRPr="00971C0C">
        <w:rPr>
          <w:rStyle w:val="af7"/>
          <w:rFonts w:eastAsia="Guttman Hodes"/>
          <w:rtl/>
        </w:rPr>
        <w:instrText xml:space="preserve"> </w:instrText>
      </w:r>
      <w:r w:rsidRPr="00971C0C">
        <w:rPr>
          <w:rStyle w:val="af7"/>
          <w:rFonts w:eastAsia="Guttman Hodes"/>
          <w:rtl/>
        </w:rPr>
      </w:r>
      <w:r w:rsidRPr="00971C0C">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971C0C">
        <w:rPr>
          <w:rStyle w:val="af7"/>
          <w:rFonts w:eastAsia="Guttman Hodes"/>
          <w:rtl/>
        </w:rPr>
        <w:fldChar w:fldCharType="end"/>
      </w:r>
      <w:r>
        <w:rPr>
          <w:rFonts w:hint="cs"/>
          <w:rtl/>
        </w:rPr>
        <w:t xml:space="preserve"> דבספק דרוסה שהאיסור</w:t>
      </w:r>
      <w:r w:rsidRPr="00A373A4">
        <w:rPr>
          <w:rFonts w:hint="cs"/>
          <w:rtl/>
        </w:rPr>
        <w:t xml:space="preserve"> </w:t>
      </w:r>
      <w:r>
        <w:rPr>
          <w:rFonts w:hint="cs"/>
          <w:rtl/>
        </w:rPr>
        <w:t>שכיח יותר מההיתר, לא מעמידים בחזקת היתר, דלדעת הרמב"ן מחזיקין בספק דרוסה מאיסור לאיסור כיון דאף בספק טריפה, היה אפש"ל דמחזיקין מאיסור לאיסור, אלא דכיון שיש לה חזקת היתר אין מחזיקין, וא"כ בספק דרוסה דשכיח איסורא אינה בחזקת היתר, ומחזיקין מאיסור לאיסור.</w:t>
      </w:r>
    </w:p>
    <w:p w14:paraId="609920DF" w14:textId="77777777" w:rsidR="00852065" w:rsidRDefault="00852065" w:rsidP="006D6D32">
      <w:pPr>
        <w:pStyle w:val="a3"/>
        <w:rPr>
          <w:rtl/>
        </w:rPr>
      </w:pPr>
      <w:bookmarkStart w:id="1614" w:name="_Toc522200288"/>
      <w:bookmarkStart w:id="1615" w:name="_Toc19389172"/>
      <w:bookmarkStart w:id="1616" w:name="_Toc19392669"/>
      <w:r>
        <w:rPr>
          <w:rFonts w:hint="cs"/>
          <w:rtl/>
        </w:rPr>
        <w:t>דברי הגרנ"פ דלרשב"א בספק דרוסה שאינה נעשית טריפה ממילא אין מחזיקין מאל"א</w:t>
      </w:r>
      <w:bookmarkEnd w:id="1614"/>
      <w:bookmarkEnd w:id="1615"/>
      <w:bookmarkEnd w:id="1616"/>
    </w:p>
    <w:p w14:paraId="6D8EE539" w14:textId="77777777" w:rsidR="00852065" w:rsidRPr="00305C4E" w:rsidRDefault="00852065" w:rsidP="00223668">
      <w:pPr>
        <w:pStyle w:val="a0"/>
        <w:rPr>
          <w:rtl/>
        </w:rPr>
      </w:pPr>
      <w:r>
        <w:rPr>
          <w:rFonts w:hint="cs"/>
          <w:rtl/>
        </w:rPr>
        <w:t xml:space="preserve">אבל לדעת </w:t>
      </w:r>
      <w:r w:rsidRPr="00124E96">
        <w:rPr>
          <w:rStyle w:val="af9"/>
          <w:rFonts w:hint="cs"/>
          <w:rtl/>
        </w:rPr>
        <w:t>הרשב"א</w:t>
      </w:r>
      <w:r>
        <w:rPr>
          <w:rFonts w:hint="cs"/>
          <w:rtl/>
        </w:rPr>
        <w:t xml:space="preserve"> כתב </w:t>
      </w:r>
      <w:r w:rsidRPr="00124E96">
        <w:rPr>
          <w:rStyle w:val="af9"/>
          <w:rFonts w:hint="cs"/>
          <w:rtl/>
        </w:rPr>
        <w:t>הגרנ"פ</w:t>
      </w:r>
      <w:r>
        <w:rPr>
          <w:rFonts w:hint="cs"/>
          <w:rtl/>
        </w:rPr>
        <w:t xml:space="preserve"> דכיון שבספק טריפה לא שייך דינא דמחזיקין מאיסור לאיסור כלל, דהא אינה נעשית טריפה ממילא כמו שנעשית נבילה במיתתה, א"כ בספק דרוסה האיסור לדעת </w:t>
      </w:r>
      <w:r w:rsidRPr="00124E96">
        <w:rPr>
          <w:rStyle w:val="af9"/>
          <w:rFonts w:hint="cs"/>
          <w:rtl/>
        </w:rPr>
        <w:t>הרשב"א</w:t>
      </w:r>
      <w:r>
        <w:rPr>
          <w:rFonts w:hint="cs"/>
          <w:rtl/>
        </w:rPr>
        <w:t xml:space="preserve"> הוא רק מדין ספק דאו' לחומרא.</w:t>
      </w:r>
    </w:p>
    <w:p w14:paraId="1DFCB039" w14:textId="77777777" w:rsidR="00852065" w:rsidRPr="00307869" w:rsidRDefault="00852065" w:rsidP="00BF39B2">
      <w:pPr>
        <w:pStyle w:val="1"/>
        <w:rPr>
          <w:rtl/>
        </w:rPr>
      </w:pPr>
      <w:bookmarkStart w:id="1617" w:name="_Toc521324884"/>
      <w:bookmarkStart w:id="1618" w:name="_Toc521338191"/>
      <w:bookmarkStart w:id="1619" w:name="_Toc521361991"/>
      <w:bookmarkStart w:id="1620" w:name="_Toc522200289"/>
      <w:bookmarkStart w:id="1621" w:name="_Toc19389173"/>
      <w:bookmarkStart w:id="1622" w:name="_Toc19392670"/>
      <w:bookmarkEnd w:id="1602"/>
      <w:bookmarkEnd w:id="1603"/>
      <w:bookmarkEnd w:id="1604"/>
      <w:r>
        <w:rPr>
          <w:rFonts w:hint="cs"/>
          <w:rtl/>
        </w:rPr>
        <w:t>ביאור האבי עזרי ברמב"ן וברשב"א ביבמות</w:t>
      </w:r>
      <w:bookmarkEnd w:id="1617"/>
      <w:bookmarkEnd w:id="1618"/>
      <w:bookmarkEnd w:id="1619"/>
      <w:bookmarkEnd w:id="1620"/>
      <w:bookmarkEnd w:id="1621"/>
      <w:bookmarkEnd w:id="1622"/>
    </w:p>
    <w:p w14:paraId="02013F92" w14:textId="77777777" w:rsidR="00852065" w:rsidRDefault="00852065" w:rsidP="006D6D32">
      <w:pPr>
        <w:pStyle w:val="a3"/>
        <w:rPr>
          <w:rtl/>
        </w:rPr>
      </w:pPr>
      <w:bookmarkStart w:id="1623" w:name="_Toc522200290"/>
      <w:bookmarkStart w:id="1624" w:name="_Toc19389174"/>
      <w:bookmarkStart w:id="1625" w:name="_Toc19392671"/>
      <w:r>
        <w:rPr>
          <w:rFonts w:hint="cs"/>
          <w:rtl/>
        </w:rPr>
        <w:t>ביאור האבי עזרי ברמב"ן דבשחיטה לא חשיב מחזיקין מאל"א דממילא היא אסורה</w:t>
      </w:r>
      <w:bookmarkEnd w:id="1623"/>
      <w:bookmarkEnd w:id="1624"/>
      <w:bookmarkEnd w:id="1625"/>
    </w:p>
    <w:p w14:paraId="04F074BF" w14:textId="77777777" w:rsidR="00852065" w:rsidRDefault="00852065" w:rsidP="00223668">
      <w:pPr>
        <w:pStyle w:val="a0"/>
        <w:rPr>
          <w:rtl/>
        </w:rPr>
      </w:pPr>
      <w:r w:rsidRPr="00D06ECA">
        <w:rPr>
          <w:rStyle w:val="af9"/>
          <w:rFonts w:hint="cs"/>
          <w:rtl/>
        </w:rPr>
        <w:t>באבי עזרי</w:t>
      </w:r>
      <w:r w:rsidRPr="00D06ECA">
        <w:rPr>
          <w:rStyle w:val="af7"/>
          <w:rFonts w:eastAsia="Guttman Hodes" w:hint="cs"/>
          <w:rtl/>
        </w:rPr>
        <w:t xml:space="preserve"> (שחיטה א י"ג ד"ה והנה כ"ז) </w:t>
      </w:r>
      <w:r>
        <w:rPr>
          <w:rFonts w:hint="cs"/>
          <w:rtl/>
        </w:rPr>
        <w:t xml:space="preserve">ביאר את תירוץ </w:t>
      </w:r>
      <w:r w:rsidRPr="00D06ECA">
        <w:rPr>
          <w:rStyle w:val="af9"/>
          <w:rFonts w:hint="cs"/>
          <w:rtl/>
        </w:rPr>
        <w:t>הרמב"ן ביבמות</w:t>
      </w:r>
      <w:r>
        <w:rPr>
          <w:rFonts w:hint="cs"/>
          <w:rtl/>
        </w:rPr>
        <w:t xml:space="preserve"> ד</w:t>
      </w:r>
      <w:r>
        <w:rPr>
          <w:rtl/>
        </w:rPr>
        <w:t>בספק בשחיטה</w:t>
      </w:r>
      <w:r>
        <w:rPr>
          <w:rFonts w:hint="cs"/>
          <w:rtl/>
        </w:rPr>
        <w:t xml:space="preserve"> כל שלא נעשה בה מעשה שמכשיר אותה, היא ממילא אסורה, וכיון שמתה לפנינו אי"ז נחשב שמחזיקין מאיסור אחד לאיסור אחר, דכל שהייתה אסורה מחיים באבר מן החי, ממילא אסורה במיתתה באיסור נבילה, ולכן כל שלא ידוע אם נשחטה כראוי מחזיקין אותה באיסור ואי"ז נחשב דמחזיקין מאיסור לאיסור. </w:t>
      </w:r>
    </w:p>
    <w:p w14:paraId="17BB796A" w14:textId="77777777" w:rsidR="00852065" w:rsidRDefault="00852065" w:rsidP="006D6D32">
      <w:pPr>
        <w:pStyle w:val="a3"/>
        <w:rPr>
          <w:rtl/>
        </w:rPr>
      </w:pPr>
      <w:bookmarkStart w:id="1626" w:name="_Toc522200291"/>
      <w:bookmarkStart w:id="1627" w:name="_Toc19389175"/>
      <w:bookmarkStart w:id="1628" w:name="_Toc19392672"/>
      <w:r>
        <w:rPr>
          <w:rFonts w:hint="cs"/>
          <w:rtl/>
        </w:rPr>
        <w:t>ביאור האבי עזרי ברמב"ן דבצר"ע צריך להחזיקה מאשת איש לאיסור יבמה לשוק</w:t>
      </w:r>
      <w:bookmarkEnd w:id="1626"/>
      <w:bookmarkEnd w:id="1627"/>
      <w:bookmarkEnd w:id="1628"/>
    </w:p>
    <w:p w14:paraId="0E2DA08F" w14:textId="77777777" w:rsidR="00852065" w:rsidRDefault="00852065" w:rsidP="00223668">
      <w:pPr>
        <w:pStyle w:val="a0"/>
        <w:rPr>
          <w:rtl/>
        </w:rPr>
      </w:pPr>
      <w:r>
        <w:rPr>
          <w:rFonts w:hint="cs"/>
          <w:rtl/>
        </w:rPr>
        <w:t xml:space="preserve">אבל </w:t>
      </w:r>
      <w:r>
        <w:rPr>
          <w:rtl/>
        </w:rPr>
        <w:t xml:space="preserve">בספק צרת ערוה </w:t>
      </w:r>
      <w:r>
        <w:rPr>
          <w:rFonts w:hint="cs"/>
          <w:rtl/>
        </w:rPr>
        <w:t xml:space="preserve">ביאר </w:t>
      </w:r>
      <w:r w:rsidRPr="00D06ECA">
        <w:rPr>
          <w:rStyle w:val="af9"/>
          <w:rFonts w:hint="cs"/>
          <w:rtl/>
        </w:rPr>
        <w:t>האבי עזרי</w:t>
      </w:r>
      <w:r>
        <w:rPr>
          <w:rFonts w:hint="cs"/>
          <w:rtl/>
        </w:rPr>
        <w:t xml:space="preserve"> את דברי </w:t>
      </w:r>
      <w:r w:rsidRPr="00D06ECA">
        <w:rPr>
          <w:rStyle w:val="af9"/>
          <w:rFonts w:hint="cs"/>
          <w:rtl/>
        </w:rPr>
        <w:t>הרמב"ן</w:t>
      </w:r>
      <w:r>
        <w:rPr>
          <w:rFonts w:hint="cs"/>
          <w:rtl/>
        </w:rPr>
        <w:t xml:space="preserve"> דכיון דבלא מעשה הגירושין של הערוה, כל שמת הבעל מותרת האשה לשוק, ובכדי לאוסרה צריך שיהיה מעשה גירושין, ולכן אם מעמידים אותה בחזקת איסור, חשיב דמחזיקין מאיסור לאיסור.</w:t>
      </w:r>
    </w:p>
    <w:p w14:paraId="07753601" w14:textId="77777777" w:rsidR="00852065" w:rsidRDefault="00852065" w:rsidP="006D6D32">
      <w:pPr>
        <w:pStyle w:val="a3"/>
        <w:rPr>
          <w:rtl/>
        </w:rPr>
      </w:pPr>
      <w:bookmarkStart w:id="1629" w:name="_Toc522200292"/>
      <w:bookmarkStart w:id="1630" w:name="_Toc19389176"/>
      <w:bookmarkStart w:id="1631" w:name="_Toc19392673"/>
      <w:r>
        <w:rPr>
          <w:rFonts w:hint="cs"/>
          <w:rtl/>
        </w:rPr>
        <w:t>ביאור האבי עזרי בקושית הרשב"א על הרמב"ן</w:t>
      </w:r>
      <w:bookmarkEnd w:id="1629"/>
      <w:bookmarkEnd w:id="1630"/>
      <w:bookmarkEnd w:id="1631"/>
    </w:p>
    <w:p w14:paraId="36A567FE" w14:textId="77777777" w:rsidR="00852065" w:rsidRPr="001720F9" w:rsidRDefault="00852065" w:rsidP="00223668">
      <w:pPr>
        <w:pStyle w:val="a0"/>
        <w:rPr>
          <w:rStyle w:val="afb"/>
          <w:rtl/>
        </w:rPr>
      </w:pPr>
      <w:r>
        <w:rPr>
          <w:rFonts w:hint="cs"/>
          <w:rtl/>
        </w:rPr>
        <w:t xml:space="preserve">ובקושית </w:t>
      </w:r>
      <w:r w:rsidRPr="00D06ECA">
        <w:rPr>
          <w:rStyle w:val="af9"/>
          <w:rFonts w:hint="cs"/>
          <w:rtl/>
        </w:rPr>
        <w:t>הרשב"א</w:t>
      </w:r>
      <w:r>
        <w:rPr>
          <w:rFonts w:hint="cs"/>
          <w:rtl/>
        </w:rPr>
        <w:t xml:space="preserve"> על תירוץ </w:t>
      </w:r>
      <w:r w:rsidRPr="00D06ECA">
        <w:rPr>
          <w:rStyle w:val="af9"/>
          <w:rFonts w:hint="cs"/>
          <w:rtl/>
        </w:rPr>
        <w:t xml:space="preserve">הרמב"ן </w:t>
      </w:r>
      <w:r>
        <w:rPr>
          <w:rFonts w:hint="cs"/>
          <w:rtl/>
        </w:rPr>
        <w:t xml:space="preserve">ביאר </w:t>
      </w:r>
      <w:r w:rsidRPr="00D06ECA">
        <w:rPr>
          <w:rStyle w:val="af9"/>
          <w:rFonts w:hint="cs"/>
          <w:rtl/>
        </w:rPr>
        <w:t>האבי עזרי</w:t>
      </w:r>
      <w:r>
        <w:rPr>
          <w:rFonts w:hint="cs"/>
          <w:rtl/>
        </w:rPr>
        <w:t xml:space="preserve"> דאין סברא לחלק אם צריך מעשה בכדי לאוסרה, דאף במקום שצריך מעשה, מ"מ כיון שהאיסור הראשון הוא בא לאחר האיסור השני, </w:t>
      </w:r>
      <w:r w:rsidRPr="001720F9">
        <w:rPr>
          <w:rStyle w:val="afb"/>
          <w:rFonts w:hint="cs"/>
          <w:rtl/>
        </w:rPr>
        <w:t>[דהיינו שכשמת הבעל בלא בנים ממילא נאסרת לשוק],</w:t>
      </w:r>
      <w:r>
        <w:rPr>
          <w:rFonts w:hint="cs"/>
          <w:rtl/>
        </w:rPr>
        <w:t xml:space="preserve"> צריך להחזיק מאיסור לאיסור כמו באבר מן החי לנבילה, </w:t>
      </w:r>
      <w:r w:rsidRPr="001720F9">
        <w:rPr>
          <w:rStyle w:val="afb"/>
          <w:rFonts w:hint="cs"/>
          <w:rtl/>
        </w:rPr>
        <w:t>[דאחר איסור אבר מן החי נעשית נבילה כשמתה].</w:t>
      </w:r>
    </w:p>
    <w:p w14:paraId="02935022" w14:textId="77777777" w:rsidR="00852065" w:rsidRDefault="00852065" w:rsidP="006D6D32">
      <w:pPr>
        <w:pStyle w:val="a3"/>
        <w:rPr>
          <w:rtl/>
        </w:rPr>
      </w:pPr>
      <w:bookmarkStart w:id="1632" w:name="_Toc522200293"/>
      <w:bookmarkStart w:id="1633" w:name="_Toc19389177"/>
      <w:bookmarkStart w:id="1634" w:name="_Toc19392674"/>
      <w:r>
        <w:rPr>
          <w:rFonts w:hint="cs"/>
          <w:rtl/>
        </w:rPr>
        <w:t>ביאור האבי עזרי ברשב"א דאין מחזיקין באיסור הראשון אלא צריך ראיה על התחדשות</w:t>
      </w:r>
      <w:bookmarkEnd w:id="1632"/>
      <w:bookmarkEnd w:id="1633"/>
      <w:bookmarkEnd w:id="1634"/>
    </w:p>
    <w:p w14:paraId="6875E3D8" w14:textId="77777777" w:rsidR="00852065" w:rsidRDefault="00852065" w:rsidP="00223668">
      <w:pPr>
        <w:pStyle w:val="a0"/>
        <w:rPr>
          <w:rtl/>
        </w:rPr>
      </w:pPr>
      <w:r>
        <w:rPr>
          <w:rFonts w:hint="cs"/>
          <w:rtl/>
        </w:rPr>
        <w:t xml:space="preserve">ובתירוץ </w:t>
      </w:r>
      <w:r>
        <w:rPr>
          <w:rStyle w:val="af9"/>
          <w:rFonts w:hint="cs"/>
          <w:rtl/>
        </w:rPr>
        <w:t>ה</w:t>
      </w:r>
      <w:r w:rsidRPr="00D06ECA">
        <w:rPr>
          <w:rStyle w:val="af9"/>
          <w:rFonts w:hint="cs"/>
          <w:rtl/>
        </w:rPr>
        <w:t>רשב"א ביבמות</w:t>
      </w:r>
      <w:r>
        <w:rPr>
          <w:rFonts w:hint="cs"/>
          <w:rtl/>
        </w:rPr>
        <w:t xml:space="preserve"> ביאר </w:t>
      </w:r>
      <w:r w:rsidRPr="00D06ECA">
        <w:rPr>
          <w:rStyle w:val="af9"/>
          <w:rFonts w:hint="cs"/>
          <w:rtl/>
        </w:rPr>
        <w:t>האבי עזרי</w:t>
      </w:r>
      <w:r>
        <w:rPr>
          <w:rFonts w:hint="cs"/>
          <w:rtl/>
        </w:rPr>
        <w:t xml:space="preserve"> דהגדר בחזקה הוא דכשמחזיקין בחזקת איסור אין הכוונה דמחזיקין באיסור הקודם, אלא דעל כל התחדשות צריך להביא ראיה, ולכן שחיטה שהיא התחדשות, צריך להביא ראיה שנשחטה כראוי, ובספק מחזקינן לה באיסור, ואין נ"מ אם הוא האיסור שהיה בה או איסור אחר, ובספק צרת ערוה דהגירושין והקידושין הם התחדשות, וצריך להביא ראיה על ההתחדשות, [ואף דבספק קידושין להצד דהיו קידושין האשה אסורה באותו האיסור אשת אח שהיה עליה מחיים, מ"מ כיון שהקידושין הוא התחדשות צריך להביא לו ראיה].</w:t>
      </w:r>
    </w:p>
    <w:p w14:paraId="0DB2B7DB" w14:textId="77777777" w:rsidR="00852065" w:rsidRDefault="00852065" w:rsidP="00BF39B2">
      <w:pPr>
        <w:pStyle w:val="1"/>
        <w:rPr>
          <w:rtl/>
        </w:rPr>
      </w:pPr>
      <w:bookmarkStart w:id="1635" w:name="_Toc522200294"/>
      <w:bookmarkStart w:id="1636" w:name="_Toc19389178"/>
      <w:bookmarkStart w:id="1637" w:name="_Toc19392675"/>
      <w:r>
        <w:rPr>
          <w:rFonts w:hint="cs"/>
          <w:rtl/>
        </w:rPr>
        <w:t>דברי המשנת ר"א בדעת רש"י דהבהמה בחזקת אינו זבוח</w:t>
      </w:r>
      <w:bookmarkEnd w:id="1635"/>
      <w:bookmarkEnd w:id="1636"/>
      <w:bookmarkEnd w:id="1637"/>
    </w:p>
    <w:p w14:paraId="1C4403A2" w14:textId="77777777" w:rsidR="00852065" w:rsidRDefault="00852065" w:rsidP="006D6D32">
      <w:pPr>
        <w:pStyle w:val="a3"/>
        <w:rPr>
          <w:rtl/>
        </w:rPr>
      </w:pPr>
      <w:bookmarkStart w:id="1638" w:name="_Toc522200295"/>
      <w:bookmarkStart w:id="1639" w:name="_Toc19389179"/>
      <w:bookmarkStart w:id="1640" w:name="_Toc19392676"/>
      <w:r>
        <w:rPr>
          <w:rFonts w:hint="cs"/>
          <w:rtl/>
        </w:rPr>
        <w:t>ביאור המשנת ר"א דלרש"י ע"י אבמה"ח נעשה איסור אינו זבוח</w:t>
      </w:r>
      <w:bookmarkEnd w:id="1638"/>
      <w:bookmarkEnd w:id="1639"/>
      <w:bookmarkEnd w:id="1640"/>
    </w:p>
    <w:p w14:paraId="784C24BB" w14:textId="77777777" w:rsidR="00852065" w:rsidRDefault="00852065" w:rsidP="00223668">
      <w:pPr>
        <w:pStyle w:val="a0"/>
        <w:rPr>
          <w:rtl/>
        </w:rPr>
      </w:pPr>
      <w:r>
        <w:rPr>
          <w:rFonts w:hint="cs"/>
          <w:rtl/>
        </w:rPr>
        <w:t xml:space="preserve">כתב </w:t>
      </w:r>
      <w:r w:rsidRPr="00750E72">
        <w:rPr>
          <w:rStyle w:val="af9"/>
          <w:rFonts w:hint="cs"/>
          <w:rtl/>
        </w:rPr>
        <w:t>במשנת ר"א</w:t>
      </w:r>
      <w:r w:rsidRPr="008D3E02">
        <w:rPr>
          <w:rFonts w:hint="cs"/>
          <w:rtl/>
        </w:rPr>
        <w:t xml:space="preserve"> </w:t>
      </w:r>
      <w:r w:rsidRPr="006B3C37">
        <w:rPr>
          <w:rStyle w:val="af7"/>
          <w:rFonts w:eastAsia="Guttman Hodes" w:hint="cs"/>
          <w:rtl/>
        </w:rPr>
        <w:t>(בכורות דף יח. סוף אות ח' ד"ה עוד נראה)</w:t>
      </w:r>
      <w:r>
        <w:rPr>
          <w:rFonts w:hint="cs"/>
          <w:rtl/>
        </w:rPr>
        <w:t xml:space="preserve"> דאפש"ל דאף לדעת </w:t>
      </w:r>
      <w:r w:rsidRPr="00750E72">
        <w:rPr>
          <w:rStyle w:val="af9"/>
          <w:rFonts w:hint="cs"/>
          <w:rtl/>
        </w:rPr>
        <w:t>רש"י</w:t>
      </w:r>
      <w:r>
        <w:rPr>
          <w:rFonts w:hint="cs"/>
          <w:rtl/>
        </w:rPr>
        <w:t xml:space="preserve"> דמחזיקין מאיסור לאיסור, אין הכוונה דבכל איסור מחזיקין, אלא </w:t>
      </w:r>
      <w:r>
        <w:rPr>
          <w:rtl/>
        </w:rPr>
        <w:t>דבספק בשחיטה</w:t>
      </w:r>
      <w:r>
        <w:rPr>
          <w:rFonts w:hint="cs"/>
          <w:rtl/>
        </w:rPr>
        <w:t xml:space="preserve"> יש חזקת אינו זבוח, והא דהוצרך רש"י לומר דאסרינן באיסור אבר מן החי, הוא כיון דא"א לחדש איסור מכח חזקת אינו זבוח, ומחמת האיסור אבר מן החי חשיב שאין לה עכשיו חזקת היתר, וממילא כיון שאין לה חזקת היתר אסורה באיסור אינו זבוח, ועיי"ש </w:t>
      </w:r>
      <w:r w:rsidRPr="00890383">
        <w:rPr>
          <w:rStyle w:val="af9"/>
          <w:rFonts w:hint="cs"/>
          <w:rtl/>
        </w:rPr>
        <w:t>במשנת ר"א</w:t>
      </w:r>
      <w:r>
        <w:rPr>
          <w:rFonts w:hint="cs"/>
          <w:rtl/>
        </w:rPr>
        <w:t xml:space="preserve"> </w:t>
      </w:r>
      <w:r w:rsidRPr="00894001">
        <w:rPr>
          <w:rStyle w:val="af7"/>
          <w:rFonts w:eastAsia="Guttman Hodes" w:hint="cs"/>
          <w:rtl/>
        </w:rPr>
        <w:t>(</w:t>
      </w:r>
      <w:r w:rsidR="00AC7E32">
        <w:rPr>
          <w:rStyle w:val="af7"/>
          <w:rFonts w:eastAsia="Guttman Hodes" w:hint="cs"/>
          <w:rtl/>
        </w:rPr>
        <w:t>הובא בסימן</w:t>
      </w:r>
      <w:r w:rsidRPr="00CB5F03">
        <w:rPr>
          <w:rStyle w:val="af7"/>
          <w:rFonts w:eastAsia="Guttman Hodes" w:hint="cs"/>
          <w:rtl/>
        </w:rPr>
        <w:t xml:space="preserve"> א' אות </w:t>
      </w:r>
      <w:r w:rsidRPr="00CB5F03">
        <w:rPr>
          <w:rStyle w:val="af7"/>
          <w:rFonts w:eastAsia="Guttman Hodes"/>
          <w:rtl/>
        </w:rPr>
        <w:fldChar w:fldCharType="begin"/>
      </w:r>
      <w:r w:rsidRPr="00CB5F03">
        <w:rPr>
          <w:rStyle w:val="af7"/>
          <w:rFonts w:eastAsia="Guttman Hodes"/>
          <w:rtl/>
        </w:rPr>
        <w:instrText xml:space="preserve"> </w:instrText>
      </w:r>
      <w:r w:rsidRPr="00CB5F03">
        <w:rPr>
          <w:rStyle w:val="af7"/>
          <w:rFonts w:eastAsia="Guttman Hodes" w:hint="cs"/>
        </w:rPr>
        <w:instrText>REF</w:instrText>
      </w:r>
      <w:r w:rsidRPr="00CB5F03">
        <w:rPr>
          <w:rStyle w:val="af7"/>
          <w:rFonts w:eastAsia="Guttman Hodes" w:hint="cs"/>
          <w:rtl/>
        </w:rPr>
        <w:instrText xml:space="preserve"> _</w:instrText>
      </w:r>
      <w:r w:rsidRPr="00CB5F03">
        <w:rPr>
          <w:rStyle w:val="af7"/>
          <w:rFonts w:eastAsia="Guttman Hodes" w:hint="cs"/>
        </w:rPr>
        <w:instrText>Ref522262379 \r \h</w:instrText>
      </w:r>
      <w:r w:rsidRPr="00CB5F03">
        <w:rPr>
          <w:rStyle w:val="af7"/>
          <w:rFonts w:eastAsia="Guttman Hodes"/>
          <w:rtl/>
        </w:rPr>
        <w:instrText xml:space="preserve"> </w:instrText>
      </w:r>
      <w:r w:rsidRPr="00CB5F03">
        <w:rPr>
          <w:rStyle w:val="af7"/>
          <w:rFonts w:eastAsia="Guttman Hodes"/>
          <w:rtl/>
        </w:rPr>
      </w:r>
      <w:r w:rsidRPr="00CB5F03">
        <w:rPr>
          <w:rStyle w:val="af7"/>
          <w:rFonts w:eastAsia="Guttman Hodes"/>
          <w:rtl/>
        </w:rPr>
        <w:fldChar w:fldCharType="separate"/>
      </w:r>
      <w:r w:rsidR="00345400">
        <w:rPr>
          <w:rStyle w:val="af7"/>
          <w:rFonts w:eastAsia="Guttman Hodes"/>
          <w:cs/>
        </w:rPr>
        <w:t>‎</w:t>
      </w:r>
      <w:r w:rsidR="00345400">
        <w:rPr>
          <w:rStyle w:val="af7"/>
          <w:rFonts w:eastAsia="Guttman Hodes"/>
          <w:rtl/>
        </w:rPr>
        <w:t>פט)</w:t>
      </w:r>
      <w:r w:rsidRPr="00CB5F03">
        <w:rPr>
          <w:rStyle w:val="af7"/>
          <w:rFonts w:eastAsia="Guttman Hodes"/>
          <w:rtl/>
        </w:rPr>
        <w:fldChar w:fldCharType="end"/>
      </w:r>
      <w:r>
        <w:rPr>
          <w:rFonts w:hint="cs"/>
          <w:rtl/>
        </w:rPr>
        <w:t xml:space="preserve"> שביאר לפי"ז את דעת הברייתא דמטמאה בנבילה, אך כתב </w:t>
      </w:r>
      <w:r w:rsidRPr="00890383">
        <w:rPr>
          <w:rStyle w:val="af9"/>
          <w:rFonts w:hint="cs"/>
          <w:rtl/>
        </w:rPr>
        <w:t>במשנת ר"א</w:t>
      </w:r>
      <w:r>
        <w:rPr>
          <w:rFonts w:hint="cs"/>
          <w:rtl/>
        </w:rPr>
        <w:t xml:space="preserve"> דהוא צ"ע בלשון </w:t>
      </w:r>
      <w:r w:rsidRPr="00890383">
        <w:rPr>
          <w:rStyle w:val="af9"/>
          <w:rFonts w:hint="cs"/>
          <w:rtl/>
        </w:rPr>
        <w:t>רש"י</w:t>
      </w:r>
      <w:r>
        <w:rPr>
          <w:rFonts w:hint="cs"/>
          <w:rtl/>
        </w:rPr>
        <w:t>.</w:t>
      </w:r>
    </w:p>
    <w:p w14:paraId="1C2A13B2" w14:textId="77777777" w:rsidR="00852065" w:rsidRDefault="00852065" w:rsidP="00BF39B2">
      <w:pPr>
        <w:pStyle w:val="1"/>
        <w:rPr>
          <w:rtl/>
        </w:rPr>
      </w:pPr>
      <w:bookmarkStart w:id="1641" w:name="_Toc522200296"/>
      <w:bookmarkStart w:id="1642" w:name="_Toc19389180"/>
      <w:bookmarkStart w:id="1643" w:name="_Toc19392677"/>
      <w:r>
        <w:rPr>
          <w:rFonts w:hint="cs"/>
          <w:rtl/>
        </w:rPr>
        <w:t>ביאור הקוה"ע בדעת הרשב"א דשחיטה מתרת בכל שעה ושעה</w:t>
      </w:r>
      <w:bookmarkEnd w:id="1641"/>
      <w:bookmarkEnd w:id="1642"/>
      <w:bookmarkEnd w:id="1643"/>
    </w:p>
    <w:p w14:paraId="15424D96" w14:textId="77777777" w:rsidR="00852065" w:rsidRDefault="00852065" w:rsidP="006D6D32">
      <w:pPr>
        <w:pStyle w:val="a3"/>
        <w:rPr>
          <w:rtl/>
        </w:rPr>
      </w:pPr>
      <w:bookmarkStart w:id="1644" w:name="_Toc522200297"/>
      <w:bookmarkStart w:id="1645" w:name="_Toc19389181"/>
      <w:bookmarkStart w:id="1646" w:name="_Toc19392678"/>
      <w:r>
        <w:rPr>
          <w:rFonts w:hint="cs"/>
          <w:rtl/>
        </w:rPr>
        <w:t>חקירת הקוה"ע אי שחיטה מתרת בשעת השחיטה או דמתירה בכל שעה ושעה</w:t>
      </w:r>
      <w:bookmarkEnd w:id="1644"/>
      <w:bookmarkEnd w:id="1645"/>
      <w:bookmarkEnd w:id="1646"/>
    </w:p>
    <w:p w14:paraId="2BA736A1" w14:textId="77777777" w:rsidR="00852065" w:rsidRDefault="00852065" w:rsidP="00223668">
      <w:pPr>
        <w:pStyle w:val="a0"/>
        <w:rPr>
          <w:rtl/>
        </w:rPr>
      </w:pPr>
      <w:r w:rsidRPr="00132F86">
        <w:rPr>
          <w:rStyle w:val="af9"/>
          <w:rFonts w:hint="cs"/>
          <w:rtl/>
        </w:rPr>
        <w:t>הקוה"ע</w:t>
      </w:r>
      <w:r>
        <w:rPr>
          <w:rFonts w:hint="cs"/>
          <w:rtl/>
        </w:rPr>
        <w:t xml:space="preserve"> </w:t>
      </w:r>
      <w:r w:rsidRPr="00132F86">
        <w:rPr>
          <w:rStyle w:val="af7"/>
          <w:rFonts w:eastAsia="Guttman Hodes" w:hint="cs"/>
          <w:rtl/>
        </w:rPr>
        <w:t>(יבמות סי' נ"ט ה')</w:t>
      </w:r>
      <w:r>
        <w:rPr>
          <w:rFonts w:hint="cs"/>
          <w:rtl/>
        </w:rPr>
        <w:t xml:space="preserve"> חקר בהיתר שחיטה, האם היא מתרת רק בשעת השחיטה ואם נמצא מקום שיפקע ממנה שם שחוטה לא תאסר מדין נבילה, כיון שמיתתה היא ע"י שחיטה כשרה, וכיון שבשעת המיתה לא חייל עליה שם נבילה, א"א לאוסרה אח"כ מדין נבילה, או דכל בהמה שמתה יש בה סיבה לאוסרה מדין נבילה, אלא דכיון שיש עליה שם שחוטה, השחיטה מתירתה בכל שעה ושעה, ולכן אם יתבטל ממנה שם שחוטה אף אם בשעת השחיטה ההי לה היתר והביטול יהיה מכאן ולהבא, מ"מ תאסר מדין נבילה.</w:t>
      </w:r>
    </w:p>
    <w:p w14:paraId="48E78EBC" w14:textId="77777777" w:rsidR="00852065" w:rsidRPr="008942CC" w:rsidRDefault="00852065" w:rsidP="006D6D32">
      <w:pPr>
        <w:pStyle w:val="a3"/>
        <w:rPr>
          <w:rtl/>
        </w:rPr>
      </w:pPr>
      <w:bookmarkStart w:id="1647" w:name="_Toc522200298"/>
      <w:bookmarkStart w:id="1648" w:name="_Toc19389182"/>
      <w:bookmarkStart w:id="1649" w:name="_Toc19392679"/>
      <w:r>
        <w:rPr>
          <w:rFonts w:hint="cs"/>
          <w:rtl/>
        </w:rPr>
        <w:t>קושית הקוה"ע על הרשב"א דבספק בשחיטה דהספק הוא בשחיטה המתרת אינה עומדת להיתר</w:t>
      </w:r>
      <w:bookmarkEnd w:id="1647"/>
      <w:bookmarkEnd w:id="1648"/>
      <w:bookmarkEnd w:id="1649"/>
      <w:r>
        <w:rPr>
          <w:rFonts w:hint="cs"/>
          <w:rtl/>
        </w:rPr>
        <w:t xml:space="preserve"> </w:t>
      </w:r>
    </w:p>
    <w:p w14:paraId="765BB0BD" w14:textId="77777777" w:rsidR="00852065" w:rsidRDefault="00852065" w:rsidP="00223668">
      <w:pPr>
        <w:pStyle w:val="a0"/>
        <w:rPr>
          <w:rtl/>
        </w:rPr>
      </w:pPr>
      <w:r>
        <w:rPr>
          <w:rFonts w:hint="cs"/>
          <w:rtl/>
        </w:rPr>
        <w:t xml:space="preserve">והביא </w:t>
      </w:r>
      <w:r w:rsidRPr="00132F86">
        <w:rPr>
          <w:rStyle w:val="af9"/>
          <w:rFonts w:hint="cs"/>
          <w:rtl/>
        </w:rPr>
        <w:t>הקוה"ע</w:t>
      </w:r>
      <w:r>
        <w:rPr>
          <w:rFonts w:hint="cs"/>
          <w:rtl/>
        </w:rPr>
        <w:t xml:space="preserve"> </w:t>
      </w:r>
      <w:r w:rsidRPr="00132F86">
        <w:rPr>
          <w:rStyle w:val="af7"/>
          <w:rFonts w:eastAsia="Guttman Hodes" w:hint="cs"/>
          <w:rtl/>
        </w:rPr>
        <w:t xml:space="preserve">(יבמות סי' נ"ט ט') </w:t>
      </w:r>
      <w:r>
        <w:rPr>
          <w:rFonts w:hint="cs"/>
          <w:rtl/>
        </w:rPr>
        <w:t xml:space="preserve">את קושית </w:t>
      </w:r>
      <w:r w:rsidRPr="00132F86">
        <w:rPr>
          <w:rStyle w:val="af9"/>
          <w:rFonts w:hint="cs"/>
          <w:rtl/>
        </w:rPr>
        <w:t>הרשב"א</w:t>
      </w:r>
      <w:r>
        <w:rPr>
          <w:rFonts w:hint="cs"/>
          <w:rtl/>
        </w:rPr>
        <w:t xml:space="preserve"> </w:t>
      </w:r>
      <w:r w:rsidRPr="00971C0C">
        <w:rPr>
          <w:rStyle w:val="af7"/>
          <w:rFonts w:eastAsia="Guttman Hodes" w:hint="cs"/>
          <w:rtl/>
        </w:rPr>
        <w:t xml:space="preserve">(עי' אות </w:t>
      </w:r>
      <w:r w:rsidRPr="00971C0C">
        <w:rPr>
          <w:rStyle w:val="af7"/>
          <w:rFonts w:eastAsia="Guttman Hodes"/>
          <w:rtl/>
        </w:rPr>
        <w:fldChar w:fldCharType="begin"/>
      </w:r>
      <w:r w:rsidRPr="00971C0C">
        <w:rPr>
          <w:rStyle w:val="af7"/>
          <w:rFonts w:eastAsia="Guttman Hodes"/>
          <w:rtl/>
        </w:rPr>
        <w:instrText xml:space="preserve"> </w:instrText>
      </w:r>
      <w:r w:rsidRPr="00971C0C">
        <w:rPr>
          <w:rStyle w:val="af7"/>
          <w:rFonts w:eastAsia="Guttman Hodes" w:hint="cs"/>
        </w:rPr>
        <w:instrText>REF</w:instrText>
      </w:r>
      <w:r w:rsidRPr="00971C0C">
        <w:rPr>
          <w:rStyle w:val="af7"/>
          <w:rFonts w:eastAsia="Guttman Hodes" w:hint="cs"/>
          <w:rtl/>
        </w:rPr>
        <w:instrText xml:space="preserve"> _</w:instrText>
      </w:r>
      <w:r w:rsidRPr="00971C0C">
        <w:rPr>
          <w:rStyle w:val="af7"/>
          <w:rFonts w:eastAsia="Guttman Hodes" w:hint="cs"/>
        </w:rPr>
        <w:instrText>Ref522187774 \r \h</w:instrText>
      </w:r>
      <w:r w:rsidRPr="00971C0C">
        <w:rPr>
          <w:rStyle w:val="af7"/>
          <w:rFonts w:eastAsia="Guttman Hodes"/>
          <w:rtl/>
        </w:rPr>
        <w:instrText xml:space="preserve"> </w:instrText>
      </w:r>
      <w:r w:rsidRPr="00971C0C">
        <w:rPr>
          <w:rStyle w:val="af7"/>
          <w:rFonts w:eastAsia="Guttman Hodes"/>
          <w:rtl/>
        </w:rPr>
      </w:r>
      <w:r w:rsidRPr="00971C0C">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971C0C">
        <w:rPr>
          <w:rStyle w:val="af7"/>
          <w:rFonts w:eastAsia="Guttman Hodes"/>
          <w:rtl/>
        </w:rPr>
        <w:fldChar w:fldCharType="end"/>
      </w:r>
      <w:r>
        <w:rPr>
          <w:rFonts w:hint="cs"/>
          <w:rtl/>
        </w:rPr>
        <w:t xml:space="preserve"> </w:t>
      </w:r>
      <w:r>
        <w:rPr>
          <w:rtl/>
        </w:rPr>
        <w:t xml:space="preserve">דבספק צרת ערוה </w:t>
      </w:r>
      <w:r>
        <w:rPr>
          <w:rFonts w:hint="cs"/>
          <w:rtl/>
        </w:rPr>
        <w:t xml:space="preserve">נימא דמחזיקין מאיסור לאיסור, והקשה </w:t>
      </w:r>
      <w:r w:rsidRPr="00132F86">
        <w:rPr>
          <w:rStyle w:val="af9"/>
          <w:rFonts w:hint="cs"/>
          <w:rtl/>
        </w:rPr>
        <w:t>הקוה"ע</w:t>
      </w:r>
      <w:r>
        <w:rPr>
          <w:rFonts w:hint="cs"/>
          <w:rtl/>
        </w:rPr>
        <w:t xml:space="preserve"> </w:t>
      </w:r>
      <w:r>
        <w:rPr>
          <w:rtl/>
        </w:rPr>
        <w:t xml:space="preserve">דבספק צרת ערוה </w:t>
      </w:r>
      <w:r>
        <w:rPr>
          <w:rFonts w:hint="cs"/>
          <w:rtl/>
        </w:rPr>
        <w:t xml:space="preserve">היא עומדת בחזקת היתר כין שאם ימות הבעל תהיה מותרת, אבל </w:t>
      </w:r>
      <w:r>
        <w:rPr>
          <w:rtl/>
        </w:rPr>
        <w:t>בספק בשחיטה</w:t>
      </w:r>
      <w:r>
        <w:rPr>
          <w:rFonts w:hint="cs"/>
          <w:rtl/>
        </w:rPr>
        <w:t xml:space="preserve"> א"א לומר שעומדת בחזקת היתר כיון שאם תשחט הבהמה תהיה מותרת, דהא זה גופא הספק אם נשחטה כראוי.</w:t>
      </w:r>
    </w:p>
    <w:p w14:paraId="369838D3" w14:textId="77777777" w:rsidR="00852065" w:rsidRPr="002413DC" w:rsidRDefault="00852065" w:rsidP="006D6D32">
      <w:pPr>
        <w:pStyle w:val="a3"/>
        <w:rPr>
          <w:rtl/>
        </w:rPr>
      </w:pPr>
      <w:bookmarkStart w:id="1650" w:name="_Toc522200299"/>
      <w:bookmarkStart w:id="1651" w:name="_Toc19389183"/>
      <w:bookmarkStart w:id="1652" w:name="_Toc19392680"/>
      <w:r>
        <w:rPr>
          <w:rFonts w:hint="cs"/>
          <w:rtl/>
        </w:rPr>
        <w:t>ביאור הקוה"ע בקושית הרשב"א דבצר"ע החזקת איסור תסתור לחזקת היתר דרבה</w:t>
      </w:r>
      <w:bookmarkEnd w:id="1650"/>
      <w:bookmarkEnd w:id="1651"/>
      <w:bookmarkEnd w:id="1652"/>
    </w:p>
    <w:p w14:paraId="08C8BB5E" w14:textId="77777777" w:rsidR="00852065" w:rsidRDefault="00852065" w:rsidP="00223668">
      <w:pPr>
        <w:pStyle w:val="a0"/>
        <w:rPr>
          <w:rtl/>
        </w:rPr>
      </w:pPr>
      <w:r>
        <w:rPr>
          <w:rFonts w:hint="cs"/>
          <w:rtl/>
        </w:rPr>
        <w:t xml:space="preserve">אלא ביאר </w:t>
      </w:r>
      <w:r w:rsidRPr="00132F86">
        <w:rPr>
          <w:rStyle w:val="af9"/>
          <w:rFonts w:hint="cs"/>
          <w:rtl/>
        </w:rPr>
        <w:t>הקוה"ע</w:t>
      </w:r>
      <w:r>
        <w:rPr>
          <w:rFonts w:hint="cs"/>
          <w:rtl/>
        </w:rPr>
        <w:t xml:space="preserve"> דכוונת </w:t>
      </w:r>
      <w:r w:rsidRPr="00132F86">
        <w:rPr>
          <w:rStyle w:val="af9"/>
          <w:rFonts w:hint="cs"/>
          <w:rtl/>
        </w:rPr>
        <w:t>הרשב"א</w:t>
      </w:r>
      <w:r>
        <w:rPr>
          <w:rFonts w:hint="cs"/>
          <w:rtl/>
        </w:rPr>
        <w:t xml:space="preserve"> להקשות דכיון </w:t>
      </w:r>
      <w:r>
        <w:rPr>
          <w:rtl/>
        </w:rPr>
        <w:t>דבספק בשחיטה</w:t>
      </w:r>
      <w:r>
        <w:rPr>
          <w:rFonts w:hint="cs"/>
          <w:rtl/>
        </w:rPr>
        <w:t xml:space="preserve"> מוכח שמחזיקין מאיסור לאיסור, א"כ אף </w:t>
      </w:r>
      <w:r>
        <w:rPr>
          <w:rtl/>
        </w:rPr>
        <w:t>בספק צרת ערוה</w:t>
      </w:r>
      <w:r>
        <w:rPr>
          <w:rFonts w:hint="cs"/>
          <w:rtl/>
        </w:rPr>
        <w:t xml:space="preserve"> שיש לה חזקת היתר, מ"מ יש לה גם חזקת איסור, והוי חזקה כנגד חזקה דהוא ספק השקול.</w:t>
      </w:r>
    </w:p>
    <w:p w14:paraId="17C8A7EB" w14:textId="77777777" w:rsidR="00973687" w:rsidRDefault="00973687" w:rsidP="006D6D32">
      <w:pPr>
        <w:pStyle w:val="a3"/>
        <w:rPr>
          <w:rtl/>
        </w:rPr>
      </w:pPr>
      <w:bookmarkStart w:id="1653" w:name="_Toc522200300"/>
    </w:p>
    <w:p w14:paraId="07DEA0A4" w14:textId="77777777" w:rsidR="00852065" w:rsidRDefault="00852065" w:rsidP="006D6D32">
      <w:pPr>
        <w:pStyle w:val="a3"/>
        <w:rPr>
          <w:rtl/>
        </w:rPr>
      </w:pPr>
      <w:bookmarkStart w:id="1654" w:name="_Toc19389184"/>
      <w:bookmarkStart w:id="1655" w:name="_Toc19392681"/>
      <w:r>
        <w:rPr>
          <w:rFonts w:hint="cs"/>
          <w:rtl/>
        </w:rPr>
        <w:t>קושית הקוה"ע על תירוץ הרשב"א דאי מחזיקין מאל"א לא מהני החזקת היתר בצר"ע</w:t>
      </w:r>
      <w:bookmarkEnd w:id="1653"/>
      <w:bookmarkEnd w:id="1654"/>
      <w:bookmarkEnd w:id="1655"/>
    </w:p>
    <w:p w14:paraId="02C564E3" w14:textId="77777777" w:rsidR="00852065" w:rsidRDefault="00852065" w:rsidP="00223668">
      <w:pPr>
        <w:pStyle w:val="a0"/>
        <w:rPr>
          <w:rtl/>
        </w:rPr>
      </w:pPr>
      <w:r>
        <w:rPr>
          <w:rFonts w:hint="cs"/>
          <w:rtl/>
        </w:rPr>
        <w:t xml:space="preserve">ובתירוץ </w:t>
      </w:r>
      <w:r w:rsidRPr="00132F86">
        <w:rPr>
          <w:rStyle w:val="af9"/>
          <w:rFonts w:hint="cs"/>
          <w:rtl/>
        </w:rPr>
        <w:t>הרשב"א</w:t>
      </w:r>
      <w:r>
        <w:rPr>
          <w:rFonts w:hint="cs"/>
          <w:rtl/>
        </w:rPr>
        <w:t xml:space="preserve"> </w:t>
      </w:r>
      <w:r w:rsidRPr="00971C0C">
        <w:rPr>
          <w:rStyle w:val="af7"/>
          <w:rFonts w:eastAsia="Guttman Hodes" w:hint="cs"/>
          <w:rtl/>
        </w:rPr>
        <w:t xml:space="preserve">(עי' אות </w:t>
      </w:r>
      <w:r w:rsidRPr="00971C0C">
        <w:rPr>
          <w:rStyle w:val="af7"/>
          <w:rFonts w:eastAsia="Guttman Hodes"/>
          <w:rtl/>
        </w:rPr>
        <w:fldChar w:fldCharType="begin"/>
      </w:r>
      <w:r w:rsidRPr="00971C0C">
        <w:rPr>
          <w:rStyle w:val="af7"/>
          <w:rFonts w:eastAsia="Guttman Hodes"/>
          <w:rtl/>
        </w:rPr>
        <w:instrText xml:space="preserve"> </w:instrText>
      </w:r>
      <w:r w:rsidRPr="00971C0C">
        <w:rPr>
          <w:rStyle w:val="af7"/>
          <w:rFonts w:eastAsia="Guttman Hodes" w:hint="cs"/>
        </w:rPr>
        <w:instrText>REF</w:instrText>
      </w:r>
      <w:r w:rsidRPr="00971C0C">
        <w:rPr>
          <w:rStyle w:val="af7"/>
          <w:rFonts w:eastAsia="Guttman Hodes" w:hint="cs"/>
          <w:rtl/>
        </w:rPr>
        <w:instrText xml:space="preserve"> _</w:instrText>
      </w:r>
      <w:r w:rsidRPr="00971C0C">
        <w:rPr>
          <w:rStyle w:val="af7"/>
          <w:rFonts w:eastAsia="Guttman Hodes" w:hint="cs"/>
        </w:rPr>
        <w:instrText>Ref522187437 \r \h</w:instrText>
      </w:r>
      <w:r w:rsidRPr="00971C0C">
        <w:rPr>
          <w:rStyle w:val="af7"/>
          <w:rFonts w:eastAsia="Guttman Hodes"/>
          <w:rtl/>
        </w:rPr>
        <w:instrText xml:space="preserve"> </w:instrText>
      </w:r>
      <w:r w:rsidRPr="00971C0C">
        <w:rPr>
          <w:rStyle w:val="af7"/>
          <w:rFonts w:eastAsia="Guttman Hodes"/>
          <w:rtl/>
        </w:rPr>
      </w:r>
      <w:r w:rsidRPr="00971C0C">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sidRPr="00971C0C">
        <w:rPr>
          <w:rStyle w:val="af7"/>
          <w:rFonts w:eastAsia="Guttman Hodes"/>
          <w:rtl/>
        </w:rPr>
        <w:fldChar w:fldCharType="end"/>
      </w:r>
      <w:r>
        <w:rPr>
          <w:rFonts w:hint="cs"/>
          <w:rtl/>
        </w:rPr>
        <w:t xml:space="preserve"> </w:t>
      </w:r>
      <w:r>
        <w:rPr>
          <w:rtl/>
        </w:rPr>
        <w:t>דבספק בשחיטה</w:t>
      </w:r>
      <w:r>
        <w:rPr>
          <w:rFonts w:hint="cs"/>
          <w:rtl/>
        </w:rPr>
        <w:t xml:space="preserve"> היא אסורה כל שלא נתחדש בה מעשה שמתירה, משא"כ </w:t>
      </w:r>
      <w:r>
        <w:rPr>
          <w:rtl/>
        </w:rPr>
        <w:t>בספק צרת ערוה</w:t>
      </w:r>
      <w:r>
        <w:rPr>
          <w:rFonts w:hint="cs"/>
          <w:rtl/>
        </w:rPr>
        <w:t xml:space="preserve"> שמיתת הבעל מתירתה, הקשה </w:t>
      </w:r>
      <w:r w:rsidRPr="000E5B99">
        <w:rPr>
          <w:rStyle w:val="af9"/>
          <w:rFonts w:hint="cs"/>
          <w:rtl/>
        </w:rPr>
        <w:t>הקוה"ע</w:t>
      </w:r>
      <w:r>
        <w:rPr>
          <w:rFonts w:hint="cs"/>
          <w:rtl/>
        </w:rPr>
        <w:t xml:space="preserve"> דמ"מ אם אין מחזיקין מאיסור לאיסור, אמאי </w:t>
      </w:r>
      <w:r>
        <w:rPr>
          <w:rtl/>
        </w:rPr>
        <w:t>בספק בשחיטה</w:t>
      </w:r>
      <w:r>
        <w:rPr>
          <w:rFonts w:hint="cs"/>
          <w:rtl/>
        </w:rPr>
        <w:t xml:space="preserve"> היא אסורה, ואי מחזיקין מאיסור לאיסור, עדיין יש חזקת איסור, ולא מהני החזקת היתר שיש </w:t>
      </w:r>
      <w:r>
        <w:rPr>
          <w:rtl/>
        </w:rPr>
        <w:t>בספק צרת ערוה</w:t>
      </w:r>
      <w:r>
        <w:rPr>
          <w:rFonts w:hint="cs"/>
          <w:rtl/>
        </w:rPr>
        <w:t xml:space="preserve"> שמת הבעל, דהוא חזקה כנגד חזקה.</w:t>
      </w:r>
    </w:p>
    <w:p w14:paraId="69BBF982" w14:textId="77777777" w:rsidR="00852065" w:rsidRDefault="00852065" w:rsidP="006D6D32">
      <w:pPr>
        <w:pStyle w:val="a3"/>
        <w:rPr>
          <w:rtl/>
        </w:rPr>
      </w:pPr>
      <w:bookmarkStart w:id="1656" w:name="_Toc522200301"/>
      <w:bookmarkStart w:id="1657" w:name="_Toc19389185"/>
      <w:bookmarkStart w:id="1658" w:name="_Toc19392682"/>
      <w:r>
        <w:rPr>
          <w:rFonts w:hint="cs"/>
          <w:rtl/>
        </w:rPr>
        <w:t>ביאור הקוה"ע דלרהשב"א שחיטה מתירה כל שעה וודאי סיבת איסור מפקיע מספק סיבת היתר</w:t>
      </w:r>
      <w:bookmarkEnd w:id="1656"/>
      <w:bookmarkEnd w:id="1657"/>
      <w:bookmarkEnd w:id="1658"/>
    </w:p>
    <w:p w14:paraId="6B5FCE09" w14:textId="77777777" w:rsidR="00852065" w:rsidRDefault="00852065" w:rsidP="00223668">
      <w:pPr>
        <w:pStyle w:val="a0"/>
      </w:pPr>
      <w:r>
        <w:rPr>
          <w:rFonts w:hint="cs"/>
          <w:rtl/>
        </w:rPr>
        <w:t xml:space="preserve">וביאר </w:t>
      </w:r>
      <w:r w:rsidRPr="000E5B99">
        <w:rPr>
          <w:rStyle w:val="af9"/>
          <w:rFonts w:hint="cs"/>
          <w:rtl/>
        </w:rPr>
        <w:t>הקוה"ע</w:t>
      </w:r>
      <w:r>
        <w:rPr>
          <w:rFonts w:hint="cs"/>
          <w:rtl/>
        </w:rPr>
        <w:t xml:space="preserve"> </w:t>
      </w:r>
      <w:r w:rsidRPr="000E5B99">
        <w:rPr>
          <w:rStyle w:val="af7"/>
          <w:rFonts w:eastAsia="Guttman Hodes" w:hint="cs"/>
          <w:rtl/>
        </w:rPr>
        <w:t>(יבמות סי' נ"ט י')</w:t>
      </w:r>
      <w:r>
        <w:rPr>
          <w:rFonts w:hint="cs"/>
          <w:rtl/>
        </w:rPr>
        <w:t xml:space="preserve"> דס"ל </w:t>
      </w:r>
      <w:r w:rsidRPr="000E5B99">
        <w:rPr>
          <w:rStyle w:val="af9"/>
          <w:rFonts w:hint="cs"/>
          <w:rtl/>
        </w:rPr>
        <w:t>להרשב"א</w:t>
      </w:r>
      <w:r>
        <w:rPr>
          <w:rFonts w:hint="cs"/>
          <w:rtl/>
        </w:rPr>
        <w:t xml:space="preserve"> כצד הב' בחקירתו </w:t>
      </w:r>
      <w:r w:rsidRPr="00FC4CB0">
        <w:rPr>
          <w:rStyle w:val="af7"/>
          <w:rFonts w:eastAsia="Guttman Hodes" w:hint="cs"/>
          <w:rtl/>
        </w:rPr>
        <w:t xml:space="preserve">(עי' אות </w:t>
      </w:r>
      <w:r w:rsidRPr="00FC4CB0">
        <w:rPr>
          <w:rStyle w:val="af7"/>
          <w:rFonts w:eastAsia="Guttman Hodes"/>
          <w:rtl/>
        </w:rPr>
        <w:fldChar w:fldCharType="begin"/>
      </w:r>
      <w:r w:rsidRPr="00FC4CB0">
        <w:rPr>
          <w:rStyle w:val="af7"/>
          <w:rFonts w:eastAsia="Guttman Hodes"/>
          <w:rtl/>
        </w:rPr>
        <w:instrText xml:space="preserve"> </w:instrText>
      </w:r>
      <w:r w:rsidRPr="00FC4CB0">
        <w:rPr>
          <w:rStyle w:val="af7"/>
          <w:rFonts w:eastAsia="Guttman Hodes" w:hint="cs"/>
        </w:rPr>
        <w:instrText>REF</w:instrText>
      </w:r>
      <w:r w:rsidRPr="00FC4CB0">
        <w:rPr>
          <w:rStyle w:val="af7"/>
          <w:rFonts w:eastAsia="Guttman Hodes" w:hint="cs"/>
          <w:rtl/>
        </w:rPr>
        <w:instrText xml:space="preserve"> _</w:instrText>
      </w:r>
      <w:r w:rsidRPr="00FC4CB0">
        <w:rPr>
          <w:rStyle w:val="af7"/>
          <w:rFonts w:eastAsia="Guttman Hodes" w:hint="cs"/>
        </w:rPr>
        <w:instrText>Ref522200579 \r \h</w:instrText>
      </w:r>
      <w:r w:rsidRPr="00FC4CB0">
        <w:rPr>
          <w:rStyle w:val="af7"/>
          <w:rFonts w:eastAsia="Guttman Hodes"/>
          <w:rtl/>
        </w:rPr>
        <w:instrText xml:space="preserve"> </w:instrText>
      </w:r>
      <w:r w:rsidRPr="00FC4CB0">
        <w:rPr>
          <w:rStyle w:val="af7"/>
          <w:rFonts w:eastAsia="Guttman Hodes"/>
          <w:rtl/>
        </w:rPr>
      </w:r>
      <w:r w:rsidRPr="00FC4CB0">
        <w:rPr>
          <w:rStyle w:val="af7"/>
          <w:rFonts w:eastAsia="Guttman Hodes"/>
          <w:rtl/>
        </w:rPr>
        <w:fldChar w:fldCharType="separate"/>
      </w:r>
      <w:r w:rsidR="00345400">
        <w:rPr>
          <w:rStyle w:val="af7"/>
          <w:rFonts w:eastAsia="Guttman Hodes" w:hint="cs"/>
          <w:b/>
          <w:bCs/>
          <w:rtl/>
        </w:rPr>
        <w:t>שגיאה! מקור ההפניה לא נמצא.</w:t>
      </w:r>
      <w:r w:rsidRPr="00FC4CB0">
        <w:rPr>
          <w:rStyle w:val="af7"/>
          <w:rFonts w:eastAsia="Guttman Hodes"/>
          <w:rtl/>
        </w:rPr>
        <w:fldChar w:fldCharType="end"/>
      </w:r>
      <w:r>
        <w:rPr>
          <w:rFonts w:hint="cs"/>
          <w:rtl/>
        </w:rPr>
        <w:t xml:space="preserve"> דשחיטה צריכה להתיר בכל שעה ושעה, וכל שפקע ממנה שם שחוטה נאסרת מדין נבילה, אף אם נשחטה כהלכה, ולכן במקום שיש ספק אם נשחטה כראוי, יש בה סיבת איסור מדין נבילה, דכל בהמה מתה שאין בה היתר שחיטה היא בדין נבילה, והשחיטה שמתירה אותה היא ספק, ולכן אמרינן דאין ספק סיבת היתר שחיטה, מוציא מידי ודאי סיבת איסור נבילה בכל בהמה שמתה.</w:t>
      </w:r>
    </w:p>
    <w:p w14:paraId="55702FFF" w14:textId="77777777" w:rsidR="00852065" w:rsidRDefault="00852065" w:rsidP="006D6D32">
      <w:pPr>
        <w:pStyle w:val="a3"/>
      </w:pPr>
      <w:bookmarkStart w:id="1659" w:name="_Toc522200302"/>
      <w:bookmarkStart w:id="1660" w:name="_Toc19389186"/>
      <w:bookmarkStart w:id="1661" w:name="_Toc19392683"/>
      <w:r>
        <w:rPr>
          <w:rFonts w:hint="cs"/>
          <w:rtl/>
        </w:rPr>
        <w:t>קושית הקוה"ע דברשב"א בסוגיין מבואר דהנדון בצר"ע הוא בדין מחזיקין מאל"א</w:t>
      </w:r>
      <w:bookmarkEnd w:id="1659"/>
      <w:bookmarkEnd w:id="1660"/>
      <w:bookmarkEnd w:id="1661"/>
    </w:p>
    <w:p w14:paraId="4BEE25DF" w14:textId="77777777" w:rsidR="00852065" w:rsidRDefault="00852065" w:rsidP="00223668">
      <w:pPr>
        <w:pStyle w:val="a0"/>
        <w:rPr>
          <w:rtl/>
        </w:rPr>
      </w:pPr>
      <w:r>
        <w:rPr>
          <w:rFonts w:hint="cs"/>
          <w:rtl/>
        </w:rPr>
        <w:t xml:space="preserve">אך הקשה </w:t>
      </w:r>
      <w:r w:rsidRPr="000E5B99">
        <w:rPr>
          <w:rStyle w:val="af9"/>
          <w:rFonts w:hint="cs"/>
          <w:rtl/>
        </w:rPr>
        <w:t>הקוה"ע</w:t>
      </w:r>
      <w:r>
        <w:rPr>
          <w:rFonts w:hint="cs"/>
          <w:rtl/>
        </w:rPr>
        <w:t xml:space="preserve"> דהא </w:t>
      </w:r>
      <w:r w:rsidRPr="000E5B99">
        <w:rPr>
          <w:rStyle w:val="af9"/>
          <w:rFonts w:hint="cs"/>
          <w:rtl/>
        </w:rPr>
        <w:t>הרשב"א בסוגיין</w:t>
      </w:r>
      <w:r>
        <w:rPr>
          <w:rFonts w:hint="cs"/>
          <w:rtl/>
        </w:rPr>
        <w:t xml:space="preserve"> </w:t>
      </w:r>
      <w:r w:rsidRPr="00971C0C">
        <w:rPr>
          <w:rStyle w:val="af7"/>
          <w:rFonts w:eastAsia="Guttman Hodes" w:hint="cs"/>
          <w:rtl/>
        </w:rPr>
        <w:t xml:space="preserve">(עי' אות </w:t>
      </w:r>
      <w:r w:rsidRPr="00971C0C">
        <w:rPr>
          <w:rStyle w:val="af7"/>
          <w:rFonts w:eastAsia="Guttman Hodes"/>
          <w:rtl/>
        </w:rPr>
        <w:fldChar w:fldCharType="begin"/>
      </w:r>
      <w:r w:rsidRPr="00971C0C">
        <w:rPr>
          <w:rStyle w:val="af7"/>
          <w:rFonts w:eastAsia="Guttman Hodes"/>
          <w:rtl/>
        </w:rPr>
        <w:instrText xml:space="preserve"> </w:instrText>
      </w:r>
      <w:r w:rsidRPr="00971C0C">
        <w:rPr>
          <w:rStyle w:val="af7"/>
          <w:rFonts w:eastAsia="Guttman Hodes" w:hint="cs"/>
        </w:rPr>
        <w:instrText>REF</w:instrText>
      </w:r>
      <w:r w:rsidRPr="00971C0C">
        <w:rPr>
          <w:rStyle w:val="af7"/>
          <w:rFonts w:eastAsia="Guttman Hodes" w:hint="cs"/>
          <w:rtl/>
        </w:rPr>
        <w:instrText xml:space="preserve"> _</w:instrText>
      </w:r>
      <w:r w:rsidRPr="00971C0C">
        <w:rPr>
          <w:rStyle w:val="af7"/>
          <w:rFonts w:eastAsia="Guttman Hodes" w:hint="cs"/>
        </w:rPr>
        <w:instrText>Ref522187514 \r \h</w:instrText>
      </w:r>
      <w:r w:rsidRPr="00971C0C">
        <w:rPr>
          <w:rStyle w:val="af7"/>
          <w:rFonts w:eastAsia="Guttman Hodes"/>
          <w:rtl/>
        </w:rPr>
        <w:instrText xml:space="preserve"> </w:instrText>
      </w:r>
      <w:r w:rsidRPr="00971C0C">
        <w:rPr>
          <w:rStyle w:val="af7"/>
          <w:rFonts w:eastAsia="Guttman Hodes"/>
          <w:rtl/>
        </w:rPr>
      </w:r>
      <w:r w:rsidRPr="00971C0C">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971C0C">
        <w:rPr>
          <w:rStyle w:val="af7"/>
          <w:rFonts w:eastAsia="Guttman Hodes"/>
          <w:rtl/>
        </w:rPr>
        <w:fldChar w:fldCharType="end"/>
      </w:r>
      <w:r>
        <w:rPr>
          <w:rFonts w:hint="cs"/>
          <w:rtl/>
        </w:rPr>
        <w:t xml:space="preserve"> הביא ראיה מהגמ' ביבמות בדין ספק צרת ערוה לדין מחזיקין מאיסור לאיסור, ולדברי </w:t>
      </w:r>
      <w:r w:rsidRPr="000C79C3">
        <w:rPr>
          <w:rStyle w:val="af9"/>
          <w:rFonts w:hint="cs"/>
          <w:rtl/>
        </w:rPr>
        <w:t>הקוה"ע</w:t>
      </w:r>
      <w:r>
        <w:rPr>
          <w:rFonts w:hint="cs"/>
          <w:rtl/>
        </w:rPr>
        <w:t xml:space="preserve"> אין כל ראיה.</w:t>
      </w:r>
    </w:p>
    <w:p w14:paraId="0A2FCCDB" w14:textId="77777777" w:rsidR="00852065" w:rsidRDefault="00852065" w:rsidP="00BF39B2">
      <w:pPr>
        <w:pStyle w:val="1"/>
        <w:rPr>
          <w:rtl/>
        </w:rPr>
      </w:pPr>
      <w:bookmarkStart w:id="1662" w:name="_Toc521324883"/>
      <w:bookmarkStart w:id="1663" w:name="_Toc521338190"/>
      <w:bookmarkStart w:id="1664" w:name="_Toc521361990"/>
      <w:bookmarkStart w:id="1665" w:name="_Toc522200303"/>
      <w:bookmarkStart w:id="1666" w:name="_Toc19389187"/>
      <w:bookmarkStart w:id="1667" w:name="_Toc19392684"/>
      <w:r>
        <w:rPr>
          <w:rFonts w:hint="cs"/>
          <w:rtl/>
        </w:rPr>
        <w:t>דברי המקדש דוד בגדר חזקת הבהמה מחיים</w:t>
      </w:r>
      <w:bookmarkEnd w:id="1662"/>
      <w:bookmarkEnd w:id="1663"/>
      <w:bookmarkEnd w:id="1664"/>
      <w:bookmarkEnd w:id="1665"/>
      <w:bookmarkEnd w:id="1666"/>
      <w:bookmarkEnd w:id="1667"/>
    </w:p>
    <w:p w14:paraId="66D2B629" w14:textId="77777777" w:rsidR="00852065" w:rsidRDefault="00852065" w:rsidP="006D6D32">
      <w:pPr>
        <w:pStyle w:val="a3"/>
        <w:rPr>
          <w:rtl/>
        </w:rPr>
      </w:pPr>
      <w:bookmarkStart w:id="1668" w:name="_Toc522200304"/>
      <w:bookmarkStart w:id="1669" w:name="_Toc19389188"/>
      <w:bookmarkStart w:id="1670" w:name="_Toc19392685"/>
      <w:r>
        <w:rPr>
          <w:rFonts w:hint="cs"/>
          <w:rtl/>
        </w:rPr>
        <w:t>חקירת המקדש דוד אי כל שנשחטה אינה נבילה או דדין שחוטה הוא המתיר</w:t>
      </w:r>
      <w:bookmarkEnd w:id="1668"/>
      <w:bookmarkEnd w:id="1669"/>
      <w:bookmarkEnd w:id="1670"/>
    </w:p>
    <w:p w14:paraId="3CA34379" w14:textId="77777777" w:rsidR="00852065" w:rsidRDefault="00852065" w:rsidP="00223668">
      <w:pPr>
        <w:pStyle w:val="a0"/>
      </w:pPr>
      <w:r>
        <w:rPr>
          <w:rFonts w:hint="cs"/>
          <w:rtl/>
        </w:rPr>
        <w:t xml:space="preserve">ועי' בספר </w:t>
      </w:r>
      <w:r w:rsidRPr="005B26B9">
        <w:rPr>
          <w:rStyle w:val="af9"/>
          <w:rFonts w:hint="cs"/>
          <w:rtl/>
        </w:rPr>
        <w:t>שיעורי מקדש דוד</w:t>
      </w:r>
      <w:r>
        <w:rPr>
          <w:rStyle w:val="af1"/>
          <w:rtl/>
        </w:rPr>
        <w:footnoteReference w:id="13"/>
      </w:r>
      <w:r>
        <w:rPr>
          <w:rFonts w:hint="cs"/>
          <w:rtl/>
        </w:rPr>
        <w:t xml:space="preserve"> </w:t>
      </w:r>
      <w:r w:rsidRPr="005B26B9">
        <w:rPr>
          <w:rStyle w:val="af7"/>
          <w:rFonts w:eastAsia="Guttman Hodes" w:hint="cs"/>
          <w:rtl/>
        </w:rPr>
        <w:t>(עמ"ס חולין סי' ב' אות ב</w:t>
      </w:r>
      <w:r>
        <w:rPr>
          <w:rStyle w:val="af7"/>
          <w:rFonts w:eastAsia="Guttman Hodes" w:hint="cs"/>
          <w:rtl/>
        </w:rPr>
        <w:t>')</w:t>
      </w:r>
      <w:r w:rsidRPr="005B26B9">
        <w:rPr>
          <w:rStyle w:val="af7"/>
          <w:rFonts w:eastAsia="Guttman Hodes" w:hint="cs"/>
          <w:rtl/>
        </w:rPr>
        <w:t xml:space="preserve"> </w:t>
      </w:r>
      <w:r>
        <w:rPr>
          <w:rFonts w:hint="cs"/>
          <w:rtl/>
        </w:rPr>
        <w:t>דחקר בדין שחיטה האם כל שהיה בה מעשה שחיטה אינה נקראת מתה, ונבילה הוא רק במתה מעצמה, או דמעשה השחיטה הוא סיבת ההיתר והוא נותן לה דין שחוטה.</w:t>
      </w:r>
    </w:p>
    <w:p w14:paraId="5E60471B" w14:textId="77777777" w:rsidR="00852065" w:rsidRDefault="00852065" w:rsidP="006D6D32">
      <w:pPr>
        <w:pStyle w:val="a3"/>
      </w:pPr>
      <w:bookmarkStart w:id="1671" w:name="_Toc522200305"/>
      <w:bookmarkStart w:id="1672" w:name="_Toc19389189"/>
      <w:bookmarkStart w:id="1673" w:name="_Toc19392686"/>
      <w:r>
        <w:rPr>
          <w:rFonts w:hint="cs"/>
          <w:rtl/>
        </w:rPr>
        <w:t>הוכחת המקדש דוד דדין שחוטה הוא המתיר מהא דבן פקועה מותר אף שלא נשחט</w:t>
      </w:r>
      <w:bookmarkEnd w:id="1671"/>
      <w:bookmarkEnd w:id="1672"/>
      <w:bookmarkEnd w:id="1673"/>
    </w:p>
    <w:p w14:paraId="2E94C1F5" w14:textId="77777777" w:rsidR="00852065" w:rsidRDefault="00852065" w:rsidP="00223668">
      <w:pPr>
        <w:pStyle w:val="a0"/>
        <w:rPr>
          <w:rtl/>
        </w:rPr>
      </w:pPr>
      <w:r>
        <w:rPr>
          <w:rFonts w:hint="cs"/>
          <w:rtl/>
        </w:rPr>
        <w:t xml:space="preserve">וכתב </w:t>
      </w:r>
      <w:r>
        <w:rPr>
          <w:rStyle w:val="af9"/>
          <w:rFonts w:hint="cs"/>
          <w:rtl/>
        </w:rPr>
        <w:t xml:space="preserve">בשיעורי המקדש דוד </w:t>
      </w:r>
      <w:r>
        <w:rPr>
          <w:rFonts w:hint="cs"/>
          <w:rtl/>
        </w:rPr>
        <w:t>להוכיח כהצד הב' מהא דבן פקועה שמת אין לו דין נבילה, אף שמת מיתת נבילה, ומבואר דשחיטה היא סיבה מסוימת שלא תהיה נבילה.</w:t>
      </w:r>
    </w:p>
    <w:p w14:paraId="1BE1A41B" w14:textId="77777777" w:rsidR="00852065" w:rsidRPr="00B5631C" w:rsidRDefault="00852065" w:rsidP="006D6D32">
      <w:pPr>
        <w:pStyle w:val="a3"/>
      </w:pPr>
      <w:bookmarkStart w:id="1674" w:name="_Toc522200306"/>
      <w:bookmarkStart w:id="1675" w:name="_Toc19389190"/>
      <w:bookmarkStart w:id="1676" w:name="_Toc19392687"/>
      <w:r>
        <w:rPr>
          <w:rFonts w:hint="cs"/>
          <w:rtl/>
        </w:rPr>
        <w:t>דברי המקדש דוד דא"כ הבהמה בחזקת נבילה לכשתמות</w:t>
      </w:r>
      <w:bookmarkEnd w:id="1674"/>
      <w:bookmarkEnd w:id="1675"/>
      <w:bookmarkEnd w:id="1676"/>
    </w:p>
    <w:p w14:paraId="3A6159F4" w14:textId="77777777" w:rsidR="00852065" w:rsidRDefault="00852065" w:rsidP="00223668">
      <w:pPr>
        <w:pStyle w:val="a0"/>
        <w:rPr>
          <w:rtl/>
        </w:rPr>
      </w:pPr>
      <w:r>
        <w:rPr>
          <w:rFonts w:hint="cs"/>
          <w:rtl/>
        </w:rPr>
        <w:t xml:space="preserve">והוסיף </w:t>
      </w:r>
      <w:r>
        <w:rPr>
          <w:rStyle w:val="af9"/>
          <w:rFonts w:hint="cs"/>
          <w:rtl/>
        </w:rPr>
        <w:t xml:space="preserve">בשיעורי המקדש דוד </w:t>
      </w:r>
      <w:r>
        <w:rPr>
          <w:rFonts w:hint="cs"/>
          <w:rtl/>
        </w:rPr>
        <w:t>דא"כ כל מיתה היא סיבה שתהיה נבילה, והשחיטה היא מעשה היתר, ולפי"ז כל בהמה בחייה היא בחזקת שתהיה נבילה כשתמות, כמו שצרת ערוה בחזקת היתר לשוק לכשימות הבעל.</w:t>
      </w:r>
    </w:p>
    <w:p w14:paraId="43C4BDAE" w14:textId="77777777" w:rsidR="00852065" w:rsidRPr="009F2C3B" w:rsidRDefault="00852065" w:rsidP="006D6D32">
      <w:pPr>
        <w:pStyle w:val="a3"/>
      </w:pPr>
      <w:bookmarkStart w:id="1677" w:name="_Toc522200307"/>
      <w:bookmarkStart w:id="1678" w:name="_Toc19389191"/>
      <w:bookmarkStart w:id="1679" w:name="_Toc19392688"/>
      <w:r>
        <w:rPr>
          <w:rFonts w:hint="cs"/>
          <w:rtl/>
        </w:rPr>
        <w:t>קושית המקדש דוד דא"צ להחזיק מאבמה"ח דהא יש לה חזקת איסור</w:t>
      </w:r>
      <w:bookmarkEnd w:id="1677"/>
      <w:bookmarkEnd w:id="1678"/>
      <w:bookmarkEnd w:id="1679"/>
    </w:p>
    <w:p w14:paraId="6DADA675" w14:textId="77777777" w:rsidR="00852065" w:rsidRDefault="00852065" w:rsidP="00223668">
      <w:pPr>
        <w:pStyle w:val="a0"/>
        <w:rPr>
          <w:rtl/>
        </w:rPr>
      </w:pPr>
      <w:r>
        <w:rPr>
          <w:rFonts w:hint="cs"/>
          <w:rtl/>
        </w:rPr>
        <w:t xml:space="preserve">והקשה </w:t>
      </w:r>
      <w:r>
        <w:rPr>
          <w:rStyle w:val="af9"/>
          <w:rFonts w:hint="cs"/>
          <w:rtl/>
        </w:rPr>
        <w:t xml:space="preserve">בשיעורי המקדש דוד </w:t>
      </w:r>
      <w:r>
        <w:rPr>
          <w:rFonts w:hint="cs"/>
          <w:rtl/>
        </w:rPr>
        <w:t xml:space="preserve">דא"כ אמאי הוצרך </w:t>
      </w:r>
      <w:r w:rsidRPr="005B26B9">
        <w:rPr>
          <w:rStyle w:val="af9"/>
          <w:rFonts w:hint="cs"/>
          <w:rtl/>
        </w:rPr>
        <w:t>רש"י</w:t>
      </w:r>
      <w:r>
        <w:rPr>
          <w:rFonts w:hint="cs"/>
          <w:rtl/>
        </w:rPr>
        <w:t xml:space="preserve"> </w:t>
      </w:r>
      <w:r w:rsidRPr="005B26B9">
        <w:rPr>
          <w:rStyle w:val="af7"/>
          <w:rFonts w:eastAsia="Guttman Hodes" w:hint="cs"/>
          <w:rtl/>
        </w:rPr>
        <w:t xml:space="preserve">(עי' אות </w:t>
      </w:r>
      <w:r w:rsidRPr="005B26B9">
        <w:rPr>
          <w:rStyle w:val="af7"/>
          <w:rFonts w:eastAsia="Guttman Hodes"/>
          <w:rtl/>
        </w:rPr>
        <w:fldChar w:fldCharType="begin"/>
      </w:r>
      <w:r w:rsidRPr="005B26B9">
        <w:rPr>
          <w:rStyle w:val="af7"/>
          <w:rFonts w:eastAsia="Guttman Hodes"/>
          <w:rtl/>
        </w:rPr>
        <w:instrText xml:space="preserve"> </w:instrText>
      </w:r>
      <w:r w:rsidRPr="005B26B9">
        <w:rPr>
          <w:rStyle w:val="af7"/>
          <w:rFonts w:eastAsia="Guttman Hodes" w:hint="cs"/>
        </w:rPr>
        <w:instrText>REF</w:instrText>
      </w:r>
      <w:r w:rsidRPr="005B26B9">
        <w:rPr>
          <w:rStyle w:val="af7"/>
          <w:rFonts w:eastAsia="Guttman Hodes" w:hint="cs"/>
          <w:rtl/>
        </w:rPr>
        <w:instrText xml:space="preserve"> _</w:instrText>
      </w:r>
      <w:r w:rsidRPr="005B26B9">
        <w:rPr>
          <w:rStyle w:val="af7"/>
          <w:rFonts w:eastAsia="Guttman Hodes" w:hint="cs"/>
        </w:rPr>
        <w:instrText>Ref520278781 \r \h</w:instrText>
      </w:r>
      <w:r w:rsidRPr="005B26B9">
        <w:rPr>
          <w:rStyle w:val="af7"/>
          <w:rFonts w:eastAsia="Guttman Hodes"/>
          <w:rtl/>
        </w:rPr>
        <w:instrText xml:space="preserve"> </w:instrText>
      </w:r>
      <w:r w:rsidRPr="005B26B9">
        <w:rPr>
          <w:rStyle w:val="af7"/>
          <w:rFonts w:eastAsia="Guttman Hodes"/>
          <w:rtl/>
        </w:rPr>
      </w:r>
      <w:r w:rsidRPr="005B26B9">
        <w:rPr>
          <w:rStyle w:val="af7"/>
          <w:rFonts w:eastAsia="Guttman Hodes"/>
          <w:rtl/>
        </w:rPr>
        <w:fldChar w:fldCharType="separate"/>
      </w:r>
      <w:r w:rsidR="00345400">
        <w:rPr>
          <w:rStyle w:val="af7"/>
          <w:rFonts w:eastAsia="Guttman Hodes"/>
          <w:cs/>
        </w:rPr>
        <w:t>‎</w:t>
      </w:r>
      <w:r w:rsidR="00345400">
        <w:rPr>
          <w:rStyle w:val="af7"/>
          <w:rFonts w:eastAsia="Guttman Hodes"/>
          <w:rtl/>
        </w:rPr>
        <w:t>ט)</w:t>
      </w:r>
      <w:r w:rsidRPr="005B26B9">
        <w:rPr>
          <w:rStyle w:val="af7"/>
          <w:rFonts w:eastAsia="Guttman Hodes"/>
          <w:rtl/>
        </w:rPr>
        <w:fldChar w:fldCharType="end"/>
      </w:r>
      <w:r>
        <w:rPr>
          <w:rFonts w:hint="cs"/>
          <w:rtl/>
        </w:rPr>
        <w:t xml:space="preserve"> לומר דבחזקת אבר מן החי עומדת, הרי כל בהמה עומדת להיות בחזקת איסור לכשתמות אם לא יהיה בה מעשה שחיטה.</w:t>
      </w:r>
    </w:p>
    <w:p w14:paraId="39D7C613" w14:textId="77777777" w:rsidR="00852065" w:rsidRPr="00F675CA" w:rsidRDefault="00852065" w:rsidP="006D6D32">
      <w:pPr>
        <w:pStyle w:val="a3"/>
      </w:pPr>
      <w:bookmarkStart w:id="1680" w:name="_Toc522200308"/>
      <w:bookmarkStart w:id="1681" w:name="_Toc19389192"/>
      <w:bookmarkStart w:id="1682" w:name="_Toc19392689"/>
      <w:r>
        <w:rPr>
          <w:rFonts w:hint="cs"/>
          <w:rtl/>
        </w:rPr>
        <w:t>תירוץ המקדש דוד דלולי האיסור אבמה"ח יש לה חזקת היתר מחיים לכשתחשט</w:t>
      </w:r>
      <w:bookmarkEnd w:id="1680"/>
      <w:bookmarkEnd w:id="1681"/>
      <w:bookmarkEnd w:id="1682"/>
    </w:p>
    <w:p w14:paraId="25D68C37" w14:textId="77777777" w:rsidR="00852065" w:rsidRPr="00705E5E" w:rsidRDefault="00852065" w:rsidP="00223668">
      <w:pPr>
        <w:pStyle w:val="a0"/>
        <w:rPr>
          <w:rtl/>
        </w:rPr>
      </w:pPr>
      <w:r>
        <w:rPr>
          <w:rFonts w:hint="cs"/>
          <w:rtl/>
        </w:rPr>
        <w:t xml:space="preserve">ותירץ </w:t>
      </w:r>
      <w:r>
        <w:rPr>
          <w:rStyle w:val="af9"/>
          <w:rFonts w:hint="cs"/>
          <w:rtl/>
        </w:rPr>
        <w:t xml:space="preserve">בשיעורי המקדש דוד </w:t>
      </w:r>
      <w:r>
        <w:rPr>
          <w:rFonts w:hint="cs"/>
          <w:rtl/>
        </w:rPr>
        <w:t>דכיון ששייך בבהמה מעשה מתיר ע"י שחיטה, א"כ מחיים היא עומדת בחזקת שאם תשחט תהיה מותרת, ולכן לולא חזקת איסור אבר מן החי, אין בה חזקת איסור מחיים.</w:t>
      </w:r>
    </w:p>
    <w:p w14:paraId="32CDCE22" w14:textId="77777777" w:rsidR="00852065" w:rsidRPr="00C93B2B" w:rsidRDefault="00852065" w:rsidP="006D6D32">
      <w:pPr>
        <w:pStyle w:val="a3"/>
        <w:rPr>
          <w:rtl/>
        </w:rPr>
      </w:pPr>
    </w:p>
    <w:p w14:paraId="1C69B204" w14:textId="77777777" w:rsidR="00852065" w:rsidRPr="004E4A7B" w:rsidRDefault="00852065" w:rsidP="006D6D32">
      <w:pPr>
        <w:pStyle w:val="a3"/>
        <w:rPr>
          <w:rtl/>
        </w:rPr>
        <w:sectPr w:rsidR="00852065" w:rsidRPr="004E4A7B" w:rsidSect="000E3BFC">
          <w:type w:val="continuous"/>
          <w:pgSz w:w="11906" w:h="16838"/>
          <w:pgMar w:top="720" w:right="720" w:bottom="720" w:left="720" w:header="283" w:footer="283" w:gutter="0"/>
          <w:cols w:num="2" w:space="567"/>
          <w:bidi/>
          <w:rtlGutter/>
          <w:docGrid w:linePitch="299"/>
        </w:sectPr>
      </w:pPr>
    </w:p>
    <w:p w14:paraId="1DDEF7C1" w14:textId="77777777" w:rsidR="00852065" w:rsidRPr="00622C56" w:rsidRDefault="00852065" w:rsidP="00223668">
      <w:pPr>
        <w:pStyle w:val="a0"/>
        <w:numPr>
          <w:ilvl w:val="0"/>
          <w:numId w:val="0"/>
        </w:numPr>
        <w:rPr>
          <w:rtl/>
        </w:rPr>
      </w:pPr>
    </w:p>
    <w:p w14:paraId="0DD378B7" w14:textId="77777777" w:rsidR="00852065" w:rsidRDefault="00852065" w:rsidP="00852065">
      <w:pPr>
        <w:rPr>
          <w:rtl/>
        </w:rPr>
      </w:pPr>
    </w:p>
    <w:p w14:paraId="04CAB08B" w14:textId="77777777" w:rsidR="00852065" w:rsidRDefault="00852065" w:rsidP="00223668">
      <w:pPr>
        <w:pStyle w:val="a0"/>
        <w:numPr>
          <w:ilvl w:val="0"/>
          <w:numId w:val="0"/>
        </w:numPr>
        <w:rPr>
          <w:rtl/>
        </w:rPr>
        <w:sectPr w:rsidR="00852065" w:rsidSect="00DC4DE5">
          <w:type w:val="continuous"/>
          <w:pgSz w:w="11906" w:h="16838"/>
          <w:pgMar w:top="720" w:right="720" w:bottom="720" w:left="720" w:header="283" w:footer="283" w:gutter="0"/>
          <w:cols w:num="2" w:space="567"/>
          <w:bidi/>
          <w:rtlGutter/>
          <w:docGrid w:linePitch="299"/>
        </w:sectPr>
      </w:pPr>
    </w:p>
    <w:p w14:paraId="6EE3707A" w14:textId="77777777" w:rsidR="00852065" w:rsidRPr="00BE5E7D" w:rsidRDefault="00852065" w:rsidP="006D6D32">
      <w:pPr>
        <w:pStyle w:val="afd"/>
        <w:rPr>
          <w:rtl/>
        </w:rPr>
      </w:pPr>
      <w:bookmarkStart w:id="1683" w:name="_Toc522788381"/>
      <w:bookmarkStart w:id="1684" w:name="_Toc522790234"/>
      <w:bookmarkStart w:id="1685" w:name="_Toc522800725"/>
      <w:bookmarkStart w:id="1686" w:name="_Toc522800833"/>
      <w:bookmarkStart w:id="1687" w:name="_Toc522809885"/>
      <w:bookmarkStart w:id="1688" w:name="_Toc534142058"/>
      <w:bookmarkStart w:id="1689" w:name="_Toc16669723"/>
      <w:bookmarkStart w:id="1690" w:name="_Toc19435214"/>
      <w:bookmarkStart w:id="1691" w:name="_Toc20080578"/>
      <w:bookmarkStart w:id="1692" w:name="_Toc522618757"/>
      <w:r w:rsidRPr="00BE5E7D">
        <w:rPr>
          <w:rtl/>
        </w:rPr>
        <w:t>סימן ג'</w:t>
      </w:r>
      <w:bookmarkEnd w:id="1683"/>
      <w:bookmarkEnd w:id="1684"/>
      <w:bookmarkEnd w:id="1685"/>
      <w:bookmarkEnd w:id="1686"/>
      <w:bookmarkEnd w:id="1687"/>
      <w:bookmarkEnd w:id="1688"/>
      <w:bookmarkEnd w:id="1689"/>
      <w:bookmarkEnd w:id="1690"/>
      <w:bookmarkEnd w:id="1691"/>
    </w:p>
    <w:p w14:paraId="265EEA10" w14:textId="77777777" w:rsidR="00852065" w:rsidRDefault="00852065" w:rsidP="006D6D32">
      <w:pPr>
        <w:pStyle w:val="afd"/>
        <w:rPr>
          <w:rtl/>
        </w:rPr>
      </w:pPr>
      <w:bookmarkStart w:id="1693" w:name="_Toc522788382"/>
      <w:bookmarkStart w:id="1694" w:name="_Toc522790235"/>
      <w:bookmarkStart w:id="1695" w:name="_Toc522800726"/>
      <w:bookmarkStart w:id="1696" w:name="_Toc522800834"/>
      <w:bookmarkStart w:id="1697" w:name="_Toc522809886"/>
      <w:bookmarkStart w:id="1698" w:name="_Toc534142059"/>
      <w:bookmarkStart w:id="1699" w:name="_Toc16669724"/>
      <w:bookmarkStart w:id="1700" w:name="_Toc19435215"/>
      <w:bookmarkStart w:id="1701" w:name="_Toc20080579"/>
      <w:r w:rsidRPr="00BE5E7D">
        <w:rPr>
          <w:rtl/>
        </w:rPr>
        <w:t xml:space="preserve">בענין חזקת היתר </w:t>
      </w:r>
      <w:r w:rsidRPr="00BE5E7D">
        <w:rPr>
          <w:rFonts w:hint="cs"/>
          <w:rtl/>
        </w:rPr>
        <w:t>בספק טריפה</w:t>
      </w:r>
      <w:bookmarkEnd w:id="1693"/>
      <w:bookmarkEnd w:id="1694"/>
      <w:bookmarkEnd w:id="1695"/>
      <w:bookmarkEnd w:id="1696"/>
      <w:bookmarkEnd w:id="1697"/>
      <w:bookmarkEnd w:id="1698"/>
      <w:bookmarkEnd w:id="1699"/>
      <w:bookmarkEnd w:id="1700"/>
      <w:bookmarkEnd w:id="1701"/>
    </w:p>
    <w:p w14:paraId="22463777" w14:textId="77777777" w:rsidR="00852065" w:rsidRPr="004E2BE8" w:rsidRDefault="000A0C31" w:rsidP="00852065">
      <w:pPr>
        <w:pStyle w:val="2"/>
        <w:rPr>
          <w:rtl/>
        </w:rPr>
      </w:pPr>
      <w:r>
        <w:rPr>
          <w:rFonts w:hint="cs"/>
          <w:rtl/>
        </w:rPr>
        <w:t>מפתח הסוגיא</w:t>
      </w:r>
    </w:p>
    <w:p w14:paraId="7ACA86ED" w14:textId="77777777" w:rsidR="00852065" w:rsidRDefault="00852065" w:rsidP="00852065">
      <w:pPr>
        <w:pStyle w:val="2"/>
        <w:rPr>
          <w:rtl/>
        </w:rPr>
        <w:sectPr w:rsidR="00852065" w:rsidSect="000E3BFC">
          <w:headerReference w:type="default" r:id="rId27"/>
          <w:headerReference w:type="first" r:id="rId28"/>
          <w:pgSz w:w="11906" w:h="16838"/>
          <w:pgMar w:top="720" w:right="720" w:bottom="720" w:left="720" w:header="283" w:footer="283" w:gutter="0"/>
          <w:cols w:space="567"/>
          <w:titlePg/>
          <w:bidi/>
          <w:rtlGutter/>
          <w:docGrid w:linePitch="299"/>
        </w:sectPr>
      </w:pPr>
    </w:p>
    <w:p w14:paraId="46A722DD" w14:textId="77777777" w:rsidR="00852065" w:rsidRDefault="00852065" w:rsidP="0089660E">
      <w:pPr>
        <w:pStyle w:val="2"/>
        <w:rPr>
          <w:noProof/>
          <w:rtl/>
        </w:rPr>
      </w:pPr>
      <w:bookmarkStart w:id="1702" w:name="_Toc19435217"/>
      <w:r>
        <w:rPr>
          <w:noProof/>
          <w:rtl/>
        </w:rPr>
        <w:t>מראי מקומות וביאורים על הסוגיא</w:t>
      </w:r>
      <w:bookmarkEnd w:id="1702"/>
    </w:p>
    <w:p w14:paraId="14F1605D" w14:textId="77777777" w:rsidR="00852065" w:rsidRPr="009330D2" w:rsidRDefault="00852065" w:rsidP="0089660E">
      <w:pPr>
        <w:pStyle w:val="2"/>
        <w:rPr>
          <w:rtl/>
        </w:rPr>
      </w:pPr>
      <w:bookmarkStart w:id="1703" w:name="_Toc19435218"/>
      <w:r>
        <w:rPr>
          <w:noProof/>
          <w:rtl/>
        </w:rPr>
        <w:t>בגדר החזקת היתר</w:t>
      </w:r>
      <w:bookmarkEnd w:id="1703"/>
    </w:p>
    <w:p w14:paraId="0B0A8EBA" w14:textId="77777777" w:rsidR="00852065" w:rsidRDefault="00852065" w:rsidP="00852065">
      <w:pPr>
        <w:pStyle w:val="aff4"/>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bookmarkStart w:id="1704" w:name="_Toc20080580"/>
      <w:bookmarkStart w:id="1705" w:name="_Toc19435219"/>
      <w:r>
        <w:rPr>
          <w:noProof/>
          <w:rtl/>
        </w:rPr>
        <w:t>בביאור דעת רש"י בגדר החזקת היתר</w:t>
      </w:r>
      <w:bookmarkEnd w:id="1704"/>
      <w:bookmarkEnd w:id="1705"/>
    </w:p>
    <w:p w14:paraId="2F123F3A" w14:textId="77777777" w:rsidR="00852065" w:rsidRPr="005077A7" w:rsidRDefault="00852065" w:rsidP="00E12979">
      <w:pPr>
        <w:pStyle w:val="a"/>
        <w:numPr>
          <w:ilvl w:val="0"/>
          <w:numId w:val="20"/>
        </w:numPr>
        <w:rPr>
          <w:rFonts w:eastAsiaTheme="minorEastAsia" w:cstheme="minorBidi"/>
          <w:noProof/>
          <w:sz w:val="22"/>
          <w:szCs w:val="22"/>
          <w:rtl/>
        </w:rPr>
      </w:pPr>
      <w:r>
        <w:rPr>
          <w:noProof/>
          <w:rtl/>
        </w:rPr>
        <w:t>דברי רש"י דכיון שסתם בהמה אינה טריפה מעמידים אותה בחזקת היתר</w:t>
      </w:r>
    </w:p>
    <w:p w14:paraId="6A105CC0" w14:textId="77777777" w:rsidR="00852065" w:rsidRDefault="00852065" w:rsidP="005077A7">
      <w:pPr>
        <w:pStyle w:val="a"/>
        <w:rPr>
          <w:rFonts w:eastAsiaTheme="minorEastAsia" w:cstheme="minorBidi"/>
          <w:noProof/>
          <w:sz w:val="22"/>
          <w:szCs w:val="22"/>
          <w:rtl/>
        </w:rPr>
      </w:pPr>
      <w:r>
        <w:rPr>
          <w:noProof/>
          <w:rtl/>
        </w:rPr>
        <w:t>דברי רש"י בביצה דמעמידים את הבהמה על החזקה שייתה קודם שנולד הספק</w:t>
      </w:r>
    </w:p>
    <w:p w14:paraId="10C312EF" w14:textId="77777777" w:rsidR="00852065" w:rsidRDefault="00852065" w:rsidP="005077A7">
      <w:pPr>
        <w:pStyle w:val="a"/>
        <w:rPr>
          <w:rFonts w:eastAsiaTheme="minorEastAsia" w:cstheme="minorBidi"/>
          <w:noProof/>
          <w:sz w:val="22"/>
          <w:szCs w:val="22"/>
          <w:rtl/>
        </w:rPr>
      </w:pPr>
      <w:r>
        <w:rPr>
          <w:noProof/>
          <w:rtl/>
        </w:rPr>
        <w:t>ביאור השיטמ"ק [ברש"י] דיש לה חזקת היתר מכח הרוב</w:t>
      </w:r>
    </w:p>
    <w:p w14:paraId="26BA24DB" w14:textId="77777777" w:rsidR="00852065" w:rsidRDefault="00852065" w:rsidP="005077A7">
      <w:pPr>
        <w:pStyle w:val="a"/>
        <w:rPr>
          <w:rFonts w:eastAsiaTheme="minorEastAsia" w:cstheme="minorBidi"/>
          <w:noProof/>
          <w:sz w:val="22"/>
          <w:szCs w:val="22"/>
          <w:rtl/>
        </w:rPr>
      </w:pPr>
      <w:r>
        <w:rPr>
          <w:noProof/>
          <w:rtl/>
        </w:rPr>
        <w:t>דברי השאג"א דאין לבהמה כל חזקת היתר וכוונת רש"י דמותרת מדין רוב</w:t>
      </w:r>
    </w:p>
    <w:p w14:paraId="4E24AAB8" w14:textId="77777777" w:rsidR="00852065" w:rsidRDefault="00852065" w:rsidP="005077A7">
      <w:pPr>
        <w:pStyle w:val="a"/>
        <w:rPr>
          <w:rFonts w:eastAsiaTheme="minorEastAsia" w:cstheme="minorBidi"/>
          <w:noProof/>
          <w:sz w:val="22"/>
          <w:szCs w:val="22"/>
          <w:rtl/>
        </w:rPr>
      </w:pPr>
      <w:r>
        <w:rPr>
          <w:noProof/>
          <w:rtl/>
        </w:rPr>
        <w:t>דברי הגר"ז דבמקום ריעותא אין ילפותא דאזלינן בתר רובא וההיתר הוא מדין חזקה</w:t>
      </w:r>
    </w:p>
    <w:p w14:paraId="6FB6216B" w14:textId="77777777" w:rsidR="00852065" w:rsidRDefault="00852065" w:rsidP="00852065">
      <w:pPr>
        <w:pStyle w:val="aff4"/>
        <w:rPr>
          <w:rFonts w:eastAsiaTheme="minorEastAsia" w:cstheme="minorBidi"/>
          <w:i/>
          <w:iCs/>
          <w:noProof/>
          <w:sz w:val="22"/>
          <w:szCs w:val="22"/>
          <w:rtl/>
        </w:rPr>
      </w:pPr>
      <w:bookmarkStart w:id="1706" w:name="_Toc19435220"/>
      <w:bookmarkStart w:id="1707" w:name="_Toc20080581"/>
      <w:r>
        <w:rPr>
          <w:noProof/>
          <w:rtl/>
        </w:rPr>
        <w:t>דעת רבינו יונה דהוא חזקה מכח רוב שאינה טריפה</w:t>
      </w:r>
      <w:bookmarkEnd w:id="1706"/>
      <w:bookmarkEnd w:id="1707"/>
    </w:p>
    <w:p w14:paraId="392CF823" w14:textId="77777777" w:rsidR="00852065" w:rsidRDefault="00852065" w:rsidP="005077A7">
      <w:pPr>
        <w:pStyle w:val="a"/>
        <w:rPr>
          <w:rFonts w:eastAsiaTheme="minorEastAsia" w:cstheme="minorBidi"/>
          <w:noProof/>
          <w:sz w:val="22"/>
          <w:szCs w:val="22"/>
          <w:rtl/>
        </w:rPr>
      </w:pPr>
      <w:r>
        <w:rPr>
          <w:noProof/>
          <w:rtl/>
        </w:rPr>
        <w:t>דעת רבינו יונה דמעמידים אותה בחזקת היתר מכח רוב דרוב בהמות אינם טריפות</w:t>
      </w:r>
    </w:p>
    <w:p w14:paraId="0D3830B5" w14:textId="77777777" w:rsidR="00852065" w:rsidRDefault="00852065" w:rsidP="00852065">
      <w:pPr>
        <w:pStyle w:val="aff4"/>
        <w:rPr>
          <w:rFonts w:eastAsiaTheme="minorEastAsia" w:cstheme="minorBidi"/>
          <w:i/>
          <w:iCs/>
          <w:noProof/>
          <w:sz w:val="22"/>
          <w:szCs w:val="22"/>
          <w:rtl/>
        </w:rPr>
      </w:pPr>
      <w:bookmarkStart w:id="1708" w:name="_Toc19435221"/>
      <w:bookmarkStart w:id="1709" w:name="_Toc20080582"/>
      <w:r>
        <w:rPr>
          <w:noProof/>
          <w:rtl/>
        </w:rPr>
        <w:t>דעת הר"ן והרא"ה דההיתר הוא מדין רוב</w:t>
      </w:r>
      <w:bookmarkEnd w:id="1708"/>
      <w:bookmarkEnd w:id="1709"/>
    </w:p>
    <w:p w14:paraId="3FB14900" w14:textId="77777777" w:rsidR="00852065" w:rsidRDefault="00852065" w:rsidP="005077A7">
      <w:pPr>
        <w:pStyle w:val="a"/>
        <w:rPr>
          <w:rFonts w:eastAsiaTheme="minorEastAsia" w:cstheme="minorBidi"/>
          <w:noProof/>
          <w:sz w:val="22"/>
          <w:szCs w:val="22"/>
          <w:rtl/>
        </w:rPr>
      </w:pPr>
      <w:r>
        <w:rPr>
          <w:noProof/>
          <w:rtl/>
        </w:rPr>
        <w:t>דברי הר"ן דמותרת ע"י רוב בהמות אינם טריפות</w:t>
      </w:r>
    </w:p>
    <w:p w14:paraId="0F4A5627" w14:textId="77777777" w:rsidR="00852065" w:rsidRDefault="00852065" w:rsidP="005077A7">
      <w:pPr>
        <w:pStyle w:val="a"/>
        <w:rPr>
          <w:rFonts w:eastAsiaTheme="minorEastAsia" w:cstheme="minorBidi"/>
          <w:noProof/>
          <w:sz w:val="22"/>
          <w:szCs w:val="22"/>
          <w:rtl/>
        </w:rPr>
      </w:pPr>
      <w:r>
        <w:rPr>
          <w:noProof/>
          <w:rtl/>
        </w:rPr>
        <w:t>דברי הר"ן דהגמ' לקמן דנה מה המקור לרישא דרב הונא מדין חזקה ולסיפא מדין רוב</w:t>
      </w:r>
    </w:p>
    <w:p w14:paraId="31D7BEC8" w14:textId="77777777" w:rsidR="00852065" w:rsidRDefault="00852065" w:rsidP="005077A7">
      <w:pPr>
        <w:pStyle w:val="a"/>
        <w:rPr>
          <w:rFonts w:eastAsiaTheme="minorEastAsia" w:cstheme="minorBidi"/>
          <w:noProof/>
          <w:sz w:val="22"/>
          <w:szCs w:val="22"/>
          <w:rtl/>
        </w:rPr>
      </w:pPr>
      <w:r>
        <w:rPr>
          <w:noProof/>
          <w:rtl/>
        </w:rPr>
        <w:t>דברי הרא"ה דרב הונא התיר מדין רוב דלא עמדה הבהמה בחזקת היתר ולשון חזקה אינו בדוקא</w:t>
      </w:r>
    </w:p>
    <w:p w14:paraId="3CBEC35E" w14:textId="77777777" w:rsidR="00852065" w:rsidRDefault="00852065" w:rsidP="00852065">
      <w:pPr>
        <w:pStyle w:val="2"/>
        <w:rPr>
          <w:rFonts w:eastAsiaTheme="minorEastAsia" w:cstheme="minorBidi"/>
          <w:i/>
          <w:iCs/>
          <w:noProof/>
          <w:rtl/>
        </w:rPr>
      </w:pPr>
      <w:bookmarkStart w:id="1710" w:name="_Toc19435222"/>
      <w:r>
        <w:rPr>
          <w:noProof/>
          <w:rtl/>
        </w:rPr>
        <w:t>בענין חזקה שלא נתבררה בשעתה וחזקה מכח רוב</w:t>
      </w:r>
      <w:bookmarkEnd w:id="1710"/>
    </w:p>
    <w:p w14:paraId="7D59B646" w14:textId="77777777" w:rsidR="00852065" w:rsidRDefault="00852065" w:rsidP="00852065">
      <w:pPr>
        <w:pStyle w:val="aff4"/>
        <w:rPr>
          <w:rFonts w:eastAsiaTheme="minorEastAsia" w:cstheme="minorBidi"/>
          <w:i/>
          <w:iCs/>
          <w:noProof/>
          <w:sz w:val="22"/>
          <w:szCs w:val="22"/>
          <w:rtl/>
        </w:rPr>
      </w:pPr>
      <w:bookmarkStart w:id="1711" w:name="_Toc19435223"/>
      <w:bookmarkStart w:id="1712" w:name="_Toc20080583"/>
      <w:r>
        <w:rPr>
          <w:noProof/>
          <w:rtl/>
        </w:rPr>
        <w:t>דברי התוס' דחזקה שלא נתבררה בשעתה אינה חזקה</w:t>
      </w:r>
      <w:bookmarkEnd w:id="1711"/>
      <w:bookmarkEnd w:id="1712"/>
    </w:p>
    <w:p w14:paraId="75B2A66B" w14:textId="77777777" w:rsidR="00852065" w:rsidRDefault="00852065" w:rsidP="005077A7">
      <w:pPr>
        <w:pStyle w:val="a"/>
        <w:rPr>
          <w:rFonts w:eastAsiaTheme="minorEastAsia" w:cstheme="minorBidi"/>
          <w:noProof/>
          <w:sz w:val="22"/>
          <w:szCs w:val="22"/>
          <w:rtl/>
        </w:rPr>
      </w:pPr>
      <w:r>
        <w:rPr>
          <w:noProof/>
          <w:rtl/>
        </w:rPr>
        <w:t>דברי התוס' דבהמה שנמצאת טריפה אין לה חזקה דלא נתבררה בשעתה וגבינותיה אסורות</w:t>
      </w:r>
    </w:p>
    <w:p w14:paraId="61A754F9" w14:textId="77777777" w:rsidR="00852065" w:rsidRDefault="00852065" w:rsidP="00852065">
      <w:pPr>
        <w:pStyle w:val="aff4"/>
        <w:rPr>
          <w:rFonts w:eastAsiaTheme="minorEastAsia" w:cstheme="minorBidi"/>
          <w:i/>
          <w:iCs/>
          <w:noProof/>
          <w:sz w:val="22"/>
          <w:szCs w:val="22"/>
          <w:rtl/>
        </w:rPr>
      </w:pPr>
      <w:bookmarkStart w:id="1713" w:name="_Toc19435224"/>
      <w:bookmarkStart w:id="1714" w:name="_Toc20080584"/>
      <w:r>
        <w:rPr>
          <w:noProof/>
          <w:rtl/>
        </w:rPr>
        <w:t>דעת רבינו יונה דהגבינות מותרות מדין חזקה מכח רוב</w:t>
      </w:r>
      <w:bookmarkEnd w:id="1713"/>
      <w:bookmarkEnd w:id="1714"/>
    </w:p>
    <w:p w14:paraId="6B73C945" w14:textId="77777777" w:rsidR="00852065" w:rsidRDefault="00852065" w:rsidP="005077A7">
      <w:pPr>
        <w:pStyle w:val="a"/>
        <w:rPr>
          <w:rFonts w:eastAsiaTheme="minorEastAsia" w:cstheme="minorBidi"/>
          <w:noProof/>
          <w:sz w:val="22"/>
          <w:szCs w:val="22"/>
          <w:rtl/>
        </w:rPr>
      </w:pPr>
      <w:r>
        <w:rPr>
          <w:noProof/>
          <w:rtl/>
        </w:rPr>
        <w:t>דברי הרשב"א בשם הר"ש דהגבינות מותרות מדין רוב</w:t>
      </w:r>
    </w:p>
    <w:p w14:paraId="53FD3CB9" w14:textId="77777777" w:rsidR="00852065" w:rsidRDefault="00852065" w:rsidP="005077A7">
      <w:pPr>
        <w:pStyle w:val="a"/>
        <w:rPr>
          <w:rFonts w:eastAsiaTheme="minorEastAsia" w:cstheme="minorBidi"/>
          <w:noProof/>
          <w:sz w:val="22"/>
          <w:szCs w:val="22"/>
          <w:rtl/>
        </w:rPr>
      </w:pPr>
      <w:r>
        <w:rPr>
          <w:noProof/>
          <w:rtl/>
        </w:rPr>
        <w:t>דברי הרשב"א בשם רבינו יונה דיש לבהמה חזקה מכח רוב ולכן הגבינות מותרות</w:t>
      </w:r>
    </w:p>
    <w:p w14:paraId="350F6B56" w14:textId="77777777" w:rsidR="00852065" w:rsidRDefault="00852065" w:rsidP="005077A7">
      <w:pPr>
        <w:pStyle w:val="a"/>
        <w:rPr>
          <w:rFonts w:eastAsiaTheme="minorEastAsia" w:cstheme="minorBidi"/>
          <w:noProof/>
          <w:sz w:val="22"/>
          <w:szCs w:val="22"/>
          <w:rtl/>
        </w:rPr>
      </w:pPr>
      <w:r>
        <w:rPr>
          <w:noProof/>
          <w:rtl/>
        </w:rPr>
        <w:t>דברי הבינת אדם דלדעת תוס' לא אזלינן בתר חזקה מכח הרוב</w:t>
      </w:r>
    </w:p>
    <w:p w14:paraId="2B958BD3" w14:textId="77777777" w:rsidR="00852065" w:rsidRDefault="00852065" w:rsidP="005077A7">
      <w:pPr>
        <w:pStyle w:val="a"/>
        <w:rPr>
          <w:rFonts w:eastAsiaTheme="minorEastAsia" w:cstheme="minorBidi"/>
          <w:noProof/>
          <w:sz w:val="22"/>
          <w:szCs w:val="22"/>
          <w:rtl/>
        </w:rPr>
      </w:pPr>
      <w:r>
        <w:rPr>
          <w:noProof/>
          <w:rtl/>
        </w:rPr>
        <w:t>דברי הבינת אדם דלתוס' כיון שנמצאת טריפה אינה בכלל הרוב</w:t>
      </w:r>
    </w:p>
    <w:p w14:paraId="2321DF5E" w14:textId="77777777" w:rsidR="00852065" w:rsidRDefault="00852065" w:rsidP="005077A7">
      <w:pPr>
        <w:pStyle w:val="a"/>
        <w:rPr>
          <w:rFonts w:eastAsiaTheme="minorEastAsia" w:cstheme="minorBidi"/>
          <w:noProof/>
          <w:sz w:val="22"/>
          <w:szCs w:val="22"/>
          <w:rtl/>
        </w:rPr>
      </w:pPr>
      <w:r>
        <w:rPr>
          <w:noProof/>
          <w:rtl/>
        </w:rPr>
        <w:t>ביאור הפמ"ג דלתוס' יצאה מכלל הרוב ולרשב"א ע"י הרוב חשיב שנתבררה חזקתה</w:t>
      </w:r>
    </w:p>
    <w:p w14:paraId="6582D816" w14:textId="77777777" w:rsidR="00852065" w:rsidRDefault="00852065" w:rsidP="00852065">
      <w:pPr>
        <w:pStyle w:val="aff4"/>
        <w:rPr>
          <w:rFonts w:eastAsiaTheme="minorEastAsia" w:cstheme="minorBidi"/>
          <w:i/>
          <w:iCs/>
          <w:noProof/>
          <w:sz w:val="22"/>
          <w:szCs w:val="22"/>
          <w:rtl/>
        </w:rPr>
      </w:pPr>
      <w:bookmarkStart w:id="1715" w:name="_Toc19435225"/>
      <w:bookmarkStart w:id="1716" w:name="_Toc20080585"/>
      <w:r>
        <w:rPr>
          <w:noProof/>
          <w:rtl/>
        </w:rPr>
        <w:t>דעת הרא"ש בהיתר הגבינות מדין רוב או מדין חזקה</w:t>
      </w:r>
      <w:bookmarkEnd w:id="1715"/>
      <w:bookmarkEnd w:id="1716"/>
    </w:p>
    <w:p w14:paraId="67A8B402" w14:textId="77777777" w:rsidR="00852065" w:rsidRDefault="00852065" w:rsidP="005077A7">
      <w:pPr>
        <w:pStyle w:val="a"/>
        <w:rPr>
          <w:rFonts w:eastAsiaTheme="minorEastAsia" w:cstheme="minorBidi"/>
          <w:noProof/>
          <w:sz w:val="22"/>
          <w:szCs w:val="22"/>
          <w:rtl/>
        </w:rPr>
      </w:pPr>
      <w:r>
        <w:rPr>
          <w:noProof/>
          <w:rtl/>
        </w:rPr>
        <w:t>דברי הרא"ש דהגבינות מותרת כיון שרוב בהמות כשרות ורוב עדיף מחזקה</w:t>
      </w:r>
    </w:p>
    <w:p w14:paraId="4E0E9FC5" w14:textId="77777777" w:rsidR="00852065" w:rsidRDefault="00852065" w:rsidP="005077A7">
      <w:pPr>
        <w:pStyle w:val="a"/>
        <w:rPr>
          <w:rFonts w:eastAsiaTheme="minorEastAsia" w:cstheme="minorBidi"/>
          <w:noProof/>
          <w:sz w:val="22"/>
          <w:szCs w:val="22"/>
          <w:rtl/>
        </w:rPr>
      </w:pPr>
      <w:r>
        <w:rPr>
          <w:noProof/>
          <w:rtl/>
        </w:rPr>
        <w:t>ביאור הרא"ש בתשו' דלדינא דאזלינן בתר רובא הגבינות מותרות מדין רוב דעדיף מחזקה</w:t>
      </w:r>
    </w:p>
    <w:p w14:paraId="221429C0" w14:textId="77777777" w:rsidR="00852065" w:rsidRDefault="00852065" w:rsidP="005077A7">
      <w:pPr>
        <w:pStyle w:val="a"/>
        <w:rPr>
          <w:rFonts w:eastAsiaTheme="minorEastAsia" w:cstheme="minorBidi"/>
          <w:noProof/>
          <w:sz w:val="22"/>
          <w:szCs w:val="22"/>
          <w:rtl/>
        </w:rPr>
      </w:pPr>
      <w:r>
        <w:rPr>
          <w:noProof/>
          <w:rtl/>
        </w:rPr>
        <w:t>ביאור המעדני יו"ט ברא"ש דרוב מתיר אף שלא נתברר בשעתו ועדיף מחזקה</w:t>
      </w:r>
    </w:p>
    <w:p w14:paraId="7A9274C7" w14:textId="77777777" w:rsidR="00852065" w:rsidRDefault="00852065" w:rsidP="005077A7">
      <w:pPr>
        <w:pStyle w:val="a"/>
        <w:rPr>
          <w:rFonts w:eastAsiaTheme="minorEastAsia" w:cstheme="minorBidi"/>
          <w:noProof/>
          <w:sz w:val="22"/>
          <w:szCs w:val="22"/>
          <w:rtl/>
        </w:rPr>
      </w:pPr>
      <w:r>
        <w:rPr>
          <w:noProof/>
          <w:rtl/>
        </w:rPr>
        <w:t>ביאור הגר"א ברא"ש דהתיר ע"י חזקה מכח רוב וכדעת רבינו יונה</w:t>
      </w:r>
    </w:p>
    <w:p w14:paraId="5F96E1D0" w14:textId="77777777" w:rsidR="00852065" w:rsidRDefault="00852065" w:rsidP="00852065">
      <w:pPr>
        <w:pStyle w:val="aff4"/>
        <w:rPr>
          <w:rFonts w:eastAsiaTheme="minorEastAsia" w:cstheme="minorBidi"/>
          <w:i/>
          <w:iCs/>
          <w:noProof/>
          <w:sz w:val="22"/>
          <w:szCs w:val="22"/>
          <w:rtl/>
        </w:rPr>
      </w:pPr>
      <w:bookmarkStart w:id="1717" w:name="_Toc19435226"/>
      <w:bookmarkStart w:id="1718" w:name="_Toc20080586"/>
      <w:r>
        <w:rPr>
          <w:noProof/>
          <w:rtl/>
        </w:rPr>
        <w:t>דברי השערי דורא בביאור חזקה מכח רוב</w:t>
      </w:r>
      <w:bookmarkEnd w:id="1717"/>
      <w:bookmarkEnd w:id="1718"/>
    </w:p>
    <w:p w14:paraId="3A61DB94" w14:textId="77777777" w:rsidR="00852065" w:rsidRDefault="00852065" w:rsidP="005077A7">
      <w:pPr>
        <w:pStyle w:val="a"/>
        <w:rPr>
          <w:rFonts w:eastAsiaTheme="minorEastAsia" w:cstheme="minorBidi"/>
          <w:noProof/>
          <w:sz w:val="22"/>
          <w:szCs w:val="22"/>
          <w:rtl/>
        </w:rPr>
      </w:pPr>
      <w:r>
        <w:rPr>
          <w:noProof/>
          <w:rtl/>
        </w:rPr>
        <w:t>דברי השערי דורא בשם הרשב"ם דהבהמה היא בחזקת הגוף שאינה טריפה</w:t>
      </w:r>
    </w:p>
    <w:p w14:paraId="57318FA3" w14:textId="77777777" w:rsidR="00852065" w:rsidRDefault="00852065" w:rsidP="005077A7">
      <w:pPr>
        <w:pStyle w:val="a"/>
        <w:rPr>
          <w:rFonts w:eastAsiaTheme="minorEastAsia" w:cstheme="minorBidi"/>
          <w:noProof/>
          <w:sz w:val="22"/>
          <w:szCs w:val="22"/>
          <w:rtl/>
        </w:rPr>
      </w:pPr>
      <w:r>
        <w:rPr>
          <w:noProof/>
          <w:rtl/>
        </w:rPr>
        <w:t>דברי השערי דורא דע"י הרוב חשיב שהחזקה נתבררה בשעתה</w:t>
      </w:r>
    </w:p>
    <w:p w14:paraId="23603603" w14:textId="77777777" w:rsidR="00852065" w:rsidRDefault="00852065" w:rsidP="005077A7">
      <w:pPr>
        <w:pStyle w:val="a"/>
        <w:rPr>
          <w:rFonts w:eastAsiaTheme="minorEastAsia" w:cstheme="minorBidi"/>
          <w:noProof/>
          <w:sz w:val="22"/>
          <w:szCs w:val="22"/>
          <w:rtl/>
        </w:rPr>
      </w:pPr>
      <w:r>
        <w:rPr>
          <w:noProof/>
          <w:rtl/>
        </w:rPr>
        <w:t>דברי הג' שערי דורא בשם רבינו פרץ דרוב דמי לחזקה המבוררת</w:t>
      </w:r>
    </w:p>
    <w:p w14:paraId="3D04C3BE" w14:textId="77777777" w:rsidR="00852065" w:rsidRDefault="00852065" w:rsidP="005077A7">
      <w:pPr>
        <w:pStyle w:val="a"/>
        <w:rPr>
          <w:rFonts w:eastAsiaTheme="minorEastAsia" w:cstheme="minorBidi"/>
          <w:noProof/>
          <w:sz w:val="22"/>
          <w:szCs w:val="22"/>
          <w:rtl/>
        </w:rPr>
      </w:pPr>
      <w:r>
        <w:rPr>
          <w:noProof/>
          <w:rtl/>
        </w:rPr>
        <w:t>דברי הר"א משנץ דכיון דבחזקה דמעיקרא אמרינן שעכשיו נעשית הריעותא כ"ש ברוב</w:t>
      </w:r>
    </w:p>
    <w:p w14:paraId="7AD621C4" w14:textId="77777777" w:rsidR="00852065" w:rsidRDefault="00852065" w:rsidP="00852065">
      <w:pPr>
        <w:pStyle w:val="2"/>
        <w:keepNext w:val="0"/>
        <w:keepLines w:val="0"/>
        <w:rPr>
          <w:rFonts w:eastAsiaTheme="minorEastAsia" w:cstheme="minorBidi"/>
          <w:i/>
          <w:iCs/>
          <w:rtl/>
        </w:rPr>
      </w:pPr>
      <w:bookmarkStart w:id="1719" w:name="_Toc19435227"/>
      <w:r>
        <w:rPr>
          <w:rtl/>
        </w:rPr>
        <w:t xml:space="preserve">בדברי </w:t>
      </w:r>
      <w:r w:rsidRPr="00C852C5">
        <w:rPr>
          <w:rtl/>
        </w:rPr>
        <w:t>התוס'</w:t>
      </w:r>
      <w:r>
        <w:rPr>
          <w:rtl/>
        </w:rPr>
        <w:t xml:space="preserve"> בספק דרוסה</w:t>
      </w:r>
      <w:bookmarkEnd w:id="1719"/>
    </w:p>
    <w:p w14:paraId="03DA62EE" w14:textId="77777777" w:rsidR="00852065" w:rsidRDefault="00852065" w:rsidP="00852065">
      <w:pPr>
        <w:pStyle w:val="aff4"/>
        <w:rPr>
          <w:rFonts w:eastAsiaTheme="minorEastAsia" w:cstheme="minorBidi"/>
          <w:i/>
          <w:iCs/>
          <w:noProof/>
          <w:sz w:val="22"/>
          <w:szCs w:val="22"/>
          <w:rtl/>
        </w:rPr>
      </w:pPr>
      <w:bookmarkStart w:id="1720" w:name="_Toc19435228"/>
      <w:bookmarkStart w:id="1721" w:name="_Toc20080587"/>
      <w:r>
        <w:rPr>
          <w:noProof/>
          <w:rtl/>
        </w:rPr>
        <w:t>קושית התוס' מספק דרוסה ומספק צרת ערוה</w:t>
      </w:r>
      <w:bookmarkEnd w:id="1720"/>
      <w:bookmarkEnd w:id="1721"/>
    </w:p>
    <w:p w14:paraId="6C11E859" w14:textId="77777777" w:rsidR="00852065" w:rsidRDefault="00852065" w:rsidP="005077A7">
      <w:pPr>
        <w:pStyle w:val="a"/>
        <w:rPr>
          <w:rFonts w:eastAsiaTheme="minorEastAsia" w:cstheme="minorBidi"/>
          <w:noProof/>
          <w:sz w:val="22"/>
          <w:szCs w:val="22"/>
          <w:rtl/>
        </w:rPr>
      </w:pPr>
      <w:r>
        <w:rPr>
          <w:noProof/>
          <w:rtl/>
        </w:rPr>
        <w:t>קושית התוס' אמאי בספק דרוסה ובקוץ בושט אין חזקת היתר כמו בזאב</w:t>
      </w:r>
    </w:p>
    <w:p w14:paraId="060B9EC3" w14:textId="77777777" w:rsidR="00852065" w:rsidRDefault="00852065" w:rsidP="005077A7">
      <w:pPr>
        <w:pStyle w:val="a"/>
        <w:rPr>
          <w:rFonts w:eastAsiaTheme="minorEastAsia" w:cstheme="minorBidi"/>
          <w:noProof/>
          <w:sz w:val="22"/>
          <w:szCs w:val="22"/>
          <w:rtl/>
        </w:rPr>
      </w:pPr>
      <w:r>
        <w:rPr>
          <w:noProof/>
          <w:rtl/>
        </w:rPr>
        <w:t>קושית התוס' דמ"ש ספק דרוסה מספק צרת ערוה דהיא בחזקת ההיתר שהיה קודם הספק</w:t>
      </w:r>
    </w:p>
    <w:p w14:paraId="06D65F35" w14:textId="77777777" w:rsidR="00852065" w:rsidRDefault="00852065" w:rsidP="00852065">
      <w:pPr>
        <w:pStyle w:val="aff4"/>
        <w:rPr>
          <w:rFonts w:eastAsiaTheme="minorEastAsia" w:cstheme="minorBidi"/>
          <w:i/>
          <w:iCs/>
          <w:noProof/>
          <w:sz w:val="22"/>
          <w:szCs w:val="22"/>
          <w:rtl/>
        </w:rPr>
      </w:pPr>
      <w:bookmarkStart w:id="1722" w:name="_Toc19435229"/>
      <w:bookmarkStart w:id="1723" w:name="_Toc20080588"/>
      <w:r>
        <w:rPr>
          <w:noProof/>
          <w:rtl/>
        </w:rPr>
        <w:t>ביאור התוס' דספק דרוסה שכיח איסורא</w:t>
      </w:r>
      <w:bookmarkEnd w:id="1722"/>
      <w:bookmarkEnd w:id="1723"/>
    </w:p>
    <w:p w14:paraId="690F28DA" w14:textId="77777777" w:rsidR="00852065" w:rsidRDefault="00852065" w:rsidP="005077A7">
      <w:pPr>
        <w:pStyle w:val="a"/>
        <w:rPr>
          <w:rFonts w:eastAsiaTheme="minorEastAsia" w:cstheme="minorBidi"/>
          <w:noProof/>
          <w:sz w:val="22"/>
          <w:szCs w:val="22"/>
          <w:rtl/>
        </w:rPr>
      </w:pPr>
      <w:r>
        <w:rPr>
          <w:noProof/>
          <w:rtl/>
        </w:rPr>
        <w:t>תירוץ התוס' דבדרוסה ובקוץ בושט שכיח איסורא  יותר מההיתר</w:t>
      </w:r>
    </w:p>
    <w:p w14:paraId="059F20AB" w14:textId="77777777" w:rsidR="00852065" w:rsidRDefault="00852065" w:rsidP="00852065">
      <w:pPr>
        <w:pStyle w:val="aff4"/>
        <w:rPr>
          <w:rFonts w:eastAsiaTheme="minorEastAsia" w:cstheme="minorBidi"/>
          <w:i/>
          <w:iCs/>
          <w:noProof/>
          <w:sz w:val="22"/>
          <w:szCs w:val="22"/>
          <w:rtl/>
        </w:rPr>
      </w:pPr>
      <w:bookmarkStart w:id="1724" w:name="_Toc19435230"/>
      <w:bookmarkStart w:id="1725" w:name="_Toc20080589"/>
      <w:r>
        <w:rPr>
          <w:noProof/>
          <w:rtl/>
        </w:rPr>
        <w:t>פלוגתת האחרונים אי התוס' פליגי על רבינו יונה בספק השקול</w:t>
      </w:r>
      <w:bookmarkEnd w:id="1724"/>
      <w:bookmarkEnd w:id="1725"/>
    </w:p>
    <w:p w14:paraId="44B5020F" w14:textId="77777777" w:rsidR="00852065" w:rsidRDefault="00852065" w:rsidP="005077A7">
      <w:pPr>
        <w:pStyle w:val="a"/>
        <w:rPr>
          <w:rFonts w:eastAsiaTheme="minorEastAsia" w:cstheme="minorBidi"/>
          <w:noProof/>
          <w:sz w:val="22"/>
          <w:szCs w:val="22"/>
          <w:rtl/>
        </w:rPr>
      </w:pPr>
      <w:r>
        <w:rPr>
          <w:noProof/>
          <w:rtl/>
        </w:rPr>
        <w:t>דברי רבינו יונה דבספק השקול בטריפה כשאין במה לתלות אסורה</w:t>
      </w:r>
    </w:p>
    <w:p w14:paraId="6F1CCD4B" w14:textId="77777777" w:rsidR="00852065" w:rsidRDefault="00852065" w:rsidP="005077A7">
      <w:pPr>
        <w:pStyle w:val="a"/>
        <w:rPr>
          <w:rFonts w:eastAsiaTheme="minorEastAsia" w:cstheme="minorBidi"/>
          <w:noProof/>
          <w:sz w:val="22"/>
          <w:szCs w:val="22"/>
          <w:rtl/>
        </w:rPr>
      </w:pPr>
      <w:r>
        <w:rPr>
          <w:noProof/>
          <w:rtl/>
        </w:rPr>
        <w:t>דברי הש"ש דלהתוס' בספק השקול אין מחזיקין מאיסור לאיסור אף כשנולד הספק מחיים</w:t>
      </w:r>
    </w:p>
    <w:p w14:paraId="3EFC99E7" w14:textId="77777777" w:rsidR="00852065" w:rsidRDefault="00852065" w:rsidP="005077A7">
      <w:pPr>
        <w:pStyle w:val="a"/>
        <w:rPr>
          <w:rFonts w:eastAsiaTheme="minorEastAsia" w:cstheme="minorBidi"/>
          <w:noProof/>
          <w:sz w:val="22"/>
          <w:szCs w:val="22"/>
          <w:rtl/>
        </w:rPr>
      </w:pPr>
      <w:r>
        <w:rPr>
          <w:noProof/>
          <w:rtl/>
        </w:rPr>
        <w:t>דברי ה</w:t>
      </w:r>
      <w:r w:rsidR="00345400">
        <w:rPr>
          <w:noProof/>
          <w:rtl/>
        </w:rPr>
        <w:t>פלתי</w:t>
      </w:r>
      <w:r>
        <w:rPr>
          <w:noProof/>
          <w:rtl/>
        </w:rPr>
        <w:t xml:space="preserve"> והחז"א דרבינו יונה אסר רק כשאין סברא שאירע כן אחר השחיטה ולא בכל ספק</w:t>
      </w:r>
    </w:p>
    <w:p w14:paraId="7BA8FCDE" w14:textId="77777777" w:rsidR="00852065" w:rsidRDefault="00852065" w:rsidP="005077A7">
      <w:pPr>
        <w:pStyle w:val="a"/>
        <w:rPr>
          <w:rFonts w:eastAsiaTheme="minorEastAsia" w:cstheme="minorBidi"/>
          <w:noProof/>
          <w:sz w:val="22"/>
          <w:szCs w:val="22"/>
          <w:rtl/>
        </w:rPr>
      </w:pPr>
      <w:r>
        <w:rPr>
          <w:noProof/>
          <w:rtl/>
        </w:rPr>
        <w:t>דברי הבינת אדם דהתוס' מודו לרבינו יונה בריעותא מגופא</w:t>
      </w:r>
    </w:p>
    <w:p w14:paraId="1CF9DB91" w14:textId="77777777" w:rsidR="00852065" w:rsidRDefault="00852065" w:rsidP="00852065">
      <w:pPr>
        <w:pStyle w:val="aff4"/>
        <w:rPr>
          <w:rFonts w:eastAsiaTheme="minorEastAsia" w:cstheme="minorBidi"/>
          <w:i/>
          <w:iCs/>
          <w:noProof/>
          <w:sz w:val="22"/>
          <w:szCs w:val="22"/>
          <w:rtl/>
        </w:rPr>
      </w:pPr>
      <w:bookmarkStart w:id="1726" w:name="_Toc19435231"/>
      <w:bookmarkStart w:id="1727" w:name="_Toc20080590"/>
      <w:r>
        <w:rPr>
          <w:noProof/>
          <w:rtl/>
        </w:rPr>
        <w:t>ביאור הגרעק"א בדברי התוס' בספק דרוסה</w:t>
      </w:r>
      <w:bookmarkEnd w:id="1726"/>
      <w:bookmarkEnd w:id="1727"/>
    </w:p>
    <w:p w14:paraId="38691A86" w14:textId="77777777" w:rsidR="00852065" w:rsidRDefault="00852065" w:rsidP="005077A7">
      <w:pPr>
        <w:pStyle w:val="a"/>
        <w:rPr>
          <w:rFonts w:eastAsiaTheme="minorEastAsia" w:cstheme="minorBidi"/>
          <w:noProof/>
          <w:sz w:val="22"/>
          <w:szCs w:val="22"/>
          <w:rtl/>
        </w:rPr>
      </w:pPr>
      <w:r>
        <w:rPr>
          <w:noProof/>
          <w:rtl/>
        </w:rPr>
        <w:t>קושית התפארת למשה  והתבו"ש דבספק דרוסה אין חזקת היתר דלא נתבררה בשעתה</w:t>
      </w:r>
    </w:p>
    <w:p w14:paraId="332B6025" w14:textId="77777777" w:rsidR="00852065" w:rsidRDefault="00852065" w:rsidP="005077A7">
      <w:pPr>
        <w:pStyle w:val="a"/>
        <w:rPr>
          <w:rFonts w:eastAsiaTheme="minorEastAsia" w:cstheme="minorBidi"/>
          <w:noProof/>
          <w:sz w:val="22"/>
          <w:szCs w:val="22"/>
          <w:rtl/>
        </w:rPr>
      </w:pPr>
      <w:r>
        <w:rPr>
          <w:noProof/>
          <w:rtl/>
        </w:rPr>
        <w:t>תירוץ התפארת למשה  והתבו"ש דבספק דרוסה לא נולדה כן ויש חזקה מבוררת</w:t>
      </w:r>
    </w:p>
    <w:p w14:paraId="221440A3" w14:textId="77777777" w:rsidR="00852065" w:rsidRDefault="00852065" w:rsidP="005077A7">
      <w:pPr>
        <w:pStyle w:val="a"/>
        <w:rPr>
          <w:rFonts w:eastAsiaTheme="minorEastAsia" w:cstheme="minorBidi"/>
          <w:noProof/>
          <w:sz w:val="22"/>
          <w:szCs w:val="22"/>
          <w:rtl/>
        </w:rPr>
      </w:pPr>
      <w:r>
        <w:rPr>
          <w:noProof/>
          <w:rtl/>
        </w:rPr>
        <w:t>הוכחת הגרעק"א מהרשב"א דאף בדבר שלא נולדה עמו הוי חזקה שלא נתבררה בשעתה</w:t>
      </w:r>
    </w:p>
    <w:p w14:paraId="7E0074D8" w14:textId="77777777" w:rsidR="00852065" w:rsidRDefault="00852065" w:rsidP="005077A7">
      <w:pPr>
        <w:pStyle w:val="a"/>
        <w:rPr>
          <w:rFonts w:eastAsiaTheme="minorEastAsia" w:cstheme="minorBidi"/>
          <w:noProof/>
          <w:sz w:val="22"/>
          <w:szCs w:val="22"/>
          <w:rtl/>
        </w:rPr>
      </w:pPr>
      <w:r>
        <w:rPr>
          <w:noProof/>
          <w:rtl/>
        </w:rPr>
        <w:t>דברי הגרעק"א דבודאי טריפה א"א להעמידה בחזקת הגוף כשלא נתבררה</w:t>
      </w:r>
    </w:p>
    <w:p w14:paraId="728F752E" w14:textId="77777777" w:rsidR="00852065" w:rsidRDefault="00852065" w:rsidP="005077A7">
      <w:pPr>
        <w:pStyle w:val="a"/>
        <w:rPr>
          <w:rFonts w:eastAsiaTheme="minorEastAsia" w:cstheme="minorBidi"/>
          <w:noProof/>
          <w:sz w:val="22"/>
          <w:szCs w:val="22"/>
          <w:rtl/>
        </w:rPr>
      </w:pPr>
      <w:r>
        <w:rPr>
          <w:noProof/>
          <w:rtl/>
        </w:rPr>
        <w:t>ביאור הגרעק"א דבספק טריפה מעמידים בחזקת היתר אכילה מכח הרוב</w:t>
      </w:r>
    </w:p>
    <w:p w14:paraId="048F6984" w14:textId="77777777" w:rsidR="00852065" w:rsidRDefault="00852065" w:rsidP="005077A7">
      <w:pPr>
        <w:pStyle w:val="a"/>
        <w:rPr>
          <w:rFonts w:eastAsiaTheme="minorEastAsia" w:cstheme="minorBidi"/>
          <w:noProof/>
          <w:sz w:val="22"/>
          <w:szCs w:val="22"/>
          <w:rtl/>
        </w:rPr>
      </w:pPr>
      <w:r>
        <w:rPr>
          <w:noProof/>
          <w:rtl/>
        </w:rPr>
        <w:t>קושית הגרעק"א דבספק דרוסה אין ודא</w:t>
      </w:r>
      <w:r>
        <w:rPr>
          <w:rFonts w:hint="cs"/>
          <w:noProof/>
          <w:rtl/>
        </w:rPr>
        <w:t>י</w:t>
      </w:r>
      <w:r>
        <w:rPr>
          <w:noProof/>
          <w:rtl/>
        </w:rPr>
        <w:t xml:space="preserve"> שהשחיטה התירה ואילו בצר"ע ודאי המיתה התירה</w:t>
      </w:r>
    </w:p>
    <w:p w14:paraId="0CCF8D8D" w14:textId="77777777" w:rsidR="00852065" w:rsidRDefault="00852065" w:rsidP="00852065">
      <w:pPr>
        <w:pStyle w:val="aff4"/>
        <w:rPr>
          <w:rFonts w:eastAsiaTheme="minorEastAsia" w:cstheme="minorBidi"/>
          <w:i/>
          <w:iCs/>
          <w:noProof/>
          <w:sz w:val="22"/>
          <w:szCs w:val="22"/>
          <w:rtl/>
        </w:rPr>
      </w:pPr>
      <w:bookmarkStart w:id="1728" w:name="_Toc19435232"/>
      <w:bookmarkStart w:id="1729" w:name="_Toc20080591"/>
      <w:r>
        <w:rPr>
          <w:noProof/>
          <w:rtl/>
        </w:rPr>
        <w:t>דברי ה</w:t>
      </w:r>
      <w:r w:rsidR="00345400">
        <w:rPr>
          <w:noProof/>
          <w:rtl/>
        </w:rPr>
        <w:t>פלתי</w:t>
      </w:r>
      <w:r>
        <w:rPr>
          <w:noProof/>
          <w:rtl/>
        </w:rPr>
        <w:t xml:space="preserve"> בחילוק התוס' בין ספק דרוסה לגבינות</w:t>
      </w:r>
      <w:bookmarkEnd w:id="1728"/>
      <w:bookmarkEnd w:id="1729"/>
    </w:p>
    <w:p w14:paraId="11760E3A" w14:textId="77777777" w:rsidR="00852065" w:rsidRDefault="00852065" w:rsidP="005077A7">
      <w:pPr>
        <w:pStyle w:val="a"/>
        <w:rPr>
          <w:rFonts w:eastAsiaTheme="minorEastAsia" w:cstheme="minorBidi"/>
          <w:noProof/>
          <w:sz w:val="22"/>
          <w:szCs w:val="22"/>
          <w:rtl/>
        </w:rPr>
      </w:pPr>
      <w:r>
        <w:rPr>
          <w:noProof/>
          <w:rtl/>
        </w:rPr>
        <w:t>קושית ה</w:t>
      </w:r>
      <w:r w:rsidR="00345400">
        <w:rPr>
          <w:noProof/>
          <w:rtl/>
        </w:rPr>
        <w:t>פלתי</w:t>
      </w:r>
      <w:r>
        <w:rPr>
          <w:noProof/>
          <w:rtl/>
        </w:rPr>
        <w:t xml:space="preserve"> דלתוס' במקום ריעותא לא מהני חזקה אף אי סמכינן על חזקה שלא נתבררה</w:t>
      </w:r>
    </w:p>
    <w:p w14:paraId="790C7CCA" w14:textId="77777777" w:rsidR="00852065" w:rsidRDefault="00852065" w:rsidP="005077A7">
      <w:pPr>
        <w:pStyle w:val="a"/>
        <w:rPr>
          <w:rFonts w:eastAsiaTheme="minorEastAsia" w:cstheme="minorBidi"/>
          <w:noProof/>
          <w:sz w:val="22"/>
          <w:szCs w:val="22"/>
          <w:rtl/>
        </w:rPr>
      </w:pPr>
      <w:r w:rsidRPr="00F1257F">
        <w:rPr>
          <w:noProof/>
          <w:rtl/>
        </w:rPr>
        <w:t>ביאור ה</w:t>
      </w:r>
      <w:r w:rsidR="00345400">
        <w:rPr>
          <w:noProof/>
          <w:rtl/>
        </w:rPr>
        <w:t>פלתי</w:t>
      </w:r>
      <w:r w:rsidRPr="00F1257F">
        <w:rPr>
          <w:noProof/>
          <w:rtl/>
        </w:rPr>
        <w:t xml:space="preserve"> דבספק דרוסה לא מהני החזקה כיון שהריעותא מחיים מתנגדת לחזקה</w:t>
      </w:r>
    </w:p>
    <w:p w14:paraId="6F1C5AA6" w14:textId="77777777" w:rsidR="00852065" w:rsidRDefault="00852065" w:rsidP="005077A7">
      <w:pPr>
        <w:pStyle w:val="a"/>
        <w:rPr>
          <w:rFonts w:eastAsiaTheme="minorEastAsia" w:cstheme="minorBidi"/>
          <w:noProof/>
          <w:sz w:val="22"/>
          <w:szCs w:val="22"/>
          <w:rtl/>
        </w:rPr>
      </w:pPr>
      <w:r>
        <w:rPr>
          <w:noProof/>
          <w:rtl/>
        </w:rPr>
        <w:t>ביאור ה</w:t>
      </w:r>
      <w:r w:rsidR="00345400">
        <w:rPr>
          <w:noProof/>
          <w:rtl/>
        </w:rPr>
        <w:t>פלתי</w:t>
      </w:r>
      <w:r>
        <w:rPr>
          <w:noProof/>
          <w:rtl/>
        </w:rPr>
        <w:t xml:space="preserve"> דבגבינות הריעותא לא מתנגדת לחזקת הגוף ו</w:t>
      </w:r>
      <w:r>
        <w:rPr>
          <w:rFonts w:hint="cs"/>
          <w:noProof/>
          <w:rtl/>
        </w:rPr>
        <w:t xml:space="preserve">אסורה </w:t>
      </w:r>
      <w:r>
        <w:rPr>
          <w:noProof/>
          <w:rtl/>
        </w:rPr>
        <w:t>רק מחמת דלא נתבררה</w:t>
      </w:r>
    </w:p>
    <w:p w14:paraId="2DCE8984" w14:textId="77777777" w:rsidR="00852065" w:rsidRDefault="00852065" w:rsidP="005077A7">
      <w:pPr>
        <w:pStyle w:val="a"/>
        <w:rPr>
          <w:rFonts w:eastAsiaTheme="minorEastAsia" w:cstheme="minorBidi"/>
          <w:noProof/>
          <w:sz w:val="22"/>
          <w:szCs w:val="22"/>
          <w:rtl/>
        </w:rPr>
      </w:pPr>
      <w:r>
        <w:rPr>
          <w:noProof/>
          <w:rtl/>
        </w:rPr>
        <w:t>ביאור ה</w:t>
      </w:r>
      <w:r w:rsidR="00345400">
        <w:rPr>
          <w:noProof/>
          <w:rtl/>
        </w:rPr>
        <w:t>פלתי</w:t>
      </w:r>
      <w:r>
        <w:rPr>
          <w:noProof/>
          <w:rtl/>
        </w:rPr>
        <w:t xml:space="preserve"> דבספק דרוסה ע"י חזקת הגוף חשיב דהחזקה נתבררה ובגבינות הוא חזקת דין</w:t>
      </w:r>
    </w:p>
    <w:p w14:paraId="677E667E" w14:textId="77777777" w:rsidR="00852065" w:rsidRDefault="00852065" w:rsidP="005077A7">
      <w:pPr>
        <w:pStyle w:val="a"/>
        <w:rPr>
          <w:rFonts w:eastAsiaTheme="minorEastAsia" w:cstheme="minorBidi"/>
          <w:noProof/>
          <w:sz w:val="22"/>
          <w:szCs w:val="22"/>
          <w:rtl/>
        </w:rPr>
      </w:pPr>
      <w:r>
        <w:rPr>
          <w:noProof/>
          <w:rtl/>
        </w:rPr>
        <w:t>דחיית ה</w:t>
      </w:r>
      <w:r w:rsidR="00345400">
        <w:rPr>
          <w:noProof/>
          <w:rtl/>
        </w:rPr>
        <w:t>פלתי</w:t>
      </w:r>
      <w:r>
        <w:rPr>
          <w:noProof/>
          <w:rtl/>
        </w:rPr>
        <w:t xml:space="preserve"> דאף בספק בשחיטה יש חזקת הגוף ואפ"ה אסורה</w:t>
      </w:r>
    </w:p>
    <w:p w14:paraId="772ECBEF" w14:textId="77777777" w:rsidR="00852065" w:rsidRDefault="00852065" w:rsidP="00852065">
      <w:pPr>
        <w:pStyle w:val="aff4"/>
        <w:rPr>
          <w:rFonts w:eastAsiaTheme="minorEastAsia" w:cstheme="minorBidi"/>
          <w:i/>
          <w:iCs/>
          <w:noProof/>
          <w:sz w:val="22"/>
          <w:szCs w:val="22"/>
          <w:rtl/>
        </w:rPr>
      </w:pPr>
      <w:bookmarkStart w:id="1730" w:name="_Toc19435233"/>
      <w:bookmarkStart w:id="1731" w:name="_Toc20080592"/>
      <w:r>
        <w:rPr>
          <w:noProof/>
          <w:rtl/>
        </w:rPr>
        <w:t>ביאור ה</w:t>
      </w:r>
      <w:r w:rsidR="00345400">
        <w:rPr>
          <w:noProof/>
          <w:rtl/>
        </w:rPr>
        <w:t>פלתי</w:t>
      </w:r>
      <w:r>
        <w:rPr>
          <w:noProof/>
          <w:rtl/>
        </w:rPr>
        <w:t xml:space="preserve"> בתוס' דההיתר הוא מדין רוב ובריעותא אין רוב</w:t>
      </w:r>
      <w:bookmarkEnd w:id="1730"/>
      <w:bookmarkEnd w:id="1731"/>
    </w:p>
    <w:p w14:paraId="595279B2" w14:textId="77777777" w:rsidR="00852065" w:rsidRDefault="00852065" w:rsidP="005077A7">
      <w:pPr>
        <w:pStyle w:val="a"/>
        <w:rPr>
          <w:rFonts w:eastAsiaTheme="minorEastAsia" w:cstheme="minorBidi"/>
          <w:noProof/>
          <w:sz w:val="22"/>
          <w:szCs w:val="22"/>
          <w:rtl/>
        </w:rPr>
      </w:pPr>
      <w:r>
        <w:rPr>
          <w:noProof/>
          <w:rtl/>
        </w:rPr>
        <w:t>דברי ה</w:t>
      </w:r>
      <w:r w:rsidR="00345400">
        <w:rPr>
          <w:noProof/>
          <w:rtl/>
        </w:rPr>
        <w:t>פלתי</w:t>
      </w:r>
      <w:r>
        <w:rPr>
          <w:noProof/>
          <w:rtl/>
        </w:rPr>
        <w:t xml:space="preserve"> והיש"ש דע"י הריעותא יצאה מהרוב ואין לה חזקה מכח הרוב</w:t>
      </w:r>
    </w:p>
    <w:p w14:paraId="4C1394D4" w14:textId="77777777" w:rsidR="00852065" w:rsidRDefault="00852065" w:rsidP="005077A7">
      <w:pPr>
        <w:pStyle w:val="a"/>
        <w:rPr>
          <w:rFonts w:eastAsiaTheme="minorEastAsia" w:cstheme="minorBidi"/>
          <w:noProof/>
          <w:sz w:val="22"/>
          <w:szCs w:val="22"/>
          <w:rtl/>
        </w:rPr>
      </w:pPr>
      <w:r>
        <w:rPr>
          <w:noProof/>
          <w:rtl/>
        </w:rPr>
        <w:t>דברי ה</w:t>
      </w:r>
      <w:r w:rsidR="00345400">
        <w:rPr>
          <w:noProof/>
          <w:rtl/>
        </w:rPr>
        <w:t>פלתי</w:t>
      </w:r>
      <w:r>
        <w:rPr>
          <w:noProof/>
          <w:rtl/>
        </w:rPr>
        <w:t xml:space="preserve"> דבזאב תלינן דאין ריעותא והיא בכלל הרוב וההיתר הוא מדין רוב</w:t>
      </w:r>
    </w:p>
    <w:p w14:paraId="264169D3" w14:textId="77777777" w:rsidR="00852065" w:rsidRDefault="00852065" w:rsidP="005077A7">
      <w:pPr>
        <w:pStyle w:val="a"/>
        <w:rPr>
          <w:rFonts w:eastAsiaTheme="minorEastAsia" w:cstheme="minorBidi"/>
          <w:noProof/>
          <w:sz w:val="22"/>
          <w:szCs w:val="22"/>
          <w:rtl/>
        </w:rPr>
      </w:pPr>
      <w:r>
        <w:rPr>
          <w:noProof/>
          <w:rtl/>
        </w:rPr>
        <w:t>דברי ה</w:t>
      </w:r>
      <w:r w:rsidR="00345400">
        <w:rPr>
          <w:noProof/>
          <w:rtl/>
        </w:rPr>
        <w:t>פלתי</w:t>
      </w:r>
      <w:r>
        <w:rPr>
          <w:noProof/>
          <w:rtl/>
        </w:rPr>
        <w:t xml:space="preserve"> דבדרוסה תלינן שאין רעיותא והיא בכלל הרוב ואסורה רק דשכיח איסורא</w:t>
      </w:r>
    </w:p>
    <w:p w14:paraId="36859134" w14:textId="77777777" w:rsidR="00852065" w:rsidRDefault="00852065" w:rsidP="005077A7">
      <w:pPr>
        <w:pStyle w:val="a"/>
        <w:rPr>
          <w:rFonts w:eastAsiaTheme="minorEastAsia" w:cstheme="minorBidi"/>
          <w:noProof/>
          <w:sz w:val="22"/>
          <w:szCs w:val="22"/>
          <w:rtl/>
        </w:rPr>
      </w:pPr>
      <w:r>
        <w:rPr>
          <w:noProof/>
          <w:rtl/>
        </w:rPr>
        <w:t>קושית ה</w:t>
      </w:r>
      <w:r w:rsidR="00345400">
        <w:rPr>
          <w:noProof/>
          <w:rtl/>
        </w:rPr>
        <w:t>פלתי</w:t>
      </w:r>
      <w:r>
        <w:rPr>
          <w:noProof/>
          <w:rtl/>
        </w:rPr>
        <w:t xml:space="preserve"> דבתוס' מבואר דההיתר מדין רוב ולא מדין חזקה</w:t>
      </w:r>
    </w:p>
    <w:p w14:paraId="3D2051A8" w14:textId="77777777" w:rsidR="00852065" w:rsidRDefault="00852065" w:rsidP="00852065">
      <w:pPr>
        <w:pStyle w:val="aff4"/>
        <w:rPr>
          <w:rFonts w:eastAsiaTheme="minorEastAsia" w:cstheme="minorBidi"/>
          <w:i/>
          <w:iCs/>
          <w:noProof/>
          <w:sz w:val="22"/>
          <w:szCs w:val="22"/>
          <w:rtl/>
        </w:rPr>
      </w:pPr>
      <w:bookmarkStart w:id="1732" w:name="_Toc19435234"/>
      <w:bookmarkStart w:id="1733" w:name="_Toc20080593"/>
      <w:r>
        <w:rPr>
          <w:noProof/>
          <w:rtl/>
        </w:rPr>
        <w:t>דברי הבינת אדם דלתוס' רק בריעותא מגופא יצאה מהרוב</w:t>
      </w:r>
      <w:bookmarkEnd w:id="1732"/>
      <w:bookmarkEnd w:id="1733"/>
    </w:p>
    <w:p w14:paraId="1BE964BD" w14:textId="77777777" w:rsidR="00852065" w:rsidRDefault="00852065" w:rsidP="005077A7">
      <w:pPr>
        <w:pStyle w:val="a"/>
        <w:rPr>
          <w:rFonts w:eastAsiaTheme="minorEastAsia" w:cstheme="minorBidi"/>
          <w:noProof/>
          <w:sz w:val="22"/>
          <w:szCs w:val="22"/>
          <w:rtl/>
        </w:rPr>
      </w:pPr>
      <w:r>
        <w:rPr>
          <w:noProof/>
          <w:rtl/>
        </w:rPr>
        <w:t>דברי הבינת אדם דבדרוסה הוא ריעותא שלא מגופה ולא יצאה מהרוב אף בספק השקול</w:t>
      </w:r>
    </w:p>
    <w:p w14:paraId="63CA5DCE" w14:textId="77777777" w:rsidR="00852065" w:rsidRDefault="00852065" w:rsidP="005077A7">
      <w:pPr>
        <w:pStyle w:val="a"/>
        <w:rPr>
          <w:rFonts w:eastAsiaTheme="minorEastAsia" w:cstheme="minorBidi"/>
          <w:noProof/>
          <w:sz w:val="22"/>
          <w:szCs w:val="22"/>
          <w:rtl/>
        </w:rPr>
      </w:pPr>
      <w:r>
        <w:rPr>
          <w:noProof/>
          <w:rtl/>
        </w:rPr>
        <w:t>דברי הבינת אדם דבריעותא מגופא שהיא מחמת חולי אף לתוס' אין לה חזקת היתר</w:t>
      </w:r>
    </w:p>
    <w:p w14:paraId="657D9C0C" w14:textId="77777777" w:rsidR="00852065" w:rsidRDefault="00852065" w:rsidP="005077A7">
      <w:pPr>
        <w:pStyle w:val="a"/>
        <w:rPr>
          <w:rFonts w:eastAsiaTheme="minorEastAsia" w:cstheme="minorBidi"/>
          <w:noProof/>
          <w:sz w:val="22"/>
          <w:szCs w:val="22"/>
          <w:rtl/>
        </w:rPr>
      </w:pPr>
      <w:r>
        <w:rPr>
          <w:noProof/>
          <w:rtl/>
        </w:rPr>
        <w:t>דברי הבינת אדם דבדרוסה שאינו מגופה רק מחמת שהאיסור שכיח אסורה</w:t>
      </w:r>
    </w:p>
    <w:p w14:paraId="1ED86E00" w14:textId="77777777" w:rsidR="00852065" w:rsidRDefault="00852065" w:rsidP="005077A7">
      <w:pPr>
        <w:pStyle w:val="a"/>
        <w:rPr>
          <w:rFonts w:eastAsiaTheme="minorEastAsia" w:cstheme="minorBidi"/>
          <w:noProof/>
          <w:sz w:val="22"/>
          <w:szCs w:val="22"/>
          <w:rtl/>
        </w:rPr>
      </w:pPr>
      <w:r>
        <w:rPr>
          <w:noProof/>
          <w:rtl/>
        </w:rPr>
        <w:t>ביאור הבינת אדם בדרכ"מ דהוכיח מהתוס' דבריעותא מגופא יצאה מהרוב</w:t>
      </w:r>
    </w:p>
    <w:p w14:paraId="7000B037" w14:textId="77777777" w:rsidR="00852065" w:rsidRDefault="00852065" w:rsidP="005077A7">
      <w:pPr>
        <w:pStyle w:val="a"/>
        <w:rPr>
          <w:rFonts w:eastAsiaTheme="minorEastAsia" w:cstheme="minorBidi"/>
          <w:noProof/>
          <w:sz w:val="22"/>
          <w:szCs w:val="22"/>
          <w:rtl/>
        </w:rPr>
      </w:pPr>
      <w:r>
        <w:rPr>
          <w:noProof/>
          <w:rtl/>
        </w:rPr>
        <w:t>דברי הבינת אדם דהתוס' מודו לרבינו יונה בריעותא מגופא</w:t>
      </w:r>
    </w:p>
    <w:p w14:paraId="6575335A" w14:textId="77777777" w:rsidR="00852065" w:rsidRDefault="00852065" w:rsidP="00852065">
      <w:pPr>
        <w:pStyle w:val="aff4"/>
        <w:rPr>
          <w:rFonts w:eastAsiaTheme="minorEastAsia" w:cstheme="minorBidi"/>
          <w:i/>
          <w:iCs/>
          <w:noProof/>
          <w:sz w:val="22"/>
          <w:szCs w:val="22"/>
          <w:rtl/>
        </w:rPr>
      </w:pPr>
      <w:bookmarkStart w:id="1734" w:name="_Toc19435235"/>
      <w:bookmarkStart w:id="1735" w:name="_Toc20080594"/>
      <w:r>
        <w:rPr>
          <w:noProof/>
          <w:rtl/>
        </w:rPr>
        <w:t>דברי החזו"א דלתוס' כשאין ריעותא מחיים אין מחזיקין מאל"א</w:t>
      </w:r>
      <w:bookmarkEnd w:id="1734"/>
      <w:bookmarkEnd w:id="1735"/>
    </w:p>
    <w:p w14:paraId="5C3FE9D2" w14:textId="77777777" w:rsidR="00852065" w:rsidRDefault="00852065" w:rsidP="005077A7">
      <w:pPr>
        <w:pStyle w:val="a"/>
        <w:rPr>
          <w:rFonts w:eastAsiaTheme="minorEastAsia" w:cstheme="minorBidi"/>
          <w:noProof/>
          <w:sz w:val="22"/>
          <w:szCs w:val="22"/>
          <w:rtl/>
        </w:rPr>
      </w:pPr>
      <w:r>
        <w:rPr>
          <w:noProof/>
          <w:rtl/>
        </w:rPr>
        <w:t>דברי החזו"א דלתוס' בזאב אף שהספק שמא נטרפה מחיים מ"מ לא הייתא ריעותא מחיים</w:t>
      </w:r>
    </w:p>
    <w:p w14:paraId="1AFA0D3C" w14:textId="77777777" w:rsidR="00852065" w:rsidRDefault="00852065" w:rsidP="005077A7">
      <w:pPr>
        <w:pStyle w:val="a"/>
        <w:rPr>
          <w:rFonts w:eastAsiaTheme="minorEastAsia" w:cstheme="minorBidi"/>
          <w:noProof/>
          <w:sz w:val="22"/>
          <w:szCs w:val="22"/>
          <w:rtl/>
        </w:rPr>
      </w:pPr>
      <w:r>
        <w:rPr>
          <w:noProof/>
          <w:rtl/>
        </w:rPr>
        <w:t>דברי החזו"א דבזאב עדיף לתלות בחזקת שלא נטרפה ולא להחזיק מאיסור לאיסור</w:t>
      </w:r>
    </w:p>
    <w:p w14:paraId="05DA7883" w14:textId="77777777" w:rsidR="00852065" w:rsidRDefault="00852065" w:rsidP="00852065">
      <w:pPr>
        <w:pStyle w:val="2"/>
        <w:rPr>
          <w:rFonts w:eastAsiaTheme="minorEastAsia" w:cstheme="minorBidi"/>
          <w:i/>
          <w:iCs/>
          <w:noProof/>
          <w:rtl/>
        </w:rPr>
      </w:pPr>
      <w:bookmarkStart w:id="1736" w:name="_Toc19435236"/>
      <w:r>
        <w:rPr>
          <w:rFonts w:hint="cs"/>
          <w:noProof/>
          <w:rtl/>
        </w:rPr>
        <w:t xml:space="preserve">דברי רבינו יונה </w:t>
      </w:r>
      <w:r>
        <w:rPr>
          <w:noProof/>
          <w:rtl/>
        </w:rPr>
        <w:t>בענין ספק השקול</w:t>
      </w:r>
      <w:bookmarkEnd w:id="1736"/>
    </w:p>
    <w:p w14:paraId="294DF888" w14:textId="77777777" w:rsidR="00852065" w:rsidRDefault="00852065" w:rsidP="00852065">
      <w:pPr>
        <w:pStyle w:val="aff4"/>
        <w:rPr>
          <w:rFonts w:eastAsiaTheme="minorEastAsia" w:cstheme="minorBidi"/>
          <w:i/>
          <w:iCs/>
          <w:noProof/>
          <w:sz w:val="22"/>
          <w:szCs w:val="22"/>
          <w:rtl/>
        </w:rPr>
      </w:pPr>
      <w:bookmarkStart w:id="1737" w:name="_Toc19435237"/>
      <w:bookmarkStart w:id="1738" w:name="_Toc20080595"/>
      <w:r>
        <w:rPr>
          <w:noProof/>
          <w:rtl/>
        </w:rPr>
        <w:t>דברי רבינו יונה בנשמט הגף</w:t>
      </w:r>
      <w:bookmarkEnd w:id="1737"/>
      <w:bookmarkEnd w:id="1738"/>
    </w:p>
    <w:p w14:paraId="2F444310" w14:textId="77777777" w:rsidR="00852065" w:rsidRDefault="00852065" w:rsidP="005077A7">
      <w:pPr>
        <w:pStyle w:val="a"/>
        <w:rPr>
          <w:rFonts w:eastAsiaTheme="minorEastAsia" w:cstheme="minorBidi"/>
          <w:noProof/>
          <w:sz w:val="22"/>
          <w:szCs w:val="22"/>
          <w:rtl/>
        </w:rPr>
      </w:pPr>
      <w:r>
        <w:rPr>
          <w:noProof/>
          <w:rtl/>
        </w:rPr>
        <w:t>דברי רבינו יונה דבריעותא בספק נטרפה לפני השחיטה או לאחריה הוא ספק דאו'</w:t>
      </w:r>
    </w:p>
    <w:p w14:paraId="68CD857E" w14:textId="77777777" w:rsidR="00852065" w:rsidRDefault="00852065" w:rsidP="005077A7">
      <w:pPr>
        <w:pStyle w:val="a"/>
        <w:rPr>
          <w:rFonts w:eastAsiaTheme="minorEastAsia" w:cstheme="minorBidi"/>
          <w:noProof/>
          <w:sz w:val="22"/>
          <w:szCs w:val="22"/>
          <w:rtl/>
        </w:rPr>
      </w:pPr>
      <w:r>
        <w:rPr>
          <w:noProof/>
          <w:rtl/>
        </w:rPr>
        <w:t>קושית הרשב"א והר"ן דמ"ש ריעותא דנשמט הגף מזאב דתלינן לקולא</w:t>
      </w:r>
    </w:p>
    <w:p w14:paraId="2F8713F5" w14:textId="77777777" w:rsidR="00852065" w:rsidRDefault="00852065" w:rsidP="005077A7">
      <w:pPr>
        <w:pStyle w:val="a"/>
        <w:rPr>
          <w:rFonts w:eastAsiaTheme="minorEastAsia" w:cstheme="minorBidi"/>
          <w:noProof/>
          <w:sz w:val="22"/>
          <w:szCs w:val="22"/>
          <w:rtl/>
        </w:rPr>
      </w:pPr>
      <w:r>
        <w:rPr>
          <w:noProof/>
          <w:rtl/>
        </w:rPr>
        <w:t>ביאור רבינו יונה דדוקא בזאב שיש לפנינו במה לתלות תלינן להיתר</w:t>
      </w:r>
    </w:p>
    <w:p w14:paraId="6C156808" w14:textId="77777777" w:rsidR="00852065" w:rsidRDefault="00852065" w:rsidP="005077A7">
      <w:pPr>
        <w:pStyle w:val="a"/>
        <w:rPr>
          <w:rFonts w:eastAsiaTheme="minorEastAsia" w:cstheme="minorBidi"/>
          <w:noProof/>
          <w:sz w:val="22"/>
          <w:szCs w:val="22"/>
          <w:rtl/>
        </w:rPr>
      </w:pPr>
      <w:r>
        <w:rPr>
          <w:noProof/>
          <w:rtl/>
        </w:rPr>
        <w:t>דברי הרשב"א דבמקום שיש תליה שנשמט הגף לאחר שחיטה תלינן כמו בזאב</w:t>
      </w:r>
    </w:p>
    <w:p w14:paraId="0C44E66F" w14:textId="77777777" w:rsidR="00852065" w:rsidRDefault="00852065" w:rsidP="00852065">
      <w:pPr>
        <w:pStyle w:val="aff4"/>
        <w:rPr>
          <w:rFonts w:eastAsiaTheme="minorEastAsia" w:cstheme="minorBidi"/>
          <w:i/>
          <w:iCs/>
          <w:noProof/>
          <w:sz w:val="22"/>
          <w:szCs w:val="22"/>
          <w:rtl/>
        </w:rPr>
      </w:pPr>
      <w:bookmarkStart w:id="1739" w:name="_Toc19435238"/>
      <w:bookmarkStart w:id="1740" w:name="_Toc20080596"/>
      <w:r>
        <w:rPr>
          <w:noProof/>
          <w:rtl/>
        </w:rPr>
        <w:t>ספק הרשב"א בריעותא מחיים ויש במה לתלות</w:t>
      </w:r>
      <w:bookmarkEnd w:id="1739"/>
      <w:bookmarkEnd w:id="1740"/>
    </w:p>
    <w:p w14:paraId="4A48D69D" w14:textId="77777777" w:rsidR="00852065" w:rsidRDefault="00852065" w:rsidP="005077A7">
      <w:pPr>
        <w:pStyle w:val="a"/>
        <w:rPr>
          <w:rFonts w:eastAsiaTheme="minorEastAsia" w:cstheme="minorBidi"/>
          <w:noProof/>
          <w:sz w:val="22"/>
          <w:szCs w:val="22"/>
          <w:rtl/>
        </w:rPr>
      </w:pPr>
      <w:r>
        <w:rPr>
          <w:noProof/>
          <w:rtl/>
        </w:rPr>
        <w:t>ספק הרשב"א בחרותא שהיא ריעותא מחיים ויש במה לתלות</w:t>
      </w:r>
    </w:p>
    <w:p w14:paraId="675E17E7" w14:textId="77777777" w:rsidR="00852065" w:rsidRDefault="00852065" w:rsidP="00852065">
      <w:pPr>
        <w:pStyle w:val="aff4"/>
        <w:rPr>
          <w:rFonts w:eastAsiaTheme="minorEastAsia" w:cstheme="minorBidi"/>
          <w:i/>
          <w:iCs/>
          <w:noProof/>
          <w:sz w:val="22"/>
          <w:szCs w:val="22"/>
          <w:rtl/>
        </w:rPr>
      </w:pPr>
      <w:bookmarkStart w:id="1741" w:name="_Toc19435239"/>
      <w:bookmarkStart w:id="1742" w:name="_Toc20080597"/>
      <w:r>
        <w:rPr>
          <w:noProof/>
          <w:rtl/>
        </w:rPr>
        <w:t>דברי ה</w:t>
      </w:r>
      <w:r w:rsidR="00345400">
        <w:rPr>
          <w:noProof/>
          <w:rtl/>
        </w:rPr>
        <w:t>פלתי</w:t>
      </w:r>
      <w:r>
        <w:rPr>
          <w:noProof/>
          <w:rtl/>
        </w:rPr>
        <w:t xml:space="preserve"> דאף לרבינו יונה מותר בספק השקול</w:t>
      </w:r>
      <w:bookmarkEnd w:id="1741"/>
      <w:bookmarkEnd w:id="1742"/>
    </w:p>
    <w:p w14:paraId="1FC7F514" w14:textId="77777777" w:rsidR="00852065" w:rsidRDefault="00852065" w:rsidP="005077A7">
      <w:pPr>
        <w:pStyle w:val="a"/>
        <w:rPr>
          <w:rFonts w:eastAsiaTheme="minorEastAsia" w:cstheme="minorBidi"/>
          <w:noProof/>
          <w:sz w:val="22"/>
          <w:szCs w:val="22"/>
          <w:rtl/>
        </w:rPr>
      </w:pPr>
      <w:r>
        <w:rPr>
          <w:noProof/>
          <w:rtl/>
        </w:rPr>
        <w:t>דברי ה</w:t>
      </w:r>
      <w:r w:rsidR="00345400">
        <w:rPr>
          <w:noProof/>
          <w:rtl/>
        </w:rPr>
        <w:t>פלתי</w:t>
      </w:r>
      <w:r>
        <w:rPr>
          <w:noProof/>
          <w:rtl/>
        </w:rPr>
        <w:t xml:space="preserve"> דלש"ך ולפר"ח לדעת רבינו יונה החילוק בין לפני שחיטה ללאחריה הוא בבדיקה</w:t>
      </w:r>
    </w:p>
    <w:p w14:paraId="5511B2EB" w14:textId="77777777" w:rsidR="00852065" w:rsidRDefault="00852065" w:rsidP="005077A7">
      <w:pPr>
        <w:pStyle w:val="a"/>
        <w:rPr>
          <w:rFonts w:eastAsiaTheme="minorEastAsia" w:cstheme="minorBidi"/>
          <w:noProof/>
          <w:sz w:val="22"/>
          <w:szCs w:val="22"/>
          <w:rtl/>
        </w:rPr>
      </w:pPr>
      <w:r>
        <w:rPr>
          <w:noProof/>
          <w:rtl/>
        </w:rPr>
        <w:t>קושית ה</w:t>
      </w:r>
      <w:r w:rsidR="00345400">
        <w:rPr>
          <w:noProof/>
          <w:rtl/>
        </w:rPr>
        <w:t>פלתי</w:t>
      </w:r>
      <w:r>
        <w:rPr>
          <w:noProof/>
          <w:rtl/>
        </w:rPr>
        <w:t xml:space="preserve"> דלביאור הש"ך הרשב"א סותר בנשמט הגף את מה שהתיר בגבינות</w:t>
      </w:r>
    </w:p>
    <w:p w14:paraId="2309B31F" w14:textId="77777777" w:rsidR="00852065" w:rsidRDefault="00852065" w:rsidP="005077A7">
      <w:pPr>
        <w:pStyle w:val="a"/>
        <w:rPr>
          <w:rFonts w:eastAsiaTheme="minorEastAsia" w:cstheme="minorBidi"/>
          <w:noProof/>
          <w:sz w:val="22"/>
          <w:szCs w:val="22"/>
          <w:rtl/>
        </w:rPr>
      </w:pPr>
      <w:r>
        <w:rPr>
          <w:noProof/>
          <w:rtl/>
        </w:rPr>
        <w:t>ביאור ה</w:t>
      </w:r>
      <w:r w:rsidR="00345400">
        <w:rPr>
          <w:noProof/>
          <w:rtl/>
        </w:rPr>
        <w:t>פלתי</w:t>
      </w:r>
      <w:r>
        <w:rPr>
          <w:noProof/>
          <w:rtl/>
        </w:rPr>
        <w:t xml:space="preserve"> והחזו"א ברבינו יונה דדוקא במקום שאין סברא שאירע כן אחר השחיטה אסור</w:t>
      </w:r>
    </w:p>
    <w:p w14:paraId="46296642" w14:textId="77777777" w:rsidR="00852065" w:rsidRDefault="00852065" w:rsidP="005077A7">
      <w:pPr>
        <w:pStyle w:val="a"/>
        <w:rPr>
          <w:rFonts w:eastAsiaTheme="minorEastAsia" w:cstheme="minorBidi"/>
          <w:noProof/>
          <w:sz w:val="22"/>
          <w:szCs w:val="22"/>
          <w:rtl/>
        </w:rPr>
      </w:pPr>
      <w:r>
        <w:rPr>
          <w:noProof/>
          <w:rtl/>
        </w:rPr>
        <w:t>דברי ה</w:t>
      </w:r>
      <w:r w:rsidR="00345400">
        <w:rPr>
          <w:noProof/>
          <w:rtl/>
        </w:rPr>
        <w:t>פלתי</w:t>
      </w:r>
      <w:r>
        <w:rPr>
          <w:noProof/>
          <w:rtl/>
        </w:rPr>
        <w:t xml:space="preserve"> דבספק השקול אף לרבינו יונה כל שאין ריעותא מחיים מותר</w:t>
      </w:r>
    </w:p>
    <w:p w14:paraId="3D44BC15" w14:textId="77777777" w:rsidR="00852065" w:rsidRDefault="00852065" w:rsidP="005077A7">
      <w:pPr>
        <w:pStyle w:val="a"/>
        <w:rPr>
          <w:rFonts w:eastAsiaTheme="minorEastAsia" w:cstheme="minorBidi"/>
          <w:noProof/>
          <w:sz w:val="22"/>
          <w:szCs w:val="22"/>
          <w:rtl/>
        </w:rPr>
      </w:pPr>
      <w:r>
        <w:rPr>
          <w:noProof/>
          <w:rtl/>
        </w:rPr>
        <w:t>דחיית הבינת אדם דברשב"א מבואר דבכל ריעותא מחיים אסור ורק לאחר שחיטה תלינן</w:t>
      </w:r>
    </w:p>
    <w:p w14:paraId="10F03DC2" w14:textId="77777777" w:rsidR="00852065" w:rsidRDefault="00852065" w:rsidP="00852065">
      <w:pPr>
        <w:pStyle w:val="aff4"/>
        <w:rPr>
          <w:rFonts w:eastAsiaTheme="minorEastAsia" w:cstheme="minorBidi"/>
          <w:i/>
          <w:iCs/>
          <w:noProof/>
          <w:sz w:val="22"/>
          <w:szCs w:val="22"/>
          <w:rtl/>
        </w:rPr>
      </w:pPr>
      <w:bookmarkStart w:id="1743" w:name="_Toc19435240"/>
      <w:bookmarkStart w:id="1744" w:name="_Toc20080598"/>
      <w:r>
        <w:rPr>
          <w:noProof/>
          <w:rtl/>
        </w:rPr>
        <w:t>ביאור הש"ש בדברי רבינו יונה</w:t>
      </w:r>
      <w:bookmarkEnd w:id="1743"/>
      <w:bookmarkEnd w:id="1744"/>
    </w:p>
    <w:p w14:paraId="6B7E03EE" w14:textId="77777777" w:rsidR="00852065" w:rsidRDefault="00852065" w:rsidP="005077A7">
      <w:pPr>
        <w:pStyle w:val="a"/>
        <w:rPr>
          <w:rFonts w:eastAsiaTheme="minorEastAsia" w:cstheme="minorBidi"/>
          <w:noProof/>
          <w:sz w:val="22"/>
          <w:szCs w:val="22"/>
          <w:rtl/>
        </w:rPr>
      </w:pPr>
      <w:r>
        <w:rPr>
          <w:noProof/>
          <w:rtl/>
        </w:rPr>
        <w:t>דברי הש"ש דרבינו פליג על תוס' וס"ל דאף בספק השקול מחזיקין מאיסור לאיסור</w:t>
      </w:r>
    </w:p>
    <w:p w14:paraId="5C69B41A" w14:textId="77777777" w:rsidR="00852065" w:rsidRDefault="00852065" w:rsidP="005077A7">
      <w:pPr>
        <w:pStyle w:val="a"/>
        <w:rPr>
          <w:rFonts w:eastAsiaTheme="minorEastAsia" w:cstheme="minorBidi"/>
          <w:noProof/>
          <w:sz w:val="22"/>
          <w:szCs w:val="22"/>
          <w:rtl/>
        </w:rPr>
      </w:pPr>
      <w:r>
        <w:rPr>
          <w:noProof/>
          <w:rtl/>
        </w:rPr>
        <w:t>דברי הש"ש דלרבינו יונה מחזיקין מאבר מן החי לנבילה אף בספק השקול</w:t>
      </w:r>
    </w:p>
    <w:p w14:paraId="5E2F1FFC" w14:textId="77777777" w:rsidR="00852065" w:rsidRDefault="00852065" w:rsidP="005077A7">
      <w:pPr>
        <w:pStyle w:val="a"/>
        <w:rPr>
          <w:rFonts w:eastAsiaTheme="minorEastAsia" w:cstheme="minorBidi"/>
          <w:noProof/>
          <w:sz w:val="22"/>
          <w:szCs w:val="22"/>
          <w:rtl/>
        </w:rPr>
      </w:pPr>
      <w:r>
        <w:rPr>
          <w:noProof/>
          <w:rtl/>
        </w:rPr>
        <w:t>דברי הש"ש דלהרשב"א בזאב הוא שכיח להיתרא ולכן תלינן</w:t>
      </w:r>
    </w:p>
    <w:p w14:paraId="50EAFEE2" w14:textId="77777777" w:rsidR="00852065" w:rsidRDefault="00852065" w:rsidP="005077A7">
      <w:pPr>
        <w:pStyle w:val="a"/>
        <w:rPr>
          <w:rFonts w:eastAsiaTheme="minorEastAsia" w:cstheme="minorBidi"/>
          <w:noProof/>
          <w:sz w:val="22"/>
          <w:szCs w:val="22"/>
          <w:rtl/>
        </w:rPr>
      </w:pPr>
      <w:r>
        <w:rPr>
          <w:noProof/>
          <w:rtl/>
        </w:rPr>
        <w:t>קושית החז"א על הש"ש דהרשב"א איירי בספק אם נתחדש מעשה שחיטה ולא במחזיקין מאל"א</w:t>
      </w:r>
    </w:p>
    <w:p w14:paraId="6240F300" w14:textId="77777777" w:rsidR="00852065" w:rsidRDefault="00852065" w:rsidP="005077A7">
      <w:pPr>
        <w:pStyle w:val="a"/>
        <w:rPr>
          <w:rFonts w:eastAsiaTheme="minorEastAsia" w:cstheme="minorBidi"/>
          <w:noProof/>
          <w:sz w:val="22"/>
          <w:szCs w:val="22"/>
          <w:rtl/>
        </w:rPr>
      </w:pPr>
      <w:r>
        <w:rPr>
          <w:noProof/>
          <w:rtl/>
        </w:rPr>
        <w:t>קושית החזו"א דבספק טריפה ששחוטה לפנינו לא מחדשים בה איסור טריפה מכח אינו זבוח</w:t>
      </w:r>
    </w:p>
    <w:p w14:paraId="70B72B1A" w14:textId="77777777" w:rsidR="00852065" w:rsidRDefault="00852065" w:rsidP="005077A7">
      <w:pPr>
        <w:pStyle w:val="a"/>
        <w:rPr>
          <w:rFonts w:eastAsiaTheme="minorEastAsia" w:cstheme="minorBidi"/>
          <w:noProof/>
          <w:sz w:val="22"/>
          <w:szCs w:val="22"/>
          <w:rtl/>
        </w:rPr>
      </w:pPr>
      <w:r>
        <w:rPr>
          <w:noProof/>
          <w:rtl/>
        </w:rPr>
        <w:t>קושית החזו"א דבספק קידושין בצר"ע שהספק הוא באותו איסור ואפ"ה היא בחזקת היתר</w:t>
      </w:r>
    </w:p>
    <w:p w14:paraId="3DFD780F" w14:textId="77777777" w:rsidR="00852065" w:rsidRDefault="00852065" w:rsidP="00852065">
      <w:pPr>
        <w:pStyle w:val="aff4"/>
        <w:rPr>
          <w:rFonts w:eastAsiaTheme="minorEastAsia" w:cstheme="minorBidi"/>
          <w:i/>
          <w:iCs/>
          <w:noProof/>
          <w:sz w:val="22"/>
          <w:szCs w:val="22"/>
          <w:rtl/>
        </w:rPr>
      </w:pPr>
      <w:bookmarkStart w:id="1745" w:name="_Toc19435241"/>
      <w:bookmarkStart w:id="1746" w:name="_Toc20080599"/>
      <w:r>
        <w:rPr>
          <w:noProof/>
          <w:rtl/>
        </w:rPr>
        <w:t>ביאור הבינת אדם בדברי רבינו יונה</w:t>
      </w:r>
      <w:bookmarkEnd w:id="1745"/>
      <w:bookmarkEnd w:id="1746"/>
    </w:p>
    <w:p w14:paraId="3FF3BBC7" w14:textId="77777777" w:rsidR="00852065" w:rsidRDefault="00852065" w:rsidP="005077A7">
      <w:pPr>
        <w:pStyle w:val="a"/>
        <w:rPr>
          <w:rFonts w:eastAsiaTheme="minorEastAsia" w:cstheme="minorBidi"/>
          <w:noProof/>
          <w:sz w:val="22"/>
          <w:szCs w:val="22"/>
          <w:rtl/>
        </w:rPr>
      </w:pPr>
      <w:r>
        <w:rPr>
          <w:noProof/>
          <w:rtl/>
        </w:rPr>
        <w:t>קושית הבינת אדם דספק טריפה היא בחזקת היתר וספק בשחיטה היא בחזקת איסור</w:t>
      </w:r>
    </w:p>
    <w:p w14:paraId="0477A374" w14:textId="77777777" w:rsidR="00852065" w:rsidRDefault="00852065" w:rsidP="005077A7">
      <w:pPr>
        <w:pStyle w:val="a"/>
        <w:rPr>
          <w:rFonts w:eastAsiaTheme="minorEastAsia" w:cstheme="minorBidi"/>
          <w:noProof/>
          <w:sz w:val="22"/>
          <w:szCs w:val="22"/>
          <w:rtl/>
        </w:rPr>
      </w:pPr>
      <w:r>
        <w:rPr>
          <w:noProof/>
          <w:rtl/>
        </w:rPr>
        <w:t>תירוץ הבינת אדם דאף בספק בשחיטה אין חזקת איסור דמדאו' יש רוב</w:t>
      </w:r>
    </w:p>
    <w:p w14:paraId="7CC64AAA" w14:textId="77777777" w:rsidR="00852065" w:rsidRDefault="00852065" w:rsidP="005077A7">
      <w:pPr>
        <w:pStyle w:val="a"/>
        <w:rPr>
          <w:rFonts w:eastAsiaTheme="minorEastAsia" w:cstheme="minorBidi"/>
          <w:noProof/>
          <w:sz w:val="22"/>
          <w:szCs w:val="22"/>
          <w:rtl/>
        </w:rPr>
      </w:pPr>
      <w:r>
        <w:rPr>
          <w:noProof/>
          <w:rtl/>
        </w:rPr>
        <w:t>ביאור הבינת אדם דהוכיח רבינו יונה מספק בשחיטה דאף בחזקת כשרות דאו' בריעותא אסור</w:t>
      </w:r>
    </w:p>
    <w:p w14:paraId="5E2B5E6E" w14:textId="77777777" w:rsidR="00852065" w:rsidRDefault="00852065" w:rsidP="005077A7">
      <w:pPr>
        <w:pStyle w:val="a"/>
        <w:rPr>
          <w:rFonts w:eastAsiaTheme="minorEastAsia" w:cstheme="minorBidi"/>
          <w:noProof/>
          <w:sz w:val="22"/>
          <w:szCs w:val="22"/>
          <w:rtl/>
        </w:rPr>
      </w:pPr>
      <w:r>
        <w:rPr>
          <w:noProof/>
          <w:rtl/>
        </w:rPr>
        <w:t>דברי הבינת אדם דאין כוונת הרשב"א לומר שאסור מדאו' אלא שהוא ספק באיסור דאו'</w:t>
      </w:r>
    </w:p>
    <w:p w14:paraId="40D299C6" w14:textId="77777777" w:rsidR="00852065" w:rsidRDefault="00852065" w:rsidP="005077A7">
      <w:pPr>
        <w:pStyle w:val="a"/>
        <w:rPr>
          <w:rFonts w:eastAsiaTheme="minorEastAsia" w:cstheme="minorBidi"/>
          <w:noProof/>
          <w:sz w:val="22"/>
          <w:szCs w:val="22"/>
          <w:rtl/>
        </w:rPr>
      </w:pPr>
      <w:r>
        <w:rPr>
          <w:noProof/>
          <w:rtl/>
        </w:rPr>
        <w:t>דברי הבינת אדם דאפש"ל דאף מדאו' אין חזקה במקום ריעותא דיותר שכיחא מחיים</w:t>
      </w:r>
    </w:p>
    <w:p w14:paraId="6A620569" w14:textId="77777777" w:rsidR="00852065" w:rsidRDefault="00852065" w:rsidP="00852065">
      <w:pPr>
        <w:pStyle w:val="aff4"/>
        <w:rPr>
          <w:rFonts w:eastAsiaTheme="minorEastAsia" w:cstheme="minorBidi"/>
          <w:i/>
          <w:iCs/>
          <w:noProof/>
          <w:sz w:val="22"/>
          <w:szCs w:val="22"/>
          <w:rtl/>
        </w:rPr>
      </w:pPr>
      <w:bookmarkStart w:id="1747" w:name="_Toc19435242"/>
      <w:bookmarkStart w:id="1748" w:name="_Toc20080600"/>
      <w:r>
        <w:rPr>
          <w:noProof/>
          <w:rtl/>
        </w:rPr>
        <w:t>ביאור החזו"א בדברי רבינו יונה</w:t>
      </w:r>
      <w:bookmarkEnd w:id="1747"/>
      <w:bookmarkEnd w:id="1748"/>
    </w:p>
    <w:p w14:paraId="4D768E18" w14:textId="77777777" w:rsidR="00852065" w:rsidRDefault="00852065" w:rsidP="005077A7">
      <w:pPr>
        <w:pStyle w:val="a"/>
        <w:rPr>
          <w:rFonts w:eastAsiaTheme="minorEastAsia" w:cstheme="minorBidi"/>
          <w:noProof/>
          <w:sz w:val="22"/>
          <w:szCs w:val="22"/>
          <w:rtl/>
        </w:rPr>
      </w:pPr>
      <w:r>
        <w:rPr>
          <w:noProof/>
          <w:rtl/>
        </w:rPr>
        <w:t>דברי החזו"א דלרבינו יונה בריעותא מחיים יצאה מהרוב ואין לה חזקת כשרות</w:t>
      </w:r>
    </w:p>
    <w:p w14:paraId="58361FB6" w14:textId="77777777" w:rsidR="00852065" w:rsidRDefault="00852065" w:rsidP="005077A7">
      <w:pPr>
        <w:pStyle w:val="a"/>
        <w:rPr>
          <w:rFonts w:eastAsiaTheme="minorEastAsia" w:cstheme="minorBidi"/>
          <w:noProof/>
          <w:sz w:val="22"/>
          <w:szCs w:val="22"/>
          <w:rtl/>
        </w:rPr>
      </w:pPr>
      <w:r>
        <w:rPr>
          <w:noProof/>
          <w:rtl/>
        </w:rPr>
        <w:t>ביאור החזו"א דבגבינות היתר רבינו יונה כיון שבשעת החליבה לא היה ריעותא</w:t>
      </w:r>
    </w:p>
    <w:p w14:paraId="2F6B5FA9" w14:textId="77777777" w:rsidR="00852065" w:rsidRDefault="00852065" w:rsidP="005077A7">
      <w:pPr>
        <w:pStyle w:val="a"/>
        <w:rPr>
          <w:rFonts w:eastAsiaTheme="minorEastAsia" w:cstheme="minorBidi"/>
          <w:noProof/>
          <w:sz w:val="22"/>
          <w:szCs w:val="22"/>
          <w:rtl/>
        </w:rPr>
      </w:pPr>
      <w:r>
        <w:rPr>
          <w:noProof/>
          <w:rtl/>
        </w:rPr>
        <w:t>דברי החזו"א דאף בנשמט הגף לא היה ספק על הריעותא אלא דמסתבר דהוא מחיים</w:t>
      </w:r>
    </w:p>
    <w:p w14:paraId="4541A85E" w14:textId="77777777" w:rsidR="00852065" w:rsidRDefault="00852065" w:rsidP="005077A7">
      <w:pPr>
        <w:pStyle w:val="a"/>
        <w:rPr>
          <w:rFonts w:eastAsiaTheme="minorEastAsia" w:cstheme="minorBidi"/>
          <w:noProof/>
          <w:sz w:val="22"/>
          <w:szCs w:val="22"/>
          <w:rtl/>
        </w:rPr>
      </w:pPr>
      <w:r>
        <w:rPr>
          <w:noProof/>
          <w:rtl/>
        </w:rPr>
        <w:t>דברי החזו"א דאף לתוס' בדברי שמסתבר שאירע מחיים אסור</w:t>
      </w:r>
    </w:p>
    <w:p w14:paraId="02E4ED0D" w14:textId="77777777" w:rsidR="00852065" w:rsidRDefault="00852065" w:rsidP="0089660E">
      <w:pPr>
        <w:pStyle w:val="2"/>
        <w:rPr>
          <w:rFonts w:eastAsiaTheme="minorEastAsia" w:cstheme="minorBidi"/>
          <w:i/>
          <w:iCs/>
          <w:noProof/>
          <w:rtl/>
        </w:rPr>
      </w:pPr>
      <w:bookmarkStart w:id="1749" w:name="_Toc19435243"/>
      <w:r>
        <w:rPr>
          <w:noProof/>
          <w:rtl/>
        </w:rPr>
        <w:t>בדין בהמה שיש לה מים במוח</w:t>
      </w:r>
      <w:bookmarkEnd w:id="1749"/>
    </w:p>
    <w:p w14:paraId="2366C977" w14:textId="77777777" w:rsidR="00852065" w:rsidRDefault="00852065" w:rsidP="00852065">
      <w:pPr>
        <w:pStyle w:val="aff4"/>
        <w:rPr>
          <w:rFonts w:eastAsiaTheme="minorEastAsia" w:cstheme="minorBidi"/>
          <w:i/>
          <w:iCs/>
          <w:noProof/>
          <w:sz w:val="22"/>
          <w:szCs w:val="22"/>
          <w:rtl/>
        </w:rPr>
      </w:pPr>
      <w:bookmarkStart w:id="1750" w:name="_Toc19435244"/>
      <w:bookmarkStart w:id="1751" w:name="_Toc20080601"/>
      <w:r>
        <w:rPr>
          <w:noProof/>
          <w:rtl/>
        </w:rPr>
        <w:t>דברי הדרכ"מ בבהמה שיש לה מים במוח</w:t>
      </w:r>
      <w:bookmarkEnd w:id="1750"/>
      <w:bookmarkEnd w:id="1751"/>
    </w:p>
    <w:p w14:paraId="394BA77C" w14:textId="77777777" w:rsidR="00852065" w:rsidRDefault="00852065" w:rsidP="005077A7">
      <w:pPr>
        <w:pStyle w:val="a"/>
        <w:rPr>
          <w:rFonts w:eastAsiaTheme="minorEastAsia" w:cstheme="minorBidi"/>
          <w:noProof/>
          <w:sz w:val="22"/>
          <w:szCs w:val="22"/>
          <w:rtl/>
        </w:rPr>
      </w:pPr>
      <w:r>
        <w:rPr>
          <w:noProof/>
          <w:rtl/>
        </w:rPr>
        <w:t>דברי הדרכ"מ דבתוס' ביבמות מבואר דבריעותא מחיים א"א להתיר מחמת דנשחטה בהיתר</w:t>
      </w:r>
    </w:p>
    <w:p w14:paraId="266514F1" w14:textId="77777777" w:rsidR="00852065" w:rsidRDefault="00852065" w:rsidP="005077A7">
      <w:pPr>
        <w:pStyle w:val="a"/>
        <w:rPr>
          <w:rFonts w:eastAsiaTheme="minorEastAsia" w:cstheme="minorBidi"/>
          <w:noProof/>
          <w:sz w:val="22"/>
          <w:szCs w:val="22"/>
          <w:rtl/>
        </w:rPr>
      </w:pPr>
      <w:r>
        <w:rPr>
          <w:noProof/>
          <w:rtl/>
        </w:rPr>
        <w:t>קושית המהר"ם מלובלין דבתוס' ביבמות מבואר דבריעותא מחיים רק בדבר שכיח אסור</w:t>
      </w:r>
    </w:p>
    <w:p w14:paraId="0EE133AD" w14:textId="77777777" w:rsidR="00852065" w:rsidRDefault="00852065" w:rsidP="005077A7">
      <w:pPr>
        <w:pStyle w:val="a"/>
        <w:rPr>
          <w:rFonts w:eastAsiaTheme="minorEastAsia" w:cstheme="minorBidi"/>
          <w:noProof/>
          <w:sz w:val="22"/>
          <w:szCs w:val="22"/>
          <w:rtl/>
        </w:rPr>
      </w:pPr>
      <w:r>
        <w:rPr>
          <w:noProof/>
          <w:rtl/>
        </w:rPr>
        <w:t>דברי הש"ש דהש"ך ביאר בתוס' ביבמות דבריעותא מחיים מחזיקין מאיסור לאיסור</w:t>
      </w:r>
    </w:p>
    <w:p w14:paraId="70882A51" w14:textId="77777777" w:rsidR="00852065" w:rsidRDefault="00852065" w:rsidP="005077A7">
      <w:pPr>
        <w:pStyle w:val="a"/>
        <w:rPr>
          <w:rFonts w:eastAsiaTheme="minorEastAsia" w:cstheme="minorBidi"/>
          <w:noProof/>
          <w:sz w:val="22"/>
          <w:szCs w:val="22"/>
          <w:rtl/>
        </w:rPr>
      </w:pPr>
      <w:r>
        <w:rPr>
          <w:noProof/>
          <w:rtl/>
        </w:rPr>
        <w:t>ביאור הט"ז בדרכ"מ דכיון שצריך בדיקה חשיב ששכיח האיסור כספק דרוסה</w:t>
      </w:r>
    </w:p>
    <w:p w14:paraId="32CC67A7" w14:textId="77777777" w:rsidR="00852065" w:rsidRDefault="00852065" w:rsidP="005077A7">
      <w:pPr>
        <w:pStyle w:val="a"/>
        <w:rPr>
          <w:rFonts w:eastAsiaTheme="minorEastAsia" w:cstheme="minorBidi"/>
          <w:noProof/>
          <w:sz w:val="22"/>
          <w:szCs w:val="22"/>
          <w:rtl/>
        </w:rPr>
      </w:pPr>
      <w:r>
        <w:rPr>
          <w:noProof/>
          <w:rtl/>
        </w:rPr>
        <w:t>דחיית התבו"ש דכוונת התוס' דרק מבדרוסה שכיח איסורא ולא בכל ספק</w:t>
      </w:r>
    </w:p>
    <w:p w14:paraId="66B13FD1" w14:textId="77777777" w:rsidR="00852065" w:rsidRDefault="00852065" w:rsidP="005077A7">
      <w:pPr>
        <w:pStyle w:val="a"/>
        <w:rPr>
          <w:rFonts w:eastAsiaTheme="minorEastAsia" w:cstheme="minorBidi"/>
          <w:noProof/>
          <w:sz w:val="22"/>
          <w:szCs w:val="22"/>
          <w:rtl/>
        </w:rPr>
      </w:pPr>
      <w:r>
        <w:rPr>
          <w:noProof/>
          <w:rtl/>
        </w:rPr>
        <w:t>ביאור התבו"ש דבספק אחר שחיטה יש רוב ובריעותא מחיים הוא ריעותא ברוב עצמו</w:t>
      </w:r>
    </w:p>
    <w:p w14:paraId="38EA2013" w14:textId="77777777" w:rsidR="00852065" w:rsidRDefault="00852065" w:rsidP="005077A7">
      <w:pPr>
        <w:pStyle w:val="a"/>
        <w:rPr>
          <w:rFonts w:eastAsiaTheme="minorEastAsia" w:cstheme="minorBidi"/>
          <w:noProof/>
          <w:sz w:val="22"/>
          <w:szCs w:val="22"/>
          <w:rtl/>
        </w:rPr>
      </w:pPr>
      <w:r>
        <w:rPr>
          <w:noProof/>
          <w:rtl/>
        </w:rPr>
        <w:t>דברי התבו"ש דבגבינות התיר הרשב"א כיון שבשעת החליבה לא הייתה ריעותא ברוב</w:t>
      </w:r>
    </w:p>
    <w:p w14:paraId="08DD4901" w14:textId="77777777" w:rsidR="00852065" w:rsidRDefault="00852065" w:rsidP="005077A7">
      <w:pPr>
        <w:pStyle w:val="a"/>
        <w:rPr>
          <w:rFonts w:eastAsiaTheme="minorEastAsia" w:cstheme="minorBidi"/>
          <w:noProof/>
          <w:sz w:val="22"/>
          <w:szCs w:val="22"/>
          <w:rtl/>
        </w:rPr>
      </w:pPr>
      <w:r>
        <w:rPr>
          <w:noProof/>
          <w:rtl/>
        </w:rPr>
        <w:t>דברי התבו"ש דספק דרוסה חשיב חזקה שנתבררה בשעתה דלא נולדה דרוסה</w:t>
      </w:r>
    </w:p>
    <w:p w14:paraId="2C466582" w14:textId="77777777" w:rsidR="00852065" w:rsidRDefault="00852065" w:rsidP="005077A7">
      <w:pPr>
        <w:pStyle w:val="a"/>
        <w:rPr>
          <w:rFonts w:eastAsiaTheme="minorEastAsia" w:cstheme="minorBidi"/>
          <w:noProof/>
          <w:sz w:val="22"/>
          <w:szCs w:val="22"/>
          <w:rtl/>
        </w:rPr>
      </w:pPr>
      <w:r>
        <w:rPr>
          <w:noProof/>
          <w:rtl/>
        </w:rPr>
        <w:t>דחיית החוו"ד דיצאה רק מכלל רוב בהמות שאין בהם ספק אך היא בכלל רוב כשרות</w:t>
      </w:r>
    </w:p>
    <w:p w14:paraId="23B10445" w14:textId="77777777" w:rsidR="00852065" w:rsidRDefault="00852065" w:rsidP="005077A7">
      <w:pPr>
        <w:pStyle w:val="a"/>
        <w:rPr>
          <w:rFonts w:eastAsiaTheme="minorEastAsia" w:cstheme="minorBidi"/>
          <w:noProof/>
          <w:sz w:val="22"/>
          <w:szCs w:val="22"/>
          <w:rtl/>
        </w:rPr>
      </w:pPr>
      <w:r>
        <w:rPr>
          <w:noProof/>
          <w:rtl/>
        </w:rPr>
        <w:t>קושית החוו"ד דבקוץ בושט הספק הוא על הנקב ולא על הקוץ ויתכן שנולדה נקובה</w:t>
      </w:r>
    </w:p>
    <w:p w14:paraId="58FD8EF3" w14:textId="77777777" w:rsidR="00852065" w:rsidRDefault="00852065" w:rsidP="00852065">
      <w:pPr>
        <w:pStyle w:val="2"/>
        <w:rPr>
          <w:rFonts w:eastAsiaTheme="minorEastAsia" w:cstheme="minorBidi"/>
          <w:i/>
          <w:iCs/>
          <w:noProof/>
          <w:rtl/>
        </w:rPr>
      </w:pPr>
      <w:bookmarkStart w:id="1752" w:name="_Toc19435245"/>
      <w:r>
        <w:rPr>
          <w:noProof/>
          <w:rtl/>
        </w:rPr>
        <w:t>בביאור הספק בנטל זאב</w:t>
      </w:r>
      <w:bookmarkEnd w:id="1752"/>
    </w:p>
    <w:p w14:paraId="1261EFD9" w14:textId="77777777" w:rsidR="00852065" w:rsidRDefault="00852065" w:rsidP="00852065">
      <w:pPr>
        <w:pStyle w:val="aff4"/>
        <w:rPr>
          <w:rFonts w:eastAsiaTheme="minorEastAsia" w:cstheme="minorBidi"/>
          <w:i/>
          <w:iCs/>
          <w:noProof/>
          <w:sz w:val="22"/>
          <w:szCs w:val="22"/>
          <w:rtl/>
        </w:rPr>
      </w:pPr>
      <w:bookmarkStart w:id="1753" w:name="_Toc19435246"/>
      <w:bookmarkStart w:id="1754" w:name="_Toc20080602"/>
      <w:r>
        <w:rPr>
          <w:noProof/>
          <w:rtl/>
        </w:rPr>
        <w:t>דברי התוס' שהיו נקבים הרבה</w:t>
      </w:r>
      <w:bookmarkEnd w:id="1753"/>
      <w:bookmarkEnd w:id="1754"/>
    </w:p>
    <w:p w14:paraId="523B1D11" w14:textId="77777777" w:rsidR="00852065" w:rsidRDefault="00852065" w:rsidP="005077A7">
      <w:pPr>
        <w:pStyle w:val="a"/>
        <w:rPr>
          <w:rFonts w:eastAsiaTheme="minorEastAsia" w:cstheme="minorBidi"/>
          <w:noProof/>
          <w:sz w:val="22"/>
          <w:szCs w:val="22"/>
          <w:rtl/>
        </w:rPr>
      </w:pPr>
      <w:r>
        <w:rPr>
          <w:noProof/>
          <w:rtl/>
        </w:rPr>
        <w:t>דברי התוס' דיש הרבה נקבים שלא במקום שיני הזאב ותולים את כולם בזאב</w:t>
      </w:r>
    </w:p>
    <w:p w14:paraId="40D6E8B9" w14:textId="77777777" w:rsidR="00852065" w:rsidRDefault="00852065" w:rsidP="00852065">
      <w:pPr>
        <w:pStyle w:val="aff4"/>
        <w:rPr>
          <w:rFonts w:eastAsiaTheme="minorEastAsia" w:cstheme="minorBidi"/>
          <w:i/>
          <w:iCs/>
          <w:noProof/>
          <w:sz w:val="22"/>
          <w:szCs w:val="22"/>
          <w:rtl/>
        </w:rPr>
      </w:pPr>
      <w:bookmarkStart w:id="1755" w:name="_Toc19435247"/>
      <w:bookmarkStart w:id="1756" w:name="_Toc20080603"/>
      <w:r>
        <w:rPr>
          <w:noProof/>
          <w:rtl/>
        </w:rPr>
        <w:t>ביאורי האחרונים בדברי התוס' שהיו נקבים הרבה</w:t>
      </w:r>
      <w:bookmarkEnd w:id="1755"/>
      <w:bookmarkEnd w:id="1756"/>
    </w:p>
    <w:p w14:paraId="0FAAC8FE" w14:textId="77777777" w:rsidR="00852065" w:rsidRDefault="00852065" w:rsidP="005077A7">
      <w:pPr>
        <w:pStyle w:val="a"/>
        <w:rPr>
          <w:rFonts w:eastAsiaTheme="minorEastAsia" w:cstheme="minorBidi"/>
          <w:noProof/>
          <w:sz w:val="22"/>
          <w:szCs w:val="22"/>
          <w:rtl/>
        </w:rPr>
      </w:pPr>
      <w:r>
        <w:rPr>
          <w:noProof/>
          <w:rtl/>
        </w:rPr>
        <w:t>דברי הב"ח והט"ז דבזאב יש רק ספק אחד ובידא דטבחא יש ב' ספיקות</w:t>
      </w:r>
    </w:p>
    <w:p w14:paraId="25ED6C33" w14:textId="77777777" w:rsidR="00852065" w:rsidRDefault="00852065" w:rsidP="005077A7">
      <w:pPr>
        <w:pStyle w:val="a"/>
        <w:rPr>
          <w:rFonts w:eastAsiaTheme="minorEastAsia" w:cstheme="minorBidi"/>
          <w:noProof/>
          <w:sz w:val="22"/>
          <w:szCs w:val="22"/>
          <w:rtl/>
        </w:rPr>
      </w:pPr>
      <w:r>
        <w:rPr>
          <w:noProof/>
          <w:rtl/>
        </w:rPr>
        <w:t>קושית התבו"ש דהתוס' דימו את דין ידא דטבחא לזאב</w:t>
      </w:r>
    </w:p>
    <w:p w14:paraId="205CB5A6" w14:textId="77777777" w:rsidR="00852065" w:rsidRDefault="00852065" w:rsidP="005077A7">
      <w:pPr>
        <w:pStyle w:val="a"/>
        <w:rPr>
          <w:rFonts w:eastAsiaTheme="minorEastAsia" w:cstheme="minorBidi"/>
          <w:noProof/>
          <w:sz w:val="22"/>
          <w:szCs w:val="22"/>
          <w:rtl/>
        </w:rPr>
      </w:pPr>
      <w:r>
        <w:rPr>
          <w:noProof/>
          <w:rtl/>
        </w:rPr>
        <w:t>קושית התבו"ש על הב"ח והט"ז דזאב לא דמי לידא דטבחא דודאי נגע במקום הנקב</w:t>
      </w:r>
    </w:p>
    <w:p w14:paraId="1FB161F8" w14:textId="77777777" w:rsidR="00852065" w:rsidRDefault="00852065" w:rsidP="005077A7">
      <w:pPr>
        <w:pStyle w:val="a"/>
        <w:rPr>
          <w:rFonts w:eastAsiaTheme="minorEastAsia" w:cstheme="minorBidi"/>
          <w:noProof/>
          <w:sz w:val="22"/>
          <w:szCs w:val="22"/>
          <w:rtl/>
        </w:rPr>
      </w:pPr>
      <w:r>
        <w:rPr>
          <w:noProof/>
          <w:rtl/>
        </w:rPr>
        <w:t>ביאור התבו"ש בתוס' דבזאב וידא דטבחא אף שלא ידוע שנגע במקום הנקב מותר</w:t>
      </w:r>
    </w:p>
    <w:p w14:paraId="73083790" w14:textId="77777777" w:rsidR="00852065" w:rsidRDefault="00852065" w:rsidP="00852065">
      <w:pPr>
        <w:pStyle w:val="aff4"/>
        <w:rPr>
          <w:rFonts w:eastAsiaTheme="minorEastAsia" w:cstheme="minorBidi"/>
          <w:i/>
          <w:iCs/>
          <w:noProof/>
          <w:sz w:val="22"/>
          <w:szCs w:val="22"/>
          <w:rtl/>
        </w:rPr>
      </w:pPr>
      <w:bookmarkStart w:id="1757" w:name="_Toc19435248"/>
      <w:bookmarkStart w:id="1758" w:name="_Toc20080604"/>
      <w:r>
        <w:rPr>
          <w:noProof/>
          <w:rtl/>
        </w:rPr>
        <w:t>דברי הרמב"ן בביאור הספק בנטל זאב</w:t>
      </w:r>
      <w:bookmarkEnd w:id="1757"/>
      <w:bookmarkEnd w:id="1758"/>
    </w:p>
    <w:p w14:paraId="1D4892AA" w14:textId="77777777" w:rsidR="00852065" w:rsidRDefault="00852065" w:rsidP="005077A7">
      <w:pPr>
        <w:pStyle w:val="a"/>
        <w:rPr>
          <w:rFonts w:eastAsiaTheme="minorEastAsia" w:cstheme="minorBidi"/>
          <w:noProof/>
          <w:sz w:val="22"/>
          <w:szCs w:val="22"/>
          <w:rtl/>
        </w:rPr>
      </w:pPr>
      <w:r>
        <w:rPr>
          <w:noProof/>
          <w:rtl/>
        </w:rPr>
        <w:t>דברי הרמב"ן בשם י"א דריאה שניטלה מותרת כזאב</w:t>
      </w:r>
    </w:p>
    <w:p w14:paraId="042F4746" w14:textId="77777777" w:rsidR="00852065" w:rsidRDefault="00852065" w:rsidP="005077A7">
      <w:pPr>
        <w:pStyle w:val="a"/>
        <w:rPr>
          <w:rFonts w:eastAsiaTheme="minorEastAsia" w:cstheme="minorBidi"/>
          <w:noProof/>
          <w:sz w:val="22"/>
          <w:szCs w:val="22"/>
          <w:rtl/>
        </w:rPr>
      </w:pPr>
      <w:r>
        <w:rPr>
          <w:noProof/>
          <w:rtl/>
        </w:rPr>
        <w:t>קושית הרמב"ן דכיון שהזאב ניקבם אמאי חיישינן שמא היה נקב אחר</w:t>
      </w:r>
    </w:p>
    <w:p w14:paraId="24CDEECC" w14:textId="77777777" w:rsidR="00852065" w:rsidRDefault="00852065" w:rsidP="005077A7">
      <w:pPr>
        <w:pStyle w:val="a"/>
        <w:rPr>
          <w:rFonts w:eastAsiaTheme="minorEastAsia" w:cstheme="minorBidi"/>
          <w:noProof/>
          <w:sz w:val="22"/>
          <w:szCs w:val="22"/>
          <w:rtl/>
        </w:rPr>
      </w:pPr>
      <w:r>
        <w:rPr>
          <w:noProof/>
          <w:rtl/>
        </w:rPr>
        <w:t>ביאור הרמב"ן דלא ידוע שהזאב ניקב אלא דדרכו לנקב</w:t>
      </w:r>
    </w:p>
    <w:p w14:paraId="0B4EBB97" w14:textId="77777777" w:rsidR="00852065" w:rsidRDefault="00852065" w:rsidP="005077A7">
      <w:pPr>
        <w:pStyle w:val="a"/>
        <w:rPr>
          <w:rFonts w:eastAsiaTheme="minorEastAsia" w:cstheme="minorBidi"/>
          <w:noProof/>
          <w:sz w:val="22"/>
          <w:szCs w:val="22"/>
          <w:rtl/>
        </w:rPr>
      </w:pPr>
      <w:r>
        <w:rPr>
          <w:noProof/>
          <w:rtl/>
        </w:rPr>
        <w:t>דברי הרמב"ן דבין בודאי ניקב הזאב ובין בספק אם הזאב ניקב היא בחזקת היתר</w:t>
      </w:r>
    </w:p>
    <w:p w14:paraId="667F3B29" w14:textId="77777777" w:rsidR="00852065" w:rsidRDefault="00852065" w:rsidP="00852065">
      <w:pPr>
        <w:pStyle w:val="aff4"/>
        <w:rPr>
          <w:rFonts w:eastAsiaTheme="minorEastAsia" w:cstheme="minorBidi"/>
          <w:i/>
          <w:iCs/>
          <w:noProof/>
          <w:sz w:val="22"/>
          <w:szCs w:val="22"/>
          <w:rtl/>
        </w:rPr>
      </w:pPr>
      <w:bookmarkStart w:id="1759" w:name="_Toc19435249"/>
      <w:bookmarkStart w:id="1760" w:name="_Toc20080605"/>
      <w:r>
        <w:rPr>
          <w:noProof/>
          <w:rtl/>
        </w:rPr>
        <w:t>דברי הרא"ה והשיטמ"ק בביאור הספק בנטל זאב</w:t>
      </w:r>
      <w:bookmarkEnd w:id="1759"/>
      <w:bookmarkEnd w:id="1760"/>
    </w:p>
    <w:p w14:paraId="3A0D93A6" w14:textId="77777777" w:rsidR="00852065" w:rsidRDefault="00852065" w:rsidP="005077A7">
      <w:pPr>
        <w:pStyle w:val="a"/>
        <w:rPr>
          <w:rFonts w:eastAsiaTheme="minorEastAsia" w:cstheme="minorBidi"/>
          <w:noProof/>
          <w:sz w:val="22"/>
          <w:szCs w:val="22"/>
          <w:rtl/>
        </w:rPr>
      </w:pPr>
      <w:r>
        <w:rPr>
          <w:noProof/>
          <w:rtl/>
        </w:rPr>
        <w:t>דברי הרא"ה דהספק הוא רק באין ידוע אם הזאב ניקב דבידוע פשיטא דמותר</w:t>
      </w:r>
    </w:p>
    <w:p w14:paraId="35E61588" w14:textId="77777777" w:rsidR="00852065" w:rsidRDefault="00852065" w:rsidP="005077A7">
      <w:pPr>
        <w:pStyle w:val="a"/>
        <w:rPr>
          <w:rFonts w:eastAsiaTheme="minorEastAsia" w:cstheme="minorBidi"/>
          <w:noProof/>
          <w:sz w:val="22"/>
          <w:szCs w:val="22"/>
          <w:rtl/>
        </w:rPr>
      </w:pPr>
      <w:r>
        <w:rPr>
          <w:noProof/>
          <w:rtl/>
        </w:rPr>
        <w:t>קושית השיטמ"ק דבגמ' משמע שהזאב ניקב בפנינו ובלא ידוע שניקב מנלן דתלינן בזאב</w:t>
      </w:r>
    </w:p>
    <w:p w14:paraId="56D4CE28" w14:textId="77777777" w:rsidR="00852065" w:rsidRDefault="00852065" w:rsidP="005077A7">
      <w:pPr>
        <w:pStyle w:val="a"/>
        <w:rPr>
          <w:rFonts w:eastAsiaTheme="minorEastAsia" w:cstheme="minorBidi"/>
          <w:noProof/>
          <w:sz w:val="22"/>
          <w:szCs w:val="22"/>
          <w:rtl/>
        </w:rPr>
      </w:pPr>
      <w:r>
        <w:rPr>
          <w:noProof/>
          <w:rtl/>
        </w:rPr>
        <w:t>דברי השיטמ"ק דבגמ' בידא דטבחא מבואר כדברי הרא"ה</w:t>
      </w:r>
    </w:p>
    <w:p w14:paraId="3CF5C6DF" w14:textId="77777777" w:rsidR="00852065" w:rsidRDefault="00852065" w:rsidP="00852065">
      <w:pPr>
        <w:pStyle w:val="2"/>
        <w:rPr>
          <w:rFonts w:eastAsiaTheme="minorEastAsia" w:cstheme="minorBidi"/>
          <w:i/>
          <w:iCs/>
          <w:noProof/>
          <w:rtl/>
        </w:rPr>
      </w:pPr>
      <w:bookmarkStart w:id="1761" w:name="_Toc19435250"/>
      <w:r>
        <w:rPr>
          <w:noProof/>
          <w:rtl/>
        </w:rPr>
        <w:t>ביאורי ראשי הישיבות על הסוגיא</w:t>
      </w:r>
      <w:bookmarkEnd w:id="1761"/>
    </w:p>
    <w:p w14:paraId="3BDB39E5" w14:textId="77777777" w:rsidR="00852065" w:rsidRDefault="00852065" w:rsidP="00852065">
      <w:pPr>
        <w:pStyle w:val="aff4"/>
        <w:rPr>
          <w:rFonts w:eastAsiaTheme="minorEastAsia" w:cstheme="minorBidi"/>
          <w:i/>
          <w:iCs/>
          <w:noProof/>
          <w:sz w:val="22"/>
          <w:szCs w:val="22"/>
          <w:rtl/>
        </w:rPr>
      </w:pPr>
      <w:bookmarkStart w:id="1762" w:name="_Toc19435251"/>
      <w:bookmarkStart w:id="1763" w:name="_Toc20080606"/>
      <w:r>
        <w:rPr>
          <w:noProof/>
          <w:rtl/>
        </w:rPr>
        <w:t>ביאור השער"י בתוס' ביבמות</w:t>
      </w:r>
      <w:bookmarkEnd w:id="1762"/>
      <w:bookmarkEnd w:id="1763"/>
    </w:p>
    <w:p w14:paraId="6448DAB5" w14:textId="77777777" w:rsidR="00852065" w:rsidRDefault="00852065" w:rsidP="005077A7">
      <w:pPr>
        <w:pStyle w:val="a"/>
        <w:rPr>
          <w:rFonts w:eastAsiaTheme="minorEastAsia" w:cstheme="minorBidi"/>
          <w:noProof/>
          <w:sz w:val="22"/>
          <w:szCs w:val="22"/>
          <w:rtl/>
        </w:rPr>
      </w:pPr>
      <w:r>
        <w:rPr>
          <w:noProof/>
          <w:rtl/>
        </w:rPr>
        <w:t>קושית השער"י דבתוס' מבואר דבכל ספק השקול תלינן ובסוגיין מבואר דתלינן רק בזאב</w:t>
      </w:r>
    </w:p>
    <w:p w14:paraId="59FB4DC2" w14:textId="77777777" w:rsidR="00852065" w:rsidRDefault="00852065" w:rsidP="005077A7">
      <w:pPr>
        <w:pStyle w:val="a"/>
        <w:rPr>
          <w:rFonts w:eastAsiaTheme="minorEastAsia" w:cstheme="minorBidi"/>
          <w:noProof/>
          <w:sz w:val="22"/>
          <w:szCs w:val="22"/>
          <w:rtl/>
        </w:rPr>
      </w:pPr>
      <w:r>
        <w:rPr>
          <w:noProof/>
          <w:rtl/>
        </w:rPr>
        <w:t>דברי השער"י דמדין רוב א"א להתיר בזאב ודרוסה דהוא ספק חיצוני ולא בגופה</w:t>
      </w:r>
    </w:p>
    <w:p w14:paraId="18E2FCEC" w14:textId="77777777" w:rsidR="00852065" w:rsidRDefault="00852065" w:rsidP="005077A7">
      <w:pPr>
        <w:pStyle w:val="a"/>
        <w:rPr>
          <w:rFonts w:eastAsiaTheme="minorEastAsia" w:cstheme="minorBidi"/>
          <w:noProof/>
          <w:sz w:val="22"/>
          <w:szCs w:val="22"/>
          <w:rtl/>
        </w:rPr>
      </w:pPr>
      <w:r>
        <w:rPr>
          <w:noProof/>
          <w:rtl/>
        </w:rPr>
        <w:t>דברי השער"י דבזאב ההיתר הוא מדין חזקה מכח הרוב כמו שהוחזק קודם לידת הספק</w:t>
      </w:r>
    </w:p>
    <w:p w14:paraId="570D9D5C" w14:textId="77777777" w:rsidR="00852065" w:rsidRDefault="00852065" w:rsidP="005077A7">
      <w:pPr>
        <w:pStyle w:val="a"/>
        <w:rPr>
          <w:rFonts w:eastAsiaTheme="minorEastAsia" w:cstheme="minorBidi"/>
          <w:noProof/>
          <w:sz w:val="22"/>
          <w:szCs w:val="22"/>
          <w:rtl/>
        </w:rPr>
      </w:pPr>
      <w:r>
        <w:rPr>
          <w:noProof/>
          <w:rtl/>
        </w:rPr>
        <w:t>דברי השער"י דמחיים אין חזקת היתר כיון שלא הוחזק היתר בפועל</w:t>
      </w:r>
    </w:p>
    <w:p w14:paraId="405AB208" w14:textId="77777777" w:rsidR="00852065" w:rsidRDefault="00852065" w:rsidP="005077A7">
      <w:pPr>
        <w:pStyle w:val="a"/>
        <w:rPr>
          <w:rFonts w:eastAsiaTheme="minorEastAsia" w:cstheme="minorBidi"/>
          <w:noProof/>
          <w:sz w:val="22"/>
          <w:szCs w:val="22"/>
          <w:rtl/>
        </w:rPr>
      </w:pPr>
      <w:r>
        <w:rPr>
          <w:noProof/>
          <w:rtl/>
        </w:rPr>
        <w:t>דברי השער"י דאחר השחיטה כשנתברר שיש ריעותא מחיים חשיב חזקה בטעות</w:t>
      </w:r>
    </w:p>
    <w:p w14:paraId="726CAE0D" w14:textId="77777777" w:rsidR="00852065" w:rsidRDefault="00852065" w:rsidP="005077A7">
      <w:pPr>
        <w:pStyle w:val="a"/>
        <w:rPr>
          <w:rFonts w:eastAsiaTheme="minorEastAsia" w:cstheme="minorBidi"/>
          <w:noProof/>
          <w:sz w:val="22"/>
          <w:szCs w:val="22"/>
          <w:rtl/>
        </w:rPr>
      </w:pPr>
      <w:r>
        <w:rPr>
          <w:noProof/>
          <w:rtl/>
        </w:rPr>
        <w:t>ביאור השער"י בתוס' דהקשו דבספק דרוסה יהיה חזקת היתר מחיים כמו בספק צר"ע</w:t>
      </w:r>
    </w:p>
    <w:p w14:paraId="4E5E1E0F" w14:textId="77777777" w:rsidR="00852065" w:rsidRDefault="00852065" w:rsidP="005077A7">
      <w:pPr>
        <w:pStyle w:val="a"/>
        <w:rPr>
          <w:rFonts w:eastAsiaTheme="minorEastAsia" w:cstheme="minorBidi"/>
          <w:noProof/>
          <w:sz w:val="22"/>
          <w:szCs w:val="22"/>
          <w:rtl/>
        </w:rPr>
      </w:pPr>
      <w:r>
        <w:rPr>
          <w:noProof/>
          <w:rtl/>
        </w:rPr>
        <w:t>ביאור השער"י בתוס' ביבמות דבספק דרוסה מוכח דכשנולד הספק מחיים אין חזקה מחיים</w:t>
      </w:r>
    </w:p>
    <w:p w14:paraId="0BB410AD" w14:textId="77777777" w:rsidR="00852065" w:rsidRDefault="00852065" w:rsidP="005077A7">
      <w:pPr>
        <w:pStyle w:val="a"/>
        <w:rPr>
          <w:rFonts w:eastAsiaTheme="minorEastAsia" w:cstheme="minorBidi"/>
          <w:noProof/>
          <w:sz w:val="22"/>
          <w:szCs w:val="22"/>
          <w:rtl/>
        </w:rPr>
      </w:pPr>
      <w:r>
        <w:rPr>
          <w:noProof/>
          <w:rtl/>
        </w:rPr>
        <w:t>דברי השער"י דלתוס' רק בספק שנולד אחר השחיטה יש חזקת היתר בספק השקול</w:t>
      </w:r>
    </w:p>
    <w:p w14:paraId="15F06D8E" w14:textId="77777777" w:rsidR="00852065" w:rsidRDefault="00852065" w:rsidP="00852065">
      <w:pPr>
        <w:pStyle w:val="aff4"/>
        <w:rPr>
          <w:rFonts w:eastAsiaTheme="minorEastAsia" w:cstheme="minorBidi"/>
          <w:i/>
          <w:iCs/>
          <w:noProof/>
          <w:sz w:val="22"/>
          <w:szCs w:val="22"/>
          <w:rtl/>
        </w:rPr>
      </w:pPr>
      <w:bookmarkStart w:id="1764" w:name="_Toc19435252"/>
      <w:bookmarkStart w:id="1765" w:name="_Toc20080607"/>
      <w:r>
        <w:rPr>
          <w:noProof/>
          <w:rtl/>
        </w:rPr>
        <w:t>ביאור השער"י בדברי הדרכ"מ בנמצא מים במוח</w:t>
      </w:r>
      <w:bookmarkEnd w:id="1764"/>
      <w:bookmarkEnd w:id="1765"/>
    </w:p>
    <w:p w14:paraId="43A7969C" w14:textId="77777777" w:rsidR="00852065" w:rsidRDefault="00852065" w:rsidP="005077A7">
      <w:pPr>
        <w:pStyle w:val="a"/>
        <w:rPr>
          <w:rFonts w:eastAsiaTheme="minorEastAsia" w:cstheme="minorBidi"/>
          <w:noProof/>
          <w:sz w:val="22"/>
          <w:szCs w:val="22"/>
          <w:rtl/>
        </w:rPr>
      </w:pPr>
      <w:r>
        <w:rPr>
          <w:noProof/>
          <w:rtl/>
        </w:rPr>
        <w:t>ביאור השער"י בדרכ"מ דיתכן שנולדה עם הריעותא ואין חזקת היתר בריעותא מחיים</w:t>
      </w:r>
    </w:p>
    <w:p w14:paraId="0F49B717" w14:textId="77777777" w:rsidR="00852065" w:rsidRDefault="00852065" w:rsidP="005077A7">
      <w:pPr>
        <w:pStyle w:val="a"/>
        <w:rPr>
          <w:rFonts w:eastAsiaTheme="minorEastAsia" w:cstheme="minorBidi"/>
          <w:noProof/>
          <w:sz w:val="22"/>
          <w:szCs w:val="22"/>
          <w:rtl/>
        </w:rPr>
      </w:pPr>
      <w:r>
        <w:rPr>
          <w:noProof/>
          <w:rtl/>
        </w:rPr>
        <w:t>ביאור השער"י בדרכ"מ דבמנצאת לאחר השחיטה ריעותא מחיים חשיב חזקה בטעות</w:t>
      </w:r>
    </w:p>
    <w:p w14:paraId="1A01ADB9" w14:textId="77777777" w:rsidR="00852065" w:rsidRDefault="00852065" w:rsidP="005077A7">
      <w:pPr>
        <w:pStyle w:val="a"/>
        <w:rPr>
          <w:rFonts w:eastAsiaTheme="minorEastAsia" w:cstheme="minorBidi"/>
          <w:noProof/>
          <w:sz w:val="22"/>
          <w:szCs w:val="22"/>
          <w:rtl/>
        </w:rPr>
      </w:pPr>
      <w:r>
        <w:rPr>
          <w:noProof/>
          <w:rtl/>
        </w:rPr>
        <w:t>ביאור השער"י בראיית הדרכ"מ מתוס' דרק בריעותא אחר שחיטה יש חזקת היתר</w:t>
      </w:r>
    </w:p>
    <w:p w14:paraId="4D7246CE" w14:textId="77777777" w:rsidR="00852065" w:rsidRDefault="00852065" w:rsidP="00852065">
      <w:pPr>
        <w:pStyle w:val="aff4"/>
        <w:rPr>
          <w:rFonts w:eastAsiaTheme="minorEastAsia" w:cstheme="minorBidi"/>
          <w:i/>
          <w:iCs/>
          <w:noProof/>
          <w:sz w:val="22"/>
          <w:szCs w:val="22"/>
          <w:rtl/>
        </w:rPr>
      </w:pPr>
      <w:bookmarkStart w:id="1766" w:name="_Toc19435253"/>
      <w:bookmarkStart w:id="1767" w:name="_Toc20080608"/>
      <w:r>
        <w:rPr>
          <w:noProof/>
          <w:rtl/>
        </w:rPr>
        <w:t>ביאור השער"י בפלוגתת התוס' ורבינו יונה בגבינות</w:t>
      </w:r>
      <w:bookmarkEnd w:id="1766"/>
      <w:bookmarkEnd w:id="1767"/>
    </w:p>
    <w:p w14:paraId="34133A4F" w14:textId="77777777" w:rsidR="00852065" w:rsidRDefault="00852065" w:rsidP="005077A7">
      <w:pPr>
        <w:pStyle w:val="a"/>
        <w:rPr>
          <w:rFonts w:eastAsiaTheme="minorEastAsia" w:cstheme="minorBidi"/>
          <w:noProof/>
          <w:sz w:val="22"/>
          <w:szCs w:val="22"/>
          <w:rtl/>
        </w:rPr>
      </w:pPr>
      <w:r>
        <w:rPr>
          <w:noProof/>
          <w:rtl/>
        </w:rPr>
        <w:t>דברי השער"י דיש חילוק בין חזקה שלא היה שינוי לחזקה שהספק מתי היה השינוי דאינה אלימא</w:t>
      </w:r>
    </w:p>
    <w:p w14:paraId="60B0AAA2" w14:textId="77777777" w:rsidR="00852065" w:rsidRDefault="00852065" w:rsidP="005077A7">
      <w:pPr>
        <w:pStyle w:val="a"/>
        <w:rPr>
          <w:rFonts w:eastAsiaTheme="minorEastAsia" w:cstheme="minorBidi"/>
          <w:noProof/>
          <w:sz w:val="22"/>
          <w:szCs w:val="22"/>
          <w:rtl/>
        </w:rPr>
      </w:pPr>
      <w:r>
        <w:rPr>
          <w:noProof/>
          <w:rtl/>
        </w:rPr>
        <w:t>ביאור השער"י בתוס' דבזאב אין ריעותא ויש חזקה משא"כ בגבינות שודאי טריפה</w:t>
      </w:r>
    </w:p>
    <w:p w14:paraId="748F030F" w14:textId="77777777" w:rsidR="00852065" w:rsidRDefault="00852065" w:rsidP="005077A7">
      <w:pPr>
        <w:pStyle w:val="a"/>
        <w:rPr>
          <w:rFonts w:eastAsiaTheme="minorEastAsia" w:cstheme="minorBidi"/>
          <w:noProof/>
          <w:sz w:val="22"/>
          <w:szCs w:val="22"/>
          <w:rtl/>
        </w:rPr>
      </w:pPr>
      <w:r>
        <w:rPr>
          <w:noProof/>
          <w:rtl/>
        </w:rPr>
        <w:t>ביאור השער"י ברבינו יונה דאף בגבינות אפשר לתלות דנטרפה בשחיטה ואין חסרון בחזקה</w:t>
      </w:r>
    </w:p>
    <w:p w14:paraId="2D753A1B" w14:textId="77777777" w:rsidR="00852065" w:rsidRDefault="00852065" w:rsidP="00852065">
      <w:pPr>
        <w:pStyle w:val="aff4"/>
        <w:rPr>
          <w:rFonts w:eastAsiaTheme="minorEastAsia" w:cstheme="minorBidi"/>
          <w:i/>
          <w:iCs/>
          <w:noProof/>
          <w:sz w:val="22"/>
          <w:szCs w:val="22"/>
          <w:rtl/>
        </w:rPr>
      </w:pPr>
      <w:bookmarkStart w:id="1768" w:name="_Toc19435254"/>
      <w:bookmarkStart w:id="1769" w:name="_Toc20080609"/>
      <w:r>
        <w:rPr>
          <w:noProof/>
          <w:rtl/>
        </w:rPr>
        <w:t>ביאור השער"י בדין חזקה מכח רוב במקום ריעותא</w:t>
      </w:r>
      <w:bookmarkEnd w:id="1768"/>
      <w:bookmarkEnd w:id="1769"/>
    </w:p>
    <w:p w14:paraId="0542E7C4" w14:textId="77777777" w:rsidR="00852065" w:rsidRDefault="00852065" w:rsidP="005077A7">
      <w:pPr>
        <w:pStyle w:val="a"/>
        <w:rPr>
          <w:rFonts w:eastAsiaTheme="minorEastAsia" w:cstheme="minorBidi"/>
          <w:noProof/>
          <w:sz w:val="22"/>
          <w:szCs w:val="22"/>
          <w:rtl/>
        </w:rPr>
      </w:pPr>
      <w:r>
        <w:rPr>
          <w:noProof/>
          <w:rtl/>
        </w:rPr>
        <w:t>ביאור השער"י ברמ"א דכשהספק אם הריעותא עושה טריפה לא מהני חזקה מכח רוב</w:t>
      </w:r>
    </w:p>
    <w:p w14:paraId="72C20864" w14:textId="77777777" w:rsidR="00852065" w:rsidRDefault="00852065" w:rsidP="005077A7">
      <w:pPr>
        <w:pStyle w:val="a"/>
        <w:rPr>
          <w:rFonts w:eastAsiaTheme="minorEastAsia" w:cstheme="minorBidi"/>
          <w:noProof/>
          <w:sz w:val="22"/>
          <w:szCs w:val="22"/>
          <w:rtl/>
        </w:rPr>
      </w:pPr>
      <w:r>
        <w:rPr>
          <w:noProof/>
          <w:rtl/>
        </w:rPr>
        <w:t>ביאור השער"י דבמקום ריעותא חשיב חזקה בטעות דדינה כרוב ואין רוב בבהמות עם ריעותא</w:t>
      </w:r>
    </w:p>
    <w:p w14:paraId="18C8DB64" w14:textId="77777777" w:rsidR="00852065" w:rsidRDefault="00852065" w:rsidP="00852065">
      <w:pPr>
        <w:pStyle w:val="aff4"/>
        <w:rPr>
          <w:rFonts w:eastAsiaTheme="minorEastAsia" w:cstheme="minorBidi"/>
          <w:i/>
          <w:iCs/>
          <w:noProof/>
          <w:sz w:val="22"/>
          <w:szCs w:val="22"/>
          <w:rtl/>
        </w:rPr>
      </w:pPr>
      <w:bookmarkStart w:id="1770" w:name="_Toc19435255"/>
      <w:bookmarkStart w:id="1771" w:name="_Toc20080610"/>
      <w:r>
        <w:rPr>
          <w:noProof/>
          <w:rtl/>
        </w:rPr>
        <w:t>ביאור השער"י ברבינו יונה שא"א לחלק את זמן החזקה</w:t>
      </w:r>
      <w:bookmarkEnd w:id="1770"/>
      <w:bookmarkEnd w:id="1771"/>
    </w:p>
    <w:p w14:paraId="6C9556EE" w14:textId="77777777" w:rsidR="00852065" w:rsidRDefault="00852065" w:rsidP="005077A7">
      <w:pPr>
        <w:pStyle w:val="a"/>
        <w:rPr>
          <w:rFonts w:eastAsiaTheme="minorEastAsia" w:cstheme="minorBidi"/>
          <w:noProof/>
          <w:sz w:val="22"/>
          <w:szCs w:val="22"/>
          <w:rtl/>
        </w:rPr>
      </w:pPr>
      <w:r>
        <w:rPr>
          <w:noProof/>
          <w:rtl/>
        </w:rPr>
        <w:t>ביאור השער"י ברבינו יונה דכל שיצאה מהחזקה לשעה אחת א"א לומר דעכשיו נשתנה</w:t>
      </w:r>
    </w:p>
    <w:p w14:paraId="3834CCDE" w14:textId="77777777" w:rsidR="00852065" w:rsidRDefault="00852065" w:rsidP="005077A7">
      <w:pPr>
        <w:pStyle w:val="a"/>
        <w:rPr>
          <w:rFonts w:eastAsiaTheme="minorEastAsia" w:cstheme="minorBidi"/>
          <w:noProof/>
          <w:sz w:val="22"/>
          <w:szCs w:val="22"/>
          <w:rtl/>
        </w:rPr>
      </w:pPr>
      <w:r>
        <w:rPr>
          <w:noProof/>
          <w:rtl/>
        </w:rPr>
        <w:t>ביאור השער"י דהחזקה היא על כל העבר וכשיצאה מהחזקה בעבר א"א לחלק את הזמן</w:t>
      </w:r>
    </w:p>
    <w:p w14:paraId="5CA42368" w14:textId="77777777" w:rsidR="00852065" w:rsidRDefault="00852065" w:rsidP="00852065">
      <w:pPr>
        <w:pStyle w:val="aff4"/>
        <w:rPr>
          <w:rFonts w:eastAsiaTheme="minorEastAsia" w:cstheme="minorBidi"/>
          <w:i/>
          <w:iCs/>
          <w:noProof/>
          <w:sz w:val="22"/>
          <w:szCs w:val="22"/>
          <w:rtl/>
        </w:rPr>
      </w:pPr>
      <w:bookmarkStart w:id="1772" w:name="_Toc19435256"/>
      <w:bookmarkStart w:id="1773" w:name="_Toc20080611"/>
      <w:r>
        <w:rPr>
          <w:noProof/>
          <w:rtl/>
        </w:rPr>
        <w:t>ביאור הקוה"ע בגדר החזקת היתר ובספק דרוסה</w:t>
      </w:r>
      <w:bookmarkEnd w:id="1772"/>
      <w:bookmarkEnd w:id="1773"/>
    </w:p>
    <w:p w14:paraId="1FEF46EB" w14:textId="77777777" w:rsidR="00852065" w:rsidRDefault="00852065" w:rsidP="005077A7">
      <w:pPr>
        <w:pStyle w:val="a"/>
        <w:rPr>
          <w:rFonts w:eastAsiaTheme="minorEastAsia" w:cstheme="minorBidi"/>
          <w:noProof/>
          <w:sz w:val="22"/>
          <w:szCs w:val="22"/>
          <w:rtl/>
        </w:rPr>
      </w:pPr>
      <w:r>
        <w:rPr>
          <w:noProof/>
          <w:rtl/>
        </w:rPr>
        <w:t>קושית הקוה"ע דאף בספק אחר השחיטה הספק הוא האם נטרפה מחיים</w:t>
      </w:r>
    </w:p>
    <w:p w14:paraId="39805BB2" w14:textId="77777777" w:rsidR="00852065" w:rsidRDefault="00852065" w:rsidP="005077A7">
      <w:pPr>
        <w:pStyle w:val="a"/>
        <w:rPr>
          <w:rFonts w:eastAsiaTheme="minorEastAsia" w:cstheme="minorBidi"/>
          <w:noProof/>
          <w:sz w:val="22"/>
          <w:szCs w:val="22"/>
          <w:rtl/>
        </w:rPr>
      </w:pPr>
      <w:r>
        <w:rPr>
          <w:noProof/>
          <w:rtl/>
        </w:rPr>
        <w:t>קושית הקוה"ע דבכל ספק טריפה אין חזקת היתר דהספק הוא על קודם השחיטה</w:t>
      </w:r>
    </w:p>
    <w:p w14:paraId="0C4A8998" w14:textId="77777777" w:rsidR="00852065" w:rsidRDefault="00852065" w:rsidP="005077A7">
      <w:pPr>
        <w:pStyle w:val="a"/>
        <w:rPr>
          <w:rFonts w:eastAsiaTheme="minorEastAsia" w:cstheme="minorBidi"/>
          <w:noProof/>
          <w:sz w:val="22"/>
          <w:szCs w:val="22"/>
          <w:rtl/>
        </w:rPr>
      </w:pPr>
      <w:r>
        <w:rPr>
          <w:noProof/>
          <w:rtl/>
        </w:rPr>
        <w:t>ביאור הקוה"ע דההיתר מדין חזקה מכח רוב ובספק מחיים יצאה מכלל הרוב</w:t>
      </w:r>
    </w:p>
    <w:p w14:paraId="228D3C1A" w14:textId="77777777" w:rsidR="00852065" w:rsidRDefault="00852065" w:rsidP="005077A7">
      <w:pPr>
        <w:pStyle w:val="a"/>
        <w:rPr>
          <w:rFonts w:eastAsiaTheme="minorEastAsia" w:cstheme="minorBidi"/>
          <w:noProof/>
          <w:sz w:val="22"/>
          <w:szCs w:val="22"/>
          <w:rtl/>
        </w:rPr>
      </w:pPr>
      <w:r>
        <w:rPr>
          <w:noProof/>
          <w:rtl/>
        </w:rPr>
        <w:t>ביאור הקוה"ע בתבו"ש דרק בריעותא שהיא גורמת את הספק יצאה מכלל הרוב</w:t>
      </w:r>
    </w:p>
    <w:p w14:paraId="1F47678C" w14:textId="77777777" w:rsidR="00852065" w:rsidRDefault="00852065" w:rsidP="005077A7">
      <w:pPr>
        <w:pStyle w:val="a"/>
        <w:rPr>
          <w:rFonts w:eastAsiaTheme="minorEastAsia" w:cstheme="minorBidi"/>
          <w:noProof/>
          <w:sz w:val="22"/>
          <w:szCs w:val="22"/>
          <w:rtl/>
        </w:rPr>
      </w:pPr>
      <w:r>
        <w:rPr>
          <w:noProof/>
          <w:rtl/>
        </w:rPr>
        <w:t>קושית הקוה"ע דצר"ע לא יצאה מכלל הרוב ומה הקשו התוס' מספק דרוסה</w:t>
      </w:r>
    </w:p>
    <w:p w14:paraId="115C1EE2" w14:textId="77777777" w:rsidR="00852065" w:rsidRDefault="00852065" w:rsidP="005077A7">
      <w:pPr>
        <w:pStyle w:val="a"/>
        <w:rPr>
          <w:rFonts w:eastAsiaTheme="minorEastAsia" w:cstheme="minorBidi"/>
          <w:noProof/>
          <w:sz w:val="22"/>
          <w:szCs w:val="22"/>
          <w:rtl/>
        </w:rPr>
      </w:pPr>
      <w:r>
        <w:rPr>
          <w:noProof/>
          <w:rtl/>
        </w:rPr>
        <w:t>ביאור הקוה"ע דהקשו התוס' דבדרוסה יהיה חזקת היתר מחיים כחזקה דרבה</w:t>
      </w:r>
    </w:p>
    <w:p w14:paraId="16198059" w14:textId="77777777" w:rsidR="00852065" w:rsidRDefault="00852065" w:rsidP="005077A7">
      <w:pPr>
        <w:pStyle w:val="a"/>
        <w:rPr>
          <w:rFonts w:eastAsiaTheme="minorEastAsia" w:cstheme="minorBidi"/>
          <w:noProof/>
          <w:sz w:val="22"/>
          <w:szCs w:val="22"/>
          <w:rtl/>
        </w:rPr>
      </w:pPr>
      <w:r>
        <w:rPr>
          <w:noProof/>
          <w:rtl/>
        </w:rPr>
        <w:t>קושית הקוה"ע דבדרוסה יש חזקת הגוף שלא נולדה דרוסה</w:t>
      </w:r>
    </w:p>
    <w:p w14:paraId="6B5D8B4E" w14:textId="77777777" w:rsidR="00852065" w:rsidRDefault="00852065" w:rsidP="005077A7">
      <w:pPr>
        <w:pStyle w:val="a"/>
        <w:rPr>
          <w:rFonts w:eastAsiaTheme="minorEastAsia" w:cstheme="minorBidi"/>
          <w:noProof/>
          <w:sz w:val="22"/>
          <w:szCs w:val="22"/>
          <w:rtl/>
        </w:rPr>
      </w:pPr>
      <w:r>
        <w:rPr>
          <w:noProof/>
          <w:rtl/>
        </w:rPr>
        <w:t>דחיית הקוה"ע לדברי החוו"ד דהספק הוא בנקב נולד רק מחמת הקוץ ובזה יש חזקת הגוף</w:t>
      </w:r>
    </w:p>
    <w:p w14:paraId="7EB61948" w14:textId="77777777" w:rsidR="00852065" w:rsidRDefault="00852065" w:rsidP="005077A7">
      <w:pPr>
        <w:pStyle w:val="a"/>
        <w:rPr>
          <w:rFonts w:eastAsiaTheme="minorEastAsia" w:cstheme="minorBidi"/>
          <w:noProof/>
          <w:sz w:val="22"/>
          <w:szCs w:val="22"/>
          <w:rtl/>
        </w:rPr>
      </w:pPr>
      <w:r>
        <w:rPr>
          <w:noProof/>
          <w:rtl/>
        </w:rPr>
        <w:t>ביאור הקוה"ע בתוס' דבנולד הספק בזמן האיסור החזקת איסור סותרת לחזקת הגוף</w:t>
      </w:r>
    </w:p>
    <w:p w14:paraId="2AF4D95E" w14:textId="77777777" w:rsidR="00852065" w:rsidRDefault="00852065" w:rsidP="00852065">
      <w:pPr>
        <w:pStyle w:val="aff4"/>
        <w:rPr>
          <w:rFonts w:eastAsiaTheme="minorEastAsia" w:cstheme="minorBidi"/>
          <w:i/>
          <w:iCs/>
          <w:noProof/>
          <w:sz w:val="22"/>
          <w:szCs w:val="22"/>
          <w:rtl/>
        </w:rPr>
      </w:pPr>
      <w:bookmarkStart w:id="1774" w:name="_Toc19435257"/>
      <w:bookmarkStart w:id="1775" w:name="_Toc20080612"/>
      <w:r>
        <w:rPr>
          <w:noProof/>
          <w:rtl/>
        </w:rPr>
        <w:t>ביאור הקוה"ע בדעת התוס' בספק השקול</w:t>
      </w:r>
      <w:bookmarkEnd w:id="1774"/>
      <w:bookmarkEnd w:id="1775"/>
    </w:p>
    <w:p w14:paraId="0E43A885" w14:textId="77777777" w:rsidR="00852065" w:rsidRDefault="00852065" w:rsidP="005077A7">
      <w:pPr>
        <w:pStyle w:val="a"/>
        <w:rPr>
          <w:rFonts w:eastAsiaTheme="minorEastAsia" w:cstheme="minorBidi"/>
          <w:noProof/>
          <w:sz w:val="22"/>
          <w:szCs w:val="22"/>
          <w:rtl/>
        </w:rPr>
      </w:pPr>
      <w:r>
        <w:rPr>
          <w:noProof/>
          <w:rtl/>
        </w:rPr>
        <w:t>דברי הקוה"ע דאין כוונת התוס' דבספק השקול יש חזקת היתר דהא לא נתבררה בשעתה</w:t>
      </w:r>
    </w:p>
    <w:p w14:paraId="54A4A0BA" w14:textId="77777777" w:rsidR="00852065" w:rsidRDefault="00852065" w:rsidP="005077A7">
      <w:pPr>
        <w:pStyle w:val="a"/>
        <w:rPr>
          <w:rFonts w:eastAsiaTheme="minorEastAsia" w:cstheme="minorBidi"/>
          <w:noProof/>
          <w:sz w:val="22"/>
          <w:szCs w:val="22"/>
          <w:rtl/>
        </w:rPr>
      </w:pPr>
      <w:r>
        <w:rPr>
          <w:noProof/>
          <w:rtl/>
        </w:rPr>
        <w:t>דברי הקוה"ע דבדרוסה אם היה ספק השקול היה חזקת הגוף שלא נולדה דרוסה</w:t>
      </w:r>
    </w:p>
    <w:p w14:paraId="4AB6D211" w14:textId="77777777" w:rsidR="00852065" w:rsidRDefault="00852065" w:rsidP="005077A7">
      <w:pPr>
        <w:pStyle w:val="a"/>
        <w:rPr>
          <w:rFonts w:eastAsiaTheme="minorEastAsia" w:cstheme="minorBidi"/>
          <w:noProof/>
          <w:sz w:val="22"/>
          <w:szCs w:val="22"/>
          <w:rtl/>
        </w:rPr>
      </w:pPr>
      <w:r>
        <w:rPr>
          <w:noProof/>
          <w:rtl/>
        </w:rPr>
        <w:t>דברי הקוע"ה דלתוס' במים במוח אסורה דלא נתבררה החזקה ואין חזקת הגוף</w:t>
      </w:r>
    </w:p>
    <w:p w14:paraId="62A5AF7D" w14:textId="77777777" w:rsidR="00852065" w:rsidRDefault="00852065" w:rsidP="00852065">
      <w:pPr>
        <w:pStyle w:val="aff4"/>
        <w:rPr>
          <w:rFonts w:eastAsiaTheme="minorEastAsia" w:cstheme="minorBidi"/>
          <w:i/>
          <w:iCs/>
          <w:noProof/>
          <w:sz w:val="22"/>
          <w:szCs w:val="22"/>
          <w:rtl/>
        </w:rPr>
      </w:pPr>
      <w:bookmarkStart w:id="1776" w:name="_Toc19435258"/>
      <w:bookmarkStart w:id="1777" w:name="_Toc20080613"/>
      <w:r>
        <w:rPr>
          <w:noProof/>
          <w:rtl/>
        </w:rPr>
        <w:t>הביאור הא' בקוה"ע בדעת הרשב"א דע"י הרוב יש לה חזקה</w:t>
      </w:r>
      <w:bookmarkEnd w:id="1776"/>
      <w:bookmarkEnd w:id="1777"/>
    </w:p>
    <w:p w14:paraId="094A3C09" w14:textId="77777777" w:rsidR="00852065" w:rsidRDefault="00852065" w:rsidP="005077A7">
      <w:pPr>
        <w:pStyle w:val="a"/>
        <w:rPr>
          <w:rFonts w:eastAsiaTheme="minorEastAsia" w:cstheme="minorBidi"/>
          <w:noProof/>
          <w:sz w:val="22"/>
          <w:szCs w:val="22"/>
          <w:rtl/>
        </w:rPr>
      </w:pPr>
      <w:r>
        <w:rPr>
          <w:noProof/>
          <w:rtl/>
        </w:rPr>
        <w:t>דברי הקוה"ע דלהרשב"א שהתיר בגבינות ע"י חזקה מכח רוב אף בנמצאו מים במוח מותר</w:t>
      </w:r>
    </w:p>
    <w:p w14:paraId="7FEDCEC7" w14:textId="77777777" w:rsidR="00852065" w:rsidRDefault="00852065" w:rsidP="005077A7">
      <w:pPr>
        <w:pStyle w:val="a"/>
        <w:rPr>
          <w:rFonts w:eastAsiaTheme="minorEastAsia" w:cstheme="minorBidi"/>
          <w:noProof/>
          <w:sz w:val="22"/>
          <w:szCs w:val="22"/>
          <w:rtl/>
        </w:rPr>
      </w:pPr>
      <w:r>
        <w:rPr>
          <w:noProof/>
          <w:rtl/>
        </w:rPr>
        <w:t>הביאור הא' בקוה"ע ברשב"א דע"י הרוב חשיב שיש עדים שהבהמה כשרה ונתבררה החזקה</w:t>
      </w:r>
    </w:p>
    <w:p w14:paraId="61229A42" w14:textId="77777777" w:rsidR="00852065" w:rsidRDefault="00852065" w:rsidP="005077A7">
      <w:pPr>
        <w:pStyle w:val="a"/>
        <w:rPr>
          <w:rFonts w:eastAsiaTheme="minorEastAsia" w:cstheme="minorBidi"/>
          <w:noProof/>
          <w:sz w:val="22"/>
          <w:szCs w:val="22"/>
          <w:rtl/>
        </w:rPr>
      </w:pPr>
      <w:r>
        <w:rPr>
          <w:noProof/>
          <w:rtl/>
        </w:rPr>
        <w:t>דברי הקוה"ע דלפי"ז הרשב"א התיר בגבינות רק בבהמה בת יותר מי"ב חודש</w:t>
      </w:r>
    </w:p>
    <w:p w14:paraId="0784BA76" w14:textId="77777777" w:rsidR="00852065" w:rsidRDefault="00852065" w:rsidP="005077A7">
      <w:pPr>
        <w:pStyle w:val="a"/>
        <w:rPr>
          <w:rFonts w:eastAsiaTheme="minorEastAsia" w:cstheme="minorBidi"/>
          <w:noProof/>
          <w:sz w:val="22"/>
          <w:szCs w:val="22"/>
          <w:rtl/>
        </w:rPr>
      </w:pPr>
      <w:r>
        <w:rPr>
          <w:noProof/>
          <w:rtl/>
        </w:rPr>
        <w:t>דברי הקוה"ע דלפי"ז בנמצאו מים במוח יש חזקה מכח רוב ויש לה חזקת היתר מחיים</w:t>
      </w:r>
    </w:p>
    <w:p w14:paraId="09F1E43D" w14:textId="77777777" w:rsidR="00852065" w:rsidRDefault="00852065" w:rsidP="00852065">
      <w:pPr>
        <w:pStyle w:val="aff4"/>
        <w:rPr>
          <w:rFonts w:eastAsiaTheme="minorEastAsia" w:cstheme="minorBidi"/>
          <w:i/>
          <w:iCs/>
          <w:noProof/>
          <w:sz w:val="22"/>
          <w:szCs w:val="22"/>
          <w:rtl/>
        </w:rPr>
      </w:pPr>
      <w:bookmarkStart w:id="1778" w:name="_Toc19435259"/>
      <w:bookmarkStart w:id="1779" w:name="_Toc20080614"/>
      <w:r>
        <w:rPr>
          <w:noProof/>
          <w:rtl/>
        </w:rPr>
        <w:t>הביאור הב' בקוה"ע בדעת הרשב"א דמותרת מדין רוב</w:t>
      </w:r>
      <w:bookmarkEnd w:id="1778"/>
      <w:bookmarkEnd w:id="1779"/>
    </w:p>
    <w:p w14:paraId="1FCDA173" w14:textId="77777777" w:rsidR="00852065" w:rsidRDefault="00852065" w:rsidP="005077A7">
      <w:pPr>
        <w:pStyle w:val="a"/>
        <w:rPr>
          <w:rFonts w:eastAsiaTheme="minorEastAsia" w:cstheme="minorBidi"/>
          <w:noProof/>
          <w:sz w:val="22"/>
          <w:szCs w:val="22"/>
          <w:rtl/>
        </w:rPr>
      </w:pPr>
      <w:r>
        <w:rPr>
          <w:noProof/>
          <w:rtl/>
        </w:rPr>
        <w:t>הביאור הב' בקוה"ע דהרשב"א התיר בגבינות מדין רוב ומחזיקין שבשעת החליבה היה רוב</w:t>
      </w:r>
    </w:p>
    <w:p w14:paraId="2EB76F7A" w14:textId="77777777" w:rsidR="00852065" w:rsidRDefault="00852065" w:rsidP="005077A7">
      <w:pPr>
        <w:pStyle w:val="a"/>
        <w:rPr>
          <w:rFonts w:eastAsiaTheme="minorEastAsia" w:cstheme="minorBidi"/>
          <w:noProof/>
          <w:sz w:val="22"/>
          <w:szCs w:val="22"/>
          <w:rtl/>
        </w:rPr>
      </w:pPr>
      <w:r>
        <w:rPr>
          <w:noProof/>
          <w:rtl/>
        </w:rPr>
        <w:t>דברי הקוה"ע דלביאור הב' אף בבהמה פחותה מי"ב חודש הגבינות מותרות</w:t>
      </w:r>
    </w:p>
    <w:p w14:paraId="4E3C65B9" w14:textId="77777777" w:rsidR="00852065" w:rsidRDefault="00852065" w:rsidP="005077A7">
      <w:pPr>
        <w:pStyle w:val="a"/>
        <w:rPr>
          <w:rFonts w:eastAsiaTheme="minorEastAsia" w:cstheme="minorBidi"/>
          <w:noProof/>
          <w:sz w:val="22"/>
          <w:szCs w:val="22"/>
          <w:rtl/>
        </w:rPr>
      </w:pPr>
      <w:r>
        <w:rPr>
          <w:noProof/>
          <w:rtl/>
        </w:rPr>
        <w:t>דברי הקוה"ע דלביאור הב' במצא מים במוח אסורה דאינה בכלל הרוב</w:t>
      </w:r>
    </w:p>
    <w:p w14:paraId="7E175234" w14:textId="77777777" w:rsidR="00852065" w:rsidRDefault="00852065" w:rsidP="00852065">
      <w:pPr>
        <w:pStyle w:val="aff4"/>
        <w:rPr>
          <w:rFonts w:eastAsiaTheme="minorEastAsia" w:cstheme="minorBidi"/>
          <w:i/>
          <w:iCs/>
          <w:noProof/>
          <w:sz w:val="22"/>
          <w:szCs w:val="22"/>
          <w:rtl/>
        </w:rPr>
      </w:pPr>
      <w:bookmarkStart w:id="1780" w:name="_Toc19435260"/>
      <w:bookmarkStart w:id="1781" w:name="_Toc20080615"/>
      <w:r>
        <w:rPr>
          <w:noProof/>
          <w:rtl/>
        </w:rPr>
        <w:t>דברי הקוע"ה דלתוס' ההיתר מדין חזקה ולא מדין רוב</w:t>
      </w:r>
      <w:bookmarkEnd w:id="1780"/>
      <w:bookmarkEnd w:id="1781"/>
    </w:p>
    <w:p w14:paraId="5FB99996" w14:textId="77777777" w:rsidR="00852065" w:rsidRDefault="00852065" w:rsidP="005077A7">
      <w:pPr>
        <w:pStyle w:val="a"/>
        <w:rPr>
          <w:rFonts w:eastAsiaTheme="minorEastAsia" w:cstheme="minorBidi"/>
          <w:noProof/>
          <w:sz w:val="22"/>
          <w:szCs w:val="22"/>
          <w:rtl/>
        </w:rPr>
      </w:pPr>
      <w:r>
        <w:rPr>
          <w:noProof/>
          <w:rtl/>
        </w:rPr>
        <w:t>דברי הקוה"ע דמבואר בתוס' דפליגי על הר"ן דכתב דההיתר מדין רוב מדדימו לחזקת טומאה</w:t>
      </w:r>
    </w:p>
    <w:p w14:paraId="6E4603B4" w14:textId="77777777" w:rsidR="00852065" w:rsidRDefault="00852065" w:rsidP="00852065">
      <w:pPr>
        <w:pStyle w:val="aff4"/>
        <w:rPr>
          <w:rFonts w:eastAsiaTheme="minorEastAsia" w:cstheme="minorBidi"/>
          <w:i/>
          <w:iCs/>
          <w:noProof/>
          <w:sz w:val="22"/>
          <w:szCs w:val="22"/>
          <w:rtl/>
        </w:rPr>
      </w:pPr>
      <w:bookmarkStart w:id="1782" w:name="_Toc19435261"/>
      <w:bookmarkStart w:id="1783" w:name="_Toc20080616"/>
      <w:r>
        <w:rPr>
          <w:noProof/>
          <w:rtl/>
        </w:rPr>
        <w:t>ביאור האבאה"ז בדברי התבו"ש</w:t>
      </w:r>
      <w:bookmarkEnd w:id="1782"/>
      <w:bookmarkEnd w:id="1783"/>
    </w:p>
    <w:p w14:paraId="0F090608" w14:textId="77777777" w:rsidR="00852065" w:rsidRDefault="00852065" w:rsidP="005077A7">
      <w:pPr>
        <w:pStyle w:val="a"/>
        <w:rPr>
          <w:rFonts w:eastAsiaTheme="minorEastAsia" w:cstheme="minorBidi"/>
          <w:noProof/>
          <w:sz w:val="22"/>
          <w:szCs w:val="22"/>
          <w:rtl/>
        </w:rPr>
      </w:pPr>
      <w:r>
        <w:rPr>
          <w:noProof/>
          <w:rtl/>
        </w:rPr>
        <w:t>ביאור האבאה"ז בתבו"ש דבספק בטבע לא שייך לומר שהיא בכלל הרוב</w:t>
      </w:r>
    </w:p>
    <w:p w14:paraId="68391B46" w14:textId="77777777" w:rsidR="00852065" w:rsidRDefault="00852065" w:rsidP="005077A7">
      <w:pPr>
        <w:pStyle w:val="a"/>
        <w:rPr>
          <w:rFonts w:eastAsiaTheme="minorEastAsia" w:cstheme="minorBidi"/>
          <w:noProof/>
          <w:sz w:val="22"/>
          <w:szCs w:val="22"/>
          <w:rtl/>
        </w:rPr>
      </w:pPr>
      <w:r>
        <w:rPr>
          <w:noProof/>
          <w:rtl/>
        </w:rPr>
        <w:t>ביאור האבאה"ז דבהמה חולה יש לה עצמה חזקת כשרות דרוב חולים לחיים</w:t>
      </w:r>
    </w:p>
    <w:p w14:paraId="71D8395F" w14:textId="77777777" w:rsidR="00852065" w:rsidRDefault="00852065" w:rsidP="00852065">
      <w:pPr>
        <w:pStyle w:val="aff4"/>
        <w:rPr>
          <w:rFonts w:eastAsiaTheme="minorEastAsia" w:cstheme="minorBidi"/>
          <w:i/>
          <w:iCs/>
          <w:noProof/>
          <w:sz w:val="22"/>
          <w:szCs w:val="22"/>
          <w:rtl/>
        </w:rPr>
      </w:pPr>
      <w:bookmarkStart w:id="1784" w:name="_Toc19435262"/>
      <w:bookmarkStart w:id="1785" w:name="_Toc20080617"/>
      <w:r>
        <w:rPr>
          <w:noProof/>
          <w:rtl/>
        </w:rPr>
        <w:t>ביאור האבאה"ז בתוס' בחזקה בספק טריפה ובודאי טריפה</w:t>
      </w:r>
      <w:bookmarkEnd w:id="1784"/>
      <w:bookmarkEnd w:id="1785"/>
    </w:p>
    <w:p w14:paraId="0F1DF5C3" w14:textId="77777777" w:rsidR="00852065" w:rsidRDefault="00852065" w:rsidP="005077A7">
      <w:pPr>
        <w:pStyle w:val="a"/>
        <w:rPr>
          <w:rFonts w:eastAsiaTheme="minorEastAsia" w:cstheme="minorBidi"/>
          <w:noProof/>
          <w:sz w:val="22"/>
          <w:szCs w:val="22"/>
          <w:rtl/>
        </w:rPr>
      </w:pPr>
      <w:r>
        <w:rPr>
          <w:noProof/>
          <w:rtl/>
        </w:rPr>
        <w:t>דברי האבהא"ז דלתוס' בספק טריפה אף שיצאה מהרוב יש לה חזקה מכח הרוב שהוחזקה בו</w:t>
      </w:r>
    </w:p>
    <w:p w14:paraId="0B6A043F" w14:textId="77777777" w:rsidR="00852065" w:rsidRDefault="00852065" w:rsidP="005077A7">
      <w:pPr>
        <w:pStyle w:val="a"/>
        <w:rPr>
          <w:rFonts w:eastAsiaTheme="minorEastAsia" w:cstheme="minorBidi"/>
          <w:noProof/>
          <w:sz w:val="22"/>
          <w:szCs w:val="22"/>
          <w:rtl/>
        </w:rPr>
      </w:pPr>
      <w:r>
        <w:rPr>
          <w:noProof/>
          <w:rtl/>
        </w:rPr>
        <w:t>ביאור האבאה"ז דרק בודאי טריפה צריך שתתברר החזקה כיון שעכשיו אינה כפי שהוחזקה</w:t>
      </w:r>
    </w:p>
    <w:p w14:paraId="7D31A685" w14:textId="77777777" w:rsidR="00852065" w:rsidRDefault="00852065" w:rsidP="00852065">
      <w:pPr>
        <w:pStyle w:val="aff4"/>
        <w:rPr>
          <w:rFonts w:eastAsiaTheme="minorEastAsia" w:cstheme="minorBidi"/>
          <w:i/>
          <w:iCs/>
          <w:noProof/>
          <w:sz w:val="22"/>
          <w:szCs w:val="22"/>
          <w:rtl/>
        </w:rPr>
      </w:pPr>
      <w:bookmarkStart w:id="1786" w:name="_Toc19435263"/>
      <w:bookmarkStart w:id="1787" w:name="_Toc20080618"/>
      <w:r>
        <w:rPr>
          <w:noProof/>
          <w:rtl/>
        </w:rPr>
        <w:t>ביאור הקה"י בגדר החזקת היתר</w:t>
      </w:r>
      <w:bookmarkEnd w:id="1786"/>
      <w:bookmarkEnd w:id="1787"/>
    </w:p>
    <w:p w14:paraId="74CE4103" w14:textId="77777777" w:rsidR="00852065" w:rsidRDefault="00852065" w:rsidP="005077A7">
      <w:pPr>
        <w:pStyle w:val="a"/>
        <w:rPr>
          <w:rFonts w:eastAsiaTheme="minorEastAsia" w:cstheme="minorBidi"/>
          <w:noProof/>
          <w:sz w:val="22"/>
          <w:szCs w:val="22"/>
          <w:rtl/>
        </w:rPr>
      </w:pPr>
      <w:r>
        <w:rPr>
          <w:noProof/>
          <w:rtl/>
        </w:rPr>
        <w:t>דברי הקה"י דלרש"י בספק בשחיטה אין חזקה ובספק טריפה יש לה חזקה שלא הייתה טריפה</w:t>
      </w:r>
    </w:p>
    <w:p w14:paraId="27A1044E" w14:textId="77777777" w:rsidR="00852065" w:rsidRDefault="00852065" w:rsidP="005077A7">
      <w:pPr>
        <w:pStyle w:val="a"/>
        <w:rPr>
          <w:rFonts w:eastAsiaTheme="minorEastAsia" w:cstheme="minorBidi"/>
          <w:noProof/>
          <w:sz w:val="22"/>
          <w:szCs w:val="22"/>
          <w:rtl/>
        </w:rPr>
      </w:pPr>
      <w:r>
        <w:rPr>
          <w:noProof/>
          <w:rtl/>
        </w:rPr>
        <w:t>קושית הקה"י דלתוס' בטריפה הוא חזקה שלא נתבררה בשעתה ואמאי מותרת</w:t>
      </w:r>
    </w:p>
    <w:p w14:paraId="672EF3AF" w14:textId="77777777" w:rsidR="00852065" w:rsidRDefault="00852065" w:rsidP="005077A7">
      <w:pPr>
        <w:pStyle w:val="a"/>
        <w:rPr>
          <w:rFonts w:eastAsiaTheme="minorEastAsia" w:cstheme="minorBidi"/>
          <w:noProof/>
          <w:sz w:val="22"/>
          <w:szCs w:val="22"/>
          <w:rtl/>
        </w:rPr>
      </w:pPr>
      <w:r>
        <w:rPr>
          <w:noProof/>
          <w:rtl/>
        </w:rPr>
        <w:t>דברי הקה"י דדוקא בודאי טריפה צריך שתתברר החזקה כיון שיצאה מהרוב</w:t>
      </w:r>
    </w:p>
    <w:p w14:paraId="0F476821" w14:textId="77777777" w:rsidR="00852065" w:rsidRDefault="00852065" w:rsidP="005077A7">
      <w:pPr>
        <w:pStyle w:val="a"/>
        <w:rPr>
          <w:rFonts w:eastAsiaTheme="minorEastAsia" w:cstheme="minorBidi"/>
          <w:noProof/>
          <w:sz w:val="22"/>
          <w:szCs w:val="22"/>
          <w:rtl/>
        </w:rPr>
      </w:pPr>
      <w:r>
        <w:rPr>
          <w:noProof/>
          <w:rtl/>
        </w:rPr>
        <w:t>דברי הקה"י דבספק טריפה מהני חזקה שלא נתבררה דרוב עדיף מחזקה וכן דעת רש"י</w:t>
      </w:r>
    </w:p>
    <w:p w14:paraId="41726E83" w14:textId="77777777" w:rsidR="00852065" w:rsidRDefault="00852065" w:rsidP="005077A7">
      <w:pPr>
        <w:pStyle w:val="a"/>
        <w:rPr>
          <w:rFonts w:eastAsiaTheme="minorEastAsia" w:cstheme="minorBidi"/>
          <w:noProof/>
          <w:sz w:val="22"/>
          <w:szCs w:val="22"/>
          <w:rtl/>
        </w:rPr>
      </w:pPr>
      <w:r>
        <w:rPr>
          <w:noProof/>
          <w:rtl/>
        </w:rPr>
        <w:t>קושית הקה"י דבנשמטה הגרוגרת אמאי אין לה חזקת היתר לרש"י</w:t>
      </w:r>
    </w:p>
    <w:p w14:paraId="5E067E17" w14:textId="77777777" w:rsidR="00852065" w:rsidRDefault="00852065" w:rsidP="005077A7">
      <w:pPr>
        <w:pStyle w:val="a"/>
        <w:rPr>
          <w:rFonts w:eastAsiaTheme="minorEastAsia" w:cstheme="minorBidi"/>
          <w:noProof/>
          <w:sz w:val="22"/>
          <w:szCs w:val="22"/>
          <w:rtl/>
        </w:rPr>
      </w:pPr>
      <w:r>
        <w:rPr>
          <w:noProof/>
          <w:rtl/>
        </w:rPr>
        <w:t>ביאור הקה"י דלרש"י אסורה מדין מחזיקין מאיסור לאיסור והוי ספק בשחיטה דלא הוחזקה בהיתר</w:t>
      </w:r>
    </w:p>
    <w:p w14:paraId="3A2024C7" w14:textId="77777777" w:rsidR="00852065" w:rsidRDefault="00852065" w:rsidP="005077A7">
      <w:pPr>
        <w:pStyle w:val="a"/>
        <w:rPr>
          <w:rFonts w:eastAsiaTheme="minorEastAsia" w:cstheme="minorBidi"/>
          <w:noProof/>
          <w:sz w:val="22"/>
          <w:szCs w:val="22"/>
          <w:rtl/>
        </w:rPr>
      </w:pPr>
      <w:r>
        <w:rPr>
          <w:noProof/>
          <w:rtl/>
        </w:rPr>
        <w:t>ביאור הקה"י בתוס' דס"ל כבה"ג דשמוטה אינה כשחוטה ולכן אין לה חזקת כשרות</w:t>
      </w:r>
    </w:p>
    <w:p w14:paraId="7E2FB9C2" w14:textId="77777777" w:rsidR="00852065" w:rsidRDefault="00852065" w:rsidP="00852065">
      <w:pPr>
        <w:pStyle w:val="aff4"/>
        <w:rPr>
          <w:rFonts w:eastAsiaTheme="minorEastAsia" w:cstheme="minorBidi"/>
          <w:i/>
          <w:iCs/>
          <w:noProof/>
          <w:sz w:val="22"/>
          <w:szCs w:val="22"/>
          <w:rtl/>
        </w:rPr>
      </w:pPr>
      <w:bookmarkStart w:id="1788" w:name="_Toc19435264"/>
      <w:bookmarkStart w:id="1789" w:name="_Toc20080619"/>
      <w:r>
        <w:rPr>
          <w:noProof/>
          <w:rtl/>
        </w:rPr>
        <w:t>ביאור הקה"י בדעת רבינו יונה</w:t>
      </w:r>
      <w:bookmarkEnd w:id="1788"/>
      <w:bookmarkEnd w:id="1789"/>
    </w:p>
    <w:p w14:paraId="07F65505" w14:textId="77777777" w:rsidR="00852065" w:rsidRDefault="00852065" w:rsidP="005077A7">
      <w:pPr>
        <w:pStyle w:val="a"/>
        <w:rPr>
          <w:rFonts w:eastAsiaTheme="minorEastAsia" w:cstheme="minorBidi"/>
          <w:noProof/>
          <w:sz w:val="22"/>
          <w:szCs w:val="22"/>
          <w:rtl/>
        </w:rPr>
      </w:pPr>
      <w:r>
        <w:rPr>
          <w:noProof/>
          <w:rtl/>
        </w:rPr>
        <w:t>דברי הקה"י דאפש"ל דרבינו יונה מודה לתוס' בספק דרוסה שאינו בגוף הבהמה</w:t>
      </w:r>
    </w:p>
    <w:p w14:paraId="102858F1" w14:textId="77777777" w:rsidR="00852065" w:rsidRDefault="00852065" w:rsidP="005077A7">
      <w:pPr>
        <w:pStyle w:val="a"/>
        <w:rPr>
          <w:rFonts w:eastAsiaTheme="minorEastAsia" w:cstheme="minorBidi"/>
          <w:noProof/>
          <w:sz w:val="22"/>
          <w:szCs w:val="22"/>
          <w:rtl/>
        </w:rPr>
      </w:pPr>
      <w:r>
        <w:rPr>
          <w:noProof/>
          <w:rtl/>
        </w:rPr>
        <w:t>ביאור הקה"י ברבינו יונה דכשיש במה לתלות חשיב דיותר מסתבר להיתר  מלאיסור</w:t>
      </w:r>
    </w:p>
    <w:p w14:paraId="76E8CAE6" w14:textId="77777777" w:rsidR="00852065" w:rsidRDefault="00852065" w:rsidP="005077A7">
      <w:pPr>
        <w:pStyle w:val="a"/>
        <w:rPr>
          <w:rFonts w:eastAsiaTheme="minorEastAsia" w:cstheme="minorBidi"/>
          <w:noProof/>
          <w:sz w:val="22"/>
          <w:szCs w:val="22"/>
          <w:rtl/>
        </w:rPr>
      </w:pPr>
      <w:r>
        <w:rPr>
          <w:noProof/>
          <w:rtl/>
        </w:rPr>
        <w:t>ביאור הב' בקה"י דלרבינו יונה כשיש במה לתלות חשיב שאין ריעותא</w:t>
      </w:r>
    </w:p>
    <w:p w14:paraId="5BBCBFFB" w14:textId="77777777" w:rsidR="00852065" w:rsidRDefault="00852065" w:rsidP="005077A7">
      <w:pPr>
        <w:pStyle w:val="a"/>
        <w:rPr>
          <w:rFonts w:eastAsiaTheme="minorEastAsia" w:cstheme="minorBidi"/>
          <w:noProof/>
          <w:sz w:val="22"/>
          <w:szCs w:val="22"/>
          <w:rtl/>
        </w:rPr>
      </w:pPr>
      <w:r>
        <w:rPr>
          <w:noProof/>
          <w:rtl/>
        </w:rPr>
        <w:t>דברי הקה"י דבזאב אינו ריעותא וכוונת הגמ' דהוא שאילה שיש לדון בה</w:t>
      </w:r>
    </w:p>
    <w:p w14:paraId="731DE5B5" w14:textId="77777777" w:rsidR="00852065" w:rsidRDefault="00852065" w:rsidP="00852065">
      <w:pPr>
        <w:pStyle w:val="aff4"/>
        <w:rPr>
          <w:rtl/>
        </w:rPr>
        <w:sectPr w:rsidR="00852065" w:rsidSect="004E6755">
          <w:type w:val="continuous"/>
          <w:pgSz w:w="11906" w:h="16838"/>
          <w:pgMar w:top="720" w:right="720" w:bottom="720" w:left="720" w:header="283" w:footer="283" w:gutter="0"/>
          <w:cols w:num="2" w:space="170"/>
          <w:bidi/>
          <w:rtlGutter/>
          <w:docGrid w:linePitch="299"/>
        </w:sectPr>
      </w:pPr>
      <w:r>
        <w:rPr>
          <w:rtl/>
        </w:rPr>
        <w:fldChar w:fldCharType="end"/>
      </w:r>
    </w:p>
    <w:p w14:paraId="5D0255AD" w14:textId="77777777" w:rsidR="00852065" w:rsidRDefault="00852065" w:rsidP="00852065">
      <w:pPr>
        <w:pStyle w:val="aff4"/>
        <w:rPr>
          <w:rtl/>
        </w:rPr>
        <w:sectPr w:rsidR="00852065" w:rsidSect="00852065">
          <w:type w:val="continuous"/>
          <w:pgSz w:w="11906" w:h="16838"/>
          <w:pgMar w:top="720" w:right="720" w:bottom="720" w:left="720" w:header="283" w:footer="283" w:gutter="0"/>
          <w:cols w:num="2" w:space="567"/>
          <w:bidi/>
          <w:rtlGutter/>
          <w:docGrid w:linePitch="299"/>
        </w:sectPr>
      </w:pPr>
    </w:p>
    <w:p w14:paraId="3D9DB0AE" w14:textId="77777777" w:rsidR="004E6755" w:rsidRDefault="004E6755" w:rsidP="00852065">
      <w:pPr>
        <w:pStyle w:val="aff4"/>
        <w:rPr>
          <w:rtl/>
        </w:rPr>
      </w:pPr>
    </w:p>
    <w:p w14:paraId="658FCD17" w14:textId="77777777" w:rsidR="00852065" w:rsidRPr="004E6755" w:rsidRDefault="00852065" w:rsidP="004E6755">
      <w:pPr>
        <w:rPr>
          <w:rtl/>
        </w:rPr>
        <w:sectPr w:rsidR="00852065" w:rsidRPr="004E6755" w:rsidSect="00852065">
          <w:type w:val="continuous"/>
          <w:pgSz w:w="11906" w:h="16838"/>
          <w:pgMar w:top="720" w:right="720" w:bottom="720" w:left="720" w:header="283" w:footer="283" w:gutter="0"/>
          <w:cols w:space="567"/>
          <w:bidi/>
          <w:rtlGutter/>
          <w:docGrid w:linePitch="299"/>
        </w:sectPr>
      </w:pPr>
    </w:p>
    <w:p w14:paraId="58BBC8F1" w14:textId="77777777" w:rsidR="00852065" w:rsidRDefault="00852065" w:rsidP="00852065">
      <w:pPr>
        <w:pStyle w:val="2"/>
        <w:keepNext w:val="0"/>
        <w:keepLines w:val="0"/>
        <w:rPr>
          <w:rtl/>
        </w:rPr>
      </w:pPr>
      <w:bookmarkStart w:id="1790" w:name="_Toc522790238"/>
      <w:bookmarkStart w:id="1791" w:name="_Toc522800727"/>
      <w:bookmarkStart w:id="1792" w:name="_Toc522800835"/>
      <w:bookmarkStart w:id="1793" w:name="_Toc522809887"/>
      <w:bookmarkStart w:id="1794" w:name="_Toc19435265"/>
      <w:r>
        <w:rPr>
          <w:rFonts w:hint="cs"/>
          <w:rtl/>
        </w:rPr>
        <w:t>מראי מקומות וביאורים על הסוגיא</w:t>
      </w:r>
      <w:bookmarkEnd w:id="1692"/>
      <w:bookmarkEnd w:id="1790"/>
      <w:bookmarkEnd w:id="1791"/>
      <w:bookmarkEnd w:id="1792"/>
      <w:bookmarkEnd w:id="1793"/>
      <w:bookmarkEnd w:id="1794"/>
    </w:p>
    <w:p w14:paraId="37189A5F" w14:textId="77777777" w:rsidR="007B72B8" w:rsidRDefault="007B72B8" w:rsidP="00852065">
      <w:pPr>
        <w:rPr>
          <w:rtl/>
        </w:rPr>
        <w:sectPr w:rsidR="007B72B8" w:rsidSect="007B72B8">
          <w:type w:val="continuous"/>
          <w:pgSz w:w="11906" w:h="16838"/>
          <w:pgMar w:top="720" w:right="720" w:bottom="720" w:left="720" w:header="283" w:footer="283" w:gutter="0"/>
          <w:pgNumType w:fmt="hebrew1"/>
          <w:cols w:space="567"/>
          <w:bidi/>
          <w:rtlGutter/>
          <w:docGrid w:linePitch="299"/>
        </w:sectPr>
      </w:pPr>
    </w:p>
    <w:p w14:paraId="45E6F9AA" w14:textId="77777777" w:rsidR="00852065" w:rsidRDefault="00852065" w:rsidP="00852065">
      <w:pPr>
        <w:rPr>
          <w:rtl/>
        </w:rPr>
      </w:pPr>
    </w:p>
    <w:p w14:paraId="4904CFB7" w14:textId="77777777" w:rsidR="00852065" w:rsidRDefault="00852065" w:rsidP="006D6D32">
      <w:pPr>
        <w:pStyle w:val="afe"/>
        <w:rPr>
          <w:rtl/>
        </w:rPr>
      </w:pPr>
      <w:bookmarkStart w:id="1795" w:name="_Toc522618758"/>
      <w:bookmarkStart w:id="1796" w:name="_Toc522790239"/>
      <w:bookmarkStart w:id="1797" w:name="_Toc522800728"/>
      <w:bookmarkStart w:id="1798" w:name="_Toc522800836"/>
      <w:bookmarkStart w:id="1799" w:name="_Toc522809888"/>
      <w:bookmarkStart w:id="1800" w:name="_Toc19435266"/>
      <w:bookmarkStart w:id="1801" w:name="_Toc20080620"/>
      <w:r>
        <w:rPr>
          <w:rFonts w:hint="cs"/>
          <w:rtl/>
        </w:rPr>
        <w:t>בגדר החזקת היתר</w:t>
      </w:r>
      <w:bookmarkEnd w:id="1795"/>
      <w:bookmarkEnd w:id="1796"/>
      <w:bookmarkEnd w:id="1797"/>
      <w:bookmarkEnd w:id="1798"/>
      <w:bookmarkEnd w:id="1799"/>
      <w:bookmarkEnd w:id="1800"/>
      <w:bookmarkEnd w:id="1801"/>
    </w:p>
    <w:p w14:paraId="58A17AF7" w14:textId="77777777" w:rsidR="00852065" w:rsidRDefault="00852065" w:rsidP="00BF39B2">
      <w:pPr>
        <w:pStyle w:val="1"/>
        <w:rPr>
          <w:rtl/>
        </w:rPr>
      </w:pPr>
      <w:bookmarkStart w:id="1802" w:name="_Toc522618759"/>
      <w:bookmarkStart w:id="1803" w:name="_Toc522790240"/>
      <w:bookmarkStart w:id="1804" w:name="_Toc522800729"/>
      <w:bookmarkStart w:id="1805" w:name="_Toc522800837"/>
      <w:bookmarkStart w:id="1806" w:name="_Toc522809889"/>
      <w:bookmarkStart w:id="1807" w:name="_Toc19389193"/>
      <w:bookmarkStart w:id="1808" w:name="_Toc19392690"/>
      <w:r>
        <w:rPr>
          <w:rFonts w:hint="cs"/>
          <w:rtl/>
        </w:rPr>
        <w:t>בביאור דעת רש"י בגדר החזקת היתר</w:t>
      </w:r>
      <w:bookmarkEnd w:id="1802"/>
      <w:bookmarkEnd w:id="1803"/>
      <w:bookmarkEnd w:id="1804"/>
      <w:bookmarkEnd w:id="1805"/>
      <w:bookmarkEnd w:id="1806"/>
      <w:bookmarkEnd w:id="1807"/>
      <w:bookmarkEnd w:id="1808"/>
    </w:p>
    <w:p w14:paraId="45F74D9E" w14:textId="77777777" w:rsidR="00852065" w:rsidRPr="006739AA" w:rsidRDefault="00852065" w:rsidP="006D6D32">
      <w:pPr>
        <w:pStyle w:val="a3"/>
        <w:rPr>
          <w:rtl/>
        </w:rPr>
      </w:pPr>
      <w:bookmarkStart w:id="1809" w:name="_Toc522618760"/>
      <w:bookmarkStart w:id="1810" w:name="_Toc522790241"/>
      <w:bookmarkStart w:id="1811" w:name="_Toc522800730"/>
      <w:bookmarkStart w:id="1812" w:name="_Toc522800838"/>
      <w:bookmarkStart w:id="1813" w:name="_Toc522809890"/>
      <w:bookmarkStart w:id="1814" w:name="_Toc19389194"/>
      <w:bookmarkStart w:id="1815" w:name="_Toc19392691"/>
      <w:r>
        <w:rPr>
          <w:rFonts w:hint="cs"/>
          <w:rtl/>
        </w:rPr>
        <w:t>דברי רש"י דכיון שסתם בהמה אינה טריפה מעמידים אותה בחזקת היתר</w:t>
      </w:r>
      <w:bookmarkEnd w:id="1809"/>
      <w:bookmarkEnd w:id="1810"/>
      <w:bookmarkEnd w:id="1811"/>
      <w:bookmarkEnd w:id="1812"/>
      <w:bookmarkEnd w:id="1813"/>
      <w:bookmarkEnd w:id="1814"/>
      <w:bookmarkEnd w:id="1815"/>
    </w:p>
    <w:p w14:paraId="3B6971DA" w14:textId="77777777" w:rsidR="00852065" w:rsidRDefault="00852065" w:rsidP="00E12979">
      <w:pPr>
        <w:pStyle w:val="a0"/>
        <w:numPr>
          <w:ilvl w:val="0"/>
          <w:numId w:val="6"/>
        </w:numPr>
        <w:rPr>
          <w:rtl/>
        </w:rPr>
      </w:pPr>
      <w:bookmarkStart w:id="1816" w:name="_Ref522723101"/>
      <w:bookmarkStart w:id="1817" w:name="_Ref522392480"/>
      <w:r>
        <w:rPr>
          <w:rFonts w:hint="cs"/>
          <w:rtl/>
        </w:rPr>
        <w:t xml:space="preserve">כתב </w:t>
      </w:r>
      <w:r w:rsidRPr="00ED68FD">
        <w:rPr>
          <w:rStyle w:val="af9"/>
          <w:rFonts w:hint="cs"/>
          <w:rtl/>
        </w:rPr>
        <w:t>רש"י</w:t>
      </w:r>
      <w:r>
        <w:rPr>
          <w:rFonts w:hint="cs"/>
          <w:rtl/>
        </w:rPr>
        <w:t xml:space="preserve"> </w:t>
      </w:r>
      <w:r w:rsidRPr="00223668">
        <w:rPr>
          <w:rStyle w:val="af7"/>
          <w:rFonts w:eastAsia="Guttman Hodes" w:hint="cs"/>
          <w:rtl/>
        </w:rPr>
        <w:t>(ד"ה ואע"ג)</w:t>
      </w:r>
      <w:r>
        <w:rPr>
          <w:rFonts w:hint="cs"/>
          <w:rtl/>
        </w:rPr>
        <w:t xml:space="preserve"> דהביאור בהא דבספק טריפה מעמידים את הבהמה בחזקת היתר, דסתם בהמה אינה טריפה, ולכן תלינן דהריעותא היא לאחר השחיטה וכשרה.</w:t>
      </w:r>
      <w:bookmarkEnd w:id="1816"/>
    </w:p>
    <w:p w14:paraId="57418EA9" w14:textId="77777777" w:rsidR="00852065" w:rsidRPr="006B3F99" w:rsidRDefault="00852065" w:rsidP="006D6D32">
      <w:pPr>
        <w:pStyle w:val="a3"/>
      </w:pPr>
      <w:bookmarkStart w:id="1818" w:name="_Toc522618761"/>
      <w:bookmarkStart w:id="1819" w:name="_Toc522790242"/>
      <w:bookmarkStart w:id="1820" w:name="_Toc522800731"/>
      <w:bookmarkStart w:id="1821" w:name="_Toc522800839"/>
      <w:bookmarkStart w:id="1822" w:name="_Toc522809891"/>
      <w:bookmarkStart w:id="1823" w:name="_Toc19389195"/>
      <w:bookmarkStart w:id="1824" w:name="_Toc19392692"/>
      <w:r>
        <w:rPr>
          <w:rFonts w:hint="cs"/>
          <w:rtl/>
        </w:rPr>
        <w:t>דברי רש"י בביצה דמעמידים את הבהמה על החזקה שייתה קודם שנולד הספק</w:t>
      </w:r>
      <w:bookmarkEnd w:id="1818"/>
      <w:bookmarkEnd w:id="1819"/>
      <w:bookmarkEnd w:id="1820"/>
      <w:bookmarkEnd w:id="1821"/>
      <w:bookmarkEnd w:id="1822"/>
      <w:bookmarkEnd w:id="1823"/>
      <w:bookmarkEnd w:id="1824"/>
    </w:p>
    <w:p w14:paraId="090ADAC4" w14:textId="77777777" w:rsidR="00852065" w:rsidRDefault="00852065" w:rsidP="00223668">
      <w:pPr>
        <w:pStyle w:val="a0"/>
        <w:rPr>
          <w:rtl/>
        </w:rPr>
      </w:pPr>
      <w:r w:rsidRPr="00A30B95">
        <w:rPr>
          <w:rStyle w:val="af9"/>
          <w:rFonts w:hint="cs"/>
          <w:rtl/>
        </w:rPr>
        <w:t>וברש"י בביצה</w:t>
      </w:r>
      <w:r>
        <w:rPr>
          <w:rFonts w:hint="cs"/>
          <w:rtl/>
        </w:rPr>
        <w:t xml:space="preserve"> </w:t>
      </w:r>
      <w:r w:rsidRPr="00A30B95">
        <w:rPr>
          <w:rStyle w:val="af7"/>
          <w:rFonts w:eastAsia="Guttman Hodes" w:hint="cs"/>
          <w:rtl/>
        </w:rPr>
        <w:t>(כה. ד"ה לאפוקי)</w:t>
      </w:r>
      <w:r>
        <w:rPr>
          <w:rFonts w:hint="cs"/>
          <w:rtl/>
        </w:rPr>
        <w:t xml:space="preserve"> הוסיף לבאר דלאחר השחיטה היא בחזקת היתר, כיון שסתם בהמות אינם טרפות, ולכן כשנמצא נקב, ואפשר לתלותו לאחר השחיטה ולהכשיר, מעמידים את הבהמה על חזקתה שהייתה קודם שנולד הספק והיא מותרת, עד שיתברר שנטרפה.</w:t>
      </w:r>
      <w:bookmarkEnd w:id="1817"/>
    </w:p>
    <w:p w14:paraId="00773DDD" w14:textId="77777777" w:rsidR="00852065" w:rsidRDefault="00852065" w:rsidP="006D6D32">
      <w:pPr>
        <w:pStyle w:val="a3"/>
        <w:rPr>
          <w:rtl/>
        </w:rPr>
      </w:pPr>
      <w:bookmarkStart w:id="1825" w:name="_Toc522618762"/>
      <w:bookmarkStart w:id="1826" w:name="_Toc522790243"/>
      <w:bookmarkStart w:id="1827" w:name="_Toc522800732"/>
      <w:bookmarkStart w:id="1828" w:name="_Toc522800840"/>
      <w:bookmarkStart w:id="1829" w:name="_Toc522809892"/>
      <w:bookmarkStart w:id="1830" w:name="_Toc19389196"/>
      <w:bookmarkStart w:id="1831" w:name="_Toc19392693"/>
      <w:r>
        <w:rPr>
          <w:rFonts w:hint="cs"/>
          <w:rtl/>
        </w:rPr>
        <w:t>ביאור השיטמ"ק [ברש"י] דיש לה חזקת היתר מכח הרוב</w:t>
      </w:r>
      <w:bookmarkEnd w:id="1825"/>
      <w:bookmarkEnd w:id="1826"/>
      <w:bookmarkEnd w:id="1827"/>
      <w:bookmarkEnd w:id="1828"/>
      <w:bookmarkEnd w:id="1829"/>
      <w:bookmarkEnd w:id="1830"/>
      <w:bookmarkEnd w:id="1831"/>
    </w:p>
    <w:p w14:paraId="798D04A6" w14:textId="77777777" w:rsidR="00852065" w:rsidRDefault="00852065" w:rsidP="00223668">
      <w:pPr>
        <w:pStyle w:val="a0"/>
        <w:rPr>
          <w:rStyle w:val="afb"/>
          <w:rtl/>
        </w:rPr>
      </w:pPr>
      <w:r>
        <w:rPr>
          <w:rFonts w:hint="cs"/>
          <w:rtl/>
        </w:rPr>
        <w:t xml:space="preserve">אך </w:t>
      </w:r>
      <w:r w:rsidRPr="00F1471A">
        <w:rPr>
          <w:rStyle w:val="af9"/>
          <w:rFonts w:hint="cs"/>
          <w:rtl/>
        </w:rPr>
        <w:t>בשיטמ"ק</w:t>
      </w:r>
      <w:r>
        <w:rPr>
          <w:rFonts w:hint="cs"/>
          <w:rtl/>
        </w:rPr>
        <w:t xml:space="preserve"> </w:t>
      </w:r>
      <w:r w:rsidRPr="00F1471A">
        <w:rPr>
          <w:rStyle w:val="af7"/>
          <w:rFonts w:eastAsia="Guttman Hodes" w:hint="cs"/>
          <w:rtl/>
        </w:rPr>
        <w:t>(בהג' על רש"י אות י', מהדו' "עוז והדר" אות ל')</w:t>
      </w:r>
      <w:r>
        <w:rPr>
          <w:rFonts w:hint="cs"/>
          <w:rtl/>
        </w:rPr>
        <w:t xml:space="preserve"> ביאר [בדברי </w:t>
      </w:r>
      <w:r w:rsidRPr="00F1471A">
        <w:rPr>
          <w:rStyle w:val="af9"/>
          <w:rFonts w:hint="cs"/>
          <w:rtl/>
        </w:rPr>
        <w:t>רש"י</w:t>
      </w:r>
      <w:r>
        <w:rPr>
          <w:rFonts w:hint="cs"/>
          <w:rtl/>
        </w:rPr>
        <w:t xml:space="preserve">] דיש לה חזקת היתר מכח רוב, דרוב בהמות שנשחטו הן בחזקת היתר [וכדעת </w:t>
      </w:r>
      <w:r w:rsidRPr="00941BD5">
        <w:rPr>
          <w:rStyle w:val="af9"/>
          <w:rFonts w:hint="cs"/>
          <w:rtl/>
        </w:rPr>
        <w:t>הרשב"א</w:t>
      </w:r>
      <w:r>
        <w:rPr>
          <w:rFonts w:hint="cs"/>
          <w:rtl/>
        </w:rPr>
        <w:t xml:space="preserve"> </w:t>
      </w:r>
      <w:r w:rsidRPr="00941BD5">
        <w:rPr>
          <w:rStyle w:val="af7"/>
          <w:rFonts w:eastAsia="Guttman Hodes" w:hint="cs"/>
          <w:rtl/>
        </w:rPr>
        <w:t xml:space="preserve">(עי' אות </w:t>
      </w:r>
      <w:r w:rsidRPr="00941BD5">
        <w:rPr>
          <w:rStyle w:val="af7"/>
          <w:rFonts w:eastAsia="Guttman Hodes"/>
          <w:rtl/>
        </w:rPr>
        <w:fldChar w:fldCharType="begin"/>
      </w:r>
      <w:r w:rsidRPr="00941BD5">
        <w:rPr>
          <w:rStyle w:val="af7"/>
          <w:rFonts w:eastAsia="Guttman Hodes"/>
          <w:rtl/>
        </w:rPr>
        <w:instrText xml:space="preserve"> </w:instrText>
      </w:r>
      <w:r w:rsidRPr="00941BD5">
        <w:rPr>
          <w:rStyle w:val="af7"/>
          <w:rFonts w:eastAsia="Guttman Hodes" w:hint="cs"/>
        </w:rPr>
        <w:instrText>REF</w:instrText>
      </w:r>
      <w:r w:rsidRPr="00941BD5">
        <w:rPr>
          <w:rStyle w:val="af7"/>
          <w:rFonts w:eastAsia="Guttman Hodes" w:hint="cs"/>
          <w:rtl/>
        </w:rPr>
        <w:instrText xml:space="preserve"> _</w:instrText>
      </w:r>
      <w:r w:rsidRPr="00941BD5">
        <w:rPr>
          <w:rStyle w:val="af7"/>
          <w:rFonts w:eastAsia="Guttman Hodes" w:hint="cs"/>
        </w:rPr>
        <w:instrText>Ref522462159 \r \h</w:instrText>
      </w:r>
      <w:r w:rsidRPr="00941BD5">
        <w:rPr>
          <w:rStyle w:val="af7"/>
          <w:rFonts w:eastAsia="Guttman Hodes"/>
          <w:rtl/>
        </w:rPr>
        <w:instrText xml:space="preserve"> </w:instrText>
      </w:r>
      <w:r w:rsidRPr="00941BD5">
        <w:rPr>
          <w:rStyle w:val="af7"/>
          <w:rFonts w:eastAsia="Guttman Hodes"/>
          <w:rtl/>
        </w:rPr>
      </w:r>
      <w:r w:rsidRPr="00941BD5">
        <w:rPr>
          <w:rStyle w:val="af7"/>
          <w:rFonts w:eastAsia="Guttman Hodes"/>
          <w:rtl/>
        </w:rPr>
        <w:fldChar w:fldCharType="separate"/>
      </w:r>
      <w:r w:rsidR="00345400">
        <w:rPr>
          <w:rStyle w:val="af7"/>
          <w:rFonts w:eastAsia="Guttman Hodes"/>
          <w:cs/>
        </w:rPr>
        <w:t>‎</w:t>
      </w:r>
      <w:r w:rsidR="00345400">
        <w:rPr>
          <w:rStyle w:val="af7"/>
          <w:rFonts w:eastAsia="Guttman Hodes"/>
          <w:rtl/>
        </w:rPr>
        <w:t>ו)</w:t>
      </w:r>
      <w:r w:rsidRPr="00941BD5">
        <w:rPr>
          <w:rStyle w:val="af7"/>
          <w:rFonts w:eastAsia="Guttman Hodes"/>
          <w:rtl/>
        </w:rPr>
        <w:fldChar w:fldCharType="end"/>
      </w:r>
      <w:r>
        <w:rPr>
          <w:rFonts w:hint="cs"/>
          <w:rtl/>
        </w:rPr>
        <w:t xml:space="preserve">]. </w:t>
      </w:r>
    </w:p>
    <w:p w14:paraId="31F84B71" w14:textId="77777777" w:rsidR="00852065" w:rsidRPr="007A4F53" w:rsidRDefault="00852065" w:rsidP="006D6D32">
      <w:pPr>
        <w:pStyle w:val="a3"/>
        <w:rPr>
          <w:rtl/>
        </w:rPr>
      </w:pPr>
      <w:bookmarkStart w:id="1832" w:name="_Toc522618763"/>
      <w:bookmarkStart w:id="1833" w:name="_Toc522790244"/>
      <w:bookmarkStart w:id="1834" w:name="_Toc522800733"/>
      <w:bookmarkStart w:id="1835" w:name="_Toc522800841"/>
      <w:bookmarkStart w:id="1836" w:name="_Toc522809893"/>
      <w:bookmarkStart w:id="1837" w:name="_Toc19389197"/>
      <w:bookmarkStart w:id="1838" w:name="_Toc19392694"/>
      <w:r>
        <w:rPr>
          <w:rFonts w:hint="cs"/>
          <w:rtl/>
        </w:rPr>
        <w:t>דברי השאג"א דאין לבהמה כל חזקת היתר וכוונת רש"י דמותרת מדין רוב</w:t>
      </w:r>
      <w:bookmarkEnd w:id="1832"/>
      <w:bookmarkEnd w:id="1833"/>
      <w:bookmarkEnd w:id="1834"/>
      <w:bookmarkEnd w:id="1835"/>
      <w:bookmarkEnd w:id="1836"/>
      <w:bookmarkEnd w:id="1837"/>
      <w:bookmarkEnd w:id="1838"/>
    </w:p>
    <w:p w14:paraId="1D730C17" w14:textId="77777777" w:rsidR="00852065" w:rsidRPr="00733683" w:rsidRDefault="00852065" w:rsidP="00223668">
      <w:pPr>
        <w:pStyle w:val="a0"/>
        <w:rPr>
          <w:rtl/>
        </w:rPr>
      </w:pPr>
      <w:r w:rsidRPr="006B3F99">
        <w:rPr>
          <w:rStyle w:val="af9"/>
          <w:rFonts w:hint="cs"/>
          <w:rtl/>
        </w:rPr>
        <w:t>ובשאג"א</w:t>
      </w:r>
      <w:r>
        <w:rPr>
          <w:rFonts w:hint="cs"/>
          <w:rtl/>
        </w:rPr>
        <w:t xml:space="preserve"> </w:t>
      </w:r>
      <w:r w:rsidRPr="006B3F99">
        <w:rPr>
          <w:rStyle w:val="af7"/>
          <w:rFonts w:eastAsia="Guttman Hodes" w:hint="cs"/>
          <w:rtl/>
        </w:rPr>
        <w:t>(שו"ת חדשות סי' ט' ד"ה ודע)</w:t>
      </w:r>
      <w:r>
        <w:rPr>
          <w:rFonts w:hint="cs"/>
          <w:rtl/>
        </w:rPr>
        <w:t xml:space="preserve"> כתב דא"א לומר דבנשחטה היא בחזקת היתר, דאף שכבר אין לה את החזקת איסור דאינה זבוחה, מ"מ אין לה כל חזקה שהיא מותרת, אלא כתב </w:t>
      </w:r>
      <w:r w:rsidRPr="006B3F99">
        <w:rPr>
          <w:rStyle w:val="af9"/>
          <w:rFonts w:hint="cs"/>
          <w:rtl/>
        </w:rPr>
        <w:t>השאג"א</w:t>
      </w:r>
      <w:r>
        <w:rPr>
          <w:rFonts w:hint="cs"/>
          <w:rtl/>
        </w:rPr>
        <w:t xml:space="preserve"> דכוונת רב הונא לומר דמותרת מדין רוב דרוב בהמות אינם טריפות, ונקט לישנא דחזקה אגב רישא, והוסיף </w:t>
      </w:r>
      <w:r w:rsidRPr="006B3F99">
        <w:rPr>
          <w:rStyle w:val="af9"/>
          <w:rFonts w:hint="cs"/>
          <w:rtl/>
        </w:rPr>
        <w:t>השאג"א</w:t>
      </w:r>
      <w:r>
        <w:rPr>
          <w:rFonts w:hint="cs"/>
          <w:rtl/>
        </w:rPr>
        <w:t xml:space="preserve"> דזו כוונת </w:t>
      </w:r>
      <w:r w:rsidRPr="006B3F99">
        <w:rPr>
          <w:rStyle w:val="af9"/>
          <w:rFonts w:hint="cs"/>
          <w:rtl/>
        </w:rPr>
        <w:t>רש"י</w:t>
      </w:r>
      <w:r>
        <w:rPr>
          <w:rFonts w:hint="cs"/>
          <w:rtl/>
        </w:rPr>
        <w:t xml:space="preserve"> </w:t>
      </w:r>
      <w:r w:rsidRPr="006B3F99">
        <w:rPr>
          <w:rStyle w:val="af7"/>
          <w:rFonts w:eastAsia="Guttman Hodes" w:hint="cs"/>
          <w:rtl/>
        </w:rPr>
        <w:t xml:space="preserve">(ד"ה דאע"ג) </w:t>
      </w:r>
      <w:r>
        <w:rPr>
          <w:rFonts w:hint="cs"/>
          <w:rtl/>
        </w:rPr>
        <w:t>דכתב דהיא בחזקת היתר כיון שסתם בהמה אינה טריפה.</w:t>
      </w:r>
    </w:p>
    <w:p w14:paraId="61A38042" w14:textId="77777777" w:rsidR="00852065" w:rsidRPr="00A23D28" w:rsidRDefault="00852065" w:rsidP="006D6D32">
      <w:pPr>
        <w:pStyle w:val="a3"/>
        <w:rPr>
          <w:rtl/>
        </w:rPr>
      </w:pPr>
      <w:bookmarkStart w:id="1839" w:name="_Toc522618764"/>
      <w:bookmarkStart w:id="1840" w:name="_Toc522790245"/>
      <w:bookmarkStart w:id="1841" w:name="_Toc522800734"/>
      <w:bookmarkStart w:id="1842" w:name="_Toc522800842"/>
      <w:bookmarkStart w:id="1843" w:name="_Toc522809894"/>
      <w:bookmarkStart w:id="1844" w:name="_Toc19389198"/>
      <w:bookmarkStart w:id="1845" w:name="_Toc19392695"/>
      <w:r>
        <w:rPr>
          <w:rFonts w:hint="cs"/>
          <w:rtl/>
        </w:rPr>
        <w:t>דברי הגר"ז דבמקום ריעותא אין ילפותא דאזלינן בתר רובא וההיתר הוא מדין חזקה</w:t>
      </w:r>
      <w:bookmarkEnd w:id="1839"/>
      <w:bookmarkEnd w:id="1840"/>
      <w:bookmarkEnd w:id="1841"/>
      <w:bookmarkEnd w:id="1842"/>
      <w:bookmarkEnd w:id="1843"/>
      <w:bookmarkEnd w:id="1844"/>
      <w:bookmarkEnd w:id="1845"/>
    </w:p>
    <w:p w14:paraId="587C3CC4" w14:textId="77777777" w:rsidR="00852065" w:rsidRPr="007E63BE" w:rsidRDefault="00852065" w:rsidP="00223668">
      <w:pPr>
        <w:pStyle w:val="a0"/>
        <w:rPr>
          <w:rtl/>
        </w:rPr>
      </w:pPr>
      <w:r>
        <w:rPr>
          <w:rFonts w:hint="cs"/>
          <w:rtl/>
        </w:rPr>
        <w:t xml:space="preserve">אבל </w:t>
      </w:r>
      <w:r w:rsidRPr="00A23D28">
        <w:rPr>
          <w:rStyle w:val="af9"/>
          <w:rFonts w:hint="cs"/>
          <w:rtl/>
        </w:rPr>
        <w:t>הגר"ז</w:t>
      </w:r>
      <w:r>
        <w:rPr>
          <w:rFonts w:hint="cs"/>
          <w:rtl/>
        </w:rPr>
        <w:t xml:space="preserve"> </w:t>
      </w:r>
      <w:r w:rsidRPr="00A23D28">
        <w:rPr>
          <w:rStyle w:val="af7"/>
          <w:rFonts w:eastAsia="Guttman Hodes" w:hint="cs"/>
          <w:rtl/>
        </w:rPr>
        <w:t>(כ"ד מ' ד"ה ואין לחלק)</w:t>
      </w:r>
      <w:r>
        <w:rPr>
          <w:rFonts w:hint="cs"/>
          <w:rtl/>
        </w:rPr>
        <w:t xml:space="preserve"> כתב דבנטל זאב שיש ריעותא לפנינו לא שייך לומר דאזלינן בתר הרוב, דכל הילפותא דאזלינן בתר רוב, הוא רק במקום שאין ריעותא לפנינו, כגון שמא שחט את הושט במקום נקב, אבל כשיש ריעותא לא מהני הרוב, ולכן אמר רב הונא דההיתר הוא מדין חזקת היתר, דאמרינן שהריעותא נעשתה לאחר השחיטה.</w:t>
      </w:r>
    </w:p>
    <w:p w14:paraId="31340E69" w14:textId="77777777" w:rsidR="00852065" w:rsidRDefault="00852065" w:rsidP="00BF39B2">
      <w:pPr>
        <w:pStyle w:val="1"/>
        <w:rPr>
          <w:rtl/>
        </w:rPr>
      </w:pPr>
      <w:bookmarkStart w:id="1846" w:name="_Toc522618765"/>
      <w:bookmarkStart w:id="1847" w:name="_Toc522790246"/>
      <w:bookmarkStart w:id="1848" w:name="_Toc522800735"/>
      <w:bookmarkStart w:id="1849" w:name="_Toc522800843"/>
      <w:bookmarkStart w:id="1850" w:name="_Toc522809895"/>
      <w:bookmarkStart w:id="1851" w:name="_Toc19389199"/>
      <w:bookmarkStart w:id="1852" w:name="_Toc19392696"/>
      <w:r>
        <w:rPr>
          <w:rFonts w:hint="cs"/>
          <w:rtl/>
        </w:rPr>
        <w:t>דעת רבינו יונה דהוא חזקה מכח רוב שאינה טריפה</w:t>
      </w:r>
      <w:bookmarkEnd w:id="1846"/>
      <w:bookmarkEnd w:id="1847"/>
      <w:bookmarkEnd w:id="1848"/>
      <w:bookmarkEnd w:id="1849"/>
      <w:bookmarkEnd w:id="1850"/>
      <w:bookmarkEnd w:id="1851"/>
      <w:bookmarkEnd w:id="1852"/>
    </w:p>
    <w:p w14:paraId="35199881" w14:textId="77777777" w:rsidR="00852065" w:rsidRPr="006739AA" w:rsidRDefault="00852065" w:rsidP="006D6D32">
      <w:pPr>
        <w:pStyle w:val="a3"/>
        <w:rPr>
          <w:rtl/>
        </w:rPr>
      </w:pPr>
      <w:bookmarkStart w:id="1853" w:name="_Toc522618766"/>
      <w:bookmarkStart w:id="1854" w:name="_Toc522790247"/>
      <w:bookmarkStart w:id="1855" w:name="_Toc522800736"/>
      <w:bookmarkStart w:id="1856" w:name="_Toc522800844"/>
      <w:bookmarkStart w:id="1857" w:name="_Toc522809896"/>
      <w:bookmarkStart w:id="1858" w:name="_Toc19389200"/>
      <w:bookmarkStart w:id="1859" w:name="_Toc19392697"/>
      <w:r>
        <w:rPr>
          <w:rFonts w:hint="cs"/>
          <w:rtl/>
        </w:rPr>
        <w:t>דעת רבינו יונה דמעמידים אותה בחזקת היתר מכח רוב דרוב בהמות אינם טריפות</w:t>
      </w:r>
      <w:bookmarkEnd w:id="1853"/>
      <w:bookmarkEnd w:id="1854"/>
      <w:bookmarkEnd w:id="1855"/>
      <w:bookmarkEnd w:id="1856"/>
      <w:bookmarkEnd w:id="1857"/>
      <w:bookmarkEnd w:id="1858"/>
      <w:bookmarkEnd w:id="1859"/>
    </w:p>
    <w:p w14:paraId="31FC55D8" w14:textId="77777777" w:rsidR="00852065" w:rsidRDefault="00852065" w:rsidP="00223668">
      <w:pPr>
        <w:pStyle w:val="a0"/>
        <w:rPr>
          <w:rtl/>
        </w:rPr>
      </w:pPr>
      <w:bookmarkStart w:id="1860" w:name="_Ref522462159"/>
      <w:r>
        <w:rPr>
          <w:rFonts w:hint="cs"/>
          <w:rtl/>
        </w:rPr>
        <w:t xml:space="preserve">כתב </w:t>
      </w:r>
      <w:r w:rsidRPr="00ED68FD">
        <w:rPr>
          <w:rStyle w:val="af9"/>
          <w:rFonts w:hint="cs"/>
          <w:rtl/>
        </w:rPr>
        <w:t>הרשב"א</w:t>
      </w:r>
      <w:r>
        <w:rPr>
          <w:rFonts w:hint="cs"/>
          <w:rtl/>
        </w:rPr>
        <w:t xml:space="preserve"> </w:t>
      </w:r>
      <w:r w:rsidRPr="00ED68FD">
        <w:rPr>
          <w:rStyle w:val="af7"/>
          <w:rFonts w:eastAsia="Guttman Hodes" w:hint="cs"/>
          <w:rtl/>
        </w:rPr>
        <w:t>(</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Ref522617791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Pr>
          <w:rStyle w:val="af7"/>
          <w:rFonts w:eastAsia="Guttman Hodes"/>
          <w:rtl/>
        </w:rPr>
        <w:fldChar w:fldCharType="end"/>
      </w:r>
      <w:r>
        <w:rPr>
          <w:rFonts w:hint="cs"/>
          <w:rtl/>
        </w:rPr>
        <w:t xml:space="preserve"> בשם </w:t>
      </w:r>
      <w:r w:rsidRPr="00ED68FD">
        <w:rPr>
          <w:rStyle w:val="af9"/>
          <w:rFonts w:hint="cs"/>
          <w:rtl/>
        </w:rPr>
        <w:t>רבינו יונה</w:t>
      </w:r>
      <w:r>
        <w:rPr>
          <w:rFonts w:hint="cs"/>
          <w:rtl/>
        </w:rPr>
        <w:t xml:space="preserve"> דהגדר בחזקת היתר בספק טריפה, הוא דכיון שרוב בהמות אינם טריפות, ממילא יש לבהמה חזקה מכח רוב דהיא מותרת, ותלינן את הריעותא דנמצא נקב בבני מעיים בזאב, ומוקמינן לה בחזקתה וכשרה</w:t>
      </w:r>
      <w:r>
        <w:rPr>
          <w:rStyle w:val="af1"/>
          <w:rtl/>
        </w:rPr>
        <w:footnoteReference w:id="14"/>
      </w:r>
      <w:r>
        <w:rPr>
          <w:rFonts w:hint="cs"/>
          <w:rtl/>
        </w:rPr>
        <w:t>.</w:t>
      </w:r>
      <w:bookmarkEnd w:id="1860"/>
    </w:p>
    <w:p w14:paraId="38761629" w14:textId="77777777" w:rsidR="00852065" w:rsidRPr="00B355CA" w:rsidRDefault="00852065" w:rsidP="006D6D32">
      <w:pPr>
        <w:pStyle w:val="a3"/>
        <w:rPr>
          <w:rtl/>
        </w:rPr>
      </w:pPr>
    </w:p>
    <w:p w14:paraId="253D02CE" w14:textId="77777777" w:rsidR="00852065" w:rsidRPr="00D765A9" w:rsidRDefault="00852065" w:rsidP="00BF39B2">
      <w:pPr>
        <w:pStyle w:val="1"/>
        <w:rPr>
          <w:rtl/>
        </w:rPr>
      </w:pPr>
      <w:bookmarkStart w:id="1861" w:name="_Toc522790248"/>
      <w:bookmarkStart w:id="1862" w:name="_Toc522800737"/>
      <w:bookmarkStart w:id="1863" w:name="_Toc522800845"/>
      <w:bookmarkStart w:id="1864" w:name="_Toc522809897"/>
      <w:bookmarkStart w:id="1865" w:name="_Toc19389201"/>
      <w:bookmarkStart w:id="1866" w:name="_Toc19392698"/>
      <w:r>
        <w:rPr>
          <w:rFonts w:hint="cs"/>
          <w:rtl/>
        </w:rPr>
        <w:t>דעת הר"ן והרא"ה דההיתר הוא מדין רוב</w:t>
      </w:r>
      <w:bookmarkEnd w:id="1861"/>
      <w:bookmarkEnd w:id="1862"/>
      <w:bookmarkEnd w:id="1863"/>
      <w:bookmarkEnd w:id="1864"/>
      <w:bookmarkEnd w:id="1865"/>
      <w:bookmarkEnd w:id="1866"/>
    </w:p>
    <w:p w14:paraId="30A15F7F" w14:textId="77777777" w:rsidR="00852065" w:rsidRDefault="00852065" w:rsidP="006D6D32">
      <w:pPr>
        <w:pStyle w:val="a3"/>
        <w:rPr>
          <w:rtl/>
        </w:rPr>
      </w:pPr>
      <w:bookmarkStart w:id="1867" w:name="_Toc522618767"/>
      <w:bookmarkStart w:id="1868" w:name="_Toc522790249"/>
      <w:bookmarkStart w:id="1869" w:name="_Toc522800738"/>
      <w:bookmarkStart w:id="1870" w:name="_Toc522800846"/>
      <w:bookmarkStart w:id="1871" w:name="_Toc522809898"/>
      <w:bookmarkStart w:id="1872" w:name="_Toc19389202"/>
      <w:bookmarkStart w:id="1873" w:name="_Toc19392699"/>
      <w:r>
        <w:rPr>
          <w:rFonts w:hint="cs"/>
          <w:rtl/>
        </w:rPr>
        <w:t>דברי הר"ן דמותרת ע"י רוב בהמות אינם טריפות</w:t>
      </w:r>
      <w:bookmarkEnd w:id="1867"/>
      <w:bookmarkEnd w:id="1868"/>
      <w:bookmarkEnd w:id="1869"/>
      <w:bookmarkEnd w:id="1870"/>
      <w:bookmarkEnd w:id="1871"/>
      <w:bookmarkEnd w:id="1872"/>
      <w:bookmarkEnd w:id="1873"/>
    </w:p>
    <w:p w14:paraId="39D949A1" w14:textId="77777777" w:rsidR="00852065" w:rsidRDefault="00852065" w:rsidP="00223668">
      <w:pPr>
        <w:pStyle w:val="a0"/>
        <w:rPr>
          <w:rtl/>
        </w:rPr>
      </w:pPr>
      <w:bookmarkStart w:id="1874" w:name="_Ref522477143"/>
      <w:r>
        <w:rPr>
          <w:rFonts w:hint="cs"/>
          <w:rtl/>
        </w:rPr>
        <w:t>ו</w:t>
      </w:r>
      <w:r w:rsidRPr="003D3D25">
        <w:rPr>
          <w:rStyle w:val="af9"/>
          <w:rFonts w:hint="cs"/>
          <w:rtl/>
        </w:rPr>
        <w:t>הר"ן</w:t>
      </w:r>
      <w:r>
        <w:rPr>
          <w:rFonts w:hint="cs"/>
          <w:rtl/>
        </w:rPr>
        <w:t xml:space="preserve"> </w:t>
      </w:r>
      <w:r w:rsidRPr="003D3D25">
        <w:rPr>
          <w:rStyle w:val="af7"/>
          <w:rFonts w:eastAsia="Guttman Hodes" w:hint="cs"/>
          <w:rtl/>
        </w:rPr>
        <w:t>(לקמן יא. ד"ה מנא)</w:t>
      </w:r>
      <w:r>
        <w:rPr>
          <w:rFonts w:hint="cs"/>
          <w:rtl/>
        </w:rPr>
        <w:t xml:space="preserve"> כתב דבספק טריפה א"א להעמידה על חזקת היתר, דאין אנו יודעים שלא הייתה טריפה משעה שנולדה, אלא היא מותרת כיון דאזלינן בתר רוב בהמות אינם טריפות, ומותרת מחמת הרוב, ומה שאמר רב הונא דמוקמינן לה בחזקת היתר, היינו משום הרוב.</w:t>
      </w:r>
      <w:bookmarkEnd w:id="1874"/>
    </w:p>
    <w:p w14:paraId="5FEA6BB2" w14:textId="77777777" w:rsidR="00852065" w:rsidRPr="003D3D25" w:rsidRDefault="00852065" w:rsidP="006D6D32">
      <w:pPr>
        <w:pStyle w:val="a3"/>
      </w:pPr>
      <w:bookmarkStart w:id="1875" w:name="_Toc522618768"/>
      <w:bookmarkStart w:id="1876" w:name="_Toc522790250"/>
      <w:bookmarkStart w:id="1877" w:name="_Toc522800739"/>
      <w:bookmarkStart w:id="1878" w:name="_Toc522800847"/>
      <w:bookmarkStart w:id="1879" w:name="_Toc522809899"/>
      <w:bookmarkStart w:id="1880" w:name="_Toc19389203"/>
      <w:bookmarkStart w:id="1881" w:name="_Toc19392700"/>
      <w:r>
        <w:rPr>
          <w:rFonts w:hint="cs"/>
          <w:rtl/>
        </w:rPr>
        <w:t>דברי הר"ן דהגמ' לקמן דנה מה המקור לרישא דרב הונא מדין חזקה ולסיפא מדין רוב</w:t>
      </w:r>
      <w:bookmarkEnd w:id="1875"/>
      <w:bookmarkEnd w:id="1876"/>
      <w:bookmarkEnd w:id="1877"/>
      <w:bookmarkEnd w:id="1878"/>
      <w:bookmarkEnd w:id="1879"/>
      <w:bookmarkEnd w:id="1880"/>
      <w:bookmarkEnd w:id="1881"/>
    </w:p>
    <w:p w14:paraId="3F326D12" w14:textId="77777777" w:rsidR="00852065" w:rsidRDefault="00852065" w:rsidP="00223668">
      <w:pPr>
        <w:pStyle w:val="a0"/>
        <w:rPr>
          <w:rtl/>
        </w:rPr>
      </w:pPr>
      <w:r>
        <w:rPr>
          <w:rFonts w:hint="cs"/>
          <w:rtl/>
        </w:rPr>
        <w:t xml:space="preserve">וכתב </w:t>
      </w:r>
      <w:r w:rsidRPr="003D3D25">
        <w:rPr>
          <w:rStyle w:val="af9"/>
          <w:rFonts w:hint="cs"/>
          <w:rtl/>
        </w:rPr>
        <w:t>הר"ן</w:t>
      </w:r>
      <w:r>
        <w:rPr>
          <w:rFonts w:hint="cs"/>
          <w:rtl/>
        </w:rPr>
        <w:t xml:space="preserve"> דזו כוונת הגמ' לקמן </w:t>
      </w:r>
      <w:r w:rsidRPr="003D3D25">
        <w:rPr>
          <w:rStyle w:val="af7"/>
          <w:rFonts w:eastAsia="Guttman Hodes" w:hint="cs"/>
          <w:rtl/>
        </w:rPr>
        <w:t>(יא.)</w:t>
      </w:r>
      <w:r>
        <w:rPr>
          <w:rFonts w:hint="cs"/>
          <w:rtl/>
        </w:rPr>
        <w:t xml:space="preserve"> דדנה מהו המקור לדין חזקה ולדין רוב, דקאי על דברי רב הונא, דברישא דספק בשחיטה מעמידים אותה בחזקת איסור, ובסיפא דרב הונא בספק טריפה אזלינן בתר הרוב להתיר.</w:t>
      </w:r>
    </w:p>
    <w:p w14:paraId="0C8F2A7A" w14:textId="77777777" w:rsidR="00852065" w:rsidRPr="0035571D" w:rsidRDefault="00852065" w:rsidP="006D6D32">
      <w:pPr>
        <w:pStyle w:val="a3"/>
        <w:rPr>
          <w:rtl/>
        </w:rPr>
      </w:pPr>
      <w:bookmarkStart w:id="1882" w:name="_Toc522790251"/>
      <w:bookmarkStart w:id="1883" w:name="_Toc522800740"/>
      <w:bookmarkStart w:id="1884" w:name="_Toc522800848"/>
      <w:bookmarkStart w:id="1885" w:name="_Toc522809900"/>
      <w:bookmarkStart w:id="1886" w:name="_Toc19389204"/>
      <w:bookmarkStart w:id="1887" w:name="_Toc19392701"/>
      <w:bookmarkStart w:id="1888" w:name="_Toc522618769"/>
      <w:r>
        <w:rPr>
          <w:rFonts w:hint="cs"/>
          <w:rtl/>
        </w:rPr>
        <w:t>דברי הרא"ה דרב הונא התיר מדין רוב דלא עמדה הבהמה בחזקת היתר ולשון חזקה אינו בדוקא</w:t>
      </w:r>
      <w:bookmarkEnd w:id="1882"/>
      <w:bookmarkEnd w:id="1883"/>
      <w:bookmarkEnd w:id="1884"/>
      <w:bookmarkEnd w:id="1885"/>
      <w:bookmarkEnd w:id="1886"/>
      <w:bookmarkEnd w:id="1887"/>
    </w:p>
    <w:p w14:paraId="6B5D431D" w14:textId="77777777" w:rsidR="00852065" w:rsidRPr="00117D5C" w:rsidRDefault="00852065" w:rsidP="00223668">
      <w:pPr>
        <w:pStyle w:val="a0"/>
        <w:rPr>
          <w:rtl/>
        </w:rPr>
      </w:pPr>
      <w:r>
        <w:rPr>
          <w:rStyle w:val="af9"/>
          <w:rFonts w:hint="cs"/>
          <w:rtl/>
        </w:rPr>
        <w:t>ו</w:t>
      </w:r>
      <w:r w:rsidRPr="0035571D">
        <w:rPr>
          <w:rStyle w:val="af9"/>
          <w:rFonts w:hint="cs"/>
          <w:rtl/>
        </w:rPr>
        <w:t>השיטמ"ק</w:t>
      </w:r>
      <w:r>
        <w:rPr>
          <w:rFonts w:hint="cs"/>
          <w:rtl/>
        </w:rPr>
        <w:t xml:space="preserve"> </w:t>
      </w:r>
      <w:r w:rsidRPr="0035571D">
        <w:rPr>
          <w:rStyle w:val="af7"/>
          <w:rFonts w:eastAsia="Guttman Hodes" w:hint="cs"/>
          <w:rtl/>
        </w:rPr>
        <w:t>(</w:t>
      </w:r>
      <w:r>
        <w:rPr>
          <w:rStyle w:val="af7"/>
          <w:rFonts w:eastAsia="Guttman Hodes" w:hint="cs"/>
          <w:rtl/>
        </w:rPr>
        <w:t>י: ד"ה והרא"ה ז"ל פי' מנא הא</w:t>
      </w:r>
      <w:r w:rsidRPr="0035571D">
        <w:rPr>
          <w:rStyle w:val="af7"/>
          <w:rFonts w:eastAsia="Guttman Hodes" w:hint="cs"/>
          <w:rtl/>
        </w:rPr>
        <w:t>)</w:t>
      </w:r>
      <w:r>
        <w:rPr>
          <w:rFonts w:hint="cs"/>
          <w:rtl/>
        </w:rPr>
        <w:t xml:space="preserve"> כתב בשם </w:t>
      </w:r>
      <w:r w:rsidRPr="0035571D">
        <w:rPr>
          <w:rStyle w:val="af9"/>
          <w:rFonts w:hint="cs"/>
          <w:rtl/>
        </w:rPr>
        <w:t>הרא"ה</w:t>
      </w:r>
      <w:r>
        <w:rPr>
          <w:rFonts w:hint="cs"/>
          <w:rtl/>
        </w:rPr>
        <w:t xml:space="preserve"> דאין כוונת הגמ' לקמן לדון בדין חזקה מדברי רב הונא, אלא מדברי רב חסדא בבדיקת הסכין, כיון דהא דאמר רב הונא דנשחטה בחזקת היתר קיימא, אינו מדין חזקה, כיון שלא הוחזקה הבהמה בכשרות שאפשר להעמידה על חזקתה, אלא ההיתר הוא מדין רוב, והלשון חזקה הוא לאו דוקא.</w:t>
      </w:r>
    </w:p>
    <w:p w14:paraId="73E4A399" w14:textId="77777777" w:rsidR="00852065" w:rsidRDefault="00852065" w:rsidP="00852065">
      <w:pPr>
        <w:pStyle w:val="2"/>
        <w:rPr>
          <w:rtl/>
        </w:rPr>
      </w:pPr>
      <w:bookmarkStart w:id="1889" w:name="_Toc522790252"/>
      <w:bookmarkStart w:id="1890" w:name="_Toc522800741"/>
      <w:bookmarkStart w:id="1891" w:name="_Toc522800849"/>
      <w:bookmarkStart w:id="1892" w:name="_Toc522809901"/>
      <w:bookmarkStart w:id="1893" w:name="_Toc19435267"/>
      <w:r>
        <w:rPr>
          <w:rFonts w:hint="cs"/>
          <w:rtl/>
        </w:rPr>
        <w:t>בענין חזקה שלא נתבררה בשעתה וחזקה מכח רוב</w:t>
      </w:r>
      <w:bookmarkEnd w:id="1888"/>
      <w:bookmarkEnd w:id="1889"/>
      <w:bookmarkEnd w:id="1890"/>
      <w:bookmarkEnd w:id="1891"/>
      <w:bookmarkEnd w:id="1892"/>
      <w:bookmarkEnd w:id="1893"/>
    </w:p>
    <w:p w14:paraId="25650C5C" w14:textId="77777777" w:rsidR="00852065" w:rsidRDefault="00852065" w:rsidP="00BF39B2">
      <w:pPr>
        <w:pStyle w:val="1"/>
        <w:rPr>
          <w:rtl/>
        </w:rPr>
      </w:pPr>
      <w:bookmarkStart w:id="1894" w:name="_Toc522618770"/>
      <w:bookmarkStart w:id="1895" w:name="_Toc522790253"/>
      <w:bookmarkStart w:id="1896" w:name="_Toc522800742"/>
      <w:bookmarkStart w:id="1897" w:name="_Toc522800850"/>
      <w:bookmarkStart w:id="1898" w:name="_Toc522809902"/>
      <w:bookmarkStart w:id="1899" w:name="_Toc19389205"/>
      <w:bookmarkStart w:id="1900" w:name="_Toc19392702"/>
      <w:r>
        <w:rPr>
          <w:rFonts w:hint="cs"/>
          <w:rtl/>
        </w:rPr>
        <w:t>דברי התוס' דחזקה שלא נתבררה בשעתה אינה חזקה</w:t>
      </w:r>
      <w:bookmarkEnd w:id="1894"/>
      <w:bookmarkEnd w:id="1895"/>
      <w:bookmarkEnd w:id="1896"/>
      <w:bookmarkEnd w:id="1897"/>
      <w:bookmarkEnd w:id="1898"/>
      <w:bookmarkEnd w:id="1899"/>
      <w:bookmarkEnd w:id="1900"/>
    </w:p>
    <w:p w14:paraId="3097EEEE" w14:textId="77777777" w:rsidR="00852065" w:rsidRDefault="00852065" w:rsidP="006D6D32">
      <w:pPr>
        <w:pStyle w:val="a3"/>
        <w:rPr>
          <w:rtl/>
        </w:rPr>
      </w:pPr>
      <w:bookmarkStart w:id="1901" w:name="_Toc522618771"/>
      <w:bookmarkStart w:id="1902" w:name="_Toc522790254"/>
      <w:bookmarkStart w:id="1903" w:name="_Toc522800743"/>
      <w:bookmarkStart w:id="1904" w:name="_Toc522800851"/>
      <w:bookmarkStart w:id="1905" w:name="_Toc522809903"/>
      <w:bookmarkStart w:id="1906" w:name="_Toc19389206"/>
      <w:bookmarkStart w:id="1907" w:name="_Toc19392703"/>
      <w:r>
        <w:rPr>
          <w:rFonts w:hint="cs"/>
          <w:rtl/>
        </w:rPr>
        <w:t>דברי התוס' דבהמה שנמצאת טריפה אין לה חזקה דלא נתבררה בשעתה וגבינותיה אסורות</w:t>
      </w:r>
      <w:bookmarkEnd w:id="1901"/>
      <w:bookmarkEnd w:id="1902"/>
      <w:bookmarkEnd w:id="1903"/>
      <w:bookmarkEnd w:id="1904"/>
      <w:bookmarkEnd w:id="1905"/>
      <w:bookmarkEnd w:id="1906"/>
      <w:bookmarkEnd w:id="1907"/>
    </w:p>
    <w:p w14:paraId="4FB5DB34" w14:textId="77777777" w:rsidR="00852065" w:rsidRDefault="00852065" w:rsidP="00223668">
      <w:pPr>
        <w:pStyle w:val="a0"/>
        <w:rPr>
          <w:rtl/>
        </w:rPr>
      </w:pPr>
      <w:bookmarkStart w:id="1908" w:name="_Ref522443050"/>
      <w:r>
        <w:rPr>
          <w:rFonts w:hint="cs"/>
          <w:rtl/>
        </w:rPr>
        <w:t xml:space="preserve">כתבו </w:t>
      </w:r>
      <w:r w:rsidRPr="00240C76">
        <w:rPr>
          <w:rStyle w:val="af9"/>
          <w:rFonts w:hint="cs"/>
          <w:rtl/>
        </w:rPr>
        <w:t xml:space="preserve">התוס' לקמן </w:t>
      </w:r>
      <w:r w:rsidRPr="00240C76">
        <w:rPr>
          <w:rStyle w:val="af7"/>
          <w:rFonts w:eastAsia="Guttman Hodes" w:hint="cs"/>
          <w:rtl/>
        </w:rPr>
        <w:t>(יא. ד"ה אתיא מפרה)</w:t>
      </w:r>
      <w:r>
        <w:rPr>
          <w:rFonts w:hint="cs"/>
          <w:rtl/>
        </w:rPr>
        <w:t xml:space="preserve"> דחזקה שלא נתבררה בשעתה אינה חזקה, ולכן אם עשה גבינות מכמה בהמות, ונשחטה אחת מהן ונמצאת טריפה, דכל הגבינות אסורות, וא"א להעמיד את הבהמה בחזקתה שעכשיו נטרפה.</w:t>
      </w:r>
      <w:bookmarkEnd w:id="1908"/>
    </w:p>
    <w:p w14:paraId="0EA74351" w14:textId="77777777" w:rsidR="00852065" w:rsidRDefault="00852065" w:rsidP="00BF39B2">
      <w:pPr>
        <w:pStyle w:val="1"/>
        <w:rPr>
          <w:rtl/>
        </w:rPr>
      </w:pPr>
      <w:bookmarkStart w:id="1909" w:name="_Toc522790255"/>
      <w:bookmarkStart w:id="1910" w:name="_Toc522800744"/>
      <w:bookmarkStart w:id="1911" w:name="_Toc522800852"/>
      <w:bookmarkStart w:id="1912" w:name="_Toc522809904"/>
      <w:bookmarkStart w:id="1913" w:name="_Toc19389207"/>
      <w:bookmarkStart w:id="1914" w:name="_Toc19392704"/>
      <w:bookmarkStart w:id="1915" w:name="_Toc522618772"/>
      <w:r>
        <w:rPr>
          <w:rFonts w:hint="cs"/>
          <w:rtl/>
        </w:rPr>
        <w:t>דעת רבינו יונה דהגבינות מותרות מדין חזקה מכח רוב</w:t>
      </w:r>
      <w:bookmarkEnd w:id="1909"/>
      <w:bookmarkEnd w:id="1910"/>
      <w:bookmarkEnd w:id="1911"/>
      <w:bookmarkEnd w:id="1912"/>
      <w:bookmarkEnd w:id="1913"/>
      <w:bookmarkEnd w:id="1914"/>
    </w:p>
    <w:p w14:paraId="41CE43B5" w14:textId="77777777" w:rsidR="00852065" w:rsidRPr="00303818" w:rsidRDefault="00852065" w:rsidP="006D6D32">
      <w:pPr>
        <w:pStyle w:val="a3"/>
        <w:rPr>
          <w:rtl/>
        </w:rPr>
      </w:pPr>
      <w:bookmarkStart w:id="1916" w:name="_Toc522790256"/>
      <w:bookmarkStart w:id="1917" w:name="_Toc522800745"/>
      <w:bookmarkStart w:id="1918" w:name="_Toc522800853"/>
      <w:bookmarkStart w:id="1919" w:name="_Toc522809905"/>
      <w:bookmarkStart w:id="1920" w:name="_Toc19389208"/>
      <w:bookmarkStart w:id="1921" w:name="_Toc19392705"/>
      <w:r w:rsidRPr="00303818">
        <w:rPr>
          <w:rFonts w:hint="cs"/>
          <w:rtl/>
        </w:rPr>
        <w:t>דברי הרשב"א בשם הר"ש דהגבינות מותרות מדין רוב</w:t>
      </w:r>
      <w:bookmarkEnd w:id="1915"/>
      <w:bookmarkEnd w:id="1916"/>
      <w:bookmarkEnd w:id="1917"/>
      <w:bookmarkEnd w:id="1918"/>
      <w:bookmarkEnd w:id="1919"/>
      <w:bookmarkEnd w:id="1920"/>
      <w:bookmarkEnd w:id="1921"/>
    </w:p>
    <w:p w14:paraId="210842F5" w14:textId="77777777" w:rsidR="00852065" w:rsidRPr="00303818" w:rsidRDefault="00852065" w:rsidP="00223668">
      <w:pPr>
        <w:pStyle w:val="a0"/>
        <w:rPr>
          <w:rtl/>
        </w:rPr>
      </w:pPr>
      <w:r w:rsidRPr="00303818">
        <w:rPr>
          <w:rFonts w:hint="cs"/>
          <w:rtl/>
        </w:rPr>
        <w:t xml:space="preserve">אך </w:t>
      </w:r>
      <w:r w:rsidRPr="00303818">
        <w:rPr>
          <w:rStyle w:val="af9"/>
          <w:rFonts w:hint="cs"/>
          <w:rtl/>
        </w:rPr>
        <w:t>הרשב"א</w:t>
      </w:r>
      <w:r w:rsidRPr="00303818">
        <w:rPr>
          <w:rFonts w:hint="cs"/>
          <w:rtl/>
        </w:rPr>
        <w:t xml:space="preserve"> </w:t>
      </w:r>
      <w:r w:rsidRPr="00303818">
        <w:rPr>
          <w:rStyle w:val="af7"/>
          <w:rFonts w:eastAsia="Guttman Hodes" w:hint="cs"/>
          <w:rtl/>
        </w:rPr>
        <w:t>(לקמן יא. ד"ה ובשם)</w:t>
      </w:r>
      <w:r w:rsidRPr="00303818">
        <w:rPr>
          <w:rFonts w:hint="cs"/>
          <w:rtl/>
        </w:rPr>
        <w:t xml:space="preserve"> כתב בשם </w:t>
      </w:r>
      <w:r w:rsidRPr="00303818">
        <w:rPr>
          <w:rStyle w:val="af9"/>
          <w:rFonts w:hint="cs"/>
          <w:rtl/>
        </w:rPr>
        <w:t>רבינו שמשון</w:t>
      </w:r>
      <w:r w:rsidRPr="00303818">
        <w:rPr>
          <w:rFonts w:hint="cs"/>
          <w:rtl/>
        </w:rPr>
        <w:t xml:space="preserve"> דאף שע"י חזקה א"א להתיר את הגבינות, מ"מ הם מותרות מדין רוב, דרוב בהמות הם כשרות ואמרינן דעכשיו נטרפה, כדאיתא בגמ' בכתובות </w:t>
      </w:r>
      <w:r w:rsidRPr="00303818">
        <w:rPr>
          <w:rStyle w:val="af7"/>
          <w:rFonts w:eastAsia="Guttman Hodes" w:hint="cs"/>
          <w:rtl/>
        </w:rPr>
        <w:t>(יד.)</w:t>
      </w:r>
      <w:r w:rsidRPr="00303818">
        <w:rPr>
          <w:rFonts w:hint="cs"/>
          <w:rtl/>
        </w:rPr>
        <w:t xml:space="preserve"> בדין מומין</w:t>
      </w:r>
      <w:r>
        <w:rPr>
          <w:rFonts w:hint="cs"/>
          <w:rtl/>
        </w:rPr>
        <w:t>,</w:t>
      </w:r>
      <w:r w:rsidRPr="00303818">
        <w:rPr>
          <w:rFonts w:hint="cs"/>
          <w:rtl/>
        </w:rPr>
        <w:t xml:space="preserve"> דמעמידים בחזקת הגוף שלא היו בה מומין.</w:t>
      </w:r>
    </w:p>
    <w:p w14:paraId="54FD806D" w14:textId="77777777" w:rsidR="00852065" w:rsidRPr="00303818" w:rsidRDefault="00852065" w:rsidP="006D6D32">
      <w:pPr>
        <w:pStyle w:val="a3"/>
        <w:rPr>
          <w:rtl/>
        </w:rPr>
      </w:pPr>
      <w:bookmarkStart w:id="1922" w:name="_Toc522618773"/>
      <w:bookmarkStart w:id="1923" w:name="_Toc522790257"/>
      <w:bookmarkStart w:id="1924" w:name="_Toc522800746"/>
      <w:bookmarkStart w:id="1925" w:name="_Toc522800854"/>
      <w:bookmarkStart w:id="1926" w:name="_Toc522809906"/>
      <w:bookmarkStart w:id="1927" w:name="_Toc19389209"/>
      <w:bookmarkStart w:id="1928" w:name="_Toc19392706"/>
      <w:r w:rsidRPr="00303818">
        <w:rPr>
          <w:rFonts w:hint="cs"/>
          <w:rtl/>
        </w:rPr>
        <w:t>דברי הרשב"א בשם רבינו יונה דיש לבהמה חזקה מכח רוב ולכן הגבינות מותרות</w:t>
      </w:r>
      <w:bookmarkEnd w:id="1922"/>
      <w:bookmarkEnd w:id="1923"/>
      <w:bookmarkEnd w:id="1924"/>
      <w:bookmarkEnd w:id="1925"/>
      <w:bookmarkEnd w:id="1926"/>
      <w:bookmarkEnd w:id="1927"/>
      <w:bookmarkEnd w:id="1928"/>
    </w:p>
    <w:p w14:paraId="1C34C41F" w14:textId="77777777" w:rsidR="00852065" w:rsidRDefault="00852065" w:rsidP="00223668">
      <w:pPr>
        <w:pStyle w:val="a0"/>
      </w:pPr>
      <w:bookmarkStart w:id="1929" w:name="_Ref522617791"/>
      <w:bookmarkStart w:id="1930" w:name="_Ref522463594"/>
      <w:r w:rsidRPr="00303818">
        <w:rPr>
          <w:rFonts w:hint="cs"/>
          <w:rtl/>
        </w:rPr>
        <w:t xml:space="preserve">וכתב </w:t>
      </w:r>
      <w:r w:rsidRPr="00303818">
        <w:rPr>
          <w:rStyle w:val="af9"/>
          <w:rFonts w:hint="cs"/>
          <w:rtl/>
        </w:rPr>
        <w:t>הרשב"א</w:t>
      </w:r>
      <w:r w:rsidRPr="00303818">
        <w:rPr>
          <w:rFonts w:hint="cs"/>
          <w:rtl/>
        </w:rPr>
        <w:t xml:space="preserve"> דכן דעת </w:t>
      </w:r>
      <w:r w:rsidRPr="00303818">
        <w:rPr>
          <w:rStyle w:val="af9"/>
          <w:rFonts w:hint="cs"/>
          <w:rtl/>
        </w:rPr>
        <w:t>רבינו יונה</w:t>
      </w:r>
      <w:r w:rsidRPr="00303818">
        <w:rPr>
          <w:rFonts w:hint="cs"/>
          <w:rtl/>
        </w:rPr>
        <w:t xml:space="preserve"> דהגבינות</w:t>
      </w:r>
      <w:r>
        <w:rPr>
          <w:rFonts w:hint="cs"/>
          <w:rtl/>
        </w:rPr>
        <w:t xml:space="preserve"> מותרות כמבואר מדברי רב הונא דבספק טריפה היא בחזקת היתר, ואף במקום שיש ריעותא כזאב שנטל את הבני מעיים, וכתב </w:t>
      </w:r>
      <w:r w:rsidRPr="00EB2A03">
        <w:rPr>
          <w:rStyle w:val="af9"/>
          <w:rFonts w:hint="cs"/>
          <w:rtl/>
        </w:rPr>
        <w:t xml:space="preserve">הרשב"א </w:t>
      </w:r>
      <w:r w:rsidRPr="00EB2A03">
        <w:rPr>
          <w:rFonts w:hint="cs"/>
          <w:rtl/>
        </w:rPr>
        <w:t xml:space="preserve">בשם </w:t>
      </w:r>
      <w:r w:rsidRPr="00EB2A03">
        <w:rPr>
          <w:rStyle w:val="af9"/>
          <w:rFonts w:hint="cs"/>
          <w:rtl/>
        </w:rPr>
        <w:t>רבינו יונה</w:t>
      </w:r>
      <w:r>
        <w:rPr>
          <w:rFonts w:hint="cs"/>
          <w:rtl/>
        </w:rPr>
        <w:t xml:space="preserve"> דאף דבנמצאה טריפה בודאי, גרע מדברי רב הונא בסוגיין דנמצא בה רק ריעותא, וגוף הבהמה עצמה לא הייתה בו ריעותא, מ"מ כיון שיש לה חזקה מכח רוב, אפשר להעמידה על חזקתה, אף שעכשיו היא ודאי טריפה</w:t>
      </w:r>
      <w:r>
        <w:rPr>
          <w:rStyle w:val="af1"/>
          <w:rtl/>
        </w:rPr>
        <w:footnoteReference w:id="15"/>
      </w:r>
      <w:r>
        <w:rPr>
          <w:rFonts w:hint="cs"/>
          <w:rtl/>
        </w:rPr>
        <w:t>.</w:t>
      </w:r>
      <w:bookmarkEnd w:id="1929"/>
    </w:p>
    <w:p w14:paraId="2F5489AB" w14:textId="77777777" w:rsidR="00852065" w:rsidRDefault="00852065" w:rsidP="006D6D32">
      <w:pPr>
        <w:pStyle w:val="a3"/>
        <w:rPr>
          <w:rtl/>
        </w:rPr>
      </w:pPr>
      <w:bookmarkStart w:id="1931" w:name="_Toc522618774"/>
      <w:bookmarkStart w:id="1932" w:name="_Toc522790258"/>
      <w:bookmarkStart w:id="1933" w:name="_Toc522800747"/>
      <w:bookmarkStart w:id="1934" w:name="_Toc522800855"/>
      <w:bookmarkStart w:id="1935" w:name="_Toc522809907"/>
      <w:bookmarkStart w:id="1936" w:name="_Toc19389210"/>
      <w:bookmarkStart w:id="1937" w:name="_Toc19392707"/>
      <w:bookmarkEnd w:id="1930"/>
      <w:r>
        <w:rPr>
          <w:rFonts w:hint="cs"/>
          <w:rtl/>
        </w:rPr>
        <w:t>דברי הבינת אדם דלדעת תוס' לא אזלינן בתר חזקה מכח הרוב</w:t>
      </w:r>
      <w:bookmarkEnd w:id="1931"/>
      <w:bookmarkEnd w:id="1932"/>
      <w:bookmarkEnd w:id="1933"/>
      <w:bookmarkEnd w:id="1934"/>
      <w:bookmarkEnd w:id="1935"/>
      <w:bookmarkEnd w:id="1936"/>
      <w:bookmarkEnd w:id="1937"/>
    </w:p>
    <w:p w14:paraId="593225A2" w14:textId="77777777" w:rsidR="00852065" w:rsidRDefault="00852065" w:rsidP="00223668">
      <w:pPr>
        <w:pStyle w:val="a0"/>
        <w:rPr>
          <w:rtl/>
        </w:rPr>
      </w:pPr>
      <w:r>
        <w:rPr>
          <w:rFonts w:hint="cs"/>
          <w:rtl/>
        </w:rPr>
        <w:t xml:space="preserve">וכתב </w:t>
      </w:r>
      <w:r w:rsidRPr="006C48D4">
        <w:rPr>
          <w:rStyle w:val="af9"/>
          <w:rFonts w:hint="cs"/>
          <w:rtl/>
        </w:rPr>
        <w:t>הבינת אדם</w:t>
      </w:r>
      <w:r>
        <w:rPr>
          <w:rFonts w:hint="cs"/>
          <w:rtl/>
        </w:rPr>
        <w:t xml:space="preserve"> </w:t>
      </w:r>
      <w:r w:rsidRPr="006C48D4">
        <w:rPr>
          <w:rStyle w:val="af7"/>
          <w:rFonts w:eastAsia="Guttman Hodes" w:hint="cs"/>
          <w:rtl/>
        </w:rPr>
        <w:t xml:space="preserve">(שער רוב וחזקה י"ד) </w:t>
      </w:r>
      <w:r>
        <w:rPr>
          <w:rFonts w:hint="cs"/>
          <w:rtl/>
        </w:rPr>
        <w:t xml:space="preserve">דמדכתבו </w:t>
      </w:r>
      <w:r w:rsidRPr="006C48D4">
        <w:rPr>
          <w:rStyle w:val="af9"/>
          <w:rFonts w:hint="cs"/>
          <w:rtl/>
        </w:rPr>
        <w:t xml:space="preserve">התוס' </w:t>
      </w:r>
      <w:r>
        <w:rPr>
          <w:rFonts w:hint="cs"/>
          <w:rtl/>
        </w:rPr>
        <w:t xml:space="preserve">דהגבינות אסורות, מבואר דס"ל דאין לבהמה כל חזקה, וא"כ ס"ל דלא אזלינן בתר חזקה מכח רוב, ודלא </w:t>
      </w:r>
      <w:r w:rsidRPr="006C48D4">
        <w:rPr>
          <w:rStyle w:val="af9"/>
          <w:rFonts w:hint="cs"/>
          <w:rtl/>
        </w:rPr>
        <w:t>כהרשב"א</w:t>
      </w:r>
      <w:r>
        <w:rPr>
          <w:rFonts w:hint="cs"/>
          <w:rtl/>
        </w:rPr>
        <w:t xml:space="preserve"> </w:t>
      </w:r>
      <w:r w:rsidRPr="006C48D4">
        <w:rPr>
          <w:rStyle w:val="af7"/>
          <w:rFonts w:eastAsia="Guttman Hodes" w:hint="cs"/>
          <w:rtl/>
        </w:rPr>
        <w:t xml:space="preserve">(עי' אות </w:t>
      </w:r>
      <w:r w:rsidRPr="006C48D4">
        <w:rPr>
          <w:rStyle w:val="af7"/>
          <w:rFonts w:eastAsia="Guttman Hodes"/>
          <w:rtl/>
        </w:rPr>
        <w:fldChar w:fldCharType="begin"/>
      </w:r>
      <w:r w:rsidRPr="006C48D4">
        <w:rPr>
          <w:rStyle w:val="af7"/>
          <w:rFonts w:eastAsia="Guttman Hodes"/>
          <w:rtl/>
        </w:rPr>
        <w:instrText xml:space="preserve"> </w:instrText>
      </w:r>
      <w:r w:rsidRPr="006C48D4">
        <w:rPr>
          <w:rStyle w:val="af7"/>
          <w:rFonts w:eastAsia="Guttman Hodes" w:hint="cs"/>
        </w:rPr>
        <w:instrText>REF</w:instrText>
      </w:r>
      <w:r w:rsidRPr="006C48D4">
        <w:rPr>
          <w:rStyle w:val="af7"/>
          <w:rFonts w:eastAsia="Guttman Hodes" w:hint="cs"/>
          <w:rtl/>
        </w:rPr>
        <w:instrText xml:space="preserve"> _</w:instrText>
      </w:r>
      <w:r w:rsidRPr="006C48D4">
        <w:rPr>
          <w:rStyle w:val="af7"/>
          <w:rFonts w:eastAsia="Guttman Hodes" w:hint="cs"/>
        </w:rPr>
        <w:instrText>Ref522463594 \r \h</w:instrText>
      </w:r>
      <w:r w:rsidRPr="006C48D4">
        <w:rPr>
          <w:rStyle w:val="af7"/>
          <w:rFonts w:eastAsia="Guttman Hodes"/>
          <w:rtl/>
        </w:rPr>
        <w:instrText xml:space="preserve"> </w:instrText>
      </w:r>
      <w:r w:rsidRPr="006C48D4">
        <w:rPr>
          <w:rStyle w:val="af7"/>
          <w:rFonts w:eastAsia="Guttman Hodes"/>
          <w:rtl/>
        </w:rPr>
      </w:r>
      <w:r w:rsidRPr="006C48D4">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6C48D4">
        <w:rPr>
          <w:rStyle w:val="af7"/>
          <w:rFonts w:eastAsia="Guttman Hodes"/>
          <w:rtl/>
        </w:rPr>
        <w:fldChar w:fldCharType="end"/>
      </w:r>
      <w:r>
        <w:rPr>
          <w:rFonts w:hint="cs"/>
          <w:rtl/>
        </w:rPr>
        <w:t>.</w:t>
      </w:r>
    </w:p>
    <w:p w14:paraId="73DAA0C0" w14:textId="77777777" w:rsidR="00852065" w:rsidRDefault="00852065" w:rsidP="006D6D32">
      <w:pPr>
        <w:pStyle w:val="a3"/>
        <w:rPr>
          <w:rtl/>
        </w:rPr>
      </w:pPr>
      <w:bookmarkStart w:id="1938" w:name="_Toc522618775"/>
      <w:bookmarkStart w:id="1939" w:name="_Toc522790259"/>
      <w:bookmarkStart w:id="1940" w:name="_Toc522800748"/>
      <w:bookmarkStart w:id="1941" w:name="_Toc522800856"/>
      <w:bookmarkStart w:id="1942" w:name="_Toc522809908"/>
      <w:bookmarkStart w:id="1943" w:name="_Toc19389211"/>
      <w:bookmarkStart w:id="1944" w:name="_Toc19392708"/>
      <w:r>
        <w:rPr>
          <w:rFonts w:hint="cs"/>
          <w:rtl/>
        </w:rPr>
        <w:t>דברי הבינת אדם דלתוס' כיון שנמצאת טריפה אינה בכלל הרוב</w:t>
      </w:r>
      <w:bookmarkEnd w:id="1938"/>
      <w:bookmarkEnd w:id="1939"/>
      <w:bookmarkEnd w:id="1940"/>
      <w:bookmarkEnd w:id="1941"/>
      <w:bookmarkEnd w:id="1942"/>
      <w:bookmarkEnd w:id="1943"/>
      <w:bookmarkEnd w:id="1944"/>
    </w:p>
    <w:p w14:paraId="2555CAFB" w14:textId="77777777" w:rsidR="00852065" w:rsidRDefault="00852065" w:rsidP="00223668">
      <w:pPr>
        <w:pStyle w:val="a0"/>
        <w:rPr>
          <w:rtl/>
        </w:rPr>
      </w:pPr>
      <w:r>
        <w:rPr>
          <w:rFonts w:hint="cs"/>
          <w:rtl/>
        </w:rPr>
        <w:t xml:space="preserve">אך כתב </w:t>
      </w:r>
      <w:r w:rsidRPr="00B31F05">
        <w:rPr>
          <w:rStyle w:val="af9"/>
          <w:rFonts w:hint="cs"/>
          <w:rtl/>
        </w:rPr>
        <w:t>הבינת אדם</w:t>
      </w:r>
      <w:r>
        <w:rPr>
          <w:rFonts w:hint="cs"/>
          <w:rtl/>
        </w:rPr>
        <w:t xml:space="preserve"> </w:t>
      </w:r>
      <w:r w:rsidRPr="00B31F05">
        <w:rPr>
          <w:rStyle w:val="af7"/>
          <w:rFonts w:eastAsia="Guttman Hodes" w:hint="cs"/>
          <w:rtl/>
        </w:rPr>
        <w:t xml:space="preserve">(ד"ה ונראה לי) </w:t>
      </w:r>
      <w:r>
        <w:rPr>
          <w:rFonts w:hint="cs"/>
          <w:rtl/>
        </w:rPr>
        <w:t xml:space="preserve">דאפש"ל דאף </w:t>
      </w:r>
      <w:r w:rsidRPr="00B31F05">
        <w:rPr>
          <w:rStyle w:val="af9"/>
          <w:rFonts w:hint="cs"/>
          <w:rtl/>
        </w:rPr>
        <w:t xml:space="preserve">התוס' </w:t>
      </w:r>
      <w:r>
        <w:rPr>
          <w:rFonts w:hint="cs"/>
          <w:rtl/>
        </w:rPr>
        <w:t>מודו דאזלינן בתר חזקה מכח רוב, אבל כיון שהבהמה היא ודאי טריפה, א"כ מוכח דלא הייתה בכלל הרוב.</w:t>
      </w:r>
    </w:p>
    <w:p w14:paraId="6758C1F1" w14:textId="77777777" w:rsidR="00852065" w:rsidRDefault="00852065" w:rsidP="006D6D32">
      <w:pPr>
        <w:pStyle w:val="a3"/>
        <w:rPr>
          <w:rtl/>
        </w:rPr>
      </w:pPr>
      <w:bookmarkStart w:id="1945" w:name="_Toc522618776"/>
      <w:bookmarkStart w:id="1946" w:name="_Toc522790260"/>
      <w:bookmarkStart w:id="1947" w:name="_Toc522800749"/>
      <w:bookmarkStart w:id="1948" w:name="_Toc522800857"/>
      <w:bookmarkStart w:id="1949" w:name="_Toc522809909"/>
      <w:bookmarkStart w:id="1950" w:name="_Toc19389212"/>
      <w:bookmarkStart w:id="1951" w:name="_Toc19392709"/>
      <w:r>
        <w:rPr>
          <w:rFonts w:hint="cs"/>
          <w:rtl/>
        </w:rPr>
        <w:t>ביאור הפמ"ג דלתוס' יצאה מכלל הרוב ולרשב"א ע"י הרוב חשיב שנתבררה חזקתה</w:t>
      </w:r>
      <w:bookmarkEnd w:id="1945"/>
      <w:bookmarkEnd w:id="1946"/>
      <w:bookmarkEnd w:id="1947"/>
      <w:bookmarkEnd w:id="1948"/>
      <w:bookmarkEnd w:id="1949"/>
      <w:bookmarkEnd w:id="1950"/>
      <w:bookmarkEnd w:id="1951"/>
    </w:p>
    <w:p w14:paraId="531534AF" w14:textId="77777777" w:rsidR="00852065" w:rsidRPr="00964A70" w:rsidRDefault="00852065" w:rsidP="00223668">
      <w:pPr>
        <w:pStyle w:val="a0"/>
        <w:rPr>
          <w:rtl/>
        </w:rPr>
      </w:pPr>
      <w:r>
        <w:rPr>
          <w:rFonts w:hint="cs"/>
          <w:rtl/>
        </w:rPr>
        <w:t xml:space="preserve">וביאר </w:t>
      </w:r>
      <w:r w:rsidRPr="007402AD">
        <w:rPr>
          <w:rStyle w:val="af9"/>
          <w:rFonts w:hint="cs"/>
          <w:rtl/>
        </w:rPr>
        <w:t xml:space="preserve">בפמ"ג </w:t>
      </w:r>
      <w:r w:rsidRPr="007402AD">
        <w:rPr>
          <w:rStyle w:val="af7"/>
          <w:rFonts w:eastAsia="Guttman Hodes" w:hint="cs"/>
          <w:rtl/>
        </w:rPr>
        <w:t>(משבצות זהב פ"א ג' ד"ה דע)</w:t>
      </w:r>
      <w:r>
        <w:rPr>
          <w:rFonts w:hint="cs"/>
          <w:rtl/>
        </w:rPr>
        <w:t xml:space="preserve"> דאף </w:t>
      </w:r>
      <w:r w:rsidRPr="007402AD">
        <w:rPr>
          <w:rStyle w:val="af9"/>
          <w:rFonts w:hint="cs"/>
          <w:rtl/>
        </w:rPr>
        <w:t>התוס'</w:t>
      </w:r>
      <w:r>
        <w:rPr>
          <w:rFonts w:hint="cs"/>
          <w:rtl/>
        </w:rPr>
        <w:t xml:space="preserve"> מודו דאזלינן בתר חזקה מכח רוב, אלא דעכשיו מוכח שבהמה זו אינה מהרוב, ודעת </w:t>
      </w:r>
      <w:r w:rsidRPr="007402AD">
        <w:rPr>
          <w:rStyle w:val="af9"/>
          <w:rFonts w:hint="cs"/>
          <w:rtl/>
        </w:rPr>
        <w:t>הרשב"א</w:t>
      </w:r>
      <w:r>
        <w:rPr>
          <w:rFonts w:hint="cs"/>
          <w:rtl/>
        </w:rPr>
        <w:t xml:space="preserve"> </w:t>
      </w:r>
      <w:r w:rsidRPr="00EB2A03">
        <w:rPr>
          <w:rStyle w:val="af7"/>
          <w:rFonts w:eastAsia="Guttman Hodes" w:hint="cs"/>
          <w:rtl/>
        </w:rPr>
        <w:t xml:space="preserve">(עי' אות </w:t>
      </w:r>
      <w:r w:rsidRPr="00EB2A03">
        <w:rPr>
          <w:rStyle w:val="af7"/>
          <w:rFonts w:eastAsia="Guttman Hodes"/>
          <w:rtl/>
        </w:rPr>
        <w:fldChar w:fldCharType="begin"/>
      </w:r>
      <w:r w:rsidRPr="00EB2A03">
        <w:rPr>
          <w:rStyle w:val="af7"/>
          <w:rFonts w:eastAsia="Guttman Hodes"/>
          <w:rtl/>
        </w:rPr>
        <w:instrText xml:space="preserve"> </w:instrText>
      </w:r>
      <w:r w:rsidRPr="00EB2A03">
        <w:rPr>
          <w:rStyle w:val="af7"/>
          <w:rFonts w:eastAsia="Guttman Hodes" w:hint="cs"/>
        </w:rPr>
        <w:instrText>REF</w:instrText>
      </w:r>
      <w:r w:rsidRPr="00EB2A03">
        <w:rPr>
          <w:rStyle w:val="af7"/>
          <w:rFonts w:eastAsia="Guttman Hodes" w:hint="cs"/>
          <w:rtl/>
        </w:rPr>
        <w:instrText xml:space="preserve"> _</w:instrText>
      </w:r>
      <w:r w:rsidRPr="00EB2A03">
        <w:rPr>
          <w:rStyle w:val="af7"/>
          <w:rFonts w:eastAsia="Guttman Hodes" w:hint="cs"/>
        </w:rPr>
        <w:instrText>Ref522463594 \r \h</w:instrText>
      </w:r>
      <w:r w:rsidRPr="00EB2A03">
        <w:rPr>
          <w:rStyle w:val="af7"/>
          <w:rFonts w:eastAsia="Guttman Hodes"/>
          <w:rtl/>
        </w:rPr>
        <w:instrText xml:space="preserve"> </w:instrText>
      </w:r>
      <w:r w:rsidRPr="00EB2A03">
        <w:rPr>
          <w:rStyle w:val="af7"/>
          <w:rFonts w:eastAsia="Guttman Hodes"/>
          <w:rtl/>
        </w:rPr>
      </w:r>
      <w:r w:rsidRPr="00EB2A03">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EB2A03">
        <w:rPr>
          <w:rStyle w:val="af7"/>
          <w:rFonts w:eastAsia="Guttman Hodes"/>
          <w:rtl/>
        </w:rPr>
        <w:fldChar w:fldCharType="end"/>
      </w:r>
      <w:r>
        <w:rPr>
          <w:rFonts w:hint="cs"/>
          <w:rtl/>
        </w:rPr>
        <w:t xml:space="preserve"> דכיון שהחזקה מכח הרוב היא חזקה מבוררת, א"כ אמרינן שעד עכשיו הייתה מהרוב, ועי' בדברי </w:t>
      </w:r>
      <w:r w:rsidRPr="008846B5">
        <w:rPr>
          <w:rStyle w:val="af9"/>
          <w:rFonts w:hint="cs"/>
          <w:rtl/>
        </w:rPr>
        <w:t>השערי דורא</w:t>
      </w:r>
      <w:r>
        <w:rPr>
          <w:rFonts w:hint="cs"/>
          <w:rtl/>
        </w:rPr>
        <w:t xml:space="preserve"> </w:t>
      </w:r>
      <w:r w:rsidRPr="008846B5">
        <w:rPr>
          <w:rStyle w:val="af7"/>
          <w:rFonts w:eastAsia="Guttman Hodes" w:hint="cs"/>
          <w:rtl/>
        </w:rPr>
        <w:t xml:space="preserve">(עי' אות </w:t>
      </w:r>
      <w:r w:rsidRPr="008846B5">
        <w:rPr>
          <w:rStyle w:val="af7"/>
          <w:rFonts w:eastAsia="Guttman Hodes"/>
          <w:rtl/>
        </w:rPr>
        <w:fldChar w:fldCharType="begin"/>
      </w:r>
      <w:r w:rsidRPr="008846B5">
        <w:rPr>
          <w:rStyle w:val="af7"/>
          <w:rFonts w:eastAsia="Guttman Hodes"/>
          <w:rtl/>
        </w:rPr>
        <w:instrText xml:space="preserve"> </w:instrText>
      </w:r>
      <w:r w:rsidRPr="008846B5">
        <w:rPr>
          <w:rStyle w:val="af7"/>
          <w:rFonts w:eastAsia="Guttman Hodes" w:hint="cs"/>
        </w:rPr>
        <w:instrText>REF</w:instrText>
      </w:r>
      <w:r w:rsidRPr="008846B5">
        <w:rPr>
          <w:rStyle w:val="af7"/>
          <w:rFonts w:eastAsia="Guttman Hodes" w:hint="cs"/>
          <w:rtl/>
        </w:rPr>
        <w:instrText xml:space="preserve"> _</w:instrText>
      </w:r>
      <w:r w:rsidRPr="008846B5">
        <w:rPr>
          <w:rStyle w:val="af7"/>
          <w:rFonts w:eastAsia="Guttman Hodes" w:hint="cs"/>
        </w:rPr>
        <w:instrText>Ref522618918 \r \h</w:instrText>
      </w:r>
      <w:r w:rsidRPr="008846B5">
        <w:rPr>
          <w:rStyle w:val="af7"/>
          <w:rFonts w:eastAsia="Guttman Hodes"/>
          <w:rtl/>
        </w:rPr>
        <w:instrText xml:space="preserve"> </w:instrText>
      </w:r>
      <w:r w:rsidRPr="008846B5">
        <w:rPr>
          <w:rStyle w:val="af7"/>
          <w:rFonts w:eastAsia="Guttman Hodes"/>
          <w:rtl/>
        </w:rPr>
      </w:r>
      <w:r w:rsidRPr="008846B5">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8846B5">
        <w:rPr>
          <w:rStyle w:val="af7"/>
          <w:rFonts w:eastAsia="Guttman Hodes"/>
          <w:rtl/>
        </w:rPr>
        <w:fldChar w:fldCharType="end"/>
      </w:r>
      <w:r>
        <w:rPr>
          <w:rFonts w:hint="cs"/>
          <w:rtl/>
        </w:rPr>
        <w:t>.</w:t>
      </w:r>
    </w:p>
    <w:p w14:paraId="6F92FA42" w14:textId="77777777" w:rsidR="00852065" w:rsidRDefault="00852065" w:rsidP="00BF39B2">
      <w:pPr>
        <w:pStyle w:val="1"/>
        <w:rPr>
          <w:rtl/>
        </w:rPr>
      </w:pPr>
      <w:bookmarkStart w:id="1952" w:name="_Toc522618777"/>
      <w:bookmarkStart w:id="1953" w:name="_Toc522790261"/>
      <w:bookmarkStart w:id="1954" w:name="_Toc522800750"/>
      <w:bookmarkStart w:id="1955" w:name="_Toc522800858"/>
      <w:bookmarkStart w:id="1956" w:name="_Toc522809910"/>
      <w:bookmarkStart w:id="1957" w:name="_Toc19389213"/>
      <w:bookmarkStart w:id="1958" w:name="_Toc19392710"/>
      <w:r>
        <w:rPr>
          <w:rFonts w:hint="cs"/>
          <w:rtl/>
        </w:rPr>
        <w:t>דעת הרא"ש בהיתר הגבינות מדין רוב או מדין חזקה</w:t>
      </w:r>
      <w:bookmarkEnd w:id="1952"/>
      <w:bookmarkEnd w:id="1953"/>
      <w:bookmarkEnd w:id="1954"/>
      <w:bookmarkEnd w:id="1955"/>
      <w:bookmarkEnd w:id="1956"/>
      <w:bookmarkEnd w:id="1957"/>
      <w:bookmarkEnd w:id="1958"/>
    </w:p>
    <w:p w14:paraId="7497AA43" w14:textId="77777777" w:rsidR="00852065" w:rsidRPr="00D63E53" w:rsidRDefault="00852065" w:rsidP="006D6D32">
      <w:pPr>
        <w:pStyle w:val="a3"/>
        <w:rPr>
          <w:rtl/>
        </w:rPr>
      </w:pPr>
      <w:bookmarkStart w:id="1959" w:name="_Toc522618778"/>
      <w:bookmarkStart w:id="1960" w:name="_Toc522790262"/>
      <w:bookmarkStart w:id="1961" w:name="_Toc522800751"/>
      <w:bookmarkStart w:id="1962" w:name="_Toc522800859"/>
      <w:bookmarkStart w:id="1963" w:name="_Toc522809911"/>
      <w:bookmarkStart w:id="1964" w:name="_Toc19389214"/>
      <w:bookmarkStart w:id="1965" w:name="_Toc19392711"/>
      <w:r>
        <w:rPr>
          <w:rFonts w:hint="cs"/>
          <w:rtl/>
        </w:rPr>
        <w:t>דברי הרא"ש דהגבינות מותרת כיון שרוב בהמות כשרות ורוב עדיף מחזקה</w:t>
      </w:r>
      <w:bookmarkEnd w:id="1959"/>
      <w:bookmarkEnd w:id="1960"/>
      <w:bookmarkEnd w:id="1961"/>
      <w:bookmarkEnd w:id="1962"/>
      <w:bookmarkEnd w:id="1963"/>
      <w:bookmarkEnd w:id="1964"/>
      <w:bookmarkEnd w:id="1965"/>
    </w:p>
    <w:p w14:paraId="796BC8F1" w14:textId="77777777" w:rsidR="00852065" w:rsidRPr="006A7287" w:rsidRDefault="00852065" w:rsidP="00223668">
      <w:pPr>
        <w:pStyle w:val="a0"/>
        <w:rPr>
          <w:rtl/>
        </w:rPr>
      </w:pPr>
      <w:bookmarkStart w:id="1966" w:name="_Ref522528408"/>
      <w:bookmarkStart w:id="1967" w:name="_Ref522611646"/>
      <w:r w:rsidRPr="00626B15">
        <w:rPr>
          <w:rStyle w:val="af9"/>
          <w:rFonts w:hint="cs"/>
          <w:rtl/>
        </w:rPr>
        <w:t>והרא"ש</w:t>
      </w:r>
      <w:r>
        <w:rPr>
          <w:rFonts w:hint="cs"/>
          <w:rtl/>
        </w:rPr>
        <w:t xml:space="preserve"> </w:t>
      </w:r>
      <w:r w:rsidRPr="005805D9">
        <w:rPr>
          <w:rStyle w:val="af7"/>
          <w:rFonts w:eastAsia="Guttman Hodes" w:hint="cs"/>
          <w:rtl/>
        </w:rPr>
        <w:t>(סי' ט"ז, תוס' הרא"ש יא. ד"ה אתיא מפרה)</w:t>
      </w:r>
      <w:r>
        <w:rPr>
          <w:rFonts w:hint="cs"/>
          <w:rtl/>
        </w:rPr>
        <w:t xml:space="preserve"> כתב </w:t>
      </w:r>
      <w:r w:rsidRPr="00626B15">
        <w:rPr>
          <w:rStyle w:val="af9"/>
          <w:rFonts w:hint="cs"/>
          <w:rtl/>
        </w:rPr>
        <w:t>כתוס'</w:t>
      </w:r>
      <w:r>
        <w:rPr>
          <w:rFonts w:hint="cs"/>
          <w:rtl/>
        </w:rPr>
        <w:t xml:space="preserve"> דהגבינות אסורות כיון שהיא חזקה שלא נתבררה בשעתה, אך הוסיף </w:t>
      </w:r>
      <w:r w:rsidRPr="00626B15">
        <w:rPr>
          <w:rStyle w:val="af9"/>
          <w:rFonts w:hint="cs"/>
          <w:rtl/>
        </w:rPr>
        <w:t>הרא"ש</w:t>
      </w:r>
      <w:r>
        <w:rPr>
          <w:rFonts w:hint="cs"/>
          <w:rtl/>
        </w:rPr>
        <w:t xml:space="preserve"> תירוץ נוסף דלמסקנת הגמ' </w:t>
      </w:r>
      <w:r w:rsidRPr="005805D9">
        <w:rPr>
          <w:rStyle w:val="af7"/>
          <w:rFonts w:eastAsia="Guttman Hodes" w:hint="cs"/>
          <w:rtl/>
        </w:rPr>
        <w:t>(יא.)</w:t>
      </w:r>
      <w:r>
        <w:rPr>
          <w:rFonts w:hint="cs"/>
          <w:rtl/>
        </w:rPr>
        <w:t xml:space="preserve"> דאזלינן בתר רובא, א"כ כל בהמה היא בחזקת כשרות ואפילו בתוך שנתה הראשונה, כיון שרוב בהמות הם כשרות ורוב עדיף מחזקה.</w:t>
      </w:r>
      <w:bookmarkEnd w:id="1966"/>
      <w:r>
        <w:rPr>
          <w:rFonts w:hint="cs"/>
          <w:rtl/>
        </w:rPr>
        <w:t xml:space="preserve"> והוסיף  </w:t>
      </w:r>
      <w:r>
        <w:rPr>
          <w:rStyle w:val="af9"/>
          <w:rFonts w:hint="cs"/>
          <w:rtl/>
        </w:rPr>
        <w:t>ה</w:t>
      </w:r>
      <w:r w:rsidRPr="005805D9">
        <w:rPr>
          <w:rStyle w:val="af9"/>
          <w:rFonts w:hint="cs"/>
          <w:rtl/>
        </w:rPr>
        <w:t>תוס' הרא"ש בנדה</w:t>
      </w:r>
      <w:r>
        <w:rPr>
          <w:rFonts w:hint="cs"/>
          <w:rtl/>
        </w:rPr>
        <w:t xml:space="preserve"> </w:t>
      </w:r>
      <w:r w:rsidRPr="005805D9">
        <w:rPr>
          <w:rStyle w:val="af7"/>
          <w:rFonts w:eastAsia="Guttman Hodes" w:hint="cs"/>
          <w:rtl/>
        </w:rPr>
        <w:t>(ב: ד"ה היכא)</w:t>
      </w:r>
      <w:r>
        <w:rPr>
          <w:rFonts w:hint="cs"/>
          <w:rtl/>
        </w:rPr>
        <w:t xml:space="preserve"> דלכן מעמידים את הבהמה בכלל הרוב, ואמרינן דעכשיו נטרפה.</w:t>
      </w:r>
      <w:bookmarkEnd w:id="1967"/>
    </w:p>
    <w:p w14:paraId="3708C874" w14:textId="77777777" w:rsidR="00852065" w:rsidRDefault="00852065" w:rsidP="006D6D32">
      <w:pPr>
        <w:pStyle w:val="a3"/>
        <w:rPr>
          <w:rtl/>
        </w:rPr>
      </w:pPr>
      <w:bookmarkStart w:id="1968" w:name="_Toc522618779"/>
      <w:bookmarkStart w:id="1969" w:name="_Toc522790263"/>
      <w:bookmarkStart w:id="1970" w:name="_Toc522800752"/>
      <w:bookmarkStart w:id="1971" w:name="_Toc522800860"/>
      <w:bookmarkStart w:id="1972" w:name="_Toc522809912"/>
      <w:bookmarkStart w:id="1973" w:name="_Toc19389215"/>
      <w:bookmarkStart w:id="1974" w:name="_Toc19392712"/>
      <w:r>
        <w:rPr>
          <w:rFonts w:hint="cs"/>
          <w:rtl/>
        </w:rPr>
        <w:t>ביאור הרא"ש בתשו' דלדינא דאזלינן בתר רובא הגבינות מותרות מדין רוב דעדיף מחזקה</w:t>
      </w:r>
      <w:bookmarkEnd w:id="1968"/>
      <w:bookmarkEnd w:id="1969"/>
      <w:bookmarkEnd w:id="1970"/>
      <w:bookmarkEnd w:id="1971"/>
      <w:bookmarkEnd w:id="1972"/>
      <w:bookmarkEnd w:id="1973"/>
      <w:bookmarkEnd w:id="1974"/>
    </w:p>
    <w:p w14:paraId="66FECA34" w14:textId="77777777" w:rsidR="00852065" w:rsidRPr="008838A2" w:rsidRDefault="00852065" w:rsidP="00223668">
      <w:pPr>
        <w:pStyle w:val="a0"/>
        <w:rPr>
          <w:rtl/>
        </w:rPr>
      </w:pPr>
      <w:r w:rsidRPr="008838A2">
        <w:rPr>
          <w:rStyle w:val="af9"/>
          <w:rFonts w:hint="cs"/>
          <w:rtl/>
        </w:rPr>
        <w:t>והרא"ש בתשו'</w:t>
      </w:r>
      <w:r>
        <w:rPr>
          <w:rFonts w:hint="cs"/>
          <w:rtl/>
        </w:rPr>
        <w:t xml:space="preserve"> </w:t>
      </w:r>
      <w:r w:rsidRPr="008838A2">
        <w:rPr>
          <w:rStyle w:val="af7"/>
          <w:rFonts w:eastAsia="Guttman Hodes" w:hint="cs"/>
          <w:rtl/>
        </w:rPr>
        <w:t>(כלל כ' ט"ו)</w:t>
      </w:r>
      <w:r>
        <w:rPr>
          <w:rFonts w:hint="cs"/>
          <w:rtl/>
        </w:rPr>
        <w:t xml:space="preserve"> ביאר את דבריו דלפי התירוץ של </w:t>
      </w:r>
      <w:r w:rsidRPr="008838A2">
        <w:rPr>
          <w:rStyle w:val="af9"/>
          <w:rFonts w:hint="cs"/>
          <w:rtl/>
        </w:rPr>
        <w:t>התוס'</w:t>
      </w:r>
      <w:r>
        <w:rPr>
          <w:rFonts w:hint="cs"/>
          <w:rtl/>
        </w:rPr>
        <w:t xml:space="preserve"> דחזקה שלא נתבררה בשעתה אינה חזקה, א"כ הגבינות אסורות, אך כתב </w:t>
      </w:r>
      <w:r w:rsidRPr="008838A2">
        <w:rPr>
          <w:rStyle w:val="af9"/>
          <w:rFonts w:hint="cs"/>
          <w:rtl/>
        </w:rPr>
        <w:t>הרא"ש בתשו'</w:t>
      </w:r>
      <w:r>
        <w:rPr>
          <w:rFonts w:hint="cs"/>
          <w:rtl/>
        </w:rPr>
        <w:t xml:space="preserve"> דכל תירוץ זה הוא לפי הגמ' בהו"א שעדיין לא ילפינן דאזלינן בתר רובא, אבל למסקנת הגמ' דאזלינן בתר רובא, הגבינות מותרות, דכיון שרוב עדיף מחזקה ובכל שעה ושעה אזלינן בתר רובא, והיא כשרה, וכיון שהרוב עדיף מהחזקה אפשר להעמיד את הבהמה על חזקתה ולומר שסמוך לשחיטתה נטרפה, ולכן הגבינות כשרות.</w:t>
      </w:r>
    </w:p>
    <w:p w14:paraId="57A01258" w14:textId="77777777" w:rsidR="00852065" w:rsidRDefault="00852065" w:rsidP="006D6D32">
      <w:pPr>
        <w:pStyle w:val="a3"/>
        <w:rPr>
          <w:rtl/>
        </w:rPr>
      </w:pPr>
      <w:bookmarkStart w:id="1975" w:name="_Toc522618780"/>
      <w:bookmarkStart w:id="1976" w:name="_Toc522790264"/>
      <w:bookmarkStart w:id="1977" w:name="_Toc522800753"/>
      <w:bookmarkStart w:id="1978" w:name="_Toc522800861"/>
      <w:bookmarkStart w:id="1979" w:name="_Toc522809913"/>
      <w:bookmarkStart w:id="1980" w:name="_Toc19389216"/>
      <w:bookmarkStart w:id="1981" w:name="_Toc19392713"/>
      <w:r>
        <w:rPr>
          <w:rFonts w:hint="cs"/>
          <w:rtl/>
        </w:rPr>
        <w:t>ביאור המעדני יו"ט ברא"ש דרוב מתיר אף שלא נתברר בשעתו ועדיף מחזקה</w:t>
      </w:r>
      <w:bookmarkEnd w:id="1975"/>
      <w:bookmarkEnd w:id="1976"/>
      <w:bookmarkEnd w:id="1977"/>
      <w:bookmarkEnd w:id="1978"/>
      <w:bookmarkEnd w:id="1979"/>
      <w:bookmarkEnd w:id="1980"/>
      <w:bookmarkEnd w:id="1981"/>
    </w:p>
    <w:p w14:paraId="32EC9190" w14:textId="77777777" w:rsidR="00852065" w:rsidRDefault="00852065" w:rsidP="00223668">
      <w:pPr>
        <w:pStyle w:val="a0"/>
        <w:rPr>
          <w:rStyle w:val="afb"/>
          <w:rtl/>
        </w:rPr>
      </w:pPr>
      <w:r>
        <w:rPr>
          <w:rStyle w:val="af9"/>
          <w:rFonts w:hint="cs"/>
          <w:rtl/>
        </w:rPr>
        <w:t>ו</w:t>
      </w:r>
      <w:r w:rsidRPr="00626B15">
        <w:rPr>
          <w:rStyle w:val="af9"/>
          <w:rFonts w:hint="cs"/>
          <w:rtl/>
        </w:rPr>
        <w:t>המעדני יו"ט</w:t>
      </w:r>
      <w:r>
        <w:rPr>
          <w:rFonts w:hint="cs"/>
          <w:rtl/>
        </w:rPr>
        <w:t xml:space="preserve"> </w:t>
      </w:r>
      <w:r w:rsidRPr="00626B15">
        <w:rPr>
          <w:rStyle w:val="af7"/>
          <w:rFonts w:eastAsia="Guttman Hodes" w:hint="cs"/>
          <w:rtl/>
        </w:rPr>
        <w:t xml:space="preserve">(על הרא"ש </w:t>
      </w:r>
      <w:r>
        <w:rPr>
          <w:rStyle w:val="af7"/>
          <w:rFonts w:eastAsia="Guttman Hodes" w:hint="cs"/>
          <w:rtl/>
        </w:rPr>
        <w:t xml:space="preserve">סי' </w:t>
      </w:r>
      <w:r w:rsidRPr="00626B15">
        <w:rPr>
          <w:rStyle w:val="af7"/>
          <w:rFonts w:eastAsia="Guttman Hodes" w:hint="cs"/>
          <w:rtl/>
        </w:rPr>
        <w:t>ט"ז אותיות ב' ג')</w:t>
      </w:r>
      <w:r>
        <w:rPr>
          <w:rFonts w:hint="cs"/>
          <w:rtl/>
        </w:rPr>
        <w:t xml:space="preserve"> ביאר דס"ל </w:t>
      </w:r>
      <w:r w:rsidRPr="00626B15">
        <w:rPr>
          <w:rStyle w:val="af9"/>
          <w:rFonts w:hint="cs"/>
          <w:rtl/>
        </w:rPr>
        <w:t>להרא"ש</w:t>
      </w:r>
      <w:r>
        <w:rPr>
          <w:rFonts w:hint="cs"/>
          <w:rtl/>
        </w:rPr>
        <w:t xml:space="preserve"> דאף שחזקה שלא נתבררה בשעתה אינה חזקה, מ"מ הגבינות מותרות מחמת הרוב, דרוב עדיף מחזקה, וברוב א"צ שיתברר בשעתו. וכן מבואר </w:t>
      </w:r>
      <w:r w:rsidRPr="00D63E53">
        <w:rPr>
          <w:rStyle w:val="af9"/>
          <w:rFonts w:hint="cs"/>
          <w:rtl/>
        </w:rPr>
        <w:t>בקיצור פסקי הרא"ש</w:t>
      </w:r>
      <w:r>
        <w:rPr>
          <w:rFonts w:hint="cs"/>
          <w:rtl/>
        </w:rPr>
        <w:t xml:space="preserve"> דכתב דחזקה שלא נתבררה בשעתה אינה חזקה, אבל לענין הגבינות כתב דהם מותרות</w:t>
      </w:r>
      <w:r w:rsidRPr="00D63E53">
        <w:rPr>
          <w:rStyle w:val="afb"/>
          <w:rFonts w:hint="cs"/>
          <w:rtl/>
        </w:rPr>
        <w:t xml:space="preserve">, [ומבואר מדבריהם </w:t>
      </w:r>
      <w:r>
        <w:rPr>
          <w:rStyle w:val="afb"/>
          <w:rFonts w:hint="cs"/>
          <w:rtl/>
        </w:rPr>
        <w:t>ד</w:t>
      </w:r>
      <w:r w:rsidRPr="00D63E53">
        <w:rPr>
          <w:rStyle w:val="afb"/>
          <w:rFonts w:hint="cs"/>
          <w:rtl/>
        </w:rPr>
        <w:t xml:space="preserve">לדעת </w:t>
      </w:r>
      <w:r w:rsidRPr="00D63E53">
        <w:rPr>
          <w:rStyle w:val="affa"/>
          <w:rFonts w:hint="cs"/>
          <w:rtl/>
        </w:rPr>
        <w:t>הרא"ש</w:t>
      </w:r>
      <w:r w:rsidRPr="00D63E53">
        <w:rPr>
          <w:rStyle w:val="afb"/>
          <w:rFonts w:hint="cs"/>
          <w:rtl/>
        </w:rPr>
        <w:t xml:space="preserve"> אי"ז חזקה מכח רוב כדכתב </w:t>
      </w:r>
      <w:r w:rsidRPr="00D63E53">
        <w:rPr>
          <w:rStyle w:val="affa"/>
          <w:rFonts w:hint="cs"/>
          <w:rtl/>
        </w:rPr>
        <w:t>הרשב"א</w:t>
      </w:r>
      <w:r>
        <w:rPr>
          <w:rStyle w:val="afb"/>
          <w:rFonts w:hint="cs"/>
          <w:rtl/>
        </w:rPr>
        <w:t xml:space="preserve"> </w:t>
      </w:r>
      <w:r w:rsidRPr="00D63E53">
        <w:rPr>
          <w:rStyle w:val="aff6"/>
          <w:rFonts w:hint="cs"/>
          <w:rtl/>
        </w:rPr>
        <w:t xml:space="preserve">(עי' אות </w:t>
      </w:r>
      <w:r w:rsidRPr="00D63E53">
        <w:rPr>
          <w:rStyle w:val="aff6"/>
          <w:rtl/>
        </w:rPr>
        <w:fldChar w:fldCharType="begin"/>
      </w:r>
      <w:r w:rsidRPr="00D63E53">
        <w:rPr>
          <w:rStyle w:val="aff6"/>
          <w:rtl/>
        </w:rPr>
        <w:instrText xml:space="preserve"> </w:instrText>
      </w:r>
      <w:r w:rsidRPr="00D63E53">
        <w:rPr>
          <w:rStyle w:val="aff6"/>
          <w:rFonts w:hint="cs"/>
        </w:rPr>
        <w:instrText>REF</w:instrText>
      </w:r>
      <w:r w:rsidRPr="00D63E53">
        <w:rPr>
          <w:rStyle w:val="aff6"/>
          <w:rFonts w:hint="cs"/>
          <w:rtl/>
        </w:rPr>
        <w:instrText xml:space="preserve"> _</w:instrText>
      </w:r>
      <w:r w:rsidRPr="00D63E53">
        <w:rPr>
          <w:rStyle w:val="aff6"/>
          <w:rFonts w:hint="cs"/>
        </w:rPr>
        <w:instrText>Ref522463594 \r \h</w:instrText>
      </w:r>
      <w:r w:rsidRPr="00D63E53">
        <w:rPr>
          <w:rStyle w:val="aff6"/>
          <w:rtl/>
        </w:rPr>
        <w:instrText xml:space="preserve"> </w:instrText>
      </w:r>
      <w:r w:rsidRPr="00D63E53">
        <w:rPr>
          <w:rStyle w:val="aff6"/>
          <w:rtl/>
        </w:rPr>
      </w:r>
      <w:r w:rsidRPr="00D63E53">
        <w:rPr>
          <w:rStyle w:val="aff6"/>
          <w:rtl/>
        </w:rPr>
        <w:fldChar w:fldCharType="separate"/>
      </w:r>
      <w:r w:rsidR="00345400">
        <w:rPr>
          <w:rStyle w:val="aff6"/>
          <w:cs/>
        </w:rPr>
        <w:t>‎</w:t>
      </w:r>
      <w:r w:rsidR="00345400">
        <w:rPr>
          <w:rStyle w:val="aff6"/>
          <w:rtl/>
        </w:rPr>
        <w:t>יב)</w:t>
      </w:r>
      <w:r w:rsidRPr="00D63E53">
        <w:rPr>
          <w:rStyle w:val="aff6"/>
          <w:rtl/>
        </w:rPr>
        <w:fldChar w:fldCharType="end"/>
      </w:r>
      <w:r w:rsidRPr="00D63E53">
        <w:rPr>
          <w:rStyle w:val="afb"/>
          <w:rFonts w:hint="cs"/>
          <w:rtl/>
        </w:rPr>
        <w:t>, אלא ההיתר הוא מדין רוב ולא מדין חזקה].</w:t>
      </w:r>
    </w:p>
    <w:p w14:paraId="389901C0" w14:textId="77777777" w:rsidR="00852065" w:rsidRDefault="00852065" w:rsidP="006D6D32">
      <w:pPr>
        <w:pStyle w:val="a3"/>
        <w:rPr>
          <w:rtl/>
        </w:rPr>
      </w:pPr>
      <w:bookmarkStart w:id="1982" w:name="_Toc522618781"/>
      <w:bookmarkStart w:id="1983" w:name="_Toc522790265"/>
      <w:bookmarkStart w:id="1984" w:name="_Toc522800754"/>
      <w:bookmarkStart w:id="1985" w:name="_Toc522800862"/>
      <w:bookmarkStart w:id="1986" w:name="_Toc522809914"/>
      <w:bookmarkStart w:id="1987" w:name="_Toc19389217"/>
      <w:bookmarkStart w:id="1988" w:name="_Toc19392714"/>
      <w:r>
        <w:rPr>
          <w:rFonts w:hint="cs"/>
          <w:rtl/>
        </w:rPr>
        <w:t>ביאור הגר"א ברא"ש דהתיר ע"י חזקה מכח רוב וכדעת רבינו יונה</w:t>
      </w:r>
      <w:bookmarkEnd w:id="1982"/>
      <w:bookmarkEnd w:id="1983"/>
      <w:bookmarkEnd w:id="1984"/>
      <w:bookmarkEnd w:id="1985"/>
      <w:bookmarkEnd w:id="1986"/>
      <w:bookmarkEnd w:id="1987"/>
      <w:bookmarkEnd w:id="1988"/>
    </w:p>
    <w:p w14:paraId="60E504AE" w14:textId="77777777" w:rsidR="00852065" w:rsidRDefault="00852065" w:rsidP="00223668">
      <w:pPr>
        <w:pStyle w:val="a0"/>
        <w:rPr>
          <w:rtl/>
        </w:rPr>
      </w:pPr>
      <w:bookmarkStart w:id="1989" w:name="_Ref522611446"/>
      <w:r w:rsidRPr="00CC3E88">
        <w:rPr>
          <w:rFonts w:hint="cs"/>
          <w:rtl/>
        </w:rPr>
        <w:t xml:space="preserve">אבל </w:t>
      </w:r>
      <w:r w:rsidRPr="00C24DA1">
        <w:rPr>
          <w:rStyle w:val="af9"/>
          <w:rFonts w:hint="cs"/>
          <w:rtl/>
        </w:rPr>
        <w:t>הגר"א</w:t>
      </w:r>
      <w:r>
        <w:rPr>
          <w:rFonts w:hint="cs"/>
          <w:rtl/>
        </w:rPr>
        <w:t xml:space="preserve"> </w:t>
      </w:r>
      <w:r w:rsidRPr="00C24DA1">
        <w:rPr>
          <w:rStyle w:val="af7"/>
          <w:rFonts w:eastAsia="Guttman Hodes" w:hint="cs"/>
          <w:rtl/>
        </w:rPr>
        <w:t>(פ"א ו')</w:t>
      </w:r>
      <w:r>
        <w:rPr>
          <w:rFonts w:hint="cs"/>
          <w:rtl/>
        </w:rPr>
        <w:t xml:space="preserve"> ביאר דכוונת </w:t>
      </w:r>
      <w:r w:rsidRPr="00C24DA1">
        <w:rPr>
          <w:rStyle w:val="af9"/>
          <w:rFonts w:hint="cs"/>
          <w:rtl/>
        </w:rPr>
        <w:t>הרא"ש</w:t>
      </w:r>
      <w:r>
        <w:rPr>
          <w:rFonts w:hint="cs"/>
          <w:rtl/>
        </w:rPr>
        <w:t xml:space="preserve"> דהגבינות מותרות ע"י חזקה מכח רוב, והביא </w:t>
      </w:r>
      <w:r w:rsidRPr="00C24DA1">
        <w:rPr>
          <w:rStyle w:val="af9"/>
          <w:rFonts w:hint="cs"/>
          <w:rtl/>
        </w:rPr>
        <w:t>הגר"א</w:t>
      </w:r>
      <w:r>
        <w:rPr>
          <w:rFonts w:hint="cs"/>
          <w:rtl/>
        </w:rPr>
        <w:t xml:space="preserve"> את דברי  </w:t>
      </w:r>
      <w:r w:rsidRPr="00C24DA1">
        <w:rPr>
          <w:rStyle w:val="af9"/>
          <w:rFonts w:hint="cs"/>
          <w:rtl/>
        </w:rPr>
        <w:t>התוס' בנדה</w:t>
      </w:r>
      <w:r>
        <w:rPr>
          <w:rFonts w:hint="cs"/>
          <w:rtl/>
        </w:rPr>
        <w:t xml:space="preserve"> </w:t>
      </w:r>
      <w:r w:rsidRPr="00C24DA1">
        <w:rPr>
          <w:rStyle w:val="af7"/>
          <w:rFonts w:eastAsia="Guttman Hodes" w:hint="cs"/>
          <w:rtl/>
        </w:rPr>
        <w:t>(ב: ד"ה דאיכא)</w:t>
      </w:r>
      <w:r>
        <w:rPr>
          <w:rFonts w:hint="cs"/>
          <w:rtl/>
        </w:rPr>
        <w:t xml:space="preserve"> דכתבו דבמקום שאין ריעותא אזלינן בתר חזקה, אבל בגבינות אין חזקה כיון שלא נתבררה בשעתה, </w:t>
      </w:r>
      <w:r w:rsidRPr="00B63B4E">
        <w:rPr>
          <w:rStyle w:val="afb"/>
          <w:rFonts w:hint="cs"/>
          <w:rtl/>
        </w:rPr>
        <w:t xml:space="preserve">[ואולי כוונתו </w:t>
      </w:r>
      <w:r w:rsidRPr="00B63B4E">
        <w:rPr>
          <w:rStyle w:val="affa"/>
          <w:rFonts w:hint="cs"/>
          <w:rtl/>
        </w:rPr>
        <w:t>דלהרא"ש</w:t>
      </w:r>
      <w:r w:rsidRPr="00B63B4E">
        <w:rPr>
          <w:rStyle w:val="afb"/>
          <w:rFonts w:hint="cs"/>
          <w:rtl/>
        </w:rPr>
        <w:t xml:space="preserve"> ע"י הרוב חשיב שהחזקה נתבררה, כיון שאין בה ריעותא].</w:t>
      </w:r>
      <w:r>
        <w:rPr>
          <w:rFonts w:hint="cs"/>
          <w:rtl/>
        </w:rPr>
        <w:t xml:space="preserve"> וכתב </w:t>
      </w:r>
      <w:r w:rsidRPr="00B63B4E">
        <w:rPr>
          <w:rStyle w:val="af9"/>
          <w:rFonts w:hint="cs"/>
          <w:rtl/>
        </w:rPr>
        <w:t>הגר"א</w:t>
      </w:r>
      <w:r>
        <w:rPr>
          <w:rFonts w:hint="cs"/>
          <w:rtl/>
        </w:rPr>
        <w:t xml:space="preserve"> דכן דעת </w:t>
      </w:r>
      <w:r w:rsidRPr="00B63B4E">
        <w:rPr>
          <w:rStyle w:val="af9"/>
          <w:rFonts w:hint="cs"/>
          <w:rtl/>
        </w:rPr>
        <w:t>רבינו יונה</w:t>
      </w:r>
      <w:r>
        <w:rPr>
          <w:rFonts w:hint="cs"/>
          <w:rtl/>
        </w:rPr>
        <w:t xml:space="preserve"> </w:t>
      </w:r>
      <w:r w:rsidRPr="00B63B4E">
        <w:rPr>
          <w:rStyle w:val="af7"/>
          <w:rFonts w:eastAsia="Guttman Hodes" w:hint="cs"/>
          <w:rtl/>
        </w:rPr>
        <w:t xml:space="preserve">(עי' אות </w:t>
      </w:r>
      <w:r w:rsidRPr="00B63B4E">
        <w:rPr>
          <w:rStyle w:val="af7"/>
          <w:rFonts w:eastAsia="Guttman Hodes"/>
          <w:rtl/>
        </w:rPr>
        <w:fldChar w:fldCharType="begin"/>
      </w:r>
      <w:r w:rsidRPr="00B63B4E">
        <w:rPr>
          <w:rStyle w:val="af7"/>
          <w:rFonts w:eastAsia="Guttman Hodes"/>
          <w:rtl/>
        </w:rPr>
        <w:instrText xml:space="preserve"> </w:instrText>
      </w:r>
      <w:r w:rsidRPr="00B63B4E">
        <w:rPr>
          <w:rStyle w:val="af7"/>
          <w:rFonts w:eastAsia="Guttman Hodes" w:hint="cs"/>
        </w:rPr>
        <w:instrText>REF</w:instrText>
      </w:r>
      <w:r w:rsidRPr="00B63B4E">
        <w:rPr>
          <w:rStyle w:val="af7"/>
          <w:rFonts w:eastAsia="Guttman Hodes" w:hint="cs"/>
          <w:rtl/>
        </w:rPr>
        <w:instrText xml:space="preserve"> _</w:instrText>
      </w:r>
      <w:r w:rsidRPr="00B63B4E">
        <w:rPr>
          <w:rStyle w:val="af7"/>
          <w:rFonts w:eastAsia="Guttman Hodes" w:hint="cs"/>
        </w:rPr>
        <w:instrText>Ref522462159 \r \h</w:instrText>
      </w:r>
      <w:r w:rsidRPr="00B63B4E">
        <w:rPr>
          <w:rStyle w:val="af7"/>
          <w:rFonts w:eastAsia="Guttman Hodes"/>
          <w:rtl/>
        </w:rPr>
        <w:instrText xml:space="preserve"> </w:instrText>
      </w:r>
      <w:r w:rsidRPr="00B63B4E">
        <w:rPr>
          <w:rStyle w:val="af7"/>
          <w:rFonts w:eastAsia="Guttman Hodes"/>
          <w:rtl/>
        </w:rPr>
      </w:r>
      <w:r w:rsidRPr="00B63B4E">
        <w:rPr>
          <w:rStyle w:val="af7"/>
          <w:rFonts w:eastAsia="Guttman Hodes"/>
          <w:rtl/>
        </w:rPr>
        <w:fldChar w:fldCharType="separate"/>
      </w:r>
      <w:r w:rsidR="00345400">
        <w:rPr>
          <w:rStyle w:val="af7"/>
          <w:rFonts w:eastAsia="Guttman Hodes"/>
          <w:cs/>
        </w:rPr>
        <w:t>‎</w:t>
      </w:r>
      <w:r w:rsidR="00345400">
        <w:rPr>
          <w:rStyle w:val="af7"/>
          <w:rFonts w:eastAsia="Guttman Hodes"/>
          <w:rtl/>
        </w:rPr>
        <w:t>ו)</w:t>
      </w:r>
      <w:r w:rsidRPr="00B63B4E">
        <w:rPr>
          <w:rStyle w:val="af7"/>
          <w:rFonts w:eastAsia="Guttman Hodes"/>
          <w:rtl/>
        </w:rPr>
        <w:fldChar w:fldCharType="end"/>
      </w:r>
      <w:r w:rsidRPr="00B63B4E">
        <w:rPr>
          <w:rStyle w:val="af7"/>
          <w:rFonts w:eastAsia="Guttman Hodes" w:hint="cs"/>
          <w:rtl/>
        </w:rPr>
        <w:t xml:space="preserve"> </w:t>
      </w:r>
      <w:r>
        <w:rPr>
          <w:rFonts w:hint="cs"/>
          <w:rtl/>
        </w:rPr>
        <w:t>דס"ל דמחיים הבהמה בחזקת שאינה טריפה, כמבואר מדברי רב הונא דנשחטה בחזקת היתר קיימא.</w:t>
      </w:r>
      <w:bookmarkEnd w:id="1989"/>
    </w:p>
    <w:p w14:paraId="4CF1708F" w14:textId="77777777" w:rsidR="00852065" w:rsidRDefault="00852065" w:rsidP="00BF39B2">
      <w:pPr>
        <w:pStyle w:val="1"/>
        <w:rPr>
          <w:rtl/>
        </w:rPr>
      </w:pPr>
      <w:bookmarkStart w:id="1990" w:name="_Toc522618782"/>
      <w:bookmarkStart w:id="1991" w:name="_Toc522790266"/>
      <w:bookmarkStart w:id="1992" w:name="_Toc522800755"/>
      <w:bookmarkStart w:id="1993" w:name="_Toc522800863"/>
      <w:bookmarkStart w:id="1994" w:name="_Toc522809915"/>
      <w:bookmarkStart w:id="1995" w:name="_Toc19389218"/>
      <w:bookmarkStart w:id="1996" w:name="_Toc19392715"/>
      <w:r>
        <w:rPr>
          <w:rFonts w:hint="cs"/>
          <w:rtl/>
        </w:rPr>
        <w:t>דברי השערי דורא</w:t>
      </w:r>
      <w:bookmarkEnd w:id="1990"/>
      <w:r>
        <w:rPr>
          <w:rFonts w:hint="cs"/>
          <w:rtl/>
        </w:rPr>
        <w:t xml:space="preserve"> בביאור חזקה מכח רוב</w:t>
      </w:r>
      <w:bookmarkEnd w:id="1991"/>
      <w:bookmarkEnd w:id="1992"/>
      <w:bookmarkEnd w:id="1993"/>
      <w:bookmarkEnd w:id="1994"/>
      <w:bookmarkEnd w:id="1995"/>
      <w:bookmarkEnd w:id="1996"/>
    </w:p>
    <w:p w14:paraId="6578069F" w14:textId="77777777" w:rsidR="00852065" w:rsidRPr="006955B9" w:rsidRDefault="00852065" w:rsidP="006D6D32">
      <w:pPr>
        <w:pStyle w:val="a3"/>
        <w:rPr>
          <w:rtl/>
        </w:rPr>
      </w:pPr>
      <w:bookmarkStart w:id="1997" w:name="_Toc522618783"/>
      <w:bookmarkStart w:id="1998" w:name="_Toc522790267"/>
      <w:bookmarkStart w:id="1999" w:name="_Toc522800756"/>
      <w:bookmarkStart w:id="2000" w:name="_Toc522800864"/>
      <w:bookmarkStart w:id="2001" w:name="_Toc522809916"/>
      <w:bookmarkStart w:id="2002" w:name="_Toc19389219"/>
      <w:bookmarkStart w:id="2003" w:name="_Toc19392716"/>
      <w:r>
        <w:rPr>
          <w:rFonts w:hint="cs"/>
          <w:rtl/>
        </w:rPr>
        <w:t>דברי השערי דורא בשם הרשב"ם דהבהמה היא בחזקת הגוף שאינה טריפה</w:t>
      </w:r>
      <w:bookmarkEnd w:id="1997"/>
      <w:bookmarkEnd w:id="1998"/>
      <w:bookmarkEnd w:id="1999"/>
      <w:bookmarkEnd w:id="2000"/>
      <w:bookmarkEnd w:id="2001"/>
      <w:bookmarkEnd w:id="2002"/>
      <w:bookmarkEnd w:id="2003"/>
    </w:p>
    <w:p w14:paraId="48A2F873" w14:textId="77777777" w:rsidR="00852065" w:rsidRDefault="00852065" w:rsidP="00223668">
      <w:pPr>
        <w:pStyle w:val="a0"/>
        <w:rPr>
          <w:rtl/>
        </w:rPr>
      </w:pPr>
      <w:r>
        <w:rPr>
          <w:rFonts w:hint="cs"/>
          <w:rtl/>
        </w:rPr>
        <w:t xml:space="preserve">כתב </w:t>
      </w:r>
      <w:r w:rsidRPr="00957D86">
        <w:rPr>
          <w:rStyle w:val="af9"/>
          <w:rFonts w:hint="cs"/>
          <w:rtl/>
        </w:rPr>
        <w:t>בשערי דורא</w:t>
      </w:r>
      <w:r>
        <w:rPr>
          <w:rFonts w:hint="cs"/>
          <w:rtl/>
        </w:rPr>
        <w:t xml:space="preserve"> </w:t>
      </w:r>
      <w:r w:rsidRPr="00957D86">
        <w:rPr>
          <w:rStyle w:val="af7"/>
          <w:rFonts w:eastAsia="Guttman Hodes" w:hint="cs"/>
          <w:rtl/>
        </w:rPr>
        <w:t>(סי' פ"ד, נד' בקובץ שיטות קמאי חולין ח"א עמ' רל"ג)</w:t>
      </w:r>
      <w:r>
        <w:rPr>
          <w:rFonts w:hint="cs"/>
          <w:rtl/>
        </w:rPr>
        <w:t xml:space="preserve"> בשם </w:t>
      </w:r>
      <w:r w:rsidRPr="00957D86">
        <w:rPr>
          <w:rStyle w:val="af9"/>
          <w:rFonts w:hint="cs"/>
          <w:rtl/>
        </w:rPr>
        <w:t>הרשב"ם</w:t>
      </w:r>
      <w:r>
        <w:rPr>
          <w:rFonts w:hint="cs"/>
          <w:rtl/>
        </w:rPr>
        <w:t xml:space="preserve"> דהגבינות </w:t>
      </w:r>
      <w:r w:rsidRPr="00957D86">
        <w:rPr>
          <w:rStyle w:val="afb"/>
          <w:rFonts w:hint="cs"/>
          <w:rtl/>
        </w:rPr>
        <w:t>[שנחלבו לפני יותר מג' ימים]</w:t>
      </w:r>
      <w:r>
        <w:rPr>
          <w:rFonts w:hint="cs"/>
          <w:rtl/>
        </w:rPr>
        <w:t xml:space="preserve"> מותרות, דמעמידים את הבהמה בחזקת הגוף שאינה טריפה, כדאיתא בגמ' בכתובות </w:t>
      </w:r>
      <w:r w:rsidRPr="00957D86">
        <w:rPr>
          <w:rStyle w:val="af7"/>
          <w:rFonts w:eastAsia="Guttman Hodes" w:hint="cs"/>
          <w:rtl/>
        </w:rPr>
        <w:t>(יד.)</w:t>
      </w:r>
      <w:r>
        <w:rPr>
          <w:rFonts w:hint="cs"/>
          <w:rtl/>
        </w:rPr>
        <w:t xml:space="preserve"> בדין מומין דמעמידים בחזקת הגוף שלא היו בה מומין.</w:t>
      </w:r>
    </w:p>
    <w:p w14:paraId="2F2222D4" w14:textId="77777777" w:rsidR="00852065" w:rsidRPr="00F62776" w:rsidRDefault="00852065" w:rsidP="006D6D32">
      <w:pPr>
        <w:pStyle w:val="a3"/>
        <w:rPr>
          <w:rtl/>
        </w:rPr>
      </w:pPr>
      <w:bookmarkStart w:id="2004" w:name="_Toc522618784"/>
      <w:bookmarkStart w:id="2005" w:name="_Toc522790268"/>
      <w:bookmarkStart w:id="2006" w:name="_Toc522800757"/>
      <w:bookmarkStart w:id="2007" w:name="_Toc522800865"/>
      <w:bookmarkStart w:id="2008" w:name="_Toc522809917"/>
      <w:bookmarkStart w:id="2009" w:name="_Toc19389220"/>
      <w:bookmarkStart w:id="2010" w:name="_Toc19392717"/>
      <w:r>
        <w:rPr>
          <w:rFonts w:hint="cs"/>
          <w:rtl/>
        </w:rPr>
        <w:t>דברי השערי דורא דע"י הרוב חשיב שהחזקה נתבררה בשעתה</w:t>
      </w:r>
      <w:bookmarkEnd w:id="2004"/>
      <w:bookmarkEnd w:id="2005"/>
      <w:bookmarkEnd w:id="2006"/>
      <w:bookmarkEnd w:id="2007"/>
      <w:bookmarkEnd w:id="2008"/>
      <w:bookmarkEnd w:id="2009"/>
      <w:bookmarkEnd w:id="2010"/>
    </w:p>
    <w:p w14:paraId="4B9EEAB1" w14:textId="77777777" w:rsidR="00852065" w:rsidRDefault="00852065" w:rsidP="00223668">
      <w:pPr>
        <w:pStyle w:val="a0"/>
        <w:rPr>
          <w:rtl/>
        </w:rPr>
      </w:pPr>
      <w:bookmarkStart w:id="2011" w:name="_Ref522618918"/>
      <w:r>
        <w:rPr>
          <w:rFonts w:hint="cs"/>
          <w:rtl/>
        </w:rPr>
        <w:t xml:space="preserve">והוסיף </w:t>
      </w:r>
      <w:r w:rsidRPr="00957D86">
        <w:rPr>
          <w:rStyle w:val="af9"/>
          <w:rFonts w:hint="cs"/>
          <w:rtl/>
        </w:rPr>
        <w:t>השערי דורא</w:t>
      </w:r>
      <w:r>
        <w:rPr>
          <w:rFonts w:hint="cs"/>
          <w:rtl/>
        </w:rPr>
        <w:t xml:space="preserve"> דאף שחזקה שלא נתבררה בשעתה אינה חזקה, מ"מ כיון שמשעה שנולדה עד שנמצאת טריפה, הייתה בחזקת כשרות דאזלינן בתר הרוב שאינה טריפה, לכן אף שעשכשיו נתברר שבהמה זו היא מהמיעוט ואינה מהרוב, מ"מ מחמת הרוב חשיב שהחזקה נתבררה בשעתה, ולכן מעמידים אותה על החזקת כשרות שהייתה לה עד עכשיו, ואמרינן דעכשיו נטרפה.</w:t>
      </w:r>
      <w:bookmarkEnd w:id="2011"/>
    </w:p>
    <w:p w14:paraId="2A9E73AD" w14:textId="77777777" w:rsidR="00852065" w:rsidRDefault="00852065" w:rsidP="006D6D32">
      <w:pPr>
        <w:pStyle w:val="a3"/>
        <w:rPr>
          <w:rtl/>
        </w:rPr>
      </w:pPr>
      <w:bookmarkStart w:id="2012" w:name="_Toc522618785"/>
      <w:bookmarkStart w:id="2013" w:name="_Toc522790269"/>
      <w:bookmarkStart w:id="2014" w:name="_Toc522800758"/>
      <w:bookmarkStart w:id="2015" w:name="_Toc522800866"/>
      <w:bookmarkStart w:id="2016" w:name="_Toc522809918"/>
      <w:bookmarkStart w:id="2017" w:name="_Toc19389221"/>
      <w:bookmarkStart w:id="2018" w:name="_Toc19392718"/>
      <w:r>
        <w:rPr>
          <w:rFonts w:hint="cs"/>
          <w:rtl/>
        </w:rPr>
        <w:t>דברי הג' שערי דורא בשם רבינו פרץ דרוב דמי לחזקה המבוררת</w:t>
      </w:r>
      <w:bookmarkEnd w:id="2012"/>
      <w:bookmarkEnd w:id="2013"/>
      <w:bookmarkEnd w:id="2014"/>
      <w:bookmarkEnd w:id="2015"/>
      <w:bookmarkEnd w:id="2016"/>
      <w:bookmarkEnd w:id="2017"/>
      <w:bookmarkEnd w:id="2018"/>
    </w:p>
    <w:p w14:paraId="1BC8727E" w14:textId="77777777" w:rsidR="00852065" w:rsidRPr="00113BFB" w:rsidRDefault="00852065" w:rsidP="00223668">
      <w:pPr>
        <w:pStyle w:val="a0"/>
        <w:rPr>
          <w:rStyle w:val="afb"/>
          <w:rtl/>
        </w:rPr>
      </w:pPr>
      <w:r w:rsidRPr="008D34D3">
        <w:rPr>
          <w:rStyle w:val="af9"/>
          <w:rFonts w:hint="cs"/>
          <w:rtl/>
        </w:rPr>
        <w:t>ובהג' שערי דורא</w:t>
      </w:r>
      <w:r>
        <w:rPr>
          <w:rFonts w:hint="cs"/>
          <w:rtl/>
        </w:rPr>
        <w:t xml:space="preserve"> </w:t>
      </w:r>
      <w:r w:rsidRPr="00957D86">
        <w:rPr>
          <w:rStyle w:val="af7"/>
          <w:rFonts w:eastAsia="Guttman Hodes" w:hint="cs"/>
          <w:rtl/>
        </w:rPr>
        <w:t>(סי' פ"ד</w:t>
      </w:r>
      <w:r>
        <w:rPr>
          <w:rStyle w:val="af7"/>
          <w:rFonts w:eastAsia="Guttman Hodes" w:hint="cs"/>
          <w:rtl/>
        </w:rPr>
        <w:t xml:space="preserve"> אות ה'</w:t>
      </w:r>
      <w:r w:rsidRPr="00957D86">
        <w:rPr>
          <w:rStyle w:val="af7"/>
          <w:rFonts w:eastAsia="Guttman Hodes" w:hint="cs"/>
          <w:rtl/>
        </w:rPr>
        <w:t>, נד' בקובץ שיטות קמאי חולין ח"א עמ' רל"</w:t>
      </w:r>
      <w:r>
        <w:rPr>
          <w:rStyle w:val="af7"/>
          <w:rFonts w:eastAsia="Guttman Hodes" w:hint="cs"/>
          <w:rtl/>
        </w:rPr>
        <w:t>ד</w:t>
      </w:r>
      <w:r w:rsidRPr="00957D86">
        <w:rPr>
          <w:rStyle w:val="af7"/>
          <w:rFonts w:eastAsia="Guttman Hodes" w:hint="cs"/>
          <w:rtl/>
        </w:rPr>
        <w:t>)</w:t>
      </w:r>
      <w:r>
        <w:rPr>
          <w:rFonts w:hint="cs"/>
          <w:rtl/>
        </w:rPr>
        <w:t xml:space="preserve"> </w:t>
      </w:r>
      <w:r w:rsidRPr="006E35B7">
        <w:rPr>
          <w:rStyle w:val="af9"/>
          <w:rFonts w:hint="cs"/>
          <w:rtl/>
        </w:rPr>
        <w:t>ובאיסור והיתר הארוך</w:t>
      </w:r>
      <w:r>
        <w:rPr>
          <w:rFonts w:hint="cs"/>
          <w:rtl/>
        </w:rPr>
        <w:t xml:space="preserve"> </w:t>
      </w:r>
      <w:r w:rsidRPr="006E35B7">
        <w:rPr>
          <w:rStyle w:val="af7"/>
          <w:rFonts w:eastAsia="Guttman Hodes" w:hint="cs"/>
          <w:rtl/>
        </w:rPr>
        <w:t>(שער מ"ט אות ב')</w:t>
      </w:r>
      <w:r>
        <w:rPr>
          <w:rFonts w:hint="cs"/>
          <w:rtl/>
        </w:rPr>
        <w:t xml:space="preserve"> הביאו את דברי </w:t>
      </w:r>
      <w:r w:rsidRPr="008D34D3">
        <w:rPr>
          <w:rStyle w:val="af9"/>
          <w:rFonts w:hint="cs"/>
          <w:rtl/>
        </w:rPr>
        <w:t>רבינו פרץ</w:t>
      </w:r>
      <w:r>
        <w:rPr>
          <w:rFonts w:hint="cs"/>
          <w:rtl/>
        </w:rPr>
        <w:t xml:space="preserve"> דביאר את התירוץ דאזלינן בתר רובא, דכמו שבחזקה שמבוררת אמרינן דעד עכשיו השתא בחזקתה, והשתא יצאה מחזקתה, ה"ה ברוב דאמרינן שעכשיו נטרפה ויצאה מכלל הרוב שאינם טריפות, ורק מעכשיו היא מהמיעוט הטריפות, אבל עד עכשיו הייתה בכלל הרוב. </w:t>
      </w:r>
      <w:r w:rsidRPr="00113BFB">
        <w:rPr>
          <w:rStyle w:val="afb"/>
          <w:rFonts w:hint="cs"/>
          <w:rtl/>
        </w:rPr>
        <w:t xml:space="preserve">[והביא </w:t>
      </w:r>
      <w:r w:rsidRPr="00113BFB">
        <w:rPr>
          <w:rStyle w:val="affa"/>
          <w:rFonts w:hint="cs"/>
          <w:rtl/>
        </w:rPr>
        <w:t xml:space="preserve">באיסור והיתר הארוך </w:t>
      </w:r>
      <w:r w:rsidRPr="00113BFB">
        <w:rPr>
          <w:rStyle w:val="afb"/>
          <w:rFonts w:hint="cs"/>
          <w:rtl/>
        </w:rPr>
        <w:t xml:space="preserve">בשם </w:t>
      </w:r>
      <w:r w:rsidRPr="00113BFB">
        <w:rPr>
          <w:rStyle w:val="affa"/>
          <w:rFonts w:hint="cs"/>
          <w:rtl/>
        </w:rPr>
        <w:t>המהר"ם</w:t>
      </w:r>
      <w:r w:rsidRPr="00113BFB">
        <w:rPr>
          <w:rStyle w:val="afb"/>
          <w:rFonts w:hint="cs"/>
          <w:rtl/>
        </w:rPr>
        <w:t xml:space="preserve"> דדחה דרוב בבהמה שאינה טריפה, לא דמי לחזקה דמקוה, דא"א לומר בו חסר ואתאי כמו במקוה].</w:t>
      </w:r>
    </w:p>
    <w:p w14:paraId="73DCF98D" w14:textId="77777777" w:rsidR="00852065" w:rsidRDefault="00852065" w:rsidP="006D6D32">
      <w:pPr>
        <w:pStyle w:val="a3"/>
        <w:rPr>
          <w:rtl/>
        </w:rPr>
      </w:pPr>
      <w:bookmarkStart w:id="2019" w:name="_Toc522790270"/>
      <w:bookmarkStart w:id="2020" w:name="_Toc522800759"/>
      <w:bookmarkStart w:id="2021" w:name="_Toc522800867"/>
      <w:bookmarkStart w:id="2022" w:name="_Toc522809919"/>
      <w:bookmarkStart w:id="2023" w:name="_Toc19389222"/>
      <w:bookmarkStart w:id="2024" w:name="_Toc19392719"/>
      <w:r>
        <w:rPr>
          <w:rFonts w:hint="cs"/>
          <w:rtl/>
        </w:rPr>
        <w:t>דברי הר"א משנץ דכיון דבחזקה דמעיקרא אמרינן שעכשיו נעשית הריעותא כ"ש ברוב</w:t>
      </w:r>
      <w:bookmarkEnd w:id="2019"/>
      <w:bookmarkEnd w:id="2020"/>
      <w:bookmarkEnd w:id="2021"/>
      <w:bookmarkEnd w:id="2022"/>
      <w:bookmarkEnd w:id="2023"/>
      <w:bookmarkEnd w:id="2024"/>
    </w:p>
    <w:p w14:paraId="7F5E95BF" w14:textId="77777777" w:rsidR="00852065" w:rsidRDefault="00852065" w:rsidP="00223668">
      <w:pPr>
        <w:pStyle w:val="a0"/>
        <w:rPr>
          <w:rtl/>
        </w:rPr>
      </w:pPr>
      <w:r w:rsidRPr="00A0295E">
        <w:rPr>
          <w:rStyle w:val="af9"/>
          <w:rFonts w:hint="cs"/>
          <w:rtl/>
        </w:rPr>
        <w:t>ובשיטמ"ק</w:t>
      </w:r>
      <w:r>
        <w:rPr>
          <w:rFonts w:hint="cs"/>
          <w:rtl/>
        </w:rPr>
        <w:t xml:space="preserve"> </w:t>
      </w:r>
      <w:r w:rsidRPr="00A0295E">
        <w:rPr>
          <w:rStyle w:val="af7"/>
          <w:rFonts w:eastAsia="Guttman Hodes" w:hint="cs"/>
          <w:rtl/>
        </w:rPr>
        <w:t xml:space="preserve">(יא. ד"ה ודוקא בודאי) </w:t>
      </w:r>
      <w:r>
        <w:rPr>
          <w:rFonts w:hint="cs"/>
          <w:rtl/>
        </w:rPr>
        <w:t xml:space="preserve">כתב בשם </w:t>
      </w:r>
      <w:r w:rsidRPr="00A0295E">
        <w:rPr>
          <w:rStyle w:val="af9"/>
          <w:rFonts w:hint="cs"/>
          <w:rtl/>
        </w:rPr>
        <w:t>הר"א מ</w:t>
      </w:r>
      <w:r>
        <w:rPr>
          <w:rStyle w:val="af9"/>
          <w:rFonts w:hint="cs"/>
          <w:rtl/>
        </w:rPr>
        <w:t>ש</w:t>
      </w:r>
      <w:r w:rsidRPr="00A0295E">
        <w:rPr>
          <w:rStyle w:val="af9"/>
          <w:rFonts w:hint="cs"/>
          <w:rtl/>
        </w:rPr>
        <w:t>נץ</w:t>
      </w:r>
      <w:r>
        <w:rPr>
          <w:rFonts w:hint="cs"/>
          <w:rtl/>
        </w:rPr>
        <w:t xml:space="preserve"> דאף בודאי טריפה הגבינות מותרות מדין רוב, דכיון שבנמצאה ריעותא בחזקה דמעיקרא, אמרינן דעכשיו נעשית הריעותא [כמו במקוה שנמצא חסר], א"כ כ"ש ברוב שעדיף מחזקה, דאמרינן דעד שנמצאת שהיא טריפה הייתה בכלל הרוב.</w:t>
      </w:r>
    </w:p>
    <w:p w14:paraId="6AA3C695" w14:textId="77777777" w:rsidR="00852065" w:rsidRDefault="00852065" w:rsidP="00852065">
      <w:pPr>
        <w:pStyle w:val="2"/>
        <w:rPr>
          <w:rtl/>
        </w:rPr>
      </w:pPr>
      <w:bookmarkStart w:id="2025" w:name="_Toc522618791"/>
      <w:bookmarkStart w:id="2026" w:name="_Toc522790271"/>
      <w:bookmarkStart w:id="2027" w:name="_Toc522800760"/>
      <w:bookmarkStart w:id="2028" w:name="_Toc522800868"/>
      <w:bookmarkStart w:id="2029" w:name="_Toc522809920"/>
      <w:bookmarkStart w:id="2030" w:name="_Toc19435268"/>
      <w:r>
        <w:rPr>
          <w:rFonts w:hint="cs"/>
          <w:rtl/>
        </w:rPr>
        <w:t>בדברי התוס' בספק דרוסה</w:t>
      </w:r>
      <w:bookmarkEnd w:id="2025"/>
      <w:bookmarkEnd w:id="2026"/>
      <w:bookmarkEnd w:id="2027"/>
      <w:bookmarkEnd w:id="2028"/>
      <w:bookmarkEnd w:id="2029"/>
      <w:bookmarkEnd w:id="2030"/>
    </w:p>
    <w:p w14:paraId="28062842" w14:textId="77777777" w:rsidR="00852065" w:rsidRDefault="00852065" w:rsidP="00BF39B2">
      <w:pPr>
        <w:pStyle w:val="1"/>
        <w:rPr>
          <w:rtl/>
        </w:rPr>
      </w:pPr>
      <w:bookmarkStart w:id="2031" w:name="_Toc522618792"/>
      <w:bookmarkStart w:id="2032" w:name="_Toc522790272"/>
      <w:bookmarkStart w:id="2033" w:name="_Toc522800761"/>
      <w:bookmarkStart w:id="2034" w:name="_Toc522800869"/>
      <w:bookmarkStart w:id="2035" w:name="_Toc522809921"/>
      <w:bookmarkStart w:id="2036" w:name="_Toc19389223"/>
      <w:bookmarkStart w:id="2037" w:name="_Toc19392720"/>
      <w:r>
        <w:rPr>
          <w:rFonts w:hint="cs"/>
          <w:rtl/>
        </w:rPr>
        <w:t>קושית התוס' מספק דרוסה</w:t>
      </w:r>
      <w:bookmarkEnd w:id="2031"/>
      <w:r>
        <w:rPr>
          <w:rFonts w:hint="cs"/>
          <w:rtl/>
        </w:rPr>
        <w:t xml:space="preserve"> ומספק צרת ערוה</w:t>
      </w:r>
      <w:bookmarkEnd w:id="2032"/>
      <w:bookmarkEnd w:id="2033"/>
      <w:bookmarkEnd w:id="2034"/>
      <w:bookmarkEnd w:id="2035"/>
      <w:bookmarkEnd w:id="2036"/>
      <w:bookmarkEnd w:id="2037"/>
    </w:p>
    <w:p w14:paraId="0F43358F" w14:textId="77777777" w:rsidR="00852065" w:rsidRPr="001E5C2A" w:rsidRDefault="00852065" w:rsidP="006D6D32">
      <w:pPr>
        <w:pStyle w:val="a3"/>
        <w:rPr>
          <w:rtl/>
        </w:rPr>
      </w:pPr>
      <w:bookmarkStart w:id="2038" w:name="_Toc522790273"/>
      <w:bookmarkStart w:id="2039" w:name="_Toc522800762"/>
      <w:bookmarkStart w:id="2040" w:name="_Toc522800870"/>
      <w:bookmarkStart w:id="2041" w:name="_Toc522809922"/>
      <w:bookmarkStart w:id="2042" w:name="_Toc19389224"/>
      <w:bookmarkStart w:id="2043" w:name="_Toc19392721"/>
      <w:r>
        <w:rPr>
          <w:rFonts w:hint="cs"/>
          <w:rtl/>
        </w:rPr>
        <w:t>קושית התוס' אמאי בספק דרוסה ובקוץ בושט אין חזקת היתר כמו בזאב</w:t>
      </w:r>
      <w:bookmarkEnd w:id="2038"/>
      <w:bookmarkEnd w:id="2039"/>
      <w:bookmarkEnd w:id="2040"/>
      <w:bookmarkEnd w:id="2041"/>
      <w:bookmarkEnd w:id="2042"/>
      <w:bookmarkEnd w:id="2043"/>
    </w:p>
    <w:p w14:paraId="206A70AA" w14:textId="77777777" w:rsidR="00852065" w:rsidRDefault="00852065" w:rsidP="00223668">
      <w:pPr>
        <w:pStyle w:val="a0"/>
        <w:rPr>
          <w:rtl/>
        </w:rPr>
      </w:pPr>
      <w:bookmarkStart w:id="2044" w:name="_Ref522476684"/>
      <w:r>
        <w:rPr>
          <w:rFonts w:hint="cs"/>
          <w:rtl/>
        </w:rPr>
        <w:t xml:space="preserve">איתא בגמ' לקמן </w:t>
      </w:r>
      <w:r w:rsidRPr="001059BF">
        <w:rPr>
          <w:rStyle w:val="af7"/>
          <w:rFonts w:eastAsia="Guttman Hodes" w:hint="cs"/>
          <w:rtl/>
        </w:rPr>
        <w:t>(מג:)</w:t>
      </w:r>
      <w:r>
        <w:rPr>
          <w:rFonts w:hint="cs"/>
          <w:rtl/>
        </w:rPr>
        <w:t xml:space="preserve"> דאמר עולא דאין חוששין לספק דרוסה, ולישב קוץ בושט, </w:t>
      </w:r>
      <w:r w:rsidRPr="00FD2C68">
        <w:rPr>
          <w:rStyle w:val="afb"/>
          <w:rFonts w:hint="cs"/>
          <w:rtl/>
        </w:rPr>
        <w:t>[</w:t>
      </w:r>
      <w:r w:rsidRPr="00FD2C68">
        <w:rPr>
          <w:rStyle w:val="affa"/>
          <w:rFonts w:hint="cs"/>
          <w:rtl/>
        </w:rPr>
        <w:t>ופרש"י</w:t>
      </w:r>
      <w:r w:rsidRPr="00FD2C68">
        <w:rPr>
          <w:rStyle w:val="afb"/>
          <w:rFonts w:hint="cs"/>
          <w:rtl/>
        </w:rPr>
        <w:t xml:space="preserve"> </w:t>
      </w:r>
      <w:r w:rsidRPr="00FD2C68">
        <w:rPr>
          <w:rStyle w:val="aff6"/>
          <w:rFonts w:hint="cs"/>
          <w:rtl/>
        </w:rPr>
        <w:t>(ד"ה ישב)</w:t>
      </w:r>
      <w:r>
        <w:rPr>
          <w:rStyle w:val="afb"/>
          <w:rFonts w:hint="cs"/>
          <w:rtl/>
        </w:rPr>
        <w:t xml:space="preserve"> </w:t>
      </w:r>
      <w:r w:rsidRPr="00FD2C68">
        <w:rPr>
          <w:rStyle w:val="afb"/>
          <w:rFonts w:hint="cs"/>
          <w:rtl/>
        </w:rPr>
        <w:t>דאכל קוץ ונתחב לו בושט, ולא נראה נקב על הושט מבחוץ</w:t>
      </w:r>
      <w:r>
        <w:rPr>
          <w:rStyle w:val="afb"/>
          <w:rFonts w:hint="cs"/>
          <w:rtl/>
        </w:rPr>
        <w:t>,</w:t>
      </w:r>
      <w:r w:rsidRPr="00FD2C68">
        <w:rPr>
          <w:rStyle w:val="afb"/>
          <w:rFonts w:hint="cs"/>
          <w:rtl/>
        </w:rPr>
        <w:t xml:space="preserve"> ומבפנים אין קורט דם בושט, </w:t>
      </w:r>
      <w:r>
        <w:rPr>
          <w:rStyle w:val="afb"/>
          <w:rFonts w:hint="cs"/>
          <w:rtl/>
        </w:rPr>
        <w:t>ד</w:t>
      </w:r>
      <w:r w:rsidRPr="00FD2C68">
        <w:rPr>
          <w:rStyle w:val="afb"/>
          <w:rFonts w:hint="cs"/>
          <w:rtl/>
        </w:rPr>
        <w:t>אין חוששין שמא היה שם נקב ונטרפה והבריא הושט, והיינו שעלה קרום על הנקב, שאינו נחשב קרום להתיר].</w:t>
      </w:r>
      <w:r>
        <w:rPr>
          <w:rFonts w:hint="cs"/>
          <w:rtl/>
        </w:rPr>
        <w:t xml:space="preserve"> והביאו </w:t>
      </w:r>
      <w:r w:rsidRPr="00FD2C68">
        <w:rPr>
          <w:rStyle w:val="af9"/>
          <w:rFonts w:hint="cs"/>
          <w:rtl/>
        </w:rPr>
        <w:t xml:space="preserve">התוס' לקמן </w:t>
      </w:r>
      <w:r w:rsidRPr="00FD2C68">
        <w:rPr>
          <w:rStyle w:val="af7"/>
          <w:rFonts w:eastAsia="Guttman Hodes" w:hint="cs"/>
          <w:rtl/>
        </w:rPr>
        <w:t>(מג: ד"ה קסבר)</w:t>
      </w:r>
      <w:r>
        <w:rPr>
          <w:rFonts w:hint="cs"/>
          <w:rtl/>
        </w:rPr>
        <w:t xml:space="preserve"> דקיי"ל </w:t>
      </w:r>
      <w:r w:rsidRPr="00FD2C68">
        <w:rPr>
          <w:rStyle w:val="af7"/>
          <w:rFonts w:eastAsia="Guttman Hodes" w:hint="cs"/>
          <w:rtl/>
        </w:rPr>
        <w:t>(</w:t>
      </w:r>
      <w:r w:rsidRPr="001059BF">
        <w:rPr>
          <w:rStyle w:val="af7"/>
          <w:rFonts w:eastAsia="Guttman Hodes" w:hint="cs"/>
          <w:rtl/>
        </w:rPr>
        <w:t>לקמן נג:)</w:t>
      </w:r>
      <w:r w:rsidRPr="00FD2C68">
        <w:rPr>
          <w:rStyle w:val="af7"/>
          <w:rFonts w:eastAsia="Guttman Hodes" w:hint="cs"/>
          <w:rtl/>
        </w:rPr>
        <w:t xml:space="preserve"> </w:t>
      </w:r>
      <w:r>
        <w:rPr>
          <w:rFonts w:hint="cs"/>
          <w:rtl/>
        </w:rPr>
        <w:t xml:space="preserve">דחוששין לספק דרוסה, וכן בקוץ בושט חוששין שמא הבריא, והקשו </w:t>
      </w:r>
      <w:r w:rsidRPr="001059BF">
        <w:rPr>
          <w:rStyle w:val="af9"/>
          <w:rFonts w:hint="cs"/>
          <w:rtl/>
        </w:rPr>
        <w:t xml:space="preserve">התוס' </w:t>
      </w:r>
      <w:r>
        <w:rPr>
          <w:rFonts w:hint="cs"/>
          <w:rtl/>
        </w:rPr>
        <w:t xml:space="preserve">דאמאי לא מהני החזקת היתר כדאיתא בסוגיין דבנטל זאב מוקמינן לה בחזקת היתר, וכעי"ז הקשו </w:t>
      </w:r>
      <w:r w:rsidRPr="00FD2C68">
        <w:rPr>
          <w:rStyle w:val="af9"/>
          <w:rFonts w:hint="cs"/>
          <w:rtl/>
        </w:rPr>
        <w:t>בתוס' ביבמות</w:t>
      </w:r>
      <w:r>
        <w:rPr>
          <w:rFonts w:hint="cs"/>
          <w:rtl/>
        </w:rPr>
        <w:t xml:space="preserve"> </w:t>
      </w:r>
      <w:r w:rsidRPr="00FD2C68">
        <w:rPr>
          <w:rStyle w:val="af7"/>
          <w:rFonts w:eastAsia="Guttman Hodes" w:hint="cs"/>
          <w:rtl/>
        </w:rPr>
        <w:t>(ל: ד"ה אשה)</w:t>
      </w:r>
      <w:r>
        <w:rPr>
          <w:rFonts w:hint="cs"/>
          <w:rtl/>
        </w:rPr>
        <w:t>.</w:t>
      </w:r>
      <w:bookmarkEnd w:id="2044"/>
    </w:p>
    <w:p w14:paraId="2E70E8B3" w14:textId="77777777" w:rsidR="00852065" w:rsidRDefault="00852065" w:rsidP="006D6D32">
      <w:pPr>
        <w:pStyle w:val="a3"/>
        <w:rPr>
          <w:rtl/>
        </w:rPr>
      </w:pPr>
      <w:bookmarkStart w:id="2045" w:name="_Toc522790274"/>
      <w:bookmarkStart w:id="2046" w:name="_Toc522800763"/>
      <w:bookmarkStart w:id="2047" w:name="_Toc522800871"/>
      <w:bookmarkStart w:id="2048" w:name="_Toc522809923"/>
      <w:bookmarkStart w:id="2049" w:name="_Toc19389225"/>
      <w:bookmarkStart w:id="2050" w:name="_Toc19392722"/>
      <w:r>
        <w:rPr>
          <w:rFonts w:hint="cs"/>
          <w:rtl/>
        </w:rPr>
        <w:t>קושית התוס' דמ"ש ספק דרוסה מספק צרת ערוה דהיא בחזקת ההיתר שהיה קודם הספק</w:t>
      </w:r>
      <w:bookmarkEnd w:id="2045"/>
      <w:bookmarkEnd w:id="2046"/>
      <w:bookmarkEnd w:id="2047"/>
      <w:bookmarkEnd w:id="2048"/>
      <w:bookmarkEnd w:id="2049"/>
      <w:bookmarkEnd w:id="2050"/>
    </w:p>
    <w:p w14:paraId="3C9BE4AF" w14:textId="77777777" w:rsidR="00852065" w:rsidRDefault="00852065" w:rsidP="00223668">
      <w:pPr>
        <w:pStyle w:val="a0"/>
        <w:rPr>
          <w:rtl/>
        </w:rPr>
      </w:pPr>
      <w:bookmarkStart w:id="2051" w:name="_Ref522526853"/>
      <w:r>
        <w:rPr>
          <w:rFonts w:hint="cs"/>
          <w:rtl/>
        </w:rPr>
        <w:t>וכתבו</w:t>
      </w:r>
      <w:r w:rsidRPr="00446B60">
        <w:rPr>
          <w:rStyle w:val="af9"/>
          <w:rFonts w:hint="cs"/>
          <w:rtl/>
        </w:rPr>
        <w:t xml:space="preserve"> התוס'</w:t>
      </w:r>
      <w:r>
        <w:rPr>
          <w:rFonts w:hint="cs"/>
          <w:rtl/>
        </w:rPr>
        <w:t xml:space="preserve"> דא"א לומר דבספק דרוסה ובקוץ בושט חוששין, כיון שנולד הספק מחיים, ומחיים היא עדיין בחזקת איסור, דהא בגמ' ביבמות </w:t>
      </w:r>
      <w:r w:rsidRPr="00FD2C68">
        <w:rPr>
          <w:rStyle w:val="af7"/>
          <w:rFonts w:eastAsia="Guttman Hodes" w:hint="cs"/>
          <w:rtl/>
        </w:rPr>
        <w:t>(ל:)</w:t>
      </w:r>
      <w:r>
        <w:rPr>
          <w:rFonts w:hint="cs"/>
          <w:rtl/>
        </w:rPr>
        <w:t xml:space="preserve"> איתא</w:t>
      </w:r>
      <w:r>
        <w:rPr>
          <w:rStyle w:val="af1"/>
          <w:rtl/>
        </w:rPr>
        <w:footnoteReference w:id="16"/>
      </w:r>
      <w:r>
        <w:rPr>
          <w:rFonts w:hint="cs"/>
          <w:rtl/>
        </w:rPr>
        <w:t xml:space="preserve"> דבספק צרת ערוה אף כשנולד הספק מחיים, מוקמינן לה בחזקת היתר לשוק, דהיינו שמעמידים אותה על החזקה שהייתה לה מחיים קודם שנולד הספק, אף שמחיים היא עדיין בחזקת איסור, וא"כ אף בספק דרוסה ובקוץ בושט נעמיד אותה בחזקת שאינה דרוסה, שהייתה לה קודם שנולד הספק, וכעי"ז כתבו </w:t>
      </w:r>
      <w:r>
        <w:rPr>
          <w:rStyle w:val="af9"/>
          <w:rFonts w:hint="cs"/>
          <w:rtl/>
        </w:rPr>
        <w:t>ה</w:t>
      </w:r>
      <w:r w:rsidRPr="00FD2C68">
        <w:rPr>
          <w:rStyle w:val="af9"/>
          <w:rFonts w:hint="cs"/>
          <w:rtl/>
        </w:rPr>
        <w:t>תוס' ביבמות</w:t>
      </w:r>
      <w:r>
        <w:rPr>
          <w:rFonts w:hint="cs"/>
          <w:rtl/>
        </w:rPr>
        <w:t>.</w:t>
      </w:r>
      <w:bookmarkEnd w:id="2051"/>
    </w:p>
    <w:p w14:paraId="43A0D641" w14:textId="77777777" w:rsidR="00852065" w:rsidRDefault="00852065" w:rsidP="00BF39B2">
      <w:pPr>
        <w:pStyle w:val="1"/>
        <w:rPr>
          <w:rtl/>
        </w:rPr>
      </w:pPr>
      <w:bookmarkStart w:id="2052" w:name="_Toc522790275"/>
      <w:bookmarkStart w:id="2053" w:name="_Toc522800764"/>
      <w:bookmarkStart w:id="2054" w:name="_Toc522800872"/>
      <w:bookmarkStart w:id="2055" w:name="_Toc522809924"/>
      <w:bookmarkStart w:id="2056" w:name="_Toc19389226"/>
      <w:bookmarkStart w:id="2057" w:name="_Toc19392723"/>
      <w:r>
        <w:rPr>
          <w:rFonts w:hint="cs"/>
          <w:rtl/>
        </w:rPr>
        <w:t>ביאור התוס' דספק דרוסה שכיח איסורא</w:t>
      </w:r>
      <w:bookmarkEnd w:id="2052"/>
      <w:bookmarkEnd w:id="2053"/>
      <w:bookmarkEnd w:id="2054"/>
      <w:bookmarkEnd w:id="2055"/>
      <w:bookmarkEnd w:id="2056"/>
      <w:bookmarkEnd w:id="2057"/>
    </w:p>
    <w:p w14:paraId="0C485CCC" w14:textId="77777777" w:rsidR="00852065" w:rsidRDefault="00852065" w:rsidP="006D6D32">
      <w:pPr>
        <w:pStyle w:val="a3"/>
        <w:rPr>
          <w:rtl/>
        </w:rPr>
      </w:pPr>
      <w:bookmarkStart w:id="2058" w:name="_Toc522790276"/>
      <w:bookmarkStart w:id="2059" w:name="_Toc522800765"/>
      <w:bookmarkStart w:id="2060" w:name="_Toc522800873"/>
      <w:bookmarkStart w:id="2061" w:name="_Toc522809925"/>
      <w:bookmarkStart w:id="2062" w:name="_Toc19389227"/>
      <w:bookmarkStart w:id="2063" w:name="_Toc19392724"/>
      <w:r>
        <w:rPr>
          <w:rFonts w:hint="cs"/>
          <w:rtl/>
        </w:rPr>
        <w:t>תירוץ התוס' דבדרוסה ובקוץ בושט שכיח איסורא  יותר מההיתר</w:t>
      </w:r>
      <w:bookmarkEnd w:id="2058"/>
      <w:bookmarkEnd w:id="2059"/>
      <w:bookmarkEnd w:id="2060"/>
      <w:bookmarkEnd w:id="2061"/>
      <w:bookmarkEnd w:id="2062"/>
      <w:bookmarkEnd w:id="2063"/>
    </w:p>
    <w:p w14:paraId="4F1CC823" w14:textId="77777777" w:rsidR="00852065" w:rsidRDefault="00852065" w:rsidP="00223668">
      <w:pPr>
        <w:pStyle w:val="a0"/>
        <w:rPr>
          <w:rtl/>
        </w:rPr>
      </w:pPr>
      <w:bookmarkStart w:id="2064" w:name="_Ref522479252"/>
      <w:r>
        <w:rPr>
          <w:rFonts w:hint="cs"/>
          <w:rtl/>
        </w:rPr>
        <w:t xml:space="preserve">ותירצו </w:t>
      </w:r>
      <w:r w:rsidRPr="00FD2C68">
        <w:rPr>
          <w:rStyle w:val="af9"/>
          <w:rFonts w:hint="cs"/>
          <w:rtl/>
        </w:rPr>
        <w:t>התוס'</w:t>
      </w:r>
      <w:r>
        <w:rPr>
          <w:rStyle w:val="af9"/>
          <w:rFonts w:hint="cs"/>
          <w:rtl/>
        </w:rPr>
        <w:t xml:space="preserve"> לקמן</w:t>
      </w:r>
      <w:r>
        <w:rPr>
          <w:rFonts w:hint="cs"/>
          <w:rtl/>
        </w:rPr>
        <w:t xml:space="preserve"> דספק דרוסה הוא שכיח ולכן לא מוקמינן לה בחזקת היתר,</w:t>
      </w:r>
      <w:r w:rsidRPr="00117E00">
        <w:rPr>
          <w:rFonts w:hint="cs"/>
          <w:rtl/>
        </w:rPr>
        <w:t xml:space="preserve"> </w:t>
      </w:r>
      <w:r w:rsidRPr="00FD2C68">
        <w:rPr>
          <w:rStyle w:val="af9"/>
          <w:rFonts w:hint="cs"/>
          <w:rtl/>
        </w:rPr>
        <w:t>ובתוס' ביבמות</w:t>
      </w:r>
      <w:r>
        <w:rPr>
          <w:rFonts w:hint="cs"/>
          <w:rtl/>
        </w:rPr>
        <w:t xml:space="preserve"> הוסיפו דספק דרוסה הוא שכיח ומוכח יותר לאיסורא מלהיתרא, וכן בקוץ בושט שחוששין לשמא היה נקב והבריא, והיא טריפה.</w:t>
      </w:r>
      <w:bookmarkEnd w:id="2064"/>
    </w:p>
    <w:p w14:paraId="1E36D23D" w14:textId="77777777" w:rsidR="00852065" w:rsidRPr="005206CC" w:rsidRDefault="00852065" w:rsidP="00BF39B2">
      <w:pPr>
        <w:pStyle w:val="1"/>
        <w:rPr>
          <w:rtl/>
        </w:rPr>
      </w:pPr>
      <w:bookmarkStart w:id="2065" w:name="_Toc522618794"/>
      <w:bookmarkStart w:id="2066" w:name="_Toc522790278"/>
      <w:bookmarkStart w:id="2067" w:name="_Toc522800767"/>
      <w:bookmarkStart w:id="2068" w:name="_Toc522800875"/>
      <w:bookmarkStart w:id="2069" w:name="_Toc522809927"/>
      <w:bookmarkStart w:id="2070" w:name="_Toc19389228"/>
      <w:bookmarkStart w:id="2071" w:name="_Toc19392725"/>
      <w:r>
        <w:rPr>
          <w:rFonts w:hint="cs"/>
          <w:rtl/>
        </w:rPr>
        <w:t>פלוגתת</w:t>
      </w:r>
      <w:r w:rsidRPr="005206CC">
        <w:rPr>
          <w:rFonts w:hint="cs"/>
          <w:rtl/>
        </w:rPr>
        <w:t xml:space="preserve"> האחרונים </w:t>
      </w:r>
      <w:r>
        <w:rPr>
          <w:rFonts w:hint="cs"/>
          <w:rtl/>
        </w:rPr>
        <w:t xml:space="preserve">אי </w:t>
      </w:r>
      <w:r w:rsidRPr="005206CC">
        <w:rPr>
          <w:rFonts w:hint="cs"/>
          <w:rtl/>
        </w:rPr>
        <w:t xml:space="preserve">התוס' פליגי על רבינו יונה </w:t>
      </w:r>
      <w:bookmarkEnd w:id="2065"/>
      <w:bookmarkEnd w:id="2066"/>
      <w:bookmarkEnd w:id="2067"/>
      <w:bookmarkEnd w:id="2068"/>
      <w:r>
        <w:rPr>
          <w:rFonts w:hint="cs"/>
          <w:rtl/>
        </w:rPr>
        <w:t>בספק השקול</w:t>
      </w:r>
      <w:bookmarkEnd w:id="2069"/>
      <w:bookmarkEnd w:id="2070"/>
      <w:bookmarkEnd w:id="2071"/>
    </w:p>
    <w:p w14:paraId="382C3ABD" w14:textId="77777777" w:rsidR="00852065" w:rsidRPr="005206CC" w:rsidRDefault="00852065" w:rsidP="006D6D32">
      <w:pPr>
        <w:pStyle w:val="a3"/>
        <w:rPr>
          <w:rtl/>
        </w:rPr>
      </w:pPr>
      <w:bookmarkStart w:id="2072" w:name="_Toc522809928"/>
      <w:bookmarkStart w:id="2073" w:name="_Toc19389229"/>
      <w:bookmarkStart w:id="2074" w:name="_Toc19392726"/>
      <w:bookmarkStart w:id="2075" w:name="_Toc522790279"/>
      <w:bookmarkStart w:id="2076" w:name="_Toc522800768"/>
      <w:bookmarkStart w:id="2077" w:name="_Toc522800876"/>
      <w:r>
        <w:rPr>
          <w:rFonts w:hint="cs"/>
          <w:rtl/>
        </w:rPr>
        <w:t>דברי רבינו יונה דבספק השקול בטריפה כשאין במה לתלות אסורה</w:t>
      </w:r>
      <w:bookmarkEnd w:id="2072"/>
      <w:bookmarkEnd w:id="2073"/>
      <w:bookmarkEnd w:id="2074"/>
    </w:p>
    <w:p w14:paraId="13D63091" w14:textId="77777777" w:rsidR="00852065" w:rsidRPr="005206CC" w:rsidRDefault="00852065" w:rsidP="00223668">
      <w:pPr>
        <w:pStyle w:val="a0"/>
        <w:rPr>
          <w:rtl/>
        </w:rPr>
      </w:pPr>
      <w:r w:rsidRPr="005206CC">
        <w:rPr>
          <w:rFonts w:hint="cs"/>
          <w:rtl/>
        </w:rPr>
        <w:t xml:space="preserve">כתב </w:t>
      </w:r>
      <w:r w:rsidRPr="005206CC">
        <w:rPr>
          <w:rStyle w:val="af9"/>
          <w:rFonts w:hint="cs"/>
          <w:rtl/>
        </w:rPr>
        <w:t>הרשב"א</w:t>
      </w:r>
      <w:r w:rsidRPr="005206CC">
        <w:rPr>
          <w:rFonts w:hint="cs"/>
          <w:rtl/>
        </w:rPr>
        <w:t xml:space="preserve"> בשם </w:t>
      </w:r>
      <w:r w:rsidRPr="005206CC">
        <w:rPr>
          <w:rStyle w:val="af9"/>
          <w:rFonts w:hint="cs"/>
          <w:rtl/>
        </w:rPr>
        <w:t>רבינו יונה</w:t>
      </w:r>
      <w:r w:rsidRPr="005206CC">
        <w:rPr>
          <w:rFonts w:hint="cs"/>
          <w:rtl/>
        </w:rPr>
        <w:t xml:space="preserve">  </w:t>
      </w:r>
      <w:r w:rsidRPr="00303818">
        <w:rPr>
          <w:rStyle w:val="af7"/>
          <w:rFonts w:eastAsia="Guttman Hodes" w:hint="cs"/>
          <w:rtl/>
        </w:rPr>
        <w:t xml:space="preserve">(עי' אות </w:t>
      </w:r>
      <w:r w:rsidRPr="00303818">
        <w:rPr>
          <w:rStyle w:val="af7"/>
          <w:rFonts w:eastAsia="Guttman Hodes"/>
          <w:rtl/>
        </w:rPr>
        <w:fldChar w:fldCharType="begin"/>
      </w:r>
      <w:r w:rsidRPr="00303818">
        <w:rPr>
          <w:rStyle w:val="af7"/>
          <w:rFonts w:eastAsia="Guttman Hodes"/>
          <w:rtl/>
        </w:rPr>
        <w:instrText xml:space="preserve"> </w:instrText>
      </w:r>
      <w:r w:rsidRPr="00303818">
        <w:rPr>
          <w:rStyle w:val="af7"/>
          <w:rFonts w:eastAsia="Guttman Hodes" w:hint="cs"/>
        </w:rPr>
        <w:instrText>REF</w:instrText>
      </w:r>
      <w:r w:rsidRPr="00303818">
        <w:rPr>
          <w:rStyle w:val="af7"/>
          <w:rFonts w:eastAsia="Guttman Hodes" w:hint="cs"/>
          <w:rtl/>
        </w:rPr>
        <w:instrText xml:space="preserve"> _</w:instrText>
      </w:r>
      <w:r w:rsidRPr="00303818">
        <w:rPr>
          <w:rStyle w:val="af7"/>
          <w:rFonts w:eastAsia="Guttman Hodes" w:hint="cs"/>
        </w:rPr>
        <w:instrText>Ref522636864 \r \h</w:instrText>
      </w:r>
      <w:r w:rsidRPr="00303818">
        <w:rPr>
          <w:rStyle w:val="af7"/>
          <w:rFonts w:eastAsia="Guttman Hodes"/>
          <w:rtl/>
        </w:rPr>
        <w:instrText xml:space="preserve"> </w:instrText>
      </w:r>
      <w:r w:rsidRPr="00303818">
        <w:rPr>
          <w:rStyle w:val="af7"/>
          <w:rFonts w:eastAsia="Guttman Hodes"/>
          <w:rtl/>
        </w:rPr>
      </w:r>
      <w:r w:rsidRPr="00303818">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303818">
        <w:rPr>
          <w:rStyle w:val="af7"/>
          <w:rFonts w:eastAsia="Guttman Hodes"/>
          <w:rtl/>
        </w:rPr>
        <w:fldChar w:fldCharType="end"/>
      </w:r>
      <w:r w:rsidRPr="005206CC">
        <w:rPr>
          <w:rFonts w:hint="cs"/>
          <w:rtl/>
        </w:rPr>
        <w:t xml:space="preserve"> </w:t>
      </w:r>
      <w:r>
        <w:rPr>
          <w:rFonts w:hint="cs"/>
          <w:rtl/>
        </w:rPr>
        <w:t>דבנשמט גף העוף ויש ספק אם נשמט מחיים, דהוא ספק דאו' לחומרא, דכיון שאין במה לתלות לא תלינן דנעשה אחר השחיטה</w:t>
      </w:r>
      <w:r w:rsidRPr="005206CC">
        <w:rPr>
          <w:rFonts w:hint="cs"/>
          <w:rtl/>
        </w:rPr>
        <w:t>.</w:t>
      </w:r>
    </w:p>
    <w:p w14:paraId="1B11DE3B" w14:textId="77777777" w:rsidR="00852065" w:rsidRPr="005206CC" w:rsidRDefault="00852065" w:rsidP="006D6D32">
      <w:pPr>
        <w:pStyle w:val="a3"/>
        <w:rPr>
          <w:rtl/>
        </w:rPr>
      </w:pPr>
      <w:bookmarkStart w:id="2078" w:name="_Toc522809929"/>
      <w:bookmarkStart w:id="2079" w:name="_Toc19389230"/>
      <w:bookmarkStart w:id="2080" w:name="_Toc19392727"/>
      <w:r w:rsidRPr="005206CC">
        <w:rPr>
          <w:rFonts w:hint="cs"/>
          <w:rtl/>
        </w:rPr>
        <w:t>דברי הש"ש דלהתוס' בספק השקול אין מחזיקין מאיסור לאיסור אף כשנולד הספק מחיים</w:t>
      </w:r>
      <w:bookmarkEnd w:id="2075"/>
      <w:bookmarkEnd w:id="2076"/>
      <w:bookmarkEnd w:id="2077"/>
      <w:bookmarkEnd w:id="2078"/>
      <w:bookmarkEnd w:id="2079"/>
      <w:bookmarkEnd w:id="2080"/>
    </w:p>
    <w:p w14:paraId="17872FB7" w14:textId="77777777" w:rsidR="00852065" w:rsidRDefault="00852065" w:rsidP="00223668">
      <w:pPr>
        <w:pStyle w:val="a0"/>
      </w:pPr>
      <w:bookmarkStart w:id="2081" w:name="_Ref522464682"/>
      <w:r w:rsidRPr="005206CC">
        <w:rPr>
          <w:rFonts w:hint="cs"/>
          <w:rtl/>
        </w:rPr>
        <w:t xml:space="preserve">וכתב </w:t>
      </w:r>
      <w:r w:rsidRPr="005206CC">
        <w:rPr>
          <w:rStyle w:val="af9"/>
          <w:rFonts w:hint="cs"/>
          <w:rtl/>
        </w:rPr>
        <w:t>הש"ש</w:t>
      </w:r>
      <w:r w:rsidRPr="005206CC">
        <w:rPr>
          <w:rFonts w:hint="cs"/>
          <w:rtl/>
        </w:rPr>
        <w:t xml:space="preserve"> </w:t>
      </w:r>
      <w:r w:rsidRPr="002D0F09">
        <w:rPr>
          <w:rStyle w:val="af7"/>
          <w:rFonts w:eastAsia="Guttman Hodes" w:hint="cs"/>
          <w:rtl/>
        </w:rPr>
        <w:t>(ש"ה פ"ט)</w:t>
      </w:r>
      <w:r>
        <w:rPr>
          <w:rFonts w:hint="cs"/>
          <w:rtl/>
        </w:rPr>
        <w:t xml:space="preserve"> ד</w:t>
      </w:r>
      <w:r w:rsidRPr="005206CC">
        <w:rPr>
          <w:rFonts w:hint="cs"/>
          <w:rtl/>
        </w:rPr>
        <w:t xml:space="preserve">מדברי </w:t>
      </w:r>
      <w:r w:rsidRPr="005206CC">
        <w:rPr>
          <w:rStyle w:val="af9"/>
          <w:rFonts w:hint="cs"/>
          <w:rtl/>
        </w:rPr>
        <w:t>התוס'</w:t>
      </w:r>
      <w:r w:rsidRPr="005206CC">
        <w:rPr>
          <w:rFonts w:hint="cs"/>
          <w:rtl/>
        </w:rPr>
        <w:t xml:space="preserve"> מבואר דבספק השקול דלא שכיח לאיסורא יותר מלהתירא, דאין מחזיקין מאיסור לאיסור, אף במקום שנולד הספק מחיים</w:t>
      </w:r>
      <w:r>
        <w:rPr>
          <w:rFonts w:hint="cs"/>
          <w:rtl/>
        </w:rPr>
        <w:t>.</w:t>
      </w:r>
      <w:r w:rsidRPr="005206CC">
        <w:rPr>
          <w:rFonts w:hint="cs"/>
          <w:rtl/>
        </w:rPr>
        <w:t xml:space="preserve"> </w:t>
      </w:r>
      <w:bookmarkEnd w:id="2081"/>
    </w:p>
    <w:p w14:paraId="383E2E63" w14:textId="77777777" w:rsidR="00852065" w:rsidRPr="005206CC" w:rsidRDefault="00852065" w:rsidP="006D6D32">
      <w:pPr>
        <w:pStyle w:val="a3"/>
        <w:rPr>
          <w:rtl/>
        </w:rPr>
      </w:pPr>
      <w:bookmarkStart w:id="2082" w:name="_Toc522809930"/>
      <w:bookmarkStart w:id="2083" w:name="_Toc19389231"/>
      <w:bookmarkStart w:id="2084" w:name="_Toc19392728"/>
      <w:r>
        <w:rPr>
          <w:rFonts w:hint="cs"/>
          <w:rtl/>
        </w:rPr>
        <w:t>דברי ה</w:t>
      </w:r>
      <w:r w:rsidR="00345400">
        <w:rPr>
          <w:rFonts w:hint="cs"/>
          <w:rtl/>
        </w:rPr>
        <w:t>פלתי</w:t>
      </w:r>
      <w:r>
        <w:rPr>
          <w:rFonts w:hint="cs"/>
          <w:rtl/>
        </w:rPr>
        <w:t xml:space="preserve"> והחז"א ד</w:t>
      </w:r>
      <w:r w:rsidRPr="005206CC">
        <w:rPr>
          <w:rFonts w:hint="cs"/>
          <w:rtl/>
        </w:rPr>
        <w:t xml:space="preserve">רבינו יונה </w:t>
      </w:r>
      <w:r>
        <w:rPr>
          <w:rFonts w:hint="cs"/>
          <w:rtl/>
        </w:rPr>
        <w:t>אסר רק כ</w:t>
      </w:r>
      <w:r w:rsidRPr="005206CC">
        <w:rPr>
          <w:rFonts w:hint="cs"/>
          <w:rtl/>
        </w:rPr>
        <w:t xml:space="preserve">שאין סברא שאירע כן אחר השחיטה </w:t>
      </w:r>
      <w:r>
        <w:rPr>
          <w:rFonts w:hint="cs"/>
          <w:rtl/>
        </w:rPr>
        <w:t>ולא בכל ספק</w:t>
      </w:r>
      <w:bookmarkEnd w:id="2082"/>
      <w:bookmarkEnd w:id="2083"/>
      <w:bookmarkEnd w:id="2084"/>
    </w:p>
    <w:p w14:paraId="44865A91" w14:textId="77777777" w:rsidR="00852065" w:rsidRPr="005206CC" w:rsidRDefault="00852065" w:rsidP="00223668">
      <w:pPr>
        <w:pStyle w:val="a0"/>
        <w:rPr>
          <w:rtl/>
        </w:rPr>
      </w:pPr>
      <w:r w:rsidRPr="005206CC">
        <w:rPr>
          <w:rFonts w:hint="cs"/>
          <w:rtl/>
        </w:rPr>
        <w:t xml:space="preserve">אלא כתב </w:t>
      </w:r>
      <w:r w:rsidRPr="005206CC">
        <w:rPr>
          <w:rStyle w:val="af9"/>
          <w:rFonts w:hint="cs"/>
          <w:rtl/>
        </w:rPr>
        <w:t>ה</w:t>
      </w:r>
      <w:r w:rsidR="00345400">
        <w:rPr>
          <w:rStyle w:val="af9"/>
          <w:rFonts w:hint="cs"/>
          <w:rtl/>
        </w:rPr>
        <w:t>פלתי</w:t>
      </w:r>
      <w:r w:rsidRPr="005206CC">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Ref522809640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ס)</w:t>
      </w:r>
      <w:r>
        <w:rPr>
          <w:rStyle w:val="af7"/>
          <w:rFonts w:eastAsia="Guttman Hodes"/>
          <w:rtl/>
        </w:rPr>
        <w:fldChar w:fldCharType="end"/>
      </w:r>
      <w:r>
        <w:rPr>
          <w:rStyle w:val="af7"/>
          <w:rFonts w:eastAsia="Guttman Hodes" w:hint="cs"/>
          <w:rtl/>
        </w:rPr>
        <w:t xml:space="preserve"> </w:t>
      </w:r>
      <w:r w:rsidRPr="005206CC">
        <w:rPr>
          <w:rStyle w:val="af7"/>
          <w:rFonts w:eastAsia="Guttman Hodes" w:hint="cs"/>
          <w:rtl/>
        </w:rPr>
        <w:t xml:space="preserve"> </w:t>
      </w:r>
      <w:r>
        <w:rPr>
          <w:rStyle w:val="af9"/>
          <w:rFonts w:hint="cs"/>
          <w:rtl/>
        </w:rPr>
        <w:t>ו</w:t>
      </w:r>
      <w:r w:rsidRPr="005206CC">
        <w:rPr>
          <w:rStyle w:val="af9"/>
          <w:rFonts w:hint="cs"/>
          <w:rtl/>
        </w:rPr>
        <w:t>החזו"א</w:t>
      </w:r>
      <w:r w:rsidRPr="005206CC">
        <w:rPr>
          <w:rFonts w:hint="cs"/>
          <w:rtl/>
        </w:rPr>
        <w:t xml:space="preserve"> </w:t>
      </w:r>
      <w:r w:rsidRPr="0006140C">
        <w:rPr>
          <w:rStyle w:val="af7"/>
          <w:rFonts w:eastAsia="Guttman Hodes" w:hint="cs"/>
          <w:rtl/>
        </w:rPr>
        <w:t xml:space="preserve">(עי' אות </w:t>
      </w:r>
      <w:r w:rsidRPr="0006140C">
        <w:rPr>
          <w:rStyle w:val="af7"/>
          <w:rFonts w:eastAsia="Guttman Hodes"/>
          <w:rtl/>
        </w:rPr>
        <w:fldChar w:fldCharType="begin"/>
      </w:r>
      <w:r w:rsidRPr="0006140C">
        <w:rPr>
          <w:rStyle w:val="af7"/>
          <w:rFonts w:eastAsia="Guttman Hodes"/>
          <w:rtl/>
        </w:rPr>
        <w:instrText xml:space="preserve"> </w:instrText>
      </w:r>
      <w:r w:rsidRPr="0006140C">
        <w:rPr>
          <w:rStyle w:val="af7"/>
          <w:rFonts w:eastAsia="Guttman Hodes" w:hint="cs"/>
        </w:rPr>
        <w:instrText>REF</w:instrText>
      </w:r>
      <w:r w:rsidRPr="0006140C">
        <w:rPr>
          <w:rStyle w:val="af7"/>
          <w:rFonts w:eastAsia="Guttman Hodes" w:hint="cs"/>
          <w:rtl/>
        </w:rPr>
        <w:instrText xml:space="preserve"> _</w:instrText>
      </w:r>
      <w:r w:rsidRPr="0006140C">
        <w:rPr>
          <w:rStyle w:val="af7"/>
          <w:rFonts w:eastAsia="Guttman Hodes" w:hint="cs"/>
        </w:rPr>
        <w:instrText>Ref522809762 \r \h</w:instrText>
      </w:r>
      <w:r w:rsidRPr="0006140C">
        <w:rPr>
          <w:rStyle w:val="af7"/>
          <w:rFonts w:eastAsia="Guttman Hodes"/>
          <w:rtl/>
        </w:rPr>
        <w:instrText xml:space="preserve"> </w:instrText>
      </w:r>
      <w:r w:rsidRPr="0006140C">
        <w:rPr>
          <w:rStyle w:val="af7"/>
          <w:rFonts w:eastAsia="Guttman Hodes"/>
          <w:rtl/>
        </w:rPr>
      </w:r>
      <w:r w:rsidRPr="0006140C">
        <w:rPr>
          <w:rStyle w:val="af7"/>
          <w:rFonts w:eastAsia="Guttman Hodes"/>
          <w:rtl/>
        </w:rPr>
        <w:fldChar w:fldCharType="separate"/>
      </w:r>
      <w:r w:rsidR="00345400">
        <w:rPr>
          <w:rStyle w:val="af7"/>
          <w:rFonts w:eastAsia="Guttman Hodes"/>
          <w:cs/>
        </w:rPr>
        <w:t>‎</w:t>
      </w:r>
      <w:r w:rsidR="00345400">
        <w:rPr>
          <w:rStyle w:val="af7"/>
          <w:rFonts w:eastAsia="Guttman Hodes"/>
          <w:rtl/>
        </w:rPr>
        <w:t>עז)</w:t>
      </w:r>
      <w:r w:rsidRPr="0006140C">
        <w:rPr>
          <w:rStyle w:val="af7"/>
          <w:rFonts w:eastAsia="Guttman Hodes"/>
          <w:rtl/>
        </w:rPr>
        <w:fldChar w:fldCharType="end"/>
      </w:r>
      <w:r>
        <w:rPr>
          <w:rFonts w:hint="cs"/>
          <w:rtl/>
        </w:rPr>
        <w:t xml:space="preserve"> כתבו </w:t>
      </w:r>
      <w:r w:rsidRPr="005206CC">
        <w:rPr>
          <w:rFonts w:hint="cs"/>
          <w:rtl/>
        </w:rPr>
        <w:t xml:space="preserve">דכל דברי </w:t>
      </w:r>
      <w:r w:rsidRPr="005206CC">
        <w:rPr>
          <w:rStyle w:val="af9"/>
          <w:rFonts w:hint="cs"/>
          <w:rtl/>
        </w:rPr>
        <w:t>רבינו יונה</w:t>
      </w:r>
      <w:r w:rsidRPr="005206CC">
        <w:rPr>
          <w:rFonts w:hint="cs"/>
          <w:rtl/>
        </w:rPr>
        <w:t xml:space="preserve"> הוא דוקא </w:t>
      </w:r>
      <w:r>
        <w:rPr>
          <w:rFonts w:hint="cs"/>
          <w:rtl/>
        </w:rPr>
        <w:t>במקום</w:t>
      </w:r>
      <w:r w:rsidRPr="005206CC">
        <w:rPr>
          <w:rFonts w:hint="cs"/>
          <w:rtl/>
        </w:rPr>
        <w:t xml:space="preserve"> שלא מסתבר לומר שאירע כן לאחר השחיטה, </w:t>
      </w:r>
      <w:r>
        <w:rPr>
          <w:rFonts w:hint="cs"/>
          <w:rtl/>
        </w:rPr>
        <w:t xml:space="preserve">ולא בכל ספק השקול, אבל </w:t>
      </w:r>
      <w:r w:rsidRPr="0006140C">
        <w:rPr>
          <w:rStyle w:val="af9"/>
          <w:rFonts w:hint="cs"/>
          <w:rtl/>
        </w:rPr>
        <w:t>הבינת אדם</w:t>
      </w:r>
      <w:r>
        <w:rPr>
          <w:rFonts w:hint="cs"/>
          <w:rtl/>
        </w:rPr>
        <w:t xml:space="preserve"> </w:t>
      </w:r>
      <w:r w:rsidRPr="0006140C">
        <w:rPr>
          <w:rStyle w:val="af7"/>
          <w:rFonts w:eastAsia="Guttman Hodes" w:hint="cs"/>
          <w:rtl/>
        </w:rPr>
        <w:t xml:space="preserve">(עי' אות </w:t>
      </w:r>
      <w:r w:rsidRPr="0006140C">
        <w:rPr>
          <w:rStyle w:val="af7"/>
          <w:rFonts w:eastAsia="Guttman Hodes"/>
          <w:rtl/>
        </w:rPr>
        <w:fldChar w:fldCharType="begin"/>
      </w:r>
      <w:r w:rsidRPr="0006140C">
        <w:rPr>
          <w:rStyle w:val="af7"/>
          <w:rFonts w:eastAsia="Guttman Hodes"/>
          <w:rtl/>
        </w:rPr>
        <w:instrText xml:space="preserve"> </w:instrText>
      </w:r>
      <w:r w:rsidRPr="0006140C">
        <w:rPr>
          <w:rStyle w:val="af7"/>
          <w:rFonts w:eastAsia="Guttman Hodes" w:hint="cs"/>
        </w:rPr>
        <w:instrText>REF</w:instrText>
      </w:r>
      <w:r w:rsidRPr="0006140C">
        <w:rPr>
          <w:rStyle w:val="af7"/>
          <w:rFonts w:eastAsia="Guttman Hodes" w:hint="cs"/>
          <w:rtl/>
        </w:rPr>
        <w:instrText xml:space="preserve"> _</w:instrText>
      </w:r>
      <w:r w:rsidRPr="0006140C">
        <w:rPr>
          <w:rStyle w:val="af7"/>
          <w:rFonts w:eastAsia="Guttman Hodes" w:hint="cs"/>
        </w:rPr>
        <w:instrText>Ref522809702 \r \h</w:instrText>
      </w:r>
      <w:r w:rsidRPr="0006140C">
        <w:rPr>
          <w:rStyle w:val="af7"/>
          <w:rFonts w:eastAsia="Guttman Hodes"/>
          <w:rtl/>
        </w:rPr>
        <w:instrText xml:space="preserve"> </w:instrText>
      </w:r>
      <w:r w:rsidRPr="0006140C">
        <w:rPr>
          <w:rStyle w:val="af7"/>
          <w:rFonts w:eastAsia="Guttman Hodes"/>
          <w:rtl/>
        </w:rPr>
      </w:r>
      <w:r w:rsidRPr="0006140C">
        <w:rPr>
          <w:rStyle w:val="af7"/>
          <w:rFonts w:eastAsia="Guttman Hodes"/>
          <w:rtl/>
        </w:rPr>
        <w:fldChar w:fldCharType="separate"/>
      </w:r>
      <w:r w:rsidR="00345400">
        <w:rPr>
          <w:rStyle w:val="af7"/>
          <w:rFonts w:eastAsia="Guttman Hodes"/>
          <w:cs/>
        </w:rPr>
        <w:t>‎</w:t>
      </w:r>
      <w:r w:rsidR="00345400">
        <w:rPr>
          <w:rStyle w:val="af7"/>
          <w:rFonts w:eastAsia="Guttman Hodes"/>
          <w:rtl/>
        </w:rPr>
        <w:t>סב)</w:t>
      </w:r>
      <w:r w:rsidRPr="0006140C">
        <w:rPr>
          <w:rStyle w:val="af7"/>
          <w:rFonts w:eastAsia="Guttman Hodes"/>
          <w:rtl/>
        </w:rPr>
        <w:fldChar w:fldCharType="end"/>
      </w:r>
      <w:r>
        <w:rPr>
          <w:rFonts w:hint="cs"/>
          <w:rtl/>
        </w:rPr>
        <w:t xml:space="preserve"> הוכיח מדברי </w:t>
      </w:r>
      <w:r w:rsidRPr="0006140C">
        <w:rPr>
          <w:rStyle w:val="af9"/>
          <w:rFonts w:hint="cs"/>
          <w:rtl/>
        </w:rPr>
        <w:t>הרשב"א</w:t>
      </w:r>
      <w:r>
        <w:rPr>
          <w:rFonts w:hint="cs"/>
          <w:rtl/>
        </w:rPr>
        <w:t xml:space="preserve"> דלא </w:t>
      </w:r>
      <w:r w:rsidRPr="0006140C">
        <w:rPr>
          <w:rStyle w:val="af9"/>
          <w:rFonts w:hint="cs"/>
          <w:rtl/>
        </w:rPr>
        <w:t>כה</w:t>
      </w:r>
      <w:r w:rsidR="00345400">
        <w:rPr>
          <w:rStyle w:val="af9"/>
          <w:rFonts w:hint="cs"/>
          <w:rtl/>
        </w:rPr>
        <w:t>פלתי</w:t>
      </w:r>
      <w:r>
        <w:rPr>
          <w:rFonts w:hint="cs"/>
          <w:rtl/>
        </w:rPr>
        <w:t xml:space="preserve">. </w:t>
      </w:r>
    </w:p>
    <w:p w14:paraId="714D34E7" w14:textId="77777777" w:rsidR="00852065" w:rsidRPr="005206CC" w:rsidRDefault="00852065" w:rsidP="006D6D32">
      <w:pPr>
        <w:pStyle w:val="a3"/>
        <w:rPr>
          <w:rtl/>
        </w:rPr>
      </w:pPr>
      <w:bookmarkStart w:id="2085" w:name="_Toc522800769"/>
      <w:bookmarkStart w:id="2086" w:name="_Toc522800877"/>
      <w:bookmarkStart w:id="2087" w:name="_Toc522809931"/>
      <w:bookmarkStart w:id="2088" w:name="_Toc19389232"/>
      <w:bookmarkStart w:id="2089" w:name="_Toc19392729"/>
      <w:bookmarkStart w:id="2090" w:name="_Toc522790280"/>
      <w:r w:rsidRPr="005206CC">
        <w:rPr>
          <w:rFonts w:hint="cs"/>
          <w:rtl/>
        </w:rPr>
        <w:t>דברי הבינת אדם דהתוס' מודו לרבינו יונה בריעותא מגופא</w:t>
      </w:r>
      <w:bookmarkEnd w:id="2085"/>
      <w:bookmarkEnd w:id="2086"/>
      <w:bookmarkEnd w:id="2087"/>
      <w:bookmarkEnd w:id="2088"/>
      <w:bookmarkEnd w:id="2089"/>
    </w:p>
    <w:p w14:paraId="39F38604" w14:textId="77777777" w:rsidR="00852065" w:rsidRPr="005206CC" w:rsidRDefault="00852065" w:rsidP="00223668">
      <w:pPr>
        <w:pStyle w:val="a0"/>
        <w:rPr>
          <w:rtl/>
        </w:rPr>
      </w:pPr>
      <w:r w:rsidRPr="005206CC">
        <w:rPr>
          <w:rStyle w:val="af9"/>
          <w:rFonts w:hint="cs"/>
          <w:rtl/>
        </w:rPr>
        <w:t>והבינת אדם</w:t>
      </w:r>
      <w:r w:rsidRPr="005206CC">
        <w:rPr>
          <w:rFonts w:hint="cs"/>
          <w:rtl/>
        </w:rPr>
        <w:t xml:space="preserve"> </w:t>
      </w:r>
      <w:r w:rsidRPr="005206CC">
        <w:rPr>
          <w:rStyle w:val="af7"/>
          <w:rFonts w:eastAsia="Guttman Hodes" w:hint="cs"/>
          <w:rtl/>
        </w:rPr>
        <w:t xml:space="preserve">(עי' אות </w:t>
      </w:r>
      <w:r w:rsidRPr="005206CC">
        <w:rPr>
          <w:rStyle w:val="af7"/>
          <w:rFonts w:eastAsia="Guttman Hodes"/>
          <w:rtl/>
        </w:rPr>
        <w:fldChar w:fldCharType="begin"/>
      </w:r>
      <w:r w:rsidRPr="005206CC">
        <w:rPr>
          <w:rStyle w:val="af7"/>
          <w:rFonts w:eastAsia="Guttman Hodes"/>
          <w:rtl/>
        </w:rPr>
        <w:instrText xml:space="preserve"> </w:instrText>
      </w:r>
      <w:r w:rsidRPr="005206CC">
        <w:rPr>
          <w:rStyle w:val="af7"/>
          <w:rFonts w:eastAsia="Guttman Hodes" w:hint="cs"/>
        </w:rPr>
        <w:instrText>REF</w:instrText>
      </w:r>
      <w:r w:rsidRPr="005206CC">
        <w:rPr>
          <w:rStyle w:val="af7"/>
          <w:rFonts w:eastAsia="Guttman Hodes" w:hint="cs"/>
          <w:rtl/>
        </w:rPr>
        <w:instrText xml:space="preserve"> _</w:instrText>
      </w:r>
      <w:r w:rsidRPr="005206CC">
        <w:rPr>
          <w:rStyle w:val="af7"/>
          <w:rFonts w:eastAsia="Guttman Hodes" w:hint="cs"/>
        </w:rPr>
        <w:instrText>Ref522800718 \r \h</w:instrText>
      </w:r>
      <w:r w:rsidRPr="005206CC">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5206CC">
        <w:rPr>
          <w:rStyle w:val="af7"/>
          <w:rFonts w:eastAsia="Guttman Hodes"/>
          <w:rtl/>
        </w:rPr>
      </w:r>
      <w:r w:rsidRPr="005206CC">
        <w:rPr>
          <w:rStyle w:val="af7"/>
          <w:rFonts w:eastAsia="Guttman Hodes"/>
          <w:rtl/>
        </w:rPr>
        <w:fldChar w:fldCharType="separate"/>
      </w:r>
      <w:r w:rsidR="00345400">
        <w:rPr>
          <w:rStyle w:val="af7"/>
          <w:rFonts w:eastAsia="Guttman Hodes"/>
          <w:cs/>
        </w:rPr>
        <w:t>‎</w:t>
      </w:r>
      <w:r w:rsidR="00345400">
        <w:rPr>
          <w:rStyle w:val="af7"/>
          <w:rFonts w:eastAsia="Guttman Hodes"/>
          <w:rtl/>
        </w:rPr>
        <w:t>נ)</w:t>
      </w:r>
      <w:r w:rsidRPr="005206CC">
        <w:rPr>
          <w:rStyle w:val="af7"/>
          <w:rFonts w:eastAsia="Guttman Hodes"/>
          <w:rtl/>
        </w:rPr>
        <w:fldChar w:fldCharType="end"/>
      </w:r>
      <w:r w:rsidRPr="005206CC">
        <w:rPr>
          <w:rFonts w:hint="cs"/>
          <w:rtl/>
        </w:rPr>
        <w:t xml:space="preserve"> כתב </w:t>
      </w:r>
      <w:r w:rsidRPr="005206CC">
        <w:rPr>
          <w:rStyle w:val="af9"/>
          <w:rFonts w:hint="cs"/>
          <w:rtl/>
        </w:rPr>
        <w:t>דהתוס'</w:t>
      </w:r>
      <w:r w:rsidRPr="005206CC">
        <w:rPr>
          <w:rFonts w:hint="cs"/>
          <w:rtl/>
        </w:rPr>
        <w:t xml:space="preserve"> פליגי על </w:t>
      </w:r>
      <w:r w:rsidRPr="005206CC">
        <w:rPr>
          <w:rStyle w:val="af9"/>
          <w:rFonts w:hint="cs"/>
          <w:rtl/>
        </w:rPr>
        <w:t>רבינו יונה</w:t>
      </w:r>
      <w:r w:rsidRPr="005206CC">
        <w:rPr>
          <w:rFonts w:hint="cs"/>
          <w:rtl/>
        </w:rPr>
        <w:t xml:space="preserve"> רק בריעותא שאינה מגוף הבהמה, דבזה ס"ל </w:t>
      </w:r>
      <w:r w:rsidRPr="005206CC">
        <w:rPr>
          <w:rStyle w:val="af9"/>
          <w:rFonts w:hint="cs"/>
          <w:rtl/>
        </w:rPr>
        <w:t xml:space="preserve">להתוס' </w:t>
      </w:r>
      <w:r w:rsidRPr="005206CC">
        <w:rPr>
          <w:rFonts w:hint="cs"/>
          <w:rtl/>
        </w:rPr>
        <w:t xml:space="preserve">דהיכא שאין האיסור שכיח, מעמידים אותה על חזקתה, אבל בריעותא מגופה מודו </w:t>
      </w:r>
      <w:r w:rsidRPr="005206CC">
        <w:rPr>
          <w:rStyle w:val="af9"/>
          <w:rFonts w:hint="cs"/>
          <w:rtl/>
        </w:rPr>
        <w:t>התוס'</w:t>
      </w:r>
      <w:r w:rsidRPr="005206CC">
        <w:rPr>
          <w:rFonts w:hint="cs"/>
          <w:rtl/>
        </w:rPr>
        <w:t xml:space="preserve"> לדברי </w:t>
      </w:r>
      <w:r w:rsidRPr="005206CC">
        <w:rPr>
          <w:rStyle w:val="af9"/>
          <w:rFonts w:hint="cs"/>
          <w:rtl/>
        </w:rPr>
        <w:t>רבינו יונה</w:t>
      </w:r>
      <w:r w:rsidRPr="005206CC">
        <w:rPr>
          <w:rFonts w:hint="cs"/>
          <w:rtl/>
        </w:rPr>
        <w:t xml:space="preserve"> דאף בספק השקול אסורה.</w:t>
      </w:r>
    </w:p>
    <w:p w14:paraId="4E692A48" w14:textId="77777777" w:rsidR="00852065" w:rsidRPr="005206CC" w:rsidRDefault="00852065" w:rsidP="00BF39B2">
      <w:pPr>
        <w:pStyle w:val="1"/>
        <w:rPr>
          <w:rtl/>
        </w:rPr>
      </w:pPr>
      <w:bookmarkStart w:id="2091" w:name="_Toc522800770"/>
      <w:bookmarkStart w:id="2092" w:name="_Toc522800878"/>
      <w:bookmarkStart w:id="2093" w:name="_Toc522809932"/>
      <w:bookmarkStart w:id="2094" w:name="_Toc19389233"/>
      <w:bookmarkStart w:id="2095" w:name="_Toc19392730"/>
      <w:r w:rsidRPr="005206CC">
        <w:rPr>
          <w:rFonts w:hint="cs"/>
          <w:rtl/>
        </w:rPr>
        <w:t>ביאור הגרעק"א בדברי התוס' בספק דרוסה</w:t>
      </w:r>
      <w:bookmarkEnd w:id="2090"/>
      <w:bookmarkEnd w:id="2091"/>
      <w:bookmarkEnd w:id="2092"/>
      <w:bookmarkEnd w:id="2093"/>
      <w:bookmarkEnd w:id="2094"/>
      <w:bookmarkEnd w:id="2095"/>
    </w:p>
    <w:p w14:paraId="3387FC66" w14:textId="77777777" w:rsidR="00852065" w:rsidRDefault="00852065" w:rsidP="006D6D32">
      <w:pPr>
        <w:pStyle w:val="a3"/>
        <w:rPr>
          <w:rtl/>
        </w:rPr>
      </w:pPr>
      <w:bookmarkStart w:id="2096" w:name="_Toc522790281"/>
      <w:bookmarkStart w:id="2097" w:name="_Toc522800771"/>
      <w:bookmarkStart w:id="2098" w:name="_Toc522800879"/>
      <w:bookmarkStart w:id="2099" w:name="_Toc522809933"/>
      <w:bookmarkStart w:id="2100" w:name="_Toc19389234"/>
      <w:bookmarkStart w:id="2101" w:name="_Toc19392731"/>
      <w:r w:rsidRPr="005206CC">
        <w:rPr>
          <w:rFonts w:hint="cs"/>
          <w:rtl/>
        </w:rPr>
        <w:t>קושית התפארת למשה  והתבו"ש דבספק דרוסה אין חזקת היתר דלא נתבררה בשעתה</w:t>
      </w:r>
      <w:bookmarkEnd w:id="2096"/>
      <w:bookmarkEnd w:id="2097"/>
      <w:bookmarkEnd w:id="2098"/>
      <w:bookmarkEnd w:id="2099"/>
      <w:bookmarkEnd w:id="2100"/>
      <w:bookmarkEnd w:id="2101"/>
    </w:p>
    <w:p w14:paraId="02EAB2A5" w14:textId="77777777" w:rsidR="00852065" w:rsidRDefault="00852065" w:rsidP="00223668">
      <w:pPr>
        <w:pStyle w:val="a0"/>
        <w:rPr>
          <w:rtl/>
        </w:rPr>
      </w:pPr>
      <w:r w:rsidRPr="00446B60">
        <w:rPr>
          <w:rStyle w:val="af9"/>
          <w:rFonts w:hint="cs"/>
          <w:rtl/>
        </w:rPr>
        <w:t>הגערק"א</w:t>
      </w:r>
      <w:r>
        <w:rPr>
          <w:rFonts w:hint="cs"/>
          <w:rtl/>
        </w:rPr>
        <w:t xml:space="preserve"> </w:t>
      </w:r>
      <w:r w:rsidRPr="00446B60">
        <w:rPr>
          <w:rStyle w:val="af7"/>
          <w:rFonts w:eastAsia="Guttman Hodes" w:hint="cs"/>
          <w:rtl/>
        </w:rPr>
        <w:t>(מג: ד"ה והנה בתבו"ש)</w:t>
      </w:r>
      <w:r>
        <w:rPr>
          <w:rFonts w:hint="cs"/>
          <w:rtl/>
        </w:rPr>
        <w:t xml:space="preserve"> הביא בשם </w:t>
      </w:r>
      <w:r w:rsidRPr="00446B60">
        <w:rPr>
          <w:rStyle w:val="af9"/>
          <w:rFonts w:hint="cs"/>
          <w:rtl/>
        </w:rPr>
        <w:t>התפארת למשה והתבו</w:t>
      </w:r>
      <w:r>
        <w:rPr>
          <w:rStyle w:val="af9"/>
          <w:rFonts w:hint="cs"/>
          <w:rtl/>
        </w:rPr>
        <w:t xml:space="preserve">"ש </w:t>
      </w:r>
      <w:r>
        <w:rPr>
          <w:rFonts w:hint="cs"/>
          <w:rtl/>
        </w:rPr>
        <w:t xml:space="preserve">דהקשו על </w:t>
      </w:r>
      <w:r w:rsidRPr="00446B60">
        <w:rPr>
          <w:rStyle w:val="af9"/>
          <w:rFonts w:hint="cs"/>
          <w:rtl/>
        </w:rPr>
        <w:t>התוס'</w:t>
      </w:r>
      <w:r>
        <w:rPr>
          <w:rFonts w:hint="cs"/>
          <w:rtl/>
        </w:rPr>
        <w:t xml:space="preserve"> דמה הקשו שנעמיד את ספק דרוסה וישב קוץ בושט בחזקת היתר, הרי דעת </w:t>
      </w:r>
      <w:r w:rsidRPr="00446B60">
        <w:rPr>
          <w:rStyle w:val="af9"/>
          <w:rFonts w:hint="cs"/>
          <w:rtl/>
        </w:rPr>
        <w:t>התוס'</w:t>
      </w:r>
      <w:r>
        <w:rPr>
          <w:rFonts w:hint="cs"/>
          <w:rtl/>
        </w:rPr>
        <w:t xml:space="preserve"> </w:t>
      </w:r>
      <w:r w:rsidRPr="00BD0C7D">
        <w:rPr>
          <w:rStyle w:val="af7"/>
          <w:rFonts w:eastAsia="Guttman Hodes" w:hint="cs"/>
          <w:rtl/>
        </w:rPr>
        <w:t xml:space="preserve">(עי' אות </w:t>
      </w:r>
      <w:r w:rsidRPr="00BD0C7D">
        <w:rPr>
          <w:rStyle w:val="af7"/>
          <w:rFonts w:eastAsia="Guttman Hodes"/>
          <w:rtl/>
        </w:rPr>
        <w:fldChar w:fldCharType="begin"/>
      </w:r>
      <w:r w:rsidRPr="00BD0C7D">
        <w:rPr>
          <w:rStyle w:val="af7"/>
          <w:rFonts w:eastAsia="Guttman Hodes"/>
          <w:rtl/>
        </w:rPr>
        <w:instrText xml:space="preserve"> </w:instrText>
      </w:r>
      <w:r w:rsidRPr="00BD0C7D">
        <w:rPr>
          <w:rStyle w:val="af7"/>
          <w:rFonts w:eastAsia="Guttman Hodes" w:hint="cs"/>
        </w:rPr>
        <w:instrText>REF</w:instrText>
      </w:r>
      <w:r w:rsidRPr="00BD0C7D">
        <w:rPr>
          <w:rStyle w:val="af7"/>
          <w:rFonts w:eastAsia="Guttman Hodes" w:hint="cs"/>
          <w:rtl/>
        </w:rPr>
        <w:instrText xml:space="preserve"> _</w:instrText>
      </w:r>
      <w:r w:rsidRPr="00BD0C7D">
        <w:rPr>
          <w:rStyle w:val="af7"/>
          <w:rFonts w:eastAsia="Guttman Hodes" w:hint="cs"/>
        </w:rPr>
        <w:instrText>Ref522443050 \r \h</w:instrText>
      </w:r>
      <w:r w:rsidRPr="00BD0C7D">
        <w:rPr>
          <w:rStyle w:val="af7"/>
          <w:rFonts w:eastAsia="Guttman Hodes"/>
          <w:rtl/>
        </w:rPr>
        <w:instrText xml:space="preserve"> </w:instrText>
      </w:r>
      <w:r w:rsidRPr="00BD0C7D">
        <w:rPr>
          <w:rStyle w:val="af7"/>
          <w:rFonts w:eastAsia="Guttman Hodes"/>
          <w:rtl/>
        </w:rPr>
      </w:r>
      <w:r w:rsidRPr="00BD0C7D">
        <w:rPr>
          <w:rStyle w:val="af7"/>
          <w:rFonts w:eastAsia="Guttman Hodes"/>
          <w:rtl/>
        </w:rPr>
        <w:fldChar w:fldCharType="separate"/>
      </w:r>
      <w:r w:rsidR="00345400">
        <w:rPr>
          <w:rStyle w:val="af7"/>
          <w:rFonts w:eastAsia="Guttman Hodes"/>
          <w:cs/>
        </w:rPr>
        <w:t>‎</w:t>
      </w:r>
      <w:r w:rsidR="00345400">
        <w:rPr>
          <w:rStyle w:val="af7"/>
          <w:rFonts w:eastAsia="Guttman Hodes"/>
          <w:rtl/>
        </w:rPr>
        <w:t>י)</w:t>
      </w:r>
      <w:r w:rsidRPr="00BD0C7D">
        <w:rPr>
          <w:rStyle w:val="af7"/>
          <w:rFonts w:eastAsia="Guttman Hodes"/>
          <w:rtl/>
        </w:rPr>
        <w:fldChar w:fldCharType="end"/>
      </w:r>
      <w:r>
        <w:rPr>
          <w:rFonts w:hint="cs"/>
          <w:rtl/>
        </w:rPr>
        <w:t xml:space="preserve"> דחזקה שלא נתבררה בשעתה אינה חזקה, וא"כ אין לה חזקת היתר.</w:t>
      </w:r>
    </w:p>
    <w:p w14:paraId="00D41267" w14:textId="77777777" w:rsidR="00852065" w:rsidRDefault="00852065" w:rsidP="006D6D32">
      <w:pPr>
        <w:pStyle w:val="a3"/>
        <w:rPr>
          <w:rtl/>
        </w:rPr>
      </w:pPr>
      <w:bookmarkStart w:id="2102" w:name="_Toc522790282"/>
      <w:bookmarkStart w:id="2103" w:name="_Toc522800772"/>
      <w:bookmarkStart w:id="2104" w:name="_Toc522800880"/>
      <w:bookmarkStart w:id="2105" w:name="_Toc522809934"/>
      <w:bookmarkStart w:id="2106" w:name="_Toc19389235"/>
      <w:bookmarkStart w:id="2107" w:name="_Toc19392732"/>
      <w:r>
        <w:rPr>
          <w:rFonts w:hint="cs"/>
          <w:rtl/>
        </w:rPr>
        <w:t>תירוץ התפארת למשה  והתבו"ש דבספק דרוסה לא נולדה כן ויש חזקה מבוררת</w:t>
      </w:r>
      <w:bookmarkEnd w:id="2102"/>
      <w:bookmarkEnd w:id="2103"/>
      <w:bookmarkEnd w:id="2104"/>
      <w:bookmarkEnd w:id="2105"/>
      <w:bookmarkEnd w:id="2106"/>
      <w:bookmarkEnd w:id="2107"/>
    </w:p>
    <w:p w14:paraId="62D29E35" w14:textId="77777777" w:rsidR="00852065" w:rsidRDefault="00852065" w:rsidP="00223668">
      <w:pPr>
        <w:pStyle w:val="a0"/>
        <w:rPr>
          <w:rtl/>
        </w:rPr>
      </w:pPr>
      <w:bookmarkStart w:id="2108" w:name="_Ref522479123"/>
      <w:r>
        <w:rPr>
          <w:rFonts w:hint="cs"/>
          <w:rtl/>
        </w:rPr>
        <w:t xml:space="preserve">והביא </w:t>
      </w:r>
      <w:r w:rsidRPr="00446B60">
        <w:rPr>
          <w:rStyle w:val="af9"/>
          <w:rFonts w:hint="cs"/>
          <w:rtl/>
        </w:rPr>
        <w:t>הגרעק"א</w:t>
      </w:r>
      <w:r>
        <w:rPr>
          <w:rFonts w:hint="cs"/>
          <w:rtl/>
        </w:rPr>
        <w:t xml:space="preserve"> דתירצו </w:t>
      </w:r>
      <w:r w:rsidRPr="00446B60">
        <w:rPr>
          <w:rStyle w:val="af9"/>
          <w:rFonts w:hint="cs"/>
          <w:rtl/>
        </w:rPr>
        <w:t>התפארת למשה והתבו"ש</w:t>
      </w:r>
      <w:r>
        <w:rPr>
          <w:rFonts w:hint="cs"/>
          <w:rtl/>
        </w:rPr>
        <w:t xml:space="preserve"> </w:t>
      </w:r>
      <w:r w:rsidRPr="00330043">
        <w:rPr>
          <w:rStyle w:val="af7"/>
          <w:rFonts w:eastAsia="Guttman Hodes" w:hint="cs"/>
          <w:rtl/>
        </w:rPr>
        <w:t xml:space="preserve">(עי' אות </w:t>
      </w:r>
      <w:r w:rsidRPr="00330043">
        <w:rPr>
          <w:rStyle w:val="af7"/>
          <w:rFonts w:eastAsia="Guttman Hodes"/>
          <w:rtl/>
        </w:rPr>
        <w:fldChar w:fldCharType="begin"/>
      </w:r>
      <w:r w:rsidRPr="00330043">
        <w:rPr>
          <w:rStyle w:val="af7"/>
          <w:rFonts w:eastAsia="Guttman Hodes"/>
          <w:rtl/>
        </w:rPr>
        <w:instrText xml:space="preserve"> </w:instrText>
      </w:r>
      <w:r w:rsidRPr="00330043">
        <w:rPr>
          <w:rStyle w:val="af7"/>
          <w:rFonts w:eastAsia="Guttman Hodes" w:hint="cs"/>
        </w:rPr>
        <w:instrText>REF</w:instrText>
      </w:r>
      <w:r w:rsidRPr="00330043">
        <w:rPr>
          <w:rStyle w:val="af7"/>
          <w:rFonts w:eastAsia="Guttman Hodes" w:hint="cs"/>
          <w:rtl/>
        </w:rPr>
        <w:instrText xml:space="preserve"> _</w:instrText>
      </w:r>
      <w:r w:rsidRPr="00330043">
        <w:rPr>
          <w:rStyle w:val="af7"/>
          <w:rFonts w:eastAsia="Guttman Hodes" w:hint="cs"/>
        </w:rPr>
        <w:instrText>Ref522479155 \r \h</w:instrText>
      </w:r>
      <w:r w:rsidRPr="00330043">
        <w:rPr>
          <w:rStyle w:val="af7"/>
          <w:rFonts w:eastAsia="Guttman Hodes"/>
          <w:rtl/>
        </w:rPr>
        <w:instrText xml:space="preserve"> </w:instrText>
      </w:r>
      <w:r w:rsidRPr="00330043">
        <w:rPr>
          <w:rStyle w:val="af7"/>
          <w:rFonts w:eastAsia="Guttman Hodes"/>
          <w:rtl/>
        </w:rPr>
      </w:r>
      <w:r w:rsidRPr="00330043">
        <w:rPr>
          <w:rStyle w:val="af7"/>
          <w:rFonts w:eastAsia="Guttman Hodes"/>
          <w:rtl/>
        </w:rPr>
        <w:fldChar w:fldCharType="separate"/>
      </w:r>
      <w:r w:rsidR="00345400">
        <w:rPr>
          <w:rStyle w:val="af7"/>
          <w:rFonts w:eastAsia="Guttman Hodes"/>
          <w:cs/>
        </w:rPr>
        <w:t>‎</w:t>
      </w:r>
      <w:r w:rsidR="00345400">
        <w:rPr>
          <w:rStyle w:val="af7"/>
          <w:rFonts w:eastAsia="Guttman Hodes"/>
          <w:rtl/>
        </w:rPr>
        <w:t>פה)</w:t>
      </w:r>
      <w:r w:rsidRPr="00330043">
        <w:rPr>
          <w:rStyle w:val="af7"/>
          <w:rFonts w:eastAsia="Guttman Hodes"/>
          <w:rtl/>
        </w:rPr>
        <w:fldChar w:fldCharType="end"/>
      </w:r>
      <w:r>
        <w:rPr>
          <w:rFonts w:hint="cs"/>
          <w:rtl/>
        </w:rPr>
        <w:t xml:space="preserve"> דלענין ספק דרוסה וישב קוץ יש חזקה מבוררת, דכיון שודאי לא נולדה כך, א"כ יש לה חזקה מבוררת שלא נולדה טריפה, וכתב </w:t>
      </w:r>
      <w:r w:rsidRPr="00446B60">
        <w:rPr>
          <w:rStyle w:val="af9"/>
          <w:rFonts w:hint="cs"/>
          <w:rtl/>
        </w:rPr>
        <w:t>הגרעק"א</w:t>
      </w:r>
      <w:r>
        <w:rPr>
          <w:rFonts w:hint="cs"/>
          <w:rtl/>
        </w:rPr>
        <w:t xml:space="preserve"> דכ"כ </w:t>
      </w:r>
      <w:r w:rsidRPr="00446B60">
        <w:rPr>
          <w:rStyle w:val="af9"/>
          <w:rFonts w:hint="cs"/>
          <w:rtl/>
        </w:rPr>
        <w:t>הפנ"י</w:t>
      </w:r>
      <w:r>
        <w:rPr>
          <w:rFonts w:hint="cs"/>
          <w:rtl/>
        </w:rPr>
        <w:t xml:space="preserve"> </w:t>
      </w:r>
      <w:r w:rsidRPr="00656256">
        <w:rPr>
          <w:rStyle w:val="af7"/>
          <w:rFonts w:eastAsia="Guttman Hodes" w:hint="cs"/>
          <w:rtl/>
        </w:rPr>
        <w:t>(כתובות עו: ד"ה מיתיבי)</w:t>
      </w:r>
      <w:r>
        <w:rPr>
          <w:rFonts w:hint="cs"/>
          <w:rtl/>
        </w:rPr>
        <w:t>.</w:t>
      </w:r>
      <w:bookmarkEnd w:id="2108"/>
    </w:p>
    <w:p w14:paraId="450C4F35" w14:textId="77777777" w:rsidR="00852065" w:rsidRDefault="00852065" w:rsidP="006D6D32">
      <w:pPr>
        <w:pStyle w:val="a3"/>
        <w:rPr>
          <w:rtl/>
        </w:rPr>
      </w:pPr>
      <w:bookmarkStart w:id="2109" w:name="_Toc522790283"/>
      <w:bookmarkStart w:id="2110" w:name="_Toc522800773"/>
      <w:bookmarkStart w:id="2111" w:name="_Toc522800881"/>
      <w:bookmarkStart w:id="2112" w:name="_Toc522809935"/>
      <w:bookmarkStart w:id="2113" w:name="_Toc19389236"/>
      <w:bookmarkStart w:id="2114" w:name="_Toc19392733"/>
      <w:r>
        <w:rPr>
          <w:rFonts w:hint="cs"/>
          <w:rtl/>
        </w:rPr>
        <w:t>הוכחת הגרעק"א מהרשב"א דאף בדבר שלא נולדה עמו הוי חזקה שלא נתבררה בשעתה</w:t>
      </w:r>
      <w:bookmarkEnd w:id="2109"/>
      <w:bookmarkEnd w:id="2110"/>
      <w:bookmarkEnd w:id="2111"/>
      <w:bookmarkEnd w:id="2112"/>
      <w:bookmarkEnd w:id="2113"/>
      <w:bookmarkEnd w:id="2114"/>
    </w:p>
    <w:p w14:paraId="044789F0" w14:textId="77777777" w:rsidR="00852065" w:rsidRPr="008A6AF0" w:rsidRDefault="00852065" w:rsidP="00223668">
      <w:pPr>
        <w:pStyle w:val="a0"/>
        <w:rPr>
          <w:rtl/>
        </w:rPr>
      </w:pPr>
      <w:r>
        <w:rPr>
          <w:rFonts w:hint="cs"/>
          <w:rtl/>
        </w:rPr>
        <w:t xml:space="preserve">אך דחה </w:t>
      </w:r>
      <w:r w:rsidRPr="00446B60">
        <w:rPr>
          <w:rStyle w:val="af9"/>
          <w:rFonts w:hint="cs"/>
          <w:rtl/>
        </w:rPr>
        <w:t>הגרעק"א דהרשב"א בתוה"ב הקצר</w:t>
      </w:r>
      <w:r>
        <w:rPr>
          <w:rFonts w:hint="cs"/>
          <w:rtl/>
        </w:rPr>
        <w:t xml:space="preserve"> </w:t>
      </w:r>
      <w:r w:rsidRPr="00446B60">
        <w:rPr>
          <w:rStyle w:val="af7"/>
          <w:rFonts w:eastAsia="Guttman Hodes" w:hint="cs"/>
          <w:rtl/>
        </w:rPr>
        <w:t>(</w:t>
      </w:r>
      <w:r w:rsidRPr="00446B60">
        <w:rPr>
          <w:rStyle w:val="af7"/>
          <w:rFonts w:eastAsia="Guttman Hodes"/>
          <w:rtl/>
        </w:rPr>
        <w:t>בית ג שער ו דף צ</w:t>
      </w:r>
      <w:r w:rsidRPr="00446B60">
        <w:rPr>
          <w:rStyle w:val="af7"/>
          <w:rFonts w:eastAsia="Guttman Hodes" w:hint="cs"/>
          <w:rtl/>
        </w:rPr>
        <w:t xml:space="preserve">: ד"ה כבר) </w:t>
      </w:r>
      <w:r>
        <w:rPr>
          <w:rFonts w:hint="cs"/>
          <w:rtl/>
        </w:rPr>
        <w:t xml:space="preserve">כתב דמחט שנמצאת בבית הכוסות, הגבינות אסורות למפרע כיון שהוא חזקה שלא נתבררה בשעתה, ובמחט הרי ודאי שלא נולדה כך, ואפ"ה מבואר </w:t>
      </w:r>
      <w:r w:rsidRPr="00446B60">
        <w:rPr>
          <w:rStyle w:val="af9"/>
          <w:rFonts w:hint="cs"/>
          <w:rtl/>
        </w:rPr>
        <w:t>ברשב"א</w:t>
      </w:r>
      <w:r>
        <w:rPr>
          <w:rFonts w:hint="cs"/>
          <w:rtl/>
        </w:rPr>
        <w:t xml:space="preserve"> דאין לה חזקת היתר.</w:t>
      </w:r>
    </w:p>
    <w:p w14:paraId="47835BF5" w14:textId="77777777" w:rsidR="00852065" w:rsidRDefault="00852065" w:rsidP="006D6D32">
      <w:pPr>
        <w:pStyle w:val="a3"/>
        <w:rPr>
          <w:rtl/>
        </w:rPr>
      </w:pPr>
      <w:bookmarkStart w:id="2115" w:name="_Toc522790284"/>
      <w:bookmarkStart w:id="2116" w:name="_Toc522800774"/>
      <w:bookmarkStart w:id="2117" w:name="_Toc522800882"/>
      <w:bookmarkStart w:id="2118" w:name="_Toc522809936"/>
      <w:bookmarkStart w:id="2119" w:name="_Toc19389237"/>
      <w:bookmarkStart w:id="2120" w:name="_Toc19392734"/>
      <w:r>
        <w:rPr>
          <w:rFonts w:hint="cs"/>
          <w:rtl/>
        </w:rPr>
        <w:t>דברי הגרעק"א דבודאי טריפה א"א להעמידה בחזקת הגוף כשלא נתבררה</w:t>
      </w:r>
      <w:bookmarkEnd w:id="2115"/>
      <w:bookmarkEnd w:id="2116"/>
      <w:bookmarkEnd w:id="2117"/>
      <w:bookmarkEnd w:id="2118"/>
      <w:bookmarkEnd w:id="2119"/>
      <w:bookmarkEnd w:id="2120"/>
    </w:p>
    <w:p w14:paraId="156BA072" w14:textId="77777777" w:rsidR="00852065" w:rsidRDefault="00852065" w:rsidP="00223668">
      <w:pPr>
        <w:pStyle w:val="a0"/>
        <w:rPr>
          <w:rStyle w:val="afb"/>
          <w:rtl/>
        </w:rPr>
      </w:pPr>
      <w:r>
        <w:rPr>
          <w:rFonts w:hint="cs"/>
          <w:rtl/>
        </w:rPr>
        <w:t xml:space="preserve">ותירץ </w:t>
      </w:r>
      <w:r w:rsidRPr="00D5113B">
        <w:rPr>
          <w:rStyle w:val="af9"/>
          <w:rFonts w:hint="cs"/>
          <w:rtl/>
        </w:rPr>
        <w:t>הגרעק"א</w:t>
      </w:r>
      <w:r>
        <w:rPr>
          <w:rFonts w:hint="cs"/>
          <w:rtl/>
        </w:rPr>
        <w:t xml:space="preserve"> דבמקום שהיא ודאי טריפה כמחט בבית הכוסות, והספק לענין הגבינות הוא מתי נטרפה, בזה א"א להעמידה על חזקת הגוף ולומר שנטרפה עכשיו, כיון שמעיקרא לא הייתה לבהמה חזקת הגוף מבוררת שאינה טריפה, </w:t>
      </w:r>
      <w:r w:rsidRPr="00D5113B">
        <w:rPr>
          <w:rStyle w:val="afb"/>
          <w:rFonts w:hint="cs"/>
          <w:rtl/>
        </w:rPr>
        <w:t>[ודוקא לענין מומין שהיה מבורר לפנינו מעיקרא שלא היו בה מומין שייכא חזקת הגוף].</w:t>
      </w:r>
    </w:p>
    <w:p w14:paraId="5CF6F21B" w14:textId="77777777" w:rsidR="00852065" w:rsidRPr="00D5113B" w:rsidRDefault="00852065" w:rsidP="006D6D32">
      <w:pPr>
        <w:pStyle w:val="a3"/>
      </w:pPr>
      <w:bookmarkStart w:id="2121" w:name="_Toc522790285"/>
      <w:bookmarkStart w:id="2122" w:name="_Toc522800775"/>
      <w:bookmarkStart w:id="2123" w:name="_Toc522800883"/>
      <w:bookmarkStart w:id="2124" w:name="_Toc522809937"/>
      <w:bookmarkStart w:id="2125" w:name="_Toc19389238"/>
      <w:bookmarkStart w:id="2126" w:name="_Toc19392735"/>
      <w:r>
        <w:rPr>
          <w:rFonts w:hint="cs"/>
          <w:rtl/>
        </w:rPr>
        <w:t>ביאור הגרעק"א דבספק טריפה מעמידים בחזקת היתר אכילה מכח הרוב</w:t>
      </w:r>
      <w:bookmarkEnd w:id="2121"/>
      <w:bookmarkEnd w:id="2122"/>
      <w:bookmarkEnd w:id="2123"/>
      <w:bookmarkEnd w:id="2124"/>
      <w:bookmarkEnd w:id="2125"/>
      <w:bookmarkEnd w:id="2126"/>
    </w:p>
    <w:p w14:paraId="08B2D499" w14:textId="77777777" w:rsidR="00852065" w:rsidRPr="0034082E" w:rsidRDefault="00852065" w:rsidP="00223668">
      <w:pPr>
        <w:pStyle w:val="a0"/>
        <w:rPr>
          <w:rtl/>
        </w:rPr>
      </w:pPr>
      <w:r>
        <w:rPr>
          <w:rFonts w:hint="cs"/>
          <w:rtl/>
        </w:rPr>
        <w:t xml:space="preserve">אבל בספק דרוסה וישב קוץ, כתב </w:t>
      </w:r>
      <w:r w:rsidRPr="00D5113B">
        <w:rPr>
          <w:rStyle w:val="af9"/>
          <w:rFonts w:hint="cs"/>
          <w:rtl/>
        </w:rPr>
        <w:t>הגרעק"א</w:t>
      </w:r>
      <w:r>
        <w:rPr>
          <w:rFonts w:hint="cs"/>
          <w:rtl/>
        </w:rPr>
        <w:t xml:space="preserve"> דכיון שהספק הוא האם היא טריפה, אף שאין לה חזקת הגוף מבוררת, מ"מ אפשר להעמידה על חזקת היתר מכח הרוב שאינה טריפה, דלענין היתר אכילה חשיב חזקה מבוררת, כיון שמדינא היה מותרת באכילה, וא"א לאוסרה באכילה ולהוציאה מחזקת היתר ע"י ספק, וכן בספק צרת ערוה שאין לה חזקת הגוף כלל, מ"מ כיון שלפני הספק גירושין בערוה הייתה בחזקת היתר לשוק, א"א לאוסרה מספק.</w:t>
      </w:r>
    </w:p>
    <w:p w14:paraId="4F929C71" w14:textId="77777777" w:rsidR="00852065" w:rsidRDefault="00852065" w:rsidP="006D6D32">
      <w:pPr>
        <w:pStyle w:val="a3"/>
      </w:pPr>
      <w:bookmarkStart w:id="2127" w:name="_Toc522790286"/>
      <w:bookmarkStart w:id="2128" w:name="_Toc522800776"/>
      <w:bookmarkStart w:id="2129" w:name="_Toc522800884"/>
      <w:bookmarkStart w:id="2130" w:name="_Toc522809938"/>
      <w:bookmarkStart w:id="2131" w:name="_Toc19389239"/>
      <w:bookmarkStart w:id="2132" w:name="_Toc19392736"/>
      <w:r>
        <w:rPr>
          <w:rFonts w:hint="cs"/>
          <w:rtl/>
        </w:rPr>
        <w:t>קושית הגרעק"א דבספק דרוסה אין ודאות שהשחיטה התירה ואילו בצר"ע ודאי המיתה התירה</w:t>
      </w:r>
      <w:bookmarkEnd w:id="2127"/>
      <w:bookmarkEnd w:id="2128"/>
      <w:bookmarkEnd w:id="2129"/>
      <w:bookmarkEnd w:id="2130"/>
      <w:bookmarkEnd w:id="2131"/>
      <w:bookmarkEnd w:id="2132"/>
    </w:p>
    <w:p w14:paraId="468870FE" w14:textId="77777777" w:rsidR="00852065" w:rsidRDefault="00852065" w:rsidP="00223668">
      <w:pPr>
        <w:pStyle w:val="a0"/>
        <w:rPr>
          <w:rtl/>
        </w:rPr>
      </w:pPr>
      <w:r>
        <w:rPr>
          <w:rFonts w:hint="cs"/>
          <w:rtl/>
        </w:rPr>
        <w:t xml:space="preserve">אך על עיקר דברי </w:t>
      </w:r>
      <w:r w:rsidRPr="0082757F">
        <w:rPr>
          <w:rStyle w:val="af9"/>
          <w:rFonts w:hint="cs"/>
          <w:rtl/>
        </w:rPr>
        <w:t>התוס'</w:t>
      </w:r>
      <w:r>
        <w:rPr>
          <w:rFonts w:hint="cs"/>
          <w:rtl/>
        </w:rPr>
        <w:t xml:space="preserve"> הקשה </w:t>
      </w:r>
      <w:r w:rsidRPr="0082757F">
        <w:rPr>
          <w:rStyle w:val="af9"/>
          <w:rFonts w:hint="cs"/>
          <w:rtl/>
        </w:rPr>
        <w:t>הגרעק"א</w:t>
      </w:r>
      <w:r>
        <w:rPr>
          <w:rFonts w:hint="cs"/>
          <w:rtl/>
        </w:rPr>
        <w:t xml:space="preserve"> </w:t>
      </w:r>
      <w:r w:rsidRPr="0082757F">
        <w:rPr>
          <w:rStyle w:val="af7"/>
          <w:rFonts w:eastAsia="Guttman Hodes" w:hint="cs"/>
          <w:rtl/>
        </w:rPr>
        <w:t>(מג: ד"ה ובעיקר)</w:t>
      </w:r>
      <w:r>
        <w:rPr>
          <w:rFonts w:hint="cs"/>
          <w:rtl/>
        </w:rPr>
        <w:t xml:space="preserve"> דספק דרוסה וישב קוץ בושט, לא דמי לספק צרת ערוה, כיון דבספק דרוסה וישב קוץ בושט, אפשר לומר שלא יצאה כלל מהאיסור בחייה להיתר לאחר שחיטה, דהייתה טריפה, משא"כ בספק צרת ערוה דמיתת הבעל ודאי התירה אותה, או ליבם או לשוק, וכיון שהספק הוא למה התירה המיתה, א"כ אפשר להעמידה על חזקתה, דההיתר הוא לשוק.</w:t>
      </w:r>
    </w:p>
    <w:p w14:paraId="7B63A739" w14:textId="77777777" w:rsidR="00852065" w:rsidRDefault="00852065" w:rsidP="00BF39B2">
      <w:pPr>
        <w:pStyle w:val="1"/>
        <w:rPr>
          <w:rtl/>
        </w:rPr>
      </w:pPr>
      <w:bookmarkStart w:id="2133" w:name="_Toc522790287"/>
      <w:bookmarkStart w:id="2134" w:name="_Toc522800777"/>
      <w:bookmarkStart w:id="2135" w:name="_Toc522800885"/>
      <w:bookmarkStart w:id="2136" w:name="_Toc522809939"/>
      <w:bookmarkStart w:id="2137" w:name="_Toc19389240"/>
      <w:bookmarkStart w:id="2138" w:name="_Toc19392737"/>
      <w:r>
        <w:rPr>
          <w:rFonts w:hint="cs"/>
          <w:rtl/>
        </w:rPr>
        <w:t>דברי ה</w:t>
      </w:r>
      <w:r w:rsidR="00345400">
        <w:rPr>
          <w:rFonts w:hint="cs"/>
          <w:rtl/>
        </w:rPr>
        <w:t>פלתי</w:t>
      </w:r>
      <w:bookmarkEnd w:id="2133"/>
      <w:bookmarkEnd w:id="2134"/>
      <w:bookmarkEnd w:id="2135"/>
      <w:r>
        <w:rPr>
          <w:rFonts w:hint="cs"/>
          <w:rtl/>
        </w:rPr>
        <w:t xml:space="preserve"> בחילוק התוס' בין ספק דרוסה לגבינות</w:t>
      </w:r>
      <w:bookmarkEnd w:id="2136"/>
      <w:bookmarkEnd w:id="2137"/>
      <w:bookmarkEnd w:id="2138"/>
    </w:p>
    <w:p w14:paraId="39132593" w14:textId="77777777" w:rsidR="00852065" w:rsidRPr="00A34C55" w:rsidRDefault="00852065" w:rsidP="006D6D32">
      <w:pPr>
        <w:pStyle w:val="a3"/>
        <w:rPr>
          <w:rtl/>
        </w:rPr>
      </w:pPr>
      <w:bookmarkStart w:id="2139" w:name="_Toc522790288"/>
      <w:bookmarkStart w:id="2140" w:name="_Toc522800778"/>
      <w:bookmarkStart w:id="2141" w:name="_Toc522800886"/>
      <w:bookmarkStart w:id="2142" w:name="_Toc522809940"/>
      <w:bookmarkStart w:id="2143" w:name="_Toc19389241"/>
      <w:bookmarkStart w:id="2144" w:name="_Toc19392738"/>
      <w:r>
        <w:rPr>
          <w:rFonts w:hint="cs"/>
          <w:rtl/>
        </w:rPr>
        <w:t>קושית ה</w:t>
      </w:r>
      <w:r w:rsidR="00345400">
        <w:rPr>
          <w:rFonts w:hint="cs"/>
          <w:rtl/>
        </w:rPr>
        <w:t>פלתי</w:t>
      </w:r>
      <w:r>
        <w:rPr>
          <w:rFonts w:hint="cs"/>
          <w:rtl/>
        </w:rPr>
        <w:t xml:space="preserve"> דלתוס' במקום ריעותא לא מהני חזקה אף אי סמכינן על חזקה שלא נתבררה</w:t>
      </w:r>
      <w:bookmarkEnd w:id="2139"/>
      <w:bookmarkEnd w:id="2140"/>
      <w:bookmarkEnd w:id="2141"/>
      <w:bookmarkEnd w:id="2142"/>
      <w:bookmarkEnd w:id="2143"/>
      <w:bookmarkEnd w:id="2144"/>
    </w:p>
    <w:p w14:paraId="2E955996" w14:textId="77777777" w:rsidR="00852065" w:rsidRDefault="00852065" w:rsidP="00223668">
      <w:pPr>
        <w:pStyle w:val="a0"/>
        <w:rPr>
          <w:rtl/>
        </w:rPr>
      </w:pPr>
      <w:r w:rsidRPr="00A34C55">
        <w:rPr>
          <w:rStyle w:val="af9"/>
          <w:rFonts w:hint="cs"/>
          <w:rtl/>
        </w:rPr>
        <w:t>ה</w:t>
      </w:r>
      <w:r w:rsidR="00345400">
        <w:rPr>
          <w:rStyle w:val="af9"/>
          <w:rFonts w:hint="cs"/>
          <w:rtl/>
        </w:rPr>
        <w:t>פלתי</w:t>
      </w:r>
      <w:r w:rsidRPr="00D33255">
        <w:rPr>
          <w:rFonts w:hint="cs"/>
          <w:rtl/>
        </w:rPr>
        <w:t xml:space="preserve"> </w:t>
      </w:r>
      <w:r w:rsidRPr="00832BB4">
        <w:rPr>
          <w:rStyle w:val="af7"/>
          <w:rFonts w:eastAsia="Guttman Hodes" w:hint="cs"/>
          <w:rtl/>
        </w:rPr>
        <w:t>(נ' ד"ה ואין להקשות)</w:t>
      </w:r>
      <w:r w:rsidRPr="00D33255">
        <w:rPr>
          <w:rFonts w:hint="cs"/>
          <w:rtl/>
        </w:rPr>
        <w:t xml:space="preserve"> </w:t>
      </w:r>
      <w:r>
        <w:rPr>
          <w:rFonts w:hint="cs"/>
          <w:rtl/>
        </w:rPr>
        <w:t xml:space="preserve">הקשה </w:t>
      </w:r>
      <w:r w:rsidRPr="00D33255">
        <w:rPr>
          <w:rFonts w:hint="cs"/>
          <w:rtl/>
        </w:rPr>
        <w:t xml:space="preserve">על </w:t>
      </w:r>
      <w:r w:rsidRPr="00832BB4">
        <w:rPr>
          <w:rStyle w:val="af9"/>
          <w:rFonts w:hint="cs"/>
          <w:rtl/>
        </w:rPr>
        <w:t>התוס' לקמן</w:t>
      </w:r>
      <w:r w:rsidRPr="00832BB4">
        <w:rPr>
          <w:rStyle w:val="af7"/>
          <w:rFonts w:eastAsia="Guttman Hodes" w:hint="cs"/>
          <w:rtl/>
        </w:rPr>
        <w:t xml:space="preserve"> (עי' אות </w:t>
      </w:r>
      <w:r w:rsidRPr="00832BB4">
        <w:rPr>
          <w:rStyle w:val="af7"/>
          <w:rFonts w:eastAsia="Guttman Hodes"/>
          <w:rtl/>
        </w:rPr>
        <w:fldChar w:fldCharType="begin"/>
      </w:r>
      <w:r w:rsidRPr="00832BB4">
        <w:rPr>
          <w:rStyle w:val="af7"/>
          <w:rFonts w:eastAsia="Guttman Hodes"/>
          <w:rtl/>
        </w:rPr>
        <w:instrText xml:space="preserve"> </w:instrText>
      </w:r>
      <w:r w:rsidRPr="00832BB4">
        <w:rPr>
          <w:rStyle w:val="af7"/>
          <w:rFonts w:eastAsia="Guttman Hodes" w:hint="cs"/>
        </w:rPr>
        <w:instrText>REF</w:instrText>
      </w:r>
      <w:r w:rsidRPr="00832BB4">
        <w:rPr>
          <w:rStyle w:val="af7"/>
          <w:rFonts w:eastAsia="Guttman Hodes" w:hint="cs"/>
          <w:rtl/>
        </w:rPr>
        <w:instrText xml:space="preserve"> _</w:instrText>
      </w:r>
      <w:r w:rsidRPr="00832BB4">
        <w:rPr>
          <w:rStyle w:val="af7"/>
          <w:rFonts w:eastAsia="Guttman Hodes" w:hint="cs"/>
        </w:rPr>
        <w:instrText>Ref522443050 \r \h</w:instrText>
      </w:r>
      <w:r w:rsidRPr="00832BB4">
        <w:rPr>
          <w:rStyle w:val="af7"/>
          <w:rFonts w:eastAsia="Guttman Hodes"/>
          <w:rtl/>
        </w:rPr>
        <w:instrText xml:space="preserve"> </w:instrText>
      </w:r>
      <w:r w:rsidRPr="00832BB4">
        <w:rPr>
          <w:rStyle w:val="af7"/>
          <w:rFonts w:eastAsia="Guttman Hodes"/>
          <w:rtl/>
        </w:rPr>
      </w:r>
      <w:r w:rsidRPr="00832BB4">
        <w:rPr>
          <w:rStyle w:val="af7"/>
          <w:rFonts w:eastAsia="Guttman Hodes"/>
          <w:rtl/>
        </w:rPr>
        <w:fldChar w:fldCharType="separate"/>
      </w:r>
      <w:r w:rsidR="00345400">
        <w:rPr>
          <w:rStyle w:val="af7"/>
          <w:rFonts w:eastAsia="Guttman Hodes"/>
          <w:cs/>
        </w:rPr>
        <w:t>‎</w:t>
      </w:r>
      <w:r w:rsidR="00345400">
        <w:rPr>
          <w:rStyle w:val="af7"/>
          <w:rFonts w:eastAsia="Guttman Hodes"/>
          <w:rtl/>
        </w:rPr>
        <w:t>י)</w:t>
      </w:r>
      <w:r w:rsidRPr="00832BB4">
        <w:rPr>
          <w:rStyle w:val="af7"/>
          <w:rFonts w:eastAsia="Guttman Hodes"/>
          <w:rtl/>
        </w:rPr>
        <w:fldChar w:fldCharType="end"/>
      </w:r>
      <w:r w:rsidRPr="00832BB4">
        <w:rPr>
          <w:rStyle w:val="af7"/>
          <w:rFonts w:eastAsia="Guttman Hodes" w:hint="cs"/>
          <w:rtl/>
        </w:rPr>
        <w:t xml:space="preserve"> </w:t>
      </w:r>
      <w:r w:rsidRPr="00D33255">
        <w:rPr>
          <w:rFonts w:hint="cs"/>
          <w:rtl/>
        </w:rPr>
        <w:t xml:space="preserve">דלמה הוצרכו לאסור את הגבינות מחמת דהוא חזקה שאינה מבוררת, הא כיון דס"ל </w:t>
      </w:r>
      <w:r w:rsidRPr="00832BB4">
        <w:rPr>
          <w:rStyle w:val="af9"/>
          <w:rFonts w:hint="cs"/>
          <w:rtl/>
        </w:rPr>
        <w:t>להתוס' ביבמות</w:t>
      </w:r>
      <w:r w:rsidRPr="00D33255">
        <w:rPr>
          <w:rFonts w:hint="cs"/>
          <w:rtl/>
        </w:rPr>
        <w:t xml:space="preserve"> </w:t>
      </w:r>
      <w:r w:rsidRPr="00832BB4">
        <w:rPr>
          <w:rStyle w:val="af9"/>
          <w:rFonts w:hint="cs"/>
          <w:rtl/>
        </w:rPr>
        <w:t>ולהתוס' לקמן</w:t>
      </w:r>
      <w:r w:rsidRPr="00D33255">
        <w:rPr>
          <w:rFonts w:hint="cs"/>
          <w:rtl/>
        </w:rPr>
        <w:t xml:space="preserve"> </w:t>
      </w:r>
      <w:r w:rsidRPr="00832BB4">
        <w:rPr>
          <w:rStyle w:val="af7"/>
          <w:rFonts w:eastAsia="Guttman Hodes" w:hint="cs"/>
          <w:rtl/>
        </w:rPr>
        <w:t xml:space="preserve">(עי' אות </w:t>
      </w:r>
      <w:r w:rsidRPr="00832BB4">
        <w:rPr>
          <w:rStyle w:val="af7"/>
          <w:rFonts w:eastAsia="Guttman Hodes"/>
          <w:rtl/>
        </w:rPr>
        <w:fldChar w:fldCharType="begin"/>
      </w:r>
      <w:r w:rsidRPr="00832BB4">
        <w:rPr>
          <w:rStyle w:val="af7"/>
          <w:rFonts w:eastAsia="Guttman Hodes"/>
          <w:rtl/>
        </w:rPr>
        <w:instrText xml:space="preserve"> </w:instrText>
      </w:r>
      <w:r w:rsidRPr="00832BB4">
        <w:rPr>
          <w:rStyle w:val="af7"/>
          <w:rFonts w:eastAsia="Guttman Hodes" w:hint="cs"/>
        </w:rPr>
        <w:instrText>REF</w:instrText>
      </w:r>
      <w:r w:rsidRPr="00832BB4">
        <w:rPr>
          <w:rStyle w:val="af7"/>
          <w:rFonts w:eastAsia="Guttman Hodes" w:hint="cs"/>
          <w:rtl/>
        </w:rPr>
        <w:instrText xml:space="preserve"> _</w:instrText>
      </w:r>
      <w:r w:rsidRPr="00832BB4">
        <w:rPr>
          <w:rStyle w:val="af7"/>
          <w:rFonts w:eastAsia="Guttman Hodes" w:hint="cs"/>
        </w:rPr>
        <w:instrText>Ref522479252 \r \h</w:instrText>
      </w:r>
      <w:r w:rsidRPr="00832BB4">
        <w:rPr>
          <w:rStyle w:val="af7"/>
          <w:rFonts w:eastAsia="Guttman Hodes"/>
          <w:rtl/>
        </w:rPr>
        <w:instrText xml:space="preserve"> </w:instrText>
      </w:r>
      <w:r w:rsidRPr="00832BB4">
        <w:rPr>
          <w:rStyle w:val="af7"/>
          <w:rFonts w:eastAsia="Guttman Hodes"/>
          <w:rtl/>
        </w:rPr>
      </w:r>
      <w:r w:rsidRPr="00832BB4">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832BB4">
        <w:rPr>
          <w:rStyle w:val="af7"/>
          <w:rFonts w:eastAsia="Guttman Hodes"/>
          <w:rtl/>
        </w:rPr>
        <w:fldChar w:fldCharType="end"/>
      </w:r>
      <w:r>
        <w:rPr>
          <w:rStyle w:val="af7"/>
          <w:rFonts w:eastAsia="Guttman Hodes" w:hint="cs"/>
          <w:rtl/>
        </w:rPr>
        <w:t xml:space="preserve"> </w:t>
      </w:r>
      <w:r w:rsidRPr="00D33255">
        <w:rPr>
          <w:rFonts w:hint="cs"/>
          <w:rtl/>
        </w:rPr>
        <w:t>דבמקום שיש ריעותא מחיים לא אזלינן בתר חזקה</w:t>
      </w:r>
      <w:r>
        <w:rPr>
          <w:rStyle w:val="af1"/>
          <w:rtl/>
        </w:rPr>
        <w:footnoteReference w:id="17"/>
      </w:r>
      <w:r>
        <w:rPr>
          <w:rFonts w:hint="cs"/>
          <w:rtl/>
        </w:rPr>
        <w:t>.</w:t>
      </w:r>
    </w:p>
    <w:p w14:paraId="329A9986" w14:textId="77777777" w:rsidR="00852065" w:rsidRPr="00D16DF7" w:rsidRDefault="00852065" w:rsidP="006D6D32">
      <w:pPr>
        <w:pStyle w:val="a3"/>
        <w:rPr>
          <w:rtl/>
        </w:rPr>
      </w:pPr>
      <w:bookmarkStart w:id="2145" w:name="_Toc522790289"/>
      <w:bookmarkStart w:id="2146" w:name="_Toc522800779"/>
      <w:bookmarkStart w:id="2147" w:name="_Toc522800887"/>
      <w:bookmarkStart w:id="2148" w:name="_Toc522809941"/>
      <w:bookmarkStart w:id="2149" w:name="_Toc19389242"/>
      <w:bookmarkStart w:id="2150" w:name="_Toc19392739"/>
      <w:r>
        <w:rPr>
          <w:rFonts w:hint="cs"/>
          <w:rtl/>
        </w:rPr>
        <w:t>ביאור ה</w:t>
      </w:r>
      <w:r w:rsidR="00345400">
        <w:rPr>
          <w:rFonts w:hint="cs"/>
          <w:rtl/>
        </w:rPr>
        <w:t>פלתי</w:t>
      </w:r>
      <w:r>
        <w:rPr>
          <w:rFonts w:hint="cs"/>
          <w:rtl/>
        </w:rPr>
        <w:t xml:space="preserve"> דבספק דרוסה לא מהני החזקה כיון שהריעותא מחיים מתנגדת לחזקה</w:t>
      </w:r>
      <w:bookmarkEnd w:id="2145"/>
      <w:bookmarkEnd w:id="2146"/>
      <w:bookmarkEnd w:id="2147"/>
      <w:bookmarkEnd w:id="2148"/>
      <w:bookmarkEnd w:id="2149"/>
      <w:bookmarkEnd w:id="2150"/>
      <w:r>
        <w:rPr>
          <w:rFonts w:hint="cs"/>
          <w:rtl/>
        </w:rPr>
        <w:t xml:space="preserve"> </w:t>
      </w:r>
    </w:p>
    <w:p w14:paraId="70006ED6" w14:textId="77777777" w:rsidR="00852065" w:rsidRDefault="00852065" w:rsidP="00223668">
      <w:pPr>
        <w:pStyle w:val="a0"/>
        <w:rPr>
          <w:rtl/>
        </w:rPr>
      </w:pPr>
      <w:r>
        <w:rPr>
          <w:rFonts w:hint="cs"/>
          <w:rtl/>
        </w:rPr>
        <w:t xml:space="preserve">ותירץ </w:t>
      </w:r>
      <w:r w:rsidRPr="004A6F2A">
        <w:rPr>
          <w:rStyle w:val="af9"/>
          <w:rFonts w:hint="cs"/>
          <w:rtl/>
        </w:rPr>
        <w:t>ה</w:t>
      </w:r>
      <w:r w:rsidR="00345400">
        <w:rPr>
          <w:rStyle w:val="af9"/>
          <w:rFonts w:hint="cs"/>
          <w:rtl/>
        </w:rPr>
        <w:t>פלתי</w:t>
      </w:r>
      <w:r>
        <w:rPr>
          <w:rFonts w:hint="cs"/>
          <w:rtl/>
        </w:rPr>
        <w:t xml:space="preserve"> דבספק צרת ערוה וכן בספק דרוסה, הריעותא מחיים היא מתנגדת לחזקה, והריעותא מחיים היא בגוף החזקה, ולכן ס"ל </w:t>
      </w:r>
      <w:r w:rsidRPr="004A6F2A">
        <w:rPr>
          <w:rStyle w:val="af9"/>
          <w:rFonts w:hint="cs"/>
          <w:rtl/>
        </w:rPr>
        <w:t>להתוס'</w:t>
      </w:r>
      <w:r>
        <w:rPr>
          <w:rFonts w:hint="cs"/>
          <w:rtl/>
        </w:rPr>
        <w:t xml:space="preserve"> דאין מעמידים על החזקה במקום שנולדה הריעותא מחיים.</w:t>
      </w:r>
    </w:p>
    <w:p w14:paraId="5BA8FAAE" w14:textId="77777777" w:rsidR="00852065" w:rsidRPr="00A945CA" w:rsidRDefault="00852065" w:rsidP="006D6D32">
      <w:pPr>
        <w:pStyle w:val="a3"/>
      </w:pPr>
      <w:bookmarkStart w:id="2151" w:name="_Toc522790290"/>
      <w:bookmarkStart w:id="2152" w:name="_Toc522800780"/>
      <w:bookmarkStart w:id="2153" w:name="_Toc522800888"/>
      <w:bookmarkStart w:id="2154" w:name="_Toc522809942"/>
      <w:bookmarkStart w:id="2155" w:name="_Toc19389243"/>
      <w:bookmarkStart w:id="2156" w:name="_Toc19392740"/>
      <w:r>
        <w:rPr>
          <w:rFonts w:hint="cs"/>
          <w:rtl/>
        </w:rPr>
        <w:t>ביאור ה</w:t>
      </w:r>
      <w:r w:rsidR="00345400">
        <w:rPr>
          <w:rFonts w:hint="cs"/>
          <w:rtl/>
        </w:rPr>
        <w:t>פלתי</w:t>
      </w:r>
      <w:r>
        <w:rPr>
          <w:rFonts w:hint="cs"/>
          <w:rtl/>
        </w:rPr>
        <w:t xml:space="preserve"> דבגבינות הריעותא לא מתנגדת לחזקת הגוף ולא מהני רק מחמת דלא נתבררה</w:t>
      </w:r>
      <w:bookmarkEnd w:id="2151"/>
      <w:bookmarkEnd w:id="2152"/>
      <w:bookmarkEnd w:id="2153"/>
      <w:bookmarkEnd w:id="2154"/>
      <w:bookmarkEnd w:id="2155"/>
      <w:bookmarkEnd w:id="2156"/>
    </w:p>
    <w:p w14:paraId="7CA5D7A0" w14:textId="77777777" w:rsidR="00852065" w:rsidRDefault="00852065" w:rsidP="00223668">
      <w:pPr>
        <w:pStyle w:val="a0"/>
        <w:rPr>
          <w:rtl/>
        </w:rPr>
      </w:pPr>
      <w:r>
        <w:rPr>
          <w:rFonts w:hint="cs"/>
          <w:rtl/>
        </w:rPr>
        <w:t>אבל בספק טריפה בגבינות, ביאר</w:t>
      </w:r>
      <w:r w:rsidRPr="00A945CA">
        <w:rPr>
          <w:rStyle w:val="af9"/>
          <w:rFonts w:hint="cs"/>
          <w:rtl/>
        </w:rPr>
        <w:t xml:space="preserve"> ה</w:t>
      </w:r>
      <w:r w:rsidR="00345400">
        <w:rPr>
          <w:rStyle w:val="af9"/>
          <w:rFonts w:hint="cs"/>
          <w:rtl/>
        </w:rPr>
        <w:t>פלתי</w:t>
      </w:r>
      <w:r>
        <w:rPr>
          <w:rFonts w:hint="cs"/>
          <w:rtl/>
        </w:rPr>
        <w:t xml:space="preserve"> דס"ל </w:t>
      </w:r>
      <w:r w:rsidRPr="00A945CA">
        <w:rPr>
          <w:rStyle w:val="af9"/>
          <w:rFonts w:hint="cs"/>
          <w:rtl/>
        </w:rPr>
        <w:t xml:space="preserve">להתוס' </w:t>
      </w:r>
      <w:r>
        <w:rPr>
          <w:rFonts w:hint="cs"/>
          <w:rtl/>
        </w:rPr>
        <w:t xml:space="preserve">דכיון שמעמידים את הבהמה בחזקת הגוף שאינה טריפה, ובחזקת הגוף אמרינן דעכשיו נעשית טריפה, וא"כ אין הריעותא מתנגדת לעצם החזקה, לומר שמחיים לא הייתה טריפה, דהנדון הוא האם הריעותא נולדה עכשיו או קודם, ובזה אין כל סתירא לומר דמחיים הייתה לה חזקה, ועכשיו נולדה בה ריעותא, ועיי"ש במה שהאריך בזה טובא. </w:t>
      </w:r>
    </w:p>
    <w:p w14:paraId="014DFCFB" w14:textId="77777777" w:rsidR="004E6755" w:rsidRPr="004E6755" w:rsidRDefault="004E6755" w:rsidP="004E6755">
      <w:pPr>
        <w:pStyle w:val="a3"/>
        <w:rPr>
          <w:rtl/>
        </w:rPr>
      </w:pPr>
    </w:p>
    <w:p w14:paraId="27EED35F" w14:textId="77777777" w:rsidR="004E6755" w:rsidRDefault="004E6755" w:rsidP="006D6D32">
      <w:pPr>
        <w:pStyle w:val="a3"/>
        <w:rPr>
          <w:rtl/>
        </w:rPr>
      </w:pPr>
      <w:bookmarkStart w:id="2157" w:name="_Toc522790291"/>
      <w:bookmarkStart w:id="2158" w:name="_Toc522800781"/>
      <w:bookmarkStart w:id="2159" w:name="_Toc522800889"/>
      <w:bookmarkStart w:id="2160" w:name="_Toc522809943"/>
    </w:p>
    <w:p w14:paraId="102FA11B" w14:textId="77777777" w:rsidR="00852065" w:rsidRDefault="00852065" w:rsidP="006D6D32">
      <w:pPr>
        <w:pStyle w:val="a3"/>
        <w:rPr>
          <w:rtl/>
        </w:rPr>
      </w:pPr>
      <w:bookmarkStart w:id="2161" w:name="_Toc19389244"/>
      <w:bookmarkStart w:id="2162" w:name="_Toc19392741"/>
      <w:r>
        <w:rPr>
          <w:rFonts w:hint="cs"/>
          <w:rtl/>
        </w:rPr>
        <w:t>ביאור ה</w:t>
      </w:r>
      <w:r w:rsidR="00345400">
        <w:rPr>
          <w:rFonts w:hint="cs"/>
          <w:rtl/>
        </w:rPr>
        <w:t>פלתי</w:t>
      </w:r>
      <w:r>
        <w:rPr>
          <w:rFonts w:hint="cs"/>
          <w:rtl/>
        </w:rPr>
        <w:t xml:space="preserve"> דבספק דרוסה ע"י חזקת הגוף חשיב דהחזקה נתבררה ובגבינות הוא חזקת דין</w:t>
      </w:r>
      <w:bookmarkEnd w:id="2157"/>
      <w:bookmarkEnd w:id="2158"/>
      <w:bookmarkEnd w:id="2159"/>
      <w:bookmarkEnd w:id="2160"/>
      <w:bookmarkEnd w:id="2161"/>
      <w:bookmarkEnd w:id="2162"/>
    </w:p>
    <w:p w14:paraId="0E4453A1" w14:textId="77777777" w:rsidR="00852065" w:rsidRDefault="00852065" w:rsidP="00223668">
      <w:pPr>
        <w:pStyle w:val="a0"/>
        <w:rPr>
          <w:rtl/>
        </w:rPr>
      </w:pPr>
      <w:r>
        <w:rPr>
          <w:rFonts w:hint="cs"/>
          <w:rtl/>
        </w:rPr>
        <w:t xml:space="preserve">ועוד כתב </w:t>
      </w:r>
      <w:r w:rsidRPr="003B2A30">
        <w:rPr>
          <w:rStyle w:val="af9"/>
          <w:rFonts w:hint="cs"/>
          <w:rtl/>
        </w:rPr>
        <w:t>ה</w:t>
      </w:r>
      <w:r w:rsidR="00345400">
        <w:rPr>
          <w:rStyle w:val="af9"/>
          <w:rFonts w:hint="cs"/>
          <w:rtl/>
        </w:rPr>
        <w:t>פלתי</w:t>
      </w:r>
      <w:r w:rsidRPr="003B2A30">
        <w:rPr>
          <w:rStyle w:val="af9"/>
          <w:rFonts w:hint="cs"/>
          <w:rtl/>
        </w:rPr>
        <w:t xml:space="preserve"> </w:t>
      </w:r>
      <w:r w:rsidRPr="003B2A30">
        <w:rPr>
          <w:rStyle w:val="af7"/>
          <w:rFonts w:eastAsia="Guttman Hodes" w:hint="cs"/>
          <w:rtl/>
        </w:rPr>
        <w:t>(נ' ד"ה ולכן ברור)</w:t>
      </w:r>
      <w:r>
        <w:rPr>
          <w:rFonts w:hint="cs"/>
          <w:rtl/>
        </w:rPr>
        <w:t xml:space="preserve"> דבספק דרוסה כיון שיש לה חזקת הגוף שמבררת את עצם הספק, דלא הייתה דרוסה בשעה שנולדה, א"כ חשיב שהיא חזקה מבוררת, ולכן הקשו </w:t>
      </w:r>
      <w:r w:rsidRPr="0002337A">
        <w:rPr>
          <w:rStyle w:val="af9"/>
          <w:rFonts w:hint="cs"/>
          <w:rtl/>
        </w:rPr>
        <w:t xml:space="preserve">התוס' </w:t>
      </w:r>
      <w:r>
        <w:rPr>
          <w:rFonts w:hint="cs"/>
          <w:rtl/>
        </w:rPr>
        <w:t xml:space="preserve">דנעמידנה בחזקת היתר. משא"כ בגבינות שיש לבהמה חזקת כשרות שאינה טריפה, ואין זה מברר את עצם הספק דיתכן שיש בבהמה דבר שמטריף אותה, ואפ"ה מוחזקת בכשרות, ולכן כתבו </w:t>
      </w:r>
      <w:r w:rsidRPr="003B2A30">
        <w:rPr>
          <w:rStyle w:val="af9"/>
          <w:rFonts w:hint="cs"/>
          <w:rtl/>
        </w:rPr>
        <w:t>התוס'</w:t>
      </w:r>
      <w:r>
        <w:rPr>
          <w:rFonts w:hint="cs"/>
          <w:rtl/>
        </w:rPr>
        <w:t xml:space="preserve"> דהוא חזקה שלא נתבררה בשעתה.</w:t>
      </w:r>
    </w:p>
    <w:p w14:paraId="6E48F5E7" w14:textId="77777777" w:rsidR="00852065" w:rsidRDefault="00852065" w:rsidP="006D6D32">
      <w:pPr>
        <w:pStyle w:val="a3"/>
        <w:rPr>
          <w:rtl/>
        </w:rPr>
      </w:pPr>
      <w:bookmarkStart w:id="2163" w:name="_Toc522790292"/>
      <w:bookmarkStart w:id="2164" w:name="_Toc522800782"/>
      <w:bookmarkStart w:id="2165" w:name="_Toc522800890"/>
      <w:bookmarkStart w:id="2166" w:name="_Toc522809944"/>
      <w:bookmarkStart w:id="2167" w:name="_Toc19389245"/>
      <w:bookmarkStart w:id="2168" w:name="_Toc19392742"/>
      <w:r>
        <w:rPr>
          <w:rFonts w:hint="cs"/>
          <w:rtl/>
        </w:rPr>
        <w:t>דחיית ה</w:t>
      </w:r>
      <w:r w:rsidR="00345400">
        <w:rPr>
          <w:rFonts w:hint="cs"/>
          <w:rtl/>
        </w:rPr>
        <w:t>פלתי</w:t>
      </w:r>
      <w:r>
        <w:rPr>
          <w:rFonts w:hint="cs"/>
          <w:rtl/>
        </w:rPr>
        <w:t xml:space="preserve"> דאף בספק בשחיטה יש חזקת הגוף ואפ"ה אסורה</w:t>
      </w:r>
      <w:bookmarkEnd w:id="2163"/>
      <w:bookmarkEnd w:id="2164"/>
      <w:bookmarkEnd w:id="2165"/>
      <w:bookmarkEnd w:id="2166"/>
      <w:bookmarkEnd w:id="2167"/>
      <w:bookmarkEnd w:id="2168"/>
    </w:p>
    <w:p w14:paraId="000EA023" w14:textId="77777777" w:rsidR="00852065" w:rsidRDefault="00852065" w:rsidP="00223668">
      <w:pPr>
        <w:pStyle w:val="a0"/>
        <w:rPr>
          <w:rtl/>
        </w:rPr>
      </w:pPr>
      <w:r>
        <w:rPr>
          <w:rFonts w:hint="cs"/>
          <w:rtl/>
        </w:rPr>
        <w:t xml:space="preserve">אך דחה </w:t>
      </w:r>
      <w:r w:rsidRPr="003130D1">
        <w:rPr>
          <w:rStyle w:val="af9"/>
          <w:rFonts w:hint="cs"/>
          <w:rtl/>
        </w:rPr>
        <w:t>ה</w:t>
      </w:r>
      <w:r w:rsidR="00345400">
        <w:rPr>
          <w:rStyle w:val="af9"/>
          <w:rFonts w:hint="cs"/>
          <w:rtl/>
        </w:rPr>
        <w:t>פלתי</w:t>
      </w:r>
      <w:r w:rsidRPr="003130D1">
        <w:rPr>
          <w:rStyle w:val="af9"/>
          <w:rFonts w:hint="cs"/>
          <w:rtl/>
        </w:rPr>
        <w:t xml:space="preserve"> </w:t>
      </w:r>
      <w:r>
        <w:rPr>
          <w:rFonts w:hint="cs"/>
          <w:rtl/>
        </w:rPr>
        <w:t>דא"כ אף בספק בשחיטה בנשמטו הסימנים או נעקרו, אמאי מעמידים אותה בחזקת איסור, הרי יש לה חזקת הגוף שלא נולדה עקורה או שמוטה.</w:t>
      </w:r>
    </w:p>
    <w:p w14:paraId="4C22084D" w14:textId="77777777" w:rsidR="00852065" w:rsidRDefault="00852065" w:rsidP="00BF39B2">
      <w:pPr>
        <w:pStyle w:val="1"/>
        <w:rPr>
          <w:rtl/>
        </w:rPr>
      </w:pPr>
      <w:bookmarkStart w:id="2169" w:name="_Toc522809945"/>
      <w:bookmarkStart w:id="2170" w:name="_Toc19389246"/>
      <w:bookmarkStart w:id="2171" w:name="_Toc19392743"/>
      <w:bookmarkStart w:id="2172" w:name="_Toc522800783"/>
      <w:bookmarkStart w:id="2173" w:name="_Toc522800891"/>
      <w:r>
        <w:rPr>
          <w:rFonts w:hint="cs"/>
          <w:rtl/>
        </w:rPr>
        <w:t>ביאור ה</w:t>
      </w:r>
      <w:r w:rsidR="00345400">
        <w:rPr>
          <w:rFonts w:hint="cs"/>
          <w:rtl/>
        </w:rPr>
        <w:t>פלתי</w:t>
      </w:r>
      <w:r>
        <w:rPr>
          <w:rFonts w:hint="cs"/>
          <w:rtl/>
        </w:rPr>
        <w:t xml:space="preserve"> בתוס' דההיתר הוא מדין רוב ובריעותא אין רוב</w:t>
      </w:r>
      <w:bookmarkEnd w:id="2169"/>
      <w:bookmarkEnd w:id="2170"/>
      <w:bookmarkEnd w:id="2171"/>
    </w:p>
    <w:p w14:paraId="50A5448B" w14:textId="77777777" w:rsidR="00852065" w:rsidRDefault="00852065" w:rsidP="006D6D32">
      <w:pPr>
        <w:pStyle w:val="a3"/>
        <w:rPr>
          <w:rtl/>
        </w:rPr>
      </w:pPr>
      <w:bookmarkStart w:id="2174" w:name="_Toc522809946"/>
      <w:bookmarkStart w:id="2175" w:name="_Toc19389247"/>
      <w:bookmarkStart w:id="2176" w:name="_Toc19392744"/>
      <w:r>
        <w:rPr>
          <w:rFonts w:hint="cs"/>
          <w:rtl/>
        </w:rPr>
        <w:t>דברי ה</w:t>
      </w:r>
      <w:r w:rsidR="00345400">
        <w:rPr>
          <w:rFonts w:hint="cs"/>
          <w:rtl/>
        </w:rPr>
        <w:t>פלתי</w:t>
      </w:r>
      <w:r>
        <w:rPr>
          <w:rFonts w:hint="cs"/>
          <w:rtl/>
        </w:rPr>
        <w:t xml:space="preserve"> והיש"ש דע"י הריעותא יצאה מהרוב ואין לה חזקה מכח הרוב</w:t>
      </w:r>
      <w:bookmarkEnd w:id="2172"/>
      <w:bookmarkEnd w:id="2173"/>
      <w:bookmarkEnd w:id="2174"/>
      <w:bookmarkEnd w:id="2175"/>
      <w:bookmarkEnd w:id="2176"/>
    </w:p>
    <w:p w14:paraId="6F43766A" w14:textId="77777777" w:rsidR="00852065" w:rsidRDefault="00852065" w:rsidP="00223668">
      <w:pPr>
        <w:pStyle w:val="a0"/>
        <w:rPr>
          <w:rtl/>
        </w:rPr>
      </w:pPr>
      <w:r>
        <w:rPr>
          <w:rFonts w:hint="cs"/>
          <w:rtl/>
        </w:rPr>
        <w:t xml:space="preserve">אלא כתב </w:t>
      </w:r>
      <w:r w:rsidRPr="0097263F">
        <w:rPr>
          <w:rStyle w:val="af9"/>
          <w:rFonts w:hint="cs"/>
          <w:rtl/>
        </w:rPr>
        <w:t>ה</w:t>
      </w:r>
      <w:r w:rsidR="00345400">
        <w:rPr>
          <w:rStyle w:val="af9"/>
          <w:rFonts w:hint="cs"/>
          <w:rtl/>
        </w:rPr>
        <w:t>פלתי</w:t>
      </w:r>
      <w:r>
        <w:rPr>
          <w:rFonts w:hint="cs"/>
          <w:rtl/>
        </w:rPr>
        <w:t xml:space="preserve"> דס"ל </w:t>
      </w:r>
      <w:r w:rsidRPr="0097263F">
        <w:rPr>
          <w:rStyle w:val="af9"/>
          <w:rFonts w:hint="cs"/>
          <w:rtl/>
        </w:rPr>
        <w:t>להתוס'</w:t>
      </w:r>
      <w:r>
        <w:rPr>
          <w:rFonts w:hint="cs"/>
          <w:rtl/>
        </w:rPr>
        <w:t xml:space="preserve"> דבספק טריפה כיון שיש ריעותא בבהמה, אין לה חזקה מכח הרוב, והביאור בזה הוא כדכתב </w:t>
      </w:r>
      <w:r w:rsidRPr="0097263F">
        <w:rPr>
          <w:rStyle w:val="af9"/>
          <w:rFonts w:hint="cs"/>
          <w:rtl/>
        </w:rPr>
        <w:t>היש"ש</w:t>
      </w:r>
      <w:r>
        <w:rPr>
          <w:rFonts w:hint="cs"/>
          <w:rtl/>
        </w:rPr>
        <w:t xml:space="preserve"> </w:t>
      </w:r>
      <w:r w:rsidRPr="0097263F">
        <w:rPr>
          <w:rStyle w:val="af7"/>
          <w:rFonts w:eastAsia="Guttman Hodes" w:hint="cs"/>
          <w:rtl/>
        </w:rPr>
        <w:t>(בפירקין סי' כ')</w:t>
      </w:r>
      <w:r>
        <w:rPr>
          <w:rFonts w:hint="cs"/>
          <w:rtl/>
        </w:rPr>
        <w:t xml:space="preserve"> דבנולדה בה ריעותא אינה בכלל הרוב, כיון שרוב בהמות אין להם ריעותא.</w:t>
      </w:r>
    </w:p>
    <w:p w14:paraId="0A22AC42" w14:textId="77777777" w:rsidR="00852065" w:rsidRDefault="00852065" w:rsidP="006D6D32">
      <w:pPr>
        <w:pStyle w:val="a3"/>
        <w:rPr>
          <w:rtl/>
        </w:rPr>
      </w:pPr>
      <w:bookmarkStart w:id="2177" w:name="_Toc522800784"/>
      <w:bookmarkStart w:id="2178" w:name="_Toc522800892"/>
      <w:bookmarkStart w:id="2179" w:name="_Toc522809947"/>
      <w:bookmarkStart w:id="2180" w:name="_Toc19389248"/>
      <w:bookmarkStart w:id="2181" w:name="_Toc19392745"/>
      <w:r>
        <w:rPr>
          <w:rFonts w:hint="cs"/>
          <w:rtl/>
        </w:rPr>
        <w:t>דברי ה</w:t>
      </w:r>
      <w:r w:rsidR="00345400">
        <w:rPr>
          <w:rFonts w:hint="cs"/>
          <w:rtl/>
        </w:rPr>
        <w:t>פלתי</w:t>
      </w:r>
      <w:r>
        <w:rPr>
          <w:rFonts w:hint="cs"/>
          <w:rtl/>
        </w:rPr>
        <w:t xml:space="preserve"> דבזאב תלינן דאין ריעותא והיא בכלל הרוב וההיתר הוא מדין רוב</w:t>
      </w:r>
      <w:bookmarkEnd w:id="2177"/>
      <w:bookmarkEnd w:id="2178"/>
      <w:bookmarkEnd w:id="2179"/>
      <w:bookmarkEnd w:id="2180"/>
      <w:bookmarkEnd w:id="2181"/>
    </w:p>
    <w:p w14:paraId="6F371B3E" w14:textId="77777777" w:rsidR="00852065" w:rsidRDefault="00852065" w:rsidP="00223668">
      <w:pPr>
        <w:pStyle w:val="a0"/>
        <w:rPr>
          <w:rtl/>
        </w:rPr>
      </w:pPr>
      <w:r>
        <w:rPr>
          <w:rFonts w:hint="cs"/>
          <w:rtl/>
        </w:rPr>
        <w:t xml:space="preserve">וכתב </w:t>
      </w:r>
      <w:r w:rsidRPr="0097263F">
        <w:rPr>
          <w:rStyle w:val="af9"/>
          <w:rFonts w:hint="cs"/>
          <w:rtl/>
        </w:rPr>
        <w:t>ה</w:t>
      </w:r>
      <w:r w:rsidR="00345400">
        <w:rPr>
          <w:rStyle w:val="af9"/>
          <w:rFonts w:hint="cs"/>
          <w:rtl/>
        </w:rPr>
        <w:t>פלתי</w:t>
      </w:r>
      <w:r>
        <w:rPr>
          <w:rFonts w:hint="cs"/>
          <w:rtl/>
        </w:rPr>
        <w:t xml:space="preserve"> דבזה מבואר לדעת </w:t>
      </w:r>
      <w:r w:rsidRPr="0097263F">
        <w:rPr>
          <w:rStyle w:val="af9"/>
          <w:rFonts w:hint="cs"/>
          <w:rtl/>
        </w:rPr>
        <w:t xml:space="preserve">התוס' </w:t>
      </w:r>
      <w:r>
        <w:rPr>
          <w:rFonts w:hint="cs"/>
          <w:rtl/>
        </w:rPr>
        <w:t>אמאי בזאב יש לבהמה חזקה, אף שאינה חזקה המבוררת, דכיון שרוב בהמות אינם נקובות, אמרינן דאף בהמה זו לא ניקבה מחיים, ותלינן דהזאב ניקב, וא"כ אין בבהמה זו ריעותא כלל, והיא בכלל הרוב, והא דאמר רב הונא דמעמידים על החזקה הוא לאו דוקא, דההיתר הוא ע"י הרוב.</w:t>
      </w:r>
    </w:p>
    <w:p w14:paraId="301D0D5D" w14:textId="77777777" w:rsidR="00852065" w:rsidRPr="0097263F" w:rsidRDefault="00852065" w:rsidP="006D6D32">
      <w:pPr>
        <w:pStyle w:val="a3"/>
      </w:pPr>
      <w:bookmarkStart w:id="2182" w:name="_Toc522800785"/>
      <w:bookmarkStart w:id="2183" w:name="_Toc522800893"/>
      <w:bookmarkStart w:id="2184" w:name="_Toc522809948"/>
      <w:bookmarkStart w:id="2185" w:name="_Toc19389249"/>
      <w:bookmarkStart w:id="2186" w:name="_Toc19392746"/>
      <w:r>
        <w:rPr>
          <w:rFonts w:hint="cs"/>
          <w:rtl/>
        </w:rPr>
        <w:t>דברי ה</w:t>
      </w:r>
      <w:r w:rsidR="00345400">
        <w:rPr>
          <w:rFonts w:hint="cs"/>
          <w:rtl/>
        </w:rPr>
        <w:t>פלתי</w:t>
      </w:r>
      <w:r>
        <w:rPr>
          <w:rFonts w:hint="cs"/>
          <w:rtl/>
        </w:rPr>
        <w:t xml:space="preserve"> דבדרוסה תלינן שאין רעיותא והיא בכלל הרוב ואסורה רק דשכיח איסורא</w:t>
      </w:r>
      <w:bookmarkEnd w:id="2182"/>
      <w:bookmarkEnd w:id="2183"/>
      <w:bookmarkEnd w:id="2184"/>
      <w:bookmarkEnd w:id="2185"/>
      <w:bookmarkEnd w:id="2186"/>
    </w:p>
    <w:p w14:paraId="65967BBB" w14:textId="77777777" w:rsidR="00852065" w:rsidRDefault="00852065" w:rsidP="00223668">
      <w:pPr>
        <w:pStyle w:val="a0"/>
        <w:rPr>
          <w:rtl/>
        </w:rPr>
      </w:pPr>
      <w:r>
        <w:rPr>
          <w:rFonts w:hint="cs"/>
          <w:rtl/>
        </w:rPr>
        <w:t xml:space="preserve">וכתב </w:t>
      </w:r>
      <w:r w:rsidRPr="0097263F">
        <w:rPr>
          <w:rStyle w:val="af9"/>
          <w:rFonts w:hint="cs"/>
          <w:rtl/>
        </w:rPr>
        <w:t>ה</w:t>
      </w:r>
      <w:r w:rsidR="00345400">
        <w:rPr>
          <w:rStyle w:val="af9"/>
          <w:rFonts w:hint="cs"/>
          <w:rtl/>
        </w:rPr>
        <w:t>פלתי</w:t>
      </w:r>
      <w:r>
        <w:rPr>
          <w:rFonts w:hint="cs"/>
          <w:rtl/>
        </w:rPr>
        <w:t xml:space="preserve"> דכן הביאור בספק דרוסה, דע"י הרוב אמרינן שלא נדרסה הבהמה כלל, והיא בכלל הרוב דאין לה כל ריעותא, ולכן הוצרכו </w:t>
      </w:r>
      <w:r w:rsidRPr="0097263F">
        <w:rPr>
          <w:rStyle w:val="af9"/>
          <w:rFonts w:hint="cs"/>
          <w:rtl/>
        </w:rPr>
        <w:t>התוס'</w:t>
      </w:r>
      <w:r>
        <w:rPr>
          <w:rFonts w:hint="cs"/>
          <w:rtl/>
        </w:rPr>
        <w:t xml:space="preserve"> לתרץ דחיישינן לספק דרוסה, כיון דשכיח איסורא.</w:t>
      </w:r>
    </w:p>
    <w:p w14:paraId="591591B2" w14:textId="77777777" w:rsidR="00852065" w:rsidRDefault="00852065" w:rsidP="006D6D32">
      <w:pPr>
        <w:pStyle w:val="a3"/>
        <w:rPr>
          <w:rtl/>
        </w:rPr>
      </w:pPr>
      <w:bookmarkStart w:id="2187" w:name="_Toc522800786"/>
      <w:bookmarkStart w:id="2188" w:name="_Toc522800894"/>
      <w:bookmarkStart w:id="2189" w:name="_Toc522809949"/>
      <w:bookmarkStart w:id="2190" w:name="_Toc19389250"/>
      <w:bookmarkStart w:id="2191" w:name="_Toc19392747"/>
      <w:r>
        <w:rPr>
          <w:rFonts w:hint="cs"/>
          <w:rtl/>
        </w:rPr>
        <w:t>קושית ה</w:t>
      </w:r>
      <w:r w:rsidR="00345400">
        <w:rPr>
          <w:rFonts w:hint="cs"/>
          <w:rtl/>
        </w:rPr>
        <w:t>פלתי</w:t>
      </w:r>
      <w:r>
        <w:rPr>
          <w:rFonts w:hint="cs"/>
          <w:rtl/>
        </w:rPr>
        <w:t xml:space="preserve"> דבתוס' מבואר דההיתר מדין רוב ולא מדין חזקה</w:t>
      </w:r>
      <w:bookmarkEnd w:id="2187"/>
      <w:bookmarkEnd w:id="2188"/>
      <w:bookmarkEnd w:id="2189"/>
      <w:bookmarkEnd w:id="2190"/>
      <w:bookmarkEnd w:id="2191"/>
    </w:p>
    <w:p w14:paraId="2B832E8F" w14:textId="77777777" w:rsidR="00852065" w:rsidRPr="00767D45" w:rsidRDefault="00852065" w:rsidP="00223668">
      <w:pPr>
        <w:pStyle w:val="a0"/>
        <w:rPr>
          <w:rtl/>
        </w:rPr>
      </w:pPr>
      <w:r>
        <w:rPr>
          <w:rFonts w:hint="cs"/>
          <w:rtl/>
        </w:rPr>
        <w:t xml:space="preserve">אך הקשה </w:t>
      </w:r>
      <w:r w:rsidRPr="0097263F">
        <w:rPr>
          <w:rStyle w:val="af9"/>
          <w:rFonts w:hint="cs"/>
          <w:rtl/>
        </w:rPr>
        <w:t>ה</w:t>
      </w:r>
      <w:r w:rsidR="00345400">
        <w:rPr>
          <w:rStyle w:val="af9"/>
          <w:rFonts w:hint="cs"/>
          <w:rtl/>
        </w:rPr>
        <w:t>פלתי</w:t>
      </w:r>
      <w:r>
        <w:rPr>
          <w:rFonts w:hint="cs"/>
          <w:rtl/>
        </w:rPr>
        <w:t xml:space="preserve"> </w:t>
      </w:r>
      <w:r w:rsidRPr="0097263F">
        <w:rPr>
          <w:rStyle w:val="af7"/>
          <w:rFonts w:eastAsia="Guttman Hodes" w:hint="cs"/>
          <w:rtl/>
        </w:rPr>
        <w:t>(נ' א' ד"ה אך עם)</w:t>
      </w:r>
      <w:r>
        <w:rPr>
          <w:rFonts w:hint="cs"/>
          <w:rtl/>
        </w:rPr>
        <w:t xml:space="preserve"> דבלשון</w:t>
      </w:r>
      <w:r w:rsidRPr="0097263F">
        <w:rPr>
          <w:rStyle w:val="af9"/>
          <w:rFonts w:hint="cs"/>
          <w:rtl/>
        </w:rPr>
        <w:t xml:space="preserve"> התוס'</w:t>
      </w:r>
      <w:r>
        <w:rPr>
          <w:rFonts w:hint="cs"/>
          <w:rtl/>
        </w:rPr>
        <w:t xml:space="preserve"> משמע דההיתר בגבינות הוא מדין חזקה, ולא מדין רוב, עיי"ש בדבריו.</w:t>
      </w:r>
    </w:p>
    <w:p w14:paraId="629DF612" w14:textId="77777777" w:rsidR="00852065" w:rsidRDefault="00852065" w:rsidP="00BF39B2">
      <w:pPr>
        <w:pStyle w:val="1"/>
        <w:rPr>
          <w:rtl/>
        </w:rPr>
      </w:pPr>
      <w:bookmarkStart w:id="2192" w:name="_Toc522790293"/>
      <w:bookmarkStart w:id="2193" w:name="_Toc522800787"/>
      <w:bookmarkStart w:id="2194" w:name="_Toc522800895"/>
      <w:bookmarkStart w:id="2195" w:name="_Toc522809950"/>
      <w:bookmarkStart w:id="2196" w:name="_Toc19389251"/>
      <w:bookmarkStart w:id="2197" w:name="_Toc19392748"/>
      <w:r>
        <w:rPr>
          <w:rFonts w:hint="cs"/>
          <w:rtl/>
        </w:rPr>
        <w:t>דברי הבינת אדם דלתוס' רק בריעותא מגופא יצאה מהרוב</w:t>
      </w:r>
      <w:bookmarkEnd w:id="2192"/>
      <w:bookmarkEnd w:id="2193"/>
      <w:bookmarkEnd w:id="2194"/>
      <w:bookmarkEnd w:id="2195"/>
      <w:bookmarkEnd w:id="2196"/>
      <w:bookmarkEnd w:id="2197"/>
    </w:p>
    <w:p w14:paraId="60F5ED60" w14:textId="77777777" w:rsidR="00852065" w:rsidRDefault="00852065" w:rsidP="006D6D32">
      <w:pPr>
        <w:pStyle w:val="a3"/>
        <w:rPr>
          <w:rtl/>
        </w:rPr>
      </w:pPr>
      <w:bookmarkStart w:id="2198" w:name="_Toc522800788"/>
      <w:bookmarkStart w:id="2199" w:name="_Toc522800896"/>
      <w:bookmarkStart w:id="2200" w:name="_Toc522809951"/>
      <w:bookmarkStart w:id="2201" w:name="_Toc19389252"/>
      <w:bookmarkStart w:id="2202" w:name="_Toc19392749"/>
      <w:r>
        <w:rPr>
          <w:rFonts w:hint="cs"/>
          <w:rtl/>
        </w:rPr>
        <w:t>דברי הבינת אדם דבדרוסה הוא ריעותא שלא מגופה ולא יצאה מהרוב אף בספק השקול</w:t>
      </w:r>
      <w:bookmarkEnd w:id="2198"/>
      <w:bookmarkEnd w:id="2199"/>
      <w:bookmarkEnd w:id="2200"/>
      <w:bookmarkEnd w:id="2201"/>
      <w:bookmarkEnd w:id="2202"/>
    </w:p>
    <w:p w14:paraId="55A057BC" w14:textId="77777777" w:rsidR="00852065" w:rsidRDefault="00852065" w:rsidP="00223668">
      <w:pPr>
        <w:pStyle w:val="a0"/>
        <w:rPr>
          <w:rtl/>
        </w:rPr>
      </w:pPr>
      <w:bookmarkStart w:id="2203" w:name="_Toc522618799"/>
      <w:r>
        <w:rPr>
          <w:rFonts w:hint="cs"/>
          <w:rtl/>
        </w:rPr>
        <w:t xml:space="preserve">כתב </w:t>
      </w:r>
      <w:r w:rsidRPr="006A14E6">
        <w:rPr>
          <w:rStyle w:val="af9"/>
          <w:rFonts w:hint="cs"/>
          <w:rtl/>
        </w:rPr>
        <w:t>הבינת אדם</w:t>
      </w:r>
      <w:r>
        <w:rPr>
          <w:rFonts w:hint="cs"/>
          <w:rtl/>
        </w:rPr>
        <w:t xml:space="preserve"> </w:t>
      </w:r>
      <w:r w:rsidRPr="006A14E6">
        <w:rPr>
          <w:rStyle w:val="af7"/>
          <w:rFonts w:eastAsia="Guttman Hodes" w:hint="cs"/>
          <w:rtl/>
        </w:rPr>
        <w:t>(רוב וחזקה כ"ה ד"ה וכל)</w:t>
      </w:r>
      <w:r>
        <w:rPr>
          <w:rFonts w:hint="cs"/>
          <w:rtl/>
        </w:rPr>
        <w:t xml:space="preserve"> דאף דמשמע </w:t>
      </w:r>
      <w:r w:rsidRPr="006A14E6">
        <w:rPr>
          <w:rStyle w:val="af9"/>
          <w:rFonts w:hint="cs"/>
          <w:rtl/>
        </w:rPr>
        <w:t>מתוס'</w:t>
      </w:r>
      <w:r>
        <w:rPr>
          <w:rFonts w:hint="cs"/>
          <w:rtl/>
        </w:rPr>
        <w:t xml:space="preserve"> </w:t>
      </w:r>
      <w:r w:rsidRPr="006A14E6">
        <w:rPr>
          <w:rStyle w:val="af7"/>
          <w:rFonts w:eastAsia="Guttman Hodes" w:hint="cs"/>
          <w:rtl/>
        </w:rPr>
        <w:t xml:space="preserve">(עי' אות </w:t>
      </w:r>
      <w:r w:rsidRPr="006A14E6">
        <w:rPr>
          <w:rStyle w:val="af7"/>
          <w:rFonts w:eastAsia="Guttman Hodes"/>
          <w:rtl/>
        </w:rPr>
        <w:fldChar w:fldCharType="begin"/>
      </w:r>
      <w:r w:rsidRPr="006A14E6">
        <w:rPr>
          <w:rStyle w:val="af7"/>
          <w:rFonts w:eastAsia="Guttman Hodes"/>
          <w:rtl/>
        </w:rPr>
        <w:instrText xml:space="preserve"> </w:instrText>
      </w:r>
      <w:r w:rsidRPr="006A14E6">
        <w:rPr>
          <w:rStyle w:val="af7"/>
          <w:rFonts w:eastAsia="Guttman Hodes" w:hint="cs"/>
        </w:rPr>
        <w:instrText>REF</w:instrText>
      </w:r>
      <w:r w:rsidRPr="006A14E6">
        <w:rPr>
          <w:rStyle w:val="af7"/>
          <w:rFonts w:eastAsia="Guttman Hodes" w:hint="cs"/>
          <w:rtl/>
        </w:rPr>
        <w:instrText xml:space="preserve"> _</w:instrText>
      </w:r>
      <w:r w:rsidRPr="006A14E6">
        <w:rPr>
          <w:rStyle w:val="af7"/>
          <w:rFonts w:eastAsia="Guttman Hodes" w:hint="cs"/>
        </w:rPr>
        <w:instrText>Ref522479252 \r \h</w:instrText>
      </w:r>
      <w:r w:rsidRPr="006A14E6">
        <w:rPr>
          <w:rStyle w:val="af7"/>
          <w:rFonts w:eastAsia="Guttman Hodes"/>
          <w:rtl/>
        </w:rPr>
        <w:instrText xml:space="preserve"> </w:instrText>
      </w:r>
      <w:r w:rsidRPr="006A14E6">
        <w:rPr>
          <w:rStyle w:val="af7"/>
          <w:rFonts w:eastAsia="Guttman Hodes"/>
          <w:rtl/>
        </w:rPr>
      </w:r>
      <w:r w:rsidRPr="006A14E6">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6A14E6">
        <w:rPr>
          <w:rStyle w:val="af7"/>
          <w:rFonts w:eastAsia="Guttman Hodes"/>
          <w:rtl/>
        </w:rPr>
        <w:fldChar w:fldCharType="end"/>
      </w:r>
      <w:r>
        <w:rPr>
          <w:rFonts w:hint="cs"/>
          <w:rtl/>
        </w:rPr>
        <w:t xml:space="preserve"> דבמקום שהאיסור לא שכיח, מעמידים על החזקה, אף כשנולד הספק מחיים, זהו דוקא במקום שהריעותא אינו מגופה אלא מעלמא, כספק דרוסה או קוץ בושט שנעשה ע"י דבר אחר, דאם אינו ספק ששכיח לאיסורא, לא חשיב שיצאה הבהמה מהרוב ע"י הריעותא, דאינו ריעותא בעצם הרוב, ולכן בספק השקול אפשר להעמידה על חזקתה אף כשנולד הספק מחיים.</w:t>
      </w:r>
    </w:p>
    <w:p w14:paraId="0352BBAA" w14:textId="77777777" w:rsidR="00852065" w:rsidRDefault="00852065" w:rsidP="006D6D32">
      <w:pPr>
        <w:pStyle w:val="a3"/>
        <w:rPr>
          <w:rtl/>
        </w:rPr>
      </w:pPr>
      <w:bookmarkStart w:id="2204" w:name="_Toc522800789"/>
      <w:bookmarkStart w:id="2205" w:name="_Toc522800897"/>
      <w:bookmarkStart w:id="2206" w:name="_Toc522809952"/>
      <w:bookmarkStart w:id="2207" w:name="_Toc19389253"/>
      <w:bookmarkStart w:id="2208" w:name="_Toc19392750"/>
      <w:r>
        <w:rPr>
          <w:rFonts w:hint="cs"/>
          <w:rtl/>
        </w:rPr>
        <w:t>דברי הבינת אדם דבריעותא מגופא שהיא מחמת חולי אף לתוס' אין לה חזקת היתר</w:t>
      </w:r>
      <w:bookmarkEnd w:id="2204"/>
      <w:bookmarkEnd w:id="2205"/>
      <w:bookmarkEnd w:id="2206"/>
      <w:bookmarkEnd w:id="2207"/>
      <w:bookmarkEnd w:id="2208"/>
    </w:p>
    <w:p w14:paraId="17F61F9C" w14:textId="77777777" w:rsidR="00852065" w:rsidRDefault="00852065" w:rsidP="00223668">
      <w:pPr>
        <w:pStyle w:val="a0"/>
        <w:rPr>
          <w:rtl/>
        </w:rPr>
      </w:pPr>
      <w:r>
        <w:rPr>
          <w:rFonts w:hint="cs"/>
          <w:rtl/>
        </w:rPr>
        <w:t xml:space="preserve">אבל במקום שהריעותא מגופא וממזג הבהמה, כמו מים במוח או סירכות או נקבים במעיים, כתב </w:t>
      </w:r>
      <w:r w:rsidRPr="00616B0C">
        <w:rPr>
          <w:rStyle w:val="af9"/>
          <w:rFonts w:hint="cs"/>
          <w:rtl/>
        </w:rPr>
        <w:t>הבינת אדם</w:t>
      </w:r>
      <w:r>
        <w:rPr>
          <w:rFonts w:hint="cs"/>
          <w:rtl/>
        </w:rPr>
        <w:t xml:space="preserve"> דכיון שהם מחמת חולי של הבהמה, אף לדעת </w:t>
      </w:r>
      <w:r w:rsidRPr="00616B0C">
        <w:rPr>
          <w:rStyle w:val="af9"/>
          <w:rFonts w:hint="cs"/>
          <w:rtl/>
        </w:rPr>
        <w:t>התוס'</w:t>
      </w:r>
      <w:r>
        <w:rPr>
          <w:rFonts w:hint="cs"/>
          <w:rtl/>
        </w:rPr>
        <w:t xml:space="preserve"> אין מעמידים את הבהמה על חזקתה, כשנולד הספק מחיים, כיון שיש ריעותא ברוב עצמו, ויצאה הבהמה הזו מכלל הרוב.</w:t>
      </w:r>
    </w:p>
    <w:p w14:paraId="582755A6" w14:textId="77777777" w:rsidR="00852065" w:rsidRDefault="00852065" w:rsidP="006D6D32">
      <w:pPr>
        <w:pStyle w:val="a3"/>
        <w:rPr>
          <w:rtl/>
        </w:rPr>
      </w:pPr>
      <w:bookmarkStart w:id="2209" w:name="_Toc522800790"/>
      <w:bookmarkStart w:id="2210" w:name="_Toc522800898"/>
      <w:bookmarkStart w:id="2211" w:name="_Toc522809953"/>
      <w:bookmarkStart w:id="2212" w:name="_Toc19389254"/>
      <w:bookmarkStart w:id="2213" w:name="_Toc19392751"/>
      <w:r>
        <w:rPr>
          <w:rFonts w:hint="cs"/>
          <w:rtl/>
        </w:rPr>
        <w:t>דברי הבינת אדם דבדרוסה שאינו מגופה רק מחמת שהאיסור שכיח אסורה</w:t>
      </w:r>
      <w:bookmarkEnd w:id="2209"/>
      <w:bookmarkEnd w:id="2210"/>
      <w:bookmarkEnd w:id="2211"/>
      <w:bookmarkEnd w:id="2212"/>
      <w:bookmarkEnd w:id="2213"/>
    </w:p>
    <w:p w14:paraId="780DB810" w14:textId="77777777" w:rsidR="00852065" w:rsidRDefault="00852065" w:rsidP="00223668">
      <w:pPr>
        <w:pStyle w:val="a0"/>
        <w:rPr>
          <w:rtl/>
        </w:rPr>
      </w:pPr>
      <w:r>
        <w:rPr>
          <w:rFonts w:hint="cs"/>
          <w:rtl/>
        </w:rPr>
        <w:t xml:space="preserve">וביאר </w:t>
      </w:r>
      <w:r w:rsidRPr="00616B0C">
        <w:rPr>
          <w:rStyle w:val="af9"/>
          <w:rFonts w:hint="cs"/>
          <w:rtl/>
        </w:rPr>
        <w:t>הבינת אדם</w:t>
      </w:r>
      <w:r>
        <w:rPr>
          <w:rFonts w:hint="cs"/>
          <w:rtl/>
        </w:rPr>
        <w:t xml:space="preserve"> דלכן בספק דרוסה וקוץ בושט, שאינו ריעותא מגוף הבהמה,  ולא היה ריעותא ברוב עצמו, הוצרכו </w:t>
      </w:r>
      <w:r w:rsidRPr="00616B0C">
        <w:rPr>
          <w:rStyle w:val="af9"/>
          <w:rFonts w:hint="cs"/>
          <w:rtl/>
        </w:rPr>
        <w:t xml:space="preserve">התוס' </w:t>
      </w:r>
      <w:r>
        <w:rPr>
          <w:rFonts w:hint="cs"/>
          <w:rtl/>
        </w:rPr>
        <w:t xml:space="preserve">לתרץ דהאיסור שכיח, ומשו"ה אין מעמידים את הבהמה על חזקתה, אבל בריעותא מגופה שיצאה מכלל הרוב אף בספק השקול אין מעמידים על חזקתה, ועיי"ש בדברי </w:t>
      </w:r>
      <w:r w:rsidRPr="008E2BE0">
        <w:rPr>
          <w:rStyle w:val="af9"/>
          <w:rFonts w:hint="cs"/>
          <w:rtl/>
        </w:rPr>
        <w:t>הבינת אדם</w:t>
      </w:r>
      <w:r>
        <w:rPr>
          <w:rFonts w:hint="cs"/>
          <w:rtl/>
        </w:rPr>
        <w:t xml:space="preserve"> </w:t>
      </w:r>
      <w:r w:rsidRPr="00616B0C">
        <w:rPr>
          <w:rStyle w:val="af7"/>
          <w:rFonts w:eastAsia="Guttman Hodes" w:hint="cs"/>
          <w:rtl/>
        </w:rPr>
        <w:t>(רוב וחזקה כ"ה ד"ה וכן משמע)</w:t>
      </w:r>
      <w:r>
        <w:rPr>
          <w:rFonts w:hint="cs"/>
          <w:rtl/>
        </w:rPr>
        <w:t xml:space="preserve"> דהוכיח כן מלשון </w:t>
      </w:r>
      <w:r w:rsidRPr="008E2BE0">
        <w:rPr>
          <w:rStyle w:val="af9"/>
          <w:rFonts w:hint="cs"/>
          <w:rtl/>
        </w:rPr>
        <w:t>התוס' ביבמות</w:t>
      </w:r>
      <w:r>
        <w:rPr>
          <w:rFonts w:hint="cs"/>
          <w:rtl/>
        </w:rPr>
        <w:t xml:space="preserve"> </w:t>
      </w:r>
      <w:r w:rsidRPr="006A14E6">
        <w:rPr>
          <w:rStyle w:val="af7"/>
          <w:rFonts w:eastAsia="Guttman Hodes" w:hint="cs"/>
          <w:rtl/>
        </w:rPr>
        <w:t xml:space="preserve">(עי' אות </w:t>
      </w:r>
      <w:r w:rsidRPr="006A14E6">
        <w:rPr>
          <w:rStyle w:val="af7"/>
          <w:rFonts w:eastAsia="Guttman Hodes"/>
          <w:rtl/>
        </w:rPr>
        <w:fldChar w:fldCharType="begin"/>
      </w:r>
      <w:r w:rsidRPr="006A14E6">
        <w:rPr>
          <w:rStyle w:val="af7"/>
          <w:rFonts w:eastAsia="Guttman Hodes"/>
          <w:rtl/>
        </w:rPr>
        <w:instrText xml:space="preserve"> </w:instrText>
      </w:r>
      <w:r w:rsidRPr="006A14E6">
        <w:rPr>
          <w:rStyle w:val="af7"/>
          <w:rFonts w:eastAsia="Guttman Hodes" w:hint="cs"/>
        </w:rPr>
        <w:instrText>REF</w:instrText>
      </w:r>
      <w:r w:rsidRPr="006A14E6">
        <w:rPr>
          <w:rStyle w:val="af7"/>
          <w:rFonts w:eastAsia="Guttman Hodes" w:hint="cs"/>
          <w:rtl/>
        </w:rPr>
        <w:instrText xml:space="preserve"> _</w:instrText>
      </w:r>
      <w:r w:rsidRPr="006A14E6">
        <w:rPr>
          <w:rStyle w:val="af7"/>
          <w:rFonts w:eastAsia="Guttman Hodes" w:hint="cs"/>
        </w:rPr>
        <w:instrText>Ref522479252 \r \h</w:instrText>
      </w:r>
      <w:r w:rsidRPr="006A14E6">
        <w:rPr>
          <w:rStyle w:val="af7"/>
          <w:rFonts w:eastAsia="Guttman Hodes"/>
          <w:rtl/>
        </w:rPr>
        <w:instrText xml:space="preserve"> </w:instrText>
      </w:r>
      <w:r w:rsidRPr="006A14E6">
        <w:rPr>
          <w:rStyle w:val="af7"/>
          <w:rFonts w:eastAsia="Guttman Hodes"/>
          <w:rtl/>
        </w:rPr>
      </w:r>
      <w:r w:rsidRPr="006A14E6">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6A14E6">
        <w:rPr>
          <w:rStyle w:val="af7"/>
          <w:rFonts w:eastAsia="Guttman Hodes"/>
          <w:rtl/>
        </w:rPr>
        <w:fldChar w:fldCharType="end"/>
      </w:r>
      <w:r>
        <w:rPr>
          <w:rFonts w:hint="cs"/>
          <w:rtl/>
        </w:rPr>
        <w:t xml:space="preserve">. </w:t>
      </w:r>
    </w:p>
    <w:p w14:paraId="415B3A32" w14:textId="77777777" w:rsidR="00852065" w:rsidRDefault="00852065" w:rsidP="006D6D32">
      <w:pPr>
        <w:pStyle w:val="a3"/>
        <w:rPr>
          <w:rtl/>
        </w:rPr>
      </w:pPr>
      <w:bookmarkStart w:id="2214" w:name="_Toc522800791"/>
      <w:bookmarkStart w:id="2215" w:name="_Toc522800899"/>
      <w:bookmarkStart w:id="2216" w:name="_Toc522809954"/>
      <w:bookmarkStart w:id="2217" w:name="_Toc19389255"/>
      <w:bookmarkStart w:id="2218" w:name="_Toc19392752"/>
      <w:r>
        <w:rPr>
          <w:rFonts w:hint="cs"/>
          <w:rtl/>
        </w:rPr>
        <w:t>ביאור הבינת אדם בדרכ"מ דהוכיח מהתוס' דבריעותא מגופא יצאה מהרוב</w:t>
      </w:r>
      <w:bookmarkEnd w:id="2214"/>
      <w:bookmarkEnd w:id="2215"/>
      <w:bookmarkEnd w:id="2216"/>
      <w:bookmarkEnd w:id="2217"/>
      <w:bookmarkEnd w:id="2218"/>
    </w:p>
    <w:p w14:paraId="63D457B8" w14:textId="77777777" w:rsidR="00852065" w:rsidRDefault="00852065" w:rsidP="00223668">
      <w:pPr>
        <w:pStyle w:val="a0"/>
        <w:rPr>
          <w:rtl/>
        </w:rPr>
      </w:pPr>
      <w:r>
        <w:rPr>
          <w:rFonts w:hint="cs"/>
          <w:rtl/>
        </w:rPr>
        <w:t xml:space="preserve">ובזה תירץ </w:t>
      </w:r>
      <w:r w:rsidRPr="00040A75">
        <w:rPr>
          <w:rStyle w:val="af9"/>
          <w:rFonts w:hint="cs"/>
          <w:rtl/>
        </w:rPr>
        <w:t>הבינת אדם</w:t>
      </w:r>
      <w:r>
        <w:rPr>
          <w:rFonts w:hint="cs"/>
          <w:rtl/>
        </w:rPr>
        <w:t xml:space="preserve"> </w:t>
      </w:r>
      <w:r w:rsidRPr="00040A75">
        <w:rPr>
          <w:rStyle w:val="af7"/>
          <w:rFonts w:eastAsia="Guttman Hodes" w:hint="cs"/>
          <w:rtl/>
        </w:rPr>
        <w:t>(רוב וחזקה כ"ה ד"ה וזהו)</w:t>
      </w:r>
      <w:r>
        <w:rPr>
          <w:rFonts w:hint="cs"/>
          <w:rtl/>
        </w:rPr>
        <w:t xml:space="preserve"> את קושית </w:t>
      </w:r>
      <w:r w:rsidRPr="00040A75">
        <w:rPr>
          <w:rStyle w:val="af9"/>
          <w:rFonts w:hint="cs"/>
          <w:rtl/>
        </w:rPr>
        <w:t xml:space="preserve">המהר"ם מלובלין </w:t>
      </w:r>
      <w:r w:rsidRPr="00040A75">
        <w:rPr>
          <w:rStyle w:val="af7"/>
          <w:rFonts w:eastAsia="Guttman Hodes" w:hint="cs"/>
          <w:rtl/>
        </w:rPr>
        <w:t xml:space="preserve">(עי' אות </w:t>
      </w:r>
      <w:r w:rsidRPr="00040A75">
        <w:rPr>
          <w:rStyle w:val="af7"/>
          <w:rFonts w:eastAsia="Guttman Hodes"/>
          <w:rtl/>
        </w:rPr>
        <w:fldChar w:fldCharType="begin"/>
      </w:r>
      <w:r w:rsidRPr="00040A75">
        <w:rPr>
          <w:rStyle w:val="af7"/>
          <w:rFonts w:eastAsia="Guttman Hodes"/>
          <w:rtl/>
        </w:rPr>
        <w:instrText xml:space="preserve"> </w:instrText>
      </w:r>
      <w:r w:rsidRPr="00040A75">
        <w:rPr>
          <w:rStyle w:val="af7"/>
          <w:rFonts w:eastAsia="Guttman Hodes" w:hint="cs"/>
        </w:rPr>
        <w:instrText>REF</w:instrText>
      </w:r>
      <w:r w:rsidRPr="00040A75">
        <w:rPr>
          <w:rStyle w:val="af7"/>
          <w:rFonts w:eastAsia="Guttman Hodes" w:hint="cs"/>
          <w:rtl/>
        </w:rPr>
        <w:instrText xml:space="preserve"> _</w:instrText>
      </w:r>
      <w:r w:rsidRPr="00040A75">
        <w:rPr>
          <w:rStyle w:val="af7"/>
          <w:rFonts w:eastAsia="Guttman Hodes" w:hint="cs"/>
        </w:rPr>
        <w:instrText>Ref522650414 \r \h</w:instrText>
      </w:r>
      <w:r w:rsidRPr="00040A75">
        <w:rPr>
          <w:rStyle w:val="af7"/>
          <w:rFonts w:eastAsia="Guttman Hodes"/>
          <w:rtl/>
        </w:rPr>
        <w:instrText xml:space="preserve"> </w:instrText>
      </w:r>
      <w:r w:rsidRPr="00040A75">
        <w:rPr>
          <w:rStyle w:val="af7"/>
          <w:rFonts w:eastAsia="Guttman Hodes"/>
          <w:rtl/>
        </w:rPr>
      </w:r>
      <w:r w:rsidRPr="00040A75">
        <w:rPr>
          <w:rStyle w:val="af7"/>
          <w:rFonts w:eastAsia="Guttman Hodes"/>
          <w:rtl/>
        </w:rPr>
        <w:fldChar w:fldCharType="separate"/>
      </w:r>
      <w:r w:rsidR="00345400">
        <w:rPr>
          <w:rStyle w:val="af7"/>
          <w:rFonts w:eastAsia="Guttman Hodes"/>
          <w:cs/>
        </w:rPr>
        <w:t>‎</w:t>
      </w:r>
      <w:r w:rsidR="00345400">
        <w:rPr>
          <w:rStyle w:val="af7"/>
          <w:rFonts w:eastAsia="Guttman Hodes"/>
          <w:rtl/>
        </w:rPr>
        <w:t>עט)</w:t>
      </w:r>
      <w:r w:rsidRPr="00040A75">
        <w:rPr>
          <w:rStyle w:val="af7"/>
          <w:rFonts w:eastAsia="Guttman Hodes"/>
          <w:rtl/>
        </w:rPr>
        <w:fldChar w:fldCharType="end"/>
      </w:r>
      <w:r>
        <w:rPr>
          <w:rFonts w:hint="cs"/>
          <w:rtl/>
        </w:rPr>
        <w:t xml:space="preserve"> על </w:t>
      </w:r>
      <w:r w:rsidRPr="00040A75">
        <w:rPr>
          <w:rStyle w:val="af9"/>
          <w:rFonts w:hint="cs"/>
          <w:rtl/>
        </w:rPr>
        <w:t>הדרכ"מ</w:t>
      </w:r>
      <w:r>
        <w:rPr>
          <w:rFonts w:hint="cs"/>
          <w:rtl/>
        </w:rPr>
        <w:t xml:space="preserve"> </w:t>
      </w:r>
      <w:r w:rsidRPr="00040A75">
        <w:rPr>
          <w:rStyle w:val="af7"/>
          <w:rFonts w:eastAsia="Guttman Hodes" w:hint="cs"/>
          <w:rtl/>
        </w:rPr>
        <w:t xml:space="preserve">(עי' אות </w:t>
      </w:r>
      <w:r w:rsidRPr="00040A75">
        <w:rPr>
          <w:rStyle w:val="af7"/>
          <w:rFonts w:eastAsia="Guttman Hodes"/>
          <w:rtl/>
        </w:rPr>
        <w:fldChar w:fldCharType="begin"/>
      </w:r>
      <w:r w:rsidRPr="00040A75">
        <w:rPr>
          <w:rStyle w:val="af7"/>
          <w:rFonts w:eastAsia="Guttman Hodes"/>
          <w:rtl/>
        </w:rPr>
        <w:instrText xml:space="preserve"> </w:instrText>
      </w:r>
      <w:r w:rsidRPr="00040A75">
        <w:rPr>
          <w:rStyle w:val="af7"/>
          <w:rFonts w:eastAsia="Guttman Hodes" w:hint="cs"/>
        </w:rPr>
        <w:instrText>REF</w:instrText>
      </w:r>
      <w:r w:rsidRPr="00040A75">
        <w:rPr>
          <w:rStyle w:val="af7"/>
          <w:rFonts w:eastAsia="Guttman Hodes" w:hint="cs"/>
          <w:rtl/>
        </w:rPr>
        <w:instrText xml:space="preserve"> _</w:instrText>
      </w:r>
      <w:r w:rsidRPr="00040A75">
        <w:rPr>
          <w:rStyle w:val="af7"/>
          <w:rFonts w:eastAsia="Guttman Hodes" w:hint="cs"/>
        </w:rPr>
        <w:instrText>Ref522527197 \r \h</w:instrText>
      </w:r>
      <w:r w:rsidRPr="00040A75">
        <w:rPr>
          <w:rStyle w:val="af7"/>
          <w:rFonts w:eastAsia="Guttman Hodes"/>
          <w:rtl/>
        </w:rPr>
        <w:instrText xml:space="preserve"> </w:instrText>
      </w:r>
      <w:r w:rsidRPr="00040A75">
        <w:rPr>
          <w:rStyle w:val="af7"/>
          <w:rFonts w:eastAsia="Guttman Hodes"/>
          <w:rtl/>
        </w:rPr>
      </w:r>
      <w:r w:rsidRPr="00040A75">
        <w:rPr>
          <w:rStyle w:val="af7"/>
          <w:rFonts w:eastAsia="Guttman Hodes"/>
          <w:rtl/>
        </w:rPr>
        <w:fldChar w:fldCharType="separate"/>
      </w:r>
      <w:r w:rsidR="00345400">
        <w:rPr>
          <w:rStyle w:val="af7"/>
          <w:rFonts w:eastAsia="Guttman Hodes"/>
          <w:cs/>
        </w:rPr>
        <w:t>‎</w:t>
      </w:r>
      <w:r w:rsidR="00345400">
        <w:rPr>
          <w:rStyle w:val="af7"/>
          <w:rFonts w:eastAsia="Guttman Hodes"/>
          <w:rtl/>
        </w:rPr>
        <w:t>עח)</w:t>
      </w:r>
      <w:r w:rsidRPr="00040A75">
        <w:rPr>
          <w:rStyle w:val="af7"/>
          <w:rFonts w:eastAsia="Guttman Hodes"/>
          <w:rtl/>
        </w:rPr>
        <w:fldChar w:fldCharType="end"/>
      </w:r>
      <w:r>
        <w:rPr>
          <w:rFonts w:hint="cs"/>
          <w:rtl/>
        </w:rPr>
        <w:t xml:space="preserve"> </w:t>
      </w:r>
      <w:r w:rsidRPr="00040A75">
        <w:rPr>
          <w:rStyle w:val="af9"/>
          <w:rFonts w:hint="cs"/>
          <w:rtl/>
        </w:rPr>
        <w:t>דבתוס' ביבמות</w:t>
      </w:r>
      <w:r>
        <w:rPr>
          <w:rFonts w:hint="cs"/>
          <w:rtl/>
        </w:rPr>
        <w:t xml:space="preserve"> מבואר דבספק שאין שכיח לאיסור מעמידים בחזקת היתר אף כשנולד הספק מחיים, וביאר </w:t>
      </w:r>
      <w:r w:rsidRPr="00040A75">
        <w:rPr>
          <w:rStyle w:val="af9"/>
          <w:rFonts w:hint="cs"/>
          <w:rtl/>
        </w:rPr>
        <w:t>הבינת אדם</w:t>
      </w:r>
      <w:r>
        <w:rPr>
          <w:rFonts w:hint="cs"/>
          <w:rtl/>
        </w:rPr>
        <w:t xml:space="preserve"> דאין כוונת </w:t>
      </w:r>
      <w:r w:rsidRPr="00040A75">
        <w:rPr>
          <w:rStyle w:val="af9"/>
          <w:rFonts w:hint="cs"/>
          <w:rtl/>
        </w:rPr>
        <w:t>הדרכ"מ</w:t>
      </w:r>
      <w:r>
        <w:rPr>
          <w:rFonts w:hint="cs"/>
          <w:rtl/>
        </w:rPr>
        <w:t xml:space="preserve"> לאסור מדין מחזיקין מאיסור לאיסור, אלא דהוכיח </w:t>
      </w:r>
      <w:r w:rsidRPr="00040A75">
        <w:rPr>
          <w:rStyle w:val="af9"/>
          <w:rFonts w:hint="cs"/>
          <w:rtl/>
        </w:rPr>
        <w:t xml:space="preserve">הדרכ"מ מהתוס' ביבמות </w:t>
      </w:r>
      <w:r>
        <w:rPr>
          <w:rFonts w:hint="cs"/>
          <w:rtl/>
        </w:rPr>
        <w:t>דכל שיש ריעותא ברורה מחיים בגוף הבהמה, היא יצאה מכלל הרוב, ואין מעמידים אותה על חזקתה, ולכן במים במוח היא אסורה.</w:t>
      </w:r>
    </w:p>
    <w:p w14:paraId="64361997" w14:textId="77777777" w:rsidR="00852065" w:rsidRPr="00196392" w:rsidRDefault="00852065" w:rsidP="006D6D32">
      <w:pPr>
        <w:pStyle w:val="a3"/>
        <w:rPr>
          <w:rtl/>
        </w:rPr>
      </w:pPr>
      <w:bookmarkStart w:id="2219" w:name="_Toc522800792"/>
      <w:bookmarkStart w:id="2220" w:name="_Toc522800900"/>
      <w:bookmarkStart w:id="2221" w:name="_Toc522809955"/>
      <w:bookmarkStart w:id="2222" w:name="_Toc19389256"/>
      <w:bookmarkStart w:id="2223" w:name="_Toc19392753"/>
      <w:r>
        <w:rPr>
          <w:rFonts w:hint="cs"/>
          <w:rtl/>
        </w:rPr>
        <w:t>דברי הבינת אדם דהתוס' מודו לרבינו יונה בריעותא מגופא</w:t>
      </w:r>
      <w:bookmarkEnd w:id="2219"/>
      <w:bookmarkEnd w:id="2220"/>
      <w:bookmarkEnd w:id="2221"/>
      <w:bookmarkEnd w:id="2222"/>
      <w:bookmarkEnd w:id="2223"/>
    </w:p>
    <w:p w14:paraId="0A809757" w14:textId="77777777" w:rsidR="00852065" w:rsidRDefault="00852065" w:rsidP="00223668">
      <w:pPr>
        <w:pStyle w:val="a0"/>
        <w:rPr>
          <w:rtl/>
        </w:rPr>
      </w:pPr>
      <w:bookmarkStart w:id="2224" w:name="_Ref522800718"/>
      <w:r>
        <w:rPr>
          <w:rFonts w:hint="cs"/>
          <w:rtl/>
        </w:rPr>
        <w:t xml:space="preserve">וכתב </w:t>
      </w:r>
      <w:r w:rsidRPr="0027055F">
        <w:rPr>
          <w:rStyle w:val="af9"/>
          <w:rFonts w:hint="cs"/>
          <w:rtl/>
        </w:rPr>
        <w:t>הבינת אדם</w:t>
      </w:r>
      <w:r>
        <w:rPr>
          <w:rFonts w:hint="cs"/>
          <w:rtl/>
        </w:rPr>
        <w:t xml:space="preserve"> דלפי"ז </w:t>
      </w:r>
      <w:r w:rsidRPr="0027055F">
        <w:rPr>
          <w:rStyle w:val="af9"/>
          <w:rFonts w:hint="cs"/>
          <w:rtl/>
        </w:rPr>
        <w:t>התוס'</w:t>
      </w:r>
      <w:r>
        <w:rPr>
          <w:rFonts w:hint="cs"/>
          <w:rtl/>
        </w:rPr>
        <w:t xml:space="preserve"> פליגי על </w:t>
      </w:r>
      <w:r w:rsidRPr="0027055F">
        <w:rPr>
          <w:rStyle w:val="af9"/>
          <w:rFonts w:hint="cs"/>
          <w:rtl/>
        </w:rPr>
        <w:t>הרשב"א</w:t>
      </w:r>
      <w:r>
        <w:rPr>
          <w:rFonts w:hint="cs"/>
          <w:rtl/>
        </w:rPr>
        <w:t xml:space="preserve"> בשם </w:t>
      </w:r>
      <w:r w:rsidRPr="0027055F">
        <w:rPr>
          <w:rStyle w:val="af9"/>
          <w:rFonts w:hint="cs"/>
          <w:rtl/>
        </w:rPr>
        <w:t>רבינו יונה</w:t>
      </w:r>
      <w:r>
        <w:rPr>
          <w:rFonts w:hint="cs"/>
          <w:rtl/>
        </w:rPr>
        <w:t xml:space="preserve"> </w:t>
      </w:r>
      <w:r w:rsidRPr="00ED06D3">
        <w:rPr>
          <w:rStyle w:val="af7"/>
          <w:rFonts w:eastAsia="Guttman Hodes" w:hint="cs"/>
          <w:rtl/>
        </w:rPr>
        <w:t xml:space="preserve">(עי' אות </w:t>
      </w:r>
      <w:r w:rsidRPr="00ED06D3">
        <w:rPr>
          <w:rStyle w:val="af7"/>
          <w:rFonts w:eastAsia="Guttman Hodes"/>
          <w:rtl/>
        </w:rPr>
        <w:fldChar w:fldCharType="begin"/>
      </w:r>
      <w:r w:rsidRPr="00ED06D3">
        <w:rPr>
          <w:rStyle w:val="af7"/>
          <w:rFonts w:eastAsia="Guttman Hodes"/>
          <w:rtl/>
        </w:rPr>
        <w:instrText xml:space="preserve"> </w:instrText>
      </w:r>
      <w:r w:rsidRPr="00ED06D3">
        <w:rPr>
          <w:rStyle w:val="af7"/>
          <w:rFonts w:eastAsia="Guttman Hodes" w:hint="cs"/>
        </w:rPr>
        <w:instrText>REF</w:instrText>
      </w:r>
      <w:r w:rsidRPr="00ED06D3">
        <w:rPr>
          <w:rStyle w:val="af7"/>
          <w:rFonts w:eastAsia="Guttman Hodes" w:hint="cs"/>
          <w:rtl/>
        </w:rPr>
        <w:instrText xml:space="preserve"> _</w:instrText>
      </w:r>
      <w:r w:rsidRPr="00ED06D3">
        <w:rPr>
          <w:rStyle w:val="af7"/>
          <w:rFonts w:eastAsia="Guttman Hodes" w:hint="cs"/>
        </w:rPr>
        <w:instrText>Ref522636864 \r \h</w:instrText>
      </w:r>
      <w:r w:rsidRPr="00ED06D3">
        <w:rPr>
          <w:rStyle w:val="af7"/>
          <w:rFonts w:eastAsia="Guttman Hodes"/>
          <w:rtl/>
        </w:rPr>
        <w:instrText xml:space="preserve"> </w:instrText>
      </w:r>
      <w:r w:rsidRPr="00ED06D3">
        <w:rPr>
          <w:rStyle w:val="af7"/>
          <w:rFonts w:eastAsia="Guttman Hodes"/>
          <w:rtl/>
        </w:rPr>
      </w:r>
      <w:r w:rsidRPr="00ED06D3">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ED06D3">
        <w:rPr>
          <w:rStyle w:val="af7"/>
          <w:rFonts w:eastAsia="Guttman Hodes"/>
          <w:rtl/>
        </w:rPr>
        <w:fldChar w:fldCharType="end"/>
      </w:r>
      <w:r>
        <w:rPr>
          <w:rFonts w:hint="cs"/>
          <w:rtl/>
        </w:rPr>
        <w:t xml:space="preserve"> רק בריעותא שאינה מגוף הבהמה, דבזה ס"ל </w:t>
      </w:r>
      <w:r w:rsidRPr="00ED06D3">
        <w:rPr>
          <w:rStyle w:val="af9"/>
          <w:rFonts w:hint="cs"/>
          <w:rtl/>
        </w:rPr>
        <w:t xml:space="preserve">להתוס' </w:t>
      </w:r>
      <w:r>
        <w:rPr>
          <w:rFonts w:hint="cs"/>
          <w:rtl/>
        </w:rPr>
        <w:t xml:space="preserve">דהיכא שאין האיסור שכיח, מעמידים אותה על חזקתה, אבל בריעותא מגופה מודו </w:t>
      </w:r>
      <w:r w:rsidRPr="00ED06D3">
        <w:rPr>
          <w:rStyle w:val="af9"/>
          <w:rFonts w:hint="cs"/>
          <w:rtl/>
        </w:rPr>
        <w:t>התוס'</w:t>
      </w:r>
      <w:r>
        <w:rPr>
          <w:rFonts w:hint="cs"/>
          <w:rtl/>
        </w:rPr>
        <w:t xml:space="preserve"> לדברי </w:t>
      </w:r>
      <w:r w:rsidRPr="0027055F">
        <w:rPr>
          <w:rStyle w:val="af9"/>
          <w:rFonts w:hint="cs"/>
          <w:rtl/>
        </w:rPr>
        <w:t>הרשב"א</w:t>
      </w:r>
      <w:r>
        <w:rPr>
          <w:rFonts w:hint="cs"/>
          <w:rtl/>
        </w:rPr>
        <w:t xml:space="preserve"> בשם </w:t>
      </w:r>
      <w:r w:rsidRPr="0027055F">
        <w:rPr>
          <w:rStyle w:val="af9"/>
          <w:rFonts w:hint="cs"/>
          <w:rtl/>
        </w:rPr>
        <w:t>רבינו יונה</w:t>
      </w:r>
      <w:r>
        <w:rPr>
          <w:rFonts w:hint="cs"/>
          <w:rtl/>
        </w:rPr>
        <w:t xml:space="preserve"> דאף בספק השקול אסורה.</w:t>
      </w:r>
      <w:bookmarkEnd w:id="2224"/>
    </w:p>
    <w:p w14:paraId="023AA426" w14:textId="77777777" w:rsidR="00852065" w:rsidRDefault="00852065" w:rsidP="00BF39B2">
      <w:pPr>
        <w:pStyle w:val="1"/>
        <w:rPr>
          <w:rtl/>
        </w:rPr>
      </w:pPr>
      <w:bookmarkStart w:id="2225" w:name="_Toc522809956"/>
      <w:bookmarkStart w:id="2226" w:name="_Toc19389257"/>
      <w:bookmarkStart w:id="2227" w:name="_Toc19392754"/>
      <w:r>
        <w:rPr>
          <w:rFonts w:hint="cs"/>
          <w:rtl/>
        </w:rPr>
        <w:t>דברי החזו"א דלתוס' כשאין ריעותא מחיים אין מחזיקין מאל"א</w:t>
      </w:r>
      <w:bookmarkEnd w:id="2225"/>
      <w:bookmarkEnd w:id="2226"/>
      <w:bookmarkEnd w:id="2227"/>
    </w:p>
    <w:p w14:paraId="1EB7FA7B" w14:textId="77777777" w:rsidR="00852065" w:rsidRPr="007A22FF" w:rsidRDefault="00852065" w:rsidP="006D6D32">
      <w:pPr>
        <w:pStyle w:val="a3"/>
        <w:rPr>
          <w:rtl/>
        </w:rPr>
      </w:pPr>
      <w:bookmarkStart w:id="2228" w:name="_Toc522809957"/>
      <w:bookmarkStart w:id="2229" w:name="_Toc19389258"/>
      <w:bookmarkStart w:id="2230" w:name="_Toc19392755"/>
      <w:r>
        <w:rPr>
          <w:rFonts w:hint="cs"/>
          <w:rtl/>
        </w:rPr>
        <w:t>דברי החזו"א דלתוס' בזאב אף שהספק שמא נטרפה מחיים מ"מ לא הייתא ריעותא מחיים</w:t>
      </w:r>
      <w:bookmarkEnd w:id="2228"/>
      <w:bookmarkEnd w:id="2229"/>
      <w:bookmarkEnd w:id="2230"/>
      <w:r>
        <w:rPr>
          <w:rFonts w:hint="cs"/>
          <w:rtl/>
        </w:rPr>
        <w:t xml:space="preserve"> </w:t>
      </w:r>
    </w:p>
    <w:p w14:paraId="13110EC4" w14:textId="77777777" w:rsidR="00852065" w:rsidRDefault="00852065" w:rsidP="00223668">
      <w:pPr>
        <w:pStyle w:val="a0"/>
        <w:rPr>
          <w:rtl/>
        </w:rPr>
      </w:pPr>
      <w:bookmarkStart w:id="2231" w:name="_Ref522801111"/>
      <w:r>
        <w:rPr>
          <w:rFonts w:hint="cs"/>
          <w:rtl/>
        </w:rPr>
        <w:t xml:space="preserve">כתב </w:t>
      </w:r>
      <w:r w:rsidRPr="008225BE">
        <w:rPr>
          <w:rStyle w:val="af9"/>
          <w:rFonts w:hint="cs"/>
          <w:rtl/>
        </w:rPr>
        <w:t>החזו"א</w:t>
      </w:r>
      <w:r>
        <w:rPr>
          <w:rFonts w:hint="cs"/>
          <w:rtl/>
        </w:rPr>
        <w:t xml:space="preserve"> </w:t>
      </w:r>
      <w:r w:rsidRPr="008225BE">
        <w:rPr>
          <w:rStyle w:val="af7"/>
          <w:rFonts w:eastAsia="Guttman Hodes" w:hint="cs"/>
          <w:rtl/>
        </w:rPr>
        <w:t>(אבהע"ז פ"א ג')</w:t>
      </w:r>
      <w:r>
        <w:rPr>
          <w:rFonts w:hint="cs"/>
          <w:rtl/>
        </w:rPr>
        <w:t xml:space="preserve">  </w:t>
      </w:r>
      <w:r>
        <w:rPr>
          <w:rStyle w:val="af9"/>
          <w:rFonts w:hint="cs"/>
          <w:rtl/>
        </w:rPr>
        <w:t>דב</w:t>
      </w:r>
      <w:r w:rsidRPr="008225BE">
        <w:rPr>
          <w:rStyle w:val="af9"/>
          <w:rFonts w:hint="cs"/>
          <w:rtl/>
        </w:rPr>
        <w:t>תוס' ביבמות</w:t>
      </w:r>
      <w:r>
        <w:rPr>
          <w:rFonts w:hint="cs"/>
          <w:rtl/>
        </w:rPr>
        <w:t xml:space="preserve"> </w:t>
      </w:r>
      <w:r w:rsidRPr="008225BE">
        <w:rPr>
          <w:rStyle w:val="af7"/>
          <w:rFonts w:eastAsia="Guttman Hodes" w:hint="cs"/>
          <w:rtl/>
        </w:rPr>
        <w:t xml:space="preserve">(עי' אות </w:t>
      </w:r>
      <w:r w:rsidRPr="008225BE">
        <w:rPr>
          <w:rStyle w:val="af7"/>
          <w:rFonts w:eastAsia="Guttman Hodes"/>
          <w:rtl/>
        </w:rPr>
        <w:fldChar w:fldCharType="begin"/>
      </w:r>
      <w:r w:rsidRPr="008225BE">
        <w:rPr>
          <w:rStyle w:val="af7"/>
          <w:rFonts w:eastAsia="Guttman Hodes"/>
          <w:rtl/>
        </w:rPr>
        <w:instrText xml:space="preserve"> </w:instrText>
      </w:r>
      <w:r w:rsidRPr="008225BE">
        <w:rPr>
          <w:rStyle w:val="af7"/>
          <w:rFonts w:eastAsia="Guttman Hodes" w:hint="cs"/>
        </w:rPr>
        <w:instrText>REF</w:instrText>
      </w:r>
      <w:r w:rsidRPr="008225BE">
        <w:rPr>
          <w:rStyle w:val="af7"/>
          <w:rFonts w:eastAsia="Guttman Hodes" w:hint="cs"/>
          <w:rtl/>
        </w:rPr>
        <w:instrText xml:space="preserve"> _</w:instrText>
      </w:r>
      <w:r w:rsidRPr="008225BE">
        <w:rPr>
          <w:rStyle w:val="af7"/>
          <w:rFonts w:eastAsia="Guttman Hodes" w:hint="cs"/>
        </w:rPr>
        <w:instrText>Ref522526853 \r \h</w:instrText>
      </w:r>
      <w:r w:rsidRPr="008225BE">
        <w:rPr>
          <w:rStyle w:val="af7"/>
          <w:rFonts w:eastAsia="Guttman Hodes"/>
          <w:rtl/>
        </w:rPr>
        <w:instrText xml:space="preserve"> </w:instrText>
      </w:r>
      <w:r w:rsidRPr="008225BE">
        <w:rPr>
          <w:rStyle w:val="af7"/>
          <w:rFonts w:eastAsia="Guttman Hodes"/>
          <w:rtl/>
        </w:rPr>
      </w:r>
      <w:r w:rsidRPr="008225BE">
        <w:rPr>
          <w:rStyle w:val="af7"/>
          <w:rFonts w:eastAsia="Guttman Hodes"/>
          <w:rtl/>
        </w:rPr>
        <w:fldChar w:fldCharType="separate"/>
      </w:r>
      <w:r w:rsidR="00345400">
        <w:rPr>
          <w:rStyle w:val="af7"/>
          <w:rFonts w:eastAsia="Guttman Hodes"/>
          <w:cs/>
        </w:rPr>
        <w:t>‎</w:t>
      </w:r>
      <w:r w:rsidR="00345400">
        <w:rPr>
          <w:rStyle w:val="af7"/>
          <w:rFonts w:eastAsia="Guttman Hodes"/>
          <w:rtl/>
        </w:rPr>
        <w:t>כה)</w:t>
      </w:r>
      <w:r w:rsidRPr="008225BE">
        <w:rPr>
          <w:rStyle w:val="af7"/>
          <w:rFonts w:eastAsia="Guttman Hodes"/>
          <w:rtl/>
        </w:rPr>
        <w:fldChar w:fldCharType="end"/>
      </w:r>
      <w:r w:rsidRPr="008225BE">
        <w:rPr>
          <w:rStyle w:val="af7"/>
          <w:rFonts w:eastAsia="Guttman Hodes" w:hint="cs"/>
          <w:rtl/>
        </w:rPr>
        <w:t xml:space="preserve"> </w:t>
      </w:r>
      <w:r>
        <w:rPr>
          <w:rFonts w:hint="cs"/>
          <w:rtl/>
        </w:rPr>
        <w:t xml:space="preserve">מבואר דבספק שנולד מחיים לא מעמידים בחזקת היתר, כתב </w:t>
      </w:r>
      <w:r w:rsidRPr="008225BE">
        <w:rPr>
          <w:rStyle w:val="af9"/>
          <w:rFonts w:hint="cs"/>
          <w:rtl/>
        </w:rPr>
        <w:t>החזו"א</w:t>
      </w:r>
      <w:r>
        <w:rPr>
          <w:rFonts w:hint="cs"/>
          <w:rtl/>
        </w:rPr>
        <w:t xml:space="preserve"> דאף שבזאב ג"כ הספק הוא שמא נטרפה מחיים, ומעולם לא הייתה בחזקת היתר, מ"מ כיון שיתכן שהזאב עשה את הנקב, אין מחזיקין בזה מאיסור לאיסור, דדוקא במקום שהריעותא הייתה מחיים, אפשר לאוסרה מכח האיסור הראשון.</w:t>
      </w:r>
      <w:bookmarkEnd w:id="2231"/>
    </w:p>
    <w:p w14:paraId="107023A9" w14:textId="77777777" w:rsidR="00852065" w:rsidRDefault="00852065" w:rsidP="006D6D32">
      <w:pPr>
        <w:pStyle w:val="a3"/>
        <w:rPr>
          <w:rtl/>
        </w:rPr>
      </w:pPr>
      <w:bookmarkStart w:id="2232" w:name="_Toc522809958"/>
      <w:bookmarkStart w:id="2233" w:name="_Toc19389259"/>
      <w:bookmarkStart w:id="2234" w:name="_Toc19392756"/>
      <w:r>
        <w:rPr>
          <w:rFonts w:hint="cs"/>
          <w:rtl/>
        </w:rPr>
        <w:t>דברי החזו"א דבזאב עדיף לתלות בחזקת שלא נטרפה ולא להחזיק מאיסור לאיסור</w:t>
      </w:r>
      <w:bookmarkEnd w:id="2232"/>
      <w:bookmarkEnd w:id="2233"/>
      <w:bookmarkEnd w:id="2234"/>
    </w:p>
    <w:p w14:paraId="3914D58C" w14:textId="77777777" w:rsidR="00852065" w:rsidRDefault="00852065" w:rsidP="00223668">
      <w:pPr>
        <w:pStyle w:val="a0"/>
        <w:rPr>
          <w:rtl/>
        </w:rPr>
      </w:pPr>
      <w:r>
        <w:rPr>
          <w:rFonts w:hint="cs"/>
          <w:rtl/>
        </w:rPr>
        <w:t xml:space="preserve">ועוד כתב </w:t>
      </w:r>
      <w:r w:rsidRPr="008225BE">
        <w:rPr>
          <w:rStyle w:val="af9"/>
          <w:rFonts w:hint="cs"/>
          <w:rtl/>
        </w:rPr>
        <w:t>החזו"א</w:t>
      </w:r>
      <w:r>
        <w:rPr>
          <w:rFonts w:hint="cs"/>
          <w:rtl/>
        </w:rPr>
        <w:t xml:space="preserve"> דאפש"ל דההיתר בזאב הוא כיון שיש לה במה לתלות, עדיף להעמידה בחזקת שלא נטרפה מלהעמידה בחזקת האיסור הראשון שהיה לה מחיים.</w:t>
      </w:r>
    </w:p>
    <w:p w14:paraId="6F513CD0" w14:textId="77777777" w:rsidR="00852065" w:rsidRDefault="00852065" w:rsidP="00852065">
      <w:pPr>
        <w:pStyle w:val="2"/>
        <w:rPr>
          <w:rtl/>
        </w:rPr>
      </w:pPr>
      <w:bookmarkStart w:id="2235" w:name="_Toc522790295"/>
      <w:bookmarkStart w:id="2236" w:name="_Toc522800794"/>
      <w:bookmarkStart w:id="2237" w:name="_Toc522800902"/>
      <w:bookmarkStart w:id="2238" w:name="_Toc522809959"/>
      <w:bookmarkStart w:id="2239" w:name="_Toc19435269"/>
      <w:r>
        <w:rPr>
          <w:rFonts w:hint="cs"/>
          <w:noProof/>
          <w:rtl/>
        </w:rPr>
        <w:t xml:space="preserve">דברי רבינו יונה </w:t>
      </w:r>
      <w:r>
        <w:rPr>
          <w:rFonts w:hint="cs"/>
          <w:rtl/>
        </w:rPr>
        <w:t>בענין ספק השקול</w:t>
      </w:r>
      <w:bookmarkEnd w:id="2203"/>
      <w:bookmarkEnd w:id="2235"/>
      <w:bookmarkEnd w:id="2236"/>
      <w:bookmarkEnd w:id="2237"/>
      <w:bookmarkEnd w:id="2238"/>
      <w:bookmarkEnd w:id="2239"/>
    </w:p>
    <w:p w14:paraId="1A96F96A" w14:textId="77777777" w:rsidR="00852065" w:rsidRDefault="00852065" w:rsidP="00BF39B2">
      <w:pPr>
        <w:pStyle w:val="1"/>
        <w:rPr>
          <w:rtl/>
        </w:rPr>
      </w:pPr>
      <w:bookmarkStart w:id="2240" w:name="_Toc522618800"/>
      <w:bookmarkStart w:id="2241" w:name="_Toc522790296"/>
      <w:bookmarkStart w:id="2242" w:name="_Toc522800795"/>
      <w:bookmarkStart w:id="2243" w:name="_Toc522800903"/>
      <w:bookmarkStart w:id="2244" w:name="_Toc522809960"/>
      <w:bookmarkStart w:id="2245" w:name="_Toc19389260"/>
      <w:bookmarkStart w:id="2246" w:name="_Toc19392757"/>
      <w:r>
        <w:rPr>
          <w:rFonts w:hint="cs"/>
          <w:rtl/>
        </w:rPr>
        <w:t>דברי רבינו יונה בנשמט הגף</w:t>
      </w:r>
      <w:bookmarkEnd w:id="2240"/>
      <w:bookmarkEnd w:id="2241"/>
      <w:bookmarkEnd w:id="2242"/>
      <w:bookmarkEnd w:id="2243"/>
      <w:bookmarkEnd w:id="2244"/>
      <w:bookmarkEnd w:id="2245"/>
      <w:bookmarkEnd w:id="2246"/>
    </w:p>
    <w:p w14:paraId="2CEB291B" w14:textId="77777777" w:rsidR="00852065" w:rsidRDefault="00852065" w:rsidP="006D6D32">
      <w:pPr>
        <w:pStyle w:val="a3"/>
        <w:rPr>
          <w:rtl/>
        </w:rPr>
      </w:pPr>
      <w:bookmarkStart w:id="2247" w:name="_Toc522809961"/>
      <w:bookmarkStart w:id="2248" w:name="_Toc19389261"/>
      <w:bookmarkStart w:id="2249" w:name="_Toc19392758"/>
      <w:r>
        <w:rPr>
          <w:rFonts w:hint="cs"/>
          <w:rtl/>
        </w:rPr>
        <w:t>דברי רבינו יונה דבריעותא בספק נטרפה לפני השחיטה או לאחריה הוא ספק דאו'</w:t>
      </w:r>
      <w:bookmarkEnd w:id="2247"/>
      <w:bookmarkEnd w:id="2248"/>
      <w:bookmarkEnd w:id="2249"/>
    </w:p>
    <w:p w14:paraId="5494C33B" w14:textId="77777777" w:rsidR="00852065" w:rsidRDefault="00852065" w:rsidP="00223668">
      <w:pPr>
        <w:pStyle w:val="a0"/>
        <w:rPr>
          <w:rtl/>
        </w:rPr>
      </w:pPr>
      <w:bookmarkStart w:id="2250" w:name="_Ref522636864"/>
      <w:r>
        <w:rPr>
          <w:rFonts w:hint="cs"/>
          <w:rtl/>
        </w:rPr>
        <w:t xml:space="preserve">כתבו </w:t>
      </w:r>
      <w:r w:rsidRPr="004F5965">
        <w:rPr>
          <w:rStyle w:val="af9"/>
          <w:rFonts w:hint="cs"/>
          <w:rtl/>
        </w:rPr>
        <w:t>הרשב"א לקמן</w:t>
      </w:r>
      <w:r>
        <w:rPr>
          <w:rFonts w:hint="cs"/>
          <w:rtl/>
        </w:rPr>
        <w:t xml:space="preserve"> </w:t>
      </w:r>
      <w:r w:rsidRPr="004F5965">
        <w:rPr>
          <w:rStyle w:val="af7"/>
          <w:rFonts w:eastAsia="Guttman Hodes" w:hint="cs"/>
          <w:rtl/>
        </w:rPr>
        <w:t>(י. ד"ה ולענין)</w:t>
      </w:r>
      <w:r>
        <w:rPr>
          <w:rFonts w:hint="cs"/>
          <w:rtl/>
        </w:rPr>
        <w:t xml:space="preserve"> </w:t>
      </w:r>
      <w:r w:rsidRPr="004F5965">
        <w:rPr>
          <w:rStyle w:val="af9"/>
          <w:rFonts w:hint="cs"/>
          <w:rtl/>
        </w:rPr>
        <w:t>והר"ן</w:t>
      </w:r>
      <w:r>
        <w:rPr>
          <w:rFonts w:hint="cs"/>
          <w:rtl/>
        </w:rPr>
        <w:t xml:space="preserve"> </w:t>
      </w:r>
      <w:r w:rsidRPr="004F5965">
        <w:rPr>
          <w:rStyle w:val="af7"/>
          <w:rFonts w:eastAsia="Guttman Hodes" w:hint="cs"/>
          <w:rtl/>
        </w:rPr>
        <w:t>(ג. מדפי הרי"ף</w:t>
      </w:r>
      <w:r>
        <w:rPr>
          <w:rStyle w:val="af7"/>
          <w:rFonts w:eastAsia="Guttman Hodes" w:hint="cs"/>
          <w:rtl/>
        </w:rPr>
        <w:t xml:space="preserve"> ד"ה תניא</w:t>
      </w:r>
      <w:r w:rsidRPr="004F5965">
        <w:rPr>
          <w:rStyle w:val="af7"/>
          <w:rFonts w:eastAsia="Guttman Hodes" w:hint="cs"/>
          <w:rtl/>
        </w:rPr>
        <w:t>)</w:t>
      </w:r>
      <w:r>
        <w:rPr>
          <w:rFonts w:hint="cs"/>
          <w:rtl/>
        </w:rPr>
        <w:t xml:space="preserve"> בשם </w:t>
      </w:r>
      <w:r w:rsidRPr="004F5965">
        <w:rPr>
          <w:rStyle w:val="af9"/>
          <w:rFonts w:hint="cs"/>
          <w:rtl/>
        </w:rPr>
        <w:t>רבינו יונה</w:t>
      </w:r>
      <w:r>
        <w:rPr>
          <w:rFonts w:hint="cs"/>
          <w:rtl/>
        </w:rPr>
        <w:t xml:space="preserve"> דגף העוף שנשמט </w:t>
      </w:r>
      <w:r w:rsidRPr="003337F0">
        <w:rPr>
          <w:rStyle w:val="afb"/>
          <w:rFonts w:hint="cs"/>
          <w:rtl/>
        </w:rPr>
        <w:t>[או נשברה רגלו מהארכובה ולמעלה]</w:t>
      </w:r>
      <w:r>
        <w:rPr>
          <w:rFonts w:hint="cs"/>
          <w:rtl/>
        </w:rPr>
        <w:t xml:space="preserve">, ויש ספק אם נשמט קודם השחיטה או לאחריה, דהוא ספק דאו' לחומרא, כדתני בברייתא </w:t>
      </w:r>
      <w:r w:rsidRPr="004F5965">
        <w:rPr>
          <w:rStyle w:val="af7"/>
          <w:rFonts w:eastAsia="Guttman Hodes" w:hint="cs"/>
          <w:rtl/>
        </w:rPr>
        <w:t>(י.)</w:t>
      </w:r>
      <w:r>
        <w:rPr>
          <w:rFonts w:hint="cs"/>
          <w:rtl/>
        </w:rPr>
        <w:t xml:space="preserve"> דבספק אם נשמטה הגרגרת קודם השחיטה ולאחריה הוא ספק שבשחיטה ואסור, והוסיף </w:t>
      </w:r>
      <w:r w:rsidRPr="004F5965">
        <w:rPr>
          <w:rStyle w:val="af9"/>
          <w:rFonts w:hint="cs"/>
          <w:rtl/>
        </w:rPr>
        <w:t>הר"ן</w:t>
      </w:r>
      <w:r>
        <w:rPr>
          <w:rFonts w:hint="cs"/>
          <w:rtl/>
        </w:rPr>
        <w:t xml:space="preserve"> דה"ה לכל ספק טריפה שנולד בו ריעותא דאזלינן לחומרא.</w:t>
      </w:r>
      <w:bookmarkEnd w:id="2250"/>
    </w:p>
    <w:p w14:paraId="6A1280C7" w14:textId="77777777" w:rsidR="00852065" w:rsidRDefault="00852065" w:rsidP="006D6D32">
      <w:pPr>
        <w:pStyle w:val="a3"/>
        <w:rPr>
          <w:rtl/>
        </w:rPr>
      </w:pPr>
      <w:bookmarkStart w:id="2251" w:name="_Toc522809962"/>
      <w:bookmarkStart w:id="2252" w:name="_Toc19389262"/>
      <w:bookmarkStart w:id="2253" w:name="_Toc19392759"/>
      <w:r>
        <w:rPr>
          <w:rFonts w:hint="cs"/>
          <w:rtl/>
        </w:rPr>
        <w:t>קושית הרשב"א והר"ן דמ"ש ריעותא דנשמט הגף מזאב דתלינן לקולא</w:t>
      </w:r>
      <w:bookmarkEnd w:id="2251"/>
      <w:bookmarkEnd w:id="2252"/>
      <w:bookmarkEnd w:id="2253"/>
    </w:p>
    <w:p w14:paraId="62E34408" w14:textId="77777777" w:rsidR="00852065" w:rsidRDefault="00852065" w:rsidP="00223668">
      <w:pPr>
        <w:pStyle w:val="a0"/>
        <w:rPr>
          <w:rtl/>
        </w:rPr>
      </w:pPr>
      <w:r>
        <w:rPr>
          <w:rFonts w:hint="cs"/>
          <w:rtl/>
        </w:rPr>
        <w:t xml:space="preserve">והקשו </w:t>
      </w:r>
      <w:r w:rsidRPr="00954D98">
        <w:rPr>
          <w:rStyle w:val="af9"/>
          <w:rFonts w:hint="cs"/>
          <w:rtl/>
        </w:rPr>
        <w:t>הרשב"א והר"ן</w:t>
      </w:r>
      <w:r>
        <w:rPr>
          <w:rFonts w:hint="cs"/>
          <w:rtl/>
        </w:rPr>
        <w:t xml:space="preserve"> דמ"ש מזאב דתלינן לקולא, וכן מ"ש מהגמ' לקמן </w:t>
      </w:r>
      <w:r w:rsidRPr="007B5BF0">
        <w:rPr>
          <w:rStyle w:val="af7"/>
          <w:rFonts w:eastAsia="Guttman Hodes" w:hint="cs"/>
          <w:rtl/>
        </w:rPr>
        <w:t>(מט.)</w:t>
      </w:r>
      <w:r>
        <w:rPr>
          <w:rFonts w:hint="cs"/>
          <w:rtl/>
        </w:rPr>
        <w:t xml:space="preserve"> דבנמצא נקב בראיה במקום שהטבח ממשמש בידו, תלינן לקולא.</w:t>
      </w:r>
    </w:p>
    <w:p w14:paraId="43B5DCC5" w14:textId="77777777" w:rsidR="00852065" w:rsidRDefault="00852065" w:rsidP="006D6D32">
      <w:pPr>
        <w:pStyle w:val="a3"/>
        <w:rPr>
          <w:rtl/>
        </w:rPr>
      </w:pPr>
      <w:bookmarkStart w:id="2254" w:name="_Toc522809963"/>
      <w:bookmarkStart w:id="2255" w:name="_Toc19389263"/>
      <w:bookmarkStart w:id="2256" w:name="_Toc19392760"/>
      <w:r>
        <w:rPr>
          <w:rFonts w:hint="cs"/>
          <w:rtl/>
        </w:rPr>
        <w:t>ביאור רבינו יונה דדוקא בזאב שיש לפנינו במה לתלות תלינן להיתר</w:t>
      </w:r>
      <w:bookmarkEnd w:id="2254"/>
      <w:bookmarkEnd w:id="2255"/>
      <w:bookmarkEnd w:id="2256"/>
    </w:p>
    <w:p w14:paraId="32E340B1" w14:textId="77777777" w:rsidR="00852065" w:rsidRDefault="00852065" w:rsidP="00223668">
      <w:pPr>
        <w:pStyle w:val="a0"/>
        <w:rPr>
          <w:rtl/>
        </w:rPr>
      </w:pPr>
      <w:bookmarkStart w:id="2257" w:name="_Ref522727975"/>
      <w:r>
        <w:rPr>
          <w:rFonts w:hint="cs"/>
          <w:rtl/>
        </w:rPr>
        <w:t xml:space="preserve">ותירצו </w:t>
      </w:r>
      <w:r w:rsidRPr="005A09D4">
        <w:rPr>
          <w:rStyle w:val="af9"/>
          <w:rFonts w:hint="cs"/>
          <w:rtl/>
        </w:rPr>
        <w:t>הרשב"א והר"ן</w:t>
      </w:r>
      <w:r>
        <w:rPr>
          <w:rFonts w:hint="cs"/>
          <w:rtl/>
        </w:rPr>
        <w:t xml:space="preserve"> בשם </w:t>
      </w:r>
      <w:r w:rsidRPr="005A09D4">
        <w:rPr>
          <w:rStyle w:val="af9"/>
          <w:rFonts w:hint="cs"/>
          <w:rtl/>
        </w:rPr>
        <w:t>רבינו יונה</w:t>
      </w:r>
      <w:r>
        <w:rPr>
          <w:rFonts w:hint="cs"/>
          <w:rtl/>
        </w:rPr>
        <w:t xml:space="preserve"> דבזאב ובידא דטבחא יש דבר לתלות בו להיתר, ואין דבר לתלות בו לאיסור, אבל בנשמט גף העוף שאין במה לתלות להיתר, תלינן לאיסור.</w:t>
      </w:r>
      <w:bookmarkEnd w:id="2257"/>
    </w:p>
    <w:p w14:paraId="533598F2" w14:textId="77777777" w:rsidR="007B72B8" w:rsidRPr="007B72B8" w:rsidRDefault="007B72B8" w:rsidP="006D6D32">
      <w:pPr>
        <w:pStyle w:val="a3"/>
        <w:rPr>
          <w:rtl/>
        </w:rPr>
      </w:pPr>
    </w:p>
    <w:p w14:paraId="4A39632A" w14:textId="77777777" w:rsidR="00852065" w:rsidRDefault="00852065" w:rsidP="006D6D32">
      <w:pPr>
        <w:pStyle w:val="a3"/>
        <w:rPr>
          <w:rtl/>
        </w:rPr>
      </w:pPr>
      <w:bookmarkStart w:id="2258" w:name="_Toc522809964"/>
      <w:bookmarkStart w:id="2259" w:name="_Toc19389264"/>
      <w:bookmarkStart w:id="2260" w:name="_Toc19392761"/>
      <w:r>
        <w:rPr>
          <w:rFonts w:hint="cs"/>
          <w:rtl/>
        </w:rPr>
        <w:t>דברי הרשב"א דבמקום שיש תליה שנשמט הגף לאחר שחיטה תלינן כמו בזאב</w:t>
      </w:r>
      <w:bookmarkEnd w:id="2258"/>
      <w:bookmarkEnd w:id="2259"/>
      <w:bookmarkEnd w:id="2260"/>
    </w:p>
    <w:p w14:paraId="169E27A3" w14:textId="77777777" w:rsidR="00852065" w:rsidRDefault="00852065" w:rsidP="00223668">
      <w:pPr>
        <w:pStyle w:val="a0"/>
        <w:rPr>
          <w:rtl/>
        </w:rPr>
      </w:pPr>
      <w:bookmarkStart w:id="2261" w:name="_Ref522699260"/>
      <w:r>
        <w:rPr>
          <w:rFonts w:hint="cs"/>
          <w:rtl/>
        </w:rPr>
        <w:t xml:space="preserve">אך הוסיף </w:t>
      </w:r>
      <w:r w:rsidRPr="00862B44">
        <w:rPr>
          <w:rStyle w:val="af9"/>
          <w:rFonts w:hint="cs"/>
          <w:rtl/>
        </w:rPr>
        <w:t>הרשב"א</w:t>
      </w:r>
      <w:r>
        <w:rPr>
          <w:rFonts w:hint="cs"/>
          <w:rtl/>
        </w:rPr>
        <w:t xml:space="preserve"> דבמקום שיש אפשרות לתלות להיתר, כגון שאחר השחיטה דרסו על העוף, או שפרכס ונלחץ על הקיר, ואמדינן דיתכן דעי"ז נשמטה גפו, דתלינן לקולא כמו בזאב.</w:t>
      </w:r>
      <w:bookmarkEnd w:id="2261"/>
    </w:p>
    <w:p w14:paraId="4C6368D6" w14:textId="77777777" w:rsidR="00852065" w:rsidRDefault="00852065" w:rsidP="00BF39B2">
      <w:pPr>
        <w:pStyle w:val="1"/>
        <w:rPr>
          <w:rtl/>
        </w:rPr>
      </w:pPr>
      <w:bookmarkStart w:id="2262" w:name="_Toc522790297"/>
      <w:bookmarkStart w:id="2263" w:name="_Toc522800796"/>
      <w:bookmarkStart w:id="2264" w:name="_Toc522800904"/>
      <w:bookmarkStart w:id="2265" w:name="_Toc522809965"/>
      <w:bookmarkStart w:id="2266" w:name="_Toc19389265"/>
      <w:bookmarkStart w:id="2267" w:name="_Toc19392762"/>
      <w:r>
        <w:rPr>
          <w:rFonts w:hint="cs"/>
          <w:rtl/>
        </w:rPr>
        <w:t>ספק הרשב"א בריעותא מחיים</w:t>
      </w:r>
      <w:r w:rsidRPr="009B2AA7">
        <w:rPr>
          <w:rFonts w:hint="cs"/>
          <w:rtl/>
        </w:rPr>
        <w:t xml:space="preserve"> </w:t>
      </w:r>
      <w:r>
        <w:rPr>
          <w:rFonts w:hint="cs"/>
          <w:rtl/>
        </w:rPr>
        <w:t>ויש במה לתלות</w:t>
      </w:r>
      <w:bookmarkEnd w:id="2262"/>
      <w:bookmarkEnd w:id="2263"/>
      <w:bookmarkEnd w:id="2264"/>
      <w:bookmarkEnd w:id="2265"/>
      <w:bookmarkEnd w:id="2266"/>
      <w:bookmarkEnd w:id="2267"/>
    </w:p>
    <w:p w14:paraId="1CB9C4AB" w14:textId="77777777" w:rsidR="00852065" w:rsidRDefault="00852065" w:rsidP="006D6D32">
      <w:pPr>
        <w:pStyle w:val="a3"/>
        <w:rPr>
          <w:rtl/>
        </w:rPr>
      </w:pPr>
      <w:bookmarkStart w:id="2268" w:name="_Toc522809966"/>
      <w:bookmarkStart w:id="2269" w:name="_Toc19389266"/>
      <w:bookmarkStart w:id="2270" w:name="_Toc19392763"/>
      <w:r>
        <w:rPr>
          <w:rFonts w:hint="cs"/>
          <w:rtl/>
        </w:rPr>
        <w:t>ספק הרשב"א בחרותא שהיא ריעותא מחיים ויש במה לתלות</w:t>
      </w:r>
      <w:bookmarkEnd w:id="2268"/>
      <w:bookmarkEnd w:id="2269"/>
      <w:bookmarkEnd w:id="2270"/>
    </w:p>
    <w:p w14:paraId="1DBA8F51" w14:textId="77777777" w:rsidR="00852065" w:rsidRDefault="00852065" w:rsidP="00223668">
      <w:pPr>
        <w:pStyle w:val="a0"/>
        <w:rPr>
          <w:rtl/>
        </w:rPr>
      </w:pPr>
      <w:bookmarkStart w:id="2271" w:name="_Ref522721144"/>
      <w:r>
        <w:rPr>
          <w:rFonts w:hint="cs"/>
          <w:rtl/>
        </w:rPr>
        <w:t xml:space="preserve">בענין "חרותא" </w:t>
      </w:r>
      <w:r w:rsidRPr="009B2AA7">
        <w:rPr>
          <w:rStyle w:val="af7"/>
          <w:rFonts w:eastAsia="Guttman Hodes" w:hint="cs"/>
          <w:rtl/>
        </w:rPr>
        <w:t>(לקמן נה.)</w:t>
      </w:r>
      <w:r>
        <w:rPr>
          <w:rFonts w:hint="cs"/>
          <w:rtl/>
        </w:rPr>
        <w:t xml:space="preserve"> דהיא בהמה שצמקה הריאה שלה, ויש ספק אמאי צמקה, דבצמקה בידי אדם היא טריפה, ובידי שמים היא כשרה, כתב </w:t>
      </w:r>
      <w:r w:rsidRPr="009B2AA7">
        <w:rPr>
          <w:rStyle w:val="af9"/>
          <w:rFonts w:hint="cs"/>
          <w:rtl/>
        </w:rPr>
        <w:t>הרשב"א</w:t>
      </w:r>
      <w:r w:rsidRPr="009B2AA7">
        <w:rPr>
          <w:rStyle w:val="af7"/>
          <w:rFonts w:eastAsia="Guttman Hodes" w:hint="cs"/>
          <w:rtl/>
        </w:rPr>
        <w:t xml:space="preserve"> (לקמן נה. ד"ה ת"ש)</w:t>
      </w:r>
      <w:r>
        <w:rPr>
          <w:rFonts w:hint="cs"/>
          <w:rtl/>
        </w:rPr>
        <w:t xml:space="preserve"> דיש להסתפק במקום שראינו שרדף אחריה ארי ואפשר לתלות דמחמת כן צמקה ואינה טריפה, האם כיון שיש לנו במה לתלות תלינן, כמו  דדתלינן בזאב ובידא דטבחא, או דכל מה שאפשר לתלות זהו דוקא בספק אחר השחיטה, דהיא בחזקת היתר, אבל בספק שנולד בה מחיים, לא תלינן אף כשיש במה לתלות, דספק דאו' לחומרא.</w:t>
      </w:r>
      <w:bookmarkEnd w:id="2271"/>
      <w:r>
        <w:rPr>
          <w:rFonts w:hint="cs"/>
          <w:rtl/>
        </w:rPr>
        <w:t xml:space="preserve"> </w:t>
      </w:r>
    </w:p>
    <w:p w14:paraId="1918DCF0" w14:textId="77777777" w:rsidR="00852065" w:rsidRDefault="00852065" w:rsidP="00BF39B2">
      <w:pPr>
        <w:pStyle w:val="1"/>
        <w:rPr>
          <w:rtl/>
        </w:rPr>
      </w:pPr>
      <w:bookmarkStart w:id="2272" w:name="_Toc522790298"/>
      <w:bookmarkStart w:id="2273" w:name="_Toc522800797"/>
      <w:bookmarkStart w:id="2274" w:name="_Toc522800905"/>
      <w:bookmarkStart w:id="2275" w:name="_Toc522809967"/>
      <w:bookmarkStart w:id="2276" w:name="_Toc19389267"/>
      <w:bookmarkStart w:id="2277" w:name="_Toc19392764"/>
      <w:r>
        <w:rPr>
          <w:rFonts w:hint="cs"/>
          <w:rtl/>
        </w:rPr>
        <w:t>דברי ה</w:t>
      </w:r>
      <w:r w:rsidR="00345400">
        <w:rPr>
          <w:rFonts w:hint="cs"/>
          <w:rtl/>
        </w:rPr>
        <w:t>פלתי</w:t>
      </w:r>
      <w:r>
        <w:rPr>
          <w:rFonts w:hint="cs"/>
          <w:rtl/>
        </w:rPr>
        <w:t xml:space="preserve"> דאף לרבינו יונה מותר</w:t>
      </w:r>
      <w:r w:rsidRPr="003A038C">
        <w:rPr>
          <w:rFonts w:hint="cs"/>
          <w:rtl/>
        </w:rPr>
        <w:t xml:space="preserve"> </w:t>
      </w:r>
      <w:r>
        <w:rPr>
          <w:rFonts w:hint="cs"/>
          <w:rtl/>
        </w:rPr>
        <w:t>בספק השקול</w:t>
      </w:r>
      <w:bookmarkEnd w:id="2272"/>
      <w:bookmarkEnd w:id="2273"/>
      <w:bookmarkEnd w:id="2274"/>
      <w:bookmarkEnd w:id="2275"/>
      <w:bookmarkEnd w:id="2276"/>
      <w:bookmarkEnd w:id="2277"/>
    </w:p>
    <w:p w14:paraId="69E093BD" w14:textId="77777777" w:rsidR="00852065" w:rsidRDefault="00852065" w:rsidP="006D6D32">
      <w:pPr>
        <w:pStyle w:val="a3"/>
        <w:rPr>
          <w:rtl/>
        </w:rPr>
      </w:pPr>
      <w:bookmarkStart w:id="2278" w:name="_Toc522809968"/>
      <w:bookmarkStart w:id="2279" w:name="_Toc19389268"/>
      <w:bookmarkStart w:id="2280" w:name="_Toc19392765"/>
      <w:r>
        <w:rPr>
          <w:rFonts w:hint="cs"/>
          <w:rtl/>
        </w:rPr>
        <w:t>דברי ה</w:t>
      </w:r>
      <w:r w:rsidR="00345400">
        <w:rPr>
          <w:rFonts w:hint="cs"/>
          <w:rtl/>
        </w:rPr>
        <w:t>פלתי</w:t>
      </w:r>
      <w:r>
        <w:rPr>
          <w:rFonts w:hint="cs"/>
          <w:rtl/>
        </w:rPr>
        <w:t xml:space="preserve"> דלש"ך ולפר"ח לדעת רבינו יונה החילוק בין לפני שחיטה ללאחריה הוא בבדיקה</w:t>
      </w:r>
      <w:bookmarkEnd w:id="2278"/>
      <w:bookmarkEnd w:id="2279"/>
      <w:bookmarkEnd w:id="2280"/>
    </w:p>
    <w:p w14:paraId="6790AE79" w14:textId="77777777" w:rsidR="00852065" w:rsidRDefault="00852065" w:rsidP="00223668">
      <w:pPr>
        <w:pStyle w:val="a0"/>
        <w:rPr>
          <w:rtl/>
        </w:rPr>
      </w:pPr>
      <w:r>
        <w:rPr>
          <w:rFonts w:hint="cs"/>
          <w:rtl/>
        </w:rPr>
        <w:t xml:space="preserve">כתב </w:t>
      </w:r>
      <w:r w:rsidRPr="00681E75">
        <w:rPr>
          <w:rStyle w:val="af9"/>
          <w:rFonts w:hint="cs"/>
          <w:rtl/>
        </w:rPr>
        <w:t>ה</w:t>
      </w:r>
      <w:r w:rsidR="00345400">
        <w:rPr>
          <w:rStyle w:val="af9"/>
          <w:rFonts w:hint="cs"/>
          <w:rtl/>
        </w:rPr>
        <w:t>פלתי</w:t>
      </w:r>
      <w:r w:rsidRPr="00681E75">
        <w:rPr>
          <w:rStyle w:val="af9"/>
          <w:rFonts w:hint="cs"/>
          <w:rtl/>
        </w:rPr>
        <w:t xml:space="preserve"> </w:t>
      </w:r>
      <w:r w:rsidRPr="00681E75">
        <w:rPr>
          <w:rStyle w:val="af7"/>
          <w:rFonts w:eastAsia="Guttman Hodes" w:hint="cs"/>
          <w:rtl/>
        </w:rPr>
        <w:t>(נ' א' ד"ה אבל הש"ך)</w:t>
      </w:r>
      <w:r>
        <w:rPr>
          <w:rFonts w:hint="cs"/>
          <w:rtl/>
        </w:rPr>
        <w:t xml:space="preserve"> </w:t>
      </w:r>
      <w:r w:rsidRPr="00681E75">
        <w:rPr>
          <w:rStyle w:val="af9"/>
          <w:rFonts w:hint="cs"/>
          <w:rtl/>
        </w:rPr>
        <w:t>דהש"ך</w:t>
      </w:r>
      <w:r>
        <w:rPr>
          <w:rFonts w:hint="cs"/>
          <w:rtl/>
        </w:rPr>
        <w:t xml:space="preserve"> </w:t>
      </w:r>
      <w:r w:rsidRPr="00681E75">
        <w:rPr>
          <w:rStyle w:val="af7"/>
          <w:rFonts w:eastAsia="Guttman Hodes" w:hint="cs"/>
          <w:rtl/>
        </w:rPr>
        <w:t>(נ' ג')</w:t>
      </w:r>
      <w:r>
        <w:rPr>
          <w:rFonts w:hint="cs"/>
          <w:rtl/>
        </w:rPr>
        <w:t xml:space="preserve"> </w:t>
      </w:r>
      <w:r w:rsidRPr="00681E75">
        <w:rPr>
          <w:rStyle w:val="af9"/>
          <w:rFonts w:hint="cs"/>
          <w:rtl/>
        </w:rPr>
        <w:t>והפר"ח</w:t>
      </w:r>
      <w:r>
        <w:rPr>
          <w:rFonts w:hint="cs"/>
          <w:rtl/>
        </w:rPr>
        <w:t xml:space="preserve"> </w:t>
      </w:r>
      <w:r w:rsidRPr="00681E75">
        <w:rPr>
          <w:rStyle w:val="af7"/>
          <w:rFonts w:eastAsia="Guttman Hodes" w:hint="cs"/>
          <w:rtl/>
        </w:rPr>
        <w:t>(כ"ט א')</w:t>
      </w:r>
      <w:r>
        <w:rPr>
          <w:rFonts w:hint="cs"/>
          <w:rtl/>
        </w:rPr>
        <w:t xml:space="preserve"> ביארו בדעת </w:t>
      </w:r>
      <w:r w:rsidRPr="00681E75">
        <w:rPr>
          <w:rStyle w:val="af9"/>
          <w:rFonts w:hint="cs"/>
          <w:rtl/>
        </w:rPr>
        <w:t>הרשב"א והר"ן</w:t>
      </w:r>
      <w:r>
        <w:rPr>
          <w:rFonts w:hint="cs"/>
          <w:rtl/>
        </w:rPr>
        <w:t xml:space="preserve"> בשם </w:t>
      </w:r>
      <w:r w:rsidRPr="00681E75">
        <w:rPr>
          <w:rStyle w:val="af9"/>
          <w:rFonts w:hint="cs"/>
          <w:rtl/>
        </w:rPr>
        <w:t>רבינו יונה</w:t>
      </w:r>
      <w:r>
        <w:rPr>
          <w:rFonts w:hint="cs"/>
          <w:rtl/>
        </w:rPr>
        <w:t xml:space="preserve"> שאף בספק טריפה, הבהמה בחזקת איסור במקום שאין רגלים לדבר להתיר, וכתב </w:t>
      </w:r>
      <w:r w:rsidRPr="00301EBA">
        <w:rPr>
          <w:rStyle w:val="af9"/>
          <w:rFonts w:hint="cs"/>
          <w:rtl/>
        </w:rPr>
        <w:t>ה</w:t>
      </w:r>
      <w:r w:rsidR="00345400">
        <w:rPr>
          <w:rStyle w:val="af9"/>
          <w:rFonts w:hint="cs"/>
          <w:rtl/>
        </w:rPr>
        <w:t>פלתי</w:t>
      </w:r>
      <w:r>
        <w:rPr>
          <w:rFonts w:hint="cs"/>
          <w:rtl/>
        </w:rPr>
        <w:t xml:space="preserve"> דלדבריהם צ"ל דלדעת </w:t>
      </w:r>
      <w:r w:rsidRPr="00301EBA">
        <w:rPr>
          <w:rStyle w:val="af9"/>
          <w:rFonts w:hint="cs"/>
          <w:rtl/>
        </w:rPr>
        <w:t>רבינו יונה</w:t>
      </w:r>
      <w:r>
        <w:rPr>
          <w:rFonts w:hint="cs"/>
          <w:rtl/>
        </w:rPr>
        <w:t xml:space="preserve"> כל החילוק בדברי רב הונא בין לפני השחיטה ללאחר השחיטה, הוא לענין דין בדיקה, דבשחיטה צריך לבדוק, ובטריפה א"צ לבדוק דהיא בחזקת היתר.</w:t>
      </w:r>
    </w:p>
    <w:p w14:paraId="3482389E" w14:textId="77777777" w:rsidR="00852065" w:rsidRDefault="00852065" w:rsidP="006D6D32">
      <w:pPr>
        <w:pStyle w:val="a3"/>
        <w:rPr>
          <w:rtl/>
        </w:rPr>
      </w:pPr>
      <w:bookmarkStart w:id="2281" w:name="_Toc522809969"/>
      <w:bookmarkStart w:id="2282" w:name="_Toc19389269"/>
      <w:bookmarkStart w:id="2283" w:name="_Toc19392766"/>
      <w:r>
        <w:rPr>
          <w:rFonts w:hint="cs"/>
          <w:rtl/>
        </w:rPr>
        <w:t>קושית ה</w:t>
      </w:r>
      <w:r w:rsidR="00345400">
        <w:rPr>
          <w:rFonts w:hint="cs"/>
          <w:rtl/>
        </w:rPr>
        <w:t>פלתי</w:t>
      </w:r>
      <w:r>
        <w:rPr>
          <w:rFonts w:hint="cs"/>
          <w:rtl/>
        </w:rPr>
        <w:t xml:space="preserve"> דלביאור הש"ך הרשב"א סותר בנשמט הגף את מה שהתיר בגבינות</w:t>
      </w:r>
      <w:bookmarkEnd w:id="2281"/>
      <w:bookmarkEnd w:id="2282"/>
      <w:bookmarkEnd w:id="2283"/>
    </w:p>
    <w:p w14:paraId="02C2C504" w14:textId="77777777" w:rsidR="00852065" w:rsidRDefault="00852065" w:rsidP="00223668">
      <w:pPr>
        <w:pStyle w:val="a0"/>
        <w:rPr>
          <w:rtl/>
        </w:rPr>
      </w:pPr>
      <w:r>
        <w:rPr>
          <w:rFonts w:hint="cs"/>
          <w:rtl/>
        </w:rPr>
        <w:t xml:space="preserve">אך הקשה </w:t>
      </w:r>
      <w:r w:rsidRPr="00301EBA">
        <w:rPr>
          <w:rStyle w:val="af9"/>
          <w:rFonts w:hint="cs"/>
          <w:rtl/>
        </w:rPr>
        <w:t>ה</w:t>
      </w:r>
      <w:r w:rsidR="00345400">
        <w:rPr>
          <w:rStyle w:val="af9"/>
          <w:rFonts w:hint="cs"/>
          <w:rtl/>
        </w:rPr>
        <w:t>פלתי</w:t>
      </w:r>
      <w:r>
        <w:rPr>
          <w:rFonts w:hint="cs"/>
          <w:rtl/>
        </w:rPr>
        <w:t xml:space="preserve"> דא"כ דברי </w:t>
      </w:r>
      <w:r w:rsidRPr="00301EBA">
        <w:rPr>
          <w:rStyle w:val="af9"/>
          <w:rFonts w:hint="cs"/>
          <w:rtl/>
        </w:rPr>
        <w:t>הרשב"א</w:t>
      </w:r>
      <w:r>
        <w:rPr>
          <w:rFonts w:hint="cs"/>
          <w:rtl/>
        </w:rPr>
        <w:t xml:space="preserve"> דאוסר בספק השקול, סותרים לדבריו דהתיר בגבינות מדין חזקה מכח רוב, דאי לענין הגבינות היא בחזקת היתר אף שנמצאה טריפה, היאך אפש"ל דבספק השקול היא בחזקת איסור.</w:t>
      </w:r>
    </w:p>
    <w:p w14:paraId="050CE61A" w14:textId="77777777" w:rsidR="00852065" w:rsidRDefault="00852065" w:rsidP="006D6D32">
      <w:pPr>
        <w:pStyle w:val="a3"/>
        <w:rPr>
          <w:rtl/>
        </w:rPr>
      </w:pPr>
      <w:bookmarkStart w:id="2284" w:name="_Toc522809970"/>
      <w:bookmarkStart w:id="2285" w:name="_Toc19389270"/>
      <w:bookmarkStart w:id="2286" w:name="_Toc19392767"/>
      <w:r>
        <w:rPr>
          <w:rFonts w:hint="cs"/>
          <w:rtl/>
        </w:rPr>
        <w:t>ביאור ה</w:t>
      </w:r>
      <w:r w:rsidR="00345400">
        <w:rPr>
          <w:rFonts w:hint="cs"/>
          <w:rtl/>
        </w:rPr>
        <w:t>פלתי</w:t>
      </w:r>
      <w:r>
        <w:rPr>
          <w:rFonts w:hint="cs"/>
          <w:rtl/>
        </w:rPr>
        <w:t xml:space="preserve"> והחזו"א ברבינו יונה דדוקא במקום שאין סברא שאירע כן אחר השחיטה אסור</w:t>
      </w:r>
      <w:bookmarkEnd w:id="2284"/>
      <w:bookmarkEnd w:id="2285"/>
      <w:bookmarkEnd w:id="2286"/>
    </w:p>
    <w:p w14:paraId="5AE4170A" w14:textId="77777777" w:rsidR="00852065" w:rsidRDefault="00852065" w:rsidP="00223668">
      <w:pPr>
        <w:pStyle w:val="a0"/>
        <w:rPr>
          <w:rtl/>
        </w:rPr>
      </w:pPr>
      <w:bookmarkStart w:id="2287" w:name="_Ref522809640"/>
      <w:r w:rsidRPr="004A45E3">
        <w:rPr>
          <w:rFonts w:hint="cs"/>
          <w:rtl/>
        </w:rPr>
        <w:t xml:space="preserve">אלא כתב </w:t>
      </w:r>
      <w:r w:rsidRPr="00197DDF">
        <w:rPr>
          <w:rStyle w:val="af9"/>
          <w:rFonts w:hint="cs"/>
          <w:rtl/>
        </w:rPr>
        <w:t>ה</w:t>
      </w:r>
      <w:r w:rsidR="00345400">
        <w:rPr>
          <w:rStyle w:val="af9"/>
          <w:rFonts w:hint="cs"/>
          <w:rtl/>
        </w:rPr>
        <w:t>פלתי</w:t>
      </w:r>
      <w:r w:rsidRPr="004A45E3">
        <w:rPr>
          <w:rFonts w:hint="cs"/>
          <w:rtl/>
        </w:rPr>
        <w:t xml:space="preserve"> </w:t>
      </w:r>
      <w:r w:rsidRPr="00197DDF">
        <w:rPr>
          <w:rStyle w:val="af7"/>
          <w:rFonts w:eastAsia="Guttman Hodes" w:hint="cs"/>
          <w:rtl/>
        </w:rPr>
        <w:t xml:space="preserve">(נ' א' ד"ה  ולכן ברור) </w:t>
      </w:r>
      <w:r>
        <w:rPr>
          <w:rFonts w:hint="cs"/>
          <w:rtl/>
        </w:rPr>
        <w:t xml:space="preserve">דכל דברי </w:t>
      </w:r>
      <w:r w:rsidRPr="00197DDF">
        <w:rPr>
          <w:rStyle w:val="af9"/>
          <w:rFonts w:hint="cs"/>
          <w:rtl/>
        </w:rPr>
        <w:t>רבינו יונה</w:t>
      </w:r>
      <w:r>
        <w:rPr>
          <w:rFonts w:hint="cs"/>
          <w:rtl/>
        </w:rPr>
        <w:t xml:space="preserve"> דבנשבר הגף מעמידים בחזקת איסור, הוא דוקא בנשבר הגף וכדו' שלא מסתבר לומר שאירע כן לאחר השחיטה, ולכן כתב </w:t>
      </w:r>
      <w:r w:rsidRPr="00197DDF">
        <w:rPr>
          <w:rStyle w:val="af9"/>
          <w:rFonts w:hint="cs"/>
          <w:rtl/>
        </w:rPr>
        <w:t>הרשב"א</w:t>
      </w:r>
      <w:r>
        <w:rPr>
          <w:rFonts w:hint="cs"/>
          <w:rtl/>
        </w:rPr>
        <w:t xml:space="preserve"> </w:t>
      </w:r>
      <w:r w:rsidRPr="00230C18">
        <w:rPr>
          <w:rStyle w:val="af7"/>
          <w:rFonts w:eastAsia="Guttman Hodes" w:hint="cs"/>
          <w:rtl/>
        </w:rPr>
        <w:t xml:space="preserve">(עי' אות </w:t>
      </w:r>
      <w:r w:rsidRPr="00230C18">
        <w:rPr>
          <w:rStyle w:val="af7"/>
          <w:rFonts w:eastAsia="Guttman Hodes"/>
          <w:rtl/>
        </w:rPr>
        <w:fldChar w:fldCharType="begin"/>
      </w:r>
      <w:r w:rsidRPr="00230C18">
        <w:rPr>
          <w:rStyle w:val="af7"/>
          <w:rFonts w:eastAsia="Guttman Hodes"/>
          <w:rtl/>
        </w:rPr>
        <w:instrText xml:space="preserve"> </w:instrText>
      </w:r>
      <w:r w:rsidRPr="00230C18">
        <w:rPr>
          <w:rStyle w:val="af7"/>
          <w:rFonts w:eastAsia="Guttman Hodes" w:hint="cs"/>
        </w:rPr>
        <w:instrText>REF</w:instrText>
      </w:r>
      <w:r w:rsidRPr="00230C18">
        <w:rPr>
          <w:rStyle w:val="af7"/>
          <w:rFonts w:eastAsia="Guttman Hodes" w:hint="cs"/>
          <w:rtl/>
        </w:rPr>
        <w:instrText xml:space="preserve"> _</w:instrText>
      </w:r>
      <w:r w:rsidRPr="00230C18">
        <w:rPr>
          <w:rStyle w:val="af7"/>
          <w:rFonts w:eastAsia="Guttman Hodes" w:hint="cs"/>
        </w:rPr>
        <w:instrText>Ref522699260 \r \h</w:instrText>
      </w:r>
      <w:r w:rsidRPr="00230C18">
        <w:rPr>
          <w:rStyle w:val="af7"/>
          <w:rFonts w:eastAsia="Guttman Hodes"/>
          <w:rtl/>
        </w:rPr>
        <w:instrText xml:space="preserve"> </w:instrText>
      </w:r>
      <w:r w:rsidRPr="00230C18">
        <w:rPr>
          <w:rStyle w:val="af7"/>
          <w:rFonts w:eastAsia="Guttman Hodes"/>
          <w:rtl/>
        </w:rPr>
      </w:r>
      <w:r w:rsidRPr="00230C18">
        <w:rPr>
          <w:rStyle w:val="af7"/>
          <w:rFonts w:eastAsia="Guttman Hodes"/>
          <w:rtl/>
        </w:rPr>
        <w:fldChar w:fldCharType="separate"/>
      </w:r>
      <w:r w:rsidR="00345400">
        <w:rPr>
          <w:rStyle w:val="af7"/>
          <w:rFonts w:eastAsia="Guttman Hodes"/>
          <w:cs/>
        </w:rPr>
        <w:t>‎</w:t>
      </w:r>
      <w:r w:rsidR="00345400">
        <w:rPr>
          <w:rStyle w:val="af7"/>
          <w:rFonts w:eastAsia="Guttman Hodes"/>
          <w:rtl/>
        </w:rPr>
        <w:t>נו)</w:t>
      </w:r>
      <w:r w:rsidRPr="00230C18">
        <w:rPr>
          <w:rStyle w:val="af7"/>
          <w:rFonts w:eastAsia="Guttman Hodes"/>
          <w:rtl/>
        </w:rPr>
        <w:fldChar w:fldCharType="end"/>
      </w:r>
      <w:r>
        <w:rPr>
          <w:rFonts w:hint="cs"/>
          <w:rtl/>
        </w:rPr>
        <w:t xml:space="preserve"> דבמקום שלאחר השחיטה דרסו על העוף מותר, כיון שיש סיבה לתלות שהוא לאחר השחיטה. וכעי"ז כתב </w:t>
      </w:r>
      <w:r w:rsidRPr="0041584B">
        <w:rPr>
          <w:rStyle w:val="af9"/>
          <w:rFonts w:hint="cs"/>
          <w:rtl/>
        </w:rPr>
        <w:t>החזו"א</w:t>
      </w:r>
      <w:r>
        <w:rPr>
          <w:rFonts w:hint="cs"/>
          <w:rtl/>
        </w:rPr>
        <w:t xml:space="preserve"> </w:t>
      </w:r>
      <w:r w:rsidRPr="0041584B">
        <w:rPr>
          <w:rStyle w:val="af7"/>
          <w:rFonts w:eastAsia="Guttman Hodes" w:hint="cs"/>
          <w:rtl/>
        </w:rPr>
        <w:t>(יו"ד ד' א')</w:t>
      </w:r>
      <w:r>
        <w:rPr>
          <w:rFonts w:hint="cs"/>
          <w:rtl/>
        </w:rPr>
        <w:t>.</w:t>
      </w:r>
      <w:bookmarkEnd w:id="2287"/>
    </w:p>
    <w:p w14:paraId="7B54AFD0" w14:textId="77777777" w:rsidR="00852065" w:rsidRPr="00230C18" w:rsidRDefault="00852065" w:rsidP="006D6D32">
      <w:pPr>
        <w:pStyle w:val="a3"/>
      </w:pPr>
      <w:bookmarkStart w:id="2288" w:name="_Toc522809971"/>
      <w:bookmarkStart w:id="2289" w:name="_Toc19389271"/>
      <w:bookmarkStart w:id="2290" w:name="_Toc19392768"/>
      <w:r>
        <w:rPr>
          <w:rFonts w:hint="cs"/>
          <w:rtl/>
        </w:rPr>
        <w:t>דברי ה</w:t>
      </w:r>
      <w:r w:rsidR="00345400">
        <w:rPr>
          <w:rFonts w:hint="cs"/>
          <w:rtl/>
        </w:rPr>
        <w:t>פלתי</w:t>
      </w:r>
      <w:r>
        <w:rPr>
          <w:rFonts w:hint="cs"/>
          <w:rtl/>
        </w:rPr>
        <w:t xml:space="preserve"> דבספק השקול אף לרבינו יונה כל שאין ריעותא מחיים מותר</w:t>
      </w:r>
      <w:bookmarkEnd w:id="2288"/>
      <w:bookmarkEnd w:id="2289"/>
      <w:bookmarkEnd w:id="2290"/>
    </w:p>
    <w:p w14:paraId="7AE9C3A2" w14:textId="77777777" w:rsidR="00852065" w:rsidRDefault="00852065" w:rsidP="00223668">
      <w:pPr>
        <w:pStyle w:val="a0"/>
        <w:rPr>
          <w:rtl/>
        </w:rPr>
      </w:pPr>
      <w:r>
        <w:rPr>
          <w:rFonts w:hint="cs"/>
          <w:rtl/>
        </w:rPr>
        <w:t xml:space="preserve">אבל בספק השקול כתב </w:t>
      </w:r>
      <w:r w:rsidRPr="00230C18">
        <w:rPr>
          <w:rStyle w:val="af9"/>
          <w:rFonts w:hint="cs"/>
          <w:rtl/>
        </w:rPr>
        <w:t>ה</w:t>
      </w:r>
      <w:r w:rsidR="00345400">
        <w:rPr>
          <w:rStyle w:val="af9"/>
          <w:rFonts w:hint="cs"/>
          <w:rtl/>
        </w:rPr>
        <w:t>פלתי</w:t>
      </w:r>
      <w:r>
        <w:rPr>
          <w:rFonts w:hint="cs"/>
          <w:rtl/>
        </w:rPr>
        <w:t xml:space="preserve"> דאף לדעת </w:t>
      </w:r>
      <w:r w:rsidRPr="00230C18">
        <w:rPr>
          <w:rStyle w:val="af9"/>
          <w:rFonts w:hint="cs"/>
          <w:rtl/>
        </w:rPr>
        <w:t>רבינו יונה</w:t>
      </w:r>
      <w:r>
        <w:rPr>
          <w:rFonts w:hint="cs"/>
          <w:rtl/>
        </w:rPr>
        <w:t xml:space="preserve"> כל שאין בבהמה ריעותא מחיים מותר.</w:t>
      </w:r>
    </w:p>
    <w:p w14:paraId="75030E77" w14:textId="77777777" w:rsidR="00852065" w:rsidRDefault="00852065" w:rsidP="006D6D32">
      <w:pPr>
        <w:pStyle w:val="a3"/>
        <w:rPr>
          <w:rtl/>
        </w:rPr>
      </w:pPr>
      <w:bookmarkStart w:id="2291" w:name="_Toc522809972"/>
      <w:bookmarkStart w:id="2292" w:name="_Toc19389272"/>
      <w:bookmarkStart w:id="2293" w:name="_Toc19392769"/>
      <w:r>
        <w:rPr>
          <w:rFonts w:hint="cs"/>
          <w:rtl/>
        </w:rPr>
        <w:t>דחיית הבינת אדם דברשב"א מבואר דבכל ריעותא מחיים אסור ורק לאחר שחיטה</w:t>
      </w:r>
      <w:r w:rsidRPr="001B07D8">
        <w:rPr>
          <w:rFonts w:hint="cs"/>
          <w:rtl/>
        </w:rPr>
        <w:t xml:space="preserve"> </w:t>
      </w:r>
      <w:r>
        <w:rPr>
          <w:rFonts w:hint="cs"/>
          <w:rtl/>
        </w:rPr>
        <w:t>תלינן</w:t>
      </w:r>
      <w:bookmarkEnd w:id="2291"/>
      <w:bookmarkEnd w:id="2292"/>
      <w:bookmarkEnd w:id="2293"/>
    </w:p>
    <w:p w14:paraId="114EEBBC" w14:textId="77777777" w:rsidR="00852065" w:rsidRDefault="00852065" w:rsidP="00223668">
      <w:pPr>
        <w:pStyle w:val="a0"/>
        <w:rPr>
          <w:rtl/>
        </w:rPr>
      </w:pPr>
      <w:bookmarkStart w:id="2294" w:name="_Ref522809702"/>
      <w:r w:rsidRPr="005322D7">
        <w:rPr>
          <w:rStyle w:val="af9"/>
          <w:rFonts w:hint="cs"/>
          <w:rtl/>
        </w:rPr>
        <w:t>ובבינת אדם</w:t>
      </w:r>
      <w:r>
        <w:rPr>
          <w:rFonts w:hint="cs"/>
          <w:rtl/>
        </w:rPr>
        <w:t xml:space="preserve"> </w:t>
      </w:r>
      <w:r w:rsidRPr="00641F7A">
        <w:rPr>
          <w:rStyle w:val="af7"/>
          <w:rFonts w:eastAsia="Guttman Hodes" w:hint="cs"/>
          <w:rtl/>
        </w:rPr>
        <w:t>(רוב וחזקה ט"ז ד"ה ומזה מוכח)</w:t>
      </w:r>
      <w:r>
        <w:rPr>
          <w:rFonts w:hint="cs"/>
          <w:rtl/>
        </w:rPr>
        <w:t xml:space="preserve"> דחה את דברי </w:t>
      </w:r>
      <w:r w:rsidRPr="005322D7">
        <w:rPr>
          <w:rStyle w:val="af9"/>
          <w:rFonts w:hint="cs"/>
          <w:rtl/>
        </w:rPr>
        <w:t>ה</w:t>
      </w:r>
      <w:r w:rsidR="00345400">
        <w:rPr>
          <w:rStyle w:val="af9"/>
          <w:rFonts w:hint="cs"/>
          <w:rtl/>
        </w:rPr>
        <w:t>פלתי</w:t>
      </w:r>
      <w:r>
        <w:rPr>
          <w:rFonts w:hint="cs"/>
          <w:rtl/>
        </w:rPr>
        <w:t xml:space="preserve">, וכתב דמדברי </w:t>
      </w:r>
      <w:r w:rsidRPr="005322D7">
        <w:rPr>
          <w:rStyle w:val="af9"/>
          <w:rFonts w:hint="cs"/>
          <w:rtl/>
        </w:rPr>
        <w:t>הרשב"א בנדה</w:t>
      </w:r>
      <w:r>
        <w:rPr>
          <w:rFonts w:hint="cs"/>
          <w:rtl/>
        </w:rPr>
        <w:t xml:space="preserve"> </w:t>
      </w:r>
      <w:r w:rsidRPr="00641F7A">
        <w:rPr>
          <w:rStyle w:val="af7"/>
          <w:rFonts w:eastAsia="Guttman Hodes" w:hint="cs"/>
          <w:rtl/>
        </w:rPr>
        <w:t xml:space="preserve">(כא. ד"ה ורבנן) </w:t>
      </w:r>
      <w:r>
        <w:rPr>
          <w:rFonts w:hint="cs"/>
          <w:rtl/>
        </w:rPr>
        <w:t xml:space="preserve">מוכח דס"ל דבמקום ריעותא לא מעמידים על החזקה, עיי"ש בדבריו. ועוד הוכיח </w:t>
      </w:r>
      <w:r w:rsidRPr="005322D7">
        <w:rPr>
          <w:rStyle w:val="af9"/>
          <w:rFonts w:hint="cs"/>
          <w:rtl/>
        </w:rPr>
        <w:t>הבינת אדם</w:t>
      </w:r>
      <w:r>
        <w:rPr>
          <w:rFonts w:hint="cs"/>
          <w:rtl/>
        </w:rPr>
        <w:t xml:space="preserve"> דלא</w:t>
      </w:r>
      <w:r w:rsidRPr="005322D7">
        <w:rPr>
          <w:rStyle w:val="af9"/>
          <w:rFonts w:hint="cs"/>
          <w:rtl/>
        </w:rPr>
        <w:t xml:space="preserve"> כה</w:t>
      </w:r>
      <w:r w:rsidR="00345400">
        <w:rPr>
          <w:rStyle w:val="af9"/>
          <w:rFonts w:hint="cs"/>
          <w:rtl/>
        </w:rPr>
        <w:t>פלתי</w:t>
      </w:r>
      <w:r>
        <w:rPr>
          <w:rFonts w:hint="cs"/>
          <w:rtl/>
        </w:rPr>
        <w:t xml:space="preserve"> מדברי </w:t>
      </w:r>
      <w:r w:rsidRPr="005322D7">
        <w:rPr>
          <w:rStyle w:val="af9"/>
          <w:rFonts w:hint="cs"/>
          <w:rtl/>
        </w:rPr>
        <w:t>הרשב"א לקמן</w:t>
      </w:r>
      <w:r>
        <w:rPr>
          <w:rFonts w:hint="cs"/>
          <w:rtl/>
        </w:rPr>
        <w:t xml:space="preserve"> </w:t>
      </w:r>
      <w:r w:rsidRPr="00641F7A">
        <w:rPr>
          <w:rStyle w:val="af7"/>
          <w:rFonts w:eastAsia="Guttman Hodes" w:hint="cs"/>
          <w:rtl/>
        </w:rPr>
        <w:t xml:space="preserve">(עי' אות </w:t>
      </w:r>
      <w:r w:rsidRPr="00641F7A">
        <w:rPr>
          <w:rStyle w:val="af7"/>
          <w:rFonts w:eastAsia="Guttman Hodes"/>
          <w:rtl/>
        </w:rPr>
        <w:fldChar w:fldCharType="begin"/>
      </w:r>
      <w:r w:rsidRPr="00641F7A">
        <w:rPr>
          <w:rStyle w:val="af7"/>
          <w:rFonts w:eastAsia="Guttman Hodes"/>
          <w:rtl/>
        </w:rPr>
        <w:instrText xml:space="preserve"> </w:instrText>
      </w:r>
      <w:r w:rsidRPr="00641F7A">
        <w:rPr>
          <w:rStyle w:val="af7"/>
          <w:rFonts w:eastAsia="Guttman Hodes" w:hint="cs"/>
        </w:rPr>
        <w:instrText>REF</w:instrText>
      </w:r>
      <w:r w:rsidRPr="00641F7A">
        <w:rPr>
          <w:rStyle w:val="af7"/>
          <w:rFonts w:eastAsia="Guttman Hodes" w:hint="cs"/>
          <w:rtl/>
        </w:rPr>
        <w:instrText xml:space="preserve"> _</w:instrText>
      </w:r>
      <w:r w:rsidRPr="00641F7A">
        <w:rPr>
          <w:rStyle w:val="af7"/>
          <w:rFonts w:eastAsia="Guttman Hodes" w:hint="cs"/>
        </w:rPr>
        <w:instrText>Ref522721144 \r \h</w:instrText>
      </w:r>
      <w:r w:rsidRPr="00641F7A">
        <w:rPr>
          <w:rStyle w:val="af7"/>
          <w:rFonts w:eastAsia="Guttman Hodes"/>
          <w:rtl/>
        </w:rPr>
        <w:instrText xml:space="preserve"> </w:instrText>
      </w:r>
      <w:r w:rsidRPr="00641F7A">
        <w:rPr>
          <w:rStyle w:val="af7"/>
          <w:rFonts w:eastAsia="Guttman Hodes"/>
          <w:rtl/>
        </w:rPr>
      </w:r>
      <w:r w:rsidRPr="00641F7A">
        <w:rPr>
          <w:rStyle w:val="af7"/>
          <w:rFonts w:eastAsia="Guttman Hodes"/>
          <w:rtl/>
        </w:rPr>
        <w:fldChar w:fldCharType="separate"/>
      </w:r>
      <w:r w:rsidR="00345400">
        <w:rPr>
          <w:rStyle w:val="af7"/>
          <w:rFonts w:eastAsia="Guttman Hodes"/>
          <w:cs/>
        </w:rPr>
        <w:t>‎</w:t>
      </w:r>
      <w:r w:rsidR="00345400">
        <w:rPr>
          <w:rStyle w:val="af7"/>
          <w:rFonts w:eastAsia="Guttman Hodes"/>
          <w:rtl/>
        </w:rPr>
        <w:t>נז)</w:t>
      </w:r>
      <w:r w:rsidRPr="00641F7A">
        <w:rPr>
          <w:rStyle w:val="af7"/>
          <w:rFonts w:eastAsia="Guttman Hodes"/>
          <w:rtl/>
        </w:rPr>
        <w:fldChar w:fldCharType="end"/>
      </w:r>
      <w:r>
        <w:rPr>
          <w:rFonts w:hint="cs"/>
          <w:rtl/>
        </w:rPr>
        <w:t xml:space="preserve"> בענין חרותא, דכתב דבמקום שיש בה ריעותא מחיים לא תלינן, אף כשיש דבר לתלות בו, וכתב </w:t>
      </w:r>
      <w:r w:rsidRPr="00641F7A">
        <w:rPr>
          <w:rStyle w:val="af9"/>
          <w:rFonts w:hint="cs"/>
          <w:rtl/>
        </w:rPr>
        <w:t>הבינת אדם</w:t>
      </w:r>
      <w:r>
        <w:rPr>
          <w:rFonts w:hint="cs"/>
          <w:rtl/>
        </w:rPr>
        <w:t xml:space="preserve"> דמוכח דכיון שמחיים כבר יצאה מחזקתה, לא תלינן לדעת </w:t>
      </w:r>
      <w:r w:rsidRPr="00641F7A">
        <w:rPr>
          <w:rStyle w:val="af9"/>
          <w:rFonts w:hint="cs"/>
          <w:rtl/>
        </w:rPr>
        <w:t>הרשב"א</w:t>
      </w:r>
      <w:r>
        <w:rPr>
          <w:rFonts w:hint="cs"/>
          <w:rtl/>
        </w:rPr>
        <w:t>, ורק לאחר שחיטה תלינן כמו בזאב.</w:t>
      </w:r>
      <w:bookmarkEnd w:id="2294"/>
    </w:p>
    <w:p w14:paraId="1BB6528E" w14:textId="77777777" w:rsidR="00D61D2E" w:rsidRPr="00D61D2E" w:rsidRDefault="00D61D2E" w:rsidP="00D61D2E">
      <w:pPr>
        <w:pStyle w:val="a3"/>
        <w:rPr>
          <w:rtl/>
        </w:rPr>
      </w:pPr>
    </w:p>
    <w:p w14:paraId="3C89E176" w14:textId="77777777" w:rsidR="00D61D2E" w:rsidRPr="00D61D2E" w:rsidRDefault="00D61D2E" w:rsidP="00D61D2E">
      <w:pPr>
        <w:pStyle w:val="a3"/>
        <w:rPr>
          <w:rtl/>
        </w:rPr>
      </w:pPr>
    </w:p>
    <w:p w14:paraId="109B3779" w14:textId="77777777" w:rsidR="00D61D2E" w:rsidRPr="00D61D2E" w:rsidRDefault="00D61D2E" w:rsidP="00D61D2E">
      <w:pPr>
        <w:pStyle w:val="a3"/>
        <w:rPr>
          <w:rtl/>
        </w:rPr>
      </w:pPr>
    </w:p>
    <w:p w14:paraId="2DABDB00" w14:textId="77777777" w:rsidR="00852065" w:rsidRDefault="00852065" w:rsidP="00BF39B2">
      <w:pPr>
        <w:pStyle w:val="1"/>
        <w:rPr>
          <w:rtl/>
        </w:rPr>
      </w:pPr>
      <w:bookmarkStart w:id="2295" w:name="_Toc522618801"/>
      <w:bookmarkStart w:id="2296" w:name="_Toc522790299"/>
      <w:bookmarkStart w:id="2297" w:name="_Toc522800798"/>
      <w:bookmarkStart w:id="2298" w:name="_Toc522800906"/>
      <w:bookmarkStart w:id="2299" w:name="_Toc522809973"/>
      <w:bookmarkStart w:id="2300" w:name="_Toc19389273"/>
      <w:bookmarkStart w:id="2301" w:name="_Toc19392770"/>
      <w:r>
        <w:rPr>
          <w:rFonts w:hint="cs"/>
          <w:rtl/>
        </w:rPr>
        <w:t>ביאור הש"ש בדברי רבינו יונה</w:t>
      </w:r>
      <w:bookmarkEnd w:id="2295"/>
      <w:bookmarkEnd w:id="2296"/>
      <w:bookmarkEnd w:id="2297"/>
      <w:bookmarkEnd w:id="2298"/>
      <w:bookmarkEnd w:id="2299"/>
      <w:bookmarkEnd w:id="2300"/>
      <w:bookmarkEnd w:id="2301"/>
    </w:p>
    <w:p w14:paraId="34FD51C3" w14:textId="77777777" w:rsidR="00852065" w:rsidRPr="0034636B" w:rsidRDefault="00852065" w:rsidP="006D6D32">
      <w:pPr>
        <w:pStyle w:val="a3"/>
        <w:rPr>
          <w:rtl/>
        </w:rPr>
      </w:pPr>
      <w:bookmarkStart w:id="2302" w:name="_Toc522809974"/>
      <w:bookmarkStart w:id="2303" w:name="_Toc19389274"/>
      <w:bookmarkStart w:id="2304" w:name="_Toc19392771"/>
      <w:r>
        <w:rPr>
          <w:rFonts w:hint="cs"/>
          <w:rtl/>
        </w:rPr>
        <w:t>דברי הש"ש דרבינו פליג על תוס' וס"ל דאף בספק השקול מחזיקין מאיסור לאיסור</w:t>
      </w:r>
      <w:bookmarkEnd w:id="2302"/>
      <w:bookmarkEnd w:id="2303"/>
      <w:bookmarkEnd w:id="2304"/>
    </w:p>
    <w:p w14:paraId="7536799B" w14:textId="77777777" w:rsidR="00852065" w:rsidRDefault="00852065" w:rsidP="00223668">
      <w:pPr>
        <w:pStyle w:val="a0"/>
        <w:rPr>
          <w:rtl/>
        </w:rPr>
      </w:pPr>
      <w:r>
        <w:rPr>
          <w:rFonts w:hint="cs"/>
          <w:rtl/>
        </w:rPr>
        <w:t xml:space="preserve">כתב </w:t>
      </w:r>
      <w:r w:rsidRPr="003735F8">
        <w:rPr>
          <w:rStyle w:val="af9"/>
          <w:rFonts w:hint="cs"/>
          <w:rtl/>
        </w:rPr>
        <w:t>הש"ש</w:t>
      </w:r>
      <w:r>
        <w:rPr>
          <w:rFonts w:hint="cs"/>
          <w:rtl/>
        </w:rPr>
        <w:t xml:space="preserve"> </w:t>
      </w:r>
      <w:r w:rsidRPr="003735F8">
        <w:rPr>
          <w:rStyle w:val="af7"/>
          <w:rFonts w:eastAsia="Guttman Hodes" w:hint="cs"/>
          <w:rtl/>
        </w:rPr>
        <w:t>(ש"ה פ"ט)</w:t>
      </w:r>
      <w:r>
        <w:rPr>
          <w:rFonts w:hint="cs"/>
          <w:rtl/>
        </w:rPr>
        <w:t xml:space="preserve"> דמבואר מדברי </w:t>
      </w:r>
      <w:r w:rsidRPr="003735F8">
        <w:rPr>
          <w:rStyle w:val="af9"/>
          <w:rFonts w:hint="cs"/>
          <w:rtl/>
        </w:rPr>
        <w:t>רבינו יונה</w:t>
      </w:r>
      <w:r>
        <w:rPr>
          <w:rFonts w:hint="cs"/>
          <w:rtl/>
        </w:rPr>
        <w:t xml:space="preserve"> דלא ס"ל </w:t>
      </w:r>
      <w:r w:rsidRPr="003735F8">
        <w:rPr>
          <w:rStyle w:val="af9"/>
          <w:rFonts w:hint="cs"/>
          <w:rtl/>
        </w:rPr>
        <w:t>כתוס'</w:t>
      </w:r>
      <w:r>
        <w:rPr>
          <w:rFonts w:hint="cs"/>
          <w:rtl/>
        </w:rPr>
        <w:t xml:space="preserve"> </w:t>
      </w:r>
      <w:r w:rsidRPr="00E952D1">
        <w:rPr>
          <w:rStyle w:val="af7"/>
          <w:rFonts w:eastAsia="Guttman Hodes" w:hint="cs"/>
          <w:rtl/>
        </w:rPr>
        <w:t xml:space="preserve">(עי' אות </w:t>
      </w:r>
      <w:r w:rsidRPr="00E952D1">
        <w:rPr>
          <w:rStyle w:val="af7"/>
          <w:rFonts w:eastAsia="Guttman Hodes"/>
          <w:rtl/>
        </w:rPr>
        <w:fldChar w:fldCharType="begin"/>
      </w:r>
      <w:r w:rsidRPr="00E952D1">
        <w:rPr>
          <w:rStyle w:val="af7"/>
          <w:rFonts w:eastAsia="Guttman Hodes"/>
          <w:rtl/>
        </w:rPr>
        <w:instrText xml:space="preserve"> </w:instrText>
      </w:r>
      <w:r w:rsidRPr="00E952D1">
        <w:rPr>
          <w:rStyle w:val="af7"/>
          <w:rFonts w:eastAsia="Guttman Hodes" w:hint="cs"/>
        </w:rPr>
        <w:instrText>REF</w:instrText>
      </w:r>
      <w:r w:rsidRPr="00E952D1">
        <w:rPr>
          <w:rStyle w:val="af7"/>
          <w:rFonts w:eastAsia="Guttman Hodes" w:hint="cs"/>
          <w:rtl/>
        </w:rPr>
        <w:instrText xml:space="preserve"> _</w:instrText>
      </w:r>
      <w:r w:rsidRPr="00E952D1">
        <w:rPr>
          <w:rStyle w:val="af7"/>
          <w:rFonts w:eastAsia="Guttman Hodes" w:hint="cs"/>
        </w:rPr>
        <w:instrText>Ref522464682 \r \h</w:instrText>
      </w:r>
      <w:r w:rsidRPr="00E952D1">
        <w:rPr>
          <w:rStyle w:val="af7"/>
          <w:rFonts w:eastAsia="Guttman Hodes"/>
          <w:rtl/>
        </w:rPr>
        <w:instrText xml:space="preserve"> </w:instrText>
      </w:r>
      <w:r w:rsidRPr="00E952D1">
        <w:rPr>
          <w:rStyle w:val="af7"/>
          <w:rFonts w:eastAsia="Guttman Hodes"/>
          <w:rtl/>
        </w:rPr>
      </w:r>
      <w:r w:rsidRPr="00E952D1">
        <w:rPr>
          <w:rStyle w:val="af7"/>
          <w:rFonts w:eastAsia="Guttman Hodes"/>
          <w:rtl/>
        </w:rPr>
        <w:fldChar w:fldCharType="separate"/>
      </w:r>
      <w:r w:rsidR="00345400">
        <w:rPr>
          <w:rStyle w:val="af7"/>
          <w:rFonts w:eastAsia="Guttman Hodes"/>
          <w:cs/>
        </w:rPr>
        <w:t>‎</w:t>
      </w:r>
      <w:r w:rsidR="00345400">
        <w:rPr>
          <w:rStyle w:val="af7"/>
          <w:rFonts w:eastAsia="Guttman Hodes"/>
          <w:rtl/>
        </w:rPr>
        <w:t>כח)</w:t>
      </w:r>
      <w:r w:rsidRPr="00E952D1">
        <w:rPr>
          <w:rStyle w:val="af7"/>
          <w:rFonts w:eastAsia="Guttman Hodes"/>
          <w:rtl/>
        </w:rPr>
        <w:fldChar w:fldCharType="end"/>
      </w:r>
      <w:r>
        <w:rPr>
          <w:rFonts w:hint="cs"/>
          <w:rtl/>
        </w:rPr>
        <w:t xml:space="preserve"> דבספק השקול אין מחזיקין מאיסור לאיסור, אלא דאף בספק השקול ספיקו אסור.</w:t>
      </w:r>
    </w:p>
    <w:p w14:paraId="45E4325C" w14:textId="77777777" w:rsidR="00852065" w:rsidRDefault="00852065" w:rsidP="006D6D32">
      <w:pPr>
        <w:pStyle w:val="a3"/>
        <w:rPr>
          <w:rtl/>
        </w:rPr>
      </w:pPr>
      <w:bookmarkStart w:id="2305" w:name="_Toc522809975"/>
      <w:bookmarkStart w:id="2306" w:name="_Toc19389275"/>
      <w:bookmarkStart w:id="2307" w:name="_Toc19392772"/>
      <w:r>
        <w:rPr>
          <w:rFonts w:hint="cs"/>
          <w:rtl/>
        </w:rPr>
        <w:t>דברי הש"ש דלרבינו יונה מחזיקין מאבר מן החי לנבילה אף בספק השקול</w:t>
      </w:r>
      <w:bookmarkEnd w:id="2305"/>
      <w:bookmarkEnd w:id="2306"/>
      <w:bookmarkEnd w:id="2307"/>
    </w:p>
    <w:p w14:paraId="5E6CC16C" w14:textId="77777777" w:rsidR="00852065" w:rsidRPr="005206CC" w:rsidRDefault="00852065" w:rsidP="00223668">
      <w:pPr>
        <w:pStyle w:val="a0"/>
        <w:rPr>
          <w:rStyle w:val="afb"/>
          <w:rtl/>
        </w:rPr>
      </w:pPr>
      <w:bookmarkStart w:id="2308" w:name="_Ref522464604"/>
      <w:r>
        <w:rPr>
          <w:rFonts w:hint="cs"/>
          <w:rtl/>
        </w:rPr>
        <w:t xml:space="preserve">וביאר </w:t>
      </w:r>
      <w:r w:rsidRPr="00E952D1">
        <w:rPr>
          <w:rStyle w:val="af9"/>
          <w:rFonts w:hint="cs"/>
          <w:rtl/>
        </w:rPr>
        <w:t>הש"ש</w:t>
      </w:r>
      <w:r>
        <w:rPr>
          <w:rFonts w:hint="cs"/>
          <w:rtl/>
        </w:rPr>
        <w:t xml:space="preserve"> דס"ל </w:t>
      </w:r>
      <w:r w:rsidRPr="00E952D1">
        <w:rPr>
          <w:rStyle w:val="af9"/>
          <w:rFonts w:hint="cs"/>
          <w:rtl/>
        </w:rPr>
        <w:t>להרשב"א</w:t>
      </w:r>
      <w:r>
        <w:rPr>
          <w:rFonts w:hint="cs"/>
          <w:rtl/>
        </w:rPr>
        <w:t xml:space="preserve"> בשם </w:t>
      </w:r>
      <w:r w:rsidRPr="00E952D1">
        <w:rPr>
          <w:rStyle w:val="af9"/>
          <w:rFonts w:hint="cs"/>
          <w:rtl/>
        </w:rPr>
        <w:t>רבינו יונה</w:t>
      </w:r>
      <w:r>
        <w:rPr>
          <w:rFonts w:hint="cs"/>
          <w:rtl/>
        </w:rPr>
        <w:t xml:space="preserve"> דמחזיקין מאיסור לאיסור, וכדברי </w:t>
      </w:r>
      <w:r w:rsidRPr="00E952D1">
        <w:rPr>
          <w:rStyle w:val="af9"/>
          <w:rFonts w:hint="cs"/>
          <w:rtl/>
        </w:rPr>
        <w:t>הרשב"א ביבמות</w:t>
      </w:r>
      <w:r>
        <w:rPr>
          <w:rFonts w:hint="cs"/>
          <w:rtl/>
        </w:rPr>
        <w:t xml:space="preserve"> </w:t>
      </w:r>
      <w:r w:rsidRPr="00E952D1">
        <w:rPr>
          <w:rStyle w:val="af7"/>
          <w:rFonts w:eastAsia="Guttman Hodes" w:hint="cs"/>
          <w:rtl/>
        </w:rPr>
        <w:t xml:space="preserve">(ל: ד"ה והא, </w:t>
      </w:r>
      <w:r w:rsidR="00AC7E32">
        <w:rPr>
          <w:rStyle w:val="af7"/>
          <w:rFonts w:eastAsia="Guttman Hodes" w:hint="cs"/>
          <w:rtl/>
        </w:rPr>
        <w:t>הובא בסימן</w:t>
      </w:r>
      <w:r w:rsidRPr="00E952D1">
        <w:rPr>
          <w:rStyle w:val="af7"/>
          <w:rFonts w:eastAsia="Guttman Hodes" w:hint="cs"/>
          <w:rtl/>
        </w:rPr>
        <w:t xml:space="preserve"> ב' ל"ב)</w:t>
      </w:r>
      <w:r>
        <w:rPr>
          <w:rFonts w:hint="cs"/>
          <w:rtl/>
        </w:rPr>
        <w:t xml:space="preserve"> דמחזיקין מאיסור אבר מן החי לאיסור </w:t>
      </w:r>
      <w:r w:rsidRPr="00D66DEE">
        <w:rPr>
          <w:rFonts w:hint="cs"/>
          <w:rtl/>
        </w:rPr>
        <w:t xml:space="preserve">נבילה, ולכן ס"ל דמחזיקין אף לאיסור טריפה, ולכן אף בספק השקול אסור. </w:t>
      </w:r>
      <w:r w:rsidRPr="005206CC">
        <w:rPr>
          <w:rStyle w:val="afb"/>
          <w:rFonts w:hint="cs"/>
          <w:rtl/>
        </w:rPr>
        <w:t xml:space="preserve">[ועי' בסימן ב' במ"ש דהרבה </w:t>
      </w:r>
      <w:r w:rsidRPr="005206CC">
        <w:rPr>
          <w:rStyle w:val="affa"/>
          <w:rFonts w:hint="cs"/>
          <w:rtl/>
        </w:rPr>
        <w:t>אחרונים</w:t>
      </w:r>
      <w:r w:rsidRPr="005206CC">
        <w:rPr>
          <w:rStyle w:val="afb"/>
          <w:rFonts w:hint="cs"/>
          <w:rtl/>
        </w:rPr>
        <w:t xml:space="preserve"> פליגי על </w:t>
      </w:r>
      <w:r w:rsidRPr="005206CC">
        <w:rPr>
          <w:rStyle w:val="affa"/>
          <w:rFonts w:hint="cs"/>
          <w:rtl/>
        </w:rPr>
        <w:t>הש"ש</w:t>
      </w:r>
      <w:r w:rsidRPr="005206CC">
        <w:rPr>
          <w:rStyle w:val="afb"/>
          <w:rFonts w:hint="cs"/>
          <w:rtl/>
        </w:rPr>
        <w:t xml:space="preserve"> וכתבו דלא שייך דינא דאין מחזיקין מאיסור לאיסור לענין טריפה].</w:t>
      </w:r>
      <w:bookmarkEnd w:id="2308"/>
    </w:p>
    <w:p w14:paraId="0D452973" w14:textId="77777777" w:rsidR="00852065" w:rsidRDefault="00852065" w:rsidP="006D6D32">
      <w:pPr>
        <w:pStyle w:val="a3"/>
        <w:rPr>
          <w:rtl/>
        </w:rPr>
      </w:pPr>
      <w:bookmarkStart w:id="2309" w:name="_Toc522809976"/>
      <w:bookmarkStart w:id="2310" w:name="_Toc19389276"/>
      <w:bookmarkStart w:id="2311" w:name="_Toc19392773"/>
      <w:r>
        <w:rPr>
          <w:rFonts w:hint="cs"/>
          <w:rtl/>
        </w:rPr>
        <w:t>דברי הש"ש דלהרשב"א בזאב הוא שכיח להיתרא ולכן תלינן</w:t>
      </w:r>
      <w:bookmarkEnd w:id="2309"/>
      <w:bookmarkEnd w:id="2310"/>
      <w:bookmarkEnd w:id="2311"/>
    </w:p>
    <w:p w14:paraId="3153D2C1" w14:textId="77777777" w:rsidR="00852065" w:rsidRDefault="00852065" w:rsidP="00223668">
      <w:pPr>
        <w:pStyle w:val="a0"/>
        <w:rPr>
          <w:rtl/>
        </w:rPr>
      </w:pPr>
      <w:r>
        <w:rPr>
          <w:rFonts w:hint="cs"/>
          <w:rtl/>
        </w:rPr>
        <w:t xml:space="preserve">וכתב </w:t>
      </w:r>
      <w:r w:rsidRPr="00E952D1">
        <w:rPr>
          <w:rStyle w:val="af9"/>
          <w:rFonts w:hint="cs"/>
          <w:rtl/>
        </w:rPr>
        <w:t>הש"ש</w:t>
      </w:r>
      <w:r>
        <w:rPr>
          <w:rFonts w:hint="cs"/>
          <w:rtl/>
        </w:rPr>
        <w:t xml:space="preserve"> דלדעת </w:t>
      </w:r>
      <w:r w:rsidRPr="00E952D1">
        <w:rPr>
          <w:rStyle w:val="af9"/>
          <w:rFonts w:hint="cs"/>
          <w:rtl/>
        </w:rPr>
        <w:t>הרשב"א</w:t>
      </w:r>
      <w:r>
        <w:rPr>
          <w:rFonts w:hint="cs"/>
          <w:rtl/>
        </w:rPr>
        <w:t xml:space="preserve"> צ"ל דהא דתלינן בזאב לקולא, הוא כיון דשכיח להיתר יותר מלאיסור, ואי"ז ספק השקול.</w:t>
      </w:r>
    </w:p>
    <w:p w14:paraId="77C915DE" w14:textId="77777777" w:rsidR="00852065" w:rsidRDefault="00852065" w:rsidP="006D6D32">
      <w:pPr>
        <w:pStyle w:val="a3"/>
        <w:rPr>
          <w:rtl/>
        </w:rPr>
      </w:pPr>
      <w:bookmarkStart w:id="2312" w:name="_Toc522809977"/>
      <w:bookmarkStart w:id="2313" w:name="_Toc19389277"/>
      <w:bookmarkStart w:id="2314" w:name="_Toc19392774"/>
      <w:r>
        <w:rPr>
          <w:rFonts w:hint="cs"/>
          <w:rtl/>
        </w:rPr>
        <w:t>קושית החז"א על הש"ש דהרשב"א איירי בספק אם נתחדש מעשה שחיטה ולא במחזיקין מאל"א</w:t>
      </w:r>
      <w:bookmarkEnd w:id="2312"/>
      <w:bookmarkEnd w:id="2313"/>
      <w:bookmarkEnd w:id="2314"/>
    </w:p>
    <w:p w14:paraId="7858EB18" w14:textId="77777777" w:rsidR="00852065" w:rsidRDefault="00852065" w:rsidP="00223668">
      <w:pPr>
        <w:pStyle w:val="a0"/>
        <w:rPr>
          <w:rtl/>
        </w:rPr>
      </w:pPr>
      <w:r>
        <w:rPr>
          <w:rFonts w:hint="cs"/>
          <w:rtl/>
        </w:rPr>
        <w:t xml:space="preserve">והקשה </w:t>
      </w:r>
      <w:r w:rsidRPr="00B542BA">
        <w:rPr>
          <w:rStyle w:val="af9"/>
          <w:rFonts w:hint="cs"/>
          <w:rtl/>
        </w:rPr>
        <w:t>החזו"א</w:t>
      </w:r>
      <w:r>
        <w:rPr>
          <w:rFonts w:hint="cs"/>
          <w:rtl/>
        </w:rPr>
        <w:t xml:space="preserve"> </w:t>
      </w:r>
      <w:r w:rsidRPr="00B542BA">
        <w:rPr>
          <w:rStyle w:val="af7"/>
          <w:rFonts w:eastAsia="Guttman Hodes" w:hint="cs"/>
          <w:rtl/>
        </w:rPr>
        <w:t>(אבהע"ז פ"א ד')</w:t>
      </w:r>
      <w:r>
        <w:rPr>
          <w:rFonts w:hint="cs"/>
          <w:rtl/>
        </w:rPr>
        <w:t xml:space="preserve"> על </w:t>
      </w:r>
      <w:r w:rsidRPr="00B542BA">
        <w:rPr>
          <w:rStyle w:val="af9"/>
          <w:rFonts w:hint="cs"/>
          <w:rtl/>
        </w:rPr>
        <w:t xml:space="preserve">הש"ש </w:t>
      </w:r>
      <w:r>
        <w:rPr>
          <w:rFonts w:hint="cs"/>
          <w:rtl/>
        </w:rPr>
        <w:t>דדברי הרשב"א לא שייכי כלל להא דמחזיקין מאיסור אבר מן החי לטריפה, דהא כל דברי הרשב"א הם בספק בשחיטה, דכיון שבכל מיתה והריגה הבהמה אסורה, ורק ע"י שחיטה היא מותרת, לכן בספק אם נתחדש בה מעשה שחיטה, היא בחזקת איסור דלא נתחדשה בה שחיטה.</w:t>
      </w:r>
    </w:p>
    <w:p w14:paraId="063FE4E5" w14:textId="77777777" w:rsidR="00852065" w:rsidRPr="00130D77" w:rsidRDefault="00852065" w:rsidP="006D6D32">
      <w:pPr>
        <w:pStyle w:val="a3"/>
        <w:rPr>
          <w:rtl/>
        </w:rPr>
      </w:pPr>
      <w:bookmarkStart w:id="2315" w:name="_Toc522809978"/>
      <w:bookmarkStart w:id="2316" w:name="_Toc19389278"/>
      <w:bookmarkStart w:id="2317" w:name="_Toc19392775"/>
      <w:r>
        <w:rPr>
          <w:rFonts w:hint="cs"/>
          <w:rtl/>
        </w:rPr>
        <w:t>קושית החזו"א דבספק טריפה ששחוטה לפנינו לא מחדשים בה איסור טריפה מכח אינו זבוח</w:t>
      </w:r>
      <w:bookmarkEnd w:id="2315"/>
      <w:bookmarkEnd w:id="2316"/>
      <w:bookmarkEnd w:id="2317"/>
    </w:p>
    <w:p w14:paraId="5C3CCB54" w14:textId="77777777" w:rsidR="00852065" w:rsidRDefault="00852065" w:rsidP="00223668">
      <w:pPr>
        <w:pStyle w:val="a0"/>
        <w:rPr>
          <w:rtl/>
        </w:rPr>
      </w:pPr>
      <w:r>
        <w:rPr>
          <w:rFonts w:hint="cs"/>
          <w:rtl/>
        </w:rPr>
        <w:t xml:space="preserve">אבל בספק טריפה שהיא שחוטה לפנינו, כתב </w:t>
      </w:r>
      <w:r w:rsidRPr="00B542BA">
        <w:rPr>
          <w:rStyle w:val="af9"/>
          <w:rFonts w:hint="cs"/>
          <w:rtl/>
        </w:rPr>
        <w:t>החזו"א</w:t>
      </w:r>
      <w:r>
        <w:rPr>
          <w:rFonts w:hint="cs"/>
          <w:rtl/>
        </w:rPr>
        <w:t xml:space="preserve"> דכיון שאינה בכלל נבילה, ויצאה מאיסור אינו זבוח, והספק הוא האם נתחדש בה איסור טריפה, יש לה חזקת היתר, כמו בספק צרת ערוה</w:t>
      </w:r>
      <w:r w:rsidRPr="00501FFE">
        <w:rPr>
          <w:rFonts w:hint="cs"/>
          <w:rtl/>
        </w:rPr>
        <w:t xml:space="preserve"> </w:t>
      </w:r>
      <w:r>
        <w:rPr>
          <w:rFonts w:hint="cs"/>
          <w:rtl/>
        </w:rPr>
        <w:t xml:space="preserve">בספק קידושין, </w:t>
      </w:r>
      <w:r w:rsidRPr="00B542BA">
        <w:rPr>
          <w:rStyle w:val="afb"/>
          <w:rFonts w:hint="cs"/>
          <w:rtl/>
        </w:rPr>
        <w:t>[בהייתה בחזקת היתר לשוק, ואח"כ קידש בעלה את הערוה בקידושי ספק],</w:t>
      </w:r>
      <w:r>
        <w:rPr>
          <w:rFonts w:hint="cs"/>
          <w:rtl/>
        </w:rPr>
        <w:t xml:space="preserve"> דהיא בחזקת היתר ליבם, ולא אמרינן שנתחדש בה שינוי שאוסרה ליבם.</w:t>
      </w:r>
    </w:p>
    <w:p w14:paraId="235140D1" w14:textId="77777777" w:rsidR="00852065" w:rsidRPr="00B8107F" w:rsidRDefault="00852065" w:rsidP="006D6D32">
      <w:pPr>
        <w:pStyle w:val="a3"/>
        <w:rPr>
          <w:rtl/>
        </w:rPr>
      </w:pPr>
      <w:bookmarkStart w:id="2318" w:name="_Toc522809979"/>
      <w:bookmarkStart w:id="2319" w:name="_Toc19389279"/>
      <w:bookmarkStart w:id="2320" w:name="_Toc19392776"/>
      <w:r>
        <w:rPr>
          <w:rFonts w:hint="cs"/>
          <w:rtl/>
        </w:rPr>
        <w:t>קושית החזו"א דבספק קידושין בצר"ע שהספק הוא באותו איסור ואפ"ה היא בחזקת היתר</w:t>
      </w:r>
      <w:bookmarkEnd w:id="2318"/>
      <w:bookmarkEnd w:id="2319"/>
      <w:bookmarkEnd w:id="2320"/>
    </w:p>
    <w:p w14:paraId="7F304998" w14:textId="77777777" w:rsidR="00852065" w:rsidRDefault="00852065" w:rsidP="00223668">
      <w:pPr>
        <w:pStyle w:val="a0"/>
        <w:rPr>
          <w:rtl/>
        </w:rPr>
      </w:pPr>
      <w:r>
        <w:rPr>
          <w:rFonts w:hint="cs"/>
          <w:rtl/>
        </w:rPr>
        <w:t xml:space="preserve">והוסיף </w:t>
      </w:r>
      <w:r w:rsidRPr="00B542BA">
        <w:rPr>
          <w:rStyle w:val="af9"/>
          <w:rFonts w:hint="cs"/>
          <w:rtl/>
        </w:rPr>
        <w:t>החזו"א</w:t>
      </w:r>
      <w:r>
        <w:rPr>
          <w:rFonts w:hint="cs"/>
          <w:rtl/>
        </w:rPr>
        <w:t xml:space="preserve"> דבספק צרת ערוה בספק קידושין, הספק הוא על איסור אשת אח שהיה לה מחיים, ואפ"ה היא בחזקת היתר, וכ"ש בספק טריפה דהוא איסור אחר מאבר מן החי ואינו זבוח, והיאך אפש"ל דנחוש שהתחדש בה איסור טריפה שלא היה בה.</w:t>
      </w:r>
    </w:p>
    <w:p w14:paraId="7A844AD8" w14:textId="77777777" w:rsidR="00852065" w:rsidRPr="00964A70" w:rsidRDefault="00852065" w:rsidP="00BF39B2">
      <w:pPr>
        <w:pStyle w:val="1"/>
        <w:rPr>
          <w:rtl/>
        </w:rPr>
      </w:pPr>
      <w:bookmarkStart w:id="2321" w:name="_Toc522790300"/>
      <w:bookmarkStart w:id="2322" w:name="_Toc522800799"/>
      <w:bookmarkStart w:id="2323" w:name="_Toc522800907"/>
      <w:bookmarkStart w:id="2324" w:name="_Toc522809980"/>
      <w:bookmarkStart w:id="2325" w:name="_Toc19389280"/>
      <w:bookmarkStart w:id="2326" w:name="_Toc19392777"/>
      <w:r>
        <w:rPr>
          <w:rFonts w:hint="cs"/>
          <w:rtl/>
        </w:rPr>
        <w:t>ביאור הבינת אדם בדברי רבינו יונה</w:t>
      </w:r>
      <w:bookmarkEnd w:id="2321"/>
      <w:bookmarkEnd w:id="2322"/>
      <w:bookmarkEnd w:id="2323"/>
      <w:bookmarkEnd w:id="2324"/>
      <w:bookmarkEnd w:id="2325"/>
      <w:bookmarkEnd w:id="2326"/>
    </w:p>
    <w:p w14:paraId="40383FC6" w14:textId="77777777" w:rsidR="00852065" w:rsidRDefault="00852065" w:rsidP="006D6D32">
      <w:pPr>
        <w:pStyle w:val="a3"/>
        <w:rPr>
          <w:rtl/>
        </w:rPr>
      </w:pPr>
      <w:bookmarkStart w:id="2327" w:name="_Toc522809981"/>
      <w:bookmarkStart w:id="2328" w:name="_Toc19389281"/>
      <w:bookmarkStart w:id="2329" w:name="_Toc19392778"/>
      <w:r>
        <w:rPr>
          <w:rFonts w:hint="cs"/>
          <w:rtl/>
        </w:rPr>
        <w:t>קושית הבינת אדם דספק טריפה היא בחזקת היתר וספק בשחיטה היא בחזקת איסור</w:t>
      </w:r>
      <w:bookmarkEnd w:id="2327"/>
      <w:bookmarkEnd w:id="2328"/>
      <w:bookmarkEnd w:id="2329"/>
    </w:p>
    <w:p w14:paraId="48F359C8" w14:textId="77777777" w:rsidR="00852065" w:rsidRDefault="00852065" w:rsidP="00223668">
      <w:pPr>
        <w:pStyle w:val="a0"/>
        <w:rPr>
          <w:rtl/>
        </w:rPr>
      </w:pPr>
      <w:r w:rsidRPr="0075586B">
        <w:rPr>
          <w:rStyle w:val="af9"/>
          <w:rFonts w:hint="cs"/>
          <w:rtl/>
        </w:rPr>
        <w:t>הבינת אדם</w:t>
      </w:r>
      <w:r>
        <w:rPr>
          <w:rFonts w:hint="cs"/>
          <w:rtl/>
        </w:rPr>
        <w:t xml:space="preserve"> </w:t>
      </w:r>
      <w:r w:rsidRPr="0075586B">
        <w:rPr>
          <w:rStyle w:val="af7"/>
          <w:rFonts w:eastAsia="Guttman Hodes" w:hint="cs"/>
          <w:rtl/>
        </w:rPr>
        <w:t>(רוב וחזקה ט"ז)</w:t>
      </w:r>
      <w:r>
        <w:rPr>
          <w:rFonts w:hint="cs"/>
          <w:rtl/>
        </w:rPr>
        <w:t xml:space="preserve"> הקשה על </w:t>
      </w:r>
      <w:r w:rsidRPr="0075586B">
        <w:rPr>
          <w:rStyle w:val="af9"/>
          <w:rFonts w:hint="cs"/>
          <w:rtl/>
        </w:rPr>
        <w:t>רבינו יונה</w:t>
      </w:r>
      <w:r>
        <w:rPr>
          <w:rFonts w:hint="cs"/>
          <w:rtl/>
        </w:rPr>
        <w:t xml:space="preserve"> דספק נשמט הגף שהוא ספק טריפה, דיש לה חזקת היתר משעת השחיטה, לא דמי  כלל לדברי רב הונא בספק בשחיטה, דבחזקת איסור עומדת.</w:t>
      </w:r>
    </w:p>
    <w:p w14:paraId="3AC8391B" w14:textId="77777777" w:rsidR="00852065" w:rsidRDefault="00852065" w:rsidP="006D6D32">
      <w:pPr>
        <w:pStyle w:val="a3"/>
        <w:rPr>
          <w:rtl/>
        </w:rPr>
      </w:pPr>
      <w:bookmarkStart w:id="2330" w:name="_Toc522809982"/>
      <w:bookmarkStart w:id="2331" w:name="_Toc19389282"/>
      <w:bookmarkStart w:id="2332" w:name="_Toc19392779"/>
      <w:r>
        <w:rPr>
          <w:rFonts w:hint="cs"/>
          <w:rtl/>
        </w:rPr>
        <w:t>תירוץ הבינת אדם דאף בספק בשחיטה אין חזקת איסור דמדאו' יש רוב</w:t>
      </w:r>
      <w:bookmarkEnd w:id="2330"/>
      <w:bookmarkEnd w:id="2331"/>
      <w:bookmarkEnd w:id="2332"/>
    </w:p>
    <w:p w14:paraId="2E43866B" w14:textId="77777777" w:rsidR="00852065" w:rsidRDefault="00852065" w:rsidP="00223668">
      <w:pPr>
        <w:pStyle w:val="a0"/>
        <w:rPr>
          <w:rStyle w:val="afb"/>
          <w:rtl/>
        </w:rPr>
      </w:pPr>
      <w:r w:rsidRPr="0004353D">
        <w:rPr>
          <w:rFonts w:hint="cs"/>
          <w:rtl/>
        </w:rPr>
        <w:t xml:space="preserve">ותירץ </w:t>
      </w:r>
      <w:r w:rsidRPr="0075586B">
        <w:rPr>
          <w:rStyle w:val="af9"/>
          <w:rFonts w:hint="cs"/>
          <w:rtl/>
        </w:rPr>
        <w:t>הבינת אדם</w:t>
      </w:r>
      <w:r w:rsidRPr="0004353D">
        <w:rPr>
          <w:rFonts w:hint="cs"/>
          <w:rtl/>
        </w:rPr>
        <w:t xml:space="preserve"> דכיון שרוב מצויין אצל שחיטה מומחין הם, א"כ מדאו' יש רוב שנשחטה כראוי כדכתבו </w:t>
      </w:r>
      <w:r w:rsidRPr="0075586B">
        <w:rPr>
          <w:rStyle w:val="af9"/>
          <w:rFonts w:hint="cs"/>
          <w:rtl/>
        </w:rPr>
        <w:t>התוס'</w:t>
      </w:r>
      <w:r w:rsidRPr="0004353D">
        <w:rPr>
          <w:rFonts w:hint="cs"/>
          <w:rtl/>
        </w:rPr>
        <w:t xml:space="preserve"> </w:t>
      </w:r>
      <w:r w:rsidRPr="0075586B">
        <w:rPr>
          <w:rStyle w:val="af7"/>
          <w:rFonts w:eastAsia="Guttman Hodes" w:hint="cs"/>
          <w:rtl/>
        </w:rPr>
        <w:t>(ד"ה ואסורה)</w:t>
      </w:r>
      <w:r w:rsidRPr="0004353D">
        <w:rPr>
          <w:rFonts w:hint="cs"/>
          <w:rtl/>
        </w:rPr>
        <w:t xml:space="preserve">, והאיסור הוא רק מדרבנן, </w:t>
      </w:r>
      <w:r>
        <w:rPr>
          <w:rFonts w:hint="cs"/>
          <w:rtl/>
        </w:rPr>
        <w:t>ו</w:t>
      </w:r>
      <w:r w:rsidRPr="0004353D">
        <w:rPr>
          <w:rFonts w:hint="cs"/>
          <w:rtl/>
        </w:rPr>
        <w:t>אין לבהמה חזקת איסור,</w:t>
      </w:r>
      <w:r>
        <w:rPr>
          <w:rFonts w:hint="cs"/>
          <w:rtl/>
        </w:rPr>
        <w:t xml:space="preserve"> וא"כ צ"ל דהאיסור הוא כיון שיש ריעותא בחזקה, ולכן לא מעמידים על החזקה, </w:t>
      </w:r>
      <w:r w:rsidRPr="0075586B">
        <w:rPr>
          <w:rStyle w:val="afb"/>
          <w:rFonts w:hint="cs"/>
          <w:rtl/>
        </w:rPr>
        <w:t xml:space="preserve">[דהטעם שכתב </w:t>
      </w:r>
      <w:r w:rsidRPr="0075586B">
        <w:rPr>
          <w:rStyle w:val="affa"/>
          <w:rFonts w:hint="cs"/>
          <w:rtl/>
        </w:rPr>
        <w:t>הרשב"א</w:t>
      </w:r>
      <w:r w:rsidRPr="00851B02">
        <w:rPr>
          <w:rStyle w:val="aff6"/>
          <w:rFonts w:hint="cs"/>
          <w:rtl/>
        </w:rPr>
        <w:t xml:space="preserve"> (ד"ה מר) </w:t>
      </w:r>
      <w:r w:rsidRPr="0075586B">
        <w:rPr>
          <w:rStyle w:val="afb"/>
          <w:rFonts w:hint="cs"/>
          <w:rtl/>
        </w:rPr>
        <w:t>דהוא רוב התלוי במעשה לא שייך בכל הספיקות אלא בלא בדק]</w:t>
      </w:r>
      <w:r>
        <w:rPr>
          <w:rStyle w:val="afb"/>
          <w:rFonts w:hint="cs"/>
          <w:rtl/>
        </w:rPr>
        <w:t>.</w:t>
      </w:r>
    </w:p>
    <w:p w14:paraId="6F8886E4" w14:textId="77777777" w:rsidR="00852065" w:rsidRPr="00875560" w:rsidRDefault="00852065" w:rsidP="006D6D32">
      <w:pPr>
        <w:pStyle w:val="a3"/>
      </w:pPr>
      <w:bookmarkStart w:id="2333" w:name="_Toc522809983"/>
      <w:bookmarkStart w:id="2334" w:name="_Toc19389283"/>
      <w:bookmarkStart w:id="2335" w:name="_Toc19392780"/>
      <w:r>
        <w:rPr>
          <w:rFonts w:hint="cs"/>
          <w:rtl/>
        </w:rPr>
        <w:t>ביאור הבינת אדם דהוכיח רבינו יונה מספק בשחיטה דאף בחזקת כשרות דאו' בריעותא אסור</w:t>
      </w:r>
      <w:bookmarkEnd w:id="2333"/>
      <w:bookmarkEnd w:id="2334"/>
      <w:bookmarkEnd w:id="2335"/>
      <w:r>
        <w:rPr>
          <w:rFonts w:hint="cs"/>
          <w:rtl/>
        </w:rPr>
        <w:t xml:space="preserve"> </w:t>
      </w:r>
    </w:p>
    <w:p w14:paraId="63ABD8BB" w14:textId="77777777" w:rsidR="00852065" w:rsidRDefault="00852065" w:rsidP="00223668">
      <w:pPr>
        <w:pStyle w:val="a0"/>
        <w:rPr>
          <w:rtl/>
        </w:rPr>
      </w:pPr>
      <w:r>
        <w:rPr>
          <w:rFonts w:hint="cs"/>
          <w:rtl/>
        </w:rPr>
        <w:t xml:space="preserve">וביאר </w:t>
      </w:r>
      <w:r w:rsidRPr="0075586B">
        <w:rPr>
          <w:rStyle w:val="af9"/>
          <w:rFonts w:hint="cs"/>
          <w:rtl/>
        </w:rPr>
        <w:t>הבינת אדם</w:t>
      </w:r>
      <w:r>
        <w:rPr>
          <w:rFonts w:hint="cs"/>
          <w:rtl/>
        </w:rPr>
        <w:t xml:space="preserve"> דמזה הוכיח </w:t>
      </w:r>
      <w:r w:rsidRPr="0075586B">
        <w:rPr>
          <w:rStyle w:val="af9"/>
          <w:rFonts w:hint="cs"/>
          <w:rtl/>
        </w:rPr>
        <w:t>רבינו יונה</w:t>
      </w:r>
      <w:r>
        <w:rPr>
          <w:rFonts w:hint="cs"/>
          <w:rtl/>
        </w:rPr>
        <w:t xml:space="preserve"> דבספק טריפה אף שיש לבהמה חזקת כשרות, מ"מ כיון שנולדה בה ריעותא דנשמט הגף, אין מעמידים אותה בחזקתה.</w:t>
      </w:r>
    </w:p>
    <w:p w14:paraId="52A65A2B" w14:textId="77777777" w:rsidR="00852065" w:rsidRDefault="00852065" w:rsidP="006D6D32">
      <w:pPr>
        <w:pStyle w:val="a3"/>
        <w:rPr>
          <w:rtl/>
        </w:rPr>
      </w:pPr>
      <w:bookmarkStart w:id="2336" w:name="_Toc522809984"/>
      <w:bookmarkStart w:id="2337" w:name="_Toc19389284"/>
      <w:bookmarkStart w:id="2338" w:name="_Toc19392781"/>
      <w:r>
        <w:rPr>
          <w:rFonts w:hint="cs"/>
          <w:rtl/>
        </w:rPr>
        <w:t>דברי הבינת אדם דאין כוונת הרשב"א לומר שאסור מדאו' אלא שהוא ספק באיסור דאו'</w:t>
      </w:r>
      <w:bookmarkEnd w:id="2336"/>
      <w:bookmarkEnd w:id="2337"/>
      <w:bookmarkEnd w:id="2338"/>
    </w:p>
    <w:p w14:paraId="52DE1476" w14:textId="77777777" w:rsidR="00852065" w:rsidRDefault="00852065" w:rsidP="00223668">
      <w:pPr>
        <w:pStyle w:val="a0"/>
        <w:rPr>
          <w:rtl/>
        </w:rPr>
      </w:pPr>
      <w:r>
        <w:rPr>
          <w:rFonts w:hint="cs"/>
          <w:rtl/>
        </w:rPr>
        <w:t xml:space="preserve">והוסיף </w:t>
      </w:r>
      <w:r w:rsidRPr="003C14BF">
        <w:rPr>
          <w:rStyle w:val="af9"/>
          <w:rFonts w:hint="cs"/>
          <w:rtl/>
        </w:rPr>
        <w:t>הבינת אדם</w:t>
      </w:r>
      <w:r>
        <w:rPr>
          <w:rFonts w:hint="cs"/>
          <w:rtl/>
        </w:rPr>
        <w:t xml:space="preserve"> </w:t>
      </w:r>
      <w:r w:rsidRPr="003C14BF">
        <w:rPr>
          <w:rStyle w:val="af7"/>
          <w:rFonts w:eastAsia="Guttman Hodes" w:hint="cs"/>
          <w:rtl/>
        </w:rPr>
        <w:t>(</w:t>
      </w:r>
      <w:r w:rsidRPr="0075586B">
        <w:rPr>
          <w:rStyle w:val="af7"/>
          <w:rFonts w:eastAsia="Guttman Hodes" w:hint="cs"/>
          <w:rtl/>
        </w:rPr>
        <w:t>רוב וחזקה ט"ז</w:t>
      </w:r>
      <w:r w:rsidRPr="003C14BF">
        <w:rPr>
          <w:rStyle w:val="af7"/>
          <w:rFonts w:eastAsia="Guttman Hodes" w:hint="cs"/>
          <w:rtl/>
        </w:rPr>
        <w:t xml:space="preserve"> ד"ה ונראה) </w:t>
      </w:r>
      <w:r>
        <w:rPr>
          <w:rFonts w:hint="cs"/>
          <w:rtl/>
        </w:rPr>
        <w:t xml:space="preserve">דאף </w:t>
      </w:r>
      <w:r w:rsidRPr="00964A70">
        <w:rPr>
          <w:rStyle w:val="af9"/>
          <w:rFonts w:hint="cs"/>
          <w:rtl/>
        </w:rPr>
        <w:t>שהרשב"א</w:t>
      </w:r>
      <w:r>
        <w:rPr>
          <w:rFonts w:hint="cs"/>
          <w:rtl/>
        </w:rPr>
        <w:t xml:space="preserve"> </w:t>
      </w:r>
      <w:r w:rsidRPr="003C14BF">
        <w:rPr>
          <w:rStyle w:val="af7"/>
          <w:rFonts w:eastAsia="Guttman Hodes" w:hint="cs"/>
          <w:rtl/>
        </w:rPr>
        <w:t xml:space="preserve">(עי' אות </w:t>
      </w:r>
      <w:r w:rsidRPr="003C14BF">
        <w:rPr>
          <w:rStyle w:val="af7"/>
          <w:rFonts w:eastAsia="Guttman Hodes"/>
          <w:rtl/>
        </w:rPr>
        <w:fldChar w:fldCharType="begin"/>
      </w:r>
      <w:r w:rsidRPr="003C14BF">
        <w:rPr>
          <w:rStyle w:val="af7"/>
          <w:rFonts w:eastAsia="Guttman Hodes"/>
          <w:rtl/>
        </w:rPr>
        <w:instrText xml:space="preserve"> </w:instrText>
      </w:r>
      <w:r w:rsidRPr="003C14BF">
        <w:rPr>
          <w:rStyle w:val="af7"/>
          <w:rFonts w:eastAsia="Guttman Hodes" w:hint="cs"/>
        </w:rPr>
        <w:instrText>REF</w:instrText>
      </w:r>
      <w:r w:rsidRPr="003C14BF">
        <w:rPr>
          <w:rStyle w:val="af7"/>
          <w:rFonts w:eastAsia="Guttman Hodes" w:hint="cs"/>
          <w:rtl/>
        </w:rPr>
        <w:instrText xml:space="preserve"> _</w:instrText>
      </w:r>
      <w:r w:rsidRPr="003C14BF">
        <w:rPr>
          <w:rStyle w:val="af7"/>
          <w:rFonts w:eastAsia="Guttman Hodes" w:hint="cs"/>
        </w:rPr>
        <w:instrText>Ref522636864 \r \h</w:instrText>
      </w:r>
      <w:r w:rsidRPr="003C14BF">
        <w:rPr>
          <w:rStyle w:val="af7"/>
          <w:rFonts w:eastAsia="Guttman Hodes"/>
          <w:rtl/>
        </w:rPr>
        <w:instrText xml:space="preserve"> </w:instrText>
      </w:r>
      <w:r w:rsidRPr="003C14BF">
        <w:rPr>
          <w:rStyle w:val="af7"/>
          <w:rFonts w:eastAsia="Guttman Hodes"/>
          <w:rtl/>
        </w:rPr>
      </w:r>
      <w:r w:rsidRPr="003C14BF">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3C14BF">
        <w:rPr>
          <w:rStyle w:val="af7"/>
          <w:rFonts w:eastAsia="Guttman Hodes"/>
          <w:rtl/>
        </w:rPr>
        <w:fldChar w:fldCharType="end"/>
      </w:r>
      <w:r>
        <w:rPr>
          <w:rFonts w:hint="cs"/>
          <w:rtl/>
        </w:rPr>
        <w:t xml:space="preserve"> כתב דהוא ספק דאו', מ"מ א"א לומר דכוונתו דמדאו' אין מעמידים על החזקה, דהא מדאו' אף במקום ריעותא מעמידים על החזקה, אלא דכוונת </w:t>
      </w:r>
      <w:r w:rsidRPr="009863C5">
        <w:rPr>
          <w:rStyle w:val="af9"/>
          <w:rFonts w:hint="cs"/>
          <w:rtl/>
        </w:rPr>
        <w:t xml:space="preserve">הרשב"א </w:t>
      </w:r>
      <w:r>
        <w:rPr>
          <w:rFonts w:hint="cs"/>
          <w:rtl/>
        </w:rPr>
        <w:t xml:space="preserve">לומר דכיון שהספק הוא בדבר שאסור מדאו', לא במקום שיש ריעותא מדרבנן אין מעמידים על החזקה, [ועיי"ש בדברי </w:t>
      </w:r>
      <w:r w:rsidRPr="003C14BF">
        <w:rPr>
          <w:rStyle w:val="af9"/>
          <w:rFonts w:hint="cs"/>
          <w:rtl/>
        </w:rPr>
        <w:t xml:space="preserve">הבינת אדם </w:t>
      </w:r>
      <w:r>
        <w:rPr>
          <w:rFonts w:hint="cs"/>
          <w:rtl/>
        </w:rPr>
        <w:t xml:space="preserve">דהביא ראיה מדברי </w:t>
      </w:r>
      <w:r w:rsidRPr="003C14BF">
        <w:rPr>
          <w:rStyle w:val="af9"/>
          <w:rFonts w:hint="cs"/>
          <w:rtl/>
        </w:rPr>
        <w:t>הרשב"א בנדה</w:t>
      </w:r>
      <w:r>
        <w:rPr>
          <w:rFonts w:hint="cs"/>
          <w:rtl/>
        </w:rPr>
        <w:t xml:space="preserve"> </w:t>
      </w:r>
      <w:r w:rsidRPr="003C14BF">
        <w:rPr>
          <w:rStyle w:val="af7"/>
          <w:rFonts w:eastAsia="Guttman Hodes" w:hint="cs"/>
          <w:rtl/>
        </w:rPr>
        <w:t>(כא. ד"ה ורבנן)</w:t>
      </w:r>
      <w:r>
        <w:rPr>
          <w:rFonts w:hint="cs"/>
          <w:rtl/>
        </w:rPr>
        <w:t xml:space="preserve"> דבמקום ריעותא לא מעמידים על החזקה].</w:t>
      </w:r>
    </w:p>
    <w:p w14:paraId="2CC3E1D6" w14:textId="77777777" w:rsidR="00852065" w:rsidRDefault="00852065" w:rsidP="006D6D32">
      <w:pPr>
        <w:pStyle w:val="a3"/>
        <w:rPr>
          <w:rtl/>
        </w:rPr>
      </w:pPr>
      <w:bookmarkStart w:id="2339" w:name="_Toc522809985"/>
      <w:bookmarkStart w:id="2340" w:name="_Toc19389285"/>
      <w:bookmarkStart w:id="2341" w:name="_Toc19392782"/>
      <w:r>
        <w:rPr>
          <w:rFonts w:hint="cs"/>
          <w:rtl/>
        </w:rPr>
        <w:t>דברי הבינת אדם דאפש"ל דאף מדאו' אין חזקה במקום ריעותא דיותר שכיחא מחיים</w:t>
      </w:r>
      <w:bookmarkEnd w:id="2339"/>
      <w:bookmarkEnd w:id="2340"/>
      <w:bookmarkEnd w:id="2341"/>
    </w:p>
    <w:p w14:paraId="71BBA8F4" w14:textId="77777777" w:rsidR="00852065" w:rsidRDefault="00852065" w:rsidP="00223668">
      <w:pPr>
        <w:pStyle w:val="a0"/>
        <w:rPr>
          <w:rtl/>
        </w:rPr>
      </w:pPr>
      <w:r>
        <w:rPr>
          <w:rFonts w:hint="cs"/>
          <w:rtl/>
        </w:rPr>
        <w:t xml:space="preserve">ועוד כתב </w:t>
      </w:r>
      <w:r w:rsidRPr="003C14BF">
        <w:rPr>
          <w:rStyle w:val="af9"/>
          <w:rFonts w:hint="cs"/>
          <w:rtl/>
        </w:rPr>
        <w:t>הבינת אדם</w:t>
      </w:r>
      <w:r>
        <w:rPr>
          <w:rFonts w:hint="cs"/>
          <w:rtl/>
        </w:rPr>
        <w:t xml:space="preserve"> </w:t>
      </w:r>
      <w:r w:rsidRPr="003C14BF">
        <w:rPr>
          <w:rStyle w:val="af7"/>
          <w:rFonts w:eastAsia="Guttman Hodes" w:hint="cs"/>
          <w:rtl/>
        </w:rPr>
        <w:t>(</w:t>
      </w:r>
      <w:r w:rsidRPr="0075586B">
        <w:rPr>
          <w:rStyle w:val="af7"/>
          <w:rFonts w:eastAsia="Guttman Hodes" w:hint="cs"/>
          <w:rtl/>
        </w:rPr>
        <w:t>רוב וחזקה ט"ז</w:t>
      </w:r>
      <w:r w:rsidRPr="003C14BF">
        <w:rPr>
          <w:rStyle w:val="af7"/>
          <w:rFonts w:eastAsia="Guttman Hodes" w:hint="cs"/>
          <w:rtl/>
        </w:rPr>
        <w:t xml:space="preserve"> ד"ה ונראה) </w:t>
      </w:r>
      <w:r>
        <w:rPr>
          <w:rFonts w:hint="cs"/>
          <w:rtl/>
        </w:rPr>
        <w:t xml:space="preserve">דאפש"ל דכוונת  </w:t>
      </w:r>
      <w:r w:rsidRPr="00BD5DD6">
        <w:rPr>
          <w:rStyle w:val="af9"/>
          <w:rFonts w:hint="cs"/>
          <w:rtl/>
        </w:rPr>
        <w:t>הרשב"א</w:t>
      </w:r>
      <w:r>
        <w:rPr>
          <w:rFonts w:hint="cs"/>
          <w:rtl/>
        </w:rPr>
        <w:t xml:space="preserve"> דמדאו' לא מעמידים על החזקה במקום ריעותא דשמוטת הגף, כיון דהוא יותר שכיח מחיים מלאחר שחיטה.</w:t>
      </w:r>
    </w:p>
    <w:p w14:paraId="474D8D27" w14:textId="77777777" w:rsidR="00852065" w:rsidRDefault="00852065" w:rsidP="00BF39B2">
      <w:pPr>
        <w:pStyle w:val="1"/>
        <w:rPr>
          <w:rtl/>
        </w:rPr>
      </w:pPr>
      <w:bookmarkStart w:id="2342" w:name="_Toc522790301"/>
      <w:bookmarkStart w:id="2343" w:name="_Toc522800800"/>
      <w:bookmarkStart w:id="2344" w:name="_Toc522800908"/>
      <w:bookmarkStart w:id="2345" w:name="_Toc522809986"/>
      <w:bookmarkStart w:id="2346" w:name="_Toc19389286"/>
      <w:bookmarkStart w:id="2347" w:name="_Toc19392783"/>
      <w:r>
        <w:rPr>
          <w:rFonts w:hint="cs"/>
          <w:rtl/>
        </w:rPr>
        <w:t>ביאור החזו"א בדברי רבינו יונה</w:t>
      </w:r>
      <w:bookmarkEnd w:id="2342"/>
      <w:bookmarkEnd w:id="2343"/>
      <w:bookmarkEnd w:id="2344"/>
      <w:bookmarkEnd w:id="2345"/>
      <w:bookmarkEnd w:id="2346"/>
      <w:bookmarkEnd w:id="2347"/>
    </w:p>
    <w:p w14:paraId="052CFC65" w14:textId="77777777" w:rsidR="00852065" w:rsidRDefault="00852065" w:rsidP="006D6D32">
      <w:pPr>
        <w:pStyle w:val="a3"/>
        <w:rPr>
          <w:rtl/>
        </w:rPr>
      </w:pPr>
      <w:bookmarkStart w:id="2348" w:name="_Toc522809987"/>
      <w:bookmarkStart w:id="2349" w:name="_Toc19389287"/>
      <w:bookmarkStart w:id="2350" w:name="_Toc19392784"/>
      <w:bookmarkStart w:id="2351" w:name="_Toc522618786"/>
      <w:r>
        <w:rPr>
          <w:rFonts w:hint="cs"/>
          <w:rtl/>
        </w:rPr>
        <w:t>דברי החזו"א דלרבינו יונה בריעותא מחיים יצאה מהרוב ואין לה חזקת כשרות</w:t>
      </w:r>
      <w:bookmarkEnd w:id="2348"/>
      <w:bookmarkEnd w:id="2349"/>
      <w:bookmarkEnd w:id="2350"/>
    </w:p>
    <w:p w14:paraId="29DB5F65" w14:textId="77777777" w:rsidR="00852065" w:rsidRDefault="00852065" w:rsidP="00223668">
      <w:pPr>
        <w:pStyle w:val="a0"/>
        <w:rPr>
          <w:rtl/>
        </w:rPr>
      </w:pPr>
      <w:r>
        <w:rPr>
          <w:rFonts w:hint="cs"/>
          <w:rtl/>
        </w:rPr>
        <w:t xml:space="preserve">כתב </w:t>
      </w:r>
      <w:r w:rsidRPr="00B542BA">
        <w:rPr>
          <w:rStyle w:val="af9"/>
          <w:rFonts w:hint="cs"/>
          <w:rtl/>
        </w:rPr>
        <w:t>החזו"א</w:t>
      </w:r>
      <w:r>
        <w:rPr>
          <w:rFonts w:hint="cs"/>
          <w:rtl/>
        </w:rPr>
        <w:t xml:space="preserve"> </w:t>
      </w:r>
      <w:r w:rsidRPr="00B542BA">
        <w:rPr>
          <w:rStyle w:val="af7"/>
          <w:rFonts w:eastAsia="Guttman Hodes" w:hint="cs"/>
          <w:rtl/>
        </w:rPr>
        <w:t>(אבהע"ז פ"א ד' ד"ה ואפשר)</w:t>
      </w:r>
      <w:r>
        <w:rPr>
          <w:rFonts w:hint="cs"/>
          <w:rtl/>
        </w:rPr>
        <w:t xml:space="preserve"> דאפשר לבאר בדעת </w:t>
      </w:r>
      <w:r w:rsidRPr="00B542BA">
        <w:rPr>
          <w:rStyle w:val="af9"/>
          <w:rFonts w:hint="cs"/>
          <w:rtl/>
        </w:rPr>
        <w:t>רבינו יונה</w:t>
      </w:r>
      <w:r>
        <w:rPr>
          <w:rFonts w:hint="cs"/>
          <w:rtl/>
        </w:rPr>
        <w:t xml:space="preserve"> דכל בהמה לא חשיבא שהיא מוחזקת בכשרות, אלא דע"י הרוב דרוב בהמות אינם טריפות, מתירים אותה</w:t>
      </w:r>
      <w:r w:rsidRPr="00386B67">
        <w:rPr>
          <w:rFonts w:hint="cs"/>
          <w:rtl/>
        </w:rPr>
        <w:t xml:space="preserve"> </w:t>
      </w:r>
      <w:r>
        <w:rPr>
          <w:rFonts w:hint="cs"/>
          <w:rtl/>
        </w:rPr>
        <w:t>בכל ספק, ולכן כשנולדה ריעותא מחיים, ויצאה מכלל הרוב, היא אסורה מספק.</w:t>
      </w:r>
    </w:p>
    <w:p w14:paraId="5FE78214" w14:textId="77777777" w:rsidR="00852065" w:rsidRDefault="00852065" w:rsidP="006D6D32">
      <w:pPr>
        <w:pStyle w:val="a3"/>
        <w:rPr>
          <w:rtl/>
        </w:rPr>
      </w:pPr>
      <w:bookmarkStart w:id="2352" w:name="_Toc522809988"/>
      <w:bookmarkStart w:id="2353" w:name="_Toc19389288"/>
      <w:bookmarkStart w:id="2354" w:name="_Toc19392785"/>
      <w:r>
        <w:rPr>
          <w:rFonts w:hint="cs"/>
          <w:rtl/>
        </w:rPr>
        <w:t>ביאור החזו"א דבגבינות היתר רבינו יונה כיון שבשעת החליבה לא היה ריעותא</w:t>
      </w:r>
      <w:bookmarkEnd w:id="2352"/>
      <w:bookmarkEnd w:id="2353"/>
      <w:bookmarkEnd w:id="2354"/>
    </w:p>
    <w:p w14:paraId="4F7611AE" w14:textId="77777777" w:rsidR="00852065" w:rsidRDefault="00852065" w:rsidP="00223668">
      <w:pPr>
        <w:pStyle w:val="a0"/>
        <w:rPr>
          <w:rtl/>
        </w:rPr>
      </w:pPr>
      <w:r>
        <w:rPr>
          <w:rFonts w:hint="cs"/>
          <w:rtl/>
        </w:rPr>
        <w:t xml:space="preserve">וכתב </w:t>
      </w:r>
      <w:r w:rsidRPr="00B542BA">
        <w:rPr>
          <w:rStyle w:val="af9"/>
          <w:rFonts w:hint="cs"/>
          <w:rtl/>
        </w:rPr>
        <w:t>החזו"א</w:t>
      </w:r>
      <w:r>
        <w:rPr>
          <w:rFonts w:hint="cs"/>
          <w:rtl/>
        </w:rPr>
        <w:t xml:space="preserve"> דהא דהתיר </w:t>
      </w:r>
      <w:r w:rsidRPr="00B542BA">
        <w:rPr>
          <w:rStyle w:val="af9"/>
          <w:rFonts w:hint="cs"/>
          <w:rtl/>
        </w:rPr>
        <w:t>רבינו יונה</w:t>
      </w:r>
      <w:r>
        <w:rPr>
          <w:rFonts w:hint="cs"/>
          <w:rtl/>
        </w:rPr>
        <w:t xml:space="preserve"> </w:t>
      </w:r>
      <w:r w:rsidRPr="00A7349B">
        <w:rPr>
          <w:rStyle w:val="af7"/>
          <w:rFonts w:eastAsia="Guttman Hodes" w:hint="cs"/>
          <w:rtl/>
        </w:rPr>
        <w:t xml:space="preserve">(עי' אות </w:t>
      </w:r>
      <w:r w:rsidRPr="00A7349B">
        <w:rPr>
          <w:rStyle w:val="af7"/>
          <w:rFonts w:eastAsia="Guttman Hodes"/>
          <w:rtl/>
        </w:rPr>
        <w:fldChar w:fldCharType="begin"/>
      </w:r>
      <w:r w:rsidRPr="00A7349B">
        <w:rPr>
          <w:rStyle w:val="af7"/>
          <w:rFonts w:eastAsia="Guttman Hodes"/>
          <w:rtl/>
        </w:rPr>
        <w:instrText xml:space="preserve"> </w:instrText>
      </w:r>
      <w:r w:rsidRPr="00A7349B">
        <w:rPr>
          <w:rStyle w:val="af7"/>
          <w:rFonts w:eastAsia="Guttman Hodes" w:hint="cs"/>
        </w:rPr>
        <w:instrText>REF</w:instrText>
      </w:r>
      <w:r w:rsidRPr="00A7349B">
        <w:rPr>
          <w:rStyle w:val="af7"/>
          <w:rFonts w:eastAsia="Guttman Hodes" w:hint="cs"/>
          <w:rtl/>
        </w:rPr>
        <w:instrText xml:space="preserve"> _</w:instrText>
      </w:r>
      <w:r w:rsidRPr="00A7349B">
        <w:rPr>
          <w:rStyle w:val="af7"/>
          <w:rFonts w:eastAsia="Guttman Hodes" w:hint="cs"/>
        </w:rPr>
        <w:instrText>Ref522617791 \r \h</w:instrText>
      </w:r>
      <w:r w:rsidRPr="00A7349B">
        <w:rPr>
          <w:rStyle w:val="af7"/>
          <w:rFonts w:eastAsia="Guttman Hodes"/>
          <w:rtl/>
        </w:rPr>
        <w:instrText xml:space="preserve"> </w:instrText>
      </w:r>
      <w:r w:rsidRPr="00A7349B">
        <w:rPr>
          <w:rStyle w:val="af7"/>
          <w:rFonts w:eastAsia="Guttman Hodes"/>
          <w:rtl/>
        </w:rPr>
      </w:r>
      <w:r w:rsidRPr="00A7349B">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A7349B">
        <w:rPr>
          <w:rStyle w:val="af7"/>
          <w:rFonts w:eastAsia="Guttman Hodes"/>
          <w:rtl/>
        </w:rPr>
        <w:fldChar w:fldCharType="end"/>
      </w:r>
      <w:r>
        <w:rPr>
          <w:rFonts w:hint="cs"/>
          <w:rtl/>
        </w:rPr>
        <w:t xml:space="preserve"> בגבינות הוא כיון שבשעה שנחלב החלב לא הייתה כל ריעותא, ויש בה רוב שמתירה.</w:t>
      </w:r>
    </w:p>
    <w:p w14:paraId="7F9126EF" w14:textId="77777777" w:rsidR="00852065" w:rsidRPr="00DF4D24" w:rsidRDefault="00852065" w:rsidP="006D6D32">
      <w:pPr>
        <w:pStyle w:val="a3"/>
        <w:rPr>
          <w:rtl/>
        </w:rPr>
      </w:pPr>
      <w:bookmarkStart w:id="2355" w:name="_Toc522809989"/>
      <w:bookmarkStart w:id="2356" w:name="_Toc19389289"/>
      <w:bookmarkStart w:id="2357" w:name="_Toc19392786"/>
      <w:r>
        <w:rPr>
          <w:rFonts w:hint="cs"/>
          <w:rtl/>
        </w:rPr>
        <w:t>דברי החזו"א דאף בנשמט הגף לא היה ספק על הריעותא אלא דמסתבר דהוא מחיים</w:t>
      </w:r>
      <w:bookmarkEnd w:id="2355"/>
      <w:bookmarkEnd w:id="2356"/>
      <w:bookmarkEnd w:id="2357"/>
    </w:p>
    <w:p w14:paraId="7E8FA026" w14:textId="77777777" w:rsidR="00852065" w:rsidRPr="00A7349B" w:rsidRDefault="00852065" w:rsidP="00223668">
      <w:pPr>
        <w:pStyle w:val="a0"/>
        <w:rPr>
          <w:rStyle w:val="afb"/>
          <w:rtl/>
        </w:rPr>
      </w:pPr>
      <w:r>
        <w:rPr>
          <w:rFonts w:hint="cs"/>
          <w:rtl/>
        </w:rPr>
        <w:t xml:space="preserve">אך כתב </w:t>
      </w:r>
      <w:r w:rsidRPr="00A7349B">
        <w:rPr>
          <w:rStyle w:val="af9"/>
          <w:rFonts w:hint="cs"/>
          <w:rtl/>
        </w:rPr>
        <w:t>החזו"א</w:t>
      </w:r>
      <w:r>
        <w:rPr>
          <w:rFonts w:hint="cs"/>
          <w:rtl/>
        </w:rPr>
        <w:t xml:space="preserve"> דלפי"ז בנשמט הגף שהספק הוא האם נשמט מחיים או לאחר שחיטה, היה </w:t>
      </w:r>
      <w:r w:rsidRPr="00A7349B">
        <w:rPr>
          <w:rStyle w:val="af9"/>
          <w:rFonts w:hint="cs"/>
          <w:rtl/>
        </w:rPr>
        <w:t>לרבינו יונה</w:t>
      </w:r>
      <w:r>
        <w:rPr>
          <w:rFonts w:hint="cs"/>
          <w:rtl/>
        </w:rPr>
        <w:t xml:space="preserve"> להתיר, כיון שעל זמן הספק לא הייתה כל ריעותא, וביאר </w:t>
      </w:r>
      <w:r w:rsidRPr="00EF465C">
        <w:rPr>
          <w:rStyle w:val="af9"/>
          <w:rFonts w:hint="cs"/>
          <w:rtl/>
        </w:rPr>
        <w:t>החזו"א</w:t>
      </w:r>
      <w:r>
        <w:rPr>
          <w:rFonts w:hint="cs"/>
          <w:rtl/>
        </w:rPr>
        <w:t xml:space="preserve"> דאפ"ה ס"ל </w:t>
      </w:r>
      <w:r w:rsidRPr="00A7349B">
        <w:rPr>
          <w:rStyle w:val="af9"/>
          <w:rFonts w:hint="cs"/>
          <w:rtl/>
        </w:rPr>
        <w:t>לרבינו יונה</w:t>
      </w:r>
      <w:r>
        <w:rPr>
          <w:rFonts w:hint="cs"/>
          <w:rtl/>
        </w:rPr>
        <w:t xml:space="preserve"> </w:t>
      </w:r>
      <w:r w:rsidRPr="00A7349B">
        <w:rPr>
          <w:rStyle w:val="af7"/>
          <w:rFonts w:eastAsia="Guttman Hodes" w:hint="cs"/>
          <w:rtl/>
        </w:rPr>
        <w:t xml:space="preserve">(עי' אות </w:t>
      </w:r>
      <w:r w:rsidRPr="00A7349B">
        <w:rPr>
          <w:rStyle w:val="af7"/>
          <w:rFonts w:eastAsia="Guttman Hodes"/>
          <w:rtl/>
        </w:rPr>
        <w:fldChar w:fldCharType="begin"/>
      </w:r>
      <w:r w:rsidRPr="00A7349B">
        <w:rPr>
          <w:rStyle w:val="af7"/>
          <w:rFonts w:eastAsia="Guttman Hodes"/>
          <w:rtl/>
        </w:rPr>
        <w:instrText xml:space="preserve"> </w:instrText>
      </w:r>
      <w:r w:rsidRPr="00A7349B">
        <w:rPr>
          <w:rStyle w:val="af7"/>
          <w:rFonts w:eastAsia="Guttman Hodes" w:hint="cs"/>
        </w:rPr>
        <w:instrText>REF</w:instrText>
      </w:r>
      <w:r w:rsidRPr="00A7349B">
        <w:rPr>
          <w:rStyle w:val="af7"/>
          <w:rFonts w:eastAsia="Guttman Hodes" w:hint="cs"/>
          <w:rtl/>
        </w:rPr>
        <w:instrText xml:space="preserve"> _</w:instrText>
      </w:r>
      <w:r w:rsidRPr="00A7349B">
        <w:rPr>
          <w:rStyle w:val="af7"/>
          <w:rFonts w:eastAsia="Guttman Hodes" w:hint="cs"/>
        </w:rPr>
        <w:instrText>Ref522636864 \r \h</w:instrText>
      </w:r>
      <w:r w:rsidRPr="00A7349B">
        <w:rPr>
          <w:rStyle w:val="af7"/>
          <w:rFonts w:eastAsia="Guttman Hodes"/>
          <w:rtl/>
        </w:rPr>
        <w:instrText xml:space="preserve"> </w:instrText>
      </w:r>
      <w:r w:rsidRPr="00A7349B">
        <w:rPr>
          <w:rStyle w:val="af7"/>
          <w:rFonts w:eastAsia="Guttman Hodes"/>
          <w:rtl/>
        </w:rPr>
      </w:r>
      <w:r w:rsidRPr="00A7349B">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A7349B">
        <w:rPr>
          <w:rStyle w:val="af7"/>
          <w:rFonts w:eastAsia="Guttman Hodes"/>
          <w:rtl/>
        </w:rPr>
        <w:fldChar w:fldCharType="end"/>
      </w:r>
      <w:r>
        <w:rPr>
          <w:rFonts w:hint="cs"/>
          <w:rtl/>
        </w:rPr>
        <w:t xml:space="preserve"> דאסור כיון דהצד שנשמט הגף לאחר השחיטה, אינו חשיב ספק, דלא מסתבר לתלות שאירע כן אחר השחיטה, אם אין סיבה ידועה, </w:t>
      </w:r>
      <w:r w:rsidRPr="00A7349B">
        <w:rPr>
          <w:rStyle w:val="afb"/>
          <w:rFonts w:hint="cs"/>
          <w:rtl/>
        </w:rPr>
        <w:t xml:space="preserve">[כדברי </w:t>
      </w:r>
      <w:r w:rsidRPr="00A7349B">
        <w:rPr>
          <w:rStyle w:val="affa"/>
          <w:rFonts w:hint="cs"/>
          <w:rtl/>
        </w:rPr>
        <w:t>הרשב"א</w:t>
      </w:r>
      <w:r w:rsidRPr="00A7349B">
        <w:rPr>
          <w:rStyle w:val="aff6"/>
          <w:rFonts w:hint="cs"/>
          <w:rtl/>
        </w:rPr>
        <w:t xml:space="preserve"> (עי' אות </w:t>
      </w:r>
      <w:r w:rsidRPr="00A7349B">
        <w:rPr>
          <w:rStyle w:val="aff6"/>
          <w:rtl/>
        </w:rPr>
        <w:fldChar w:fldCharType="begin"/>
      </w:r>
      <w:r w:rsidRPr="00A7349B">
        <w:rPr>
          <w:rStyle w:val="aff6"/>
          <w:rtl/>
        </w:rPr>
        <w:instrText xml:space="preserve"> </w:instrText>
      </w:r>
      <w:r w:rsidRPr="00A7349B">
        <w:rPr>
          <w:rStyle w:val="aff6"/>
          <w:rFonts w:hint="cs"/>
        </w:rPr>
        <w:instrText>REF</w:instrText>
      </w:r>
      <w:r w:rsidRPr="00A7349B">
        <w:rPr>
          <w:rStyle w:val="aff6"/>
          <w:rFonts w:hint="cs"/>
          <w:rtl/>
        </w:rPr>
        <w:instrText xml:space="preserve"> _</w:instrText>
      </w:r>
      <w:r w:rsidRPr="00A7349B">
        <w:rPr>
          <w:rStyle w:val="aff6"/>
          <w:rFonts w:hint="cs"/>
        </w:rPr>
        <w:instrText>Ref522699260 \r \h</w:instrText>
      </w:r>
      <w:r w:rsidRPr="00A7349B">
        <w:rPr>
          <w:rStyle w:val="aff6"/>
          <w:rtl/>
        </w:rPr>
        <w:instrText xml:space="preserve"> </w:instrText>
      </w:r>
      <w:r w:rsidRPr="00A7349B">
        <w:rPr>
          <w:rStyle w:val="aff6"/>
          <w:rtl/>
        </w:rPr>
      </w:r>
      <w:r w:rsidRPr="00A7349B">
        <w:rPr>
          <w:rStyle w:val="aff6"/>
          <w:rtl/>
        </w:rPr>
        <w:fldChar w:fldCharType="separate"/>
      </w:r>
      <w:r w:rsidR="00345400">
        <w:rPr>
          <w:rStyle w:val="aff6"/>
          <w:cs/>
        </w:rPr>
        <w:t>‎</w:t>
      </w:r>
      <w:r w:rsidR="00345400">
        <w:rPr>
          <w:rStyle w:val="aff6"/>
          <w:rtl/>
        </w:rPr>
        <w:t>נו)</w:t>
      </w:r>
      <w:r w:rsidRPr="00A7349B">
        <w:rPr>
          <w:rStyle w:val="aff6"/>
          <w:rtl/>
        </w:rPr>
        <w:fldChar w:fldCharType="end"/>
      </w:r>
      <w:r w:rsidRPr="00A7349B">
        <w:rPr>
          <w:rStyle w:val="afb"/>
          <w:rFonts w:hint="cs"/>
          <w:rtl/>
        </w:rPr>
        <w:t xml:space="preserve"> דדרסו עליו].</w:t>
      </w:r>
    </w:p>
    <w:p w14:paraId="66FFBF6C" w14:textId="77777777" w:rsidR="00852065" w:rsidRDefault="00852065" w:rsidP="006D6D32">
      <w:pPr>
        <w:pStyle w:val="a3"/>
        <w:rPr>
          <w:rtl/>
        </w:rPr>
      </w:pPr>
      <w:bookmarkStart w:id="2358" w:name="_Toc522809990"/>
      <w:bookmarkStart w:id="2359" w:name="_Toc19389290"/>
      <w:bookmarkStart w:id="2360" w:name="_Toc19392787"/>
      <w:r>
        <w:rPr>
          <w:rFonts w:hint="cs"/>
          <w:rtl/>
        </w:rPr>
        <w:t>דברי החזו"א דאף לתוס' בדברי שמסתבר שאירע מחיים אסור</w:t>
      </w:r>
      <w:bookmarkEnd w:id="2358"/>
      <w:bookmarkEnd w:id="2359"/>
      <w:bookmarkEnd w:id="2360"/>
    </w:p>
    <w:p w14:paraId="7C5F888B" w14:textId="77777777" w:rsidR="00852065" w:rsidRPr="00B542BA" w:rsidRDefault="00852065" w:rsidP="00223668">
      <w:pPr>
        <w:pStyle w:val="a0"/>
        <w:rPr>
          <w:rtl/>
        </w:rPr>
      </w:pPr>
      <w:bookmarkStart w:id="2361" w:name="_Ref522809762"/>
      <w:r>
        <w:rPr>
          <w:rFonts w:hint="cs"/>
          <w:rtl/>
        </w:rPr>
        <w:t xml:space="preserve">וכתב </w:t>
      </w:r>
      <w:r w:rsidRPr="00A7349B">
        <w:rPr>
          <w:rStyle w:val="af9"/>
          <w:rFonts w:hint="cs"/>
          <w:rtl/>
        </w:rPr>
        <w:t>החזו"א</w:t>
      </w:r>
      <w:r>
        <w:rPr>
          <w:rFonts w:hint="cs"/>
          <w:rtl/>
        </w:rPr>
        <w:t xml:space="preserve"> דאף </w:t>
      </w:r>
      <w:r w:rsidRPr="00A7349B">
        <w:rPr>
          <w:rStyle w:val="af9"/>
          <w:rFonts w:hint="cs"/>
          <w:rtl/>
        </w:rPr>
        <w:t xml:space="preserve">התוס' </w:t>
      </w:r>
      <w:r>
        <w:rPr>
          <w:rFonts w:hint="cs"/>
          <w:rtl/>
        </w:rPr>
        <w:t xml:space="preserve">מודו </w:t>
      </w:r>
      <w:r w:rsidRPr="00A7349B">
        <w:rPr>
          <w:rStyle w:val="af9"/>
          <w:rFonts w:hint="cs"/>
          <w:rtl/>
        </w:rPr>
        <w:t>לרבינו יונה</w:t>
      </w:r>
      <w:r>
        <w:rPr>
          <w:rFonts w:hint="cs"/>
          <w:rtl/>
        </w:rPr>
        <w:t xml:space="preserve"> בזה, דדוקא בזאב חשיב שיש ספק לפנינו במה לתלות, אבל בנשמט הגף אין סברא להסתפק שמא אירע כן לאחר השחיטה.</w:t>
      </w:r>
      <w:bookmarkEnd w:id="2361"/>
    </w:p>
    <w:p w14:paraId="7806356D" w14:textId="77777777" w:rsidR="00852065" w:rsidRDefault="00852065" w:rsidP="00852065">
      <w:pPr>
        <w:pStyle w:val="2"/>
        <w:rPr>
          <w:rtl/>
        </w:rPr>
      </w:pPr>
      <w:bookmarkStart w:id="2362" w:name="_Toc522790302"/>
      <w:bookmarkStart w:id="2363" w:name="_Toc522800801"/>
      <w:bookmarkStart w:id="2364" w:name="_Toc522800909"/>
      <w:bookmarkStart w:id="2365" w:name="_Toc522809991"/>
      <w:bookmarkStart w:id="2366" w:name="_Toc19435270"/>
      <w:r>
        <w:rPr>
          <w:rFonts w:hint="cs"/>
          <w:rtl/>
        </w:rPr>
        <w:t>בדין בהמה שיש לה מים במוח</w:t>
      </w:r>
      <w:bookmarkEnd w:id="2362"/>
      <w:bookmarkEnd w:id="2363"/>
      <w:bookmarkEnd w:id="2364"/>
      <w:bookmarkEnd w:id="2365"/>
      <w:bookmarkEnd w:id="2366"/>
    </w:p>
    <w:p w14:paraId="213C9D65" w14:textId="77777777" w:rsidR="00852065" w:rsidRDefault="00852065" w:rsidP="00BF39B2">
      <w:pPr>
        <w:pStyle w:val="1"/>
        <w:rPr>
          <w:rtl/>
        </w:rPr>
      </w:pPr>
      <w:bookmarkStart w:id="2367" w:name="_Toc522618795"/>
      <w:bookmarkStart w:id="2368" w:name="_Toc522790303"/>
      <w:bookmarkStart w:id="2369" w:name="_Toc522800802"/>
      <w:bookmarkStart w:id="2370" w:name="_Toc522800910"/>
      <w:bookmarkStart w:id="2371" w:name="_Toc522809992"/>
      <w:bookmarkStart w:id="2372" w:name="_Toc19389291"/>
      <w:bookmarkStart w:id="2373" w:name="_Toc19392788"/>
      <w:r>
        <w:rPr>
          <w:rFonts w:hint="cs"/>
          <w:rtl/>
        </w:rPr>
        <w:t xml:space="preserve">דברי הדרכ"מ </w:t>
      </w:r>
      <w:bookmarkEnd w:id="2367"/>
      <w:r>
        <w:rPr>
          <w:rFonts w:hint="cs"/>
          <w:rtl/>
        </w:rPr>
        <w:t>בבהמה שיש לה מים במוח</w:t>
      </w:r>
      <w:bookmarkEnd w:id="2368"/>
      <w:bookmarkEnd w:id="2369"/>
      <w:bookmarkEnd w:id="2370"/>
      <w:bookmarkEnd w:id="2371"/>
      <w:bookmarkEnd w:id="2372"/>
      <w:bookmarkEnd w:id="2373"/>
    </w:p>
    <w:p w14:paraId="2D6EFCD7" w14:textId="77777777" w:rsidR="00852065" w:rsidRPr="00122144" w:rsidRDefault="00852065" w:rsidP="006D6D32">
      <w:pPr>
        <w:pStyle w:val="a3"/>
        <w:rPr>
          <w:rtl/>
        </w:rPr>
      </w:pPr>
      <w:bookmarkStart w:id="2374" w:name="_Toc522618796"/>
      <w:bookmarkStart w:id="2375" w:name="_Toc522790304"/>
      <w:bookmarkStart w:id="2376" w:name="_Toc522800803"/>
      <w:bookmarkStart w:id="2377" w:name="_Toc522800911"/>
      <w:bookmarkStart w:id="2378" w:name="_Toc522809993"/>
      <w:bookmarkStart w:id="2379" w:name="_Toc19389292"/>
      <w:bookmarkStart w:id="2380" w:name="_Toc19392789"/>
      <w:r w:rsidRPr="00122144">
        <w:rPr>
          <w:rFonts w:hint="cs"/>
          <w:rtl/>
        </w:rPr>
        <w:t>דברי הדרכ"מ דבתוס' ביבמות מבואר דבריעותא מחיים א"א להתיר מחמת דנשחטה בהיתר</w:t>
      </w:r>
      <w:bookmarkEnd w:id="2374"/>
      <w:bookmarkEnd w:id="2375"/>
      <w:bookmarkEnd w:id="2376"/>
      <w:bookmarkEnd w:id="2377"/>
      <w:bookmarkEnd w:id="2378"/>
      <w:bookmarkEnd w:id="2379"/>
      <w:bookmarkEnd w:id="2380"/>
    </w:p>
    <w:p w14:paraId="15E69315" w14:textId="77777777" w:rsidR="00852065" w:rsidRDefault="00852065" w:rsidP="00223668">
      <w:pPr>
        <w:pStyle w:val="a0"/>
        <w:rPr>
          <w:rtl/>
        </w:rPr>
      </w:pPr>
      <w:bookmarkStart w:id="2381" w:name="_Ref522527197"/>
      <w:r>
        <w:rPr>
          <w:rFonts w:hint="cs"/>
          <w:rtl/>
        </w:rPr>
        <w:t xml:space="preserve">כתב </w:t>
      </w:r>
      <w:r w:rsidRPr="00D05012">
        <w:rPr>
          <w:rStyle w:val="af9"/>
          <w:rFonts w:hint="cs"/>
          <w:rtl/>
        </w:rPr>
        <w:t>הדרכ"מ</w:t>
      </w:r>
      <w:r>
        <w:rPr>
          <w:rFonts w:hint="cs"/>
          <w:rtl/>
        </w:rPr>
        <w:t xml:space="preserve"> </w:t>
      </w:r>
      <w:r w:rsidRPr="00D05012">
        <w:rPr>
          <w:rStyle w:val="af7"/>
          <w:rFonts w:eastAsia="Guttman Hodes" w:hint="cs"/>
          <w:rtl/>
        </w:rPr>
        <w:t>(סי' ל"א א')</w:t>
      </w:r>
      <w:r>
        <w:rPr>
          <w:rFonts w:hint="cs"/>
          <w:rtl/>
        </w:rPr>
        <w:t xml:space="preserve"> דבבהמה שנמצא בה מים במוח והיא ספק טריפה דיש מתירין דמוקמינן לה בחזקת היתר כדאיתא בסוגיין דנשחטה בחזקת היתר קיימא, ודחה </w:t>
      </w:r>
      <w:r w:rsidRPr="00D05012">
        <w:rPr>
          <w:rStyle w:val="af9"/>
          <w:rFonts w:hint="cs"/>
          <w:rtl/>
        </w:rPr>
        <w:t>הדרכ"מ</w:t>
      </w:r>
      <w:r>
        <w:rPr>
          <w:rFonts w:hint="cs"/>
          <w:rtl/>
        </w:rPr>
        <w:t xml:space="preserve"> דהא מבואר </w:t>
      </w:r>
      <w:r>
        <w:rPr>
          <w:rStyle w:val="af9"/>
          <w:rFonts w:hint="cs"/>
          <w:rtl/>
        </w:rPr>
        <w:t>ב</w:t>
      </w:r>
      <w:r w:rsidRPr="00D05012">
        <w:rPr>
          <w:rStyle w:val="af9"/>
          <w:rFonts w:hint="cs"/>
          <w:rtl/>
        </w:rPr>
        <w:t>תוס' ביבמות</w:t>
      </w:r>
      <w:r>
        <w:rPr>
          <w:rStyle w:val="af9"/>
          <w:rFonts w:hint="cs"/>
          <w:rtl/>
        </w:rPr>
        <w:t xml:space="preserve"> </w:t>
      </w:r>
      <w:r w:rsidRPr="001C2B3F">
        <w:rPr>
          <w:rStyle w:val="af7"/>
          <w:rFonts w:eastAsia="Guttman Hodes" w:hint="cs"/>
          <w:rtl/>
        </w:rPr>
        <w:t xml:space="preserve">(עי' אות </w:t>
      </w:r>
      <w:r w:rsidRPr="001C2B3F">
        <w:rPr>
          <w:rStyle w:val="af7"/>
          <w:rFonts w:eastAsia="Guttman Hodes"/>
          <w:rtl/>
        </w:rPr>
        <w:fldChar w:fldCharType="begin"/>
      </w:r>
      <w:r w:rsidRPr="001C2B3F">
        <w:rPr>
          <w:rStyle w:val="af7"/>
          <w:rFonts w:eastAsia="Guttman Hodes"/>
          <w:rtl/>
        </w:rPr>
        <w:instrText xml:space="preserve"> </w:instrText>
      </w:r>
      <w:r w:rsidRPr="001C2B3F">
        <w:rPr>
          <w:rStyle w:val="af7"/>
          <w:rFonts w:eastAsia="Guttman Hodes" w:hint="cs"/>
        </w:rPr>
        <w:instrText>REF</w:instrText>
      </w:r>
      <w:r w:rsidRPr="001C2B3F">
        <w:rPr>
          <w:rStyle w:val="af7"/>
          <w:rFonts w:eastAsia="Guttman Hodes" w:hint="cs"/>
          <w:rtl/>
        </w:rPr>
        <w:instrText xml:space="preserve"> _</w:instrText>
      </w:r>
      <w:r w:rsidRPr="001C2B3F">
        <w:rPr>
          <w:rStyle w:val="af7"/>
          <w:rFonts w:eastAsia="Guttman Hodes" w:hint="cs"/>
        </w:rPr>
        <w:instrText>Ref522479252 \r \h</w:instrText>
      </w:r>
      <w:r w:rsidRPr="001C2B3F">
        <w:rPr>
          <w:rStyle w:val="af7"/>
          <w:rFonts w:eastAsia="Guttman Hodes"/>
          <w:rtl/>
        </w:rPr>
        <w:instrText xml:space="preserve"> </w:instrText>
      </w:r>
      <w:r w:rsidRPr="001C2B3F">
        <w:rPr>
          <w:rStyle w:val="af7"/>
          <w:rFonts w:eastAsia="Guttman Hodes"/>
          <w:rtl/>
        </w:rPr>
      </w:r>
      <w:r w:rsidRPr="001C2B3F">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1C2B3F">
        <w:rPr>
          <w:rStyle w:val="af7"/>
          <w:rFonts w:eastAsia="Guttman Hodes"/>
          <w:rtl/>
        </w:rPr>
        <w:fldChar w:fldCharType="end"/>
      </w:r>
      <w:r w:rsidRPr="001C2B3F">
        <w:rPr>
          <w:rStyle w:val="af7"/>
          <w:rFonts w:eastAsia="Guttman Hodes" w:hint="cs"/>
          <w:rtl/>
        </w:rPr>
        <w:t>,</w:t>
      </w:r>
      <w:r>
        <w:rPr>
          <w:rFonts w:hint="cs"/>
          <w:rtl/>
        </w:rPr>
        <w:t xml:space="preserve"> דבמקום שיש ריעותא מחיים, א"א להתיר מחמת החזקה דנשחטה </w:t>
      </w:r>
      <w:r w:rsidRPr="00AC6F4A">
        <w:rPr>
          <w:rFonts w:hint="cs"/>
          <w:rtl/>
        </w:rPr>
        <w:t>בהיתר.</w:t>
      </w:r>
      <w:bookmarkEnd w:id="2381"/>
    </w:p>
    <w:p w14:paraId="49A55156" w14:textId="77777777" w:rsidR="00852065" w:rsidRPr="00AC6F4A" w:rsidRDefault="00852065" w:rsidP="006D6D32">
      <w:pPr>
        <w:pStyle w:val="a3"/>
      </w:pPr>
      <w:bookmarkStart w:id="2382" w:name="_Toc522618797"/>
      <w:bookmarkStart w:id="2383" w:name="_Toc522790305"/>
      <w:bookmarkStart w:id="2384" w:name="_Toc522800804"/>
      <w:bookmarkStart w:id="2385" w:name="_Toc522800912"/>
      <w:bookmarkStart w:id="2386" w:name="_Toc522809994"/>
      <w:bookmarkStart w:id="2387" w:name="_Toc19389293"/>
      <w:bookmarkStart w:id="2388" w:name="_Toc19392790"/>
      <w:r>
        <w:rPr>
          <w:rFonts w:hint="cs"/>
          <w:rtl/>
        </w:rPr>
        <w:t>קושית המהר"ם מלובלין דבתוס' ביבמות מבואר דבריעותא מחיים רק בדבר שכיח אסור</w:t>
      </w:r>
      <w:bookmarkEnd w:id="2382"/>
      <w:bookmarkEnd w:id="2383"/>
      <w:bookmarkEnd w:id="2384"/>
      <w:bookmarkEnd w:id="2385"/>
      <w:bookmarkEnd w:id="2386"/>
      <w:bookmarkEnd w:id="2387"/>
      <w:bookmarkEnd w:id="2388"/>
      <w:r>
        <w:rPr>
          <w:rFonts w:hint="cs"/>
          <w:rtl/>
        </w:rPr>
        <w:t xml:space="preserve"> </w:t>
      </w:r>
    </w:p>
    <w:p w14:paraId="662E3FBC" w14:textId="77777777" w:rsidR="00852065" w:rsidRDefault="00852065" w:rsidP="00223668">
      <w:pPr>
        <w:pStyle w:val="a0"/>
        <w:rPr>
          <w:rtl/>
        </w:rPr>
      </w:pPr>
      <w:bookmarkStart w:id="2389" w:name="_Ref522650414"/>
      <w:r>
        <w:rPr>
          <w:rFonts w:hint="cs"/>
          <w:rtl/>
        </w:rPr>
        <w:t xml:space="preserve">והביא </w:t>
      </w:r>
      <w:r w:rsidRPr="004E5969">
        <w:rPr>
          <w:rStyle w:val="af9"/>
          <w:rFonts w:hint="cs"/>
          <w:rtl/>
        </w:rPr>
        <w:t>הש"</w:t>
      </w:r>
      <w:r>
        <w:rPr>
          <w:rStyle w:val="af9"/>
          <w:rFonts w:hint="cs"/>
          <w:rtl/>
        </w:rPr>
        <w:t xml:space="preserve">ש </w:t>
      </w:r>
      <w:r w:rsidRPr="00D05012">
        <w:rPr>
          <w:rStyle w:val="af7"/>
          <w:rFonts w:eastAsia="Guttman Hodes" w:hint="cs"/>
          <w:rtl/>
        </w:rPr>
        <w:t>(ש"ה פ"א)</w:t>
      </w:r>
      <w:r>
        <w:rPr>
          <w:rFonts w:hint="cs"/>
          <w:rtl/>
        </w:rPr>
        <w:t xml:space="preserve"> </w:t>
      </w:r>
      <w:r>
        <w:rPr>
          <w:rStyle w:val="af9"/>
          <w:rFonts w:hint="cs"/>
          <w:rtl/>
        </w:rPr>
        <w:t>ד</w:t>
      </w:r>
      <w:r w:rsidRPr="004E5969">
        <w:rPr>
          <w:rStyle w:val="af9"/>
          <w:rFonts w:hint="cs"/>
          <w:rtl/>
        </w:rPr>
        <w:t>המהר"ם מלובלין</w:t>
      </w:r>
      <w:r w:rsidRPr="004E5969">
        <w:rPr>
          <w:rStyle w:val="af7"/>
          <w:rFonts w:eastAsia="Guttman Hodes" w:hint="cs"/>
          <w:rtl/>
        </w:rPr>
        <w:t xml:space="preserve"> (</w:t>
      </w:r>
      <w:r w:rsidRPr="004E5969">
        <w:rPr>
          <w:rStyle w:val="af7"/>
          <w:rFonts w:eastAsia="Guttman Hodes"/>
          <w:rtl/>
        </w:rPr>
        <w:t xml:space="preserve">שו"ת </w:t>
      </w:r>
      <w:r w:rsidRPr="004E5969">
        <w:rPr>
          <w:rStyle w:val="af7"/>
          <w:rFonts w:eastAsia="Guttman Hodes" w:hint="cs"/>
          <w:rtl/>
        </w:rPr>
        <w:t xml:space="preserve">ס"ו) </w:t>
      </w:r>
      <w:r>
        <w:rPr>
          <w:rFonts w:hint="cs"/>
          <w:rtl/>
        </w:rPr>
        <w:t xml:space="preserve">הקשה על </w:t>
      </w:r>
      <w:r w:rsidRPr="004E5969">
        <w:rPr>
          <w:rStyle w:val="af9"/>
          <w:rFonts w:hint="cs"/>
          <w:rtl/>
        </w:rPr>
        <w:t>הדרכ"מ דבתוס'</w:t>
      </w:r>
      <w:r>
        <w:rPr>
          <w:rFonts w:hint="cs"/>
          <w:rtl/>
        </w:rPr>
        <w:t xml:space="preserve"> </w:t>
      </w:r>
      <w:r w:rsidRPr="00D05012">
        <w:rPr>
          <w:rStyle w:val="af9"/>
          <w:rFonts w:hint="cs"/>
          <w:rtl/>
        </w:rPr>
        <w:t>ביבמות</w:t>
      </w:r>
      <w:r>
        <w:rPr>
          <w:rFonts w:hint="cs"/>
          <w:rtl/>
        </w:rPr>
        <w:t xml:space="preserve"> </w:t>
      </w:r>
      <w:r w:rsidRPr="001C2B3F">
        <w:rPr>
          <w:rStyle w:val="af7"/>
          <w:rFonts w:eastAsia="Guttman Hodes" w:hint="cs"/>
          <w:rtl/>
        </w:rPr>
        <w:t xml:space="preserve">(עי' אות </w:t>
      </w:r>
      <w:r w:rsidRPr="001C2B3F">
        <w:rPr>
          <w:rStyle w:val="af7"/>
          <w:rFonts w:eastAsia="Guttman Hodes"/>
          <w:rtl/>
        </w:rPr>
        <w:fldChar w:fldCharType="begin"/>
      </w:r>
      <w:r w:rsidRPr="001C2B3F">
        <w:rPr>
          <w:rStyle w:val="af7"/>
          <w:rFonts w:eastAsia="Guttman Hodes"/>
          <w:rtl/>
        </w:rPr>
        <w:instrText xml:space="preserve"> </w:instrText>
      </w:r>
      <w:r w:rsidRPr="001C2B3F">
        <w:rPr>
          <w:rStyle w:val="af7"/>
          <w:rFonts w:eastAsia="Guttman Hodes" w:hint="cs"/>
        </w:rPr>
        <w:instrText>REF</w:instrText>
      </w:r>
      <w:r w:rsidRPr="001C2B3F">
        <w:rPr>
          <w:rStyle w:val="af7"/>
          <w:rFonts w:eastAsia="Guttman Hodes" w:hint="cs"/>
          <w:rtl/>
        </w:rPr>
        <w:instrText xml:space="preserve"> _</w:instrText>
      </w:r>
      <w:r w:rsidRPr="001C2B3F">
        <w:rPr>
          <w:rStyle w:val="af7"/>
          <w:rFonts w:eastAsia="Guttman Hodes" w:hint="cs"/>
        </w:rPr>
        <w:instrText>Ref522479252 \r \h</w:instrText>
      </w:r>
      <w:r w:rsidRPr="001C2B3F">
        <w:rPr>
          <w:rStyle w:val="af7"/>
          <w:rFonts w:eastAsia="Guttman Hodes"/>
          <w:rtl/>
        </w:rPr>
        <w:instrText xml:space="preserve"> </w:instrText>
      </w:r>
      <w:r w:rsidRPr="001C2B3F">
        <w:rPr>
          <w:rStyle w:val="af7"/>
          <w:rFonts w:eastAsia="Guttman Hodes"/>
          <w:rtl/>
        </w:rPr>
      </w:r>
      <w:r w:rsidRPr="001C2B3F">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1C2B3F">
        <w:rPr>
          <w:rStyle w:val="af7"/>
          <w:rFonts w:eastAsia="Guttman Hodes"/>
          <w:rtl/>
        </w:rPr>
        <w:fldChar w:fldCharType="end"/>
      </w:r>
      <w:r>
        <w:rPr>
          <w:rFonts w:hint="cs"/>
          <w:rtl/>
        </w:rPr>
        <w:t xml:space="preserve"> מבואר להיפך דאף בדבר שנולד הספק מחיים, רק בדבר שהוא שכיח כספק דרוסה אסורה, אבל בדבר שאינו שכיח לאיסור יותר מלהיתר, אף אם נולדה הריעותא מחיים מעמידים בחזקת היתר.</w:t>
      </w:r>
      <w:bookmarkEnd w:id="2389"/>
    </w:p>
    <w:p w14:paraId="174FF3EE" w14:textId="77777777" w:rsidR="00852065" w:rsidRPr="001E490A" w:rsidRDefault="00852065" w:rsidP="006D6D32">
      <w:pPr>
        <w:pStyle w:val="a3"/>
      </w:pPr>
      <w:bookmarkStart w:id="2390" w:name="_Toc522618798"/>
      <w:bookmarkStart w:id="2391" w:name="_Toc522790306"/>
      <w:bookmarkStart w:id="2392" w:name="_Toc522800805"/>
      <w:bookmarkStart w:id="2393" w:name="_Toc522800913"/>
      <w:bookmarkStart w:id="2394" w:name="_Toc522809995"/>
      <w:bookmarkStart w:id="2395" w:name="_Toc19389294"/>
      <w:bookmarkStart w:id="2396" w:name="_Toc19392791"/>
      <w:r>
        <w:rPr>
          <w:rFonts w:hint="cs"/>
          <w:rtl/>
        </w:rPr>
        <w:t>דברי הש"ש דהש"ך ביאר בתוס' ביבמות דבריעותא מחיים</w:t>
      </w:r>
      <w:r w:rsidRPr="00E44183">
        <w:rPr>
          <w:rFonts w:hint="cs"/>
          <w:rtl/>
        </w:rPr>
        <w:t xml:space="preserve"> </w:t>
      </w:r>
      <w:r>
        <w:rPr>
          <w:rFonts w:hint="cs"/>
          <w:rtl/>
        </w:rPr>
        <w:t>מחזיקין מאיסור לאיסור</w:t>
      </w:r>
      <w:bookmarkEnd w:id="2390"/>
      <w:bookmarkEnd w:id="2391"/>
      <w:bookmarkEnd w:id="2392"/>
      <w:bookmarkEnd w:id="2393"/>
      <w:bookmarkEnd w:id="2394"/>
      <w:bookmarkEnd w:id="2395"/>
      <w:bookmarkEnd w:id="2396"/>
    </w:p>
    <w:p w14:paraId="714DA2C3" w14:textId="77777777" w:rsidR="00852065" w:rsidRDefault="00852065" w:rsidP="00223668">
      <w:pPr>
        <w:pStyle w:val="a0"/>
        <w:rPr>
          <w:rtl/>
        </w:rPr>
      </w:pPr>
      <w:r>
        <w:rPr>
          <w:rFonts w:hint="cs"/>
          <w:rtl/>
        </w:rPr>
        <w:t xml:space="preserve">והביא </w:t>
      </w:r>
      <w:r w:rsidRPr="004E5969">
        <w:rPr>
          <w:rStyle w:val="af9"/>
          <w:rFonts w:hint="cs"/>
          <w:rtl/>
        </w:rPr>
        <w:t>הש"ש דהש"ך</w:t>
      </w:r>
      <w:r>
        <w:rPr>
          <w:rFonts w:hint="cs"/>
          <w:rtl/>
        </w:rPr>
        <w:t xml:space="preserve"> </w:t>
      </w:r>
      <w:r w:rsidRPr="00A92151">
        <w:rPr>
          <w:rStyle w:val="af7"/>
          <w:rFonts w:eastAsia="Guttman Hodes" w:hint="cs"/>
          <w:rtl/>
        </w:rPr>
        <w:t>(סי' נ' סק"ג)</w:t>
      </w:r>
      <w:r>
        <w:rPr>
          <w:rFonts w:hint="cs"/>
          <w:rtl/>
        </w:rPr>
        <w:t xml:space="preserve"> כתב </w:t>
      </w:r>
      <w:r w:rsidRPr="005C02CA">
        <w:rPr>
          <w:rStyle w:val="af9"/>
          <w:rFonts w:hint="cs"/>
          <w:rtl/>
        </w:rPr>
        <w:t xml:space="preserve">דהדרכ"מ </w:t>
      </w:r>
      <w:r>
        <w:rPr>
          <w:rFonts w:hint="cs"/>
          <w:rtl/>
        </w:rPr>
        <w:t xml:space="preserve">ביאר </w:t>
      </w:r>
      <w:r w:rsidRPr="005C02CA">
        <w:rPr>
          <w:rStyle w:val="af9"/>
          <w:rFonts w:hint="cs"/>
          <w:rtl/>
        </w:rPr>
        <w:t xml:space="preserve">בתוס' </w:t>
      </w:r>
      <w:r w:rsidRPr="00D05012">
        <w:rPr>
          <w:rStyle w:val="af9"/>
          <w:rFonts w:hint="cs"/>
          <w:rtl/>
        </w:rPr>
        <w:t>ביבמות</w:t>
      </w:r>
      <w:r>
        <w:rPr>
          <w:rFonts w:hint="cs"/>
          <w:rtl/>
        </w:rPr>
        <w:t xml:space="preserve"> דכתבו כן למסקנת אביי ורבא בגמ' ביבמות, וביארו </w:t>
      </w:r>
      <w:r w:rsidRPr="00AC6F4A">
        <w:rPr>
          <w:rStyle w:val="af9"/>
          <w:rFonts w:hint="cs"/>
          <w:rtl/>
        </w:rPr>
        <w:t>התוס'</w:t>
      </w:r>
      <w:r w:rsidRPr="00A92151">
        <w:rPr>
          <w:rStyle w:val="af9"/>
          <w:rFonts w:hint="cs"/>
          <w:rtl/>
        </w:rPr>
        <w:t xml:space="preserve"> </w:t>
      </w:r>
      <w:r w:rsidRPr="00D05012">
        <w:rPr>
          <w:rStyle w:val="af9"/>
          <w:rFonts w:hint="cs"/>
          <w:rtl/>
        </w:rPr>
        <w:t>ביבמות</w:t>
      </w:r>
      <w:r w:rsidRPr="00AC6F4A">
        <w:rPr>
          <w:rStyle w:val="af9"/>
          <w:rFonts w:hint="cs"/>
          <w:rtl/>
        </w:rPr>
        <w:t xml:space="preserve"> </w:t>
      </w:r>
      <w:r>
        <w:rPr>
          <w:rFonts w:hint="cs"/>
          <w:rtl/>
        </w:rPr>
        <w:t xml:space="preserve">דס"ל דבמקום שנולדה ריעותא מחיים לא מעמידים על חזקת היתר, </w:t>
      </w:r>
      <w:r w:rsidRPr="00DC64A9">
        <w:rPr>
          <w:rStyle w:val="afb"/>
          <w:rFonts w:hint="cs"/>
          <w:rtl/>
        </w:rPr>
        <w:t xml:space="preserve">[ודלא כביאור </w:t>
      </w:r>
      <w:r w:rsidRPr="00DC64A9">
        <w:rPr>
          <w:rStyle w:val="affa"/>
          <w:rFonts w:hint="cs"/>
          <w:rtl/>
        </w:rPr>
        <w:t>הנימוק"י ביבמות</w:t>
      </w:r>
      <w:r w:rsidRPr="00DC64A9">
        <w:rPr>
          <w:rStyle w:val="afb"/>
          <w:rFonts w:hint="cs"/>
          <w:rtl/>
        </w:rPr>
        <w:t xml:space="preserve"> </w:t>
      </w:r>
      <w:r w:rsidRPr="00DC64A9">
        <w:rPr>
          <w:rStyle w:val="aff6"/>
          <w:rFonts w:hint="cs"/>
          <w:rtl/>
        </w:rPr>
        <w:t xml:space="preserve">(דף ח: מדפי הרי"ף ד"ה ספק) </w:t>
      </w:r>
      <w:r w:rsidRPr="00DC64A9">
        <w:rPr>
          <w:rStyle w:val="afb"/>
          <w:rFonts w:hint="cs"/>
          <w:rtl/>
        </w:rPr>
        <w:t>במסקנת הגמ' שם].</w:t>
      </w:r>
      <w:r>
        <w:rPr>
          <w:rFonts w:hint="cs"/>
          <w:rtl/>
        </w:rPr>
        <w:t xml:space="preserve"> וכתב </w:t>
      </w:r>
      <w:r w:rsidRPr="00DC64A9">
        <w:rPr>
          <w:rStyle w:val="af9"/>
          <w:rFonts w:hint="cs"/>
          <w:rtl/>
        </w:rPr>
        <w:t>הש"ש</w:t>
      </w:r>
      <w:r>
        <w:rPr>
          <w:rFonts w:hint="cs"/>
          <w:rtl/>
        </w:rPr>
        <w:t xml:space="preserve"> דמבואר מדברי </w:t>
      </w:r>
      <w:r w:rsidRPr="00DC64A9">
        <w:rPr>
          <w:rStyle w:val="af9"/>
          <w:rFonts w:hint="cs"/>
          <w:rtl/>
        </w:rPr>
        <w:t>הש"ך</w:t>
      </w:r>
      <w:r>
        <w:rPr>
          <w:rFonts w:hint="cs"/>
          <w:rtl/>
        </w:rPr>
        <w:t xml:space="preserve"> דאף לדעת </w:t>
      </w:r>
      <w:r w:rsidRPr="00DC64A9">
        <w:rPr>
          <w:rStyle w:val="af9"/>
          <w:rFonts w:hint="cs"/>
          <w:rtl/>
        </w:rPr>
        <w:t xml:space="preserve">התוס' </w:t>
      </w:r>
      <w:r w:rsidRPr="00D05012">
        <w:rPr>
          <w:rStyle w:val="af9"/>
          <w:rFonts w:hint="cs"/>
          <w:rtl/>
        </w:rPr>
        <w:t>ביבמות</w:t>
      </w:r>
      <w:r>
        <w:rPr>
          <w:rFonts w:hint="cs"/>
          <w:rtl/>
        </w:rPr>
        <w:t xml:space="preserve"> מחזיקין מאיסור לאיסור, במקום שנולדה ריעותא מחיים, דהבהמה היא טריפה.</w:t>
      </w:r>
    </w:p>
    <w:p w14:paraId="4A6A009C" w14:textId="77777777" w:rsidR="00852065" w:rsidRPr="002801D4" w:rsidRDefault="00852065" w:rsidP="006D6D32">
      <w:pPr>
        <w:pStyle w:val="a3"/>
        <w:rPr>
          <w:rtl/>
        </w:rPr>
      </w:pPr>
      <w:bookmarkStart w:id="2397" w:name="_Toc522809996"/>
      <w:bookmarkStart w:id="2398" w:name="_Toc19389295"/>
      <w:bookmarkStart w:id="2399" w:name="_Toc19392792"/>
      <w:r>
        <w:rPr>
          <w:rFonts w:hint="cs"/>
          <w:rtl/>
        </w:rPr>
        <w:t>ביאור הט"ז בדרכ"מ דכיון שצריך בדיקה חשיב ששכיח האיסור כספק דרוסה</w:t>
      </w:r>
      <w:bookmarkEnd w:id="2397"/>
      <w:bookmarkEnd w:id="2398"/>
      <w:bookmarkEnd w:id="2399"/>
    </w:p>
    <w:p w14:paraId="5FA63E8E" w14:textId="77777777" w:rsidR="00852065" w:rsidRDefault="00852065" w:rsidP="00223668">
      <w:pPr>
        <w:pStyle w:val="a0"/>
        <w:rPr>
          <w:rtl/>
        </w:rPr>
      </w:pPr>
      <w:r w:rsidRPr="009E3274">
        <w:rPr>
          <w:rStyle w:val="af9"/>
          <w:rFonts w:hint="cs"/>
          <w:rtl/>
        </w:rPr>
        <w:t>והט"ז</w:t>
      </w:r>
      <w:r>
        <w:rPr>
          <w:rFonts w:hint="cs"/>
          <w:rtl/>
        </w:rPr>
        <w:t xml:space="preserve"> </w:t>
      </w:r>
      <w:r w:rsidRPr="009E3274">
        <w:rPr>
          <w:rStyle w:val="af7"/>
          <w:rFonts w:eastAsia="Guttman Hodes" w:hint="cs"/>
          <w:rtl/>
        </w:rPr>
        <w:t xml:space="preserve">(מ"ח </w:t>
      </w:r>
      <w:r>
        <w:rPr>
          <w:rStyle w:val="af7"/>
          <w:rFonts w:eastAsia="Guttman Hodes" w:hint="cs"/>
          <w:rtl/>
        </w:rPr>
        <w:t xml:space="preserve">סוס"ק </w:t>
      </w:r>
      <w:r w:rsidRPr="009E3274">
        <w:rPr>
          <w:rStyle w:val="af7"/>
          <w:rFonts w:eastAsia="Guttman Hodes" w:hint="cs"/>
          <w:rtl/>
        </w:rPr>
        <w:t>י"ט)</w:t>
      </w:r>
      <w:r>
        <w:rPr>
          <w:rFonts w:hint="cs"/>
          <w:rtl/>
        </w:rPr>
        <w:t xml:space="preserve"> תירץ </w:t>
      </w:r>
      <w:r w:rsidRPr="009E3274">
        <w:rPr>
          <w:rStyle w:val="af9"/>
          <w:rFonts w:hint="cs"/>
          <w:rtl/>
        </w:rPr>
        <w:t>דהרמ"א</w:t>
      </w:r>
      <w:r>
        <w:rPr>
          <w:rFonts w:hint="cs"/>
          <w:rtl/>
        </w:rPr>
        <w:t xml:space="preserve"> ס"ל דכל מקום שצריך בדיקה חשיב שהאיסור שכיח, כמו בספק דרוסה דכתבו </w:t>
      </w:r>
      <w:r w:rsidRPr="009E3274">
        <w:rPr>
          <w:rStyle w:val="af9"/>
          <w:rFonts w:hint="cs"/>
          <w:rtl/>
        </w:rPr>
        <w:t>התוס'</w:t>
      </w:r>
      <w:r>
        <w:rPr>
          <w:rFonts w:hint="cs"/>
          <w:rtl/>
        </w:rPr>
        <w:t xml:space="preserve"> דאסורה, ובכה"ג הבהמה בחזקת איסור כמו שהייתה קודם שחיטה.</w:t>
      </w:r>
    </w:p>
    <w:p w14:paraId="07BABE48" w14:textId="77777777" w:rsidR="00852065" w:rsidRDefault="00852065" w:rsidP="006D6D32">
      <w:pPr>
        <w:pStyle w:val="a3"/>
        <w:rPr>
          <w:rtl/>
        </w:rPr>
      </w:pPr>
      <w:bookmarkStart w:id="2400" w:name="_Toc522809997"/>
      <w:bookmarkStart w:id="2401" w:name="_Toc19389296"/>
      <w:bookmarkStart w:id="2402" w:name="_Toc19392793"/>
      <w:r>
        <w:rPr>
          <w:rFonts w:hint="cs"/>
          <w:rtl/>
        </w:rPr>
        <w:t>דחיית התבו"ש דכוונת התוס' דרק מבדרוסה שכיח איסורא</w:t>
      </w:r>
      <w:r w:rsidRPr="00553B3E">
        <w:rPr>
          <w:rFonts w:hint="cs"/>
          <w:rtl/>
        </w:rPr>
        <w:t xml:space="preserve"> </w:t>
      </w:r>
      <w:r>
        <w:rPr>
          <w:rFonts w:hint="cs"/>
          <w:rtl/>
        </w:rPr>
        <w:t>ולא בכל ספק</w:t>
      </w:r>
      <w:bookmarkEnd w:id="2400"/>
      <w:bookmarkEnd w:id="2401"/>
      <w:bookmarkEnd w:id="2402"/>
    </w:p>
    <w:p w14:paraId="22228AD4" w14:textId="77777777" w:rsidR="00852065" w:rsidRDefault="00852065" w:rsidP="00223668">
      <w:pPr>
        <w:pStyle w:val="a0"/>
        <w:rPr>
          <w:rtl/>
        </w:rPr>
      </w:pPr>
      <w:r>
        <w:rPr>
          <w:rFonts w:hint="cs"/>
          <w:rtl/>
        </w:rPr>
        <w:t xml:space="preserve">ודחה </w:t>
      </w:r>
      <w:r w:rsidRPr="009E3274">
        <w:rPr>
          <w:rStyle w:val="af9"/>
          <w:rFonts w:hint="cs"/>
          <w:rtl/>
        </w:rPr>
        <w:t>התבו"ש</w:t>
      </w:r>
      <w:r>
        <w:rPr>
          <w:rFonts w:hint="cs"/>
          <w:rtl/>
        </w:rPr>
        <w:t xml:space="preserve"> </w:t>
      </w:r>
      <w:r w:rsidRPr="009E3274">
        <w:rPr>
          <w:rStyle w:val="af7"/>
          <w:rFonts w:eastAsia="Guttman Hodes" w:hint="cs"/>
          <w:rtl/>
        </w:rPr>
        <w:t>(כ"ט א' ד"ה כתב הדרכ"מ)</w:t>
      </w:r>
      <w:r>
        <w:rPr>
          <w:rFonts w:hint="cs"/>
          <w:rtl/>
        </w:rPr>
        <w:t xml:space="preserve"> דאין כוונת </w:t>
      </w:r>
      <w:r w:rsidRPr="009E3274">
        <w:rPr>
          <w:rStyle w:val="af9"/>
          <w:rFonts w:hint="cs"/>
          <w:rtl/>
        </w:rPr>
        <w:t xml:space="preserve">התוס' </w:t>
      </w:r>
      <w:r w:rsidRPr="009E3274">
        <w:rPr>
          <w:rStyle w:val="af7"/>
          <w:rFonts w:eastAsia="Guttman Hodes" w:hint="cs"/>
          <w:rtl/>
        </w:rPr>
        <w:t xml:space="preserve">(עי' אות </w:t>
      </w:r>
      <w:r w:rsidRPr="009E3274">
        <w:rPr>
          <w:rStyle w:val="af7"/>
          <w:rFonts w:eastAsia="Guttman Hodes"/>
          <w:rtl/>
        </w:rPr>
        <w:fldChar w:fldCharType="begin"/>
      </w:r>
      <w:r w:rsidRPr="009E3274">
        <w:rPr>
          <w:rStyle w:val="af7"/>
          <w:rFonts w:eastAsia="Guttman Hodes"/>
          <w:rtl/>
        </w:rPr>
        <w:instrText xml:space="preserve"> </w:instrText>
      </w:r>
      <w:r w:rsidRPr="009E3274">
        <w:rPr>
          <w:rStyle w:val="af7"/>
          <w:rFonts w:eastAsia="Guttman Hodes" w:hint="cs"/>
        </w:rPr>
        <w:instrText>REF</w:instrText>
      </w:r>
      <w:r w:rsidRPr="009E3274">
        <w:rPr>
          <w:rStyle w:val="af7"/>
          <w:rFonts w:eastAsia="Guttman Hodes" w:hint="cs"/>
          <w:rtl/>
        </w:rPr>
        <w:instrText xml:space="preserve"> _</w:instrText>
      </w:r>
      <w:r w:rsidRPr="009E3274">
        <w:rPr>
          <w:rStyle w:val="af7"/>
          <w:rFonts w:eastAsia="Guttman Hodes" w:hint="cs"/>
        </w:rPr>
        <w:instrText>Ref522479252 \r \h</w:instrText>
      </w:r>
      <w:r w:rsidRPr="009E3274">
        <w:rPr>
          <w:rStyle w:val="af7"/>
          <w:rFonts w:eastAsia="Guttman Hodes"/>
          <w:rtl/>
        </w:rPr>
        <w:instrText xml:space="preserve"> </w:instrText>
      </w:r>
      <w:r w:rsidRPr="009E3274">
        <w:rPr>
          <w:rStyle w:val="af7"/>
          <w:rFonts w:eastAsia="Guttman Hodes"/>
          <w:rtl/>
        </w:rPr>
      </w:r>
      <w:r w:rsidRPr="009E3274">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9E3274">
        <w:rPr>
          <w:rStyle w:val="af7"/>
          <w:rFonts w:eastAsia="Guttman Hodes"/>
          <w:rtl/>
        </w:rPr>
        <w:fldChar w:fldCharType="end"/>
      </w:r>
      <w:r>
        <w:rPr>
          <w:rFonts w:hint="cs"/>
          <w:rtl/>
        </w:rPr>
        <w:t xml:space="preserve"> דבכל ספק השקול, האיסור שכיח יותר מההיתר, אלא דבספק דרוסה האיסור שכיח יותר, אבל בכל ריעותא לא מצינו שיהיה האיסור יותר שכיח מההיתר.</w:t>
      </w:r>
    </w:p>
    <w:p w14:paraId="2234A31C" w14:textId="77777777" w:rsidR="00852065" w:rsidRDefault="00852065" w:rsidP="006D6D32">
      <w:pPr>
        <w:pStyle w:val="a3"/>
        <w:rPr>
          <w:rtl/>
        </w:rPr>
      </w:pPr>
      <w:bookmarkStart w:id="2403" w:name="_Toc522809998"/>
      <w:bookmarkStart w:id="2404" w:name="_Toc19389297"/>
      <w:bookmarkStart w:id="2405" w:name="_Toc19392794"/>
      <w:r>
        <w:rPr>
          <w:rFonts w:hint="cs"/>
          <w:rtl/>
        </w:rPr>
        <w:t>ביאור התבו"ש דבספק אחר שחיטה יש רוב ובריעותא מחיים הוא ריעותא ברוב עצמו</w:t>
      </w:r>
      <w:bookmarkEnd w:id="2403"/>
      <w:bookmarkEnd w:id="2404"/>
      <w:bookmarkEnd w:id="2405"/>
    </w:p>
    <w:p w14:paraId="58623692" w14:textId="77777777" w:rsidR="00852065" w:rsidRDefault="00852065" w:rsidP="00223668">
      <w:pPr>
        <w:pStyle w:val="a0"/>
        <w:rPr>
          <w:rtl/>
        </w:rPr>
      </w:pPr>
      <w:bookmarkStart w:id="2406" w:name="_Ref522479522"/>
      <w:r>
        <w:rPr>
          <w:rFonts w:hint="cs"/>
          <w:rtl/>
        </w:rPr>
        <w:t xml:space="preserve">אלא ביאר </w:t>
      </w:r>
      <w:r w:rsidRPr="009E3274">
        <w:rPr>
          <w:rStyle w:val="af9"/>
          <w:rFonts w:hint="cs"/>
          <w:rtl/>
        </w:rPr>
        <w:t>התבו"ש</w:t>
      </w:r>
      <w:r>
        <w:rPr>
          <w:rFonts w:hint="cs"/>
          <w:rtl/>
        </w:rPr>
        <w:t xml:space="preserve"> דבספק שנולד אחר השחיטה, כזאב שנטל בני מעיים, דהבהמה היא בכלל הרוב בהמות שאינם טריפות, אזלינן בתר רובא, כיון שאין כל ריעותא ברוב והיא מותרת, אבל בריעותא מחיים כגון כשנמצא מים במוח, ויש ריעותא ברוב עצמו, וא"כ אין הבהמה בכלל הרוב.</w:t>
      </w:r>
      <w:bookmarkEnd w:id="2406"/>
    </w:p>
    <w:p w14:paraId="4AD4713B" w14:textId="77777777" w:rsidR="00852065" w:rsidRDefault="00852065" w:rsidP="006D6D32">
      <w:pPr>
        <w:pStyle w:val="a3"/>
        <w:rPr>
          <w:rtl/>
        </w:rPr>
      </w:pPr>
      <w:bookmarkStart w:id="2407" w:name="_Toc522809999"/>
      <w:bookmarkStart w:id="2408" w:name="_Toc19389298"/>
      <w:bookmarkStart w:id="2409" w:name="_Toc19392795"/>
      <w:r>
        <w:rPr>
          <w:rFonts w:hint="cs"/>
          <w:rtl/>
        </w:rPr>
        <w:t>דברי התבו"ש דבגבינות התיר הרשב"א כיון שבשעת החליבה לא הייתה ריעותא ברוב</w:t>
      </w:r>
      <w:bookmarkEnd w:id="2407"/>
      <w:bookmarkEnd w:id="2408"/>
      <w:bookmarkEnd w:id="2409"/>
    </w:p>
    <w:p w14:paraId="5308B761" w14:textId="77777777" w:rsidR="00852065" w:rsidRDefault="00852065" w:rsidP="00223668">
      <w:pPr>
        <w:pStyle w:val="a0"/>
        <w:rPr>
          <w:rtl/>
        </w:rPr>
      </w:pPr>
      <w:bookmarkStart w:id="2410" w:name="_Ref522554433"/>
      <w:r>
        <w:rPr>
          <w:rFonts w:hint="cs"/>
          <w:rtl/>
        </w:rPr>
        <w:t xml:space="preserve">וכתב </w:t>
      </w:r>
      <w:r w:rsidRPr="00581E21">
        <w:rPr>
          <w:rStyle w:val="af9"/>
          <w:rFonts w:hint="cs"/>
          <w:rtl/>
        </w:rPr>
        <w:t>התבו"ש</w:t>
      </w:r>
      <w:r>
        <w:rPr>
          <w:rFonts w:hint="cs"/>
          <w:rtl/>
        </w:rPr>
        <w:t xml:space="preserve"> דלא דמי לדברי </w:t>
      </w:r>
      <w:r w:rsidRPr="00581E21">
        <w:rPr>
          <w:rStyle w:val="af9"/>
          <w:rFonts w:hint="cs"/>
          <w:rtl/>
        </w:rPr>
        <w:t>הרשב"א</w:t>
      </w:r>
      <w:r>
        <w:rPr>
          <w:rFonts w:hint="cs"/>
          <w:rtl/>
        </w:rPr>
        <w:t xml:space="preserve"> </w:t>
      </w:r>
      <w:r w:rsidRPr="009E3274">
        <w:rPr>
          <w:rStyle w:val="af7"/>
          <w:rFonts w:eastAsia="Guttman Hodes" w:hint="cs"/>
          <w:rtl/>
        </w:rPr>
        <w:t xml:space="preserve">(עי' אות </w:t>
      </w:r>
      <w:r w:rsidRPr="009E3274">
        <w:rPr>
          <w:rStyle w:val="af7"/>
          <w:rFonts w:eastAsia="Guttman Hodes"/>
          <w:rtl/>
        </w:rPr>
        <w:fldChar w:fldCharType="begin"/>
      </w:r>
      <w:r w:rsidRPr="009E3274">
        <w:rPr>
          <w:rStyle w:val="af7"/>
          <w:rFonts w:eastAsia="Guttman Hodes"/>
          <w:rtl/>
        </w:rPr>
        <w:instrText xml:space="preserve"> </w:instrText>
      </w:r>
      <w:r w:rsidRPr="009E3274">
        <w:rPr>
          <w:rStyle w:val="af7"/>
          <w:rFonts w:eastAsia="Guttman Hodes" w:hint="cs"/>
        </w:rPr>
        <w:instrText>REF</w:instrText>
      </w:r>
      <w:r w:rsidRPr="009E3274">
        <w:rPr>
          <w:rStyle w:val="af7"/>
          <w:rFonts w:eastAsia="Guttman Hodes" w:hint="cs"/>
          <w:rtl/>
        </w:rPr>
        <w:instrText xml:space="preserve"> _</w:instrText>
      </w:r>
      <w:r w:rsidRPr="009E3274">
        <w:rPr>
          <w:rStyle w:val="af7"/>
          <w:rFonts w:eastAsia="Guttman Hodes" w:hint="cs"/>
        </w:rPr>
        <w:instrText>Ref522463594 \r \h</w:instrText>
      </w:r>
      <w:r w:rsidRPr="009E3274">
        <w:rPr>
          <w:rStyle w:val="af7"/>
          <w:rFonts w:eastAsia="Guttman Hodes"/>
          <w:rtl/>
        </w:rPr>
        <w:instrText xml:space="preserve"> </w:instrText>
      </w:r>
      <w:r w:rsidRPr="009E3274">
        <w:rPr>
          <w:rStyle w:val="af7"/>
          <w:rFonts w:eastAsia="Guttman Hodes"/>
          <w:rtl/>
        </w:rPr>
      </w:r>
      <w:r w:rsidRPr="009E3274">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9E3274">
        <w:rPr>
          <w:rStyle w:val="af7"/>
          <w:rFonts w:eastAsia="Guttman Hodes"/>
          <w:rtl/>
        </w:rPr>
        <w:fldChar w:fldCharType="end"/>
      </w:r>
      <w:r>
        <w:rPr>
          <w:rFonts w:hint="cs"/>
          <w:rtl/>
        </w:rPr>
        <w:t xml:space="preserve"> שהתיר בגבינות מחמת החזקה מכח הרוב, דכיון שהריעותא ברוב נולדה לאחר השחיטה, ובשעת עשיית הגבינות לא נולדה כל ריעותא לכן הגבינות הם בכלל הרוב, משא"כ כשהנדון הוא על הבהמה עצמה, שהספק הוא על שעת הריעותא, דבכה"ג אין לה לא רוב ולא חזקה, כיון שיצאה מכלל הרוב, ע"י הריעותא.</w:t>
      </w:r>
      <w:bookmarkEnd w:id="2410"/>
    </w:p>
    <w:p w14:paraId="106FE101" w14:textId="77777777" w:rsidR="00852065" w:rsidRDefault="00852065" w:rsidP="006D6D32">
      <w:pPr>
        <w:pStyle w:val="a3"/>
        <w:rPr>
          <w:rtl/>
        </w:rPr>
      </w:pPr>
      <w:bookmarkStart w:id="2411" w:name="_Toc522810000"/>
      <w:bookmarkStart w:id="2412" w:name="_Toc19389299"/>
      <w:bookmarkStart w:id="2413" w:name="_Toc19392796"/>
      <w:r>
        <w:rPr>
          <w:rFonts w:hint="cs"/>
          <w:rtl/>
        </w:rPr>
        <w:t>דברי התבו"ש דספק דרוסה חשיב חזקה שנתבררה בשעתה דלא נולדה דרוסה</w:t>
      </w:r>
      <w:bookmarkEnd w:id="2411"/>
      <w:bookmarkEnd w:id="2412"/>
      <w:bookmarkEnd w:id="2413"/>
    </w:p>
    <w:p w14:paraId="2F1791E5" w14:textId="77777777" w:rsidR="00852065" w:rsidRDefault="00852065" w:rsidP="00223668">
      <w:pPr>
        <w:pStyle w:val="a0"/>
        <w:rPr>
          <w:rtl/>
        </w:rPr>
      </w:pPr>
      <w:bookmarkStart w:id="2414" w:name="_Ref522479155"/>
      <w:r>
        <w:rPr>
          <w:rFonts w:hint="cs"/>
          <w:rtl/>
        </w:rPr>
        <w:t xml:space="preserve">והוסיף </w:t>
      </w:r>
      <w:r w:rsidRPr="00330043">
        <w:rPr>
          <w:rStyle w:val="af9"/>
          <w:rFonts w:hint="cs"/>
          <w:rtl/>
        </w:rPr>
        <w:t>התבו"ש</w:t>
      </w:r>
      <w:r>
        <w:rPr>
          <w:rFonts w:hint="cs"/>
          <w:rtl/>
        </w:rPr>
        <w:t xml:space="preserve"> דלא דמי לספק דרוסה וישב לה קוץ בושט, דכתבו </w:t>
      </w:r>
      <w:r w:rsidRPr="00330043">
        <w:rPr>
          <w:rStyle w:val="af9"/>
          <w:rFonts w:hint="cs"/>
          <w:rtl/>
        </w:rPr>
        <w:t>התוס'</w:t>
      </w:r>
      <w:r>
        <w:rPr>
          <w:rFonts w:hint="cs"/>
          <w:rtl/>
        </w:rPr>
        <w:t xml:space="preserve"> </w:t>
      </w:r>
      <w:r w:rsidRPr="009E3274">
        <w:rPr>
          <w:rStyle w:val="af7"/>
          <w:rFonts w:eastAsia="Guttman Hodes" w:hint="cs"/>
          <w:rtl/>
        </w:rPr>
        <w:t xml:space="preserve">(עי' אות </w:t>
      </w:r>
      <w:r w:rsidRPr="009E3274">
        <w:rPr>
          <w:rStyle w:val="af7"/>
          <w:rFonts w:eastAsia="Guttman Hodes"/>
          <w:rtl/>
        </w:rPr>
        <w:fldChar w:fldCharType="begin"/>
      </w:r>
      <w:r w:rsidRPr="009E3274">
        <w:rPr>
          <w:rStyle w:val="af7"/>
          <w:rFonts w:eastAsia="Guttman Hodes"/>
          <w:rtl/>
        </w:rPr>
        <w:instrText xml:space="preserve"> </w:instrText>
      </w:r>
      <w:r w:rsidRPr="009E3274">
        <w:rPr>
          <w:rStyle w:val="af7"/>
          <w:rFonts w:eastAsia="Guttman Hodes" w:hint="cs"/>
        </w:rPr>
        <w:instrText>REF</w:instrText>
      </w:r>
      <w:r w:rsidRPr="009E3274">
        <w:rPr>
          <w:rStyle w:val="af7"/>
          <w:rFonts w:eastAsia="Guttman Hodes" w:hint="cs"/>
          <w:rtl/>
        </w:rPr>
        <w:instrText xml:space="preserve"> _</w:instrText>
      </w:r>
      <w:r w:rsidRPr="009E3274">
        <w:rPr>
          <w:rStyle w:val="af7"/>
          <w:rFonts w:eastAsia="Guttman Hodes" w:hint="cs"/>
        </w:rPr>
        <w:instrText>Ref522479252 \r \h</w:instrText>
      </w:r>
      <w:r w:rsidRPr="009E3274">
        <w:rPr>
          <w:rStyle w:val="af7"/>
          <w:rFonts w:eastAsia="Guttman Hodes"/>
          <w:rtl/>
        </w:rPr>
        <w:instrText xml:space="preserve"> </w:instrText>
      </w:r>
      <w:r w:rsidRPr="009E3274">
        <w:rPr>
          <w:rStyle w:val="af7"/>
          <w:rFonts w:eastAsia="Guttman Hodes"/>
          <w:rtl/>
        </w:rPr>
      </w:r>
      <w:r w:rsidRPr="009E3274">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9E3274">
        <w:rPr>
          <w:rStyle w:val="af7"/>
          <w:rFonts w:eastAsia="Guttman Hodes"/>
          <w:rtl/>
        </w:rPr>
        <w:fldChar w:fldCharType="end"/>
      </w:r>
      <w:r>
        <w:rPr>
          <w:rFonts w:hint="cs"/>
          <w:rtl/>
        </w:rPr>
        <w:t xml:space="preserve"> דרק מחמת ששכיח איסורא אין לה חזקת היתר, ומבואר דבמקום שלא שכיח איסורא יש לה חזקת היתר, דלענין דרוסה וקוץ חשיב חזקה שנתבררה בשעתה, כיון שודאי לא נולדה דרוסה ולא היה לה קוץ בושט, ולכן אם לא שכיח איסורא, יש לה חזקת היתר, דהוחזקה מחיים שאינה דרוסה, ואין לה קוץ בושט, ועי' </w:t>
      </w:r>
      <w:r w:rsidRPr="00581E21">
        <w:rPr>
          <w:rStyle w:val="af9"/>
          <w:rFonts w:hint="cs"/>
          <w:rtl/>
        </w:rPr>
        <w:t>בגרעק"א</w:t>
      </w:r>
      <w:r>
        <w:rPr>
          <w:rFonts w:hint="cs"/>
          <w:rtl/>
        </w:rPr>
        <w:t xml:space="preserve"> </w:t>
      </w:r>
      <w:r w:rsidRPr="00581E21">
        <w:rPr>
          <w:rStyle w:val="af7"/>
          <w:rFonts w:eastAsia="Guttman Hodes" w:hint="cs"/>
          <w:rtl/>
        </w:rPr>
        <w:t xml:space="preserve">(עי' אות </w:t>
      </w:r>
      <w:r w:rsidRPr="00581E21">
        <w:rPr>
          <w:rStyle w:val="af7"/>
          <w:rFonts w:eastAsia="Guttman Hodes"/>
          <w:rtl/>
        </w:rPr>
        <w:fldChar w:fldCharType="begin"/>
      </w:r>
      <w:r w:rsidRPr="00581E21">
        <w:rPr>
          <w:rStyle w:val="af7"/>
          <w:rFonts w:eastAsia="Guttman Hodes"/>
          <w:rtl/>
        </w:rPr>
        <w:instrText xml:space="preserve"> </w:instrText>
      </w:r>
      <w:r w:rsidRPr="00581E21">
        <w:rPr>
          <w:rStyle w:val="af7"/>
          <w:rFonts w:eastAsia="Guttman Hodes" w:hint="cs"/>
        </w:rPr>
        <w:instrText>REF</w:instrText>
      </w:r>
      <w:r w:rsidRPr="00581E21">
        <w:rPr>
          <w:rStyle w:val="af7"/>
          <w:rFonts w:eastAsia="Guttman Hodes" w:hint="cs"/>
          <w:rtl/>
        </w:rPr>
        <w:instrText xml:space="preserve"> _</w:instrText>
      </w:r>
      <w:r w:rsidRPr="00581E21">
        <w:rPr>
          <w:rStyle w:val="af7"/>
          <w:rFonts w:eastAsia="Guttman Hodes" w:hint="cs"/>
        </w:rPr>
        <w:instrText>Ref522479123 \r \h</w:instrText>
      </w:r>
      <w:r w:rsidRPr="00581E21">
        <w:rPr>
          <w:rStyle w:val="af7"/>
          <w:rFonts w:eastAsia="Guttman Hodes"/>
          <w:rtl/>
        </w:rPr>
        <w:instrText xml:space="preserve"> </w:instrText>
      </w:r>
      <w:r w:rsidRPr="00581E21">
        <w:rPr>
          <w:rStyle w:val="af7"/>
          <w:rFonts w:eastAsia="Guttman Hodes"/>
          <w:rtl/>
        </w:rPr>
      </w:r>
      <w:r w:rsidRPr="00581E21">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sidRPr="00581E21">
        <w:rPr>
          <w:rStyle w:val="af7"/>
          <w:rFonts w:eastAsia="Guttman Hodes"/>
          <w:rtl/>
        </w:rPr>
        <w:fldChar w:fldCharType="end"/>
      </w:r>
      <w:r>
        <w:rPr>
          <w:rFonts w:hint="cs"/>
          <w:rtl/>
        </w:rPr>
        <w:t xml:space="preserve"> במה שדחה את דברי </w:t>
      </w:r>
      <w:r w:rsidRPr="00581E21">
        <w:rPr>
          <w:rStyle w:val="af9"/>
          <w:rFonts w:hint="cs"/>
          <w:rtl/>
        </w:rPr>
        <w:t>התבו"ש</w:t>
      </w:r>
      <w:r>
        <w:rPr>
          <w:rFonts w:hint="cs"/>
          <w:rtl/>
        </w:rPr>
        <w:t xml:space="preserve">, וע"ע בדברי </w:t>
      </w:r>
      <w:r w:rsidRPr="00663BE7">
        <w:rPr>
          <w:rStyle w:val="af9"/>
          <w:rFonts w:hint="cs"/>
          <w:rtl/>
        </w:rPr>
        <w:t>האבהא"ז</w:t>
      </w:r>
      <w:r>
        <w:rPr>
          <w:rFonts w:hint="cs"/>
          <w:rtl/>
        </w:rPr>
        <w:t xml:space="preserve"> </w:t>
      </w:r>
      <w:r w:rsidRPr="00663BE7">
        <w:rPr>
          <w:rStyle w:val="af7"/>
          <w:rFonts w:eastAsia="Guttman Hodes" w:hint="cs"/>
          <w:rtl/>
        </w:rPr>
        <w:t>(שחיטה ג' י"ח</w:t>
      </w:r>
      <w:r>
        <w:rPr>
          <w:rStyle w:val="af7"/>
          <w:rFonts w:eastAsia="Guttman Hodes" w:hint="cs"/>
          <w:rtl/>
        </w:rPr>
        <w:t xml:space="preserve"> אות ב'</w:t>
      </w:r>
      <w:r w:rsidRPr="00663BE7">
        <w:rPr>
          <w:rStyle w:val="af7"/>
          <w:rFonts w:eastAsia="Guttman Hodes" w:hint="cs"/>
          <w:rtl/>
        </w:rPr>
        <w:t>)</w:t>
      </w:r>
      <w:r>
        <w:rPr>
          <w:rFonts w:hint="cs"/>
          <w:rtl/>
        </w:rPr>
        <w:t>.</w:t>
      </w:r>
      <w:bookmarkEnd w:id="2414"/>
    </w:p>
    <w:p w14:paraId="3644D050" w14:textId="77777777" w:rsidR="00852065" w:rsidRDefault="00852065" w:rsidP="006D6D32">
      <w:pPr>
        <w:pStyle w:val="a3"/>
        <w:rPr>
          <w:rtl/>
        </w:rPr>
      </w:pPr>
      <w:bookmarkStart w:id="2415" w:name="_Toc522810001"/>
      <w:bookmarkStart w:id="2416" w:name="_Toc19389300"/>
      <w:bookmarkStart w:id="2417" w:name="_Toc19392797"/>
      <w:r>
        <w:rPr>
          <w:rFonts w:hint="cs"/>
          <w:rtl/>
        </w:rPr>
        <w:t>דחיית החוו"ד דיצאה רק מכלל רוב בהמות שאין בהם ספק אך היא בכלל רוב כשרות</w:t>
      </w:r>
      <w:bookmarkEnd w:id="2415"/>
      <w:bookmarkEnd w:id="2416"/>
      <w:bookmarkEnd w:id="2417"/>
    </w:p>
    <w:p w14:paraId="08F869E7" w14:textId="77777777" w:rsidR="00852065" w:rsidRDefault="00852065" w:rsidP="00223668">
      <w:pPr>
        <w:pStyle w:val="a0"/>
        <w:rPr>
          <w:rtl/>
        </w:rPr>
      </w:pPr>
      <w:bookmarkStart w:id="2418" w:name="_Ref522480285"/>
      <w:r w:rsidRPr="006D4F29">
        <w:rPr>
          <w:rStyle w:val="af9"/>
          <w:rFonts w:hint="cs"/>
          <w:rtl/>
        </w:rPr>
        <w:t>ובחוו"ד</w:t>
      </w:r>
      <w:r>
        <w:rPr>
          <w:rFonts w:hint="cs"/>
          <w:rtl/>
        </w:rPr>
        <w:t xml:space="preserve"> </w:t>
      </w:r>
      <w:r w:rsidRPr="006D4F29">
        <w:rPr>
          <w:rStyle w:val="af7"/>
          <w:rFonts w:eastAsia="Guttman Hodes" w:hint="cs"/>
          <w:rtl/>
        </w:rPr>
        <w:t>(נ' א' ד"ה והנה התבו"ש)</w:t>
      </w:r>
      <w:r>
        <w:rPr>
          <w:rFonts w:hint="cs"/>
          <w:rtl/>
        </w:rPr>
        <w:t xml:space="preserve"> דחה את דברי </w:t>
      </w:r>
      <w:r w:rsidRPr="006D4F29">
        <w:rPr>
          <w:rStyle w:val="af9"/>
          <w:rFonts w:hint="cs"/>
          <w:rtl/>
        </w:rPr>
        <w:t>התבו"ש</w:t>
      </w:r>
      <w:r>
        <w:rPr>
          <w:rFonts w:hint="cs"/>
          <w:rtl/>
        </w:rPr>
        <w:t xml:space="preserve"> דאף שיצאה הבהמה מהרוב, דרוב בהמות אין להם מים במוח, מ"מ עדיין לא יצאה מרוב בהמות אינם טריפות, דאי נימא דאינה בכלל הרוב, א"כ כל בהמה חולה ונולד בה ספק טריפה, נאמר שאינה בכלל הרוב, כיון שרוב בהמות הם בריאות, ועי' במה שישב </w:t>
      </w:r>
      <w:r w:rsidRPr="00203CAA">
        <w:rPr>
          <w:rStyle w:val="af9"/>
          <w:rFonts w:hint="cs"/>
          <w:rtl/>
        </w:rPr>
        <w:t>הקוה"ע</w:t>
      </w:r>
      <w:r>
        <w:rPr>
          <w:rFonts w:hint="cs"/>
          <w:rtl/>
        </w:rPr>
        <w:t xml:space="preserve"> </w:t>
      </w:r>
      <w:r w:rsidRPr="00203CAA">
        <w:rPr>
          <w:rStyle w:val="af7"/>
          <w:rFonts w:eastAsia="Guttman Hodes" w:hint="cs"/>
          <w:rtl/>
        </w:rPr>
        <w:t xml:space="preserve">(עי' אות </w:t>
      </w:r>
      <w:r w:rsidRPr="00203CAA">
        <w:rPr>
          <w:rStyle w:val="af7"/>
          <w:rFonts w:eastAsia="Guttman Hodes"/>
          <w:rtl/>
        </w:rPr>
        <w:fldChar w:fldCharType="begin"/>
      </w:r>
      <w:r w:rsidRPr="00203CAA">
        <w:rPr>
          <w:rStyle w:val="af7"/>
          <w:rFonts w:eastAsia="Guttman Hodes"/>
          <w:rtl/>
        </w:rPr>
        <w:instrText xml:space="preserve"> </w:instrText>
      </w:r>
      <w:r w:rsidRPr="00203CAA">
        <w:rPr>
          <w:rStyle w:val="af7"/>
          <w:rFonts w:eastAsia="Guttman Hodes" w:hint="cs"/>
        </w:rPr>
        <w:instrText>REF</w:instrText>
      </w:r>
      <w:r w:rsidRPr="00203CAA">
        <w:rPr>
          <w:rStyle w:val="af7"/>
          <w:rFonts w:eastAsia="Guttman Hodes" w:hint="cs"/>
          <w:rtl/>
        </w:rPr>
        <w:instrText xml:space="preserve"> _</w:instrText>
      </w:r>
      <w:r w:rsidRPr="00203CAA">
        <w:rPr>
          <w:rStyle w:val="af7"/>
          <w:rFonts w:eastAsia="Guttman Hodes" w:hint="cs"/>
        </w:rPr>
        <w:instrText>Ref522805650 \r \h</w:instrText>
      </w:r>
      <w:r w:rsidRPr="00203CAA">
        <w:rPr>
          <w:rStyle w:val="af7"/>
          <w:rFonts w:eastAsia="Guttman Hodes"/>
          <w:rtl/>
        </w:rPr>
        <w:instrText xml:space="preserve"> </w:instrText>
      </w:r>
      <w:r w:rsidRPr="00203CAA">
        <w:rPr>
          <w:rStyle w:val="af7"/>
          <w:rFonts w:eastAsia="Guttman Hodes"/>
          <w:rtl/>
        </w:rPr>
      </w:r>
      <w:r w:rsidRPr="00203CAA">
        <w:rPr>
          <w:rStyle w:val="af7"/>
          <w:rFonts w:eastAsia="Guttman Hodes"/>
          <w:rtl/>
        </w:rPr>
        <w:fldChar w:fldCharType="separate"/>
      </w:r>
      <w:r w:rsidR="00345400">
        <w:rPr>
          <w:rStyle w:val="af7"/>
          <w:rFonts w:eastAsia="Guttman Hodes"/>
          <w:cs/>
        </w:rPr>
        <w:t>‎</w:t>
      </w:r>
      <w:r w:rsidR="00345400">
        <w:rPr>
          <w:rStyle w:val="af7"/>
          <w:rFonts w:eastAsia="Guttman Hodes"/>
          <w:rtl/>
        </w:rPr>
        <w:t>קכא)</w:t>
      </w:r>
      <w:r w:rsidRPr="00203CAA">
        <w:rPr>
          <w:rStyle w:val="af7"/>
          <w:rFonts w:eastAsia="Guttman Hodes"/>
          <w:rtl/>
        </w:rPr>
        <w:fldChar w:fldCharType="end"/>
      </w:r>
      <w:r>
        <w:rPr>
          <w:rFonts w:hint="cs"/>
          <w:rtl/>
        </w:rPr>
        <w:t xml:space="preserve"> את דברי </w:t>
      </w:r>
      <w:r w:rsidRPr="00203CAA">
        <w:rPr>
          <w:rStyle w:val="af9"/>
          <w:rFonts w:hint="cs"/>
          <w:rtl/>
        </w:rPr>
        <w:t>התבו"ש</w:t>
      </w:r>
      <w:r>
        <w:rPr>
          <w:rFonts w:hint="cs"/>
          <w:rtl/>
        </w:rPr>
        <w:t>.</w:t>
      </w:r>
      <w:bookmarkEnd w:id="2418"/>
    </w:p>
    <w:p w14:paraId="3D03786B" w14:textId="77777777" w:rsidR="00852065" w:rsidRDefault="00852065" w:rsidP="006D6D32">
      <w:pPr>
        <w:pStyle w:val="a3"/>
        <w:rPr>
          <w:rtl/>
        </w:rPr>
      </w:pPr>
      <w:bookmarkStart w:id="2419" w:name="_Toc522810002"/>
      <w:bookmarkStart w:id="2420" w:name="_Toc19389301"/>
      <w:bookmarkStart w:id="2421" w:name="_Toc19392798"/>
      <w:r>
        <w:rPr>
          <w:rFonts w:hint="cs"/>
          <w:rtl/>
        </w:rPr>
        <w:t>קושית החוו"ד דבקוץ בושט הספק הוא על הנקב ולא על הקוץ ויתכן שנולדה נקובה</w:t>
      </w:r>
      <w:bookmarkEnd w:id="2419"/>
      <w:bookmarkEnd w:id="2420"/>
      <w:bookmarkEnd w:id="2421"/>
    </w:p>
    <w:p w14:paraId="492F6EDF" w14:textId="77777777" w:rsidR="00852065" w:rsidRDefault="00852065" w:rsidP="00223668">
      <w:pPr>
        <w:pStyle w:val="a0"/>
        <w:rPr>
          <w:rtl/>
        </w:rPr>
      </w:pPr>
      <w:bookmarkStart w:id="2422" w:name="_Ref522522875"/>
      <w:r>
        <w:rPr>
          <w:rFonts w:hint="cs"/>
          <w:rtl/>
        </w:rPr>
        <w:t xml:space="preserve">ועוד הקשה </w:t>
      </w:r>
      <w:r w:rsidRPr="006D4F29">
        <w:rPr>
          <w:rStyle w:val="af9"/>
          <w:rFonts w:hint="cs"/>
          <w:rtl/>
        </w:rPr>
        <w:t>החוו"ד</w:t>
      </w:r>
      <w:r>
        <w:rPr>
          <w:rFonts w:hint="cs"/>
          <w:rtl/>
        </w:rPr>
        <w:t xml:space="preserve"> דמה שלא נולדה עם קוץ אינו חשיב חזקה מבוררת, דהא הספק אינו על הקוץ אלא על הנקב, ויתכן שנולדה עם נקב בושט.</w:t>
      </w:r>
      <w:bookmarkEnd w:id="2422"/>
    </w:p>
    <w:p w14:paraId="3BBD3E39" w14:textId="77777777" w:rsidR="00D61D2E" w:rsidRPr="00D61D2E" w:rsidRDefault="00D61D2E" w:rsidP="00D61D2E">
      <w:pPr>
        <w:pStyle w:val="a3"/>
        <w:rPr>
          <w:rtl/>
        </w:rPr>
      </w:pPr>
    </w:p>
    <w:p w14:paraId="6608E90C" w14:textId="77777777" w:rsidR="00D61D2E" w:rsidRPr="00D61D2E" w:rsidRDefault="00D61D2E" w:rsidP="00D61D2E">
      <w:pPr>
        <w:pStyle w:val="a3"/>
        <w:rPr>
          <w:rtl/>
        </w:rPr>
      </w:pPr>
    </w:p>
    <w:p w14:paraId="7EE1511D" w14:textId="77777777" w:rsidR="00D61D2E" w:rsidRPr="00D61D2E" w:rsidRDefault="00D61D2E" w:rsidP="00D61D2E">
      <w:pPr>
        <w:pStyle w:val="a3"/>
        <w:rPr>
          <w:rtl/>
        </w:rPr>
      </w:pPr>
    </w:p>
    <w:p w14:paraId="24F1CAFC" w14:textId="77777777" w:rsidR="00D61D2E" w:rsidRPr="00D61D2E" w:rsidRDefault="00D61D2E" w:rsidP="00D61D2E">
      <w:pPr>
        <w:pStyle w:val="a3"/>
        <w:rPr>
          <w:rtl/>
        </w:rPr>
      </w:pPr>
    </w:p>
    <w:p w14:paraId="6B04EC5A" w14:textId="77777777" w:rsidR="00D61D2E" w:rsidRPr="00D61D2E" w:rsidRDefault="00D61D2E" w:rsidP="00D61D2E">
      <w:pPr>
        <w:pStyle w:val="a3"/>
        <w:rPr>
          <w:rtl/>
        </w:rPr>
      </w:pPr>
    </w:p>
    <w:p w14:paraId="36EC2B7D" w14:textId="77777777" w:rsidR="00852065" w:rsidRDefault="00852065" w:rsidP="006D6D32">
      <w:pPr>
        <w:pStyle w:val="afe"/>
        <w:rPr>
          <w:rtl/>
        </w:rPr>
      </w:pPr>
      <w:bookmarkStart w:id="2423" w:name="_Toc522790307"/>
      <w:bookmarkStart w:id="2424" w:name="_Toc522800806"/>
      <w:bookmarkStart w:id="2425" w:name="_Toc522800914"/>
      <w:bookmarkStart w:id="2426" w:name="_Toc522810003"/>
      <w:bookmarkStart w:id="2427" w:name="_Toc19435271"/>
      <w:bookmarkStart w:id="2428" w:name="_Toc20080621"/>
      <w:r>
        <w:rPr>
          <w:rFonts w:hint="cs"/>
          <w:rtl/>
        </w:rPr>
        <w:t>בביאור הספק בנטל זאב</w:t>
      </w:r>
      <w:bookmarkEnd w:id="2351"/>
      <w:bookmarkEnd w:id="2423"/>
      <w:bookmarkEnd w:id="2424"/>
      <w:bookmarkEnd w:id="2425"/>
      <w:bookmarkEnd w:id="2426"/>
      <w:bookmarkEnd w:id="2427"/>
      <w:bookmarkEnd w:id="2428"/>
    </w:p>
    <w:p w14:paraId="1D4D1861" w14:textId="77777777" w:rsidR="00852065" w:rsidRDefault="00852065" w:rsidP="00BF39B2">
      <w:pPr>
        <w:pStyle w:val="1"/>
        <w:rPr>
          <w:rtl/>
        </w:rPr>
      </w:pPr>
      <w:bookmarkStart w:id="2429" w:name="_Toc522618787"/>
      <w:bookmarkStart w:id="2430" w:name="_Toc522790308"/>
      <w:bookmarkStart w:id="2431" w:name="_Toc522800807"/>
      <w:bookmarkStart w:id="2432" w:name="_Toc522800915"/>
      <w:bookmarkStart w:id="2433" w:name="_Toc522810004"/>
      <w:bookmarkStart w:id="2434" w:name="_Toc19389302"/>
      <w:bookmarkStart w:id="2435" w:name="_Toc19392799"/>
      <w:r>
        <w:rPr>
          <w:rFonts w:hint="cs"/>
          <w:rtl/>
        </w:rPr>
        <w:t>דברי התוס' שהיו נקבים הרבה</w:t>
      </w:r>
      <w:bookmarkEnd w:id="2429"/>
      <w:bookmarkEnd w:id="2430"/>
      <w:bookmarkEnd w:id="2431"/>
      <w:bookmarkEnd w:id="2432"/>
      <w:bookmarkEnd w:id="2433"/>
      <w:bookmarkEnd w:id="2434"/>
      <w:bookmarkEnd w:id="2435"/>
    </w:p>
    <w:p w14:paraId="31ACFD08" w14:textId="77777777" w:rsidR="00852065" w:rsidRDefault="00852065" w:rsidP="006D6D32">
      <w:pPr>
        <w:pStyle w:val="a3"/>
        <w:rPr>
          <w:rtl/>
        </w:rPr>
      </w:pPr>
      <w:bookmarkStart w:id="2436" w:name="_Toc522790309"/>
      <w:bookmarkStart w:id="2437" w:name="_Toc522800808"/>
      <w:bookmarkStart w:id="2438" w:name="_Toc522800916"/>
      <w:bookmarkStart w:id="2439" w:name="_Toc522810005"/>
      <w:bookmarkStart w:id="2440" w:name="_Toc19389303"/>
      <w:bookmarkStart w:id="2441" w:name="_Toc19392800"/>
      <w:r>
        <w:rPr>
          <w:rFonts w:hint="cs"/>
          <w:rtl/>
        </w:rPr>
        <w:t>דברי התוס' דיש הרבה נקבים שלא במקום שיני הזאב ותולים את כולם בזאב</w:t>
      </w:r>
      <w:bookmarkEnd w:id="2436"/>
      <w:bookmarkEnd w:id="2437"/>
      <w:bookmarkEnd w:id="2438"/>
      <w:bookmarkEnd w:id="2439"/>
      <w:bookmarkEnd w:id="2440"/>
      <w:bookmarkEnd w:id="2441"/>
    </w:p>
    <w:p w14:paraId="5473F3CC" w14:textId="77777777" w:rsidR="00852065" w:rsidRDefault="00852065" w:rsidP="00223668">
      <w:pPr>
        <w:pStyle w:val="a0"/>
        <w:rPr>
          <w:rtl/>
        </w:rPr>
      </w:pPr>
      <w:bookmarkStart w:id="2442" w:name="_Ref522463372"/>
      <w:r>
        <w:rPr>
          <w:rFonts w:hint="cs"/>
          <w:rtl/>
        </w:rPr>
        <w:t xml:space="preserve">כתבו </w:t>
      </w:r>
      <w:r w:rsidRPr="007B5BF0">
        <w:rPr>
          <w:rStyle w:val="af9"/>
          <w:rFonts w:hint="cs"/>
          <w:rtl/>
        </w:rPr>
        <w:t xml:space="preserve">התוס' </w:t>
      </w:r>
      <w:r w:rsidRPr="007B5BF0">
        <w:rPr>
          <w:rStyle w:val="af7"/>
          <w:rFonts w:eastAsia="Guttman Hodes" w:hint="cs"/>
          <w:rtl/>
        </w:rPr>
        <w:t>(ד"ה א"ל)</w:t>
      </w:r>
      <w:r>
        <w:rPr>
          <w:rFonts w:hint="cs"/>
          <w:rtl/>
        </w:rPr>
        <w:t xml:space="preserve"> דהא דאין חוששין שמא במקום נקב ניקב, הוא אף במקום שיש הרבה נקבים שלא במקום שיניו של הזאת, דתלינן דמתסברא דאת כל הנקבים עשה הזאב, וכמו שמצינו בגמ' לקמן </w:t>
      </w:r>
      <w:r w:rsidRPr="007B5BF0">
        <w:rPr>
          <w:rStyle w:val="af7"/>
          <w:rFonts w:eastAsia="Guttman Hodes" w:hint="cs"/>
          <w:rtl/>
        </w:rPr>
        <w:t>(מט.)</w:t>
      </w:r>
      <w:r>
        <w:rPr>
          <w:rFonts w:hint="cs"/>
          <w:rtl/>
        </w:rPr>
        <w:t xml:space="preserve"> בידא דטבחא, דבנמצא נקב בריאה במקום שהטבח ממשמש בידו, דתלינן לקולא.</w:t>
      </w:r>
      <w:bookmarkEnd w:id="2442"/>
    </w:p>
    <w:p w14:paraId="7F5CB56B" w14:textId="77777777" w:rsidR="00852065" w:rsidRDefault="00852065" w:rsidP="00BF39B2">
      <w:pPr>
        <w:pStyle w:val="1"/>
        <w:rPr>
          <w:rtl/>
        </w:rPr>
      </w:pPr>
      <w:bookmarkStart w:id="2443" w:name="_Toc522618788"/>
      <w:bookmarkStart w:id="2444" w:name="_Toc522790310"/>
      <w:bookmarkStart w:id="2445" w:name="_Toc522800809"/>
      <w:bookmarkStart w:id="2446" w:name="_Toc522800917"/>
      <w:bookmarkStart w:id="2447" w:name="_Toc522810006"/>
      <w:bookmarkStart w:id="2448" w:name="_Toc19389304"/>
      <w:bookmarkStart w:id="2449" w:name="_Toc19392801"/>
      <w:r>
        <w:rPr>
          <w:rFonts w:hint="cs"/>
          <w:rtl/>
        </w:rPr>
        <w:t>ביאורי האחרונים בדברי התוס' שהיו נקבים הרבה</w:t>
      </w:r>
      <w:bookmarkEnd w:id="2443"/>
      <w:bookmarkEnd w:id="2444"/>
      <w:bookmarkEnd w:id="2445"/>
      <w:bookmarkEnd w:id="2446"/>
      <w:bookmarkEnd w:id="2447"/>
      <w:bookmarkEnd w:id="2448"/>
      <w:bookmarkEnd w:id="2449"/>
    </w:p>
    <w:p w14:paraId="22A8C1AF" w14:textId="77777777" w:rsidR="00852065" w:rsidRPr="00A32A17" w:rsidRDefault="00852065" w:rsidP="006D6D32">
      <w:pPr>
        <w:pStyle w:val="a3"/>
        <w:rPr>
          <w:rtl/>
        </w:rPr>
      </w:pPr>
      <w:bookmarkStart w:id="2450" w:name="_Toc522790311"/>
      <w:bookmarkStart w:id="2451" w:name="_Toc522800810"/>
      <w:bookmarkStart w:id="2452" w:name="_Toc522800918"/>
      <w:bookmarkStart w:id="2453" w:name="_Toc522810007"/>
      <w:bookmarkStart w:id="2454" w:name="_Toc19389305"/>
      <w:bookmarkStart w:id="2455" w:name="_Toc19392802"/>
      <w:r>
        <w:rPr>
          <w:rFonts w:hint="cs"/>
          <w:rtl/>
        </w:rPr>
        <w:t>דברי הב"ח והט"ז דבזאב יש רק ספק אחד ובידא דטבחא יש ב' ספיקות</w:t>
      </w:r>
      <w:bookmarkEnd w:id="2450"/>
      <w:bookmarkEnd w:id="2451"/>
      <w:bookmarkEnd w:id="2452"/>
      <w:bookmarkEnd w:id="2453"/>
      <w:bookmarkEnd w:id="2454"/>
      <w:bookmarkEnd w:id="2455"/>
    </w:p>
    <w:p w14:paraId="3F1B1B22" w14:textId="77777777" w:rsidR="00852065" w:rsidRDefault="00852065" w:rsidP="00223668">
      <w:pPr>
        <w:pStyle w:val="a0"/>
        <w:rPr>
          <w:rtl/>
        </w:rPr>
      </w:pPr>
      <w:r>
        <w:rPr>
          <w:rFonts w:hint="cs"/>
          <w:rtl/>
        </w:rPr>
        <w:t xml:space="preserve">כתבו </w:t>
      </w:r>
      <w:r w:rsidRPr="00762FC2">
        <w:rPr>
          <w:rStyle w:val="af9"/>
          <w:rFonts w:hint="cs"/>
          <w:rtl/>
        </w:rPr>
        <w:t>הב"ח</w:t>
      </w:r>
      <w:r w:rsidRPr="00243553">
        <w:rPr>
          <w:rStyle w:val="af7"/>
          <w:rFonts w:eastAsia="Guttman Hodes" w:hint="cs"/>
          <w:rtl/>
        </w:rPr>
        <w:t xml:space="preserve"> (ל"ו ד')</w:t>
      </w:r>
      <w:r>
        <w:rPr>
          <w:rStyle w:val="af9"/>
          <w:rFonts w:hint="cs"/>
          <w:rtl/>
        </w:rPr>
        <w:t xml:space="preserve"> </w:t>
      </w:r>
      <w:r w:rsidRPr="00762FC2">
        <w:rPr>
          <w:rStyle w:val="af9"/>
          <w:rFonts w:hint="cs"/>
          <w:rtl/>
        </w:rPr>
        <w:t>והט"ז</w:t>
      </w:r>
      <w:r>
        <w:rPr>
          <w:rFonts w:hint="cs"/>
          <w:rtl/>
        </w:rPr>
        <w:t xml:space="preserve"> </w:t>
      </w:r>
      <w:r w:rsidRPr="00243553">
        <w:rPr>
          <w:rStyle w:val="af7"/>
          <w:rFonts w:eastAsia="Guttman Hodes" w:hint="cs"/>
          <w:rtl/>
        </w:rPr>
        <w:t>(ל"ו ו')</w:t>
      </w:r>
      <w:r>
        <w:rPr>
          <w:rFonts w:hint="cs"/>
          <w:rtl/>
        </w:rPr>
        <w:t xml:space="preserve"> דהא דתלינן בידא דטבחא, הוא דוקא במקום שידעינן בבירור שמשמש בכח על הנקב, אבל בלא"ה לא תלינן, ולא דמי לזאב דתלינן אף שלא במקום שיניו, כיון שבזאב יש רק ספק אחד, האם אחז הזאב את מקום הנקב בשיניו, דאי אחז פשיטא שניקב, אבל בידא דטבחא, יש ב' ספיקות האם אחז במקום הנקב, ואף אם אחז האם עשה נקב, ולכן כשלא ידוע בבירור שאחז במקום הנקב אין תולין.</w:t>
      </w:r>
    </w:p>
    <w:p w14:paraId="0DECC8E9" w14:textId="77777777" w:rsidR="00852065" w:rsidRDefault="00852065" w:rsidP="006D6D32">
      <w:pPr>
        <w:pStyle w:val="a3"/>
        <w:rPr>
          <w:rtl/>
        </w:rPr>
      </w:pPr>
      <w:bookmarkStart w:id="2456" w:name="_Toc522790312"/>
      <w:bookmarkStart w:id="2457" w:name="_Toc522800811"/>
      <w:bookmarkStart w:id="2458" w:name="_Toc522800919"/>
      <w:bookmarkStart w:id="2459" w:name="_Toc522810008"/>
      <w:bookmarkStart w:id="2460" w:name="_Toc19389306"/>
      <w:bookmarkStart w:id="2461" w:name="_Toc19392803"/>
      <w:r>
        <w:rPr>
          <w:rFonts w:hint="cs"/>
          <w:rtl/>
        </w:rPr>
        <w:t>קושית התבו"ש דהתוס' דימו את דין ידא דטבחא לזאב</w:t>
      </w:r>
      <w:bookmarkEnd w:id="2456"/>
      <w:bookmarkEnd w:id="2457"/>
      <w:bookmarkEnd w:id="2458"/>
      <w:bookmarkEnd w:id="2459"/>
      <w:bookmarkEnd w:id="2460"/>
      <w:bookmarkEnd w:id="2461"/>
    </w:p>
    <w:p w14:paraId="4FE45927" w14:textId="77777777" w:rsidR="00852065" w:rsidRDefault="00852065" w:rsidP="00223668">
      <w:pPr>
        <w:pStyle w:val="a0"/>
        <w:rPr>
          <w:rtl/>
        </w:rPr>
      </w:pPr>
      <w:r>
        <w:rPr>
          <w:rFonts w:hint="cs"/>
          <w:rtl/>
        </w:rPr>
        <w:t xml:space="preserve">והקשה </w:t>
      </w:r>
      <w:r w:rsidRPr="00762FC2">
        <w:rPr>
          <w:rStyle w:val="af9"/>
          <w:rFonts w:hint="cs"/>
          <w:rtl/>
        </w:rPr>
        <w:t>התבו"ש</w:t>
      </w:r>
      <w:r>
        <w:rPr>
          <w:rFonts w:hint="cs"/>
          <w:rtl/>
        </w:rPr>
        <w:t xml:space="preserve"> </w:t>
      </w:r>
      <w:r w:rsidRPr="00762FC2">
        <w:rPr>
          <w:rStyle w:val="af7"/>
          <w:rFonts w:eastAsia="Guttman Hodes" w:hint="cs"/>
          <w:rtl/>
        </w:rPr>
        <w:t>(ל"</w:t>
      </w:r>
      <w:r>
        <w:rPr>
          <w:rStyle w:val="af7"/>
          <w:rFonts w:eastAsia="Guttman Hodes" w:hint="cs"/>
          <w:rtl/>
        </w:rPr>
        <w:t>ו</w:t>
      </w:r>
      <w:r w:rsidRPr="00762FC2">
        <w:rPr>
          <w:rStyle w:val="af7"/>
          <w:rFonts w:eastAsia="Guttman Hodes" w:hint="cs"/>
          <w:rtl/>
        </w:rPr>
        <w:t xml:space="preserve"> י"ט)</w:t>
      </w:r>
      <w:r>
        <w:rPr>
          <w:rFonts w:hint="cs"/>
          <w:rtl/>
        </w:rPr>
        <w:t xml:space="preserve"> על </w:t>
      </w:r>
      <w:r w:rsidRPr="00762FC2">
        <w:rPr>
          <w:rStyle w:val="af9"/>
          <w:rFonts w:hint="cs"/>
          <w:rtl/>
        </w:rPr>
        <w:t>הב"ח והט"ז</w:t>
      </w:r>
      <w:r>
        <w:rPr>
          <w:rFonts w:hint="cs"/>
          <w:rtl/>
        </w:rPr>
        <w:t xml:space="preserve"> דא"כ מה הביאו </w:t>
      </w:r>
      <w:r w:rsidRPr="00762FC2">
        <w:rPr>
          <w:rStyle w:val="af9"/>
          <w:rFonts w:hint="cs"/>
          <w:rtl/>
        </w:rPr>
        <w:t>התוס'</w:t>
      </w:r>
      <w:r>
        <w:rPr>
          <w:rFonts w:hint="cs"/>
          <w:rtl/>
        </w:rPr>
        <w:t xml:space="preserve"> </w:t>
      </w:r>
      <w:r w:rsidRPr="00762FC2">
        <w:rPr>
          <w:rStyle w:val="af7"/>
          <w:rFonts w:eastAsia="Guttman Hodes" w:hint="cs"/>
          <w:rtl/>
        </w:rPr>
        <w:t xml:space="preserve">(עי' אות </w:t>
      </w:r>
      <w:r w:rsidRPr="00762FC2">
        <w:rPr>
          <w:rStyle w:val="af7"/>
          <w:rFonts w:eastAsia="Guttman Hodes"/>
          <w:rtl/>
        </w:rPr>
        <w:fldChar w:fldCharType="begin"/>
      </w:r>
      <w:r w:rsidRPr="00762FC2">
        <w:rPr>
          <w:rStyle w:val="af7"/>
          <w:rFonts w:eastAsia="Guttman Hodes"/>
          <w:rtl/>
        </w:rPr>
        <w:instrText xml:space="preserve"> </w:instrText>
      </w:r>
      <w:r w:rsidRPr="00762FC2">
        <w:rPr>
          <w:rStyle w:val="af7"/>
          <w:rFonts w:eastAsia="Guttman Hodes" w:hint="cs"/>
        </w:rPr>
        <w:instrText>REF</w:instrText>
      </w:r>
      <w:r w:rsidRPr="00762FC2">
        <w:rPr>
          <w:rStyle w:val="af7"/>
          <w:rFonts w:eastAsia="Guttman Hodes" w:hint="cs"/>
          <w:rtl/>
        </w:rPr>
        <w:instrText xml:space="preserve"> _</w:instrText>
      </w:r>
      <w:r w:rsidRPr="00762FC2">
        <w:rPr>
          <w:rStyle w:val="af7"/>
          <w:rFonts w:eastAsia="Guttman Hodes" w:hint="cs"/>
        </w:rPr>
        <w:instrText>Ref522463372 \r \h</w:instrText>
      </w:r>
      <w:r w:rsidRPr="00762FC2">
        <w:rPr>
          <w:rStyle w:val="af7"/>
          <w:rFonts w:eastAsia="Guttman Hodes"/>
          <w:rtl/>
        </w:rPr>
        <w:instrText xml:space="preserve"> </w:instrText>
      </w:r>
      <w:r w:rsidRPr="00762FC2">
        <w:rPr>
          <w:rStyle w:val="af7"/>
          <w:rFonts w:eastAsia="Guttman Hodes"/>
          <w:rtl/>
        </w:rPr>
      </w:r>
      <w:r w:rsidRPr="00762FC2">
        <w:rPr>
          <w:rStyle w:val="af7"/>
          <w:rFonts w:eastAsia="Guttman Hodes"/>
          <w:rtl/>
        </w:rPr>
        <w:fldChar w:fldCharType="separate"/>
      </w:r>
      <w:r w:rsidR="00345400">
        <w:rPr>
          <w:rStyle w:val="af7"/>
          <w:rFonts w:eastAsia="Guttman Hodes"/>
          <w:cs/>
        </w:rPr>
        <w:t>‎</w:t>
      </w:r>
      <w:r w:rsidR="00345400">
        <w:rPr>
          <w:rStyle w:val="af7"/>
          <w:rFonts w:eastAsia="Guttman Hodes"/>
          <w:rtl/>
        </w:rPr>
        <w:t>פח)</w:t>
      </w:r>
      <w:r w:rsidRPr="00762FC2">
        <w:rPr>
          <w:rStyle w:val="af7"/>
          <w:rFonts w:eastAsia="Guttman Hodes"/>
          <w:rtl/>
        </w:rPr>
        <w:fldChar w:fldCharType="end"/>
      </w:r>
      <w:r w:rsidRPr="00762FC2">
        <w:rPr>
          <w:rStyle w:val="af7"/>
          <w:rFonts w:eastAsia="Guttman Hodes" w:hint="cs"/>
          <w:rtl/>
        </w:rPr>
        <w:t xml:space="preserve"> </w:t>
      </w:r>
      <w:r>
        <w:rPr>
          <w:rFonts w:hint="cs"/>
          <w:rtl/>
        </w:rPr>
        <w:t xml:space="preserve">ראיה מידא דטבחא, דבזאב תלינן אף שלא במקום שיניו, הא בידא דטבחא תלינן רק במקום שידוע שנגע בכח באותו מקום, וכתב </w:t>
      </w:r>
      <w:r w:rsidRPr="00762FC2">
        <w:rPr>
          <w:rStyle w:val="af9"/>
          <w:rFonts w:hint="cs"/>
          <w:rtl/>
        </w:rPr>
        <w:t>התבו"ש</w:t>
      </w:r>
      <w:r>
        <w:rPr>
          <w:rFonts w:hint="cs"/>
          <w:rtl/>
        </w:rPr>
        <w:t xml:space="preserve"> דצריך לדחוק לדעת </w:t>
      </w:r>
      <w:r w:rsidRPr="00762FC2">
        <w:rPr>
          <w:rStyle w:val="af9"/>
          <w:rFonts w:hint="cs"/>
          <w:rtl/>
        </w:rPr>
        <w:t>הב"ח והט"ז</w:t>
      </w:r>
      <w:r>
        <w:rPr>
          <w:rFonts w:hint="cs"/>
          <w:rtl/>
        </w:rPr>
        <w:t xml:space="preserve"> דכוונת </w:t>
      </w:r>
      <w:r w:rsidRPr="00762FC2">
        <w:rPr>
          <w:rStyle w:val="af9"/>
          <w:rFonts w:hint="cs"/>
          <w:rtl/>
        </w:rPr>
        <w:t>התוס'</w:t>
      </w:r>
      <w:r>
        <w:rPr>
          <w:rFonts w:hint="cs"/>
          <w:rtl/>
        </w:rPr>
        <w:t xml:space="preserve"> לומר דכמו שבידא דטבחא תלינן בספק אחד לקולא, ה"ה בזאב.</w:t>
      </w:r>
    </w:p>
    <w:p w14:paraId="063D0417" w14:textId="77777777" w:rsidR="00852065" w:rsidRPr="00D9318A" w:rsidRDefault="00852065" w:rsidP="006D6D32">
      <w:pPr>
        <w:pStyle w:val="a3"/>
        <w:rPr>
          <w:rtl/>
        </w:rPr>
      </w:pPr>
    </w:p>
    <w:p w14:paraId="6DD28E71" w14:textId="77777777" w:rsidR="00852065" w:rsidRDefault="00852065" w:rsidP="006D6D32">
      <w:pPr>
        <w:pStyle w:val="a3"/>
        <w:rPr>
          <w:rtl/>
        </w:rPr>
      </w:pPr>
      <w:bookmarkStart w:id="2462" w:name="_Toc522810009"/>
      <w:bookmarkStart w:id="2463" w:name="_Toc19389307"/>
      <w:bookmarkStart w:id="2464" w:name="_Toc19392804"/>
      <w:r>
        <w:rPr>
          <w:rFonts w:hint="cs"/>
          <w:rtl/>
        </w:rPr>
        <w:t>קושית התבו"ש על הב"ח והט"ז דזאב לא דמי לידא דטבחא דודאי נגע במקום הנקב</w:t>
      </w:r>
      <w:bookmarkEnd w:id="2462"/>
      <w:bookmarkEnd w:id="2463"/>
      <w:bookmarkEnd w:id="2464"/>
    </w:p>
    <w:p w14:paraId="41AF65B5" w14:textId="77777777" w:rsidR="00852065" w:rsidRPr="00696194" w:rsidRDefault="00852065" w:rsidP="00223668">
      <w:pPr>
        <w:pStyle w:val="a0"/>
        <w:rPr>
          <w:rtl/>
        </w:rPr>
      </w:pPr>
      <w:r>
        <w:rPr>
          <w:rFonts w:hint="cs"/>
          <w:rtl/>
        </w:rPr>
        <w:t xml:space="preserve">אך הקשה </w:t>
      </w:r>
      <w:r w:rsidRPr="00762FC2">
        <w:rPr>
          <w:rStyle w:val="af9"/>
          <w:rFonts w:hint="cs"/>
          <w:rtl/>
        </w:rPr>
        <w:t>התבו"ש</w:t>
      </w:r>
      <w:r>
        <w:rPr>
          <w:rFonts w:hint="cs"/>
          <w:rtl/>
        </w:rPr>
        <w:t xml:space="preserve"> דא"כ מהיכן הוכיחו</w:t>
      </w:r>
      <w:r w:rsidRPr="00762FC2">
        <w:rPr>
          <w:rStyle w:val="af9"/>
          <w:rFonts w:hint="cs"/>
          <w:rtl/>
        </w:rPr>
        <w:t xml:space="preserve"> התוס'</w:t>
      </w:r>
      <w:r>
        <w:rPr>
          <w:rFonts w:hint="cs"/>
          <w:rtl/>
        </w:rPr>
        <w:t xml:space="preserve"> שהספיקות דמו להדדי, הא יתכן שבזאב שיש ספק אם נגע במקום הנקב גרע טפי, ועוד הקשה </w:t>
      </w:r>
      <w:r w:rsidRPr="00762FC2">
        <w:rPr>
          <w:rStyle w:val="af9"/>
          <w:rFonts w:hint="cs"/>
          <w:rtl/>
        </w:rPr>
        <w:t>התבו"ש</w:t>
      </w:r>
      <w:r>
        <w:rPr>
          <w:rFonts w:hint="cs"/>
          <w:rtl/>
        </w:rPr>
        <w:t xml:space="preserve"> דבגמ' משמע דזאב אינו ודאי נוקב, אלא הוא כידא דטבחא דיתכן שנוקב.</w:t>
      </w:r>
    </w:p>
    <w:p w14:paraId="00DDB6E3" w14:textId="77777777" w:rsidR="00852065" w:rsidRDefault="00852065" w:rsidP="006D6D32">
      <w:pPr>
        <w:pStyle w:val="a3"/>
        <w:rPr>
          <w:rtl/>
        </w:rPr>
      </w:pPr>
      <w:bookmarkStart w:id="2465" w:name="_Toc522810010"/>
      <w:bookmarkStart w:id="2466" w:name="_Toc19389308"/>
      <w:bookmarkStart w:id="2467" w:name="_Toc19392805"/>
      <w:r>
        <w:rPr>
          <w:rFonts w:hint="cs"/>
          <w:rtl/>
        </w:rPr>
        <w:t>ביאור התבו"ש בתוס' דבזאב וידא דטבחא אף שלא ידוע שנגע במקום הנקב מותר</w:t>
      </w:r>
      <w:bookmarkEnd w:id="2465"/>
      <w:bookmarkEnd w:id="2466"/>
      <w:bookmarkEnd w:id="2467"/>
    </w:p>
    <w:p w14:paraId="54BDC5AE" w14:textId="77777777" w:rsidR="00852065" w:rsidRDefault="00852065" w:rsidP="00223668">
      <w:pPr>
        <w:pStyle w:val="a0"/>
        <w:rPr>
          <w:rtl/>
        </w:rPr>
      </w:pPr>
      <w:r>
        <w:rPr>
          <w:rFonts w:hint="cs"/>
          <w:rtl/>
        </w:rPr>
        <w:t xml:space="preserve">אלא כתב </w:t>
      </w:r>
      <w:r w:rsidRPr="00762FC2">
        <w:rPr>
          <w:rStyle w:val="af9"/>
          <w:rFonts w:hint="cs"/>
          <w:rtl/>
        </w:rPr>
        <w:t>התבו"ש</w:t>
      </w:r>
      <w:r>
        <w:rPr>
          <w:rFonts w:hint="cs"/>
          <w:rtl/>
        </w:rPr>
        <w:t xml:space="preserve"> דכוונת </w:t>
      </w:r>
      <w:r w:rsidRPr="00762FC2">
        <w:rPr>
          <w:rStyle w:val="af9"/>
          <w:rFonts w:hint="cs"/>
          <w:rtl/>
        </w:rPr>
        <w:t xml:space="preserve">התוס' </w:t>
      </w:r>
      <w:r>
        <w:rPr>
          <w:rFonts w:hint="cs"/>
          <w:rtl/>
        </w:rPr>
        <w:t>להוכיח מהא דבזאב תלינן לקולא כיון שהוחזקו שיניו בבני מעיים אלו, אף שלא ידעינן אם נטלם במקום הנקב, וה"ה בידא דטבחא דכיון שמשמש בריאה תלינן אף שלא ידעינן אי משמש במקום הנקב.</w:t>
      </w:r>
    </w:p>
    <w:p w14:paraId="0F558C4A" w14:textId="77777777" w:rsidR="00AD3E57" w:rsidRPr="00AD3E57" w:rsidRDefault="00AD3E57" w:rsidP="006D6D32">
      <w:pPr>
        <w:pStyle w:val="a3"/>
        <w:rPr>
          <w:rtl/>
        </w:rPr>
      </w:pPr>
    </w:p>
    <w:p w14:paraId="5FF3BD49" w14:textId="77777777" w:rsidR="00852065" w:rsidRDefault="00852065" w:rsidP="00BF39B2">
      <w:pPr>
        <w:pStyle w:val="1"/>
        <w:rPr>
          <w:rtl/>
        </w:rPr>
      </w:pPr>
      <w:bookmarkStart w:id="2468" w:name="_Toc522618789"/>
      <w:bookmarkStart w:id="2469" w:name="_Toc522790313"/>
      <w:bookmarkStart w:id="2470" w:name="_Toc522800812"/>
      <w:bookmarkStart w:id="2471" w:name="_Toc522800920"/>
      <w:bookmarkStart w:id="2472" w:name="_Toc522810011"/>
      <w:bookmarkStart w:id="2473" w:name="_Toc19389309"/>
      <w:bookmarkStart w:id="2474" w:name="_Toc19392806"/>
      <w:r>
        <w:rPr>
          <w:rFonts w:hint="cs"/>
          <w:rtl/>
        </w:rPr>
        <w:t>דברי הרמב"ן בביאור הספק בנטל זאב</w:t>
      </w:r>
      <w:bookmarkEnd w:id="2468"/>
      <w:bookmarkEnd w:id="2469"/>
      <w:bookmarkEnd w:id="2470"/>
      <w:bookmarkEnd w:id="2471"/>
      <w:bookmarkEnd w:id="2472"/>
      <w:bookmarkEnd w:id="2473"/>
      <w:bookmarkEnd w:id="2474"/>
    </w:p>
    <w:p w14:paraId="24B18186" w14:textId="77777777" w:rsidR="00852065" w:rsidRPr="009C52A7" w:rsidRDefault="00852065" w:rsidP="006D6D32">
      <w:pPr>
        <w:pStyle w:val="a3"/>
        <w:rPr>
          <w:rtl/>
        </w:rPr>
      </w:pPr>
      <w:bookmarkStart w:id="2475" w:name="_Toc522790314"/>
      <w:bookmarkStart w:id="2476" w:name="_Toc522800813"/>
      <w:bookmarkStart w:id="2477" w:name="_Toc522800921"/>
      <w:bookmarkStart w:id="2478" w:name="_Toc522810012"/>
      <w:bookmarkStart w:id="2479" w:name="_Toc19389310"/>
      <w:bookmarkStart w:id="2480" w:name="_Toc19392807"/>
      <w:r>
        <w:rPr>
          <w:rFonts w:hint="cs"/>
          <w:rtl/>
        </w:rPr>
        <w:t>דברי הרמב"ן בשם י"א דריאה שניטלה מותרת כזאב</w:t>
      </w:r>
      <w:bookmarkEnd w:id="2475"/>
      <w:bookmarkEnd w:id="2476"/>
      <w:bookmarkEnd w:id="2477"/>
      <w:bookmarkEnd w:id="2478"/>
      <w:bookmarkEnd w:id="2479"/>
      <w:bookmarkEnd w:id="2480"/>
    </w:p>
    <w:p w14:paraId="48C2A9A7" w14:textId="77777777" w:rsidR="00852065" w:rsidRDefault="00852065" w:rsidP="00223668">
      <w:pPr>
        <w:pStyle w:val="a0"/>
        <w:rPr>
          <w:rtl/>
        </w:rPr>
      </w:pPr>
      <w:r>
        <w:rPr>
          <w:rFonts w:hint="cs"/>
          <w:rtl/>
        </w:rPr>
        <w:t xml:space="preserve">כתב </w:t>
      </w:r>
      <w:r w:rsidRPr="00EA48C2">
        <w:rPr>
          <w:rStyle w:val="af9"/>
          <w:rFonts w:hint="cs"/>
          <w:rtl/>
        </w:rPr>
        <w:t>הרמב"ן</w:t>
      </w:r>
      <w:r>
        <w:rPr>
          <w:rFonts w:hint="cs"/>
          <w:rtl/>
        </w:rPr>
        <w:t xml:space="preserve"> </w:t>
      </w:r>
      <w:r w:rsidRPr="00EA48C2">
        <w:rPr>
          <w:rStyle w:val="af7"/>
          <w:rFonts w:eastAsia="Guttman Hodes" w:hint="cs"/>
          <w:rtl/>
        </w:rPr>
        <w:t>(לקמן יב. ד"ה ויש מי)</w:t>
      </w:r>
      <w:r>
        <w:rPr>
          <w:rFonts w:hint="cs"/>
          <w:rtl/>
        </w:rPr>
        <w:t xml:space="preserve"> בשם </w:t>
      </w:r>
      <w:r w:rsidRPr="00EA48C2">
        <w:rPr>
          <w:rStyle w:val="af9"/>
          <w:rFonts w:hint="cs"/>
          <w:rtl/>
        </w:rPr>
        <w:t>י"א</w:t>
      </w:r>
      <w:r>
        <w:rPr>
          <w:rFonts w:hint="cs"/>
          <w:rtl/>
        </w:rPr>
        <w:t xml:space="preserve"> דריאה שלא נבדקה ונטלה זאב, היא כשרה, כדאיתא בסוגיין דזאב שנטל בני מעיים ואינם לפנינו, דהבהמה כשרה.</w:t>
      </w:r>
    </w:p>
    <w:p w14:paraId="6EF33971" w14:textId="77777777" w:rsidR="00852065" w:rsidRPr="00AE3671" w:rsidRDefault="00852065" w:rsidP="006D6D32">
      <w:pPr>
        <w:pStyle w:val="a3"/>
        <w:rPr>
          <w:rtl/>
        </w:rPr>
      </w:pPr>
      <w:bookmarkStart w:id="2481" w:name="_Toc522790315"/>
      <w:bookmarkStart w:id="2482" w:name="_Toc522800814"/>
      <w:bookmarkStart w:id="2483" w:name="_Toc522800922"/>
      <w:bookmarkStart w:id="2484" w:name="_Toc522810013"/>
      <w:bookmarkStart w:id="2485" w:name="_Toc19389311"/>
      <w:bookmarkStart w:id="2486" w:name="_Toc19392808"/>
      <w:r>
        <w:rPr>
          <w:rFonts w:hint="cs"/>
          <w:rtl/>
        </w:rPr>
        <w:t>קושית הרמב"ן דכיון שהזאב ניקבם אמאי חיישינן שמא היה נקב אחר</w:t>
      </w:r>
      <w:bookmarkEnd w:id="2481"/>
      <w:bookmarkEnd w:id="2482"/>
      <w:bookmarkEnd w:id="2483"/>
      <w:bookmarkEnd w:id="2484"/>
      <w:bookmarkEnd w:id="2485"/>
      <w:bookmarkEnd w:id="2486"/>
    </w:p>
    <w:p w14:paraId="03EF92B9" w14:textId="77777777" w:rsidR="00852065" w:rsidRDefault="00852065" w:rsidP="00223668">
      <w:pPr>
        <w:pStyle w:val="a0"/>
        <w:rPr>
          <w:rtl/>
        </w:rPr>
      </w:pPr>
      <w:r>
        <w:rPr>
          <w:rFonts w:hint="cs"/>
          <w:rtl/>
        </w:rPr>
        <w:t xml:space="preserve">והקשה </w:t>
      </w:r>
      <w:r w:rsidRPr="00EA48C2">
        <w:rPr>
          <w:rStyle w:val="af9"/>
          <w:rFonts w:hint="cs"/>
          <w:rtl/>
        </w:rPr>
        <w:t>הרמב"ן</w:t>
      </w:r>
      <w:r>
        <w:rPr>
          <w:rFonts w:hint="cs"/>
          <w:rtl/>
        </w:rPr>
        <w:t xml:space="preserve"> בהחזירן כשהם מנוקבים אמאי חיישינן שמא במקום נקב ניקב, הא כיון שאם אינם לפנינו כלל היא כשרה, וכשהחזירם ואנו יודעים שהזאב ניקבם, אמאי חיישינן שמא היה שם עוד נקב אחר.</w:t>
      </w:r>
    </w:p>
    <w:p w14:paraId="18DC81A0" w14:textId="77777777" w:rsidR="00852065" w:rsidRDefault="00852065" w:rsidP="006D6D32">
      <w:pPr>
        <w:pStyle w:val="a3"/>
        <w:rPr>
          <w:rtl/>
        </w:rPr>
      </w:pPr>
      <w:bookmarkStart w:id="2487" w:name="_Toc522790316"/>
      <w:bookmarkStart w:id="2488" w:name="_Toc522800815"/>
      <w:bookmarkStart w:id="2489" w:name="_Toc522800923"/>
      <w:bookmarkStart w:id="2490" w:name="_Toc522810014"/>
      <w:bookmarkStart w:id="2491" w:name="_Toc19389312"/>
      <w:bookmarkStart w:id="2492" w:name="_Toc19392809"/>
      <w:r>
        <w:rPr>
          <w:rFonts w:hint="cs"/>
          <w:rtl/>
        </w:rPr>
        <w:t>ביאור הרמב"ן דלא ידוע שהזאב ניקב אלא דדרכו לנקב</w:t>
      </w:r>
      <w:bookmarkEnd w:id="2487"/>
      <w:bookmarkEnd w:id="2488"/>
      <w:bookmarkEnd w:id="2489"/>
      <w:bookmarkEnd w:id="2490"/>
      <w:bookmarkEnd w:id="2491"/>
      <w:bookmarkEnd w:id="2492"/>
    </w:p>
    <w:p w14:paraId="5E65965D" w14:textId="77777777" w:rsidR="00852065" w:rsidRDefault="00852065" w:rsidP="00223668">
      <w:pPr>
        <w:pStyle w:val="a0"/>
        <w:rPr>
          <w:rtl/>
        </w:rPr>
      </w:pPr>
      <w:r>
        <w:rPr>
          <w:rFonts w:hint="cs"/>
          <w:rtl/>
        </w:rPr>
        <w:t xml:space="preserve">וכתב </w:t>
      </w:r>
      <w:r w:rsidRPr="008F7D9C">
        <w:rPr>
          <w:rStyle w:val="af9"/>
          <w:rFonts w:hint="cs"/>
          <w:rtl/>
        </w:rPr>
        <w:t>הרמב"ן</w:t>
      </w:r>
      <w:r>
        <w:rPr>
          <w:rFonts w:hint="cs"/>
          <w:rtl/>
        </w:rPr>
        <w:t xml:space="preserve"> דמשמע דלא ראינו שהזאב ניקבם, אלא דכיון שדרך הזאב לנקב, ואנו רואים נקב, חיישינן שמא מתחילה היה נקב, והכניס הזאב את ציפורניו במקום הנקב, והזאב עצמו לא ניקב כלום, ולשון הגמ' דניקב במקום הנקב, היינו שהכניס את ציפורניו לתוך הנקב.</w:t>
      </w:r>
    </w:p>
    <w:p w14:paraId="7A46534F" w14:textId="77777777" w:rsidR="00852065" w:rsidRDefault="00852065" w:rsidP="006D6D32">
      <w:pPr>
        <w:pStyle w:val="a3"/>
        <w:rPr>
          <w:rtl/>
        </w:rPr>
      </w:pPr>
      <w:bookmarkStart w:id="2493" w:name="_Toc522790317"/>
      <w:bookmarkStart w:id="2494" w:name="_Toc522800816"/>
      <w:bookmarkStart w:id="2495" w:name="_Toc522800924"/>
      <w:bookmarkStart w:id="2496" w:name="_Toc522810015"/>
      <w:bookmarkStart w:id="2497" w:name="_Toc19389313"/>
      <w:bookmarkStart w:id="2498" w:name="_Toc19392810"/>
      <w:r>
        <w:rPr>
          <w:rFonts w:hint="cs"/>
          <w:rtl/>
        </w:rPr>
        <w:t>דברי הרמב"ן דבין בודאי ניקב הזאב ובין בספק אם הזאב ניקב היא בחזקת היתר</w:t>
      </w:r>
      <w:bookmarkEnd w:id="2493"/>
      <w:bookmarkEnd w:id="2494"/>
      <w:bookmarkEnd w:id="2495"/>
      <w:bookmarkEnd w:id="2496"/>
      <w:bookmarkEnd w:id="2497"/>
      <w:bookmarkEnd w:id="2498"/>
    </w:p>
    <w:p w14:paraId="76F7029E" w14:textId="77777777" w:rsidR="00852065" w:rsidRDefault="00852065" w:rsidP="00223668">
      <w:pPr>
        <w:pStyle w:val="a0"/>
        <w:rPr>
          <w:rtl/>
        </w:rPr>
      </w:pPr>
      <w:r>
        <w:rPr>
          <w:rFonts w:hint="cs"/>
          <w:rtl/>
        </w:rPr>
        <w:t xml:space="preserve">וכתב </w:t>
      </w:r>
      <w:r w:rsidRPr="008F7D9C">
        <w:rPr>
          <w:rStyle w:val="af9"/>
          <w:rFonts w:hint="cs"/>
          <w:rtl/>
        </w:rPr>
        <w:t>הרמב"ן</w:t>
      </w:r>
      <w:r>
        <w:rPr>
          <w:rFonts w:hint="cs"/>
          <w:rtl/>
        </w:rPr>
        <w:t xml:space="preserve"> דהא דבחזקת היתר קיימא הוא בין בניקב הזאב לפנינו, ובין אם חוששים שניקב, דהכל בכלל החזקת היתר, וכמו שמצינו בגמ' לקמן </w:t>
      </w:r>
      <w:r w:rsidRPr="007B5BF0">
        <w:rPr>
          <w:rStyle w:val="af7"/>
          <w:rFonts w:eastAsia="Guttman Hodes" w:hint="cs"/>
          <w:rtl/>
        </w:rPr>
        <w:t>(מט.)</w:t>
      </w:r>
      <w:r>
        <w:rPr>
          <w:rFonts w:hint="cs"/>
          <w:rtl/>
        </w:rPr>
        <w:t xml:space="preserve"> דבנמצא נקב בראיה במקום שהטבח ממשמש בידו, תלינן לקולא, ועיי"ש במה שביאר </w:t>
      </w:r>
      <w:r w:rsidRPr="0080115A">
        <w:rPr>
          <w:rStyle w:val="af9"/>
          <w:rFonts w:hint="cs"/>
          <w:rtl/>
        </w:rPr>
        <w:t>הרמב"ן</w:t>
      </w:r>
      <w:r>
        <w:rPr>
          <w:rFonts w:hint="cs"/>
          <w:rtl/>
        </w:rPr>
        <w:t xml:space="preserve"> לפי"ז את קושית הגמ'.</w:t>
      </w:r>
    </w:p>
    <w:p w14:paraId="7D2C7097" w14:textId="77777777" w:rsidR="00852065" w:rsidRDefault="00852065" w:rsidP="00BF39B2">
      <w:pPr>
        <w:pStyle w:val="1"/>
        <w:rPr>
          <w:rtl/>
        </w:rPr>
      </w:pPr>
      <w:bookmarkStart w:id="2499" w:name="_Toc522618790"/>
      <w:bookmarkStart w:id="2500" w:name="_Toc522790318"/>
      <w:bookmarkStart w:id="2501" w:name="_Toc522800817"/>
      <w:bookmarkStart w:id="2502" w:name="_Toc522800925"/>
      <w:bookmarkStart w:id="2503" w:name="_Toc522810016"/>
      <w:bookmarkStart w:id="2504" w:name="_Toc19389314"/>
      <w:bookmarkStart w:id="2505" w:name="_Toc19392811"/>
      <w:r>
        <w:rPr>
          <w:rFonts w:hint="cs"/>
          <w:rtl/>
        </w:rPr>
        <w:t>דברי הרא"ה והשיטמ"ק בביאור הספק בנטל זאב</w:t>
      </w:r>
      <w:bookmarkEnd w:id="2499"/>
      <w:bookmarkEnd w:id="2500"/>
      <w:bookmarkEnd w:id="2501"/>
      <w:bookmarkEnd w:id="2502"/>
      <w:bookmarkEnd w:id="2503"/>
      <w:bookmarkEnd w:id="2504"/>
      <w:bookmarkEnd w:id="2505"/>
    </w:p>
    <w:p w14:paraId="2CE8412D" w14:textId="77777777" w:rsidR="00852065" w:rsidRPr="0035571D" w:rsidRDefault="00852065" w:rsidP="006D6D32">
      <w:pPr>
        <w:pStyle w:val="a3"/>
        <w:rPr>
          <w:rtl/>
        </w:rPr>
      </w:pPr>
      <w:bookmarkStart w:id="2506" w:name="_Toc522790319"/>
      <w:bookmarkStart w:id="2507" w:name="_Toc522800818"/>
      <w:bookmarkStart w:id="2508" w:name="_Toc522800926"/>
      <w:bookmarkStart w:id="2509" w:name="_Toc522810017"/>
      <w:bookmarkStart w:id="2510" w:name="_Toc19389315"/>
      <w:bookmarkStart w:id="2511" w:name="_Toc19392812"/>
      <w:r>
        <w:rPr>
          <w:rFonts w:hint="cs"/>
          <w:rtl/>
        </w:rPr>
        <w:t>דברי הרא"ה דהספק הוא רק באין ידוע אם הזאב ניקב דבידוע פשיטא דמותר</w:t>
      </w:r>
      <w:bookmarkEnd w:id="2506"/>
      <w:bookmarkEnd w:id="2507"/>
      <w:bookmarkEnd w:id="2508"/>
      <w:bookmarkEnd w:id="2509"/>
      <w:bookmarkEnd w:id="2510"/>
      <w:bookmarkEnd w:id="2511"/>
    </w:p>
    <w:p w14:paraId="6519199C" w14:textId="77777777" w:rsidR="00852065" w:rsidRDefault="00852065" w:rsidP="00223668">
      <w:pPr>
        <w:pStyle w:val="a0"/>
        <w:rPr>
          <w:rtl/>
        </w:rPr>
      </w:pPr>
      <w:r>
        <w:rPr>
          <w:rFonts w:hint="cs"/>
          <w:rtl/>
        </w:rPr>
        <w:t xml:space="preserve">כתב </w:t>
      </w:r>
      <w:r w:rsidRPr="0035571D">
        <w:rPr>
          <w:rStyle w:val="af9"/>
          <w:rFonts w:hint="cs"/>
          <w:rtl/>
        </w:rPr>
        <w:t>השיטמ"ק</w:t>
      </w:r>
      <w:r>
        <w:rPr>
          <w:rFonts w:hint="cs"/>
          <w:rtl/>
        </w:rPr>
        <w:t xml:space="preserve"> </w:t>
      </w:r>
      <w:r w:rsidRPr="0035571D">
        <w:rPr>
          <w:rStyle w:val="af7"/>
          <w:rFonts w:eastAsia="Guttman Hodes" w:hint="cs"/>
          <w:rtl/>
        </w:rPr>
        <w:t>(ד"ה אלא)</w:t>
      </w:r>
      <w:r>
        <w:rPr>
          <w:rFonts w:hint="cs"/>
          <w:rtl/>
        </w:rPr>
        <w:t xml:space="preserve"> בשם </w:t>
      </w:r>
      <w:r w:rsidRPr="0035571D">
        <w:rPr>
          <w:rStyle w:val="af9"/>
          <w:rFonts w:hint="cs"/>
          <w:rtl/>
        </w:rPr>
        <w:t>הרא"ה</w:t>
      </w:r>
      <w:r>
        <w:rPr>
          <w:rFonts w:hint="cs"/>
          <w:rtl/>
        </w:rPr>
        <w:t xml:space="preserve"> דבמקום שהזאב ניקב את הבני מעיים פשיטא דתלינן בזאב, והספק של הגמ' הוא כשנטלן הזאב והחזירם כשהם מנוקבים, האם ניקבם הזאב, או שהיו מנוקבים מעיקרא, ואף את"ל שניקבם הזאב, שמא במקום נקב ניקב.</w:t>
      </w:r>
    </w:p>
    <w:p w14:paraId="0EF873B4" w14:textId="77777777" w:rsidR="00852065" w:rsidRDefault="00852065" w:rsidP="006D6D32">
      <w:pPr>
        <w:pStyle w:val="a3"/>
        <w:rPr>
          <w:rtl/>
        </w:rPr>
      </w:pPr>
      <w:bookmarkStart w:id="2512" w:name="_Toc522790320"/>
      <w:bookmarkStart w:id="2513" w:name="_Toc522800819"/>
      <w:bookmarkStart w:id="2514" w:name="_Toc522800927"/>
      <w:bookmarkStart w:id="2515" w:name="_Toc522810018"/>
      <w:bookmarkStart w:id="2516" w:name="_Toc19389316"/>
      <w:bookmarkStart w:id="2517" w:name="_Toc19392813"/>
      <w:r>
        <w:rPr>
          <w:rFonts w:hint="cs"/>
          <w:rtl/>
        </w:rPr>
        <w:t>קושית השיטמ"ק דבגמ' משמע שהזאב ניקב בפנינו ובלא ידוע שניקב מנלן דתלינן בזאב</w:t>
      </w:r>
      <w:bookmarkEnd w:id="2512"/>
      <w:bookmarkEnd w:id="2513"/>
      <w:bookmarkEnd w:id="2514"/>
      <w:bookmarkEnd w:id="2515"/>
      <w:bookmarkEnd w:id="2516"/>
      <w:bookmarkEnd w:id="2517"/>
    </w:p>
    <w:p w14:paraId="6C7B87CB" w14:textId="77777777" w:rsidR="00852065" w:rsidRDefault="00852065" w:rsidP="00223668">
      <w:pPr>
        <w:pStyle w:val="a0"/>
        <w:rPr>
          <w:rtl/>
        </w:rPr>
      </w:pPr>
      <w:r>
        <w:rPr>
          <w:rFonts w:hint="cs"/>
          <w:rtl/>
        </w:rPr>
        <w:t xml:space="preserve">והקשה </w:t>
      </w:r>
      <w:r w:rsidRPr="0035571D">
        <w:rPr>
          <w:rStyle w:val="af9"/>
          <w:rFonts w:hint="cs"/>
          <w:rtl/>
        </w:rPr>
        <w:t>השיטמ"ק</w:t>
      </w:r>
      <w:r>
        <w:rPr>
          <w:rFonts w:hint="cs"/>
          <w:rtl/>
        </w:rPr>
        <w:t xml:space="preserve"> על </w:t>
      </w:r>
      <w:r w:rsidRPr="0035571D">
        <w:rPr>
          <w:rStyle w:val="af9"/>
          <w:rFonts w:hint="cs"/>
          <w:rtl/>
        </w:rPr>
        <w:t>הרא"ה</w:t>
      </w:r>
      <w:r>
        <w:rPr>
          <w:rFonts w:hint="cs"/>
          <w:rtl/>
        </w:rPr>
        <w:t xml:space="preserve"> דמלשון הגמ' משמע שהזאב ניקב בפנינו, והספק הוא האם במקום נקב ניקב, אבל במקום שלא ידוע שהזאב ניקב, לא מבואר בגמ' דתלינן בזאב.</w:t>
      </w:r>
    </w:p>
    <w:p w14:paraId="5A157AEB" w14:textId="77777777" w:rsidR="00852065" w:rsidRDefault="00852065" w:rsidP="006D6D32">
      <w:pPr>
        <w:pStyle w:val="a3"/>
        <w:rPr>
          <w:rtl/>
        </w:rPr>
      </w:pPr>
      <w:bookmarkStart w:id="2518" w:name="_Toc522790321"/>
      <w:bookmarkStart w:id="2519" w:name="_Toc522800820"/>
      <w:bookmarkStart w:id="2520" w:name="_Toc522800928"/>
      <w:bookmarkStart w:id="2521" w:name="_Toc522810019"/>
      <w:bookmarkStart w:id="2522" w:name="_Toc19389317"/>
      <w:bookmarkStart w:id="2523" w:name="_Toc19392814"/>
      <w:r>
        <w:rPr>
          <w:rFonts w:hint="cs"/>
          <w:rtl/>
        </w:rPr>
        <w:t>דברי השיטמ"ק דבגמ' בידא דטבחא מבואר כדברי הרא"ה</w:t>
      </w:r>
      <w:bookmarkEnd w:id="2518"/>
      <w:bookmarkEnd w:id="2519"/>
      <w:bookmarkEnd w:id="2520"/>
      <w:bookmarkEnd w:id="2521"/>
      <w:bookmarkEnd w:id="2522"/>
      <w:bookmarkEnd w:id="2523"/>
    </w:p>
    <w:p w14:paraId="05197319" w14:textId="77777777" w:rsidR="00852065" w:rsidRDefault="00852065" w:rsidP="00223668">
      <w:pPr>
        <w:pStyle w:val="a0"/>
        <w:rPr>
          <w:rtl/>
        </w:rPr>
      </w:pPr>
      <w:r>
        <w:rPr>
          <w:rFonts w:hint="cs"/>
          <w:rtl/>
        </w:rPr>
        <w:t xml:space="preserve">אך כתב </w:t>
      </w:r>
      <w:r w:rsidRPr="0035571D">
        <w:rPr>
          <w:rStyle w:val="af9"/>
          <w:rFonts w:hint="cs"/>
          <w:rtl/>
        </w:rPr>
        <w:t>השיטמ"ק</w:t>
      </w:r>
      <w:r>
        <w:rPr>
          <w:rFonts w:hint="cs"/>
          <w:rtl/>
        </w:rPr>
        <w:t xml:space="preserve"> דבגמ' לקמן </w:t>
      </w:r>
      <w:r w:rsidRPr="007B5BF0">
        <w:rPr>
          <w:rStyle w:val="af7"/>
          <w:rFonts w:eastAsia="Guttman Hodes" w:hint="cs"/>
          <w:rtl/>
        </w:rPr>
        <w:t>(מט.)</w:t>
      </w:r>
      <w:r>
        <w:rPr>
          <w:rFonts w:hint="cs"/>
          <w:rtl/>
        </w:rPr>
        <w:t xml:space="preserve"> מבואר דאף כשלא ידוע שהזאב ניקב כלל תלינן בזאב, מהא דהביאה הגמ' ראיה מדינא דזאב, לדינא דידא דטבחא, דהיכא שיתכן שנעשה נקב בריאה ע"י משמוש הטבח, דתלינן לקולא כדאיתא בסוגיין דתלינן בזאב, ואף שבידא דטבחא לא ידוע כלל שהטבח עשה נקב, ומבואר דאף בזאב איירי שלא ידוע שהזאב ניקב, ואפ"ה תלינן בזאב.</w:t>
      </w:r>
    </w:p>
    <w:p w14:paraId="3C6144DF" w14:textId="77777777" w:rsidR="00852065" w:rsidRPr="00B30A43" w:rsidRDefault="00852065" w:rsidP="006D6D32">
      <w:pPr>
        <w:pStyle w:val="a3"/>
        <w:rPr>
          <w:highlight w:val="yellow"/>
          <w:rtl/>
        </w:rPr>
      </w:pPr>
    </w:p>
    <w:p w14:paraId="7A9C0117" w14:textId="77777777" w:rsidR="00852065" w:rsidRPr="00964A70" w:rsidRDefault="00852065" w:rsidP="006D6D32">
      <w:pPr>
        <w:pStyle w:val="a3"/>
        <w:rPr>
          <w:rtl/>
        </w:rPr>
        <w:sectPr w:rsidR="00852065" w:rsidRPr="00964A70" w:rsidSect="004E6755">
          <w:type w:val="continuous"/>
          <w:pgSz w:w="11906" w:h="16838"/>
          <w:pgMar w:top="720" w:right="720" w:bottom="720" w:left="720" w:header="283" w:footer="283" w:gutter="0"/>
          <w:cols w:num="2" w:space="567"/>
          <w:bidi/>
          <w:rtlGutter/>
          <w:docGrid w:linePitch="299"/>
        </w:sectPr>
      </w:pPr>
    </w:p>
    <w:p w14:paraId="4DE2C6A4" w14:textId="77777777" w:rsidR="00852065" w:rsidRDefault="00852065" w:rsidP="00852065">
      <w:pPr>
        <w:tabs>
          <w:tab w:val="left" w:pos="1163"/>
        </w:tabs>
        <w:spacing w:after="120" w:line="240" w:lineRule="auto"/>
        <w:ind w:left="0"/>
        <w:rPr>
          <w:rFonts w:ascii="Guttman Hodes" w:eastAsia="Guttman Hodes" w:hAnsi="Guttman Hodes" w:cs="Guttman Hodes"/>
          <w:noProof/>
          <w:sz w:val="18"/>
          <w:szCs w:val="18"/>
        </w:rPr>
        <w:sectPr w:rsidR="00852065" w:rsidSect="00852065">
          <w:type w:val="continuous"/>
          <w:pgSz w:w="11906" w:h="16838"/>
          <w:pgMar w:top="720" w:right="720" w:bottom="720" w:left="720" w:header="283" w:footer="283" w:gutter="0"/>
          <w:cols w:space="567"/>
          <w:bidi/>
          <w:rtlGutter/>
        </w:sectPr>
      </w:pPr>
    </w:p>
    <w:p w14:paraId="0FEB6204" w14:textId="77777777" w:rsidR="00852065" w:rsidRPr="0061208F" w:rsidRDefault="004B65FC" w:rsidP="00852065">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1D5D7CF8">
          <v:shape id="_x0000_i1028" type="#_x0000_t75" style="width:409.4pt;height:4.45pt" o:hrpct="0" o:hralign="center" o:hr="t">
            <v:imagedata r:id="rId21" o:title="BD14845_"/>
          </v:shape>
        </w:pict>
      </w:r>
      <w:r w:rsidR="00852065" w:rsidRPr="0061208F">
        <w:rPr>
          <w:rFonts w:ascii="Guttman Hodes" w:eastAsia="Guttman Hodes" w:hAnsi="Guttman Hodes" w:cs="Guttman Hodes" w:hint="cs"/>
          <w:noProof/>
          <w:sz w:val="18"/>
          <w:szCs w:val="18"/>
          <w:rtl/>
        </w:rPr>
        <w:t xml:space="preserve"> </w:t>
      </w:r>
    </w:p>
    <w:p w14:paraId="541BDE29" w14:textId="77777777" w:rsidR="00852065" w:rsidRDefault="00852065" w:rsidP="00852065">
      <w:pPr>
        <w:pStyle w:val="2"/>
        <w:rPr>
          <w:rtl/>
        </w:rPr>
        <w:sectPr w:rsidR="00852065" w:rsidSect="00D61D2E">
          <w:pgSz w:w="11906" w:h="16838"/>
          <w:pgMar w:top="720" w:right="720" w:bottom="720" w:left="720" w:header="283" w:footer="283" w:gutter="0"/>
          <w:cols w:space="567"/>
          <w:bidi/>
          <w:rtlGutter/>
        </w:sectPr>
      </w:pPr>
      <w:bookmarkStart w:id="2524" w:name="_Toc522618802"/>
      <w:bookmarkStart w:id="2525" w:name="_Toc522790322"/>
      <w:bookmarkStart w:id="2526" w:name="_Toc522800821"/>
      <w:bookmarkStart w:id="2527" w:name="_Toc522800929"/>
      <w:bookmarkStart w:id="2528" w:name="_Toc522810020"/>
      <w:bookmarkStart w:id="2529" w:name="_Toc19435272"/>
      <w:r>
        <w:rPr>
          <w:rFonts w:hint="cs"/>
          <w:rtl/>
        </w:rPr>
        <w:t>ביאורי ראשי הישיבות על הסוגיא</w:t>
      </w:r>
      <w:bookmarkEnd w:id="2524"/>
      <w:bookmarkEnd w:id="2525"/>
      <w:bookmarkEnd w:id="2526"/>
      <w:bookmarkEnd w:id="2527"/>
      <w:bookmarkEnd w:id="2528"/>
      <w:bookmarkEnd w:id="2529"/>
    </w:p>
    <w:p w14:paraId="4C26B943" w14:textId="77777777" w:rsidR="00852065" w:rsidRDefault="00852065" w:rsidP="00BF39B2">
      <w:pPr>
        <w:pStyle w:val="1"/>
        <w:rPr>
          <w:rtl/>
        </w:rPr>
      </w:pPr>
      <w:bookmarkStart w:id="2530" w:name="_Toc522790323"/>
      <w:bookmarkStart w:id="2531" w:name="_Toc522800822"/>
      <w:bookmarkStart w:id="2532" w:name="_Toc522800930"/>
      <w:bookmarkStart w:id="2533" w:name="_Toc522810021"/>
      <w:bookmarkStart w:id="2534" w:name="_Toc19389318"/>
      <w:bookmarkStart w:id="2535" w:name="_Toc19392815"/>
      <w:bookmarkStart w:id="2536" w:name="_Toc522618803"/>
      <w:r>
        <w:rPr>
          <w:rFonts w:hint="cs"/>
          <w:rtl/>
        </w:rPr>
        <w:t>ביאור השער"י</w:t>
      </w:r>
      <w:bookmarkEnd w:id="2530"/>
      <w:bookmarkEnd w:id="2531"/>
      <w:bookmarkEnd w:id="2532"/>
      <w:r>
        <w:rPr>
          <w:rFonts w:hint="cs"/>
          <w:rtl/>
        </w:rPr>
        <w:t xml:space="preserve"> בתוס' ביבמות</w:t>
      </w:r>
      <w:bookmarkEnd w:id="2533"/>
      <w:bookmarkEnd w:id="2534"/>
      <w:bookmarkEnd w:id="2535"/>
    </w:p>
    <w:p w14:paraId="049E2E8A" w14:textId="77777777" w:rsidR="00852065" w:rsidRDefault="00852065" w:rsidP="006D6D32">
      <w:pPr>
        <w:pStyle w:val="a3"/>
        <w:rPr>
          <w:rtl/>
        </w:rPr>
      </w:pPr>
      <w:bookmarkStart w:id="2537" w:name="_Toc522810022"/>
      <w:bookmarkStart w:id="2538" w:name="_Toc19389319"/>
      <w:bookmarkStart w:id="2539" w:name="_Toc19392816"/>
      <w:r>
        <w:rPr>
          <w:rFonts w:hint="cs"/>
          <w:rtl/>
        </w:rPr>
        <w:t>קושית השער"י דבתוס' ביבמות מבואר דבכל ספק השקול תלינן ובסוגיין מבואר דתלינן רק בזאב</w:t>
      </w:r>
      <w:bookmarkEnd w:id="2537"/>
      <w:bookmarkEnd w:id="2538"/>
      <w:bookmarkEnd w:id="2539"/>
    </w:p>
    <w:p w14:paraId="436C0686" w14:textId="77777777" w:rsidR="00852065" w:rsidRDefault="00852065" w:rsidP="00223668">
      <w:pPr>
        <w:pStyle w:val="a0"/>
        <w:rPr>
          <w:rtl/>
        </w:rPr>
      </w:pPr>
      <w:r w:rsidRPr="0022099D">
        <w:rPr>
          <w:rStyle w:val="af9"/>
          <w:rFonts w:hint="cs"/>
          <w:rtl/>
        </w:rPr>
        <w:t>בשער"י</w:t>
      </w:r>
      <w:r>
        <w:rPr>
          <w:rFonts w:hint="cs"/>
          <w:rtl/>
        </w:rPr>
        <w:t xml:space="preserve"> </w:t>
      </w:r>
      <w:r w:rsidRPr="0022099D">
        <w:rPr>
          <w:rStyle w:val="af7"/>
          <w:rFonts w:eastAsia="Guttman Hodes" w:hint="cs"/>
          <w:rtl/>
        </w:rPr>
        <w:t>(שער החזקות ט"ז)</w:t>
      </w:r>
      <w:r>
        <w:rPr>
          <w:rFonts w:hint="cs"/>
          <w:rtl/>
        </w:rPr>
        <w:t xml:space="preserve"> הביא את דברי </w:t>
      </w:r>
      <w:r w:rsidRPr="0022099D">
        <w:rPr>
          <w:rStyle w:val="af9"/>
          <w:rFonts w:hint="cs"/>
          <w:rtl/>
        </w:rPr>
        <w:t>התוס' ביבמות</w:t>
      </w:r>
      <w:r>
        <w:rPr>
          <w:rFonts w:hint="cs"/>
          <w:rtl/>
        </w:rPr>
        <w:t xml:space="preserve"> </w:t>
      </w:r>
      <w:r w:rsidRPr="00DF1596">
        <w:rPr>
          <w:rStyle w:val="af7"/>
          <w:rFonts w:eastAsia="Guttman Hodes" w:hint="cs"/>
          <w:rtl/>
        </w:rPr>
        <w:t xml:space="preserve">(עי' אות </w:t>
      </w:r>
      <w:r w:rsidRPr="00DF1596">
        <w:rPr>
          <w:rStyle w:val="af7"/>
          <w:rFonts w:eastAsia="Guttman Hodes"/>
          <w:rtl/>
        </w:rPr>
        <w:fldChar w:fldCharType="begin"/>
      </w:r>
      <w:r w:rsidRPr="00DF1596">
        <w:rPr>
          <w:rStyle w:val="af7"/>
          <w:rFonts w:eastAsia="Guttman Hodes"/>
          <w:rtl/>
        </w:rPr>
        <w:instrText xml:space="preserve"> </w:instrText>
      </w:r>
      <w:r w:rsidRPr="00DF1596">
        <w:rPr>
          <w:rStyle w:val="af7"/>
          <w:rFonts w:eastAsia="Guttman Hodes" w:hint="cs"/>
        </w:rPr>
        <w:instrText>REF</w:instrText>
      </w:r>
      <w:r w:rsidRPr="00DF1596">
        <w:rPr>
          <w:rStyle w:val="af7"/>
          <w:rFonts w:eastAsia="Guttman Hodes" w:hint="cs"/>
          <w:rtl/>
        </w:rPr>
        <w:instrText xml:space="preserve"> _</w:instrText>
      </w:r>
      <w:r w:rsidRPr="00DF1596">
        <w:rPr>
          <w:rStyle w:val="af7"/>
          <w:rFonts w:eastAsia="Guttman Hodes" w:hint="cs"/>
        </w:rPr>
        <w:instrText>Ref522476684 \r \h</w:instrText>
      </w:r>
      <w:r w:rsidRPr="00DF1596">
        <w:rPr>
          <w:rStyle w:val="af7"/>
          <w:rFonts w:eastAsia="Guttman Hodes"/>
          <w:rtl/>
        </w:rPr>
        <w:instrText xml:space="preserve"> </w:instrText>
      </w:r>
      <w:r w:rsidRPr="00DF1596">
        <w:rPr>
          <w:rStyle w:val="af7"/>
          <w:rFonts w:eastAsia="Guttman Hodes"/>
          <w:rtl/>
        </w:rPr>
      </w:r>
      <w:r w:rsidRPr="00DF1596">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DF1596">
        <w:rPr>
          <w:rStyle w:val="af7"/>
          <w:rFonts w:eastAsia="Guttman Hodes"/>
          <w:rtl/>
        </w:rPr>
        <w:fldChar w:fldCharType="end"/>
      </w:r>
      <w:r>
        <w:rPr>
          <w:rFonts w:hint="cs"/>
          <w:rtl/>
        </w:rPr>
        <w:t xml:space="preserve"> דהקשו אמאי בספק דרוסה לא תלינן להיתר כיון שנולד הספק מחיים, ואילו בספק צרת ערוה מחזיקין אותה בחזקת היתר, והקשה </w:t>
      </w:r>
      <w:r w:rsidRPr="0022099D">
        <w:rPr>
          <w:rStyle w:val="af9"/>
          <w:rFonts w:hint="cs"/>
          <w:rtl/>
        </w:rPr>
        <w:t>השער"י</w:t>
      </w:r>
      <w:r>
        <w:rPr>
          <w:rFonts w:hint="cs"/>
          <w:rtl/>
        </w:rPr>
        <w:t xml:space="preserve"> דבתחילת דבריהם כתבו </w:t>
      </w:r>
      <w:r w:rsidRPr="0022099D">
        <w:rPr>
          <w:rStyle w:val="af9"/>
          <w:rFonts w:hint="cs"/>
          <w:rtl/>
        </w:rPr>
        <w:t>התוס' ביבמות</w:t>
      </w:r>
      <w:r>
        <w:rPr>
          <w:rFonts w:hint="cs"/>
          <w:rtl/>
        </w:rPr>
        <w:t xml:space="preserve"> דבסוגיין מבואר דדוקא בספק שנולד</w:t>
      </w:r>
      <w:r w:rsidRPr="003534D2">
        <w:rPr>
          <w:rFonts w:hint="cs"/>
          <w:rtl/>
        </w:rPr>
        <w:t xml:space="preserve"> </w:t>
      </w:r>
      <w:r>
        <w:rPr>
          <w:rFonts w:hint="cs"/>
          <w:rtl/>
        </w:rPr>
        <w:t xml:space="preserve">לאחר השחיטה, היא בחזקת היתר, ובתירוצם כתבו </w:t>
      </w:r>
      <w:r w:rsidRPr="0022099D">
        <w:rPr>
          <w:rStyle w:val="af9"/>
          <w:rFonts w:hint="cs"/>
          <w:rtl/>
        </w:rPr>
        <w:t>התוס' ביבמות</w:t>
      </w:r>
      <w:r>
        <w:rPr>
          <w:rFonts w:hint="cs"/>
          <w:rtl/>
        </w:rPr>
        <w:t xml:space="preserve"> </w:t>
      </w:r>
      <w:r w:rsidRPr="00DF1596">
        <w:rPr>
          <w:rStyle w:val="af7"/>
          <w:rFonts w:eastAsia="Guttman Hodes" w:hint="cs"/>
          <w:rtl/>
        </w:rPr>
        <w:t xml:space="preserve">(עי' אות </w:t>
      </w:r>
      <w:r w:rsidRPr="00DF1596">
        <w:rPr>
          <w:rStyle w:val="af7"/>
          <w:rFonts w:eastAsia="Guttman Hodes"/>
          <w:rtl/>
        </w:rPr>
        <w:fldChar w:fldCharType="begin"/>
      </w:r>
      <w:r w:rsidRPr="00DF1596">
        <w:rPr>
          <w:rStyle w:val="af7"/>
          <w:rFonts w:eastAsia="Guttman Hodes"/>
          <w:rtl/>
        </w:rPr>
        <w:instrText xml:space="preserve"> </w:instrText>
      </w:r>
      <w:r w:rsidRPr="00DF1596">
        <w:rPr>
          <w:rStyle w:val="af7"/>
          <w:rFonts w:eastAsia="Guttman Hodes" w:hint="cs"/>
        </w:rPr>
        <w:instrText>REF</w:instrText>
      </w:r>
      <w:r w:rsidRPr="00DF1596">
        <w:rPr>
          <w:rStyle w:val="af7"/>
          <w:rFonts w:eastAsia="Guttman Hodes" w:hint="cs"/>
          <w:rtl/>
        </w:rPr>
        <w:instrText xml:space="preserve"> _</w:instrText>
      </w:r>
      <w:r w:rsidRPr="00DF1596">
        <w:rPr>
          <w:rStyle w:val="af7"/>
          <w:rFonts w:eastAsia="Guttman Hodes" w:hint="cs"/>
        </w:rPr>
        <w:instrText>Ref522479252 \r \h</w:instrText>
      </w:r>
      <w:r w:rsidRPr="00DF1596">
        <w:rPr>
          <w:rStyle w:val="af7"/>
          <w:rFonts w:eastAsia="Guttman Hodes"/>
          <w:rtl/>
        </w:rPr>
        <w:instrText xml:space="preserve"> </w:instrText>
      </w:r>
      <w:r w:rsidRPr="00DF1596">
        <w:rPr>
          <w:rStyle w:val="af7"/>
          <w:rFonts w:eastAsia="Guttman Hodes"/>
          <w:rtl/>
        </w:rPr>
      </w:r>
      <w:r w:rsidRPr="00DF1596">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DF1596">
        <w:rPr>
          <w:rStyle w:val="af7"/>
          <w:rFonts w:eastAsia="Guttman Hodes"/>
          <w:rtl/>
        </w:rPr>
        <w:fldChar w:fldCharType="end"/>
      </w:r>
      <w:r>
        <w:rPr>
          <w:rFonts w:hint="cs"/>
          <w:rtl/>
        </w:rPr>
        <w:t xml:space="preserve"> דדוקא במקום דשכיח איסורא כספק דרוסה תלינן, וכתב </w:t>
      </w:r>
      <w:r w:rsidRPr="0022099D">
        <w:rPr>
          <w:rStyle w:val="af9"/>
          <w:rFonts w:hint="cs"/>
          <w:rtl/>
        </w:rPr>
        <w:t>השער"י</w:t>
      </w:r>
      <w:r>
        <w:rPr>
          <w:rFonts w:hint="cs"/>
          <w:rtl/>
        </w:rPr>
        <w:t xml:space="preserve"> דא"כ עדיין קשה דבסוגיין מבואר דרק בזאב תלינן, כיון שהוא אחר השחיטה והיא בחזקת היתר, ואילו למסקנת </w:t>
      </w:r>
      <w:r w:rsidRPr="00E32D4E">
        <w:rPr>
          <w:rStyle w:val="af9"/>
          <w:rFonts w:hint="cs"/>
          <w:rtl/>
        </w:rPr>
        <w:t>התוס'</w:t>
      </w:r>
      <w:r>
        <w:rPr>
          <w:rFonts w:hint="cs"/>
          <w:rtl/>
        </w:rPr>
        <w:t xml:space="preserve"> מבואר דבכל ספק השקול בטריפה מעמידים בחזקת היתר, וכן קשה בדברי </w:t>
      </w:r>
      <w:r w:rsidRPr="0022099D">
        <w:rPr>
          <w:rStyle w:val="af9"/>
          <w:rFonts w:hint="cs"/>
          <w:rtl/>
        </w:rPr>
        <w:t>התוס' לקמן</w:t>
      </w:r>
      <w:r>
        <w:rPr>
          <w:rFonts w:hint="cs"/>
          <w:rtl/>
        </w:rPr>
        <w:t xml:space="preserve"> </w:t>
      </w:r>
      <w:r w:rsidRPr="00DF1596">
        <w:rPr>
          <w:rStyle w:val="af7"/>
          <w:rFonts w:eastAsia="Guttman Hodes" w:hint="cs"/>
          <w:rtl/>
        </w:rPr>
        <w:t xml:space="preserve">(עי' אות </w:t>
      </w:r>
      <w:r w:rsidRPr="00DF1596">
        <w:rPr>
          <w:rStyle w:val="af7"/>
          <w:rFonts w:eastAsia="Guttman Hodes"/>
          <w:rtl/>
        </w:rPr>
        <w:fldChar w:fldCharType="begin"/>
      </w:r>
      <w:r w:rsidRPr="00DF1596">
        <w:rPr>
          <w:rStyle w:val="af7"/>
          <w:rFonts w:eastAsia="Guttman Hodes"/>
          <w:rtl/>
        </w:rPr>
        <w:instrText xml:space="preserve"> </w:instrText>
      </w:r>
      <w:r w:rsidRPr="00DF1596">
        <w:rPr>
          <w:rStyle w:val="af7"/>
          <w:rFonts w:eastAsia="Guttman Hodes" w:hint="cs"/>
        </w:rPr>
        <w:instrText>REF</w:instrText>
      </w:r>
      <w:r w:rsidRPr="00DF1596">
        <w:rPr>
          <w:rStyle w:val="af7"/>
          <w:rFonts w:eastAsia="Guttman Hodes" w:hint="cs"/>
          <w:rtl/>
        </w:rPr>
        <w:instrText xml:space="preserve"> _</w:instrText>
      </w:r>
      <w:r w:rsidRPr="00DF1596">
        <w:rPr>
          <w:rStyle w:val="af7"/>
          <w:rFonts w:eastAsia="Guttman Hodes" w:hint="cs"/>
        </w:rPr>
        <w:instrText>Ref522479252 \r \h</w:instrText>
      </w:r>
      <w:r w:rsidRPr="00DF1596">
        <w:rPr>
          <w:rStyle w:val="af7"/>
          <w:rFonts w:eastAsia="Guttman Hodes"/>
          <w:rtl/>
        </w:rPr>
        <w:instrText xml:space="preserve"> </w:instrText>
      </w:r>
      <w:r w:rsidRPr="00DF1596">
        <w:rPr>
          <w:rStyle w:val="af7"/>
          <w:rFonts w:eastAsia="Guttman Hodes"/>
          <w:rtl/>
        </w:rPr>
      </w:r>
      <w:r w:rsidRPr="00DF1596">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DF1596">
        <w:rPr>
          <w:rStyle w:val="af7"/>
          <w:rFonts w:eastAsia="Guttman Hodes"/>
          <w:rtl/>
        </w:rPr>
        <w:fldChar w:fldCharType="end"/>
      </w:r>
      <w:r>
        <w:rPr>
          <w:rFonts w:hint="cs"/>
          <w:rtl/>
        </w:rPr>
        <w:t>.</w:t>
      </w:r>
    </w:p>
    <w:p w14:paraId="22432AD5" w14:textId="77777777" w:rsidR="00852065" w:rsidRDefault="00852065" w:rsidP="006D6D32">
      <w:pPr>
        <w:pStyle w:val="a3"/>
        <w:rPr>
          <w:rtl/>
        </w:rPr>
      </w:pPr>
      <w:bookmarkStart w:id="2540" w:name="_Toc522810023"/>
      <w:bookmarkStart w:id="2541" w:name="_Toc19389320"/>
      <w:bookmarkStart w:id="2542" w:name="_Toc19392817"/>
      <w:r>
        <w:rPr>
          <w:rFonts w:hint="cs"/>
          <w:rtl/>
        </w:rPr>
        <w:t>דברי השער"י דמדין רוב</w:t>
      </w:r>
      <w:r w:rsidRPr="00FD57C6">
        <w:rPr>
          <w:rFonts w:hint="cs"/>
          <w:rtl/>
        </w:rPr>
        <w:t xml:space="preserve"> </w:t>
      </w:r>
      <w:r>
        <w:rPr>
          <w:rFonts w:hint="cs"/>
          <w:rtl/>
        </w:rPr>
        <w:t>א"א להתיר בזאב ודרוסה דהוא ספק חיצוני ולא בגופה</w:t>
      </w:r>
      <w:bookmarkEnd w:id="2540"/>
      <w:bookmarkEnd w:id="2541"/>
      <w:bookmarkEnd w:id="2542"/>
    </w:p>
    <w:p w14:paraId="05CEF34A" w14:textId="77777777" w:rsidR="00852065" w:rsidRDefault="00852065" w:rsidP="00223668">
      <w:pPr>
        <w:pStyle w:val="a0"/>
        <w:rPr>
          <w:rtl/>
        </w:rPr>
      </w:pPr>
      <w:r>
        <w:rPr>
          <w:rFonts w:hint="cs"/>
          <w:rtl/>
        </w:rPr>
        <w:t xml:space="preserve">וכתב </w:t>
      </w:r>
      <w:r w:rsidRPr="00D32AF3">
        <w:rPr>
          <w:rStyle w:val="af9"/>
          <w:rFonts w:hint="cs"/>
          <w:rtl/>
        </w:rPr>
        <w:t>השער"י</w:t>
      </w:r>
      <w:r>
        <w:rPr>
          <w:rFonts w:hint="cs"/>
          <w:rtl/>
        </w:rPr>
        <w:t xml:space="preserve"> </w:t>
      </w:r>
      <w:r w:rsidRPr="00D32AF3">
        <w:rPr>
          <w:rStyle w:val="af7"/>
          <w:rFonts w:eastAsia="Guttman Hodes" w:hint="cs"/>
          <w:rtl/>
        </w:rPr>
        <w:t>(שער החזקות פט"ז ד"ה ונלענ"ד)</w:t>
      </w:r>
      <w:r>
        <w:rPr>
          <w:rFonts w:hint="cs"/>
          <w:rtl/>
        </w:rPr>
        <w:t xml:space="preserve"> דמשמעות דברי </w:t>
      </w:r>
      <w:r w:rsidRPr="00D32AF3">
        <w:rPr>
          <w:rStyle w:val="af9"/>
          <w:rFonts w:hint="cs"/>
          <w:rtl/>
        </w:rPr>
        <w:t>רש"י</w:t>
      </w:r>
      <w:r>
        <w:rPr>
          <w:rFonts w:hint="cs"/>
          <w:rtl/>
        </w:rPr>
        <w:t xml:space="preserve"> </w:t>
      </w:r>
      <w:r w:rsidRPr="00E06AFE">
        <w:rPr>
          <w:rStyle w:val="af7"/>
          <w:rFonts w:eastAsia="Guttman Hodes" w:hint="cs"/>
          <w:rtl/>
        </w:rPr>
        <w:t xml:space="preserve">(עי' אות </w:t>
      </w:r>
      <w:r w:rsidRPr="00E06AFE">
        <w:rPr>
          <w:rStyle w:val="af7"/>
          <w:rFonts w:eastAsia="Guttman Hodes"/>
          <w:rtl/>
        </w:rPr>
        <w:fldChar w:fldCharType="begin"/>
      </w:r>
      <w:r w:rsidRPr="00E06AFE">
        <w:rPr>
          <w:rStyle w:val="af7"/>
          <w:rFonts w:eastAsia="Guttman Hodes"/>
          <w:rtl/>
        </w:rPr>
        <w:instrText xml:space="preserve"> </w:instrText>
      </w:r>
      <w:r w:rsidRPr="00E06AFE">
        <w:rPr>
          <w:rStyle w:val="af7"/>
          <w:rFonts w:eastAsia="Guttman Hodes" w:hint="cs"/>
        </w:rPr>
        <w:instrText>REF</w:instrText>
      </w:r>
      <w:r w:rsidRPr="00E06AFE">
        <w:rPr>
          <w:rStyle w:val="af7"/>
          <w:rFonts w:eastAsia="Guttman Hodes" w:hint="cs"/>
          <w:rtl/>
        </w:rPr>
        <w:instrText xml:space="preserve"> _</w:instrText>
      </w:r>
      <w:r w:rsidRPr="00E06AFE">
        <w:rPr>
          <w:rStyle w:val="af7"/>
          <w:rFonts w:eastAsia="Guttman Hodes" w:hint="cs"/>
        </w:rPr>
        <w:instrText>Ref522723101 \r \h</w:instrText>
      </w:r>
      <w:r w:rsidRPr="00E06AFE">
        <w:rPr>
          <w:rStyle w:val="af7"/>
          <w:rFonts w:eastAsia="Guttman Hodes"/>
          <w:rtl/>
        </w:rPr>
        <w:instrText xml:space="preserve"> </w:instrText>
      </w:r>
      <w:r w:rsidRPr="00E06AFE">
        <w:rPr>
          <w:rStyle w:val="af7"/>
          <w:rFonts w:eastAsia="Guttman Hodes"/>
          <w:rtl/>
        </w:rPr>
      </w:r>
      <w:r w:rsidRPr="00E06AFE">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E06AFE">
        <w:rPr>
          <w:rStyle w:val="af7"/>
          <w:rFonts w:eastAsia="Guttman Hodes"/>
          <w:rtl/>
        </w:rPr>
        <w:fldChar w:fldCharType="end"/>
      </w:r>
      <w:r>
        <w:rPr>
          <w:rFonts w:hint="cs"/>
          <w:rtl/>
        </w:rPr>
        <w:t xml:space="preserve"> </w:t>
      </w:r>
      <w:r w:rsidRPr="00D32AF3">
        <w:rPr>
          <w:rStyle w:val="af9"/>
          <w:rFonts w:hint="cs"/>
          <w:rtl/>
        </w:rPr>
        <w:t xml:space="preserve">והראשונים </w:t>
      </w:r>
      <w:r>
        <w:rPr>
          <w:rFonts w:hint="cs"/>
          <w:rtl/>
        </w:rPr>
        <w:t xml:space="preserve">דהא דבנשחטה היא בחזקת היתר הוא מדין רוב, אך  א"א לבאר כן דא"כ מה הקשו </w:t>
      </w:r>
      <w:r w:rsidRPr="00D32AF3">
        <w:rPr>
          <w:rStyle w:val="af9"/>
          <w:rFonts w:hint="cs"/>
          <w:rtl/>
        </w:rPr>
        <w:t>התוס' לקמן</w:t>
      </w:r>
      <w:r>
        <w:rPr>
          <w:rFonts w:hint="cs"/>
          <w:rtl/>
        </w:rPr>
        <w:t xml:space="preserve"> </w:t>
      </w:r>
      <w:r w:rsidRPr="00DF1596">
        <w:rPr>
          <w:rStyle w:val="af7"/>
          <w:rFonts w:eastAsia="Guttman Hodes" w:hint="cs"/>
          <w:rtl/>
        </w:rPr>
        <w:t xml:space="preserve">(עי' אות </w:t>
      </w:r>
      <w:r w:rsidRPr="00DF1596">
        <w:rPr>
          <w:rStyle w:val="af7"/>
          <w:rFonts w:eastAsia="Guttman Hodes"/>
          <w:rtl/>
        </w:rPr>
        <w:fldChar w:fldCharType="begin"/>
      </w:r>
      <w:r w:rsidRPr="00DF1596">
        <w:rPr>
          <w:rStyle w:val="af7"/>
          <w:rFonts w:eastAsia="Guttman Hodes"/>
          <w:rtl/>
        </w:rPr>
        <w:instrText xml:space="preserve"> </w:instrText>
      </w:r>
      <w:r w:rsidRPr="00DF1596">
        <w:rPr>
          <w:rStyle w:val="af7"/>
          <w:rFonts w:eastAsia="Guttman Hodes" w:hint="cs"/>
        </w:rPr>
        <w:instrText>REF</w:instrText>
      </w:r>
      <w:r w:rsidRPr="00DF1596">
        <w:rPr>
          <w:rStyle w:val="af7"/>
          <w:rFonts w:eastAsia="Guttman Hodes" w:hint="cs"/>
          <w:rtl/>
        </w:rPr>
        <w:instrText xml:space="preserve"> _</w:instrText>
      </w:r>
      <w:r w:rsidRPr="00DF1596">
        <w:rPr>
          <w:rStyle w:val="af7"/>
          <w:rFonts w:eastAsia="Guttman Hodes" w:hint="cs"/>
        </w:rPr>
        <w:instrText>Ref522476684 \r \h</w:instrText>
      </w:r>
      <w:r w:rsidRPr="00DF1596">
        <w:rPr>
          <w:rStyle w:val="af7"/>
          <w:rFonts w:eastAsia="Guttman Hodes"/>
          <w:rtl/>
        </w:rPr>
        <w:instrText xml:space="preserve"> </w:instrText>
      </w:r>
      <w:r w:rsidRPr="00DF1596">
        <w:rPr>
          <w:rStyle w:val="af7"/>
          <w:rFonts w:eastAsia="Guttman Hodes"/>
          <w:rtl/>
        </w:rPr>
      </w:r>
      <w:r w:rsidRPr="00DF1596">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DF1596">
        <w:rPr>
          <w:rStyle w:val="af7"/>
          <w:rFonts w:eastAsia="Guttman Hodes"/>
          <w:rtl/>
        </w:rPr>
        <w:fldChar w:fldCharType="end"/>
      </w:r>
      <w:r>
        <w:rPr>
          <w:rFonts w:hint="cs"/>
          <w:rtl/>
        </w:rPr>
        <w:t xml:space="preserve"> מזאב על ספק דרוסה, דהא בספק דרוסה שהוא ספק חיצוני א"א להכריע ע"י הרוב, דרוב בהמות אינם טריפות, דהספק הוא על מעשה הדריסה, והרוב אינו מכריע את הספק במעשה.</w:t>
      </w:r>
    </w:p>
    <w:p w14:paraId="6F58236A" w14:textId="77777777" w:rsidR="00852065" w:rsidRPr="004F29E2" w:rsidRDefault="00852065" w:rsidP="006D6D32">
      <w:pPr>
        <w:pStyle w:val="a3"/>
        <w:rPr>
          <w:rtl/>
        </w:rPr>
      </w:pPr>
      <w:bookmarkStart w:id="2543" w:name="_Toc522810024"/>
      <w:bookmarkStart w:id="2544" w:name="_Toc19389321"/>
      <w:bookmarkStart w:id="2545" w:name="_Toc19392818"/>
      <w:r>
        <w:rPr>
          <w:rFonts w:hint="cs"/>
          <w:rtl/>
        </w:rPr>
        <w:t>דברי השער"י דבזאב ההיתר הוא מדין חזקה מכח הרוב כמו שהוחזק קודם לידת הספק</w:t>
      </w:r>
      <w:bookmarkEnd w:id="2543"/>
      <w:bookmarkEnd w:id="2544"/>
      <w:bookmarkEnd w:id="2545"/>
    </w:p>
    <w:p w14:paraId="235388EE" w14:textId="77777777" w:rsidR="00852065" w:rsidRDefault="00852065" w:rsidP="00223668">
      <w:pPr>
        <w:pStyle w:val="a0"/>
        <w:rPr>
          <w:rtl/>
        </w:rPr>
      </w:pPr>
      <w:r>
        <w:rPr>
          <w:rFonts w:hint="cs"/>
          <w:rtl/>
        </w:rPr>
        <w:t xml:space="preserve">וכתב </w:t>
      </w:r>
      <w:r w:rsidRPr="00E06AFE">
        <w:rPr>
          <w:rStyle w:val="af9"/>
          <w:rFonts w:hint="cs"/>
          <w:rtl/>
        </w:rPr>
        <w:t>השער"י</w:t>
      </w:r>
      <w:r>
        <w:rPr>
          <w:rFonts w:hint="cs"/>
          <w:rtl/>
        </w:rPr>
        <w:t xml:space="preserve"> דאף בזאב הרוב אינו מכריע את עצם המעשה, האם הנקב היה מחיים, או שנעשה ע"י הזאב, אלא הבהמה מותרת מכח חזקה דמעיקרא, </w:t>
      </w:r>
      <w:r w:rsidRPr="0045083A">
        <w:rPr>
          <w:rFonts w:hint="cs"/>
          <w:rtl/>
        </w:rPr>
        <w:t xml:space="preserve">דמעמידים אותה בחזקתה שאינה טריפה, דיש לה חזקה מכח רוב, וכדביארו </w:t>
      </w:r>
      <w:r w:rsidRPr="0045083A">
        <w:rPr>
          <w:rStyle w:val="af9"/>
          <w:rFonts w:hint="cs"/>
          <w:rtl/>
        </w:rPr>
        <w:t>התוס' לקמן</w:t>
      </w:r>
      <w:r w:rsidRPr="0045083A">
        <w:rPr>
          <w:rFonts w:hint="cs"/>
          <w:rtl/>
        </w:rPr>
        <w:t xml:space="preserve"> </w:t>
      </w:r>
      <w:r w:rsidRPr="0045083A">
        <w:rPr>
          <w:rStyle w:val="af7"/>
          <w:rFonts w:eastAsia="Guttman Hodes" w:hint="cs"/>
          <w:rtl/>
        </w:rPr>
        <w:t xml:space="preserve">(עי' אות </w:t>
      </w:r>
      <w:r w:rsidRPr="0045083A">
        <w:rPr>
          <w:rStyle w:val="af7"/>
          <w:rFonts w:eastAsia="Guttman Hodes"/>
          <w:rtl/>
        </w:rPr>
        <w:fldChar w:fldCharType="begin"/>
      </w:r>
      <w:r w:rsidRPr="0045083A">
        <w:rPr>
          <w:rStyle w:val="af7"/>
          <w:rFonts w:eastAsia="Guttman Hodes"/>
          <w:rtl/>
        </w:rPr>
        <w:instrText xml:space="preserve"> </w:instrText>
      </w:r>
      <w:r w:rsidRPr="0045083A">
        <w:rPr>
          <w:rStyle w:val="af7"/>
          <w:rFonts w:eastAsia="Guttman Hodes" w:hint="cs"/>
        </w:rPr>
        <w:instrText>REF</w:instrText>
      </w:r>
      <w:r w:rsidRPr="0045083A">
        <w:rPr>
          <w:rStyle w:val="af7"/>
          <w:rFonts w:eastAsia="Guttman Hodes" w:hint="cs"/>
          <w:rtl/>
        </w:rPr>
        <w:instrText xml:space="preserve"> _</w:instrText>
      </w:r>
      <w:r w:rsidRPr="0045083A">
        <w:rPr>
          <w:rStyle w:val="af7"/>
          <w:rFonts w:eastAsia="Guttman Hodes" w:hint="cs"/>
        </w:rPr>
        <w:instrText>Ref522443050 \r \h</w:instrText>
      </w:r>
      <w:r w:rsidRPr="0045083A">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45083A">
        <w:rPr>
          <w:rStyle w:val="af7"/>
          <w:rFonts w:eastAsia="Guttman Hodes"/>
          <w:rtl/>
        </w:rPr>
      </w:r>
      <w:r w:rsidRPr="0045083A">
        <w:rPr>
          <w:rStyle w:val="af7"/>
          <w:rFonts w:eastAsia="Guttman Hodes"/>
          <w:rtl/>
        </w:rPr>
        <w:fldChar w:fldCharType="separate"/>
      </w:r>
      <w:r w:rsidR="00345400">
        <w:rPr>
          <w:rStyle w:val="af7"/>
          <w:rFonts w:eastAsia="Guttman Hodes"/>
          <w:cs/>
        </w:rPr>
        <w:t>‎</w:t>
      </w:r>
      <w:r w:rsidR="00345400">
        <w:rPr>
          <w:rStyle w:val="af7"/>
          <w:rFonts w:eastAsia="Guttman Hodes"/>
          <w:rtl/>
        </w:rPr>
        <w:t>י)</w:t>
      </w:r>
      <w:r w:rsidRPr="0045083A">
        <w:rPr>
          <w:rStyle w:val="af7"/>
          <w:rFonts w:eastAsia="Guttman Hodes"/>
          <w:rtl/>
        </w:rPr>
        <w:fldChar w:fldCharType="end"/>
      </w:r>
      <w:r w:rsidRPr="0045083A">
        <w:rPr>
          <w:rStyle w:val="af7"/>
          <w:rFonts w:eastAsia="Guttman Hodes" w:hint="cs"/>
          <w:rtl/>
        </w:rPr>
        <w:t xml:space="preserve"> </w:t>
      </w:r>
      <w:r w:rsidRPr="0045083A">
        <w:rPr>
          <w:rFonts w:hint="cs"/>
          <w:rtl/>
        </w:rPr>
        <w:t>דבהמה שנמצאה טריפה, הגבינות שנעשו ממנה מותרות כיון דמעמידים אותה על החזקה דמעיקרא שאינה</w:t>
      </w:r>
      <w:r>
        <w:rPr>
          <w:rFonts w:hint="cs"/>
          <w:rtl/>
        </w:rPr>
        <w:t xml:space="preserve"> טריפה מחמת הרוב, ואמרינן דעכשיו נטרפה, וה"ה בזאב דמעמידים אותה בחזקת היתר, כמו שהוחזקה קודם שנולד הספק.</w:t>
      </w:r>
    </w:p>
    <w:p w14:paraId="56B8C9D5" w14:textId="77777777" w:rsidR="00852065" w:rsidRDefault="00852065" w:rsidP="006D6D32">
      <w:pPr>
        <w:pStyle w:val="a3"/>
        <w:rPr>
          <w:rtl/>
        </w:rPr>
      </w:pPr>
      <w:bookmarkStart w:id="2546" w:name="_Toc522810025"/>
      <w:bookmarkStart w:id="2547" w:name="_Toc19389322"/>
      <w:bookmarkStart w:id="2548" w:name="_Toc19392819"/>
      <w:r>
        <w:rPr>
          <w:rFonts w:hint="cs"/>
          <w:rtl/>
        </w:rPr>
        <w:t>דברי השער"י דמחיים אין חזקת היתר כיון שלא הוחזק היתר בפועל</w:t>
      </w:r>
      <w:bookmarkEnd w:id="2546"/>
      <w:bookmarkEnd w:id="2547"/>
      <w:bookmarkEnd w:id="2548"/>
    </w:p>
    <w:p w14:paraId="0A23D323" w14:textId="77777777" w:rsidR="00852065" w:rsidRDefault="00852065" w:rsidP="00223668">
      <w:pPr>
        <w:pStyle w:val="a0"/>
        <w:rPr>
          <w:rtl/>
        </w:rPr>
      </w:pPr>
      <w:r>
        <w:rPr>
          <w:rFonts w:hint="cs"/>
          <w:rtl/>
        </w:rPr>
        <w:t xml:space="preserve">וכתב </w:t>
      </w:r>
      <w:r w:rsidRPr="006A2A87">
        <w:rPr>
          <w:rStyle w:val="af9"/>
          <w:rFonts w:hint="cs"/>
          <w:rtl/>
        </w:rPr>
        <w:t>השער"י</w:t>
      </w:r>
      <w:r>
        <w:rPr>
          <w:rFonts w:hint="cs"/>
          <w:rtl/>
        </w:rPr>
        <w:t xml:space="preserve"> דא"א לומר שיש חזקת היתר מחיים, כיון דלא הייתה לבהמה חזקת היתר בפועל, ורק את הגבינות אפשר להעמיד על חזקת היתר, דהא הוחזקו בפועל בהיתר. ואף </w:t>
      </w:r>
      <w:r w:rsidRPr="00820E3C">
        <w:rPr>
          <w:rFonts w:hint="cs"/>
          <w:rtl/>
        </w:rPr>
        <w:t xml:space="preserve"> </w:t>
      </w:r>
      <w:r>
        <w:rPr>
          <w:rFonts w:hint="cs"/>
          <w:rtl/>
        </w:rPr>
        <w:t>לאחר שנשחטה</w:t>
      </w:r>
      <w:r w:rsidRPr="006F6334">
        <w:rPr>
          <w:rFonts w:hint="cs"/>
          <w:rtl/>
        </w:rPr>
        <w:t xml:space="preserve"> </w:t>
      </w:r>
      <w:r>
        <w:rPr>
          <w:rFonts w:hint="cs"/>
          <w:rtl/>
        </w:rPr>
        <w:t>אין על הבשר חזקת היתר, אלא דמהני החזקה להתיר ספק שנולד אחר השחיטה, כיון שמשעת השחיטה קודם שנולד הספק, היה היתר אכילה מחמת הרוב, ואין בכח הספק לשנות את דין ההיתר.</w:t>
      </w:r>
    </w:p>
    <w:p w14:paraId="1B67A8A1" w14:textId="77777777" w:rsidR="00852065" w:rsidRDefault="00852065" w:rsidP="006D6D32">
      <w:pPr>
        <w:pStyle w:val="a3"/>
        <w:rPr>
          <w:rtl/>
        </w:rPr>
      </w:pPr>
      <w:bookmarkStart w:id="2549" w:name="_Toc522810026"/>
      <w:bookmarkStart w:id="2550" w:name="_Toc19389323"/>
      <w:bookmarkStart w:id="2551" w:name="_Toc19392820"/>
      <w:r>
        <w:rPr>
          <w:rFonts w:hint="cs"/>
          <w:rtl/>
        </w:rPr>
        <w:t>דברי השער"י דאחר השחיטה כשנתברר שיש ריעותא מחיים חשיב חזקה בטעות</w:t>
      </w:r>
      <w:bookmarkEnd w:id="2549"/>
      <w:bookmarkEnd w:id="2550"/>
      <w:bookmarkEnd w:id="2551"/>
    </w:p>
    <w:p w14:paraId="72BCE3D4" w14:textId="77777777" w:rsidR="00852065" w:rsidRDefault="00852065" w:rsidP="00223668">
      <w:pPr>
        <w:pStyle w:val="a0"/>
        <w:rPr>
          <w:rtl/>
        </w:rPr>
      </w:pPr>
      <w:r>
        <w:rPr>
          <w:rFonts w:hint="cs"/>
          <w:rtl/>
        </w:rPr>
        <w:t xml:space="preserve">אך כתב </w:t>
      </w:r>
      <w:r w:rsidRPr="006A2A87">
        <w:rPr>
          <w:rStyle w:val="af9"/>
          <w:rFonts w:hint="cs"/>
          <w:rtl/>
        </w:rPr>
        <w:t xml:space="preserve">השער"י </w:t>
      </w:r>
      <w:r>
        <w:rPr>
          <w:rFonts w:hint="cs"/>
          <w:rtl/>
        </w:rPr>
        <w:t xml:space="preserve">דאף לאחר השחיטה ההיתר הוא רק במקום שאפשר לתלות שהריעותא נעשתה לאחר השחיטה, כזאב דאמרינן שהוא ניקב, אבל במקום שודאי שהריעותא הייתה מחיים, אין לבהמה כל חזקת היתר, דנתברר שהחזקה הייתה בטעות. וכתב </w:t>
      </w:r>
      <w:r w:rsidRPr="006A2A87">
        <w:rPr>
          <w:rStyle w:val="af9"/>
          <w:rFonts w:hint="cs"/>
          <w:rtl/>
        </w:rPr>
        <w:t>השער"י</w:t>
      </w:r>
      <w:r>
        <w:rPr>
          <w:rFonts w:hint="cs"/>
          <w:rtl/>
        </w:rPr>
        <w:t xml:space="preserve"> דלפי"ז כל דברי רב הונא דמנשחטה היא בחזקת היתר, זהו דוקא בספק שנולד לאחר השחיטה, אבל בספק טריפה בעלמא, מבואר דאין לבשר חזקת היתר.</w:t>
      </w:r>
    </w:p>
    <w:p w14:paraId="537D36D2" w14:textId="77777777" w:rsidR="00852065" w:rsidRDefault="00852065" w:rsidP="006D6D32">
      <w:pPr>
        <w:pStyle w:val="a3"/>
        <w:rPr>
          <w:rtl/>
        </w:rPr>
      </w:pPr>
      <w:bookmarkStart w:id="2552" w:name="_Toc522810027"/>
      <w:bookmarkStart w:id="2553" w:name="_Toc19389324"/>
      <w:bookmarkStart w:id="2554" w:name="_Toc19392821"/>
      <w:r>
        <w:rPr>
          <w:rFonts w:hint="cs"/>
          <w:rtl/>
        </w:rPr>
        <w:t>ביאור השער"י בתוס' דהקשו דבספק דרוסה יהיה חזקת היתר מחיים כמו בספק צר"ע</w:t>
      </w:r>
      <w:bookmarkEnd w:id="2552"/>
      <w:bookmarkEnd w:id="2553"/>
      <w:bookmarkEnd w:id="2554"/>
    </w:p>
    <w:p w14:paraId="05AD0B68" w14:textId="77777777" w:rsidR="00852065" w:rsidRDefault="00852065" w:rsidP="00223668">
      <w:pPr>
        <w:pStyle w:val="a0"/>
        <w:rPr>
          <w:rtl/>
        </w:rPr>
      </w:pPr>
      <w:r>
        <w:rPr>
          <w:rFonts w:hint="cs"/>
          <w:rtl/>
        </w:rPr>
        <w:t xml:space="preserve">ובזה ביאר </w:t>
      </w:r>
      <w:r w:rsidRPr="005D0AF2">
        <w:rPr>
          <w:rStyle w:val="af9"/>
          <w:rFonts w:hint="cs"/>
          <w:rtl/>
        </w:rPr>
        <w:t>השער"י</w:t>
      </w:r>
      <w:r>
        <w:rPr>
          <w:rFonts w:hint="cs"/>
          <w:rtl/>
        </w:rPr>
        <w:t xml:space="preserve"> </w:t>
      </w:r>
      <w:r w:rsidRPr="005D0AF2">
        <w:rPr>
          <w:rStyle w:val="af7"/>
          <w:rFonts w:eastAsia="Guttman Hodes" w:hint="cs"/>
          <w:rtl/>
        </w:rPr>
        <w:t>(שער החזקות פט"ז ד"ה ושיעור)</w:t>
      </w:r>
      <w:r>
        <w:rPr>
          <w:rFonts w:hint="cs"/>
          <w:rtl/>
        </w:rPr>
        <w:t xml:space="preserve"> את דברי </w:t>
      </w:r>
      <w:r w:rsidRPr="005D0AF2">
        <w:rPr>
          <w:rStyle w:val="af9"/>
          <w:rFonts w:hint="cs"/>
          <w:rtl/>
        </w:rPr>
        <w:t>התוס' לקמן</w:t>
      </w:r>
      <w:r>
        <w:rPr>
          <w:rFonts w:hint="cs"/>
          <w:rtl/>
        </w:rPr>
        <w:t xml:space="preserve"> </w:t>
      </w:r>
      <w:r w:rsidRPr="00DF1596">
        <w:rPr>
          <w:rStyle w:val="af7"/>
          <w:rFonts w:eastAsia="Guttman Hodes" w:hint="cs"/>
          <w:rtl/>
        </w:rPr>
        <w:t xml:space="preserve">(עי' אות </w:t>
      </w:r>
      <w:r w:rsidRPr="00DF1596">
        <w:rPr>
          <w:rStyle w:val="af7"/>
          <w:rFonts w:eastAsia="Guttman Hodes"/>
          <w:rtl/>
        </w:rPr>
        <w:fldChar w:fldCharType="begin"/>
      </w:r>
      <w:r w:rsidRPr="00DF1596">
        <w:rPr>
          <w:rStyle w:val="af7"/>
          <w:rFonts w:eastAsia="Guttman Hodes"/>
          <w:rtl/>
        </w:rPr>
        <w:instrText xml:space="preserve"> </w:instrText>
      </w:r>
      <w:r w:rsidRPr="00DF1596">
        <w:rPr>
          <w:rStyle w:val="af7"/>
          <w:rFonts w:eastAsia="Guttman Hodes" w:hint="cs"/>
        </w:rPr>
        <w:instrText>REF</w:instrText>
      </w:r>
      <w:r w:rsidRPr="00DF1596">
        <w:rPr>
          <w:rStyle w:val="af7"/>
          <w:rFonts w:eastAsia="Guttman Hodes" w:hint="cs"/>
          <w:rtl/>
        </w:rPr>
        <w:instrText xml:space="preserve"> _</w:instrText>
      </w:r>
      <w:r w:rsidRPr="00DF1596">
        <w:rPr>
          <w:rStyle w:val="af7"/>
          <w:rFonts w:eastAsia="Guttman Hodes" w:hint="cs"/>
        </w:rPr>
        <w:instrText>Ref522476684 \r \h</w:instrText>
      </w:r>
      <w:r w:rsidRPr="00DF1596">
        <w:rPr>
          <w:rStyle w:val="af7"/>
          <w:rFonts w:eastAsia="Guttman Hodes"/>
          <w:rtl/>
        </w:rPr>
        <w:instrText xml:space="preserve"> </w:instrText>
      </w:r>
      <w:r w:rsidRPr="00DF1596">
        <w:rPr>
          <w:rStyle w:val="af7"/>
          <w:rFonts w:eastAsia="Guttman Hodes"/>
          <w:rtl/>
        </w:rPr>
      </w:r>
      <w:r w:rsidRPr="00DF1596">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DF1596">
        <w:rPr>
          <w:rStyle w:val="af7"/>
          <w:rFonts w:eastAsia="Guttman Hodes"/>
          <w:rtl/>
        </w:rPr>
        <w:fldChar w:fldCharType="end"/>
      </w:r>
      <w:r>
        <w:rPr>
          <w:rFonts w:hint="cs"/>
          <w:rtl/>
        </w:rPr>
        <w:t xml:space="preserve"> דהקשו אמאי בספק דרוסה לא אמרינן דאחר השחיטה היא בחזקת היתר, ואף שהספק דרוסה נולד מחיים ולא לאחר השחיטה, מ"מ אפשר להעמידה בחזקת שאינה דרוסה, אף שהחזקה אינה מכריעה את עצם הספק, ובשעת לידת הספק הבהמה עדיין אסורה, דהא מוכח בגמ' ביבמות </w:t>
      </w:r>
      <w:r w:rsidRPr="005D0AF2">
        <w:rPr>
          <w:rStyle w:val="af7"/>
          <w:rFonts w:eastAsia="Guttman Hodes" w:hint="cs"/>
          <w:rtl/>
        </w:rPr>
        <w:t>(ל:)</w:t>
      </w:r>
      <w:r>
        <w:rPr>
          <w:rFonts w:hint="cs"/>
          <w:rtl/>
        </w:rPr>
        <w:t xml:space="preserve"> דבספק צרת ערוה יש לה חזקת היתר לשוק אף מחיים, בזמן שעדיין אסורה באיסור אשת איש, וא"כ אף בדרוסה נעמדינה בחזקת היתר שהייתה לה מחיים לכשתשחט, ותירצו דבספק דרוסה האיסור שכיח.</w:t>
      </w:r>
    </w:p>
    <w:p w14:paraId="5A9B4496" w14:textId="77777777" w:rsidR="00852065" w:rsidRDefault="00852065" w:rsidP="006D6D32">
      <w:pPr>
        <w:pStyle w:val="a3"/>
        <w:rPr>
          <w:rtl/>
        </w:rPr>
      </w:pPr>
      <w:bookmarkStart w:id="2555" w:name="_Toc522810028"/>
      <w:bookmarkStart w:id="2556" w:name="_Toc19389325"/>
      <w:bookmarkStart w:id="2557" w:name="_Toc19392822"/>
      <w:r>
        <w:rPr>
          <w:rFonts w:hint="cs"/>
          <w:rtl/>
        </w:rPr>
        <w:t>ביאור השער"י בתוס' ביבמות דבספק דרוסה מוכח דכשנולד הספק מחיים אין חזקה מחיים</w:t>
      </w:r>
      <w:bookmarkEnd w:id="2555"/>
      <w:bookmarkEnd w:id="2556"/>
      <w:bookmarkEnd w:id="2557"/>
    </w:p>
    <w:p w14:paraId="11A303FD" w14:textId="77777777" w:rsidR="00852065" w:rsidRDefault="00852065" w:rsidP="00223668">
      <w:pPr>
        <w:pStyle w:val="a0"/>
        <w:rPr>
          <w:rtl/>
        </w:rPr>
      </w:pPr>
      <w:r w:rsidRPr="003B6015">
        <w:rPr>
          <w:rFonts w:hint="cs"/>
          <w:rtl/>
        </w:rPr>
        <w:t xml:space="preserve">וכתב </w:t>
      </w:r>
      <w:r w:rsidRPr="005D0AF2">
        <w:rPr>
          <w:rStyle w:val="af9"/>
          <w:rFonts w:hint="cs"/>
          <w:rtl/>
        </w:rPr>
        <w:t>השער"י</w:t>
      </w:r>
      <w:r w:rsidRPr="003B6015">
        <w:rPr>
          <w:rFonts w:hint="cs"/>
          <w:rtl/>
        </w:rPr>
        <w:t xml:space="preserve"> דזהו הביאור גם בדברי </w:t>
      </w:r>
      <w:r w:rsidRPr="005D0AF2">
        <w:rPr>
          <w:rStyle w:val="af9"/>
          <w:rFonts w:hint="cs"/>
          <w:rtl/>
        </w:rPr>
        <w:t>התוס' ביבמות</w:t>
      </w:r>
      <w:r w:rsidRPr="003B6015">
        <w:rPr>
          <w:rFonts w:hint="cs"/>
          <w:rtl/>
        </w:rPr>
        <w:t xml:space="preserve"> </w:t>
      </w:r>
      <w:r w:rsidRPr="00DF1596">
        <w:rPr>
          <w:rStyle w:val="af7"/>
          <w:rFonts w:eastAsia="Guttman Hodes" w:hint="cs"/>
          <w:rtl/>
        </w:rPr>
        <w:t xml:space="preserve">(עי' אות </w:t>
      </w:r>
      <w:r w:rsidRPr="00DF1596">
        <w:rPr>
          <w:rStyle w:val="af7"/>
          <w:rFonts w:eastAsia="Guttman Hodes"/>
          <w:rtl/>
        </w:rPr>
        <w:fldChar w:fldCharType="begin"/>
      </w:r>
      <w:r w:rsidRPr="00DF1596">
        <w:rPr>
          <w:rStyle w:val="af7"/>
          <w:rFonts w:eastAsia="Guttman Hodes"/>
          <w:rtl/>
        </w:rPr>
        <w:instrText xml:space="preserve"> </w:instrText>
      </w:r>
      <w:r w:rsidRPr="00DF1596">
        <w:rPr>
          <w:rStyle w:val="af7"/>
          <w:rFonts w:eastAsia="Guttman Hodes" w:hint="cs"/>
        </w:rPr>
        <w:instrText>REF</w:instrText>
      </w:r>
      <w:r w:rsidRPr="00DF1596">
        <w:rPr>
          <w:rStyle w:val="af7"/>
          <w:rFonts w:eastAsia="Guttman Hodes" w:hint="cs"/>
          <w:rtl/>
        </w:rPr>
        <w:instrText xml:space="preserve"> _</w:instrText>
      </w:r>
      <w:r w:rsidRPr="00DF1596">
        <w:rPr>
          <w:rStyle w:val="af7"/>
          <w:rFonts w:eastAsia="Guttman Hodes" w:hint="cs"/>
        </w:rPr>
        <w:instrText>Ref522476684 \r \h</w:instrText>
      </w:r>
      <w:r w:rsidRPr="00DF1596">
        <w:rPr>
          <w:rStyle w:val="af7"/>
          <w:rFonts w:eastAsia="Guttman Hodes"/>
          <w:rtl/>
        </w:rPr>
        <w:instrText xml:space="preserve"> </w:instrText>
      </w:r>
      <w:r w:rsidRPr="00DF1596">
        <w:rPr>
          <w:rStyle w:val="af7"/>
          <w:rFonts w:eastAsia="Guttman Hodes"/>
          <w:rtl/>
        </w:rPr>
      </w:r>
      <w:r w:rsidRPr="00DF1596">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DF1596">
        <w:rPr>
          <w:rStyle w:val="af7"/>
          <w:rFonts w:eastAsia="Guttman Hodes"/>
          <w:rtl/>
        </w:rPr>
        <w:fldChar w:fldCharType="end"/>
      </w:r>
      <w:r w:rsidRPr="003B6015">
        <w:rPr>
          <w:rFonts w:hint="cs"/>
          <w:rtl/>
        </w:rPr>
        <w:t xml:space="preserve"> ד</w:t>
      </w:r>
      <w:r>
        <w:rPr>
          <w:rFonts w:hint="cs"/>
          <w:rtl/>
        </w:rPr>
        <w:t xml:space="preserve">כיון דמבואר בסוגיין דדוקא בספק שנולד אחר השחיטה מעמידים בחזקת היתר, ואילו בספק דרוסה שהוא מחיים אין מעמידים בחזקת היתר, א"כ מבואר דבמקום שבזמן לידת הספק אין היתר בפועל, א"א להעמיד אח"כ בחזקת היתר שהייתה קודם לידת הספק, ולכן הקשו </w:t>
      </w:r>
      <w:r w:rsidRPr="005D0AF2">
        <w:rPr>
          <w:rStyle w:val="af9"/>
          <w:rFonts w:hint="cs"/>
          <w:rtl/>
        </w:rPr>
        <w:t>התוס' ביבמות</w:t>
      </w:r>
      <w:r>
        <w:rPr>
          <w:rFonts w:hint="cs"/>
          <w:rtl/>
        </w:rPr>
        <w:t xml:space="preserve"> דהאיך בספק צרת ערוה, אמרינן דמחיים היא בחזקת היתר לשוק לכשימות בעלה, אף שבזמן לידת הספק מחיים הייתה אסורה לשוק. ותירצו </w:t>
      </w:r>
      <w:r w:rsidRPr="005D0AF2">
        <w:rPr>
          <w:rStyle w:val="af9"/>
          <w:rFonts w:hint="cs"/>
          <w:rtl/>
        </w:rPr>
        <w:t>התוס' ביבמות</w:t>
      </w:r>
      <w:r>
        <w:rPr>
          <w:rFonts w:hint="cs"/>
          <w:rtl/>
        </w:rPr>
        <w:t xml:space="preserve"> דרק בספק דרוסה דשכיח האיסור לא מעמידים על החזקה, אבל אם לא היה האיסור שכיח, מעמידים אותה בחזקת שאינה דרוסה.</w:t>
      </w:r>
    </w:p>
    <w:p w14:paraId="35DCBE0D" w14:textId="77777777" w:rsidR="00852065" w:rsidRDefault="00852065" w:rsidP="006D6D32">
      <w:pPr>
        <w:pStyle w:val="a3"/>
        <w:rPr>
          <w:rtl/>
        </w:rPr>
      </w:pPr>
      <w:bookmarkStart w:id="2558" w:name="_Toc522810029"/>
      <w:bookmarkStart w:id="2559" w:name="_Toc19389326"/>
      <w:bookmarkStart w:id="2560" w:name="_Toc19392823"/>
      <w:r>
        <w:rPr>
          <w:rFonts w:hint="cs"/>
          <w:rtl/>
        </w:rPr>
        <w:t>דברי השער"י דלתוס' רק בספק שנולד אחר השחיטה יש חזקת היתר בספק השקול</w:t>
      </w:r>
      <w:bookmarkEnd w:id="2558"/>
      <w:bookmarkEnd w:id="2559"/>
      <w:bookmarkEnd w:id="2560"/>
    </w:p>
    <w:p w14:paraId="7073DAF3" w14:textId="77777777" w:rsidR="00852065" w:rsidRDefault="00852065" w:rsidP="00223668">
      <w:pPr>
        <w:pStyle w:val="a0"/>
        <w:rPr>
          <w:rtl/>
        </w:rPr>
      </w:pPr>
      <w:r>
        <w:rPr>
          <w:rFonts w:hint="cs"/>
          <w:rtl/>
        </w:rPr>
        <w:t xml:space="preserve">וכתב </w:t>
      </w:r>
      <w:r w:rsidRPr="00202697">
        <w:rPr>
          <w:rStyle w:val="af9"/>
          <w:rFonts w:hint="cs"/>
          <w:rtl/>
        </w:rPr>
        <w:t>השער"י</w:t>
      </w:r>
      <w:r>
        <w:rPr>
          <w:rFonts w:hint="cs"/>
          <w:rtl/>
        </w:rPr>
        <w:t xml:space="preserve"> דלפי"ז מבואר מדברי </w:t>
      </w:r>
      <w:r w:rsidRPr="00202697">
        <w:rPr>
          <w:rStyle w:val="af9"/>
          <w:rFonts w:hint="cs"/>
          <w:rtl/>
        </w:rPr>
        <w:t>התוס' ביבמות</w:t>
      </w:r>
      <w:r>
        <w:rPr>
          <w:rFonts w:hint="cs"/>
          <w:rtl/>
        </w:rPr>
        <w:t xml:space="preserve"> דחזקת היתר בספק טריפה, היא רק בספק שנולד לאחר השחיטה, [שחל היתר בפועל], ואפשר להתיר רק ע"י החזקה שאינה דרוסה, דמהני בספק השקול.</w:t>
      </w:r>
    </w:p>
    <w:p w14:paraId="27A3A180" w14:textId="77777777" w:rsidR="00852065" w:rsidRDefault="00852065" w:rsidP="00BF39B2">
      <w:pPr>
        <w:pStyle w:val="1"/>
        <w:rPr>
          <w:rtl/>
        </w:rPr>
      </w:pPr>
      <w:bookmarkStart w:id="2561" w:name="_Toc522790324"/>
      <w:bookmarkStart w:id="2562" w:name="_Toc522800823"/>
      <w:bookmarkStart w:id="2563" w:name="_Toc522800931"/>
      <w:bookmarkStart w:id="2564" w:name="_Toc522810030"/>
      <w:bookmarkStart w:id="2565" w:name="_Toc19389327"/>
      <w:bookmarkStart w:id="2566" w:name="_Toc19392824"/>
      <w:r>
        <w:rPr>
          <w:rFonts w:hint="cs"/>
          <w:rtl/>
        </w:rPr>
        <w:t>ביאור השער"י בדברי הדרכ"מ בנמצא מים במוח</w:t>
      </w:r>
      <w:bookmarkEnd w:id="2561"/>
      <w:bookmarkEnd w:id="2562"/>
      <w:bookmarkEnd w:id="2563"/>
      <w:bookmarkEnd w:id="2564"/>
      <w:bookmarkEnd w:id="2565"/>
      <w:bookmarkEnd w:id="2566"/>
    </w:p>
    <w:p w14:paraId="4B7783D7" w14:textId="77777777" w:rsidR="00852065" w:rsidRPr="00202697" w:rsidRDefault="00852065" w:rsidP="006D6D32">
      <w:pPr>
        <w:pStyle w:val="a3"/>
        <w:rPr>
          <w:rtl/>
        </w:rPr>
      </w:pPr>
      <w:bookmarkStart w:id="2567" w:name="_Toc522810031"/>
      <w:bookmarkStart w:id="2568" w:name="_Toc19389328"/>
      <w:bookmarkStart w:id="2569" w:name="_Toc19392825"/>
      <w:r>
        <w:rPr>
          <w:rFonts w:hint="cs"/>
          <w:rtl/>
        </w:rPr>
        <w:t>ביאור השער"י בדרכ"מ דיתכן שהבהמה נולדה עם הריעותא ואין חזקת היתר בריעותא מחיים</w:t>
      </w:r>
      <w:bookmarkEnd w:id="2567"/>
      <w:bookmarkEnd w:id="2568"/>
      <w:bookmarkEnd w:id="2569"/>
    </w:p>
    <w:p w14:paraId="4309AEDD" w14:textId="77777777" w:rsidR="00852065" w:rsidRPr="008764A3" w:rsidRDefault="00852065" w:rsidP="00223668">
      <w:pPr>
        <w:pStyle w:val="a0"/>
        <w:rPr>
          <w:rtl/>
        </w:rPr>
      </w:pPr>
      <w:r>
        <w:rPr>
          <w:rFonts w:hint="cs"/>
          <w:rtl/>
        </w:rPr>
        <w:t xml:space="preserve">וכתב </w:t>
      </w:r>
      <w:r w:rsidRPr="00202697">
        <w:rPr>
          <w:rStyle w:val="af9"/>
          <w:rFonts w:hint="cs"/>
          <w:rtl/>
        </w:rPr>
        <w:t>השער"י</w:t>
      </w:r>
      <w:r>
        <w:rPr>
          <w:rFonts w:hint="cs"/>
          <w:rtl/>
        </w:rPr>
        <w:t xml:space="preserve"> </w:t>
      </w:r>
      <w:r w:rsidRPr="00202697">
        <w:rPr>
          <w:rStyle w:val="af7"/>
          <w:rFonts w:eastAsia="Guttman Hodes" w:hint="cs"/>
          <w:rtl/>
        </w:rPr>
        <w:t>(שער החזקות פט"ז ד"ה ועפי"ז בספק)</w:t>
      </w:r>
      <w:r>
        <w:rPr>
          <w:rFonts w:hint="cs"/>
          <w:rtl/>
        </w:rPr>
        <w:t xml:space="preserve"> דזהו הביאור בדברי </w:t>
      </w:r>
      <w:r w:rsidRPr="00202697">
        <w:rPr>
          <w:rStyle w:val="af9"/>
          <w:rFonts w:hint="cs"/>
          <w:rtl/>
        </w:rPr>
        <w:t>הדרכ"מ</w:t>
      </w:r>
      <w:r>
        <w:rPr>
          <w:rFonts w:hint="cs"/>
          <w:rtl/>
        </w:rPr>
        <w:t xml:space="preserve"> </w:t>
      </w:r>
      <w:r w:rsidRPr="00AC3F28">
        <w:rPr>
          <w:rStyle w:val="af7"/>
          <w:rFonts w:eastAsia="Guttman Hodes" w:hint="cs"/>
          <w:rtl/>
        </w:rPr>
        <w:t xml:space="preserve">(עי' אות </w:t>
      </w:r>
      <w:r w:rsidRPr="00AC3F28">
        <w:rPr>
          <w:rStyle w:val="af7"/>
          <w:rFonts w:eastAsia="Guttman Hodes"/>
          <w:rtl/>
        </w:rPr>
        <w:fldChar w:fldCharType="begin"/>
      </w:r>
      <w:r w:rsidRPr="00AC3F28">
        <w:rPr>
          <w:rStyle w:val="af7"/>
          <w:rFonts w:eastAsia="Guttman Hodes"/>
          <w:rtl/>
        </w:rPr>
        <w:instrText xml:space="preserve"> </w:instrText>
      </w:r>
      <w:r w:rsidRPr="00AC3F28">
        <w:rPr>
          <w:rStyle w:val="af7"/>
          <w:rFonts w:eastAsia="Guttman Hodes" w:hint="cs"/>
        </w:rPr>
        <w:instrText>REF</w:instrText>
      </w:r>
      <w:r w:rsidRPr="00AC3F28">
        <w:rPr>
          <w:rStyle w:val="af7"/>
          <w:rFonts w:eastAsia="Guttman Hodes" w:hint="cs"/>
          <w:rtl/>
        </w:rPr>
        <w:instrText xml:space="preserve"> _</w:instrText>
      </w:r>
      <w:r w:rsidRPr="00AC3F28">
        <w:rPr>
          <w:rStyle w:val="af7"/>
          <w:rFonts w:eastAsia="Guttman Hodes" w:hint="cs"/>
        </w:rPr>
        <w:instrText>Ref522527197 \r \h</w:instrText>
      </w:r>
      <w:r w:rsidRPr="00AC3F28">
        <w:rPr>
          <w:rStyle w:val="af7"/>
          <w:rFonts w:eastAsia="Guttman Hodes"/>
          <w:rtl/>
        </w:rPr>
        <w:instrText xml:space="preserve"> </w:instrText>
      </w:r>
      <w:r w:rsidRPr="00AC3F28">
        <w:rPr>
          <w:rStyle w:val="af7"/>
          <w:rFonts w:eastAsia="Guttman Hodes"/>
          <w:rtl/>
        </w:rPr>
      </w:r>
      <w:r w:rsidRPr="00AC3F28">
        <w:rPr>
          <w:rStyle w:val="af7"/>
          <w:rFonts w:eastAsia="Guttman Hodes"/>
          <w:rtl/>
        </w:rPr>
        <w:fldChar w:fldCharType="separate"/>
      </w:r>
      <w:r w:rsidR="00345400">
        <w:rPr>
          <w:rStyle w:val="af7"/>
          <w:rFonts w:eastAsia="Guttman Hodes"/>
          <w:cs/>
        </w:rPr>
        <w:t>‎</w:t>
      </w:r>
      <w:r w:rsidR="00345400">
        <w:rPr>
          <w:rStyle w:val="af7"/>
          <w:rFonts w:eastAsia="Guttman Hodes"/>
          <w:rtl/>
        </w:rPr>
        <w:t>עח)</w:t>
      </w:r>
      <w:r w:rsidRPr="00AC3F28">
        <w:rPr>
          <w:rStyle w:val="af7"/>
          <w:rFonts w:eastAsia="Guttman Hodes"/>
          <w:rtl/>
        </w:rPr>
        <w:fldChar w:fldCharType="end"/>
      </w:r>
      <w:r>
        <w:rPr>
          <w:rFonts w:hint="cs"/>
          <w:rtl/>
        </w:rPr>
        <w:t xml:space="preserve"> דאסר בבהמה שיש לה מים במוח, כיון שאין לה חזקה שמתחילה לא היה לה מים במוח, דהא יתכן שנולדה כך, וע"י חזקת היתר א"א להתירה כיון שנולד הספק מחיים, והוא ספק דאו'.</w:t>
      </w:r>
    </w:p>
    <w:p w14:paraId="6586335E" w14:textId="77777777" w:rsidR="00852065" w:rsidRDefault="00852065" w:rsidP="006D6D32">
      <w:pPr>
        <w:pStyle w:val="a3"/>
        <w:rPr>
          <w:rtl/>
        </w:rPr>
      </w:pPr>
      <w:bookmarkStart w:id="2570" w:name="_Toc522810032"/>
      <w:bookmarkStart w:id="2571" w:name="_Toc19389329"/>
      <w:bookmarkStart w:id="2572" w:name="_Toc19392826"/>
      <w:r>
        <w:rPr>
          <w:rFonts w:hint="cs"/>
          <w:rtl/>
        </w:rPr>
        <w:t>ביאור השער"י בדרכ"מ דבמנצאת לאחר השחיטה ריעותא מחיים חשיב חזקה בטעות</w:t>
      </w:r>
      <w:bookmarkEnd w:id="2570"/>
      <w:bookmarkEnd w:id="2571"/>
      <w:bookmarkEnd w:id="2572"/>
    </w:p>
    <w:p w14:paraId="686D8A3E" w14:textId="77777777" w:rsidR="00852065" w:rsidRDefault="00852065" w:rsidP="00223668">
      <w:pPr>
        <w:pStyle w:val="a0"/>
        <w:rPr>
          <w:rtl/>
        </w:rPr>
      </w:pPr>
      <w:r>
        <w:rPr>
          <w:rFonts w:hint="cs"/>
          <w:rtl/>
        </w:rPr>
        <w:t xml:space="preserve">וכתב </w:t>
      </w:r>
      <w:r w:rsidRPr="00E81AB6">
        <w:rPr>
          <w:rStyle w:val="af9"/>
          <w:rFonts w:hint="cs"/>
          <w:rtl/>
        </w:rPr>
        <w:t>השער"י</w:t>
      </w:r>
      <w:r>
        <w:rPr>
          <w:rFonts w:hint="cs"/>
          <w:rtl/>
        </w:rPr>
        <w:t xml:space="preserve"> דמדברי </w:t>
      </w:r>
      <w:r w:rsidRPr="00E81AB6">
        <w:rPr>
          <w:rStyle w:val="af9"/>
          <w:rFonts w:hint="cs"/>
          <w:rtl/>
        </w:rPr>
        <w:t>הדרכ"מ</w:t>
      </w:r>
      <w:r>
        <w:rPr>
          <w:rFonts w:hint="cs"/>
          <w:rtl/>
        </w:rPr>
        <w:t xml:space="preserve"> משמע דהמתירים סברו דכיון שבחיי הבהמה, לא ידעו שיש לה ריעותא, היא בכלל דינא דרב הונא דנשחטה בחזקת היתר קיימא, ודחה </w:t>
      </w:r>
      <w:r w:rsidRPr="00E81AB6">
        <w:rPr>
          <w:rStyle w:val="af9"/>
          <w:rFonts w:hint="cs"/>
          <w:rtl/>
        </w:rPr>
        <w:t>הדרכ"מ</w:t>
      </w:r>
      <w:r>
        <w:rPr>
          <w:rFonts w:hint="cs"/>
          <w:rtl/>
        </w:rPr>
        <w:t xml:space="preserve"> דכיון שנתברר שאף מחיים הייתה בה ריעותא, התברר למפרע דבטעות</w:t>
      </w:r>
      <w:r w:rsidRPr="00C74733">
        <w:rPr>
          <w:rFonts w:hint="cs"/>
          <w:rtl/>
        </w:rPr>
        <w:t xml:space="preserve"> </w:t>
      </w:r>
      <w:r>
        <w:rPr>
          <w:rFonts w:hint="cs"/>
          <w:rtl/>
        </w:rPr>
        <w:t>הוחזקה בשעת השחיטה</w:t>
      </w:r>
      <w:r w:rsidRPr="00C74E07">
        <w:rPr>
          <w:rFonts w:hint="cs"/>
          <w:rtl/>
        </w:rPr>
        <w:t xml:space="preserve"> </w:t>
      </w:r>
      <w:r>
        <w:rPr>
          <w:rFonts w:hint="cs"/>
          <w:rtl/>
        </w:rPr>
        <w:t>בחזקת היתר, וכיון דמחיים הייתה בחזקת איסור, ולאחר שחיטה אין לה חזקת היתר אסורה.</w:t>
      </w:r>
    </w:p>
    <w:p w14:paraId="4D5D5858" w14:textId="77777777" w:rsidR="00852065" w:rsidRDefault="00852065" w:rsidP="006D6D32">
      <w:pPr>
        <w:pStyle w:val="a3"/>
        <w:rPr>
          <w:rtl/>
        </w:rPr>
      </w:pPr>
      <w:bookmarkStart w:id="2573" w:name="_Toc522810033"/>
      <w:bookmarkStart w:id="2574" w:name="_Toc19389330"/>
      <w:bookmarkStart w:id="2575" w:name="_Toc19392827"/>
      <w:r>
        <w:rPr>
          <w:rFonts w:hint="cs"/>
          <w:rtl/>
        </w:rPr>
        <w:t>ביאור השער"י בראיית הדרכ"מ מתוס' דרק בריעותא אחר שחיטה יש חזקת היתר</w:t>
      </w:r>
      <w:bookmarkEnd w:id="2573"/>
      <w:bookmarkEnd w:id="2574"/>
      <w:bookmarkEnd w:id="2575"/>
    </w:p>
    <w:p w14:paraId="1113106C" w14:textId="77777777" w:rsidR="00852065" w:rsidRDefault="00852065" w:rsidP="00223668">
      <w:pPr>
        <w:pStyle w:val="a0"/>
        <w:rPr>
          <w:rtl/>
        </w:rPr>
      </w:pPr>
      <w:r>
        <w:rPr>
          <w:rFonts w:hint="cs"/>
          <w:rtl/>
        </w:rPr>
        <w:t xml:space="preserve">וכתב </w:t>
      </w:r>
      <w:r w:rsidRPr="00B90126">
        <w:rPr>
          <w:rStyle w:val="af9"/>
          <w:rFonts w:hint="cs"/>
          <w:rtl/>
        </w:rPr>
        <w:t>השער"י</w:t>
      </w:r>
      <w:r>
        <w:rPr>
          <w:rFonts w:hint="cs"/>
          <w:rtl/>
        </w:rPr>
        <w:t xml:space="preserve"> דבזה מבוארת ראיית </w:t>
      </w:r>
      <w:r w:rsidRPr="00B90126">
        <w:rPr>
          <w:rStyle w:val="af9"/>
          <w:rFonts w:hint="cs"/>
          <w:rtl/>
        </w:rPr>
        <w:t>הדרכ"מ מהתוס' ביבמות</w:t>
      </w:r>
      <w:r>
        <w:rPr>
          <w:rFonts w:hint="cs"/>
          <w:rtl/>
        </w:rPr>
        <w:t>, דמבואר בדבריהם דדוקא בזאב חשיב כספק אחר השחיטה, כיון שיתכן שלא הייתה ריעותא מחיים</w:t>
      </w:r>
      <w:r w:rsidRPr="00CB33DB">
        <w:rPr>
          <w:rFonts w:hint="cs"/>
          <w:rtl/>
        </w:rPr>
        <w:t xml:space="preserve"> </w:t>
      </w:r>
      <w:r>
        <w:rPr>
          <w:rFonts w:hint="cs"/>
          <w:rtl/>
        </w:rPr>
        <w:t xml:space="preserve">כלל, אבל במקום שנתברר שמחיים כבר הייתה ריעותא, אינה בכלל דברי רב הונא דנשחטה בחזקת היתר קיימא, ועיי"ש במה שביאר </w:t>
      </w:r>
      <w:r w:rsidRPr="00B90126">
        <w:rPr>
          <w:rStyle w:val="af9"/>
          <w:rFonts w:hint="cs"/>
          <w:rtl/>
        </w:rPr>
        <w:t>השער"י</w:t>
      </w:r>
      <w:r>
        <w:rPr>
          <w:rFonts w:hint="cs"/>
          <w:rtl/>
        </w:rPr>
        <w:t xml:space="preserve"> בזה בדברי </w:t>
      </w:r>
      <w:r w:rsidRPr="000E2A75">
        <w:rPr>
          <w:rStyle w:val="af9"/>
          <w:rFonts w:hint="cs"/>
          <w:rtl/>
        </w:rPr>
        <w:t>התבו"ש</w:t>
      </w:r>
      <w:r>
        <w:rPr>
          <w:rFonts w:hint="cs"/>
          <w:rtl/>
        </w:rPr>
        <w:t>.</w:t>
      </w:r>
    </w:p>
    <w:p w14:paraId="2369BAA8" w14:textId="77777777" w:rsidR="00852065" w:rsidRDefault="00852065" w:rsidP="00BF39B2">
      <w:pPr>
        <w:pStyle w:val="1"/>
        <w:rPr>
          <w:rtl/>
        </w:rPr>
      </w:pPr>
      <w:bookmarkStart w:id="2576" w:name="_Toc522790325"/>
      <w:bookmarkStart w:id="2577" w:name="_Toc522800824"/>
      <w:bookmarkStart w:id="2578" w:name="_Toc522800932"/>
      <w:bookmarkStart w:id="2579" w:name="_Toc522810034"/>
      <w:bookmarkStart w:id="2580" w:name="_Toc19389331"/>
      <w:bookmarkStart w:id="2581" w:name="_Toc19392828"/>
      <w:r>
        <w:rPr>
          <w:rFonts w:hint="cs"/>
          <w:rtl/>
        </w:rPr>
        <w:t>ביאור השער"י בפלוגתת התוס' ורבינו יונה בגבינות</w:t>
      </w:r>
      <w:bookmarkEnd w:id="2576"/>
      <w:bookmarkEnd w:id="2577"/>
      <w:bookmarkEnd w:id="2578"/>
      <w:bookmarkEnd w:id="2579"/>
      <w:bookmarkEnd w:id="2580"/>
      <w:bookmarkEnd w:id="2581"/>
    </w:p>
    <w:p w14:paraId="2A2A7415" w14:textId="77777777" w:rsidR="00852065" w:rsidRPr="005B3DB0" w:rsidRDefault="00852065" w:rsidP="006D6D32">
      <w:pPr>
        <w:pStyle w:val="a3"/>
        <w:rPr>
          <w:rtl/>
        </w:rPr>
      </w:pPr>
      <w:bookmarkStart w:id="2582" w:name="_Toc522810035"/>
      <w:bookmarkStart w:id="2583" w:name="_Toc19389332"/>
      <w:bookmarkStart w:id="2584" w:name="_Toc19392829"/>
      <w:r>
        <w:rPr>
          <w:rFonts w:hint="cs"/>
          <w:rtl/>
        </w:rPr>
        <w:t>דברי השער"י דיש חילוק בין חזקה שלא היה שינוי לחזקה שהספק מתי היה השינוי דאינה אלימא</w:t>
      </w:r>
      <w:bookmarkEnd w:id="2582"/>
      <w:bookmarkEnd w:id="2583"/>
      <w:bookmarkEnd w:id="2584"/>
    </w:p>
    <w:p w14:paraId="39B4142F" w14:textId="77777777" w:rsidR="00852065" w:rsidRDefault="00852065" w:rsidP="00223668">
      <w:pPr>
        <w:pStyle w:val="a0"/>
        <w:rPr>
          <w:rtl/>
        </w:rPr>
      </w:pPr>
      <w:r>
        <w:rPr>
          <w:rFonts w:hint="cs"/>
          <w:rtl/>
        </w:rPr>
        <w:t xml:space="preserve">בביאור פלוגתת </w:t>
      </w:r>
      <w:r w:rsidRPr="008F6C09">
        <w:rPr>
          <w:rStyle w:val="af9"/>
          <w:rFonts w:hint="cs"/>
          <w:rtl/>
        </w:rPr>
        <w:t xml:space="preserve">התוס' </w:t>
      </w:r>
      <w:r w:rsidRPr="00582908">
        <w:rPr>
          <w:rStyle w:val="af7"/>
          <w:rFonts w:eastAsia="Guttman Hodes" w:hint="cs"/>
          <w:rtl/>
        </w:rPr>
        <w:t xml:space="preserve">(עי' אות </w:t>
      </w:r>
      <w:r w:rsidRPr="00582908">
        <w:rPr>
          <w:rStyle w:val="af7"/>
          <w:rFonts w:eastAsia="Guttman Hodes"/>
          <w:rtl/>
        </w:rPr>
        <w:fldChar w:fldCharType="begin"/>
      </w:r>
      <w:r w:rsidRPr="00582908">
        <w:rPr>
          <w:rStyle w:val="af7"/>
          <w:rFonts w:eastAsia="Guttman Hodes"/>
          <w:rtl/>
        </w:rPr>
        <w:instrText xml:space="preserve"> </w:instrText>
      </w:r>
      <w:r w:rsidRPr="00582908">
        <w:rPr>
          <w:rStyle w:val="af7"/>
          <w:rFonts w:eastAsia="Guttman Hodes" w:hint="cs"/>
        </w:rPr>
        <w:instrText>REF</w:instrText>
      </w:r>
      <w:r w:rsidRPr="00582908">
        <w:rPr>
          <w:rStyle w:val="af7"/>
          <w:rFonts w:eastAsia="Guttman Hodes" w:hint="cs"/>
          <w:rtl/>
        </w:rPr>
        <w:instrText xml:space="preserve"> _</w:instrText>
      </w:r>
      <w:r w:rsidRPr="00582908">
        <w:rPr>
          <w:rStyle w:val="af7"/>
          <w:rFonts w:eastAsia="Guttman Hodes" w:hint="cs"/>
        </w:rPr>
        <w:instrText>Ref522443050 \r \h</w:instrText>
      </w:r>
      <w:r w:rsidRPr="00582908">
        <w:rPr>
          <w:rStyle w:val="af7"/>
          <w:rFonts w:eastAsia="Guttman Hodes"/>
          <w:rtl/>
        </w:rPr>
        <w:instrText xml:space="preserve"> </w:instrText>
      </w:r>
      <w:r w:rsidRPr="00582908">
        <w:rPr>
          <w:rStyle w:val="af7"/>
          <w:rFonts w:eastAsia="Guttman Hodes"/>
          <w:rtl/>
        </w:rPr>
      </w:r>
      <w:r w:rsidRPr="00582908">
        <w:rPr>
          <w:rStyle w:val="af7"/>
          <w:rFonts w:eastAsia="Guttman Hodes"/>
          <w:rtl/>
        </w:rPr>
        <w:fldChar w:fldCharType="separate"/>
      </w:r>
      <w:r w:rsidR="00345400">
        <w:rPr>
          <w:rStyle w:val="af7"/>
          <w:rFonts w:eastAsia="Guttman Hodes"/>
          <w:cs/>
        </w:rPr>
        <w:t>‎</w:t>
      </w:r>
      <w:r w:rsidR="00345400">
        <w:rPr>
          <w:rStyle w:val="af7"/>
          <w:rFonts w:eastAsia="Guttman Hodes"/>
          <w:rtl/>
        </w:rPr>
        <w:t>י)</w:t>
      </w:r>
      <w:r w:rsidRPr="00582908">
        <w:rPr>
          <w:rStyle w:val="af7"/>
          <w:rFonts w:eastAsia="Guttman Hodes"/>
          <w:rtl/>
        </w:rPr>
        <w:fldChar w:fldCharType="end"/>
      </w:r>
      <w:r w:rsidRPr="00582908">
        <w:rPr>
          <w:rStyle w:val="af7"/>
          <w:rFonts w:eastAsia="Guttman Hodes" w:hint="cs"/>
          <w:rtl/>
        </w:rPr>
        <w:t xml:space="preserve"> </w:t>
      </w:r>
      <w:r w:rsidRPr="008F6C09">
        <w:rPr>
          <w:rStyle w:val="af9"/>
          <w:rFonts w:hint="cs"/>
          <w:rtl/>
        </w:rPr>
        <w:t>ורבינו יונה</w:t>
      </w:r>
      <w:r>
        <w:rPr>
          <w:rFonts w:hint="cs"/>
          <w:rtl/>
        </w:rPr>
        <w:t xml:space="preserve"> </w:t>
      </w:r>
      <w:r w:rsidRPr="00582908">
        <w:rPr>
          <w:rStyle w:val="af7"/>
          <w:rFonts w:eastAsia="Guttman Hodes" w:hint="cs"/>
          <w:rtl/>
        </w:rPr>
        <w:t xml:space="preserve">(עי' אות </w:t>
      </w:r>
      <w:r w:rsidRPr="00582908">
        <w:rPr>
          <w:rStyle w:val="af7"/>
          <w:rFonts w:eastAsia="Guttman Hodes"/>
          <w:rtl/>
        </w:rPr>
        <w:fldChar w:fldCharType="begin"/>
      </w:r>
      <w:r w:rsidRPr="00582908">
        <w:rPr>
          <w:rStyle w:val="af7"/>
          <w:rFonts w:eastAsia="Guttman Hodes"/>
          <w:rtl/>
        </w:rPr>
        <w:instrText xml:space="preserve"> </w:instrText>
      </w:r>
      <w:r w:rsidRPr="00582908">
        <w:rPr>
          <w:rStyle w:val="af7"/>
          <w:rFonts w:eastAsia="Guttman Hodes" w:hint="cs"/>
        </w:rPr>
        <w:instrText>REF</w:instrText>
      </w:r>
      <w:r w:rsidRPr="00582908">
        <w:rPr>
          <w:rStyle w:val="af7"/>
          <w:rFonts w:eastAsia="Guttman Hodes" w:hint="cs"/>
          <w:rtl/>
        </w:rPr>
        <w:instrText xml:space="preserve"> _</w:instrText>
      </w:r>
      <w:r w:rsidRPr="00582908">
        <w:rPr>
          <w:rStyle w:val="af7"/>
          <w:rFonts w:eastAsia="Guttman Hodes" w:hint="cs"/>
        </w:rPr>
        <w:instrText>Ref522617791 \r \h</w:instrText>
      </w:r>
      <w:r w:rsidRPr="00582908">
        <w:rPr>
          <w:rStyle w:val="af7"/>
          <w:rFonts w:eastAsia="Guttman Hodes"/>
          <w:rtl/>
        </w:rPr>
        <w:instrText xml:space="preserve"> </w:instrText>
      </w:r>
      <w:r w:rsidRPr="00582908">
        <w:rPr>
          <w:rStyle w:val="af7"/>
          <w:rFonts w:eastAsia="Guttman Hodes"/>
          <w:rtl/>
        </w:rPr>
      </w:r>
      <w:r w:rsidRPr="00582908">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582908">
        <w:rPr>
          <w:rStyle w:val="af7"/>
          <w:rFonts w:eastAsia="Guttman Hodes"/>
          <w:rtl/>
        </w:rPr>
        <w:fldChar w:fldCharType="end"/>
      </w:r>
      <w:r>
        <w:rPr>
          <w:rFonts w:hint="cs"/>
          <w:rtl/>
        </w:rPr>
        <w:t xml:space="preserve"> בגבינות, כתב </w:t>
      </w:r>
      <w:r w:rsidRPr="008F6C09">
        <w:rPr>
          <w:rStyle w:val="af9"/>
          <w:rFonts w:hint="cs"/>
          <w:rtl/>
        </w:rPr>
        <w:t>השער"י</w:t>
      </w:r>
      <w:r>
        <w:rPr>
          <w:rFonts w:hint="cs"/>
          <w:rtl/>
        </w:rPr>
        <w:t xml:space="preserve"> </w:t>
      </w:r>
      <w:r w:rsidRPr="00582908">
        <w:rPr>
          <w:rStyle w:val="af7"/>
          <w:rFonts w:eastAsia="Guttman Hodes" w:hint="cs"/>
          <w:rtl/>
        </w:rPr>
        <w:t>(שער החזקות פט"ז ד"ה וראוי לבאר)</w:t>
      </w:r>
      <w:r>
        <w:rPr>
          <w:rFonts w:hint="cs"/>
          <w:rtl/>
        </w:rPr>
        <w:t xml:space="preserve"> דחזקה מתחלקת לב' אופנים, הא' חזקה אלימא דיש ב' מקרים בחזקה, הא' במקום שלא ראינו כל שינוי, שהיא חזקה אלימתא, דמספק א"א לומר שנעשה שינוי, והב' במקום שנעשה שינוי והנדון מתי אירע השינוי.</w:t>
      </w:r>
    </w:p>
    <w:p w14:paraId="4C771EA6" w14:textId="77777777" w:rsidR="00852065" w:rsidRDefault="00852065" w:rsidP="006D6D32">
      <w:pPr>
        <w:pStyle w:val="a3"/>
        <w:rPr>
          <w:rtl/>
        </w:rPr>
      </w:pPr>
      <w:bookmarkStart w:id="2585" w:name="_Toc522810036"/>
      <w:bookmarkStart w:id="2586" w:name="_Toc19389333"/>
      <w:bookmarkStart w:id="2587" w:name="_Toc19392830"/>
      <w:r>
        <w:rPr>
          <w:rFonts w:hint="cs"/>
          <w:rtl/>
        </w:rPr>
        <w:t>ביאור השער"י בתוס' דבזאב אין ריעותא ויש חזקה משא"כ בגבינות שודאי טריפה</w:t>
      </w:r>
      <w:bookmarkEnd w:id="2585"/>
      <w:bookmarkEnd w:id="2586"/>
      <w:bookmarkEnd w:id="2587"/>
    </w:p>
    <w:p w14:paraId="10DF9C67" w14:textId="77777777" w:rsidR="00852065" w:rsidRDefault="00852065" w:rsidP="00223668">
      <w:pPr>
        <w:pStyle w:val="a0"/>
        <w:rPr>
          <w:rtl/>
        </w:rPr>
      </w:pPr>
      <w:r>
        <w:rPr>
          <w:rFonts w:hint="cs"/>
          <w:rtl/>
        </w:rPr>
        <w:t xml:space="preserve">וכתב </w:t>
      </w:r>
      <w:r w:rsidRPr="008F6C09">
        <w:rPr>
          <w:rStyle w:val="af9"/>
          <w:rFonts w:hint="cs"/>
          <w:rtl/>
        </w:rPr>
        <w:t>השער"י דהתוס'</w:t>
      </w:r>
      <w:r>
        <w:rPr>
          <w:rFonts w:hint="cs"/>
          <w:rtl/>
        </w:rPr>
        <w:t xml:space="preserve"> ס"ל דבזאב כיון שאפשר לתלות שלא היה נקב מחיים, חשיב שאין כאן כל ריעותא והיא חזקה אלימתא, אבל בגבינות שיש שינוי לפנינו דהבהמה ודאי טריפה, ס"ל </w:t>
      </w:r>
      <w:r w:rsidRPr="008F6C09">
        <w:rPr>
          <w:rStyle w:val="af9"/>
          <w:rFonts w:hint="cs"/>
          <w:rtl/>
        </w:rPr>
        <w:t xml:space="preserve">להתוס' </w:t>
      </w:r>
      <w:r>
        <w:rPr>
          <w:rFonts w:hint="cs"/>
          <w:rtl/>
        </w:rPr>
        <w:t>דכיון שלא התבררה לנו החזקה, אלא הייתה רק חזקת דין שהבהמה כשרה, לא מהני חזקה זו במקום ריעותא.</w:t>
      </w:r>
    </w:p>
    <w:p w14:paraId="6D7FC394" w14:textId="77777777" w:rsidR="00852065" w:rsidRDefault="00852065" w:rsidP="006D6D32">
      <w:pPr>
        <w:pStyle w:val="a3"/>
        <w:rPr>
          <w:rtl/>
        </w:rPr>
      </w:pPr>
      <w:bookmarkStart w:id="2588" w:name="_Toc522810037"/>
      <w:bookmarkStart w:id="2589" w:name="_Toc19389334"/>
      <w:bookmarkStart w:id="2590" w:name="_Toc19392831"/>
      <w:r>
        <w:rPr>
          <w:rFonts w:hint="cs"/>
          <w:rtl/>
        </w:rPr>
        <w:t>ביאור השער"י ברבינו יונה דאף בגבינות אפשר לתלות דנטרפה בשחיטה ואין חסרון בחזקה</w:t>
      </w:r>
      <w:bookmarkEnd w:id="2588"/>
      <w:bookmarkEnd w:id="2589"/>
      <w:bookmarkEnd w:id="2590"/>
    </w:p>
    <w:p w14:paraId="597EEC64" w14:textId="77777777" w:rsidR="00852065" w:rsidRDefault="00852065" w:rsidP="00223668">
      <w:pPr>
        <w:pStyle w:val="a0"/>
        <w:rPr>
          <w:rtl/>
        </w:rPr>
      </w:pPr>
      <w:r>
        <w:rPr>
          <w:rFonts w:hint="cs"/>
          <w:rtl/>
        </w:rPr>
        <w:t xml:space="preserve">ובדעת </w:t>
      </w:r>
      <w:r w:rsidRPr="00582908">
        <w:rPr>
          <w:rStyle w:val="af9"/>
          <w:rFonts w:hint="cs"/>
          <w:rtl/>
        </w:rPr>
        <w:t>רבינו יונה</w:t>
      </w:r>
      <w:r>
        <w:rPr>
          <w:rFonts w:hint="cs"/>
          <w:rtl/>
        </w:rPr>
        <w:t xml:space="preserve"> ביאר </w:t>
      </w:r>
      <w:r w:rsidRPr="00582908">
        <w:rPr>
          <w:rStyle w:val="af9"/>
          <w:rFonts w:hint="cs"/>
          <w:rtl/>
        </w:rPr>
        <w:t xml:space="preserve">השער"י </w:t>
      </w:r>
      <w:r>
        <w:rPr>
          <w:rFonts w:hint="cs"/>
          <w:rtl/>
        </w:rPr>
        <w:t xml:space="preserve">דבמקום שאפשר לתלות, שנטרפה בשעת השחיטה, </w:t>
      </w:r>
      <w:r w:rsidRPr="00582908">
        <w:rPr>
          <w:rStyle w:val="afb"/>
          <w:rFonts w:hint="cs"/>
          <w:rtl/>
        </w:rPr>
        <w:t>[דאינה סירכא שנעשית מחיים],</w:t>
      </w:r>
      <w:r>
        <w:rPr>
          <w:rFonts w:hint="cs"/>
          <w:rtl/>
        </w:rPr>
        <w:t xml:space="preserve"> אף שהחזקה דהשתא היא דהבהמה טריפה, מ"מ אי"ז מגרע בחזקה דמעיקרא כלל, דיתכן שאירע כן בשעת השחיטה, ולא חשיב שיש ריעותא בחזקה, ולכן מהני החזקה להתיר.</w:t>
      </w:r>
    </w:p>
    <w:p w14:paraId="753F9A42" w14:textId="77777777" w:rsidR="00852065" w:rsidRDefault="00852065" w:rsidP="00BF39B2">
      <w:pPr>
        <w:pStyle w:val="1"/>
        <w:rPr>
          <w:rtl/>
        </w:rPr>
      </w:pPr>
      <w:bookmarkStart w:id="2591" w:name="_Toc522810038"/>
      <w:bookmarkStart w:id="2592" w:name="_Toc19389335"/>
      <w:bookmarkStart w:id="2593" w:name="_Toc19392832"/>
      <w:r>
        <w:rPr>
          <w:rFonts w:hint="cs"/>
          <w:rtl/>
        </w:rPr>
        <w:t>ביאור השער"י בדין חזקה מכח רוב במקום ריעותא</w:t>
      </w:r>
      <w:bookmarkEnd w:id="2591"/>
      <w:bookmarkEnd w:id="2592"/>
      <w:bookmarkEnd w:id="2593"/>
    </w:p>
    <w:p w14:paraId="240DBF54" w14:textId="77777777" w:rsidR="00852065" w:rsidRDefault="00852065" w:rsidP="006D6D32">
      <w:pPr>
        <w:pStyle w:val="a3"/>
        <w:rPr>
          <w:rtl/>
        </w:rPr>
      </w:pPr>
      <w:bookmarkStart w:id="2594" w:name="_Toc522810039"/>
      <w:bookmarkStart w:id="2595" w:name="_Toc19389336"/>
      <w:bookmarkStart w:id="2596" w:name="_Toc19392833"/>
      <w:r>
        <w:rPr>
          <w:rFonts w:hint="cs"/>
          <w:rtl/>
        </w:rPr>
        <w:t>ביאור השער"י ברמ"א דכשהספק אם הריעותא עושה טריפה לא מהני חזקה מכח רוב</w:t>
      </w:r>
      <w:bookmarkEnd w:id="2594"/>
      <w:bookmarkEnd w:id="2595"/>
      <w:bookmarkEnd w:id="2596"/>
    </w:p>
    <w:p w14:paraId="3E71BBFA" w14:textId="77777777" w:rsidR="00852065" w:rsidRDefault="00852065" w:rsidP="00223668">
      <w:pPr>
        <w:pStyle w:val="a0"/>
        <w:rPr>
          <w:rtl/>
        </w:rPr>
      </w:pPr>
      <w:r>
        <w:rPr>
          <w:rFonts w:hint="cs"/>
          <w:rtl/>
        </w:rPr>
        <w:t xml:space="preserve">וכתב </w:t>
      </w:r>
      <w:r w:rsidRPr="004D1BFC">
        <w:rPr>
          <w:rStyle w:val="af9"/>
          <w:rFonts w:hint="cs"/>
          <w:rtl/>
        </w:rPr>
        <w:t>השער"י</w:t>
      </w:r>
      <w:r>
        <w:rPr>
          <w:rFonts w:hint="cs"/>
          <w:rtl/>
        </w:rPr>
        <w:t xml:space="preserve"> </w:t>
      </w:r>
      <w:r w:rsidRPr="004D1BFC">
        <w:rPr>
          <w:rStyle w:val="af7"/>
          <w:rFonts w:eastAsia="Guttman Hodes" w:hint="cs"/>
          <w:rtl/>
        </w:rPr>
        <w:t xml:space="preserve">(שער החזקות פט"ז ד"ה והנה להלכה) </w:t>
      </w:r>
      <w:r>
        <w:rPr>
          <w:rFonts w:hint="cs"/>
          <w:rtl/>
        </w:rPr>
        <w:t xml:space="preserve">דמבואר </w:t>
      </w:r>
      <w:r w:rsidRPr="004D1BFC">
        <w:rPr>
          <w:rStyle w:val="af9"/>
          <w:rFonts w:hint="cs"/>
          <w:rtl/>
        </w:rPr>
        <w:t>ברמ"א</w:t>
      </w:r>
      <w:r>
        <w:rPr>
          <w:rFonts w:hint="cs"/>
          <w:rtl/>
        </w:rPr>
        <w:t xml:space="preserve"> </w:t>
      </w:r>
      <w:r w:rsidRPr="004D1BFC">
        <w:rPr>
          <w:rStyle w:val="af7"/>
          <w:rFonts w:eastAsia="Guttman Hodes" w:hint="cs"/>
          <w:rtl/>
        </w:rPr>
        <w:t>(סי' נ', סי' פ"א)</w:t>
      </w:r>
      <w:r>
        <w:rPr>
          <w:rFonts w:hint="cs"/>
          <w:rtl/>
        </w:rPr>
        <w:t xml:space="preserve"> דכמו שמהני חזקה מכח רוב לתלות בזאב, ולומר שלא הייתה כל ריעותא, וכן מהני לומר מתי נעשית הריעותא</w:t>
      </w:r>
      <w:r w:rsidRPr="00FD57B1">
        <w:rPr>
          <w:rtl/>
        </w:rPr>
        <w:t xml:space="preserve"> </w:t>
      </w:r>
      <w:r>
        <w:rPr>
          <w:rFonts w:hint="cs"/>
          <w:rtl/>
        </w:rPr>
        <w:t>לענין גבינות, אבל במקום שהנדון הוא האם הריעותא נעשית באופן שמטריף את הבהמה או לא, דלא מהני חזקה מכח רוב להתיר, ולכן במקום שיש ריעותא מחיים, לא מהני החזקה לומר שאינה טריפה.</w:t>
      </w:r>
    </w:p>
    <w:p w14:paraId="2C454415" w14:textId="77777777" w:rsidR="00852065" w:rsidRDefault="00852065" w:rsidP="006D6D32">
      <w:pPr>
        <w:pStyle w:val="a3"/>
        <w:rPr>
          <w:rtl/>
        </w:rPr>
      </w:pPr>
      <w:bookmarkStart w:id="2597" w:name="_Toc522810040"/>
      <w:bookmarkStart w:id="2598" w:name="_Toc19389337"/>
      <w:bookmarkStart w:id="2599" w:name="_Toc19392834"/>
      <w:r>
        <w:rPr>
          <w:rFonts w:hint="cs"/>
          <w:rtl/>
        </w:rPr>
        <w:t>ביאור השער"י דבמקום ריעותא חשיב חזקה בטעות דדינה כרוב ואין רוב בבהמות עם ריעותא</w:t>
      </w:r>
      <w:bookmarkEnd w:id="2597"/>
      <w:bookmarkEnd w:id="2598"/>
      <w:bookmarkEnd w:id="2599"/>
    </w:p>
    <w:p w14:paraId="7851A06F" w14:textId="77777777" w:rsidR="00852065" w:rsidRDefault="00852065" w:rsidP="00223668">
      <w:pPr>
        <w:pStyle w:val="a0"/>
      </w:pPr>
      <w:r>
        <w:rPr>
          <w:rFonts w:hint="cs"/>
          <w:rtl/>
        </w:rPr>
        <w:t xml:space="preserve">וביאר </w:t>
      </w:r>
      <w:r w:rsidRPr="004D1BFC">
        <w:rPr>
          <w:rStyle w:val="af9"/>
          <w:rFonts w:hint="cs"/>
          <w:rtl/>
        </w:rPr>
        <w:t>השער"י</w:t>
      </w:r>
      <w:r>
        <w:rPr>
          <w:rFonts w:hint="cs"/>
          <w:rtl/>
        </w:rPr>
        <w:t xml:space="preserve"> דחזקה מכח רוב דינה  כרוב, וכיון שהגדר ברוב הוא שמצרפים את המציאות בטבע של הבהמות שאין בהם ריעותא, עם הבהמות שיש בהם ריעותא, אך אינם טריפות, דע"י כולם יש רוב כשרות, ולכן במקום שיש ריעותא לפנינו א"א לצרפה להרוב, דאינה בכלל הבהמות שאין בהם ריעותא, </w:t>
      </w:r>
      <w:r w:rsidRPr="002C01FA">
        <w:rPr>
          <w:rStyle w:val="afb"/>
          <w:rFonts w:hint="cs"/>
          <w:rtl/>
        </w:rPr>
        <w:t>[ובבהמות שיש ריעותא אין רוב],</w:t>
      </w:r>
      <w:r>
        <w:rPr>
          <w:rFonts w:hint="cs"/>
          <w:rtl/>
        </w:rPr>
        <w:t xml:space="preserve"> ולכן אין לה חזקת היתר, דהחזקה מכח הרוב הייתה בטעות. אבל במקום שאפש"ל שהריעותא היא לאחר השחיטה, לא יצאה הבהמה מהחזקה מכח הרוב, אף שהרוב עצמו אינו יכול להכריע אם הריעותא היא קודם השחיטה, או לאחריה, דמ"מ החזקה לא הייתה בטעות.</w:t>
      </w:r>
    </w:p>
    <w:p w14:paraId="6E84B51D" w14:textId="77777777" w:rsidR="00852065" w:rsidRDefault="00852065" w:rsidP="00BF39B2">
      <w:pPr>
        <w:pStyle w:val="1"/>
        <w:rPr>
          <w:rtl/>
        </w:rPr>
      </w:pPr>
      <w:bookmarkStart w:id="2600" w:name="_Toc522810041"/>
      <w:bookmarkStart w:id="2601" w:name="_Toc19389338"/>
      <w:bookmarkStart w:id="2602" w:name="_Toc19392835"/>
      <w:r>
        <w:rPr>
          <w:rFonts w:hint="cs"/>
          <w:rtl/>
        </w:rPr>
        <w:t>ביאור השער"י ברבינו יונה שא"א לחלק את זמן החזקה</w:t>
      </w:r>
      <w:bookmarkEnd w:id="2600"/>
      <w:bookmarkEnd w:id="2601"/>
      <w:bookmarkEnd w:id="2602"/>
    </w:p>
    <w:p w14:paraId="7424FDDC" w14:textId="77777777" w:rsidR="00852065" w:rsidRDefault="00852065" w:rsidP="006D6D32">
      <w:pPr>
        <w:pStyle w:val="a3"/>
      </w:pPr>
      <w:bookmarkStart w:id="2603" w:name="_Toc522810042"/>
      <w:bookmarkStart w:id="2604" w:name="_Toc19389339"/>
      <w:bookmarkStart w:id="2605" w:name="_Toc19392836"/>
      <w:r>
        <w:rPr>
          <w:rFonts w:hint="cs"/>
          <w:rtl/>
        </w:rPr>
        <w:t>ביאור השער"י ברבינו יונה דכל שיצאה מהחזקה לשעה אחת א"א לומר דעכשיו נשתנה</w:t>
      </w:r>
      <w:bookmarkEnd w:id="2603"/>
      <w:bookmarkEnd w:id="2604"/>
      <w:bookmarkEnd w:id="2605"/>
    </w:p>
    <w:p w14:paraId="4A2BE984" w14:textId="77777777" w:rsidR="00852065" w:rsidRDefault="00852065" w:rsidP="00223668">
      <w:pPr>
        <w:pStyle w:val="a0"/>
        <w:rPr>
          <w:rtl/>
        </w:rPr>
      </w:pPr>
      <w:r>
        <w:rPr>
          <w:rFonts w:hint="cs"/>
          <w:rtl/>
        </w:rPr>
        <w:t xml:space="preserve">ובביאור דברי </w:t>
      </w:r>
      <w:r w:rsidRPr="002C01FA">
        <w:rPr>
          <w:rStyle w:val="af9"/>
          <w:rFonts w:hint="cs"/>
          <w:rtl/>
        </w:rPr>
        <w:t>רבינו יונה</w:t>
      </w:r>
      <w:r>
        <w:rPr>
          <w:rFonts w:hint="cs"/>
          <w:rtl/>
        </w:rPr>
        <w:t xml:space="preserve"> </w:t>
      </w:r>
      <w:r w:rsidRPr="00AC3F28">
        <w:rPr>
          <w:rStyle w:val="af7"/>
          <w:rFonts w:eastAsia="Guttman Hodes" w:hint="cs"/>
          <w:rtl/>
        </w:rPr>
        <w:t xml:space="preserve">(עי' אות </w:t>
      </w:r>
      <w:r w:rsidRPr="00AC3F28">
        <w:rPr>
          <w:rStyle w:val="af7"/>
          <w:rFonts w:eastAsia="Guttman Hodes"/>
          <w:rtl/>
        </w:rPr>
        <w:fldChar w:fldCharType="begin"/>
      </w:r>
      <w:r w:rsidRPr="00AC3F28">
        <w:rPr>
          <w:rStyle w:val="af7"/>
          <w:rFonts w:eastAsia="Guttman Hodes"/>
          <w:rtl/>
        </w:rPr>
        <w:instrText xml:space="preserve"> </w:instrText>
      </w:r>
      <w:r w:rsidRPr="00AC3F28">
        <w:rPr>
          <w:rStyle w:val="af7"/>
          <w:rFonts w:eastAsia="Guttman Hodes" w:hint="cs"/>
        </w:rPr>
        <w:instrText>REF</w:instrText>
      </w:r>
      <w:r w:rsidRPr="00AC3F28">
        <w:rPr>
          <w:rStyle w:val="af7"/>
          <w:rFonts w:eastAsia="Guttman Hodes" w:hint="cs"/>
          <w:rtl/>
        </w:rPr>
        <w:instrText xml:space="preserve"> _</w:instrText>
      </w:r>
      <w:r w:rsidRPr="00AC3F28">
        <w:rPr>
          <w:rStyle w:val="af7"/>
          <w:rFonts w:eastAsia="Guttman Hodes" w:hint="cs"/>
        </w:rPr>
        <w:instrText>Ref522636864 \r \h</w:instrText>
      </w:r>
      <w:r w:rsidRPr="00AC3F28">
        <w:rPr>
          <w:rStyle w:val="af7"/>
          <w:rFonts w:eastAsia="Guttman Hodes"/>
          <w:rtl/>
        </w:rPr>
        <w:instrText xml:space="preserve"> </w:instrText>
      </w:r>
      <w:r w:rsidRPr="00AC3F28">
        <w:rPr>
          <w:rStyle w:val="af7"/>
          <w:rFonts w:eastAsia="Guttman Hodes"/>
          <w:rtl/>
        </w:rPr>
      </w:r>
      <w:r w:rsidRPr="00AC3F28">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AC3F28">
        <w:rPr>
          <w:rStyle w:val="af7"/>
          <w:rFonts w:eastAsia="Guttman Hodes"/>
          <w:rtl/>
        </w:rPr>
        <w:fldChar w:fldCharType="end"/>
      </w:r>
      <w:r>
        <w:rPr>
          <w:rFonts w:hint="cs"/>
          <w:rtl/>
        </w:rPr>
        <w:t xml:space="preserve"> דבנשמט הגף מעמידים בחזקת איסור, כתב </w:t>
      </w:r>
      <w:r w:rsidRPr="002C01FA">
        <w:rPr>
          <w:rStyle w:val="af9"/>
          <w:rFonts w:hint="cs"/>
          <w:rtl/>
        </w:rPr>
        <w:t>השער"י</w:t>
      </w:r>
      <w:r>
        <w:rPr>
          <w:rFonts w:hint="cs"/>
          <w:rtl/>
        </w:rPr>
        <w:t xml:space="preserve"> </w:t>
      </w:r>
      <w:r w:rsidRPr="002C01FA">
        <w:rPr>
          <w:rStyle w:val="af7"/>
          <w:rFonts w:eastAsia="Guttman Hodes" w:hint="cs"/>
          <w:rtl/>
        </w:rPr>
        <w:t>(שער החזקות פי"ז ד"ה ונלענ"ד בביאור)</w:t>
      </w:r>
      <w:r>
        <w:rPr>
          <w:rFonts w:hint="cs"/>
          <w:rtl/>
        </w:rPr>
        <w:t xml:space="preserve"> דבכל דבר שיש בו שינוי קצת, חשיב שיצא מחזקתו הראשונה, אף אם השינוי אינו מטריף את הבהמה, וכן בספק מתי נולדה הריעותא ס"ל </w:t>
      </w:r>
      <w:r w:rsidRPr="00597018">
        <w:rPr>
          <w:rStyle w:val="af9"/>
          <w:rFonts w:hint="cs"/>
          <w:rtl/>
        </w:rPr>
        <w:t>לרבינו יונה</w:t>
      </w:r>
      <w:r>
        <w:rPr>
          <w:rFonts w:hint="cs"/>
          <w:rtl/>
        </w:rPr>
        <w:t xml:space="preserve"> דכיון שיצאה מחזקתה שעה אחת א"א לחלק את החזקה, ולומר שרק לאחר השחיטה נעשה השינוי, דכל מה שאפשר להעמיד את החזקה, הוא במקום שמעמידים דעכשיו נעשה השינוי.</w:t>
      </w:r>
    </w:p>
    <w:p w14:paraId="11AA4BE4" w14:textId="77777777" w:rsidR="00852065" w:rsidRPr="00597018" w:rsidRDefault="00852065" w:rsidP="006D6D32">
      <w:pPr>
        <w:pStyle w:val="a3"/>
      </w:pPr>
      <w:bookmarkStart w:id="2606" w:name="_Toc522810043"/>
      <w:bookmarkStart w:id="2607" w:name="_Toc19389340"/>
      <w:bookmarkStart w:id="2608" w:name="_Toc19392837"/>
      <w:r>
        <w:rPr>
          <w:rFonts w:hint="cs"/>
          <w:rtl/>
        </w:rPr>
        <w:t>ביאור השער"י דהחזקה היא על כל העבר וכשיצאה מהחזקה בעבר א"א לחלק את הזמן</w:t>
      </w:r>
      <w:bookmarkEnd w:id="2606"/>
      <w:bookmarkEnd w:id="2607"/>
      <w:bookmarkEnd w:id="2608"/>
      <w:r>
        <w:rPr>
          <w:rFonts w:hint="cs"/>
          <w:rtl/>
        </w:rPr>
        <w:t xml:space="preserve"> </w:t>
      </w:r>
    </w:p>
    <w:p w14:paraId="4D2E22A0" w14:textId="77777777" w:rsidR="00852065" w:rsidRDefault="00852065" w:rsidP="00223668">
      <w:pPr>
        <w:pStyle w:val="a0"/>
        <w:rPr>
          <w:rtl/>
        </w:rPr>
      </w:pPr>
      <w:r>
        <w:rPr>
          <w:rFonts w:hint="cs"/>
          <w:rtl/>
        </w:rPr>
        <w:t xml:space="preserve">וביאר </w:t>
      </w:r>
      <w:r w:rsidRPr="00B269CA">
        <w:rPr>
          <w:rStyle w:val="af9"/>
          <w:rFonts w:hint="cs"/>
          <w:rtl/>
        </w:rPr>
        <w:t>השער"י</w:t>
      </w:r>
      <w:r>
        <w:rPr>
          <w:rFonts w:hint="cs"/>
          <w:rtl/>
        </w:rPr>
        <w:t xml:space="preserve"> דגדר חזקה אינה על העתיד אלא על זמן החזקה עכשיו, ובכל שעה מחזיקים שנשאר כמו שהיה קודם, וכיש עכשיו ספק על הזמן שהיה אם השתנה, מעמידים על החזקה שלא השתנה, אבל במקום שודאי כבר היה שינוי, נתבטלה כל החזקה על הזמן שעבר, דא"א לחלק את הזמן שעבר, ולומר דבחלקו נשארה החזקה ובחלקו היה שינוי, ועיי"ש </w:t>
      </w:r>
      <w:r w:rsidRPr="00B5597A">
        <w:rPr>
          <w:rStyle w:val="af9"/>
          <w:rFonts w:hint="cs"/>
          <w:rtl/>
        </w:rPr>
        <w:t>בשער"י</w:t>
      </w:r>
      <w:r>
        <w:rPr>
          <w:rFonts w:hint="cs"/>
          <w:rtl/>
        </w:rPr>
        <w:t xml:space="preserve"> שהאריך בביאור דברי </w:t>
      </w:r>
      <w:r w:rsidRPr="00B5597A">
        <w:rPr>
          <w:rStyle w:val="af9"/>
          <w:rFonts w:hint="cs"/>
          <w:rtl/>
        </w:rPr>
        <w:t>רבינו יונה</w:t>
      </w:r>
      <w:r>
        <w:rPr>
          <w:rFonts w:hint="cs"/>
          <w:rtl/>
        </w:rPr>
        <w:t>.</w:t>
      </w:r>
    </w:p>
    <w:p w14:paraId="7DF321D2" w14:textId="77777777" w:rsidR="00852065" w:rsidRPr="00D9318A" w:rsidRDefault="00852065" w:rsidP="006D6D32">
      <w:pPr>
        <w:pStyle w:val="a3"/>
        <w:rPr>
          <w:rtl/>
        </w:rPr>
      </w:pPr>
    </w:p>
    <w:p w14:paraId="7365835A" w14:textId="77777777" w:rsidR="00852065" w:rsidRDefault="00852065" w:rsidP="00BF39B2">
      <w:pPr>
        <w:pStyle w:val="1"/>
        <w:rPr>
          <w:rtl/>
        </w:rPr>
      </w:pPr>
      <w:bookmarkStart w:id="2609" w:name="_Toc522790326"/>
      <w:bookmarkStart w:id="2610" w:name="_Toc522800825"/>
      <w:bookmarkStart w:id="2611" w:name="_Toc522800933"/>
      <w:bookmarkStart w:id="2612" w:name="_Toc522810044"/>
      <w:bookmarkStart w:id="2613" w:name="_Toc19389341"/>
      <w:bookmarkStart w:id="2614" w:name="_Toc19392838"/>
      <w:r>
        <w:rPr>
          <w:rFonts w:hint="cs"/>
          <w:rtl/>
        </w:rPr>
        <w:t>ביאור הקוה"ע בגדר החזקת היתר ובספק דרוסה</w:t>
      </w:r>
      <w:bookmarkEnd w:id="2536"/>
      <w:bookmarkEnd w:id="2609"/>
      <w:bookmarkEnd w:id="2610"/>
      <w:bookmarkEnd w:id="2611"/>
      <w:bookmarkEnd w:id="2612"/>
      <w:bookmarkEnd w:id="2613"/>
      <w:bookmarkEnd w:id="2614"/>
    </w:p>
    <w:p w14:paraId="186CFC86" w14:textId="77777777" w:rsidR="00852065" w:rsidRDefault="00852065" w:rsidP="006D6D32">
      <w:pPr>
        <w:pStyle w:val="a3"/>
        <w:rPr>
          <w:rtl/>
        </w:rPr>
      </w:pPr>
      <w:bookmarkStart w:id="2615" w:name="_Toc522810045"/>
      <w:bookmarkStart w:id="2616" w:name="_Toc19389342"/>
      <w:bookmarkStart w:id="2617" w:name="_Toc19392839"/>
      <w:r>
        <w:rPr>
          <w:rFonts w:hint="cs"/>
          <w:rtl/>
        </w:rPr>
        <w:t>קושית הקוה"ע דאף בספק אחר השחיטה הספק הוא האם נטרפה מחיים</w:t>
      </w:r>
      <w:bookmarkEnd w:id="2615"/>
      <w:bookmarkEnd w:id="2616"/>
      <w:bookmarkEnd w:id="2617"/>
    </w:p>
    <w:p w14:paraId="282058A7" w14:textId="77777777" w:rsidR="00852065" w:rsidRDefault="00852065" w:rsidP="00223668">
      <w:pPr>
        <w:pStyle w:val="a0"/>
        <w:rPr>
          <w:rtl/>
        </w:rPr>
      </w:pPr>
      <w:r w:rsidRPr="00811A94">
        <w:rPr>
          <w:rStyle w:val="af9"/>
          <w:rFonts w:hint="cs"/>
          <w:rtl/>
        </w:rPr>
        <w:t>בקוה"ע</w:t>
      </w:r>
      <w:r>
        <w:rPr>
          <w:rFonts w:hint="cs"/>
          <w:rtl/>
        </w:rPr>
        <w:t xml:space="preserve"> </w:t>
      </w:r>
      <w:r w:rsidRPr="00811A94">
        <w:rPr>
          <w:rStyle w:val="af7"/>
          <w:rFonts w:eastAsia="Guttman Hodes" w:hint="cs"/>
          <w:rtl/>
        </w:rPr>
        <w:t>(סי' כ"ח א')</w:t>
      </w:r>
      <w:r>
        <w:rPr>
          <w:rFonts w:hint="cs"/>
          <w:rtl/>
        </w:rPr>
        <w:t xml:space="preserve"> הביא את קושית </w:t>
      </w:r>
      <w:r w:rsidRPr="00811A94">
        <w:rPr>
          <w:rStyle w:val="af9"/>
          <w:rFonts w:hint="cs"/>
          <w:rtl/>
        </w:rPr>
        <w:t>התוס' ביבמות</w:t>
      </w:r>
      <w:r>
        <w:rPr>
          <w:rFonts w:hint="cs"/>
          <w:rtl/>
        </w:rPr>
        <w:t xml:space="preserve"> </w:t>
      </w:r>
      <w:r w:rsidRPr="009F5847">
        <w:rPr>
          <w:rStyle w:val="af7"/>
          <w:rFonts w:eastAsia="Guttman Hodes" w:hint="cs"/>
          <w:rtl/>
        </w:rPr>
        <w:t xml:space="preserve">(עי' אות </w:t>
      </w:r>
      <w:r w:rsidRPr="009F5847">
        <w:rPr>
          <w:rStyle w:val="af7"/>
          <w:rFonts w:eastAsia="Guttman Hodes"/>
          <w:rtl/>
        </w:rPr>
        <w:fldChar w:fldCharType="begin"/>
      </w:r>
      <w:r w:rsidRPr="009F5847">
        <w:rPr>
          <w:rStyle w:val="af7"/>
          <w:rFonts w:eastAsia="Guttman Hodes"/>
          <w:rtl/>
        </w:rPr>
        <w:instrText xml:space="preserve"> </w:instrText>
      </w:r>
      <w:r w:rsidRPr="009F5847">
        <w:rPr>
          <w:rStyle w:val="af7"/>
          <w:rFonts w:eastAsia="Guttman Hodes" w:hint="cs"/>
        </w:rPr>
        <w:instrText>REF</w:instrText>
      </w:r>
      <w:r w:rsidRPr="009F5847">
        <w:rPr>
          <w:rStyle w:val="af7"/>
          <w:rFonts w:eastAsia="Guttman Hodes" w:hint="cs"/>
          <w:rtl/>
        </w:rPr>
        <w:instrText xml:space="preserve"> _</w:instrText>
      </w:r>
      <w:r w:rsidRPr="009F5847">
        <w:rPr>
          <w:rStyle w:val="af7"/>
          <w:rFonts w:eastAsia="Guttman Hodes" w:hint="cs"/>
        </w:rPr>
        <w:instrText>Ref522476684 \r \h</w:instrText>
      </w:r>
      <w:r w:rsidRPr="009F5847">
        <w:rPr>
          <w:rStyle w:val="af7"/>
          <w:rFonts w:eastAsia="Guttman Hodes"/>
          <w:rtl/>
        </w:rPr>
        <w:instrText xml:space="preserve"> </w:instrText>
      </w:r>
      <w:r w:rsidRPr="009F5847">
        <w:rPr>
          <w:rStyle w:val="af7"/>
          <w:rFonts w:eastAsia="Guttman Hodes"/>
          <w:rtl/>
        </w:rPr>
      </w:r>
      <w:r w:rsidRPr="009F5847">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9F5847">
        <w:rPr>
          <w:rStyle w:val="af7"/>
          <w:rFonts w:eastAsia="Guttman Hodes"/>
          <w:rtl/>
        </w:rPr>
        <w:fldChar w:fldCharType="end"/>
      </w:r>
      <w:r>
        <w:rPr>
          <w:rFonts w:hint="cs"/>
          <w:rtl/>
        </w:rPr>
        <w:t xml:space="preserve"> דבספק דרוסה משמע דכל שנולד הספק מחיים, היא אסורה, כיון שבזמן לידת הספק היא עדיין בחזקת איסור, והקשה </w:t>
      </w:r>
      <w:r w:rsidRPr="009F5847">
        <w:rPr>
          <w:rStyle w:val="af9"/>
          <w:rFonts w:hint="cs"/>
          <w:rtl/>
        </w:rPr>
        <w:t>הקוה"ע</w:t>
      </w:r>
      <w:r>
        <w:rPr>
          <w:rFonts w:hint="cs"/>
          <w:rtl/>
        </w:rPr>
        <w:t xml:space="preserve"> דאף אם נולד לנו ספק לאחר השחיטה, מ"מ הרי הספק הוא שמא נטרפה מחיים, וא"כ בזמן שמסתפקים עליו היא הייתה בחזקת איסור, ומה מועיל שלנו נודע הספק, רק לאחר השחיטה כשהיא בחזקת היתר.</w:t>
      </w:r>
    </w:p>
    <w:p w14:paraId="7BF5CC71" w14:textId="77777777" w:rsidR="00852065" w:rsidRPr="009F5847" w:rsidRDefault="00852065" w:rsidP="006D6D32">
      <w:pPr>
        <w:pStyle w:val="a3"/>
      </w:pPr>
      <w:bookmarkStart w:id="2618" w:name="_Toc522810046"/>
      <w:bookmarkStart w:id="2619" w:name="_Toc19389343"/>
      <w:bookmarkStart w:id="2620" w:name="_Toc19392840"/>
      <w:r>
        <w:rPr>
          <w:rFonts w:hint="cs"/>
          <w:rtl/>
        </w:rPr>
        <w:t>קושית הקוה"ע דבכל ספק טריפה אין חזקת היתר דהספק הוא על קודם השחיטה</w:t>
      </w:r>
      <w:bookmarkEnd w:id="2618"/>
      <w:bookmarkEnd w:id="2619"/>
      <w:bookmarkEnd w:id="2620"/>
    </w:p>
    <w:p w14:paraId="1FB0F9B9" w14:textId="77777777" w:rsidR="00852065" w:rsidRDefault="00852065" w:rsidP="00223668">
      <w:pPr>
        <w:pStyle w:val="a0"/>
        <w:rPr>
          <w:rtl/>
        </w:rPr>
      </w:pPr>
      <w:r w:rsidRPr="009F5847">
        <w:rPr>
          <w:rFonts w:hint="cs"/>
          <w:rtl/>
        </w:rPr>
        <w:t xml:space="preserve">ועוד הקשה </w:t>
      </w:r>
      <w:r w:rsidRPr="009F5847">
        <w:rPr>
          <w:rStyle w:val="af9"/>
          <w:rFonts w:hint="cs"/>
          <w:rtl/>
        </w:rPr>
        <w:t xml:space="preserve">הקוה"ע </w:t>
      </w:r>
      <w:r>
        <w:rPr>
          <w:rFonts w:hint="cs"/>
          <w:rtl/>
        </w:rPr>
        <w:t>על עיקר דברי רב הונא דבנשחטה בחזקת היתר עומדת, הרי כיון שהספק הוא האם נטרפה לפני שחיטתה, א"כ אין לה כל חזקת היתר.</w:t>
      </w:r>
    </w:p>
    <w:p w14:paraId="6368EC9F" w14:textId="77777777" w:rsidR="00852065" w:rsidRDefault="00852065" w:rsidP="006D6D32">
      <w:pPr>
        <w:pStyle w:val="a3"/>
        <w:rPr>
          <w:rtl/>
        </w:rPr>
      </w:pPr>
      <w:bookmarkStart w:id="2621" w:name="_Toc522810047"/>
      <w:bookmarkStart w:id="2622" w:name="_Toc19389344"/>
      <w:bookmarkStart w:id="2623" w:name="_Toc19392841"/>
      <w:r>
        <w:rPr>
          <w:rFonts w:hint="cs"/>
          <w:rtl/>
        </w:rPr>
        <w:t>ביאור הקוה"ע דההיתר מדין חזקה מכח רוב ובספק מחיים יצאה מכלל הרוב</w:t>
      </w:r>
      <w:bookmarkEnd w:id="2621"/>
      <w:bookmarkEnd w:id="2622"/>
      <w:bookmarkEnd w:id="2623"/>
    </w:p>
    <w:p w14:paraId="4B4A755D" w14:textId="77777777" w:rsidR="00852065" w:rsidRPr="00A11782" w:rsidRDefault="00852065" w:rsidP="00223668">
      <w:pPr>
        <w:pStyle w:val="a0"/>
        <w:rPr>
          <w:rtl/>
        </w:rPr>
      </w:pPr>
      <w:r>
        <w:rPr>
          <w:rFonts w:hint="cs"/>
          <w:rtl/>
        </w:rPr>
        <w:t xml:space="preserve">וכתב </w:t>
      </w:r>
      <w:r w:rsidRPr="00762B2F">
        <w:rPr>
          <w:rStyle w:val="af9"/>
          <w:rFonts w:hint="cs"/>
          <w:rtl/>
        </w:rPr>
        <w:t>הקוה"ע</w:t>
      </w:r>
      <w:r>
        <w:rPr>
          <w:rFonts w:hint="cs"/>
          <w:rtl/>
        </w:rPr>
        <w:t xml:space="preserve"> דהביאור בגמ' הוא כדברי </w:t>
      </w:r>
      <w:r w:rsidRPr="00762B2F">
        <w:rPr>
          <w:rStyle w:val="af9"/>
          <w:rFonts w:hint="cs"/>
          <w:rtl/>
        </w:rPr>
        <w:t>הר"ן</w:t>
      </w:r>
      <w:r>
        <w:rPr>
          <w:rFonts w:hint="cs"/>
          <w:rtl/>
        </w:rPr>
        <w:t xml:space="preserve"> </w:t>
      </w:r>
      <w:r w:rsidRPr="00581F5A">
        <w:rPr>
          <w:rStyle w:val="af7"/>
          <w:rFonts w:eastAsia="Guttman Hodes" w:hint="cs"/>
          <w:rtl/>
        </w:rPr>
        <w:t xml:space="preserve">(עי' אות </w:t>
      </w:r>
      <w:r w:rsidRPr="00581F5A">
        <w:rPr>
          <w:rStyle w:val="af7"/>
          <w:rFonts w:eastAsia="Guttman Hodes"/>
          <w:rtl/>
        </w:rPr>
        <w:fldChar w:fldCharType="begin"/>
      </w:r>
      <w:r w:rsidRPr="00581F5A">
        <w:rPr>
          <w:rStyle w:val="af7"/>
          <w:rFonts w:eastAsia="Guttman Hodes"/>
          <w:rtl/>
        </w:rPr>
        <w:instrText xml:space="preserve"> </w:instrText>
      </w:r>
      <w:r w:rsidRPr="00581F5A">
        <w:rPr>
          <w:rStyle w:val="af7"/>
          <w:rFonts w:eastAsia="Guttman Hodes" w:hint="cs"/>
        </w:rPr>
        <w:instrText>REF</w:instrText>
      </w:r>
      <w:r w:rsidRPr="00581F5A">
        <w:rPr>
          <w:rStyle w:val="af7"/>
          <w:rFonts w:eastAsia="Guttman Hodes" w:hint="cs"/>
          <w:rtl/>
        </w:rPr>
        <w:instrText xml:space="preserve"> _</w:instrText>
      </w:r>
      <w:r w:rsidRPr="00581F5A">
        <w:rPr>
          <w:rStyle w:val="af7"/>
          <w:rFonts w:eastAsia="Guttman Hodes" w:hint="cs"/>
        </w:rPr>
        <w:instrText>Ref522477143 \r \h</w:instrText>
      </w:r>
      <w:r w:rsidRPr="00581F5A">
        <w:rPr>
          <w:rStyle w:val="af7"/>
          <w:rFonts w:eastAsia="Guttman Hodes"/>
          <w:rtl/>
        </w:rPr>
        <w:instrText xml:space="preserve"> </w:instrText>
      </w:r>
      <w:r w:rsidRPr="00581F5A">
        <w:rPr>
          <w:rStyle w:val="af7"/>
          <w:rFonts w:eastAsia="Guttman Hodes"/>
          <w:rtl/>
        </w:rPr>
      </w:r>
      <w:r w:rsidRPr="00581F5A">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581F5A">
        <w:rPr>
          <w:rStyle w:val="af7"/>
          <w:rFonts w:eastAsia="Guttman Hodes"/>
          <w:rtl/>
        </w:rPr>
        <w:fldChar w:fldCharType="end"/>
      </w:r>
      <w:r>
        <w:rPr>
          <w:rFonts w:hint="cs"/>
          <w:rtl/>
        </w:rPr>
        <w:t xml:space="preserve"> דהיא בחזקת היתר מחמת הרוב דרוב בהמות אינם טריפות, וכתב </w:t>
      </w:r>
      <w:r w:rsidRPr="006846EF">
        <w:rPr>
          <w:rStyle w:val="af9"/>
          <w:rFonts w:hint="cs"/>
          <w:rtl/>
        </w:rPr>
        <w:t>הקוה"ע</w:t>
      </w:r>
      <w:r>
        <w:rPr>
          <w:rFonts w:hint="cs"/>
          <w:rtl/>
        </w:rPr>
        <w:t xml:space="preserve"> דהביאור בזה הוא כדכתב </w:t>
      </w:r>
      <w:r w:rsidRPr="006846EF">
        <w:rPr>
          <w:rStyle w:val="af9"/>
          <w:rFonts w:hint="cs"/>
          <w:rtl/>
        </w:rPr>
        <w:t>התבו"ש</w:t>
      </w:r>
      <w:r>
        <w:rPr>
          <w:rFonts w:hint="cs"/>
          <w:rtl/>
        </w:rPr>
        <w:t xml:space="preserve"> </w:t>
      </w:r>
      <w:r w:rsidRPr="006846EF">
        <w:rPr>
          <w:rStyle w:val="af7"/>
          <w:rFonts w:eastAsia="Guttman Hodes" w:hint="cs"/>
          <w:rtl/>
        </w:rPr>
        <w:t xml:space="preserve">(עי' אות </w:t>
      </w:r>
      <w:r w:rsidRPr="006846EF">
        <w:rPr>
          <w:rStyle w:val="af7"/>
          <w:rFonts w:eastAsia="Guttman Hodes"/>
          <w:rtl/>
        </w:rPr>
        <w:fldChar w:fldCharType="begin"/>
      </w:r>
      <w:r w:rsidRPr="006846EF">
        <w:rPr>
          <w:rStyle w:val="af7"/>
          <w:rFonts w:eastAsia="Guttman Hodes"/>
          <w:rtl/>
        </w:rPr>
        <w:instrText xml:space="preserve"> </w:instrText>
      </w:r>
      <w:r w:rsidRPr="006846EF">
        <w:rPr>
          <w:rStyle w:val="af7"/>
          <w:rFonts w:eastAsia="Guttman Hodes" w:hint="cs"/>
        </w:rPr>
        <w:instrText>REF</w:instrText>
      </w:r>
      <w:r w:rsidRPr="006846EF">
        <w:rPr>
          <w:rStyle w:val="af7"/>
          <w:rFonts w:eastAsia="Guttman Hodes" w:hint="cs"/>
          <w:rtl/>
        </w:rPr>
        <w:instrText xml:space="preserve"> _</w:instrText>
      </w:r>
      <w:r w:rsidRPr="006846EF">
        <w:rPr>
          <w:rStyle w:val="af7"/>
          <w:rFonts w:eastAsia="Guttman Hodes" w:hint="cs"/>
        </w:rPr>
        <w:instrText>Ref522479522 \r \h</w:instrText>
      </w:r>
      <w:r w:rsidRPr="006846EF">
        <w:rPr>
          <w:rStyle w:val="af7"/>
          <w:rFonts w:eastAsia="Guttman Hodes"/>
          <w:rtl/>
        </w:rPr>
        <w:instrText xml:space="preserve"> </w:instrText>
      </w:r>
      <w:r w:rsidRPr="006846EF">
        <w:rPr>
          <w:rStyle w:val="af7"/>
          <w:rFonts w:eastAsia="Guttman Hodes"/>
          <w:rtl/>
        </w:rPr>
      </w:r>
      <w:r w:rsidRPr="006846EF">
        <w:rPr>
          <w:rStyle w:val="af7"/>
          <w:rFonts w:eastAsia="Guttman Hodes"/>
          <w:rtl/>
        </w:rPr>
        <w:fldChar w:fldCharType="separate"/>
      </w:r>
      <w:r w:rsidR="00345400">
        <w:rPr>
          <w:rStyle w:val="af7"/>
          <w:rFonts w:eastAsia="Guttman Hodes"/>
          <w:cs/>
        </w:rPr>
        <w:t>‎</w:t>
      </w:r>
      <w:r w:rsidR="00345400">
        <w:rPr>
          <w:rStyle w:val="af7"/>
          <w:rFonts w:eastAsia="Guttman Hodes"/>
          <w:rtl/>
        </w:rPr>
        <w:t>פג)</w:t>
      </w:r>
      <w:r w:rsidRPr="006846EF">
        <w:rPr>
          <w:rStyle w:val="af7"/>
          <w:rFonts w:eastAsia="Guttman Hodes"/>
          <w:rtl/>
        </w:rPr>
        <w:fldChar w:fldCharType="end"/>
      </w:r>
      <w:r>
        <w:rPr>
          <w:rFonts w:hint="cs"/>
          <w:rtl/>
        </w:rPr>
        <w:t xml:space="preserve"> דהחילוק בין אם נולד הספק מחיים או לאחר שחיטה, דכשנולד הספק מחיים לא מהני הרוב, דהרוב שאינה טריפה הוא על בהמות שאין בהם ספק דרוסה, דהא בבהמות שהם ספק דרוסות מנלן שיש רוב כשרות, ודוקא בנולד לנו הספק לאחר השחיטה, כזאב שנטל בני מעיים דאין כל ריעותא, ולכן אזלינן בתר רובא דרוב בהמות אינם טריפות.</w:t>
      </w:r>
    </w:p>
    <w:p w14:paraId="02855651" w14:textId="77777777" w:rsidR="00852065" w:rsidRDefault="00852065" w:rsidP="006D6D32">
      <w:pPr>
        <w:pStyle w:val="a3"/>
        <w:rPr>
          <w:rtl/>
        </w:rPr>
      </w:pPr>
      <w:bookmarkStart w:id="2624" w:name="_Toc522810048"/>
      <w:bookmarkStart w:id="2625" w:name="_Toc19389345"/>
      <w:bookmarkStart w:id="2626" w:name="_Toc19392842"/>
      <w:r>
        <w:rPr>
          <w:rFonts w:hint="cs"/>
          <w:rtl/>
        </w:rPr>
        <w:t>ביאור הקוה"ע בתבו"ש דרק בריעותא שהיא גורמת את הספק יצאה מכלל הרוב</w:t>
      </w:r>
      <w:bookmarkEnd w:id="2624"/>
      <w:bookmarkEnd w:id="2625"/>
      <w:bookmarkEnd w:id="2626"/>
    </w:p>
    <w:p w14:paraId="504D199F" w14:textId="77777777" w:rsidR="00852065" w:rsidRPr="00A11782" w:rsidRDefault="00852065" w:rsidP="00223668">
      <w:pPr>
        <w:pStyle w:val="a0"/>
        <w:rPr>
          <w:rtl/>
        </w:rPr>
      </w:pPr>
      <w:bookmarkStart w:id="2627" w:name="_Ref522805650"/>
      <w:r>
        <w:rPr>
          <w:rFonts w:hint="cs"/>
          <w:rtl/>
        </w:rPr>
        <w:t xml:space="preserve">ובמה שהקשה </w:t>
      </w:r>
      <w:r w:rsidRPr="00E84852">
        <w:rPr>
          <w:rStyle w:val="af9"/>
          <w:rFonts w:hint="cs"/>
          <w:rtl/>
        </w:rPr>
        <w:t>החוו"ד</w:t>
      </w:r>
      <w:r>
        <w:rPr>
          <w:rFonts w:hint="cs"/>
          <w:rtl/>
        </w:rPr>
        <w:t xml:space="preserve"> </w:t>
      </w:r>
      <w:r w:rsidRPr="00E84852">
        <w:rPr>
          <w:rStyle w:val="af7"/>
          <w:rFonts w:eastAsia="Guttman Hodes" w:hint="cs"/>
          <w:rtl/>
        </w:rPr>
        <w:t xml:space="preserve">(עי' אות </w:t>
      </w:r>
      <w:r w:rsidRPr="00E84852">
        <w:rPr>
          <w:rStyle w:val="af7"/>
          <w:rFonts w:eastAsia="Guttman Hodes"/>
          <w:rtl/>
        </w:rPr>
        <w:fldChar w:fldCharType="begin"/>
      </w:r>
      <w:r w:rsidRPr="00E84852">
        <w:rPr>
          <w:rStyle w:val="af7"/>
          <w:rFonts w:eastAsia="Guttman Hodes"/>
          <w:rtl/>
        </w:rPr>
        <w:instrText xml:space="preserve"> </w:instrText>
      </w:r>
      <w:r w:rsidRPr="00E84852">
        <w:rPr>
          <w:rStyle w:val="af7"/>
          <w:rFonts w:eastAsia="Guttman Hodes" w:hint="cs"/>
        </w:rPr>
        <w:instrText>REF</w:instrText>
      </w:r>
      <w:r w:rsidRPr="00E84852">
        <w:rPr>
          <w:rStyle w:val="af7"/>
          <w:rFonts w:eastAsia="Guttman Hodes" w:hint="cs"/>
          <w:rtl/>
        </w:rPr>
        <w:instrText xml:space="preserve"> _</w:instrText>
      </w:r>
      <w:r w:rsidRPr="00E84852">
        <w:rPr>
          <w:rStyle w:val="af7"/>
          <w:rFonts w:eastAsia="Guttman Hodes" w:hint="cs"/>
        </w:rPr>
        <w:instrText>Ref522480285 \r \h</w:instrText>
      </w:r>
      <w:r w:rsidRPr="00E84852">
        <w:rPr>
          <w:rStyle w:val="af7"/>
          <w:rFonts w:eastAsia="Guttman Hodes"/>
          <w:rtl/>
        </w:rPr>
        <w:instrText xml:space="preserve"> </w:instrText>
      </w:r>
      <w:r w:rsidRPr="00E84852">
        <w:rPr>
          <w:rStyle w:val="af7"/>
          <w:rFonts w:eastAsia="Guttman Hodes"/>
          <w:rtl/>
        </w:rPr>
      </w:r>
      <w:r w:rsidRPr="00E84852">
        <w:rPr>
          <w:rStyle w:val="af7"/>
          <w:rFonts w:eastAsia="Guttman Hodes"/>
          <w:rtl/>
        </w:rPr>
        <w:fldChar w:fldCharType="separate"/>
      </w:r>
      <w:r w:rsidR="00345400">
        <w:rPr>
          <w:rStyle w:val="af7"/>
          <w:rFonts w:eastAsia="Guttman Hodes"/>
          <w:cs/>
        </w:rPr>
        <w:t>‎</w:t>
      </w:r>
      <w:r w:rsidR="00345400">
        <w:rPr>
          <w:rStyle w:val="af7"/>
          <w:rFonts w:eastAsia="Guttman Hodes"/>
          <w:rtl/>
        </w:rPr>
        <w:t>פו)</w:t>
      </w:r>
      <w:r w:rsidRPr="00E84852">
        <w:rPr>
          <w:rStyle w:val="af7"/>
          <w:rFonts w:eastAsia="Guttman Hodes"/>
          <w:rtl/>
        </w:rPr>
        <w:fldChar w:fldCharType="end"/>
      </w:r>
      <w:r w:rsidRPr="00E84852">
        <w:rPr>
          <w:rStyle w:val="af7"/>
          <w:rFonts w:eastAsia="Guttman Hodes" w:hint="cs"/>
          <w:rtl/>
        </w:rPr>
        <w:t xml:space="preserve"> </w:t>
      </w:r>
      <w:r>
        <w:rPr>
          <w:rFonts w:hint="cs"/>
          <w:rtl/>
        </w:rPr>
        <w:t xml:space="preserve">על דברי </w:t>
      </w:r>
      <w:r w:rsidRPr="00E84852">
        <w:rPr>
          <w:rStyle w:val="af9"/>
          <w:rFonts w:hint="cs"/>
          <w:rtl/>
        </w:rPr>
        <w:t xml:space="preserve">התבו"ש </w:t>
      </w:r>
      <w:r>
        <w:rPr>
          <w:rFonts w:hint="cs"/>
          <w:rtl/>
        </w:rPr>
        <w:t xml:space="preserve">דאי ע"י הריעותא יצאה הבהמה מהרוב, א"כ כל בהמה חולה לא יהיה בה רוב, תירץ </w:t>
      </w:r>
      <w:r w:rsidRPr="00E84852">
        <w:rPr>
          <w:rStyle w:val="af9"/>
          <w:rFonts w:hint="cs"/>
          <w:rtl/>
        </w:rPr>
        <w:t>הקוה"ע</w:t>
      </w:r>
      <w:r>
        <w:rPr>
          <w:rFonts w:hint="cs"/>
          <w:rtl/>
        </w:rPr>
        <w:t xml:space="preserve"> דבהמה חולה לא דמי לריעותא כלל, דהספק טריפה שנולד בה אינו מחמת החולי שלה, ולכן אף שיצאה מרוב בהמות בריאות, עדיין היא בכלל רוב בהמות אינם טריפות, אבל במים במוח שהספק הוא האם מים אלו מטריפין אותם, בכדי להתירה ע"י רוב צ"ל שיש רוב בהמות שיש להם מים במוח שהם כשרות, וכיון שאין לנו רוב בזה, והרוב כשרות בעלמא אינו יכול להכריע את אותם שנמצא להם מים במוח, כיון שיצאו מכלל הרוב.</w:t>
      </w:r>
      <w:bookmarkEnd w:id="2627"/>
    </w:p>
    <w:p w14:paraId="38DCCB72" w14:textId="77777777" w:rsidR="00852065" w:rsidRDefault="00852065" w:rsidP="006D6D32">
      <w:pPr>
        <w:pStyle w:val="a3"/>
        <w:rPr>
          <w:rtl/>
        </w:rPr>
      </w:pPr>
      <w:bookmarkStart w:id="2628" w:name="_Toc522810049"/>
      <w:bookmarkStart w:id="2629" w:name="_Toc19389346"/>
      <w:bookmarkStart w:id="2630" w:name="_Toc19392843"/>
      <w:r>
        <w:rPr>
          <w:rFonts w:hint="cs"/>
          <w:rtl/>
        </w:rPr>
        <w:t>קושית הקוה"ע דצר"ע לא יצאה מכלל הרוב ומה הקשו התוס' מספק דרוסה</w:t>
      </w:r>
      <w:bookmarkEnd w:id="2628"/>
      <w:bookmarkEnd w:id="2629"/>
      <w:bookmarkEnd w:id="2630"/>
      <w:r>
        <w:rPr>
          <w:rFonts w:hint="cs"/>
          <w:rtl/>
        </w:rPr>
        <w:t xml:space="preserve"> </w:t>
      </w:r>
    </w:p>
    <w:p w14:paraId="0975A75D" w14:textId="77777777" w:rsidR="00852065" w:rsidRDefault="00852065" w:rsidP="00223668">
      <w:pPr>
        <w:pStyle w:val="a0"/>
        <w:rPr>
          <w:rtl/>
        </w:rPr>
      </w:pPr>
      <w:r>
        <w:rPr>
          <w:rFonts w:hint="cs"/>
          <w:rtl/>
        </w:rPr>
        <w:t xml:space="preserve">אך כתב </w:t>
      </w:r>
      <w:r w:rsidRPr="0034636B">
        <w:rPr>
          <w:rStyle w:val="af9"/>
          <w:rFonts w:hint="cs"/>
          <w:rtl/>
        </w:rPr>
        <w:t>הקוה"ע</w:t>
      </w:r>
      <w:r>
        <w:rPr>
          <w:rFonts w:hint="cs"/>
          <w:rtl/>
        </w:rPr>
        <w:t xml:space="preserve"> </w:t>
      </w:r>
      <w:r w:rsidRPr="0034636B">
        <w:rPr>
          <w:rStyle w:val="af7"/>
          <w:rFonts w:eastAsia="Guttman Hodes" w:hint="cs"/>
          <w:rtl/>
        </w:rPr>
        <w:t>(כ"ח ב')</w:t>
      </w:r>
      <w:r>
        <w:rPr>
          <w:rFonts w:hint="cs"/>
          <w:rtl/>
        </w:rPr>
        <w:t xml:space="preserve"> דאי במקום שנולד הספק מחיים אין לה חזקה כיון שאינה בכלל הרוב, א"כ מה הקשו </w:t>
      </w:r>
      <w:r w:rsidRPr="0034636B">
        <w:rPr>
          <w:rStyle w:val="af9"/>
          <w:rFonts w:hint="cs"/>
          <w:rtl/>
        </w:rPr>
        <w:t>התוס' ביבמות</w:t>
      </w:r>
      <w:r w:rsidRPr="00D95D15">
        <w:rPr>
          <w:rStyle w:val="af7"/>
          <w:rFonts w:eastAsia="Guttman Hodes" w:hint="cs"/>
          <w:rtl/>
        </w:rPr>
        <w:t xml:space="preserve"> (עי' אות </w:t>
      </w:r>
      <w:r w:rsidRPr="00D95D15">
        <w:rPr>
          <w:rStyle w:val="af7"/>
          <w:rFonts w:eastAsia="Guttman Hodes"/>
          <w:rtl/>
        </w:rPr>
        <w:fldChar w:fldCharType="begin"/>
      </w:r>
      <w:r w:rsidRPr="00D95D15">
        <w:rPr>
          <w:rStyle w:val="af7"/>
          <w:rFonts w:eastAsia="Guttman Hodes"/>
          <w:rtl/>
        </w:rPr>
        <w:instrText xml:space="preserve"> </w:instrText>
      </w:r>
      <w:r w:rsidRPr="00D95D15">
        <w:rPr>
          <w:rStyle w:val="af7"/>
          <w:rFonts w:eastAsia="Guttman Hodes" w:hint="cs"/>
        </w:rPr>
        <w:instrText>REF</w:instrText>
      </w:r>
      <w:r w:rsidRPr="00D95D15">
        <w:rPr>
          <w:rStyle w:val="af7"/>
          <w:rFonts w:eastAsia="Guttman Hodes" w:hint="cs"/>
          <w:rtl/>
        </w:rPr>
        <w:instrText xml:space="preserve"> _</w:instrText>
      </w:r>
      <w:r w:rsidRPr="00D95D15">
        <w:rPr>
          <w:rStyle w:val="af7"/>
          <w:rFonts w:eastAsia="Guttman Hodes" w:hint="cs"/>
        </w:rPr>
        <w:instrText>Ref522526853 \r \h</w:instrText>
      </w:r>
      <w:r w:rsidRPr="00D95D15">
        <w:rPr>
          <w:rStyle w:val="af7"/>
          <w:rFonts w:eastAsia="Guttman Hodes"/>
          <w:rtl/>
        </w:rPr>
        <w:instrText xml:space="preserve"> </w:instrText>
      </w:r>
      <w:r w:rsidRPr="00D95D15">
        <w:rPr>
          <w:rStyle w:val="af7"/>
          <w:rFonts w:eastAsia="Guttman Hodes"/>
          <w:rtl/>
        </w:rPr>
      </w:r>
      <w:r w:rsidRPr="00D95D15">
        <w:rPr>
          <w:rStyle w:val="af7"/>
          <w:rFonts w:eastAsia="Guttman Hodes"/>
          <w:rtl/>
        </w:rPr>
        <w:fldChar w:fldCharType="separate"/>
      </w:r>
      <w:r w:rsidR="00345400">
        <w:rPr>
          <w:rStyle w:val="af7"/>
          <w:rFonts w:eastAsia="Guttman Hodes"/>
          <w:cs/>
        </w:rPr>
        <w:t>‎</w:t>
      </w:r>
      <w:r w:rsidR="00345400">
        <w:rPr>
          <w:rStyle w:val="af7"/>
          <w:rFonts w:eastAsia="Guttman Hodes"/>
          <w:rtl/>
        </w:rPr>
        <w:t>כה)</w:t>
      </w:r>
      <w:r w:rsidRPr="00D95D15">
        <w:rPr>
          <w:rStyle w:val="af7"/>
          <w:rFonts w:eastAsia="Guttman Hodes"/>
          <w:rtl/>
        </w:rPr>
        <w:fldChar w:fldCharType="end"/>
      </w:r>
      <w:r w:rsidRPr="00D95D15">
        <w:rPr>
          <w:rStyle w:val="af7"/>
          <w:rFonts w:eastAsia="Guttman Hodes" w:hint="cs"/>
          <w:rtl/>
        </w:rPr>
        <w:t xml:space="preserve"> </w:t>
      </w:r>
      <w:r w:rsidRPr="00F11AA7">
        <w:rPr>
          <w:rFonts w:hint="cs"/>
          <w:rtl/>
        </w:rPr>
        <w:t>דב</w:t>
      </w:r>
      <w:r>
        <w:rPr>
          <w:rFonts w:hint="cs"/>
          <w:rtl/>
        </w:rPr>
        <w:t xml:space="preserve">ספק </w:t>
      </w:r>
      <w:r w:rsidRPr="00F11AA7">
        <w:rPr>
          <w:rFonts w:hint="cs"/>
          <w:rtl/>
        </w:rPr>
        <w:t>צרת ערוה</w:t>
      </w:r>
      <w:r>
        <w:rPr>
          <w:rFonts w:hint="cs"/>
          <w:rtl/>
        </w:rPr>
        <w:t xml:space="preserve"> לא יהיה לה חזקת היתר כיון שנולד הספק בזמן האיסור, הרי בצרת ערוה לא יצאה מכלל רוב.</w:t>
      </w:r>
    </w:p>
    <w:p w14:paraId="01A25130" w14:textId="77777777" w:rsidR="00852065" w:rsidRDefault="00852065" w:rsidP="006D6D32">
      <w:pPr>
        <w:pStyle w:val="a3"/>
        <w:rPr>
          <w:rtl/>
        </w:rPr>
      </w:pPr>
      <w:bookmarkStart w:id="2631" w:name="_Toc522810050"/>
      <w:bookmarkStart w:id="2632" w:name="_Toc19389347"/>
      <w:bookmarkStart w:id="2633" w:name="_Toc19392844"/>
      <w:r>
        <w:rPr>
          <w:rFonts w:hint="cs"/>
          <w:rtl/>
        </w:rPr>
        <w:t>ביאור הקוה"ע דהקשו התוס' דבדרוסה יהיה חזקת היתר מחיים כחזקה דרבה</w:t>
      </w:r>
      <w:bookmarkEnd w:id="2631"/>
      <w:bookmarkEnd w:id="2632"/>
      <w:bookmarkEnd w:id="2633"/>
    </w:p>
    <w:p w14:paraId="4B114CF8" w14:textId="77777777" w:rsidR="00852065" w:rsidRDefault="00852065" w:rsidP="00223668">
      <w:pPr>
        <w:pStyle w:val="a0"/>
        <w:rPr>
          <w:rtl/>
        </w:rPr>
      </w:pPr>
      <w:r>
        <w:rPr>
          <w:rFonts w:hint="cs"/>
          <w:rtl/>
        </w:rPr>
        <w:t xml:space="preserve">וביאר </w:t>
      </w:r>
      <w:r w:rsidRPr="0034636B">
        <w:rPr>
          <w:rStyle w:val="af9"/>
          <w:rFonts w:hint="cs"/>
          <w:rtl/>
        </w:rPr>
        <w:t>הקוה"ע</w:t>
      </w:r>
      <w:r>
        <w:rPr>
          <w:rFonts w:hint="cs"/>
          <w:rtl/>
        </w:rPr>
        <w:t xml:space="preserve"> דכוונת </w:t>
      </w:r>
      <w:r w:rsidRPr="0034636B">
        <w:rPr>
          <w:rStyle w:val="af9"/>
          <w:rFonts w:hint="cs"/>
          <w:rtl/>
        </w:rPr>
        <w:t>התוס'</w:t>
      </w:r>
      <w:r>
        <w:rPr>
          <w:rFonts w:hint="cs"/>
          <w:rtl/>
        </w:rPr>
        <w:t xml:space="preserve"> להקשות דאף שא"א להתיר בספק דרוסה מכח הרוב, מ"מ תהיה מותרת מכח חזקה דרבה, דמחיים יש לה חזקת היתר לזמן שאחר השחיטה, אלא  דמהא דספק דרוסה אסורה מוכח שכיון שנולד הספק בזמן האיסור, אין לה חזקת היתר על הזמן שאחר השחיטה.</w:t>
      </w:r>
    </w:p>
    <w:p w14:paraId="71C29837" w14:textId="77777777" w:rsidR="00852065" w:rsidRDefault="00852065" w:rsidP="006D6D32">
      <w:pPr>
        <w:pStyle w:val="a3"/>
        <w:rPr>
          <w:rtl/>
        </w:rPr>
      </w:pPr>
      <w:bookmarkStart w:id="2634" w:name="_Toc522810051"/>
      <w:bookmarkStart w:id="2635" w:name="_Toc19389348"/>
      <w:bookmarkStart w:id="2636" w:name="_Toc19392845"/>
      <w:r>
        <w:rPr>
          <w:rFonts w:hint="cs"/>
          <w:rtl/>
        </w:rPr>
        <w:t>קושית הקוה"ע דבדרוסה יש חזקת הגוף שלא נולדה דרוסה</w:t>
      </w:r>
      <w:bookmarkEnd w:id="2634"/>
      <w:bookmarkEnd w:id="2635"/>
      <w:bookmarkEnd w:id="2636"/>
    </w:p>
    <w:p w14:paraId="51565E48" w14:textId="77777777" w:rsidR="00852065" w:rsidRDefault="00852065" w:rsidP="00223668">
      <w:pPr>
        <w:pStyle w:val="a0"/>
        <w:rPr>
          <w:rtl/>
        </w:rPr>
      </w:pPr>
      <w:r>
        <w:rPr>
          <w:rFonts w:hint="cs"/>
          <w:rtl/>
        </w:rPr>
        <w:t xml:space="preserve">אך הקשה </w:t>
      </w:r>
      <w:r w:rsidRPr="0034636B">
        <w:rPr>
          <w:rStyle w:val="af9"/>
          <w:rFonts w:hint="cs"/>
          <w:rtl/>
        </w:rPr>
        <w:t>הקוה"ע</w:t>
      </w:r>
      <w:r>
        <w:rPr>
          <w:rFonts w:hint="cs"/>
          <w:rtl/>
        </w:rPr>
        <w:t xml:space="preserve"> דעדיין אפשר להתירה ע"י חזקת הגוף, דבשעה שנולדה לא הייתה דרוסה, וכדכתב </w:t>
      </w:r>
      <w:r w:rsidRPr="0034636B">
        <w:rPr>
          <w:rStyle w:val="af9"/>
          <w:rFonts w:hint="cs"/>
          <w:rtl/>
        </w:rPr>
        <w:t>התבו"ש</w:t>
      </w:r>
      <w:r>
        <w:rPr>
          <w:rFonts w:hint="cs"/>
          <w:rtl/>
        </w:rPr>
        <w:t xml:space="preserve"> </w:t>
      </w:r>
      <w:r w:rsidRPr="00D95D15">
        <w:rPr>
          <w:rStyle w:val="af7"/>
          <w:rFonts w:eastAsia="Guttman Hodes" w:hint="cs"/>
          <w:rtl/>
        </w:rPr>
        <w:t xml:space="preserve">(עי' אות </w:t>
      </w:r>
      <w:r w:rsidRPr="00D95D15">
        <w:rPr>
          <w:rStyle w:val="af7"/>
          <w:rFonts w:eastAsia="Guttman Hodes"/>
          <w:rtl/>
        </w:rPr>
        <w:fldChar w:fldCharType="begin"/>
      </w:r>
      <w:r w:rsidRPr="00D95D15">
        <w:rPr>
          <w:rStyle w:val="af7"/>
          <w:rFonts w:eastAsia="Guttman Hodes"/>
          <w:rtl/>
        </w:rPr>
        <w:instrText xml:space="preserve"> </w:instrText>
      </w:r>
      <w:r w:rsidRPr="00D95D15">
        <w:rPr>
          <w:rStyle w:val="af7"/>
          <w:rFonts w:eastAsia="Guttman Hodes" w:hint="cs"/>
        </w:rPr>
        <w:instrText>REF</w:instrText>
      </w:r>
      <w:r w:rsidRPr="00D95D15">
        <w:rPr>
          <w:rStyle w:val="af7"/>
          <w:rFonts w:eastAsia="Guttman Hodes" w:hint="cs"/>
          <w:rtl/>
        </w:rPr>
        <w:instrText xml:space="preserve"> _</w:instrText>
      </w:r>
      <w:r w:rsidRPr="00D95D15">
        <w:rPr>
          <w:rStyle w:val="af7"/>
          <w:rFonts w:eastAsia="Guttman Hodes" w:hint="cs"/>
        </w:rPr>
        <w:instrText>Ref522479155 \r \h</w:instrText>
      </w:r>
      <w:r w:rsidRPr="00D95D15">
        <w:rPr>
          <w:rStyle w:val="af7"/>
          <w:rFonts w:eastAsia="Guttman Hodes"/>
          <w:rtl/>
        </w:rPr>
        <w:instrText xml:space="preserve"> </w:instrText>
      </w:r>
      <w:r w:rsidRPr="00D95D15">
        <w:rPr>
          <w:rStyle w:val="af7"/>
          <w:rFonts w:eastAsia="Guttman Hodes"/>
          <w:rtl/>
        </w:rPr>
      </w:r>
      <w:r w:rsidRPr="00D95D15">
        <w:rPr>
          <w:rStyle w:val="af7"/>
          <w:rFonts w:eastAsia="Guttman Hodes"/>
          <w:rtl/>
        </w:rPr>
        <w:fldChar w:fldCharType="separate"/>
      </w:r>
      <w:r w:rsidR="00345400">
        <w:rPr>
          <w:rStyle w:val="af7"/>
          <w:rFonts w:eastAsia="Guttman Hodes"/>
          <w:cs/>
        </w:rPr>
        <w:t>‎</w:t>
      </w:r>
      <w:r w:rsidR="00345400">
        <w:rPr>
          <w:rStyle w:val="af7"/>
          <w:rFonts w:eastAsia="Guttman Hodes"/>
          <w:rtl/>
        </w:rPr>
        <w:t>פה)</w:t>
      </w:r>
      <w:r w:rsidRPr="00D95D15">
        <w:rPr>
          <w:rStyle w:val="af7"/>
          <w:rFonts w:eastAsia="Guttman Hodes"/>
          <w:rtl/>
        </w:rPr>
        <w:fldChar w:fldCharType="end"/>
      </w:r>
      <w:r>
        <w:rPr>
          <w:rFonts w:hint="cs"/>
          <w:rtl/>
        </w:rPr>
        <w:t xml:space="preserve"> דיש לה חזקה שנתבררה שלא הייתה דרוסה כשנולדה.</w:t>
      </w:r>
    </w:p>
    <w:p w14:paraId="796BC3FF" w14:textId="77777777" w:rsidR="00852065" w:rsidRPr="0034636B" w:rsidRDefault="00852065" w:rsidP="006D6D32">
      <w:pPr>
        <w:pStyle w:val="a3"/>
      </w:pPr>
      <w:bookmarkStart w:id="2637" w:name="_Toc522810052"/>
      <w:bookmarkStart w:id="2638" w:name="_Toc19389349"/>
      <w:bookmarkStart w:id="2639" w:name="_Toc19392846"/>
      <w:r>
        <w:rPr>
          <w:rFonts w:hint="cs"/>
          <w:rtl/>
        </w:rPr>
        <w:t>דחיית הקוה"ע לדברי החוו"ד דהספק הוא בנקב נולד רק מחמת הקוץ ובזה יש חזקת הגוף</w:t>
      </w:r>
      <w:bookmarkEnd w:id="2637"/>
      <w:bookmarkEnd w:id="2638"/>
      <w:bookmarkEnd w:id="2639"/>
    </w:p>
    <w:p w14:paraId="364B17A8" w14:textId="77777777" w:rsidR="00852065" w:rsidRPr="00B22F08" w:rsidRDefault="00852065" w:rsidP="00223668">
      <w:pPr>
        <w:pStyle w:val="a0"/>
        <w:rPr>
          <w:rtl/>
        </w:rPr>
      </w:pPr>
      <w:r>
        <w:rPr>
          <w:rFonts w:hint="cs"/>
          <w:rtl/>
        </w:rPr>
        <w:t xml:space="preserve">ובמה שהקשה </w:t>
      </w:r>
      <w:r w:rsidRPr="0034636B">
        <w:rPr>
          <w:rStyle w:val="af9"/>
          <w:rFonts w:hint="cs"/>
          <w:rtl/>
        </w:rPr>
        <w:t>החוו"ד</w:t>
      </w:r>
      <w:r>
        <w:rPr>
          <w:rFonts w:hint="cs"/>
          <w:rtl/>
        </w:rPr>
        <w:t xml:space="preserve"> </w:t>
      </w:r>
      <w:r w:rsidRPr="0034636B">
        <w:rPr>
          <w:rStyle w:val="af7"/>
          <w:rFonts w:eastAsia="Guttman Hodes" w:hint="cs"/>
          <w:rtl/>
        </w:rPr>
        <w:t xml:space="preserve">(עי' אות </w:t>
      </w:r>
      <w:r w:rsidRPr="0034636B">
        <w:rPr>
          <w:rStyle w:val="af7"/>
          <w:rFonts w:eastAsia="Guttman Hodes"/>
          <w:rtl/>
        </w:rPr>
        <w:fldChar w:fldCharType="begin"/>
      </w:r>
      <w:r w:rsidRPr="0034636B">
        <w:rPr>
          <w:rStyle w:val="af7"/>
          <w:rFonts w:eastAsia="Guttman Hodes"/>
          <w:rtl/>
        </w:rPr>
        <w:instrText xml:space="preserve"> </w:instrText>
      </w:r>
      <w:r w:rsidRPr="0034636B">
        <w:rPr>
          <w:rStyle w:val="af7"/>
          <w:rFonts w:eastAsia="Guttman Hodes" w:hint="cs"/>
        </w:rPr>
        <w:instrText>REF</w:instrText>
      </w:r>
      <w:r w:rsidRPr="0034636B">
        <w:rPr>
          <w:rStyle w:val="af7"/>
          <w:rFonts w:eastAsia="Guttman Hodes" w:hint="cs"/>
          <w:rtl/>
        </w:rPr>
        <w:instrText xml:space="preserve"> _</w:instrText>
      </w:r>
      <w:r w:rsidRPr="0034636B">
        <w:rPr>
          <w:rStyle w:val="af7"/>
          <w:rFonts w:eastAsia="Guttman Hodes" w:hint="cs"/>
        </w:rPr>
        <w:instrText>Ref522522875 \r \h</w:instrText>
      </w:r>
      <w:r w:rsidRPr="0034636B">
        <w:rPr>
          <w:rStyle w:val="af7"/>
          <w:rFonts w:eastAsia="Guttman Hodes"/>
          <w:rtl/>
        </w:rPr>
        <w:instrText xml:space="preserve"> </w:instrText>
      </w:r>
      <w:r w:rsidRPr="0034636B">
        <w:rPr>
          <w:rStyle w:val="af7"/>
          <w:rFonts w:eastAsia="Guttman Hodes"/>
          <w:rtl/>
        </w:rPr>
      </w:r>
      <w:r w:rsidRPr="0034636B">
        <w:rPr>
          <w:rStyle w:val="af7"/>
          <w:rFonts w:eastAsia="Guttman Hodes"/>
          <w:rtl/>
        </w:rPr>
        <w:fldChar w:fldCharType="separate"/>
      </w:r>
      <w:r w:rsidR="00345400">
        <w:rPr>
          <w:rStyle w:val="af7"/>
          <w:rFonts w:eastAsia="Guttman Hodes"/>
          <w:cs/>
        </w:rPr>
        <w:t>‎</w:t>
      </w:r>
      <w:r w:rsidR="00345400">
        <w:rPr>
          <w:rStyle w:val="af7"/>
          <w:rFonts w:eastAsia="Guttman Hodes"/>
          <w:rtl/>
        </w:rPr>
        <w:t>פז)</w:t>
      </w:r>
      <w:r w:rsidRPr="0034636B">
        <w:rPr>
          <w:rStyle w:val="af7"/>
          <w:rFonts w:eastAsia="Guttman Hodes"/>
          <w:rtl/>
        </w:rPr>
        <w:fldChar w:fldCharType="end"/>
      </w:r>
      <w:r>
        <w:rPr>
          <w:rFonts w:hint="cs"/>
          <w:rtl/>
        </w:rPr>
        <w:t xml:space="preserve"> על </w:t>
      </w:r>
      <w:r w:rsidRPr="0034636B">
        <w:rPr>
          <w:rStyle w:val="af9"/>
          <w:rFonts w:hint="cs"/>
          <w:rtl/>
        </w:rPr>
        <w:t>התבו"ש</w:t>
      </w:r>
      <w:r>
        <w:rPr>
          <w:rFonts w:hint="cs"/>
          <w:rtl/>
        </w:rPr>
        <w:t xml:space="preserve"> דהספק אינו על הקוץ, אלא על הנקב ובזה אין לה חזקה מבוררת שלא נולדה עם נקב, דחה </w:t>
      </w:r>
      <w:r w:rsidRPr="0034636B">
        <w:rPr>
          <w:rStyle w:val="af9"/>
          <w:rFonts w:hint="cs"/>
          <w:rtl/>
        </w:rPr>
        <w:t>הקוה"ע</w:t>
      </w:r>
      <w:r>
        <w:rPr>
          <w:rFonts w:hint="cs"/>
          <w:rtl/>
        </w:rPr>
        <w:t xml:space="preserve"> דהרי אם לא היה לה קוץ לא היינו חוששים לנקב, כמו שאין חוששין בזאב דבמקום נקב ניקב, וכל החשש בושט הוא שמא ע"י הקוץ נעשה בה נקב, ועל חשש זה יש לה חזקה מבוררת, דלא נולדה עם הקוץ, וא"כ עדיין קשה בספק דרוסה דנעמידנה בחזקת הגוף ותהיה מותרת.</w:t>
      </w:r>
    </w:p>
    <w:p w14:paraId="79D751FB" w14:textId="77777777" w:rsidR="00852065" w:rsidRDefault="00852065" w:rsidP="006D6D32">
      <w:pPr>
        <w:pStyle w:val="a3"/>
        <w:rPr>
          <w:rtl/>
        </w:rPr>
      </w:pPr>
      <w:bookmarkStart w:id="2640" w:name="_Toc522810053"/>
      <w:bookmarkStart w:id="2641" w:name="_Toc19389350"/>
      <w:bookmarkStart w:id="2642" w:name="_Toc19392847"/>
      <w:r>
        <w:rPr>
          <w:rFonts w:hint="cs"/>
          <w:rtl/>
        </w:rPr>
        <w:t>ביאור הקוה"ע בתוס' דבנולד הספק בזמן האיסור החזקת איסור סותרת לחזקת הגוף</w:t>
      </w:r>
      <w:bookmarkEnd w:id="2640"/>
      <w:bookmarkEnd w:id="2641"/>
      <w:bookmarkEnd w:id="2642"/>
    </w:p>
    <w:p w14:paraId="5471151A" w14:textId="77777777" w:rsidR="00852065" w:rsidRDefault="00852065" w:rsidP="00223668">
      <w:pPr>
        <w:pStyle w:val="a0"/>
        <w:rPr>
          <w:rtl/>
        </w:rPr>
      </w:pPr>
      <w:r>
        <w:rPr>
          <w:rFonts w:hint="cs"/>
          <w:rtl/>
        </w:rPr>
        <w:t xml:space="preserve">וכתב </w:t>
      </w:r>
      <w:r w:rsidRPr="00D95D15">
        <w:rPr>
          <w:rStyle w:val="af9"/>
          <w:rFonts w:hint="cs"/>
          <w:rtl/>
        </w:rPr>
        <w:t>הקוה"ע</w:t>
      </w:r>
      <w:r>
        <w:rPr>
          <w:rFonts w:hint="cs"/>
          <w:rtl/>
        </w:rPr>
        <w:t xml:space="preserve"> דאפשר לבאר דס"ל </w:t>
      </w:r>
      <w:r w:rsidRPr="00D95D15">
        <w:rPr>
          <w:rStyle w:val="af9"/>
          <w:rFonts w:hint="cs"/>
          <w:rtl/>
        </w:rPr>
        <w:t>להתוס'</w:t>
      </w:r>
      <w:r>
        <w:rPr>
          <w:rStyle w:val="af9"/>
          <w:rFonts w:hint="cs"/>
          <w:rtl/>
        </w:rPr>
        <w:t xml:space="preserve"> ביבמות</w:t>
      </w:r>
      <w:r w:rsidRPr="00D95D15">
        <w:rPr>
          <w:rStyle w:val="af9"/>
          <w:rFonts w:hint="cs"/>
          <w:rtl/>
        </w:rPr>
        <w:t xml:space="preserve"> </w:t>
      </w:r>
      <w:r>
        <w:rPr>
          <w:rFonts w:hint="cs"/>
          <w:rtl/>
        </w:rPr>
        <w:t>דכל שנולד הספק בזמן האיסור, יש לה חזקת איסור דמחזיקין מאיסור לאיסור, ולכן אף שיש לה חזקת הגוף להיתר, מ"מ הוי חזקה נגד חזקה, ולכן חוששין לספק דרוסה</w:t>
      </w:r>
      <w:r>
        <w:rPr>
          <w:rStyle w:val="af1"/>
          <w:rtl/>
        </w:rPr>
        <w:footnoteReference w:id="18"/>
      </w:r>
      <w:r>
        <w:rPr>
          <w:rFonts w:hint="cs"/>
          <w:rtl/>
        </w:rPr>
        <w:t>.</w:t>
      </w:r>
    </w:p>
    <w:p w14:paraId="1143574C" w14:textId="77777777" w:rsidR="00852065" w:rsidRDefault="00852065" w:rsidP="00BF39B2">
      <w:pPr>
        <w:pStyle w:val="1"/>
        <w:rPr>
          <w:rtl/>
        </w:rPr>
      </w:pPr>
      <w:bookmarkStart w:id="2643" w:name="_Toc522810054"/>
      <w:bookmarkStart w:id="2644" w:name="_Toc19389351"/>
      <w:bookmarkStart w:id="2645" w:name="_Toc19392848"/>
      <w:r>
        <w:rPr>
          <w:rFonts w:hint="cs"/>
          <w:rtl/>
        </w:rPr>
        <w:t>ביאור הקוה"ע בדעת התוס' בספק השקול</w:t>
      </w:r>
      <w:bookmarkEnd w:id="2643"/>
      <w:bookmarkEnd w:id="2644"/>
      <w:bookmarkEnd w:id="2645"/>
    </w:p>
    <w:p w14:paraId="5F78B1B5" w14:textId="77777777" w:rsidR="00852065" w:rsidRDefault="00852065" w:rsidP="006D6D32">
      <w:pPr>
        <w:pStyle w:val="a3"/>
        <w:rPr>
          <w:rtl/>
        </w:rPr>
      </w:pPr>
      <w:bookmarkStart w:id="2646" w:name="_Toc522810055"/>
      <w:bookmarkStart w:id="2647" w:name="_Toc19389352"/>
      <w:bookmarkStart w:id="2648" w:name="_Toc19392849"/>
      <w:r>
        <w:rPr>
          <w:rFonts w:hint="cs"/>
          <w:rtl/>
        </w:rPr>
        <w:t>דברי הקוה"ע דאין כוונת התוס' דבספק השקול יש חזקת היתר דהא לא נתבררה בשעתה</w:t>
      </w:r>
      <w:bookmarkEnd w:id="2646"/>
      <w:bookmarkEnd w:id="2647"/>
      <w:bookmarkEnd w:id="2648"/>
    </w:p>
    <w:p w14:paraId="34466850" w14:textId="77777777" w:rsidR="00852065" w:rsidRDefault="00852065" w:rsidP="00223668">
      <w:pPr>
        <w:pStyle w:val="a0"/>
        <w:rPr>
          <w:rtl/>
        </w:rPr>
      </w:pPr>
      <w:r>
        <w:rPr>
          <w:rFonts w:hint="cs"/>
          <w:rtl/>
        </w:rPr>
        <w:t xml:space="preserve">ובתירוץ </w:t>
      </w:r>
      <w:r w:rsidRPr="00E504BD">
        <w:rPr>
          <w:rStyle w:val="af9"/>
          <w:rFonts w:hint="cs"/>
          <w:rtl/>
        </w:rPr>
        <w:t>התוס' ביבמות</w:t>
      </w:r>
      <w:r>
        <w:rPr>
          <w:rFonts w:hint="cs"/>
          <w:rtl/>
        </w:rPr>
        <w:t xml:space="preserve"> </w:t>
      </w:r>
      <w:r w:rsidRPr="00D95D15">
        <w:rPr>
          <w:rStyle w:val="af7"/>
          <w:rFonts w:eastAsia="Guttman Hodes" w:hint="cs"/>
          <w:rtl/>
        </w:rPr>
        <w:t xml:space="preserve">(עי' אות </w:t>
      </w:r>
      <w:r w:rsidRPr="00D95D15">
        <w:rPr>
          <w:rStyle w:val="af7"/>
          <w:rFonts w:eastAsia="Guttman Hodes"/>
          <w:rtl/>
        </w:rPr>
        <w:fldChar w:fldCharType="begin"/>
      </w:r>
      <w:r w:rsidRPr="00D95D15">
        <w:rPr>
          <w:rStyle w:val="af7"/>
          <w:rFonts w:eastAsia="Guttman Hodes"/>
          <w:rtl/>
        </w:rPr>
        <w:instrText xml:space="preserve"> </w:instrText>
      </w:r>
      <w:r w:rsidRPr="00D95D15">
        <w:rPr>
          <w:rStyle w:val="af7"/>
          <w:rFonts w:eastAsia="Guttman Hodes" w:hint="cs"/>
        </w:rPr>
        <w:instrText>REF</w:instrText>
      </w:r>
      <w:r w:rsidRPr="00D95D15">
        <w:rPr>
          <w:rStyle w:val="af7"/>
          <w:rFonts w:eastAsia="Guttman Hodes" w:hint="cs"/>
          <w:rtl/>
        </w:rPr>
        <w:instrText xml:space="preserve"> _</w:instrText>
      </w:r>
      <w:r w:rsidRPr="00D95D15">
        <w:rPr>
          <w:rStyle w:val="af7"/>
          <w:rFonts w:eastAsia="Guttman Hodes" w:hint="cs"/>
        </w:rPr>
        <w:instrText>Ref522479252 \r \h</w:instrText>
      </w:r>
      <w:r w:rsidRPr="00D95D15">
        <w:rPr>
          <w:rStyle w:val="af7"/>
          <w:rFonts w:eastAsia="Guttman Hodes"/>
          <w:rtl/>
        </w:rPr>
        <w:instrText xml:space="preserve"> </w:instrText>
      </w:r>
      <w:r w:rsidRPr="00D95D15">
        <w:rPr>
          <w:rStyle w:val="af7"/>
          <w:rFonts w:eastAsia="Guttman Hodes"/>
          <w:rtl/>
        </w:rPr>
      </w:r>
      <w:r w:rsidRPr="00D95D15">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D95D15">
        <w:rPr>
          <w:rStyle w:val="af7"/>
          <w:rFonts w:eastAsia="Guttman Hodes"/>
          <w:rtl/>
        </w:rPr>
        <w:fldChar w:fldCharType="end"/>
      </w:r>
      <w:r>
        <w:rPr>
          <w:rFonts w:hint="cs"/>
          <w:rtl/>
        </w:rPr>
        <w:t xml:space="preserve"> דבספק דרוסה שכיח איסורא יותר, כתב </w:t>
      </w:r>
      <w:r w:rsidRPr="00E504BD">
        <w:rPr>
          <w:rStyle w:val="af9"/>
          <w:rFonts w:hint="cs"/>
          <w:rtl/>
        </w:rPr>
        <w:t>הקוה"ע</w:t>
      </w:r>
      <w:r>
        <w:rPr>
          <w:rFonts w:hint="cs"/>
          <w:rtl/>
        </w:rPr>
        <w:t xml:space="preserve"> </w:t>
      </w:r>
      <w:r w:rsidRPr="00E504BD">
        <w:rPr>
          <w:rStyle w:val="af7"/>
          <w:rFonts w:eastAsia="Guttman Hodes" w:hint="cs"/>
          <w:rtl/>
        </w:rPr>
        <w:t>(כ"ח ב')</w:t>
      </w:r>
      <w:r>
        <w:rPr>
          <w:rFonts w:hint="cs"/>
          <w:rtl/>
        </w:rPr>
        <w:t xml:space="preserve"> דמשמע מדבריהם דבספק השקול לא חיישינן, כיון שיש לה חזקה דרבה להיתר לאחר שתשחט, כמו בספק צרת ערוה בגמ' ביבמות </w:t>
      </w:r>
      <w:r w:rsidRPr="00E504BD">
        <w:rPr>
          <w:rStyle w:val="af7"/>
          <w:rFonts w:eastAsia="Guttman Hodes" w:hint="cs"/>
          <w:rtl/>
        </w:rPr>
        <w:t>(ל:)</w:t>
      </w:r>
      <w:r>
        <w:rPr>
          <w:rFonts w:hint="cs"/>
          <w:rtl/>
        </w:rPr>
        <w:t xml:space="preserve">. אך דחה </w:t>
      </w:r>
      <w:r w:rsidRPr="00D95D15">
        <w:rPr>
          <w:rStyle w:val="af9"/>
          <w:rFonts w:hint="cs"/>
          <w:rtl/>
        </w:rPr>
        <w:t>הקוה"ע</w:t>
      </w:r>
      <w:r>
        <w:rPr>
          <w:rFonts w:hint="cs"/>
          <w:rtl/>
        </w:rPr>
        <w:t xml:space="preserve"> דהא דעת </w:t>
      </w:r>
      <w:r w:rsidRPr="00D95D15">
        <w:rPr>
          <w:rStyle w:val="af9"/>
          <w:rFonts w:hint="cs"/>
          <w:rtl/>
        </w:rPr>
        <w:t>התוס' לקמן</w:t>
      </w:r>
      <w:r>
        <w:rPr>
          <w:rFonts w:hint="cs"/>
          <w:rtl/>
        </w:rPr>
        <w:t xml:space="preserve"> </w:t>
      </w:r>
      <w:r w:rsidRPr="00D95D15">
        <w:rPr>
          <w:rStyle w:val="af7"/>
          <w:rFonts w:eastAsia="Guttman Hodes" w:hint="cs"/>
          <w:rtl/>
        </w:rPr>
        <w:t xml:space="preserve">(עי' אות </w:t>
      </w:r>
      <w:r w:rsidRPr="00D95D15">
        <w:rPr>
          <w:rStyle w:val="af7"/>
          <w:rFonts w:eastAsia="Guttman Hodes"/>
          <w:rtl/>
        </w:rPr>
        <w:fldChar w:fldCharType="begin"/>
      </w:r>
      <w:r w:rsidRPr="00D95D15">
        <w:rPr>
          <w:rStyle w:val="af7"/>
          <w:rFonts w:eastAsia="Guttman Hodes"/>
          <w:rtl/>
        </w:rPr>
        <w:instrText xml:space="preserve"> </w:instrText>
      </w:r>
      <w:r w:rsidRPr="00D95D15">
        <w:rPr>
          <w:rStyle w:val="af7"/>
          <w:rFonts w:eastAsia="Guttman Hodes" w:hint="cs"/>
        </w:rPr>
        <w:instrText>REF</w:instrText>
      </w:r>
      <w:r w:rsidRPr="00D95D15">
        <w:rPr>
          <w:rStyle w:val="af7"/>
          <w:rFonts w:eastAsia="Guttman Hodes" w:hint="cs"/>
          <w:rtl/>
        </w:rPr>
        <w:instrText xml:space="preserve"> _</w:instrText>
      </w:r>
      <w:r w:rsidRPr="00D95D15">
        <w:rPr>
          <w:rStyle w:val="af7"/>
          <w:rFonts w:eastAsia="Guttman Hodes" w:hint="cs"/>
        </w:rPr>
        <w:instrText>Ref522443050 \r \h</w:instrText>
      </w:r>
      <w:r w:rsidRPr="00D95D15">
        <w:rPr>
          <w:rStyle w:val="af7"/>
          <w:rFonts w:eastAsia="Guttman Hodes"/>
          <w:rtl/>
        </w:rPr>
        <w:instrText xml:space="preserve"> </w:instrText>
      </w:r>
      <w:r w:rsidRPr="00D95D15">
        <w:rPr>
          <w:rStyle w:val="af7"/>
          <w:rFonts w:eastAsia="Guttman Hodes"/>
          <w:rtl/>
        </w:rPr>
      </w:r>
      <w:r w:rsidRPr="00D95D15">
        <w:rPr>
          <w:rStyle w:val="af7"/>
          <w:rFonts w:eastAsia="Guttman Hodes"/>
          <w:rtl/>
        </w:rPr>
        <w:fldChar w:fldCharType="separate"/>
      </w:r>
      <w:r w:rsidR="00345400">
        <w:rPr>
          <w:rStyle w:val="af7"/>
          <w:rFonts w:eastAsia="Guttman Hodes"/>
          <w:cs/>
        </w:rPr>
        <w:t>‎</w:t>
      </w:r>
      <w:r w:rsidR="00345400">
        <w:rPr>
          <w:rStyle w:val="af7"/>
          <w:rFonts w:eastAsia="Guttman Hodes"/>
          <w:rtl/>
        </w:rPr>
        <w:t>י)</w:t>
      </w:r>
      <w:r w:rsidRPr="00D95D15">
        <w:rPr>
          <w:rStyle w:val="af7"/>
          <w:rFonts w:eastAsia="Guttman Hodes"/>
          <w:rtl/>
        </w:rPr>
        <w:fldChar w:fldCharType="end"/>
      </w:r>
      <w:r>
        <w:rPr>
          <w:rFonts w:hint="cs"/>
          <w:rtl/>
        </w:rPr>
        <w:t xml:space="preserve"> דבספק טריפה אין חזקת היתר כיון שהוא חזקה שלא נתבררה בשעתה, וא"כ א"א לומר דכוונת </w:t>
      </w:r>
      <w:r w:rsidRPr="00E504BD">
        <w:rPr>
          <w:rStyle w:val="af9"/>
          <w:rFonts w:hint="cs"/>
          <w:rtl/>
        </w:rPr>
        <w:t>התוס' ביבמות</w:t>
      </w:r>
      <w:r>
        <w:rPr>
          <w:rFonts w:hint="cs"/>
          <w:rtl/>
        </w:rPr>
        <w:t xml:space="preserve"> דבספק השקול בדרוסה יש לה חזקת היתר.</w:t>
      </w:r>
    </w:p>
    <w:p w14:paraId="0C1C8CB3" w14:textId="77777777" w:rsidR="00852065" w:rsidRDefault="00852065" w:rsidP="006D6D32">
      <w:pPr>
        <w:pStyle w:val="a3"/>
        <w:rPr>
          <w:rtl/>
        </w:rPr>
      </w:pPr>
      <w:bookmarkStart w:id="2649" w:name="_Toc522810056"/>
      <w:bookmarkStart w:id="2650" w:name="_Toc19389353"/>
      <w:bookmarkStart w:id="2651" w:name="_Toc19392850"/>
      <w:r>
        <w:rPr>
          <w:rFonts w:hint="cs"/>
          <w:rtl/>
        </w:rPr>
        <w:t>דברי הקוה"ע דבדרוסה אם היה ספק השקול היה חזקת הגוף שלא נולדה דרוסה</w:t>
      </w:r>
      <w:bookmarkEnd w:id="2649"/>
      <w:bookmarkEnd w:id="2650"/>
      <w:bookmarkEnd w:id="2651"/>
    </w:p>
    <w:p w14:paraId="3E4E5504" w14:textId="77777777" w:rsidR="00852065" w:rsidRPr="004A6EE7" w:rsidRDefault="00852065" w:rsidP="00223668">
      <w:pPr>
        <w:pStyle w:val="a0"/>
        <w:rPr>
          <w:rtl/>
        </w:rPr>
      </w:pPr>
      <w:r>
        <w:rPr>
          <w:rFonts w:hint="cs"/>
          <w:rtl/>
        </w:rPr>
        <w:t xml:space="preserve">אלא ביאר </w:t>
      </w:r>
      <w:r w:rsidRPr="00E504BD">
        <w:rPr>
          <w:rStyle w:val="af9"/>
          <w:rFonts w:hint="cs"/>
          <w:rtl/>
        </w:rPr>
        <w:t>הקוה"ע</w:t>
      </w:r>
      <w:r>
        <w:rPr>
          <w:rFonts w:hint="cs"/>
          <w:rtl/>
        </w:rPr>
        <w:t xml:space="preserve"> דס"ל </w:t>
      </w:r>
      <w:r w:rsidRPr="00E504BD">
        <w:rPr>
          <w:rStyle w:val="af9"/>
          <w:rFonts w:hint="cs"/>
          <w:rtl/>
        </w:rPr>
        <w:t>להתוס' ביבמות</w:t>
      </w:r>
      <w:r>
        <w:rPr>
          <w:rFonts w:hint="cs"/>
          <w:rtl/>
        </w:rPr>
        <w:t xml:space="preserve"> דאם היה בספק דרוסה ספק השקול,  והאיסור לא היה שכיח הייתה מותרת, כיון שיש לה חזקת הגוף שלא נולדה דרוסה</w:t>
      </w:r>
      <w:r w:rsidRPr="00D95D15">
        <w:rPr>
          <w:rFonts w:hint="cs"/>
          <w:rtl/>
        </w:rPr>
        <w:t xml:space="preserve"> </w:t>
      </w:r>
      <w:r>
        <w:rPr>
          <w:rFonts w:hint="cs"/>
          <w:rtl/>
        </w:rPr>
        <w:t xml:space="preserve">[כדכתב </w:t>
      </w:r>
      <w:r w:rsidRPr="0034636B">
        <w:rPr>
          <w:rStyle w:val="af9"/>
          <w:rFonts w:hint="cs"/>
          <w:rtl/>
        </w:rPr>
        <w:t>התבו"ש</w:t>
      </w:r>
      <w:r>
        <w:rPr>
          <w:rFonts w:hint="cs"/>
          <w:rtl/>
        </w:rPr>
        <w:t xml:space="preserve"> </w:t>
      </w:r>
      <w:r w:rsidRPr="00D95D15">
        <w:rPr>
          <w:rStyle w:val="af7"/>
          <w:rFonts w:eastAsia="Guttman Hodes" w:hint="cs"/>
          <w:rtl/>
        </w:rPr>
        <w:t xml:space="preserve">(עי' אות </w:t>
      </w:r>
      <w:r w:rsidRPr="00D95D15">
        <w:rPr>
          <w:rStyle w:val="af7"/>
          <w:rFonts w:eastAsia="Guttman Hodes"/>
          <w:rtl/>
        </w:rPr>
        <w:fldChar w:fldCharType="begin"/>
      </w:r>
      <w:r w:rsidRPr="00D95D15">
        <w:rPr>
          <w:rStyle w:val="af7"/>
          <w:rFonts w:eastAsia="Guttman Hodes"/>
          <w:rtl/>
        </w:rPr>
        <w:instrText xml:space="preserve"> </w:instrText>
      </w:r>
      <w:r w:rsidRPr="00D95D15">
        <w:rPr>
          <w:rStyle w:val="af7"/>
          <w:rFonts w:eastAsia="Guttman Hodes" w:hint="cs"/>
        </w:rPr>
        <w:instrText>REF</w:instrText>
      </w:r>
      <w:r w:rsidRPr="00D95D15">
        <w:rPr>
          <w:rStyle w:val="af7"/>
          <w:rFonts w:eastAsia="Guttman Hodes" w:hint="cs"/>
          <w:rtl/>
        </w:rPr>
        <w:instrText xml:space="preserve"> _</w:instrText>
      </w:r>
      <w:r w:rsidRPr="00D95D15">
        <w:rPr>
          <w:rStyle w:val="af7"/>
          <w:rFonts w:eastAsia="Guttman Hodes" w:hint="cs"/>
        </w:rPr>
        <w:instrText>Ref522479155 \r \h</w:instrText>
      </w:r>
      <w:r w:rsidRPr="00D95D15">
        <w:rPr>
          <w:rStyle w:val="af7"/>
          <w:rFonts w:eastAsia="Guttman Hodes"/>
          <w:rtl/>
        </w:rPr>
        <w:instrText xml:space="preserve"> </w:instrText>
      </w:r>
      <w:r w:rsidRPr="00D95D15">
        <w:rPr>
          <w:rStyle w:val="af7"/>
          <w:rFonts w:eastAsia="Guttman Hodes"/>
          <w:rtl/>
        </w:rPr>
      </w:r>
      <w:r w:rsidRPr="00D95D15">
        <w:rPr>
          <w:rStyle w:val="af7"/>
          <w:rFonts w:eastAsia="Guttman Hodes"/>
          <w:rtl/>
        </w:rPr>
        <w:fldChar w:fldCharType="separate"/>
      </w:r>
      <w:r w:rsidR="00345400">
        <w:rPr>
          <w:rStyle w:val="af7"/>
          <w:rFonts w:eastAsia="Guttman Hodes"/>
          <w:cs/>
        </w:rPr>
        <w:t>‎</w:t>
      </w:r>
      <w:r w:rsidR="00345400">
        <w:rPr>
          <w:rStyle w:val="af7"/>
          <w:rFonts w:eastAsia="Guttman Hodes"/>
          <w:rtl/>
        </w:rPr>
        <w:t>פה)</w:t>
      </w:r>
      <w:r w:rsidRPr="00D95D15">
        <w:rPr>
          <w:rStyle w:val="af7"/>
          <w:rFonts w:eastAsia="Guttman Hodes"/>
          <w:rtl/>
        </w:rPr>
        <w:fldChar w:fldCharType="end"/>
      </w:r>
      <w:r>
        <w:rPr>
          <w:rFonts w:hint="cs"/>
          <w:rtl/>
        </w:rPr>
        <w:t>], וחזקה זו היא חזקה המבררת.</w:t>
      </w:r>
    </w:p>
    <w:p w14:paraId="5E2057D0" w14:textId="77777777" w:rsidR="00852065" w:rsidRDefault="00852065" w:rsidP="006D6D32">
      <w:pPr>
        <w:pStyle w:val="a3"/>
        <w:rPr>
          <w:rtl/>
        </w:rPr>
      </w:pPr>
      <w:bookmarkStart w:id="2652" w:name="_Toc522810057"/>
      <w:bookmarkStart w:id="2653" w:name="_Toc19389354"/>
      <w:bookmarkStart w:id="2654" w:name="_Toc19392851"/>
      <w:r>
        <w:rPr>
          <w:rFonts w:hint="cs"/>
          <w:rtl/>
        </w:rPr>
        <w:t>דברי הקוע"ה דלתוס' במים במוח אסורה דלא נתבררה החזקה ואין חזקת הגוף</w:t>
      </w:r>
      <w:bookmarkEnd w:id="2652"/>
      <w:bookmarkEnd w:id="2653"/>
      <w:bookmarkEnd w:id="2654"/>
    </w:p>
    <w:p w14:paraId="19D5ACD8" w14:textId="77777777" w:rsidR="00852065" w:rsidRDefault="00852065" w:rsidP="00223668">
      <w:pPr>
        <w:pStyle w:val="a0"/>
      </w:pPr>
      <w:r>
        <w:rPr>
          <w:rFonts w:hint="cs"/>
          <w:rtl/>
        </w:rPr>
        <w:t xml:space="preserve">וכתב </w:t>
      </w:r>
      <w:r w:rsidRPr="00B0505B">
        <w:rPr>
          <w:rStyle w:val="af9"/>
          <w:rFonts w:hint="cs"/>
          <w:rtl/>
        </w:rPr>
        <w:t>הקוה"ע</w:t>
      </w:r>
      <w:r>
        <w:rPr>
          <w:rFonts w:hint="cs"/>
          <w:rtl/>
        </w:rPr>
        <w:t xml:space="preserve"> דלפי"ז בנדון של </w:t>
      </w:r>
      <w:r w:rsidRPr="00B0505B">
        <w:rPr>
          <w:rStyle w:val="af9"/>
          <w:rFonts w:hint="cs"/>
          <w:rtl/>
        </w:rPr>
        <w:t>הדרכ"מ</w:t>
      </w:r>
      <w:r>
        <w:rPr>
          <w:rFonts w:hint="cs"/>
          <w:rtl/>
        </w:rPr>
        <w:t xml:space="preserve"> </w:t>
      </w:r>
      <w:r w:rsidRPr="006C3385">
        <w:rPr>
          <w:rStyle w:val="af7"/>
          <w:rFonts w:eastAsia="Guttman Hodes" w:hint="cs"/>
          <w:rtl/>
        </w:rPr>
        <w:t xml:space="preserve">(עי' אות </w:t>
      </w:r>
      <w:r w:rsidRPr="006C3385">
        <w:rPr>
          <w:rStyle w:val="af7"/>
          <w:rFonts w:eastAsia="Guttman Hodes"/>
          <w:rtl/>
        </w:rPr>
        <w:fldChar w:fldCharType="begin"/>
      </w:r>
      <w:r w:rsidRPr="006C3385">
        <w:rPr>
          <w:rStyle w:val="af7"/>
          <w:rFonts w:eastAsia="Guttman Hodes"/>
          <w:rtl/>
        </w:rPr>
        <w:instrText xml:space="preserve"> </w:instrText>
      </w:r>
      <w:r w:rsidRPr="006C3385">
        <w:rPr>
          <w:rStyle w:val="af7"/>
          <w:rFonts w:eastAsia="Guttman Hodes" w:hint="cs"/>
        </w:rPr>
        <w:instrText>REF</w:instrText>
      </w:r>
      <w:r w:rsidRPr="006C3385">
        <w:rPr>
          <w:rStyle w:val="af7"/>
          <w:rFonts w:eastAsia="Guttman Hodes" w:hint="cs"/>
          <w:rtl/>
        </w:rPr>
        <w:instrText xml:space="preserve"> _</w:instrText>
      </w:r>
      <w:r w:rsidRPr="006C3385">
        <w:rPr>
          <w:rStyle w:val="af7"/>
          <w:rFonts w:eastAsia="Guttman Hodes" w:hint="cs"/>
        </w:rPr>
        <w:instrText>Ref522527197 \r \h</w:instrText>
      </w:r>
      <w:r w:rsidRPr="006C3385">
        <w:rPr>
          <w:rStyle w:val="af7"/>
          <w:rFonts w:eastAsia="Guttman Hodes"/>
          <w:rtl/>
        </w:rPr>
        <w:instrText xml:space="preserve"> </w:instrText>
      </w:r>
      <w:r w:rsidRPr="006C3385">
        <w:rPr>
          <w:rStyle w:val="af7"/>
          <w:rFonts w:eastAsia="Guttman Hodes"/>
          <w:rtl/>
        </w:rPr>
      </w:r>
      <w:r w:rsidRPr="006C3385">
        <w:rPr>
          <w:rStyle w:val="af7"/>
          <w:rFonts w:eastAsia="Guttman Hodes"/>
          <w:rtl/>
        </w:rPr>
        <w:fldChar w:fldCharType="separate"/>
      </w:r>
      <w:r w:rsidR="00345400">
        <w:rPr>
          <w:rStyle w:val="af7"/>
          <w:rFonts w:eastAsia="Guttman Hodes"/>
          <w:cs/>
        </w:rPr>
        <w:t>‎</w:t>
      </w:r>
      <w:r w:rsidR="00345400">
        <w:rPr>
          <w:rStyle w:val="af7"/>
          <w:rFonts w:eastAsia="Guttman Hodes"/>
          <w:rtl/>
        </w:rPr>
        <w:t>עח)</w:t>
      </w:r>
      <w:r w:rsidRPr="006C3385">
        <w:rPr>
          <w:rStyle w:val="af7"/>
          <w:rFonts w:eastAsia="Guttman Hodes"/>
          <w:rtl/>
        </w:rPr>
        <w:fldChar w:fldCharType="end"/>
      </w:r>
      <w:r>
        <w:rPr>
          <w:rFonts w:hint="cs"/>
          <w:rtl/>
        </w:rPr>
        <w:t xml:space="preserve"> בנמצאו מים במוח, לדעת </w:t>
      </w:r>
      <w:r w:rsidRPr="00B0505B">
        <w:rPr>
          <w:rStyle w:val="af9"/>
          <w:rFonts w:hint="cs"/>
          <w:rtl/>
        </w:rPr>
        <w:t>התוס' לקמן</w:t>
      </w:r>
      <w:r>
        <w:rPr>
          <w:rFonts w:hint="cs"/>
          <w:rtl/>
        </w:rPr>
        <w:t xml:space="preserve"> </w:t>
      </w:r>
      <w:r w:rsidRPr="006C3385">
        <w:rPr>
          <w:rStyle w:val="af7"/>
          <w:rFonts w:eastAsia="Guttman Hodes" w:hint="cs"/>
          <w:rtl/>
        </w:rPr>
        <w:t xml:space="preserve">(עי' אות </w:t>
      </w:r>
      <w:r w:rsidRPr="006C3385">
        <w:rPr>
          <w:rStyle w:val="af7"/>
          <w:rFonts w:eastAsia="Guttman Hodes"/>
          <w:rtl/>
        </w:rPr>
        <w:fldChar w:fldCharType="begin"/>
      </w:r>
      <w:r w:rsidRPr="006C3385">
        <w:rPr>
          <w:rStyle w:val="af7"/>
          <w:rFonts w:eastAsia="Guttman Hodes"/>
          <w:rtl/>
        </w:rPr>
        <w:instrText xml:space="preserve"> </w:instrText>
      </w:r>
      <w:r w:rsidRPr="006C3385">
        <w:rPr>
          <w:rStyle w:val="af7"/>
          <w:rFonts w:eastAsia="Guttman Hodes" w:hint="cs"/>
        </w:rPr>
        <w:instrText>REF</w:instrText>
      </w:r>
      <w:r w:rsidRPr="006C3385">
        <w:rPr>
          <w:rStyle w:val="af7"/>
          <w:rFonts w:eastAsia="Guttman Hodes" w:hint="cs"/>
          <w:rtl/>
        </w:rPr>
        <w:instrText xml:space="preserve"> _</w:instrText>
      </w:r>
      <w:r w:rsidRPr="006C3385">
        <w:rPr>
          <w:rStyle w:val="af7"/>
          <w:rFonts w:eastAsia="Guttman Hodes" w:hint="cs"/>
        </w:rPr>
        <w:instrText>Ref522443050 \r \h</w:instrText>
      </w:r>
      <w:r w:rsidRPr="006C3385">
        <w:rPr>
          <w:rStyle w:val="af7"/>
          <w:rFonts w:eastAsia="Guttman Hodes"/>
          <w:rtl/>
        </w:rPr>
        <w:instrText xml:space="preserve"> </w:instrText>
      </w:r>
      <w:r w:rsidRPr="006C3385">
        <w:rPr>
          <w:rStyle w:val="af7"/>
          <w:rFonts w:eastAsia="Guttman Hodes"/>
          <w:rtl/>
        </w:rPr>
      </w:r>
      <w:r w:rsidRPr="006C3385">
        <w:rPr>
          <w:rStyle w:val="af7"/>
          <w:rFonts w:eastAsia="Guttman Hodes"/>
          <w:rtl/>
        </w:rPr>
        <w:fldChar w:fldCharType="separate"/>
      </w:r>
      <w:r w:rsidR="00345400">
        <w:rPr>
          <w:rStyle w:val="af7"/>
          <w:rFonts w:eastAsia="Guttman Hodes"/>
          <w:cs/>
        </w:rPr>
        <w:t>‎</w:t>
      </w:r>
      <w:r w:rsidR="00345400">
        <w:rPr>
          <w:rStyle w:val="af7"/>
          <w:rFonts w:eastAsia="Guttman Hodes"/>
          <w:rtl/>
        </w:rPr>
        <w:t>י)</w:t>
      </w:r>
      <w:r w:rsidRPr="006C3385">
        <w:rPr>
          <w:rStyle w:val="af7"/>
          <w:rFonts w:eastAsia="Guttman Hodes"/>
          <w:rtl/>
        </w:rPr>
        <w:fldChar w:fldCharType="end"/>
      </w:r>
      <w:r>
        <w:rPr>
          <w:rFonts w:hint="cs"/>
          <w:rtl/>
        </w:rPr>
        <w:t xml:space="preserve"> דחזקה שלא נתבררה בשעתה אינה חזקה, א"כ אין לה לא חזקת היתר </w:t>
      </w:r>
      <w:r w:rsidRPr="009B7433">
        <w:rPr>
          <w:rFonts w:hint="cs"/>
          <w:rtl/>
        </w:rPr>
        <w:t>ולא חזקת הגוף דהא יתכן שנולדה כן</w:t>
      </w:r>
      <w:r>
        <w:rPr>
          <w:rFonts w:hint="cs"/>
          <w:rtl/>
        </w:rPr>
        <w:t>.</w:t>
      </w:r>
    </w:p>
    <w:p w14:paraId="35548B9F" w14:textId="77777777" w:rsidR="00852065" w:rsidRDefault="00852065" w:rsidP="00BF39B2">
      <w:pPr>
        <w:pStyle w:val="1"/>
        <w:rPr>
          <w:rtl/>
        </w:rPr>
      </w:pPr>
      <w:bookmarkStart w:id="2655" w:name="_Toc522618804"/>
      <w:bookmarkStart w:id="2656" w:name="_Toc522790327"/>
      <w:bookmarkStart w:id="2657" w:name="_Toc522800826"/>
      <w:bookmarkStart w:id="2658" w:name="_Toc522800934"/>
      <w:bookmarkStart w:id="2659" w:name="_Toc522810058"/>
      <w:bookmarkStart w:id="2660" w:name="_Toc19389355"/>
      <w:bookmarkStart w:id="2661" w:name="_Toc19392852"/>
      <w:r>
        <w:rPr>
          <w:rFonts w:hint="cs"/>
          <w:rtl/>
        </w:rPr>
        <w:t>הביאור הא' בקוה"ע בדעת הרשב"א דע"י הרוב יש לה חזקה</w:t>
      </w:r>
      <w:bookmarkEnd w:id="2655"/>
      <w:bookmarkEnd w:id="2656"/>
      <w:bookmarkEnd w:id="2657"/>
      <w:bookmarkEnd w:id="2658"/>
      <w:bookmarkEnd w:id="2659"/>
      <w:bookmarkEnd w:id="2660"/>
      <w:bookmarkEnd w:id="2661"/>
    </w:p>
    <w:p w14:paraId="077D3299" w14:textId="77777777" w:rsidR="00852065" w:rsidRPr="006C72C1" w:rsidRDefault="00852065" w:rsidP="006D6D32">
      <w:pPr>
        <w:pStyle w:val="a3"/>
      </w:pPr>
      <w:bookmarkStart w:id="2662" w:name="_Toc522810059"/>
      <w:bookmarkStart w:id="2663" w:name="_Toc19389356"/>
      <w:bookmarkStart w:id="2664" w:name="_Toc19392853"/>
      <w:r>
        <w:rPr>
          <w:rFonts w:hint="cs"/>
          <w:rtl/>
        </w:rPr>
        <w:t>דברי הקוה"ע דלהרשב"א שהתיר בגבינות ע"י חזקה מכח רוב אף בנמצאו מים במוח</w:t>
      </w:r>
      <w:r w:rsidRPr="00D8447D">
        <w:rPr>
          <w:rFonts w:hint="cs"/>
          <w:rtl/>
        </w:rPr>
        <w:t xml:space="preserve"> </w:t>
      </w:r>
      <w:r>
        <w:rPr>
          <w:rFonts w:hint="cs"/>
          <w:rtl/>
        </w:rPr>
        <w:t>מותר</w:t>
      </w:r>
      <w:bookmarkEnd w:id="2662"/>
      <w:bookmarkEnd w:id="2663"/>
      <w:bookmarkEnd w:id="2664"/>
    </w:p>
    <w:p w14:paraId="690AD745" w14:textId="77777777" w:rsidR="00852065" w:rsidRDefault="00852065" w:rsidP="00223668">
      <w:pPr>
        <w:pStyle w:val="a0"/>
        <w:rPr>
          <w:rtl/>
        </w:rPr>
      </w:pPr>
      <w:r w:rsidRPr="009B7433">
        <w:rPr>
          <w:rFonts w:hint="cs"/>
          <w:rtl/>
        </w:rPr>
        <w:t xml:space="preserve">אבל לדעת </w:t>
      </w:r>
      <w:r w:rsidRPr="009B7433">
        <w:rPr>
          <w:rStyle w:val="af9"/>
          <w:rFonts w:hint="cs"/>
          <w:rtl/>
        </w:rPr>
        <w:t>הר</w:t>
      </w:r>
      <w:r>
        <w:rPr>
          <w:rStyle w:val="af9"/>
          <w:rFonts w:hint="cs"/>
          <w:rtl/>
        </w:rPr>
        <w:t>שב"</w:t>
      </w:r>
      <w:r w:rsidRPr="009B7433">
        <w:rPr>
          <w:rStyle w:val="af9"/>
          <w:rFonts w:hint="cs"/>
          <w:rtl/>
        </w:rPr>
        <w:t>א</w:t>
      </w:r>
      <w:r w:rsidRPr="009B7433">
        <w:rPr>
          <w:rFonts w:hint="cs"/>
          <w:rtl/>
        </w:rPr>
        <w:t xml:space="preserve"> </w:t>
      </w:r>
      <w:r w:rsidRPr="009B7433">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Ref522463594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Pr>
          <w:rStyle w:val="af7"/>
          <w:rFonts w:eastAsia="Guttman Hodes"/>
          <w:rtl/>
        </w:rPr>
        <w:fldChar w:fldCharType="end"/>
      </w:r>
      <w:r>
        <w:rPr>
          <w:rStyle w:val="af7"/>
          <w:rFonts w:eastAsia="Guttman Hodes" w:hint="cs"/>
          <w:rtl/>
        </w:rPr>
        <w:t xml:space="preserve"> </w:t>
      </w:r>
      <w:r w:rsidRPr="009B7433">
        <w:rPr>
          <w:rFonts w:hint="cs"/>
          <w:rtl/>
        </w:rPr>
        <w:t xml:space="preserve">דהתיר בגבינות מחמת חזקה מכח הרוב, </w:t>
      </w:r>
      <w:r>
        <w:rPr>
          <w:rFonts w:hint="cs"/>
          <w:rtl/>
        </w:rPr>
        <w:t xml:space="preserve">כתב </w:t>
      </w:r>
      <w:r w:rsidRPr="006C72C1">
        <w:rPr>
          <w:rStyle w:val="af9"/>
          <w:rFonts w:hint="cs"/>
          <w:rtl/>
        </w:rPr>
        <w:t>הקוה"ע</w:t>
      </w:r>
      <w:r>
        <w:rPr>
          <w:rFonts w:hint="cs"/>
          <w:rtl/>
        </w:rPr>
        <w:t xml:space="preserve"> ד</w:t>
      </w:r>
      <w:r w:rsidRPr="009B7433">
        <w:rPr>
          <w:rFonts w:hint="cs"/>
          <w:rtl/>
        </w:rPr>
        <w:t>ה"ה בנמצאו מים במוח דיש לה חזקת היתר שאינה טריפה מכח הרוב, דרוב בהמות אינם</w:t>
      </w:r>
      <w:r>
        <w:rPr>
          <w:rFonts w:hint="cs"/>
          <w:rtl/>
        </w:rPr>
        <w:t xml:space="preserve"> טריפות.</w:t>
      </w:r>
    </w:p>
    <w:p w14:paraId="5FF15B0A" w14:textId="77777777" w:rsidR="00852065" w:rsidRDefault="00852065" w:rsidP="006D6D32">
      <w:pPr>
        <w:pStyle w:val="a3"/>
        <w:rPr>
          <w:rtl/>
        </w:rPr>
      </w:pPr>
      <w:bookmarkStart w:id="2665" w:name="_Toc522810060"/>
      <w:bookmarkStart w:id="2666" w:name="_Toc19389357"/>
      <w:bookmarkStart w:id="2667" w:name="_Toc19392854"/>
      <w:r>
        <w:rPr>
          <w:rFonts w:hint="cs"/>
          <w:rtl/>
        </w:rPr>
        <w:t>הביאור הא' בקוה"ע ברשב"א דע"י הרוב חשיב שיש עדים שהבהמה כשרה ונתבררה החזקה</w:t>
      </w:r>
      <w:bookmarkEnd w:id="2665"/>
      <w:bookmarkEnd w:id="2666"/>
      <w:bookmarkEnd w:id="2667"/>
    </w:p>
    <w:p w14:paraId="493E7AD4" w14:textId="77777777" w:rsidR="00852065" w:rsidRDefault="00852065" w:rsidP="00223668">
      <w:pPr>
        <w:pStyle w:val="a0"/>
        <w:rPr>
          <w:rtl/>
        </w:rPr>
      </w:pPr>
      <w:r>
        <w:rPr>
          <w:rFonts w:hint="cs"/>
          <w:rtl/>
        </w:rPr>
        <w:t xml:space="preserve">וכתב </w:t>
      </w:r>
      <w:r w:rsidRPr="00BA0786">
        <w:rPr>
          <w:rStyle w:val="af9"/>
          <w:rFonts w:hint="cs"/>
          <w:rtl/>
        </w:rPr>
        <w:t xml:space="preserve">הקוה"ע </w:t>
      </w:r>
      <w:r w:rsidRPr="004661F7">
        <w:rPr>
          <w:rStyle w:val="af7"/>
          <w:rFonts w:eastAsia="Guttman Hodes" w:hint="cs"/>
          <w:rtl/>
        </w:rPr>
        <w:t>(כ"ח ד')</w:t>
      </w:r>
      <w:r>
        <w:rPr>
          <w:rFonts w:hint="cs"/>
          <w:rtl/>
        </w:rPr>
        <w:t xml:space="preserve"> דבדעת </w:t>
      </w:r>
      <w:r w:rsidRPr="004661F7">
        <w:rPr>
          <w:rStyle w:val="af9"/>
          <w:rFonts w:hint="cs"/>
          <w:rtl/>
        </w:rPr>
        <w:t>הרשב"א</w:t>
      </w:r>
      <w:r>
        <w:rPr>
          <w:rFonts w:hint="cs"/>
          <w:rtl/>
        </w:rPr>
        <w:t xml:space="preserve"> אפשר לבאר בב' אופנים, והביאור הראשון הוא דכיון שעכשיו כבר עברו עליה י"ב חודש משעה שנולדה, היא בחזקת כשרה דודאי שלא נולדה טריפה, אלא דשבשעה שנולדה עדיין לא נתבררה החזקה, וע"ז אמר </w:t>
      </w:r>
      <w:r w:rsidRPr="00CF4131">
        <w:rPr>
          <w:rStyle w:val="af9"/>
          <w:rFonts w:hint="cs"/>
          <w:rtl/>
        </w:rPr>
        <w:t>הרשב"א</w:t>
      </w:r>
      <w:r>
        <w:rPr>
          <w:rFonts w:hint="cs"/>
          <w:rtl/>
        </w:rPr>
        <w:t xml:space="preserve"> דכיון שיש רוב בהמות כשרות ואין בה ריעותא, חשיב כאילו יש עדים שהעידו בשעת לידתה שהיא כשרה, וממילא החזקה נתבררה בשעתה ע"י הרוב, וא"כ ההיתר של הבהמה הוא מדין חזקה ולא מדין רוב.</w:t>
      </w:r>
    </w:p>
    <w:p w14:paraId="7CFAFBF1" w14:textId="77777777" w:rsidR="00852065" w:rsidRPr="003B7E00" w:rsidRDefault="00852065" w:rsidP="006D6D32">
      <w:pPr>
        <w:pStyle w:val="a3"/>
        <w:rPr>
          <w:rtl/>
        </w:rPr>
      </w:pPr>
      <w:bookmarkStart w:id="2668" w:name="_Toc522810061"/>
      <w:bookmarkStart w:id="2669" w:name="_Toc19389358"/>
      <w:bookmarkStart w:id="2670" w:name="_Toc19392855"/>
      <w:r>
        <w:rPr>
          <w:rFonts w:hint="cs"/>
          <w:rtl/>
        </w:rPr>
        <w:t>דברי הקוה"ע דלפי"ז הרשב"א התיר בגבינות רק בבהמה בת יותר מי"ב חודש</w:t>
      </w:r>
      <w:bookmarkEnd w:id="2668"/>
      <w:bookmarkEnd w:id="2669"/>
      <w:bookmarkEnd w:id="2670"/>
    </w:p>
    <w:p w14:paraId="43A04017" w14:textId="77777777" w:rsidR="00852065" w:rsidRDefault="00852065" w:rsidP="00223668">
      <w:pPr>
        <w:pStyle w:val="a0"/>
        <w:rPr>
          <w:rStyle w:val="afb"/>
          <w:rtl/>
        </w:rPr>
      </w:pPr>
      <w:r>
        <w:rPr>
          <w:rFonts w:hint="cs"/>
          <w:rtl/>
        </w:rPr>
        <w:t xml:space="preserve">אך כתב </w:t>
      </w:r>
      <w:r w:rsidRPr="004661F7">
        <w:rPr>
          <w:rStyle w:val="af9"/>
          <w:rFonts w:hint="cs"/>
          <w:rtl/>
        </w:rPr>
        <w:t>הקוה"ע</w:t>
      </w:r>
      <w:r>
        <w:rPr>
          <w:rFonts w:hint="cs"/>
          <w:rtl/>
        </w:rPr>
        <w:t xml:space="preserve"> דלפי ביאור זה בבהמה שהיא פחותה מבת י"ב חודש, דאין לה חזקה, א"א להתירה מדין רוב בלבד, דהרוב מתיר רק כשיש ספק טריפה, אבל בודאי טריפה והספק הוא מתי נטרפה לא מהני הרוב להתיר את הגבינות. </w:t>
      </w:r>
      <w:r w:rsidRPr="00B73161">
        <w:rPr>
          <w:rStyle w:val="afb"/>
          <w:rFonts w:hint="cs"/>
          <w:rtl/>
        </w:rPr>
        <w:t xml:space="preserve">[ועי' </w:t>
      </w:r>
      <w:r w:rsidRPr="00B73161">
        <w:rPr>
          <w:rStyle w:val="affa"/>
          <w:rFonts w:hint="cs"/>
          <w:rtl/>
        </w:rPr>
        <w:t>ברא"ש</w:t>
      </w:r>
      <w:r w:rsidRPr="00B73161">
        <w:rPr>
          <w:rStyle w:val="afb"/>
          <w:rFonts w:hint="cs"/>
          <w:rtl/>
        </w:rPr>
        <w:t xml:space="preserve"> </w:t>
      </w:r>
      <w:r w:rsidRPr="00B73161">
        <w:rPr>
          <w:rStyle w:val="aff6"/>
          <w:rFonts w:hint="cs"/>
          <w:rtl/>
        </w:rPr>
        <w:t xml:space="preserve">(עי' אות </w:t>
      </w:r>
      <w:r w:rsidRPr="00B73161">
        <w:rPr>
          <w:rStyle w:val="aff6"/>
          <w:rtl/>
        </w:rPr>
        <w:fldChar w:fldCharType="begin"/>
      </w:r>
      <w:r w:rsidRPr="00B73161">
        <w:rPr>
          <w:rStyle w:val="aff6"/>
          <w:rtl/>
        </w:rPr>
        <w:instrText xml:space="preserve"> </w:instrText>
      </w:r>
      <w:r w:rsidRPr="00B73161">
        <w:rPr>
          <w:rStyle w:val="aff6"/>
          <w:rFonts w:hint="cs"/>
        </w:rPr>
        <w:instrText>REF</w:instrText>
      </w:r>
      <w:r w:rsidRPr="00B73161">
        <w:rPr>
          <w:rStyle w:val="aff6"/>
          <w:rFonts w:hint="cs"/>
          <w:rtl/>
        </w:rPr>
        <w:instrText xml:space="preserve"> _</w:instrText>
      </w:r>
      <w:r w:rsidRPr="00B73161">
        <w:rPr>
          <w:rStyle w:val="aff6"/>
          <w:rFonts w:hint="cs"/>
        </w:rPr>
        <w:instrText>Ref522611646 \r \h</w:instrText>
      </w:r>
      <w:r w:rsidRPr="00B73161">
        <w:rPr>
          <w:rStyle w:val="aff6"/>
          <w:rtl/>
        </w:rPr>
        <w:instrText xml:space="preserve"> </w:instrText>
      </w:r>
      <w:r w:rsidRPr="00B73161">
        <w:rPr>
          <w:rStyle w:val="aff6"/>
          <w:rtl/>
        </w:rPr>
      </w:r>
      <w:r w:rsidRPr="00B73161">
        <w:rPr>
          <w:rStyle w:val="aff6"/>
          <w:rtl/>
        </w:rPr>
        <w:fldChar w:fldCharType="separate"/>
      </w:r>
      <w:r w:rsidR="00345400">
        <w:rPr>
          <w:rStyle w:val="aff6"/>
          <w:cs/>
        </w:rPr>
        <w:t>‎</w:t>
      </w:r>
      <w:r w:rsidR="00345400">
        <w:rPr>
          <w:rStyle w:val="aff6"/>
          <w:rtl/>
        </w:rPr>
        <w:t>טז)</w:t>
      </w:r>
      <w:r w:rsidRPr="00B73161">
        <w:rPr>
          <w:rStyle w:val="aff6"/>
          <w:rtl/>
        </w:rPr>
        <w:fldChar w:fldCharType="end"/>
      </w:r>
      <w:r w:rsidRPr="00B73161">
        <w:rPr>
          <w:rStyle w:val="afb"/>
          <w:rFonts w:hint="cs"/>
          <w:rtl/>
        </w:rPr>
        <w:t xml:space="preserve"> דכתב דאפילו בתוך שנתה מותרת].</w:t>
      </w:r>
    </w:p>
    <w:p w14:paraId="75C78FCA" w14:textId="77777777" w:rsidR="00EC5FFC" w:rsidRPr="00EC5FFC" w:rsidRDefault="00EC5FFC" w:rsidP="00EC5FFC">
      <w:pPr>
        <w:pStyle w:val="a3"/>
        <w:rPr>
          <w:rtl/>
        </w:rPr>
      </w:pPr>
    </w:p>
    <w:p w14:paraId="03E425A2" w14:textId="77777777" w:rsidR="00852065" w:rsidRDefault="00852065" w:rsidP="006D6D32">
      <w:pPr>
        <w:pStyle w:val="a3"/>
        <w:rPr>
          <w:rtl/>
        </w:rPr>
      </w:pPr>
      <w:bookmarkStart w:id="2671" w:name="_Toc522810062"/>
      <w:bookmarkStart w:id="2672" w:name="_Toc19389359"/>
      <w:bookmarkStart w:id="2673" w:name="_Toc19392856"/>
      <w:r>
        <w:rPr>
          <w:rFonts w:hint="cs"/>
          <w:rtl/>
        </w:rPr>
        <w:t>דברי הקוה"ע דלפי"ז בנמצאו מים במוח יש חזקה מכח רוב ויש לה חזקת היתר מחיים</w:t>
      </w:r>
      <w:bookmarkEnd w:id="2671"/>
      <w:bookmarkEnd w:id="2672"/>
      <w:bookmarkEnd w:id="2673"/>
    </w:p>
    <w:p w14:paraId="62846508" w14:textId="77777777" w:rsidR="00852065" w:rsidRPr="00541156" w:rsidRDefault="00852065" w:rsidP="00223668">
      <w:pPr>
        <w:pStyle w:val="a0"/>
        <w:rPr>
          <w:rtl/>
        </w:rPr>
      </w:pPr>
      <w:r>
        <w:rPr>
          <w:rFonts w:hint="cs"/>
          <w:rtl/>
        </w:rPr>
        <w:t xml:space="preserve">וכן בנמצא מים במוח, כתב </w:t>
      </w:r>
      <w:r w:rsidRPr="00541156">
        <w:rPr>
          <w:rStyle w:val="af9"/>
          <w:rFonts w:hint="cs"/>
          <w:rtl/>
        </w:rPr>
        <w:t>הקוה"ע</w:t>
      </w:r>
      <w:r>
        <w:rPr>
          <w:rFonts w:hint="cs"/>
          <w:rtl/>
        </w:rPr>
        <w:t xml:space="preserve"> דלפי"ז יש לה חזקה מכח רוב, דכיון שהיא בת יותר מי"ב חודש, וחשיב כאילו העידו עדים שודאי שנולה כשרה, ממילא אפשר להעמידה בחזקת כשרה שאינה טריפה, ויש לה חזקת היתר להבא דתהיה מותרת לכשתחשט, וכחזקה דרבה בצרת ערוה, דהיא עומדת להיות מותרת לשוק לכשימות בעלה.</w:t>
      </w:r>
    </w:p>
    <w:p w14:paraId="0C24D20E" w14:textId="77777777" w:rsidR="00852065" w:rsidRDefault="00852065" w:rsidP="00BF39B2">
      <w:pPr>
        <w:pStyle w:val="1"/>
        <w:rPr>
          <w:rtl/>
        </w:rPr>
      </w:pPr>
      <w:bookmarkStart w:id="2674" w:name="_Toc522618805"/>
      <w:bookmarkStart w:id="2675" w:name="_Toc522790328"/>
      <w:bookmarkStart w:id="2676" w:name="_Toc522800827"/>
      <w:bookmarkStart w:id="2677" w:name="_Toc522800935"/>
      <w:bookmarkStart w:id="2678" w:name="_Toc522810063"/>
      <w:bookmarkStart w:id="2679" w:name="_Toc19389360"/>
      <w:bookmarkStart w:id="2680" w:name="_Toc19392857"/>
      <w:r>
        <w:rPr>
          <w:rFonts w:hint="cs"/>
          <w:rtl/>
        </w:rPr>
        <w:t>הביאור הב' בקוה"ע בדעת הרשב"א דמותרת מדין רוב</w:t>
      </w:r>
      <w:bookmarkEnd w:id="2674"/>
      <w:bookmarkEnd w:id="2675"/>
      <w:bookmarkEnd w:id="2676"/>
      <w:bookmarkEnd w:id="2677"/>
      <w:bookmarkEnd w:id="2678"/>
      <w:bookmarkEnd w:id="2679"/>
      <w:bookmarkEnd w:id="2680"/>
    </w:p>
    <w:p w14:paraId="7B9B1702" w14:textId="77777777" w:rsidR="00852065" w:rsidRPr="007E33E8" w:rsidRDefault="00852065" w:rsidP="006D6D32">
      <w:pPr>
        <w:pStyle w:val="a3"/>
        <w:rPr>
          <w:rtl/>
        </w:rPr>
      </w:pPr>
      <w:bookmarkStart w:id="2681" w:name="_Toc522810064"/>
      <w:bookmarkStart w:id="2682" w:name="_Toc19389361"/>
      <w:bookmarkStart w:id="2683" w:name="_Toc19392858"/>
      <w:r>
        <w:rPr>
          <w:rFonts w:hint="cs"/>
          <w:rtl/>
        </w:rPr>
        <w:t>הביאור הב' בקוה"ע דהרשב"א התיר בגבינות מדין רוב ומחזיקין שבשעת החליבה היה רוב</w:t>
      </w:r>
      <w:bookmarkEnd w:id="2681"/>
      <w:bookmarkEnd w:id="2682"/>
      <w:bookmarkEnd w:id="2683"/>
    </w:p>
    <w:p w14:paraId="07CEA336" w14:textId="77777777" w:rsidR="00852065" w:rsidRDefault="00852065" w:rsidP="00223668">
      <w:pPr>
        <w:pStyle w:val="a0"/>
        <w:rPr>
          <w:rtl/>
        </w:rPr>
      </w:pPr>
      <w:r>
        <w:rPr>
          <w:rFonts w:hint="cs"/>
          <w:rtl/>
        </w:rPr>
        <w:t xml:space="preserve">ובאופן השני ביאר </w:t>
      </w:r>
      <w:r w:rsidRPr="004661F7">
        <w:rPr>
          <w:rStyle w:val="af9"/>
          <w:rFonts w:hint="cs"/>
          <w:rtl/>
        </w:rPr>
        <w:t>הקוה"ע</w:t>
      </w:r>
      <w:r>
        <w:rPr>
          <w:rFonts w:hint="cs"/>
          <w:rtl/>
        </w:rPr>
        <w:t xml:space="preserve"> בדעת </w:t>
      </w:r>
      <w:r w:rsidRPr="004661F7">
        <w:rPr>
          <w:rStyle w:val="af9"/>
          <w:rFonts w:hint="cs"/>
          <w:rtl/>
        </w:rPr>
        <w:t xml:space="preserve">הרשב"א </w:t>
      </w:r>
      <w:r>
        <w:rPr>
          <w:rFonts w:hint="cs"/>
          <w:rtl/>
        </w:rPr>
        <w:t xml:space="preserve">דההיתר בגבינות הוא מדין רוב בלבד, דאף שעכשיו יצאה מכלל הרוב, מ"מ כיון שהנדון הוא על שעת עשיית הגבינות, לכן מחזיקין שהייתה בכלל הרוב, וכתב </w:t>
      </w:r>
      <w:r w:rsidRPr="004661F7">
        <w:rPr>
          <w:rStyle w:val="af9"/>
          <w:rFonts w:hint="cs"/>
          <w:rtl/>
        </w:rPr>
        <w:t>הקוה"ע</w:t>
      </w:r>
      <w:r>
        <w:rPr>
          <w:rFonts w:hint="cs"/>
          <w:rtl/>
        </w:rPr>
        <w:t xml:space="preserve"> דכן משמע </w:t>
      </w:r>
      <w:r w:rsidRPr="004661F7">
        <w:rPr>
          <w:rStyle w:val="af9"/>
          <w:rFonts w:hint="cs"/>
          <w:rtl/>
        </w:rPr>
        <w:t>בדרכ"מ</w:t>
      </w:r>
      <w:r>
        <w:rPr>
          <w:rFonts w:hint="cs"/>
          <w:rtl/>
        </w:rPr>
        <w:t xml:space="preserve"> </w:t>
      </w:r>
      <w:r w:rsidRPr="004661F7">
        <w:rPr>
          <w:rStyle w:val="af7"/>
          <w:rFonts w:eastAsia="Guttman Hodes" w:hint="cs"/>
          <w:rtl/>
        </w:rPr>
        <w:t>(סי' א' סוס"ק י"א)</w:t>
      </w:r>
      <w:r>
        <w:rPr>
          <w:rFonts w:hint="cs"/>
          <w:rtl/>
        </w:rPr>
        <w:t xml:space="preserve"> עיי"ש.</w:t>
      </w:r>
    </w:p>
    <w:p w14:paraId="1D580F48" w14:textId="77777777" w:rsidR="00852065" w:rsidRPr="00E821F6" w:rsidRDefault="00852065" w:rsidP="006D6D32">
      <w:pPr>
        <w:pStyle w:val="a3"/>
      </w:pPr>
      <w:bookmarkStart w:id="2684" w:name="_Toc522810065"/>
      <w:bookmarkStart w:id="2685" w:name="_Toc19389362"/>
      <w:bookmarkStart w:id="2686" w:name="_Toc19392859"/>
      <w:r>
        <w:rPr>
          <w:rFonts w:hint="cs"/>
          <w:rtl/>
        </w:rPr>
        <w:t>דברי הקוה"ע דלביאור הב' אף בבהמה פחותה מי"ב חודש הגבינות מותרות</w:t>
      </w:r>
      <w:bookmarkEnd w:id="2684"/>
      <w:bookmarkEnd w:id="2685"/>
      <w:bookmarkEnd w:id="2686"/>
    </w:p>
    <w:p w14:paraId="564F0DA1" w14:textId="77777777" w:rsidR="00852065" w:rsidRPr="00531651" w:rsidRDefault="00852065" w:rsidP="00223668">
      <w:pPr>
        <w:pStyle w:val="a0"/>
        <w:rPr>
          <w:sz w:val="10"/>
          <w:szCs w:val="14"/>
          <w:rtl/>
        </w:rPr>
      </w:pPr>
      <w:r>
        <w:rPr>
          <w:rFonts w:hint="cs"/>
          <w:rtl/>
        </w:rPr>
        <w:t xml:space="preserve">וכתב </w:t>
      </w:r>
      <w:r w:rsidRPr="000B224E">
        <w:rPr>
          <w:rStyle w:val="af9"/>
          <w:rFonts w:hint="cs"/>
          <w:rtl/>
        </w:rPr>
        <w:t>הקוה"ע</w:t>
      </w:r>
      <w:r>
        <w:rPr>
          <w:rFonts w:hint="cs"/>
          <w:rtl/>
        </w:rPr>
        <w:t xml:space="preserve"> דלפי ביאור זה אף בבהמה שהיא פחותה מבת י"ב חודש, הגבינות מותרות, דההיתר הוא מדין רוב ולא מדין חזקה. </w:t>
      </w:r>
      <w:r w:rsidRPr="00B73161">
        <w:rPr>
          <w:rStyle w:val="afb"/>
          <w:rFonts w:hint="cs"/>
          <w:rtl/>
        </w:rPr>
        <w:t xml:space="preserve">[ועי' </w:t>
      </w:r>
      <w:r w:rsidRPr="00B73161">
        <w:rPr>
          <w:rStyle w:val="affa"/>
          <w:rFonts w:hint="cs"/>
          <w:rtl/>
        </w:rPr>
        <w:t>ברא"ש</w:t>
      </w:r>
      <w:r w:rsidRPr="00B73161">
        <w:rPr>
          <w:rStyle w:val="afb"/>
          <w:rFonts w:hint="cs"/>
          <w:rtl/>
        </w:rPr>
        <w:t xml:space="preserve"> </w:t>
      </w:r>
      <w:r w:rsidRPr="00B73161">
        <w:rPr>
          <w:rStyle w:val="aff6"/>
          <w:rFonts w:hint="cs"/>
          <w:rtl/>
        </w:rPr>
        <w:t xml:space="preserve">(עי' אות </w:t>
      </w:r>
      <w:r w:rsidRPr="00B73161">
        <w:rPr>
          <w:rStyle w:val="aff6"/>
          <w:rtl/>
        </w:rPr>
        <w:fldChar w:fldCharType="begin"/>
      </w:r>
      <w:r w:rsidRPr="00B73161">
        <w:rPr>
          <w:rStyle w:val="aff6"/>
          <w:rtl/>
        </w:rPr>
        <w:instrText xml:space="preserve"> </w:instrText>
      </w:r>
      <w:r w:rsidRPr="00B73161">
        <w:rPr>
          <w:rStyle w:val="aff6"/>
          <w:rFonts w:hint="cs"/>
        </w:rPr>
        <w:instrText>REF</w:instrText>
      </w:r>
      <w:r w:rsidRPr="00B73161">
        <w:rPr>
          <w:rStyle w:val="aff6"/>
          <w:rFonts w:hint="cs"/>
          <w:rtl/>
        </w:rPr>
        <w:instrText xml:space="preserve"> _</w:instrText>
      </w:r>
      <w:r w:rsidRPr="00B73161">
        <w:rPr>
          <w:rStyle w:val="aff6"/>
          <w:rFonts w:hint="cs"/>
        </w:rPr>
        <w:instrText>Ref522611646 \r \h</w:instrText>
      </w:r>
      <w:r w:rsidRPr="00B73161">
        <w:rPr>
          <w:rStyle w:val="aff6"/>
          <w:rtl/>
        </w:rPr>
        <w:instrText xml:space="preserve"> </w:instrText>
      </w:r>
      <w:r w:rsidRPr="00B73161">
        <w:rPr>
          <w:rStyle w:val="aff6"/>
          <w:rtl/>
        </w:rPr>
      </w:r>
      <w:r w:rsidRPr="00B73161">
        <w:rPr>
          <w:rStyle w:val="aff6"/>
          <w:rtl/>
        </w:rPr>
        <w:fldChar w:fldCharType="separate"/>
      </w:r>
      <w:r w:rsidR="00345400">
        <w:rPr>
          <w:rStyle w:val="aff6"/>
          <w:cs/>
        </w:rPr>
        <w:t>‎</w:t>
      </w:r>
      <w:r w:rsidR="00345400">
        <w:rPr>
          <w:rStyle w:val="aff6"/>
          <w:rtl/>
        </w:rPr>
        <w:t>טז)</w:t>
      </w:r>
      <w:r w:rsidRPr="00B73161">
        <w:rPr>
          <w:rStyle w:val="aff6"/>
          <w:rtl/>
        </w:rPr>
        <w:fldChar w:fldCharType="end"/>
      </w:r>
      <w:r w:rsidRPr="00B73161">
        <w:rPr>
          <w:rStyle w:val="aff6"/>
          <w:rFonts w:hint="cs"/>
          <w:rtl/>
        </w:rPr>
        <w:t xml:space="preserve"> </w:t>
      </w:r>
      <w:r w:rsidRPr="00B73161">
        <w:rPr>
          <w:rStyle w:val="afb"/>
          <w:rFonts w:hint="cs"/>
          <w:rtl/>
        </w:rPr>
        <w:t>דכתב דאפילו בתוך שנתה מותרת].</w:t>
      </w:r>
    </w:p>
    <w:p w14:paraId="31CAB67A" w14:textId="77777777" w:rsidR="00852065" w:rsidRDefault="00852065" w:rsidP="006D6D32">
      <w:pPr>
        <w:pStyle w:val="a3"/>
        <w:rPr>
          <w:rtl/>
        </w:rPr>
      </w:pPr>
      <w:bookmarkStart w:id="2687" w:name="_Toc522810066"/>
      <w:bookmarkStart w:id="2688" w:name="_Toc19389363"/>
      <w:bookmarkStart w:id="2689" w:name="_Toc19392860"/>
      <w:r>
        <w:rPr>
          <w:rFonts w:hint="cs"/>
          <w:rtl/>
        </w:rPr>
        <w:t>דברי הקוה"ע דלביאור הב' במצא מים במוח אסורה דאינה בכלל הרוב</w:t>
      </w:r>
      <w:bookmarkEnd w:id="2687"/>
      <w:bookmarkEnd w:id="2688"/>
      <w:bookmarkEnd w:id="2689"/>
    </w:p>
    <w:p w14:paraId="48C729C1" w14:textId="77777777" w:rsidR="00852065" w:rsidRDefault="00852065" w:rsidP="00223668">
      <w:pPr>
        <w:pStyle w:val="a0"/>
        <w:rPr>
          <w:rtl/>
        </w:rPr>
      </w:pPr>
      <w:r>
        <w:rPr>
          <w:rFonts w:hint="cs"/>
          <w:rtl/>
        </w:rPr>
        <w:t xml:space="preserve">וכן לפי"ז בנמצא מים במוח, כתב </w:t>
      </w:r>
      <w:r w:rsidRPr="00541156">
        <w:rPr>
          <w:rStyle w:val="af9"/>
          <w:rFonts w:hint="cs"/>
          <w:rtl/>
        </w:rPr>
        <w:t xml:space="preserve">הקוה"ע </w:t>
      </w:r>
      <w:r>
        <w:rPr>
          <w:rFonts w:hint="cs"/>
          <w:rtl/>
        </w:rPr>
        <w:t xml:space="preserve">דהיא אסורה אף לדעת </w:t>
      </w:r>
      <w:r w:rsidRPr="00541156">
        <w:rPr>
          <w:rStyle w:val="af9"/>
          <w:rFonts w:hint="cs"/>
          <w:rtl/>
        </w:rPr>
        <w:t>הרשב"א</w:t>
      </w:r>
      <w:r>
        <w:rPr>
          <w:rFonts w:hint="cs"/>
          <w:rtl/>
        </w:rPr>
        <w:t xml:space="preserve">, דכיון שההיתר בגבינות הוא מדין רוב, ובהמה זו אינה בכלל הרוב, דא"א לומר שיש רוב בהמות שיש להם מים במוח שהם כשרות, ועיי"ש במה שביאר </w:t>
      </w:r>
      <w:r w:rsidRPr="000B224E">
        <w:rPr>
          <w:rStyle w:val="af9"/>
          <w:rFonts w:hint="cs"/>
          <w:rtl/>
        </w:rPr>
        <w:t>הקוה"ע</w:t>
      </w:r>
      <w:r>
        <w:rPr>
          <w:rFonts w:hint="cs"/>
          <w:rtl/>
        </w:rPr>
        <w:t xml:space="preserve"> בדעת </w:t>
      </w:r>
      <w:r w:rsidRPr="000B224E">
        <w:rPr>
          <w:rStyle w:val="af9"/>
          <w:rFonts w:hint="cs"/>
          <w:rtl/>
        </w:rPr>
        <w:t>הדרכ"מ</w:t>
      </w:r>
      <w:r>
        <w:rPr>
          <w:rFonts w:hint="cs"/>
          <w:rtl/>
        </w:rPr>
        <w:t xml:space="preserve"> </w:t>
      </w:r>
      <w:r w:rsidRPr="000B224E">
        <w:rPr>
          <w:rStyle w:val="af7"/>
          <w:rFonts w:eastAsia="Guttman Hodes" w:hint="cs"/>
          <w:rtl/>
        </w:rPr>
        <w:t xml:space="preserve">(עי' אות </w:t>
      </w:r>
      <w:r w:rsidRPr="000B224E">
        <w:rPr>
          <w:rStyle w:val="af7"/>
          <w:rFonts w:eastAsia="Guttman Hodes"/>
          <w:rtl/>
        </w:rPr>
        <w:fldChar w:fldCharType="begin"/>
      </w:r>
      <w:r w:rsidRPr="000B224E">
        <w:rPr>
          <w:rStyle w:val="af7"/>
          <w:rFonts w:eastAsia="Guttman Hodes"/>
          <w:rtl/>
        </w:rPr>
        <w:instrText xml:space="preserve"> </w:instrText>
      </w:r>
      <w:r w:rsidRPr="000B224E">
        <w:rPr>
          <w:rStyle w:val="af7"/>
          <w:rFonts w:eastAsia="Guttman Hodes" w:hint="cs"/>
        </w:rPr>
        <w:instrText>REF</w:instrText>
      </w:r>
      <w:r w:rsidRPr="000B224E">
        <w:rPr>
          <w:rStyle w:val="af7"/>
          <w:rFonts w:eastAsia="Guttman Hodes" w:hint="cs"/>
          <w:rtl/>
        </w:rPr>
        <w:instrText xml:space="preserve"> _</w:instrText>
      </w:r>
      <w:r w:rsidRPr="000B224E">
        <w:rPr>
          <w:rStyle w:val="af7"/>
          <w:rFonts w:eastAsia="Guttman Hodes" w:hint="cs"/>
        </w:rPr>
        <w:instrText>Ref522527197 \r \h</w:instrText>
      </w:r>
      <w:r w:rsidRPr="000B224E">
        <w:rPr>
          <w:rStyle w:val="af7"/>
          <w:rFonts w:eastAsia="Guttman Hodes"/>
          <w:rtl/>
        </w:rPr>
        <w:instrText xml:space="preserve"> </w:instrText>
      </w:r>
      <w:r w:rsidRPr="000B224E">
        <w:rPr>
          <w:rStyle w:val="af7"/>
          <w:rFonts w:eastAsia="Guttman Hodes"/>
          <w:rtl/>
        </w:rPr>
      </w:r>
      <w:r w:rsidRPr="000B224E">
        <w:rPr>
          <w:rStyle w:val="af7"/>
          <w:rFonts w:eastAsia="Guttman Hodes"/>
          <w:rtl/>
        </w:rPr>
        <w:fldChar w:fldCharType="separate"/>
      </w:r>
      <w:r w:rsidR="00345400">
        <w:rPr>
          <w:rStyle w:val="af7"/>
          <w:rFonts w:eastAsia="Guttman Hodes"/>
          <w:cs/>
        </w:rPr>
        <w:t>‎</w:t>
      </w:r>
      <w:r w:rsidR="00345400">
        <w:rPr>
          <w:rStyle w:val="af7"/>
          <w:rFonts w:eastAsia="Guttman Hodes"/>
          <w:rtl/>
        </w:rPr>
        <w:t>עח)</w:t>
      </w:r>
      <w:r w:rsidRPr="000B224E">
        <w:rPr>
          <w:rStyle w:val="af7"/>
          <w:rFonts w:eastAsia="Guttman Hodes"/>
          <w:rtl/>
        </w:rPr>
        <w:fldChar w:fldCharType="end"/>
      </w:r>
      <w:r>
        <w:rPr>
          <w:rFonts w:hint="cs"/>
          <w:rtl/>
        </w:rPr>
        <w:t>.</w:t>
      </w:r>
    </w:p>
    <w:p w14:paraId="1B99BD3D" w14:textId="77777777" w:rsidR="00852065" w:rsidRDefault="00852065" w:rsidP="00BF39B2">
      <w:pPr>
        <w:pStyle w:val="1"/>
        <w:rPr>
          <w:rtl/>
        </w:rPr>
      </w:pPr>
      <w:bookmarkStart w:id="2690" w:name="_Toc522810067"/>
      <w:bookmarkStart w:id="2691" w:name="_Toc19389364"/>
      <w:bookmarkStart w:id="2692" w:name="_Toc19392861"/>
      <w:bookmarkStart w:id="2693" w:name="_Toc522618806"/>
      <w:bookmarkStart w:id="2694" w:name="_Toc522790329"/>
      <w:bookmarkStart w:id="2695" w:name="_Toc522800828"/>
      <w:bookmarkStart w:id="2696" w:name="_Toc522800936"/>
      <w:r>
        <w:rPr>
          <w:rFonts w:hint="cs"/>
          <w:rtl/>
        </w:rPr>
        <w:t>דברי הקוע"ה דלתוס' ההיתר מדין חזקה ולא מדין רוב</w:t>
      </w:r>
      <w:bookmarkEnd w:id="2690"/>
      <w:bookmarkEnd w:id="2691"/>
      <w:bookmarkEnd w:id="2692"/>
    </w:p>
    <w:p w14:paraId="73FD84C1" w14:textId="77777777" w:rsidR="00852065" w:rsidRPr="00640010" w:rsidRDefault="00852065" w:rsidP="006D6D32">
      <w:pPr>
        <w:pStyle w:val="a3"/>
      </w:pPr>
      <w:bookmarkStart w:id="2697" w:name="_Toc522810068"/>
      <w:bookmarkStart w:id="2698" w:name="_Toc19389365"/>
      <w:bookmarkStart w:id="2699" w:name="_Toc19392862"/>
      <w:r>
        <w:rPr>
          <w:rFonts w:hint="cs"/>
          <w:rtl/>
        </w:rPr>
        <w:t>דברי הקוה"ע דמבואר בתוס' דפליגי על הר"ן דכתב דההיתר מדין רוב מדדימו לחזקת טומאה</w:t>
      </w:r>
      <w:bookmarkEnd w:id="2697"/>
      <w:bookmarkEnd w:id="2698"/>
      <w:bookmarkEnd w:id="2699"/>
    </w:p>
    <w:p w14:paraId="5FDAD7C6" w14:textId="77777777" w:rsidR="00852065" w:rsidRPr="00A11782" w:rsidRDefault="00852065" w:rsidP="00223668">
      <w:pPr>
        <w:pStyle w:val="a0"/>
        <w:rPr>
          <w:rtl/>
        </w:rPr>
      </w:pPr>
      <w:r>
        <w:rPr>
          <w:rFonts w:hint="cs"/>
          <w:rtl/>
        </w:rPr>
        <w:t xml:space="preserve">בדברי </w:t>
      </w:r>
      <w:r w:rsidRPr="00FF41C2">
        <w:rPr>
          <w:rStyle w:val="af9"/>
          <w:rFonts w:hint="cs"/>
          <w:rtl/>
        </w:rPr>
        <w:t>הר"ן</w:t>
      </w:r>
      <w:r>
        <w:rPr>
          <w:rFonts w:hint="cs"/>
          <w:rtl/>
        </w:rPr>
        <w:t xml:space="preserve"> </w:t>
      </w:r>
      <w:r w:rsidRPr="00FF41C2">
        <w:rPr>
          <w:rStyle w:val="af7"/>
          <w:rFonts w:eastAsia="Guttman Hodes" w:hint="cs"/>
          <w:rtl/>
        </w:rPr>
        <w:t xml:space="preserve">(עי' אות </w:t>
      </w:r>
      <w:r w:rsidRPr="00FF41C2">
        <w:rPr>
          <w:rStyle w:val="af7"/>
          <w:rFonts w:eastAsia="Guttman Hodes"/>
          <w:rtl/>
        </w:rPr>
        <w:fldChar w:fldCharType="begin"/>
      </w:r>
      <w:r w:rsidRPr="00FF41C2">
        <w:rPr>
          <w:rStyle w:val="af7"/>
          <w:rFonts w:eastAsia="Guttman Hodes"/>
          <w:rtl/>
        </w:rPr>
        <w:instrText xml:space="preserve"> </w:instrText>
      </w:r>
      <w:r w:rsidRPr="00FF41C2">
        <w:rPr>
          <w:rStyle w:val="af7"/>
          <w:rFonts w:eastAsia="Guttman Hodes" w:hint="cs"/>
        </w:rPr>
        <w:instrText>REF</w:instrText>
      </w:r>
      <w:r w:rsidRPr="00FF41C2">
        <w:rPr>
          <w:rStyle w:val="af7"/>
          <w:rFonts w:eastAsia="Guttman Hodes" w:hint="cs"/>
          <w:rtl/>
        </w:rPr>
        <w:instrText xml:space="preserve"> _</w:instrText>
      </w:r>
      <w:r w:rsidRPr="00FF41C2">
        <w:rPr>
          <w:rStyle w:val="af7"/>
          <w:rFonts w:eastAsia="Guttman Hodes" w:hint="cs"/>
        </w:rPr>
        <w:instrText>Ref522477143 \r \h</w:instrText>
      </w:r>
      <w:r w:rsidRPr="00FF41C2">
        <w:rPr>
          <w:rStyle w:val="af7"/>
          <w:rFonts w:eastAsia="Guttman Hodes"/>
          <w:rtl/>
        </w:rPr>
        <w:instrText xml:space="preserve"> </w:instrText>
      </w:r>
      <w:r w:rsidRPr="00FF41C2">
        <w:rPr>
          <w:rStyle w:val="af7"/>
          <w:rFonts w:eastAsia="Guttman Hodes"/>
          <w:rtl/>
        </w:rPr>
      </w:r>
      <w:r w:rsidRPr="00FF41C2">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FF41C2">
        <w:rPr>
          <w:rStyle w:val="af7"/>
          <w:rFonts w:eastAsia="Guttman Hodes"/>
          <w:rtl/>
        </w:rPr>
        <w:fldChar w:fldCharType="end"/>
      </w:r>
      <w:r>
        <w:rPr>
          <w:rFonts w:hint="cs"/>
          <w:rtl/>
        </w:rPr>
        <w:t xml:space="preserve"> דכתב דהחזקת היתר היא מדין רוב ולא מדין חזקה, כתב </w:t>
      </w:r>
      <w:r w:rsidRPr="00FF41C2">
        <w:rPr>
          <w:rStyle w:val="af9"/>
          <w:rFonts w:hint="cs"/>
          <w:rtl/>
        </w:rPr>
        <w:t>הקוה"ע</w:t>
      </w:r>
      <w:r>
        <w:rPr>
          <w:rFonts w:hint="cs"/>
          <w:rtl/>
        </w:rPr>
        <w:t xml:space="preserve"> </w:t>
      </w:r>
      <w:r w:rsidRPr="00FF41C2">
        <w:rPr>
          <w:rStyle w:val="af7"/>
          <w:rFonts w:eastAsia="Guttman Hodes" w:hint="cs"/>
          <w:rtl/>
        </w:rPr>
        <w:t xml:space="preserve">(כ"ח סוף אות א') </w:t>
      </w:r>
      <w:r w:rsidRPr="00FF41C2">
        <w:rPr>
          <w:rStyle w:val="af9"/>
          <w:rFonts w:hint="cs"/>
          <w:rtl/>
        </w:rPr>
        <w:t>דבתוס'</w:t>
      </w:r>
      <w:r>
        <w:rPr>
          <w:rFonts w:hint="cs"/>
          <w:rtl/>
        </w:rPr>
        <w:t xml:space="preserve"> </w:t>
      </w:r>
      <w:r w:rsidRPr="00FF41C2">
        <w:rPr>
          <w:rStyle w:val="af7"/>
          <w:rFonts w:eastAsia="Guttman Hodes" w:hint="cs"/>
          <w:rtl/>
        </w:rPr>
        <w:t>(ט: ד"ה התם)</w:t>
      </w:r>
      <w:r>
        <w:rPr>
          <w:rFonts w:hint="cs"/>
          <w:rtl/>
        </w:rPr>
        <w:t xml:space="preserve"> מבואר דהוא מדין חזקה ולא מדין רוב, מדדימו את החזקת היתר לדין ספק טומאה דלא אזלינן בתר חזקה כלל, ומבואר מדבריהם דהנדון הוא לענין חזקה ולא לענין רוב, עיי"ש.</w:t>
      </w:r>
    </w:p>
    <w:p w14:paraId="6994A3EA" w14:textId="77777777" w:rsidR="00852065" w:rsidRDefault="00852065" w:rsidP="00BF39B2">
      <w:pPr>
        <w:pStyle w:val="1"/>
        <w:rPr>
          <w:rtl/>
        </w:rPr>
      </w:pPr>
      <w:bookmarkStart w:id="2700" w:name="_Toc522810069"/>
      <w:bookmarkStart w:id="2701" w:name="_Toc19389366"/>
      <w:bookmarkStart w:id="2702" w:name="_Toc19392863"/>
      <w:r>
        <w:rPr>
          <w:rFonts w:hint="cs"/>
          <w:rtl/>
        </w:rPr>
        <w:t>ביאור האבאה"ז בדברי התבו"ש</w:t>
      </w:r>
      <w:bookmarkEnd w:id="2693"/>
      <w:bookmarkEnd w:id="2694"/>
      <w:bookmarkEnd w:id="2695"/>
      <w:bookmarkEnd w:id="2696"/>
      <w:bookmarkEnd w:id="2700"/>
      <w:bookmarkEnd w:id="2701"/>
      <w:bookmarkEnd w:id="2702"/>
    </w:p>
    <w:p w14:paraId="066131CF" w14:textId="77777777" w:rsidR="00852065" w:rsidRDefault="00852065" w:rsidP="006D6D32">
      <w:pPr>
        <w:pStyle w:val="a3"/>
        <w:rPr>
          <w:rtl/>
        </w:rPr>
      </w:pPr>
      <w:bookmarkStart w:id="2703" w:name="_Toc522810070"/>
      <w:bookmarkStart w:id="2704" w:name="_Toc19389367"/>
      <w:bookmarkStart w:id="2705" w:name="_Toc19392864"/>
      <w:r>
        <w:rPr>
          <w:rFonts w:hint="cs"/>
          <w:rtl/>
        </w:rPr>
        <w:t>ביאור האבאה"ז בתבו"ש דבספק בטבע לא שייך לומר שהיא בכלל הרוב</w:t>
      </w:r>
      <w:bookmarkEnd w:id="2703"/>
      <w:bookmarkEnd w:id="2704"/>
      <w:bookmarkEnd w:id="2705"/>
    </w:p>
    <w:p w14:paraId="59C097F5" w14:textId="77777777" w:rsidR="00852065" w:rsidRDefault="00852065" w:rsidP="00223668">
      <w:pPr>
        <w:pStyle w:val="a0"/>
        <w:rPr>
          <w:rtl/>
        </w:rPr>
      </w:pPr>
      <w:r w:rsidRPr="00663BE7">
        <w:rPr>
          <w:rStyle w:val="af9"/>
          <w:rFonts w:hint="cs"/>
          <w:rtl/>
        </w:rPr>
        <w:t>האבהא"ז</w:t>
      </w:r>
      <w:r>
        <w:rPr>
          <w:rFonts w:hint="cs"/>
          <w:rtl/>
        </w:rPr>
        <w:t xml:space="preserve"> </w:t>
      </w:r>
      <w:r w:rsidRPr="00663BE7">
        <w:rPr>
          <w:rStyle w:val="af7"/>
          <w:rFonts w:eastAsia="Guttman Hodes" w:hint="cs"/>
          <w:rtl/>
        </w:rPr>
        <w:t>(שחיטה ג' י"ח)</w:t>
      </w:r>
      <w:r>
        <w:rPr>
          <w:rFonts w:hint="cs"/>
          <w:rtl/>
        </w:rPr>
        <w:t xml:space="preserve"> הביא את דברי </w:t>
      </w:r>
      <w:r w:rsidRPr="00663BE7">
        <w:rPr>
          <w:rStyle w:val="af9"/>
          <w:rFonts w:hint="cs"/>
          <w:rtl/>
        </w:rPr>
        <w:t>התבו"ש</w:t>
      </w:r>
      <w:r>
        <w:rPr>
          <w:rFonts w:hint="cs"/>
          <w:rtl/>
        </w:rPr>
        <w:t xml:space="preserve"> </w:t>
      </w:r>
      <w:r w:rsidRPr="005614A7">
        <w:rPr>
          <w:rStyle w:val="af7"/>
          <w:rFonts w:eastAsia="Guttman Hodes" w:hint="cs"/>
          <w:rtl/>
        </w:rPr>
        <w:t xml:space="preserve">(עי' אות </w:t>
      </w:r>
      <w:r w:rsidRPr="005614A7">
        <w:rPr>
          <w:rStyle w:val="af7"/>
          <w:rFonts w:eastAsia="Guttman Hodes"/>
          <w:rtl/>
        </w:rPr>
        <w:fldChar w:fldCharType="begin"/>
      </w:r>
      <w:r w:rsidRPr="005614A7">
        <w:rPr>
          <w:rStyle w:val="af7"/>
          <w:rFonts w:eastAsia="Guttman Hodes"/>
          <w:rtl/>
        </w:rPr>
        <w:instrText xml:space="preserve"> </w:instrText>
      </w:r>
      <w:r w:rsidRPr="005614A7">
        <w:rPr>
          <w:rStyle w:val="af7"/>
          <w:rFonts w:eastAsia="Guttman Hodes" w:hint="cs"/>
        </w:rPr>
        <w:instrText>REF</w:instrText>
      </w:r>
      <w:r w:rsidRPr="005614A7">
        <w:rPr>
          <w:rStyle w:val="af7"/>
          <w:rFonts w:eastAsia="Guttman Hodes" w:hint="cs"/>
          <w:rtl/>
        </w:rPr>
        <w:instrText xml:space="preserve"> _</w:instrText>
      </w:r>
      <w:r w:rsidRPr="005614A7">
        <w:rPr>
          <w:rStyle w:val="af7"/>
          <w:rFonts w:eastAsia="Guttman Hodes" w:hint="cs"/>
        </w:rPr>
        <w:instrText>Ref522554433 \r \h</w:instrText>
      </w:r>
      <w:r w:rsidRPr="005614A7">
        <w:rPr>
          <w:rStyle w:val="af7"/>
          <w:rFonts w:eastAsia="Guttman Hodes"/>
          <w:rtl/>
        </w:rPr>
        <w:instrText xml:space="preserve"> </w:instrText>
      </w:r>
      <w:r w:rsidRPr="005614A7">
        <w:rPr>
          <w:rStyle w:val="af7"/>
          <w:rFonts w:eastAsia="Guttman Hodes"/>
          <w:rtl/>
        </w:rPr>
      </w:r>
      <w:r w:rsidRPr="005614A7">
        <w:rPr>
          <w:rStyle w:val="af7"/>
          <w:rFonts w:eastAsia="Guttman Hodes"/>
          <w:rtl/>
        </w:rPr>
        <w:fldChar w:fldCharType="separate"/>
      </w:r>
      <w:r w:rsidR="00345400">
        <w:rPr>
          <w:rStyle w:val="af7"/>
          <w:rFonts w:eastAsia="Guttman Hodes"/>
          <w:cs/>
        </w:rPr>
        <w:t>‎</w:t>
      </w:r>
      <w:r w:rsidR="00345400">
        <w:rPr>
          <w:rStyle w:val="af7"/>
          <w:rFonts w:eastAsia="Guttman Hodes"/>
          <w:rtl/>
        </w:rPr>
        <w:t>פד)</w:t>
      </w:r>
      <w:r w:rsidRPr="005614A7">
        <w:rPr>
          <w:rStyle w:val="af7"/>
          <w:rFonts w:eastAsia="Guttman Hodes"/>
          <w:rtl/>
        </w:rPr>
        <w:fldChar w:fldCharType="end"/>
      </w:r>
      <w:r>
        <w:rPr>
          <w:rFonts w:hint="cs"/>
          <w:rtl/>
        </w:rPr>
        <w:t xml:space="preserve"> דבהמה שיש לה מים במוח, אינה בכלל הרוב, כיון שיש בה ריעותא, וביאר </w:t>
      </w:r>
      <w:r w:rsidRPr="00663BE7">
        <w:rPr>
          <w:rStyle w:val="af9"/>
          <w:rFonts w:hint="cs"/>
          <w:rtl/>
        </w:rPr>
        <w:t>האבהא"ז</w:t>
      </w:r>
      <w:r>
        <w:rPr>
          <w:rFonts w:hint="cs"/>
          <w:rtl/>
        </w:rPr>
        <w:t xml:space="preserve"> </w:t>
      </w:r>
      <w:r w:rsidRPr="00663BE7">
        <w:rPr>
          <w:rStyle w:val="af7"/>
          <w:rFonts w:eastAsia="Guttman Hodes" w:hint="cs"/>
          <w:rtl/>
        </w:rPr>
        <w:t>(ד"ה והנה ביסוד)</w:t>
      </w:r>
      <w:r>
        <w:rPr>
          <w:rFonts w:hint="cs"/>
          <w:rtl/>
        </w:rPr>
        <w:t xml:space="preserve"> דאינה בכלל הרוב כיון שיש בה ספק בטבע אם המים מקיפין את המוח, ולא שייך לומר שהיא מהרוב הבהמות הכשרות.</w:t>
      </w:r>
    </w:p>
    <w:p w14:paraId="4C926FF7" w14:textId="77777777" w:rsidR="00852065" w:rsidRPr="005B6806" w:rsidRDefault="00852065" w:rsidP="006D6D32">
      <w:pPr>
        <w:pStyle w:val="a3"/>
      </w:pPr>
      <w:bookmarkStart w:id="2706" w:name="_Toc522810071"/>
      <w:bookmarkStart w:id="2707" w:name="_Toc19389368"/>
      <w:bookmarkStart w:id="2708" w:name="_Toc19392865"/>
      <w:r>
        <w:rPr>
          <w:rFonts w:hint="cs"/>
          <w:rtl/>
        </w:rPr>
        <w:t>ביאור האבאה"ז דבהמה חולה יש לה עצמה חזקת כשרות דרוב חולים לחיים</w:t>
      </w:r>
      <w:bookmarkEnd w:id="2706"/>
      <w:bookmarkEnd w:id="2707"/>
      <w:bookmarkEnd w:id="2708"/>
    </w:p>
    <w:p w14:paraId="28DE2808" w14:textId="77777777" w:rsidR="00852065" w:rsidRDefault="00852065" w:rsidP="00223668">
      <w:pPr>
        <w:pStyle w:val="a0"/>
        <w:rPr>
          <w:rtl/>
        </w:rPr>
      </w:pPr>
      <w:r>
        <w:rPr>
          <w:rFonts w:hint="cs"/>
          <w:rtl/>
        </w:rPr>
        <w:t xml:space="preserve">ובמה שהקשה </w:t>
      </w:r>
      <w:r w:rsidRPr="00663BE7">
        <w:rPr>
          <w:rStyle w:val="af9"/>
          <w:rFonts w:hint="cs"/>
          <w:rtl/>
        </w:rPr>
        <w:t>החוו"ד</w:t>
      </w:r>
      <w:r>
        <w:rPr>
          <w:rFonts w:hint="cs"/>
          <w:rtl/>
        </w:rPr>
        <w:t xml:space="preserve"> </w:t>
      </w:r>
      <w:r w:rsidRPr="005614A7">
        <w:rPr>
          <w:rStyle w:val="af7"/>
          <w:rFonts w:eastAsia="Guttman Hodes" w:hint="cs"/>
          <w:rtl/>
        </w:rPr>
        <w:t xml:space="preserve">(עי' אות </w:t>
      </w:r>
      <w:r w:rsidRPr="005614A7">
        <w:rPr>
          <w:rStyle w:val="af7"/>
          <w:rFonts w:eastAsia="Guttman Hodes"/>
          <w:rtl/>
        </w:rPr>
        <w:fldChar w:fldCharType="begin"/>
      </w:r>
      <w:r w:rsidRPr="005614A7">
        <w:rPr>
          <w:rStyle w:val="af7"/>
          <w:rFonts w:eastAsia="Guttman Hodes"/>
          <w:rtl/>
        </w:rPr>
        <w:instrText xml:space="preserve"> </w:instrText>
      </w:r>
      <w:r w:rsidRPr="005614A7">
        <w:rPr>
          <w:rStyle w:val="af7"/>
          <w:rFonts w:eastAsia="Guttman Hodes" w:hint="cs"/>
        </w:rPr>
        <w:instrText>REF</w:instrText>
      </w:r>
      <w:r w:rsidRPr="005614A7">
        <w:rPr>
          <w:rStyle w:val="af7"/>
          <w:rFonts w:eastAsia="Guttman Hodes" w:hint="cs"/>
          <w:rtl/>
        </w:rPr>
        <w:instrText xml:space="preserve"> _</w:instrText>
      </w:r>
      <w:r w:rsidRPr="005614A7">
        <w:rPr>
          <w:rStyle w:val="af7"/>
          <w:rFonts w:eastAsia="Guttman Hodes" w:hint="cs"/>
        </w:rPr>
        <w:instrText>Ref522480285 \r \h</w:instrText>
      </w:r>
      <w:r w:rsidRPr="005614A7">
        <w:rPr>
          <w:rStyle w:val="af7"/>
          <w:rFonts w:eastAsia="Guttman Hodes"/>
          <w:rtl/>
        </w:rPr>
        <w:instrText xml:space="preserve"> </w:instrText>
      </w:r>
      <w:r w:rsidRPr="005614A7">
        <w:rPr>
          <w:rStyle w:val="af7"/>
          <w:rFonts w:eastAsia="Guttman Hodes"/>
          <w:rtl/>
        </w:rPr>
      </w:r>
      <w:r w:rsidRPr="005614A7">
        <w:rPr>
          <w:rStyle w:val="af7"/>
          <w:rFonts w:eastAsia="Guttman Hodes"/>
          <w:rtl/>
        </w:rPr>
        <w:fldChar w:fldCharType="separate"/>
      </w:r>
      <w:r w:rsidR="00345400">
        <w:rPr>
          <w:rStyle w:val="af7"/>
          <w:rFonts w:eastAsia="Guttman Hodes"/>
          <w:cs/>
        </w:rPr>
        <w:t>‎</w:t>
      </w:r>
      <w:r w:rsidR="00345400">
        <w:rPr>
          <w:rStyle w:val="af7"/>
          <w:rFonts w:eastAsia="Guttman Hodes"/>
          <w:rtl/>
        </w:rPr>
        <w:t>פו)</w:t>
      </w:r>
      <w:r w:rsidRPr="005614A7">
        <w:rPr>
          <w:rStyle w:val="af7"/>
          <w:rFonts w:eastAsia="Guttman Hodes"/>
          <w:rtl/>
        </w:rPr>
        <w:fldChar w:fldCharType="end"/>
      </w:r>
      <w:r>
        <w:rPr>
          <w:rFonts w:hint="cs"/>
          <w:rtl/>
        </w:rPr>
        <w:t xml:space="preserve"> על </w:t>
      </w:r>
      <w:r w:rsidRPr="00663BE7">
        <w:rPr>
          <w:rStyle w:val="af9"/>
          <w:rFonts w:hint="cs"/>
          <w:rtl/>
        </w:rPr>
        <w:t>התבו"ש</w:t>
      </w:r>
      <w:r>
        <w:rPr>
          <w:rFonts w:hint="cs"/>
          <w:rtl/>
        </w:rPr>
        <w:t xml:space="preserve"> דא"כ כל בהמה חולה אינה בכלל הרוב, תירץ </w:t>
      </w:r>
      <w:r w:rsidRPr="00663BE7">
        <w:rPr>
          <w:rStyle w:val="af9"/>
          <w:rFonts w:hint="cs"/>
          <w:rtl/>
        </w:rPr>
        <w:t>האבהא"ז</w:t>
      </w:r>
      <w:r>
        <w:rPr>
          <w:rFonts w:hint="cs"/>
          <w:rtl/>
        </w:rPr>
        <w:t xml:space="preserve"> דכיון דקיי"ל דרוב חולים לחיים, א"כ יש רוב על הבהמה הזו גופא שהיא כשרה, משא"כ במים במוח שאין עליה רוב שהיא כשרה.</w:t>
      </w:r>
    </w:p>
    <w:p w14:paraId="6DB27174" w14:textId="77777777" w:rsidR="00AD3E57" w:rsidRPr="00AD3E57" w:rsidRDefault="00AD3E57" w:rsidP="006D6D32">
      <w:pPr>
        <w:pStyle w:val="a3"/>
        <w:rPr>
          <w:rtl/>
        </w:rPr>
      </w:pPr>
    </w:p>
    <w:p w14:paraId="71B751F8" w14:textId="77777777" w:rsidR="00852065" w:rsidRDefault="00852065" w:rsidP="00BF39B2">
      <w:pPr>
        <w:pStyle w:val="1"/>
        <w:rPr>
          <w:rtl/>
        </w:rPr>
      </w:pPr>
      <w:bookmarkStart w:id="2709" w:name="_Toc522790330"/>
      <w:bookmarkStart w:id="2710" w:name="_Toc522800829"/>
      <w:bookmarkStart w:id="2711" w:name="_Toc522800937"/>
      <w:bookmarkStart w:id="2712" w:name="_Toc522810072"/>
      <w:bookmarkStart w:id="2713" w:name="_Toc19389369"/>
      <w:bookmarkStart w:id="2714" w:name="_Toc19392866"/>
      <w:r>
        <w:rPr>
          <w:rFonts w:hint="cs"/>
          <w:rtl/>
        </w:rPr>
        <w:t>ביאור האבאה"ז בתוס' בחזקה בספק טריפה ובודאי טריפה</w:t>
      </w:r>
      <w:bookmarkEnd w:id="2709"/>
      <w:bookmarkEnd w:id="2710"/>
      <w:bookmarkEnd w:id="2711"/>
      <w:bookmarkEnd w:id="2712"/>
      <w:bookmarkEnd w:id="2713"/>
      <w:bookmarkEnd w:id="2714"/>
    </w:p>
    <w:p w14:paraId="20D0876A" w14:textId="77777777" w:rsidR="00852065" w:rsidRPr="00FA3348" w:rsidRDefault="00852065" w:rsidP="006D6D32">
      <w:pPr>
        <w:pStyle w:val="a3"/>
        <w:rPr>
          <w:rtl/>
        </w:rPr>
      </w:pPr>
      <w:bookmarkStart w:id="2715" w:name="_Toc522810073"/>
      <w:bookmarkStart w:id="2716" w:name="_Toc19389370"/>
      <w:bookmarkStart w:id="2717" w:name="_Toc19392867"/>
      <w:r>
        <w:rPr>
          <w:rFonts w:hint="cs"/>
          <w:rtl/>
        </w:rPr>
        <w:t>דברי האבהא"ז דלתוס' בספק טריפה אף שיצאה מהרוב יש לה חזקה מכח הרוב שהוחזקה בו</w:t>
      </w:r>
      <w:bookmarkEnd w:id="2715"/>
      <w:bookmarkEnd w:id="2716"/>
      <w:bookmarkEnd w:id="2717"/>
    </w:p>
    <w:p w14:paraId="7AE7ABC5" w14:textId="77777777" w:rsidR="00852065" w:rsidRDefault="00852065" w:rsidP="00223668">
      <w:pPr>
        <w:pStyle w:val="a0"/>
        <w:rPr>
          <w:rtl/>
        </w:rPr>
      </w:pPr>
      <w:bookmarkStart w:id="2718" w:name="_Toc522618807"/>
      <w:r w:rsidRPr="00A77946">
        <w:rPr>
          <w:rFonts w:hint="cs"/>
          <w:rtl/>
        </w:rPr>
        <w:t xml:space="preserve">כתב </w:t>
      </w:r>
      <w:r w:rsidRPr="0088253B">
        <w:rPr>
          <w:rStyle w:val="af9"/>
          <w:rFonts w:hint="cs"/>
          <w:rtl/>
        </w:rPr>
        <w:t>האבאה"ז</w:t>
      </w:r>
      <w:r w:rsidRPr="00A77946">
        <w:rPr>
          <w:rFonts w:hint="cs"/>
          <w:rtl/>
        </w:rPr>
        <w:t xml:space="preserve"> </w:t>
      </w:r>
      <w:r w:rsidRPr="0088253B">
        <w:rPr>
          <w:rStyle w:val="af7"/>
          <w:rFonts w:eastAsia="Guttman Hodes" w:hint="cs"/>
          <w:rtl/>
        </w:rPr>
        <w:t>(שחיטה ג' י"ח אות ב' ד"ה אכן נראה)</w:t>
      </w:r>
      <w:r>
        <w:rPr>
          <w:rFonts w:hint="cs"/>
          <w:rtl/>
        </w:rPr>
        <w:t xml:space="preserve"> דס"ל </w:t>
      </w:r>
      <w:r w:rsidRPr="0088253B">
        <w:rPr>
          <w:rStyle w:val="af9"/>
          <w:rFonts w:hint="cs"/>
          <w:rtl/>
        </w:rPr>
        <w:t xml:space="preserve">להתוס' </w:t>
      </w:r>
      <w:r>
        <w:rPr>
          <w:rFonts w:hint="cs"/>
          <w:rtl/>
        </w:rPr>
        <w:t xml:space="preserve">דבודאי טריפה לא שייך לומר שיש לה חזקה מכח רוב, כיון שהיא יצאה מכלל הרוב, אבל בספק דרוסה ובישב קוץ בושט ובזאב, דאינה ודאי טריפה, מודו </w:t>
      </w:r>
      <w:r w:rsidRPr="0088253B">
        <w:rPr>
          <w:rStyle w:val="af9"/>
          <w:rFonts w:hint="cs"/>
          <w:rtl/>
        </w:rPr>
        <w:t>התוס'</w:t>
      </w:r>
      <w:r>
        <w:rPr>
          <w:rFonts w:hint="cs"/>
          <w:rtl/>
        </w:rPr>
        <w:t xml:space="preserve"> דאף שא"א להתירה עכשיו ע"י הרוב, כיון שיש בה דבר המספק בכשרותה, מ"מ יש לה חזקה מכח הרוב, דלא ידוע לנו שיצאה בהמה זו מכלל הרוב, ועיי"ש במה שביאר </w:t>
      </w:r>
      <w:r w:rsidRPr="00A77946">
        <w:rPr>
          <w:rFonts w:hint="cs"/>
          <w:rtl/>
        </w:rPr>
        <w:t xml:space="preserve">וכתב </w:t>
      </w:r>
      <w:r w:rsidRPr="0088253B">
        <w:rPr>
          <w:rStyle w:val="af9"/>
          <w:rFonts w:hint="cs"/>
          <w:rtl/>
        </w:rPr>
        <w:t>האבאה"ז</w:t>
      </w:r>
      <w:r w:rsidRPr="00A77946">
        <w:rPr>
          <w:rFonts w:hint="cs"/>
          <w:rtl/>
        </w:rPr>
        <w:t xml:space="preserve"> </w:t>
      </w:r>
      <w:r>
        <w:rPr>
          <w:rFonts w:hint="cs"/>
          <w:rtl/>
        </w:rPr>
        <w:t xml:space="preserve">לפי"ז בדברי </w:t>
      </w:r>
      <w:r w:rsidRPr="00A33730">
        <w:rPr>
          <w:rStyle w:val="af9"/>
          <w:rFonts w:hint="cs"/>
          <w:rtl/>
        </w:rPr>
        <w:t>התבו"ש</w:t>
      </w:r>
      <w:r>
        <w:rPr>
          <w:rFonts w:hint="cs"/>
          <w:rtl/>
        </w:rPr>
        <w:t>.</w:t>
      </w:r>
    </w:p>
    <w:p w14:paraId="24B5A299" w14:textId="77777777" w:rsidR="00852065" w:rsidRDefault="00852065" w:rsidP="006D6D32">
      <w:pPr>
        <w:pStyle w:val="a3"/>
        <w:rPr>
          <w:rtl/>
        </w:rPr>
      </w:pPr>
      <w:bookmarkStart w:id="2719" w:name="_Toc522810074"/>
      <w:bookmarkStart w:id="2720" w:name="_Toc19389371"/>
      <w:bookmarkStart w:id="2721" w:name="_Toc19392868"/>
      <w:r>
        <w:rPr>
          <w:rFonts w:hint="cs"/>
          <w:rtl/>
        </w:rPr>
        <w:t>ביאור האבאה"ז דרק בודאי טריפה צריך שתתברר החזקה כיון שעכשיו אינה כפי שהוחזקה</w:t>
      </w:r>
      <w:bookmarkEnd w:id="2719"/>
      <w:bookmarkEnd w:id="2720"/>
      <w:bookmarkEnd w:id="2721"/>
    </w:p>
    <w:p w14:paraId="672B8F23" w14:textId="77777777" w:rsidR="00852065" w:rsidRDefault="00852065" w:rsidP="00223668">
      <w:pPr>
        <w:pStyle w:val="a0"/>
        <w:rPr>
          <w:rtl/>
        </w:rPr>
      </w:pPr>
      <w:r>
        <w:rPr>
          <w:rFonts w:hint="cs"/>
          <w:rtl/>
        </w:rPr>
        <w:t xml:space="preserve">ועוד ביאר </w:t>
      </w:r>
      <w:r w:rsidRPr="00E73F42">
        <w:rPr>
          <w:rStyle w:val="af9"/>
          <w:rFonts w:hint="cs"/>
          <w:rtl/>
        </w:rPr>
        <w:t>האבאה"ז</w:t>
      </w:r>
      <w:r>
        <w:rPr>
          <w:rFonts w:hint="cs"/>
          <w:rtl/>
        </w:rPr>
        <w:t xml:space="preserve"> דיש דין אחד בחזקה שלא היה שינוי ממה שהוחזק מעיקרא, ויש חזקה נוספת שא"א להוציא ממה שהחוזק, וכתב </w:t>
      </w:r>
      <w:r w:rsidRPr="001C0A6C">
        <w:rPr>
          <w:rStyle w:val="af9"/>
          <w:rFonts w:hint="cs"/>
          <w:rtl/>
        </w:rPr>
        <w:t>האבאה"ז</w:t>
      </w:r>
      <w:r>
        <w:rPr>
          <w:rFonts w:hint="cs"/>
          <w:rtl/>
        </w:rPr>
        <w:t xml:space="preserve"> דאפש"ל בדעת </w:t>
      </w:r>
      <w:r w:rsidRPr="001C0A6C">
        <w:rPr>
          <w:rStyle w:val="af9"/>
          <w:rFonts w:hint="cs"/>
          <w:rtl/>
        </w:rPr>
        <w:t>התוס'</w:t>
      </w:r>
      <w:r>
        <w:rPr>
          <w:rFonts w:hint="cs"/>
          <w:rtl/>
        </w:rPr>
        <w:t xml:space="preserve"> דבנמצאת ודאי טריפה, א"א להעמידה בחזקה שהיא כמו שהייתה, דהא יש לה חזקה שעכשיו היא טריפה, אלא דיש חזקה נוספת שא"א להוציא אותה ממה שהייתה מוחזקת מעיקרא, ובחזקה זו כתבו </w:t>
      </w:r>
      <w:r w:rsidRPr="001C0A6C">
        <w:rPr>
          <w:rStyle w:val="af9"/>
          <w:rFonts w:hint="cs"/>
          <w:rtl/>
        </w:rPr>
        <w:t xml:space="preserve">התוס' </w:t>
      </w:r>
      <w:r>
        <w:rPr>
          <w:rFonts w:hint="cs"/>
          <w:rtl/>
        </w:rPr>
        <w:t xml:space="preserve">דמהני רק בחזקה שנתבררה בשעתה, ולכן בספק טריפה, מהני חזקה שלא נתבררה בשעתה, כיון שעכשיו אנו יודעים שלא הייתה טריפה מעיקרא, ועיי"ש שהאריך </w:t>
      </w:r>
      <w:r w:rsidRPr="00E73F42">
        <w:rPr>
          <w:rStyle w:val="af9"/>
          <w:rFonts w:hint="cs"/>
          <w:rtl/>
        </w:rPr>
        <w:t>האבאה"ז</w:t>
      </w:r>
      <w:r>
        <w:rPr>
          <w:rFonts w:hint="cs"/>
          <w:rtl/>
        </w:rPr>
        <w:t xml:space="preserve"> לבאר לפי"ז את דברי </w:t>
      </w:r>
      <w:r w:rsidRPr="00D200CB">
        <w:rPr>
          <w:rStyle w:val="af9"/>
          <w:rFonts w:hint="cs"/>
          <w:rtl/>
        </w:rPr>
        <w:t>התבו"ש</w:t>
      </w:r>
      <w:r>
        <w:rPr>
          <w:rFonts w:hint="cs"/>
          <w:rtl/>
        </w:rPr>
        <w:t>.</w:t>
      </w:r>
    </w:p>
    <w:p w14:paraId="0D1F1D77" w14:textId="77777777" w:rsidR="00852065" w:rsidRDefault="00852065" w:rsidP="00BF39B2">
      <w:pPr>
        <w:pStyle w:val="1"/>
        <w:rPr>
          <w:rtl/>
        </w:rPr>
      </w:pPr>
      <w:bookmarkStart w:id="2722" w:name="_Toc522790331"/>
      <w:bookmarkStart w:id="2723" w:name="_Toc522800830"/>
      <w:bookmarkStart w:id="2724" w:name="_Toc522800938"/>
      <w:bookmarkStart w:id="2725" w:name="_Toc522810075"/>
      <w:bookmarkStart w:id="2726" w:name="_Toc19389372"/>
      <w:bookmarkStart w:id="2727" w:name="_Toc19392869"/>
      <w:r>
        <w:rPr>
          <w:rFonts w:hint="cs"/>
          <w:rtl/>
        </w:rPr>
        <w:t>ביאור הקה"י בגדר החזקת היתר</w:t>
      </w:r>
      <w:bookmarkEnd w:id="2718"/>
      <w:bookmarkEnd w:id="2722"/>
      <w:bookmarkEnd w:id="2723"/>
      <w:bookmarkEnd w:id="2724"/>
      <w:bookmarkEnd w:id="2725"/>
      <w:bookmarkEnd w:id="2726"/>
      <w:bookmarkEnd w:id="2727"/>
    </w:p>
    <w:p w14:paraId="7DBA1958" w14:textId="77777777" w:rsidR="00852065" w:rsidRPr="0012432E" w:rsidRDefault="00852065" w:rsidP="006D6D32">
      <w:pPr>
        <w:pStyle w:val="a3"/>
        <w:rPr>
          <w:rtl/>
        </w:rPr>
      </w:pPr>
      <w:bookmarkStart w:id="2728" w:name="_Toc522810076"/>
      <w:bookmarkStart w:id="2729" w:name="_Toc19389373"/>
      <w:bookmarkStart w:id="2730" w:name="_Toc19392870"/>
      <w:r>
        <w:rPr>
          <w:rFonts w:hint="cs"/>
          <w:rtl/>
        </w:rPr>
        <w:t>דברי הקה"י דלרש"י בספק בשחיטה אין חזקה ובספק טריפה יש לה חזקה שלא הייתה טריפה</w:t>
      </w:r>
      <w:bookmarkEnd w:id="2728"/>
      <w:bookmarkEnd w:id="2729"/>
      <w:bookmarkEnd w:id="2730"/>
    </w:p>
    <w:p w14:paraId="676B513C" w14:textId="77777777" w:rsidR="00852065" w:rsidRDefault="00852065" w:rsidP="00223668">
      <w:pPr>
        <w:pStyle w:val="a0"/>
        <w:rPr>
          <w:rtl/>
        </w:rPr>
      </w:pPr>
      <w:r>
        <w:rPr>
          <w:rFonts w:hint="cs"/>
          <w:rtl/>
        </w:rPr>
        <w:t xml:space="preserve">כתב </w:t>
      </w:r>
      <w:r w:rsidRPr="007258A9">
        <w:rPr>
          <w:rStyle w:val="af9"/>
          <w:rFonts w:hint="cs"/>
          <w:rtl/>
        </w:rPr>
        <w:t>הקה"י</w:t>
      </w:r>
      <w:r>
        <w:rPr>
          <w:rFonts w:hint="cs"/>
          <w:rtl/>
        </w:rPr>
        <w:t xml:space="preserve"> </w:t>
      </w:r>
      <w:r w:rsidRPr="007258A9">
        <w:rPr>
          <w:rStyle w:val="af7"/>
          <w:rFonts w:eastAsia="Guttman Hodes" w:hint="cs"/>
          <w:rtl/>
        </w:rPr>
        <w:t>(סי' ו' א')</w:t>
      </w:r>
      <w:r>
        <w:rPr>
          <w:rFonts w:hint="cs"/>
          <w:rtl/>
        </w:rPr>
        <w:t xml:space="preserve"> דמדברי </w:t>
      </w:r>
      <w:r w:rsidRPr="007258A9">
        <w:rPr>
          <w:rStyle w:val="af9"/>
          <w:rFonts w:hint="cs"/>
          <w:rtl/>
        </w:rPr>
        <w:t>רש"י</w:t>
      </w:r>
      <w:r>
        <w:rPr>
          <w:rFonts w:hint="cs"/>
          <w:rtl/>
        </w:rPr>
        <w:t xml:space="preserve"> </w:t>
      </w:r>
      <w:r w:rsidRPr="007258A9">
        <w:rPr>
          <w:rStyle w:val="af7"/>
          <w:rFonts w:eastAsia="Guttman Hodes" w:hint="cs"/>
          <w:rtl/>
        </w:rPr>
        <w:t xml:space="preserve">(עי' אות </w:t>
      </w:r>
      <w:r w:rsidRPr="007258A9">
        <w:rPr>
          <w:rStyle w:val="af7"/>
          <w:rFonts w:eastAsia="Guttman Hodes"/>
          <w:rtl/>
        </w:rPr>
        <w:fldChar w:fldCharType="begin"/>
      </w:r>
      <w:r w:rsidRPr="007258A9">
        <w:rPr>
          <w:rStyle w:val="af7"/>
          <w:rFonts w:eastAsia="Guttman Hodes"/>
          <w:rtl/>
        </w:rPr>
        <w:instrText xml:space="preserve"> </w:instrText>
      </w:r>
      <w:r w:rsidRPr="007258A9">
        <w:rPr>
          <w:rStyle w:val="af7"/>
          <w:rFonts w:eastAsia="Guttman Hodes" w:hint="cs"/>
        </w:rPr>
        <w:instrText>REF</w:instrText>
      </w:r>
      <w:r w:rsidRPr="007258A9">
        <w:rPr>
          <w:rStyle w:val="af7"/>
          <w:rFonts w:eastAsia="Guttman Hodes" w:hint="cs"/>
          <w:rtl/>
        </w:rPr>
        <w:instrText xml:space="preserve"> _</w:instrText>
      </w:r>
      <w:r w:rsidRPr="007258A9">
        <w:rPr>
          <w:rStyle w:val="af7"/>
          <w:rFonts w:eastAsia="Guttman Hodes" w:hint="cs"/>
        </w:rPr>
        <w:instrText>Ref522392480 \r \h</w:instrText>
      </w:r>
      <w:r w:rsidRPr="007258A9">
        <w:rPr>
          <w:rStyle w:val="af7"/>
          <w:rFonts w:eastAsia="Guttman Hodes"/>
          <w:rtl/>
        </w:rPr>
        <w:instrText xml:space="preserve"> </w:instrText>
      </w:r>
      <w:r w:rsidRPr="007258A9">
        <w:rPr>
          <w:rStyle w:val="af7"/>
          <w:rFonts w:eastAsia="Guttman Hodes"/>
          <w:rtl/>
        </w:rPr>
      </w:r>
      <w:r w:rsidRPr="007258A9">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7258A9">
        <w:rPr>
          <w:rStyle w:val="af7"/>
          <w:rFonts w:eastAsia="Guttman Hodes"/>
          <w:rtl/>
        </w:rPr>
        <w:fldChar w:fldCharType="end"/>
      </w:r>
      <w:r>
        <w:rPr>
          <w:rFonts w:hint="cs"/>
          <w:rtl/>
        </w:rPr>
        <w:t xml:space="preserve"> משמע שהחילוק בין הרישא לסיפא, דברישא בספק בשחיטה ויש לה חזקה שאינה שחוטה, לכן מעמידים אותה בחזקתה ואסורה, ובסיפא בספק טריפה ויש לה חזקה דעד עכשיו לא הייתה טריפה, מעמידים אותה על חזקתה ומותרת.</w:t>
      </w:r>
    </w:p>
    <w:p w14:paraId="1B1845D6" w14:textId="77777777" w:rsidR="00852065" w:rsidRDefault="00852065" w:rsidP="006D6D32">
      <w:pPr>
        <w:pStyle w:val="a3"/>
        <w:rPr>
          <w:rtl/>
        </w:rPr>
      </w:pPr>
      <w:bookmarkStart w:id="2731" w:name="_Toc522810077"/>
      <w:bookmarkStart w:id="2732" w:name="_Toc19389374"/>
      <w:bookmarkStart w:id="2733" w:name="_Toc19392871"/>
      <w:r>
        <w:rPr>
          <w:rFonts w:hint="cs"/>
          <w:rtl/>
        </w:rPr>
        <w:t>קושית הקה"י דלתוס' בטריפה הוא חזקה שלא נתבררה בשעתה ואמאי מותרת</w:t>
      </w:r>
      <w:bookmarkEnd w:id="2731"/>
      <w:bookmarkEnd w:id="2732"/>
      <w:bookmarkEnd w:id="2733"/>
    </w:p>
    <w:p w14:paraId="0D3BF0D2" w14:textId="77777777" w:rsidR="00852065" w:rsidRDefault="00852065" w:rsidP="00223668">
      <w:pPr>
        <w:pStyle w:val="a0"/>
        <w:rPr>
          <w:rtl/>
        </w:rPr>
      </w:pPr>
      <w:r>
        <w:rPr>
          <w:rFonts w:hint="cs"/>
          <w:rtl/>
        </w:rPr>
        <w:t xml:space="preserve">והקשה </w:t>
      </w:r>
      <w:r w:rsidRPr="006A0B27">
        <w:rPr>
          <w:rStyle w:val="af9"/>
          <w:rFonts w:hint="cs"/>
          <w:rtl/>
        </w:rPr>
        <w:t>הקה"י דבתוס' לקמן</w:t>
      </w:r>
      <w:r>
        <w:rPr>
          <w:rFonts w:hint="cs"/>
          <w:rtl/>
        </w:rPr>
        <w:t xml:space="preserve"> </w:t>
      </w:r>
      <w:r w:rsidRPr="00F63477">
        <w:rPr>
          <w:rStyle w:val="af7"/>
          <w:rFonts w:eastAsia="Guttman Hodes" w:hint="cs"/>
          <w:rtl/>
        </w:rPr>
        <w:t xml:space="preserve">(עי' אות </w:t>
      </w:r>
      <w:r w:rsidRPr="00F63477">
        <w:rPr>
          <w:rStyle w:val="af7"/>
          <w:rFonts w:eastAsia="Guttman Hodes"/>
          <w:rtl/>
        </w:rPr>
        <w:fldChar w:fldCharType="begin"/>
      </w:r>
      <w:r w:rsidRPr="00F63477">
        <w:rPr>
          <w:rStyle w:val="af7"/>
          <w:rFonts w:eastAsia="Guttman Hodes"/>
          <w:rtl/>
        </w:rPr>
        <w:instrText xml:space="preserve"> </w:instrText>
      </w:r>
      <w:r w:rsidRPr="00F63477">
        <w:rPr>
          <w:rStyle w:val="af7"/>
          <w:rFonts w:eastAsia="Guttman Hodes" w:hint="cs"/>
        </w:rPr>
        <w:instrText>REF</w:instrText>
      </w:r>
      <w:r w:rsidRPr="00F63477">
        <w:rPr>
          <w:rStyle w:val="af7"/>
          <w:rFonts w:eastAsia="Guttman Hodes" w:hint="cs"/>
          <w:rtl/>
        </w:rPr>
        <w:instrText xml:space="preserve"> _</w:instrText>
      </w:r>
      <w:r w:rsidRPr="00F63477">
        <w:rPr>
          <w:rStyle w:val="af7"/>
          <w:rFonts w:eastAsia="Guttman Hodes" w:hint="cs"/>
        </w:rPr>
        <w:instrText>Ref522443050 \r \h</w:instrText>
      </w:r>
      <w:r w:rsidRPr="00F63477">
        <w:rPr>
          <w:rStyle w:val="af7"/>
          <w:rFonts w:eastAsia="Guttman Hodes"/>
          <w:rtl/>
        </w:rPr>
        <w:instrText xml:space="preserve"> </w:instrText>
      </w:r>
      <w:r w:rsidRPr="00F63477">
        <w:rPr>
          <w:rStyle w:val="af7"/>
          <w:rFonts w:eastAsia="Guttman Hodes"/>
          <w:rtl/>
        </w:rPr>
      </w:r>
      <w:r w:rsidRPr="00F63477">
        <w:rPr>
          <w:rStyle w:val="af7"/>
          <w:rFonts w:eastAsia="Guttman Hodes"/>
          <w:rtl/>
        </w:rPr>
        <w:fldChar w:fldCharType="separate"/>
      </w:r>
      <w:r w:rsidR="00345400">
        <w:rPr>
          <w:rStyle w:val="af7"/>
          <w:rFonts w:eastAsia="Guttman Hodes"/>
          <w:cs/>
        </w:rPr>
        <w:t>‎</w:t>
      </w:r>
      <w:r w:rsidR="00345400">
        <w:rPr>
          <w:rStyle w:val="af7"/>
          <w:rFonts w:eastAsia="Guttman Hodes"/>
          <w:rtl/>
        </w:rPr>
        <w:t>י)</w:t>
      </w:r>
      <w:r w:rsidRPr="00F63477">
        <w:rPr>
          <w:rStyle w:val="af7"/>
          <w:rFonts w:eastAsia="Guttman Hodes"/>
          <w:rtl/>
        </w:rPr>
        <w:fldChar w:fldCharType="end"/>
      </w:r>
      <w:r>
        <w:rPr>
          <w:rFonts w:hint="cs"/>
          <w:rtl/>
        </w:rPr>
        <w:t xml:space="preserve"> מבואר דאין בבהמה חזקת כשרות שאינה טריפה, כיון שהיא חזקה שלא נתבררה בשעתה, וס"ל </w:t>
      </w:r>
      <w:r w:rsidRPr="006A0B27">
        <w:rPr>
          <w:rStyle w:val="af9"/>
          <w:rFonts w:hint="cs"/>
          <w:rtl/>
        </w:rPr>
        <w:t xml:space="preserve">לתוס' </w:t>
      </w:r>
      <w:r>
        <w:rPr>
          <w:rFonts w:hint="cs"/>
          <w:rtl/>
        </w:rPr>
        <w:t xml:space="preserve">דאף אין חזקה מכח רוב [ודלא </w:t>
      </w:r>
      <w:r w:rsidRPr="006A0B27">
        <w:rPr>
          <w:rStyle w:val="af9"/>
          <w:rFonts w:hint="cs"/>
          <w:rtl/>
        </w:rPr>
        <w:t>כהרשב"א</w:t>
      </w:r>
      <w:r>
        <w:rPr>
          <w:rFonts w:hint="cs"/>
          <w:rtl/>
        </w:rPr>
        <w:t xml:space="preserve"> </w:t>
      </w:r>
      <w:r w:rsidRPr="00954D98">
        <w:rPr>
          <w:rStyle w:val="af7"/>
          <w:rFonts w:eastAsia="Guttman Hodes" w:hint="cs"/>
          <w:rtl/>
        </w:rPr>
        <w:t xml:space="preserve">(עי' אות </w:t>
      </w:r>
      <w:r w:rsidRPr="00954D98">
        <w:rPr>
          <w:rStyle w:val="af7"/>
          <w:rFonts w:eastAsia="Guttman Hodes"/>
          <w:rtl/>
        </w:rPr>
        <w:fldChar w:fldCharType="begin"/>
      </w:r>
      <w:r w:rsidRPr="00954D98">
        <w:rPr>
          <w:rStyle w:val="af7"/>
          <w:rFonts w:eastAsia="Guttman Hodes"/>
          <w:rtl/>
        </w:rPr>
        <w:instrText xml:space="preserve"> </w:instrText>
      </w:r>
      <w:r w:rsidRPr="00954D98">
        <w:rPr>
          <w:rStyle w:val="af7"/>
          <w:rFonts w:eastAsia="Guttman Hodes" w:hint="cs"/>
        </w:rPr>
        <w:instrText>REF</w:instrText>
      </w:r>
      <w:r w:rsidRPr="00954D98">
        <w:rPr>
          <w:rStyle w:val="af7"/>
          <w:rFonts w:eastAsia="Guttman Hodes" w:hint="cs"/>
          <w:rtl/>
        </w:rPr>
        <w:instrText xml:space="preserve"> _</w:instrText>
      </w:r>
      <w:r w:rsidRPr="00954D98">
        <w:rPr>
          <w:rStyle w:val="af7"/>
          <w:rFonts w:eastAsia="Guttman Hodes" w:hint="cs"/>
        </w:rPr>
        <w:instrText>Ref522462159 \r \h</w:instrText>
      </w:r>
      <w:r w:rsidRPr="00954D98">
        <w:rPr>
          <w:rStyle w:val="af7"/>
          <w:rFonts w:eastAsia="Guttman Hodes"/>
          <w:rtl/>
        </w:rPr>
        <w:instrText xml:space="preserve"> </w:instrText>
      </w:r>
      <w:r w:rsidRPr="00954D98">
        <w:rPr>
          <w:rStyle w:val="af7"/>
          <w:rFonts w:eastAsia="Guttman Hodes"/>
          <w:rtl/>
        </w:rPr>
      </w:r>
      <w:r w:rsidRPr="00954D98">
        <w:rPr>
          <w:rStyle w:val="af7"/>
          <w:rFonts w:eastAsia="Guttman Hodes"/>
          <w:rtl/>
        </w:rPr>
        <w:fldChar w:fldCharType="separate"/>
      </w:r>
      <w:r w:rsidR="00345400">
        <w:rPr>
          <w:rStyle w:val="af7"/>
          <w:rFonts w:eastAsia="Guttman Hodes"/>
          <w:cs/>
        </w:rPr>
        <w:t>‎</w:t>
      </w:r>
      <w:r w:rsidR="00345400">
        <w:rPr>
          <w:rStyle w:val="af7"/>
          <w:rFonts w:eastAsia="Guttman Hodes"/>
          <w:rtl/>
        </w:rPr>
        <w:t>ו)</w:t>
      </w:r>
      <w:r w:rsidRPr="00954D98">
        <w:rPr>
          <w:rStyle w:val="af7"/>
          <w:rFonts w:eastAsia="Guttman Hodes"/>
          <w:rtl/>
        </w:rPr>
        <w:fldChar w:fldCharType="end"/>
      </w:r>
      <w:r>
        <w:rPr>
          <w:rFonts w:hint="cs"/>
          <w:rtl/>
        </w:rPr>
        <w:t>], כדמוכח מהא דס"ל דבהמה שנמצאת טריפה אסור לאכול את הגבינות שנחלבו ממנה, כיון שאין לה חזקה כלל, וא"כ קשה מהי החזקה שמתירה אותה בספק טריפה.</w:t>
      </w:r>
    </w:p>
    <w:p w14:paraId="4F92661B" w14:textId="77777777" w:rsidR="00852065" w:rsidRDefault="00852065" w:rsidP="006D6D32">
      <w:pPr>
        <w:pStyle w:val="a3"/>
        <w:rPr>
          <w:rtl/>
        </w:rPr>
      </w:pPr>
      <w:bookmarkStart w:id="2734" w:name="_Toc522810078"/>
      <w:bookmarkStart w:id="2735" w:name="_Toc19389375"/>
      <w:bookmarkStart w:id="2736" w:name="_Toc19392872"/>
      <w:r>
        <w:rPr>
          <w:rFonts w:hint="cs"/>
          <w:rtl/>
        </w:rPr>
        <w:t>דברי הקה"י דדוקא בודאי טריפה צריך שתתברר החזקה כיון שיצאה מהרוב</w:t>
      </w:r>
      <w:bookmarkEnd w:id="2734"/>
      <w:bookmarkEnd w:id="2735"/>
      <w:bookmarkEnd w:id="2736"/>
    </w:p>
    <w:p w14:paraId="3E63EE07" w14:textId="77777777" w:rsidR="00852065" w:rsidRDefault="00852065" w:rsidP="00223668">
      <w:pPr>
        <w:pStyle w:val="a0"/>
        <w:rPr>
          <w:rtl/>
        </w:rPr>
      </w:pPr>
      <w:r>
        <w:rPr>
          <w:rFonts w:hint="cs"/>
          <w:rtl/>
        </w:rPr>
        <w:t xml:space="preserve">וביאר </w:t>
      </w:r>
      <w:r w:rsidRPr="00770B38">
        <w:rPr>
          <w:rStyle w:val="af9"/>
          <w:rFonts w:hint="cs"/>
          <w:rtl/>
        </w:rPr>
        <w:t>הקה"י</w:t>
      </w:r>
      <w:r>
        <w:rPr>
          <w:rFonts w:hint="cs"/>
          <w:rtl/>
        </w:rPr>
        <w:t xml:space="preserve"> דמה שכתבו </w:t>
      </w:r>
      <w:r w:rsidRPr="00C974ED">
        <w:rPr>
          <w:rStyle w:val="af9"/>
          <w:rFonts w:hint="cs"/>
          <w:rtl/>
        </w:rPr>
        <w:t>התוס' לקמן</w:t>
      </w:r>
      <w:r>
        <w:rPr>
          <w:rFonts w:hint="cs"/>
          <w:rtl/>
        </w:rPr>
        <w:t xml:space="preserve"> דאין לה חזקה, והגבינות אסורות, היינו דוקא במקום שנמצאת ודאי טריפה, ונתברר שאינה מהרוב, והנדון הוא מתי נטרפה,  והרוב לא מהני כלל כיון שאינה בכלל הרוב, וכל מה שאפשר לומר דקודם לכן הייתה בכלל הרוב, הוא מדין חזקה, דנעמיד אותה בחזקת כשרות שלא הייתה טריפה, וע"ז כתבו </w:t>
      </w:r>
      <w:r w:rsidRPr="00C974ED">
        <w:rPr>
          <w:rStyle w:val="af9"/>
          <w:rFonts w:hint="cs"/>
          <w:rtl/>
        </w:rPr>
        <w:t>התוס'</w:t>
      </w:r>
      <w:r>
        <w:rPr>
          <w:rFonts w:hint="cs"/>
          <w:rtl/>
        </w:rPr>
        <w:t xml:space="preserve"> דהוא חזקה שלא נתבררה בשעתה ואינה חזקה.</w:t>
      </w:r>
    </w:p>
    <w:p w14:paraId="1AAF62AE" w14:textId="77777777" w:rsidR="00852065" w:rsidRDefault="00852065" w:rsidP="006D6D32">
      <w:pPr>
        <w:pStyle w:val="a3"/>
        <w:rPr>
          <w:rtl/>
        </w:rPr>
      </w:pPr>
      <w:bookmarkStart w:id="2737" w:name="_Toc522810079"/>
      <w:bookmarkStart w:id="2738" w:name="_Toc19389376"/>
      <w:bookmarkStart w:id="2739" w:name="_Toc19392873"/>
      <w:r>
        <w:rPr>
          <w:rFonts w:hint="cs"/>
          <w:rtl/>
        </w:rPr>
        <w:t>דברי הקה"י דבספק טריפה מהני חזקה שלא נתבררה דרוב עדיף מחזקה וכן דעת רש"י</w:t>
      </w:r>
      <w:bookmarkEnd w:id="2737"/>
      <w:bookmarkEnd w:id="2738"/>
      <w:bookmarkEnd w:id="2739"/>
    </w:p>
    <w:p w14:paraId="55696269" w14:textId="77777777" w:rsidR="00852065" w:rsidRPr="009D6664" w:rsidRDefault="00852065" w:rsidP="00223668">
      <w:pPr>
        <w:pStyle w:val="a0"/>
        <w:rPr>
          <w:rtl/>
        </w:rPr>
      </w:pPr>
      <w:r>
        <w:rPr>
          <w:rFonts w:hint="cs"/>
          <w:rtl/>
        </w:rPr>
        <w:t xml:space="preserve">אבל בספק טריפה שלא נתברר שאינה בכלל הרוב כתב </w:t>
      </w:r>
      <w:r w:rsidRPr="00770B38">
        <w:rPr>
          <w:rStyle w:val="af9"/>
          <w:rFonts w:hint="cs"/>
          <w:rtl/>
        </w:rPr>
        <w:t>הקה"י</w:t>
      </w:r>
      <w:r>
        <w:rPr>
          <w:rFonts w:hint="cs"/>
          <w:rtl/>
        </w:rPr>
        <w:t xml:space="preserve"> דאף </w:t>
      </w:r>
      <w:r w:rsidRPr="00770B38">
        <w:rPr>
          <w:rStyle w:val="af9"/>
          <w:rFonts w:hint="cs"/>
          <w:rtl/>
        </w:rPr>
        <w:t xml:space="preserve">התוס' </w:t>
      </w:r>
      <w:r>
        <w:rPr>
          <w:rFonts w:hint="cs"/>
          <w:rtl/>
        </w:rPr>
        <w:t xml:space="preserve">מודו דחשיב שהיא מוחזקת בפנינו בכשרות, כיון שרוב עדיף מחזקה, וכל שהיא בכלל הרוב היא בחזקת כשרות, דיש לה חזקה מכח הרוב, ומחמת חזקה זו התיר רב הונא וכדכתב </w:t>
      </w:r>
      <w:r w:rsidRPr="00E91E68">
        <w:rPr>
          <w:rStyle w:val="af9"/>
          <w:rFonts w:hint="cs"/>
          <w:rtl/>
        </w:rPr>
        <w:t>רש"י</w:t>
      </w:r>
      <w:r>
        <w:rPr>
          <w:rFonts w:hint="cs"/>
          <w:rtl/>
        </w:rPr>
        <w:t xml:space="preserve"> </w:t>
      </w:r>
      <w:r w:rsidRPr="00E91E68">
        <w:rPr>
          <w:rStyle w:val="af7"/>
          <w:rFonts w:eastAsia="Guttman Hodes" w:hint="cs"/>
          <w:rtl/>
        </w:rPr>
        <w:t xml:space="preserve">(עי' אות </w:t>
      </w:r>
      <w:r w:rsidRPr="00E91E68">
        <w:rPr>
          <w:rStyle w:val="af7"/>
          <w:rFonts w:eastAsia="Guttman Hodes"/>
          <w:rtl/>
        </w:rPr>
        <w:fldChar w:fldCharType="begin"/>
      </w:r>
      <w:r w:rsidRPr="00E91E68">
        <w:rPr>
          <w:rStyle w:val="af7"/>
          <w:rFonts w:eastAsia="Guttman Hodes"/>
          <w:rtl/>
        </w:rPr>
        <w:instrText xml:space="preserve"> </w:instrText>
      </w:r>
      <w:r w:rsidRPr="00E91E68">
        <w:rPr>
          <w:rStyle w:val="af7"/>
          <w:rFonts w:eastAsia="Guttman Hodes" w:hint="cs"/>
        </w:rPr>
        <w:instrText>REF</w:instrText>
      </w:r>
      <w:r w:rsidRPr="00E91E68">
        <w:rPr>
          <w:rStyle w:val="af7"/>
          <w:rFonts w:eastAsia="Guttman Hodes" w:hint="cs"/>
          <w:rtl/>
        </w:rPr>
        <w:instrText xml:space="preserve"> _</w:instrText>
      </w:r>
      <w:r w:rsidRPr="00E91E68">
        <w:rPr>
          <w:rStyle w:val="af7"/>
          <w:rFonts w:eastAsia="Guttman Hodes" w:hint="cs"/>
        </w:rPr>
        <w:instrText>Ref522392480 \r \h</w:instrText>
      </w:r>
      <w:r w:rsidRPr="00E91E68">
        <w:rPr>
          <w:rStyle w:val="af7"/>
          <w:rFonts w:eastAsia="Guttman Hodes"/>
          <w:rtl/>
        </w:rPr>
        <w:instrText xml:space="preserve"> </w:instrText>
      </w:r>
      <w:r w:rsidRPr="00E91E68">
        <w:rPr>
          <w:rStyle w:val="af7"/>
          <w:rFonts w:eastAsia="Guttman Hodes"/>
          <w:rtl/>
        </w:rPr>
      </w:r>
      <w:r w:rsidRPr="00E91E68">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E91E68">
        <w:rPr>
          <w:rStyle w:val="af7"/>
          <w:rFonts w:eastAsia="Guttman Hodes"/>
          <w:rtl/>
        </w:rPr>
        <w:fldChar w:fldCharType="end"/>
      </w:r>
      <w:r>
        <w:rPr>
          <w:rFonts w:hint="cs"/>
          <w:rtl/>
        </w:rPr>
        <w:t xml:space="preserve">  דהיא בחזקת כשרות, כיון שרוב בהמות אינם טריפות.</w:t>
      </w:r>
    </w:p>
    <w:p w14:paraId="46F12EA2" w14:textId="77777777" w:rsidR="00852065" w:rsidRDefault="00852065" w:rsidP="006D6D32">
      <w:pPr>
        <w:pStyle w:val="a3"/>
        <w:rPr>
          <w:rtl/>
        </w:rPr>
      </w:pPr>
      <w:bookmarkStart w:id="2740" w:name="_Toc522810080"/>
      <w:bookmarkStart w:id="2741" w:name="_Toc19389377"/>
      <w:bookmarkStart w:id="2742" w:name="_Toc19392874"/>
      <w:r>
        <w:rPr>
          <w:rFonts w:hint="cs"/>
          <w:rtl/>
        </w:rPr>
        <w:t>קושית הקה"י דבנשמטה הגרוגרת אמאי אין לה חזקת היתר לרש"י</w:t>
      </w:r>
      <w:bookmarkEnd w:id="2740"/>
      <w:bookmarkEnd w:id="2741"/>
      <w:bookmarkEnd w:id="2742"/>
    </w:p>
    <w:p w14:paraId="2D96EA8C" w14:textId="77777777" w:rsidR="00852065" w:rsidRDefault="00852065" w:rsidP="00223668">
      <w:pPr>
        <w:pStyle w:val="a0"/>
        <w:rPr>
          <w:rtl/>
        </w:rPr>
      </w:pPr>
      <w:r>
        <w:rPr>
          <w:rFonts w:hint="cs"/>
          <w:rtl/>
        </w:rPr>
        <w:t xml:space="preserve">אך הקשה </w:t>
      </w:r>
      <w:r w:rsidRPr="0066694A">
        <w:rPr>
          <w:rStyle w:val="af9"/>
          <w:rFonts w:hint="cs"/>
          <w:rtl/>
        </w:rPr>
        <w:t>הקה"י</w:t>
      </w:r>
      <w:r>
        <w:rPr>
          <w:rFonts w:hint="cs"/>
          <w:rtl/>
        </w:rPr>
        <w:t xml:space="preserve"> </w:t>
      </w:r>
      <w:r w:rsidRPr="0066694A">
        <w:rPr>
          <w:rStyle w:val="af7"/>
          <w:rFonts w:eastAsia="Guttman Hodes" w:hint="cs"/>
          <w:rtl/>
        </w:rPr>
        <w:t>(סי' ו' ב')</w:t>
      </w:r>
      <w:r>
        <w:rPr>
          <w:rFonts w:hint="cs"/>
          <w:rtl/>
        </w:rPr>
        <w:t xml:space="preserve"> דבנשמטה הגרוגרת איתא בגמ' לקמן </w:t>
      </w:r>
      <w:r w:rsidRPr="0066694A">
        <w:rPr>
          <w:rStyle w:val="af7"/>
          <w:rFonts w:eastAsia="Guttman Hodes" w:hint="cs"/>
          <w:rtl/>
        </w:rPr>
        <w:t xml:space="preserve">(י.) </w:t>
      </w:r>
      <w:r>
        <w:rPr>
          <w:rFonts w:hint="cs"/>
          <w:rtl/>
        </w:rPr>
        <w:t xml:space="preserve">דהוא ספק בשחיטה ופסול, וכתב </w:t>
      </w:r>
      <w:r w:rsidRPr="0066694A">
        <w:rPr>
          <w:rStyle w:val="af9"/>
          <w:rFonts w:hint="cs"/>
          <w:rtl/>
        </w:rPr>
        <w:t>רש"י</w:t>
      </w:r>
      <w:r>
        <w:rPr>
          <w:rFonts w:hint="cs"/>
          <w:rtl/>
        </w:rPr>
        <w:t xml:space="preserve"> </w:t>
      </w:r>
      <w:r w:rsidRPr="0066694A">
        <w:rPr>
          <w:rStyle w:val="af7"/>
          <w:rFonts w:eastAsia="Guttman Hodes" w:hint="cs"/>
          <w:rtl/>
        </w:rPr>
        <w:t>(י. ד"ה נשמטה)</w:t>
      </w:r>
      <w:r>
        <w:rPr>
          <w:rFonts w:hint="cs"/>
          <w:rtl/>
        </w:rPr>
        <w:t xml:space="preserve"> [וכ"כ </w:t>
      </w:r>
      <w:r w:rsidRPr="0066694A">
        <w:rPr>
          <w:rStyle w:val="af9"/>
          <w:rFonts w:hint="cs"/>
          <w:rtl/>
        </w:rPr>
        <w:t>התוס'</w:t>
      </w:r>
      <w:r>
        <w:rPr>
          <w:rFonts w:hint="cs"/>
          <w:rtl/>
        </w:rPr>
        <w:t xml:space="preserve"> </w:t>
      </w:r>
      <w:r w:rsidRPr="0066694A">
        <w:rPr>
          <w:rStyle w:val="af7"/>
          <w:rFonts w:eastAsia="Guttman Hodes" w:hint="cs"/>
          <w:rtl/>
        </w:rPr>
        <w:t>(ט. ד"ה כולהו)</w:t>
      </w:r>
      <w:r>
        <w:rPr>
          <w:rFonts w:hint="cs"/>
          <w:rtl/>
        </w:rPr>
        <w:t xml:space="preserve"> בדעת </w:t>
      </w:r>
      <w:r w:rsidRPr="0066694A">
        <w:rPr>
          <w:rStyle w:val="af9"/>
          <w:rFonts w:hint="cs"/>
          <w:rtl/>
        </w:rPr>
        <w:t>רש"י</w:t>
      </w:r>
      <w:r>
        <w:rPr>
          <w:rFonts w:hint="cs"/>
          <w:rtl/>
        </w:rPr>
        <w:t xml:space="preserve">] דהוא ספק טריפה, וא"כ אמאי לא מוקמינן לה על חזקתה דאינה טריפה, ואמאי אמרינן דהוא ספק בשחיטה ואסור, [ורק לדעת </w:t>
      </w:r>
      <w:r w:rsidRPr="0066694A">
        <w:rPr>
          <w:rStyle w:val="af9"/>
          <w:rFonts w:hint="cs"/>
          <w:rtl/>
        </w:rPr>
        <w:t>הבה"ג</w:t>
      </w:r>
      <w:r>
        <w:rPr>
          <w:rFonts w:hint="cs"/>
          <w:rtl/>
        </w:rPr>
        <w:t xml:space="preserve"> שהביאו </w:t>
      </w:r>
      <w:r w:rsidRPr="0066694A">
        <w:rPr>
          <w:rStyle w:val="af9"/>
          <w:rFonts w:hint="cs"/>
          <w:rtl/>
        </w:rPr>
        <w:t>התוס'</w:t>
      </w:r>
      <w:r>
        <w:rPr>
          <w:rFonts w:hint="cs"/>
          <w:rtl/>
        </w:rPr>
        <w:t xml:space="preserve"> </w:t>
      </w:r>
      <w:r w:rsidRPr="0066694A">
        <w:rPr>
          <w:rStyle w:val="af7"/>
          <w:rFonts w:eastAsia="Guttman Hodes" w:hint="cs"/>
          <w:rtl/>
        </w:rPr>
        <w:t>(ט. ד"ה כולהו)</w:t>
      </w:r>
      <w:r>
        <w:rPr>
          <w:rFonts w:hint="cs"/>
          <w:rtl/>
        </w:rPr>
        <w:t xml:space="preserve"> דהוא ספק בשחיטה מיושב].</w:t>
      </w:r>
    </w:p>
    <w:p w14:paraId="11B0D3B4" w14:textId="77777777" w:rsidR="00852065" w:rsidRDefault="00852065" w:rsidP="006D6D32">
      <w:pPr>
        <w:pStyle w:val="a3"/>
        <w:rPr>
          <w:rtl/>
        </w:rPr>
      </w:pPr>
      <w:bookmarkStart w:id="2743" w:name="_Toc522810081"/>
      <w:bookmarkStart w:id="2744" w:name="_Toc19389378"/>
      <w:bookmarkStart w:id="2745" w:name="_Toc19392875"/>
      <w:r>
        <w:rPr>
          <w:rFonts w:hint="cs"/>
          <w:rtl/>
        </w:rPr>
        <w:t>ביאור הקה"י דלרש"י אסורה מדין מחזיקין מאיסור לאיסור והוי ספק בשחיטה דלא הוחזקה בהיתר</w:t>
      </w:r>
      <w:bookmarkEnd w:id="2743"/>
      <w:bookmarkEnd w:id="2744"/>
      <w:bookmarkEnd w:id="2745"/>
    </w:p>
    <w:p w14:paraId="47B667DF" w14:textId="77777777" w:rsidR="00852065" w:rsidRPr="0056333F" w:rsidRDefault="00852065" w:rsidP="00223668">
      <w:pPr>
        <w:pStyle w:val="a0"/>
        <w:rPr>
          <w:rtl/>
        </w:rPr>
      </w:pPr>
      <w:r>
        <w:rPr>
          <w:rFonts w:hint="cs"/>
          <w:rtl/>
        </w:rPr>
        <w:t xml:space="preserve">ותירץ </w:t>
      </w:r>
      <w:r w:rsidRPr="009A52E1">
        <w:rPr>
          <w:rStyle w:val="af9"/>
          <w:rFonts w:hint="cs"/>
          <w:rtl/>
        </w:rPr>
        <w:t>הקה"י</w:t>
      </w:r>
      <w:r>
        <w:rPr>
          <w:rFonts w:hint="cs"/>
          <w:rtl/>
        </w:rPr>
        <w:t xml:space="preserve"> </w:t>
      </w:r>
      <w:r w:rsidRPr="009A52E1">
        <w:rPr>
          <w:rStyle w:val="af7"/>
          <w:rFonts w:eastAsia="Guttman Hodes" w:hint="cs"/>
          <w:rtl/>
        </w:rPr>
        <w:t>(ד"ה ונראה)</w:t>
      </w:r>
      <w:r>
        <w:rPr>
          <w:rFonts w:hint="cs"/>
          <w:rtl/>
        </w:rPr>
        <w:t xml:space="preserve"> דכיון </w:t>
      </w:r>
      <w:r w:rsidRPr="009A52E1">
        <w:rPr>
          <w:rStyle w:val="af9"/>
          <w:rFonts w:hint="cs"/>
          <w:rtl/>
        </w:rPr>
        <w:t>דרש"י</w:t>
      </w:r>
      <w:r>
        <w:rPr>
          <w:rFonts w:hint="cs"/>
          <w:rtl/>
        </w:rPr>
        <w:t xml:space="preserve"> </w:t>
      </w:r>
      <w:r w:rsidRPr="009A52E1">
        <w:rPr>
          <w:rStyle w:val="af7"/>
          <w:rFonts w:eastAsia="Guttman Hodes" w:hint="cs"/>
          <w:rtl/>
        </w:rPr>
        <w:t>(ד"ה בהמה)</w:t>
      </w:r>
      <w:r>
        <w:rPr>
          <w:rFonts w:hint="cs"/>
          <w:rtl/>
        </w:rPr>
        <w:t xml:space="preserve"> ס"ל דמחזיקין מאיסור לאיסור, והיא אסורה דמחזיקין מאיסור אבר מן החי לאיסור נבילה, א"כ גם כשנולד בה ספק מחיים או בשעת השחיטה אם נטרפה, עדיין היא בחזקת איסור אבר מן החי, ומחזיקין מאיסור לאיסור,  ורק לאחר השחיטה ובדיקת הסימנים, יש לה חזקה מכח רוב שאינה טריפה. וביאר </w:t>
      </w:r>
      <w:r w:rsidRPr="005C49F1">
        <w:rPr>
          <w:rStyle w:val="af9"/>
          <w:rFonts w:hint="cs"/>
          <w:rtl/>
        </w:rPr>
        <w:t>הקה"י</w:t>
      </w:r>
      <w:r>
        <w:rPr>
          <w:rFonts w:hint="cs"/>
          <w:rtl/>
        </w:rPr>
        <w:t xml:space="preserve"> דלכן אף לדעת </w:t>
      </w:r>
      <w:r w:rsidRPr="005C49F1">
        <w:rPr>
          <w:rStyle w:val="af9"/>
          <w:rFonts w:hint="cs"/>
          <w:rtl/>
        </w:rPr>
        <w:t xml:space="preserve">רש"י </w:t>
      </w:r>
      <w:r>
        <w:rPr>
          <w:rFonts w:hint="cs"/>
          <w:rtl/>
        </w:rPr>
        <w:t>בנשמטה הגרגרת חשיב ספק בשחיטה, דכל שלא הוחזקה בהיתר אחר השחיטה יש לה חזקת איסור אף לדין טריפה, ומחזיקין מאיסור אבר מן החי לאיסור טריפה.</w:t>
      </w:r>
    </w:p>
    <w:p w14:paraId="3BBBBACA" w14:textId="77777777" w:rsidR="00852065" w:rsidRDefault="00852065" w:rsidP="006D6D32">
      <w:pPr>
        <w:pStyle w:val="a3"/>
        <w:rPr>
          <w:rtl/>
        </w:rPr>
      </w:pPr>
      <w:bookmarkStart w:id="2746" w:name="_Toc522810082"/>
      <w:bookmarkStart w:id="2747" w:name="_Toc19389379"/>
      <w:bookmarkStart w:id="2748" w:name="_Toc19392876"/>
      <w:r>
        <w:rPr>
          <w:rFonts w:hint="cs"/>
          <w:rtl/>
        </w:rPr>
        <w:t>ביאור הקה"י בתוס' דס"ל כבה"ג דשמוטה אינה כשחוטה ולכן אין לה חזקת כשרות</w:t>
      </w:r>
      <w:bookmarkEnd w:id="2746"/>
      <w:bookmarkEnd w:id="2747"/>
      <w:bookmarkEnd w:id="2748"/>
    </w:p>
    <w:p w14:paraId="2BF9BCFD" w14:textId="77777777" w:rsidR="00852065" w:rsidRPr="00A86D57" w:rsidRDefault="00852065" w:rsidP="00223668">
      <w:pPr>
        <w:pStyle w:val="a0"/>
        <w:rPr>
          <w:rtl/>
        </w:rPr>
      </w:pPr>
      <w:r>
        <w:rPr>
          <w:rFonts w:hint="cs"/>
          <w:rtl/>
        </w:rPr>
        <w:t xml:space="preserve">ובדעת </w:t>
      </w:r>
      <w:r w:rsidRPr="006475D2">
        <w:rPr>
          <w:rStyle w:val="af9"/>
          <w:rFonts w:hint="cs"/>
          <w:rtl/>
        </w:rPr>
        <w:t>התוס'</w:t>
      </w:r>
      <w:r>
        <w:rPr>
          <w:rFonts w:hint="cs"/>
          <w:rtl/>
        </w:rPr>
        <w:t xml:space="preserve"> כתב </w:t>
      </w:r>
      <w:r w:rsidRPr="006475D2">
        <w:rPr>
          <w:rStyle w:val="af9"/>
          <w:rFonts w:hint="cs"/>
          <w:rtl/>
        </w:rPr>
        <w:t>הקה"י</w:t>
      </w:r>
      <w:r>
        <w:rPr>
          <w:rFonts w:hint="cs"/>
          <w:rtl/>
        </w:rPr>
        <w:t xml:space="preserve"> </w:t>
      </w:r>
      <w:r w:rsidRPr="006475D2">
        <w:rPr>
          <w:rStyle w:val="af7"/>
          <w:rFonts w:eastAsia="Guttman Hodes" w:hint="cs"/>
          <w:rtl/>
        </w:rPr>
        <w:t xml:space="preserve">(ד"ה אבל) </w:t>
      </w:r>
      <w:r>
        <w:rPr>
          <w:rFonts w:hint="cs"/>
          <w:rtl/>
        </w:rPr>
        <w:t xml:space="preserve">דאף דכתבו </w:t>
      </w:r>
      <w:r w:rsidRPr="006475D2">
        <w:rPr>
          <w:rStyle w:val="af9"/>
          <w:rFonts w:hint="cs"/>
          <w:rtl/>
        </w:rPr>
        <w:t>התוס' לקמן</w:t>
      </w:r>
      <w:r>
        <w:rPr>
          <w:rFonts w:hint="cs"/>
          <w:rtl/>
        </w:rPr>
        <w:t xml:space="preserve"> </w:t>
      </w:r>
      <w:r w:rsidRPr="006475D2">
        <w:rPr>
          <w:rStyle w:val="af7"/>
          <w:rFonts w:eastAsia="Guttman Hodes" w:hint="cs"/>
          <w:rtl/>
        </w:rPr>
        <w:t xml:space="preserve">(מג: ד"ה קסבר) </w:t>
      </w:r>
      <w:r>
        <w:rPr>
          <w:rFonts w:hint="cs"/>
          <w:rtl/>
        </w:rPr>
        <w:t xml:space="preserve">דאף כשנולד הספק מחיים יש לה חזקת כשרות לענין  טריפה, מ"מ לא קשה אמאי בספק שמוטה חשיב ספק בשחיטה, ואינו ספק טריפה, ואפשר להחזיק בכשרות אף מחיים, דהא </w:t>
      </w:r>
      <w:r w:rsidRPr="006475D2">
        <w:rPr>
          <w:rStyle w:val="af9"/>
          <w:rFonts w:hint="cs"/>
          <w:rtl/>
        </w:rPr>
        <w:t>התוס'</w:t>
      </w:r>
      <w:r>
        <w:rPr>
          <w:rFonts w:hint="cs"/>
          <w:rtl/>
        </w:rPr>
        <w:t xml:space="preserve"> </w:t>
      </w:r>
      <w:r w:rsidRPr="006475D2">
        <w:rPr>
          <w:rStyle w:val="af7"/>
          <w:rFonts w:eastAsia="Guttman Hodes" w:hint="cs"/>
          <w:rtl/>
        </w:rPr>
        <w:t xml:space="preserve">(ט. ד"ה כולהו) </w:t>
      </w:r>
      <w:r>
        <w:rPr>
          <w:rFonts w:hint="cs"/>
          <w:rtl/>
        </w:rPr>
        <w:t xml:space="preserve">ס"ל כדעת </w:t>
      </w:r>
      <w:r w:rsidRPr="006475D2">
        <w:rPr>
          <w:rStyle w:val="af9"/>
          <w:rFonts w:hint="cs"/>
          <w:rtl/>
        </w:rPr>
        <w:t>הבה"ג</w:t>
      </w:r>
      <w:r>
        <w:rPr>
          <w:rFonts w:hint="cs"/>
          <w:rtl/>
        </w:rPr>
        <w:t xml:space="preserve"> דשמוטה אינה בכלל שחוטה כלל, וא"כ הוא ספק בשחיטה ולכן אסורה.</w:t>
      </w:r>
    </w:p>
    <w:p w14:paraId="26D3F514" w14:textId="77777777" w:rsidR="00852065" w:rsidRPr="00ED6043" w:rsidRDefault="00852065" w:rsidP="00BF39B2">
      <w:pPr>
        <w:pStyle w:val="1"/>
        <w:rPr>
          <w:rtl/>
        </w:rPr>
      </w:pPr>
      <w:bookmarkStart w:id="2749" w:name="_Toc522790332"/>
      <w:bookmarkStart w:id="2750" w:name="_Toc522800831"/>
      <w:bookmarkStart w:id="2751" w:name="_Toc522800939"/>
      <w:bookmarkStart w:id="2752" w:name="_Toc522810083"/>
      <w:bookmarkStart w:id="2753" w:name="_Toc19389380"/>
      <w:bookmarkStart w:id="2754" w:name="_Toc19392877"/>
      <w:r w:rsidRPr="00ED6043">
        <w:rPr>
          <w:rFonts w:hint="cs"/>
          <w:rtl/>
        </w:rPr>
        <w:t>ביאור הקה"י בדעת רבינו יונה</w:t>
      </w:r>
      <w:bookmarkEnd w:id="2749"/>
      <w:bookmarkEnd w:id="2750"/>
      <w:bookmarkEnd w:id="2751"/>
      <w:bookmarkEnd w:id="2752"/>
      <w:bookmarkEnd w:id="2753"/>
      <w:bookmarkEnd w:id="2754"/>
    </w:p>
    <w:p w14:paraId="2C6DB877" w14:textId="77777777" w:rsidR="00852065" w:rsidRDefault="00852065" w:rsidP="006D6D32">
      <w:pPr>
        <w:pStyle w:val="a3"/>
        <w:rPr>
          <w:rtl/>
        </w:rPr>
      </w:pPr>
      <w:bookmarkStart w:id="2755" w:name="_Toc522810084"/>
      <w:bookmarkStart w:id="2756" w:name="_Toc19389381"/>
      <w:bookmarkStart w:id="2757" w:name="_Toc19392878"/>
      <w:r>
        <w:rPr>
          <w:rFonts w:hint="cs"/>
          <w:rtl/>
        </w:rPr>
        <w:t>דברי הקה"י דאפש"ל דרבינו יונה מודה לתוס' בספק דרוסה שאינו בגוף הבהמה</w:t>
      </w:r>
      <w:bookmarkEnd w:id="2755"/>
      <w:bookmarkEnd w:id="2756"/>
      <w:bookmarkEnd w:id="2757"/>
    </w:p>
    <w:p w14:paraId="084A698D" w14:textId="77777777" w:rsidR="00852065" w:rsidRDefault="00852065" w:rsidP="00223668">
      <w:pPr>
        <w:pStyle w:val="a0"/>
        <w:rPr>
          <w:rtl/>
        </w:rPr>
      </w:pPr>
      <w:r>
        <w:rPr>
          <w:rFonts w:hint="cs"/>
          <w:rtl/>
        </w:rPr>
        <w:t xml:space="preserve">וכתב </w:t>
      </w:r>
      <w:r w:rsidRPr="008B5F0C">
        <w:rPr>
          <w:rStyle w:val="af9"/>
          <w:rFonts w:hint="cs"/>
          <w:rtl/>
        </w:rPr>
        <w:t>הקה"י</w:t>
      </w:r>
      <w:r>
        <w:rPr>
          <w:rFonts w:hint="cs"/>
          <w:rtl/>
        </w:rPr>
        <w:t xml:space="preserve"> </w:t>
      </w:r>
      <w:r w:rsidRPr="006C4F17">
        <w:rPr>
          <w:rStyle w:val="af7"/>
          <w:rFonts w:eastAsia="Guttman Hodes" w:hint="cs"/>
          <w:rtl/>
        </w:rPr>
        <w:t>(סי' ו' אות ג')</w:t>
      </w:r>
      <w:r>
        <w:rPr>
          <w:rFonts w:hint="cs"/>
          <w:rtl/>
        </w:rPr>
        <w:t xml:space="preserve"> דכיון דמבואר </w:t>
      </w:r>
      <w:r w:rsidRPr="00E7790D">
        <w:rPr>
          <w:rStyle w:val="af9"/>
          <w:rFonts w:hint="cs"/>
          <w:rtl/>
        </w:rPr>
        <w:t>בתוס' לקמן</w:t>
      </w:r>
      <w:r>
        <w:rPr>
          <w:rFonts w:hint="cs"/>
          <w:rtl/>
        </w:rPr>
        <w:t xml:space="preserve"> </w:t>
      </w:r>
      <w:r w:rsidRPr="006C4F17">
        <w:rPr>
          <w:rStyle w:val="af7"/>
          <w:rFonts w:eastAsia="Guttman Hodes" w:hint="cs"/>
          <w:rtl/>
        </w:rPr>
        <w:t xml:space="preserve">(עי' אות </w:t>
      </w:r>
      <w:r w:rsidRPr="006C4F17">
        <w:rPr>
          <w:rStyle w:val="af7"/>
          <w:rFonts w:eastAsia="Guttman Hodes"/>
          <w:rtl/>
        </w:rPr>
        <w:fldChar w:fldCharType="begin"/>
      </w:r>
      <w:r w:rsidRPr="006C4F17">
        <w:rPr>
          <w:rStyle w:val="af7"/>
          <w:rFonts w:eastAsia="Guttman Hodes"/>
          <w:rtl/>
        </w:rPr>
        <w:instrText xml:space="preserve"> </w:instrText>
      </w:r>
      <w:r w:rsidRPr="006C4F17">
        <w:rPr>
          <w:rStyle w:val="af7"/>
          <w:rFonts w:eastAsia="Guttman Hodes" w:hint="cs"/>
        </w:rPr>
        <w:instrText>REF</w:instrText>
      </w:r>
      <w:r w:rsidRPr="006C4F17">
        <w:rPr>
          <w:rStyle w:val="af7"/>
          <w:rFonts w:eastAsia="Guttman Hodes" w:hint="cs"/>
          <w:rtl/>
        </w:rPr>
        <w:instrText xml:space="preserve"> _</w:instrText>
      </w:r>
      <w:r w:rsidRPr="006C4F17">
        <w:rPr>
          <w:rStyle w:val="af7"/>
          <w:rFonts w:eastAsia="Guttman Hodes" w:hint="cs"/>
        </w:rPr>
        <w:instrText>Ref522479252 \r \h</w:instrText>
      </w:r>
      <w:r w:rsidRPr="006C4F17">
        <w:rPr>
          <w:rStyle w:val="af7"/>
          <w:rFonts w:eastAsia="Guttman Hodes"/>
          <w:rtl/>
        </w:rPr>
        <w:instrText xml:space="preserve"> </w:instrText>
      </w:r>
      <w:r w:rsidRPr="006C4F17">
        <w:rPr>
          <w:rStyle w:val="af7"/>
          <w:rFonts w:eastAsia="Guttman Hodes"/>
          <w:rtl/>
        </w:rPr>
      </w:r>
      <w:r w:rsidRPr="006C4F17">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6C4F17">
        <w:rPr>
          <w:rStyle w:val="af7"/>
          <w:rFonts w:eastAsia="Guttman Hodes"/>
          <w:rtl/>
        </w:rPr>
        <w:fldChar w:fldCharType="end"/>
      </w:r>
      <w:r>
        <w:rPr>
          <w:rFonts w:hint="cs"/>
          <w:rtl/>
        </w:rPr>
        <w:t xml:space="preserve"> דרק במקום דשכיח איסורא יש לה חזקת איסור, אבל בספק השקול אינה בחזקת איסור, א"כ משמע </w:t>
      </w:r>
      <w:r w:rsidRPr="00E7790D">
        <w:rPr>
          <w:rStyle w:val="af9"/>
          <w:rFonts w:hint="cs"/>
          <w:rtl/>
        </w:rPr>
        <w:t xml:space="preserve">דהתוס' </w:t>
      </w:r>
      <w:r>
        <w:rPr>
          <w:rFonts w:hint="cs"/>
          <w:rtl/>
        </w:rPr>
        <w:t xml:space="preserve">פליגי על </w:t>
      </w:r>
      <w:r w:rsidRPr="00E7790D">
        <w:rPr>
          <w:rStyle w:val="af9"/>
          <w:rFonts w:hint="cs"/>
          <w:rtl/>
        </w:rPr>
        <w:t>רבינו יונה</w:t>
      </w:r>
      <w:r>
        <w:rPr>
          <w:rFonts w:hint="cs"/>
          <w:rtl/>
        </w:rPr>
        <w:t xml:space="preserve"> </w:t>
      </w:r>
      <w:r w:rsidRPr="006C4F17">
        <w:rPr>
          <w:rStyle w:val="af7"/>
          <w:rFonts w:eastAsia="Guttman Hodes" w:hint="cs"/>
          <w:rtl/>
        </w:rPr>
        <w:t xml:space="preserve">(עי' אות </w:t>
      </w:r>
      <w:r w:rsidRPr="006C4F17">
        <w:rPr>
          <w:rStyle w:val="af7"/>
          <w:rFonts w:eastAsia="Guttman Hodes"/>
          <w:rtl/>
        </w:rPr>
        <w:fldChar w:fldCharType="begin"/>
      </w:r>
      <w:r w:rsidRPr="006C4F17">
        <w:rPr>
          <w:rStyle w:val="af7"/>
          <w:rFonts w:eastAsia="Guttman Hodes"/>
          <w:rtl/>
        </w:rPr>
        <w:instrText xml:space="preserve"> </w:instrText>
      </w:r>
      <w:r w:rsidRPr="006C4F17">
        <w:rPr>
          <w:rStyle w:val="af7"/>
          <w:rFonts w:eastAsia="Guttman Hodes" w:hint="cs"/>
        </w:rPr>
        <w:instrText>REF</w:instrText>
      </w:r>
      <w:r w:rsidRPr="006C4F17">
        <w:rPr>
          <w:rStyle w:val="af7"/>
          <w:rFonts w:eastAsia="Guttman Hodes" w:hint="cs"/>
          <w:rtl/>
        </w:rPr>
        <w:instrText xml:space="preserve"> _</w:instrText>
      </w:r>
      <w:r w:rsidRPr="006C4F17">
        <w:rPr>
          <w:rStyle w:val="af7"/>
          <w:rFonts w:eastAsia="Guttman Hodes" w:hint="cs"/>
        </w:rPr>
        <w:instrText>Ref522636864 \r \h</w:instrText>
      </w:r>
      <w:r w:rsidRPr="006C4F17">
        <w:rPr>
          <w:rStyle w:val="af7"/>
          <w:rFonts w:eastAsia="Guttman Hodes"/>
          <w:rtl/>
        </w:rPr>
        <w:instrText xml:space="preserve"> </w:instrText>
      </w:r>
      <w:r w:rsidRPr="006C4F17">
        <w:rPr>
          <w:rStyle w:val="af7"/>
          <w:rFonts w:eastAsia="Guttman Hodes"/>
          <w:rtl/>
        </w:rPr>
      </w:r>
      <w:r w:rsidRPr="006C4F17">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6C4F17">
        <w:rPr>
          <w:rStyle w:val="af7"/>
          <w:rFonts w:eastAsia="Guttman Hodes"/>
          <w:rtl/>
        </w:rPr>
        <w:fldChar w:fldCharType="end"/>
      </w:r>
      <w:r>
        <w:rPr>
          <w:rFonts w:hint="cs"/>
          <w:rtl/>
        </w:rPr>
        <w:t xml:space="preserve"> דכתב דבספק שאין במה לתלות להיתר, היא בחזקת איסור, דלדעת </w:t>
      </w:r>
      <w:r w:rsidRPr="00E7790D">
        <w:rPr>
          <w:rStyle w:val="af9"/>
          <w:rFonts w:hint="cs"/>
          <w:rtl/>
        </w:rPr>
        <w:t xml:space="preserve">התוס' </w:t>
      </w:r>
      <w:r>
        <w:rPr>
          <w:rFonts w:hint="cs"/>
          <w:rtl/>
        </w:rPr>
        <w:t xml:space="preserve">בכל ספק טריפה יש חזקת היתר, </w:t>
      </w:r>
      <w:r w:rsidRPr="006C4F17">
        <w:rPr>
          <w:rStyle w:val="afb"/>
          <w:rFonts w:hint="cs"/>
          <w:rtl/>
        </w:rPr>
        <w:t xml:space="preserve">[ועיי"ש דתלה </w:t>
      </w:r>
      <w:r w:rsidRPr="006C4F17">
        <w:rPr>
          <w:rStyle w:val="affa"/>
          <w:rFonts w:hint="cs"/>
          <w:rtl/>
        </w:rPr>
        <w:t>הקה"י</w:t>
      </w:r>
      <w:r w:rsidRPr="006C4F17">
        <w:rPr>
          <w:rStyle w:val="afb"/>
          <w:rFonts w:hint="cs"/>
          <w:rtl/>
        </w:rPr>
        <w:t xml:space="preserve"> את פלוגתת </w:t>
      </w:r>
      <w:r w:rsidRPr="006C4F17">
        <w:rPr>
          <w:rStyle w:val="affa"/>
          <w:rFonts w:hint="cs"/>
          <w:rtl/>
        </w:rPr>
        <w:t>התוס' ורבינו יונה</w:t>
      </w:r>
      <w:r w:rsidRPr="006C4F17">
        <w:rPr>
          <w:rStyle w:val="afb"/>
          <w:rFonts w:hint="cs"/>
          <w:rtl/>
        </w:rPr>
        <w:t xml:space="preserve">, בפלוגתת </w:t>
      </w:r>
      <w:r w:rsidRPr="006C4F17">
        <w:rPr>
          <w:rStyle w:val="affa"/>
          <w:rFonts w:hint="cs"/>
          <w:rtl/>
        </w:rPr>
        <w:t>רש"י והבה"ג</w:t>
      </w:r>
      <w:r w:rsidRPr="006C4F17">
        <w:rPr>
          <w:rStyle w:val="afb"/>
          <w:rFonts w:hint="cs"/>
          <w:rtl/>
        </w:rPr>
        <w:t xml:space="preserve"> בדין שמוטה].</w:t>
      </w:r>
      <w:r>
        <w:rPr>
          <w:rFonts w:hint="cs"/>
          <w:rtl/>
        </w:rPr>
        <w:t xml:space="preserve"> </w:t>
      </w:r>
      <w:bookmarkStart w:id="2758" w:name="_Toc522618808"/>
      <w:r>
        <w:rPr>
          <w:rFonts w:hint="cs"/>
          <w:rtl/>
        </w:rPr>
        <w:t>א</w:t>
      </w:r>
      <w:r w:rsidRPr="00ED6043">
        <w:rPr>
          <w:rFonts w:hint="cs"/>
          <w:rtl/>
        </w:rPr>
        <w:t xml:space="preserve">ך כתב </w:t>
      </w:r>
      <w:r w:rsidRPr="00ED6043">
        <w:rPr>
          <w:rStyle w:val="af9"/>
          <w:rFonts w:hint="cs"/>
          <w:rtl/>
        </w:rPr>
        <w:t>הקה"י</w:t>
      </w:r>
      <w:r w:rsidRPr="00ED6043">
        <w:rPr>
          <w:rFonts w:hint="cs"/>
          <w:rtl/>
        </w:rPr>
        <w:t xml:space="preserve"> </w:t>
      </w:r>
      <w:r w:rsidRPr="006C4F17">
        <w:rPr>
          <w:rStyle w:val="af7"/>
          <w:rFonts w:eastAsia="Guttman Hodes" w:hint="cs"/>
          <w:rtl/>
        </w:rPr>
        <w:t>(סי' ו' ג' ד"ה ושוב נראה)</w:t>
      </w:r>
      <w:r w:rsidRPr="00ED6043">
        <w:rPr>
          <w:rFonts w:hint="cs"/>
          <w:rtl/>
        </w:rPr>
        <w:t xml:space="preserve"> דאפש"ל דבספק דרוסה אף לדעת </w:t>
      </w:r>
      <w:r w:rsidRPr="00ED6043">
        <w:rPr>
          <w:rStyle w:val="af9"/>
          <w:rFonts w:hint="cs"/>
          <w:rtl/>
        </w:rPr>
        <w:t>רבינו יונה</w:t>
      </w:r>
      <w:r w:rsidRPr="00ED6043">
        <w:rPr>
          <w:rFonts w:hint="cs"/>
          <w:rtl/>
        </w:rPr>
        <w:t xml:space="preserve"> אין לה חזקת איסור, דכל דברי </w:t>
      </w:r>
      <w:r w:rsidRPr="006C4F17">
        <w:rPr>
          <w:rStyle w:val="af9"/>
          <w:rFonts w:hint="cs"/>
          <w:rtl/>
        </w:rPr>
        <w:t>הרבינו יונה</w:t>
      </w:r>
      <w:r w:rsidRPr="00ED6043">
        <w:rPr>
          <w:rFonts w:hint="cs"/>
          <w:rtl/>
        </w:rPr>
        <w:t xml:space="preserve"> דבספק השקול היא בחזקת איסור, זהו דוקא במקום שיש ספק בבהמה עצמה</w:t>
      </w:r>
      <w:r>
        <w:rPr>
          <w:rFonts w:hint="cs"/>
          <w:rtl/>
        </w:rPr>
        <w:t xml:space="preserve"> שמא יש בה אבר שמטריף אותה, אבל בספק דרוסה שאין דבר המטריף אותה לפנינו דהא אין אבר בגופה שהוא ספק טריפה, דחשיב שיש לה במה לתלות, והיא בחזקת היתר כמו בזאב.</w:t>
      </w:r>
    </w:p>
    <w:p w14:paraId="29C0022B" w14:textId="77777777" w:rsidR="00852065" w:rsidRDefault="00852065" w:rsidP="006D6D32">
      <w:pPr>
        <w:pStyle w:val="a3"/>
        <w:rPr>
          <w:rtl/>
        </w:rPr>
      </w:pPr>
      <w:bookmarkStart w:id="2759" w:name="_Toc522810085"/>
      <w:bookmarkStart w:id="2760" w:name="_Toc19389382"/>
      <w:bookmarkStart w:id="2761" w:name="_Toc19392879"/>
      <w:r>
        <w:rPr>
          <w:rFonts w:hint="cs"/>
          <w:rtl/>
        </w:rPr>
        <w:t>ביאור הקה"י ברבינו יונה דכשיש במה לתלות חשיב דיותר מסתבר להיתר  מלאיסור</w:t>
      </w:r>
      <w:bookmarkEnd w:id="2759"/>
      <w:bookmarkEnd w:id="2760"/>
      <w:bookmarkEnd w:id="2761"/>
    </w:p>
    <w:p w14:paraId="461FEB16" w14:textId="77777777" w:rsidR="00852065" w:rsidRDefault="00852065" w:rsidP="00223668">
      <w:pPr>
        <w:pStyle w:val="a0"/>
        <w:rPr>
          <w:rtl/>
        </w:rPr>
      </w:pPr>
      <w:r>
        <w:rPr>
          <w:rFonts w:hint="cs"/>
          <w:rtl/>
        </w:rPr>
        <w:t xml:space="preserve">ובביאור סברת </w:t>
      </w:r>
      <w:r w:rsidRPr="000664A4">
        <w:rPr>
          <w:rStyle w:val="af9"/>
          <w:rFonts w:hint="cs"/>
          <w:rtl/>
        </w:rPr>
        <w:t>רבינו יונה</w:t>
      </w:r>
      <w:r>
        <w:rPr>
          <w:rFonts w:hint="cs"/>
          <w:rtl/>
        </w:rPr>
        <w:t xml:space="preserve"> </w:t>
      </w:r>
      <w:r w:rsidRPr="003B2E9F">
        <w:rPr>
          <w:rStyle w:val="af7"/>
          <w:rFonts w:eastAsia="Guttman Hodes" w:hint="cs"/>
          <w:rtl/>
        </w:rPr>
        <w:t xml:space="preserve">(עי' אות </w:t>
      </w:r>
      <w:r w:rsidRPr="003B2E9F">
        <w:rPr>
          <w:rStyle w:val="af7"/>
          <w:rFonts w:eastAsia="Guttman Hodes"/>
          <w:rtl/>
        </w:rPr>
        <w:fldChar w:fldCharType="begin"/>
      </w:r>
      <w:r w:rsidRPr="003B2E9F">
        <w:rPr>
          <w:rStyle w:val="af7"/>
          <w:rFonts w:eastAsia="Guttman Hodes"/>
          <w:rtl/>
        </w:rPr>
        <w:instrText xml:space="preserve"> </w:instrText>
      </w:r>
      <w:r w:rsidRPr="003B2E9F">
        <w:rPr>
          <w:rStyle w:val="af7"/>
          <w:rFonts w:eastAsia="Guttman Hodes" w:hint="cs"/>
        </w:rPr>
        <w:instrText>REF</w:instrText>
      </w:r>
      <w:r w:rsidRPr="003B2E9F">
        <w:rPr>
          <w:rStyle w:val="af7"/>
          <w:rFonts w:eastAsia="Guttman Hodes" w:hint="cs"/>
          <w:rtl/>
        </w:rPr>
        <w:instrText xml:space="preserve"> _</w:instrText>
      </w:r>
      <w:r w:rsidRPr="003B2E9F">
        <w:rPr>
          <w:rStyle w:val="af7"/>
          <w:rFonts w:eastAsia="Guttman Hodes" w:hint="cs"/>
        </w:rPr>
        <w:instrText>Ref522727975 \r \h</w:instrText>
      </w:r>
      <w:r w:rsidRPr="003B2E9F">
        <w:rPr>
          <w:rStyle w:val="af7"/>
          <w:rFonts w:eastAsia="Guttman Hodes"/>
          <w:rtl/>
        </w:rPr>
        <w:instrText xml:space="preserve"> </w:instrText>
      </w:r>
      <w:r w:rsidRPr="003B2E9F">
        <w:rPr>
          <w:rStyle w:val="af7"/>
          <w:rFonts w:eastAsia="Guttman Hodes"/>
          <w:rtl/>
        </w:rPr>
      </w:r>
      <w:r w:rsidRPr="003B2E9F">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3B2E9F">
        <w:rPr>
          <w:rStyle w:val="af7"/>
          <w:rFonts w:eastAsia="Guttman Hodes"/>
          <w:rtl/>
        </w:rPr>
        <w:fldChar w:fldCharType="end"/>
      </w:r>
      <w:r>
        <w:rPr>
          <w:rFonts w:hint="cs"/>
          <w:rtl/>
        </w:rPr>
        <w:t xml:space="preserve"> דכתב דדוקא כשיש דבר לפנינו לתלות בו להיתר תלינן, כתב </w:t>
      </w:r>
      <w:r w:rsidRPr="000664A4">
        <w:rPr>
          <w:rStyle w:val="af9"/>
          <w:rFonts w:hint="cs"/>
          <w:rtl/>
        </w:rPr>
        <w:t>הקה"י</w:t>
      </w:r>
      <w:r>
        <w:rPr>
          <w:rFonts w:hint="cs"/>
          <w:rtl/>
        </w:rPr>
        <w:t xml:space="preserve"> </w:t>
      </w:r>
      <w:r w:rsidRPr="000664A4">
        <w:rPr>
          <w:rStyle w:val="af7"/>
          <w:rFonts w:eastAsia="Guttman Hodes" w:hint="cs"/>
          <w:rtl/>
        </w:rPr>
        <w:t xml:space="preserve">(סי' ו' אות ד') </w:t>
      </w:r>
      <w:r>
        <w:rPr>
          <w:rFonts w:hint="cs"/>
          <w:rtl/>
        </w:rPr>
        <w:t>דבפשטות אמרינן דכיון שיש דבר שאפשר לתלות בו להיתר, ואין דבר לתלות בו שמחמתו נעשה מחיים ואסורה, א"כ חשיב דהוא יותר מסתבר להיתר מלאיסור.</w:t>
      </w:r>
    </w:p>
    <w:p w14:paraId="518A7F10" w14:textId="77777777" w:rsidR="00852065" w:rsidRDefault="00852065" w:rsidP="006D6D32">
      <w:pPr>
        <w:pStyle w:val="a3"/>
        <w:rPr>
          <w:rtl/>
        </w:rPr>
      </w:pPr>
      <w:bookmarkStart w:id="2762" w:name="_Toc522810086"/>
      <w:bookmarkStart w:id="2763" w:name="_Toc19389383"/>
      <w:bookmarkStart w:id="2764" w:name="_Toc19392880"/>
      <w:r>
        <w:rPr>
          <w:rFonts w:hint="cs"/>
          <w:rtl/>
        </w:rPr>
        <w:t>ביאור הב' בקה"י דלרבינו יונה כשיש במה לתלות חשיב שאין ריעותא</w:t>
      </w:r>
      <w:bookmarkEnd w:id="2762"/>
      <w:bookmarkEnd w:id="2763"/>
      <w:bookmarkEnd w:id="2764"/>
    </w:p>
    <w:p w14:paraId="49395B02" w14:textId="77777777" w:rsidR="00852065" w:rsidRDefault="00852065" w:rsidP="00223668">
      <w:pPr>
        <w:pStyle w:val="a0"/>
        <w:rPr>
          <w:rtl/>
        </w:rPr>
      </w:pPr>
      <w:r>
        <w:rPr>
          <w:rFonts w:hint="cs"/>
          <w:rtl/>
        </w:rPr>
        <w:t xml:space="preserve">ועוד ביאר </w:t>
      </w:r>
      <w:r w:rsidRPr="000664A4">
        <w:rPr>
          <w:rStyle w:val="af9"/>
          <w:rFonts w:hint="cs"/>
          <w:rtl/>
        </w:rPr>
        <w:t>בקה"י</w:t>
      </w:r>
      <w:r>
        <w:rPr>
          <w:rFonts w:hint="cs"/>
          <w:rtl/>
        </w:rPr>
        <w:t xml:space="preserve"> בדעת </w:t>
      </w:r>
      <w:r w:rsidRPr="000664A4">
        <w:rPr>
          <w:rStyle w:val="af9"/>
          <w:rFonts w:hint="cs"/>
          <w:rtl/>
        </w:rPr>
        <w:t>רבינו יונה</w:t>
      </w:r>
      <w:r>
        <w:rPr>
          <w:rFonts w:hint="cs"/>
          <w:rtl/>
        </w:rPr>
        <w:t xml:space="preserve"> דכשיש דבר לפנינו לתלות בו, חשיב שאין ריעותא לפנינו, דמה שיש לפנינו ספק עכשיו, אינו עושה ריעותא מחיים, כיון שיש סיבה לתלות דנעשה לאחר השחיטה.</w:t>
      </w:r>
    </w:p>
    <w:p w14:paraId="38653F88" w14:textId="77777777" w:rsidR="00852065" w:rsidRPr="00C149B4" w:rsidRDefault="00852065" w:rsidP="006D6D32">
      <w:pPr>
        <w:pStyle w:val="a3"/>
        <w:rPr>
          <w:rtl/>
        </w:rPr>
      </w:pPr>
      <w:bookmarkStart w:id="2765" w:name="_Toc522810087"/>
      <w:bookmarkStart w:id="2766" w:name="_Toc19389384"/>
      <w:bookmarkStart w:id="2767" w:name="_Toc19392881"/>
      <w:r>
        <w:rPr>
          <w:rFonts w:hint="cs"/>
          <w:rtl/>
        </w:rPr>
        <w:t>דברי הקה"י דבזאב אינו ריעותא וכוונת הגמ' דהוא שאילה שיש לדון בה</w:t>
      </w:r>
      <w:bookmarkEnd w:id="2765"/>
      <w:bookmarkEnd w:id="2766"/>
      <w:bookmarkEnd w:id="2767"/>
    </w:p>
    <w:p w14:paraId="1F431C26" w14:textId="77777777" w:rsidR="00852065" w:rsidRDefault="00852065" w:rsidP="00223668">
      <w:pPr>
        <w:pStyle w:val="a0"/>
        <w:rPr>
          <w:rtl/>
        </w:rPr>
      </w:pPr>
      <w:r>
        <w:rPr>
          <w:rFonts w:hint="cs"/>
          <w:rtl/>
        </w:rPr>
        <w:t xml:space="preserve">וכתב </w:t>
      </w:r>
      <w:r w:rsidRPr="000664A4">
        <w:rPr>
          <w:rStyle w:val="af9"/>
          <w:rFonts w:hint="cs"/>
          <w:rtl/>
        </w:rPr>
        <w:t>הקה"י</w:t>
      </w:r>
      <w:r>
        <w:rPr>
          <w:rFonts w:hint="cs"/>
          <w:rtl/>
        </w:rPr>
        <w:t xml:space="preserve"> דאף דאמרינן בגמ' דזאב הוא ריעותא, היינו שהוא קצת ריעותא,  שהיא שאילה שיש לדון בה, אך אי"ז ממש ריעותא, ועיי"ש </w:t>
      </w:r>
      <w:r w:rsidRPr="000664A4">
        <w:rPr>
          <w:rStyle w:val="af9"/>
          <w:rFonts w:hint="cs"/>
          <w:rtl/>
        </w:rPr>
        <w:t>בקה"י</w:t>
      </w:r>
      <w:r>
        <w:rPr>
          <w:rFonts w:hint="cs"/>
          <w:rtl/>
        </w:rPr>
        <w:t xml:space="preserve"> דהאריך טובא להוכיח כן מדברי הגמ'.</w:t>
      </w:r>
    </w:p>
    <w:p w14:paraId="6C9BAC2D" w14:textId="77777777" w:rsidR="004F7FB1" w:rsidRPr="004F7FB1" w:rsidRDefault="004F7FB1" w:rsidP="006D6D32">
      <w:pPr>
        <w:pStyle w:val="a3"/>
        <w:rPr>
          <w:rtl/>
        </w:rPr>
        <w:sectPr w:rsidR="004F7FB1" w:rsidRPr="004F7FB1" w:rsidSect="001E3224">
          <w:type w:val="continuous"/>
          <w:pgSz w:w="11906" w:h="16838"/>
          <w:pgMar w:top="720" w:right="720" w:bottom="720" w:left="720" w:header="283" w:footer="283" w:gutter="0"/>
          <w:cols w:num="2" w:space="567"/>
          <w:bidi/>
          <w:rtlGutter/>
          <w:docGrid w:linePitch="299"/>
        </w:sectPr>
      </w:pPr>
    </w:p>
    <w:p w14:paraId="2B293A67" w14:textId="77777777" w:rsidR="00852065" w:rsidRDefault="00852065" w:rsidP="00223668">
      <w:pPr>
        <w:pStyle w:val="a0"/>
        <w:rPr>
          <w:rtl/>
        </w:rPr>
        <w:sectPr w:rsidR="00852065" w:rsidSect="00DC4DE5">
          <w:type w:val="continuous"/>
          <w:pgSz w:w="11906" w:h="16838"/>
          <w:pgMar w:top="720" w:right="720" w:bottom="720" w:left="720" w:header="283" w:footer="283" w:gutter="0"/>
          <w:cols w:num="2" w:space="567"/>
          <w:bidi/>
          <w:rtlGutter/>
          <w:docGrid w:linePitch="299"/>
        </w:sectPr>
      </w:pPr>
    </w:p>
    <w:bookmarkEnd w:id="2758"/>
    <w:p w14:paraId="67B2453A" w14:textId="77777777" w:rsidR="00D006F7" w:rsidRDefault="00D006F7" w:rsidP="006776B3">
      <w:pPr>
        <w:spacing w:before="240" w:line="240" w:lineRule="auto"/>
        <w:ind w:left="0"/>
        <w:jc w:val="center"/>
        <w:outlineLvl w:val="1"/>
        <w:rPr>
          <w:rFonts w:ascii="Guttman Adii-Light" w:eastAsia="Guttman Adii-Light" w:hAnsi="Guttman Adii-Light" w:cs="Guttman Adii-Light"/>
          <w:bCs/>
          <w:szCs w:val="28"/>
          <w:rtl/>
        </w:rPr>
        <w:sectPr w:rsidR="00D006F7" w:rsidSect="009D31CB">
          <w:headerReference w:type="default" r:id="rId29"/>
          <w:headerReference w:type="first" r:id="rId30"/>
          <w:type w:val="continuous"/>
          <w:pgSz w:w="11906" w:h="16838"/>
          <w:pgMar w:top="720" w:right="720" w:bottom="720" w:left="720" w:header="283" w:footer="283" w:gutter="0"/>
          <w:pgNumType w:fmt="hebrew1"/>
          <w:cols w:space="567"/>
          <w:bidi/>
          <w:rtlGutter/>
          <w:docGrid w:linePitch="299"/>
        </w:sectPr>
      </w:pPr>
    </w:p>
    <w:p w14:paraId="3D16AAAC" w14:textId="77777777" w:rsidR="00D742AE" w:rsidRDefault="00D742AE" w:rsidP="006776B3">
      <w:pPr>
        <w:spacing w:before="240" w:line="240" w:lineRule="auto"/>
        <w:ind w:left="0"/>
        <w:jc w:val="center"/>
        <w:outlineLvl w:val="1"/>
        <w:rPr>
          <w:rFonts w:ascii="Guttman Adii-Light" w:eastAsia="Guttman Adii-Light" w:hAnsi="Guttman Adii-Light" w:cs="Guttman Adii-Light"/>
          <w:bCs/>
          <w:szCs w:val="28"/>
          <w:rtl/>
        </w:rPr>
        <w:sectPr w:rsidR="00D742AE" w:rsidSect="001E3224">
          <w:headerReference w:type="default" r:id="rId31"/>
          <w:pgSz w:w="11906" w:h="16838"/>
          <w:pgMar w:top="720" w:right="720" w:bottom="720" w:left="720" w:header="283" w:footer="283" w:gutter="0"/>
          <w:cols w:space="567"/>
          <w:bidi/>
          <w:rtlGutter/>
          <w:docGrid w:linePitch="299"/>
        </w:sectPr>
      </w:pPr>
    </w:p>
    <w:p w14:paraId="299E51D7" w14:textId="77777777" w:rsidR="006776B3" w:rsidRDefault="006776B3" w:rsidP="006D6D32">
      <w:pPr>
        <w:pStyle w:val="afd"/>
        <w:rPr>
          <w:rtl/>
        </w:rPr>
      </w:pPr>
      <w:bookmarkStart w:id="2768" w:name="_Toc534142060"/>
      <w:bookmarkStart w:id="2769" w:name="_Toc16669725"/>
      <w:bookmarkStart w:id="2770" w:name="_Toc19435273"/>
      <w:bookmarkStart w:id="2771" w:name="_Toc20080622"/>
      <w:r>
        <w:rPr>
          <w:rFonts w:hint="cs"/>
          <w:rtl/>
        </w:rPr>
        <w:t>סימן ד'</w:t>
      </w:r>
      <w:bookmarkEnd w:id="2768"/>
      <w:bookmarkEnd w:id="2769"/>
      <w:bookmarkEnd w:id="2770"/>
      <w:bookmarkEnd w:id="2771"/>
    </w:p>
    <w:p w14:paraId="39B67847" w14:textId="77777777" w:rsidR="006776B3" w:rsidRDefault="006776B3" w:rsidP="006D6D32">
      <w:pPr>
        <w:pStyle w:val="afd"/>
        <w:rPr>
          <w:rtl/>
        </w:rPr>
      </w:pPr>
      <w:bookmarkStart w:id="2772" w:name="_Toc534142061"/>
      <w:bookmarkStart w:id="2773" w:name="_Toc16669726"/>
      <w:bookmarkStart w:id="2774" w:name="_Toc19435274"/>
      <w:bookmarkStart w:id="2775" w:name="_Toc20080623"/>
      <w:r>
        <w:rPr>
          <w:rFonts w:hint="cs"/>
          <w:rtl/>
        </w:rPr>
        <w:t>בסוגיא דהשוחט בסכין ונמצאת פגומה (א')</w:t>
      </w:r>
      <w:bookmarkEnd w:id="2772"/>
      <w:bookmarkEnd w:id="2773"/>
      <w:bookmarkEnd w:id="2774"/>
      <w:bookmarkEnd w:id="2775"/>
    </w:p>
    <w:p w14:paraId="28310719" w14:textId="77777777" w:rsidR="006776B3" w:rsidRDefault="006776B3" w:rsidP="006D6D32">
      <w:pPr>
        <w:pStyle w:val="afd"/>
        <w:rPr>
          <w:rtl/>
        </w:rPr>
      </w:pPr>
      <w:bookmarkStart w:id="2776" w:name="_Toc534142062"/>
      <w:bookmarkStart w:id="2777" w:name="_Toc16669727"/>
      <w:bookmarkStart w:id="2778" w:name="_Toc19435275"/>
      <w:bookmarkStart w:id="2779" w:name="_Toc20080624"/>
      <w:r>
        <w:rPr>
          <w:rFonts w:hint="cs"/>
          <w:rtl/>
        </w:rPr>
        <w:t>בחיוב הבדיקה ובדין אבד הסכין</w:t>
      </w:r>
      <w:bookmarkEnd w:id="2776"/>
      <w:bookmarkEnd w:id="2777"/>
      <w:bookmarkEnd w:id="2778"/>
      <w:bookmarkEnd w:id="2779"/>
    </w:p>
    <w:p w14:paraId="7BEA129C" w14:textId="77777777" w:rsidR="006776B3" w:rsidRDefault="006776B3" w:rsidP="006776B3">
      <w:pPr>
        <w:pStyle w:val="2"/>
        <w:rPr>
          <w:rtl/>
        </w:rPr>
      </w:pPr>
    </w:p>
    <w:p w14:paraId="5DD8E447" w14:textId="77777777" w:rsidR="006776B3" w:rsidRDefault="000A0C31" w:rsidP="006776B3">
      <w:pPr>
        <w:pStyle w:val="2"/>
      </w:pPr>
      <w:r>
        <w:rPr>
          <w:rFonts w:hint="cs"/>
          <w:rtl/>
        </w:rPr>
        <w:t>מפתח הסוגיא</w:t>
      </w:r>
    </w:p>
    <w:p w14:paraId="64BA7080" w14:textId="77777777" w:rsidR="006776B3" w:rsidRDefault="006776B3" w:rsidP="006776B3">
      <w:pPr>
        <w:pStyle w:val="aff4"/>
        <w:rPr>
          <w:rtl/>
        </w:rPr>
        <w:sectPr w:rsidR="006776B3" w:rsidSect="00A918C8">
          <w:headerReference w:type="default" r:id="rId32"/>
          <w:pgSz w:w="11906" w:h="16838"/>
          <w:pgMar w:top="720" w:right="720" w:bottom="720" w:left="720" w:header="283" w:footer="283" w:gutter="0"/>
          <w:cols w:space="567"/>
          <w:bidi/>
          <w:rtlGutter/>
          <w:docGrid w:linePitch="299"/>
        </w:sectPr>
      </w:pPr>
    </w:p>
    <w:p w14:paraId="5F7AD03D" w14:textId="77777777" w:rsidR="006776B3" w:rsidRDefault="006776B3" w:rsidP="006776B3">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bookmarkStart w:id="2780" w:name="_Toc19435277"/>
      <w:r>
        <w:rPr>
          <w:noProof/>
          <w:rtl/>
        </w:rPr>
        <w:t>מראי מקומות וביאורים על הסוגיא</w:t>
      </w:r>
      <w:bookmarkEnd w:id="2780"/>
    </w:p>
    <w:p w14:paraId="0593AA07" w14:textId="77777777" w:rsidR="006776B3" w:rsidRDefault="006776B3" w:rsidP="006776B3">
      <w:pPr>
        <w:pStyle w:val="2"/>
        <w:rPr>
          <w:rFonts w:eastAsiaTheme="minorEastAsia" w:cstheme="minorBidi"/>
          <w:i/>
          <w:iCs/>
          <w:noProof/>
          <w:sz w:val="22"/>
          <w:szCs w:val="22"/>
          <w:rtl/>
        </w:rPr>
      </w:pPr>
      <w:bookmarkStart w:id="2781" w:name="_Toc19435278"/>
      <w:r>
        <w:rPr>
          <w:noProof/>
          <w:rtl/>
        </w:rPr>
        <w:t>בחיוב הבדיקה לפני ולאחר השחיטה</w:t>
      </w:r>
      <w:bookmarkEnd w:id="2781"/>
    </w:p>
    <w:p w14:paraId="0CEE774F" w14:textId="77777777" w:rsidR="006776B3" w:rsidRDefault="006776B3" w:rsidP="006776B3">
      <w:pPr>
        <w:pStyle w:val="aff4"/>
        <w:rPr>
          <w:rFonts w:eastAsiaTheme="minorEastAsia" w:cstheme="minorBidi"/>
          <w:i/>
          <w:iCs/>
          <w:noProof/>
          <w:sz w:val="22"/>
          <w:szCs w:val="22"/>
          <w:rtl/>
        </w:rPr>
      </w:pPr>
      <w:bookmarkStart w:id="2782" w:name="_Toc19435279"/>
      <w:bookmarkStart w:id="2783" w:name="_Toc20080625"/>
      <w:r>
        <w:rPr>
          <w:noProof/>
          <w:rtl/>
        </w:rPr>
        <w:t>בחיוב בדיקת הסכין קודם השחיטה</w:t>
      </w:r>
      <w:bookmarkEnd w:id="2782"/>
      <w:bookmarkEnd w:id="2783"/>
    </w:p>
    <w:p w14:paraId="3363BDFC" w14:textId="77777777" w:rsidR="00EC5FFC" w:rsidRPr="005077A7" w:rsidRDefault="00EC5FFC" w:rsidP="00E12979">
      <w:pPr>
        <w:pStyle w:val="a"/>
        <w:numPr>
          <w:ilvl w:val="0"/>
          <w:numId w:val="21"/>
        </w:numPr>
        <w:rPr>
          <w:rFonts w:eastAsiaTheme="minorEastAsia" w:cstheme="minorBidi"/>
          <w:noProof/>
          <w:sz w:val="22"/>
          <w:szCs w:val="22"/>
        </w:rPr>
      </w:pPr>
      <w:r w:rsidRPr="00EC5FFC">
        <w:rPr>
          <w:noProof/>
          <w:rtl/>
        </w:rPr>
        <w:t xml:space="preserve">דברי רש"י דבדק את הסכין קודם השחיטה והיה שלם </w:t>
      </w:r>
    </w:p>
    <w:p w14:paraId="147C2D70" w14:textId="77777777" w:rsidR="006776B3" w:rsidRDefault="006776B3" w:rsidP="005077A7">
      <w:pPr>
        <w:pStyle w:val="a"/>
        <w:rPr>
          <w:rFonts w:eastAsiaTheme="minorEastAsia" w:cstheme="minorBidi"/>
          <w:noProof/>
          <w:sz w:val="22"/>
          <w:szCs w:val="22"/>
          <w:rtl/>
        </w:rPr>
      </w:pPr>
      <w:r>
        <w:rPr>
          <w:noProof/>
          <w:rtl/>
        </w:rPr>
        <w:t>הוכחת הרשב"א דבדק קודם השחיטה דסתם סכין אינו בדוק מהא דצריך לבדוק את סכינו של מומר</w:t>
      </w:r>
    </w:p>
    <w:p w14:paraId="7AE7E0B3" w14:textId="77777777" w:rsidR="006776B3" w:rsidRDefault="006776B3" w:rsidP="005077A7">
      <w:pPr>
        <w:pStyle w:val="a"/>
        <w:rPr>
          <w:rFonts w:eastAsiaTheme="minorEastAsia" w:cstheme="minorBidi"/>
          <w:noProof/>
          <w:sz w:val="22"/>
          <w:szCs w:val="22"/>
          <w:rtl/>
        </w:rPr>
      </w:pPr>
      <w:r>
        <w:rPr>
          <w:noProof/>
          <w:rtl/>
        </w:rPr>
        <w:t>דברי השיטמ"ק דכוונת הרשב"א דאף בסכין של שחיטה שהוא שמור חייב לבדוק קודם</w:t>
      </w:r>
    </w:p>
    <w:p w14:paraId="2CA42A04" w14:textId="77777777" w:rsidR="006776B3" w:rsidRDefault="006776B3" w:rsidP="005077A7">
      <w:pPr>
        <w:pStyle w:val="a"/>
        <w:rPr>
          <w:rFonts w:eastAsiaTheme="minorEastAsia" w:cstheme="minorBidi"/>
          <w:noProof/>
          <w:sz w:val="22"/>
          <w:szCs w:val="22"/>
          <w:rtl/>
        </w:rPr>
      </w:pPr>
      <w:r>
        <w:rPr>
          <w:noProof/>
          <w:rtl/>
        </w:rPr>
        <w:t>ביאור המאירי בטעם חיוב הבדיקה קודם השחיטה</w:t>
      </w:r>
    </w:p>
    <w:p w14:paraId="30ECA004" w14:textId="77777777" w:rsidR="006776B3" w:rsidRDefault="006776B3" w:rsidP="005077A7">
      <w:pPr>
        <w:pStyle w:val="a"/>
        <w:rPr>
          <w:rFonts w:eastAsiaTheme="minorEastAsia" w:cstheme="minorBidi"/>
          <w:noProof/>
          <w:sz w:val="22"/>
          <w:szCs w:val="22"/>
          <w:rtl/>
        </w:rPr>
      </w:pPr>
      <w:r>
        <w:rPr>
          <w:noProof/>
          <w:rtl/>
        </w:rPr>
        <w:t>דברי הרשב"א בתוה"ק דחיישינן שמא ישכח לבדוק לאחר השחיטה</w:t>
      </w:r>
    </w:p>
    <w:p w14:paraId="00C374A7" w14:textId="77777777" w:rsidR="006776B3" w:rsidRDefault="006776B3" w:rsidP="005077A7">
      <w:pPr>
        <w:pStyle w:val="a"/>
        <w:rPr>
          <w:rFonts w:eastAsiaTheme="minorEastAsia" w:cstheme="minorBidi"/>
          <w:noProof/>
          <w:sz w:val="22"/>
          <w:szCs w:val="22"/>
          <w:rtl/>
        </w:rPr>
      </w:pPr>
      <w:r>
        <w:rPr>
          <w:noProof/>
          <w:rtl/>
        </w:rPr>
        <w:t>דברי הגר"א דבלשון "במה" נשחטה מבואר שצריך לשחוט בסכין בדוק</w:t>
      </w:r>
    </w:p>
    <w:p w14:paraId="655ECACF" w14:textId="77777777" w:rsidR="006776B3" w:rsidRDefault="006776B3" w:rsidP="006776B3">
      <w:pPr>
        <w:pStyle w:val="aff4"/>
        <w:rPr>
          <w:rFonts w:eastAsiaTheme="minorEastAsia" w:cstheme="minorBidi"/>
          <w:i/>
          <w:iCs/>
          <w:noProof/>
          <w:sz w:val="22"/>
          <w:szCs w:val="22"/>
          <w:rtl/>
        </w:rPr>
      </w:pPr>
      <w:bookmarkStart w:id="2784" w:name="_Toc19435280"/>
      <w:bookmarkStart w:id="2785" w:name="_Toc20080626"/>
      <w:r>
        <w:rPr>
          <w:noProof/>
          <w:rtl/>
        </w:rPr>
        <w:t>פלוגתת הראשונים בחיוב בדיקת הסכין אחר השחיטה</w:t>
      </w:r>
      <w:bookmarkEnd w:id="2784"/>
      <w:bookmarkEnd w:id="2785"/>
    </w:p>
    <w:p w14:paraId="0097647C" w14:textId="77777777" w:rsidR="006776B3" w:rsidRDefault="006776B3" w:rsidP="005077A7">
      <w:pPr>
        <w:pStyle w:val="a"/>
        <w:rPr>
          <w:rFonts w:eastAsiaTheme="minorEastAsia" w:cstheme="minorBidi"/>
          <w:noProof/>
          <w:sz w:val="22"/>
          <w:szCs w:val="22"/>
          <w:rtl/>
        </w:rPr>
      </w:pPr>
      <w:r>
        <w:rPr>
          <w:noProof/>
          <w:rtl/>
        </w:rPr>
        <w:t>דברי רש"י והרמב"ם והבה"ג שצריך לבדוק לאחר השחיטה</w:t>
      </w:r>
    </w:p>
    <w:p w14:paraId="4AF69C99" w14:textId="77777777" w:rsidR="006776B3" w:rsidRDefault="006776B3" w:rsidP="005077A7">
      <w:pPr>
        <w:pStyle w:val="a"/>
        <w:rPr>
          <w:rFonts w:eastAsiaTheme="minorEastAsia" w:cstheme="minorBidi"/>
          <w:noProof/>
          <w:sz w:val="22"/>
          <w:szCs w:val="22"/>
          <w:rtl/>
        </w:rPr>
      </w:pPr>
      <w:r>
        <w:rPr>
          <w:noProof/>
          <w:rtl/>
        </w:rPr>
        <w:t>דעת הרמב"ן והר"ן דלרב הונא מדינא חייב לבדוק לאחר השחיטה</w:t>
      </w:r>
    </w:p>
    <w:p w14:paraId="71E27238" w14:textId="77777777" w:rsidR="006776B3" w:rsidRDefault="006776B3" w:rsidP="005077A7">
      <w:pPr>
        <w:pStyle w:val="a"/>
        <w:rPr>
          <w:rFonts w:eastAsiaTheme="minorEastAsia" w:cstheme="minorBidi"/>
          <w:noProof/>
          <w:sz w:val="22"/>
          <w:szCs w:val="22"/>
          <w:rtl/>
        </w:rPr>
      </w:pPr>
      <w:r>
        <w:rPr>
          <w:noProof/>
          <w:rtl/>
        </w:rPr>
        <w:t>דעת רבינו יונה הרשב"א והרא"ש דרק לכתחילה חייב לבדוק לרב הונא לאחר השחיטה</w:t>
      </w:r>
    </w:p>
    <w:p w14:paraId="1744D571" w14:textId="77777777" w:rsidR="006776B3" w:rsidRDefault="006776B3" w:rsidP="005077A7">
      <w:pPr>
        <w:pStyle w:val="a"/>
        <w:rPr>
          <w:rFonts w:eastAsiaTheme="minorEastAsia" w:cstheme="minorBidi"/>
          <w:noProof/>
          <w:sz w:val="22"/>
          <w:szCs w:val="22"/>
          <w:rtl/>
        </w:rPr>
      </w:pPr>
      <w:r>
        <w:rPr>
          <w:noProof/>
          <w:rtl/>
        </w:rPr>
        <w:t>דברי הבעה"מ והראב"ד דא"צ לבדוק אחר השחיטה ובכמה בהמות אינו מדינא</w:t>
      </w:r>
    </w:p>
    <w:p w14:paraId="46BD16B5" w14:textId="77777777" w:rsidR="006776B3" w:rsidRDefault="006776B3" w:rsidP="005077A7">
      <w:pPr>
        <w:pStyle w:val="a"/>
        <w:rPr>
          <w:rFonts w:eastAsiaTheme="minorEastAsia" w:cstheme="minorBidi"/>
          <w:noProof/>
          <w:sz w:val="22"/>
          <w:szCs w:val="22"/>
          <w:rtl/>
        </w:rPr>
      </w:pPr>
      <w:r>
        <w:rPr>
          <w:noProof/>
          <w:rtl/>
        </w:rPr>
        <w:t>דברי המאירי דאחר השחיטה א"צ לבדוק דמעמידים את הסכין בחזקת בדוק</w:t>
      </w:r>
    </w:p>
    <w:p w14:paraId="5F1D029B" w14:textId="77777777" w:rsidR="006776B3" w:rsidRDefault="006776B3" w:rsidP="005077A7">
      <w:pPr>
        <w:pStyle w:val="a"/>
        <w:rPr>
          <w:rFonts w:eastAsiaTheme="minorEastAsia" w:cstheme="minorBidi"/>
          <w:noProof/>
          <w:sz w:val="22"/>
          <w:szCs w:val="22"/>
          <w:rtl/>
        </w:rPr>
      </w:pPr>
      <w:r>
        <w:rPr>
          <w:noProof/>
          <w:rtl/>
        </w:rPr>
        <w:t>דברי הגרעק"א דלסוברים שצריך לבדוק הוא כיון שיש חזקת איסור ואף בס"ס צריך לברר</w:t>
      </w:r>
    </w:p>
    <w:p w14:paraId="76F9E0E0" w14:textId="77777777" w:rsidR="006776B3" w:rsidRDefault="006776B3" w:rsidP="006776B3">
      <w:pPr>
        <w:pStyle w:val="2"/>
        <w:rPr>
          <w:rFonts w:eastAsiaTheme="minorEastAsia" w:cstheme="minorBidi"/>
          <w:i/>
          <w:iCs/>
          <w:noProof/>
          <w:sz w:val="22"/>
          <w:szCs w:val="22"/>
          <w:rtl/>
        </w:rPr>
      </w:pPr>
      <w:bookmarkStart w:id="2786" w:name="_Toc19435281"/>
      <w:r>
        <w:rPr>
          <w:noProof/>
          <w:rtl/>
        </w:rPr>
        <w:t>בביאור החזקת איסור לרב הונא</w:t>
      </w:r>
      <w:bookmarkEnd w:id="2786"/>
    </w:p>
    <w:p w14:paraId="6B34F925" w14:textId="77777777" w:rsidR="006776B3" w:rsidRDefault="006776B3" w:rsidP="006776B3">
      <w:pPr>
        <w:pStyle w:val="aff4"/>
        <w:rPr>
          <w:rFonts w:eastAsiaTheme="minorEastAsia" w:cstheme="minorBidi"/>
          <w:i/>
          <w:iCs/>
          <w:noProof/>
          <w:sz w:val="22"/>
          <w:szCs w:val="22"/>
          <w:rtl/>
        </w:rPr>
      </w:pPr>
      <w:bookmarkStart w:id="2787" w:name="_Toc19435282"/>
      <w:bookmarkStart w:id="2788" w:name="_Toc20080627"/>
      <w:r>
        <w:rPr>
          <w:noProof/>
          <w:rtl/>
        </w:rPr>
        <w:t>בדברי הרמב"ן דהבהמה בחזקת איסור</w:t>
      </w:r>
      <w:bookmarkEnd w:id="2787"/>
      <w:bookmarkEnd w:id="2788"/>
    </w:p>
    <w:p w14:paraId="6A46DF60" w14:textId="77777777" w:rsidR="006776B3" w:rsidRDefault="006776B3" w:rsidP="005077A7">
      <w:pPr>
        <w:pStyle w:val="a"/>
        <w:rPr>
          <w:rFonts w:eastAsiaTheme="minorEastAsia" w:cstheme="minorBidi"/>
          <w:noProof/>
          <w:sz w:val="22"/>
          <w:szCs w:val="22"/>
          <w:rtl/>
        </w:rPr>
      </w:pPr>
      <w:r>
        <w:rPr>
          <w:noProof/>
          <w:rtl/>
        </w:rPr>
        <w:t>דברי הרמב"ן דמעמידים בחזקת איסור דספק בסכין הוא כספק בסימנים</w:t>
      </w:r>
    </w:p>
    <w:p w14:paraId="3BF4451C" w14:textId="77777777" w:rsidR="006776B3" w:rsidRDefault="006776B3" w:rsidP="005077A7">
      <w:pPr>
        <w:pStyle w:val="a"/>
        <w:rPr>
          <w:rFonts w:eastAsiaTheme="minorEastAsia" w:cstheme="minorBidi"/>
          <w:noProof/>
          <w:sz w:val="22"/>
          <w:szCs w:val="22"/>
          <w:rtl/>
        </w:rPr>
      </w:pPr>
      <w:r>
        <w:rPr>
          <w:noProof/>
          <w:rtl/>
        </w:rPr>
        <w:t>ביאור הפנ"י ברמב"ן דא"א לאסור רק מחמת שהעור פוגם בלא החזקת איסור</w:t>
      </w:r>
    </w:p>
    <w:p w14:paraId="250C17D8" w14:textId="77777777" w:rsidR="006776B3" w:rsidRDefault="006776B3" w:rsidP="005077A7">
      <w:pPr>
        <w:pStyle w:val="a"/>
        <w:rPr>
          <w:rFonts w:eastAsiaTheme="minorEastAsia" w:cstheme="minorBidi"/>
          <w:noProof/>
          <w:sz w:val="22"/>
          <w:szCs w:val="22"/>
          <w:rtl/>
        </w:rPr>
      </w:pPr>
      <w:r>
        <w:rPr>
          <w:noProof/>
          <w:rtl/>
        </w:rPr>
        <w:t>ביאור הרשב"א ברמב"ן דע"י חתיכת העור יצא הסכין מחזקת בדוק</w:t>
      </w:r>
    </w:p>
    <w:p w14:paraId="5BFB76AF" w14:textId="77777777" w:rsidR="006776B3" w:rsidRDefault="006776B3" w:rsidP="005077A7">
      <w:pPr>
        <w:pStyle w:val="a"/>
        <w:rPr>
          <w:rFonts w:eastAsiaTheme="minorEastAsia" w:cstheme="minorBidi"/>
          <w:noProof/>
          <w:sz w:val="22"/>
          <w:szCs w:val="22"/>
          <w:rtl/>
        </w:rPr>
      </w:pPr>
      <w:r>
        <w:rPr>
          <w:noProof/>
          <w:rtl/>
        </w:rPr>
        <w:t>דברי הפרמ"ג דלרב הונא חזקת הסכין חשיבא כעשויה להשתנות או דהוא חסר ואתאי</w:t>
      </w:r>
    </w:p>
    <w:p w14:paraId="590500C6" w14:textId="77777777" w:rsidR="006776B3" w:rsidRDefault="006776B3" w:rsidP="006776B3">
      <w:pPr>
        <w:pStyle w:val="aff4"/>
        <w:rPr>
          <w:rFonts w:eastAsiaTheme="minorEastAsia" w:cstheme="minorBidi"/>
          <w:i/>
          <w:iCs/>
          <w:noProof/>
          <w:sz w:val="22"/>
          <w:szCs w:val="22"/>
          <w:rtl/>
        </w:rPr>
      </w:pPr>
      <w:bookmarkStart w:id="2789" w:name="_Toc19435283"/>
      <w:bookmarkStart w:id="2790" w:name="_Toc20080628"/>
      <w:r>
        <w:rPr>
          <w:noProof/>
          <w:rtl/>
        </w:rPr>
        <w:t>דעת הרשב"א והרא"ש דבסכין פגום לא ידוע במה נשחטה</w:t>
      </w:r>
      <w:bookmarkEnd w:id="2789"/>
      <w:bookmarkEnd w:id="2790"/>
    </w:p>
    <w:p w14:paraId="2FFB86AB" w14:textId="77777777" w:rsidR="006776B3" w:rsidRDefault="006776B3" w:rsidP="005077A7">
      <w:pPr>
        <w:pStyle w:val="a"/>
        <w:rPr>
          <w:rFonts w:eastAsiaTheme="minorEastAsia" w:cstheme="minorBidi"/>
          <w:noProof/>
          <w:sz w:val="22"/>
          <w:szCs w:val="22"/>
          <w:rtl/>
        </w:rPr>
      </w:pPr>
      <w:r>
        <w:rPr>
          <w:noProof/>
          <w:rtl/>
        </w:rPr>
        <w:t>דעת הרשב"א והרא"ש דבסכין פגום מעמידים בחזקת איסור דלא ידוע במה נשחטה</w:t>
      </w:r>
    </w:p>
    <w:p w14:paraId="5F6A26AF" w14:textId="77777777" w:rsidR="006776B3" w:rsidRDefault="006776B3" w:rsidP="005077A7">
      <w:pPr>
        <w:pStyle w:val="a"/>
        <w:rPr>
          <w:rFonts w:eastAsiaTheme="minorEastAsia" w:cstheme="minorBidi"/>
          <w:noProof/>
          <w:sz w:val="22"/>
          <w:szCs w:val="22"/>
          <w:rtl/>
        </w:rPr>
      </w:pPr>
      <w:r>
        <w:rPr>
          <w:noProof/>
          <w:rtl/>
        </w:rPr>
        <w:t>ביאור הפנ"י בדעת הרשב"א והראש יוסף בדעת הרמב"ם דחשיב תרתי לריעותא</w:t>
      </w:r>
    </w:p>
    <w:p w14:paraId="065AFC3E" w14:textId="77777777" w:rsidR="006776B3" w:rsidRDefault="006776B3" w:rsidP="006776B3">
      <w:pPr>
        <w:pStyle w:val="aff4"/>
        <w:rPr>
          <w:rFonts w:eastAsiaTheme="minorEastAsia" w:cstheme="minorBidi"/>
          <w:i/>
          <w:iCs/>
          <w:noProof/>
          <w:sz w:val="22"/>
          <w:szCs w:val="22"/>
          <w:rtl/>
        </w:rPr>
      </w:pPr>
      <w:bookmarkStart w:id="2791" w:name="_Toc19435284"/>
      <w:bookmarkStart w:id="2792" w:name="_Toc20080629"/>
      <w:r>
        <w:rPr>
          <w:noProof/>
          <w:rtl/>
        </w:rPr>
        <w:t>דברי הש"ש והגרעק"א שיש סתירה בין החזקות</w:t>
      </w:r>
      <w:bookmarkEnd w:id="2791"/>
      <w:bookmarkEnd w:id="2792"/>
    </w:p>
    <w:p w14:paraId="6B8B82E1" w14:textId="77777777" w:rsidR="006776B3" w:rsidRDefault="006776B3" w:rsidP="005077A7">
      <w:pPr>
        <w:pStyle w:val="a"/>
        <w:rPr>
          <w:rFonts w:eastAsiaTheme="minorEastAsia" w:cstheme="minorBidi"/>
          <w:noProof/>
          <w:sz w:val="22"/>
          <w:szCs w:val="22"/>
          <w:rtl/>
        </w:rPr>
      </w:pPr>
      <w:r>
        <w:rPr>
          <w:noProof/>
          <w:rtl/>
        </w:rPr>
        <w:t>בביאור דעת הרמב"ם אי הוי נבילה בודאי או בספק</w:t>
      </w:r>
    </w:p>
    <w:p w14:paraId="6228DFF5" w14:textId="77777777" w:rsidR="006776B3" w:rsidRDefault="006776B3" w:rsidP="005077A7">
      <w:pPr>
        <w:pStyle w:val="a"/>
        <w:rPr>
          <w:rFonts w:eastAsiaTheme="minorEastAsia" w:cstheme="minorBidi"/>
          <w:noProof/>
          <w:sz w:val="22"/>
          <w:szCs w:val="22"/>
          <w:rtl/>
        </w:rPr>
      </w:pPr>
      <w:r>
        <w:rPr>
          <w:noProof/>
          <w:rtl/>
        </w:rPr>
        <w:t>דברי הגרעק"א והש"ש דלרב הונא יש סתירה בין החזקת איסור לחזקת הסכין</w:t>
      </w:r>
    </w:p>
    <w:p w14:paraId="55249B56" w14:textId="77777777" w:rsidR="006776B3" w:rsidRDefault="006776B3" w:rsidP="006776B3">
      <w:pPr>
        <w:pStyle w:val="2"/>
        <w:rPr>
          <w:rFonts w:eastAsiaTheme="minorEastAsia" w:cstheme="minorBidi"/>
          <w:i/>
          <w:iCs/>
          <w:noProof/>
          <w:sz w:val="22"/>
          <w:szCs w:val="22"/>
          <w:rtl/>
        </w:rPr>
      </w:pPr>
      <w:bookmarkStart w:id="2793" w:name="_Toc19435285"/>
      <w:r>
        <w:rPr>
          <w:noProof/>
          <w:rtl/>
        </w:rPr>
        <w:t>בדין אבד הסכין אחר השחיטה</w:t>
      </w:r>
      <w:bookmarkEnd w:id="2793"/>
    </w:p>
    <w:p w14:paraId="78680A34" w14:textId="77777777" w:rsidR="006776B3" w:rsidRDefault="006776B3" w:rsidP="006776B3">
      <w:pPr>
        <w:pStyle w:val="aff4"/>
        <w:rPr>
          <w:rFonts w:eastAsiaTheme="minorEastAsia" w:cstheme="minorBidi"/>
          <w:i/>
          <w:iCs/>
          <w:noProof/>
          <w:sz w:val="22"/>
          <w:szCs w:val="22"/>
          <w:rtl/>
        </w:rPr>
      </w:pPr>
      <w:bookmarkStart w:id="2794" w:name="_Toc19435286"/>
      <w:bookmarkStart w:id="2795" w:name="_Toc20080630"/>
      <w:r>
        <w:rPr>
          <w:noProof/>
          <w:rtl/>
        </w:rPr>
        <w:t>דעת הרמב"ן דלרב הונא השחיטה פסולה אף באבד הסכין</w:t>
      </w:r>
      <w:bookmarkEnd w:id="2794"/>
      <w:bookmarkEnd w:id="2795"/>
    </w:p>
    <w:p w14:paraId="4A5C7689" w14:textId="77777777" w:rsidR="006776B3" w:rsidRDefault="006776B3" w:rsidP="005077A7">
      <w:pPr>
        <w:pStyle w:val="a"/>
        <w:rPr>
          <w:rFonts w:eastAsiaTheme="minorEastAsia" w:cstheme="minorBidi"/>
          <w:noProof/>
          <w:sz w:val="22"/>
          <w:szCs w:val="22"/>
          <w:rtl/>
        </w:rPr>
      </w:pPr>
      <w:r>
        <w:rPr>
          <w:noProof/>
          <w:rtl/>
        </w:rPr>
        <w:t>דברי הרמב"ן והר"ן דאם לא בדק אחר השחיטה ואבד הסכין פוסל רב הונא</w:t>
      </w:r>
    </w:p>
    <w:p w14:paraId="583C332B" w14:textId="77777777" w:rsidR="006776B3" w:rsidRDefault="006776B3" w:rsidP="005077A7">
      <w:pPr>
        <w:pStyle w:val="a"/>
        <w:rPr>
          <w:rFonts w:eastAsiaTheme="minorEastAsia" w:cstheme="minorBidi"/>
          <w:noProof/>
          <w:sz w:val="22"/>
          <w:szCs w:val="22"/>
          <w:rtl/>
        </w:rPr>
      </w:pPr>
      <w:r>
        <w:rPr>
          <w:noProof/>
          <w:rtl/>
        </w:rPr>
        <w:t>הוכחת הרא"ה דבאבד הסכין פסול דאין אבידה כשבירת עצמות ופוסל בה רב הונא</w:t>
      </w:r>
    </w:p>
    <w:p w14:paraId="1883EAD1" w14:textId="77777777" w:rsidR="006776B3" w:rsidRDefault="006776B3" w:rsidP="005077A7">
      <w:pPr>
        <w:pStyle w:val="a"/>
        <w:rPr>
          <w:rFonts w:eastAsiaTheme="minorEastAsia" w:cstheme="minorBidi"/>
          <w:noProof/>
          <w:sz w:val="22"/>
          <w:szCs w:val="22"/>
          <w:rtl/>
        </w:rPr>
      </w:pPr>
      <w:r>
        <w:rPr>
          <w:noProof/>
          <w:rtl/>
        </w:rPr>
        <w:t>דחיית הרשב"א דשיבר בה עצמות אינו כנשבר לפנינו</w:t>
      </w:r>
    </w:p>
    <w:p w14:paraId="17D40083" w14:textId="77777777" w:rsidR="006776B3" w:rsidRDefault="006776B3" w:rsidP="006776B3">
      <w:pPr>
        <w:pStyle w:val="aff4"/>
        <w:rPr>
          <w:rFonts w:eastAsiaTheme="minorEastAsia" w:cstheme="minorBidi"/>
          <w:i/>
          <w:iCs/>
          <w:noProof/>
          <w:sz w:val="22"/>
          <w:szCs w:val="22"/>
          <w:rtl/>
        </w:rPr>
      </w:pPr>
      <w:bookmarkStart w:id="2796" w:name="_Toc19435287"/>
      <w:bookmarkStart w:id="2797" w:name="_Toc20080631"/>
      <w:r>
        <w:rPr>
          <w:noProof/>
          <w:rtl/>
        </w:rPr>
        <w:t>ראיות הרמב"ן דלרב הונא השחיטה פסולה באבד הסכין</w:t>
      </w:r>
      <w:bookmarkEnd w:id="2796"/>
      <w:bookmarkEnd w:id="2797"/>
    </w:p>
    <w:p w14:paraId="3B2457FD" w14:textId="77777777" w:rsidR="006776B3" w:rsidRDefault="006776B3" w:rsidP="005077A7">
      <w:pPr>
        <w:pStyle w:val="a"/>
        <w:rPr>
          <w:rFonts w:eastAsiaTheme="minorEastAsia" w:cstheme="minorBidi"/>
          <w:noProof/>
          <w:sz w:val="22"/>
          <w:szCs w:val="22"/>
          <w:rtl/>
        </w:rPr>
      </w:pPr>
      <w:r>
        <w:rPr>
          <w:noProof/>
          <w:rtl/>
        </w:rPr>
        <w:t>הוכחת הרמב"ן מהא דדימתה הגמ' דין בדיקת סכין לבדיקת סימנים</w:t>
      </w:r>
    </w:p>
    <w:p w14:paraId="7C5059CD" w14:textId="77777777" w:rsidR="006776B3" w:rsidRDefault="006776B3" w:rsidP="005077A7">
      <w:pPr>
        <w:pStyle w:val="a"/>
        <w:rPr>
          <w:rFonts w:eastAsiaTheme="minorEastAsia" w:cstheme="minorBidi"/>
          <w:noProof/>
          <w:sz w:val="22"/>
          <w:szCs w:val="22"/>
          <w:rtl/>
        </w:rPr>
      </w:pPr>
      <w:r>
        <w:rPr>
          <w:noProof/>
          <w:rtl/>
        </w:rPr>
        <w:t>דברי הרמב"ן דא"א לומר שרק אם ימצא פגום פוסל רב הונא את כל השחיטות למפרע</w:t>
      </w:r>
    </w:p>
    <w:p w14:paraId="319205F5" w14:textId="77777777" w:rsidR="006776B3" w:rsidRDefault="006776B3" w:rsidP="006776B3">
      <w:pPr>
        <w:pStyle w:val="aff4"/>
        <w:rPr>
          <w:rFonts w:eastAsiaTheme="minorEastAsia" w:cstheme="minorBidi"/>
          <w:i/>
          <w:iCs/>
          <w:noProof/>
          <w:sz w:val="22"/>
          <w:szCs w:val="22"/>
          <w:rtl/>
        </w:rPr>
      </w:pPr>
      <w:bookmarkStart w:id="2798" w:name="_Toc19435288"/>
      <w:bookmarkStart w:id="2799" w:name="_Toc20080632"/>
      <w:r>
        <w:rPr>
          <w:noProof/>
          <w:rtl/>
        </w:rPr>
        <w:t>ביאור הרשב"א ברמב"ן דהעור מצוי לפגום</w:t>
      </w:r>
      <w:bookmarkEnd w:id="2798"/>
      <w:bookmarkEnd w:id="2799"/>
    </w:p>
    <w:p w14:paraId="49FB64D7" w14:textId="77777777" w:rsidR="006776B3" w:rsidRDefault="006776B3" w:rsidP="005077A7">
      <w:pPr>
        <w:pStyle w:val="a"/>
        <w:rPr>
          <w:rFonts w:eastAsiaTheme="minorEastAsia" w:cstheme="minorBidi"/>
          <w:noProof/>
          <w:sz w:val="22"/>
          <w:szCs w:val="22"/>
          <w:rtl/>
        </w:rPr>
      </w:pPr>
      <w:r>
        <w:rPr>
          <w:noProof/>
          <w:rtl/>
        </w:rPr>
        <w:t>ביאור הרשב"א ברמב"ן דחתיכת העור דמי למתעסק בחציצה לפני הטבילה דיצא מחזקת בדוק</w:t>
      </w:r>
    </w:p>
    <w:p w14:paraId="4C5867F8" w14:textId="77777777" w:rsidR="00EC5FFC" w:rsidRDefault="00EC5FFC" w:rsidP="006776B3">
      <w:pPr>
        <w:pStyle w:val="aff4"/>
        <w:rPr>
          <w:noProof/>
          <w:rtl/>
        </w:rPr>
      </w:pPr>
    </w:p>
    <w:p w14:paraId="76996317" w14:textId="77777777" w:rsidR="006776B3" w:rsidRDefault="006776B3" w:rsidP="006776B3">
      <w:pPr>
        <w:pStyle w:val="aff4"/>
        <w:rPr>
          <w:rFonts w:eastAsiaTheme="minorEastAsia" w:cstheme="minorBidi"/>
          <w:i/>
          <w:iCs/>
          <w:noProof/>
          <w:sz w:val="22"/>
          <w:szCs w:val="22"/>
          <w:rtl/>
        </w:rPr>
      </w:pPr>
      <w:bookmarkStart w:id="2800" w:name="_Toc19435289"/>
      <w:bookmarkStart w:id="2801" w:name="_Toc20080633"/>
      <w:r>
        <w:rPr>
          <w:noProof/>
          <w:rtl/>
        </w:rPr>
        <w:t>ביאורי הגרעק"א ברמב"ן דע"י חתיכת העור יצא הסכין מחזקתו</w:t>
      </w:r>
      <w:bookmarkEnd w:id="2800"/>
      <w:bookmarkEnd w:id="2801"/>
    </w:p>
    <w:p w14:paraId="757B6CED" w14:textId="77777777" w:rsidR="006776B3" w:rsidRDefault="006776B3" w:rsidP="005077A7">
      <w:pPr>
        <w:pStyle w:val="a"/>
        <w:rPr>
          <w:rFonts w:eastAsiaTheme="minorEastAsia" w:cstheme="minorBidi"/>
          <w:noProof/>
          <w:sz w:val="22"/>
          <w:szCs w:val="22"/>
          <w:rtl/>
        </w:rPr>
      </w:pPr>
      <w:r>
        <w:rPr>
          <w:noProof/>
          <w:rtl/>
        </w:rPr>
        <w:t>ביאור הגרעק"א ברמב"ן דע"י חתיכת העור יצא הסכין מחזקת בדוק</w:t>
      </w:r>
    </w:p>
    <w:p w14:paraId="1B0EBECE" w14:textId="77777777" w:rsidR="006776B3" w:rsidRDefault="006776B3" w:rsidP="006776B3">
      <w:pPr>
        <w:pStyle w:val="aff4"/>
        <w:rPr>
          <w:rFonts w:eastAsiaTheme="minorEastAsia" w:cstheme="minorBidi"/>
          <w:i/>
          <w:iCs/>
          <w:noProof/>
          <w:sz w:val="22"/>
          <w:szCs w:val="22"/>
          <w:rtl/>
        </w:rPr>
      </w:pPr>
      <w:bookmarkStart w:id="2802" w:name="_Toc19435290"/>
      <w:bookmarkStart w:id="2803" w:name="_Toc20080634"/>
      <w:r>
        <w:rPr>
          <w:noProof/>
          <w:rtl/>
        </w:rPr>
        <w:t>ביאורי האחרונים בדברי הרשב"א בדעת הרמב"ן דהעור פוגם</w:t>
      </w:r>
      <w:bookmarkEnd w:id="2802"/>
      <w:bookmarkEnd w:id="2803"/>
    </w:p>
    <w:p w14:paraId="1FBA9E4F" w14:textId="77777777" w:rsidR="006776B3" w:rsidRDefault="006776B3" w:rsidP="005077A7">
      <w:pPr>
        <w:pStyle w:val="a"/>
        <w:rPr>
          <w:rFonts w:eastAsiaTheme="minorEastAsia" w:cstheme="minorBidi"/>
          <w:noProof/>
          <w:sz w:val="22"/>
          <w:szCs w:val="22"/>
          <w:rtl/>
        </w:rPr>
      </w:pPr>
      <w:r>
        <w:rPr>
          <w:noProof/>
          <w:rtl/>
        </w:rPr>
        <w:t>קושית הראש יוסף דבאבד הסכין צריך להתיר מדין ספק ספיקא</w:t>
      </w:r>
    </w:p>
    <w:p w14:paraId="5557FC63" w14:textId="77777777" w:rsidR="006776B3" w:rsidRDefault="006776B3" w:rsidP="005077A7">
      <w:pPr>
        <w:pStyle w:val="a"/>
        <w:rPr>
          <w:rFonts w:eastAsiaTheme="minorEastAsia" w:cstheme="minorBidi"/>
          <w:noProof/>
          <w:sz w:val="22"/>
          <w:szCs w:val="22"/>
          <w:rtl/>
        </w:rPr>
      </w:pPr>
      <w:r>
        <w:rPr>
          <w:noProof/>
          <w:rtl/>
        </w:rPr>
        <w:t>ביאור הראש יוסף דלדעת הרמב"ן כיון שהעור מצוי לפגום אין ספק ספיקא</w:t>
      </w:r>
    </w:p>
    <w:p w14:paraId="2B7A4AF1" w14:textId="77777777" w:rsidR="006776B3" w:rsidRDefault="006776B3" w:rsidP="005077A7">
      <w:pPr>
        <w:pStyle w:val="a"/>
        <w:rPr>
          <w:rFonts w:eastAsiaTheme="minorEastAsia" w:cstheme="minorBidi"/>
          <w:noProof/>
          <w:sz w:val="22"/>
          <w:szCs w:val="22"/>
          <w:rtl/>
        </w:rPr>
      </w:pPr>
      <w:r>
        <w:rPr>
          <w:noProof/>
          <w:rtl/>
        </w:rPr>
        <w:t>דברי הראש יוסף דלדעת רב חסדא לא מצוי שהעור פוגם</w:t>
      </w:r>
    </w:p>
    <w:p w14:paraId="0D99C563" w14:textId="77777777" w:rsidR="006776B3" w:rsidRDefault="006776B3" w:rsidP="005077A7">
      <w:pPr>
        <w:pStyle w:val="a"/>
        <w:rPr>
          <w:rFonts w:eastAsiaTheme="minorEastAsia" w:cstheme="minorBidi"/>
          <w:noProof/>
          <w:sz w:val="22"/>
          <w:szCs w:val="22"/>
          <w:rtl/>
        </w:rPr>
      </w:pPr>
      <w:r>
        <w:rPr>
          <w:noProof/>
          <w:rtl/>
        </w:rPr>
        <w:t>דברי הפנ"י דא"א לומר דהרמב"ן אסר רק מחמת דהעור פוגם אלא מכח החזקת איסור</w:t>
      </w:r>
    </w:p>
    <w:p w14:paraId="5F362587" w14:textId="77777777" w:rsidR="006776B3" w:rsidRDefault="006776B3" w:rsidP="005077A7">
      <w:pPr>
        <w:pStyle w:val="a"/>
        <w:rPr>
          <w:rFonts w:eastAsiaTheme="minorEastAsia" w:cstheme="minorBidi"/>
          <w:noProof/>
          <w:sz w:val="22"/>
          <w:szCs w:val="22"/>
          <w:rtl/>
        </w:rPr>
      </w:pPr>
      <w:r>
        <w:rPr>
          <w:noProof/>
          <w:rtl/>
        </w:rPr>
        <w:t>ביאור הפנ"י דכוונת הרמב"ן דאי באבד הסכין כשר לא דמי בדיקת סכין לבדיקת סימנים</w:t>
      </w:r>
    </w:p>
    <w:p w14:paraId="3B4A9F95" w14:textId="77777777" w:rsidR="006776B3" w:rsidRDefault="006776B3" w:rsidP="006776B3">
      <w:pPr>
        <w:pStyle w:val="aff4"/>
        <w:rPr>
          <w:rFonts w:eastAsiaTheme="minorEastAsia" w:cstheme="minorBidi"/>
          <w:i/>
          <w:iCs/>
          <w:noProof/>
          <w:sz w:val="22"/>
          <w:szCs w:val="22"/>
          <w:rtl/>
        </w:rPr>
      </w:pPr>
      <w:bookmarkStart w:id="2804" w:name="_Toc19435291"/>
      <w:bookmarkStart w:id="2805" w:name="_Toc20080635"/>
      <w:r>
        <w:rPr>
          <w:noProof/>
          <w:rtl/>
        </w:rPr>
        <w:t>ביאור הגרעק"א ברמב"ן דהאיסור באבד הסכין הוא דרבנן</w:t>
      </w:r>
      <w:bookmarkEnd w:id="2804"/>
      <w:bookmarkEnd w:id="2805"/>
    </w:p>
    <w:p w14:paraId="38D8F46A" w14:textId="77777777" w:rsidR="006776B3" w:rsidRDefault="006776B3" w:rsidP="005077A7">
      <w:pPr>
        <w:pStyle w:val="a"/>
        <w:rPr>
          <w:rFonts w:eastAsiaTheme="minorEastAsia" w:cstheme="minorBidi"/>
          <w:noProof/>
          <w:sz w:val="22"/>
          <w:szCs w:val="22"/>
          <w:rtl/>
        </w:rPr>
      </w:pPr>
      <w:r>
        <w:rPr>
          <w:noProof/>
          <w:rtl/>
        </w:rPr>
        <w:t>דברי הגרעק"א דאף לרמב"ן באבד הסכין אסור רק מדרבנן ומדאו' יש רוב</w:t>
      </w:r>
    </w:p>
    <w:p w14:paraId="762565D0" w14:textId="77777777" w:rsidR="006776B3" w:rsidRDefault="006776B3" w:rsidP="005077A7">
      <w:pPr>
        <w:pStyle w:val="a"/>
        <w:rPr>
          <w:rFonts w:eastAsiaTheme="minorEastAsia" w:cstheme="minorBidi"/>
          <w:noProof/>
          <w:sz w:val="22"/>
          <w:szCs w:val="22"/>
          <w:rtl/>
        </w:rPr>
      </w:pPr>
      <w:r>
        <w:rPr>
          <w:noProof/>
          <w:rtl/>
        </w:rPr>
        <w:t>ביאור הגרעק"א דהחמירו רבנן לא לסמוך על הרוב כיון שיש חזקת איסור</w:t>
      </w:r>
    </w:p>
    <w:p w14:paraId="13BFDE91" w14:textId="77777777" w:rsidR="006776B3" w:rsidRDefault="006776B3" w:rsidP="006776B3">
      <w:pPr>
        <w:pStyle w:val="aff4"/>
        <w:rPr>
          <w:rtl/>
        </w:rPr>
      </w:pPr>
      <w:bookmarkStart w:id="2806" w:name="_Toc19435292"/>
      <w:bookmarkStart w:id="2807" w:name="_Toc20080636"/>
      <w:r>
        <w:rPr>
          <w:rFonts w:hint="cs"/>
          <w:rtl/>
        </w:rPr>
        <w:t>קושיות הגרעק"א על הרמב"ן</w:t>
      </w:r>
      <w:bookmarkEnd w:id="2806"/>
      <w:bookmarkEnd w:id="2807"/>
    </w:p>
    <w:p w14:paraId="42CA19D9" w14:textId="77777777" w:rsidR="006776B3" w:rsidRDefault="006776B3" w:rsidP="005077A7">
      <w:pPr>
        <w:pStyle w:val="a"/>
      </w:pPr>
      <w:r>
        <w:rPr>
          <w:rFonts w:hint="cs"/>
          <w:rtl/>
        </w:rPr>
        <w:t xml:space="preserve">קושית הגרעק"א דבאבד הסכין נעמידו בחזקתו ורב הונא אסר רק בסימנים שאין כל חזקה </w:t>
      </w:r>
    </w:p>
    <w:p w14:paraId="5E4E6402" w14:textId="77777777" w:rsidR="006776B3" w:rsidRDefault="006776B3" w:rsidP="005077A7">
      <w:pPr>
        <w:pStyle w:val="a"/>
        <w:rPr>
          <w:rtl/>
        </w:rPr>
      </w:pPr>
      <w:r>
        <w:rPr>
          <w:rFonts w:hint="cs"/>
          <w:rtl/>
        </w:rPr>
        <w:t>דברי הגרעק"א דמהא דקיי"ל כרב חסדא בשיבר בה עצמות מוכח דלא דמי לבדיקת סימנים</w:t>
      </w:r>
    </w:p>
    <w:p w14:paraId="005F9A31" w14:textId="77777777" w:rsidR="006776B3" w:rsidRDefault="006776B3" w:rsidP="005077A7">
      <w:pPr>
        <w:pStyle w:val="a"/>
        <w:rPr>
          <w:rFonts w:eastAsiaTheme="minorEastAsia" w:cstheme="minorBidi"/>
          <w:noProof/>
          <w:sz w:val="22"/>
          <w:szCs w:val="22"/>
          <w:rtl/>
        </w:rPr>
      </w:pPr>
      <w:r>
        <w:rPr>
          <w:noProof/>
          <w:rtl/>
        </w:rPr>
        <w:t>קושית הגרעק"א דלרמב"ן היאך מותר במצא תרנגולת שחוטה הא יתכן שבדק ונמצא פגום</w:t>
      </w:r>
    </w:p>
    <w:p w14:paraId="6EAAE7C5" w14:textId="77777777" w:rsidR="006776B3" w:rsidRDefault="006776B3" w:rsidP="006776B3">
      <w:pPr>
        <w:pStyle w:val="aff4"/>
        <w:rPr>
          <w:rFonts w:eastAsiaTheme="minorEastAsia" w:cstheme="minorBidi"/>
          <w:i/>
          <w:iCs/>
          <w:noProof/>
          <w:sz w:val="22"/>
          <w:szCs w:val="22"/>
          <w:rtl/>
        </w:rPr>
      </w:pPr>
      <w:bookmarkStart w:id="2808" w:name="_Toc19435293"/>
      <w:bookmarkStart w:id="2809" w:name="_Toc20080637"/>
      <w:r>
        <w:rPr>
          <w:noProof/>
          <w:rtl/>
        </w:rPr>
        <w:t>דעת רבינו יונה והרשב"א והרא"ש דבאבד הסכין כשר</w:t>
      </w:r>
      <w:bookmarkEnd w:id="2808"/>
      <w:bookmarkEnd w:id="2809"/>
    </w:p>
    <w:p w14:paraId="2D8A6396" w14:textId="77777777" w:rsidR="006776B3" w:rsidRDefault="006776B3" w:rsidP="005077A7">
      <w:pPr>
        <w:pStyle w:val="a"/>
        <w:rPr>
          <w:rFonts w:eastAsiaTheme="minorEastAsia" w:cstheme="minorBidi"/>
          <w:noProof/>
          <w:sz w:val="22"/>
          <w:szCs w:val="22"/>
          <w:rtl/>
        </w:rPr>
      </w:pPr>
      <w:r>
        <w:rPr>
          <w:noProof/>
          <w:rtl/>
        </w:rPr>
        <w:t>דעת רבינו יונה והרשב"א דבאבד הסכין מעמידים את הסכין בחזקת בדוק ומותר</w:t>
      </w:r>
    </w:p>
    <w:p w14:paraId="311B2C76" w14:textId="77777777" w:rsidR="006776B3" w:rsidRDefault="006776B3" w:rsidP="006776B3">
      <w:pPr>
        <w:pStyle w:val="aff4"/>
        <w:rPr>
          <w:rFonts w:eastAsiaTheme="minorEastAsia" w:cstheme="minorBidi"/>
          <w:i/>
          <w:iCs/>
          <w:noProof/>
          <w:sz w:val="22"/>
          <w:szCs w:val="22"/>
          <w:rtl/>
        </w:rPr>
      </w:pPr>
      <w:bookmarkStart w:id="2810" w:name="_Toc19435294"/>
      <w:bookmarkStart w:id="2811" w:name="_Toc20080638"/>
      <w:r>
        <w:rPr>
          <w:noProof/>
          <w:rtl/>
        </w:rPr>
        <w:t>ביאור הרשב"א והרא"ש דבאבד הסכין הוי כידוע במה נשחטה</w:t>
      </w:r>
      <w:bookmarkEnd w:id="2810"/>
      <w:bookmarkEnd w:id="2811"/>
    </w:p>
    <w:p w14:paraId="7A8582D4" w14:textId="77777777" w:rsidR="006776B3" w:rsidRDefault="006776B3" w:rsidP="005077A7">
      <w:pPr>
        <w:pStyle w:val="a"/>
        <w:rPr>
          <w:rFonts w:eastAsiaTheme="minorEastAsia" w:cstheme="minorBidi"/>
          <w:noProof/>
          <w:sz w:val="22"/>
          <w:szCs w:val="22"/>
          <w:rtl/>
        </w:rPr>
      </w:pPr>
      <w:r>
        <w:rPr>
          <w:noProof/>
          <w:rtl/>
        </w:rPr>
        <w:t>דברי הרשב"א דבאבד הסכין מדאו' הוא בחזקת בדוק וחשיב שנודע במה נשחטה</w:t>
      </w:r>
    </w:p>
    <w:p w14:paraId="6EF908A8" w14:textId="77777777" w:rsidR="006776B3" w:rsidRDefault="006776B3" w:rsidP="005077A7">
      <w:pPr>
        <w:pStyle w:val="a"/>
        <w:rPr>
          <w:rFonts w:eastAsiaTheme="minorEastAsia" w:cstheme="minorBidi"/>
          <w:noProof/>
          <w:sz w:val="22"/>
          <w:szCs w:val="22"/>
          <w:rtl/>
        </w:rPr>
      </w:pPr>
      <w:r>
        <w:rPr>
          <w:noProof/>
          <w:rtl/>
        </w:rPr>
        <w:t>דברי הרא"ש דבאבד הסכין כיון שאין ריעותא לפנינו חשיב שנודע במה נשחטה</w:t>
      </w:r>
    </w:p>
    <w:p w14:paraId="62CE08CB" w14:textId="77777777" w:rsidR="006776B3" w:rsidRDefault="006776B3" w:rsidP="005077A7">
      <w:pPr>
        <w:pStyle w:val="a"/>
        <w:rPr>
          <w:rFonts w:eastAsiaTheme="minorEastAsia" w:cstheme="minorBidi"/>
          <w:noProof/>
          <w:sz w:val="22"/>
          <w:szCs w:val="22"/>
          <w:rtl/>
        </w:rPr>
      </w:pPr>
      <w:r>
        <w:rPr>
          <w:noProof/>
          <w:rtl/>
        </w:rPr>
        <w:t>דברי הרשב"א דכיון שבדק את הסכין קודם השחיטה מעמידים אותו בחזקתו דשחוטה לפניך</w:t>
      </w:r>
    </w:p>
    <w:p w14:paraId="15344604" w14:textId="77777777" w:rsidR="006776B3" w:rsidRDefault="006776B3" w:rsidP="006776B3">
      <w:pPr>
        <w:pStyle w:val="aff4"/>
        <w:rPr>
          <w:rFonts w:eastAsiaTheme="minorEastAsia" w:cstheme="minorBidi"/>
          <w:i/>
          <w:iCs/>
          <w:noProof/>
          <w:sz w:val="22"/>
          <w:szCs w:val="22"/>
          <w:rtl/>
        </w:rPr>
      </w:pPr>
      <w:bookmarkStart w:id="2812" w:name="_Toc19435295"/>
      <w:bookmarkStart w:id="2813" w:name="_Toc20080639"/>
      <w:r>
        <w:rPr>
          <w:noProof/>
          <w:rtl/>
        </w:rPr>
        <w:t>ביאור השיטמ"ק בהא דרב הונא כשמעתיה לדעת רבינו יונה</w:t>
      </w:r>
      <w:bookmarkEnd w:id="2812"/>
      <w:bookmarkEnd w:id="2813"/>
    </w:p>
    <w:p w14:paraId="116EBB02" w14:textId="77777777" w:rsidR="006776B3" w:rsidRDefault="006776B3" w:rsidP="005077A7">
      <w:pPr>
        <w:pStyle w:val="a"/>
        <w:rPr>
          <w:rFonts w:eastAsiaTheme="minorEastAsia" w:cstheme="minorBidi"/>
          <w:noProof/>
          <w:sz w:val="22"/>
          <w:szCs w:val="22"/>
          <w:rtl/>
        </w:rPr>
      </w:pPr>
      <w:r>
        <w:rPr>
          <w:noProof/>
          <w:rtl/>
        </w:rPr>
        <w:t>ביאור השיטמ"ק ברבינו יונה דלרב הונא מאף שיש חזקת איסו מודה דמותר באבד הסכין</w:t>
      </w:r>
    </w:p>
    <w:p w14:paraId="6008EE00" w14:textId="77777777" w:rsidR="006776B3" w:rsidRDefault="006776B3" w:rsidP="005077A7">
      <w:pPr>
        <w:pStyle w:val="a"/>
        <w:rPr>
          <w:rFonts w:eastAsiaTheme="minorEastAsia" w:cstheme="minorBidi"/>
          <w:noProof/>
          <w:sz w:val="22"/>
          <w:szCs w:val="22"/>
          <w:rtl/>
        </w:rPr>
      </w:pPr>
      <w:r>
        <w:rPr>
          <w:noProof/>
          <w:rtl/>
        </w:rPr>
        <w:t>דברי השיטמ"ק דמשמעות דברי רש"י בביאור סברת רב הונא כרבינו יונה</w:t>
      </w:r>
    </w:p>
    <w:p w14:paraId="519F71A2" w14:textId="77777777" w:rsidR="006776B3" w:rsidRDefault="006776B3" w:rsidP="006776B3">
      <w:pPr>
        <w:pStyle w:val="aff4"/>
        <w:rPr>
          <w:rFonts w:eastAsiaTheme="minorEastAsia" w:cstheme="minorBidi"/>
          <w:i/>
          <w:iCs/>
          <w:noProof/>
          <w:sz w:val="22"/>
          <w:szCs w:val="22"/>
          <w:rtl/>
        </w:rPr>
      </w:pPr>
      <w:bookmarkStart w:id="2814" w:name="_Toc19435296"/>
      <w:bookmarkStart w:id="2815" w:name="_Toc20080640"/>
      <w:r>
        <w:rPr>
          <w:noProof/>
          <w:rtl/>
        </w:rPr>
        <w:t>ביאור הפנ"י ברבינו יונה דרק בנמצא פגום יש תרתי לריעותא</w:t>
      </w:r>
      <w:bookmarkEnd w:id="2814"/>
      <w:bookmarkEnd w:id="2815"/>
    </w:p>
    <w:p w14:paraId="6CD72273" w14:textId="77777777" w:rsidR="006776B3" w:rsidRDefault="006776B3" w:rsidP="005077A7">
      <w:pPr>
        <w:pStyle w:val="a"/>
        <w:rPr>
          <w:rFonts w:eastAsiaTheme="minorEastAsia" w:cstheme="minorBidi"/>
          <w:noProof/>
          <w:sz w:val="22"/>
          <w:szCs w:val="22"/>
          <w:rtl/>
        </w:rPr>
      </w:pPr>
      <w:r>
        <w:rPr>
          <w:noProof/>
          <w:rtl/>
        </w:rPr>
        <w:t>ביאור הפנ"י דשחיטת רוב הסימנים תלויה במעשה ומחזקינן באיסור ובסכין אינו תלוי במעשה</w:t>
      </w:r>
    </w:p>
    <w:p w14:paraId="14518460" w14:textId="77777777" w:rsidR="006776B3" w:rsidRDefault="006776B3" w:rsidP="005077A7">
      <w:pPr>
        <w:pStyle w:val="a"/>
        <w:rPr>
          <w:rFonts w:eastAsiaTheme="minorEastAsia" w:cstheme="minorBidi"/>
          <w:noProof/>
          <w:sz w:val="22"/>
          <w:szCs w:val="22"/>
          <w:rtl/>
        </w:rPr>
      </w:pPr>
      <w:r>
        <w:rPr>
          <w:noProof/>
          <w:rtl/>
        </w:rPr>
        <w:t>ביאור הפנ"י ברבינו יונה דבפגום לפניך הוי תרת"ל וחשיב שלא נודע במה נשחטה</w:t>
      </w:r>
    </w:p>
    <w:p w14:paraId="16500E40" w14:textId="77777777" w:rsidR="006776B3" w:rsidRDefault="006776B3" w:rsidP="006776B3">
      <w:pPr>
        <w:pStyle w:val="aff4"/>
        <w:rPr>
          <w:rFonts w:eastAsiaTheme="minorEastAsia" w:cstheme="minorBidi"/>
          <w:i/>
          <w:iCs/>
          <w:noProof/>
          <w:sz w:val="22"/>
          <w:szCs w:val="22"/>
          <w:rtl/>
        </w:rPr>
      </w:pPr>
      <w:bookmarkStart w:id="2816" w:name="_Toc19435297"/>
      <w:bookmarkStart w:id="2817" w:name="_Toc20080641"/>
      <w:r>
        <w:rPr>
          <w:noProof/>
          <w:rtl/>
        </w:rPr>
        <w:t>ביאור הראש יוסף דבאבד דשחוטה לפניך איתרע החזקת איסור</w:t>
      </w:r>
      <w:bookmarkEnd w:id="2816"/>
      <w:bookmarkEnd w:id="2817"/>
    </w:p>
    <w:p w14:paraId="183F69A5" w14:textId="77777777" w:rsidR="006776B3" w:rsidRDefault="006776B3" w:rsidP="005077A7">
      <w:pPr>
        <w:pStyle w:val="a"/>
        <w:rPr>
          <w:rFonts w:eastAsiaTheme="minorEastAsia" w:cstheme="minorBidi"/>
          <w:noProof/>
          <w:sz w:val="22"/>
          <w:szCs w:val="22"/>
          <w:rtl/>
        </w:rPr>
      </w:pPr>
      <w:r>
        <w:rPr>
          <w:noProof/>
          <w:rtl/>
        </w:rPr>
        <w:t>ביאור הראש יוסף  דהחזקת איסור איתרע כיון דשחוטה לפניך ואזלינן בתר חזקת הסכין</w:t>
      </w:r>
    </w:p>
    <w:p w14:paraId="53C4A1DA" w14:textId="77777777" w:rsidR="006776B3" w:rsidRDefault="006776B3" w:rsidP="006776B3">
      <w:pPr>
        <w:pStyle w:val="aff4"/>
        <w:rPr>
          <w:rFonts w:eastAsiaTheme="minorEastAsia" w:cstheme="minorBidi"/>
          <w:i/>
          <w:iCs/>
          <w:noProof/>
          <w:sz w:val="22"/>
          <w:szCs w:val="22"/>
          <w:rtl/>
        </w:rPr>
      </w:pPr>
      <w:bookmarkStart w:id="2818" w:name="_Toc19435298"/>
      <w:bookmarkStart w:id="2819" w:name="_Toc20080642"/>
      <w:r>
        <w:rPr>
          <w:noProof/>
          <w:rtl/>
        </w:rPr>
        <w:t>ראיות שהביא הרשב"א לדעת רבינו יונה</w:t>
      </w:r>
      <w:bookmarkEnd w:id="2818"/>
      <w:bookmarkEnd w:id="2819"/>
    </w:p>
    <w:p w14:paraId="398209E7" w14:textId="77777777" w:rsidR="006776B3" w:rsidRDefault="006776B3" w:rsidP="005077A7">
      <w:pPr>
        <w:pStyle w:val="a"/>
        <w:rPr>
          <w:rFonts w:eastAsiaTheme="minorEastAsia" w:cstheme="minorBidi"/>
          <w:noProof/>
          <w:sz w:val="22"/>
          <w:szCs w:val="22"/>
          <w:rtl/>
        </w:rPr>
      </w:pPr>
      <w:r>
        <w:rPr>
          <w:noProof/>
          <w:rtl/>
        </w:rPr>
        <w:t>הוכחת הרשב"א דהבדיקה אחר השחיטה אינה מדינא מהא דמותר למסור סכין בדוק למומר</w:t>
      </w:r>
    </w:p>
    <w:p w14:paraId="4CC2B75D" w14:textId="77777777" w:rsidR="006776B3" w:rsidRDefault="006776B3" w:rsidP="005077A7">
      <w:pPr>
        <w:pStyle w:val="a"/>
        <w:rPr>
          <w:rFonts w:eastAsiaTheme="minorEastAsia" w:cstheme="minorBidi"/>
          <w:noProof/>
          <w:sz w:val="22"/>
          <w:szCs w:val="22"/>
          <w:rtl/>
        </w:rPr>
      </w:pPr>
      <w:r>
        <w:rPr>
          <w:noProof/>
          <w:rtl/>
        </w:rPr>
        <w:t>דחיית הרשב"א דהגמ' במומר כרב חסדא דודאי דקיי"ל כוותיה באבד הסכין</w:t>
      </w:r>
    </w:p>
    <w:p w14:paraId="65013975" w14:textId="77777777" w:rsidR="006776B3" w:rsidRDefault="006776B3" w:rsidP="005077A7">
      <w:pPr>
        <w:pStyle w:val="a"/>
        <w:rPr>
          <w:rFonts w:eastAsiaTheme="minorEastAsia" w:cstheme="minorBidi"/>
          <w:noProof/>
          <w:sz w:val="22"/>
          <w:szCs w:val="22"/>
          <w:rtl/>
        </w:rPr>
      </w:pPr>
      <w:r>
        <w:rPr>
          <w:noProof/>
          <w:rtl/>
        </w:rPr>
        <w:t>קושית הרשב"א דלרמב"ן היה לרב הונא לומר שבאבד הסכין אסור וכ"ש בנמצא פגום</w:t>
      </w:r>
    </w:p>
    <w:p w14:paraId="7B063310" w14:textId="77777777" w:rsidR="006776B3" w:rsidRDefault="006776B3" w:rsidP="006776B3">
      <w:pPr>
        <w:pStyle w:val="aff4"/>
        <w:rPr>
          <w:rFonts w:eastAsiaTheme="minorEastAsia" w:cstheme="minorBidi"/>
          <w:i/>
          <w:iCs/>
          <w:noProof/>
          <w:sz w:val="22"/>
          <w:szCs w:val="22"/>
          <w:rtl/>
        </w:rPr>
      </w:pPr>
      <w:bookmarkStart w:id="2820" w:name="_Toc19435299"/>
      <w:bookmarkStart w:id="2821" w:name="_Toc20080643"/>
      <w:r>
        <w:rPr>
          <w:noProof/>
          <w:rtl/>
        </w:rPr>
        <w:t>ביאור הרשב"א ברמב"ן דחתיכת העור כמתעסק לפני טבילה</w:t>
      </w:r>
      <w:bookmarkEnd w:id="2820"/>
      <w:bookmarkEnd w:id="2821"/>
    </w:p>
    <w:p w14:paraId="37E1ECCA" w14:textId="77777777" w:rsidR="006776B3" w:rsidRDefault="006776B3" w:rsidP="005077A7">
      <w:pPr>
        <w:pStyle w:val="a"/>
        <w:rPr>
          <w:rFonts w:eastAsiaTheme="minorEastAsia" w:cstheme="minorBidi"/>
          <w:noProof/>
          <w:sz w:val="22"/>
          <w:szCs w:val="22"/>
          <w:rtl/>
        </w:rPr>
      </w:pPr>
      <w:r>
        <w:rPr>
          <w:noProof/>
          <w:rtl/>
        </w:rPr>
        <w:t>קושית הרשב"א דמחציצה בטבילה מוכח כרב הונא דרק כשיש ריעותא חיישינן ולא באבד</w:t>
      </w:r>
    </w:p>
    <w:p w14:paraId="7145E483" w14:textId="77777777" w:rsidR="006776B3" w:rsidRDefault="006776B3" w:rsidP="005077A7">
      <w:pPr>
        <w:pStyle w:val="a"/>
        <w:rPr>
          <w:rFonts w:eastAsiaTheme="minorEastAsia" w:cstheme="minorBidi"/>
          <w:noProof/>
          <w:sz w:val="22"/>
          <w:szCs w:val="22"/>
          <w:rtl/>
        </w:rPr>
      </w:pPr>
      <w:r>
        <w:rPr>
          <w:noProof/>
          <w:rtl/>
        </w:rPr>
        <w:t>ביאור הרשב"א ברמב"ן דחתיכת העור דמי למתעסק בחציצה לפני הטבילה דיצא מחזקת בדוק</w:t>
      </w:r>
    </w:p>
    <w:p w14:paraId="215C5B58" w14:textId="77777777" w:rsidR="006776B3" w:rsidRDefault="006776B3" w:rsidP="005077A7">
      <w:pPr>
        <w:pStyle w:val="a"/>
        <w:rPr>
          <w:rFonts w:eastAsiaTheme="minorEastAsia" w:cstheme="minorBidi"/>
          <w:noProof/>
          <w:sz w:val="22"/>
          <w:szCs w:val="22"/>
          <w:rtl/>
        </w:rPr>
      </w:pPr>
      <w:r>
        <w:rPr>
          <w:noProof/>
          <w:rtl/>
        </w:rPr>
        <w:t>ביאור הרשב"א ברמב"ן דאי בלא נתעסק בחציצה לא עלתה טבילה כ"ש בנתעסק בעור</w:t>
      </w:r>
    </w:p>
    <w:p w14:paraId="6F290C38" w14:textId="77777777" w:rsidR="006776B3" w:rsidRDefault="006776B3" w:rsidP="005077A7">
      <w:pPr>
        <w:pStyle w:val="a"/>
        <w:rPr>
          <w:rFonts w:eastAsiaTheme="minorEastAsia" w:cstheme="minorBidi"/>
          <w:noProof/>
          <w:sz w:val="22"/>
          <w:szCs w:val="22"/>
          <w:rtl/>
        </w:rPr>
      </w:pPr>
      <w:r>
        <w:rPr>
          <w:noProof/>
          <w:rtl/>
        </w:rPr>
        <w:t>דברי הרמב"ן והר"ן דהעור מפסיק בין בדיקה לשחיטה ואי"ז בדיקה הסמוכה ממש לשחיטה</w:t>
      </w:r>
    </w:p>
    <w:p w14:paraId="14C6A49A" w14:textId="77777777" w:rsidR="006776B3" w:rsidRDefault="006776B3" w:rsidP="006776B3">
      <w:pPr>
        <w:pStyle w:val="aff4"/>
        <w:rPr>
          <w:rFonts w:eastAsiaTheme="minorEastAsia" w:cstheme="minorBidi"/>
          <w:i/>
          <w:iCs/>
          <w:noProof/>
          <w:sz w:val="22"/>
          <w:szCs w:val="22"/>
          <w:rtl/>
        </w:rPr>
      </w:pPr>
      <w:bookmarkStart w:id="2822" w:name="_Toc19435300"/>
      <w:bookmarkStart w:id="2823" w:name="_Toc20080644"/>
      <w:r>
        <w:rPr>
          <w:noProof/>
          <w:rtl/>
        </w:rPr>
        <w:t>דברי הגרעק"א דבאבד הסכין לא שייך ספק ספיקא</w:t>
      </w:r>
      <w:bookmarkEnd w:id="2822"/>
      <w:bookmarkEnd w:id="2823"/>
    </w:p>
    <w:p w14:paraId="23A55CEC" w14:textId="77777777" w:rsidR="006776B3" w:rsidRDefault="006776B3" w:rsidP="005077A7">
      <w:pPr>
        <w:pStyle w:val="a"/>
        <w:rPr>
          <w:rFonts w:eastAsiaTheme="minorEastAsia" w:cstheme="minorBidi"/>
          <w:noProof/>
          <w:sz w:val="22"/>
          <w:szCs w:val="22"/>
          <w:rtl/>
        </w:rPr>
      </w:pPr>
      <w:r>
        <w:rPr>
          <w:noProof/>
          <w:rtl/>
        </w:rPr>
        <w:t>קושית הגרעק"א דהיה לרב הונא לומר דאסור באבד הסכין וכ"ש בשיבר עצמות</w:t>
      </w:r>
    </w:p>
    <w:p w14:paraId="19EA8D53" w14:textId="77777777" w:rsidR="006776B3" w:rsidRDefault="006776B3" w:rsidP="005077A7">
      <w:pPr>
        <w:pStyle w:val="a"/>
        <w:rPr>
          <w:rFonts w:eastAsiaTheme="minorEastAsia" w:cstheme="minorBidi"/>
          <w:noProof/>
          <w:sz w:val="22"/>
          <w:szCs w:val="22"/>
          <w:rtl/>
        </w:rPr>
      </w:pPr>
      <w:r>
        <w:rPr>
          <w:noProof/>
          <w:rtl/>
        </w:rPr>
        <w:t>ביאור הגרעק"א דחידש רב הונא דאף בספק ספיקא אסור ובאבד לא שייך ספק ספיקא</w:t>
      </w:r>
    </w:p>
    <w:p w14:paraId="563C567C" w14:textId="77777777" w:rsidR="006776B3" w:rsidRDefault="006776B3" w:rsidP="006776B3">
      <w:pPr>
        <w:pStyle w:val="2"/>
        <w:rPr>
          <w:rFonts w:eastAsiaTheme="minorEastAsia" w:cstheme="minorBidi"/>
          <w:i/>
          <w:iCs/>
          <w:noProof/>
          <w:sz w:val="22"/>
          <w:szCs w:val="22"/>
          <w:rtl/>
        </w:rPr>
      </w:pPr>
      <w:bookmarkStart w:id="2824" w:name="_Toc19435301"/>
      <w:r>
        <w:rPr>
          <w:noProof/>
          <w:rtl/>
        </w:rPr>
        <w:t>בסתירת החזקות לרב הונא</w:t>
      </w:r>
      <w:bookmarkEnd w:id="2824"/>
    </w:p>
    <w:p w14:paraId="63CEA8C3" w14:textId="77777777" w:rsidR="006776B3" w:rsidRDefault="006776B3" w:rsidP="006776B3">
      <w:pPr>
        <w:pStyle w:val="aff4"/>
        <w:rPr>
          <w:rFonts w:eastAsiaTheme="minorEastAsia" w:cstheme="minorBidi"/>
          <w:i/>
          <w:iCs/>
          <w:noProof/>
          <w:sz w:val="22"/>
          <w:szCs w:val="22"/>
          <w:rtl/>
        </w:rPr>
      </w:pPr>
      <w:bookmarkStart w:id="2825" w:name="_Toc19435302"/>
      <w:bookmarkStart w:id="2826" w:name="_Toc20080645"/>
      <w:r>
        <w:rPr>
          <w:noProof/>
          <w:rtl/>
        </w:rPr>
        <w:t>דברי הש"ש והגרעק"א אי הוי נבילה בודאי או בספק</w:t>
      </w:r>
      <w:bookmarkEnd w:id="2825"/>
      <w:bookmarkEnd w:id="2826"/>
    </w:p>
    <w:p w14:paraId="0A2D3941" w14:textId="77777777" w:rsidR="006776B3" w:rsidRDefault="006776B3" w:rsidP="005077A7">
      <w:pPr>
        <w:pStyle w:val="a"/>
        <w:rPr>
          <w:rFonts w:eastAsiaTheme="minorEastAsia" w:cstheme="minorBidi"/>
          <w:noProof/>
          <w:sz w:val="22"/>
          <w:szCs w:val="22"/>
          <w:rtl/>
        </w:rPr>
      </w:pPr>
      <w:r>
        <w:rPr>
          <w:noProof/>
          <w:rtl/>
        </w:rPr>
        <w:t>ספק הגרעק"א אי הוי נבילה בודאי או בספק</w:t>
      </w:r>
    </w:p>
    <w:p w14:paraId="03FA221F" w14:textId="77777777" w:rsidR="006776B3" w:rsidRPr="00EC5FFC" w:rsidRDefault="006776B3" w:rsidP="005077A7">
      <w:pPr>
        <w:pStyle w:val="a"/>
        <w:rPr>
          <w:rFonts w:eastAsiaTheme="minorEastAsia" w:cstheme="minorBidi"/>
          <w:noProof/>
          <w:sz w:val="22"/>
          <w:szCs w:val="22"/>
          <w:rtl/>
        </w:rPr>
      </w:pPr>
      <w:r>
        <w:rPr>
          <w:noProof/>
          <w:rtl/>
        </w:rPr>
        <w:t>דברי הש"ש דהוי ספק נבילה כיון שיש סתירה בחזקות</w:t>
      </w:r>
    </w:p>
    <w:p w14:paraId="2DFBB8E2" w14:textId="77777777" w:rsidR="006776B3" w:rsidRDefault="006776B3" w:rsidP="006776B3">
      <w:pPr>
        <w:pStyle w:val="2"/>
        <w:rPr>
          <w:rFonts w:eastAsiaTheme="minorEastAsia" w:cstheme="minorBidi"/>
          <w:i/>
          <w:iCs/>
          <w:noProof/>
          <w:sz w:val="22"/>
          <w:szCs w:val="22"/>
          <w:rtl/>
        </w:rPr>
      </w:pPr>
      <w:bookmarkStart w:id="2827" w:name="_Toc19435303"/>
      <w:r>
        <w:rPr>
          <w:noProof/>
          <w:rtl/>
        </w:rPr>
        <w:t>בדין אבד הסכין בכמה בהמות</w:t>
      </w:r>
      <w:bookmarkEnd w:id="2827"/>
    </w:p>
    <w:p w14:paraId="2CF083BB" w14:textId="77777777" w:rsidR="006776B3" w:rsidRDefault="006776B3" w:rsidP="006776B3">
      <w:pPr>
        <w:pStyle w:val="aff4"/>
        <w:rPr>
          <w:rFonts w:eastAsiaTheme="minorEastAsia" w:cstheme="minorBidi"/>
          <w:i/>
          <w:iCs/>
          <w:noProof/>
          <w:sz w:val="22"/>
          <w:szCs w:val="22"/>
          <w:rtl/>
        </w:rPr>
      </w:pPr>
      <w:bookmarkStart w:id="2828" w:name="_Toc19435304"/>
      <w:bookmarkStart w:id="2829" w:name="_Toc20080646"/>
      <w:r>
        <w:rPr>
          <w:noProof/>
          <w:rtl/>
        </w:rPr>
        <w:t>דברי הרמב"ן בחיוב הבדיקה בין שחיטה לשחיטה</w:t>
      </w:r>
      <w:bookmarkEnd w:id="2828"/>
      <w:bookmarkEnd w:id="2829"/>
    </w:p>
    <w:p w14:paraId="21FA574E" w14:textId="77777777" w:rsidR="006776B3" w:rsidRDefault="006776B3" w:rsidP="005077A7">
      <w:pPr>
        <w:pStyle w:val="a"/>
        <w:rPr>
          <w:rFonts w:eastAsiaTheme="minorEastAsia" w:cstheme="minorBidi"/>
          <w:noProof/>
          <w:sz w:val="22"/>
          <w:szCs w:val="22"/>
          <w:rtl/>
        </w:rPr>
      </w:pPr>
      <w:r>
        <w:rPr>
          <w:noProof/>
          <w:rtl/>
        </w:rPr>
        <w:t>קושית הרמב"ן דבדין בדיקת כמה בהמות משמע דכל שלא בדק הראשונה בחזקת היתר</w:t>
      </w:r>
    </w:p>
    <w:p w14:paraId="1BF411EC" w14:textId="77777777" w:rsidR="006776B3" w:rsidRDefault="006776B3" w:rsidP="005077A7">
      <w:pPr>
        <w:pStyle w:val="a"/>
        <w:rPr>
          <w:rFonts w:eastAsiaTheme="minorEastAsia" w:cstheme="minorBidi"/>
          <w:noProof/>
          <w:sz w:val="22"/>
          <w:szCs w:val="22"/>
          <w:rtl/>
        </w:rPr>
      </w:pPr>
      <w:r>
        <w:rPr>
          <w:noProof/>
          <w:rtl/>
        </w:rPr>
        <w:t>ביאורי הרמב"ן דאין ראיה מלשון הגמ' דהראשונה בחזקת היתר</w:t>
      </w:r>
    </w:p>
    <w:p w14:paraId="7D604241" w14:textId="77777777" w:rsidR="006776B3" w:rsidRDefault="006776B3" w:rsidP="005077A7">
      <w:pPr>
        <w:pStyle w:val="a"/>
        <w:rPr>
          <w:rFonts w:eastAsiaTheme="minorEastAsia" w:cstheme="minorBidi"/>
          <w:noProof/>
          <w:sz w:val="22"/>
          <w:szCs w:val="22"/>
          <w:rtl/>
        </w:rPr>
      </w:pPr>
      <w:r>
        <w:rPr>
          <w:noProof/>
          <w:rtl/>
        </w:rPr>
        <w:t>דברי הרמב"ן דמדאמר רב כהנא שצריך בדיקה מוכח דמדינא צריך לבדוק</w:t>
      </w:r>
    </w:p>
    <w:p w14:paraId="70DAA84E" w14:textId="77777777" w:rsidR="006776B3" w:rsidRDefault="006776B3" w:rsidP="006776B3">
      <w:pPr>
        <w:pStyle w:val="aff4"/>
        <w:rPr>
          <w:rFonts w:eastAsiaTheme="minorEastAsia" w:cstheme="minorBidi"/>
          <w:i/>
          <w:iCs/>
          <w:noProof/>
          <w:sz w:val="22"/>
          <w:szCs w:val="22"/>
          <w:rtl/>
        </w:rPr>
      </w:pPr>
      <w:bookmarkStart w:id="2830" w:name="_Toc19435305"/>
      <w:bookmarkStart w:id="2831" w:name="_Toc20080647"/>
      <w:r>
        <w:rPr>
          <w:noProof/>
          <w:rtl/>
        </w:rPr>
        <w:t>הוכחת הרשב"א דאבד הסכין כשר מבדיקה בין שחיטה לשחיטה</w:t>
      </w:r>
      <w:bookmarkEnd w:id="2830"/>
      <w:bookmarkEnd w:id="2831"/>
    </w:p>
    <w:p w14:paraId="0F77995F" w14:textId="77777777" w:rsidR="006776B3" w:rsidRDefault="006776B3" w:rsidP="005077A7">
      <w:pPr>
        <w:pStyle w:val="a"/>
        <w:rPr>
          <w:rFonts w:eastAsiaTheme="minorEastAsia" w:cstheme="minorBidi"/>
          <w:noProof/>
          <w:sz w:val="22"/>
          <w:szCs w:val="22"/>
          <w:rtl/>
        </w:rPr>
      </w:pPr>
      <w:r>
        <w:rPr>
          <w:noProof/>
          <w:rtl/>
        </w:rPr>
        <w:t>דברי הרשב"א דלרב חסדא הבדיקה שבין שחיטה לשחיטה היא כבדיקה דקודם השחיטה</w:t>
      </w:r>
    </w:p>
    <w:p w14:paraId="7A438DAD" w14:textId="77777777" w:rsidR="006776B3" w:rsidRDefault="006776B3" w:rsidP="005077A7">
      <w:pPr>
        <w:pStyle w:val="a"/>
        <w:rPr>
          <w:rFonts w:eastAsiaTheme="minorEastAsia" w:cstheme="minorBidi"/>
          <w:noProof/>
          <w:sz w:val="22"/>
          <w:szCs w:val="22"/>
          <w:rtl/>
        </w:rPr>
      </w:pPr>
      <w:r>
        <w:rPr>
          <w:noProof/>
          <w:rtl/>
        </w:rPr>
        <w:t>דברי הרשב"א דלרב הונא הבדיקה בין שחיטה לשחיטה היא כבדיקה דאחר השחיטה</w:t>
      </w:r>
    </w:p>
    <w:p w14:paraId="0C9F2095" w14:textId="77777777" w:rsidR="006776B3" w:rsidRDefault="006776B3" w:rsidP="005077A7">
      <w:pPr>
        <w:pStyle w:val="a"/>
        <w:rPr>
          <w:rFonts w:eastAsiaTheme="minorEastAsia" w:cstheme="minorBidi"/>
          <w:noProof/>
          <w:sz w:val="22"/>
          <w:szCs w:val="22"/>
          <w:rtl/>
        </w:rPr>
      </w:pPr>
      <w:r>
        <w:rPr>
          <w:noProof/>
          <w:rtl/>
        </w:rPr>
        <w:t>דברי הרא"ש דמדינא אין חיוב בדיקה אחר השחיטה</w:t>
      </w:r>
    </w:p>
    <w:p w14:paraId="4FB1BBFC" w14:textId="77777777" w:rsidR="006776B3" w:rsidRDefault="006776B3" w:rsidP="005077A7">
      <w:pPr>
        <w:pStyle w:val="a"/>
        <w:rPr>
          <w:rFonts w:eastAsiaTheme="minorEastAsia" w:cstheme="minorBidi"/>
          <w:noProof/>
          <w:sz w:val="22"/>
          <w:szCs w:val="22"/>
          <w:rtl/>
        </w:rPr>
      </w:pPr>
      <w:r>
        <w:rPr>
          <w:noProof/>
          <w:rtl/>
        </w:rPr>
        <w:t>דברי הרשב"א דמשמע דלרב הונא יכול לשחוט כמה בהמות ע"י הבדיקה הראשונה</w:t>
      </w:r>
    </w:p>
    <w:p w14:paraId="708593CD" w14:textId="77777777" w:rsidR="006776B3" w:rsidRDefault="006776B3" w:rsidP="005077A7">
      <w:pPr>
        <w:pStyle w:val="a"/>
        <w:rPr>
          <w:rFonts w:eastAsiaTheme="minorEastAsia" w:cstheme="minorBidi"/>
          <w:noProof/>
          <w:sz w:val="22"/>
          <w:szCs w:val="22"/>
          <w:rtl/>
        </w:rPr>
      </w:pPr>
      <w:r>
        <w:rPr>
          <w:noProof/>
          <w:rtl/>
        </w:rPr>
        <w:t>ביאור הגרעק"א דמקשה הרשב"א על הרמב"ן דבכמה בהמות צריך חכם כלפני שחיטה</w:t>
      </w:r>
    </w:p>
    <w:p w14:paraId="4F8416D5" w14:textId="77777777" w:rsidR="006776B3" w:rsidRDefault="006776B3" w:rsidP="006776B3">
      <w:pPr>
        <w:pStyle w:val="aff4"/>
        <w:rPr>
          <w:rFonts w:eastAsiaTheme="minorEastAsia" w:cstheme="minorBidi"/>
          <w:i/>
          <w:iCs/>
          <w:noProof/>
          <w:sz w:val="22"/>
          <w:szCs w:val="22"/>
          <w:rtl/>
        </w:rPr>
      </w:pPr>
      <w:bookmarkStart w:id="2832" w:name="_Toc19435306"/>
      <w:bookmarkStart w:id="2833" w:name="_Toc20080648"/>
      <w:r>
        <w:rPr>
          <w:noProof/>
          <w:rtl/>
        </w:rPr>
        <w:t>הוכחת הגרעק"א דלרמב"ן באבד הסכין מותר מדאו'</w:t>
      </w:r>
      <w:bookmarkEnd w:id="2832"/>
      <w:bookmarkEnd w:id="2833"/>
    </w:p>
    <w:p w14:paraId="196CD0DC" w14:textId="77777777" w:rsidR="006776B3" w:rsidRDefault="006776B3" w:rsidP="005077A7">
      <w:pPr>
        <w:pStyle w:val="a"/>
        <w:rPr>
          <w:rFonts w:eastAsiaTheme="minorEastAsia" w:cstheme="minorBidi"/>
          <w:noProof/>
          <w:sz w:val="22"/>
          <w:szCs w:val="22"/>
          <w:rtl/>
        </w:rPr>
      </w:pPr>
      <w:r>
        <w:rPr>
          <w:noProof/>
          <w:rtl/>
        </w:rPr>
        <w:t>דברי הגרעק"א דאי בכמה בהמות צריך חכם א"כ אף בבהמה אחת צריך חכם אחר השחיטה</w:t>
      </w:r>
    </w:p>
    <w:p w14:paraId="7E95357A" w14:textId="77777777" w:rsidR="006776B3" w:rsidRDefault="006776B3" w:rsidP="005077A7">
      <w:pPr>
        <w:pStyle w:val="a"/>
        <w:rPr>
          <w:rFonts w:eastAsiaTheme="minorEastAsia" w:cstheme="minorBidi"/>
          <w:noProof/>
          <w:sz w:val="22"/>
          <w:szCs w:val="22"/>
          <w:rtl/>
        </w:rPr>
      </w:pPr>
      <w:r>
        <w:rPr>
          <w:noProof/>
          <w:rtl/>
        </w:rPr>
        <w:t>דברי הגרעק"א דאף לרמב"ן באבד הסכין אסור רק מדרבנן ומדאו' יש רוב</w:t>
      </w:r>
    </w:p>
    <w:p w14:paraId="3D3173F2" w14:textId="77777777" w:rsidR="006776B3" w:rsidRDefault="006776B3" w:rsidP="005077A7">
      <w:pPr>
        <w:pStyle w:val="a"/>
        <w:rPr>
          <w:rFonts w:eastAsiaTheme="minorEastAsia" w:cstheme="minorBidi"/>
          <w:noProof/>
          <w:sz w:val="22"/>
          <w:szCs w:val="22"/>
          <w:rtl/>
        </w:rPr>
      </w:pPr>
      <w:r>
        <w:rPr>
          <w:noProof/>
          <w:rtl/>
        </w:rPr>
        <w:t>דברי הגרעק"א דמחמת החזקה החמירו כנגד הרוב והשוחט נאמן בזה וא"צ חכם</w:t>
      </w:r>
    </w:p>
    <w:p w14:paraId="2D39D0AC" w14:textId="77777777" w:rsidR="006776B3" w:rsidRDefault="006776B3" w:rsidP="006776B3">
      <w:pPr>
        <w:pStyle w:val="aff4"/>
        <w:rPr>
          <w:rFonts w:eastAsiaTheme="minorEastAsia" w:cstheme="minorBidi"/>
          <w:i/>
          <w:iCs/>
          <w:noProof/>
          <w:sz w:val="22"/>
          <w:szCs w:val="22"/>
          <w:rtl/>
        </w:rPr>
      </w:pPr>
      <w:bookmarkStart w:id="2834" w:name="_Toc19435307"/>
      <w:bookmarkStart w:id="2835" w:name="_Toc20080649"/>
      <w:r>
        <w:rPr>
          <w:noProof/>
          <w:rtl/>
        </w:rPr>
        <w:t>תירוץ הגרעק"א בקושית הרשב"א על הרמב"ן</w:t>
      </w:r>
      <w:bookmarkEnd w:id="2834"/>
      <w:bookmarkEnd w:id="2835"/>
    </w:p>
    <w:p w14:paraId="1E073472" w14:textId="77777777" w:rsidR="006776B3" w:rsidRDefault="006776B3" w:rsidP="005077A7">
      <w:pPr>
        <w:pStyle w:val="a"/>
        <w:rPr>
          <w:rFonts w:eastAsiaTheme="minorEastAsia" w:cstheme="minorBidi"/>
          <w:noProof/>
          <w:sz w:val="22"/>
          <w:szCs w:val="22"/>
          <w:rtl/>
        </w:rPr>
      </w:pPr>
      <w:r>
        <w:rPr>
          <w:noProof/>
          <w:rtl/>
        </w:rPr>
        <w:t>תירוץ הגרעק"א על קושית הרשב"א דהאמינו רבנן לשוחט בכמה בהמות וא"צ חכם</w:t>
      </w:r>
    </w:p>
    <w:p w14:paraId="1573CAB7" w14:textId="77777777" w:rsidR="006776B3" w:rsidRDefault="006776B3" w:rsidP="005077A7">
      <w:pPr>
        <w:pStyle w:val="a"/>
        <w:rPr>
          <w:rFonts w:eastAsiaTheme="minorEastAsia" w:cstheme="minorBidi"/>
          <w:noProof/>
          <w:sz w:val="22"/>
          <w:szCs w:val="22"/>
          <w:rtl/>
        </w:rPr>
      </w:pPr>
      <w:r>
        <w:rPr>
          <w:noProof/>
          <w:rtl/>
        </w:rPr>
        <w:t>דברי הגרעק"א דלרב חסדא הו"א בגמ' דבדיקה בין שחיטה לשחיטה היא מדאו'</w:t>
      </w:r>
    </w:p>
    <w:p w14:paraId="16348508" w14:textId="77777777" w:rsidR="006776B3" w:rsidRDefault="006776B3" w:rsidP="006776B3">
      <w:pPr>
        <w:pStyle w:val="2"/>
        <w:rPr>
          <w:rFonts w:eastAsiaTheme="minorEastAsia" w:cstheme="minorBidi"/>
          <w:i/>
          <w:iCs/>
          <w:noProof/>
          <w:sz w:val="22"/>
          <w:szCs w:val="22"/>
          <w:rtl/>
        </w:rPr>
      </w:pPr>
      <w:bookmarkStart w:id="2836" w:name="_Toc19435308"/>
      <w:r>
        <w:rPr>
          <w:noProof/>
          <w:rtl/>
        </w:rPr>
        <w:t>בדין בדיקה אחר השחיטה לרב חסדא</w:t>
      </w:r>
      <w:bookmarkEnd w:id="2836"/>
    </w:p>
    <w:p w14:paraId="77E0405F" w14:textId="77777777" w:rsidR="006776B3" w:rsidRDefault="006776B3" w:rsidP="006776B3">
      <w:pPr>
        <w:pStyle w:val="aff4"/>
        <w:rPr>
          <w:rFonts w:eastAsiaTheme="minorEastAsia" w:cstheme="minorBidi"/>
          <w:i/>
          <w:iCs/>
          <w:noProof/>
          <w:sz w:val="22"/>
          <w:szCs w:val="22"/>
          <w:rtl/>
        </w:rPr>
      </w:pPr>
      <w:bookmarkStart w:id="2837" w:name="_Toc19435309"/>
      <w:bookmarkStart w:id="2838" w:name="_Toc20080650"/>
      <w:r>
        <w:rPr>
          <w:noProof/>
          <w:rtl/>
        </w:rPr>
        <w:t>דברי הרמב"ן והרא"ש בבדיקה בחזקה כשאין ריעותא לפנינו</w:t>
      </w:r>
      <w:bookmarkEnd w:id="2837"/>
      <w:bookmarkEnd w:id="2838"/>
    </w:p>
    <w:p w14:paraId="71126CC0" w14:textId="77777777" w:rsidR="006776B3" w:rsidRDefault="006776B3" w:rsidP="005077A7">
      <w:pPr>
        <w:pStyle w:val="a"/>
        <w:rPr>
          <w:rFonts w:eastAsiaTheme="minorEastAsia" w:cstheme="minorBidi"/>
          <w:noProof/>
          <w:sz w:val="22"/>
          <w:szCs w:val="22"/>
          <w:rtl/>
        </w:rPr>
      </w:pPr>
      <w:r>
        <w:rPr>
          <w:noProof/>
          <w:rtl/>
        </w:rPr>
        <w:t>הוכחת הרא"ש מרוב מצויין אצל שחיטה דחשיב שנודע במה נשחטה</w:t>
      </w:r>
    </w:p>
    <w:p w14:paraId="6AE305D9" w14:textId="77777777" w:rsidR="006776B3" w:rsidRDefault="006776B3" w:rsidP="005077A7">
      <w:pPr>
        <w:pStyle w:val="a"/>
        <w:rPr>
          <w:rFonts w:eastAsiaTheme="minorEastAsia" w:cstheme="minorBidi"/>
          <w:noProof/>
          <w:sz w:val="22"/>
          <w:szCs w:val="22"/>
          <w:rtl/>
        </w:rPr>
      </w:pPr>
      <w:r>
        <w:rPr>
          <w:noProof/>
          <w:rtl/>
        </w:rPr>
        <w:t>דברי הרא"ש דבאבד הסכין חשיב שנודע במה נשחטה</w:t>
      </w:r>
    </w:p>
    <w:p w14:paraId="226438AA" w14:textId="77777777" w:rsidR="006776B3" w:rsidRDefault="006776B3" w:rsidP="005077A7">
      <w:pPr>
        <w:pStyle w:val="a"/>
        <w:rPr>
          <w:rFonts w:eastAsiaTheme="minorEastAsia" w:cstheme="minorBidi"/>
          <w:noProof/>
          <w:sz w:val="22"/>
          <w:szCs w:val="22"/>
          <w:rtl/>
        </w:rPr>
      </w:pPr>
      <w:r>
        <w:rPr>
          <w:noProof/>
          <w:rtl/>
        </w:rPr>
        <w:t>דברי הרמב"ן דבמקום שאפשר לבדוק צריך לברר ורק כשא"א לברר סמכינן על רוב בלא ריעותא</w:t>
      </w:r>
    </w:p>
    <w:p w14:paraId="79DE9BB5" w14:textId="77777777" w:rsidR="006776B3" w:rsidRDefault="006776B3" w:rsidP="005077A7">
      <w:pPr>
        <w:pStyle w:val="a"/>
        <w:rPr>
          <w:rFonts w:eastAsiaTheme="minorEastAsia" w:cstheme="minorBidi"/>
          <w:noProof/>
          <w:sz w:val="22"/>
          <w:szCs w:val="22"/>
          <w:rtl/>
        </w:rPr>
      </w:pPr>
      <w:r>
        <w:rPr>
          <w:noProof/>
          <w:rtl/>
        </w:rPr>
        <w:t>דברי הרמב"ן דהא דקיי"ל כר"ח רק בשיבר בה עצמות הוא כיון דא"א לברר</w:t>
      </w:r>
    </w:p>
    <w:p w14:paraId="6C0879AB" w14:textId="77777777" w:rsidR="006776B3" w:rsidRDefault="006776B3" w:rsidP="006776B3">
      <w:pPr>
        <w:pStyle w:val="aff4"/>
        <w:rPr>
          <w:rFonts w:eastAsiaTheme="minorEastAsia" w:cstheme="minorBidi"/>
          <w:i/>
          <w:iCs/>
          <w:noProof/>
          <w:sz w:val="22"/>
          <w:szCs w:val="22"/>
          <w:rtl/>
        </w:rPr>
      </w:pPr>
      <w:bookmarkStart w:id="2839" w:name="_Toc19435310"/>
      <w:bookmarkStart w:id="2840" w:name="_Toc20080651"/>
      <w:r>
        <w:rPr>
          <w:noProof/>
          <w:rtl/>
        </w:rPr>
        <w:t>דברי הרמב"ן באבד הסכין לדעת רב חסדא ולהלכה</w:t>
      </w:r>
      <w:bookmarkEnd w:id="2839"/>
      <w:bookmarkEnd w:id="2840"/>
    </w:p>
    <w:p w14:paraId="1C308C56" w14:textId="77777777" w:rsidR="006776B3" w:rsidRDefault="006776B3" w:rsidP="005077A7">
      <w:pPr>
        <w:pStyle w:val="a"/>
        <w:rPr>
          <w:rFonts w:eastAsiaTheme="minorEastAsia" w:cstheme="minorBidi"/>
          <w:noProof/>
          <w:sz w:val="22"/>
          <w:szCs w:val="22"/>
          <w:rtl/>
        </w:rPr>
      </w:pPr>
      <w:r>
        <w:rPr>
          <w:noProof/>
          <w:rtl/>
        </w:rPr>
        <w:t>דברי הרמב"ן דלרב חסדא אף באבד הסכין השחיטה כשרה דהוא כשיבר בה עצמות</w:t>
      </w:r>
    </w:p>
    <w:p w14:paraId="0D84726C" w14:textId="77777777" w:rsidR="006776B3" w:rsidRDefault="006776B3" w:rsidP="005077A7">
      <w:pPr>
        <w:pStyle w:val="a"/>
        <w:rPr>
          <w:rFonts w:eastAsiaTheme="minorEastAsia" w:cstheme="minorBidi"/>
          <w:noProof/>
          <w:sz w:val="22"/>
          <w:szCs w:val="22"/>
          <w:rtl/>
        </w:rPr>
      </w:pPr>
      <w:r>
        <w:rPr>
          <w:noProof/>
          <w:rtl/>
        </w:rPr>
        <w:t>דברי הרמב"ן דכיון דבשיבר בה עצמות קיי"ל כרב חסדא ה"ה באבד הסכין דמותר</w:t>
      </w:r>
    </w:p>
    <w:p w14:paraId="2D264F09" w14:textId="77777777" w:rsidR="006776B3" w:rsidRDefault="006776B3" w:rsidP="005077A7">
      <w:pPr>
        <w:pStyle w:val="a"/>
        <w:rPr>
          <w:rFonts w:eastAsiaTheme="minorEastAsia" w:cstheme="minorBidi"/>
          <w:noProof/>
          <w:sz w:val="22"/>
          <w:szCs w:val="22"/>
          <w:rtl/>
        </w:rPr>
      </w:pPr>
      <w:r>
        <w:rPr>
          <w:noProof/>
          <w:rtl/>
        </w:rPr>
        <w:t>דברי הרמב"ן דמ"מ לכחתחילה צריך לבדוק כשהסכין לפנינו</w:t>
      </w:r>
    </w:p>
    <w:p w14:paraId="31B2CFC8" w14:textId="77777777" w:rsidR="006776B3" w:rsidRDefault="006776B3" w:rsidP="005077A7">
      <w:pPr>
        <w:pStyle w:val="a"/>
        <w:rPr>
          <w:rFonts w:eastAsiaTheme="minorEastAsia" w:cstheme="minorBidi"/>
          <w:noProof/>
          <w:sz w:val="22"/>
          <w:szCs w:val="22"/>
          <w:rtl/>
        </w:rPr>
      </w:pPr>
      <w:r>
        <w:rPr>
          <w:noProof/>
          <w:rtl/>
        </w:rPr>
        <w:t>דברי הרמב"ן דלרש"י ולבה"ג צריך לכחתחילה לבדוק אחר השחיטה אף לדידן</w:t>
      </w:r>
    </w:p>
    <w:p w14:paraId="33D9F862" w14:textId="77777777" w:rsidR="006776B3" w:rsidRDefault="006776B3" w:rsidP="006776B3">
      <w:pPr>
        <w:pStyle w:val="aff4"/>
        <w:rPr>
          <w:rFonts w:eastAsiaTheme="minorEastAsia" w:cstheme="minorBidi"/>
          <w:i/>
          <w:iCs/>
          <w:noProof/>
          <w:sz w:val="22"/>
          <w:szCs w:val="22"/>
          <w:rtl/>
        </w:rPr>
      </w:pPr>
      <w:bookmarkStart w:id="2841" w:name="_Toc19435311"/>
      <w:bookmarkStart w:id="2842" w:name="_Toc20080652"/>
      <w:r>
        <w:rPr>
          <w:noProof/>
          <w:rtl/>
        </w:rPr>
        <w:t>דעת רבינו יונה והרשב"א והרא"ש דלכתחילה צריך לבדוק</w:t>
      </w:r>
      <w:bookmarkEnd w:id="2841"/>
      <w:bookmarkEnd w:id="2842"/>
    </w:p>
    <w:p w14:paraId="4C1AA171" w14:textId="77777777" w:rsidR="006776B3" w:rsidRDefault="006776B3" w:rsidP="005077A7">
      <w:pPr>
        <w:pStyle w:val="a"/>
        <w:rPr>
          <w:rFonts w:eastAsiaTheme="minorEastAsia" w:cstheme="minorBidi"/>
          <w:noProof/>
          <w:sz w:val="22"/>
          <w:szCs w:val="22"/>
          <w:rtl/>
        </w:rPr>
      </w:pPr>
      <w:r>
        <w:rPr>
          <w:noProof/>
          <w:rtl/>
        </w:rPr>
        <w:t>דעת הרשב"א דלהלכה לכתחילה צריך לבדוק אף דבאבד הסכין כשר אף לרב הונא</w:t>
      </w:r>
    </w:p>
    <w:p w14:paraId="34B03DB9" w14:textId="77777777" w:rsidR="006776B3" w:rsidRDefault="006776B3" w:rsidP="005077A7">
      <w:pPr>
        <w:pStyle w:val="a"/>
        <w:rPr>
          <w:rFonts w:eastAsiaTheme="minorEastAsia" w:cstheme="minorBidi"/>
          <w:noProof/>
          <w:sz w:val="22"/>
          <w:szCs w:val="22"/>
          <w:rtl/>
        </w:rPr>
      </w:pPr>
      <w:r>
        <w:rPr>
          <w:noProof/>
          <w:rtl/>
        </w:rPr>
        <w:t>דברי הרשב"א דבמומחין ובסכין ובריאה בודקין לכתחילה ובדיעבד מעמידים בחזקת כשרות</w:t>
      </w:r>
    </w:p>
    <w:p w14:paraId="683CBB98" w14:textId="77777777" w:rsidR="006776B3" w:rsidRDefault="006776B3" w:rsidP="006776B3">
      <w:pPr>
        <w:pStyle w:val="aff4"/>
        <w:rPr>
          <w:rFonts w:eastAsiaTheme="minorEastAsia" w:cstheme="minorBidi"/>
          <w:i/>
          <w:iCs/>
          <w:noProof/>
          <w:sz w:val="22"/>
          <w:szCs w:val="22"/>
          <w:rtl/>
        </w:rPr>
      </w:pPr>
      <w:bookmarkStart w:id="2843" w:name="_Toc19435312"/>
      <w:bookmarkStart w:id="2844" w:name="_Toc20080653"/>
      <w:r>
        <w:rPr>
          <w:noProof/>
          <w:rtl/>
        </w:rPr>
        <w:t>דעת הבעה"מ והראב"ד דא"צ לבדוק אף לכתחילה</w:t>
      </w:r>
      <w:bookmarkEnd w:id="2843"/>
      <w:bookmarkEnd w:id="2844"/>
    </w:p>
    <w:p w14:paraId="7CF5AACE" w14:textId="77777777" w:rsidR="006776B3" w:rsidRDefault="006776B3" w:rsidP="005077A7">
      <w:pPr>
        <w:pStyle w:val="a"/>
        <w:rPr>
          <w:rFonts w:eastAsiaTheme="minorEastAsia" w:cstheme="minorBidi"/>
          <w:noProof/>
          <w:sz w:val="22"/>
          <w:szCs w:val="22"/>
          <w:rtl/>
        </w:rPr>
      </w:pPr>
      <w:r>
        <w:rPr>
          <w:noProof/>
          <w:rtl/>
        </w:rPr>
        <w:t>דעת הבעה"מ והעיטור והראב"ד והמאירי דבשחיטה אחת א"צ לבדוק כלל</w:t>
      </w:r>
    </w:p>
    <w:p w14:paraId="77A692F3" w14:textId="77777777" w:rsidR="006776B3" w:rsidRDefault="006776B3" w:rsidP="006776B3">
      <w:pPr>
        <w:pStyle w:val="aff4"/>
        <w:rPr>
          <w:rFonts w:eastAsiaTheme="minorEastAsia" w:cstheme="minorBidi"/>
          <w:i/>
          <w:iCs/>
          <w:noProof/>
          <w:sz w:val="22"/>
          <w:szCs w:val="22"/>
          <w:rtl/>
        </w:rPr>
      </w:pPr>
      <w:bookmarkStart w:id="2845" w:name="_Toc19435313"/>
      <w:bookmarkStart w:id="2846" w:name="_Toc20080654"/>
      <w:r>
        <w:rPr>
          <w:noProof/>
          <w:rtl/>
        </w:rPr>
        <w:t>דעת הרא"ה דדדוקא לדעת רב חסדא א"צ לבדוק אף לכתחילה</w:t>
      </w:r>
      <w:bookmarkEnd w:id="2845"/>
      <w:bookmarkEnd w:id="2846"/>
    </w:p>
    <w:p w14:paraId="4C6066B1" w14:textId="77777777" w:rsidR="006776B3" w:rsidRDefault="006776B3" w:rsidP="005077A7">
      <w:pPr>
        <w:pStyle w:val="a"/>
        <w:rPr>
          <w:rFonts w:eastAsiaTheme="minorEastAsia" w:cstheme="minorBidi"/>
          <w:noProof/>
          <w:sz w:val="22"/>
          <w:szCs w:val="22"/>
          <w:rtl/>
        </w:rPr>
      </w:pPr>
      <w:r>
        <w:rPr>
          <w:noProof/>
          <w:rtl/>
        </w:rPr>
        <w:t>דברי הרא"ה דלהלכה א"צ בדיקה אחר השחיטה כדמוכח מדקיי"ל דמותר בשיבר בה עצמות</w:t>
      </w:r>
    </w:p>
    <w:p w14:paraId="29507C3A" w14:textId="77777777" w:rsidR="006776B3" w:rsidRDefault="006776B3" w:rsidP="005077A7">
      <w:pPr>
        <w:pStyle w:val="a"/>
        <w:rPr>
          <w:rFonts w:eastAsiaTheme="minorEastAsia" w:cstheme="minorBidi"/>
          <w:noProof/>
          <w:sz w:val="22"/>
          <w:szCs w:val="22"/>
          <w:rtl/>
        </w:rPr>
      </w:pPr>
      <w:r>
        <w:rPr>
          <w:noProof/>
          <w:rtl/>
        </w:rPr>
        <w:t>דברי הרשב"א דאף  לרב חסדא צריך בדיקה כשהסכין לפנינו</w:t>
      </w:r>
    </w:p>
    <w:p w14:paraId="0FBA9471" w14:textId="77777777" w:rsidR="006776B3" w:rsidRDefault="006776B3" w:rsidP="006776B3">
      <w:pPr>
        <w:pStyle w:val="2"/>
        <w:rPr>
          <w:rFonts w:eastAsiaTheme="minorEastAsia" w:cstheme="minorBidi"/>
          <w:i/>
          <w:iCs/>
          <w:noProof/>
          <w:sz w:val="22"/>
          <w:szCs w:val="22"/>
          <w:rtl/>
        </w:rPr>
      </w:pPr>
      <w:bookmarkStart w:id="2847" w:name="_Toc19435314"/>
      <w:r>
        <w:rPr>
          <w:noProof/>
          <w:rtl/>
        </w:rPr>
        <w:t>מראי מקומות וביאורים על הרמב"ם</w:t>
      </w:r>
      <w:bookmarkEnd w:id="2847"/>
    </w:p>
    <w:p w14:paraId="03DD5E97" w14:textId="77777777" w:rsidR="006776B3" w:rsidRDefault="006776B3" w:rsidP="006776B3">
      <w:pPr>
        <w:pStyle w:val="aff4"/>
        <w:rPr>
          <w:rFonts w:eastAsiaTheme="minorEastAsia" w:cstheme="minorBidi"/>
          <w:i/>
          <w:iCs/>
          <w:noProof/>
          <w:sz w:val="22"/>
          <w:szCs w:val="22"/>
          <w:rtl/>
        </w:rPr>
      </w:pPr>
      <w:bookmarkStart w:id="2848" w:name="_Toc19435315"/>
      <w:bookmarkStart w:id="2849" w:name="_Toc20080655"/>
      <w:r>
        <w:rPr>
          <w:noProof/>
          <w:rtl/>
        </w:rPr>
        <w:t>פלוגתת הרמב"ם והראב"ד בבדיקה אחר השחיטה</w:t>
      </w:r>
      <w:bookmarkEnd w:id="2848"/>
      <w:bookmarkEnd w:id="2849"/>
    </w:p>
    <w:p w14:paraId="5E82686C" w14:textId="77777777" w:rsidR="006776B3" w:rsidRDefault="006776B3" w:rsidP="005077A7">
      <w:pPr>
        <w:pStyle w:val="a"/>
        <w:rPr>
          <w:rFonts w:eastAsiaTheme="minorEastAsia" w:cstheme="minorBidi"/>
          <w:noProof/>
          <w:sz w:val="22"/>
          <w:szCs w:val="22"/>
          <w:rtl/>
        </w:rPr>
      </w:pPr>
      <w:r>
        <w:rPr>
          <w:noProof/>
          <w:rtl/>
        </w:rPr>
        <w:t>דברי הרמב"ם שצריך לבדוק אחר השחיטה ובפגום הוי ספק נבילה</w:t>
      </w:r>
    </w:p>
    <w:p w14:paraId="4BECDF76" w14:textId="77777777" w:rsidR="006776B3" w:rsidRDefault="006776B3" w:rsidP="005077A7">
      <w:pPr>
        <w:pStyle w:val="a"/>
        <w:rPr>
          <w:rFonts w:eastAsiaTheme="minorEastAsia" w:cstheme="minorBidi"/>
          <w:noProof/>
          <w:sz w:val="22"/>
          <w:szCs w:val="22"/>
          <w:rtl/>
        </w:rPr>
      </w:pPr>
      <w:r>
        <w:rPr>
          <w:noProof/>
          <w:rtl/>
        </w:rPr>
        <w:t>דברי הראב"ד דמדינא א"צ לבדוק אחר שחיטה אחת</w:t>
      </w:r>
    </w:p>
    <w:p w14:paraId="59457EBE" w14:textId="77777777" w:rsidR="006776B3" w:rsidRDefault="006776B3" w:rsidP="005077A7">
      <w:pPr>
        <w:pStyle w:val="a"/>
        <w:rPr>
          <w:rFonts w:eastAsiaTheme="minorEastAsia" w:cstheme="minorBidi"/>
          <w:noProof/>
          <w:sz w:val="22"/>
          <w:szCs w:val="22"/>
          <w:rtl/>
        </w:rPr>
      </w:pPr>
      <w:r>
        <w:rPr>
          <w:noProof/>
          <w:rtl/>
        </w:rPr>
        <w:t>הוכחת הראב"ד מדלא אמר רב הונא שצריך לבדוק את הסכין כמו בבדיקת סימנים</w:t>
      </w:r>
    </w:p>
    <w:p w14:paraId="5A1C26CC" w14:textId="77777777" w:rsidR="006776B3" w:rsidRDefault="006776B3" w:rsidP="005077A7">
      <w:pPr>
        <w:pStyle w:val="a"/>
        <w:rPr>
          <w:rFonts w:eastAsiaTheme="minorEastAsia" w:cstheme="minorBidi"/>
          <w:noProof/>
          <w:sz w:val="22"/>
          <w:szCs w:val="22"/>
          <w:rtl/>
        </w:rPr>
      </w:pPr>
      <w:r>
        <w:rPr>
          <w:noProof/>
          <w:rtl/>
        </w:rPr>
        <w:t>דברי הלח"מ דאין כוונת הראב"ד להקשות דהיה לרב הונא לדון בעיקר דין הבדיקה</w:t>
      </w:r>
    </w:p>
    <w:p w14:paraId="05094FE8" w14:textId="77777777" w:rsidR="006776B3" w:rsidRDefault="006776B3" w:rsidP="005077A7">
      <w:pPr>
        <w:pStyle w:val="a"/>
        <w:rPr>
          <w:rFonts w:eastAsiaTheme="minorEastAsia" w:cstheme="minorBidi"/>
          <w:noProof/>
          <w:sz w:val="22"/>
          <w:szCs w:val="22"/>
          <w:rtl/>
        </w:rPr>
      </w:pPr>
      <w:r>
        <w:rPr>
          <w:noProof/>
          <w:rtl/>
        </w:rPr>
        <w:t>ביאור הלח"מ בראב"ד דהיה לגמ' לעיל לומר שיבדוק בסכין דהוא יותר חידוש מהסימנים</w:t>
      </w:r>
    </w:p>
    <w:p w14:paraId="514B2B0E" w14:textId="77777777" w:rsidR="006776B3" w:rsidRDefault="006776B3" w:rsidP="005077A7">
      <w:pPr>
        <w:pStyle w:val="a"/>
        <w:rPr>
          <w:rFonts w:eastAsiaTheme="minorEastAsia" w:cstheme="minorBidi"/>
          <w:noProof/>
          <w:sz w:val="22"/>
          <w:szCs w:val="22"/>
          <w:rtl/>
        </w:rPr>
      </w:pPr>
      <w:r>
        <w:rPr>
          <w:noProof/>
          <w:rtl/>
        </w:rPr>
        <w:t>תירוץ הרדב"ז דדין בדיקת הסכין כלול בדברי רב הונא דצריך שידע במה נשחטה</w:t>
      </w:r>
    </w:p>
    <w:p w14:paraId="4BBFA5A1" w14:textId="77777777" w:rsidR="006776B3" w:rsidRDefault="006776B3" w:rsidP="005077A7">
      <w:pPr>
        <w:pStyle w:val="a"/>
        <w:rPr>
          <w:rFonts w:eastAsiaTheme="minorEastAsia" w:cstheme="minorBidi"/>
          <w:noProof/>
          <w:sz w:val="22"/>
          <w:szCs w:val="22"/>
          <w:rtl/>
        </w:rPr>
      </w:pPr>
      <w:r>
        <w:rPr>
          <w:noProof/>
          <w:rtl/>
        </w:rPr>
        <w:t>דברי הכס"מ דס"ל להרמב"ם דבאבד הסכין כשרה ולכן א"א לומר שצריך לבדוק את הסכין</w:t>
      </w:r>
    </w:p>
    <w:p w14:paraId="124200C3" w14:textId="77777777" w:rsidR="006776B3" w:rsidRDefault="006776B3" w:rsidP="006776B3">
      <w:pPr>
        <w:pStyle w:val="aff4"/>
        <w:rPr>
          <w:rFonts w:eastAsiaTheme="minorEastAsia" w:cstheme="minorBidi"/>
          <w:i/>
          <w:iCs/>
          <w:noProof/>
          <w:sz w:val="22"/>
          <w:szCs w:val="22"/>
          <w:rtl/>
        </w:rPr>
      </w:pPr>
      <w:bookmarkStart w:id="2850" w:name="_Toc19435316"/>
      <w:bookmarkStart w:id="2851" w:name="_Toc20080656"/>
      <w:r>
        <w:rPr>
          <w:noProof/>
          <w:rtl/>
        </w:rPr>
        <w:t>דברי הרמב"ם דבשיבר עצמות או אבד הסכין השחיטה כשרה</w:t>
      </w:r>
      <w:bookmarkEnd w:id="2850"/>
      <w:bookmarkEnd w:id="2851"/>
    </w:p>
    <w:p w14:paraId="0923E234" w14:textId="77777777" w:rsidR="006776B3" w:rsidRDefault="006776B3" w:rsidP="005077A7">
      <w:pPr>
        <w:pStyle w:val="a"/>
        <w:rPr>
          <w:rFonts w:eastAsiaTheme="minorEastAsia" w:cstheme="minorBidi"/>
          <w:noProof/>
          <w:sz w:val="22"/>
          <w:szCs w:val="22"/>
          <w:rtl/>
        </w:rPr>
      </w:pPr>
      <w:r>
        <w:rPr>
          <w:noProof/>
          <w:rtl/>
        </w:rPr>
        <w:t>דברי הרמב"ם דבשיבר עצמות השחיטה כשרה דחזקת הסכין שנפגמה מהעצמות</w:t>
      </w:r>
    </w:p>
    <w:p w14:paraId="40A9A28F" w14:textId="77777777" w:rsidR="006776B3" w:rsidRDefault="006776B3" w:rsidP="005077A7">
      <w:pPr>
        <w:pStyle w:val="a"/>
        <w:rPr>
          <w:rFonts w:eastAsiaTheme="minorEastAsia" w:cstheme="minorBidi"/>
          <w:noProof/>
          <w:sz w:val="22"/>
          <w:szCs w:val="22"/>
          <w:rtl/>
        </w:rPr>
      </w:pPr>
      <w:r>
        <w:rPr>
          <w:noProof/>
          <w:rtl/>
        </w:rPr>
        <w:t>דברי הרמב"ם דבפשע ולא בדק או שאבדה הסכין שחיטתו כשרה</w:t>
      </w:r>
    </w:p>
    <w:p w14:paraId="46CE0E3B" w14:textId="77777777" w:rsidR="006776B3" w:rsidRDefault="006776B3" w:rsidP="005077A7">
      <w:pPr>
        <w:pStyle w:val="a"/>
        <w:rPr>
          <w:rFonts w:eastAsiaTheme="minorEastAsia" w:cstheme="minorBidi"/>
          <w:noProof/>
          <w:sz w:val="22"/>
          <w:szCs w:val="22"/>
          <w:rtl/>
        </w:rPr>
      </w:pPr>
      <w:r>
        <w:rPr>
          <w:noProof/>
          <w:rtl/>
        </w:rPr>
        <w:t>דברי הכס"מ דמדלא אמר רב הונא שצריך לבדוק מוכח דבאבד הסכין כשר</w:t>
      </w:r>
    </w:p>
    <w:p w14:paraId="6A04D5CE" w14:textId="77777777" w:rsidR="006776B3" w:rsidRDefault="006776B3" w:rsidP="005077A7">
      <w:pPr>
        <w:pStyle w:val="a"/>
        <w:rPr>
          <w:rFonts w:eastAsiaTheme="minorEastAsia" w:cstheme="minorBidi"/>
          <w:noProof/>
          <w:sz w:val="22"/>
          <w:szCs w:val="22"/>
          <w:rtl/>
        </w:rPr>
      </w:pPr>
      <w:r>
        <w:rPr>
          <w:noProof/>
          <w:rtl/>
        </w:rPr>
        <w:t>דברי הכס"מ דמדקיי"ל דבשיבר עצמות הפגימה לא חשיבא כריעותא מוכח דבאבד הסכין כשר</w:t>
      </w:r>
    </w:p>
    <w:p w14:paraId="568B4103" w14:textId="77777777" w:rsidR="006776B3" w:rsidRDefault="006776B3" w:rsidP="005077A7">
      <w:pPr>
        <w:pStyle w:val="a"/>
        <w:rPr>
          <w:rFonts w:eastAsiaTheme="minorEastAsia" w:cstheme="minorBidi"/>
          <w:noProof/>
          <w:sz w:val="22"/>
          <w:szCs w:val="22"/>
          <w:rtl/>
        </w:rPr>
      </w:pPr>
      <w:r>
        <w:rPr>
          <w:noProof/>
          <w:rtl/>
        </w:rPr>
        <w:t>דברי הכס"מ דבסימנים צריך לבדוק כיון שהריעותא בבהמה עצמה</w:t>
      </w:r>
    </w:p>
    <w:p w14:paraId="3749EFA0" w14:textId="77777777" w:rsidR="006776B3" w:rsidRDefault="006776B3" w:rsidP="005077A7">
      <w:pPr>
        <w:pStyle w:val="a"/>
        <w:rPr>
          <w:rFonts w:eastAsiaTheme="minorEastAsia" w:cstheme="minorBidi"/>
          <w:noProof/>
          <w:sz w:val="22"/>
          <w:szCs w:val="22"/>
          <w:rtl/>
        </w:rPr>
      </w:pPr>
      <w:r>
        <w:rPr>
          <w:noProof/>
          <w:rtl/>
        </w:rPr>
        <w:t>דברי הר"ן בדעת הרמב"ם דכיון דקיי"ל כרב חסדא לכן באבד הסכין השחיטה כשרה</w:t>
      </w:r>
    </w:p>
    <w:p w14:paraId="2A7A974E" w14:textId="77777777" w:rsidR="006776B3" w:rsidRDefault="006776B3" w:rsidP="006776B3">
      <w:pPr>
        <w:pStyle w:val="2"/>
        <w:rPr>
          <w:rFonts w:eastAsiaTheme="minorEastAsia" w:cstheme="minorBidi"/>
          <w:i/>
          <w:iCs/>
          <w:noProof/>
          <w:sz w:val="22"/>
          <w:szCs w:val="22"/>
          <w:rtl/>
        </w:rPr>
      </w:pPr>
      <w:bookmarkStart w:id="2852" w:name="_Toc19435317"/>
      <w:r>
        <w:rPr>
          <w:noProof/>
          <w:rtl/>
        </w:rPr>
        <w:t>אי הוי ודאי נבילה או ספק נבילה</w:t>
      </w:r>
      <w:bookmarkEnd w:id="2852"/>
    </w:p>
    <w:p w14:paraId="3C0B5E6F" w14:textId="77777777" w:rsidR="006776B3" w:rsidRDefault="006776B3" w:rsidP="006776B3">
      <w:pPr>
        <w:pStyle w:val="aff4"/>
        <w:rPr>
          <w:rFonts w:eastAsiaTheme="minorEastAsia" w:cstheme="minorBidi"/>
          <w:i/>
          <w:iCs/>
          <w:noProof/>
          <w:sz w:val="22"/>
          <w:szCs w:val="22"/>
          <w:rtl/>
        </w:rPr>
      </w:pPr>
      <w:bookmarkStart w:id="2853" w:name="_Toc19435318"/>
      <w:bookmarkStart w:id="2854" w:name="_Toc20080657"/>
      <w:r>
        <w:rPr>
          <w:noProof/>
          <w:rtl/>
        </w:rPr>
        <w:t>בביאור דברי הרמב"ם דהוי ספק נבילה</w:t>
      </w:r>
      <w:bookmarkEnd w:id="2853"/>
      <w:bookmarkEnd w:id="2854"/>
    </w:p>
    <w:p w14:paraId="1B328CA9" w14:textId="77777777" w:rsidR="006776B3" w:rsidRDefault="006776B3" w:rsidP="005077A7">
      <w:pPr>
        <w:pStyle w:val="a"/>
        <w:rPr>
          <w:rFonts w:eastAsiaTheme="minorEastAsia" w:cstheme="minorBidi"/>
          <w:noProof/>
          <w:sz w:val="22"/>
          <w:szCs w:val="22"/>
          <w:rtl/>
        </w:rPr>
      </w:pPr>
      <w:r>
        <w:rPr>
          <w:noProof/>
          <w:rtl/>
        </w:rPr>
        <w:t>דברי הכס"מ דכיון שהריעותא בסכין אינה ודאי נבילה וכדברי רב הונא "דשמא" בעור נפגמה</w:t>
      </w:r>
    </w:p>
    <w:p w14:paraId="7D4AFC0B" w14:textId="77777777" w:rsidR="006776B3" w:rsidRDefault="006776B3" w:rsidP="005077A7">
      <w:pPr>
        <w:pStyle w:val="a"/>
        <w:rPr>
          <w:rFonts w:eastAsiaTheme="minorEastAsia" w:cstheme="minorBidi"/>
          <w:noProof/>
          <w:sz w:val="22"/>
          <w:szCs w:val="22"/>
          <w:rtl/>
        </w:rPr>
      </w:pPr>
      <w:r>
        <w:rPr>
          <w:noProof/>
          <w:rtl/>
        </w:rPr>
        <w:t>פלוגתת הב"ח והש"ך בדעת הטור אי הוי ודאי נבילה או ספק נבילה</w:t>
      </w:r>
    </w:p>
    <w:p w14:paraId="40B42B3B" w14:textId="77777777" w:rsidR="006776B3" w:rsidRDefault="006776B3" w:rsidP="005077A7">
      <w:pPr>
        <w:pStyle w:val="a"/>
        <w:rPr>
          <w:rFonts w:eastAsiaTheme="minorEastAsia" w:cstheme="minorBidi"/>
          <w:noProof/>
          <w:sz w:val="22"/>
          <w:szCs w:val="22"/>
          <w:rtl/>
        </w:rPr>
      </w:pPr>
      <w:r>
        <w:rPr>
          <w:noProof/>
          <w:rtl/>
        </w:rPr>
        <w:t>דברי הראש יוסף דלדעת הרמב"ם היא ודאי נבילה וכוונת הרמב"ם לומר דתלינן דנפגמה בעור</w:t>
      </w:r>
    </w:p>
    <w:p w14:paraId="5AEB4C60" w14:textId="77777777" w:rsidR="006776B3" w:rsidRDefault="006776B3" w:rsidP="005077A7">
      <w:pPr>
        <w:pStyle w:val="a"/>
        <w:rPr>
          <w:rFonts w:eastAsiaTheme="minorEastAsia" w:cstheme="minorBidi"/>
          <w:noProof/>
          <w:sz w:val="22"/>
          <w:szCs w:val="22"/>
          <w:rtl/>
        </w:rPr>
      </w:pPr>
      <w:r>
        <w:rPr>
          <w:noProof/>
          <w:rtl/>
        </w:rPr>
        <w:t>ביאור הראש יוסף דכיון שיש תרתי לריעותא כמקוה לכן הוי ודאי נבילה</w:t>
      </w:r>
    </w:p>
    <w:p w14:paraId="0FDDE5D4" w14:textId="77777777" w:rsidR="006776B3" w:rsidRDefault="006776B3" w:rsidP="005077A7">
      <w:pPr>
        <w:pStyle w:val="a"/>
        <w:rPr>
          <w:rFonts w:eastAsiaTheme="minorEastAsia" w:cstheme="minorBidi"/>
          <w:noProof/>
          <w:sz w:val="22"/>
          <w:szCs w:val="22"/>
          <w:rtl/>
        </w:rPr>
      </w:pPr>
      <w:r>
        <w:rPr>
          <w:noProof/>
          <w:rtl/>
        </w:rPr>
        <w:t>דברי הראש יוסף דלרמב"ן באבד הסכין אסורה מספק דאין תרת"ל ויש סתירה בחזקות</w:t>
      </w:r>
    </w:p>
    <w:p w14:paraId="4EC6BF85" w14:textId="77777777" w:rsidR="006776B3" w:rsidRDefault="006776B3" w:rsidP="005077A7">
      <w:pPr>
        <w:pStyle w:val="a"/>
        <w:rPr>
          <w:rFonts w:eastAsiaTheme="minorEastAsia" w:cstheme="minorBidi"/>
          <w:noProof/>
          <w:sz w:val="22"/>
          <w:szCs w:val="22"/>
          <w:rtl/>
        </w:rPr>
      </w:pPr>
      <w:r>
        <w:rPr>
          <w:noProof/>
          <w:rtl/>
        </w:rPr>
        <w:t>ביאור הראש יוסף בדברי הש"ך ברמב"ם דהוי ספק נבילה דוקא כשודאי נגע במפרקת</w:t>
      </w:r>
    </w:p>
    <w:p w14:paraId="39AE326D" w14:textId="77777777" w:rsidR="006776B3" w:rsidRDefault="006776B3" w:rsidP="005077A7">
      <w:pPr>
        <w:pStyle w:val="a"/>
        <w:rPr>
          <w:rFonts w:eastAsiaTheme="minorEastAsia" w:cstheme="minorBidi"/>
          <w:noProof/>
          <w:sz w:val="22"/>
          <w:szCs w:val="22"/>
          <w:rtl/>
        </w:rPr>
      </w:pPr>
      <w:r>
        <w:rPr>
          <w:noProof/>
          <w:rtl/>
        </w:rPr>
        <w:t>דברי הפרמ"ג דאין כאן תרתי לריעותא כיון דהוא לא חסר ואתאי</w:t>
      </w:r>
    </w:p>
    <w:p w14:paraId="6AD142A8" w14:textId="77777777" w:rsidR="006776B3" w:rsidRDefault="006776B3" w:rsidP="006776B3">
      <w:pPr>
        <w:pStyle w:val="2"/>
        <w:rPr>
          <w:noProof/>
          <w:rtl/>
        </w:rPr>
      </w:pPr>
    </w:p>
    <w:p w14:paraId="78F716AC" w14:textId="77777777" w:rsidR="006776B3" w:rsidRDefault="006776B3" w:rsidP="006776B3">
      <w:pPr>
        <w:pStyle w:val="2"/>
        <w:rPr>
          <w:rFonts w:eastAsiaTheme="minorEastAsia" w:cstheme="minorBidi"/>
          <w:i/>
          <w:iCs/>
          <w:noProof/>
          <w:sz w:val="22"/>
          <w:szCs w:val="22"/>
          <w:rtl/>
        </w:rPr>
      </w:pPr>
      <w:bookmarkStart w:id="2855" w:name="_Toc19435319"/>
      <w:r>
        <w:rPr>
          <w:noProof/>
          <w:rtl/>
        </w:rPr>
        <w:t>ביאורי ראשי הישיבות על הסוגיא</w:t>
      </w:r>
      <w:bookmarkEnd w:id="2855"/>
    </w:p>
    <w:p w14:paraId="3A2DB733" w14:textId="77777777" w:rsidR="006776B3" w:rsidRDefault="006776B3" w:rsidP="006776B3">
      <w:pPr>
        <w:pStyle w:val="aff4"/>
        <w:rPr>
          <w:rFonts w:eastAsiaTheme="minorEastAsia" w:cstheme="minorBidi"/>
          <w:i/>
          <w:iCs/>
          <w:noProof/>
          <w:sz w:val="22"/>
          <w:szCs w:val="22"/>
          <w:rtl/>
        </w:rPr>
      </w:pPr>
      <w:bookmarkStart w:id="2856" w:name="_Toc19435320"/>
      <w:bookmarkStart w:id="2857" w:name="_Toc20080658"/>
      <w:r>
        <w:rPr>
          <w:noProof/>
          <w:rtl/>
        </w:rPr>
        <w:t>ביאור השער"י דהסכין הוא מכשיר את השחיטה</w:t>
      </w:r>
      <w:bookmarkEnd w:id="2856"/>
      <w:bookmarkEnd w:id="2857"/>
    </w:p>
    <w:p w14:paraId="06D9FCF7" w14:textId="77777777" w:rsidR="006776B3" w:rsidRDefault="006776B3" w:rsidP="005077A7">
      <w:pPr>
        <w:pStyle w:val="a"/>
        <w:rPr>
          <w:rFonts w:eastAsiaTheme="minorEastAsia" w:cstheme="minorBidi"/>
          <w:noProof/>
          <w:sz w:val="22"/>
          <w:szCs w:val="22"/>
          <w:rtl/>
        </w:rPr>
      </w:pPr>
      <w:r>
        <w:rPr>
          <w:noProof/>
          <w:rtl/>
        </w:rPr>
        <w:t>דברי השער"י דחזקת הסכין מהני כיון שהספק נולד בסכין ונגרר מזה הספק בשחיטה</w:t>
      </w:r>
    </w:p>
    <w:p w14:paraId="73CA569C" w14:textId="77777777" w:rsidR="006776B3" w:rsidRDefault="006776B3" w:rsidP="005077A7">
      <w:pPr>
        <w:pStyle w:val="a"/>
        <w:rPr>
          <w:rFonts w:eastAsiaTheme="minorEastAsia" w:cstheme="minorBidi"/>
          <w:noProof/>
          <w:sz w:val="22"/>
          <w:szCs w:val="22"/>
          <w:rtl/>
        </w:rPr>
      </w:pPr>
      <w:r>
        <w:rPr>
          <w:noProof/>
          <w:rtl/>
        </w:rPr>
        <w:t>ביאור השער"י דלסכין יש דין מכשיר בשחיטה וחזקת הסכין עצמה מכשירה את השחיטה</w:t>
      </w:r>
    </w:p>
    <w:p w14:paraId="3469986E" w14:textId="77777777" w:rsidR="006776B3" w:rsidRDefault="006776B3" w:rsidP="006776B3">
      <w:pPr>
        <w:pStyle w:val="aff4"/>
        <w:rPr>
          <w:rFonts w:eastAsiaTheme="minorEastAsia" w:cstheme="minorBidi"/>
          <w:i/>
          <w:iCs/>
          <w:noProof/>
          <w:sz w:val="22"/>
          <w:szCs w:val="22"/>
          <w:rtl/>
        </w:rPr>
      </w:pPr>
      <w:bookmarkStart w:id="2858" w:name="_Toc19435321"/>
      <w:bookmarkStart w:id="2859" w:name="_Toc20080659"/>
      <w:r>
        <w:rPr>
          <w:noProof/>
          <w:rtl/>
        </w:rPr>
        <w:t>ביאור הגרש"ש דהספק בבהמה ולא בסכין ואין לסכין חזקה</w:t>
      </w:r>
      <w:bookmarkEnd w:id="2858"/>
      <w:bookmarkEnd w:id="2859"/>
    </w:p>
    <w:p w14:paraId="5209943E" w14:textId="77777777" w:rsidR="006776B3" w:rsidRDefault="006776B3" w:rsidP="005077A7">
      <w:pPr>
        <w:pStyle w:val="a"/>
        <w:rPr>
          <w:rFonts w:eastAsiaTheme="minorEastAsia" w:cstheme="minorBidi"/>
          <w:noProof/>
          <w:sz w:val="22"/>
          <w:szCs w:val="22"/>
          <w:rtl/>
        </w:rPr>
      </w:pPr>
      <w:r>
        <w:rPr>
          <w:noProof/>
          <w:rtl/>
        </w:rPr>
        <w:t>דברי הגרש"ש דלפני השחיטה הנדון הוא בסכין דמוחזק שאינו פגום</w:t>
      </w:r>
    </w:p>
    <w:p w14:paraId="5488F806" w14:textId="77777777" w:rsidR="006776B3" w:rsidRDefault="006776B3" w:rsidP="005077A7">
      <w:pPr>
        <w:pStyle w:val="a"/>
        <w:rPr>
          <w:rFonts w:eastAsiaTheme="minorEastAsia" w:cstheme="minorBidi"/>
          <w:noProof/>
          <w:sz w:val="22"/>
          <w:szCs w:val="22"/>
          <w:rtl/>
        </w:rPr>
      </w:pPr>
      <w:r>
        <w:rPr>
          <w:noProof/>
          <w:rtl/>
        </w:rPr>
        <w:t>דברי הגרש"ש דאחר השחיטה הנדון אינו בסכין אלא בבהמה והיא בחזקת איסור</w:t>
      </w:r>
    </w:p>
    <w:p w14:paraId="259FCE6E" w14:textId="77777777" w:rsidR="006776B3" w:rsidRDefault="006776B3" w:rsidP="006776B3">
      <w:pPr>
        <w:pStyle w:val="aff4"/>
        <w:rPr>
          <w:rFonts w:eastAsiaTheme="minorEastAsia" w:cstheme="minorBidi"/>
          <w:i/>
          <w:iCs/>
          <w:noProof/>
          <w:sz w:val="22"/>
          <w:szCs w:val="22"/>
          <w:rtl/>
        </w:rPr>
      </w:pPr>
      <w:bookmarkStart w:id="2860" w:name="_Toc19435322"/>
      <w:bookmarkStart w:id="2861" w:name="_Toc20080660"/>
      <w:r>
        <w:rPr>
          <w:noProof/>
          <w:rtl/>
        </w:rPr>
        <w:t>קושית הקוב"ש דע"י חזקת הסכין אין ספק ול"מ החזקת איסור</w:t>
      </w:r>
      <w:bookmarkEnd w:id="2860"/>
      <w:bookmarkEnd w:id="2861"/>
    </w:p>
    <w:p w14:paraId="7EBF1A0A" w14:textId="77777777" w:rsidR="006776B3" w:rsidRDefault="006776B3" w:rsidP="005077A7">
      <w:pPr>
        <w:pStyle w:val="a"/>
        <w:rPr>
          <w:rFonts w:eastAsiaTheme="minorEastAsia" w:cstheme="minorBidi"/>
          <w:noProof/>
          <w:sz w:val="22"/>
          <w:szCs w:val="22"/>
          <w:rtl/>
        </w:rPr>
      </w:pPr>
      <w:r>
        <w:rPr>
          <w:noProof/>
          <w:rtl/>
        </w:rPr>
        <w:t>קושית הקוב"ש דבאבד הסכין כיון שהוא בחזקת בדוק אין כל ספק בשחיטה</w:t>
      </w:r>
    </w:p>
    <w:p w14:paraId="0456E7CC" w14:textId="77777777" w:rsidR="006776B3" w:rsidRDefault="006776B3" w:rsidP="006776B3">
      <w:pPr>
        <w:pStyle w:val="aff4"/>
        <w:rPr>
          <w:rFonts w:eastAsiaTheme="minorEastAsia" w:cstheme="minorBidi"/>
          <w:i/>
          <w:iCs/>
          <w:noProof/>
          <w:sz w:val="22"/>
          <w:szCs w:val="22"/>
          <w:rtl/>
        </w:rPr>
      </w:pPr>
      <w:bookmarkStart w:id="2862" w:name="_Toc19435323"/>
      <w:bookmarkStart w:id="2863" w:name="_Toc20080661"/>
      <w:r>
        <w:rPr>
          <w:noProof/>
          <w:rtl/>
        </w:rPr>
        <w:t>ביאור המקדש דוד בפלוגתת רב הונא ורב חסדא לדעת הרשב"א</w:t>
      </w:r>
      <w:bookmarkEnd w:id="2862"/>
      <w:bookmarkEnd w:id="2863"/>
    </w:p>
    <w:p w14:paraId="150741D2" w14:textId="77777777" w:rsidR="006776B3" w:rsidRDefault="006776B3" w:rsidP="005077A7">
      <w:pPr>
        <w:pStyle w:val="a"/>
        <w:rPr>
          <w:rFonts w:eastAsiaTheme="minorEastAsia" w:cstheme="minorBidi"/>
          <w:noProof/>
          <w:sz w:val="22"/>
          <w:szCs w:val="22"/>
          <w:rtl/>
        </w:rPr>
      </w:pPr>
      <w:r>
        <w:rPr>
          <w:noProof/>
          <w:rtl/>
        </w:rPr>
        <w:t>ביאור המקדש דוד דע"י הפגימה חשיב שיש ריעותא לפני השחיטה</w:t>
      </w:r>
    </w:p>
    <w:p w14:paraId="5274DE6B" w14:textId="77777777" w:rsidR="006776B3" w:rsidRDefault="006776B3" w:rsidP="005077A7">
      <w:pPr>
        <w:pStyle w:val="a"/>
        <w:rPr>
          <w:rFonts w:eastAsiaTheme="minorEastAsia" w:cstheme="minorBidi"/>
          <w:noProof/>
          <w:sz w:val="22"/>
          <w:szCs w:val="22"/>
          <w:rtl/>
        </w:rPr>
      </w:pPr>
      <w:r>
        <w:rPr>
          <w:noProof/>
          <w:rtl/>
        </w:rPr>
        <w:t>ביאור המקדש דוד דלרב הונא אף בשיבר עצמות א"א להעמיד על חזקת הסכין</w:t>
      </w:r>
    </w:p>
    <w:p w14:paraId="6885937F" w14:textId="77777777" w:rsidR="006776B3" w:rsidRDefault="006776B3" w:rsidP="006776B3">
      <w:pPr>
        <w:pStyle w:val="aff4"/>
        <w:rPr>
          <w:rtl/>
        </w:rPr>
        <w:sectPr w:rsidR="006776B3" w:rsidSect="00A918C8">
          <w:type w:val="continuous"/>
          <w:pgSz w:w="11906" w:h="16838"/>
          <w:pgMar w:top="720" w:right="720" w:bottom="720" w:left="720" w:header="283" w:footer="283" w:gutter="0"/>
          <w:cols w:num="2" w:space="170"/>
          <w:bidi/>
          <w:rtlGutter/>
          <w:docGrid w:linePitch="299"/>
        </w:sectPr>
      </w:pPr>
      <w:r>
        <w:rPr>
          <w:rtl/>
        </w:rPr>
        <w:fldChar w:fldCharType="end"/>
      </w:r>
    </w:p>
    <w:p w14:paraId="67786D2A" w14:textId="77777777" w:rsidR="0073240A" w:rsidRDefault="0073240A" w:rsidP="006776B3">
      <w:pPr>
        <w:pStyle w:val="aff4"/>
        <w:rPr>
          <w:rtl/>
        </w:rPr>
        <w:sectPr w:rsidR="0073240A" w:rsidSect="00FC47D4">
          <w:type w:val="continuous"/>
          <w:pgSz w:w="11906" w:h="16838"/>
          <w:pgMar w:top="720" w:right="720" w:bottom="720" w:left="720" w:header="283" w:footer="283" w:gutter="0"/>
          <w:pgNumType w:start="1"/>
          <w:cols w:space="567"/>
          <w:bidi/>
          <w:rtlGutter/>
          <w:docGrid w:linePitch="299"/>
        </w:sectPr>
      </w:pPr>
    </w:p>
    <w:p w14:paraId="1200D208" w14:textId="77777777" w:rsidR="00FC47D4" w:rsidRDefault="00FC47D4" w:rsidP="006D6D32">
      <w:pPr>
        <w:pStyle w:val="afe"/>
        <w:rPr>
          <w:rtl/>
        </w:rPr>
        <w:sectPr w:rsidR="00FC47D4" w:rsidSect="00A918C8">
          <w:pgSz w:w="11906" w:h="16838"/>
          <w:pgMar w:top="720" w:right="720" w:bottom="720" w:left="720" w:header="283" w:footer="283" w:gutter="0"/>
          <w:pgNumType w:start="45"/>
          <w:cols w:space="567"/>
          <w:bidi/>
          <w:rtlGutter/>
          <w:docGrid w:linePitch="299"/>
        </w:sectPr>
      </w:pPr>
      <w:bookmarkStart w:id="2864" w:name="_Toc19435324"/>
      <w:bookmarkStart w:id="2865" w:name="_Toc20080662"/>
      <w:r>
        <w:rPr>
          <w:rFonts w:hint="cs"/>
          <w:rtl/>
        </w:rPr>
        <w:t>מראי מקומות וביאורים על הסוגיא</w:t>
      </w:r>
      <w:bookmarkEnd w:id="2864"/>
      <w:bookmarkEnd w:id="2865"/>
    </w:p>
    <w:p w14:paraId="4486345A" w14:textId="77777777" w:rsidR="00FC47D4" w:rsidRPr="00B13560" w:rsidRDefault="00FC47D4" w:rsidP="006D6D32">
      <w:pPr>
        <w:pStyle w:val="afe"/>
        <w:rPr>
          <w:rtl/>
        </w:rPr>
      </w:pPr>
      <w:bookmarkStart w:id="2866" w:name="_Toc523397170"/>
      <w:bookmarkStart w:id="2867" w:name="_Toc523490274"/>
      <w:bookmarkStart w:id="2868" w:name="_Toc523697880"/>
      <w:bookmarkStart w:id="2869" w:name="_Toc523735662"/>
      <w:bookmarkStart w:id="2870" w:name="_Toc526248901"/>
      <w:bookmarkStart w:id="2871" w:name="_Toc526409431"/>
      <w:bookmarkStart w:id="2872" w:name="_Toc526939072"/>
      <w:bookmarkStart w:id="2873" w:name="_Toc527060204"/>
      <w:bookmarkStart w:id="2874" w:name="_Toc527060352"/>
      <w:bookmarkStart w:id="2875" w:name="_Toc527100729"/>
      <w:bookmarkStart w:id="2876" w:name="_Toc528226972"/>
      <w:bookmarkStart w:id="2877" w:name="_Toc528227136"/>
      <w:bookmarkStart w:id="2878" w:name="_Toc528227298"/>
      <w:bookmarkStart w:id="2879" w:name="_Toc19435325"/>
      <w:bookmarkStart w:id="2880" w:name="_Toc20080663"/>
      <w:r w:rsidRPr="00B13560">
        <w:rPr>
          <w:rFonts w:hint="cs"/>
          <w:rtl/>
        </w:rPr>
        <w:t>בחיוב הבדיקה</w:t>
      </w:r>
      <w:bookmarkEnd w:id="2866"/>
      <w:bookmarkEnd w:id="2867"/>
      <w:r w:rsidRPr="00B13560">
        <w:rPr>
          <w:rFonts w:hint="cs"/>
          <w:rtl/>
        </w:rPr>
        <w:t xml:space="preserve"> </w:t>
      </w:r>
      <w:r>
        <w:rPr>
          <w:rFonts w:hint="cs"/>
          <w:rtl/>
        </w:rPr>
        <w:t>לפני ולאחר השחיטה</w:t>
      </w:r>
      <w:bookmarkEnd w:id="2868"/>
      <w:bookmarkEnd w:id="2869"/>
      <w:bookmarkEnd w:id="2870"/>
      <w:bookmarkEnd w:id="2871"/>
      <w:bookmarkEnd w:id="2872"/>
      <w:bookmarkEnd w:id="2873"/>
      <w:bookmarkEnd w:id="2874"/>
      <w:bookmarkEnd w:id="2875"/>
      <w:bookmarkEnd w:id="2876"/>
      <w:bookmarkEnd w:id="2877"/>
      <w:bookmarkEnd w:id="2878"/>
      <w:bookmarkEnd w:id="2879"/>
      <w:bookmarkEnd w:id="2880"/>
    </w:p>
    <w:p w14:paraId="6B934A6B" w14:textId="77777777" w:rsidR="00FC47D4" w:rsidRPr="00F71A9B" w:rsidRDefault="00FC47D4" w:rsidP="00BF39B2">
      <w:pPr>
        <w:pStyle w:val="1"/>
        <w:rPr>
          <w:rtl/>
        </w:rPr>
      </w:pPr>
      <w:bookmarkStart w:id="2881" w:name="_Toc523397171"/>
      <w:bookmarkStart w:id="2882" w:name="_Toc523490275"/>
      <w:bookmarkStart w:id="2883" w:name="_Toc523697881"/>
      <w:bookmarkStart w:id="2884" w:name="_Toc523735663"/>
      <w:bookmarkStart w:id="2885" w:name="_Toc526248902"/>
      <w:bookmarkStart w:id="2886" w:name="_Toc526409432"/>
      <w:bookmarkStart w:id="2887" w:name="_Toc526939073"/>
      <w:bookmarkStart w:id="2888" w:name="_Toc527060205"/>
      <w:bookmarkStart w:id="2889" w:name="_Toc527060353"/>
      <w:bookmarkStart w:id="2890" w:name="_Toc527100730"/>
      <w:bookmarkStart w:id="2891" w:name="_Toc528226973"/>
      <w:bookmarkStart w:id="2892" w:name="_Toc528227137"/>
      <w:bookmarkStart w:id="2893" w:name="_Toc528227299"/>
      <w:bookmarkStart w:id="2894" w:name="_Toc19389385"/>
      <w:bookmarkStart w:id="2895" w:name="_Toc19392882"/>
      <w:r>
        <w:rPr>
          <w:rFonts w:hint="cs"/>
          <w:rtl/>
        </w:rPr>
        <w:t>בחיוב בדיקת הסכין קודם השחיטה</w:t>
      </w:r>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p>
    <w:p w14:paraId="0C9AD007" w14:textId="77777777" w:rsidR="00FC47D4" w:rsidRDefault="00FC47D4" w:rsidP="006D6D32">
      <w:pPr>
        <w:pStyle w:val="a3"/>
        <w:rPr>
          <w:rtl/>
        </w:rPr>
      </w:pPr>
      <w:bookmarkStart w:id="2896" w:name="_Toc523397172"/>
      <w:bookmarkStart w:id="2897" w:name="_Toc523490276"/>
      <w:bookmarkStart w:id="2898" w:name="_Toc523697882"/>
      <w:bookmarkStart w:id="2899" w:name="_Toc523735664"/>
      <w:bookmarkStart w:id="2900" w:name="_Toc526248903"/>
      <w:bookmarkStart w:id="2901" w:name="_Toc526409433"/>
      <w:bookmarkStart w:id="2902" w:name="_Toc526939074"/>
      <w:bookmarkStart w:id="2903" w:name="_Toc527060206"/>
      <w:bookmarkStart w:id="2904" w:name="_Toc527060354"/>
      <w:bookmarkStart w:id="2905" w:name="_Toc527100731"/>
      <w:bookmarkStart w:id="2906" w:name="_Toc528226974"/>
      <w:bookmarkStart w:id="2907" w:name="_Toc528227138"/>
      <w:bookmarkStart w:id="2908" w:name="_Toc528227300"/>
      <w:bookmarkStart w:id="2909" w:name="_Toc19389386"/>
      <w:bookmarkStart w:id="2910" w:name="_Toc19392883"/>
      <w:r>
        <w:rPr>
          <w:rFonts w:hint="cs"/>
          <w:rtl/>
        </w:rPr>
        <w:t>דברי רש"י דבדק את הסכין קודם השחיטה והיה שלם</w:t>
      </w:r>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p>
    <w:p w14:paraId="2A2B586A" w14:textId="77777777" w:rsidR="00FC47D4" w:rsidRDefault="00FC47D4" w:rsidP="00E12979">
      <w:pPr>
        <w:pStyle w:val="a0"/>
        <w:numPr>
          <w:ilvl w:val="0"/>
          <w:numId w:val="7"/>
        </w:numPr>
        <w:rPr>
          <w:rtl/>
        </w:rPr>
      </w:pPr>
      <w:bookmarkStart w:id="2911" w:name="_Ref523085337"/>
      <w:r>
        <w:rPr>
          <w:rFonts w:hint="cs"/>
          <w:rtl/>
        </w:rPr>
        <w:t xml:space="preserve">כתב </w:t>
      </w:r>
      <w:r w:rsidRPr="00821163">
        <w:rPr>
          <w:rStyle w:val="af9"/>
          <w:rFonts w:hint="cs"/>
          <w:rtl/>
        </w:rPr>
        <w:t>רש"י</w:t>
      </w:r>
      <w:r>
        <w:rPr>
          <w:rFonts w:hint="cs"/>
          <w:rtl/>
        </w:rPr>
        <w:t xml:space="preserve"> </w:t>
      </w:r>
      <w:r w:rsidRPr="00223668">
        <w:rPr>
          <w:rStyle w:val="af7"/>
          <w:rFonts w:eastAsia="Guttman Hodes" w:hint="cs"/>
          <w:rtl/>
        </w:rPr>
        <w:t xml:space="preserve">(ד"ה השוחט) </w:t>
      </w:r>
      <w:r>
        <w:rPr>
          <w:rFonts w:hint="cs"/>
          <w:rtl/>
        </w:rPr>
        <w:t>דבפלוגתת רב הונא ורב חסדא, איירי שבדק את הסכין קודם השחיטה, ולא הייתה בו פגימה, ולא בדק לאחר השחיטה.</w:t>
      </w:r>
      <w:bookmarkEnd w:id="2911"/>
    </w:p>
    <w:p w14:paraId="5BEB9301" w14:textId="77777777" w:rsidR="00FC47D4" w:rsidRPr="00821163" w:rsidRDefault="00FC47D4" w:rsidP="006D6D32">
      <w:pPr>
        <w:pStyle w:val="a3"/>
        <w:rPr>
          <w:rtl/>
        </w:rPr>
      </w:pPr>
      <w:bookmarkStart w:id="2912" w:name="_Toc523397173"/>
      <w:bookmarkStart w:id="2913" w:name="_Toc523490277"/>
      <w:bookmarkStart w:id="2914" w:name="_Toc523697883"/>
      <w:bookmarkStart w:id="2915" w:name="_Toc523735665"/>
      <w:bookmarkStart w:id="2916" w:name="_Toc526248904"/>
      <w:bookmarkStart w:id="2917" w:name="_Toc526409434"/>
      <w:bookmarkStart w:id="2918" w:name="_Toc526939075"/>
      <w:bookmarkStart w:id="2919" w:name="_Toc527060207"/>
      <w:bookmarkStart w:id="2920" w:name="_Toc527060355"/>
      <w:bookmarkStart w:id="2921" w:name="_Toc527100732"/>
      <w:bookmarkStart w:id="2922" w:name="_Toc528226975"/>
      <w:bookmarkStart w:id="2923" w:name="_Toc528227139"/>
      <w:bookmarkStart w:id="2924" w:name="_Toc528227301"/>
      <w:bookmarkStart w:id="2925" w:name="_Toc19389387"/>
      <w:bookmarkStart w:id="2926" w:name="_Toc19392884"/>
      <w:r>
        <w:rPr>
          <w:rFonts w:hint="cs"/>
          <w:rtl/>
        </w:rPr>
        <w:t>הוכחת הרשב"א דבדק קודם השחיטה דסתם סכין אינו בדוק מהא דצריך לבדוק את סכינו של מומר</w:t>
      </w:r>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p>
    <w:p w14:paraId="7773658D" w14:textId="77777777" w:rsidR="00FC47D4" w:rsidRDefault="00FC47D4" w:rsidP="00223668">
      <w:pPr>
        <w:pStyle w:val="a0"/>
        <w:rPr>
          <w:rtl/>
        </w:rPr>
      </w:pPr>
      <w:r>
        <w:rPr>
          <w:rFonts w:hint="cs"/>
          <w:rtl/>
        </w:rPr>
        <w:t xml:space="preserve">וכ"כ </w:t>
      </w:r>
      <w:r w:rsidRPr="000746E8">
        <w:rPr>
          <w:rStyle w:val="af9"/>
          <w:rFonts w:hint="cs"/>
          <w:rtl/>
        </w:rPr>
        <w:t>הרשב"א</w:t>
      </w:r>
      <w:r w:rsidRPr="000746E8">
        <w:rPr>
          <w:rStyle w:val="af7"/>
          <w:rFonts w:eastAsia="Guttman Hodes" w:hint="cs"/>
          <w:rtl/>
        </w:rPr>
        <w:t xml:space="preserve"> (ד"ה השוחט) </w:t>
      </w:r>
      <w:r w:rsidRPr="00EC3A0D">
        <w:rPr>
          <w:rStyle w:val="af9"/>
          <w:rFonts w:hint="cs"/>
          <w:rtl/>
        </w:rPr>
        <w:t xml:space="preserve">והמאירי </w:t>
      </w:r>
      <w:r w:rsidRPr="00EC3A0D">
        <w:rPr>
          <w:rStyle w:val="af7"/>
          <w:rFonts w:eastAsia="Guttman Hodes" w:hint="cs"/>
          <w:rtl/>
        </w:rPr>
        <w:t>(ד"ה השוחט)</w:t>
      </w:r>
      <w:r>
        <w:rPr>
          <w:rFonts w:hint="cs"/>
          <w:rtl/>
        </w:rPr>
        <w:t xml:space="preserve"> דהא דאסר רב הונא דהשחיטה פסולה אף בשיבר בה עצמות, איירי בסכין בדוקה, דאי לא בדק קודם השחיטה, אף באבדה הסכין ולא ידוע אם נפגמה,</w:t>
      </w:r>
      <w:r w:rsidRPr="00D6389C">
        <w:rPr>
          <w:rFonts w:hint="cs"/>
          <w:rtl/>
        </w:rPr>
        <w:t xml:space="preserve"> </w:t>
      </w:r>
      <w:r>
        <w:rPr>
          <w:rFonts w:hint="cs"/>
          <w:rtl/>
        </w:rPr>
        <w:t xml:space="preserve">השחיטה פסולה </w:t>
      </w:r>
      <w:r w:rsidRPr="00D03961">
        <w:rPr>
          <w:rStyle w:val="afb"/>
          <w:rFonts w:hint="cs"/>
          <w:rtl/>
        </w:rPr>
        <w:t xml:space="preserve">[אף לדעת </w:t>
      </w:r>
      <w:r w:rsidRPr="00D03961">
        <w:rPr>
          <w:rStyle w:val="affa"/>
          <w:rFonts w:hint="cs"/>
          <w:rtl/>
        </w:rPr>
        <w:t>רבינו יונה והרשב"א</w:t>
      </w:r>
      <w:r w:rsidRPr="00D03961">
        <w:rPr>
          <w:rStyle w:val="afb"/>
          <w:rFonts w:hint="cs"/>
          <w:rtl/>
        </w:rPr>
        <w:t xml:space="preserve"> </w:t>
      </w:r>
      <w:r w:rsidRPr="00D03961">
        <w:rPr>
          <w:rStyle w:val="aff6"/>
          <w:rFonts w:hint="cs"/>
          <w:rtl/>
        </w:rPr>
        <w:t xml:space="preserve">(עי' אות </w:t>
      </w:r>
      <w:r w:rsidRPr="00D03961">
        <w:rPr>
          <w:rStyle w:val="aff6"/>
          <w:rtl/>
        </w:rPr>
        <w:fldChar w:fldCharType="begin"/>
      </w:r>
      <w:r w:rsidRPr="00D03961">
        <w:rPr>
          <w:rStyle w:val="aff6"/>
          <w:rtl/>
        </w:rPr>
        <w:instrText xml:space="preserve"> </w:instrText>
      </w:r>
      <w:r w:rsidRPr="00D03961">
        <w:rPr>
          <w:rStyle w:val="aff6"/>
          <w:rFonts w:hint="cs"/>
        </w:rPr>
        <w:instrText>REF</w:instrText>
      </w:r>
      <w:r w:rsidRPr="00D03961">
        <w:rPr>
          <w:rStyle w:val="aff6"/>
          <w:rFonts w:hint="cs"/>
          <w:rtl/>
        </w:rPr>
        <w:instrText xml:space="preserve"> _</w:instrText>
      </w:r>
      <w:r w:rsidRPr="00D03961">
        <w:rPr>
          <w:rStyle w:val="aff6"/>
          <w:rFonts w:hint="cs"/>
        </w:rPr>
        <w:instrText>Ref523085216 \r \h</w:instrText>
      </w:r>
      <w:r w:rsidRPr="00D03961">
        <w:rPr>
          <w:rStyle w:val="aff6"/>
          <w:rtl/>
        </w:rPr>
        <w:instrText xml:space="preserve"> </w:instrText>
      </w:r>
      <w:r w:rsidRPr="00D03961">
        <w:rPr>
          <w:rStyle w:val="aff6"/>
          <w:rtl/>
        </w:rPr>
      </w:r>
      <w:r w:rsidRPr="00D03961">
        <w:rPr>
          <w:rStyle w:val="aff6"/>
          <w:rtl/>
        </w:rPr>
        <w:fldChar w:fldCharType="separate"/>
      </w:r>
      <w:r w:rsidR="00345400">
        <w:rPr>
          <w:rStyle w:val="aff6"/>
          <w:cs/>
        </w:rPr>
        <w:t>‎</w:t>
      </w:r>
      <w:r w:rsidR="00345400">
        <w:rPr>
          <w:rStyle w:val="aff6"/>
          <w:rtl/>
        </w:rPr>
        <w:t>לח)</w:t>
      </w:r>
      <w:r w:rsidRPr="00D03961">
        <w:rPr>
          <w:rStyle w:val="aff6"/>
          <w:rtl/>
        </w:rPr>
        <w:fldChar w:fldCharType="end"/>
      </w:r>
      <w:r>
        <w:rPr>
          <w:rStyle w:val="afb"/>
          <w:rFonts w:hint="cs"/>
          <w:rtl/>
        </w:rPr>
        <w:t xml:space="preserve"> דמתירים בלא בדק אחר השחיטה</w:t>
      </w:r>
      <w:r w:rsidRPr="00D03961">
        <w:rPr>
          <w:rStyle w:val="afb"/>
          <w:rFonts w:hint="cs"/>
          <w:rtl/>
        </w:rPr>
        <w:t>]</w:t>
      </w:r>
      <w:r>
        <w:rPr>
          <w:rFonts w:hint="cs"/>
          <w:rtl/>
        </w:rPr>
        <w:t xml:space="preserve">, דסתם סכין אינו בדוק, וכן מוכח מהגמ' לעיל </w:t>
      </w:r>
      <w:r w:rsidRPr="00A8393D">
        <w:rPr>
          <w:rStyle w:val="af7"/>
          <w:rFonts w:eastAsia="Guttman Hodes" w:hint="cs"/>
          <w:rtl/>
        </w:rPr>
        <w:t>(ג:)</w:t>
      </w:r>
      <w:r>
        <w:rPr>
          <w:rFonts w:hint="cs"/>
          <w:rtl/>
        </w:rPr>
        <w:t xml:space="preserve"> בדין מומר לתאבון דמותר לבדוק סכין ולתת לו לשחוט, ואם לא בדק אסור, ומוכח דסתם סכינים אינם בדוקין.</w:t>
      </w:r>
    </w:p>
    <w:p w14:paraId="210BCA69" w14:textId="77777777" w:rsidR="00FC47D4" w:rsidRDefault="00FC47D4" w:rsidP="006D6D32">
      <w:pPr>
        <w:pStyle w:val="a3"/>
        <w:rPr>
          <w:rtl/>
        </w:rPr>
      </w:pPr>
      <w:bookmarkStart w:id="2927" w:name="_Toc523397174"/>
      <w:bookmarkStart w:id="2928" w:name="_Toc523490278"/>
      <w:bookmarkStart w:id="2929" w:name="_Toc523697884"/>
      <w:bookmarkStart w:id="2930" w:name="_Toc523735666"/>
      <w:bookmarkStart w:id="2931" w:name="_Toc526248905"/>
      <w:bookmarkStart w:id="2932" w:name="_Toc526409435"/>
      <w:bookmarkStart w:id="2933" w:name="_Toc526939076"/>
      <w:bookmarkStart w:id="2934" w:name="_Toc527060208"/>
      <w:bookmarkStart w:id="2935" w:name="_Toc527060356"/>
      <w:bookmarkStart w:id="2936" w:name="_Toc527100733"/>
      <w:bookmarkStart w:id="2937" w:name="_Toc528226976"/>
      <w:bookmarkStart w:id="2938" w:name="_Toc528227140"/>
      <w:bookmarkStart w:id="2939" w:name="_Toc528227302"/>
      <w:bookmarkStart w:id="2940" w:name="_Toc19389388"/>
      <w:bookmarkStart w:id="2941" w:name="_Toc19392885"/>
      <w:r>
        <w:rPr>
          <w:rFonts w:hint="cs"/>
          <w:rtl/>
        </w:rPr>
        <w:t>דברי השיטמ"ק דכוונת הרשב"א דאף בסכין של שחיטה שהוא שמור חייב לבדוק קודם</w:t>
      </w:r>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p>
    <w:p w14:paraId="5C60DF1B" w14:textId="77777777" w:rsidR="00FC47D4" w:rsidRDefault="00FC47D4" w:rsidP="00223668">
      <w:pPr>
        <w:pStyle w:val="a0"/>
        <w:rPr>
          <w:rtl/>
        </w:rPr>
      </w:pPr>
      <w:r>
        <w:rPr>
          <w:rFonts w:hint="cs"/>
          <w:rtl/>
        </w:rPr>
        <w:t xml:space="preserve">וביאר </w:t>
      </w:r>
      <w:r w:rsidRPr="00EB6051">
        <w:rPr>
          <w:rStyle w:val="af9"/>
          <w:rFonts w:hint="cs"/>
          <w:rtl/>
        </w:rPr>
        <w:t>השיטמ"ק</w:t>
      </w:r>
      <w:r>
        <w:rPr>
          <w:rFonts w:hint="cs"/>
          <w:rtl/>
        </w:rPr>
        <w:t xml:space="preserve"> </w:t>
      </w:r>
      <w:r w:rsidRPr="00EB6051">
        <w:rPr>
          <w:rStyle w:val="af7"/>
          <w:rFonts w:eastAsia="Guttman Hodes" w:hint="cs"/>
          <w:rtl/>
        </w:rPr>
        <w:t>(ד"ה השוחט)</w:t>
      </w:r>
      <w:r>
        <w:rPr>
          <w:rFonts w:hint="cs"/>
          <w:rtl/>
        </w:rPr>
        <w:t xml:space="preserve"> דאין כוונת </w:t>
      </w:r>
      <w:r w:rsidRPr="00EB6051">
        <w:rPr>
          <w:rStyle w:val="af9"/>
          <w:rFonts w:hint="cs"/>
          <w:rtl/>
        </w:rPr>
        <w:t>הרשב"א</w:t>
      </w:r>
      <w:r>
        <w:rPr>
          <w:rFonts w:hint="cs"/>
          <w:rtl/>
        </w:rPr>
        <w:t xml:space="preserve"> לאפוקי מסכין מהשוק שאינו בדוק כלל, דבזה פשיטא דשחיטתו פסולה, דהדרך שחותכין בו דברים קשים וסתמו שהוא פגום, אלא כוונת </w:t>
      </w:r>
      <w:r w:rsidRPr="00EB6051">
        <w:rPr>
          <w:rStyle w:val="af9"/>
          <w:rFonts w:hint="cs"/>
          <w:rtl/>
        </w:rPr>
        <w:t>הרשב"א</w:t>
      </w:r>
      <w:r>
        <w:rPr>
          <w:rFonts w:hint="cs"/>
          <w:rtl/>
        </w:rPr>
        <w:t xml:space="preserve"> לומר דאף בסכין של שחיטה שהוא שמור, ואין חותכים בו דברים אחרים, מ"מ אם לא בדק קודם השחיטה, לכו"ע חיישינן שמא נפגם, וכתב </w:t>
      </w:r>
      <w:r w:rsidRPr="00EB6051">
        <w:rPr>
          <w:rStyle w:val="af9"/>
          <w:rFonts w:hint="cs"/>
          <w:rtl/>
        </w:rPr>
        <w:t>השיטמ"ק</w:t>
      </w:r>
      <w:r>
        <w:rPr>
          <w:rFonts w:hint="cs"/>
          <w:rtl/>
        </w:rPr>
        <w:t xml:space="preserve"> דכן </w:t>
      </w:r>
      <w:r w:rsidRPr="00EB6051">
        <w:rPr>
          <w:rStyle w:val="af9"/>
          <w:rFonts w:hint="cs"/>
          <w:rtl/>
        </w:rPr>
        <w:t>מבואר ברש"י</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Ref523085337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א)</w:t>
      </w:r>
      <w:r>
        <w:rPr>
          <w:rStyle w:val="af7"/>
          <w:rFonts w:eastAsia="Guttman Hodes"/>
          <w:rtl/>
        </w:rPr>
        <w:fldChar w:fldCharType="end"/>
      </w:r>
      <w:r>
        <w:rPr>
          <w:rStyle w:val="af7"/>
          <w:rFonts w:eastAsia="Guttman Hodes" w:hint="cs"/>
          <w:rtl/>
        </w:rPr>
        <w:t xml:space="preserve"> </w:t>
      </w:r>
      <w:r>
        <w:rPr>
          <w:rFonts w:hint="cs"/>
          <w:rtl/>
        </w:rPr>
        <w:t>דכתב שבדק קודם השחיטה והיה הסכין יפה.</w:t>
      </w:r>
    </w:p>
    <w:p w14:paraId="0B5BFB29" w14:textId="77777777" w:rsidR="00FC47D4" w:rsidRDefault="00FC47D4" w:rsidP="006D6D32">
      <w:pPr>
        <w:pStyle w:val="a3"/>
        <w:rPr>
          <w:rtl/>
        </w:rPr>
      </w:pPr>
      <w:bookmarkStart w:id="2942" w:name="_Toc523397175"/>
      <w:bookmarkStart w:id="2943" w:name="_Toc523490279"/>
      <w:bookmarkStart w:id="2944" w:name="_Toc523697885"/>
      <w:bookmarkStart w:id="2945" w:name="_Toc523735667"/>
      <w:bookmarkStart w:id="2946" w:name="_Toc526248906"/>
      <w:bookmarkStart w:id="2947" w:name="_Toc526409436"/>
      <w:bookmarkStart w:id="2948" w:name="_Toc526939077"/>
      <w:bookmarkStart w:id="2949" w:name="_Toc527060209"/>
      <w:bookmarkStart w:id="2950" w:name="_Toc527060357"/>
      <w:bookmarkStart w:id="2951" w:name="_Toc527100734"/>
      <w:bookmarkStart w:id="2952" w:name="_Toc528226977"/>
      <w:bookmarkStart w:id="2953" w:name="_Toc528227141"/>
      <w:bookmarkStart w:id="2954" w:name="_Toc528227303"/>
      <w:bookmarkStart w:id="2955" w:name="_Toc19389389"/>
      <w:bookmarkStart w:id="2956" w:name="_Toc19392886"/>
      <w:r>
        <w:rPr>
          <w:rFonts w:hint="cs"/>
          <w:rtl/>
        </w:rPr>
        <w:t>ביאור המאירי בטעם חיוב הבדיקה קודם השחיטה</w:t>
      </w:r>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p>
    <w:p w14:paraId="62BEFA08" w14:textId="77777777" w:rsidR="00FC47D4" w:rsidRPr="00551133" w:rsidRDefault="00FC47D4" w:rsidP="00223668">
      <w:pPr>
        <w:pStyle w:val="a0"/>
        <w:rPr>
          <w:rtl/>
        </w:rPr>
      </w:pPr>
      <w:r>
        <w:rPr>
          <w:rFonts w:hint="cs"/>
          <w:rtl/>
        </w:rPr>
        <w:t>כתב</w:t>
      </w:r>
      <w:r w:rsidRPr="00D50C7E">
        <w:rPr>
          <w:rStyle w:val="af9"/>
          <w:rFonts w:hint="cs"/>
          <w:rtl/>
        </w:rPr>
        <w:t xml:space="preserve"> המאירי </w:t>
      </w:r>
      <w:r w:rsidRPr="00EC3A0D">
        <w:rPr>
          <w:rStyle w:val="af7"/>
          <w:rFonts w:eastAsia="Guttman Hodes" w:hint="cs"/>
          <w:rtl/>
        </w:rPr>
        <w:t>(ד"ה השוחט)</w:t>
      </w:r>
      <w:r>
        <w:rPr>
          <w:rFonts w:hint="cs"/>
          <w:rtl/>
        </w:rPr>
        <w:t xml:space="preserve"> דהא דצריך לבדוק</w:t>
      </w:r>
      <w:r w:rsidRPr="00EC3A0D">
        <w:rPr>
          <w:rFonts w:hint="cs"/>
          <w:rtl/>
        </w:rPr>
        <w:t xml:space="preserve"> </w:t>
      </w:r>
      <w:r>
        <w:rPr>
          <w:rFonts w:hint="cs"/>
          <w:rtl/>
        </w:rPr>
        <w:t>קודם השחיטה, הוא כיון דכתי' "ושחטתם בזה", ולא סגי בבדיקה דאחר השחיטה, ועוד שהוא ספק בל תשחית, וכן מחמת שצריך לברך.</w:t>
      </w:r>
    </w:p>
    <w:p w14:paraId="538AF034" w14:textId="77777777" w:rsidR="00FC47D4" w:rsidRDefault="00FC47D4" w:rsidP="006D6D32">
      <w:pPr>
        <w:pStyle w:val="a3"/>
        <w:rPr>
          <w:rtl/>
        </w:rPr>
      </w:pPr>
      <w:bookmarkStart w:id="2957" w:name="_Toc523397176"/>
      <w:bookmarkStart w:id="2958" w:name="_Toc523490280"/>
      <w:bookmarkStart w:id="2959" w:name="_Toc523697886"/>
      <w:bookmarkStart w:id="2960" w:name="_Toc523735668"/>
      <w:bookmarkStart w:id="2961" w:name="_Toc526248907"/>
      <w:bookmarkStart w:id="2962" w:name="_Toc526409437"/>
      <w:bookmarkStart w:id="2963" w:name="_Toc526939078"/>
      <w:bookmarkStart w:id="2964" w:name="_Toc527060210"/>
      <w:bookmarkStart w:id="2965" w:name="_Toc527060358"/>
      <w:bookmarkStart w:id="2966" w:name="_Toc527100735"/>
      <w:bookmarkStart w:id="2967" w:name="_Toc528226978"/>
      <w:bookmarkStart w:id="2968" w:name="_Toc528227142"/>
      <w:bookmarkStart w:id="2969" w:name="_Toc528227304"/>
      <w:bookmarkStart w:id="2970" w:name="_Toc19389390"/>
      <w:bookmarkStart w:id="2971" w:name="_Toc19392887"/>
      <w:r>
        <w:rPr>
          <w:rFonts w:hint="cs"/>
          <w:rtl/>
        </w:rPr>
        <w:t>דברי הרשב"א בתוה"ק דחיישינן שמא ישכח לבדוק לאחר השחיטה</w:t>
      </w:r>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p>
    <w:p w14:paraId="142DD8EE" w14:textId="77777777" w:rsidR="00FC47D4" w:rsidRDefault="00FC47D4" w:rsidP="00223668">
      <w:pPr>
        <w:pStyle w:val="a0"/>
        <w:rPr>
          <w:rtl/>
        </w:rPr>
      </w:pPr>
      <w:r w:rsidRPr="00356790">
        <w:rPr>
          <w:rStyle w:val="af9"/>
          <w:rFonts w:hint="cs"/>
          <w:rtl/>
        </w:rPr>
        <w:t xml:space="preserve">והרשב"א בתוה"ב הקצר </w:t>
      </w:r>
      <w:r w:rsidRPr="00356790">
        <w:rPr>
          <w:rStyle w:val="af7"/>
          <w:rFonts w:eastAsia="Guttman Hodes" w:hint="cs"/>
          <w:rtl/>
        </w:rPr>
        <w:t>(ב"א ש"ב דף יג. מדה"ס)</w:t>
      </w:r>
      <w:r>
        <w:rPr>
          <w:rFonts w:hint="cs"/>
          <w:rtl/>
        </w:rPr>
        <w:t xml:space="preserve"> ביאר דצריך לבדוק קודם השחיטה, שמא ישכח לבדוק לאחר השחיטה וה"ז כאוכל נבילה, אך אם שחט בלא בדיקה ואח"כ נמצאת הסכין יפה השחיטה כשרה.</w:t>
      </w:r>
    </w:p>
    <w:p w14:paraId="3DE7D45D" w14:textId="77777777" w:rsidR="00FC47D4" w:rsidRPr="00936CC8" w:rsidRDefault="00FC47D4" w:rsidP="006D6D32">
      <w:pPr>
        <w:pStyle w:val="a3"/>
        <w:rPr>
          <w:rtl/>
        </w:rPr>
      </w:pPr>
      <w:bookmarkStart w:id="2972" w:name="_Toc526248908"/>
      <w:bookmarkStart w:id="2973" w:name="_Toc526409438"/>
      <w:bookmarkStart w:id="2974" w:name="_Toc526939079"/>
      <w:bookmarkStart w:id="2975" w:name="_Toc527060211"/>
      <w:bookmarkStart w:id="2976" w:name="_Toc527060359"/>
      <w:bookmarkStart w:id="2977" w:name="_Toc527100736"/>
      <w:bookmarkStart w:id="2978" w:name="_Toc528226979"/>
      <w:bookmarkStart w:id="2979" w:name="_Toc528227143"/>
      <w:bookmarkStart w:id="2980" w:name="_Toc528227305"/>
      <w:bookmarkStart w:id="2981" w:name="_Toc19389391"/>
      <w:bookmarkStart w:id="2982" w:name="_Toc19392888"/>
      <w:r>
        <w:rPr>
          <w:rFonts w:hint="cs"/>
          <w:rtl/>
        </w:rPr>
        <w:t>דברי הגר"א דבלשון "במה" נשחטה מבואר שצריך לשחוט בסכין בדוק</w:t>
      </w:r>
      <w:bookmarkEnd w:id="2972"/>
      <w:bookmarkEnd w:id="2973"/>
      <w:bookmarkEnd w:id="2974"/>
      <w:bookmarkEnd w:id="2975"/>
      <w:bookmarkEnd w:id="2976"/>
      <w:bookmarkEnd w:id="2977"/>
      <w:bookmarkEnd w:id="2978"/>
      <w:bookmarkEnd w:id="2979"/>
      <w:bookmarkEnd w:id="2980"/>
      <w:bookmarkEnd w:id="2981"/>
      <w:bookmarkEnd w:id="2982"/>
    </w:p>
    <w:p w14:paraId="01CACC94" w14:textId="77777777" w:rsidR="00FC47D4" w:rsidRPr="001B2F4E" w:rsidRDefault="00FC47D4" w:rsidP="00223668">
      <w:pPr>
        <w:pStyle w:val="a0"/>
        <w:rPr>
          <w:rtl/>
        </w:rPr>
      </w:pPr>
      <w:bookmarkStart w:id="2983" w:name="_Ref527231004"/>
      <w:r>
        <w:rPr>
          <w:rFonts w:hint="cs"/>
          <w:rtl/>
        </w:rPr>
        <w:t>ו</w:t>
      </w:r>
      <w:r w:rsidRPr="00936CC8">
        <w:rPr>
          <w:rFonts w:hint="cs"/>
          <w:rtl/>
        </w:rPr>
        <w:t xml:space="preserve">כתב </w:t>
      </w:r>
      <w:r w:rsidRPr="001B2F4E">
        <w:rPr>
          <w:rStyle w:val="af9"/>
          <w:rFonts w:hint="cs"/>
          <w:rtl/>
        </w:rPr>
        <w:t>הגר"א</w:t>
      </w:r>
      <w:r w:rsidRPr="00936CC8">
        <w:rPr>
          <w:rFonts w:hint="cs"/>
          <w:rtl/>
        </w:rPr>
        <w:t xml:space="preserve"> </w:t>
      </w:r>
      <w:r w:rsidRPr="001B2F4E">
        <w:rPr>
          <w:rStyle w:val="af7"/>
          <w:rFonts w:eastAsia="Guttman Hodes" w:hint="cs"/>
          <w:rtl/>
        </w:rPr>
        <w:t>(י"ח כ')</w:t>
      </w:r>
      <w:r w:rsidRPr="00936CC8">
        <w:rPr>
          <w:rFonts w:hint="cs"/>
          <w:rtl/>
        </w:rPr>
        <w:t xml:space="preserve"> דבסתם סכין שאינו בדוק ואבד הסכין חשיב שלא נודע במה נשחטה, כמדויק מלשון הגמ' </w:t>
      </w:r>
      <w:r w:rsidRPr="001B2F4E">
        <w:rPr>
          <w:rStyle w:val="af7"/>
          <w:rFonts w:eastAsia="Guttman Hodes" w:hint="cs"/>
          <w:rtl/>
        </w:rPr>
        <w:t>(ט.)</w:t>
      </w:r>
      <w:r w:rsidRPr="00936CC8">
        <w:rPr>
          <w:rFonts w:hint="cs"/>
          <w:rtl/>
        </w:rPr>
        <w:t xml:space="preserve"> עד שיודע לך במה נשחטה, דהלשון "במה" היינו שצריך לבדוק את הסכין, ובסכין בדוק הביא </w:t>
      </w:r>
      <w:r w:rsidRPr="009C660C">
        <w:rPr>
          <w:rStyle w:val="af9"/>
          <w:rFonts w:hint="cs"/>
          <w:rtl/>
        </w:rPr>
        <w:t>הגר"א</w:t>
      </w:r>
      <w:r w:rsidRPr="00936CC8">
        <w:rPr>
          <w:rFonts w:hint="cs"/>
          <w:rtl/>
        </w:rPr>
        <w:t xml:space="preserve"> </w:t>
      </w:r>
      <w:r w:rsidRPr="009C660C">
        <w:rPr>
          <w:rStyle w:val="af7"/>
          <w:rFonts w:eastAsia="Guttman Hodes" w:hint="cs"/>
          <w:rtl/>
        </w:rPr>
        <w:t>(י"ח כ"א)</w:t>
      </w:r>
      <w:r w:rsidRPr="00936CC8">
        <w:rPr>
          <w:rFonts w:hint="cs"/>
          <w:rtl/>
        </w:rPr>
        <w:t xml:space="preserve"> </w:t>
      </w:r>
      <w:r w:rsidRPr="00CA2679">
        <w:rPr>
          <w:rFonts w:hint="cs"/>
          <w:rtl/>
        </w:rPr>
        <w:t xml:space="preserve">את דברי </w:t>
      </w:r>
      <w:r>
        <w:rPr>
          <w:rStyle w:val="af9"/>
          <w:rFonts w:hint="cs"/>
          <w:rtl/>
        </w:rPr>
        <w:t xml:space="preserve">הרשב"א בתוה"ב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Ref526349322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מא)</w:t>
      </w:r>
      <w:r>
        <w:rPr>
          <w:rStyle w:val="af7"/>
          <w:rFonts w:eastAsia="Guttman Hodes"/>
          <w:rtl/>
        </w:rPr>
        <w:fldChar w:fldCharType="end"/>
      </w:r>
      <w:r>
        <w:rPr>
          <w:rStyle w:val="af7"/>
          <w:rFonts w:eastAsia="Guttman Hodes" w:hint="cs"/>
          <w:rtl/>
        </w:rPr>
        <w:t xml:space="preserve"> </w:t>
      </w:r>
      <w:r w:rsidRPr="00CA2679">
        <w:rPr>
          <w:rFonts w:hint="cs"/>
          <w:rtl/>
        </w:rPr>
        <w:t>ד</w:t>
      </w:r>
      <w:r>
        <w:rPr>
          <w:rFonts w:hint="cs"/>
          <w:rtl/>
        </w:rPr>
        <w:t>כתב ד</w:t>
      </w:r>
      <w:r w:rsidRPr="00CA2679">
        <w:rPr>
          <w:rFonts w:hint="cs"/>
          <w:rtl/>
        </w:rPr>
        <w:t>מעמידים</w:t>
      </w:r>
      <w:r>
        <w:rPr>
          <w:rFonts w:hint="cs"/>
          <w:rtl/>
        </w:rPr>
        <w:t xml:space="preserve"> את הסכין על חזקתו</w:t>
      </w:r>
      <w:r w:rsidRPr="00936CC8">
        <w:rPr>
          <w:rFonts w:hint="cs"/>
          <w:rtl/>
        </w:rPr>
        <w:t>.</w:t>
      </w:r>
      <w:bookmarkEnd w:id="2983"/>
    </w:p>
    <w:p w14:paraId="5C17069B" w14:textId="77777777" w:rsidR="00FC47D4" w:rsidRDefault="00FC47D4" w:rsidP="00BF39B2">
      <w:pPr>
        <w:pStyle w:val="1"/>
        <w:rPr>
          <w:rtl/>
        </w:rPr>
      </w:pPr>
      <w:bookmarkStart w:id="2984" w:name="_Toc526248909"/>
      <w:bookmarkStart w:id="2985" w:name="_Toc526409439"/>
      <w:bookmarkStart w:id="2986" w:name="_Toc526939080"/>
      <w:bookmarkStart w:id="2987" w:name="_Toc527060212"/>
      <w:bookmarkStart w:id="2988" w:name="_Toc527060360"/>
      <w:bookmarkStart w:id="2989" w:name="_Toc527100737"/>
      <w:bookmarkStart w:id="2990" w:name="_Toc528226980"/>
      <w:bookmarkStart w:id="2991" w:name="_Toc528227144"/>
      <w:bookmarkStart w:id="2992" w:name="_Toc528227306"/>
      <w:bookmarkStart w:id="2993" w:name="_Toc19389392"/>
      <w:bookmarkStart w:id="2994" w:name="_Toc19392889"/>
      <w:r>
        <w:rPr>
          <w:rFonts w:hint="cs"/>
          <w:rtl/>
        </w:rPr>
        <w:t>פלוגתת הראשונים בחיוב בדיקת הסכין אחר השחיטה</w:t>
      </w:r>
      <w:bookmarkEnd w:id="2984"/>
      <w:bookmarkEnd w:id="2985"/>
      <w:bookmarkEnd w:id="2986"/>
      <w:bookmarkEnd w:id="2987"/>
      <w:bookmarkEnd w:id="2988"/>
      <w:bookmarkEnd w:id="2989"/>
      <w:bookmarkEnd w:id="2990"/>
      <w:bookmarkEnd w:id="2991"/>
      <w:bookmarkEnd w:id="2992"/>
      <w:bookmarkEnd w:id="2993"/>
      <w:bookmarkEnd w:id="2994"/>
    </w:p>
    <w:p w14:paraId="7A655507" w14:textId="77777777" w:rsidR="00FC47D4" w:rsidRDefault="00FC47D4" w:rsidP="006D6D32">
      <w:pPr>
        <w:pStyle w:val="a3"/>
        <w:rPr>
          <w:rtl/>
        </w:rPr>
      </w:pPr>
      <w:bookmarkStart w:id="2995" w:name="_Toc523397178"/>
      <w:bookmarkStart w:id="2996" w:name="_Toc523490282"/>
      <w:bookmarkStart w:id="2997" w:name="_Toc523697888"/>
      <w:bookmarkStart w:id="2998" w:name="_Toc523735670"/>
      <w:bookmarkStart w:id="2999" w:name="_Toc526248910"/>
      <w:bookmarkStart w:id="3000" w:name="_Toc526409440"/>
      <w:bookmarkStart w:id="3001" w:name="_Toc526939081"/>
      <w:bookmarkStart w:id="3002" w:name="_Toc527060213"/>
      <w:bookmarkStart w:id="3003" w:name="_Toc527060361"/>
      <w:bookmarkStart w:id="3004" w:name="_Toc527100738"/>
      <w:bookmarkStart w:id="3005" w:name="_Toc528226981"/>
      <w:bookmarkStart w:id="3006" w:name="_Toc528227145"/>
      <w:bookmarkStart w:id="3007" w:name="_Toc528227307"/>
      <w:bookmarkStart w:id="3008" w:name="_Toc19389393"/>
      <w:bookmarkStart w:id="3009" w:name="_Toc19392890"/>
      <w:r>
        <w:rPr>
          <w:rFonts w:hint="cs"/>
          <w:rtl/>
        </w:rPr>
        <w:t>דברי רש"י והרמב"ם והבה"ג שצריך לבדוק לאחר השחיטה</w:t>
      </w:r>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p>
    <w:p w14:paraId="1C7BF3E4" w14:textId="77777777" w:rsidR="00FC47D4" w:rsidRDefault="00FC47D4" w:rsidP="00223668">
      <w:pPr>
        <w:pStyle w:val="a0"/>
        <w:rPr>
          <w:rtl/>
        </w:rPr>
      </w:pPr>
      <w:bookmarkStart w:id="3010" w:name="_Ref523254453"/>
      <w:bookmarkStart w:id="3011" w:name="_Ref523392029"/>
      <w:r>
        <w:rPr>
          <w:rFonts w:hint="cs"/>
          <w:rtl/>
        </w:rPr>
        <w:t xml:space="preserve">כתב </w:t>
      </w:r>
      <w:r w:rsidRPr="00380E43">
        <w:rPr>
          <w:rStyle w:val="af9"/>
          <w:rFonts w:hint="cs"/>
          <w:rtl/>
        </w:rPr>
        <w:t>רש"י</w:t>
      </w:r>
      <w:r>
        <w:rPr>
          <w:rFonts w:hint="cs"/>
          <w:rtl/>
        </w:rPr>
        <w:t xml:space="preserve"> </w:t>
      </w:r>
      <w:r w:rsidRPr="00087787">
        <w:rPr>
          <w:rStyle w:val="af7"/>
          <w:rFonts w:eastAsia="Guttman Hodes" w:hint="cs"/>
          <w:rtl/>
        </w:rPr>
        <w:t>(י: ד"ה לא כרב חסדא ס"ל)</w:t>
      </w:r>
      <w:r>
        <w:rPr>
          <w:rFonts w:hint="cs"/>
          <w:rtl/>
        </w:rPr>
        <w:t xml:space="preserve"> דצריך לבדוק </w:t>
      </w:r>
      <w:r w:rsidRPr="003E2891">
        <w:rPr>
          <w:rFonts w:hint="cs"/>
          <w:rtl/>
        </w:rPr>
        <w:t>אחר השחיטה בין בבהמה אחת, ובין בכמה בהמות</w:t>
      </w:r>
      <w:bookmarkEnd w:id="3010"/>
      <w:r w:rsidRPr="003E2891">
        <w:rPr>
          <w:rFonts w:hint="cs"/>
          <w:rtl/>
        </w:rPr>
        <w:t xml:space="preserve">, </w:t>
      </w:r>
      <w:r w:rsidRPr="003E2891">
        <w:rPr>
          <w:rStyle w:val="af9"/>
          <w:rFonts w:hint="cs"/>
          <w:rtl/>
        </w:rPr>
        <w:t>והרמב"ם</w:t>
      </w:r>
      <w:r w:rsidRPr="003E2891">
        <w:rPr>
          <w:rFonts w:hint="cs"/>
          <w:rtl/>
        </w:rPr>
        <w:t xml:space="preserve"> </w:t>
      </w:r>
      <w:r w:rsidRPr="003E2891">
        <w:rPr>
          <w:rStyle w:val="af7"/>
          <w:rFonts w:eastAsia="Guttman Hodes" w:hint="cs"/>
          <w:rtl/>
        </w:rPr>
        <w:t xml:space="preserve">(עי' אות </w:t>
      </w:r>
      <w:r w:rsidRPr="003E2891">
        <w:rPr>
          <w:rStyle w:val="af7"/>
          <w:rFonts w:eastAsia="Guttman Hodes"/>
          <w:rtl/>
        </w:rPr>
        <w:fldChar w:fldCharType="begin"/>
      </w:r>
      <w:r w:rsidRPr="003E2891">
        <w:rPr>
          <w:rStyle w:val="af7"/>
          <w:rFonts w:eastAsia="Guttman Hodes"/>
          <w:rtl/>
        </w:rPr>
        <w:instrText xml:space="preserve"> </w:instrText>
      </w:r>
      <w:r w:rsidRPr="003E2891">
        <w:rPr>
          <w:rStyle w:val="af7"/>
          <w:rFonts w:eastAsia="Guttman Hodes" w:hint="cs"/>
        </w:rPr>
        <w:instrText>REF</w:instrText>
      </w:r>
      <w:r w:rsidRPr="003E2891">
        <w:rPr>
          <w:rStyle w:val="af7"/>
          <w:rFonts w:eastAsia="Guttman Hodes" w:hint="cs"/>
          <w:rtl/>
        </w:rPr>
        <w:instrText xml:space="preserve"> _</w:instrText>
      </w:r>
      <w:r w:rsidRPr="003E2891">
        <w:rPr>
          <w:rStyle w:val="af7"/>
          <w:rFonts w:eastAsia="Guttman Hodes" w:hint="cs"/>
        </w:rPr>
        <w:instrText>Ref523254787 \r \h</w:instrText>
      </w:r>
      <w:r w:rsidRPr="003E289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3E2891">
        <w:rPr>
          <w:rStyle w:val="af7"/>
          <w:rFonts w:eastAsia="Guttman Hodes"/>
          <w:rtl/>
        </w:rPr>
      </w:r>
      <w:r w:rsidRPr="003E2891">
        <w:rPr>
          <w:rStyle w:val="af7"/>
          <w:rFonts w:eastAsia="Guttman Hodes"/>
          <w:rtl/>
        </w:rPr>
        <w:fldChar w:fldCharType="separate"/>
      </w:r>
      <w:r w:rsidR="00345400">
        <w:rPr>
          <w:rStyle w:val="af7"/>
          <w:rFonts w:eastAsia="Guttman Hodes"/>
          <w:cs/>
        </w:rPr>
        <w:t>‎</w:t>
      </w:r>
      <w:r w:rsidR="00345400">
        <w:rPr>
          <w:rStyle w:val="af7"/>
          <w:rFonts w:eastAsia="Guttman Hodes"/>
          <w:rtl/>
        </w:rPr>
        <w:t>פד)</w:t>
      </w:r>
      <w:r w:rsidRPr="003E2891">
        <w:rPr>
          <w:rStyle w:val="af7"/>
          <w:rFonts w:eastAsia="Guttman Hodes"/>
          <w:rtl/>
        </w:rPr>
        <w:fldChar w:fldCharType="end"/>
      </w:r>
      <w:r w:rsidRPr="003E2891">
        <w:rPr>
          <w:rFonts w:hint="cs"/>
          <w:rtl/>
        </w:rPr>
        <w:t xml:space="preserve"> כתב שצריך לבדוק אחר השחיטה, שאם לא יבדוק וימצא הסכין פגום הוי ספק נבילה</w:t>
      </w:r>
      <w:bookmarkEnd w:id="3011"/>
      <w:r>
        <w:rPr>
          <w:rFonts w:hint="cs"/>
          <w:rtl/>
        </w:rPr>
        <w:t xml:space="preserve">, וכ"כ </w:t>
      </w:r>
      <w:r w:rsidRPr="006E392C">
        <w:rPr>
          <w:rStyle w:val="af9"/>
          <w:rFonts w:hint="cs"/>
          <w:rtl/>
        </w:rPr>
        <w:t xml:space="preserve">הבה"ג </w:t>
      </w:r>
      <w:r w:rsidRPr="006E392C">
        <w:rPr>
          <w:rStyle w:val="af7"/>
          <w:rFonts w:eastAsiaTheme="minorHAnsi" w:hint="cs"/>
          <w:rtl/>
        </w:rPr>
        <w:t>(ריש הל' שחיטת חולין עמ' תר"י סוד"ה וסכין)</w:t>
      </w:r>
      <w:r>
        <w:rPr>
          <w:rFonts w:hint="cs"/>
          <w:rtl/>
        </w:rPr>
        <w:t xml:space="preserve"> שצריך לבדוק לפני השחיטה ולאחר השחיטה שמא העור פגם.</w:t>
      </w:r>
      <w:bookmarkStart w:id="3012" w:name="_Toc523397179"/>
      <w:bookmarkStart w:id="3013" w:name="_Toc523490283"/>
      <w:bookmarkStart w:id="3014" w:name="_Toc523697890"/>
      <w:bookmarkStart w:id="3015" w:name="_Toc523735672"/>
      <w:bookmarkStart w:id="3016" w:name="_Toc526248911"/>
      <w:bookmarkStart w:id="3017" w:name="_Toc526409441"/>
      <w:bookmarkStart w:id="3018" w:name="_Toc526939082"/>
      <w:bookmarkStart w:id="3019" w:name="_Toc527060214"/>
      <w:bookmarkStart w:id="3020" w:name="_Toc527060362"/>
      <w:bookmarkStart w:id="3021" w:name="_Toc527100739"/>
      <w:bookmarkStart w:id="3022" w:name="_Toc528226982"/>
      <w:bookmarkStart w:id="3023" w:name="_Toc528227146"/>
      <w:bookmarkStart w:id="3024" w:name="_Toc528227308"/>
    </w:p>
    <w:p w14:paraId="5A483F87" w14:textId="77777777" w:rsidR="00FC47D4" w:rsidRPr="003E2891" w:rsidRDefault="00FC47D4" w:rsidP="006D6D32">
      <w:pPr>
        <w:pStyle w:val="a3"/>
        <w:rPr>
          <w:rtl/>
        </w:rPr>
      </w:pPr>
      <w:bookmarkStart w:id="3025" w:name="_Toc19389394"/>
      <w:bookmarkStart w:id="3026" w:name="_Toc19392891"/>
      <w:r w:rsidRPr="003E2891">
        <w:rPr>
          <w:rFonts w:hint="cs"/>
          <w:rtl/>
        </w:rPr>
        <w:t>דעת הרמב"ן והר"ן דלרב הונא מדינא חייב לבדוק לאחר השחיטה</w:t>
      </w:r>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p>
    <w:p w14:paraId="20BA05BF" w14:textId="77777777" w:rsidR="00FC47D4" w:rsidRPr="003E2891" w:rsidRDefault="00FC47D4" w:rsidP="00223668">
      <w:pPr>
        <w:pStyle w:val="a0"/>
        <w:rPr>
          <w:rtl/>
        </w:rPr>
      </w:pPr>
      <w:r w:rsidRPr="003E2891">
        <w:rPr>
          <w:rFonts w:hint="cs"/>
          <w:rtl/>
        </w:rPr>
        <w:t xml:space="preserve">דעת </w:t>
      </w:r>
      <w:r w:rsidRPr="003E2891">
        <w:rPr>
          <w:rStyle w:val="af9"/>
          <w:rFonts w:hint="cs"/>
          <w:rtl/>
        </w:rPr>
        <w:t>הרמב"ן</w:t>
      </w:r>
      <w:r w:rsidRPr="003E2891">
        <w:rPr>
          <w:rStyle w:val="af7"/>
          <w:rFonts w:eastAsia="Guttman Hodes" w:hint="cs"/>
          <w:rtl/>
        </w:rPr>
        <w:t xml:space="preserve"> (עי' אות </w:t>
      </w:r>
      <w:r w:rsidRPr="003E2891">
        <w:rPr>
          <w:rStyle w:val="af7"/>
          <w:rFonts w:eastAsia="Guttman Hodes"/>
          <w:rtl/>
        </w:rPr>
        <w:fldChar w:fldCharType="begin"/>
      </w:r>
      <w:r w:rsidRPr="003E2891">
        <w:rPr>
          <w:rStyle w:val="af7"/>
          <w:rFonts w:eastAsia="Guttman Hodes"/>
          <w:rtl/>
        </w:rPr>
        <w:instrText xml:space="preserve"> </w:instrText>
      </w:r>
      <w:r w:rsidRPr="003E2891">
        <w:rPr>
          <w:rStyle w:val="af7"/>
          <w:rFonts w:eastAsia="Guttman Hodes" w:hint="cs"/>
        </w:rPr>
        <w:instrText>REF</w:instrText>
      </w:r>
      <w:r w:rsidRPr="003E2891">
        <w:rPr>
          <w:rStyle w:val="af7"/>
          <w:rFonts w:eastAsia="Guttman Hodes" w:hint="cs"/>
          <w:rtl/>
        </w:rPr>
        <w:instrText xml:space="preserve"> _</w:instrText>
      </w:r>
      <w:r w:rsidRPr="003E2891">
        <w:rPr>
          <w:rStyle w:val="af7"/>
          <w:rFonts w:eastAsia="Guttman Hodes" w:hint="cs"/>
        </w:rPr>
        <w:instrText>Ref523132416 \r \h</w:instrText>
      </w:r>
      <w:r w:rsidRPr="003E2891">
        <w:rPr>
          <w:rStyle w:val="af7"/>
          <w:rFonts w:eastAsia="Guttman Hodes"/>
          <w:rtl/>
        </w:rPr>
        <w:instrText xml:space="preserve">  \* </w:instrText>
      </w:r>
      <w:r w:rsidRPr="003E2891">
        <w:rPr>
          <w:rStyle w:val="af7"/>
          <w:rFonts w:eastAsia="Guttman Hodes"/>
        </w:rPr>
        <w:instrText>MERGEFORMAT</w:instrText>
      </w:r>
      <w:r w:rsidRPr="003E2891">
        <w:rPr>
          <w:rStyle w:val="af7"/>
          <w:rFonts w:eastAsia="Guttman Hodes"/>
          <w:rtl/>
        </w:rPr>
        <w:instrText xml:space="preserve"> </w:instrText>
      </w:r>
      <w:r w:rsidRPr="003E2891">
        <w:rPr>
          <w:rStyle w:val="af7"/>
          <w:rFonts w:eastAsia="Guttman Hodes"/>
          <w:rtl/>
        </w:rPr>
      </w:r>
      <w:r w:rsidRPr="003E2891">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3E2891">
        <w:rPr>
          <w:rStyle w:val="af7"/>
          <w:rFonts w:eastAsia="Guttman Hodes"/>
          <w:rtl/>
        </w:rPr>
        <w:fldChar w:fldCharType="end"/>
      </w:r>
      <w:r w:rsidRPr="003E2891">
        <w:rPr>
          <w:rStyle w:val="af7"/>
          <w:rFonts w:eastAsia="Guttman Hodes" w:hint="cs"/>
          <w:rtl/>
        </w:rPr>
        <w:t xml:space="preserve"> </w:t>
      </w:r>
      <w:r w:rsidRPr="003E2891">
        <w:rPr>
          <w:rStyle w:val="af9"/>
          <w:rFonts w:hint="cs"/>
          <w:rtl/>
        </w:rPr>
        <w:t>והר"ן</w:t>
      </w:r>
      <w:r w:rsidRPr="003E2891">
        <w:rPr>
          <w:rFonts w:hint="cs"/>
          <w:rtl/>
        </w:rPr>
        <w:t xml:space="preserve"> </w:t>
      </w:r>
      <w:r w:rsidRPr="003E2891">
        <w:rPr>
          <w:rStyle w:val="af7"/>
          <w:rFonts w:eastAsia="Guttman Hodes" w:hint="cs"/>
          <w:rtl/>
        </w:rPr>
        <w:t xml:space="preserve">(עי' אות </w:t>
      </w:r>
      <w:r w:rsidRPr="003E2891">
        <w:rPr>
          <w:rStyle w:val="af7"/>
          <w:rFonts w:eastAsia="Guttman Hodes"/>
          <w:rtl/>
        </w:rPr>
        <w:fldChar w:fldCharType="begin"/>
      </w:r>
      <w:r w:rsidRPr="003E2891">
        <w:rPr>
          <w:rStyle w:val="af7"/>
          <w:rFonts w:eastAsia="Guttman Hodes"/>
          <w:rtl/>
        </w:rPr>
        <w:instrText xml:space="preserve"> </w:instrText>
      </w:r>
      <w:r w:rsidRPr="003E2891">
        <w:rPr>
          <w:rStyle w:val="af7"/>
          <w:rFonts w:eastAsia="Guttman Hodes" w:hint="cs"/>
        </w:rPr>
        <w:instrText>REF</w:instrText>
      </w:r>
      <w:r w:rsidRPr="003E2891">
        <w:rPr>
          <w:rStyle w:val="af7"/>
          <w:rFonts w:eastAsia="Guttman Hodes" w:hint="cs"/>
          <w:rtl/>
        </w:rPr>
        <w:instrText xml:space="preserve"> _</w:instrText>
      </w:r>
      <w:r w:rsidRPr="003E2891">
        <w:rPr>
          <w:rStyle w:val="af7"/>
          <w:rFonts w:eastAsia="Guttman Hodes" w:hint="cs"/>
        </w:rPr>
        <w:instrText>Ref523132416 \r \h</w:instrText>
      </w:r>
      <w:r w:rsidRPr="003E2891">
        <w:rPr>
          <w:rStyle w:val="af7"/>
          <w:rFonts w:eastAsia="Guttman Hodes"/>
          <w:rtl/>
        </w:rPr>
        <w:instrText xml:space="preserve">  \* </w:instrText>
      </w:r>
      <w:r w:rsidRPr="003E2891">
        <w:rPr>
          <w:rStyle w:val="af7"/>
          <w:rFonts w:eastAsia="Guttman Hodes"/>
        </w:rPr>
        <w:instrText>MERGEFORMAT</w:instrText>
      </w:r>
      <w:r w:rsidRPr="003E2891">
        <w:rPr>
          <w:rStyle w:val="af7"/>
          <w:rFonts w:eastAsia="Guttman Hodes"/>
          <w:rtl/>
        </w:rPr>
        <w:instrText xml:space="preserve"> </w:instrText>
      </w:r>
      <w:r w:rsidRPr="003E2891">
        <w:rPr>
          <w:rStyle w:val="af7"/>
          <w:rFonts w:eastAsia="Guttman Hodes"/>
          <w:rtl/>
        </w:rPr>
      </w:r>
      <w:r w:rsidRPr="003E2891">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3E2891">
        <w:rPr>
          <w:rStyle w:val="af7"/>
          <w:rFonts w:eastAsia="Guttman Hodes"/>
          <w:rtl/>
        </w:rPr>
        <w:fldChar w:fldCharType="end"/>
      </w:r>
      <w:r w:rsidRPr="003E2891">
        <w:rPr>
          <w:rStyle w:val="af7"/>
          <w:rFonts w:eastAsia="Guttman Hodes" w:hint="cs"/>
          <w:rtl/>
        </w:rPr>
        <w:t xml:space="preserve"> </w:t>
      </w:r>
      <w:r w:rsidRPr="003E2891">
        <w:rPr>
          <w:rFonts w:hint="cs"/>
          <w:rtl/>
        </w:rPr>
        <w:t xml:space="preserve">דלרב הונא מדינא צריך לבדוק את הסכין אחר השחיטה, [אף </w:t>
      </w:r>
      <w:r>
        <w:rPr>
          <w:rFonts w:hint="cs"/>
          <w:rtl/>
        </w:rPr>
        <w:t>בשחיטת בהמה אחת] וכל שלא בדק אף</w:t>
      </w:r>
      <w:r w:rsidRPr="003E2891">
        <w:rPr>
          <w:rFonts w:hint="cs"/>
          <w:rtl/>
        </w:rPr>
        <w:t xml:space="preserve"> בשיבר בה עצמות, השחיטה פסולה, וכתב </w:t>
      </w:r>
      <w:r w:rsidRPr="003E2891">
        <w:rPr>
          <w:rStyle w:val="af9"/>
          <w:rFonts w:hint="cs"/>
          <w:rtl/>
        </w:rPr>
        <w:t>הרמב"ן במלחמות</w:t>
      </w:r>
      <w:r w:rsidRPr="003E2891">
        <w:rPr>
          <w:rFonts w:hint="cs"/>
          <w:rtl/>
        </w:rPr>
        <w:t xml:space="preserve"> </w:t>
      </w:r>
      <w:r w:rsidRPr="003E2891">
        <w:rPr>
          <w:rStyle w:val="af7"/>
          <w:rFonts w:eastAsia="Guttman Hodes" w:hint="cs"/>
          <w:rtl/>
        </w:rPr>
        <w:t xml:space="preserve">(עי' אות </w:t>
      </w:r>
      <w:r w:rsidRPr="003E2891">
        <w:rPr>
          <w:rStyle w:val="af7"/>
          <w:rFonts w:eastAsia="Guttman Hodes"/>
          <w:rtl/>
        </w:rPr>
        <w:fldChar w:fldCharType="begin"/>
      </w:r>
      <w:r w:rsidRPr="003E2891">
        <w:rPr>
          <w:rStyle w:val="af7"/>
          <w:rFonts w:eastAsia="Guttman Hodes"/>
          <w:rtl/>
        </w:rPr>
        <w:instrText xml:space="preserve"> </w:instrText>
      </w:r>
      <w:r w:rsidRPr="003E2891">
        <w:rPr>
          <w:rStyle w:val="af7"/>
          <w:rFonts w:eastAsia="Guttman Hodes" w:hint="cs"/>
        </w:rPr>
        <w:instrText>REF</w:instrText>
      </w:r>
      <w:r w:rsidRPr="003E2891">
        <w:rPr>
          <w:rStyle w:val="af7"/>
          <w:rFonts w:eastAsia="Guttman Hodes" w:hint="cs"/>
          <w:rtl/>
        </w:rPr>
        <w:instrText xml:space="preserve"> _</w:instrText>
      </w:r>
      <w:r w:rsidRPr="003E2891">
        <w:rPr>
          <w:rStyle w:val="af7"/>
          <w:rFonts w:eastAsia="Guttman Hodes" w:hint="cs"/>
        </w:rPr>
        <w:instrText>Ref523254544 \r \h</w:instrText>
      </w:r>
      <w:r w:rsidRPr="003E2891">
        <w:rPr>
          <w:rStyle w:val="af7"/>
          <w:rFonts w:eastAsia="Guttman Hodes"/>
          <w:rtl/>
        </w:rPr>
        <w:instrText xml:space="preserve">  \* </w:instrText>
      </w:r>
      <w:r w:rsidRPr="003E2891">
        <w:rPr>
          <w:rStyle w:val="af7"/>
          <w:rFonts w:eastAsia="Guttman Hodes"/>
        </w:rPr>
        <w:instrText>MERGEFORMAT</w:instrText>
      </w:r>
      <w:r w:rsidRPr="003E2891">
        <w:rPr>
          <w:rStyle w:val="af7"/>
          <w:rFonts w:eastAsia="Guttman Hodes"/>
          <w:rtl/>
        </w:rPr>
        <w:instrText xml:space="preserve"> </w:instrText>
      </w:r>
      <w:r w:rsidRPr="003E2891">
        <w:rPr>
          <w:rStyle w:val="af7"/>
          <w:rFonts w:eastAsia="Guttman Hodes"/>
          <w:rtl/>
        </w:rPr>
      </w:r>
      <w:r w:rsidRPr="003E2891">
        <w:rPr>
          <w:rStyle w:val="af7"/>
          <w:rFonts w:eastAsia="Guttman Hodes"/>
          <w:rtl/>
        </w:rPr>
        <w:fldChar w:fldCharType="separate"/>
      </w:r>
      <w:r w:rsidR="00345400">
        <w:rPr>
          <w:rStyle w:val="af7"/>
          <w:rFonts w:eastAsia="Guttman Hodes"/>
          <w:cs/>
        </w:rPr>
        <w:t>‎</w:t>
      </w:r>
      <w:r w:rsidR="00345400">
        <w:rPr>
          <w:rStyle w:val="af7"/>
          <w:rFonts w:eastAsia="Guttman Hodes"/>
          <w:rtl/>
        </w:rPr>
        <w:t>עד)</w:t>
      </w:r>
      <w:r w:rsidRPr="003E2891">
        <w:rPr>
          <w:rStyle w:val="af7"/>
          <w:rFonts w:eastAsia="Guttman Hodes"/>
          <w:rtl/>
        </w:rPr>
        <w:fldChar w:fldCharType="end"/>
      </w:r>
      <w:r w:rsidRPr="003E2891">
        <w:rPr>
          <w:rFonts w:hint="cs"/>
          <w:rtl/>
        </w:rPr>
        <w:t xml:space="preserve"> דכן דעת </w:t>
      </w:r>
      <w:r w:rsidRPr="003E2891">
        <w:rPr>
          <w:rStyle w:val="af9"/>
          <w:rFonts w:hint="cs"/>
          <w:rtl/>
        </w:rPr>
        <w:t xml:space="preserve">רש"י </w:t>
      </w:r>
      <w:r w:rsidRPr="003E2891">
        <w:rPr>
          <w:rStyle w:val="af7"/>
          <w:rFonts w:eastAsia="Guttman Hodes" w:hint="cs"/>
          <w:rtl/>
        </w:rPr>
        <w:t xml:space="preserve">(עי' אות </w:t>
      </w:r>
      <w:r w:rsidRPr="003E2891">
        <w:rPr>
          <w:rStyle w:val="af7"/>
          <w:rFonts w:eastAsia="Guttman Hodes"/>
          <w:rtl/>
        </w:rPr>
        <w:fldChar w:fldCharType="begin"/>
      </w:r>
      <w:r w:rsidRPr="003E2891">
        <w:rPr>
          <w:rStyle w:val="af7"/>
          <w:rFonts w:eastAsia="Guttman Hodes"/>
          <w:rtl/>
        </w:rPr>
        <w:instrText xml:space="preserve"> </w:instrText>
      </w:r>
      <w:r w:rsidRPr="003E2891">
        <w:rPr>
          <w:rStyle w:val="af7"/>
          <w:rFonts w:eastAsia="Guttman Hodes" w:hint="cs"/>
        </w:rPr>
        <w:instrText>REF</w:instrText>
      </w:r>
      <w:r w:rsidRPr="003E2891">
        <w:rPr>
          <w:rStyle w:val="af7"/>
          <w:rFonts w:eastAsia="Guttman Hodes" w:hint="cs"/>
          <w:rtl/>
        </w:rPr>
        <w:instrText xml:space="preserve"> _</w:instrText>
      </w:r>
      <w:r w:rsidRPr="003E2891">
        <w:rPr>
          <w:rStyle w:val="af7"/>
          <w:rFonts w:eastAsia="Guttman Hodes" w:hint="cs"/>
        </w:rPr>
        <w:instrText>Ref523254453 \r \h</w:instrText>
      </w:r>
      <w:r w:rsidRPr="003E2891">
        <w:rPr>
          <w:rStyle w:val="af7"/>
          <w:rFonts w:eastAsia="Guttman Hodes"/>
          <w:rtl/>
        </w:rPr>
        <w:instrText xml:space="preserve">  \* </w:instrText>
      </w:r>
      <w:r w:rsidRPr="003E2891">
        <w:rPr>
          <w:rStyle w:val="af7"/>
          <w:rFonts w:eastAsia="Guttman Hodes"/>
        </w:rPr>
        <w:instrText>MERGEFORMAT</w:instrText>
      </w:r>
      <w:r w:rsidRPr="003E2891">
        <w:rPr>
          <w:rStyle w:val="af7"/>
          <w:rFonts w:eastAsia="Guttman Hodes"/>
          <w:rtl/>
        </w:rPr>
        <w:instrText xml:space="preserve"> </w:instrText>
      </w:r>
      <w:r w:rsidRPr="003E2891">
        <w:rPr>
          <w:rStyle w:val="af7"/>
          <w:rFonts w:eastAsia="Guttman Hodes"/>
          <w:rtl/>
        </w:rPr>
      </w:r>
      <w:r w:rsidRPr="003E2891">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3E2891">
        <w:rPr>
          <w:rStyle w:val="af7"/>
          <w:rFonts w:eastAsia="Guttman Hodes"/>
          <w:rtl/>
        </w:rPr>
        <w:fldChar w:fldCharType="end"/>
      </w:r>
      <w:r w:rsidRPr="003E2891">
        <w:rPr>
          <w:rFonts w:hint="cs"/>
          <w:rtl/>
        </w:rPr>
        <w:t>.</w:t>
      </w:r>
    </w:p>
    <w:p w14:paraId="1B7B32DA" w14:textId="77777777" w:rsidR="00FC47D4" w:rsidRPr="003E2891" w:rsidRDefault="00FC47D4" w:rsidP="006D6D32">
      <w:pPr>
        <w:pStyle w:val="a3"/>
        <w:rPr>
          <w:rtl/>
        </w:rPr>
      </w:pPr>
      <w:bookmarkStart w:id="3027" w:name="_Toc523397180"/>
      <w:bookmarkStart w:id="3028" w:name="_Toc523490284"/>
      <w:bookmarkStart w:id="3029" w:name="_Toc523697891"/>
      <w:bookmarkStart w:id="3030" w:name="_Toc523735673"/>
      <w:bookmarkStart w:id="3031" w:name="_Toc526248912"/>
      <w:bookmarkStart w:id="3032" w:name="_Toc526409442"/>
      <w:bookmarkStart w:id="3033" w:name="_Toc526939083"/>
      <w:bookmarkStart w:id="3034" w:name="_Toc527060215"/>
      <w:bookmarkStart w:id="3035" w:name="_Toc527060363"/>
      <w:bookmarkStart w:id="3036" w:name="_Toc527100740"/>
      <w:bookmarkStart w:id="3037" w:name="_Toc528226983"/>
      <w:bookmarkStart w:id="3038" w:name="_Toc528227147"/>
      <w:bookmarkStart w:id="3039" w:name="_Toc528227309"/>
      <w:bookmarkStart w:id="3040" w:name="_Toc19389395"/>
      <w:bookmarkStart w:id="3041" w:name="_Toc19392892"/>
      <w:r w:rsidRPr="003E2891">
        <w:rPr>
          <w:rFonts w:hint="cs"/>
          <w:rtl/>
        </w:rPr>
        <w:t>דעת רבינו יונה הרשב"א והרא"ש דרק לכתחילה חייב לבדוק לרב הונא לאחר השחיטה</w:t>
      </w:r>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p>
    <w:p w14:paraId="605A8D17" w14:textId="77777777" w:rsidR="00FC47D4" w:rsidRPr="003E2891" w:rsidRDefault="00FC47D4" w:rsidP="00223668">
      <w:pPr>
        <w:pStyle w:val="a0"/>
        <w:rPr>
          <w:rtl/>
        </w:rPr>
      </w:pPr>
      <w:r w:rsidRPr="003E2891">
        <w:rPr>
          <w:rFonts w:hint="cs"/>
          <w:rtl/>
        </w:rPr>
        <w:t xml:space="preserve">ודעת </w:t>
      </w:r>
      <w:r w:rsidRPr="00D602DA">
        <w:rPr>
          <w:rStyle w:val="af9"/>
          <w:rFonts w:hint="cs"/>
          <w:rtl/>
        </w:rPr>
        <w:t>הרשב"א</w:t>
      </w:r>
      <w:r w:rsidRPr="00D602DA">
        <w:rPr>
          <w:rFonts w:hint="cs"/>
          <w:rtl/>
        </w:rPr>
        <w:t xml:space="preserve"> </w:t>
      </w:r>
      <w:r w:rsidRPr="00D602DA">
        <w:rPr>
          <w:rStyle w:val="af7"/>
          <w:rFonts w:eastAsia="Guttman Hodes" w:hint="cs"/>
          <w:rtl/>
        </w:rPr>
        <w:t xml:space="preserve">(עי' אות </w:t>
      </w:r>
      <w:r w:rsidRPr="00D602DA">
        <w:rPr>
          <w:rStyle w:val="af7"/>
          <w:rFonts w:eastAsia="Guttman Hodes"/>
          <w:rtl/>
        </w:rPr>
        <w:fldChar w:fldCharType="begin"/>
      </w:r>
      <w:r w:rsidRPr="00D602DA">
        <w:rPr>
          <w:rStyle w:val="af7"/>
          <w:rFonts w:eastAsia="Guttman Hodes"/>
          <w:rtl/>
        </w:rPr>
        <w:instrText xml:space="preserve"> </w:instrText>
      </w:r>
      <w:r w:rsidRPr="00D602DA">
        <w:rPr>
          <w:rStyle w:val="af7"/>
          <w:rFonts w:eastAsia="Guttman Hodes" w:hint="cs"/>
        </w:rPr>
        <w:instrText>REF</w:instrText>
      </w:r>
      <w:r w:rsidRPr="00D602DA">
        <w:rPr>
          <w:rStyle w:val="af7"/>
          <w:rFonts w:eastAsia="Guttman Hodes" w:hint="cs"/>
          <w:rtl/>
        </w:rPr>
        <w:instrText xml:space="preserve"> _</w:instrText>
      </w:r>
      <w:r w:rsidRPr="00D602DA">
        <w:rPr>
          <w:rStyle w:val="af7"/>
          <w:rFonts w:eastAsia="Guttman Hodes" w:hint="cs"/>
        </w:rPr>
        <w:instrText>Ref523085216 \r \h</w:instrText>
      </w:r>
      <w:r w:rsidRPr="00D602DA">
        <w:rPr>
          <w:rStyle w:val="af7"/>
          <w:rFonts w:eastAsia="Guttman Hodes"/>
          <w:rtl/>
        </w:rPr>
        <w:instrText xml:space="preserve"> </w:instrText>
      </w:r>
      <w:r w:rsidRPr="00D602DA">
        <w:rPr>
          <w:rStyle w:val="af7"/>
          <w:rFonts w:eastAsia="Guttman Hodes"/>
          <w:rtl/>
        </w:rPr>
      </w:r>
      <w:r w:rsidRPr="00D602DA">
        <w:rPr>
          <w:rStyle w:val="af7"/>
          <w:rFonts w:eastAsia="Guttman Hodes"/>
          <w:rtl/>
        </w:rPr>
        <w:fldChar w:fldCharType="separate"/>
      </w:r>
      <w:r w:rsidR="00345400">
        <w:rPr>
          <w:rStyle w:val="af7"/>
          <w:rFonts w:eastAsia="Guttman Hodes"/>
          <w:cs/>
        </w:rPr>
        <w:t>‎</w:t>
      </w:r>
      <w:r w:rsidR="00345400">
        <w:rPr>
          <w:rStyle w:val="af7"/>
          <w:rFonts w:eastAsia="Guttman Hodes"/>
          <w:rtl/>
        </w:rPr>
        <w:t>לח)</w:t>
      </w:r>
      <w:r w:rsidRPr="00D602DA">
        <w:rPr>
          <w:rStyle w:val="af7"/>
          <w:rFonts w:eastAsia="Guttman Hodes"/>
          <w:rtl/>
        </w:rPr>
        <w:fldChar w:fldCharType="end"/>
      </w:r>
      <w:r>
        <w:rPr>
          <w:rFonts w:hint="cs"/>
          <w:rtl/>
        </w:rPr>
        <w:t xml:space="preserve"> </w:t>
      </w:r>
      <w:r w:rsidRPr="00D602DA">
        <w:rPr>
          <w:rFonts w:hint="cs"/>
          <w:rtl/>
        </w:rPr>
        <w:t xml:space="preserve">בשם </w:t>
      </w:r>
      <w:r w:rsidRPr="00D602DA">
        <w:rPr>
          <w:rStyle w:val="af9"/>
          <w:rFonts w:hint="cs"/>
          <w:rtl/>
        </w:rPr>
        <w:t xml:space="preserve">רבינו יונה </w:t>
      </w:r>
      <w:r w:rsidRPr="00D602DA">
        <w:rPr>
          <w:rFonts w:hint="cs"/>
          <w:rtl/>
        </w:rPr>
        <w:t xml:space="preserve">ודעת </w:t>
      </w:r>
      <w:r w:rsidRPr="000C105C">
        <w:rPr>
          <w:rStyle w:val="af9"/>
          <w:rFonts w:hint="cs"/>
          <w:rtl/>
        </w:rPr>
        <w:t>הרא"ש</w:t>
      </w:r>
      <w:r>
        <w:rPr>
          <w:rFonts w:hint="cs"/>
          <w:rtl/>
        </w:rPr>
        <w:t xml:space="preserve"> </w:t>
      </w:r>
      <w:r w:rsidRPr="006013C7">
        <w:rPr>
          <w:rStyle w:val="af7"/>
          <w:rFonts w:eastAsia="Guttman Hodes" w:hint="cs"/>
          <w:rtl/>
        </w:rPr>
        <w:t>(סי' ט"ו)</w:t>
      </w:r>
      <w:r>
        <w:rPr>
          <w:rFonts w:hint="cs"/>
          <w:rtl/>
        </w:rPr>
        <w:t xml:space="preserve"> </w:t>
      </w:r>
      <w:r w:rsidRPr="00D602DA">
        <w:rPr>
          <w:rFonts w:hint="cs"/>
          <w:rtl/>
        </w:rPr>
        <w:t xml:space="preserve">דלכתחילה צריך לבדוק אחר השחיטה, אך אינו חיוב מדינא, וכתב </w:t>
      </w:r>
      <w:r w:rsidRPr="00D602DA">
        <w:rPr>
          <w:rStyle w:val="af9"/>
          <w:rFonts w:hint="cs"/>
          <w:rtl/>
        </w:rPr>
        <w:t>הרא"ש</w:t>
      </w:r>
      <w:r w:rsidRPr="00D602DA">
        <w:rPr>
          <w:rFonts w:hint="cs"/>
          <w:rtl/>
        </w:rPr>
        <w:t xml:space="preserve"> דאף</w:t>
      </w:r>
      <w:r w:rsidRPr="003E2891">
        <w:rPr>
          <w:rFonts w:hint="cs"/>
          <w:rtl/>
        </w:rPr>
        <w:t xml:space="preserve"> שכתב </w:t>
      </w:r>
      <w:r w:rsidRPr="003E2891">
        <w:rPr>
          <w:rStyle w:val="af9"/>
          <w:rFonts w:hint="cs"/>
          <w:rtl/>
        </w:rPr>
        <w:t>רש"י</w:t>
      </w:r>
      <w:r w:rsidRPr="003E2891">
        <w:rPr>
          <w:rFonts w:hint="cs"/>
          <w:rtl/>
        </w:rPr>
        <w:t xml:space="preserve"> </w:t>
      </w:r>
      <w:r w:rsidRPr="003E2891">
        <w:rPr>
          <w:rStyle w:val="af7"/>
          <w:rFonts w:eastAsia="Guttman Hodes" w:hint="cs"/>
          <w:rtl/>
        </w:rPr>
        <w:t xml:space="preserve">(עי' אות </w:t>
      </w:r>
      <w:r w:rsidRPr="003E2891">
        <w:rPr>
          <w:rStyle w:val="af7"/>
          <w:rFonts w:eastAsia="Guttman Hodes"/>
          <w:rtl/>
        </w:rPr>
        <w:fldChar w:fldCharType="begin"/>
      </w:r>
      <w:r w:rsidRPr="003E2891">
        <w:rPr>
          <w:rStyle w:val="af7"/>
          <w:rFonts w:eastAsia="Guttman Hodes"/>
          <w:rtl/>
        </w:rPr>
        <w:instrText xml:space="preserve"> </w:instrText>
      </w:r>
      <w:r w:rsidRPr="003E2891">
        <w:rPr>
          <w:rStyle w:val="af7"/>
          <w:rFonts w:eastAsia="Guttman Hodes" w:hint="cs"/>
        </w:rPr>
        <w:instrText>REF</w:instrText>
      </w:r>
      <w:r w:rsidRPr="003E2891">
        <w:rPr>
          <w:rStyle w:val="af7"/>
          <w:rFonts w:eastAsia="Guttman Hodes" w:hint="cs"/>
          <w:rtl/>
        </w:rPr>
        <w:instrText xml:space="preserve"> _</w:instrText>
      </w:r>
      <w:r w:rsidRPr="003E2891">
        <w:rPr>
          <w:rStyle w:val="af7"/>
          <w:rFonts w:eastAsia="Guttman Hodes" w:hint="cs"/>
        </w:rPr>
        <w:instrText>Ref523254453 \r \h</w:instrText>
      </w:r>
      <w:r w:rsidRPr="003E289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3E2891">
        <w:rPr>
          <w:rStyle w:val="af7"/>
          <w:rFonts w:eastAsia="Guttman Hodes"/>
          <w:rtl/>
        </w:rPr>
      </w:r>
      <w:r w:rsidRPr="003E2891">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3E2891">
        <w:rPr>
          <w:rStyle w:val="af7"/>
          <w:rFonts w:eastAsia="Guttman Hodes"/>
          <w:rtl/>
        </w:rPr>
        <w:fldChar w:fldCharType="end"/>
      </w:r>
      <w:r w:rsidRPr="003E2891">
        <w:rPr>
          <w:rFonts w:hint="cs"/>
          <w:rtl/>
        </w:rPr>
        <w:t xml:space="preserve"> שצריך לבדוק אחר השחיטה, היינו רק לכתחילה במקום שאפשר לבדוק.</w:t>
      </w:r>
      <w:r w:rsidRPr="0056418A">
        <w:rPr>
          <w:rFonts w:hint="cs"/>
          <w:rtl/>
        </w:rPr>
        <w:t xml:space="preserve"> </w:t>
      </w:r>
    </w:p>
    <w:p w14:paraId="0CE39888" w14:textId="77777777" w:rsidR="00FC47D4" w:rsidRPr="003E2891" w:rsidRDefault="00FC47D4" w:rsidP="006D6D32">
      <w:pPr>
        <w:pStyle w:val="a3"/>
        <w:rPr>
          <w:rtl/>
        </w:rPr>
      </w:pPr>
      <w:bookmarkStart w:id="3042" w:name="_Toc523397182"/>
      <w:bookmarkStart w:id="3043" w:name="_Toc523490286"/>
      <w:bookmarkStart w:id="3044" w:name="_Toc523697893"/>
      <w:bookmarkStart w:id="3045" w:name="_Toc523735675"/>
      <w:bookmarkStart w:id="3046" w:name="_Toc526248913"/>
      <w:bookmarkStart w:id="3047" w:name="_Toc526409443"/>
      <w:bookmarkStart w:id="3048" w:name="_Toc526939084"/>
      <w:bookmarkStart w:id="3049" w:name="_Toc527060216"/>
      <w:bookmarkStart w:id="3050" w:name="_Toc527060364"/>
      <w:bookmarkStart w:id="3051" w:name="_Toc527100741"/>
      <w:bookmarkStart w:id="3052" w:name="_Toc528226984"/>
      <w:bookmarkStart w:id="3053" w:name="_Toc528227148"/>
      <w:bookmarkStart w:id="3054" w:name="_Toc528227310"/>
      <w:bookmarkStart w:id="3055" w:name="_Toc19389396"/>
      <w:bookmarkStart w:id="3056" w:name="_Toc19392893"/>
      <w:r w:rsidRPr="003E2891">
        <w:rPr>
          <w:rFonts w:hint="cs"/>
          <w:rtl/>
        </w:rPr>
        <w:t xml:space="preserve">דברי הבעה"מ והראב"ד </w:t>
      </w:r>
      <w:bookmarkEnd w:id="3042"/>
      <w:bookmarkEnd w:id="3043"/>
      <w:r w:rsidRPr="003E2891">
        <w:rPr>
          <w:rFonts w:hint="cs"/>
          <w:rtl/>
        </w:rPr>
        <w:t>דא"צ לבדוק אחר השחיטה ובכמה בהמות אינו מדינא</w:t>
      </w:r>
      <w:bookmarkEnd w:id="3044"/>
      <w:bookmarkEnd w:id="3045"/>
      <w:bookmarkEnd w:id="3046"/>
      <w:bookmarkEnd w:id="3047"/>
      <w:bookmarkEnd w:id="3048"/>
      <w:bookmarkEnd w:id="3049"/>
      <w:bookmarkEnd w:id="3050"/>
      <w:bookmarkEnd w:id="3051"/>
      <w:bookmarkEnd w:id="3052"/>
      <w:bookmarkEnd w:id="3053"/>
      <w:bookmarkEnd w:id="3054"/>
      <w:bookmarkEnd w:id="3055"/>
      <w:bookmarkEnd w:id="3056"/>
    </w:p>
    <w:p w14:paraId="125F3F79" w14:textId="77777777" w:rsidR="00FC47D4" w:rsidRPr="003E2891" w:rsidRDefault="00FC47D4" w:rsidP="00223668">
      <w:pPr>
        <w:pStyle w:val="a0"/>
        <w:rPr>
          <w:rtl/>
        </w:rPr>
      </w:pPr>
      <w:bookmarkStart w:id="3057" w:name="_Ref523240768"/>
      <w:r w:rsidRPr="003E2891">
        <w:rPr>
          <w:rFonts w:hint="cs"/>
          <w:rtl/>
        </w:rPr>
        <w:t xml:space="preserve">אבל </w:t>
      </w:r>
      <w:r w:rsidRPr="003E2891">
        <w:rPr>
          <w:rStyle w:val="af9"/>
          <w:rFonts w:hint="cs"/>
          <w:rtl/>
        </w:rPr>
        <w:t>הבעה"מ</w:t>
      </w:r>
      <w:r w:rsidRPr="003E2891">
        <w:rPr>
          <w:rFonts w:hint="cs"/>
          <w:rtl/>
        </w:rPr>
        <w:t xml:space="preserve"> </w:t>
      </w:r>
      <w:r w:rsidRPr="003E2891">
        <w:rPr>
          <w:rStyle w:val="af7"/>
          <w:rFonts w:eastAsia="Guttman Hodes" w:hint="cs"/>
          <w:rtl/>
        </w:rPr>
        <w:t>(ג: מדפי הרי"ף ד"ה ואסיקנא)</w:t>
      </w:r>
      <w:r w:rsidRPr="003E2891">
        <w:rPr>
          <w:rFonts w:hint="cs"/>
          <w:rtl/>
        </w:rPr>
        <w:t xml:space="preserve"> כתב דבשחיטה של בהמה אחת, א"צ לבדוק אחריה, וגם בשחיטת הרבה בהמות </w:t>
      </w:r>
      <w:r>
        <w:rPr>
          <w:rFonts w:hint="cs"/>
          <w:rtl/>
        </w:rPr>
        <w:t>כל ש</w:t>
      </w:r>
      <w:r w:rsidRPr="003E2891">
        <w:rPr>
          <w:rFonts w:hint="cs"/>
          <w:rtl/>
        </w:rPr>
        <w:t xml:space="preserve">בדק </w:t>
      </w:r>
      <w:r>
        <w:rPr>
          <w:rFonts w:hint="cs"/>
          <w:rtl/>
        </w:rPr>
        <w:t xml:space="preserve">לפני השחיטה </w:t>
      </w:r>
      <w:r w:rsidRPr="003E2891">
        <w:rPr>
          <w:rFonts w:hint="cs"/>
          <w:rtl/>
        </w:rPr>
        <w:t>כשר, ו</w:t>
      </w:r>
      <w:r>
        <w:rPr>
          <w:rFonts w:hint="cs"/>
          <w:rtl/>
        </w:rPr>
        <w:t xml:space="preserve">רק לכתחילה אמרינן </w:t>
      </w:r>
      <w:r w:rsidRPr="003E2891">
        <w:rPr>
          <w:rFonts w:hint="cs"/>
          <w:rtl/>
        </w:rPr>
        <w:t xml:space="preserve">שצריך לבדוק בין כל שחיטה לשחיטה, </w:t>
      </w:r>
      <w:r>
        <w:rPr>
          <w:rFonts w:hint="cs"/>
          <w:rtl/>
        </w:rPr>
        <w:t>ד</w:t>
      </w:r>
      <w:r w:rsidRPr="003E2891">
        <w:rPr>
          <w:rFonts w:hint="cs"/>
          <w:rtl/>
        </w:rPr>
        <w:t xml:space="preserve">הוא זריזות בעלמא שלא יפול ספק בהרבה בהמות, דחיישינן שע"י שנוגע הסכין במפרקת הרבה פעמים, הוא יכול להפגם, וכן דעת </w:t>
      </w:r>
      <w:r w:rsidRPr="003E2891">
        <w:rPr>
          <w:rStyle w:val="af9"/>
          <w:rFonts w:hint="cs"/>
          <w:rtl/>
        </w:rPr>
        <w:t xml:space="preserve">הראב"ד </w:t>
      </w:r>
      <w:r w:rsidRPr="003E2891">
        <w:rPr>
          <w:rStyle w:val="af7"/>
          <w:rFonts w:eastAsia="Guttman Hodes" w:hint="cs"/>
          <w:rtl/>
        </w:rPr>
        <w:t xml:space="preserve">(עי' אות </w:t>
      </w:r>
      <w:r w:rsidRPr="003E2891">
        <w:rPr>
          <w:rStyle w:val="af7"/>
          <w:rFonts w:eastAsia="Guttman Hodes"/>
          <w:rtl/>
        </w:rPr>
        <w:fldChar w:fldCharType="begin"/>
      </w:r>
      <w:r w:rsidRPr="003E2891">
        <w:rPr>
          <w:rStyle w:val="af7"/>
          <w:rFonts w:eastAsia="Guttman Hodes"/>
          <w:rtl/>
        </w:rPr>
        <w:instrText xml:space="preserve"> </w:instrText>
      </w:r>
      <w:r w:rsidRPr="003E2891">
        <w:rPr>
          <w:rStyle w:val="af7"/>
          <w:rFonts w:eastAsia="Guttman Hodes" w:hint="cs"/>
        </w:rPr>
        <w:instrText>REF</w:instrText>
      </w:r>
      <w:r w:rsidRPr="003E2891">
        <w:rPr>
          <w:rStyle w:val="af7"/>
          <w:rFonts w:eastAsia="Guttman Hodes" w:hint="cs"/>
          <w:rtl/>
        </w:rPr>
        <w:instrText xml:space="preserve"> _</w:instrText>
      </w:r>
      <w:r w:rsidRPr="003E2891">
        <w:rPr>
          <w:rStyle w:val="af7"/>
          <w:rFonts w:eastAsia="Guttman Hodes" w:hint="cs"/>
        </w:rPr>
        <w:instrText>Ref523254824 \r \h</w:instrText>
      </w:r>
      <w:r w:rsidRPr="003E289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3E2891">
        <w:rPr>
          <w:rStyle w:val="af7"/>
          <w:rFonts w:eastAsia="Guttman Hodes"/>
          <w:rtl/>
        </w:rPr>
      </w:r>
      <w:r w:rsidRPr="003E2891">
        <w:rPr>
          <w:rStyle w:val="af7"/>
          <w:rFonts w:eastAsia="Guttman Hodes"/>
          <w:rtl/>
        </w:rPr>
        <w:fldChar w:fldCharType="separate"/>
      </w:r>
      <w:r w:rsidR="00345400">
        <w:rPr>
          <w:rStyle w:val="af7"/>
          <w:rFonts w:eastAsia="Guttman Hodes"/>
          <w:cs/>
        </w:rPr>
        <w:t>‎</w:t>
      </w:r>
      <w:r w:rsidR="00345400">
        <w:rPr>
          <w:rStyle w:val="af7"/>
          <w:rFonts w:eastAsia="Guttman Hodes"/>
          <w:rtl/>
        </w:rPr>
        <w:t>פה)</w:t>
      </w:r>
      <w:r w:rsidRPr="003E2891">
        <w:rPr>
          <w:rStyle w:val="af7"/>
          <w:rFonts w:eastAsia="Guttman Hodes"/>
          <w:rtl/>
        </w:rPr>
        <w:fldChar w:fldCharType="end"/>
      </w:r>
      <w:r>
        <w:rPr>
          <w:rStyle w:val="af9"/>
          <w:rFonts w:hint="cs"/>
          <w:rtl/>
        </w:rPr>
        <w:t>.</w:t>
      </w:r>
      <w:r w:rsidRPr="003E2891">
        <w:rPr>
          <w:rStyle w:val="af9"/>
          <w:rFonts w:hint="cs"/>
          <w:rtl/>
        </w:rPr>
        <w:t xml:space="preserve"> </w:t>
      </w:r>
      <w:r>
        <w:rPr>
          <w:rFonts w:hint="cs"/>
          <w:rtl/>
        </w:rPr>
        <w:t xml:space="preserve">וביאר </w:t>
      </w:r>
      <w:r>
        <w:rPr>
          <w:rStyle w:val="af9"/>
          <w:rtl/>
        </w:rPr>
        <w:t xml:space="preserve">הרא"ש </w:t>
      </w:r>
      <w:r w:rsidRPr="006C6B00">
        <w:rPr>
          <w:rStyle w:val="af7"/>
          <w:rFonts w:eastAsia="Guttman Hodes" w:hint="cs"/>
          <w:rtl/>
        </w:rPr>
        <w:t>(סי' ט"ו)</w:t>
      </w:r>
      <w:r>
        <w:rPr>
          <w:rFonts w:hint="cs"/>
          <w:rtl/>
        </w:rPr>
        <w:t xml:space="preserve"> דאחר שחיטה אחת אין ראיה שצריך לבדוק, </w:t>
      </w:r>
      <w:r w:rsidRPr="00D602DA">
        <w:rPr>
          <w:rFonts w:hint="cs"/>
          <w:rtl/>
        </w:rPr>
        <w:t xml:space="preserve">וכתב </w:t>
      </w:r>
      <w:r w:rsidRPr="00D602DA">
        <w:rPr>
          <w:rStyle w:val="af9"/>
          <w:rFonts w:hint="cs"/>
          <w:rtl/>
        </w:rPr>
        <w:t>הרא"ש</w:t>
      </w:r>
      <w:r w:rsidRPr="00D602DA">
        <w:rPr>
          <w:rFonts w:hint="cs"/>
          <w:rtl/>
        </w:rPr>
        <w:t xml:space="preserve"> </w:t>
      </w:r>
      <w:r>
        <w:rPr>
          <w:rFonts w:hint="cs"/>
          <w:rtl/>
        </w:rPr>
        <w:t xml:space="preserve">דכן מבואר בדברי </w:t>
      </w:r>
      <w:r>
        <w:rPr>
          <w:rStyle w:val="af9"/>
          <w:rtl/>
        </w:rPr>
        <w:t>העיטור</w:t>
      </w:r>
      <w:r>
        <w:rPr>
          <w:rFonts w:hint="cs"/>
          <w:rtl/>
        </w:rPr>
        <w:t xml:space="preserve"> </w:t>
      </w:r>
      <w:r w:rsidRPr="006C6B00">
        <w:rPr>
          <w:rStyle w:val="af7"/>
          <w:rFonts w:eastAsia="Guttman Hodes" w:hint="cs"/>
          <w:rtl/>
        </w:rPr>
        <w:t>(שער ב' הלכות שחיטה ח"ב, נד' בקובץ שיטת קמאי חולין ח"א עמ' ר"ג)</w:t>
      </w:r>
      <w:r>
        <w:rPr>
          <w:rFonts w:hint="cs"/>
          <w:rtl/>
        </w:rPr>
        <w:t xml:space="preserve">. </w:t>
      </w:r>
      <w:r w:rsidRPr="003E2891">
        <w:rPr>
          <w:rFonts w:hint="cs"/>
          <w:rtl/>
        </w:rPr>
        <w:t xml:space="preserve">ועי' במה שנחלקו </w:t>
      </w:r>
      <w:r w:rsidRPr="003E2891">
        <w:rPr>
          <w:rStyle w:val="af9"/>
          <w:rFonts w:hint="cs"/>
          <w:rtl/>
        </w:rPr>
        <w:t>הרמב"ן</w:t>
      </w:r>
      <w:r w:rsidRPr="003E2891">
        <w:rPr>
          <w:rFonts w:hint="cs"/>
          <w:rtl/>
        </w:rPr>
        <w:t xml:space="preserve"> </w:t>
      </w:r>
      <w:r w:rsidRPr="003E2891">
        <w:rPr>
          <w:rStyle w:val="af7"/>
          <w:rFonts w:eastAsia="Guttman Hodes" w:hint="cs"/>
          <w:rtl/>
        </w:rPr>
        <w:t xml:space="preserve">(עי' אות </w:t>
      </w:r>
      <w:r w:rsidRPr="003E2891">
        <w:rPr>
          <w:rStyle w:val="af7"/>
          <w:rFonts w:eastAsia="Guttman Hodes"/>
          <w:rtl/>
        </w:rPr>
        <w:fldChar w:fldCharType="begin"/>
      </w:r>
      <w:r w:rsidRPr="003E2891">
        <w:rPr>
          <w:rStyle w:val="af7"/>
          <w:rFonts w:eastAsia="Guttman Hodes"/>
          <w:rtl/>
        </w:rPr>
        <w:instrText xml:space="preserve"> </w:instrText>
      </w:r>
      <w:r w:rsidRPr="003E2891">
        <w:rPr>
          <w:rStyle w:val="af7"/>
          <w:rFonts w:eastAsia="Guttman Hodes" w:hint="cs"/>
        </w:rPr>
        <w:instrText>REF</w:instrText>
      </w:r>
      <w:r w:rsidRPr="003E2891">
        <w:rPr>
          <w:rStyle w:val="af7"/>
          <w:rFonts w:eastAsia="Guttman Hodes" w:hint="cs"/>
          <w:rtl/>
        </w:rPr>
        <w:instrText xml:space="preserve"> _</w:instrText>
      </w:r>
      <w:r w:rsidRPr="003E2891">
        <w:rPr>
          <w:rStyle w:val="af7"/>
          <w:rFonts w:eastAsia="Guttman Hodes" w:hint="cs"/>
        </w:rPr>
        <w:instrText>Ref523686635 \r \h</w:instrText>
      </w:r>
      <w:r w:rsidRPr="003E289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3E2891">
        <w:rPr>
          <w:rStyle w:val="af7"/>
          <w:rFonts w:eastAsia="Guttman Hodes"/>
          <w:rtl/>
        </w:rPr>
      </w:r>
      <w:r w:rsidRPr="003E2891">
        <w:rPr>
          <w:rStyle w:val="af7"/>
          <w:rFonts w:eastAsia="Guttman Hodes"/>
          <w:rtl/>
        </w:rPr>
        <w:fldChar w:fldCharType="separate"/>
      </w:r>
      <w:r w:rsidR="00345400">
        <w:rPr>
          <w:rStyle w:val="af7"/>
          <w:rFonts w:eastAsia="Guttman Hodes"/>
          <w:cs/>
        </w:rPr>
        <w:t>‎</w:t>
      </w:r>
      <w:r w:rsidR="00345400">
        <w:rPr>
          <w:rStyle w:val="af7"/>
          <w:rFonts w:eastAsia="Guttman Hodes"/>
          <w:rtl/>
        </w:rPr>
        <w:t>עג)</w:t>
      </w:r>
      <w:r w:rsidRPr="003E2891">
        <w:rPr>
          <w:rStyle w:val="af7"/>
          <w:rFonts w:eastAsia="Guttman Hodes"/>
          <w:rtl/>
        </w:rPr>
        <w:fldChar w:fldCharType="end"/>
      </w:r>
      <w:r w:rsidRPr="003E2891">
        <w:rPr>
          <w:rStyle w:val="af7"/>
          <w:rFonts w:eastAsia="Guttman Hodes" w:hint="cs"/>
          <w:rtl/>
        </w:rPr>
        <w:t xml:space="preserve"> </w:t>
      </w:r>
      <w:r w:rsidRPr="003E2891">
        <w:rPr>
          <w:rStyle w:val="af9"/>
          <w:rFonts w:hint="cs"/>
          <w:rtl/>
        </w:rPr>
        <w:t>והרא"ש</w:t>
      </w:r>
      <w:r w:rsidRPr="003E2891">
        <w:rPr>
          <w:rFonts w:hint="cs"/>
          <w:rtl/>
        </w:rPr>
        <w:t xml:space="preserve"> </w:t>
      </w:r>
      <w:r w:rsidRPr="003E2891">
        <w:rPr>
          <w:rStyle w:val="af7"/>
          <w:rFonts w:eastAsia="Guttman Hodes" w:hint="cs"/>
          <w:rtl/>
        </w:rPr>
        <w:t xml:space="preserve">(עי' אות </w:t>
      </w:r>
      <w:r w:rsidRPr="003E2891">
        <w:rPr>
          <w:rStyle w:val="af7"/>
          <w:rFonts w:eastAsia="Guttman Hodes"/>
          <w:rtl/>
        </w:rPr>
        <w:fldChar w:fldCharType="begin"/>
      </w:r>
      <w:r w:rsidRPr="003E2891">
        <w:rPr>
          <w:rStyle w:val="af7"/>
          <w:rFonts w:eastAsia="Guttman Hodes"/>
          <w:rtl/>
        </w:rPr>
        <w:instrText xml:space="preserve"> </w:instrText>
      </w:r>
      <w:r w:rsidRPr="003E2891">
        <w:rPr>
          <w:rStyle w:val="af7"/>
          <w:rFonts w:eastAsia="Guttman Hodes" w:hint="cs"/>
        </w:rPr>
        <w:instrText>REF</w:instrText>
      </w:r>
      <w:r w:rsidRPr="003E2891">
        <w:rPr>
          <w:rStyle w:val="af7"/>
          <w:rFonts w:eastAsia="Guttman Hodes" w:hint="cs"/>
          <w:rtl/>
        </w:rPr>
        <w:instrText xml:space="preserve"> _</w:instrText>
      </w:r>
      <w:r w:rsidRPr="003E2891">
        <w:rPr>
          <w:rStyle w:val="af7"/>
          <w:rFonts w:eastAsia="Guttman Hodes" w:hint="cs"/>
        </w:rPr>
        <w:instrText>Ref523686750 \r \h</w:instrText>
      </w:r>
      <w:r w:rsidRPr="003E289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3E2891">
        <w:rPr>
          <w:rStyle w:val="af7"/>
          <w:rFonts w:eastAsia="Guttman Hodes"/>
          <w:rtl/>
        </w:rPr>
      </w:r>
      <w:r w:rsidRPr="003E2891">
        <w:rPr>
          <w:rStyle w:val="af7"/>
          <w:rFonts w:eastAsia="Guttman Hodes"/>
          <w:rtl/>
        </w:rPr>
        <w:fldChar w:fldCharType="separate"/>
      </w:r>
      <w:r w:rsidR="00345400">
        <w:rPr>
          <w:rStyle w:val="af7"/>
          <w:rFonts w:eastAsia="Guttman Hodes"/>
          <w:cs/>
        </w:rPr>
        <w:t>‎</w:t>
      </w:r>
      <w:r w:rsidR="00345400">
        <w:rPr>
          <w:rStyle w:val="af7"/>
          <w:rFonts w:eastAsia="Guttman Hodes"/>
          <w:rtl/>
        </w:rPr>
        <w:t>עא)</w:t>
      </w:r>
      <w:r w:rsidRPr="003E2891">
        <w:rPr>
          <w:rStyle w:val="af7"/>
          <w:rFonts w:eastAsia="Guttman Hodes"/>
          <w:rtl/>
        </w:rPr>
        <w:fldChar w:fldCharType="end"/>
      </w:r>
      <w:r w:rsidRPr="003E2891">
        <w:rPr>
          <w:rFonts w:hint="cs"/>
          <w:rtl/>
        </w:rPr>
        <w:t xml:space="preserve"> בחיוב בדיקה היכא דאיכא לברורי.</w:t>
      </w:r>
      <w:bookmarkEnd w:id="3057"/>
    </w:p>
    <w:p w14:paraId="6B12C2EC" w14:textId="77777777" w:rsidR="00FC47D4" w:rsidRPr="003E2891" w:rsidRDefault="00FC47D4" w:rsidP="006D6D32">
      <w:pPr>
        <w:pStyle w:val="a3"/>
        <w:rPr>
          <w:rtl/>
        </w:rPr>
      </w:pPr>
      <w:bookmarkStart w:id="3058" w:name="_Toc523697894"/>
      <w:bookmarkStart w:id="3059" w:name="_Toc523735676"/>
      <w:bookmarkStart w:id="3060" w:name="_Toc526248914"/>
      <w:bookmarkStart w:id="3061" w:name="_Toc526409444"/>
      <w:bookmarkStart w:id="3062" w:name="_Toc526939085"/>
      <w:bookmarkStart w:id="3063" w:name="_Toc527060217"/>
      <w:bookmarkStart w:id="3064" w:name="_Toc527060365"/>
      <w:bookmarkStart w:id="3065" w:name="_Toc527100742"/>
      <w:bookmarkStart w:id="3066" w:name="_Toc528226985"/>
      <w:bookmarkStart w:id="3067" w:name="_Toc528227149"/>
      <w:bookmarkStart w:id="3068" w:name="_Toc528227311"/>
      <w:bookmarkStart w:id="3069" w:name="_Toc19389397"/>
      <w:bookmarkStart w:id="3070" w:name="_Toc19392894"/>
      <w:r w:rsidRPr="003E2891">
        <w:rPr>
          <w:rFonts w:hint="cs"/>
          <w:rtl/>
        </w:rPr>
        <w:t>דברי המאירי דאחר השחיטה א"צ לבדוק דמעמידים את הסכין בחזקת בדוק</w:t>
      </w:r>
      <w:bookmarkEnd w:id="3058"/>
      <w:bookmarkEnd w:id="3059"/>
      <w:bookmarkEnd w:id="3060"/>
      <w:bookmarkEnd w:id="3061"/>
      <w:bookmarkEnd w:id="3062"/>
      <w:bookmarkEnd w:id="3063"/>
      <w:bookmarkEnd w:id="3064"/>
      <w:bookmarkEnd w:id="3065"/>
      <w:bookmarkEnd w:id="3066"/>
      <w:bookmarkEnd w:id="3067"/>
      <w:bookmarkEnd w:id="3068"/>
      <w:bookmarkEnd w:id="3069"/>
      <w:bookmarkEnd w:id="3070"/>
    </w:p>
    <w:p w14:paraId="49CCB9E4" w14:textId="77777777" w:rsidR="00FC47D4" w:rsidRDefault="00FC47D4" w:rsidP="00223668">
      <w:pPr>
        <w:pStyle w:val="a0"/>
        <w:rPr>
          <w:rtl/>
        </w:rPr>
      </w:pPr>
      <w:bookmarkStart w:id="3071" w:name="_Ref523245694"/>
      <w:r w:rsidRPr="003E2891">
        <w:rPr>
          <w:rFonts w:hint="cs"/>
          <w:rtl/>
        </w:rPr>
        <w:t xml:space="preserve">וכ"כ </w:t>
      </w:r>
      <w:r w:rsidRPr="003E2891">
        <w:rPr>
          <w:rStyle w:val="af9"/>
          <w:rFonts w:hint="cs"/>
          <w:rtl/>
        </w:rPr>
        <w:t>המאירי</w:t>
      </w:r>
      <w:r w:rsidRPr="003E2891">
        <w:rPr>
          <w:rFonts w:hint="cs"/>
          <w:rtl/>
        </w:rPr>
        <w:t xml:space="preserve"> </w:t>
      </w:r>
      <w:r w:rsidRPr="003E2891">
        <w:rPr>
          <w:rStyle w:val="af7"/>
          <w:rFonts w:eastAsia="Guttman Hodes" w:hint="cs"/>
          <w:rtl/>
        </w:rPr>
        <w:t>(ד"ה בדק)</w:t>
      </w:r>
      <w:r w:rsidRPr="003E2891">
        <w:rPr>
          <w:rFonts w:hint="cs"/>
          <w:rtl/>
        </w:rPr>
        <w:t xml:space="preserve"> דמדינא א"צ לבדוק אחר השחיטה, אף אחר שחיטת הרבה בהמות, דמעמידים את הסכין על חזקתו, וכתב </w:t>
      </w:r>
      <w:r w:rsidRPr="003E2891">
        <w:rPr>
          <w:rStyle w:val="af9"/>
          <w:rFonts w:hint="cs"/>
          <w:rtl/>
        </w:rPr>
        <w:t>המאירי</w:t>
      </w:r>
      <w:r w:rsidRPr="003E2891">
        <w:rPr>
          <w:rFonts w:hint="cs"/>
          <w:rtl/>
        </w:rPr>
        <w:t xml:space="preserve"> דכן מוכח מדברי רב כהנא</w:t>
      </w:r>
      <w:r w:rsidRPr="003E2891">
        <w:rPr>
          <w:rStyle w:val="af7"/>
          <w:rFonts w:eastAsia="Guttman Hodes" w:hint="cs"/>
          <w:rtl/>
        </w:rPr>
        <w:t xml:space="preserve"> (י:) </w:t>
      </w:r>
      <w:r w:rsidRPr="003E2891">
        <w:rPr>
          <w:rFonts w:hint="cs"/>
          <w:rtl/>
        </w:rPr>
        <w:t>דאמר שצריך בדיקה בין שחיטה לשחיטה, ולא אמר שצריך בדיקה אחר כל השחיטות, ומבואר דא"צ לבדוק אחר השחיטה האחרונה.</w:t>
      </w:r>
      <w:bookmarkEnd w:id="3071"/>
    </w:p>
    <w:p w14:paraId="4E0437DE" w14:textId="77777777" w:rsidR="00FC47D4" w:rsidRPr="00A26974" w:rsidRDefault="00FC47D4" w:rsidP="006D6D32">
      <w:pPr>
        <w:pStyle w:val="a3"/>
        <w:rPr>
          <w:rtl/>
        </w:rPr>
      </w:pPr>
      <w:bookmarkStart w:id="3072" w:name="_Toc526939086"/>
      <w:bookmarkStart w:id="3073" w:name="_Toc527060218"/>
      <w:bookmarkStart w:id="3074" w:name="_Toc527060366"/>
      <w:bookmarkStart w:id="3075" w:name="_Toc527100743"/>
      <w:bookmarkStart w:id="3076" w:name="_Toc528226986"/>
      <w:bookmarkStart w:id="3077" w:name="_Toc528227150"/>
      <w:bookmarkStart w:id="3078" w:name="_Toc528227312"/>
      <w:bookmarkStart w:id="3079" w:name="_Toc19389398"/>
      <w:bookmarkStart w:id="3080" w:name="_Toc19392895"/>
      <w:r>
        <w:rPr>
          <w:rFonts w:hint="cs"/>
          <w:rtl/>
        </w:rPr>
        <w:t>דברי הגרעק"א דלסוברים שצריך לבדוק הוא כיון שיש חזקת איסור ואף בס"ס צריך לברר</w:t>
      </w:r>
      <w:bookmarkEnd w:id="3072"/>
      <w:bookmarkEnd w:id="3073"/>
      <w:bookmarkEnd w:id="3074"/>
      <w:bookmarkEnd w:id="3075"/>
      <w:bookmarkEnd w:id="3076"/>
      <w:bookmarkEnd w:id="3077"/>
      <w:bookmarkEnd w:id="3078"/>
      <w:bookmarkEnd w:id="3079"/>
      <w:bookmarkEnd w:id="3080"/>
    </w:p>
    <w:p w14:paraId="12E029E6" w14:textId="77777777" w:rsidR="00FC47D4" w:rsidRDefault="00FC47D4" w:rsidP="00223668">
      <w:pPr>
        <w:pStyle w:val="a0"/>
        <w:rPr>
          <w:rtl/>
        </w:rPr>
      </w:pPr>
      <w:r>
        <w:rPr>
          <w:rStyle w:val="af9"/>
          <w:rFonts w:hint="cs"/>
          <w:rtl/>
        </w:rPr>
        <w:t>ו</w:t>
      </w:r>
      <w:r w:rsidRPr="00D377EA">
        <w:rPr>
          <w:rStyle w:val="af9"/>
          <w:rFonts w:hint="cs"/>
          <w:rtl/>
        </w:rPr>
        <w:t>השו"ע</w:t>
      </w:r>
      <w:r w:rsidRPr="00D377EA">
        <w:rPr>
          <w:rFonts w:hint="cs"/>
          <w:rtl/>
        </w:rPr>
        <w:t xml:space="preserve"> </w:t>
      </w:r>
      <w:r w:rsidRPr="00D377EA">
        <w:rPr>
          <w:rStyle w:val="af7"/>
          <w:rFonts w:eastAsia="Guttman Hodes" w:hint="cs"/>
          <w:rtl/>
        </w:rPr>
        <w:t xml:space="preserve">(י"ח י"ב) </w:t>
      </w:r>
      <w:r>
        <w:rPr>
          <w:rFonts w:hint="cs"/>
          <w:rtl/>
        </w:rPr>
        <w:t xml:space="preserve">פסק </w:t>
      </w:r>
      <w:r w:rsidRPr="00D377EA">
        <w:rPr>
          <w:rFonts w:hint="cs"/>
          <w:rtl/>
        </w:rPr>
        <w:t>שצריך לבדוק אחר השחיטה,</w:t>
      </w:r>
      <w:r>
        <w:rPr>
          <w:rFonts w:hint="cs"/>
          <w:rtl/>
        </w:rPr>
        <w:t xml:space="preserve"> ו</w:t>
      </w:r>
      <w:r w:rsidRPr="00D377EA">
        <w:rPr>
          <w:rFonts w:hint="cs"/>
          <w:rtl/>
        </w:rPr>
        <w:t xml:space="preserve">הקשה </w:t>
      </w:r>
      <w:r w:rsidRPr="00D377EA">
        <w:rPr>
          <w:rStyle w:val="af9"/>
          <w:rFonts w:hint="cs"/>
          <w:rtl/>
        </w:rPr>
        <w:t>הגרעק"א</w:t>
      </w:r>
      <w:r w:rsidRPr="00D377EA">
        <w:rPr>
          <w:rFonts w:hint="cs"/>
          <w:rtl/>
        </w:rPr>
        <w:t xml:space="preserve"> </w:t>
      </w:r>
      <w:r w:rsidRPr="00D377EA">
        <w:rPr>
          <w:rStyle w:val="af7"/>
          <w:rFonts w:eastAsia="Guttman Hodes" w:hint="cs"/>
          <w:rtl/>
        </w:rPr>
        <w:t>(סי' י"ח על השו"ע סעיף י"ב)</w:t>
      </w:r>
      <w:r w:rsidRPr="00D377EA">
        <w:rPr>
          <w:rFonts w:hint="cs"/>
          <w:rtl/>
        </w:rPr>
        <w:t xml:space="preserve"> דאמאי חיישינן שמא נפגם הסכין, הרי הוא ספק ספיקא, דשמא נפגם שמא לא נפגם, ואף את"ל דנפגם שמא נפגם במפרקת ולא בעור, וקיי"ל </w:t>
      </w:r>
      <w:r w:rsidRPr="00D377EA">
        <w:rPr>
          <w:rStyle w:val="af7"/>
          <w:rFonts w:eastAsia="Guttman Hodes" w:hint="cs"/>
          <w:rtl/>
        </w:rPr>
        <w:t>(רמ"א ק"י ט')</w:t>
      </w:r>
      <w:r w:rsidRPr="00D377EA">
        <w:rPr>
          <w:rFonts w:hint="cs"/>
          <w:rtl/>
        </w:rPr>
        <w:t xml:space="preserve"> דבספק ספי</w:t>
      </w:r>
      <w:r>
        <w:rPr>
          <w:rFonts w:hint="cs"/>
          <w:rtl/>
        </w:rPr>
        <w:t>קא א"צ לברר אף במקום שאפשר לברר</w:t>
      </w:r>
      <w:r w:rsidRPr="00D377EA">
        <w:rPr>
          <w:rFonts w:hint="cs"/>
          <w:rtl/>
        </w:rPr>
        <w:t xml:space="preserve">. </w:t>
      </w:r>
      <w:r w:rsidRPr="00D377EA">
        <w:rPr>
          <w:rStyle w:val="afb"/>
          <w:rFonts w:hint="cs"/>
          <w:rtl/>
        </w:rPr>
        <w:t>[ואף לדעת הסוברים שצריך לברר, זהו רק כשב' הספיקות יתבררו, ואילו הכא א"א לברר אם נפגם במפרקת].</w:t>
      </w:r>
      <w:r w:rsidRPr="00D377EA">
        <w:rPr>
          <w:rFonts w:hint="cs"/>
          <w:rtl/>
        </w:rPr>
        <w:t xml:space="preserve"> ותירץ </w:t>
      </w:r>
      <w:r w:rsidRPr="00D377EA">
        <w:rPr>
          <w:rStyle w:val="af9"/>
          <w:rFonts w:hint="cs"/>
          <w:rtl/>
        </w:rPr>
        <w:t>הגרעק"א</w:t>
      </w:r>
      <w:r w:rsidRPr="00D377EA">
        <w:rPr>
          <w:rFonts w:hint="cs"/>
          <w:rtl/>
        </w:rPr>
        <w:t xml:space="preserve"> </w:t>
      </w:r>
      <w:r>
        <w:rPr>
          <w:rFonts w:hint="cs"/>
          <w:rtl/>
        </w:rPr>
        <w:t xml:space="preserve">דכיון </w:t>
      </w:r>
      <w:r w:rsidRPr="003A51B4">
        <w:rPr>
          <w:rFonts w:hint="cs"/>
          <w:rtl/>
        </w:rPr>
        <w:t>שהבהמה</w:t>
      </w:r>
      <w:r>
        <w:rPr>
          <w:rFonts w:hint="cs"/>
          <w:rtl/>
        </w:rPr>
        <w:t xml:space="preserve"> </w:t>
      </w:r>
      <w:r w:rsidRPr="003A51B4">
        <w:rPr>
          <w:rFonts w:hint="cs"/>
          <w:rtl/>
        </w:rPr>
        <w:t>בחזקת</w:t>
      </w:r>
      <w:r>
        <w:rPr>
          <w:rFonts w:hint="cs"/>
          <w:rtl/>
        </w:rPr>
        <w:t xml:space="preserve"> </w:t>
      </w:r>
      <w:r w:rsidRPr="003A51B4">
        <w:rPr>
          <w:rFonts w:hint="cs"/>
          <w:rtl/>
        </w:rPr>
        <w:t>איסור</w:t>
      </w:r>
      <w:r>
        <w:rPr>
          <w:rFonts w:hint="cs"/>
          <w:rtl/>
        </w:rPr>
        <w:t xml:space="preserve"> </w:t>
      </w:r>
      <w:r w:rsidRPr="003A51B4">
        <w:rPr>
          <w:rFonts w:hint="cs"/>
          <w:rtl/>
        </w:rPr>
        <w:t>אינו זבוח, צריך לברר</w:t>
      </w:r>
      <w:r w:rsidRPr="00D377EA">
        <w:rPr>
          <w:rFonts w:hint="cs"/>
          <w:rtl/>
        </w:rPr>
        <w:t xml:space="preserve"> אף בספק ספיקא.</w:t>
      </w:r>
    </w:p>
    <w:p w14:paraId="3CB425C3" w14:textId="77777777" w:rsidR="00FC47D4" w:rsidRDefault="00FC47D4" w:rsidP="006D6D32">
      <w:pPr>
        <w:pStyle w:val="afe"/>
        <w:rPr>
          <w:rtl/>
        </w:rPr>
      </w:pPr>
      <w:bookmarkStart w:id="3081" w:name="_Toc528226987"/>
      <w:bookmarkStart w:id="3082" w:name="_Toc528227151"/>
      <w:bookmarkStart w:id="3083" w:name="_Toc528227313"/>
      <w:bookmarkStart w:id="3084" w:name="_Toc19435326"/>
      <w:bookmarkStart w:id="3085" w:name="_Toc20080664"/>
      <w:r>
        <w:rPr>
          <w:rFonts w:hint="cs"/>
          <w:rtl/>
        </w:rPr>
        <w:t>בביאור החזקת איסור ל</w:t>
      </w:r>
      <w:r>
        <w:rPr>
          <w:rtl/>
        </w:rPr>
        <w:t>רב</w:t>
      </w:r>
      <w:r>
        <w:rPr>
          <w:rFonts w:hint="cs"/>
          <w:rtl/>
        </w:rPr>
        <w:t xml:space="preserve"> הונא</w:t>
      </w:r>
      <w:bookmarkEnd w:id="3081"/>
      <w:bookmarkEnd w:id="3082"/>
      <w:bookmarkEnd w:id="3083"/>
      <w:bookmarkEnd w:id="3084"/>
      <w:bookmarkEnd w:id="3085"/>
    </w:p>
    <w:p w14:paraId="66196F12" w14:textId="77777777" w:rsidR="00FC47D4" w:rsidRDefault="00FC47D4" w:rsidP="00BF39B2">
      <w:pPr>
        <w:pStyle w:val="1"/>
        <w:rPr>
          <w:rtl/>
        </w:rPr>
      </w:pPr>
      <w:bookmarkStart w:id="3086" w:name="_Toc528226988"/>
      <w:bookmarkStart w:id="3087" w:name="_Toc528227152"/>
      <w:bookmarkStart w:id="3088" w:name="_Toc528227314"/>
      <w:bookmarkStart w:id="3089" w:name="_Toc19389399"/>
      <w:bookmarkStart w:id="3090" w:name="_Toc19392896"/>
      <w:r>
        <w:rPr>
          <w:rFonts w:hint="cs"/>
          <w:rtl/>
        </w:rPr>
        <w:t>בדברי הרמב"ן דהבהמה בחזקת איסור</w:t>
      </w:r>
      <w:bookmarkEnd w:id="3086"/>
      <w:bookmarkEnd w:id="3087"/>
      <w:bookmarkEnd w:id="3088"/>
      <w:bookmarkEnd w:id="3089"/>
      <w:bookmarkEnd w:id="3090"/>
    </w:p>
    <w:p w14:paraId="78C6FF72" w14:textId="77777777" w:rsidR="00FC47D4" w:rsidRDefault="00FC47D4" w:rsidP="006D6D32">
      <w:pPr>
        <w:pStyle w:val="a3"/>
        <w:rPr>
          <w:rtl/>
        </w:rPr>
      </w:pPr>
      <w:bookmarkStart w:id="3091" w:name="_Toc528226989"/>
      <w:bookmarkStart w:id="3092" w:name="_Toc528227153"/>
      <w:bookmarkStart w:id="3093" w:name="_Toc528227315"/>
      <w:bookmarkStart w:id="3094" w:name="_Toc19389400"/>
      <w:bookmarkStart w:id="3095" w:name="_Toc19392897"/>
      <w:r>
        <w:rPr>
          <w:rFonts w:hint="cs"/>
          <w:rtl/>
        </w:rPr>
        <w:t>דברי הרמב"ן דמעמידים בחזקת איסור דספק בסכין הוא כספק בסימנים</w:t>
      </w:r>
      <w:bookmarkEnd w:id="3091"/>
      <w:bookmarkEnd w:id="3092"/>
      <w:bookmarkEnd w:id="3093"/>
      <w:bookmarkEnd w:id="3094"/>
      <w:bookmarkEnd w:id="3095"/>
      <w:r>
        <w:rPr>
          <w:rFonts w:hint="cs"/>
          <w:rtl/>
        </w:rPr>
        <w:t xml:space="preserve"> </w:t>
      </w:r>
    </w:p>
    <w:p w14:paraId="0542A690" w14:textId="77777777" w:rsidR="00FC47D4" w:rsidRDefault="00FC47D4" w:rsidP="00223668">
      <w:pPr>
        <w:pStyle w:val="a0"/>
        <w:rPr>
          <w:rtl/>
        </w:rPr>
      </w:pPr>
      <w:r>
        <w:rPr>
          <w:rFonts w:hint="cs"/>
          <w:rtl/>
        </w:rPr>
        <w:t xml:space="preserve">כתב </w:t>
      </w:r>
      <w:r w:rsidRPr="00811DAB">
        <w:rPr>
          <w:rStyle w:val="af9"/>
          <w:rFonts w:hint="cs"/>
          <w:rtl/>
        </w:rPr>
        <w:t>הרמב"ן</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Ref523072582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4D6EAC">
        <w:rPr>
          <w:rStyle w:val="af7"/>
          <w:rFonts w:eastAsia="Guttman Hodes"/>
          <w:rtl/>
        </w:rPr>
        <w:fldChar w:fldCharType="end"/>
      </w:r>
      <w:r>
        <w:rPr>
          <w:rFonts w:hint="cs"/>
          <w:rtl/>
        </w:rPr>
        <w:t xml:space="preserve"> דבדיקת הסכין היא כבדיקת הסימנים, וכל שיש ספק אם שחט בסכין פגום, חשיב כספק בשחיטה, וכדאמר רב הונא </w:t>
      </w:r>
      <w:r w:rsidRPr="004D6EAC">
        <w:rPr>
          <w:rStyle w:val="af7"/>
          <w:rFonts w:eastAsia="Guttman Hodes" w:hint="cs"/>
          <w:rtl/>
        </w:rPr>
        <w:t>(ט.)</w:t>
      </w:r>
      <w:r>
        <w:rPr>
          <w:rFonts w:hint="cs"/>
          <w:rtl/>
        </w:rPr>
        <w:t xml:space="preserve"> בספק בשחיטת הסימנים, דהבהמה בחזקת איסור, וע"ע בדברי </w:t>
      </w:r>
      <w:r w:rsidRPr="00811DAB">
        <w:rPr>
          <w:rStyle w:val="af9"/>
          <w:rFonts w:hint="cs"/>
          <w:rtl/>
        </w:rPr>
        <w:t>הכס"מ</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Ref527231952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צה)</w:t>
      </w:r>
      <w:r w:rsidRPr="004D6EAC">
        <w:rPr>
          <w:rStyle w:val="af7"/>
          <w:rFonts w:eastAsia="Guttman Hodes"/>
          <w:rtl/>
        </w:rPr>
        <w:fldChar w:fldCharType="end"/>
      </w:r>
      <w:r>
        <w:rPr>
          <w:rFonts w:hint="cs"/>
          <w:rtl/>
        </w:rPr>
        <w:t xml:space="preserve"> בדעת </w:t>
      </w:r>
      <w:r w:rsidRPr="00811DAB">
        <w:rPr>
          <w:rStyle w:val="af9"/>
          <w:rFonts w:hint="cs"/>
          <w:rtl/>
        </w:rPr>
        <w:t>הרמב"ם</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Ref523733534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4D6EAC">
        <w:rPr>
          <w:rStyle w:val="af7"/>
          <w:rFonts w:eastAsia="Guttman Hodes"/>
          <w:rtl/>
        </w:rPr>
        <w:fldChar w:fldCharType="end"/>
      </w:r>
      <w:r>
        <w:rPr>
          <w:rFonts w:hint="cs"/>
          <w:rtl/>
        </w:rPr>
        <w:t>.</w:t>
      </w:r>
    </w:p>
    <w:p w14:paraId="68FC9663" w14:textId="77777777" w:rsidR="00FC47D4" w:rsidRPr="00E97FCF" w:rsidRDefault="00FC47D4" w:rsidP="006D6D32">
      <w:pPr>
        <w:pStyle w:val="a3"/>
      </w:pPr>
      <w:bookmarkStart w:id="3096" w:name="_Toc528226990"/>
      <w:bookmarkStart w:id="3097" w:name="_Toc528227154"/>
      <w:bookmarkStart w:id="3098" w:name="_Toc528227316"/>
      <w:bookmarkStart w:id="3099" w:name="_Toc19389401"/>
      <w:bookmarkStart w:id="3100" w:name="_Toc19392898"/>
      <w:r>
        <w:rPr>
          <w:rFonts w:hint="cs"/>
          <w:rtl/>
        </w:rPr>
        <w:t>ביאור הפנ"י ברמב"ן דא"א לאסור רק מחמת שהעור פוגם בלא החזקת איסור</w:t>
      </w:r>
      <w:bookmarkEnd w:id="3096"/>
      <w:bookmarkEnd w:id="3097"/>
      <w:bookmarkEnd w:id="3098"/>
      <w:bookmarkEnd w:id="3099"/>
      <w:bookmarkEnd w:id="3100"/>
    </w:p>
    <w:p w14:paraId="3D223705" w14:textId="77777777" w:rsidR="00FC47D4" w:rsidRDefault="00FC47D4" w:rsidP="00223668">
      <w:pPr>
        <w:pStyle w:val="a0"/>
        <w:rPr>
          <w:rtl/>
        </w:rPr>
      </w:pPr>
      <w:r>
        <w:rPr>
          <w:rFonts w:hint="cs"/>
          <w:rtl/>
        </w:rPr>
        <w:t xml:space="preserve">וביאר </w:t>
      </w:r>
      <w:r w:rsidRPr="00811DAB">
        <w:rPr>
          <w:rStyle w:val="af9"/>
          <w:rFonts w:hint="cs"/>
          <w:rtl/>
        </w:rPr>
        <w:t>הפנ"י</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Ref523732585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4D6EAC">
        <w:rPr>
          <w:rStyle w:val="af7"/>
          <w:rFonts w:eastAsia="Guttman Hodes"/>
          <w:rtl/>
        </w:rPr>
        <w:fldChar w:fldCharType="end"/>
      </w:r>
      <w:r>
        <w:rPr>
          <w:rFonts w:hint="cs"/>
          <w:rtl/>
        </w:rPr>
        <w:t xml:space="preserve"> בדעת </w:t>
      </w:r>
      <w:r w:rsidRPr="00E97FCF">
        <w:rPr>
          <w:rStyle w:val="af9"/>
          <w:rFonts w:hint="cs"/>
          <w:rtl/>
        </w:rPr>
        <w:t>הרמב"ן</w:t>
      </w:r>
      <w:r>
        <w:rPr>
          <w:rFonts w:hint="cs"/>
          <w:rtl/>
        </w:rPr>
        <w:t xml:space="preserve"> דאסר רב הונא מחמת שהבהמה בחזקת איסור, דא"א לאסור רק מחמת שמצוי שהעור פוגם, דרוב הסכינים אינם נפגמים.</w:t>
      </w:r>
    </w:p>
    <w:p w14:paraId="64A59999" w14:textId="77777777" w:rsidR="00FC47D4" w:rsidRDefault="00FC47D4" w:rsidP="006D6D32">
      <w:pPr>
        <w:pStyle w:val="a3"/>
        <w:rPr>
          <w:rtl/>
        </w:rPr>
      </w:pPr>
      <w:bookmarkStart w:id="3101" w:name="_Toc528226991"/>
      <w:bookmarkStart w:id="3102" w:name="_Toc528227155"/>
      <w:bookmarkStart w:id="3103" w:name="_Toc528227317"/>
      <w:bookmarkStart w:id="3104" w:name="_Toc19389402"/>
      <w:bookmarkStart w:id="3105" w:name="_Toc19392899"/>
      <w:r>
        <w:rPr>
          <w:rFonts w:hint="cs"/>
          <w:rtl/>
        </w:rPr>
        <w:t>ביאור הרשב"א ברמב"ן דע"י חתיכת העור יצא הסכין מחזקת בדוק</w:t>
      </w:r>
      <w:bookmarkEnd w:id="3101"/>
      <w:bookmarkEnd w:id="3102"/>
      <w:bookmarkEnd w:id="3103"/>
      <w:bookmarkEnd w:id="3104"/>
      <w:bookmarkEnd w:id="3105"/>
    </w:p>
    <w:p w14:paraId="40027A2B" w14:textId="77777777" w:rsidR="00FC47D4" w:rsidRDefault="00FC47D4" w:rsidP="00223668">
      <w:pPr>
        <w:pStyle w:val="a0"/>
        <w:rPr>
          <w:rtl/>
        </w:rPr>
      </w:pPr>
      <w:r w:rsidRPr="00197A2A">
        <w:rPr>
          <w:rStyle w:val="af9"/>
          <w:rFonts w:hint="cs"/>
          <w:rtl/>
        </w:rPr>
        <w:t>והרשב"א</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Ref523332135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נא)</w:t>
      </w:r>
      <w:r w:rsidRPr="004D6EAC">
        <w:rPr>
          <w:rStyle w:val="af7"/>
          <w:rFonts w:eastAsia="Guttman Hodes"/>
          <w:rtl/>
        </w:rPr>
        <w:fldChar w:fldCharType="end"/>
      </w:r>
      <w:r>
        <w:rPr>
          <w:rFonts w:hint="cs"/>
          <w:rtl/>
        </w:rPr>
        <w:t xml:space="preserve"> ביאר בדעת </w:t>
      </w:r>
      <w:r w:rsidRPr="00197A2A">
        <w:rPr>
          <w:rStyle w:val="af9"/>
          <w:rFonts w:hint="cs"/>
          <w:rtl/>
        </w:rPr>
        <w:t>הרמב"ן</w:t>
      </w:r>
      <w:r>
        <w:rPr>
          <w:rFonts w:hint="cs"/>
          <w:rtl/>
        </w:rPr>
        <w:t xml:space="preserve"> דלרב הונא העור  מצוי לפגום, ולכן א"א להתיר מכח חזקת הסכין שהוא בדוק, דכיון שחתך את העור לפני שחיטת הסימנים, חשיב שהתעסק בדבר שמצוי לפגום, וביאר </w:t>
      </w:r>
      <w:r w:rsidRPr="00811DAB">
        <w:rPr>
          <w:rStyle w:val="af9"/>
          <w:rFonts w:hint="cs"/>
          <w:rtl/>
        </w:rPr>
        <w:t>הגרעק"א</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Ref523132407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4D6EAC">
        <w:rPr>
          <w:rStyle w:val="af7"/>
          <w:rFonts w:eastAsia="Guttman Hodes"/>
          <w:rtl/>
        </w:rPr>
        <w:fldChar w:fldCharType="end"/>
      </w:r>
      <w:r>
        <w:rPr>
          <w:rFonts w:hint="cs"/>
          <w:rtl/>
        </w:rPr>
        <w:t xml:space="preserve">  דעי"ז יצא הסכין מחזקתו, וכן דעת </w:t>
      </w:r>
      <w:r w:rsidRPr="00197A2A">
        <w:rPr>
          <w:rStyle w:val="af9"/>
          <w:rFonts w:hint="cs"/>
          <w:rtl/>
        </w:rPr>
        <w:t>הר"ן</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Ref527230377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4D6EAC">
        <w:rPr>
          <w:rStyle w:val="af7"/>
          <w:rFonts w:eastAsia="Guttman Hodes"/>
          <w:rtl/>
        </w:rPr>
        <w:fldChar w:fldCharType="end"/>
      </w:r>
      <w:r>
        <w:rPr>
          <w:rFonts w:hint="cs"/>
          <w:rtl/>
        </w:rPr>
        <w:t xml:space="preserve">, וע"ע בדברי </w:t>
      </w:r>
      <w:r w:rsidRPr="00197A2A">
        <w:rPr>
          <w:rStyle w:val="af9"/>
          <w:rFonts w:hint="cs"/>
          <w:rtl/>
        </w:rPr>
        <w:t>הראש יוסף</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Ref523671939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כט)</w:t>
      </w:r>
      <w:r w:rsidRPr="004D6EAC">
        <w:rPr>
          <w:rStyle w:val="af7"/>
          <w:rFonts w:eastAsia="Guttman Hodes"/>
          <w:rtl/>
        </w:rPr>
        <w:fldChar w:fldCharType="end"/>
      </w:r>
      <w:r>
        <w:rPr>
          <w:rFonts w:hint="cs"/>
          <w:rtl/>
        </w:rPr>
        <w:t>.</w:t>
      </w:r>
    </w:p>
    <w:p w14:paraId="3A159991" w14:textId="77777777" w:rsidR="00FC47D4" w:rsidRPr="00D809CB" w:rsidRDefault="00FC47D4" w:rsidP="006D6D32">
      <w:pPr>
        <w:pStyle w:val="a3"/>
        <w:rPr>
          <w:rtl/>
        </w:rPr>
      </w:pPr>
      <w:bookmarkStart w:id="3106" w:name="_Toc525594331"/>
      <w:bookmarkStart w:id="3107" w:name="_Toc526249174"/>
      <w:bookmarkStart w:id="3108" w:name="_Toc526415970"/>
      <w:bookmarkStart w:id="3109" w:name="_Toc526418188"/>
      <w:bookmarkStart w:id="3110" w:name="_Toc528226992"/>
      <w:bookmarkStart w:id="3111" w:name="_Toc528227156"/>
      <w:bookmarkStart w:id="3112" w:name="_Toc528227318"/>
      <w:bookmarkStart w:id="3113" w:name="_Toc19389403"/>
      <w:bookmarkStart w:id="3114" w:name="_Toc19392900"/>
      <w:r w:rsidRPr="00D809CB">
        <w:rPr>
          <w:rFonts w:hint="cs"/>
          <w:rtl/>
        </w:rPr>
        <w:t xml:space="preserve">דברי הפרמ"ג דלרב הונא חזקת הסכין חשיבא כעשויה להשתנות או </w:t>
      </w:r>
      <w:bookmarkEnd w:id="3106"/>
      <w:bookmarkEnd w:id="3107"/>
      <w:bookmarkEnd w:id="3108"/>
      <w:bookmarkEnd w:id="3109"/>
      <w:r w:rsidRPr="00D809CB">
        <w:rPr>
          <w:rFonts w:hint="cs"/>
          <w:rtl/>
        </w:rPr>
        <w:t>דהוא חסר ואתאי</w:t>
      </w:r>
      <w:bookmarkEnd w:id="3110"/>
      <w:bookmarkEnd w:id="3111"/>
      <w:bookmarkEnd w:id="3112"/>
      <w:bookmarkEnd w:id="3113"/>
      <w:bookmarkEnd w:id="3114"/>
    </w:p>
    <w:p w14:paraId="69B11043" w14:textId="77777777" w:rsidR="00FC47D4" w:rsidRPr="00D809CB" w:rsidRDefault="00FC47D4" w:rsidP="00223668">
      <w:pPr>
        <w:pStyle w:val="a0"/>
        <w:rPr>
          <w:rtl/>
        </w:rPr>
      </w:pPr>
      <w:r w:rsidRPr="00D809CB">
        <w:rPr>
          <w:rtl/>
        </w:rPr>
        <w:t>וע</w:t>
      </w:r>
      <w:r w:rsidRPr="00D809CB">
        <w:rPr>
          <w:rFonts w:hint="cs"/>
          <w:rtl/>
        </w:rPr>
        <w:t>"ע</w:t>
      </w:r>
      <w:r w:rsidRPr="00D809CB">
        <w:rPr>
          <w:rtl/>
        </w:rPr>
        <w:t xml:space="preserve"> </w:t>
      </w:r>
      <w:r w:rsidRPr="00D809CB">
        <w:rPr>
          <w:rStyle w:val="af9"/>
          <w:rtl/>
        </w:rPr>
        <w:t>בפרמ"ג</w:t>
      </w:r>
      <w:r w:rsidRPr="00D809CB">
        <w:rPr>
          <w:rtl/>
        </w:rPr>
        <w:t xml:space="preserve"> </w:t>
      </w:r>
      <w:r w:rsidRPr="00D809CB">
        <w:rPr>
          <w:rStyle w:val="af7"/>
          <w:rFonts w:eastAsia="Guttman Hodes"/>
          <w:rtl/>
        </w:rPr>
        <w:t>(משב"ז ק"ה ג'</w:t>
      </w:r>
      <w:r w:rsidRPr="00D809CB">
        <w:rPr>
          <w:rFonts w:hint="cs"/>
          <w:rtl/>
        </w:rPr>
        <w:t xml:space="preserve"> </w:t>
      </w:r>
      <w:r w:rsidRPr="00D809CB">
        <w:rPr>
          <w:rStyle w:val="af7"/>
          <w:rFonts w:eastAsia="Guttman Hodes" w:hint="cs"/>
          <w:rtl/>
        </w:rPr>
        <w:t xml:space="preserve">הובאו דבריו בסי' ה' אות </w:t>
      </w:r>
      <w:r>
        <w:rPr>
          <w:rStyle w:val="af7"/>
          <w:rFonts w:eastAsia="Guttman Hodes" w:hint="cs"/>
          <w:rtl/>
        </w:rPr>
        <w:t>כב</w:t>
      </w:r>
      <w:r w:rsidRPr="00D809CB">
        <w:rPr>
          <w:rStyle w:val="af7"/>
          <w:rFonts w:eastAsia="Guttman Hodes" w:hint="cs"/>
          <w:rtl/>
        </w:rPr>
        <w:t>)</w:t>
      </w:r>
      <w:r w:rsidRPr="00D809CB">
        <w:rPr>
          <w:rtl/>
        </w:rPr>
        <w:t xml:space="preserve"> </w:t>
      </w:r>
      <w:r w:rsidRPr="00D809CB">
        <w:rPr>
          <w:rFonts w:hint="cs"/>
          <w:rtl/>
        </w:rPr>
        <w:t>דכתב</w:t>
      </w:r>
      <w:r w:rsidRPr="00D809CB">
        <w:rPr>
          <w:rtl/>
        </w:rPr>
        <w:t xml:space="preserve"> דאפש"ל ד</w:t>
      </w:r>
      <w:r w:rsidRPr="00D809CB">
        <w:rPr>
          <w:rFonts w:hint="cs"/>
          <w:rtl/>
        </w:rPr>
        <w:t>ס"ל לרב הונא ד</w:t>
      </w:r>
      <w:r w:rsidRPr="00D809CB">
        <w:rPr>
          <w:rtl/>
        </w:rPr>
        <w:t>כיון שהדרך שהסכין נפגם, הוי חזקה שעשויה להתקלקל, או דסכין דרכו להפגם מעט מעט, ודמי למקוה שחסר ואתאי</w:t>
      </w:r>
      <w:r>
        <w:rPr>
          <w:rFonts w:hint="cs"/>
          <w:rtl/>
        </w:rPr>
        <w:t>, ואמרינן בו תרתי לריעותא</w:t>
      </w:r>
      <w:r w:rsidRPr="00D809CB">
        <w:rPr>
          <w:rFonts w:hint="cs"/>
          <w:rtl/>
        </w:rPr>
        <w:t>.</w:t>
      </w:r>
    </w:p>
    <w:p w14:paraId="48C9CA35" w14:textId="77777777" w:rsidR="00FC47D4" w:rsidRDefault="00FC47D4" w:rsidP="00BF39B2">
      <w:pPr>
        <w:pStyle w:val="1"/>
        <w:rPr>
          <w:rtl/>
        </w:rPr>
      </w:pPr>
      <w:bookmarkStart w:id="3115" w:name="_Toc528226993"/>
      <w:bookmarkStart w:id="3116" w:name="_Toc528227157"/>
      <w:bookmarkStart w:id="3117" w:name="_Toc528227319"/>
      <w:bookmarkStart w:id="3118" w:name="_Toc19389404"/>
      <w:bookmarkStart w:id="3119" w:name="_Toc19392901"/>
      <w:r>
        <w:rPr>
          <w:rFonts w:hint="cs"/>
          <w:rtl/>
        </w:rPr>
        <w:t>דעת הרשב"א והרא"ש דבסכין פגום לא ידוע במה נשחטה</w:t>
      </w:r>
      <w:bookmarkEnd w:id="3115"/>
      <w:bookmarkEnd w:id="3116"/>
      <w:bookmarkEnd w:id="3117"/>
      <w:bookmarkEnd w:id="3118"/>
      <w:bookmarkEnd w:id="3119"/>
    </w:p>
    <w:p w14:paraId="005F345D" w14:textId="77777777" w:rsidR="00FC47D4" w:rsidRDefault="00FC47D4" w:rsidP="006D6D32">
      <w:pPr>
        <w:pStyle w:val="a3"/>
        <w:rPr>
          <w:rtl/>
        </w:rPr>
      </w:pPr>
      <w:bookmarkStart w:id="3120" w:name="_Toc528226994"/>
      <w:bookmarkStart w:id="3121" w:name="_Toc528227158"/>
      <w:bookmarkStart w:id="3122" w:name="_Toc528227320"/>
      <w:bookmarkStart w:id="3123" w:name="_Toc19389405"/>
      <w:bookmarkStart w:id="3124" w:name="_Toc19392902"/>
      <w:r>
        <w:rPr>
          <w:rFonts w:hint="cs"/>
          <w:rtl/>
        </w:rPr>
        <w:t>דעת הרשב"א והרא"ש דבסכין פגום מעמידים בחזקת איסור דלא ידוע במה נשחטה</w:t>
      </w:r>
      <w:bookmarkEnd w:id="3120"/>
      <w:bookmarkEnd w:id="3121"/>
      <w:bookmarkEnd w:id="3122"/>
      <w:bookmarkEnd w:id="3123"/>
      <w:bookmarkEnd w:id="3124"/>
    </w:p>
    <w:p w14:paraId="5F6896D8" w14:textId="77777777" w:rsidR="00FC47D4" w:rsidRDefault="00FC47D4" w:rsidP="00223668">
      <w:pPr>
        <w:pStyle w:val="a0"/>
        <w:rPr>
          <w:rtl/>
        </w:rPr>
      </w:pPr>
      <w:r>
        <w:rPr>
          <w:rFonts w:hint="cs"/>
          <w:rtl/>
        </w:rPr>
        <w:t xml:space="preserve">כתב </w:t>
      </w:r>
      <w:r w:rsidRPr="00197A2A">
        <w:rPr>
          <w:rStyle w:val="af9"/>
          <w:rFonts w:hint="cs"/>
          <w:rtl/>
        </w:rPr>
        <w:t>הרא"ש</w:t>
      </w:r>
      <w:r>
        <w:rPr>
          <w:rFonts w:hint="cs"/>
          <w:rtl/>
        </w:rPr>
        <w:t xml:space="preserve"> </w:t>
      </w:r>
      <w:r w:rsidRPr="00DF0F42">
        <w:rPr>
          <w:rStyle w:val="af7"/>
          <w:rFonts w:eastAsia="Guttman Hodes" w:hint="cs"/>
          <w:rtl/>
        </w:rPr>
        <w:t>(עי' אות</w:t>
      </w:r>
      <w:r w:rsidRPr="004D6EAC">
        <w:rPr>
          <w:rStyle w:val="af7"/>
          <w:rFonts w:eastAsia="Guttman Hodes" w:hint="cs"/>
          <w:rtl/>
        </w:rPr>
        <w:t xml:space="preserve">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Ref526347100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מ)</w:t>
      </w:r>
      <w:r w:rsidRPr="004D6EAC">
        <w:rPr>
          <w:rStyle w:val="af7"/>
          <w:rFonts w:eastAsia="Guttman Hodes"/>
          <w:rtl/>
        </w:rPr>
        <w:fldChar w:fldCharType="end"/>
      </w:r>
      <w:r>
        <w:rPr>
          <w:rFonts w:hint="cs"/>
          <w:rtl/>
        </w:rPr>
        <w:t xml:space="preserve"> במקום שיש ריעותא בחזקת הסכין דנמצא פגום, אסר רב הונא כיון שלא חשיב שנודע לך במה נשחטה, וממילא הבהמה היא בחזקת איסור, וכן מבואר בדברי </w:t>
      </w:r>
      <w:r w:rsidRPr="00197A2A">
        <w:rPr>
          <w:rStyle w:val="af9"/>
          <w:rFonts w:hint="cs"/>
          <w:rtl/>
        </w:rPr>
        <w:t>הרשב"א</w:t>
      </w:r>
      <w:r>
        <w:rPr>
          <w:rFonts w:hint="cs"/>
          <w:rtl/>
        </w:rPr>
        <w:t xml:space="preserve">  </w:t>
      </w:r>
      <w:r w:rsidRPr="00197A2A">
        <w:rPr>
          <w:rStyle w:val="af9"/>
          <w:rFonts w:hint="cs"/>
          <w:rtl/>
        </w:rPr>
        <w:t>במשה"ב</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Ref523396596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לט)</w:t>
      </w:r>
      <w:r w:rsidRPr="004D6EAC">
        <w:rPr>
          <w:rStyle w:val="af7"/>
          <w:rFonts w:eastAsia="Guttman Hodes"/>
          <w:rtl/>
        </w:rPr>
        <w:fldChar w:fldCharType="end"/>
      </w:r>
      <w:r>
        <w:rPr>
          <w:rFonts w:hint="cs"/>
          <w:rtl/>
        </w:rPr>
        <w:t xml:space="preserve">, וכן ביאר </w:t>
      </w:r>
      <w:r w:rsidRPr="00197A2A">
        <w:rPr>
          <w:rStyle w:val="af9"/>
          <w:rFonts w:hint="cs"/>
          <w:rtl/>
        </w:rPr>
        <w:t xml:space="preserve">הרדב"ז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Ref527231411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פט)</w:t>
      </w:r>
      <w:r w:rsidRPr="004D6EAC">
        <w:rPr>
          <w:rStyle w:val="af7"/>
          <w:rFonts w:eastAsia="Guttman Hodes"/>
          <w:rtl/>
        </w:rPr>
        <w:fldChar w:fldCharType="end"/>
      </w:r>
      <w:r>
        <w:rPr>
          <w:rFonts w:hint="cs"/>
          <w:rtl/>
        </w:rPr>
        <w:t xml:space="preserve"> בדעת </w:t>
      </w:r>
      <w:r w:rsidRPr="00197A2A">
        <w:rPr>
          <w:rStyle w:val="af9"/>
          <w:rFonts w:hint="cs"/>
          <w:rtl/>
        </w:rPr>
        <w:t>הרמב"ם</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Ref523254787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פד)</w:t>
      </w:r>
      <w:r w:rsidRPr="004D6EAC">
        <w:rPr>
          <w:rStyle w:val="af7"/>
          <w:rFonts w:eastAsia="Guttman Hodes"/>
          <w:rtl/>
        </w:rPr>
        <w:fldChar w:fldCharType="end"/>
      </w:r>
      <w:r>
        <w:rPr>
          <w:rFonts w:hint="cs"/>
          <w:rtl/>
        </w:rPr>
        <w:t xml:space="preserve">, ועי' בדברי </w:t>
      </w:r>
      <w:r w:rsidRPr="00197A2A">
        <w:rPr>
          <w:rStyle w:val="af9"/>
          <w:rFonts w:hint="cs"/>
          <w:rtl/>
        </w:rPr>
        <w:t>הגר"א</w:t>
      </w:r>
      <w:r>
        <w:rPr>
          <w:rFonts w:hint="cs"/>
          <w:rtl/>
        </w:rPr>
        <w:t xml:space="preserve"> </w:t>
      </w:r>
      <w:r w:rsidRPr="005859F1">
        <w:rPr>
          <w:rStyle w:val="af7"/>
          <w:rFonts w:eastAsia="Guttman Hodes" w:hint="cs"/>
          <w:rtl/>
        </w:rPr>
        <w:t xml:space="preserve">(עי' אות </w:t>
      </w:r>
      <w:r w:rsidRPr="005859F1">
        <w:rPr>
          <w:rStyle w:val="af7"/>
          <w:rFonts w:eastAsia="Guttman Hodes"/>
          <w:rtl/>
        </w:rPr>
        <w:fldChar w:fldCharType="begin"/>
      </w:r>
      <w:r w:rsidRPr="005859F1">
        <w:rPr>
          <w:rStyle w:val="af7"/>
          <w:rFonts w:eastAsia="Guttman Hodes"/>
          <w:rtl/>
        </w:rPr>
        <w:instrText xml:space="preserve"> </w:instrText>
      </w:r>
      <w:r w:rsidRPr="005859F1">
        <w:rPr>
          <w:rStyle w:val="af7"/>
          <w:rFonts w:eastAsia="Guttman Hodes" w:hint="cs"/>
        </w:rPr>
        <w:instrText>REF</w:instrText>
      </w:r>
      <w:r w:rsidRPr="005859F1">
        <w:rPr>
          <w:rStyle w:val="af7"/>
          <w:rFonts w:eastAsia="Guttman Hodes" w:hint="cs"/>
          <w:rtl/>
        </w:rPr>
        <w:instrText xml:space="preserve"> _</w:instrText>
      </w:r>
      <w:r w:rsidRPr="005859F1">
        <w:rPr>
          <w:rStyle w:val="af7"/>
          <w:rFonts w:eastAsia="Guttman Hodes" w:hint="cs"/>
        </w:rPr>
        <w:instrText>Ref527231004 \r \h</w:instrText>
      </w:r>
      <w:r w:rsidRPr="005859F1">
        <w:rPr>
          <w:rStyle w:val="af7"/>
          <w:rFonts w:eastAsia="Guttman Hodes"/>
          <w:rtl/>
        </w:rPr>
        <w:instrText xml:space="preserve"> </w:instrText>
      </w:r>
      <w:r w:rsidRPr="005859F1">
        <w:rPr>
          <w:rStyle w:val="af7"/>
          <w:rFonts w:eastAsia="Guttman Hodes"/>
          <w:rtl/>
        </w:rPr>
      </w:r>
      <w:r w:rsidRPr="005859F1">
        <w:rPr>
          <w:rStyle w:val="af7"/>
          <w:rFonts w:eastAsia="Guttman Hodes"/>
          <w:rtl/>
        </w:rPr>
        <w:fldChar w:fldCharType="separate"/>
      </w:r>
      <w:r w:rsidR="00345400">
        <w:rPr>
          <w:rStyle w:val="af7"/>
          <w:rFonts w:eastAsia="Guttman Hodes"/>
          <w:cs/>
        </w:rPr>
        <w:t>‎</w:t>
      </w:r>
      <w:r w:rsidR="00345400">
        <w:rPr>
          <w:rStyle w:val="af7"/>
          <w:rFonts w:eastAsia="Guttman Hodes"/>
          <w:rtl/>
        </w:rPr>
        <w:t>ו)</w:t>
      </w:r>
      <w:r w:rsidRPr="005859F1">
        <w:rPr>
          <w:rStyle w:val="af7"/>
          <w:rFonts w:eastAsia="Guttman Hodes"/>
          <w:rtl/>
        </w:rPr>
        <w:fldChar w:fldCharType="end"/>
      </w:r>
      <w:r>
        <w:rPr>
          <w:rFonts w:hint="cs"/>
          <w:rtl/>
        </w:rPr>
        <w:t xml:space="preserve"> דכתב דבסכין שאינו בדוק א"א לומר שנודע "במה" נשחטה, וע"ע במ"ש </w:t>
      </w:r>
      <w:r w:rsidRPr="00197A2A">
        <w:rPr>
          <w:rStyle w:val="af9"/>
          <w:rFonts w:hint="cs"/>
          <w:rtl/>
        </w:rPr>
        <w:t>בשיעורי המקדש דוד</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Ref527232376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קי)</w:t>
      </w:r>
      <w:r w:rsidRPr="004D6EAC">
        <w:rPr>
          <w:rStyle w:val="af7"/>
          <w:rFonts w:eastAsia="Guttman Hodes"/>
          <w:rtl/>
        </w:rPr>
        <w:fldChar w:fldCharType="end"/>
      </w:r>
      <w:r>
        <w:rPr>
          <w:rFonts w:hint="cs"/>
          <w:rtl/>
        </w:rPr>
        <w:t>.</w:t>
      </w:r>
    </w:p>
    <w:p w14:paraId="4A6FCC1D" w14:textId="77777777" w:rsidR="00FC47D4" w:rsidRDefault="00FC47D4" w:rsidP="006D6D32">
      <w:pPr>
        <w:pStyle w:val="a3"/>
        <w:rPr>
          <w:rtl/>
        </w:rPr>
      </w:pPr>
      <w:bookmarkStart w:id="3125" w:name="_Toc528226995"/>
      <w:bookmarkStart w:id="3126" w:name="_Toc528227159"/>
      <w:bookmarkStart w:id="3127" w:name="_Toc528227321"/>
      <w:bookmarkStart w:id="3128" w:name="_Toc19389406"/>
      <w:bookmarkStart w:id="3129" w:name="_Toc19392903"/>
      <w:r>
        <w:rPr>
          <w:rFonts w:hint="cs"/>
          <w:rtl/>
        </w:rPr>
        <w:t>ביאור הפנ"י בדעת הרשב"א והראש יוסף בדעת הרמב"ם דחשיב תרתי לריעותא</w:t>
      </w:r>
      <w:bookmarkEnd w:id="3125"/>
      <w:bookmarkEnd w:id="3126"/>
      <w:bookmarkEnd w:id="3127"/>
      <w:bookmarkEnd w:id="3128"/>
      <w:bookmarkEnd w:id="3129"/>
    </w:p>
    <w:p w14:paraId="3DF64F20" w14:textId="77777777" w:rsidR="00FC47D4" w:rsidRPr="002D702A" w:rsidRDefault="00FC47D4" w:rsidP="00223668">
      <w:pPr>
        <w:pStyle w:val="a0"/>
        <w:rPr>
          <w:rtl/>
        </w:rPr>
      </w:pPr>
      <w:r>
        <w:rPr>
          <w:rFonts w:hint="cs"/>
          <w:rtl/>
        </w:rPr>
        <w:t xml:space="preserve">וביאר </w:t>
      </w:r>
      <w:r w:rsidRPr="00197A2A">
        <w:rPr>
          <w:rStyle w:val="af9"/>
          <w:rFonts w:hint="cs"/>
          <w:rtl/>
        </w:rPr>
        <w:t>הפנ"י</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Ref523427735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מה)</w:t>
      </w:r>
      <w:r w:rsidRPr="004D6EAC">
        <w:rPr>
          <w:rStyle w:val="af7"/>
          <w:rFonts w:eastAsia="Guttman Hodes"/>
          <w:rtl/>
        </w:rPr>
        <w:fldChar w:fldCharType="end"/>
      </w:r>
      <w:r w:rsidRPr="004D6EAC">
        <w:rPr>
          <w:rStyle w:val="af7"/>
          <w:rFonts w:eastAsia="Guttman Hodes" w:hint="cs"/>
          <w:rtl/>
        </w:rPr>
        <w:t xml:space="preserve"> </w:t>
      </w:r>
      <w:r>
        <w:rPr>
          <w:rFonts w:hint="cs"/>
          <w:rtl/>
        </w:rPr>
        <w:t xml:space="preserve">דלדעת </w:t>
      </w:r>
      <w:r w:rsidRPr="00197A2A">
        <w:rPr>
          <w:rStyle w:val="af9"/>
          <w:rFonts w:hint="cs"/>
          <w:rtl/>
        </w:rPr>
        <w:t>הרשב"א</w:t>
      </w:r>
      <w:r>
        <w:rPr>
          <w:rFonts w:hint="cs"/>
          <w:rtl/>
        </w:rPr>
        <w:t xml:space="preserve"> בסכין פגום ס"ל לרב הונא, שיש תרתי לריעותא, דסכין פגום לפניך, ועור מצוי לפגום, ולכן חשיב שלא נודע נשחטה, וכ"כ </w:t>
      </w:r>
      <w:r w:rsidRPr="00197A2A">
        <w:rPr>
          <w:rStyle w:val="af9"/>
          <w:rFonts w:hint="cs"/>
          <w:rtl/>
        </w:rPr>
        <w:t>הראש יוסף</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Ref527231802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ק)</w:t>
      </w:r>
      <w:r w:rsidRPr="004D6EAC">
        <w:rPr>
          <w:rStyle w:val="af7"/>
          <w:rFonts w:eastAsia="Guttman Hodes"/>
          <w:rtl/>
        </w:rPr>
        <w:fldChar w:fldCharType="end"/>
      </w:r>
      <w:r>
        <w:rPr>
          <w:rFonts w:hint="cs"/>
          <w:rtl/>
        </w:rPr>
        <w:t xml:space="preserve"> בדעת </w:t>
      </w:r>
      <w:r w:rsidRPr="00197A2A">
        <w:rPr>
          <w:rStyle w:val="af9"/>
          <w:rFonts w:hint="cs"/>
          <w:rtl/>
        </w:rPr>
        <w:t>הרמב"ם</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Ref523254787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פד)</w:t>
      </w:r>
      <w:r w:rsidRPr="004D6EAC">
        <w:rPr>
          <w:rStyle w:val="af7"/>
          <w:rFonts w:eastAsia="Guttman Hodes"/>
          <w:rtl/>
        </w:rPr>
        <w:fldChar w:fldCharType="end"/>
      </w:r>
      <w:r>
        <w:rPr>
          <w:rFonts w:hint="cs"/>
          <w:rtl/>
        </w:rPr>
        <w:t xml:space="preserve"> </w:t>
      </w:r>
      <w:r>
        <w:rPr>
          <w:rStyle w:val="af9"/>
          <w:rFonts w:hint="cs"/>
          <w:rtl/>
        </w:rPr>
        <w:t>ו</w:t>
      </w:r>
      <w:r w:rsidRPr="00197A2A">
        <w:rPr>
          <w:rStyle w:val="af9"/>
          <w:rFonts w:hint="cs"/>
          <w:rtl/>
        </w:rPr>
        <w:t>הרא</w:t>
      </w:r>
      <w:r>
        <w:rPr>
          <w:rStyle w:val="af9"/>
          <w:rFonts w:hint="cs"/>
          <w:rtl/>
        </w:rPr>
        <w:t>"</w:t>
      </w:r>
      <w:r w:rsidRPr="00197A2A">
        <w:rPr>
          <w:rStyle w:val="af9"/>
          <w:rFonts w:hint="cs"/>
          <w:rtl/>
        </w:rPr>
        <w:t xml:space="preserve">ש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Ref527231293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מו)</w:t>
      </w:r>
      <w:r w:rsidRPr="004D6EAC">
        <w:rPr>
          <w:rStyle w:val="af7"/>
          <w:rFonts w:eastAsia="Guttman Hodes"/>
          <w:rtl/>
        </w:rPr>
        <w:fldChar w:fldCharType="end"/>
      </w:r>
      <w:r>
        <w:rPr>
          <w:rFonts w:hint="cs"/>
          <w:rtl/>
        </w:rPr>
        <w:t xml:space="preserve">. ועי' בדברי </w:t>
      </w:r>
      <w:r w:rsidRPr="00197A2A">
        <w:rPr>
          <w:rStyle w:val="af9"/>
          <w:rFonts w:hint="cs"/>
          <w:rtl/>
        </w:rPr>
        <w:t>השער"י</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Ref527232069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קד)</w:t>
      </w:r>
      <w:r w:rsidRPr="004D6EAC">
        <w:rPr>
          <w:rStyle w:val="af7"/>
          <w:rFonts w:eastAsia="Guttman Hodes"/>
          <w:rtl/>
        </w:rPr>
        <w:fldChar w:fldCharType="end"/>
      </w:r>
      <w:r>
        <w:rPr>
          <w:rFonts w:hint="cs"/>
          <w:rtl/>
        </w:rPr>
        <w:t xml:space="preserve"> דביאר היאך חזקת הסכין מהני להתיר ספק בשחיטה, בדליכא תרתי לריעותא, וכן במה שביאר </w:t>
      </w:r>
      <w:r w:rsidRPr="00197A2A">
        <w:rPr>
          <w:rStyle w:val="af9"/>
          <w:rFonts w:hint="cs"/>
          <w:rtl/>
        </w:rPr>
        <w:t>בחי' הגרש"ש</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Ref527232199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קז)</w:t>
      </w:r>
      <w:r w:rsidRPr="004D6EAC">
        <w:rPr>
          <w:rStyle w:val="af7"/>
          <w:rFonts w:eastAsia="Guttman Hodes"/>
          <w:rtl/>
        </w:rPr>
        <w:fldChar w:fldCharType="end"/>
      </w:r>
      <w:r w:rsidRPr="004D6EAC">
        <w:rPr>
          <w:rStyle w:val="af7"/>
          <w:rFonts w:eastAsia="Guttman Hodes" w:hint="cs"/>
          <w:rtl/>
        </w:rPr>
        <w:t xml:space="preserve"> </w:t>
      </w:r>
      <w:r>
        <w:rPr>
          <w:rFonts w:hint="cs"/>
          <w:rtl/>
        </w:rPr>
        <w:t>דבסכין פגם הספק הוא בסכין עצמו, ולכן שייך לומר תרתי לריעותא.</w:t>
      </w:r>
    </w:p>
    <w:p w14:paraId="2D464941" w14:textId="77777777" w:rsidR="00FC47D4" w:rsidRDefault="00FC47D4" w:rsidP="00BF39B2">
      <w:pPr>
        <w:pStyle w:val="1"/>
        <w:rPr>
          <w:rtl/>
        </w:rPr>
      </w:pPr>
      <w:bookmarkStart w:id="3130" w:name="_Toc528226996"/>
      <w:bookmarkStart w:id="3131" w:name="_Toc528227160"/>
      <w:bookmarkStart w:id="3132" w:name="_Toc528227322"/>
      <w:bookmarkStart w:id="3133" w:name="_Toc19389407"/>
      <w:bookmarkStart w:id="3134" w:name="_Toc19392904"/>
      <w:r>
        <w:rPr>
          <w:rFonts w:hint="cs"/>
          <w:rtl/>
        </w:rPr>
        <w:t>דברי הש"ש והגרעק"א שיש סתירה בין החזקות</w:t>
      </w:r>
      <w:bookmarkEnd w:id="3130"/>
      <w:bookmarkEnd w:id="3131"/>
      <w:bookmarkEnd w:id="3132"/>
      <w:bookmarkEnd w:id="3133"/>
      <w:bookmarkEnd w:id="3134"/>
    </w:p>
    <w:p w14:paraId="7C751927" w14:textId="77777777" w:rsidR="00FC47D4" w:rsidRDefault="00FC47D4" w:rsidP="006D6D32">
      <w:pPr>
        <w:pStyle w:val="a3"/>
        <w:rPr>
          <w:rtl/>
        </w:rPr>
      </w:pPr>
      <w:bookmarkStart w:id="3135" w:name="_Toc528226997"/>
      <w:bookmarkStart w:id="3136" w:name="_Toc528227161"/>
      <w:bookmarkStart w:id="3137" w:name="_Toc528227323"/>
      <w:bookmarkStart w:id="3138" w:name="_Toc19389408"/>
      <w:bookmarkStart w:id="3139" w:name="_Toc19392905"/>
      <w:r>
        <w:rPr>
          <w:rFonts w:hint="cs"/>
          <w:rtl/>
        </w:rPr>
        <w:t>בביאור דעת הרמב"ם אי הוי נבילה בודאי או בספק</w:t>
      </w:r>
      <w:bookmarkEnd w:id="3135"/>
      <w:bookmarkEnd w:id="3136"/>
      <w:bookmarkEnd w:id="3137"/>
      <w:bookmarkEnd w:id="3138"/>
      <w:bookmarkEnd w:id="3139"/>
    </w:p>
    <w:p w14:paraId="3352E581" w14:textId="77777777" w:rsidR="00FC47D4" w:rsidRPr="00D809CB" w:rsidRDefault="00FC47D4" w:rsidP="00223668">
      <w:pPr>
        <w:pStyle w:val="a0"/>
        <w:rPr>
          <w:rtl/>
        </w:rPr>
      </w:pPr>
      <w:r w:rsidRPr="00811DAB">
        <w:rPr>
          <w:rStyle w:val="af9"/>
          <w:rFonts w:hint="cs"/>
          <w:rtl/>
        </w:rPr>
        <w:t>בכס"מ</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Ref526668054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צז)</w:t>
      </w:r>
      <w:r w:rsidRPr="004D6EAC">
        <w:rPr>
          <w:rStyle w:val="af7"/>
          <w:rFonts w:eastAsia="Guttman Hodes"/>
          <w:rtl/>
        </w:rPr>
        <w:fldChar w:fldCharType="end"/>
      </w:r>
      <w:r>
        <w:rPr>
          <w:rFonts w:hint="cs"/>
          <w:rtl/>
        </w:rPr>
        <w:t xml:space="preserve"> </w:t>
      </w:r>
      <w:r w:rsidRPr="00811DAB">
        <w:rPr>
          <w:rStyle w:val="af9"/>
          <w:rFonts w:hint="cs"/>
          <w:rtl/>
        </w:rPr>
        <w:t>ובש"ך</w:t>
      </w:r>
      <w:r w:rsidRPr="004D6EAC">
        <w:rPr>
          <w:rStyle w:val="af7"/>
          <w:rFonts w:eastAsia="Guttman Hodes" w:hint="cs"/>
          <w:rtl/>
        </w:rPr>
        <w:t xml:space="preserve"> (עי'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Ref527231763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צח)</w:t>
      </w:r>
      <w:r w:rsidRPr="004D6EAC">
        <w:rPr>
          <w:rStyle w:val="af7"/>
          <w:rFonts w:eastAsia="Guttman Hodes"/>
          <w:rtl/>
        </w:rPr>
        <w:fldChar w:fldCharType="end"/>
      </w:r>
      <w:r>
        <w:rPr>
          <w:rFonts w:hint="cs"/>
          <w:rtl/>
        </w:rPr>
        <w:t xml:space="preserve"> כתבו דלדעת </w:t>
      </w:r>
      <w:r w:rsidRPr="00811DAB">
        <w:rPr>
          <w:rStyle w:val="af9"/>
          <w:rFonts w:hint="cs"/>
          <w:rtl/>
        </w:rPr>
        <w:t>הרמב"ם</w:t>
      </w:r>
      <w:r>
        <w:rPr>
          <w:rFonts w:hint="cs"/>
          <w:rtl/>
        </w:rPr>
        <w:t xml:space="preserve"> </w:t>
      </w:r>
      <w:r w:rsidRPr="00D60A1A">
        <w:rPr>
          <w:rStyle w:val="af7"/>
          <w:rFonts w:eastAsia="Guttman Hodes" w:hint="cs"/>
          <w:rtl/>
        </w:rPr>
        <w:t>(עי' אות</w:t>
      </w:r>
      <w:r w:rsidRPr="004D6EAC">
        <w:rPr>
          <w:rStyle w:val="af7"/>
          <w:rFonts w:eastAsia="Guttman Hodes" w:hint="cs"/>
          <w:rtl/>
        </w:rPr>
        <w:t xml:space="preserve">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Ref523254787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פד)</w:t>
      </w:r>
      <w:r w:rsidRPr="004D6EAC">
        <w:rPr>
          <w:rStyle w:val="af7"/>
          <w:rFonts w:eastAsia="Guttman Hodes"/>
          <w:rtl/>
        </w:rPr>
        <w:fldChar w:fldCharType="end"/>
      </w:r>
      <w:r>
        <w:rPr>
          <w:rFonts w:hint="cs"/>
          <w:rtl/>
        </w:rPr>
        <w:t xml:space="preserve">, אף לרב הונא הוי נבילה מספק, אבל </w:t>
      </w:r>
      <w:r w:rsidRPr="00811DAB">
        <w:rPr>
          <w:rStyle w:val="af9"/>
          <w:rFonts w:hint="cs"/>
          <w:rtl/>
        </w:rPr>
        <w:t>בראש יוסף</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Ref527231802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ק)</w:t>
      </w:r>
      <w:r w:rsidRPr="004D6EAC">
        <w:rPr>
          <w:rStyle w:val="af7"/>
          <w:rFonts w:eastAsia="Guttman Hodes"/>
          <w:rtl/>
        </w:rPr>
        <w:fldChar w:fldCharType="end"/>
      </w:r>
      <w:r>
        <w:rPr>
          <w:rFonts w:hint="cs"/>
          <w:rtl/>
        </w:rPr>
        <w:t xml:space="preserve"> ביאר דאף </w:t>
      </w:r>
      <w:r w:rsidRPr="00811DAB">
        <w:rPr>
          <w:rStyle w:val="af9"/>
          <w:rFonts w:hint="cs"/>
          <w:rtl/>
        </w:rPr>
        <w:t>להרמב"ם</w:t>
      </w:r>
      <w:r>
        <w:rPr>
          <w:rFonts w:hint="cs"/>
          <w:rtl/>
        </w:rPr>
        <w:t xml:space="preserve"> הוי ודאי נבילה כיון שיש תרתי לריעותא.</w:t>
      </w:r>
    </w:p>
    <w:p w14:paraId="0E3B54EA" w14:textId="77777777" w:rsidR="00FC47D4" w:rsidRPr="00D77D1A" w:rsidRDefault="00FC47D4" w:rsidP="006D6D32">
      <w:pPr>
        <w:pStyle w:val="a3"/>
        <w:rPr>
          <w:rtl/>
        </w:rPr>
      </w:pPr>
      <w:bookmarkStart w:id="3140" w:name="_Toc528226998"/>
      <w:bookmarkStart w:id="3141" w:name="_Toc528227162"/>
      <w:bookmarkStart w:id="3142" w:name="_Toc528227324"/>
      <w:bookmarkStart w:id="3143" w:name="_Toc19389409"/>
      <w:bookmarkStart w:id="3144" w:name="_Toc19392906"/>
      <w:r>
        <w:rPr>
          <w:rFonts w:hint="cs"/>
          <w:rtl/>
        </w:rPr>
        <w:t>דברי הגרעק"א והש"ש דלרב הונא יש סתירה בין החזקת איסור לחזקת הסכין</w:t>
      </w:r>
      <w:bookmarkEnd w:id="3140"/>
      <w:bookmarkEnd w:id="3141"/>
      <w:bookmarkEnd w:id="3142"/>
      <w:bookmarkEnd w:id="3143"/>
      <w:bookmarkEnd w:id="3144"/>
    </w:p>
    <w:p w14:paraId="153560B0" w14:textId="77777777" w:rsidR="00FC47D4" w:rsidRDefault="00FC47D4" w:rsidP="00223668">
      <w:pPr>
        <w:pStyle w:val="a0"/>
        <w:rPr>
          <w:rtl/>
        </w:rPr>
      </w:pPr>
      <w:r>
        <w:rPr>
          <w:rFonts w:hint="cs"/>
          <w:rtl/>
        </w:rPr>
        <w:t xml:space="preserve">כתבו </w:t>
      </w:r>
      <w:r w:rsidRPr="00811DAB">
        <w:rPr>
          <w:rStyle w:val="af9"/>
          <w:rFonts w:hint="cs"/>
          <w:rtl/>
        </w:rPr>
        <w:t>הגרעק"א</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Ref526667965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נו)</w:t>
      </w:r>
      <w:r w:rsidRPr="004D6EAC">
        <w:rPr>
          <w:rStyle w:val="af7"/>
          <w:rFonts w:eastAsia="Guttman Hodes"/>
          <w:rtl/>
        </w:rPr>
        <w:fldChar w:fldCharType="end"/>
      </w:r>
      <w:r>
        <w:rPr>
          <w:rFonts w:hint="cs"/>
          <w:rtl/>
        </w:rPr>
        <w:t xml:space="preserve"> </w:t>
      </w:r>
      <w:r w:rsidRPr="00811DAB">
        <w:rPr>
          <w:rStyle w:val="af9"/>
          <w:rFonts w:hint="cs"/>
          <w:rtl/>
        </w:rPr>
        <w:t>והש"ש</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Ref527231549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נז)</w:t>
      </w:r>
      <w:r w:rsidRPr="004D6EAC">
        <w:rPr>
          <w:rStyle w:val="af7"/>
          <w:rFonts w:eastAsia="Guttman Hodes"/>
          <w:rtl/>
        </w:rPr>
        <w:fldChar w:fldCharType="end"/>
      </w:r>
      <w:r>
        <w:rPr>
          <w:rFonts w:hint="cs"/>
          <w:rtl/>
        </w:rPr>
        <w:t xml:space="preserve"> דאף דמעמידים לרב הונא בחזקת איסור, מ"מ כיון שיש כנגדה את חזקת הסכין אסורה מספק, ועי' במה שהקשה </w:t>
      </w:r>
      <w:r w:rsidRPr="00811DAB">
        <w:rPr>
          <w:rStyle w:val="af9"/>
          <w:rFonts w:hint="cs"/>
          <w:rtl/>
        </w:rPr>
        <w:t>הקוב"ש</w:t>
      </w:r>
      <w:r>
        <w:rPr>
          <w:rFonts w:hint="cs"/>
          <w:rtl/>
        </w:rPr>
        <w:t xml:space="preserve"> </w:t>
      </w:r>
      <w:r w:rsidRPr="004D6EAC">
        <w:rPr>
          <w:rStyle w:val="af7"/>
          <w:rFonts w:eastAsia="Guttman Hodes" w:hint="cs"/>
          <w:rtl/>
        </w:rPr>
        <w:t xml:space="preserve">(עי' אות </w:t>
      </w:r>
      <w:r w:rsidRPr="004D6EAC">
        <w:rPr>
          <w:rStyle w:val="af7"/>
          <w:rFonts w:eastAsia="Guttman Hodes"/>
          <w:rtl/>
        </w:rPr>
        <w:fldChar w:fldCharType="begin"/>
      </w:r>
      <w:r w:rsidRPr="004D6EAC">
        <w:rPr>
          <w:rStyle w:val="af7"/>
          <w:rFonts w:eastAsia="Guttman Hodes"/>
          <w:rtl/>
        </w:rPr>
        <w:instrText xml:space="preserve"> </w:instrText>
      </w:r>
      <w:r w:rsidRPr="004D6EAC">
        <w:rPr>
          <w:rStyle w:val="af7"/>
          <w:rFonts w:eastAsia="Guttman Hodes" w:hint="cs"/>
        </w:rPr>
        <w:instrText>REF</w:instrText>
      </w:r>
      <w:r w:rsidRPr="004D6EAC">
        <w:rPr>
          <w:rStyle w:val="af7"/>
          <w:rFonts w:eastAsia="Guttman Hodes" w:hint="cs"/>
          <w:rtl/>
        </w:rPr>
        <w:instrText xml:space="preserve"> _</w:instrText>
      </w:r>
      <w:r w:rsidRPr="004D6EAC">
        <w:rPr>
          <w:rStyle w:val="af7"/>
          <w:rFonts w:eastAsia="Guttman Hodes" w:hint="cs"/>
        </w:rPr>
        <w:instrText>Ref523132456 \r \h</w:instrText>
      </w:r>
      <w:r w:rsidRPr="004D6EAC">
        <w:rPr>
          <w:rStyle w:val="af7"/>
          <w:rFonts w:eastAsia="Guttman Hodes"/>
          <w:rtl/>
        </w:rPr>
        <w:instrText xml:space="preserve"> </w:instrText>
      </w:r>
      <w:r w:rsidRPr="004D6EAC">
        <w:rPr>
          <w:rStyle w:val="af7"/>
          <w:rFonts w:eastAsia="Guttman Hodes"/>
          <w:rtl/>
        </w:rPr>
      </w:r>
      <w:r w:rsidRPr="004D6EAC">
        <w:rPr>
          <w:rStyle w:val="af7"/>
          <w:rFonts w:eastAsia="Guttman Hodes"/>
          <w:rtl/>
        </w:rPr>
        <w:fldChar w:fldCharType="separate"/>
      </w:r>
      <w:r w:rsidR="00345400">
        <w:rPr>
          <w:rStyle w:val="af7"/>
          <w:rFonts w:eastAsia="Guttman Hodes"/>
          <w:cs/>
        </w:rPr>
        <w:t>‎</w:t>
      </w:r>
      <w:r w:rsidR="00345400">
        <w:rPr>
          <w:rStyle w:val="af7"/>
          <w:rFonts w:eastAsia="Guttman Hodes"/>
          <w:rtl/>
        </w:rPr>
        <w:t>קח)</w:t>
      </w:r>
      <w:r w:rsidRPr="004D6EAC">
        <w:rPr>
          <w:rStyle w:val="af7"/>
          <w:rFonts w:eastAsia="Guttman Hodes"/>
          <w:rtl/>
        </w:rPr>
        <w:fldChar w:fldCharType="end"/>
      </w:r>
      <w:r>
        <w:rPr>
          <w:rFonts w:hint="cs"/>
          <w:rtl/>
        </w:rPr>
        <w:t xml:space="preserve"> דלא שייך לומר שיש ספק בחזקות, דאחר שמעמידים את הסכין בחזקת בדוק, אין כל ספק בשחיטה.</w:t>
      </w:r>
    </w:p>
    <w:p w14:paraId="3BCB04F2" w14:textId="77777777" w:rsidR="00FC47D4" w:rsidRPr="003E2891" w:rsidRDefault="00FC47D4" w:rsidP="006D6D32">
      <w:pPr>
        <w:pStyle w:val="afe"/>
        <w:rPr>
          <w:rtl/>
        </w:rPr>
      </w:pPr>
      <w:bookmarkStart w:id="3145" w:name="_Toc523397188"/>
      <w:bookmarkStart w:id="3146" w:name="_Toc523490295"/>
      <w:bookmarkStart w:id="3147" w:name="_Toc523697902"/>
      <w:bookmarkStart w:id="3148" w:name="_Toc523735677"/>
      <w:bookmarkStart w:id="3149" w:name="_Toc526248915"/>
      <w:bookmarkStart w:id="3150" w:name="_Toc526409445"/>
      <w:bookmarkStart w:id="3151" w:name="_Toc526939087"/>
      <w:bookmarkStart w:id="3152" w:name="_Toc527060219"/>
      <w:bookmarkStart w:id="3153" w:name="_Toc527060367"/>
      <w:bookmarkStart w:id="3154" w:name="_Toc527100744"/>
      <w:bookmarkStart w:id="3155" w:name="_Toc528226999"/>
      <w:bookmarkStart w:id="3156" w:name="_Toc528227163"/>
      <w:bookmarkStart w:id="3157" w:name="_Toc528227325"/>
      <w:bookmarkStart w:id="3158" w:name="_Toc19435327"/>
      <w:bookmarkStart w:id="3159" w:name="_Toc20080665"/>
      <w:r w:rsidRPr="003E2891">
        <w:rPr>
          <w:rFonts w:hint="cs"/>
          <w:rtl/>
        </w:rPr>
        <w:t xml:space="preserve">בדין </w:t>
      </w:r>
      <w:r>
        <w:rPr>
          <w:rFonts w:hint="cs"/>
          <w:rtl/>
        </w:rPr>
        <w:t>אבד</w:t>
      </w:r>
      <w:r w:rsidRPr="003E2891">
        <w:rPr>
          <w:rtl/>
        </w:rPr>
        <w:t xml:space="preserve"> </w:t>
      </w:r>
      <w:r w:rsidRPr="003E2891">
        <w:rPr>
          <w:rFonts w:hint="cs"/>
          <w:rtl/>
        </w:rPr>
        <w:t>הסכין אחר השחיטה</w:t>
      </w:r>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p>
    <w:p w14:paraId="76899CEA" w14:textId="77777777" w:rsidR="00FC47D4" w:rsidRPr="003E2891" w:rsidRDefault="00FC47D4" w:rsidP="00BF39B2">
      <w:pPr>
        <w:pStyle w:val="1"/>
        <w:rPr>
          <w:rtl/>
        </w:rPr>
      </w:pPr>
      <w:bookmarkStart w:id="3160" w:name="_Toc523397189"/>
      <w:bookmarkStart w:id="3161" w:name="_Toc523490296"/>
      <w:bookmarkStart w:id="3162" w:name="_Toc523697903"/>
      <w:bookmarkStart w:id="3163" w:name="_Toc523735678"/>
      <w:bookmarkStart w:id="3164" w:name="_Toc526248916"/>
      <w:bookmarkStart w:id="3165" w:name="_Toc526409446"/>
      <w:bookmarkStart w:id="3166" w:name="_Toc526939088"/>
      <w:bookmarkStart w:id="3167" w:name="_Toc527060220"/>
      <w:bookmarkStart w:id="3168" w:name="_Toc527060368"/>
      <w:bookmarkStart w:id="3169" w:name="_Toc527100745"/>
      <w:bookmarkStart w:id="3170" w:name="_Toc528227000"/>
      <w:bookmarkStart w:id="3171" w:name="_Toc528227164"/>
      <w:bookmarkStart w:id="3172" w:name="_Toc528227326"/>
      <w:bookmarkStart w:id="3173" w:name="_Toc19389410"/>
      <w:bookmarkStart w:id="3174" w:name="_Toc19392907"/>
      <w:r w:rsidRPr="003E2891">
        <w:rPr>
          <w:rFonts w:hint="cs"/>
          <w:rtl/>
        </w:rPr>
        <w:t>דעת הרמב"ן דלרב הונא השחיטה פסולה אף באבד הסכין</w:t>
      </w:r>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r w:rsidRPr="003E2891">
        <w:rPr>
          <w:rFonts w:hint="cs"/>
          <w:rtl/>
        </w:rPr>
        <w:t xml:space="preserve"> </w:t>
      </w:r>
    </w:p>
    <w:p w14:paraId="1855B785" w14:textId="77777777" w:rsidR="00FC47D4" w:rsidRPr="003E2891" w:rsidRDefault="00FC47D4" w:rsidP="006D6D32">
      <w:pPr>
        <w:pStyle w:val="a3"/>
        <w:rPr>
          <w:rtl/>
        </w:rPr>
      </w:pPr>
      <w:bookmarkStart w:id="3175" w:name="_Toc523397190"/>
      <w:bookmarkStart w:id="3176" w:name="_Toc523490297"/>
      <w:bookmarkStart w:id="3177" w:name="_Toc523697904"/>
      <w:bookmarkStart w:id="3178" w:name="_Toc523735679"/>
      <w:bookmarkStart w:id="3179" w:name="_Toc526248917"/>
      <w:bookmarkStart w:id="3180" w:name="_Toc526409447"/>
      <w:bookmarkStart w:id="3181" w:name="_Toc526939089"/>
      <w:bookmarkStart w:id="3182" w:name="_Toc527060221"/>
      <w:bookmarkStart w:id="3183" w:name="_Toc527060369"/>
      <w:bookmarkStart w:id="3184" w:name="_Toc527100746"/>
      <w:bookmarkStart w:id="3185" w:name="_Toc528227001"/>
      <w:bookmarkStart w:id="3186" w:name="_Toc528227165"/>
      <w:bookmarkStart w:id="3187" w:name="_Toc528227327"/>
      <w:bookmarkStart w:id="3188" w:name="_Toc19389411"/>
      <w:bookmarkStart w:id="3189" w:name="_Toc19392908"/>
      <w:r w:rsidRPr="003E2891">
        <w:rPr>
          <w:rFonts w:hint="cs"/>
          <w:rtl/>
        </w:rPr>
        <w:t>דברי הרמב"ן והר"ן דאם לא בדק אחר השחיטה ואבד הסכין פוסל רב הונא</w:t>
      </w:r>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p>
    <w:p w14:paraId="2B6E1C32" w14:textId="77777777" w:rsidR="00FC47D4" w:rsidRPr="003E2891" w:rsidRDefault="00FC47D4" w:rsidP="00223668">
      <w:pPr>
        <w:pStyle w:val="a0"/>
        <w:rPr>
          <w:rtl/>
        </w:rPr>
      </w:pPr>
      <w:bookmarkStart w:id="3190" w:name="_Ref523132416"/>
      <w:r w:rsidRPr="003E2891">
        <w:rPr>
          <w:rFonts w:hint="cs"/>
          <w:rtl/>
        </w:rPr>
        <w:t xml:space="preserve">כתב </w:t>
      </w:r>
      <w:r w:rsidRPr="003E2891">
        <w:rPr>
          <w:rStyle w:val="af9"/>
          <w:rFonts w:hint="cs"/>
          <w:rtl/>
        </w:rPr>
        <w:t>הרמב"ן</w:t>
      </w:r>
      <w:r w:rsidRPr="003E2891">
        <w:rPr>
          <w:rStyle w:val="af7"/>
          <w:rFonts w:eastAsia="Guttman Hodes" w:hint="cs"/>
          <w:rtl/>
        </w:rPr>
        <w:t xml:space="preserve"> (ד"ה השוחט) </w:t>
      </w:r>
      <w:r w:rsidRPr="003E2891">
        <w:rPr>
          <w:rFonts w:hint="cs"/>
          <w:rtl/>
        </w:rPr>
        <w:t>דבגמ' מבואר דס"ל לרב הונא שצריך לבדוק את הסכין אחר השחיטה, וכל שלא בדק או ש</w:t>
      </w:r>
      <w:r>
        <w:rPr>
          <w:rFonts w:hint="cs"/>
          <w:rtl/>
        </w:rPr>
        <w:t>אבד</w:t>
      </w:r>
      <w:r w:rsidRPr="003E2891">
        <w:rPr>
          <w:rFonts w:hint="cs"/>
          <w:rtl/>
        </w:rPr>
        <w:t xml:space="preserve"> הסכין שחיטתו פסולה, וכ"כ </w:t>
      </w:r>
      <w:r w:rsidRPr="003E2891">
        <w:rPr>
          <w:rStyle w:val="af9"/>
          <w:rFonts w:hint="cs"/>
          <w:rtl/>
        </w:rPr>
        <w:t>הר"ן</w:t>
      </w:r>
      <w:r>
        <w:rPr>
          <w:rStyle w:val="af9"/>
          <w:rFonts w:hint="cs"/>
          <w:rtl/>
        </w:rPr>
        <w:t xml:space="preserve"> על הרי"ף</w:t>
      </w:r>
      <w:r w:rsidRPr="003E2891">
        <w:rPr>
          <w:rFonts w:hint="cs"/>
          <w:rtl/>
        </w:rPr>
        <w:t xml:space="preserve"> </w:t>
      </w:r>
      <w:r w:rsidRPr="003E2891">
        <w:rPr>
          <w:rStyle w:val="af7"/>
          <w:rFonts w:eastAsia="Guttman Hodes" w:hint="cs"/>
          <w:rtl/>
        </w:rPr>
        <w:t>(ב: מדפי הרי"ף ד"ה פסולה)</w:t>
      </w:r>
      <w:r w:rsidRPr="003E2891">
        <w:rPr>
          <w:rFonts w:hint="cs"/>
          <w:rtl/>
        </w:rPr>
        <w:t xml:space="preserve"> דלרב הונא בין בשיבר בה עצמות, ובין ב</w:t>
      </w:r>
      <w:r>
        <w:rPr>
          <w:rFonts w:hint="cs"/>
          <w:rtl/>
        </w:rPr>
        <w:t>אבד</w:t>
      </w:r>
      <w:r w:rsidRPr="003E2891">
        <w:rPr>
          <w:rFonts w:hint="cs"/>
          <w:rtl/>
        </w:rPr>
        <w:t xml:space="preserve"> הסכין, השחיטה פסולה.</w:t>
      </w:r>
      <w:bookmarkEnd w:id="3190"/>
    </w:p>
    <w:p w14:paraId="3A3C6A74" w14:textId="77777777" w:rsidR="00FC47D4" w:rsidRPr="003E2891" w:rsidRDefault="00FC47D4" w:rsidP="006D6D32">
      <w:pPr>
        <w:pStyle w:val="a3"/>
      </w:pPr>
      <w:bookmarkStart w:id="3191" w:name="_Toc523397192"/>
      <w:bookmarkStart w:id="3192" w:name="_Toc523490299"/>
      <w:bookmarkStart w:id="3193" w:name="_Toc523697905"/>
      <w:bookmarkStart w:id="3194" w:name="_Toc523735680"/>
      <w:bookmarkStart w:id="3195" w:name="_Toc526248918"/>
      <w:bookmarkStart w:id="3196" w:name="_Toc526409448"/>
      <w:bookmarkStart w:id="3197" w:name="_Toc526939090"/>
      <w:bookmarkStart w:id="3198" w:name="_Toc527060222"/>
      <w:bookmarkStart w:id="3199" w:name="_Toc527060370"/>
      <w:bookmarkStart w:id="3200" w:name="_Toc527100747"/>
      <w:bookmarkStart w:id="3201" w:name="_Toc528227002"/>
      <w:bookmarkStart w:id="3202" w:name="_Toc528227166"/>
      <w:bookmarkStart w:id="3203" w:name="_Toc528227328"/>
      <w:bookmarkStart w:id="3204" w:name="_Toc19389412"/>
      <w:bookmarkStart w:id="3205" w:name="_Toc19392909"/>
      <w:r w:rsidRPr="003E2891">
        <w:rPr>
          <w:rFonts w:hint="cs"/>
          <w:rtl/>
        </w:rPr>
        <w:t>הוכחת הרא"ה דבאבד הסכין פסול דאין אבידה כשבירת עצמות ופוסל בה רב הונא</w:t>
      </w:r>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p>
    <w:p w14:paraId="3ACCB823" w14:textId="77777777" w:rsidR="00FC47D4" w:rsidRPr="003E2891" w:rsidRDefault="00FC47D4" w:rsidP="00223668">
      <w:pPr>
        <w:pStyle w:val="a0"/>
      </w:pPr>
      <w:bookmarkStart w:id="3206" w:name="_Ref523082055"/>
      <w:r w:rsidRPr="003E2891">
        <w:rPr>
          <w:rFonts w:hint="cs"/>
          <w:rtl/>
        </w:rPr>
        <w:t xml:space="preserve">וכ"כ </w:t>
      </w:r>
      <w:r w:rsidRPr="003E2891">
        <w:rPr>
          <w:rStyle w:val="af9"/>
          <w:rFonts w:hint="cs"/>
          <w:rtl/>
        </w:rPr>
        <w:t>הרא"ה בבד"ה</w:t>
      </w:r>
      <w:r w:rsidRPr="003E2891">
        <w:rPr>
          <w:rFonts w:hint="cs"/>
          <w:rtl/>
        </w:rPr>
        <w:t xml:space="preserve"> </w:t>
      </w:r>
      <w:r w:rsidRPr="003E2891">
        <w:rPr>
          <w:rStyle w:val="af7"/>
          <w:rFonts w:eastAsia="Guttman Hodes" w:hint="cs"/>
          <w:rtl/>
        </w:rPr>
        <w:t>(ב</w:t>
      </w:r>
      <w:r w:rsidRPr="003E2891">
        <w:rPr>
          <w:rStyle w:val="af7"/>
          <w:rFonts w:eastAsia="Guttman Hodes"/>
          <w:rtl/>
        </w:rPr>
        <w:t>"</w:t>
      </w:r>
      <w:r w:rsidRPr="003E2891">
        <w:rPr>
          <w:rStyle w:val="af7"/>
          <w:rFonts w:eastAsia="Guttman Hodes" w:hint="cs"/>
          <w:rtl/>
        </w:rPr>
        <w:t>א ריש ש</w:t>
      </w:r>
      <w:r w:rsidRPr="003E2891">
        <w:rPr>
          <w:rStyle w:val="af7"/>
          <w:rFonts w:eastAsia="Guttman Hodes"/>
          <w:rtl/>
        </w:rPr>
        <w:t>"</w:t>
      </w:r>
      <w:r w:rsidRPr="003E2891">
        <w:rPr>
          <w:rStyle w:val="af7"/>
          <w:rFonts w:eastAsia="Guttman Hodes" w:hint="cs"/>
          <w:rtl/>
        </w:rPr>
        <w:t>א דף ד: מדה"ס)</w:t>
      </w:r>
      <w:r w:rsidRPr="003E2891">
        <w:rPr>
          <w:rFonts w:hint="cs"/>
          <w:rtl/>
        </w:rPr>
        <w:t xml:space="preserve"> </w:t>
      </w:r>
      <w:r w:rsidRPr="003E2891">
        <w:rPr>
          <w:rStyle w:val="af9"/>
          <w:rFonts w:hint="cs"/>
          <w:rtl/>
        </w:rPr>
        <w:t>ובחי'</w:t>
      </w:r>
      <w:r w:rsidRPr="003E2891">
        <w:rPr>
          <w:rFonts w:hint="cs"/>
          <w:rtl/>
        </w:rPr>
        <w:t xml:space="preserve"> </w:t>
      </w:r>
      <w:r w:rsidRPr="003E2891">
        <w:rPr>
          <w:rStyle w:val="af7"/>
          <w:rFonts w:eastAsia="Guttman Hodes" w:hint="cs"/>
          <w:rtl/>
        </w:rPr>
        <w:t>(ד"ה איתמר)</w:t>
      </w:r>
      <w:r w:rsidRPr="003E2891">
        <w:rPr>
          <w:rFonts w:hint="cs"/>
          <w:rtl/>
        </w:rPr>
        <w:t xml:space="preserve"> דב</w:t>
      </w:r>
      <w:r>
        <w:rPr>
          <w:rFonts w:hint="cs"/>
          <w:rtl/>
        </w:rPr>
        <w:t>אבד</w:t>
      </w:r>
      <w:r w:rsidRPr="003E2891">
        <w:rPr>
          <w:rFonts w:hint="cs"/>
          <w:rtl/>
        </w:rPr>
        <w:t xml:space="preserve"> הסכין השחיטה פסולה לרב הונא, </w:t>
      </w:r>
      <w:r>
        <w:rPr>
          <w:rFonts w:hint="cs"/>
          <w:rtl/>
        </w:rPr>
        <w:t>דמבואר מהא ד</w:t>
      </w:r>
      <w:r w:rsidRPr="003E2891">
        <w:rPr>
          <w:rFonts w:hint="cs"/>
          <w:rtl/>
        </w:rPr>
        <w:t xml:space="preserve">רב הונא </w:t>
      </w:r>
      <w:r>
        <w:rPr>
          <w:rFonts w:hint="cs"/>
          <w:rtl/>
        </w:rPr>
        <w:t>אס</w:t>
      </w:r>
      <w:r w:rsidRPr="003E2891">
        <w:rPr>
          <w:rFonts w:hint="cs"/>
          <w:rtl/>
        </w:rPr>
        <w:t>ר אפילו בשיבר בה עצמות, דאנו רואים שהפגם הוא מחמת השבירה, דראוי שהסכין תשבר לגמרי בכה"ג, ואפ"ה השחיטה אסורה לרב הונא, וא"כ א"א להתיר באבידת סכין, דאין לך אבידת סכין גדולה כשבירת עצמות.</w:t>
      </w:r>
      <w:bookmarkStart w:id="3207" w:name="_Toc523397193"/>
      <w:bookmarkEnd w:id="3206"/>
    </w:p>
    <w:p w14:paraId="5AC0E1F1" w14:textId="77777777" w:rsidR="00FC47D4" w:rsidRPr="003E2891" w:rsidRDefault="00FC47D4" w:rsidP="006D6D32">
      <w:pPr>
        <w:pStyle w:val="a3"/>
        <w:rPr>
          <w:rtl/>
        </w:rPr>
      </w:pPr>
      <w:bookmarkStart w:id="3208" w:name="_Toc523490300"/>
      <w:bookmarkStart w:id="3209" w:name="_Toc523697906"/>
      <w:bookmarkStart w:id="3210" w:name="_Toc523735681"/>
      <w:bookmarkStart w:id="3211" w:name="_Toc526248919"/>
      <w:bookmarkStart w:id="3212" w:name="_Toc526409449"/>
      <w:bookmarkStart w:id="3213" w:name="_Toc526939091"/>
      <w:bookmarkStart w:id="3214" w:name="_Toc527060223"/>
      <w:bookmarkStart w:id="3215" w:name="_Toc527060371"/>
      <w:bookmarkStart w:id="3216" w:name="_Toc527100748"/>
      <w:bookmarkStart w:id="3217" w:name="_Toc528227003"/>
      <w:bookmarkStart w:id="3218" w:name="_Toc528227167"/>
      <w:bookmarkStart w:id="3219" w:name="_Toc528227329"/>
      <w:bookmarkStart w:id="3220" w:name="_Toc19389413"/>
      <w:bookmarkStart w:id="3221" w:name="_Toc19392910"/>
      <w:r w:rsidRPr="003E2891">
        <w:rPr>
          <w:rFonts w:hint="cs"/>
          <w:rtl/>
        </w:rPr>
        <w:t>דחיית הרשב"א דשיבר בה עצמות אינו כנשבר לפנינו</w:t>
      </w:r>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p>
    <w:p w14:paraId="34A8C27A" w14:textId="77777777" w:rsidR="00FC47D4" w:rsidRDefault="00FC47D4" w:rsidP="00223668">
      <w:pPr>
        <w:pStyle w:val="a0"/>
        <w:rPr>
          <w:rtl/>
        </w:rPr>
      </w:pPr>
      <w:r w:rsidRPr="003E2891">
        <w:rPr>
          <w:rFonts w:hint="cs"/>
          <w:rtl/>
        </w:rPr>
        <w:t xml:space="preserve">אך </w:t>
      </w:r>
      <w:r w:rsidRPr="003E2891">
        <w:rPr>
          <w:rStyle w:val="af9"/>
          <w:rFonts w:hint="cs"/>
          <w:rtl/>
        </w:rPr>
        <w:t>הרשב"א במשה"ב</w:t>
      </w:r>
      <w:r w:rsidRPr="003E2891">
        <w:rPr>
          <w:rFonts w:hint="cs"/>
          <w:rtl/>
        </w:rPr>
        <w:t xml:space="preserve"> </w:t>
      </w:r>
      <w:r w:rsidRPr="003E2891">
        <w:rPr>
          <w:rStyle w:val="af7"/>
          <w:rFonts w:eastAsia="Guttman Hodes" w:hint="cs"/>
          <w:rtl/>
        </w:rPr>
        <w:t>(ב</w:t>
      </w:r>
      <w:r w:rsidRPr="003E2891">
        <w:rPr>
          <w:rStyle w:val="af7"/>
          <w:rFonts w:eastAsia="Guttman Hodes"/>
          <w:rtl/>
        </w:rPr>
        <w:t>"</w:t>
      </w:r>
      <w:r w:rsidRPr="003E2891">
        <w:rPr>
          <w:rStyle w:val="af7"/>
          <w:rFonts w:eastAsia="Guttman Hodes" w:hint="cs"/>
          <w:rtl/>
        </w:rPr>
        <w:t>א ריש ש</w:t>
      </w:r>
      <w:r w:rsidRPr="003E2891">
        <w:rPr>
          <w:rStyle w:val="af7"/>
          <w:rFonts w:eastAsia="Guttman Hodes"/>
          <w:rtl/>
        </w:rPr>
        <w:t>"</w:t>
      </w:r>
      <w:r w:rsidRPr="003E2891">
        <w:rPr>
          <w:rStyle w:val="af7"/>
          <w:rFonts w:eastAsia="Guttman Hodes" w:hint="cs"/>
          <w:rtl/>
        </w:rPr>
        <w:t>א דף ד: מדה"ס)</w:t>
      </w:r>
      <w:r w:rsidRPr="003E2891">
        <w:rPr>
          <w:rFonts w:hint="cs"/>
          <w:rtl/>
        </w:rPr>
        <w:t xml:space="preserve"> דחה את דברי </w:t>
      </w:r>
      <w:r w:rsidRPr="003E2891">
        <w:rPr>
          <w:rStyle w:val="af9"/>
          <w:rFonts w:hint="cs"/>
          <w:rtl/>
        </w:rPr>
        <w:t>הרא"ה בבד"ה</w:t>
      </w:r>
      <w:r w:rsidRPr="003E2891">
        <w:rPr>
          <w:rFonts w:hint="cs"/>
          <w:rtl/>
        </w:rPr>
        <w:t xml:space="preserve"> וכתב דבנשבר ודאי דמודה רב הונא כיון שהוא שבור לפנינו לאחר השחיטה, וכן אם פגמוהו לפנינו לאחר השחיטה, דאי"ז אפילו ספק שיוכל להוציא מהודאי של הבדיקה לפני השחיטה, ואין כל ריעותא בבדיקה, והוסיף </w:t>
      </w:r>
      <w:r w:rsidRPr="003E2891">
        <w:rPr>
          <w:rStyle w:val="af9"/>
          <w:rFonts w:hint="cs"/>
          <w:rtl/>
        </w:rPr>
        <w:t>הרשב"א במשה"ב</w:t>
      </w:r>
      <w:r w:rsidRPr="003E2891">
        <w:rPr>
          <w:rFonts w:hint="cs"/>
          <w:rtl/>
        </w:rPr>
        <w:t xml:space="preserve"> דמה שדימה </w:t>
      </w:r>
      <w:r w:rsidRPr="003E2891">
        <w:rPr>
          <w:rStyle w:val="af9"/>
          <w:rFonts w:hint="cs"/>
          <w:rtl/>
        </w:rPr>
        <w:t>הרא"ה בבד"ה</w:t>
      </w:r>
      <w:r w:rsidRPr="003E2891">
        <w:rPr>
          <w:rFonts w:hint="cs"/>
          <w:rtl/>
        </w:rPr>
        <w:t xml:space="preserve"> שיבר בה עצמות לנשבר לגמרי, אינו נכון דאנו רואים שיש חרבות וסכינים של קצבים, שאינם נפגמים כלל בשבירת עצמות, לכן מעמידים את הסכין</w:t>
      </w:r>
      <w:r>
        <w:rPr>
          <w:rFonts w:hint="cs"/>
          <w:rtl/>
        </w:rPr>
        <w:t xml:space="preserve"> על חזקתו שנבדק לפני השחיטה.</w:t>
      </w:r>
    </w:p>
    <w:p w14:paraId="493999B0" w14:textId="77777777" w:rsidR="00FC47D4" w:rsidRPr="00AB2CCE" w:rsidRDefault="00FC47D4" w:rsidP="00BF39B2">
      <w:pPr>
        <w:pStyle w:val="1"/>
        <w:rPr>
          <w:rtl/>
        </w:rPr>
      </w:pPr>
      <w:bookmarkStart w:id="3222" w:name="_Toc523397194"/>
      <w:bookmarkStart w:id="3223" w:name="_Toc523490302"/>
      <w:bookmarkStart w:id="3224" w:name="_Toc523697907"/>
      <w:bookmarkStart w:id="3225" w:name="_Toc523735682"/>
      <w:bookmarkStart w:id="3226" w:name="_Toc526248920"/>
      <w:bookmarkStart w:id="3227" w:name="_Toc526409450"/>
      <w:bookmarkStart w:id="3228" w:name="_Toc526939092"/>
      <w:bookmarkStart w:id="3229" w:name="_Toc527060224"/>
      <w:bookmarkStart w:id="3230" w:name="_Toc527060372"/>
      <w:bookmarkStart w:id="3231" w:name="_Toc527100749"/>
      <w:bookmarkStart w:id="3232" w:name="_Toc528227004"/>
      <w:bookmarkStart w:id="3233" w:name="_Toc528227168"/>
      <w:bookmarkStart w:id="3234" w:name="_Toc528227330"/>
      <w:bookmarkStart w:id="3235" w:name="_Toc19389414"/>
      <w:bookmarkStart w:id="3236" w:name="_Toc19392911"/>
      <w:bookmarkEnd w:id="3207"/>
      <w:r w:rsidRPr="00AB2CCE">
        <w:rPr>
          <w:rFonts w:hint="cs"/>
          <w:rtl/>
        </w:rPr>
        <w:t>ראיות הרמב"ן דלרב הונא השחיטה פסולה באבד הסכין</w:t>
      </w:r>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p>
    <w:p w14:paraId="41C9C6D6" w14:textId="77777777" w:rsidR="00FC47D4" w:rsidRPr="009A4BFF" w:rsidRDefault="00FC47D4" w:rsidP="006D6D32">
      <w:pPr>
        <w:pStyle w:val="a3"/>
        <w:rPr>
          <w:rtl/>
        </w:rPr>
      </w:pPr>
      <w:bookmarkStart w:id="3237" w:name="_Toc523397195"/>
      <w:bookmarkStart w:id="3238" w:name="_Toc523490303"/>
      <w:bookmarkStart w:id="3239" w:name="_Toc523697908"/>
      <w:bookmarkStart w:id="3240" w:name="_Toc523735683"/>
      <w:bookmarkStart w:id="3241" w:name="_Toc526248921"/>
      <w:bookmarkStart w:id="3242" w:name="_Toc526409451"/>
      <w:bookmarkStart w:id="3243" w:name="_Toc526939093"/>
      <w:bookmarkStart w:id="3244" w:name="_Toc527060225"/>
      <w:bookmarkStart w:id="3245" w:name="_Toc527060373"/>
      <w:bookmarkStart w:id="3246" w:name="_Toc527100750"/>
      <w:bookmarkStart w:id="3247" w:name="_Toc528227005"/>
      <w:bookmarkStart w:id="3248" w:name="_Toc528227169"/>
      <w:bookmarkStart w:id="3249" w:name="_Toc528227331"/>
      <w:bookmarkStart w:id="3250" w:name="_Toc19389415"/>
      <w:bookmarkStart w:id="3251" w:name="_Toc19392912"/>
      <w:r>
        <w:rPr>
          <w:rFonts w:hint="cs"/>
          <w:rtl/>
        </w:rPr>
        <w:t>הוכחת הרמב"ן מהא דדימתה הגמ' דין בדיקת סכין לבדיקת סימנים</w:t>
      </w:r>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p>
    <w:p w14:paraId="74DDC7AC" w14:textId="77777777" w:rsidR="00FC47D4" w:rsidRDefault="00FC47D4" w:rsidP="00223668">
      <w:pPr>
        <w:pStyle w:val="a0"/>
        <w:rPr>
          <w:rtl/>
        </w:rPr>
      </w:pPr>
      <w:bookmarkStart w:id="3252" w:name="_Ref523072582"/>
      <w:r w:rsidRPr="009666A8">
        <w:rPr>
          <w:rStyle w:val="af9"/>
          <w:rFonts w:hint="cs"/>
          <w:rtl/>
        </w:rPr>
        <w:t>הרמב"ן</w:t>
      </w:r>
      <w:r>
        <w:rPr>
          <w:rFonts w:hint="cs"/>
          <w:rtl/>
        </w:rPr>
        <w:t xml:space="preserve"> </w:t>
      </w:r>
      <w:r w:rsidRPr="009666A8">
        <w:rPr>
          <w:rStyle w:val="af7"/>
          <w:rFonts w:eastAsia="Guttman Hodes" w:hint="cs"/>
          <w:rtl/>
        </w:rPr>
        <w:t xml:space="preserve">(ד"ה השוחט) </w:t>
      </w:r>
      <w:r>
        <w:rPr>
          <w:rFonts w:hint="cs"/>
          <w:rtl/>
        </w:rPr>
        <w:t xml:space="preserve">הביא ראיה דבאבד הסכין השחיטה פסולה, מהא דאמרינן בגמ' דרב הונא כשמעתיה דבהמה בחייה בחזקת איסור עומדת, א"כ משמע דבדיקת סכין היא כבדיקת סימנים, וכל שלא בדק הבהמה בחזקת איסור, ואף שהסכין נבדק לפני השחיטה, ולא דמי לסימנים שלא נבדקו כלל, מ"מ מוכח דסבר רב הונא שאין חילוק בין סכין לסימנים, דאי יש חילוק ביניהם, א"כ אף היכא דנמצאת הסכין פגומה, לא דמי לדברי רב הונא דבחזקת איסור עומדת, אלא כתב </w:t>
      </w:r>
      <w:r w:rsidRPr="00BB6422">
        <w:rPr>
          <w:rStyle w:val="af9"/>
          <w:rFonts w:hint="cs"/>
          <w:rtl/>
        </w:rPr>
        <w:t>הרמב"ן</w:t>
      </w:r>
      <w:r>
        <w:rPr>
          <w:rFonts w:hint="cs"/>
          <w:rtl/>
        </w:rPr>
        <w:t xml:space="preserve"> דמוכח דלרב הונא כל שלא נבדק הסכין אחר השחיטה, לא יצאה הבהמה מחזקת האיסור הראשון שהיה בה, ועי' במה שביאר </w:t>
      </w:r>
      <w:r w:rsidRPr="00B36300">
        <w:rPr>
          <w:rStyle w:val="af9"/>
          <w:rFonts w:hint="cs"/>
          <w:rtl/>
        </w:rPr>
        <w:t>השיטמ"ק</w:t>
      </w:r>
      <w:r>
        <w:rPr>
          <w:rFonts w:hint="cs"/>
          <w:rtl/>
        </w:rPr>
        <w:t xml:space="preserve"> </w:t>
      </w:r>
      <w:r w:rsidRPr="00B36300">
        <w:rPr>
          <w:rStyle w:val="af7"/>
          <w:rFonts w:eastAsia="Guttman Hodes" w:hint="cs"/>
          <w:rtl/>
        </w:rPr>
        <w:t xml:space="preserve">(עי' אות </w:t>
      </w:r>
      <w:r w:rsidRPr="00B36300">
        <w:rPr>
          <w:rStyle w:val="af7"/>
          <w:rFonts w:eastAsia="Guttman Hodes"/>
          <w:rtl/>
        </w:rPr>
        <w:fldChar w:fldCharType="begin"/>
      </w:r>
      <w:r w:rsidRPr="00B36300">
        <w:rPr>
          <w:rStyle w:val="af7"/>
          <w:rFonts w:eastAsia="Guttman Hodes"/>
          <w:rtl/>
        </w:rPr>
        <w:instrText xml:space="preserve"> </w:instrText>
      </w:r>
      <w:r w:rsidRPr="00B36300">
        <w:rPr>
          <w:rStyle w:val="af7"/>
          <w:rFonts w:eastAsia="Guttman Hodes" w:hint="cs"/>
        </w:rPr>
        <w:instrText>REF</w:instrText>
      </w:r>
      <w:r w:rsidRPr="00B36300">
        <w:rPr>
          <w:rStyle w:val="af7"/>
          <w:rFonts w:eastAsia="Guttman Hodes" w:hint="cs"/>
          <w:rtl/>
        </w:rPr>
        <w:instrText xml:space="preserve"> _</w:instrText>
      </w:r>
      <w:r w:rsidRPr="00B36300">
        <w:rPr>
          <w:rStyle w:val="af7"/>
          <w:rFonts w:eastAsia="Guttman Hodes" w:hint="cs"/>
        </w:rPr>
        <w:instrText>Ref523153351 \r \h</w:instrText>
      </w:r>
      <w:r w:rsidRPr="00B36300">
        <w:rPr>
          <w:rStyle w:val="af7"/>
          <w:rFonts w:eastAsia="Guttman Hodes"/>
          <w:rtl/>
        </w:rPr>
        <w:instrText xml:space="preserve"> </w:instrText>
      </w:r>
      <w:r w:rsidRPr="00B36300">
        <w:rPr>
          <w:rStyle w:val="af7"/>
          <w:rFonts w:eastAsia="Guttman Hodes"/>
          <w:rtl/>
        </w:rPr>
      </w:r>
      <w:r w:rsidRPr="00B36300">
        <w:rPr>
          <w:rStyle w:val="af7"/>
          <w:rFonts w:eastAsia="Guttman Hodes"/>
          <w:rtl/>
        </w:rPr>
        <w:fldChar w:fldCharType="separate"/>
      </w:r>
      <w:r w:rsidR="00345400">
        <w:rPr>
          <w:rStyle w:val="af7"/>
          <w:rFonts w:eastAsia="Guttman Hodes"/>
          <w:cs/>
        </w:rPr>
        <w:t>‎</w:t>
      </w:r>
      <w:r w:rsidR="00345400">
        <w:rPr>
          <w:rStyle w:val="af7"/>
          <w:rFonts w:eastAsia="Guttman Hodes"/>
          <w:rtl/>
        </w:rPr>
        <w:t>מב)</w:t>
      </w:r>
      <w:r w:rsidRPr="00B36300">
        <w:rPr>
          <w:rStyle w:val="af7"/>
          <w:rFonts w:eastAsia="Guttman Hodes"/>
          <w:rtl/>
        </w:rPr>
        <w:fldChar w:fldCharType="end"/>
      </w:r>
      <w:r>
        <w:rPr>
          <w:rFonts w:hint="cs"/>
          <w:rtl/>
        </w:rPr>
        <w:t xml:space="preserve"> בזה בדעת </w:t>
      </w:r>
      <w:r w:rsidRPr="00B36300">
        <w:rPr>
          <w:rStyle w:val="af9"/>
          <w:rFonts w:hint="cs"/>
          <w:rtl/>
        </w:rPr>
        <w:t>רבינו יונה</w:t>
      </w:r>
      <w:r>
        <w:rPr>
          <w:rFonts w:hint="cs"/>
          <w:rtl/>
        </w:rPr>
        <w:t xml:space="preserve"> ובדעת </w:t>
      </w:r>
      <w:r w:rsidRPr="00B36300">
        <w:rPr>
          <w:rStyle w:val="af9"/>
          <w:rFonts w:hint="cs"/>
          <w:rtl/>
        </w:rPr>
        <w:t>רש"י</w:t>
      </w:r>
      <w:r>
        <w:rPr>
          <w:rFonts w:hint="cs"/>
          <w:rtl/>
        </w:rPr>
        <w:t xml:space="preserve"> </w:t>
      </w:r>
      <w:r w:rsidRPr="00B36300">
        <w:rPr>
          <w:rStyle w:val="af7"/>
          <w:rFonts w:eastAsia="Guttman Hodes" w:hint="cs"/>
          <w:rtl/>
        </w:rPr>
        <w:t xml:space="preserve">(עי' אות </w:t>
      </w:r>
      <w:r w:rsidRPr="00B36300">
        <w:rPr>
          <w:rStyle w:val="af7"/>
          <w:rFonts w:eastAsia="Guttman Hodes"/>
          <w:rtl/>
        </w:rPr>
        <w:fldChar w:fldCharType="begin"/>
      </w:r>
      <w:r w:rsidRPr="00B36300">
        <w:rPr>
          <w:rStyle w:val="af7"/>
          <w:rFonts w:eastAsia="Guttman Hodes"/>
          <w:rtl/>
        </w:rPr>
        <w:instrText xml:space="preserve"> </w:instrText>
      </w:r>
      <w:r w:rsidRPr="00B36300">
        <w:rPr>
          <w:rStyle w:val="af7"/>
          <w:rFonts w:eastAsia="Guttman Hodes" w:hint="cs"/>
        </w:rPr>
        <w:instrText>REF</w:instrText>
      </w:r>
      <w:r w:rsidRPr="00B36300">
        <w:rPr>
          <w:rStyle w:val="af7"/>
          <w:rFonts w:eastAsia="Guttman Hodes" w:hint="cs"/>
          <w:rtl/>
        </w:rPr>
        <w:instrText xml:space="preserve"> _</w:instrText>
      </w:r>
      <w:r w:rsidRPr="00B36300">
        <w:rPr>
          <w:rStyle w:val="af7"/>
          <w:rFonts w:eastAsia="Guttman Hodes" w:hint="cs"/>
        </w:rPr>
        <w:instrText>Ref523072884 \r \h</w:instrText>
      </w:r>
      <w:r w:rsidRPr="00B36300">
        <w:rPr>
          <w:rStyle w:val="af7"/>
          <w:rFonts w:eastAsia="Guttman Hodes"/>
          <w:rtl/>
        </w:rPr>
        <w:instrText xml:space="preserve"> </w:instrText>
      </w:r>
      <w:r w:rsidRPr="00B36300">
        <w:rPr>
          <w:rStyle w:val="af7"/>
          <w:rFonts w:eastAsia="Guttman Hodes"/>
          <w:rtl/>
        </w:rPr>
      </w:r>
      <w:r w:rsidRPr="00B36300">
        <w:rPr>
          <w:rStyle w:val="af7"/>
          <w:rFonts w:eastAsia="Guttman Hodes"/>
          <w:rtl/>
        </w:rPr>
        <w:fldChar w:fldCharType="separate"/>
      </w:r>
      <w:r w:rsidR="00345400">
        <w:rPr>
          <w:rStyle w:val="af7"/>
          <w:rFonts w:eastAsia="Guttman Hodes"/>
          <w:cs/>
        </w:rPr>
        <w:t>‎</w:t>
      </w:r>
      <w:r w:rsidR="00345400">
        <w:rPr>
          <w:rStyle w:val="af7"/>
          <w:rFonts w:eastAsia="Guttman Hodes"/>
          <w:rtl/>
        </w:rPr>
        <w:t>מג)</w:t>
      </w:r>
      <w:r w:rsidRPr="00B36300">
        <w:rPr>
          <w:rStyle w:val="af7"/>
          <w:rFonts w:eastAsia="Guttman Hodes"/>
          <w:rtl/>
        </w:rPr>
        <w:fldChar w:fldCharType="end"/>
      </w:r>
      <w:r>
        <w:rPr>
          <w:rFonts w:hint="cs"/>
          <w:rtl/>
        </w:rPr>
        <w:t>.</w:t>
      </w:r>
      <w:bookmarkEnd w:id="3252"/>
    </w:p>
    <w:p w14:paraId="7B41F9B5" w14:textId="77777777" w:rsidR="00FC47D4" w:rsidRPr="002E5155" w:rsidRDefault="00FC47D4" w:rsidP="006D6D32">
      <w:pPr>
        <w:pStyle w:val="a3"/>
        <w:rPr>
          <w:rtl/>
        </w:rPr>
      </w:pPr>
      <w:bookmarkStart w:id="3253" w:name="_Toc523397196"/>
      <w:bookmarkStart w:id="3254" w:name="_Toc523490304"/>
      <w:bookmarkStart w:id="3255" w:name="_Toc523697909"/>
      <w:bookmarkStart w:id="3256" w:name="_Toc523735684"/>
      <w:bookmarkStart w:id="3257" w:name="_Toc526248922"/>
      <w:bookmarkStart w:id="3258" w:name="_Toc526409452"/>
      <w:bookmarkStart w:id="3259" w:name="_Toc526939094"/>
      <w:bookmarkStart w:id="3260" w:name="_Toc527060226"/>
      <w:bookmarkStart w:id="3261" w:name="_Toc527060374"/>
      <w:bookmarkStart w:id="3262" w:name="_Toc527100751"/>
      <w:bookmarkStart w:id="3263" w:name="_Toc528227006"/>
      <w:bookmarkStart w:id="3264" w:name="_Toc528227170"/>
      <w:bookmarkStart w:id="3265" w:name="_Toc528227332"/>
      <w:bookmarkStart w:id="3266" w:name="_Toc19389416"/>
      <w:bookmarkStart w:id="3267" w:name="_Toc19392913"/>
      <w:r>
        <w:rPr>
          <w:rFonts w:hint="cs"/>
          <w:rtl/>
        </w:rPr>
        <w:t>דברי הרמב"ן דא"א לומר שרק אם ימצא פגום פוסל רב הונא את כל השחיטות למפרע</w:t>
      </w:r>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p>
    <w:p w14:paraId="2D158812" w14:textId="77777777" w:rsidR="00FC47D4" w:rsidRDefault="00FC47D4" w:rsidP="00223668">
      <w:pPr>
        <w:pStyle w:val="a0"/>
        <w:rPr>
          <w:rtl/>
        </w:rPr>
      </w:pPr>
      <w:r>
        <w:rPr>
          <w:rFonts w:hint="cs"/>
          <w:rtl/>
        </w:rPr>
        <w:t>והוסיף</w:t>
      </w:r>
      <w:r w:rsidRPr="009666A8">
        <w:rPr>
          <w:rStyle w:val="af9"/>
          <w:rFonts w:hint="cs"/>
          <w:rtl/>
        </w:rPr>
        <w:t xml:space="preserve"> הרמב"ן </w:t>
      </w:r>
      <w:r>
        <w:rPr>
          <w:rFonts w:hint="cs"/>
          <w:rtl/>
        </w:rPr>
        <w:t xml:space="preserve">דא"א לומר דדוקא אם נמצאת הסכין פגומה, ס"ל לרב הונא דהשחיטה פסולה למפרע, אם לא בדק את הסכין לאחר הבדיקה, דא"כ אין לדבר סוף דלאחר כל כמה שחיטות אם תמצא פגומה, יפסלו כל השחיטות למפרע, דאמרינן דבעור נפגמה, אלא ודאי דלדעת רב הונא צריך לבדוק את הסכין לפני כל שחיטה, ואם אבד הסכין לפני שבדק, השחיטה פסולה, ועיי"ש במה שביאר </w:t>
      </w:r>
      <w:r w:rsidRPr="00E5728B">
        <w:rPr>
          <w:rStyle w:val="af9"/>
          <w:rFonts w:hint="cs"/>
          <w:rtl/>
        </w:rPr>
        <w:t>הרמב"</w:t>
      </w:r>
      <w:r>
        <w:rPr>
          <w:rStyle w:val="af9"/>
          <w:rFonts w:hint="cs"/>
          <w:rtl/>
        </w:rPr>
        <w:t>ן</w:t>
      </w:r>
      <w:r w:rsidRPr="00332EA4">
        <w:rPr>
          <w:rFonts w:hint="cs"/>
          <w:rtl/>
        </w:rPr>
        <w:t xml:space="preserve"> </w:t>
      </w:r>
      <w:r>
        <w:rPr>
          <w:rFonts w:hint="cs"/>
          <w:rtl/>
        </w:rPr>
        <w:t>בדברי רב כהנא בשחיטת כמה בהמות.</w:t>
      </w:r>
    </w:p>
    <w:p w14:paraId="2E11E2FF" w14:textId="77777777" w:rsidR="00FC47D4" w:rsidRPr="000F211D" w:rsidRDefault="00FC47D4" w:rsidP="00BF39B2">
      <w:pPr>
        <w:pStyle w:val="1"/>
        <w:rPr>
          <w:rtl/>
        </w:rPr>
      </w:pPr>
      <w:bookmarkStart w:id="3268" w:name="_Toc523697917"/>
      <w:bookmarkStart w:id="3269" w:name="_Toc523735692"/>
      <w:bookmarkStart w:id="3270" w:name="_Toc526248934"/>
      <w:bookmarkStart w:id="3271" w:name="_Toc526409453"/>
      <w:bookmarkStart w:id="3272" w:name="_Toc526939095"/>
      <w:bookmarkStart w:id="3273" w:name="_Toc527060227"/>
      <w:bookmarkStart w:id="3274" w:name="_Toc527060375"/>
      <w:bookmarkStart w:id="3275" w:name="_Toc527100752"/>
      <w:bookmarkStart w:id="3276" w:name="_Toc528227007"/>
      <w:bookmarkStart w:id="3277" w:name="_Toc528227171"/>
      <w:bookmarkStart w:id="3278" w:name="_Toc528227333"/>
      <w:bookmarkStart w:id="3279" w:name="_Toc19389417"/>
      <w:bookmarkStart w:id="3280" w:name="_Toc19392914"/>
      <w:bookmarkStart w:id="3281" w:name="_Toc523397204"/>
      <w:bookmarkStart w:id="3282" w:name="_Toc523490312"/>
      <w:r>
        <w:rPr>
          <w:rFonts w:hint="cs"/>
          <w:rtl/>
        </w:rPr>
        <w:t>ביאור הרשב"א ברמב"ן דהעור מצוי לפגום</w:t>
      </w:r>
      <w:bookmarkEnd w:id="3268"/>
      <w:bookmarkEnd w:id="3269"/>
      <w:bookmarkEnd w:id="3270"/>
      <w:bookmarkEnd w:id="3271"/>
      <w:bookmarkEnd w:id="3272"/>
      <w:bookmarkEnd w:id="3273"/>
      <w:bookmarkEnd w:id="3274"/>
      <w:bookmarkEnd w:id="3275"/>
      <w:bookmarkEnd w:id="3276"/>
      <w:bookmarkEnd w:id="3277"/>
      <w:bookmarkEnd w:id="3278"/>
      <w:bookmarkEnd w:id="3279"/>
      <w:bookmarkEnd w:id="3280"/>
    </w:p>
    <w:p w14:paraId="7F3E1CE9" w14:textId="77777777" w:rsidR="00FC47D4" w:rsidRDefault="00FC47D4" w:rsidP="006D6D32">
      <w:pPr>
        <w:pStyle w:val="a3"/>
        <w:rPr>
          <w:rtl/>
        </w:rPr>
      </w:pPr>
      <w:bookmarkStart w:id="3283" w:name="_Toc523697918"/>
      <w:bookmarkStart w:id="3284" w:name="_Toc523735693"/>
      <w:bookmarkStart w:id="3285" w:name="_Toc526248935"/>
      <w:bookmarkStart w:id="3286" w:name="_Toc526409454"/>
      <w:bookmarkStart w:id="3287" w:name="_Toc526939096"/>
      <w:bookmarkStart w:id="3288" w:name="_Toc527060228"/>
      <w:bookmarkStart w:id="3289" w:name="_Toc527060376"/>
      <w:bookmarkStart w:id="3290" w:name="_Toc527100753"/>
      <w:bookmarkStart w:id="3291" w:name="_Toc528227008"/>
      <w:bookmarkStart w:id="3292" w:name="_Toc528227172"/>
      <w:bookmarkStart w:id="3293" w:name="_Toc528227334"/>
      <w:bookmarkStart w:id="3294" w:name="_Toc19389418"/>
      <w:bookmarkStart w:id="3295" w:name="_Toc19392915"/>
      <w:r>
        <w:rPr>
          <w:rFonts w:hint="cs"/>
          <w:rtl/>
        </w:rPr>
        <w:t>ביאור הרשב"א ברמב"ן דחתיכת העור דמי למתעסק בחציצה לפני הטבילה דיצא מחזקת בדוק</w:t>
      </w:r>
      <w:bookmarkEnd w:id="3283"/>
      <w:bookmarkEnd w:id="3284"/>
      <w:bookmarkEnd w:id="3285"/>
      <w:bookmarkEnd w:id="3286"/>
      <w:bookmarkEnd w:id="3287"/>
      <w:bookmarkEnd w:id="3288"/>
      <w:bookmarkEnd w:id="3289"/>
      <w:bookmarkEnd w:id="3290"/>
      <w:bookmarkEnd w:id="3291"/>
      <w:bookmarkEnd w:id="3292"/>
      <w:bookmarkEnd w:id="3293"/>
      <w:bookmarkEnd w:id="3294"/>
      <w:bookmarkEnd w:id="3295"/>
    </w:p>
    <w:p w14:paraId="0CE81367" w14:textId="77777777" w:rsidR="00FC47D4" w:rsidRDefault="00FC47D4" w:rsidP="00223668">
      <w:pPr>
        <w:pStyle w:val="a0"/>
        <w:rPr>
          <w:rtl/>
        </w:rPr>
      </w:pPr>
      <w:bookmarkStart w:id="3296" w:name="_Ref523689251"/>
      <w:r>
        <w:rPr>
          <w:rFonts w:hint="cs"/>
          <w:rtl/>
        </w:rPr>
        <w:t xml:space="preserve">יעוי' בדברי </w:t>
      </w:r>
      <w:r w:rsidRPr="000F211D">
        <w:rPr>
          <w:rStyle w:val="af9"/>
          <w:rFonts w:hint="cs"/>
          <w:rtl/>
        </w:rPr>
        <w:t>הרשב"א</w:t>
      </w:r>
      <w:r>
        <w:rPr>
          <w:rFonts w:hint="cs"/>
          <w:rtl/>
        </w:rPr>
        <w:t xml:space="preserve"> </w:t>
      </w:r>
      <w:r w:rsidRPr="007E1BB5">
        <w:rPr>
          <w:rStyle w:val="af7"/>
          <w:rFonts w:eastAsia="Guttman Hodes" w:hint="cs"/>
          <w:rtl/>
        </w:rPr>
        <w:t xml:space="preserve">(עי' אות </w:t>
      </w:r>
      <w:r w:rsidRPr="007E1BB5">
        <w:rPr>
          <w:rStyle w:val="af7"/>
          <w:rFonts w:eastAsia="Guttman Hodes"/>
          <w:rtl/>
        </w:rPr>
        <w:fldChar w:fldCharType="begin"/>
      </w:r>
      <w:r w:rsidRPr="007E1BB5">
        <w:rPr>
          <w:rStyle w:val="af7"/>
          <w:rFonts w:eastAsia="Guttman Hodes"/>
          <w:rtl/>
        </w:rPr>
        <w:instrText xml:space="preserve"> </w:instrText>
      </w:r>
      <w:r w:rsidRPr="007E1BB5">
        <w:rPr>
          <w:rStyle w:val="af7"/>
          <w:rFonts w:eastAsia="Guttman Hodes" w:hint="cs"/>
        </w:rPr>
        <w:instrText>REF</w:instrText>
      </w:r>
      <w:r w:rsidRPr="007E1BB5">
        <w:rPr>
          <w:rStyle w:val="af7"/>
          <w:rFonts w:eastAsia="Guttman Hodes" w:hint="cs"/>
          <w:rtl/>
        </w:rPr>
        <w:instrText xml:space="preserve"> _</w:instrText>
      </w:r>
      <w:r w:rsidRPr="007E1BB5">
        <w:rPr>
          <w:rStyle w:val="af7"/>
          <w:rFonts w:eastAsia="Guttman Hodes" w:hint="cs"/>
        </w:rPr>
        <w:instrText>Ref523332135 \r \h</w:instrText>
      </w:r>
      <w:r w:rsidRPr="007E1BB5">
        <w:rPr>
          <w:rStyle w:val="af7"/>
          <w:rFonts w:eastAsia="Guttman Hodes"/>
          <w:rtl/>
        </w:rPr>
        <w:instrText xml:space="preserve"> </w:instrText>
      </w:r>
      <w:r w:rsidRPr="007E1BB5">
        <w:rPr>
          <w:rStyle w:val="af7"/>
          <w:rFonts w:eastAsia="Guttman Hodes"/>
          <w:rtl/>
        </w:rPr>
      </w:r>
      <w:r w:rsidRPr="007E1BB5">
        <w:rPr>
          <w:rStyle w:val="af7"/>
          <w:rFonts w:eastAsia="Guttman Hodes"/>
          <w:rtl/>
        </w:rPr>
        <w:fldChar w:fldCharType="separate"/>
      </w:r>
      <w:r w:rsidR="00345400">
        <w:rPr>
          <w:rStyle w:val="af7"/>
          <w:rFonts w:eastAsia="Guttman Hodes"/>
          <w:cs/>
        </w:rPr>
        <w:t>‎</w:t>
      </w:r>
      <w:r w:rsidR="00345400">
        <w:rPr>
          <w:rStyle w:val="af7"/>
          <w:rFonts w:eastAsia="Guttman Hodes"/>
          <w:rtl/>
        </w:rPr>
        <w:t>נא)</w:t>
      </w:r>
      <w:r w:rsidRPr="007E1BB5">
        <w:rPr>
          <w:rStyle w:val="af7"/>
          <w:rFonts w:eastAsia="Guttman Hodes"/>
          <w:rtl/>
        </w:rPr>
        <w:fldChar w:fldCharType="end"/>
      </w:r>
      <w:r>
        <w:rPr>
          <w:rFonts w:hint="cs"/>
          <w:rtl/>
        </w:rPr>
        <w:t xml:space="preserve"> דהוכיח דלדעת </w:t>
      </w:r>
      <w:r w:rsidRPr="000F211D">
        <w:rPr>
          <w:rStyle w:val="af9"/>
          <w:rFonts w:hint="cs"/>
          <w:rtl/>
        </w:rPr>
        <w:t>הרמב"ן</w:t>
      </w:r>
      <w:r>
        <w:rPr>
          <w:rFonts w:hint="cs"/>
          <w:rtl/>
        </w:rPr>
        <w:t xml:space="preserve"> צריך לבאר דכיון שחתך את העור עם הסכין, לפני שחתך את הסימנים, חשיב כמו שנתעסק בדבר החוצץ בין חפיפה לטבילה, שלא עלתה לו טבילה כלל, אף אם אחר הטבילה לא נמצאת חציצה, כיון דסבר רב הונא שמצוי שהעור פוגם.</w:t>
      </w:r>
      <w:bookmarkEnd w:id="3296"/>
    </w:p>
    <w:p w14:paraId="3E3D1A87" w14:textId="77777777" w:rsidR="00FC47D4" w:rsidRDefault="00FC47D4" w:rsidP="00BF39B2">
      <w:pPr>
        <w:pStyle w:val="1"/>
        <w:rPr>
          <w:rtl/>
        </w:rPr>
      </w:pPr>
      <w:bookmarkStart w:id="3297" w:name="_Toc523697919"/>
      <w:bookmarkStart w:id="3298" w:name="_Toc523735694"/>
      <w:bookmarkStart w:id="3299" w:name="_Toc526248936"/>
      <w:bookmarkStart w:id="3300" w:name="_Toc526409455"/>
      <w:bookmarkStart w:id="3301" w:name="_Toc526939097"/>
      <w:bookmarkStart w:id="3302" w:name="_Toc527060229"/>
      <w:bookmarkStart w:id="3303" w:name="_Toc527060377"/>
      <w:bookmarkStart w:id="3304" w:name="_Toc527100754"/>
      <w:bookmarkStart w:id="3305" w:name="_Toc528227009"/>
      <w:bookmarkStart w:id="3306" w:name="_Toc528227173"/>
      <w:bookmarkStart w:id="3307" w:name="_Toc528227335"/>
      <w:bookmarkStart w:id="3308" w:name="_Toc19389419"/>
      <w:bookmarkStart w:id="3309" w:name="_Toc19392916"/>
      <w:bookmarkStart w:id="3310" w:name="_Toc523397191"/>
      <w:bookmarkStart w:id="3311" w:name="_Toc523490298"/>
      <w:r>
        <w:rPr>
          <w:rFonts w:hint="cs"/>
          <w:rtl/>
        </w:rPr>
        <w:t>ביאורי הגרעק"א ברמב"ן דע"י חתיכת העור יצא הסכין מחזקתו</w:t>
      </w:r>
      <w:bookmarkEnd w:id="3297"/>
      <w:bookmarkEnd w:id="3298"/>
      <w:bookmarkEnd w:id="3299"/>
      <w:bookmarkEnd w:id="3300"/>
      <w:bookmarkEnd w:id="3301"/>
      <w:bookmarkEnd w:id="3302"/>
      <w:bookmarkEnd w:id="3303"/>
      <w:bookmarkEnd w:id="3304"/>
      <w:bookmarkEnd w:id="3305"/>
      <w:bookmarkEnd w:id="3306"/>
      <w:bookmarkEnd w:id="3307"/>
      <w:bookmarkEnd w:id="3308"/>
      <w:bookmarkEnd w:id="3309"/>
    </w:p>
    <w:p w14:paraId="492F8B27" w14:textId="77777777" w:rsidR="00FC47D4" w:rsidRDefault="00FC47D4" w:rsidP="006D6D32">
      <w:pPr>
        <w:pStyle w:val="a3"/>
        <w:rPr>
          <w:rtl/>
        </w:rPr>
      </w:pPr>
      <w:bookmarkStart w:id="3312" w:name="_Toc523697920"/>
      <w:bookmarkStart w:id="3313" w:name="_Toc523735695"/>
      <w:bookmarkStart w:id="3314" w:name="_Toc526248937"/>
      <w:bookmarkStart w:id="3315" w:name="_Toc526409456"/>
      <w:bookmarkStart w:id="3316" w:name="_Toc526939098"/>
      <w:bookmarkStart w:id="3317" w:name="_Toc527060230"/>
      <w:bookmarkStart w:id="3318" w:name="_Toc527060378"/>
      <w:bookmarkStart w:id="3319" w:name="_Toc527100755"/>
      <w:bookmarkStart w:id="3320" w:name="_Toc528227010"/>
      <w:bookmarkStart w:id="3321" w:name="_Toc528227174"/>
      <w:bookmarkStart w:id="3322" w:name="_Toc528227336"/>
      <w:bookmarkStart w:id="3323" w:name="_Toc19389420"/>
      <w:bookmarkStart w:id="3324" w:name="_Toc19392917"/>
      <w:r>
        <w:rPr>
          <w:rFonts w:hint="cs"/>
          <w:rtl/>
        </w:rPr>
        <w:t>ביאור הגרעק"א ברמב"ן דע"י חתיכת העור יצא הסכין מחזקת בדוק</w:t>
      </w:r>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p>
    <w:p w14:paraId="3FFA3667" w14:textId="77777777" w:rsidR="00FC47D4" w:rsidRPr="00C27CC0" w:rsidRDefault="00FC47D4" w:rsidP="00223668">
      <w:pPr>
        <w:pStyle w:val="a0"/>
        <w:rPr>
          <w:rtl/>
        </w:rPr>
      </w:pPr>
      <w:bookmarkStart w:id="3325" w:name="_Ref523132407"/>
      <w:r>
        <w:rPr>
          <w:rStyle w:val="af9"/>
          <w:rFonts w:hint="cs"/>
          <w:rtl/>
        </w:rPr>
        <w:t>ו</w:t>
      </w:r>
      <w:r w:rsidRPr="00C27CC0">
        <w:rPr>
          <w:rStyle w:val="af9"/>
          <w:rFonts w:hint="cs"/>
          <w:rtl/>
        </w:rPr>
        <w:t>הגרעק"א</w:t>
      </w:r>
      <w:r>
        <w:rPr>
          <w:rFonts w:hint="cs"/>
          <w:rtl/>
        </w:rPr>
        <w:t xml:space="preserve"> </w:t>
      </w:r>
      <w:r w:rsidRPr="00C27CC0">
        <w:rPr>
          <w:rStyle w:val="af7"/>
          <w:rFonts w:eastAsia="Guttman Hodes" w:hint="cs"/>
          <w:rtl/>
        </w:rPr>
        <w:t>(ד"ה אמר רב הונא)</w:t>
      </w:r>
      <w:r>
        <w:rPr>
          <w:rFonts w:hint="cs"/>
          <w:rtl/>
        </w:rPr>
        <w:t xml:space="preserve"> ביאר בדברי </w:t>
      </w:r>
      <w:r w:rsidRPr="00C27CC0">
        <w:rPr>
          <w:rStyle w:val="af9"/>
          <w:rFonts w:hint="cs"/>
          <w:rtl/>
        </w:rPr>
        <w:t>הרמב"ן</w:t>
      </w:r>
      <w:r>
        <w:rPr>
          <w:rFonts w:hint="cs"/>
          <w:rtl/>
        </w:rPr>
        <w:t xml:space="preserve"> </w:t>
      </w:r>
      <w:r w:rsidRPr="00DF58BC">
        <w:rPr>
          <w:rStyle w:val="afb"/>
          <w:rFonts w:hint="cs"/>
          <w:rtl/>
        </w:rPr>
        <w:t>[</w:t>
      </w:r>
      <w:r>
        <w:rPr>
          <w:rStyle w:val="afb"/>
          <w:rFonts w:hint="cs"/>
          <w:rtl/>
        </w:rPr>
        <w:t xml:space="preserve">ומשמע דכוונתו </w:t>
      </w:r>
      <w:r w:rsidRPr="00DF58BC">
        <w:rPr>
          <w:rStyle w:val="afb"/>
          <w:rFonts w:hint="cs"/>
          <w:rtl/>
        </w:rPr>
        <w:t xml:space="preserve">עפי"ד </w:t>
      </w:r>
      <w:r w:rsidRPr="00DF58BC">
        <w:rPr>
          <w:rStyle w:val="affa"/>
          <w:rFonts w:hint="cs"/>
          <w:rtl/>
        </w:rPr>
        <w:t>הרשב"א</w:t>
      </w:r>
      <w:r>
        <w:rPr>
          <w:rStyle w:val="affa"/>
          <w:rFonts w:hint="cs"/>
          <w:rtl/>
        </w:rPr>
        <w:t xml:space="preserve"> </w:t>
      </w:r>
      <w:r w:rsidRPr="004A20F2">
        <w:rPr>
          <w:rStyle w:val="aff6"/>
          <w:rFonts w:hint="cs"/>
          <w:rtl/>
        </w:rPr>
        <w:t xml:space="preserve">(עי' אות </w:t>
      </w:r>
      <w:r w:rsidRPr="004A20F2">
        <w:rPr>
          <w:rStyle w:val="aff6"/>
          <w:rtl/>
        </w:rPr>
        <w:fldChar w:fldCharType="begin"/>
      </w:r>
      <w:r w:rsidRPr="004A20F2">
        <w:rPr>
          <w:rStyle w:val="aff6"/>
          <w:rtl/>
        </w:rPr>
        <w:instrText xml:space="preserve"> </w:instrText>
      </w:r>
      <w:r w:rsidRPr="004A20F2">
        <w:rPr>
          <w:rStyle w:val="aff6"/>
          <w:rFonts w:hint="cs"/>
        </w:rPr>
        <w:instrText>REF</w:instrText>
      </w:r>
      <w:r w:rsidRPr="004A20F2">
        <w:rPr>
          <w:rStyle w:val="aff6"/>
          <w:rFonts w:hint="cs"/>
          <w:rtl/>
        </w:rPr>
        <w:instrText xml:space="preserve"> _</w:instrText>
      </w:r>
      <w:r w:rsidRPr="004A20F2">
        <w:rPr>
          <w:rStyle w:val="aff6"/>
          <w:rFonts w:hint="cs"/>
        </w:rPr>
        <w:instrText>Ref523689251 \r \h</w:instrText>
      </w:r>
      <w:r w:rsidRPr="004A20F2">
        <w:rPr>
          <w:rStyle w:val="aff6"/>
          <w:rtl/>
        </w:rPr>
        <w:instrText xml:space="preserve"> </w:instrText>
      </w:r>
      <w:r w:rsidRPr="004A20F2">
        <w:rPr>
          <w:rStyle w:val="aff6"/>
          <w:rtl/>
        </w:rPr>
      </w:r>
      <w:r w:rsidRPr="004A20F2">
        <w:rPr>
          <w:rStyle w:val="aff6"/>
          <w:rtl/>
        </w:rPr>
        <w:fldChar w:fldCharType="separate"/>
      </w:r>
      <w:r w:rsidR="00345400">
        <w:rPr>
          <w:rStyle w:val="aff6"/>
          <w:cs/>
        </w:rPr>
        <w:t>‎</w:t>
      </w:r>
      <w:r w:rsidR="00345400">
        <w:rPr>
          <w:rStyle w:val="aff6"/>
          <w:rtl/>
        </w:rPr>
        <w:t>כו)</w:t>
      </w:r>
      <w:r w:rsidRPr="004A20F2">
        <w:rPr>
          <w:rStyle w:val="aff6"/>
          <w:rtl/>
        </w:rPr>
        <w:fldChar w:fldCharType="end"/>
      </w:r>
      <w:r w:rsidRPr="00DF58BC">
        <w:rPr>
          <w:rStyle w:val="afb"/>
          <w:rFonts w:hint="cs"/>
          <w:rtl/>
        </w:rPr>
        <w:t>]</w:t>
      </w:r>
      <w:r>
        <w:rPr>
          <w:rFonts w:hint="cs"/>
          <w:rtl/>
        </w:rPr>
        <w:t xml:space="preserve"> דכיון שמתעסק בחתיכת  העור לפני השחיטה, יצא הסכין מחזקת בדוק, ומדינא צריך בדיקה לאחר השחיטה, ולכן כשאבד הסכין השחיטה פסולה</w:t>
      </w:r>
      <w:r w:rsidRPr="004A2E49">
        <w:rPr>
          <w:rStyle w:val="afb"/>
          <w:rFonts w:hint="cs"/>
          <w:rtl/>
        </w:rPr>
        <w:t>,</w:t>
      </w:r>
      <w:r>
        <w:rPr>
          <w:rFonts w:hint="cs"/>
          <w:rtl/>
        </w:rPr>
        <w:t xml:space="preserve">  ועי' במה שהקשה </w:t>
      </w:r>
      <w:r w:rsidRPr="00C25905">
        <w:rPr>
          <w:rStyle w:val="af9"/>
          <w:rFonts w:hint="cs"/>
          <w:rtl/>
        </w:rPr>
        <w:t>בקוב"ש</w:t>
      </w:r>
      <w:r>
        <w:rPr>
          <w:rFonts w:hint="cs"/>
          <w:rtl/>
        </w:rPr>
        <w:t xml:space="preserve"> </w:t>
      </w:r>
      <w:r w:rsidRPr="00B300E2">
        <w:rPr>
          <w:rStyle w:val="af7"/>
          <w:rFonts w:eastAsia="Guttman Hodes" w:hint="cs"/>
          <w:rtl/>
        </w:rPr>
        <w:t xml:space="preserve">(עי' אות </w:t>
      </w:r>
      <w:r w:rsidRPr="00B300E2">
        <w:rPr>
          <w:rStyle w:val="af7"/>
          <w:rFonts w:eastAsia="Guttman Hodes"/>
          <w:rtl/>
        </w:rPr>
        <w:fldChar w:fldCharType="begin"/>
      </w:r>
      <w:r w:rsidRPr="00B300E2">
        <w:rPr>
          <w:rStyle w:val="af7"/>
          <w:rFonts w:eastAsia="Guttman Hodes"/>
          <w:rtl/>
        </w:rPr>
        <w:instrText xml:space="preserve"> </w:instrText>
      </w:r>
      <w:r w:rsidRPr="00B300E2">
        <w:rPr>
          <w:rStyle w:val="af7"/>
          <w:rFonts w:eastAsia="Guttman Hodes" w:hint="cs"/>
        </w:rPr>
        <w:instrText>REF</w:instrText>
      </w:r>
      <w:r w:rsidRPr="00B300E2">
        <w:rPr>
          <w:rStyle w:val="af7"/>
          <w:rFonts w:eastAsia="Guttman Hodes" w:hint="cs"/>
          <w:rtl/>
        </w:rPr>
        <w:instrText xml:space="preserve"> _</w:instrText>
      </w:r>
      <w:r w:rsidRPr="00B300E2">
        <w:rPr>
          <w:rStyle w:val="af7"/>
          <w:rFonts w:eastAsia="Guttman Hodes" w:hint="cs"/>
        </w:rPr>
        <w:instrText>Ref523132456 \r \h</w:instrText>
      </w:r>
      <w:r w:rsidRPr="00B300E2">
        <w:rPr>
          <w:rStyle w:val="af7"/>
          <w:rFonts w:eastAsia="Guttman Hodes"/>
          <w:rtl/>
        </w:rPr>
        <w:instrText xml:space="preserve"> </w:instrText>
      </w:r>
      <w:r w:rsidRPr="00B300E2">
        <w:rPr>
          <w:rStyle w:val="af7"/>
          <w:rFonts w:eastAsia="Guttman Hodes"/>
          <w:rtl/>
        </w:rPr>
      </w:r>
      <w:r w:rsidRPr="00B300E2">
        <w:rPr>
          <w:rStyle w:val="af7"/>
          <w:rFonts w:eastAsia="Guttman Hodes"/>
          <w:rtl/>
        </w:rPr>
        <w:fldChar w:fldCharType="separate"/>
      </w:r>
      <w:r w:rsidR="00345400">
        <w:rPr>
          <w:rStyle w:val="af7"/>
          <w:rFonts w:eastAsia="Guttman Hodes"/>
          <w:cs/>
        </w:rPr>
        <w:t>‎</w:t>
      </w:r>
      <w:r w:rsidR="00345400">
        <w:rPr>
          <w:rStyle w:val="af7"/>
          <w:rFonts w:eastAsia="Guttman Hodes"/>
          <w:rtl/>
        </w:rPr>
        <w:t>קח)</w:t>
      </w:r>
      <w:r w:rsidRPr="00B300E2">
        <w:rPr>
          <w:rStyle w:val="af7"/>
          <w:rFonts w:eastAsia="Guttman Hodes"/>
          <w:rtl/>
        </w:rPr>
        <w:fldChar w:fldCharType="end"/>
      </w:r>
      <w:r>
        <w:rPr>
          <w:rFonts w:hint="cs"/>
          <w:rtl/>
        </w:rPr>
        <w:t xml:space="preserve"> על דברי </w:t>
      </w:r>
      <w:r w:rsidRPr="00946C23">
        <w:rPr>
          <w:rStyle w:val="af9"/>
          <w:rFonts w:hint="cs"/>
          <w:rtl/>
        </w:rPr>
        <w:t>הרמב"ן</w:t>
      </w:r>
      <w:r>
        <w:rPr>
          <w:rFonts w:hint="cs"/>
          <w:rtl/>
        </w:rPr>
        <w:t>.</w:t>
      </w:r>
      <w:bookmarkEnd w:id="3325"/>
      <w:r>
        <w:rPr>
          <w:rFonts w:hint="cs"/>
          <w:rtl/>
        </w:rPr>
        <w:t xml:space="preserve"> </w:t>
      </w:r>
    </w:p>
    <w:p w14:paraId="7D05E215" w14:textId="77777777" w:rsidR="00FC47D4" w:rsidRDefault="00FC47D4" w:rsidP="00BF39B2">
      <w:pPr>
        <w:pStyle w:val="1"/>
        <w:rPr>
          <w:rtl/>
        </w:rPr>
      </w:pPr>
      <w:bookmarkStart w:id="3326" w:name="_Toc523697921"/>
      <w:bookmarkStart w:id="3327" w:name="_Toc523735696"/>
      <w:bookmarkStart w:id="3328" w:name="_Toc526248938"/>
      <w:bookmarkStart w:id="3329" w:name="_Toc526409457"/>
      <w:bookmarkStart w:id="3330" w:name="_Toc526939099"/>
      <w:bookmarkStart w:id="3331" w:name="_Toc527060231"/>
      <w:bookmarkStart w:id="3332" w:name="_Toc527060379"/>
      <w:bookmarkStart w:id="3333" w:name="_Toc527100756"/>
      <w:bookmarkStart w:id="3334" w:name="_Toc528227011"/>
      <w:bookmarkStart w:id="3335" w:name="_Toc528227175"/>
      <w:bookmarkStart w:id="3336" w:name="_Toc528227337"/>
      <w:bookmarkStart w:id="3337" w:name="_Toc19389421"/>
      <w:bookmarkStart w:id="3338" w:name="_Toc19392918"/>
      <w:r>
        <w:rPr>
          <w:rFonts w:hint="cs"/>
          <w:rtl/>
        </w:rPr>
        <w:t>ביאורי האחרונים בדברי הרשב"א בדעת הרמב"ן דהעור פוגם</w:t>
      </w:r>
      <w:bookmarkEnd w:id="3326"/>
      <w:bookmarkEnd w:id="3327"/>
      <w:bookmarkEnd w:id="3328"/>
      <w:bookmarkEnd w:id="3329"/>
      <w:bookmarkEnd w:id="3330"/>
      <w:bookmarkEnd w:id="3331"/>
      <w:bookmarkEnd w:id="3332"/>
      <w:bookmarkEnd w:id="3333"/>
      <w:bookmarkEnd w:id="3334"/>
      <w:bookmarkEnd w:id="3335"/>
      <w:bookmarkEnd w:id="3336"/>
      <w:bookmarkEnd w:id="3337"/>
      <w:bookmarkEnd w:id="3338"/>
    </w:p>
    <w:p w14:paraId="65BF4992" w14:textId="77777777" w:rsidR="00FC47D4" w:rsidRDefault="00FC47D4" w:rsidP="006D6D32">
      <w:pPr>
        <w:pStyle w:val="a3"/>
        <w:rPr>
          <w:rtl/>
        </w:rPr>
      </w:pPr>
      <w:bookmarkStart w:id="3339" w:name="_Toc523697922"/>
      <w:bookmarkStart w:id="3340" w:name="_Toc523735697"/>
      <w:bookmarkStart w:id="3341" w:name="_Toc526248939"/>
      <w:bookmarkStart w:id="3342" w:name="_Toc526409458"/>
      <w:bookmarkStart w:id="3343" w:name="_Toc526939100"/>
      <w:bookmarkStart w:id="3344" w:name="_Toc527060232"/>
      <w:bookmarkStart w:id="3345" w:name="_Toc527060380"/>
      <w:bookmarkStart w:id="3346" w:name="_Toc527100757"/>
      <w:bookmarkStart w:id="3347" w:name="_Toc528227012"/>
      <w:bookmarkStart w:id="3348" w:name="_Toc528227176"/>
      <w:bookmarkStart w:id="3349" w:name="_Toc528227338"/>
      <w:bookmarkStart w:id="3350" w:name="_Toc19389422"/>
      <w:bookmarkStart w:id="3351" w:name="_Toc19392919"/>
      <w:r>
        <w:rPr>
          <w:rFonts w:hint="cs"/>
          <w:rtl/>
        </w:rPr>
        <w:t>קושית הראש יוסף דבאבד הסכין צריך להתיר מדין ספק ספיקא</w:t>
      </w:r>
      <w:bookmarkEnd w:id="3339"/>
      <w:bookmarkEnd w:id="3340"/>
      <w:bookmarkEnd w:id="3341"/>
      <w:bookmarkEnd w:id="3342"/>
      <w:bookmarkEnd w:id="3343"/>
      <w:bookmarkEnd w:id="3344"/>
      <w:bookmarkEnd w:id="3345"/>
      <w:bookmarkEnd w:id="3346"/>
      <w:bookmarkEnd w:id="3347"/>
      <w:bookmarkEnd w:id="3348"/>
      <w:bookmarkEnd w:id="3349"/>
      <w:bookmarkEnd w:id="3350"/>
      <w:bookmarkEnd w:id="3351"/>
    </w:p>
    <w:p w14:paraId="76764F4F" w14:textId="77777777" w:rsidR="00FC47D4" w:rsidRDefault="00FC47D4" w:rsidP="00223668">
      <w:pPr>
        <w:pStyle w:val="a0"/>
        <w:rPr>
          <w:rtl/>
        </w:rPr>
      </w:pPr>
      <w:bookmarkStart w:id="3352" w:name="_Ref523689730"/>
      <w:r w:rsidRPr="00DB605D">
        <w:rPr>
          <w:rStyle w:val="af9"/>
          <w:rFonts w:hint="cs"/>
          <w:rtl/>
        </w:rPr>
        <w:t>בראש יוסף</w:t>
      </w:r>
      <w:r>
        <w:rPr>
          <w:rFonts w:hint="cs"/>
          <w:rtl/>
        </w:rPr>
        <w:t xml:space="preserve"> </w:t>
      </w:r>
      <w:r w:rsidRPr="00DB605D">
        <w:rPr>
          <w:rStyle w:val="af7"/>
          <w:rFonts w:eastAsia="Guttman Hodes" w:hint="cs"/>
          <w:rtl/>
        </w:rPr>
        <w:t>(ד"ה ודע)</w:t>
      </w:r>
      <w:r>
        <w:rPr>
          <w:rFonts w:hint="cs"/>
          <w:rtl/>
        </w:rPr>
        <w:t xml:space="preserve"> הקשה  על </w:t>
      </w:r>
      <w:r w:rsidRPr="002E477D">
        <w:rPr>
          <w:rStyle w:val="af9"/>
          <w:rFonts w:hint="cs"/>
          <w:rtl/>
        </w:rPr>
        <w:t>הרמב"ן</w:t>
      </w:r>
      <w:r>
        <w:rPr>
          <w:rFonts w:hint="cs"/>
          <w:rtl/>
        </w:rPr>
        <w:t xml:space="preserve"> דאמאי באבד הסכין אין היתר </w:t>
      </w:r>
      <w:r w:rsidRPr="004416CB">
        <w:rPr>
          <w:rFonts w:hint="cs"/>
          <w:rtl/>
        </w:rPr>
        <w:t xml:space="preserve">מדין ספק ספיקא, </w:t>
      </w:r>
      <w:r w:rsidRPr="004416CB">
        <w:rPr>
          <w:rStyle w:val="afb"/>
          <w:rFonts w:hint="cs"/>
          <w:rtl/>
        </w:rPr>
        <w:t xml:space="preserve">[עפי"ד </w:t>
      </w:r>
      <w:r w:rsidRPr="004416CB">
        <w:rPr>
          <w:rStyle w:val="affa"/>
          <w:rFonts w:hint="cs"/>
          <w:rtl/>
        </w:rPr>
        <w:t>התירוץ הג' בתוס'</w:t>
      </w:r>
      <w:r w:rsidRPr="004416CB">
        <w:rPr>
          <w:rStyle w:val="afb"/>
          <w:rFonts w:hint="cs"/>
          <w:rtl/>
        </w:rPr>
        <w:t xml:space="preserve"> </w:t>
      </w:r>
      <w:r w:rsidRPr="004416CB">
        <w:rPr>
          <w:rStyle w:val="aff6"/>
          <w:rFonts w:hint="cs"/>
          <w:rtl/>
        </w:rPr>
        <w:t xml:space="preserve">(ד"ה סכין)  </w:t>
      </w:r>
      <w:r w:rsidRPr="004416CB">
        <w:rPr>
          <w:rStyle w:val="affa"/>
          <w:rFonts w:hint="cs"/>
          <w:rtl/>
        </w:rPr>
        <w:t>והרשב"א</w:t>
      </w:r>
      <w:r w:rsidRPr="004416CB">
        <w:rPr>
          <w:rStyle w:val="afb"/>
          <w:rFonts w:hint="cs"/>
          <w:rtl/>
        </w:rPr>
        <w:t xml:space="preserve"> </w:t>
      </w:r>
      <w:r w:rsidRPr="004416CB">
        <w:rPr>
          <w:rStyle w:val="aff6"/>
          <w:rFonts w:hint="cs"/>
          <w:rtl/>
        </w:rPr>
        <w:t>(</w:t>
      </w:r>
      <w:r w:rsidRPr="004416CB">
        <w:rPr>
          <w:rStyle w:val="aff6"/>
          <w:rtl/>
        </w:rPr>
        <w:t>ד"ה הכא נמי</w:t>
      </w:r>
      <w:r w:rsidRPr="004416CB">
        <w:rPr>
          <w:rStyle w:val="aff6"/>
          <w:rFonts w:hint="cs"/>
          <w:rtl/>
        </w:rPr>
        <w:t>, הובואו דבריהם בסי' ה' אות לה</w:t>
      </w:r>
      <w:r w:rsidRPr="004416CB">
        <w:rPr>
          <w:rStyle w:val="aff6"/>
          <w:rtl/>
        </w:rPr>
        <w:t>)</w:t>
      </w:r>
      <w:r w:rsidRPr="004416CB">
        <w:rPr>
          <w:rStyle w:val="afb"/>
          <w:rFonts w:hint="cs"/>
          <w:rtl/>
        </w:rPr>
        <w:t xml:space="preserve">], </w:t>
      </w:r>
      <w:r w:rsidRPr="004416CB">
        <w:rPr>
          <w:rFonts w:hint="cs"/>
          <w:rtl/>
        </w:rPr>
        <w:t>דשמא לא נפגם, ואת"ל דנפגם שמא במפרקת נפגם, או שמא</w:t>
      </w:r>
      <w:r>
        <w:rPr>
          <w:rFonts w:hint="cs"/>
          <w:rtl/>
        </w:rPr>
        <w:t xml:space="preserve"> לא שחט כנגד הפגימה, וא"א לומר דלא מהני הס"ס להתיר מחמת החזקת איסור של הבהמה, דהא כנגדה יש את החזקת בדוק של הסכין, ועיי"ש בדברי </w:t>
      </w:r>
      <w:r w:rsidRPr="00911A51">
        <w:rPr>
          <w:rStyle w:val="af9"/>
          <w:rFonts w:hint="cs"/>
          <w:rtl/>
        </w:rPr>
        <w:t>הראש יוסף</w:t>
      </w:r>
      <w:r>
        <w:rPr>
          <w:rFonts w:hint="cs"/>
          <w:rtl/>
        </w:rPr>
        <w:t xml:space="preserve"> במה שהאריך טובא בגדרי ספק ספיקא.</w:t>
      </w:r>
      <w:bookmarkEnd w:id="3352"/>
    </w:p>
    <w:p w14:paraId="33CD91C5" w14:textId="77777777" w:rsidR="00FC47D4" w:rsidRDefault="00FC47D4" w:rsidP="006D6D32">
      <w:pPr>
        <w:pStyle w:val="a3"/>
        <w:rPr>
          <w:rtl/>
        </w:rPr>
      </w:pPr>
      <w:bookmarkStart w:id="3353" w:name="_Toc523697923"/>
      <w:bookmarkStart w:id="3354" w:name="_Toc523735698"/>
      <w:bookmarkStart w:id="3355" w:name="_Toc526248940"/>
      <w:bookmarkStart w:id="3356" w:name="_Toc526409459"/>
      <w:bookmarkStart w:id="3357" w:name="_Toc526939101"/>
      <w:bookmarkStart w:id="3358" w:name="_Toc527060233"/>
      <w:bookmarkStart w:id="3359" w:name="_Toc527060381"/>
      <w:bookmarkStart w:id="3360" w:name="_Toc527100758"/>
      <w:bookmarkStart w:id="3361" w:name="_Toc528227013"/>
      <w:bookmarkStart w:id="3362" w:name="_Toc528227177"/>
      <w:bookmarkStart w:id="3363" w:name="_Toc528227339"/>
      <w:bookmarkStart w:id="3364" w:name="_Toc19389423"/>
      <w:bookmarkStart w:id="3365" w:name="_Toc19392920"/>
      <w:r>
        <w:rPr>
          <w:rFonts w:hint="cs"/>
          <w:rtl/>
        </w:rPr>
        <w:t>ביאור הראש יוסף דלדעת הרמב"ן כיון שהעור מצוי לפגום אין ספק ספיקא</w:t>
      </w:r>
      <w:bookmarkEnd w:id="3353"/>
      <w:bookmarkEnd w:id="3354"/>
      <w:bookmarkEnd w:id="3355"/>
      <w:bookmarkEnd w:id="3356"/>
      <w:bookmarkEnd w:id="3357"/>
      <w:bookmarkEnd w:id="3358"/>
      <w:bookmarkEnd w:id="3359"/>
      <w:bookmarkEnd w:id="3360"/>
      <w:bookmarkEnd w:id="3361"/>
      <w:bookmarkEnd w:id="3362"/>
      <w:bookmarkEnd w:id="3363"/>
      <w:bookmarkEnd w:id="3364"/>
      <w:bookmarkEnd w:id="3365"/>
    </w:p>
    <w:p w14:paraId="705E0702" w14:textId="77777777" w:rsidR="00FC47D4" w:rsidRDefault="00FC47D4" w:rsidP="00223668">
      <w:pPr>
        <w:pStyle w:val="a0"/>
        <w:rPr>
          <w:rtl/>
        </w:rPr>
      </w:pPr>
      <w:bookmarkStart w:id="3366" w:name="_Ref523671939"/>
      <w:r>
        <w:rPr>
          <w:rFonts w:hint="cs"/>
          <w:rtl/>
        </w:rPr>
        <w:t xml:space="preserve">וכתב </w:t>
      </w:r>
      <w:r w:rsidRPr="0075204C">
        <w:rPr>
          <w:rStyle w:val="af9"/>
          <w:rFonts w:hint="cs"/>
          <w:rtl/>
        </w:rPr>
        <w:t>הראש יוסף</w:t>
      </w:r>
      <w:r>
        <w:rPr>
          <w:rFonts w:hint="cs"/>
          <w:rtl/>
        </w:rPr>
        <w:t xml:space="preserve"> </w:t>
      </w:r>
      <w:r w:rsidRPr="0075204C">
        <w:rPr>
          <w:rStyle w:val="af7"/>
          <w:rFonts w:eastAsia="Guttman Hodes" w:hint="cs"/>
          <w:rtl/>
        </w:rPr>
        <w:t>(ד"ה והנה הרמב"ן)</w:t>
      </w:r>
      <w:r>
        <w:rPr>
          <w:rFonts w:hint="cs"/>
          <w:rtl/>
        </w:rPr>
        <w:t xml:space="preserve"> דלדעת </w:t>
      </w:r>
      <w:r w:rsidRPr="0075204C">
        <w:rPr>
          <w:rStyle w:val="af9"/>
          <w:rFonts w:hint="cs"/>
          <w:rtl/>
        </w:rPr>
        <w:t>הרמב"ן</w:t>
      </w:r>
      <w:r>
        <w:rPr>
          <w:rFonts w:hint="cs"/>
          <w:rtl/>
        </w:rPr>
        <w:t xml:space="preserve"> דאסר באבד הסכין, צ"ל דס"ל דלדעת רב הונא מצוי שהעור פוגם, ולכן א"א להתיר מחמת דהוה ספק ספיקא, דקרוב לודאי שנפגם בעור, וא"א לומר העמד סכין על חזקתו, וכדכתב </w:t>
      </w:r>
      <w:r w:rsidRPr="0075204C">
        <w:rPr>
          <w:rStyle w:val="af9"/>
          <w:rFonts w:hint="cs"/>
          <w:rtl/>
        </w:rPr>
        <w:t>הרשב"א</w:t>
      </w:r>
      <w:r>
        <w:rPr>
          <w:rFonts w:hint="cs"/>
          <w:rtl/>
        </w:rPr>
        <w:t xml:space="preserve"> </w:t>
      </w:r>
      <w:r w:rsidRPr="0075204C">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Ref523689251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Pr>
          <w:rStyle w:val="af7"/>
          <w:rFonts w:eastAsia="Guttman Hodes"/>
          <w:rtl/>
        </w:rPr>
        <w:fldChar w:fldCharType="end"/>
      </w:r>
      <w:r>
        <w:rPr>
          <w:rStyle w:val="af7"/>
          <w:rFonts w:eastAsia="Guttman Hodes" w:hint="cs"/>
          <w:rtl/>
        </w:rPr>
        <w:t xml:space="preserve"> </w:t>
      </w:r>
      <w:r>
        <w:rPr>
          <w:rFonts w:hint="cs"/>
          <w:rtl/>
        </w:rPr>
        <w:t xml:space="preserve">בדעת </w:t>
      </w:r>
      <w:r w:rsidRPr="0075204C">
        <w:rPr>
          <w:rStyle w:val="af9"/>
          <w:rFonts w:hint="cs"/>
          <w:rtl/>
        </w:rPr>
        <w:t>הרמב"ן</w:t>
      </w:r>
      <w:r>
        <w:rPr>
          <w:rFonts w:hint="cs"/>
          <w:rtl/>
        </w:rPr>
        <w:t xml:space="preserve"> דכשמתעסק בחתיכת העור, דמי למתעסק בדבר החוצץ בין חפיפה לטבילה, ולכן ס"ל לרב הונא דא"א להתיר מחמת הספק שמא העור לא פגם, ויש רק ספק אחד שמא לא שחט כנגד הפגימה, ואסורה מספק, [וע"ע במ"ש </w:t>
      </w:r>
      <w:r w:rsidRPr="00F04B12">
        <w:rPr>
          <w:rStyle w:val="af9"/>
          <w:rFonts w:hint="cs"/>
          <w:rtl/>
        </w:rPr>
        <w:t>הראש יוסף</w:t>
      </w:r>
      <w:r w:rsidRPr="00F04B12">
        <w:rPr>
          <w:rFonts w:hint="cs"/>
          <w:rtl/>
        </w:rPr>
        <w:t xml:space="preserve"> </w:t>
      </w:r>
      <w:r w:rsidRPr="00F04B12">
        <w:rPr>
          <w:rStyle w:val="af7"/>
          <w:rFonts w:eastAsia="Guttman Hodes" w:hint="cs"/>
          <w:rtl/>
        </w:rPr>
        <w:t xml:space="preserve">(עי' אות </w:t>
      </w:r>
      <w:r w:rsidRPr="00F04B12">
        <w:rPr>
          <w:rStyle w:val="af7"/>
          <w:rFonts w:eastAsia="Guttman Hodes"/>
          <w:rtl/>
        </w:rPr>
        <w:fldChar w:fldCharType="begin"/>
      </w:r>
      <w:r w:rsidRPr="00F04B12">
        <w:rPr>
          <w:rStyle w:val="af7"/>
          <w:rFonts w:eastAsia="Guttman Hodes"/>
          <w:rtl/>
        </w:rPr>
        <w:instrText xml:space="preserve"> </w:instrText>
      </w:r>
      <w:r w:rsidRPr="00F04B12">
        <w:rPr>
          <w:rStyle w:val="af7"/>
          <w:rFonts w:eastAsia="Guttman Hodes" w:hint="cs"/>
        </w:rPr>
        <w:instrText>REF</w:instrText>
      </w:r>
      <w:r w:rsidRPr="00F04B12">
        <w:rPr>
          <w:rStyle w:val="af7"/>
          <w:rFonts w:eastAsia="Guttman Hodes" w:hint="cs"/>
          <w:rtl/>
        </w:rPr>
        <w:instrText xml:space="preserve"> _</w:instrText>
      </w:r>
      <w:r w:rsidRPr="00F04B12">
        <w:rPr>
          <w:rStyle w:val="af7"/>
          <w:rFonts w:eastAsia="Guttman Hodes" w:hint="cs"/>
        </w:rPr>
        <w:instrText>Ref523672250 \r \h</w:instrText>
      </w:r>
      <w:r w:rsidRPr="00F04B12">
        <w:rPr>
          <w:rStyle w:val="af7"/>
          <w:rFonts w:eastAsia="Guttman Hodes"/>
          <w:rtl/>
        </w:rPr>
        <w:instrText xml:space="preserve">  \* </w:instrText>
      </w:r>
      <w:r w:rsidRPr="00F04B12">
        <w:rPr>
          <w:rStyle w:val="af7"/>
          <w:rFonts w:eastAsia="Guttman Hodes"/>
        </w:rPr>
        <w:instrText>MERGEFORMAT</w:instrText>
      </w:r>
      <w:r w:rsidRPr="00F04B12">
        <w:rPr>
          <w:rStyle w:val="af7"/>
          <w:rFonts w:eastAsia="Guttman Hodes"/>
          <w:rtl/>
        </w:rPr>
        <w:instrText xml:space="preserve"> </w:instrText>
      </w:r>
      <w:r w:rsidRPr="00F04B12">
        <w:rPr>
          <w:rStyle w:val="af7"/>
          <w:rFonts w:eastAsia="Guttman Hodes"/>
          <w:rtl/>
        </w:rPr>
      </w:r>
      <w:r w:rsidRPr="00F04B12">
        <w:rPr>
          <w:rStyle w:val="af7"/>
          <w:rFonts w:eastAsia="Guttman Hodes"/>
          <w:rtl/>
        </w:rPr>
        <w:fldChar w:fldCharType="separate"/>
      </w:r>
      <w:r w:rsidR="00345400">
        <w:rPr>
          <w:rStyle w:val="af7"/>
          <w:rFonts w:eastAsia="Guttman Hodes"/>
          <w:cs/>
        </w:rPr>
        <w:t>‎</w:t>
      </w:r>
      <w:r w:rsidR="00345400">
        <w:rPr>
          <w:rStyle w:val="af7"/>
          <w:rFonts w:eastAsia="Guttman Hodes"/>
          <w:rtl/>
        </w:rPr>
        <w:t>קא)</w:t>
      </w:r>
      <w:r w:rsidRPr="00F04B12">
        <w:rPr>
          <w:rStyle w:val="af7"/>
          <w:rFonts w:eastAsia="Guttman Hodes"/>
          <w:rtl/>
        </w:rPr>
        <w:fldChar w:fldCharType="end"/>
      </w:r>
      <w:r w:rsidRPr="00F04B12">
        <w:rPr>
          <w:rFonts w:hint="cs"/>
          <w:rtl/>
        </w:rPr>
        <w:t xml:space="preserve"> בדעת</w:t>
      </w:r>
      <w:r>
        <w:rPr>
          <w:rFonts w:hint="cs"/>
          <w:rtl/>
        </w:rPr>
        <w:t xml:space="preserve"> </w:t>
      </w:r>
      <w:r w:rsidRPr="00C47377">
        <w:rPr>
          <w:rStyle w:val="af9"/>
          <w:rFonts w:hint="cs"/>
          <w:rtl/>
        </w:rPr>
        <w:t>הרמב"ן</w:t>
      </w:r>
      <w:r>
        <w:rPr>
          <w:rFonts w:hint="cs"/>
          <w:rtl/>
        </w:rPr>
        <w:t xml:space="preserve"> דהוא דלא כמבואר בדעת </w:t>
      </w:r>
      <w:r w:rsidRPr="00AC2514">
        <w:rPr>
          <w:rStyle w:val="af9"/>
          <w:rFonts w:hint="cs"/>
          <w:rtl/>
        </w:rPr>
        <w:t>הרמב"ם</w:t>
      </w:r>
      <w:r>
        <w:rPr>
          <w:rFonts w:hint="cs"/>
          <w:rtl/>
        </w:rPr>
        <w:t xml:space="preserve"> </w:t>
      </w:r>
      <w:r w:rsidRPr="00F04B12">
        <w:rPr>
          <w:rStyle w:val="af7"/>
          <w:rFonts w:eastAsia="Guttman Hodes" w:hint="cs"/>
          <w:rtl/>
        </w:rPr>
        <w:t>(עי' אות</w:t>
      </w:r>
      <w:r>
        <w:rPr>
          <w:rStyle w:val="af7"/>
          <w:rFonts w:eastAsia="Guttman Hodes" w:hint="cs"/>
          <w:rtl/>
        </w:rPr>
        <w:t xml:space="preserve"> </w:t>
      </w:r>
      <w:r w:rsidRPr="00F04B12">
        <w:rPr>
          <w:rStyle w:val="af7"/>
          <w:rFonts w:eastAsia="Guttman Hodes"/>
          <w:rtl/>
        </w:rPr>
        <w:fldChar w:fldCharType="begin"/>
      </w:r>
      <w:r w:rsidRPr="00F04B12">
        <w:rPr>
          <w:rStyle w:val="af7"/>
          <w:rFonts w:eastAsia="Guttman Hodes"/>
          <w:rtl/>
        </w:rPr>
        <w:instrText xml:space="preserve"> </w:instrText>
      </w:r>
      <w:r w:rsidRPr="00F04B12">
        <w:rPr>
          <w:rStyle w:val="af7"/>
          <w:rFonts w:eastAsia="Guttman Hodes" w:hint="cs"/>
        </w:rPr>
        <w:instrText>REF</w:instrText>
      </w:r>
      <w:r w:rsidRPr="00F04B12">
        <w:rPr>
          <w:rStyle w:val="af7"/>
          <w:rFonts w:eastAsia="Guttman Hodes" w:hint="cs"/>
          <w:rtl/>
        </w:rPr>
        <w:instrText xml:space="preserve"> _</w:instrText>
      </w:r>
      <w:r w:rsidRPr="00F04B12">
        <w:rPr>
          <w:rStyle w:val="af7"/>
          <w:rFonts w:eastAsia="Guttman Hodes" w:hint="cs"/>
        </w:rPr>
        <w:instrText>Ref523671916 \r \h</w:instrText>
      </w:r>
      <w:r w:rsidRPr="00F04B12">
        <w:rPr>
          <w:rStyle w:val="af7"/>
          <w:rFonts w:eastAsia="Guttman Hodes"/>
          <w:rtl/>
        </w:rPr>
        <w:instrText xml:space="preserve">  \* </w:instrText>
      </w:r>
      <w:r w:rsidRPr="00F04B12">
        <w:rPr>
          <w:rStyle w:val="af7"/>
          <w:rFonts w:eastAsia="Guttman Hodes"/>
        </w:rPr>
        <w:instrText>MERGEFORMAT</w:instrText>
      </w:r>
      <w:r w:rsidRPr="00F04B12">
        <w:rPr>
          <w:rStyle w:val="af7"/>
          <w:rFonts w:eastAsia="Guttman Hodes"/>
          <w:rtl/>
        </w:rPr>
        <w:instrText xml:space="preserve"> </w:instrText>
      </w:r>
      <w:r w:rsidRPr="00F04B12">
        <w:rPr>
          <w:rStyle w:val="af7"/>
          <w:rFonts w:eastAsia="Guttman Hodes"/>
          <w:rtl/>
        </w:rPr>
      </w:r>
      <w:r w:rsidRPr="00F04B12">
        <w:rPr>
          <w:rStyle w:val="af7"/>
          <w:rFonts w:eastAsia="Guttman Hodes"/>
          <w:rtl/>
        </w:rPr>
        <w:fldChar w:fldCharType="separate"/>
      </w:r>
      <w:r w:rsidR="00345400">
        <w:rPr>
          <w:rStyle w:val="af7"/>
          <w:rFonts w:eastAsia="Guttman Hodes"/>
          <w:cs/>
        </w:rPr>
        <w:t>‎</w:t>
      </w:r>
      <w:r w:rsidR="00345400">
        <w:rPr>
          <w:rStyle w:val="af7"/>
          <w:rFonts w:eastAsia="Guttman Hodes"/>
          <w:rtl/>
        </w:rPr>
        <w:t>צט)</w:t>
      </w:r>
      <w:r w:rsidRPr="00F04B12">
        <w:rPr>
          <w:rStyle w:val="af7"/>
          <w:rFonts w:eastAsia="Guttman Hodes"/>
          <w:rtl/>
        </w:rPr>
        <w:fldChar w:fldCharType="end"/>
      </w:r>
      <w:r w:rsidRPr="00F04B12">
        <w:rPr>
          <w:rFonts w:hint="cs"/>
          <w:rtl/>
        </w:rPr>
        <w:t xml:space="preserve"> </w:t>
      </w:r>
      <w:r>
        <w:rPr>
          <w:rFonts w:hint="cs"/>
          <w:rtl/>
        </w:rPr>
        <w:t>דאסורה בודאי].</w:t>
      </w:r>
      <w:bookmarkEnd w:id="3366"/>
    </w:p>
    <w:p w14:paraId="623FCCC3" w14:textId="77777777" w:rsidR="00FC47D4" w:rsidRDefault="00FC47D4" w:rsidP="006D6D32">
      <w:pPr>
        <w:pStyle w:val="a3"/>
        <w:rPr>
          <w:rtl/>
        </w:rPr>
      </w:pPr>
      <w:bookmarkStart w:id="3367" w:name="_Toc523697924"/>
      <w:bookmarkStart w:id="3368" w:name="_Toc523735699"/>
      <w:bookmarkStart w:id="3369" w:name="_Toc526248941"/>
      <w:bookmarkStart w:id="3370" w:name="_Toc526409460"/>
      <w:bookmarkStart w:id="3371" w:name="_Toc526939102"/>
      <w:bookmarkStart w:id="3372" w:name="_Toc527060234"/>
      <w:bookmarkStart w:id="3373" w:name="_Toc527060382"/>
      <w:bookmarkStart w:id="3374" w:name="_Toc527100759"/>
      <w:bookmarkStart w:id="3375" w:name="_Toc528227014"/>
      <w:bookmarkStart w:id="3376" w:name="_Toc528227178"/>
      <w:bookmarkStart w:id="3377" w:name="_Toc528227340"/>
      <w:bookmarkStart w:id="3378" w:name="_Toc19389424"/>
      <w:bookmarkStart w:id="3379" w:name="_Toc19392921"/>
      <w:r>
        <w:rPr>
          <w:rFonts w:hint="cs"/>
          <w:rtl/>
        </w:rPr>
        <w:t>דברי הראש יוסף דלדעת רב חסדא לא מצוי שהעור פוגם</w:t>
      </w:r>
      <w:bookmarkEnd w:id="3367"/>
      <w:bookmarkEnd w:id="3368"/>
      <w:bookmarkEnd w:id="3369"/>
      <w:bookmarkEnd w:id="3370"/>
      <w:bookmarkEnd w:id="3371"/>
      <w:bookmarkEnd w:id="3372"/>
      <w:bookmarkEnd w:id="3373"/>
      <w:bookmarkEnd w:id="3374"/>
      <w:bookmarkEnd w:id="3375"/>
      <w:bookmarkEnd w:id="3376"/>
      <w:bookmarkEnd w:id="3377"/>
      <w:bookmarkEnd w:id="3378"/>
      <w:bookmarkEnd w:id="3379"/>
    </w:p>
    <w:p w14:paraId="449F4A8D" w14:textId="77777777" w:rsidR="00FC47D4" w:rsidRDefault="00FC47D4" w:rsidP="00223668">
      <w:pPr>
        <w:pStyle w:val="a0"/>
        <w:rPr>
          <w:rtl/>
        </w:rPr>
      </w:pPr>
      <w:r>
        <w:rPr>
          <w:rFonts w:hint="cs"/>
          <w:rtl/>
        </w:rPr>
        <w:t xml:space="preserve">אך כתב </w:t>
      </w:r>
      <w:r w:rsidRPr="00026578">
        <w:rPr>
          <w:rStyle w:val="af9"/>
          <w:rFonts w:hint="cs"/>
          <w:rtl/>
        </w:rPr>
        <w:t>הראש יוסף</w:t>
      </w:r>
      <w:r>
        <w:rPr>
          <w:rFonts w:hint="cs"/>
          <w:rtl/>
        </w:rPr>
        <w:t xml:space="preserve"> </w:t>
      </w:r>
      <w:r w:rsidRPr="00026578">
        <w:rPr>
          <w:rStyle w:val="af7"/>
          <w:rFonts w:eastAsia="Guttman Hodes" w:hint="cs"/>
          <w:rtl/>
        </w:rPr>
        <w:t>(ד"ה ודוקא לרב הונא)</w:t>
      </w:r>
      <w:r>
        <w:rPr>
          <w:rFonts w:hint="cs"/>
          <w:rtl/>
        </w:rPr>
        <w:t xml:space="preserve"> דלדעת רב חסדא דעור אינו מצוי לפגום, הוי ספק ספיקא ולכן כתב </w:t>
      </w:r>
      <w:r>
        <w:rPr>
          <w:rStyle w:val="af9"/>
          <w:rFonts w:hint="cs"/>
          <w:rtl/>
        </w:rPr>
        <w:t>הרמב"ן</w:t>
      </w:r>
      <w:r>
        <w:rPr>
          <w:rFonts w:hint="cs"/>
          <w:rtl/>
        </w:rPr>
        <w:t xml:space="preserve"> </w:t>
      </w:r>
      <w:r w:rsidRPr="00AF6CC3">
        <w:rPr>
          <w:rStyle w:val="af7"/>
          <w:rFonts w:eastAsia="Guttman Hodes" w:hint="cs"/>
          <w:rtl/>
        </w:rPr>
        <w:t xml:space="preserve">(עי' אות </w:t>
      </w:r>
      <w:r w:rsidRPr="00AF6CC3">
        <w:rPr>
          <w:rStyle w:val="af7"/>
          <w:rFonts w:eastAsia="Guttman Hodes"/>
          <w:rtl/>
        </w:rPr>
        <w:fldChar w:fldCharType="begin"/>
      </w:r>
      <w:r w:rsidRPr="00AF6CC3">
        <w:rPr>
          <w:rStyle w:val="af7"/>
          <w:rFonts w:eastAsia="Guttman Hodes"/>
          <w:rtl/>
        </w:rPr>
        <w:instrText xml:space="preserve"> </w:instrText>
      </w:r>
      <w:r w:rsidRPr="00AF6CC3">
        <w:rPr>
          <w:rStyle w:val="af7"/>
          <w:rFonts w:eastAsia="Guttman Hodes" w:hint="cs"/>
        </w:rPr>
        <w:instrText>REF</w:instrText>
      </w:r>
      <w:r w:rsidRPr="00AF6CC3">
        <w:rPr>
          <w:rStyle w:val="af7"/>
          <w:rFonts w:eastAsia="Guttman Hodes" w:hint="cs"/>
          <w:rtl/>
        </w:rPr>
        <w:instrText xml:space="preserve"> _</w:instrText>
      </w:r>
      <w:r w:rsidRPr="00AF6CC3">
        <w:rPr>
          <w:rStyle w:val="af7"/>
          <w:rFonts w:eastAsia="Guttman Hodes" w:hint="cs"/>
        </w:rPr>
        <w:instrText>Ref526349641 \r \h</w:instrText>
      </w:r>
      <w:r w:rsidRPr="00AF6CC3">
        <w:rPr>
          <w:rStyle w:val="af7"/>
          <w:rFonts w:eastAsia="Guttman Hodes"/>
          <w:rtl/>
        </w:rPr>
        <w:instrText xml:space="preserve"> </w:instrText>
      </w:r>
      <w:r w:rsidRPr="00AF6CC3">
        <w:rPr>
          <w:rStyle w:val="af7"/>
          <w:rFonts w:eastAsia="Guttman Hodes"/>
          <w:rtl/>
        </w:rPr>
      </w:r>
      <w:r w:rsidRPr="00AF6CC3">
        <w:rPr>
          <w:rStyle w:val="af7"/>
          <w:rFonts w:eastAsia="Guttman Hodes"/>
          <w:rtl/>
        </w:rPr>
        <w:fldChar w:fldCharType="separate"/>
      </w:r>
      <w:r w:rsidR="00345400">
        <w:rPr>
          <w:rStyle w:val="af7"/>
          <w:rFonts w:eastAsia="Guttman Hodes"/>
          <w:cs/>
        </w:rPr>
        <w:t>‎</w:t>
      </w:r>
      <w:r w:rsidR="00345400">
        <w:rPr>
          <w:rStyle w:val="af7"/>
          <w:rFonts w:eastAsia="Guttman Hodes"/>
          <w:rtl/>
        </w:rPr>
        <w:t>עד)</w:t>
      </w:r>
      <w:r w:rsidRPr="00AF6CC3">
        <w:rPr>
          <w:rStyle w:val="af7"/>
          <w:rFonts w:eastAsia="Guttman Hodes"/>
          <w:rtl/>
        </w:rPr>
        <w:fldChar w:fldCharType="end"/>
      </w:r>
      <w:r>
        <w:rPr>
          <w:rFonts w:hint="cs"/>
          <w:rtl/>
        </w:rPr>
        <w:t xml:space="preserve"> דלרב חסדא אף באבד הסכין מותר.</w:t>
      </w:r>
    </w:p>
    <w:p w14:paraId="2DFBEAC6" w14:textId="77777777" w:rsidR="00FC47D4" w:rsidRPr="009376DC" w:rsidRDefault="00FC47D4" w:rsidP="006D6D32">
      <w:pPr>
        <w:pStyle w:val="a3"/>
        <w:rPr>
          <w:rtl/>
        </w:rPr>
      </w:pPr>
      <w:bookmarkStart w:id="3380" w:name="_Toc523697925"/>
      <w:bookmarkStart w:id="3381" w:name="_Toc523735700"/>
      <w:bookmarkStart w:id="3382" w:name="_Toc526248942"/>
      <w:bookmarkStart w:id="3383" w:name="_Toc526409461"/>
      <w:bookmarkStart w:id="3384" w:name="_Toc526939103"/>
      <w:bookmarkStart w:id="3385" w:name="_Toc527060235"/>
      <w:bookmarkStart w:id="3386" w:name="_Toc527060383"/>
      <w:bookmarkStart w:id="3387" w:name="_Toc527100760"/>
      <w:bookmarkStart w:id="3388" w:name="_Toc528227015"/>
      <w:bookmarkStart w:id="3389" w:name="_Toc528227179"/>
      <w:bookmarkStart w:id="3390" w:name="_Toc528227341"/>
      <w:bookmarkStart w:id="3391" w:name="_Toc19389425"/>
      <w:bookmarkStart w:id="3392" w:name="_Toc19392922"/>
      <w:r>
        <w:rPr>
          <w:rFonts w:hint="cs"/>
          <w:rtl/>
        </w:rPr>
        <w:t>דברי הפנ"י דא"א לומר דהרמב"ן אסר רק מחמת דהעור פוגם אלא מכח החזקת איסור</w:t>
      </w:r>
      <w:bookmarkEnd w:id="3380"/>
      <w:bookmarkEnd w:id="3381"/>
      <w:bookmarkEnd w:id="3382"/>
      <w:bookmarkEnd w:id="3383"/>
      <w:bookmarkEnd w:id="3384"/>
      <w:bookmarkEnd w:id="3385"/>
      <w:bookmarkEnd w:id="3386"/>
      <w:bookmarkEnd w:id="3387"/>
      <w:bookmarkEnd w:id="3388"/>
      <w:bookmarkEnd w:id="3389"/>
      <w:bookmarkEnd w:id="3390"/>
      <w:bookmarkEnd w:id="3391"/>
      <w:bookmarkEnd w:id="3392"/>
    </w:p>
    <w:p w14:paraId="346A88D2" w14:textId="77777777" w:rsidR="00FC47D4" w:rsidRPr="002C139A" w:rsidRDefault="00FC47D4" w:rsidP="00223668">
      <w:pPr>
        <w:pStyle w:val="a0"/>
        <w:rPr>
          <w:rtl/>
        </w:rPr>
      </w:pPr>
      <w:bookmarkStart w:id="3393" w:name="_Ref523687874"/>
      <w:bookmarkStart w:id="3394" w:name="_Ref523732585"/>
      <w:r w:rsidRPr="002C139A">
        <w:rPr>
          <w:rFonts w:hint="cs"/>
          <w:rtl/>
        </w:rPr>
        <w:t xml:space="preserve">כתב </w:t>
      </w:r>
      <w:r w:rsidRPr="002C139A">
        <w:rPr>
          <w:rStyle w:val="af9"/>
          <w:rFonts w:hint="cs"/>
          <w:rtl/>
        </w:rPr>
        <w:t>הפנ"י</w:t>
      </w:r>
      <w:r w:rsidRPr="002C139A">
        <w:rPr>
          <w:rFonts w:hint="cs"/>
          <w:rtl/>
        </w:rPr>
        <w:t xml:space="preserve"> </w:t>
      </w:r>
      <w:r w:rsidRPr="002C139A">
        <w:rPr>
          <w:rStyle w:val="af7"/>
          <w:rFonts w:eastAsia="Guttman Hodes" w:hint="cs"/>
          <w:rtl/>
        </w:rPr>
        <w:t>(ד"ה איתמר)</w:t>
      </w:r>
      <w:r w:rsidRPr="002C139A">
        <w:rPr>
          <w:rFonts w:hint="cs"/>
          <w:rtl/>
        </w:rPr>
        <w:t xml:space="preserve"> דאף דמדברי </w:t>
      </w:r>
      <w:r w:rsidRPr="002C139A">
        <w:rPr>
          <w:rStyle w:val="af9"/>
          <w:rFonts w:hint="cs"/>
          <w:rtl/>
        </w:rPr>
        <w:t>הרשב"א</w:t>
      </w:r>
      <w:r w:rsidRPr="002C139A">
        <w:rPr>
          <w:rFonts w:hint="cs"/>
          <w:rtl/>
        </w:rPr>
        <w:t xml:space="preserve"> </w:t>
      </w:r>
      <w:r w:rsidRPr="002C139A">
        <w:rPr>
          <w:rStyle w:val="af7"/>
          <w:rFonts w:eastAsia="Guttman Hodes" w:hint="cs"/>
          <w:rtl/>
        </w:rPr>
        <w:t xml:space="preserve"> </w:t>
      </w:r>
      <w:r w:rsidRPr="002C139A">
        <w:rPr>
          <w:rFonts w:hint="cs"/>
          <w:rtl/>
        </w:rPr>
        <w:t xml:space="preserve">בשם </w:t>
      </w:r>
      <w:r w:rsidRPr="002C139A">
        <w:rPr>
          <w:rStyle w:val="af9"/>
          <w:rFonts w:hint="cs"/>
          <w:rtl/>
        </w:rPr>
        <w:t>רבינו יונה</w:t>
      </w:r>
      <w:r w:rsidRPr="002C139A">
        <w:rPr>
          <w:rFonts w:hint="cs"/>
          <w:rtl/>
        </w:rPr>
        <w:t xml:space="preserve"> משמע דהבין בדעת </w:t>
      </w:r>
      <w:r w:rsidRPr="002C139A">
        <w:rPr>
          <w:rStyle w:val="af9"/>
          <w:rFonts w:hint="cs"/>
          <w:rtl/>
        </w:rPr>
        <w:t>הרמב"ן</w:t>
      </w:r>
      <w:r w:rsidRPr="002C139A">
        <w:rPr>
          <w:rFonts w:hint="cs"/>
          <w:rtl/>
        </w:rPr>
        <w:t xml:space="preserve"> </w:t>
      </w:r>
      <w:r w:rsidRPr="002C139A">
        <w:rPr>
          <w:rStyle w:val="af7"/>
          <w:rFonts w:eastAsia="Guttman Hodes" w:hint="cs"/>
          <w:rtl/>
        </w:rPr>
        <w:t xml:space="preserve">(עי' אות </w:t>
      </w:r>
      <w:r w:rsidRPr="002C139A">
        <w:rPr>
          <w:rStyle w:val="af7"/>
          <w:rFonts w:eastAsia="Guttman Hodes"/>
          <w:rtl/>
        </w:rPr>
        <w:fldChar w:fldCharType="begin"/>
      </w:r>
      <w:r w:rsidRPr="002C139A">
        <w:rPr>
          <w:rStyle w:val="af7"/>
          <w:rFonts w:eastAsia="Guttman Hodes"/>
          <w:rtl/>
        </w:rPr>
        <w:instrText xml:space="preserve"> </w:instrText>
      </w:r>
      <w:r w:rsidRPr="002C139A">
        <w:rPr>
          <w:rStyle w:val="af7"/>
          <w:rFonts w:eastAsia="Guttman Hodes" w:hint="cs"/>
        </w:rPr>
        <w:instrText>REF</w:instrText>
      </w:r>
      <w:r w:rsidRPr="002C139A">
        <w:rPr>
          <w:rStyle w:val="af7"/>
          <w:rFonts w:eastAsia="Guttman Hodes" w:hint="cs"/>
          <w:rtl/>
        </w:rPr>
        <w:instrText xml:space="preserve"> _</w:instrText>
      </w:r>
      <w:r w:rsidRPr="002C139A">
        <w:rPr>
          <w:rStyle w:val="af7"/>
          <w:rFonts w:eastAsia="Guttman Hodes" w:hint="cs"/>
        </w:rPr>
        <w:instrText>Ref523072582 \r \h</w:instrText>
      </w:r>
      <w:r w:rsidRPr="002C139A">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2C139A">
        <w:rPr>
          <w:rStyle w:val="af7"/>
          <w:rFonts w:eastAsia="Guttman Hodes"/>
          <w:rtl/>
        </w:rPr>
      </w:r>
      <w:r w:rsidRPr="002C139A">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2C139A">
        <w:rPr>
          <w:rStyle w:val="af7"/>
          <w:rFonts w:eastAsia="Guttman Hodes"/>
          <w:rtl/>
        </w:rPr>
        <w:fldChar w:fldCharType="end"/>
      </w:r>
      <w:r w:rsidRPr="002C139A">
        <w:rPr>
          <w:rFonts w:hint="cs"/>
          <w:rtl/>
        </w:rPr>
        <w:t xml:space="preserve"> דהא דאסר רב הונא ב</w:t>
      </w:r>
      <w:r>
        <w:rPr>
          <w:rFonts w:hint="cs"/>
          <w:rtl/>
        </w:rPr>
        <w:t>אבד</w:t>
      </w:r>
      <w:r w:rsidRPr="002C139A">
        <w:rPr>
          <w:rFonts w:hint="cs"/>
          <w:rtl/>
        </w:rPr>
        <w:t xml:space="preserve"> הסכין, אינו  מחמת דס"ל כשמעתיה דבחזקת איסור עומדת, אלא דס"ל לרב הונא דעור ודאי פוגם.</w:t>
      </w:r>
      <w:bookmarkEnd w:id="3393"/>
      <w:r w:rsidRPr="002C139A">
        <w:rPr>
          <w:rFonts w:hint="cs"/>
          <w:rtl/>
        </w:rPr>
        <w:t xml:space="preserve"> מ"מ כתב </w:t>
      </w:r>
      <w:r w:rsidRPr="002C139A">
        <w:rPr>
          <w:rStyle w:val="af9"/>
          <w:rFonts w:hint="cs"/>
          <w:rtl/>
        </w:rPr>
        <w:t>הפנ"י</w:t>
      </w:r>
      <w:r w:rsidRPr="002C139A">
        <w:rPr>
          <w:rFonts w:hint="cs"/>
          <w:rtl/>
        </w:rPr>
        <w:t xml:space="preserve"> דצ"ל דאי"ז כוונת </w:t>
      </w:r>
      <w:r w:rsidRPr="002C139A">
        <w:rPr>
          <w:rStyle w:val="af9"/>
          <w:rFonts w:hint="cs"/>
          <w:rtl/>
        </w:rPr>
        <w:t>הרמב"ן</w:t>
      </w:r>
      <w:r w:rsidRPr="002C139A">
        <w:rPr>
          <w:rFonts w:hint="cs"/>
          <w:rtl/>
        </w:rPr>
        <w:t xml:space="preserve">, אלא דאף לדעת </w:t>
      </w:r>
      <w:r w:rsidRPr="002C139A">
        <w:rPr>
          <w:rStyle w:val="af9"/>
          <w:rFonts w:hint="cs"/>
          <w:rtl/>
        </w:rPr>
        <w:t>הרמב"ן</w:t>
      </w:r>
      <w:r w:rsidRPr="002C139A">
        <w:rPr>
          <w:rFonts w:hint="cs"/>
          <w:rtl/>
        </w:rPr>
        <w:t xml:space="preserve"> רב הונא אסור כיון דבחזקת איסור עומדת, וא"א לאסור מחמת דעור ודאי פוגם בלבד, דהא חזינן דרוב הסכינים יפים אף לאחר שחיטה.</w:t>
      </w:r>
      <w:bookmarkEnd w:id="3394"/>
    </w:p>
    <w:p w14:paraId="760FA06D" w14:textId="77777777" w:rsidR="00FC47D4" w:rsidRPr="002C139A" w:rsidRDefault="00FC47D4" w:rsidP="006D6D32">
      <w:pPr>
        <w:pStyle w:val="a3"/>
      </w:pPr>
      <w:bookmarkStart w:id="3395" w:name="_Toc523697926"/>
      <w:bookmarkStart w:id="3396" w:name="_Toc523735701"/>
      <w:bookmarkStart w:id="3397" w:name="_Toc526248943"/>
      <w:bookmarkStart w:id="3398" w:name="_Toc526409462"/>
      <w:bookmarkStart w:id="3399" w:name="_Toc526939104"/>
      <w:bookmarkStart w:id="3400" w:name="_Toc527060236"/>
      <w:bookmarkStart w:id="3401" w:name="_Toc527060384"/>
      <w:bookmarkStart w:id="3402" w:name="_Toc527100761"/>
      <w:bookmarkStart w:id="3403" w:name="_Toc528227016"/>
      <w:bookmarkStart w:id="3404" w:name="_Toc528227180"/>
      <w:bookmarkStart w:id="3405" w:name="_Toc528227342"/>
      <w:bookmarkStart w:id="3406" w:name="_Toc19389426"/>
      <w:bookmarkStart w:id="3407" w:name="_Toc19392923"/>
      <w:r w:rsidRPr="002C139A">
        <w:rPr>
          <w:rFonts w:hint="cs"/>
          <w:rtl/>
        </w:rPr>
        <w:t xml:space="preserve">ביאור הפנ"י </w:t>
      </w:r>
      <w:r>
        <w:rPr>
          <w:rFonts w:hint="cs"/>
          <w:rtl/>
        </w:rPr>
        <w:t>דכוונת הרמב</w:t>
      </w:r>
      <w:r>
        <w:rPr>
          <w:rtl/>
        </w:rPr>
        <w:t>"</w:t>
      </w:r>
      <w:r>
        <w:rPr>
          <w:rFonts w:hint="cs"/>
          <w:rtl/>
        </w:rPr>
        <w:t>ן דאי באבד הסכין כשר לא דמי</w:t>
      </w:r>
      <w:r w:rsidRPr="002C139A">
        <w:rPr>
          <w:rFonts w:hint="cs"/>
          <w:rtl/>
        </w:rPr>
        <w:t xml:space="preserve"> בדיקת סכין לבדיקת סימנים</w:t>
      </w:r>
      <w:bookmarkEnd w:id="3395"/>
      <w:bookmarkEnd w:id="3396"/>
      <w:bookmarkEnd w:id="3397"/>
      <w:bookmarkEnd w:id="3398"/>
      <w:bookmarkEnd w:id="3399"/>
      <w:bookmarkEnd w:id="3400"/>
      <w:bookmarkEnd w:id="3401"/>
      <w:bookmarkEnd w:id="3402"/>
      <w:bookmarkEnd w:id="3403"/>
      <w:bookmarkEnd w:id="3404"/>
      <w:bookmarkEnd w:id="3405"/>
      <w:bookmarkEnd w:id="3406"/>
      <w:bookmarkEnd w:id="3407"/>
    </w:p>
    <w:p w14:paraId="508A6205" w14:textId="77777777" w:rsidR="00FC47D4" w:rsidRPr="002C139A" w:rsidRDefault="00FC47D4" w:rsidP="00223668">
      <w:pPr>
        <w:pStyle w:val="a0"/>
        <w:rPr>
          <w:rtl/>
        </w:rPr>
      </w:pPr>
      <w:r w:rsidRPr="002C139A">
        <w:rPr>
          <w:rFonts w:hint="cs"/>
          <w:rtl/>
        </w:rPr>
        <w:t xml:space="preserve">אלא ביאר </w:t>
      </w:r>
      <w:r w:rsidRPr="002C139A">
        <w:rPr>
          <w:rStyle w:val="af9"/>
          <w:rFonts w:hint="cs"/>
          <w:rtl/>
        </w:rPr>
        <w:t>הפנ"י</w:t>
      </w:r>
      <w:r w:rsidRPr="002C139A">
        <w:rPr>
          <w:rFonts w:hint="cs"/>
          <w:rtl/>
        </w:rPr>
        <w:t xml:space="preserve"> דכוונת </w:t>
      </w:r>
      <w:r w:rsidRPr="002C139A">
        <w:rPr>
          <w:rStyle w:val="af9"/>
          <w:rFonts w:hint="cs"/>
          <w:rtl/>
        </w:rPr>
        <w:t>הרמב"ן</w:t>
      </w:r>
      <w:r w:rsidRPr="002C139A">
        <w:rPr>
          <w:rFonts w:hint="cs"/>
          <w:rtl/>
        </w:rPr>
        <w:t xml:space="preserve"> </w:t>
      </w:r>
      <w:r w:rsidRPr="002C139A">
        <w:rPr>
          <w:rStyle w:val="af7"/>
          <w:rFonts w:eastAsia="Guttman Hodes" w:hint="cs"/>
          <w:rtl/>
        </w:rPr>
        <w:t xml:space="preserve">(עי' אות </w:t>
      </w:r>
      <w:r w:rsidRPr="002C139A">
        <w:rPr>
          <w:rStyle w:val="af7"/>
          <w:rFonts w:eastAsia="Guttman Hodes"/>
          <w:rtl/>
        </w:rPr>
        <w:fldChar w:fldCharType="begin"/>
      </w:r>
      <w:r w:rsidRPr="002C139A">
        <w:rPr>
          <w:rStyle w:val="af7"/>
          <w:rFonts w:eastAsia="Guttman Hodes"/>
          <w:rtl/>
        </w:rPr>
        <w:instrText xml:space="preserve"> </w:instrText>
      </w:r>
      <w:r w:rsidRPr="002C139A">
        <w:rPr>
          <w:rStyle w:val="af7"/>
          <w:rFonts w:eastAsia="Guttman Hodes" w:hint="cs"/>
        </w:rPr>
        <w:instrText>REF</w:instrText>
      </w:r>
      <w:r w:rsidRPr="002C139A">
        <w:rPr>
          <w:rStyle w:val="af7"/>
          <w:rFonts w:eastAsia="Guttman Hodes" w:hint="cs"/>
          <w:rtl/>
        </w:rPr>
        <w:instrText xml:space="preserve"> _</w:instrText>
      </w:r>
      <w:r w:rsidRPr="002C139A">
        <w:rPr>
          <w:rStyle w:val="af7"/>
          <w:rFonts w:eastAsia="Guttman Hodes" w:hint="cs"/>
        </w:rPr>
        <w:instrText>Ref523072582 \r \h</w:instrText>
      </w:r>
      <w:r w:rsidRPr="002C139A">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2C139A">
        <w:rPr>
          <w:rStyle w:val="af7"/>
          <w:rFonts w:eastAsia="Guttman Hodes"/>
          <w:rtl/>
        </w:rPr>
      </w:r>
      <w:r w:rsidRPr="002C139A">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2C139A">
        <w:rPr>
          <w:rStyle w:val="af7"/>
          <w:rFonts w:eastAsia="Guttman Hodes"/>
          <w:rtl/>
        </w:rPr>
        <w:fldChar w:fldCharType="end"/>
      </w:r>
      <w:r w:rsidRPr="002C139A">
        <w:rPr>
          <w:rFonts w:hint="cs"/>
          <w:rtl/>
        </w:rPr>
        <w:t xml:space="preserve"> לומר דאי נימא דרב הונא מכשיר ב</w:t>
      </w:r>
      <w:r>
        <w:rPr>
          <w:rFonts w:hint="cs"/>
          <w:rtl/>
        </w:rPr>
        <w:t>אבד</w:t>
      </w:r>
      <w:r w:rsidRPr="002C139A">
        <w:rPr>
          <w:rFonts w:hint="cs"/>
          <w:rtl/>
        </w:rPr>
        <w:t xml:space="preserve"> הסכין, אינו כשמעתיה, דהא בבדיקת הסימנים ס"ל דלא חשיב שנודע במה נשחטה, וא"כ אף בסכין, אי נימא דסמכינן על הבדיקה שלפני השחיטה, גם בסימנים צ"ל דיצאה מחזקת איסור</w:t>
      </w:r>
      <w:r>
        <w:rPr>
          <w:rFonts w:hint="cs"/>
          <w:rtl/>
        </w:rPr>
        <w:t xml:space="preserve">, וע"ע בדברי </w:t>
      </w:r>
      <w:r w:rsidRPr="00FD2B03">
        <w:rPr>
          <w:rStyle w:val="af9"/>
          <w:rFonts w:hint="cs"/>
          <w:rtl/>
        </w:rPr>
        <w:t>השיטמ"ק</w:t>
      </w:r>
      <w:r>
        <w:rPr>
          <w:rFonts w:hint="cs"/>
          <w:rtl/>
        </w:rPr>
        <w:t xml:space="preserve"> </w:t>
      </w:r>
      <w:r w:rsidRPr="00FD2B03">
        <w:rPr>
          <w:rStyle w:val="af7"/>
          <w:rFonts w:eastAsia="Guttman Hodes" w:hint="cs"/>
          <w:rtl/>
        </w:rPr>
        <w:t xml:space="preserve">(עי' אות </w:t>
      </w:r>
      <w:r w:rsidRPr="00FD2B03">
        <w:rPr>
          <w:rStyle w:val="af7"/>
          <w:rFonts w:eastAsia="Guttman Hodes"/>
          <w:rtl/>
        </w:rPr>
        <w:fldChar w:fldCharType="begin"/>
      </w:r>
      <w:r w:rsidRPr="00FD2B03">
        <w:rPr>
          <w:rStyle w:val="af7"/>
          <w:rFonts w:eastAsia="Guttman Hodes"/>
          <w:rtl/>
        </w:rPr>
        <w:instrText xml:space="preserve"> </w:instrText>
      </w:r>
      <w:r w:rsidRPr="00FD2B03">
        <w:rPr>
          <w:rStyle w:val="af7"/>
          <w:rFonts w:eastAsia="Guttman Hodes" w:hint="cs"/>
        </w:rPr>
        <w:instrText>REF</w:instrText>
      </w:r>
      <w:r w:rsidRPr="00FD2B03">
        <w:rPr>
          <w:rStyle w:val="af7"/>
          <w:rFonts w:eastAsia="Guttman Hodes" w:hint="cs"/>
          <w:rtl/>
        </w:rPr>
        <w:instrText xml:space="preserve"> _</w:instrText>
      </w:r>
      <w:r w:rsidRPr="00FD2B03">
        <w:rPr>
          <w:rStyle w:val="af7"/>
          <w:rFonts w:eastAsia="Guttman Hodes" w:hint="cs"/>
        </w:rPr>
        <w:instrText>Ref523153351 \r \h</w:instrText>
      </w:r>
      <w:r w:rsidRPr="00FD2B03">
        <w:rPr>
          <w:rStyle w:val="af7"/>
          <w:rFonts w:eastAsia="Guttman Hodes"/>
          <w:rtl/>
        </w:rPr>
        <w:instrText xml:space="preserve"> </w:instrText>
      </w:r>
      <w:r w:rsidRPr="00FD2B03">
        <w:rPr>
          <w:rStyle w:val="af7"/>
          <w:rFonts w:eastAsia="Guttman Hodes"/>
          <w:rtl/>
        </w:rPr>
      </w:r>
      <w:r w:rsidRPr="00FD2B03">
        <w:rPr>
          <w:rStyle w:val="af7"/>
          <w:rFonts w:eastAsia="Guttman Hodes"/>
          <w:rtl/>
        </w:rPr>
        <w:fldChar w:fldCharType="separate"/>
      </w:r>
      <w:r w:rsidR="00345400">
        <w:rPr>
          <w:rStyle w:val="af7"/>
          <w:rFonts w:eastAsia="Guttman Hodes"/>
          <w:cs/>
        </w:rPr>
        <w:t>‎</w:t>
      </w:r>
      <w:r w:rsidR="00345400">
        <w:rPr>
          <w:rStyle w:val="af7"/>
          <w:rFonts w:eastAsia="Guttman Hodes"/>
          <w:rtl/>
        </w:rPr>
        <w:t>מב)</w:t>
      </w:r>
      <w:r w:rsidRPr="00FD2B03">
        <w:rPr>
          <w:rStyle w:val="af7"/>
          <w:rFonts w:eastAsia="Guttman Hodes"/>
          <w:rtl/>
        </w:rPr>
        <w:fldChar w:fldCharType="end"/>
      </w:r>
      <w:r>
        <w:rPr>
          <w:rFonts w:hint="cs"/>
          <w:rtl/>
        </w:rPr>
        <w:t xml:space="preserve"> בזה</w:t>
      </w:r>
      <w:r w:rsidRPr="002C139A">
        <w:rPr>
          <w:rFonts w:hint="cs"/>
          <w:rtl/>
        </w:rPr>
        <w:t>.</w:t>
      </w:r>
    </w:p>
    <w:p w14:paraId="67DF2D5C" w14:textId="77777777" w:rsidR="00FC47D4" w:rsidRPr="001A7E78" w:rsidRDefault="00FC47D4" w:rsidP="00BF39B2">
      <w:pPr>
        <w:pStyle w:val="1"/>
        <w:rPr>
          <w:rtl/>
        </w:rPr>
      </w:pPr>
      <w:bookmarkStart w:id="3408" w:name="_Toc527060238"/>
      <w:bookmarkStart w:id="3409" w:name="_Toc527060386"/>
      <w:bookmarkStart w:id="3410" w:name="_Toc527100763"/>
      <w:bookmarkStart w:id="3411" w:name="_Toc528227018"/>
      <w:bookmarkStart w:id="3412" w:name="_Toc528227182"/>
      <w:bookmarkStart w:id="3413" w:name="_Toc528227344"/>
      <w:bookmarkStart w:id="3414" w:name="_Toc19389427"/>
      <w:bookmarkStart w:id="3415" w:name="_Toc19392924"/>
      <w:bookmarkStart w:id="3416" w:name="_Toc523397200"/>
      <w:bookmarkStart w:id="3417" w:name="_Toc523490308"/>
      <w:bookmarkStart w:id="3418" w:name="_Toc523697913"/>
      <w:bookmarkStart w:id="3419" w:name="_Toc523735688"/>
      <w:bookmarkStart w:id="3420" w:name="_Toc526248953"/>
      <w:bookmarkStart w:id="3421" w:name="_Toc526409464"/>
      <w:bookmarkStart w:id="3422" w:name="_Toc526939106"/>
      <w:bookmarkStart w:id="3423" w:name="_Toc523397207"/>
      <w:bookmarkStart w:id="3424" w:name="_Toc523490316"/>
      <w:bookmarkStart w:id="3425" w:name="_Toc523697936"/>
      <w:bookmarkStart w:id="3426" w:name="_Toc523735711"/>
      <w:bookmarkEnd w:id="3281"/>
      <w:bookmarkEnd w:id="3282"/>
      <w:r w:rsidRPr="001A7E78">
        <w:rPr>
          <w:rFonts w:hint="cs"/>
          <w:rtl/>
        </w:rPr>
        <w:t>ביאור הגרעק"א ברמב"ן דהאיסור באבד הסכין הוא דרבנן</w:t>
      </w:r>
      <w:bookmarkEnd w:id="3408"/>
      <w:bookmarkEnd w:id="3409"/>
      <w:bookmarkEnd w:id="3410"/>
      <w:bookmarkEnd w:id="3411"/>
      <w:bookmarkEnd w:id="3412"/>
      <w:bookmarkEnd w:id="3413"/>
      <w:bookmarkEnd w:id="3414"/>
      <w:bookmarkEnd w:id="3415"/>
    </w:p>
    <w:p w14:paraId="77DC1090" w14:textId="77777777" w:rsidR="00FC47D4" w:rsidRPr="001A7E78" w:rsidRDefault="00FC47D4" w:rsidP="006D6D32">
      <w:pPr>
        <w:pStyle w:val="a3"/>
        <w:rPr>
          <w:rtl/>
        </w:rPr>
      </w:pPr>
      <w:bookmarkStart w:id="3427" w:name="_Toc527060239"/>
      <w:bookmarkStart w:id="3428" w:name="_Toc527060387"/>
      <w:bookmarkStart w:id="3429" w:name="_Toc527100764"/>
      <w:bookmarkStart w:id="3430" w:name="_Toc528227019"/>
      <w:bookmarkStart w:id="3431" w:name="_Toc528227183"/>
      <w:bookmarkStart w:id="3432" w:name="_Toc528227345"/>
      <w:bookmarkStart w:id="3433" w:name="_Toc19389428"/>
      <w:bookmarkStart w:id="3434" w:name="_Toc19392925"/>
      <w:r w:rsidRPr="001A7E78">
        <w:rPr>
          <w:rFonts w:hint="cs"/>
          <w:rtl/>
        </w:rPr>
        <w:t>דברי הגרעק"א דאף לרמב"ן באבד הסכין אסור רק מדרבנן ומדאו' יש רוב</w:t>
      </w:r>
      <w:bookmarkEnd w:id="3427"/>
      <w:bookmarkEnd w:id="3428"/>
      <w:bookmarkEnd w:id="3429"/>
      <w:bookmarkEnd w:id="3430"/>
      <w:bookmarkEnd w:id="3431"/>
      <w:bookmarkEnd w:id="3432"/>
      <w:bookmarkEnd w:id="3433"/>
      <w:bookmarkEnd w:id="3434"/>
    </w:p>
    <w:p w14:paraId="507464F7" w14:textId="77777777" w:rsidR="00FC47D4" w:rsidRPr="001A7E78" w:rsidRDefault="00FC47D4" w:rsidP="00223668">
      <w:pPr>
        <w:pStyle w:val="a0"/>
        <w:rPr>
          <w:rtl/>
        </w:rPr>
      </w:pPr>
      <w:r w:rsidRPr="001A7E78">
        <w:rPr>
          <w:rFonts w:hint="cs"/>
          <w:rtl/>
        </w:rPr>
        <w:t xml:space="preserve">עי' בדברי </w:t>
      </w:r>
      <w:r w:rsidRPr="001A7E78">
        <w:rPr>
          <w:rStyle w:val="af9"/>
          <w:rFonts w:hint="cs"/>
          <w:rtl/>
        </w:rPr>
        <w:t>הגרעק"א</w:t>
      </w:r>
      <w:r w:rsidRPr="001A7E78">
        <w:rPr>
          <w:rFonts w:hint="cs"/>
          <w:rtl/>
        </w:rPr>
        <w:t xml:space="preserve"> </w:t>
      </w:r>
      <w:r w:rsidRPr="00BF04FE">
        <w:rPr>
          <w:rStyle w:val="af7"/>
          <w:rFonts w:eastAsia="Guttman Hodes" w:hint="cs"/>
          <w:rtl/>
        </w:rPr>
        <w:t>(עי' אות</w:t>
      </w:r>
      <w:r w:rsidRPr="00172AD0">
        <w:rPr>
          <w:rStyle w:val="af7"/>
          <w:rFonts w:eastAsia="Guttman Hodes" w:hint="cs"/>
          <w:rtl/>
        </w:rPr>
        <w:t xml:space="preserve"> </w:t>
      </w:r>
      <w:r w:rsidRPr="00172AD0">
        <w:rPr>
          <w:rStyle w:val="af7"/>
          <w:rFonts w:eastAsia="Guttman Hodes"/>
          <w:rtl/>
        </w:rPr>
        <w:fldChar w:fldCharType="begin"/>
      </w:r>
      <w:r w:rsidRPr="00172AD0">
        <w:rPr>
          <w:rStyle w:val="af7"/>
          <w:rFonts w:eastAsia="Guttman Hodes"/>
          <w:rtl/>
        </w:rPr>
        <w:instrText xml:space="preserve"> </w:instrText>
      </w:r>
      <w:r w:rsidRPr="00172AD0">
        <w:rPr>
          <w:rStyle w:val="af7"/>
          <w:rFonts w:eastAsia="Guttman Hodes" w:hint="cs"/>
        </w:rPr>
        <w:instrText>REF</w:instrText>
      </w:r>
      <w:r w:rsidRPr="00172AD0">
        <w:rPr>
          <w:rStyle w:val="af7"/>
          <w:rFonts w:eastAsia="Guttman Hodes" w:hint="cs"/>
          <w:rtl/>
        </w:rPr>
        <w:instrText xml:space="preserve"> _</w:instrText>
      </w:r>
      <w:r w:rsidRPr="00172AD0">
        <w:rPr>
          <w:rStyle w:val="af7"/>
          <w:rFonts w:eastAsia="Guttman Hodes" w:hint="cs"/>
        </w:rPr>
        <w:instrText>Ref526939821 \r \h</w:instrText>
      </w:r>
      <w:r w:rsidRPr="00172AD0">
        <w:rPr>
          <w:rStyle w:val="af7"/>
          <w:rFonts w:eastAsia="Guttman Hodes"/>
          <w:rtl/>
        </w:rPr>
        <w:instrText xml:space="preserve"> </w:instrText>
      </w:r>
      <w:r w:rsidRPr="00172AD0">
        <w:rPr>
          <w:rStyle w:val="af7"/>
          <w:rFonts w:eastAsia="Guttman Hodes"/>
          <w:rtl/>
        </w:rPr>
      </w:r>
      <w:r w:rsidRPr="00172AD0">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172AD0">
        <w:rPr>
          <w:rStyle w:val="af7"/>
          <w:rFonts w:eastAsia="Guttman Hodes"/>
          <w:rtl/>
        </w:rPr>
        <w:fldChar w:fldCharType="end"/>
      </w:r>
      <w:r w:rsidRPr="001A7E78">
        <w:rPr>
          <w:rFonts w:hint="cs"/>
          <w:rtl/>
        </w:rPr>
        <w:t xml:space="preserve"> דכתב דמוכח דלדעת </w:t>
      </w:r>
      <w:r w:rsidRPr="001A7E78">
        <w:rPr>
          <w:rStyle w:val="af9"/>
          <w:rFonts w:hint="cs"/>
          <w:rtl/>
        </w:rPr>
        <w:t>הרמב"ן</w:t>
      </w:r>
      <w:r w:rsidRPr="001A7E78">
        <w:rPr>
          <w:rFonts w:hint="cs"/>
          <w:rtl/>
        </w:rPr>
        <w:t xml:space="preserve"> האיסור באבד הסכין הוא מדרבנן ולא מדאו', דבשיבר בה עצמות או ש</w:t>
      </w:r>
      <w:r>
        <w:rPr>
          <w:rFonts w:hint="cs"/>
          <w:rtl/>
        </w:rPr>
        <w:t>אבד</w:t>
      </w:r>
      <w:r w:rsidRPr="001A7E78">
        <w:rPr>
          <w:rFonts w:hint="cs"/>
          <w:rtl/>
        </w:rPr>
        <w:t xml:space="preserve"> הסכין החמירו רבנן לאסור, וכדמוכח מהא דדימתה הגמ' את דין בדיקת הסכין לדברי רב הונא לעיל </w:t>
      </w:r>
      <w:r w:rsidRPr="001A7E78">
        <w:rPr>
          <w:rStyle w:val="af7"/>
          <w:rFonts w:eastAsia="Guttman Hodes" w:hint="cs"/>
          <w:rtl/>
        </w:rPr>
        <w:t>(ט.)</w:t>
      </w:r>
      <w:r w:rsidRPr="001A7E78">
        <w:rPr>
          <w:rFonts w:hint="cs"/>
          <w:rtl/>
        </w:rPr>
        <w:t xml:space="preserve"> בבדיקת סימנים, וכתבו </w:t>
      </w:r>
      <w:r w:rsidRPr="001A7E78">
        <w:rPr>
          <w:rStyle w:val="af9"/>
          <w:rFonts w:hint="cs"/>
          <w:rtl/>
        </w:rPr>
        <w:t>התוס'</w:t>
      </w:r>
      <w:r w:rsidRPr="001A7E78">
        <w:rPr>
          <w:rFonts w:hint="cs"/>
          <w:rtl/>
        </w:rPr>
        <w:t xml:space="preserve"> </w:t>
      </w:r>
      <w:r w:rsidRPr="001A7E78">
        <w:rPr>
          <w:rStyle w:val="af7"/>
          <w:rFonts w:eastAsia="Guttman Hodes" w:hint="cs"/>
          <w:rtl/>
        </w:rPr>
        <w:t xml:space="preserve">(ט. ד"ה ואסורה) </w:t>
      </w:r>
      <w:r w:rsidRPr="001A7E78">
        <w:rPr>
          <w:rStyle w:val="af9"/>
          <w:rFonts w:hint="cs"/>
          <w:rtl/>
        </w:rPr>
        <w:t>והרשב"א</w:t>
      </w:r>
      <w:r w:rsidRPr="001A7E78">
        <w:rPr>
          <w:rStyle w:val="af7"/>
          <w:rFonts w:eastAsia="Guttman Hodes" w:hint="cs"/>
          <w:rtl/>
        </w:rPr>
        <w:t xml:space="preserve"> (ט. ד"ה מר סבר) </w:t>
      </w:r>
      <w:r w:rsidRPr="001A7E78">
        <w:rPr>
          <w:rFonts w:hint="cs"/>
          <w:rtl/>
        </w:rPr>
        <w:t>דמדאו' יש רוב שנשחטו הסימנים כראוי, ורק מדרבנן הבהמה אסורה.</w:t>
      </w:r>
    </w:p>
    <w:p w14:paraId="1C522CED" w14:textId="77777777" w:rsidR="00FC47D4" w:rsidRPr="001A7E78" w:rsidRDefault="00FC47D4" w:rsidP="006D6D32">
      <w:pPr>
        <w:pStyle w:val="a3"/>
      </w:pPr>
      <w:bookmarkStart w:id="3435" w:name="_Toc527060240"/>
      <w:bookmarkStart w:id="3436" w:name="_Toc527060388"/>
      <w:bookmarkStart w:id="3437" w:name="_Toc527100765"/>
      <w:bookmarkStart w:id="3438" w:name="_Toc528227020"/>
      <w:bookmarkStart w:id="3439" w:name="_Toc528227184"/>
      <w:bookmarkStart w:id="3440" w:name="_Toc528227346"/>
      <w:bookmarkStart w:id="3441" w:name="_Toc19389429"/>
      <w:bookmarkStart w:id="3442" w:name="_Toc19392926"/>
      <w:r>
        <w:rPr>
          <w:rFonts w:hint="cs"/>
          <w:rtl/>
        </w:rPr>
        <w:t>ביאור הגרעק"א דהחמירו רבנן לא לסמוך על הרוב כיון שיש חזקת איסור</w:t>
      </w:r>
      <w:bookmarkEnd w:id="3435"/>
      <w:bookmarkEnd w:id="3436"/>
      <w:bookmarkEnd w:id="3437"/>
      <w:bookmarkEnd w:id="3438"/>
      <w:bookmarkEnd w:id="3439"/>
      <w:bookmarkEnd w:id="3440"/>
      <w:bookmarkEnd w:id="3441"/>
      <w:bookmarkEnd w:id="3442"/>
    </w:p>
    <w:p w14:paraId="179247BB" w14:textId="77777777" w:rsidR="00FC47D4" w:rsidRDefault="00FC47D4" w:rsidP="00223668">
      <w:pPr>
        <w:pStyle w:val="a0"/>
      </w:pPr>
      <w:r w:rsidRPr="001A7E78">
        <w:rPr>
          <w:rFonts w:hint="cs"/>
          <w:rtl/>
        </w:rPr>
        <w:t xml:space="preserve">וביאר </w:t>
      </w:r>
      <w:r w:rsidRPr="001A7E78">
        <w:rPr>
          <w:rStyle w:val="af9"/>
          <w:rFonts w:hint="cs"/>
          <w:rtl/>
        </w:rPr>
        <w:t>הגרעק"א</w:t>
      </w:r>
      <w:r w:rsidRPr="001A7E78">
        <w:rPr>
          <w:rFonts w:hint="cs"/>
          <w:rtl/>
        </w:rPr>
        <w:t xml:space="preserve"> </w:t>
      </w:r>
      <w:r w:rsidRPr="006A6360">
        <w:rPr>
          <w:rStyle w:val="af7"/>
          <w:rFonts w:eastAsia="Guttman Hodes" w:hint="cs"/>
          <w:rtl/>
        </w:rPr>
        <w:t xml:space="preserve">(עי' אות </w:t>
      </w:r>
      <w:r w:rsidRPr="006A6360">
        <w:rPr>
          <w:rStyle w:val="af7"/>
          <w:rFonts w:eastAsia="Guttman Hodes"/>
          <w:rtl/>
        </w:rPr>
        <w:fldChar w:fldCharType="begin"/>
      </w:r>
      <w:r w:rsidRPr="006A6360">
        <w:rPr>
          <w:rStyle w:val="af7"/>
          <w:rFonts w:eastAsia="Guttman Hodes"/>
          <w:rtl/>
        </w:rPr>
        <w:instrText xml:space="preserve"> </w:instrText>
      </w:r>
      <w:r w:rsidRPr="006A6360">
        <w:rPr>
          <w:rStyle w:val="af7"/>
          <w:rFonts w:eastAsia="Guttman Hodes" w:hint="cs"/>
        </w:rPr>
        <w:instrText>REF</w:instrText>
      </w:r>
      <w:r w:rsidRPr="006A6360">
        <w:rPr>
          <w:rStyle w:val="af7"/>
          <w:rFonts w:eastAsia="Guttman Hodes" w:hint="cs"/>
          <w:rtl/>
        </w:rPr>
        <w:instrText xml:space="preserve"> _</w:instrText>
      </w:r>
      <w:r w:rsidRPr="006A6360">
        <w:rPr>
          <w:rStyle w:val="af7"/>
          <w:rFonts w:eastAsia="Guttman Hodes" w:hint="cs"/>
        </w:rPr>
        <w:instrText>Ref526939829 \r \h</w:instrText>
      </w:r>
      <w:r w:rsidRPr="006A6360">
        <w:rPr>
          <w:rStyle w:val="af7"/>
          <w:rFonts w:eastAsia="Guttman Hodes"/>
          <w:rtl/>
        </w:rPr>
        <w:instrText xml:space="preserve"> </w:instrText>
      </w:r>
      <w:r w:rsidRPr="006A6360">
        <w:rPr>
          <w:rStyle w:val="af7"/>
          <w:rFonts w:eastAsia="Guttman Hodes"/>
          <w:rtl/>
        </w:rPr>
      </w:r>
      <w:r w:rsidRPr="006A6360">
        <w:rPr>
          <w:rStyle w:val="af7"/>
          <w:rFonts w:eastAsia="Guttman Hodes"/>
          <w:rtl/>
        </w:rPr>
        <w:fldChar w:fldCharType="separate"/>
      </w:r>
      <w:r w:rsidR="00345400">
        <w:rPr>
          <w:rStyle w:val="af7"/>
          <w:rFonts w:eastAsia="Guttman Hodes"/>
          <w:cs/>
        </w:rPr>
        <w:t>‎</w:t>
      </w:r>
      <w:r w:rsidR="00345400">
        <w:rPr>
          <w:rStyle w:val="af7"/>
          <w:rFonts w:eastAsia="Guttman Hodes"/>
          <w:rtl/>
        </w:rPr>
        <w:t>סח)</w:t>
      </w:r>
      <w:r w:rsidRPr="006A6360">
        <w:rPr>
          <w:rStyle w:val="af7"/>
          <w:rFonts w:eastAsia="Guttman Hodes"/>
          <w:rtl/>
        </w:rPr>
        <w:fldChar w:fldCharType="end"/>
      </w:r>
      <w:r w:rsidRPr="001A7E78">
        <w:rPr>
          <w:rFonts w:hint="cs"/>
          <w:rtl/>
        </w:rPr>
        <w:t xml:space="preserve"> דהחמירו רבנן שלא לסמוך על הרוב שהעור אינו פוגם, מחמת החזקת איסור, והיינו דהחמירו שהחזקה היא כנגד הרוב והוי פלגא ופלגא</w:t>
      </w:r>
      <w:r>
        <w:rPr>
          <w:rFonts w:hint="cs"/>
          <w:rtl/>
        </w:rPr>
        <w:t xml:space="preserve">, [ועי' היטב </w:t>
      </w:r>
      <w:bookmarkStart w:id="3443" w:name="_Toc527060241"/>
      <w:bookmarkStart w:id="3444" w:name="_Toc527060389"/>
      <w:bookmarkStart w:id="3445" w:name="_Toc527100766"/>
      <w:r>
        <w:rPr>
          <w:rFonts w:hint="cs"/>
          <w:rtl/>
        </w:rPr>
        <w:t xml:space="preserve">בדברי </w:t>
      </w:r>
      <w:r>
        <w:rPr>
          <w:rStyle w:val="af9"/>
          <w:rtl/>
        </w:rPr>
        <w:t>הרמב"ן</w:t>
      </w:r>
      <w:r>
        <w:rPr>
          <w:rStyle w:val="af9"/>
          <w:rFonts w:hint="cs"/>
          <w:rtl/>
        </w:rPr>
        <w:t xml:space="preserve"> לקמן</w:t>
      </w:r>
      <w:r>
        <w:rPr>
          <w:rFonts w:hint="cs"/>
          <w:rtl/>
        </w:rPr>
        <w:t xml:space="preserve"> </w:t>
      </w:r>
      <w:r w:rsidRPr="006A6360">
        <w:rPr>
          <w:rStyle w:val="af7"/>
          <w:rFonts w:eastAsia="Guttman Hodes" w:hint="cs"/>
          <w:rtl/>
        </w:rPr>
        <w:t>(י: ד"ה מנא)</w:t>
      </w:r>
      <w:r>
        <w:rPr>
          <w:rFonts w:hint="cs"/>
          <w:rtl/>
        </w:rPr>
        <w:t>].</w:t>
      </w:r>
    </w:p>
    <w:p w14:paraId="61D69D49" w14:textId="77777777" w:rsidR="00FC47D4" w:rsidRDefault="00FC47D4" w:rsidP="00BF39B2">
      <w:pPr>
        <w:pStyle w:val="1"/>
        <w:rPr>
          <w:rtl/>
        </w:rPr>
      </w:pPr>
      <w:bookmarkStart w:id="3446" w:name="_Toc19389430"/>
      <w:bookmarkStart w:id="3447" w:name="_Toc19392927"/>
      <w:bookmarkStart w:id="3448" w:name="_Toc523490301"/>
      <w:bookmarkStart w:id="3449" w:name="_Toc523697927"/>
      <w:bookmarkStart w:id="3450" w:name="_Toc523735702"/>
      <w:bookmarkStart w:id="3451" w:name="_Toc526248944"/>
      <w:bookmarkStart w:id="3452" w:name="_Toc526409463"/>
      <w:bookmarkStart w:id="3453" w:name="_Toc526939105"/>
      <w:bookmarkStart w:id="3454" w:name="_Toc527060237"/>
      <w:bookmarkStart w:id="3455" w:name="_Toc527060385"/>
      <w:bookmarkStart w:id="3456" w:name="_Toc527100762"/>
      <w:bookmarkStart w:id="3457" w:name="_Toc528227017"/>
      <w:bookmarkStart w:id="3458" w:name="_Toc528227181"/>
      <w:bookmarkStart w:id="3459" w:name="_Toc528227343"/>
      <w:bookmarkStart w:id="3460" w:name="_Toc528227022"/>
      <w:bookmarkStart w:id="3461" w:name="_Toc528227186"/>
      <w:bookmarkStart w:id="3462" w:name="_Toc528227348"/>
      <w:r>
        <w:rPr>
          <w:rFonts w:hint="cs"/>
          <w:rtl/>
        </w:rPr>
        <w:t>קושיות הגרעק"א על הרמב"ן</w:t>
      </w:r>
      <w:bookmarkEnd w:id="3446"/>
      <w:bookmarkEnd w:id="3447"/>
    </w:p>
    <w:p w14:paraId="015CD6E2" w14:textId="77777777" w:rsidR="00FC47D4" w:rsidRDefault="00FC47D4" w:rsidP="006D6D32">
      <w:pPr>
        <w:pStyle w:val="a3"/>
        <w:rPr>
          <w:rtl/>
        </w:rPr>
      </w:pPr>
      <w:bookmarkStart w:id="3463" w:name="_Toc19389431"/>
      <w:bookmarkStart w:id="3464" w:name="_Toc19392928"/>
      <w:r>
        <w:rPr>
          <w:rFonts w:hint="cs"/>
          <w:rtl/>
        </w:rPr>
        <w:t>קושית הגרעק"א דבאבד הסכין נעמידו בחזקתו ורב הונא אסר רק בסימנים שאין כל חזקה</w:t>
      </w:r>
      <w:bookmarkEnd w:id="3463"/>
      <w:bookmarkEnd w:id="3464"/>
      <w:r>
        <w:rPr>
          <w:rFonts w:hint="cs"/>
          <w:rtl/>
        </w:rPr>
        <w:t xml:space="preserve"> </w:t>
      </w:r>
    </w:p>
    <w:p w14:paraId="61AC5C03" w14:textId="77777777" w:rsidR="00FC47D4" w:rsidRDefault="00FC47D4" w:rsidP="00223668">
      <w:pPr>
        <w:pStyle w:val="a0"/>
        <w:rPr>
          <w:rtl/>
        </w:rPr>
      </w:pPr>
      <w:r>
        <w:rPr>
          <w:rFonts w:hint="cs"/>
          <w:rtl/>
        </w:rPr>
        <w:t xml:space="preserve">הקשה </w:t>
      </w:r>
      <w:r w:rsidRPr="009B1105">
        <w:rPr>
          <w:rStyle w:val="af9"/>
          <w:rFonts w:hint="cs"/>
          <w:rtl/>
        </w:rPr>
        <w:t>הגרעק"א</w:t>
      </w:r>
      <w:r>
        <w:rPr>
          <w:rFonts w:hint="cs"/>
          <w:rtl/>
        </w:rPr>
        <w:t xml:space="preserve"> </w:t>
      </w:r>
      <w:r w:rsidRPr="009B1105">
        <w:rPr>
          <w:rStyle w:val="af7"/>
          <w:rFonts w:eastAsia="Guttman Hodes" w:hint="cs"/>
          <w:rtl/>
        </w:rPr>
        <w:t>(דרוש וחידוש מכת"י ד"ה איתמר)</w:t>
      </w:r>
      <w:r>
        <w:rPr>
          <w:rFonts w:hint="cs"/>
          <w:rtl/>
        </w:rPr>
        <w:t xml:space="preserve"> דמהיכן הוציא </w:t>
      </w:r>
      <w:r w:rsidRPr="009B1105">
        <w:rPr>
          <w:rStyle w:val="af9"/>
          <w:rFonts w:hint="cs"/>
          <w:rtl/>
        </w:rPr>
        <w:t>הר"ן [והרמב"ן]</w:t>
      </w:r>
      <w:r>
        <w:rPr>
          <w:rFonts w:hint="cs"/>
          <w:rtl/>
        </w:rPr>
        <w:t xml:space="preserve"> מדברי רב הונא דבאבד הסכין השחיטה פסולה, הרי אפש"ל דרב הונא אוסר מחמת דהסכין פגום לפניך, וא"א להעמיד את הסכין בחזקת בדוק, אבל באבד מעמידים אותו בחזקתו, וכתב </w:t>
      </w:r>
      <w:r w:rsidRPr="009B1105">
        <w:rPr>
          <w:rStyle w:val="af9"/>
          <w:rFonts w:hint="cs"/>
          <w:rtl/>
        </w:rPr>
        <w:t>הגרעק"א</w:t>
      </w:r>
      <w:r>
        <w:rPr>
          <w:rFonts w:hint="cs"/>
          <w:rtl/>
        </w:rPr>
        <w:t xml:space="preserve"> דלא דמי לדברי רב הונא לעיל </w:t>
      </w:r>
      <w:r w:rsidRPr="009B1105">
        <w:rPr>
          <w:rStyle w:val="af7"/>
          <w:rFonts w:eastAsia="Guttman Hodes" w:hint="cs"/>
          <w:rtl/>
        </w:rPr>
        <w:t>(ט.)</w:t>
      </w:r>
      <w:r>
        <w:rPr>
          <w:rFonts w:hint="cs"/>
          <w:rtl/>
        </w:rPr>
        <w:t xml:space="preserve"> דכל שלא בדק בסימנים השחיטה פסולה, כיון דבסימנים לא הייתה חזקת היתר מעולם, אבל הכא הסכין היה בחזקת בדוק.</w:t>
      </w:r>
    </w:p>
    <w:p w14:paraId="2C52DCF9" w14:textId="77777777" w:rsidR="00FC47D4" w:rsidRDefault="00FC47D4" w:rsidP="006D6D32">
      <w:pPr>
        <w:pStyle w:val="a3"/>
        <w:rPr>
          <w:rtl/>
        </w:rPr>
      </w:pPr>
      <w:bookmarkStart w:id="3465" w:name="_Toc19389432"/>
      <w:bookmarkStart w:id="3466" w:name="_Toc19392929"/>
      <w:r>
        <w:rPr>
          <w:rFonts w:hint="cs"/>
          <w:rtl/>
        </w:rPr>
        <w:t>דברי הגרעק"א דמהא דקיי"ל כרב חסדא בשיבר בה עצמות מוכח דלא דמי לבדיקת סימנים</w:t>
      </w:r>
      <w:bookmarkEnd w:id="3465"/>
      <w:bookmarkEnd w:id="3466"/>
    </w:p>
    <w:p w14:paraId="01F40165" w14:textId="77777777" w:rsidR="00FC47D4" w:rsidRPr="0052273D" w:rsidRDefault="00FC47D4" w:rsidP="00223668">
      <w:pPr>
        <w:pStyle w:val="a0"/>
        <w:rPr>
          <w:rtl/>
        </w:rPr>
      </w:pPr>
      <w:r>
        <w:rPr>
          <w:rFonts w:hint="cs"/>
          <w:rtl/>
        </w:rPr>
        <w:t xml:space="preserve">וכתב </w:t>
      </w:r>
      <w:r w:rsidRPr="009B1105">
        <w:rPr>
          <w:rStyle w:val="af9"/>
          <w:rFonts w:hint="cs"/>
          <w:rtl/>
        </w:rPr>
        <w:t>הגרעק"א</w:t>
      </w:r>
      <w:r>
        <w:rPr>
          <w:rFonts w:hint="cs"/>
          <w:rtl/>
        </w:rPr>
        <w:t xml:space="preserve"> דמוכח דבדיקת סכין לא דמי לבדיקת סימנים, מהא דבלא בדק בסימנים קיי"ל כרב הונא דהשחיטה פסולה, ובסכין שנפגם קיי"ל כרב חסדא בשיבר בה עצמות, כיון שאין ריעותא לפנינו, וא"כ קשיא הלכתא אהלכתא, אלא מוכח דבסכין מעמידים אותו בחזקתו, ולכן כל שאין ריעותא קיי"ל דהשחיטה כשרה.</w:t>
      </w:r>
    </w:p>
    <w:p w14:paraId="08E6375E" w14:textId="77777777" w:rsidR="00FC47D4" w:rsidRDefault="00FC47D4" w:rsidP="006D6D32">
      <w:pPr>
        <w:pStyle w:val="a3"/>
        <w:rPr>
          <w:rtl/>
        </w:rPr>
      </w:pPr>
      <w:bookmarkStart w:id="3467" w:name="_Toc19389433"/>
      <w:bookmarkStart w:id="3468" w:name="_Toc19392930"/>
      <w:r w:rsidRPr="002C139A">
        <w:rPr>
          <w:rFonts w:hint="cs"/>
          <w:rtl/>
        </w:rPr>
        <w:t>קושית הגרעק"א דלרמב"ן היאך מותר במצא תרנג</w:t>
      </w:r>
      <w:r>
        <w:rPr>
          <w:rFonts w:hint="cs"/>
          <w:rtl/>
        </w:rPr>
        <w:t>ולת שחוטה הא יתכן שבדק ונמצא פגום</w:t>
      </w:r>
      <w:bookmarkEnd w:id="3448"/>
      <w:bookmarkEnd w:id="3449"/>
      <w:bookmarkEnd w:id="3450"/>
      <w:bookmarkEnd w:id="3451"/>
      <w:bookmarkEnd w:id="3452"/>
      <w:bookmarkEnd w:id="3453"/>
      <w:bookmarkEnd w:id="3454"/>
      <w:bookmarkEnd w:id="3455"/>
      <w:bookmarkEnd w:id="3456"/>
      <w:bookmarkEnd w:id="3457"/>
      <w:bookmarkEnd w:id="3458"/>
      <w:bookmarkEnd w:id="3459"/>
      <w:bookmarkEnd w:id="3467"/>
      <w:bookmarkEnd w:id="3468"/>
    </w:p>
    <w:p w14:paraId="02E6C30F" w14:textId="77777777" w:rsidR="00FC47D4" w:rsidRPr="00A924E4" w:rsidRDefault="00FC47D4" w:rsidP="00223668">
      <w:pPr>
        <w:pStyle w:val="a0"/>
        <w:rPr>
          <w:rStyle w:val="afb"/>
          <w:rtl/>
        </w:rPr>
      </w:pPr>
      <w:r>
        <w:rPr>
          <w:rFonts w:hint="cs"/>
          <w:rtl/>
        </w:rPr>
        <w:t xml:space="preserve">עוד הקשה </w:t>
      </w:r>
      <w:r w:rsidRPr="00481DF7">
        <w:rPr>
          <w:rStyle w:val="af9"/>
          <w:rFonts w:hint="cs"/>
          <w:rtl/>
        </w:rPr>
        <w:t>הגרעק"א</w:t>
      </w:r>
      <w:r>
        <w:rPr>
          <w:rFonts w:hint="cs"/>
          <w:rtl/>
        </w:rPr>
        <w:t xml:space="preserve"> </w:t>
      </w:r>
      <w:r w:rsidRPr="00481DF7">
        <w:rPr>
          <w:rStyle w:val="af7"/>
          <w:rFonts w:eastAsia="Guttman Hodes" w:hint="cs"/>
          <w:rtl/>
        </w:rPr>
        <w:t>(י: ד"ה ויעוי')</w:t>
      </w:r>
      <w:r>
        <w:rPr>
          <w:rFonts w:hint="cs"/>
          <w:rtl/>
        </w:rPr>
        <w:t xml:space="preserve"> על </w:t>
      </w:r>
      <w:r w:rsidRPr="00481DF7">
        <w:rPr>
          <w:rStyle w:val="af9"/>
          <w:rFonts w:hint="cs"/>
          <w:rtl/>
        </w:rPr>
        <w:t>הרמב"ן</w:t>
      </w:r>
      <w:r>
        <w:rPr>
          <w:rFonts w:hint="cs"/>
          <w:rtl/>
        </w:rPr>
        <w:t xml:space="preserve"> דהיאך אפש"ל דבדיקת הסכין אחר השחיטה היא מדינא, הא איתא בגמ' לעיל </w:t>
      </w:r>
      <w:r w:rsidRPr="00481DF7">
        <w:rPr>
          <w:rStyle w:val="af7"/>
          <w:rFonts w:eastAsia="Guttman Hodes" w:hint="cs"/>
          <w:rtl/>
        </w:rPr>
        <w:t>(יב.)</w:t>
      </w:r>
      <w:r>
        <w:rPr>
          <w:rFonts w:hint="cs"/>
          <w:rtl/>
        </w:rPr>
        <w:t xml:space="preserve"> דהמוצא את תרנגולותיו שחוטין הם מותרים, דרוב מצויין אצל שחיטה מומחין הן, ולדברי </w:t>
      </w:r>
      <w:r w:rsidRPr="00A924E4">
        <w:rPr>
          <w:rStyle w:val="af9"/>
          <w:rFonts w:hint="cs"/>
          <w:rtl/>
        </w:rPr>
        <w:t xml:space="preserve">הרמב"ן </w:t>
      </w:r>
      <w:r>
        <w:rPr>
          <w:rFonts w:hint="cs"/>
          <w:rtl/>
        </w:rPr>
        <w:t xml:space="preserve">אף שנמצאו שחוטין, הרי יתכן שהסכין היה פגום לאחר השחיטה, </w:t>
      </w:r>
      <w:r w:rsidRPr="00A924E4">
        <w:rPr>
          <w:rStyle w:val="afb"/>
          <w:rFonts w:hint="cs"/>
          <w:rtl/>
        </w:rPr>
        <w:t>[ולא דמי לבדיקת סימנים, דאף אם השוחט מצא לאחר השחיטה שלא נשחטו רובן מסתמא גמר את השחיטה מיד].</w:t>
      </w:r>
    </w:p>
    <w:p w14:paraId="69D5B981" w14:textId="77777777" w:rsidR="00FC47D4" w:rsidRDefault="00FC47D4" w:rsidP="00BF39B2">
      <w:pPr>
        <w:pStyle w:val="1"/>
        <w:rPr>
          <w:rtl/>
        </w:rPr>
      </w:pPr>
      <w:bookmarkStart w:id="3469" w:name="_Toc19389434"/>
      <w:bookmarkStart w:id="3470" w:name="_Toc19392931"/>
      <w:r>
        <w:rPr>
          <w:rFonts w:hint="cs"/>
          <w:rtl/>
        </w:rPr>
        <w:t>דעת רבינו יונה והרשב"א והרא"ש דבאבד הסכין כשר</w:t>
      </w:r>
      <w:bookmarkEnd w:id="3416"/>
      <w:bookmarkEnd w:id="3417"/>
      <w:bookmarkEnd w:id="3418"/>
      <w:bookmarkEnd w:id="3419"/>
      <w:bookmarkEnd w:id="3420"/>
      <w:bookmarkEnd w:id="3421"/>
      <w:bookmarkEnd w:id="3422"/>
      <w:bookmarkEnd w:id="3443"/>
      <w:bookmarkEnd w:id="3444"/>
      <w:bookmarkEnd w:id="3445"/>
      <w:bookmarkEnd w:id="3460"/>
      <w:bookmarkEnd w:id="3461"/>
      <w:bookmarkEnd w:id="3462"/>
      <w:bookmarkEnd w:id="3469"/>
      <w:bookmarkEnd w:id="3470"/>
    </w:p>
    <w:p w14:paraId="473A7B1C" w14:textId="77777777" w:rsidR="00FC47D4" w:rsidRPr="007B13B0" w:rsidRDefault="00FC47D4" w:rsidP="006D6D32">
      <w:pPr>
        <w:pStyle w:val="a3"/>
        <w:rPr>
          <w:rtl/>
        </w:rPr>
      </w:pPr>
      <w:bookmarkStart w:id="3471" w:name="_Toc523397201"/>
      <w:bookmarkStart w:id="3472" w:name="_Toc523490309"/>
      <w:bookmarkStart w:id="3473" w:name="_Toc523697914"/>
      <w:bookmarkStart w:id="3474" w:name="_Toc523735689"/>
      <w:bookmarkStart w:id="3475" w:name="_Toc526248954"/>
      <w:bookmarkStart w:id="3476" w:name="_Toc526409465"/>
      <w:bookmarkStart w:id="3477" w:name="_Toc526939107"/>
      <w:bookmarkStart w:id="3478" w:name="_Toc527060242"/>
      <w:bookmarkStart w:id="3479" w:name="_Toc527060390"/>
      <w:bookmarkStart w:id="3480" w:name="_Toc527100767"/>
      <w:bookmarkStart w:id="3481" w:name="_Toc528227023"/>
      <w:bookmarkStart w:id="3482" w:name="_Toc528227187"/>
      <w:bookmarkStart w:id="3483" w:name="_Toc528227349"/>
      <w:bookmarkStart w:id="3484" w:name="_Toc19389435"/>
      <w:bookmarkStart w:id="3485" w:name="_Toc19392932"/>
      <w:r>
        <w:rPr>
          <w:rFonts w:hint="cs"/>
          <w:rtl/>
        </w:rPr>
        <w:t>דעת רבינו יונה והרשב"א דבאבד הסכין מעמידים את הסכין בחזקת בדוק ומותר</w:t>
      </w:r>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p>
    <w:p w14:paraId="2991C4AE" w14:textId="77777777" w:rsidR="00FC47D4" w:rsidRDefault="00FC47D4" w:rsidP="00223668">
      <w:pPr>
        <w:pStyle w:val="a0"/>
        <w:rPr>
          <w:rtl/>
        </w:rPr>
      </w:pPr>
      <w:bookmarkStart w:id="3486" w:name="_Ref523085216"/>
      <w:r w:rsidRPr="00C07D5C">
        <w:rPr>
          <w:rStyle w:val="af9"/>
          <w:rFonts w:hint="cs"/>
          <w:rtl/>
        </w:rPr>
        <w:t>הרשב"א</w:t>
      </w:r>
      <w:r w:rsidRPr="00C07D5C">
        <w:rPr>
          <w:rStyle w:val="af7"/>
          <w:rFonts w:eastAsia="Guttman Hodes" w:hint="cs"/>
          <w:rtl/>
        </w:rPr>
        <w:t xml:space="preserve"> (ד"ה השוחט) </w:t>
      </w:r>
      <w:r w:rsidRPr="00E96B43">
        <w:rPr>
          <w:rStyle w:val="af9"/>
          <w:rFonts w:hint="cs"/>
          <w:rtl/>
        </w:rPr>
        <w:t>והשיטמ"ק</w:t>
      </w:r>
      <w:r>
        <w:rPr>
          <w:rFonts w:hint="cs"/>
          <w:rtl/>
        </w:rPr>
        <w:t xml:space="preserve"> </w:t>
      </w:r>
      <w:r w:rsidRPr="00E96B43">
        <w:rPr>
          <w:rStyle w:val="af7"/>
          <w:rFonts w:eastAsia="Guttman Hodes" w:hint="cs"/>
          <w:rtl/>
        </w:rPr>
        <w:t xml:space="preserve">(ד"ה ואם </w:t>
      </w:r>
      <w:r>
        <w:rPr>
          <w:rStyle w:val="af7"/>
          <w:rFonts w:eastAsia="Guttman Hodes" w:hint="cs"/>
          <w:rtl/>
        </w:rPr>
        <w:t>אבד</w:t>
      </w:r>
      <w:r w:rsidRPr="00E96B43">
        <w:rPr>
          <w:rStyle w:val="af7"/>
          <w:rFonts w:eastAsia="Guttman Hodes" w:hint="cs"/>
          <w:rtl/>
        </w:rPr>
        <w:t>)</w:t>
      </w:r>
      <w:r>
        <w:rPr>
          <w:rFonts w:hint="cs"/>
          <w:rtl/>
        </w:rPr>
        <w:t xml:space="preserve"> הביאו בשם </w:t>
      </w:r>
      <w:r w:rsidRPr="00C07D5C">
        <w:rPr>
          <w:rStyle w:val="af9"/>
          <w:rFonts w:hint="cs"/>
          <w:rtl/>
        </w:rPr>
        <w:t>רב</w:t>
      </w:r>
      <w:r>
        <w:rPr>
          <w:rStyle w:val="af9"/>
          <w:rFonts w:hint="cs"/>
          <w:rtl/>
        </w:rPr>
        <w:t>ינו יונה</w:t>
      </w:r>
      <w:r>
        <w:rPr>
          <w:rFonts w:hint="cs"/>
          <w:rtl/>
        </w:rPr>
        <w:t xml:space="preserve"> דכתב דבין לרב הונא ובין לרב חסדא אם אבד הסכין השחיטה כשרה, דכיון שבדק לפני השחיטה, מעמידים את הסכין על חזקתו דאינו פגום, ורק במקום שבדק אחר השחיטה ונמצא הסכין פגום, ואפשר לתלות שהעור</w:t>
      </w:r>
      <w:r w:rsidRPr="00C618FD">
        <w:rPr>
          <w:rFonts w:hint="cs"/>
          <w:rtl/>
        </w:rPr>
        <w:t xml:space="preserve"> </w:t>
      </w:r>
      <w:r>
        <w:rPr>
          <w:rFonts w:hint="cs"/>
          <w:rtl/>
        </w:rPr>
        <w:t xml:space="preserve">פגם, ס"ל לרב הונא דכיון שהוא ספק בשחיטה, תלינן לחומרא דבהמה בחייה בחזקת איסור עומדת, אבל אם לא הייתה הבהמה בחזקת איסור, אמרינן דכיון ששחוטה לפניך תלינן לקולא שנפגם בשבירת עצמות, וכ"כ </w:t>
      </w:r>
      <w:r w:rsidRPr="000C105C">
        <w:rPr>
          <w:rStyle w:val="af9"/>
          <w:rFonts w:hint="cs"/>
          <w:rtl/>
        </w:rPr>
        <w:t>הרא"ש</w:t>
      </w:r>
      <w:r>
        <w:rPr>
          <w:rFonts w:hint="cs"/>
          <w:rtl/>
        </w:rPr>
        <w:t xml:space="preserve"> </w:t>
      </w:r>
      <w:r w:rsidRPr="006013C7">
        <w:rPr>
          <w:rStyle w:val="af7"/>
          <w:rFonts w:eastAsia="Guttman Hodes" w:hint="cs"/>
          <w:rtl/>
        </w:rPr>
        <w:t>(סי' ט"ו)</w:t>
      </w:r>
      <w:r>
        <w:rPr>
          <w:rFonts w:hint="cs"/>
          <w:rtl/>
        </w:rPr>
        <w:t xml:space="preserve"> דלא מחזקינן ריעותא כשאין ריעותא לפנינו.</w:t>
      </w:r>
      <w:bookmarkEnd w:id="3486"/>
    </w:p>
    <w:p w14:paraId="58330314" w14:textId="77777777" w:rsidR="00FC47D4" w:rsidRDefault="00FC47D4" w:rsidP="00BF39B2">
      <w:pPr>
        <w:pStyle w:val="1"/>
        <w:rPr>
          <w:rtl/>
        </w:rPr>
      </w:pPr>
      <w:bookmarkStart w:id="3487" w:name="_Toc526409466"/>
      <w:bookmarkStart w:id="3488" w:name="_Toc526939108"/>
      <w:bookmarkStart w:id="3489" w:name="_Toc527060243"/>
      <w:bookmarkStart w:id="3490" w:name="_Toc527060391"/>
      <w:bookmarkStart w:id="3491" w:name="_Toc527100768"/>
      <w:bookmarkStart w:id="3492" w:name="_Toc528227024"/>
      <w:bookmarkStart w:id="3493" w:name="_Toc528227188"/>
      <w:bookmarkStart w:id="3494" w:name="_Toc528227350"/>
      <w:bookmarkStart w:id="3495" w:name="_Toc19389436"/>
      <w:bookmarkStart w:id="3496" w:name="_Toc19392933"/>
      <w:bookmarkStart w:id="3497" w:name="_Toc523697928"/>
      <w:bookmarkStart w:id="3498" w:name="_Toc523735703"/>
      <w:bookmarkStart w:id="3499" w:name="_Toc526248945"/>
      <w:bookmarkStart w:id="3500" w:name="_Toc523397202"/>
      <w:bookmarkStart w:id="3501" w:name="_Toc523490310"/>
      <w:bookmarkStart w:id="3502" w:name="_Toc523697915"/>
      <w:bookmarkStart w:id="3503" w:name="_Toc523735690"/>
      <w:bookmarkStart w:id="3504" w:name="_Toc526248955"/>
      <w:r>
        <w:rPr>
          <w:rFonts w:hint="cs"/>
          <w:rtl/>
        </w:rPr>
        <w:t>ביאור הרשב"א והרא"ש דבאבד הסכין הוי כידוע במה נשחטה</w:t>
      </w:r>
      <w:bookmarkEnd w:id="3487"/>
      <w:bookmarkEnd w:id="3488"/>
      <w:bookmarkEnd w:id="3489"/>
      <w:bookmarkEnd w:id="3490"/>
      <w:bookmarkEnd w:id="3491"/>
      <w:bookmarkEnd w:id="3492"/>
      <w:bookmarkEnd w:id="3493"/>
      <w:bookmarkEnd w:id="3494"/>
      <w:bookmarkEnd w:id="3495"/>
      <w:bookmarkEnd w:id="3496"/>
      <w:r>
        <w:rPr>
          <w:rFonts w:hint="cs"/>
          <w:rtl/>
        </w:rPr>
        <w:t xml:space="preserve"> </w:t>
      </w:r>
      <w:bookmarkEnd w:id="3497"/>
      <w:bookmarkEnd w:id="3498"/>
      <w:bookmarkEnd w:id="3499"/>
    </w:p>
    <w:p w14:paraId="3809F520" w14:textId="77777777" w:rsidR="00FC47D4" w:rsidRDefault="00FC47D4" w:rsidP="006D6D32">
      <w:pPr>
        <w:pStyle w:val="a3"/>
        <w:rPr>
          <w:rtl/>
        </w:rPr>
      </w:pPr>
      <w:bookmarkStart w:id="3505" w:name="_Toc526409467"/>
      <w:bookmarkStart w:id="3506" w:name="_Toc526939109"/>
      <w:bookmarkStart w:id="3507" w:name="_Toc527060244"/>
      <w:bookmarkStart w:id="3508" w:name="_Toc527060392"/>
      <w:bookmarkStart w:id="3509" w:name="_Toc527100769"/>
      <w:bookmarkStart w:id="3510" w:name="_Toc528227025"/>
      <w:bookmarkStart w:id="3511" w:name="_Toc528227189"/>
      <w:bookmarkStart w:id="3512" w:name="_Toc528227351"/>
      <w:bookmarkStart w:id="3513" w:name="_Toc19389437"/>
      <w:bookmarkStart w:id="3514" w:name="_Toc19392934"/>
      <w:r>
        <w:rPr>
          <w:rFonts w:hint="cs"/>
          <w:rtl/>
        </w:rPr>
        <w:t>דברי הרשב"א דבאבד הסכין מדאו' הוא בחזקת בדוק וחשיב שנודע במה נשחטה</w:t>
      </w:r>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p>
    <w:p w14:paraId="710DA4D0" w14:textId="77777777" w:rsidR="00FC47D4" w:rsidRDefault="00FC47D4" w:rsidP="00223668">
      <w:pPr>
        <w:pStyle w:val="a0"/>
        <w:rPr>
          <w:rtl/>
        </w:rPr>
      </w:pPr>
      <w:bookmarkStart w:id="3515" w:name="_Ref523396596"/>
      <w:r>
        <w:rPr>
          <w:rFonts w:hint="cs"/>
          <w:rtl/>
        </w:rPr>
        <w:t>ביאר</w:t>
      </w:r>
      <w:r w:rsidRPr="00CB6D19">
        <w:rPr>
          <w:rStyle w:val="af9"/>
          <w:rFonts w:hint="cs"/>
          <w:rtl/>
        </w:rPr>
        <w:t xml:space="preserve"> הרשב"א במשה"ב</w:t>
      </w:r>
      <w:r>
        <w:rPr>
          <w:rFonts w:hint="cs"/>
          <w:rtl/>
        </w:rPr>
        <w:t xml:space="preserve"> </w:t>
      </w:r>
      <w:r w:rsidRPr="00B75B06">
        <w:rPr>
          <w:rStyle w:val="af7"/>
          <w:rFonts w:eastAsia="Guttman Hodes" w:hint="cs"/>
          <w:rtl/>
        </w:rPr>
        <w:t>(</w:t>
      </w:r>
      <w:r>
        <w:rPr>
          <w:rStyle w:val="af7"/>
          <w:rFonts w:eastAsia="Guttman Hodes" w:hint="cs"/>
          <w:rtl/>
        </w:rPr>
        <w:t>ב</w:t>
      </w:r>
      <w:r>
        <w:rPr>
          <w:rStyle w:val="af7"/>
          <w:rFonts w:eastAsia="Guttman Hodes"/>
          <w:rtl/>
        </w:rPr>
        <w:t>"</w:t>
      </w:r>
      <w:r>
        <w:rPr>
          <w:rStyle w:val="af7"/>
          <w:rFonts w:eastAsia="Guttman Hodes" w:hint="cs"/>
          <w:rtl/>
        </w:rPr>
        <w:t>א</w:t>
      </w:r>
      <w:r w:rsidRPr="00B75B06">
        <w:rPr>
          <w:rStyle w:val="af7"/>
          <w:rFonts w:eastAsia="Guttman Hodes" w:hint="cs"/>
          <w:rtl/>
        </w:rPr>
        <w:t xml:space="preserve"> </w:t>
      </w:r>
      <w:r>
        <w:rPr>
          <w:rStyle w:val="af7"/>
          <w:rFonts w:eastAsia="Guttman Hodes" w:hint="cs"/>
          <w:rtl/>
        </w:rPr>
        <w:t>ש</w:t>
      </w:r>
      <w:r>
        <w:rPr>
          <w:rStyle w:val="af7"/>
          <w:rFonts w:eastAsia="Guttman Hodes"/>
          <w:rtl/>
        </w:rPr>
        <w:t>"</w:t>
      </w:r>
      <w:r>
        <w:rPr>
          <w:rStyle w:val="af7"/>
          <w:rFonts w:eastAsia="Guttman Hodes" w:hint="cs"/>
          <w:rtl/>
        </w:rPr>
        <w:t>א</w:t>
      </w:r>
      <w:r w:rsidRPr="00B75B06">
        <w:rPr>
          <w:rStyle w:val="af7"/>
          <w:rFonts w:eastAsia="Guttman Hodes" w:hint="cs"/>
          <w:rtl/>
        </w:rPr>
        <w:t xml:space="preserve"> ד"ף ד</w:t>
      </w:r>
      <w:r>
        <w:rPr>
          <w:rStyle w:val="af7"/>
          <w:rFonts w:eastAsia="Guttman Hodes" w:hint="cs"/>
          <w:rtl/>
        </w:rPr>
        <w:t>: מדה"ס</w:t>
      </w:r>
      <w:r w:rsidRPr="00B75B06">
        <w:rPr>
          <w:rStyle w:val="af7"/>
          <w:rFonts w:eastAsia="Guttman Hodes" w:hint="cs"/>
          <w:rtl/>
        </w:rPr>
        <w:t xml:space="preserve"> </w:t>
      </w:r>
      <w:r>
        <w:rPr>
          <w:rStyle w:val="af7"/>
          <w:rFonts w:eastAsia="Guttman Hodes" w:hint="cs"/>
          <w:rtl/>
        </w:rPr>
        <w:t xml:space="preserve">בסו"ד </w:t>
      </w:r>
      <w:r w:rsidRPr="00B75B06">
        <w:rPr>
          <w:rStyle w:val="af7"/>
          <w:rFonts w:eastAsia="Guttman Hodes" w:hint="cs"/>
          <w:rtl/>
        </w:rPr>
        <w:t>ד"ה ואלו דברים)</w:t>
      </w:r>
      <w:r>
        <w:rPr>
          <w:rFonts w:hint="cs"/>
          <w:rtl/>
        </w:rPr>
        <w:t xml:space="preserve"> דלרב הונא אף באבד הסכין השחיטה כשרה, כיון שמעמידים את הסכין על חזקתה שנבדקה קודם השחיטה, ואי"ז ספק בשחיטה, דחשיב דנודע במה נשחטה הבהמה, והוסיף </w:t>
      </w:r>
      <w:r w:rsidRPr="00CB6D19">
        <w:rPr>
          <w:rStyle w:val="af9"/>
          <w:rFonts w:hint="cs"/>
          <w:rtl/>
        </w:rPr>
        <w:t>הרשב"א במשה"ב</w:t>
      </w:r>
      <w:r>
        <w:rPr>
          <w:rFonts w:hint="cs"/>
          <w:rtl/>
        </w:rPr>
        <w:t xml:space="preserve"> דהיא חזקה דאו', כמבואר מהגמ' לקמן דמקשה על הדין דסכין שנמצא פגום, דמנלן דאזלינן בתר חזקה, ומבואר דלכו"ע מעמידים על חזקה מדאו', וכתב </w:t>
      </w:r>
      <w:r w:rsidRPr="00CB6D19">
        <w:rPr>
          <w:rStyle w:val="af9"/>
          <w:rFonts w:hint="cs"/>
          <w:rtl/>
        </w:rPr>
        <w:t>הרשב"א במשה"ב</w:t>
      </w:r>
      <w:r>
        <w:rPr>
          <w:rFonts w:hint="cs"/>
          <w:rtl/>
        </w:rPr>
        <w:t xml:space="preserve"> דכן דעת </w:t>
      </w:r>
      <w:r w:rsidRPr="00CB6D19">
        <w:rPr>
          <w:rStyle w:val="af9"/>
          <w:rFonts w:hint="cs"/>
          <w:rtl/>
        </w:rPr>
        <w:t>רבינו יונה והבעה"מ</w:t>
      </w:r>
      <w:r>
        <w:rPr>
          <w:rFonts w:hint="cs"/>
          <w:rtl/>
        </w:rPr>
        <w:t>.</w:t>
      </w:r>
      <w:bookmarkEnd w:id="3515"/>
    </w:p>
    <w:p w14:paraId="3378B7C0" w14:textId="77777777" w:rsidR="00FC47D4" w:rsidRDefault="00FC47D4" w:rsidP="006D6D32">
      <w:pPr>
        <w:pStyle w:val="a3"/>
        <w:rPr>
          <w:rtl/>
        </w:rPr>
      </w:pPr>
      <w:bookmarkStart w:id="3516" w:name="_Toc523397205"/>
      <w:bookmarkStart w:id="3517" w:name="_Toc523490313"/>
      <w:bookmarkStart w:id="3518" w:name="_Toc526409468"/>
      <w:bookmarkStart w:id="3519" w:name="_Toc526939110"/>
      <w:bookmarkStart w:id="3520" w:name="_Toc527060245"/>
      <w:bookmarkStart w:id="3521" w:name="_Toc527060393"/>
      <w:bookmarkStart w:id="3522" w:name="_Toc527100770"/>
      <w:bookmarkStart w:id="3523" w:name="_Toc528227026"/>
      <w:bookmarkStart w:id="3524" w:name="_Toc528227190"/>
      <w:bookmarkStart w:id="3525" w:name="_Toc528227352"/>
      <w:bookmarkStart w:id="3526" w:name="_Toc19389438"/>
      <w:bookmarkStart w:id="3527" w:name="_Toc19392935"/>
      <w:bookmarkStart w:id="3528" w:name="_Toc523397208"/>
      <w:bookmarkStart w:id="3529" w:name="_Toc523490317"/>
      <w:bookmarkStart w:id="3530" w:name="_Toc523697937"/>
      <w:bookmarkStart w:id="3531" w:name="_Toc523735712"/>
      <w:bookmarkStart w:id="3532" w:name="_Toc526248958"/>
      <w:bookmarkStart w:id="3533" w:name="_Toc526248957"/>
      <w:bookmarkStart w:id="3534" w:name="_Toc523697929"/>
      <w:bookmarkStart w:id="3535" w:name="_Toc523735704"/>
      <w:r>
        <w:rPr>
          <w:rFonts w:hint="cs"/>
          <w:rtl/>
        </w:rPr>
        <w:t>דברי הרא"ש דבאבד הסכין כיון שאין ריעותא לפנינו חשיב שנודע במה נשחטה</w:t>
      </w:r>
      <w:bookmarkEnd w:id="3516"/>
      <w:bookmarkEnd w:id="3517"/>
      <w:bookmarkEnd w:id="3518"/>
      <w:bookmarkEnd w:id="3519"/>
      <w:bookmarkEnd w:id="3520"/>
      <w:bookmarkEnd w:id="3521"/>
      <w:bookmarkEnd w:id="3522"/>
      <w:bookmarkEnd w:id="3523"/>
      <w:bookmarkEnd w:id="3524"/>
      <w:bookmarkEnd w:id="3525"/>
      <w:bookmarkEnd w:id="3526"/>
      <w:bookmarkEnd w:id="3527"/>
      <w:r>
        <w:rPr>
          <w:rFonts w:hint="cs"/>
          <w:rtl/>
        </w:rPr>
        <w:t xml:space="preserve"> </w:t>
      </w:r>
    </w:p>
    <w:p w14:paraId="392E01B7" w14:textId="77777777" w:rsidR="00FC47D4" w:rsidRPr="006F2A7D" w:rsidRDefault="00FC47D4" w:rsidP="00223668">
      <w:pPr>
        <w:pStyle w:val="a0"/>
        <w:rPr>
          <w:rStyle w:val="afb"/>
        </w:rPr>
      </w:pPr>
      <w:bookmarkStart w:id="3536" w:name="_Ref526347100"/>
      <w:r>
        <w:rPr>
          <w:rStyle w:val="af9"/>
          <w:rFonts w:hint="cs"/>
          <w:rtl/>
        </w:rPr>
        <w:t>ו</w:t>
      </w:r>
      <w:r w:rsidRPr="000C105C">
        <w:rPr>
          <w:rStyle w:val="af9"/>
          <w:rFonts w:hint="cs"/>
          <w:rtl/>
        </w:rPr>
        <w:t>הרא"ש</w:t>
      </w:r>
      <w:r>
        <w:rPr>
          <w:rFonts w:hint="cs"/>
          <w:rtl/>
        </w:rPr>
        <w:t xml:space="preserve"> </w:t>
      </w:r>
      <w:r w:rsidRPr="006013C7">
        <w:rPr>
          <w:rStyle w:val="af7"/>
          <w:rFonts w:eastAsia="Guttman Hodes" w:hint="cs"/>
          <w:rtl/>
        </w:rPr>
        <w:t>(סי' ט"ו)</w:t>
      </w:r>
      <w:r>
        <w:rPr>
          <w:rFonts w:hint="cs"/>
          <w:rtl/>
        </w:rPr>
        <w:t xml:space="preserve"> ביאר דבאבד הסכין השחיטה כשרה, וא"א לומר דהבהמה בחזקת איסור עומדת, דכיון שאין ריעותא לפנינו בסכין לא חיישינן שמא העור פגם, וחשיב שנודע לנו במה נשחטה.</w:t>
      </w:r>
      <w:r w:rsidRPr="006F2A7D">
        <w:rPr>
          <w:rStyle w:val="afb"/>
          <w:rFonts w:hint="cs"/>
          <w:rtl/>
        </w:rPr>
        <w:t xml:space="preserve"> [דהיינו דמעמידים את הסכין בחזקת בדוק ונשחטה בסכין כשר].</w:t>
      </w:r>
      <w:bookmarkEnd w:id="3536"/>
    </w:p>
    <w:p w14:paraId="35048F77" w14:textId="77777777" w:rsidR="00FC47D4" w:rsidRPr="0064072E" w:rsidRDefault="00FC47D4" w:rsidP="006D6D32">
      <w:pPr>
        <w:pStyle w:val="a3"/>
        <w:rPr>
          <w:rtl/>
        </w:rPr>
      </w:pPr>
      <w:bookmarkStart w:id="3537" w:name="_Toc526409469"/>
      <w:bookmarkStart w:id="3538" w:name="_Toc526939111"/>
      <w:bookmarkStart w:id="3539" w:name="_Toc527060246"/>
      <w:bookmarkStart w:id="3540" w:name="_Toc527060394"/>
      <w:bookmarkStart w:id="3541" w:name="_Toc527100771"/>
      <w:bookmarkStart w:id="3542" w:name="_Toc528227027"/>
      <w:bookmarkStart w:id="3543" w:name="_Toc528227191"/>
      <w:bookmarkStart w:id="3544" w:name="_Toc528227353"/>
      <w:bookmarkStart w:id="3545" w:name="_Toc19389439"/>
      <w:bookmarkStart w:id="3546" w:name="_Toc19392936"/>
      <w:bookmarkEnd w:id="3528"/>
      <w:bookmarkEnd w:id="3529"/>
      <w:bookmarkEnd w:id="3530"/>
      <w:bookmarkEnd w:id="3531"/>
      <w:bookmarkEnd w:id="3532"/>
      <w:r>
        <w:rPr>
          <w:rFonts w:hint="cs"/>
          <w:rtl/>
        </w:rPr>
        <w:t>דברי הרשב"א דכיון שבדק את הסכין קודם השחיטה מעמידים אותו בחזקתו דשחוטה לפניך</w:t>
      </w:r>
      <w:bookmarkEnd w:id="3537"/>
      <w:bookmarkEnd w:id="3538"/>
      <w:bookmarkEnd w:id="3539"/>
      <w:bookmarkEnd w:id="3540"/>
      <w:bookmarkEnd w:id="3541"/>
      <w:bookmarkEnd w:id="3542"/>
      <w:bookmarkEnd w:id="3543"/>
      <w:bookmarkEnd w:id="3544"/>
      <w:bookmarkEnd w:id="3545"/>
      <w:bookmarkEnd w:id="3546"/>
    </w:p>
    <w:p w14:paraId="0B0094BC" w14:textId="77777777" w:rsidR="00FC47D4" w:rsidRDefault="00FC47D4" w:rsidP="00223668">
      <w:pPr>
        <w:pStyle w:val="a0"/>
        <w:rPr>
          <w:rtl/>
        </w:rPr>
      </w:pPr>
      <w:bookmarkStart w:id="3547" w:name="_Ref526349322"/>
      <w:r w:rsidRPr="00936CC8">
        <w:rPr>
          <w:rFonts w:hint="cs"/>
          <w:rtl/>
        </w:rPr>
        <w:t xml:space="preserve">הקשה </w:t>
      </w:r>
      <w:r w:rsidRPr="00936CC8">
        <w:rPr>
          <w:rStyle w:val="af9"/>
          <w:rFonts w:hint="cs"/>
          <w:rtl/>
        </w:rPr>
        <w:t>הרשב"א בתוה"ב</w:t>
      </w:r>
      <w:r w:rsidRPr="00936CC8">
        <w:rPr>
          <w:rFonts w:hint="cs"/>
          <w:rtl/>
        </w:rPr>
        <w:t xml:space="preserve"> </w:t>
      </w:r>
      <w:r w:rsidRPr="00936CC8">
        <w:rPr>
          <w:rStyle w:val="af7"/>
          <w:rFonts w:eastAsia="Guttman Hodes" w:hint="cs"/>
          <w:rtl/>
        </w:rPr>
        <w:t>(ב"א ש"ב דף טז: מדה"ס)</w:t>
      </w:r>
      <w:r w:rsidRPr="00936CC8">
        <w:rPr>
          <w:rFonts w:hint="cs"/>
          <w:rtl/>
        </w:rPr>
        <w:t xml:space="preserve"> אמאי בשיבר בה עצמות קיי"ל כרב חסדא ולא כרב הונא, הרי הבהמה בחזקת איסור, וצריך להעמידה על חזקתה, ותירץ </w:t>
      </w:r>
      <w:r w:rsidRPr="00936CC8">
        <w:rPr>
          <w:rStyle w:val="af9"/>
          <w:rFonts w:hint="cs"/>
          <w:rtl/>
        </w:rPr>
        <w:t>הרשב"א בתוה"ב</w:t>
      </w:r>
      <w:r w:rsidRPr="00936CC8">
        <w:rPr>
          <w:rFonts w:hint="cs"/>
          <w:rtl/>
        </w:rPr>
        <w:t xml:space="preserve"> דכיון דלפני השחיטה בדק את הסכין, והבהמה שחוטה לפניך, לכן מעמידים את הסכין על חזקתו שהוא בדוק, ואמרינן דהעצמות פגמו את הסכין. והוסיף </w:t>
      </w:r>
      <w:r w:rsidRPr="00936CC8">
        <w:rPr>
          <w:rStyle w:val="af9"/>
          <w:rFonts w:hint="cs"/>
          <w:rtl/>
        </w:rPr>
        <w:t>הרשב"א בתוה"ב</w:t>
      </w:r>
      <w:r w:rsidRPr="00936CC8">
        <w:rPr>
          <w:rFonts w:hint="cs"/>
          <w:rtl/>
        </w:rPr>
        <w:t xml:space="preserve"> דא"כ כ"ש באבד הסכין דמעמידים את הסכין בחזקתו והשחיטה</w:t>
      </w:r>
      <w:r>
        <w:rPr>
          <w:rFonts w:hint="cs"/>
          <w:rtl/>
        </w:rPr>
        <w:t xml:space="preserve"> כשרה, דהא אין בסכין כל ריעותא.</w:t>
      </w:r>
      <w:bookmarkEnd w:id="3547"/>
    </w:p>
    <w:p w14:paraId="3056B53B" w14:textId="77777777" w:rsidR="00FC47D4" w:rsidRDefault="00FC47D4" w:rsidP="00BF39B2">
      <w:pPr>
        <w:pStyle w:val="1"/>
        <w:rPr>
          <w:rtl/>
        </w:rPr>
      </w:pPr>
      <w:bookmarkStart w:id="3548" w:name="_Toc523397212"/>
      <w:bookmarkStart w:id="3549" w:name="_Toc523490321"/>
      <w:bookmarkStart w:id="3550" w:name="_Toc523697941"/>
      <w:bookmarkStart w:id="3551" w:name="_Toc523735716"/>
      <w:bookmarkStart w:id="3552" w:name="_Toc526248968"/>
      <w:bookmarkStart w:id="3553" w:name="_Toc526409470"/>
      <w:bookmarkStart w:id="3554" w:name="_Toc526939112"/>
      <w:bookmarkStart w:id="3555" w:name="_Toc527060247"/>
      <w:bookmarkStart w:id="3556" w:name="_Toc527060395"/>
      <w:bookmarkStart w:id="3557" w:name="_Toc527100772"/>
      <w:bookmarkStart w:id="3558" w:name="_Toc528227028"/>
      <w:bookmarkStart w:id="3559" w:name="_Toc528227192"/>
      <w:bookmarkStart w:id="3560" w:name="_Toc528227354"/>
      <w:bookmarkStart w:id="3561" w:name="_Toc19389440"/>
      <w:bookmarkStart w:id="3562" w:name="_Toc19392937"/>
      <w:bookmarkEnd w:id="3423"/>
      <w:bookmarkEnd w:id="3424"/>
      <w:bookmarkEnd w:id="3425"/>
      <w:bookmarkEnd w:id="3426"/>
      <w:bookmarkEnd w:id="3533"/>
      <w:bookmarkEnd w:id="3534"/>
      <w:bookmarkEnd w:id="3535"/>
      <w:r>
        <w:rPr>
          <w:rFonts w:hint="cs"/>
          <w:rtl/>
        </w:rPr>
        <w:t>ביאור השיטמ"ק בהא דרב הונא כשמעתיה לדעת רבינו יונה</w:t>
      </w:r>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p>
    <w:p w14:paraId="09737679" w14:textId="77777777" w:rsidR="00FC47D4" w:rsidRPr="008D7014" w:rsidRDefault="00FC47D4" w:rsidP="006D6D32">
      <w:pPr>
        <w:pStyle w:val="a3"/>
        <w:rPr>
          <w:rtl/>
        </w:rPr>
      </w:pPr>
      <w:bookmarkStart w:id="3563" w:name="_Toc523490322"/>
      <w:bookmarkStart w:id="3564" w:name="_Toc523697942"/>
      <w:bookmarkStart w:id="3565" w:name="_Toc523735717"/>
      <w:bookmarkStart w:id="3566" w:name="_Toc526248969"/>
      <w:bookmarkStart w:id="3567" w:name="_Toc526409471"/>
      <w:bookmarkStart w:id="3568" w:name="_Toc526939113"/>
      <w:bookmarkStart w:id="3569" w:name="_Toc527060248"/>
      <w:bookmarkStart w:id="3570" w:name="_Toc527060396"/>
      <w:bookmarkStart w:id="3571" w:name="_Toc527100773"/>
      <w:bookmarkStart w:id="3572" w:name="_Toc528227029"/>
      <w:bookmarkStart w:id="3573" w:name="_Toc528227193"/>
      <w:bookmarkStart w:id="3574" w:name="_Toc528227355"/>
      <w:bookmarkStart w:id="3575" w:name="_Toc19389441"/>
      <w:bookmarkStart w:id="3576" w:name="_Toc19392938"/>
      <w:r>
        <w:rPr>
          <w:rFonts w:hint="cs"/>
          <w:rtl/>
        </w:rPr>
        <w:t>ביאור השיטמ"ק ברבינו יונה דלרב הונא מאף שיש חזקת איסו מודה דמותר באבד הסכין</w:t>
      </w:r>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p>
    <w:p w14:paraId="2D94B1DC" w14:textId="77777777" w:rsidR="00FC47D4" w:rsidRPr="00C645B3" w:rsidRDefault="00FC47D4" w:rsidP="00223668">
      <w:pPr>
        <w:pStyle w:val="a0"/>
        <w:rPr>
          <w:rtl/>
        </w:rPr>
      </w:pPr>
      <w:bookmarkStart w:id="3577" w:name="_Ref523153351"/>
      <w:r>
        <w:rPr>
          <w:rFonts w:hint="cs"/>
          <w:rtl/>
        </w:rPr>
        <w:t xml:space="preserve">כתב </w:t>
      </w:r>
      <w:r w:rsidRPr="00585533">
        <w:rPr>
          <w:rStyle w:val="af9"/>
          <w:rFonts w:hint="cs"/>
          <w:rtl/>
        </w:rPr>
        <w:t>השיטמ"ק</w:t>
      </w:r>
      <w:r>
        <w:rPr>
          <w:rFonts w:hint="cs"/>
          <w:rtl/>
        </w:rPr>
        <w:t xml:space="preserve"> </w:t>
      </w:r>
      <w:r w:rsidRPr="00585533">
        <w:rPr>
          <w:rStyle w:val="af7"/>
          <w:rFonts w:eastAsia="Guttman Hodes" w:hint="cs"/>
          <w:rtl/>
        </w:rPr>
        <w:t>(ד"ה בשלמא)</w:t>
      </w:r>
      <w:r>
        <w:rPr>
          <w:rFonts w:hint="cs"/>
          <w:rtl/>
        </w:rPr>
        <w:t xml:space="preserve"> דלדעת </w:t>
      </w:r>
      <w:r w:rsidRPr="00585533">
        <w:rPr>
          <w:rStyle w:val="af9"/>
          <w:rFonts w:hint="cs"/>
          <w:rtl/>
        </w:rPr>
        <w:t>רבינו יונה</w:t>
      </w:r>
      <w:r>
        <w:rPr>
          <w:rFonts w:hint="cs"/>
          <w:rtl/>
        </w:rPr>
        <w:t xml:space="preserve"> הא דאיתא בגמ' דרב הונא כשמעתיה, אין הכוונה </w:t>
      </w:r>
      <w:r w:rsidRPr="00C41EEC">
        <w:rPr>
          <w:rStyle w:val="af9"/>
          <w:rFonts w:hint="cs"/>
          <w:rtl/>
        </w:rPr>
        <w:t>כרמב"ן</w:t>
      </w:r>
      <w:r>
        <w:rPr>
          <w:rFonts w:hint="cs"/>
          <w:rtl/>
        </w:rPr>
        <w:t xml:space="preserve"> </w:t>
      </w:r>
      <w:r w:rsidRPr="00C41EEC">
        <w:rPr>
          <w:rStyle w:val="af7"/>
          <w:rFonts w:eastAsia="Guttman Hodes" w:hint="cs"/>
          <w:rtl/>
        </w:rPr>
        <w:t xml:space="preserve">(עי' אות </w:t>
      </w:r>
      <w:r w:rsidRPr="00C41EEC">
        <w:rPr>
          <w:rStyle w:val="af7"/>
          <w:rFonts w:eastAsia="Guttman Hodes"/>
          <w:rtl/>
        </w:rPr>
        <w:fldChar w:fldCharType="begin"/>
      </w:r>
      <w:r w:rsidRPr="00C41EEC">
        <w:rPr>
          <w:rStyle w:val="af7"/>
          <w:rFonts w:eastAsia="Guttman Hodes"/>
          <w:rtl/>
        </w:rPr>
        <w:instrText xml:space="preserve"> </w:instrText>
      </w:r>
      <w:r w:rsidRPr="00C41EEC">
        <w:rPr>
          <w:rStyle w:val="af7"/>
          <w:rFonts w:eastAsia="Guttman Hodes" w:hint="cs"/>
        </w:rPr>
        <w:instrText>REF</w:instrText>
      </w:r>
      <w:r w:rsidRPr="00C41EEC">
        <w:rPr>
          <w:rStyle w:val="af7"/>
          <w:rFonts w:eastAsia="Guttman Hodes" w:hint="cs"/>
          <w:rtl/>
        </w:rPr>
        <w:instrText xml:space="preserve"> _</w:instrText>
      </w:r>
      <w:r w:rsidRPr="00C41EEC">
        <w:rPr>
          <w:rStyle w:val="af7"/>
          <w:rFonts w:eastAsia="Guttman Hodes" w:hint="cs"/>
        </w:rPr>
        <w:instrText>Ref523072582 \r \h</w:instrText>
      </w:r>
      <w:r w:rsidRPr="00C41EEC">
        <w:rPr>
          <w:rStyle w:val="af7"/>
          <w:rFonts w:eastAsia="Guttman Hodes"/>
          <w:rtl/>
        </w:rPr>
        <w:instrText xml:space="preserve"> </w:instrText>
      </w:r>
      <w:r w:rsidRPr="00C41EEC">
        <w:rPr>
          <w:rStyle w:val="af7"/>
          <w:rFonts w:eastAsia="Guttman Hodes"/>
          <w:rtl/>
        </w:rPr>
      </w:r>
      <w:r w:rsidRPr="00C41EEC">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C41EEC">
        <w:rPr>
          <w:rStyle w:val="af7"/>
          <w:rFonts w:eastAsia="Guttman Hodes"/>
          <w:rtl/>
        </w:rPr>
        <w:fldChar w:fldCharType="end"/>
      </w:r>
      <w:r>
        <w:rPr>
          <w:rFonts w:hint="cs"/>
          <w:rtl/>
        </w:rPr>
        <w:t xml:space="preserve"> דצריך לבדוק בסימנים וה"ה בסכין, וכל שלא בדק שחיטתו פסולה, אלא כוונת הגמ' לומר דאף דס"ל לרב הונא דבחזקת איסור עומדת, מ"מ מודה דבאבד הסכין כשרה, [וע"ע במה שביאר בדעת </w:t>
      </w:r>
      <w:r w:rsidRPr="00485DD8">
        <w:rPr>
          <w:rStyle w:val="af9"/>
          <w:rFonts w:hint="cs"/>
          <w:rtl/>
        </w:rPr>
        <w:t>רש"י</w:t>
      </w:r>
      <w:r>
        <w:rPr>
          <w:rFonts w:hint="cs"/>
          <w:rtl/>
        </w:rPr>
        <w:t xml:space="preserve"> </w:t>
      </w:r>
      <w:r w:rsidRPr="00485DD8">
        <w:rPr>
          <w:rStyle w:val="af7"/>
          <w:rFonts w:eastAsia="Guttman Hodes" w:hint="cs"/>
          <w:rtl/>
        </w:rPr>
        <w:t xml:space="preserve">(עי' אות </w:t>
      </w:r>
      <w:r w:rsidRPr="00485DD8">
        <w:rPr>
          <w:rStyle w:val="af7"/>
          <w:rFonts w:eastAsia="Guttman Hodes"/>
          <w:rtl/>
        </w:rPr>
        <w:fldChar w:fldCharType="begin"/>
      </w:r>
      <w:r w:rsidRPr="00485DD8">
        <w:rPr>
          <w:rStyle w:val="af7"/>
          <w:rFonts w:eastAsia="Guttman Hodes"/>
          <w:rtl/>
        </w:rPr>
        <w:instrText xml:space="preserve"> </w:instrText>
      </w:r>
      <w:r w:rsidRPr="00485DD8">
        <w:rPr>
          <w:rStyle w:val="af7"/>
          <w:rFonts w:eastAsia="Guttman Hodes" w:hint="cs"/>
        </w:rPr>
        <w:instrText>REF</w:instrText>
      </w:r>
      <w:r w:rsidRPr="00485DD8">
        <w:rPr>
          <w:rStyle w:val="af7"/>
          <w:rFonts w:eastAsia="Guttman Hodes" w:hint="cs"/>
          <w:rtl/>
        </w:rPr>
        <w:instrText xml:space="preserve"> _</w:instrText>
      </w:r>
      <w:r w:rsidRPr="00485DD8">
        <w:rPr>
          <w:rStyle w:val="af7"/>
          <w:rFonts w:eastAsia="Guttman Hodes" w:hint="cs"/>
        </w:rPr>
        <w:instrText>Ref523072884 \r \h</w:instrText>
      </w:r>
      <w:r w:rsidRPr="00485DD8">
        <w:rPr>
          <w:rStyle w:val="af7"/>
          <w:rFonts w:eastAsia="Guttman Hodes"/>
          <w:rtl/>
        </w:rPr>
        <w:instrText xml:space="preserve"> </w:instrText>
      </w:r>
      <w:r w:rsidRPr="00485DD8">
        <w:rPr>
          <w:rStyle w:val="af7"/>
          <w:rFonts w:eastAsia="Guttman Hodes"/>
          <w:rtl/>
        </w:rPr>
      </w:r>
      <w:r w:rsidRPr="00485DD8">
        <w:rPr>
          <w:rStyle w:val="af7"/>
          <w:rFonts w:eastAsia="Guttman Hodes"/>
          <w:rtl/>
        </w:rPr>
        <w:fldChar w:fldCharType="separate"/>
      </w:r>
      <w:r w:rsidR="00345400">
        <w:rPr>
          <w:rStyle w:val="af7"/>
          <w:rFonts w:eastAsia="Guttman Hodes"/>
          <w:cs/>
        </w:rPr>
        <w:t>‎</w:t>
      </w:r>
      <w:r w:rsidR="00345400">
        <w:rPr>
          <w:rStyle w:val="af7"/>
          <w:rFonts w:eastAsia="Guttman Hodes"/>
          <w:rtl/>
        </w:rPr>
        <w:t>מג)</w:t>
      </w:r>
      <w:r w:rsidRPr="00485DD8">
        <w:rPr>
          <w:rStyle w:val="af7"/>
          <w:rFonts w:eastAsia="Guttman Hodes"/>
          <w:rtl/>
        </w:rPr>
        <w:fldChar w:fldCharType="end"/>
      </w:r>
      <w:r>
        <w:rPr>
          <w:rFonts w:hint="cs"/>
          <w:rtl/>
        </w:rPr>
        <w:t xml:space="preserve">], וע"ע בדברי </w:t>
      </w:r>
      <w:r w:rsidRPr="00FD2B03">
        <w:rPr>
          <w:rStyle w:val="af9"/>
          <w:rFonts w:hint="cs"/>
          <w:rtl/>
        </w:rPr>
        <w:t>הפנ"י</w:t>
      </w:r>
      <w:r>
        <w:rPr>
          <w:rFonts w:hint="cs"/>
          <w:rtl/>
        </w:rPr>
        <w:t xml:space="preserve"> </w:t>
      </w:r>
      <w:r w:rsidRPr="00FD2B03">
        <w:rPr>
          <w:rStyle w:val="af7"/>
          <w:rFonts w:eastAsia="Guttman Hodes" w:hint="cs"/>
          <w:rtl/>
        </w:rPr>
        <w:t xml:space="preserve">(עי' אות </w:t>
      </w:r>
      <w:r w:rsidRPr="00FD2B03">
        <w:rPr>
          <w:rStyle w:val="af7"/>
          <w:rFonts w:eastAsia="Guttman Hodes"/>
          <w:rtl/>
        </w:rPr>
        <w:fldChar w:fldCharType="begin"/>
      </w:r>
      <w:r w:rsidRPr="00FD2B03">
        <w:rPr>
          <w:rStyle w:val="af7"/>
          <w:rFonts w:eastAsia="Guttman Hodes"/>
          <w:rtl/>
        </w:rPr>
        <w:instrText xml:space="preserve"> </w:instrText>
      </w:r>
      <w:r w:rsidRPr="00FD2B03">
        <w:rPr>
          <w:rStyle w:val="af7"/>
          <w:rFonts w:eastAsia="Guttman Hodes" w:hint="cs"/>
        </w:rPr>
        <w:instrText>REF</w:instrText>
      </w:r>
      <w:r w:rsidRPr="00FD2B03">
        <w:rPr>
          <w:rStyle w:val="af7"/>
          <w:rFonts w:eastAsia="Guttman Hodes" w:hint="cs"/>
          <w:rtl/>
        </w:rPr>
        <w:instrText xml:space="preserve"> _</w:instrText>
      </w:r>
      <w:r w:rsidRPr="00FD2B03">
        <w:rPr>
          <w:rStyle w:val="af7"/>
          <w:rFonts w:eastAsia="Guttman Hodes" w:hint="cs"/>
        </w:rPr>
        <w:instrText>Ref523732585 \r \h</w:instrText>
      </w:r>
      <w:r w:rsidRPr="00FD2B03">
        <w:rPr>
          <w:rStyle w:val="af7"/>
          <w:rFonts w:eastAsia="Guttman Hodes"/>
          <w:rtl/>
        </w:rPr>
        <w:instrText xml:space="preserve"> </w:instrText>
      </w:r>
      <w:r w:rsidRPr="00FD2B03">
        <w:rPr>
          <w:rStyle w:val="af7"/>
          <w:rFonts w:eastAsia="Guttman Hodes"/>
          <w:rtl/>
        </w:rPr>
      </w:r>
      <w:r w:rsidRPr="00FD2B03">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FD2B03">
        <w:rPr>
          <w:rStyle w:val="af7"/>
          <w:rFonts w:eastAsia="Guttman Hodes"/>
          <w:rtl/>
        </w:rPr>
        <w:fldChar w:fldCharType="end"/>
      </w:r>
      <w:r>
        <w:rPr>
          <w:rFonts w:hint="cs"/>
          <w:rtl/>
        </w:rPr>
        <w:t xml:space="preserve"> בזה.</w:t>
      </w:r>
      <w:bookmarkEnd w:id="3577"/>
    </w:p>
    <w:p w14:paraId="3C781DB6" w14:textId="77777777" w:rsidR="00FC47D4" w:rsidRDefault="00FC47D4" w:rsidP="006D6D32">
      <w:pPr>
        <w:pStyle w:val="a3"/>
        <w:rPr>
          <w:rtl/>
        </w:rPr>
      </w:pPr>
      <w:bookmarkStart w:id="3578" w:name="_Toc523490323"/>
      <w:bookmarkStart w:id="3579" w:name="_Toc523697943"/>
      <w:bookmarkStart w:id="3580" w:name="_Toc523735718"/>
      <w:bookmarkStart w:id="3581" w:name="_Toc526248970"/>
      <w:bookmarkStart w:id="3582" w:name="_Toc526409472"/>
      <w:bookmarkStart w:id="3583" w:name="_Toc526939114"/>
      <w:bookmarkStart w:id="3584" w:name="_Toc527060249"/>
      <w:bookmarkStart w:id="3585" w:name="_Toc527060397"/>
      <w:bookmarkStart w:id="3586" w:name="_Toc527100774"/>
      <w:bookmarkStart w:id="3587" w:name="_Toc528227030"/>
      <w:bookmarkStart w:id="3588" w:name="_Toc528227194"/>
      <w:bookmarkStart w:id="3589" w:name="_Toc528227356"/>
      <w:bookmarkStart w:id="3590" w:name="_Toc19389442"/>
      <w:bookmarkStart w:id="3591" w:name="_Toc19392939"/>
      <w:r>
        <w:rPr>
          <w:rFonts w:hint="cs"/>
          <w:rtl/>
        </w:rPr>
        <w:t>דברי השיטמ"ק דמשמעות דברי רש"י בביאור סברת רב הונא כרבינו יונה</w:t>
      </w:r>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p>
    <w:p w14:paraId="6718B252" w14:textId="77777777" w:rsidR="00FC47D4" w:rsidRDefault="00FC47D4" w:rsidP="00223668">
      <w:pPr>
        <w:pStyle w:val="a0"/>
        <w:rPr>
          <w:rtl/>
        </w:rPr>
      </w:pPr>
      <w:bookmarkStart w:id="3592" w:name="_Ref523072884"/>
      <w:r>
        <w:rPr>
          <w:rFonts w:hint="cs"/>
          <w:rtl/>
        </w:rPr>
        <w:t xml:space="preserve">וכתב </w:t>
      </w:r>
      <w:r w:rsidRPr="00807D5C">
        <w:rPr>
          <w:rStyle w:val="af9"/>
          <w:rFonts w:hint="cs"/>
          <w:rtl/>
        </w:rPr>
        <w:t>השיטמ"ק</w:t>
      </w:r>
      <w:r>
        <w:rPr>
          <w:rFonts w:hint="cs"/>
          <w:rtl/>
        </w:rPr>
        <w:t xml:space="preserve"> </w:t>
      </w:r>
      <w:r w:rsidRPr="00807D5C">
        <w:rPr>
          <w:rStyle w:val="af7"/>
          <w:rFonts w:eastAsia="Guttman Hodes" w:hint="cs"/>
          <w:rtl/>
        </w:rPr>
        <w:t>(ד"ה וקצת נראה)</w:t>
      </w:r>
      <w:r>
        <w:rPr>
          <w:rFonts w:hint="cs"/>
          <w:rtl/>
        </w:rPr>
        <w:t xml:space="preserve"> כן דמשמע </w:t>
      </w:r>
      <w:r w:rsidRPr="00807D5C">
        <w:rPr>
          <w:rStyle w:val="af9"/>
          <w:rFonts w:hint="cs"/>
          <w:rtl/>
        </w:rPr>
        <w:t>מרש"י</w:t>
      </w:r>
      <w:r>
        <w:rPr>
          <w:rFonts w:hint="cs"/>
          <w:rtl/>
        </w:rPr>
        <w:t xml:space="preserve"> דס"ל כדעת </w:t>
      </w:r>
      <w:r w:rsidRPr="006C75D4">
        <w:rPr>
          <w:rStyle w:val="af9"/>
          <w:rFonts w:hint="cs"/>
          <w:rtl/>
        </w:rPr>
        <w:t>רבינו יונה</w:t>
      </w:r>
      <w:r>
        <w:rPr>
          <w:rFonts w:hint="cs"/>
          <w:rtl/>
        </w:rPr>
        <w:t xml:space="preserve"> דבאבד הסכין כשר, דכתב </w:t>
      </w:r>
      <w:r w:rsidRPr="006C75D4">
        <w:rPr>
          <w:rStyle w:val="af9"/>
          <w:rFonts w:hint="cs"/>
          <w:rtl/>
        </w:rPr>
        <w:t>רש"י</w:t>
      </w:r>
      <w:r>
        <w:rPr>
          <w:rFonts w:hint="cs"/>
          <w:rtl/>
        </w:rPr>
        <w:t xml:space="preserve"> </w:t>
      </w:r>
      <w:r w:rsidRPr="00807D5C">
        <w:rPr>
          <w:rStyle w:val="af7"/>
          <w:rFonts w:eastAsia="Guttman Hodes" w:hint="cs"/>
          <w:rtl/>
        </w:rPr>
        <w:t>(ד"ה כשמעתיה)</w:t>
      </w:r>
      <w:r>
        <w:rPr>
          <w:rFonts w:hint="cs"/>
          <w:rtl/>
        </w:rPr>
        <w:t xml:space="preserve"> דרב הונא כשמעתיה דבספק בשחיטה הבהמה בחזקת איסור, וכתב </w:t>
      </w:r>
      <w:r w:rsidRPr="006C75D4">
        <w:rPr>
          <w:rStyle w:val="af9"/>
          <w:rFonts w:hint="cs"/>
          <w:rtl/>
        </w:rPr>
        <w:t>השיטמ"ק</w:t>
      </w:r>
      <w:r>
        <w:rPr>
          <w:rFonts w:hint="cs"/>
          <w:rtl/>
        </w:rPr>
        <w:t xml:space="preserve"> דמדלא פירש </w:t>
      </w:r>
      <w:r w:rsidRPr="00C41EEC">
        <w:rPr>
          <w:rStyle w:val="af9"/>
          <w:rFonts w:hint="cs"/>
          <w:rtl/>
        </w:rPr>
        <w:t>רש"י כרמב"ן</w:t>
      </w:r>
      <w:r>
        <w:rPr>
          <w:rFonts w:hint="cs"/>
          <w:rtl/>
        </w:rPr>
        <w:t xml:space="preserve"> </w:t>
      </w:r>
      <w:r w:rsidRPr="00C41EEC">
        <w:rPr>
          <w:rStyle w:val="af7"/>
          <w:rFonts w:eastAsia="Guttman Hodes" w:hint="cs"/>
          <w:rtl/>
        </w:rPr>
        <w:t xml:space="preserve">(עי' אות </w:t>
      </w:r>
      <w:r w:rsidRPr="00C41EEC">
        <w:rPr>
          <w:rStyle w:val="af7"/>
          <w:rFonts w:eastAsia="Guttman Hodes"/>
          <w:rtl/>
        </w:rPr>
        <w:fldChar w:fldCharType="begin"/>
      </w:r>
      <w:r w:rsidRPr="00C41EEC">
        <w:rPr>
          <w:rStyle w:val="af7"/>
          <w:rFonts w:eastAsia="Guttman Hodes"/>
          <w:rtl/>
        </w:rPr>
        <w:instrText xml:space="preserve"> </w:instrText>
      </w:r>
      <w:r w:rsidRPr="00C41EEC">
        <w:rPr>
          <w:rStyle w:val="af7"/>
          <w:rFonts w:eastAsia="Guttman Hodes" w:hint="cs"/>
        </w:rPr>
        <w:instrText>REF</w:instrText>
      </w:r>
      <w:r w:rsidRPr="00C41EEC">
        <w:rPr>
          <w:rStyle w:val="af7"/>
          <w:rFonts w:eastAsia="Guttman Hodes" w:hint="cs"/>
          <w:rtl/>
        </w:rPr>
        <w:instrText xml:space="preserve"> _</w:instrText>
      </w:r>
      <w:r w:rsidRPr="00C41EEC">
        <w:rPr>
          <w:rStyle w:val="af7"/>
          <w:rFonts w:eastAsia="Guttman Hodes" w:hint="cs"/>
        </w:rPr>
        <w:instrText>Ref523072582 \r \h</w:instrText>
      </w:r>
      <w:r w:rsidRPr="00C41EEC">
        <w:rPr>
          <w:rStyle w:val="af7"/>
          <w:rFonts w:eastAsia="Guttman Hodes"/>
          <w:rtl/>
        </w:rPr>
        <w:instrText xml:space="preserve"> </w:instrText>
      </w:r>
      <w:r w:rsidRPr="00C41EEC">
        <w:rPr>
          <w:rStyle w:val="af7"/>
          <w:rFonts w:eastAsia="Guttman Hodes"/>
          <w:rtl/>
        </w:rPr>
      </w:r>
      <w:r w:rsidRPr="00C41EEC">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C41EEC">
        <w:rPr>
          <w:rStyle w:val="af7"/>
          <w:rFonts w:eastAsia="Guttman Hodes"/>
          <w:rtl/>
        </w:rPr>
        <w:fldChar w:fldCharType="end"/>
      </w:r>
      <w:r>
        <w:rPr>
          <w:rFonts w:hint="cs"/>
          <w:rtl/>
        </w:rPr>
        <w:t xml:space="preserve"> דרב הונא כשמעתיה היינו שצריך לבדוק בסימנים, והיינו דה"ה לבדיקת סכין דכל שלא בדק בסימנים או בסכין שחיטתו פסולה, אלא פירש </w:t>
      </w:r>
      <w:r w:rsidRPr="00C41EEC">
        <w:rPr>
          <w:rStyle w:val="af9"/>
          <w:rFonts w:hint="cs"/>
          <w:rtl/>
        </w:rPr>
        <w:t>רש"י</w:t>
      </w:r>
      <w:r>
        <w:rPr>
          <w:rFonts w:hint="cs"/>
          <w:rtl/>
        </w:rPr>
        <w:t xml:space="preserve"> דכוונת הגמ' על עיקר דברי רב הונא דבספק בשחיטה היא בחזקת איסור, וכתב </w:t>
      </w:r>
      <w:r w:rsidRPr="00807D5C">
        <w:rPr>
          <w:rStyle w:val="af9"/>
          <w:rFonts w:hint="cs"/>
          <w:rtl/>
        </w:rPr>
        <w:t>השיטמ"ק</w:t>
      </w:r>
      <w:r>
        <w:rPr>
          <w:rFonts w:hint="cs"/>
          <w:rtl/>
        </w:rPr>
        <w:t xml:space="preserve"> דא"כ משמע דכוונת </w:t>
      </w:r>
      <w:r w:rsidRPr="00C41EEC">
        <w:rPr>
          <w:rStyle w:val="af9"/>
          <w:rFonts w:hint="cs"/>
          <w:rtl/>
        </w:rPr>
        <w:t>רש"י</w:t>
      </w:r>
      <w:r>
        <w:rPr>
          <w:rFonts w:hint="cs"/>
          <w:rtl/>
        </w:rPr>
        <w:t xml:space="preserve"> לומר דאסר רב הונא היכא שנמצאת הסכין פגומה שהוא ספק בשחיטה, אבל באבד הסכין, אינו ספק בשחיטה דאפשר להעמיד את הסכין על חזקתו דהוא בדוק. אך כתב </w:t>
      </w:r>
      <w:r w:rsidRPr="00C41EEC">
        <w:rPr>
          <w:rStyle w:val="af9"/>
          <w:rFonts w:hint="cs"/>
          <w:rtl/>
        </w:rPr>
        <w:t>השיטמ"ק</w:t>
      </w:r>
      <w:r>
        <w:rPr>
          <w:rFonts w:hint="cs"/>
          <w:rtl/>
        </w:rPr>
        <w:t xml:space="preserve"> דאי"ז מוכרח בדעת </w:t>
      </w:r>
      <w:r w:rsidRPr="00C41EEC">
        <w:rPr>
          <w:rStyle w:val="af9"/>
          <w:rFonts w:hint="cs"/>
          <w:rtl/>
        </w:rPr>
        <w:t>רש"י</w:t>
      </w:r>
      <w:r>
        <w:rPr>
          <w:rFonts w:hint="cs"/>
          <w:rtl/>
        </w:rPr>
        <w:t>, עיי"ש בדבריו.</w:t>
      </w:r>
      <w:bookmarkEnd w:id="3592"/>
    </w:p>
    <w:p w14:paraId="397DE083" w14:textId="77777777" w:rsidR="00FC47D4" w:rsidRPr="00644B20" w:rsidRDefault="00FC47D4" w:rsidP="00BF39B2">
      <w:pPr>
        <w:pStyle w:val="1"/>
        <w:rPr>
          <w:rtl/>
        </w:rPr>
      </w:pPr>
      <w:bookmarkStart w:id="3593" w:name="_Toc523697932"/>
      <w:bookmarkStart w:id="3594" w:name="_Toc523735706"/>
      <w:bookmarkStart w:id="3595" w:name="_Toc526248948"/>
      <w:bookmarkStart w:id="3596" w:name="_Toc526409483"/>
      <w:bookmarkStart w:id="3597" w:name="_Toc526939134"/>
      <w:bookmarkStart w:id="3598" w:name="_Toc527060250"/>
      <w:bookmarkStart w:id="3599" w:name="_Toc527060398"/>
      <w:bookmarkStart w:id="3600" w:name="_Toc527100775"/>
      <w:bookmarkStart w:id="3601" w:name="_Toc528227031"/>
      <w:bookmarkStart w:id="3602" w:name="_Toc528227195"/>
      <w:bookmarkStart w:id="3603" w:name="_Toc528227357"/>
      <w:bookmarkStart w:id="3604" w:name="_Toc19389443"/>
      <w:bookmarkStart w:id="3605" w:name="_Toc19392940"/>
      <w:bookmarkStart w:id="3606" w:name="_Toc523490314"/>
      <w:bookmarkStart w:id="3607" w:name="_Toc523697931"/>
      <w:bookmarkStart w:id="3608" w:name="_Toc523397216"/>
      <w:bookmarkStart w:id="3609" w:name="_Toc523490333"/>
      <w:bookmarkStart w:id="3610" w:name="_Toc523697954"/>
      <w:bookmarkStart w:id="3611" w:name="_Toc523735729"/>
      <w:bookmarkStart w:id="3612" w:name="_Toc526248981"/>
      <w:r w:rsidRPr="00644B20">
        <w:rPr>
          <w:rFonts w:hint="cs"/>
          <w:rtl/>
        </w:rPr>
        <w:t xml:space="preserve">ביאור הפנ"י </w:t>
      </w:r>
      <w:r>
        <w:rPr>
          <w:rFonts w:hint="cs"/>
          <w:rtl/>
        </w:rPr>
        <w:t>ברבינו יונה דרק בנמצא פגום</w:t>
      </w:r>
      <w:r w:rsidRPr="00644B20">
        <w:rPr>
          <w:rFonts w:hint="cs"/>
          <w:rtl/>
        </w:rPr>
        <w:t xml:space="preserve"> יש תרתי לריעותא</w:t>
      </w:r>
      <w:bookmarkEnd w:id="3593"/>
      <w:bookmarkEnd w:id="3594"/>
      <w:bookmarkEnd w:id="3595"/>
      <w:bookmarkEnd w:id="3596"/>
      <w:bookmarkEnd w:id="3597"/>
      <w:bookmarkEnd w:id="3598"/>
      <w:bookmarkEnd w:id="3599"/>
      <w:bookmarkEnd w:id="3600"/>
      <w:bookmarkEnd w:id="3601"/>
      <w:bookmarkEnd w:id="3602"/>
      <w:bookmarkEnd w:id="3603"/>
      <w:bookmarkEnd w:id="3604"/>
      <w:bookmarkEnd w:id="3605"/>
    </w:p>
    <w:p w14:paraId="2D1ACA92" w14:textId="77777777" w:rsidR="00FC47D4" w:rsidRDefault="00FC47D4" w:rsidP="006D6D32">
      <w:pPr>
        <w:pStyle w:val="a3"/>
        <w:rPr>
          <w:rtl/>
        </w:rPr>
      </w:pPr>
      <w:bookmarkStart w:id="3613" w:name="_Toc523735707"/>
      <w:bookmarkStart w:id="3614" w:name="_Toc526248949"/>
      <w:bookmarkStart w:id="3615" w:name="_Toc526409484"/>
      <w:bookmarkStart w:id="3616" w:name="_Toc526939135"/>
      <w:bookmarkStart w:id="3617" w:name="_Toc527060251"/>
      <w:bookmarkStart w:id="3618" w:name="_Toc527060399"/>
      <w:bookmarkStart w:id="3619" w:name="_Toc527100776"/>
      <w:bookmarkStart w:id="3620" w:name="_Toc528227032"/>
      <w:bookmarkStart w:id="3621" w:name="_Toc528227196"/>
      <w:bookmarkStart w:id="3622" w:name="_Toc528227358"/>
      <w:bookmarkStart w:id="3623" w:name="_Toc19389444"/>
      <w:bookmarkStart w:id="3624" w:name="_Toc19392941"/>
      <w:r>
        <w:rPr>
          <w:rFonts w:hint="cs"/>
          <w:rtl/>
        </w:rPr>
        <w:t>ביאור הפנ"י דשחיטת רוב הסימנים תלויה במעשה ומחזקינן באיסור ובסכין אינו תלוי במעשה</w:t>
      </w:r>
      <w:bookmarkEnd w:id="3606"/>
      <w:bookmarkEnd w:id="3607"/>
      <w:bookmarkEnd w:id="3613"/>
      <w:bookmarkEnd w:id="3614"/>
      <w:bookmarkEnd w:id="3615"/>
      <w:bookmarkEnd w:id="3616"/>
      <w:bookmarkEnd w:id="3617"/>
      <w:bookmarkEnd w:id="3618"/>
      <w:bookmarkEnd w:id="3619"/>
      <w:bookmarkEnd w:id="3620"/>
      <w:bookmarkEnd w:id="3621"/>
      <w:bookmarkEnd w:id="3622"/>
      <w:bookmarkEnd w:id="3623"/>
      <w:bookmarkEnd w:id="3624"/>
    </w:p>
    <w:p w14:paraId="77DA19BA" w14:textId="77777777" w:rsidR="00FC47D4" w:rsidRPr="00615750" w:rsidRDefault="00FC47D4" w:rsidP="00223668">
      <w:pPr>
        <w:pStyle w:val="a0"/>
        <w:rPr>
          <w:rtl/>
        </w:rPr>
      </w:pPr>
      <w:bookmarkStart w:id="3625" w:name="_Ref523427698"/>
      <w:r>
        <w:rPr>
          <w:rFonts w:hint="cs"/>
          <w:rtl/>
        </w:rPr>
        <w:t xml:space="preserve">כתב </w:t>
      </w:r>
      <w:r w:rsidRPr="00615750">
        <w:rPr>
          <w:rStyle w:val="af9"/>
          <w:rFonts w:hint="cs"/>
          <w:rtl/>
        </w:rPr>
        <w:t>הפנ"י</w:t>
      </w:r>
      <w:r w:rsidRPr="00615750">
        <w:rPr>
          <w:rFonts w:hint="cs"/>
          <w:rtl/>
        </w:rPr>
        <w:t xml:space="preserve"> </w:t>
      </w:r>
      <w:r w:rsidRPr="00615750">
        <w:rPr>
          <w:rStyle w:val="af7"/>
          <w:rFonts w:eastAsia="Guttman Hodes" w:hint="cs"/>
          <w:rtl/>
        </w:rPr>
        <w:t>(ד"ה איתמר)</w:t>
      </w:r>
      <w:r w:rsidRPr="00615750">
        <w:rPr>
          <w:rFonts w:hint="cs"/>
          <w:rtl/>
        </w:rPr>
        <w:t xml:space="preserve"> דמפשטות לשון הגמ' משמע כדעת </w:t>
      </w:r>
      <w:r w:rsidRPr="00615750">
        <w:rPr>
          <w:rStyle w:val="af9"/>
          <w:rFonts w:hint="cs"/>
          <w:rtl/>
        </w:rPr>
        <w:t>רבינו יונה</w:t>
      </w:r>
      <w:r w:rsidRPr="00615750">
        <w:rPr>
          <w:rFonts w:hint="cs"/>
          <w:rtl/>
        </w:rPr>
        <w:t xml:space="preserve"> דרב הונא ורב חסדא נחלקו דוקא במקום שהסכין נמצא פגום, אבל אם לא בדק את הסכין, מעמידים אותו על חזקתו דהוא בדוק, וחשיב שנודע במה נשחטה, וביאר </w:t>
      </w:r>
      <w:r w:rsidRPr="00615750">
        <w:rPr>
          <w:rStyle w:val="af9"/>
          <w:rFonts w:hint="cs"/>
          <w:rtl/>
        </w:rPr>
        <w:t>הפנ"י</w:t>
      </w:r>
      <w:r w:rsidRPr="00615750">
        <w:rPr>
          <w:rFonts w:hint="cs"/>
          <w:rtl/>
        </w:rPr>
        <w:t xml:space="preserve"> דלא דמי לבדיקה בסימנים דהוא ספק בשחיטה, ומעמידים את הבהמה בחזקת איסור, כיון ששחיטת הסימנים היא תלויה במעשה, ולכן כל שלא ברור שנשחטה כראוי היא בחזקת איסור, אבל בסכין שבדיקתו אינה תלויה במעשה, אלא שאבד או ששכח לבודקו, חשיב שידוע במה נשחטה.</w:t>
      </w:r>
      <w:bookmarkEnd w:id="3625"/>
    </w:p>
    <w:p w14:paraId="0519FAD9" w14:textId="77777777" w:rsidR="00FC47D4" w:rsidRPr="00644B20" w:rsidRDefault="00FC47D4" w:rsidP="006D6D32">
      <w:pPr>
        <w:pStyle w:val="a3"/>
        <w:rPr>
          <w:rtl/>
        </w:rPr>
      </w:pPr>
      <w:bookmarkStart w:id="3626" w:name="_Toc523697933"/>
      <w:bookmarkStart w:id="3627" w:name="_Toc523735708"/>
      <w:bookmarkStart w:id="3628" w:name="_Toc526248950"/>
      <w:bookmarkStart w:id="3629" w:name="_Toc526409485"/>
      <w:bookmarkStart w:id="3630" w:name="_Toc526939136"/>
      <w:bookmarkStart w:id="3631" w:name="_Toc527060252"/>
      <w:bookmarkStart w:id="3632" w:name="_Toc527060400"/>
      <w:bookmarkStart w:id="3633" w:name="_Toc527100777"/>
      <w:bookmarkStart w:id="3634" w:name="_Toc528227033"/>
      <w:bookmarkStart w:id="3635" w:name="_Toc528227197"/>
      <w:bookmarkStart w:id="3636" w:name="_Toc528227359"/>
      <w:bookmarkStart w:id="3637" w:name="_Toc19389445"/>
      <w:bookmarkStart w:id="3638" w:name="_Toc19392942"/>
      <w:bookmarkStart w:id="3639" w:name="_Toc523397206"/>
      <w:bookmarkStart w:id="3640" w:name="_Toc523490315"/>
      <w:r w:rsidRPr="00644B20">
        <w:rPr>
          <w:rFonts w:hint="cs"/>
          <w:rtl/>
        </w:rPr>
        <w:t>ביאור הפנ"י ברבינו יונה ד</w:t>
      </w:r>
      <w:bookmarkEnd w:id="3626"/>
      <w:r>
        <w:rPr>
          <w:rFonts w:hint="cs"/>
          <w:rtl/>
        </w:rPr>
        <w:t>בפגום לפניך הוי תרת"ל וחשיב שלא נודע במה נשחטה</w:t>
      </w:r>
      <w:bookmarkEnd w:id="3627"/>
      <w:bookmarkEnd w:id="3628"/>
      <w:bookmarkEnd w:id="3629"/>
      <w:bookmarkEnd w:id="3630"/>
      <w:bookmarkEnd w:id="3631"/>
      <w:bookmarkEnd w:id="3632"/>
      <w:bookmarkEnd w:id="3633"/>
      <w:bookmarkEnd w:id="3634"/>
      <w:bookmarkEnd w:id="3635"/>
      <w:bookmarkEnd w:id="3636"/>
      <w:bookmarkEnd w:id="3637"/>
      <w:bookmarkEnd w:id="3638"/>
    </w:p>
    <w:p w14:paraId="50B8F720" w14:textId="77777777" w:rsidR="00FC47D4" w:rsidRDefault="00FC47D4" w:rsidP="00223668">
      <w:pPr>
        <w:pStyle w:val="a0"/>
        <w:rPr>
          <w:rtl/>
        </w:rPr>
      </w:pPr>
      <w:bookmarkStart w:id="3641" w:name="_Ref523427735"/>
      <w:r>
        <w:rPr>
          <w:rFonts w:hint="cs"/>
          <w:rtl/>
        </w:rPr>
        <w:t xml:space="preserve">וכתב </w:t>
      </w:r>
      <w:r w:rsidRPr="00912604">
        <w:rPr>
          <w:rStyle w:val="af9"/>
          <w:rFonts w:hint="cs"/>
          <w:rtl/>
        </w:rPr>
        <w:t>הפנ"י</w:t>
      </w:r>
      <w:r>
        <w:rPr>
          <w:rFonts w:hint="cs"/>
          <w:rtl/>
        </w:rPr>
        <w:t xml:space="preserve"> דלדעת </w:t>
      </w:r>
      <w:r w:rsidRPr="00644B20">
        <w:rPr>
          <w:rStyle w:val="af9"/>
          <w:rFonts w:hint="cs"/>
          <w:rtl/>
        </w:rPr>
        <w:t>רבינו יונה</w:t>
      </w:r>
      <w:r w:rsidRPr="00644B20">
        <w:rPr>
          <w:rFonts w:hint="cs"/>
          <w:rtl/>
        </w:rPr>
        <w:t xml:space="preserve"> </w:t>
      </w:r>
      <w:r>
        <w:rPr>
          <w:rFonts w:hint="cs"/>
          <w:rtl/>
        </w:rPr>
        <w:t>היכא דאבד הסכין חשיב שנודע במה נשחטה, ו</w:t>
      </w:r>
      <w:r w:rsidRPr="00644B20">
        <w:rPr>
          <w:rFonts w:hint="cs"/>
          <w:rtl/>
        </w:rPr>
        <w:t xml:space="preserve">רק במקום שנמצאת הסכין פגומה מעמידים בחזקת איסור, </w:t>
      </w:r>
      <w:r>
        <w:rPr>
          <w:rFonts w:hint="cs"/>
          <w:rtl/>
        </w:rPr>
        <w:t>ד</w:t>
      </w:r>
      <w:r w:rsidRPr="00644B20">
        <w:rPr>
          <w:rFonts w:hint="cs"/>
          <w:rtl/>
        </w:rPr>
        <w:t xml:space="preserve">כיון </w:t>
      </w:r>
      <w:r>
        <w:rPr>
          <w:rFonts w:hint="cs"/>
          <w:rtl/>
        </w:rPr>
        <w:t>דהסכין פגום לפניך</w:t>
      </w:r>
      <w:r w:rsidRPr="00644B20">
        <w:rPr>
          <w:rFonts w:hint="cs"/>
          <w:rtl/>
        </w:rPr>
        <w:t xml:space="preserve">, ועור ג"כ פוגם </w:t>
      </w:r>
      <w:r>
        <w:rPr>
          <w:rFonts w:hint="cs"/>
          <w:rtl/>
        </w:rPr>
        <w:t>והוי כתרתי לריעותא</w:t>
      </w:r>
      <w:r w:rsidRPr="00644B20">
        <w:rPr>
          <w:rFonts w:hint="cs"/>
          <w:rtl/>
        </w:rPr>
        <w:t>, חשיב שלא נודע</w:t>
      </w:r>
      <w:r>
        <w:rPr>
          <w:rFonts w:hint="cs"/>
          <w:rtl/>
        </w:rPr>
        <w:t xml:space="preserve"> במה נשחטה, דהתברר למפרע שהייתה ריעותא בחזקת הסכין, דחיישינן שהעור פגמה</w:t>
      </w:r>
      <w:r w:rsidRPr="00644B20">
        <w:rPr>
          <w:rStyle w:val="af9"/>
          <w:rFonts w:hint="cs"/>
          <w:rtl/>
        </w:rPr>
        <w:t xml:space="preserve">, </w:t>
      </w:r>
      <w:r w:rsidRPr="00644B20">
        <w:rPr>
          <w:rFonts w:hint="cs"/>
          <w:rtl/>
        </w:rPr>
        <w:t>וע"ע</w:t>
      </w:r>
      <w:r w:rsidRPr="00644B20">
        <w:rPr>
          <w:rStyle w:val="af9"/>
          <w:rFonts w:hint="cs"/>
          <w:rtl/>
        </w:rPr>
        <w:t xml:space="preserve"> בפנ"י</w:t>
      </w:r>
      <w:r w:rsidRPr="00644B20">
        <w:rPr>
          <w:rFonts w:hint="cs"/>
          <w:rtl/>
        </w:rPr>
        <w:t xml:space="preserve"> </w:t>
      </w:r>
      <w:r w:rsidRPr="00B01CA3">
        <w:rPr>
          <w:rStyle w:val="af7"/>
          <w:rFonts w:eastAsia="Guttman Hodes" w:hint="cs"/>
          <w:rtl/>
        </w:rPr>
        <w:t>(ד"ה מתיב רבא)</w:t>
      </w:r>
      <w:r w:rsidRPr="00644B20">
        <w:rPr>
          <w:rFonts w:hint="cs"/>
          <w:rtl/>
        </w:rPr>
        <w:t xml:space="preserve"> במה שהאריך בביאור דברי </w:t>
      </w:r>
      <w:r w:rsidRPr="00644B20">
        <w:rPr>
          <w:rStyle w:val="af9"/>
          <w:rFonts w:hint="cs"/>
          <w:rtl/>
        </w:rPr>
        <w:t>הרשב"א ורבינו יונה</w:t>
      </w:r>
      <w:r w:rsidRPr="00644B20">
        <w:rPr>
          <w:rFonts w:hint="cs"/>
          <w:rtl/>
        </w:rPr>
        <w:t>.</w:t>
      </w:r>
      <w:bookmarkEnd w:id="3641"/>
    </w:p>
    <w:p w14:paraId="62ED6B7A" w14:textId="77777777" w:rsidR="00347B2D" w:rsidRPr="00347B2D" w:rsidRDefault="00347B2D" w:rsidP="00347B2D">
      <w:pPr>
        <w:pStyle w:val="a3"/>
        <w:rPr>
          <w:rtl/>
        </w:rPr>
      </w:pPr>
    </w:p>
    <w:p w14:paraId="494113E4" w14:textId="77777777" w:rsidR="00347B2D" w:rsidRPr="00347B2D" w:rsidRDefault="00347B2D" w:rsidP="00347B2D">
      <w:pPr>
        <w:pStyle w:val="a3"/>
        <w:rPr>
          <w:rtl/>
        </w:rPr>
      </w:pPr>
    </w:p>
    <w:p w14:paraId="60A4F33C" w14:textId="77777777" w:rsidR="00FC47D4" w:rsidRDefault="00FC47D4" w:rsidP="00BF39B2">
      <w:pPr>
        <w:pStyle w:val="1"/>
        <w:rPr>
          <w:rtl/>
        </w:rPr>
      </w:pPr>
      <w:bookmarkStart w:id="3642" w:name="_Toc523697934"/>
      <w:bookmarkStart w:id="3643" w:name="_Toc523735709"/>
      <w:bookmarkStart w:id="3644" w:name="_Toc526248951"/>
      <w:bookmarkStart w:id="3645" w:name="_Toc526409486"/>
      <w:bookmarkStart w:id="3646" w:name="_Toc526939137"/>
      <w:bookmarkStart w:id="3647" w:name="_Toc527060253"/>
      <w:bookmarkStart w:id="3648" w:name="_Toc527060401"/>
      <w:bookmarkStart w:id="3649" w:name="_Toc527100778"/>
      <w:bookmarkStart w:id="3650" w:name="_Toc528227034"/>
      <w:bookmarkStart w:id="3651" w:name="_Toc528227198"/>
      <w:bookmarkStart w:id="3652" w:name="_Toc528227360"/>
      <w:bookmarkStart w:id="3653" w:name="_Toc19389446"/>
      <w:bookmarkStart w:id="3654" w:name="_Toc19392943"/>
      <w:r>
        <w:rPr>
          <w:rFonts w:hint="cs"/>
          <w:rtl/>
        </w:rPr>
        <w:t>ביאור</w:t>
      </w:r>
      <w:r w:rsidRPr="00912604">
        <w:rPr>
          <w:rFonts w:hint="cs"/>
          <w:rtl/>
        </w:rPr>
        <w:t xml:space="preserve"> הראש יוסף דבאבד </w:t>
      </w:r>
      <w:r>
        <w:rPr>
          <w:rFonts w:hint="cs"/>
          <w:rtl/>
        </w:rPr>
        <w:t>ד</w:t>
      </w:r>
      <w:r w:rsidRPr="00912604">
        <w:rPr>
          <w:rFonts w:hint="cs"/>
          <w:rtl/>
        </w:rPr>
        <w:t>שחוטה לפניך</w:t>
      </w:r>
      <w:bookmarkEnd w:id="3642"/>
      <w:r>
        <w:rPr>
          <w:rFonts w:hint="cs"/>
          <w:rtl/>
        </w:rPr>
        <w:t xml:space="preserve"> איתרע החזקת איסור</w:t>
      </w:r>
      <w:bookmarkEnd w:id="3643"/>
      <w:bookmarkEnd w:id="3644"/>
      <w:bookmarkEnd w:id="3645"/>
      <w:bookmarkEnd w:id="3646"/>
      <w:bookmarkEnd w:id="3647"/>
      <w:bookmarkEnd w:id="3648"/>
      <w:bookmarkEnd w:id="3649"/>
      <w:bookmarkEnd w:id="3650"/>
      <w:bookmarkEnd w:id="3651"/>
      <w:bookmarkEnd w:id="3652"/>
      <w:bookmarkEnd w:id="3653"/>
      <w:bookmarkEnd w:id="3654"/>
    </w:p>
    <w:p w14:paraId="331423BB" w14:textId="77777777" w:rsidR="00FC47D4" w:rsidRDefault="00FC47D4" w:rsidP="006D6D32">
      <w:pPr>
        <w:pStyle w:val="a3"/>
        <w:rPr>
          <w:rtl/>
        </w:rPr>
      </w:pPr>
      <w:bookmarkStart w:id="3655" w:name="_Toc523697935"/>
      <w:bookmarkStart w:id="3656" w:name="_Toc523735710"/>
      <w:bookmarkStart w:id="3657" w:name="_Toc526248952"/>
      <w:bookmarkStart w:id="3658" w:name="_Toc526409487"/>
      <w:bookmarkStart w:id="3659" w:name="_Toc526939138"/>
      <w:bookmarkStart w:id="3660" w:name="_Toc527060254"/>
      <w:bookmarkStart w:id="3661" w:name="_Toc527060402"/>
      <w:bookmarkStart w:id="3662" w:name="_Toc527100779"/>
      <w:bookmarkStart w:id="3663" w:name="_Toc528227035"/>
      <w:bookmarkStart w:id="3664" w:name="_Toc528227199"/>
      <w:bookmarkStart w:id="3665" w:name="_Toc528227361"/>
      <w:bookmarkStart w:id="3666" w:name="_Toc19389447"/>
      <w:bookmarkStart w:id="3667" w:name="_Toc19392944"/>
      <w:r>
        <w:rPr>
          <w:rFonts w:hint="cs"/>
          <w:rtl/>
        </w:rPr>
        <w:t>ביאור הראש יוסף  דהחזקת איסור איתרע כיון דשחוטה לפניך ואזלינן בתר חזקת הסכין</w:t>
      </w:r>
      <w:bookmarkEnd w:id="3639"/>
      <w:bookmarkEnd w:id="3640"/>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26AB9C18" w14:textId="77777777" w:rsidR="00FC47D4" w:rsidRDefault="00FC47D4" w:rsidP="00223668">
      <w:pPr>
        <w:pStyle w:val="a0"/>
        <w:rPr>
          <w:rStyle w:val="afb"/>
          <w:rtl/>
        </w:rPr>
      </w:pPr>
      <w:bookmarkStart w:id="3668" w:name="_Ref527231293"/>
      <w:r w:rsidRPr="00917D88">
        <w:rPr>
          <w:rStyle w:val="af9"/>
          <w:rFonts w:hint="cs"/>
          <w:rtl/>
        </w:rPr>
        <w:t>והראש יוסף</w:t>
      </w:r>
      <w:r>
        <w:rPr>
          <w:rFonts w:hint="cs"/>
          <w:rtl/>
        </w:rPr>
        <w:t xml:space="preserve"> </w:t>
      </w:r>
      <w:r w:rsidRPr="00917D88">
        <w:rPr>
          <w:rStyle w:val="af7"/>
          <w:rFonts w:eastAsia="Guttman Hodes" w:hint="cs"/>
          <w:rtl/>
        </w:rPr>
        <w:t>(ד"ה איתמר)</w:t>
      </w:r>
      <w:r>
        <w:rPr>
          <w:rFonts w:hint="cs"/>
          <w:rtl/>
        </w:rPr>
        <w:t xml:space="preserve"> הביא את דברי </w:t>
      </w:r>
      <w:r w:rsidRPr="00917D88">
        <w:rPr>
          <w:rStyle w:val="af9"/>
          <w:rFonts w:hint="cs"/>
          <w:rtl/>
        </w:rPr>
        <w:t>הרא"ש</w:t>
      </w:r>
      <w:r>
        <w:rPr>
          <w:rStyle w:val="af9"/>
          <w:rFonts w:hint="cs"/>
          <w:rtl/>
        </w:rPr>
        <w:t xml:space="preserve"> </w:t>
      </w:r>
      <w:r>
        <w:rPr>
          <w:rFonts w:hint="cs"/>
          <w:rtl/>
        </w:rPr>
        <w:t xml:space="preserve">דחשיב שנשחטה כראוי, והוסיף </w:t>
      </w:r>
      <w:r w:rsidRPr="00917D88">
        <w:rPr>
          <w:rStyle w:val="af9"/>
          <w:rFonts w:hint="cs"/>
          <w:rtl/>
        </w:rPr>
        <w:t>הראש יוסף</w:t>
      </w:r>
      <w:r>
        <w:rPr>
          <w:rFonts w:hint="cs"/>
          <w:rtl/>
        </w:rPr>
        <w:t xml:space="preserve"> דעוד אפשר לבאר [בדעת </w:t>
      </w:r>
      <w:r w:rsidRPr="00912604">
        <w:rPr>
          <w:rStyle w:val="af9"/>
          <w:rFonts w:hint="cs"/>
          <w:rtl/>
        </w:rPr>
        <w:t>הרא"ש ורבינו יונה</w:t>
      </w:r>
      <w:r>
        <w:rPr>
          <w:rFonts w:hint="cs"/>
          <w:rtl/>
        </w:rPr>
        <w:t xml:space="preserve">] דאף שהבהמה בחזקת איסור, מ"מ כיון דשחוטה לפניך איתרע החזקת איסור, ולכן אזלינן בתר </w:t>
      </w:r>
      <w:r w:rsidRPr="004D14C8">
        <w:rPr>
          <w:rFonts w:hint="cs"/>
          <w:rtl/>
        </w:rPr>
        <w:t xml:space="preserve">החזקת בדוק של הסכין, וכתב </w:t>
      </w:r>
      <w:r w:rsidRPr="004D14C8">
        <w:rPr>
          <w:rStyle w:val="af9"/>
          <w:rFonts w:hint="cs"/>
          <w:rtl/>
        </w:rPr>
        <w:t>הראש יוסף</w:t>
      </w:r>
      <w:r w:rsidRPr="004D14C8">
        <w:rPr>
          <w:rFonts w:hint="cs"/>
          <w:rtl/>
        </w:rPr>
        <w:t xml:space="preserve"> דאם לא היה ריעותא בחזקת איסור, היה סתירה בין החזקת איסור דאינו זבוח, לחזקת הסכין, והוי ספק השקול ואסורה. </w:t>
      </w:r>
      <w:r w:rsidRPr="004D14C8">
        <w:rPr>
          <w:rStyle w:val="afb"/>
          <w:rFonts w:hint="cs"/>
          <w:rtl/>
        </w:rPr>
        <w:t xml:space="preserve">[וע"ע בדברי </w:t>
      </w:r>
      <w:r w:rsidRPr="004D14C8">
        <w:rPr>
          <w:rStyle w:val="affa"/>
          <w:rFonts w:hint="cs"/>
          <w:rtl/>
        </w:rPr>
        <w:t>הרשב"א</w:t>
      </w:r>
      <w:r w:rsidRPr="004D14C8">
        <w:rPr>
          <w:rStyle w:val="afb"/>
          <w:rFonts w:hint="cs"/>
          <w:rtl/>
        </w:rPr>
        <w:t xml:space="preserve"> </w:t>
      </w:r>
      <w:r w:rsidRPr="002E477D">
        <w:rPr>
          <w:rStyle w:val="aff6"/>
          <w:rFonts w:hint="cs"/>
          <w:rtl/>
        </w:rPr>
        <w:t>(</w:t>
      </w:r>
      <w:r w:rsidRPr="00D462D8">
        <w:rPr>
          <w:rStyle w:val="aff6"/>
          <w:rtl/>
        </w:rPr>
        <w:t>ד"ה הכא נמי)</w:t>
      </w:r>
      <w:r w:rsidRPr="00D462D8">
        <w:rPr>
          <w:rStyle w:val="aff6"/>
          <w:rFonts w:hint="cs"/>
          <w:rtl/>
        </w:rPr>
        <w:t>]</w:t>
      </w:r>
      <w:r w:rsidRPr="004D14C8">
        <w:rPr>
          <w:rStyle w:val="afb"/>
          <w:rFonts w:hint="cs"/>
          <w:rtl/>
        </w:rPr>
        <w:t xml:space="preserve"> דכתב דיש ספק ספיקא].</w:t>
      </w:r>
      <w:bookmarkEnd w:id="3668"/>
    </w:p>
    <w:p w14:paraId="2090126C" w14:textId="77777777" w:rsidR="00FC47D4" w:rsidRDefault="00FC47D4" w:rsidP="00BF39B2">
      <w:pPr>
        <w:pStyle w:val="1"/>
        <w:rPr>
          <w:rtl/>
        </w:rPr>
      </w:pPr>
      <w:bookmarkStart w:id="3669" w:name="_Toc526409488"/>
      <w:bookmarkStart w:id="3670" w:name="_Toc526939139"/>
      <w:bookmarkStart w:id="3671" w:name="_Toc527060255"/>
      <w:bookmarkStart w:id="3672" w:name="_Toc527060403"/>
      <w:bookmarkStart w:id="3673" w:name="_Toc527100780"/>
      <w:bookmarkStart w:id="3674" w:name="_Toc528227036"/>
      <w:bookmarkStart w:id="3675" w:name="_Toc528227200"/>
      <w:bookmarkStart w:id="3676" w:name="_Toc528227362"/>
      <w:bookmarkStart w:id="3677" w:name="_Toc19389448"/>
      <w:bookmarkStart w:id="3678" w:name="_Toc19392945"/>
      <w:r>
        <w:rPr>
          <w:rFonts w:hint="cs"/>
          <w:rtl/>
        </w:rPr>
        <w:t>ראיות שהביא הרשב"א לדעת רבינו יונה</w:t>
      </w:r>
      <w:bookmarkEnd w:id="3608"/>
      <w:bookmarkEnd w:id="3609"/>
      <w:bookmarkEnd w:id="3610"/>
      <w:bookmarkEnd w:id="3611"/>
      <w:bookmarkEnd w:id="3612"/>
      <w:bookmarkEnd w:id="3669"/>
      <w:bookmarkEnd w:id="3670"/>
      <w:bookmarkEnd w:id="3671"/>
      <w:bookmarkEnd w:id="3672"/>
      <w:bookmarkEnd w:id="3673"/>
      <w:bookmarkEnd w:id="3674"/>
      <w:bookmarkEnd w:id="3675"/>
      <w:bookmarkEnd w:id="3676"/>
      <w:bookmarkEnd w:id="3677"/>
      <w:bookmarkEnd w:id="3678"/>
    </w:p>
    <w:p w14:paraId="521F7A92" w14:textId="77777777" w:rsidR="00FC47D4" w:rsidRPr="00201F50" w:rsidRDefault="00FC47D4" w:rsidP="006D6D32">
      <w:pPr>
        <w:pStyle w:val="a3"/>
        <w:rPr>
          <w:rtl/>
        </w:rPr>
      </w:pPr>
      <w:bookmarkStart w:id="3679" w:name="_Toc523490334"/>
      <w:bookmarkStart w:id="3680" w:name="_Toc523697955"/>
      <w:bookmarkStart w:id="3681" w:name="_Toc523735730"/>
      <w:bookmarkStart w:id="3682" w:name="_Toc526248982"/>
      <w:bookmarkStart w:id="3683" w:name="_Toc526409489"/>
      <w:bookmarkStart w:id="3684" w:name="_Toc526939140"/>
      <w:bookmarkStart w:id="3685" w:name="_Toc527060256"/>
      <w:bookmarkStart w:id="3686" w:name="_Toc527060404"/>
      <w:bookmarkStart w:id="3687" w:name="_Toc527100781"/>
      <w:bookmarkStart w:id="3688" w:name="_Toc528227037"/>
      <w:bookmarkStart w:id="3689" w:name="_Toc528227201"/>
      <w:bookmarkStart w:id="3690" w:name="_Toc528227363"/>
      <w:bookmarkStart w:id="3691" w:name="_Toc19389449"/>
      <w:bookmarkStart w:id="3692" w:name="_Toc19392946"/>
      <w:r>
        <w:rPr>
          <w:rFonts w:hint="cs"/>
          <w:rtl/>
        </w:rPr>
        <w:t>הוכחת הרשב"א דהבדיקה אחר השחיטה אינה מדינא מהא דמותר למסור סכין בדוק למומר</w:t>
      </w:r>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r>
        <w:rPr>
          <w:rFonts w:hint="cs"/>
          <w:rtl/>
        </w:rPr>
        <w:t xml:space="preserve"> </w:t>
      </w:r>
    </w:p>
    <w:p w14:paraId="1CAE1BDE" w14:textId="77777777" w:rsidR="00FC47D4" w:rsidRDefault="00FC47D4" w:rsidP="00223668">
      <w:pPr>
        <w:pStyle w:val="a0"/>
        <w:rPr>
          <w:rtl/>
        </w:rPr>
      </w:pPr>
      <w:bookmarkStart w:id="3693" w:name="_Ref523245826"/>
      <w:r>
        <w:rPr>
          <w:rFonts w:hint="cs"/>
          <w:rtl/>
        </w:rPr>
        <w:t xml:space="preserve">הביא </w:t>
      </w:r>
      <w:r w:rsidRPr="00037CD3">
        <w:rPr>
          <w:rStyle w:val="af9"/>
          <w:rFonts w:hint="cs"/>
          <w:rtl/>
        </w:rPr>
        <w:t>הרשב"א</w:t>
      </w:r>
      <w:r>
        <w:rPr>
          <w:rStyle w:val="af9"/>
          <w:rFonts w:hint="cs"/>
          <w:rtl/>
        </w:rPr>
        <w:t xml:space="preserve"> בחי' </w:t>
      </w:r>
      <w:r w:rsidRPr="00C07D5C">
        <w:rPr>
          <w:rStyle w:val="af7"/>
          <w:rFonts w:eastAsia="Guttman Hodes" w:hint="cs"/>
          <w:rtl/>
        </w:rPr>
        <w:t xml:space="preserve">(ד"ה השוחט) </w:t>
      </w:r>
      <w:r>
        <w:rPr>
          <w:rStyle w:val="af9"/>
          <w:rFonts w:hint="cs"/>
          <w:rtl/>
        </w:rPr>
        <w:t xml:space="preserve">ובתוה"ב </w:t>
      </w:r>
      <w:r w:rsidRPr="00D074DD">
        <w:rPr>
          <w:rStyle w:val="af7"/>
          <w:rFonts w:eastAsia="Guttman Hodes" w:hint="cs"/>
          <w:rtl/>
        </w:rPr>
        <w:t>(</w:t>
      </w:r>
      <w:r>
        <w:rPr>
          <w:rStyle w:val="af7"/>
          <w:rFonts w:eastAsia="Guttman Hodes" w:hint="cs"/>
          <w:rtl/>
        </w:rPr>
        <w:t>ב</w:t>
      </w:r>
      <w:r>
        <w:rPr>
          <w:rStyle w:val="af7"/>
          <w:rFonts w:eastAsia="Guttman Hodes"/>
          <w:rtl/>
        </w:rPr>
        <w:t>"</w:t>
      </w:r>
      <w:r>
        <w:rPr>
          <w:rStyle w:val="af7"/>
          <w:rFonts w:eastAsia="Guttman Hodes" w:hint="cs"/>
          <w:rtl/>
        </w:rPr>
        <w:t>א</w:t>
      </w:r>
      <w:r w:rsidRPr="00D074DD">
        <w:rPr>
          <w:rStyle w:val="af7"/>
          <w:rFonts w:eastAsia="Guttman Hodes" w:hint="cs"/>
          <w:rtl/>
        </w:rPr>
        <w:t xml:space="preserve"> </w:t>
      </w:r>
      <w:r>
        <w:rPr>
          <w:rStyle w:val="af7"/>
          <w:rFonts w:eastAsia="Guttman Hodes" w:hint="cs"/>
          <w:rtl/>
        </w:rPr>
        <w:t>ש</w:t>
      </w:r>
      <w:r>
        <w:rPr>
          <w:rStyle w:val="af7"/>
          <w:rFonts w:eastAsia="Guttman Hodes"/>
          <w:rtl/>
        </w:rPr>
        <w:t>"</w:t>
      </w:r>
      <w:r>
        <w:rPr>
          <w:rStyle w:val="af7"/>
          <w:rFonts w:eastAsia="Guttman Hodes" w:hint="cs"/>
          <w:rtl/>
        </w:rPr>
        <w:t>א</w:t>
      </w:r>
      <w:r w:rsidRPr="00D074DD">
        <w:rPr>
          <w:rStyle w:val="af7"/>
          <w:rFonts w:eastAsia="Guttman Hodes" w:hint="cs"/>
          <w:rtl/>
        </w:rPr>
        <w:t xml:space="preserve"> דף ה.</w:t>
      </w:r>
      <w:r>
        <w:rPr>
          <w:rStyle w:val="af7"/>
          <w:rFonts w:eastAsia="Guttman Hodes" w:hint="cs"/>
          <w:rtl/>
        </w:rPr>
        <w:t xml:space="preserve"> מדה"ס</w:t>
      </w:r>
      <w:r w:rsidRPr="00D074DD">
        <w:rPr>
          <w:rStyle w:val="af7"/>
          <w:rFonts w:eastAsia="Guttman Hodes" w:hint="cs"/>
          <w:rtl/>
        </w:rPr>
        <w:t xml:space="preserve">) </w:t>
      </w:r>
      <w:r>
        <w:rPr>
          <w:rFonts w:hint="cs"/>
          <w:rtl/>
        </w:rPr>
        <w:t xml:space="preserve">ראיה לדברי </w:t>
      </w:r>
      <w:r w:rsidRPr="00C07D5C">
        <w:rPr>
          <w:rStyle w:val="af9"/>
          <w:rFonts w:hint="cs"/>
          <w:rtl/>
        </w:rPr>
        <w:t>רב</w:t>
      </w:r>
      <w:r>
        <w:rPr>
          <w:rStyle w:val="af9"/>
          <w:rFonts w:hint="cs"/>
          <w:rtl/>
        </w:rPr>
        <w:t>ינו יונה</w:t>
      </w:r>
      <w:r>
        <w:rPr>
          <w:rFonts w:hint="cs"/>
          <w:rtl/>
        </w:rPr>
        <w:t xml:space="preserve"> דמכשיר באבד הסכין, מהגמ' לעיל </w:t>
      </w:r>
      <w:r w:rsidRPr="00037CD3">
        <w:rPr>
          <w:rStyle w:val="af7"/>
          <w:rFonts w:eastAsia="Guttman Hodes" w:hint="cs"/>
          <w:rtl/>
        </w:rPr>
        <w:t>(ג.)</w:t>
      </w:r>
      <w:r>
        <w:rPr>
          <w:rFonts w:hint="cs"/>
          <w:rtl/>
        </w:rPr>
        <w:t xml:space="preserve"> דהעמידה את המשנה שבדק סכין ונתן למומר, אבל </w:t>
      </w:r>
      <w:r w:rsidRPr="0010694B">
        <w:rPr>
          <w:rFonts w:hint="cs"/>
          <w:rtl/>
        </w:rPr>
        <w:t>אם לא בדק לא ישחוט, ואם שחט בודק את הסכין אחר השחיט</w:t>
      </w:r>
      <w:r>
        <w:rPr>
          <w:rFonts w:hint="cs"/>
          <w:rtl/>
        </w:rPr>
        <w:t>ה</w:t>
      </w:r>
      <w:r w:rsidRPr="0010694B">
        <w:rPr>
          <w:rFonts w:hint="cs"/>
          <w:rtl/>
        </w:rPr>
        <w:t xml:space="preserve">, ואי לרב הונא צריך לבדוק מדינא אף לאחר השחיטה, היאך מותר לבדוק לפני השחיטה ולתת לו לשחוט בלא בדיקה לאחר השחיטה. ועוד למה צריך לבדוק לפני השחיטה, הרי בבדיקה דאחר השחיטה סגי, וכתב </w:t>
      </w:r>
      <w:r w:rsidRPr="0010694B">
        <w:rPr>
          <w:rStyle w:val="af9"/>
          <w:rFonts w:hint="cs"/>
          <w:rtl/>
        </w:rPr>
        <w:t>הרשב"א</w:t>
      </w:r>
      <w:r w:rsidRPr="0010694B">
        <w:rPr>
          <w:rFonts w:hint="cs"/>
          <w:rtl/>
        </w:rPr>
        <w:t xml:space="preserve"> דמוכח מזה כדברי </w:t>
      </w:r>
      <w:r w:rsidRPr="0010694B">
        <w:rPr>
          <w:rStyle w:val="af9"/>
          <w:rFonts w:hint="cs"/>
          <w:rtl/>
        </w:rPr>
        <w:t>רבינו יונה</w:t>
      </w:r>
      <w:r w:rsidRPr="0010694B">
        <w:rPr>
          <w:rFonts w:hint="cs"/>
          <w:rtl/>
        </w:rPr>
        <w:t xml:space="preserve"> דהבדיקה דאחר השחיטה היא רק לכתחילה, אם הסכין לפנינו, אבל כשהסכין אינה לפנינו השחיטה כשרה אף בלא בדק אחר השחיטה, דמעמידים את הסכין בחזקתה.</w:t>
      </w:r>
      <w:bookmarkEnd w:id="3693"/>
    </w:p>
    <w:p w14:paraId="5E6FCB8B" w14:textId="77777777" w:rsidR="00FC47D4" w:rsidRPr="0010694B" w:rsidRDefault="00FC47D4" w:rsidP="006D6D32">
      <w:pPr>
        <w:pStyle w:val="a3"/>
        <w:rPr>
          <w:rtl/>
        </w:rPr>
      </w:pPr>
      <w:bookmarkStart w:id="3694" w:name="_Toc523490335"/>
      <w:bookmarkStart w:id="3695" w:name="_Toc523697956"/>
      <w:bookmarkStart w:id="3696" w:name="_Toc523735731"/>
      <w:bookmarkStart w:id="3697" w:name="_Toc526248983"/>
      <w:bookmarkStart w:id="3698" w:name="_Toc526409490"/>
      <w:bookmarkStart w:id="3699" w:name="_Toc526939141"/>
      <w:bookmarkStart w:id="3700" w:name="_Toc527060257"/>
      <w:bookmarkStart w:id="3701" w:name="_Toc527060405"/>
      <w:bookmarkStart w:id="3702" w:name="_Toc527100782"/>
      <w:bookmarkStart w:id="3703" w:name="_Toc528227038"/>
      <w:bookmarkStart w:id="3704" w:name="_Toc528227202"/>
      <w:bookmarkStart w:id="3705" w:name="_Toc528227364"/>
      <w:bookmarkStart w:id="3706" w:name="_Toc19389450"/>
      <w:bookmarkStart w:id="3707" w:name="_Toc19392947"/>
      <w:r w:rsidRPr="0010694B">
        <w:rPr>
          <w:rFonts w:hint="cs"/>
          <w:rtl/>
        </w:rPr>
        <w:t>דחיית הרשב"א דהגמ' במומר כרב חסדא דודאי דקיי"ל כוותיה באבד הסכין</w:t>
      </w:r>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p>
    <w:p w14:paraId="01E080AC" w14:textId="77777777" w:rsidR="00FC47D4" w:rsidRPr="0010694B" w:rsidRDefault="00FC47D4" w:rsidP="00223668">
      <w:pPr>
        <w:pStyle w:val="a0"/>
        <w:rPr>
          <w:rtl/>
        </w:rPr>
      </w:pPr>
      <w:r w:rsidRPr="0010694B">
        <w:rPr>
          <w:rFonts w:hint="cs"/>
          <w:rtl/>
        </w:rPr>
        <w:t xml:space="preserve">אך כתב </w:t>
      </w:r>
      <w:r w:rsidRPr="0010694B">
        <w:rPr>
          <w:rStyle w:val="af9"/>
          <w:rFonts w:hint="cs"/>
          <w:rtl/>
        </w:rPr>
        <w:t>הרשב"א בחי'</w:t>
      </w:r>
      <w:r w:rsidRPr="0010694B">
        <w:rPr>
          <w:rFonts w:hint="cs"/>
          <w:rtl/>
        </w:rPr>
        <w:t xml:space="preserve"> דאפשר לדחות את הראיה, ולומר דרבא שהעמיד כן את המשנה לעיל, ס"ל כרב חסדא ולא כרב הונא, דהא קיי"ל כרב חסדא בשיבר בה עצמות, אף שיש ריעותא לפנינו דהסכין פגומה, וא"כ כ"ש דקיי"ל כרב חסדא כשאבדה הסכין ואין כל ריעותא.</w:t>
      </w:r>
    </w:p>
    <w:p w14:paraId="1CB4EC8D" w14:textId="77777777" w:rsidR="00FC47D4" w:rsidRPr="0010694B" w:rsidRDefault="00FC47D4" w:rsidP="006D6D32">
      <w:pPr>
        <w:pStyle w:val="a3"/>
        <w:rPr>
          <w:rtl/>
        </w:rPr>
      </w:pPr>
      <w:bookmarkStart w:id="3708" w:name="_Toc523490336"/>
      <w:bookmarkStart w:id="3709" w:name="_Toc523697957"/>
      <w:bookmarkStart w:id="3710" w:name="_Toc523735732"/>
      <w:bookmarkStart w:id="3711" w:name="_Toc526248984"/>
      <w:bookmarkStart w:id="3712" w:name="_Toc526409491"/>
      <w:bookmarkStart w:id="3713" w:name="_Toc526939142"/>
      <w:bookmarkStart w:id="3714" w:name="_Toc527060258"/>
      <w:bookmarkStart w:id="3715" w:name="_Toc527060406"/>
      <w:bookmarkStart w:id="3716" w:name="_Toc527100783"/>
      <w:bookmarkStart w:id="3717" w:name="_Toc528227039"/>
      <w:bookmarkStart w:id="3718" w:name="_Toc528227203"/>
      <w:bookmarkStart w:id="3719" w:name="_Toc528227365"/>
      <w:bookmarkStart w:id="3720" w:name="_Toc19389451"/>
      <w:bookmarkStart w:id="3721" w:name="_Toc19392948"/>
      <w:r w:rsidRPr="0010694B">
        <w:rPr>
          <w:rFonts w:hint="cs"/>
          <w:rtl/>
        </w:rPr>
        <w:t>קושית הרשב"א דלרמב"ן היה לרב הונא לומר שבאבד הסכין אסור וכ"ש בנמצא פגום</w:t>
      </w:r>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p>
    <w:p w14:paraId="63E39B30" w14:textId="77777777" w:rsidR="00FC47D4" w:rsidRPr="0010694B" w:rsidRDefault="00FC47D4" w:rsidP="00223668">
      <w:pPr>
        <w:pStyle w:val="a0"/>
        <w:rPr>
          <w:rtl/>
        </w:rPr>
      </w:pPr>
      <w:bookmarkStart w:id="3722" w:name="_Ref523414442"/>
      <w:r w:rsidRPr="0010694B">
        <w:rPr>
          <w:rStyle w:val="af9"/>
          <w:rFonts w:hint="cs"/>
          <w:rtl/>
        </w:rPr>
        <w:t>והרשב"א במשה"ב</w:t>
      </w:r>
      <w:r w:rsidRPr="0010694B">
        <w:rPr>
          <w:rFonts w:hint="cs"/>
          <w:rtl/>
        </w:rPr>
        <w:t xml:space="preserve"> </w:t>
      </w:r>
      <w:r w:rsidRPr="0010694B">
        <w:rPr>
          <w:rStyle w:val="af7"/>
          <w:rFonts w:eastAsia="Guttman Hodes" w:hint="cs"/>
          <w:rtl/>
        </w:rPr>
        <w:t>(ב</w:t>
      </w:r>
      <w:r w:rsidRPr="0010694B">
        <w:rPr>
          <w:rStyle w:val="af7"/>
          <w:rFonts w:eastAsia="Guttman Hodes"/>
          <w:rtl/>
        </w:rPr>
        <w:t>"</w:t>
      </w:r>
      <w:r w:rsidRPr="0010694B">
        <w:rPr>
          <w:rStyle w:val="af7"/>
          <w:rFonts w:eastAsia="Guttman Hodes" w:hint="cs"/>
          <w:rtl/>
        </w:rPr>
        <w:t>א ש</w:t>
      </w:r>
      <w:r w:rsidRPr="0010694B">
        <w:rPr>
          <w:rStyle w:val="af7"/>
          <w:rFonts w:eastAsia="Guttman Hodes"/>
          <w:rtl/>
        </w:rPr>
        <w:t>"</w:t>
      </w:r>
      <w:r w:rsidRPr="0010694B">
        <w:rPr>
          <w:rStyle w:val="af7"/>
          <w:rFonts w:eastAsia="Guttman Hodes" w:hint="cs"/>
          <w:rtl/>
        </w:rPr>
        <w:t>א ד"ף ד. מדה"ס)</w:t>
      </w:r>
      <w:r w:rsidRPr="0010694B">
        <w:rPr>
          <w:rFonts w:hint="cs"/>
          <w:rtl/>
        </w:rPr>
        <w:t xml:space="preserve"> הביא ראיה דבאבד הסכין השחיטה כשרה, מהא דרב הונא אמר את דינו בנמצא הסכין פגום, ואי ס"ל לרב הונא דאף באבד הסכין השחיטה פסולה, היה לו לומר דבאבד שחיטתו פסולה וכ"ש בנמצא פגום, וא"א לומר דנקט כן בכדי לחדש את התירו של רב חסדא אף בנמצא פגום, דהא א"כ מנלן דאף באבד הסכין פסול לרב הונא, וא"א לומר דכיון דרב הונא כשמעתיה דבכל ספק בשחיטה היא בחזקת איסור, דהא לא קיי"ל לגמרי כרב הונא, דהא לענין שיבר בה עצמות מעמידים את הסכין על חזקתו, וא"כ אף לרב הונא אפש"ל דבאבד הסכין אינה בחזקת איסור, כיון שאין ריעותא לפנינו, ועיי"ש עוד </w:t>
      </w:r>
      <w:r w:rsidRPr="0010694B">
        <w:rPr>
          <w:rStyle w:val="af9"/>
          <w:rFonts w:hint="cs"/>
          <w:rtl/>
        </w:rPr>
        <w:t>ברשב"א</w:t>
      </w:r>
      <w:r w:rsidRPr="0010694B">
        <w:rPr>
          <w:rFonts w:hint="cs"/>
          <w:rtl/>
        </w:rPr>
        <w:t xml:space="preserve"> </w:t>
      </w:r>
      <w:r w:rsidRPr="0010694B">
        <w:rPr>
          <w:rStyle w:val="af9"/>
          <w:rFonts w:hint="cs"/>
          <w:rtl/>
        </w:rPr>
        <w:t>במשה"ב</w:t>
      </w:r>
      <w:r w:rsidRPr="0010694B">
        <w:rPr>
          <w:rFonts w:hint="cs"/>
          <w:rtl/>
        </w:rPr>
        <w:t xml:space="preserve"> דהאריך להוכיח כן, ועי' </w:t>
      </w:r>
      <w:r w:rsidRPr="0010694B">
        <w:rPr>
          <w:rStyle w:val="af9"/>
          <w:rFonts w:hint="cs"/>
          <w:rtl/>
        </w:rPr>
        <w:t>בנחל"ד</w:t>
      </w:r>
      <w:r w:rsidRPr="0010694B">
        <w:rPr>
          <w:rFonts w:hint="cs"/>
          <w:rtl/>
        </w:rPr>
        <w:t xml:space="preserve"> </w:t>
      </w:r>
      <w:r w:rsidRPr="0010694B">
        <w:rPr>
          <w:rStyle w:val="af7"/>
          <w:rFonts w:eastAsia="Guttman Hodes" w:hint="cs"/>
          <w:rtl/>
        </w:rPr>
        <w:t>(ד"ה והנה לכאו')</w:t>
      </w:r>
      <w:r w:rsidRPr="0010694B">
        <w:rPr>
          <w:rFonts w:hint="cs"/>
          <w:rtl/>
        </w:rPr>
        <w:t xml:space="preserve"> במה שהאריך לישב את קושיות </w:t>
      </w:r>
      <w:r w:rsidRPr="0010694B">
        <w:rPr>
          <w:rStyle w:val="af9"/>
          <w:rFonts w:hint="cs"/>
          <w:rtl/>
        </w:rPr>
        <w:t>הרשב"א</w:t>
      </w:r>
      <w:r w:rsidRPr="0010694B">
        <w:rPr>
          <w:rFonts w:hint="cs"/>
          <w:rtl/>
        </w:rPr>
        <w:t xml:space="preserve">, וע"ע בקושית </w:t>
      </w:r>
      <w:r w:rsidRPr="0010694B">
        <w:rPr>
          <w:rStyle w:val="af9"/>
          <w:rFonts w:hint="cs"/>
          <w:rtl/>
        </w:rPr>
        <w:t>הגרעק"א</w:t>
      </w:r>
      <w:r w:rsidRPr="0010694B">
        <w:rPr>
          <w:rFonts w:hint="cs"/>
          <w:rtl/>
        </w:rPr>
        <w:t xml:space="preserve"> </w:t>
      </w:r>
      <w:r w:rsidRPr="0010694B">
        <w:rPr>
          <w:rStyle w:val="af7"/>
          <w:rFonts w:eastAsia="Guttman Hodes" w:hint="cs"/>
          <w:rtl/>
        </w:rPr>
        <w:t xml:space="preserve">(עי' אות </w:t>
      </w:r>
      <w:r w:rsidRPr="0010694B">
        <w:rPr>
          <w:rStyle w:val="af7"/>
          <w:rFonts w:eastAsia="Guttman Hodes"/>
          <w:rtl/>
        </w:rPr>
        <w:fldChar w:fldCharType="begin"/>
      </w:r>
      <w:r w:rsidRPr="0010694B">
        <w:rPr>
          <w:rStyle w:val="af7"/>
          <w:rFonts w:eastAsia="Guttman Hodes"/>
          <w:rtl/>
        </w:rPr>
        <w:instrText xml:space="preserve"> </w:instrText>
      </w:r>
      <w:r w:rsidRPr="0010694B">
        <w:rPr>
          <w:rStyle w:val="af7"/>
          <w:rFonts w:eastAsia="Guttman Hodes" w:hint="cs"/>
        </w:rPr>
        <w:instrText>REF</w:instrText>
      </w:r>
      <w:r w:rsidRPr="0010694B">
        <w:rPr>
          <w:rStyle w:val="af7"/>
          <w:rFonts w:eastAsia="Guttman Hodes" w:hint="cs"/>
          <w:rtl/>
        </w:rPr>
        <w:instrText xml:space="preserve"> _</w:instrText>
      </w:r>
      <w:r w:rsidRPr="0010694B">
        <w:rPr>
          <w:rStyle w:val="af7"/>
          <w:rFonts w:eastAsia="Guttman Hodes" w:hint="cs"/>
        </w:rPr>
        <w:instrText>Ref523414379 \r \h</w:instrText>
      </w:r>
      <w:r w:rsidRPr="0010694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10694B">
        <w:rPr>
          <w:rStyle w:val="af7"/>
          <w:rFonts w:eastAsia="Guttman Hodes"/>
          <w:rtl/>
        </w:rPr>
      </w:r>
      <w:r w:rsidRPr="0010694B">
        <w:rPr>
          <w:rStyle w:val="af7"/>
          <w:rFonts w:eastAsia="Guttman Hodes"/>
          <w:rtl/>
        </w:rPr>
        <w:fldChar w:fldCharType="separate"/>
      </w:r>
      <w:r w:rsidR="00345400">
        <w:rPr>
          <w:rStyle w:val="af7"/>
          <w:rFonts w:eastAsia="Guttman Hodes"/>
          <w:cs/>
        </w:rPr>
        <w:t>‎</w:t>
      </w:r>
      <w:r w:rsidR="00345400">
        <w:rPr>
          <w:rStyle w:val="af7"/>
          <w:rFonts w:eastAsia="Guttman Hodes"/>
          <w:rtl/>
        </w:rPr>
        <w:t>נד)</w:t>
      </w:r>
      <w:r w:rsidRPr="0010694B">
        <w:rPr>
          <w:rStyle w:val="af7"/>
          <w:rFonts w:eastAsia="Guttman Hodes"/>
          <w:rtl/>
        </w:rPr>
        <w:fldChar w:fldCharType="end"/>
      </w:r>
      <w:r w:rsidRPr="0010694B">
        <w:rPr>
          <w:rFonts w:hint="cs"/>
          <w:rtl/>
        </w:rPr>
        <w:t xml:space="preserve"> על </w:t>
      </w:r>
      <w:r w:rsidRPr="0010694B">
        <w:rPr>
          <w:rStyle w:val="af9"/>
          <w:rFonts w:hint="cs"/>
          <w:rtl/>
        </w:rPr>
        <w:t>הרמב"ן</w:t>
      </w:r>
      <w:r w:rsidRPr="0010694B">
        <w:rPr>
          <w:rFonts w:hint="cs"/>
          <w:rtl/>
        </w:rPr>
        <w:t>.</w:t>
      </w:r>
      <w:bookmarkEnd w:id="3722"/>
    </w:p>
    <w:p w14:paraId="2DC57999" w14:textId="77777777" w:rsidR="00FC47D4" w:rsidRPr="0010694B" w:rsidRDefault="00FC47D4" w:rsidP="00BF39B2">
      <w:pPr>
        <w:pStyle w:val="1"/>
        <w:rPr>
          <w:rtl/>
        </w:rPr>
      </w:pPr>
      <w:bookmarkStart w:id="3723" w:name="_Toc523397217"/>
      <w:bookmarkStart w:id="3724" w:name="_Toc523490337"/>
      <w:bookmarkStart w:id="3725" w:name="_Toc523697958"/>
      <w:bookmarkStart w:id="3726" w:name="_Toc523735733"/>
      <w:bookmarkStart w:id="3727" w:name="_Toc526248985"/>
      <w:bookmarkStart w:id="3728" w:name="_Toc526409492"/>
      <w:bookmarkStart w:id="3729" w:name="_Toc526939143"/>
      <w:bookmarkStart w:id="3730" w:name="_Toc527060259"/>
      <w:bookmarkStart w:id="3731" w:name="_Toc527060407"/>
      <w:bookmarkStart w:id="3732" w:name="_Toc527100784"/>
      <w:bookmarkStart w:id="3733" w:name="_Toc528227040"/>
      <w:bookmarkStart w:id="3734" w:name="_Toc528227204"/>
      <w:bookmarkStart w:id="3735" w:name="_Toc528227366"/>
      <w:bookmarkStart w:id="3736" w:name="_Toc19389452"/>
      <w:bookmarkStart w:id="3737" w:name="_Toc19392949"/>
      <w:r w:rsidRPr="0010694B">
        <w:rPr>
          <w:rFonts w:hint="cs"/>
          <w:rtl/>
        </w:rPr>
        <w:t xml:space="preserve">ביאור הרשב"א ברמב"ן </w:t>
      </w:r>
      <w:r>
        <w:rPr>
          <w:rFonts w:hint="cs"/>
          <w:rtl/>
        </w:rPr>
        <w:t>דחתיכת</w:t>
      </w:r>
      <w:r w:rsidRPr="0010694B">
        <w:rPr>
          <w:rFonts w:hint="cs"/>
          <w:rtl/>
        </w:rPr>
        <w:t xml:space="preserve"> העור </w:t>
      </w:r>
      <w:bookmarkEnd w:id="3723"/>
      <w:bookmarkEnd w:id="3724"/>
      <w:bookmarkEnd w:id="3725"/>
      <w:bookmarkEnd w:id="3726"/>
      <w:r>
        <w:rPr>
          <w:rFonts w:hint="cs"/>
          <w:rtl/>
        </w:rPr>
        <w:t>כמתעסק לפני טבילה</w:t>
      </w:r>
      <w:bookmarkEnd w:id="3727"/>
      <w:bookmarkEnd w:id="3728"/>
      <w:bookmarkEnd w:id="3729"/>
      <w:bookmarkEnd w:id="3730"/>
      <w:bookmarkEnd w:id="3731"/>
      <w:bookmarkEnd w:id="3732"/>
      <w:bookmarkEnd w:id="3733"/>
      <w:bookmarkEnd w:id="3734"/>
      <w:bookmarkEnd w:id="3735"/>
      <w:bookmarkEnd w:id="3736"/>
      <w:bookmarkEnd w:id="3737"/>
    </w:p>
    <w:p w14:paraId="0BD6B169" w14:textId="77777777" w:rsidR="00FC47D4" w:rsidRPr="0010694B" w:rsidRDefault="00FC47D4" w:rsidP="006D6D32">
      <w:pPr>
        <w:pStyle w:val="a3"/>
        <w:rPr>
          <w:rtl/>
        </w:rPr>
      </w:pPr>
      <w:bookmarkStart w:id="3738" w:name="_Toc523490338"/>
      <w:bookmarkStart w:id="3739" w:name="_Toc523697959"/>
      <w:bookmarkStart w:id="3740" w:name="_Toc523735734"/>
      <w:bookmarkStart w:id="3741" w:name="_Toc526248986"/>
      <w:bookmarkStart w:id="3742" w:name="_Toc526409493"/>
      <w:bookmarkStart w:id="3743" w:name="_Toc526939144"/>
      <w:bookmarkStart w:id="3744" w:name="_Toc527060260"/>
      <w:bookmarkStart w:id="3745" w:name="_Toc527060408"/>
      <w:bookmarkStart w:id="3746" w:name="_Toc527100785"/>
      <w:bookmarkStart w:id="3747" w:name="_Toc528227041"/>
      <w:bookmarkStart w:id="3748" w:name="_Toc528227205"/>
      <w:bookmarkStart w:id="3749" w:name="_Toc528227367"/>
      <w:bookmarkStart w:id="3750" w:name="_Toc19389453"/>
      <w:bookmarkStart w:id="3751" w:name="_Toc19392950"/>
      <w:r w:rsidRPr="0010694B">
        <w:rPr>
          <w:rFonts w:hint="cs"/>
          <w:rtl/>
        </w:rPr>
        <w:t>קושית הרשב"א דמחציצה בטבילה מוכח כרב הונא דרק כשיש ריעותא חיישינן ולא באבד</w:t>
      </w:r>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p>
    <w:p w14:paraId="4660BFEB" w14:textId="77777777" w:rsidR="00FC47D4" w:rsidRDefault="00FC47D4" w:rsidP="00223668">
      <w:pPr>
        <w:pStyle w:val="a0"/>
        <w:rPr>
          <w:rtl/>
        </w:rPr>
      </w:pPr>
      <w:r w:rsidRPr="0010694B">
        <w:rPr>
          <w:rFonts w:hint="cs"/>
          <w:rtl/>
        </w:rPr>
        <w:t xml:space="preserve">הקשה </w:t>
      </w:r>
      <w:r w:rsidRPr="0010694B">
        <w:rPr>
          <w:rStyle w:val="af9"/>
          <w:rFonts w:hint="cs"/>
          <w:rtl/>
        </w:rPr>
        <w:t>הרשב"א בחי'</w:t>
      </w:r>
      <w:r w:rsidRPr="0010694B">
        <w:rPr>
          <w:rFonts w:hint="cs"/>
          <w:rtl/>
        </w:rPr>
        <w:t xml:space="preserve"> </w:t>
      </w:r>
      <w:r w:rsidRPr="0010694B">
        <w:rPr>
          <w:rStyle w:val="af7"/>
          <w:rFonts w:eastAsia="Guttman Hodes" w:hint="cs"/>
          <w:rtl/>
        </w:rPr>
        <w:t>(ד"ה מתיב)</w:t>
      </w:r>
      <w:r w:rsidRPr="0010694B">
        <w:rPr>
          <w:rFonts w:hint="cs"/>
          <w:rtl/>
        </w:rPr>
        <w:t xml:space="preserve"> </w:t>
      </w:r>
      <w:r w:rsidRPr="0010694B">
        <w:rPr>
          <w:rStyle w:val="af9"/>
          <w:rFonts w:hint="cs"/>
          <w:rtl/>
        </w:rPr>
        <w:t xml:space="preserve">ובתוה"ב </w:t>
      </w:r>
      <w:r w:rsidRPr="0010694B">
        <w:rPr>
          <w:rStyle w:val="af7"/>
          <w:rFonts w:eastAsia="Guttman Hodes" w:hint="cs"/>
          <w:rtl/>
        </w:rPr>
        <w:t>(ב"א ש"ב דף טז. מדה"ס)</w:t>
      </w:r>
      <w:r w:rsidRPr="0010694B">
        <w:rPr>
          <w:rStyle w:val="af9"/>
          <w:rFonts w:hint="cs"/>
          <w:rtl/>
        </w:rPr>
        <w:t xml:space="preserve"> </w:t>
      </w:r>
      <w:r w:rsidRPr="0010694B">
        <w:rPr>
          <w:rFonts w:hint="cs"/>
          <w:rtl/>
        </w:rPr>
        <w:t xml:space="preserve">על </w:t>
      </w:r>
      <w:r w:rsidRPr="0010694B">
        <w:rPr>
          <w:rStyle w:val="af9"/>
          <w:rFonts w:hint="cs"/>
          <w:rtl/>
        </w:rPr>
        <w:t>הרמב"ן</w:t>
      </w:r>
      <w:r w:rsidRPr="0010694B">
        <w:rPr>
          <w:rFonts w:hint="cs"/>
          <w:rtl/>
        </w:rPr>
        <w:t xml:space="preserve"> דאי ס"ל לרב הונא דב</w:t>
      </w:r>
      <w:r>
        <w:rPr>
          <w:rFonts w:hint="cs"/>
          <w:rtl/>
        </w:rPr>
        <w:t>אבד</w:t>
      </w:r>
      <w:r w:rsidRPr="0010694B">
        <w:rPr>
          <w:rFonts w:hint="cs"/>
          <w:rtl/>
        </w:rPr>
        <w:t xml:space="preserve"> הסכין הבהמה בחזקת איסור, א"כ מה הביא רב אבא ראיה לרב הונא מטבל ונמצא עליו דבר החוצץ, הא אדרבה קשה משם לרב הונא, דהא משמע דדוקא אם נמצאת חציצה לא עלתה לו טבילה, אבל מספק לא חיישינן לחציצה, כיון שחפף סמוך לטבילה והוא בחזקת בדוק. ואילו לביאור </w:t>
      </w:r>
      <w:r w:rsidRPr="0010694B">
        <w:rPr>
          <w:rStyle w:val="af9"/>
          <w:rFonts w:hint="cs"/>
          <w:rtl/>
        </w:rPr>
        <w:t>הרמב"ן</w:t>
      </w:r>
      <w:r w:rsidRPr="0010694B">
        <w:rPr>
          <w:rFonts w:hint="cs"/>
          <w:rtl/>
        </w:rPr>
        <w:t xml:space="preserve"> ברב הונא בסכין דחיישינן לפגימה מספק ב</w:t>
      </w:r>
      <w:r>
        <w:rPr>
          <w:rFonts w:hint="cs"/>
          <w:rtl/>
        </w:rPr>
        <w:t>אבד</w:t>
      </w:r>
      <w:r w:rsidRPr="0010694B">
        <w:rPr>
          <w:rFonts w:hint="cs"/>
          <w:rtl/>
        </w:rPr>
        <w:t xml:space="preserve"> הסכין, אף שבדק סמוך לשחיטה, וא"כ אף בחציצה נחשוש גם מספק.</w:t>
      </w:r>
    </w:p>
    <w:p w14:paraId="08AF6BBF" w14:textId="77777777" w:rsidR="00347B2D" w:rsidRPr="00347B2D" w:rsidRDefault="00347B2D" w:rsidP="00347B2D">
      <w:pPr>
        <w:pStyle w:val="a3"/>
        <w:rPr>
          <w:rtl/>
        </w:rPr>
      </w:pPr>
    </w:p>
    <w:p w14:paraId="4CC53BE7" w14:textId="77777777" w:rsidR="00FC47D4" w:rsidRPr="0010694B" w:rsidRDefault="00FC47D4" w:rsidP="006D6D32">
      <w:pPr>
        <w:pStyle w:val="a3"/>
        <w:rPr>
          <w:rtl/>
        </w:rPr>
      </w:pPr>
      <w:bookmarkStart w:id="3752" w:name="_Toc523490339"/>
      <w:bookmarkStart w:id="3753" w:name="_Toc523697960"/>
      <w:bookmarkStart w:id="3754" w:name="_Toc523735735"/>
      <w:bookmarkStart w:id="3755" w:name="_Toc526248987"/>
      <w:bookmarkStart w:id="3756" w:name="_Toc526409494"/>
      <w:bookmarkStart w:id="3757" w:name="_Toc526939145"/>
      <w:bookmarkStart w:id="3758" w:name="_Toc527060261"/>
      <w:bookmarkStart w:id="3759" w:name="_Toc527060409"/>
      <w:bookmarkStart w:id="3760" w:name="_Toc527100786"/>
      <w:bookmarkStart w:id="3761" w:name="_Toc528227042"/>
      <w:bookmarkStart w:id="3762" w:name="_Toc528227206"/>
      <w:bookmarkStart w:id="3763" w:name="_Toc528227368"/>
      <w:bookmarkStart w:id="3764" w:name="_Toc19389454"/>
      <w:bookmarkStart w:id="3765" w:name="_Toc19392951"/>
      <w:r w:rsidRPr="0010694B">
        <w:rPr>
          <w:rFonts w:hint="cs"/>
          <w:rtl/>
        </w:rPr>
        <w:t>ביאור הרשב"א ברמב"ן דחתיכת העור דמי למתעסק בחציצה לפני הטבילה דיצא מחזקת בדוק</w:t>
      </w:r>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p>
    <w:p w14:paraId="4597EBA1" w14:textId="77777777" w:rsidR="00FC47D4" w:rsidRDefault="00FC47D4" w:rsidP="00223668">
      <w:pPr>
        <w:pStyle w:val="a0"/>
        <w:rPr>
          <w:rtl/>
        </w:rPr>
      </w:pPr>
      <w:bookmarkStart w:id="3766" w:name="_Ref523332135"/>
      <w:r w:rsidRPr="0010694B">
        <w:rPr>
          <w:rFonts w:hint="cs"/>
          <w:rtl/>
        </w:rPr>
        <w:t xml:space="preserve">ותירץ </w:t>
      </w:r>
      <w:r w:rsidRPr="0010694B">
        <w:rPr>
          <w:rStyle w:val="af9"/>
          <w:rFonts w:hint="cs"/>
          <w:rtl/>
        </w:rPr>
        <w:t>הרשב"א</w:t>
      </w:r>
      <w:r w:rsidRPr="0010694B">
        <w:rPr>
          <w:rFonts w:hint="cs"/>
          <w:rtl/>
        </w:rPr>
        <w:t xml:space="preserve"> דלדעת </w:t>
      </w:r>
      <w:r w:rsidRPr="0010694B">
        <w:rPr>
          <w:rStyle w:val="af9"/>
          <w:rFonts w:hint="cs"/>
          <w:rtl/>
        </w:rPr>
        <w:t>הרמב"ן</w:t>
      </w:r>
      <w:r w:rsidRPr="0010694B">
        <w:rPr>
          <w:rFonts w:hint="cs"/>
          <w:rtl/>
        </w:rPr>
        <w:t xml:space="preserve"> צריך לבאר דרב אבא שהביא ראיה לרב הונא, ס"ל דכיון שחתך עם הסכין את העור לפני שחתך את הסימנים, חשיב כמו שנתעסק בדבר החוצץ בין חפיפה לטבילה, שלא עלתה לו טבילה כלל, אף אם אחר הטבילה לא נמצאת חציצה, כיון דסבר רב הונא שמצוי שהעור פוגם, [והוסיף </w:t>
      </w:r>
      <w:r w:rsidRPr="0010694B">
        <w:rPr>
          <w:rStyle w:val="af9"/>
          <w:rFonts w:hint="cs"/>
          <w:rtl/>
        </w:rPr>
        <w:t>הרשב"א בתוה"ב</w:t>
      </w:r>
      <w:r w:rsidRPr="0010694B">
        <w:rPr>
          <w:rFonts w:hint="cs"/>
          <w:rtl/>
        </w:rPr>
        <w:t xml:space="preserve"> דאף לרב חסדא העור פוגם, אלא שהמפרקת פוגמת יותר, כדמוכח מדברי רב חסדא שאמר שעצם ודאי פוגם, ועור ספק פוגם].</w:t>
      </w:r>
      <w:bookmarkEnd w:id="3766"/>
    </w:p>
    <w:p w14:paraId="703749BD" w14:textId="77777777" w:rsidR="00FC47D4" w:rsidRPr="0010694B" w:rsidRDefault="00FC47D4" w:rsidP="006D6D32">
      <w:pPr>
        <w:pStyle w:val="a3"/>
        <w:rPr>
          <w:rtl/>
        </w:rPr>
      </w:pPr>
      <w:bookmarkStart w:id="3767" w:name="_Toc523697961"/>
      <w:bookmarkStart w:id="3768" w:name="_Toc523735736"/>
      <w:bookmarkStart w:id="3769" w:name="_Toc526248988"/>
      <w:bookmarkStart w:id="3770" w:name="_Toc526409495"/>
      <w:bookmarkStart w:id="3771" w:name="_Toc526939146"/>
      <w:bookmarkStart w:id="3772" w:name="_Toc527060262"/>
      <w:bookmarkStart w:id="3773" w:name="_Toc527060410"/>
      <w:bookmarkStart w:id="3774" w:name="_Toc527100787"/>
      <w:bookmarkStart w:id="3775" w:name="_Toc528227043"/>
      <w:bookmarkStart w:id="3776" w:name="_Toc528227207"/>
      <w:bookmarkStart w:id="3777" w:name="_Toc528227369"/>
      <w:bookmarkStart w:id="3778" w:name="_Toc19389455"/>
      <w:bookmarkStart w:id="3779" w:name="_Toc19392952"/>
      <w:r>
        <w:rPr>
          <w:rFonts w:hint="cs"/>
          <w:rtl/>
        </w:rPr>
        <w:t>ביאור הרשב"א ברמב"ן דאי בלא נתעסק בחציצה לא עלתה טבילה כ"ש בנתעסק בעור</w:t>
      </w:r>
      <w:bookmarkEnd w:id="3767"/>
      <w:bookmarkEnd w:id="3768"/>
      <w:bookmarkEnd w:id="3769"/>
      <w:bookmarkEnd w:id="3770"/>
      <w:bookmarkEnd w:id="3771"/>
      <w:bookmarkEnd w:id="3772"/>
      <w:bookmarkEnd w:id="3773"/>
      <w:bookmarkEnd w:id="3774"/>
      <w:bookmarkEnd w:id="3775"/>
      <w:bookmarkEnd w:id="3776"/>
      <w:bookmarkEnd w:id="3777"/>
      <w:bookmarkEnd w:id="3778"/>
      <w:bookmarkEnd w:id="3779"/>
    </w:p>
    <w:p w14:paraId="1414D817" w14:textId="77777777" w:rsidR="00FC47D4" w:rsidRDefault="00FC47D4" w:rsidP="00223668">
      <w:pPr>
        <w:pStyle w:val="a0"/>
        <w:rPr>
          <w:rtl/>
        </w:rPr>
      </w:pPr>
      <w:r w:rsidRPr="0010694B">
        <w:rPr>
          <w:rFonts w:hint="cs"/>
          <w:rtl/>
        </w:rPr>
        <w:t xml:space="preserve">וביאר </w:t>
      </w:r>
      <w:r w:rsidRPr="0010694B">
        <w:rPr>
          <w:rStyle w:val="af9"/>
          <w:rFonts w:hint="cs"/>
          <w:rtl/>
        </w:rPr>
        <w:t>הרשב"א</w:t>
      </w:r>
      <w:r w:rsidRPr="0010694B">
        <w:rPr>
          <w:rFonts w:hint="cs"/>
          <w:rtl/>
        </w:rPr>
        <w:t xml:space="preserve"> דלפי"ז הקשה רב אבא מהא דנמצא עליו דבר החוצץ, דאף שלא נתעסק בו לפני הטבילה, אפ"ה לא עלתה לו טבילה, וכ"ש בסכין שהתעסק בחתיכת העור לפני ששחט את הסימנים, דנאמר שהעור פגם, והוסיף </w:t>
      </w:r>
      <w:r w:rsidRPr="0010694B">
        <w:rPr>
          <w:rStyle w:val="af9"/>
          <w:rFonts w:hint="cs"/>
          <w:rtl/>
        </w:rPr>
        <w:t>הרשב"א בחי'</w:t>
      </w:r>
      <w:r w:rsidRPr="0010694B">
        <w:rPr>
          <w:rFonts w:hint="cs"/>
          <w:rtl/>
        </w:rPr>
        <w:t xml:space="preserve"> דאף אם נאמר שלא מצוי שהעור פוגם, מ"מ כיון שהוא יכול לפגום, צריך לחוש כמו בנמצא דבר החוצץ, אף שלא עסק בו קודם הטבילה, ועי' </w:t>
      </w:r>
      <w:r w:rsidRPr="0010694B">
        <w:rPr>
          <w:rStyle w:val="af9"/>
          <w:rFonts w:hint="cs"/>
          <w:rtl/>
        </w:rPr>
        <w:t xml:space="preserve">בגרעק"א </w:t>
      </w:r>
      <w:r w:rsidRPr="0010694B">
        <w:rPr>
          <w:rStyle w:val="af7"/>
          <w:rFonts w:eastAsia="Guttman Hodes" w:hint="cs"/>
          <w:rtl/>
        </w:rPr>
        <w:t xml:space="preserve">(עי' אות </w:t>
      </w:r>
      <w:r w:rsidRPr="0010694B">
        <w:rPr>
          <w:rStyle w:val="af7"/>
          <w:rFonts w:eastAsia="Guttman Hodes"/>
          <w:rtl/>
        </w:rPr>
        <w:fldChar w:fldCharType="begin"/>
      </w:r>
      <w:r w:rsidRPr="0010694B">
        <w:rPr>
          <w:rStyle w:val="af7"/>
          <w:rFonts w:eastAsia="Guttman Hodes"/>
          <w:rtl/>
        </w:rPr>
        <w:instrText xml:space="preserve"> </w:instrText>
      </w:r>
      <w:r w:rsidRPr="0010694B">
        <w:rPr>
          <w:rStyle w:val="af7"/>
          <w:rFonts w:eastAsia="Guttman Hodes" w:hint="cs"/>
        </w:rPr>
        <w:instrText>REF</w:instrText>
      </w:r>
      <w:r w:rsidRPr="0010694B">
        <w:rPr>
          <w:rStyle w:val="af7"/>
          <w:rFonts w:eastAsia="Guttman Hodes" w:hint="cs"/>
          <w:rtl/>
        </w:rPr>
        <w:instrText xml:space="preserve"> _</w:instrText>
      </w:r>
      <w:r w:rsidRPr="0010694B">
        <w:rPr>
          <w:rStyle w:val="af7"/>
          <w:rFonts w:eastAsia="Guttman Hodes" w:hint="cs"/>
        </w:rPr>
        <w:instrText>Ref523132407 \r \h</w:instrText>
      </w:r>
      <w:r w:rsidRPr="0010694B">
        <w:rPr>
          <w:rStyle w:val="af7"/>
          <w:rFonts w:eastAsia="Guttman Hodes"/>
          <w:rtl/>
        </w:rPr>
        <w:instrText xml:space="preserve">  \* </w:instrText>
      </w:r>
      <w:r w:rsidRPr="0010694B">
        <w:rPr>
          <w:rStyle w:val="af7"/>
          <w:rFonts w:eastAsia="Guttman Hodes"/>
        </w:rPr>
        <w:instrText>MERGEFORMAT</w:instrText>
      </w:r>
      <w:r w:rsidRPr="0010694B">
        <w:rPr>
          <w:rStyle w:val="af7"/>
          <w:rFonts w:eastAsia="Guttman Hodes"/>
          <w:rtl/>
        </w:rPr>
        <w:instrText xml:space="preserve"> </w:instrText>
      </w:r>
      <w:r w:rsidRPr="0010694B">
        <w:rPr>
          <w:rStyle w:val="af7"/>
          <w:rFonts w:eastAsia="Guttman Hodes"/>
          <w:rtl/>
        </w:rPr>
      </w:r>
      <w:r w:rsidRPr="0010694B">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10694B">
        <w:rPr>
          <w:rStyle w:val="af7"/>
          <w:rFonts w:eastAsia="Guttman Hodes"/>
          <w:rtl/>
        </w:rPr>
        <w:fldChar w:fldCharType="end"/>
      </w:r>
      <w:r w:rsidRPr="0010694B">
        <w:rPr>
          <w:rStyle w:val="af9"/>
          <w:rFonts w:hint="cs"/>
          <w:rtl/>
        </w:rPr>
        <w:t xml:space="preserve"> </w:t>
      </w:r>
      <w:r>
        <w:rPr>
          <w:rStyle w:val="af9"/>
          <w:rFonts w:hint="cs"/>
          <w:rtl/>
        </w:rPr>
        <w:t xml:space="preserve">ובראש יוסף </w:t>
      </w:r>
      <w:r w:rsidRPr="00434586">
        <w:rPr>
          <w:rStyle w:val="af7"/>
          <w:rFonts w:eastAsia="Guttman Hodes" w:hint="cs"/>
          <w:rtl/>
        </w:rPr>
        <w:t xml:space="preserve">(עי' אות </w:t>
      </w:r>
      <w:r w:rsidRPr="00434586">
        <w:rPr>
          <w:rStyle w:val="af7"/>
          <w:rFonts w:eastAsia="Guttman Hodes"/>
          <w:rtl/>
        </w:rPr>
        <w:fldChar w:fldCharType="begin"/>
      </w:r>
      <w:r w:rsidRPr="00434586">
        <w:rPr>
          <w:rStyle w:val="af7"/>
          <w:rFonts w:eastAsia="Guttman Hodes"/>
          <w:rtl/>
        </w:rPr>
        <w:instrText xml:space="preserve"> </w:instrText>
      </w:r>
      <w:r w:rsidRPr="00434586">
        <w:rPr>
          <w:rStyle w:val="af7"/>
          <w:rFonts w:eastAsia="Guttman Hodes" w:hint="cs"/>
        </w:rPr>
        <w:instrText>REF</w:instrText>
      </w:r>
      <w:r w:rsidRPr="00434586">
        <w:rPr>
          <w:rStyle w:val="af7"/>
          <w:rFonts w:eastAsia="Guttman Hodes" w:hint="cs"/>
          <w:rtl/>
        </w:rPr>
        <w:instrText xml:space="preserve"> _</w:instrText>
      </w:r>
      <w:r w:rsidRPr="00434586">
        <w:rPr>
          <w:rStyle w:val="af7"/>
          <w:rFonts w:eastAsia="Guttman Hodes" w:hint="cs"/>
        </w:rPr>
        <w:instrText>Ref523689730 \r \h</w:instrText>
      </w:r>
      <w:r w:rsidRPr="00434586">
        <w:rPr>
          <w:rStyle w:val="af7"/>
          <w:rFonts w:eastAsia="Guttman Hodes"/>
          <w:rtl/>
        </w:rPr>
        <w:instrText xml:space="preserve"> </w:instrText>
      </w:r>
      <w:r w:rsidRPr="00434586">
        <w:rPr>
          <w:rStyle w:val="af7"/>
          <w:rFonts w:eastAsia="Guttman Hodes"/>
          <w:rtl/>
        </w:rPr>
      </w:r>
      <w:r w:rsidRPr="00434586">
        <w:rPr>
          <w:rStyle w:val="af7"/>
          <w:rFonts w:eastAsia="Guttman Hodes"/>
          <w:rtl/>
        </w:rPr>
        <w:fldChar w:fldCharType="separate"/>
      </w:r>
      <w:r w:rsidR="00345400">
        <w:rPr>
          <w:rStyle w:val="af7"/>
          <w:rFonts w:eastAsia="Guttman Hodes"/>
          <w:cs/>
        </w:rPr>
        <w:t>‎</w:t>
      </w:r>
      <w:r w:rsidR="00345400">
        <w:rPr>
          <w:rStyle w:val="af7"/>
          <w:rFonts w:eastAsia="Guttman Hodes"/>
          <w:rtl/>
        </w:rPr>
        <w:t>כח)</w:t>
      </w:r>
      <w:r w:rsidRPr="00434586">
        <w:rPr>
          <w:rStyle w:val="af7"/>
          <w:rFonts w:eastAsia="Guttman Hodes"/>
          <w:rtl/>
        </w:rPr>
        <w:fldChar w:fldCharType="end"/>
      </w:r>
      <w:r>
        <w:rPr>
          <w:rStyle w:val="af9"/>
          <w:rFonts w:hint="cs"/>
          <w:rtl/>
        </w:rPr>
        <w:t xml:space="preserve"> </w:t>
      </w:r>
      <w:r w:rsidRPr="0010694B">
        <w:rPr>
          <w:rStyle w:val="af9"/>
          <w:rFonts w:hint="cs"/>
          <w:rtl/>
        </w:rPr>
        <w:t xml:space="preserve">ובפנ"י </w:t>
      </w:r>
      <w:r w:rsidRPr="0010694B">
        <w:rPr>
          <w:rStyle w:val="af7"/>
          <w:rFonts w:eastAsia="Guttman Hodes" w:hint="cs"/>
          <w:rtl/>
        </w:rPr>
        <w:t xml:space="preserve">(עי' אות </w:t>
      </w:r>
      <w:r w:rsidRPr="0010694B">
        <w:rPr>
          <w:rStyle w:val="af7"/>
          <w:rFonts w:eastAsia="Guttman Hodes"/>
          <w:rtl/>
        </w:rPr>
        <w:fldChar w:fldCharType="begin"/>
      </w:r>
      <w:r w:rsidRPr="0010694B">
        <w:rPr>
          <w:rStyle w:val="af7"/>
          <w:rFonts w:eastAsia="Guttman Hodes"/>
          <w:rtl/>
        </w:rPr>
        <w:instrText xml:space="preserve"> </w:instrText>
      </w:r>
      <w:r w:rsidRPr="0010694B">
        <w:rPr>
          <w:rStyle w:val="af7"/>
          <w:rFonts w:eastAsia="Guttman Hodes" w:hint="cs"/>
        </w:rPr>
        <w:instrText>REF</w:instrText>
      </w:r>
      <w:r w:rsidRPr="0010694B">
        <w:rPr>
          <w:rStyle w:val="af7"/>
          <w:rFonts w:eastAsia="Guttman Hodes" w:hint="cs"/>
          <w:rtl/>
        </w:rPr>
        <w:instrText xml:space="preserve"> _</w:instrText>
      </w:r>
      <w:r w:rsidRPr="0010694B">
        <w:rPr>
          <w:rStyle w:val="af7"/>
          <w:rFonts w:eastAsia="Guttman Hodes" w:hint="cs"/>
        </w:rPr>
        <w:instrText>Ref523687874 \r \h</w:instrText>
      </w:r>
      <w:r w:rsidRPr="0010694B">
        <w:rPr>
          <w:rStyle w:val="af7"/>
          <w:rFonts w:eastAsia="Guttman Hodes"/>
          <w:rtl/>
        </w:rPr>
        <w:instrText xml:space="preserve">  \* </w:instrText>
      </w:r>
      <w:r w:rsidRPr="0010694B">
        <w:rPr>
          <w:rStyle w:val="af7"/>
          <w:rFonts w:eastAsia="Guttman Hodes"/>
        </w:rPr>
        <w:instrText>MERGEFORMAT</w:instrText>
      </w:r>
      <w:r w:rsidRPr="0010694B">
        <w:rPr>
          <w:rStyle w:val="af7"/>
          <w:rFonts w:eastAsia="Guttman Hodes"/>
          <w:rtl/>
        </w:rPr>
        <w:instrText xml:space="preserve"> </w:instrText>
      </w:r>
      <w:r w:rsidRPr="0010694B">
        <w:rPr>
          <w:rStyle w:val="af7"/>
          <w:rFonts w:eastAsia="Guttman Hodes"/>
          <w:rtl/>
        </w:rPr>
      </w:r>
      <w:r w:rsidRPr="0010694B">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10694B">
        <w:rPr>
          <w:rStyle w:val="af7"/>
          <w:rFonts w:eastAsia="Guttman Hodes"/>
          <w:rtl/>
        </w:rPr>
        <w:fldChar w:fldCharType="end"/>
      </w:r>
      <w:r w:rsidRPr="0010694B">
        <w:rPr>
          <w:rStyle w:val="af9"/>
          <w:rFonts w:hint="cs"/>
          <w:rtl/>
        </w:rPr>
        <w:t xml:space="preserve">, </w:t>
      </w:r>
      <w:r w:rsidRPr="0010694B">
        <w:rPr>
          <w:rFonts w:hint="cs"/>
          <w:rtl/>
        </w:rPr>
        <w:t>במ"ש בביאור דברי</w:t>
      </w:r>
      <w:r w:rsidRPr="0010694B">
        <w:rPr>
          <w:rStyle w:val="af9"/>
          <w:rFonts w:hint="cs"/>
          <w:rtl/>
        </w:rPr>
        <w:t xml:space="preserve"> הרמב"ן והרשב"א</w:t>
      </w:r>
      <w:r w:rsidRPr="0010694B">
        <w:rPr>
          <w:rFonts w:hint="cs"/>
          <w:rtl/>
        </w:rPr>
        <w:t>.</w:t>
      </w:r>
    </w:p>
    <w:p w14:paraId="7EB2AAB7" w14:textId="77777777" w:rsidR="00FC47D4" w:rsidRDefault="00FC47D4" w:rsidP="006D6D32">
      <w:pPr>
        <w:pStyle w:val="a3"/>
        <w:rPr>
          <w:rtl/>
        </w:rPr>
      </w:pPr>
      <w:bookmarkStart w:id="3780" w:name="_Toc526248989"/>
      <w:bookmarkStart w:id="3781" w:name="_Toc526409496"/>
      <w:bookmarkStart w:id="3782" w:name="_Toc526939147"/>
      <w:bookmarkStart w:id="3783" w:name="_Toc527060263"/>
      <w:bookmarkStart w:id="3784" w:name="_Toc527060411"/>
      <w:bookmarkStart w:id="3785" w:name="_Toc527100788"/>
      <w:bookmarkStart w:id="3786" w:name="_Toc528227044"/>
      <w:bookmarkStart w:id="3787" w:name="_Toc528227208"/>
      <w:bookmarkStart w:id="3788" w:name="_Toc528227370"/>
      <w:bookmarkStart w:id="3789" w:name="_Toc19389456"/>
      <w:bookmarkStart w:id="3790" w:name="_Toc19392953"/>
      <w:r>
        <w:rPr>
          <w:rFonts w:hint="cs"/>
          <w:rtl/>
        </w:rPr>
        <w:t>דברי הרמב"ן והר"ן דהעור מפסיק בין בדיקה לשחיטה ואי"ז בדיקה הסמוכה ממש לשחיטה</w:t>
      </w:r>
      <w:bookmarkEnd w:id="3780"/>
      <w:bookmarkEnd w:id="3781"/>
      <w:bookmarkEnd w:id="3782"/>
      <w:bookmarkEnd w:id="3783"/>
      <w:bookmarkEnd w:id="3784"/>
      <w:bookmarkEnd w:id="3785"/>
      <w:bookmarkEnd w:id="3786"/>
      <w:bookmarkEnd w:id="3787"/>
      <w:bookmarkEnd w:id="3788"/>
      <w:bookmarkEnd w:id="3789"/>
      <w:bookmarkEnd w:id="3790"/>
    </w:p>
    <w:p w14:paraId="274C2FCF" w14:textId="77777777" w:rsidR="00FC47D4" w:rsidRDefault="00FC47D4" w:rsidP="00223668">
      <w:pPr>
        <w:pStyle w:val="a0"/>
        <w:rPr>
          <w:rtl/>
        </w:rPr>
      </w:pPr>
      <w:bookmarkStart w:id="3791" w:name="_Ref527230377"/>
      <w:bookmarkStart w:id="3792" w:name="_Toc523735737"/>
      <w:bookmarkStart w:id="3793" w:name="_Toc523397224"/>
      <w:r>
        <w:rPr>
          <w:rStyle w:val="af9"/>
          <w:rFonts w:hint="cs"/>
          <w:rtl/>
        </w:rPr>
        <w:t>וה</w:t>
      </w:r>
      <w:r w:rsidRPr="00236C24">
        <w:rPr>
          <w:rStyle w:val="af9"/>
          <w:rFonts w:hint="cs"/>
          <w:rtl/>
        </w:rPr>
        <w:t xml:space="preserve">ר"ן בחי' </w:t>
      </w:r>
      <w:r w:rsidRPr="00173E39">
        <w:rPr>
          <w:rStyle w:val="af7"/>
          <w:rFonts w:eastAsia="Guttman Hodes" w:hint="cs"/>
          <w:rtl/>
        </w:rPr>
        <w:t>(ד"ה טבל)</w:t>
      </w:r>
      <w:r>
        <w:rPr>
          <w:rFonts w:hint="cs"/>
          <w:rtl/>
        </w:rPr>
        <w:t xml:space="preserve"> הקשה על רב אבא דלא דמי נמצא עליו דבר החוצץ לסכין שנפגם כלל, דהא בטבילה איירי שלא חפף סמוך לטבילה, דאי חפף איתא בגמ' בנדה דעלתה לו טבילה, ולכן אינו בחזקת בדוק, משא"כ בסכין שבדקו סמוך לשחיטה, ותירצו </w:t>
      </w:r>
      <w:r w:rsidRPr="00173E39">
        <w:rPr>
          <w:rStyle w:val="af9"/>
          <w:rFonts w:hint="cs"/>
          <w:rtl/>
        </w:rPr>
        <w:t>הרמב"</w:t>
      </w:r>
      <w:r>
        <w:rPr>
          <w:rStyle w:val="af9"/>
          <w:rFonts w:hint="cs"/>
          <w:rtl/>
        </w:rPr>
        <w:t>ן</w:t>
      </w:r>
      <w:r w:rsidRPr="00173E39">
        <w:rPr>
          <w:rStyle w:val="af7"/>
          <w:rFonts w:eastAsia="Guttman Hodes" w:hint="cs"/>
          <w:rtl/>
        </w:rPr>
        <w:t xml:space="preserve"> (ד"ה טבל)</w:t>
      </w:r>
      <w:r>
        <w:rPr>
          <w:rFonts w:hint="cs"/>
          <w:rtl/>
        </w:rPr>
        <w:t xml:space="preserve"> </w:t>
      </w:r>
      <w:r>
        <w:rPr>
          <w:rStyle w:val="af9"/>
          <w:rFonts w:hint="cs"/>
          <w:rtl/>
        </w:rPr>
        <w:t>ו</w:t>
      </w:r>
      <w:r w:rsidRPr="00236C24">
        <w:rPr>
          <w:rStyle w:val="af9"/>
          <w:rFonts w:hint="cs"/>
          <w:rtl/>
        </w:rPr>
        <w:t>הר"ן</w:t>
      </w:r>
      <w:r>
        <w:rPr>
          <w:rStyle w:val="af9"/>
          <w:rFonts w:hint="cs"/>
          <w:rtl/>
        </w:rPr>
        <w:t xml:space="preserve"> בחי'</w:t>
      </w:r>
      <w:r>
        <w:rPr>
          <w:rFonts w:hint="cs"/>
          <w:rtl/>
        </w:rPr>
        <w:t xml:space="preserve"> דאף בסכין אי"ז נחשב בדיקה סמוכה ממש לשחיטה, כיון שהעור מפסיק בין הבדיקה לשחיטה. ולכן  הגמ' דימתה את הדין דטבל ועלה, לסכין שנבדק לפני השחיטה, </w:t>
      </w:r>
      <w:r w:rsidRPr="00173E39">
        <w:rPr>
          <w:rStyle w:val="afb"/>
          <w:rFonts w:hint="cs"/>
          <w:rtl/>
        </w:rPr>
        <w:t>[ולא כתב</w:t>
      </w:r>
      <w:r>
        <w:rPr>
          <w:rStyle w:val="afb"/>
          <w:rFonts w:hint="cs"/>
          <w:rtl/>
        </w:rPr>
        <w:t>ו</w:t>
      </w:r>
      <w:r w:rsidRPr="00173E39">
        <w:rPr>
          <w:rStyle w:val="afb"/>
          <w:rFonts w:hint="cs"/>
          <w:rtl/>
        </w:rPr>
        <w:t xml:space="preserve"> </w:t>
      </w:r>
      <w:r w:rsidRPr="00852668">
        <w:rPr>
          <w:rStyle w:val="affa"/>
          <w:rFonts w:hint="cs"/>
          <w:rtl/>
        </w:rPr>
        <w:t>כהרשב"א</w:t>
      </w:r>
      <w:r w:rsidRPr="00173E39">
        <w:rPr>
          <w:rStyle w:val="afb"/>
          <w:rFonts w:hint="cs"/>
          <w:rtl/>
        </w:rPr>
        <w:t xml:space="preserve"> דמצוי שהעור פוגם</w:t>
      </w:r>
      <w:r>
        <w:rPr>
          <w:rStyle w:val="afb"/>
          <w:rFonts w:hint="cs"/>
          <w:rtl/>
        </w:rPr>
        <w:t>, והוי כנתעסק בדבר החוצץ</w:t>
      </w:r>
      <w:r w:rsidRPr="00173E39">
        <w:rPr>
          <w:rStyle w:val="afb"/>
          <w:rFonts w:hint="cs"/>
          <w:rtl/>
        </w:rPr>
        <w:t>]</w:t>
      </w:r>
      <w:r>
        <w:rPr>
          <w:rFonts w:hint="cs"/>
          <w:rtl/>
        </w:rPr>
        <w:t>.</w:t>
      </w:r>
      <w:bookmarkEnd w:id="3791"/>
    </w:p>
    <w:p w14:paraId="30D2DF75" w14:textId="77777777" w:rsidR="00FC47D4" w:rsidRDefault="00FC47D4" w:rsidP="00BF39B2">
      <w:pPr>
        <w:pStyle w:val="1"/>
        <w:rPr>
          <w:rtl/>
        </w:rPr>
      </w:pPr>
      <w:bookmarkStart w:id="3794" w:name="_Toc526248990"/>
      <w:bookmarkStart w:id="3795" w:name="_Toc526409497"/>
      <w:bookmarkStart w:id="3796" w:name="_Toc526939148"/>
      <w:bookmarkStart w:id="3797" w:name="_Toc527060264"/>
      <w:bookmarkStart w:id="3798" w:name="_Toc527060412"/>
      <w:bookmarkStart w:id="3799" w:name="_Toc527100789"/>
      <w:bookmarkStart w:id="3800" w:name="_Toc528227045"/>
      <w:bookmarkStart w:id="3801" w:name="_Toc528227209"/>
      <w:bookmarkStart w:id="3802" w:name="_Toc528227371"/>
      <w:bookmarkStart w:id="3803" w:name="_Toc19389457"/>
      <w:bookmarkStart w:id="3804" w:name="_Toc19392954"/>
      <w:r>
        <w:rPr>
          <w:rFonts w:hint="cs"/>
          <w:rtl/>
        </w:rPr>
        <w:t>דברי הגרעק"א דבאבד הסכין לא שייך ספק ספיקא</w:t>
      </w:r>
      <w:bookmarkEnd w:id="3792"/>
      <w:bookmarkEnd w:id="3794"/>
      <w:bookmarkEnd w:id="3795"/>
      <w:bookmarkEnd w:id="3796"/>
      <w:bookmarkEnd w:id="3797"/>
      <w:bookmarkEnd w:id="3798"/>
      <w:bookmarkEnd w:id="3799"/>
      <w:bookmarkEnd w:id="3800"/>
      <w:bookmarkEnd w:id="3801"/>
      <w:bookmarkEnd w:id="3802"/>
      <w:bookmarkEnd w:id="3803"/>
      <w:bookmarkEnd w:id="3804"/>
    </w:p>
    <w:p w14:paraId="24D35B61" w14:textId="77777777" w:rsidR="00FC47D4" w:rsidRPr="00871522" w:rsidRDefault="00FC47D4" w:rsidP="006D6D32">
      <w:pPr>
        <w:pStyle w:val="a3"/>
        <w:rPr>
          <w:rtl/>
        </w:rPr>
      </w:pPr>
      <w:bookmarkStart w:id="3805" w:name="_Toc523490351"/>
      <w:bookmarkStart w:id="3806" w:name="_Toc523697974"/>
      <w:bookmarkStart w:id="3807" w:name="_Toc523735738"/>
      <w:bookmarkStart w:id="3808" w:name="_Toc526248991"/>
      <w:bookmarkStart w:id="3809" w:name="_Toc526409498"/>
      <w:bookmarkStart w:id="3810" w:name="_Toc526939149"/>
      <w:bookmarkStart w:id="3811" w:name="_Toc527060265"/>
      <w:bookmarkStart w:id="3812" w:name="_Toc527060413"/>
      <w:bookmarkStart w:id="3813" w:name="_Toc527100790"/>
      <w:bookmarkStart w:id="3814" w:name="_Toc528227046"/>
      <w:bookmarkStart w:id="3815" w:name="_Toc528227210"/>
      <w:bookmarkStart w:id="3816" w:name="_Toc528227372"/>
      <w:bookmarkStart w:id="3817" w:name="_Toc19389458"/>
      <w:bookmarkStart w:id="3818" w:name="_Toc19392955"/>
      <w:r>
        <w:rPr>
          <w:rFonts w:hint="cs"/>
          <w:rtl/>
        </w:rPr>
        <w:t>קושית הגרעק"א דהיה לרב הונא לומר דאסור באבד הסכין וכ"ש בשיבר עצמות</w:t>
      </w:r>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p>
    <w:p w14:paraId="5B6563D7" w14:textId="77777777" w:rsidR="00FC47D4" w:rsidRDefault="00FC47D4" w:rsidP="00223668">
      <w:pPr>
        <w:pStyle w:val="a0"/>
        <w:rPr>
          <w:rtl/>
        </w:rPr>
      </w:pPr>
      <w:bookmarkStart w:id="3819" w:name="_Ref523414379"/>
      <w:r>
        <w:rPr>
          <w:rFonts w:hint="cs"/>
          <w:rtl/>
        </w:rPr>
        <w:t>הקשה</w:t>
      </w:r>
      <w:r w:rsidRPr="00871522">
        <w:rPr>
          <w:rStyle w:val="af9"/>
          <w:rFonts w:hint="cs"/>
          <w:rtl/>
        </w:rPr>
        <w:t xml:space="preserve"> הגרעק"א</w:t>
      </w:r>
      <w:r>
        <w:rPr>
          <w:rFonts w:hint="cs"/>
          <w:rtl/>
        </w:rPr>
        <w:t xml:space="preserve"> </w:t>
      </w:r>
      <w:r w:rsidRPr="00871522">
        <w:rPr>
          <w:rStyle w:val="af7"/>
          <w:rFonts w:eastAsia="Guttman Hodes" w:hint="cs"/>
          <w:rtl/>
        </w:rPr>
        <w:t>(ד"ה אמנם)</w:t>
      </w:r>
      <w:r>
        <w:rPr>
          <w:rFonts w:hint="cs"/>
          <w:rtl/>
        </w:rPr>
        <w:t xml:space="preserve"> על </w:t>
      </w:r>
      <w:r w:rsidRPr="00871522">
        <w:rPr>
          <w:rStyle w:val="af9"/>
          <w:rFonts w:hint="cs"/>
          <w:rtl/>
        </w:rPr>
        <w:t xml:space="preserve">הרמב"ן </w:t>
      </w:r>
      <w:r w:rsidRPr="00871522">
        <w:rPr>
          <w:rStyle w:val="af7"/>
          <w:rFonts w:eastAsia="Guttman Hodes" w:hint="cs"/>
          <w:rtl/>
        </w:rPr>
        <w:t xml:space="preserve">(עי' אות </w:t>
      </w:r>
      <w:r w:rsidRPr="00871522">
        <w:rPr>
          <w:rStyle w:val="af7"/>
          <w:rFonts w:eastAsia="Guttman Hodes"/>
          <w:rtl/>
        </w:rPr>
        <w:fldChar w:fldCharType="begin"/>
      </w:r>
      <w:r w:rsidRPr="00871522">
        <w:rPr>
          <w:rStyle w:val="af7"/>
          <w:rFonts w:eastAsia="Guttman Hodes"/>
          <w:rtl/>
        </w:rPr>
        <w:instrText xml:space="preserve"> </w:instrText>
      </w:r>
      <w:r w:rsidRPr="00871522">
        <w:rPr>
          <w:rStyle w:val="af7"/>
          <w:rFonts w:eastAsia="Guttman Hodes" w:hint="cs"/>
        </w:rPr>
        <w:instrText>REF</w:instrText>
      </w:r>
      <w:r w:rsidRPr="00871522">
        <w:rPr>
          <w:rStyle w:val="af7"/>
          <w:rFonts w:eastAsia="Guttman Hodes" w:hint="cs"/>
          <w:rtl/>
        </w:rPr>
        <w:instrText xml:space="preserve"> _</w:instrText>
      </w:r>
      <w:r w:rsidRPr="00871522">
        <w:rPr>
          <w:rStyle w:val="af7"/>
          <w:rFonts w:eastAsia="Guttman Hodes" w:hint="cs"/>
        </w:rPr>
        <w:instrText>Ref523132416 \r \h</w:instrText>
      </w:r>
      <w:r w:rsidRPr="00871522">
        <w:rPr>
          <w:rStyle w:val="af7"/>
          <w:rFonts w:eastAsia="Guttman Hodes"/>
          <w:rtl/>
        </w:rPr>
        <w:instrText xml:space="preserve"> </w:instrText>
      </w:r>
      <w:r w:rsidRPr="00871522">
        <w:rPr>
          <w:rStyle w:val="af7"/>
          <w:rFonts w:eastAsia="Guttman Hodes"/>
          <w:rtl/>
        </w:rPr>
      </w:r>
      <w:r w:rsidRPr="00871522">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871522">
        <w:rPr>
          <w:rStyle w:val="af7"/>
          <w:rFonts w:eastAsia="Guttman Hodes"/>
          <w:rtl/>
        </w:rPr>
        <w:fldChar w:fldCharType="end"/>
      </w:r>
      <w:r>
        <w:rPr>
          <w:rFonts w:hint="cs"/>
          <w:rtl/>
        </w:rPr>
        <w:t xml:space="preserve"> דאסר לרב הונא באבד הסכין, דאמאי אמר רב הונא דאף בשיבר בה עצמות כל היום השחיטה פסולה, דמאי נ"מ אם אפשר לתלות בעצמות, הא כיון דאם אבד הסכין פסולה, כ"ש בשיבר בה עצמות, וע"ע בקושית </w:t>
      </w:r>
      <w:r w:rsidRPr="004D5121">
        <w:rPr>
          <w:rStyle w:val="af9"/>
          <w:rFonts w:hint="cs"/>
          <w:rtl/>
        </w:rPr>
        <w:t>הרשב"א במשה"ב</w:t>
      </w:r>
      <w:r>
        <w:rPr>
          <w:rFonts w:hint="cs"/>
          <w:rtl/>
        </w:rPr>
        <w:t xml:space="preserve"> </w:t>
      </w:r>
      <w:r w:rsidRPr="004D5121">
        <w:rPr>
          <w:rStyle w:val="af7"/>
          <w:rFonts w:eastAsia="Guttman Hodes" w:hint="cs"/>
          <w:rtl/>
        </w:rPr>
        <w:t xml:space="preserve">(עי' אות </w:t>
      </w:r>
      <w:r w:rsidRPr="004D5121">
        <w:rPr>
          <w:rStyle w:val="af7"/>
          <w:rFonts w:eastAsia="Guttman Hodes"/>
          <w:rtl/>
        </w:rPr>
        <w:fldChar w:fldCharType="begin"/>
      </w:r>
      <w:r w:rsidRPr="004D5121">
        <w:rPr>
          <w:rStyle w:val="af7"/>
          <w:rFonts w:eastAsia="Guttman Hodes"/>
          <w:rtl/>
        </w:rPr>
        <w:instrText xml:space="preserve"> </w:instrText>
      </w:r>
      <w:r w:rsidRPr="004D5121">
        <w:rPr>
          <w:rStyle w:val="af7"/>
          <w:rFonts w:eastAsia="Guttman Hodes" w:hint="cs"/>
        </w:rPr>
        <w:instrText>REF</w:instrText>
      </w:r>
      <w:r w:rsidRPr="004D5121">
        <w:rPr>
          <w:rStyle w:val="af7"/>
          <w:rFonts w:eastAsia="Guttman Hodes" w:hint="cs"/>
          <w:rtl/>
        </w:rPr>
        <w:instrText xml:space="preserve"> _</w:instrText>
      </w:r>
      <w:r w:rsidRPr="004D5121">
        <w:rPr>
          <w:rStyle w:val="af7"/>
          <w:rFonts w:eastAsia="Guttman Hodes" w:hint="cs"/>
        </w:rPr>
        <w:instrText>Ref523414442 \r \h</w:instrText>
      </w:r>
      <w:r w:rsidRPr="004D5121">
        <w:rPr>
          <w:rStyle w:val="af7"/>
          <w:rFonts w:eastAsia="Guttman Hodes"/>
          <w:rtl/>
        </w:rPr>
        <w:instrText xml:space="preserve"> </w:instrText>
      </w:r>
      <w:r w:rsidRPr="004D5121">
        <w:rPr>
          <w:rStyle w:val="af7"/>
          <w:rFonts w:eastAsia="Guttman Hodes"/>
          <w:rtl/>
        </w:rPr>
      </w:r>
      <w:r w:rsidRPr="004D5121">
        <w:rPr>
          <w:rStyle w:val="af7"/>
          <w:rFonts w:eastAsia="Guttman Hodes"/>
          <w:rtl/>
        </w:rPr>
        <w:fldChar w:fldCharType="separate"/>
      </w:r>
      <w:r w:rsidR="00345400">
        <w:rPr>
          <w:rStyle w:val="af7"/>
          <w:rFonts w:eastAsia="Guttman Hodes"/>
          <w:cs/>
        </w:rPr>
        <w:t>‎</w:t>
      </w:r>
      <w:r w:rsidR="00345400">
        <w:rPr>
          <w:rStyle w:val="af7"/>
          <w:rFonts w:eastAsia="Guttman Hodes"/>
          <w:rtl/>
        </w:rPr>
        <w:t>מט)</w:t>
      </w:r>
      <w:r w:rsidRPr="004D5121">
        <w:rPr>
          <w:rStyle w:val="af7"/>
          <w:rFonts w:eastAsia="Guttman Hodes"/>
          <w:rtl/>
        </w:rPr>
        <w:fldChar w:fldCharType="end"/>
      </w:r>
      <w:r>
        <w:rPr>
          <w:rFonts w:hint="cs"/>
          <w:rtl/>
        </w:rPr>
        <w:t xml:space="preserve"> על </w:t>
      </w:r>
      <w:r w:rsidRPr="004D5121">
        <w:rPr>
          <w:rStyle w:val="af9"/>
          <w:rFonts w:hint="cs"/>
          <w:rtl/>
        </w:rPr>
        <w:t>הרמב"ן</w:t>
      </w:r>
      <w:r>
        <w:rPr>
          <w:rFonts w:hint="cs"/>
          <w:rtl/>
        </w:rPr>
        <w:t>.</w:t>
      </w:r>
      <w:bookmarkEnd w:id="3819"/>
    </w:p>
    <w:p w14:paraId="5BB41382" w14:textId="77777777" w:rsidR="00FC47D4" w:rsidRDefault="00FC47D4" w:rsidP="006D6D32">
      <w:pPr>
        <w:pStyle w:val="a3"/>
        <w:rPr>
          <w:rtl/>
        </w:rPr>
      </w:pPr>
      <w:bookmarkStart w:id="3820" w:name="_Toc523735739"/>
      <w:bookmarkStart w:id="3821" w:name="_Toc526248992"/>
      <w:bookmarkStart w:id="3822" w:name="_Toc526409499"/>
      <w:bookmarkStart w:id="3823" w:name="_Toc526939150"/>
      <w:bookmarkStart w:id="3824" w:name="_Toc527060266"/>
      <w:bookmarkStart w:id="3825" w:name="_Toc527060414"/>
      <w:bookmarkStart w:id="3826" w:name="_Toc527100791"/>
      <w:bookmarkStart w:id="3827" w:name="_Toc528227047"/>
      <w:bookmarkStart w:id="3828" w:name="_Toc528227211"/>
      <w:bookmarkStart w:id="3829" w:name="_Toc528227373"/>
      <w:bookmarkStart w:id="3830" w:name="_Toc19389459"/>
      <w:bookmarkStart w:id="3831" w:name="_Toc19392956"/>
      <w:r>
        <w:rPr>
          <w:rFonts w:hint="cs"/>
          <w:rtl/>
        </w:rPr>
        <w:t>ביאור הגרעק"א דחידש רב הונא דאף בספק ספיקא אסור ובאבד לא שייך ספק ספיקא</w:t>
      </w:r>
      <w:bookmarkEnd w:id="3820"/>
      <w:bookmarkEnd w:id="3821"/>
      <w:bookmarkEnd w:id="3822"/>
      <w:bookmarkEnd w:id="3823"/>
      <w:bookmarkEnd w:id="3824"/>
      <w:bookmarkEnd w:id="3825"/>
      <w:bookmarkEnd w:id="3826"/>
      <w:bookmarkEnd w:id="3827"/>
      <w:bookmarkEnd w:id="3828"/>
      <w:bookmarkEnd w:id="3829"/>
      <w:bookmarkEnd w:id="3830"/>
      <w:bookmarkEnd w:id="3831"/>
    </w:p>
    <w:p w14:paraId="265D4B5A" w14:textId="77777777" w:rsidR="00FC47D4" w:rsidRDefault="00FC47D4" w:rsidP="00223668">
      <w:pPr>
        <w:pStyle w:val="a0"/>
        <w:rPr>
          <w:rtl/>
        </w:rPr>
      </w:pPr>
      <w:r w:rsidRPr="008658E3">
        <w:rPr>
          <w:rFonts w:hint="cs"/>
          <w:rtl/>
        </w:rPr>
        <w:t xml:space="preserve">ותירץ </w:t>
      </w:r>
      <w:r w:rsidRPr="00FA5760">
        <w:rPr>
          <w:rStyle w:val="af9"/>
          <w:rFonts w:hint="cs"/>
          <w:rtl/>
        </w:rPr>
        <w:t>הגרעק"א</w:t>
      </w:r>
      <w:r w:rsidRPr="00FA5760">
        <w:rPr>
          <w:rFonts w:hint="cs"/>
          <w:rtl/>
        </w:rPr>
        <w:t xml:space="preserve"> </w:t>
      </w:r>
      <w:r w:rsidRPr="00FA5760">
        <w:rPr>
          <w:rStyle w:val="af7"/>
          <w:rFonts w:eastAsia="Guttman Hodes" w:hint="cs"/>
          <w:rtl/>
        </w:rPr>
        <w:t>(ד"ה ונלע"ד דהנה)</w:t>
      </w:r>
      <w:r w:rsidRPr="00FA5760">
        <w:rPr>
          <w:rFonts w:hint="cs"/>
          <w:rtl/>
        </w:rPr>
        <w:t xml:space="preserve"> </w:t>
      </w:r>
      <w:bookmarkEnd w:id="3793"/>
      <w:r w:rsidRPr="002E477D">
        <w:rPr>
          <w:rStyle w:val="afb"/>
          <w:rFonts w:hint="cs"/>
          <w:rtl/>
        </w:rPr>
        <w:t xml:space="preserve">[עפי"ד </w:t>
      </w:r>
      <w:r>
        <w:rPr>
          <w:rStyle w:val="affa"/>
          <w:rFonts w:hint="cs"/>
          <w:rtl/>
        </w:rPr>
        <w:t>התירוץ הג' ב</w:t>
      </w:r>
      <w:r w:rsidRPr="002E477D">
        <w:rPr>
          <w:rStyle w:val="affa"/>
          <w:rFonts w:hint="cs"/>
          <w:rtl/>
        </w:rPr>
        <w:t>תוס'</w:t>
      </w:r>
      <w:r>
        <w:rPr>
          <w:rStyle w:val="afb"/>
          <w:rFonts w:hint="cs"/>
          <w:rtl/>
        </w:rPr>
        <w:t xml:space="preserve"> </w:t>
      </w:r>
      <w:r w:rsidRPr="00DF28A4">
        <w:rPr>
          <w:rStyle w:val="aff6"/>
          <w:rFonts w:hint="cs"/>
          <w:rtl/>
        </w:rPr>
        <w:t xml:space="preserve">(ד"ה סכין)  </w:t>
      </w:r>
      <w:r w:rsidRPr="002E477D">
        <w:rPr>
          <w:rStyle w:val="affa"/>
          <w:rFonts w:hint="cs"/>
          <w:rtl/>
        </w:rPr>
        <w:t>והרשב"א</w:t>
      </w:r>
      <w:r w:rsidRPr="002E477D">
        <w:rPr>
          <w:rStyle w:val="afb"/>
          <w:rFonts w:hint="cs"/>
          <w:rtl/>
        </w:rPr>
        <w:t xml:space="preserve"> </w:t>
      </w:r>
      <w:r w:rsidRPr="002E477D">
        <w:rPr>
          <w:rStyle w:val="aff6"/>
          <w:rFonts w:hint="cs"/>
          <w:rtl/>
        </w:rPr>
        <w:t>(</w:t>
      </w:r>
      <w:r w:rsidRPr="00D462D8">
        <w:rPr>
          <w:rStyle w:val="aff6"/>
          <w:rtl/>
        </w:rPr>
        <w:t>ד"ה הכא נמי)</w:t>
      </w:r>
      <w:r>
        <w:rPr>
          <w:rStyle w:val="afb"/>
          <w:rFonts w:hint="cs"/>
          <w:rtl/>
        </w:rPr>
        <w:t>]</w:t>
      </w:r>
      <w:r w:rsidRPr="002E477D">
        <w:rPr>
          <w:rStyle w:val="afb"/>
          <w:rFonts w:hint="cs"/>
          <w:rtl/>
        </w:rPr>
        <w:t xml:space="preserve">, </w:t>
      </w:r>
      <w:r w:rsidRPr="00FA5760">
        <w:rPr>
          <w:rFonts w:hint="cs"/>
          <w:rtl/>
        </w:rPr>
        <w:t>דרב הונא הוצרך לחדש דאף בס"ס השחיטה פסולה, כגון בשחט בסכין גדול, דיתכן ששחט שלא במקום הפגם, ואפ"ה ס"ל לרב הונא דאסור, או כיון</w:t>
      </w:r>
      <w:r>
        <w:rPr>
          <w:rFonts w:hint="cs"/>
          <w:rtl/>
        </w:rPr>
        <w:t xml:space="preserve"> שהבהמה בחזקת איסור, או דס"ל דאי"ז ספק ספיקא דמסתמא שחט בכל הסכין, ואם היה רב הונא אומר את דינו באבד הסכין, שלא שייך בזה ספק ספיקא דאף אם שחט בסכין גדול, מ"מ כיון שהסכין אינו לפנינו אנו דנים על מקום הסכין ששחט בו, אין כל נדון על שאר הסכין, עיי"ש בדבריו.</w:t>
      </w:r>
    </w:p>
    <w:p w14:paraId="64208F77" w14:textId="77777777" w:rsidR="00FC47D4" w:rsidRDefault="00FC47D4" w:rsidP="006D6D32">
      <w:pPr>
        <w:pStyle w:val="afe"/>
        <w:rPr>
          <w:rtl/>
        </w:rPr>
      </w:pPr>
      <w:bookmarkStart w:id="3832" w:name="_Toc526939151"/>
      <w:bookmarkStart w:id="3833" w:name="_Toc527060267"/>
      <w:bookmarkStart w:id="3834" w:name="_Toc527060415"/>
      <w:bookmarkStart w:id="3835" w:name="_Toc527100792"/>
      <w:bookmarkStart w:id="3836" w:name="_Toc528227048"/>
      <w:bookmarkStart w:id="3837" w:name="_Toc528227212"/>
      <w:bookmarkStart w:id="3838" w:name="_Toc528227374"/>
      <w:bookmarkStart w:id="3839" w:name="_Toc19435328"/>
      <w:bookmarkStart w:id="3840" w:name="_Toc20080666"/>
      <w:r>
        <w:rPr>
          <w:rFonts w:hint="cs"/>
          <w:rtl/>
        </w:rPr>
        <w:t>בסתירת החזקות לרב הונא</w:t>
      </w:r>
      <w:bookmarkEnd w:id="3832"/>
      <w:bookmarkEnd w:id="3833"/>
      <w:bookmarkEnd w:id="3834"/>
      <w:bookmarkEnd w:id="3835"/>
      <w:bookmarkEnd w:id="3836"/>
      <w:bookmarkEnd w:id="3837"/>
      <w:bookmarkEnd w:id="3838"/>
      <w:bookmarkEnd w:id="3839"/>
      <w:bookmarkEnd w:id="3840"/>
    </w:p>
    <w:p w14:paraId="502CA4EB" w14:textId="77777777" w:rsidR="00FC47D4" w:rsidRDefault="00FC47D4" w:rsidP="00BF39B2">
      <w:pPr>
        <w:pStyle w:val="1"/>
        <w:rPr>
          <w:rtl/>
        </w:rPr>
      </w:pPr>
      <w:bookmarkStart w:id="3841" w:name="_Toc523397225"/>
      <w:bookmarkStart w:id="3842" w:name="_Toc523490353"/>
      <w:bookmarkStart w:id="3843" w:name="_Toc523697976"/>
      <w:bookmarkStart w:id="3844" w:name="_Toc523735771"/>
      <w:bookmarkStart w:id="3845" w:name="_Toc526249027"/>
      <w:bookmarkStart w:id="3846" w:name="_Toc526409547"/>
      <w:bookmarkStart w:id="3847" w:name="_Toc526939152"/>
      <w:bookmarkStart w:id="3848" w:name="_Toc527060268"/>
      <w:bookmarkStart w:id="3849" w:name="_Toc527060416"/>
      <w:bookmarkStart w:id="3850" w:name="_Toc527100793"/>
      <w:bookmarkStart w:id="3851" w:name="_Toc528227049"/>
      <w:bookmarkStart w:id="3852" w:name="_Toc528227213"/>
      <w:bookmarkStart w:id="3853" w:name="_Toc528227375"/>
      <w:bookmarkStart w:id="3854" w:name="_Toc19389460"/>
      <w:bookmarkStart w:id="3855" w:name="_Toc19392957"/>
      <w:r>
        <w:rPr>
          <w:rFonts w:hint="cs"/>
          <w:rtl/>
        </w:rPr>
        <w:t>דברי הש"ש והגרעק"א אי הוי נבילה בודאי או בספק</w:t>
      </w:r>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p>
    <w:p w14:paraId="5BBF994C" w14:textId="77777777" w:rsidR="00FC47D4" w:rsidRPr="007B1177" w:rsidRDefault="00FC47D4" w:rsidP="006D6D32">
      <w:pPr>
        <w:pStyle w:val="a3"/>
      </w:pPr>
      <w:bookmarkStart w:id="3856" w:name="_Toc523735773"/>
      <w:bookmarkStart w:id="3857" w:name="_Toc526249029"/>
      <w:bookmarkStart w:id="3858" w:name="_Toc526409549"/>
      <w:bookmarkStart w:id="3859" w:name="_Toc526939153"/>
      <w:bookmarkStart w:id="3860" w:name="_Toc527060269"/>
      <w:bookmarkStart w:id="3861" w:name="_Toc527060417"/>
      <w:bookmarkStart w:id="3862" w:name="_Toc527100794"/>
      <w:bookmarkStart w:id="3863" w:name="_Toc528227050"/>
      <w:bookmarkStart w:id="3864" w:name="_Toc528227214"/>
      <w:bookmarkStart w:id="3865" w:name="_Toc528227376"/>
      <w:bookmarkStart w:id="3866" w:name="_Toc19389461"/>
      <w:bookmarkStart w:id="3867" w:name="_Toc19392958"/>
      <w:bookmarkStart w:id="3868" w:name="_Toc523735772"/>
      <w:bookmarkStart w:id="3869" w:name="_Toc526249028"/>
      <w:bookmarkStart w:id="3870" w:name="_Toc526409548"/>
      <w:r>
        <w:rPr>
          <w:rFonts w:hint="cs"/>
          <w:rtl/>
        </w:rPr>
        <w:t>ספק הגרעק"א אי הוי נבילה בודאי או בספק</w:t>
      </w:r>
      <w:bookmarkEnd w:id="3856"/>
      <w:bookmarkEnd w:id="3857"/>
      <w:bookmarkEnd w:id="3858"/>
      <w:bookmarkEnd w:id="3859"/>
      <w:bookmarkEnd w:id="3860"/>
      <w:bookmarkEnd w:id="3861"/>
      <w:bookmarkEnd w:id="3862"/>
      <w:bookmarkEnd w:id="3863"/>
      <w:bookmarkEnd w:id="3864"/>
      <w:bookmarkEnd w:id="3865"/>
      <w:bookmarkEnd w:id="3866"/>
      <w:bookmarkEnd w:id="3867"/>
    </w:p>
    <w:p w14:paraId="6068CEDA" w14:textId="77777777" w:rsidR="00FC47D4" w:rsidRDefault="00FC47D4" w:rsidP="00223668">
      <w:pPr>
        <w:pStyle w:val="a0"/>
        <w:rPr>
          <w:rtl/>
        </w:rPr>
      </w:pPr>
      <w:bookmarkStart w:id="3871" w:name="_Ref526667965"/>
      <w:r>
        <w:rPr>
          <w:rFonts w:hint="cs"/>
          <w:rtl/>
        </w:rPr>
        <w:t xml:space="preserve">כתב </w:t>
      </w:r>
      <w:r w:rsidRPr="001A6128">
        <w:rPr>
          <w:rStyle w:val="af9"/>
          <w:rFonts w:hint="cs"/>
          <w:rtl/>
        </w:rPr>
        <w:t xml:space="preserve">הגרעק"א </w:t>
      </w:r>
      <w:r w:rsidRPr="001A6128">
        <w:rPr>
          <w:rStyle w:val="af7"/>
          <w:rFonts w:eastAsia="Guttman Hodes" w:hint="cs"/>
          <w:rtl/>
        </w:rPr>
        <w:t>(ד"ה איתמר)</w:t>
      </w:r>
      <w:r>
        <w:rPr>
          <w:rFonts w:hint="cs"/>
          <w:rtl/>
        </w:rPr>
        <w:t xml:space="preserve"> דיש להסתפק בסכין שנמצא פגום להלכה דקיי"ל כרב הונא דאסורה, אי הוי ודאי נבילה או ספק נבילה, דהרי לדעת רב חסדא מעמידים את הסכין על חזקתו, אף בלא שיבר בה עצמות, דאף שיש לבהמה חזקת איסור, מ"מ אמרינן דסכין איתרע בהמה לא איתרע, וכדכתבו </w:t>
      </w:r>
      <w:r>
        <w:rPr>
          <w:rStyle w:val="af9"/>
          <w:rtl/>
        </w:rPr>
        <w:t>התוס'</w:t>
      </w:r>
      <w:r>
        <w:rPr>
          <w:rtl/>
        </w:rPr>
        <w:t xml:space="preserve"> </w:t>
      </w:r>
      <w:r>
        <w:rPr>
          <w:rStyle w:val="af7"/>
          <w:rFonts w:eastAsia="Guttman Hodes" w:hint="cs"/>
          <w:rtl/>
        </w:rPr>
        <w:t>(ד"ה סכין)</w:t>
      </w:r>
      <w:r>
        <w:rPr>
          <w:rtl/>
        </w:rPr>
        <w:t xml:space="preserve"> </w:t>
      </w:r>
      <w:r>
        <w:rPr>
          <w:rFonts w:hint="cs"/>
          <w:rtl/>
        </w:rPr>
        <w:t>דיש יותר סברא להקל בסכין ממקוה, וא"כ אף דקיי"ל דבלא שיבר בה עצמות אסורה כרב הונא, מ"מ כיון שכנגד החזקת איסור של הבהמה יש את חזקת הסכין שהוא שלם, אינו ודאי אלא ספק.</w:t>
      </w:r>
      <w:bookmarkEnd w:id="3871"/>
    </w:p>
    <w:p w14:paraId="2FD45DA8" w14:textId="77777777" w:rsidR="00FC47D4" w:rsidRDefault="00FC47D4" w:rsidP="006D6D32">
      <w:pPr>
        <w:pStyle w:val="a3"/>
        <w:rPr>
          <w:rtl/>
        </w:rPr>
      </w:pPr>
      <w:bookmarkStart w:id="3872" w:name="_Toc526939154"/>
      <w:bookmarkStart w:id="3873" w:name="_Toc527060270"/>
      <w:bookmarkStart w:id="3874" w:name="_Toc527060418"/>
      <w:bookmarkStart w:id="3875" w:name="_Toc527100795"/>
      <w:bookmarkStart w:id="3876" w:name="_Toc528227051"/>
      <w:bookmarkStart w:id="3877" w:name="_Toc528227215"/>
      <w:bookmarkStart w:id="3878" w:name="_Toc528227377"/>
      <w:bookmarkStart w:id="3879" w:name="_Toc19389462"/>
      <w:bookmarkStart w:id="3880" w:name="_Toc19392959"/>
      <w:r>
        <w:rPr>
          <w:rFonts w:hint="cs"/>
          <w:rtl/>
        </w:rPr>
        <w:t>דברי הש"ש דהוי ספק נבילה כיון שיש סתירה בחזקות</w:t>
      </w:r>
      <w:bookmarkEnd w:id="3868"/>
      <w:bookmarkEnd w:id="3869"/>
      <w:bookmarkEnd w:id="3870"/>
      <w:bookmarkEnd w:id="3872"/>
      <w:bookmarkEnd w:id="3873"/>
      <w:bookmarkEnd w:id="3874"/>
      <w:bookmarkEnd w:id="3875"/>
      <w:bookmarkEnd w:id="3876"/>
      <w:bookmarkEnd w:id="3877"/>
      <w:bookmarkEnd w:id="3878"/>
      <w:bookmarkEnd w:id="3879"/>
      <w:bookmarkEnd w:id="3880"/>
    </w:p>
    <w:p w14:paraId="0119D56B" w14:textId="77777777" w:rsidR="00FC47D4" w:rsidRDefault="00FC47D4" w:rsidP="00223668">
      <w:pPr>
        <w:pStyle w:val="a0"/>
        <w:rPr>
          <w:rtl/>
        </w:rPr>
      </w:pPr>
      <w:bookmarkStart w:id="3881" w:name="_Ref526667973"/>
      <w:bookmarkStart w:id="3882" w:name="_Ref527231549"/>
      <w:r>
        <w:rPr>
          <w:rFonts w:hint="cs"/>
          <w:rtl/>
        </w:rPr>
        <w:t xml:space="preserve">הביא </w:t>
      </w:r>
      <w:r w:rsidRPr="00487542">
        <w:rPr>
          <w:rStyle w:val="af9"/>
          <w:rFonts w:hint="cs"/>
          <w:rtl/>
        </w:rPr>
        <w:t>הש"ש</w:t>
      </w:r>
      <w:r>
        <w:rPr>
          <w:rFonts w:hint="cs"/>
          <w:rtl/>
        </w:rPr>
        <w:t xml:space="preserve"> </w:t>
      </w:r>
      <w:r w:rsidRPr="00487542">
        <w:rPr>
          <w:rStyle w:val="af7"/>
          <w:rFonts w:eastAsia="Guttman Hodes" w:hint="cs"/>
          <w:rtl/>
        </w:rPr>
        <w:t>(ש"ג פט"ו ד"ה ובדברי)</w:t>
      </w:r>
      <w:r>
        <w:rPr>
          <w:rFonts w:hint="cs"/>
          <w:rtl/>
        </w:rPr>
        <w:t xml:space="preserve"> את דברי </w:t>
      </w:r>
      <w:r w:rsidRPr="00487542">
        <w:rPr>
          <w:rStyle w:val="af9"/>
          <w:rFonts w:hint="cs"/>
          <w:rtl/>
        </w:rPr>
        <w:t>השו"ע</w:t>
      </w:r>
      <w:r>
        <w:rPr>
          <w:rFonts w:hint="cs"/>
          <w:rtl/>
        </w:rPr>
        <w:t xml:space="preserve"> </w:t>
      </w:r>
      <w:r w:rsidRPr="00487542">
        <w:rPr>
          <w:rStyle w:val="af7"/>
          <w:rFonts w:eastAsia="Guttman Hodes" w:hint="cs"/>
          <w:rtl/>
        </w:rPr>
        <w:t>(כ"ח כ')</w:t>
      </w:r>
      <w:r>
        <w:rPr>
          <w:rFonts w:hint="cs"/>
          <w:rtl/>
        </w:rPr>
        <w:t xml:space="preserve"> דכתב דבסכין שנמצא פגום היא ספק נבילה, ולא ודאי נבילה,</w:t>
      </w:r>
      <w:r>
        <w:rPr>
          <w:rStyle w:val="afb"/>
          <w:rFonts w:hint="cs"/>
          <w:rtl/>
        </w:rPr>
        <w:t xml:space="preserve"> [</w:t>
      </w:r>
      <w:r w:rsidRPr="00750379">
        <w:rPr>
          <w:rStyle w:val="afb"/>
          <w:rFonts w:hint="cs"/>
          <w:rtl/>
        </w:rPr>
        <w:t xml:space="preserve">ונ"מ לענין כיסוי הדם דמכסה בלא ברכה], </w:t>
      </w:r>
      <w:r>
        <w:rPr>
          <w:rFonts w:hint="cs"/>
          <w:rtl/>
        </w:rPr>
        <w:t xml:space="preserve">וביאר </w:t>
      </w:r>
      <w:r w:rsidRPr="00750379">
        <w:rPr>
          <w:rStyle w:val="af9"/>
          <w:rFonts w:hint="cs"/>
          <w:rtl/>
        </w:rPr>
        <w:t>הש"ש</w:t>
      </w:r>
      <w:r>
        <w:rPr>
          <w:rFonts w:hint="cs"/>
          <w:rtl/>
        </w:rPr>
        <w:t xml:space="preserve"> דכיון שיש סתירה בין החזקת אינו זבוח של הבהמה, לחזקת הסכין שהוא בדוק, משא"כ בשאר הספיקות בשחיטה דאין </w:t>
      </w:r>
      <w:r w:rsidRPr="002815C1">
        <w:rPr>
          <w:rFonts w:hint="cs"/>
          <w:rtl/>
        </w:rPr>
        <w:t xml:space="preserve">סתירה בחזקות, ומעמידים את הבהמה בחזקת אינו זבוח, והוי ודאי נבילה. וע"ע בביאור דברי </w:t>
      </w:r>
      <w:r w:rsidRPr="002815C1">
        <w:rPr>
          <w:rStyle w:val="af9"/>
          <w:rFonts w:hint="cs"/>
          <w:rtl/>
        </w:rPr>
        <w:t>הרמב"ם</w:t>
      </w:r>
      <w:r w:rsidRPr="002815C1">
        <w:rPr>
          <w:rFonts w:hint="cs"/>
          <w:rtl/>
        </w:rPr>
        <w:t xml:space="preserve"> </w:t>
      </w:r>
      <w:bookmarkEnd w:id="3881"/>
      <w:r w:rsidRPr="002815C1">
        <w:rPr>
          <w:rStyle w:val="af7"/>
          <w:rFonts w:eastAsia="Guttman Hodes" w:hint="cs"/>
          <w:rtl/>
        </w:rPr>
        <w:t xml:space="preserve">(עי' אות </w:t>
      </w:r>
      <w:r w:rsidRPr="002815C1">
        <w:rPr>
          <w:rStyle w:val="af7"/>
          <w:rFonts w:eastAsia="Guttman Hodes"/>
          <w:rtl/>
        </w:rPr>
        <w:fldChar w:fldCharType="begin"/>
      </w:r>
      <w:r w:rsidRPr="002815C1">
        <w:rPr>
          <w:rStyle w:val="af7"/>
          <w:rFonts w:eastAsia="Guttman Hodes"/>
          <w:rtl/>
        </w:rPr>
        <w:instrText xml:space="preserve"> </w:instrText>
      </w:r>
      <w:r w:rsidRPr="002815C1">
        <w:rPr>
          <w:rStyle w:val="af7"/>
          <w:rFonts w:eastAsia="Guttman Hodes" w:hint="cs"/>
        </w:rPr>
        <w:instrText>REF</w:instrText>
      </w:r>
      <w:r w:rsidRPr="002815C1">
        <w:rPr>
          <w:rStyle w:val="af7"/>
          <w:rFonts w:eastAsia="Guttman Hodes" w:hint="cs"/>
          <w:rtl/>
        </w:rPr>
        <w:instrText xml:space="preserve"> _</w:instrText>
      </w:r>
      <w:r w:rsidRPr="002815C1">
        <w:rPr>
          <w:rStyle w:val="af7"/>
          <w:rFonts w:eastAsia="Guttman Hodes" w:hint="cs"/>
        </w:rPr>
        <w:instrText>Ref526668054 \r \h</w:instrText>
      </w:r>
      <w:r w:rsidRPr="002815C1">
        <w:rPr>
          <w:rStyle w:val="af7"/>
          <w:rFonts w:eastAsia="Guttman Hodes"/>
          <w:rtl/>
        </w:rPr>
        <w:instrText xml:space="preserve">  \* </w:instrText>
      </w:r>
      <w:r w:rsidRPr="002815C1">
        <w:rPr>
          <w:rStyle w:val="af7"/>
          <w:rFonts w:eastAsia="Guttman Hodes"/>
        </w:rPr>
        <w:instrText>MERGEFORMAT</w:instrText>
      </w:r>
      <w:r w:rsidRPr="002815C1">
        <w:rPr>
          <w:rStyle w:val="af7"/>
          <w:rFonts w:eastAsia="Guttman Hodes"/>
          <w:rtl/>
        </w:rPr>
        <w:instrText xml:space="preserve"> </w:instrText>
      </w:r>
      <w:r w:rsidRPr="002815C1">
        <w:rPr>
          <w:rStyle w:val="af7"/>
          <w:rFonts w:eastAsia="Guttman Hodes"/>
          <w:rtl/>
        </w:rPr>
      </w:r>
      <w:r w:rsidRPr="002815C1">
        <w:rPr>
          <w:rStyle w:val="af7"/>
          <w:rFonts w:eastAsia="Guttman Hodes"/>
          <w:rtl/>
        </w:rPr>
        <w:fldChar w:fldCharType="separate"/>
      </w:r>
      <w:r w:rsidR="00345400">
        <w:rPr>
          <w:rStyle w:val="af7"/>
          <w:rFonts w:eastAsia="Guttman Hodes"/>
          <w:cs/>
        </w:rPr>
        <w:t>‎</w:t>
      </w:r>
      <w:r w:rsidR="00345400">
        <w:rPr>
          <w:rStyle w:val="af7"/>
          <w:rFonts w:eastAsia="Guttman Hodes"/>
          <w:rtl/>
        </w:rPr>
        <w:t>צז)</w:t>
      </w:r>
      <w:r w:rsidRPr="002815C1">
        <w:rPr>
          <w:rStyle w:val="af7"/>
          <w:rFonts w:eastAsia="Guttman Hodes"/>
          <w:rtl/>
        </w:rPr>
        <w:fldChar w:fldCharType="end"/>
      </w:r>
      <w:r w:rsidRPr="002815C1">
        <w:rPr>
          <w:rFonts w:hint="cs"/>
          <w:rtl/>
        </w:rPr>
        <w:t xml:space="preserve"> אי הוי נבילה בספק או ב</w:t>
      </w:r>
      <w:r>
        <w:rPr>
          <w:rFonts w:hint="cs"/>
          <w:rtl/>
        </w:rPr>
        <w:t>ודאי.</w:t>
      </w:r>
      <w:bookmarkEnd w:id="3882"/>
    </w:p>
    <w:p w14:paraId="571D261D" w14:textId="77777777" w:rsidR="00FC47D4" w:rsidRDefault="00FC47D4" w:rsidP="006D6D32">
      <w:pPr>
        <w:pStyle w:val="afe"/>
        <w:rPr>
          <w:rtl/>
        </w:rPr>
      </w:pPr>
      <w:bookmarkStart w:id="3883" w:name="_Toc526889934"/>
      <w:bookmarkStart w:id="3884" w:name="_Toc526939115"/>
      <w:bookmarkStart w:id="3885" w:name="_Toc527060271"/>
      <w:bookmarkStart w:id="3886" w:name="_Toc527060419"/>
      <w:bookmarkStart w:id="3887" w:name="_Toc527100796"/>
      <w:bookmarkStart w:id="3888" w:name="_Toc528227052"/>
      <w:bookmarkStart w:id="3889" w:name="_Toc528227216"/>
      <w:bookmarkStart w:id="3890" w:name="_Toc528227378"/>
      <w:bookmarkStart w:id="3891" w:name="_Toc19435329"/>
      <w:bookmarkStart w:id="3892" w:name="_Toc20080667"/>
      <w:bookmarkStart w:id="3893" w:name="_Toc523397213"/>
      <w:bookmarkStart w:id="3894" w:name="_Toc523490324"/>
      <w:bookmarkStart w:id="3895" w:name="_Toc523697944"/>
      <w:bookmarkStart w:id="3896" w:name="_Toc523735719"/>
      <w:bookmarkStart w:id="3897" w:name="_Toc526248971"/>
      <w:bookmarkStart w:id="3898" w:name="_Toc526409473"/>
      <w:bookmarkStart w:id="3899" w:name="_Toc524638736"/>
      <w:bookmarkStart w:id="3900" w:name="_Toc525594397"/>
      <w:bookmarkStart w:id="3901" w:name="_Toc526248993"/>
      <w:bookmarkStart w:id="3902" w:name="_Toc526409500"/>
      <w:bookmarkStart w:id="3903" w:name="_Toc526939155"/>
      <w:r>
        <w:rPr>
          <w:rFonts w:hint="cs"/>
          <w:rtl/>
        </w:rPr>
        <w:t>בדין אבד הסכין בכמה בהמות</w:t>
      </w:r>
      <w:bookmarkEnd w:id="3883"/>
      <w:bookmarkEnd w:id="3884"/>
      <w:bookmarkEnd w:id="3885"/>
      <w:bookmarkEnd w:id="3886"/>
      <w:bookmarkEnd w:id="3887"/>
      <w:bookmarkEnd w:id="3888"/>
      <w:bookmarkEnd w:id="3889"/>
      <w:bookmarkEnd w:id="3890"/>
      <w:bookmarkEnd w:id="3891"/>
      <w:bookmarkEnd w:id="3892"/>
    </w:p>
    <w:p w14:paraId="144C01E0" w14:textId="77777777" w:rsidR="00FC47D4" w:rsidRDefault="00FC47D4" w:rsidP="00BF39B2">
      <w:pPr>
        <w:pStyle w:val="1"/>
        <w:rPr>
          <w:rtl/>
        </w:rPr>
      </w:pPr>
      <w:bookmarkStart w:id="3904" w:name="_Toc526889935"/>
      <w:bookmarkStart w:id="3905" w:name="_Toc526939116"/>
      <w:bookmarkStart w:id="3906" w:name="_Toc527060272"/>
      <w:bookmarkStart w:id="3907" w:name="_Toc527060420"/>
      <w:bookmarkStart w:id="3908" w:name="_Toc527100797"/>
      <w:bookmarkStart w:id="3909" w:name="_Toc528227053"/>
      <w:bookmarkStart w:id="3910" w:name="_Toc528227217"/>
      <w:bookmarkStart w:id="3911" w:name="_Toc528227379"/>
      <w:bookmarkStart w:id="3912" w:name="_Toc19389463"/>
      <w:bookmarkStart w:id="3913" w:name="_Toc19392960"/>
      <w:r w:rsidRPr="0013656B">
        <w:rPr>
          <w:rFonts w:hint="cs"/>
          <w:rtl/>
        </w:rPr>
        <w:t>דברי הרמב"ן</w:t>
      </w:r>
      <w:bookmarkEnd w:id="3904"/>
      <w:bookmarkEnd w:id="3905"/>
      <w:r>
        <w:rPr>
          <w:rFonts w:hint="cs"/>
          <w:rtl/>
        </w:rPr>
        <w:t xml:space="preserve"> בחיוב הבדיקה בין שחיטה לשחיטה</w:t>
      </w:r>
      <w:bookmarkEnd w:id="3906"/>
      <w:bookmarkEnd w:id="3907"/>
      <w:bookmarkEnd w:id="3908"/>
      <w:bookmarkEnd w:id="3909"/>
      <w:bookmarkEnd w:id="3910"/>
      <w:bookmarkEnd w:id="3911"/>
      <w:bookmarkEnd w:id="3912"/>
      <w:bookmarkEnd w:id="3913"/>
    </w:p>
    <w:p w14:paraId="42F0BD6D" w14:textId="77777777" w:rsidR="00FC47D4" w:rsidRDefault="00FC47D4" w:rsidP="006D6D32">
      <w:pPr>
        <w:pStyle w:val="a3"/>
        <w:rPr>
          <w:rtl/>
        </w:rPr>
      </w:pPr>
      <w:bookmarkStart w:id="3914" w:name="_Toc526249250"/>
      <w:bookmarkStart w:id="3915" w:name="_Toc523735685"/>
      <w:bookmarkStart w:id="3916" w:name="_Toc523697910"/>
      <w:bookmarkStart w:id="3917" w:name="_Toc523490305"/>
      <w:bookmarkStart w:id="3918" w:name="_Toc523397197"/>
      <w:bookmarkStart w:id="3919" w:name="_Toc526504130"/>
      <w:bookmarkStart w:id="3920" w:name="_Toc526853022"/>
      <w:bookmarkStart w:id="3921" w:name="_Toc526889936"/>
      <w:bookmarkStart w:id="3922" w:name="_Toc526939117"/>
      <w:bookmarkStart w:id="3923" w:name="_Toc527060273"/>
      <w:bookmarkStart w:id="3924" w:name="_Toc527060421"/>
      <w:bookmarkStart w:id="3925" w:name="_Toc527100798"/>
      <w:bookmarkStart w:id="3926" w:name="_Toc528227054"/>
      <w:bookmarkStart w:id="3927" w:name="_Toc528227218"/>
      <w:bookmarkStart w:id="3928" w:name="_Toc528227380"/>
      <w:bookmarkStart w:id="3929" w:name="_Toc19389464"/>
      <w:bookmarkStart w:id="3930" w:name="_Toc19392961"/>
      <w:r>
        <w:rPr>
          <w:rFonts w:hint="cs"/>
          <w:rtl/>
        </w:rPr>
        <w:t>קושית הרמב"ן דבדין בדיקת כמה בהמות משמע דכל שלא בדק הראשונה בחזקת היתר</w:t>
      </w:r>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p>
    <w:p w14:paraId="289FCA47" w14:textId="77777777" w:rsidR="00FC47D4" w:rsidRDefault="00FC47D4" w:rsidP="00223668">
      <w:pPr>
        <w:pStyle w:val="a0"/>
        <w:rPr>
          <w:rtl/>
        </w:rPr>
      </w:pPr>
      <w:r>
        <w:rPr>
          <w:rFonts w:hint="cs"/>
          <w:rtl/>
        </w:rPr>
        <w:t xml:space="preserve">הקשה </w:t>
      </w:r>
      <w:r>
        <w:rPr>
          <w:rStyle w:val="af9"/>
          <w:rtl/>
        </w:rPr>
        <w:t>הרמב"ן</w:t>
      </w:r>
      <w:r>
        <w:rPr>
          <w:rFonts w:hint="cs"/>
          <w:rtl/>
        </w:rPr>
        <w:t xml:space="preserve"> </w:t>
      </w:r>
      <w:r>
        <w:rPr>
          <w:rStyle w:val="af7"/>
          <w:rFonts w:eastAsia="Guttman Hodes" w:hint="cs"/>
          <w:rtl/>
        </w:rPr>
        <w:t>(</w:t>
      </w:r>
      <w:r w:rsidRPr="007411D7">
        <w:rPr>
          <w:rStyle w:val="af7"/>
          <w:rFonts w:eastAsia="Guttman Hodes" w:hint="cs"/>
          <w:rtl/>
        </w:rPr>
        <w:t xml:space="preserve">ד"ה </w:t>
      </w:r>
      <w:r w:rsidRPr="00864501">
        <w:rPr>
          <w:rStyle w:val="af7"/>
          <w:rFonts w:eastAsia="Guttman Hodes" w:hint="cs"/>
          <w:rtl/>
        </w:rPr>
        <w:t xml:space="preserve">השוחט) </w:t>
      </w:r>
      <w:r>
        <w:rPr>
          <w:rFonts w:hint="cs"/>
          <w:rtl/>
        </w:rPr>
        <w:t xml:space="preserve">על ביאורו בדעת רב הונא </w:t>
      </w:r>
      <w:r w:rsidRPr="00864501">
        <w:rPr>
          <w:rStyle w:val="af7"/>
          <w:rFonts w:eastAsia="Guttman Hodes" w:hint="cs"/>
          <w:rtl/>
        </w:rPr>
        <w:t xml:space="preserve">(עי' אות </w:t>
      </w:r>
      <w:r w:rsidRPr="00864501">
        <w:rPr>
          <w:rStyle w:val="af7"/>
          <w:rFonts w:eastAsia="Guttman Hodes"/>
          <w:rtl/>
        </w:rPr>
        <w:fldChar w:fldCharType="begin"/>
      </w:r>
      <w:r w:rsidRPr="00864501">
        <w:rPr>
          <w:rStyle w:val="af7"/>
          <w:rFonts w:eastAsia="Guttman Hodes"/>
          <w:rtl/>
        </w:rPr>
        <w:instrText xml:space="preserve"> </w:instrText>
      </w:r>
      <w:r w:rsidRPr="00864501">
        <w:rPr>
          <w:rStyle w:val="af7"/>
          <w:rFonts w:eastAsia="Guttman Hodes" w:hint="cs"/>
        </w:rPr>
        <w:instrText>REF</w:instrText>
      </w:r>
      <w:r w:rsidRPr="00864501">
        <w:rPr>
          <w:rStyle w:val="af7"/>
          <w:rFonts w:eastAsia="Guttman Hodes" w:hint="cs"/>
          <w:rtl/>
        </w:rPr>
        <w:instrText xml:space="preserve"> _</w:instrText>
      </w:r>
      <w:r w:rsidRPr="00864501">
        <w:rPr>
          <w:rStyle w:val="af7"/>
          <w:rFonts w:eastAsia="Guttman Hodes" w:hint="cs"/>
        </w:rPr>
        <w:instrText>Ref523132416 \r \h</w:instrText>
      </w:r>
      <w:r w:rsidRPr="00864501">
        <w:rPr>
          <w:rStyle w:val="af7"/>
          <w:rFonts w:eastAsia="Guttman Hodes"/>
          <w:rtl/>
        </w:rPr>
        <w:instrText xml:space="preserve"> </w:instrText>
      </w:r>
      <w:r w:rsidRPr="00864501">
        <w:rPr>
          <w:rStyle w:val="af7"/>
          <w:rFonts w:eastAsia="Guttman Hodes"/>
          <w:rtl/>
        </w:rPr>
      </w:r>
      <w:r w:rsidRPr="00864501">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864501">
        <w:rPr>
          <w:rStyle w:val="af7"/>
          <w:rFonts w:eastAsia="Guttman Hodes"/>
          <w:rtl/>
        </w:rPr>
        <w:fldChar w:fldCharType="end"/>
      </w:r>
      <w:r w:rsidRPr="00864501">
        <w:rPr>
          <w:rStyle w:val="af7"/>
          <w:rFonts w:eastAsia="Guttman Hodes" w:hint="cs"/>
          <w:rtl/>
        </w:rPr>
        <w:t xml:space="preserve"> </w:t>
      </w:r>
      <w:r>
        <w:rPr>
          <w:rFonts w:hint="cs"/>
          <w:rtl/>
        </w:rPr>
        <w:t xml:space="preserve">דבאבד הסכין השחיטה פסולה, דהא בגמ' לקמן </w:t>
      </w:r>
      <w:r w:rsidRPr="007411D7">
        <w:rPr>
          <w:rStyle w:val="af7"/>
          <w:rFonts w:eastAsia="Guttman Hodes" w:hint="cs"/>
          <w:rtl/>
        </w:rPr>
        <w:t xml:space="preserve">(י:) </w:t>
      </w:r>
      <w:r>
        <w:rPr>
          <w:rFonts w:hint="cs"/>
          <w:rtl/>
        </w:rPr>
        <w:t>אמר רב כהנא שבשחיטת כמה בהמות צריך לבדוק בין כל שחיטה ושחיטה, וסברה הגמ' בקושיה דהוא כדעת רב הונא, והבדיקה היא בכדי לפסול את הבהמה הראשונה, ומשמע דכוונת הגמ' לומר דהשחיטה היא בחזקת היתר, כל שלא נבדק הסכין, והבדיקה היא בכדי לפסול אם תמצא פגימה.</w:t>
      </w:r>
    </w:p>
    <w:p w14:paraId="151FCACE" w14:textId="77777777" w:rsidR="00FC47D4" w:rsidRDefault="00FC47D4" w:rsidP="006D6D32">
      <w:pPr>
        <w:pStyle w:val="a3"/>
        <w:rPr>
          <w:rtl/>
        </w:rPr>
      </w:pPr>
      <w:bookmarkStart w:id="3931" w:name="_Toc526249251"/>
      <w:bookmarkStart w:id="3932" w:name="_Toc523735686"/>
      <w:bookmarkStart w:id="3933" w:name="_Toc523697911"/>
      <w:bookmarkStart w:id="3934" w:name="_Toc523490306"/>
      <w:bookmarkStart w:id="3935" w:name="_Toc523397198"/>
      <w:bookmarkStart w:id="3936" w:name="_Toc526504131"/>
      <w:bookmarkStart w:id="3937" w:name="_Toc526853023"/>
      <w:bookmarkStart w:id="3938" w:name="_Toc526889937"/>
      <w:bookmarkStart w:id="3939" w:name="_Toc526939118"/>
      <w:bookmarkStart w:id="3940" w:name="_Toc527060274"/>
      <w:bookmarkStart w:id="3941" w:name="_Toc527060422"/>
      <w:bookmarkStart w:id="3942" w:name="_Toc527100799"/>
      <w:bookmarkStart w:id="3943" w:name="_Toc528227055"/>
      <w:bookmarkStart w:id="3944" w:name="_Toc528227219"/>
      <w:bookmarkStart w:id="3945" w:name="_Toc528227381"/>
      <w:bookmarkStart w:id="3946" w:name="_Toc19389465"/>
      <w:bookmarkStart w:id="3947" w:name="_Toc19392962"/>
      <w:r>
        <w:rPr>
          <w:rFonts w:hint="cs"/>
          <w:rtl/>
        </w:rPr>
        <w:t>ביאורי הרמב"ן דאין ראיה מלשון הגמ' דהראשונה בחזקת היתר</w:t>
      </w:r>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p>
    <w:p w14:paraId="7FB3FF79" w14:textId="77777777" w:rsidR="00FC47D4" w:rsidRDefault="00FC47D4" w:rsidP="00223668">
      <w:pPr>
        <w:pStyle w:val="a0"/>
      </w:pPr>
      <w:r>
        <w:rPr>
          <w:rFonts w:hint="cs"/>
          <w:rtl/>
        </w:rPr>
        <w:t xml:space="preserve">ותירץ </w:t>
      </w:r>
      <w:r>
        <w:rPr>
          <w:rStyle w:val="af9"/>
          <w:rtl/>
        </w:rPr>
        <w:t>הרמב"ן</w:t>
      </w:r>
      <w:r>
        <w:rPr>
          <w:rFonts w:hint="cs"/>
          <w:rtl/>
        </w:rPr>
        <w:t xml:space="preserve"> דכיון דהסכין הוא בדוק ואנו מחמירים לכתחילה לבדוק ולפסול למפרע, לכן נקטה הגמ' לקמן לשון זו. ועוד ביאר </w:t>
      </w:r>
      <w:r>
        <w:rPr>
          <w:rStyle w:val="af9"/>
          <w:rtl/>
        </w:rPr>
        <w:t>הרמב"ן</w:t>
      </w:r>
      <w:r>
        <w:rPr>
          <w:rFonts w:hint="cs"/>
          <w:rtl/>
        </w:rPr>
        <w:t xml:space="preserve"> דכיון שהבדיקה לאחר השחיטה יכולה רק לפסול ולא להכשיר, ואילו לפני השחיטה ע"י הבדיקה אפשר להכשיר, דיכול לתקן את הסכין, לכן אמרינן בגמ' דהבדיקה אחר השחיטה היא למפסל. ועוד ביאר </w:t>
      </w:r>
      <w:r>
        <w:rPr>
          <w:rStyle w:val="af9"/>
          <w:rtl/>
        </w:rPr>
        <w:t>הרמב"ן</w:t>
      </w:r>
      <w:r>
        <w:rPr>
          <w:rFonts w:hint="cs"/>
          <w:rtl/>
        </w:rPr>
        <w:t xml:space="preserve"> דכיון שרב חסדא מכשיר, נקט רב הונא לשון פסול.</w:t>
      </w:r>
    </w:p>
    <w:p w14:paraId="375CBF77" w14:textId="77777777" w:rsidR="00FC47D4" w:rsidRDefault="00FC47D4" w:rsidP="006D6D32">
      <w:pPr>
        <w:pStyle w:val="a3"/>
        <w:rPr>
          <w:rtl/>
        </w:rPr>
      </w:pPr>
      <w:bookmarkStart w:id="3948" w:name="_Toc526249252"/>
      <w:bookmarkStart w:id="3949" w:name="_Toc523735687"/>
      <w:bookmarkStart w:id="3950" w:name="_Toc523697912"/>
      <w:bookmarkStart w:id="3951" w:name="_Toc523490307"/>
      <w:bookmarkStart w:id="3952" w:name="_Toc523397199"/>
      <w:bookmarkStart w:id="3953" w:name="_Toc526504132"/>
      <w:bookmarkStart w:id="3954" w:name="_Toc526853024"/>
      <w:bookmarkStart w:id="3955" w:name="_Toc526889938"/>
      <w:bookmarkStart w:id="3956" w:name="_Toc526939119"/>
      <w:bookmarkStart w:id="3957" w:name="_Toc527060275"/>
      <w:bookmarkStart w:id="3958" w:name="_Toc527060423"/>
      <w:bookmarkStart w:id="3959" w:name="_Toc527100800"/>
      <w:bookmarkStart w:id="3960" w:name="_Toc528227056"/>
      <w:bookmarkStart w:id="3961" w:name="_Toc528227220"/>
      <w:bookmarkStart w:id="3962" w:name="_Toc528227382"/>
      <w:bookmarkStart w:id="3963" w:name="_Toc19389466"/>
      <w:bookmarkStart w:id="3964" w:name="_Toc19392963"/>
      <w:r>
        <w:rPr>
          <w:rFonts w:hint="cs"/>
          <w:rtl/>
        </w:rPr>
        <w:t>דברי הרמב"ן דמדאמר רב כהנא שצריך בדיקה מוכח דמדינא צריך לבדוק</w:t>
      </w:r>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p>
    <w:p w14:paraId="7C2A1177" w14:textId="77777777" w:rsidR="00FC47D4" w:rsidRDefault="00FC47D4" w:rsidP="00223668">
      <w:pPr>
        <w:pStyle w:val="a0"/>
        <w:rPr>
          <w:rtl/>
        </w:rPr>
      </w:pPr>
      <w:bookmarkStart w:id="3965" w:name="_Ref526961150"/>
      <w:r>
        <w:rPr>
          <w:rFonts w:hint="cs"/>
          <w:rtl/>
        </w:rPr>
        <w:t xml:space="preserve">וכתב </w:t>
      </w:r>
      <w:r>
        <w:rPr>
          <w:rStyle w:val="af9"/>
          <w:rtl/>
        </w:rPr>
        <w:t>הרמב"ן</w:t>
      </w:r>
      <w:r>
        <w:rPr>
          <w:rFonts w:hint="cs"/>
          <w:rtl/>
        </w:rPr>
        <w:t xml:space="preserve"> דכן מוכח מהלשון של רב כהנא דצריך בדיקה, ומבואר דלרב הונא [בקושית הגמ'] צריך לבדוק מדינא לאחר השחיטה, ולא  רק דפסלינן אם נמצאת פגימה.</w:t>
      </w:r>
      <w:bookmarkEnd w:id="3965"/>
    </w:p>
    <w:p w14:paraId="74ED0F3E" w14:textId="77777777" w:rsidR="00882FB2" w:rsidRPr="00882FB2" w:rsidRDefault="00882FB2" w:rsidP="006D6D32">
      <w:pPr>
        <w:pStyle w:val="a3"/>
        <w:rPr>
          <w:rtl/>
        </w:rPr>
      </w:pPr>
    </w:p>
    <w:p w14:paraId="456EB808" w14:textId="77777777" w:rsidR="00FC47D4" w:rsidRDefault="00FC47D4" w:rsidP="00BF39B2">
      <w:pPr>
        <w:pStyle w:val="1"/>
        <w:rPr>
          <w:rtl/>
        </w:rPr>
      </w:pPr>
      <w:bookmarkStart w:id="3966" w:name="_Toc526853027"/>
      <w:bookmarkStart w:id="3967" w:name="_Toc526889941"/>
      <w:bookmarkStart w:id="3968" w:name="_Toc526939122"/>
      <w:bookmarkStart w:id="3969" w:name="_Toc527060277"/>
      <w:bookmarkStart w:id="3970" w:name="_Toc527060425"/>
      <w:bookmarkStart w:id="3971" w:name="_Toc527100802"/>
      <w:bookmarkStart w:id="3972" w:name="_Toc528227057"/>
      <w:bookmarkStart w:id="3973" w:name="_Toc528227221"/>
      <w:bookmarkStart w:id="3974" w:name="_Toc528227383"/>
      <w:bookmarkStart w:id="3975" w:name="_Toc19389467"/>
      <w:bookmarkStart w:id="3976" w:name="_Toc19392964"/>
      <w:bookmarkStart w:id="3977" w:name="_Toc526939123"/>
      <w:bookmarkStart w:id="3978" w:name="_Toc526249259"/>
      <w:bookmarkStart w:id="3979" w:name="_Toc526504138"/>
      <w:bookmarkStart w:id="3980" w:name="_Toc526853030"/>
      <w:bookmarkStart w:id="3981" w:name="_Toc526889944"/>
      <w:r>
        <w:rPr>
          <w:rFonts w:hint="cs"/>
          <w:rtl/>
        </w:rPr>
        <w:t>הוכחת הרשב"א דאבד הסכין כשר מבדיקה בין שחיטה לשחיטה</w:t>
      </w:r>
      <w:bookmarkEnd w:id="3966"/>
      <w:bookmarkEnd w:id="3967"/>
      <w:bookmarkEnd w:id="3968"/>
      <w:bookmarkEnd w:id="3969"/>
      <w:bookmarkEnd w:id="3970"/>
      <w:bookmarkEnd w:id="3971"/>
      <w:bookmarkEnd w:id="3972"/>
      <w:bookmarkEnd w:id="3973"/>
      <w:bookmarkEnd w:id="3974"/>
      <w:bookmarkEnd w:id="3975"/>
      <w:bookmarkEnd w:id="3976"/>
    </w:p>
    <w:p w14:paraId="4396E425" w14:textId="77777777" w:rsidR="00FC47D4" w:rsidRDefault="00FC47D4" w:rsidP="006D6D32">
      <w:pPr>
        <w:pStyle w:val="a3"/>
        <w:rPr>
          <w:rtl/>
        </w:rPr>
      </w:pPr>
      <w:bookmarkStart w:id="3982" w:name="_Toc527060278"/>
      <w:bookmarkStart w:id="3983" w:name="_Toc527060426"/>
      <w:bookmarkStart w:id="3984" w:name="_Toc527100803"/>
      <w:bookmarkStart w:id="3985" w:name="_Toc528227058"/>
      <w:bookmarkStart w:id="3986" w:name="_Toc528227222"/>
      <w:bookmarkStart w:id="3987" w:name="_Toc528227384"/>
      <w:bookmarkStart w:id="3988" w:name="_Toc19389468"/>
      <w:bookmarkStart w:id="3989" w:name="_Toc19392965"/>
      <w:r>
        <w:rPr>
          <w:rFonts w:hint="cs"/>
          <w:rtl/>
        </w:rPr>
        <w:t>דברי הרשב"א דלרב חסדא הבדיקה שבין שחיטה לשחיטה היא כבדיקה דקודם השחיטה</w:t>
      </w:r>
      <w:bookmarkEnd w:id="3977"/>
      <w:bookmarkEnd w:id="3982"/>
      <w:bookmarkEnd w:id="3983"/>
      <w:bookmarkEnd w:id="3984"/>
      <w:bookmarkEnd w:id="3985"/>
      <w:bookmarkEnd w:id="3986"/>
      <w:bookmarkEnd w:id="3987"/>
      <w:bookmarkEnd w:id="3988"/>
      <w:bookmarkEnd w:id="3989"/>
      <w:r>
        <w:rPr>
          <w:rFonts w:hint="cs"/>
          <w:rtl/>
        </w:rPr>
        <w:t xml:space="preserve"> </w:t>
      </w:r>
    </w:p>
    <w:p w14:paraId="0EBB4619" w14:textId="77777777" w:rsidR="00FC47D4" w:rsidRDefault="00FC47D4" w:rsidP="00223668">
      <w:pPr>
        <w:pStyle w:val="a0"/>
        <w:rPr>
          <w:rtl/>
        </w:rPr>
      </w:pPr>
      <w:r w:rsidRPr="00C07D5C">
        <w:rPr>
          <w:rStyle w:val="af9"/>
          <w:rFonts w:hint="cs"/>
          <w:rtl/>
        </w:rPr>
        <w:t>הרשב"א</w:t>
      </w:r>
      <w:r>
        <w:rPr>
          <w:rFonts w:hint="cs"/>
          <w:rtl/>
        </w:rPr>
        <w:t xml:space="preserve"> </w:t>
      </w:r>
      <w:r w:rsidRPr="00781507">
        <w:rPr>
          <w:rStyle w:val="af7"/>
          <w:rFonts w:eastAsia="Guttman Hodes" w:hint="cs"/>
          <w:rtl/>
        </w:rPr>
        <w:t xml:space="preserve">(ד"ה השוחט) </w:t>
      </w:r>
      <w:r>
        <w:rPr>
          <w:rFonts w:hint="cs"/>
          <w:rtl/>
        </w:rPr>
        <w:t xml:space="preserve">הביא ראיה לדברי </w:t>
      </w:r>
      <w:r w:rsidRPr="00C07D5C">
        <w:rPr>
          <w:rStyle w:val="af9"/>
          <w:rFonts w:hint="cs"/>
          <w:rtl/>
        </w:rPr>
        <w:t>רב</w:t>
      </w:r>
      <w:r>
        <w:rPr>
          <w:rStyle w:val="af9"/>
          <w:rFonts w:hint="cs"/>
          <w:rtl/>
        </w:rPr>
        <w:t xml:space="preserve">ינו </w:t>
      </w:r>
      <w:r w:rsidRPr="00864501">
        <w:rPr>
          <w:rStyle w:val="af9"/>
          <w:rFonts w:hint="cs"/>
          <w:rtl/>
        </w:rPr>
        <w:t>יונה</w:t>
      </w:r>
      <w:r w:rsidRPr="00864501">
        <w:rPr>
          <w:rFonts w:hint="cs"/>
          <w:rtl/>
        </w:rPr>
        <w:t xml:space="preserve"> </w:t>
      </w:r>
      <w:r w:rsidRPr="00864501">
        <w:rPr>
          <w:rStyle w:val="af7"/>
          <w:rFonts w:eastAsia="Guttman Hodes" w:hint="cs"/>
          <w:rtl/>
        </w:rPr>
        <w:t xml:space="preserve">(עי' אות </w:t>
      </w:r>
      <w:r w:rsidRPr="00864501">
        <w:rPr>
          <w:rStyle w:val="af7"/>
          <w:rFonts w:eastAsia="Guttman Hodes"/>
          <w:rtl/>
        </w:rPr>
        <w:fldChar w:fldCharType="begin"/>
      </w:r>
      <w:r w:rsidRPr="00864501">
        <w:rPr>
          <w:rStyle w:val="af7"/>
          <w:rFonts w:eastAsia="Guttman Hodes"/>
          <w:rtl/>
        </w:rPr>
        <w:instrText xml:space="preserve"> </w:instrText>
      </w:r>
      <w:r w:rsidRPr="00864501">
        <w:rPr>
          <w:rStyle w:val="af7"/>
          <w:rFonts w:eastAsia="Guttman Hodes" w:hint="cs"/>
        </w:rPr>
        <w:instrText>REF</w:instrText>
      </w:r>
      <w:r w:rsidRPr="00864501">
        <w:rPr>
          <w:rStyle w:val="af7"/>
          <w:rFonts w:eastAsia="Guttman Hodes" w:hint="cs"/>
          <w:rtl/>
        </w:rPr>
        <w:instrText xml:space="preserve"> _</w:instrText>
      </w:r>
      <w:r w:rsidRPr="00864501">
        <w:rPr>
          <w:rStyle w:val="af7"/>
          <w:rFonts w:eastAsia="Guttman Hodes" w:hint="cs"/>
        </w:rPr>
        <w:instrText>Ref523085216 \r \h</w:instrText>
      </w:r>
      <w:r w:rsidRPr="00864501">
        <w:rPr>
          <w:rStyle w:val="af7"/>
          <w:rFonts w:eastAsia="Guttman Hodes"/>
          <w:rtl/>
        </w:rPr>
        <w:instrText xml:space="preserve"> </w:instrText>
      </w:r>
      <w:r w:rsidRPr="00864501">
        <w:rPr>
          <w:rStyle w:val="af7"/>
          <w:rFonts w:eastAsia="Guttman Hodes"/>
          <w:rtl/>
        </w:rPr>
      </w:r>
      <w:r w:rsidRPr="00864501">
        <w:rPr>
          <w:rStyle w:val="af7"/>
          <w:rFonts w:eastAsia="Guttman Hodes"/>
          <w:rtl/>
        </w:rPr>
        <w:fldChar w:fldCharType="separate"/>
      </w:r>
      <w:r w:rsidR="00345400">
        <w:rPr>
          <w:rStyle w:val="af7"/>
          <w:rFonts w:eastAsia="Guttman Hodes"/>
          <w:cs/>
        </w:rPr>
        <w:t>‎</w:t>
      </w:r>
      <w:r w:rsidR="00345400">
        <w:rPr>
          <w:rStyle w:val="af7"/>
          <w:rFonts w:eastAsia="Guttman Hodes"/>
          <w:rtl/>
        </w:rPr>
        <w:t>לח)</w:t>
      </w:r>
      <w:r w:rsidRPr="00864501">
        <w:rPr>
          <w:rStyle w:val="af7"/>
          <w:rFonts w:eastAsia="Guttman Hodes"/>
          <w:rtl/>
        </w:rPr>
        <w:fldChar w:fldCharType="end"/>
      </w:r>
      <w:r>
        <w:rPr>
          <w:rFonts w:hint="cs"/>
          <w:rtl/>
        </w:rPr>
        <w:t xml:space="preserve">  דמכשיר באבד הסכין, מהגמ' לקמן </w:t>
      </w:r>
      <w:r w:rsidRPr="00781507">
        <w:rPr>
          <w:rStyle w:val="af7"/>
          <w:rFonts w:eastAsia="Guttman Hodes" w:hint="cs"/>
          <w:rtl/>
        </w:rPr>
        <w:t>(י:)</w:t>
      </w:r>
      <w:r>
        <w:rPr>
          <w:rFonts w:hint="cs"/>
          <w:rtl/>
        </w:rPr>
        <w:t xml:space="preserve"> דאמר רב כהנא שבשוחט כמה בהמות צריך לבדוק בין שחיטה לשחיטה, ואמרינן בגמ' דאי רב כהנא ס"ל כרב חסדא, והבדיקה היא בכדי להכשיר את הבהמות האחרונות</w:t>
      </w:r>
      <w:r w:rsidRPr="00781507">
        <w:rPr>
          <w:rStyle w:val="afb"/>
          <w:rFonts w:hint="cs"/>
          <w:rtl/>
        </w:rPr>
        <w:t>, [דכל שחיטה לרב חסדא היא כשבירת עצמות, דחיישינן שנפגם במפרקת של הראשונה, כל"ק ברב יוסף],</w:t>
      </w:r>
      <w:r>
        <w:rPr>
          <w:rFonts w:hint="cs"/>
          <w:rtl/>
        </w:rPr>
        <w:t xml:space="preserve"> א"כ קשה דאמאי לא הצריך רב כהנא בדיקת חכם בין שחיטה לשחיטה. וביאר</w:t>
      </w:r>
      <w:r w:rsidRPr="00781507">
        <w:rPr>
          <w:rStyle w:val="af9"/>
          <w:rFonts w:hint="cs"/>
          <w:rtl/>
        </w:rPr>
        <w:t xml:space="preserve"> הרשב"א </w:t>
      </w:r>
      <w:r>
        <w:rPr>
          <w:rFonts w:hint="cs"/>
          <w:rtl/>
        </w:rPr>
        <w:t>דלדעת רב חסדא הבדיקה שבין שחיטה לשחיטה היא כבדיקה דקודם השחיטה.</w:t>
      </w:r>
    </w:p>
    <w:p w14:paraId="417CDAB7" w14:textId="77777777" w:rsidR="00FC47D4" w:rsidRPr="00781507" w:rsidRDefault="00FC47D4" w:rsidP="006D6D32">
      <w:pPr>
        <w:pStyle w:val="a3"/>
      </w:pPr>
      <w:bookmarkStart w:id="3990" w:name="_Toc526939124"/>
      <w:bookmarkStart w:id="3991" w:name="_Toc527060279"/>
      <w:bookmarkStart w:id="3992" w:name="_Toc527060427"/>
      <w:bookmarkStart w:id="3993" w:name="_Toc527100804"/>
      <w:bookmarkStart w:id="3994" w:name="_Toc528227059"/>
      <w:bookmarkStart w:id="3995" w:name="_Toc528227223"/>
      <w:bookmarkStart w:id="3996" w:name="_Toc528227385"/>
      <w:bookmarkStart w:id="3997" w:name="_Toc19389469"/>
      <w:bookmarkStart w:id="3998" w:name="_Toc19392966"/>
      <w:r>
        <w:rPr>
          <w:rFonts w:hint="cs"/>
          <w:rtl/>
        </w:rPr>
        <w:t>דברי הרשב"א דלרב הונא הבדיקה בין שחיטה לשחיטה היא כבדיקה דאחר השחיטה</w:t>
      </w:r>
      <w:bookmarkEnd w:id="3990"/>
      <w:bookmarkEnd w:id="3991"/>
      <w:bookmarkEnd w:id="3992"/>
      <w:bookmarkEnd w:id="3993"/>
      <w:bookmarkEnd w:id="3994"/>
      <w:bookmarkEnd w:id="3995"/>
      <w:bookmarkEnd w:id="3996"/>
      <w:bookmarkEnd w:id="3997"/>
      <w:bookmarkEnd w:id="3998"/>
    </w:p>
    <w:p w14:paraId="6DDF69B5" w14:textId="77777777" w:rsidR="00FC47D4" w:rsidRDefault="00FC47D4" w:rsidP="00223668">
      <w:pPr>
        <w:pStyle w:val="a0"/>
        <w:rPr>
          <w:rtl/>
        </w:rPr>
      </w:pPr>
      <w:bookmarkStart w:id="3999" w:name="_Ref526961109"/>
      <w:r>
        <w:rPr>
          <w:rFonts w:hint="cs"/>
          <w:rtl/>
        </w:rPr>
        <w:t>אבל לדעת רב הונא כתב</w:t>
      </w:r>
      <w:r w:rsidRPr="00781507">
        <w:rPr>
          <w:rStyle w:val="af9"/>
          <w:rFonts w:hint="cs"/>
          <w:rtl/>
        </w:rPr>
        <w:t xml:space="preserve"> הרשב"א </w:t>
      </w:r>
      <w:r>
        <w:rPr>
          <w:rFonts w:hint="cs"/>
          <w:rtl/>
        </w:rPr>
        <w:t xml:space="preserve">דמבואר בגמ' דלא קשה אמאי לא הצריך רב כהנא בדיקת חכם, כיון דלדעת רב הונא הא דרב כהנא הצריך בדיקה בין כל אחת ואחת, הוא עצה טובה שלא יהיה ספק בכמה בהמות, </w:t>
      </w:r>
      <w:r w:rsidRPr="00781507">
        <w:rPr>
          <w:rStyle w:val="afb"/>
          <w:rFonts w:hint="cs"/>
          <w:rtl/>
        </w:rPr>
        <w:t>[דאין חשש שנפגמה במפרקת של הראשונה, דלא ס"ל דעצם ודאי פוגם]</w:t>
      </w:r>
      <w:r>
        <w:rPr>
          <w:rFonts w:hint="cs"/>
          <w:rtl/>
        </w:rPr>
        <w:t xml:space="preserve">, והבדיקה שבין שחיטה לשחיטה היא כבדיקה שאחר השחיטה, </w:t>
      </w:r>
      <w:r w:rsidRPr="00507A3B">
        <w:rPr>
          <w:rStyle w:val="afb"/>
          <w:rFonts w:hint="cs"/>
          <w:rtl/>
        </w:rPr>
        <w:t>[</w:t>
      </w:r>
      <w:r>
        <w:rPr>
          <w:rStyle w:val="afb"/>
          <w:rFonts w:hint="cs"/>
          <w:rtl/>
        </w:rPr>
        <w:t xml:space="preserve">ודלא </w:t>
      </w:r>
      <w:r w:rsidRPr="00507A3B">
        <w:rPr>
          <w:rStyle w:val="affa"/>
          <w:rFonts w:hint="cs"/>
          <w:rtl/>
        </w:rPr>
        <w:t>כהרמב"ן</w:t>
      </w:r>
      <w:r>
        <w:rPr>
          <w:rStyle w:val="afb"/>
          <w:rFonts w:hint="cs"/>
          <w:rtl/>
        </w:rPr>
        <w:t xml:space="preserve"> </w:t>
      </w:r>
      <w:r w:rsidRPr="00507A3B">
        <w:rPr>
          <w:rStyle w:val="af7"/>
          <w:rFonts w:eastAsia="Guttman Hodes" w:hint="cs"/>
          <w:rtl/>
        </w:rPr>
        <w:t xml:space="preserve">(עי' אות </w:t>
      </w:r>
      <w:r w:rsidRPr="00507A3B">
        <w:rPr>
          <w:rStyle w:val="af7"/>
          <w:rFonts w:eastAsia="Guttman Hodes"/>
          <w:rtl/>
        </w:rPr>
        <w:fldChar w:fldCharType="begin"/>
      </w:r>
      <w:r w:rsidRPr="00507A3B">
        <w:rPr>
          <w:rStyle w:val="af7"/>
          <w:rFonts w:eastAsia="Guttman Hodes"/>
          <w:rtl/>
        </w:rPr>
        <w:instrText xml:space="preserve"> </w:instrText>
      </w:r>
      <w:r w:rsidRPr="00507A3B">
        <w:rPr>
          <w:rStyle w:val="af7"/>
          <w:rFonts w:eastAsia="Guttman Hodes" w:hint="cs"/>
        </w:rPr>
        <w:instrText>REF</w:instrText>
      </w:r>
      <w:r w:rsidRPr="00507A3B">
        <w:rPr>
          <w:rStyle w:val="af7"/>
          <w:rFonts w:eastAsia="Guttman Hodes" w:hint="cs"/>
          <w:rtl/>
        </w:rPr>
        <w:instrText xml:space="preserve"> _</w:instrText>
      </w:r>
      <w:r w:rsidRPr="00507A3B">
        <w:rPr>
          <w:rStyle w:val="af7"/>
          <w:rFonts w:eastAsia="Guttman Hodes" w:hint="cs"/>
        </w:rPr>
        <w:instrText>Ref526961150 \r \h</w:instrText>
      </w:r>
      <w:r w:rsidRPr="00507A3B">
        <w:rPr>
          <w:rStyle w:val="af7"/>
          <w:rFonts w:eastAsia="Guttman Hodes"/>
          <w:rtl/>
        </w:rPr>
        <w:instrText xml:space="preserve"> </w:instrText>
      </w:r>
      <w:r w:rsidRPr="00507A3B">
        <w:rPr>
          <w:rStyle w:val="af7"/>
          <w:rFonts w:eastAsia="Guttman Hodes"/>
          <w:rtl/>
        </w:rPr>
      </w:r>
      <w:r w:rsidRPr="00507A3B">
        <w:rPr>
          <w:rStyle w:val="af7"/>
          <w:rFonts w:eastAsia="Guttman Hodes"/>
          <w:rtl/>
        </w:rPr>
        <w:fldChar w:fldCharType="separate"/>
      </w:r>
      <w:r w:rsidR="00345400">
        <w:rPr>
          <w:rStyle w:val="af7"/>
          <w:rFonts w:eastAsia="Guttman Hodes"/>
          <w:cs/>
        </w:rPr>
        <w:t>‎</w:t>
      </w:r>
      <w:r w:rsidR="00345400">
        <w:rPr>
          <w:rStyle w:val="af7"/>
          <w:rFonts w:eastAsia="Guttman Hodes"/>
          <w:rtl/>
        </w:rPr>
        <w:t>ס)</w:t>
      </w:r>
      <w:r w:rsidRPr="00507A3B">
        <w:rPr>
          <w:rStyle w:val="af7"/>
          <w:rFonts w:eastAsia="Guttman Hodes"/>
          <w:rtl/>
        </w:rPr>
        <w:fldChar w:fldCharType="end"/>
      </w:r>
      <w:r w:rsidRPr="00507A3B">
        <w:rPr>
          <w:rStyle w:val="afb"/>
          <w:rFonts w:hint="cs"/>
          <w:rtl/>
        </w:rPr>
        <w:t>]</w:t>
      </w:r>
      <w:r>
        <w:rPr>
          <w:rFonts w:hint="cs"/>
          <w:rtl/>
        </w:rPr>
        <w:t>.</w:t>
      </w:r>
      <w:bookmarkEnd w:id="3999"/>
    </w:p>
    <w:p w14:paraId="2EE72CAE" w14:textId="77777777" w:rsidR="00FC47D4" w:rsidRPr="00E56C91" w:rsidRDefault="00FC47D4" w:rsidP="006D6D32">
      <w:pPr>
        <w:pStyle w:val="a3"/>
        <w:rPr>
          <w:rtl/>
        </w:rPr>
      </w:pPr>
      <w:bookmarkStart w:id="4000" w:name="_Toc526889946"/>
      <w:bookmarkStart w:id="4001" w:name="_Toc526853032"/>
      <w:bookmarkStart w:id="4002" w:name="_Toc526504140"/>
      <w:bookmarkStart w:id="4003" w:name="_Toc527060276"/>
      <w:bookmarkStart w:id="4004" w:name="_Toc527060424"/>
      <w:bookmarkStart w:id="4005" w:name="_Toc527100801"/>
      <w:bookmarkStart w:id="4006" w:name="_Toc528227060"/>
      <w:bookmarkStart w:id="4007" w:name="_Toc528227224"/>
      <w:bookmarkStart w:id="4008" w:name="_Toc528227386"/>
      <w:bookmarkStart w:id="4009" w:name="_Toc19389470"/>
      <w:bookmarkStart w:id="4010" w:name="_Toc19392967"/>
      <w:bookmarkStart w:id="4011" w:name="_Toc526249258"/>
      <w:bookmarkStart w:id="4012" w:name="_Toc526504137"/>
      <w:bookmarkStart w:id="4013" w:name="_Toc526853029"/>
      <w:bookmarkStart w:id="4014" w:name="_Toc526889943"/>
      <w:bookmarkStart w:id="4015" w:name="_Toc526939125"/>
      <w:bookmarkStart w:id="4016" w:name="_Toc527060280"/>
      <w:bookmarkStart w:id="4017" w:name="_Toc527060428"/>
      <w:bookmarkStart w:id="4018" w:name="_Toc527100805"/>
      <w:r w:rsidRPr="00E56C91">
        <w:rPr>
          <w:rFonts w:hint="cs"/>
          <w:rtl/>
        </w:rPr>
        <w:t>דברי הרא"ש דמדינא אין חיוב בדיקה אחר השחיטה</w:t>
      </w:r>
      <w:bookmarkEnd w:id="4000"/>
      <w:bookmarkEnd w:id="4001"/>
      <w:bookmarkEnd w:id="4002"/>
      <w:bookmarkEnd w:id="4003"/>
      <w:bookmarkEnd w:id="4004"/>
      <w:bookmarkEnd w:id="4005"/>
      <w:bookmarkEnd w:id="4006"/>
      <w:bookmarkEnd w:id="4007"/>
      <w:bookmarkEnd w:id="4008"/>
      <w:bookmarkEnd w:id="4009"/>
      <w:bookmarkEnd w:id="4010"/>
    </w:p>
    <w:p w14:paraId="75A9E6A6" w14:textId="77777777" w:rsidR="00FC47D4" w:rsidRPr="00E56C91" w:rsidRDefault="00FC47D4" w:rsidP="00223668">
      <w:pPr>
        <w:pStyle w:val="a0"/>
      </w:pPr>
      <w:r>
        <w:rPr>
          <w:rFonts w:hint="cs"/>
          <w:rtl/>
        </w:rPr>
        <w:t>וכ"כ</w:t>
      </w:r>
      <w:r w:rsidRPr="00E56C91">
        <w:rPr>
          <w:rFonts w:hint="cs"/>
          <w:rtl/>
        </w:rPr>
        <w:t xml:space="preserve"> </w:t>
      </w:r>
      <w:r w:rsidRPr="00E56C91">
        <w:rPr>
          <w:rStyle w:val="af9"/>
          <w:rtl/>
        </w:rPr>
        <w:t xml:space="preserve">הרא"ש </w:t>
      </w:r>
      <w:r w:rsidRPr="00E56C91">
        <w:rPr>
          <w:rStyle w:val="af7"/>
          <w:rFonts w:eastAsia="Guttman Hodes" w:hint="cs"/>
          <w:rtl/>
        </w:rPr>
        <w:t>(סי' ט"ו)</w:t>
      </w:r>
      <w:r w:rsidRPr="00E56C91">
        <w:rPr>
          <w:rFonts w:hint="cs"/>
          <w:rtl/>
        </w:rPr>
        <w:t xml:space="preserve"> כתב דאף שכתב </w:t>
      </w:r>
      <w:r w:rsidRPr="00E56C91">
        <w:rPr>
          <w:rStyle w:val="af9"/>
          <w:rtl/>
        </w:rPr>
        <w:t>רש"י</w:t>
      </w:r>
      <w:r w:rsidRPr="00E56C91">
        <w:rPr>
          <w:rFonts w:hint="cs"/>
          <w:rtl/>
        </w:rPr>
        <w:t xml:space="preserve"> </w:t>
      </w:r>
      <w:r w:rsidRPr="00E56C91">
        <w:rPr>
          <w:rStyle w:val="af7"/>
          <w:rFonts w:eastAsia="Guttman Hodes" w:hint="cs"/>
          <w:rtl/>
        </w:rPr>
        <w:t xml:space="preserve">(עי' אות </w:t>
      </w:r>
      <w:r w:rsidRPr="00E56C91">
        <w:rPr>
          <w:rStyle w:val="af7"/>
          <w:rFonts w:eastAsia="Guttman Hodes"/>
          <w:rtl/>
        </w:rPr>
        <w:fldChar w:fldCharType="begin"/>
      </w:r>
      <w:r w:rsidRPr="00E56C91">
        <w:rPr>
          <w:rStyle w:val="af7"/>
          <w:rFonts w:eastAsia="Guttman Hodes"/>
          <w:rtl/>
        </w:rPr>
        <w:instrText xml:space="preserve"> </w:instrText>
      </w:r>
      <w:r w:rsidRPr="00E56C91">
        <w:rPr>
          <w:rStyle w:val="af7"/>
          <w:rFonts w:eastAsia="Guttman Hodes" w:hint="cs"/>
        </w:rPr>
        <w:instrText>REF</w:instrText>
      </w:r>
      <w:r w:rsidRPr="00E56C91">
        <w:rPr>
          <w:rStyle w:val="af7"/>
          <w:rFonts w:eastAsia="Guttman Hodes" w:hint="cs"/>
          <w:rtl/>
        </w:rPr>
        <w:instrText xml:space="preserve"> _</w:instrText>
      </w:r>
      <w:r w:rsidRPr="00E56C91">
        <w:rPr>
          <w:rStyle w:val="af7"/>
          <w:rFonts w:eastAsia="Guttman Hodes" w:hint="cs"/>
        </w:rPr>
        <w:instrText>Ref523392029 \r \h</w:instrText>
      </w:r>
      <w:r w:rsidRPr="00E56C91">
        <w:rPr>
          <w:rStyle w:val="af7"/>
          <w:rFonts w:eastAsia="Guttman Hodes"/>
          <w:rtl/>
        </w:rPr>
        <w:instrText xml:space="preserve">  \* </w:instrText>
      </w:r>
      <w:r w:rsidRPr="00E56C91">
        <w:rPr>
          <w:rStyle w:val="af7"/>
          <w:rFonts w:eastAsia="Guttman Hodes"/>
        </w:rPr>
        <w:instrText>MERGEFORMAT</w:instrText>
      </w:r>
      <w:r w:rsidRPr="00E56C91">
        <w:rPr>
          <w:rStyle w:val="af7"/>
          <w:rFonts w:eastAsia="Guttman Hodes"/>
          <w:rtl/>
        </w:rPr>
        <w:instrText xml:space="preserve"> </w:instrText>
      </w:r>
      <w:r w:rsidRPr="00E56C91">
        <w:rPr>
          <w:rStyle w:val="af7"/>
          <w:rFonts w:eastAsia="Guttman Hodes"/>
          <w:rtl/>
        </w:rPr>
      </w:r>
      <w:r w:rsidRPr="00E56C91">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E56C91">
        <w:rPr>
          <w:rStyle w:val="af7"/>
          <w:rFonts w:eastAsia="Guttman Hodes"/>
          <w:rtl/>
        </w:rPr>
        <w:fldChar w:fldCharType="end"/>
      </w:r>
      <w:r w:rsidRPr="00E56C91">
        <w:rPr>
          <w:rStyle w:val="af7"/>
          <w:rFonts w:eastAsia="Guttman Hodes" w:hint="cs"/>
          <w:rtl/>
        </w:rPr>
        <w:t xml:space="preserve"> </w:t>
      </w:r>
      <w:r w:rsidRPr="00E56C91">
        <w:rPr>
          <w:rFonts w:hint="cs"/>
          <w:rtl/>
        </w:rPr>
        <w:t>דאף בשוחט בהמה אחת צריך לבדוק לאחר השחיטה, היינו רק לכתחילה כשהסכין לפנינו, אבל באבד לא מחזקינן ריעותא</w:t>
      </w:r>
      <w:r>
        <w:rPr>
          <w:rFonts w:hint="cs"/>
          <w:rtl/>
        </w:rPr>
        <w:t>.</w:t>
      </w:r>
      <w:r w:rsidRPr="00E56C91">
        <w:rPr>
          <w:rFonts w:hint="cs"/>
          <w:rtl/>
        </w:rPr>
        <w:t xml:space="preserve"> </w:t>
      </w:r>
    </w:p>
    <w:p w14:paraId="12026D89" w14:textId="77777777" w:rsidR="00FC47D4" w:rsidRDefault="00FC47D4" w:rsidP="006D6D32">
      <w:pPr>
        <w:pStyle w:val="a3"/>
        <w:rPr>
          <w:rtl/>
        </w:rPr>
      </w:pPr>
      <w:bookmarkStart w:id="4019" w:name="_Toc528227061"/>
      <w:bookmarkStart w:id="4020" w:name="_Toc528227225"/>
      <w:bookmarkStart w:id="4021" w:name="_Toc528227387"/>
      <w:bookmarkStart w:id="4022" w:name="_Toc19389471"/>
      <w:bookmarkStart w:id="4023" w:name="_Toc19392968"/>
      <w:r>
        <w:rPr>
          <w:rFonts w:hint="cs"/>
          <w:rtl/>
        </w:rPr>
        <w:t>דברי הרשב"א דמשמע דלרב הונא יכול לשחוט כמה בהמות ע"י הבדיקה הראשונה</w:t>
      </w:r>
      <w:bookmarkEnd w:id="4011"/>
      <w:bookmarkEnd w:id="4012"/>
      <w:bookmarkEnd w:id="4013"/>
      <w:bookmarkEnd w:id="4014"/>
      <w:bookmarkEnd w:id="4015"/>
      <w:bookmarkEnd w:id="4016"/>
      <w:bookmarkEnd w:id="4017"/>
      <w:bookmarkEnd w:id="4018"/>
      <w:bookmarkEnd w:id="4019"/>
      <w:bookmarkEnd w:id="4020"/>
      <w:bookmarkEnd w:id="4021"/>
      <w:bookmarkEnd w:id="4022"/>
      <w:bookmarkEnd w:id="4023"/>
    </w:p>
    <w:p w14:paraId="0230E4BC" w14:textId="77777777" w:rsidR="00FC47D4" w:rsidRDefault="00FC47D4" w:rsidP="00223668">
      <w:pPr>
        <w:pStyle w:val="a0"/>
        <w:rPr>
          <w:rtl/>
        </w:rPr>
      </w:pPr>
      <w:bookmarkStart w:id="4024" w:name="_Ref527060042"/>
      <w:r>
        <w:rPr>
          <w:rFonts w:hint="cs"/>
          <w:rtl/>
        </w:rPr>
        <w:t xml:space="preserve">וכתב </w:t>
      </w:r>
      <w:r w:rsidRPr="00781507">
        <w:rPr>
          <w:rStyle w:val="af9"/>
          <w:rFonts w:hint="cs"/>
          <w:rtl/>
        </w:rPr>
        <w:t>הרשב"א</w:t>
      </w:r>
      <w:r>
        <w:rPr>
          <w:rFonts w:hint="cs"/>
          <w:rtl/>
        </w:rPr>
        <w:t xml:space="preserve"> דמבואר בגמ' דלדעת רב הונא יכול לשחוט כמה בהמות ע"י הבדיקה הראשונה, ואילו לדעת </w:t>
      </w:r>
      <w:r w:rsidRPr="00C07D5C">
        <w:rPr>
          <w:rStyle w:val="af9"/>
          <w:rFonts w:hint="cs"/>
          <w:rtl/>
        </w:rPr>
        <w:t>הרמב"ן</w:t>
      </w:r>
      <w:r>
        <w:rPr>
          <w:rFonts w:hint="cs"/>
          <w:rtl/>
        </w:rPr>
        <w:t xml:space="preserve"> דבאבד הסכין השחיטה פסולה לרב הונא, א"כ ס"ל דכל שחיטה היא חומרא בסכין כשבירת עצמות, ואסור לשחוט עוד בהמות לפני שבודק אחר כל שחיטה ושחיטה, ועי' במה שתירץ </w:t>
      </w:r>
      <w:r w:rsidRPr="005D4D8C">
        <w:rPr>
          <w:rStyle w:val="af9"/>
          <w:rFonts w:hint="cs"/>
          <w:rtl/>
        </w:rPr>
        <w:t>הגרעק"א</w:t>
      </w:r>
      <w:r>
        <w:rPr>
          <w:rFonts w:hint="cs"/>
          <w:rtl/>
        </w:rPr>
        <w:t xml:space="preserve"> </w:t>
      </w:r>
      <w:r w:rsidRPr="005D4D8C">
        <w:rPr>
          <w:rStyle w:val="af7"/>
          <w:rFonts w:eastAsia="Guttman Hodes" w:hint="cs"/>
          <w:rtl/>
        </w:rPr>
        <w:t xml:space="preserve">(עי' אות </w:t>
      </w:r>
      <w:r w:rsidRPr="005D4D8C">
        <w:rPr>
          <w:rStyle w:val="af7"/>
          <w:rFonts w:eastAsia="Guttman Hodes"/>
          <w:rtl/>
        </w:rPr>
        <w:fldChar w:fldCharType="begin"/>
      </w:r>
      <w:r w:rsidRPr="005D4D8C">
        <w:rPr>
          <w:rStyle w:val="af7"/>
          <w:rFonts w:eastAsia="Guttman Hodes"/>
          <w:rtl/>
        </w:rPr>
        <w:instrText xml:space="preserve"> </w:instrText>
      </w:r>
      <w:r w:rsidRPr="005D4D8C">
        <w:rPr>
          <w:rStyle w:val="af7"/>
          <w:rFonts w:eastAsia="Guttman Hodes" w:hint="cs"/>
        </w:rPr>
        <w:instrText>REF</w:instrText>
      </w:r>
      <w:r w:rsidRPr="005D4D8C">
        <w:rPr>
          <w:rStyle w:val="af7"/>
          <w:rFonts w:eastAsia="Guttman Hodes" w:hint="cs"/>
          <w:rtl/>
        </w:rPr>
        <w:instrText xml:space="preserve"> _</w:instrText>
      </w:r>
      <w:r w:rsidRPr="005D4D8C">
        <w:rPr>
          <w:rStyle w:val="af7"/>
          <w:rFonts w:eastAsia="Guttman Hodes" w:hint="cs"/>
        </w:rPr>
        <w:instrText>Ref526244759 \r \h</w:instrText>
      </w:r>
      <w:r w:rsidRPr="005D4D8C">
        <w:rPr>
          <w:rStyle w:val="af7"/>
          <w:rFonts w:eastAsia="Guttman Hodes"/>
          <w:rtl/>
        </w:rPr>
        <w:instrText xml:space="preserve"> </w:instrText>
      </w:r>
      <w:r w:rsidRPr="005D4D8C">
        <w:rPr>
          <w:rStyle w:val="af7"/>
          <w:rFonts w:eastAsia="Guttman Hodes"/>
          <w:rtl/>
        </w:rPr>
      </w:r>
      <w:r w:rsidRPr="005D4D8C">
        <w:rPr>
          <w:rStyle w:val="af7"/>
          <w:rFonts w:eastAsia="Guttman Hodes"/>
          <w:rtl/>
        </w:rPr>
        <w:fldChar w:fldCharType="separate"/>
      </w:r>
      <w:r w:rsidR="00345400">
        <w:rPr>
          <w:rStyle w:val="af7"/>
          <w:rFonts w:eastAsia="Guttman Hodes"/>
          <w:cs/>
        </w:rPr>
        <w:t>‎</w:t>
      </w:r>
      <w:r w:rsidR="00345400">
        <w:rPr>
          <w:rStyle w:val="af7"/>
          <w:rFonts w:eastAsia="Guttman Hodes"/>
          <w:rtl/>
        </w:rPr>
        <w:t>סט)</w:t>
      </w:r>
      <w:r w:rsidRPr="005D4D8C">
        <w:rPr>
          <w:rStyle w:val="af7"/>
          <w:rFonts w:eastAsia="Guttman Hodes"/>
          <w:rtl/>
        </w:rPr>
        <w:fldChar w:fldCharType="end"/>
      </w:r>
      <w:r>
        <w:rPr>
          <w:rFonts w:hint="cs"/>
          <w:rtl/>
        </w:rPr>
        <w:t>.</w:t>
      </w:r>
      <w:bookmarkEnd w:id="4024"/>
    </w:p>
    <w:p w14:paraId="28C3AA1C" w14:textId="77777777" w:rsidR="00FC47D4" w:rsidRDefault="00FC47D4" w:rsidP="006D6D32">
      <w:pPr>
        <w:pStyle w:val="a3"/>
        <w:rPr>
          <w:rtl/>
        </w:rPr>
      </w:pPr>
      <w:bookmarkStart w:id="4025" w:name="_Toc523490326"/>
      <w:bookmarkStart w:id="4026" w:name="_Toc523697946"/>
      <w:bookmarkStart w:id="4027" w:name="_Toc523735721"/>
      <w:bookmarkStart w:id="4028" w:name="_Toc526248973"/>
      <w:bookmarkStart w:id="4029" w:name="_Toc526409475"/>
      <w:bookmarkStart w:id="4030" w:name="_Toc526939126"/>
      <w:bookmarkStart w:id="4031" w:name="_Toc527060281"/>
      <w:bookmarkStart w:id="4032" w:name="_Toc527060429"/>
      <w:bookmarkStart w:id="4033" w:name="_Toc527100806"/>
      <w:bookmarkStart w:id="4034" w:name="_Toc528227062"/>
      <w:bookmarkStart w:id="4035" w:name="_Toc528227226"/>
      <w:bookmarkStart w:id="4036" w:name="_Toc528227388"/>
      <w:bookmarkStart w:id="4037" w:name="_Toc19389472"/>
      <w:bookmarkStart w:id="4038" w:name="_Toc19392969"/>
      <w:bookmarkEnd w:id="3893"/>
      <w:bookmarkEnd w:id="3894"/>
      <w:bookmarkEnd w:id="3895"/>
      <w:bookmarkEnd w:id="3896"/>
      <w:bookmarkEnd w:id="3897"/>
      <w:bookmarkEnd w:id="3898"/>
      <w:bookmarkEnd w:id="3978"/>
      <w:bookmarkEnd w:id="3979"/>
      <w:bookmarkEnd w:id="3980"/>
      <w:bookmarkEnd w:id="3981"/>
      <w:r>
        <w:rPr>
          <w:rFonts w:hint="cs"/>
          <w:rtl/>
        </w:rPr>
        <w:t>ביאור הגרעק"א דמקשה הרשב"א על הרמב"ן דבכמה בהמות צריך חכם כלפני שחיטה</w:t>
      </w:r>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p>
    <w:p w14:paraId="7561B549" w14:textId="77777777" w:rsidR="00FC47D4" w:rsidRDefault="00FC47D4" w:rsidP="00223668">
      <w:pPr>
        <w:pStyle w:val="a0"/>
        <w:rPr>
          <w:rtl/>
        </w:rPr>
      </w:pPr>
      <w:r>
        <w:rPr>
          <w:rFonts w:hint="cs"/>
          <w:rtl/>
        </w:rPr>
        <w:t xml:space="preserve">וביאר </w:t>
      </w:r>
      <w:r w:rsidRPr="00C27CC0">
        <w:rPr>
          <w:rStyle w:val="af9"/>
          <w:rFonts w:hint="cs"/>
          <w:rtl/>
        </w:rPr>
        <w:t>הגרעק"א</w:t>
      </w:r>
      <w:r>
        <w:rPr>
          <w:rFonts w:hint="cs"/>
          <w:rtl/>
        </w:rPr>
        <w:t xml:space="preserve"> </w:t>
      </w:r>
      <w:r w:rsidRPr="00C27CC0">
        <w:rPr>
          <w:rStyle w:val="af7"/>
          <w:rFonts w:eastAsia="Guttman Hodes" w:hint="cs"/>
          <w:rtl/>
        </w:rPr>
        <w:t>(ד"ה אמר רב הונא)</w:t>
      </w:r>
      <w:r>
        <w:rPr>
          <w:rFonts w:hint="cs"/>
          <w:rtl/>
        </w:rPr>
        <w:t xml:space="preserve"> דכוונת </w:t>
      </w:r>
      <w:r w:rsidRPr="00B10564">
        <w:rPr>
          <w:rStyle w:val="af9"/>
          <w:rFonts w:hint="cs"/>
          <w:rtl/>
        </w:rPr>
        <w:t>הרשב"א</w:t>
      </w:r>
      <w:r>
        <w:rPr>
          <w:rFonts w:hint="cs"/>
          <w:rtl/>
        </w:rPr>
        <w:t xml:space="preserve"> להקשות דלדעת </w:t>
      </w:r>
      <w:r w:rsidRPr="00B10564">
        <w:rPr>
          <w:rStyle w:val="af9"/>
          <w:rFonts w:hint="cs"/>
          <w:rtl/>
        </w:rPr>
        <w:t>הרמב"ן</w:t>
      </w:r>
      <w:r>
        <w:rPr>
          <w:rFonts w:hint="cs"/>
          <w:rtl/>
        </w:rPr>
        <w:t xml:space="preserve"> [עפי"ד </w:t>
      </w:r>
      <w:r w:rsidRPr="00A7137C">
        <w:rPr>
          <w:rStyle w:val="af9"/>
          <w:rFonts w:hint="cs"/>
          <w:rtl/>
        </w:rPr>
        <w:t>הרשב"א</w:t>
      </w:r>
      <w:r>
        <w:rPr>
          <w:rFonts w:hint="cs"/>
          <w:rtl/>
        </w:rPr>
        <w:t xml:space="preserve"> </w:t>
      </w:r>
      <w:r w:rsidRPr="00A7137C">
        <w:rPr>
          <w:rStyle w:val="af7"/>
          <w:rFonts w:eastAsia="Guttman Hodes" w:hint="cs"/>
          <w:rtl/>
        </w:rPr>
        <w:t xml:space="preserve">(עי' אות </w:t>
      </w:r>
      <w:r w:rsidRPr="00A7137C">
        <w:rPr>
          <w:rStyle w:val="af7"/>
          <w:rFonts w:eastAsia="Guttman Hodes"/>
          <w:rtl/>
        </w:rPr>
        <w:fldChar w:fldCharType="begin"/>
      </w:r>
      <w:r w:rsidRPr="00A7137C">
        <w:rPr>
          <w:rStyle w:val="af7"/>
          <w:rFonts w:eastAsia="Guttman Hodes"/>
          <w:rtl/>
        </w:rPr>
        <w:instrText xml:space="preserve"> </w:instrText>
      </w:r>
      <w:r w:rsidRPr="00A7137C">
        <w:rPr>
          <w:rStyle w:val="af7"/>
          <w:rFonts w:eastAsia="Guttman Hodes" w:hint="cs"/>
        </w:rPr>
        <w:instrText>REF</w:instrText>
      </w:r>
      <w:r w:rsidRPr="00A7137C">
        <w:rPr>
          <w:rStyle w:val="af7"/>
          <w:rFonts w:eastAsia="Guttman Hodes" w:hint="cs"/>
          <w:rtl/>
        </w:rPr>
        <w:instrText xml:space="preserve"> _</w:instrText>
      </w:r>
      <w:r w:rsidRPr="00A7137C">
        <w:rPr>
          <w:rStyle w:val="af7"/>
          <w:rFonts w:eastAsia="Guttman Hodes" w:hint="cs"/>
        </w:rPr>
        <w:instrText>Ref523332135 \r \h</w:instrText>
      </w:r>
      <w:r w:rsidRPr="00A7137C">
        <w:rPr>
          <w:rStyle w:val="af7"/>
          <w:rFonts w:eastAsia="Guttman Hodes"/>
          <w:rtl/>
        </w:rPr>
        <w:instrText xml:space="preserve"> </w:instrText>
      </w:r>
      <w:r w:rsidRPr="00A7137C">
        <w:rPr>
          <w:rStyle w:val="af7"/>
          <w:rFonts w:eastAsia="Guttman Hodes"/>
          <w:rtl/>
        </w:rPr>
      </w:r>
      <w:r w:rsidRPr="00A7137C">
        <w:rPr>
          <w:rStyle w:val="af7"/>
          <w:rFonts w:eastAsia="Guttman Hodes"/>
          <w:rtl/>
        </w:rPr>
        <w:fldChar w:fldCharType="separate"/>
      </w:r>
      <w:r w:rsidR="00345400">
        <w:rPr>
          <w:rStyle w:val="af7"/>
          <w:rFonts w:eastAsia="Guttman Hodes"/>
          <w:cs/>
        </w:rPr>
        <w:t>‎</w:t>
      </w:r>
      <w:r w:rsidR="00345400">
        <w:rPr>
          <w:rStyle w:val="af7"/>
          <w:rFonts w:eastAsia="Guttman Hodes"/>
          <w:rtl/>
        </w:rPr>
        <w:t>נא)</w:t>
      </w:r>
      <w:r w:rsidRPr="00A7137C">
        <w:rPr>
          <w:rStyle w:val="af7"/>
          <w:rFonts w:eastAsia="Guttman Hodes"/>
          <w:rtl/>
        </w:rPr>
        <w:fldChar w:fldCharType="end"/>
      </w:r>
      <w:r>
        <w:rPr>
          <w:rFonts w:hint="cs"/>
          <w:rtl/>
        </w:rPr>
        <w:t>] דכיון שמתעסק בחתיכת  העור לפני השחיטה, יצא הסכין מחזקת בדוק, ומדינא צריך בדיקה לאחר השחיטה, ולכן כשאבד הסכין השחיטה פסולה, דא"כ כל בדיקה לאחר שחיטה, היא כבדיקה קודם השחיטה, ואמאי א"צ בדיקת חכם.</w:t>
      </w:r>
    </w:p>
    <w:p w14:paraId="40749C71" w14:textId="77777777" w:rsidR="00FC47D4" w:rsidRDefault="00FC47D4" w:rsidP="00BF39B2">
      <w:pPr>
        <w:pStyle w:val="1"/>
        <w:rPr>
          <w:rtl/>
        </w:rPr>
      </w:pPr>
      <w:bookmarkStart w:id="4039" w:name="_Toc527060282"/>
      <w:bookmarkStart w:id="4040" w:name="_Toc527060430"/>
      <w:bookmarkStart w:id="4041" w:name="_Toc527100807"/>
      <w:bookmarkStart w:id="4042" w:name="_Toc528227063"/>
      <w:bookmarkStart w:id="4043" w:name="_Toc528227227"/>
      <w:bookmarkStart w:id="4044" w:name="_Toc528227389"/>
      <w:bookmarkStart w:id="4045" w:name="_Toc19389473"/>
      <w:bookmarkStart w:id="4046" w:name="_Toc19392970"/>
      <w:r>
        <w:rPr>
          <w:rFonts w:hint="cs"/>
          <w:rtl/>
        </w:rPr>
        <w:t>הוכחת הגרעק"א דלרמב"ן באבד הסכין מותר</w:t>
      </w:r>
      <w:r w:rsidRPr="00152E4A">
        <w:rPr>
          <w:rFonts w:hint="cs"/>
          <w:rtl/>
        </w:rPr>
        <w:t xml:space="preserve"> </w:t>
      </w:r>
      <w:r>
        <w:rPr>
          <w:rFonts w:hint="cs"/>
          <w:rtl/>
        </w:rPr>
        <w:t>מדאו'</w:t>
      </w:r>
      <w:bookmarkEnd w:id="4039"/>
      <w:bookmarkEnd w:id="4040"/>
      <w:bookmarkEnd w:id="4041"/>
      <w:bookmarkEnd w:id="4042"/>
      <w:bookmarkEnd w:id="4043"/>
      <w:bookmarkEnd w:id="4044"/>
      <w:bookmarkEnd w:id="4045"/>
      <w:bookmarkEnd w:id="4046"/>
    </w:p>
    <w:p w14:paraId="54A27CAE" w14:textId="77777777" w:rsidR="00FC47D4" w:rsidRPr="00201F50" w:rsidRDefault="00FC47D4" w:rsidP="006D6D32">
      <w:pPr>
        <w:pStyle w:val="a3"/>
        <w:rPr>
          <w:rtl/>
        </w:rPr>
      </w:pPr>
      <w:bookmarkStart w:id="4047" w:name="_Toc523490328"/>
      <w:bookmarkStart w:id="4048" w:name="_Toc523697948"/>
      <w:bookmarkStart w:id="4049" w:name="_Toc523735723"/>
      <w:bookmarkStart w:id="4050" w:name="_Toc526248975"/>
      <w:bookmarkStart w:id="4051" w:name="_Toc526409477"/>
      <w:bookmarkStart w:id="4052" w:name="_Toc526939128"/>
      <w:bookmarkStart w:id="4053" w:name="_Toc527060283"/>
      <w:bookmarkStart w:id="4054" w:name="_Toc527060431"/>
      <w:bookmarkStart w:id="4055" w:name="_Toc527100808"/>
      <w:bookmarkStart w:id="4056" w:name="_Toc528227064"/>
      <w:bookmarkStart w:id="4057" w:name="_Toc528227228"/>
      <w:bookmarkStart w:id="4058" w:name="_Toc528227390"/>
      <w:bookmarkStart w:id="4059" w:name="_Toc19389474"/>
      <w:bookmarkStart w:id="4060" w:name="_Toc19392971"/>
      <w:r>
        <w:rPr>
          <w:rFonts w:hint="cs"/>
          <w:rtl/>
        </w:rPr>
        <w:t>דברי הגרעק"א דאי בכמה בהמות צריך חכם א"כ אף בבהמה אחת צריך חכם אחר השחיטה</w:t>
      </w:r>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p>
    <w:p w14:paraId="7896130C" w14:textId="77777777" w:rsidR="00FC47D4" w:rsidRDefault="00FC47D4" w:rsidP="00223668">
      <w:pPr>
        <w:pStyle w:val="a0"/>
        <w:rPr>
          <w:rtl/>
        </w:rPr>
      </w:pPr>
      <w:r>
        <w:rPr>
          <w:rFonts w:hint="cs"/>
          <w:rtl/>
        </w:rPr>
        <w:t xml:space="preserve">וכתב </w:t>
      </w:r>
      <w:r w:rsidRPr="00970B1F">
        <w:rPr>
          <w:rStyle w:val="af9"/>
          <w:rFonts w:hint="cs"/>
          <w:rtl/>
        </w:rPr>
        <w:t>הגרעק"א</w:t>
      </w:r>
      <w:r>
        <w:rPr>
          <w:rFonts w:hint="cs"/>
          <w:rtl/>
        </w:rPr>
        <w:t xml:space="preserve"> </w:t>
      </w:r>
      <w:r w:rsidRPr="00B10564">
        <w:rPr>
          <w:rStyle w:val="af7"/>
          <w:rFonts w:eastAsia="Guttman Hodes" w:hint="cs"/>
          <w:rtl/>
        </w:rPr>
        <w:t xml:space="preserve">(ד"ה </w:t>
      </w:r>
      <w:r>
        <w:rPr>
          <w:rStyle w:val="af7"/>
          <w:rFonts w:eastAsia="Guttman Hodes" w:hint="cs"/>
          <w:rtl/>
        </w:rPr>
        <w:t>ונלע"ד דהרי</w:t>
      </w:r>
      <w:r w:rsidRPr="00B10564">
        <w:rPr>
          <w:rStyle w:val="af7"/>
          <w:rFonts w:eastAsia="Guttman Hodes" w:hint="cs"/>
          <w:rtl/>
        </w:rPr>
        <w:t>)</w:t>
      </w:r>
      <w:r>
        <w:rPr>
          <w:rFonts w:hint="cs"/>
          <w:rtl/>
        </w:rPr>
        <w:t xml:space="preserve"> דא"א לומר שבין שחיטה לשחיטה צריך בדיקת חכם, דהא לפי ההו"א בגמ' </w:t>
      </w:r>
      <w:r w:rsidRPr="00970B1F">
        <w:rPr>
          <w:rStyle w:val="af7"/>
          <w:rFonts w:eastAsia="Guttman Hodes" w:hint="cs"/>
          <w:rtl/>
        </w:rPr>
        <w:t xml:space="preserve">(י:) </w:t>
      </w:r>
      <w:r>
        <w:rPr>
          <w:rFonts w:hint="cs"/>
          <w:rtl/>
        </w:rPr>
        <w:t xml:space="preserve">דבדיקת חכם היא מחמת שאין השוחט נאמן, א"כ </w:t>
      </w:r>
      <w:r w:rsidRPr="00970B1F">
        <w:rPr>
          <w:rStyle w:val="af9"/>
          <w:rFonts w:hint="cs"/>
          <w:rtl/>
        </w:rPr>
        <w:t>לרמב"ן</w:t>
      </w:r>
      <w:r>
        <w:rPr>
          <w:rFonts w:hint="cs"/>
          <w:rtl/>
        </w:rPr>
        <w:t xml:space="preserve"> לדעת רב הונא דבאבד הסכין השחיטה פסולה, א"כ כל בדיקה אחר השחיטה צריכה בדיקת חכם </w:t>
      </w:r>
      <w:r w:rsidRPr="00970B1F">
        <w:rPr>
          <w:rStyle w:val="afb"/>
          <w:rFonts w:hint="cs"/>
          <w:rtl/>
        </w:rPr>
        <w:t>[אף בבהמה אחת]</w:t>
      </w:r>
      <w:r>
        <w:rPr>
          <w:rFonts w:hint="cs"/>
          <w:rtl/>
        </w:rPr>
        <w:t>, דהרי בלא הבדיקה הבהמה אסורה, ובגמ' ודאי דמבואר דא"צ בדיקה חכם אחר השחיטה.</w:t>
      </w:r>
    </w:p>
    <w:p w14:paraId="3065AC85" w14:textId="77777777" w:rsidR="00FC47D4" w:rsidRDefault="00FC47D4" w:rsidP="006D6D32">
      <w:pPr>
        <w:pStyle w:val="a3"/>
        <w:rPr>
          <w:rtl/>
        </w:rPr>
      </w:pPr>
      <w:bookmarkStart w:id="4061" w:name="_Toc523490329"/>
      <w:bookmarkStart w:id="4062" w:name="_Toc523697949"/>
      <w:bookmarkStart w:id="4063" w:name="_Toc523735724"/>
      <w:bookmarkStart w:id="4064" w:name="_Toc526248976"/>
      <w:bookmarkStart w:id="4065" w:name="_Toc526409478"/>
      <w:bookmarkStart w:id="4066" w:name="_Toc526939129"/>
      <w:bookmarkStart w:id="4067" w:name="_Toc527060284"/>
      <w:bookmarkStart w:id="4068" w:name="_Toc527060432"/>
      <w:bookmarkStart w:id="4069" w:name="_Toc527100809"/>
      <w:bookmarkStart w:id="4070" w:name="_Toc528227065"/>
      <w:bookmarkStart w:id="4071" w:name="_Toc528227229"/>
      <w:bookmarkStart w:id="4072" w:name="_Toc528227391"/>
      <w:bookmarkStart w:id="4073" w:name="_Toc19389475"/>
      <w:bookmarkStart w:id="4074" w:name="_Toc19392972"/>
      <w:r>
        <w:rPr>
          <w:rFonts w:hint="cs"/>
          <w:rtl/>
        </w:rPr>
        <w:t>דברי הגרעק"א דאף לרמב"ן באבד הסכין אסור רק מדרבנן ומדאו' יש רוב</w:t>
      </w:r>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p>
    <w:p w14:paraId="47983937" w14:textId="77777777" w:rsidR="00FC47D4" w:rsidRDefault="00FC47D4" w:rsidP="00223668">
      <w:pPr>
        <w:pStyle w:val="a0"/>
        <w:rPr>
          <w:rStyle w:val="afb"/>
          <w:rtl/>
        </w:rPr>
      </w:pPr>
      <w:bookmarkStart w:id="4075" w:name="_Ref526939821"/>
      <w:r>
        <w:rPr>
          <w:rFonts w:hint="cs"/>
          <w:rtl/>
        </w:rPr>
        <w:t xml:space="preserve">אלא כתב </w:t>
      </w:r>
      <w:r w:rsidRPr="00970B1F">
        <w:rPr>
          <w:rStyle w:val="af9"/>
          <w:rFonts w:hint="cs"/>
          <w:rtl/>
        </w:rPr>
        <w:t>הגרעק"א</w:t>
      </w:r>
      <w:r>
        <w:rPr>
          <w:rFonts w:hint="cs"/>
          <w:rtl/>
        </w:rPr>
        <w:t xml:space="preserve"> דמוכח דאף לדעת </w:t>
      </w:r>
      <w:r w:rsidRPr="00970B1F">
        <w:rPr>
          <w:rStyle w:val="af9"/>
          <w:rFonts w:hint="cs"/>
          <w:rtl/>
        </w:rPr>
        <w:t>הרמב"ן</w:t>
      </w:r>
      <w:r>
        <w:rPr>
          <w:rFonts w:hint="cs"/>
          <w:rtl/>
        </w:rPr>
        <w:t xml:space="preserve"> האיסור באבד הסכין הוא מדרבנן ולא מדאו', דבשיבר בה עצמות או שאבד הסכין החמירו רבנן לאסור, וכדמוכח מהא דדימתה הגמ' את דין בדיקת הסכין לדברי רב הונא לעיל </w:t>
      </w:r>
      <w:r w:rsidRPr="00970B1F">
        <w:rPr>
          <w:rStyle w:val="af7"/>
          <w:rFonts w:eastAsia="Guttman Hodes" w:hint="cs"/>
          <w:rtl/>
        </w:rPr>
        <w:t>(ט.)</w:t>
      </w:r>
      <w:r>
        <w:rPr>
          <w:rFonts w:hint="cs"/>
          <w:rtl/>
        </w:rPr>
        <w:t xml:space="preserve"> בבדיקת סימנים, וכתבו </w:t>
      </w:r>
      <w:r w:rsidRPr="00970B1F">
        <w:rPr>
          <w:rStyle w:val="af9"/>
          <w:rFonts w:hint="cs"/>
          <w:rtl/>
        </w:rPr>
        <w:t>התוס'</w:t>
      </w:r>
      <w:r>
        <w:rPr>
          <w:rFonts w:hint="cs"/>
          <w:rtl/>
        </w:rPr>
        <w:t xml:space="preserve"> </w:t>
      </w:r>
      <w:r w:rsidRPr="00B567F2">
        <w:rPr>
          <w:rStyle w:val="af7"/>
          <w:rFonts w:eastAsia="Guttman Hodes" w:hint="cs"/>
          <w:rtl/>
        </w:rPr>
        <w:t xml:space="preserve">(ט. ד"ה ואסורה) </w:t>
      </w:r>
      <w:r w:rsidRPr="00970B1F">
        <w:rPr>
          <w:rStyle w:val="af9"/>
          <w:rFonts w:hint="cs"/>
          <w:rtl/>
        </w:rPr>
        <w:t>והרשב"א</w:t>
      </w:r>
      <w:r w:rsidRPr="00B567F2">
        <w:rPr>
          <w:rStyle w:val="af7"/>
          <w:rFonts w:eastAsia="Guttman Hodes" w:hint="cs"/>
          <w:rtl/>
        </w:rPr>
        <w:t xml:space="preserve"> (ט. ד"ה מר סבר) </w:t>
      </w:r>
      <w:r>
        <w:rPr>
          <w:rFonts w:hint="cs"/>
          <w:rtl/>
        </w:rPr>
        <w:t xml:space="preserve">דמדאו' יש רוב שנשחטו הסימנים כראוי, ורק מדרבנן הבהמה אסורה. וכתב </w:t>
      </w:r>
      <w:r w:rsidRPr="00B567F2">
        <w:rPr>
          <w:rStyle w:val="af9"/>
          <w:rFonts w:hint="cs"/>
          <w:rtl/>
        </w:rPr>
        <w:t>הגרעק"א</w:t>
      </w:r>
      <w:r>
        <w:rPr>
          <w:rFonts w:hint="cs"/>
          <w:rtl/>
        </w:rPr>
        <w:t xml:space="preserve"> דאף שהחמירו רבנן לבדוק אחר השחיטה, מ"מ לא החמירו שלא להאמין לשוחט, ולכן א"צ בדיקת חכם אחר השחיטה, </w:t>
      </w:r>
      <w:r w:rsidRPr="00B567F2">
        <w:rPr>
          <w:rStyle w:val="afb"/>
          <w:rFonts w:hint="cs"/>
          <w:rtl/>
        </w:rPr>
        <w:t>[אף להו"א שהוא מחמת שאין לשוחט נאמנות].</w:t>
      </w:r>
      <w:bookmarkEnd w:id="4075"/>
    </w:p>
    <w:p w14:paraId="35D7D716" w14:textId="77777777" w:rsidR="00882FB2" w:rsidRPr="00882FB2" w:rsidRDefault="00882FB2" w:rsidP="006D6D32">
      <w:pPr>
        <w:pStyle w:val="a3"/>
        <w:rPr>
          <w:rtl/>
        </w:rPr>
      </w:pPr>
    </w:p>
    <w:p w14:paraId="3463343F" w14:textId="77777777" w:rsidR="00FC47D4" w:rsidRDefault="00FC47D4" w:rsidP="006D6D32">
      <w:pPr>
        <w:pStyle w:val="a3"/>
        <w:rPr>
          <w:rtl/>
        </w:rPr>
      </w:pPr>
      <w:bookmarkStart w:id="4076" w:name="_Toc523490330"/>
      <w:bookmarkStart w:id="4077" w:name="_Toc523697950"/>
      <w:bookmarkStart w:id="4078" w:name="_Toc523735725"/>
      <w:bookmarkStart w:id="4079" w:name="_Toc526248977"/>
      <w:bookmarkStart w:id="4080" w:name="_Toc526409479"/>
      <w:bookmarkStart w:id="4081" w:name="_Toc526939130"/>
      <w:bookmarkStart w:id="4082" w:name="_Toc527060285"/>
      <w:bookmarkStart w:id="4083" w:name="_Toc527060433"/>
      <w:bookmarkStart w:id="4084" w:name="_Toc527100810"/>
      <w:bookmarkStart w:id="4085" w:name="_Toc528227066"/>
      <w:bookmarkStart w:id="4086" w:name="_Toc528227230"/>
      <w:bookmarkStart w:id="4087" w:name="_Toc528227392"/>
      <w:bookmarkStart w:id="4088" w:name="_Toc19389476"/>
      <w:bookmarkStart w:id="4089" w:name="_Toc19392973"/>
      <w:r>
        <w:rPr>
          <w:rFonts w:hint="cs"/>
          <w:rtl/>
        </w:rPr>
        <w:t>דברי הגרעק"א דמחמת החזקה החמירו כנגד הרוב והשוחט נאמן בזה וא"צ חכם</w:t>
      </w:r>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p>
    <w:p w14:paraId="5CD812C7" w14:textId="77777777" w:rsidR="00FC47D4" w:rsidRDefault="00FC47D4" w:rsidP="00223668">
      <w:pPr>
        <w:pStyle w:val="a0"/>
        <w:rPr>
          <w:rtl/>
        </w:rPr>
      </w:pPr>
      <w:bookmarkStart w:id="4090" w:name="_Ref526939829"/>
      <w:r>
        <w:rPr>
          <w:rFonts w:hint="cs"/>
          <w:rtl/>
        </w:rPr>
        <w:t xml:space="preserve">והוסיף </w:t>
      </w:r>
      <w:r w:rsidRPr="003C7CE4">
        <w:rPr>
          <w:rStyle w:val="af9"/>
          <w:rFonts w:hint="cs"/>
          <w:rtl/>
        </w:rPr>
        <w:t>הגרעק"א</w:t>
      </w:r>
      <w:r>
        <w:rPr>
          <w:rFonts w:hint="cs"/>
          <w:rtl/>
        </w:rPr>
        <w:t xml:space="preserve"> דמה שהחמירו רבנן שלא לסמוך על הרוב שהעור אינו פוגם, הוא מחמת החזקת איסור, והיינו דהחמירו שהחזקה היא כנגד הרוב והוי פלגא ופלגא, וא"כ אי"ז איתחזק איסורא כלל, וא"כ ע"א נאמן בזה אף להו"א שהשוחט אינו נאמן.</w:t>
      </w:r>
      <w:bookmarkEnd w:id="4090"/>
    </w:p>
    <w:p w14:paraId="6855377B" w14:textId="77777777" w:rsidR="00FC47D4" w:rsidRDefault="00FC47D4" w:rsidP="00BF39B2">
      <w:pPr>
        <w:pStyle w:val="1"/>
        <w:rPr>
          <w:rtl/>
        </w:rPr>
      </w:pPr>
      <w:bookmarkStart w:id="4091" w:name="_Toc523697951"/>
      <w:bookmarkStart w:id="4092" w:name="_Toc523735726"/>
      <w:bookmarkStart w:id="4093" w:name="_Toc526248978"/>
      <w:bookmarkStart w:id="4094" w:name="_Toc526409480"/>
      <w:bookmarkStart w:id="4095" w:name="_Toc526939131"/>
      <w:bookmarkStart w:id="4096" w:name="_Toc527060286"/>
      <w:bookmarkStart w:id="4097" w:name="_Toc527060434"/>
      <w:bookmarkStart w:id="4098" w:name="_Toc527100811"/>
      <w:bookmarkStart w:id="4099" w:name="_Toc528227067"/>
      <w:bookmarkStart w:id="4100" w:name="_Toc528227231"/>
      <w:bookmarkStart w:id="4101" w:name="_Toc528227393"/>
      <w:bookmarkStart w:id="4102" w:name="_Toc19389477"/>
      <w:bookmarkStart w:id="4103" w:name="_Toc19392974"/>
      <w:bookmarkStart w:id="4104" w:name="_Toc523490331"/>
      <w:r>
        <w:rPr>
          <w:rFonts w:hint="cs"/>
          <w:rtl/>
        </w:rPr>
        <w:t>תירוץ הגרעק"א בקושית הרשב"א על הרמב"ן</w:t>
      </w:r>
      <w:bookmarkEnd w:id="4091"/>
      <w:bookmarkEnd w:id="4092"/>
      <w:bookmarkEnd w:id="4093"/>
      <w:bookmarkEnd w:id="4094"/>
      <w:bookmarkEnd w:id="4095"/>
      <w:bookmarkEnd w:id="4096"/>
      <w:bookmarkEnd w:id="4097"/>
      <w:bookmarkEnd w:id="4098"/>
      <w:bookmarkEnd w:id="4099"/>
      <w:bookmarkEnd w:id="4100"/>
      <w:bookmarkEnd w:id="4101"/>
      <w:bookmarkEnd w:id="4102"/>
      <w:bookmarkEnd w:id="4103"/>
    </w:p>
    <w:p w14:paraId="283E45B3" w14:textId="77777777" w:rsidR="00FC47D4" w:rsidRDefault="00FC47D4" w:rsidP="006D6D32">
      <w:pPr>
        <w:pStyle w:val="a3"/>
        <w:rPr>
          <w:rtl/>
        </w:rPr>
      </w:pPr>
      <w:bookmarkStart w:id="4105" w:name="_Toc523697952"/>
      <w:bookmarkStart w:id="4106" w:name="_Toc523735727"/>
      <w:bookmarkStart w:id="4107" w:name="_Toc526248979"/>
      <w:bookmarkStart w:id="4108" w:name="_Toc526409481"/>
      <w:bookmarkStart w:id="4109" w:name="_Toc526939132"/>
      <w:bookmarkStart w:id="4110" w:name="_Toc527060287"/>
      <w:bookmarkStart w:id="4111" w:name="_Toc527060435"/>
      <w:bookmarkStart w:id="4112" w:name="_Toc527100812"/>
      <w:bookmarkStart w:id="4113" w:name="_Toc528227068"/>
      <w:bookmarkStart w:id="4114" w:name="_Toc528227232"/>
      <w:bookmarkStart w:id="4115" w:name="_Toc528227394"/>
      <w:bookmarkStart w:id="4116" w:name="_Toc19389478"/>
      <w:bookmarkStart w:id="4117" w:name="_Toc19392975"/>
      <w:r>
        <w:rPr>
          <w:rFonts w:hint="cs"/>
          <w:rtl/>
        </w:rPr>
        <w:t>תירוץ הגרעק"א על קושית הרשב"א דהאמינו רבנן לשוחט בכמה בהמות וא"צ חכם</w:t>
      </w:r>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p>
    <w:p w14:paraId="78049999" w14:textId="77777777" w:rsidR="00FC47D4" w:rsidRDefault="00FC47D4" w:rsidP="00223668">
      <w:pPr>
        <w:pStyle w:val="a0"/>
        <w:rPr>
          <w:rtl/>
        </w:rPr>
      </w:pPr>
      <w:bookmarkStart w:id="4118" w:name="_Ref526244759"/>
      <w:r>
        <w:rPr>
          <w:rFonts w:hint="cs"/>
          <w:rtl/>
        </w:rPr>
        <w:t xml:space="preserve">ובזה תירץ </w:t>
      </w:r>
      <w:r w:rsidRPr="003C7CE4">
        <w:rPr>
          <w:rStyle w:val="af9"/>
          <w:rFonts w:hint="cs"/>
          <w:rtl/>
        </w:rPr>
        <w:t>הגרעק"א</w:t>
      </w:r>
      <w:r>
        <w:rPr>
          <w:rFonts w:hint="cs"/>
          <w:rtl/>
        </w:rPr>
        <w:t xml:space="preserve"> את קושית </w:t>
      </w:r>
      <w:r w:rsidRPr="008D7014">
        <w:rPr>
          <w:rStyle w:val="af9"/>
          <w:rFonts w:hint="cs"/>
          <w:rtl/>
        </w:rPr>
        <w:t>הרשב"א</w:t>
      </w:r>
      <w:r>
        <w:rPr>
          <w:rFonts w:hint="cs"/>
          <w:rtl/>
        </w:rPr>
        <w:t xml:space="preserve"> </w:t>
      </w:r>
      <w:r w:rsidRPr="008D7014">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Ref527060042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סד)</w:t>
      </w:r>
      <w:r>
        <w:rPr>
          <w:rStyle w:val="af7"/>
          <w:rFonts w:eastAsia="Guttman Hodes"/>
          <w:rtl/>
        </w:rPr>
        <w:fldChar w:fldCharType="end"/>
      </w:r>
      <w:r w:rsidRPr="008D7014">
        <w:rPr>
          <w:rStyle w:val="af7"/>
          <w:rFonts w:eastAsia="Guttman Hodes" w:hint="cs"/>
          <w:rtl/>
        </w:rPr>
        <w:t xml:space="preserve"> </w:t>
      </w:r>
      <w:r>
        <w:rPr>
          <w:rFonts w:hint="cs"/>
          <w:rtl/>
        </w:rPr>
        <w:t xml:space="preserve">על </w:t>
      </w:r>
      <w:r w:rsidRPr="008D7014">
        <w:rPr>
          <w:rStyle w:val="af9"/>
          <w:rFonts w:hint="cs"/>
          <w:rtl/>
        </w:rPr>
        <w:t>הרמב"ן</w:t>
      </w:r>
      <w:r>
        <w:rPr>
          <w:rFonts w:hint="cs"/>
          <w:rtl/>
        </w:rPr>
        <w:t xml:space="preserve"> דאף בשוחט הרבה בהמות, דהבדיקה שאחר הראשונה היא בדיקה דקודם השחיטה בשניה, מ"מ א"צ בדיקת חכם אף לדעת </w:t>
      </w:r>
      <w:r w:rsidRPr="00FA1575">
        <w:rPr>
          <w:rStyle w:val="af9"/>
          <w:rFonts w:hint="cs"/>
          <w:rtl/>
        </w:rPr>
        <w:t>הרמב"ן</w:t>
      </w:r>
      <w:r>
        <w:rPr>
          <w:rFonts w:hint="cs"/>
          <w:rtl/>
        </w:rPr>
        <w:t>, דכיון שמדאו' מעמידים את הסכין בחזקתו וא"צ בדיקה, א"כ אף דמדרבנן צריך בדיקה, מ"מ האמינו לשוחט בבדיקתו, דהבדיקה שלפני שחיטת הבהמה השניה, דינה כמו בדיקה שאחר שחיטת בהמה אחת.</w:t>
      </w:r>
      <w:bookmarkEnd w:id="4118"/>
    </w:p>
    <w:p w14:paraId="63857DEA" w14:textId="77777777" w:rsidR="00FC47D4" w:rsidRPr="00885D87" w:rsidRDefault="00FC47D4" w:rsidP="006D6D32">
      <w:pPr>
        <w:pStyle w:val="a3"/>
        <w:rPr>
          <w:rtl/>
        </w:rPr>
      </w:pPr>
      <w:bookmarkStart w:id="4119" w:name="_Toc523490332"/>
      <w:bookmarkStart w:id="4120" w:name="_Toc523697953"/>
      <w:bookmarkStart w:id="4121" w:name="_Toc523735728"/>
      <w:bookmarkStart w:id="4122" w:name="_Toc526248980"/>
      <w:bookmarkStart w:id="4123" w:name="_Toc526409482"/>
      <w:bookmarkStart w:id="4124" w:name="_Toc526939133"/>
      <w:bookmarkStart w:id="4125" w:name="_Toc527060288"/>
      <w:bookmarkStart w:id="4126" w:name="_Toc527060436"/>
      <w:bookmarkStart w:id="4127" w:name="_Toc527100813"/>
      <w:bookmarkStart w:id="4128" w:name="_Toc528227069"/>
      <w:bookmarkStart w:id="4129" w:name="_Toc528227233"/>
      <w:bookmarkStart w:id="4130" w:name="_Toc528227395"/>
      <w:bookmarkStart w:id="4131" w:name="_Toc19389479"/>
      <w:bookmarkStart w:id="4132" w:name="_Toc19392976"/>
      <w:r>
        <w:rPr>
          <w:rFonts w:hint="cs"/>
          <w:rtl/>
        </w:rPr>
        <w:t>דברי הגרעק"א דלרב חסדא הו"א בגמ' דבדיקה בין שחיטה לשחיטה היא מדאו'</w:t>
      </w:r>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p>
    <w:p w14:paraId="133C5340" w14:textId="77777777" w:rsidR="00FC47D4" w:rsidRDefault="00FC47D4" w:rsidP="00223668">
      <w:pPr>
        <w:pStyle w:val="a0"/>
        <w:rPr>
          <w:rtl/>
        </w:rPr>
      </w:pPr>
      <w:r>
        <w:rPr>
          <w:rFonts w:hint="cs"/>
          <w:rtl/>
        </w:rPr>
        <w:t>ובקושית הגמ'</w:t>
      </w:r>
      <w:r w:rsidRPr="00201F50">
        <w:rPr>
          <w:rStyle w:val="af7"/>
          <w:rFonts w:eastAsia="Guttman Hodes" w:hint="cs"/>
          <w:rtl/>
        </w:rPr>
        <w:t xml:space="preserve"> (י:) </w:t>
      </w:r>
      <w:r>
        <w:rPr>
          <w:rFonts w:hint="cs"/>
          <w:rtl/>
        </w:rPr>
        <w:t xml:space="preserve">דלרב חסדא צריך בדיקת חכם, ביאר </w:t>
      </w:r>
      <w:r w:rsidRPr="00201F50">
        <w:rPr>
          <w:rStyle w:val="af9"/>
          <w:rFonts w:hint="cs"/>
          <w:rtl/>
        </w:rPr>
        <w:t>הגרעק"א</w:t>
      </w:r>
      <w:r>
        <w:rPr>
          <w:rFonts w:hint="cs"/>
          <w:rtl/>
        </w:rPr>
        <w:t xml:space="preserve"> דהיינו דכיון שאם ימצא הסכין פגום אחר שחיטת הרבה בהמות, מ"מ הראשונות מותרות, א"כ סברה הגמ' דהבדיקה בין שחיטה לשחיטה היא מדאו', שמא נפגם בעצם המפרקת, ולכן מקשה הגמ' דצריך בדיקת חכם, ועיי"ש בדברי </w:t>
      </w:r>
      <w:r w:rsidRPr="0032428F">
        <w:rPr>
          <w:rStyle w:val="af9"/>
          <w:rFonts w:hint="cs"/>
          <w:rtl/>
        </w:rPr>
        <w:t>הגרעק"א</w:t>
      </w:r>
      <w:r>
        <w:rPr>
          <w:rFonts w:hint="cs"/>
          <w:rtl/>
        </w:rPr>
        <w:t xml:space="preserve"> </w:t>
      </w:r>
      <w:r w:rsidRPr="0032428F">
        <w:rPr>
          <w:rStyle w:val="af7"/>
          <w:rFonts w:eastAsia="Guttman Hodes" w:hint="cs"/>
          <w:rtl/>
        </w:rPr>
        <w:t>(ד"ה גם אף)</w:t>
      </w:r>
      <w:r>
        <w:rPr>
          <w:rFonts w:hint="cs"/>
          <w:rtl/>
        </w:rPr>
        <w:t xml:space="preserve"> במה שהוסיף לתרץ על קושית </w:t>
      </w:r>
      <w:r w:rsidRPr="0032428F">
        <w:rPr>
          <w:rStyle w:val="af9"/>
          <w:rFonts w:hint="cs"/>
          <w:rtl/>
        </w:rPr>
        <w:t>הרשב"א</w:t>
      </w:r>
      <w:r>
        <w:rPr>
          <w:rFonts w:hint="cs"/>
          <w:rtl/>
        </w:rPr>
        <w:t>.</w:t>
      </w:r>
    </w:p>
    <w:p w14:paraId="0C527E8B" w14:textId="77777777" w:rsidR="00FC47D4" w:rsidRDefault="00FC47D4" w:rsidP="006D6D32">
      <w:pPr>
        <w:pStyle w:val="afe"/>
        <w:rPr>
          <w:rtl/>
        </w:rPr>
      </w:pPr>
      <w:bookmarkStart w:id="4133" w:name="_Toc527060289"/>
      <w:bookmarkStart w:id="4134" w:name="_Toc527060437"/>
      <w:bookmarkStart w:id="4135" w:name="_Toc527100814"/>
      <w:bookmarkStart w:id="4136" w:name="_Toc528227070"/>
      <w:bookmarkStart w:id="4137" w:name="_Toc528227234"/>
      <w:bookmarkStart w:id="4138" w:name="_Toc528227396"/>
      <w:bookmarkStart w:id="4139" w:name="_Toc19435330"/>
      <w:bookmarkStart w:id="4140" w:name="_Toc20080668"/>
      <w:r w:rsidRPr="00936CC8">
        <w:rPr>
          <w:rFonts w:hint="cs"/>
          <w:rtl/>
        </w:rPr>
        <w:t>בדין בדיקה אחר השחיטה לרב חסדא</w:t>
      </w:r>
      <w:bookmarkEnd w:id="3899"/>
      <w:bookmarkEnd w:id="3900"/>
      <w:bookmarkEnd w:id="3901"/>
      <w:bookmarkEnd w:id="3902"/>
      <w:bookmarkEnd w:id="3903"/>
      <w:bookmarkEnd w:id="4133"/>
      <w:bookmarkEnd w:id="4134"/>
      <w:bookmarkEnd w:id="4135"/>
      <w:bookmarkEnd w:id="4136"/>
      <w:bookmarkEnd w:id="4137"/>
      <w:bookmarkEnd w:id="4138"/>
      <w:bookmarkEnd w:id="4139"/>
      <w:bookmarkEnd w:id="4140"/>
    </w:p>
    <w:p w14:paraId="53CD4820" w14:textId="77777777" w:rsidR="00FC47D4" w:rsidRDefault="00FC47D4" w:rsidP="00BF39B2">
      <w:pPr>
        <w:pStyle w:val="1"/>
        <w:rPr>
          <w:rtl/>
        </w:rPr>
      </w:pPr>
      <w:bookmarkStart w:id="4141" w:name="_Toc526409501"/>
      <w:bookmarkStart w:id="4142" w:name="_Toc526939156"/>
      <w:bookmarkStart w:id="4143" w:name="_Toc527060290"/>
      <w:bookmarkStart w:id="4144" w:name="_Toc527060438"/>
      <w:bookmarkStart w:id="4145" w:name="_Toc527100815"/>
      <w:bookmarkStart w:id="4146" w:name="_Toc528227071"/>
      <w:bookmarkStart w:id="4147" w:name="_Toc528227235"/>
      <w:bookmarkStart w:id="4148" w:name="_Toc528227397"/>
      <w:bookmarkStart w:id="4149" w:name="_Toc19389480"/>
      <w:bookmarkStart w:id="4150" w:name="_Toc19392977"/>
      <w:bookmarkStart w:id="4151" w:name="_Toc526248946"/>
      <w:bookmarkStart w:id="4152" w:name="_Toc526248927"/>
      <w:r>
        <w:rPr>
          <w:rFonts w:hint="cs"/>
          <w:rtl/>
        </w:rPr>
        <w:t>דברי</w:t>
      </w:r>
      <w:r w:rsidRPr="004D14C8">
        <w:rPr>
          <w:rFonts w:hint="cs"/>
          <w:rtl/>
        </w:rPr>
        <w:t xml:space="preserve"> הרמב"ן והרא</w:t>
      </w:r>
      <w:r w:rsidRPr="00150DBF">
        <w:rPr>
          <w:rFonts w:hint="cs"/>
          <w:rtl/>
        </w:rPr>
        <w:t xml:space="preserve">"ש </w:t>
      </w:r>
      <w:r>
        <w:rPr>
          <w:rFonts w:hint="cs"/>
          <w:rtl/>
        </w:rPr>
        <w:t>בבדיקה בחזקה כשאין ריעותא לפנינו</w:t>
      </w:r>
      <w:bookmarkEnd w:id="4141"/>
      <w:bookmarkEnd w:id="4142"/>
      <w:bookmarkEnd w:id="4143"/>
      <w:bookmarkEnd w:id="4144"/>
      <w:bookmarkEnd w:id="4145"/>
      <w:bookmarkEnd w:id="4146"/>
      <w:bookmarkEnd w:id="4147"/>
      <w:bookmarkEnd w:id="4148"/>
      <w:bookmarkEnd w:id="4149"/>
      <w:bookmarkEnd w:id="4150"/>
      <w:r>
        <w:rPr>
          <w:rFonts w:hint="cs"/>
          <w:rtl/>
        </w:rPr>
        <w:t xml:space="preserve"> </w:t>
      </w:r>
    </w:p>
    <w:p w14:paraId="0554E538" w14:textId="77777777" w:rsidR="00FC47D4" w:rsidRDefault="00FC47D4" w:rsidP="006D6D32">
      <w:pPr>
        <w:pStyle w:val="a3"/>
        <w:rPr>
          <w:rtl/>
        </w:rPr>
      </w:pPr>
      <w:bookmarkStart w:id="4153" w:name="_Toc526409502"/>
      <w:bookmarkStart w:id="4154" w:name="_Toc526939157"/>
      <w:bookmarkStart w:id="4155" w:name="_Toc527060291"/>
      <w:bookmarkStart w:id="4156" w:name="_Toc527060439"/>
      <w:bookmarkStart w:id="4157" w:name="_Toc527100816"/>
      <w:bookmarkStart w:id="4158" w:name="_Toc528227072"/>
      <w:bookmarkStart w:id="4159" w:name="_Toc528227236"/>
      <w:bookmarkStart w:id="4160" w:name="_Toc528227398"/>
      <w:bookmarkStart w:id="4161" w:name="_Toc19389481"/>
      <w:bookmarkStart w:id="4162" w:name="_Toc19392978"/>
      <w:r>
        <w:rPr>
          <w:rFonts w:hint="cs"/>
          <w:rtl/>
        </w:rPr>
        <w:t>הוכחת הרא"ש מרוב מצויין אצל שחיטה דחשיב שנודע במה נשחטה</w:t>
      </w:r>
      <w:bookmarkEnd w:id="4151"/>
      <w:bookmarkEnd w:id="4153"/>
      <w:bookmarkEnd w:id="4154"/>
      <w:bookmarkEnd w:id="4155"/>
      <w:bookmarkEnd w:id="4156"/>
      <w:bookmarkEnd w:id="4157"/>
      <w:bookmarkEnd w:id="4158"/>
      <w:bookmarkEnd w:id="4159"/>
      <w:bookmarkEnd w:id="4160"/>
      <w:bookmarkEnd w:id="4161"/>
      <w:bookmarkEnd w:id="4162"/>
    </w:p>
    <w:p w14:paraId="24EA56E8" w14:textId="77777777" w:rsidR="00FC47D4" w:rsidRDefault="00FC47D4" w:rsidP="00223668">
      <w:pPr>
        <w:pStyle w:val="a0"/>
        <w:rPr>
          <w:rtl/>
        </w:rPr>
      </w:pPr>
      <w:bookmarkStart w:id="4163" w:name="_Ref523686750"/>
      <w:r w:rsidRPr="000C105C">
        <w:rPr>
          <w:rStyle w:val="af9"/>
          <w:rFonts w:hint="cs"/>
          <w:rtl/>
        </w:rPr>
        <w:t>הרא"ש</w:t>
      </w:r>
      <w:r>
        <w:rPr>
          <w:rFonts w:hint="cs"/>
          <w:rtl/>
        </w:rPr>
        <w:t xml:space="preserve"> </w:t>
      </w:r>
      <w:r w:rsidRPr="000C105C">
        <w:rPr>
          <w:rStyle w:val="af7"/>
          <w:rFonts w:eastAsia="Guttman Hodes" w:hint="cs"/>
          <w:rtl/>
        </w:rPr>
        <w:t>(סי' ט"ו)</w:t>
      </w:r>
      <w:r>
        <w:rPr>
          <w:rFonts w:hint="cs"/>
          <w:rtl/>
        </w:rPr>
        <w:t xml:space="preserve"> הביא ראיה דבאבד הסכין השחיטה כשרה, מהא דקיי"ל רוב מצויין אצל שחיטה מומחין הן, ולא אמרינן סמוך מיעוטא דאינם מומחין לחזקת איסור של הבהמה, דכיון שהמיעוט שאינם מומחין הוא לא שכיח, חשיב שנודע לנו במה נשחטה, ויצא  הבהמה מהחזקת איסור.</w:t>
      </w:r>
      <w:bookmarkEnd w:id="4163"/>
    </w:p>
    <w:p w14:paraId="4D14D9A6" w14:textId="77777777" w:rsidR="00FC47D4" w:rsidRPr="00917D88" w:rsidRDefault="00FC47D4" w:rsidP="006D6D32">
      <w:pPr>
        <w:pStyle w:val="a3"/>
      </w:pPr>
      <w:bookmarkStart w:id="4164" w:name="_Toc526409503"/>
      <w:bookmarkStart w:id="4165" w:name="_Toc526939158"/>
      <w:bookmarkStart w:id="4166" w:name="_Toc527060292"/>
      <w:bookmarkStart w:id="4167" w:name="_Toc527060440"/>
      <w:bookmarkStart w:id="4168" w:name="_Toc527100817"/>
      <w:bookmarkStart w:id="4169" w:name="_Toc528227073"/>
      <w:bookmarkStart w:id="4170" w:name="_Toc528227237"/>
      <w:bookmarkStart w:id="4171" w:name="_Toc528227399"/>
      <w:bookmarkStart w:id="4172" w:name="_Toc19389482"/>
      <w:bookmarkStart w:id="4173" w:name="_Toc19392979"/>
      <w:bookmarkStart w:id="4174" w:name="_Toc526249265"/>
      <w:bookmarkStart w:id="4175" w:name="_Toc523397210"/>
      <w:bookmarkStart w:id="4176" w:name="_Toc523490319"/>
      <w:bookmarkStart w:id="4177" w:name="_Toc523697939"/>
      <w:bookmarkStart w:id="4178" w:name="_Toc523735714"/>
      <w:bookmarkStart w:id="4179" w:name="_Toc526248960"/>
      <w:r>
        <w:rPr>
          <w:rFonts w:hint="cs"/>
          <w:rtl/>
        </w:rPr>
        <w:t>דברי הרא"ש דבאבד הסכין חשיב שנודע במה נשחטה</w:t>
      </w:r>
      <w:bookmarkEnd w:id="4164"/>
      <w:bookmarkEnd w:id="4165"/>
      <w:bookmarkEnd w:id="4166"/>
      <w:bookmarkEnd w:id="4167"/>
      <w:bookmarkEnd w:id="4168"/>
      <w:bookmarkEnd w:id="4169"/>
      <w:bookmarkEnd w:id="4170"/>
      <w:bookmarkEnd w:id="4171"/>
      <w:bookmarkEnd w:id="4172"/>
      <w:bookmarkEnd w:id="4173"/>
    </w:p>
    <w:p w14:paraId="33EE8734" w14:textId="77777777" w:rsidR="00FC47D4" w:rsidRPr="00BF6EE4" w:rsidRDefault="00FC47D4" w:rsidP="00223668">
      <w:pPr>
        <w:pStyle w:val="a0"/>
        <w:rPr>
          <w:rStyle w:val="afb"/>
          <w:rtl/>
        </w:rPr>
      </w:pPr>
      <w:bookmarkStart w:id="4180" w:name="_Ref523396545"/>
      <w:r>
        <w:rPr>
          <w:rFonts w:hint="cs"/>
          <w:rtl/>
        </w:rPr>
        <w:t xml:space="preserve">וכתב </w:t>
      </w:r>
      <w:r w:rsidRPr="009D7906">
        <w:rPr>
          <w:rStyle w:val="af9"/>
          <w:rFonts w:hint="cs"/>
          <w:rtl/>
        </w:rPr>
        <w:t>הרא"ש</w:t>
      </w:r>
      <w:r>
        <w:rPr>
          <w:rFonts w:hint="cs"/>
          <w:rtl/>
        </w:rPr>
        <w:t xml:space="preserve"> דה"ה באבד הסכין, דכיון ששחט בסכין בדוק, ולא שכיח שיפגם בעור, חשיב שנשחטה כראוי ויצאה מחזקת האיסור, אף לדעת רב הונא.</w:t>
      </w:r>
      <w:bookmarkEnd w:id="4174"/>
      <w:bookmarkEnd w:id="4180"/>
      <w:r>
        <w:rPr>
          <w:rFonts w:hint="cs"/>
          <w:rtl/>
        </w:rPr>
        <w:t xml:space="preserve"> והוסיף </w:t>
      </w:r>
      <w:r>
        <w:rPr>
          <w:rStyle w:val="af9"/>
          <w:rtl/>
        </w:rPr>
        <w:t xml:space="preserve">הרא"ש </w:t>
      </w:r>
      <w:r>
        <w:rPr>
          <w:rFonts w:hint="cs"/>
          <w:rtl/>
        </w:rPr>
        <w:t xml:space="preserve">דלדעת </w:t>
      </w:r>
      <w:r>
        <w:rPr>
          <w:rStyle w:val="af9"/>
          <w:rtl/>
        </w:rPr>
        <w:t>רש"י</w:t>
      </w:r>
      <w:r>
        <w:rPr>
          <w:rFonts w:hint="cs"/>
          <w:rtl/>
        </w:rPr>
        <w:t xml:space="preserve"> </w:t>
      </w:r>
      <w:r w:rsidRPr="00CE7255">
        <w:rPr>
          <w:rStyle w:val="af7"/>
          <w:rFonts w:eastAsia="Guttman Hodes" w:hint="cs"/>
          <w:rtl/>
        </w:rPr>
        <w:t xml:space="preserve">(עי' אות </w:t>
      </w:r>
      <w:r>
        <w:rPr>
          <w:rFonts w:hint="cs"/>
          <w:rtl/>
        </w:rPr>
        <w:fldChar w:fldCharType="begin"/>
      </w:r>
      <w:r w:rsidRPr="00CE7255">
        <w:rPr>
          <w:rStyle w:val="af7"/>
          <w:rFonts w:eastAsia="Guttman Hodes" w:hint="cs"/>
          <w:rtl/>
        </w:rPr>
        <w:instrText xml:space="preserve"> </w:instrText>
      </w:r>
      <w:r w:rsidRPr="00CE7255">
        <w:rPr>
          <w:rStyle w:val="af7"/>
          <w:rFonts w:eastAsia="Guttman Hodes"/>
        </w:rPr>
        <w:instrText>REF</w:instrText>
      </w:r>
      <w:r w:rsidRPr="00CE7255">
        <w:rPr>
          <w:rStyle w:val="af7"/>
          <w:rFonts w:eastAsia="Guttman Hodes" w:hint="cs"/>
          <w:rtl/>
        </w:rPr>
        <w:instrText xml:space="preserve"> _</w:instrText>
      </w:r>
      <w:r w:rsidRPr="00CE7255">
        <w:rPr>
          <w:rStyle w:val="af7"/>
          <w:rFonts w:eastAsia="Guttman Hodes"/>
        </w:rPr>
        <w:instrText>Ref523392029 \r \h</w:instrText>
      </w:r>
      <w:r w:rsidRPr="00CE7255">
        <w:rPr>
          <w:rStyle w:val="af7"/>
          <w:rFonts w:eastAsia="Guttman Hodes" w:hint="cs"/>
          <w:rtl/>
        </w:rPr>
        <w:instrText xml:space="preserve"> </w:instrText>
      </w:r>
      <w:r>
        <w:rPr>
          <w:rFonts w:hint="cs"/>
          <w:rtl/>
        </w:rPr>
      </w:r>
      <w:r>
        <w:rPr>
          <w:rFonts w:hint="cs"/>
          <w:rtl/>
        </w:rPr>
        <w:fldChar w:fldCharType="separate"/>
      </w:r>
      <w:r w:rsidR="00345400">
        <w:rPr>
          <w:rStyle w:val="af7"/>
          <w:rFonts w:eastAsia="Guttman Hodes" w:hint="eastAsia"/>
          <w:cs/>
        </w:rPr>
        <w:t>‎</w:t>
      </w:r>
      <w:r w:rsidR="00345400">
        <w:rPr>
          <w:rStyle w:val="af7"/>
          <w:rFonts w:eastAsia="Guttman Hodes" w:hint="eastAsia"/>
          <w:rtl/>
        </w:rPr>
        <w:t>ז</w:t>
      </w:r>
      <w:r w:rsidR="00345400">
        <w:rPr>
          <w:rStyle w:val="af7"/>
          <w:rFonts w:eastAsia="Guttman Hodes"/>
          <w:rtl/>
        </w:rPr>
        <w:t>)</w:t>
      </w:r>
      <w:r>
        <w:rPr>
          <w:rFonts w:hint="cs"/>
          <w:rtl/>
        </w:rPr>
        <w:fldChar w:fldCharType="end"/>
      </w:r>
      <w:r>
        <w:rPr>
          <w:rFonts w:hint="cs"/>
          <w:rtl/>
        </w:rPr>
        <w:t xml:space="preserve"> בשוחט בהמה אחת רק לכתחילה צריך לבדוק לאחר השחיטה, </w:t>
      </w:r>
    </w:p>
    <w:p w14:paraId="60C59DD2" w14:textId="77777777" w:rsidR="00FC47D4" w:rsidRDefault="00FC47D4" w:rsidP="006D6D32">
      <w:pPr>
        <w:pStyle w:val="a3"/>
        <w:rPr>
          <w:rtl/>
        </w:rPr>
      </w:pPr>
      <w:bookmarkStart w:id="4181" w:name="_Toc526409504"/>
      <w:bookmarkStart w:id="4182" w:name="_Toc526939159"/>
      <w:bookmarkStart w:id="4183" w:name="_Toc527060293"/>
      <w:bookmarkStart w:id="4184" w:name="_Toc527060441"/>
      <w:bookmarkStart w:id="4185" w:name="_Toc527100818"/>
      <w:bookmarkStart w:id="4186" w:name="_Toc528227074"/>
      <w:bookmarkStart w:id="4187" w:name="_Toc528227238"/>
      <w:bookmarkStart w:id="4188" w:name="_Toc528227400"/>
      <w:bookmarkStart w:id="4189" w:name="_Toc19389483"/>
      <w:bookmarkStart w:id="4190" w:name="_Toc19392980"/>
      <w:r>
        <w:rPr>
          <w:rFonts w:hint="cs"/>
          <w:rtl/>
        </w:rPr>
        <w:t>דברי הרמב"ן דבמקום שאפשר לבדוק צריך לברר ורק כשא"א לברר סמכינן על רוב בלא ריעותא</w:t>
      </w:r>
      <w:bookmarkEnd w:id="4175"/>
      <w:bookmarkEnd w:id="4176"/>
      <w:bookmarkEnd w:id="4177"/>
      <w:bookmarkEnd w:id="4178"/>
      <w:bookmarkEnd w:id="4179"/>
      <w:bookmarkEnd w:id="4181"/>
      <w:bookmarkEnd w:id="4182"/>
      <w:bookmarkEnd w:id="4183"/>
      <w:bookmarkEnd w:id="4184"/>
      <w:bookmarkEnd w:id="4185"/>
      <w:bookmarkEnd w:id="4186"/>
      <w:bookmarkEnd w:id="4187"/>
      <w:bookmarkEnd w:id="4188"/>
      <w:bookmarkEnd w:id="4189"/>
      <w:bookmarkEnd w:id="4190"/>
    </w:p>
    <w:p w14:paraId="18446984" w14:textId="77777777" w:rsidR="00FC47D4" w:rsidRPr="003D1BE0" w:rsidRDefault="00FC47D4" w:rsidP="00223668">
      <w:pPr>
        <w:pStyle w:val="a0"/>
        <w:rPr>
          <w:rStyle w:val="afb"/>
          <w:rtl/>
        </w:rPr>
      </w:pPr>
      <w:bookmarkStart w:id="4191" w:name="_Ref523686635"/>
      <w:r>
        <w:rPr>
          <w:rFonts w:hint="cs"/>
          <w:rtl/>
        </w:rPr>
        <w:t>ו</w:t>
      </w:r>
      <w:r w:rsidRPr="000049BB">
        <w:rPr>
          <w:rStyle w:val="af9"/>
          <w:rFonts w:hint="cs"/>
          <w:rtl/>
        </w:rPr>
        <w:t>הרמב"ן במלחמות</w:t>
      </w:r>
      <w:r>
        <w:rPr>
          <w:rFonts w:hint="cs"/>
          <w:rtl/>
        </w:rPr>
        <w:t xml:space="preserve"> </w:t>
      </w:r>
      <w:r w:rsidRPr="000049BB">
        <w:rPr>
          <w:rStyle w:val="af7"/>
          <w:rFonts w:eastAsia="Guttman Hodes" w:hint="cs"/>
          <w:rtl/>
        </w:rPr>
        <w:t>(ג: מדפי הרי"ף)</w:t>
      </w:r>
      <w:r>
        <w:rPr>
          <w:rFonts w:hint="cs"/>
          <w:rtl/>
        </w:rPr>
        <w:t xml:space="preserve"> כתב דרוב מצויין אצל שחיטה מומחין הן אינו כודאי, כיון שיש כנגדו את החזקת איסור של הבהמה, וכל מה שסמכינן על רוב מצויין הוא במקום שא"א לבדוק </w:t>
      </w:r>
      <w:r w:rsidRPr="000049BB">
        <w:rPr>
          <w:rStyle w:val="afb"/>
          <w:rFonts w:hint="cs"/>
          <w:rtl/>
        </w:rPr>
        <w:t>[כגון שאין השוחט לפנינו]</w:t>
      </w:r>
      <w:r>
        <w:rPr>
          <w:rFonts w:hint="cs"/>
          <w:rtl/>
        </w:rPr>
        <w:t>, דכיון ששחוטה לפניך ואין ריעותא בבהמה סמכינן על הרוב, אבל במקום שאפשר לברר ודאי שצריך לברר</w:t>
      </w:r>
      <w:bookmarkEnd w:id="4191"/>
      <w:r w:rsidRPr="003D1BE0">
        <w:rPr>
          <w:rStyle w:val="afb"/>
          <w:rFonts w:hint="cs"/>
          <w:rtl/>
        </w:rPr>
        <w:t>.</w:t>
      </w:r>
    </w:p>
    <w:p w14:paraId="1390B9D5" w14:textId="77777777" w:rsidR="00FC47D4" w:rsidRPr="00C933EA" w:rsidRDefault="00FC47D4" w:rsidP="006D6D32">
      <w:pPr>
        <w:pStyle w:val="a3"/>
        <w:rPr>
          <w:rtl/>
        </w:rPr>
      </w:pPr>
      <w:bookmarkStart w:id="4192" w:name="_Toc523397211"/>
      <w:bookmarkStart w:id="4193" w:name="_Toc523490320"/>
      <w:bookmarkStart w:id="4194" w:name="_Toc523697940"/>
      <w:bookmarkStart w:id="4195" w:name="_Toc523735715"/>
      <w:bookmarkStart w:id="4196" w:name="_Toc526248962"/>
      <w:bookmarkStart w:id="4197" w:name="_Toc526409505"/>
      <w:bookmarkStart w:id="4198" w:name="_Toc526939160"/>
      <w:bookmarkStart w:id="4199" w:name="_Toc527060294"/>
      <w:bookmarkStart w:id="4200" w:name="_Toc527060442"/>
      <w:bookmarkStart w:id="4201" w:name="_Toc527100819"/>
      <w:bookmarkStart w:id="4202" w:name="_Toc528227075"/>
      <w:bookmarkStart w:id="4203" w:name="_Toc528227239"/>
      <w:bookmarkStart w:id="4204" w:name="_Toc528227401"/>
      <w:bookmarkStart w:id="4205" w:name="_Toc19389484"/>
      <w:bookmarkStart w:id="4206" w:name="_Toc19392981"/>
      <w:r>
        <w:rPr>
          <w:rFonts w:hint="cs"/>
          <w:rtl/>
        </w:rPr>
        <w:t>דברי הרמב"ן דהא דקיי"ל כר"ח רק בשיבר בה עצמות הוא כיון דא"א לברר</w:t>
      </w:r>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p>
    <w:p w14:paraId="3235E1CB" w14:textId="77777777" w:rsidR="00FC47D4" w:rsidRDefault="00FC47D4" w:rsidP="00223668">
      <w:pPr>
        <w:pStyle w:val="a0"/>
      </w:pPr>
      <w:bookmarkStart w:id="4207" w:name="_Ref523254544"/>
      <w:r>
        <w:rPr>
          <w:rFonts w:hint="cs"/>
          <w:rtl/>
        </w:rPr>
        <w:t xml:space="preserve">והוסיף </w:t>
      </w:r>
      <w:r w:rsidRPr="000049BB">
        <w:rPr>
          <w:rStyle w:val="af9"/>
          <w:rFonts w:hint="cs"/>
          <w:rtl/>
        </w:rPr>
        <w:t>הרמב"ן במלחמות</w:t>
      </w:r>
      <w:r>
        <w:rPr>
          <w:rStyle w:val="af9"/>
          <w:rFonts w:hint="cs"/>
          <w:rtl/>
        </w:rPr>
        <w:t xml:space="preserve"> </w:t>
      </w:r>
      <w:r w:rsidRPr="00F15909">
        <w:rPr>
          <w:rStyle w:val="af7"/>
          <w:rFonts w:eastAsia="Guttman Hodes" w:hint="cs"/>
          <w:rtl/>
        </w:rPr>
        <w:t>(ג: מדפי הרי"ף)</w:t>
      </w:r>
      <w:r>
        <w:rPr>
          <w:rFonts w:hint="cs"/>
          <w:rtl/>
        </w:rPr>
        <w:t xml:space="preserve"> דכן מוכח בסוגיין דבשיבר בה עצמות או באבד הסכין קיי"ל כרב חסדא דכשר, </w:t>
      </w:r>
      <w:r w:rsidRPr="000049BB">
        <w:rPr>
          <w:rStyle w:val="afb"/>
          <w:rFonts w:hint="cs"/>
          <w:rtl/>
        </w:rPr>
        <w:t>[והיינו כיון שא"א לברר],</w:t>
      </w:r>
      <w:r>
        <w:rPr>
          <w:rFonts w:hint="cs"/>
          <w:rtl/>
        </w:rPr>
        <w:t xml:space="preserve"> ובלא שיבר בה עצמות קיי"ל כרב הונא דאסור, וה"ה באבד שצריך לבודקו אם נמצא</w:t>
      </w:r>
      <w:bookmarkStart w:id="4208" w:name="_Ref526349641"/>
      <w:bookmarkEnd w:id="4152"/>
      <w:bookmarkEnd w:id="4207"/>
      <w:r>
        <w:rPr>
          <w:rFonts w:hint="cs"/>
          <w:rtl/>
        </w:rPr>
        <w:t xml:space="preserve">, </w:t>
      </w:r>
      <w:r w:rsidRPr="00A94D7E">
        <w:rPr>
          <w:rStyle w:val="afb"/>
          <w:rFonts w:hint="cs"/>
          <w:rtl/>
        </w:rPr>
        <w:t xml:space="preserve">[אבל לדעת רב הונא באבד אסור, ודלא כראיית </w:t>
      </w:r>
      <w:r w:rsidRPr="00A94D7E">
        <w:rPr>
          <w:rStyle w:val="affa"/>
          <w:rFonts w:hint="cs"/>
          <w:rtl/>
        </w:rPr>
        <w:t>הרא"ש</w:t>
      </w:r>
      <w:r w:rsidRPr="00A94D7E">
        <w:rPr>
          <w:rStyle w:val="afb"/>
          <w:rFonts w:hint="cs"/>
          <w:rtl/>
        </w:rPr>
        <w:t>]</w:t>
      </w:r>
      <w:r>
        <w:rPr>
          <w:rFonts w:hint="cs"/>
          <w:rtl/>
        </w:rPr>
        <w:t xml:space="preserve">, וכתב </w:t>
      </w:r>
      <w:r w:rsidRPr="000049BB">
        <w:rPr>
          <w:rStyle w:val="af9"/>
          <w:rFonts w:hint="cs"/>
          <w:rtl/>
        </w:rPr>
        <w:t>הרמב"ן במלחמות</w:t>
      </w:r>
      <w:r>
        <w:rPr>
          <w:rFonts w:hint="cs"/>
          <w:rtl/>
        </w:rPr>
        <w:t xml:space="preserve"> דכ"כ </w:t>
      </w:r>
      <w:r w:rsidRPr="000049BB">
        <w:rPr>
          <w:rStyle w:val="af9"/>
          <w:rFonts w:hint="cs"/>
          <w:rtl/>
        </w:rPr>
        <w:t xml:space="preserve">הבה"ג </w:t>
      </w:r>
      <w:r w:rsidRPr="002D3646">
        <w:rPr>
          <w:rStyle w:val="af7"/>
          <w:rFonts w:eastAsia="Guttman Hodes" w:hint="cs"/>
          <w:rtl/>
        </w:rPr>
        <w:t xml:space="preserve">(ריש הל' שחיטת חולין עמ' תר"י סוד"ה וסכין) </w:t>
      </w:r>
      <w:r w:rsidRPr="000049BB">
        <w:rPr>
          <w:rStyle w:val="af9"/>
          <w:rFonts w:hint="cs"/>
          <w:rtl/>
        </w:rPr>
        <w:t>ורש"י</w:t>
      </w:r>
      <w:r>
        <w:rPr>
          <w:rStyle w:val="af9"/>
          <w:rFonts w:hint="cs"/>
          <w:rtl/>
        </w:rPr>
        <w:t xml:space="preserve"> </w:t>
      </w:r>
      <w:r w:rsidRPr="00685658">
        <w:rPr>
          <w:rStyle w:val="af7"/>
          <w:rFonts w:eastAsia="Guttman Hodes" w:hint="cs"/>
          <w:rtl/>
        </w:rPr>
        <w:t xml:space="preserve">(עי' אות </w:t>
      </w:r>
      <w:r w:rsidRPr="00685658">
        <w:rPr>
          <w:rStyle w:val="af7"/>
          <w:rFonts w:eastAsia="Guttman Hodes"/>
          <w:rtl/>
        </w:rPr>
        <w:fldChar w:fldCharType="begin"/>
      </w:r>
      <w:r w:rsidRPr="00685658">
        <w:rPr>
          <w:rStyle w:val="af7"/>
          <w:rFonts w:eastAsia="Guttman Hodes"/>
          <w:rtl/>
        </w:rPr>
        <w:instrText xml:space="preserve"> </w:instrText>
      </w:r>
      <w:r w:rsidRPr="00685658">
        <w:rPr>
          <w:rStyle w:val="af7"/>
          <w:rFonts w:eastAsia="Guttman Hodes" w:hint="cs"/>
        </w:rPr>
        <w:instrText>REF</w:instrText>
      </w:r>
      <w:r w:rsidRPr="00685658">
        <w:rPr>
          <w:rStyle w:val="af7"/>
          <w:rFonts w:eastAsia="Guttman Hodes" w:hint="cs"/>
          <w:rtl/>
        </w:rPr>
        <w:instrText xml:space="preserve"> _</w:instrText>
      </w:r>
      <w:r w:rsidRPr="00685658">
        <w:rPr>
          <w:rStyle w:val="af7"/>
          <w:rFonts w:eastAsia="Guttman Hodes" w:hint="cs"/>
        </w:rPr>
        <w:instrText>Ref523392029 \r \h</w:instrText>
      </w:r>
      <w:r w:rsidRPr="00685658">
        <w:rPr>
          <w:rStyle w:val="af7"/>
          <w:rFonts w:eastAsia="Guttman Hodes"/>
          <w:rtl/>
        </w:rPr>
        <w:instrText xml:space="preserve"> </w:instrText>
      </w:r>
      <w:r w:rsidRPr="00685658">
        <w:rPr>
          <w:rStyle w:val="af7"/>
          <w:rFonts w:eastAsia="Guttman Hodes"/>
          <w:rtl/>
        </w:rPr>
      </w:r>
      <w:r w:rsidRPr="00685658">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685658">
        <w:rPr>
          <w:rStyle w:val="af7"/>
          <w:rFonts w:eastAsia="Guttman Hodes"/>
          <w:rtl/>
        </w:rPr>
        <w:fldChar w:fldCharType="end"/>
      </w:r>
      <w:r>
        <w:rPr>
          <w:rStyle w:val="af7"/>
          <w:rFonts w:eastAsia="Guttman Hodes" w:hint="cs"/>
          <w:rtl/>
        </w:rPr>
        <w:t xml:space="preserve"> </w:t>
      </w:r>
      <w:r>
        <w:rPr>
          <w:rFonts w:hint="cs"/>
          <w:rtl/>
        </w:rPr>
        <w:t xml:space="preserve">דלא סמכינן על הבדיקה שקודם השחיטה, וכ"ש דלא סמכינן על רוב מצויין אצל שחיטה מומחין הן כשאפשר לברר, </w:t>
      </w:r>
      <w:r w:rsidRPr="003D1BE0">
        <w:rPr>
          <w:rStyle w:val="afb"/>
          <w:rFonts w:hint="cs"/>
          <w:rtl/>
        </w:rPr>
        <w:t>[וע</w:t>
      </w:r>
      <w:r>
        <w:rPr>
          <w:rStyle w:val="afb"/>
          <w:rFonts w:hint="cs"/>
          <w:rtl/>
        </w:rPr>
        <w:t>"ע</w:t>
      </w:r>
      <w:r w:rsidRPr="003D1BE0">
        <w:rPr>
          <w:rStyle w:val="afb"/>
          <w:rFonts w:hint="cs"/>
          <w:rtl/>
        </w:rPr>
        <w:t xml:space="preserve"> במה שביאר </w:t>
      </w:r>
      <w:r w:rsidRPr="003D1BE0">
        <w:rPr>
          <w:rStyle w:val="affa"/>
          <w:rFonts w:hint="cs"/>
          <w:rtl/>
        </w:rPr>
        <w:t>הפרמ"ג</w:t>
      </w:r>
      <w:r w:rsidRPr="003D1BE0">
        <w:rPr>
          <w:rStyle w:val="afb"/>
          <w:rFonts w:hint="cs"/>
          <w:rtl/>
        </w:rPr>
        <w:t xml:space="preserve"> </w:t>
      </w:r>
      <w:r w:rsidRPr="003D1BE0">
        <w:rPr>
          <w:rStyle w:val="aff6"/>
          <w:rFonts w:hint="cs"/>
          <w:rtl/>
        </w:rPr>
        <w:t xml:space="preserve">(י"ח משב"ז ז', </w:t>
      </w:r>
      <w:r>
        <w:rPr>
          <w:rStyle w:val="aff6"/>
          <w:rFonts w:hint="cs"/>
          <w:rtl/>
        </w:rPr>
        <w:t xml:space="preserve">י"ח </w:t>
      </w:r>
      <w:r w:rsidRPr="003D1BE0">
        <w:rPr>
          <w:rStyle w:val="aff6"/>
          <w:rFonts w:hint="cs"/>
          <w:rtl/>
        </w:rPr>
        <w:t>שפ"ד כ')</w:t>
      </w:r>
      <w:r w:rsidRPr="003D1BE0">
        <w:rPr>
          <w:rStyle w:val="afb"/>
          <w:rFonts w:hint="cs"/>
          <w:rtl/>
        </w:rPr>
        <w:t xml:space="preserve"> בדעת </w:t>
      </w:r>
      <w:r w:rsidRPr="003D1BE0">
        <w:rPr>
          <w:rStyle w:val="affa"/>
          <w:rFonts w:hint="cs"/>
          <w:rtl/>
        </w:rPr>
        <w:t>הבעה"מ</w:t>
      </w:r>
      <w:r w:rsidRPr="00942EE8">
        <w:rPr>
          <w:rStyle w:val="aff6"/>
          <w:rFonts w:hint="cs"/>
          <w:rtl/>
        </w:rPr>
        <w:t xml:space="preserve"> (עי' אות </w:t>
      </w:r>
      <w:r w:rsidRPr="00942EE8">
        <w:rPr>
          <w:rStyle w:val="aff6"/>
          <w:rFonts w:hint="cs"/>
          <w:rtl/>
        </w:rPr>
        <w:fldChar w:fldCharType="begin"/>
      </w:r>
      <w:r w:rsidRPr="00942EE8">
        <w:rPr>
          <w:rStyle w:val="aff6"/>
          <w:rFonts w:hint="cs"/>
          <w:rtl/>
        </w:rPr>
        <w:instrText xml:space="preserve"> </w:instrText>
      </w:r>
      <w:r w:rsidRPr="00942EE8">
        <w:rPr>
          <w:rStyle w:val="aff6"/>
        </w:rPr>
        <w:instrText>REF</w:instrText>
      </w:r>
      <w:r w:rsidRPr="00942EE8">
        <w:rPr>
          <w:rStyle w:val="aff6"/>
          <w:rFonts w:hint="cs"/>
          <w:rtl/>
        </w:rPr>
        <w:instrText xml:space="preserve"> _</w:instrText>
      </w:r>
      <w:r w:rsidRPr="00942EE8">
        <w:rPr>
          <w:rStyle w:val="aff6"/>
        </w:rPr>
        <w:instrText>Ref523240768 \r \h</w:instrText>
      </w:r>
      <w:r w:rsidRPr="00942EE8">
        <w:rPr>
          <w:rStyle w:val="aff6"/>
          <w:rFonts w:hint="cs"/>
          <w:rtl/>
        </w:rPr>
        <w:instrText xml:space="preserve"> </w:instrText>
      </w:r>
      <w:r w:rsidRPr="00942EE8">
        <w:rPr>
          <w:rStyle w:val="aff6"/>
          <w:rFonts w:hint="cs"/>
          <w:rtl/>
        </w:rPr>
      </w:r>
      <w:r w:rsidRPr="00942EE8">
        <w:rPr>
          <w:rStyle w:val="aff6"/>
          <w:rFonts w:hint="cs"/>
          <w:rtl/>
        </w:rPr>
        <w:fldChar w:fldCharType="separate"/>
      </w:r>
      <w:r w:rsidR="00345400">
        <w:rPr>
          <w:rStyle w:val="aff6"/>
          <w:rFonts w:hint="eastAsia"/>
          <w:cs/>
        </w:rPr>
        <w:t>‎</w:t>
      </w:r>
      <w:r w:rsidR="00345400">
        <w:rPr>
          <w:rStyle w:val="aff6"/>
          <w:rFonts w:hint="eastAsia"/>
          <w:rtl/>
        </w:rPr>
        <w:t>י</w:t>
      </w:r>
      <w:r w:rsidR="00345400">
        <w:rPr>
          <w:rStyle w:val="aff6"/>
          <w:rtl/>
        </w:rPr>
        <w:t>)</w:t>
      </w:r>
      <w:r w:rsidRPr="00942EE8">
        <w:rPr>
          <w:rStyle w:val="aff6"/>
          <w:rFonts w:hint="cs"/>
          <w:rtl/>
        </w:rPr>
        <w:fldChar w:fldCharType="end"/>
      </w:r>
      <w:r w:rsidRPr="00942EE8">
        <w:rPr>
          <w:rStyle w:val="aff6"/>
          <w:rFonts w:hint="cs"/>
          <w:rtl/>
        </w:rPr>
        <w:t xml:space="preserve"> </w:t>
      </w:r>
      <w:r>
        <w:rPr>
          <w:rStyle w:val="affa"/>
          <w:rFonts w:hint="cs"/>
          <w:rtl/>
        </w:rPr>
        <w:t>ו</w:t>
      </w:r>
      <w:r w:rsidRPr="003D1BE0">
        <w:rPr>
          <w:rStyle w:val="affa"/>
          <w:rFonts w:hint="cs"/>
          <w:rtl/>
        </w:rPr>
        <w:t xml:space="preserve">הראב"ד </w:t>
      </w:r>
      <w:r w:rsidRPr="00BF6EE4">
        <w:rPr>
          <w:rStyle w:val="aff6"/>
          <w:rFonts w:hint="cs"/>
          <w:rtl/>
        </w:rPr>
        <w:t xml:space="preserve">(עי' אות </w:t>
      </w:r>
      <w:r w:rsidRPr="00BF6EE4">
        <w:rPr>
          <w:rStyle w:val="aff6"/>
          <w:rtl/>
        </w:rPr>
        <w:fldChar w:fldCharType="begin"/>
      </w:r>
      <w:r w:rsidRPr="00BF6EE4">
        <w:rPr>
          <w:rStyle w:val="aff6"/>
          <w:rtl/>
        </w:rPr>
        <w:instrText xml:space="preserve"> </w:instrText>
      </w:r>
      <w:r w:rsidRPr="00BF6EE4">
        <w:rPr>
          <w:rStyle w:val="aff6"/>
          <w:rFonts w:hint="cs"/>
        </w:rPr>
        <w:instrText>REF</w:instrText>
      </w:r>
      <w:r w:rsidRPr="00BF6EE4">
        <w:rPr>
          <w:rStyle w:val="aff6"/>
          <w:rFonts w:hint="cs"/>
          <w:rtl/>
        </w:rPr>
        <w:instrText xml:space="preserve"> _</w:instrText>
      </w:r>
      <w:r w:rsidRPr="00BF6EE4">
        <w:rPr>
          <w:rStyle w:val="aff6"/>
          <w:rFonts w:hint="cs"/>
        </w:rPr>
        <w:instrText>Ref523254824 \r \h</w:instrText>
      </w:r>
      <w:r w:rsidRPr="00BF6EE4">
        <w:rPr>
          <w:rStyle w:val="aff6"/>
          <w:rtl/>
        </w:rPr>
        <w:instrText xml:space="preserve">  \* </w:instrText>
      </w:r>
      <w:r w:rsidRPr="00BF6EE4">
        <w:rPr>
          <w:rStyle w:val="aff6"/>
        </w:rPr>
        <w:instrText>MERGEFORMAT</w:instrText>
      </w:r>
      <w:r w:rsidRPr="00BF6EE4">
        <w:rPr>
          <w:rStyle w:val="aff6"/>
          <w:rtl/>
        </w:rPr>
        <w:instrText xml:space="preserve"> </w:instrText>
      </w:r>
      <w:r w:rsidRPr="00BF6EE4">
        <w:rPr>
          <w:rStyle w:val="aff6"/>
          <w:rtl/>
        </w:rPr>
      </w:r>
      <w:r w:rsidRPr="00BF6EE4">
        <w:rPr>
          <w:rStyle w:val="aff6"/>
          <w:rtl/>
        </w:rPr>
        <w:fldChar w:fldCharType="separate"/>
      </w:r>
      <w:r w:rsidR="00345400">
        <w:rPr>
          <w:rStyle w:val="aff6"/>
          <w:cs/>
        </w:rPr>
        <w:t>‎</w:t>
      </w:r>
      <w:r w:rsidR="00345400">
        <w:rPr>
          <w:rStyle w:val="aff6"/>
          <w:rtl/>
        </w:rPr>
        <w:t>פה)</w:t>
      </w:r>
      <w:r w:rsidRPr="00BF6EE4">
        <w:rPr>
          <w:rStyle w:val="aff6"/>
          <w:rtl/>
        </w:rPr>
        <w:fldChar w:fldCharType="end"/>
      </w:r>
      <w:r>
        <w:rPr>
          <w:rStyle w:val="af7"/>
          <w:rFonts w:eastAsia="Guttman Hodes" w:hint="cs"/>
          <w:rtl/>
        </w:rPr>
        <w:t xml:space="preserve"> </w:t>
      </w:r>
      <w:r w:rsidRPr="003D1BE0">
        <w:rPr>
          <w:rStyle w:val="afb"/>
          <w:rFonts w:hint="cs"/>
          <w:rtl/>
        </w:rPr>
        <w:t>דכתבו שא"</w:t>
      </w:r>
      <w:r w:rsidRPr="00BF6EE4">
        <w:rPr>
          <w:rStyle w:val="afb"/>
          <w:rFonts w:hint="cs"/>
          <w:rtl/>
        </w:rPr>
        <w:t>צ לבדוק כלל].</w:t>
      </w:r>
    </w:p>
    <w:p w14:paraId="5823F22D" w14:textId="77777777" w:rsidR="00FC47D4" w:rsidRDefault="00FC47D4" w:rsidP="00BF39B2">
      <w:pPr>
        <w:pStyle w:val="1"/>
        <w:rPr>
          <w:rtl/>
        </w:rPr>
      </w:pPr>
      <w:bookmarkStart w:id="4209" w:name="_Toc526409506"/>
      <w:bookmarkStart w:id="4210" w:name="_Toc526939161"/>
      <w:bookmarkStart w:id="4211" w:name="_Toc527060295"/>
      <w:bookmarkStart w:id="4212" w:name="_Toc527060443"/>
      <w:bookmarkStart w:id="4213" w:name="_Toc527100820"/>
      <w:bookmarkStart w:id="4214" w:name="_Toc528227076"/>
      <w:bookmarkStart w:id="4215" w:name="_Toc528227240"/>
      <w:bookmarkStart w:id="4216" w:name="_Toc528227402"/>
      <w:bookmarkStart w:id="4217" w:name="_Toc19389485"/>
      <w:bookmarkStart w:id="4218" w:name="_Toc19392982"/>
      <w:bookmarkStart w:id="4219" w:name="_Toc526248928"/>
      <w:r>
        <w:rPr>
          <w:rFonts w:hint="cs"/>
          <w:rtl/>
        </w:rPr>
        <w:t xml:space="preserve">דברי הרמב"ן </w:t>
      </w:r>
      <w:r w:rsidRPr="00B90C73">
        <w:rPr>
          <w:rFonts w:hint="cs"/>
          <w:rtl/>
        </w:rPr>
        <w:t xml:space="preserve">באבד הסכין </w:t>
      </w:r>
      <w:r>
        <w:rPr>
          <w:rFonts w:hint="cs"/>
          <w:rtl/>
        </w:rPr>
        <w:t>ל</w:t>
      </w:r>
      <w:r w:rsidRPr="00B90C73">
        <w:rPr>
          <w:rFonts w:hint="cs"/>
          <w:rtl/>
        </w:rPr>
        <w:t>דעת רב חסדא ולהלכה</w:t>
      </w:r>
      <w:bookmarkEnd w:id="4209"/>
      <w:bookmarkEnd w:id="4210"/>
      <w:bookmarkEnd w:id="4211"/>
      <w:bookmarkEnd w:id="4212"/>
      <w:bookmarkEnd w:id="4213"/>
      <w:bookmarkEnd w:id="4214"/>
      <w:bookmarkEnd w:id="4215"/>
      <w:bookmarkEnd w:id="4216"/>
      <w:bookmarkEnd w:id="4217"/>
      <w:bookmarkEnd w:id="4218"/>
    </w:p>
    <w:p w14:paraId="760E827C" w14:textId="77777777" w:rsidR="00FC47D4" w:rsidRDefault="00FC47D4" w:rsidP="006D6D32">
      <w:pPr>
        <w:pStyle w:val="a3"/>
        <w:rPr>
          <w:rtl/>
        </w:rPr>
      </w:pPr>
      <w:bookmarkStart w:id="4220" w:name="_Toc526409507"/>
      <w:bookmarkStart w:id="4221" w:name="_Toc526939162"/>
      <w:bookmarkStart w:id="4222" w:name="_Toc527060296"/>
      <w:bookmarkStart w:id="4223" w:name="_Toc527060444"/>
      <w:bookmarkStart w:id="4224" w:name="_Toc527100821"/>
      <w:bookmarkStart w:id="4225" w:name="_Toc528227077"/>
      <w:bookmarkStart w:id="4226" w:name="_Toc528227241"/>
      <w:bookmarkStart w:id="4227" w:name="_Toc528227403"/>
      <w:bookmarkStart w:id="4228" w:name="_Toc19389486"/>
      <w:bookmarkStart w:id="4229" w:name="_Toc19392983"/>
      <w:r>
        <w:rPr>
          <w:rFonts w:hint="cs"/>
          <w:rtl/>
        </w:rPr>
        <w:t>דברי הרמב"ן דלרב חסדא אף באבד הסכין השחיטה כשרה דהוא כשיבר בה עצמות</w:t>
      </w:r>
      <w:bookmarkEnd w:id="4219"/>
      <w:bookmarkEnd w:id="4220"/>
      <w:bookmarkEnd w:id="4221"/>
      <w:bookmarkEnd w:id="4222"/>
      <w:bookmarkEnd w:id="4223"/>
      <w:bookmarkEnd w:id="4224"/>
      <w:bookmarkEnd w:id="4225"/>
      <w:bookmarkEnd w:id="4226"/>
      <w:bookmarkEnd w:id="4227"/>
      <w:bookmarkEnd w:id="4228"/>
      <w:bookmarkEnd w:id="4229"/>
    </w:p>
    <w:p w14:paraId="25B0BC98" w14:textId="77777777" w:rsidR="00FC47D4" w:rsidRDefault="00FC47D4" w:rsidP="00223668">
      <w:pPr>
        <w:pStyle w:val="a0"/>
        <w:rPr>
          <w:rtl/>
        </w:rPr>
      </w:pPr>
      <w:bookmarkStart w:id="4230" w:name="_Ref526408992"/>
      <w:r>
        <w:rPr>
          <w:rFonts w:hint="cs"/>
          <w:rtl/>
        </w:rPr>
        <w:t xml:space="preserve">כתב </w:t>
      </w:r>
      <w:r w:rsidRPr="00935E95">
        <w:rPr>
          <w:rStyle w:val="af9"/>
          <w:rFonts w:hint="cs"/>
          <w:rtl/>
        </w:rPr>
        <w:t>הרמב"ן</w:t>
      </w:r>
      <w:r>
        <w:rPr>
          <w:rStyle w:val="af9"/>
          <w:rFonts w:hint="cs"/>
          <w:rtl/>
        </w:rPr>
        <w:t xml:space="preserve"> בחי' </w:t>
      </w:r>
      <w:r w:rsidRPr="00F15909">
        <w:rPr>
          <w:rStyle w:val="af7"/>
          <w:rFonts w:eastAsia="Guttman Hodes" w:hint="cs"/>
          <w:rtl/>
        </w:rPr>
        <w:t>(ד"ה אבל)</w:t>
      </w:r>
      <w:r>
        <w:rPr>
          <w:rFonts w:hint="cs"/>
          <w:rtl/>
        </w:rPr>
        <w:t xml:space="preserve"> דלדעת רב חסדא באבד הסכין בלא בדיקה השחיטה כשרה, דהא רב חסדא מכשיר בשיבר בה עצמות ונמצאת פגומה, אף שלא בדק את הסכין לפני שבירת העצמות, ויתכן שהיה הסכין פגום, דאף שעצם ודאי פוגם, מ"מ הרי יתכן שגם העור פגם</w:t>
      </w:r>
      <w:bookmarkEnd w:id="4208"/>
      <w:r>
        <w:rPr>
          <w:rFonts w:hint="cs"/>
          <w:rtl/>
        </w:rPr>
        <w:t>.</w:t>
      </w:r>
      <w:bookmarkEnd w:id="4230"/>
    </w:p>
    <w:p w14:paraId="083FDC47" w14:textId="77777777" w:rsidR="00347B2D" w:rsidRPr="00347B2D" w:rsidRDefault="00347B2D" w:rsidP="00347B2D">
      <w:pPr>
        <w:pStyle w:val="a3"/>
        <w:rPr>
          <w:rtl/>
        </w:rPr>
      </w:pPr>
    </w:p>
    <w:p w14:paraId="14F24718" w14:textId="77777777" w:rsidR="00FC47D4" w:rsidRPr="00EF1751" w:rsidRDefault="00FC47D4" w:rsidP="006D6D32">
      <w:pPr>
        <w:pStyle w:val="a3"/>
        <w:rPr>
          <w:rtl/>
        </w:rPr>
      </w:pPr>
      <w:bookmarkStart w:id="4231" w:name="_Toc526248929"/>
      <w:bookmarkStart w:id="4232" w:name="_Toc526409508"/>
      <w:bookmarkStart w:id="4233" w:name="_Toc526939163"/>
      <w:bookmarkStart w:id="4234" w:name="_Toc527060297"/>
      <w:bookmarkStart w:id="4235" w:name="_Toc527060445"/>
      <w:bookmarkStart w:id="4236" w:name="_Toc527100822"/>
      <w:bookmarkStart w:id="4237" w:name="_Toc528227078"/>
      <w:bookmarkStart w:id="4238" w:name="_Toc528227242"/>
      <w:bookmarkStart w:id="4239" w:name="_Toc528227404"/>
      <w:bookmarkStart w:id="4240" w:name="_Toc19389487"/>
      <w:bookmarkStart w:id="4241" w:name="_Toc19392984"/>
      <w:r>
        <w:rPr>
          <w:rFonts w:hint="cs"/>
          <w:rtl/>
        </w:rPr>
        <w:t>דברי הרמב"ן דכיון דבשיבר בה עצמות קיי"ל כרב חסדא ה"ה באבד הסכין דמותר</w:t>
      </w:r>
      <w:bookmarkEnd w:id="4231"/>
      <w:bookmarkEnd w:id="4232"/>
      <w:bookmarkEnd w:id="4233"/>
      <w:bookmarkEnd w:id="4234"/>
      <w:bookmarkEnd w:id="4235"/>
      <w:bookmarkEnd w:id="4236"/>
      <w:bookmarkEnd w:id="4237"/>
      <w:bookmarkEnd w:id="4238"/>
      <w:bookmarkEnd w:id="4239"/>
      <w:bookmarkEnd w:id="4240"/>
      <w:bookmarkEnd w:id="4241"/>
      <w:r>
        <w:rPr>
          <w:rFonts w:hint="cs"/>
          <w:rtl/>
        </w:rPr>
        <w:t xml:space="preserve"> </w:t>
      </w:r>
    </w:p>
    <w:p w14:paraId="2D9E1925" w14:textId="77777777" w:rsidR="00FC47D4" w:rsidRDefault="00FC47D4" w:rsidP="00223668">
      <w:pPr>
        <w:pStyle w:val="a0"/>
        <w:rPr>
          <w:rtl/>
        </w:rPr>
      </w:pPr>
      <w:bookmarkStart w:id="4242" w:name="_Ref523215159"/>
      <w:r>
        <w:rPr>
          <w:rFonts w:hint="cs"/>
          <w:rtl/>
        </w:rPr>
        <w:t xml:space="preserve">וכתב </w:t>
      </w:r>
      <w:r w:rsidRPr="00935E95">
        <w:rPr>
          <w:rStyle w:val="af9"/>
          <w:rFonts w:hint="cs"/>
          <w:rtl/>
        </w:rPr>
        <w:t>הרמב"ן</w:t>
      </w:r>
      <w:r>
        <w:rPr>
          <w:rFonts w:hint="cs"/>
          <w:rtl/>
        </w:rPr>
        <w:t xml:space="preserve"> דכיון דבששיבר בה עצמות קיי"ל כרב חסדא, א"כ ה"ה באבד הסכין, דקיי"ל כרב חסדא ששחיטתו כשרה,</w:t>
      </w:r>
      <w:r w:rsidRPr="00D27912">
        <w:rPr>
          <w:rFonts w:hint="cs"/>
          <w:rtl/>
        </w:rPr>
        <w:t xml:space="preserve"> </w:t>
      </w:r>
      <w:r>
        <w:rPr>
          <w:rFonts w:hint="cs"/>
          <w:rtl/>
        </w:rPr>
        <w:t>[וע"ע</w:t>
      </w:r>
      <w:r w:rsidRPr="00D27912">
        <w:rPr>
          <w:rFonts w:hint="cs"/>
          <w:rtl/>
        </w:rPr>
        <w:t xml:space="preserve"> </w:t>
      </w:r>
      <w:r>
        <w:rPr>
          <w:rStyle w:val="af9"/>
          <w:rFonts w:hint="cs"/>
          <w:rtl/>
        </w:rPr>
        <w:t>ב</w:t>
      </w:r>
      <w:r w:rsidRPr="00D27912">
        <w:rPr>
          <w:rStyle w:val="af9"/>
          <w:rFonts w:hint="cs"/>
          <w:rtl/>
        </w:rPr>
        <w:t>רמב"ם</w:t>
      </w:r>
      <w:r w:rsidRPr="00D27912">
        <w:rPr>
          <w:rFonts w:hint="cs"/>
          <w:rtl/>
        </w:rPr>
        <w:t xml:space="preserve"> </w:t>
      </w:r>
      <w:r w:rsidRPr="00D27912">
        <w:rPr>
          <w:rStyle w:val="af7"/>
          <w:rFonts w:eastAsia="Guttman Hodes" w:hint="cs"/>
          <w:rtl/>
        </w:rPr>
        <w:t xml:space="preserve">(עי' </w:t>
      </w:r>
      <w:r w:rsidRPr="004B5843">
        <w:rPr>
          <w:rStyle w:val="af7"/>
          <w:rFonts w:eastAsia="Guttman Hodes" w:hint="cs"/>
          <w:rtl/>
        </w:rPr>
        <w:t xml:space="preserve">אות </w:t>
      </w:r>
      <w:r w:rsidRPr="004B5843">
        <w:rPr>
          <w:rStyle w:val="af7"/>
          <w:rFonts w:eastAsia="Guttman Hodes"/>
          <w:rtl/>
        </w:rPr>
        <w:fldChar w:fldCharType="begin"/>
      </w:r>
      <w:r w:rsidRPr="004B5843">
        <w:rPr>
          <w:rStyle w:val="af7"/>
          <w:rFonts w:eastAsia="Guttman Hodes"/>
          <w:rtl/>
        </w:rPr>
        <w:instrText xml:space="preserve"> </w:instrText>
      </w:r>
      <w:r w:rsidRPr="004B5843">
        <w:rPr>
          <w:rStyle w:val="af7"/>
          <w:rFonts w:eastAsia="Guttman Hodes" w:hint="cs"/>
        </w:rPr>
        <w:instrText>REF</w:instrText>
      </w:r>
      <w:r w:rsidRPr="004B5843">
        <w:rPr>
          <w:rStyle w:val="af7"/>
          <w:rFonts w:eastAsia="Guttman Hodes" w:hint="cs"/>
          <w:rtl/>
        </w:rPr>
        <w:instrText xml:space="preserve"> _</w:instrText>
      </w:r>
      <w:r w:rsidRPr="004B5843">
        <w:rPr>
          <w:rStyle w:val="af7"/>
          <w:rFonts w:eastAsia="Guttman Hodes" w:hint="cs"/>
        </w:rPr>
        <w:instrText>Ref523733534 \r \h</w:instrText>
      </w:r>
      <w:r w:rsidRPr="004B5843">
        <w:rPr>
          <w:rStyle w:val="af7"/>
          <w:rFonts w:eastAsia="Guttman Hodes"/>
          <w:rtl/>
        </w:rPr>
        <w:instrText xml:space="preserve">  \* </w:instrText>
      </w:r>
      <w:r w:rsidRPr="004B5843">
        <w:rPr>
          <w:rStyle w:val="af7"/>
          <w:rFonts w:eastAsia="Guttman Hodes"/>
        </w:rPr>
        <w:instrText>MERGEFORMAT</w:instrText>
      </w:r>
      <w:r w:rsidRPr="004B5843">
        <w:rPr>
          <w:rStyle w:val="af7"/>
          <w:rFonts w:eastAsia="Guttman Hodes"/>
          <w:rtl/>
        </w:rPr>
        <w:instrText xml:space="preserve"> </w:instrText>
      </w:r>
      <w:r w:rsidRPr="004B5843">
        <w:rPr>
          <w:rStyle w:val="af7"/>
          <w:rFonts w:eastAsia="Guttman Hodes"/>
          <w:rtl/>
        </w:rPr>
      </w:r>
      <w:r w:rsidRPr="004B5843">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4B5843">
        <w:rPr>
          <w:rStyle w:val="af7"/>
          <w:rFonts w:eastAsia="Guttman Hodes"/>
          <w:rtl/>
        </w:rPr>
        <w:fldChar w:fldCharType="end"/>
      </w:r>
      <w:r w:rsidRPr="004B5843">
        <w:rPr>
          <w:rStyle w:val="af7"/>
          <w:rFonts w:eastAsia="Guttman Hodes"/>
          <w:rtl/>
        </w:rPr>
        <w:fldChar w:fldCharType="begin"/>
      </w:r>
      <w:r w:rsidRPr="004B5843">
        <w:rPr>
          <w:rStyle w:val="af7"/>
          <w:rFonts w:eastAsia="Guttman Hodes"/>
          <w:rtl/>
        </w:rPr>
        <w:instrText xml:space="preserve"> </w:instrText>
      </w:r>
      <w:r w:rsidRPr="004B5843">
        <w:rPr>
          <w:rStyle w:val="af7"/>
          <w:rFonts w:eastAsia="Guttman Hodes" w:hint="cs"/>
        </w:rPr>
        <w:instrText>REF</w:instrText>
      </w:r>
      <w:r w:rsidRPr="004B5843">
        <w:rPr>
          <w:rStyle w:val="af7"/>
          <w:rFonts w:eastAsia="Guttman Hodes" w:hint="cs"/>
          <w:rtl/>
        </w:rPr>
        <w:instrText xml:space="preserve"> _</w:instrText>
      </w:r>
      <w:r w:rsidRPr="004B5843">
        <w:rPr>
          <w:rStyle w:val="af7"/>
          <w:rFonts w:eastAsia="Guttman Hodes" w:hint="cs"/>
        </w:rPr>
        <w:instrText>Ref523254787 \r \h</w:instrText>
      </w:r>
      <w:r w:rsidRPr="004B5843">
        <w:rPr>
          <w:rStyle w:val="af7"/>
          <w:rFonts w:eastAsia="Guttman Hodes"/>
          <w:rtl/>
        </w:rPr>
        <w:instrText xml:space="preserve"> </w:instrText>
      </w:r>
      <w:r w:rsidRPr="004B5843">
        <w:rPr>
          <w:rStyle w:val="af7"/>
          <w:rFonts w:eastAsia="Guttman Hodes"/>
          <w:rtl/>
        </w:rPr>
      </w:r>
      <w:r w:rsidRPr="004B5843">
        <w:rPr>
          <w:rStyle w:val="af7"/>
          <w:rFonts w:eastAsia="Guttman Hodes"/>
          <w:rtl/>
        </w:rPr>
        <w:fldChar w:fldCharType="separate"/>
      </w:r>
      <w:r w:rsidR="00345400">
        <w:rPr>
          <w:rStyle w:val="af7"/>
          <w:rFonts w:eastAsia="Guttman Hodes"/>
          <w:cs/>
        </w:rPr>
        <w:t>‎</w:t>
      </w:r>
      <w:r w:rsidR="00345400">
        <w:rPr>
          <w:rStyle w:val="af7"/>
          <w:rFonts w:eastAsia="Guttman Hodes"/>
          <w:rtl/>
        </w:rPr>
        <w:t>פד)</w:t>
      </w:r>
      <w:r w:rsidRPr="004B5843">
        <w:rPr>
          <w:rStyle w:val="af7"/>
          <w:rFonts w:eastAsia="Guttman Hodes"/>
          <w:rtl/>
        </w:rPr>
        <w:fldChar w:fldCharType="end"/>
      </w:r>
      <w:r>
        <w:rPr>
          <w:rFonts w:hint="cs"/>
          <w:rtl/>
        </w:rPr>
        <w:t xml:space="preserve"> דכתב להלכה דצריך לבדוק את הסכין אחר השחיטה, והוסיף</w:t>
      </w:r>
      <w:r w:rsidRPr="00ED4B29">
        <w:rPr>
          <w:rStyle w:val="af9"/>
          <w:rFonts w:hint="cs"/>
          <w:rtl/>
        </w:rPr>
        <w:t xml:space="preserve"> </w:t>
      </w:r>
      <w:r w:rsidRPr="00D27912">
        <w:rPr>
          <w:rStyle w:val="af9"/>
          <w:rFonts w:hint="cs"/>
          <w:rtl/>
        </w:rPr>
        <w:t>הרמב"ם</w:t>
      </w:r>
      <w:r>
        <w:rPr>
          <w:rFonts w:hint="cs"/>
          <w:rtl/>
        </w:rPr>
        <w:t xml:space="preserve"> </w:t>
      </w:r>
      <w:r w:rsidRPr="00D27912">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Ref523733534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Pr>
          <w:rStyle w:val="af7"/>
          <w:rFonts w:eastAsia="Guttman Hodes"/>
          <w:rtl/>
        </w:rPr>
        <w:fldChar w:fldCharType="end"/>
      </w:r>
      <w:r w:rsidRPr="00D27912">
        <w:rPr>
          <w:rStyle w:val="af7"/>
          <w:rFonts w:eastAsia="Guttman Hodes" w:hint="cs"/>
          <w:rtl/>
        </w:rPr>
        <w:t xml:space="preserve"> </w:t>
      </w:r>
      <w:r>
        <w:rPr>
          <w:rFonts w:hint="cs"/>
          <w:rtl/>
        </w:rPr>
        <w:t>דאם אבד הסכין השחיטה כשרה].</w:t>
      </w:r>
      <w:bookmarkEnd w:id="4242"/>
    </w:p>
    <w:p w14:paraId="2537677A" w14:textId="77777777" w:rsidR="00FC47D4" w:rsidRPr="00332EA4" w:rsidRDefault="00FC47D4" w:rsidP="006D6D32">
      <w:pPr>
        <w:pStyle w:val="a3"/>
      </w:pPr>
      <w:bookmarkStart w:id="4243" w:name="_Toc526248931"/>
      <w:bookmarkStart w:id="4244" w:name="_Toc526409509"/>
      <w:bookmarkStart w:id="4245" w:name="_Toc526939164"/>
      <w:bookmarkStart w:id="4246" w:name="_Toc527060298"/>
      <w:bookmarkStart w:id="4247" w:name="_Toc527060446"/>
      <w:bookmarkStart w:id="4248" w:name="_Toc527100823"/>
      <w:bookmarkStart w:id="4249" w:name="_Toc528227079"/>
      <w:bookmarkStart w:id="4250" w:name="_Toc528227243"/>
      <w:bookmarkStart w:id="4251" w:name="_Toc528227405"/>
      <w:bookmarkStart w:id="4252" w:name="_Toc19389488"/>
      <w:bookmarkStart w:id="4253" w:name="_Toc19392985"/>
      <w:r w:rsidRPr="00332EA4">
        <w:rPr>
          <w:rFonts w:hint="cs"/>
          <w:rtl/>
        </w:rPr>
        <w:t>דברי הרמב"ן דמ"מ לכחתחילה צריך לבדוק כשהסכין לפנינו</w:t>
      </w:r>
      <w:bookmarkEnd w:id="4243"/>
      <w:bookmarkEnd w:id="4244"/>
      <w:bookmarkEnd w:id="4245"/>
      <w:bookmarkEnd w:id="4246"/>
      <w:bookmarkEnd w:id="4247"/>
      <w:bookmarkEnd w:id="4248"/>
      <w:bookmarkEnd w:id="4249"/>
      <w:bookmarkEnd w:id="4250"/>
      <w:bookmarkEnd w:id="4251"/>
      <w:bookmarkEnd w:id="4252"/>
      <w:bookmarkEnd w:id="4253"/>
    </w:p>
    <w:p w14:paraId="59896E4A" w14:textId="77777777" w:rsidR="00FC47D4" w:rsidRDefault="00FC47D4" w:rsidP="00223668">
      <w:pPr>
        <w:pStyle w:val="a0"/>
        <w:rPr>
          <w:rtl/>
        </w:rPr>
      </w:pPr>
      <w:r w:rsidRPr="00332EA4">
        <w:rPr>
          <w:rFonts w:hint="cs"/>
          <w:rtl/>
        </w:rPr>
        <w:t xml:space="preserve">אך כתב </w:t>
      </w:r>
      <w:r w:rsidRPr="00332EA4">
        <w:rPr>
          <w:rStyle w:val="af9"/>
          <w:rFonts w:hint="cs"/>
          <w:rtl/>
        </w:rPr>
        <w:t>הר</w:t>
      </w:r>
      <w:r w:rsidRPr="009752D8">
        <w:rPr>
          <w:rStyle w:val="af9"/>
          <w:rFonts w:hint="cs"/>
          <w:rtl/>
        </w:rPr>
        <w:t>מב"ן בחי'</w:t>
      </w:r>
      <w:r w:rsidRPr="00332EA4">
        <w:rPr>
          <w:rFonts w:hint="cs"/>
          <w:rtl/>
        </w:rPr>
        <w:t xml:space="preserve"> </w:t>
      </w:r>
      <w:r>
        <w:rPr>
          <w:rStyle w:val="af9"/>
          <w:rFonts w:hint="cs"/>
          <w:rtl/>
        </w:rPr>
        <w:t>ו</w:t>
      </w:r>
      <w:r w:rsidRPr="000049BB">
        <w:rPr>
          <w:rStyle w:val="af9"/>
          <w:rFonts w:hint="cs"/>
          <w:rtl/>
        </w:rPr>
        <w:t>במלחמות</w:t>
      </w:r>
      <w:r>
        <w:rPr>
          <w:rFonts w:hint="cs"/>
          <w:rtl/>
        </w:rPr>
        <w:t xml:space="preserve"> </w:t>
      </w:r>
      <w:r w:rsidRPr="00F15909">
        <w:rPr>
          <w:rStyle w:val="af7"/>
          <w:rFonts w:eastAsia="Guttman Hodes" w:hint="cs"/>
          <w:rtl/>
        </w:rPr>
        <w:t>(ג: מדפי הרי"ף)</w:t>
      </w:r>
      <w:r>
        <w:rPr>
          <w:rFonts w:hint="cs"/>
          <w:rtl/>
        </w:rPr>
        <w:t xml:space="preserve"> </w:t>
      </w:r>
      <w:r w:rsidRPr="00332EA4">
        <w:rPr>
          <w:rFonts w:hint="cs"/>
          <w:rtl/>
        </w:rPr>
        <w:t xml:space="preserve">דבמקום שהסכין לפנינו יתכן שלכתחילה צריך לבודקו, ואף שלדעת רב חסדא גופיה א"צ לבדוק אפילו לכתחילה, דהא אם ימצא הסכין פגום תלינן שנפגם במפרקת, מ"מ לדידן </w:t>
      </w:r>
      <w:r w:rsidRPr="00D27912">
        <w:rPr>
          <w:rFonts w:hint="cs"/>
          <w:rtl/>
        </w:rPr>
        <w:t>דלא קיי"ל לגמרי כרב חסדא, אלא רק בששיבר בה עצמות שא"א לבדוק.</w:t>
      </w:r>
    </w:p>
    <w:p w14:paraId="0858E4DA" w14:textId="77777777" w:rsidR="00FC47D4" w:rsidRDefault="00FC47D4" w:rsidP="006D6D32">
      <w:pPr>
        <w:pStyle w:val="a3"/>
        <w:rPr>
          <w:rtl/>
        </w:rPr>
      </w:pPr>
      <w:bookmarkStart w:id="4254" w:name="_Toc526249253"/>
      <w:bookmarkStart w:id="4255" w:name="_Toc526504133"/>
      <w:bookmarkStart w:id="4256" w:name="_Toc526853025"/>
      <w:bookmarkStart w:id="4257" w:name="_Toc526889939"/>
      <w:bookmarkStart w:id="4258" w:name="_Toc526939120"/>
      <w:bookmarkStart w:id="4259" w:name="_Toc527060299"/>
      <w:bookmarkStart w:id="4260" w:name="_Toc527060447"/>
      <w:bookmarkStart w:id="4261" w:name="_Toc527100824"/>
      <w:bookmarkStart w:id="4262" w:name="_Toc528227080"/>
      <w:bookmarkStart w:id="4263" w:name="_Toc528227244"/>
      <w:bookmarkStart w:id="4264" w:name="_Toc528227406"/>
      <w:bookmarkStart w:id="4265" w:name="_Toc19389489"/>
      <w:bookmarkStart w:id="4266" w:name="_Toc19392986"/>
      <w:bookmarkStart w:id="4267" w:name="_Toc526248932"/>
      <w:r>
        <w:rPr>
          <w:rFonts w:hint="cs"/>
          <w:rtl/>
        </w:rPr>
        <w:t>דברי הרמב"ן דלרש"י ולבה"ג צריך לכחתחילה לבדוק אחר השחיטה אף לדידן</w:t>
      </w:r>
      <w:bookmarkEnd w:id="4254"/>
      <w:bookmarkEnd w:id="4255"/>
      <w:bookmarkEnd w:id="4256"/>
      <w:bookmarkEnd w:id="4257"/>
      <w:bookmarkEnd w:id="4258"/>
      <w:bookmarkEnd w:id="4259"/>
      <w:bookmarkEnd w:id="4260"/>
      <w:bookmarkEnd w:id="4261"/>
      <w:bookmarkEnd w:id="4262"/>
      <w:bookmarkEnd w:id="4263"/>
      <w:bookmarkEnd w:id="4264"/>
      <w:bookmarkEnd w:id="4265"/>
      <w:bookmarkEnd w:id="4266"/>
    </w:p>
    <w:p w14:paraId="55503C1C" w14:textId="77777777" w:rsidR="00FC47D4" w:rsidRPr="00864501" w:rsidRDefault="00FC47D4" w:rsidP="00ED1D84">
      <w:pPr>
        <w:pStyle w:val="a0"/>
        <w:rPr>
          <w:rtl/>
        </w:rPr>
      </w:pPr>
      <w:r w:rsidRPr="00864501">
        <w:rPr>
          <w:rFonts w:hint="cs"/>
          <w:rtl/>
        </w:rPr>
        <w:t>וכת</w:t>
      </w:r>
      <w:r>
        <w:rPr>
          <w:rFonts w:hint="cs"/>
          <w:rtl/>
        </w:rPr>
        <w:t xml:space="preserve">ב </w:t>
      </w:r>
      <w:r>
        <w:rPr>
          <w:rStyle w:val="af9"/>
          <w:rtl/>
        </w:rPr>
        <w:t>הרמב"ן</w:t>
      </w:r>
      <w:r>
        <w:rPr>
          <w:rFonts w:hint="cs"/>
          <w:rtl/>
        </w:rPr>
        <w:t xml:space="preserve"> </w:t>
      </w:r>
      <w:r w:rsidRPr="00864501">
        <w:rPr>
          <w:rStyle w:val="af7"/>
          <w:rFonts w:eastAsia="Guttman Hodes" w:hint="cs"/>
          <w:rtl/>
        </w:rPr>
        <w:t>(ד"ה אבל)</w:t>
      </w:r>
      <w:r>
        <w:rPr>
          <w:rFonts w:hint="cs"/>
          <w:rtl/>
        </w:rPr>
        <w:t xml:space="preserve"> דכן מבואר </w:t>
      </w:r>
      <w:r>
        <w:rPr>
          <w:rStyle w:val="af9"/>
          <w:rtl/>
        </w:rPr>
        <w:t>בבה"ג</w:t>
      </w:r>
      <w:r>
        <w:rPr>
          <w:rFonts w:hint="cs"/>
          <w:rtl/>
        </w:rPr>
        <w:t xml:space="preserve"> </w:t>
      </w:r>
      <w:r w:rsidRPr="002D3646">
        <w:rPr>
          <w:rStyle w:val="af7"/>
          <w:rFonts w:eastAsia="Guttman Hodes" w:hint="cs"/>
          <w:rtl/>
        </w:rPr>
        <w:t xml:space="preserve">(ריש הל' שחיטת חולין עמ' תר"י סוד"ה וסכין) </w:t>
      </w:r>
      <w:r>
        <w:rPr>
          <w:rFonts w:hint="cs"/>
          <w:rtl/>
        </w:rPr>
        <w:t>דכתב דכיון דבכמה בהמות הטריף רב יוסף את כל הבהמות ששחט לפני הבדיקה, א"כ מבואר שצריך לבדוק את הסכין אחר השחיטה, שמא נפגם בעור, ולכן צריך לבדוק בכל אחת ואחת לפני שחיטה ולאחר שחיטה</w:t>
      </w:r>
      <w:r w:rsidRPr="00C7247B">
        <w:rPr>
          <w:rFonts w:hint="cs"/>
          <w:rtl/>
        </w:rPr>
        <w:t xml:space="preserve">, וכתב </w:t>
      </w:r>
      <w:r w:rsidRPr="00C7247B">
        <w:rPr>
          <w:rStyle w:val="af9"/>
          <w:rtl/>
        </w:rPr>
        <w:t>הרמב"ן</w:t>
      </w:r>
      <w:r w:rsidRPr="00C7247B">
        <w:rPr>
          <w:rFonts w:hint="cs"/>
          <w:rtl/>
        </w:rPr>
        <w:t xml:space="preserve"> דכן ס"ל </w:t>
      </w:r>
      <w:r w:rsidRPr="00C7247B">
        <w:rPr>
          <w:rStyle w:val="af9"/>
          <w:rtl/>
        </w:rPr>
        <w:t>לרש"י</w:t>
      </w:r>
      <w:r w:rsidRPr="00C7247B">
        <w:rPr>
          <w:rFonts w:hint="cs"/>
          <w:rtl/>
        </w:rPr>
        <w:t xml:space="preserve"> </w:t>
      </w:r>
      <w:r w:rsidRPr="00C7247B">
        <w:rPr>
          <w:rStyle w:val="af7"/>
          <w:rFonts w:eastAsia="Guttman Hodes" w:hint="cs"/>
          <w:rtl/>
        </w:rPr>
        <w:t xml:space="preserve">(עי' אות </w:t>
      </w:r>
      <w:r w:rsidRPr="00C7247B">
        <w:rPr>
          <w:rStyle w:val="af7"/>
          <w:rFonts w:eastAsia="Guttman Hodes"/>
          <w:rtl/>
        </w:rPr>
        <w:fldChar w:fldCharType="begin"/>
      </w:r>
      <w:r w:rsidRPr="00C7247B">
        <w:rPr>
          <w:rStyle w:val="af7"/>
          <w:rFonts w:eastAsia="Guttman Hodes"/>
          <w:rtl/>
        </w:rPr>
        <w:instrText xml:space="preserve"> </w:instrText>
      </w:r>
      <w:r w:rsidRPr="00C7247B">
        <w:rPr>
          <w:rStyle w:val="af7"/>
          <w:rFonts w:eastAsia="Guttman Hodes" w:hint="cs"/>
        </w:rPr>
        <w:instrText>REF</w:instrText>
      </w:r>
      <w:r w:rsidRPr="00C7247B">
        <w:rPr>
          <w:rStyle w:val="af7"/>
          <w:rFonts w:eastAsia="Guttman Hodes" w:hint="cs"/>
          <w:rtl/>
        </w:rPr>
        <w:instrText xml:space="preserve"> _</w:instrText>
      </w:r>
      <w:r w:rsidRPr="00C7247B">
        <w:rPr>
          <w:rStyle w:val="af7"/>
          <w:rFonts w:eastAsia="Guttman Hodes" w:hint="cs"/>
        </w:rPr>
        <w:instrText>Ref523392029 \r \h</w:instrText>
      </w:r>
      <w:r w:rsidRPr="00C7247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7247B">
        <w:rPr>
          <w:rStyle w:val="af7"/>
          <w:rFonts w:eastAsia="Guttman Hodes"/>
          <w:rtl/>
        </w:rPr>
      </w:r>
      <w:r w:rsidRPr="00C7247B">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C7247B">
        <w:rPr>
          <w:rStyle w:val="af7"/>
          <w:rFonts w:eastAsia="Guttman Hodes"/>
          <w:rtl/>
        </w:rPr>
        <w:fldChar w:fldCharType="end"/>
      </w:r>
      <w:r w:rsidRPr="00C7247B">
        <w:rPr>
          <w:rFonts w:hint="cs"/>
          <w:rtl/>
        </w:rPr>
        <w:t xml:space="preserve">, וע"ע בדברי </w:t>
      </w:r>
      <w:r w:rsidRPr="00C7247B">
        <w:rPr>
          <w:rStyle w:val="af9"/>
          <w:rtl/>
        </w:rPr>
        <w:t>הרמב"ן</w:t>
      </w:r>
      <w:r w:rsidRPr="00C7247B">
        <w:rPr>
          <w:rFonts w:hint="cs"/>
          <w:rtl/>
        </w:rPr>
        <w:t xml:space="preserve"> </w:t>
      </w:r>
      <w:r w:rsidR="00ED1D84">
        <w:rPr>
          <w:rStyle w:val="af7"/>
          <w:rFonts w:eastAsia="Guttman Hodes" w:hint="cs"/>
          <w:rtl/>
        </w:rPr>
        <w:t>(ד"ה ומיהו, הובא ב</w:t>
      </w:r>
      <w:r w:rsidRPr="00C7247B">
        <w:rPr>
          <w:rStyle w:val="af7"/>
          <w:rFonts w:eastAsia="Guttman Hodes" w:hint="cs"/>
          <w:rtl/>
        </w:rPr>
        <w:t>סימן ו' אות סא)</w:t>
      </w:r>
      <w:r w:rsidRPr="00C7247B">
        <w:rPr>
          <w:rFonts w:hint="cs"/>
          <w:rtl/>
        </w:rPr>
        <w:t xml:space="preserve"> בשם </w:t>
      </w:r>
      <w:r w:rsidRPr="00C7247B">
        <w:rPr>
          <w:rStyle w:val="af9"/>
          <w:rFonts w:hint="cs"/>
          <w:rtl/>
        </w:rPr>
        <w:t>הראב"ד</w:t>
      </w:r>
      <w:r w:rsidRPr="00C7247B">
        <w:rPr>
          <w:rFonts w:hint="cs"/>
          <w:rtl/>
        </w:rPr>
        <w:t xml:space="preserve"> בדעת רב חסדא בחשש פגימה במפרקת בשחט</w:t>
      </w:r>
      <w:r w:rsidRPr="00864501">
        <w:rPr>
          <w:rFonts w:hint="cs"/>
          <w:rtl/>
        </w:rPr>
        <w:t xml:space="preserve"> כמה בהמות, ואבדה הסכין.</w:t>
      </w:r>
    </w:p>
    <w:p w14:paraId="021EF1DE" w14:textId="77777777" w:rsidR="00FC47D4" w:rsidRDefault="00FC47D4" w:rsidP="00BF39B2">
      <w:pPr>
        <w:pStyle w:val="1"/>
        <w:rPr>
          <w:rtl/>
        </w:rPr>
      </w:pPr>
      <w:bookmarkStart w:id="4268" w:name="_Toc527060300"/>
      <w:bookmarkStart w:id="4269" w:name="_Toc527060448"/>
      <w:bookmarkStart w:id="4270" w:name="_Toc527100825"/>
      <w:bookmarkStart w:id="4271" w:name="_Toc528227081"/>
      <w:bookmarkStart w:id="4272" w:name="_Toc528227245"/>
      <w:bookmarkStart w:id="4273" w:name="_Toc528227407"/>
      <w:bookmarkStart w:id="4274" w:name="_Toc19389490"/>
      <w:bookmarkStart w:id="4275" w:name="_Toc19392987"/>
      <w:bookmarkStart w:id="4276" w:name="_Toc523397203"/>
      <w:bookmarkStart w:id="4277" w:name="_Toc523490311"/>
      <w:bookmarkStart w:id="4278" w:name="_Toc523697916"/>
      <w:bookmarkStart w:id="4279" w:name="_Toc523735691"/>
      <w:bookmarkStart w:id="4280" w:name="_Toc526248956"/>
      <w:bookmarkStart w:id="4281" w:name="_Toc526504139"/>
      <w:bookmarkStart w:id="4282" w:name="_Toc526853031"/>
      <w:bookmarkStart w:id="4283" w:name="_Toc526889945"/>
      <w:r>
        <w:rPr>
          <w:rFonts w:hint="cs"/>
          <w:rtl/>
        </w:rPr>
        <w:t>דעת רבינו יונה והרשב"א והרא"ש דלכתחילה צריך לבדוק</w:t>
      </w:r>
      <w:bookmarkEnd w:id="4268"/>
      <w:bookmarkEnd w:id="4269"/>
      <w:bookmarkEnd w:id="4270"/>
      <w:bookmarkEnd w:id="4271"/>
      <w:bookmarkEnd w:id="4272"/>
      <w:bookmarkEnd w:id="4273"/>
      <w:bookmarkEnd w:id="4274"/>
      <w:bookmarkEnd w:id="4275"/>
    </w:p>
    <w:p w14:paraId="78317024" w14:textId="77777777" w:rsidR="00FC47D4" w:rsidRPr="00936CC8" w:rsidRDefault="00FC47D4" w:rsidP="006D6D32">
      <w:pPr>
        <w:pStyle w:val="a3"/>
        <w:rPr>
          <w:rtl/>
        </w:rPr>
      </w:pPr>
      <w:bookmarkStart w:id="4284" w:name="_Toc526409510"/>
      <w:bookmarkStart w:id="4285" w:name="_Toc526939165"/>
      <w:bookmarkStart w:id="4286" w:name="_Toc527060301"/>
      <w:bookmarkStart w:id="4287" w:name="_Toc527060449"/>
      <w:bookmarkStart w:id="4288" w:name="_Toc527100826"/>
      <w:bookmarkStart w:id="4289" w:name="_Toc528227082"/>
      <w:bookmarkStart w:id="4290" w:name="_Toc528227246"/>
      <w:bookmarkStart w:id="4291" w:name="_Toc528227408"/>
      <w:bookmarkStart w:id="4292" w:name="_Toc19389491"/>
      <w:bookmarkStart w:id="4293" w:name="_Toc19392988"/>
      <w:bookmarkEnd w:id="4276"/>
      <w:bookmarkEnd w:id="4277"/>
      <w:bookmarkEnd w:id="4278"/>
      <w:bookmarkEnd w:id="4279"/>
      <w:bookmarkEnd w:id="4280"/>
      <w:bookmarkEnd w:id="4281"/>
      <w:bookmarkEnd w:id="4282"/>
      <w:bookmarkEnd w:id="4283"/>
      <w:r>
        <w:rPr>
          <w:rFonts w:hint="cs"/>
          <w:rtl/>
        </w:rPr>
        <w:t>דעת הרשב"א דלהלכה לכתחילה צריך לבדוק</w:t>
      </w:r>
      <w:r w:rsidRPr="00067BD0">
        <w:rPr>
          <w:rFonts w:hint="cs"/>
          <w:rtl/>
        </w:rPr>
        <w:t xml:space="preserve"> </w:t>
      </w:r>
      <w:r>
        <w:rPr>
          <w:rFonts w:hint="cs"/>
          <w:rtl/>
        </w:rPr>
        <w:t>אף דבאבד הסכין כשר אף לרב הונא</w:t>
      </w:r>
      <w:bookmarkEnd w:id="4284"/>
      <w:bookmarkEnd w:id="4285"/>
      <w:bookmarkEnd w:id="4286"/>
      <w:bookmarkEnd w:id="4287"/>
      <w:bookmarkEnd w:id="4288"/>
      <w:bookmarkEnd w:id="4289"/>
      <w:bookmarkEnd w:id="4290"/>
      <w:bookmarkEnd w:id="4291"/>
      <w:bookmarkEnd w:id="4292"/>
      <w:bookmarkEnd w:id="4293"/>
    </w:p>
    <w:p w14:paraId="1BA81283" w14:textId="77777777" w:rsidR="00FC47D4" w:rsidRDefault="00FC47D4" w:rsidP="00223668">
      <w:pPr>
        <w:pStyle w:val="a0"/>
        <w:rPr>
          <w:rtl/>
        </w:rPr>
      </w:pPr>
      <w:r>
        <w:rPr>
          <w:rStyle w:val="af9"/>
          <w:rFonts w:hint="cs"/>
          <w:rtl/>
        </w:rPr>
        <w:t>ו</w:t>
      </w:r>
      <w:r w:rsidRPr="00936CC8">
        <w:rPr>
          <w:rStyle w:val="af9"/>
          <w:rFonts w:hint="cs"/>
          <w:rtl/>
        </w:rPr>
        <w:t xml:space="preserve">הרשב"א </w:t>
      </w:r>
      <w:r w:rsidRPr="007A1703">
        <w:rPr>
          <w:rStyle w:val="af7"/>
          <w:rFonts w:eastAsia="Guttman Hodes" w:hint="cs"/>
          <w:rtl/>
        </w:rPr>
        <w:t>(י: ד"ה ומיהו אם)</w:t>
      </w:r>
      <w:r w:rsidRPr="00936CC8">
        <w:rPr>
          <w:rFonts w:hint="cs"/>
          <w:rtl/>
        </w:rPr>
        <w:t xml:space="preserve"> </w:t>
      </w:r>
      <w:r>
        <w:rPr>
          <w:rFonts w:hint="cs"/>
          <w:rtl/>
        </w:rPr>
        <w:t xml:space="preserve">כתב </w:t>
      </w:r>
      <w:r w:rsidRPr="00936CC8">
        <w:rPr>
          <w:rFonts w:hint="cs"/>
          <w:rtl/>
        </w:rPr>
        <w:t>ד</w:t>
      </w:r>
      <w:r>
        <w:rPr>
          <w:rFonts w:hint="cs"/>
          <w:rtl/>
        </w:rPr>
        <w:t xml:space="preserve">אף לדעת </w:t>
      </w:r>
      <w:r w:rsidRPr="00875A80">
        <w:rPr>
          <w:rStyle w:val="af9"/>
          <w:rFonts w:hint="cs"/>
          <w:rtl/>
        </w:rPr>
        <w:t>רבינו יונה</w:t>
      </w:r>
      <w:r>
        <w:rPr>
          <w:rFonts w:hint="cs"/>
          <w:rtl/>
        </w:rPr>
        <w:t xml:space="preserve"> </w:t>
      </w:r>
      <w:r w:rsidRPr="007A1703">
        <w:rPr>
          <w:rStyle w:val="af7"/>
          <w:rFonts w:eastAsia="Guttman Hodes" w:hint="cs"/>
          <w:rtl/>
        </w:rPr>
        <w:t xml:space="preserve">(עי' אות </w:t>
      </w:r>
      <w:r w:rsidRPr="007A1703">
        <w:rPr>
          <w:rStyle w:val="af7"/>
          <w:rFonts w:eastAsia="Guttman Hodes"/>
          <w:rtl/>
        </w:rPr>
        <w:fldChar w:fldCharType="begin"/>
      </w:r>
      <w:r w:rsidRPr="007A1703">
        <w:rPr>
          <w:rStyle w:val="af7"/>
          <w:rFonts w:eastAsia="Guttman Hodes"/>
          <w:rtl/>
        </w:rPr>
        <w:instrText xml:space="preserve"> </w:instrText>
      </w:r>
      <w:r w:rsidRPr="007A1703">
        <w:rPr>
          <w:rStyle w:val="af7"/>
          <w:rFonts w:eastAsia="Guttman Hodes" w:hint="cs"/>
        </w:rPr>
        <w:instrText>REF</w:instrText>
      </w:r>
      <w:r w:rsidRPr="007A1703">
        <w:rPr>
          <w:rStyle w:val="af7"/>
          <w:rFonts w:eastAsia="Guttman Hodes" w:hint="cs"/>
          <w:rtl/>
        </w:rPr>
        <w:instrText xml:space="preserve"> _</w:instrText>
      </w:r>
      <w:r w:rsidRPr="007A1703">
        <w:rPr>
          <w:rStyle w:val="af7"/>
          <w:rFonts w:eastAsia="Guttman Hodes" w:hint="cs"/>
        </w:rPr>
        <w:instrText>Ref523085216 \r \h</w:instrText>
      </w:r>
      <w:r w:rsidRPr="007A1703">
        <w:rPr>
          <w:rStyle w:val="af7"/>
          <w:rFonts w:eastAsia="Guttman Hodes"/>
          <w:rtl/>
        </w:rPr>
        <w:instrText xml:space="preserve"> </w:instrText>
      </w:r>
      <w:r w:rsidRPr="007A1703">
        <w:rPr>
          <w:rStyle w:val="af7"/>
          <w:rFonts w:eastAsia="Guttman Hodes"/>
          <w:rtl/>
        </w:rPr>
      </w:r>
      <w:r w:rsidRPr="007A1703">
        <w:rPr>
          <w:rStyle w:val="af7"/>
          <w:rFonts w:eastAsia="Guttman Hodes"/>
          <w:rtl/>
        </w:rPr>
        <w:fldChar w:fldCharType="separate"/>
      </w:r>
      <w:r w:rsidR="00345400">
        <w:rPr>
          <w:rStyle w:val="af7"/>
          <w:rFonts w:eastAsia="Guttman Hodes"/>
          <w:cs/>
        </w:rPr>
        <w:t>‎</w:t>
      </w:r>
      <w:r w:rsidR="00345400">
        <w:rPr>
          <w:rStyle w:val="af7"/>
          <w:rFonts w:eastAsia="Guttman Hodes"/>
          <w:rtl/>
        </w:rPr>
        <w:t>לח)</w:t>
      </w:r>
      <w:r w:rsidRPr="007A1703">
        <w:rPr>
          <w:rStyle w:val="af7"/>
          <w:rFonts w:eastAsia="Guttman Hodes"/>
          <w:rtl/>
        </w:rPr>
        <w:fldChar w:fldCharType="end"/>
      </w:r>
      <w:r>
        <w:rPr>
          <w:rFonts w:hint="cs"/>
          <w:rtl/>
        </w:rPr>
        <w:t xml:space="preserve"> ד</w:t>
      </w:r>
      <w:r w:rsidRPr="00936CC8">
        <w:rPr>
          <w:rFonts w:hint="cs"/>
          <w:rtl/>
        </w:rPr>
        <w:t xml:space="preserve">באבד הסכין כשר, מ"מ </w:t>
      </w:r>
      <w:r>
        <w:rPr>
          <w:rFonts w:hint="cs"/>
          <w:rtl/>
        </w:rPr>
        <w:t xml:space="preserve">להלכה </w:t>
      </w:r>
      <w:r w:rsidRPr="00936CC8">
        <w:rPr>
          <w:rFonts w:hint="cs"/>
          <w:rtl/>
        </w:rPr>
        <w:t>לכתחילה צריך לבדוק, דאין סומכין על חזקת הסכין כשאפשר לברר</w:t>
      </w:r>
      <w:r>
        <w:rPr>
          <w:rFonts w:hint="cs"/>
          <w:rtl/>
        </w:rPr>
        <w:t xml:space="preserve">, וביאר </w:t>
      </w:r>
      <w:r w:rsidRPr="00A312E7">
        <w:rPr>
          <w:rStyle w:val="af9"/>
          <w:rFonts w:hint="cs"/>
          <w:rtl/>
        </w:rPr>
        <w:t>הרשב"א בתוה"ב הקצר</w:t>
      </w:r>
      <w:r>
        <w:rPr>
          <w:rFonts w:hint="cs"/>
          <w:rtl/>
        </w:rPr>
        <w:t xml:space="preserve"> </w:t>
      </w:r>
      <w:r w:rsidRPr="00A312E7">
        <w:rPr>
          <w:rStyle w:val="af7"/>
          <w:rFonts w:eastAsia="Guttman Hodes" w:hint="cs"/>
          <w:rtl/>
        </w:rPr>
        <w:t>(ב"א ש"ב דף יג: מדה"ס)</w:t>
      </w:r>
      <w:r>
        <w:rPr>
          <w:rFonts w:hint="cs"/>
          <w:rtl/>
        </w:rPr>
        <w:t xml:space="preserve"> דלכתחילה לא סומכים על החזקה, כיון שלפעמים נפגם הסכין בעור, ואין השוחט יודע מזה.</w:t>
      </w:r>
    </w:p>
    <w:p w14:paraId="19DAF8B2" w14:textId="77777777" w:rsidR="00FC47D4" w:rsidRPr="00DE257F" w:rsidRDefault="00FC47D4" w:rsidP="006D6D32">
      <w:pPr>
        <w:pStyle w:val="a3"/>
        <w:rPr>
          <w:rtl/>
        </w:rPr>
      </w:pPr>
      <w:bookmarkStart w:id="4294" w:name="_Toc526939166"/>
      <w:bookmarkStart w:id="4295" w:name="_Toc527060302"/>
      <w:bookmarkStart w:id="4296" w:name="_Toc527060450"/>
      <w:bookmarkStart w:id="4297" w:name="_Toc527100827"/>
      <w:bookmarkStart w:id="4298" w:name="_Toc528227083"/>
      <w:bookmarkStart w:id="4299" w:name="_Toc528227247"/>
      <w:bookmarkStart w:id="4300" w:name="_Toc528227409"/>
      <w:bookmarkStart w:id="4301" w:name="_Toc19389492"/>
      <w:bookmarkStart w:id="4302" w:name="_Toc19392989"/>
      <w:r>
        <w:rPr>
          <w:rFonts w:hint="cs"/>
          <w:rtl/>
        </w:rPr>
        <w:t>דברי הרשב"א דבמומחין ובסכין ובריאה בודקין לכתחילה ובדיעבד מעמידים בחזקת כשרות</w:t>
      </w:r>
      <w:bookmarkEnd w:id="4294"/>
      <w:bookmarkEnd w:id="4295"/>
      <w:bookmarkEnd w:id="4296"/>
      <w:bookmarkEnd w:id="4297"/>
      <w:bookmarkEnd w:id="4298"/>
      <w:bookmarkEnd w:id="4299"/>
      <w:bookmarkEnd w:id="4300"/>
      <w:bookmarkEnd w:id="4301"/>
      <w:bookmarkEnd w:id="4302"/>
    </w:p>
    <w:p w14:paraId="0083749F" w14:textId="77777777" w:rsidR="00FC47D4" w:rsidRDefault="00FC47D4" w:rsidP="00223668">
      <w:pPr>
        <w:pStyle w:val="a0"/>
        <w:rPr>
          <w:rtl/>
        </w:rPr>
      </w:pPr>
      <w:r>
        <w:rPr>
          <w:rStyle w:val="af9"/>
          <w:rFonts w:hint="cs"/>
          <w:rtl/>
        </w:rPr>
        <w:t>ו</w:t>
      </w:r>
      <w:r>
        <w:rPr>
          <w:rFonts w:hint="cs"/>
          <w:rtl/>
        </w:rPr>
        <w:t xml:space="preserve">כתב </w:t>
      </w:r>
      <w:r w:rsidRPr="00885A51">
        <w:rPr>
          <w:rStyle w:val="af9"/>
          <w:rFonts w:hint="cs"/>
          <w:rtl/>
        </w:rPr>
        <w:t>הרשב"א</w:t>
      </w:r>
      <w:r>
        <w:rPr>
          <w:rStyle w:val="af9"/>
          <w:rFonts w:hint="cs"/>
          <w:rtl/>
        </w:rPr>
        <w:t xml:space="preserve"> בחי'</w:t>
      </w:r>
      <w:r>
        <w:rPr>
          <w:rFonts w:hint="cs"/>
          <w:rtl/>
        </w:rPr>
        <w:t xml:space="preserve"> דיש ג' דברים שצריכים בדיקה כשהם לפנינו, ואם א"א לבודקם כיון שהם בחזקת כשרות תולים להקל להעמידם בחזקתם. הא' בדיקת שוחטין מומחין, דלפנינו צריכים בדיקה, וכשאינם לפנינו סמכינן על רוב מצויין אצל שחיטה מומחין הן. הב' בדיקת סכין אחר השחיטה דלכתחילה צריך לבודקו, ובאבד סומכין על בדיקתו הראשונה. והג' בבדיקת הריאה דלכתחילה אסור לאכול מהבהמה לפני שנבדקה הריאה, ואם א"א לבודקה כשרה, כדאיתא לעיל </w:t>
      </w:r>
      <w:r w:rsidRPr="00885A51">
        <w:rPr>
          <w:rStyle w:val="af7"/>
          <w:rFonts w:eastAsia="Guttman Hodes" w:hint="cs"/>
          <w:rtl/>
        </w:rPr>
        <w:t>(ט.)</w:t>
      </w:r>
      <w:r w:rsidRPr="00DD0461">
        <w:rPr>
          <w:rFonts w:hint="cs"/>
          <w:rtl/>
        </w:rPr>
        <w:t xml:space="preserve"> </w:t>
      </w:r>
      <w:r>
        <w:rPr>
          <w:rFonts w:hint="cs"/>
          <w:rtl/>
        </w:rPr>
        <w:t>דבנטל זאב את הריאה והחזירה מנוקבת אין חוששין שמא במקום נקב ניקב ומותרת. [</w:t>
      </w:r>
      <w:r>
        <w:rPr>
          <w:rStyle w:val="af9"/>
          <w:rFonts w:hint="cs"/>
          <w:rtl/>
        </w:rPr>
        <w:t>ו</w:t>
      </w:r>
      <w:r w:rsidRPr="00E9727B">
        <w:rPr>
          <w:rStyle w:val="af9"/>
          <w:rFonts w:hint="cs"/>
          <w:rtl/>
        </w:rPr>
        <w:t>הרשב"א בתוה"ב</w:t>
      </w:r>
      <w:r>
        <w:rPr>
          <w:rFonts w:hint="cs"/>
          <w:rtl/>
        </w:rPr>
        <w:t xml:space="preserve"> </w:t>
      </w:r>
      <w:r w:rsidRPr="00885A51">
        <w:rPr>
          <w:rStyle w:val="af7"/>
          <w:rFonts w:eastAsia="Guttman Hodes" w:hint="cs"/>
          <w:rtl/>
        </w:rPr>
        <w:t xml:space="preserve">(ב"א ש"ב דף טז: מדה"ס ד"ה א"נ) </w:t>
      </w:r>
      <w:r>
        <w:rPr>
          <w:rFonts w:hint="cs"/>
          <w:rtl/>
        </w:rPr>
        <w:t>הוסיף דבריאה בודקין אותה לכתחילה אף שמחזקינן לה בחזקת כשרה, או מחמת החזקה, או מחמת הרוב].</w:t>
      </w:r>
    </w:p>
    <w:p w14:paraId="4E1DB4D4" w14:textId="77777777" w:rsidR="00FC47D4" w:rsidRDefault="00FC47D4" w:rsidP="00BF39B2">
      <w:pPr>
        <w:pStyle w:val="1"/>
        <w:rPr>
          <w:rtl/>
        </w:rPr>
      </w:pPr>
      <w:bookmarkStart w:id="4303" w:name="_Toc526409511"/>
      <w:bookmarkStart w:id="4304" w:name="_Toc526939167"/>
      <w:bookmarkStart w:id="4305" w:name="_Toc527060303"/>
      <w:bookmarkStart w:id="4306" w:name="_Toc527060451"/>
      <w:bookmarkStart w:id="4307" w:name="_Toc527100828"/>
      <w:bookmarkStart w:id="4308" w:name="_Toc528227084"/>
      <w:bookmarkStart w:id="4309" w:name="_Toc528227248"/>
      <w:bookmarkStart w:id="4310" w:name="_Toc528227410"/>
      <w:bookmarkStart w:id="4311" w:name="_Toc19389493"/>
      <w:bookmarkStart w:id="4312" w:name="_Toc19392990"/>
      <w:bookmarkStart w:id="4313" w:name="_Toc526248966"/>
      <w:bookmarkEnd w:id="4267"/>
      <w:r>
        <w:rPr>
          <w:rFonts w:hint="cs"/>
          <w:rtl/>
        </w:rPr>
        <w:t>דעת הבעה"מ והראב"ד דא"צ לבדוק אף לכתחילה</w:t>
      </w:r>
      <w:bookmarkEnd w:id="4303"/>
      <w:bookmarkEnd w:id="4304"/>
      <w:bookmarkEnd w:id="4305"/>
      <w:bookmarkEnd w:id="4306"/>
      <w:bookmarkEnd w:id="4307"/>
      <w:bookmarkEnd w:id="4308"/>
      <w:bookmarkEnd w:id="4309"/>
      <w:bookmarkEnd w:id="4310"/>
      <w:bookmarkEnd w:id="4311"/>
      <w:bookmarkEnd w:id="4312"/>
    </w:p>
    <w:p w14:paraId="64AF0447" w14:textId="77777777" w:rsidR="00FC47D4" w:rsidRPr="005D24BE" w:rsidRDefault="00FC47D4" w:rsidP="006D6D32">
      <w:pPr>
        <w:pStyle w:val="a3"/>
        <w:rPr>
          <w:rtl/>
        </w:rPr>
      </w:pPr>
      <w:bookmarkStart w:id="4314" w:name="_Toc526409512"/>
      <w:bookmarkStart w:id="4315" w:name="_Toc526939168"/>
      <w:bookmarkStart w:id="4316" w:name="_Toc527060304"/>
      <w:bookmarkStart w:id="4317" w:name="_Toc527060452"/>
      <w:bookmarkStart w:id="4318" w:name="_Toc527100829"/>
      <w:bookmarkStart w:id="4319" w:name="_Toc528227085"/>
      <w:bookmarkStart w:id="4320" w:name="_Toc528227249"/>
      <w:bookmarkStart w:id="4321" w:name="_Toc528227411"/>
      <w:bookmarkStart w:id="4322" w:name="_Toc19389494"/>
      <w:bookmarkStart w:id="4323" w:name="_Toc19392991"/>
      <w:r>
        <w:rPr>
          <w:rFonts w:hint="cs"/>
          <w:rtl/>
        </w:rPr>
        <w:t>דעת הבעה"מ והעיטור והראב"ד והמאירי דבשחיטה אחת א"צ לבדוק כלל</w:t>
      </w:r>
      <w:bookmarkEnd w:id="4314"/>
      <w:bookmarkEnd w:id="4315"/>
      <w:bookmarkEnd w:id="4316"/>
      <w:bookmarkEnd w:id="4317"/>
      <w:bookmarkEnd w:id="4318"/>
      <w:bookmarkEnd w:id="4319"/>
      <w:bookmarkEnd w:id="4320"/>
      <w:bookmarkEnd w:id="4321"/>
      <w:bookmarkEnd w:id="4322"/>
      <w:bookmarkEnd w:id="4323"/>
    </w:p>
    <w:p w14:paraId="2944063D" w14:textId="77777777" w:rsidR="00FC47D4" w:rsidRPr="00F06F94" w:rsidRDefault="00FC47D4" w:rsidP="00223668">
      <w:pPr>
        <w:pStyle w:val="a0"/>
        <w:rPr>
          <w:rtl/>
        </w:rPr>
      </w:pPr>
      <w:r>
        <w:rPr>
          <w:rFonts w:hint="cs"/>
          <w:rtl/>
        </w:rPr>
        <w:t xml:space="preserve">וכתב </w:t>
      </w:r>
      <w:r w:rsidRPr="009D7906">
        <w:rPr>
          <w:rStyle w:val="af9"/>
          <w:rFonts w:hint="cs"/>
          <w:rtl/>
        </w:rPr>
        <w:t>הרא"ש</w:t>
      </w:r>
      <w:r>
        <w:rPr>
          <w:rStyle w:val="af9"/>
          <w:rFonts w:hint="cs"/>
          <w:rtl/>
        </w:rPr>
        <w:t xml:space="preserve"> </w:t>
      </w:r>
      <w:r w:rsidRPr="000C105C">
        <w:rPr>
          <w:rStyle w:val="af7"/>
          <w:rFonts w:eastAsia="Guttman Hodes" w:hint="cs"/>
          <w:rtl/>
        </w:rPr>
        <w:t>(סי' ט"ו)</w:t>
      </w:r>
      <w:r>
        <w:rPr>
          <w:rFonts w:hint="cs"/>
          <w:rtl/>
        </w:rPr>
        <w:t xml:space="preserve"> דלדעת </w:t>
      </w:r>
      <w:r>
        <w:rPr>
          <w:rStyle w:val="af9"/>
          <w:rtl/>
        </w:rPr>
        <w:t>הבעה"מ</w:t>
      </w:r>
      <w:r>
        <w:rPr>
          <w:rFonts w:hint="cs"/>
          <w:rtl/>
        </w:rPr>
        <w:t xml:space="preserve"> </w:t>
      </w:r>
      <w:r w:rsidRPr="00CE7255">
        <w:rPr>
          <w:rStyle w:val="af7"/>
          <w:rFonts w:eastAsia="Guttman Hodes" w:hint="cs"/>
          <w:rtl/>
        </w:rPr>
        <w:t xml:space="preserve">(עי' אות </w:t>
      </w:r>
      <w:r>
        <w:rPr>
          <w:rFonts w:hint="cs"/>
          <w:rtl/>
        </w:rPr>
        <w:fldChar w:fldCharType="begin"/>
      </w:r>
      <w:r w:rsidRPr="00CE7255">
        <w:rPr>
          <w:rStyle w:val="af7"/>
          <w:rFonts w:eastAsia="Guttman Hodes" w:hint="cs"/>
          <w:rtl/>
        </w:rPr>
        <w:instrText xml:space="preserve"> </w:instrText>
      </w:r>
      <w:r w:rsidRPr="00CE7255">
        <w:rPr>
          <w:rStyle w:val="af7"/>
          <w:rFonts w:eastAsia="Guttman Hodes"/>
        </w:rPr>
        <w:instrText>REF</w:instrText>
      </w:r>
      <w:r w:rsidRPr="00CE7255">
        <w:rPr>
          <w:rStyle w:val="af7"/>
          <w:rFonts w:eastAsia="Guttman Hodes" w:hint="cs"/>
          <w:rtl/>
        </w:rPr>
        <w:instrText xml:space="preserve"> _</w:instrText>
      </w:r>
      <w:r w:rsidRPr="00CE7255">
        <w:rPr>
          <w:rStyle w:val="af7"/>
          <w:rFonts w:eastAsia="Guttman Hodes"/>
        </w:rPr>
        <w:instrText>Ref523240768 \r \h</w:instrText>
      </w:r>
      <w:r w:rsidRPr="00CE7255">
        <w:rPr>
          <w:rStyle w:val="af7"/>
          <w:rFonts w:eastAsia="Guttman Hodes" w:hint="cs"/>
          <w:rtl/>
        </w:rPr>
        <w:instrText xml:space="preserve"> </w:instrText>
      </w:r>
      <w:r>
        <w:rPr>
          <w:rFonts w:hint="cs"/>
          <w:rtl/>
        </w:rPr>
      </w:r>
      <w:r>
        <w:rPr>
          <w:rFonts w:hint="cs"/>
          <w:rtl/>
        </w:rPr>
        <w:fldChar w:fldCharType="separate"/>
      </w:r>
      <w:r w:rsidR="00345400">
        <w:rPr>
          <w:rStyle w:val="af7"/>
          <w:rFonts w:eastAsia="Guttman Hodes" w:hint="eastAsia"/>
          <w:cs/>
        </w:rPr>
        <w:t>‎</w:t>
      </w:r>
      <w:r w:rsidR="00345400">
        <w:rPr>
          <w:rStyle w:val="af7"/>
          <w:rFonts w:eastAsia="Guttman Hodes" w:hint="eastAsia"/>
          <w:rtl/>
        </w:rPr>
        <w:t>י</w:t>
      </w:r>
      <w:r w:rsidR="00345400">
        <w:rPr>
          <w:rStyle w:val="af7"/>
          <w:rFonts w:eastAsia="Guttman Hodes"/>
          <w:rtl/>
        </w:rPr>
        <w:t>)</w:t>
      </w:r>
      <w:r>
        <w:rPr>
          <w:rFonts w:hint="cs"/>
          <w:rtl/>
        </w:rPr>
        <w:fldChar w:fldCharType="end"/>
      </w:r>
      <w:r>
        <w:rPr>
          <w:rFonts w:hint="cs"/>
          <w:rtl/>
        </w:rPr>
        <w:t xml:space="preserve"> </w:t>
      </w:r>
      <w:r>
        <w:rPr>
          <w:rStyle w:val="af9"/>
          <w:rtl/>
        </w:rPr>
        <w:t>והעיטור</w:t>
      </w:r>
      <w:r>
        <w:rPr>
          <w:rFonts w:hint="cs"/>
          <w:rtl/>
        </w:rPr>
        <w:t xml:space="preserve"> </w:t>
      </w:r>
      <w:r w:rsidRPr="00CE7255">
        <w:rPr>
          <w:rStyle w:val="af7"/>
          <w:rFonts w:eastAsia="Guttman Hodes" w:hint="cs"/>
          <w:rtl/>
        </w:rPr>
        <w:t>(שער ב' הלכות שחיטה ח"ב, נד' בקובץ שיטת קמאי חולין ח"א עמ' ר"ג)</w:t>
      </w:r>
      <w:r>
        <w:rPr>
          <w:rFonts w:hint="cs"/>
          <w:rtl/>
        </w:rPr>
        <w:t xml:space="preserve"> אף לכתחילה א"צ לבדוק, דאין ראיה בגמ' שאחר שחיטה אחת צריך לבדוק, כיון שבדק לפני השחיטה,</w:t>
      </w:r>
      <w:r w:rsidRPr="00F06F94">
        <w:rPr>
          <w:rFonts w:hint="cs"/>
          <w:rtl/>
        </w:rPr>
        <w:t xml:space="preserve"> </w:t>
      </w:r>
      <w:r w:rsidRPr="003E2891">
        <w:rPr>
          <w:rFonts w:hint="cs"/>
          <w:rtl/>
        </w:rPr>
        <w:t xml:space="preserve">וכן דעת </w:t>
      </w:r>
      <w:r w:rsidRPr="003E2891">
        <w:rPr>
          <w:rStyle w:val="af9"/>
          <w:rFonts w:hint="cs"/>
          <w:rtl/>
        </w:rPr>
        <w:t xml:space="preserve">הראב"ד </w:t>
      </w:r>
      <w:r w:rsidRPr="003E2891">
        <w:rPr>
          <w:rStyle w:val="af7"/>
          <w:rFonts w:eastAsia="Guttman Hodes" w:hint="cs"/>
          <w:rtl/>
        </w:rPr>
        <w:t xml:space="preserve">(עי' אות </w:t>
      </w:r>
      <w:r w:rsidRPr="003E2891">
        <w:rPr>
          <w:rStyle w:val="af7"/>
          <w:rFonts w:eastAsia="Guttman Hodes"/>
          <w:rtl/>
        </w:rPr>
        <w:fldChar w:fldCharType="begin"/>
      </w:r>
      <w:r w:rsidRPr="003E2891">
        <w:rPr>
          <w:rStyle w:val="af7"/>
          <w:rFonts w:eastAsia="Guttman Hodes"/>
          <w:rtl/>
        </w:rPr>
        <w:instrText xml:space="preserve"> </w:instrText>
      </w:r>
      <w:r w:rsidRPr="003E2891">
        <w:rPr>
          <w:rStyle w:val="af7"/>
          <w:rFonts w:eastAsia="Guttman Hodes" w:hint="cs"/>
        </w:rPr>
        <w:instrText>REF</w:instrText>
      </w:r>
      <w:r w:rsidRPr="003E2891">
        <w:rPr>
          <w:rStyle w:val="af7"/>
          <w:rFonts w:eastAsia="Guttman Hodes" w:hint="cs"/>
          <w:rtl/>
        </w:rPr>
        <w:instrText xml:space="preserve"> _</w:instrText>
      </w:r>
      <w:r w:rsidRPr="003E2891">
        <w:rPr>
          <w:rStyle w:val="af7"/>
          <w:rFonts w:eastAsia="Guttman Hodes" w:hint="cs"/>
        </w:rPr>
        <w:instrText>Ref523254824 \r \h</w:instrText>
      </w:r>
      <w:r w:rsidRPr="003E289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3E2891">
        <w:rPr>
          <w:rStyle w:val="af7"/>
          <w:rFonts w:eastAsia="Guttman Hodes"/>
          <w:rtl/>
        </w:rPr>
      </w:r>
      <w:r w:rsidRPr="003E2891">
        <w:rPr>
          <w:rStyle w:val="af7"/>
          <w:rFonts w:eastAsia="Guttman Hodes"/>
          <w:rtl/>
        </w:rPr>
        <w:fldChar w:fldCharType="separate"/>
      </w:r>
      <w:r w:rsidR="00345400">
        <w:rPr>
          <w:rStyle w:val="af7"/>
          <w:rFonts w:eastAsia="Guttman Hodes"/>
          <w:cs/>
        </w:rPr>
        <w:t>‎</w:t>
      </w:r>
      <w:r w:rsidR="00345400">
        <w:rPr>
          <w:rStyle w:val="af7"/>
          <w:rFonts w:eastAsia="Guttman Hodes"/>
          <w:rtl/>
        </w:rPr>
        <w:t>פה)</w:t>
      </w:r>
      <w:r w:rsidRPr="003E2891">
        <w:rPr>
          <w:rStyle w:val="af7"/>
          <w:rFonts w:eastAsia="Guttman Hodes"/>
          <w:rtl/>
        </w:rPr>
        <w:fldChar w:fldCharType="end"/>
      </w:r>
      <w:r>
        <w:rPr>
          <w:rFonts w:hint="cs"/>
          <w:rtl/>
        </w:rPr>
        <w:t xml:space="preserve"> </w:t>
      </w:r>
      <w:r>
        <w:rPr>
          <w:rStyle w:val="af9"/>
          <w:rFonts w:hint="cs"/>
          <w:rtl/>
        </w:rPr>
        <w:t>ו</w:t>
      </w:r>
      <w:r w:rsidRPr="003E2891">
        <w:rPr>
          <w:rStyle w:val="af9"/>
          <w:rFonts w:hint="cs"/>
          <w:rtl/>
        </w:rPr>
        <w:t>המאירי</w:t>
      </w:r>
      <w:r>
        <w:rPr>
          <w:rFonts w:hint="cs"/>
          <w:rtl/>
        </w:rPr>
        <w:t xml:space="preserve"> </w:t>
      </w:r>
      <w:r w:rsidRPr="00F06F94">
        <w:rPr>
          <w:rStyle w:val="af7"/>
          <w:rFonts w:eastAsia="Guttman Hodes" w:hint="cs"/>
          <w:rtl/>
        </w:rPr>
        <w:t xml:space="preserve">(עי' אות </w:t>
      </w:r>
      <w:r w:rsidRPr="00F06F94">
        <w:rPr>
          <w:rStyle w:val="af7"/>
          <w:rFonts w:eastAsia="Guttman Hodes"/>
          <w:rtl/>
        </w:rPr>
        <w:fldChar w:fldCharType="begin"/>
      </w:r>
      <w:r w:rsidRPr="00F06F94">
        <w:rPr>
          <w:rStyle w:val="af7"/>
          <w:rFonts w:eastAsia="Guttman Hodes"/>
          <w:rtl/>
        </w:rPr>
        <w:instrText xml:space="preserve"> </w:instrText>
      </w:r>
      <w:r w:rsidRPr="00F06F94">
        <w:rPr>
          <w:rStyle w:val="af7"/>
          <w:rFonts w:eastAsia="Guttman Hodes" w:hint="cs"/>
        </w:rPr>
        <w:instrText>REF</w:instrText>
      </w:r>
      <w:r w:rsidRPr="00F06F94">
        <w:rPr>
          <w:rStyle w:val="af7"/>
          <w:rFonts w:eastAsia="Guttman Hodes" w:hint="cs"/>
          <w:rtl/>
        </w:rPr>
        <w:instrText xml:space="preserve"> _</w:instrText>
      </w:r>
      <w:r w:rsidRPr="00F06F94">
        <w:rPr>
          <w:rStyle w:val="af7"/>
          <w:rFonts w:eastAsia="Guttman Hodes" w:hint="cs"/>
        </w:rPr>
        <w:instrText>Ref523245694 \r \h</w:instrText>
      </w:r>
      <w:r w:rsidRPr="00F06F94">
        <w:rPr>
          <w:rStyle w:val="af7"/>
          <w:rFonts w:eastAsia="Guttman Hodes"/>
          <w:rtl/>
        </w:rPr>
        <w:instrText xml:space="preserve"> </w:instrText>
      </w:r>
      <w:r w:rsidRPr="00F06F94">
        <w:rPr>
          <w:rStyle w:val="af7"/>
          <w:rFonts w:eastAsia="Guttman Hodes"/>
          <w:rtl/>
        </w:rPr>
      </w:r>
      <w:r w:rsidRPr="00F06F94">
        <w:rPr>
          <w:rStyle w:val="af7"/>
          <w:rFonts w:eastAsia="Guttman Hodes"/>
          <w:rtl/>
        </w:rPr>
        <w:fldChar w:fldCharType="separate"/>
      </w:r>
      <w:r w:rsidR="00345400">
        <w:rPr>
          <w:rStyle w:val="af7"/>
          <w:rFonts w:eastAsia="Guttman Hodes"/>
          <w:cs/>
        </w:rPr>
        <w:t>‎</w:t>
      </w:r>
      <w:r w:rsidR="00345400">
        <w:rPr>
          <w:rStyle w:val="af7"/>
          <w:rFonts w:eastAsia="Guttman Hodes"/>
          <w:rtl/>
        </w:rPr>
        <w:t>יא)</w:t>
      </w:r>
      <w:r w:rsidRPr="00F06F94">
        <w:rPr>
          <w:rStyle w:val="af7"/>
          <w:rFonts w:eastAsia="Guttman Hodes"/>
          <w:rtl/>
        </w:rPr>
        <w:fldChar w:fldCharType="end"/>
      </w:r>
      <w:r>
        <w:rPr>
          <w:rFonts w:hint="cs"/>
          <w:rtl/>
        </w:rPr>
        <w:t xml:space="preserve">. </w:t>
      </w:r>
    </w:p>
    <w:p w14:paraId="31B021F6" w14:textId="77777777" w:rsidR="00FC47D4" w:rsidRDefault="00FC47D4" w:rsidP="00BF39B2">
      <w:pPr>
        <w:pStyle w:val="1"/>
        <w:rPr>
          <w:rtl/>
        </w:rPr>
      </w:pPr>
      <w:bookmarkStart w:id="4324" w:name="_Toc526409513"/>
      <w:bookmarkStart w:id="4325" w:name="_Toc526939169"/>
      <w:bookmarkStart w:id="4326" w:name="_Toc527060305"/>
      <w:bookmarkStart w:id="4327" w:name="_Toc527060453"/>
      <w:bookmarkStart w:id="4328" w:name="_Toc527100830"/>
      <w:bookmarkStart w:id="4329" w:name="_Toc528227086"/>
      <w:bookmarkStart w:id="4330" w:name="_Toc528227250"/>
      <w:bookmarkStart w:id="4331" w:name="_Toc528227412"/>
      <w:bookmarkStart w:id="4332" w:name="_Toc19389495"/>
      <w:bookmarkStart w:id="4333" w:name="_Toc19392992"/>
      <w:r>
        <w:rPr>
          <w:rFonts w:hint="cs"/>
          <w:rtl/>
        </w:rPr>
        <w:t>דעת הרא"ה דדדוקא לדעת רב חסדא א"צ לבדוק אף לכתחילה</w:t>
      </w:r>
      <w:bookmarkEnd w:id="4324"/>
      <w:bookmarkEnd w:id="4325"/>
      <w:bookmarkEnd w:id="4326"/>
      <w:bookmarkEnd w:id="4327"/>
      <w:bookmarkEnd w:id="4328"/>
      <w:bookmarkEnd w:id="4329"/>
      <w:bookmarkEnd w:id="4330"/>
      <w:bookmarkEnd w:id="4331"/>
      <w:bookmarkEnd w:id="4332"/>
      <w:bookmarkEnd w:id="4333"/>
    </w:p>
    <w:p w14:paraId="4D139F00" w14:textId="77777777" w:rsidR="00FC47D4" w:rsidRPr="00936CC8" w:rsidRDefault="00FC47D4" w:rsidP="006D6D32">
      <w:pPr>
        <w:pStyle w:val="a3"/>
      </w:pPr>
      <w:bookmarkStart w:id="4334" w:name="_Toc526409514"/>
      <w:bookmarkStart w:id="4335" w:name="_Toc526939170"/>
      <w:bookmarkStart w:id="4336" w:name="_Toc527060306"/>
      <w:bookmarkStart w:id="4337" w:name="_Toc527060454"/>
      <w:bookmarkStart w:id="4338" w:name="_Toc527100831"/>
      <w:bookmarkStart w:id="4339" w:name="_Toc528227087"/>
      <w:bookmarkStart w:id="4340" w:name="_Toc528227251"/>
      <w:bookmarkStart w:id="4341" w:name="_Toc528227413"/>
      <w:bookmarkStart w:id="4342" w:name="_Toc19389496"/>
      <w:bookmarkStart w:id="4343" w:name="_Toc19392993"/>
      <w:r w:rsidRPr="00936CC8">
        <w:rPr>
          <w:rFonts w:hint="cs"/>
          <w:rtl/>
        </w:rPr>
        <w:t>דברי הרא"ה דלהלכה א"צ בדיקה אחר השחיטה כדמוכח מדקיי"ל דמותר בשיבר בה עצמות</w:t>
      </w:r>
      <w:bookmarkEnd w:id="4313"/>
      <w:bookmarkEnd w:id="4334"/>
      <w:bookmarkEnd w:id="4335"/>
      <w:bookmarkEnd w:id="4336"/>
      <w:bookmarkEnd w:id="4337"/>
      <w:bookmarkEnd w:id="4338"/>
      <w:bookmarkEnd w:id="4339"/>
      <w:bookmarkEnd w:id="4340"/>
      <w:bookmarkEnd w:id="4341"/>
      <w:bookmarkEnd w:id="4342"/>
      <w:bookmarkEnd w:id="4343"/>
    </w:p>
    <w:p w14:paraId="04C7AB87" w14:textId="77777777" w:rsidR="00FC47D4" w:rsidRPr="00936CC8" w:rsidRDefault="00FC47D4" w:rsidP="00223668">
      <w:pPr>
        <w:pStyle w:val="a0"/>
        <w:rPr>
          <w:rtl/>
        </w:rPr>
      </w:pPr>
      <w:r>
        <w:rPr>
          <w:rStyle w:val="af9"/>
          <w:rFonts w:hint="cs"/>
          <w:rtl/>
        </w:rPr>
        <w:t>ו</w:t>
      </w:r>
      <w:r w:rsidRPr="00936CC8">
        <w:rPr>
          <w:rStyle w:val="af9"/>
          <w:rFonts w:hint="cs"/>
          <w:rtl/>
        </w:rPr>
        <w:t xml:space="preserve">הרא"ה בחי' </w:t>
      </w:r>
      <w:r w:rsidRPr="00936CC8">
        <w:rPr>
          <w:rStyle w:val="af7"/>
          <w:rFonts w:eastAsia="Guttman Hodes" w:hint="cs"/>
          <w:rtl/>
        </w:rPr>
        <w:t xml:space="preserve">(ד"ה איתמר) </w:t>
      </w:r>
      <w:r w:rsidRPr="00936CC8">
        <w:rPr>
          <w:rStyle w:val="af9"/>
          <w:rFonts w:hint="cs"/>
          <w:rtl/>
        </w:rPr>
        <w:t>ובבד"ה</w:t>
      </w:r>
      <w:r w:rsidRPr="00936CC8">
        <w:rPr>
          <w:rFonts w:hint="cs"/>
          <w:rtl/>
        </w:rPr>
        <w:t xml:space="preserve"> </w:t>
      </w:r>
      <w:r w:rsidRPr="00936CC8">
        <w:rPr>
          <w:rStyle w:val="af7"/>
          <w:rFonts w:eastAsia="Guttman Hodes" w:hint="cs"/>
          <w:rtl/>
        </w:rPr>
        <w:t>(ב</w:t>
      </w:r>
      <w:r w:rsidRPr="00936CC8">
        <w:rPr>
          <w:rStyle w:val="af7"/>
          <w:rFonts w:eastAsia="Guttman Hodes"/>
          <w:rtl/>
        </w:rPr>
        <w:t>"</w:t>
      </w:r>
      <w:r w:rsidRPr="00936CC8">
        <w:rPr>
          <w:rStyle w:val="af7"/>
          <w:rFonts w:eastAsia="Guttman Hodes" w:hint="cs"/>
          <w:rtl/>
        </w:rPr>
        <w:t>א ריש ש</w:t>
      </w:r>
      <w:r w:rsidRPr="00936CC8">
        <w:rPr>
          <w:rStyle w:val="af7"/>
          <w:rFonts w:eastAsia="Guttman Hodes"/>
          <w:rtl/>
        </w:rPr>
        <w:t>"</w:t>
      </w:r>
      <w:r w:rsidRPr="00936CC8">
        <w:rPr>
          <w:rStyle w:val="af7"/>
          <w:rFonts w:eastAsia="Guttman Hodes" w:hint="cs"/>
          <w:rtl/>
        </w:rPr>
        <w:t>א דף ד: מדה"ס)</w:t>
      </w:r>
      <w:r w:rsidRPr="00936CC8">
        <w:rPr>
          <w:rFonts w:hint="cs"/>
          <w:rtl/>
        </w:rPr>
        <w:t xml:space="preserve"> כתב </w:t>
      </w:r>
      <w:r>
        <w:rPr>
          <w:rFonts w:hint="cs"/>
          <w:rtl/>
        </w:rPr>
        <w:t xml:space="preserve">דאף לדעת רב הונא באבד הסכין השחיטה פסולה </w:t>
      </w:r>
      <w:r w:rsidRPr="002D63A9">
        <w:rPr>
          <w:rStyle w:val="afb"/>
          <w:rFonts w:hint="cs"/>
          <w:rtl/>
        </w:rPr>
        <w:t>[</w:t>
      </w:r>
      <w:r w:rsidRPr="002D63A9">
        <w:rPr>
          <w:rStyle w:val="affa"/>
          <w:rFonts w:hint="cs"/>
          <w:rtl/>
        </w:rPr>
        <w:t>כרמב"ן</w:t>
      </w:r>
      <w:r w:rsidRPr="002D63A9">
        <w:rPr>
          <w:rStyle w:val="afb"/>
          <w:rFonts w:hint="cs"/>
          <w:rtl/>
        </w:rPr>
        <w:t xml:space="preserve"> </w:t>
      </w:r>
      <w:r w:rsidRPr="002D63A9">
        <w:rPr>
          <w:rStyle w:val="aff6"/>
          <w:rFonts w:hint="cs"/>
          <w:rtl/>
        </w:rPr>
        <w:t xml:space="preserve">(עי' אות </w:t>
      </w:r>
      <w:r w:rsidRPr="002D63A9">
        <w:rPr>
          <w:rStyle w:val="aff6"/>
          <w:rtl/>
        </w:rPr>
        <w:fldChar w:fldCharType="begin"/>
      </w:r>
      <w:r w:rsidRPr="002D63A9">
        <w:rPr>
          <w:rStyle w:val="aff6"/>
          <w:rtl/>
        </w:rPr>
        <w:instrText xml:space="preserve"> </w:instrText>
      </w:r>
      <w:r w:rsidRPr="002D63A9">
        <w:rPr>
          <w:rStyle w:val="aff6"/>
          <w:rFonts w:hint="cs"/>
        </w:rPr>
        <w:instrText>REF</w:instrText>
      </w:r>
      <w:r w:rsidRPr="002D63A9">
        <w:rPr>
          <w:rStyle w:val="aff6"/>
          <w:rFonts w:hint="cs"/>
          <w:rtl/>
        </w:rPr>
        <w:instrText xml:space="preserve"> _</w:instrText>
      </w:r>
      <w:r w:rsidRPr="002D63A9">
        <w:rPr>
          <w:rStyle w:val="aff6"/>
          <w:rFonts w:hint="cs"/>
        </w:rPr>
        <w:instrText>Ref523132416 \r \h</w:instrText>
      </w:r>
      <w:r w:rsidRPr="002D63A9">
        <w:rPr>
          <w:rStyle w:val="aff6"/>
          <w:rtl/>
        </w:rPr>
        <w:instrText xml:space="preserve"> </w:instrText>
      </w:r>
      <w:r w:rsidRPr="002D63A9">
        <w:rPr>
          <w:rStyle w:val="aff6"/>
          <w:rtl/>
        </w:rPr>
      </w:r>
      <w:r w:rsidRPr="002D63A9">
        <w:rPr>
          <w:rStyle w:val="aff6"/>
          <w:rtl/>
        </w:rPr>
        <w:fldChar w:fldCharType="separate"/>
      </w:r>
      <w:r w:rsidR="00345400">
        <w:rPr>
          <w:rStyle w:val="aff6"/>
          <w:cs/>
        </w:rPr>
        <w:t>‎</w:t>
      </w:r>
      <w:r w:rsidR="00345400">
        <w:rPr>
          <w:rStyle w:val="aff6"/>
          <w:rtl/>
        </w:rPr>
        <w:t>כא)</w:t>
      </w:r>
      <w:r w:rsidRPr="002D63A9">
        <w:rPr>
          <w:rStyle w:val="aff6"/>
          <w:rtl/>
        </w:rPr>
        <w:fldChar w:fldCharType="end"/>
      </w:r>
      <w:r w:rsidRPr="002D63A9">
        <w:rPr>
          <w:rStyle w:val="afb"/>
          <w:rFonts w:hint="cs"/>
          <w:rtl/>
        </w:rPr>
        <w:t>]</w:t>
      </w:r>
      <w:r>
        <w:rPr>
          <w:rFonts w:hint="cs"/>
          <w:rtl/>
        </w:rPr>
        <w:t xml:space="preserve">, וא"כ צריך לבדוק אחר השחיטה, מ"מ </w:t>
      </w:r>
      <w:r w:rsidRPr="00936CC8">
        <w:rPr>
          <w:rFonts w:hint="cs"/>
          <w:rtl/>
        </w:rPr>
        <w:t>להלכה דבשיבר בה עצמות קיי"ל כרב חסדא, דמעמידים את הסכין על חזקתו, ושיבר בה עצמות הוא כ</w:t>
      </w:r>
      <w:r>
        <w:rPr>
          <w:rFonts w:hint="cs"/>
          <w:rtl/>
        </w:rPr>
        <w:t>אבד</w:t>
      </w:r>
      <w:r w:rsidRPr="00936CC8">
        <w:rPr>
          <w:rFonts w:hint="cs"/>
          <w:rtl/>
        </w:rPr>
        <w:t xml:space="preserve"> הסכין בלא בדיקה, וא"כ מבואר דאף לכתחילה א"צ בדיקה, אחר השחיטה</w:t>
      </w:r>
      <w:r w:rsidRPr="002C07E8">
        <w:rPr>
          <w:rStyle w:val="afb"/>
          <w:rFonts w:hint="cs"/>
          <w:rtl/>
        </w:rPr>
        <w:t xml:space="preserve">, [ודלא </w:t>
      </w:r>
      <w:r w:rsidRPr="002C07E8">
        <w:rPr>
          <w:rStyle w:val="affa"/>
          <w:rFonts w:hint="cs"/>
          <w:rtl/>
        </w:rPr>
        <w:t xml:space="preserve">כרמב"ן </w:t>
      </w:r>
      <w:r w:rsidRPr="002C07E8">
        <w:rPr>
          <w:rStyle w:val="aff6"/>
          <w:rFonts w:hint="cs"/>
          <w:rtl/>
        </w:rPr>
        <w:t>(עי' אות</w:t>
      </w:r>
      <w:r w:rsidRPr="002C07E8">
        <w:rPr>
          <w:rStyle w:val="afb"/>
          <w:rFonts w:hint="cs"/>
          <w:rtl/>
        </w:rPr>
        <w:t xml:space="preserve"> </w:t>
      </w:r>
      <w:r w:rsidRPr="002C07E8">
        <w:rPr>
          <w:rStyle w:val="aff6"/>
          <w:rtl/>
        </w:rPr>
        <w:fldChar w:fldCharType="begin"/>
      </w:r>
      <w:r w:rsidRPr="002C07E8">
        <w:rPr>
          <w:rStyle w:val="aff6"/>
          <w:rtl/>
        </w:rPr>
        <w:instrText xml:space="preserve"> </w:instrText>
      </w:r>
      <w:r w:rsidRPr="002C07E8">
        <w:rPr>
          <w:rStyle w:val="aff6"/>
          <w:rFonts w:hint="cs"/>
        </w:rPr>
        <w:instrText>REF</w:instrText>
      </w:r>
      <w:r w:rsidRPr="002C07E8">
        <w:rPr>
          <w:rStyle w:val="aff6"/>
          <w:rFonts w:hint="cs"/>
          <w:rtl/>
        </w:rPr>
        <w:instrText xml:space="preserve"> _</w:instrText>
      </w:r>
      <w:r w:rsidRPr="002C07E8">
        <w:rPr>
          <w:rStyle w:val="aff6"/>
          <w:rFonts w:hint="cs"/>
        </w:rPr>
        <w:instrText>Ref526408992 \r \h</w:instrText>
      </w:r>
      <w:r w:rsidRPr="002C07E8">
        <w:rPr>
          <w:rStyle w:val="aff6"/>
          <w:rtl/>
        </w:rPr>
        <w:instrText xml:space="preserve"> </w:instrText>
      </w:r>
      <w:r w:rsidRPr="002C07E8">
        <w:rPr>
          <w:rStyle w:val="aff6"/>
          <w:rtl/>
        </w:rPr>
      </w:r>
      <w:r w:rsidRPr="002C07E8">
        <w:rPr>
          <w:rStyle w:val="aff6"/>
          <w:rtl/>
        </w:rPr>
        <w:fldChar w:fldCharType="separate"/>
      </w:r>
      <w:r w:rsidR="00345400">
        <w:rPr>
          <w:rStyle w:val="aff6"/>
          <w:cs/>
        </w:rPr>
        <w:t>‎</w:t>
      </w:r>
      <w:r w:rsidR="00345400">
        <w:rPr>
          <w:rStyle w:val="aff6"/>
          <w:rtl/>
        </w:rPr>
        <w:t>עה)</w:t>
      </w:r>
      <w:r w:rsidRPr="002C07E8">
        <w:rPr>
          <w:rStyle w:val="aff6"/>
          <w:rtl/>
        </w:rPr>
        <w:fldChar w:fldCharType="end"/>
      </w:r>
      <w:r w:rsidRPr="002C07E8">
        <w:rPr>
          <w:rStyle w:val="aff6"/>
          <w:rFonts w:hint="cs"/>
          <w:rtl/>
        </w:rPr>
        <w:t>].</w:t>
      </w:r>
    </w:p>
    <w:p w14:paraId="7B0C1C6D" w14:textId="77777777" w:rsidR="00FC47D4" w:rsidRPr="00936CC8" w:rsidRDefault="00FC47D4" w:rsidP="006D6D32">
      <w:pPr>
        <w:pStyle w:val="a3"/>
        <w:rPr>
          <w:rtl/>
        </w:rPr>
      </w:pPr>
      <w:bookmarkStart w:id="4344" w:name="_Toc526248967"/>
      <w:bookmarkStart w:id="4345" w:name="_Toc526409515"/>
      <w:bookmarkStart w:id="4346" w:name="_Toc526939171"/>
      <w:bookmarkStart w:id="4347" w:name="_Toc527060307"/>
      <w:bookmarkStart w:id="4348" w:name="_Toc527060455"/>
      <w:bookmarkStart w:id="4349" w:name="_Toc527100832"/>
      <w:bookmarkStart w:id="4350" w:name="_Toc528227088"/>
      <w:bookmarkStart w:id="4351" w:name="_Toc528227252"/>
      <w:bookmarkStart w:id="4352" w:name="_Toc528227414"/>
      <w:bookmarkStart w:id="4353" w:name="_Toc19389497"/>
      <w:bookmarkStart w:id="4354" w:name="_Toc19392994"/>
      <w:r w:rsidRPr="00936CC8">
        <w:rPr>
          <w:rFonts w:hint="cs"/>
          <w:rtl/>
        </w:rPr>
        <w:t>דברי הרשב"א דאף  לרב חסדא צריך בדיקה כשהסכין לפנינו</w:t>
      </w:r>
      <w:bookmarkEnd w:id="4344"/>
      <w:bookmarkEnd w:id="4345"/>
      <w:bookmarkEnd w:id="4346"/>
      <w:bookmarkEnd w:id="4347"/>
      <w:bookmarkEnd w:id="4348"/>
      <w:bookmarkEnd w:id="4349"/>
      <w:bookmarkEnd w:id="4350"/>
      <w:bookmarkEnd w:id="4351"/>
      <w:bookmarkEnd w:id="4352"/>
      <w:bookmarkEnd w:id="4353"/>
      <w:bookmarkEnd w:id="4354"/>
    </w:p>
    <w:p w14:paraId="1AAB7F41" w14:textId="77777777" w:rsidR="00FC47D4" w:rsidRPr="0013656B" w:rsidRDefault="00FC47D4" w:rsidP="00223668">
      <w:pPr>
        <w:pStyle w:val="a0"/>
        <w:rPr>
          <w:rtl/>
        </w:rPr>
        <w:sectPr w:rsidR="00FC47D4" w:rsidRPr="0013656B" w:rsidSect="00A918C8">
          <w:type w:val="continuous"/>
          <w:pgSz w:w="11906" w:h="16838"/>
          <w:pgMar w:top="720" w:right="720" w:bottom="720" w:left="720" w:header="283" w:footer="283" w:gutter="0"/>
          <w:cols w:num="2" w:space="567"/>
          <w:bidi/>
          <w:rtlGutter/>
          <w:docGrid w:linePitch="299"/>
        </w:sectPr>
      </w:pPr>
      <w:r w:rsidRPr="00936CC8">
        <w:rPr>
          <w:rStyle w:val="af9"/>
          <w:rFonts w:hint="cs"/>
          <w:rtl/>
        </w:rPr>
        <w:t>והרשב"א במשה"ב</w:t>
      </w:r>
      <w:r w:rsidRPr="00936CC8">
        <w:rPr>
          <w:rFonts w:hint="cs"/>
          <w:rtl/>
        </w:rPr>
        <w:t xml:space="preserve"> </w:t>
      </w:r>
      <w:r w:rsidRPr="00936CC8">
        <w:rPr>
          <w:rStyle w:val="af7"/>
          <w:rFonts w:eastAsia="Guttman Hodes" w:hint="cs"/>
          <w:rtl/>
        </w:rPr>
        <w:t>(ב</w:t>
      </w:r>
      <w:r w:rsidRPr="00936CC8">
        <w:rPr>
          <w:rStyle w:val="af7"/>
          <w:rFonts w:eastAsia="Guttman Hodes"/>
          <w:rtl/>
        </w:rPr>
        <w:t>"</w:t>
      </w:r>
      <w:r w:rsidRPr="00936CC8">
        <w:rPr>
          <w:rStyle w:val="af7"/>
          <w:rFonts w:eastAsia="Guttman Hodes" w:hint="cs"/>
          <w:rtl/>
        </w:rPr>
        <w:t>א ש</w:t>
      </w:r>
      <w:r w:rsidRPr="00936CC8">
        <w:rPr>
          <w:rStyle w:val="af7"/>
          <w:rFonts w:eastAsia="Guttman Hodes"/>
          <w:rtl/>
        </w:rPr>
        <w:t>"</w:t>
      </w:r>
      <w:r w:rsidRPr="00936CC8">
        <w:rPr>
          <w:rStyle w:val="af7"/>
          <w:rFonts w:eastAsia="Guttman Hodes" w:hint="cs"/>
          <w:rtl/>
        </w:rPr>
        <w:t>א ד</w:t>
      </w:r>
      <w:r>
        <w:rPr>
          <w:rStyle w:val="af7"/>
          <w:rFonts w:eastAsia="Guttman Hodes" w:hint="cs"/>
          <w:rtl/>
        </w:rPr>
        <w:t xml:space="preserve">: </w:t>
      </w:r>
      <w:r w:rsidRPr="00936CC8">
        <w:rPr>
          <w:rStyle w:val="af7"/>
          <w:rFonts w:eastAsia="Guttman Hodes" w:hint="cs"/>
          <w:rtl/>
        </w:rPr>
        <w:t>מדה"ס בסוף הדיבור)</w:t>
      </w:r>
      <w:r w:rsidRPr="00936CC8">
        <w:rPr>
          <w:rFonts w:hint="cs"/>
          <w:rtl/>
        </w:rPr>
        <w:t xml:space="preserve"> דחה את דברי </w:t>
      </w:r>
      <w:r w:rsidRPr="00936CC8">
        <w:rPr>
          <w:rStyle w:val="af9"/>
          <w:rFonts w:hint="cs"/>
          <w:rtl/>
        </w:rPr>
        <w:t>הרא"ה בבד"ה</w:t>
      </w:r>
      <w:r w:rsidRPr="00936CC8">
        <w:rPr>
          <w:rFonts w:hint="cs"/>
          <w:rtl/>
        </w:rPr>
        <w:t xml:space="preserve"> וכתב דבמקום שהסכין לפנינו ודאי דצריך לבדוק, כמו דבריאה צריך לבדוק לכתחיל</w:t>
      </w:r>
      <w:r>
        <w:rPr>
          <w:rFonts w:hint="cs"/>
          <w:rtl/>
        </w:rPr>
        <w:t>ה, ובנטל זאב שאינה לפנינו כשרה.</w:t>
      </w:r>
    </w:p>
    <w:p w14:paraId="403DAB9E" w14:textId="77777777" w:rsidR="00FC47D4" w:rsidRDefault="00FC47D4" w:rsidP="00223668">
      <w:pPr>
        <w:pStyle w:val="a0"/>
        <w:numPr>
          <w:ilvl w:val="0"/>
          <w:numId w:val="0"/>
        </w:numPr>
        <w:sectPr w:rsidR="00FC47D4" w:rsidSect="00FC47D4">
          <w:type w:val="continuous"/>
          <w:pgSz w:w="11906" w:h="16838"/>
          <w:pgMar w:top="720" w:right="720" w:bottom="720" w:left="720" w:header="283" w:footer="283" w:gutter="0"/>
          <w:cols w:space="567"/>
          <w:bidi/>
          <w:rtlGutter/>
          <w:docGrid w:linePitch="299"/>
        </w:sectPr>
      </w:pPr>
    </w:p>
    <w:p w14:paraId="18ED9F6C" w14:textId="77777777" w:rsidR="00347B2D" w:rsidRDefault="00347B2D" w:rsidP="00223668">
      <w:pPr>
        <w:pStyle w:val="a0"/>
        <w:numPr>
          <w:ilvl w:val="0"/>
          <w:numId w:val="0"/>
        </w:numPr>
        <w:sectPr w:rsidR="00347B2D" w:rsidSect="00834C78">
          <w:type w:val="continuous"/>
          <w:pgSz w:w="11906" w:h="16838"/>
          <w:pgMar w:top="720" w:right="720" w:bottom="720" w:left="720" w:header="283" w:footer="283" w:gutter="0"/>
          <w:cols w:space="567"/>
          <w:bidi/>
          <w:rtlGutter/>
          <w:docGrid w:linePitch="299"/>
        </w:sectPr>
      </w:pPr>
    </w:p>
    <w:p w14:paraId="6F09AF99" w14:textId="77777777" w:rsidR="00FC47D4" w:rsidRDefault="004B65FC" w:rsidP="00223668">
      <w:pPr>
        <w:pStyle w:val="a0"/>
        <w:numPr>
          <w:ilvl w:val="0"/>
          <w:numId w:val="0"/>
        </w:numPr>
      </w:pPr>
      <w:r>
        <w:pict w14:anchorId="268FF1E3">
          <v:shape id="_x0000_i1029" type="#_x0000_t75" style="width:409.4pt;height:4.45pt" o:hrpct="0" o:hralign="center" o:hr="t">
            <v:imagedata r:id="rId21" o:title="BD14845_"/>
          </v:shape>
        </w:pict>
      </w:r>
    </w:p>
    <w:p w14:paraId="61A277B7" w14:textId="77777777" w:rsidR="00FC47D4" w:rsidRDefault="00FC47D4" w:rsidP="00FC47D4">
      <w:pPr>
        <w:keepNext/>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hint="cs"/>
          <w:noProof/>
          <w:sz w:val="18"/>
          <w:szCs w:val="18"/>
          <w:rtl/>
        </w:rPr>
        <w:t xml:space="preserve"> </w:t>
      </w:r>
    </w:p>
    <w:p w14:paraId="30D7A07E" w14:textId="77777777" w:rsidR="00FC47D4" w:rsidRDefault="00FC47D4" w:rsidP="006D6D32">
      <w:pPr>
        <w:pStyle w:val="afe"/>
        <w:rPr>
          <w:rtl/>
        </w:rPr>
      </w:pPr>
      <w:bookmarkStart w:id="4355" w:name="_Toc523397239"/>
      <w:bookmarkStart w:id="4356" w:name="_Toc523490370"/>
      <w:bookmarkStart w:id="4357" w:name="_Toc523697993"/>
      <w:bookmarkStart w:id="4358" w:name="_Toc523735747"/>
      <w:bookmarkStart w:id="4359" w:name="_Toc526249003"/>
      <w:bookmarkStart w:id="4360" w:name="_Toc526409523"/>
      <w:bookmarkStart w:id="4361" w:name="_Toc526939179"/>
      <w:bookmarkStart w:id="4362" w:name="_Toc527060315"/>
      <w:bookmarkStart w:id="4363" w:name="_Toc527060463"/>
      <w:bookmarkStart w:id="4364" w:name="_Toc527100840"/>
      <w:bookmarkStart w:id="4365" w:name="_Toc528227096"/>
      <w:bookmarkStart w:id="4366" w:name="_Toc528227260"/>
      <w:bookmarkStart w:id="4367" w:name="_Toc528227422"/>
      <w:bookmarkStart w:id="4368" w:name="_Toc19435331"/>
      <w:bookmarkStart w:id="4369" w:name="_Toc20080669"/>
      <w:r w:rsidRPr="0075165B">
        <w:rPr>
          <w:rFonts w:hint="cs"/>
          <w:rtl/>
        </w:rPr>
        <w:t>מראי מקומות וביאורים על הרמב"ם</w:t>
      </w:r>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p>
    <w:p w14:paraId="5B34C2A9" w14:textId="77777777" w:rsidR="00FC47D4" w:rsidRDefault="00FC47D4" w:rsidP="00FC47D4">
      <w:pPr>
        <w:keepNext/>
        <w:tabs>
          <w:tab w:val="left" w:pos="1163"/>
        </w:tabs>
        <w:spacing w:before="120" w:after="120" w:line="240" w:lineRule="auto"/>
        <w:ind w:left="0"/>
        <w:rPr>
          <w:rFonts w:cs="FrankRuehl"/>
          <w:sz w:val="20"/>
          <w:rtl/>
        </w:rPr>
        <w:sectPr w:rsidR="00FC47D4" w:rsidSect="00347B2D">
          <w:pgSz w:w="11906" w:h="16838"/>
          <w:pgMar w:top="720" w:right="720" w:bottom="720" w:left="720" w:header="283" w:footer="283" w:gutter="0"/>
          <w:cols w:space="567"/>
          <w:bidi/>
          <w:rtlGutter/>
          <w:docGrid w:linePitch="299"/>
        </w:sectPr>
      </w:pPr>
    </w:p>
    <w:p w14:paraId="121CB2C7" w14:textId="77777777" w:rsidR="00FC47D4" w:rsidRDefault="00FC47D4" w:rsidP="00BF39B2">
      <w:pPr>
        <w:pStyle w:val="1"/>
        <w:rPr>
          <w:rtl/>
        </w:rPr>
      </w:pPr>
      <w:bookmarkStart w:id="4370" w:name="_Toc523397240"/>
      <w:bookmarkStart w:id="4371" w:name="_Toc523490371"/>
      <w:bookmarkStart w:id="4372" w:name="_Toc523697994"/>
      <w:bookmarkStart w:id="4373" w:name="_Toc523735748"/>
      <w:bookmarkStart w:id="4374" w:name="_Toc526249004"/>
      <w:bookmarkStart w:id="4375" w:name="_Toc526409524"/>
      <w:bookmarkStart w:id="4376" w:name="_Toc526939180"/>
      <w:bookmarkStart w:id="4377" w:name="_Toc527060316"/>
      <w:bookmarkStart w:id="4378" w:name="_Toc527060464"/>
      <w:bookmarkStart w:id="4379" w:name="_Toc527100841"/>
      <w:bookmarkStart w:id="4380" w:name="_Toc528227097"/>
      <w:bookmarkStart w:id="4381" w:name="_Toc528227261"/>
      <w:bookmarkStart w:id="4382" w:name="_Toc528227423"/>
      <w:bookmarkStart w:id="4383" w:name="_Toc19389498"/>
      <w:bookmarkStart w:id="4384" w:name="_Toc19392995"/>
      <w:r>
        <w:rPr>
          <w:rFonts w:hint="cs"/>
          <w:rtl/>
        </w:rPr>
        <w:t>פלוגתת הרמב"ם והראב"ד בבדיקה אחר השחיטה</w:t>
      </w:r>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p>
    <w:p w14:paraId="7203268D" w14:textId="77777777" w:rsidR="00FC47D4" w:rsidRDefault="00FC47D4" w:rsidP="006D6D32">
      <w:pPr>
        <w:pStyle w:val="a3"/>
        <w:rPr>
          <w:rtl/>
        </w:rPr>
      </w:pPr>
      <w:bookmarkStart w:id="4385" w:name="_Toc523735749"/>
      <w:bookmarkStart w:id="4386" w:name="_Toc526249005"/>
      <w:bookmarkStart w:id="4387" w:name="_Toc526409525"/>
      <w:bookmarkStart w:id="4388" w:name="_Toc526939181"/>
      <w:bookmarkStart w:id="4389" w:name="_Toc527060317"/>
      <w:bookmarkStart w:id="4390" w:name="_Toc527060465"/>
      <w:bookmarkStart w:id="4391" w:name="_Toc527100842"/>
      <w:bookmarkStart w:id="4392" w:name="_Toc528227098"/>
      <w:bookmarkStart w:id="4393" w:name="_Toc528227262"/>
      <w:bookmarkStart w:id="4394" w:name="_Toc528227424"/>
      <w:bookmarkStart w:id="4395" w:name="_Toc19389499"/>
      <w:bookmarkStart w:id="4396" w:name="_Toc19392996"/>
      <w:r>
        <w:rPr>
          <w:rFonts w:hint="cs"/>
          <w:rtl/>
        </w:rPr>
        <w:t>דברי הרמב"ם שצריך לבדוק אחר השחיטה ובפגום הוי ספק נבילה</w:t>
      </w:r>
      <w:bookmarkEnd w:id="4385"/>
      <w:bookmarkEnd w:id="4386"/>
      <w:bookmarkEnd w:id="4387"/>
      <w:bookmarkEnd w:id="4388"/>
      <w:bookmarkEnd w:id="4389"/>
      <w:bookmarkEnd w:id="4390"/>
      <w:bookmarkEnd w:id="4391"/>
      <w:bookmarkEnd w:id="4392"/>
      <w:bookmarkEnd w:id="4393"/>
      <w:bookmarkEnd w:id="4394"/>
      <w:bookmarkEnd w:id="4395"/>
      <w:bookmarkEnd w:id="4396"/>
    </w:p>
    <w:p w14:paraId="7DEADA24" w14:textId="77777777" w:rsidR="00FC47D4" w:rsidRDefault="00FC47D4" w:rsidP="00223668">
      <w:pPr>
        <w:pStyle w:val="a0"/>
        <w:rPr>
          <w:rtl/>
        </w:rPr>
      </w:pPr>
      <w:bookmarkStart w:id="4397" w:name="_Ref523254787"/>
      <w:r>
        <w:rPr>
          <w:rFonts w:hint="cs"/>
          <w:rtl/>
        </w:rPr>
        <w:t xml:space="preserve">כתב </w:t>
      </w:r>
      <w:r w:rsidRPr="00B8543B">
        <w:rPr>
          <w:rStyle w:val="af9"/>
          <w:rFonts w:hint="cs"/>
          <w:rtl/>
        </w:rPr>
        <w:t>הרמב"ם</w:t>
      </w:r>
      <w:r>
        <w:rPr>
          <w:rFonts w:hint="cs"/>
          <w:rtl/>
        </w:rPr>
        <w:t xml:space="preserve"> </w:t>
      </w:r>
      <w:r w:rsidRPr="00B8543B">
        <w:rPr>
          <w:rStyle w:val="af7"/>
          <w:rFonts w:eastAsia="Guttman Hodes" w:hint="cs"/>
          <w:rtl/>
        </w:rPr>
        <w:t xml:space="preserve">(שחיטה א' כ"ד) </w:t>
      </w:r>
      <w:r>
        <w:rPr>
          <w:rFonts w:hint="cs"/>
          <w:rtl/>
        </w:rPr>
        <w:t xml:space="preserve">שצריך לבדוק את הסכין גם לאחר השחיטה, כיון שאם ימצא הסכין פגום לאחר השחיטה, הוי ספק נבילה, דחיישינן שמא פגם העור את הסכין, וכתב </w:t>
      </w:r>
      <w:r w:rsidRPr="00047B32">
        <w:rPr>
          <w:rStyle w:val="af9"/>
          <w:rFonts w:hint="cs"/>
          <w:rtl/>
        </w:rPr>
        <w:t>הרמב"ם</w:t>
      </w:r>
      <w:r>
        <w:rPr>
          <w:rFonts w:hint="cs"/>
          <w:rtl/>
        </w:rPr>
        <w:t xml:space="preserve"> דמשו"ה השוחט הרבה בהמות או עופות צריך לבדוק בין כל אחת ואחת, דאם לא בדק בין שחיטה לשחיטה, ובדק אחר שחיטת האחרונה, ונמצא הסכין פגום, כל מה ששחט הם ספק  נבילה, ואף הראשונה שחט, וכ"כ </w:t>
      </w:r>
      <w:r w:rsidRPr="0012625F">
        <w:rPr>
          <w:rStyle w:val="af9"/>
          <w:rFonts w:hint="cs"/>
          <w:rtl/>
        </w:rPr>
        <w:t>רש"י</w:t>
      </w:r>
      <w:r>
        <w:rPr>
          <w:rFonts w:hint="cs"/>
          <w:rtl/>
        </w:rPr>
        <w:t xml:space="preserve"> </w:t>
      </w:r>
      <w:r w:rsidRPr="0012625F">
        <w:rPr>
          <w:rStyle w:val="af7"/>
          <w:rFonts w:eastAsia="Guttman Hodes" w:hint="cs"/>
          <w:rtl/>
        </w:rPr>
        <w:t xml:space="preserve">(עי' אות </w:t>
      </w:r>
      <w:r w:rsidRPr="0012625F">
        <w:rPr>
          <w:rStyle w:val="af7"/>
          <w:rFonts w:eastAsia="Guttman Hodes"/>
          <w:rtl/>
        </w:rPr>
        <w:fldChar w:fldCharType="begin"/>
      </w:r>
      <w:r w:rsidRPr="0012625F">
        <w:rPr>
          <w:rStyle w:val="af7"/>
          <w:rFonts w:eastAsia="Guttman Hodes"/>
          <w:rtl/>
        </w:rPr>
        <w:instrText xml:space="preserve"> </w:instrText>
      </w:r>
      <w:r w:rsidRPr="0012625F">
        <w:rPr>
          <w:rStyle w:val="af7"/>
          <w:rFonts w:eastAsia="Guttman Hodes" w:hint="cs"/>
        </w:rPr>
        <w:instrText>REF</w:instrText>
      </w:r>
      <w:r w:rsidRPr="0012625F">
        <w:rPr>
          <w:rStyle w:val="af7"/>
          <w:rFonts w:eastAsia="Guttman Hodes" w:hint="cs"/>
          <w:rtl/>
        </w:rPr>
        <w:instrText xml:space="preserve"> _</w:instrText>
      </w:r>
      <w:r w:rsidRPr="0012625F">
        <w:rPr>
          <w:rStyle w:val="af7"/>
          <w:rFonts w:eastAsia="Guttman Hodes" w:hint="cs"/>
        </w:rPr>
        <w:instrText>Ref523392029 \r \h</w:instrText>
      </w:r>
      <w:r w:rsidRPr="0012625F">
        <w:rPr>
          <w:rStyle w:val="af7"/>
          <w:rFonts w:eastAsia="Guttman Hodes"/>
          <w:rtl/>
        </w:rPr>
        <w:instrText xml:space="preserve"> </w:instrText>
      </w:r>
      <w:r w:rsidRPr="0012625F">
        <w:rPr>
          <w:rStyle w:val="af7"/>
          <w:rFonts w:eastAsia="Guttman Hodes"/>
          <w:rtl/>
        </w:rPr>
      </w:r>
      <w:r w:rsidRPr="0012625F">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12625F">
        <w:rPr>
          <w:rStyle w:val="af7"/>
          <w:rFonts w:eastAsia="Guttman Hodes"/>
          <w:rtl/>
        </w:rPr>
        <w:fldChar w:fldCharType="end"/>
      </w:r>
      <w:r>
        <w:rPr>
          <w:rFonts w:hint="cs"/>
          <w:rtl/>
        </w:rPr>
        <w:t xml:space="preserve"> דצריך לבדוק אחר השחיטה.</w:t>
      </w:r>
      <w:bookmarkEnd w:id="4397"/>
    </w:p>
    <w:p w14:paraId="35BF9F13" w14:textId="77777777" w:rsidR="00FC47D4" w:rsidRDefault="00FC47D4" w:rsidP="006D6D32">
      <w:pPr>
        <w:pStyle w:val="a3"/>
        <w:rPr>
          <w:rtl/>
        </w:rPr>
      </w:pPr>
      <w:bookmarkStart w:id="4398" w:name="_Toc523735750"/>
      <w:bookmarkStart w:id="4399" w:name="_Toc526249006"/>
      <w:bookmarkStart w:id="4400" w:name="_Toc526409526"/>
      <w:bookmarkStart w:id="4401" w:name="_Toc526939182"/>
      <w:bookmarkStart w:id="4402" w:name="_Toc527060318"/>
      <w:bookmarkStart w:id="4403" w:name="_Toc527060466"/>
      <w:bookmarkStart w:id="4404" w:name="_Toc527100843"/>
      <w:bookmarkStart w:id="4405" w:name="_Toc528227099"/>
      <w:bookmarkStart w:id="4406" w:name="_Toc528227263"/>
      <w:bookmarkStart w:id="4407" w:name="_Toc528227425"/>
      <w:bookmarkStart w:id="4408" w:name="_Toc19389500"/>
      <w:bookmarkStart w:id="4409" w:name="_Toc19392997"/>
      <w:r>
        <w:rPr>
          <w:rFonts w:hint="cs"/>
          <w:rtl/>
        </w:rPr>
        <w:t>דברי הראב"ד דמדינא א"צ לבדוק אחר שחיטה אחת</w:t>
      </w:r>
      <w:bookmarkEnd w:id="4398"/>
      <w:bookmarkEnd w:id="4399"/>
      <w:bookmarkEnd w:id="4400"/>
      <w:bookmarkEnd w:id="4401"/>
      <w:bookmarkEnd w:id="4402"/>
      <w:bookmarkEnd w:id="4403"/>
      <w:bookmarkEnd w:id="4404"/>
      <w:bookmarkEnd w:id="4405"/>
      <w:bookmarkEnd w:id="4406"/>
      <w:bookmarkEnd w:id="4407"/>
      <w:bookmarkEnd w:id="4408"/>
      <w:bookmarkEnd w:id="4409"/>
    </w:p>
    <w:p w14:paraId="13466975" w14:textId="77777777" w:rsidR="00FC47D4" w:rsidRDefault="00FC47D4" w:rsidP="00223668">
      <w:pPr>
        <w:pStyle w:val="a0"/>
        <w:rPr>
          <w:rtl/>
        </w:rPr>
      </w:pPr>
      <w:bookmarkStart w:id="4410" w:name="_Ref523254824"/>
      <w:r>
        <w:rPr>
          <w:rFonts w:hint="cs"/>
          <w:rtl/>
        </w:rPr>
        <w:t xml:space="preserve">והשיג עליו </w:t>
      </w:r>
      <w:r w:rsidRPr="00B8543B">
        <w:rPr>
          <w:rStyle w:val="af9"/>
          <w:rFonts w:hint="cs"/>
          <w:rtl/>
        </w:rPr>
        <w:t>הראב"ד</w:t>
      </w:r>
      <w:r>
        <w:rPr>
          <w:rStyle w:val="af7"/>
          <w:rFonts w:eastAsia="Guttman Hodes" w:hint="cs"/>
          <w:rtl/>
        </w:rPr>
        <w:t xml:space="preserve"> </w:t>
      </w:r>
      <w:r w:rsidRPr="00B8543B">
        <w:rPr>
          <w:rStyle w:val="af7"/>
          <w:rFonts w:eastAsia="Guttman Hodes" w:hint="cs"/>
          <w:rtl/>
        </w:rPr>
        <w:t xml:space="preserve">(שחיטה א' כ"ד) </w:t>
      </w:r>
      <w:r>
        <w:rPr>
          <w:rFonts w:hint="cs"/>
          <w:rtl/>
        </w:rPr>
        <w:t>דמדינא א"צ לבדוק אחר השחיטה, אא"כ רוצה לשחוט עוד בהמה אחר שחיטת הראשונה.</w:t>
      </w:r>
    </w:p>
    <w:p w14:paraId="0F4860E8" w14:textId="77777777" w:rsidR="00882FB2" w:rsidRPr="00882FB2" w:rsidRDefault="00882FB2" w:rsidP="006D6D32">
      <w:pPr>
        <w:pStyle w:val="a3"/>
        <w:rPr>
          <w:rtl/>
        </w:rPr>
      </w:pPr>
    </w:p>
    <w:p w14:paraId="66BA6EFC" w14:textId="77777777" w:rsidR="00FC47D4" w:rsidRPr="001E37D9" w:rsidRDefault="00FC47D4" w:rsidP="006D6D32">
      <w:pPr>
        <w:pStyle w:val="a3"/>
      </w:pPr>
      <w:bookmarkStart w:id="4411" w:name="_Toc523735751"/>
      <w:bookmarkStart w:id="4412" w:name="_Toc526249007"/>
      <w:bookmarkStart w:id="4413" w:name="_Toc526409527"/>
      <w:bookmarkStart w:id="4414" w:name="_Toc526939183"/>
      <w:bookmarkStart w:id="4415" w:name="_Toc527060319"/>
      <w:bookmarkStart w:id="4416" w:name="_Toc527060467"/>
      <w:bookmarkStart w:id="4417" w:name="_Toc527100844"/>
      <w:bookmarkStart w:id="4418" w:name="_Toc528227100"/>
      <w:bookmarkStart w:id="4419" w:name="_Toc528227264"/>
      <w:bookmarkStart w:id="4420" w:name="_Toc528227426"/>
      <w:bookmarkStart w:id="4421" w:name="_Toc19389501"/>
      <w:bookmarkStart w:id="4422" w:name="_Toc19392998"/>
      <w:r>
        <w:rPr>
          <w:rFonts w:hint="cs"/>
          <w:rtl/>
        </w:rPr>
        <w:t>הוכחת הראב"ד מדלא אמר רב הונא שצריך לבדוק את הסכין כמו בבדיקת סימנים</w:t>
      </w:r>
      <w:bookmarkEnd w:id="4411"/>
      <w:bookmarkEnd w:id="4412"/>
      <w:bookmarkEnd w:id="4413"/>
      <w:bookmarkEnd w:id="4414"/>
      <w:bookmarkEnd w:id="4415"/>
      <w:bookmarkEnd w:id="4416"/>
      <w:bookmarkEnd w:id="4417"/>
      <w:bookmarkEnd w:id="4418"/>
      <w:bookmarkEnd w:id="4419"/>
      <w:bookmarkEnd w:id="4420"/>
      <w:bookmarkEnd w:id="4421"/>
      <w:bookmarkEnd w:id="4422"/>
    </w:p>
    <w:p w14:paraId="1940970F" w14:textId="77777777" w:rsidR="00FC47D4" w:rsidRDefault="00FC47D4" w:rsidP="00223668">
      <w:pPr>
        <w:pStyle w:val="a0"/>
        <w:rPr>
          <w:rtl/>
        </w:rPr>
      </w:pPr>
      <w:r>
        <w:rPr>
          <w:rFonts w:hint="cs"/>
          <w:rtl/>
        </w:rPr>
        <w:t xml:space="preserve">וכתב </w:t>
      </w:r>
      <w:r w:rsidRPr="000131CE">
        <w:rPr>
          <w:rStyle w:val="af9"/>
          <w:rFonts w:hint="cs"/>
          <w:rtl/>
        </w:rPr>
        <w:t>הראב"ד</w:t>
      </w:r>
      <w:r>
        <w:rPr>
          <w:rFonts w:hint="cs"/>
          <w:rtl/>
        </w:rPr>
        <w:t xml:space="preserve"> דכן מוכח מהא דאמר רב הונא שאם שחט ונמצא פגום השחיטה פסולה, ולא אמר דצריך לבדוק אחר השחיטה, ואילו לדעת </w:t>
      </w:r>
      <w:r w:rsidRPr="00943DAF">
        <w:rPr>
          <w:rStyle w:val="af9"/>
          <w:rFonts w:hint="cs"/>
          <w:rtl/>
        </w:rPr>
        <w:t xml:space="preserve">הרמב"ם </w:t>
      </w:r>
      <w:r>
        <w:rPr>
          <w:rFonts w:hint="cs"/>
          <w:rtl/>
        </w:rPr>
        <w:t xml:space="preserve">היה לגמ' לומר דצריך לבדוק אחר השחיטה, כמו שאמר רב </w:t>
      </w:r>
      <w:r w:rsidRPr="00B8543B">
        <w:rPr>
          <w:rStyle w:val="af7"/>
          <w:rFonts w:eastAsia="Guttman Hodes" w:hint="cs"/>
          <w:rtl/>
        </w:rPr>
        <w:t xml:space="preserve">(ט.) </w:t>
      </w:r>
      <w:r>
        <w:rPr>
          <w:rFonts w:hint="cs"/>
          <w:rtl/>
        </w:rPr>
        <w:t>דהשוחט צריך לבדוק בסימנים.</w:t>
      </w:r>
      <w:bookmarkEnd w:id="4410"/>
    </w:p>
    <w:p w14:paraId="5DEFE84C" w14:textId="77777777" w:rsidR="00FC47D4" w:rsidRDefault="00FC47D4" w:rsidP="006D6D32">
      <w:pPr>
        <w:pStyle w:val="a3"/>
        <w:rPr>
          <w:rtl/>
        </w:rPr>
      </w:pPr>
      <w:bookmarkStart w:id="4423" w:name="_Toc523735752"/>
      <w:bookmarkStart w:id="4424" w:name="_Toc526249008"/>
      <w:bookmarkStart w:id="4425" w:name="_Toc526409528"/>
      <w:bookmarkStart w:id="4426" w:name="_Toc526939184"/>
      <w:bookmarkStart w:id="4427" w:name="_Toc527060320"/>
      <w:bookmarkStart w:id="4428" w:name="_Toc527060468"/>
      <w:bookmarkStart w:id="4429" w:name="_Toc527100845"/>
      <w:bookmarkStart w:id="4430" w:name="_Toc528227101"/>
      <w:bookmarkStart w:id="4431" w:name="_Toc528227265"/>
      <w:bookmarkStart w:id="4432" w:name="_Toc528227427"/>
      <w:bookmarkStart w:id="4433" w:name="_Toc19389502"/>
      <w:bookmarkStart w:id="4434" w:name="_Toc19392999"/>
      <w:r>
        <w:rPr>
          <w:rFonts w:hint="cs"/>
          <w:rtl/>
        </w:rPr>
        <w:t>דברי הלח"מ דאין כוונת הראב"ד להקשות דהיה לרב הונא לדון בעיקר דין הבדיקה</w:t>
      </w:r>
      <w:bookmarkEnd w:id="4423"/>
      <w:bookmarkEnd w:id="4424"/>
      <w:bookmarkEnd w:id="4425"/>
      <w:bookmarkEnd w:id="4426"/>
      <w:bookmarkEnd w:id="4427"/>
      <w:bookmarkEnd w:id="4428"/>
      <w:bookmarkEnd w:id="4429"/>
      <w:bookmarkEnd w:id="4430"/>
      <w:bookmarkEnd w:id="4431"/>
      <w:bookmarkEnd w:id="4432"/>
      <w:bookmarkEnd w:id="4433"/>
      <w:bookmarkEnd w:id="4434"/>
    </w:p>
    <w:p w14:paraId="57AFA13F" w14:textId="77777777" w:rsidR="00FC47D4" w:rsidRDefault="00FC47D4" w:rsidP="00223668">
      <w:pPr>
        <w:pStyle w:val="a0"/>
      </w:pPr>
      <w:r>
        <w:rPr>
          <w:rFonts w:hint="cs"/>
          <w:rtl/>
        </w:rPr>
        <w:t xml:space="preserve">וביאר </w:t>
      </w:r>
      <w:r w:rsidRPr="00B56E4F">
        <w:rPr>
          <w:rStyle w:val="af9"/>
          <w:rFonts w:hint="cs"/>
          <w:rtl/>
        </w:rPr>
        <w:t xml:space="preserve">הלח"מ </w:t>
      </w:r>
      <w:r w:rsidRPr="00B56E4F">
        <w:rPr>
          <w:rStyle w:val="af7"/>
          <w:rFonts w:eastAsia="Guttman Hodes" w:hint="cs"/>
          <w:rtl/>
        </w:rPr>
        <w:t>(שחיטה א' כ"ד)</w:t>
      </w:r>
      <w:r>
        <w:rPr>
          <w:rFonts w:hint="cs"/>
          <w:rtl/>
        </w:rPr>
        <w:t xml:space="preserve"> דאין כוונת </w:t>
      </w:r>
      <w:r w:rsidRPr="00B56E4F">
        <w:rPr>
          <w:rStyle w:val="af9"/>
          <w:rFonts w:hint="cs"/>
          <w:rtl/>
        </w:rPr>
        <w:t>הראב"ד</w:t>
      </w:r>
      <w:r>
        <w:rPr>
          <w:rFonts w:hint="cs"/>
          <w:rtl/>
        </w:rPr>
        <w:t xml:space="preserve"> להשיג אמאי נחלקו רב הונא ורב חסדא בנמצא הסכין פגום, ולא אמרו שצריך לבדוק, דהא הם דנו בדין סכין שנמצא פגום, ולא בחיוב הבדיקה.</w:t>
      </w:r>
    </w:p>
    <w:p w14:paraId="07C9CE79" w14:textId="77777777" w:rsidR="00FC47D4" w:rsidRDefault="00FC47D4" w:rsidP="006D6D32">
      <w:pPr>
        <w:pStyle w:val="a3"/>
      </w:pPr>
      <w:bookmarkStart w:id="4435" w:name="_Toc523735753"/>
      <w:bookmarkStart w:id="4436" w:name="_Toc526249009"/>
      <w:bookmarkStart w:id="4437" w:name="_Toc526409529"/>
      <w:bookmarkStart w:id="4438" w:name="_Toc526939185"/>
      <w:bookmarkStart w:id="4439" w:name="_Toc527060321"/>
      <w:bookmarkStart w:id="4440" w:name="_Toc527060469"/>
      <w:bookmarkStart w:id="4441" w:name="_Toc527100846"/>
      <w:bookmarkStart w:id="4442" w:name="_Toc528227102"/>
      <w:bookmarkStart w:id="4443" w:name="_Toc528227266"/>
      <w:bookmarkStart w:id="4444" w:name="_Toc528227428"/>
      <w:bookmarkStart w:id="4445" w:name="_Toc19389503"/>
      <w:bookmarkStart w:id="4446" w:name="_Toc19393000"/>
      <w:r>
        <w:rPr>
          <w:rFonts w:hint="cs"/>
          <w:rtl/>
        </w:rPr>
        <w:t>ביאור הלח"מ בראב"ד דהיה לגמ' לעיל לומר שיבדוק בסכין דהוא יותר חידוש מהסימנים</w:t>
      </w:r>
      <w:bookmarkEnd w:id="4435"/>
      <w:bookmarkEnd w:id="4436"/>
      <w:bookmarkEnd w:id="4437"/>
      <w:bookmarkEnd w:id="4438"/>
      <w:bookmarkEnd w:id="4439"/>
      <w:bookmarkEnd w:id="4440"/>
      <w:bookmarkEnd w:id="4441"/>
      <w:bookmarkEnd w:id="4442"/>
      <w:bookmarkEnd w:id="4443"/>
      <w:bookmarkEnd w:id="4444"/>
      <w:bookmarkEnd w:id="4445"/>
      <w:bookmarkEnd w:id="4446"/>
    </w:p>
    <w:p w14:paraId="6402B09A" w14:textId="77777777" w:rsidR="00FC47D4" w:rsidRDefault="00FC47D4" w:rsidP="00223668">
      <w:pPr>
        <w:pStyle w:val="a0"/>
        <w:rPr>
          <w:rtl/>
        </w:rPr>
      </w:pPr>
      <w:r>
        <w:rPr>
          <w:rFonts w:hint="cs"/>
          <w:rtl/>
        </w:rPr>
        <w:t xml:space="preserve">אלא כתב </w:t>
      </w:r>
      <w:r w:rsidRPr="00047B32">
        <w:rPr>
          <w:rStyle w:val="af9"/>
          <w:rFonts w:hint="cs"/>
          <w:rtl/>
        </w:rPr>
        <w:t>הלח"מ</w:t>
      </w:r>
      <w:r>
        <w:rPr>
          <w:rFonts w:hint="cs"/>
          <w:rtl/>
        </w:rPr>
        <w:t xml:space="preserve"> דכוונת </w:t>
      </w:r>
      <w:r w:rsidRPr="00047B32">
        <w:rPr>
          <w:rStyle w:val="af9"/>
          <w:rFonts w:hint="cs"/>
          <w:rtl/>
        </w:rPr>
        <w:t xml:space="preserve">הראב"ד </w:t>
      </w:r>
      <w:r>
        <w:rPr>
          <w:rFonts w:hint="cs"/>
          <w:rtl/>
        </w:rPr>
        <w:t xml:space="preserve">להקשות על דברי רב לעיל </w:t>
      </w:r>
      <w:r w:rsidRPr="00047B32">
        <w:rPr>
          <w:rStyle w:val="af7"/>
          <w:rFonts w:eastAsia="Guttman Hodes" w:hint="cs"/>
          <w:rtl/>
        </w:rPr>
        <w:t>(ט.)</w:t>
      </w:r>
      <w:r>
        <w:rPr>
          <w:rFonts w:hint="cs"/>
          <w:rtl/>
        </w:rPr>
        <w:t xml:space="preserve"> דאמר שצריך לבדוק בסימנים, דהיה לו לומר רבותא שצריך לבדוק את הסכין, דאף שאין ריעותא בבהמה אלא בסכין מ"מ צריך לבדוק. והוסיף </w:t>
      </w:r>
      <w:r w:rsidRPr="00047B32">
        <w:rPr>
          <w:rStyle w:val="af9"/>
          <w:rFonts w:hint="cs"/>
          <w:rtl/>
        </w:rPr>
        <w:t>הלח"מ</w:t>
      </w:r>
      <w:r>
        <w:rPr>
          <w:rFonts w:hint="cs"/>
          <w:rtl/>
        </w:rPr>
        <w:t xml:space="preserve"> דעוד הוקשה </w:t>
      </w:r>
      <w:r w:rsidRPr="00047B32">
        <w:rPr>
          <w:rStyle w:val="af9"/>
          <w:rFonts w:hint="cs"/>
          <w:rtl/>
        </w:rPr>
        <w:t xml:space="preserve">לראב"ד </w:t>
      </w:r>
      <w:r>
        <w:rPr>
          <w:rFonts w:hint="cs"/>
          <w:rtl/>
        </w:rPr>
        <w:t xml:space="preserve">דמדאמר רב שאם לא בדק בסימנים פסולה, משמע שאם לא בדק את הסכין היא כשרה, ולדעת </w:t>
      </w:r>
      <w:r w:rsidRPr="005F373E">
        <w:rPr>
          <w:rStyle w:val="af9"/>
          <w:rFonts w:hint="cs"/>
          <w:rtl/>
        </w:rPr>
        <w:t>הרמב"ם</w:t>
      </w:r>
      <w:r>
        <w:rPr>
          <w:rFonts w:hint="cs"/>
          <w:rtl/>
        </w:rPr>
        <w:t xml:space="preserve"> היה לו לומר בפירוש את דין הסכין כיון שהוא כלול בדינו.</w:t>
      </w:r>
    </w:p>
    <w:p w14:paraId="563DEA12" w14:textId="77777777" w:rsidR="00FC47D4" w:rsidRDefault="00FC47D4" w:rsidP="006D6D32">
      <w:pPr>
        <w:pStyle w:val="a3"/>
        <w:rPr>
          <w:rtl/>
        </w:rPr>
      </w:pPr>
      <w:bookmarkStart w:id="4447" w:name="_Toc523735754"/>
      <w:bookmarkStart w:id="4448" w:name="_Toc526249010"/>
      <w:bookmarkStart w:id="4449" w:name="_Toc526409530"/>
      <w:bookmarkStart w:id="4450" w:name="_Toc526939186"/>
      <w:bookmarkStart w:id="4451" w:name="_Toc527060322"/>
      <w:bookmarkStart w:id="4452" w:name="_Toc527060470"/>
      <w:bookmarkStart w:id="4453" w:name="_Toc527100847"/>
      <w:bookmarkStart w:id="4454" w:name="_Toc528227103"/>
      <w:bookmarkStart w:id="4455" w:name="_Toc528227267"/>
      <w:bookmarkStart w:id="4456" w:name="_Toc528227429"/>
      <w:bookmarkStart w:id="4457" w:name="_Toc19389504"/>
      <w:bookmarkStart w:id="4458" w:name="_Toc19393001"/>
      <w:r>
        <w:rPr>
          <w:rFonts w:hint="cs"/>
          <w:rtl/>
        </w:rPr>
        <w:t>תירוץ הרדב"ז דדין בדיקת הסכין כלול בדברי רב הונא דצריך שידע במה נשחטה</w:t>
      </w:r>
      <w:bookmarkEnd w:id="4447"/>
      <w:bookmarkEnd w:id="4448"/>
      <w:bookmarkEnd w:id="4449"/>
      <w:bookmarkEnd w:id="4450"/>
      <w:bookmarkEnd w:id="4451"/>
      <w:bookmarkEnd w:id="4452"/>
      <w:bookmarkEnd w:id="4453"/>
      <w:bookmarkEnd w:id="4454"/>
      <w:bookmarkEnd w:id="4455"/>
      <w:bookmarkEnd w:id="4456"/>
      <w:bookmarkEnd w:id="4457"/>
      <w:bookmarkEnd w:id="4458"/>
    </w:p>
    <w:p w14:paraId="2049A47C" w14:textId="77777777" w:rsidR="00FC47D4" w:rsidRDefault="00FC47D4" w:rsidP="00223668">
      <w:pPr>
        <w:pStyle w:val="a0"/>
        <w:rPr>
          <w:rtl/>
        </w:rPr>
      </w:pPr>
      <w:bookmarkStart w:id="4459" w:name="_Ref527231411"/>
      <w:r w:rsidRPr="002C49FA">
        <w:rPr>
          <w:rStyle w:val="af9"/>
          <w:rFonts w:hint="cs"/>
          <w:rtl/>
        </w:rPr>
        <w:t>והרדב"ז</w:t>
      </w:r>
      <w:r>
        <w:rPr>
          <w:rFonts w:hint="cs"/>
          <w:rtl/>
        </w:rPr>
        <w:t xml:space="preserve"> </w:t>
      </w:r>
      <w:r w:rsidRPr="002C49FA">
        <w:rPr>
          <w:rStyle w:val="af7"/>
          <w:rFonts w:eastAsia="Guttman Hodes" w:hint="cs"/>
          <w:rtl/>
        </w:rPr>
        <w:t xml:space="preserve">(שחיטה א' כ"ד) </w:t>
      </w:r>
      <w:r>
        <w:rPr>
          <w:rFonts w:hint="cs"/>
          <w:rtl/>
        </w:rPr>
        <w:t xml:space="preserve">תירץ את קושית </w:t>
      </w:r>
      <w:r w:rsidRPr="002C49FA">
        <w:rPr>
          <w:rStyle w:val="af9"/>
          <w:rFonts w:hint="cs"/>
          <w:rtl/>
        </w:rPr>
        <w:t>הראב"ד</w:t>
      </w:r>
      <w:r>
        <w:rPr>
          <w:rFonts w:hint="cs"/>
          <w:rtl/>
        </w:rPr>
        <w:t xml:space="preserve"> על </w:t>
      </w:r>
      <w:r w:rsidRPr="002C49FA">
        <w:rPr>
          <w:rStyle w:val="af9"/>
          <w:rFonts w:hint="cs"/>
          <w:rtl/>
        </w:rPr>
        <w:t>הרמב"ם</w:t>
      </w:r>
      <w:r>
        <w:rPr>
          <w:rFonts w:hint="cs"/>
          <w:rtl/>
        </w:rPr>
        <w:t xml:space="preserve">, דהדין בדיקת הסכין לאחר השחיטה, הוא כלול בדברי רב הונא דבהמה בחזקת איסור עומדת, עד שיודע שנשחטה שחיטה ראויה, ובסכין ראוי, [וכדברי </w:t>
      </w:r>
      <w:r w:rsidRPr="00F045EC">
        <w:rPr>
          <w:rStyle w:val="af9"/>
          <w:rFonts w:hint="cs"/>
          <w:rtl/>
        </w:rPr>
        <w:t>הרא"ש</w:t>
      </w:r>
      <w:r>
        <w:rPr>
          <w:rFonts w:hint="cs"/>
          <w:rtl/>
        </w:rPr>
        <w:t xml:space="preserve"> </w:t>
      </w:r>
      <w:r w:rsidRPr="00F045EC">
        <w:rPr>
          <w:rStyle w:val="af7"/>
          <w:rFonts w:eastAsia="Guttman Hodes" w:hint="cs"/>
          <w:rtl/>
        </w:rPr>
        <w:t xml:space="preserve">(עי' אות </w:t>
      </w:r>
      <w:r w:rsidRPr="00F045EC">
        <w:rPr>
          <w:rStyle w:val="af7"/>
          <w:rFonts w:eastAsia="Guttman Hodes"/>
          <w:rtl/>
        </w:rPr>
        <w:fldChar w:fldCharType="begin"/>
      </w:r>
      <w:r w:rsidRPr="00F045EC">
        <w:rPr>
          <w:rStyle w:val="af7"/>
          <w:rFonts w:eastAsia="Guttman Hodes"/>
          <w:rtl/>
        </w:rPr>
        <w:instrText xml:space="preserve"> </w:instrText>
      </w:r>
      <w:r w:rsidRPr="00F045EC">
        <w:rPr>
          <w:rStyle w:val="af7"/>
          <w:rFonts w:eastAsia="Guttman Hodes" w:hint="cs"/>
        </w:rPr>
        <w:instrText>REF</w:instrText>
      </w:r>
      <w:r w:rsidRPr="00F045EC">
        <w:rPr>
          <w:rStyle w:val="af7"/>
          <w:rFonts w:eastAsia="Guttman Hodes" w:hint="cs"/>
          <w:rtl/>
        </w:rPr>
        <w:instrText xml:space="preserve"> _</w:instrText>
      </w:r>
      <w:r w:rsidRPr="00F045EC">
        <w:rPr>
          <w:rStyle w:val="af7"/>
          <w:rFonts w:eastAsia="Guttman Hodes" w:hint="cs"/>
        </w:rPr>
        <w:instrText>Ref523396545 \r \h</w:instrText>
      </w:r>
      <w:r w:rsidRPr="00F045EC">
        <w:rPr>
          <w:rStyle w:val="af7"/>
          <w:rFonts w:eastAsia="Guttman Hodes"/>
          <w:rtl/>
        </w:rPr>
        <w:instrText xml:space="preserve"> </w:instrText>
      </w:r>
      <w:r w:rsidRPr="00F045EC">
        <w:rPr>
          <w:rStyle w:val="af7"/>
          <w:rFonts w:eastAsia="Guttman Hodes"/>
          <w:rtl/>
        </w:rPr>
      </w:r>
      <w:r w:rsidRPr="00F045EC">
        <w:rPr>
          <w:rStyle w:val="af7"/>
          <w:rFonts w:eastAsia="Guttman Hodes"/>
          <w:rtl/>
        </w:rPr>
        <w:fldChar w:fldCharType="separate"/>
      </w:r>
      <w:r w:rsidR="00345400">
        <w:rPr>
          <w:rStyle w:val="af7"/>
          <w:rFonts w:eastAsia="Guttman Hodes"/>
          <w:cs/>
        </w:rPr>
        <w:t>‎</w:t>
      </w:r>
      <w:r w:rsidR="00345400">
        <w:rPr>
          <w:rStyle w:val="af7"/>
          <w:rFonts w:eastAsia="Guttman Hodes"/>
          <w:rtl/>
        </w:rPr>
        <w:t>עב)</w:t>
      </w:r>
      <w:r w:rsidRPr="00F045EC">
        <w:rPr>
          <w:rStyle w:val="af7"/>
          <w:rFonts w:eastAsia="Guttman Hodes"/>
          <w:rtl/>
        </w:rPr>
        <w:fldChar w:fldCharType="end"/>
      </w:r>
      <w:r>
        <w:rPr>
          <w:rFonts w:hint="cs"/>
          <w:rtl/>
        </w:rPr>
        <w:t>].</w:t>
      </w:r>
      <w:bookmarkEnd w:id="4459"/>
    </w:p>
    <w:p w14:paraId="4437EAC2" w14:textId="77777777" w:rsidR="00FC47D4" w:rsidRDefault="00FC47D4" w:rsidP="006D6D32">
      <w:pPr>
        <w:pStyle w:val="a3"/>
        <w:rPr>
          <w:rtl/>
        </w:rPr>
      </w:pPr>
      <w:bookmarkStart w:id="4460" w:name="_Toc523735755"/>
      <w:bookmarkStart w:id="4461" w:name="_Toc526249011"/>
      <w:bookmarkStart w:id="4462" w:name="_Toc526409531"/>
      <w:bookmarkStart w:id="4463" w:name="_Toc526939187"/>
      <w:bookmarkStart w:id="4464" w:name="_Toc527060323"/>
      <w:bookmarkStart w:id="4465" w:name="_Toc527060471"/>
      <w:bookmarkStart w:id="4466" w:name="_Toc527100848"/>
      <w:bookmarkStart w:id="4467" w:name="_Toc528227104"/>
      <w:bookmarkStart w:id="4468" w:name="_Toc528227268"/>
      <w:bookmarkStart w:id="4469" w:name="_Toc528227430"/>
      <w:bookmarkStart w:id="4470" w:name="_Toc19389505"/>
      <w:bookmarkStart w:id="4471" w:name="_Toc19393002"/>
      <w:r>
        <w:rPr>
          <w:rFonts w:hint="cs"/>
          <w:rtl/>
        </w:rPr>
        <w:t>דברי הכס"מ דס"ל להרמב"ם דבאבד הסכין כשרה ולכן א"א לומר שצריך לבדוק את הסכין</w:t>
      </w:r>
      <w:bookmarkEnd w:id="4460"/>
      <w:bookmarkEnd w:id="4461"/>
      <w:bookmarkEnd w:id="4462"/>
      <w:bookmarkEnd w:id="4463"/>
      <w:bookmarkEnd w:id="4464"/>
      <w:bookmarkEnd w:id="4465"/>
      <w:bookmarkEnd w:id="4466"/>
      <w:bookmarkEnd w:id="4467"/>
      <w:bookmarkEnd w:id="4468"/>
      <w:bookmarkEnd w:id="4469"/>
      <w:bookmarkEnd w:id="4470"/>
      <w:bookmarkEnd w:id="4471"/>
    </w:p>
    <w:p w14:paraId="3035F9C8" w14:textId="77777777" w:rsidR="00FC47D4" w:rsidRDefault="00FC47D4" w:rsidP="00223668">
      <w:pPr>
        <w:pStyle w:val="a0"/>
        <w:rPr>
          <w:rtl/>
        </w:rPr>
      </w:pPr>
      <w:r w:rsidRPr="009E3BF1">
        <w:rPr>
          <w:rStyle w:val="af9"/>
          <w:rFonts w:hint="cs"/>
          <w:rtl/>
        </w:rPr>
        <w:t>והכס"מ</w:t>
      </w:r>
      <w:r>
        <w:rPr>
          <w:rFonts w:hint="cs"/>
          <w:rtl/>
        </w:rPr>
        <w:t xml:space="preserve"> </w:t>
      </w:r>
      <w:r w:rsidRPr="009E3BF1">
        <w:rPr>
          <w:rStyle w:val="af7"/>
          <w:rFonts w:eastAsia="Guttman Hodes" w:hint="cs"/>
          <w:rtl/>
        </w:rPr>
        <w:t>(שחיטה א' כ"ד)</w:t>
      </w:r>
      <w:r>
        <w:rPr>
          <w:rFonts w:hint="cs"/>
          <w:rtl/>
        </w:rPr>
        <w:t xml:space="preserve"> תירץ דדוקא בסימנים שייך לומר לשון צריך לבדוק בסימנים, דמשמע שאם לא בדק השחיטה פסולה, ודינה כטריפה או כנבילה </w:t>
      </w:r>
      <w:r w:rsidRPr="009E3BF1">
        <w:rPr>
          <w:rStyle w:val="afb"/>
          <w:rFonts w:hint="cs"/>
          <w:rtl/>
        </w:rPr>
        <w:t xml:space="preserve">[כדנחלקו בגמ' לעיל </w:t>
      </w:r>
      <w:r w:rsidRPr="009E3BF1">
        <w:rPr>
          <w:rStyle w:val="aff6"/>
          <w:rFonts w:hint="cs"/>
          <w:rtl/>
        </w:rPr>
        <w:t>(ט.)</w:t>
      </w:r>
      <w:r w:rsidRPr="009E3BF1">
        <w:rPr>
          <w:rStyle w:val="afb"/>
          <w:rFonts w:hint="cs"/>
          <w:rtl/>
        </w:rPr>
        <w:t>]</w:t>
      </w:r>
      <w:r>
        <w:rPr>
          <w:rFonts w:hint="cs"/>
          <w:rtl/>
        </w:rPr>
        <w:t xml:space="preserve">, אבל בסכין שאם לא בדק ולא נמצא הסכין פגום, אלא לא בדק ואבדה הסכין דהשחיטה כשרה כדכתב </w:t>
      </w:r>
      <w:r w:rsidRPr="00393FEC">
        <w:rPr>
          <w:rStyle w:val="af9"/>
          <w:rFonts w:hint="cs"/>
          <w:rtl/>
        </w:rPr>
        <w:t>הרמב"ם</w:t>
      </w:r>
      <w:r>
        <w:rPr>
          <w:rFonts w:hint="cs"/>
          <w:rtl/>
        </w:rPr>
        <w:t xml:space="preserve"> </w:t>
      </w:r>
      <w:r w:rsidRPr="00573EE5">
        <w:rPr>
          <w:rStyle w:val="af7"/>
          <w:rFonts w:eastAsia="Guttman Hodes" w:hint="cs"/>
          <w:rtl/>
        </w:rPr>
        <w:t xml:space="preserve">(עי' אות </w:t>
      </w:r>
      <w:r w:rsidRPr="00573EE5">
        <w:rPr>
          <w:rStyle w:val="af7"/>
          <w:rFonts w:eastAsia="Guttman Hodes"/>
          <w:rtl/>
        </w:rPr>
        <w:fldChar w:fldCharType="begin"/>
      </w:r>
      <w:r w:rsidRPr="00573EE5">
        <w:rPr>
          <w:rStyle w:val="af7"/>
          <w:rFonts w:eastAsia="Guttman Hodes"/>
          <w:rtl/>
        </w:rPr>
        <w:instrText xml:space="preserve"> </w:instrText>
      </w:r>
      <w:r w:rsidRPr="00573EE5">
        <w:rPr>
          <w:rStyle w:val="af7"/>
          <w:rFonts w:eastAsia="Guttman Hodes" w:hint="cs"/>
        </w:rPr>
        <w:instrText>REF</w:instrText>
      </w:r>
      <w:r w:rsidRPr="00573EE5">
        <w:rPr>
          <w:rStyle w:val="af7"/>
          <w:rFonts w:eastAsia="Guttman Hodes" w:hint="cs"/>
          <w:rtl/>
        </w:rPr>
        <w:instrText xml:space="preserve"> _</w:instrText>
      </w:r>
      <w:r w:rsidRPr="00573EE5">
        <w:rPr>
          <w:rStyle w:val="af7"/>
          <w:rFonts w:eastAsia="Guttman Hodes" w:hint="cs"/>
        </w:rPr>
        <w:instrText>Ref523733534 \r \h</w:instrText>
      </w:r>
      <w:r w:rsidRPr="00573EE5">
        <w:rPr>
          <w:rStyle w:val="af7"/>
          <w:rFonts w:eastAsia="Guttman Hodes"/>
          <w:rtl/>
        </w:rPr>
        <w:instrText xml:space="preserve"> </w:instrText>
      </w:r>
      <w:r w:rsidRPr="00573EE5">
        <w:rPr>
          <w:rStyle w:val="af7"/>
          <w:rFonts w:eastAsia="Guttman Hodes"/>
          <w:rtl/>
        </w:rPr>
      </w:r>
      <w:r w:rsidRPr="00573EE5">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573EE5">
        <w:rPr>
          <w:rStyle w:val="af7"/>
          <w:rFonts w:eastAsia="Guttman Hodes"/>
          <w:rtl/>
        </w:rPr>
        <w:fldChar w:fldCharType="end"/>
      </w:r>
      <w:r>
        <w:rPr>
          <w:rFonts w:hint="cs"/>
          <w:rtl/>
        </w:rPr>
        <w:t xml:space="preserve">, ולכן א"א לומר לשון "צריך לבדוק", דמשמע דאם לא בדק השחיטה פסולה, ועי' במה שהוסיף </w:t>
      </w:r>
      <w:r w:rsidRPr="00717E0B">
        <w:rPr>
          <w:rStyle w:val="af9"/>
          <w:rFonts w:hint="cs"/>
          <w:rtl/>
        </w:rPr>
        <w:t>הכס"מ</w:t>
      </w:r>
      <w:r>
        <w:rPr>
          <w:rFonts w:hint="cs"/>
          <w:rtl/>
        </w:rPr>
        <w:t xml:space="preserve"> </w:t>
      </w:r>
      <w:r w:rsidRPr="00717E0B">
        <w:rPr>
          <w:rStyle w:val="af7"/>
          <w:rFonts w:eastAsia="Guttman Hodes" w:hint="cs"/>
          <w:rtl/>
        </w:rPr>
        <w:t xml:space="preserve">(עי' אות </w:t>
      </w:r>
      <w:r w:rsidRPr="00717E0B">
        <w:rPr>
          <w:rStyle w:val="af7"/>
          <w:rFonts w:eastAsia="Guttman Hodes"/>
          <w:rtl/>
        </w:rPr>
        <w:fldChar w:fldCharType="begin"/>
      </w:r>
      <w:r w:rsidRPr="00717E0B">
        <w:rPr>
          <w:rStyle w:val="af7"/>
          <w:rFonts w:eastAsia="Guttman Hodes"/>
          <w:rtl/>
        </w:rPr>
        <w:instrText xml:space="preserve"> </w:instrText>
      </w:r>
      <w:r w:rsidRPr="00717E0B">
        <w:rPr>
          <w:rStyle w:val="af7"/>
          <w:rFonts w:eastAsia="Guttman Hodes" w:hint="cs"/>
        </w:rPr>
        <w:instrText>REF</w:instrText>
      </w:r>
      <w:r w:rsidRPr="00717E0B">
        <w:rPr>
          <w:rStyle w:val="af7"/>
          <w:rFonts w:eastAsia="Guttman Hodes" w:hint="cs"/>
          <w:rtl/>
        </w:rPr>
        <w:instrText xml:space="preserve"> _</w:instrText>
      </w:r>
      <w:r w:rsidRPr="00717E0B">
        <w:rPr>
          <w:rStyle w:val="af7"/>
          <w:rFonts w:eastAsia="Guttman Hodes" w:hint="cs"/>
        </w:rPr>
        <w:instrText>Ref523168704 \r \h</w:instrText>
      </w:r>
      <w:r w:rsidRPr="00717E0B">
        <w:rPr>
          <w:rStyle w:val="af7"/>
          <w:rFonts w:eastAsia="Guttman Hodes"/>
          <w:rtl/>
        </w:rPr>
        <w:instrText xml:space="preserve"> </w:instrText>
      </w:r>
      <w:r w:rsidRPr="00717E0B">
        <w:rPr>
          <w:rStyle w:val="af7"/>
          <w:rFonts w:eastAsia="Guttman Hodes"/>
          <w:rtl/>
        </w:rPr>
      </w:r>
      <w:r w:rsidRPr="00717E0B">
        <w:rPr>
          <w:rStyle w:val="af7"/>
          <w:rFonts w:eastAsia="Guttman Hodes"/>
          <w:rtl/>
        </w:rPr>
        <w:fldChar w:fldCharType="separate"/>
      </w:r>
      <w:r w:rsidR="00345400">
        <w:rPr>
          <w:rStyle w:val="af7"/>
          <w:rFonts w:eastAsia="Guttman Hodes"/>
          <w:cs/>
        </w:rPr>
        <w:t>‎</w:t>
      </w:r>
      <w:r w:rsidR="00345400">
        <w:rPr>
          <w:rStyle w:val="af7"/>
          <w:rFonts w:eastAsia="Guttman Hodes"/>
          <w:rtl/>
        </w:rPr>
        <w:t>צג)</w:t>
      </w:r>
      <w:r w:rsidRPr="00717E0B">
        <w:rPr>
          <w:rStyle w:val="af7"/>
          <w:rFonts w:eastAsia="Guttman Hodes"/>
          <w:rtl/>
        </w:rPr>
        <w:fldChar w:fldCharType="end"/>
      </w:r>
      <w:r>
        <w:rPr>
          <w:rFonts w:hint="cs"/>
          <w:rtl/>
        </w:rPr>
        <w:t xml:space="preserve"> דמלשון הגמ' מבואר כדברי </w:t>
      </w:r>
      <w:r w:rsidRPr="00717E0B">
        <w:rPr>
          <w:rStyle w:val="af9"/>
          <w:rFonts w:hint="cs"/>
          <w:rtl/>
        </w:rPr>
        <w:t>הרמב"ם</w:t>
      </w:r>
      <w:r>
        <w:rPr>
          <w:rFonts w:hint="cs"/>
          <w:rtl/>
        </w:rPr>
        <w:t>.</w:t>
      </w:r>
    </w:p>
    <w:p w14:paraId="21BC3750" w14:textId="77777777" w:rsidR="00FC47D4" w:rsidRDefault="00FC47D4" w:rsidP="00BF39B2">
      <w:pPr>
        <w:pStyle w:val="1"/>
        <w:rPr>
          <w:rtl/>
        </w:rPr>
      </w:pPr>
      <w:bookmarkStart w:id="4472" w:name="_Toc523735756"/>
      <w:bookmarkStart w:id="4473" w:name="_Toc526249012"/>
      <w:bookmarkStart w:id="4474" w:name="_Toc526409532"/>
      <w:bookmarkStart w:id="4475" w:name="_Toc526939188"/>
      <w:bookmarkStart w:id="4476" w:name="_Toc527060324"/>
      <w:bookmarkStart w:id="4477" w:name="_Toc527060472"/>
      <w:bookmarkStart w:id="4478" w:name="_Toc527100849"/>
      <w:bookmarkStart w:id="4479" w:name="_Toc528227105"/>
      <w:bookmarkStart w:id="4480" w:name="_Toc528227269"/>
      <w:bookmarkStart w:id="4481" w:name="_Toc528227431"/>
      <w:bookmarkStart w:id="4482" w:name="_Toc19389506"/>
      <w:bookmarkStart w:id="4483" w:name="_Toc19393003"/>
      <w:r>
        <w:rPr>
          <w:rFonts w:hint="cs"/>
          <w:rtl/>
        </w:rPr>
        <w:t>דברי הרמב"ם דבשיבר עצמות או אבד הסכין השחיטה כשרה</w:t>
      </w:r>
      <w:bookmarkEnd w:id="4472"/>
      <w:bookmarkEnd w:id="4473"/>
      <w:bookmarkEnd w:id="4474"/>
      <w:bookmarkEnd w:id="4475"/>
      <w:bookmarkEnd w:id="4476"/>
      <w:bookmarkEnd w:id="4477"/>
      <w:bookmarkEnd w:id="4478"/>
      <w:bookmarkEnd w:id="4479"/>
      <w:bookmarkEnd w:id="4480"/>
      <w:bookmarkEnd w:id="4481"/>
      <w:bookmarkEnd w:id="4482"/>
      <w:bookmarkEnd w:id="4483"/>
    </w:p>
    <w:p w14:paraId="4CA2C0BE" w14:textId="77777777" w:rsidR="00FC47D4" w:rsidRPr="000804D2" w:rsidRDefault="00FC47D4" w:rsidP="006D6D32">
      <w:pPr>
        <w:pStyle w:val="a3"/>
        <w:rPr>
          <w:rtl/>
        </w:rPr>
      </w:pPr>
      <w:bookmarkStart w:id="4484" w:name="_Toc523735757"/>
      <w:bookmarkStart w:id="4485" w:name="_Toc526249013"/>
      <w:bookmarkStart w:id="4486" w:name="_Toc526409533"/>
      <w:bookmarkStart w:id="4487" w:name="_Toc526939189"/>
      <w:bookmarkStart w:id="4488" w:name="_Toc527060325"/>
      <w:bookmarkStart w:id="4489" w:name="_Toc527060473"/>
      <w:bookmarkStart w:id="4490" w:name="_Toc527100850"/>
      <w:bookmarkStart w:id="4491" w:name="_Toc528227106"/>
      <w:bookmarkStart w:id="4492" w:name="_Toc528227270"/>
      <w:bookmarkStart w:id="4493" w:name="_Toc528227432"/>
      <w:bookmarkStart w:id="4494" w:name="_Toc19389507"/>
      <w:bookmarkStart w:id="4495" w:name="_Toc19393004"/>
      <w:r>
        <w:rPr>
          <w:rFonts w:hint="cs"/>
          <w:rtl/>
        </w:rPr>
        <w:t>דברי הרמב"ם דבשיבר עצמות השחיטה כשרה דחזקת הסכין שנפגמה מהעצמות</w:t>
      </w:r>
      <w:bookmarkEnd w:id="4484"/>
      <w:bookmarkEnd w:id="4485"/>
      <w:bookmarkEnd w:id="4486"/>
      <w:bookmarkEnd w:id="4487"/>
      <w:bookmarkEnd w:id="4488"/>
      <w:bookmarkEnd w:id="4489"/>
      <w:bookmarkEnd w:id="4490"/>
      <w:bookmarkEnd w:id="4491"/>
      <w:bookmarkEnd w:id="4492"/>
      <w:bookmarkEnd w:id="4493"/>
      <w:bookmarkEnd w:id="4494"/>
      <w:bookmarkEnd w:id="4495"/>
    </w:p>
    <w:p w14:paraId="1AC91A35" w14:textId="77777777" w:rsidR="00FC47D4" w:rsidRDefault="00FC47D4" w:rsidP="00223668">
      <w:pPr>
        <w:pStyle w:val="a0"/>
        <w:rPr>
          <w:rtl/>
        </w:rPr>
      </w:pPr>
      <w:bookmarkStart w:id="4496" w:name="_Ref527100296"/>
      <w:r>
        <w:rPr>
          <w:rFonts w:hint="cs"/>
          <w:rtl/>
        </w:rPr>
        <w:t xml:space="preserve">עוד כתב </w:t>
      </w:r>
      <w:r w:rsidRPr="000131CE">
        <w:rPr>
          <w:rStyle w:val="af9"/>
          <w:rFonts w:hint="cs"/>
          <w:rtl/>
        </w:rPr>
        <w:t>הרמב"ם</w:t>
      </w:r>
      <w:r>
        <w:rPr>
          <w:rFonts w:hint="cs"/>
          <w:rtl/>
        </w:rPr>
        <w:t xml:space="preserve"> </w:t>
      </w:r>
      <w:r w:rsidRPr="000131CE">
        <w:rPr>
          <w:rStyle w:val="af7"/>
          <w:rFonts w:eastAsia="Guttman Hodes" w:hint="cs"/>
          <w:rtl/>
        </w:rPr>
        <w:t xml:space="preserve">(שחיטה א' כ"ה) </w:t>
      </w:r>
      <w:r>
        <w:rPr>
          <w:rFonts w:hint="cs"/>
          <w:rtl/>
        </w:rPr>
        <w:t>דאם שחט בסכין בדוקה ולא בדק לאחר השחיטה, ואח"כ שבר בסכין עץ או עצם, ולאחמ"כ נמצא הסכין פגום, דהשחיטה כשרה, דחזקת הסכין שנפגמה בדבר הקשה ששיבר בה.</w:t>
      </w:r>
      <w:bookmarkEnd w:id="4496"/>
    </w:p>
    <w:p w14:paraId="2FFF2D49" w14:textId="77777777" w:rsidR="00FC47D4" w:rsidRDefault="00FC47D4" w:rsidP="006D6D32">
      <w:pPr>
        <w:pStyle w:val="a3"/>
        <w:rPr>
          <w:rtl/>
        </w:rPr>
      </w:pPr>
      <w:bookmarkStart w:id="4497" w:name="_Toc523735758"/>
      <w:bookmarkStart w:id="4498" w:name="_Toc526249014"/>
      <w:bookmarkStart w:id="4499" w:name="_Toc526409534"/>
      <w:bookmarkStart w:id="4500" w:name="_Toc526939190"/>
      <w:bookmarkStart w:id="4501" w:name="_Toc527060326"/>
      <w:bookmarkStart w:id="4502" w:name="_Toc527060474"/>
      <w:bookmarkStart w:id="4503" w:name="_Toc527100851"/>
      <w:bookmarkStart w:id="4504" w:name="_Toc528227107"/>
      <w:bookmarkStart w:id="4505" w:name="_Toc528227271"/>
      <w:bookmarkStart w:id="4506" w:name="_Toc528227433"/>
      <w:bookmarkStart w:id="4507" w:name="_Toc19389508"/>
      <w:bookmarkStart w:id="4508" w:name="_Toc19393005"/>
      <w:r>
        <w:rPr>
          <w:rFonts w:hint="cs"/>
          <w:rtl/>
        </w:rPr>
        <w:t>דברי הרמב"ם דבפשע ולא בדק או שאבדה הסכין שחיטתו כשרה</w:t>
      </w:r>
      <w:bookmarkEnd w:id="4497"/>
      <w:bookmarkEnd w:id="4498"/>
      <w:bookmarkEnd w:id="4499"/>
      <w:bookmarkEnd w:id="4500"/>
      <w:bookmarkEnd w:id="4501"/>
      <w:bookmarkEnd w:id="4502"/>
      <w:bookmarkEnd w:id="4503"/>
      <w:bookmarkEnd w:id="4504"/>
      <w:bookmarkEnd w:id="4505"/>
      <w:bookmarkEnd w:id="4506"/>
      <w:bookmarkEnd w:id="4507"/>
      <w:bookmarkEnd w:id="4508"/>
    </w:p>
    <w:p w14:paraId="6B790EAD" w14:textId="77777777" w:rsidR="00FC47D4" w:rsidRDefault="00FC47D4" w:rsidP="00223668">
      <w:pPr>
        <w:pStyle w:val="a0"/>
        <w:rPr>
          <w:rtl/>
        </w:rPr>
      </w:pPr>
      <w:bookmarkStart w:id="4509" w:name="_Ref523733534"/>
      <w:r>
        <w:rPr>
          <w:rFonts w:hint="cs"/>
          <w:rtl/>
        </w:rPr>
        <w:t xml:space="preserve">והוסיף </w:t>
      </w:r>
      <w:r w:rsidRPr="000131CE">
        <w:rPr>
          <w:rStyle w:val="af9"/>
          <w:rFonts w:hint="cs"/>
          <w:rtl/>
        </w:rPr>
        <w:t>הרמב"ם</w:t>
      </w:r>
      <w:r>
        <w:rPr>
          <w:rFonts w:hint="cs"/>
          <w:rtl/>
        </w:rPr>
        <w:t xml:space="preserve"> דאם שחט בסכין בדוקה, ופשע ולא בדק את הסכין לאחר השחיטה, או שאבדה הסכין לפני שבדק, שחיטתו כשרה.</w:t>
      </w:r>
      <w:bookmarkEnd w:id="4509"/>
    </w:p>
    <w:p w14:paraId="1E34F5CA" w14:textId="77777777" w:rsidR="00FC47D4" w:rsidRDefault="00FC47D4" w:rsidP="006D6D32">
      <w:pPr>
        <w:pStyle w:val="a3"/>
        <w:rPr>
          <w:rtl/>
        </w:rPr>
      </w:pPr>
      <w:bookmarkStart w:id="4510" w:name="_Toc523735759"/>
      <w:bookmarkStart w:id="4511" w:name="_Toc526249015"/>
      <w:bookmarkStart w:id="4512" w:name="_Toc526409535"/>
      <w:bookmarkStart w:id="4513" w:name="_Toc526939191"/>
      <w:bookmarkStart w:id="4514" w:name="_Toc527060327"/>
      <w:bookmarkStart w:id="4515" w:name="_Toc527060475"/>
      <w:bookmarkStart w:id="4516" w:name="_Toc527100852"/>
      <w:bookmarkStart w:id="4517" w:name="_Toc528227108"/>
      <w:bookmarkStart w:id="4518" w:name="_Toc528227272"/>
      <w:bookmarkStart w:id="4519" w:name="_Toc528227434"/>
      <w:bookmarkStart w:id="4520" w:name="_Toc19389509"/>
      <w:bookmarkStart w:id="4521" w:name="_Toc19393006"/>
      <w:r>
        <w:rPr>
          <w:rFonts w:hint="cs"/>
          <w:rtl/>
        </w:rPr>
        <w:t>דברי הכס"מ דמדלא אמר רב הונא שצריך לבדוק מוכח דבאבד הסכין כשר</w:t>
      </w:r>
      <w:bookmarkEnd w:id="4510"/>
      <w:bookmarkEnd w:id="4511"/>
      <w:bookmarkEnd w:id="4512"/>
      <w:bookmarkEnd w:id="4513"/>
      <w:bookmarkEnd w:id="4514"/>
      <w:bookmarkEnd w:id="4515"/>
      <w:bookmarkEnd w:id="4516"/>
      <w:bookmarkEnd w:id="4517"/>
      <w:bookmarkEnd w:id="4518"/>
      <w:bookmarkEnd w:id="4519"/>
      <w:bookmarkEnd w:id="4520"/>
      <w:bookmarkEnd w:id="4521"/>
      <w:r>
        <w:rPr>
          <w:rFonts w:hint="cs"/>
          <w:rtl/>
        </w:rPr>
        <w:t xml:space="preserve"> </w:t>
      </w:r>
    </w:p>
    <w:p w14:paraId="70C6126F" w14:textId="77777777" w:rsidR="00FC47D4" w:rsidRDefault="00FC47D4" w:rsidP="00223668">
      <w:pPr>
        <w:pStyle w:val="a0"/>
        <w:rPr>
          <w:rtl/>
        </w:rPr>
      </w:pPr>
      <w:bookmarkStart w:id="4522" w:name="_Ref523168704"/>
      <w:r>
        <w:rPr>
          <w:rFonts w:hint="cs"/>
          <w:rtl/>
        </w:rPr>
        <w:t xml:space="preserve">וביאר </w:t>
      </w:r>
      <w:r w:rsidRPr="009E3BF1">
        <w:rPr>
          <w:rStyle w:val="af9"/>
          <w:rFonts w:hint="cs"/>
          <w:rtl/>
        </w:rPr>
        <w:t>הכס"מ</w:t>
      </w:r>
      <w:r>
        <w:rPr>
          <w:rFonts w:hint="cs"/>
          <w:rtl/>
        </w:rPr>
        <w:t xml:space="preserve"> </w:t>
      </w:r>
      <w:r w:rsidRPr="009E3BF1">
        <w:rPr>
          <w:rStyle w:val="af7"/>
          <w:rFonts w:eastAsia="Guttman Hodes" w:hint="cs"/>
          <w:rtl/>
        </w:rPr>
        <w:t>(שחיטה א' כ"ד)</w:t>
      </w:r>
      <w:r>
        <w:rPr>
          <w:rFonts w:hint="cs"/>
          <w:rtl/>
        </w:rPr>
        <w:t xml:space="preserve"> דהא דבאבד הסכין השחיטה כשרה, הוא מבואר מהא דלא אמרה הגמ' לשון "צריך לבדוק", שאם לא בדק ואבדה הסכין שחיטתו כשרה.</w:t>
      </w:r>
    </w:p>
    <w:p w14:paraId="79BE142C" w14:textId="77777777" w:rsidR="00FC47D4" w:rsidRPr="000024F0" w:rsidRDefault="00FC47D4" w:rsidP="006D6D32">
      <w:pPr>
        <w:pStyle w:val="a3"/>
      </w:pPr>
      <w:bookmarkStart w:id="4523" w:name="_Toc523735760"/>
      <w:bookmarkStart w:id="4524" w:name="_Toc526249016"/>
      <w:bookmarkStart w:id="4525" w:name="_Toc526409536"/>
      <w:bookmarkStart w:id="4526" w:name="_Toc526939192"/>
      <w:bookmarkStart w:id="4527" w:name="_Toc527060328"/>
      <w:bookmarkStart w:id="4528" w:name="_Toc527060476"/>
      <w:bookmarkStart w:id="4529" w:name="_Toc527100853"/>
      <w:bookmarkStart w:id="4530" w:name="_Toc528227109"/>
      <w:bookmarkStart w:id="4531" w:name="_Toc528227273"/>
      <w:bookmarkStart w:id="4532" w:name="_Toc528227435"/>
      <w:bookmarkStart w:id="4533" w:name="_Toc19389510"/>
      <w:bookmarkStart w:id="4534" w:name="_Toc19393007"/>
      <w:r>
        <w:rPr>
          <w:rFonts w:hint="cs"/>
          <w:rtl/>
        </w:rPr>
        <w:t>דברי הכס"מ דמדקיי"ל דבשיבר עצמות הפגימה לא חשיבא כריעותא מוכח דבאבד הסכין כשר</w:t>
      </w:r>
      <w:bookmarkEnd w:id="4523"/>
      <w:bookmarkEnd w:id="4524"/>
      <w:bookmarkEnd w:id="4525"/>
      <w:bookmarkEnd w:id="4526"/>
      <w:bookmarkEnd w:id="4527"/>
      <w:bookmarkEnd w:id="4528"/>
      <w:bookmarkEnd w:id="4529"/>
      <w:bookmarkEnd w:id="4530"/>
      <w:bookmarkEnd w:id="4531"/>
      <w:bookmarkEnd w:id="4532"/>
      <w:bookmarkEnd w:id="4533"/>
      <w:bookmarkEnd w:id="4534"/>
    </w:p>
    <w:p w14:paraId="0C18D2E6" w14:textId="77777777" w:rsidR="00FC47D4" w:rsidRDefault="00FC47D4" w:rsidP="00223668">
      <w:pPr>
        <w:pStyle w:val="a0"/>
        <w:rPr>
          <w:rtl/>
        </w:rPr>
      </w:pPr>
      <w:r>
        <w:rPr>
          <w:rFonts w:hint="cs"/>
          <w:rtl/>
        </w:rPr>
        <w:t xml:space="preserve">והוסיף </w:t>
      </w:r>
      <w:r w:rsidRPr="00544D01">
        <w:rPr>
          <w:rStyle w:val="af9"/>
          <w:rFonts w:hint="cs"/>
          <w:rtl/>
        </w:rPr>
        <w:t>הכס"מ</w:t>
      </w:r>
      <w:r>
        <w:rPr>
          <w:rFonts w:hint="cs"/>
          <w:rtl/>
        </w:rPr>
        <w:t xml:space="preserve"> דכן מוכח גם מהא דקיי"ל כרב חסדא דבשיבר בה עצמות כשרה אף כשנמצא הסכין פגום, והיינו דהפגימה במקום ששבר עצמות אינה נחשבת לריעותא, וא"כ כ"ש היכא דאבד דאין ריעותא כלל דכשרה.</w:t>
      </w:r>
      <w:bookmarkEnd w:id="4522"/>
    </w:p>
    <w:p w14:paraId="2F5F7F39" w14:textId="77777777" w:rsidR="00FC47D4" w:rsidRDefault="00FC47D4" w:rsidP="006D6D32">
      <w:pPr>
        <w:pStyle w:val="a3"/>
        <w:rPr>
          <w:rtl/>
        </w:rPr>
      </w:pPr>
      <w:bookmarkStart w:id="4535" w:name="_Toc523735761"/>
      <w:bookmarkStart w:id="4536" w:name="_Toc526249017"/>
      <w:bookmarkStart w:id="4537" w:name="_Toc526409537"/>
      <w:bookmarkStart w:id="4538" w:name="_Toc526939193"/>
      <w:bookmarkStart w:id="4539" w:name="_Toc527060329"/>
      <w:bookmarkStart w:id="4540" w:name="_Toc527060477"/>
      <w:bookmarkStart w:id="4541" w:name="_Toc527100854"/>
      <w:bookmarkStart w:id="4542" w:name="_Toc528227110"/>
      <w:bookmarkStart w:id="4543" w:name="_Toc528227274"/>
      <w:bookmarkStart w:id="4544" w:name="_Toc528227436"/>
      <w:bookmarkStart w:id="4545" w:name="_Toc19389511"/>
      <w:bookmarkStart w:id="4546" w:name="_Toc19393008"/>
      <w:r>
        <w:rPr>
          <w:rFonts w:hint="cs"/>
          <w:rtl/>
        </w:rPr>
        <w:t>דברי הכס"מ דבסימנים צריך לבדוק כיון שהריעותא בבהמה עצמה</w:t>
      </w:r>
      <w:bookmarkEnd w:id="4535"/>
      <w:bookmarkEnd w:id="4536"/>
      <w:bookmarkEnd w:id="4537"/>
      <w:bookmarkEnd w:id="4538"/>
      <w:bookmarkEnd w:id="4539"/>
      <w:bookmarkEnd w:id="4540"/>
      <w:bookmarkEnd w:id="4541"/>
      <w:bookmarkEnd w:id="4542"/>
      <w:bookmarkEnd w:id="4543"/>
      <w:bookmarkEnd w:id="4544"/>
      <w:bookmarkEnd w:id="4545"/>
      <w:bookmarkEnd w:id="4546"/>
    </w:p>
    <w:p w14:paraId="7DA073FD" w14:textId="77777777" w:rsidR="00FC47D4" w:rsidRDefault="00FC47D4" w:rsidP="00223668">
      <w:pPr>
        <w:pStyle w:val="a0"/>
        <w:rPr>
          <w:rtl/>
        </w:rPr>
      </w:pPr>
      <w:bookmarkStart w:id="4547" w:name="_Ref527231952"/>
      <w:r>
        <w:rPr>
          <w:rFonts w:hint="cs"/>
          <w:rtl/>
        </w:rPr>
        <w:t xml:space="preserve">וכתב </w:t>
      </w:r>
      <w:r w:rsidRPr="00717E0B">
        <w:rPr>
          <w:rStyle w:val="af9"/>
          <w:rFonts w:hint="cs"/>
          <w:rtl/>
        </w:rPr>
        <w:t>הכס"מ</w:t>
      </w:r>
      <w:r>
        <w:rPr>
          <w:rFonts w:hint="cs"/>
          <w:rtl/>
        </w:rPr>
        <w:t xml:space="preserve"> דבדיקת הסכין לא דמי לבדיקת הסימנים, כיון שהריעותא היא בסכין ולא בבהמה, משא"כ בסימנים שהריעותא היא בבהמה.</w:t>
      </w:r>
      <w:bookmarkEnd w:id="4547"/>
    </w:p>
    <w:p w14:paraId="0F8E994A" w14:textId="77777777" w:rsidR="00FC47D4" w:rsidRDefault="00FC47D4" w:rsidP="006D6D32">
      <w:pPr>
        <w:pStyle w:val="a3"/>
        <w:rPr>
          <w:rtl/>
        </w:rPr>
      </w:pPr>
      <w:bookmarkStart w:id="4548" w:name="_Toc527100855"/>
      <w:bookmarkStart w:id="4549" w:name="_Toc528227111"/>
      <w:bookmarkStart w:id="4550" w:name="_Toc528227275"/>
      <w:bookmarkStart w:id="4551" w:name="_Toc528227437"/>
      <w:bookmarkStart w:id="4552" w:name="_Toc19389512"/>
      <w:bookmarkStart w:id="4553" w:name="_Toc19393009"/>
      <w:r>
        <w:rPr>
          <w:rFonts w:hint="cs"/>
          <w:rtl/>
        </w:rPr>
        <w:t>דברי הר"ן בדעת הרמב"ם דכיון דקיי"ל כרב חסדא לכן באבד הסכין השחיטה כשרה</w:t>
      </w:r>
      <w:bookmarkEnd w:id="4548"/>
      <w:bookmarkEnd w:id="4549"/>
      <w:bookmarkEnd w:id="4550"/>
      <w:bookmarkEnd w:id="4551"/>
      <w:bookmarkEnd w:id="4552"/>
      <w:bookmarkEnd w:id="4553"/>
    </w:p>
    <w:p w14:paraId="6C9B6068" w14:textId="77777777" w:rsidR="00FC47D4" w:rsidRDefault="00FC47D4" w:rsidP="00223668">
      <w:pPr>
        <w:pStyle w:val="a0"/>
        <w:rPr>
          <w:rtl/>
        </w:rPr>
      </w:pPr>
      <w:r>
        <w:rPr>
          <w:rFonts w:hint="cs"/>
          <w:rtl/>
        </w:rPr>
        <w:t xml:space="preserve">כתב </w:t>
      </w:r>
      <w:r w:rsidRPr="008A4882">
        <w:rPr>
          <w:rStyle w:val="af9"/>
          <w:rFonts w:hint="cs"/>
          <w:rtl/>
        </w:rPr>
        <w:t xml:space="preserve">הר"ן על הרי"ף </w:t>
      </w:r>
      <w:r w:rsidRPr="008A4882">
        <w:rPr>
          <w:rStyle w:val="af7"/>
          <w:rFonts w:eastAsia="Guttman Hodes" w:hint="cs"/>
          <w:rtl/>
        </w:rPr>
        <w:t xml:space="preserve">(ג. מדפי הרי"ף ד"ה והלכתא) </w:t>
      </w:r>
      <w:r>
        <w:rPr>
          <w:rFonts w:hint="cs"/>
          <w:rtl/>
        </w:rPr>
        <w:t xml:space="preserve">דכיון דקיי"ל כרב חסדא בשיבר בה עצמות, מוכח דאף באבד הסכין השחיטה כשרה, דאי בשיבר בה עצמות אי"ז נחשב כריעותא בשחיטה, כ"ש כשאבד שאין ריעותא כלל, אך כתב </w:t>
      </w:r>
      <w:r w:rsidRPr="008A4882">
        <w:rPr>
          <w:rStyle w:val="af9"/>
          <w:rFonts w:hint="cs"/>
          <w:rtl/>
        </w:rPr>
        <w:t>הר"ן על הרי"ף</w:t>
      </w:r>
      <w:r>
        <w:rPr>
          <w:rFonts w:hint="cs"/>
          <w:rtl/>
        </w:rPr>
        <w:t xml:space="preserve"> דכשהסכין לפנינו צריך לבדוק, והוסיף דכ"כ </w:t>
      </w:r>
      <w:r w:rsidRPr="008A4882">
        <w:rPr>
          <w:rStyle w:val="af9"/>
          <w:rFonts w:hint="cs"/>
          <w:rtl/>
        </w:rPr>
        <w:t>הרמב"ם</w:t>
      </w:r>
      <w:r>
        <w:rPr>
          <w:rStyle w:val="af9"/>
          <w:rFonts w:hint="cs"/>
          <w:rtl/>
        </w:rPr>
        <w:t xml:space="preserve"> </w:t>
      </w:r>
      <w:r w:rsidRPr="008A4882">
        <w:rPr>
          <w:rStyle w:val="af7"/>
          <w:rFonts w:eastAsia="Guttman Hodes" w:hint="cs"/>
          <w:rtl/>
        </w:rPr>
        <w:t xml:space="preserve">(עי' אות </w:t>
      </w:r>
      <w:r w:rsidRPr="008A4882">
        <w:rPr>
          <w:rStyle w:val="af7"/>
          <w:rFonts w:eastAsia="Guttman Hodes"/>
          <w:rtl/>
        </w:rPr>
        <w:fldChar w:fldCharType="begin"/>
      </w:r>
      <w:r w:rsidRPr="008A4882">
        <w:rPr>
          <w:rStyle w:val="af7"/>
          <w:rFonts w:eastAsia="Guttman Hodes"/>
          <w:rtl/>
        </w:rPr>
        <w:instrText xml:space="preserve"> </w:instrText>
      </w:r>
      <w:r w:rsidRPr="008A4882">
        <w:rPr>
          <w:rStyle w:val="af7"/>
          <w:rFonts w:eastAsia="Guttman Hodes" w:hint="cs"/>
        </w:rPr>
        <w:instrText>REF</w:instrText>
      </w:r>
      <w:r w:rsidRPr="008A4882">
        <w:rPr>
          <w:rStyle w:val="af7"/>
          <w:rFonts w:eastAsia="Guttman Hodes" w:hint="cs"/>
          <w:rtl/>
        </w:rPr>
        <w:instrText xml:space="preserve"> _</w:instrText>
      </w:r>
      <w:r w:rsidRPr="008A4882">
        <w:rPr>
          <w:rStyle w:val="af7"/>
          <w:rFonts w:eastAsia="Guttman Hodes" w:hint="cs"/>
        </w:rPr>
        <w:instrText>Ref527100296 \r \h</w:instrText>
      </w:r>
      <w:r w:rsidRPr="008A4882">
        <w:rPr>
          <w:rStyle w:val="af7"/>
          <w:rFonts w:eastAsia="Guttman Hodes"/>
          <w:rtl/>
        </w:rPr>
        <w:instrText xml:space="preserve"> </w:instrText>
      </w:r>
      <w:r w:rsidRPr="008A4882">
        <w:rPr>
          <w:rStyle w:val="af7"/>
          <w:rFonts w:eastAsia="Guttman Hodes"/>
          <w:rtl/>
        </w:rPr>
      </w:r>
      <w:r w:rsidRPr="008A4882">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8A4882">
        <w:rPr>
          <w:rStyle w:val="af7"/>
          <w:rFonts w:eastAsia="Guttman Hodes"/>
          <w:rtl/>
        </w:rPr>
        <w:fldChar w:fldCharType="end"/>
      </w:r>
      <w:r>
        <w:rPr>
          <w:rFonts w:hint="cs"/>
          <w:rtl/>
        </w:rPr>
        <w:t>.</w:t>
      </w:r>
      <w:r w:rsidRPr="000051A7">
        <w:rPr>
          <w:rStyle w:val="afb"/>
          <w:rFonts w:hint="cs"/>
          <w:rtl/>
        </w:rPr>
        <w:t xml:space="preserve"> [וקצת משמע </w:t>
      </w:r>
      <w:r w:rsidRPr="000051A7">
        <w:rPr>
          <w:rStyle w:val="affa"/>
          <w:rFonts w:hint="cs"/>
          <w:rtl/>
        </w:rPr>
        <w:t xml:space="preserve">דהר"ן </w:t>
      </w:r>
      <w:r w:rsidRPr="000051A7">
        <w:rPr>
          <w:rStyle w:val="afb"/>
          <w:rFonts w:hint="cs"/>
          <w:rtl/>
        </w:rPr>
        <w:t xml:space="preserve">ביאר </w:t>
      </w:r>
      <w:r w:rsidRPr="008A4882">
        <w:rPr>
          <w:rStyle w:val="affa"/>
          <w:rFonts w:hint="cs"/>
          <w:rtl/>
        </w:rPr>
        <w:t>ברמב"ם כרמב"ן</w:t>
      </w:r>
      <w:r w:rsidRPr="000051A7">
        <w:rPr>
          <w:rStyle w:val="afb"/>
          <w:rFonts w:hint="cs"/>
          <w:rtl/>
        </w:rPr>
        <w:t xml:space="preserve"> </w:t>
      </w:r>
      <w:r w:rsidRPr="008A4882">
        <w:rPr>
          <w:rStyle w:val="af7"/>
          <w:rFonts w:eastAsia="Guttman Hodes" w:hint="cs"/>
          <w:rtl/>
        </w:rPr>
        <w:t xml:space="preserve">(עי' אות </w:t>
      </w:r>
      <w:r w:rsidRPr="008A4882">
        <w:rPr>
          <w:rStyle w:val="af7"/>
          <w:rFonts w:eastAsia="Guttman Hodes"/>
          <w:rtl/>
        </w:rPr>
        <w:fldChar w:fldCharType="begin"/>
      </w:r>
      <w:r w:rsidRPr="008A4882">
        <w:rPr>
          <w:rStyle w:val="af7"/>
          <w:rFonts w:eastAsia="Guttman Hodes"/>
          <w:rtl/>
        </w:rPr>
        <w:instrText xml:space="preserve"> </w:instrText>
      </w:r>
      <w:r w:rsidRPr="008A4882">
        <w:rPr>
          <w:rStyle w:val="af7"/>
          <w:rFonts w:eastAsia="Guttman Hodes" w:hint="cs"/>
        </w:rPr>
        <w:instrText>REF</w:instrText>
      </w:r>
      <w:r w:rsidRPr="008A4882">
        <w:rPr>
          <w:rStyle w:val="af7"/>
          <w:rFonts w:eastAsia="Guttman Hodes" w:hint="cs"/>
          <w:rtl/>
        </w:rPr>
        <w:instrText xml:space="preserve"> _</w:instrText>
      </w:r>
      <w:r w:rsidRPr="008A4882">
        <w:rPr>
          <w:rStyle w:val="af7"/>
          <w:rFonts w:eastAsia="Guttman Hodes" w:hint="cs"/>
        </w:rPr>
        <w:instrText>Ref523132416 \r \h</w:instrText>
      </w:r>
      <w:r w:rsidRPr="008A4882">
        <w:rPr>
          <w:rStyle w:val="af7"/>
          <w:rFonts w:eastAsia="Guttman Hodes"/>
          <w:rtl/>
        </w:rPr>
        <w:instrText xml:space="preserve"> </w:instrText>
      </w:r>
      <w:r w:rsidRPr="008A4882">
        <w:rPr>
          <w:rStyle w:val="af7"/>
          <w:rFonts w:eastAsia="Guttman Hodes"/>
          <w:rtl/>
        </w:rPr>
      </w:r>
      <w:r w:rsidRPr="008A4882">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8A4882">
        <w:rPr>
          <w:rStyle w:val="af7"/>
          <w:rFonts w:eastAsia="Guttman Hodes"/>
          <w:rtl/>
        </w:rPr>
        <w:fldChar w:fldCharType="end"/>
      </w:r>
      <w:r>
        <w:rPr>
          <w:rStyle w:val="afb"/>
          <w:rFonts w:hint="cs"/>
          <w:rtl/>
        </w:rPr>
        <w:t xml:space="preserve"> ד</w:t>
      </w:r>
      <w:r w:rsidRPr="000051A7">
        <w:rPr>
          <w:rStyle w:val="afb"/>
          <w:rFonts w:hint="cs"/>
          <w:rtl/>
        </w:rPr>
        <w:t>לרב הונא דבאבד הסכין השחיטה פסולה,</w:t>
      </w:r>
      <w:r>
        <w:rPr>
          <w:rStyle w:val="afb"/>
          <w:rFonts w:hint="cs"/>
          <w:rtl/>
        </w:rPr>
        <w:t xml:space="preserve"> </w:t>
      </w:r>
      <w:r w:rsidRPr="000051A7">
        <w:rPr>
          <w:rStyle w:val="afb"/>
          <w:rFonts w:hint="cs"/>
          <w:rtl/>
        </w:rPr>
        <w:t xml:space="preserve">וכתב </w:t>
      </w:r>
      <w:r w:rsidRPr="000051A7">
        <w:rPr>
          <w:rStyle w:val="affa"/>
          <w:rFonts w:hint="cs"/>
          <w:rtl/>
        </w:rPr>
        <w:t>הרמב"ם</w:t>
      </w:r>
      <w:r w:rsidRPr="000051A7">
        <w:rPr>
          <w:rStyle w:val="afb"/>
          <w:rFonts w:hint="cs"/>
          <w:rtl/>
        </w:rPr>
        <w:t xml:space="preserve"> את הדין להלכה, דלדעת רב חסדא באבד הסכין כשר, </w:t>
      </w:r>
      <w:r>
        <w:rPr>
          <w:rStyle w:val="afb"/>
          <w:rFonts w:hint="cs"/>
          <w:rtl/>
        </w:rPr>
        <w:t>כדכתב</w:t>
      </w:r>
      <w:r w:rsidRPr="000051A7">
        <w:rPr>
          <w:rStyle w:val="afb"/>
          <w:rFonts w:hint="cs"/>
          <w:rtl/>
        </w:rPr>
        <w:t xml:space="preserve"> </w:t>
      </w:r>
      <w:r w:rsidRPr="000051A7">
        <w:rPr>
          <w:rStyle w:val="affa"/>
          <w:rFonts w:hint="cs"/>
          <w:rtl/>
        </w:rPr>
        <w:t>הרמב"</w:t>
      </w:r>
      <w:r>
        <w:rPr>
          <w:rStyle w:val="afb"/>
          <w:rFonts w:hint="cs"/>
          <w:rtl/>
        </w:rPr>
        <w:t xml:space="preserve">ן </w:t>
      </w:r>
      <w:r w:rsidRPr="00C37BC4">
        <w:rPr>
          <w:rStyle w:val="aff6"/>
          <w:rFonts w:hint="cs"/>
          <w:rtl/>
        </w:rPr>
        <w:t xml:space="preserve">(עי' אות </w:t>
      </w:r>
      <w:r w:rsidRPr="00C37BC4">
        <w:rPr>
          <w:rStyle w:val="aff6"/>
          <w:rtl/>
        </w:rPr>
        <w:fldChar w:fldCharType="begin"/>
      </w:r>
      <w:r w:rsidRPr="00C37BC4">
        <w:rPr>
          <w:rStyle w:val="aff6"/>
          <w:rtl/>
        </w:rPr>
        <w:instrText xml:space="preserve"> </w:instrText>
      </w:r>
      <w:r w:rsidRPr="00C37BC4">
        <w:rPr>
          <w:rStyle w:val="aff6"/>
          <w:rFonts w:hint="cs"/>
        </w:rPr>
        <w:instrText>REF</w:instrText>
      </w:r>
      <w:r w:rsidRPr="00C37BC4">
        <w:rPr>
          <w:rStyle w:val="aff6"/>
          <w:rFonts w:hint="cs"/>
          <w:rtl/>
        </w:rPr>
        <w:instrText xml:space="preserve"> _</w:instrText>
      </w:r>
      <w:r w:rsidRPr="00C37BC4">
        <w:rPr>
          <w:rStyle w:val="aff6"/>
          <w:rFonts w:hint="cs"/>
        </w:rPr>
        <w:instrText>Ref526408992 \r \h</w:instrText>
      </w:r>
      <w:r w:rsidRPr="00C37BC4">
        <w:rPr>
          <w:rStyle w:val="aff6"/>
          <w:rtl/>
        </w:rPr>
        <w:instrText xml:space="preserve"> </w:instrText>
      </w:r>
      <w:r w:rsidRPr="00C37BC4">
        <w:rPr>
          <w:rStyle w:val="aff6"/>
          <w:rtl/>
        </w:rPr>
      </w:r>
      <w:r w:rsidRPr="00C37BC4">
        <w:rPr>
          <w:rStyle w:val="aff6"/>
          <w:rtl/>
        </w:rPr>
        <w:fldChar w:fldCharType="separate"/>
      </w:r>
      <w:r w:rsidR="00345400">
        <w:rPr>
          <w:rStyle w:val="aff6"/>
          <w:cs/>
        </w:rPr>
        <w:t>‎</w:t>
      </w:r>
      <w:r w:rsidR="00345400">
        <w:rPr>
          <w:rStyle w:val="aff6"/>
          <w:rtl/>
        </w:rPr>
        <w:t>עה)</w:t>
      </w:r>
      <w:r w:rsidRPr="00C37BC4">
        <w:rPr>
          <w:rStyle w:val="aff6"/>
          <w:rtl/>
        </w:rPr>
        <w:fldChar w:fldCharType="end"/>
      </w:r>
      <w:r>
        <w:rPr>
          <w:rStyle w:val="afb"/>
          <w:rFonts w:hint="cs"/>
          <w:rtl/>
        </w:rPr>
        <w:t xml:space="preserve"> </w:t>
      </w:r>
      <w:r w:rsidRPr="000051A7">
        <w:rPr>
          <w:rStyle w:val="afb"/>
          <w:rFonts w:hint="cs"/>
          <w:rtl/>
        </w:rPr>
        <w:t xml:space="preserve"> ויל"ע].</w:t>
      </w:r>
    </w:p>
    <w:p w14:paraId="1FCE5C49" w14:textId="77777777" w:rsidR="00FC47D4" w:rsidRPr="00CD709C" w:rsidRDefault="00FC47D4" w:rsidP="006D6D32">
      <w:pPr>
        <w:pStyle w:val="afe"/>
        <w:rPr>
          <w:rtl/>
        </w:rPr>
      </w:pPr>
      <w:bookmarkStart w:id="4554" w:name="_Toc526249018"/>
      <w:bookmarkStart w:id="4555" w:name="_Toc526409538"/>
      <w:bookmarkStart w:id="4556" w:name="_Toc526939194"/>
      <w:bookmarkStart w:id="4557" w:name="_Toc527060330"/>
      <w:bookmarkStart w:id="4558" w:name="_Toc527060478"/>
      <w:bookmarkStart w:id="4559" w:name="_Toc527100856"/>
      <w:bookmarkStart w:id="4560" w:name="_Toc528227112"/>
      <w:bookmarkStart w:id="4561" w:name="_Toc528227276"/>
      <w:bookmarkStart w:id="4562" w:name="_Toc528227438"/>
      <w:bookmarkStart w:id="4563" w:name="_Toc19435332"/>
      <w:bookmarkStart w:id="4564" w:name="_Toc20080670"/>
      <w:bookmarkStart w:id="4565" w:name="_Toc523397241"/>
      <w:bookmarkStart w:id="4566" w:name="_Toc523490372"/>
      <w:bookmarkStart w:id="4567" w:name="_Toc523697995"/>
      <w:bookmarkStart w:id="4568" w:name="_Toc523735763"/>
      <w:r>
        <w:rPr>
          <w:rtl/>
        </w:rPr>
        <w:t xml:space="preserve">אי הוי ודאי נבילה </w:t>
      </w:r>
      <w:r w:rsidRPr="00CD709C">
        <w:rPr>
          <w:rtl/>
        </w:rPr>
        <w:t>או ספק</w:t>
      </w:r>
      <w:r w:rsidRPr="00CD709C">
        <w:rPr>
          <w:rFonts w:hint="cs"/>
          <w:rtl/>
        </w:rPr>
        <w:t xml:space="preserve"> נבילה</w:t>
      </w:r>
      <w:bookmarkEnd w:id="4554"/>
      <w:bookmarkEnd w:id="4555"/>
      <w:bookmarkEnd w:id="4556"/>
      <w:bookmarkEnd w:id="4557"/>
      <w:bookmarkEnd w:id="4558"/>
      <w:bookmarkEnd w:id="4559"/>
      <w:bookmarkEnd w:id="4560"/>
      <w:bookmarkEnd w:id="4561"/>
      <w:bookmarkEnd w:id="4562"/>
      <w:bookmarkEnd w:id="4563"/>
      <w:bookmarkEnd w:id="4564"/>
    </w:p>
    <w:p w14:paraId="4AB72294" w14:textId="77777777" w:rsidR="00FC47D4" w:rsidRDefault="00FC47D4" w:rsidP="00BF39B2">
      <w:pPr>
        <w:pStyle w:val="1"/>
        <w:rPr>
          <w:rtl/>
        </w:rPr>
      </w:pPr>
      <w:bookmarkStart w:id="4569" w:name="_Toc526249019"/>
      <w:bookmarkStart w:id="4570" w:name="_Toc526409539"/>
      <w:bookmarkStart w:id="4571" w:name="_Toc526939195"/>
      <w:bookmarkStart w:id="4572" w:name="_Toc527060331"/>
      <w:bookmarkStart w:id="4573" w:name="_Toc527060479"/>
      <w:bookmarkStart w:id="4574" w:name="_Toc527100857"/>
      <w:bookmarkStart w:id="4575" w:name="_Toc528227113"/>
      <w:bookmarkStart w:id="4576" w:name="_Toc528227277"/>
      <w:bookmarkStart w:id="4577" w:name="_Toc528227439"/>
      <w:bookmarkStart w:id="4578" w:name="_Toc19389513"/>
      <w:bookmarkStart w:id="4579" w:name="_Toc19393010"/>
      <w:r>
        <w:rPr>
          <w:rFonts w:hint="cs"/>
          <w:rtl/>
        </w:rPr>
        <w:t>בביאור דברי הרמב"ם דהוי ספק נבילה</w:t>
      </w:r>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p>
    <w:p w14:paraId="6EB65B3C" w14:textId="77777777" w:rsidR="00FC47D4" w:rsidRPr="003B6DD4" w:rsidRDefault="00FC47D4" w:rsidP="006D6D32">
      <w:pPr>
        <w:pStyle w:val="a3"/>
        <w:rPr>
          <w:rtl/>
        </w:rPr>
      </w:pPr>
      <w:bookmarkStart w:id="4580" w:name="_Toc523735764"/>
      <w:bookmarkStart w:id="4581" w:name="_Toc526249020"/>
      <w:bookmarkStart w:id="4582" w:name="_Toc526409540"/>
      <w:bookmarkStart w:id="4583" w:name="_Toc526939196"/>
      <w:bookmarkStart w:id="4584" w:name="_Toc527060332"/>
      <w:bookmarkStart w:id="4585" w:name="_Toc527060480"/>
      <w:bookmarkStart w:id="4586" w:name="_Toc527100858"/>
      <w:bookmarkStart w:id="4587" w:name="_Toc528227114"/>
      <w:bookmarkStart w:id="4588" w:name="_Toc528227278"/>
      <w:bookmarkStart w:id="4589" w:name="_Toc528227440"/>
      <w:bookmarkStart w:id="4590" w:name="_Toc19389514"/>
      <w:bookmarkStart w:id="4591" w:name="_Toc19393011"/>
      <w:r>
        <w:rPr>
          <w:rFonts w:hint="cs"/>
          <w:rtl/>
        </w:rPr>
        <w:t>דברי הכס"מ דכיון שהריעותא בסכין אינה ודאי נבילה וכדברי רב הונא "דשמא" בעור נפגמה</w:t>
      </w:r>
      <w:bookmarkEnd w:id="4580"/>
      <w:bookmarkEnd w:id="4581"/>
      <w:bookmarkEnd w:id="4582"/>
      <w:bookmarkEnd w:id="4583"/>
      <w:bookmarkEnd w:id="4584"/>
      <w:bookmarkEnd w:id="4585"/>
      <w:bookmarkEnd w:id="4586"/>
      <w:bookmarkEnd w:id="4587"/>
      <w:bookmarkEnd w:id="4588"/>
      <w:bookmarkEnd w:id="4589"/>
      <w:bookmarkEnd w:id="4590"/>
      <w:bookmarkEnd w:id="4591"/>
    </w:p>
    <w:p w14:paraId="64D6F3F9" w14:textId="77777777" w:rsidR="00FC47D4" w:rsidRDefault="00FC47D4" w:rsidP="00223668">
      <w:pPr>
        <w:pStyle w:val="a0"/>
        <w:rPr>
          <w:rtl/>
        </w:rPr>
      </w:pPr>
      <w:bookmarkStart w:id="4592" w:name="_Ref526668054"/>
      <w:r>
        <w:rPr>
          <w:rFonts w:hint="cs"/>
          <w:rtl/>
        </w:rPr>
        <w:t xml:space="preserve">כתב </w:t>
      </w:r>
      <w:r w:rsidRPr="009E3BF1">
        <w:rPr>
          <w:rStyle w:val="af9"/>
          <w:rFonts w:hint="cs"/>
          <w:rtl/>
        </w:rPr>
        <w:t>הכס"מ</w:t>
      </w:r>
      <w:r>
        <w:rPr>
          <w:rFonts w:hint="cs"/>
          <w:rtl/>
        </w:rPr>
        <w:t xml:space="preserve"> </w:t>
      </w:r>
      <w:r w:rsidRPr="009E3BF1">
        <w:rPr>
          <w:rStyle w:val="af7"/>
          <w:rFonts w:eastAsia="Guttman Hodes" w:hint="cs"/>
          <w:rtl/>
        </w:rPr>
        <w:t>(שחיטה א' כ"ד)</w:t>
      </w:r>
      <w:r>
        <w:rPr>
          <w:rFonts w:hint="cs"/>
          <w:rtl/>
        </w:rPr>
        <w:t xml:space="preserve"> דמה שכתב </w:t>
      </w:r>
      <w:r w:rsidRPr="003B6DD4">
        <w:rPr>
          <w:rStyle w:val="af9"/>
          <w:rFonts w:hint="cs"/>
          <w:rtl/>
        </w:rPr>
        <w:t>הרמב"ם</w:t>
      </w:r>
      <w:r>
        <w:rPr>
          <w:rFonts w:hint="cs"/>
          <w:rtl/>
        </w:rPr>
        <w:t xml:space="preserve"> </w:t>
      </w:r>
      <w:r w:rsidRPr="00535F08">
        <w:rPr>
          <w:rStyle w:val="af7"/>
          <w:rFonts w:eastAsia="Guttman Hodes" w:hint="cs"/>
          <w:rtl/>
        </w:rPr>
        <w:t xml:space="preserve">(עי' אות </w:t>
      </w:r>
      <w:r w:rsidRPr="00535F08">
        <w:rPr>
          <w:rStyle w:val="af7"/>
          <w:rFonts w:eastAsia="Guttman Hodes"/>
          <w:rtl/>
        </w:rPr>
        <w:fldChar w:fldCharType="begin"/>
      </w:r>
      <w:r w:rsidRPr="00535F08">
        <w:rPr>
          <w:rStyle w:val="af7"/>
          <w:rFonts w:eastAsia="Guttman Hodes"/>
          <w:rtl/>
        </w:rPr>
        <w:instrText xml:space="preserve"> </w:instrText>
      </w:r>
      <w:r w:rsidRPr="00535F08">
        <w:rPr>
          <w:rStyle w:val="af7"/>
          <w:rFonts w:eastAsia="Guttman Hodes" w:hint="cs"/>
        </w:rPr>
        <w:instrText>REF</w:instrText>
      </w:r>
      <w:r w:rsidRPr="00535F08">
        <w:rPr>
          <w:rStyle w:val="af7"/>
          <w:rFonts w:eastAsia="Guttman Hodes" w:hint="cs"/>
          <w:rtl/>
        </w:rPr>
        <w:instrText xml:space="preserve"> _</w:instrText>
      </w:r>
      <w:r w:rsidRPr="00535F08">
        <w:rPr>
          <w:rStyle w:val="af7"/>
          <w:rFonts w:eastAsia="Guttman Hodes" w:hint="cs"/>
        </w:rPr>
        <w:instrText>Ref523254787 \r \h</w:instrText>
      </w:r>
      <w:r w:rsidRPr="00535F08">
        <w:rPr>
          <w:rStyle w:val="af7"/>
          <w:rFonts w:eastAsia="Guttman Hodes"/>
          <w:rtl/>
        </w:rPr>
        <w:instrText xml:space="preserve"> </w:instrText>
      </w:r>
      <w:r w:rsidRPr="00535F08">
        <w:rPr>
          <w:rStyle w:val="af7"/>
          <w:rFonts w:eastAsia="Guttman Hodes"/>
          <w:rtl/>
        </w:rPr>
      </w:r>
      <w:r w:rsidRPr="00535F08">
        <w:rPr>
          <w:rStyle w:val="af7"/>
          <w:rFonts w:eastAsia="Guttman Hodes"/>
          <w:rtl/>
        </w:rPr>
        <w:fldChar w:fldCharType="separate"/>
      </w:r>
      <w:r w:rsidR="00345400">
        <w:rPr>
          <w:rStyle w:val="af7"/>
          <w:rFonts w:eastAsia="Guttman Hodes"/>
          <w:cs/>
        </w:rPr>
        <w:t>‎</w:t>
      </w:r>
      <w:r w:rsidR="00345400">
        <w:rPr>
          <w:rStyle w:val="af7"/>
          <w:rFonts w:eastAsia="Guttman Hodes"/>
          <w:rtl/>
        </w:rPr>
        <w:t>פד)</w:t>
      </w:r>
      <w:r w:rsidRPr="00535F08">
        <w:rPr>
          <w:rStyle w:val="af7"/>
          <w:rFonts w:eastAsia="Guttman Hodes"/>
          <w:rtl/>
        </w:rPr>
        <w:fldChar w:fldCharType="end"/>
      </w:r>
      <w:r>
        <w:rPr>
          <w:rFonts w:hint="cs"/>
          <w:rtl/>
        </w:rPr>
        <w:t xml:space="preserve"> דהוי ספק נבילה, ולא כתב דהיא נבילה כדברי רב הונא דאמר פסולה, דכיון דהריעותא היא בסכין ולא בבהמה, וא"כ צ"ל דאף רב הונא אסר רק מספק, וכדמשמע מדברי רב הונא שאמר חיישינן "שמא" בעור נפגמה, ומשמע שהיא פסולה מספק, וע"ע בדברי </w:t>
      </w:r>
      <w:r w:rsidRPr="00911884">
        <w:rPr>
          <w:rStyle w:val="af9"/>
          <w:rFonts w:hint="cs"/>
          <w:rtl/>
        </w:rPr>
        <w:t>הגרעק"א</w:t>
      </w:r>
      <w:r>
        <w:rPr>
          <w:rFonts w:hint="cs"/>
          <w:rtl/>
        </w:rPr>
        <w:t xml:space="preserve"> </w:t>
      </w:r>
      <w:r w:rsidRPr="002815C1">
        <w:rPr>
          <w:rStyle w:val="af7"/>
          <w:rFonts w:eastAsia="Guttman Hodes" w:hint="cs"/>
          <w:rtl/>
        </w:rPr>
        <w:t xml:space="preserve">(עי' אות </w:t>
      </w:r>
      <w:r w:rsidRPr="002815C1">
        <w:rPr>
          <w:rStyle w:val="af7"/>
          <w:rFonts w:eastAsia="Guttman Hodes"/>
          <w:rtl/>
        </w:rPr>
        <w:fldChar w:fldCharType="begin"/>
      </w:r>
      <w:r w:rsidRPr="002815C1">
        <w:rPr>
          <w:rStyle w:val="af7"/>
          <w:rFonts w:eastAsia="Guttman Hodes"/>
          <w:rtl/>
        </w:rPr>
        <w:instrText xml:space="preserve"> </w:instrText>
      </w:r>
      <w:r w:rsidRPr="002815C1">
        <w:rPr>
          <w:rStyle w:val="af7"/>
          <w:rFonts w:eastAsia="Guttman Hodes" w:hint="cs"/>
        </w:rPr>
        <w:instrText>REF</w:instrText>
      </w:r>
      <w:r w:rsidRPr="002815C1">
        <w:rPr>
          <w:rStyle w:val="af7"/>
          <w:rFonts w:eastAsia="Guttman Hodes" w:hint="cs"/>
          <w:rtl/>
        </w:rPr>
        <w:instrText xml:space="preserve"> _</w:instrText>
      </w:r>
      <w:r w:rsidRPr="002815C1">
        <w:rPr>
          <w:rStyle w:val="af7"/>
          <w:rFonts w:eastAsia="Guttman Hodes" w:hint="cs"/>
        </w:rPr>
        <w:instrText>Ref526667965 \r \h</w:instrText>
      </w:r>
      <w:r w:rsidRPr="002815C1">
        <w:rPr>
          <w:rStyle w:val="af7"/>
          <w:rFonts w:eastAsia="Guttman Hodes"/>
          <w:rtl/>
        </w:rPr>
        <w:instrText xml:space="preserve"> </w:instrText>
      </w:r>
      <w:r w:rsidRPr="002815C1">
        <w:rPr>
          <w:rStyle w:val="af7"/>
          <w:rFonts w:eastAsia="Guttman Hodes"/>
          <w:rtl/>
        </w:rPr>
      </w:r>
      <w:r w:rsidRPr="002815C1">
        <w:rPr>
          <w:rStyle w:val="af7"/>
          <w:rFonts w:eastAsia="Guttman Hodes"/>
          <w:rtl/>
        </w:rPr>
        <w:fldChar w:fldCharType="separate"/>
      </w:r>
      <w:r w:rsidR="00345400">
        <w:rPr>
          <w:rStyle w:val="af7"/>
          <w:rFonts w:eastAsia="Guttman Hodes"/>
          <w:cs/>
        </w:rPr>
        <w:t>‎</w:t>
      </w:r>
      <w:r w:rsidR="00345400">
        <w:rPr>
          <w:rStyle w:val="af7"/>
          <w:rFonts w:eastAsia="Guttman Hodes"/>
          <w:rtl/>
        </w:rPr>
        <w:t>נו)</w:t>
      </w:r>
      <w:r w:rsidRPr="002815C1">
        <w:rPr>
          <w:rStyle w:val="af7"/>
          <w:rFonts w:eastAsia="Guttman Hodes"/>
          <w:rtl/>
        </w:rPr>
        <w:fldChar w:fldCharType="end"/>
      </w:r>
      <w:r>
        <w:rPr>
          <w:rFonts w:hint="cs"/>
          <w:rtl/>
        </w:rPr>
        <w:t xml:space="preserve"> </w:t>
      </w:r>
      <w:r w:rsidRPr="00911884">
        <w:rPr>
          <w:rStyle w:val="af9"/>
          <w:rFonts w:hint="cs"/>
          <w:rtl/>
        </w:rPr>
        <w:t>והש"ש</w:t>
      </w:r>
      <w:r>
        <w:rPr>
          <w:rFonts w:hint="cs"/>
          <w:rtl/>
        </w:rPr>
        <w:t xml:space="preserve"> </w:t>
      </w:r>
      <w:r w:rsidRPr="002815C1">
        <w:rPr>
          <w:rStyle w:val="af7"/>
          <w:rFonts w:eastAsia="Guttman Hodes" w:hint="cs"/>
          <w:rtl/>
        </w:rPr>
        <w:t xml:space="preserve">(עי' אות </w:t>
      </w:r>
      <w:r w:rsidRPr="002815C1">
        <w:rPr>
          <w:rStyle w:val="af7"/>
          <w:rFonts w:eastAsia="Guttman Hodes"/>
          <w:rtl/>
        </w:rPr>
        <w:fldChar w:fldCharType="begin"/>
      </w:r>
      <w:r w:rsidRPr="002815C1">
        <w:rPr>
          <w:rStyle w:val="af7"/>
          <w:rFonts w:eastAsia="Guttman Hodes"/>
          <w:rtl/>
        </w:rPr>
        <w:instrText xml:space="preserve"> </w:instrText>
      </w:r>
      <w:r w:rsidRPr="002815C1">
        <w:rPr>
          <w:rStyle w:val="af7"/>
          <w:rFonts w:eastAsia="Guttman Hodes" w:hint="cs"/>
        </w:rPr>
        <w:instrText>REF</w:instrText>
      </w:r>
      <w:r w:rsidRPr="002815C1">
        <w:rPr>
          <w:rStyle w:val="af7"/>
          <w:rFonts w:eastAsia="Guttman Hodes" w:hint="cs"/>
          <w:rtl/>
        </w:rPr>
        <w:instrText xml:space="preserve"> _</w:instrText>
      </w:r>
      <w:r w:rsidRPr="002815C1">
        <w:rPr>
          <w:rStyle w:val="af7"/>
          <w:rFonts w:eastAsia="Guttman Hodes" w:hint="cs"/>
        </w:rPr>
        <w:instrText>Ref526667973 \r \h</w:instrText>
      </w:r>
      <w:r w:rsidRPr="002815C1">
        <w:rPr>
          <w:rStyle w:val="af7"/>
          <w:rFonts w:eastAsia="Guttman Hodes"/>
          <w:rtl/>
        </w:rPr>
        <w:instrText xml:space="preserve"> </w:instrText>
      </w:r>
      <w:r w:rsidRPr="002815C1">
        <w:rPr>
          <w:rStyle w:val="af7"/>
          <w:rFonts w:eastAsia="Guttman Hodes"/>
          <w:rtl/>
        </w:rPr>
      </w:r>
      <w:r w:rsidRPr="002815C1">
        <w:rPr>
          <w:rStyle w:val="af7"/>
          <w:rFonts w:eastAsia="Guttman Hodes"/>
          <w:rtl/>
        </w:rPr>
        <w:fldChar w:fldCharType="separate"/>
      </w:r>
      <w:r w:rsidR="00345400">
        <w:rPr>
          <w:rStyle w:val="af7"/>
          <w:rFonts w:eastAsia="Guttman Hodes"/>
          <w:cs/>
        </w:rPr>
        <w:t>‎</w:t>
      </w:r>
      <w:r w:rsidR="00345400">
        <w:rPr>
          <w:rStyle w:val="af7"/>
          <w:rFonts w:eastAsia="Guttman Hodes"/>
          <w:rtl/>
        </w:rPr>
        <w:t>נז)</w:t>
      </w:r>
      <w:r w:rsidRPr="002815C1">
        <w:rPr>
          <w:rStyle w:val="af7"/>
          <w:rFonts w:eastAsia="Guttman Hodes"/>
          <w:rtl/>
        </w:rPr>
        <w:fldChar w:fldCharType="end"/>
      </w:r>
      <w:r>
        <w:rPr>
          <w:rFonts w:hint="cs"/>
          <w:rtl/>
        </w:rPr>
        <w:t xml:space="preserve"> בזה.</w:t>
      </w:r>
      <w:bookmarkEnd w:id="4592"/>
    </w:p>
    <w:p w14:paraId="255A75F2" w14:textId="77777777" w:rsidR="007504D1" w:rsidRDefault="007504D1" w:rsidP="006D6D32">
      <w:pPr>
        <w:pStyle w:val="a3"/>
        <w:rPr>
          <w:rtl/>
        </w:rPr>
      </w:pPr>
      <w:bookmarkStart w:id="4593" w:name="_Toc523735765"/>
      <w:bookmarkStart w:id="4594" w:name="_Toc526249021"/>
      <w:bookmarkStart w:id="4595" w:name="_Toc526409541"/>
      <w:bookmarkStart w:id="4596" w:name="_Toc526939197"/>
      <w:bookmarkStart w:id="4597" w:name="_Toc527060333"/>
      <w:bookmarkStart w:id="4598" w:name="_Toc527060481"/>
      <w:bookmarkStart w:id="4599" w:name="_Toc527100859"/>
      <w:bookmarkStart w:id="4600" w:name="_Toc528227115"/>
      <w:bookmarkStart w:id="4601" w:name="_Toc528227279"/>
      <w:bookmarkStart w:id="4602" w:name="_Toc528227441"/>
    </w:p>
    <w:p w14:paraId="1A6B7A44" w14:textId="77777777" w:rsidR="00FC47D4" w:rsidRDefault="00FC47D4" w:rsidP="006D6D32">
      <w:pPr>
        <w:pStyle w:val="a3"/>
      </w:pPr>
      <w:bookmarkStart w:id="4603" w:name="_Toc19389515"/>
      <w:bookmarkStart w:id="4604" w:name="_Toc19393012"/>
      <w:r>
        <w:rPr>
          <w:rFonts w:hint="cs"/>
          <w:rtl/>
        </w:rPr>
        <w:t>פלוגתת הב"ח והש"ך בדעת הטור אי הוי ודאי נבילה או ספק נבילה</w:t>
      </w:r>
      <w:bookmarkEnd w:id="4593"/>
      <w:bookmarkEnd w:id="4594"/>
      <w:bookmarkEnd w:id="4595"/>
      <w:bookmarkEnd w:id="4596"/>
      <w:bookmarkEnd w:id="4597"/>
      <w:bookmarkEnd w:id="4598"/>
      <w:bookmarkEnd w:id="4599"/>
      <w:bookmarkEnd w:id="4600"/>
      <w:bookmarkEnd w:id="4601"/>
      <w:bookmarkEnd w:id="4602"/>
      <w:bookmarkEnd w:id="4603"/>
      <w:bookmarkEnd w:id="4604"/>
    </w:p>
    <w:p w14:paraId="283E42C5" w14:textId="77777777" w:rsidR="00FC47D4" w:rsidRPr="00F42838" w:rsidRDefault="00FC47D4" w:rsidP="00223668">
      <w:pPr>
        <w:pStyle w:val="a0"/>
        <w:rPr>
          <w:rtl/>
        </w:rPr>
      </w:pPr>
      <w:bookmarkStart w:id="4605" w:name="_Ref527231763"/>
      <w:r>
        <w:rPr>
          <w:rFonts w:hint="cs"/>
          <w:rtl/>
        </w:rPr>
        <w:t xml:space="preserve">כתב </w:t>
      </w:r>
      <w:r w:rsidRPr="00F42838">
        <w:rPr>
          <w:rStyle w:val="af9"/>
          <w:rFonts w:hint="cs"/>
          <w:rtl/>
        </w:rPr>
        <w:t>הטור</w:t>
      </w:r>
      <w:r>
        <w:rPr>
          <w:rFonts w:hint="cs"/>
          <w:rtl/>
        </w:rPr>
        <w:t xml:space="preserve"> </w:t>
      </w:r>
      <w:r w:rsidRPr="00F42838">
        <w:rPr>
          <w:rStyle w:val="af7"/>
          <w:rFonts w:eastAsia="Guttman Hodes" w:hint="cs"/>
          <w:rtl/>
        </w:rPr>
        <w:t>(י"ח א')</w:t>
      </w:r>
      <w:r>
        <w:rPr>
          <w:rFonts w:hint="cs"/>
          <w:rtl/>
        </w:rPr>
        <w:t xml:space="preserve"> דהשוחט בסכין ונמצאת פגומה, ה"ז נבילה, וכתב </w:t>
      </w:r>
      <w:r w:rsidRPr="00F42838">
        <w:rPr>
          <w:rStyle w:val="af9"/>
          <w:rFonts w:hint="cs"/>
          <w:rtl/>
        </w:rPr>
        <w:t xml:space="preserve">הב"ח </w:t>
      </w:r>
      <w:r w:rsidRPr="00F42838">
        <w:rPr>
          <w:rStyle w:val="af7"/>
          <w:rFonts w:eastAsia="Guttman Hodes" w:hint="cs"/>
          <w:rtl/>
        </w:rPr>
        <w:t>(י"ח ב')</w:t>
      </w:r>
      <w:r>
        <w:rPr>
          <w:rFonts w:hint="cs"/>
          <w:rtl/>
        </w:rPr>
        <w:t xml:space="preserve"> דאף דמבואר </w:t>
      </w:r>
      <w:r w:rsidRPr="00F42838">
        <w:rPr>
          <w:rStyle w:val="af9"/>
          <w:rFonts w:hint="cs"/>
          <w:rtl/>
        </w:rPr>
        <w:t xml:space="preserve">ברמב"ם </w:t>
      </w:r>
      <w:r w:rsidRPr="00F42838">
        <w:rPr>
          <w:rStyle w:val="af7"/>
          <w:rFonts w:eastAsia="Guttman Hodes" w:hint="cs"/>
          <w:rtl/>
        </w:rPr>
        <w:t xml:space="preserve">(עי' אות </w:t>
      </w:r>
      <w:r w:rsidRPr="00F42838">
        <w:rPr>
          <w:rStyle w:val="af7"/>
          <w:rFonts w:eastAsia="Guttman Hodes"/>
          <w:rtl/>
        </w:rPr>
        <w:fldChar w:fldCharType="begin"/>
      </w:r>
      <w:r w:rsidRPr="00F42838">
        <w:rPr>
          <w:rStyle w:val="af7"/>
          <w:rFonts w:eastAsia="Guttman Hodes"/>
          <w:rtl/>
        </w:rPr>
        <w:instrText xml:space="preserve"> </w:instrText>
      </w:r>
      <w:r w:rsidRPr="00F42838">
        <w:rPr>
          <w:rStyle w:val="af7"/>
          <w:rFonts w:eastAsia="Guttman Hodes" w:hint="cs"/>
        </w:rPr>
        <w:instrText>REF</w:instrText>
      </w:r>
      <w:r w:rsidRPr="00F42838">
        <w:rPr>
          <w:rStyle w:val="af7"/>
          <w:rFonts w:eastAsia="Guttman Hodes" w:hint="cs"/>
          <w:rtl/>
        </w:rPr>
        <w:instrText xml:space="preserve"> _</w:instrText>
      </w:r>
      <w:r w:rsidRPr="00F42838">
        <w:rPr>
          <w:rStyle w:val="af7"/>
          <w:rFonts w:eastAsia="Guttman Hodes" w:hint="cs"/>
        </w:rPr>
        <w:instrText>Ref523254787 \r \h</w:instrText>
      </w:r>
      <w:r w:rsidRPr="00F42838">
        <w:rPr>
          <w:rStyle w:val="af7"/>
          <w:rFonts w:eastAsia="Guttman Hodes"/>
          <w:rtl/>
        </w:rPr>
        <w:instrText xml:space="preserve"> </w:instrText>
      </w:r>
      <w:r w:rsidRPr="00F42838">
        <w:rPr>
          <w:rStyle w:val="af7"/>
          <w:rFonts w:eastAsia="Guttman Hodes"/>
          <w:rtl/>
        </w:rPr>
      </w:r>
      <w:r w:rsidRPr="00F42838">
        <w:rPr>
          <w:rStyle w:val="af7"/>
          <w:rFonts w:eastAsia="Guttman Hodes"/>
          <w:rtl/>
        </w:rPr>
        <w:fldChar w:fldCharType="separate"/>
      </w:r>
      <w:r w:rsidR="00345400">
        <w:rPr>
          <w:rStyle w:val="af7"/>
          <w:rFonts w:eastAsia="Guttman Hodes"/>
          <w:cs/>
        </w:rPr>
        <w:t>‎</w:t>
      </w:r>
      <w:r w:rsidR="00345400">
        <w:rPr>
          <w:rStyle w:val="af7"/>
          <w:rFonts w:eastAsia="Guttman Hodes"/>
          <w:rtl/>
        </w:rPr>
        <w:t>פד)</w:t>
      </w:r>
      <w:r w:rsidRPr="00F42838">
        <w:rPr>
          <w:rStyle w:val="af7"/>
          <w:rFonts w:eastAsia="Guttman Hodes"/>
          <w:rtl/>
        </w:rPr>
        <w:fldChar w:fldCharType="end"/>
      </w:r>
      <w:r>
        <w:rPr>
          <w:rFonts w:hint="cs"/>
          <w:rtl/>
        </w:rPr>
        <w:t xml:space="preserve"> דהיא ספק נבילה, מ"מ כוונת </w:t>
      </w:r>
      <w:r w:rsidRPr="0088180F">
        <w:rPr>
          <w:rStyle w:val="af9"/>
          <w:rFonts w:hint="cs"/>
          <w:rtl/>
        </w:rPr>
        <w:t>הטור</w:t>
      </w:r>
      <w:r>
        <w:rPr>
          <w:rFonts w:hint="cs"/>
          <w:rtl/>
        </w:rPr>
        <w:t xml:space="preserve"> לומר דפטור מכיסוי הדם דמחזקינן לה בנבילה גמורה, אבל </w:t>
      </w:r>
      <w:r w:rsidRPr="00F42838">
        <w:rPr>
          <w:rStyle w:val="af9"/>
          <w:rFonts w:hint="cs"/>
          <w:rtl/>
        </w:rPr>
        <w:t>הש"ך</w:t>
      </w:r>
      <w:r>
        <w:rPr>
          <w:rFonts w:hint="cs"/>
          <w:rtl/>
        </w:rPr>
        <w:t xml:space="preserve"> </w:t>
      </w:r>
      <w:r w:rsidRPr="00F42838">
        <w:rPr>
          <w:rStyle w:val="af7"/>
          <w:rFonts w:eastAsia="Guttman Hodes" w:hint="cs"/>
          <w:rtl/>
        </w:rPr>
        <w:t>(י"ח א', כ"ח כ"ז)</w:t>
      </w:r>
      <w:r>
        <w:rPr>
          <w:rFonts w:hint="cs"/>
          <w:rtl/>
        </w:rPr>
        <w:t xml:space="preserve"> כתב דהיא ספק נבילה אף לענין כיסוי, וכמבואר </w:t>
      </w:r>
      <w:r w:rsidRPr="00F42838">
        <w:rPr>
          <w:rStyle w:val="af9"/>
          <w:rFonts w:hint="cs"/>
          <w:rtl/>
        </w:rPr>
        <w:t xml:space="preserve">ברמב"ם </w:t>
      </w:r>
      <w:r w:rsidRPr="00F42838">
        <w:rPr>
          <w:rStyle w:val="af7"/>
          <w:rFonts w:eastAsia="Guttman Hodes" w:hint="cs"/>
          <w:rtl/>
        </w:rPr>
        <w:t xml:space="preserve">(עי' אות </w:t>
      </w:r>
      <w:r w:rsidRPr="00F42838">
        <w:rPr>
          <w:rStyle w:val="af7"/>
          <w:rFonts w:eastAsia="Guttman Hodes"/>
          <w:rtl/>
        </w:rPr>
        <w:fldChar w:fldCharType="begin"/>
      </w:r>
      <w:r w:rsidRPr="00F42838">
        <w:rPr>
          <w:rStyle w:val="af7"/>
          <w:rFonts w:eastAsia="Guttman Hodes"/>
          <w:rtl/>
        </w:rPr>
        <w:instrText xml:space="preserve"> </w:instrText>
      </w:r>
      <w:r w:rsidRPr="00F42838">
        <w:rPr>
          <w:rStyle w:val="af7"/>
          <w:rFonts w:eastAsia="Guttman Hodes" w:hint="cs"/>
        </w:rPr>
        <w:instrText>REF</w:instrText>
      </w:r>
      <w:r w:rsidRPr="00F42838">
        <w:rPr>
          <w:rStyle w:val="af7"/>
          <w:rFonts w:eastAsia="Guttman Hodes" w:hint="cs"/>
          <w:rtl/>
        </w:rPr>
        <w:instrText xml:space="preserve"> _</w:instrText>
      </w:r>
      <w:r w:rsidRPr="00F42838">
        <w:rPr>
          <w:rStyle w:val="af7"/>
          <w:rFonts w:eastAsia="Guttman Hodes" w:hint="cs"/>
        </w:rPr>
        <w:instrText>Ref523254787 \r \h</w:instrText>
      </w:r>
      <w:r w:rsidRPr="00F42838">
        <w:rPr>
          <w:rStyle w:val="af7"/>
          <w:rFonts w:eastAsia="Guttman Hodes"/>
          <w:rtl/>
        </w:rPr>
        <w:instrText xml:space="preserve"> </w:instrText>
      </w:r>
      <w:r w:rsidRPr="00F42838">
        <w:rPr>
          <w:rStyle w:val="af7"/>
          <w:rFonts w:eastAsia="Guttman Hodes"/>
          <w:rtl/>
        </w:rPr>
      </w:r>
      <w:r w:rsidRPr="00F42838">
        <w:rPr>
          <w:rStyle w:val="af7"/>
          <w:rFonts w:eastAsia="Guttman Hodes"/>
          <w:rtl/>
        </w:rPr>
        <w:fldChar w:fldCharType="separate"/>
      </w:r>
      <w:r w:rsidR="00345400">
        <w:rPr>
          <w:rStyle w:val="af7"/>
          <w:rFonts w:eastAsia="Guttman Hodes"/>
          <w:cs/>
        </w:rPr>
        <w:t>‎</w:t>
      </w:r>
      <w:r w:rsidR="00345400">
        <w:rPr>
          <w:rStyle w:val="af7"/>
          <w:rFonts w:eastAsia="Guttman Hodes"/>
          <w:rtl/>
        </w:rPr>
        <w:t>פד)</w:t>
      </w:r>
      <w:r w:rsidRPr="00F42838">
        <w:rPr>
          <w:rStyle w:val="af7"/>
          <w:rFonts w:eastAsia="Guttman Hodes"/>
          <w:rtl/>
        </w:rPr>
        <w:fldChar w:fldCharType="end"/>
      </w:r>
      <w:r>
        <w:rPr>
          <w:rFonts w:hint="cs"/>
          <w:rtl/>
        </w:rPr>
        <w:t xml:space="preserve"> וכתב </w:t>
      </w:r>
      <w:r w:rsidRPr="00F42838">
        <w:rPr>
          <w:rStyle w:val="af9"/>
          <w:rFonts w:hint="cs"/>
          <w:rtl/>
        </w:rPr>
        <w:t>הש"ך</w:t>
      </w:r>
      <w:r>
        <w:rPr>
          <w:rFonts w:hint="cs"/>
          <w:rtl/>
        </w:rPr>
        <w:t xml:space="preserve"> דא"א לדייק מדברי </w:t>
      </w:r>
      <w:r w:rsidRPr="00F42838">
        <w:rPr>
          <w:rStyle w:val="af9"/>
          <w:rFonts w:hint="cs"/>
          <w:rtl/>
        </w:rPr>
        <w:t>הטור</w:t>
      </w:r>
      <w:r>
        <w:rPr>
          <w:rFonts w:hint="cs"/>
          <w:rtl/>
        </w:rPr>
        <w:t xml:space="preserve"> דהיא ודאי  נבילה, עיי"ש</w:t>
      </w:r>
      <w:r>
        <w:rPr>
          <w:rStyle w:val="af1"/>
          <w:rtl/>
        </w:rPr>
        <w:footnoteReference w:id="19"/>
      </w:r>
      <w:r>
        <w:rPr>
          <w:rFonts w:hint="cs"/>
          <w:rtl/>
        </w:rPr>
        <w:t>.</w:t>
      </w:r>
      <w:bookmarkEnd w:id="4605"/>
    </w:p>
    <w:p w14:paraId="77943EA7" w14:textId="77777777" w:rsidR="00FC47D4" w:rsidRDefault="00FC47D4" w:rsidP="006D6D32">
      <w:pPr>
        <w:pStyle w:val="a3"/>
        <w:rPr>
          <w:rtl/>
        </w:rPr>
      </w:pPr>
      <w:bookmarkStart w:id="4606" w:name="_Toc523735766"/>
      <w:bookmarkStart w:id="4607" w:name="_Toc526249022"/>
      <w:bookmarkStart w:id="4608" w:name="_Toc526409542"/>
      <w:bookmarkStart w:id="4609" w:name="_Toc526939198"/>
      <w:bookmarkStart w:id="4610" w:name="_Toc527060334"/>
      <w:bookmarkStart w:id="4611" w:name="_Toc527060482"/>
      <w:bookmarkStart w:id="4612" w:name="_Toc527100860"/>
      <w:bookmarkStart w:id="4613" w:name="_Toc528227116"/>
      <w:bookmarkStart w:id="4614" w:name="_Toc528227280"/>
      <w:bookmarkStart w:id="4615" w:name="_Toc528227442"/>
      <w:bookmarkStart w:id="4616" w:name="_Toc19389516"/>
      <w:bookmarkStart w:id="4617" w:name="_Toc19393013"/>
      <w:r>
        <w:rPr>
          <w:rFonts w:hint="cs"/>
          <w:rtl/>
        </w:rPr>
        <w:t>דברי הראש יוסף דלדעת הרמב"ם היא ודאי נבילה וכוונת הרמב"ם לומר דתלינן דנפגמה בעור</w:t>
      </w:r>
      <w:bookmarkEnd w:id="4606"/>
      <w:bookmarkEnd w:id="4607"/>
      <w:bookmarkEnd w:id="4608"/>
      <w:bookmarkEnd w:id="4609"/>
      <w:bookmarkEnd w:id="4610"/>
      <w:bookmarkEnd w:id="4611"/>
      <w:bookmarkEnd w:id="4612"/>
      <w:bookmarkEnd w:id="4613"/>
      <w:bookmarkEnd w:id="4614"/>
      <w:bookmarkEnd w:id="4615"/>
      <w:bookmarkEnd w:id="4616"/>
      <w:bookmarkEnd w:id="4617"/>
    </w:p>
    <w:p w14:paraId="0D348AA0" w14:textId="77777777" w:rsidR="00FC47D4" w:rsidRDefault="00FC47D4" w:rsidP="00223668">
      <w:pPr>
        <w:pStyle w:val="a0"/>
        <w:rPr>
          <w:rtl/>
        </w:rPr>
      </w:pPr>
      <w:bookmarkStart w:id="4618" w:name="_Ref523671916"/>
      <w:r>
        <w:rPr>
          <w:rStyle w:val="af9"/>
          <w:rFonts w:hint="cs"/>
          <w:rtl/>
        </w:rPr>
        <w:t>ו</w:t>
      </w:r>
      <w:r w:rsidRPr="00CC71CD">
        <w:rPr>
          <w:rStyle w:val="af9"/>
          <w:rFonts w:hint="cs"/>
          <w:rtl/>
        </w:rPr>
        <w:t>הראש יוסף</w:t>
      </w:r>
      <w:r>
        <w:rPr>
          <w:rFonts w:hint="cs"/>
          <w:rtl/>
        </w:rPr>
        <w:t xml:space="preserve"> </w:t>
      </w:r>
      <w:r w:rsidRPr="00CC71CD">
        <w:rPr>
          <w:rStyle w:val="af7"/>
          <w:rFonts w:eastAsia="Guttman Hodes" w:hint="cs"/>
          <w:rtl/>
        </w:rPr>
        <w:t xml:space="preserve">(ד"ה ומיהו) </w:t>
      </w:r>
      <w:r>
        <w:rPr>
          <w:rFonts w:hint="cs"/>
          <w:rtl/>
        </w:rPr>
        <w:t xml:space="preserve">כתב דלדעת </w:t>
      </w:r>
      <w:r w:rsidRPr="00CC71CD">
        <w:rPr>
          <w:rStyle w:val="af9"/>
          <w:rFonts w:hint="cs"/>
          <w:rtl/>
        </w:rPr>
        <w:t>הרמב"ם</w:t>
      </w:r>
      <w:r>
        <w:rPr>
          <w:rFonts w:hint="cs"/>
          <w:rtl/>
        </w:rPr>
        <w:t xml:space="preserve"> היא ודאי נבילה וכדכתב שהשחיטה פסולה, וכדביאר </w:t>
      </w:r>
      <w:r w:rsidRPr="00CC71CD">
        <w:rPr>
          <w:rStyle w:val="af9"/>
          <w:rFonts w:hint="cs"/>
          <w:rtl/>
        </w:rPr>
        <w:t>הרמב"ם</w:t>
      </w:r>
      <w:r>
        <w:rPr>
          <w:rFonts w:hint="cs"/>
          <w:rtl/>
        </w:rPr>
        <w:t xml:space="preserve"> </w:t>
      </w:r>
      <w:r w:rsidRPr="00CC71CD">
        <w:rPr>
          <w:rStyle w:val="af7"/>
          <w:rFonts w:eastAsia="Guttman Hodes" w:hint="cs"/>
          <w:rtl/>
        </w:rPr>
        <w:t>(שחיטה ג' י"ח)</w:t>
      </w:r>
      <w:r>
        <w:rPr>
          <w:rFonts w:hint="cs"/>
          <w:rtl/>
        </w:rPr>
        <w:t xml:space="preserve"> דבכל מקום שכתב פסולה היא נבילה, ואף שכתב </w:t>
      </w:r>
      <w:r w:rsidRPr="00CC71CD">
        <w:rPr>
          <w:rStyle w:val="af9"/>
          <w:rFonts w:hint="cs"/>
          <w:rtl/>
        </w:rPr>
        <w:t>הרמב"ם</w:t>
      </w:r>
      <w:r>
        <w:rPr>
          <w:rFonts w:hint="cs"/>
          <w:rtl/>
        </w:rPr>
        <w:t xml:space="preserve"> שכתב דחיישינן שמא בעור נפגמה, דמשמע שהיא ספק נבילה, כתב </w:t>
      </w:r>
      <w:r w:rsidRPr="00CC71CD">
        <w:rPr>
          <w:rStyle w:val="af9"/>
          <w:rFonts w:hint="cs"/>
          <w:rtl/>
        </w:rPr>
        <w:t>הראש יוסף</w:t>
      </w:r>
      <w:r>
        <w:rPr>
          <w:rFonts w:hint="cs"/>
          <w:rtl/>
        </w:rPr>
        <w:t xml:space="preserve"> דכוונתו לומר דתלינן שכך היה.</w:t>
      </w:r>
      <w:bookmarkEnd w:id="4618"/>
    </w:p>
    <w:p w14:paraId="33B6DCA4" w14:textId="77777777" w:rsidR="00FC47D4" w:rsidRDefault="00FC47D4" w:rsidP="006D6D32">
      <w:pPr>
        <w:pStyle w:val="a3"/>
        <w:rPr>
          <w:rtl/>
        </w:rPr>
      </w:pPr>
      <w:bookmarkStart w:id="4619" w:name="_Toc523735767"/>
      <w:bookmarkStart w:id="4620" w:name="_Toc526249023"/>
      <w:bookmarkStart w:id="4621" w:name="_Toc526409543"/>
      <w:bookmarkStart w:id="4622" w:name="_Toc526939199"/>
      <w:bookmarkStart w:id="4623" w:name="_Toc527060335"/>
      <w:bookmarkStart w:id="4624" w:name="_Toc527060483"/>
      <w:bookmarkStart w:id="4625" w:name="_Toc527100861"/>
      <w:bookmarkStart w:id="4626" w:name="_Toc528227117"/>
      <w:bookmarkStart w:id="4627" w:name="_Toc528227281"/>
      <w:bookmarkStart w:id="4628" w:name="_Toc528227443"/>
      <w:bookmarkStart w:id="4629" w:name="_Toc19389517"/>
      <w:bookmarkStart w:id="4630" w:name="_Toc19393014"/>
      <w:r>
        <w:rPr>
          <w:rFonts w:hint="cs"/>
          <w:rtl/>
        </w:rPr>
        <w:t>ביאור הראש יוסף דכיון שיש תרתי לריעותא כמקוה</w:t>
      </w:r>
      <w:r w:rsidRPr="009D18B1">
        <w:rPr>
          <w:rFonts w:hint="cs"/>
          <w:rtl/>
        </w:rPr>
        <w:t xml:space="preserve"> </w:t>
      </w:r>
      <w:r>
        <w:rPr>
          <w:rFonts w:hint="cs"/>
          <w:rtl/>
        </w:rPr>
        <w:t>לכן הוי ודאי נבילה</w:t>
      </w:r>
      <w:bookmarkEnd w:id="4619"/>
      <w:bookmarkEnd w:id="4620"/>
      <w:bookmarkEnd w:id="4621"/>
      <w:bookmarkEnd w:id="4622"/>
      <w:bookmarkEnd w:id="4623"/>
      <w:bookmarkEnd w:id="4624"/>
      <w:bookmarkEnd w:id="4625"/>
      <w:bookmarkEnd w:id="4626"/>
      <w:bookmarkEnd w:id="4627"/>
      <w:bookmarkEnd w:id="4628"/>
      <w:bookmarkEnd w:id="4629"/>
      <w:bookmarkEnd w:id="4630"/>
    </w:p>
    <w:p w14:paraId="093B421E" w14:textId="77777777" w:rsidR="00FC47D4" w:rsidRDefault="00FC47D4" w:rsidP="00223668">
      <w:pPr>
        <w:pStyle w:val="a0"/>
      </w:pPr>
      <w:bookmarkStart w:id="4631" w:name="_Ref527231802"/>
      <w:r>
        <w:rPr>
          <w:rFonts w:hint="cs"/>
          <w:rtl/>
        </w:rPr>
        <w:t xml:space="preserve">וביאר </w:t>
      </w:r>
      <w:r w:rsidRPr="00CC71CD">
        <w:rPr>
          <w:rStyle w:val="af9"/>
          <w:rFonts w:hint="cs"/>
          <w:rtl/>
        </w:rPr>
        <w:t>הראש יוסף</w:t>
      </w:r>
      <w:r>
        <w:rPr>
          <w:rFonts w:hint="cs"/>
          <w:rtl/>
        </w:rPr>
        <w:t xml:space="preserve"> דהא דהיא ודאי נבילה, הוא כיון שיש ב' חזקות לאיסור, חזקת האיסור של הבהמה, וחזקת הסכין דפגום לפניך, והוא תרתי לריעותא כנגד החזקת בדוק של הסכין, ובכה"ג אסורה בודאי, כדין במקוה שנמצא חסר דבתרתי לריעותא ס"ל לרבנן דהוא טמא בודאי.</w:t>
      </w:r>
      <w:bookmarkEnd w:id="4631"/>
    </w:p>
    <w:p w14:paraId="416437C3" w14:textId="77777777" w:rsidR="00FC47D4" w:rsidRDefault="00FC47D4" w:rsidP="006D6D32">
      <w:pPr>
        <w:pStyle w:val="a3"/>
        <w:rPr>
          <w:rtl/>
        </w:rPr>
      </w:pPr>
      <w:bookmarkStart w:id="4632" w:name="_Toc523735768"/>
      <w:bookmarkStart w:id="4633" w:name="_Toc526249024"/>
      <w:bookmarkStart w:id="4634" w:name="_Toc526409544"/>
      <w:bookmarkStart w:id="4635" w:name="_Toc526939200"/>
      <w:bookmarkStart w:id="4636" w:name="_Toc527060336"/>
      <w:bookmarkStart w:id="4637" w:name="_Toc527060484"/>
      <w:bookmarkStart w:id="4638" w:name="_Toc527100862"/>
      <w:bookmarkStart w:id="4639" w:name="_Toc528227118"/>
      <w:bookmarkStart w:id="4640" w:name="_Toc528227282"/>
      <w:bookmarkStart w:id="4641" w:name="_Toc528227444"/>
      <w:bookmarkStart w:id="4642" w:name="_Toc19389518"/>
      <w:bookmarkStart w:id="4643" w:name="_Toc19393015"/>
      <w:r>
        <w:rPr>
          <w:rFonts w:hint="cs"/>
          <w:rtl/>
        </w:rPr>
        <w:t>דברי הראש יוסף דלרמב"ן באבד הסכין אסורה מספק דאין תרת"ל ויש סתירה בחזקות</w:t>
      </w:r>
      <w:bookmarkEnd w:id="4632"/>
      <w:bookmarkEnd w:id="4633"/>
      <w:bookmarkEnd w:id="4634"/>
      <w:bookmarkEnd w:id="4635"/>
      <w:bookmarkEnd w:id="4636"/>
      <w:bookmarkEnd w:id="4637"/>
      <w:bookmarkEnd w:id="4638"/>
      <w:bookmarkEnd w:id="4639"/>
      <w:bookmarkEnd w:id="4640"/>
      <w:bookmarkEnd w:id="4641"/>
      <w:bookmarkEnd w:id="4642"/>
      <w:bookmarkEnd w:id="4643"/>
    </w:p>
    <w:p w14:paraId="3CBC1CE4" w14:textId="77777777" w:rsidR="00FC47D4" w:rsidRDefault="00FC47D4" w:rsidP="00223668">
      <w:pPr>
        <w:pStyle w:val="a0"/>
        <w:rPr>
          <w:rtl/>
        </w:rPr>
      </w:pPr>
      <w:bookmarkStart w:id="4644" w:name="_Ref523672250"/>
      <w:r>
        <w:rPr>
          <w:rFonts w:hint="cs"/>
          <w:rtl/>
        </w:rPr>
        <w:t xml:space="preserve">אבל כתב </w:t>
      </w:r>
      <w:r w:rsidRPr="00CC71CD">
        <w:rPr>
          <w:rStyle w:val="af9"/>
          <w:rFonts w:hint="cs"/>
          <w:rtl/>
        </w:rPr>
        <w:t>הראש יוסף</w:t>
      </w:r>
      <w:r>
        <w:rPr>
          <w:rFonts w:hint="cs"/>
          <w:rtl/>
        </w:rPr>
        <w:t xml:space="preserve"> דבאבד הסכין  דאסורה לדעת </w:t>
      </w:r>
      <w:r w:rsidRPr="00CC71CD">
        <w:rPr>
          <w:rStyle w:val="af9"/>
          <w:rFonts w:hint="cs"/>
          <w:rtl/>
        </w:rPr>
        <w:t>הרמב"ן</w:t>
      </w:r>
      <w:r>
        <w:rPr>
          <w:rStyle w:val="af9"/>
          <w:rFonts w:hint="cs"/>
          <w:rtl/>
        </w:rPr>
        <w:t xml:space="preserve"> </w:t>
      </w:r>
      <w:r w:rsidRPr="00310260">
        <w:rPr>
          <w:rStyle w:val="af7"/>
          <w:rFonts w:eastAsia="Guttman Hodes" w:hint="cs"/>
          <w:rtl/>
        </w:rPr>
        <w:t xml:space="preserve">(עי' אות </w:t>
      </w:r>
      <w:r w:rsidRPr="00310260">
        <w:rPr>
          <w:rStyle w:val="af7"/>
          <w:rFonts w:eastAsia="Guttman Hodes"/>
          <w:rtl/>
        </w:rPr>
        <w:fldChar w:fldCharType="begin"/>
      </w:r>
      <w:r w:rsidRPr="00310260">
        <w:rPr>
          <w:rStyle w:val="af7"/>
          <w:rFonts w:eastAsia="Guttman Hodes"/>
          <w:rtl/>
        </w:rPr>
        <w:instrText xml:space="preserve"> </w:instrText>
      </w:r>
      <w:r w:rsidRPr="00310260">
        <w:rPr>
          <w:rStyle w:val="af7"/>
          <w:rFonts w:eastAsia="Guttman Hodes" w:hint="cs"/>
        </w:rPr>
        <w:instrText>REF</w:instrText>
      </w:r>
      <w:r w:rsidRPr="00310260">
        <w:rPr>
          <w:rStyle w:val="af7"/>
          <w:rFonts w:eastAsia="Guttman Hodes" w:hint="cs"/>
          <w:rtl/>
        </w:rPr>
        <w:instrText xml:space="preserve"> _</w:instrText>
      </w:r>
      <w:r w:rsidRPr="00310260">
        <w:rPr>
          <w:rStyle w:val="af7"/>
          <w:rFonts w:eastAsia="Guttman Hodes" w:hint="cs"/>
        </w:rPr>
        <w:instrText>Ref523132416 \r \h</w:instrText>
      </w:r>
      <w:r w:rsidRPr="00310260">
        <w:rPr>
          <w:rStyle w:val="af7"/>
          <w:rFonts w:eastAsia="Guttman Hodes"/>
          <w:rtl/>
        </w:rPr>
        <w:instrText xml:space="preserve"> </w:instrText>
      </w:r>
      <w:r w:rsidRPr="00310260">
        <w:rPr>
          <w:rStyle w:val="af7"/>
          <w:rFonts w:eastAsia="Guttman Hodes"/>
          <w:rtl/>
        </w:rPr>
      </w:r>
      <w:r w:rsidRPr="00310260">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310260">
        <w:rPr>
          <w:rStyle w:val="af7"/>
          <w:rFonts w:eastAsia="Guttman Hodes"/>
          <w:rtl/>
        </w:rPr>
        <w:fldChar w:fldCharType="end"/>
      </w:r>
      <w:r>
        <w:rPr>
          <w:rFonts w:hint="cs"/>
          <w:rtl/>
        </w:rPr>
        <w:t xml:space="preserve">, מ"מ היא רק ספק נבילה, דאין תרתי לריעותא כין שאין חזקת פגום לפניך, ואסורה מספק כיון שיש סתירה בין החזקת סכין שהוא בדוק, לחזקת איסור של הבהמה, [וע"ע במ"ש </w:t>
      </w:r>
      <w:r w:rsidRPr="00AC2514">
        <w:rPr>
          <w:rStyle w:val="af9"/>
          <w:rFonts w:hint="cs"/>
          <w:rtl/>
        </w:rPr>
        <w:t>הראש יוסף</w:t>
      </w:r>
      <w:r>
        <w:rPr>
          <w:rFonts w:hint="cs"/>
          <w:rtl/>
        </w:rPr>
        <w:t xml:space="preserve"> </w:t>
      </w:r>
      <w:r w:rsidRPr="00AC2514">
        <w:rPr>
          <w:rStyle w:val="af7"/>
          <w:rFonts w:eastAsia="Guttman Hodes" w:hint="cs"/>
          <w:rtl/>
        </w:rPr>
        <w:t xml:space="preserve">(עי' אות </w:t>
      </w:r>
      <w:r w:rsidRPr="00AC2514">
        <w:rPr>
          <w:rStyle w:val="af7"/>
          <w:rFonts w:eastAsia="Guttman Hodes"/>
          <w:rtl/>
        </w:rPr>
        <w:fldChar w:fldCharType="begin"/>
      </w:r>
      <w:r w:rsidRPr="00AC2514">
        <w:rPr>
          <w:rStyle w:val="af7"/>
          <w:rFonts w:eastAsia="Guttman Hodes"/>
          <w:rtl/>
        </w:rPr>
        <w:instrText xml:space="preserve"> </w:instrText>
      </w:r>
      <w:r w:rsidRPr="00AC2514">
        <w:rPr>
          <w:rStyle w:val="af7"/>
          <w:rFonts w:eastAsia="Guttman Hodes" w:hint="cs"/>
        </w:rPr>
        <w:instrText>REF</w:instrText>
      </w:r>
      <w:r w:rsidRPr="00AC2514">
        <w:rPr>
          <w:rStyle w:val="af7"/>
          <w:rFonts w:eastAsia="Guttman Hodes" w:hint="cs"/>
          <w:rtl/>
        </w:rPr>
        <w:instrText xml:space="preserve"> _</w:instrText>
      </w:r>
      <w:r w:rsidRPr="00AC2514">
        <w:rPr>
          <w:rStyle w:val="af7"/>
          <w:rFonts w:eastAsia="Guttman Hodes" w:hint="cs"/>
        </w:rPr>
        <w:instrText>Ref523671939 \r \h</w:instrText>
      </w:r>
      <w:r w:rsidRPr="00AC2514">
        <w:rPr>
          <w:rStyle w:val="af7"/>
          <w:rFonts w:eastAsia="Guttman Hodes"/>
          <w:rtl/>
        </w:rPr>
        <w:instrText xml:space="preserve"> </w:instrText>
      </w:r>
      <w:r w:rsidRPr="00AC2514">
        <w:rPr>
          <w:rStyle w:val="af7"/>
          <w:rFonts w:eastAsia="Guttman Hodes"/>
          <w:rtl/>
        </w:rPr>
      </w:r>
      <w:r w:rsidRPr="00AC2514">
        <w:rPr>
          <w:rStyle w:val="af7"/>
          <w:rFonts w:eastAsia="Guttman Hodes"/>
          <w:rtl/>
        </w:rPr>
        <w:fldChar w:fldCharType="separate"/>
      </w:r>
      <w:r w:rsidR="00345400">
        <w:rPr>
          <w:rStyle w:val="af7"/>
          <w:rFonts w:eastAsia="Guttman Hodes"/>
          <w:cs/>
        </w:rPr>
        <w:t>‎</w:t>
      </w:r>
      <w:r w:rsidR="00345400">
        <w:rPr>
          <w:rStyle w:val="af7"/>
          <w:rFonts w:eastAsia="Guttman Hodes"/>
          <w:rtl/>
        </w:rPr>
        <w:t>כט)</w:t>
      </w:r>
      <w:r w:rsidRPr="00AC2514">
        <w:rPr>
          <w:rStyle w:val="af7"/>
          <w:rFonts w:eastAsia="Guttman Hodes"/>
          <w:rtl/>
        </w:rPr>
        <w:fldChar w:fldCharType="end"/>
      </w:r>
      <w:r>
        <w:rPr>
          <w:rFonts w:hint="cs"/>
          <w:rtl/>
        </w:rPr>
        <w:t xml:space="preserve"> בדעת </w:t>
      </w:r>
      <w:r w:rsidRPr="00AC2514">
        <w:rPr>
          <w:rStyle w:val="af9"/>
          <w:rFonts w:hint="cs"/>
          <w:rtl/>
        </w:rPr>
        <w:t>הרמב"ן</w:t>
      </w:r>
      <w:r>
        <w:rPr>
          <w:rFonts w:hint="cs"/>
          <w:rtl/>
        </w:rPr>
        <w:t xml:space="preserve"> דבאבד הסכין אסורה מספק].</w:t>
      </w:r>
      <w:bookmarkEnd w:id="4644"/>
    </w:p>
    <w:p w14:paraId="17AD23A2" w14:textId="77777777" w:rsidR="00FC47D4" w:rsidRDefault="00FC47D4" w:rsidP="006D6D32">
      <w:pPr>
        <w:pStyle w:val="a3"/>
        <w:rPr>
          <w:rtl/>
        </w:rPr>
      </w:pPr>
      <w:bookmarkStart w:id="4645" w:name="_Toc523735769"/>
      <w:bookmarkStart w:id="4646" w:name="_Toc526249025"/>
      <w:bookmarkStart w:id="4647" w:name="_Toc526409545"/>
      <w:bookmarkStart w:id="4648" w:name="_Toc526939201"/>
      <w:bookmarkStart w:id="4649" w:name="_Toc527060337"/>
      <w:bookmarkStart w:id="4650" w:name="_Toc527060485"/>
      <w:bookmarkStart w:id="4651" w:name="_Toc527100863"/>
      <w:bookmarkStart w:id="4652" w:name="_Toc528227119"/>
      <w:bookmarkStart w:id="4653" w:name="_Toc528227283"/>
      <w:bookmarkStart w:id="4654" w:name="_Toc528227445"/>
      <w:bookmarkStart w:id="4655" w:name="_Toc19389519"/>
      <w:bookmarkStart w:id="4656" w:name="_Toc19393016"/>
      <w:r>
        <w:rPr>
          <w:rFonts w:hint="cs"/>
          <w:rtl/>
        </w:rPr>
        <w:t>ביאור הראש יוסף בדברי הש"ך ברמב"ם דהוי ספק נבילה דוקא כשודאי נגע במפרקת</w:t>
      </w:r>
      <w:bookmarkEnd w:id="4645"/>
      <w:bookmarkEnd w:id="4646"/>
      <w:bookmarkEnd w:id="4647"/>
      <w:bookmarkEnd w:id="4648"/>
      <w:bookmarkEnd w:id="4649"/>
      <w:bookmarkEnd w:id="4650"/>
      <w:bookmarkEnd w:id="4651"/>
      <w:bookmarkEnd w:id="4652"/>
      <w:bookmarkEnd w:id="4653"/>
      <w:bookmarkEnd w:id="4654"/>
      <w:bookmarkEnd w:id="4655"/>
      <w:bookmarkEnd w:id="4656"/>
    </w:p>
    <w:p w14:paraId="683CB84B" w14:textId="77777777" w:rsidR="00FC47D4" w:rsidRDefault="00FC47D4" w:rsidP="00223668">
      <w:pPr>
        <w:pStyle w:val="a0"/>
        <w:rPr>
          <w:rtl/>
        </w:rPr>
      </w:pPr>
      <w:r>
        <w:rPr>
          <w:rFonts w:hint="cs"/>
          <w:rtl/>
        </w:rPr>
        <w:t xml:space="preserve">וע"ע במה שהאריך </w:t>
      </w:r>
      <w:r w:rsidRPr="00BD0F1E">
        <w:rPr>
          <w:rStyle w:val="af9"/>
          <w:rFonts w:hint="cs"/>
          <w:rtl/>
        </w:rPr>
        <w:t>הראש יוסף</w:t>
      </w:r>
      <w:r>
        <w:rPr>
          <w:rFonts w:hint="cs"/>
          <w:rtl/>
        </w:rPr>
        <w:t xml:space="preserve"> </w:t>
      </w:r>
      <w:r w:rsidRPr="00BD0F1E">
        <w:rPr>
          <w:rStyle w:val="af7"/>
          <w:rFonts w:eastAsia="Guttman Hodes" w:hint="cs"/>
          <w:rtl/>
        </w:rPr>
        <w:t>(ד"ה והנה אנן)</w:t>
      </w:r>
      <w:r>
        <w:rPr>
          <w:rFonts w:hint="cs"/>
          <w:rtl/>
        </w:rPr>
        <w:t xml:space="preserve"> לבאר אי הוי ודאי נבילה הוא ספק, ובמה שהביא את דברי </w:t>
      </w:r>
      <w:r w:rsidRPr="00BD0F1E">
        <w:rPr>
          <w:rStyle w:val="af9"/>
          <w:rFonts w:hint="cs"/>
          <w:rtl/>
        </w:rPr>
        <w:t>הש"ך</w:t>
      </w:r>
      <w:r>
        <w:rPr>
          <w:rFonts w:hint="cs"/>
          <w:rtl/>
        </w:rPr>
        <w:t xml:space="preserve"> </w:t>
      </w:r>
      <w:r w:rsidRPr="00BD0F1E">
        <w:rPr>
          <w:rStyle w:val="af7"/>
          <w:rFonts w:eastAsia="Guttman Hodes" w:hint="cs"/>
          <w:rtl/>
        </w:rPr>
        <w:t>(כ"ח כ"ז)</w:t>
      </w:r>
      <w:r>
        <w:rPr>
          <w:rFonts w:hint="cs"/>
          <w:rtl/>
        </w:rPr>
        <w:t xml:space="preserve"> דכתב דהיא ספק נבילה, וכתב </w:t>
      </w:r>
      <w:r w:rsidRPr="00BD0F1E">
        <w:rPr>
          <w:rStyle w:val="af9"/>
          <w:rFonts w:hint="cs"/>
          <w:rtl/>
        </w:rPr>
        <w:t>הראש יוסף</w:t>
      </w:r>
      <w:r>
        <w:rPr>
          <w:rFonts w:hint="cs"/>
          <w:rtl/>
        </w:rPr>
        <w:t xml:space="preserve"> דאפש"ל דהיינו דוקא במקום שנגע בודאי במפרקת, וע"ע במה שביאר </w:t>
      </w:r>
      <w:r w:rsidRPr="00BD0F1E">
        <w:rPr>
          <w:rStyle w:val="af9"/>
          <w:rFonts w:hint="cs"/>
          <w:rtl/>
        </w:rPr>
        <w:t>הראש יוסף</w:t>
      </w:r>
      <w:r>
        <w:rPr>
          <w:rFonts w:hint="cs"/>
          <w:rtl/>
        </w:rPr>
        <w:t xml:space="preserve"> בזה בדעת </w:t>
      </w:r>
      <w:r w:rsidRPr="004D1839">
        <w:rPr>
          <w:rStyle w:val="af9"/>
          <w:rFonts w:hint="cs"/>
          <w:rtl/>
        </w:rPr>
        <w:t>הרמב"ם</w:t>
      </w:r>
      <w:r>
        <w:rPr>
          <w:rFonts w:hint="cs"/>
          <w:rtl/>
        </w:rPr>
        <w:t xml:space="preserve"> ובדעת </w:t>
      </w:r>
      <w:r w:rsidRPr="004D1839">
        <w:rPr>
          <w:rStyle w:val="af9"/>
          <w:rFonts w:hint="cs"/>
          <w:rtl/>
        </w:rPr>
        <w:t>הטור</w:t>
      </w:r>
      <w:r>
        <w:rPr>
          <w:rFonts w:hint="cs"/>
          <w:rtl/>
        </w:rPr>
        <w:t xml:space="preserve"> </w:t>
      </w:r>
      <w:r w:rsidRPr="004D1839">
        <w:rPr>
          <w:rStyle w:val="af7"/>
          <w:rFonts w:eastAsia="Guttman Hodes" w:hint="cs"/>
          <w:rtl/>
        </w:rPr>
        <w:t>(כ"ח כ')</w:t>
      </w:r>
      <w:r>
        <w:rPr>
          <w:rFonts w:hint="cs"/>
          <w:rtl/>
        </w:rPr>
        <w:t>.</w:t>
      </w:r>
    </w:p>
    <w:p w14:paraId="7C770928" w14:textId="77777777" w:rsidR="00FC47D4" w:rsidRPr="009E0757" w:rsidRDefault="00FC47D4" w:rsidP="006D6D32">
      <w:pPr>
        <w:pStyle w:val="a3"/>
        <w:rPr>
          <w:rtl/>
        </w:rPr>
      </w:pPr>
      <w:bookmarkStart w:id="4657" w:name="_Toc523735770"/>
      <w:bookmarkStart w:id="4658" w:name="_Toc526249026"/>
      <w:bookmarkStart w:id="4659" w:name="_Toc526409546"/>
      <w:bookmarkStart w:id="4660" w:name="_Toc526939202"/>
      <w:bookmarkStart w:id="4661" w:name="_Toc527060338"/>
      <w:bookmarkStart w:id="4662" w:name="_Toc527060486"/>
      <w:bookmarkStart w:id="4663" w:name="_Toc527100864"/>
      <w:bookmarkStart w:id="4664" w:name="_Toc528227120"/>
      <w:bookmarkStart w:id="4665" w:name="_Toc528227284"/>
      <w:bookmarkStart w:id="4666" w:name="_Toc528227446"/>
      <w:bookmarkStart w:id="4667" w:name="_Toc19389520"/>
      <w:bookmarkStart w:id="4668" w:name="_Toc19393017"/>
      <w:r>
        <w:rPr>
          <w:rFonts w:hint="cs"/>
          <w:rtl/>
        </w:rPr>
        <w:t>דברי הפרמ"ג דאין כאן תרתי לריעותא כיון דהוא לא חסר ואתאי</w:t>
      </w:r>
      <w:bookmarkEnd w:id="4657"/>
      <w:bookmarkEnd w:id="4658"/>
      <w:bookmarkEnd w:id="4659"/>
      <w:bookmarkEnd w:id="4660"/>
      <w:bookmarkEnd w:id="4661"/>
      <w:bookmarkEnd w:id="4662"/>
      <w:bookmarkEnd w:id="4663"/>
      <w:bookmarkEnd w:id="4664"/>
      <w:bookmarkEnd w:id="4665"/>
      <w:bookmarkEnd w:id="4666"/>
      <w:bookmarkEnd w:id="4667"/>
      <w:bookmarkEnd w:id="4668"/>
    </w:p>
    <w:p w14:paraId="7DA743A8" w14:textId="77777777" w:rsidR="00FC47D4" w:rsidRDefault="00FC47D4" w:rsidP="00223668">
      <w:pPr>
        <w:pStyle w:val="a0"/>
        <w:rPr>
          <w:rtl/>
        </w:rPr>
      </w:pPr>
      <w:r>
        <w:rPr>
          <w:rFonts w:hint="cs"/>
          <w:rtl/>
        </w:rPr>
        <w:t xml:space="preserve">ועוד כתב </w:t>
      </w:r>
      <w:r w:rsidRPr="009E0757">
        <w:rPr>
          <w:rStyle w:val="af9"/>
          <w:rFonts w:hint="cs"/>
          <w:rtl/>
        </w:rPr>
        <w:t>בפרמ"ג</w:t>
      </w:r>
      <w:r>
        <w:rPr>
          <w:rFonts w:hint="cs"/>
          <w:rtl/>
        </w:rPr>
        <w:t xml:space="preserve"> </w:t>
      </w:r>
      <w:r w:rsidRPr="009E0757">
        <w:rPr>
          <w:rStyle w:val="af7"/>
          <w:rFonts w:eastAsia="Guttman Hodes" w:hint="cs"/>
          <w:rtl/>
        </w:rPr>
        <w:t>(שפתי דעת י"ח א' ד"ה הנה מ"ש)</w:t>
      </w:r>
      <w:r>
        <w:rPr>
          <w:rFonts w:hint="cs"/>
          <w:rtl/>
        </w:rPr>
        <w:t xml:space="preserve"> דהא דכתב </w:t>
      </w:r>
      <w:r w:rsidRPr="009E0757">
        <w:rPr>
          <w:rStyle w:val="af9"/>
          <w:rFonts w:hint="cs"/>
          <w:rtl/>
        </w:rPr>
        <w:t>הרמב"ם</w:t>
      </w:r>
      <w:r>
        <w:rPr>
          <w:rFonts w:hint="cs"/>
          <w:rtl/>
        </w:rPr>
        <w:t xml:space="preserve"> הכא דהוי ספק נבילה, הוא כיון שלא שייך בסכין את סברת חסר ואתאי </w:t>
      </w:r>
      <w:r w:rsidRPr="008654B6">
        <w:rPr>
          <w:rStyle w:val="afb"/>
          <w:rFonts w:hint="cs"/>
          <w:rtl/>
        </w:rPr>
        <w:t xml:space="preserve">[כדברי </w:t>
      </w:r>
      <w:r w:rsidRPr="008654B6">
        <w:rPr>
          <w:rStyle w:val="affa"/>
          <w:rFonts w:hint="cs"/>
          <w:rtl/>
        </w:rPr>
        <w:t xml:space="preserve">התוס' </w:t>
      </w:r>
      <w:r w:rsidRPr="008654B6">
        <w:rPr>
          <w:rStyle w:val="aff6"/>
          <w:rFonts w:hint="cs"/>
          <w:rtl/>
        </w:rPr>
        <w:t>(ד"ה סכין)</w:t>
      </w:r>
      <w:r w:rsidRPr="008654B6">
        <w:rPr>
          <w:rStyle w:val="afb"/>
          <w:rFonts w:hint="cs"/>
          <w:rtl/>
        </w:rPr>
        <w:t>]</w:t>
      </w:r>
      <w:r>
        <w:rPr>
          <w:rFonts w:hint="cs"/>
          <w:rtl/>
        </w:rPr>
        <w:t xml:space="preserve">, ולכן אין בסכין תרתי לריעותא כמו במקוה, ולכן הוי ספק השקול, וע"ע במה שהאריך בזה </w:t>
      </w:r>
      <w:r w:rsidRPr="009E0757">
        <w:rPr>
          <w:rStyle w:val="af9"/>
          <w:rFonts w:hint="cs"/>
          <w:rtl/>
        </w:rPr>
        <w:t>הפרמ"ג בגינת ורדים</w:t>
      </w:r>
      <w:r>
        <w:rPr>
          <w:rFonts w:hint="cs"/>
          <w:rtl/>
        </w:rPr>
        <w:t xml:space="preserve"> </w:t>
      </w:r>
      <w:r w:rsidRPr="009E0757">
        <w:rPr>
          <w:rStyle w:val="af7"/>
          <w:rFonts w:eastAsia="Guttman Hodes" w:hint="cs"/>
          <w:rtl/>
        </w:rPr>
        <w:t>(כלל ס"ב)</w:t>
      </w:r>
      <w:r>
        <w:rPr>
          <w:rFonts w:hint="cs"/>
          <w:rtl/>
        </w:rPr>
        <w:t>.</w:t>
      </w:r>
    </w:p>
    <w:p w14:paraId="14DB7540" w14:textId="77777777" w:rsidR="00FC47D4" w:rsidRPr="00946EAA" w:rsidRDefault="00FC47D4" w:rsidP="00223668">
      <w:pPr>
        <w:pStyle w:val="a0"/>
        <w:rPr>
          <w:rtl/>
        </w:rPr>
        <w:sectPr w:rsidR="00FC47D4" w:rsidRPr="00946EAA" w:rsidSect="007504D1">
          <w:type w:val="continuous"/>
          <w:pgSz w:w="11906" w:h="16838"/>
          <w:pgMar w:top="720" w:right="720" w:bottom="720" w:left="720" w:header="283" w:footer="283" w:gutter="0"/>
          <w:cols w:num="2" w:space="567"/>
          <w:bidi/>
          <w:rtlGutter/>
          <w:docGrid w:linePitch="299"/>
        </w:sectPr>
      </w:pPr>
    </w:p>
    <w:p w14:paraId="422DDD69" w14:textId="77777777" w:rsidR="00FC47D4" w:rsidRDefault="00FC47D4" w:rsidP="00FC47D4">
      <w:pPr>
        <w:keepNext/>
        <w:tabs>
          <w:tab w:val="left" w:pos="1163"/>
        </w:tabs>
        <w:spacing w:after="120" w:line="240" w:lineRule="auto"/>
        <w:ind w:left="0"/>
        <w:rPr>
          <w:rFonts w:eastAsia="Guttman Hodes" w:cs="Guttman Hodes"/>
          <w:noProof/>
          <w:sz w:val="18"/>
          <w:szCs w:val="18"/>
        </w:rPr>
      </w:pPr>
    </w:p>
    <w:p w14:paraId="7493D1B8" w14:textId="77777777" w:rsidR="007504D1" w:rsidRDefault="007504D1" w:rsidP="00FC47D4">
      <w:pPr>
        <w:keepNext/>
        <w:tabs>
          <w:tab w:val="left" w:pos="1163"/>
        </w:tabs>
        <w:spacing w:after="120" w:line="240" w:lineRule="auto"/>
        <w:ind w:left="0"/>
        <w:rPr>
          <w:rFonts w:ascii="Guttman Hodes" w:eastAsia="Guttman Hodes" w:hAnsi="Guttman Hodes" w:cs="Guttman Hodes"/>
          <w:noProof/>
          <w:sz w:val="18"/>
          <w:szCs w:val="18"/>
        </w:rPr>
        <w:sectPr w:rsidR="007504D1" w:rsidSect="00834C78">
          <w:type w:val="continuous"/>
          <w:pgSz w:w="11906" w:h="16838"/>
          <w:pgMar w:top="720" w:right="720" w:bottom="720" w:left="720" w:header="283" w:footer="283" w:gutter="0"/>
          <w:cols w:space="567"/>
          <w:bidi/>
          <w:rtlGutter/>
        </w:sectPr>
      </w:pPr>
    </w:p>
    <w:p w14:paraId="65E1721B" w14:textId="77777777" w:rsidR="00FC47D4" w:rsidRDefault="004B65FC" w:rsidP="00FC47D4">
      <w:pPr>
        <w:keepNext/>
        <w:tabs>
          <w:tab w:val="left" w:pos="1163"/>
        </w:tabs>
        <w:spacing w:after="120" w:line="240" w:lineRule="auto"/>
        <w:ind w:left="0"/>
        <w:rPr>
          <w:rFonts w:ascii="Guttman Hodes" w:eastAsia="Guttman Hodes" w:hAnsi="Guttman Hodes" w:cs="Guttman Hodes"/>
          <w:noProof/>
          <w:sz w:val="18"/>
          <w:szCs w:val="18"/>
          <w:rtl/>
        </w:rPr>
        <w:sectPr w:rsidR="00FC47D4" w:rsidSect="007504D1">
          <w:pgSz w:w="11906" w:h="16838"/>
          <w:pgMar w:top="720" w:right="720" w:bottom="720" w:left="720" w:header="283" w:footer="283" w:gutter="0"/>
          <w:cols w:space="567"/>
          <w:bidi/>
          <w:rtlGutter/>
        </w:sectPr>
      </w:pPr>
      <w:r>
        <w:rPr>
          <w:rFonts w:ascii="Guttman Hodes" w:eastAsia="Guttman Hodes" w:hAnsi="Guttman Hodes" w:cs="Guttman Hodes"/>
          <w:noProof/>
          <w:sz w:val="18"/>
          <w:szCs w:val="18"/>
        </w:rPr>
        <w:pict w14:anchorId="7B3F695A">
          <v:shape id="_x0000_i1030" type="#_x0000_t75" style="width:409.4pt;height:4.45pt" o:hrpct="0" o:hralign="center" o:hr="t">
            <v:imagedata r:id="rId21" o:title="BD14845_"/>
          </v:shape>
        </w:pict>
      </w:r>
    </w:p>
    <w:p w14:paraId="14E3762A" w14:textId="77777777" w:rsidR="00FC47D4" w:rsidRPr="0061208F" w:rsidRDefault="00FC47D4" w:rsidP="00FC47D4">
      <w:pPr>
        <w:keepNext/>
        <w:tabs>
          <w:tab w:val="left" w:pos="1163"/>
        </w:tabs>
        <w:spacing w:after="120" w:line="240" w:lineRule="auto"/>
        <w:ind w:left="0"/>
        <w:rPr>
          <w:rFonts w:ascii="Guttman Hodes" w:eastAsia="Guttman Hodes" w:hAnsi="Guttman Hodes" w:cs="Guttman Hodes"/>
          <w:noProof/>
          <w:sz w:val="18"/>
          <w:szCs w:val="18"/>
          <w:rtl/>
        </w:rPr>
      </w:pPr>
      <w:r w:rsidRPr="0061208F">
        <w:rPr>
          <w:rFonts w:ascii="Guttman Hodes" w:eastAsia="Guttman Hodes" w:hAnsi="Guttman Hodes" w:cs="Guttman Hodes" w:hint="cs"/>
          <w:noProof/>
          <w:sz w:val="18"/>
          <w:szCs w:val="18"/>
          <w:rtl/>
        </w:rPr>
        <w:t xml:space="preserve"> </w:t>
      </w:r>
    </w:p>
    <w:p w14:paraId="7538E280" w14:textId="77777777" w:rsidR="00775410" w:rsidRDefault="00FC47D4" w:rsidP="006D6D32">
      <w:pPr>
        <w:pStyle w:val="afe"/>
        <w:rPr>
          <w:rtl/>
        </w:rPr>
        <w:sectPr w:rsidR="00775410" w:rsidSect="00834C78">
          <w:type w:val="continuous"/>
          <w:pgSz w:w="11906" w:h="16838"/>
          <w:pgMar w:top="720" w:right="720" w:bottom="720" w:left="720" w:header="283" w:footer="283" w:gutter="0"/>
          <w:cols w:space="567"/>
          <w:bidi/>
          <w:rtlGutter/>
        </w:sectPr>
      </w:pPr>
      <w:bookmarkStart w:id="4669" w:name="_Toc523397242"/>
      <w:bookmarkStart w:id="4670" w:name="_Toc523490373"/>
      <w:bookmarkStart w:id="4671" w:name="_Toc523697996"/>
      <w:bookmarkStart w:id="4672" w:name="_Toc523735774"/>
      <w:bookmarkStart w:id="4673" w:name="_Toc526249030"/>
      <w:bookmarkStart w:id="4674" w:name="_Toc526409550"/>
      <w:bookmarkStart w:id="4675" w:name="_Toc526939203"/>
      <w:bookmarkStart w:id="4676" w:name="_Toc527060339"/>
      <w:bookmarkStart w:id="4677" w:name="_Toc527060487"/>
      <w:bookmarkStart w:id="4678" w:name="_Toc527100865"/>
      <w:bookmarkStart w:id="4679" w:name="_Toc528227121"/>
      <w:bookmarkStart w:id="4680" w:name="_Toc528227285"/>
      <w:bookmarkStart w:id="4681" w:name="_Toc528227447"/>
      <w:bookmarkStart w:id="4682" w:name="_Toc19435333"/>
      <w:bookmarkStart w:id="4683" w:name="_Toc20080671"/>
      <w:r>
        <w:rPr>
          <w:rFonts w:hint="cs"/>
          <w:rtl/>
        </w:rPr>
        <w:t>ביאורי ראשי הישיבות על הסוגיא</w:t>
      </w:r>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p>
    <w:p w14:paraId="22564003" w14:textId="77777777" w:rsidR="00775410" w:rsidRDefault="00775410" w:rsidP="00BF39B2">
      <w:pPr>
        <w:pStyle w:val="1"/>
        <w:rPr>
          <w:rtl/>
        </w:rPr>
      </w:pPr>
      <w:bookmarkStart w:id="4684" w:name="_Toc523697997"/>
      <w:bookmarkStart w:id="4685" w:name="_Toc523735775"/>
      <w:bookmarkStart w:id="4686" w:name="_Toc526249031"/>
      <w:bookmarkStart w:id="4687" w:name="_Toc526409551"/>
      <w:bookmarkStart w:id="4688" w:name="_Toc526939204"/>
      <w:bookmarkStart w:id="4689" w:name="_Toc527060340"/>
      <w:bookmarkStart w:id="4690" w:name="_Toc527060488"/>
      <w:bookmarkStart w:id="4691" w:name="_Toc527100866"/>
      <w:bookmarkStart w:id="4692" w:name="_Toc528227122"/>
      <w:bookmarkStart w:id="4693" w:name="_Toc528227286"/>
      <w:bookmarkStart w:id="4694" w:name="_Toc528227448"/>
      <w:bookmarkStart w:id="4695" w:name="_Toc19389521"/>
      <w:bookmarkStart w:id="4696" w:name="_Toc19393018"/>
      <w:bookmarkStart w:id="4697" w:name="_Toc523490374"/>
      <w:bookmarkStart w:id="4698" w:name="_Toc523397243"/>
      <w:r>
        <w:rPr>
          <w:rFonts w:hint="cs"/>
          <w:rtl/>
        </w:rPr>
        <w:t>ביאור השער"י דהסכין הוא מכשיר את השחיטה</w:t>
      </w:r>
      <w:bookmarkEnd w:id="4684"/>
      <w:bookmarkEnd w:id="4685"/>
      <w:bookmarkEnd w:id="4686"/>
      <w:bookmarkEnd w:id="4687"/>
      <w:bookmarkEnd w:id="4688"/>
      <w:bookmarkEnd w:id="4689"/>
      <w:bookmarkEnd w:id="4690"/>
      <w:bookmarkEnd w:id="4691"/>
      <w:bookmarkEnd w:id="4692"/>
      <w:bookmarkEnd w:id="4693"/>
      <w:bookmarkEnd w:id="4694"/>
      <w:bookmarkEnd w:id="4695"/>
      <w:bookmarkEnd w:id="4696"/>
    </w:p>
    <w:p w14:paraId="61E28223" w14:textId="77777777" w:rsidR="00775410" w:rsidRDefault="00775410" w:rsidP="006D6D32">
      <w:pPr>
        <w:pStyle w:val="a3"/>
        <w:rPr>
          <w:rtl/>
        </w:rPr>
      </w:pPr>
      <w:bookmarkStart w:id="4699" w:name="_Toc523735776"/>
      <w:bookmarkStart w:id="4700" w:name="_Toc526249032"/>
      <w:bookmarkStart w:id="4701" w:name="_Toc526409552"/>
      <w:bookmarkStart w:id="4702" w:name="_Toc526939205"/>
      <w:bookmarkStart w:id="4703" w:name="_Toc527060341"/>
      <w:bookmarkStart w:id="4704" w:name="_Toc527060489"/>
      <w:bookmarkStart w:id="4705" w:name="_Toc527100867"/>
      <w:bookmarkStart w:id="4706" w:name="_Toc528227123"/>
      <w:bookmarkStart w:id="4707" w:name="_Toc528227287"/>
      <w:bookmarkStart w:id="4708" w:name="_Toc528227449"/>
      <w:bookmarkStart w:id="4709" w:name="_Toc19389522"/>
      <w:bookmarkStart w:id="4710" w:name="_Toc19393019"/>
      <w:r>
        <w:rPr>
          <w:rFonts w:hint="cs"/>
          <w:rtl/>
        </w:rPr>
        <w:t>דברי השער"י דחזקת הסכין מהני כיון שהספק נולד בסכין ונגרר מזה הספק בשחיטה</w:t>
      </w:r>
      <w:bookmarkEnd w:id="4699"/>
      <w:bookmarkEnd w:id="4700"/>
      <w:bookmarkEnd w:id="4701"/>
      <w:bookmarkEnd w:id="4702"/>
      <w:bookmarkEnd w:id="4703"/>
      <w:bookmarkEnd w:id="4704"/>
      <w:bookmarkEnd w:id="4705"/>
      <w:bookmarkEnd w:id="4706"/>
      <w:bookmarkEnd w:id="4707"/>
      <w:bookmarkEnd w:id="4708"/>
      <w:bookmarkEnd w:id="4709"/>
      <w:bookmarkEnd w:id="4710"/>
    </w:p>
    <w:p w14:paraId="49A76AC1" w14:textId="77777777" w:rsidR="00775410" w:rsidRDefault="00775410" w:rsidP="00223668">
      <w:pPr>
        <w:pStyle w:val="a0"/>
        <w:rPr>
          <w:rtl/>
        </w:rPr>
      </w:pPr>
      <w:bookmarkStart w:id="4711" w:name="_Ref527232069"/>
      <w:r w:rsidRPr="008C10BD">
        <w:rPr>
          <w:rFonts w:hint="cs"/>
          <w:rtl/>
        </w:rPr>
        <w:t xml:space="preserve">כתב </w:t>
      </w:r>
      <w:r>
        <w:rPr>
          <w:rStyle w:val="af9"/>
          <w:rFonts w:hint="cs"/>
          <w:rtl/>
        </w:rPr>
        <w:t>ה</w:t>
      </w:r>
      <w:r w:rsidRPr="00AB3E69">
        <w:rPr>
          <w:rStyle w:val="af9"/>
          <w:rFonts w:hint="cs"/>
          <w:rtl/>
        </w:rPr>
        <w:t>שער"י</w:t>
      </w:r>
      <w:r>
        <w:rPr>
          <w:rFonts w:hint="cs"/>
          <w:rtl/>
        </w:rPr>
        <w:t xml:space="preserve"> </w:t>
      </w:r>
      <w:r w:rsidRPr="00AB3E69">
        <w:rPr>
          <w:rStyle w:val="af7"/>
          <w:rFonts w:eastAsia="Guttman Hodes" w:hint="cs"/>
          <w:rtl/>
        </w:rPr>
        <w:t>(שער החזקות פ"א ד"ה ונראה לענ"ד)</w:t>
      </w:r>
      <w:r>
        <w:rPr>
          <w:rFonts w:hint="cs"/>
          <w:rtl/>
        </w:rPr>
        <w:t xml:space="preserve"> דהא דחזקת סכין שלא נפגם מועילה להתיר את הבהמה, הוא כיון שמקור הספק בשחיטה הוא נולד בסכין, והספק מוכרע ע"י חזקת הסכין, ונגררים עי"ז כל התולדות מהספק בסכין, אא"כ יש תרתי לריעותא דלא מהני החזקה להתיר את השחיטה.</w:t>
      </w:r>
      <w:bookmarkEnd w:id="4711"/>
    </w:p>
    <w:p w14:paraId="36B7597D" w14:textId="77777777" w:rsidR="00775410" w:rsidRPr="0021157E" w:rsidRDefault="00775410" w:rsidP="006D6D32">
      <w:pPr>
        <w:pStyle w:val="a3"/>
        <w:rPr>
          <w:rtl/>
        </w:rPr>
      </w:pPr>
      <w:bookmarkStart w:id="4712" w:name="_Toc523735777"/>
      <w:bookmarkStart w:id="4713" w:name="_Toc526249033"/>
      <w:bookmarkStart w:id="4714" w:name="_Toc526409553"/>
      <w:bookmarkStart w:id="4715" w:name="_Toc526939206"/>
      <w:bookmarkStart w:id="4716" w:name="_Toc527060342"/>
      <w:bookmarkStart w:id="4717" w:name="_Toc527060490"/>
      <w:bookmarkStart w:id="4718" w:name="_Toc527100868"/>
      <w:bookmarkStart w:id="4719" w:name="_Toc528227124"/>
      <w:bookmarkStart w:id="4720" w:name="_Toc528227288"/>
      <w:bookmarkStart w:id="4721" w:name="_Toc528227450"/>
      <w:bookmarkStart w:id="4722" w:name="_Toc19389523"/>
      <w:bookmarkStart w:id="4723" w:name="_Toc19393020"/>
      <w:r>
        <w:rPr>
          <w:rFonts w:hint="cs"/>
          <w:rtl/>
        </w:rPr>
        <w:t>ביאור השער"י דלסכין יש דין מכשיר בשחיטה וחזקת הסכין עצמה מכשירה את השחיטה</w:t>
      </w:r>
      <w:bookmarkEnd w:id="4712"/>
      <w:bookmarkEnd w:id="4713"/>
      <w:bookmarkEnd w:id="4714"/>
      <w:bookmarkEnd w:id="4715"/>
      <w:bookmarkEnd w:id="4716"/>
      <w:bookmarkEnd w:id="4717"/>
      <w:bookmarkEnd w:id="4718"/>
      <w:bookmarkEnd w:id="4719"/>
      <w:bookmarkEnd w:id="4720"/>
      <w:bookmarkEnd w:id="4721"/>
      <w:bookmarkEnd w:id="4722"/>
      <w:bookmarkEnd w:id="4723"/>
    </w:p>
    <w:p w14:paraId="32F0CF0D" w14:textId="77777777" w:rsidR="00775410" w:rsidRPr="00AB3E69" w:rsidRDefault="00775410" w:rsidP="00223668">
      <w:pPr>
        <w:pStyle w:val="a0"/>
        <w:rPr>
          <w:rtl/>
        </w:rPr>
      </w:pPr>
      <w:r>
        <w:rPr>
          <w:rFonts w:hint="cs"/>
          <w:rtl/>
        </w:rPr>
        <w:t xml:space="preserve">והוסיף </w:t>
      </w:r>
      <w:r w:rsidRPr="00AB3E69">
        <w:rPr>
          <w:rStyle w:val="af9"/>
          <w:rFonts w:hint="cs"/>
          <w:rtl/>
        </w:rPr>
        <w:t>השער"י</w:t>
      </w:r>
      <w:r>
        <w:rPr>
          <w:rFonts w:hint="cs"/>
          <w:rtl/>
        </w:rPr>
        <w:t xml:space="preserve"> דיש מעלה נוספת בסכין, דהסכין הוא מכשיר את הבהמה, וכיון שהוכרע שהסכין כשר מחמת דין זה עצמו מוכשרת הבהמה, וכתב </w:t>
      </w:r>
      <w:r w:rsidRPr="00AB3E69">
        <w:rPr>
          <w:rStyle w:val="af9"/>
          <w:rFonts w:hint="cs"/>
          <w:rtl/>
        </w:rPr>
        <w:t>השער"י</w:t>
      </w:r>
      <w:r>
        <w:rPr>
          <w:rFonts w:hint="cs"/>
          <w:rtl/>
        </w:rPr>
        <w:t xml:space="preserve"> דה"ה בחזקת מקוה, דחזקת המקוה מכריעה שהמקוה כשר, ודין זה עצמו מכשיר את הטמא שטבל בו, משא"כ במקום שהספק הוא בתולדה מהחזקה כמו בנמצאו בה מומין, </w:t>
      </w:r>
      <w:r w:rsidRPr="00AB3E69">
        <w:rPr>
          <w:rStyle w:val="afb"/>
          <w:rFonts w:hint="cs"/>
          <w:rtl/>
        </w:rPr>
        <w:t>[והספק אם נולדו בה קודם קידושין או לאחר קידושין],</w:t>
      </w:r>
      <w:r>
        <w:rPr>
          <w:rFonts w:hint="cs"/>
          <w:rtl/>
        </w:rPr>
        <w:t xml:space="preserve"> דהחזקת פנויה אינה מכריעה במומין עצמם כלל, ואין בה את המעלה שיש בסכין ובמקוה.</w:t>
      </w:r>
    </w:p>
    <w:p w14:paraId="5B43F9DE" w14:textId="77777777" w:rsidR="00775410" w:rsidRDefault="00775410" w:rsidP="00BF39B2">
      <w:pPr>
        <w:pStyle w:val="1"/>
        <w:rPr>
          <w:rtl/>
        </w:rPr>
      </w:pPr>
      <w:bookmarkStart w:id="4724" w:name="_Toc523697998"/>
      <w:bookmarkStart w:id="4725" w:name="_Toc523735778"/>
      <w:bookmarkStart w:id="4726" w:name="_Toc526249034"/>
      <w:bookmarkStart w:id="4727" w:name="_Toc526409554"/>
      <w:bookmarkStart w:id="4728" w:name="_Toc526939207"/>
      <w:bookmarkStart w:id="4729" w:name="_Toc527060343"/>
      <w:bookmarkStart w:id="4730" w:name="_Toc527060491"/>
      <w:bookmarkStart w:id="4731" w:name="_Toc527100869"/>
      <w:bookmarkStart w:id="4732" w:name="_Toc528227125"/>
      <w:bookmarkStart w:id="4733" w:name="_Toc528227289"/>
      <w:bookmarkStart w:id="4734" w:name="_Toc528227451"/>
      <w:bookmarkStart w:id="4735" w:name="_Toc19389524"/>
      <w:bookmarkStart w:id="4736" w:name="_Toc19393021"/>
      <w:r>
        <w:rPr>
          <w:rFonts w:hint="cs"/>
          <w:rtl/>
        </w:rPr>
        <w:t>ביאור הגרש"ש דהספק בבהמה ולא בסכין ואין לסכין חזקה</w:t>
      </w:r>
      <w:bookmarkEnd w:id="4724"/>
      <w:bookmarkEnd w:id="4725"/>
      <w:bookmarkEnd w:id="4726"/>
      <w:bookmarkEnd w:id="4727"/>
      <w:bookmarkEnd w:id="4728"/>
      <w:bookmarkEnd w:id="4729"/>
      <w:bookmarkEnd w:id="4730"/>
      <w:bookmarkEnd w:id="4731"/>
      <w:bookmarkEnd w:id="4732"/>
      <w:bookmarkEnd w:id="4733"/>
      <w:bookmarkEnd w:id="4734"/>
      <w:bookmarkEnd w:id="4735"/>
      <w:bookmarkEnd w:id="4736"/>
      <w:r>
        <w:rPr>
          <w:rFonts w:hint="cs"/>
          <w:rtl/>
        </w:rPr>
        <w:t xml:space="preserve"> </w:t>
      </w:r>
      <w:bookmarkEnd w:id="4697"/>
    </w:p>
    <w:p w14:paraId="59D592D0" w14:textId="77777777" w:rsidR="00775410" w:rsidRDefault="00775410" w:rsidP="006D6D32">
      <w:pPr>
        <w:pStyle w:val="a3"/>
        <w:rPr>
          <w:rtl/>
        </w:rPr>
      </w:pPr>
      <w:bookmarkStart w:id="4737" w:name="_Toc523735779"/>
      <w:bookmarkStart w:id="4738" w:name="_Toc526249035"/>
      <w:bookmarkStart w:id="4739" w:name="_Toc526409555"/>
      <w:bookmarkStart w:id="4740" w:name="_Toc526939208"/>
      <w:bookmarkStart w:id="4741" w:name="_Toc527060344"/>
      <w:bookmarkStart w:id="4742" w:name="_Toc527060492"/>
      <w:bookmarkStart w:id="4743" w:name="_Toc527100870"/>
      <w:bookmarkStart w:id="4744" w:name="_Toc528227126"/>
      <w:bookmarkStart w:id="4745" w:name="_Toc528227290"/>
      <w:bookmarkStart w:id="4746" w:name="_Toc528227452"/>
      <w:bookmarkStart w:id="4747" w:name="_Toc19389525"/>
      <w:bookmarkStart w:id="4748" w:name="_Toc19393022"/>
      <w:r>
        <w:rPr>
          <w:rFonts w:hint="cs"/>
          <w:rtl/>
        </w:rPr>
        <w:t>דברי הגרש"ש דלפני השחיטה הנדון הוא בסכין דמוחזק שאינו פגום</w:t>
      </w:r>
      <w:bookmarkEnd w:id="4737"/>
      <w:bookmarkEnd w:id="4738"/>
      <w:bookmarkEnd w:id="4739"/>
      <w:bookmarkEnd w:id="4740"/>
      <w:bookmarkEnd w:id="4741"/>
      <w:bookmarkEnd w:id="4742"/>
      <w:bookmarkEnd w:id="4743"/>
      <w:bookmarkEnd w:id="4744"/>
      <w:bookmarkEnd w:id="4745"/>
      <w:bookmarkEnd w:id="4746"/>
      <w:bookmarkEnd w:id="4747"/>
      <w:bookmarkEnd w:id="4748"/>
    </w:p>
    <w:p w14:paraId="716E153E" w14:textId="77777777" w:rsidR="00775410" w:rsidRDefault="00775410" w:rsidP="00223668">
      <w:pPr>
        <w:pStyle w:val="a0"/>
        <w:rPr>
          <w:rtl/>
        </w:rPr>
      </w:pPr>
      <w:r>
        <w:rPr>
          <w:rFonts w:hint="cs"/>
          <w:rtl/>
        </w:rPr>
        <w:t xml:space="preserve">עוד כתב </w:t>
      </w:r>
      <w:r w:rsidRPr="008D667A">
        <w:rPr>
          <w:rStyle w:val="af9"/>
          <w:rFonts w:hint="cs"/>
          <w:rtl/>
        </w:rPr>
        <w:t>הגרש"ש</w:t>
      </w:r>
      <w:r>
        <w:rPr>
          <w:rFonts w:hint="cs"/>
          <w:rtl/>
        </w:rPr>
        <w:t xml:space="preserve"> </w:t>
      </w:r>
      <w:r w:rsidRPr="00303FAF">
        <w:rPr>
          <w:rStyle w:val="af7"/>
          <w:rFonts w:eastAsia="Guttman Hodes" w:hint="cs"/>
          <w:rtl/>
        </w:rPr>
        <w:t xml:space="preserve">(כתובות דף ט. סי' ט [מהדו' חד' </w:t>
      </w:r>
      <w:r w:rsidRPr="00303FAF">
        <w:rPr>
          <w:rStyle w:val="af7"/>
          <w:rFonts w:eastAsia="Guttman Hodes"/>
          <w:rtl/>
        </w:rPr>
        <w:t>סימן ט</w:t>
      </w:r>
      <w:r w:rsidRPr="00303FAF">
        <w:rPr>
          <w:rStyle w:val="af7"/>
          <w:rFonts w:eastAsia="Guttman Hodes" w:hint="cs"/>
          <w:rtl/>
        </w:rPr>
        <w:t>"</w:t>
      </w:r>
      <w:r w:rsidRPr="00303FAF">
        <w:rPr>
          <w:rStyle w:val="af7"/>
          <w:rFonts w:eastAsia="Guttman Hodes"/>
          <w:rtl/>
        </w:rPr>
        <w:t>ו</w:t>
      </w:r>
      <w:r w:rsidRPr="00303FAF">
        <w:rPr>
          <w:rStyle w:val="af7"/>
          <w:rFonts w:eastAsia="Guttman Hodes" w:hint="cs"/>
          <w:rtl/>
        </w:rPr>
        <w:t xml:space="preserve">] ד"ה ולפי"ז במקוה) </w:t>
      </w:r>
      <w:r>
        <w:rPr>
          <w:rFonts w:hint="cs"/>
          <w:rtl/>
        </w:rPr>
        <w:t xml:space="preserve">דבחזקת סכין בדוק, כשהנדון הוא להבא האם אפשר לשחוט בסכין זה, חשיב נדון בגוף הסכין, ומחזיקין אותו בחזקת שאינו פגום, ולכן הוא יכול להכשיר בהמה, וכתב </w:t>
      </w:r>
      <w:r w:rsidRPr="00303FAF">
        <w:rPr>
          <w:rStyle w:val="af9"/>
          <w:rFonts w:hint="cs"/>
          <w:rtl/>
        </w:rPr>
        <w:t>הגרש"ש</w:t>
      </w:r>
      <w:r>
        <w:rPr>
          <w:rFonts w:hint="cs"/>
          <w:rtl/>
        </w:rPr>
        <w:t xml:space="preserve"> דחזקת סכין דמי לחזקת מקוה, דלפני הטבילה הנדון הוא על המקוה בעצמו דהוא כשר, וממילא יכול המקוה לטהר טמאים.</w:t>
      </w:r>
    </w:p>
    <w:p w14:paraId="2731EA01" w14:textId="77777777" w:rsidR="00775410" w:rsidRPr="007F12E1" w:rsidRDefault="00775410" w:rsidP="006D6D32">
      <w:pPr>
        <w:pStyle w:val="a3"/>
        <w:rPr>
          <w:rtl/>
        </w:rPr>
      </w:pPr>
      <w:bookmarkStart w:id="4749" w:name="_Toc523735780"/>
      <w:bookmarkStart w:id="4750" w:name="_Toc526249036"/>
      <w:bookmarkStart w:id="4751" w:name="_Toc526409556"/>
      <w:bookmarkStart w:id="4752" w:name="_Toc526939209"/>
      <w:bookmarkStart w:id="4753" w:name="_Toc527060345"/>
      <w:bookmarkStart w:id="4754" w:name="_Toc527060493"/>
      <w:bookmarkStart w:id="4755" w:name="_Toc527100871"/>
      <w:bookmarkStart w:id="4756" w:name="_Toc528227127"/>
      <w:bookmarkStart w:id="4757" w:name="_Toc528227291"/>
      <w:bookmarkStart w:id="4758" w:name="_Toc528227453"/>
      <w:bookmarkStart w:id="4759" w:name="_Toc19389526"/>
      <w:bookmarkStart w:id="4760" w:name="_Toc19393023"/>
      <w:r>
        <w:rPr>
          <w:rFonts w:hint="cs"/>
          <w:rtl/>
        </w:rPr>
        <w:t>דברי הגרש"ש דאחר השחיטה הנדון אינו בסכין אלא בבהמה והיא בחזקת איסור</w:t>
      </w:r>
      <w:bookmarkEnd w:id="4749"/>
      <w:bookmarkEnd w:id="4750"/>
      <w:bookmarkEnd w:id="4751"/>
      <w:bookmarkEnd w:id="4752"/>
      <w:bookmarkEnd w:id="4753"/>
      <w:bookmarkEnd w:id="4754"/>
      <w:bookmarkEnd w:id="4755"/>
      <w:bookmarkEnd w:id="4756"/>
      <w:bookmarkEnd w:id="4757"/>
      <w:bookmarkEnd w:id="4758"/>
      <w:bookmarkEnd w:id="4759"/>
      <w:bookmarkEnd w:id="4760"/>
    </w:p>
    <w:p w14:paraId="40EAF338" w14:textId="77777777" w:rsidR="00775410" w:rsidRDefault="00775410" w:rsidP="00223668">
      <w:pPr>
        <w:pStyle w:val="a0"/>
        <w:rPr>
          <w:rtl/>
        </w:rPr>
      </w:pPr>
      <w:bookmarkStart w:id="4761" w:name="_Ref527232199"/>
      <w:r>
        <w:rPr>
          <w:rFonts w:hint="cs"/>
          <w:rtl/>
        </w:rPr>
        <w:t xml:space="preserve">אבל אחר השחיטה כשנמצא הסכין פגום, ביאר </w:t>
      </w:r>
      <w:r w:rsidRPr="00303FAF">
        <w:rPr>
          <w:rStyle w:val="af9"/>
          <w:rFonts w:hint="cs"/>
          <w:rtl/>
        </w:rPr>
        <w:t>הגרש"ש</w:t>
      </w:r>
      <w:r>
        <w:rPr>
          <w:rFonts w:hint="cs"/>
          <w:rtl/>
        </w:rPr>
        <w:t xml:space="preserve"> דהספק אינו בסכין כלל, אלא בבהמה שנשחטה, ולבהמה יש רק חזקת איסור, אמרינן תרתי לריעותא, דהחזקה דהשתא של הסכין דפגום לפניך, מגרע לגמרי את החזקת בדוק של הסכין, ונשאר ספק בשחיטה, ולכן מעמידים את הבהמה בחזקת איסור, וכתב </w:t>
      </w:r>
      <w:r w:rsidRPr="00303FAF">
        <w:rPr>
          <w:rStyle w:val="af9"/>
          <w:rFonts w:hint="cs"/>
          <w:rtl/>
        </w:rPr>
        <w:t>הגרש"ש</w:t>
      </w:r>
      <w:r>
        <w:rPr>
          <w:rFonts w:hint="cs"/>
          <w:rtl/>
        </w:rPr>
        <w:t xml:space="preserve"> דהוא כמקוה שנמצא חסר, דהספק אינו על המקוה, אלא על הטמא שטבל, והחזקה דהשתא דחסר לפניך מגרעת את חזקת המקוה לגמרי, ומעמידים את הטמא על חזקתו</w:t>
      </w:r>
      <w:bookmarkEnd w:id="4761"/>
      <w:r>
        <w:rPr>
          <w:rFonts w:hint="cs"/>
          <w:rtl/>
        </w:rPr>
        <w:t xml:space="preserve">, וע"ע בדברי </w:t>
      </w:r>
      <w:r>
        <w:rPr>
          <w:rStyle w:val="af9"/>
          <w:rtl/>
        </w:rPr>
        <w:t>השער"י</w:t>
      </w:r>
      <w:r>
        <w:rPr>
          <w:rtl/>
        </w:rPr>
        <w:t xml:space="preserve"> </w:t>
      </w:r>
      <w:r>
        <w:rPr>
          <w:rStyle w:val="af7"/>
          <w:rFonts w:eastAsia="Guttman Hodes" w:hint="cs"/>
          <w:rtl/>
        </w:rPr>
        <w:t>(שער החזקות פי"ח סוד"ה ובהא דמבואר)</w:t>
      </w:r>
      <w:r>
        <w:rPr>
          <w:rFonts w:hint="cs"/>
          <w:rtl/>
        </w:rPr>
        <w:t xml:space="preserve"> בביאור סברת רב חסדא דבהמה לא איתרעי.</w:t>
      </w:r>
    </w:p>
    <w:p w14:paraId="1081706E" w14:textId="77777777" w:rsidR="00775410" w:rsidRDefault="00775410" w:rsidP="00BF39B2">
      <w:pPr>
        <w:pStyle w:val="1"/>
        <w:rPr>
          <w:rtl/>
        </w:rPr>
      </w:pPr>
      <w:bookmarkStart w:id="4762" w:name="_Toc523490375"/>
      <w:bookmarkStart w:id="4763" w:name="_Toc523697999"/>
      <w:bookmarkStart w:id="4764" w:name="_Toc523735781"/>
      <w:bookmarkStart w:id="4765" w:name="_Toc526249037"/>
      <w:bookmarkStart w:id="4766" w:name="_Toc526409557"/>
      <w:bookmarkStart w:id="4767" w:name="_Toc526939210"/>
      <w:bookmarkStart w:id="4768" w:name="_Toc527060346"/>
      <w:bookmarkStart w:id="4769" w:name="_Toc527060494"/>
      <w:bookmarkStart w:id="4770" w:name="_Toc527100872"/>
      <w:bookmarkStart w:id="4771" w:name="_Toc528227128"/>
      <w:bookmarkStart w:id="4772" w:name="_Toc528227292"/>
      <w:bookmarkStart w:id="4773" w:name="_Toc528227454"/>
      <w:bookmarkStart w:id="4774" w:name="_Toc19389527"/>
      <w:bookmarkStart w:id="4775" w:name="_Toc19393024"/>
      <w:r>
        <w:rPr>
          <w:rFonts w:hint="cs"/>
          <w:rtl/>
        </w:rPr>
        <w:t>קושית הקוב"ש דע"י חזקת הסכין אין ספק ול"מ החזקת איסור</w:t>
      </w:r>
      <w:bookmarkEnd w:id="4698"/>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p>
    <w:p w14:paraId="50C2F192" w14:textId="77777777" w:rsidR="00775410" w:rsidRPr="0012432E" w:rsidRDefault="00775410" w:rsidP="006D6D32">
      <w:pPr>
        <w:pStyle w:val="a3"/>
        <w:rPr>
          <w:rtl/>
        </w:rPr>
      </w:pPr>
      <w:bookmarkStart w:id="4776" w:name="_Toc523735782"/>
      <w:bookmarkStart w:id="4777" w:name="_Toc526249038"/>
      <w:bookmarkStart w:id="4778" w:name="_Toc526409558"/>
      <w:bookmarkStart w:id="4779" w:name="_Toc526939211"/>
      <w:bookmarkStart w:id="4780" w:name="_Toc527060347"/>
      <w:bookmarkStart w:id="4781" w:name="_Toc527060495"/>
      <w:bookmarkStart w:id="4782" w:name="_Toc527100873"/>
      <w:bookmarkStart w:id="4783" w:name="_Toc528227129"/>
      <w:bookmarkStart w:id="4784" w:name="_Toc528227293"/>
      <w:bookmarkStart w:id="4785" w:name="_Toc528227455"/>
      <w:bookmarkStart w:id="4786" w:name="_Toc19389528"/>
      <w:bookmarkStart w:id="4787" w:name="_Toc19393025"/>
      <w:r>
        <w:rPr>
          <w:rFonts w:hint="cs"/>
          <w:rtl/>
        </w:rPr>
        <w:t>קושית הקוב"ש דבאבד הסכין כיון שהוא בחזקת בדוק אין כל ספק בשחיטה</w:t>
      </w:r>
      <w:bookmarkEnd w:id="4776"/>
      <w:bookmarkEnd w:id="4777"/>
      <w:bookmarkEnd w:id="4778"/>
      <w:bookmarkEnd w:id="4779"/>
      <w:bookmarkEnd w:id="4780"/>
      <w:bookmarkEnd w:id="4781"/>
      <w:bookmarkEnd w:id="4782"/>
      <w:bookmarkEnd w:id="4783"/>
      <w:bookmarkEnd w:id="4784"/>
      <w:bookmarkEnd w:id="4785"/>
      <w:bookmarkEnd w:id="4786"/>
      <w:bookmarkEnd w:id="4787"/>
    </w:p>
    <w:p w14:paraId="61BA3E10" w14:textId="77777777" w:rsidR="00775410" w:rsidRDefault="00775410" w:rsidP="00223668">
      <w:pPr>
        <w:pStyle w:val="a0"/>
        <w:rPr>
          <w:rtl/>
        </w:rPr>
      </w:pPr>
      <w:bookmarkStart w:id="4788" w:name="_Ref523132456"/>
      <w:r w:rsidRPr="00C25905">
        <w:rPr>
          <w:rStyle w:val="af9"/>
          <w:rFonts w:hint="cs"/>
          <w:rtl/>
        </w:rPr>
        <w:t xml:space="preserve">בקוב"ש </w:t>
      </w:r>
      <w:r w:rsidRPr="00C25905">
        <w:rPr>
          <w:rStyle w:val="af7"/>
          <w:rFonts w:eastAsia="Guttman Hodes" w:hint="cs"/>
          <w:rtl/>
        </w:rPr>
        <w:t>(ב"ב אות קי"ז)</w:t>
      </w:r>
      <w:r>
        <w:rPr>
          <w:rFonts w:hint="cs"/>
          <w:rtl/>
        </w:rPr>
        <w:t xml:space="preserve"> הקשה על </w:t>
      </w:r>
      <w:r w:rsidRPr="00C25905">
        <w:rPr>
          <w:rStyle w:val="af9"/>
          <w:rFonts w:hint="cs"/>
          <w:rtl/>
        </w:rPr>
        <w:t>הרמב"ן</w:t>
      </w:r>
      <w:r>
        <w:rPr>
          <w:rFonts w:hint="cs"/>
          <w:rtl/>
        </w:rPr>
        <w:t xml:space="preserve"> </w:t>
      </w:r>
      <w:r w:rsidRPr="00B300E2">
        <w:rPr>
          <w:rStyle w:val="af7"/>
          <w:rFonts w:eastAsia="Guttman Hodes" w:hint="cs"/>
          <w:rtl/>
        </w:rPr>
        <w:t xml:space="preserve">(עי' אות </w:t>
      </w:r>
      <w:r w:rsidRPr="00B300E2">
        <w:rPr>
          <w:rStyle w:val="af7"/>
          <w:rFonts w:eastAsia="Guttman Hodes"/>
          <w:rtl/>
        </w:rPr>
        <w:fldChar w:fldCharType="begin"/>
      </w:r>
      <w:r w:rsidRPr="00B300E2">
        <w:rPr>
          <w:rStyle w:val="af7"/>
          <w:rFonts w:eastAsia="Guttman Hodes"/>
          <w:rtl/>
        </w:rPr>
        <w:instrText xml:space="preserve"> </w:instrText>
      </w:r>
      <w:r w:rsidRPr="00B300E2">
        <w:rPr>
          <w:rStyle w:val="af7"/>
          <w:rFonts w:eastAsia="Guttman Hodes" w:hint="cs"/>
        </w:rPr>
        <w:instrText>REF</w:instrText>
      </w:r>
      <w:r w:rsidRPr="00B300E2">
        <w:rPr>
          <w:rStyle w:val="af7"/>
          <w:rFonts w:eastAsia="Guttman Hodes" w:hint="cs"/>
          <w:rtl/>
        </w:rPr>
        <w:instrText xml:space="preserve"> _</w:instrText>
      </w:r>
      <w:r w:rsidRPr="00B300E2">
        <w:rPr>
          <w:rStyle w:val="af7"/>
          <w:rFonts w:eastAsia="Guttman Hodes" w:hint="cs"/>
        </w:rPr>
        <w:instrText>Ref523132416 \r \h</w:instrText>
      </w:r>
      <w:r w:rsidRPr="00B300E2">
        <w:rPr>
          <w:rStyle w:val="af7"/>
          <w:rFonts w:eastAsia="Guttman Hodes"/>
          <w:rtl/>
        </w:rPr>
        <w:instrText xml:space="preserve"> </w:instrText>
      </w:r>
      <w:r w:rsidRPr="00B300E2">
        <w:rPr>
          <w:rStyle w:val="af7"/>
          <w:rFonts w:eastAsia="Guttman Hodes"/>
          <w:rtl/>
        </w:rPr>
      </w:r>
      <w:r w:rsidRPr="00B300E2">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B300E2">
        <w:rPr>
          <w:rStyle w:val="af7"/>
          <w:rFonts w:eastAsia="Guttman Hodes"/>
          <w:rtl/>
        </w:rPr>
        <w:fldChar w:fldCharType="end"/>
      </w:r>
      <w:r>
        <w:rPr>
          <w:rFonts w:hint="cs"/>
          <w:rtl/>
        </w:rPr>
        <w:t xml:space="preserve"> דס"ל דלרב הונא באבד הסכין השחיטה פסולה, דאף שיש סתירא בין החזקת איסור של הבהמה לחזקת הסכין שהוא בדוק, מ"מ אחר שמעמידים את הסכין על חזקתו, ממילא אין כל ספק, דודאי שנשחטה הבהמה כדין, ואין כל מקום לחזקת איסור של הבהמה, דחזקת הבהמה אוסרת כשיש ספק בשחיטה, אבל אחר שמעמידים על חזקת הסכין אין כל ספק, וכתב </w:t>
      </w:r>
      <w:r w:rsidRPr="00C25905">
        <w:rPr>
          <w:rStyle w:val="af9"/>
          <w:rFonts w:hint="cs"/>
          <w:rtl/>
        </w:rPr>
        <w:t>הקוב"ש</w:t>
      </w:r>
      <w:r>
        <w:rPr>
          <w:rFonts w:hint="cs"/>
          <w:rtl/>
        </w:rPr>
        <w:t xml:space="preserve"> דדמי לחזקת כשרות של עדים דמהני להוציא ממון, דאחר שהעדים בחזקת כשרים, אין כאן כל ספק, וא"צ לחזקתם, והוצאת הממון היא ע"י העדים, ולא ע"י החזקה, ועי' </w:t>
      </w:r>
      <w:r w:rsidRPr="00C25905">
        <w:rPr>
          <w:rStyle w:val="af9"/>
          <w:rFonts w:hint="cs"/>
          <w:rtl/>
        </w:rPr>
        <w:t>בגרעק"א</w:t>
      </w:r>
      <w:r>
        <w:rPr>
          <w:rFonts w:hint="cs"/>
          <w:rtl/>
        </w:rPr>
        <w:t xml:space="preserve"> </w:t>
      </w:r>
      <w:r w:rsidRPr="00B300E2">
        <w:rPr>
          <w:rStyle w:val="af7"/>
          <w:rFonts w:eastAsia="Guttman Hodes" w:hint="cs"/>
          <w:rtl/>
        </w:rPr>
        <w:t xml:space="preserve">(עי' אות </w:t>
      </w:r>
      <w:r w:rsidRPr="00B300E2">
        <w:rPr>
          <w:rStyle w:val="af7"/>
          <w:rFonts w:eastAsia="Guttman Hodes"/>
          <w:rtl/>
        </w:rPr>
        <w:fldChar w:fldCharType="begin"/>
      </w:r>
      <w:r w:rsidRPr="00B300E2">
        <w:rPr>
          <w:rStyle w:val="af7"/>
          <w:rFonts w:eastAsia="Guttman Hodes"/>
          <w:rtl/>
        </w:rPr>
        <w:instrText xml:space="preserve"> </w:instrText>
      </w:r>
      <w:r w:rsidRPr="00B300E2">
        <w:rPr>
          <w:rStyle w:val="af7"/>
          <w:rFonts w:eastAsia="Guttman Hodes" w:hint="cs"/>
        </w:rPr>
        <w:instrText>REF</w:instrText>
      </w:r>
      <w:r w:rsidRPr="00B300E2">
        <w:rPr>
          <w:rStyle w:val="af7"/>
          <w:rFonts w:eastAsia="Guttman Hodes" w:hint="cs"/>
          <w:rtl/>
        </w:rPr>
        <w:instrText xml:space="preserve"> _</w:instrText>
      </w:r>
      <w:r w:rsidRPr="00B300E2">
        <w:rPr>
          <w:rStyle w:val="af7"/>
          <w:rFonts w:eastAsia="Guttman Hodes" w:hint="cs"/>
        </w:rPr>
        <w:instrText>Ref523132407 \r \h</w:instrText>
      </w:r>
      <w:r w:rsidRPr="00B300E2">
        <w:rPr>
          <w:rStyle w:val="af7"/>
          <w:rFonts w:eastAsia="Guttman Hodes"/>
          <w:rtl/>
        </w:rPr>
        <w:instrText xml:space="preserve"> </w:instrText>
      </w:r>
      <w:r w:rsidRPr="00B300E2">
        <w:rPr>
          <w:rStyle w:val="af7"/>
          <w:rFonts w:eastAsia="Guttman Hodes"/>
          <w:rtl/>
        </w:rPr>
      </w:r>
      <w:r w:rsidRPr="00B300E2">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B300E2">
        <w:rPr>
          <w:rStyle w:val="af7"/>
          <w:rFonts w:eastAsia="Guttman Hodes"/>
          <w:rtl/>
        </w:rPr>
        <w:fldChar w:fldCharType="end"/>
      </w:r>
      <w:r>
        <w:rPr>
          <w:rFonts w:hint="cs"/>
          <w:rtl/>
        </w:rPr>
        <w:t xml:space="preserve"> במה שביאר בדברי </w:t>
      </w:r>
      <w:r w:rsidRPr="00C25905">
        <w:rPr>
          <w:rStyle w:val="af9"/>
          <w:rFonts w:hint="cs"/>
          <w:rtl/>
        </w:rPr>
        <w:t>הרמב"ן</w:t>
      </w:r>
      <w:r>
        <w:rPr>
          <w:rFonts w:hint="cs"/>
          <w:rtl/>
        </w:rPr>
        <w:t>.</w:t>
      </w:r>
      <w:bookmarkEnd w:id="4788"/>
    </w:p>
    <w:p w14:paraId="40EBC55A" w14:textId="77777777" w:rsidR="00775410" w:rsidRDefault="00775410" w:rsidP="00BF39B2">
      <w:pPr>
        <w:pStyle w:val="1"/>
        <w:rPr>
          <w:rtl/>
        </w:rPr>
      </w:pPr>
      <w:bookmarkStart w:id="4789" w:name="_Toc523397244"/>
      <w:bookmarkStart w:id="4790" w:name="_Toc523490376"/>
      <w:bookmarkStart w:id="4791" w:name="_Toc523698000"/>
      <w:bookmarkStart w:id="4792" w:name="_Toc523735783"/>
      <w:bookmarkStart w:id="4793" w:name="_Toc526249039"/>
      <w:bookmarkStart w:id="4794" w:name="_Toc526409559"/>
      <w:bookmarkStart w:id="4795" w:name="_Toc526939212"/>
      <w:bookmarkStart w:id="4796" w:name="_Toc527060348"/>
      <w:bookmarkStart w:id="4797" w:name="_Toc527060496"/>
      <w:bookmarkStart w:id="4798" w:name="_Toc527100874"/>
      <w:bookmarkStart w:id="4799" w:name="_Toc528227130"/>
      <w:bookmarkStart w:id="4800" w:name="_Toc528227294"/>
      <w:bookmarkStart w:id="4801" w:name="_Toc528227456"/>
      <w:bookmarkStart w:id="4802" w:name="_Toc19389529"/>
      <w:bookmarkStart w:id="4803" w:name="_Toc19393026"/>
      <w:r>
        <w:rPr>
          <w:rFonts w:hint="cs"/>
          <w:rtl/>
        </w:rPr>
        <w:t>ביאור המקדש דוד בפלוגתת רב הונא ורב חסדא</w:t>
      </w:r>
      <w:bookmarkEnd w:id="4789"/>
      <w:bookmarkEnd w:id="4790"/>
      <w:bookmarkEnd w:id="4791"/>
      <w:bookmarkEnd w:id="4792"/>
      <w:bookmarkEnd w:id="4793"/>
      <w:bookmarkEnd w:id="4794"/>
      <w:bookmarkEnd w:id="4795"/>
      <w:bookmarkEnd w:id="4796"/>
      <w:bookmarkEnd w:id="4797"/>
      <w:bookmarkEnd w:id="4798"/>
      <w:r>
        <w:rPr>
          <w:rFonts w:hint="cs"/>
          <w:rtl/>
        </w:rPr>
        <w:t xml:space="preserve"> לדעת הרשב"א</w:t>
      </w:r>
      <w:bookmarkEnd w:id="4799"/>
      <w:bookmarkEnd w:id="4800"/>
      <w:bookmarkEnd w:id="4801"/>
      <w:bookmarkEnd w:id="4802"/>
      <w:bookmarkEnd w:id="4803"/>
    </w:p>
    <w:p w14:paraId="2FFEE9DC" w14:textId="77777777" w:rsidR="00775410" w:rsidRDefault="00775410" w:rsidP="006D6D32">
      <w:pPr>
        <w:pStyle w:val="a3"/>
        <w:rPr>
          <w:rtl/>
        </w:rPr>
      </w:pPr>
      <w:bookmarkStart w:id="4804" w:name="_Toc523735784"/>
      <w:bookmarkStart w:id="4805" w:name="_Toc526249040"/>
      <w:bookmarkStart w:id="4806" w:name="_Toc526409560"/>
      <w:bookmarkStart w:id="4807" w:name="_Toc526939213"/>
      <w:bookmarkStart w:id="4808" w:name="_Toc527060349"/>
      <w:bookmarkStart w:id="4809" w:name="_Toc527060497"/>
      <w:bookmarkStart w:id="4810" w:name="_Toc527100875"/>
      <w:bookmarkStart w:id="4811" w:name="_Toc528227131"/>
      <w:bookmarkStart w:id="4812" w:name="_Toc528227295"/>
      <w:bookmarkStart w:id="4813" w:name="_Toc528227457"/>
      <w:bookmarkStart w:id="4814" w:name="_Toc19389530"/>
      <w:bookmarkStart w:id="4815" w:name="_Toc19393027"/>
      <w:r>
        <w:rPr>
          <w:rFonts w:hint="cs"/>
          <w:rtl/>
        </w:rPr>
        <w:t>ביאור המקדש דוד דע"י הפגימה חשיב שיש ריעותא לפני השחיטה</w:t>
      </w:r>
      <w:bookmarkEnd w:id="4804"/>
      <w:bookmarkEnd w:id="4805"/>
      <w:bookmarkEnd w:id="4806"/>
      <w:bookmarkEnd w:id="4807"/>
      <w:bookmarkEnd w:id="4808"/>
      <w:bookmarkEnd w:id="4809"/>
      <w:bookmarkEnd w:id="4810"/>
      <w:bookmarkEnd w:id="4811"/>
      <w:bookmarkEnd w:id="4812"/>
      <w:bookmarkEnd w:id="4813"/>
      <w:bookmarkEnd w:id="4814"/>
      <w:bookmarkEnd w:id="4815"/>
    </w:p>
    <w:p w14:paraId="615E606E" w14:textId="77777777" w:rsidR="00775410" w:rsidRPr="003D4378" w:rsidRDefault="00775410" w:rsidP="00223668">
      <w:pPr>
        <w:pStyle w:val="a0"/>
        <w:rPr>
          <w:rtl/>
        </w:rPr>
      </w:pPr>
      <w:r w:rsidRPr="00AD567D">
        <w:rPr>
          <w:rStyle w:val="af9"/>
          <w:rFonts w:hint="cs"/>
          <w:rtl/>
        </w:rPr>
        <w:t>בשיעורי מקדש דוד</w:t>
      </w:r>
      <w:r>
        <w:rPr>
          <w:rStyle w:val="af1"/>
          <w:rtl/>
        </w:rPr>
        <w:footnoteReference w:id="20"/>
      </w:r>
      <w:r>
        <w:rPr>
          <w:rFonts w:hint="cs"/>
          <w:rtl/>
        </w:rPr>
        <w:t xml:space="preserve"> </w:t>
      </w:r>
      <w:r w:rsidRPr="00AD567D">
        <w:rPr>
          <w:rStyle w:val="af7"/>
          <w:rFonts w:eastAsia="Guttman Hodes" w:hint="cs"/>
          <w:rtl/>
        </w:rPr>
        <w:t>(סי' ב' אות ז')</w:t>
      </w:r>
      <w:r>
        <w:rPr>
          <w:rFonts w:hint="cs"/>
          <w:rtl/>
        </w:rPr>
        <w:t xml:space="preserve"> ביאר דהא דקיי"ל בשיבר בה עצמות כרב חסדא, הוא כיון דכשיש ריעותא לפנינו דהסכין פגום, א"א להעמיד את הסכין על חזקתו, כיון שמחמת הריעותא יש ספק שמא נפגם הסכין לפני השחיטה, אבל בשבירת עצמות שיש במה לתלות את הריעותא לאחר השחיטה, חשיב שאין ריעותא לפנינו כלל, והוא כאבד הסכין שמעמידים אותו </w:t>
      </w:r>
      <w:r w:rsidRPr="003D4378">
        <w:rPr>
          <w:rFonts w:hint="cs"/>
          <w:rtl/>
        </w:rPr>
        <w:t xml:space="preserve">בחזקתו [לדעת </w:t>
      </w:r>
      <w:r w:rsidRPr="003D4378">
        <w:rPr>
          <w:rStyle w:val="af9"/>
          <w:rFonts w:hint="cs"/>
          <w:rtl/>
        </w:rPr>
        <w:t>הרשב"א</w:t>
      </w:r>
      <w:r>
        <w:rPr>
          <w:rStyle w:val="af9"/>
          <w:rFonts w:hint="cs"/>
          <w:rtl/>
        </w:rPr>
        <w:t xml:space="preserve"> </w:t>
      </w:r>
      <w:r w:rsidRPr="009077E4">
        <w:rPr>
          <w:rStyle w:val="af7"/>
          <w:rFonts w:eastAsia="Guttman Hodes" w:hint="cs"/>
          <w:rtl/>
        </w:rPr>
        <w:t xml:space="preserve">(עי' אות </w:t>
      </w:r>
      <w:r w:rsidRPr="009077E4">
        <w:rPr>
          <w:rStyle w:val="af7"/>
          <w:rFonts w:eastAsia="Guttman Hodes"/>
          <w:rtl/>
        </w:rPr>
        <w:fldChar w:fldCharType="begin"/>
      </w:r>
      <w:r w:rsidRPr="009077E4">
        <w:rPr>
          <w:rStyle w:val="af7"/>
          <w:rFonts w:eastAsia="Guttman Hodes"/>
          <w:rtl/>
        </w:rPr>
        <w:instrText xml:space="preserve"> </w:instrText>
      </w:r>
      <w:r w:rsidRPr="009077E4">
        <w:rPr>
          <w:rStyle w:val="af7"/>
          <w:rFonts w:eastAsia="Guttman Hodes" w:hint="cs"/>
        </w:rPr>
        <w:instrText>REF</w:instrText>
      </w:r>
      <w:r w:rsidRPr="009077E4">
        <w:rPr>
          <w:rStyle w:val="af7"/>
          <w:rFonts w:eastAsia="Guttman Hodes" w:hint="cs"/>
          <w:rtl/>
        </w:rPr>
        <w:instrText xml:space="preserve"> _</w:instrText>
      </w:r>
      <w:r w:rsidRPr="009077E4">
        <w:rPr>
          <w:rStyle w:val="af7"/>
          <w:rFonts w:eastAsia="Guttman Hodes" w:hint="cs"/>
        </w:rPr>
        <w:instrText>Ref523085216 \r \h</w:instrText>
      </w:r>
      <w:r w:rsidRPr="009077E4">
        <w:rPr>
          <w:rStyle w:val="af7"/>
          <w:rFonts w:eastAsia="Guttman Hodes"/>
          <w:rtl/>
        </w:rPr>
        <w:instrText xml:space="preserve"> </w:instrText>
      </w:r>
      <w:r w:rsidRPr="009077E4">
        <w:rPr>
          <w:rStyle w:val="af7"/>
          <w:rFonts w:eastAsia="Guttman Hodes"/>
          <w:rtl/>
        </w:rPr>
      </w:r>
      <w:r w:rsidRPr="009077E4">
        <w:rPr>
          <w:rStyle w:val="af7"/>
          <w:rFonts w:eastAsia="Guttman Hodes"/>
          <w:rtl/>
        </w:rPr>
        <w:fldChar w:fldCharType="separate"/>
      </w:r>
      <w:r w:rsidR="00345400">
        <w:rPr>
          <w:rStyle w:val="af7"/>
          <w:rFonts w:eastAsia="Guttman Hodes"/>
          <w:cs/>
        </w:rPr>
        <w:t>‎</w:t>
      </w:r>
      <w:r w:rsidR="00345400">
        <w:rPr>
          <w:rStyle w:val="af7"/>
          <w:rFonts w:eastAsia="Guttman Hodes"/>
          <w:rtl/>
        </w:rPr>
        <w:t>לח)</w:t>
      </w:r>
      <w:r w:rsidRPr="009077E4">
        <w:rPr>
          <w:rStyle w:val="af7"/>
          <w:rFonts w:eastAsia="Guttman Hodes"/>
          <w:rtl/>
        </w:rPr>
        <w:fldChar w:fldCharType="end"/>
      </w:r>
      <w:r w:rsidRPr="003D4378">
        <w:rPr>
          <w:rFonts w:hint="cs"/>
          <w:rtl/>
        </w:rPr>
        <w:t>].</w:t>
      </w:r>
    </w:p>
    <w:p w14:paraId="7CA64F0C" w14:textId="77777777" w:rsidR="00775410" w:rsidRDefault="00775410" w:rsidP="006D6D32">
      <w:pPr>
        <w:pStyle w:val="a3"/>
        <w:rPr>
          <w:rtl/>
        </w:rPr>
      </w:pPr>
      <w:bookmarkStart w:id="4816" w:name="_Toc523735785"/>
      <w:bookmarkStart w:id="4817" w:name="_Toc526249041"/>
      <w:bookmarkStart w:id="4818" w:name="_Toc526409561"/>
      <w:bookmarkStart w:id="4819" w:name="_Toc526939214"/>
      <w:bookmarkStart w:id="4820" w:name="_Toc527060350"/>
      <w:bookmarkStart w:id="4821" w:name="_Toc527060498"/>
      <w:bookmarkStart w:id="4822" w:name="_Toc527100876"/>
      <w:bookmarkStart w:id="4823" w:name="_Toc528227132"/>
      <w:bookmarkStart w:id="4824" w:name="_Toc528227296"/>
      <w:bookmarkStart w:id="4825" w:name="_Toc528227458"/>
      <w:bookmarkStart w:id="4826" w:name="_Toc19389531"/>
      <w:bookmarkStart w:id="4827" w:name="_Toc19393028"/>
      <w:r>
        <w:rPr>
          <w:rFonts w:hint="cs"/>
          <w:rtl/>
        </w:rPr>
        <w:t>ביאור המקדש דוד דלרב הונא אף בשיבר עצמות א"א להעמיד על חזקת הסכין</w:t>
      </w:r>
      <w:bookmarkEnd w:id="4816"/>
      <w:bookmarkEnd w:id="4817"/>
      <w:bookmarkEnd w:id="4818"/>
      <w:bookmarkEnd w:id="4819"/>
      <w:bookmarkEnd w:id="4820"/>
      <w:bookmarkEnd w:id="4821"/>
      <w:bookmarkEnd w:id="4822"/>
      <w:bookmarkEnd w:id="4823"/>
      <w:bookmarkEnd w:id="4824"/>
      <w:bookmarkEnd w:id="4825"/>
      <w:bookmarkEnd w:id="4826"/>
      <w:bookmarkEnd w:id="4827"/>
    </w:p>
    <w:p w14:paraId="13337F91" w14:textId="77777777" w:rsidR="00775410" w:rsidRDefault="00775410" w:rsidP="00223668">
      <w:pPr>
        <w:pStyle w:val="a0"/>
        <w:rPr>
          <w:rtl/>
        </w:rPr>
        <w:sectPr w:rsidR="00775410" w:rsidSect="00775410">
          <w:type w:val="continuous"/>
          <w:pgSz w:w="11906" w:h="16838"/>
          <w:pgMar w:top="720" w:right="720" w:bottom="720" w:left="720" w:header="283" w:footer="283" w:gutter="0"/>
          <w:cols w:num="2" w:space="567"/>
          <w:bidi/>
          <w:rtlGutter/>
        </w:sectPr>
      </w:pPr>
      <w:bookmarkStart w:id="4828" w:name="_Ref527232376"/>
      <w:r>
        <w:rPr>
          <w:rFonts w:hint="cs"/>
          <w:rtl/>
        </w:rPr>
        <w:t xml:space="preserve">ובדעת רב הונא דאסר אף בשיבר בה עצמות, ביאר </w:t>
      </w:r>
      <w:r w:rsidRPr="00AD567D">
        <w:rPr>
          <w:rStyle w:val="af9"/>
          <w:rFonts w:hint="cs"/>
          <w:rtl/>
        </w:rPr>
        <w:t>בשיעורי המקדש דוד</w:t>
      </w:r>
      <w:r>
        <w:rPr>
          <w:rFonts w:hint="cs"/>
          <w:rtl/>
        </w:rPr>
        <w:t xml:space="preserve"> דאי נימא דרק כשיש דבר שמספק א"א להעמיד את הסכין על חזקתו, ולכן באבד מעמידים את הסכין על חזקתו </w:t>
      </w:r>
      <w:r w:rsidRPr="003D4378">
        <w:rPr>
          <w:rFonts w:hint="cs"/>
          <w:rtl/>
        </w:rPr>
        <w:t xml:space="preserve">[לדעת </w:t>
      </w:r>
      <w:r w:rsidRPr="003D4378">
        <w:rPr>
          <w:rStyle w:val="af9"/>
          <w:rFonts w:hint="cs"/>
          <w:rtl/>
        </w:rPr>
        <w:t>הרשב"א</w:t>
      </w:r>
      <w:r>
        <w:rPr>
          <w:rStyle w:val="af9"/>
          <w:rFonts w:hint="cs"/>
          <w:rtl/>
        </w:rPr>
        <w:t xml:space="preserve"> </w:t>
      </w:r>
      <w:r w:rsidRPr="009077E4">
        <w:rPr>
          <w:rStyle w:val="af7"/>
          <w:rFonts w:eastAsia="Guttman Hodes" w:hint="cs"/>
          <w:rtl/>
        </w:rPr>
        <w:t xml:space="preserve">(עי' אות </w:t>
      </w:r>
      <w:r w:rsidRPr="009077E4">
        <w:rPr>
          <w:rStyle w:val="af7"/>
          <w:rFonts w:eastAsia="Guttman Hodes"/>
          <w:rtl/>
        </w:rPr>
        <w:fldChar w:fldCharType="begin"/>
      </w:r>
      <w:r w:rsidRPr="009077E4">
        <w:rPr>
          <w:rStyle w:val="af7"/>
          <w:rFonts w:eastAsia="Guttman Hodes"/>
          <w:rtl/>
        </w:rPr>
        <w:instrText xml:space="preserve"> </w:instrText>
      </w:r>
      <w:r w:rsidRPr="009077E4">
        <w:rPr>
          <w:rStyle w:val="af7"/>
          <w:rFonts w:eastAsia="Guttman Hodes" w:hint="cs"/>
        </w:rPr>
        <w:instrText>REF</w:instrText>
      </w:r>
      <w:r w:rsidRPr="009077E4">
        <w:rPr>
          <w:rStyle w:val="af7"/>
          <w:rFonts w:eastAsia="Guttman Hodes" w:hint="cs"/>
          <w:rtl/>
        </w:rPr>
        <w:instrText xml:space="preserve"> _</w:instrText>
      </w:r>
      <w:r w:rsidRPr="009077E4">
        <w:rPr>
          <w:rStyle w:val="af7"/>
          <w:rFonts w:eastAsia="Guttman Hodes" w:hint="cs"/>
        </w:rPr>
        <w:instrText>Ref523085216 \r \h</w:instrText>
      </w:r>
      <w:r w:rsidRPr="009077E4">
        <w:rPr>
          <w:rStyle w:val="af7"/>
          <w:rFonts w:eastAsia="Guttman Hodes"/>
          <w:rtl/>
        </w:rPr>
        <w:instrText xml:space="preserve"> </w:instrText>
      </w:r>
      <w:r w:rsidRPr="009077E4">
        <w:rPr>
          <w:rStyle w:val="af7"/>
          <w:rFonts w:eastAsia="Guttman Hodes"/>
          <w:rtl/>
        </w:rPr>
      </w:r>
      <w:r w:rsidRPr="009077E4">
        <w:rPr>
          <w:rStyle w:val="af7"/>
          <w:rFonts w:eastAsia="Guttman Hodes"/>
          <w:rtl/>
        </w:rPr>
        <w:fldChar w:fldCharType="separate"/>
      </w:r>
      <w:r w:rsidR="00345400">
        <w:rPr>
          <w:rStyle w:val="af7"/>
          <w:rFonts w:eastAsia="Guttman Hodes"/>
          <w:cs/>
        </w:rPr>
        <w:t>‎</w:t>
      </w:r>
      <w:r w:rsidR="00345400">
        <w:rPr>
          <w:rStyle w:val="af7"/>
          <w:rFonts w:eastAsia="Guttman Hodes"/>
          <w:rtl/>
        </w:rPr>
        <w:t>לח)</w:t>
      </w:r>
      <w:r w:rsidRPr="009077E4">
        <w:rPr>
          <w:rStyle w:val="af7"/>
          <w:rFonts w:eastAsia="Guttman Hodes"/>
          <w:rtl/>
        </w:rPr>
        <w:fldChar w:fldCharType="end"/>
      </w:r>
      <w:r w:rsidRPr="003D4378">
        <w:rPr>
          <w:rFonts w:hint="cs"/>
          <w:rtl/>
        </w:rPr>
        <w:t>]</w:t>
      </w:r>
      <w:r>
        <w:rPr>
          <w:rFonts w:hint="cs"/>
          <w:rtl/>
        </w:rPr>
        <w:t>, כיון שאין לנו דבר המספק, אבל כשהסכין פגום, אף ששיבר בה עצמות ויש במה לתלות, מ"מ כיון שהספק לפנינו א"א להעמיד את הסכין על חזקתו, ומעמידים את הבהמה בחזקת אינו זבוח.</w:t>
      </w:r>
      <w:bookmarkEnd w:id="4828"/>
    </w:p>
    <w:p w14:paraId="39B1890F" w14:textId="77777777" w:rsidR="00775410" w:rsidRDefault="00775410" w:rsidP="00BF39B2">
      <w:pPr>
        <w:pStyle w:val="1"/>
        <w:rPr>
          <w:rtl/>
        </w:rPr>
      </w:pPr>
    </w:p>
    <w:p w14:paraId="6AE3E4CE" w14:textId="77777777" w:rsidR="00775410" w:rsidRPr="00775410" w:rsidRDefault="00775410" w:rsidP="006D6D32">
      <w:pPr>
        <w:pStyle w:val="a3"/>
        <w:rPr>
          <w:rtl/>
        </w:rPr>
        <w:sectPr w:rsidR="00775410" w:rsidRPr="00775410" w:rsidSect="00834C78">
          <w:type w:val="continuous"/>
          <w:pgSz w:w="11906" w:h="16838"/>
          <w:pgMar w:top="720" w:right="720" w:bottom="720" w:left="720" w:header="283" w:footer="283" w:gutter="0"/>
          <w:cols w:space="567"/>
          <w:bidi/>
          <w:rtlGutter/>
        </w:sectPr>
      </w:pPr>
    </w:p>
    <w:p w14:paraId="43CDA34E" w14:textId="77777777" w:rsidR="00EC6E8F" w:rsidRPr="009E68D3" w:rsidRDefault="00EC6E8F" w:rsidP="006D6D32">
      <w:pPr>
        <w:pStyle w:val="afd"/>
        <w:rPr>
          <w:rtl/>
        </w:rPr>
      </w:pPr>
      <w:bookmarkStart w:id="4829" w:name="_Toc523760814"/>
      <w:bookmarkStart w:id="4830" w:name="_Toc523490269"/>
      <w:bookmarkStart w:id="4831" w:name="_Toc523397167"/>
      <w:bookmarkStart w:id="4832" w:name="_Toc526415933"/>
      <w:bookmarkStart w:id="4833" w:name="_Toc526418151"/>
      <w:bookmarkStart w:id="4834" w:name="_Toc534142063"/>
      <w:bookmarkStart w:id="4835" w:name="_Toc16669728"/>
      <w:bookmarkStart w:id="4836" w:name="_Toc19435334"/>
      <w:bookmarkStart w:id="4837" w:name="_Toc20080672"/>
      <w:r w:rsidRPr="009E68D3">
        <w:rPr>
          <w:rFonts w:hint="cs"/>
          <w:rtl/>
        </w:rPr>
        <w:t>סימן ה'</w:t>
      </w:r>
      <w:bookmarkEnd w:id="4829"/>
      <w:bookmarkEnd w:id="4830"/>
      <w:bookmarkEnd w:id="4831"/>
      <w:bookmarkEnd w:id="4832"/>
      <w:bookmarkEnd w:id="4833"/>
      <w:bookmarkEnd w:id="4834"/>
      <w:bookmarkEnd w:id="4835"/>
      <w:bookmarkEnd w:id="4836"/>
      <w:bookmarkEnd w:id="4837"/>
    </w:p>
    <w:p w14:paraId="42FEB38A" w14:textId="77777777" w:rsidR="00EC6E8F" w:rsidRDefault="00EC6E8F" w:rsidP="006D6D32">
      <w:pPr>
        <w:pStyle w:val="afd"/>
        <w:rPr>
          <w:rtl/>
        </w:rPr>
      </w:pPr>
      <w:bookmarkStart w:id="4838" w:name="_Toc523397168"/>
      <w:bookmarkStart w:id="4839" w:name="_Toc523490270"/>
      <w:bookmarkStart w:id="4840" w:name="_Toc523760815"/>
      <w:bookmarkStart w:id="4841" w:name="_Toc526415934"/>
      <w:bookmarkStart w:id="4842" w:name="_Toc526418152"/>
      <w:bookmarkStart w:id="4843" w:name="_Toc534142064"/>
      <w:bookmarkStart w:id="4844" w:name="_Toc16669729"/>
      <w:bookmarkStart w:id="4845" w:name="_Toc19435335"/>
      <w:bookmarkStart w:id="4846" w:name="_Toc20080673"/>
      <w:r w:rsidRPr="00D633CC">
        <w:rPr>
          <w:rFonts w:hint="cs"/>
          <w:rtl/>
        </w:rPr>
        <w:t>ב</w:t>
      </w:r>
      <w:r>
        <w:rPr>
          <w:rFonts w:hint="cs"/>
          <w:rtl/>
        </w:rPr>
        <w:t>סוגיא ד</w:t>
      </w:r>
      <w:r w:rsidRPr="00D633CC">
        <w:rPr>
          <w:rFonts w:hint="cs"/>
          <w:rtl/>
        </w:rPr>
        <w:t>השוחט בסכין ונמצאת פגומה</w:t>
      </w:r>
      <w:bookmarkEnd w:id="4838"/>
      <w:bookmarkEnd w:id="4839"/>
      <w:r w:rsidRPr="00D633CC">
        <w:rPr>
          <w:rFonts w:hint="cs"/>
          <w:rtl/>
        </w:rPr>
        <w:t xml:space="preserve"> (ב')</w:t>
      </w:r>
      <w:bookmarkEnd w:id="4840"/>
      <w:bookmarkEnd w:id="4841"/>
      <w:bookmarkEnd w:id="4842"/>
      <w:bookmarkEnd w:id="4843"/>
      <w:bookmarkEnd w:id="4844"/>
      <w:bookmarkEnd w:id="4845"/>
      <w:bookmarkEnd w:id="4846"/>
    </w:p>
    <w:p w14:paraId="403A848F" w14:textId="77777777" w:rsidR="00EC6E8F" w:rsidRDefault="00EC6E8F" w:rsidP="006D6D32">
      <w:pPr>
        <w:pStyle w:val="afd"/>
        <w:rPr>
          <w:rtl/>
        </w:rPr>
      </w:pPr>
      <w:bookmarkStart w:id="4847" w:name="_Toc534142065"/>
      <w:bookmarkStart w:id="4848" w:name="_Toc16669730"/>
      <w:bookmarkStart w:id="4849" w:name="_Toc19435336"/>
      <w:bookmarkStart w:id="4850" w:name="_Toc20080674"/>
      <w:r>
        <w:rPr>
          <w:rFonts w:hint="cs"/>
          <w:rtl/>
        </w:rPr>
        <w:t>בביאור סברת ההיתר לרב חסדא</w:t>
      </w:r>
      <w:bookmarkEnd w:id="4847"/>
      <w:bookmarkEnd w:id="4848"/>
      <w:bookmarkEnd w:id="4849"/>
      <w:bookmarkEnd w:id="4850"/>
    </w:p>
    <w:p w14:paraId="1FFC2A1C" w14:textId="77777777" w:rsidR="00EC6E8F" w:rsidRDefault="00EC6E8F" w:rsidP="00EC6E8F">
      <w:pPr>
        <w:pStyle w:val="2"/>
        <w:rPr>
          <w:rtl/>
        </w:rPr>
        <w:sectPr w:rsidR="00EC6E8F" w:rsidSect="00D3680E">
          <w:headerReference w:type="default" r:id="rId33"/>
          <w:headerReference w:type="first" r:id="rId34"/>
          <w:footerReference w:type="first" r:id="rId35"/>
          <w:pgSz w:w="11906" w:h="16838"/>
          <w:pgMar w:top="720" w:right="720" w:bottom="720" w:left="720" w:header="283" w:footer="283" w:gutter="0"/>
          <w:cols w:space="567"/>
          <w:bidi/>
          <w:rtlGutter/>
          <w:docGrid w:linePitch="299"/>
        </w:sectPr>
      </w:pPr>
    </w:p>
    <w:p w14:paraId="27E82494" w14:textId="77777777" w:rsidR="00EC6E8F" w:rsidRPr="00C24DCC" w:rsidRDefault="00EC6E8F" w:rsidP="00EC6E8F">
      <w:pPr>
        <w:pStyle w:val="2"/>
        <w:rPr>
          <w:b/>
          <w:bCs/>
          <w:sz w:val="18"/>
          <w:szCs w:val="28"/>
          <w:rtl/>
        </w:rPr>
        <w:sectPr w:rsidR="00EC6E8F" w:rsidRPr="00C24DCC" w:rsidSect="00413DD0">
          <w:headerReference w:type="even" r:id="rId36"/>
          <w:headerReference w:type="default" r:id="rId37"/>
          <w:footerReference w:type="even" r:id="rId38"/>
          <w:footerReference w:type="default" r:id="rId39"/>
          <w:headerReference w:type="first" r:id="rId40"/>
          <w:footerReference w:type="first" r:id="rId41"/>
          <w:type w:val="continuous"/>
          <w:pgSz w:w="11906" w:h="16838"/>
          <w:pgMar w:top="720" w:right="720" w:bottom="720" w:left="720" w:header="283" w:footer="283" w:gutter="0"/>
          <w:cols w:space="720"/>
          <w:titlePg/>
          <w:bidi/>
          <w:rtlGutter/>
          <w:docGrid w:linePitch="299"/>
        </w:sect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sidRPr="00B7794B">
        <w:rPr>
          <w:rFonts w:hint="cs"/>
          <w:rtl/>
        </w:rPr>
        <w:t xml:space="preserve"> </w:t>
      </w:r>
      <w:r w:rsidR="000A0C31">
        <w:rPr>
          <w:rFonts w:hint="cs"/>
          <w:rtl/>
        </w:rPr>
        <w:t>מפתח הסוגיא</w:t>
      </w:r>
      <w:r>
        <w:rPr>
          <w:rFonts w:hint="cs"/>
          <w:rtl/>
        </w:rPr>
        <w:fldChar w:fldCharType="begin"/>
      </w:r>
      <w:r>
        <w:rPr>
          <w:rFonts w:hint="cs"/>
          <w:rtl/>
        </w:rPr>
        <w:instrText xml:space="preserve"> </w:instrText>
      </w:r>
      <w:r>
        <w:rPr>
          <w:rFonts w:hint="cs"/>
        </w:rPr>
        <w:instrText>TOC</w:instrText>
      </w:r>
      <w:r>
        <w:rPr>
          <w:rFonts w:hint="cs"/>
          <w:rtl/>
        </w:rPr>
        <w:instrText xml:space="preserve"> \</w:instrText>
      </w:r>
      <w:r>
        <w:rPr>
          <w:rFonts w:hint="cs"/>
        </w:rPr>
        <w:instrText>o "1-9" \n \p " " \z \t</w:instrText>
      </w:r>
      <w:r>
        <w:rPr>
          <w:rFonts w:hint="cs"/>
          <w:rtl/>
        </w:rPr>
        <w:instrText xml:space="preserve"> "כותרת 1,2,כות קט,3,כות מקטע,1" </w:instrText>
      </w:r>
      <w:r>
        <w:rPr>
          <w:rFonts w:hint="cs"/>
          <w:rtl/>
        </w:rPr>
        <w:fldChar w:fldCharType="separate"/>
      </w:r>
    </w:p>
    <w:p w14:paraId="0FD00248" w14:textId="77777777" w:rsidR="00EC6E8F" w:rsidRDefault="00EC6E8F" w:rsidP="00EC6E8F">
      <w:pPr>
        <w:pStyle w:val="2"/>
        <w:rPr>
          <w:rtl/>
        </w:rPr>
      </w:pPr>
      <w:bookmarkStart w:id="4851" w:name="_Toc19435338"/>
      <w:r>
        <w:rPr>
          <w:rFonts w:hint="cs"/>
          <w:rtl/>
        </w:rPr>
        <w:t>מראי מקומות וביאורים על הסוגיא</w:t>
      </w:r>
      <w:bookmarkEnd w:id="4851"/>
      <w:r>
        <w:rPr>
          <w:rFonts w:hint="cs"/>
          <w:rtl/>
        </w:rPr>
        <w:t xml:space="preserve"> </w:t>
      </w:r>
    </w:p>
    <w:p w14:paraId="39F446B1" w14:textId="77777777" w:rsidR="00EC6E8F" w:rsidRDefault="00EC6E8F" w:rsidP="00EC6E8F">
      <w:pPr>
        <w:pStyle w:val="2"/>
        <w:rPr>
          <w:rFonts w:eastAsiaTheme="minorEastAsia" w:cstheme="minorBidi"/>
          <w:i/>
          <w:iCs/>
          <w:noProof/>
          <w:sz w:val="22"/>
          <w:szCs w:val="22"/>
          <w:rtl/>
        </w:rPr>
      </w:pPr>
      <w:r>
        <w:rPr>
          <w:rFonts w:hint="cs"/>
          <w:rtl/>
        </w:rPr>
        <w:fldChar w:fldCharType="end"/>
      </w:r>
      <w:bookmarkStart w:id="4852" w:name="_Toc19435339"/>
      <w:r>
        <w:rPr>
          <w:noProof/>
          <w:rtl/>
        </w:rPr>
        <w:t>בטעמא דר"ח דאין ספק מוציא מידי ודאי</w:t>
      </w:r>
      <w:bookmarkEnd w:id="4852"/>
    </w:p>
    <w:p w14:paraId="6B48D987" w14:textId="77777777" w:rsidR="00EC6E8F" w:rsidRDefault="00EC6E8F" w:rsidP="00EC6E8F">
      <w:pPr>
        <w:pStyle w:val="aff4"/>
        <w:rPr>
          <w:rFonts w:eastAsiaTheme="minorEastAsia" w:cstheme="minorBidi"/>
          <w:i/>
          <w:iCs/>
          <w:noProof/>
          <w:sz w:val="22"/>
          <w:szCs w:val="22"/>
          <w:rtl/>
        </w:rPr>
      </w:pPr>
      <w:bookmarkStart w:id="4853" w:name="_Toc19435340"/>
      <w:bookmarkStart w:id="4854" w:name="_Toc20080675"/>
      <w:r>
        <w:rPr>
          <w:noProof/>
          <w:rtl/>
        </w:rPr>
        <w:t>דעת הבעה"מ והרשב"א דתלינן במפרקת שהוא ודאי ומצוי</w:t>
      </w:r>
      <w:bookmarkEnd w:id="4853"/>
      <w:bookmarkEnd w:id="4854"/>
    </w:p>
    <w:p w14:paraId="64CDF917" w14:textId="77777777" w:rsidR="007504D1" w:rsidRPr="005077A7" w:rsidRDefault="007504D1" w:rsidP="00E12979">
      <w:pPr>
        <w:pStyle w:val="a"/>
        <w:numPr>
          <w:ilvl w:val="0"/>
          <w:numId w:val="22"/>
        </w:numPr>
        <w:rPr>
          <w:rFonts w:eastAsiaTheme="minorEastAsia" w:cstheme="minorBidi"/>
          <w:noProof/>
          <w:sz w:val="22"/>
          <w:szCs w:val="22"/>
        </w:rPr>
      </w:pPr>
      <w:r w:rsidRPr="007504D1">
        <w:rPr>
          <w:noProof/>
          <w:rtl/>
        </w:rPr>
        <w:t xml:space="preserve">דברי הבעה"מ והרשב"א דאין הספק סותר לודאי ולא דמי לדין אין ספק מוציא מידי ודאי </w:t>
      </w:r>
    </w:p>
    <w:p w14:paraId="4CD9DAAB" w14:textId="77777777" w:rsidR="00EC6E8F" w:rsidRDefault="00EC6E8F" w:rsidP="005077A7">
      <w:pPr>
        <w:pStyle w:val="a"/>
        <w:rPr>
          <w:rFonts w:eastAsiaTheme="minorEastAsia" w:cstheme="minorBidi"/>
          <w:noProof/>
          <w:sz w:val="22"/>
          <w:szCs w:val="22"/>
          <w:rtl/>
        </w:rPr>
      </w:pPr>
      <w:r>
        <w:rPr>
          <w:noProof/>
          <w:rtl/>
        </w:rPr>
        <w:t>ביאור הבעה"מ והרשב"א דכוונת הגמ' לומר דעצם מצוי לפגום תלינן בו ולא בעור שאינו מצוי</w:t>
      </w:r>
    </w:p>
    <w:p w14:paraId="5CA6C0DD" w14:textId="77777777" w:rsidR="00EC6E8F" w:rsidRDefault="00EC6E8F" w:rsidP="00EC6E8F">
      <w:pPr>
        <w:pStyle w:val="aff4"/>
        <w:rPr>
          <w:rFonts w:eastAsiaTheme="minorEastAsia" w:cstheme="minorBidi"/>
          <w:i/>
          <w:iCs/>
          <w:noProof/>
          <w:sz w:val="22"/>
          <w:szCs w:val="22"/>
          <w:rtl/>
        </w:rPr>
      </w:pPr>
      <w:bookmarkStart w:id="4855" w:name="_Toc19435341"/>
      <w:bookmarkStart w:id="4856" w:name="_Toc20080676"/>
      <w:r>
        <w:rPr>
          <w:noProof/>
          <w:rtl/>
        </w:rPr>
        <w:t>ביאור הרמב"ן דספק עור לא מוציא מודאי בדיקה</w:t>
      </w:r>
      <w:bookmarkEnd w:id="4855"/>
      <w:bookmarkEnd w:id="4856"/>
    </w:p>
    <w:p w14:paraId="0441C9F6" w14:textId="77777777" w:rsidR="00EC6E8F" w:rsidRDefault="00EC6E8F" w:rsidP="005077A7">
      <w:pPr>
        <w:pStyle w:val="a"/>
        <w:rPr>
          <w:rFonts w:eastAsiaTheme="minorEastAsia" w:cstheme="minorBidi"/>
          <w:noProof/>
          <w:sz w:val="22"/>
          <w:szCs w:val="22"/>
          <w:rtl/>
        </w:rPr>
      </w:pPr>
      <w:r>
        <w:rPr>
          <w:noProof/>
          <w:rtl/>
        </w:rPr>
        <w:t>ביאור הרמב"ן בתירוצו השני דספק עור שאינו ודאי פוגם לא מוציא מודאי סכין בדוק</w:t>
      </w:r>
    </w:p>
    <w:p w14:paraId="6AED9684" w14:textId="77777777" w:rsidR="00EC6E8F" w:rsidRDefault="00EC6E8F" w:rsidP="00EC6E8F">
      <w:pPr>
        <w:pStyle w:val="aff4"/>
        <w:rPr>
          <w:rFonts w:eastAsiaTheme="minorEastAsia" w:cstheme="minorBidi"/>
          <w:i/>
          <w:iCs/>
          <w:noProof/>
          <w:sz w:val="22"/>
          <w:szCs w:val="22"/>
          <w:rtl/>
        </w:rPr>
      </w:pPr>
      <w:bookmarkStart w:id="4857" w:name="_Toc19435342"/>
      <w:bookmarkStart w:id="4858" w:name="_Toc20080677"/>
      <w:r>
        <w:rPr>
          <w:noProof/>
          <w:rtl/>
        </w:rPr>
        <w:t>משמעות התוס' דכוונת הגמ' לדין אין ספק מוציא מידי ודאי</w:t>
      </w:r>
      <w:bookmarkEnd w:id="4857"/>
      <w:bookmarkEnd w:id="4858"/>
    </w:p>
    <w:p w14:paraId="37B42FFA" w14:textId="77777777" w:rsidR="00EC6E8F" w:rsidRDefault="00EC6E8F" w:rsidP="005077A7">
      <w:pPr>
        <w:pStyle w:val="a"/>
        <w:rPr>
          <w:rFonts w:eastAsiaTheme="minorEastAsia" w:cstheme="minorBidi"/>
          <w:noProof/>
          <w:sz w:val="22"/>
          <w:szCs w:val="22"/>
          <w:rtl/>
        </w:rPr>
      </w:pPr>
      <w:r>
        <w:rPr>
          <w:noProof/>
          <w:rtl/>
        </w:rPr>
        <w:t>דברי התוס' דדין אין ספק מוציא מידי ודאי דהכא הוא לחומרא ולא דמי לשאר סוגיות</w:t>
      </w:r>
    </w:p>
    <w:p w14:paraId="16A16490" w14:textId="77777777" w:rsidR="00EC6E8F" w:rsidRDefault="00EC6E8F" w:rsidP="005077A7">
      <w:pPr>
        <w:pStyle w:val="a"/>
        <w:rPr>
          <w:rFonts w:eastAsiaTheme="minorEastAsia" w:cstheme="minorBidi"/>
          <w:noProof/>
          <w:sz w:val="22"/>
          <w:szCs w:val="22"/>
          <w:rtl/>
        </w:rPr>
      </w:pPr>
      <w:r>
        <w:rPr>
          <w:noProof/>
          <w:rtl/>
        </w:rPr>
        <w:t>דברי התוס' דהכא אין ספק העור חשיב כרגיל ומצוי ולא כשאר סוגיות</w:t>
      </w:r>
    </w:p>
    <w:p w14:paraId="489B9A84" w14:textId="77777777" w:rsidR="00EC6E8F" w:rsidRDefault="00EC6E8F" w:rsidP="005077A7">
      <w:pPr>
        <w:pStyle w:val="a"/>
        <w:rPr>
          <w:rFonts w:eastAsiaTheme="minorEastAsia" w:cstheme="minorBidi"/>
          <w:noProof/>
          <w:sz w:val="22"/>
          <w:szCs w:val="22"/>
          <w:rtl/>
        </w:rPr>
      </w:pPr>
      <w:r>
        <w:rPr>
          <w:noProof/>
          <w:rtl/>
        </w:rPr>
        <w:t>קושית הרש"ש על תוס' דלא דמי דין אין ספק מוציא מידי ודאי בסוגיין לשאר סוגיות</w:t>
      </w:r>
    </w:p>
    <w:p w14:paraId="14838842" w14:textId="77777777" w:rsidR="00EC6E8F" w:rsidRDefault="00EC6E8F" w:rsidP="00EC6E8F">
      <w:pPr>
        <w:pStyle w:val="2"/>
        <w:rPr>
          <w:rFonts w:eastAsiaTheme="minorEastAsia" w:cstheme="minorBidi"/>
          <w:i/>
          <w:iCs/>
          <w:noProof/>
          <w:sz w:val="22"/>
          <w:szCs w:val="22"/>
          <w:rtl/>
        </w:rPr>
      </w:pPr>
      <w:bookmarkStart w:id="4859" w:name="_Toc19435343"/>
      <w:r>
        <w:rPr>
          <w:noProof/>
          <w:rtl/>
        </w:rPr>
        <w:t>ב</w:t>
      </w:r>
      <w:r>
        <w:rPr>
          <w:rFonts w:hint="cs"/>
          <w:noProof/>
          <w:rtl/>
        </w:rPr>
        <w:t>טעמא דרב חסדא ד</w:t>
      </w:r>
      <w:r>
        <w:rPr>
          <w:noProof/>
          <w:rtl/>
        </w:rPr>
        <w:t>בהמה לא איתרעי</w:t>
      </w:r>
      <w:bookmarkEnd w:id="4859"/>
    </w:p>
    <w:p w14:paraId="150EF856" w14:textId="77777777" w:rsidR="00EC6E8F" w:rsidRDefault="00EC6E8F" w:rsidP="00EC6E8F">
      <w:pPr>
        <w:pStyle w:val="aff4"/>
        <w:rPr>
          <w:rFonts w:eastAsiaTheme="minorEastAsia" w:cstheme="minorBidi"/>
          <w:i/>
          <w:iCs/>
          <w:noProof/>
          <w:sz w:val="22"/>
          <w:szCs w:val="22"/>
          <w:rtl/>
        </w:rPr>
      </w:pPr>
      <w:bookmarkStart w:id="4860" w:name="_Toc19435344"/>
      <w:bookmarkStart w:id="4861" w:name="_Toc20080678"/>
      <w:r>
        <w:rPr>
          <w:noProof/>
          <w:rtl/>
        </w:rPr>
        <w:t>ביאור רש"י דעי"ז אין הספק מוציא מודאי שחוטה</w:t>
      </w:r>
      <w:bookmarkEnd w:id="4860"/>
      <w:bookmarkEnd w:id="4861"/>
    </w:p>
    <w:p w14:paraId="7A59C318" w14:textId="77777777" w:rsidR="00EC6E8F" w:rsidRDefault="00EC6E8F" w:rsidP="005077A7">
      <w:pPr>
        <w:pStyle w:val="a"/>
        <w:rPr>
          <w:rFonts w:eastAsiaTheme="minorEastAsia" w:cstheme="minorBidi"/>
          <w:noProof/>
          <w:sz w:val="22"/>
          <w:szCs w:val="22"/>
          <w:rtl/>
        </w:rPr>
      </w:pPr>
      <w:r>
        <w:rPr>
          <w:noProof/>
          <w:rtl/>
        </w:rPr>
        <w:t>ביאור רש"י דכיון שאין הריעותא בגופה אין כח בספק להוציא מהודאי</w:t>
      </w:r>
    </w:p>
    <w:p w14:paraId="609E7756" w14:textId="77777777" w:rsidR="00EC6E8F" w:rsidRDefault="00EC6E8F" w:rsidP="005077A7">
      <w:pPr>
        <w:pStyle w:val="a"/>
        <w:rPr>
          <w:rFonts w:eastAsiaTheme="minorEastAsia" w:cstheme="minorBidi"/>
          <w:noProof/>
          <w:sz w:val="22"/>
          <w:szCs w:val="22"/>
          <w:rtl/>
        </w:rPr>
      </w:pPr>
      <w:r>
        <w:rPr>
          <w:noProof/>
          <w:rtl/>
        </w:rPr>
        <w:t>דברי המהרש"א דלדעת רש"י למסקנת הגמ' סברת רב חסדא היא מחמת דשחוטה לפניך</w:t>
      </w:r>
    </w:p>
    <w:p w14:paraId="3A5515C1" w14:textId="77777777" w:rsidR="00EC6E8F" w:rsidRDefault="00EC6E8F" w:rsidP="00EC6E8F">
      <w:pPr>
        <w:pStyle w:val="aff4"/>
        <w:rPr>
          <w:rFonts w:eastAsiaTheme="minorEastAsia" w:cstheme="minorBidi"/>
          <w:i/>
          <w:iCs/>
          <w:noProof/>
          <w:sz w:val="22"/>
          <w:szCs w:val="22"/>
          <w:rtl/>
        </w:rPr>
      </w:pPr>
      <w:bookmarkStart w:id="4862" w:name="_Toc19435345"/>
      <w:bookmarkStart w:id="4863" w:name="_Toc20080679"/>
      <w:r>
        <w:rPr>
          <w:noProof/>
          <w:rtl/>
        </w:rPr>
        <w:t>ביאור הר"ן דלמסקנא נדחה הטעם דאין ספק מוציא מידי ודאי</w:t>
      </w:r>
      <w:bookmarkEnd w:id="4862"/>
      <w:bookmarkEnd w:id="4863"/>
    </w:p>
    <w:p w14:paraId="6D305C16" w14:textId="77777777" w:rsidR="00EC6E8F" w:rsidRDefault="00EC6E8F" w:rsidP="005077A7">
      <w:pPr>
        <w:pStyle w:val="a"/>
        <w:rPr>
          <w:rFonts w:eastAsiaTheme="minorEastAsia" w:cstheme="minorBidi"/>
          <w:noProof/>
          <w:sz w:val="22"/>
          <w:szCs w:val="22"/>
          <w:rtl/>
        </w:rPr>
      </w:pPr>
      <w:r>
        <w:rPr>
          <w:noProof/>
          <w:rtl/>
        </w:rPr>
        <w:t>דברי הר"ן דלהו"א בשיבר עצמות אין ריעותא ודחתה הגמ' מנמצא דבר החוצץ דהוי ריעותא</w:t>
      </w:r>
    </w:p>
    <w:p w14:paraId="7349A310" w14:textId="77777777" w:rsidR="00EC6E8F" w:rsidRDefault="00EC6E8F" w:rsidP="005077A7">
      <w:pPr>
        <w:pStyle w:val="a"/>
        <w:rPr>
          <w:rFonts w:eastAsiaTheme="minorEastAsia" w:cstheme="minorBidi"/>
          <w:noProof/>
          <w:sz w:val="22"/>
          <w:szCs w:val="22"/>
          <w:rtl/>
        </w:rPr>
      </w:pPr>
      <w:r>
        <w:rPr>
          <w:noProof/>
          <w:rtl/>
        </w:rPr>
        <w:t>דברי הר"ן דלמסקנא אף שיש ריעותא בסכין אי"ז ריעותא בבהמה</w:t>
      </w:r>
    </w:p>
    <w:p w14:paraId="6B018C61" w14:textId="77777777" w:rsidR="00EC6E8F" w:rsidRDefault="00EC6E8F" w:rsidP="00EC6E8F">
      <w:pPr>
        <w:pStyle w:val="aff4"/>
        <w:rPr>
          <w:rFonts w:eastAsiaTheme="minorEastAsia" w:cstheme="minorBidi"/>
          <w:i/>
          <w:iCs/>
          <w:noProof/>
          <w:sz w:val="22"/>
          <w:szCs w:val="22"/>
          <w:rtl/>
        </w:rPr>
      </w:pPr>
      <w:bookmarkStart w:id="4864" w:name="_Toc19435346"/>
      <w:bookmarkStart w:id="4865" w:name="_Toc20080680"/>
      <w:r>
        <w:rPr>
          <w:noProof/>
          <w:rtl/>
        </w:rPr>
        <w:t>ביאור הר"ן דכיון שאין ריעותא בבהמה נשאר הסכין בחזקתו</w:t>
      </w:r>
      <w:bookmarkEnd w:id="4864"/>
      <w:bookmarkEnd w:id="4865"/>
    </w:p>
    <w:p w14:paraId="357350E9" w14:textId="77777777" w:rsidR="00EC6E8F" w:rsidRDefault="00EC6E8F" w:rsidP="005077A7">
      <w:pPr>
        <w:pStyle w:val="a"/>
        <w:rPr>
          <w:rFonts w:eastAsiaTheme="minorEastAsia" w:cstheme="minorBidi"/>
          <w:noProof/>
          <w:sz w:val="22"/>
          <w:szCs w:val="22"/>
          <w:rtl/>
        </w:rPr>
      </w:pPr>
      <w:r>
        <w:rPr>
          <w:noProof/>
          <w:rtl/>
        </w:rPr>
        <w:t>ביאור הר"ן דכיון שאין ריעותא בבהמה ממשיכים את חזקת הסכין שהוא בדוק</w:t>
      </w:r>
    </w:p>
    <w:p w14:paraId="23F3D53C" w14:textId="77777777" w:rsidR="00EC6E8F" w:rsidRDefault="00EC6E8F" w:rsidP="005077A7">
      <w:pPr>
        <w:pStyle w:val="a"/>
        <w:rPr>
          <w:rFonts w:eastAsiaTheme="minorEastAsia" w:cstheme="minorBidi"/>
          <w:noProof/>
          <w:sz w:val="22"/>
          <w:szCs w:val="22"/>
          <w:rtl/>
        </w:rPr>
      </w:pPr>
      <w:r>
        <w:rPr>
          <w:noProof/>
          <w:rtl/>
        </w:rPr>
        <w:t>ביאור הר"ן דלדידן בלא שיבר יש ריעותא בבהמה ובשיבר אין ריעותא אף בסכין</w:t>
      </w:r>
    </w:p>
    <w:p w14:paraId="5C48296D" w14:textId="77777777" w:rsidR="00EC6E8F" w:rsidRDefault="00EC6E8F" w:rsidP="00EC6E8F">
      <w:pPr>
        <w:pStyle w:val="aff4"/>
        <w:rPr>
          <w:rFonts w:eastAsiaTheme="minorEastAsia" w:cstheme="minorBidi"/>
          <w:i/>
          <w:iCs/>
          <w:noProof/>
          <w:sz w:val="22"/>
          <w:szCs w:val="22"/>
          <w:rtl/>
        </w:rPr>
      </w:pPr>
      <w:bookmarkStart w:id="4866" w:name="_Toc19435347"/>
      <w:bookmarkStart w:id="4867" w:name="_Toc20080681"/>
      <w:r>
        <w:rPr>
          <w:rFonts w:hint="cs"/>
          <w:rtl/>
        </w:rPr>
        <w:t>דברי הרשב"א ורבינו גרשום והתוס' בגדר החזקת היתר לר"ח</w:t>
      </w:r>
      <w:bookmarkEnd w:id="4866"/>
      <w:bookmarkEnd w:id="4867"/>
    </w:p>
    <w:p w14:paraId="576A1124" w14:textId="77777777" w:rsidR="00EC6E8F" w:rsidRPr="00462C8A" w:rsidRDefault="00EC6E8F" w:rsidP="005077A7">
      <w:pPr>
        <w:pStyle w:val="a"/>
        <w:rPr>
          <w:rFonts w:eastAsiaTheme="minorEastAsia" w:cstheme="minorBidi"/>
          <w:noProof/>
          <w:sz w:val="22"/>
          <w:szCs w:val="22"/>
        </w:rPr>
      </w:pPr>
      <w:r>
        <w:rPr>
          <w:noProof/>
          <w:rtl/>
        </w:rPr>
        <w:t>דברי הרשב"א דכיון דשחוטה לפניך מעמידים את הסכין בחזקתו שהוא בדוק</w:t>
      </w:r>
    </w:p>
    <w:p w14:paraId="1B20640D" w14:textId="77777777" w:rsidR="00EC6E8F" w:rsidRDefault="00EC6E8F" w:rsidP="005077A7">
      <w:pPr>
        <w:pStyle w:val="a"/>
        <w:rPr>
          <w:rFonts w:eastAsiaTheme="minorEastAsia" w:cstheme="minorBidi"/>
          <w:noProof/>
          <w:sz w:val="22"/>
          <w:szCs w:val="22"/>
          <w:rtl/>
        </w:rPr>
      </w:pPr>
      <w:r>
        <w:rPr>
          <w:rFonts w:hint="cs"/>
          <w:rtl/>
        </w:rPr>
        <w:t>ביאור רבינו גרשום דכיון דשחוטה כראוי מעמידים בחזקת היתר</w:t>
      </w:r>
    </w:p>
    <w:p w14:paraId="44AB159F" w14:textId="77777777" w:rsidR="00EC6E8F" w:rsidRDefault="00EC6E8F" w:rsidP="005077A7">
      <w:pPr>
        <w:pStyle w:val="a"/>
        <w:rPr>
          <w:rFonts w:eastAsiaTheme="minorEastAsia" w:cstheme="minorBidi"/>
          <w:noProof/>
          <w:sz w:val="22"/>
          <w:szCs w:val="22"/>
          <w:rtl/>
        </w:rPr>
      </w:pPr>
      <w:r>
        <w:rPr>
          <w:noProof/>
          <w:rtl/>
        </w:rPr>
        <w:t>ביאור המהרש"א בתוס' דמעמידים את הבהמה בחזקת שחוטה כיון שהריעותא היא בסכין</w:t>
      </w:r>
    </w:p>
    <w:p w14:paraId="726958DD" w14:textId="77777777" w:rsidR="00EC6E8F" w:rsidRDefault="00EC6E8F" w:rsidP="005077A7">
      <w:pPr>
        <w:pStyle w:val="a"/>
        <w:rPr>
          <w:rFonts w:eastAsiaTheme="minorEastAsia" w:cstheme="minorBidi"/>
          <w:noProof/>
          <w:sz w:val="22"/>
          <w:szCs w:val="22"/>
          <w:rtl/>
        </w:rPr>
      </w:pPr>
      <w:r>
        <w:rPr>
          <w:noProof/>
          <w:rtl/>
        </w:rPr>
        <w:t>דברי המהר"ם דרב חסדא לא התיר מחמת שמעמידים על החזקה</w:t>
      </w:r>
    </w:p>
    <w:p w14:paraId="4E8309E6" w14:textId="77777777" w:rsidR="00EC6E8F" w:rsidRDefault="00EC6E8F" w:rsidP="00EC6E8F">
      <w:pPr>
        <w:pStyle w:val="2"/>
        <w:rPr>
          <w:rFonts w:eastAsiaTheme="minorEastAsia" w:cstheme="minorBidi"/>
          <w:i/>
          <w:iCs/>
          <w:noProof/>
          <w:sz w:val="22"/>
          <w:szCs w:val="22"/>
          <w:rtl/>
        </w:rPr>
      </w:pPr>
      <w:bookmarkStart w:id="4868" w:name="_Toc19435348"/>
      <w:r>
        <w:rPr>
          <w:noProof/>
          <w:rtl/>
        </w:rPr>
        <w:t>בסברת בהמה לא איתרעי בסכין ובמקוה</w:t>
      </w:r>
      <w:bookmarkEnd w:id="4868"/>
    </w:p>
    <w:p w14:paraId="141FA0E3" w14:textId="77777777" w:rsidR="00EC6E8F" w:rsidRDefault="00EC6E8F" w:rsidP="00EC6E8F">
      <w:pPr>
        <w:pStyle w:val="aff4"/>
        <w:rPr>
          <w:rFonts w:eastAsiaTheme="minorEastAsia" w:cstheme="minorBidi"/>
          <w:i/>
          <w:iCs/>
          <w:noProof/>
          <w:sz w:val="22"/>
          <w:szCs w:val="22"/>
          <w:rtl/>
        </w:rPr>
      </w:pPr>
      <w:bookmarkStart w:id="4869" w:name="_Toc19435349"/>
      <w:bookmarkStart w:id="4870" w:name="_Toc20080682"/>
      <w:r>
        <w:rPr>
          <w:noProof/>
          <w:rtl/>
        </w:rPr>
        <w:t>קושית התוס' מ"ש סכין שנפגם ממקוה שנמצא חסר</w:t>
      </w:r>
      <w:bookmarkEnd w:id="4869"/>
      <w:bookmarkEnd w:id="4870"/>
    </w:p>
    <w:p w14:paraId="1C6BE043" w14:textId="77777777" w:rsidR="00EC6E8F" w:rsidRDefault="00EC6E8F" w:rsidP="005077A7">
      <w:pPr>
        <w:pStyle w:val="a"/>
        <w:rPr>
          <w:rFonts w:eastAsiaTheme="minorEastAsia" w:cstheme="minorBidi"/>
          <w:noProof/>
          <w:sz w:val="22"/>
          <w:szCs w:val="22"/>
          <w:rtl/>
        </w:rPr>
      </w:pPr>
      <w:r>
        <w:rPr>
          <w:noProof/>
          <w:rtl/>
        </w:rPr>
        <w:t>קושית התוס' דבמקוה שנמצא חסר הריעותא במקוה ולא בטובל ואפ"ה לא אזלינן בתר חזקה</w:t>
      </w:r>
    </w:p>
    <w:p w14:paraId="71871BDD" w14:textId="77777777" w:rsidR="00EC6E8F" w:rsidRDefault="00EC6E8F" w:rsidP="00EC6E8F">
      <w:pPr>
        <w:pStyle w:val="aff4"/>
        <w:rPr>
          <w:rFonts w:eastAsiaTheme="minorEastAsia" w:cstheme="minorBidi"/>
          <w:i/>
          <w:iCs/>
          <w:noProof/>
          <w:sz w:val="22"/>
          <w:szCs w:val="22"/>
          <w:rtl/>
        </w:rPr>
      </w:pPr>
      <w:bookmarkStart w:id="4871" w:name="_Toc19435350"/>
      <w:bookmarkStart w:id="4872" w:name="_Toc20080683"/>
      <w:r>
        <w:rPr>
          <w:noProof/>
          <w:rtl/>
        </w:rPr>
        <w:t>התירוץ הא' בתוס' דבסכין אין את סברת "חסר ואתאי"</w:t>
      </w:r>
      <w:bookmarkEnd w:id="4871"/>
      <w:bookmarkEnd w:id="4872"/>
    </w:p>
    <w:p w14:paraId="6744EFF5" w14:textId="77777777" w:rsidR="00EC6E8F" w:rsidRDefault="00EC6E8F" w:rsidP="005077A7">
      <w:pPr>
        <w:pStyle w:val="a"/>
        <w:rPr>
          <w:rFonts w:eastAsiaTheme="minorEastAsia" w:cstheme="minorBidi"/>
          <w:noProof/>
          <w:sz w:val="22"/>
          <w:szCs w:val="22"/>
          <w:rtl/>
        </w:rPr>
      </w:pPr>
      <w:r>
        <w:rPr>
          <w:noProof/>
          <w:rtl/>
        </w:rPr>
        <w:t>התי' הא' בתוס' דבמקוה הטהרות טמאות מחמת סברת "חסר ואתאי"</w:t>
      </w:r>
    </w:p>
    <w:p w14:paraId="5AB681D0" w14:textId="77777777" w:rsidR="00EC6E8F" w:rsidRDefault="00EC6E8F" w:rsidP="005077A7">
      <w:pPr>
        <w:pStyle w:val="a"/>
        <w:rPr>
          <w:rFonts w:eastAsiaTheme="minorEastAsia" w:cstheme="minorBidi"/>
          <w:noProof/>
          <w:sz w:val="22"/>
          <w:szCs w:val="22"/>
          <w:rtl/>
        </w:rPr>
      </w:pPr>
      <w:r>
        <w:rPr>
          <w:noProof/>
          <w:rtl/>
        </w:rPr>
        <w:t>ביאור השיטמ"ק דבסכין בזמן חתיכת הסימנים עצמם לא נפגם ואי"ז חסר ואתאי</w:t>
      </w:r>
    </w:p>
    <w:p w14:paraId="269EF36A" w14:textId="77777777" w:rsidR="00EC6E8F" w:rsidRPr="00907ED1" w:rsidRDefault="00EC6E8F" w:rsidP="00EC6E8F">
      <w:pPr>
        <w:pStyle w:val="aff4"/>
        <w:rPr>
          <w:rtl/>
        </w:rPr>
      </w:pPr>
      <w:bookmarkStart w:id="4873" w:name="_Toc19435351"/>
      <w:bookmarkStart w:id="4874" w:name="_Toc20080684"/>
      <w:r>
        <w:rPr>
          <w:rFonts w:hint="cs"/>
          <w:rtl/>
        </w:rPr>
        <w:t>ביאור הראש יוסף בטעמא דר"ח לתירוץ הא' בתוס'</w:t>
      </w:r>
      <w:bookmarkEnd w:id="4873"/>
      <w:bookmarkEnd w:id="4874"/>
    </w:p>
    <w:p w14:paraId="3AECDDBC" w14:textId="77777777" w:rsidR="00EC6E8F" w:rsidRDefault="00EC6E8F" w:rsidP="005077A7">
      <w:pPr>
        <w:pStyle w:val="a"/>
        <w:rPr>
          <w:rFonts w:eastAsiaTheme="minorEastAsia" w:cstheme="minorBidi"/>
          <w:noProof/>
          <w:sz w:val="22"/>
          <w:szCs w:val="22"/>
          <w:rtl/>
        </w:rPr>
      </w:pPr>
      <w:r>
        <w:rPr>
          <w:noProof/>
          <w:rtl/>
        </w:rPr>
        <w:t>דברי הראש יוסף דלתי' הא' בתוס' למסקנא טעמיה דרב חסדא אינו דאין ספק מוציא מידי מודאי</w:t>
      </w:r>
    </w:p>
    <w:p w14:paraId="2C033FED" w14:textId="77777777" w:rsidR="00EC6E8F" w:rsidRDefault="00EC6E8F" w:rsidP="005077A7">
      <w:pPr>
        <w:pStyle w:val="a"/>
        <w:rPr>
          <w:rFonts w:eastAsiaTheme="minorEastAsia" w:cstheme="minorBidi"/>
          <w:noProof/>
          <w:sz w:val="22"/>
          <w:szCs w:val="22"/>
          <w:rtl/>
        </w:rPr>
      </w:pPr>
      <w:r>
        <w:rPr>
          <w:noProof/>
          <w:rtl/>
        </w:rPr>
        <w:t>ביאור הראש יוסף דבסכין החזקה דהשתא כמאן דליתא ולכן אמרינן דהריעותא אינה בבהמה</w:t>
      </w:r>
    </w:p>
    <w:p w14:paraId="13B83DA5" w14:textId="77777777" w:rsidR="00EC6E8F" w:rsidRDefault="00EC6E8F" w:rsidP="005077A7">
      <w:pPr>
        <w:pStyle w:val="a"/>
        <w:rPr>
          <w:rFonts w:eastAsiaTheme="minorEastAsia" w:cstheme="minorBidi"/>
          <w:noProof/>
          <w:sz w:val="22"/>
          <w:szCs w:val="22"/>
          <w:rtl/>
        </w:rPr>
      </w:pPr>
      <w:r>
        <w:rPr>
          <w:noProof/>
          <w:rtl/>
        </w:rPr>
        <w:t>דברי הפרמ"ג דלרב הונא חזקת הסכין חשיבא כעשויה להשתנות או דאף בסכין נפגם מעט מעט</w:t>
      </w:r>
    </w:p>
    <w:p w14:paraId="1E218E8D" w14:textId="77777777" w:rsidR="00EC6E8F" w:rsidRDefault="00EC6E8F" w:rsidP="00EC6E8F">
      <w:pPr>
        <w:pStyle w:val="aff4"/>
        <w:rPr>
          <w:rFonts w:eastAsiaTheme="minorEastAsia" w:cstheme="minorBidi"/>
          <w:i/>
          <w:iCs/>
          <w:noProof/>
          <w:sz w:val="22"/>
          <w:szCs w:val="22"/>
          <w:rtl/>
        </w:rPr>
      </w:pPr>
      <w:bookmarkStart w:id="4875" w:name="_Toc19435352"/>
      <w:bookmarkStart w:id="4876" w:name="_Toc20080685"/>
      <w:r>
        <w:rPr>
          <w:noProof/>
          <w:rtl/>
        </w:rPr>
        <w:t>ביאור החזו"א בפלוגתת רב הונא ורב חסדא לתי' הא' בתוס'</w:t>
      </w:r>
      <w:bookmarkEnd w:id="4875"/>
      <w:bookmarkEnd w:id="4876"/>
    </w:p>
    <w:p w14:paraId="08668620" w14:textId="77777777" w:rsidR="00EC6E8F" w:rsidRDefault="00EC6E8F" w:rsidP="005077A7">
      <w:pPr>
        <w:pStyle w:val="a"/>
        <w:rPr>
          <w:rFonts w:eastAsiaTheme="minorEastAsia" w:cstheme="minorBidi"/>
          <w:noProof/>
          <w:sz w:val="22"/>
          <w:szCs w:val="22"/>
          <w:rtl/>
        </w:rPr>
      </w:pPr>
      <w:r>
        <w:rPr>
          <w:noProof/>
          <w:rtl/>
        </w:rPr>
        <w:t>ביאור החזו"א בתי' הא' בתוס' דלרב חסדא יש בסכין תרתי לטיבותא אף בלא שיבר בה עצמות</w:t>
      </w:r>
    </w:p>
    <w:p w14:paraId="6034375D" w14:textId="77777777" w:rsidR="00EC6E8F" w:rsidRDefault="00EC6E8F" w:rsidP="005077A7">
      <w:pPr>
        <w:pStyle w:val="a"/>
        <w:rPr>
          <w:rFonts w:eastAsiaTheme="minorEastAsia" w:cstheme="minorBidi"/>
          <w:noProof/>
          <w:sz w:val="22"/>
          <w:szCs w:val="22"/>
          <w:rtl/>
        </w:rPr>
      </w:pPr>
      <w:r>
        <w:rPr>
          <w:noProof/>
          <w:rtl/>
        </w:rPr>
        <w:t>ביאור החזו"א בתי' הא' בתוס' דלרב הונא אין חילוק אם הריעותא בבהמה או בסכין ול</w:t>
      </w:r>
      <w:r>
        <w:rPr>
          <w:rFonts w:hint="cs"/>
          <w:noProof/>
          <w:rtl/>
        </w:rPr>
        <w:t xml:space="preserve">"מ </w:t>
      </w:r>
      <w:r>
        <w:rPr>
          <w:noProof/>
          <w:rtl/>
        </w:rPr>
        <w:t>תליה</w:t>
      </w:r>
    </w:p>
    <w:p w14:paraId="4E3CDE66" w14:textId="77777777" w:rsidR="00EC6E8F" w:rsidRDefault="00EC6E8F" w:rsidP="005077A7">
      <w:pPr>
        <w:pStyle w:val="a"/>
        <w:rPr>
          <w:rFonts w:eastAsiaTheme="minorEastAsia" w:cstheme="minorBidi"/>
          <w:noProof/>
          <w:sz w:val="22"/>
          <w:szCs w:val="22"/>
          <w:rtl/>
        </w:rPr>
      </w:pPr>
      <w:r>
        <w:rPr>
          <w:noProof/>
          <w:rtl/>
        </w:rPr>
        <w:t>ביאור החזו"א בתי' הא' בתוס' דלדידן כשהריעותא אינה בבהמה מהני תליה בשיבר בה עצמות</w:t>
      </w:r>
    </w:p>
    <w:p w14:paraId="102CD350" w14:textId="77777777" w:rsidR="00EC6E8F" w:rsidRDefault="00EC6E8F" w:rsidP="00EC6E8F">
      <w:pPr>
        <w:pStyle w:val="aff4"/>
        <w:rPr>
          <w:rFonts w:eastAsiaTheme="minorEastAsia" w:cstheme="minorBidi"/>
          <w:i/>
          <w:iCs/>
          <w:noProof/>
          <w:sz w:val="22"/>
          <w:szCs w:val="22"/>
          <w:rtl/>
        </w:rPr>
      </w:pPr>
      <w:bookmarkStart w:id="4877" w:name="_Toc19435353"/>
      <w:bookmarkStart w:id="4878" w:name="_Toc20080686"/>
      <w:r>
        <w:rPr>
          <w:noProof/>
          <w:rtl/>
        </w:rPr>
        <w:t>התירוץ הב' בתוס' דבמקוה א"א לומר אין ספק מוציא מידי ודאי</w:t>
      </w:r>
      <w:bookmarkEnd w:id="4877"/>
      <w:bookmarkEnd w:id="4878"/>
    </w:p>
    <w:p w14:paraId="22B358E4" w14:textId="77777777" w:rsidR="00EC6E8F" w:rsidRDefault="00EC6E8F" w:rsidP="005077A7">
      <w:pPr>
        <w:pStyle w:val="a"/>
        <w:rPr>
          <w:rFonts w:eastAsiaTheme="minorEastAsia" w:cstheme="minorBidi"/>
          <w:noProof/>
          <w:sz w:val="22"/>
          <w:szCs w:val="22"/>
          <w:rtl/>
        </w:rPr>
      </w:pPr>
      <w:r>
        <w:rPr>
          <w:noProof/>
          <w:rtl/>
        </w:rPr>
        <w:t>התי' הב' בתוס' דכיון שעצם ודאי פוגם אמרינן דהריעותא אינה בבהמה אלא בסכין</w:t>
      </w:r>
    </w:p>
    <w:p w14:paraId="5565D87A" w14:textId="77777777" w:rsidR="00EC6E8F" w:rsidRPr="002532D9" w:rsidRDefault="00EC6E8F" w:rsidP="00EC6E8F">
      <w:pPr>
        <w:pStyle w:val="aff4"/>
        <w:rPr>
          <w:rtl/>
        </w:rPr>
      </w:pPr>
      <w:bookmarkStart w:id="4879" w:name="_Toc19435354"/>
      <w:bookmarkStart w:id="4880" w:name="_Toc20080687"/>
      <w:r>
        <w:rPr>
          <w:rFonts w:hint="cs"/>
          <w:rtl/>
        </w:rPr>
        <w:t>ביאורי האחרונים בטעמא דר"ח לתירוץ הב' בתוס'</w:t>
      </w:r>
      <w:bookmarkEnd w:id="4879"/>
      <w:bookmarkEnd w:id="4880"/>
    </w:p>
    <w:p w14:paraId="3F2E9C42" w14:textId="77777777" w:rsidR="00EC6E8F" w:rsidRDefault="00EC6E8F" w:rsidP="005077A7">
      <w:pPr>
        <w:pStyle w:val="a"/>
        <w:rPr>
          <w:rFonts w:eastAsiaTheme="minorEastAsia" w:cstheme="minorBidi"/>
          <w:noProof/>
          <w:sz w:val="22"/>
          <w:szCs w:val="22"/>
          <w:rtl/>
        </w:rPr>
      </w:pPr>
      <w:r>
        <w:rPr>
          <w:noProof/>
          <w:rtl/>
        </w:rPr>
        <w:t>דברי המהרש"א והמהר"ם דלתי' הב' אף למסקנא ההיתר מדין אין ספק מוציא מידי ודאי</w:t>
      </w:r>
    </w:p>
    <w:p w14:paraId="7A2D64F1" w14:textId="77777777" w:rsidR="00EC6E8F" w:rsidRDefault="00EC6E8F" w:rsidP="005077A7">
      <w:pPr>
        <w:pStyle w:val="a"/>
        <w:rPr>
          <w:rFonts w:eastAsiaTheme="minorEastAsia" w:cstheme="minorBidi"/>
          <w:noProof/>
          <w:sz w:val="22"/>
          <w:szCs w:val="22"/>
          <w:rtl/>
        </w:rPr>
      </w:pPr>
      <w:r>
        <w:rPr>
          <w:noProof/>
          <w:rtl/>
        </w:rPr>
        <w:t>ביאור הראש יוסף דע"י ב' הסברות החזקה דהשתא דסכין פגום לפניך היא כמאן דליתא</w:t>
      </w:r>
    </w:p>
    <w:p w14:paraId="3A867101" w14:textId="77777777" w:rsidR="00EC6E8F" w:rsidRDefault="00EC6E8F" w:rsidP="005077A7">
      <w:pPr>
        <w:pStyle w:val="a"/>
        <w:rPr>
          <w:rFonts w:eastAsiaTheme="minorEastAsia" w:cstheme="minorBidi"/>
          <w:noProof/>
          <w:sz w:val="22"/>
          <w:szCs w:val="22"/>
          <w:rtl/>
        </w:rPr>
      </w:pPr>
      <w:r>
        <w:rPr>
          <w:noProof/>
          <w:rtl/>
        </w:rPr>
        <w:t>ביאור החזו"א בתי' הב' בתוס' דלרב חסדא כיון שאין הריעותא בגוף הבהמה מהני תליה</w:t>
      </w:r>
    </w:p>
    <w:p w14:paraId="52AA0C27" w14:textId="77777777" w:rsidR="00EC6E8F" w:rsidRDefault="00EC6E8F" w:rsidP="00EC6E8F">
      <w:pPr>
        <w:pStyle w:val="aff4"/>
      </w:pPr>
      <w:bookmarkStart w:id="4881" w:name="_Toc19435355"/>
      <w:bookmarkStart w:id="4882" w:name="_Toc20080688"/>
      <w:r>
        <w:rPr>
          <w:rFonts w:hint="cs"/>
          <w:rtl/>
        </w:rPr>
        <w:t>תירוץ הרמב"ן דרק בתליה התיר ר"ח מסברת בהמה לא איתרעי</w:t>
      </w:r>
      <w:bookmarkEnd w:id="4881"/>
      <w:bookmarkEnd w:id="4882"/>
      <w:r>
        <w:rPr>
          <w:rFonts w:hint="cs"/>
          <w:rtl/>
        </w:rPr>
        <w:t xml:space="preserve"> </w:t>
      </w:r>
    </w:p>
    <w:p w14:paraId="60A1175F" w14:textId="77777777" w:rsidR="00EC6E8F" w:rsidRDefault="00EC6E8F" w:rsidP="005077A7">
      <w:pPr>
        <w:pStyle w:val="a"/>
        <w:rPr>
          <w:rFonts w:eastAsiaTheme="minorEastAsia" w:cstheme="minorBidi"/>
          <w:noProof/>
          <w:sz w:val="22"/>
          <w:szCs w:val="22"/>
          <w:rtl/>
        </w:rPr>
      </w:pPr>
      <w:r>
        <w:rPr>
          <w:noProof/>
          <w:rtl/>
        </w:rPr>
        <w:t>תירוץ הרמב"ן דכאין הריעותא בבהמה מהני תליה ובמקוה שנמצא חסר אין תליה</w:t>
      </w:r>
    </w:p>
    <w:p w14:paraId="1F0A843C" w14:textId="77777777" w:rsidR="00EC6E8F" w:rsidRDefault="00EC6E8F" w:rsidP="005077A7">
      <w:pPr>
        <w:pStyle w:val="a"/>
        <w:rPr>
          <w:rFonts w:eastAsiaTheme="minorEastAsia" w:cstheme="minorBidi"/>
          <w:noProof/>
          <w:sz w:val="22"/>
          <w:szCs w:val="22"/>
          <w:rtl/>
        </w:rPr>
      </w:pPr>
      <w:r>
        <w:rPr>
          <w:noProof/>
          <w:rtl/>
        </w:rPr>
        <w:t>ביאור הרשב"א דבמקוה שנמצא חסר כיון שאין תליה חשיב שהריעותא היא בטבילה עצמה</w:t>
      </w:r>
    </w:p>
    <w:p w14:paraId="717FBAC6" w14:textId="77777777" w:rsidR="00EC6E8F" w:rsidRDefault="00EC6E8F" w:rsidP="005077A7">
      <w:pPr>
        <w:pStyle w:val="a"/>
        <w:rPr>
          <w:rFonts w:eastAsiaTheme="minorEastAsia" w:cstheme="minorBidi"/>
          <w:noProof/>
          <w:sz w:val="22"/>
          <w:szCs w:val="22"/>
          <w:rtl/>
        </w:rPr>
      </w:pPr>
      <w:r>
        <w:rPr>
          <w:noProof/>
          <w:rtl/>
        </w:rPr>
        <w:t>דברי הרמב"ן דבסכין לדידן תלינן בעצמות ולרב חסדא תלינן לקולא מחמת בדיקת הסכין</w:t>
      </w:r>
    </w:p>
    <w:p w14:paraId="4C2D3AFC" w14:textId="77777777" w:rsidR="00EC6E8F" w:rsidRDefault="00EC6E8F" w:rsidP="005077A7">
      <w:pPr>
        <w:pStyle w:val="a"/>
        <w:rPr>
          <w:rFonts w:eastAsiaTheme="minorEastAsia" w:cstheme="minorBidi"/>
          <w:noProof/>
          <w:sz w:val="22"/>
          <w:szCs w:val="22"/>
          <w:rtl/>
        </w:rPr>
      </w:pPr>
      <w:r>
        <w:rPr>
          <w:noProof/>
          <w:rtl/>
        </w:rPr>
        <w:t>ביאור הרשב"א דכיון שיש תליה אין בכח הריעותא בסכין לעשות ריעותא בבהמה</w:t>
      </w:r>
    </w:p>
    <w:p w14:paraId="7E3CB587" w14:textId="77777777" w:rsidR="00EC6E8F" w:rsidRDefault="00EC6E8F" w:rsidP="005077A7">
      <w:pPr>
        <w:pStyle w:val="a"/>
        <w:rPr>
          <w:rFonts w:eastAsiaTheme="minorEastAsia" w:cstheme="minorBidi"/>
          <w:noProof/>
          <w:sz w:val="22"/>
          <w:szCs w:val="22"/>
          <w:rtl/>
        </w:rPr>
      </w:pPr>
      <w:r>
        <w:rPr>
          <w:noProof/>
          <w:rtl/>
        </w:rPr>
        <w:t>דברי הרמב"ן דבנמצא דבר החוצץ אף שיש תליה לא תלינן כיון שהריעותא בגברא שטבל</w:t>
      </w:r>
    </w:p>
    <w:p w14:paraId="7A0CF007" w14:textId="77777777" w:rsidR="00EC6E8F" w:rsidRDefault="00EC6E8F" w:rsidP="00EC6E8F">
      <w:pPr>
        <w:pStyle w:val="aff4"/>
        <w:rPr>
          <w:rFonts w:eastAsiaTheme="minorEastAsia" w:cstheme="minorBidi"/>
          <w:i/>
          <w:iCs/>
          <w:noProof/>
          <w:sz w:val="22"/>
          <w:szCs w:val="22"/>
          <w:rtl/>
        </w:rPr>
      </w:pPr>
      <w:bookmarkStart w:id="4883" w:name="_Toc19435356"/>
      <w:bookmarkStart w:id="4884" w:name="_Toc20080689"/>
      <w:r>
        <w:rPr>
          <w:noProof/>
          <w:rtl/>
        </w:rPr>
        <w:t>התירוץ הג' בתוס' דבסכין יש ספק ספיקא</w:t>
      </w:r>
      <w:bookmarkEnd w:id="4883"/>
      <w:bookmarkEnd w:id="4884"/>
    </w:p>
    <w:p w14:paraId="5D6143A3" w14:textId="77777777" w:rsidR="00EC6E8F" w:rsidRDefault="00EC6E8F" w:rsidP="005077A7">
      <w:pPr>
        <w:pStyle w:val="a"/>
        <w:rPr>
          <w:rFonts w:eastAsiaTheme="minorEastAsia" w:cstheme="minorBidi"/>
          <w:noProof/>
          <w:sz w:val="22"/>
          <w:szCs w:val="22"/>
          <w:rtl/>
        </w:rPr>
      </w:pPr>
      <w:r>
        <w:rPr>
          <w:noProof/>
          <w:rtl/>
        </w:rPr>
        <w:t>התי' הג' בתוס' דאף שהסכין נפגם יתכן שלא שחט בפגימה והוא כספק ספיקא</w:t>
      </w:r>
    </w:p>
    <w:p w14:paraId="776CB13C" w14:textId="77777777" w:rsidR="00EC6E8F" w:rsidRDefault="00EC6E8F" w:rsidP="005077A7">
      <w:pPr>
        <w:pStyle w:val="a"/>
        <w:rPr>
          <w:rFonts w:eastAsiaTheme="minorEastAsia" w:cstheme="minorBidi"/>
          <w:noProof/>
          <w:sz w:val="22"/>
          <w:szCs w:val="22"/>
          <w:rtl/>
        </w:rPr>
      </w:pPr>
      <w:r>
        <w:rPr>
          <w:noProof/>
          <w:rtl/>
        </w:rPr>
        <w:t>דברי הרשב"א דבסכין ארוך אין כח בריעותא בסכין להוציא מחזקת שחוטה לפניך</w:t>
      </w:r>
    </w:p>
    <w:p w14:paraId="1FD82FA7" w14:textId="77777777" w:rsidR="00EC6E8F" w:rsidRDefault="00EC6E8F" w:rsidP="005077A7">
      <w:pPr>
        <w:pStyle w:val="a"/>
        <w:rPr>
          <w:rFonts w:eastAsiaTheme="minorEastAsia" w:cstheme="minorBidi"/>
          <w:noProof/>
          <w:sz w:val="22"/>
          <w:szCs w:val="22"/>
          <w:rtl/>
        </w:rPr>
      </w:pPr>
      <w:r>
        <w:rPr>
          <w:noProof/>
          <w:rtl/>
        </w:rPr>
        <w:t>ביאור התוס' הרא"ש בנדה דע"י שיתכן שלא שחט בפגימה אין ריעותא בבהמה עצמה</w:t>
      </w:r>
    </w:p>
    <w:p w14:paraId="43A8E007" w14:textId="77777777" w:rsidR="00EC6E8F" w:rsidRDefault="00EC6E8F" w:rsidP="005077A7">
      <w:pPr>
        <w:pStyle w:val="a"/>
        <w:rPr>
          <w:rFonts w:eastAsiaTheme="minorEastAsia" w:cstheme="minorBidi"/>
          <w:noProof/>
          <w:sz w:val="22"/>
          <w:szCs w:val="22"/>
          <w:rtl/>
        </w:rPr>
      </w:pPr>
      <w:r>
        <w:rPr>
          <w:noProof/>
          <w:rtl/>
        </w:rPr>
        <w:t>דברי רבינו יונה דקיי"ל כרב חסדא בשיבר עצמות בסכין ארוך דשחוטה לפניך</w:t>
      </w:r>
    </w:p>
    <w:p w14:paraId="40A73586" w14:textId="77777777" w:rsidR="00EC6E8F" w:rsidRDefault="00EC6E8F" w:rsidP="00EC6E8F">
      <w:pPr>
        <w:pStyle w:val="aff4"/>
        <w:rPr>
          <w:rFonts w:eastAsiaTheme="minorEastAsia" w:cstheme="minorBidi"/>
          <w:i/>
          <w:iCs/>
          <w:noProof/>
          <w:sz w:val="22"/>
          <w:szCs w:val="22"/>
          <w:rtl/>
        </w:rPr>
      </w:pPr>
      <w:bookmarkStart w:id="4885" w:name="_Toc19435357"/>
      <w:bookmarkStart w:id="4886" w:name="_Toc20080690"/>
      <w:r>
        <w:rPr>
          <w:noProof/>
          <w:rtl/>
        </w:rPr>
        <w:t>דחיית הרשב"א והתור"פ דאיירי אף בסכין קטן ואין ספק ספיקא</w:t>
      </w:r>
      <w:bookmarkEnd w:id="4885"/>
      <w:bookmarkEnd w:id="4886"/>
    </w:p>
    <w:p w14:paraId="69BD2C5F" w14:textId="77777777" w:rsidR="00EC6E8F" w:rsidRDefault="00EC6E8F" w:rsidP="005077A7">
      <w:pPr>
        <w:pStyle w:val="a"/>
        <w:rPr>
          <w:rFonts w:eastAsiaTheme="minorEastAsia" w:cstheme="minorBidi"/>
          <w:noProof/>
          <w:sz w:val="22"/>
          <w:szCs w:val="22"/>
          <w:rtl/>
        </w:rPr>
      </w:pPr>
      <w:r>
        <w:rPr>
          <w:noProof/>
          <w:rtl/>
        </w:rPr>
        <w:t>דחיית הרשב"א והתור"פ דאין ספק ספיקא דלא משמע דאיירי רק בסכין גדול</w:t>
      </w:r>
    </w:p>
    <w:p w14:paraId="195C186C" w14:textId="77777777" w:rsidR="00EC6E8F" w:rsidRDefault="00EC6E8F" w:rsidP="00EC6E8F">
      <w:pPr>
        <w:pStyle w:val="aff4"/>
      </w:pPr>
      <w:bookmarkStart w:id="4887" w:name="_Toc19435358"/>
      <w:bookmarkStart w:id="4888" w:name="_Toc20080691"/>
      <w:r>
        <w:rPr>
          <w:rFonts w:hint="cs"/>
          <w:rtl/>
        </w:rPr>
        <w:t>בביאור טעמא דר"ח לתירוץ הג' בתוס'</w:t>
      </w:r>
      <w:bookmarkEnd w:id="4887"/>
      <w:bookmarkEnd w:id="4888"/>
    </w:p>
    <w:p w14:paraId="7D21ADE3" w14:textId="77777777" w:rsidR="00EC6E8F" w:rsidRDefault="00EC6E8F" w:rsidP="005077A7">
      <w:pPr>
        <w:pStyle w:val="a"/>
        <w:rPr>
          <w:rFonts w:eastAsiaTheme="minorEastAsia" w:cstheme="minorBidi"/>
          <w:noProof/>
          <w:sz w:val="22"/>
          <w:szCs w:val="22"/>
          <w:rtl/>
        </w:rPr>
      </w:pPr>
      <w:r>
        <w:rPr>
          <w:noProof/>
          <w:rtl/>
        </w:rPr>
        <w:t>דברי השיטמ"ק והמהרש"א דלתי' הג' בתוס' אין סברא לתלות במפרקת ולעולם תלינן לקולא</w:t>
      </w:r>
    </w:p>
    <w:p w14:paraId="1018E8AF" w14:textId="77777777" w:rsidR="00EC6E8F" w:rsidRDefault="00EC6E8F" w:rsidP="005077A7">
      <w:pPr>
        <w:pStyle w:val="a"/>
        <w:rPr>
          <w:rFonts w:eastAsiaTheme="minorEastAsia" w:cstheme="minorBidi"/>
          <w:noProof/>
          <w:sz w:val="22"/>
          <w:szCs w:val="22"/>
          <w:rtl/>
        </w:rPr>
      </w:pPr>
      <w:r>
        <w:rPr>
          <w:noProof/>
          <w:rtl/>
        </w:rPr>
        <w:t>דברי השיטמ"ק דלתי' הג' בתוס' ההיתר לרב חסדא הוא מדין ספק ספיקא</w:t>
      </w:r>
    </w:p>
    <w:p w14:paraId="26A347EF" w14:textId="77777777" w:rsidR="00EC6E8F" w:rsidRDefault="00EC6E8F" w:rsidP="005077A7">
      <w:pPr>
        <w:pStyle w:val="a"/>
        <w:rPr>
          <w:rFonts w:eastAsiaTheme="minorEastAsia" w:cstheme="minorBidi"/>
          <w:noProof/>
          <w:sz w:val="22"/>
          <w:szCs w:val="22"/>
          <w:rtl/>
        </w:rPr>
      </w:pPr>
      <w:r>
        <w:rPr>
          <w:noProof/>
          <w:rtl/>
        </w:rPr>
        <w:t>דברי המהרש"א דלתי' הג' בתוס' ההיתר לרב חסדא הוא כיון שחוטה לפניך ואין ריעותא בבהמה</w:t>
      </w:r>
    </w:p>
    <w:p w14:paraId="610B64CD" w14:textId="77777777" w:rsidR="00EC6E8F" w:rsidRDefault="00EC6E8F" w:rsidP="00EC6E8F">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bookmarkStart w:id="4889" w:name="_Toc19435359"/>
      <w:r>
        <w:rPr>
          <w:noProof/>
          <w:rtl/>
        </w:rPr>
        <w:t>בדברי התוס' בספק ספיקא בסכין</w:t>
      </w:r>
      <w:bookmarkEnd w:id="4889"/>
    </w:p>
    <w:p w14:paraId="0D270988" w14:textId="77777777" w:rsidR="00EC6E8F" w:rsidRDefault="00EC6E8F" w:rsidP="00EC6E8F">
      <w:pPr>
        <w:pStyle w:val="aff4"/>
      </w:pPr>
      <w:bookmarkStart w:id="4890" w:name="_Toc19435360"/>
      <w:bookmarkStart w:id="4891" w:name="_Toc20080692"/>
      <w:r>
        <w:rPr>
          <w:rFonts w:hint="cs"/>
          <w:rtl/>
        </w:rPr>
        <w:t>דברי הש"ך דההיתר ר"ח כעין ס"ס דאי"ז ספק ספיקא טוב</w:t>
      </w:r>
      <w:bookmarkEnd w:id="4890"/>
      <w:bookmarkEnd w:id="4891"/>
    </w:p>
    <w:p w14:paraId="2DA55FF4" w14:textId="77777777" w:rsidR="00EC6E8F" w:rsidRDefault="00EC6E8F" w:rsidP="005077A7">
      <w:pPr>
        <w:pStyle w:val="a"/>
        <w:rPr>
          <w:rFonts w:eastAsiaTheme="minorEastAsia" w:cstheme="minorBidi"/>
          <w:noProof/>
          <w:sz w:val="22"/>
          <w:szCs w:val="22"/>
          <w:rtl/>
        </w:rPr>
      </w:pPr>
      <w:r>
        <w:rPr>
          <w:noProof/>
          <w:rtl/>
        </w:rPr>
        <w:t>דברי הש"ך דכוונת התוס' לומר דהוא כעין ספק ספיקא כיון שאינו ס"ס גמור</w:t>
      </w:r>
    </w:p>
    <w:p w14:paraId="3C5EDA4C" w14:textId="77777777" w:rsidR="00EC6E8F" w:rsidRDefault="00EC6E8F" w:rsidP="005077A7">
      <w:pPr>
        <w:pStyle w:val="a"/>
        <w:rPr>
          <w:rFonts w:eastAsiaTheme="minorEastAsia" w:cstheme="minorBidi"/>
          <w:noProof/>
          <w:sz w:val="22"/>
          <w:szCs w:val="22"/>
          <w:rtl/>
        </w:rPr>
      </w:pPr>
      <w:r>
        <w:rPr>
          <w:noProof/>
          <w:rtl/>
        </w:rPr>
        <w:t>דברי הש"ך דלא קיי"ל כרב חסדא כיון שא"א להתיר מדין ספק ספיקא דאינו ספק טוב</w:t>
      </w:r>
    </w:p>
    <w:p w14:paraId="1DE97A77" w14:textId="77777777" w:rsidR="00EC6E8F" w:rsidRDefault="00EC6E8F" w:rsidP="00EC6E8F">
      <w:pPr>
        <w:pStyle w:val="aff4"/>
      </w:pPr>
      <w:bookmarkStart w:id="4892" w:name="_Toc19435361"/>
      <w:bookmarkStart w:id="4893" w:name="_Toc20080693"/>
      <w:r>
        <w:rPr>
          <w:rFonts w:hint="cs"/>
          <w:rtl/>
        </w:rPr>
        <w:t>ביאור הפנ"י בתוס' וברשב"א דההיתר דר"ח אינו מדין ס"ס</w:t>
      </w:r>
      <w:bookmarkEnd w:id="4892"/>
      <w:bookmarkEnd w:id="4893"/>
    </w:p>
    <w:p w14:paraId="210BED71" w14:textId="77777777" w:rsidR="00EC6E8F" w:rsidRDefault="00EC6E8F" w:rsidP="005077A7">
      <w:pPr>
        <w:pStyle w:val="a"/>
        <w:rPr>
          <w:rFonts w:eastAsiaTheme="minorEastAsia" w:cstheme="minorBidi"/>
          <w:noProof/>
          <w:sz w:val="22"/>
          <w:szCs w:val="22"/>
          <w:rtl/>
        </w:rPr>
      </w:pPr>
      <w:r>
        <w:rPr>
          <w:noProof/>
          <w:rtl/>
        </w:rPr>
        <w:t>קושית הפנ"י על הש"ך דברשב"א ובתוס' בנדה מבואר דהוי ספק ספיקא גמור</w:t>
      </w:r>
    </w:p>
    <w:p w14:paraId="61A0C318" w14:textId="77777777" w:rsidR="00EC6E8F" w:rsidRDefault="00EC6E8F" w:rsidP="005077A7">
      <w:pPr>
        <w:pStyle w:val="a"/>
        <w:rPr>
          <w:rFonts w:eastAsiaTheme="minorEastAsia" w:cstheme="minorBidi"/>
          <w:noProof/>
          <w:sz w:val="22"/>
          <w:szCs w:val="22"/>
          <w:rtl/>
        </w:rPr>
      </w:pPr>
      <w:r>
        <w:rPr>
          <w:noProof/>
          <w:rtl/>
        </w:rPr>
        <w:t>דברי הפנ"י דא"א לומר דכוונת התוס' לספק ספיקא דהא לא מהני להתיר במקום חזקת איסור</w:t>
      </w:r>
    </w:p>
    <w:p w14:paraId="6F694EA6" w14:textId="77777777" w:rsidR="00EC6E8F" w:rsidRDefault="00EC6E8F" w:rsidP="005077A7">
      <w:pPr>
        <w:pStyle w:val="a"/>
        <w:rPr>
          <w:rFonts w:eastAsiaTheme="minorEastAsia" w:cstheme="minorBidi"/>
          <w:noProof/>
          <w:sz w:val="22"/>
          <w:szCs w:val="22"/>
          <w:rtl/>
        </w:rPr>
      </w:pPr>
      <w:r>
        <w:rPr>
          <w:noProof/>
          <w:rtl/>
        </w:rPr>
        <w:t>ביאור הפנ"י דכוונת התוס' והרשב"א לחלק בין מקוה לסכין לדעת רב חסדא בלא שיבר עצמות</w:t>
      </w:r>
    </w:p>
    <w:p w14:paraId="35FB3BD4" w14:textId="77777777" w:rsidR="00EC6E8F" w:rsidRDefault="00EC6E8F" w:rsidP="005077A7">
      <w:pPr>
        <w:pStyle w:val="a"/>
        <w:rPr>
          <w:rFonts w:eastAsiaTheme="minorEastAsia" w:cstheme="minorBidi"/>
          <w:noProof/>
          <w:sz w:val="22"/>
          <w:szCs w:val="22"/>
          <w:rtl/>
        </w:rPr>
      </w:pPr>
      <w:r>
        <w:rPr>
          <w:noProof/>
          <w:rtl/>
        </w:rPr>
        <w:t>דברי הפנ"י דאף לרב חסדא אפש"ל דההיתר מחמת שאין ריעותא בבהמה ואין חזקה כנגד הס"ס</w:t>
      </w:r>
    </w:p>
    <w:p w14:paraId="023301DF" w14:textId="77777777" w:rsidR="00EC6E8F" w:rsidRDefault="00EC6E8F" w:rsidP="00EC6E8F">
      <w:pPr>
        <w:pStyle w:val="aff4"/>
        <w:rPr>
          <w:rFonts w:eastAsiaTheme="minorEastAsia" w:cstheme="minorBidi"/>
          <w:i/>
          <w:iCs/>
          <w:noProof/>
          <w:sz w:val="22"/>
          <w:szCs w:val="22"/>
          <w:rtl/>
        </w:rPr>
      </w:pPr>
      <w:bookmarkStart w:id="4894" w:name="_Toc19435362"/>
      <w:bookmarkStart w:id="4895" w:name="_Toc20080694"/>
      <w:r>
        <w:rPr>
          <w:noProof/>
          <w:rtl/>
        </w:rPr>
        <w:t>ביאור הגרעק"א בתירוץ הג' בתוס' בדין ספק ספיקא</w:t>
      </w:r>
      <w:bookmarkEnd w:id="4894"/>
      <w:bookmarkEnd w:id="4895"/>
    </w:p>
    <w:p w14:paraId="79DB70EB" w14:textId="77777777" w:rsidR="00EC6E8F" w:rsidRDefault="00EC6E8F" w:rsidP="005077A7">
      <w:pPr>
        <w:pStyle w:val="a"/>
        <w:rPr>
          <w:rFonts w:eastAsiaTheme="minorEastAsia" w:cstheme="minorBidi"/>
          <w:noProof/>
          <w:sz w:val="22"/>
          <w:szCs w:val="22"/>
          <w:rtl/>
        </w:rPr>
      </w:pPr>
      <w:r>
        <w:rPr>
          <w:noProof/>
          <w:rtl/>
        </w:rPr>
        <w:t>דברי הגרעק"א דלתי' הג' בתוס' ההיתר לרב חסדא הוא מדין ספק ספיקא</w:t>
      </w:r>
    </w:p>
    <w:p w14:paraId="7287EE51" w14:textId="77777777" w:rsidR="00EC6E8F" w:rsidRDefault="00EC6E8F" w:rsidP="005077A7">
      <w:pPr>
        <w:pStyle w:val="a"/>
        <w:rPr>
          <w:rFonts w:eastAsiaTheme="minorEastAsia" w:cstheme="minorBidi"/>
          <w:noProof/>
          <w:sz w:val="22"/>
          <w:szCs w:val="22"/>
          <w:rtl/>
        </w:rPr>
      </w:pPr>
      <w:r>
        <w:rPr>
          <w:noProof/>
          <w:rtl/>
        </w:rPr>
        <w:t>דברי הגרעק"א דע"י הספק ספיקא חשיב כפלגא ופלגא ואפשר להתיר בשיבר בה עצמות</w:t>
      </w:r>
    </w:p>
    <w:p w14:paraId="63CE8F70" w14:textId="77777777" w:rsidR="00EC6E8F" w:rsidRDefault="00EC6E8F" w:rsidP="005077A7">
      <w:pPr>
        <w:pStyle w:val="a"/>
        <w:rPr>
          <w:rFonts w:eastAsiaTheme="minorEastAsia" w:cstheme="minorBidi"/>
          <w:noProof/>
          <w:sz w:val="22"/>
          <w:szCs w:val="22"/>
          <w:rtl/>
        </w:rPr>
      </w:pPr>
      <w:r>
        <w:rPr>
          <w:noProof/>
          <w:rtl/>
        </w:rPr>
        <w:t>דברי הגרעק"א דלהלכה לא קיי"ל כתי' הג' בתוס'</w:t>
      </w:r>
    </w:p>
    <w:p w14:paraId="066198D4" w14:textId="77777777" w:rsidR="00EC6E8F" w:rsidRDefault="00EC6E8F" w:rsidP="005077A7">
      <w:pPr>
        <w:pStyle w:val="a"/>
        <w:rPr>
          <w:rFonts w:eastAsiaTheme="minorEastAsia" w:cstheme="minorBidi"/>
          <w:noProof/>
          <w:sz w:val="22"/>
          <w:szCs w:val="22"/>
          <w:rtl/>
        </w:rPr>
      </w:pPr>
      <w:r>
        <w:rPr>
          <w:noProof/>
          <w:rtl/>
        </w:rPr>
        <w:t>דברי הגרעק"א דבדעת רב חסדא התירוץ ממקוה הוא כתי' הג' בתוס'</w:t>
      </w:r>
    </w:p>
    <w:p w14:paraId="6930A806" w14:textId="77777777" w:rsidR="00EC6E8F" w:rsidRDefault="00EC6E8F" w:rsidP="005077A7">
      <w:pPr>
        <w:pStyle w:val="a"/>
        <w:rPr>
          <w:rFonts w:eastAsiaTheme="minorEastAsia" w:cstheme="minorBidi"/>
          <w:noProof/>
          <w:sz w:val="22"/>
          <w:szCs w:val="22"/>
          <w:rtl/>
        </w:rPr>
      </w:pPr>
      <w:r>
        <w:rPr>
          <w:noProof/>
          <w:rtl/>
        </w:rPr>
        <w:t>דחיית הגרעק"א דא"א לומר דלרב חסדא ס"ל כתי' הב' בתוס' ולא קיי"ל כן למסקנא</w:t>
      </w:r>
    </w:p>
    <w:p w14:paraId="0AAAD210" w14:textId="77777777" w:rsidR="000C64C9" w:rsidRDefault="000C64C9" w:rsidP="00EC6E8F">
      <w:pPr>
        <w:pStyle w:val="aff4"/>
        <w:rPr>
          <w:noProof/>
          <w:rtl/>
        </w:rPr>
      </w:pPr>
    </w:p>
    <w:p w14:paraId="56496828" w14:textId="77777777" w:rsidR="00EC6E8F" w:rsidRDefault="00EC6E8F" w:rsidP="00EC6E8F">
      <w:pPr>
        <w:pStyle w:val="aff4"/>
        <w:rPr>
          <w:rFonts w:eastAsiaTheme="minorEastAsia" w:cstheme="minorBidi"/>
          <w:i/>
          <w:iCs/>
          <w:noProof/>
          <w:sz w:val="22"/>
          <w:szCs w:val="22"/>
          <w:rtl/>
        </w:rPr>
      </w:pPr>
      <w:bookmarkStart w:id="4896" w:name="_Toc19435363"/>
      <w:bookmarkStart w:id="4897" w:name="_Toc20080695"/>
      <w:r>
        <w:rPr>
          <w:noProof/>
          <w:rtl/>
        </w:rPr>
        <w:t>דברי הרשב"א בתשו' בענין היתר ספק ספיקא במקום חזקה</w:t>
      </w:r>
      <w:bookmarkEnd w:id="4896"/>
      <w:bookmarkEnd w:id="4897"/>
    </w:p>
    <w:p w14:paraId="592DB726" w14:textId="77777777" w:rsidR="00EC6E8F" w:rsidRDefault="00EC6E8F" w:rsidP="005077A7">
      <w:pPr>
        <w:pStyle w:val="a"/>
        <w:rPr>
          <w:rFonts w:eastAsiaTheme="minorEastAsia" w:cstheme="minorBidi"/>
          <w:noProof/>
          <w:sz w:val="22"/>
          <w:szCs w:val="22"/>
          <w:rtl/>
        </w:rPr>
      </w:pPr>
      <w:r>
        <w:rPr>
          <w:noProof/>
          <w:rtl/>
        </w:rPr>
        <w:t>דברי הרשב"א בתשו' דאף דמהני ס"ס במקום חזקה מ"מ לרב הונא בחזקת איסור עומדת</w:t>
      </w:r>
    </w:p>
    <w:p w14:paraId="49D806DE" w14:textId="77777777" w:rsidR="00EC6E8F" w:rsidRDefault="00EC6E8F" w:rsidP="005077A7">
      <w:pPr>
        <w:pStyle w:val="a"/>
        <w:rPr>
          <w:rFonts w:eastAsiaTheme="minorEastAsia" w:cstheme="minorBidi"/>
          <w:noProof/>
          <w:sz w:val="22"/>
          <w:szCs w:val="22"/>
          <w:rtl/>
        </w:rPr>
      </w:pPr>
      <w:r>
        <w:rPr>
          <w:noProof/>
          <w:rtl/>
        </w:rPr>
        <w:t>פלוגתת הדרכ"מ והמשאת בנימין אי להרשב"א מהני ספק ספיקא במקום חזקה</w:t>
      </w:r>
    </w:p>
    <w:p w14:paraId="7F8C5939" w14:textId="77777777" w:rsidR="00EC6E8F" w:rsidRDefault="00EC6E8F" w:rsidP="005077A7">
      <w:pPr>
        <w:pStyle w:val="a"/>
        <w:rPr>
          <w:rFonts w:eastAsiaTheme="minorEastAsia" w:cstheme="minorBidi"/>
          <w:noProof/>
          <w:sz w:val="22"/>
          <w:szCs w:val="22"/>
          <w:rtl/>
        </w:rPr>
      </w:pPr>
      <w:r>
        <w:rPr>
          <w:noProof/>
          <w:rtl/>
        </w:rPr>
        <w:t>דברי הש"ך דיש ט"ס ברשב"א וס"ל דמהני ספק ספיקא במקום חזקה</w:t>
      </w:r>
    </w:p>
    <w:p w14:paraId="4647D319" w14:textId="77777777" w:rsidR="00EC6E8F" w:rsidRDefault="00EC6E8F" w:rsidP="005077A7">
      <w:pPr>
        <w:pStyle w:val="a"/>
        <w:rPr>
          <w:rFonts w:eastAsiaTheme="minorEastAsia" w:cstheme="minorBidi"/>
          <w:noProof/>
          <w:sz w:val="22"/>
          <w:szCs w:val="22"/>
          <w:rtl/>
        </w:rPr>
      </w:pPr>
      <w:r>
        <w:rPr>
          <w:noProof/>
          <w:rtl/>
        </w:rPr>
        <w:t>ביאור החוו"ד דכוונת הרשב"א לומר דבספק בשחיטה צריך לחדש בה היתר</w:t>
      </w:r>
    </w:p>
    <w:p w14:paraId="4C7A356E" w14:textId="77777777" w:rsidR="00EC6E8F" w:rsidRDefault="00EC6E8F" w:rsidP="005077A7">
      <w:pPr>
        <w:pStyle w:val="a"/>
        <w:rPr>
          <w:rFonts w:eastAsiaTheme="minorEastAsia" w:cstheme="minorBidi"/>
          <w:noProof/>
          <w:sz w:val="22"/>
          <w:szCs w:val="22"/>
          <w:rtl/>
        </w:rPr>
      </w:pPr>
      <w:r>
        <w:rPr>
          <w:noProof/>
          <w:rtl/>
        </w:rPr>
        <w:t>דברי החוו"ד דלרב הונא כיון שאין ראיה שנתחדש בה שחיטה א"א לתלות או להתיר בס</w:t>
      </w:r>
      <w:r>
        <w:rPr>
          <w:rFonts w:hint="cs"/>
          <w:noProof/>
          <w:rtl/>
        </w:rPr>
        <w:t>"ס</w:t>
      </w:r>
    </w:p>
    <w:p w14:paraId="0760A484" w14:textId="77777777" w:rsidR="00EC6E8F" w:rsidRDefault="00EC6E8F" w:rsidP="005077A7">
      <w:pPr>
        <w:pStyle w:val="a"/>
        <w:rPr>
          <w:rFonts w:eastAsiaTheme="minorEastAsia" w:cstheme="minorBidi"/>
          <w:noProof/>
          <w:sz w:val="22"/>
          <w:szCs w:val="22"/>
          <w:rtl/>
        </w:rPr>
      </w:pPr>
      <w:r>
        <w:rPr>
          <w:noProof/>
          <w:rtl/>
        </w:rPr>
        <w:t>דברי הפנ"י דס"ל להרשב"א דל"מ ס"ס להתיר ולכן אסר רב הונא</w:t>
      </w:r>
    </w:p>
    <w:p w14:paraId="2194107B" w14:textId="77777777" w:rsidR="00EC6E8F" w:rsidRPr="00FF6D6A" w:rsidRDefault="00EC6E8F" w:rsidP="00EC6E8F">
      <w:pPr>
        <w:pStyle w:val="aff4"/>
        <w:rPr>
          <w:rtl/>
        </w:rPr>
      </w:pPr>
      <w:r>
        <w:rPr>
          <w:rtl/>
        </w:rPr>
        <w:fldChar w:fldCharType="end"/>
      </w:r>
      <w:bookmarkStart w:id="4898" w:name="_Toc19435364"/>
      <w:bookmarkStart w:id="4899" w:name="_Toc20080696"/>
      <w:r>
        <w:rPr>
          <w:rFonts w:hint="cs"/>
          <w:rtl/>
        </w:rPr>
        <w:t>ביאור החזו"א היאך התיר ר"ח מחמת ס"ס כנגד חזקה</w:t>
      </w:r>
      <w:bookmarkEnd w:id="4898"/>
      <w:bookmarkEnd w:id="4899"/>
    </w:p>
    <w:p w14:paraId="4848FED2" w14:textId="77777777" w:rsidR="00EC6E8F" w:rsidRDefault="00EC6E8F" w:rsidP="005077A7">
      <w:pPr>
        <w:pStyle w:val="a"/>
        <w:rPr>
          <w:rFonts w:eastAsiaTheme="minorEastAsia" w:cstheme="minorBidi"/>
          <w:noProof/>
          <w:sz w:val="22"/>
          <w:szCs w:val="22"/>
          <w:rtl/>
        </w:rPr>
      </w:pPr>
      <w:r>
        <w:rPr>
          <w:noProof/>
          <w:rtl/>
        </w:rPr>
        <w:t xml:space="preserve">דברי החזו"א דאין </w:t>
      </w:r>
      <w:r>
        <w:rPr>
          <w:rFonts w:hint="cs"/>
          <w:noProof/>
          <w:rtl/>
        </w:rPr>
        <w:t>ס"ס</w:t>
      </w:r>
      <w:r>
        <w:rPr>
          <w:noProof/>
          <w:rtl/>
        </w:rPr>
        <w:t xml:space="preserve"> מתיר כנגד החזקת איסור דהיא אלימא יותר מחזקת הבדוק של הסכין</w:t>
      </w:r>
    </w:p>
    <w:p w14:paraId="3364AAB6" w14:textId="77777777" w:rsidR="00EC6E8F" w:rsidRDefault="00EC6E8F" w:rsidP="005077A7">
      <w:pPr>
        <w:pStyle w:val="a"/>
        <w:rPr>
          <w:rFonts w:eastAsiaTheme="minorEastAsia" w:cstheme="minorBidi"/>
          <w:noProof/>
          <w:sz w:val="22"/>
          <w:szCs w:val="22"/>
          <w:rtl/>
        </w:rPr>
      </w:pPr>
      <w:r>
        <w:rPr>
          <w:noProof/>
          <w:rtl/>
        </w:rPr>
        <w:t>דברי החזו"א דלמ"ד דמהני ס"ס כנגד חזקה צ"ל דאי"ז ספק ספיקא</w:t>
      </w:r>
    </w:p>
    <w:p w14:paraId="37F5DB97" w14:textId="77777777" w:rsidR="00EC6E8F" w:rsidRDefault="00EC6E8F" w:rsidP="005077A7">
      <w:pPr>
        <w:pStyle w:val="a"/>
        <w:rPr>
          <w:rFonts w:eastAsiaTheme="minorEastAsia" w:cstheme="minorBidi"/>
          <w:noProof/>
          <w:sz w:val="22"/>
          <w:szCs w:val="22"/>
          <w:rtl/>
        </w:rPr>
      </w:pPr>
      <w:r>
        <w:rPr>
          <w:noProof/>
          <w:rtl/>
        </w:rPr>
        <w:t>דברי החזו"א דלתוס' לר"ח מהני ס"ס כנגד החזקה או דמהני כיון שיש סתירה בחזקות</w:t>
      </w:r>
    </w:p>
    <w:p w14:paraId="6DF5F0AA" w14:textId="77777777" w:rsidR="00EC6E8F" w:rsidRDefault="00EC6E8F" w:rsidP="005077A7">
      <w:pPr>
        <w:pStyle w:val="a"/>
        <w:rPr>
          <w:rFonts w:eastAsiaTheme="minorEastAsia" w:cstheme="minorBidi"/>
          <w:noProof/>
          <w:sz w:val="22"/>
          <w:szCs w:val="22"/>
          <w:rtl/>
        </w:rPr>
      </w:pPr>
      <w:r>
        <w:rPr>
          <w:noProof/>
          <w:rtl/>
        </w:rPr>
        <w:t>עוד ביאר החזו"א דאף לר"ח אי"ז ס"ס טוב אלא דהוא מצטרף לחזקת הסכין</w:t>
      </w:r>
    </w:p>
    <w:p w14:paraId="0F1EAE89" w14:textId="77777777" w:rsidR="00EC6E8F" w:rsidRDefault="00EC6E8F" w:rsidP="005077A7">
      <w:pPr>
        <w:pStyle w:val="a"/>
        <w:rPr>
          <w:rFonts w:eastAsiaTheme="minorEastAsia" w:cstheme="minorBidi"/>
          <w:noProof/>
          <w:sz w:val="22"/>
          <w:szCs w:val="22"/>
          <w:rtl/>
        </w:rPr>
      </w:pPr>
      <w:r>
        <w:rPr>
          <w:noProof/>
          <w:rtl/>
        </w:rPr>
        <w:t>ביאור החזו"א דלדידן בשיבר עצמות שהתליה מצויה תלינן לקולא ע"י הספק ספיקא</w:t>
      </w:r>
    </w:p>
    <w:p w14:paraId="271A6C27" w14:textId="77777777" w:rsidR="00EC6E8F" w:rsidRDefault="00EC6E8F" w:rsidP="00EC6E8F">
      <w:pPr>
        <w:pStyle w:val="2"/>
        <w:rPr>
          <w:rFonts w:eastAsiaTheme="minorEastAsia" w:cstheme="minorBidi"/>
          <w:i/>
          <w:iCs/>
          <w:noProof/>
          <w:sz w:val="22"/>
          <w:szCs w:val="22"/>
          <w:rtl/>
        </w:rPr>
      </w:pPr>
      <w:bookmarkStart w:id="4900" w:name="_Toc19435365"/>
      <w:r>
        <w:rPr>
          <w:noProof/>
          <w:rtl/>
        </w:rPr>
        <w:t>דברי התוס' בחזקה עם ריעותא</w:t>
      </w:r>
      <w:bookmarkEnd w:id="4900"/>
    </w:p>
    <w:p w14:paraId="3BB3D85A" w14:textId="77777777" w:rsidR="00EC6E8F" w:rsidRDefault="00EC6E8F" w:rsidP="00EC6E8F">
      <w:pPr>
        <w:pStyle w:val="aff4"/>
        <w:rPr>
          <w:rFonts w:eastAsiaTheme="minorEastAsia" w:cstheme="minorBidi"/>
          <w:i/>
          <w:iCs/>
          <w:noProof/>
          <w:sz w:val="22"/>
          <w:szCs w:val="22"/>
          <w:rtl/>
        </w:rPr>
      </w:pPr>
      <w:bookmarkStart w:id="4901" w:name="_Toc19435366"/>
      <w:bookmarkStart w:id="4902" w:name="_Toc20080697"/>
      <w:r>
        <w:rPr>
          <w:noProof/>
          <w:rtl/>
        </w:rPr>
        <w:t>דברי התוס' דבסכין מעמידים על החזקה אף שיש ריעותא</w:t>
      </w:r>
      <w:bookmarkEnd w:id="4901"/>
      <w:bookmarkEnd w:id="4902"/>
    </w:p>
    <w:p w14:paraId="7D7FD9C5" w14:textId="77777777" w:rsidR="00EC6E8F" w:rsidRDefault="00EC6E8F" w:rsidP="005077A7">
      <w:pPr>
        <w:pStyle w:val="a"/>
        <w:rPr>
          <w:rFonts w:eastAsiaTheme="minorEastAsia" w:cstheme="minorBidi"/>
          <w:noProof/>
          <w:sz w:val="22"/>
          <w:szCs w:val="22"/>
          <w:rtl/>
        </w:rPr>
      </w:pPr>
      <w:r>
        <w:rPr>
          <w:noProof/>
          <w:rtl/>
        </w:rPr>
        <w:t>דברי התוס' דבסכין מעמידים על החזקה אף שיש ריעותא</w:t>
      </w:r>
    </w:p>
    <w:p w14:paraId="2CD25C0B" w14:textId="77777777" w:rsidR="00EC6E8F" w:rsidRDefault="00EC6E8F" w:rsidP="005077A7">
      <w:pPr>
        <w:pStyle w:val="a"/>
        <w:rPr>
          <w:rFonts w:eastAsiaTheme="minorEastAsia" w:cstheme="minorBidi"/>
          <w:noProof/>
          <w:sz w:val="22"/>
          <w:szCs w:val="22"/>
          <w:rtl/>
        </w:rPr>
      </w:pPr>
      <w:r>
        <w:rPr>
          <w:noProof/>
          <w:rtl/>
        </w:rPr>
        <w:t>ביאור המהרש"א בתוס' דלרב חסדא מעמידים בחזקת שחוטה אף שיש ריעותא בסכין</w:t>
      </w:r>
    </w:p>
    <w:p w14:paraId="1D21E70B" w14:textId="77777777" w:rsidR="00EC6E8F" w:rsidRDefault="00EC6E8F" w:rsidP="005077A7">
      <w:pPr>
        <w:pStyle w:val="a"/>
        <w:rPr>
          <w:rFonts w:eastAsiaTheme="minorEastAsia" w:cstheme="minorBidi"/>
          <w:noProof/>
          <w:sz w:val="22"/>
          <w:szCs w:val="22"/>
          <w:rtl/>
        </w:rPr>
      </w:pPr>
      <w:r>
        <w:rPr>
          <w:noProof/>
          <w:rtl/>
        </w:rPr>
        <w:t>דחיית המהר"ם דלא מבואר בדברי רב חסדא שמעמידים על החזקה</w:t>
      </w:r>
    </w:p>
    <w:p w14:paraId="38A94AB1" w14:textId="77777777" w:rsidR="00EC6E8F" w:rsidRDefault="00EC6E8F" w:rsidP="005077A7">
      <w:pPr>
        <w:pStyle w:val="a"/>
        <w:rPr>
          <w:rFonts w:eastAsiaTheme="minorEastAsia" w:cstheme="minorBidi"/>
          <w:noProof/>
          <w:sz w:val="22"/>
          <w:szCs w:val="22"/>
          <w:rtl/>
        </w:rPr>
      </w:pPr>
      <w:r>
        <w:rPr>
          <w:noProof/>
          <w:rtl/>
        </w:rPr>
        <w:t>ביאור המהר"ם בתוס' דלרב הונא מעמידים בחזקת איסור אף דשחוטה לפניך</w:t>
      </w:r>
    </w:p>
    <w:p w14:paraId="51A33CE5" w14:textId="77777777" w:rsidR="00EC6E8F" w:rsidRDefault="00EC6E8F" w:rsidP="005077A7">
      <w:pPr>
        <w:pStyle w:val="a"/>
        <w:rPr>
          <w:rFonts w:eastAsiaTheme="minorEastAsia" w:cstheme="minorBidi"/>
          <w:noProof/>
          <w:sz w:val="22"/>
          <w:szCs w:val="22"/>
        </w:rPr>
      </w:pPr>
      <w:r>
        <w:rPr>
          <w:noProof/>
          <w:rtl/>
        </w:rPr>
        <w:t>דברי הראש יוסף דכל קושית התוס' לקמן היא רק לתי' הא' בתוס' בסוגיין ולא לתי' הג'</w:t>
      </w:r>
    </w:p>
    <w:p w14:paraId="7E63F9CD" w14:textId="77777777" w:rsidR="00EC6E8F" w:rsidRDefault="00EC6E8F" w:rsidP="00EC6E8F">
      <w:pPr>
        <w:pStyle w:val="2"/>
        <w:rPr>
          <w:rFonts w:eastAsiaTheme="minorEastAsia" w:cstheme="minorBidi"/>
          <w:i/>
          <w:iCs/>
          <w:noProof/>
          <w:sz w:val="22"/>
          <w:szCs w:val="22"/>
          <w:rtl/>
        </w:rPr>
      </w:pPr>
      <w:bookmarkStart w:id="4903" w:name="_Toc19435367"/>
      <w:r>
        <w:rPr>
          <w:noProof/>
          <w:rtl/>
        </w:rPr>
        <w:t>ביאורי ראשי הישיבות על הסוגיא</w:t>
      </w:r>
      <w:bookmarkEnd w:id="4903"/>
    </w:p>
    <w:p w14:paraId="5C731ACB" w14:textId="77777777" w:rsidR="00EC6E8F" w:rsidRDefault="00EC6E8F" w:rsidP="00EC6E8F">
      <w:pPr>
        <w:pStyle w:val="2"/>
        <w:rPr>
          <w:rFonts w:eastAsiaTheme="minorEastAsia" w:cstheme="minorBidi"/>
          <w:i/>
          <w:iCs/>
          <w:noProof/>
          <w:sz w:val="22"/>
          <w:szCs w:val="22"/>
          <w:rtl/>
        </w:rPr>
      </w:pPr>
      <w:bookmarkStart w:id="4904" w:name="_Toc19435368"/>
      <w:r>
        <w:rPr>
          <w:noProof/>
          <w:rtl/>
        </w:rPr>
        <w:t>בדברי התוס' בספק ספיקא בסכין</w:t>
      </w:r>
      <w:bookmarkEnd w:id="4904"/>
    </w:p>
    <w:p w14:paraId="46D7B82F" w14:textId="77777777" w:rsidR="00EC6E8F" w:rsidRDefault="00EC6E8F" w:rsidP="00EC6E8F">
      <w:pPr>
        <w:pStyle w:val="aff4"/>
        <w:rPr>
          <w:rFonts w:eastAsiaTheme="minorEastAsia" w:cstheme="minorBidi"/>
          <w:i/>
          <w:iCs/>
          <w:noProof/>
          <w:sz w:val="22"/>
          <w:szCs w:val="22"/>
          <w:rtl/>
        </w:rPr>
      </w:pPr>
      <w:bookmarkStart w:id="4905" w:name="_Toc19435369"/>
      <w:bookmarkStart w:id="4906" w:name="_Toc20080698"/>
      <w:r>
        <w:rPr>
          <w:noProof/>
          <w:rtl/>
        </w:rPr>
        <w:t>ביאור המקדש דוד דספק ספיקא מהני כנגד חזקה עם ריעותא</w:t>
      </w:r>
      <w:bookmarkEnd w:id="4905"/>
      <w:bookmarkEnd w:id="4906"/>
    </w:p>
    <w:p w14:paraId="5CC1C621" w14:textId="77777777" w:rsidR="00EC6E8F" w:rsidRDefault="00EC6E8F" w:rsidP="005077A7">
      <w:pPr>
        <w:pStyle w:val="a"/>
        <w:rPr>
          <w:rFonts w:eastAsiaTheme="minorEastAsia" w:cstheme="minorBidi"/>
          <w:noProof/>
          <w:sz w:val="22"/>
          <w:szCs w:val="22"/>
          <w:rtl/>
        </w:rPr>
      </w:pPr>
      <w:r>
        <w:rPr>
          <w:noProof/>
          <w:rtl/>
        </w:rPr>
        <w:t>קושית המקדש דוד דלא מהני ספק ספיקא להתיר במקום חזקה</w:t>
      </w:r>
    </w:p>
    <w:p w14:paraId="10DABEC7" w14:textId="77777777" w:rsidR="00EC6E8F" w:rsidRDefault="00EC6E8F" w:rsidP="005077A7">
      <w:pPr>
        <w:pStyle w:val="a"/>
        <w:rPr>
          <w:rFonts w:eastAsiaTheme="minorEastAsia" w:cstheme="minorBidi"/>
          <w:noProof/>
          <w:sz w:val="22"/>
          <w:szCs w:val="22"/>
          <w:rtl/>
        </w:rPr>
      </w:pPr>
      <w:r>
        <w:rPr>
          <w:noProof/>
          <w:rtl/>
        </w:rPr>
        <w:t>דברי המקדש דוד דכשי</w:t>
      </w:r>
      <w:r>
        <w:rPr>
          <w:rFonts w:hint="cs"/>
          <w:noProof/>
          <w:rtl/>
        </w:rPr>
        <w:t>ש</w:t>
      </w:r>
      <w:r>
        <w:rPr>
          <w:noProof/>
          <w:rtl/>
        </w:rPr>
        <w:t xml:space="preserve"> חזקה כל ספק נדון בפנ"ע ולא שייך לצרפם לספק ספיקא</w:t>
      </w:r>
    </w:p>
    <w:p w14:paraId="32D58327" w14:textId="77777777" w:rsidR="00EC6E8F" w:rsidRPr="00604893" w:rsidRDefault="00EC6E8F" w:rsidP="005077A7">
      <w:pPr>
        <w:pStyle w:val="a"/>
        <w:rPr>
          <w:rFonts w:eastAsiaTheme="minorEastAsia" w:cstheme="minorBidi"/>
          <w:noProof/>
          <w:sz w:val="22"/>
          <w:szCs w:val="22"/>
          <w:rtl/>
        </w:rPr>
      </w:pPr>
      <w:r>
        <w:rPr>
          <w:noProof/>
          <w:rtl/>
        </w:rPr>
        <w:t>ביאור המקדש דוד דבחזקה עם ריעותא שייך לצרף את הספיקות בכדי להוציא מהחזקה</w:t>
      </w:r>
    </w:p>
    <w:p w14:paraId="4415451C" w14:textId="77777777" w:rsidR="00EC6E8F" w:rsidRDefault="00EC6E8F" w:rsidP="00EC6E8F">
      <w:pPr>
        <w:pStyle w:val="2"/>
        <w:rPr>
          <w:rFonts w:eastAsiaTheme="minorEastAsia" w:cstheme="minorBidi"/>
          <w:i/>
          <w:iCs/>
          <w:noProof/>
          <w:sz w:val="22"/>
          <w:szCs w:val="22"/>
          <w:rtl/>
        </w:rPr>
      </w:pPr>
      <w:bookmarkStart w:id="4907" w:name="_Toc19435370"/>
      <w:r>
        <w:rPr>
          <w:noProof/>
          <w:rtl/>
        </w:rPr>
        <w:t>בתירוץ הרשב"א דשמא לא שחט בפגימה</w:t>
      </w:r>
      <w:bookmarkEnd w:id="4907"/>
    </w:p>
    <w:p w14:paraId="7F092A1F" w14:textId="77777777" w:rsidR="00EC6E8F" w:rsidRDefault="00EC6E8F" w:rsidP="00EC6E8F">
      <w:pPr>
        <w:pStyle w:val="aff4"/>
        <w:rPr>
          <w:rFonts w:eastAsiaTheme="minorEastAsia" w:cstheme="minorBidi"/>
          <w:i/>
          <w:iCs/>
          <w:noProof/>
          <w:sz w:val="22"/>
          <w:szCs w:val="22"/>
          <w:rtl/>
        </w:rPr>
      </w:pPr>
      <w:bookmarkStart w:id="4908" w:name="_Toc19435371"/>
      <w:bookmarkStart w:id="4909" w:name="_Toc20080699"/>
      <w:r>
        <w:rPr>
          <w:noProof/>
          <w:rtl/>
        </w:rPr>
        <w:t>ביאור הגר"א קוטלר דא"א לצרף חזקה דהשתא במצב של ספק</w:t>
      </w:r>
      <w:bookmarkEnd w:id="4908"/>
      <w:bookmarkEnd w:id="4909"/>
    </w:p>
    <w:p w14:paraId="1DA1D722" w14:textId="77777777" w:rsidR="00EC6E8F" w:rsidRDefault="00EC6E8F" w:rsidP="005077A7">
      <w:pPr>
        <w:pStyle w:val="a"/>
        <w:rPr>
          <w:rFonts w:eastAsiaTheme="minorEastAsia" w:cstheme="minorBidi"/>
          <w:noProof/>
          <w:sz w:val="22"/>
          <w:szCs w:val="22"/>
          <w:rtl/>
        </w:rPr>
      </w:pPr>
      <w:r>
        <w:rPr>
          <w:noProof/>
          <w:rtl/>
        </w:rPr>
        <w:t>קושית הגר"א קוטלר דנצרף את החזקה דהשתא דפגום לפניך לריעותא בסכין</w:t>
      </w:r>
    </w:p>
    <w:p w14:paraId="64C6EE2B" w14:textId="77777777" w:rsidR="00EC6E8F" w:rsidRDefault="00EC6E8F" w:rsidP="005077A7">
      <w:pPr>
        <w:pStyle w:val="a"/>
        <w:rPr>
          <w:rFonts w:eastAsiaTheme="minorEastAsia" w:cstheme="minorBidi"/>
          <w:noProof/>
          <w:sz w:val="22"/>
          <w:szCs w:val="22"/>
          <w:rtl/>
        </w:rPr>
      </w:pPr>
      <w:r>
        <w:rPr>
          <w:noProof/>
          <w:rtl/>
        </w:rPr>
        <w:t>ביאור הגר"א קוטלר דאפשר לצרף חזקה דהשתא רק שהמצב של עכשיו הוא ודאי ולא ספק</w:t>
      </w:r>
    </w:p>
    <w:p w14:paraId="3EABD804" w14:textId="77777777" w:rsidR="00EC6E8F" w:rsidRDefault="00EC6E8F" w:rsidP="005077A7">
      <w:pPr>
        <w:pStyle w:val="a"/>
        <w:rPr>
          <w:rFonts w:eastAsiaTheme="minorEastAsia" w:cstheme="minorBidi"/>
          <w:noProof/>
          <w:sz w:val="22"/>
          <w:szCs w:val="22"/>
          <w:rtl/>
        </w:rPr>
      </w:pPr>
      <w:r>
        <w:rPr>
          <w:noProof/>
          <w:rtl/>
        </w:rPr>
        <w:t>ביאור הגר"א קוטלר דבסכין שאף עכשיו יש ספק א"א לצרף את החזקה דהשתא</w:t>
      </w:r>
    </w:p>
    <w:p w14:paraId="618AD69C" w14:textId="77777777" w:rsidR="00EC6E8F" w:rsidRDefault="00EC6E8F" w:rsidP="00EC6E8F">
      <w:pPr>
        <w:pStyle w:val="aff4"/>
        <w:rPr>
          <w:rFonts w:eastAsiaTheme="minorEastAsia" w:cstheme="minorBidi"/>
          <w:i/>
          <w:iCs/>
          <w:noProof/>
          <w:sz w:val="22"/>
          <w:szCs w:val="22"/>
          <w:rtl/>
        </w:rPr>
      </w:pPr>
      <w:bookmarkStart w:id="4910" w:name="_Toc19435372"/>
      <w:bookmarkStart w:id="4911" w:name="_Toc20080700"/>
      <w:r>
        <w:rPr>
          <w:noProof/>
          <w:rtl/>
        </w:rPr>
        <w:t>ביאור האבי עזרי בתירוץ הרשב"א דבסכין אין תרתי לריעותא</w:t>
      </w:r>
      <w:bookmarkEnd w:id="4910"/>
      <w:bookmarkEnd w:id="4911"/>
    </w:p>
    <w:p w14:paraId="2658119D" w14:textId="77777777" w:rsidR="00EC6E8F" w:rsidRDefault="00EC6E8F" w:rsidP="005077A7">
      <w:pPr>
        <w:pStyle w:val="a"/>
        <w:rPr>
          <w:rFonts w:eastAsiaTheme="minorEastAsia" w:cstheme="minorBidi"/>
          <w:noProof/>
          <w:sz w:val="22"/>
          <w:szCs w:val="22"/>
          <w:rtl/>
        </w:rPr>
      </w:pPr>
      <w:r>
        <w:rPr>
          <w:noProof/>
          <w:rtl/>
        </w:rPr>
        <w:t>ביאור האבי עזרי דכיון שיש ספק אם נפגמה לפני השחיטה א"א לצרף את הריעותא</w:t>
      </w:r>
    </w:p>
    <w:p w14:paraId="1BA87FF1" w14:textId="77777777" w:rsidR="00EC6E8F" w:rsidRDefault="00EC6E8F" w:rsidP="005077A7">
      <w:pPr>
        <w:pStyle w:val="a"/>
        <w:rPr>
          <w:rFonts w:eastAsiaTheme="minorEastAsia" w:cstheme="minorBidi"/>
          <w:noProof/>
          <w:sz w:val="22"/>
          <w:szCs w:val="22"/>
          <w:rtl/>
        </w:rPr>
      </w:pPr>
      <w:r>
        <w:rPr>
          <w:noProof/>
          <w:rtl/>
        </w:rPr>
        <w:t>קושית האבי עזרי דלביאור בתרת"ל דבסתירה בחזקות מעמידים בחזקה דהשתא א"א לבאר כן</w:t>
      </w:r>
    </w:p>
    <w:p w14:paraId="2A40F41A" w14:textId="77777777" w:rsidR="00EC6E8F" w:rsidRDefault="00EC6E8F" w:rsidP="005077A7">
      <w:pPr>
        <w:pStyle w:val="a"/>
        <w:rPr>
          <w:rFonts w:eastAsiaTheme="minorEastAsia" w:cstheme="minorBidi"/>
          <w:noProof/>
          <w:sz w:val="22"/>
          <w:szCs w:val="22"/>
          <w:rtl/>
        </w:rPr>
      </w:pPr>
      <w:r>
        <w:rPr>
          <w:noProof/>
          <w:rtl/>
        </w:rPr>
        <w:t>קושית האבי עזרי בביאור דברי הרשב"א אף לביאור דבתרת"ל מצרפים את החזקות</w:t>
      </w:r>
    </w:p>
    <w:p w14:paraId="18E16217" w14:textId="77777777" w:rsidR="00EC6E8F" w:rsidRDefault="00EC6E8F" w:rsidP="005077A7">
      <w:pPr>
        <w:pStyle w:val="a"/>
        <w:rPr>
          <w:rFonts w:eastAsiaTheme="minorEastAsia" w:cstheme="minorBidi"/>
          <w:noProof/>
          <w:sz w:val="22"/>
          <w:szCs w:val="22"/>
          <w:rtl/>
        </w:rPr>
      </w:pPr>
      <w:r>
        <w:rPr>
          <w:noProof/>
          <w:rtl/>
        </w:rPr>
        <w:t>דברי האבי עזרי דבמקוה שיש ריעותא בחזקתו שייך לצרף את חזקת הטמא</w:t>
      </w:r>
    </w:p>
    <w:p w14:paraId="197CBB43" w14:textId="77777777" w:rsidR="00EC6E8F" w:rsidRDefault="00EC6E8F" w:rsidP="005077A7">
      <w:pPr>
        <w:pStyle w:val="a"/>
        <w:rPr>
          <w:rFonts w:eastAsiaTheme="minorEastAsia" w:cstheme="minorBidi"/>
          <w:noProof/>
          <w:sz w:val="22"/>
          <w:szCs w:val="22"/>
          <w:rtl/>
        </w:rPr>
      </w:pPr>
      <w:r>
        <w:rPr>
          <w:noProof/>
          <w:rtl/>
        </w:rPr>
        <w:t>ביאור האבי עזרי דבסכין שאין ריעותא בבהמה לא שייך לצרף את חזקת האיסור של הבהמה</w:t>
      </w:r>
    </w:p>
    <w:p w14:paraId="6128C7F0" w14:textId="77777777" w:rsidR="00EC6E8F" w:rsidRDefault="00EC6E8F" w:rsidP="005077A7">
      <w:pPr>
        <w:pStyle w:val="a"/>
        <w:rPr>
          <w:rFonts w:eastAsiaTheme="minorEastAsia" w:cstheme="minorBidi"/>
          <w:noProof/>
          <w:sz w:val="22"/>
          <w:szCs w:val="22"/>
          <w:rtl/>
        </w:rPr>
      </w:pPr>
      <w:r>
        <w:rPr>
          <w:noProof/>
          <w:rtl/>
        </w:rPr>
        <w:t>ביאור האבי עזרי לביאור דתרת"ל הוא ע"י סתירת החזקות דבסכין שאין ריעותא לא חשיב סתירה</w:t>
      </w:r>
    </w:p>
    <w:p w14:paraId="748B30C7" w14:textId="77777777" w:rsidR="00EC6E8F" w:rsidRDefault="00EC6E8F" w:rsidP="00EC6E8F">
      <w:pPr>
        <w:pStyle w:val="aff4"/>
        <w:rPr>
          <w:rtl/>
        </w:rPr>
        <w:sectPr w:rsidR="00EC6E8F" w:rsidSect="00D3680E">
          <w:type w:val="continuous"/>
          <w:pgSz w:w="11906" w:h="16838"/>
          <w:pgMar w:top="720" w:right="720" w:bottom="720" w:left="720" w:header="283" w:footer="283" w:gutter="0"/>
          <w:pgNumType w:start="55"/>
          <w:cols w:num="2" w:space="227"/>
          <w:bidi/>
          <w:rtlGutter/>
          <w:docGrid w:linePitch="299"/>
        </w:sectPr>
      </w:pPr>
      <w:r>
        <w:rPr>
          <w:rtl/>
        </w:rPr>
        <w:fldChar w:fldCharType="end"/>
      </w:r>
    </w:p>
    <w:p w14:paraId="1ADB4665" w14:textId="77777777" w:rsidR="00EC6E8F" w:rsidRDefault="00EC6E8F" w:rsidP="00EC6E8F">
      <w:pPr>
        <w:pStyle w:val="aff4"/>
        <w:rPr>
          <w:rtl/>
        </w:rPr>
        <w:sectPr w:rsidR="00EC6E8F" w:rsidSect="00413DD0">
          <w:type w:val="continuous"/>
          <w:pgSz w:w="11906" w:h="16838"/>
          <w:pgMar w:top="720" w:right="720" w:bottom="720" w:left="720" w:header="283" w:footer="283" w:gutter="0"/>
          <w:cols w:num="2" w:space="567"/>
          <w:bidi/>
          <w:rtlGutter/>
          <w:docGrid w:linePitch="299"/>
        </w:sectPr>
      </w:pPr>
    </w:p>
    <w:p w14:paraId="69284D28" w14:textId="77777777" w:rsidR="00EC6E8F" w:rsidRDefault="00EC6E8F" w:rsidP="00EC6E8F">
      <w:pPr>
        <w:pStyle w:val="aff4"/>
        <w:rPr>
          <w:rtl/>
        </w:rPr>
        <w:sectPr w:rsidR="00EC6E8F" w:rsidSect="00883069">
          <w:type w:val="continuous"/>
          <w:pgSz w:w="11906" w:h="16838"/>
          <w:pgMar w:top="720" w:right="720" w:bottom="720" w:left="720" w:header="283" w:footer="283" w:gutter="0"/>
          <w:cols w:num="2" w:space="567"/>
          <w:bidi/>
          <w:rtlGutter/>
          <w:docGrid w:linePitch="299"/>
        </w:sectPr>
      </w:pPr>
    </w:p>
    <w:p w14:paraId="4A24E7C6" w14:textId="77777777" w:rsidR="00EC6E8F" w:rsidRPr="00EC49FA" w:rsidRDefault="00EC6E8F" w:rsidP="00EC6E8F">
      <w:pPr>
        <w:pStyle w:val="aff4"/>
        <w:rPr>
          <w:rtl/>
        </w:rPr>
      </w:pPr>
    </w:p>
    <w:p w14:paraId="04DC7485" w14:textId="77777777" w:rsidR="00EC6E8F" w:rsidRDefault="00EC6E8F" w:rsidP="006D6D32">
      <w:pPr>
        <w:pStyle w:val="afd"/>
        <w:rPr>
          <w:rtl/>
        </w:rPr>
        <w:sectPr w:rsidR="00EC6E8F" w:rsidSect="00EC49FA">
          <w:type w:val="continuous"/>
          <w:pgSz w:w="11906" w:h="16838"/>
          <w:pgMar w:top="720" w:right="720" w:bottom="720" w:left="720" w:header="283" w:footer="283" w:gutter="0"/>
          <w:cols w:space="567"/>
          <w:bidi/>
          <w:rtlGutter/>
          <w:docGrid w:linePitch="299"/>
        </w:sectPr>
      </w:pPr>
    </w:p>
    <w:p w14:paraId="186EC0C6" w14:textId="77777777" w:rsidR="00413DD0" w:rsidRDefault="00413DD0" w:rsidP="006D6D32">
      <w:pPr>
        <w:pStyle w:val="afe"/>
        <w:rPr>
          <w:rtl/>
        </w:rPr>
        <w:sectPr w:rsidR="00413DD0" w:rsidSect="00D3680E">
          <w:pgSz w:w="11906" w:h="16838"/>
          <w:pgMar w:top="720" w:right="720" w:bottom="720" w:left="720" w:header="283" w:footer="283" w:gutter="0"/>
          <w:cols w:space="567"/>
          <w:bidi/>
          <w:rtlGutter/>
          <w:docGrid w:linePitch="299"/>
        </w:sectPr>
      </w:pPr>
      <w:bookmarkStart w:id="4912" w:name="_Toc524638689"/>
      <w:bookmarkStart w:id="4913" w:name="_Toc525594309"/>
      <w:bookmarkStart w:id="4914" w:name="_Toc526249143"/>
      <w:bookmarkStart w:id="4915" w:name="_Toc526415936"/>
      <w:bookmarkStart w:id="4916" w:name="_Toc526418154"/>
      <w:bookmarkStart w:id="4917" w:name="_Toc19435373"/>
      <w:bookmarkStart w:id="4918" w:name="_Toc20080701"/>
      <w:r>
        <w:rPr>
          <w:rFonts w:hint="cs"/>
          <w:rtl/>
        </w:rPr>
        <w:t>מראי מקומות וביאורים על הסוגיא</w:t>
      </w:r>
      <w:bookmarkEnd w:id="4912"/>
      <w:bookmarkEnd w:id="4913"/>
      <w:bookmarkEnd w:id="4914"/>
      <w:bookmarkEnd w:id="4915"/>
      <w:bookmarkEnd w:id="4916"/>
      <w:bookmarkEnd w:id="4917"/>
      <w:bookmarkEnd w:id="4918"/>
    </w:p>
    <w:p w14:paraId="6BE63715" w14:textId="77777777" w:rsidR="00413DD0" w:rsidRDefault="00413DD0" w:rsidP="006D6D32">
      <w:pPr>
        <w:pStyle w:val="afe"/>
        <w:rPr>
          <w:rtl/>
        </w:rPr>
      </w:pPr>
      <w:bookmarkStart w:id="4919" w:name="_Toc523397218"/>
      <w:bookmarkStart w:id="4920" w:name="_Toc523490340"/>
      <w:bookmarkStart w:id="4921" w:name="_Toc523697962"/>
      <w:bookmarkStart w:id="4922" w:name="_Toc523760827"/>
      <w:bookmarkStart w:id="4923" w:name="_Toc524638690"/>
      <w:bookmarkStart w:id="4924" w:name="_Toc525594310"/>
      <w:bookmarkStart w:id="4925" w:name="_Toc526249144"/>
      <w:bookmarkStart w:id="4926" w:name="_Toc526415937"/>
      <w:bookmarkStart w:id="4927" w:name="_Toc526418155"/>
      <w:bookmarkStart w:id="4928" w:name="_Toc19435374"/>
      <w:bookmarkStart w:id="4929" w:name="_Toc20080702"/>
      <w:r>
        <w:rPr>
          <w:rFonts w:hint="cs"/>
          <w:rtl/>
        </w:rPr>
        <w:t>בטעמא דר"ח דאין ספק מוציא מידי ודאי</w:t>
      </w:r>
      <w:bookmarkEnd w:id="4919"/>
      <w:bookmarkEnd w:id="4920"/>
      <w:bookmarkEnd w:id="4921"/>
      <w:bookmarkEnd w:id="4922"/>
      <w:bookmarkEnd w:id="4923"/>
      <w:bookmarkEnd w:id="4924"/>
      <w:bookmarkEnd w:id="4925"/>
      <w:bookmarkEnd w:id="4926"/>
      <w:bookmarkEnd w:id="4927"/>
      <w:bookmarkEnd w:id="4928"/>
      <w:bookmarkEnd w:id="4929"/>
    </w:p>
    <w:p w14:paraId="79DC0195" w14:textId="77777777" w:rsidR="00413DD0" w:rsidRDefault="00413DD0" w:rsidP="00BF39B2">
      <w:pPr>
        <w:pStyle w:val="1"/>
        <w:rPr>
          <w:rtl/>
        </w:rPr>
      </w:pPr>
      <w:bookmarkStart w:id="4930" w:name="_Toc523397219"/>
      <w:bookmarkStart w:id="4931" w:name="_Toc523490341"/>
      <w:bookmarkStart w:id="4932" w:name="_Toc523697963"/>
      <w:bookmarkStart w:id="4933" w:name="_Toc523760828"/>
      <w:bookmarkStart w:id="4934" w:name="_Toc524638691"/>
      <w:bookmarkStart w:id="4935" w:name="_Toc525594311"/>
      <w:bookmarkStart w:id="4936" w:name="_Toc526249145"/>
      <w:bookmarkStart w:id="4937" w:name="_Toc526415938"/>
      <w:bookmarkStart w:id="4938" w:name="_Toc526418156"/>
      <w:bookmarkStart w:id="4939" w:name="_Toc19389532"/>
      <w:bookmarkStart w:id="4940" w:name="_Toc19393029"/>
      <w:r>
        <w:rPr>
          <w:rFonts w:hint="cs"/>
          <w:rtl/>
        </w:rPr>
        <w:t xml:space="preserve">דעת הבעה"מ והרשב"א </w:t>
      </w:r>
      <w:bookmarkEnd w:id="4930"/>
      <w:bookmarkEnd w:id="4931"/>
      <w:bookmarkEnd w:id="4932"/>
      <w:bookmarkEnd w:id="4933"/>
      <w:r>
        <w:rPr>
          <w:rFonts w:hint="cs"/>
          <w:rtl/>
        </w:rPr>
        <w:t>דתלינן במפרקת שהוא ודאי ומצוי</w:t>
      </w:r>
      <w:bookmarkEnd w:id="4934"/>
      <w:bookmarkEnd w:id="4935"/>
      <w:bookmarkEnd w:id="4936"/>
      <w:bookmarkEnd w:id="4937"/>
      <w:bookmarkEnd w:id="4938"/>
      <w:bookmarkEnd w:id="4939"/>
      <w:bookmarkEnd w:id="4940"/>
    </w:p>
    <w:p w14:paraId="0835B322" w14:textId="77777777" w:rsidR="00413DD0" w:rsidRPr="00122BFF" w:rsidRDefault="00413DD0" w:rsidP="006D6D32">
      <w:pPr>
        <w:pStyle w:val="a3"/>
        <w:rPr>
          <w:rtl/>
        </w:rPr>
      </w:pPr>
      <w:bookmarkStart w:id="4941" w:name="_Toc525594312"/>
      <w:bookmarkStart w:id="4942" w:name="_Toc526249146"/>
      <w:bookmarkStart w:id="4943" w:name="_Toc526415939"/>
      <w:bookmarkStart w:id="4944" w:name="_Toc526418157"/>
      <w:bookmarkStart w:id="4945" w:name="_Toc19389533"/>
      <w:bookmarkStart w:id="4946" w:name="_Toc19393030"/>
      <w:r>
        <w:rPr>
          <w:rFonts w:hint="cs"/>
          <w:rtl/>
        </w:rPr>
        <w:t>דברי הבעה"מ והרשב"א דאין הספק סותר לודאי ולא דמי לדין אין ספק מוציא מידי ודאי</w:t>
      </w:r>
      <w:bookmarkEnd w:id="4941"/>
      <w:bookmarkEnd w:id="4942"/>
      <w:bookmarkEnd w:id="4943"/>
      <w:bookmarkEnd w:id="4944"/>
      <w:bookmarkEnd w:id="4945"/>
      <w:bookmarkEnd w:id="4946"/>
    </w:p>
    <w:p w14:paraId="0F25D886" w14:textId="77777777" w:rsidR="00413DD0" w:rsidRDefault="00413DD0" w:rsidP="00E12979">
      <w:pPr>
        <w:pStyle w:val="a0"/>
        <w:numPr>
          <w:ilvl w:val="0"/>
          <w:numId w:val="8"/>
        </w:numPr>
        <w:rPr>
          <w:rtl/>
        </w:rPr>
      </w:pPr>
      <w:bookmarkStart w:id="4947" w:name="_Ref524636716"/>
      <w:r>
        <w:rPr>
          <w:rFonts w:hint="cs"/>
          <w:rtl/>
        </w:rPr>
        <w:t xml:space="preserve">כתבו </w:t>
      </w:r>
      <w:r w:rsidRPr="008149FF">
        <w:rPr>
          <w:rStyle w:val="af9"/>
          <w:rFonts w:hint="cs"/>
          <w:rtl/>
        </w:rPr>
        <w:t>הבעה"מ</w:t>
      </w:r>
      <w:r>
        <w:rPr>
          <w:rFonts w:hint="cs"/>
          <w:rtl/>
        </w:rPr>
        <w:t xml:space="preserve"> </w:t>
      </w:r>
      <w:r w:rsidRPr="00223668">
        <w:rPr>
          <w:rStyle w:val="af7"/>
          <w:rFonts w:eastAsia="Guttman Hodes" w:hint="cs"/>
          <w:rtl/>
        </w:rPr>
        <w:t>(ב: מדפי הרי"ף ד"ה אמר)</w:t>
      </w:r>
      <w:r w:rsidRPr="00043480">
        <w:rPr>
          <w:rFonts w:hint="cs"/>
          <w:rtl/>
        </w:rPr>
        <w:t xml:space="preserve"> </w:t>
      </w:r>
      <w:r w:rsidRPr="00043480">
        <w:rPr>
          <w:rStyle w:val="af9"/>
          <w:rFonts w:hint="cs"/>
          <w:rtl/>
        </w:rPr>
        <w:t>והרשב"א</w:t>
      </w:r>
      <w:r w:rsidRPr="00043480">
        <w:rPr>
          <w:rFonts w:hint="cs"/>
          <w:rtl/>
        </w:rPr>
        <w:t xml:space="preserve"> </w:t>
      </w:r>
      <w:r w:rsidRPr="00223668">
        <w:rPr>
          <w:rStyle w:val="af7"/>
          <w:rFonts w:eastAsia="Guttman Hodes" w:hint="cs"/>
          <w:rtl/>
        </w:rPr>
        <w:t>(ד"ה אמר)</w:t>
      </w:r>
      <w:r w:rsidRPr="00043480">
        <w:rPr>
          <w:rFonts w:hint="cs"/>
          <w:rtl/>
        </w:rPr>
        <w:t xml:space="preserve"> דהא דאמר רב חסדא דאין ספק מוציא מידי ודאי, אין הכוונה שהספק שמא העור פוגם, אינו יכול להוציא מהודאי שהעצם פגמה, וביארו </w:t>
      </w:r>
      <w:r w:rsidRPr="00043480">
        <w:rPr>
          <w:rStyle w:val="af9"/>
          <w:rFonts w:hint="cs"/>
          <w:rtl/>
        </w:rPr>
        <w:t>הבעה</w:t>
      </w:r>
      <w:r w:rsidRPr="00113476">
        <w:rPr>
          <w:rStyle w:val="af9"/>
          <w:rFonts w:hint="cs"/>
          <w:rtl/>
        </w:rPr>
        <w:t>"מ והרשב"א</w:t>
      </w:r>
      <w:r>
        <w:rPr>
          <w:rFonts w:hint="cs"/>
          <w:rtl/>
        </w:rPr>
        <w:t xml:space="preserve"> דהספק וודאי דבסוגיין אינו ככל דין אין ספק מוציא מידי ודאי, דבכל מקום הדין דאין ספק מוציא מידי ודאי הוא כשהודאי מתנגד לספק, והספק מתנגד לודאי, אבל בסוגיין אין סתירה בין הודאי לספק, דיתכן שהעור פגם בתחילה, והעצם הוסיף לפגום, ואין כל סתירה בין פגימת העור לפגימת העצם, וכתב </w:t>
      </w:r>
      <w:r w:rsidRPr="00BB7135">
        <w:rPr>
          <w:rStyle w:val="af9"/>
          <w:rFonts w:hint="cs"/>
          <w:rtl/>
        </w:rPr>
        <w:t>הבעה"מ</w:t>
      </w:r>
      <w:r>
        <w:rPr>
          <w:rFonts w:hint="cs"/>
          <w:rtl/>
        </w:rPr>
        <w:t xml:space="preserve"> דלכן לא הביאה הגמ' ראיה לרב חסדא מהדינים דאין ספק מוציא מידי ודאי, דלא דמו לסוגיין כלל, וכן משמע בדברי</w:t>
      </w:r>
      <w:r>
        <w:rPr>
          <w:rStyle w:val="af9"/>
          <w:rFonts w:hint="cs"/>
          <w:rtl/>
        </w:rPr>
        <w:t xml:space="preserve"> </w:t>
      </w:r>
      <w:r w:rsidRPr="00043480">
        <w:rPr>
          <w:rStyle w:val="af9"/>
          <w:rFonts w:hint="cs"/>
          <w:rtl/>
        </w:rPr>
        <w:t>הרמב"ן בתירוצו הראשון</w:t>
      </w:r>
      <w:r w:rsidRPr="00043480">
        <w:rPr>
          <w:rFonts w:hint="cs"/>
          <w:rtl/>
        </w:rPr>
        <w:t xml:space="preserve"> </w:t>
      </w:r>
      <w:r w:rsidRPr="00223668">
        <w:rPr>
          <w:rStyle w:val="af7"/>
          <w:rFonts w:eastAsia="Guttman Hodes" w:hint="cs"/>
          <w:rtl/>
        </w:rPr>
        <w:t>(ד"ה והאי)</w:t>
      </w:r>
      <w:r>
        <w:rPr>
          <w:rFonts w:hint="cs"/>
          <w:rtl/>
        </w:rPr>
        <w:t>.</w:t>
      </w:r>
      <w:bookmarkEnd w:id="4947"/>
    </w:p>
    <w:p w14:paraId="39F056DC" w14:textId="77777777" w:rsidR="00413DD0" w:rsidRPr="00A87D64" w:rsidRDefault="00413DD0" w:rsidP="006D6D32">
      <w:pPr>
        <w:pStyle w:val="a3"/>
      </w:pPr>
      <w:bookmarkStart w:id="4948" w:name="_Toc525594313"/>
      <w:bookmarkStart w:id="4949" w:name="_Toc526249147"/>
      <w:bookmarkStart w:id="4950" w:name="_Toc526415940"/>
      <w:bookmarkStart w:id="4951" w:name="_Toc526418158"/>
      <w:bookmarkStart w:id="4952" w:name="_Toc19389534"/>
      <w:bookmarkStart w:id="4953" w:name="_Toc19393031"/>
      <w:r>
        <w:rPr>
          <w:rFonts w:hint="cs"/>
          <w:rtl/>
        </w:rPr>
        <w:t>ביאור הבעה"מ והרשב"א דכוונת הגמ' לומר דעצם מצוי לפגום תלינן בו ולא בעור שאינו מצוי</w:t>
      </w:r>
      <w:bookmarkEnd w:id="4948"/>
      <w:bookmarkEnd w:id="4949"/>
      <w:bookmarkEnd w:id="4950"/>
      <w:bookmarkEnd w:id="4951"/>
      <w:bookmarkEnd w:id="4952"/>
      <w:bookmarkEnd w:id="4953"/>
    </w:p>
    <w:p w14:paraId="54410904" w14:textId="77777777" w:rsidR="00413DD0" w:rsidRDefault="00413DD0" w:rsidP="00223668">
      <w:pPr>
        <w:pStyle w:val="a0"/>
        <w:rPr>
          <w:rtl/>
        </w:rPr>
      </w:pPr>
      <w:bookmarkStart w:id="4954" w:name="_Ref523773118"/>
      <w:r>
        <w:rPr>
          <w:rFonts w:hint="cs"/>
          <w:rtl/>
        </w:rPr>
        <w:t xml:space="preserve">אלא כתבו </w:t>
      </w:r>
      <w:r w:rsidRPr="00DF6475">
        <w:rPr>
          <w:rStyle w:val="af9"/>
          <w:rFonts w:hint="cs"/>
          <w:rtl/>
        </w:rPr>
        <w:t xml:space="preserve">הבעה"מ </w:t>
      </w:r>
      <w:r>
        <w:rPr>
          <w:rStyle w:val="af9"/>
          <w:rFonts w:hint="cs"/>
          <w:rtl/>
        </w:rPr>
        <w:t>ו</w:t>
      </w:r>
      <w:r w:rsidRPr="00122BFF">
        <w:rPr>
          <w:rStyle w:val="af9"/>
          <w:rFonts w:hint="cs"/>
          <w:rtl/>
        </w:rPr>
        <w:t>הרשב"א</w:t>
      </w:r>
      <w:r>
        <w:rPr>
          <w:rFonts w:hint="cs"/>
          <w:rtl/>
        </w:rPr>
        <w:t xml:space="preserve"> דהביאור בסוגיין הוא, דכיון שמצוי שהעצם פוגם והעור אינו מצוי דפוגם, א"א לתלות בעור שאינו מצוי ולהניח את המפרקת שהוא המצוי.</w:t>
      </w:r>
      <w:bookmarkEnd w:id="4954"/>
      <w:r w:rsidRPr="00430F44">
        <w:rPr>
          <w:rFonts w:hint="cs"/>
          <w:rtl/>
        </w:rPr>
        <w:t xml:space="preserve"> </w:t>
      </w:r>
      <w:r>
        <w:rPr>
          <w:rFonts w:hint="cs"/>
          <w:rtl/>
        </w:rPr>
        <w:t xml:space="preserve">והוסיף </w:t>
      </w:r>
      <w:r w:rsidRPr="009D61EB">
        <w:rPr>
          <w:rStyle w:val="af9"/>
          <w:rFonts w:hint="cs"/>
          <w:rtl/>
        </w:rPr>
        <w:t>הבעה"מ</w:t>
      </w:r>
      <w:r>
        <w:rPr>
          <w:rFonts w:hint="cs"/>
          <w:rtl/>
        </w:rPr>
        <w:t xml:space="preserve"> דמעמידים בחזקת היתר</w:t>
      </w:r>
      <w:r w:rsidRPr="00430F44">
        <w:rPr>
          <w:rFonts w:hint="cs"/>
          <w:rtl/>
        </w:rPr>
        <w:t xml:space="preserve"> </w:t>
      </w:r>
      <w:r>
        <w:rPr>
          <w:rFonts w:hint="cs"/>
          <w:rtl/>
        </w:rPr>
        <w:t>כיון שהריעותא היא רק בסכין ולא בבהמה,  אבל בנמצא עליו דבר החוצץ לא מעמידים את הטבילה בחזקתה, כיון שנולדה ריעותא בטבילה עצמה, משא"כ בשחיטה.</w:t>
      </w:r>
    </w:p>
    <w:p w14:paraId="5E03C926" w14:textId="77777777" w:rsidR="00413DD0" w:rsidRDefault="00413DD0" w:rsidP="00BF39B2">
      <w:pPr>
        <w:pStyle w:val="1"/>
        <w:rPr>
          <w:rtl/>
        </w:rPr>
      </w:pPr>
      <w:bookmarkStart w:id="4955" w:name="_Toc524638692"/>
      <w:bookmarkStart w:id="4956" w:name="_Toc525594314"/>
      <w:bookmarkStart w:id="4957" w:name="_Toc526249148"/>
      <w:bookmarkStart w:id="4958" w:name="_Toc526415941"/>
      <w:bookmarkStart w:id="4959" w:name="_Toc526418159"/>
      <w:bookmarkStart w:id="4960" w:name="_Toc19389535"/>
      <w:bookmarkStart w:id="4961" w:name="_Toc19393032"/>
      <w:r>
        <w:rPr>
          <w:rFonts w:hint="cs"/>
          <w:rtl/>
        </w:rPr>
        <w:t>ביאור הרמב"ן דספק עור לא מוציא מודאי בדיקה</w:t>
      </w:r>
      <w:bookmarkEnd w:id="4955"/>
      <w:bookmarkEnd w:id="4956"/>
      <w:bookmarkEnd w:id="4957"/>
      <w:bookmarkEnd w:id="4958"/>
      <w:bookmarkEnd w:id="4959"/>
      <w:bookmarkEnd w:id="4960"/>
      <w:bookmarkEnd w:id="4961"/>
    </w:p>
    <w:p w14:paraId="5248A9D2" w14:textId="77777777" w:rsidR="00413DD0" w:rsidRPr="00552CD6" w:rsidRDefault="00413DD0" w:rsidP="006D6D32">
      <w:pPr>
        <w:pStyle w:val="a3"/>
        <w:rPr>
          <w:rtl/>
        </w:rPr>
      </w:pPr>
      <w:bookmarkStart w:id="4962" w:name="_Toc525594315"/>
      <w:bookmarkStart w:id="4963" w:name="_Toc526249149"/>
      <w:bookmarkStart w:id="4964" w:name="_Toc526415942"/>
      <w:bookmarkStart w:id="4965" w:name="_Toc526418160"/>
      <w:bookmarkStart w:id="4966" w:name="_Toc19389536"/>
      <w:bookmarkStart w:id="4967" w:name="_Toc19393033"/>
      <w:r>
        <w:rPr>
          <w:rFonts w:hint="cs"/>
          <w:rtl/>
        </w:rPr>
        <w:t>ביאור הרמב"ן בתירוצו השני דספק עור שאינו ודאי פוגם לא מוציא מודאי סכין בדוק</w:t>
      </w:r>
      <w:bookmarkEnd w:id="4962"/>
      <w:bookmarkEnd w:id="4963"/>
      <w:bookmarkEnd w:id="4964"/>
      <w:bookmarkEnd w:id="4965"/>
      <w:bookmarkEnd w:id="4966"/>
      <w:bookmarkEnd w:id="4967"/>
    </w:p>
    <w:p w14:paraId="48A7B029" w14:textId="77777777" w:rsidR="00413DD0" w:rsidRDefault="00413DD0" w:rsidP="00223668">
      <w:pPr>
        <w:pStyle w:val="a0"/>
        <w:rPr>
          <w:rtl/>
        </w:rPr>
      </w:pPr>
      <w:bookmarkStart w:id="4968" w:name="_Ref525418539"/>
      <w:r w:rsidRPr="0082791B">
        <w:rPr>
          <w:rStyle w:val="af9"/>
          <w:rFonts w:hint="cs"/>
          <w:rtl/>
        </w:rPr>
        <w:t>והרמב"ן בתירוצו השני</w:t>
      </w:r>
      <w:r w:rsidRPr="0082791B">
        <w:rPr>
          <w:rFonts w:hint="cs"/>
          <w:rtl/>
        </w:rPr>
        <w:t xml:space="preserve"> </w:t>
      </w:r>
      <w:r w:rsidRPr="0082791B">
        <w:rPr>
          <w:rStyle w:val="af7"/>
          <w:rFonts w:eastAsia="Guttman Hodes" w:hint="cs"/>
          <w:rtl/>
        </w:rPr>
        <w:t>(ד"ה והאי)</w:t>
      </w:r>
      <w:r w:rsidRPr="0082791B">
        <w:rPr>
          <w:rFonts w:hint="cs"/>
          <w:rtl/>
        </w:rPr>
        <w:t xml:space="preserve"> </w:t>
      </w:r>
      <w:r>
        <w:rPr>
          <w:rFonts w:hint="cs"/>
          <w:rtl/>
        </w:rPr>
        <w:t>כתב דכוונת רב חסדא לומר</w:t>
      </w:r>
      <w:r w:rsidRPr="0082791B">
        <w:rPr>
          <w:rFonts w:hint="cs"/>
          <w:rtl/>
        </w:rPr>
        <w:t xml:space="preserve">, </w:t>
      </w:r>
      <w:r>
        <w:rPr>
          <w:rFonts w:hint="cs"/>
          <w:rtl/>
        </w:rPr>
        <w:t>ד</w:t>
      </w:r>
      <w:r w:rsidRPr="0082791B">
        <w:rPr>
          <w:rFonts w:hint="cs"/>
          <w:rtl/>
        </w:rPr>
        <w:t xml:space="preserve">העור שאינו פוגם </w:t>
      </w:r>
      <w:r>
        <w:rPr>
          <w:rFonts w:hint="cs"/>
          <w:rtl/>
        </w:rPr>
        <w:t>ב</w:t>
      </w:r>
      <w:r w:rsidRPr="0082791B">
        <w:rPr>
          <w:rFonts w:hint="cs"/>
          <w:rtl/>
        </w:rPr>
        <w:t>ודאי</w:t>
      </w:r>
      <w:r>
        <w:rPr>
          <w:rFonts w:hint="cs"/>
          <w:rtl/>
        </w:rPr>
        <w:t>,</w:t>
      </w:r>
      <w:r w:rsidRPr="0082791B">
        <w:rPr>
          <w:rFonts w:hint="cs"/>
          <w:rtl/>
        </w:rPr>
        <w:t xml:space="preserve"> אינו יכול להוציא מהודאי </w:t>
      </w:r>
      <w:r>
        <w:rPr>
          <w:rFonts w:hint="cs"/>
          <w:rtl/>
        </w:rPr>
        <w:t>ש</w:t>
      </w:r>
      <w:r w:rsidRPr="0082791B">
        <w:rPr>
          <w:rFonts w:hint="cs"/>
          <w:rtl/>
        </w:rPr>
        <w:t>הסכין</w:t>
      </w:r>
      <w:r>
        <w:rPr>
          <w:rFonts w:hint="cs"/>
          <w:rtl/>
        </w:rPr>
        <w:t xml:space="preserve"> בדוק</w:t>
      </w:r>
      <w:r w:rsidRPr="0082791B">
        <w:rPr>
          <w:rFonts w:hint="cs"/>
          <w:rtl/>
        </w:rPr>
        <w:t>, ורק פגימת העצם שה</w:t>
      </w:r>
      <w:r>
        <w:rPr>
          <w:rFonts w:hint="cs"/>
          <w:rtl/>
        </w:rPr>
        <w:t>ו</w:t>
      </w:r>
      <w:r w:rsidRPr="0082791B">
        <w:rPr>
          <w:rFonts w:hint="cs"/>
          <w:rtl/>
        </w:rPr>
        <w:t xml:space="preserve">א ודאי </w:t>
      </w:r>
      <w:r>
        <w:rPr>
          <w:rFonts w:hint="cs"/>
          <w:rtl/>
        </w:rPr>
        <w:t xml:space="preserve">פוגם, </w:t>
      </w:r>
      <w:r w:rsidRPr="0082791B">
        <w:rPr>
          <w:rFonts w:hint="cs"/>
          <w:rtl/>
        </w:rPr>
        <w:t>יכולה להוציא מהודאי של בדיקת הסכין</w:t>
      </w:r>
      <w:r>
        <w:rPr>
          <w:rFonts w:hint="cs"/>
          <w:rtl/>
        </w:rPr>
        <w:t>.</w:t>
      </w:r>
      <w:r w:rsidRPr="006739C0">
        <w:rPr>
          <w:rFonts w:hint="cs"/>
          <w:rtl/>
        </w:rPr>
        <w:t xml:space="preserve"> </w:t>
      </w:r>
      <w:r>
        <w:rPr>
          <w:rFonts w:hint="cs"/>
          <w:rtl/>
        </w:rPr>
        <w:t xml:space="preserve">וכ"כ </w:t>
      </w:r>
      <w:r w:rsidRPr="006739C0">
        <w:rPr>
          <w:rStyle w:val="af9"/>
          <w:rFonts w:hint="cs"/>
          <w:rtl/>
        </w:rPr>
        <w:t>הרשב"א</w:t>
      </w:r>
      <w:r>
        <w:rPr>
          <w:rFonts w:hint="cs"/>
          <w:rtl/>
        </w:rPr>
        <w:t xml:space="preserve"> לקמן </w:t>
      </w:r>
      <w:r w:rsidRPr="006739C0">
        <w:rPr>
          <w:rStyle w:val="af7"/>
          <w:rFonts w:eastAsia="Guttman Hodes" w:hint="cs"/>
          <w:rtl/>
        </w:rPr>
        <w:t xml:space="preserve">(י: סוד"ה ומיהו) </w:t>
      </w:r>
      <w:r w:rsidRPr="006739C0">
        <w:rPr>
          <w:rStyle w:val="af9"/>
          <w:rFonts w:hint="cs"/>
          <w:rtl/>
        </w:rPr>
        <w:t>בתירוצו השני</w:t>
      </w:r>
      <w:r w:rsidRPr="0082791B">
        <w:rPr>
          <w:rFonts w:hint="cs"/>
          <w:rtl/>
        </w:rPr>
        <w:t>.</w:t>
      </w:r>
      <w:bookmarkEnd w:id="4968"/>
    </w:p>
    <w:p w14:paraId="641DEAB0" w14:textId="77777777" w:rsidR="00413DD0" w:rsidRDefault="00413DD0" w:rsidP="00BF39B2">
      <w:pPr>
        <w:pStyle w:val="1"/>
        <w:rPr>
          <w:rtl/>
        </w:rPr>
      </w:pPr>
      <w:bookmarkStart w:id="4969" w:name="_Toc523697964"/>
      <w:bookmarkStart w:id="4970" w:name="_Toc523760829"/>
      <w:bookmarkStart w:id="4971" w:name="_Toc524638694"/>
      <w:bookmarkStart w:id="4972" w:name="_Toc525594316"/>
      <w:bookmarkStart w:id="4973" w:name="_Toc526249150"/>
      <w:bookmarkStart w:id="4974" w:name="_Toc526415943"/>
      <w:bookmarkStart w:id="4975" w:name="_Toc526418161"/>
      <w:bookmarkStart w:id="4976" w:name="_Toc19389537"/>
      <w:bookmarkStart w:id="4977" w:name="_Toc19393034"/>
      <w:r>
        <w:rPr>
          <w:rFonts w:hint="cs"/>
          <w:rtl/>
        </w:rPr>
        <w:t xml:space="preserve">משמעות </w:t>
      </w:r>
      <w:r w:rsidRPr="00AA55EF">
        <w:rPr>
          <w:rFonts w:hint="cs"/>
          <w:rtl/>
        </w:rPr>
        <w:t>התוס'</w:t>
      </w:r>
      <w:bookmarkEnd w:id="4969"/>
      <w:bookmarkEnd w:id="4970"/>
      <w:r w:rsidRPr="00AA55EF">
        <w:rPr>
          <w:rFonts w:hint="cs"/>
          <w:rtl/>
        </w:rPr>
        <w:t xml:space="preserve"> דכוונת הגמ' לדין אין ספק מוציא מידי ודאי</w:t>
      </w:r>
      <w:bookmarkEnd w:id="4971"/>
      <w:bookmarkEnd w:id="4972"/>
      <w:bookmarkEnd w:id="4973"/>
      <w:bookmarkEnd w:id="4974"/>
      <w:bookmarkEnd w:id="4975"/>
      <w:bookmarkEnd w:id="4976"/>
      <w:bookmarkEnd w:id="4977"/>
    </w:p>
    <w:p w14:paraId="6AC13AF3" w14:textId="77777777" w:rsidR="00413DD0" w:rsidRPr="009E1F03" w:rsidRDefault="00413DD0" w:rsidP="006D6D32">
      <w:pPr>
        <w:pStyle w:val="a3"/>
        <w:rPr>
          <w:rtl/>
        </w:rPr>
      </w:pPr>
      <w:bookmarkStart w:id="4978" w:name="_Toc525594317"/>
      <w:bookmarkStart w:id="4979" w:name="_Toc526249151"/>
      <w:bookmarkStart w:id="4980" w:name="_Toc526415944"/>
      <w:bookmarkStart w:id="4981" w:name="_Toc526418162"/>
      <w:bookmarkStart w:id="4982" w:name="_Toc19389538"/>
      <w:bookmarkStart w:id="4983" w:name="_Toc19393035"/>
      <w:r>
        <w:rPr>
          <w:rFonts w:hint="cs"/>
          <w:rtl/>
        </w:rPr>
        <w:t>דברי התוס' דדין אין ספק מוציא מידי ודאי דהכא הוא לחומרא ולא דמי לשאר סוגיות</w:t>
      </w:r>
      <w:bookmarkEnd w:id="4978"/>
      <w:bookmarkEnd w:id="4979"/>
      <w:bookmarkEnd w:id="4980"/>
      <w:bookmarkEnd w:id="4981"/>
      <w:bookmarkEnd w:id="4982"/>
      <w:bookmarkEnd w:id="4983"/>
    </w:p>
    <w:p w14:paraId="11FF7464" w14:textId="77777777" w:rsidR="00413DD0" w:rsidRDefault="00413DD0" w:rsidP="00223668">
      <w:pPr>
        <w:pStyle w:val="a0"/>
        <w:rPr>
          <w:sz w:val="10"/>
          <w:szCs w:val="14"/>
          <w:rtl/>
        </w:rPr>
      </w:pPr>
      <w:r>
        <w:rPr>
          <w:rFonts w:hint="cs"/>
          <w:rtl/>
        </w:rPr>
        <w:t xml:space="preserve">כתבו </w:t>
      </w:r>
      <w:r w:rsidRPr="005C413B">
        <w:rPr>
          <w:rStyle w:val="af9"/>
          <w:rFonts w:hint="cs"/>
          <w:rtl/>
        </w:rPr>
        <w:t xml:space="preserve">התוס' </w:t>
      </w:r>
      <w:r w:rsidRPr="00946C28">
        <w:rPr>
          <w:rStyle w:val="af7"/>
          <w:rFonts w:eastAsia="Guttman Hodes" w:hint="cs"/>
          <w:rtl/>
        </w:rPr>
        <w:t>(ד"ה טבל)</w:t>
      </w:r>
      <w:r>
        <w:rPr>
          <w:rFonts w:hint="cs"/>
          <w:rtl/>
        </w:rPr>
        <w:t xml:space="preserve"> דבגמ' בנדה </w:t>
      </w:r>
      <w:r w:rsidRPr="00547FE6">
        <w:rPr>
          <w:rStyle w:val="af7"/>
          <w:rFonts w:eastAsia="Guttman Hodes" w:hint="cs"/>
          <w:rtl/>
        </w:rPr>
        <w:t>(טו:)</w:t>
      </w:r>
      <w:r>
        <w:rPr>
          <w:rFonts w:hint="cs"/>
          <w:rtl/>
        </w:rPr>
        <w:t xml:space="preserve"> ובע"ז </w:t>
      </w:r>
      <w:r w:rsidRPr="00547FE6">
        <w:rPr>
          <w:rStyle w:val="af7"/>
          <w:rFonts w:eastAsia="Guttman Hodes" w:hint="cs"/>
          <w:rtl/>
        </w:rPr>
        <w:t>(מא:)</w:t>
      </w:r>
      <w:r>
        <w:rPr>
          <w:rFonts w:hint="cs"/>
          <w:rtl/>
        </w:rPr>
        <w:t xml:space="preserve"> ובפסחים</w:t>
      </w:r>
      <w:r w:rsidRPr="00547FE6">
        <w:rPr>
          <w:rStyle w:val="af7"/>
          <w:rFonts w:eastAsia="Guttman Hodes" w:hint="cs"/>
          <w:rtl/>
        </w:rPr>
        <w:t xml:space="preserve"> (ט.) </w:t>
      </w:r>
      <w:r>
        <w:rPr>
          <w:rFonts w:hint="cs"/>
          <w:rtl/>
        </w:rPr>
        <w:t>בדין אין ספק מוציא מידי ודאי, לא הביאה ראיה מסוגיין, כיון דבסוגיין  איירי בספק איסור דלחומרא יכול להוציא מודאי היתר,</w:t>
      </w:r>
      <w:r w:rsidRPr="006D4FBE">
        <w:rPr>
          <w:rFonts w:hint="cs"/>
          <w:rtl/>
        </w:rPr>
        <w:t xml:space="preserve"> </w:t>
      </w:r>
      <w:r>
        <w:rPr>
          <w:rFonts w:hint="cs"/>
          <w:rtl/>
        </w:rPr>
        <w:t xml:space="preserve">והוסיפו </w:t>
      </w:r>
      <w:r w:rsidRPr="00243163">
        <w:rPr>
          <w:rStyle w:val="af9"/>
          <w:rFonts w:hint="cs"/>
          <w:rtl/>
        </w:rPr>
        <w:t>התוס' בנדה</w:t>
      </w:r>
      <w:r>
        <w:rPr>
          <w:rFonts w:hint="cs"/>
          <w:rtl/>
        </w:rPr>
        <w:t xml:space="preserve"> </w:t>
      </w:r>
      <w:r w:rsidRPr="00243163">
        <w:rPr>
          <w:rStyle w:val="af7"/>
          <w:rFonts w:eastAsia="Guttman Hodes" w:hint="cs"/>
          <w:rtl/>
        </w:rPr>
        <w:t>(טו: ד"ה חבר)</w:t>
      </w:r>
      <w:r>
        <w:rPr>
          <w:rFonts w:hint="cs"/>
          <w:rtl/>
        </w:rPr>
        <w:t xml:space="preserve"> דבגמ' התם הספק הוא טוב ורגיל, ויכול להוציא מהודאי אף לקולא, וע"ע </w:t>
      </w:r>
      <w:r>
        <w:rPr>
          <w:rStyle w:val="af9"/>
          <w:rFonts w:hint="cs"/>
          <w:rtl/>
        </w:rPr>
        <w:t>ב</w:t>
      </w:r>
      <w:r w:rsidRPr="009F1E89">
        <w:rPr>
          <w:rStyle w:val="af9"/>
          <w:rFonts w:hint="cs"/>
          <w:rtl/>
        </w:rPr>
        <w:t>רמב"ן</w:t>
      </w:r>
      <w:r w:rsidRPr="009F1E89">
        <w:rPr>
          <w:rFonts w:hint="cs"/>
          <w:rtl/>
        </w:rPr>
        <w:t xml:space="preserve"> </w:t>
      </w:r>
      <w:r w:rsidRPr="009F1E89">
        <w:rPr>
          <w:rStyle w:val="af7"/>
          <w:rFonts w:eastAsia="Guttman Hodes" w:hint="cs"/>
          <w:rtl/>
        </w:rPr>
        <w:t>(ד"ה ואיכא)</w:t>
      </w:r>
      <w:r>
        <w:rPr>
          <w:rFonts w:hint="cs"/>
          <w:rtl/>
        </w:rPr>
        <w:t>.</w:t>
      </w:r>
    </w:p>
    <w:p w14:paraId="1020DA53" w14:textId="77777777" w:rsidR="00413DD0" w:rsidRPr="0049698B" w:rsidRDefault="00413DD0" w:rsidP="006D6D32">
      <w:pPr>
        <w:pStyle w:val="a3"/>
      </w:pPr>
      <w:bookmarkStart w:id="4984" w:name="_Toc525594318"/>
      <w:bookmarkStart w:id="4985" w:name="_Toc526249152"/>
      <w:bookmarkStart w:id="4986" w:name="_Toc526415945"/>
      <w:bookmarkStart w:id="4987" w:name="_Toc526418163"/>
      <w:bookmarkStart w:id="4988" w:name="_Toc19389539"/>
      <w:bookmarkStart w:id="4989" w:name="_Toc19393036"/>
      <w:r>
        <w:rPr>
          <w:rFonts w:hint="cs"/>
          <w:rtl/>
        </w:rPr>
        <w:t>דברי התוס' דהכא אין ספק העור חשיב כרגיל ומצוי ולא כשאר סוגיות</w:t>
      </w:r>
      <w:bookmarkEnd w:id="4984"/>
      <w:bookmarkEnd w:id="4985"/>
      <w:bookmarkEnd w:id="4986"/>
      <w:bookmarkEnd w:id="4987"/>
      <w:bookmarkEnd w:id="4988"/>
      <w:bookmarkEnd w:id="4989"/>
    </w:p>
    <w:p w14:paraId="57646C41" w14:textId="77777777" w:rsidR="00413DD0" w:rsidRPr="001B2FF9" w:rsidRDefault="00413DD0" w:rsidP="00223668">
      <w:pPr>
        <w:pStyle w:val="a0"/>
        <w:rPr>
          <w:rStyle w:val="afb"/>
          <w:rtl/>
        </w:rPr>
      </w:pPr>
      <w:r>
        <w:rPr>
          <w:rFonts w:hint="cs"/>
          <w:rtl/>
        </w:rPr>
        <w:t xml:space="preserve">והוסיפו </w:t>
      </w:r>
      <w:r w:rsidRPr="006D4FBE">
        <w:rPr>
          <w:rStyle w:val="af9"/>
          <w:rFonts w:hint="cs"/>
          <w:rtl/>
        </w:rPr>
        <w:t>התוס'</w:t>
      </w:r>
      <w:r>
        <w:rPr>
          <w:rFonts w:hint="cs"/>
          <w:rtl/>
        </w:rPr>
        <w:t xml:space="preserve"> דהגמ' בסוגיין אינה יכולה להביא ראיה משאר הסוגיות, כיון דהתם הוא ספק הרגיל, ולכן שייך יותר לומר דיוציא מידי ודאי,</w:t>
      </w:r>
      <w:r w:rsidRPr="001B2FF9">
        <w:rPr>
          <w:rFonts w:hint="cs"/>
          <w:rtl/>
        </w:rPr>
        <w:t xml:space="preserve"> </w:t>
      </w:r>
      <w:r>
        <w:rPr>
          <w:rFonts w:hint="cs"/>
          <w:rtl/>
        </w:rPr>
        <w:t xml:space="preserve">וביאר </w:t>
      </w:r>
      <w:r w:rsidRPr="00946C28">
        <w:rPr>
          <w:rStyle w:val="af9"/>
          <w:rFonts w:hint="cs"/>
          <w:rtl/>
        </w:rPr>
        <w:t xml:space="preserve">התוס' הרא"ש </w:t>
      </w:r>
      <w:r w:rsidRPr="00243163">
        <w:rPr>
          <w:rStyle w:val="af9"/>
          <w:rFonts w:hint="cs"/>
          <w:rtl/>
        </w:rPr>
        <w:t>בנדה</w:t>
      </w:r>
      <w:r>
        <w:rPr>
          <w:rFonts w:hint="cs"/>
          <w:rtl/>
        </w:rPr>
        <w:t xml:space="preserve"> </w:t>
      </w:r>
      <w:r w:rsidRPr="00243163">
        <w:rPr>
          <w:rStyle w:val="af7"/>
          <w:rFonts w:eastAsia="Guttman Hodes" w:hint="cs"/>
          <w:rtl/>
        </w:rPr>
        <w:t xml:space="preserve">(טו: </w:t>
      </w:r>
      <w:r w:rsidRPr="00946C28">
        <w:rPr>
          <w:rStyle w:val="af7"/>
          <w:rFonts w:eastAsia="Guttman Hodes" w:hint="cs"/>
          <w:rtl/>
        </w:rPr>
        <w:t>ד"ה א"ר יוחנן)</w:t>
      </w:r>
      <w:r>
        <w:rPr>
          <w:rFonts w:hint="cs"/>
          <w:rtl/>
        </w:rPr>
        <w:t xml:space="preserve"> דהספק שהעור פגם</w:t>
      </w:r>
      <w:r w:rsidRPr="001B2FF9">
        <w:rPr>
          <w:rFonts w:hint="cs"/>
          <w:rtl/>
        </w:rPr>
        <w:t xml:space="preserve">, וכן הספק בנמצא עליו דבר החוצץ, אי"ז ספק רגיל ומצוי כל כך, כמו בשאר הסוגיות דהצד של הספק הוא רגיל וקרוב לודאי, ולכן צריכה הגמ' בשאר הסוגיות לבאר דאפ"ה אין ספק מוציא מידי ודאי, </w:t>
      </w:r>
      <w:r w:rsidRPr="006D4FBE">
        <w:rPr>
          <w:rStyle w:val="afb"/>
          <w:rFonts w:hint="cs"/>
          <w:rtl/>
        </w:rPr>
        <w:t xml:space="preserve">[וע"ע </w:t>
      </w:r>
      <w:r w:rsidRPr="006D4FBE">
        <w:rPr>
          <w:rStyle w:val="affa"/>
          <w:rFonts w:hint="cs"/>
          <w:rtl/>
        </w:rPr>
        <w:t>בתוס' בע"ז</w:t>
      </w:r>
      <w:r w:rsidRPr="006D4FBE">
        <w:rPr>
          <w:rStyle w:val="afb"/>
          <w:rFonts w:hint="cs"/>
          <w:rtl/>
        </w:rPr>
        <w:t xml:space="preserve"> </w:t>
      </w:r>
      <w:r w:rsidRPr="006D4FBE">
        <w:rPr>
          <w:rStyle w:val="aff6"/>
          <w:rFonts w:hint="cs"/>
          <w:rtl/>
        </w:rPr>
        <w:t>(מא: ד"ה ואין)</w:t>
      </w:r>
      <w:r w:rsidRPr="006D4FBE">
        <w:rPr>
          <w:rStyle w:val="afb"/>
          <w:rFonts w:hint="cs"/>
          <w:rtl/>
        </w:rPr>
        <w:t>]</w:t>
      </w:r>
      <w:r w:rsidRPr="001B2FF9">
        <w:rPr>
          <w:rFonts w:hint="cs"/>
          <w:rtl/>
        </w:rPr>
        <w:t>.</w:t>
      </w:r>
    </w:p>
    <w:p w14:paraId="4299EC1B" w14:textId="77777777" w:rsidR="00413DD0" w:rsidRDefault="00413DD0" w:rsidP="006D6D32">
      <w:pPr>
        <w:pStyle w:val="a3"/>
        <w:rPr>
          <w:rtl/>
        </w:rPr>
      </w:pPr>
      <w:bookmarkStart w:id="4990" w:name="_Toc525594319"/>
      <w:bookmarkStart w:id="4991" w:name="_Toc526249153"/>
      <w:bookmarkStart w:id="4992" w:name="_Toc526415946"/>
      <w:bookmarkStart w:id="4993" w:name="_Toc526418164"/>
    </w:p>
    <w:p w14:paraId="26039044" w14:textId="77777777" w:rsidR="00413DD0" w:rsidRDefault="00413DD0" w:rsidP="006D6D32">
      <w:pPr>
        <w:pStyle w:val="a3"/>
        <w:rPr>
          <w:rtl/>
        </w:rPr>
      </w:pPr>
      <w:bookmarkStart w:id="4994" w:name="_Toc19389540"/>
      <w:bookmarkStart w:id="4995" w:name="_Toc19393037"/>
      <w:r>
        <w:rPr>
          <w:rFonts w:hint="cs"/>
          <w:rtl/>
        </w:rPr>
        <w:t>קושית הרש"ש על תוס' דלא דמי דין אין ספק מוציא מידי ודאי בסוגיין לשאר סוגיות</w:t>
      </w:r>
      <w:bookmarkEnd w:id="4990"/>
      <w:bookmarkEnd w:id="4991"/>
      <w:bookmarkEnd w:id="4992"/>
      <w:bookmarkEnd w:id="4993"/>
      <w:bookmarkEnd w:id="4994"/>
      <w:bookmarkEnd w:id="4995"/>
    </w:p>
    <w:p w14:paraId="71C24CFA" w14:textId="77777777" w:rsidR="00413DD0" w:rsidRDefault="00413DD0" w:rsidP="00223668">
      <w:pPr>
        <w:pStyle w:val="a0"/>
        <w:rPr>
          <w:rtl/>
        </w:rPr>
      </w:pPr>
      <w:r>
        <w:rPr>
          <w:rFonts w:hint="cs"/>
          <w:rtl/>
        </w:rPr>
        <w:t xml:space="preserve">ומשמע מדברי </w:t>
      </w:r>
      <w:r w:rsidRPr="003278EF">
        <w:rPr>
          <w:rStyle w:val="af9"/>
          <w:rFonts w:hint="cs"/>
          <w:rtl/>
        </w:rPr>
        <w:t>התוס'</w:t>
      </w:r>
      <w:r>
        <w:rPr>
          <w:rFonts w:hint="cs"/>
          <w:rtl/>
        </w:rPr>
        <w:t xml:space="preserve"> דהדין דאין ספק מוציא מידי ודאי בסוגיין הוא הוא כמו הדין בשאר הסוגיות, והקשה </w:t>
      </w:r>
      <w:r w:rsidRPr="00CC2B03">
        <w:rPr>
          <w:rStyle w:val="af9"/>
          <w:rFonts w:hint="cs"/>
          <w:rtl/>
        </w:rPr>
        <w:t>הרש"ש</w:t>
      </w:r>
      <w:r>
        <w:rPr>
          <w:rFonts w:hint="cs"/>
          <w:rtl/>
        </w:rPr>
        <w:t xml:space="preserve"> דאף שהלשון "אין ספק מוציא מידי ודאי" נאמרה גם בסוגיין וגם בגמ' בנדה ובע"ז ובפסחים, מ"מ אין הכוונה לאותו הדין, דבסוגיין כוונת הגמ' לומר שהמפרקת היא סיבה ודאית שיכולה לגרום לפגימת הסכין, שאנו מסופקים האם נפגם מהמפרקת או מהסכין, ואילו בשאר הסוגיות כוונת הגמ' לומר שמעמידים על החזקה קמייתא שהיא הודאי, וציין </w:t>
      </w:r>
      <w:r w:rsidRPr="00CC2B03">
        <w:rPr>
          <w:rStyle w:val="af9"/>
          <w:rFonts w:hint="cs"/>
          <w:rtl/>
        </w:rPr>
        <w:t>הרש"ש</w:t>
      </w:r>
      <w:r>
        <w:rPr>
          <w:rFonts w:hint="cs"/>
          <w:rtl/>
        </w:rPr>
        <w:t xml:space="preserve"> לדברי </w:t>
      </w:r>
      <w:r w:rsidRPr="00CC2B03">
        <w:rPr>
          <w:rStyle w:val="af9"/>
          <w:rFonts w:hint="cs"/>
          <w:rtl/>
        </w:rPr>
        <w:t>הבעה"מ</w:t>
      </w:r>
      <w:r>
        <w:rPr>
          <w:rFonts w:hint="cs"/>
          <w:rtl/>
        </w:rPr>
        <w:t xml:space="preserve"> </w:t>
      </w:r>
      <w:r w:rsidRPr="00CC2B03">
        <w:rPr>
          <w:rStyle w:val="af7"/>
          <w:rFonts w:eastAsia="Guttman Hodes" w:hint="cs"/>
          <w:rtl/>
        </w:rPr>
        <w:t xml:space="preserve">(עי' אות </w:t>
      </w:r>
      <w:r w:rsidRPr="00CC2B03">
        <w:rPr>
          <w:rStyle w:val="af7"/>
          <w:rFonts w:eastAsia="Guttman Hodes"/>
          <w:rtl/>
        </w:rPr>
        <w:fldChar w:fldCharType="begin"/>
      </w:r>
      <w:r w:rsidRPr="00CC2B03">
        <w:rPr>
          <w:rStyle w:val="af7"/>
          <w:rFonts w:eastAsia="Guttman Hodes"/>
          <w:rtl/>
        </w:rPr>
        <w:instrText xml:space="preserve"> </w:instrText>
      </w:r>
      <w:r w:rsidRPr="00CC2B03">
        <w:rPr>
          <w:rStyle w:val="af7"/>
          <w:rFonts w:eastAsia="Guttman Hodes" w:hint="cs"/>
        </w:rPr>
        <w:instrText>REF</w:instrText>
      </w:r>
      <w:r w:rsidRPr="00CC2B03">
        <w:rPr>
          <w:rStyle w:val="af7"/>
          <w:rFonts w:eastAsia="Guttman Hodes" w:hint="cs"/>
          <w:rtl/>
        </w:rPr>
        <w:instrText xml:space="preserve"> _</w:instrText>
      </w:r>
      <w:r w:rsidRPr="00CC2B03">
        <w:rPr>
          <w:rStyle w:val="af7"/>
          <w:rFonts w:eastAsia="Guttman Hodes" w:hint="cs"/>
        </w:rPr>
        <w:instrText>Ref524636716 \r \h</w:instrText>
      </w:r>
      <w:r w:rsidRPr="00CC2B03">
        <w:rPr>
          <w:rStyle w:val="af7"/>
          <w:rFonts w:eastAsia="Guttman Hodes"/>
          <w:rtl/>
        </w:rPr>
        <w:instrText xml:space="preserve"> </w:instrText>
      </w:r>
      <w:r w:rsidRPr="00CC2B03">
        <w:rPr>
          <w:rStyle w:val="af7"/>
          <w:rFonts w:eastAsia="Guttman Hodes"/>
          <w:rtl/>
        </w:rPr>
      </w:r>
      <w:r w:rsidRPr="00CC2B03">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CC2B03">
        <w:rPr>
          <w:rStyle w:val="af7"/>
          <w:rFonts w:eastAsia="Guttman Hodes"/>
          <w:rtl/>
        </w:rPr>
        <w:fldChar w:fldCharType="end"/>
      </w:r>
      <w:r>
        <w:rPr>
          <w:rFonts w:hint="cs"/>
          <w:rtl/>
        </w:rPr>
        <w:t>.</w:t>
      </w:r>
    </w:p>
    <w:p w14:paraId="46100F93" w14:textId="77777777" w:rsidR="00413DD0" w:rsidRDefault="00413DD0" w:rsidP="006D6D32">
      <w:pPr>
        <w:pStyle w:val="afe"/>
        <w:rPr>
          <w:rtl/>
        </w:rPr>
      </w:pPr>
      <w:bookmarkStart w:id="4996" w:name="_Toc523397220"/>
      <w:bookmarkStart w:id="4997" w:name="_Toc523490342"/>
      <w:bookmarkStart w:id="4998" w:name="_Toc523697965"/>
      <w:bookmarkStart w:id="4999" w:name="_Toc523760830"/>
      <w:bookmarkStart w:id="5000" w:name="_Toc524638695"/>
      <w:bookmarkStart w:id="5001" w:name="_Toc525594320"/>
      <w:bookmarkStart w:id="5002" w:name="_Toc526249154"/>
      <w:bookmarkStart w:id="5003" w:name="_Toc526415947"/>
      <w:bookmarkStart w:id="5004" w:name="_Toc526418165"/>
      <w:bookmarkStart w:id="5005" w:name="_Toc19435375"/>
      <w:bookmarkStart w:id="5006" w:name="_Toc20080703"/>
      <w:r>
        <w:rPr>
          <w:rFonts w:hint="cs"/>
          <w:rtl/>
        </w:rPr>
        <w:t>בטעמא דרב חסדא דבהמה לא איתרעי</w:t>
      </w:r>
      <w:bookmarkEnd w:id="4996"/>
      <w:bookmarkEnd w:id="4997"/>
      <w:bookmarkEnd w:id="4998"/>
      <w:bookmarkEnd w:id="4999"/>
      <w:bookmarkEnd w:id="5000"/>
      <w:bookmarkEnd w:id="5001"/>
      <w:bookmarkEnd w:id="5002"/>
      <w:bookmarkEnd w:id="5003"/>
      <w:bookmarkEnd w:id="5004"/>
      <w:bookmarkEnd w:id="5005"/>
      <w:bookmarkEnd w:id="5006"/>
    </w:p>
    <w:p w14:paraId="713264DF" w14:textId="77777777" w:rsidR="00413DD0" w:rsidRDefault="00413DD0" w:rsidP="00BF39B2">
      <w:pPr>
        <w:pStyle w:val="1"/>
        <w:rPr>
          <w:rtl/>
        </w:rPr>
      </w:pPr>
      <w:bookmarkStart w:id="5007" w:name="_Toc523397221"/>
      <w:bookmarkStart w:id="5008" w:name="_Toc523490343"/>
      <w:bookmarkStart w:id="5009" w:name="_Toc523697966"/>
      <w:bookmarkStart w:id="5010" w:name="_Toc523760831"/>
      <w:bookmarkStart w:id="5011" w:name="_Toc524638696"/>
      <w:bookmarkStart w:id="5012" w:name="_Toc525594321"/>
      <w:bookmarkStart w:id="5013" w:name="_Toc526249155"/>
      <w:bookmarkStart w:id="5014" w:name="_Toc526415948"/>
      <w:bookmarkStart w:id="5015" w:name="_Toc526418166"/>
      <w:bookmarkStart w:id="5016" w:name="_Toc19389541"/>
      <w:bookmarkStart w:id="5017" w:name="_Toc19393038"/>
      <w:r>
        <w:rPr>
          <w:rFonts w:hint="cs"/>
          <w:rtl/>
        </w:rPr>
        <w:t>ביאור רש"י דעי"ז אין הספק מוציא מודאי שחוטה</w:t>
      </w:r>
      <w:bookmarkEnd w:id="5007"/>
      <w:bookmarkEnd w:id="5008"/>
      <w:bookmarkEnd w:id="5009"/>
      <w:bookmarkEnd w:id="5010"/>
      <w:bookmarkEnd w:id="5011"/>
      <w:bookmarkEnd w:id="5012"/>
      <w:bookmarkEnd w:id="5013"/>
      <w:bookmarkEnd w:id="5014"/>
      <w:bookmarkEnd w:id="5015"/>
      <w:bookmarkEnd w:id="5016"/>
      <w:bookmarkEnd w:id="5017"/>
    </w:p>
    <w:p w14:paraId="3554C37C" w14:textId="77777777" w:rsidR="00413DD0" w:rsidRPr="00733475" w:rsidRDefault="00413DD0" w:rsidP="006D6D32">
      <w:pPr>
        <w:pStyle w:val="a3"/>
        <w:rPr>
          <w:rtl/>
        </w:rPr>
      </w:pPr>
      <w:bookmarkStart w:id="5018" w:name="_Toc525594322"/>
      <w:bookmarkStart w:id="5019" w:name="_Toc526249156"/>
      <w:bookmarkStart w:id="5020" w:name="_Toc526415949"/>
      <w:bookmarkStart w:id="5021" w:name="_Toc526418167"/>
      <w:bookmarkStart w:id="5022" w:name="_Toc19389542"/>
      <w:bookmarkStart w:id="5023" w:name="_Toc19393039"/>
      <w:r>
        <w:rPr>
          <w:rFonts w:hint="cs"/>
          <w:rtl/>
        </w:rPr>
        <w:t>ביאור רש"י דכיון שאין הריעותא בגופה אין כח בספק להוציא מהודאי</w:t>
      </w:r>
      <w:bookmarkEnd w:id="5018"/>
      <w:bookmarkEnd w:id="5019"/>
      <w:bookmarkEnd w:id="5020"/>
      <w:bookmarkEnd w:id="5021"/>
      <w:bookmarkEnd w:id="5022"/>
      <w:bookmarkEnd w:id="5023"/>
    </w:p>
    <w:p w14:paraId="0FDC4B49" w14:textId="77777777" w:rsidR="00413DD0" w:rsidRDefault="00413DD0" w:rsidP="00223668">
      <w:pPr>
        <w:pStyle w:val="a0"/>
        <w:rPr>
          <w:rStyle w:val="afb"/>
          <w:rtl/>
        </w:rPr>
      </w:pPr>
      <w:r>
        <w:rPr>
          <w:rFonts w:hint="cs"/>
          <w:rtl/>
        </w:rPr>
        <w:t xml:space="preserve">בתירוץ הגמ' דבהמה לא איתרעי, ביאר </w:t>
      </w:r>
      <w:r w:rsidRPr="00BB7D3A">
        <w:rPr>
          <w:rStyle w:val="af9"/>
          <w:rFonts w:hint="cs"/>
          <w:rtl/>
        </w:rPr>
        <w:t>רש"י</w:t>
      </w:r>
      <w:r>
        <w:rPr>
          <w:rFonts w:hint="cs"/>
          <w:rtl/>
        </w:rPr>
        <w:t xml:space="preserve"> </w:t>
      </w:r>
      <w:r w:rsidRPr="00BB7D3A">
        <w:rPr>
          <w:rStyle w:val="af7"/>
          <w:rFonts w:eastAsia="Guttman Hodes" w:hint="cs"/>
          <w:rtl/>
        </w:rPr>
        <w:t>(ד"ה בהמה)</w:t>
      </w:r>
      <w:r>
        <w:rPr>
          <w:rFonts w:hint="cs"/>
          <w:rtl/>
        </w:rPr>
        <w:t xml:space="preserve"> דכיון שהריעותא אינה בגוף הבהמה, לכן אין בכח הספק של הריעותא בסכין להוציא מהודאי שנשחטה שחיטה ודאית, כיון שהעצם ודאי פוגם, משא"כ בטבילה שיש ריעותא בעצם הטבילה.</w:t>
      </w:r>
    </w:p>
    <w:p w14:paraId="1140DDD4" w14:textId="77777777" w:rsidR="00413DD0" w:rsidRDefault="00413DD0" w:rsidP="006D6D32">
      <w:pPr>
        <w:pStyle w:val="a3"/>
        <w:rPr>
          <w:rtl/>
        </w:rPr>
      </w:pPr>
      <w:bookmarkStart w:id="5024" w:name="_Toc525594323"/>
      <w:bookmarkStart w:id="5025" w:name="_Toc526249157"/>
      <w:bookmarkStart w:id="5026" w:name="_Toc526415950"/>
      <w:bookmarkStart w:id="5027" w:name="_Toc526418168"/>
      <w:bookmarkStart w:id="5028" w:name="_Toc19389543"/>
      <w:bookmarkStart w:id="5029" w:name="_Toc19393040"/>
      <w:r>
        <w:rPr>
          <w:rFonts w:hint="cs"/>
          <w:rtl/>
        </w:rPr>
        <w:t>דברי המהרש"א דלדעת רש"י למסקנת הגמ' סברת רב חסדא היא מחמת דשחוטה לפניך</w:t>
      </w:r>
      <w:bookmarkEnd w:id="5024"/>
      <w:bookmarkEnd w:id="5025"/>
      <w:bookmarkEnd w:id="5026"/>
      <w:bookmarkEnd w:id="5027"/>
      <w:bookmarkEnd w:id="5028"/>
      <w:bookmarkEnd w:id="5029"/>
    </w:p>
    <w:p w14:paraId="008ACB3C" w14:textId="77777777" w:rsidR="00413DD0" w:rsidRDefault="00413DD0" w:rsidP="00223668">
      <w:pPr>
        <w:pStyle w:val="a0"/>
        <w:rPr>
          <w:rtl/>
        </w:rPr>
      </w:pPr>
      <w:bookmarkStart w:id="5030" w:name="_Ref523307318"/>
      <w:r>
        <w:rPr>
          <w:rStyle w:val="af9"/>
          <w:rFonts w:hint="cs"/>
          <w:rtl/>
        </w:rPr>
        <w:t>ו</w:t>
      </w:r>
      <w:r w:rsidRPr="005F680B">
        <w:rPr>
          <w:rStyle w:val="af9"/>
          <w:rFonts w:hint="cs"/>
          <w:rtl/>
        </w:rPr>
        <w:t>המהרש"א</w:t>
      </w:r>
      <w:r>
        <w:rPr>
          <w:rFonts w:hint="cs"/>
          <w:rtl/>
        </w:rPr>
        <w:t xml:space="preserve"> </w:t>
      </w:r>
      <w:r w:rsidRPr="005F680B">
        <w:rPr>
          <w:rStyle w:val="af7"/>
          <w:rFonts w:eastAsia="Guttman Hodes" w:hint="cs"/>
          <w:rtl/>
        </w:rPr>
        <w:t>(ד"ה מ"ט)</w:t>
      </w:r>
      <w:r>
        <w:rPr>
          <w:rFonts w:hint="cs"/>
          <w:rtl/>
        </w:rPr>
        <w:t xml:space="preserve"> הביא את דברי </w:t>
      </w:r>
      <w:r w:rsidRPr="005F680B">
        <w:rPr>
          <w:rStyle w:val="af9"/>
          <w:rFonts w:hint="cs"/>
          <w:rtl/>
        </w:rPr>
        <w:t>רש"י</w:t>
      </w:r>
      <w:r>
        <w:rPr>
          <w:rStyle w:val="af9"/>
          <w:rFonts w:hint="cs"/>
          <w:rtl/>
        </w:rPr>
        <w:t xml:space="preserve"> </w:t>
      </w:r>
      <w:r w:rsidRPr="005B1932">
        <w:rPr>
          <w:rFonts w:hint="cs"/>
          <w:rtl/>
        </w:rPr>
        <w:t xml:space="preserve">לקמן </w:t>
      </w:r>
      <w:r w:rsidRPr="005F680B">
        <w:rPr>
          <w:rStyle w:val="af7"/>
          <w:rFonts w:eastAsia="Guttman Hodes" w:hint="cs"/>
          <w:rtl/>
        </w:rPr>
        <w:t>(י: ד"ה מכדי)</w:t>
      </w:r>
      <w:r>
        <w:rPr>
          <w:rFonts w:hint="cs"/>
          <w:rtl/>
        </w:rPr>
        <w:t xml:space="preserve"> דכתב דאין סברא לתלות יותר במפרקת מאשר בעור, וכן אין סברא לתלות בבהמות האחרונות יותר מהראשונות, אלא דתלינן לקולא בכל האופנים, וכתב </w:t>
      </w:r>
      <w:r w:rsidRPr="005F680B">
        <w:rPr>
          <w:rStyle w:val="af9"/>
          <w:rFonts w:hint="cs"/>
          <w:rtl/>
        </w:rPr>
        <w:t>המהרש"א</w:t>
      </w:r>
      <w:r>
        <w:rPr>
          <w:rFonts w:hint="cs"/>
          <w:rtl/>
        </w:rPr>
        <w:t xml:space="preserve"> דמבואר דלדעת </w:t>
      </w:r>
      <w:r w:rsidRPr="005F680B">
        <w:rPr>
          <w:rStyle w:val="af9"/>
          <w:rFonts w:hint="cs"/>
          <w:rtl/>
        </w:rPr>
        <w:t>רש"י</w:t>
      </w:r>
      <w:r>
        <w:rPr>
          <w:rFonts w:hint="cs"/>
          <w:rtl/>
        </w:rPr>
        <w:t xml:space="preserve"> למסקנת הגמ' סברת רב חסדא אינה מחמת דעצם ודאי פוגם ועור ספק פוגם, כדאמרינן באופן ששיבר בה עצמות, אלא סברת רב חסדא היא דכיון ששחוטה לפניך, והריעותא בסכין ולא בבהמה לכן  תלינן לקולא, וכתב </w:t>
      </w:r>
      <w:r w:rsidRPr="00163A63">
        <w:rPr>
          <w:rStyle w:val="af9"/>
          <w:rFonts w:hint="cs"/>
          <w:rtl/>
        </w:rPr>
        <w:t xml:space="preserve">המהרש"א </w:t>
      </w:r>
      <w:r>
        <w:rPr>
          <w:rFonts w:hint="cs"/>
          <w:rtl/>
        </w:rPr>
        <w:t xml:space="preserve">דכן מבואר </w:t>
      </w:r>
      <w:r w:rsidRPr="00163A63">
        <w:rPr>
          <w:rStyle w:val="af9"/>
          <w:rFonts w:hint="cs"/>
          <w:rtl/>
        </w:rPr>
        <w:t xml:space="preserve">בתירוץ הג' בתוס' </w:t>
      </w:r>
      <w:r w:rsidRPr="00163A63">
        <w:rPr>
          <w:rStyle w:val="af7"/>
          <w:rFonts w:eastAsia="Guttman Hodes" w:hint="cs"/>
          <w:rtl/>
        </w:rPr>
        <w:t xml:space="preserve">(עי' </w:t>
      </w:r>
      <w:r w:rsidRPr="006E3D1F">
        <w:rPr>
          <w:rStyle w:val="af7"/>
          <w:rFonts w:eastAsia="Guttman Hodes" w:hint="cs"/>
          <w:rtl/>
        </w:rPr>
        <w:t xml:space="preserve">אות </w:t>
      </w:r>
      <w:r w:rsidRPr="006E3D1F">
        <w:rPr>
          <w:rStyle w:val="af7"/>
          <w:rFonts w:eastAsia="Guttman Hodes"/>
          <w:rtl/>
        </w:rPr>
        <w:fldChar w:fldCharType="begin"/>
      </w:r>
      <w:r w:rsidRPr="006E3D1F">
        <w:rPr>
          <w:rStyle w:val="af7"/>
          <w:rFonts w:eastAsia="Guttman Hodes"/>
          <w:rtl/>
        </w:rPr>
        <w:instrText xml:space="preserve"> </w:instrText>
      </w:r>
      <w:r w:rsidRPr="006E3D1F">
        <w:rPr>
          <w:rStyle w:val="af7"/>
          <w:rFonts w:eastAsia="Guttman Hodes" w:hint="cs"/>
        </w:rPr>
        <w:instrText>REF</w:instrText>
      </w:r>
      <w:r w:rsidRPr="006E3D1F">
        <w:rPr>
          <w:rStyle w:val="af7"/>
          <w:rFonts w:eastAsia="Guttman Hodes" w:hint="cs"/>
          <w:rtl/>
        </w:rPr>
        <w:instrText xml:space="preserve"> _</w:instrText>
      </w:r>
      <w:r w:rsidRPr="006E3D1F">
        <w:rPr>
          <w:rStyle w:val="af7"/>
          <w:rFonts w:eastAsia="Guttman Hodes" w:hint="cs"/>
        </w:rPr>
        <w:instrText>Ref523343917 \r \h</w:instrText>
      </w:r>
      <w:r w:rsidRPr="006E3D1F">
        <w:rPr>
          <w:rStyle w:val="af7"/>
          <w:rFonts w:eastAsia="Guttman Hodes"/>
          <w:rtl/>
        </w:rPr>
        <w:instrText xml:space="preserve"> </w:instrText>
      </w:r>
      <w:r w:rsidRPr="006E3D1F">
        <w:rPr>
          <w:rStyle w:val="af7"/>
          <w:rFonts w:eastAsia="Guttman Hodes"/>
          <w:rtl/>
        </w:rPr>
      </w:r>
      <w:r w:rsidRPr="006E3D1F">
        <w:rPr>
          <w:rStyle w:val="af7"/>
          <w:rFonts w:eastAsia="Guttman Hodes"/>
          <w:rtl/>
        </w:rPr>
        <w:fldChar w:fldCharType="separate"/>
      </w:r>
      <w:r w:rsidR="00345400">
        <w:rPr>
          <w:rStyle w:val="af7"/>
          <w:rFonts w:eastAsia="Guttman Hodes"/>
          <w:cs/>
        </w:rPr>
        <w:t>‎</w:t>
      </w:r>
      <w:r w:rsidR="00345400">
        <w:rPr>
          <w:rStyle w:val="af7"/>
          <w:rFonts w:eastAsia="Guttman Hodes"/>
          <w:rtl/>
        </w:rPr>
        <w:t>מ)</w:t>
      </w:r>
      <w:r w:rsidRPr="006E3D1F">
        <w:rPr>
          <w:rStyle w:val="af7"/>
          <w:rFonts w:eastAsia="Guttman Hodes"/>
          <w:rtl/>
        </w:rPr>
        <w:fldChar w:fldCharType="end"/>
      </w:r>
      <w:r>
        <w:rPr>
          <w:rFonts w:hint="cs"/>
          <w:rtl/>
        </w:rPr>
        <w:t xml:space="preserve">, ודלא כמבואר </w:t>
      </w:r>
      <w:r w:rsidRPr="00163A63">
        <w:rPr>
          <w:rStyle w:val="af9"/>
          <w:rFonts w:hint="cs"/>
          <w:rtl/>
        </w:rPr>
        <w:t>מהתירוץ הב' בתוס'</w:t>
      </w:r>
      <w:r>
        <w:rPr>
          <w:rFonts w:hint="cs"/>
          <w:rtl/>
        </w:rPr>
        <w:t xml:space="preserve"> </w:t>
      </w:r>
      <w:r w:rsidRPr="00163A63">
        <w:rPr>
          <w:rStyle w:val="af7"/>
          <w:rFonts w:eastAsia="Guttman Hodes" w:hint="cs"/>
          <w:rtl/>
        </w:rPr>
        <w:t xml:space="preserve">(עי' אות </w:t>
      </w:r>
      <w:r w:rsidRPr="00163A63">
        <w:rPr>
          <w:rStyle w:val="af7"/>
          <w:rFonts w:eastAsia="Guttman Hodes"/>
          <w:rtl/>
        </w:rPr>
        <w:fldChar w:fldCharType="begin"/>
      </w:r>
      <w:r w:rsidRPr="00163A63">
        <w:rPr>
          <w:rStyle w:val="af7"/>
          <w:rFonts w:eastAsia="Guttman Hodes"/>
          <w:rtl/>
        </w:rPr>
        <w:instrText xml:space="preserve"> </w:instrText>
      </w:r>
      <w:r w:rsidRPr="00163A63">
        <w:rPr>
          <w:rStyle w:val="af7"/>
          <w:rFonts w:eastAsia="Guttman Hodes" w:hint="cs"/>
        </w:rPr>
        <w:instrText>REF</w:instrText>
      </w:r>
      <w:r w:rsidRPr="00163A63">
        <w:rPr>
          <w:rStyle w:val="af7"/>
          <w:rFonts w:eastAsia="Guttman Hodes" w:hint="cs"/>
          <w:rtl/>
        </w:rPr>
        <w:instrText xml:space="preserve"> _</w:instrText>
      </w:r>
      <w:r w:rsidRPr="00163A63">
        <w:rPr>
          <w:rStyle w:val="af7"/>
          <w:rFonts w:eastAsia="Guttman Hodes" w:hint="cs"/>
        </w:rPr>
        <w:instrText>Ref523310330 \r \h</w:instrText>
      </w:r>
      <w:r w:rsidRPr="00163A63">
        <w:rPr>
          <w:rStyle w:val="af7"/>
          <w:rFonts w:eastAsia="Guttman Hodes"/>
          <w:rtl/>
        </w:rPr>
        <w:instrText xml:space="preserve"> </w:instrText>
      </w:r>
      <w:r w:rsidRPr="00163A63">
        <w:rPr>
          <w:rStyle w:val="af7"/>
          <w:rFonts w:eastAsia="Guttman Hodes"/>
          <w:rtl/>
        </w:rPr>
      </w:r>
      <w:r w:rsidRPr="00163A63">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163A63">
        <w:rPr>
          <w:rStyle w:val="af7"/>
          <w:rFonts w:eastAsia="Guttman Hodes"/>
          <w:rtl/>
        </w:rPr>
        <w:fldChar w:fldCharType="end"/>
      </w:r>
      <w:r>
        <w:rPr>
          <w:rFonts w:hint="cs"/>
          <w:rtl/>
        </w:rPr>
        <w:t>.</w:t>
      </w:r>
      <w:bookmarkEnd w:id="5030"/>
    </w:p>
    <w:p w14:paraId="67A37FA1" w14:textId="77777777" w:rsidR="00413DD0" w:rsidRDefault="00413DD0" w:rsidP="00BF39B2">
      <w:pPr>
        <w:pStyle w:val="1"/>
        <w:rPr>
          <w:rtl/>
        </w:rPr>
      </w:pPr>
      <w:bookmarkStart w:id="5031" w:name="_Toc526249158"/>
      <w:bookmarkStart w:id="5032" w:name="_Toc526415951"/>
      <w:bookmarkStart w:id="5033" w:name="_Toc526418169"/>
      <w:bookmarkStart w:id="5034" w:name="_Toc19389544"/>
      <w:bookmarkStart w:id="5035" w:name="_Toc19393041"/>
      <w:bookmarkStart w:id="5036" w:name="_Toc523397222"/>
      <w:bookmarkStart w:id="5037" w:name="_Toc523490344"/>
      <w:bookmarkStart w:id="5038" w:name="_Toc523697967"/>
      <w:bookmarkStart w:id="5039" w:name="_Toc523760832"/>
      <w:bookmarkStart w:id="5040" w:name="_Toc524638697"/>
      <w:bookmarkStart w:id="5041" w:name="_Toc525594324"/>
      <w:r>
        <w:rPr>
          <w:rFonts w:hint="cs"/>
          <w:rtl/>
        </w:rPr>
        <w:t>ביאור הר"ן דלמסקנא נדחה הטעם דאין ספק מוציא מידי ודאי</w:t>
      </w:r>
      <w:bookmarkEnd w:id="5031"/>
      <w:bookmarkEnd w:id="5032"/>
      <w:bookmarkEnd w:id="5033"/>
      <w:bookmarkEnd w:id="5034"/>
      <w:bookmarkEnd w:id="5035"/>
    </w:p>
    <w:p w14:paraId="06644498" w14:textId="77777777" w:rsidR="00413DD0" w:rsidRPr="006F2620" w:rsidRDefault="00413DD0" w:rsidP="006D6D32">
      <w:pPr>
        <w:pStyle w:val="a3"/>
        <w:rPr>
          <w:rtl/>
        </w:rPr>
      </w:pPr>
      <w:bookmarkStart w:id="5042" w:name="_Toc526249159"/>
      <w:bookmarkStart w:id="5043" w:name="_Toc526415952"/>
      <w:bookmarkStart w:id="5044" w:name="_Toc526418170"/>
      <w:bookmarkStart w:id="5045" w:name="_Toc19389545"/>
      <w:bookmarkStart w:id="5046" w:name="_Toc19393042"/>
      <w:r>
        <w:rPr>
          <w:rFonts w:hint="cs"/>
          <w:rtl/>
        </w:rPr>
        <w:t>דברי הר"ן דלהו"א בשיבר עצמות אין ריעותא ודחתה הגמ' מנמצא דבר החוצץ דהוי ריעותא</w:t>
      </w:r>
      <w:bookmarkEnd w:id="5042"/>
      <w:bookmarkEnd w:id="5043"/>
      <w:bookmarkEnd w:id="5044"/>
      <w:bookmarkEnd w:id="5045"/>
      <w:bookmarkEnd w:id="5046"/>
    </w:p>
    <w:p w14:paraId="4FA838E2" w14:textId="77777777" w:rsidR="00413DD0" w:rsidRDefault="00413DD0" w:rsidP="00223668">
      <w:pPr>
        <w:pStyle w:val="a0"/>
        <w:rPr>
          <w:rtl/>
        </w:rPr>
      </w:pPr>
      <w:bookmarkStart w:id="5047" w:name="_Ref525906128"/>
      <w:r>
        <w:rPr>
          <w:rFonts w:hint="cs"/>
          <w:rtl/>
        </w:rPr>
        <w:t xml:space="preserve">כתב </w:t>
      </w:r>
      <w:r w:rsidRPr="00294F74">
        <w:rPr>
          <w:rStyle w:val="af9"/>
          <w:rFonts w:hint="cs"/>
          <w:rtl/>
        </w:rPr>
        <w:t>הר"ן</w:t>
      </w:r>
      <w:r>
        <w:rPr>
          <w:rStyle w:val="af9"/>
          <w:rFonts w:hint="cs"/>
          <w:rtl/>
        </w:rPr>
        <w:t xml:space="preserve"> בחי'</w:t>
      </w:r>
      <w:r>
        <w:rPr>
          <w:rFonts w:hint="cs"/>
          <w:rtl/>
        </w:rPr>
        <w:t xml:space="preserve"> </w:t>
      </w:r>
      <w:r w:rsidRPr="00294F74">
        <w:rPr>
          <w:rStyle w:val="af7"/>
          <w:rFonts w:eastAsia="Guttman Hodes" w:hint="cs"/>
          <w:rtl/>
        </w:rPr>
        <w:t xml:space="preserve">(ד"ה עצם) </w:t>
      </w:r>
      <w:r>
        <w:rPr>
          <w:rFonts w:hint="cs"/>
          <w:rtl/>
        </w:rPr>
        <w:t>דההו"א בגמ' בתירוץ דאין ספק מוציא מידי ודאי, דס"ל לרב חסדא דכיון ששיבר בה עצמות, אף שנמצא פגום אי"ז ריעותא כלל דעצם ודאי פוגם, אך דחתה הגמ' מדינא דנמצא עליו דבר החוצץ, דכיון שנתעסק באותו המין כל היום, דמי לשיבר בה עצמות, ואפ"ה לא עלתה לו טבילה, ומבואר דפגימת הסכין היא ריעותא אף שעצם ודאי פוגם.</w:t>
      </w:r>
      <w:bookmarkEnd w:id="5047"/>
    </w:p>
    <w:p w14:paraId="039B22C0" w14:textId="77777777" w:rsidR="00413DD0" w:rsidRPr="006F2620" w:rsidRDefault="00413DD0" w:rsidP="006D6D32">
      <w:pPr>
        <w:pStyle w:val="a3"/>
      </w:pPr>
      <w:bookmarkStart w:id="5048" w:name="_Toc526249160"/>
      <w:bookmarkStart w:id="5049" w:name="_Toc526415953"/>
      <w:bookmarkStart w:id="5050" w:name="_Toc526418171"/>
      <w:bookmarkStart w:id="5051" w:name="_Toc19389546"/>
      <w:bookmarkStart w:id="5052" w:name="_Toc19393043"/>
      <w:r>
        <w:rPr>
          <w:rFonts w:hint="cs"/>
          <w:rtl/>
        </w:rPr>
        <w:t>דברי הר"ן דלמסקנא אף שיש ריעותא בסכין אי"ז ריעותא בבהמה</w:t>
      </w:r>
      <w:bookmarkEnd w:id="5048"/>
      <w:bookmarkEnd w:id="5049"/>
      <w:bookmarkEnd w:id="5050"/>
      <w:bookmarkEnd w:id="5051"/>
      <w:bookmarkEnd w:id="5052"/>
    </w:p>
    <w:p w14:paraId="7190E1C2" w14:textId="77777777" w:rsidR="00413DD0" w:rsidRPr="006E5111" w:rsidRDefault="00413DD0" w:rsidP="00223668">
      <w:pPr>
        <w:pStyle w:val="a0"/>
        <w:rPr>
          <w:rtl/>
        </w:rPr>
      </w:pPr>
      <w:r>
        <w:rPr>
          <w:rFonts w:hint="cs"/>
          <w:rtl/>
        </w:rPr>
        <w:t xml:space="preserve">וכתב </w:t>
      </w:r>
      <w:r w:rsidRPr="00294F74">
        <w:rPr>
          <w:rStyle w:val="af9"/>
          <w:rFonts w:hint="cs"/>
          <w:rtl/>
        </w:rPr>
        <w:t>הר"ן</w:t>
      </w:r>
      <w:r>
        <w:rPr>
          <w:rStyle w:val="af9"/>
          <w:rFonts w:hint="cs"/>
          <w:rtl/>
        </w:rPr>
        <w:t xml:space="preserve"> בחי'</w:t>
      </w:r>
      <w:r>
        <w:rPr>
          <w:rFonts w:hint="cs"/>
          <w:rtl/>
        </w:rPr>
        <w:t xml:space="preserve"> דלכן תירצה הגמ' דאף שפגימת הסכין היא ריעותא, מ"מ ס"ל לרב חסדא דכיון שהריעותא היא בסכין ולא בבהמה, השחיטה כשרה, וכתב </w:t>
      </w:r>
      <w:r w:rsidRPr="00A23555">
        <w:rPr>
          <w:rStyle w:val="af9"/>
          <w:rFonts w:hint="cs"/>
          <w:rtl/>
        </w:rPr>
        <w:t>הר"ן</w:t>
      </w:r>
      <w:r>
        <w:rPr>
          <w:rStyle w:val="af9"/>
          <w:rFonts w:hint="cs"/>
          <w:rtl/>
        </w:rPr>
        <w:t xml:space="preserve"> בחי'</w:t>
      </w:r>
      <w:r>
        <w:rPr>
          <w:rFonts w:hint="cs"/>
          <w:rtl/>
        </w:rPr>
        <w:t xml:space="preserve"> דזהו עיקר הטעם של רב חסדא, ולכן הגמ' בתירוץ לא הזכירה כלל דעצם ודאי פוגם, דסברא זו לא נשארה למסקנא, וכתב </w:t>
      </w:r>
      <w:r w:rsidRPr="00A23555">
        <w:rPr>
          <w:rStyle w:val="af9"/>
          <w:rFonts w:hint="cs"/>
          <w:rtl/>
        </w:rPr>
        <w:t>הר"ן</w:t>
      </w:r>
      <w:r>
        <w:rPr>
          <w:rStyle w:val="af9"/>
          <w:rFonts w:hint="cs"/>
          <w:rtl/>
        </w:rPr>
        <w:t xml:space="preserve"> בחי'</w:t>
      </w:r>
      <w:r>
        <w:rPr>
          <w:rFonts w:hint="cs"/>
          <w:rtl/>
        </w:rPr>
        <w:t xml:space="preserve"> דמה שהגמ' לא אמרה בתירוץ לשון "</w:t>
      </w:r>
      <w:r w:rsidRPr="006E5111">
        <w:rPr>
          <w:rFonts w:hint="cs"/>
          <w:rtl/>
        </w:rPr>
        <w:t xml:space="preserve">אלא", הוא כיון דהגמ' במסקנא עדיין מסתפקת אי רב חסדא מתיר בצירוף הסברא דעצם ודאי פוגם, [וכדכתב </w:t>
      </w:r>
      <w:r w:rsidRPr="006E5111">
        <w:rPr>
          <w:rStyle w:val="af9"/>
          <w:rFonts w:hint="cs"/>
          <w:rtl/>
        </w:rPr>
        <w:t>הר"ן בחי'</w:t>
      </w:r>
      <w:r w:rsidRPr="006E5111">
        <w:rPr>
          <w:rFonts w:hint="cs"/>
          <w:rtl/>
        </w:rPr>
        <w:t xml:space="preserve"> </w:t>
      </w:r>
      <w:r w:rsidRPr="006E5111">
        <w:rPr>
          <w:rStyle w:val="af7"/>
          <w:rFonts w:eastAsia="Guttman Hodes" w:hint="cs"/>
          <w:rtl/>
        </w:rPr>
        <w:t xml:space="preserve">(הובאו דבריו בסימן ו' אות לח) </w:t>
      </w:r>
      <w:r w:rsidRPr="006E5111">
        <w:rPr>
          <w:rFonts w:hint="cs"/>
          <w:rtl/>
        </w:rPr>
        <w:t xml:space="preserve">במסקנא עי' בדבריו]. </w:t>
      </w:r>
    </w:p>
    <w:p w14:paraId="5E31D0A7" w14:textId="77777777" w:rsidR="00413DD0" w:rsidRDefault="00413DD0" w:rsidP="00BF39B2">
      <w:pPr>
        <w:pStyle w:val="1"/>
        <w:rPr>
          <w:rtl/>
        </w:rPr>
      </w:pPr>
      <w:bookmarkStart w:id="5053" w:name="_Toc526249162"/>
      <w:bookmarkStart w:id="5054" w:name="_Toc526415954"/>
      <w:bookmarkStart w:id="5055" w:name="_Toc526418172"/>
      <w:bookmarkStart w:id="5056" w:name="_Toc19389547"/>
      <w:bookmarkStart w:id="5057" w:name="_Toc19393044"/>
      <w:r>
        <w:rPr>
          <w:rFonts w:hint="cs"/>
          <w:rtl/>
        </w:rPr>
        <w:t>ביאור הר"ן דכיון שאין ריעותא בבהמה נשאר הסכין בחזקתו</w:t>
      </w:r>
      <w:bookmarkEnd w:id="5053"/>
      <w:bookmarkEnd w:id="5054"/>
      <w:bookmarkEnd w:id="5055"/>
      <w:bookmarkEnd w:id="5056"/>
      <w:bookmarkEnd w:id="5057"/>
    </w:p>
    <w:p w14:paraId="381E7634" w14:textId="77777777" w:rsidR="00413DD0" w:rsidRDefault="00413DD0" w:rsidP="006D6D32">
      <w:pPr>
        <w:pStyle w:val="a3"/>
        <w:rPr>
          <w:rtl/>
        </w:rPr>
      </w:pPr>
      <w:bookmarkStart w:id="5058" w:name="_Toc526249163"/>
      <w:bookmarkStart w:id="5059" w:name="_Toc526415955"/>
      <w:bookmarkStart w:id="5060" w:name="_Toc526418173"/>
      <w:bookmarkStart w:id="5061" w:name="_Toc19389548"/>
      <w:bookmarkStart w:id="5062" w:name="_Toc19393045"/>
      <w:r>
        <w:rPr>
          <w:rFonts w:hint="cs"/>
          <w:rtl/>
        </w:rPr>
        <w:t>ביאור הר"ן דכיון שאין ריעותא בבהמה ממשיכים את חזקת הסכין שהוא בדוק</w:t>
      </w:r>
      <w:bookmarkEnd w:id="5058"/>
      <w:bookmarkEnd w:id="5059"/>
      <w:bookmarkEnd w:id="5060"/>
      <w:bookmarkEnd w:id="5061"/>
      <w:bookmarkEnd w:id="5062"/>
    </w:p>
    <w:p w14:paraId="03A97313" w14:textId="77777777" w:rsidR="00413DD0" w:rsidRDefault="00413DD0" w:rsidP="00223668">
      <w:pPr>
        <w:pStyle w:val="a0"/>
        <w:rPr>
          <w:rStyle w:val="afb"/>
          <w:rtl/>
        </w:rPr>
      </w:pPr>
      <w:bookmarkStart w:id="5063" w:name="_Ref526247266"/>
      <w:r>
        <w:rPr>
          <w:rFonts w:hint="cs"/>
          <w:rtl/>
        </w:rPr>
        <w:t xml:space="preserve">וביאר </w:t>
      </w:r>
      <w:r w:rsidRPr="008B71CE">
        <w:rPr>
          <w:rStyle w:val="af9"/>
          <w:rFonts w:hint="cs"/>
          <w:rtl/>
        </w:rPr>
        <w:t>הר</w:t>
      </w:r>
      <w:r w:rsidRPr="00CF526A">
        <w:rPr>
          <w:rStyle w:val="af9"/>
          <w:rFonts w:hint="cs"/>
          <w:rtl/>
        </w:rPr>
        <w:t>"ן</w:t>
      </w:r>
      <w:r>
        <w:rPr>
          <w:rStyle w:val="af9"/>
          <w:rFonts w:hint="cs"/>
          <w:rtl/>
        </w:rPr>
        <w:t xml:space="preserve"> על הרי"ף</w:t>
      </w:r>
      <w:r w:rsidRPr="008B71CE">
        <w:rPr>
          <w:rStyle w:val="af7"/>
          <w:rFonts w:eastAsia="Guttman Hodes" w:hint="cs"/>
          <w:rtl/>
        </w:rPr>
        <w:t xml:space="preserve"> (ב: מדפי הרי"ף ד"ה ורב חסדא)</w:t>
      </w:r>
      <w:r>
        <w:rPr>
          <w:rFonts w:hint="cs"/>
          <w:rtl/>
        </w:rPr>
        <w:t xml:space="preserve"> דס"ל לרב חסדא דכיון שהריעותא היא בסכין ולא בבהמה, והסכין היה בחזקת שהוא בדוק, לכן ממשיכים את חזקת הסכין, ותלינן לקולא דהסכין נפגם במפרקת. </w:t>
      </w:r>
      <w:r w:rsidRPr="0065300E">
        <w:rPr>
          <w:rStyle w:val="afb"/>
          <w:rFonts w:hint="cs"/>
          <w:rtl/>
        </w:rPr>
        <w:t>[והיינו ככל חזקה דמעיקרא</w:t>
      </w:r>
      <w:r>
        <w:rPr>
          <w:rStyle w:val="afb"/>
          <w:rFonts w:hint="cs"/>
          <w:rtl/>
        </w:rPr>
        <w:t xml:space="preserve"> שאין בה ריעותא,</w:t>
      </w:r>
      <w:r w:rsidRPr="0065300E">
        <w:rPr>
          <w:rStyle w:val="afb"/>
          <w:rFonts w:hint="cs"/>
          <w:rtl/>
        </w:rPr>
        <w:t xml:space="preserve"> ד</w:t>
      </w:r>
      <w:r>
        <w:rPr>
          <w:rStyle w:val="afb"/>
          <w:rFonts w:hint="cs"/>
          <w:rtl/>
        </w:rPr>
        <w:t>מחזק</w:t>
      </w:r>
      <w:r w:rsidRPr="0065300E">
        <w:rPr>
          <w:rStyle w:val="afb"/>
          <w:rFonts w:hint="cs"/>
          <w:rtl/>
        </w:rPr>
        <w:t xml:space="preserve">ינן </w:t>
      </w:r>
      <w:r>
        <w:rPr>
          <w:rStyle w:val="afb"/>
          <w:rFonts w:hint="cs"/>
          <w:rtl/>
        </w:rPr>
        <w:t>ש</w:t>
      </w:r>
      <w:r w:rsidRPr="0065300E">
        <w:rPr>
          <w:rStyle w:val="afb"/>
          <w:rFonts w:hint="cs"/>
          <w:rtl/>
        </w:rPr>
        <w:t>לא היה שינוי בחזקה בזמן הספק].</w:t>
      </w:r>
      <w:bookmarkEnd w:id="5063"/>
    </w:p>
    <w:p w14:paraId="16B04CA3" w14:textId="77777777" w:rsidR="00413DD0" w:rsidRDefault="00413DD0" w:rsidP="006D6D32">
      <w:pPr>
        <w:pStyle w:val="a3"/>
        <w:rPr>
          <w:rtl/>
        </w:rPr>
      </w:pPr>
      <w:bookmarkStart w:id="5064" w:name="_Toc526249164"/>
      <w:bookmarkStart w:id="5065" w:name="_Toc526415956"/>
      <w:bookmarkStart w:id="5066" w:name="_Toc526418174"/>
      <w:bookmarkStart w:id="5067" w:name="_Toc19389549"/>
      <w:bookmarkStart w:id="5068" w:name="_Toc19393046"/>
      <w:r>
        <w:rPr>
          <w:rFonts w:hint="cs"/>
          <w:rtl/>
        </w:rPr>
        <w:t>ביאור הר"ן דלדידן בלא שיבר יש ריעותא בבהמה ובשיבר אין ריעותא אף בסכין</w:t>
      </w:r>
      <w:bookmarkEnd w:id="5064"/>
      <w:bookmarkEnd w:id="5065"/>
      <w:bookmarkEnd w:id="5066"/>
      <w:bookmarkEnd w:id="5067"/>
      <w:bookmarkEnd w:id="5068"/>
    </w:p>
    <w:p w14:paraId="0478CD8E" w14:textId="77777777" w:rsidR="00413DD0" w:rsidRDefault="00413DD0" w:rsidP="00223668">
      <w:pPr>
        <w:pStyle w:val="a0"/>
        <w:rPr>
          <w:rtl/>
        </w:rPr>
      </w:pPr>
      <w:r>
        <w:rPr>
          <w:rFonts w:hint="cs"/>
          <w:rtl/>
        </w:rPr>
        <w:t>ולדידן דבלא שיבר בה עצמות</w:t>
      </w:r>
      <w:r w:rsidRPr="0065300E">
        <w:rPr>
          <w:rFonts w:hint="cs"/>
          <w:rtl/>
        </w:rPr>
        <w:t xml:space="preserve"> </w:t>
      </w:r>
      <w:r>
        <w:rPr>
          <w:rFonts w:hint="cs"/>
          <w:rtl/>
        </w:rPr>
        <w:t xml:space="preserve">קיי"ל כרב הונא, ביאר </w:t>
      </w:r>
      <w:r w:rsidRPr="003060A0">
        <w:rPr>
          <w:rStyle w:val="af9"/>
          <w:rFonts w:hint="cs"/>
          <w:rtl/>
        </w:rPr>
        <w:t>הר"ן על הרי"ף</w:t>
      </w:r>
      <w:r>
        <w:rPr>
          <w:rFonts w:hint="cs"/>
          <w:rtl/>
        </w:rPr>
        <w:t xml:space="preserve"> </w:t>
      </w:r>
      <w:r w:rsidRPr="003060A0">
        <w:rPr>
          <w:rStyle w:val="af7"/>
          <w:rFonts w:eastAsia="Guttman Hodes" w:hint="cs"/>
          <w:rtl/>
        </w:rPr>
        <w:t xml:space="preserve">(ג. ד"ה והלכתא כוותיה) </w:t>
      </w:r>
      <w:r>
        <w:rPr>
          <w:rFonts w:hint="cs"/>
          <w:rtl/>
        </w:rPr>
        <w:t xml:space="preserve">דכיון שיש ריעותא בסכין והבהמה היא בחזקת איסור, חשיב שהריעותא היא בבהמה עצמה. ובשיבר בה עצמות ביאר </w:t>
      </w:r>
      <w:r w:rsidRPr="003060A0">
        <w:rPr>
          <w:rStyle w:val="af9"/>
          <w:rFonts w:hint="cs"/>
          <w:rtl/>
        </w:rPr>
        <w:t xml:space="preserve">הר"ן </w:t>
      </w:r>
      <w:r>
        <w:rPr>
          <w:rFonts w:hint="cs"/>
          <w:rtl/>
        </w:rPr>
        <w:t>דקיי"ל כרב חסדא, כיון שאף שנמצא הסכין פגום, מ"מ אין ריעותא בחזקת הסכין כלל, דהא עצם ודאי פוגם.</w:t>
      </w:r>
    </w:p>
    <w:p w14:paraId="297266E0" w14:textId="77777777" w:rsidR="00413DD0" w:rsidRDefault="00413DD0" w:rsidP="00BF39B2">
      <w:pPr>
        <w:pStyle w:val="1"/>
        <w:rPr>
          <w:rtl/>
        </w:rPr>
      </w:pPr>
      <w:bookmarkStart w:id="5069" w:name="_Toc526415957"/>
      <w:bookmarkStart w:id="5070" w:name="_Toc526418175"/>
      <w:bookmarkStart w:id="5071" w:name="_Toc19389550"/>
      <w:bookmarkStart w:id="5072" w:name="_Toc19393047"/>
      <w:r>
        <w:rPr>
          <w:rFonts w:hint="cs"/>
          <w:rtl/>
        </w:rPr>
        <w:t>דברי הרשב"א ורבינו גרשום והתוס' בגדר החזק</w:t>
      </w:r>
      <w:bookmarkEnd w:id="5069"/>
      <w:bookmarkEnd w:id="5070"/>
      <w:r>
        <w:rPr>
          <w:rFonts w:hint="cs"/>
          <w:rtl/>
        </w:rPr>
        <w:t>ת היתר לר"ח</w:t>
      </w:r>
      <w:bookmarkEnd w:id="5071"/>
      <w:bookmarkEnd w:id="5072"/>
    </w:p>
    <w:p w14:paraId="24E1723F" w14:textId="77777777" w:rsidR="00413DD0" w:rsidRPr="00E72685" w:rsidRDefault="00413DD0" w:rsidP="006D6D32">
      <w:pPr>
        <w:pStyle w:val="a3"/>
      </w:pPr>
      <w:bookmarkStart w:id="5073" w:name="_Toc526415958"/>
      <w:bookmarkStart w:id="5074" w:name="_Toc526418176"/>
      <w:bookmarkStart w:id="5075" w:name="_Toc19389551"/>
      <w:bookmarkStart w:id="5076" w:name="_Toc19393048"/>
      <w:r>
        <w:rPr>
          <w:rFonts w:hint="cs"/>
          <w:rtl/>
        </w:rPr>
        <w:t>דברי הרשב"א דכיון דשחוטה לפניך מעמידים את הסכין בחזקתו שהוא בדוק</w:t>
      </w:r>
      <w:bookmarkEnd w:id="5073"/>
      <w:bookmarkEnd w:id="5074"/>
      <w:bookmarkEnd w:id="5075"/>
      <w:bookmarkEnd w:id="5076"/>
    </w:p>
    <w:p w14:paraId="77E8B0AD" w14:textId="77777777" w:rsidR="00413DD0" w:rsidRDefault="00413DD0" w:rsidP="00223668">
      <w:pPr>
        <w:pStyle w:val="a0"/>
      </w:pPr>
      <w:r w:rsidRPr="00E72685">
        <w:rPr>
          <w:rFonts w:hint="cs"/>
          <w:rtl/>
        </w:rPr>
        <w:t>הקשה</w:t>
      </w:r>
      <w:r>
        <w:rPr>
          <w:rStyle w:val="af9"/>
          <w:rFonts w:hint="cs"/>
          <w:rtl/>
        </w:rPr>
        <w:t xml:space="preserve"> ה</w:t>
      </w:r>
      <w:r w:rsidRPr="00E72685">
        <w:rPr>
          <w:rStyle w:val="af9"/>
          <w:rFonts w:hint="cs"/>
          <w:rtl/>
        </w:rPr>
        <w:t>רשב"א בתוה"ב</w:t>
      </w:r>
      <w:r w:rsidRPr="00E72685">
        <w:rPr>
          <w:rFonts w:hint="cs"/>
          <w:rtl/>
        </w:rPr>
        <w:t xml:space="preserve"> </w:t>
      </w:r>
      <w:r w:rsidRPr="00E72685">
        <w:rPr>
          <w:rStyle w:val="af7"/>
          <w:rFonts w:eastAsia="Guttman Hodes" w:hint="cs"/>
          <w:rtl/>
        </w:rPr>
        <w:t>(ב"א ש"ב דף טז: מדה"ס)</w:t>
      </w:r>
      <w:r w:rsidRPr="00E72685">
        <w:rPr>
          <w:rFonts w:hint="cs"/>
          <w:rtl/>
        </w:rPr>
        <w:t xml:space="preserve"> אמאי בשיבר בה עצמות קיי"ל כרב חסדא ולא כרב הונא, הרי הבהמה בחזקת איסור, וצריך להעמידה על חזקתה, ותירץ </w:t>
      </w:r>
      <w:r w:rsidRPr="00E72685">
        <w:rPr>
          <w:rStyle w:val="af9"/>
          <w:rFonts w:hint="cs"/>
          <w:rtl/>
        </w:rPr>
        <w:t>הרשב"א בתוה"ב</w:t>
      </w:r>
      <w:r w:rsidRPr="00E72685">
        <w:rPr>
          <w:rFonts w:hint="cs"/>
          <w:rtl/>
        </w:rPr>
        <w:t xml:space="preserve"> דכיון דלפני השחיטה בדק את הסכין, והבהמה שחוטה לפניך, לכן מעמידים את הסכין על חזקתו שהוא בדוק, ואמרינן דהעצמות פגמו את הסכין</w:t>
      </w:r>
      <w:r>
        <w:rPr>
          <w:rFonts w:hint="cs"/>
          <w:rtl/>
        </w:rPr>
        <w:t>.</w:t>
      </w:r>
    </w:p>
    <w:p w14:paraId="34CEDC3A" w14:textId="77777777" w:rsidR="00413DD0" w:rsidRDefault="00413DD0" w:rsidP="006D6D32">
      <w:pPr>
        <w:pStyle w:val="a3"/>
        <w:rPr>
          <w:rtl/>
        </w:rPr>
      </w:pPr>
      <w:bookmarkStart w:id="5077" w:name="_Toc19389552"/>
      <w:bookmarkStart w:id="5078" w:name="_Toc19393049"/>
      <w:bookmarkStart w:id="5079" w:name="_Toc526415959"/>
      <w:bookmarkStart w:id="5080" w:name="_Toc526418177"/>
      <w:r>
        <w:rPr>
          <w:rFonts w:hint="cs"/>
          <w:rtl/>
        </w:rPr>
        <w:t>ביאור רבינו גרשום דכיון דשחוטה כראוי מעמידים בחזקת היתר</w:t>
      </w:r>
      <w:bookmarkEnd w:id="5077"/>
      <w:bookmarkEnd w:id="5078"/>
    </w:p>
    <w:p w14:paraId="7EE36ED0" w14:textId="77777777" w:rsidR="00413DD0" w:rsidRPr="00045C89" w:rsidRDefault="00413DD0" w:rsidP="00223668">
      <w:pPr>
        <w:pStyle w:val="a0"/>
        <w:rPr>
          <w:rStyle w:val="afb"/>
        </w:rPr>
      </w:pPr>
      <w:r w:rsidRPr="00045C89">
        <w:rPr>
          <w:rStyle w:val="af9"/>
          <w:rFonts w:hint="cs"/>
          <w:rtl/>
        </w:rPr>
        <w:t>וברבינו גרשום</w:t>
      </w:r>
      <w:r>
        <w:rPr>
          <w:rFonts w:hint="cs"/>
          <w:rtl/>
        </w:rPr>
        <w:t xml:space="preserve"> </w:t>
      </w:r>
      <w:r w:rsidRPr="00045C89">
        <w:rPr>
          <w:rStyle w:val="af7"/>
          <w:rFonts w:eastAsia="Guttman Hodes" w:hint="cs"/>
          <w:rtl/>
        </w:rPr>
        <w:t xml:space="preserve">(ד"ה סכין) </w:t>
      </w:r>
      <w:r>
        <w:rPr>
          <w:rFonts w:hint="cs"/>
          <w:rtl/>
        </w:rPr>
        <w:t>ביאר דכיון שאין ריעותא בבהמה עצמה, והיא שחוטה שפיר, לכן מעמידים את הבהמה בחזקת היתר</w:t>
      </w:r>
      <w:r>
        <w:rPr>
          <w:rStyle w:val="af1"/>
          <w:rtl/>
        </w:rPr>
        <w:footnoteReference w:id="21"/>
      </w:r>
      <w:r>
        <w:rPr>
          <w:rFonts w:hint="cs"/>
          <w:rtl/>
        </w:rPr>
        <w:t>, אבל בנמצא עליו דבר החוצץ דהריעותא היא בטבילה עצמה, מעמידים את הטמא על חזקתו, ואמרינן דלא טבל.</w:t>
      </w:r>
    </w:p>
    <w:p w14:paraId="761F2848" w14:textId="77777777" w:rsidR="00413DD0" w:rsidRDefault="00413DD0" w:rsidP="006D6D32">
      <w:pPr>
        <w:pStyle w:val="a3"/>
      </w:pPr>
      <w:bookmarkStart w:id="5081" w:name="_Toc19389553"/>
      <w:bookmarkStart w:id="5082" w:name="_Toc19393050"/>
      <w:r>
        <w:rPr>
          <w:rFonts w:hint="cs"/>
          <w:rtl/>
        </w:rPr>
        <w:t>ביאור המהרש"א בתוס' דמעמידים את הבהמה בחזקת שחוטה כיון שהריעותא היא בסכין</w:t>
      </w:r>
      <w:bookmarkEnd w:id="5079"/>
      <w:bookmarkEnd w:id="5080"/>
      <w:bookmarkEnd w:id="5081"/>
      <w:bookmarkEnd w:id="5082"/>
      <w:r>
        <w:rPr>
          <w:rFonts w:hint="cs"/>
          <w:rtl/>
        </w:rPr>
        <w:t xml:space="preserve"> </w:t>
      </w:r>
    </w:p>
    <w:p w14:paraId="245942C7" w14:textId="77777777" w:rsidR="00413DD0" w:rsidRDefault="00413DD0" w:rsidP="00223668">
      <w:pPr>
        <w:pStyle w:val="a0"/>
        <w:rPr>
          <w:rtl/>
        </w:rPr>
      </w:pPr>
      <w:r>
        <w:rPr>
          <w:rFonts w:hint="cs"/>
          <w:rtl/>
        </w:rPr>
        <w:t xml:space="preserve">וע"ע בדברי </w:t>
      </w:r>
      <w:r w:rsidRPr="00D26FF1">
        <w:rPr>
          <w:rStyle w:val="af9"/>
          <w:rFonts w:hint="cs"/>
          <w:rtl/>
        </w:rPr>
        <w:t>המהרש"א</w:t>
      </w:r>
      <w:r>
        <w:rPr>
          <w:rFonts w:hint="cs"/>
          <w:rtl/>
        </w:rPr>
        <w:t xml:space="preserve"> </w:t>
      </w:r>
      <w:r w:rsidRPr="00154134">
        <w:rPr>
          <w:rStyle w:val="af7"/>
          <w:rFonts w:eastAsia="Guttman Hodes" w:hint="cs"/>
          <w:rtl/>
        </w:rPr>
        <w:t xml:space="preserve">(עי' אות </w:t>
      </w:r>
      <w:r w:rsidRPr="00154134">
        <w:rPr>
          <w:rStyle w:val="af7"/>
          <w:rFonts w:eastAsia="Guttman Hodes"/>
          <w:rtl/>
        </w:rPr>
        <w:fldChar w:fldCharType="begin"/>
      </w:r>
      <w:r w:rsidRPr="00154134">
        <w:rPr>
          <w:rStyle w:val="af7"/>
          <w:rFonts w:eastAsia="Guttman Hodes"/>
          <w:rtl/>
        </w:rPr>
        <w:instrText xml:space="preserve"> </w:instrText>
      </w:r>
      <w:r w:rsidRPr="00154134">
        <w:rPr>
          <w:rStyle w:val="af7"/>
          <w:rFonts w:eastAsia="Guttman Hodes" w:hint="cs"/>
        </w:rPr>
        <w:instrText>REF</w:instrText>
      </w:r>
      <w:r w:rsidRPr="00154134">
        <w:rPr>
          <w:rStyle w:val="af7"/>
          <w:rFonts w:eastAsia="Guttman Hodes" w:hint="cs"/>
          <w:rtl/>
        </w:rPr>
        <w:instrText xml:space="preserve"> _</w:instrText>
      </w:r>
      <w:r w:rsidRPr="00154134">
        <w:rPr>
          <w:rStyle w:val="af7"/>
          <w:rFonts w:eastAsia="Guttman Hodes" w:hint="cs"/>
        </w:rPr>
        <w:instrText>Ref526411095 \r \h</w:instrText>
      </w:r>
      <w:r w:rsidRPr="00154134">
        <w:rPr>
          <w:rStyle w:val="af7"/>
          <w:rFonts w:eastAsia="Guttman Hodes"/>
          <w:rtl/>
        </w:rPr>
        <w:instrText xml:space="preserve"> </w:instrText>
      </w:r>
      <w:r w:rsidRPr="00154134">
        <w:rPr>
          <w:rStyle w:val="af7"/>
          <w:rFonts w:eastAsia="Guttman Hodes"/>
          <w:rtl/>
        </w:rPr>
      </w:r>
      <w:r w:rsidRPr="00154134">
        <w:rPr>
          <w:rStyle w:val="af7"/>
          <w:rFonts w:eastAsia="Guttman Hodes"/>
          <w:rtl/>
        </w:rPr>
        <w:fldChar w:fldCharType="separate"/>
      </w:r>
      <w:r w:rsidR="00345400">
        <w:rPr>
          <w:rStyle w:val="af7"/>
          <w:rFonts w:eastAsia="Guttman Hodes"/>
          <w:cs/>
        </w:rPr>
        <w:t>‎</w:t>
      </w:r>
      <w:r w:rsidR="00345400">
        <w:rPr>
          <w:rStyle w:val="af7"/>
          <w:rFonts w:eastAsia="Guttman Hodes"/>
          <w:rtl/>
        </w:rPr>
        <w:t>סו)</w:t>
      </w:r>
      <w:r w:rsidRPr="00154134">
        <w:rPr>
          <w:rStyle w:val="af7"/>
          <w:rFonts w:eastAsia="Guttman Hodes"/>
          <w:rtl/>
        </w:rPr>
        <w:fldChar w:fldCharType="end"/>
      </w:r>
      <w:r>
        <w:rPr>
          <w:rFonts w:hint="cs"/>
          <w:rtl/>
        </w:rPr>
        <w:t xml:space="preserve"> דביאר בדברי </w:t>
      </w:r>
      <w:r w:rsidRPr="00544AA0">
        <w:rPr>
          <w:rStyle w:val="af9"/>
          <w:rFonts w:hint="cs"/>
          <w:rtl/>
        </w:rPr>
        <w:t>התוס' לקמן</w:t>
      </w:r>
      <w:r>
        <w:rPr>
          <w:rFonts w:hint="cs"/>
          <w:rtl/>
        </w:rPr>
        <w:t xml:space="preserve"> </w:t>
      </w:r>
      <w:r w:rsidRPr="00154134">
        <w:rPr>
          <w:rStyle w:val="af7"/>
          <w:rFonts w:eastAsia="Guttman Hodes" w:hint="cs"/>
          <w:rtl/>
        </w:rPr>
        <w:t xml:space="preserve">(עי' אות </w:t>
      </w:r>
      <w:r w:rsidRPr="00154134">
        <w:rPr>
          <w:rStyle w:val="af7"/>
          <w:rFonts w:eastAsia="Guttman Hodes"/>
          <w:rtl/>
        </w:rPr>
        <w:fldChar w:fldCharType="begin"/>
      </w:r>
      <w:r w:rsidRPr="00154134">
        <w:rPr>
          <w:rStyle w:val="af7"/>
          <w:rFonts w:eastAsia="Guttman Hodes"/>
          <w:rtl/>
        </w:rPr>
        <w:instrText xml:space="preserve"> </w:instrText>
      </w:r>
      <w:r w:rsidRPr="00154134">
        <w:rPr>
          <w:rStyle w:val="af7"/>
          <w:rFonts w:eastAsia="Guttman Hodes" w:hint="cs"/>
        </w:rPr>
        <w:instrText>REF</w:instrText>
      </w:r>
      <w:r w:rsidRPr="00154134">
        <w:rPr>
          <w:rStyle w:val="af7"/>
          <w:rFonts w:eastAsia="Guttman Hodes" w:hint="cs"/>
          <w:rtl/>
        </w:rPr>
        <w:instrText xml:space="preserve"> _</w:instrText>
      </w:r>
      <w:r w:rsidRPr="00154134">
        <w:rPr>
          <w:rStyle w:val="af7"/>
          <w:rFonts w:eastAsia="Guttman Hodes" w:hint="cs"/>
        </w:rPr>
        <w:instrText>Ref526245832 \r \h</w:instrText>
      </w:r>
      <w:r w:rsidRPr="00154134">
        <w:rPr>
          <w:rStyle w:val="af7"/>
          <w:rFonts w:eastAsia="Guttman Hodes"/>
          <w:rtl/>
        </w:rPr>
        <w:instrText xml:space="preserve"> </w:instrText>
      </w:r>
      <w:r w:rsidRPr="00154134">
        <w:rPr>
          <w:rStyle w:val="af7"/>
          <w:rFonts w:eastAsia="Guttman Hodes"/>
          <w:rtl/>
        </w:rPr>
      </w:r>
      <w:r w:rsidRPr="00154134">
        <w:rPr>
          <w:rStyle w:val="af7"/>
          <w:rFonts w:eastAsia="Guttman Hodes"/>
          <w:rtl/>
        </w:rPr>
        <w:fldChar w:fldCharType="separate"/>
      </w:r>
      <w:r w:rsidR="00345400">
        <w:rPr>
          <w:rStyle w:val="af7"/>
          <w:rFonts w:eastAsia="Guttman Hodes"/>
          <w:cs/>
        </w:rPr>
        <w:t>‎</w:t>
      </w:r>
      <w:r w:rsidR="00345400">
        <w:rPr>
          <w:rStyle w:val="af7"/>
          <w:rFonts w:eastAsia="Guttman Hodes"/>
          <w:rtl/>
        </w:rPr>
        <w:t>סה)</w:t>
      </w:r>
      <w:r w:rsidRPr="00154134">
        <w:rPr>
          <w:rStyle w:val="af7"/>
          <w:rFonts w:eastAsia="Guttman Hodes"/>
          <w:rtl/>
        </w:rPr>
        <w:fldChar w:fldCharType="end"/>
      </w:r>
      <w:r>
        <w:rPr>
          <w:rFonts w:hint="cs"/>
          <w:rtl/>
        </w:rPr>
        <w:t xml:space="preserve"> דלדעת רב חסדא אף שיש ריעותא בסכין מ"מ מעמידים את הבהמה בחזקת שחוטה, כיון דשחוטה לפניך והבהמה לא איתרעי.</w:t>
      </w:r>
    </w:p>
    <w:p w14:paraId="0F638012" w14:textId="77777777" w:rsidR="00413DD0" w:rsidRPr="00CD761D" w:rsidRDefault="00413DD0" w:rsidP="006D6D32">
      <w:pPr>
        <w:pStyle w:val="a3"/>
      </w:pPr>
      <w:bookmarkStart w:id="5083" w:name="_Toc526415960"/>
      <w:bookmarkStart w:id="5084" w:name="_Toc526418178"/>
      <w:bookmarkStart w:id="5085" w:name="_Toc19389554"/>
      <w:bookmarkStart w:id="5086" w:name="_Toc19393051"/>
      <w:r>
        <w:rPr>
          <w:rFonts w:hint="cs"/>
          <w:rtl/>
        </w:rPr>
        <w:t>דברי המהר"ם דרב חסדא לא התיר מחמת שמעמידים על החזקה</w:t>
      </w:r>
      <w:bookmarkEnd w:id="5083"/>
      <w:bookmarkEnd w:id="5084"/>
      <w:bookmarkEnd w:id="5085"/>
      <w:bookmarkEnd w:id="5086"/>
    </w:p>
    <w:p w14:paraId="7734F9B8" w14:textId="77777777" w:rsidR="00413DD0" w:rsidRDefault="00413DD0" w:rsidP="00223668">
      <w:pPr>
        <w:pStyle w:val="a0"/>
        <w:rPr>
          <w:rtl/>
        </w:rPr>
      </w:pPr>
      <w:r>
        <w:rPr>
          <w:rFonts w:hint="cs"/>
          <w:rtl/>
        </w:rPr>
        <w:t xml:space="preserve">אבל </w:t>
      </w:r>
      <w:r w:rsidRPr="00CD761D">
        <w:rPr>
          <w:rStyle w:val="af9"/>
          <w:rFonts w:hint="cs"/>
          <w:rtl/>
        </w:rPr>
        <w:t>המהר"ם</w:t>
      </w:r>
      <w:r>
        <w:rPr>
          <w:rFonts w:hint="cs"/>
          <w:rtl/>
        </w:rPr>
        <w:t xml:space="preserve"> </w:t>
      </w:r>
      <w:r w:rsidRPr="00CD761D">
        <w:rPr>
          <w:rStyle w:val="af7"/>
          <w:rFonts w:eastAsia="Guttman Hodes" w:hint="cs"/>
          <w:rtl/>
        </w:rPr>
        <w:t xml:space="preserve">(עי' אות </w:t>
      </w:r>
      <w:r w:rsidRPr="00CD761D">
        <w:rPr>
          <w:rStyle w:val="af7"/>
          <w:rFonts w:eastAsia="Guttman Hodes"/>
          <w:rtl/>
        </w:rPr>
        <w:fldChar w:fldCharType="begin"/>
      </w:r>
      <w:r w:rsidRPr="00CD761D">
        <w:rPr>
          <w:rStyle w:val="af7"/>
          <w:rFonts w:eastAsia="Guttman Hodes"/>
          <w:rtl/>
        </w:rPr>
        <w:instrText xml:space="preserve"> </w:instrText>
      </w:r>
      <w:r w:rsidRPr="00CD761D">
        <w:rPr>
          <w:rStyle w:val="af7"/>
          <w:rFonts w:eastAsia="Guttman Hodes" w:hint="cs"/>
        </w:rPr>
        <w:instrText>REF</w:instrText>
      </w:r>
      <w:r w:rsidRPr="00CD761D">
        <w:rPr>
          <w:rStyle w:val="af7"/>
          <w:rFonts w:eastAsia="Guttman Hodes" w:hint="cs"/>
          <w:rtl/>
        </w:rPr>
        <w:instrText xml:space="preserve"> _</w:instrText>
      </w:r>
      <w:r w:rsidRPr="00CD761D">
        <w:rPr>
          <w:rStyle w:val="af7"/>
          <w:rFonts w:eastAsia="Guttman Hodes" w:hint="cs"/>
        </w:rPr>
        <w:instrText>Ref526414530 \r \h</w:instrText>
      </w:r>
      <w:r w:rsidRPr="00CD761D">
        <w:rPr>
          <w:rStyle w:val="af7"/>
          <w:rFonts w:eastAsia="Guttman Hodes"/>
          <w:rtl/>
        </w:rPr>
        <w:instrText xml:space="preserve"> </w:instrText>
      </w:r>
      <w:r w:rsidRPr="00CD761D">
        <w:rPr>
          <w:rStyle w:val="af7"/>
          <w:rFonts w:eastAsia="Guttman Hodes"/>
          <w:rtl/>
        </w:rPr>
      </w:r>
      <w:r w:rsidRPr="00CD761D">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CD761D">
        <w:rPr>
          <w:rStyle w:val="af7"/>
          <w:rFonts w:eastAsia="Guttman Hodes"/>
          <w:rtl/>
        </w:rPr>
        <w:fldChar w:fldCharType="end"/>
      </w:r>
      <w:r>
        <w:rPr>
          <w:rFonts w:hint="cs"/>
          <w:rtl/>
        </w:rPr>
        <w:t xml:space="preserve"> דחה את ביאור </w:t>
      </w:r>
      <w:r w:rsidRPr="00CD7ECF">
        <w:rPr>
          <w:rStyle w:val="af9"/>
          <w:rFonts w:hint="cs"/>
          <w:rtl/>
        </w:rPr>
        <w:t>המהרש"א בתוס'</w:t>
      </w:r>
      <w:r>
        <w:rPr>
          <w:rFonts w:hint="cs"/>
          <w:rtl/>
        </w:rPr>
        <w:t xml:space="preserve"> דלא מצינו בדברי רב חסדא דהתיר מחמת שמעמידים בחזקת היתר, דהא רב חסדא התיר מחמת דאין ספק מוציא מידי ודאי, ומסברת סכין איתרעי בהמה לא איתרעי.</w:t>
      </w:r>
    </w:p>
    <w:p w14:paraId="465CF71D" w14:textId="77777777" w:rsidR="00413DD0" w:rsidRDefault="00413DD0" w:rsidP="006D6D32">
      <w:pPr>
        <w:pStyle w:val="afe"/>
        <w:rPr>
          <w:rtl/>
        </w:rPr>
      </w:pPr>
      <w:bookmarkStart w:id="5087" w:name="_Toc526249166"/>
      <w:bookmarkStart w:id="5088" w:name="_Toc526415961"/>
      <w:bookmarkStart w:id="5089" w:name="_Toc526418179"/>
      <w:bookmarkStart w:id="5090" w:name="_Toc19435376"/>
      <w:bookmarkStart w:id="5091" w:name="_Toc20080704"/>
      <w:r>
        <w:rPr>
          <w:rFonts w:hint="cs"/>
          <w:rtl/>
        </w:rPr>
        <w:t>בסברת בהמה לא איתרעי בסכין</w:t>
      </w:r>
      <w:r w:rsidRPr="006F2620">
        <w:rPr>
          <w:rFonts w:hint="cs"/>
          <w:rtl/>
        </w:rPr>
        <w:t xml:space="preserve"> </w:t>
      </w:r>
      <w:r>
        <w:rPr>
          <w:rFonts w:hint="cs"/>
          <w:rtl/>
        </w:rPr>
        <w:t>ובמקוה</w:t>
      </w:r>
      <w:bookmarkEnd w:id="5087"/>
      <w:bookmarkEnd w:id="5088"/>
      <w:bookmarkEnd w:id="5089"/>
      <w:bookmarkEnd w:id="5090"/>
      <w:bookmarkEnd w:id="5091"/>
    </w:p>
    <w:p w14:paraId="7780E355" w14:textId="77777777" w:rsidR="00413DD0" w:rsidRDefault="00413DD0" w:rsidP="00BF39B2">
      <w:pPr>
        <w:pStyle w:val="1"/>
        <w:rPr>
          <w:rtl/>
        </w:rPr>
      </w:pPr>
      <w:bookmarkStart w:id="5092" w:name="_Toc526249167"/>
      <w:bookmarkStart w:id="5093" w:name="_Toc526415962"/>
      <w:bookmarkStart w:id="5094" w:name="_Toc526418180"/>
      <w:bookmarkStart w:id="5095" w:name="_Toc19389555"/>
      <w:bookmarkStart w:id="5096" w:name="_Toc19393052"/>
      <w:r>
        <w:rPr>
          <w:rFonts w:hint="cs"/>
          <w:rtl/>
        </w:rPr>
        <w:t xml:space="preserve">קושית התוס' </w:t>
      </w:r>
      <w:bookmarkEnd w:id="5036"/>
      <w:r>
        <w:rPr>
          <w:rFonts w:hint="cs"/>
          <w:rtl/>
        </w:rPr>
        <w:t>מ"ש סכין שנפגם ממקוה שנמצא חסר</w:t>
      </w:r>
      <w:bookmarkEnd w:id="5037"/>
      <w:bookmarkEnd w:id="5038"/>
      <w:bookmarkEnd w:id="5039"/>
      <w:bookmarkEnd w:id="5040"/>
      <w:bookmarkEnd w:id="5041"/>
      <w:bookmarkEnd w:id="5092"/>
      <w:bookmarkEnd w:id="5093"/>
      <w:bookmarkEnd w:id="5094"/>
      <w:bookmarkEnd w:id="5095"/>
      <w:bookmarkEnd w:id="5096"/>
    </w:p>
    <w:p w14:paraId="269E1EE1" w14:textId="77777777" w:rsidR="00413DD0" w:rsidRDefault="00413DD0" w:rsidP="006D6D32">
      <w:pPr>
        <w:pStyle w:val="a3"/>
        <w:rPr>
          <w:rtl/>
        </w:rPr>
      </w:pPr>
      <w:bookmarkStart w:id="5097" w:name="_Toc525594325"/>
      <w:bookmarkStart w:id="5098" w:name="_Toc526249168"/>
      <w:bookmarkStart w:id="5099" w:name="_Toc526415963"/>
      <w:bookmarkStart w:id="5100" w:name="_Toc526418181"/>
      <w:bookmarkStart w:id="5101" w:name="_Toc19389556"/>
      <w:bookmarkStart w:id="5102" w:name="_Toc19393053"/>
      <w:bookmarkStart w:id="5103" w:name="_Toc523490345"/>
      <w:bookmarkStart w:id="5104" w:name="_Toc523697968"/>
      <w:bookmarkStart w:id="5105" w:name="_Toc523760833"/>
      <w:bookmarkStart w:id="5106" w:name="_Toc524638698"/>
      <w:r>
        <w:rPr>
          <w:rFonts w:hint="cs"/>
          <w:rtl/>
        </w:rPr>
        <w:t>קושית התוס' דבמקוה שנמצא חסר הריעותא במקוה ולא בטובל ואפ"ה לא אזלינן בתר חזקה</w:t>
      </w:r>
      <w:bookmarkEnd w:id="5097"/>
      <w:bookmarkEnd w:id="5098"/>
      <w:bookmarkEnd w:id="5099"/>
      <w:bookmarkEnd w:id="5100"/>
      <w:bookmarkEnd w:id="5101"/>
      <w:bookmarkEnd w:id="5102"/>
    </w:p>
    <w:p w14:paraId="1B135FE7" w14:textId="77777777" w:rsidR="00413DD0" w:rsidRDefault="00413DD0" w:rsidP="00223668">
      <w:pPr>
        <w:pStyle w:val="a0"/>
        <w:rPr>
          <w:rtl/>
        </w:rPr>
      </w:pPr>
      <w:bookmarkStart w:id="5107" w:name="_Ref523328201"/>
      <w:r>
        <w:rPr>
          <w:rFonts w:hint="cs"/>
          <w:rtl/>
        </w:rPr>
        <w:t xml:space="preserve">הקשו </w:t>
      </w:r>
      <w:r w:rsidRPr="002A20C4">
        <w:rPr>
          <w:rStyle w:val="af9"/>
          <w:rFonts w:hint="cs"/>
          <w:rtl/>
        </w:rPr>
        <w:t>התוס'</w:t>
      </w:r>
      <w:r>
        <w:rPr>
          <w:rFonts w:hint="cs"/>
          <w:rtl/>
        </w:rPr>
        <w:t xml:space="preserve"> </w:t>
      </w:r>
      <w:r w:rsidRPr="002A20C4">
        <w:rPr>
          <w:rStyle w:val="af7"/>
          <w:rFonts w:eastAsia="Guttman Hodes" w:hint="cs"/>
          <w:rtl/>
        </w:rPr>
        <w:t>(ד</w:t>
      </w:r>
      <w:r w:rsidRPr="00F765AD">
        <w:rPr>
          <w:rStyle w:val="af7"/>
          <w:rFonts w:eastAsia="Guttman Hodes" w:hint="cs"/>
          <w:rtl/>
        </w:rPr>
        <w:t>"ה סכין)</w:t>
      </w:r>
      <w:r w:rsidRPr="00F765AD">
        <w:rPr>
          <w:rFonts w:hint="cs"/>
          <w:rtl/>
        </w:rPr>
        <w:t xml:space="preserve"> דאמאי בסכין אמרינן דהריעותא היא בסכין ולא בבהמה, ואילו במקוה שהיה בחזקת</w:t>
      </w:r>
      <w:r w:rsidRPr="00AB0851">
        <w:rPr>
          <w:rFonts w:hint="cs"/>
          <w:rtl/>
        </w:rPr>
        <w:t xml:space="preserve"> שלם וטבלו בו</w:t>
      </w:r>
      <w:r>
        <w:rPr>
          <w:rFonts w:hint="cs"/>
          <w:rtl/>
        </w:rPr>
        <w:t xml:space="preserve">, ואח"כ נמצא חסר, דאמרינן בגמ' בנדה </w:t>
      </w:r>
      <w:r w:rsidRPr="002A20C4">
        <w:rPr>
          <w:rStyle w:val="af7"/>
          <w:rFonts w:eastAsia="Guttman Hodes" w:hint="cs"/>
          <w:rtl/>
        </w:rPr>
        <w:t>(ב:)</w:t>
      </w:r>
      <w:r>
        <w:rPr>
          <w:rFonts w:hint="cs"/>
          <w:rtl/>
        </w:rPr>
        <w:t xml:space="preserve"> דכל הטהרות שנעשו על גביו טמאות, כיון שיש תרתי לריעותא דחסר לפניך, והעמד טמא על חזקתו, ולא אמרינן דהריעותא היא במקוה ולא באדם שטבל בו, וא"כ אף בסוגיין נימא דיש תרתי לריעותא, דהעמד בהמה על חזקתה ונאמר שלא נשחטה, והרי סכין פגום לפניך, וכעי"ז הקשו </w:t>
      </w:r>
      <w:r w:rsidRPr="00F765AD">
        <w:rPr>
          <w:rStyle w:val="af9"/>
          <w:rFonts w:hint="cs"/>
          <w:rtl/>
        </w:rPr>
        <w:t>הרמב"ן</w:t>
      </w:r>
      <w:r w:rsidRPr="00F765AD">
        <w:rPr>
          <w:rFonts w:hint="cs"/>
          <w:rtl/>
        </w:rPr>
        <w:t xml:space="preserve"> </w:t>
      </w:r>
      <w:r w:rsidRPr="00F765AD">
        <w:rPr>
          <w:rStyle w:val="af7"/>
          <w:rFonts w:eastAsia="Guttman Hodes" w:hint="cs"/>
          <w:rtl/>
        </w:rPr>
        <w:t>(ד"ה ואיכא)</w:t>
      </w:r>
      <w:r w:rsidRPr="00F765AD">
        <w:rPr>
          <w:rFonts w:hint="cs"/>
          <w:rtl/>
        </w:rPr>
        <w:t xml:space="preserve"> </w:t>
      </w:r>
      <w:r w:rsidRPr="00F765AD">
        <w:rPr>
          <w:rStyle w:val="af9"/>
          <w:rFonts w:hint="cs"/>
          <w:rtl/>
        </w:rPr>
        <w:t>והרשב"א בחי'</w:t>
      </w:r>
      <w:r w:rsidRPr="00F765AD">
        <w:rPr>
          <w:rFonts w:hint="cs"/>
          <w:rtl/>
        </w:rPr>
        <w:t xml:space="preserve"> </w:t>
      </w:r>
      <w:r w:rsidRPr="00F765AD">
        <w:rPr>
          <w:rStyle w:val="af7"/>
          <w:rFonts w:eastAsia="Guttman Hodes" w:hint="cs"/>
          <w:rtl/>
        </w:rPr>
        <w:t>(ד"ה הכא נמי)</w:t>
      </w:r>
      <w:r w:rsidRPr="00F765AD">
        <w:rPr>
          <w:rFonts w:hint="cs"/>
          <w:rtl/>
        </w:rPr>
        <w:t xml:space="preserve"> </w:t>
      </w:r>
      <w:r w:rsidRPr="00F765AD">
        <w:rPr>
          <w:rStyle w:val="af9"/>
          <w:rFonts w:hint="cs"/>
          <w:rtl/>
        </w:rPr>
        <w:t>ובתוה"ב</w:t>
      </w:r>
      <w:r w:rsidRPr="00F765AD">
        <w:rPr>
          <w:rFonts w:hint="cs"/>
          <w:rtl/>
        </w:rPr>
        <w:t xml:space="preserve"> </w:t>
      </w:r>
      <w:r w:rsidRPr="00F765AD">
        <w:rPr>
          <w:rStyle w:val="af7"/>
          <w:rFonts w:eastAsia="Guttman Hodes" w:hint="cs"/>
          <w:rtl/>
        </w:rPr>
        <w:t>(ב"א ש"ב דף טז: מדה"ס)</w:t>
      </w:r>
      <w:r>
        <w:rPr>
          <w:rFonts w:hint="cs"/>
          <w:rtl/>
        </w:rPr>
        <w:t>.</w:t>
      </w:r>
      <w:bookmarkEnd w:id="5107"/>
    </w:p>
    <w:p w14:paraId="5152E34E" w14:textId="77777777" w:rsidR="00413DD0" w:rsidRPr="00AE1CD1" w:rsidRDefault="00413DD0" w:rsidP="00BF39B2">
      <w:pPr>
        <w:pStyle w:val="1"/>
        <w:rPr>
          <w:rtl/>
        </w:rPr>
      </w:pPr>
      <w:bookmarkStart w:id="5108" w:name="_Toc525594326"/>
      <w:bookmarkStart w:id="5109" w:name="_Toc526249169"/>
      <w:bookmarkStart w:id="5110" w:name="_Toc526415964"/>
      <w:bookmarkStart w:id="5111" w:name="_Toc526418182"/>
      <w:bookmarkStart w:id="5112" w:name="_Toc19389557"/>
      <w:bookmarkStart w:id="5113" w:name="_Toc19393054"/>
      <w:r>
        <w:rPr>
          <w:rFonts w:hint="cs"/>
          <w:rtl/>
        </w:rPr>
        <w:t>התירוץ הא' בתוס'</w:t>
      </w:r>
      <w:bookmarkEnd w:id="5103"/>
      <w:bookmarkEnd w:id="5104"/>
      <w:bookmarkEnd w:id="5105"/>
      <w:r>
        <w:rPr>
          <w:rFonts w:hint="cs"/>
          <w:rtl/>
        </w:rPr>
        <w:t xml:space="preserve"> דבסכין אין את סברת "חסר ואתאי"</w:t>
      </w:r>
      <w:bookmarkEnd w:id="5106"/>
      <w:bookmarkEnd w:id="5108"/>
      <w:bookmarkEnd w:id="5109"/>
      <w:bookmarkEnd w:id="5110"/>
      <w:bookmarkEnd w:id="5111"/>
      <w:bookmarkEnd w:id="5112"/>
      <w:bookmarkEnd w:id="5113"/>
    </w:p>
    <w:p w14:paraId="73E6FEA0" w14:textId="77777777" w:rsidR="00413DD0" w:rsidRDefault="00413DD0" w:rsidP="006D6D32">
      <w:pPr>
        <w:pStyle w:val="a3"/>
        <w:rPr>
          <w:rtl/>
        </w:rPr>
      </w:pPr>
      <w:bookmarkStart w:id="5114" w:name="_Toc525594327"/>
      <w:bookmarkStart w:id="5115" w:name="_Toc526249170"/>
      <w:bookmarkStart w:id="5116" w:name="_Toc526415965"/>
      <w:bookmarkStart w:id="5117" w:name="_Toc526418183"/>
      <w:bookmarkStart w:id="5118" w:name="_Toc19389558"/>
      <w:bookmarkStart w:id="5119" w:name="_Toc19393055"/>
      <w:r>
        <w:rPr>
          <w:rFonts w:hint="cs"/>
          <w:rtl/>
        </w:rPr>
        <w:t>התי' הא' בתוס' דבמקוה הטהרות טמאות מחמת סברת "חסר ואתאי"</w:t>
      </w:r>
      <w:bookmarkEnd w:id="5114"/>
      <w:bookmarkEnd w:id="5115"/>
      <w:bookmarkEnd w:id="5116"/>
      <w:bookmarkEnd w:id="5117"/>
      <w:bookmarkEnd w:id="5118"/>
      <w:bookmarkEnd w:id="5119"/>
    </w:p>
    <w:p w14:paraId="7FC3316A" w14:textId="77777777" w:rsidR="00413DD0" w:rsidRDefault="00413DD0" w:rsidP="00223668">
      <w:pPr>
        <w:pStyle w:val="a0"/>
        <w:rPr>
          <w:rtl/>
        </w:rPr>
      </w:pPr>
      <w:bookmarkStart w:id="5120" w:name="_Ref523130892"/>
      <w:bookmarkStart w:id="5121" w:name="_Ref523328300"/>
      <w:r>
        <w:rPr>
          <w:rFonts w:hint="cs"/>
          <w:rtl/>
        </w:rPr>
        <w:t xml:space="preserve">ותירצו </w:t>
      </w:r>
      <w:r w:rsidRPr="002A20C4">
        <w:rPr>
          <w:rStyle w:val="af9"/>
          <w:rFonts w:hint="cs"/>
          <w:rtl/>
        </w:rPr>
        <w:t>התוס'</w:t>
      </w:r>
      <w:r>
        <w:rPr>
          <w:rStyle w:val="af9"/>
          <w:rFonts w:hint="cs"/>
          <w:rtl/>
        </w:rPr>
        <w:t xml:space="preserve"> בתירוץ הא</w:t>
      </w:r>
      <w:r>
        <w:rPr>
          <w:rFonts w:hint="cs"/>
          <w:rtl/>
        </w:rPr>
        <w:t xml:space="preserve">' דבמקוה יש סברא נוספת לאסור דאמרינן "חסר ואתאי", </w:t>
      </w:r>
      <w:r w:rsidRPr="007D5AB4">
        <w:rPr>
          <w:rStyle w:val="afb"/>
          <w:rFonts w:hint="cs"/>
          <w:rtl/>
        </w:rPr>
        <w:t xml:space="preserve">[דהמקוה הולך ומתחסר, והריעותא בחזקה </w:t>
      </w:r>
      <w:r>
        <w:rPr>
          <w:rStyle w:val="afb"/>
          <w:rFonts w:hint="cs"/>
          <w:rtl/>
        </w:rPr>
        <w:t>אינה רק משעת מציאת החסרון</w:t>
      </w:r>
      <w:r w:rsidRPr="007D5AB4">
        <w:rPr>
          <w:rStyle w:val="afb"/>
          <w:rFonts w:hint="cs"/>
          <w:rtl/>
        </w:rPr>
        <w:t xml:space="preserve"> אלא קודם לכן], </w:t>
      </w:r>
      <w:r>
        <w:rPr>
          <w:rFonts w:hint="cs"/>
          <w:rtl/>
        </w:rPr>
        <w:t>ולכן הטהרות טמאות.</w:t>
      </w:r>
      <w:bookmarkEnd w:id="5120"/>
      <w:r>
        <w:rPr>
          <w:rFonts w:hint="cs"/>
          <w:rtl/>
        </w:rPr>
        <w:t xml:space="preserve"> וכ"כ  </w:t>
      </w:r>
      <w:r w:rsidRPr="00077721">
        <w:rPr>
          <w:rStyle w:val="af9"/>
          <w:rFonts w:hint="cs"/>
          <w:rtl/>
        </w:rPr>
        <w:t>הרמב"ן</w:t>
      </w:r>
      <w:r>
        <w:rPr>
          <w:rFonts w:hint="cs"/>
          <w:rtl/>
        </w:rPr>
        <w:t xml:space="preserve"> </w:t>
      </w:r>
      <w:r w:rsidRPr="00077721">
        <w:rPr>
          <w:rStyle w:val="af7"/>
          <w:rFonts w:eastAsia="Guttman Hodes" w:hint="cs"/>
          <w:rtl/>
        </w:rPr>
        <w:t>(ד"ה ואיכא)</w:t>
      </w:r>
      <w:r>
        <w:rPr>
          <w:rFonts w:hint="cs"/>
          <w:rtl/>
        </w:rPr>
        <w:t xml:space="preserve"> בשם </w:t>
      </w:r>
      <w:r w:rsidRPr="00C904DC">
        <w:rPr>
          <w:rStyle w:val="af9"/>
          <w:rFonts w:hint="cs"/>
          <w:rtl/>
        </w:rPr>
        <w:t>י"א</w:t>
      </w:r>
      <w:r>
        <w:rPr>
          <w:rFonts w:hint="cs"/>
          <w:rtl/>
        </w:rPr>
        <w:t xml:space="preserve"> וביאר דבמקוה שנמדד כל אחד שטבל במקוה החסירו, ולכן אף שלא ידוע ממתי חסרו בו ארבעים סאה, מ"מ תלינן לחומרא מהזמן שהתחיל להיות חסר.</w:t>
      </w:r>
      <w:bookmarkEnd w:id="5121"/>
    </w:p>
    <w:p w14:paraId="7E4BA1EB" w14:textId="77777777" w:rsidR="00413DD0" w:rsidRDefault="00413DD0" w:rsidP="006D6D32">
      <w:pPr>
        <w:pStyle w:val="a3"/>
        <w:rPr>
          <w:rtl/>
        </w:rPr>
      </w:pPr>
      <w:bookmarkStart w:id="5122" w:name="_Toc526415966"/>
      <w:bookmarkStart w:id="5123" w:name="_Toc526418184"/>
      <w:bookmarkStart w:id="5124" w:name="_Toc19389559"/>
      <w:bookmarkStart w:id="5125" w:name="_Toc19393056"/>
      <w:r>
        <w:rPr>
          <w:rFonts w:hint="cs"/>
          <w:rtl/>
        </w:rPr>
        <w:t>ביאור השיטמ"ק דבסכין בזמן חתיכת הסימנים עצמם לא נפגם ואי"ז חסר ואתאי</w:t>
      </w:r>
      <w:bookmarkEnd w:id="5122"/>
      <w:bookmarkEnd w:id="5123"/>
      <w:bookmarkEnd w:id="5124"/>
      <w:bookmarkEnd w:id="5125"/>
    </w:p>
    <w:p w14:paraId="368FC2A9" w14:textId="77777777" w:rsidR="00413DD0" w:rsidRPr="0091086A" w:rsidRDefault="00413DD0" w:rsidP="00223668">
      <w:pPr>
        <w:pStyle w:val="a0"/>
        <w:rPr>
          <w:rtl/>
        </w:rPr>
      </w:pPr>
      <w:r w:rsidRPr="008B6D7C">
        <w:rPr>
          <w:rStyle w:val="af9"/>
          <w:rFonts w:hint="cs"/>
          <w:rtl/>
        </w:rPr>
        <w:t>ובשיטמ"ק</w:t>
      </w:r>
      <w:r w:rsidRPr="0091086A">
        <w:rPr>
          <w:rFonts w:hint="cs"/>
          <w:rtl/>
        </w:rPr>
        <w:t xml:space="preserve"> </w:t>
      </w:r>
      <w:r w:rsidRPr="008B6D7C">
        <w:rPr>
          <w:rStyle w:val="af7"/>
          <w:rFonts w:eastAsia="Guttman Hodes" w:hint="cs"/>
          <w:rtl/>
        </w:rPr>
        <w:t>(ד"ה סכין)</w:t>
      </w:r>
      <w:r>
        <w:rPr>
          <w:rFonts w:hint="cs"/>
          <w:rtl/>
        </w:rPr>
        <w:t xml:space="preserve"> </w:t>
      </w:r>
      <w:r w:rsidRPr="0091086A">
        <w:rPr>
          <w:rFonts w:hint="cs"/>
          <w:rtl/>
        </w:rPr>
        <w:t>ביאר</w:t>
      </w:r>
      <w:r>
        <w:rPr>
          <w:rFonts w:hint="cs"/>
          <w:rtl/>
        </w:rPr>
        <w:t xml:space="preserve"> דבמקוה כיון שיש בו את סברת "חסר ואתאי" לכן אין כל זמן שאפשר לברר בו שלא היה חסר ואתאי, אבל בשחיטה כיון שהחשש הוא שנפגם או ע"י העור או ע"י המפרקת, ובזמן חתיכת הסימנים ודאי שלא נפגם, א"כ בשחיטה עצמה לא היה חסר ואתאי, ויש שעה אחת שלא נפגם, לכן אין ריעותא כ"כ בחזקה.</w:t>
      </w:r>
    </w:p>
    <w:p w14:paraId="442BA4D6" w14:textId="77777777" w:rsidR="00413DD0" w:rsidRDefault="00413DD0" w:rsidP="00BF39B2">
      <w:pPr>
        <w:pStyle w:val="1"/>
        <w:rPr>
          <w:rtl/>
        </w:rPr>
      </w:pPr>
      <w:bookmarkStart w:id="5126" w:name="_Toc524638699"/>
      <w:bookmarkStart w:id="5127" w:name="_Toc525594328"/>
      <w:bookmarkStart w:id="5128" w:name="_Toc526249171"/>
      <w:bookmarkStart w:id="5129" w:name="_Toc526415967"/>
      <w:bookmarkStart w:id="5130" w:name="_Toc526418185"/>
      <w:bookmarkStart w:id="5131" w:name="_Toc19389560"/>
      <w:bookmarkStart w:id="5132" w:name="_Toc19393057"/>
      <w:r>
        <w:rPr>
          <w:rFonts w:hint="cs"/>
          <w:rtl/>
        </w:rPr>
        <w:t>ביאור הראש יוסף בטעמא דר"ח לתירוץ הא' בתוס'</w:t>
      </w:r>
      <w:bookmarkEnd w:id="5126"/>
      <w:bookmarkEnd w:id="5127"/>
      <w:bookmarkEnd w:id="5128"/>
      <w:bookmarkEnd w:id="5129"/>
      <w:bookmarkEnd w:id="5130"/>
      <w:bookmarkEnd w:id="5131"/>
      <w:bookmarkEnd w:id="5132"/>
    </w:p>
    <w:p w14:paraId="595F7E9B" w14:textId="77777777" w:rsidR="00413DD0" w:rsidRPr="0058082C" w:rsidRDefault="00413DD0" w:rsidP="006D6D32">
      <w:pPr>
        <w:pStyle w:val="a3"/>
        <w:rPr>
          <w:rtl/>
        </w:rPr>
      </w:pPr>
      <w:bookmarkStart w:id="5133" w:name="_Toc525594329"/>
      <w:bookmarkStart w:id="5134" w:name="_Toc526249172"/>
      <w:bookmarkStart w:id="5135" w:name="_Toc526415968"/>
      <w:bookmarkStart w:id="5136" w:name="_Toc526418186"/>
      <w:bookmarkStart w:id="5137" w:name="_Toc19389561"/>
      <w:bookmarkStart w:id="5138" w:name="_Toc19393058"/>
      <w:r>
        <w:rPr>
          <w:rFonts w:hint="cs"/>
          <w:rtl/>
        </w:rPr>
        <w:t>דברי הראש יוסף דלתי' הא' בתוס' למסקנא טעמיה דרב חסדא אינו דאין ספק מוציא מידי מודאי</w:t>
      </w:r>
      <w:bookmarkEnd w:id="5133"/>
      <w:bookmarkEnd w:id="5134"/>
      <w:bookmarkEnd w:id="5135"/>
      <w:bookmarkEnd w:id="5136"/>
      <w:bookmarkEnd w:id="5137"/>
      <w:bookmarkEnd w:id="5138"/>
    </w:p>
    <w:p w14:paraId="3F88EA7B" w14:textId="77777777" w:rsidR="00413DD0" w:rsidRDefault="00413DD0" w:rsidP="00223668">
      <w:pPr>
        <w:pStyle w:val="a0"/>
        <w:rPr>
          <w:rtl/>
        </w:rPr>
      </w:pPr>
      <w:r>
        <w:rPr>
          <w:rFonts w:hint="cs"/>
          <w:rtl/>
        </w:rPr>
        <w:t xml:space="preserve">וכתב </w:t>
      </w:r>
      <w:r w:rsidRPr="00C67979">
        <w:rPr>
          <w:rStyle w:val="af9"/>
          <w:rFonts w:hint="cs"/>
          <w:rtl/>
        </w:rPr>
        <w:t>הראש יוסף</w:t>
      </w:r>
      <w:r>
        <w:rPr>
          <w:rFonts w:hint="cs"/>
          <w:rtl/>
        </w:rPr>
        <w:t xml:space="preserve"> </w:t>
      </w:r>
      <w:r w:rsidRPr="00C67979">
        <w:rPr>
          <w:rStyle w:val="af7"/>
          <w:rFonts w:eastAsia="Guttman Hodes" w:hint="cs"/>
          <w:rtl/>
        </w:rPr>
        <w:t xml:space="preserve">(על תוד"ה סכין) </w:t>
      </w:r>
      <w:r>
        <w:rPr>
          <w:rFonts w:hint="cs"/>
          <w:rtl/>
        </w:rPr>
        <w:t xml:space="preserve">דמבואר </w:t>
      </w:r>
      <w:r w:rsidRPr="00C67979">
        <w:rPr>
          <w:rStyle w:val="af9"/>
          <w:rFonts w:hint="cs"/>
          <w:rtl/>
        </w:rPr>
        <w:t>מהתירוץ הא' בתוס'</w:t>
      </w:r>
      <w:r>
        <w:rPr>
          <w:rFonts w:hint="cs"/>
          <w:rtl/>
        </w:rPr>
        <w:t xml:space="preserve"> דלתירוץ הגמ' דסכין איתרעי בהמה לא איתרעי, דסגי בסברא זו להתיר לרב חסדא, אף בלא הסברא דאין ספק מוציא מידי ודאי, </w:t>
      </w:r>
      <w:r w:rsidRPr="00310870">
        <w:rPr>
          <w:rFonts w:hint="cs"/>
          <w:rtl/>
        </w:rPr>
        <w:t>וכ</w:t>
      </w:r>
      <w:r>
        <w:rPr>
          <w:rFonts w:hint="cs"/>
          <w:rtl/>
        </w:rPr>
        <w:t>"כ</w:t>
      </w:r>
      <w:r w:rsidRPr="00310870">
        <w:rPr>
          <w:rFonts w:hint="cs"/>
          <w:rtl/>
        </w:rPr>
        <w:t xml:space="preserve"> </w:t>
      </w:r>
      <w:r w:rsidRPr="00310870">
        <w:rPr>
          <w:rStyle w:val="af9"/>
          <w:rFonts w:hint="cs"/>
          <w:rtl/>
        </w:rPr>
        <w:t>הגרעק"א</w:t>
      </w:r>
      <w:r w:rsidRPr="00310870">
        <w:rPr>
          <w:rFonts w:hint="cs"/>
          <w:rtl/>
        </w:rPr>
        <w:t xml:space="preserve"> </w:t>
      </w:r>
      <w:r w:rsidRPr="00310870">
        <w:rPr>
          <w:rStyle w:val="af7"/>
          <w:rFonts w:eastAsia="Guttman Hodes" w:hint="cs"/>
          <w:rtl/>
        </w:rPr>
        <w:t>(על תוד"ה והא)</w:t>
      </w:r>
      <w:r>
        <w:rPr>
          <w:rFonts w:hint="cs"/>
          <w:rtl/>
        </w:rPr>
        <w:t>.</w:t>
      </w:r>
      <w:r w:rsidRPr="000903C9">
        <w:rPr>
          <w:rFonts w:hint="cs"/>
          <w:rtl/>
        </w:rPr>
        <w:t xml:space="preserve"> </w:t>
      </w:r>
      <w:r>
        <w:rPr>
          <w:rFonts w:hint="cs"/>
          <w:rtl/>
        </w:rPr>
        <w:t xml:space="preserve">וכתב </w:t>
      </w:r>
      <w:r w:rsidRPr="000903C9">
        <w:rPr>
          <w:rStyle w:val="af9"/>
          <w:rFonts w:hint="cs"/>
          <w:rtl/>
        </w:rPr>
        <w:t>הראש יוסף</w:t>
      </w:r>
      <w:r>
        <w:rPr>
          <w:rFonts w:hint="cs"/>
          <w:rtl/>
        </w:rPr>
        <w:t xml:space="preserve"> דלכן הוקשה </w:t>
      </w:r>
      <w:r w:rsidRPr="000903C9">
        <w:rPr>
          <w:rStyle w:val="af9"/>
          <w:rFonts w:hint="cs"/>
          <w:rtl/>
        </w:rPr>
        <w:t xml:space="preserve">לתוס' </w:t>
      </w:r>
      <w:r>
        <w:rPr>
          <w:rFonts w:hint="cs"/>
          <w:rtl/>
        </w:rPr>
        <w:t>מ"ש ממקוה, דאי הגמ' חזרה בה מהתירוץ דאין ספק מוציא מידי ודאי, א"כ דמי למקוה שהריעותא היא במקוה ולא בגברא.</w:t>
      </w:r>
    </w:p>
    <w:p w14:paraId="0298594A" w14:textId="77777777" w:rsidR="00413DD0" w:rsidRDefault="00413DD0" w:rsidP="006D6D32">
      <w:pPr>
        <w:pStyle w:val="a3"/>
        <w:rPr>
          <w:rtl/>
        </w:rPr>
      </w:pPr>
      <w:bookmarkStart w:id="5139" w:name="_Toc525594330"/>
      <w:bookmarkStart w:id="5140" w:name="_Toc526249173"/>
      <w:bookmarkStart w:id="5141" w:name="_Toc526415969"/>
      <w:bookmarkStart w:id="5142" w:name="_Toc526418187"/>
      <w:bookmarkStart w:id="5143" w:name="_Toc19389562"/>
      <w:bookmarkStart w:id="5144" w:name="_Toc19393059"/>
      <w:r>
        <w:rPr>
          <w:rFonts w:hint="cs"/>
          <w:rtl/>
        </w:rPr>
        <w:t>ביאור הראש יוסף דבסכין החזקה דהשתא כמאן דליתא ולכן אמרינן דהריעותא אינה בבהמה</w:t>
      </w:r>
      <w:bookmarkEnd w:id="5139"/>
      <w:bookmarkEnd w:id="5140"/>
      <w:bookmarkEnd w:id="5141"/>
      <w:bookmarkEnd w:id="5142"/>
      <w:bookmarkEnd w:id="5143"/>
      <w:bookmarkEnd w:id="5144"/>
    </w:p>
    <w:p w14:paraId="29A60EE0" w14:textId="77777777" w:rsidR="00413DD0" w:rsidRPr="003410BD" w:rsidRDefault="00413DD0" w:rsidP="00223668">
      <w:pPr>
        <w:pStyle w:val="a0"/>
        <w:rPr>
          <w:rtl/>
        </w:rPr>
      </w:pPr>
      <w:r>
        <w:rPr>
          <w:rFonts w:hint="cs"/>
          <w:rtl/>
        </w:rPr>
        <w:t xml:space="preserve">וכתב </w:t>
      </w:r>
      <w:r w:rsidRPr="005172C7">
        <w:rPr>
          <w:rStyle w:val="af9"/>
          <w:rFonts w:hint="cs"/>
          <w:rtl/>
        </w:rPr>
        <w:t>הראש יוסף</w:t>
      </w:r>
      <w:r>
        <w:rPr>
          <w:rFonts w:hint="cs"/>
          <w:rtl/>
        </w:rPr>
        <w:t xml:space="preserve"> דכוונת </w:t>
      </w:r>
      <w:r w:rsidRPr="005172C7">
        <w:rPr>
          <w:rStyle w:val="af9"/>
          <w:rFonts w:hint="cs"/>
          <w:rtl/>
        </w:rPr>
        <w:t>התוס'</w:t>
      </w:r>
      <w:r w:rsidRPr="00F864B5">
        <w:rPr>
          <w:rStyle w:val="af9"/>
          <w:rFonts w:hint="cs"/>
          <w:rtl/>
        </w:rPr>
        <w:t xml:space="preserve"> </w:t>
      </w:r>
      <w:r w:rsidRPr="005172C7">
        <w:rPr>
          <w:rStyle w:val="af9"/>
          <w:rFonts w:hint="cs"/>
          <w:rtl/>
        </w:rPr>
        <w:t xml:space="preserve">בתירוץ הא' </w:t>
      </w:r>
      <w:r>
        <w:rPr>
          <w:rFonts w:hint="cs"/>
          <w:rtl/>
        </w:rPr>
        <w:t xml:space="preserve">לומר דבמקוה כיון שיש את סברת חסר ואתאי, החזקה דהשתא דהמקוה חסר היא חזקה אלימתא, וחשיב שיש ב' חזקות כנגד חזקת המקוה, אבל בסכין החזקה דהשתא היא כמאן דליתא, כנגד החזקה דמעיקרא, ואמרינן </w:t>
      </w:r>
      <w:r w:rsidRPr="003410BD">
        <w:rPr>
          <w:rFonts w:hint="cs"/>
          <w:rtl/>
        </w:rPr>
        <w:t>דהריעותא היא בסכין ולא בבהמה, דשחוטה לפניך.</w:t>
      </w:r>
    </w:p>
    <w:p w14:paraId="62957A8C" w14:textId="77777777" w:rsidR="00413DD0" w:rsidRPr="003410BD" w:rsidRDefault="00413DD0" w:rsidP="006D6D32">
      <w:pPr>
        <w:pStyle w:val="a3"/>
        <w:rPr>
          <w:rtl/>
        </w:rPr>
      </w:pPr>
      <w:bookmarkStart w:id="5145" w:name="_Toc19389563"/>
      <w:bookmarkStart w:id="5146" w:name="_Toc19393060"/>
      <w:r w:rsidRPr="003410BD">
        <w:rPr>
          <w:rFonts w:hint="cs"/>
          <w:rtl/>
        </w:rPr>
        <w:t>דברי הפרמ"ג דלרב הונא חזקת הסכין חשיבא כעשויה להשתנות או דאף בסכין נפגם מעט מעט</w:t>
      </w:r>
      <w:bookmarkEnd w:id="5145"/>
      <w:bookmarkEnd w:id="5146"/>
    </w:p>
    <w:p w14:paraId="1B8B2F2B" w14:textId="77777777" w:rsidR="00413DD0" w:rsidRPr="003410BD" w:rsidRDefault="00413DD0" w:rsidP="00223668">
      <w:pPr>
        <w:pStyle w:val="a0"/>
        <w:rPr>
          <w:rtl/>
        </w:rPr>
      </w:pPr>
      <w:r w:rsidRPr="003410BD">
        <w:rPr>
          <w:rtl/>
        </w:rPr>
        <w:t xml:space="preserve">  ויעוי' </w:t>
      </w:r>
      <w:r w:rsidRPr="003410BD">
        <w:rPr>
          <w:rStyle w:val="af9"/>
          <w:rtl/>
        </w:rPr>
        <w:t>בפרמ"ג</w:t>
      </w:r>
      <w:r w:rsidRPr="003410BD">
        <w:rPr>
          <w:rtl/>
        </w:rPr>
        <w:t xml:space="preserve"> </w:t>
      </w:r>
      <w:r w:rsidRPr="003410BD">
        <w:rPr>
          <w:rStyle w:val="af7"/>
          <w:rFonts w:eastAsia="Guttman Hodes"/>
          <w:rtl/>
        </w:rPr>
        <w:t>(משב"ז ק"ה ג')</w:t>
      </w:r>
      <w:r w:rsidRPr="003410BD">
        <w:rPr>
          <w:rtl/>
        </w:rPr>
        <w:t xml:space="preserve"> שהקשה על רב הונא אמאי לא סמכינן על חזקת הסכין, כיון שלא שייך בו חסר ואתאי כמו במקוה, ותירץ </w:t>
      </w:r>
      <w:r w:rsidRPr="003410BD">
        <w:rPr>
          <w:rStyle w:val="af9"/>
          <w:rtl/>
        </w:rPr>
        <w:t>הפרמ"ג</w:t>
      </w:r>
      <w:r w:rsidRPr="003410BD">
        <w:rPr>
          <w:rtl/>
        </w:rPr>
        <w:t xml:space="preserve"> דאפש"ל ד</w:t>
      </w:r>
      <w:r w:rsidRPr="003410BD">
        <w:rPr>
          <w:rFonts w:hint="cs"/>
          <w:rtl/>
        </w:rPr>
        <w:t>ס"ל לרב הונא ד</w:t>
      </w:r>
      <w:r w:rsidRPr="003410BD">
        <w:rPr>
          <w:rtl/>
        </w:rPr>
        <w:t>כיון שהדרך שהסכין נפגם, הוי חזקה שעשויה להתקלקל, ו</w:t>
      </w:r>
      <w:r w:rsidRPr="003410BD">
        <w:rPr>
          <w:rFonts w:hint="cs"/>
          <w:rtl/>
        </w:rPr>
        <w:t>ל</w:t>
      </w:r>
      <w:r w:rsidRPr="003410BD">
        <w:rPr>
          <w:rtl/>
        </w:rPr>
        <w:t>אלימא כחזקה דמעיקרא</w:t>
      </w:r>
      <w:r w:rsidRPr="003410BD">
        <w:rPr>
          <w:rFonts w:hint="cs"/>
          <w:rtl/>
        </w:rPr>
        <w:t>.</w:t>
      </w:r>
      <w:r w:rsidRPr="003410BD">
        <w:rPr>
          <w:rtl/>
        </w:rPr>
        <w:t xml:space="preserve"> או דאף סכין דרכו להפגם מעט מעט, ודמי למקוה שחסר ואתאי</w:t>
      </w:r>
      <w:r w:rsidRPr="003410BD">
        <w:rPr>
          <w:rFonts w:hint="cs"/>
          <w:rtl/>
        </w:rPr>
        <w:t xml:space="preserve">, </w:t>
      </w:r>
      <w:r w:rsidRPr="003410BD">
        <w:rPr>
          <w:rStyle w:val="afb"/>
          <w:rFonts w:hint="cs"/>
          <w:rtl/>
        </w:rPr>
        <w:t xml:space="preserve">[ומשמע דבזה גופא נחלק עליו רב חסדא וכדכתבו </w:t>
      </w:r>
      <w:r w:rsidRPr="003410BD">
        <w:rPr>
          <w:rStyle w:val="affa"/>
          <w:rFonts w:hint="cs"/>
          <w:rtl/>
        </w:rPr>
        <w:t>התוס'</w:t>
      </w:r>
      <w:r w:rsidRPr="003410BD">
        <w:rPr>
          <w:rStyle w:val="afb"/>
          <w:rFonts w:hint="cs"/>
          <w:rtl/>
        </w:rPr>
        <w:t>]</w:t>
      </w:r>
      <w:r w:rsidRPr="003410BD">
        <w:rPr>
          <w:rtl/>
        </w:rPr>
        <w:t>.</w:t>
      </w:r>
    </w:p>
    <w:p w14:paraId="459D4416" w14:textId="77777777" w:rsidR="00413DD0" w:rsidRDefault="00413DD0" w:rsidP="00BF39B2">
      <w:pPr>
        <w:pStyle w:val="1"/>
        <w:rPr>
          <w:rtl/>
        </w:rPr>
      </w:pPr>
      <w:bookmarkStart w:id="5147" w:name="_Toc523490346"/>
      <w:bookmarkStart w:id="5148" w:name="_Toc523697969"/>
      <w:bookmarkStart w:id="5149" w:name="_Toc523760834"/>
      <w:bookmarkStart w:id="5150" w:name="_Toc524638700"/>
      <w:bookmarkStart w:id="5151" w:name="_Toc525594363"/>
      <w:bookmarkStart w:id="5152" w:name="_Toc526249175"/>
      <w:bookmarkStart w:id="5153" w:name="_Toc526415971"/>
      <w:bookmarkStart w:id="5154" w:name="_Toc526418189"/>
      <w:bookmarkStart w:id="5155" w:name="_Toc19389564"/>
      <w:bookmarkStart w:id="5156" w:name="_Toc19393061"/>
      <w:bookmarkStart w:id="5157" w:name="_Toc523490347"/>
      <w:bookmarkStart w:id="5158" w:name="_Toc523697970"/>
      <w:bookmarkStart w:id="5159" w:name="_Toc523760835"/>
      <w:bookmarkStart w:id="5160" w:name="_Toc524638701"/>
      <w:bookmarkStart w:id="5161" w:name="_Toc525594332"/>
      <w:r w:rsidRPr="003410BD">
        <w:rPr>
          <w:rFonts w:hint="cs"/>
          <w:rtl/>
        </w:rPr>
        <w:t>ביאור החזו"א בפלוגתת רב הונא ורב חסדא</w:t>
      </w:r>
      <w:r>
        <w:rPr>
          <w:rFonts w:hint="cs"/>
          <w:rtl/>
        </w:rPr>
        <w:t xml:space="preserve"> לתי' הא' בתוס'</w:t>
      </w:r>
      <w:bookmarkEnd w:id="5147"/>
      <w:bookmarkEnd w:id="5148"/>
      <w:bookmarkEnd w:id="5149"/>
      <w:bookmarkEnd w:id="5150"/>
      <w:bookmarkEnd w:id="5151"/>
      <w:bookmarkEnd w:id="5152"/>
      <w:bookmarkEnd w:id="5153"/>
      <w:bookmarkEnd w:id="5154"/>
      <w:bookmarkEnd w:id="5155"/>
      <w:bookmarkEnd w:id="5156"/>
    </w:p>
    <w:p w14:paraId="3D49D410" w14:textId="77777777" w:rsidR="00413DD0" w:rsidRDefault="00413DD0" w:rsidP="006D6D32">
      <w:pPr>
        <w:pStyle w:val="a3"/>
        <w:rPr>
          <w:rtl/>
        </w:rPr>
      </w:pPr>
      <w:bookmarkStart w:id="5162" w:name="_Toc525594365"/>
      <w:bookmarkStart w:id="5163" w:name="_Toc526249176"/>
      <w:bookmarkStart w:id="5164" w:name="_Toc526415972"/>
      <w:bookmarkStart w:id="5165" w:name="_Toc526418190"/>
      <w:bookmarkStart w:id="5166" w:name="_Toc19389565"/>
      <w:bookmarkStart w:id="5167" w:name="_Toc19393062"/>
      <w:r>
        <w:rPr>
          <w:rFonts w:hint="cs"/>
          <w:rtl/>
        </w:rPr>
        <w:t>ביאור החזו"א בתי' הא' בתוס' דלרב חסדא יש בסכין תרתי לטיבותא אף בלא שיבר בה עצמות</w:t>
      </w:r>
      <w:bookmarkEnd w:id="5162"/>
      <w:bookmarkEnd w:id="5163"/>
      <w:bookmarkEnd w:id="5164"/>
      <w:bookmarkEnd w:id="5165"/>
      <w:bookmarkEnd w:id="5166"/>
      <w:bookmarkEnd w:id="5167"/>
    </w:p>
    <w:p w14:paraId="54593C02" w14:textId="77777777" w:rsidR="00413DD0" w:rsidRDefault="00413DD0" w:rsidP="00223668">
      <w:pPr>
        <w:pStyle w:val="a0"/>
        <w:rPr>
          <w:rtl/>
        </w:rPr>
      </w:pPr>
      <w:r>
        <w:rPr>
          <w:rStyle w:val="af9"/>
          <w:rFonts w:hint="cs"/>
          <w:rtl/>
        </w:rPr>
        <w:t>ב</w:t>
      </w:r>
      <w:r w:rsidRPr="001E4A91">
        <w:rPr>
          <w:rStyle w:val="af9"/>
          <w:rFonts w:hint="cs"/>
          <w:rtl/>
        </w:rPr>
        <w:t>תירוץ הא' בתוס'</w:t>
      </w:r>
      <w:r>
        <w:rPr>
          <w:rFonts w:hint="cs"/>
          <w:rtl/>
        </w:rPr>
        <w:t xml:space="preserve"> ביאר</w:t>
      </w:r>
      <w:r w:rsidRPr="001E4A91">
        <w:rPr>
          <w:rStyle w:val="af9"/>
          <w:rFonts w:hint="cs"/>
          <w:rtl/>
        </w:rPr>
        <w:t xml:space="preserve"> החזו"א</w:t>
      </w:r>
      <w:r>
        <w:rPr>
          <w:rFonts w:hint="cs"/>
          <w:rtl/>
        </w:rPr>
        <w:t xml:space="preserve"> </w:t>
      </w:r>
      <w:r w:rsidRPr="001E4A91">
        <w:rPr>
          <w:rStyle w:val="af7"/>
          <w:rFonts w:eastAsia="Guttman Hodes" w:hint="cs"/>
          <w:rtl/>
        </w:rPr>
        <w:t>(כתובות סי' פ' כ"ג)</w:t>
      </w:r>
      <w:r>
        <w:rPr>
          <w:rFonts w:hint="cs"/>
          <w:rtl/>
        </w:rPr>
        <w:t xml:space="preserve"> דבסכין יש תרתי לטיבותא, דאין בו את החסרון שיש במקוה דחסר ואתאי, כיון שנפגם בבת אחת, וכן הריעותא אינה בגוף הבהמה אלא בסכין, ולכן לדעת רב חסדא תלינן במפרקת, אף בלא שיבר בה עצמות, כיון שמעמידים את הסכין על חזקתו שהוא בדוק,</w:t>
      </w:r>
      <w:r w:rsidRPr="001827F9">
        <w:rPr>
          <w:rFonts w:hint="cs"/>
          <w:rtl/>
        </w:rPr>
        <w:t xml:space="preserve"> </w:t>
      </w:r>
      <w:r>
        <w:rPr>
          <w:rFonts w:hint="cs"/>
          <w:rtl/>
        </w:rPr>
        <w:t>משא"כ במקוה שיש בו תרתי לריעותא.</w:t>
      </w:r>
    </w:p>
    <w:p w14:paraId="7E5FFC87" w14:textId="77777777" w:rsidR="00413DD0" w:rsidRDefault="00413DD0" w:rsidP="006D6D32">
      <w:pPr>
        <w:pStyle w:val="a3"/>
        <w:rPr>
          <w:rtl/>
        </w:rPr>
      </w:pPr>
      <w:bookmarkStart w:id="5168" w:name="_Toc525594366"/>
      <w:bookmarkStart w:id="5169" w:name="_Toc526249177"/>
      <w:bookmarkStart w:id="5170" w:name="_Toc526415973"/>
      <w:bookmarkStart w:id="5171" w:name="_Toc526418191"/>
      <w:bookmarkStart w:id="5172" w:name="_Toc19389566"/>
      <w:bookmarkStart w:id="5173" w:name="_Toc19393063"/>
      <w:r>
        <w:rPr>
          <w:rFonts w:hint="cs"/>
          <w:rtl/>
        </w:rPr>
        <w:t>ביאור החזו"א בתי' הא' בתוס' דלרב הונא אין חילוק אם הריעותא בבהמה או בסכין ולא מהני תליה</w:t>
      </w:r>
      <w:bookmarkEnd w:id="5168"/>
      <w:bookmarkEnd w:id="5169"/>
      <w:bookmarkEnd w:id="5170"/>
      <w:bookmarkEnd w:id="5171"/>
      <w:bookmarkEnd w:id="5172"/>
      <w:bookmarkEnd w:id="5173"/>
      <w:r>
        <w:rPr>
          <w:rFonts w:hint="cs"/>
          <w:rtl/>
        </w:rPr>
        <w:t xml:space="preserve"> </w:t>
      </w:r>
    </w:p>
    <w:p w14:paraId="4367C526" w14:textId="77777777" w:rsidR="00413DD0" w:rsidRDefault="00413DD0" w:rsidP="00223668">
      <w:pPr>
        <w:pStyle w:val="a0"/>
        <w:rPr>
          <w:rtl/>
        </w:rPr>
      </w:pPr>
      <w:r>
        <w:rPr>
          <w:rFonts w:hint="cs"/>
          <w:rtl/>
        </w:rPr>
        <w:t xml:space="preserve">ובדעת רב הונא ביאר </w:t>
      </w:r>
      <w:r w:rsidRPr="001E4A91">
        <w:rPr>
          <w:rStyle w:val="af9"/>
          <w:rFonts w:hint="cs"/>
          <w:rtl/>
        </w:rPr>
        <w:t>החזו"א</w:t>
      </w:r>
      <w:r>
        <w:rPr>
          <w:rFonts w:hint="cs"/>
          <w:rtl/>
        </w:rPr>
        <w:t xml:space="preserve"> </w:t>
      </w:r>
      <w:r>
        <w:rPr>
          <w:rStyle w:val="af9"/>
          <w:rFonts w:hint="cs"/>
          <w:rtl/>
        </w:rPr>
        <w:t>ב</w:t>
      </w:r>
      <w:r w:rsidRPr="001E4A91">
        <w:rPr>
          <w:rStyle w:val="af9"/>
          <w:rFonts w:hint="cs"/>
          <w:rtl/>
        </w:rPr>
        <w:t>תירוץ הא' בתוס'</w:t>
      </w:r>
      <w:r>
        <w:rPr>
          <w:rFonts w:hint="cs"/>
          <w:rtl/>
        </w:rPr>
        <w:t xml:space="preserve"> דס"ל לרב הונא דאין חילוק בין אם הריעותא היא בגוף הבהמה, או אם הריעותא היא בסכין, דכיון שיש לבהמה חזקת איסור, ובסכין יש ריעותא דפגום לפניך, השחיטה פסולה, ואף בשיבר בה עצמות, לא מהני התליה להתיר, כמו בחציצה דלא תלינן בנתעסק באותו המין.</w:t>
      </w:r>
    </w:p>
    <w:p w14:paraId="7F031140" w14:textId="77777777" w:rsidR="00413DD0" w:rsidRDefault="00413DD0" w:rsidP="006D6D32">
      <w:pPr>
        <w:pStyle w:val="a3"/>
        <w:rPr>
          <w:rtl/>
        </w:rPr>
      </w:pPr>
      <w:bookmarkStart w:id="5174" w:name="_Toc525594367"/>
      <w:bookmarkStart w:id="5175" w:name="_Toc526249178"/>
      <w:bookmarkStart w:id="5176" w:name="_Toc526415974"/>
      <w:bookmarkStart w:id="5177" w:name="_Toc526418192"/>
      <w:bookmarkStart w:id="5178" w:name="_Toc19389567"/>
      <w:bookmarkStart w:id="5179" w:name="_Toc19393064"/>
      <w:r>
        <w:rPr>
          <w:rFonts w:hint="cs"/>
          <w:rtl/>
        </w:rPr>
        <w:t>ביאור החזו"א בתי' הא' בתוס' דלדידן כשהריעותא אינה בבהמה מהני תליה בשיבר בה עצמות</w:t>
      </w:r>
      <w:bookmarkEnd w:id="5174"/>
      <w:bookmarkEnd w:id="5175"/>
      <w:bookmarkEnd w:id="5176"/>
      <w:bookmarkEnd w:id="5177"/>
      <w:bookmarkEnd w:id="5178"/>
      <w:bookmarkEnd w:id="5179"/>
    </w:p>
    <w:p w14:paraId="33B9CB46" w14:textId="77777777" w:rsidR="00413DD0" w:rsidRPr="001248D5" w:rsidRDefault="00413DD0" w:rsidP="00223668">
      <w:pPr>
        <w:pStyle w:val="a0"/>
        <w:rPr>
          <w:rtl/>
        </w:rPr>
      </w:pPr>
      <w:r>
        <w:rPr>
          <w:rFonts w:hint="cs"/>
          <w:rtl/>
        </w:rPr>
        <w:t xml:space="preserve">ובהא דקיי"ל כרב הונא בשיבר בה עצמות, ביאר </w:t>
      </w:r>
      <w:r w:rsidRPr="001E4A91">
        <w:rPr>
          <w:rStyle w:val="af9"/>
          <w:rFonts w:hint="cs"/>
          <w:rtl/>
        </w:rPr>
        <w:t>החזו"א</w:t>
      </w:r>
      <w:r>
        <w:rPr>
          <w:rFonts w:hint="cs"/>
          <w:rtl/>
        </w:rPr>
        <w:t xml:space="preserve"> </w:t>
      </w:r>
      <w:r>
        <w:rPr>
          <w:rStyle w:val="af9"/>
          <w:rFonts w:hint="cs"/>
          <w:rtl/>
        </w:rPr>
        <w:t>ב</w:t>
      </w:r>
      <w:r w:rsidRPr="001E4A91">
        <w:rPr>
          <w:rStyle w:val="af9"/>
          <w:rFonts w:hint="cs"/>
          <w:rtl/>
        </w:rPr>
        <w:t>תירוץ הא' בתוס'</w:t>
      </w:r>
      <w:r>
        <w:rPr>
          <w:rFonts w:hint="cs"/>
          <w:rtl/>
        </w:rPr>
        <w:t xml:space="preserve"> דלדידן יש חילוק אם הריעותא היא בגוף הבהמה או בסכין, ולכן כיון שאין ריעותא בגוף הבהמה תלינן בעצמות, אבל בחציצה כיון שהריעותא היא בגוף הטובל לא מהני תליה, ולא תלינן בדבר החוצץ, ובלא שיבר בה עצמות דאין במה לתלות, </w:t>
      </w:r>
      <w:r w:rsidRPr="001248D5">
        <w:rPr>
          <w:rFonts w:hint="cs"/>
          <w:rtl/>
        </w:rPr>
        <w:t xml:space="preserve">הבהמה אסורה כיון שיש תרתי לריעותא. ועי' </w:t>
      </w:r>
      <w:r w:rsidRPr="001248D5">
        <w:rPr>
          <w:rStyle w:val="af9"/>
          <w:rFonts w:hint="cs"/>
          <w:rtl/>
        </w:rPr>
        <w:t>ברמב"ן</w:t>
      </w:r>
      <w:r w:rsidRPr="001248D5">
        <w:rPr>
          <w:rFonts w:hint="cs"/>
          <w:rtl/>
        </w:rPr>
        <w:t xml:space="preserve"> </w:t>
      </w:r>
      <w:r w:rsidRPr="001248D5">
        <w:rPr>
          <w:rStyle w:val="af7"/>
          <w:rFonts w:eastAsia="Guttman Hodes" w:hint="cs"/>
          <w:rtl/>
        </w:rPr>
        <w:t xml:space="preserve">(עי' אות </w:t>
      </w:r>
      <w:r w:rsidRPr="001248D5">
        <w:rPr>
          <w:rStyle w:val="af7"/>
          <w:rFonts w:eastAsia="Guttman Hodes"/>
          <w:rtl/>
        </w:rPr>
        <w:fldChar w:fldCharType="begin"/>
      </w:r>
      <w:r w:rsidRPr="001248D5">
        <w:rPr>
          <w:rStyle w:val="af7"/>
          <w:rFonts w:eastAsia="Guttman Hodes"/>
          <w:rtl/>
        </w:rPr>
        <w:instrText xml:space="preserve"> </w:instrText>
      </w:r>
      <w:r w:rsidRPr="001248D5">
        <w:rPr>
          <w:rStyle w:val="af7"/>
          <w:rFonts w:eastAsia="Guttman Hodes" w:hint="cs"/>
        </w:rPr>
        <w:instrText>REF</w:instrText>
      </w:r>
      <w:r w:rsidRPr="001248D5">
        <w:rPr>
          <w:rStyle w:val="af7"/>
          <w:rFonts w:eastAsia="Guttman Hodes" w:hint="cs"/>
          <w:rtl/>
        </w:rPr>
        <w:instrText xml:space="preserve"> _</w:instrText>
      </w:r>
      <w:r w:rsidRPr="001248D5">
        <w:rPr>
          <w:rStyle w:val="af7"/>
          <w:rFonts w:eastAsia="Guttman Hodes" w:hint="cs"/>
        </w:rPr>
        <w:instrText>Ref525419843 \r \h</w:instrText>
      </w:r>
      <w:r w:rsidRPr="001248D5">
        <w:rPr>
          <w:rStyle w:val="af7"/>
          <w:rFonts w:eastAsia="Guttman Hodes"/>
          <w:rtl/>
        </w:rPr>
        <w:instrText xml:space="preserve">  \* </w:instrText>
      </w:r>
      <w:r w:rsidRPr="001248D5">
        <w:rPr>
          <w:rStyle w:val="af7"/>
          <w:rFonts w:eastAsia="Guttman Hodes"/>
        </w:rPr>
        <w:instrText>MERGEFORMAT</w:instrText>
      </w:r>
      <w:r w:rsidRPr="001248D5">
        <w:rPr>
          <w:rStyle w:val="af7"/>
          <w:rFonts w:eastAsia="Guttman Hodes"/>
          <w:rtl/>
        </w:rPr>
        <w:instrText xml:space="preserve"> </w:instrText>
      </w:r>
      <w:r w:rsidRPr="001248D5">
        <w:rPr>
          <w:rStyle w:val="af7"/>
          <w:rFonts w:eastAsia="Guttman Hodes"/>
          <w:rtl/>
        </w:rPr>
      </w:r>
      <w:r w:rsidRPr="001248D5">
        <w:rPr>
          <w:rStyle w:val="af7"/>
          <w:rFonts w:eastAsia="Guttman Hodes"/>
          <w:rtl/>
        </w:rPr>
        <w:fldChar w:fldCharType="separate"/>
      </w:r>
      <w:r w:rsidR="00345400">
        <w:rPr>
          <w:rStyle w:val="af7"/>
          <w:rFonts w:eastAsia="Guttman Hodes"/>
          <w:cs/>
        </w:rPr>
        <w:t>‎</w:t>
      </w:r>
      <w:r w:rsidR="00345400">
        <w:rPr>
          <w:rStyle w:val="af7"/>
          <w:rFonts w:eastAsia="Guttman Hodes"/>
          <w:rtl/>
        </w:rPr>
        <w:t>ל)</w:t>
      </w:r>
      <w:r w:rsidRPr="001248D5">
        <w:rPr>
          <w:rStyle w:val="af7"/>
          <w:rFonts w:eastAsia="Guttman Hodes"/>
          <w:rtl/>
        </w:rPr>
        <w:fldChar w:fldCharType="end"/>
      </w:r>
      <w:r w:rsidRPr="001248D5">
        <w:rPr>
          <w:rFonts w:hint="cs"/>
          <w:rtl/>
        </w:rPr>
        <w:t>.</w:t>
      </w:r>
    </w:p>
    <w:p w14:paraId="79B7FC31" w14:textId="77777777" w:rsidR="00413DD0" w:rsidRDefault="00413DD0" w:rsidP="00BF39B2">
      <w:pPr>
        <w:pStyle w:val="1"/>
        <w:rPr>
          <w:rtl/>
        </w:rPr>
      </w:pPr>
      <w:bookmarkStart w:id="5180" w:name="_Toc526249179"/>
      <w:bookmarkStart w:id="5181" w:name="_Toc526415975"/>
      <w:bookmarkStart w:id="5182" w:name="_Toc526418193"/>
      <w:bookmarkStart w:id="5183" w:name="_Toc19389568"/>
      <w:bookmarkStart w:id="5184" w:name="_Toc19393065"/>
      <w:r>
        <w:rPr>
          <w:rFonts w:hint="cs"/>
          <w:rtl/>
        </w:rPr>
        <w:t>התירוץ הב' בתוס'</w:t>
      </w:r>
      <w:bookmarkEnd w:id="5157"/>
      <w:bookmarkEnd w:id="5158"/>
      <w:bookmarkEnd w:id="5159"/>
      <w:r>
        <w:rPr>
          <w:rFonts w:hint="cs"/>
          <w:rtl/>
        </w:rPr>
        <w:t xml:space="preserve"> דבמקוה א"א לומר אין ספק מוציא מידי ודאי</w:t>
      </w:r>
      <w:bookmarkEnd w:id="5160"/>
      <w:bookmarkEnd w:id="5161"/>
      <w:bookmarkEnd w:id="5180"/>
      <w:bookmarkEnd w:id="5181"/>
      <w:bookmarkEnd w:id="5182"/>
      <w:bookmarkEnd w:id="5183"/>
      <w:bookmarkEnd w:id="5184"/>
    </w:p>
    <w:p w14:paraId="2252D3BF" w14:textId="77777777" w:rsidR="00413DD0" w:rsidRPr="001E4A91" w:rsidRDefault="00413DD0" w:rsidP="006D6D32">
      <w:pPr>
        <w:pStyle w:val="a3"/>
        <w:rPr>
          <w:rtl/>
        </w:rPr>
      </w:pPr>
      <w:bookmarkStart w:id="5185" w:name="_Toc525594333"/>
      <w:bookmarkStart w:id="5186" w:name="_Toc526249180"/>
      <w:bookmarkStart w:id="5187" w:name="_Toc526415976"/>
      <w:bookmarkStart w:id="5188" w:name="_Toc526418194"/>
      <w:bookmarkStart w:id="5189" w:name="_Toc19389569"/>
      <w:bookmarkStart w:id="5190" w:name="_Toc19393066"/>
      <w:r>
        <w:rPr>
          <w:rFonts w:hint="cs"/>
          <w:rtl/>
        </w:rPr>
        <w:t>התי' הב' בתוס' דכיון שעצם ודאי פוגם אמרינן דהריעותא אינה בבהמה אלא בסכין</w:t>
      </w:r>
      <w:bookmarkEnd w:id="5185"/>
      <w:bookmarkEnd w:id="5186"/>
      <w:bookmarkEnd w:id="5187"/>
      <w:bookmarkEnd w:id="5188"/>
      <w:bookmarkEnd w:id="5189"/>
      <w:bookmarkEnd w:id="5190"/>
    </w:p>
    <w:p w14:paraId="5E92083F" w14:textId="77777777" w:rsidR="00413DD0" w:rsidRPr="00A017EB" w:rsidRDefault="00413DD0" w:rsidP="00223668">
      <w:pPr>
        <w:pStyle w:val="a0"/>
        <w:rPr>
          <w:rtl/>
        </w:rPr>
      </w:pPr>
      <w:bookmarkStart w:id="5191" w:name="_Ref523130901"/>
      <w:r w:rsidRPr="00DA0FF7">
        <w:rPr>
          <w:rStyle w:val="af9"/>
          <w:rFonts w:hint="cs"/>
          <w:rtl/>
        </w:rPr>
        <w:t>ובתירוצם ה</w:t>
      </w:r>
      <w:r>
        <w:rPr>
          <w:rStyle w:val="af9"/>
          <w:rFonts w:hint="cs"/>
          <w:rtl/>
        </w:rPr>
        <w:t xml:space="preserve">ב' </w:t>
      </w:r>
      <w:r w:rsidRPr="00DA0FF7">
        <w:rPr>
          <w:rFonts w:hint="cs"/>
          <w:rtl/>
        </w:rPr>
        <w:t>כתבו</w:t>
      </w:r>
      <w:r>
        <w:rPr>
          <w:rStyle w:val="af9"/>
          <w:rFonts w:hint="cs"/>
          <w:rtl/>
        </w:rPr>
        <w:t xml:space="preserve"> </w:t>
      </w:r>
      <w:r w:rsidRPr="002A20C4">
        <w:rPr>
          <w:rStyle w:val="af9"/>
          <w:rFonts w:hint="cs"/>
          <w:rtl/>
        </w:rPr>
        <w:t>התוס'</w:t>
      </w:r>
      <w:r>
        <w:rPr>
          <w:rFonts w:hint="cs"/>
          <w:rtl/>
        </w:rPr>
        <w:t xml:space="preserve"> דבסוגיין מעמידים את הסכין על חזקתו, כיון שאמרינן דעצם </w:t>
      </w:r>
      <w:r w:rsidRPr="00A017EB">
        <w:rPr>
          <w:rFonts w:hint="cs"/>
          <w:rtl/>
        </w:rPr>
        <w:t xml:space="preserve">ודאי פוגם, משא"כ במקוה דא"א לומר שהטמא ודאי טבל, דאי טבל במקוה חסר אי"ז טבילה כלל, ועי' במה שביארו </w:t>
      </w:r>
      <w:r w:rsidRPr="00A017EB">
        <w:rPr>
          <w:rStyle w:val="af9"/>
          <w:rFonts w:hint="cs"/>
          <w:rtl/>
        </w:rPr>
        <w:t xml:space="preserve">התוס' </w:t>
      </w:r>
      <w:r w:rsidRPr="00A017EB">
        <w:rPr>
          <w:rStyle w:val="af7"/>
          <w:rFonts w:eastAsia="Guttman Hodes" w:hint="cs"/>
          <w:rtl/>
        </w:rPr>
        <w:t xml:space="preserve">(הובאו דבריהם בסימן ו' אות לד) </w:t>
      </w:r>
      <w:r w:rsidRPr="00A017EB">
        <w:rPr>
          <w:rFonts w:hint="cs"/>
          <w:rtl/>
        </w:rPr>
        <w:t xml:space="preserve">לפי"ז את הלישנא בתרא ברב יוסף </w:t>
      </w:r>
      <w:r w:rsidRPr="00A017EB">
        <w:rPr>
          <w:rStyle w:val="af7"/>
          <w:rFonts w:eastAsia="Guttman Hodes" w:hint="cs"/>
          <w:rtl/>
        </w:rPr>
        <w:t>(י:)</w:t>
      </w:r>
      <w:r w:rsidRPr="00A017EB">
        <w:rPr>
          <w:rFonts w:hint="cs"/>
          <w:rtl/>
        </w:rPr>
        <w:t>.</w:t>
      </w:r>
      <w:bookmarkEnd w:id="5191"/>
    </w:p>
    <w:p w14:paraId="23534C21" w14:textId="77777777" w:rsidR="00413DD0" w:rsidRDefault="00413DD0" w:rsidP="00BF39B2">
      <w:pPr>
        <w:pStyle w:val="1"/>
        <w:rPr>
          <w:rtl/>
        </w:rPr>
      </w:pPr>
      <w:bookmarkStart w:id="5192" w:name="_Toc524638702"/>
      <w:bookmarkStart w:id="5193" w:name="_Toc525594337"/>
      <w:bookmarkStart w:id="5194" w:name="_Toc526249181"/>
      <w:bookmarkStart w:id="5195" w:name="_Toc526415977"/>
      <w:bookmarkStart w:id="5196" w:name="_Toc526418195"/>
      <w:bookmarkStart w:id="5197" w:name="_Toc19389570"/>
      <w:bookmarkStart w:id="5198" w:name="_Toc19393067"/>
      <w:r>
        <w:rPr>
          <w:rFonts w:hint="cs"/>
          <w:rtl/>
        </w:rPr>
        <w:t>ביאורי האחרונים בטעמא דר"ח לתירוץ הב' בתוס'</w:t>
      </w:r>
      <w:bookmarkEnd w:id="5192"/>
      <w:bookmarkEnd w:id="5193"/>
      <w:bookmarkEnd w:id="5194"/>
      <w:bookmarkEnd w:id="5195"/>
      <w:bookmarkEnd w:id="5196"/>
      <w:bookmarkEnd w:id="5197"/>
      <w:bookmarkEnd w:id="5198"/>
    </w:p>
    <w:p w14:paraId="4D9C4F66" w14:textId="77777777" w:rsidR="00413DD0" w:rsidRPr="001B3BBD" w:rsidRDefault="00413DD0" w:rsidP="006D6D32">
      <w:pPr>
        <w:pStyle w:val="a3"/>
        <w:rPr>
          <w:rtl/>
        </w:rPr>
      </w:pPr>
      <w:bookmarkStart w:id="5199" w:name="_Toc525594338"/>
      <w:bookmarkStart w:id="5200" w:name="_Toc526249182"/>
      <w:bookmarkStart w:id="5201" w:name="_Toc526415978"/>
      <w:bookmarkStart w:id="5202" w:name="_Toc526418196"/>
      <w:bookmarkStart w:id="5203" w:name="_Toc19389571"/>
      <w:bookmarkStart w:id="5204" w:name="_Toc19393068"/>
      <w:r>
        <w:rPr>
          <w:rFonts w:hint="cs"/>
          <w:rtl/>
        </w:rPr>
        <w:t>דברי המהרש"א והמהר"ם דלתי' הב' אף למסקנא ההיתר מדין אין ספק מוציא מידי ודאי</w:t>
      </w:r>
      <w:bookmarkEnd w:id="5199"/>
      <w:bookmarkEnd w:id="5200"/>
      <w:bookmarkEnd w:id="5201"/>
      <w:bookmarkEnd w:id="5202"/>
      <w:bookmarkEnd w:id="5203"/>
      <w:bookmarkEnd w:id="5204"/>
    </w:p>
    <w:p w14:paraId="009EEBDA" w14:textId="77777777" w:rsidR="00413DD0" w:rsidRPr="000C58E7" w:rsidRDefault="00413DD0" w:rsidP="00223668">
      <w:pPr>
        <w:pStyle w:val="a0"/>
        <w:rPr>
          <w:rtl/>
        </w:rPr>
      </w:pPr>
      <w:bookmarkStart w:id="5205" w:name="_Ref523310330"/>
      <w:r>
        <w:rPr>
          <w:rFonts w:hint="cs"/>
          <w:rtl/>
        </w:rPr>
        <w:t xml:space="preserve">וכתב </w:t>
      </w:r>
      <w:r w:rsidRPr="0063428E">
        <w:rPr>
          <w:rStyle w:val="af9"/>
          <w:rFonts w:hint="cs"/>
          <w:rtl/>
        </w:rPr>
        <w:t>המהרש"א</w:t>
      </w:r>
      <w:r>
        <w:rPr>
          <w:rFonts w:hint="cs"/>
          <w:rtl/>
        </w:rPr>
        <w:t xml:space="preserve"> </w:t>
      </w:r>
      <w:r w:rsidRPr="0063428E">
        <w:rPr>
          <w:rStyle w:val="af7"/>
          <w:rFonts w:eastAsia="Guttman Hodes" w:hint="cs"/>
          <w:rtl/>
        </w:rPr>
        <w:t xml:space="preserve">(ד"ה מ"ט) </w:t>
      </w:r>
      <w:r>
        <w:rPr>
          <w:rFonts w:hint="cs"/>
          <w:rtl/>
        </w:rPr>
        <w:t xml:space="preserve">דמבואר </w:t>
      </w:r>
      <w:r w:rsidRPr="00016D4C">
        <w:rPr>
          <w:rStyle w:val="af9"/>
          <w:rFonts w:hint="cs"/>
          <w:rtl/>
        </w:rPr>
        <w:t>מהתירוץ השני בתוס'</w:t>
      </w:r>
      <w:r>
        <w:rPr>
          <w:rFonts w:hint="cs"/>
          <w:rtl/>
        </w:rPr>
        <w:t xml:space="preserve"> דאף למסקנא נשאר הטעם דאין ספק מוציא מידי ודאי, דסברת רב חסדא היא דיותר מסתבר לתלות במפרקת מאשר לתלות בעור, ובמפרקת האחרונה ודאי תלינן כיון שאינו נזהר שלא לדחוק את הסכין, וכ"כ </w:t>
      </w:r>
      <w:r w:rsidRPr="00312D73">
        <w:rPr>
          <w:rStyle w:val="af9"/>
          <w:rFonts w:hint="cs"/>
          <w:rtl/>
        </w:rPr>
        <w:t>המהר"ם</w:t>
      </w:r>
      <w:r>
        <w:rPr>
          <w:rFonts w:hint="cs"/>
          <w:rtl/>
        </w:rPr>
        <w:t xml:space="preserve"> דעיקר ההיתר לרב חסדא הוא מסברת אין ספק מוציא מידי ודאי, והסברא דבהמה לא איתרעי, לא מהני להתיר</w:t>
      </w:r>
      <w:bookmarkEnd w:id="5205"/>
      <w:r>
        <w:rPr>
          <w:rFonts w:hint="cs"/>
          <w:rtl/>
        </w:rPr>
        <w:t xml:space="preserve">, </w:t>
      </w:r>
      <w:r w:rsidRPr="00F37E1E">
        <w:rPr>
          <w:rStyle w:val="afb"/>
          <w:rFonts w:hint="cs"/>
          <w:rtl/>
        </w:rPr>
        <w:t xml:space="preserve">[ודלא </w:t>
      </w:r>
      <w:r w:rsidRPr="00F37E1E">
        <w:rPr>
          <w:rStyle w:val="affa"/>
          <w:rFonts w:hint="cs"/>
          <w:rtl/>
        </w:rPr>
        <w:t>כרש"י</w:t>
      </w:r>
      <w:r w:rsidRPr="00F37E1E">
        <w:rPr>
          <w:rStyle w:val="afb"/>
          <w:rFonts w:hint="cs"/>
          <w:rtl/>
        </w:rPr>
        <w:t xml:space="preserve"> </w:t>
      </w:r>
      <w:r w:rsidRPr="00F37E1E">
        <w:rPr>
          <w:rStyle w:val="aff6"/>
          <w:rFonts w:hint="cs"/>
          <w:rtl/>
        </w:rPr>
        <w:t xml:space="preserve">(עי' אות </w:t>
      </w:r>
      <w:r w:rsidRPr="00F37E1E">
        <w:rPr>
          <w:rStyle w:val="aff6"/>
          <w:rtl/>
        </w:rPr>
        <w:fldChar w:fldCharType="begin"/>
      </w:r>
      <w:r w:rsidRPr="00F37E1E">
        <w:rPr>
          <w:rStyle w:val="aff6"/>
          <w:rtl/>
        </w:rPr>
        <w:instrText xml:space="preserve"> </w:instrText>
      </w:r>
      <w:r w:rsidRPr="00F37E1E">
        <w:rPr>
          <w:rStyle w:val="aff6"/>
          <w:rFonts w:hint="cs"/>
        </w:rPr>
        <w:instrText>REF</w:instrText>
      </w:r>
      <w:r w:rsidRPr="00F37E1E">
        <w:rPr>
          <w:rStyle w:val="aff6"/>
          <w:rFonts w:hint="cs"/>
          <w:rtl/>
        </w:rPr>
        <w:instrText xml:space="preserve"> _</w:instrText>
      </w:r>
      <w:r w:rsidRPr="00F37E1E">
        <w:rPr>
          <w:rStyle w:val="aff6"/>
          <w:rFonts w:hint="cs"/>
        </w:rPr>
        <w:instrText>Ref523307318 \r \h</w:instrText>
      </w:r>
      <w:r w:rsidRPr="00F37E1E">
        <w:rPr>
          <w:rStyle w:val="aff6"/>
          <w:rtl/>
        </w:rPr>
        <w:instrText xml:space="preserve"> </w:instrText>
      </w:r>
      <w:r w:rsidRPr="00F37E1E">
        <w:rPr>
          <w:rStyle w:val="aff6"/>
          <w:rtl/>
        </w:rPr>
      </w:r>
      <w:r w:rsidRPr="00F37E1E">
        <w:rPr>
          <w:rStyle w:val="aff6"/>
          <w:rtl/>
        </w:rPr>
        <w:fldChar w:fldCharType="separate"/>
      </w:r>
      <w:r w:rsidR="00345400">
        <w:rPr>
          <w:rStyle w:val="aff6"/>
          <w:cs/>
        </w:rPr>
        <w:t>‎</w:t>
      </w:r>
      <w:r w:rsidR="00345400">
        <w:rPr>
          <w:rStyle w:val="aff6"/>
          <w:rtl/>
        </w:rPr>
        <w:t>ח)</w:t>
      </w:r>
      <w:r w:rsidRPr="00F37E1E">
        <w:rPr>
          <w:rStyle w:val="aff6"/>
          <w:rtl/>
        </w:rPr>
        <w:fldChar w:fldCharType="end"/>
      </w:r>
      <w:r w:rsidRPr="00F37E1E">
        <w:rPr>
          <w:rStyle w:val="aff6"/>
          <w:rFonts w:hint="cs"/>
          <w:rtl/>
        </w:rPr>
        <w:t xml:space="preserve"> </w:t>
      </w:r>
      <w:r w:rsidRPr="00F37E1E">
        <w:rPr>
          <w:rStyle w:val="affa"/>
          <w:rFonts w:hint="cs"/>
          <w:rtl/>
        </w:rPr>
        <w:t>והתירוץ הג' בתוס'</w:t>
      </w:r>
      <w:r w:rsidRPr="00F37E1E">
        <w:rPr>
          <w:rStyle w:val="afb"/>
          <w:rFonts w:hint="cs"/>
          <w:rtl/>
        </w:rPr>
        <w:t xml:space="preserve"> </w:t>
      </w:r>
      <w:r w:rsidRPr="00F37E1E">
        <w:rPr>
          <w:rStyle w:val="aff6"/>
          <w:rFonts w:hint="cs"/>
          <w:rtl/>
        </w:rPr>
        <w:t xml:space="preserve">(עי' אות </w:t>
      </w:r>
      <w:r w:rsidRPr="00F37E1E">
        <w:rPr>
          <w:rStyle w:val="aff6"/>
          <w:rtl/>
        </w:rPr>
        <w:fldChar w:fldCharType="begin"/>
      </w:r>
      <w:r w:rsidRPr="00F37E1E">
        <w:rPr>
          <w:rStyle w:val="aff6"/>
          <w:rtl/>
        </w:rPr>
        <w:instrText xml:space="preserve"> </w:instrText>
      </w:r>
      <w:r w:rsidRPr="00F37E1E">
        <w:rPr>
          <w:rStyle w:val="aff6"/>
          <w:rFonts w:hint="cs"/>
        </w:rPr>
        <w:instrText>REF</w:instrText>
      </w:r>
      <w:r w:rsidRPr="00F37E1E">
        <w:rPr>
          <w:rStyle w:val="aff6"/>
          <w:rFonts w:hint="cs"/>
          <w:rtl/>
        </w:rPr>
        <w:instrText xml:space="preserve"> _</w:instrText>
      </w:r>
      <w:r w:rsidRPr="00F37E1E">
        <w:rPr>
          <w:rStyle w:val="aff6"/>
          <w:rFonts w:hint="cs"/>
        </w:rPr>
        <w:instrText>Ref523310198 \r \h</w:instrText>
      </w:r>
      <w:r w:rsidRPr="00F37E1E">
        <w:rPr>
          <w:rStyle w:val="aff6"/>
          <w:rtl/>
        </w:rPr>
        <w:instrText xml:space="preserve">  \* </w:instrText>
      </w:r>
      <w:r w:rsidRPr="00F37E1E">
        <w:rPr>
          <w:rStyle w:val="aff6"/>
        </w:rPr>
        <w:instrText>MERGEFORMAT</w:instrText>
      </w:r>
      <w:r w:rsidRPr="00F37E1E">
        <w:rPr>
          <w:rStyle w:val="aff6"/>
          <w:rtl/>
        </w:rPr>
        <w:instrText xml:space="preserve"> </w:instrText>
      </w:r>
      <w:r w:rsidRPr="00F37E1E">
        <w:rPr>
          <w:rStyle w:val="aff6"/>
          <w:rtl/>
        </w:rPr>
      </w:r>
      <w:r w:rsidRPr="00F37E1E">
        <w:rPr>
          <w:rStyle w:val="aff6"/>
          <w:rtl/>
        </w:rPr>
        <w:fldChar w:fldCharType="separate"/>
      </w:r>
      <w:r w:rsidR="00345400">
        <w:rPr>
          <w:rStyle w:val="aff6"/>
          <w:cs/>
        </w:rPr>
        <w:t>‎</w:t>
      </w:r>
      <w:r w:rsidR="00345400">
        <w:rPr>
          <w:rStyle w:val="aff6"/>
          <w:rtl/>
        </w:rPr>
        <w:t>מ)</w:t>
      </w:r>
      <w:r w:rsidRPr="00F37E1E">
        <w:rPr>
          <w:rStyle w:val="aff6"/>
          <w:rtl/>
        </w:rPr>
        <w:fldChar w:fldCharType="end"/>
      </w:r>
      <w:r w:rsidRPr="00F37E1E">
        <w:rPr>
          <w:rStyle w:val="afb"/>
          <w:rFonts w:hint="cs"/>
          <w:rtl/>
        </w:rPr>
        <w:t>]</w:t>
      </w:r>
      <w:r>
        <w:rPr>
          <w:rStyle w:val="afb"/>
          <w:rFonts w:hint="cs"/>
          <w:rtl/>
        </w:rPr>
        <w:t>,</w:t>
      </w:r>
      <w:r w:rsidRPr="000C58E7">
        <w:rPr>
          <w:rFonts w:hint="cs"/>
          <w:rtl/>
        </w:rPr>
        <w:t xml:space="preserve"> וכ"כ </w:t>
      </w:r>
      <w:r w:rsidRPr="000C58E7">
        <w:rPr>
          <w:rStyle w:val="af9"/>
          <w:rFonts w:hint="cs"/>
          <w:rtl/>
        </w:rPr>
        <w:t>הגרעק"א</w:t>
      </w:r>
      <w:r w:rsidRPr="000C58E7">
        <w:rPr>
          <w:rFonts w:hint="cs"/>
          <w:rtl/>
        </w:rPr>
        <w:t xml:space="preserve"> </w:t>
      </w:r>
      <w:r w:rsidRPr="000C58E7">
        <w:rPr>
          <w:rStyle w:val="af7"/>
          <w:rFonts w:eastAsia="Guttman Hodes" w:hint="cs"/>
          <w:rtl/>
        </w:rPr>
        <w:t>(על תוד"ה והא)</w:t>
      </w:r>
      <w:r>
        <w:rPr>
          <w:rFonts w:hint="cs"/>
          <w:rtl/>
        </w:rPr>
        <w:t>,</w:t>
      </w:r>
      <w:r w:rsidRPr="000C58E7">
        <w:rPr>
          <w:rFonts w:hint="cs"/>
          <w:rtl/>
        </w:rPr>
        <w:t xml:space="preserve"> וכן מבואר </w:t>
      </w:r>
      <w:r w:rsidRPr="000C58E7">
        <w:rPr>
          <w:rStyle w:val="af9"/>
          <w:rFonts w:hint="cs"/>
          <w:rtl/>
        </w:rPr>
        <w:t>ברמב"ן</w:t>
      </w:r>
      <w:r w:rsidRPr="000C58E7">
        <w:rPr>
          <w:rFonts w:hint="cs"/>
          <w:rtl/>
        </w:rPr>
        <w:t xml:space="preserve"> </w:t>
      </w:r>
      <w:r w:rsidRPr="000C58E7">
        <w:rPr>
          <w:rStyle w:val="af7"/>
          <w:rFonts w:eastAsia="Guttman Hodes" w:hint="cs"/>
          <w:rtl/>
        </w:rPr>
        <w:t xml:space="preserve">(עי' אות </w:t>
      </w:r>
      <w:r w:rsidRPr="000C58E7">
        <w:rPr>
          <w:rStyle w:val="af7"/>
          <w:rFonts w:eastAsia="Guttman Hodes"/>
          <w:rtl/>
        </w:rPr>
        <w:fldChar w:fldCharType="begin"/>
      </w:r>
      <w:r w:rsidRPr="000C58E7">
        <w:rPr>
          <w:rStyle w:val="af7"/>
          <w:rFonts w:eastAsia="Guttman Hodes"/>
          <w:rtl/>
        </w:rPr>
        <w:instrText xml:space="preserve"> </w:instrText>
      </w:r>
      <w:r w:rsidRPr="000C58E7">
        <w:rPr>
          <w:rStyle w:val="af7"/>
          <w:rFonts w:eastAsia="Guttman Hodes" w:hint="cs"/>
        </w:rPr>
        <w:instrText>REF</w:instrText>
      </w:r>
      <w:r w:rsidRPr="000C58E7">
        <w:rPr>
          <w:rStyle w:val="af7"/>
          <w:rFonts w:eastAsia="Guttman Hodes" w:hint="cs"/>
          <w:rtl/>
        </w:rPr>
        <w:instrText xml:space="preserve"> _</w:instrText>
      </w:r>
      <w:r w:rsidRPr="000C58E7">
        <w:rPr>
          <w:rStyle w:val="af7"/>
          <w:rFonts w:eastAsia="Guttman Hodes" w:hint="cs"/>
        </w:rPr>
        <w:instrText>Ref526412319 \r \h</w:instrText>
      </w:r>
      <w:r w:rsidRPr="000C58E7">
        <w:rPr>
          <w:rStyle w:val="af7"/>
          <w:rFonts w:eastAsia="Guttman Hodes"/>
          <w:rtl/>
        </w:rPr>
        <w:instrText xml:space="preserve"> </w:instrText>
      </w:r>
      <w:r w:rsidRPr="000C58E7">
        <w:rPr>
          <w:rStyle w:val="af7"/>
          <w:rFonts w:eastAsia="Guttman Hodes"/>
          <w:rtl/>
        </w:rPr>
      </w:r>
      <w:r w:rsidRPr="000C58E7">
        <w:rPr>
          <w:rStyle w:val="af7"/>
          <w:rFonts w:eastAsia="Guttman Hodes"/>
          <w:rtl/>
        </w:rPr>
        <w:fldChar w:fldCharType="separate"/>
      </w:r>
      <w:r w:rsidR="00345400">
        <w:rPr>
          <w:rStyle w:val="af7"/>
          <w:rFonts w:eastAsia="Guttman Hodes"/>
          <w:cs/>
        </w:rPr>
        <w:t>‎</w:t>
      </w:r>
      <w:r w:rsidR="00345400">
        <w:rPr>
          <w:rStyle w:val="af7"/>
          <w:rFonts w:eastAsia="Guttman Hodes"/>
          <w:rtl/>
        </w:rPr>
        <w:t>ל)</w:t>
      </w:r>
      <w:r w:rsidRPr="000C58E7">
        <w:rPr>
          <w:rStyle w:val="af7"/>
          <w:rFonts w:eastAsia="Guttman Hodes"/>
          <w:rtl/>
        </w:rPr>
        <w:fldChar w:fldCharType="end"/>
      </w:r>
      <w:r>
        <w:rPr>
          <w:rFonts w:hint="cs"/>
          <w:rtl/>
        </w:rPr>
        <w:t xml:space="preserve"> </w:t>
      </w:r>
      <w:r w:rsidRPr="000C58E7">
        <w:rPr>
          <w:rStyle w:val="af9"/>
          <w:rFonts w:hint="cs"/>
          <w:rtl/>
        </w:rPr>
        <w:t>וברשב"א</w:t>
      </w:r>
      <w:r w:rsidRPr="000C58E7">
        <w:rPr>
          <w:rFonts w:hint="cs"/>
          <w:rtl/>
        </w:rPr>
        <w:t xml:space="preserve"> </w:t>
      </w:r>
      <w:r w:rsidRPr="000C58E7">
        <w:rPr>
          <w:rStyle w:val="af7"/>
          <w:rFonts w:eastAsia="Guttman Hodes" w:hint="cs"/>
          <w:rtl/>
        </w:rPr>
        <w:t xml:space="preserve">(עי' אות </w:t>
      </w:r>
      <w:r w:rsidRPr="000C58E7">
        <w:rPr>
          <w:rStyle w:val="af7"/>
          <w:rFonts w:eastAsia="Guttman Hodes"/>
          <w:rtl/>
        </w:rPr>
        <w:fldChar w:fldCharType="begin"/>
      </w:r>
      <w:r w:rsidRPr="000C58E7">
        <w:rPr>
          <w:rStyle w:val="af7"/>
          <w:rFonts w:eastAsia="Guttman Hodes"/>
          <w:rtl/>
        </w:rPr>
        <w:instrText xml:space="preserve"> </w:instrText>
      </w:r>
      <w:r w:rsidRPr="000C58E7">
        <w:rPr>
          <w:rStyle w:val="af7"/>
          <w:rFonts w:eastAsia="Guttman Hodes" w:hint="cs"/>
        </w:rPr>
        <w:instrText>REF</w:instrText>
      </w:r>
      <w:r w:rsidRPr="000C58E7">
        <w:rPr>
          <w:rStyle w:val="af7"/>
          <w:rFonts w:eastAsia="Guttman Hodes" w:hint="cs"/>
          <w:rtl/>
        </w:rPr>
        <w:instrText xml:space="preserve"> _</w:instrText>
      </w:r>
      <w:r w:rsidRPr="000C58E7">
        <w:rPr>
          <w:rStyle w:val="af7"/>
          <w:rFonts w:eastAsia="Guttman Hodes" w:hint="cs"/>
        </w:rPr>
        <w:instrText>Ref526412338 \r \h</w:instrText>
      </w:r>
      <w:r w:rsidRPr="000C58E7">
        <w:rPr>
          <w:rStyle w:val="af7"/>
          <w:rFonts w:eastAsia="Guttman Hodes"/>
          <w:rtl/>
        </w:rPr>
        <w:instrText xml:space="preserve"> </w:instrText>
      </w:r>
      <w:r w:rsidRPr="000C58E7">
        <w:rPr>
          <w:rStyle w:val="af7"/>
          <w:rFonts w:eastAsia="Guttman Hodes"/>
          <w:rtl/>
        </w:rPr>
      </w:r>
      <w:r w:rsidRPr="000C58E7">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0C58E7">
        <w:rPr>
          <w:rStyle w:val="af7"/>
          <w:rFonts w:eastAsia="Guttman Hodes"/>
          <w:rtl/>
        </w:rPr>
        <w:fldChar w:fldCharType="end"/>
      </w:r>
      <w:r>
        <w:rPr>
          <w:rFonts w:hint="cs"/>
          <w:rtl/>
        </w:rPr>
        <w:t>.</w:t>
      </w:r>
    </w:p>
    <w:p w14:paraId="6BCABDF8" w14:textId="77777777" w:rsidR="00413DD0" w:rsidRDefault="00413DD0" w:rsidP="006D6D32">
      <w:pPr>
        <w:pStyle w:val="a3"/>
        <w:rPr>
          <w:rtl/>
        </w:rPr>
      </w:pPr>
      <w:bookmarkStart w:id="5206" w:name="_Toc525594339"/>
      <w:bookmarkStart w:id="5207" w:name="_Toc526249183"/>
      <w:bookmarkStart w:id="5208" w:name="_Toc526415979"/>
      <w:bookmarkStart w:id="5209" w:name="_Toc526418197"/>
      <w:bookmarkStart w:id="5210" w:name="_Toc19389572"/>
      <w:bookmarkStart w:id="5211" w:name="_Toc19393069"/>
      <w:r>
        <w:rPr>
          <w:rFonts w:hint="cs"/>
          <w:rtl/>
        </w:rPr>
        <w:t>ביאור הראש יוסף דע"י ב' הסברות החזקה דהשתא דסכין פגום לפניך היא כמאן דליתא</w:t>
      </w:r>
      <w:bookmarkEnd w:id="5206"/>
      <w:bookmarkEnd w:id="5207"/>
      <w:bookmarkEnd w:id="5208"/>
      <w:bookmarkEnd w:id="5209"/>
      <w:bookmarkEnd w:id="5210"/>
      <w:bookmarkEnd w:id="5211"/>
    </w:p>
    <w:p w14:paraId="5BE6C0A4" w14:textId="77777777" w:rsidR="00413DD0" w:rsidRDefault="00413DD0" w:rsidP="00223668">
      <w:pPr>
        <w:pStyle w:val="a0"/>
        <w:rPr>
          <w:rStyle w:val="afb"/>
          <w:rtl/>
        </w:rPr>
      </w:pPr>
      <w:r>
        <w:rPr>
          <w:rFonts w:hint="cs"/>
          <w:rtl/>
        </w:rPr>
        <w:t xml:space="preserve">וכ"כ </w:t>
      </w:r>
      <w:r w:rsidRPr="007C38B9">
        <w:rPr>
          <w:rStyle w:val="af9"/>
          <w:rFonts w:hint="cs"/>
          <w:rtl/>
        </w:rPr>
        <w:t>הראש יוסף</w:t>
      </w:r>
      <w:r>
        <w:rPr>
          <w:rFonts w:hint="cs"/>
          <w:rtl/>
        </w:rPr>
        <w:t xml:space="preserve"> </w:t>
      </w:r>
      <w:r w:rsidRPr="007C38B9">
        <w:rPr>
          <w:rStyle w:val="af7"/>
          <w:rFonts w:eastAsia="Guttman Hodes" w:hint="cs"/>
          <w:rtl/>
        </w:rPr>
        <w:t>(ד"ה ועוד תירצו)</w:t>
      </w:r>
      <w:r>
        <w:rPr>
          <w:rFonts w:hint="cs"/>
          <w:rtl/>
        </w:rPr>
        <w:t xml:space="preserve"> </w:t>
      </w:r>
      <w:r w:rsidRPr="007C38B9">
        <w:rPr>
          <w:rStyle w:val="af9"/>
          <w:rFonts w:hint="cs"/>
          <w:rtl/>
        </w:rPr>
        <w:t>דלתירוץ הב' בתוס'</w:t>
      </w:r>
      <w:r>
        <w:rPr>
          <w:rFonts w:hint="cs"/>
          <w:rtl/>
        </w:rPr>
        <w:t xml:space="preserve"> התיר רב חסדא מכח ב' הסברות דבהמה לא איתרעי, ואין ספק מוציא מידי ודאי, וביאר </w:t>
      </w:r>
      <w:r w:rsidRPr="007C38B9">
        <w:rPr>
          <w:rStyle w:val="af9"/>
          <w:rFonts w:hint="cs"/>
          <w:rtl/>
        </w:rPr>
        <w:t>הראש יוסף</w:t>
      </w:r>
      <w:r>
        <w:rPr>
          <w:rFonts w:hint="cs"/>
          <w:rtl/>
        </w:rPr>
        <w:t xml:space="preserve"> דלכן החזקה דהשתא דהרי פגום לפניך היא כמאן דליתא, אבל במקוה שאין במה לתלות יש את החזקה דהשתא,</w:t>
      </w:r>
      <w:r w:rsidRPr="007C38B9">
        <w:rPr>
          <w:rStyle w:val="afb"/>
          <w:rFonts w:hint="cs"/>
          <w:rtl/>
        </w:rPr>
        <w:t xml:space="preserve"> [ויחד עם החזקת טמא הוי תרתי לריעותא].</w:t>
      </w:r>
    </w:p>
    <w:p w14:paraId="3E792806" w14:textId="77777777" w:rsidR="00413DD0" w:rsidRDefault="00413DD0" w:rsidP="006D6D32">
      <w:pPr>
        <w:pStyle w:val="a3"/>
        <w:rPr>
          <w:rtl/>
        </w:rPr>
      </w:pPr>
      <w:bookmarkStart w:id="5212" w:name="_Toc526249184"/>
      <w:bookmarkStart w:id="5213" w:name="_Toc526415980"/>
      <w:bookmarkStart w:id="5214" w:name="_Toc526418198"/>
      <w:bookmarkStart w:id="5215" w:name="_Toc19389573"/>
      <w:bookmarkStart w:id="5216" w:name="_Toc19393070"/>
      <w:r>
        <w:rPr>
          <w:rFonts w:hint="cs"/>
          <w:rtl/>
        </w:rPr>
        <w:t>ביאור החזו"א בתי' הב' בתוס' דלרב חסדא כיון שאין הריעותא בגוף הבהמה מהני תליה</w:t>
      </w:r>
      <w:bookmarkEnd w:id="5212"/>
      <w:bookmarkEnd w:id="5213"/>
      <w:bookmarkEnd w:id="5214"/>
      <w:bookmarkEnd w:id="5215"/>
      <w:bookmarkEnd w:id="5216"/>
    </w:p>
    <w:p w14:paraId="49013CDB" w14:textId="77777777" w:rsidR="00413DD0" w:rsidRDefault="00413DD0" w:rsidP="00223668">
      <w:pPr>
        <w:pStyle w:val="a0"/>
        <w:rPr>
          <w:rtl/>
        </w:rPr>
      </w:pPr>
      <w:r>
        <w:rPr>
          <w:rStyle w:val="af9"/>
          <w:rFonts w:hint="cs"/>
          <w:rtl/>
        </w:rPr>
        <w:t>ו</w:t>
      </w:r>
      <w:r w:rsidRPr="002E477D">
        <w:rPr>
          <w:rStyle w:val="af9"/>
          <w:rFonts w:hint="cs"/>
          <w:rtl/>
        </w:rPr>
        <w:t>החזו"א</w:t>
      </w:r>
      <w:r>
        <w:rPr>
          <w:rFonts w:hint="cs"/>
          <w:rtl/>
        </w:rPr>
        <w:t xml:space="preserve"> </w:t>
      </w:r>
      <w:r w:rsidRPr="002E477D">
        <w:rPr>
          <w:rStyle w:val="af7"/>
          <w:rFonts w:eastAsia="Guttman Hodes" w:hint="cs"/>
          <w:rtl/>
        </w:rPr>
        <w:t>(כתובות סי' פ' כ"ג ד"ה ובתירוץ ב')</w:t>
      </w:r>
      <w:r>
        <w:rPr>
          <w:rFonts w:hint="cs"/>
          <w:rtl/>
        </w:rPr>
        <w:t xml:space="preserve"> ביאר </w:t>
      </w:r>
      <w:r>
        <w:rPr>
          <w:rStyle w:val="af9"/>
          <w:rFonts w:hint="cs"/>
          <w:rtl/>
        </w:rPr>
        <w:t>ב</w:t>
      </w:r>
      <w:r w:rsidRPr="002E477D">
        <w:rPr>
          <w:rStyle w:val="af9"/>
          <w:rFonts w:hint="cs"/>
          <w:rtl/>
        </w:rPr>
        <w:t>תירוץ הב' בתוס'</w:t>
      </w:r>
      <w:r>
        <w:rPr>
          <w:rFonts w:hint="cs"/>
          <w:rtl/>
        </w:rPr>
        <w:t xml:space="preserve"> דלדעת רב חסדא כיון שהריעותא אינה בגוף הבהמה, תלינן במפרקת, דכל מפרקת היא תליה כמו בשיבר בה עצמות, כיון שרק בסוף השחיטה אינו נזהר שלא לדחוק את הסכין, ודוחקו </w:t>
      </w:r>
      <w:r w:rsidRPr="00EE516F">
        <w:rPr>
          <w:rFonts w:hint="cs"/>
          <w:rtl/>
        </w:rPr>
        <w:t xml:space="preserve">במפרקת ופוגם, [כדביארו </w:t>
      </w:r>
      <w:r w:rsidRPr="00EE516F">
        <w:rPr>
          <w:rStyle w:val="af9"/>
          <w:rFonts w:hint="cs"/>
          <w:rtl/>
        </w:rPr>
        <w:t xml:space="preserve">התוס' </w:t>
      </w:r>
      <w:r w:rsidRPr="00EE516F">
        <w:rPr>
          <w:rFonts w:hint="cs"/>
          <w:rtl/>
        </w:rPr>
        <w:t>בלישנא בתרא דרב יוסף].</w:t>
      </w:r>
    </w:p>
    <w:p w14:paraId="4F886CC2" w14:textId="77777777" w:rsidR="00413DD0" w:rsidRPr="00096011" w:rsidRDefault="00413DD0" w:rsidP="006D6D32">
      <w:pPr>
        <w:pStyle w:val="a3"/>
        <w:rPr>
          <w:rtl/>
        </w:rPr>
      </w:pPr>
    </w:p>
    <w:p w14:paraId="3FC12817" w14:textId="77777777" w:rsidR="00413DD0" w:rsidRPr="00E16AF1" w:rsidRDefault="00413DD0" w:rsidP="00BF39B2">
      <w:pPr>
        <w:pStyle w:val="1"/>
        <w:rPr>
          <w:rtl/>
        </w:rPr>
      </w:pPr>
      <w:bookmarkStart w:id="5217" w:name="_Toc19389574"/>
      <w:bookmarkStart w:id="5218" w:name="_Toc19393071"/>
      <w:bookmarkStart w:id="5219" w:name="_Toc525594340"/>
      <w:bookmarkStart w:id="5220" w:name="_Toc526249185"/>
      <w:bookmarkStart w:id="5221" w:name="_Toc526415981"/>
      <w:bookmarkStart w:id="5222" w:name="_Toc526418199"/>
      <w:bookmarkStart w:id="5223" w:name="_Toc524638703"/>
      <w:r>
        <w:rPr>
          <w:rFonts w:hint="cs"/>
          <w:rtl/>
        </w:rPr>
        <w:t>תירוץ</w:t>
      </w:r>
      <w:r w:rsidRPr="00E16AF1">
        <w:rPr>
          <w:rFonts w:hint="cs"/>
          <w:rtl/>
        </w:rPr>
        <w:t xml:space="preserve"> הרמב"ן</w:t>
      </w:r>
      <w:r>
        <w:rPr>
          <w:rFonts w:hint="cs"/>
          <w:rtl/>
        </w:rPr>
        <w:t xml:space="preserve"> דרק בתליה התיר ר"ח מסברת בהמה לא איתרעי</w:t>
      </w:r>
      <w:bookmarkEnd w:id="5217"/>
      <w:bookmarkEnd w:id="5218"/>
      <w:r>
        <w:rPr>
          <w:rFonts w:hint="cs"/>
          <w:rtl/>
        </w:rPr>
        <w:t xml:space="preserve"> </w:t>
      </w:r>
      <w:bookmarkEnd w:id="5219"/>
      <w:bookmarkEnd w:id="5220"/>
      <w:bookmarkEnd w:id="5221"/>
      <w:bookmarkEnd w:id="5222"/>
    </w:p>
    <w:p w14:paraId="702BDD7C" w14:textId="77777777" w:rsidR="00413DD0" w:rsidRPr="00A26FD2" w:rsidRDefault="00413DD0" w:rsidP="006D6D32">
      <w:pPr>
        <w:pStyle w:val="a3"/>
        <w:rPr>
          <w:rtl/>
        </w:rPr>
      </w:pPr>
      <w:bookmarkStart w:id="5224" w:name="_Toc525594341"/>
      <w:bookmarkStart w:id="5225" w:name="_Toc526249186"/>
      <w:bookmarkStart w:id="5226" w:name="_Toc526415982"/>
      <w:bookmarkStart w:id="5227" w:name="_Toc526418200"/>
      <w:bookmarkStart w:id="5228" w:name="_Toc19389575"/>
      <w:bookmarkStart w:id="5229" w:name="_Toc19393072"/>
      <w:r>
        <w:rPr>
          <w:rFonts w:hint="cs"/>
          <w:rtl/>
        </w:rPr>
        <w:t>תירוץ הרמב"ן דכאין הריעותא בבהמה מהני תליה ובמקוה שנמצא חסר אין תליה</w:t>
      </w:r>
      <w:bookmarkEnd w:id="5224"/>
      <w:bookmarkEnd w:id="5225"/>
      <w:bookmarkEnd w:id="5226"/>
      <w:bookmarkEnd w:id="5227"/>
      <w:bookmarkEnd w:id="5228"/>
      <w:bookmarkEnd w:id="5229"/>
    </w:p>
    <w:p w14:paraId="5DDCC3CC" w14:textId="77777777" w:rsidR="00413DD0" w:rsidRDefault="00413DD0" w:rsidP="00223668">
      <w:pPr>
        <w:pStyle w:val="a0"/>
        <w:rPr>
          <w:rStyle w:val="af9"/>
          <w:b w:val="0"/>
          <w:bCs w:val="0"/>
          <w:rtl/>
        </w:rPr>
      </w:pPr>
      <w:bookmarkStart w:id="5230" w:name="_Ref526412319"/>
      <w:bookmarkStart w:id="5231" w:name="_Ref525419843"/>
      <w:r>
        <w:rPr>
          <w:rStyle w:val="af9"/>
          <w:rFonts w:hint="cs"/>
          <w:rtl/>
        </w:rPr>
        <w:t>ו</w:t>
      </w:r>
      <w:r w:rsidRPr="004B4418">
        <w:rPr>
          <w:rStyle w:val="af9"/>
          <w:rFonts w:hint="cs"/>
          <w:rtl/>
        </w:rPr>
        <w:t>הרמב"ן</w:t>
      </w:r>
      <w:r>
        <w:rPr>
          <w:rFonts w:hint="cs"/>
          <w:rtl/>
        </w:rPr>
        <w:t xml:space="preserve"> </w:t>
      </w:r>
      <w:r w:rsidRPr="00727D05">
        <w:rPr>
          <w:rStyle w:val="af7"/>
          <w:rFonts w:eastAsia="Guttman Hodes" w:hint="cs"/>
          <w:rtl/>
        </w:rPr>
        <w:t>(ד"ה ואיכא)</w:t>
      </w:r>
      <w:r w:rsidRPr="00003A32">
        <w:rPr>
          <w:rFonts w:hint="cs"/>
          <w:rtl/>
        </w:rPr>
        <w:t xml:space="preserve"> </w:t>
      </w:r>
      <w:r>
        <w:rPr>
          <w:rFonts w:hint="cs"/>
          <w:rtl/>
        </w:rPr>
        <w:t xml:space="preserve">תירץ דכל מה </w:t>
      </w:r>
      <w:r w:rsidRPr="00AC0543">
        <w:rPr>
          <w:rFonts w:hint="cs"/>
          <w:rtl/>
        </w:rPr>
        <w:t xml:space="preserve">שאפשר לחלק אם הריעותא היא בדבר עצמו או בדבר אחר, הוא רק כשיש במה לתלות אבל במקוה שנמצא חסר, כיון דחסר לפניך ואין במה לתלות לקולא, לכן כל הטהרות טמאות, אף שהריעותא היא במקוה ולא </w:t>
      </w:r>
      <w:r w:rsidRPr="00815F27">
        <w:rPr>
          <w:rFonts w:hint="cs"/>
          <w:rtl/>
        </w:rPr>
        <w:t>בגברא הטובל.</w:t>
      </w:r>
      <w:bookmarkEnd w:id="5230"/>
    </w:p>
    <w:p w14:paraId="79505CB8" w14:textId="77777777" w:rsidR="00413DD0" w:rsidRPr="00FE64C9" w:rsidRDefault="00413DD0" w:rsidP="006D6D32">
      <w:pPr>
        <w:pStyle w:val="a3"/>
      </w:pPr>
      <w:bookmarkStart w:id="5232" w:name="_Toc525594342"/>
      <w:bookmarkStart w:id="5233" w:name="_Toc526249187"/>
      <w:bookmarkStart w:id="5234" w:name="_Toc526415983"/>
      <w:bookmarkStart w:id="5235" w:name="_Toc526418201"/>
      <w:bookmarkStart w:id="5236" w:name="_Toc19389576"/>
      <w:bookmarkStart w:id="5237" w:name="_Toc19393073"/>
      <w:r>
        <w:rPr>
          <w:rFonts w:hint="cs"/>
          <w:rtl/>
        </w:rPr>
        <w:t>ביאור הרשב"א דבמקוה שנמצא חסר כיון שאין תליה חשיב שהריעותא היא בטבילה עצמה</w:t>
      </w:r>
      <w:bookmarkEnd w:id="5232"/>
      <w:bookmarkEnd w:id="5233"/>
      <w:bookmarkEnd w:id="5234"/>
      <w:bookmarkEnd w:id="5235"/>
      <w:bookmarkEnd w:id="5236"/>
      <w:bookmarkEnd w:id="5237"/>
    </w:p>
    <w:p w14:paraId="1B020977" w14:textId="77777777" w:rsidR="00413DD0" w:rsidRDefault="00413DD0" w:rsidP="00223668">
      <w:pPr>
        <w:pStyle w:val="a0"/>
        <w:rPr>
          <w:rtl/>
        </w:rPr>
      </w:pPr>
      <w:bookmarkStart w:id="5238" w:name="_Ref526412338"/>
      <w:r>
        <w:rPr>
          <w:rStyle w:val="af9"/>
          <w:rFonts w:hint="cs"/>
          <w:rtl/>
        </w:rPr>
        <w:t>ו</w:t>
      </w:r>
      <w:r w:rsidRPr="00815F27">
        <w:rPr>
          <w:rStyle w:val="af9"/>
          <w:rFonts w:hint="cs"/>
          <w:rtl/>
        </w:rPr>
        <w:t>הרשב"א בחי'</w:t>
      </w:r>
      <w:r w:rsidRPr="00815F27">
        <w:rPr>
          <w:rFonts w:hint="cs"/>
          <w:rtl/>
        </w:rPr>
        <w:t xml:space="preserve"> </w:t>
      </w:r>
      <w:r w:rsidRPr="00815F27">
        <w:rPr>
          <w:rStyle w:val="af7"/>
          <w:rFonts w:eastAsia="Guttman Hodes" w:hint="cs"/>
          <w:rtl/>
        </w:rPr>
        <w:t>(ד"ה הכא נמי)</w:t>
      </w:r>
      <w:r w:rsidRPr="00815F27">
        <w:rPr>
          <w:rFonts w:hint="cs"/>
          <w:rtl/>
        </w:rPr>
        <w:t xml:space="preserve"> </w:t>
      </w:r>
      <w:r w:rsidRPr="00815F27">
        <w:rPr>
          <w:rStyle w:val="af9"/>
          <w:rFonts w:hint="cs"/>
          <w:rtl/>
        </w:rPr>
        <w:t>ובתוה"ב</w:t>
      </w:r>
      <w:r w:rsidRPr="00815F27">
        <w:rPr>
          <w:rFonts w:hint="cs"/>
          <w:rtl/>
        </w:rPr>
        <w:t xml:space="preserve"> </w:t>
      </w:r>
      <w:r w:rsidRPr="00815F27">
        <w:rPr>
          <w:rStyle w:val="af7"/>
          <w:rFonts w:eastAsia="Guttman Hodes" w:hint="cs"/>
          <w:rtl/>
        </w:rPr>
        <w:t xml:space="preserve">(ב"א ש"ב דף טז: מדה"ס) </w:t>
      </w:r>
      <w:r w:rsidRPr="00815F27">
        <w:rPr>
          <w:rFonts w:hint="cs"/>
          <w:rtl/>
        </w:rPr>
        <w:t xml:space="preserve">ביאר </w:t>
      </w:r>
      <w:r>
        <w:rPr>
          <w:rFonts w:hint="cs"/>
          <w:rtl/>
        </w:rPr>
        <w:t xml:space="preserve">[את דברי </w:t>
      </w:r>
      <w:r w:rsidRPr="00D7009E">
        <w:rPr>
          <w:rStyle w:val="af9"/>
          <w:rFonts w:hint="cs"/>
          <w:rtl/>
        </w:rPr>
        <w:t>הרמב"ן</w:t>
      </w:r>
      <w:r>
        <w:rPr>
          <w:rFonts w:hint="cs"/>
          <w:rtl/>
        </w:rPr>
        <w:t xml:space="preserve">] </w:t>
      </w:r>
      <w:r w:rsidRPr="00815F27">
        <w:rPr>
          <w:rFonts w:hint="cs"/>
          <w:rtl/>
        </w:rPr>
        <w:t>ד</w:t>
      </w:r>
      <w:r>
        <w:rPr>
          <w:rFonts w:hint="cs"/>
          <w:rtl/>
        </w:rPr>
        <w:t xml:space="preserve">במקוה שנמדד </w:t>
      </w:r>
      <w:r w:rsidRPr="00815F27">
        <w:rPr>
          <w:rFonts w:hint="cs"/>
          <w:rtl/>
        </w:rPr>
        <w:t>כיון שאין במה לתלות</w:t>
      </w:r>
      <w:r>
        <w:rPr>
          <w:rFonts w:hint="cs"/>
          <w:rtl/>
        </w:rPr>
        <w:t>, ממילא</w:t>
      </w:r>
      <w:r w:rsidRPr="00815F27">
        <w:rPr>
          <w:rFonts w:hint="cs"/>
          <w:rtl/>
        </w:rPr>
        <w:t xml:space="preserve"> הריעותא </w:t>
      </w:r>
      <w:r>
        <w:rPr>
          <w:rFonts w:hint="cs"/>
          <w:rtl/>
        </w:rPr>
        <w:t xml:space="preserve">שיש </w:t>
      </w:r>
      <w:r w:rsidRPr="00815F27">
        <w:rPr>
          <w:rFonts w:hint="cs"/>
          <w:rtl/>
        </w:rPr>
        <w:t>במקוה</w:t>
      </w:r>
      <w:r>
        <w:rPr>
          <w:rFonts w:hint="cs"/>
          <w:rtl/>
        </w:rPr>
        <w:t>,</w:t>
      </w:r>
      <w:r w:rsidRPr="00815F27">
        <w:rPr>
          <w:rFonts w:hint="cs"/>
          <w:rtl/>
        </w:rPr>
        <w:t xml:space="preserve"> עו</w:t>
      </w:r>
      <w:r>
        <w:rPr>
          <w:rFonts w:hint="cs"/>
          <w:rtl/>
        </w:rPr>
        <w:t>שה ריעותא בטבילה עצמה.</w:t>
      </w:r>
      <w:bookmarkEnd w:id="5231"/>
      <w:bookmarkEnd w:id="5238"/>
    </w:p>
    <w:p w14:paraId="3831CF35" w14:textId="77777777" w:rsidR="00413DD0" w:rsidRPr="00EC4B75" w:rsidRDefault="00413DD0" w:rsidP="006D6D32">
      <w:pPr>
        <w:pStyle w:val="a3"/>
      </w:pPr>
      <w:bookmarkStart w:id="5239" w:name="_Toc525594343"/>
      <w:bookmarkStart w:id="5240" w:name="_Toc526249188"/>
      <w:bookmarkStart w:id="5241" w:name="_Toc526415984"/>
      <w:bookmarkStart w:id="5242" w:name="_Toc526418202"/>
      <w:bookmarkStart w:id="5243" w:name="_Toc19389577"/>
      <w:bookmarkStart w:id="5244" w:name="_Toc19393074"/>
      <w:r>
        <w:rPr>
          <w:rFonts w:hint="cs"/>
          <w:rtl/>
        </w:rPr>
        <w:t>דברי הרמב"ן דבסכין לדידן תלינן בעצמות ולרב חסדא תלינן לקולא מחמת בדיקת הסכין</w:t>
      </w:r>
      <w:bookmarkEnd w:id="5239"/>
      <w:bookmarkEnd w:id="5240"/>
      <w:bookmarkEnd w:id="5241"/>
      <w:bookmarkEnd w:id="5242"/>
      <w:bookmarkEnd w:id="5243"/>
      <w:bookmarkEnd w:id="5244"/>
    </w:p>
    <w:p w14:paraId="69E6E7D6" w14:textId="77777777" w:rsidR="00413DD0" w:rsidRDefault="00413DD0" w:rsidP="00223668">
      <w:pPr>
        <w:pStyle w:val="a0"/>
        <w:rPr>
          <w:rtl/>
        </w:rPr>
      </w:pPr>
      <w:r>
        <w:rPr>
          <w:rFonts w:hint="cs"/>
          <w:rtl/>
        </w:rPr>
        <w:t xml:space="preserve">אבל בסכין כתב </w:t>
      </w:r>
      <w:r w:rsidRPr="008B4F9F">
        <w:rPr>
          <w:rStyle w:val="af9"/>
          <w:rFonts w:hint="cs"/>
          <w:rtl/>
        </w:rPr>
        <w:t xml:space="preserve">הרמב"ן </w:t>
      </w:r>
      <w:r w:rsidRPr="006D0B2D">
        <w:rPr>
          <w:rFonts w:hint="cs"/>
          <w:rtl/>
        </w:rPr>
        <w:t>דיש במה לתלות</w:t>
      </w:r>
      <w:r>
        <w:rPr>
          <w:rStyle w:val="af9"/>
          <w:rFonts w:hint="cs"/>
          <w:rtl/>
        </w:rPr>
        <w:t xml:space="preserve"> </w:t>
      </w:r>
      <w:r w:rsidRPr="00714164">
        <w:rPr>
          <w:rFonts w:hint="cs"/>
          <w:rtl/>
        </w:rPr>
        <w:t>לדידן דקיי"ל כרב חסדא רק בששיבר בה</w:t>
      </w:r>
      <w:r>
        <w:rPr>
          <w:rFonts w:hint="cs"/>
          <w:rtl/>
        </w:rPr>
        <w:t xml:space="preserve"> עצמות</w:t>
      </w:r>
      <w:r w:rsidRPr="00714164">
        <w:rPr>
          <w:rFonts w:hint="cs"/>
          <w:rtl/>
        </w:rPr>
        <w:t xml:space="preserve">, והעור ספק פוגם ועצם ודאי פוגם, </w:t>
      </w:r>
      <w:r>
        <w:rPr>
          <w:rFonts w:hint="cs"/>
          <w:rtl/>
        </w:rPr>
        <w:t>ולדעת רב חסדא דמתיר אף בלא שיבר בה, מ"מ תלינן לקולא כיון שבדק את הסכין לפני השחיטה,</w:t>
      </w:r>
      <w:r w:rsidRPr="00444AB0">
        <w:rPr>
          <w:rFonts w:hint="cs"/>
          <w:rtl/>
        </w:rPr>
        <w:t xml:space="preserve"> </w:t>
      </w:r>
      <w:r>
        <w:rPr>
          <w:rFonts w:hint="cs"/>
          <w:rtl/>
        </w:rPr>
        <w:t>ועור אינו פוגם.</w:t>
      </w:r>
    </w:p>
    <w:p w14:paraId="5A58F6CD" w14:textId="77777777" w:rsidR="00413DD0" w:rsidRPr="00346745" w:rsidRDefault="00413DD0" w:rsidP="006D6D32">
      <w:pPr>
        <w:pStyle w:val="a3"/>
      </w:pPr>
      <w:bookmarkStart w:id="5245" w:name="_Toc525594344"/>
      <w:bookmarkStart w:id="5246" w:name="_Toc526249189"/>
      <w:bookmarkStart w:id="5247" w:name="_Toc526415985"/>
      <w:bookmarkStart w:id="5248" w:name="_Toc526418203"/>
      <w:bookmarkStart w:id="5249" w:name="_Toc19389578"/>
      <w:bookmarkStart w:id="5250" w:name="_Toc19393075"/>
      <w:r>
        <w:rPr>
          <w:rFonts w:hint="cs"/>
          <w:rtl/>
        </w:rPr>
        <w:t>ביאור הרשב"א דכיון שיש תליה אין בכח הריעותא בסכין לעשות ריעותא בבהמה</w:t>
      </w:r>
      <w:bookmarkEnd w:id="5245"/>
      <w:bookmarkEnd w:id="5246"/>
      <w:bookmarkEnd w:id="5247"/>
      <w:bookmarkEnd w:id="5248"/>
      <w:bookmarkEnd w:id="5249"/>
      <w:bookmarkEnd w:id="5250"/>
    </w:p>
    <w:p w14:paraId="2200EC31" w14:textId="77777777" w:rsidR="00413DD0" w:rsidRDefault="00413DD0" w:rsidP="00223668">
      <w:pPr>
        <w:pStyle w:val="a0"/>
        <w:rPr>
          <w:rtl/>
        </w:rPr>
      </w:pPr>
      <w:r>
        <w:rPr>
          <w:rFonts w:hint="cs"/>
          <w:rtl/>
        </w:rPr>
        <w:t xml:space="preserve">וביאר </w:t>
      </w:r>
      <w:r w:rsidRPr="00727D05">
        <w:rPr>
          <w:rStyle w:val="af9"/>
          <w:rFonts w:hint="cs"/>
          <w:rtl/>
        </w:rPr>
        <w:t>הרשב"א</w:t>
      </w:r>
      <w:r>
        <w:rPr>
          <w:rFonts w:hint="cs"/>
          <w:rtl/>
        </w:rPr>
        <w:t xml:space="preserve"> דבסכין כיון שיש במה לתלות, אין בכח הריעותא שבסכין לעשות ריעותא בבהמה, וכתב </w:t>
      </w:r>
      <w:r w:rsidRPr="00CB6C60">
        <w:rPr>
          <w:rStyle w:val="af9"/>
          <w:rFonts w:hint="cs"/>
          <w:rtl/>
        </w:rPr>
        <w:t>הרשב"א בתוה"ב</w:t>
      </w:r>
      <w:r>
        <w:rPr>
          <w:rFonts w:hint="cs"/>
          <w:rtl/>
        </w:rPr>
        <w:t xml:space="preserve"> שזהו התירוץ הנכון.</w:t>
      </w:r>
    </w:p>
    <w:p w14:paraId="1871E5DA" w14:textId="77777777" w:rsidR="00413DD0" w:rsidRPr="00473B2B" w:rsidRDefault="00413DD0" w:rsidP="006D6D32">
      <w:pPr>
        <w:pStyle w:val="a3"/>
      </w:pPr>
      <w:bookmarkStart w:id="5251" w:name="_Toc525594345"/>
      <w:bookmarkStart w:id="5252" w:name="_Toc526249190"/>
      <w:bookmarkStart w:id="5253" w:name="_Toc526415986"/>
      <w:bookmarkStart w:id="5254" w:name="_Toc526418204"/>
      <w:bookmarkStart w:id="5255" w:name="_Toc19389579"/>
      <w:bookmarkStart w:id="5256" w:name="_Toc19393076"/>
      <w:r>
        <w:rPr>
          <w:rFonts w:hint="cs"/>
          <w:rtl/>
        </w:rPr>
        <w:t>דברי הרמב"ן דבנמצא דבר החוצץ אף שיש תליה לא תלינן כיון שהריעותא בגברא שטבל</w:t>
      </w:r>
      <w:bookmarkEnd w:id="5251"/>
      <w:bookmarkEnd w:id="5252"/>
      <w:bookmarkEnd w:id="5253"/>
      <w:bookmarkEnd w:id="5254"/>
      <w:bookmarkEnd w:id="5255"/>
      <w:bookmarkEnd w:id="5256"/>
    </w:p>
    <w:p w14:paraId="648B8BB3" w14:textId="77777777" w:rsidR="00413DD0" w:rsidRDefault="00413DD0" w:rsidP="00223668">
      <w:pPr>
        <w:pStyle w:val="a0"/>
        <w:rPr>
          <w:rtl/>
        </w:rPr>
      </w:pPr>
      <w:r w:rsidRPr="00714164">
        <w:rPr>
          <w:rFonts w:hint="cs"/>
          <w:rtl/>
        </w:rPr>
        <w:t>ובקושית הגמ' מנמצא</w:t>
      </w:r>
      <w:r>
        <w:rPr>
          <w:rFonts w:hint="cs"/>
          <w:rtl/>
        </w:rPr>
        <w:t xml:space="preserve"> עליו דבר החוצץ, ביאר </w:t>
      </w:r>
      <w:r w:rsidRPr="00714164">
        <w:rPr>
          <w:rStyle w:val="af9"/>
          <w:rFonts w:hint="cs"/>
          <w:rtl/>
        </w:rPr>
        <w:t>הרמב"ן</w:t>
      </w:r>
      <w:r>
        <w:rPr>
          <w:rFonts w:hint="cs"/>
          <w:rtl/>
        </w:rPr>
        <w:t xml:space="preserve"> דכיון שאחר  הטבילה</w:t>
      </w:r>
      <w:r w:rsidRPr="0045625A">
        <w:rPr>
          <w:rFonts w:hint="cs"/>
          <w:rtl/>
        </w:rPr>
        <w:t xml:space="preserve"> </w:t>
      </w:r>
      <w:r>
        <w:rPr>
          <w:rFonts w:hint="cs"/>
          <w:rtl/>
        </w:rPr>
        <w:t xml:space="preserve">נתעסק באותו המין א"כ יש במה לתלות לקולא, ולכן מקשה הגמ' דדמי לסכין, ותירצה הגמ' דכל מה שתלינן לקולא הוא רק בסכין שנמצא פגום דכיון שהריעותא היא בסכין שהוא דבר אחר ולא בבהמה עצמה, אבל בנמצא עליו דבר החוצץ כיון שהריעותא היא בגברא עצמו שטבל א"א לתלות לקולא. ועוד הביא </w:t>
      </w:r>
      <w:r w:rsidRPr="004B4418">
        <w:rPr>
          <w:rStyle w:val="af9"/>
          <w:rFonts w:hint="cs"/>
          <w:rtl/>
        </w:rPr>
        <w:t>הרמב"ן</w:t>
      </w:r>
      <w:r>
        <w:rPr>
          <w:rFonts w:hint="cs"/>
          <w:rtl/>
        </w:rPr>
        <w:t xml:space="preserve"> את </w:t>
      </w:r>
      <w:r w:rsidRPr="004B4418">
        <w:rPr>
          <w:rStyle w:val="af9"/>
          <w:rFonts w:hint="cs"/>
          <w:rtl/>
        </w:rPr>
        <w:t>ה</w:t>
      </w:r>
      <w:r>
        <w:rPr>
          <w:rStyle w:val="af9"/>
          <w:rFonts w:hint="cs"/>
          <w:rtl/>
        </w:rPr>
        <w:t>תירוץ הא' ב</w:t>
      </w:r>
      <w:r w:rsidRPr="004B4418">
        <w:rPr>
          <w:rStyle w:val="af9"/>
          <w:rFonts w:hint="cs"/>
          <w:rtl/>
        </w:rPr>
        <w:t>תוס'</w:t>
      </w:r>
      <w:r>
        <w:rPr>
          <w:rFonts w:hint="cs"/>
          <w:rtl/>
        </w:rPr>
        <w:t xml:space="preserve"> </w:t>
      </w:r>
      <w:r w:rsidRPr="004B4418">
        <w:rPr>
          <w:rStyle w:val="af7"/>
          <w:rFonts w:eastAsia="Guttman Hodes" w:hint="cs"/>
          <w:rtl/>
        </w:rPr>
        <w:t xml:space="preserve">(עי' אות </w:t>
      </w:r>
      <w:r w:rsidRPr="004B4418">
        <w:rPr>
          <w:rStyle w:val="af7"/>
          <w:rFonts w:eastAsia="Guttman Hodes"/>
          <w:rtl/>
        </w:rPr>
        <w:fldChar w:fldCharType="begin"/>
      </w:r>
      <w:r w:rsidRPr="004B4418">
        <w:rPr>
          <w:rStyle w:val="af7"/>
          <w:rFonts w:eastAsia="Guttman Hodes"/>
          <w:rtl/>
        </w:rPr>
        <w:instrText xml:space="preserve"> </w:instrText>
      </w:r>
      <w:r w:rsidRPr="004B4418">
        <w:rPr>
          <w:rStyle w:val="af7"/>
          <w:rFonts w:eastAsia="Guttman Hodes" w:hint="cs"/>
        </w:rPr>
        <w:instrText>REF</w:instrText>
      </w:r>
      <w:r w:rsidRPr="004B4418">
        <w:rPr>
          <w:rStyle w:val="af7"/>
          <w:rFonts w:eastAsia="Guttman Hodes" w:hint="cs"/>
          <w:rtl/>
        </w:rPr>
        <w:instrText xml:space="preserve"> _</w:instrText>
      </w:r>
      <w:r w:rsidRPr="004B4418">
        <w:rPr>
          <w:rStyle w:val="af7"/>
          <w:rFonts w:eastAsia="Guttman Hodes" w:hint="cs"/>
        </w:rPr>
        <w:instrText>Ref523328300 \r \h</w:instrText>
      </w:r>
      <w:r w:rsidRPr="004B4418">
        <w:rPr>
          <w:rStyle w:val="af7"/>
          <w:rFonts w:eastAsia="Guttman Hodes"/>
          <w:rtl/>
        </w:rPr>
        <w:instrText xml:space="preserve"> </w:instrText>
      </w:r>
      <w:r w:rsidRPr="004B4418">
        <w:rPr>
          <w:rStyle w:val="af7"/>
          <w:rFonts w:eastAsia="Guttman Hodes"/>
          <w:rtl/>
        </w:rPr>
      </w:r>
      <w:r w:rsidRPr="004B4418">
        <w:rPr>
          <w:rStyle w:val="af7"/>
          <w:rFonts w:eastAsia="Guttman Hodes"/>
          <w:rtl/>
        </w:rPr>
        <w:fldChar w:fldCharType="separate"/>
      </w:r>
      <w:r w:rsidR="00345400">
        <w:rPr>
          <w:rStyle w:val="af7"/>
          <w:rFonts w:eastAsia="Guttman Hodes"/>
          <w:cs/>
        </w:rPr>
        <w:t>‎</w:t>
      </w:r>
      <w:r w:rsidR="00345400">
        <w:rPr>
          <w:rStyle w:val="af7"/>
          <w:rFonts w:eastAsia="Guttman Hodes"/>
          <w:rtl/>
        </w:rPr>
        <w:t>יח)</w:t>
      </w:r>
      <w:r w:rsidRPr="004B4418">
        <w:rPr>
          <w:rStyle w:val="af7"/>
          <w:rFonts w:eastAsia="Guttman Hodes"/>
          <w:rtl/>
        </w:rPr>
        <w:fldChar w:fldCharType="end"/>
      </w:r>
      <w:r>
        <w:rPr>
          <w:rFonts w:hint="cs"/>
          <w:rtl/>
        </w:rPr>
        <w:t xml:space="preserve"> דשאני מקוה דחסר ואתאי.</w:t>
      </w:r>
    </w:p>
    <w:p w14:paraId="587B3202" w14:textId="77777777" w:rsidR="00413DD0" w:rsidRDefault="00413DD0" w:rsidP="00BF39B2">
      <w:pPr>
        <w:pStyle w:val="1"/>
        <w:rPr>
          <w:rtl/>
        </w:rPr>
      </w:pPr>
      <w:bookmarkStart w:id="5257" w:name="_Toc525594351"/>
      <w:bookmarkStart w:id="5258" w:name="_Toc526249191"/>
      <w:bookmarkStart w:id="5259" w:name="_Toc526415987"/>
      <w:bookmarkStart w:id="5260" w:name="_Toc526418205"/>
      <w:bookmarkStart w:id="5261" w:name="_Toc19389580"/>
      <w:bookmarkStart w:id="5262" w:name="_Toc19393077"/>
      <w:r>
        <w:rPr>
          <w:rFonts w:hint="cs"/>
          <w:rtl/>
        </w:rPr>
        <w:t>התירוץ הג' בתוס' דבסכין יש ספק ספיקא</w:t>
      </w:r>
      <w:bookmarkEnd w:id="5223"/>
      <w:bookmarkEnd w:id="5257"/>
      <w:bookmarkEnd w:id="5258"/>
      <w:bookmarkEnd w:id="5259"/>
      <w:bookmarkEnd w:id="5260"/>
      <w:bookmarkEnd w:id="5261"/>
      <w:bookmarkEnd w:id="5262"/>
    </w:p>
    <w:p w14:paraId="093A6AB8" w14:textId="77777777" w:rsidR="00413DD0" w:rsidRPr="004F370F" w:rsidRDefault="00413DD0" w:rsidP="006D6D32">
      <w:pPr>
        <w:pStyle w:val="a3"/>
        <w:rPr>
          <w:rtl/>
        </w:rPr>
      </w:pPr>
      <w:bookmarkStart w:id="5263" w:name="_Toc525594352"/>
      <w:bookmarkStart w:id="5264" w:name="_Toc526249192"/>
      <w:bookmarkStart w:id="5265" w:name="_Toc526415988"/>
      <w:bookmarkStart w:id="5266" w:name="_Toc526418206"/>
      <w:bookmarkStart w:id="5267" w:name="_Toc19389581"/>
      <w:bookmarkStart w:id="5268" w:name="_Toc19393078"/>
      <w:r>
        <w:rPr>
          <w:rFonts w:hint="cs"/>
          <w:rtl/>
        </w:rPr>
        <w:t>התי' הג' בתוס' דאף שהסכין נפגם יתכן שלא שחט בפגימה והוא כספק ספיקא</w:t>
      </w:r>
      <w:bookmarkEnd w:id="5263"/>
      <w:bookmarkEnd w:id="5264"/>
      <w:bookmarkEnd w:id="5265"/>
      <w:bookmarkEnd w:id="5266"/>
      <w:bookmarkEnd w:id="5267"/>
      <w:bookmarkEnd w:id="5268"/>
    </w:p>
    <w:p w14:paraId="211CCF37" w14:textId="77777777" w:rsidR="00413DD0" w:rsidRDefault="00413DD0" w:rsidP="00223668">
      <w:pPr>
        <w:pStyle w:val="a0"/>
        <w:rPr>
          <w:rtl/>
        </w:rPr>
      </w:pPr>
      <w:bookmarkStart w:id="5269" w:name="_Ref523328223"/>
      <w:r w:rsidRPr="00DA0FF7">
        <w:rPr>
          <w:rStyle w:val="af9"/>
          <w:rFonts w:hint="cs"/>
          <w:rtl/>
        </w:rPr>
        <w:t>ובתירוצם ה</w:t>
      </w:r>
      <w:r>
        <w:rPr>
          <w:rStyle w:val="af9"/>
          <w:rFonts w:hint="cs"/>
          <w:rtl/>
        </w:rPr>
        <w:t xml:space="preserve">ג' </w:t>
      </w:r>
      <w:r w:rsidRPr="00DA0FF7">
        <w:rPr>
          <w:rFonts w:hint="cs"/>
          <w:rtl/>
        </w:rPr>
        <w:t>כתבו</w:t>
      </w:r>
      <w:r>
        <w:rPr>
          <w:rStyle w:val="af9"/>
          <w:rFonts w:hint="cs"/>
          <w:rtl/>
        </w:rPr>
        <w:t xml:space="preserve"> </w:t>
      </w:r>
      <w:r w:rsidRPr="002A20C4">
        <w:rPr>
          <w:rStyle w:val="af9"/>
          <w:rFonts w:hint="cs"/>
          <w:rtl/>
        </w:rPr>
        <w:t>התוס'</w:t>
      </w:r>
      <w:r>
        <w:rPr>
          <w:rFonts w:hint="cs"/>
          <w:rtl/>
        </w:rPr>
        <w:t xml:space="preserve"> דבאמת אין כל חילוק אם הריעותא היא בבהמה או בסכין, אלא כוונת הגמ' לומר שיש הרבה ספיקות שמא נפגם הסכין מהעצם, ואף אם נפגם מהעור לפני השחיטה, עדיין יתכן שהסימנים נשחטו במקום שהסכין לא היה פגום, והוי כספק ספיקא, וזו כוונת הגמ' דהריעותא היא בסכין, דהיינו דכיון שהספק הוא בסכין ויש בו צדדים להתיר אי"ז ריעותא בבהמה, ועי' במ"ש </w:t>
      </w:r>
      <w:r w:rsidRPr="00AD567D">
        <w:rPr>
          <w:rStyle w:val="af9"/>
          <w:rFonts w:hint="cs"/>
          <w:rtl/>
        </w:rPr>
        <w:t xml:space="preserve">בשיעורי </w:t>
      </w:r>
      <w:r>
        <w:rPr>
          <w:rStyle w:val="af9"/>
          <w:rFonts w:hint="cs"/>
          <w:rtl/>
        </w:rPr>
        <w:t>ה</w:t>
      </w:r>
      <w:r w:rsidRPr="00AD567D">
        <w:rPr>
          <w:rStyle w:val="af9"/>
          <w:rFonts w:hint="cs"/>
          <w:rtl/>
        </w:rPr>
        <w:t>מקדש דוד</w:t>
      </w:r>
      <w:r>
        <w:rPr>
          <w:rFonts w:hint="cs"/>
          <w:rtl/>
        </w:rPr>
        <w:t xml:space="preserve"> </w:t>
      </w:r>
      <w:r w:rsidRPr="000806D6">
        <w:rPr>
          <w:rStyle w:val="af7"/>
          <w:rFonts w:eastAsia="Guttman Hodes" w:hint="cs"/>
          <w:rtl/>
        </w:rPr>
        <w:t xml:space="preserve">(עי' אות </w:t>
      </w:r>
      <w:r w:rsidRPr="000806D6">
        <w:rPr>
          <w:rStyle w:val="af7"/>
          <w:rFonts w:eastAsia="Guttman Hodes"/>
          <w:rtl/>
        </w:rPr>
        <w:fldChar w:fldCharType="begin"/>
      </w:r>
      <w:r w:rsidRPr="000806D6">
        <w:rPr>
          <w:rStyle w:val="af7"/>
          <w:rFonts w:eastAsia="Guttman Hodes"/>
          <w:rtl/>
        </w:rPr>
        <w:instrText xml:space="preserve"> </w:instrText>
      </w:r>
      <w:r w:rsidRPr="000806D6">
        <w:rPr>
          <w:rStyle w:val="af7"/>
          <w:rFonts w:eastAsia="Guttman Hodes" w:hint="cs"/>
        </w:rPr>
        <w:instrText>REF</w:instrText>
      </w:r>
      <w:r w:rsidRPr="000806D6">
        <w:rPr>
          <w:rStyle w:val="af7"/>
          <w:rFonts w:eastAsia="Guttman Hodes" w:hint="cs"/>
          <w:rtl/>
        </w:rPr>
        <w:instrText xml:space="preserve"> _</w:instrText>
      </w:r>
      <w:r w:rsidRPr="000806D6">
        <w:rPr>
          <w:rStyle w:val="af7"/>
          <w:rFonts w:eastAsia="Guttman Hodes" w:hint="cs"/>
        </w:rPr>
        <w:instrText>Ref525767783 \r \h</w:instrText>
      </w:r>
      <w:r w:rsidRPr="000806D6">
        <w:rPr>
          <w:rStyle w:val="af7"/>
          <w:rFonts w:eastAsia="Guttman Hodes"/>
          <w:rtl/>
        </w:rPr>
        <w:instrText xml:space="preserve"> </w:instrText>
      </w:r>
      <w:r w:rsidRPr="000806D6">
        <w:rPr>
          <w:rStyle w:val="af7"/>
          <w:rFonts w:eastAsia="Guttman Hodes"/>
          <w:rtl/>
        </w:rPr>
      </w:r>
      <w:r w:rsidRPr="000806D6">
        <w:rPr>
          <w:rStyle w:val="af7"/>
          <w:rFonts w:eastAsia="Guttman Hodes"/>
          <w:rtl/>
        </w:rPr>
        <w:fldChar w:fldCharType="separate"/>
      </w:r>
      <w:r w:rsidR="00345400">
        <w:rPr>
          <w:rStyle w:val="af7"/>
          <w:rFonts w:eastAsia="Guttman Hodes"/>
          <w:cs/>
        </w:rPr>
        <w:t>‎</w:t>
      </w:r>
      <w:r w:rsidR="00345400">
        <w:rPr>
          <w:rStyle w:val="af7"/>
          <w:rFonts w:eastAsia="Guttman Hodes"/>
          <w:rtl/>
        </w:rPr>
        <w:t>ע)</w:t>
      </w:r>
      <w:r w:rsidRPr="000806D6">
        <w:rPr>
          <w:rStyle w:val="af7"/>
          <w:rFonts w:eastAsia="Guttman Hodes"/>
          <w:rtl/>
        </w:rPr>
        <w:fldChar w:fldCharType="end"/>
      </w:r>
      <w:r>
        <w:rPr>
          <w:rFonts w:hint="cs"/>
          <w:rtl/>
        </w:rPr>
        <w:t xml:space="preserve"> בביאור דברי </w:t>
      </w:r>
      <w:r w:rsidRPr="000806D6">
        <w:rPr>
          <w:rStyle w:val="af9"/>
          <w:rFonts w:hint="cs"/>
          <w:rtl/>
        </w:rPr>
        <w:t>התוס'</w:t>
      </w:r>
      <w:r>
        <w:rPr>
          <w:rFonts w:hint="cs"/>
          <w:rtl/>
        </w:rPr>
        <w:t>.</w:t>
      </w:r>
      <w:bookmarkEnd w:id="5269"/>
    </w:p>
    <w:p w14:paraId="69463790" w14:textId="77777777" w:rsidR="00413DD0" w:rsidRPr="00E7240B" w:rsidRDefault="00413DD0" w:rsidP="006D6D32">
      <w:pPr>
        <w:pStyle w:val="a3"/>
      </w:pPr>
      <w:bookmarkStart w:id="5270" w:name="_Toc526249193"/>
      <w:bookmarkStart w:id="5271" w:name="_Toc526415989"/>
      <w:bookmarkStart w:id="5272" w:name="_Toc526418207"/>
      <w:bookmarkStart w:id="5273" w:name="_Toc19389582"/>
      <w:bookmarkStart w:id="5274" w:name="_Toc19393079"/>
      <w:r>
        <w:rPr>
          <w:rFonts w:hint="cs"/>
          <w:rtl/>
        </w:rPr>
        <w:t>דברי הרשב"א דבסכין ארוך אין כח בריעותא בסכין להוציא מחזקת שחוטה לפניך</w:t>
      </w:r>
      <w:bookmarkEnd w:id="5270"/>
      <w:bookmarkEnd w:id="5271"/>
      <w:bookmarkEnd w:id="5272"/>
      <w:bookmarkEnd w:id="5273"/>
      <w:bookmarkEnd w:id="5274"/>
    </w:p>
    <w:p w14:paraId="45CE6D33" w14:textId="77777777" w:rsidR="00413DD0" w:rsidRPr="00E7240B" w:rsidRDefault="00413DD0" w:rsidP="00223668">
      <w:pPr>
        <w:pStyle w:val="a0"/>
        <w:rPr>
          <w:rtl/>
        </w:rPr>
      </w:pPr>
      <w:bookmarkStart w:id="5275" w:name="_Ref526246404"/>
      <w:r>
        <w:rPr>
          <w:rFonts w:hint="cs"/>
          <w:rtl/>
        </w:rPr>
        <w:t>וכן תירצו</w:t>
      </w:r>
      <w:r>
        <w:rPr>
          <w:rStyle w:val="af9"/>
          <w:rFonts w:hint="cs"/>
          <w:rtl/>
        </w:rPr>
        <w:t xml:space="preserve"> </w:t>
      </w:r>
      <w:r w:rsidRPr="00E7240B">
        <w:rPr>
          <w:rStyle w:val="af9"/>
          <w:rFonts w:hint="cs"/>
          <w:rtl/>
        </w:rPr>
        <w:t>הרמב"ן</w:t>
      </w:r>
      <w:r w:rsidRPr="00E7240B">
        <w:rPr>
          <w:rFonts w:hint="cs"/>
          <w:rtl/>
        </w:rPr>
        <w:t xml:space="preserve"> </w:t>
      </w:r>
      <w:r w:rsidRPr="00E7240B">
        <w:rPr>
          <w:rStyle w:val="af7"/>
          <w:rFonts w:eastAsia="Guttman Hodes" w:hint="cs"/>
          <w:rtl/>
        </w:rPr>
        <w:t>(ד"ה ואיכא)</w:t>
      </w:r>
      <w:r w:rsidRPr="00E7240B">
        <w:rPr>
          <w:rFonts w:hint="cs"/>
          <w:rtl/>
        </w:rPr>
        <w:t xml:space="preserve"> </w:t>
      </w:r>
      <w:r w:rsidRPr="00E7240B">
        <w:rPr>
          <w:rStyle w:val="af9"/>
          <w:rFonts w:hint="cs"/>
          <w:rtl/>
        </w:rPr>
        <w:t>והרשב"א</w:t>
      </w:r>
      <w:r w:rsidRPr="00E7240B">
        <w:rPr>
          <w:rFonts w:hint="cs"/>
          <w:rtl/>
        </w:rPr>
        <w:t xml:space="preserve"> </w:t>
      </w:r>
      <w:r w:rsidRPr="00E7240B">
        <w:rPr>
          <w:rStyle w:val="af7"/>
          <w:rFonts w:eastAsia="Guttman Hodes" w:hint="cs"/>
          <w:rtl/>
        </w:rPr>
        <w:t>(ד"ה הכא נמי)</w:t>
      </w:r>
      <w:r w:rsidRPr="00E7240B">
        <w:rPr>
          <w:rFonts w:hint="cs"/>
          <w:rtl/>
        </w:rPr>
        <w:t xml:space="preserve"> </w:t>
      </w:r>
      <w:r w:rsidRPr="003060A0">
        <w:rPr>
          <w:rStyle w:val="af9"/>
          <w:rFonts w:hint="cs"/>
          <w:rtl/>
        </w:rPr>
        <w:t>והר"ן</w:t>
      </w:r>
      <w:r>
        <w:rPr>
          <w:rStyle w:val="af9"/>
          <w:rFonts w:hint="cs"/>
          <w:rtl/>
        </w:rPr>
        <w:t xml:space="preserve"> בחי'</w:t>
      </w:r>
      <w:r>
        <w:rPr>
          <w:rFonts w:hint="cs"/>
          <w:rtl/>
        </w:rPr>
        <w:t xml:space="preserve"> </w:t>
      </w:r>
      <w:r w:rsidRPr="003060A0">
        <w:rPr>
          <w:rStyle w:val="af7"/>
          <w:rFonts w:eastAsia="Guttman Hodes" w:hint="cs"/>
          <w:rtl/>
        </w:rPr>
        <w:t>(ד"ה סכין)</w:t>
      </w:r>
      <w:r>
        <w:rPr>
          <w:rFonts w:hint="cs"/>
          <w:rtl/>
        </w:rPr>
        <w:t>, ו</w:t>
      </w:r>
      <w:r w:rsidRPr="00E7240B">
        <w:rPr>
          <w:rFonts w:hint="cs"/>
          <w:rtl/>
        </w:rPr>
        <w:t xml:space="preserve">הוסיף </w:t>
      </w:r>
      <w:r w:rsidRPr="00E7240B">
        <w:rPr>
          <w:rStyle w:val="af9"/>
          <w:rFonts w:hint="cs"/>
          <w:rtl/>
        </w:rPr>
        <w:t>הרשב"א</w:t>
      </w:r>
      <w:r w:rsidRPr="00E7240B">
        <w:rPr>
          <w:rFonts w:hint="cs"/>
          <w:rtl/>
        </w:rPr>
        <w:t xml:space="preserve"> לבאר דהיינו בסכין שיש בו מלא צואר וחוץ לצואר כמלא צואר, דיתכן שנשחטה בצד הבדוק, ולכן אין כח בריעותא של הסכין להוציא את הבהמה מחזקת הכשרות דשחוטה לפניך</w:t>
      </w:r>
      <w:bookmarkStart w:id="5276" w:name="_Ref524601595"/>
      <w:r w:rsidRPr="00E7240B">
        <w:rPr>
          <w:rStyle w:val="af1"/>
          <w:rtl/>
        </w:rPr>
        <w:footnoteReference w:id="22"/>
      </w:r>
      <w:bookmarkEnd w:id="5276"/>
      <w:r w:rsidRPr="00E7240B">
        <w:rPr>
          <w:rFonts w:hint="cs"/>
          <w:rtl/>
        </w:rPr>
        <w:t xml:space="preserve">. ובעיקר סברת </w:t>
      </w:r>
      <w:r w:rsidRPr="00E7240B">
        <w:rPr>
          <w:rStyle w:val="af9"/>
          <w:rFonts w:hint="cs"/>
          <w:rtl/>
        </w:rPr>
        <w:t>הרשב"א</w:t>
      </w:r>
      <w:r w:rsidRPr="00E7240B">
        <w:rPr>
          <w:rFonts w:hint="cs"/>
          <w:rtl/>
        </w:rPr>
        <w:t xml:space="preserve"> עי' במה שביארו </w:t>
      </w:r>
      <w:r w:rsidRPr="00E7240B">
        <w:rPr>
          <w:rStyle w:val="af9"/>
          <w:rFonts w:hint="cs"/>
          <w:rtl/>
        </w:rPr>
        <w:t>הגר"א קוטלר</w:t>
      </w:r>
      <w:r w:rsidRPr="00E7240B">
        <w:rPr>
          <w:rFonts w:hint="cs"/>
          <w:rtl/>
        </w:rPr>
        <w:t xml:space="preserve"> </w:t>
      </w:r>
      <w:r w:rsidRPr="00E7240B">
        <w:rPr>
          <w:rStyle w:val="af7"/>
          <w:rFonts w:eastAsia="Guttman Hodes" w:hint="cs"/>
          <w:rtl/>
        </w:rPr>
        <w:t xml:space="preserve">(עי' אות </w:t>
      </w:r>
      <w:r w:rsidRPr="00E7240B">
        <w:rPr>
          <w:rStyle w:val="af7"/>
          <w:rFonts w:eastAsia="Guttman Hodes"/>
          <w:rtl/>
        </w:rPr>
        <w:fldChar w:fldCharType="begin"/>
      </w:r>
      <w:r w:rsidRPr="00E7240B">
        <w:rPr>
          <w:rStyle w:val="af7"/>
          <w:rFonts w:eastAsia="Guttman Hodes"/>
          <w:rtl/>
        </w:rPr>
        <w:instrText xml:space="preserve"> </w:instrText>
      </w:r>
      <w:r w:rsidRPr="00E7240B">
        <w:rPr>
          <w:rStyle w:val="af7"/>
          <w:rFonts w:eastAsia="Guttman Hodes" w:hint="cs"/>
        </w:rPr>
        <w:instrText>REF</w:instrText>
      </w:r>
      <w:r w:rsidRPr="00E7240B">
        <w:rPr>
          <w:rStyle w:val="af7"/>
          <w:rFonts w:eastAsia="Guttman Hodes" w:hint="cs"/>
          <w:rtl/>
        </w:rPr>
        <w:instrText xml:space="preserve"> _</w:instrText>
      </w:r>
      <w:r w:rsidRPr="00E7240B">
        <w:rPr>
          <w:rStyle w:val="af7"/>
          <w:rFonts w:eastAsia="Guttman Hodes" w:hint="cs"/>
        </w:rPr>
        <w:instrText>Ref523678680 \r \h</w:instrText>
      </w:r>
      <w:r w:rsidRPr="00E7240B">
        <w:rPr>
          <w:rStyle w:val="af7"/>
          <w:rFonts w:eastAsia="Guttman Hodes"/>
          <w:rtl/>
        </w:rPr>
        <w:instrText xml:space="preserve">  \* </w:instrText>
      </w:r>
      <w:r w:rsidRPr="00E7240B">
        <w:rPr>
          <w:rStyle w:val="af7"/>
          <w:rFonts w:eastAsia="Guttman Hodes"/>
        </w:rPr>
        <w:instrText>MERGEFORMAT</w:instrText>
      </w:r>
      <w:r w:rsidRPr="00E7240B">
        <w:rPr>
          <w:rStyle w:val="af7"/>
          <w:rFonts w:eastAsia="Guttman Hodes"/>
          <w:rtl/>
        </w:rPr>
        <w:instrText xml:space="preserve"> </w:instrText>
      </w:r>
      <w:r w:rsidRPr="00E7240B">
        <w:rPr>
          <w:rStyle w:val="af7"/>
          <w:rFonts w:eastAsia="Guttman Hodes"/>
          <w:rtl/>
        </w:rPr>
      </w:r>
      <w:r w:rsidRPr="00E7240B">
        <w:rPr>
          <w:rStyle w:val="af7"/>
          <w:rFonts w:eastAsia="Guttman Hodes"/>
          <w:rtl/>
        </w:rPr>
        <w:fldChar w:fldCharType="separate"/>
      </w:r>
      <w:r w:rsidR="00345400">
        <w:rPr>
          <w:rStyle w:val="af7"/>
          <w:rFonts w:eastAsia="Guttman Hodes"/>
          <w:cs/>
        </w:rPr>
        <w:t>‎</w:t>
      </w:r>
      <w:r w:rsidR="00345400">
        <w:rPr>
          <w:rStyle w:val="af7"/>
          <w:rFonts w:eastAsia="Guttman Hodes"/>
          <w:rtl/>
        </w:rPr>
        <w:t>עג)</w:t>
      </w:r>
      <w:r w:rsidRPr="00E7240B">
        <w:rPr>
          <w:rStyle w:val="af7"/>
          <w:rFonts w:eastAsia="Guttman Hodes"/>
          <w:rtl/>
        </w:rPr>
        <w:fldChar w:fldCharType="end"/>
      </w:r>
      <w:r w:rsidRPr="00E7240B">
        <w:rPr>
          <w:rStyle w:val="af9"/>
          <w:rFonts w:hint="cs"/>
          <w:rtl/>
        </w:rPr>
        <w:t xml:space="preserve"> והאבי עזרי</w:t>
      </w:r>
      <w:r w:rsidRPr="00E7240B">
        <w:rPr>
          <w:rFonts w:hint="cs"/>
          <w:rtl/>
        </w:rPr>
        <w:t xml:space="preserve"> </w:t>
      </w:r>
      <w:r w:rsidRPr="00E7240B">
        <w:rPr>
          <w:rStyle w:val="af7"/>
          <w:rFonts w:eastAsia="Guttman Hodes" w:hint="cs"/>
          <w:rtl/>
        </w:rPr>
        <w:t xml:space="preserve">(עי' אות </w:t>
      </w:r>
      <w:r w:rsidRPr="00E7240B">
        <w:rPr>
          <w:rStyle w:val="af7"/>
          <w:rFonts w:eastAsia="Guttman Hodes"/>
          <w:rtl/>
        </w:rPr>
        <w:fldChar w:fldCharType="begin"/>
      </w:r>
      <w:r w:rsidRPr="00E7240B">
        <w:rPr>
          <w:rStyle w:val="af7"/>
          <w:rFonts w:eastAsia="Guttman Hodes"/>
          <w:rtl/>
        </w:rPr>
        <w:instrText xml:space="preserve"> </w:instrText>
      </w:r>
      <w:r w:rsidRPr="00E7240B">
        <w:rPr>
          <w:rStyle w:val="af7"/>
          <w:rFonts w:eastAsia="Guttman Hodes" w:hint="cs"/>
        </w:rPr>
        <w:instrText>REF</w:instrText>
      </w:r>
      <w:r w:rsidRPr="00E7240B">
        <w:rPr>
          <w:rStyle w:val="af7"/>
          <w:rFonts w:eastAsia="Guttman Hodes" w:hint="cs"/>
          <w:rtl/>
        </w:rPr>
        <w:instrText xml:space="preserve"> _</w:instrText>
      </w:r>
      <w:r w:rsidRPr="00E7240B">
        <w:rPr>
          <w:rStyle w:val="af7"/>
          <w:rFonts w:eastAsia="Guttman Hodes" w:hint="cs"/>
        </w:rPr>
        <w:instrText>Ref523391419 \r \h</w:instrText>
      </w:r>
      <w:r w:rsidRPr="00E7240B">
        <w:rPr>
          <w:rStyle w:val="af7"/>
          <w:rFonts w:eastAsia="Guttman Hodes"/>
          <w:rtl/>
        </w:rPr>
        <w:instrText xml:space="preserve">  \* </w:instrText>
      </w:r>
      <w:r w:rsidRPr="00E7240B">
        <w:rPr>
          <w:rStyle w:val="af7"/>
          <w:rFonts w:eastAsia="Guttman Hodes"/>
        </w:rPr>
        <w:instrText>MERGEFORMAT</w:instrText>
      </w:r>
      <w:r w:rsidRPr="00E7240B">
        <w:rPr>
          <w:rStyle w:val="af7"/>
          <w:rFonts w:eastAsia="Guttman Hodes"/>
          <w:rtl/>
        </w:rPr>
        <w:instrText xml:space="preserve"> </w:instrText>
      </w:r>
      <w:r w:rsidRPr="00E7240B">
        <w:rPr>
          <w:rStyle w:val="af7"/>
          <w:rFonts w:eastAsia="Guttman Hodes"/>
          <w:rtl/>
        </w:rPr>
      </w:r>
      <w:r w:rsidRPr="00E7240B">
        <w:rPr>
          <w:rStyle w:val="af7"/>
          <w:rFonts w:eastAsia="Guttman Hodes"/>
          <w:rtl/>
        </w:rPr>
        <w:fldChar w:fldCharType="separate"/>
      </w:r>
      <w:r w:rsidR="00345400">
        <w:rPr>
          <w:rStyle w:val="af7"/>
          <w:rFonts w:eastAsia="Guttman Hodes"/>
          <w:cs/>
        </w:rPr>
        <w:t>‎</w:t>
      </w:r>
      <w:r w:rsidR="00345400">
        <w:rPr>
          <w:rStyle w:val="af7"/>
          <w:rFonts w:eastAsia="Guttman Hodes"/>
          <w:rtl/>
        </w:rPr>
        <w:t>עו)</w:t>
      </w:r>
      <w:r w:rsidRPr="00E7240B">
        <w:rPr>
          <w:rStyle w:val="af7"/>
          <w:rFonts w:eastAsia="Guttman Hodes"/>
          <w:rtl/>
        </w:rPr>
        <w:fldChar w:fldCharType="end"/>
      </w:r>
      <w:r w:rsidRPr="00E7240B">
        <w:rPr>
          <w:rFonts w:hint="cs"/>
          <w:rtl/>
        </w:rPr>
        <w:t>.</w:t>
      </w:r>
      <w:bookmarkEnd w:id="5275"/>
    </w:p>
    <w:p w14:paraId="1B4007DC" w14:textId="77777777" w:rsidR="00413DD0" w:rsidRDefault="00413DD0" w:rsidP="006D6D32">
      <w:pPr>
        <w:pStyle w:val="a3"/>
        <w:rPr>
          <w:rtl/>
        </w:rPr>
      </w:pPr>
      <w:bookmarkStart w:id="5277" w:name="_Toc526249194"/>
      <w:bookmarkStart w:id="5278" w:name="_Toc526415990"/>
      <w:bookmarkStart w:id="5279" w:name="_Toc526418208"/>
      <w:bookmarkStart w:id="5280" w:name="_Toc19389583"/>
      <w:bookmarkStart w:id="5281" w:name="_Toc19393080"/>
      <w:r>
        <w:rPr>
          <w:rFonts w:hint="cs"/>
          <w:rtl/>
        </w:rPr>
        <w:t>ביאור התוס' הרא"ש בנדה דע"י שיתכן שלא שחט בפגימה אין ריעותא בבהמה עצמה</w:t>
      </w:r>
      <w:bookmarkEnd w:id="5277"/>
      <w:bookmarkEnd w:id="5278"/>
      <w:bookmarkEnd w:id="5279"/>
      <w:bookmarkEnd w:id="5280"/>
      <w:bookmarkEnd w:id="5281"/>
    </w:p>
    <w:p w14:paraId="027A3D98" w14:textId="77777777" w:rsidR="00413DD0" w:rsidRDefault="00413DD0" w:rsidP="00223668">
      <w:pPr>
        <w:pStyle w:val="a0"/>
        <w:rPr>
          <w:rtl/>
        </w:rPr>
      </w:pPr>
      <w:r w:rsidRPr="00237AAF">
        <w:rPr>
          <w:rStyle w:val="af9"/>
          <w:rFonts w:hint="cs"/>
          <w:rtl/>
        </w:rPr>
        <w:t>ובתוס' הרא"ש בנדה</w:t>
      </w:r>
      <w:r w:rsidRPr="00237AAF">
        <w:rPr>
          <w:rFonts w:hint="cs"/>
          <w:rtl/>
        </w:rPr>
        <w:t xml:space="preserve"> </w:t>
      </w:r>
      <w:r w:rsidRPr="00237AAF">
        <w:rPr>
          <w:rStyle w:val="af7"/>
          <w:rFonts w:eastAsia="Guttman Hodes" w:hint="cs"/>
          <w:rtl/>
        </w:rPr>
        <w:t>(ב: ד"ה ה"נ)</w:t>
      </w:r>
      <w:r w:rsidRPr="00237AAF">
        <w:rPr>
          <w:rFonts w:hint="cs"/>
          <w:rtl/>
        </w:rPr>
        <w:t xml:space="preserve"> </w:t>
      </w:r>
      <w:r w:rsidRPr="00237AAF">
        <w:rPr>
          <w:rStyle w:val="af9"/>
          <w:rFonts w:hint="cs"/>
          <w:rtl/>
        </w:rPr>
        <w:t xml:space="preserve">בתירוצו השני </w:t>
      </w:r>
      <w:r w:rsidRPr="00237AAF">
        <w:rPr>
          <w:rFonts w:hint="cs"/>
          <w:rtl/>
        </w:rPr>
        <w:t>ביאר דא"א לומר דכוונת הגמ' כפשוטה דהריעותא היא בסכין ולא בבהמה, דאף בבהמה יש ריעותא, דהא אם יש ריעותא בבהמה היא מחמת הריעותא בסכין, אלא כוונת הגמ' לומר דאף שיש ריעותא בסכין אינה בהכרח ריעותא בבהמה, דגם אם העור פגם, מ"מ יתכן שלא שחט כנגד הסימנים</w:t>
      </w:r>
      <w:r>
        <w:rPr>
          <w:rFonts w:hint="cs"/>
          <w:rtl/>
        </w:rPr>
        <w:t>.</w:t>
      </w:r>
      <w:r w:rsidRPr="00237AAF">
        <w:rPr>
          <w:rFonts w:hint="cs"/>
          <w:rtl/>
        </w:rPr>
        <w:t xml:space="preserve"> </w:t>
      </w:r>
      <w:r>
        <w:rPr>
          <w:rStyle w:val="afb"/>
          <w:rFonts w:hint="cs"/>
          <w:rtl/>
        </w:rPr>
        <w:t xml:space="preserve">[ולא הזכיר </w:t>
      </w:r>
      <w:r w:rsidRPr="001D0E35">
        <w:rPr>
          <w:rStyle w:val="affa"/>
          <w:rFonts w:hint="cs"/>
          <w:rtl/>
        </w:rPr>
        <w:t>התוס' הרא"ש</w:t>
      </w:r>
      <w:r>
        <w:rPr>
          <w:rStyle w:val="afb"/>
          <w:rFonts w:hint="cs"/>
          <w:rtl/>
        </w:rPr>
        <w:t xml:space="preserve"> את </w:t>
      </w:r>
      <w:r w:rsidRPr="00237AAF">
        <w:rPr>
          <w:rStyle w:val="afb"/>
          <w:rFonts w:hint="cs"/>
          <w:rtl/>
        </w:rPr>
        <w:t>דין ספק ספיקא כלל]</w:t>
      </w:r>
      <w:r w:rsidRPr="00FB7867">
        <w:rPr>
          <w:rStyle w:val="af1"/>
          <w:rtl/>
        </w:rPr>
        <w:t xml:space="preserve"> </w:t>
      </w:r>
      <w:r>
        <w:rPr>
          <w:rStyle w:val="af1"/>
          <w:rtl/>
        </w:rPr>
        <w:footnoteReference w:id="23"/>
      </w:r>
      <w:r w:rsidRPr="00237AAF">
        <w:rPr>
          <w:rStyle w:val="afb"/>
          <w:rFonts w:hint="cs"/>
          <w:rtl/>
        </w:rPr>
        <w:t>.</w:t>
      </w:r>
    </w:p>
    <w:p w14:paraId="2699AC50" w14:textId="77777777" w:rsidR="00413DD0" w:rsidRPr="00F256BE" w:rsidRDefault="00413DD0" w:rsidP="006D6D32">
      <w:pPr>
        <w:pStyle w:val="a3"/>
      </w:pPr>
      <w:bookmarkStart w:id="5282" w:name="_Toc526249195"/>
      <w:bookmarkStart w:id="5283" w:name="_Toc526415991"/>
      <w:bookmarkStart w:id="5284" w:name="_Toc526418209"/>
      <w:bookmarkStart w:id="5285" w:name="_Toc19389584"/>
      <w:bookmarkStart w:id="5286" w:name="_Toc19393081"/>
      <w:r>
        <w:rPr>
          <w:rFonts w:hint="cs"/>
          <w:rtl/>
        </w:rPr>
        <w:t>דברי רבינו יונה דקיי"ל כרב חסדא בשיבר עצמות בסכין ארוך דשחוטה לפניך</w:t>
      </w:r>
      <w:bookmarkEnd w:id="5282"/>
      <w:bookmarkEnd w:id="5283"/>
      <w:bookmarkEnd w:id="5284"/>
      <w:bookmarkEnd w:id="5285"/>
      <w:bookmarkEnd w:id="5286"/>
    </w:p>
    <w:p w14:paraId="70744677" w14:textId="77777777" w:rsidR="00413DD0" w:rsidRDefault="00413DD0" w:rsidP="00223668">
      <w:pPr>
        <w:pStyle w:val="a0"/>
      </w:pPr>
      <w:r>
        <w:rPr>
          <w:rFonts w:hint="cs"/>
          <w:rtl/>
        </w:rPr>
        <w:t xml:space="preserve">וכתבו </w:t>
      </w:r>
      <w:r>
        <w:rPr>
          <w:rStyle w:val="af9"/>
          <w:rFonts w:hint="cs"/>
          <w:rtl/>
        </w:rPr>
        <w:t>הרשב"א בחי'</w:t>
      </w:r>
      <w:r w:rsidRPr="009C125E">
        <w:rPr>
          <w:rStyle w:val="af9"/>
          <w:rFonts w:hint="cs"/>
          <w:rtl/>
        </w:rPr>
        <w:t xml:space="preserve"> </w:t>
      </w:r>
      <w:r w:rsidRPr="009958F9">
        <w:rPr>
          <w:rStyle w:val="af7"/>
          <w:rFonts w:eastAsia="Guttman Hodes" w:hint="cs"/>
          <w:rtl/>
        </w:rPr>
        <w:t xml:space="preserve">(י: ד"ה ומיהו אם) </w:t>
      </w:r>
      <w:r>
        <w:rPr>
          <w:rStyle w:val="af9"/>
          <w:rFonts w:hint="cs"/>
          <w:rtl/>
        </w:rPr>
        <w:t>ו</w:t>
      </w:r>
      <w:r w:rsidRPr="00834C78">
        <w:rPr>
          <w:rStyle w:val="af9"/>
          <w:rFonts w:hint="cs"/>
          <w:rtl/>
        </w:rPr>
        <w:t>בתוה"ב</w:t>
      </w:r>
      <w:r>
        <w:rPr>
          <w:rFonts w:hint="cs"/>
          <w:rtl/>
        </w:rPr>
        <w:t xml:space="preserve"> </w:t>
      </w:r>
      <w:r w:rsidRPr="009958F9">
        <w:rPr>
          <w:rStyle w:val="af7"/>
          <w:rFonts w:eastAsia="Guttman Hodes" w:hint="cs"/>
          <w:rtl/>
        </w:rPr>
        <w:t>(ב"א ש"ב דף טז: מדה"ס)</w:t>
      </w:r>
      <w:r>
        <w:rPr>
          <w:rStyle w:val="af9"/>
          <w:rFonts w:hint="cs"/>
          <w:rtl/>
        </w:rPr>
        <w:t xml:space="preserve"> ו</w:t>
      </w:r>
      <w:r w:rsidRPr="006646D4">
        <w:rPr>
          <w:rStyle w:val="af9"/>
          <w:rFonts w:hint="cs"/>
          <w:rtl/>
        </w:rPr>
        <w:t>השיטמ"ק</w:t>
      </w:r>
      <w:r>
        <w:rPr>
          <w:rFonts w:hint="cs"/>
          <w:rtl/>
        </w:rPr>
        <w:t xml:space="preserve"> </w:t>
      </w:r>
      <w:r w:rsidRPr="006646D4">
        <w:rPr>
          <w:rStyle w:val="af7"/>
          <w:rFonts w:eastAsia="Guttman Hodes" w:hint="cs"/>
          <w:rtl/>
        </w:rPr>
        <w:t>(</w:t>
      </w:r>
      <w:r>
        <w:rPr>
          <w:rStyle w:val="af7"/>
          <w:rFonts w:eastAsia="Guttman Hodes" w:hint="cs"/>
          <w:rtl/>
        </w:rPr>
        <w:t xml:space="preserve">י: </w:t>
      </w:r>
      <w:r w:rsidRPr="006646D4">
        <w:rPr>
          <w:rStyle w:val="af7"/>
          <w:rFonts w:eastAsia="Guttman Hodes" w:hint="cs"/>
          <w:rtl/>
        </w:rPr>
        <w:t>ד"ה ודע שהר"י החסיד)</w:t>
      </w:r>
      <w:r>
        <w:rPr>
          <w:rFonts w:hint="cs"/>
          <w:rtl/>
        </w:rPr>
        <w:t xml:space="preserve"> בשם </w:t>
      </w:r>
      <w:r w:rsidRPr="006646D4">
        <w:rPr>
          <w:rStyle w:val="af9"/>
          <w:rFonts w:hint="cs"/>
          <w:rtl/>
        </w:rPr>
        <w:t>רבינו יונה</w:t>
      </w:r>
      <w:r>
        <w:rPr>
          <w:rFonts w:hint="cs"/>
          <w:rtl/>
        </w:rPr>
        <w:t xml:space="preserve"> דהא דקיי"ל כרב חסדא בשיבר בה עצמות, היינו בסכין ארוך שיש בו שיעור הכשר שחיטה חוץ לפגימה, דבכה"ג אפש"ל דאף שיש לבהמה חזקת איסור, מ"מ אין כל ריעותא בבהמה והיא שחוטה לפניך, כיון שיתכן ששחט שלא כנגד הפגימה, והריעותא היא בסכין ולא בבהמה, ועיי"ש במה שהביאו </w:t>
      </w:r>
      <w:r w:rsidRPr="009C125E">
        <w:rPr>
          <w:rStyle w:val="af9"/>
          <w:rFonts w:hint="cs"/>
          <w:rtl/>
        </w:rPr>
        <w:t xml:space="preserve">הרשב"א </w:t>
      </w:r>
      <w:r>
        <w:rPr>
          <w:rStyle w:val="af9"/>
          <w:rFonts w:hint="cs"/>
          <w:rtl/>
        </w:rPr>
        <w:t>ו</w:t>
      </w:r>
      <w:r w:rsidRPr="006646D4">
        <w:rPr>
          <w:rStyle w:val="af9"/>
          <w:rFonts w:hint="cs"/>
          <w:rtl/>
        </w:rPr>
        <w:t>השיטמ"ק</w:t>
      </w:r>
      <w:r>
        <w:rPr>
          <w:rFonts w:hint="cs"/>
          <w:rtl/>
        </w:rPr>
        <w:t xml:space="preserve"> ראיה לדברי </w:t>
      </w:r>
      <w:r w:rsidRPr="00204194">
        <w:rPr>
          <w:rStyle w:val="af9"/>
          <w:rFonts w:hint="cs"/>
          <w:rtl/>
        </w:rPr>
        <w:t>רבינו יונה</w:t>
      </w:r>
      <w:r>
        <w:rPr>
          <w:rFonts w:hint="cs"/>
          <w:rtl/>
        </w:rPr>
        <w:t>.</w:t>
      </w:r>
    </w:p>
    <w:p w14:paraId="37C02610" w14:textId="77777777" w:rsidR="00413DD0" w:rsidRDefault="00413DD0" w:rsidP="00BF39B2">
      <w:pPr>
        <w:pStyle w:val="1"/>
        <w:rPr>
          <w:rtl/>
        </w:rPr>
      </w:pPr>
      <w:bookmarkStart w:id="5287" w:name="_Toc524638706"/>
      <w:bookmarkStart w:id="5288" w:name="_Toc525594346"/>
      <w:bookmarkStart w:id="5289" w:name="_Toc526249196"/>
      <w:bookmarkStart w:id="5290" w:name="_Toc526415992"/>
      <w:bookmarkStart w:id="5291" w:name="_Toc526418210"/>
      <w:bookmarkStart w:id="5292" w:name="_Toc19389585"/>
      <w:bookmarkStart w:id="5293" w:name="_Toc19393082"/>
      <w:bookmarkStart w:id="5294" w:name="_Ref523608042"/>
      <w:bookmarkStart w:id="5295" w:name="_Ref523391345"/>
      <w:bookmarkStart w:id="5296" w:name="_Ref523396801"/>
      <w:bookmarkStart w:id="5297" w:name="_Toc525594353"/>
      <w:r>
        <w:rPr>
          <w:rFonts w:hint="cs"/>
          <w:rtl/>
        </w:rPr>
        <w:t>דחיית הרשב"א והתור"פ דאיירי אף בסכין קטן ואין ספק ספיקא</w:t>
      </w:r>
      <w:bookmarkEnd w:id="5287"/>
      <w:bookmarkEnd w:id="5288"/>
      <w:bookmarkEnd w:id="5289"/>
      <w:bookmarkEnd w:id="5290"/>
      <w:bookmarkEnd w:id="5291"/>
      <w:bookmarkEnd w:id="5292"/>
      <w:bookmarkEnd w:id="5293"/>
    </w:p>
    <w:p w14:paraId="6180FDC4" w14:textId="77777777" w:rsidR="00413DD0" w:rsidRPr="00F256BE" w:rsidRDefault="00413DD0" w:rsidP="006D6D32">
      <w:pPr>
        <w:pStyle w:val="a3"/>
      </w:pPr>
      <w:bookmarkStart w:id="5298" w:name="_Toc526249197"/>
      <w:bookmarkStart w:id="5299" w:name="_Toc526415993"/>
      <w:bookmarkStart w:id="5300" w:name="_Toc526418211"/>
      <w:bookmarkStart w:id="5301" w:name="_Toc19389586"/>
      <w:bookmarkStart w:id="5302" w:name="_Toc19393083"/>
      <w:r>
        <w:rPr>
          <w:rFonts w:hint="cs"/>
          <w:rtl/>
        </w:rPr>
        <w:t>דחיית הרשב"א והתור"פ דאין ספק ספיקא דלא משמע דאיירי רק בסכין גדול</w:t>
      </w:r>
      <w:bookmarkEnd w:id="5298"/>
      <w:bookmarkEnd w:id="5299"/>
      <w:bookmarkEnd w:id="5300"/>
      <w:bookmarkEnd w:id="5301"/>
      <w:bookmarkEnd w:id="5302"/>
    </w:p>
    <w:p w14:paraId="2C942CC2" w14:textId="77777777" w:rsidR="00413DD0" w:rsidRDefault="00413DD0" w:rsidP="00223668">
      <w:pPr>
        <w:pStyle w:val="a0"/>
      </w:pPr>
      <w:bookmarkStart w:id="5303" w:name="_Ref524685553"/>
      <w:r w:rsidRPr="008D7DA7">
        <w:rPr>
          <w:rStyle w:val="af9"/>
          <w:rFonts w:hint="cs"/>
          <w:rtl/>
        </w:rPr>
        <w:t>וה</w:t>
      </w:r>
      <w:r w:rsidRPr="00834C78">
        <w:rPr>
          <w:rStyle w:val="af9"/>
          <w:rFonts w:hint="cs"/>
          <w:rtl/>
        </w:rPr>
        <w:t>רשב"א</w:t>
      </w:r>
      <w:r w:rsidRPr="0067141E">
        <w:rPr>
          <w:rStyle w:val="af9"/>
          <w:rFonts w:hint="cs"/>
          <w:rtl/>
        </w:rPr>
        <w:t xml:space="preserve"> </w:t>
      </w:r>
      <w:r>
        <w:rPr>
          <w:rStyle w:val="af9"/>
          <w:rFonts w:hint="cs"/>
          <w:rtl/>
        </w:rPr>
        <w:t>בחי'</w:t>
      </w:r>
      <w:r w:rsidRPr="009C125E">
        <w:rPr>
          <w:rStyle w:val="af9"/>
          <w:rFonts w:hint="cs"/>
          <w:rtl/>
        </w:rPr>
        <w:t xml:space="preserve"> </w:t>
      </w:r>
      <w:r w:rsidRPr="009958F9">
        <w:rPr>
          <w:rStyle w:val="af7"/>
          <w:rFonts w:eastAsia="Guttman Hodes" w:hint="cs"/>
          <w:rtl/>
        </w:rPr>
        <w:t xml:space="preserve">(י: ד"ה ומיהו אם) </w:t>
      </w:r>
      <w:r>
        <w:rPr>
          <w:rStyle w:val="af9"/>
          <w:rFonts w:hint="cs"/>
          <w:rtl/>
        </w:rPr>
        <w:t>ו</w:t>
      </w:r>
      <w:r w:rsidRPr="00834C78">
        <w:rPr>
          <w:rStyle w:val="af9"/>
          <w:rFonts w:hint="cs"/>
          <w:rtl/>
        </w:rPr>
        <w:t>בתוה"ב</w:t>
      </w:r>
      <w:r>
        <w:rPr>
          <w:rFonts w:hint="cs"/>
          <w:rtl/>
        </w:rPr>
        <w:t xml:space="preserve"> </w:t>
      </w:r>
      <w:r w:rsidRPr="009958F9">
        <w:rPr>
          <w:rStyle w:val="af7"/>
          <w:rFonts w:eastAsia="Guttman Hodes" w:hint="cs"/>
          <w:rtl/>
        </w:rPr>
        <w:t xml:space="preserve">(ב"א ש"ב דף טז: מדה"ס) </w:t>
      </w:r>
      <w:r>
        <w:rPr>
          <w:rFonts w:hint="cs"/>
          <w:rtl/>
        </w:rPr>
        <w:t xml:space="preserve">דחה את דברי </w:t>
      </w:r>
      <w:r w:rsidRPr="00A86A61">
        <w:rPr>
          <w:rStyle w:val="af9"/>
          <w:rFonts w:hint="cs"/>
          <w:rtl/>
        </w:rPr>
        <w:t>רבינו יונה</w:t>
      </w:r>
      <w:r>
        <w:rPr>
          <w:rFonts w:hint="cs"/>
          <w:rtl/>
        </w:rPr>
        <w:t xml:space="preserve"> דכיון שרב הונא ורב חסדא נחלקו בסכין סתם, משמע דאף בסכין קטן התיר רב חסדא, וא"כ הא דקיי"ל כרב חסדא בששיבר בה עצמות, הוא גם בסכין קטן, והוסיף </w:t>
      </w:r>
      <w:r w:rsidRPr="00A86A61">
        <w:rPr>
          <w:rStyle w:val="af9"/>
          <w:rFonts w:hint="cs"/>
          <w:rtl/>
        </w:rPr>
        <w:t>הרשב"א</w:t>
      </w:r>
      <w:r>
        <w:rPr>
          <w:rFonts w:hint="cs"/>
          <w:rtl/>
        </w:rPr>
        <w:t xml:space="preserve"> דלא דמי למקוה שאין במה לתלות.</w:t>
      </w:r>
      <w:bookmarkEnd w:id="5303"/>
      <w:r>
        <w:rPr>
          <w:rFonts w:hint="cs"/>
          <w:rtl/>
        </w:rPr>
        <w:t xml:space="preserve"> וכן הביא </w:t>
      </w:r>
      <w:r w:rsidRPr="00A86A61">
        <w:rPr>
          <w:rStyle w:val="af9"/>
          <w:rFonts w:hint="cs"/>
          <w:rtl/>
        </w:rPr>
        <w:t>השיטמ"ק</w:t>
      </w:r>
      <w:r>
        <w:rPr>
          <w:rFonts w:hint="cs"/>
          <w:rtl/>
        </w:rPr>
        <w:t xml:space="preserve"> </w:t>
      </w:r>
      <w:r w:rsidRPr="009958F9">
        <w:rPr>
          <w:rStyle w:val="af7"/>
          <w:rFonts w:eastAsia="Guttman Hodes" w:hint="cs"/>
          <w:rtl/>
        </w:rPr>
        <w:t>(ד"ה מיהו הר"ף)</w:t>
      </w:r>
      <w:r>
        <w:rPr>
          <w:rFonts w:hint="cs"/>
          <w:rtl/>
        </w:rPr>
        <w:t xml:space="preserve"> בשם </w:t>
      </w:r>
      <w:r w:rsidRPr="00A86A61">
        <w:rPr>
          <w:rStyle w:val="af9"/>
          <w:rFonts w:hint="cs"/>
          <w:rtl/>
        </w:rPr>
        <w:t>רבינו פרץ</w:t>
      </w:r>
      <w:r>
        <w:rPr>
          <w:rFonts w:hint="cs"/>
          <w:rtl/>
        </w:rPr>
        <w:t xml:space="preserve"> דא"א לפרש דתירוץ הגמ' דבהמה לא איתרעי הוא מדין ספק ספיקא, דהא איירי אף בסכין שיש בו מלא צואר אחד, ואם נפגם הסכין לפני השחיטה, ודאי ששחט במקום הפגימה.</w:t>
      </w:r>
    </w:p>
    <w:p w14:paraId="4B85DF2D" w14:textId="77777777" w:rsidR="00413DD0" w:rsidRDefault="00413DD0" w:rsidP="00BF39B2">
      <w:pPr>
        <w:pStyle w:val="1"/>
        <w:rPr>
          <w:rtl/>
        </w:rPr>
      </w:pPr>
      <w:bookmarkStart w:id="5304" w:name="_Toc526249198"/>
      <w:bookmarkStart w:id="5305" w:name="_Toc526415994"/>
      <w:bookmarkStart w:id="5306" w:name="_Toc526418212"/>
      <w:bookmarkStart w:id="5307" w:name="_Toc19389587"/>
      <w:bookmarkStart w:id="5308" w:name="_Toc19393084"/>
      <w:bookmarkEnd w:id="5294"/>
      <w:bookmarkEnd w:id="5295"/>
      <w:bookmarkEnd w:id="5296"/>
      <w:r>
        <w:rPr>
          <w:rFonts w:hint="cs"/>
          <w:rtl/>
        </w:rPr>
        <w:t>בביאור טעמא דר"ח לתירוץ הג' בתוס'</w:t>
      </w:r>
      <w:bookmarkEnd w:id="5304"/>
      <w:bookmarkEnd w:id="5305"/>
      <w:bookmarkEnd w:id="5306"/>
      <w:bookmarkEnd w:id="5307"/>
      <w:bookmarkEnd w:id="5308"/>
    </w:p>
    <w:p w14:paraId="69CF8CE0" w14:textId="77777777" w:rsidR="00413DD0" w:rsidRDefault="00413DD0" w:rsidP="006D6D32">
      <w:pPr>
        <w:pStyle w:val="a3"/>
        <w:rPr>
          <w:rtl/>
        </w:rPr>
      </w:pPr>
      <w:bookmarkStart w:id="5309" w:name="_Toc526249199"/>
      <w:bookmarkStart w:id="5310" w:name="_Toc526415995"/>
      <w:bookmarkStart w:id="5311" w:name="_Toc526418213"/>
      <w:bookmarkStart w:id="5312" w:name="_Toc19389588"/>
      <w:bookmarkStart w:id="5313" w:name="_Toc19393085"/>
      <w:r>
        <w:rPr>
          <w:rFonts w:hint="cs"/>
          <w:rtl/>
        </w:rPr>
        <w:t>דברי השיטמ"ק והמהרש"א דלתי' הג' בתוס' אין סברא לתלות במפרקת ולעולם תלינן לקולא</w:t>
      </w:r>
      <w:bookmarkEnd w:id="5297"/>
      <w:bookmarkEnd w:id="5309"/>
      <w:bookmarkEnd w:id="5310"/>
      <w:bookmarkEnd w:id="5311"/>
      <w:bookmarkEnd w:id="5312"/>
      <w:bookmarkEnd w:id="5313"/>
    </w:p>
    <w:p w14:paraId="5A5C4ACF" w14:textId="77777777" w:rsidR="00413DD0" w:rsidRDefault="00413DD0" w:rsidP="00223668">
      <w:pPr>
        <w:pStyle w:val="a0"/>
        <w:rPr>
          <w:rtl/>
        </w:rPr>
      </w:pPr>
      <w:bookmarkStart w:id="5314" w:name="_Ref523343917"/>
      <w:bookmarkStart w:id="5315" w:name="_Ref523310198"/>
      <w:r>
        <w:rPr>
          <w:rFonts w:hint="cs"/>
          <w:rtl/>
        </w:rPr>
        <w:t xml:space="preserve">וכתבו </w:t>
      </w:r>
      <w:r w:rsidRPr="00780F68">
        <w:rPr>
          <w:rStyle w:val="af9"/>
          <w:rFonts w:hint="cs"/>
          <w:rtl/>
        </w:rPr>
        <w:t xml:space="preserve">השיטמ"ק </w:t>
      </w:r>
      <w:r w:rsidRPr="00062A33">
        <w:rPr>
          <w:rStyle w:val="af7"/>
          <w:rFonts w:eastAsia="Guttman Hodes" w:hint="cs"/>
          <w:rtl/>
        </w:rPr>
        <w:t>(ד"ה והתוס' פירשו עוד)</w:t>
      </w:r>
      <w:r>
        <w:rPr>
          <w:rStyle w:val="af9"/>
          <w:rFonts w:hint="cs"/>
          <w:rtl/>
        </w:rPr>
        <w:t xml:space="preserve"> </w:t>
      </w:r>
      <w:r w:rsidRPr="00780F68">
        <w:rPr>
          <w:rStyle w:val="af9"/>
          <w:rFonts w:hint="cs"/>
          <w:rtl/>
        </w:rPr>
        <w:t>והמהרש</w:t>
      </w:r>
      <w:r w:rsidRPr="006546D5">
        <w:rPr>
          <w:rStyle w:val="af9"/>
          <w:rFonts w:hint="cs"/>
          <w:rtl/>
        </w:rPr>
        <w:t>"א</w:t>
      </w:r>
      <w:r>
        <w:rPr>
          <w:rFonts w:hint="cs"/>
          <w:rtl/>
        </w:rPr>
        <w:t xml:space="preserve"> </w:t>
      </w:r>
      <w:r w:rsidRPr="006546D5">
        <w:rPr>
          <w:rStyle w:val="af7"/>
          <w:rFonts w:eastAsia="Guttman Hodes" w:hint="cs"/>
          <w:rtl/>
        </w:rPr>
        <w:t>(ד"ה מ"ט)</w:t>
      </w:r>
      <w:r>
        <w:rPr>
          <w:rFonts w:hint="cs"/>
          <w:rtl/>
        </w:rPr>
        <w:t xml:space="preserve"> דמבואר </w:t>
      </w:r>
      <w:r w:rsidRPr="00E03E3D">
        <w:rPr>
          <w:rStyle w:val="af9"/>
          <w:rFonts w:hint="cs"/>
          <w:rtl/>
        </w:rPr>
        <w:t>מהתירוץ ה</w:t>
      </w:r>
      <w:r>
        <w:rPr>
          <w:rStyle w:val="af9"/>
          <w:rFonts w:hint="cs"/>
          <w:rtl/>
        </w:rPr>
        <w:t>ג'</w:t>
      </w:r>
      <w:r w:rsidRPr="00E03E3D">
        <w:rPr>
          <w:rStyle w:val="af9"/>
          <w:rFonts w:hint="cs"/>
          <w:rtl/>
        </w:rPr>
        <w:t xml:space="preserve"> בתוס'</w:t>
      </w:r>
      <w:r>
        <w:rPr>
          <w:rFonts w:hint="cs"/>
          <w:rtl/>
        </w:rPr>
        <w:t xml:space="preserve"> כדעת </w:t>
      </w:r>
      <w:r w:rsidRPr="006546D5">
        <w:rPr>
          <w:rStyle w:val="af9"/>
          <w:rFonts w:hint="cs"/>
          <w:rtl/>
        </w:rPr>
        <w:t>רש"י</w:t>
      </w:r>
      <w:r>
        <w:rPr>
          <w:rFonts w:hint="cs"/>
          <w:rtl/>
        </w:rPr>
        <w:t xml:space="preserve"> </w:t>
      </w:r>
      <w:r w:rsidRPr="006546D5">
        <w:rPr>
          <w:rStyle w:val="af7"/>
          <w:rFonts w:eastAsia="Guttman Hodes" w:hint="cs"/>
          <w:rtl/>
        </w:rPr>
        <w:t xml:space="preserve">(עי' אות </w:t>
      </w:r>
      <w:r w:rsidRPr="006546D5">
        <w:rPr>
          <w:rStyle w:val="af7"/>
          <w:rFonts w:eastAsia="Guttman Hodes"/>
          <w:rtl/>
        </w:rPr>
        <w:fldChar w:fldCharType="begin"/>
      </w:r>
      <w:r w:rsidRPr="006546D5">
        <w:rPr>
          <w:rStyle w:val="af7"/>
          <w:rFonts w:eastAsia="Guttman Hodes"/>
          <w:rtl/>
        </w:rPr>
        <w:instrText xml:space="preserve"> </w:instrText>
      </w:r>
      <w:r w:rsidRPr="006546D5">
        <w:rPr>
          <w:rStyle w:val="af7"/>
          <w:rFonts w:eastAsia="Guttman Hodes" w:hint="cs"/>
        </w:rPr>
        <w:instrText>REF</w:instrText>
      </w:r>
      <w:r w:rsidRPr="006546D5">
        <w:rPr>
          <w:rStyle w:val="af7"/>
          <w:rFonts w:eastAsia="Guttman Hodes" w:hint="cs"/>
          <w:rtl/>
        </w:rPr>
        <w:instrText xml:space="preserve"> _</w:instrText>
      </w:r>
      <w:r w:rsidRPr="006546D5">
        <w:rPr>
          <w:rStyle w:val="af7"/>
          <w:rFonts w:eastAsia="Guttman Hodes" w:hint="cs"/>
        </w:rPr>
        <w:instrText>Ref523307318 \r \h</w:instrText>
      </w:r>
      <w:r w:rsidRPr="006546D5">
        <w:rPr>
          <w:rStyle w:val="af7"/>
          <w:rFonts w:eastAsia="Guttman Hodes"/>
          <w:rtl/>
        </w:rPr>
        <w:instrText xml:space="preserve"> </w:instrText>
      </w:r>
      <w:r w:rsidRPr="006546D5">
        <w:rPr>
          <w:rStyle w:val="af7"/>
          <w:rFonts w:eastAsia="Guttman Hodes"/>
          <w:rtl/>
        </w:rPr>
      </w:r>
      <w:r w:rsidRPr="006546D5">
        <w:rPr>
          <w:rStyle w:val="af7"/>
          <w:rFonts w:eastAsia="Guttman Hodes"/>
          <w:rtl/>
        </w:rPr>
        <w:fldChar w:fldCharType="separate"/>
      </w:r>
      <w:r w:rsidR="00345400">
        <w:rPr>
          <w:rStyle w:val="af7"/>
          <w:rFonts w:eastAsia="Guttman Hodes"/>
          <w:cs/>
        </w:rPr>
        <w:t>‎</w:t>
      </w:r>
      <w:r w:rsidR="00345400">
        <w:rPr>
          <w:rStyle w:val="af7"/>
          <w:rFonts w:eastAsia="Guttman Hodes"/>
          <w:rtl/>
        </w:rPr>
        <w:t>ח)</w:t>
      </w:r>
      <w:r w:rsidRPr="006546D5">
        <w:rPr>
          <w:rStyle w:val="af7"/>
          <w:rFonts w:eastAsia="Guttman Hodes"/>
          <w:rtl/>
        </w:rPr>
        <w:fldChar w:fldCharType="end"/>
      </w:r>
      <w:r>
        <w:rPr>
          <w:rFonts w:hint="cs"/>
          <w:rtl/>
        </w:rPr>
        <w:t xml:space="preserve"> דאין סברא לתלות יותר במפרקת מאשר בעור, וכן אין סברא לתלות בבהמות האחרונות יותר מהראשונות, אלא דתלינן לקולא בכל האופנים, א"כ מבואר דלמסקנא סברת רב חסדא אינה מחמת דעצם ודאי פוגם ועור ספק פוגם, כדאמרינן באופן ששיבר בה עצמות, ודלא </w:t>
      </w:r>
      <w:r w:rsidRPr="00DF1E68">
        <w:rPr>
          <w:rStyle w:val="af9"/>
          <w:rFonts w:hint="cs"/>
          <w:rtl/>
        </w:rPr>
        <w:t>כתירוץ הב' בתוס'</w:t>
      </w:r>
      <w:r>
        <w:rPr>
          <w:rFonts w:hint="cs"/>
          <w:rtl/>
        </w:rPr>
        <w:t xml:space="preserve"> </w:t>
      </w:r>
      <w:r w:rsidRPr="00C95203">
        <w:rPr>
          <w:rStyle w:val="af7"/>
          <w:rFonts w:eastAsia="Guttman Hodes" w:hint="cs"/>
          <w:rtl/>
        </w:rPr>
        <w:t xml:space="preserve">(עי' אות </w:t>
      </w:r>
      <w:r w:rsidRPr="00C95203">
        <w:rPr>
          <w:rStyle w:val="af7"/>
          <w:rFonts w:eastAsia="Guttman Hodes"/>
          <w:rtl/>
        </w:rPr>
        <w:fldChar w:fldCharType="begin"/>
      </w:r>
      <w:r w:rsidRPr="00C95203">
        <w:rPr>
          <w:rStyle w:val="af7"/>
          <w:rFonts w:eastAsia="Guttman Hodes"/>
          <w:rtl/>
        </w:rPr>
        <w:instrText xml:space="preserve"> </w:instrText>
      </w:r>
      <w:r w:rsidRPr="00C95203">
        <w:rPr>
          <w:rStyle w:val="af7"/>
          <w:rFonts w:eastAsia="Guttman Hodes" w:hint="cs"/>
        </w:rPr>
        <w:instrText>REF</w:instrText>
      </w:r>
      <w:r w:rsidRPr="00C95203">
        <w:rPr>
          <w:rStyle w:val="af7"/>
          <w:rFonts w:eastAsia="Guttman Hodes" w:hint="cs"/>
          <w:rtl/>
        </w:rPr>
        <w:instrText xml:space="preserve"> _</w:instrText>
      </w:r>
      <w:r w:rsidRPr="00C95203">
        <w:rPr>
          <w:rStyle w:val="af7"/>
          <w:rFonts w:eastAsia="Guttman Hodes" w:hint="cs"/>
        </w:rPr>
        <w:instrText>Ref523310330 \r \h</w:instrText>
      </w:r>
      <w:r w:rsidRPr="00C95203">
        <w:rPr>
          <w:rStyle w:val="af7"/>
          <w:rFonts w:eastAsia="Guttman Hodes"/>
          <w:rtl/>
        </w:rPr>
        <w:instrText xml:space="preserve"> </w:instrText>
      </w:r>
      <w:r w:rsidRPr="00C95203">
        <w:rPr>
          <w:rStyle w:val="af7"/>
          <w:rFonts w:eastAsia="Guttman Hodes"/>
          <w:rtl/>
        </w:rPr>
      </w:r>
      <w:r w:rsidRPr="00C95203">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C95203">
        <w:rPr>
          <w:rStyle w:val="af7"/>
          <w:rFonts w:eastAsia="Guttman Hodes"/>
          <w:rtl/>
        </w:rPr>
        <w:fldChar w:fldCharType="end"/>
      </w:r>
      <w:r>
        <w:rPr>
          <w:rFonts w:hint="cs"/>
          <w:rtl/>
        </w:rPr>
        <w:t xml:space="preserve">, </w:t>
      </w:r>
      <w:r w:rsidRPr="00310870">
        <w:rPr>
          <w:rFonts w:hint="cs"/>
          <w:rtl/>
        </w:rPr>
        <w:t>וכ</w:t>
      </w:r>
      <w:r>
        <w:rPr>
          <w:rFonts w:hint="cs"/>
          <w:rtl/>
        </w:rPr>
        <w:t>"כ</w:t>
      </w:r>
      <w:r w:rsidRPr="00310870">
        <w:rPr>
          <w:rFonts w:hint="cs"/>
          <w:rtl/>
        </w:rPr>
        <w:t xml:space="preserve"> </w:t>
      </w:r>
      <w:r w:rsidRPr="00310870">
        <w:rPr>
          <w:rStyle w:val="af9"/>
          <w:rFonts w:hint="cs"/>
          <w:rtl/>
        </w:rPr>
        <w:t>הגרעק"א</w:t>
      </w:r>
      <w:r w:rsidRPr="00310870">
        <w:rPr>
          <w:rFonts w:hint="cs"/>
          <w:rtl/>
        </w:rPr>
        <w:t xml:space="preserve"> </w:t>
      </w:r>
      <w:r w:rsidRPr="00310870">
        <w:rPr>
          <w:rStyle w:val="af7"/>
          <w:rFonts w:eastAsia="Guttman Hodes" w:hint="cs"/>
          <w:rtl/>
        </w:rPr>
        <w:t>(על תוד"ה והא)</w:t>
      </w:r>
      <w:r>
        <w:rPr>
          <w:rFonts w:hint="cs"/>
          <w:rtl/>
        </w:rPr>
        <w:t>.</w:t>
      </w:r>
      <w:bookmarkEnd w:id="5314"/>
    </w:p>
    <w:p w14:paraId="21AED472" w14:textId="77777777" w:rsidR="00413DD0" w:rsidRDefault="00413DD0" w:rsidP="006D6D32">
      <w:pPr>
        <w:pStyle w:val="a3"/>
        <w:rPr>
          <w:rtl/>
        </w:rPr>
      </w:pPr>
      <w:bookmarkStart w:id="5316" w:name="_Toc525594354"/>
      <w:bookmarkStart w:id="5317" w:name="_Toc526249200"/>
      <w:bookmarkStart w:id="5318" w:name="_Toc526415996"/>
      <w:bookmarkStart w:id="5319" w:name="_Toc526418214"/>
      <w:bookmarkStart w:id="5320" w:name="_Toc19389589"/>
      <w:bookmarkStart w:id="5321" w:name="_Toc19393086"/>
      <w:r>
        <w:rPr>
          <w:rFonts w:hint="cs"/>
          <w:rtl/>
        </w:rPr>
        <w:t>דברי השיטמ"ק דלתי' הג' בתוס' ההיתר לרב חסדא הוא מדין ספק ספיקא</w:t>
      </w:r>
      <w:bookmarkEnd w:id="5316"/>
      <w:bookmarkEnd w:id="5317"/>
      <w:bookmarkEnd w:id="5318"/>
      <w:bookmarkEnd w:id="5319"/>
      <w:bookmarkEnd w:id="5320"/>
      <w:bookmarkEnd w:id="5321"/>
    </w:p>
    <w:p w14:paraId="4B18ECCF" w14:textId="77777777" w:rsidR="00413DD0" w:rsidRDefault="00413DD0" w:rsidP="00223668">
      <w:pPr>
        <w:pStyle w:val="a0"/>
      </w:pPr>
      <w:r>
        <w:rPr>
          <w:rFonts w:hint="cs"/>
          <w:rtl/>
        </w:rPr>
        <w:t xml:space="preserve">וכתב </w:t>
      </w:r>
      <w:r w:rsidRPr="00C95203">
        <w:rPr>
          <w:rStyle w:val="af9"/>
          <w:rFonts w:hint="cs"/>
          <w:rtl/>
        </w:rPr>
        <w:t>השיטמ"ק</w:t>
      </w:r>
      <w:r>
        <w:rPr>
          <w:rFonts w:hint="cs"/>
          <w:rtl/>
        </w:rPr>
        <w:t xml:space="preserve"> </w:t>
      </w:r>
      <w:r w:rsidRPr="00BC7849">
        <w:rPr>
          <w:rStyle w:val="af9"/>
          <w:rFonts w:hint="cs"/>
          <w:rtl/>
        </w:rPr>
        <w:t>דלתירוץ הג' בתוס'</w:t>
      </w:r>
      <w:r>
        <w:rPr>
          <w:rFonts w:hint="cs"/>
          <w:rtl/>
        </w:rPr>
        <w:t xml:space="preserve"> ס"ל לרב חסדא דכיון שהוא ספק ספיקא תלינן לקולא, שהמפרקת פגמה.</w:t>
      </w:r>
    </w:p>
    <w:p w14:paraId="1641A169" w14:textId="77777777" w:rsidR="00413DD0" w:rsidRDefault="00413DD0" w:rsidP="006D6D32">
      <w:pPr>
        <w:pStyle w:val="a3"/>
        <w:rPr>
          <w:rtl/>
        </w:rPr>
      </w:pPr>
      <w:bookmarkStart w:id="5322" w:name="_Toc525594355"/>
      <w:bookmarkStart w:id="5323" w:name="_Toc526249201"/>
      <w:bookmarkStart w:id="5324" w:name="_Toc526415997"/>
      <w:bookmarkStart w:id="5325" w:name="_Toc526418215"/>
      <w:bookmarkStart w:id="5326" w:name="_Toc19389590"/>
      <w:bookmarkStart w:id="5327" w:name="_Toc19393087"/>
      <w:r>
        <w:rPr>
          <w:rFonts w:hint="cs"/>
          <w:rtl/>
        </w:rPr>
        <w:t>דברי המהרש"א דלתי' הג' בתוס' ההיתר לרב חסדא הוא כיון שחוטה לפניך ואין ריעותא בבהמה</w:t>
      </w:r>
      <w:bookmarkEnd w:id="5322"/>
      <w:bookmarkEnd w:id="5323"/>
      <w:bookmarkEnd w:id="5324"/>
      <w:bookmarkEnd w:id="5325"/>
      <w:bookmarkEnd w:id="5326"/>
      <w:bookmarkEnd w:id="5327"/>
    </w:p>
    <w:p w14:paraId="6ED9F54F" w14:textId="77777777" w:rsidR="00413DD0" w:rsidRDefault="00413DD0" w:rsidP="00223668">
      <w:pPr>
        <w:pStyle w:val="a0"/>
        <w:rPr>
          <w:rtl/>
        </w:rPr>
      </w:pPr>
      <w:r w:rsidRPr="00C95203">
        <w:rPr>
          <w:rStyle w:val="af9"/>
          <w:rFonts w:hint="cs"/>
          <w:rtl/>
        </w:rPr>
        <w:t>והמהרש"א</w:t>
      </w:r>
      <w:r w:rsidRPr="00BC7849">
        <w:rPr>
          <w:rFonts w:hint="cs"/>
          <w:rtl/>
        </w:rPr>
        <w:t xml:space="preserve"> </w:t>
      </w:r>
      <w:r>
        <w:rPr>
          <w:rFonts w:hint="cs"/>
          <w:rtl/>
        </w:rPr>
        <w:t xml:space="preserve">כתב </w:t>
      </w:r>
      <w:r w:rsidRPr="00BC7849">
        <w:rPr>
          <w:rStyle w:val="af9"/>
          <w:rFonts w:hint="cs"/>
          <w:rtl/>
        </w:rPr>
        <w:t>דלתירוץ הג' בתוס'</w:t>
      </w:r>
      <w:r>
        <w:rPr>
          <w:rFonts w:hint="cs"/>
          <w:rtl/>
        </w:rPr>
        <w:t xml:space="preserve"> ס"ל רב חסדא הוא דכיון ששחוטה לפניך, והריעותא בסכין ולא בבהמה לכן  תלינן לקולא.</w:t>
      </w:r>
      <w:bookmarkEnd w:id="5315"/>
    </w:p>
    <w:p w14:paraId="3AA4D26F" w14:textId="77777777" w:rsidR="00413DD0" w:rsidRDefault="00413DD0" w:rsidP="006D6D32">
      <w:pPr>
        <w:pStyle w:val="afe"/>
        <w:rPr>
          <w:rtl/>
        </w:rPr>
      </w:pPr>
      <w:bookmarkStart w:id="5328" w:name="_Toc525594350"/>
      <w:bookmarkStart w:id="5329" w:name="_Toc526249202"/>
      <w:bookmarkStart w:id="5330" w:name="_Toc526415998"/>
      <w:bookmarkStart w:id="5331" w:name="_Toc526418216"/>
      <w:bookmarkStart w:id="5332" w:name="_Toc19435377"/>
      <w:bookmarkStart w:id="5333" w:name="_Toc20080705"/>
      <w:r>
        <w:rPr>
          <w:rFonts w:hint="cs"/>
          <w:rtl/>
        </w:rPr>
        <w:t>בדברי התוס' בספק ספיקא בסכין</w:t>
      </w:r>
      <w:bookmarkEnd w:id="5328"/>
      <w:bookmarkEnd w:id="5329"/>
      <w:bookmarkEnd w:id="5330"/>
      <w:bookmarkEnd w:id="5331"/>
      <w:bookmarkEnd w:id="5332"/>
      <w:bookmarkEnd w:id="5333"/>
    </w:p>
    <w:p w14:paraId="6029B42E" w14:textId="77777777" w:rsidR="00413DD0" w:rsidRDefault="00413DD0" w:rsidP="00BF39B2">
      <w:pPr>
        <w:pStyle w:val="1"/>
        <w:rPr>
          <w:rtl/>
        </w:rPr>
      </w:pPr>
      <w:bookmarkStart w:id="5334" w:name="_Toc526249203"/>
      <w:bookmarkStart w:id="5335" w:name="_Toc526415999"/>
      <w:bookmarkStart w:id="5336" w:name="_Toc526418217"/>
      <w:bookmarkStart w:id="5337" w:name="_Toc19389591"/>
      <w:bookmarkStart w:id="5338" w:name="_Toc19393088"/>
      <w:bookmarkStart w:id="5339" w:name="_Toc525594357"/>
      <w:bookmarkStart w:id="5340" w:name="_Toc524638707"/>
      <w:bookmarkStart w:id="5341" w:name="_Toc525594347"/>
      <w:bookmarkStart w:id="5342" w:name="_Toc526249205"/>
      <w:bookmarkStart w:id="5343" w:name="_Toc526416001"/>
      <w:bookmarkStart w:id="5344" w:name="_Toc526418219"/>
      <w:bookmarkStart w:id="5345" w:name="_Ref525829594"/>
      <w:bookmarkStart w:id="5346" w:name="_Toc523397223"/>
      <w:r>
        <w:rPr>
          <w:rFonts w:hint="cs"/>
          <w:rtl/>
        </w:rPr>
        <w:t>דברי הש"ך דההיתר ר"ח כעין ס"ס דאי"ז ספק ספיקא</w:t>
      </w:r>
      <w:bookmarkEnd w:id="5334"/>
      <w:bookmarkEnd w:id="5335"/>
      <w:bookmarkEnd w:id="5336"/>
      <w:r>
        <w:rPr>
          <w:rFonts w:hint="cs"/>
          <w:rtl/>
        </w:rPr>
        <w:t xml:space="preserve"> טוב</w:t>
      </w:r>
      <w:bookmarkEnd w:id="5337"/>
      <w:bookmarkEnd w:id="5338"/>
    </w:p>
    <w:p w14:paraId="3AF229F8" w14:textId="77777777" w:rsidR="00413DD0" w:rsidRDefault="00413DD0" w:rsidP="006D6D32">
      <w:pPr>
        <w:pStyle w:val="a3"/>
        <w:rPr>
          <w:rtl/>
        </w:rPr>
      </w:pPr>
      <w:bookmarkStart w:id="5347" w:name="_Toc19389592"/>
      <w:bookmarkStart w:id="5348" w:name="_Toc19393089"/>
      <w:bookmarkEnd w:id="5339"/>
      <w:r>
        <w:rPr>
          <w:rFonts w:hint="cs"/>
          <w:rtl/>
        </w:rPr>
        <w:t>דברי הש"ך דכוונת התוס' לומר דהוא כעין ספק ספיקא כיון שאינו ס"ס גמור</w:t>
      </w:r>
      <w:bookmarkEnd w:id="5347"/>
      <w:bookmarkEnd w:id="5348"/>
    </w:p>
    <w:p w14:paraId="7740E017" w14:textId="77777777" w:rsidR="00413DD0" w:rsidRDefault="00413DD0" w:rsidP="00223668">
      <w:pPr>
        <w:pStyle w:val="a0"/>
        <w:rPr>
          <w:rtl/>
        </w:rPr>
      </w:pPr>
      <w:bookmarkStart w:id="5349" w:name="_Ref526502032"/>
      <w:r>
        <w:rPr>
          <w:rFonts w:hint="cs"/>
          <w:rtl/>
        </w:rPr>
        <w:t xml:space="preserve">כתב </w:t>
      </w:r>
      <w:r w:rsidRPr="000B78C3">
        <w:rPr>
          <w:rStyle w:val="af9"/>
          <w:rFonts w:hint="cs"/>
          <w:rtl/>
        </w:rPr>
        <w:t>הש"ך</w:t>
      </w:r>
      <w:r w:rsidRPr="000B78C3">
        <w:rPr>
          <w:rFonts w:hint="cs"/>
          <w:rtl/>
        </w:rPr>
        <w:t xml:space="preserve"> </w:t>
      </w:r>
      <w:r w:rsidRPr="000B78C3">
        <w:rPr>
          <w:rStyle w:val="af7"/>
          <w:rFonts w:eastAsia="Guttman Hodes" w:hint="cs"/>
          <w:rtl/>
        </w:rPr>
        <w:t>(ק"י ס"ק ס"ד כללי ספק ספיקא כ"ז)</w:t>
      </w:r>
      <w:r w:rsidRPr="000B78C3">
        <w:rPr>
          <w:rFonts w:hint="cs"/>
          <w:rtl/>
        </w:rPr>
        <w:t xml:space="preserve"> דאין</w:t>
      </w:r>
      <w:r>
        <w:rPr>
          <w:rFonts w:hint="cs"/>
          <w:rtl/>
        </w:rPr>
        <w:t xml:space="preserve"> כוונת</w:t>
      </w:r>
      <w:r w:rsidRPr="000B78C3">
        <w:rPr>
          <w:rFonts w:hint="cs"/>
          <w:rtl/>
        </w:rPr>
        <w:t xml:space="preserve"> </w:t>
      </w:r>
      <w:r w:rsidRPr="000B78C3">
        <w:rPr>
          <w:rStyle w:val="af9"/>
          <w:rFonts w:hint="cs"/>
          <w:rtl/>
        </w:rPr>
        <w:t>התירוץ הג' בתוס'</w:t>
      </w:r>
      <w:r w:rsidRPr="000B78C3">
        <w:rPr>
          <w:rFonts w:hint="cs"/>
          <w:rtl/>
        </w:rPr>
        <w:t xml:space="preserve"> לומר דרב חסדא התיר מדין ספק ספיקא, אלא דהוא כעין ספק ספיקא, </w:t>
      </w:r>
      <w:r>
        <w:rPr>
          <w:rFonts w:hint="cs"/>
          <w:rtl/>
        </w:rPr>
        <w:t>[</w:t>
      </w:r>
      <w:r w:rsidRPr="000B78C3">
        <w:rPr>
          <w:rFonts w:hint="cs"/>
          <w:rtl/>
        </w:rPr>
        <w:t xml:space="preserve">דהכל הוא ספק אחד </w:t>
      </w:r>
      <w:r>
        <w:rPr>
          <w:rFonts w:hint="cs"/>
          <w:rtl/>
        </w:rPr>
        <w:t>דלב' הצדדים השחיטה כשרה</w:t>
      </w:r>
      <w:r>
        <w:rPr>
          <w:rStyle w:val="af1"/>
          <w:rtl/>
        </w:rPr>
        <w:footnoteReference w:id="24"/>
      </w:r>
      <w:r>
        <w:rPr>
          <w:rFonts w:hint="cs"/>
          <w:rtl/>
        </w:rPr>
        <w:t xml:space="preserve">], וכן הצד דשמא לא שחט כנגד הפגימה אינו ספק כלל, דהדרך שמוליך ומביא את כל הסכין, והביא </w:t>
      </w:r>
      <w:r w:rsidRPr="000B78C3">
        <w:rPr>
          <w:rStyle w:val="af9"/>
          <w:rFonts w:hint="cs"/>
          <w:rtl/>
        </w:rPr>
        <w:t>הש"ך</w:t>
      </w:r>
      <w:r>
        <w:rPr>
          <w:rFonts w:hint="cs"/>
          <w:rtl/>
        </w:rPr>
        <w:t xml:space="preserve"> את דברי </w:t>
      </w:r>
      <w:r w:rsidRPr="000B78C3">
        <w:rPr>
          <w:rStyle w:val="af9"/>
          <w:rFonts w:hint="cs"/>
          <w:rtl/>
        </w:rPr>
        <w:t>הרשב"א בתשו'</w:t>
      </w:r>
      <w:r>
        <w:rPr>
          <w:rFonts w:hint="cs"/>
          <w:rtl/>
        </w:rPr>
        <w:t xml:space="preserve"> </w:t>
      </w:r>
      <w:r w:rsidRPr="00697D67">
        <w:rPr>
          <w:rStyle w:val="af7"/>
          <w:rFonts w:eastAsia="Guttman Hodes" w:hint="cs"/>
          <w:rtl/>
        </w:rPr>
        <w:t xml:space="preserve">(עי' אות </w:t>
      </w:r>
      <w:r w:rsidRPr="00697D67">
        <w:rPr>
          <w:rStyle w:val="af7"/>
          <w:rFonts w:eastAsia="Guttman Hodes"/>
          <w:rtl/>
        </w:rPr>
        <w:fldChar w:fldCharType="begin"/>
      </w:r>
      <w:r w:rsidRPr="00697D67">
        <w:rPr>
          <w:rStyle w:val="af7"/>
          <w:rFonts w:eastAsia="Guttman Hodes"/>
          <w:rtl/>
        </w:rPr>
        <w:instrText xml:space="preserve"> </w:instrText>
      </w:r>
      <w:r w:rsidRPr="00697D67">
        <w:rPr>
          <w:rStyle w:val="af7"/>
          <w:rFonts w:eastAsia="Guttman Hodes" w:hint="cs"/>
        </w:rPr>
        <w:instrText>REF</w:instrText>
      </w:r>
      <w:r w:rsidRPr="00697D67">
        <w:rPr>
          <w:rStyle w:val="af7"/>
          <w:rFonts w:eastAsia="Guttman Hodes" w:hint="cs"/>
          <w:rtl/>
        </w:rPr>
        <w:instrText xml:space="preserve"> _</w:instrText>
      </w:r>
      <w:r w:rsidRPr="00697D67">
        <w:rPr>
          <w:rStyle w:val="af7"/>
          <w:rFonts w:eastAsia="Guttman Hodes" w:hint="cs"/>
        </w:rPr>
        <w:instrText>Ref523429809 \r \h</w:instrText>
      </w:r>
      <w:r w:rsidRPr="00697D67">
        <w:rPr>
          <w:rStyle w:val="af7"/>
          <w:rFonts w:eastAsia="Guttman Hodes"/>
          <w:rtl/>
        </w:rPr>
        <w:instrText xml:space="preserve"> </w:instrText>
      </w:r>
      <w:r w:rsidRPr="00697D67">
        <w:rPr>
          <w:rStyle w:val="af7"/>
          <w:rFonts w:eastAsia="Guttman Hodes"/>
          <w:rtl/>
        </w:rPr>
      </w:r>
      <w:r w:rsidRPr="00697D67">
        <w:rPr>
          <w:rStyle w:val="af7"/>
          <w:rFonts w:eastAsia="Guttman Hodes"/>
          <w:rtl/>
        </w:rPr>
        <w:fldChar w:fldCharType="separate"/>
      </w:r>
      <w:r w:rsidR="00345400">
        <w:rPr>
          <w:rStyle w:val="af7"/>
          <w:rFonts w:eastAsia="Guttman Hodes"/>
          <w:cs/>
        </w:rPr>
        <w:t>‎</w:t>
      </w:r>
      <w:r w:rsidR="00345400">
        <w:rPr>
          <w:rStyle w:val="af7"/>
          <w:rFonts w:eastAsia="Guttman Hodes"/>
          <w:rtl/>
        </w:rPr>
        <w:t>נד)</w:t>
      </w:r>
      <w:r w:rsidRPr="00697D67">
        <w:rPr>
          <w:rStyle w:val="af7"/>
          <w:rFonts w:eastAsia="Guttman Hodes"/>
          <w:rtl/>
        </w:rPr>
        <w:fldChar w:fldCharType="end"/>
      </w:r>
      <w:r w:rsidRPr="00697D67">
        <w:rPr>
          <w:rStyle w:val="af7"/>
          <w:rFonts w:eastAsia="Guttman Hodes" w:hint="cs"/>
          <w:rtl/>
        </w:rPr>
        <w:t xml:space="preserve"> </w:t>
      </w:r>
      <w:r>
        <w:rPr>
          <w:rFonts w:hint="cs"/>
          <w:rtl/>
        </w:rPr>
        <w:t xml:space="preserve">דכתב דהוא ספק ספיקא, וכתב </w:t>
      </w:r>
      <w:r w:rsidRPr="000B78C3">
        <w:rPr>
          <w:rStyle w:val="af9"/>
          <w:rFonts w:hint="cs"/>
          <w:rtl/>
        </w:rPr>
        <w:t>הש"ך</w:t>
      </w:r>
      <w:r>
        <w:rPr>
          <w:rFonts w:hint="cs"/>
          <w:rtl/>
        </w:rPr>
        <w:t xml:space="preserve"> </w:t>
      </w:r>
      <w:r w:rsidRPr="00697D67">
        <w:rPr>
          <w:rStyle w:val="af7"/>
          <w:rFonts w:eastAsia="Guttman Hodes" w:hint="cs"/>
          <w:rtl/>
        </w:rPr>
        <w:t xml:space="preserve">(עי' אות </w:t>
      </w:r>
      <w:r w:rsidRPr="00697D67">
        <w:rPr>
          <w:rStyle w:val="af7"/>
          <w:rFonts w:eastAsia="Guttman Hodes"/>
          <w:rtl/>
        </w:rPr>
        <w:fldChar w:fldCharType="begin"/>
      </w:r>
      <w:r w:rsidRPr="00697D67">
        <w:rPr>
          <w:rStyle w:val="af7"/>
          <w:rFonts w:eastAsia="Guttman Hodes"/>
          <w:rtl/>
        </w:rPr>
        <w:instrText xml:space="preserve"> </w:instrText>
      </w:r>
      <w:r w:rsidRPr="00697D67">
        <w:rPr>
          <w:rStyle w:val="af7"/>
          <w:rFonts w:eastAsia="Guttman Hodes" w:hint="cs"/>
        </w:rPr>
        <w:instrText>REF</w:instrText>
      </w:r>
      <w:r w:rsidRPr="00697D67">
        <w:rPr>
          <w:rStyle w:val="af7"/>
          <w:rFonts w:eastAsia="Guttman Hodes" w:hint="cs"/>
          <w:rtl/>
        </w:rPr>
        <w:instrText xml:space="preserve"> _</w:instrText>
      </w:r>
      <w:r w:rsidRPr="00697D67">
        <w:rPr>
          <w:rStyle w:val="af7"/>
          <w:rFonts w:eastAsia="Guttman Hodes" w:hint="cs"/>
        </w:rPr>
        <w:instrText>Ref526502112 \r \h</w:instrText>
      </w:r>
      <w:r w:rsidRPr="00697D67">
        <w:rPr>
          <w:rStyle w:val="af7"/>
          <w:rFonts w:eastAsia="Guttman Hodes"/>
          <w:rtl/>
        </w:rPr>
        <w:instrText xml:space="preserve"> </w:instrText>
      </w:r>
      <w:r w:rsidRPr="00697D67">
        <w:rPr>
          <w:rStyle w:val="af7"/>
          <w:rFonts w:eastAsia="Guttman Hodes"/>
          <w:rtl/>
        </w:rPr>
      </w:r>
      <w:r w:rsidRPr="00697D67">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697D67">
        <w:rPr>
          <w:rStyle w:val="af7"/>
          <w:rFonts w:eastAsia="Guttman Hodes"/>
          <w:rtl/>
        </w:rPr>
        <w:fldChar w:fldCharType="end"/>
      </w:r>
      <w:r>
        <w:rPr>
          <w:rFonts w:hint="cs"/>
          <w:rtl/>
        </w:rPr>
        <w:t xml:space="preserve"> דיש טעות סופר בדברי </w:t>
      </w:r>
      <w:r w:rsidRPr="000B78C3">
        <w:rPr>
          <w:rStyle w:val="af9"/>
          <w:rFonts w:hint="cs"/>
          <w:rtl/>
        </w:rPr>
        <w:t>הרשב"א</w:t>
      </w:r>
      <w:r>
        <w:rPr>
          <w:rFonts w:hint="cs"/>
          <w:rtl/>
        </w:rPr>
        <w:t>.</w:t>
      </w:r>
      <w:bookmarkEnd w:id="5349"/>
    </w:p>
    <w:p w14:paraId="0EE1B9C3" w14:textId="77777777" w:rsidR="00413DD0" w:rsidRDefault="00413DD0" w:rsidP="006D6D32">
      <w:pPr>
        <w:pStyle w:val="a3"/>
        <w:rPr>
          <w:rtl/>
        </w:rPr>
      </w:pPr>
      <w:bookmarkStart w:id="5350" w:name="_Toc526249204"/>
      <w:bookmarkStart w:id="5351" w:name="_Toc526416000"/>
      <w:bookmarkStart w:id="5352" w:name="_Toc526418218"/>
      <w:bookmarkStart w:id="5353" w:name="_Toc19389593"/>
      <w:bookmarkStart w:id="5354" w:name="_Toc19393090"/>
      <w:r>
        <w:rPr>
          <w:rFonts w:hint="cs"/>
          <w:rtl/>
        </w:rPr>
        <w:t>דברי הש"ך דלא קיי"ל כרב חסדא כיון שא"א להתיר מדין ספק ספיקא דאינו ספק טוב</w:t>
      </w:r>
      <w:bookmarkEnd w:id="5350"/>
      <w:bookmarkEnd w:id="5351"/>
      <w:bookmarkEnd w:id="5352"/>
      <w:bookmarkEnd w:id="5353"/>
      <w:bookmarkEnd w:id="5354"/>
    </w:p>
    <w:p w14:paraId="04A0146F" w14:textId="77777777" w:rsidR="00413DD0" w:rsidRDefault="00413DD0" w:rsidP="00223668">
      <w:pPr>
        <w:pStyle w:val="a0"/>
        <w:rPr>
          <w:rtl/>
        </w:rPr>
      </w:pPr>
      <w:bookmarkStart w:id="5355" w:name="_Ref525765347"/>
      <w:r w:rsidRPr="00DF5085">
        <w:rPr>
          <w:rFonts w:hint="cs"/>
          <w:rtl/>
        </w:rPr>
        <w:t xml:space="preserve">עו"כ </w:t>
      </w:r>
      <w:r w:rsidRPr="00DF5085">
        <w:rPr>
          <w:rStyle w:val="af9"/>
          <w:rFonts w:hint="cs"/>
          <w:rtl/>
        </w:rPr>
        <w:t xml:space="preserve">הש"ך בנקודות הכסף </w:t>
      </w:r>
      <w:r w:rsidRPr="00DF5085">
        <w:rPr>
          <w:rStyle w:val="af7"/>
          <w:rFonts w:eastAsia="Guttman Hodes" w:hint="cs"/>
          <w:rtl/>
        </w:rPr>
        <w:t>(סי' א' סק"ב</w:t>
      </w:r>
      <w:r w:rsidRPr="0036392A">
        <w:rPr>
          <w:rStyle w:val="af7"/>
          <w:rFonts w:eastAsia="Guttman Hodes" w:hint="cs"/>
          <w:rtl/>
        </w:rPr>
        <w:t xml:space="preserve">) </w:t>
      </w:r>
      <w:r>
        <w:rPr>
          <w:rFonts w:hint="cs"/>
          <w:rtl/>
        </w:rPr>
        <w:t>דהא דקיי"ל כרב חסדא דוקא בשיבר בה עצמות, הוא כיון דא"א להתיר מחמת ספק ספיקא, דהספק שמא שלא שחט במקום הפגימה אינו ספק טוב, כיון שהדרך שמוליך את כל הסכין בשחיטה.</w:t>
      </w:r>
      <w:bookmarkEnd w:id="5355"/>
    </w:p>
    <w:p w14:paraId="0C3C8858" w14:textId="77777777" w:rsidR="00413DD0" w:rsidRDefault="00413DD0" w:rsidP="00BF39B2">
      <w:pPr>
        <w:pStyle w:val="1"/>
        <w:rPr>
          <w:rtl/>
        </w:rPr>
      </w:pPr>
      <w:bookmarkStart w:id="5356" w:name="_Toc19389594"/>
      <w:bookmarkStart w:id="5357" w:name="_Toc19393091"/>
      <w:r>
        <w:rPr>
          <w:rFonts w:hint="cs"/>
          <w:rtl/>
        </w:rPr>
        <w:t>ביאור הפנ"י בתוס'</w:t>
      </w:r>
      <w:bookmarkEnd w:id="5340"/>
      <w:r>
        <w:rPr>
          <w:rFonts w:hint="cs"/>
          <w:rtl/>
        </w:rPr>
        <w:t xml:space="preserve"> וברשב"א</w:t>
      </w:r>
      <w:bookmarkEnd w:id="5341"/>
      <w:r>
        <w:rPr>
          <w:rFonts w:hint="cs"/>
          <w:rtl/>
        </w:rPr>
        <w:t xml:space="preserve"> דההיתר דר"ח אינו מדין ס"ס</w:t>
      </w:r>
      <w:bookmarkEnd w:id="5342"/>
      <w:bookmarkEnd w:id="5343"/>
      <w:bookmarkEnd w:id="5344"/>
      <w:bookmarkEnd w:id="5356"/>
      <w:bookmarkEnd w:id="5357"/>
    </w:p>
    <w:p w14:paraId="09475D48" w14:textId="77777777" w:rsidR="00413DD0" w:rsidRPr="00F256BE" w:rsidRDefault="00413DD0" w:rsidP="006D6D32">
      <w:pPr>
        <w:pStyle w:val="a3"/>
        <w:rPr>
          <w:rtl/>
        </w:rPr>
      </w:pPr>
      <w:bookmarkStart w:id="5358" w:name="_Toc19389595"/>
      <w:bookmarkStart w:id="5359" w:name="_Toc19393092"/>
      <w:r>
        <w:rPr>
          <w:rFonts w:hint="cs"/>
          <w:rtl/>
        </w:rPr>
        <w:t>קושית הפנ"י על הש"ך דברשב"א ובתוס' בנדה מבואר דהוי ספק ספיקא גמור</w:t>
      </w:r>
      <w:bookmarkEnd w:id="5358"/>
      <w:bookmarkEnd w:id="5359"/>
    </w:p>
    <w:p w14:paraId="11D2474F" w14:textId="77777777" w:rsidR="00413DD0" w:rsidRDefault="00413DD0" w:rsidP="00223668">
      <w:pPr>
        <w:pStyle w:val="a0"/>
        <w:rPr>
          <w:rtl/>
        </w:rPr>
      </w:pPr>
      <w:r>
        <w:rPr>
          <w:rFonts w:hint="cs"/>
          <w:rtl/>
        </w:rPr>
        <w:t>והקשה</w:t>
      </w:r>
      <w:r w:rsidRPr="009C55AD">
        <w:rPr>
          <w:rFonts w:hint="cs"/>
          <w:rtl/>
        </w:rPr>
        <w:t xml:space="preserve"> </w:t>
      </w:r>
      <w:r w:rsidRPr="00C96C06">
        <w:rPr>
          <w:rStyle w:val="af9"/>
          <w:rFonts w:hint="cs"/>
          <w:rtl/>
        </w:rPr>
        <w:t xml:space="preserve">הפנ"י </w:t>
      </w:r>
      <w:r w:rsidRPr="008C5A1C">
        <w:rPr>
          <w:rStyle w:val="af7"/>
          <w:rFonts w:eastAsia="Guttman Hodes" w:hint="cs"/>
          <w:rtl/>
        </w:rPr>
        <w:t>(ד"ה בא"ד אלא ע"כ)</w:t>
      </w:r>
      <w:r>
        <w:rPr>
          <w:rStyle w:val="af9"/>
          <w:rFonts w:hint="cs"/>
          <w:rtl/>
        </w:rPr>
        <w:t xml:space="preserve"> </w:t>
      </w:r>
      <w:r w:rsidRPr="008C5A1C">
        <w:rPr>
          <w:rFonts w:hint="cs"/>
          <w:rtl/>
        </w:rPr>
        <w:t xml:space="preserve">על </w:t>
      </w:r>
      <w:r>
        <w:rPr>
          <w:rStyle w:val="af9"/>
          <w:rFonts w:hint="cs"/>
          <w:rtl/>
        </w:rPr>
        <w:t xml:space="preserve">הש"ך </w:t>
      </w:r>
      <w:r w:rsidRPr="00D55427">
        <w:rPr>
          <w:rStyle w:val="af7"/>
          <w:rFonts w:eastAsia="Guttman Hodes" w:hint="cs"/>
          <w:rtl/>
        </w:rPr>
        <w:t xml:space="preserve">(עי' אות </w:t>
      </w:r>
      <w:r w:rsidRPr="00D55427">
        <w:rPr>
          <w:rStyle w:val="af7"/>
          <w:rFonts w:eastAsia="Guttman Hodes"/>
          <w:rtl/>
        </w:rPr>
        <w:fldChar w:fldCharType="begin"/>
      </w:r>
      <w:r w:rsidRPr="00D55427">
        <w:rPr>
          <w:rStyle w:val="af7"/>
          <w:rFonts w:eastAsia="Guttman Hodes"/>
          <w:rtl/>
        </w:rPr>
        <w:instrText xml:space="preserve"> </w:instrText>
      </w:r>
      <w:r w:rsidRPr="00D55427">
        <w:rPr>
          <w:rStyle w:val="af7"/>
          <w:rFonts w:eastAsia="Guttman Hodes" w:hint="cs"/>
        </w:rPr>
        <w:instrText>REF</w:instrText>
      </w:r>
      <w:r w:rsidRPr="00D55427">
        <w:rPr>
          <w:rStyle w:val="af7"/>
          <w:rFonts w:eastAsia="Guttman Hodes" w:hint="cs"/>
          <w:rtl/>
        </w:rPr>
        <w:instrText xml:space="preserve"> _</w:instrText>
      </w:r>
      <w:r w:rsidRPr="00D55427">
        <w:rPr>
          <w:rStyle w:val="af7"/>
          <w:rFonts w:eastAsia="Guttman Hodes" w:hint="cs"/>
        </w:rPr>
        <w:instrText>Ref526502032 \r \h</w:instrText>
      </w:r>
      <w:r w:rsidRPr="00D55427">
        <w:rPr>
          <w:rStyle w:val="af7"/>
          <w:rFonts w:eastAsia="Guttman Hodes"/>
          <w:rtl/>
        </w:rPr>
        <w:instrText xml:space="preserve"> </w:instrText>
      </w:r>
      <w:r w:rsidRPr="00D55427">
        <w:rPr>
          <w:rStyle w:val="af7"/>
          <w:rFonts w:eastAsia="Guttman Hodes"/>
          <w:rtl/>
        </w:rPr>
      </w:r>
      <w:r w:rsidRPr="00D55427">
        <w:rPr>
          <w:rStyle w:val="af7"/>
          <w:rFonts w:eastAsia="Guttman Hodes"/>
          <w:rtl/>
        </w:rPr>
        <w:fldChar w:fldCharType="separate"/>
      </w:r>
      <w:r w:rsidR="00345400">
        <w:rPr>
          <w:rStyle w:val="af7"/>
          <w:rFonts w:eastAsia="Guttman Hodes"/>
          <w:cs/>
        </w:rPr>
        <w:t>‎</w:t>
      </w:r>
      <w:r w:rsidR="00345400">
        <w:rPr>
          <w:rStyle w:val="af7"/>
          <w:rFonts w:eastAsia="Guttman Hodes"/>
          <w:rtl/>
        </w:rPr>
        <w:t>מג)</w:t>
      </w:r>
      <w:r w:rsidRPr="00D55427">
        <w:rPr>
          <w:rStyle w:val="af7"/>
          <w:rFonts w:eastAsia="Guttman Hodes"/>
          <w:rtl/>
        </w:rPr>
        <w:fldChar w:fldCharType="end"/>
      </w:r>
      <w:r>
        <w:rPr>
          <w:rStyle w:val="af9"/>
          <w:rFonts w:hint="cs"/>
          <w:rtl/>
        </w:rPr>
        <w:t xml:space="preserve"> </w:t>
      </w:r>
      <w:r w:rsidRPr="00D55427">
        <w:rPr>
          <w:rFonts w:hint="cs"/>
          <w:rtl/>
        </w:rPr>
        <w:t>דכתב דהצד שלא שחט במקום הפגימה אינו ספק טוב, דהא</w:t>
      </w:r>
      <w:r>
        <w:rPr>
          <w:rStyle w:val="af9"/>
          <w:rFonts w:hint="cs"/>
          <w:rtl/>
        </w:rPr>
        <w:t xml:space="preserve"> </w:t>
      </w:r>
      <w:r w:rsidRPr="00C96C06">
        <w:rPr>
          <w:rStyle w:val="af9"/>
          <w:rFonts w:hint="cs"/>
          <w:rtl/>
        </w:rPr>
        <w:t>ברשב"א</w:t>
      </w:r>
      <w:r>
        <w:rPr>
          <w:rFonts w:hint="cs"/>
          <w:rtl/>
        </w:rPr>
        <w:t xml:space="preserve"> </w:t>
      </w:r>
      <w:r w:rsidRPr="00D55427">
        <w:rPr>
          <w:rStyle w:val="af7"/>
          <w:rFonts w:eastAsia="Guttman Hodes" w:hint="cs"/>
          <w:rtl/>
        </w:rPr>
        <w:t xml:space="preserve">(עי' אות </w:t>
      </w:r>
      <w:r w:rsidRPr="00D55427">
        <w:rPr>
          <w:rStyle w:val="af7"/>
          <w:rFonts w:eastAsia="Guttman Hodes"/>
          <w:rtl/>
        </w:rPr>
        <w:fldChar w:fldCharType="begin"/>
      </w:r>
      <w:r w:rsidRPr="00D55427">
        <w:rPr>
          <w:rStyle w:val="af7"/>
          <w:rFonts w:eastAsia="Guttman Hodes"/>
          <w:rtl/>
        </w:rPr>
        <w:instrText xml:space="preserve"> </w:instrText>
      </w:r>
      <w:r w:rsidRPr="00D55427">
        <w:rPr>
          <w:rStyle w:val="af7"/>
          <w:rFonts w:eastAsia="Guttman Hodes" w:hint="cs"/>
        </w:rPr>
        <w:instrText>REF</w:instrText>
      </w:r>
      <w:r w:rsidRPr="00D55427">
        <w:rPr>
          <w:rStyle w:val="af7"/>
          <w:rFonts w:eastAsia="Guttman Hodes" w:hint="cs"/>
          <w:rtl/>
        </w:rPr>
        <w:instrText xml:space="preserve"> _</w:instrText>
      </w:r>
      <w:r w:rsidRPr="00D55427">
        <w:rPr>
          <w:rStyle w:val="af7"/>
          <w:rFonts w:eastAsia="Guttman Hodes" w:hint="cs"/>
        </w:rPr>
        <w:instrText>Ref526246404 \r \h</w:instrText>
      </w:r>
      <w:r w:rsidRPr="00D55427">
        <w:rPr>
          <w:rStyle w:val="af7"/>
          <w:rFonts w:eastAsia="Guttman Hodes"/>
          <w:rtl/>
        </w:rPr>
        <w:instrText xml:space="preserve"> </w:instrText>
      </w:r>
      <w:r w:rsidRPr="00D55427">
        <w:rPr>
          <w:rStyle w:val="af7"/>
          <w:rFonts w:eastAsia="Guttman Hodes"/>
          <w:rtl/>
        </w:rPr>
      </w:r>
      <w:r w:rsidRPr="00D55427">
        <w:rPr>
          <w:rStyle w:val="af7"/>
          <w:rFonts w:eastAsia="Guttman Hodes"/>
          <w:rtl/>
        </w:rPr>
        <w:fldChar w:fldCharType="separate"/>
      </w:r>
      <w:r w:rsidR="00345400">
        <w:rPr>
          <w:rStyle w:val="af7"/>
          <w:rFonts w:eastAsia="Guttman Hodes"/>
          <w:cs/>
        </w:rPr>
        <w:t>‎</w:t>
      </w:r>
      <w:r w:rsidR="00345400">
        <w:rPr>
          <w:rStyle w:val="af7"/>
          <w:rFonts w:eastAsia="Guttman Hodes"/>
          <w:rtl/>
        </w:rPr>
        <w:t>לו)</w:t>
      </w:r>
      <w:r w:rsidRPr="00D55427">
        <w:rPr>
          <w:rStyle w:val="af7"/>
          <w:rFonts w:eastAsia="Guttman Hodes"/>
          <w:rtl/>
        </w:rPr>
        <w:fldChar w:fldCharType="end"/>
      </w:r>
      <w:r>
        <w:rPr>
          <w:rFonts w:hint="cs"/>
          <w:rtl/>
        </w:rPr>
        <w:t xml:space="preserve"> מבואר להדיא שהצד שמא לא שחט במקום הפגימה הוא ספק טוב והוי ספק ספיקא, וכן משמע </w:t>
      </w:r>
      <w:r w:rsidRPr="00330C31">
        <w:rPr>
          <w:rStyle w:val="af9"/>
          <w:rFonts w:hint="cs"/>
          <w:rtl/>
        </w:rPr>
        <w:t>בתוס' בנדה</w:t>
      </w:r>
      <w:r>
        <w:rPr>
          <w:rFonts w:hint="cs"/>
          <w:rtl/>
        </w:rPr>
        <w:t xml:space="preserve"> </w:t>
      </w:r>
      <w:r w:rsidRPr="00330C31">
        <w:rPr>
          <w:rStyle w:val="af7"/>
          <w:rFonts w:eastAsia="Guttman Hodes" w:hint="cs"/>
          <w:rtl/>
        </w:rPr>
        <w:t>(ב: ד"ה התם)</w:t>
      </w:r>
      <w:r>
        <w:rPr>
          <w:rFonts w:hint="cs"/>
          <w:rtl/>
        </w:rPr>
        <w:t xml:space="preserve"> דכתבו בפירוש דשמא לא שחט כנגד הפגימה</w:t>
      </w:r>
      <w:r>
        <w:rPr>
          <w:rStyle w:val="af1"/>
          <w:rtl/>
        </w:rPr>
        <w:footnoteReference w:id="25"/>
      </w:r>
      <w:r>
        <w:rPr>
          <w:rFonts w:hint="cs"/>
          <w:rtl/>
        </w:rPr>
        <w:t xml:space="preserve">, והוסיף </w:t>
      </w:r>
      <w:r w:rsidRPr="00330C31">
        <w:rPr>
          <w:rStyle w:val="af9"/>
          <w:rFonts w:hint="cs"/>
          <w:rtl/>
        </w:rPr>
        <w:t>הפנ"י</w:t>
      </w:r>
      <w:r>
        <w:rPr>
          <w:rFonts w:hint="cs"/>
          <w:rtl/>
        </w:rPr>
        <w:t xml:space="preserve"> דמסברא ג"כ לא נראה </w:t>
      </w:r>
      <w:r w:rsidRPr="00CA1EB7">
        <w:rPr>
          <w:rStyle w:val="af9"/>
          <w:rFonts w:hint="cs"/>
          <w:rtl/>
        </w:rPr>
        <w:t>כהש"ך</w:t>
      </w:r>
      <w:r w:rsidRPr="00CA1EB7">
        <w:rPr>
          <w:rFonts w:hint="cs"/>
          <w:rtl/>
        </w:rPr>
        <w:t xml:space="preserve">, </w:t>
      </w:r>
      <w:r>
        <w:rPr>
          <w:rFonts w:hint="cs"/>
          <w:rtl/>
        </w:rPr>
        <w:t xml:space="preserve">אלא </w:t>
      </w:r>
      <w:r w:rsidRPr="00CA1EB7">
        <w:rPr>
          <w:rFonts w:hint="cs"/>
          <w:rtl/>
        </w:rPr>
        <w:t>ד</w:t>
      </w:r>
      <w:r>
        <w:rPr>
          <w:rFonts w:hint="cs"/>
          <w:rtl/>
        </w:rPr>
        <w:t>הספק שמא לא שחט בכל הסכין הוא ספק טוב.</w:t>
      </w:r>
    </w:p>
    <w:p w14:paraId="4B06655C" w14:textId="77777777" w:rsidR="00413DD0" w:rsidRPr="00F65574" w:rsidRDefault="00413DD0" w:rsidP="006D6D32">
      <w:pPr>
        <w:pStyle w:val="a3"/>
        <w:rPr>
          <w:rtl/>
        </w:rPr>
      </w:pPr>
      <w:bookmarkStart w:id="5360" w:name="_Toc19389596"/>
      <w:bookmarkStart w:id="5361" w:name="_Toc19393093"/>
      <w:r>
        <w:rPr>
          <w:rFonts w:hint="cs"/>
          <w:rtl/>
        </w:rPr>
        <w:t>דברי הפנ"י דא"א לומר דכוונת התוס' לספק ספיקא דהא לא מהני להתיר במקום חזקת איסור</w:t>
      </w:r>
      <w:bookmarkEnd w:id="5360"/>
      <w:bookmarkEnd w:id="5361"/>
    </w:p>
    <w:p w14:paraId="4F6B5516" w14:textId="77777777" w:rsidR="00413DD0" w:rsidRDefault="00413DD0" w:rsidP="00223668">
      <w:pPr>
        <w:pStyle w:val="a0"/>
        <w:rPr>
          <w:rtl/>
        </w:rPr>
      </w:pPr>
      <w:bookmarkStart w:id="5362" w:name="_Toc525594356"/>
      <w:bookmarkStart w:id="5363" w:name="_Toc525594358"/>
      <w:bookmarkEnd w:id="5345"/>
      <w:r>
        <w:rPr>
          <w:rFonts w:hint="cs"/>
          <w:rtl/>
        </w:rPr>
        <w:t xml:space="preserve">אך כתב </w:t>
      </w:r>
      <w:r w:rsidRPr="002F5D47">
        <w:rPr>
          <w:rStyle w:val="af9"/>
          <w:rFonts w:hint="cs"/>
          <w:rtl/>
        </w:rPr>
        <w:t>הפנ"י</w:t>
      </w:r>
      <w:r>
        <w:rPr>
          <w:rFonts w:hint="cs"/>
          <w:rtl/>
        </w:rPr>
        <w:t xml:space="preserve"> דמ"מ נראה שאין כוונת </w:t>
      </w:r>
      <w:r w:rsidRPr="002F5D47">
        <w:rPr>
          <w:rStyle w:val="af9"/>
          <w:rFonts w:hint="cs"/>
          <w:rtl/>
        </w:rPr>
        <w:t>התוס'</w:t>
      </w:r>
      <w:r w:rsidRPr="00334BBB">
        <w:rPr>
          <w:rStyle w:val="af9"/>
          <w:rFonts w:hint="cs"/>
          <w:rtl/>
        </w:rPr>
        <w:t xml:space="preserve"> </w:t>
      </w:r>
      <w:r w:rsidRPr="009D7BB6">
        <w:rPr>
          <w:rStyle w:val="af9"/>
          <w:rFonts w:hint="cs"/>
          <w:rtl/>
        </w:rPr>
        <w:t>בתירוץ הג'</w:t>
      </w:r>
      <w:r w:rsidRPr="002F5D47">
        <w:rPr>
          <w:rStyle w:val="af9"/>
          <w:rFonts w:hint="cs"/>
          <w:rtl/>
        </w:rPr>
        <w:t xml:space="preserve"> והרשב"א</w:t>
      </w:r>
      <w:r>
        <w:rPr>
          <w:rFonts w:hint="cs"/>
          <w:rtl/>
        </w:rPr>
        <w:t xml:space="preserve"> לומר דמחמת דיש ספק ספיקא מותר, דהא לא מהני ספק ספיקא להתיר במקום שיש חזקת איסור, וכדמוכח מהא דקיי"ל כרב הונא בלא שיבר בה עצמות, דמעמידים את הבהמה בחזקת איסור, אף שיש כמה ספיקות, והריעותא היא בסכין ולא בבהמה, ומוכח דלא מהני ספק ספיקא להתיר במקום שיש חזקת איסור.</w:t>
      </w:r>
      <w:r w:rsidRPr="00F641EF">
        <w:rPr>
          <w:rFonts w:hint="cs"/>
          <w:rtl/>
        </w:rPr>
        <w:t xml:space="preserve"> </w:t>
      </w:r>
      <w:r>
        <w:rPr>
          <w:rFonts w:hint="cs"/>
          <w:rtl/>
        </w:rPr>
        <w:t xml:space="preserve">[ועי' במ"ש </w:t>
      </w:r>
      <w:r w:rsidRPr="00E41401">
        <w:rPr>
          <w:rStyle w:val="af9"/>
          <w:rFonts w:hint="cs"/>
          <w:rtl/>
        </w:rPr>
        <w:t>בשיעורי המקדש דוד</w:t>
      </w:r>
      <w:r>
        <w:rPr>
          <w:rFonts w:hint="cs"/>
          <w:rtl/>
        </w:rPr>
        <w:t xml:space="preserve"> </w:t>
      </w:r>
      <w:r w:rsidRPr="00E41401">
        <w:rPr>
          <w:rStyle w:val="af7"/>
          <w:rFonts w:eastAsia="Guttman Hodes" w:hint="cs"/>
          <w:rtl/>
        </w:rPr>
        <w:t xml:space="preserve">(עי' אות </w:t>
      </w:r>
      <w:r w:rsidRPr="00E41401">
        <w:rPr>
          <w:rStyle w:val="af7"/>
          <w:rFonts w:eastAsia="Guttman Hodes"/>
          <w:rtl/>
        </w:rPr>
        <w:fldChar w:fldCharType="begin"/>
      </w:r>
      <w:r w:rsidRPr="00E41401">
        <w:rPr>
          <w:rStyle w:val="af7"/>
          <w:rFonts w:eastAsia="Guttman Hodes"/>
          <w:rtl/>
        </w:rPr>
        <w:instrText xml:space="preserve"> </w:instrText>
      </w:r>
      <w:r w:rsidRPr="00E41401">
        <w:rPr>
          <w:rStyle w:val="af7"/>
          <w:rFonts w:eastAsia="Guttman Hodes" w:hint="cs"/>
        </w:rPr>
        <w:instrText>REF</w:instrText>
      </w:r>
      <w:r w:rsidRPr="00E41401">
        <w:rPr>
          <w:rStyle w:val="af7"/>
          <w:rFonts w:eastAsia="Guttman Hodes" w:hint="cs"/>
          <w:rtl/>
        </w:rPr>
        <w:instrText xml:space="preserve"> _</w:instrText>
      </w:r>
      <w:r w:rsidRPr="00E41401">
        <w:rPr>
          <w:rStyle w:val="af7"/>
          <w:rFonts w:eastAsia="Guttman Hodes" w:hint="cs"/>
        </w:rPr>
        <w:instrText>Ref526672060 \r \h</w:instrText>
      </w:r>
      <w:r w:rsidRPr="00E41401">
        <w:rPr>
          <w:rStyle w:val="af7"/>
          <w:rFonts w:eastAsia="Guttman Hodes"/>
          <w:rtl/>
        </w:rPr>
        <w:instrText xml:space="preserve"> </w:instrText>
      </w:r>
      <w:r w:rsidRPr="00E41401">
        <w:rPr>
          <w:rStyle w:val="af7"/>
          <w:rFonts w:eastAsia="Guttman Hodes"/>
          <w:rtl/>
        </w:rPr>
      </w:r>
      <w:r w:rsidRPr="00E41401">
        <w:rPr>
          <w:rStyle w:val="af7"/>
          <w:rFonts w:eastAsia="Guttman Hodes"/>
          <w:rtl/>
        </w:rPr>
        <w:fldChar w:fldCharType="separate"/>
      </w:r>
      <w:r w:rsidR="00345400">
        <w:rPr>
          <w:rStyle w:val="af7"/>
          <w:rFonts w:eastAsia="Guttman Hodes"/>
          <w:cs/>
        </w:rPr>
        <w:t>‎</w:t>
      </w:r>
      <w:r w:rsidR="00345400">
        <w:rPr>
          <w:rStyle w:val="af7"/>
          <w:rFonts w:eastAsia="Guttman Hodes"/>
          <w:rtl/>
        </w:rPr>
        <w:t>ע)</w:t>
      </w:r>
      <w:r w:rsidRPr="00E41401">
        <w:rPr>
          <w:rStyle w:val="af7"/>
          <w:rFonts w:eastAsia="Guttman Hodes"/>
          <w:rtl/>
        </w:rPr>
        <w:fldChar w:fldCharType="end"/>
      </w:r>
      <w:r>
        <w:rPr>
          <w:rFonts w:hint="cs"/>
          <w:rtl/>
        </w:rPr>
        <w:t xml:space="preserve"> בענין ספק ספיקא במקום חזקה].</w:t>
      </w:r>
    </w:p>
    <w:p w14:paraId="63ABFE96" w14:textId="77777777" w:rsidR="00413DD0" w:rsidRPr="009D7BB6" w:rsidRDefault="00413DD0" w:rsidP="006D6D32">
      <w:pPr>
        <w:pStyle w:val="a3"/>
        <w:rPr>
          <w:rtl/>
        </w:rPr>
      </w:pPr>
      <w:bookmarkStart w:id="5364" w:name="_Toc19389597"/>
      <w:bookmarkStart w:id="5365" w:name="_Toc19393094"/>
      <w:r>
        <w:rPr>
          <w:rFonts w:hint="cs"/>
          <w:rtl/>
        </w:rPr>
        <w:t>ביאור הפנ"י דכוונת התוס' והרשב"א לחלק בין מקוה לסכין לדעת רב חסדא בלא שיבר עצמות</w:t>
      </w:r>
      <w:bookmarkEnd w:id="5364"/>
      <w:bookmarkEnd w:id="5365"/>
    </w:p>
    <w:p w14:paraId="5852B947" w14:textId="77777777" w:rsidR="00413DD0" w:rsidRDefault="00413DD0" w:rsidP="00223668">
      <w:pPr>
        <w:pStyle w:val="a0"/>
        <w:rPr>
          <w:rtl/>
        </w:rPr>
      </w:pPr>
      <w:bookmarkStart w:id="5366" w:name="_Ref526501823"/>
      <w:r>
        <w:rPr>
          <w:rFonts w:hint="cs"/>
          <w:rtl/>
        </w:rPr>
        <w:t xml:space="preserve">אלא ביאר </w:t>
      </w:r>
      <w:r w:rsidRPr="009D7BB6">
        <w:rPr>
          <w:rStyle w:val="af9"/>
          <w:rFonts w:hint="cs"/>
          <w:rtl/>
        </w:rPr>
        <w:t>הפנ"י</w:t>
      </w:r>
      <w:r>
        <w:rPr>
          <w:rFonts w:hint="cs"/>
          <w:rtl/>
        </w:rPr>
        <w:t xml:space="preserve"> </w:t>
      </w:r>
      <w:r w:rsidRPr="00A85454">
        <w:rPr>
          <w:rStyle w:val="af7"/>
          <w:rFonts w:eastAsia="Guttman Hodes" w:hint="cs"/>
          <w:rtl/>
        </w:rPr>
        <w:t>(ד"ה ולפי"ז נראה)</w:t>
      </w:r>
      <w:r>
        <w:rPr>
          <w:rFonts w:hint="cs"/>
          <w:rtl/>
        </w:rPr>
        <w:t xml:space="preserve"> דאין כוונת </w:t>
      </w:r>
      <w:r w:rsidRPr="009D7BB6">
        <w:rPr>
          <w:rStyle w:val="af9"/>
          <w:rFonts w:hint="cs"/>
          <w:rtl/>
        </w:rPr>
        <w:t>התוס' בתירוץ הג' והרשב"א</w:t>
      </w:r>
      <w:r>
        <w:rPr>
          <w:rFonts w:hint="cs"/>
          <w:rtl/>
        </w:rPr>
        <w:t xml:space="preserve"> להתיר מדין ספק ספיקא, וכתבו כן רק לתרץ את הקושיה ממקוה לדעת רב חסדא שהתיר אף בלא שיבר בה עצמות, אבל להלכה דקיי"ל דבלא שיבר בה עצמות אסורה כרב הונא, א"כ מבואר דאף במקום ספק ספיקא מעמידים בחזקת איסור,</w:t>
      </w:r>
      <w:r w:rsidRPr="00021DEA">
        <w:rPr>
          <w:rFonts w:hint="cs"/>
          <w:rtl/>
        </w:rPr>
        <w:t xml:space="preserve"> </w:t>
      </w:r>
      <w:r>
        <w:rPr>
          <w:rFonts w:hint="cs"/>
          <w:rtl/>
        </w:rPr>
        <w:t xml:space="preserve">ועי' במה שישב בזה </w:t>
      </w:r>
      <w:r w:rsidRPr="0090085C">
        <w:rPr>
          <w:rStyle w:val="af9"/>
          <w:rFonts w:hint="cs"/>
          <w:rtl/>
        </w:rPr>
        <w:t>הפנ"י</w:t>
      </w:r>
      <w:r>
        <w:rPr>
          <w:rFonts w:hint="cs"/>
          <w:rtl/>
        </w:rPr>
        <w:t xml:space="preserve"> </w:t>
      </w:r>
      <w:r w:rsidRPr="0090085C">
        <w:rPr>
          <w:rStyle w:val="af7"/>
          <w:rFonts w:eastAsia="Guttman Hodes" w:hint="cs"/>
          <w:rtl/>
        </w:rPr>
        <w:t xml:space="preserve">(עי' אות </w:t>
      </w:r>
      <w:r w:rsidRPr="0090085C">
        <w:rPr>
          <w:rStyle w:val="af7"/>
          <w:rFonts w:eastAsia="Guttman Hodes"/>
          <w:rtl/>
        </w:rPr>
        <w:fldChar w:fldCharType="begin"/>
      </w:r>
      <w:r w:rsidRPr="0090085C">
        <w:rPr>
          <w:rStyle w:val="af7"/>
          <w:rFonts w:eastAsia="Guttman Hodes"/>
          <w:rtl/>
        </w:rPr>
        <w:instrText xml:space="preserve"> </w:instrText>
      </w:r>
      <w:r w:rsidRPr="0090085C">
        <w:rPr>
          <w:rStyle w:val="af7"/>
          <w:rFonts w:eastAsia="Guttman Hodes" w:hint="cs"/>
        </w:rPr>
        <w:instrText>REF</w:instrText>
      </w:r>
      <w:r w:rsidRPr="0090085C">
        <w:rPr>
          <w:rStyle w:val="af7"/>
          <w:rFonts w:eastAsia="Guttman Hodes" w:hint="cs"/>
          <w:rtl/>
        </w:rPr>
        <w:instrText xml:space="preserve"> _</w:instrText>
      </w:r>
      <w:r w:rsidRPr="0090085C">
        <w:rPr>
          <w:rStyle w:val="af7"/>
          <w:rFonts w:eastAsia="Guttman Hodes" w:hint="cs"/>
        </w:rPr>
        <w:instrText>Ref526501880 \r \h</w:instrText>
      </w:r>
      <w:r w:rsidRPr="0090085C">
        <w:rPr>
          <w:rStyle w:val="af7"/>
          <w:rFonts w:eastAsia="Guttman Hodes"/>
          <w:rtl/>
        </w:rPr>
        <w:instrText xml:space="preserve"> </w:instrText>
      </w:r>
      <w:r w:rsidRPr="0090085C">
        <w:rPr>
          <w:rStyle w:val="af7"/>
          <w:rFonts w:eastAsia="Guttman Hodes"/>
          <w:rtl/>
        </w:rPr>
      </w:r>
      <w:r w:rsidRPr="0090085C">
        <w:rPr>
          <w:rStyle w:val="af7"/>
          <w:rFonts w:eastAsia="Guttman Hodes"/>
          <w:rtl/>
        </w:rPr>
        <w:fldChar w:fldCharType="separate"/>
      </w:r>
      <w:r w:rsidR="00345400">
        <w:rPr>
          <w:rStyle w:val="af7"/>
          <w:rFonts w:eastAsia="Guttman Hodes"/>
          <w:cs/>
        </w:rPr>
        <w:t>‎</w:t>
      </w:r>
      <w:r w:rsidR="00345400">
        <w:rPr>
          <w:rStyle w:val="af7"/>
          <w:rFonts w:eastAsia="Guttman Hodes"/>
          <w:rtl/>
        </w:rPr>
        <w:t>נט)</w:t>
      </w:r>
      <w:r w:rsidRPr="0090085C">
        <w:rPr>
          <w:rStyle w:val="af7"/>
          <w:rFonts w:eastAsia="Guttman Hodes"/>
          <w:rtl/>
        </w:rPr>
        <w:fldChar w:fldCharType="end"/>
      </w:r>
      <w:r>
        <w:rPr>
          <w:rFonts w:hint="cs"/>
          <w:rtl/>
        </w:rPr>
        <w:t xml:space="preserve"> את דברי </w:t>
      </w:r>
      <w:r w:rsidRPr="0090085C">
        <w:rPr>
          <w:rStyle w:val="af9"/>
          <w:rFonts w:hint="cs"/>
          <w:rtl/>
        </w:rPr>
        <w:t>הרשב"א בתשו'</w:t>
      </w:r>
      <w:r>
        <w:rPr>
          <w:rFonts w:hint="cs"/>
          <w:rtl/>
        </w:rPr>
        <w:t xml:space="preserve">, וע"ע בדברי </w:t>
      </w:r>
      <w:r w:rsidRPr="00C4214D">
        <w:rPr>
          <w:rStyle w:val="af9"/>
          <w:rFonts w:hint="cs"/>
          <w:rtl/>
        </w:rPr>
        <w:t>הגרעק"א</w:t>
      </w:r>
      <w:r>
        <w:rPr>
          <w:rFonts w:hint="cs"/>
          <w:rtl/>
        </w:rPr>
        <w:t xml:space="preserve"> </w:t>
      </w:r>
      <w:r w:rsidRPr="00A85454">
        <w:rPr>
          <w:rStyle w:val="af7"/>
          <w:rFonts w:eastAsia="Guttman Hodes" w:hint="cs"/>
          <w:rtl/>
        </w:rPr>
        <w:t xml:space="preserve">(עי' אות </w:t>
      </w:r>
      <w:r w:rsidRPr="00A85454">
        <w:rPr>
          <w:rStyle w:val="af7"/>
          <w:rFonts w:eastAsia="Guttman Hodes"/>
          <w:rtl/>
        </w:rPr>
        <w:fldChar w:fldCharType="begin"/>
      </w:r>
      <w:r w:rsidRPr="00A85454">
        <w:rPr>
          <w:rStyle w:val="af7"/>
          <w:rFonts w:eastAsia="Guttman Hodes"/>
          <w:rtl/>
        </w:rPr>
        <w:instrText xml:space="preserve"> </w:instrText>
      </w:r>
      <w:r w:rsidRPr="00A85454">
        <w:rPr>
          <w:rStyle w:val="af7"/>
          <w:rFonts w:eastAsia="Guttman Hodes" w:hint="cs"/>
        </w:rPr>
        <w:instrText>REF</w:instrText>
      </w:r>
      <w:r w:rsidRPr="00A85454">
        <w:rPr>
          <w:rStyle w:val="af7"/>
          <w:rFonts w:eastAsia="Guttman Hodes" w:hint="cs"/>
          <w:rtl/>
        </w:rPr>
        <w:instrText xml:space="preserve"> _</w:instrText>
      </w:r>
      <w:r w:rsidRPr="00A85454">
        <w:rPr>
          <w:rStyle w:val="af7"/>
          <w:rFonts w:eastAsia="Guttman Hodes" w:hint="cs"/>
        </w:rPr>
        <w:instrText>Ref525833689 \r \h</w:instrText>
      </w:r>
      <w:r w:rsidRPr="00A85454">
        <w:rPr>
          <w:rStyle w:val="af7"/>
          <w:rFonts w:eastAsia="Guttman Hodes"/>
          <w:rtl/>
        </w:rPr>
        <w:instrText xml:space="preserve"> </w:instrText>
      </w:r>
      <w:r w:rsidRPr="00A85454">
        <w:rPr>
          <w:rStyle w:val="af7"/>
          <w:rFonts w:eastAsia="Guttman Hodes"/>
          <w:rtl/>
        </w:rPr>
      </w:r>
      <w:r w:rsidRPr="00A85454">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A85454">
        <w:rPr>
          <w:rStyle w:val="af7"/>
          <w:rFonts w:eastAsia="Guttman Hodes"/>
          <w:rtl/>
        </w:rPr>
        <w:fldChar w:fldCharType="end"/>
      </w:r>
      <w:r>
        <w:rPr>
          <w:rFonts w:hint="cs"/>
          <w:rtl/>
        </w:rPr>
        <w:t>.</w:t>
      </w:r>
      <w:bookmarkEnd w:id="5366"/>
    </w:p>
    <w:p w14:paraId="789AAB23" w14:textId="77777777" w:rsidR="002E29DB" w:rsidRPr="002E29DB" w:rsidRDefault="002E29DB" w:rsidP="002E29DB">
      <w:pPr>
        <w:pStyle w:val="a3"/>
        <w:rPr>
          <w:rtl/>
        </w:rPr>
      </w:pPr>
    </w:p>
    <w:p w14:paraId="60A44F74" w14:textId="77777777" w:rsidR="00413DD0" w:rsidRPr="00A85454" w:rsidRDefault="00413DD0" w:rsidP="006D6D32">
      <w:pPr>
        <w:pStyle w:val="a3"/>
      </w:pPr>
      <w:bookmarkStart w:id="5367" w:name="_Toc19389598"/>
      <w:bookmarkStart w:id="5368" w:name="_Toc19393095"/>
      <w:r>
        <w:rPr>
          <w:rFonts w:hint="cs"/>
          <w:rtl/>
        </w:rPr>
        <w:t>דברי הפנ"י דאף לרב חסדא אפש"ל דההיתר מחמת שאין ריעותא בבהמה ואין חזקה כנגד הס"ס</w:t>
      </w:r>
      <w:bookmarkEnd w:id="5367"/>
      <w:bookmarkEnd w:id="5368"/>
    </w:p>
    <w:p w14:paraId="1A890B28" w14:textId="77777777" w:rsidR="00413DD0" w:rsidRDefault="00413DD0" w:rsidP="00223668">
      <w:pPr>
        <w:pStyle w:val="a0"/>
      </w:pPr>
      <w:r>
        <w:rPr>
          <w:rFonts w:hint="cs"/>
          <w:rtl/>
        </w:rPr>
        <w:t xml:space="preserve">וכתב </w:t>
      </w:r>
      <w:r w:rsidRPr="002F5D47">
        <w:rPr>
          <w:rStyle w:val="af9"/>
          <w:rFonts w:hint="cs"/>
          <w:rtl/>
        </w:rPr>
        <w:t>הפנ"י</w:t>
      </w:r>
      <w:r>
        <w:rPr>
          <w:rFonts w:hint="cs"/>
          <w:rtl/>
        </w:rPr>
        <w:t xml:space="preserve"> דא"כ אף לדעת רב חסדא אפש"ל דההיתר הוא מחמת שאין ריעותא בבהמה ולא מחמת הספק ספיקא, אלא דס"ל לרב חסדא דבנפגם הסכין אין חזקת איסור כלל, דהא שחוטה לפניך והריעותא היא רק בסכין ולא בבהמה, אבל במקום שיש חזקת איסור אף לדעת רב חסדא א"א להתיר ע"י ספק ספיקא.</w:t>
      </w:r>
    </w:p>
    <w:p w14:paraId="167DB43B" w14:textId="77777777" w:rsidR="00413DD0" w:rsidRDefault="00413DD0" w:rsidP="00BF39B2">
      <w:pPr>
        <w:pStyle w:val="1"/>
        <w:rPr>
          <w:rtl/>
        </w:rPr>
      </w:pPr>
      <w:bookmarkStart w:id="5369" w:name="_Toc526249206"/>
      <w:bookmarkStart w:id="5370" w:name="_Toc526416003"/>
      <w:bookmarkStart w:id="5371" w:name="_Toc526418221"/>
      <w:bookmarkStart w:id="5372" w:name="_Toc19389599"/>
      <w:bookmarkStart w:id="5373" w:name="_Toc19393096"/>
      <w:bookmarkStart w:id="5374" w:name="_Toc523397231"/>
      <w:bookmarkStart w:id="5375" w:name="_Toc523490359"/>
      <w:bookmarkStart w:id="5376" w:name="_Toc523697982"/>
      <w:bookmarkStart w:id="5377" w:name="_Toc523760845"/>
      <w:bookmarkStart w:id="5378" w:name="_Toc524638715"/>
      <w:bookmarkStart w:id="5379" w:name="_Toc525594372"/>
      <w:bookmarkStart w:id="5380" w:name="_Toc526249222"/>
      <w:bookmarkStart w:id="5381" w:name="_Toc526416002"/>
      <w:bookmarkStart w:id="5382" w:name="_Toc526418220"/>
      <w:bookmarkStart w:id="5383" w:name="_Toc523397226"/>
      <w:bookmarkStart w:id="5384" w:name="_Toc523490354"/>
      <w:bookmarkStart w:id="5385" w:name="_Toc523697977"/>
      <w:bookmarkStart w:id="5386" w:name="_Toc523760840"/>
      <w:r>
        <w:rPr>
          <w:rFonts w:hint="cs"/>
          <w:rtl/>
        </w:rPr>
        <w:t>ביאור הגרעק"א בתירוץ הג' בתוס' בדין ספק ספיקא</w:t>
      </w:r>
      <w:bookmarkEnd w:id="5369"/>
      <w:bookmarkEnd w:id="5370"/>
      <w:bookmarkEnd w:id="5371"/>
      <w:bookmarkEnd w:id="5372"/>
      <w:bookmarkEnd w:id="5373"/>
    </w:p>
    <w:p w14:paraId="6F7805D6" w14:textId="77777777" w:rsidR="00413DD0" w:rsidRDefault="00413DD0" w:rsidP="006D6D32">
      <w:pPr>
        <w:pStyle w:val="a3"/>
        <w:rPr>
          <w:rtl/>
        </w:rPr>
      </w:pPr>
      <w:bookmarkStart w:id="5387" w:name="_Toc526249207"/>
      <w:bookmarkStart w:id="5388" w:name="_Toc526416004"/>
      <w:bookmarkStart w:id="5389" w:name="_Toc526418222"/>
      <w:bookmarkStart w:id="5390" w:name="_Toc19389600"/>
      <w:bookmarkStart w:id="5391" w:name="_Toc19393097"/>
      <w:r>
        <w:rPr>
          <w:rFonts w:hint="cs"/>
          <w:rtl/>
        </w:rPr>
        <w:t>דברי הגרעק"א דלתי' הג' בתוס' ההיתר לרב חסדא הוא מדין ספק ספיקא</w:t>
      </w:r>
      <w:bookmarkEnd w:id="5387"/>
      <w:bookmarkEnd w:id="5388"/>
      <w:bookmarkEnd w:id="5389"/>
      <w:bookmarkEnd w:id="5390"/>
      <w:bookmarkEnd w:id="5391"/>
    </w:p>
    <w:p w14:paraId="6A84CABE" w14:textId="77777777" w:rsidR="00413DD0" w:rsidRDefault="00413DD0" w:rsidP="00223668">
      <w:pPr>
        <w:pStyle w:val="a0"/>
        <w:rPr>
          <w:rtl/>
        </w:rPr>
      </w:pPr>
      <w:r>
        <w:rPr>
          <w:rStyle w:val="af9"/>
          <w:rFonts w:hint="cs"/>
          <w:rtl/>
        </w:rPr>
        <w:t>ו</w:t>
      </w:r>
      <w:r w:rsidRPr="0036392A">
        <w:rPr>
          <w:rStyle w:val="af9"/>
          <w:rFonts w:hint="cs"/>
          <w:rtl/>
        </w:rPr>
        <w:t>הגרעק"א</w:t>
      </w:r>
      <w:r>
        <w:rPr>
          <w:rFonts w:hint="cs"/>
          <w:rtl/>
        </w:rPr>
        <w:t xml:space="preserve"> </w:t>
      </w:r>
      <w:r w:rsidRPr="0036392A">
        <w:rPr>
          <w:rStyle w:val="af7"/>
          <w:rFonts w:eastAsia="Guttman Hodes" w:hint="cs"/>
          <w:rtl/>
        </w:rPr>
        <w:t xml:space="preserve">(על תוד"ה סכין) </w:t>
      </w:r>
      <w:r>
        <w:rPr>
          <w:rFonts w:hint="cs"/>
          <w:rtl/>
        </w:rPr>
        <w:t xml:space="preserve">דחה את דברי </w:t>
      </w:r>
      <w:r w:rsidRPr="0036392A">
        <w:rPr>
          <w:rStyle w:val="af9"/>
          <w:rFonts w:hint="cs"/>
          <w:rtl/>
        </w:rPr>
        <w:t xml:space="preserve">הש"ך בנקודות הכסף </w:t>
      </w:r>
      <w:r w:rsidRPr="00DF5085">
        <w:rPr>
          <w:rStyle w:val="af7"/>
          <w:rFonts w:eastAsia="Guttman Hodes" w:hint="cs"/>
          <w:rtl/>
        </w:rPr>
        <w:t xml:space="preserve">(עי' אות </w:t>
      </w:r>
      <w:r w:rsidRPr="00DF5085">
        <w:rPr>
          <w:rStyle w:val="af7"/>
          <w:rFonts w:eastAsia="Guttman Hodes"/>
          <w:rtl/>
        </w:rPr>
        <w:fldChar w:fldCharType="begin"/>
      </w:r>
      <w:r w:rsidRPr="00DF5085">
        <w:rPr>
          <w:rStyle w:val="af7"/>
          <w:rFonts w:eastAsia="Guttman Hodes"/>
          <w:rtl/>
        </w:rPr>
        <w:instrText xml:space="preserve"> </w:instrText>
      </w:r>
      <w:r w:rsidRPr="00DF5085">
        <w:rPr>
          <w:rStyle w:val="af7"/>
          <w:rFonts w:eastAsia="Guttman Hodes" w:hint="cs"/>
        </w:rPr>
        <w:instrText>REF</w:instrText>
      </w:r>
      <w:r w:rsidRPr="00DF5085">
        <w:rPr>
          <w:rStyle w:val="af7"/>
          <w:rFonts w:eastAsia="Guttman Hodes" w:hint="cs"/>
          <w:rtl/>
        </w:rPr>
        <w:instrText xml:space="preserve"> _</w:instrText>
      </w:r>
      <w:r w:rsidRPr="00DF5085">
        <w:rPr>
          <w:rStyle w:val="af7"/>
          <w:rFonts w:eastAsia="Guttman Hodes" w:hint="cs"/>
        </w:rPr>
        <w:instrText>Ref525765347 \r \h</w:instrText>
      </w:r>
      <w:r w:rsidRPr="00DF5085">
        <w:rPr>
          <w:rStyle w:val="af7"/>
          <w:rFonts w:eastAsia="Guttman Hodes"/>
          <w:rtl/>
        </w:rPr>
        <w:instrText xml:space="preserve"> </w:instrText>
      </w:r>
      <w:r w:rsidRPr="00DF5085">
        <w:rPr>
          <w:rStyle w:val="af7"/>
          <w:rFonts w:eastAsia="Guttman Hodes"/>
          <w:rtl/>
        </w:rPr>
      </w:r>
      <w:r w:rsidRPr="00DF5085">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DF5085">
        <w:rPr>
          <w:rStyle w:val="af7"/>
          <w:rFonts w:eastAsia="Guttman Hodes"/>
          <w:rtl/>
        </w:rPr>
        <w:fldChar w:fldCharType="end"/>
      </w:r>
      <w:r w:rsidRPr="00DF5085">
        <w:rPr>
          <w:rStyle w:val="af7"/>
          <w:rFonts w:eastAsia="Guttman Hodes" w:hint="cs"/>
          <w:rtl/>
        </w:rPr>
        <w:t xml:space="preserve"> </w:t>
      </w:r>
      <w:r w:rsidRPr="0036392A">
        <w:rPr>
          <w:rStyle w:val="af9"/>
          <w:rFonts w:hint="cs"/>
          <w:rtl/>
        </w:rPr>
        <w:t>דלתירוץ הג' בתוס'</w:t>
      </w:r>
      <w:r>
        <w:rPr>
          <w:rFonts w:hint="cs"/>
          <w:rtl/>
        </w:rPr>
        <w:t xml:space="preserve"> כוונת הגמ' בתירוץ דבהמה לא איתרעי אינו דהריעותא היא בסכין ולא בבהמה, אלא דרב חסדא התיר מחמת שהוא ספק ספיקא, ולדברי </w:t>
      </w:r>
      <w:r w:rsidRPr="00022DE9">
        <w:rPr>
          <w:rStyle w:val="af9"/>
          <w:rFonts w:hint="cs"/>
          <w:rtl/>
        </w:rPr>
        <w:t>הש"ך</w:t>
      </w:r>
      <w:r>
        <w:rPr>
          <w:rFonts w:hint="cs"/>
          <w:rtl/>
        </w:rPr>
        <w:t xml:space="preserve"> דאי"ז נחשב לספק ספיקא, א"כ עדיין קשה קושית </w:t>
      </w:r>
      <w:r w:rsidRPr="00022DE9">
        <w:rPr>
          <w:rStyle w:val="af9"/>
          <w:rFonts w:hint="cs"/>
          <w:rtl/>
        </w:rPr>
        <w:t>התוס'</w:t>
      </w:r>
      <w:r>
        <w:rPr>
          <w:rFonts w:hint="cs"/>
          <w:rtl/>
        </w:rPr>
        <w:t xml:space="preserve"> מ"ש סכין מנמצא עליו דבר החוצץ, דנתעסק באותו המין אחר הטבילה, דמי לשיבר בה עצמות.</w:t>
      </w:r>
    </w:p>
    <w:p w14:paraId="0362B95D" w14:textId="77777777" w:rsidR="00413DD0" w:rsidRPr="00AA3440" w:rsidRDefault="00413DD0" w:rsidP="006D6D32">
      <w:pPr>
        <w:pStyle w:val="a3"/>
      </w:pPr>
      <w:bookmarkStart w:id="5392" w:name="_Toc525594359"/>
      <w:bookmarkStart w:id="5393" w:name="_Toc526249208"/>
      <w:bookmarkStart w:id="5394" w:name="_Toc526416005"/>
      <w:bookmarkStart w:id="5395" w:name="_Toc526418223"/>
      <w:bookmarkStart w:id="5396" w:name="_Toc19389601"/>
      <w:bookmarkStart w:id="5397" w:name="_Toc19393098"/>
      <w:r>
        <w:rPr>
          <w:rFonts w:hint="cs"/>
          <w:rtl/>
        </w:rPr>
        <w:t>דברי הגרעק"א דע"י הספק ספיקא חשיב כפלגא ופלגא ואפשר להתיר בשיבר בה עצמות</w:t>
      </w:r>
      <w:bookmarkEnd w:id="5392"/>
      <w:bookmarkEnd w:id="5393"/>
      <w:bookmarkEnd w:id="5394"/>
      <w:bookmarkEnd w:id="5395"/>
      <w:bookmarkEnd w:id="5396"/>
      <w:bookmarkEnd w:id="5397"/>
      <w:r>
        <w:rPr>
          <w:rFonts w:hint="cs"/>
          <w:rtl/>
        </w:rPr>
        <w:t xml:space="preserve"> </w:t>
      </w:r>
    </w:p>
    <w:p w14:paraId="7D6DCC32" w14:textId="77777777" w:rsidR="00413DD0" w:rsidRDefault="00413DD0" w:rsidP="00223668">
      <w:pPr>
        <w:pStyle w:val="a0"/>
        <w:rPr>
          <w:rtl/>
        </w:rPr>
      </w:pPr>
      <w:r>
        <w:rPr>
          <w:rFonts w:hint="cs"/>
          <w:rtl/>
        </w:rPr>
        <w:t xml:space="preserve">אלא כתב </w:t>
      </w:r>
      <w:r w:rsidRPr="00AA3440">
        <w:rPr>
          <w:rStyle w:val="af9"/>
          <w:rFonts w:hint="cs"/>
          <w:rtl/>
        </w:rPr>
        <w:t>הגרעק"א</w:t>
      </w:r>
      <w:r>
        <w:rPr>
          <w:rFonts w:hint="cs"/>
          <w:rtl/>
        </w:rPr>
        <w:t xml:space="preserve"> דבלא שיבר בה עצמות כיון שהוא ספק ספיקא במקום שאיתחזק איסורא, א"א להתיר מדין ספק ספיקא כנגד החזקה. אך מ"מ הוי כפלגא ופלגא וכסמוך מיעוטא לחזקה, ולכן בשיבר בה עצמות אפשר להקל, דע"י הספק ספיקא נסתלקה החזקת איסור, ולכן אפשר לתלות בעצם שהוא המצוי. אך הקשה </w:t>
      </w:r>
      <w:r w:rsidRPr="0036392A">
        <w:rPr>
          <w:rStyle w:val="af9"/>
          <w:rFonts w:hint="cs"/>
          <w:rtl/>
        </w:rPr>
        <w:t>הגרעק"א</w:t>
      </w:r>
      <w:r>
        <w:rPr>
          <w:rFonts w:hint="cs"/>
          <w:rtl/>
        </w:rPr>
        <w:t xml:space="preserve"> דא"כ בנמצא עליו דבר החוצץ שאין ספק ספיקא, צריך להעמידו בחזקתו שהוא טמא.</w:t>
      </w:r>
    </w:p>
    <w:p w14:paraId="783F88D4" w14:textId="77777777" w:rsidR="00413DD0" w:rsidRPr="00236F2C" w:rsidRDefault="00413DD0" w:rsidP="006D6D32">
      <w:pPr>
        <w:pStyle w:val="a3"/>
        <w:rPr>
          <w:rtl/>
        </w:rPr>
      </w:pPr>
      <w:bookmarkStart w:id="5398" w:name="_Toc525594360"/>
      <w:bookmarkStart w:id="5399" w:name="_Toc526249209"/>
      <w:bookmarkStart w:id="5400" w:name="_Toc526416006"/>
      <w:bookmarkStart w:id="5401" w:name="_Toc526418224"/>
      <w:bookmarkStart w:id="5402" w:name="_Toc19389602"/>
      <w:bookmarkStart w:id="5403" w:name="_Toc19393099"/>
      <w:r>
        <w:rPr>
          <w:rFonts w:hint="cs"/>
          <w:rtl/>
        </w:rPr>
        <w:t>דברי הגרעק"א דלהלכה לא קיי"ל כתי' הג' בתוס'</w:t>
      </w:r>
      <w:bookmarkEnd w:id="5398"/>
      <w:bookmarkEnd w:id="5399"/>
      <w:bookmarkEnd w:id="5400"/>
      <w:bookmarkEnd w:id="5401"/>
      <w:bookmarkEnd w:id="5402"/>
      <w:bookmarkEnd w:id="5403"/>
    </w:p>
    <w:p w14:paraId="38713829" w14:textId="77777777" w:rsidR="00413DD0" w:rsidRDefault="00413DD0" w:rsidP="00223668">
      <w:pPr>
        <w:pStyle w:val="a0"/>
        <w:rPr>
          <w:rStyle w:val="afb"/>
          <w:rtl/>
        </w:rPr>
      </w:pPr>
      <w:r>
        <w:rPr>
          <w:rFonts w:hint="cs"/>
          <w:rtl/>
        </w:rPr>
        <w:t xml:space="preserve">אלא כתב </w:t>
      </w:r>
      <w:r w:rsidRPr="007C5536">
        <w:rPr>
          <w:rStyle w:val="af9"/>
          <w:rFonts w:hint="cs"/>
          <w:rtl/>
        </w:rPr>
        <w:t>הגרעק"א</w:t>
      </w:r>
      <w:r>
        <w:rPr>
          <w:rFonts w:hint="cs"/>
          <w:rtl/>
        </w:rPr>
        <w:t xml:space="preserve"> דצ"ל דלא קיי"ל </w:t>
      </w:r>
      <w:r w:rsidRPr="007C5536">
        <w:rPr>
          <w:rStyle w:val="af9"/>
          <w:rFonts w:hint="cs"/>
          <w:rtl/>
        </w:rPr>
        <w:t>כתירוץ הג' בתוס'</w:t>
      </w:r>
      <w:r>
        <w:rPr>
          <w:rFonts w:hint="cs"/>
          <w:rtl/>
        </w:rPr>
        <w:t xml:space="preserve"> דהחילוק בין סכין לנמצא עליו דבר החוצץ הוא מחמת ספק ספיקא, דהא א"כ בסכין קטן צריך לאסור</w:t>
      </w:r>
      <w:r>
        <w:rPr>
          <w:rStyle w:val="afb"/>
          <w:rFonts w:hint="cs"/>
          <w:rtl/>
        </w:rPr>
        <w:t>,</w:t>
      </w:r>
      <w:r w:rsidRPr="007C5536">
        <w:rPr>
          <w:rStyle w:val="afb"/>
          <w:rFonts w:hint="cs"/>
          <w:rtl/>
        </w:rPr>
        <w:t xml:space="preserve"> </w:t>
      </w:r>
      <w:r>
        <w:rPr>
          <w:rFonts w:hint="cs"/>
          <w:rtl/>
        </w:rPr>
        <w:t>ולא מצינו חילוק לדינא בין סכין גדול לקטן</w:t>
      </w:r>
      <w:r>
        <w:rPr>
          <w:rStyle w:val="afb"/>
          <w:rFonts w:hint="cs"/>
          <w:rtl/>
        </w:rPr>
        <w:t xml:space="preserve"> </w:t>
      </w:r>
      <w:r w:rsidRPr="007C5536">
        <w:rPr>
          <w:rStyle w:val="afb"/>
          <w:rFonts w:hint="cs"/>
          <w:rtl/>
        </w:rPr>
        <w:t xml:space="preserve">[וכדכתב </w:t>
      </w:r>
      <w:r>
        <w:rPr>
          <w:rStyle w:val="affa"/>
          <w:rFonts w:hint="cs"/>
          <w:rtl/>
        </w:rPr>
        <w:t>ה</w:t>
      </w:r>
      <w:r w:rsidRPr="00323CF2">
        <w:rPr>
          <w:rStyle w:val="affa"/>
          <w:rFonts w:hint="cs"/>
          <w:rtl/>
        </w:rPr>
        <w:t>רשב"א</w:t>
      </w:r>
      <w:r w:rsidRPr="00323CF2">
        <w:rPr>
          <w:rStyle w:val="afb"/>
          <w:rFonts w:hint="cs"/>
          <w:rtl/>
        </w:rPr>
        <w:t xml:space="preserve"> </w:t>
      </w:r>
      <w:r w:rsidRPr="00C93863">
        <w:rPr>
          <w:rStyle w:val="aff6"/>
          <w:rFonts w:hint="cs"/>
          <w:rtl/>
        </w:rPr>
        <w:t xml:space="preserve">(עי' אות </w:t>
      </w:r>
      <w:r w:rsidRPr="00C93863">
        <w:rPr>
          <w:rStyle w:val="aff6"/>
          <w:rtl/>
        </w:rPr>
        <w:fldChar w:fldCharType="begin"/>
      </w:r>
      <w:r w:rsidRPr="00C93863">
        <w:rPr>
          <w:rStyle w:val="aff6"/>
          <w:rtl/>
        </w:rPr>
        <w:instrText xml:space="preserve"> </w:instrText>
      </w:r>
      <w:r w:rsidRPr="00C93863">
        <w:rPr>
          <w:rStyle w:val="aff6"/>
          <w:rFonts w:hint="cs"/>
        </w:rPr>
        <w:instrText>REF</w:instrText>
      </w:r>
      <w:r w:rsidRPr="00C93863">
        <w:rPr>
          <w:rStyle w:val="aff6"/>
          <w:rFonts w:hint="cs"/>
          <w:rtl/>
        </w:rPr>
        <w:instrText xml:space="preserve"> _</w:instrText>
      </w:r>
      <w:r w:rsidRPr="00C93863">
        <w:rPr>
          <w:rStyle w:val="aff6"/>
          <w:rFonts w:hint="cs"/>
        </w:rPr>
        <w:instrText>Ref524685553 \r \h</w:instrText>
      </w:r>
      <w:r w:rsidRPr="00C93863">
        <w:rPr>
          <w:rStyle w:val="aff6"/>
          <w:rtl/>
        </w:rPr>
        <w:instrText xml:space="preserve"> </w:instrText>
      </w:r>
      <w:r w:rsidRPr="00C93863">
        <w:rPr>
          <w:rStyle w:val="aff6"/>
          <w:rtl/>
        </w:rPr>
      </w:r>
      <w:r w:rsidRPr="00C93863">
        <w:rPr>
          <w:rStyle w:val="aff6"/>
          <w:rtl/>
        </w:rPr>
        <w:fldChar w:fldCharType="separate"/>
      </w:r>
      <w:r w:rsidR="00345400">
        <w:rPr>
          <w:rStyle w:val="aff6"/>
          <w:cs/>
        </w:rPr>
        <w:t>‎</w:t>
      </w:r>
      <w:r w:rsidR="00345400">
        <w:rPr>
          <w:rStyle w:val="aff6"/>
          <w:rtl/>
        </w:rPr>
        <w:t>לט)</w:t>
      </w:r>
      <w:r w:rsidRPr="00C93863">
        <w:rPr>
          <w:rStyle w:val="aff6"/>
          <w:rtl/>
        </w:rPr>
        <w:fldChar w:fldCharType="end"/>
      </w:r>
      <w:r w:rsidRPr="00323CF2">
        <w:rPr>
          <w:rStyle w:val="afb"/>
          <w:rFonts w:hint="cs"/>
          <w:rtl/>
        </w:rPr>
        <w:t>]</w:t>
      </w:r>
      <w:r>
        <w:rPr>
          <w:rFonts w:hint="cs"/>
          <w:rtl/>
        </w:rPr>
        <w:t xml:space="preserve">, וכתב </w:t>
      </w:r>
      <w:r w:rsidRPr="007C5536">
        <w:rPr>
          <w:rStyle w:val="af9"/>
          <w:rFonts w:hint="cs"/>
          <w:rtl/>
        </w:rPr>
        <w:t>הגרעק"א</w:t>
      </w:r>
      <w:r>
        <w:rPr>
          <w:rFonts w:hint="cs"/>
          <w:rtl/>
        </w:rPr>
        <w:t xml:space="preserve"> דודאי דהביאור בתירוץ בהמה לא איתרעי הוא כפשטות הגמ' דהחילוק הוא בין אם הריעותא היא בדבר שבו יש את החזקה, כנמצא עליו דבר החוצץ לסכין שהריעותא היא בדבר אחר, ולא בבהמה עצמה.</w:t>
      </w:r>
    </w:p>
    <w:p w14:paraId="6A843C35" w14:textId="77777777" w:rsidR="00413DD0" w:rsidRPr="007C5536" w:rsidRDefault="00413DD0" w:rsidP="006D6D32">
      <w:pPr>
        <w:pStyle w:val="a3"/>
      </w:pPr>
      <w:bookmarkStart w:id="5404" w:name="_Toc525594361"/>
      <w:bookmarkStart w:id="5405" w:name="_Toc526249210"/>
      <w:bookmarkStart w:id="5406" w:name="_Toc526416007"/>
      <w:bookmarkStart w:id="5407" w:name="_Toc526418225"/>
      <w:bookmarkStart w:id="5408" w:name="_Toc19389603"/>
      <w:bookmarkStart w:id="5409" w:name="_Toc19393100"/>
      <w:r>
        <w:rPr>
          <w:rFonts w:hint="cs"/>
          <w:rtl/>
        </w:rPr>
        <w:t>דברי הגרעק"א דבדעת רב חסדא התירוץ ממקוה הוא כתי' הג' בתוס'</w:t>
      </w:r>
      <w:bookmarkEnd w:id="5404"/>
      <w:bookmarkEnd w:id="5405"/>
      <w:bookmarkEnd w:id="5406"/>
      <w:bookmarkEnd w:id="5407"/>
      <w:bookmarkEnd w:id="5408"/>
      <w:bookmarkEnd w:id="5409"/>
    </w:p>
    <w:p w14:paraId="6E06A9BF" w14:textId="77777777" w:rsidR="00413DD0" w:rsidRPr="00755A2B" w:rsidRDefault="00413DD0" w:rsidP="00223668">
      <w:pPr>
        <w:pStyle w:val="a0"/>
        <w:rPr>
          <w:rtl/>
        </w:rPr>
      </w:pPr>
      <w:bookmarkStart w:id="5410" w:name="_Ref525833689"/>
      <w:r>
        <w:rPr>
          <w:rFonts w:hint="cs"/>
          <w:rtl/>
        </w:rPr>
        <w:t xml:space="preserve">אך כתב </w:t>
      </w:r>
      <w:r w:rsidRPr="009E7035">
        <w:rPr>
          <w:rStyle w:val="af9"/>
          <w:rFonts w:hint="cs"/>
          <w:rtl/>
        </w:rPr>
        <w:t>הגרעק"א</w:t>
      </w:r>
      <w:r>
        <w:rPr>
          <w:rFonts w:hint="cs"/>
          <w:rtl/>
        </w:rPr>
        <w:t xml:space="preserve"> דמ"מ על מה שהקשו </w:t>
      </w:r>
      <w:r w:rsidRPr="009E7035">
        <w:rPr>
          <w:rStyle w:val="af9"/>
          <w:rFonts w:hint="cs"/>
          <w:rtl/>
        </w:rPr>
        <w:t xml:space="preserve">התוס' </w:t>
      </w:r>
      <w:r>
        <w:rPr>
          <w:rFonts w:hint="cs"/>
          <w:rtl/>
        </w:rPr>
        <w:t xml:space="preserve">מ"ש סכין ממקוה שנמצא חסר, בזה אף לדידן החילוק הוא </w:t>
      </w:r>
      <w:r w:rsidRPr="007C5536">
        <w:rPr>
          <w:rStyle w:val="af9"/>
          <w:rFonts w:hint="cs"/>
          <w:rtl/>
        </w:rPr>
        <w:t>כתירוץ הג' בתוס'</w:t>
      </w:r>
      <w:r>
        <w:rPr>
          <w:rFonts w:hint="cs"/>
          <w:rtl/>
        </w:rPr>
        <w:t xml:space="preserve"> דבסכין יש ספק ספיקא, ולכן התיר רב חסדא, ולהלכה דקיי"ל כרב חסדא רק בששיבר בה עצמות, הוא כיון דסבירא לן דאי"ז ספק ספיקא, [</w:t>
      </w:r>
      <w:r w:rsidRPr="009E7035">
        <w:rPr>
          <w:rStyle w:val="afb"/>
          <w:rFonts w:hint="cs"/>
          <w:rtl/>
        </w:rPr>
        <w:t xml:space="preserve">כדכתב </w:t>
      </w:r>
      <w:r w:rsidRPr="009E7035">
        <w:rPr>
          <w:rStyle w:val="affa"/>
          <w:rFonts w:hint="cs"/>
          <w:rtl/>
        </w:rPr>
        <w:t>הש"ך</w:t>
      </w:r>
      <w:r w:rsidRPr="009E7035">
        <w:rPr>
          <w:rStyle w:val="afb"/>
          <w:rFonts w:hint="cs"/>
          <w:rtl/>
        </w:rPr>
        <w:t xml:space="preserve"> </w:t>
      </w:r>
      <w:r w:rsidRPr="005C6AD5">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Ref526502032 \r \h</w:instrText>
      </w:r>
      <w:r>
        <w:rPr>
          <w:rStyle w:val="aff6"/>
          <w:rtl/>
        </w:rPr>
        <w:instrText xml:space="preserve"> </w:instrText>
      </w:r>
      <w:r>
        <w:rPr>
          <w:rStyle w:val="aff6"/>
          <w:rtl/>
        </w:rPr>
      </w:r>
      <w:r>
        <w:rPr>
          <w:rStyle w:val="aff6"/>
          <w:rtl/>
        </w:rPr>
        <w:fldChar w:fldCharType="separate"/>
      </w:r>
      <w:r w:rsidR="00345400">
        <w:rPr>
          <w:rStyle w:val="aff6"/>
          <w:cs/>
        </w:rPr>
        <w:t>‎</w:t>
      </w:r>
      <w:r w:rsidR="00345400">
        <w:rPr>
          <w:rStyle w:val="aff6"/>
          <w:rtl/>
        </w:rPr>
        <w:t>מג)</w:t>
      </w:r>
      <w:r>
        <w:rPr>
          <w:rStyle w:val="aff6"/>
          <w:rtl/>
        </w:rPr>
        <w:fldChar w:fldCharType="end"/>
      </w:r>
      <w:r w:rsidRPr="005C6AD5">
        <w:rPr>
          <w:rStyle w:val="aff6"/>
          <w:rFonts w:hint="cs"/>
          <w:rtl/>
        </w:rPr>
        <w:t xml:space="preserve"> </w:t>
      </w:r>
      <w:r w:rsidRPr="009E7035">
        <w:rPr>
          <w:rStyle w:val="afb"/>
          <w:rFonts w:hint="cs"/>
          <w:rtl/>
        </w:rPr>
        <w:t>דהרגילות היא להוליך את כל הסכין בשחיטה],</w:t>
      </w:r>
      <w:r>
        <w:rPr>
          <w:rFonts w:hint="cs"/>
          <w:rtl/>
        </w:rPr>
        <w:t xml:space="preserve"> ולכן כל שלא שיבר בה עצמות אסורה כמו במקוה שנמצא חסר, ובששיבר בה עצמות תלינן להקל אף בלא הספק ספיקא, דכיון שאפשר לתלות בשבירת העצמות לא דמי למקוה שנמצא חסר, וכן לא דמי לנמצא עליו דבר החוצץ שהריעותא היא בטובל עצמו, ואילו בסכין אין ריעותא בבהמה עצמה.</w:t>
      </w:r>
      <w:bookmarkEnd w:id="5410"/>
    </w:p>
    <w:p w14:paraId="10AB0531" w14:textId="77777777" w:rsidR="00413DD0" w:rsidRDefault="00413DD0" w:rsidP="006D6D32">
      <w:pPr>
        <w:pStyle w:val="a3"/>
        <w:rPr>
          <w:rtl/>
        </w:rPr>
      </w:pPr>
      <w:bookmarkStart w:id="5411" w:name="_Toc525594362"/>
      <w:bookmarkStart w:id="5412" w:name="_Toc526249211"/>
      <w:bookmarkStart w:id="5413" w:name="_Toc526416008"/>
      <w:bookmarkStart w:id="5414" w:name="_Toc526418226"/>
      <w:bookmarkStart w:id="5415" w:name="_Toc19389604"/>
      <w:bookmarkStart w:id="5416" w:name="_Toc19393101"/>
      <w:r>
        <w:rPr>
          <w:rFonts w:hint="cs"/>
          <w:rtl/>
        </w:rPr>
        <w:t>דחיית הגרעק"א דא"א לומר דלרב חסדא ס"ל כתי' הב' בתוס' ולא קיי"ל כן למסקנא</w:t>
      </w:r>
      <w:bookmarkEnd w:id="5411"/>
      <w:bookmarkEnd w:id="5412"/>
      <w:bookmarkEnd w:id="5413"/>
      <w:bookmarkEnd w:id="5414"/>
      <w:bookmarkEnd w:id="5415"/>
      <w:bookmarkEnd w:id="5416"/>
    </w:p>
    <w:p w14:paraId="0BF2E592" w14:textId="77777777" w:rsidR="00413DD0" w:rsidRDefault="00413DD0" w:rsidP="00223668">
      <w:pPr>
        <w:pStyle w:val="a0"/>
        <w:rPr>
          <w:rStyle w:val="afb"/>
          <w:rtl/>
        </w:rPr>
      </w:pPr>
      <w:r>
        <w:rPr>
          <w:rFonts w:hint="cs"/>
          <w:rtl/>
        </w:rPr>
        <w:t xml:space="preserve">אך דחה </w:t>
      </w:r>
      <w:r w:rsidRPr="001673DD">
        <w:rPr>
          <w:rStyle w:val="af9"/>
          <w:rFonts w:hint="cs"/>
          <w:rtl/>
        </w:rPr>
        <w:t>הגרעק"א</w:t>
      </w:r>
      <w:r>
        <w:rPr>
          <w:rFonts w:hint="cs"/>
          <w:rtl/>
        </w:rPr>
        <w:t xml:space="preserve"> דאי לדעת רב חסדא מבואר דחשיב ספק ספיקא, א"כ גם אם נבאר את תירוץ הגמ' דבהמה לא איתרעי דהריעותא אינה בבהמה, מ"מ זהו גופא קשה למה לא תירצה הגמ' דהחילוק הוא דבנמצא עליו דבר החוצץ אין ספק ספיקא, אלא מוכח דאף לרב </w:t>
      </w:r>
      <w:r w:rsidRPr="009B37A2">
        <w:rPr>
          <w:rFonts w:hint="cs"/>
          <w:rtl/>
        </w:rPr>
        <w:t xml:space="preserve">חסדא אי"ז ספק ספיקא טוב, והחילוק בין סכין למקוה שנמצא חסר הוא </w:t>
      </w:r>
      <w:r w:rsidRPr="009B37A2">
        <w:rPr>
          <w:rStyle w:val="af9"/>
          <w:rFonts w:hint="cs"/>
          <w:rtl/>
        </w:rPr>
        <w:t>כתירוץ הא' בתוס'</w:t>
      </w:r>
      <w:r w:rsidRPr="009B37A2">
        <w:rPr>
          <w:rFonts w:hint="cs"/>
          <w:rtl/>
        </w:rPr>
        <w:t xml:space="preserve"> דבסכין אין את סברת חסר ואתאי, או </w:t>
      </w:r>
      <w:r w:rsidRPr="009B37A2">
        <w:rPr>
          <w:rStyle w:val="af9"/>
          <w:rFonts w:hint="cs"/>
          <w:rtl/>
        </w:rPr>
        <w:t>כתי' הב' בתוס'</w:t>
      </w:r>
      <w:r>
        <w:rPr>
          <w:rFonts w:hint="cs"/>
          <w:rtl/>
        </w:rPr>
        <w:t xml:space="preserve"> </w:t>
      </w:r>
      <w:r w:rsidRPr="009B37A2">
        <w:rPr>
          <w:rFonts w:hint="cs"/>
          <w:rtl/>
        </w:rPr>
        <w:t>דעצם ודאי פוגם, ולהלכה בלא שיבר בה עצמות קיי"ל כרב הונא, אך</w:t>
      </w:r>
      <w:r w:rsidRPr="00A27685">
        <w:rPr>
          <w:rFonts w:hint="cs"/>
          <w:rtl/>
        </w:rPr>
        <w:t xml:space="preserve"> זהו דוקא במקום שאין ספק ספיקא, אבל במקום שיש ספק ספיקא מקילים</w:t>
      </w:r>
      <w:r>
        <w:rPr>
          <w:rFonts w:hint="cs"/>
          <w:rtl/>
        </w:rPr>
        <w:t xml:space="preserve">. </w:t>
      </w:r>
      <w:r w:rsidRPr="00A27685">
        <w:rPr>
          <w:rStyle w:val="afb"/>
          <w:rFonts w:hint="cs"/>
          <w:rtl/>
        </w:rPr>
        <w:t>[והיינו אף שאינו ספק ספיקא טוב, מ"מ בצירוף הסברא דבהמה לא איתרעי תלינן לקולא].</w:t>
      </w:r>
    </w:p>
    <w:p w14:paraId="005DD16F" w14:textId="77777777" w:rsidR="00413DD0" w:rsidRDefault="00413DD0" w:rsidP="00BF39B2">
      <w:pPr>
        <w:pStyle w:val="1"/>
        <w:rPr>
          <w:rtl/>
        </w:rPr>
      </w:pPr>
      <w:bookmarkStart w:id="5417" w:name="_Toc19389605"/>
      <w:bookmarkStart w:id="5418" w:name="_Toc19393102"/>
      <w:r w:rsidRPr="00BD2B37">
        <w:rPr>
          <w:rFonts w:hint="cs"/>
          <w:rtl/>
        </w:rPr>
        <w:t xml:space="preserve">דברי הרשב"א בתשו' </w:t>
      </w:r>
      <w:r>
        <w:rPr>
          <w:rFonts w:hint="cs"/>
          <w:rtl/>
        </w:rPr>
        <w:t>בענין היתר</w:t>
      </w:r>
      <w:r w:rsidRPr="00BD2B37">
        <w:rPr>
          <w:rFonts w:hint="cs"/>
          <w:rtl/>
        </w:rPr>
        <w:t xml:space="preserve"> ספק ספיקא</w:t>
      </w:r>
      <w:bookmarkEnd w:id="5374"/>
      <w:bookmarkEnd w:id="5375"/>
      <w:bookmarkEnd w:id="5376"/>
      <w:bookmarkEnd w:id="5377"/>
      <w:bookmarkEnd w:id="5378"/>
      <w:bookmarkEnd w:id="5379"/>
      <w:bookmarkEnd w:id="5380"/>
      <w:bookmarkEnd w:id="5381"/>
      <w:bookmarkEnd w:id="5382"/>
      <w:r>
        <w:rPr>
          <w:rFonts w:hint="cs"/>
          <w:rtl/>
        </w:rPr>
        <w:t xml:space="preserve"> במקום חזקה</w:t>
      </w:r>
      <w:bookmarkEnd w:id="5417"/>
      <w:bookmarkEnd w:id="5418"/>
    </w:p>
    <w:p w14:paraId="2A383610" w14:textId="77777777" w:rsidR="00413DD0" w:rsidRPr="00F82054" w:rsidRDefault="00413DD0" w:rsidP="006D6D32">
      <w:pPr>
        <w:pStyle w:val="a3"/>
        <w:rPr>
          <w:rtl/>
        </w:rPr>
      </w:pPr>
      <w:bookmarkStart w:id="5419" w:name="_Toc19389606"/>
      <w:bookmarkStart w:id="5420" w:name="_Toc19393103"/>
      <w:r>
        <w:rPr>
          <w:rFonts w:hint="cs"/>
          <w:rtl/>
        </w:rPr>
        <w:t>דברי הרשב"א בתשו' דאף דמהני ס"ס במקום חזקה מ"מ לרב הונא בחזקת איסור עומדת</w:t>
      </w:r>
      <w:bookmarkEnd w:id="5419"/>
      <w:bookmarkEnd w:id="5420"/>
    </w:p>
    <w:p w14:paraId="497EDA22" w14:textId="77777777" w:rsidR="00413DD0" w:rsidRDefault="00413DD0" w:rsidP="00223668">
      <w:pPr>
        <w:pStyle w:val="a0"/>
        <w:rPr>
          <w:rtl/>
        </w:rPr>
      </w:pPr>
      <w:bookmarkStart w:id="5421" w:name="_Ref523429809"/>
      <w:bookmarkStart w:id="5422" w:name="_Ref523689991"/>
      <w:r>
        <w:rPr>
          <w:rFonts w:hint="cs"/>
          <w:rtl/>
        </w:rPr>
        <w:t xml:space="preserve">כתב </w:t>
      </w:r>
      <w:r w:rsidRPr="0034227B">
        <w:rPr>
          <w:rStyle w:val="af9"/>
          <w:rFonts w:hint="cs"/>
          <w:rtl/>
        </w:rPr>
        <w:t xml:space="preserve">הרשב"א בתשו' </w:t>
      </w:r>
      <w:r w:rsidRPr="00E41401">
        <w:rPr>
          <w:rStyle w:val="af7"/>
          <w:rFonts w:eastAsia="Guttman Hodes" w:hint="cs"/>
          <w:rtl/>
        </w:rPr>
        <w:t xml:space="preserve">(ח"א סי' ת"א ד"ה ואל תשיבני) </w:t>
      </w:r>
      <w:r>
        <w:rPr>
          <w:rFonts w:hint="cs"/>
          <w:rtl/>
        </w:rPr>
        <w:t xml:space="preserve">דספק ספיקא מהני אף במקום דאיתחזק איסורא, וא"א להקשות מדברי רב הונא דבשחיטת כמה בהמות אסר אף את הראשונה, מבואר דאזלינן בתר חזקת איסור אף במקום ספק ספיקא, דהא בשחיטת כמה בהמות יש ספק ספיקא, דספק </w:t>
      </w:r>
      <w:r w:rsidRPr="005E4C24">
        <w:rPr>
          <w:rFonts w:hint="cs"/>
          <w:rtl/>
        </w:rPr>
        <w:t>נפגמה בראשונה ספק באחרונה, ואף את"ל דנפגמה בראשונה, הא יתכן דנפגמה במפרקת ולא בעור</w:t>
      </w:r>
      <w:r>
        <w:rPr>
          <w:rFonts w:hint="cs"/>
          <w:rtl/>
        </w:rPr>
        <w:t>, דרב הונא לטעמיה דבהמה בחייה בחזקת איסור עמדת.</w:t>
      </w:r>
      <w:bookmarkEnd w:id="5421"/>
      <w:r>
        <w:rPr>
          <w:rFonts w:hint="cs"/>
          <w:rtl/>
        </w:rPr>
        <w:t xml:space="preserve"> [ועי' במ"ש </w:t>
      </w:r>
      <w:r w:rsidRPr="00E41401">
        <w:rPr>
          <w:rStyle w:val="af9"/>
          <w:rFonts w:hint="cs"/>
          <w:rtl/>
        </w:rPr>
        <w:t>בשיעורי המקדש דוד</w:t>
      </w:r>
      <w:r>
        <w:rPr>
          <w:rFonts w:hint="cs"/>
          <w:rtl/>
        </w:rPr>
        <w:t xml:space="preserve"> </w:t>
      </w:r>
      <w:r w:rsidRPr="00E41401">
        <w:rPr>
          <w:rStyle w:val="af7"/>
          <w:rFonts w:eastAsia="Guttman Hodes" w:hint="cs"/>
          <w:rtl/>
        </w:rPr>
        <w:t xml:space="preserve">(עי' אות </w:t>
      </w:r>
      <w:r w:rsidRPr="00E41401">
        <w:rPr>
          <w:rStyle w:val="af7"/>
          <w:rFonts w:eastAsia="Guttman Hodes"/>
          <w:rtl/>
        </w:rPr>
        <w:fldChar w:fldCharType="begin"/>
      </w:r>
      <w:r w:rsidRPr="00E41401">
        <w:rPr>
          <w:rStyle w:val="af7"/>
          <w:rFonts w:eastAsia="Guttman Hodes"/>
          <w:rtl/>
        </w:rPr>
        <w:instrText xml:space="preserve"> </w:instrText>
      </w:r>
      <w:r w:rsidRPr="00E41401">
        <w:rPr>
          <w:rStyle w:val="af7"/>
          <w:rFonts w:eastAsia="Guttman Hodes" w:hint="cs"/>
        </w:rPr>
        <w:instrText>REF</w:instrText>
      </w:r>
      <w:r w:rsidRPr="00E41401">
        <w:rPr>
          <w:rStyle w:val="af7"/>
          <w:rFonts w:eastAsia="Guttman Hodes" w:hint="cs"/>
          <w:rtl/>
        </w:rPr>
        <w:instrText xml:space="preserve"> _</w:instrText>
      </w:r>
      <w:r w:rsidRPr="00E41401">
        <w:rPr>
          <w:rStyle w:val="af7"/>
          <w:rFonts w:eastAsia="Guttman Hodes" w:hint="cs"/>
        </w:rPr>
        <w:instrText>Ref526672060 \r \h</w:instrText>
      </w:r>
      <w:r w:rsidRPr="00E41401">
        <w:rPr>
          <w:rStyle w:val="af7"/>
          <w:rFonts w:eastAsia="Guttman Hodes"/>
          <w:rtl/>
        </w:rPr>
        <w:instrText xml:space="preserve"> </w:instrText>
      </w:r>
      <w:r w:rsidRPr="00E41401">
        <w:rPr>
          <w:rStyle w:val="af7"/>
          <w:rFonts w:eastAsia="Guttman Hodes"/>
          <w:rtl/>
        </w:rPr>
      </w:r>
      <w:r w:rsidRPr="00E41401">
        <w:rPr>
          <w:rStyle w:val="af7"/>
          <w:rFonts w:eastAsia="Guttman Hodes"/>
          <w:rtl/>
        </w:rPr>
        <w:fldChar w:fldCharType="separate"/>
      </w:r>
      <w:r w:rsidR="00345400">
        <w:rPr>
          <w:rStyle w:val="af7"/>
          <w:rFonts w:eastAsia="Guttman Hodes"/>
          <w:cs/>
        </w:rPr>
        <w:t>‎</w:t>
      </w:r>
      <w:r w:rsidR="00345400">
        <w:rPr>
          <w:rStyle w:val="af7"/>
          <w:rFonts w:eastAsia="Guttman Hodes"/>
          <w:rtl/>
        </w:rPr>
        <w:t>ע)</w:t>
      </w:r>
      <w:r w:rsidRPr="00E41401">
        <w:rPr>
          <w:rStyle w:val="af7"/>
          <w:rFonts w:eastAsia="Guttman Hodes"/>
          <w:rtl/>
        </w:rPr>
        <w:fldChar w:fldCharType="end"/>
      </w:r>
      <w:r>
        <w:rPr>
          <w:rFonts w:hint="cs"/>
          <w:rtl/>
        </w:rPr>
        <w:t xml:space="preserve"> בענין ספק ספיקא במקום חזקה].</w:t>
      </w:r>
    </w:p>
    <w:p w14:paraId="228315CE" w14:textId="77777777" w:rsidR="00413DD0" w:rsidRPr="00E41401" w:rsidRDefault="00413DD0" w:rsidP="006D6D32">
      <w:pPr>
        <w:pStyle w:val="a3"/>
        <w:rPr>
          <w:rtl/>
        </w:rPr>
      </w:pPr>
      <w:bookmarkStart w:id="5423" w:name="_Toc19389607"/>
      <w:bookmarkStart w:id="5424" w:name="_Toc19393104"/>
      <w:r>
        <w:rPr>
          <w:rFonts w:hint="cs"/>
          <w:rtl/>
        </w:rPr>
        <w:t>פלוגתת הדרכ"מ והמשאת בנימין אי להרשב"א מהני ספק ספיקא במקום חזקה</w:t>
      </w:r>
      <w:bookmarkEnd w:id="5423"/>
      <w:bookmarkEnd w:id="5424"/>
    </w:p>
    <w:p w14:paraId="19E8564E" w14:textId="77777777" w:rsidR="00413DD0" w:rsidRDefault="00413DD0" w:rsidP="00223668">
      <w:pPr>
        <w:pStyle w:val="a0"/>
        <w:rPr>
          <w:rtl/>
        </w:rPr>
      </w:pPr>
      <w:bookmarkStart w:id="5425" w:name="_Ref526502112"/>
      <w:r w:rsidRPr="003A5A12">
        <w:rPr>
          <w:rtl/>
        </w:rPr>
        <w:t xml:space="preserve">וכתב </w:t>
      </w:r>
      <w:r w:rsidRPr="00923F6A">
        <w:rPr>
          <w:rStyle w:val="af9"/>
          <w:rtl/>
        </w:rPr>
        <w:t>הדרכ"מ</w:t>
      </w:r>
      <w:r w:rsidRPr="003A5A12">
        <w:rPr>
          <w:rtl/>
        </w:rPr>
        <w:t xml:space="preserve"> </w:t>
      </w:r>
      <w:r w:rsidRPr="00923F6A">
        <w:rPr>
          <w:rStyle w:val="af7"/>
          <w:rFonts w:eastAsia="Guttman Hodes"/>
          <w:rtl/>
        </w:rPr>
        <w:t>(נ"ז ט"ו)</w:t>
      </w:r>
      <w:r w:rsidRPr="003A5A12">
        <w:rPr>
          <w:rtl/>
        </w:rPr>
        <w:t xml:space="preserve"> דמבואר </w:t>
      </w:r>
      <w:r w:rsidRPr="00923F6A">
        <w:rPr>
          <w:rStyle w:val="af9"/>
          <w:rtl/>
        </w:rPr>
        <w:t xml:space="preserve">ברשב"א </w:t>
      </w:r>
      <w:r w:rsidRPr="00923F6A">
        <w:rPr>
          <w:rStyle w:val="af9"/>
          <w:rFonts w:hint="cs"/>
          <w:rtl/>
        </w:rPr>
        <w:t>בתשו'</w:t>
      </w:r>
      <w:r>
        <w:rPr>
          <w:rFonts w:hint="cs"/>
          <w:rtl/>
        </w:rPr>
        <w:t xml:space="preserve"> </w:t>
      </w:r>
      <w:r w:rsidRPr="003A5A12">
        <w:rPr>
          <w:rtl/>
        </w:rPr>
        <w:t xml:space="preserve">דמהני ספק ספיקא אף במקום חזקה, </w:t>
      </w:r>
      <w:r w:rsidRPr="00923F6A">
        <w:rPr>
          <w:rStyle w:val="af9"/>
          <w:rtl/>
        </w:rPr>
        <w:t>והש"ך</w:t>
      </w:r>
      <w:r>
        <w:rPr>
          <w:rStyle w:val="af7"/>
          <w:rFonts w:eastAsia="Guttman Hodes" w:hint="cs"/>
          <w:rtl/>
        </w:rPr>
        <w:t xml:space="preserve"> </w:t>
      </w:r>
      <w:r w:rsidRPr="00923F6A">
        <w:rPr>
          <w:rStyle w:val="af7"/>
          <w:rFonts w:eastAsia="Guttman Hodes" w:hint="cs"/>
          <w:rtl/>
        </w:rPr>
        <w:t>(ק"י ס"ק ס"ד כללי ספק ספיקא כ"ז)</w:t>
      </w:r>
      <w:r w:rsidRPr="00923F6A">
        <w:rPr>
          <w:rFonts w:hint="cs"/>
          <w:rtl/>
        </w:rPr>
        <w:t xml:space="preserve"> </w:t>
      </w:r>
      <w:r w:rsidRPr="00923F6A">
        <w:rPr>
          <w:rtl/>
        </w:rPr>
        <w:t xml:space="preserve">הביא את דברי </w:t>
      </w:r>
      <w:r w:rsidRPr="00923F6A">
        <w:rPr>
          <w:rStyle w:val="af9"/>
          <w:rtl/>
        </w:rPr>
        <w:t>המשאת בנימין</w:t>
      </w:r>
      <w:r w:rsidRPr="00923F6A">
        <w:rPr>
          <w:rtl/>
        </w:rPr>
        <w:t xml:space="preserve"> </w:t>
      </w:r>
      <w:r w:rsidRPr="00923F6A">
        <w:rPr>
          <w:rStyle w:val="af7"/>
          <w:rFonts w:eastAsia="Guttman Hodes"/>
          <w:rtl/>
        </w:rPr>
        <w:t xml:space="preserve">(ל"ח) </w:t>
      </w:r>
      <w:r w:rsidRPr="00923F6A">
        <w:rPr>
          <w:rtl/>
        </w:rPr>
        <w:t xml:space="preserve">שכתב דאדרבה מדברי </w:t>
      </w:r>
      <w:r w:rsidRPr="00923F6A">
        <w:rPr>
          <w:rStyle w:val="af9"/>
          <w:rtl/>
        </w:rPr>
        <w:t>הרשב"א</w:t>
      </w:r>
      <w:r w:rsidRPr="00923F6A">
        <w:rPr>
          <w:rStyle w:val="af9"/>
          <w:rFonts w:hint="cs"/>
          <w:rtl/>
        </w:rPr>
        <w:t xml:space="preserve"> בתשו'</w:t>
      </w:r>
      <w:r w:rsidRPr="00923F6A">
        <w:rPr>
          <w:rtl/>
        </w:rPr>
        <w:t xml:space="preserve"> דכתב דרב הונא אסר אף בספק ספיקא, מב</w:t>
      </w:r>
      <w:r w:rsidRPr="003A5A12">
        <w:rPr>
          <w:rtl/>
        </w:rPr>
        <w:t>ואר דלא מהני ספק ספיקא להתיר במקום חזקת איסור</w:t>
      </w:r>
      <w:r>
        <w:rPr>
          <w:rFonts w:hint="cs"/>
          <w:rtl/>
        </w:rPr>
        <w:t>.</w:t>
      </w:r>
    </w:p>
    <w:p w14:paraId="0143B958" w14:textId="77777777" w:rsidR="00413DD0" w:rsidRPr="007F7C6F" w:rsidRDefault="00413DD0" w:rsidP="006D6D32">
      <w:pPr>
        <w:pStyle w:val="a3"/>
      </w:pPr>
      <w:bookmarkStart w:id="5426" w:name="_Toc19389608"/>
      <w:bookmarkStart w:id="5427" w:name="_Toc19393105"/>
      <w:r>
        <w:rPr>
          <w:rFonts w:hint="cs"/>
          <w:rtl/>
        </w:rPr>
        <w:t>דברי הש"ך דיש ט"ס ברשב"א וס"ל דמהני ספק ספיקא במקום חזקה</w:t>
      </w:r>
      <w:bookmarkEnd w:id="5426"/>
      <w:bookmarkEnd w:id="5427"/>
    </w:p>
    <w:p w14:paraId="1E2A11A1" w14:textId="77777777" w:rsidR="00413DD0" w:rsidRPr="00976377" w:rsidRDefault="00413DD0" w:rsidP="00223668">
      <w:pPr>
        <w:pStyle w:val="a0"/>
        <w:rPr>
          <w:rStyle w:val="af9"/>
          <w:b w:val="0"/>
          <w:bCs w:val="0"/>
        </w:rPr>
      </w:pPr>
      <w:r w:rsidRPr="003A5A12">
        <w:rPr>
          <w:rtl/>
        </w:rPr>
        <w:t xml:space="preserve">ודחה </w:t>
      </w:r>
      <w:r w:rsidRPr="00923F6A">
        <w:rPr>
          <w:rStyle w:val="af9"/>
          <w:rtl/>
        </w:rPr>
        <w:t xml:space="preserve">הש"ך </w:t>
      </w:r>
      <w:r>
        <w:rPr>
          <w:rFonts w:hint="cs"/>
          <w:rtl/>
        </w:rPr>
        <w:t xml:space="preserve">את דברי </w:t>
      </w:r>
      <w:r w:rsidRPr="00FB015B">
        <w:rPr>
          <w:rStyle w:val="af9"/>
          <w:rFonts w:hint="cs"/>
          <w:rtl/>
        </w:rPr>
        <w:t>המשאת בנימין</w:t>
      </w:r>
      <w:r>
        <w:rPr>
          <w:rFonts w:hint="cs"/>
          <w:rtl/>
        </w:rPr>
        <w:t xml:space="preserve"> </w:t>
      </w:r>
      <w:r w:rsidRPr="003A5A12">
        <w:rPr>
          <w:rtl/>
        </w:rPr>
        <w:t xml:space="preserve">דיש טעות סופר בדברי </w:t>
      </w:r>
      <w:r w:rsidRPr="00923F6A">
        <w:rPr>
          <w:rStyle w:val="af9"/>
          <w:rtl/>
        </w:rPr>
        <w:t>הרשב"א</w:t>
      </w:r>
      <w:r w:rsidRPr="00923F6A">
        <w:rPr>
          <w:rStyle w:val="af9"/>
          <w:rFonts w:hint="cs"/>
          <w:rtl/>
        </w:rPr>
        <w:t xml:space="preserve"> בתשו'</w:t>
      </w:r>
      <w:r w:rsidRPr="003A5A12">
        <w:rPr>
          <w:rtl/>
        </w:rPr>
        <w:t xml:space="preserve">, </w:t>
      </w:r>
      <w:r w:rsidRPr="00E43855">
        <w:rPr>
          <w:rtl/>
        </w:rPr>
        <w:t>וכדמוכח בתחילת דבריו דהתיר אף במקום שיש חזקה</w:t>
      </w:r>
      <w:r w:rsidRPr="00E43855">
        <w:rPr>
          <w:rFonts w:hint="cs"/>
          <w:rtl/>
        </w:rPr>
        <w:t xml:space="preserve">, ועוד דהא משמע </w:t>
      </w:r>
      <w:r w:rsidRPr="00E43855">
        <w:rPr>
          <w:rStyle w:val="af9"/>
          <w:rFonts w:hint="cs"/>
          <w:rtl/>
        </w:rPr>
        <w:t>ב</w:t>
      </w:r>
      <w:r w:rsidRPr="00E43855">
        <w:rPr>
          <w:rStyle w:val="af9"/>
          <w:rtl/>
        </w:rPr>
        <w:t>רשב"א</w:t>
      </w:r>
      <w:r w:rsidRPr="00E43855">
        <w:rPr>
          <w:rStyle w:val="af9"/>
          <w:rFonts w:hint="cs"/>
          <w:rtl/>
        </w:rPr>
        <w:t xml:space="preserve"> בתשו'</w:t>
      </w:r>
      <w:r w:rsidRPr="00E43855">
        <w:rPr>
          <w:rtl/>
        </w:rPr>
        <w:t xml:space="preserve"> </w:t>
      </w:r>
      <w:r w:rsidRPr="00E43855">
        <w:rPr>
          <w:rFonts w:hint="cs"/>
          <w:rtl/>
        </w:rPr>
        <w:t>שם דספק ספיקא מהני אף כנגד רוב וכ"ש דמהני כנגד חזקה, עיי"ש בדבריו</w:t>
      </w:r>
      <w:r>
        <w:rPr>
          <w:rFonts w:hint="cs"/>
          <w:rtl/>
        </w:rPr>
        <w:t xml:space="preserve">, ועי' במה שביאר </w:t>
      </w:r>
      <w:r w:rsidRPr="00697D67">
        <w:rPr>
          <w:rStyle w:val="af9"/>
          <w:rFonts w:hint="cs"/>
          <w:rtl/>
        </w:rPr>
        <w:t>הש"ך</w:t>
      </w:r>
      <w:r>
        <w:rPr>
          <w:rFonts w:hint="cs"/>
          <w:rtl/>
        </w:rPr>
        <w:t xml:space="preserve"> </w:t>
      </w:r>
      <w:r w:rsidRPr="00697D67">
        <w:rPr>
          <w:rStyle w:val="af7"/>
          <w:rFonts w:eastAsia="Guttman Hodes" w:hint="cs"/>
          <w:rtl/>
        </w:rPr>
        <w:t xml:space="preserve">(עי' אות </w:t>
      </w:r>
      <w:r w:rsidRPr="00697D67">
        <w:rPr>
          <w:rStyle w:val="af7"/>
          <w:rFonts w:eastAsia="Guttman Hodes"/>
          <w:rtl/>
        </w:rPr>
        <w:fldChar w:fldCharType="begin"/>
      </w:r>
      <w:r w:rsidRPr="00697D67">
        <w:rPr>
          <w:rStyle w:val="af7"/>
          <w:rFonts w:eastAsia="Guttman Hodes"/>
          <w:rtl/>
        </w:rPr>
        <w:instrText xml:space="preserve"> </w:instrText>
      </w:r>
      <w:r w:rsidRPr="00697D67">
        <w:rPr>
          <w:rStyle w:val="af7"/>
          <w:rFonts w:eastAsia="Guttman Hodes" w:hint="cs"/>
        </w:rPr>
        <w:instrText>REF</w:instrText>
      </w:r>
      <w:r w:rsidRPr="00697D67">
        <w:rPr>
          <w:rStyle w:val="af7"/>
          <w:rFonts w:eastAsia="Guttman Hodes" w:hint="cs"/>
          <w:rtl/>
        </w:rPr>
        <w:instrText xml:space="preserve"> _</w:instrText>
      </w:r>
      <w:r w:rsidRPr="00697D67">
        <w:rPr>
          <w:rStyle w:val="af7"/>
          <w:rFonts w:eastAsia="Guttman Hodes" w:hint="cs"/>
        </w:rPr>
        <w:instrText>Ref526502032 \r \h</w:instrText>
      </w:r>
      <w:r w:rsidRPr="00697D67">
        <w:rPr>
          <w:rStyle w:val="af7"/>
          <w:rFonts w:eastAsia="Guttman Hodes"/>
          <w:rtl/>
        </w:rPr>
        <w:instrText xml:space="preserve"> </w:instrText>
      </w:r>
      <w:r w:rsidRPr="00697D67">
        <w:rPr>
          <w:rStyle w:val="af7"/>
          <w:rFonts w:eastAsia="Guttman Hodes"/>
          <w:rtl/>
        </w:rPr>
      </w:r>
      <w:r w:rsidRPr="00697D67">
        <w:rPr>
          <w:rStyle w:val="af7"/>
          <w:rFonts w:eastAsia="Guttman Hodes"/>
          <w:rtl/>
        </w:rPr>
        <w:fldChar w:fldCharType="separate"/>
      </w:r>
      <w:r w:rsidR="00345400">
        <w:rPr>
          <w:rStyle w:val="af7"/>
          <w:rFonts w:eastAsia="Guttman Hodes"/>
          <w:cs/>
        </w:rPr>
        <w:t>‎</w:t>
      </w:r>
      <w:r w:rsidR="00345400">
        <w:rPr>
          <w:rStyle w:val="af7"/>
          <w:rFonts w:eastAsia="Guttman Hodes"/>
          <w:rtl/>
        </w:rPr>
        <w:t>מג)</w:t>
      </w:r>
      <w:r w:rsidRPr="00697D67">
        <w:rPr>
          <w:rStyle w:val="af7"/>
          <w:rFonts w:eastAsia="Guttman Hodes"/>
          <w:rtl/>
        </w:rPr>
        <w:fldChar w:fldCharType="end"/>
      </w:r>
      <w:r>
        <w:rPr>
          <w:rFonts w:hint="cs"/>
          <w:rtl/>
        </w:rPr>
        <w:t xml:space="preserve"> בדברי </w:t>
      </w:r>
      <w:r w:rsidRPr="00697D67">
        <w:rPr>
          <w:rStyle w:val="af9"/>
          <w:rFonts w:hint="cs"/>
          <w:rtl/>
        </w:rPr>
        <w:t>התוס'</w:t>
      </w:r>
      <w:r>
        <w:rPr>
          <w:rFonts w:hint="cs"/>
          <w:rtl/>
        </w:rPr>
        <w:t>.</w:t>
      </w:r>
      <w:bookmarkEnd w:id="5422"/>
      <w:bookmarkEnd w:id="5425"/>
    </w:p>
    <w:p w14:paraId="4EF30ADB" w14:textId="77777777" w:rsidR="00413DD0" w:rsidRPr="004B7399" w:rsidRDefault="00413DD0" w:rsidP="006D6D32">
      <w:pPr>
        <w:pStyle w:val="a3"/>
      </w:pPr>
      <w:bookmarkStart w:id="5428" w:name="_Toc19389609"/>
      <w:bookmarkStart w:id="5429" w:name="_Toc19393106"/>
      <w:r w:rsidRPr="004B7399">
        <w:rPr>
          <w:rFonts w:hint="cs"/>
          <w:rtl/>
        </w:rPr>
        <w:t>ביאור החוו"ד דכוונת הרשב"א לומר דבספק בשחיטה צריך לחדש בה היתר</w:t>
      </w:r>
      <w:bookmarkEnd w:id="5428"/>
      <w:bookmarkEnd w:id="5429"/>
    </w:p>
    <w:p w14:paraId="5CF44FD5" w14:textId="77777777" w:rsidR="00413DD0" w:rsidRDefault="00413DD0" w:rsidP="00ED1D84">
      <w:pPr>
        <w:pStyle w:val="a0"/>
        <w:rPr>
          <w:sz w:val="10"/>
          <w:szCs w:val="14"/>
          <w:rtl/>
        </w:rPr>
      </w:pPr>
      <w:r w:rsidRPr="00332DB6">
        <w:rPr>
          <w:rStyle w:val="af9"/>
          <w:rFonts w:hint="cs"/>
          <w:rtl/>
        </w:rPr>
        <w:t>והחוו"ד</w:t>
      </w:r>
      <w:r w:rsidRPr="00A26974">
        <w:rPr>
          <w:rFonts w:hint="cs"/>
          <w:rtl/>
        </w:rPr>
        <w:t xml:space="preserve"> </w:t>
      </w:r>
      <w:r w:rsidRPr="00332DB6">
        <w:rPr>
          <w:rStyle w:val="af7"/>
          <w:rFonts w:eastAsia="Guttman Hodes" w:hint="cs"/>
          <w:rtl/>
        </w:rPr>
        <w:t>(ק"י בית הספק על ס"ק כ"ז)</w:t>
      </w:r>
      <w:r>
        <w:rPr>
          <w:rFonts w:hint="cs"/>
          <w:rtl/>
        </w:rPr>
        <w:t xml:space="preserve"> ביאר דס"ל </w:t>
      </w:r>
      <w:r>
        <w:rPr>
          <w:rStyle w:val="af9"/>
          <w:rFonts w:hint="cs"/>
          <w:rtl/>
        </w:rPr>
        <w:t>ל</w:t>
      </w:r>
      <w:r w:rsidRPr="00332DB6">
        <w:rPr>
          <w:rStyle w:val="af9"/>
          <w:rFonts w:hint="cs"/>
          <w:rtl/>
        </w:rPr>
        <w:t>הרשב"א בתשו'</w:t>
      </w:r>
      <w:r>
        <w:rPr>
          <w:rFonts w:hint="cs"/>
          <w:rtl/>
        </w:rPr>
        <w:t xml:space="preserve"> דספק ספיקא מהני להתיר אף במקום חזקה, וא"צ להגיה בדבריו, </w:t>
      </w:r>
      <w:r w:rsidRPr="00A26974">
        <w:rPr>
          <w:rFonts w:hint="cs"/>
          <w:rtl/>
        </w:rPr>
        <w:t xml:space="preserve">אלא דכוונת </w:t>
      </w:r>
      <w:r w:rsidRPr="00332DB6">
        <w:rPr>
          <w:rStyle w:val="af9"/>
          <w:rFonts w:hint="cs"/>
          <w:rtl/>
        </w:rPr>
        <w:t>הרשב"א בתשו'</w:t>
      </w:r>
      <w:r>
        <w:rPr>
          <w:rFonts w:hint="cs"/>
          <w:rtl/>
        </w:rPr>
        <w:t xml:space="preserve"> לומר דכיון דס"ל לרב הונא כדביאר </w:t>
      </w:r>
      <w:r w:rsidRPr="007C2CC4">
        <w:rPr>
          <w:rStyle w:val="af9"/>
          <w:rFonts w:hint="cs"/>
          <w:rtl/>
        </w:rPr>
        <w:t>הרשב"א ביבמות</w:t>
      </w:r>
      <w:r w:rsidRPr="007C2CC4">
        <w:rPr>
          <w:rFonts w:hint="cs"/>
          <w:rtl/>
        </w:rPr>
        <w:t xml:space="preserve"> </w:t>
      </w:r>
      <w:r w:rsidRPr="006949BD">
        <w:rPr>
          <w:rStyle w:val="af7"/>
          <w:rFonts w:eastAsia="Guttman Hodes" w:hint="cs"/>
          <w:rtl/>
        </w:rPr>
        <w:t>(ל: ד"ה והא</w:t>
      </w:r>
      <w:r w:rsidR="00ED1D84">
        <w:rPr>
          <w:rStyle w:val="af7"/>
          <w:rFonts w:eastAsia="Guttman Hodes" w:hint="cs"/>
          <w:rtl/>
        </w:rPr>
        <w:t>, הובא בסימן</w:t>
      </w:r>
      <w:r>
        <w:rPr>
          <w:rStyle w:val="af7"/>
          <w:rFonts w:eastAsia="Guttman Hodes" w:hint="cs"/>
          <w:rtl/>
        </w:rPr>
        <w:t xml:space="preserve"> ב' אות ל"ב</w:t>
      </w:r>
      <w:r w:rsidRPr="006949BD">
        <w:rPr>
          <w:rStyle w:val="af7"/>
          <w:rFonts w:eastAsia="Guttman Hodes" w:hint="cs"/>
          <w:rtl/>
        </w:rPr>
        <w:t>)</w:t>
      </w:r>
      <w:r w:rsidRPr="007C2CC4">
        <w:rPr>
          <w:rFonts w:hint="cs"/>
          <w:rtl/>
        </w:rPr>
        <w:t xml:space="preserve"> </w:t>
      </w:r>
      <w:r>
        <w:rPr>
          <w:rFonts w:hint="cs"/>
          <w:rtl/>
        </w:rPr>
        <w:t>ד</w:t>
      </w:r>
      <w:r w:rsidRPr="00A26974">
        <w:rPr>
          <w:rFonts w:hint="cs"/>
          <w:rtl/>
        </w:rPr>
        <w:t xml:space="preserve">הביאור בחזקת איסור דרב הונא </w:t>
      </w:r>
      <w:r>
        <w:rPr>
          <w:rFonts w:hint="cs"/>
          <w:rtl/>
        </w:rPr>
        <w:t xml:space="preserve">הוא כיון שהבהמה אסורה כל זמן שלא מתה, </w:t>
      </w:r>
      <w:r w:rsidRPr="007B1E18">
        <w:rPr>
          <w:rStyle w:val="afb"/>
          <w:rFonts w:hint="cs"/>
          <w:rtl/>
        </w:rPr>
        <w:t xml:space="preserve">[או אם מתה ממילא או אם לא נשחטה כדין], </w:t>
      </w:r>
      <w:r>
        <w:rPr>
          <w:rFonts w:hint="cs"/>
          <w:rtl/>
        </w:rPr>
        <w:t>ובכדי להתירה צריך שתתחדש בה שחיטה כדין ורק בזה היא מותרת, ולכן כל שבא להתירה עליו להביא ראיה שנעשה בה מעשה שמתיר אותה.</w:t>
      </w:r>
    </w:p>
    <w:p w14:paraId="23A77F7D" w14:textId="77777777" w:rsidR="00413DD0" w:rsidRPr="00332DB6" w:rsidRDefault="00413DD0" w:rsidP="006D6D32">
      <w:pPr>
        <w:pStyle w:val="a3"/>
      </w:pPr>
      <w:bookmarkStart w:id="5430" w:name="_Toc19389610"/>
      <w:bookmarkStart w:id="5431" w:name="_Toc19393107"/>
      <w:r>
        <w:rPr>
          <w:rFonts w:hint="cs"/>
          <w:rtl/>
        </w:rPr>
        <w:t>דברי החוו"ד דלרב הונא כיון שאין ראיה שנתחדש בה שחיטה א"א לתלות או להתיר בספק ספיקא</w:t>
      </w:r>
      <w:bookmarkEnd w:id="5430"/>
      <w:bookmarkEnd w:id="5431"/>
    </w:p>
    <w:p w14:paraId="6BD2A178" w14:textId="77777777" w:rsidR="00413DD0" w:rsidRDefault="00413DD0" w:rsidP="00223668">
      <w:pPr>
        <w:pStyle w:val="a0"/>
        <w:rPr>
          <w:sz w:val="10"/>
          <w:szCs w:val="14"/>
          <w:rtl/>
        </w:rPr>
      </w:pPr>
      <w:r>
        <w:rPr>
          <w:rFonts w:hint="cs"/>
          <w:rtl/>
        </w:rPr>
        <w:t xml:space="preserve">וכתב </w:t>
      </w:r>
      <w:r w:rsidRPr="00332DB6">
        <w:rPr>
          <w:rStyle w:val="af9"/>
          <w:rFonts w:hint="cs"/>
          <w:rtl/>
        </w:rPr>
        <w:t>החוו"ד</w:t>
      </w:r>
      <w:r w:rsidRPr="00A26974">
        <w:rPr>
          <w:rFonts w:hint="cs"/>
          <w:rtl/>
        </w:rPr>
        <w:t xml:space="preserve"> </w:t>
      </w:r>
      <w:r w:rsidRPr="00332DB6">
        <w:rPr>
          <w:rStyle w:val="af7"/>
          <w:rFonts w:eastAsia="Guttman Hodes" w:hint="cs"/>
          <w:rtl/>
        </w:rPr>
        <w:t>(ק"י בית הספק על ס"ק כ"ז</w:t>
      </w:r>
      <w:r>
        <w:rPr>
          <w:rStyle w:val="af7"/>
          <w:rFonts w:eastAsia="Guttman Hodes" w:hint="cs"/>
          <w:rtl/>
        </w:rPr>
        <w:t xml:space="preserve"> ד"ה וזהו כוונת</w:t>
      </w:r>
      <w:r w:rsidRPr="00332DB6">
        <w:rPr>
          <w:rStyle w:val="af7"/>
          <w:rFonts w:eastAsia="Guttman Hodes" w:hint="cs"/>
          <w:rtl/>
        </w:rPr>
        <w:t>)</w:t>
      </w:r>
      <w:r>
        <w:rPr>
          <w:rFonts w:hint="cs"/>
          <w:rtl/>
        </w:rPr>
        <w:t xml:space="preserve"> ד</w:t>
      </w:r>
      <w:r w:rsidRPr="00A26974">
        <w:rPr>
          <w:rFonts w:hint="cs"/>
          <w:rtl/>
        </w:rPr>
        <w:t xml:space="preserve">לכן </w:t>
      </w:r>
      <w:r>
        <w:rPr>
          <w:rFonts w:hint="cs"/>
          <w:rtl/>
        </w:rPr>
        <w:t>ס"ל לרב הונא ד</w:t>
      </w:r>
      <w:r w:rsidRPr="00A26974">
        <w:rPr>
          <w:rFonts w:hint="cs"/>
          <w:rtl/>
        </w:rPr>
        <w:t xml:space="preserve">אף אם שיבר בה עצמות שיש רוב לתלות את הפגימה בעצמות, ואין ספק פגימה בעור מוציאה מודאי פגימת עצם, מ"מ כיון שהיא בחזקת איסור לא מהני להתיר, ולחדש שנעשה בה מעשה שחיטה כראוי, וכ"ש במקום שיש ספק ספיקא דלא מהני הספק ספיקא להתיר, ולומר שנעשה בה מעשה שחיטה כראוי כנגד החזקת איסור. ורק בשאר ספיקות שמהני בהם רוב להתיר, וכן מהני בהו אין ספק מוציא מידי ודאי להתיר, ולכן אף ספק ספיקא מהני להתיר. </w:t>
      </w:r>
      <w:r w:rsidRPr="00A26974">
        <w:rPr>
          <w:rStyle w:val="afb"/>
          <w:rFonts w:hint="cs"/>
          <w:rtl/>
        </w:rPr>
        <w:t xml:space="preserve">[וע"ע בדברי </w:t>
      </w:r>
      <w:r w:rsidRPr="001C6EB1">
        <w:rPr>
          <w:rStyle w:val="affa"/>
          <w:rFonts w:hint="cs"/>
          <w:rtl/>
        </w:rPr>
        <w:t>החוו"ד</w:t>
      </w:r>
      <w:r w:rsidRPr="00A26974">
        <w:rPr>
          <w:rStyle w:val="afb"/>
          <w:rFonts w:hint="cs"/>
          <w:rtl/>
        </w:rPr>
        <w:t xml:space="preserve"> </w:t>
      </w:r>
      <w:r w:rsidRPr="001C6EB1">
        <w:rPr>
          <w:rStyle w:val="aff6"/>
          <w:rFonts w:hint="cs"/>
          <w:rtl/>
        </w:rPr>
        <w:t>(ק"י בית הספק ס"ק י"ג)</w:t>
      </w:r>
      <w:r w:rsidRPr="00A26974">
        <w:rPr>
          <w:rStyle w:val="afb"/>
          <w:rFonts w:hint="cs"/>
          <w:rtl/>
        </w:rPr>
        <w:t xml:space="preserve"> דכתב דהספק ספיקא בסכין, אינו ספק ספיקא המתהפך, דאי אמרינן שנפגם במיעוט בתרא א"א לומר שנפגם במפרקת, וע"ע </w:t>
      </w:r>
      <w:r w:rsidRPr="001C6EB1">
        <w:rPr>
          <w:rStyle w:val="affa"/>
          <w:rFonts w:hint="cs"/>
          <w:rtl/>
        </w:rPr>
        <w:t>בפרמ"ג</w:t>
      </w:r>
      <w:r w:rsidRPr="00A26974">
        <w:rPr>
          <w:rStyle w:val="afb"/>
          <w:rFonts w:hint="cs"/>
          <w:rtl/>
        </w:rPr>
        <w:t xml:space="preserve"> </w:t>
      </w:r>
      <w:r w:rsidRPr="001C6EB1">
        <w:rPr>
          <w:rStyle w:val="aff6"/>
          <w:rFonts w:hint="cs"/>
          <w:rtl/>
        </w:rPr>
        <w:t>(י"ח שפ"ד א')</w:t>
      </w:r>
      <w:r w:rsidRPr="00A26974">
        <w:rPr>
          <w:rStyle w:val="afb"/>
          <w:rFonts w:hint="cs"/>
          <w:rtl/>
        </w:rPr>
        <w:t>].</w:t>
      </w:r>
    </w:p>
    <w:p w14:paraId="0A89683E" w14:textId="77777777" w:rsidR="00413DD0" w:rsidRDefault="00413DD0" w:rsidP="006D6D32">
      <w:pPr>
        <w:pStyle w:val="a3"/>
        <w:rPr>
          <w:rtl/>
        </w:rPr>
      </w:pPr>
      <w:bookmarkStart w:id="5432" w:name="_Toc19389611"/>
      <w:bookmarkStart w:id="5433" w:name="_Toc19393108"/>
      <w:r>
        <w:rPr>
          <w:rFonts w:hint="cs"/>
          <w:rtl/>
        </w:rPr>
        <w:t>דברי הפנ"י דס"ל להרשב"א דל"מ ס"ס להתיר ולכן אסר רב הונא</w:t>
      </w:r>
      <w:bookmarkEnd w:id="5432"/>
      <w:bookmarkEnd w:id="5433"/>
    </w:p>
    <w:p w14:paraId="5470B883" w14:textId="77777777" w:rsidR="00413DD0" w:rsidRPr="000E3E5F" w:rsidRDefault="00413DD0" w:rsidP="00223668">
      <w:pPr>
        <w:pStyle w:val="a0"/>
        <w:rPr>
          <w:rtl/>
        </w:rPr>
      </w:pPr>
      <w:bookmarkStart w:id="5434" w:name="_Ref526501880"/>
      <w:r w:rsidRPr="0090085C">
        <w:rPr>
          <w:rStyle w:val="af9"/>
          <w:rFonts w:hint="cs"/>
          <w:rtl/>
        </w:rPr>
        <w:t>והפנ"י</w:t>
      </w:r>
      <w:r>
        <w:rPr>
          <w:rFonts w:hint="cs"/>
          <w:rtl/>
        </w:rPr>
        <w:t xml:space="preserve"> </w:t>
      </w:r>
      <w:r w:rsidRPr="00A85454">
        <w:rPr>
          <w:rStyle w:val="af7"/>
          <w:rFonts w:eastAsia="Guttman Hodes" w:hint="cs"/>
          <w:rtl/>
        </w:rPr>
        <w:t>(</w:t>
      </w:r>
      <w:r>
        <w:rPr>
          <w:rStyle w:val="af7"/>
          <w:rFonts w:eastAsia="Guttman Hodes" w:hint="cs"/>
          <w:rtl/>
        </w:rPr>
        <w:t>סו</w:t>
      </w:r>
      <w:r w:rsidRPr="00A85454">
        <w:rPr>
          <w:rStyle w:val="af7"/>
          <w:rFonts w:eastAsia="Guttman Hodes" w:hint="cs"/>
          <w:rtl/>
        </w:rPr>
        <w:t>ד"ה ולפי"ז נראה)</w:t>
      </w:r>
      <w:r>
        <w:rPr>
          <w:rFonts w:hint="cs"/>
          <w:rtl/>
        </w:rPr>
        <w:t xml:space="preserve"> כתב דא"צ להגיה </w:t>
      </w:r>
      <w:r w:rsidRPr="0090085C">
        <w:rPr>
          <w:rStyle w:val="af9"/>
          <w:rFonts w:hint="cs"/>
          <w:rtl/>
        </w:rPr>
        <w:t>ברשב"א בתשו'</w:t>
      </w:r>
      <w:r>
        <w:rPr>
          <w:rFonts w:hint="cs"/>
          <w:rtl/>
        </w:rPr>
        <w:t xml:space="preserve"> וס"ל דלא מהני ספק ספיקא להתיר במקום חזקה, ולכן אסר רב הונא, ומה שמשמע </w:t>
      </w:r>
      <w:r w:rsidRPr="0090085C">
        <w:rPr>
          <w:rStyle w:val="af9"/>
          <w:rFonts w:hint="cs"/>
          <w:rtl/>
        </w:rPr>
        <w:t>הרשב"א בסוגיין</w:t>
      </w:r>
      <w:r>
        <w:rPr>
          <w:rFonts w:hint="cs"/>
          <w:rtl/>
        </w:rPr>
        <w:t xml:space="preserve"> </w:t>
      </w:r>
      <w:r w:rsidRPr="0090085C">
        <w:rPr>
          <w:rStyle w:val="af7"/>
          <w:rFonts w:eastAsia="Guttman Hodes" w:hint="cs"/>
          <w:rtl/>
        </w:rPr>
        <w:t xml:space="preserve">(עי' אות </w:t>
      </w:r>
      <w:r w:rsidRPr="0090085C">
        <w:rPr>
          <w:rStyle w:val="af7"/>
          <w:rFonts w:eastAsia="Guttman Hodes"/>
          <w:rtl/>
        </w:rPr>
        <w:fldChar w:fldCharType="begin"/>
      </w:r>
      <w:r w:rsidRPr="0090085C">
        <w:rPr>
          <w:rStyle w:val="af7"/>
          <w:rFonts w:eastAsia="Guttman Hodes"/>
          <w:rtl/>
        </w:rPr>
        <w:instrText xml:space="preserve"> </w:instrText>
      </w:r>
      <w:r w:rsidRPr="0090085C">
        <w:rPr>
          <w:rStyle w:val="af7"/>
          <w:rFonts w:eastAsia="Guttman Hodes" w:hint="cs"/>
        </w:rPr>
        <w:instrText>REF</w:instrText>
      </w:r>
      <w:r w:rsidRPr="0090085C">
        <w:rPr>
          <w:rStyle w:val="af7"/>
          <w:rFonts w:eastAsia="Guttman Hodes" w:hint="cs"/>
          <w:rtl/>
        </w:rPr>
        <w:instrText xml:space="preserve"> _</w:instrText>
      </w:r>
      <w:r w:rsidRPr="0090085C">
        <w:rPr>
          <w:rStyle w:val="af7"/>
          <w:rFonts w:eastAsia="Guttman Hodes" w:hint="cs"/>
        </w:rPr>
        <w:instrText>Ref526246404 \r \h</w:instrText>
      </w:r>
      <w:r w:rsidRPr="0090085C">
        <w:rPr>
          <w:rStyle w:val="af7"/>
          <w:rFonts w:eastAsia="Guttman Hodes"/>
          <w:rtl/>
        </w:rPr>
        <w:instrText xml:space="preserve"> </w:instrText>
      </w:r>
      <w:r w:rsidRPr="0090085C">
        <w:rPr>
          <w:rStyle w:val="af7"/>
          <w:rFonts w:eastAsia="Guttman Hodes"/>
          <w:rtl/>
        </w:rPr>
      </w:r>
      <w:r w:rsidRPr="0090085C">
        <w:rPr>
          <w:rStyle w:val="af7"/>
          <w:rFonts w:eastAsia="Guttman Hodes"/>
          <w:rtl/>
        </w:rPr>
        <w:fldChar w:fldCharType="separate"/>
      </w:r>
      <w:r w:rsidR="00345400">
        <w:rPr>
          <w:rStyle w:val="af7"/>
          <w:rFonts w:eastAsia="Guttman Hodes"/>
          <w:cs/>
        </w:rPr>
        <w:t>‎</w:t>
      </w:r>
      <w:r w:rsidR="00345400">
        <w:rPr>
          <w:rStyle w:val="af7"/>
          <w:rFonts w:eastAsia="Guttman Hodes"/>
          <w:rtl/>
        </w:rPr>
        <w:t>לו)</w:t>
      </w:r>
      <w:r w:rsidRPr="0090085C">
        <w:rPr>
          <w:rStyle w:val="af7"/>
          <w:rFonts w:eastAsia="Guttman Hodes"/>
          <w:rtl/>
        </w:rPr>
        <w:fldChar w:fldCharType="end"/>
      </w:r>
      <w:r>
        <w:rPr>
          <w:rFonts w:hint="cs"/>
          <w:rtl/>
        </w:rPr>
        <w:t xml:space="preserve"> דרב חסדא התיר מדין ספק ספקא, אין כוונתו דזהו ההיתר לרב חסדא, אלא דבא ליישב את הקושיה ממקוה וכדביאר </w:t>
      </w:r>
      <w:r w:rsidRPr="0090085C">
        <w:rPr>
          <w:rStyle w:val="af9"/>
          <w:rFonts w:hint="cs"/>
          <w:rtl/>
        </w:rPr>
        <w:t>הפנ"י בתוס'</w:t>
      </w:r>
      <w:r>
        <w:rPr>
          <w:rFonts w:hint="cs"/>
          <w:rtl/>
        </w:rPr>
        <w:t xml:space="preserve"> </w:t>
      </w:r>
      <w:r w:rsidRPr="0090085C">
        <w:rPr>
          <w:rStyle w:val="af7"/>
          <w:rFonts w:eastAsia="Guttman Hodes" w:hint="cs"/>
          <w:rtl/>
        </w:rPr>
        <w:t xml:space="preserve">(עי' אות </w:t>
      </w:r>
      <w:r w:rsidRPr="0090085C">
        <w:rPr>
          <w:rStyle w:val="af7"/>
          <w:rFonts w:eastAsia="Guttman Hodes"/>
          <w:rtl/>
        </w:rPr>
        <w:fldChar w:fldCharType="begin"/>
      </w:r>
      <w:r w:rsidRPr="0090085C">
        <w:rPr>
          <w:rStyle w:val="af7"/>
          <w:rFonts w:eastAsia="Guttman Hodes"/>
          <w:rtl/>
        </w:rPr>
        <w:instrText xml:space="preserve"> </w:instrText>
      </w:r>
      <w:r w:rsidRPr="0090085C">
        <w:rPr>
          <w:rStyle w:val="af7"/>
          <w:rFonts w:eastAsia="Guttman Hodes" w:hint="cs"/>
        </w:rPr>
        <w:instrText>REF</w:instrText>
      </w:r>
      <w:r w:rsidRPr="0090085C">
        <w:rPr>
          <w:rStyle w:val="af7"/>
          <w:rFonts w:eastAsia="Guttman Hodes" w:hint="cs"/>
          <w:rtl/>
        </w:rPr>
        <w:instrText xml:space="preserve"> _</w:instrText>
      </w:r>
      <w:r w:rsidRPr="0090085C">
        <w:rPr>
          <w:rStyle w:val="af7"/>
          <w:rFonts w:eastAsia="Guttman Hodes" w:hint="cs"/>
        </w:rPr>
        <w:instrText>Ref526501823 \r \h</w:instrText>
      </w:r>
      <w:r w:rsidRPr="0090085C">
        <w:rPr>
          <w:rStyle w:val="af7"/>
          <w:rFonts w:eastAsia="Guttman Hodes"/>
          <w:rtl/>
        </w:rPr>
        <w:instrText xml:space="preserve"> </w:instrText>
      </w:r>
      <w:r w:rsidRPr="0090085C">
        <w:rPr>
          <w:rStyle w:val="af7"/>
          <w:rFonts w:eastAsia="Guttman Hodes"/>
          <w:rtl/>
        </w:rPr>
      </w:r>
      <w:r w:rsidRPr="0090085C">
        <w:rPr>
          <w:rStyle w:val="af7"/>
          <w:rFonts w:eastAsia="Guttman Hodes"/>
          <w:rtl/>
        </w:rPr>
        <w:fldChar w:fldCharType="separate"/>
      </w:r>
      <w:r w:rsidR="00345400">
        <w:rPr>
          <w:rStyle w:val="af7"/>
          <w:rFonts w:eastAsia="Guttman Hodes"/>
          <w:cs/>
        </w:rPr>
        <w:t>‎</w:t>
      </w:r>
      <w:r w:rsidR="00345400">
        <w:rPr>
          <w:rStyle w:val="af7"/>
          <w:rFonts w:eastAsia="Guttman Hodes"/>
          <w:rtl/>
        </w:rPr>
        <w:t>מז)</w:t>
      </w:r>
      <w:r w:rsidRPr="0090085C">
        <w:rPr>
          <w:rStyle w:val="af7"/>
          <w:rFonts w:eastAsia="Guttman Hodes"/>
          <w:rtl/>
        </w:rPr>
        <w:fldChar w:fldCharType="end"/>
      </w:r>
      <w:r>
        <w:rPr>
          <w:rFonts w:hint="cs"/>
          <w:rtl/>
        </w:rPr>
        <w:t>.</w:t>
      </w:r>
      <w:bookmarkEnd w:id="5434"/>
      <w:r>
        <w:rPr>
          <w:rFonts w:hint="cs"/>
          <w:rtl/>
        </w:rPr>
        <w:t xml:space="preserve"> </w:t>
      </w:r>
    </w:p>
    <w:p w14:paraId="036356F4" w14:textId="77777777" w:rsidR="00413DD0" w:rsidRDefault="00413DD0" w:rsidP="00BF39B2">
      <w:pPr>
        <w:pStyle w:val="1"/>
        <w:rPr>
          <w:rtl/>
        </w:rPr>
      </w:pPr>
      <w:bookmarkStart w:id="5435" w:name="_Toc526249213"/>
      <w:bookmarkStart w:id="5436" w:name="_Toc526416009"/>
      <w:bookmarkStart w:id="5437" w:name="_Toc526418227"/>
      <w:bookmarkStart w:id="5438" w:name="_Toc19389612"/>
      <w:bookmarkStart w:id="5439" w:name="_Toc19393109"/>
      <w:bookmarkStart w:id="5440" w:name="_Toc525594368"/>
      <w:bookmarkStart w:id="5441" w:name="_Toc523490349"/>
      <w:bookmarkStart w:id="5442" w:name="_Toc523697972"/>
      <w:bookmarkStart w:id="5443" w:name="_Toc523760837"/>
      <w:bookmarkStart w:id="5444" w:name="_Toc524638705"/>
      <w:bookmarkEnd w:id="5362"/>
      <w:bookmarkEnd w:id="5363"/>
      <w:bookmarkEnd w:id="5383"/>
      <w:bookmarkEnd w:id="5384"/>
      <w:bookmarkEnd w:id="5385"/>
      <w:bookmarkEnd w:id="5386"/>
      <w:r w:rsidRPr="00A13032">
        <w:rPr>
          <w:rFonts w:hint="cs"/>
          <w:rtl/>
        </w:rPr>
        <w:t xml:space="preserve">ביאור החזו"א </w:t>
      </w:r>
      <w:bookmarkEnd w:id="5435"/>
      <w:bookmarkEnd w:id="5436"/>
      <w:bookmarkEnd w:id="5437"/>
      <w:r>
        <w:rPr>
          <w:rFonts w:hint="cs"/>
          <w:rtl/>
        </w:rPr>
        <w:t>היאך התיר ר"ח מחמת ס"ס כנגד חזקה</w:t>
      </w:r>
      <w:bookmarkEnd w:id="5438"/>
      <w:bookmarkEnd w:id="5439"/>
    </w:p>
    <w:p w14:paraId="150B8E8F" w14:textId="77777777" w:rsidR="00413DD0" w:rsidRPr="000468E8" w:rsidRDefault="00413DD0" w:rsidP="006D6D32">
      <w:pPr>
        <w:pStyle w:val="a3"/>
        <w:rPr>
          <w:rtl/>
        </w:rPr>
      </w:pPr>
      <w:bookmarkStart w:id="5445" w:name="_Toc526249214"/>
      <w:bookmarkStart w:id="5446" w:name="_Toc526416010"/>
      <w:bookmarkStart w:id="5447" w:name="_Toc526418228"/>
      <w:bookmarkStart w:id="5448" w:name="_Toc19389613"/>
      <w:bookmarkStart w:id="5449" w:name="_Toc19393110"/>
      <w:r>
        <w:rPr>
          <w:rFonts w:hint="cs"/>
          <w:rtl/>
        </w:rPr>
        <w:t>דברי החזו"א דאין ספק ספיקא מתיר כנגד החזקת איסור דהיא אלימא יותר מחזקת הבדוק של הסכין</w:t>
      </w:r>
      <w:bookmarkEnd w:id="5445"/>
      <w:bookmarkEnd w:id="5446"/>
      <w:bookmarkEnd w:id="5447"/>
      <w:bookmarkEnd w:id="5448"/>
      <w:bookmarkEnd w:id="5449"/>
    </w:p>
    <w:bookmarkEnd w:id="5440"/>
    <w:p w14:paraId="7768B519" w14:textId="77777777" w:rsidR="00413DD0" w:rsidRDefault="00413DD0" w:rsidP="00223668">
      <w:pPr>
        <w:pStyle w:val="a0"/>
        <w:rPr>
          <w:rtl/>
        </w:rPr>
      </w:pPr>
      <w:r>
        <w:rPr>
          <w:rFonts w:hint="cs"/>
          <w:rtl/>
        </w:rPr>
        <w:t xml:space="preserve">כתב </w:t>
      </w:r>
      <w:r w:rsidRPr="001E4A91">
        <w:rPr>
          <w:rStyle w:val="af9"/>
          <w:rFonts w:hint="cs"/>
          <w:rtl/>
        </w:rPr>
        <w:t>החזו"א</w:t>
      </w:r>
      <w:r w:rsidRPr="0030448E">
        <w:rPr>
          <w:rStyle w:val="af7"/>
          <w:rFonts w:eastAsia="Guttman Hodes" w:hint="cs"/>
          <w:rtl/>
        </w:rPr>
        <w:t xml:space="preserve"> (כתובות סי' פ' כ"ג)</w:t>
      </w:r>
      <w:r>
        <w:rPr>
          <w:rFonts w:hint="cs"/>
          <w:rtl/>
        </w:rPr>
        <w:t xml:space="preserve"> דהא דבלא שיבר בה עצמות קיי"ל כרב הונא דאסורה ולא אמרינן דהבהמה מותרת, מחמת ספק ספיקא דשמא לא נפגם, ואת"ל דנפגם שמא שחט שלא כנגד הפגימה, הוא כיון שבמקום שיש חזקת איסור לא מהני הספק ספיקא להתיר, ואף שיש סתירא בין החזקות, מ"מ כיון שיש תרתי לריעותא, החזקת איסור בבהמה אלימא יותר מהחזקת בדוק בסכין, ולכן לא מהני הספק ספיקא כנגד החזקה.</w:t>
      </w:r>
    </w:p>
    <w:p w14:paraId="06F88648" w14:textId="77777777" w:rsidR="00413DD0" w:rsidRDefault="00413DD0" w:rsidP="006D6D32">
      <w:pPr>
        <w:pStyle w:val="a3"/>
        <w:rPr>
          <w:rtl/>
        </w:rPr>
      </w:pPr>
      <w:bookmarkStart w:id="5450" w:name="_Toc526249215"/>
      <w:bookmarkStart w:id="5451" w:name="_Toc526416011"/>
      <w:bookmarkStart w:id="5452" w:name="_Toc526418229"/>
      <w:bookmarkStart w:id="5453" w:name="_Toc19389614"/>
      <w:bookmarkStart w:id="5454" w:name="_Toc19393111"/>
      <w:r>
        <w:rPr>
          <w:rFonts w:hint="cs"/>
          <w:rtl/>
        </w:rPr>
        <w:t>דברי החזו"א דלמ"ד דמהני ס"ס כנגד חזקה צ"ל דאי"ז ספק ספיקא</w:t>
      </w:r>
      <w:bookmarkEnd w:id="5450"/>
      <w:bookmarkEnd w:id="5451"/>
      <w:bookmarkEnd w:id="5452"/>
      <w:bookmarkEnd w:id="5453"/>
      <w:bookmarkEnd w:id="5454"/>
    </w:p>
    <w:p w14:paraId="074437ED" w14:textId="77777777" w:rsidR="00413DD0" w:rsidRPr="005A629F" w:rsidRDefault="00413DD0" w:rsidP="00223668">
      <w:pPr>
        <w:pStyle w:val="a0"/>
        <w:rPr>
          <w:rtl/>
        </w:rPr>
      </w:pPr>
      <w:r>
        <w:rPr>
          <w:rFonts w:hint="cs"/>
          <w:rtl/>
        </w:rPr>
        <w:t xml:space="preserve">ובדעת המ"ד דמהני ספק ספיקא נגד חזקה כתב </w:t>
      </w:r>
      <w:r w:rsidRPr="001E4A91">
        <w:rPr>
          <w:rStyle w:val="af9"/>
          <w:rFonts w:hint="cs"/>
          <w:rtl/>
        </w:rPr>
        <w:t>החזו"א</w:t>
      </w:r>
      <w:r>
        <w:rPr>
          <w:rFonts w:hint="cs"/>
          <w:rtl/>
        </w:rPr>
        <w:t xml:space="preserve"> דצ"ל דבסכין אי"ז נחשב לספק ספיקא, דמצוי ששוחט בכל הסכין, וא"כ אמרינן דשחט אף במקום הפגימה, </w:t>
      </w:r>
      <w:r w:rsidRPr="000468E8">
        <w:rPr>
          <w:rStyle w:val="afb"/>
          <w:rFonts w:hint="cs"/>
          <w:rtl/>
        </w:rPr>
        <w:t xml:space="preserve">[כדכתב </w:t>
      </w:r>
      <w:r w:rsidRPr="000468E8">
        <w:rPr>
          <w:rStyle w:val="affa"/>
          <w:rFonts w:hint="cs"/>
          <w:rtl/>
        </w:rPr>
        <w:t>הש"ך</w:t>
      </w:r>
      <w:r w:rsidRPr="000468E8">
        <w:rPr>
          <w:rStyle w:val="afb"/>
          <w:rFonts w:hint="cs"/>
          <w:rtl/>
        </w:rPr>
        <w:t xml:space="preserve"> </w:t>
      </w:r>
      <w:r w:rsidRPr="0003425D">
        <w:rPr>
          <w:rStyle w:val="aff6"/>
          <w:rFonts w:hint="cs"/>
          <w:rtl/>
        </w:rPr>
        <w:t xml:space="preserve">(עי' אות </w:t>
      </w:r>
      <w:r w:rsidRPr="0003425D">
        <w:rPr>
          <w:rStyle w:val="aff6"/>
          <w:rtl/>
        </w:rPr>
        <w:fldChar w:fldCharType="begin"/>
      </w:r>
      <w:r w:rsidRPr="0003425D">
        <w:rPr>
          <w:rStyle w:val="aff6"/>
          <w:rtl/>
        </w:rPr>
        <w:instrText xml:space="preserve"> </w:instrText>
      </w:r>
      <w:r w:rsidRPr="0003425D">
        <w:rPr>
          <w:rStyle w:val="aff6"/>
          <w:rFonts w:hint="cs"/>
        </w:rPr>
        <w:instrText>REF</w:instrText>
      </w:r>
      <w:r w:rsidRPr="0003425D">
        <w:rPr>
          <w:rStyle w:val="aff6"/>
          <w:rFonts w:hint="cs"/>
          <w:rtl/>
        </w:rPr>
        <w:instrText xml:space="preserve"> _</w:instrText>
      </w:r>
      <w:r w:rsidRPr="0003425D">
        <w:rPr>
          <w:rStyle w:val="aff6"/>
          <w:rFonts w:hint="cs"/>
        </w:rPr>
        <w:instrText>Ref525765347 \r \h</w:instrText>
      </w:r>
      <w:r w:rsidRPr="0003425D">
        <w:rPr>
          <w:rStyle w:val="aff6"/>
          <w:rtl/>
        </w:rPr>
        <w:instrText xml:space="preserve"> </w:instrText>
      </w:r>
      <w:r w:rsidRPr="0003425D">
        <w:rPr>
          <w:rStyle w:val="aff6"/>
          <w:rtl/>
        </w:rPr>
      </w:r>
      <w:r w:rsidRPr="0003425D">
        <w:rPr>
          <w:rStyle w:val="aff6"/>
          <w:rtl/>
        </w:rPr>
        <w:fldChar w:fldCharType="separate"/>
      </w:r>
      <w:r w:rsidR="00345400">
        <w:rPr>
          <w:rStyle w:val="aff6"/>
          <w:cs/>
        </w:rPr>
        <w:t>‎</w:t>
      </w:r>
      <w:r w:rsidR="00345400">
        <w:rPr>
          <w:rStyle w:val="aff6"/>
          <w:rtl/>
        </w:rPr>
        <w:t>מד)</w:t>
      </w:r>
      <w:r w:rsidRPr="0003425D">
        <w:rPr>
          <w:rStyle w:val="aff6"/>
          <w:rtl/>
        </w:rPr>
        <w:fldChar w:fldCharType="end"/>
      </w:r>
      <w:r w:rsidRPr="000468E8">
        <w:rPr>
          <w:rStyle w:val="afb"/>
          <w:rFonts w:hint="cs"/>
          <w:rtl/>
        </w:rPr>
        <w:t>],</w:t>
      </w:r>
      <w:r>
        <w:rPr>
          <w:rFonts w:hint="cs"/>
          <w:rtl/>
        </w:rPr>
        <w:t xml:space="preserve"> ועוד ביאר </w:t>
      </w:r>
      <w:r w:rsidRPr="001E4A91">
        <w:rPr>
          <w:rStyle w:val="af9"/>
          <w:rFonts w:hint="cs"/>
          <w:rtl/>
        </w:rPr>
        <w:t>החזו"א</w:t>
      </w:r>
      <w:r>
        <w:rPr>
          <w:rFonts w:hint="cs"/>
          <w:rtl/>
        </w:rPr>
        <w:t xml:space="preserve"> דאפש"ל דאף למ"ד דלא מהני ספק ספיקא כנגד חזקה, הכא מודה דמהני כיון כיון שיש סתירה בין החזקות, והחזקת סכין מצטרפת לספק ספיקא, ומוציאין את הבהמה מהחזקת איסור, וא"כ לכו"ע צ"ל דהכא אי"ז נחשב ספק ספיקא, דמצוי ששוחט בכל הסכין.</w:t>
      </w:r>
    </w:p>
    <w:p w14:paraId="5F222250" w14:textId="77777777" w:rsidR="00413DD0" w:rsidRDefault="00413DD0" w:rsidP="006D6D32">
      <w:pPr>
        <w:pStyle w:val="a3"/>
        <w:rPr>
          <w:rtl/>
        </w:rPr>
      </w:pPr>
      <w:bookmarkStart w:id="5455" w:name="_Toc526249216"/>
      <w:bookmarkStart w:id="5456" w:name="_Toc526416012"/>
      <w:bookmarkStart w:id="5457" w:name="_Toc526418230"/>
      <w:bookmarkStart w:id="5458" w:name="_Toc19389615"/>
      <w:bookmarkStart w:id="5459" w:name="_Toc19393112"/>
      <w:r>
        <w:rPr>
          <w:rFonts w:hint="cs"/>
          <w:rtl/>
        </w:rPr>
        <w:t>דברי החזו"א דלתוס' לר"ח מהני ס"ס כנגד החזקה או דמהני כיון שיש סתירה בחזקות</w:t>
      </w:r>
      <w:bookmarkEnd w:id="5455"/>
      <w:bookmarkEnd w:id="5456"/>
      <w:bookmarkEnd w:id="5457"/>
      <w:bookmarkEnd w:id="5458"/>
      <w:bookmarkEnd w:id="5459"/>
    </w:p>
    <w:p w14:paraId="3B8B3F23" w14:textId="77777777" w:rsidR="00413DD0" w:rsidRDefault="00413DD0" w:rsidP="00223668">
      <w:pPr>
        <w:pStyle w:val="a0"/>
        <w:rPr>
          <w:rtl/>
        </w:rPr>
      </w:pPr>
      <w:r w:rsidRPr="00482DED">
        <w:rPr>
          <w:rFonts w:hint="cs"/>
          <w:rtl/>
        </w:rPr>
        <w:t>ובביאור דעת רב חסדא</w:t>
      </w:r>
      <w:r>
        <w:rPr>
          <w:rStyle w:val="af9"/>
          <w:rFonts w:hint="cs"/>
          <w:rtl/>
        </w:rPr>
        <w:t xml:space="preserve"> לה</w:t>
      </w:r>
      <w:r w:rsidRPr="002E477D">
        <w:rPr>
          <w:rStyle w:val="af9"/>
          <w:rFonts w:hint="cs"/>
          <w:rtl/>
        </w:rPr>
        <w:t>תירוץ ה</w:t>
      </w:r>
      <w:r>
        <w:rPr>
          <w:rStyle w:val="af9"/>
          <w:rFonts w:hint="cs"/>
          <w:rtl/>
        </w:rPr>
        <w:t>ג</w:t>
      </w:r>
      <w:r w:rsidRPr="002E477D">
        <w:rPr>
          <w:rStyle w:val="af9"/>
          <w:rFonts w:hint="cs"/>
          <w:rtl/>
        </w:rPr>
        <w:t>' בתוס'</w:t>
      </w:r>
      <w:r>
        <w:rPr>
          <w:rFonts w:hint="cs"/>
          <w:rtl/>
        </w:rPr>
        <w:t xml:space="preserve"> ביאר </w:t>
      </w:r>
      <w:r w:rsidRPr="002E477D">
        <w:rPr>
          <w:rStyle w:val="af9"/>
          <w:rFonts w:hint="cs"/>
          <w:rtl/>
        </w:rPr>
        <w:t>החזו"א</w:t>
      </w:r>
      <w:r>
        <w:rPr>
          <w:rFonts w:hint="cs"/>
          <w:rtl/>
        </w:rPr>
        <w:t xml:space="preserve"> </w:t>
      </w:r>
      <w:r w:rsidRPr="00072DA9">
        <w:rPr>
          <w:rStyle w:val="af7"/>
          <w:rFonts w:eastAsia="Guttman Hodes" w:hint="cs"/>
          <w:rtl/>
        </w:rPr>
        <w:t xml:space="preserve">(כתובות סי' פ' כ"ג ד"ה ובתירוץ ג') </w:t>
      </w:r>
      <w:r>
        <w:rPr>
          <w:rFonts w:hint="cs"/>
          <w:rtl/>
        </w:rPr>
        <w:t xml:space="preserve">דאף לרב חסדא אין חילוק אם הריעותא היא בגוף הבהמה, או רק בסכין, וכן אין חילוק בין חסר ואתאי לנחסר בבת אחת, אלא דרב חסדא התיר כיון שיש ספק ספיקא, שמא לא נפגם, ואת"ל דנפגם שמא לא שחט במקום הפגימה, ואף למ"ד דלא מהני ספק ספיקא כנגד חזקה, ביאר </w:t>
      </w:r>
      <w:r w:rsidRPr="00C82B53">
        <w:rPr>
          <w:rStyle w:val="af9"/>
          <w:rFonts w:hint="cs"/>
          <w:rtl/>
        </w:rPr>
        <w:t>החזו"א</w:t>
      </w:r>
      <w:r>
        <w:rPr>
          <w:rFonts w:hint="cs"/>
          <w:rtl/>
        </w:rPr>
        <w:t xml:space="preserve"> דהכא מהני כיון שחזקת הסכין סותרת לחזקת האיסור.</w:t>
      </w:r>
    </w:p>
    <w:p w14:paraId="68020704" w14:textId="77777777" w:rsidR="00413DD0" w:rsidRDefault="00413DD0" w:rsidP="006D6D32">
      <w:pPr>
        <w:pStyle w:val="a3"/>
        <w:rPr>
          <w:rtl/>
        </w:rPr>
      </w:pPr>
      <w:bookmarkStart w:id="5460" w:name="_Toc526249217"/>
      <w:bookmarkStart w:id="5461" w:name="_Toc526416013"/>
      <w:bookmarkStart w:id="5462" w:name="_Toc526418231"/>
      <w:bookmarkStart w:id="5463" w:name="_Toc19389616"/>
      <w:bookmarkStart w:id="5464" w:name="_Toc19393113"/>
      <w:r>
        <w:rPr>
          <w:rFonts w:hint="cs"/>
          <w:rtl/>
        </w:rPr>
        <w:t>עוד ביאר החזו"א דאף לר"ח אי"ז ס"ס טוב אלא דהוא מצטרף לחזקת הסכין</w:t>
      </w:r>
      <w:bookmarkEnd w:id="5460"/>
      <w:bookmarkEnd w:id="5461"/>
      <w:bookmarkEnd w:id="5462"/>
      <w:bookmarkEnd w:id="5463"/>
      <w:bookmarkEnd w:id="5464"/>
    </w:p>
    <w:p w14:paraId="30D41479" w14:textId="77777777" w:rsidR="00413DD0" w:rsidRDefault="00413DD0" w:rsidP="00223668">
      <w:pPr>
        <w:pStyle w:val="a0"/>
        <w:rPr>
          <w:rtl/>
        </w:rPr>
      </w:pPr>
      <w:r>
        <w:rPr>
          <w:rFonts w:hint="cs"/>
          <w:rtl/>
        </w:rPr>
        <w:t xml:space="preserve">ועוד ביאר </w:t>
      </w:r>
      <w:r w:rsidRPr="00072DA9">
        <w:rPr>
          <w:rStyle w:val="af9"/>
          <w:rFonts w:hint="cs"/>
          <w:rtl/>
        </w:rPr>
        <w:t>החזו"א</w:t>
      </w:r>
      <w:r>
        <w:rPr>
          <w:rFonts w:hint="cs"/>
          <w:rtl/>
        </w:rPr>
        <w:t xml:space="preserve"> דאפש"ל דאף לרב חסדא אי"ז ספק ספיקא גמור, </w:t>
      </w:r>
      <w:r w:rsidRPr="002B6A3C">
        <w:rPr>
          <w:rStyle w:val="afb"/>
          <w:rFonts w:hint="cs"/>
          <w:rtl/>
        </w:rPr>
        <w:t>[כיון שמצוי ששוחט בכל הסכין ואמרינן דשחט אף כנגד הפגימה],</w:t>
      </w:r>
      <w:r>
        <w:rPr>
          <w:rFonts w:hint="cs"/>
          <w:rtl/>
        </w:rPr>
        <w:t xml:space="preserve"> אלא דמ"מ ס"ל לרב חסדא דהספק ספיקא יכול להצטרף לחזקת הסכין ולהתיר, וכתב </w:t>
      </w:r>
      <w:r w:rsidRPr="00072DA9">
        <w:rPr>
          <w:rStyle w:val="af9"/>
          <w:rFonts w:hint="cs"/>
          <w:rtl/>
        </w:rPr>
        <w:t>החזו"א</w:t>
      </w:r>
      <w:r>
        <w:rPr>
          <w:rFonts w:hint="cs"/>
          <w:rtl/>
        </w:rPr>
        <w:t xml:space="preserve"> דכן משמע מלשון </w:t>
      </w:r>
      <w:r w:rsidRPr="00072DA9">
        <w:rPr>
          <w:rStyle w:val="af9"/>
          <w:rFonts w:hint="cs"/>
          <w:rtl/>
        </w:rPr>
        <w:t>התוס'</w:t>
      </w:r>
      <w:r>
        <w:rPr>
          <w:rFonts w:hint="cs"/>
          <w:rtl/>
        </w:rPr>
        <w:t>.</w:t>
      </w:r>
    </w:p>
    <w:p w14:paraId="53222EA3" w14:textId="77777777" w:rsidR="00413DD0" w:rsidRDefault="00413DD0" w:rsidP="006D6D32">
      <w:pPr>
        <w:pStyle w:val="a3"/>
        <w:rPr>
          <w:rtl/>
        </w:rPr>
      </w:pPr>
      <w:bookmarkStart w:id="5465" w:name="_Toc526249218"/>
      <w:bookmarkStart w:id="5466" w:name="_Toc526416014"/>
      <w:bookmarkStart w:id="5467" w:name="_Toc526418232"/>
      <w:bookmarkStart w:id="5468" w:name="_Toc19389617"/>
      <w:bookmarkStart w:id="5469" w:name="_Toc19393114"/>
      <w:r>
        <w:rPr>
          <w:rFonts w:hint="cs"/>
          <w:rtl/>
        </w:rPr>
        <w:t>ביאור החזו"א דלדידן בשיבר עצמות שהתליה מצויה תלינן לקולא ע"י הספק ספיקא</w:t>
      </w:r>
      <w:bookmarkEnd w:id="5465"/>
      <w:bookmarkEnd w:id="5466"/>
      <w:bookmarkEnd w:id="5467"/>
      <w:bookmarkEnd w:id="5468"/>
      <w:bookmarkEnd w:id="5469"/>
      <w:r>
        <w:rPr>
          <w:rFonts w:hint="cs"/>
          <w:rtl/>
        </w:rPr>
        <w:t xml:space="preserve"> </w:t>
      </w:r>
    </w:p>
    <w:p w14:paraId="61640465" w14:textId="77777777" w:rsidR="00413DD0" w:rsidRDefault="00413DD0" w:rsidP="00223668">
      <w:pPr>
        <w:pStyle w:val="a0"/>
        <w:rPr>
          <w:rtl/>
        </w:rPr>
      </w:pPr>
      <w:r>
        <w:rPr>
          <w:rFonts w:hint="cs"/>
          <w:rtl/>
        </w:rPr>
        <w:t xml:space="preserve">ולדידן דקיי"ל כרב חסדא רק בשיבר בה עצמות, ביאר </w:t>
      </w:r>
      <w:r w:rsidRPr="00072DA9">
        <w:rPr>
          <w:rStyle w:val="af9"/>
          <w:rFonts w:hint="cs"/>
          <w:rtl/>
        </w:rPr>
        <w:t>החזו"א</w:t>
      </w:r>
      <w:r>
        <w:rPr>
          <w:rFonts w:hint="cs"/>
          <w:rtl/>
        </w:rPr>
        <w:t xml:space="preserve"> דכיון שיש היתר ע"י הספק ספיקא, וכן יש תליה מצויה לאחר השחיטה בשבירת העצמות, תלינן לקולא</w:t>
      </w:r>
      <w:r>
        <w:rPr>
          <w:rStyle w:val="af1"/>
          <w:rtl/>
        </w:rPr>
        <w:footnoteReference w:id="26"/>
      </w:r>
      <w:r>
        <w:rPr>
          <w:rFonts w:hint="cs"/>
          <w:rtl/>
        </w:rPr>
        <w:t>.</w:t>
      </w:r>
      <w:bookmarkStart w:id="5470" w:name="_Toc526249225"/>
      <w:bookmarkStart w:id="5471" w:name="_Toc526416015"/>
      <w:bookmarkStart w:id="5472" w:name="_Toc526418233"/>
      <w:bookmarkStart w:id="5473" w:name="_Toc525594376"/>
      <w:bookmarkStart w:id="5474" w:name="_Toc523490361"/>
      <w:bookmarkStart w:id="5475" w:name="_Toc523697984"/>
      <w:bookmarkStart w:id="5476" w:name="_Toc523760847"/>
      <w:bookmarkStart w:id="5477" w:name="_Toc524638719"/>
      <w:bookmarkEnd w:id="5346"/>
      <w:bookmarkEnd w:id="5441"/>
      <w:bookmarkEnd w:id="5442"/>
      <w:bookmarkEnd w:id="5443"/>
      <w:bookmarkEnd w:id="5444"/>
    </w:p>
    <w:p w14:paraId="55098715" w14:textId="77777777" w:rsidR="002E29DB" w:rsidRPr="002E29DB" w:rsidRDefault="002E29DB" w:rsidP="002E29DB">
      <w:pPr>
        <w:pStyle w:val="a3"/>
        <w:rPr>
          <w:rtl/>
        </w:rPr>
      </w:pPr>
    </w:p>
    <w:p w14:paraId="69901C26" w14:textId="77777777" w:rsidR="002E29DB" w:rsidRPr="002E29DB" w:rsidRDefault="002E29DB" w:rsidP="002E29DB">
      <w:pPr>
        <w:pStyle w:val="a3"/>
        <w:rPr>
          <w:rtl/>
        </w:rPr>
      </w:pPr>
    </w:p>
    <w:p w14:paraId="5894D0BE" w14:textId="77777777" w:rsidR="002E29DB" w:rsidRPr="002E29DB" w:rsidRDefault="002E29DB" w:rsidP="002E29DB">
      <w:pPr>
        <w:pStyle w:val="a3"/>
        <w:rPr>
          <w:rtl/>
        </w:rPr>
      </w:pPr>
    </w:p>
    <w:p w14:paraId="6018FB4A" w14:textId="77777777" w:rsidR="002E29DB" w:rsidRPr="002E29DB" w:rsidRDefault="002E29DB" w:rsidP="002E29DB">
      <w:pPr>
        <w:pStyle w:val="a3"/>
        <w:rPr>
          <w:rtl/>
        </w:rPr>
      </w:pPr>
    </w:p>
    <w:p w14:paraId="396D1FCC" w14:textId="77777777" w:rsidR="002E29DB" w:rsidRPr="002E29DB" w:rsidRDefault="002E29DB" w:rsidP="002E29DB">
      <w:pPr>
        <w:pStyle w:val="a3"/>
        <w:rPr>
          <w:rtl/>
        </w:rPr>
      </w:pPr>
    </w:p>
    <w:p w14:paraId="2A69ADC0" w14:textId="77777777" w:rsidR="00413DD0" w:rsidRDefault="00413DD0" w:rsidP="006D6D32">
      <w:pPr>
        <w:pStyle w:val="afe"/>
        <w:rPr>
          <w:rtl/>
        </w:rPr>
      </w:pPr>
      <w:bookmarkStart w:id="5478" w:name="_Toc19435378"/>
      <w:bookmarkStart w:id="5479" w:name="_Toc20080706"/>
      <w:r>
        <w:rPr>
          <w:rFonts w:hint="cs"/>
          <w:rtl/>
        </w:rPr>
        <w:t>דברי התוס' בחזקה עם ריעותא</w:t>
      </w:r>
      <w:bookmarkEnd w:id="5470"/>
      <w:bookmarkEnd w:id="5471"/>
      <w:bookmarkEnd w:id="5472"/>
      <w:bookmarkEnd w:id="5478"/>
      <w:bookmarkEnd w:id="5479"/>
    </w:p>
    <w:p w14:paraId="333B7405" w14:textId="77777777" w:rsidR="00413DD0" w:rsidRDefault="00413DD0" w:rsidP="00BF39B2">
      <w:pPr>
        <w:pStyle w:val="1"/>
        <w:rPr>
          <w:rtl/>
        </w:rPr>
      </w:pPr>
      <w:bookmarkStart w:id="5480" w:name="_Toc526249226"/>
      <w:bookmarkStart w:id="5481" w:name="_Toc526416016"/>
      <w:bookmarkStart w:id="5482" w:name="_Toc526418234"/>
      <w:bookmarkStart w:id="5483" w:name="_Toc19389618"/>
      <w:bookmarkStart w:id="5484" w:name="_Toc19393115"/>
      <w:r>
        <w:rPr>
          <w:rFonts w:hint="cs"/>
          <w:rtl/>
        </w:rPr>
        <w:t>דברי התוס' דבסכין מעמידים על החזקה אף שיש ריעותא</w:t>
      </w:r>
      <w:bookmarkEnd w:id="5473"/>
      <w:bookmarkEnd w:id="5480"/>
      <w:bookmarkEnd w:id="5481"/>
      <w:bookmarkEnd w:id="5482"/>
      <w:bookmarkEnd w:id="5483"/>
      <w:bookmarkEnd w:id="5484"/>
    </w:p>
    <w:p w14:paraId="0ADEB26B" w14:textId="77777777" w:rsidR="00413DD0" w:rsidRDefault="00413DD0" w:rsidP="006D6D32">
      <w:pPr>
        <w:pStyle w:val="a3"/>
        <w:rPr>
          <w:rtl/>
        </w:rPr>
      </w:pPr>
      <w:bookmarkStart w:id="5485" w:name="_Toc526416017"/>
      <w:bookmarkStart w:id="5486" w:name="_Toc526418235"/>
      <w:bookmarkStart w:id="5487" w:name="_Toc19389619"/>
      <w:bookmarkStart w:id="5488" w:name="_Toc19393116"/>
      <w:r>
        <w:rPr>
          <w:rFonts w:hint="cs"/>
          <w:rtl/>
        </w:rPr>
        <w:t>דברי התוס' דבסכין מעמידים על החזקה אף שיש ריעותא</w:t>
      </w:r>
      <w:bookmarkEnd w:id="5485"/>
      <w:bookmarkEnd w:id="5486"/>
      <w:bookmarkEnd w:id="5487"/>
      <w:bookmarkEnd w:id="5488"/>
    </w:p>
    <w:p w14:paraId="1C6F7B1B" w14:textId="77777777" w:rsidR="00413DD0" w:rsidRDefault="00413DD0" w:rsidP="00223668">
      <w:pPr>
        <w:pStyle w:val="a0"/>
        <w:rPr>
          <w:rtl/>
        </w:rPr>
      </w:pPr>
      <w:bookmarkStart w:id="5489" w:name="_Ref526245832"/>
      <w:r>
        <w:rPr>
          <w:rFonts w:hint="cs"/>
          <w:rtl/>
        </w:rPr>
        <w:t xml:space="preserve">בהא דאיתא בגמ' לקמן </w:t>
      </w:r>
      <w:r w:rsidRPr="00FA620A">
        <w:rPr>
          <w:rStyle w:val="af7"/>
          <w:rFonts w:eastAsia="Guttman Hodes" w:hint="cs"/>
          <w:rtl/>
        </w:rPr>
        <w:t>(י:)</w:t>
      </w:r>
      <w:r>
        <w:rPr>
          <w:rFonts w:hint="cs"/>
          <w:rtl/>
        </w:rPr>
        <w:t xml:space="preserve"> דילפינן מבית המנוגע שמעמידים על החזקה, הקשו</w:t>
      </w:r>
      <w:r w:rsidRPr="003D072A">
        <w:rPr>
          <w:rStyle w:val="af9"/>
          <w:rFonts w:hint="cs"/>
          <w:rtl/>
        </w:rPr>
        <w:t xml:space="preserve"> התוס' </w:t>
      </w:r>
      <w:r w:rsidRPr="00FA620A">
        <w:rPr>
          <w:rStyle w:val="af7"/>
          <w:rFonts w:eastAsia="Guttman Hodes" w:hint="cs"/>
          <w:rtl/>
        </w:rPr>
        <w:t>(</w:t>
      </w:r>
      <w:r>
        <w:rPr>
          <w:rStyle w:val="af7"/>
          <w:rFonts w:eastAsia="Guttman Hodes" w:hint="cs"/>
          <w:rtl/>
        </w:rPr>
        <w:t xml:space="preserve">י: </w:t>
      </w:r>
      <w:r w:rsidRPr="00FA620A">
        <w:rPr>
          <w:rStyle w:val="af7"/>
          <w:rFonts w:eastAsia="Guttman Hodes" w:hint="cs"/>
          <w:rtl/>
        </w:rPr>
        <w:t>ד"ה ודילמא)</w:t>
      </w:r>
      <w:r>
        <w:rPr>
          <w:rFonts w:hint="cs"/>
          <w:rtl/>
        </w:rPr>
        <w:t xml:space="preserve"> דכל מה שאפשר להוכיח מבית המנוגע, הוא במקום שאין ריעותא בחזקה, אבל במקום שיש ריעותא, כסכין שנמצא פגום, מנלן דמעמידים על החזקה, ותירצו</w:t>
      </w:r>
      <w:r w:rsidRPr="003D072A">
        <w:rPr>
          <w:rStyle w:val="af9"/>
          <w:rFonts w:hint="cs"/>
          <w:rtl/>
        </w:rPr>
        <w:t xml:space="preserve"> התוס'</w:t>
      </w:r>
      <w:r>
        <w:rPr>
          <w:rFonts w:hint="cs"/>
          <w:rtl/>
        </w:rPr>
        <w:t xml:space="preserve"> דאף בבית המנוגע יש ריעותא גדולה בחזקה, [דהא נמצא חסר לאחר שבעה, ואפ"ה לא אמרינן דמי שנכנס לבית בימי הסגרו הוא טהור למפרע].</w:t>
      </w:r>
      <w:bookmarkEnd w:id="5489"/>
    </w:p>
    <w:p w14:paraId="7BD2722D" w14:textId="77777777" w:rsidR="00413DD0" w:rsidRDefault="00413DD0" w:rsidP="006D6D32">
      <w:pPr>
        <w:pStyle w:val="a3"/>
        <w:rPr>
          <w:rtl/>
        </w:rPr>
      </w:pPr>
      <w:bookmarkStart w:id="5490" w:name="_Toc526416018"/>
      <w:bookmarkStart w:id="5491" w:name="_Toc526418236"/>
      <w:bookmarkStart w:id="5492" w:name="_Toc19389620"/>
      <w:bookmarkStart w:id="5493" w:name="_Toc19393117"/>
      <w:r>
        <w:rPr>
          <w:rFonts w:hint="cs"/>
          <w:rtl/>
        </w:rPr>
        <w:t>ביאור המהרש"א בתוס' דלרב חסדא מעמידים בחזקת שחוטה אף שיש ריעותא בסכין</w:t>
      </w:r>
      <w:bookmarkEnd w:id="5490"/>
      <w:bookmarkEnd w:id="5491"/>
      <w:bookmarkEnd w:id="5492"/>
      <w:bookmarkEnd w:id="5493"/>
    </w:p>
    <w:p w14:paraId="53733177" w14:textId="77777777" w:rsidR="00413DD0" w:rsidRDefault="00413DD0" w:rsidP="00223668">
      <w:pPr>
        <w:pStyle w:val="a0"/>
        <w:rPr>
          <w:rtl/>
        </w:rPr>
      </w:pPr>
      <w:bookmarkStart w:id="5494" w:name="_Ref526411095"/>
      <w:r>
        <w:rPr>
          <w:rFonts w:hint="cs"/>
          <w:rtl/>
        </w:rPr>
        <w:t xml:space="preserve">וכתב </w:t>
      </w:r>
      <w:r w:rsidRPr="00D26FF1">
        <w:rPr>
          <w:rStyle w:val="af9"/>
          <w:rFonts w:hint="cs"/>
          <w:rtl/>
        </w:rPr>
        <w:t>המהרש"א</w:t>
      </w:r>
      <w:r>
        <w:rPr>
          <w:rFonts w:hint="cs"/>
          <w:rtl/>
        </w:rPr>
        <w:t xml:space="preserve"> </w:t>
      </w:r>
      <w:r w:rsidRPr="00D26FF1">
        <w:rPr>
          <w:rStyle w:val="af7"/>
          <w:rFonts w:eastAsia="Guttman Hodes" w:hint="cs"/>
          <w:rtl/>
        </w:rPr>
        <w:t>(</w:t>
      </w:r>
      <w:r>
        <w:rPr>
          <w:rStyle w:val="af7"/>
          <w:rFonts w:eastAsia="Guttman Hodes" w:hint="cs"/>
          <w:rtl/>
        </w:rPr>
        <w:t xml:space="preserve">י: </w:t>
      </w:r>
      <w:r w:rsidRPr="00D26FF1">
        <w:rPr>
          <w:rStyle w:val="af7"/>
          <w:rFonts w:eastAsia="Guttman Hodes" w:hint="cs"/>
          <w:rtl/>
        </w:rPr>
        <w:t>על תוד"ה ודילמא)</w:t>
      </w:r>
      <w:r>
        <w:rPr>
          <w:rFonts w:hint="cs"/>
          <w:rtl/>
        </w:rPr>
        <w:t xml:space="preserve"> דבסכין כוונת</w:t>
      </w:r>
      <w:r w:rsidRPr="00D26FF1">
        <w:rPr>
          <w:rStyle w:val="af9"/>
          <w:rFonts w:hint="cs"/>
          <w:rtl/>
        </w:rPr>
        <w:t xml:space="preserve"> התוס'</w:t>
      </w:r>
      <w:r>
        <w:rPr>
          <w:rFonts w:hint="cs"/>
          <w:rtl/>
        </w:rPr>
        <w:t xml:space="preserve"> לדעת רב חסדא דבסכין שנמצאת פגומה מעמידים את הבהמה בחזקת שחוטה, כיון דשחוטה לפניך, והבהמה לא איתרעי, כיון שהריעותא היא בסכין במה שנמצאת פגומה.</w:t>
      </w:r>
      <w:bookmarkEnd w:id="5494"/>
      <w:r>
        <w:rPr>
          <w:rFonts w:hint="cs"/>
          <w:rtl/>
        </w:rPr>
        <w:t xml:space="preserve"> וכ"כ </w:t>
      </w:r>
      <w:r w:rsidRPr="00A201F5">
        <w:rPr>
          <w:rStyle w:val="af9"/>
          <w:rFonts w:hint="cs"/>
          <w:rtl/>
        </w:rPr>
        <w:t>המהר"ם</w:t>
      </w:r>
      <w:r>
        <w:rPr>
          <w:rFonts w:hint="cs"/>
          <w:rtl/>
        </w:rPr>
        <w:t xml:space="preserve"> </w:t>
      </w:r>
      <w:r w:rsidRPr="003E4751">
        <w:rPr>
          <w:rStyle w:val="af7"/>
          <w:rFonts w:eastAsia="Guttman Hodes" w:hint="cs"/>
          <w:rtl/>
        </w:rPr>
        <w:t>(</w:t>
      </w:r>
      <w:r>
        <w:rPr>
          <w:rStyle w:val="af7"/>
          <w:rFonts w:eastAsia="Guttman Hodes" w:hint="cs"/>
          <w:rtl/>
        </w:rPr>
        <w:t xml:space="preserve">י: </w:t>
      </w:r>
      <w:r w:rsidRPr="003E4751">
        <w:rPr>
          <w:rStyle w:val="af7"/>
          <w:rFonts w:eastAsia="Guttman Hodes" w:hint="cs"/>
          <w:rtl/>
        </w:rPr>
        <w:t>על תוד"ה ודילמא)</w:t>
      </w:r>
      <w:r w:rsidRPr="00BD1DB9">
        <w:rPr>
          <w:rFonts w:hint="cs"/>
          <w:rtl/>
        </w:rPr>
        <w:t xml:space="preserve"> </w:t>
      </w:r>
      <w:r>
        <w:rPr>
          <w:rFonts w:hint="cs"/>
          <w:rtl/>
        </w:rPr>
        <w:t xml:space="preserve">דבפשטות משמע דכוונת </w:t>
      </w:r>
      <w:r w:rsidRPr="00A201F5">
        <w:rPr>
          <w:rStyle w:val="af9"/>
          <w:rFonts w:hint="cs"/>
          <w:rtl/>
        </w:rPr>
        <w:t>התוס'</w:t>
      </w:r>
      <w:r>
        <w:rPr>
          <w:rFonts w:hint="cs"/>
          <w:rtl/>
        </w:rPr>
        <w:t xml:space="preserve"> להקשות מדברי רב חסדא, דמכשיר אף שיש ריעותא בסכין במה שנמצאת פגומה, ואפ"ה העמיד את הבהמה בחזקת היתר.</w:t>
      </w:r>
    </w:p>
    <w:p w14:paraId="053D8BA9" w14:textId="77777777" w:rsidR="00413DD0" w:rsidRPr="00CD761D" w:rsidRDefault="00413DD0" w:rsidP="006D6D32">
      <w:pPr>
        <w:pStyle w:val="a3"/>
      </w:pPr>
      <w:bookmarkStart w:id="5495" w:name="_Toc526416019"/>
      <w:bookmarkStart w:id="5496" w:name="_Toc526418237"/>
      <w:bookmarkStart w:id="5497" w:name="_Toc19389621"/>
      <w:bookmarkStart w:id="5498" w:name="_Toc19393118"/>
      <w:r>
        <w:rPr>
          <w:rFonts w:hint="cs"/>
          <w:rtl/>
        </w:rPr>
        <w:t>דחיית המהר"ם דלא מבואר בדברי רב חסדא שמעמידים על החזקה</w:t>
      </w:r>
      <w:bookmarkEnd w:id="5495"/>
      <w:bookmarkEnd w:id="5496"/>
      <w:bookmarkEnd w:id="5497"/>
      <w:bookmarkEnd w:id="5498"/>
    </w:p>
    <w:p w14:paraId="25237550" w14:textId="77777777" w:rsidR="00413DD0" w:rsidRPr="00A201F5" w:rsidRDefault="00413DD0" w:rsidP="00223668">
      <w:pPr>
        <w:pStyle w:val="a0"/>
        <w:rPr>
          <w:rStyle w:val="afb"/>
          <w:rtl/>
        </w:rPr>
      </w:pPr>
      <w:bookmarkStart w:id="5499" w:name="_Ref526414530"/>
      <w:r>
        <w:rPr>
          <w:rFonts w:hint="cs"/>
          <w:rtl/>
        </w:rPr>
        <w:t xml:space="preserve">אך דחה </w:t>
      </w:r>
      <w:r w:rsidRPr="00A201F5">
        <w:rPr>
          <w:rStyle w:val="af9"/>
          <w:rFonts w:hint="cs"/>
          <w:rtl/>
        </w:rPr>
        <w:t>המהר"ם</w:t>
      </w:r>
      <w:r>
        <w:rPr>
          <w:rFonts w:hint="cs"/>
          <w:rtl/>
        </w:rPr>
        <w:t xml:space="preserve"> דלא מצינו בדברי רב חסדא דהתיר מחמת שמעמידים בחזקת היתר, דהא התיר רב חסדא מחמת דאין ספק מוציא מידי ודאי, ומסברת סכין איתרעי בהמה לא איתרעי, ואדרבה בדעת רב הונא אמרינן דמעמידים על החזקה דמעיקרא דהבהמה בחייה בחזקת איסור, </w:t>
      </w:r>
      <w:r w:rsidRPr="00A201F5">
        <w:rPr>
          <w:rStyle w:val="afb"/>
          <w:rFonts w:hint="cs"/>
          <w:rtl/>
        </w:rPr>
        <w:t xml:space="preserve">[וכתב </w:t>
      </w:r>
      <w:r w:rsidRPr="00A201F5">
        <w:rPr>
          <w:rStyle w:val="affa"/>
          <w:rFonts w:hint="cs"/>
          <w:rtl/>
        </w:rPr>
        <w:t>המהר"ם</w:t>
      </w:r>
      <w:r w:rsidRPr="00A201F5">
        <w:rPr>
          <w:rStyle w:val="afb"/>
          <w:rFonts w:hint="cs"/>
          <w:rtl/>
        </w:rPr>
        <w:t xml:space="preserve"> דלא משמע דכוונת </w:t>
      </w:r>
      <w:r w:rsidRPr="00A201F5">
        <w:rPr>
          <w:rStyle w:val="affa"/>
          <w:rFonts w:hint="cs"/>
          <w:rtl/>
        </w:rPr>
        <w:t xml:space="preserve">התוס' </w:t>
      </w:r>
      <w:r w:rsidRPr="00A201F5">
        <w:rPr>
          <w:rStyle w:val="afb"/>
          <w:rFonts w:hint="cs"/>
          <w:rtl/>
        </w:rPr>
        <w:t xml:space="preserve">לדברי </w:t>
      </w:r>
      <w:r w:rsidRPr="00A201F5">
        <w:rPr>
          <w:rStyle w:val="affa"/>
          <w:rFonts w:hint="cs"/>
          <w:rtl/>
        </w:rPr>
        <w:t>הר"ן</w:t>
      </w:r>
      <w:r w:rsidRPr="00A201F5">
        <w:rPr>
          <w:rStyle w:val="afb"/>
          <w:rFonts w:hint="cs"/>
          <w:rtl/>
        </w:rPr>
        <w:t xml:space="preserve"> </w:t>
      </w:r>
      <w:r w:rsidRPr="000F5F72">
        <w:rPr>
          <w:rStyle w:val="aff6"/>
          <w:rFonts w:hint="cs"/>
          <w:rtl/>
        </w:rPr>
        <w:t xml:space="preserve">(עי' אות </w:t>
      </w:r>
      <w:r w:rsidRPr="000F5F72">
        <w:rPr>
          <w:rStyle w:val="aff6"/>
          <w:rtl/>
        </w:rPr>
        <w:fldChar w:fldCharType="begin"/>
      </w:r>
      <w:r w:rsidRPr="000F5F72">
        <w:rPr>
          <w:rStyle w:val="aff6"/>
          <w:rtl/>
        </w:rPr>
        <w:instrText xml:space="preserve"> </w:instrText>
      </w:r>
      <w:r w:rsidRPr="000F5F72">
        <w:rPr>
          <w:rStyle w:val="aff6"/>
          <w:rFonts w:hint="cs"/>
        </w:rPr>
        <w:instrText>REF</w:instrText>
      </w:r>
      <w:r w:rsidRPr="000F5F72">
        <w:rPr>
          <w:rStyle w:val="aff6"/>
          <w:rFonts w:hint="cs"/>
          <w:rtl/>
        </w:rPr>
        <w:instrText xml:space="preserve"> _</w:instrText>
      </w:r>
      <w:r w:rsidRPr="000F5F72">
        <w:rPr>
          <w:rStyle w:val="aff6"/>
          <w:rFonts w:hint="cs"/>
        </w:rPr>
        <w:instrText>Ref526247266 \r \h</w:instrText>
      </w:r>
      <w:r w:rsidRPr="000F5F72">
        <w:rPr>
          <w:rStyle w:val="aff6"/>
          <w:rtl/>
        </w:rPr>
        <w:instrText xml:space="preserve"> </w:instrText>
      </w:r>
      <w:r w:rsidRPr="000F5F72">
        <w:rPr>
          <w:rStyle w:val="aff6"/>
          <w:rtl/>
        </w:rPr>
      </w:r>
      <w:r w:rsidRPr="000F5F72">
        <w:rPr>
          <w:rStyle w:val="aff6"/>
          <w:rtl/>
        </w:rPr>
        <w:fldChar w:fldCharType="separate"/>
      </w:r>
      <w:r w:rsidR="00345400">
        <w:rPr>
          <w:rStyle w:val="aff6"/>
          <w:cs/>
        </w:rPr>
        <w:t>‎</w:t>
      </w:r>
      <w:r w:rsidR="00345400">
        <w:rPr>
          <w:rStyle w:val="aff6"/>
          <w:rtl/>
        </w:rPr>
        <w:t>יא)</w:t>
      </w:r>
      <w:r w:rsidRPr="000F5F72">
        <w:rPr>
          <w:rStyle w:val="aff6"/>
          <w:rtl/>
        </w:rPr>
        <w:fldChar w:fldCharType="end"/>
      </w:r>
      <w:r w:rsidRPr="00A201F5">
        <w:rPr>
          <w:rStyle w:val="afb"/>
          <w:rFonts w:hint="cs"/>
          <w:rtl/>
        </w:rPr>
        <w:t xml:space="preserve"> דמעמידים את הסכין בחזקת בדוק, דהא </w:t>
      </w:r>
      <w:r w:rsidRPr="00A201F5">
        <w:rPr>
          <w:rStyle w:val="affa"/>
          <w:rFonts w:hint="cs"/>
          <w:rtl/>
        </w:rPr>
        <w:t>התוס'</w:t>
      </w:r>
      <w:r>
        <w:rPr>
          <w:rStyle w:val="affa"/>
          <w:rFonts w:hint="cs"/>
          <w:rtl/>
        </w:rPr>
        <w:t xml:space="preserve"> בתירוצם הג'</w:t>
      </w:r>
      <w:r w:rsidRPr="00A201F5">
        <w:rPr>
          <w:rStyle w:val="affa"/>
          <w:rFonts w:hint="cs"/>
          <w:rtl/>
        </w:rPr>
        <w:t xml:space="preserve"> </w:t>
      </w:r>
      <w:r w:rsidRPr="004F0937">
        <w:rPr>
          <w:rStyle w:val="aff6"/>
          <w:rFonts w:hint="cs"/>
          <w:rtl/>
        </w:rPr>
        <w:t xml:space="preserve">(עי' אות </w:t>
      </w:r>
      <w:r w:rsidRPr="004F0937">
        <w:rPr>
          <w:rStyle w:val="aff6"/>
          <w:rtl/>
        </w:rPr>
        <w:fldChar w:fldCharType="begin"/>
      </w:r>
      <w:r w:rsidRPr="004F0937">
        <w:rPr>
          <w:rStyle w:val="aff6"/>
          <w:rtl/>
        </w:rPr>
        <w:instrText xml:space="preserve"> </w:instrText>
      </w:r>
      <w:r w:rsidRPr="004F0937">
        <w:rPr>
          <w:rStyle w:val="aff6"/>
          <w:rFonts w:hint="cs"/>
        </w:rPr>
        <w:instrText>REF</w:instrText>
      </w:r>
      <w:r w:rsidRPr="004F0937">
        <w:rPr>
          <w:rStyle w:val="aff6"/>
          <w:rFonts w:hint="cs"/>
          <w:rtl/>
        </w:rPr>
        <w:instrText xml:space="preserve"> _</w:instrText>
      </w:r>
      <w:r w:rsidRPr="004F0937">
        <w:rPr>
          <w:rStyle w:val="aff6"/>
          <w:rFonts w:hint="cs"/>
        </w:rPr>
        <w:instrText>Ref523328223 \r \h</w:instrText>
      </w:r>
      <w:r w:rsidRPr="004F0937">
        <w:rPr>
          <w:rStyle w:val="aff6"/>
          <w:rtl/>
        </w:rPr>
        <w:instrText xml:space="preserve"> </w:instrText>
      </w:r>
      <w:r w:rsidRPr="004F0937">
        <w:rPr>
          <w:rStyle w:val="aff6"/>
          <w:rtl/>
        </w:rPr>
      </w:r>
      <w:r w:rsidRPr="004F0937">
        <w:rPr>
          <w:rStyle w:val="aff6"/>
          <w:rtl/>
        </w:rPr>
        <w:fldChar w:fldCharType="separate"/>
      </w:r>
      <w:r w:rsidR="00345400">
        <w:rPr>
          <w:rStyle w:val="aff6"/>
          <w:cs/>
        </w:rPr>
        <w:t>‎</w:t>
      </w:r>
      <w:r w:rsidR="00345400">
        <w:rPr>
          <w:rStyle w:val="aff6"/>
          <w:rtl/>
        </w:rPr>
        <w:t>לה)</w:t>
      </w:r>
      <w:r w:rsidRPr="004F0937">
        <w:rPr>
          <w:rStyle w:val="aff6"/>
          <w:rtl/>
        </w:rPr>
        <w:fldChar w:fldCharType="end"/>
      </w:r>
      <w:r>
        <w:rPr>
          <w:rStyle w:val="afb"/>
          <w:rFonts w:hint="cs"/>
          <w:rtl/>
        </w:rPr>
        <w:t xml:space="preserve"> </w:t>
      </w:r>
      <w:r w:rsidRPr="00A201F5">
        <w:rPr>
          <w:rStyle w:val="afb"/>
          <w:rFonts w:hint="cs"/>
          <w:rtl/>
        </w:rPr>
        <w:t>ביארו בסברת בהמה לא איתרעי דהוא מחמת ספק ספיקא ולא מחמת חזקת הסכין].</w:t>
      </w:r>
      <w:bookmarkEnd w:id="5499"/>
    </w:p>
    <w:p w14:paraId="5C584A43" w14:textId="77777777" w:rsidR="00413DD0" w:rsidRDefault="00413DD0" w:rsidP="006D6D32">
      <w:pPr>
        <w:pStyle w:val="a3"/>
        <w:rPr>
          <w:rtl/>
        </w:rPr>
      </w:pPr>
      <w:bookmarkStart w:id="5500" w:name="_Toc526416020"/>
      <w:bookmarkStart w:id="5501" w:name="_Toc526418238"/>
      <w:bookmarkStart w:id="5502" w:name="_Toc19389622"/>
      <w:bookmarkStart w:id="5503" w:name="_Toc19393119"/>
      <w:r>
        <w:rPr>
          <w:rFonts w:hint="cs"/>
          <w:rtl/>
        </w:rPr>
        <w:t>ביאור המהר"ם בתוס' דלרב הונא מעמידים בחזקת איסור אף דשחוטה לפניך</w:t>
      </w:r>
      <w:bookmarkEnd w:id="5500"/>
      <w:bookmarkEnd w:id="5501"/>
      <w:bookmarkEnd w:id="5502"/>
      <w:bookmarkEnd w:id="5503"/>
    </w:p>
    <w:p w14:paraId="4225E221" w14:textId="77777777" w:rsidR="00413DD0" w:rsidRDefault="00413DD0" w:rsidP="00223668">
      <w:pPr>
        <w:pStyle w:val="a0"/>
        <w:rPr>
          <w:sz w:val="10"/>
          <w:szCs w:val="14"/>
          <w:rtl/>
        </w:rPr>
      </w:pPr>
      <w:r>
        <w:rPr>
          <w:rFonts w:hint="cs"/>
          <w:rtl/>
        </w:rPr>
        <w:t>אלא ביאר</w:t>
      </w:r>
      <w:r w:rsidRPr="00FD6FA5">
        <w:rPr>
          <w:rStyle w:val="af9"/>
          <w:rFonts w:hint="cs"/>
          <w:rtl/>
        </w:rPr>
        <w:t xml:space="preserve"> המהר"ם </w:t>
      </w:r>
      <w:r>
        <w:rPr>
          <w:rFonts w:hint="cs"/>
          <w:rtl/>
        </w:rPr>
        <w:t xml:space="preserve">דכוונת </w:t>
      </w:r>
      <w:r w:rsidRPr="00FD6FA5">
        <w:rPr>
          <w:rStyle w:val="af9"/>
          <w:rFonts w:hint="cs"/>
          <w:rtl/>
        </w:rPr>
        <w:t xml:space="preserve">התוס' </w:t>
      </w:r>
      <w:r>
        <w:rPr>
          <w:rFonts w:hint="cs"/>
          <w:rtl/>
        </w:rPr>
        <w:t xml:space="preserve">להקשות מדעת רב הונא דאף בשיבר בה עצמות, אסר רב הונא מחמת דמעמידים את הבהמה בחזקת איסור, אף שיש ריעותא בחזקה דשחוטה לפניך. </w:t>
      </w:r>
      <w:r w:rsidRPr="00FD6FA5">
        <w:rPr>
          <w:rStyle w:val="afb"/>
          <w:rFonts w:hint="cs"/>
          <w:rtl/>
        </w:rPr>
        <w:t xml:space="preserve">[וכתב </w:t>
      </w:r>
      <w:r w:rsidRPr="00FD6FA5">
        <w:rPr>
          <w:rStyle w:val="affa"/>
          <w:rFonts w:hint="cs"/>
          <w:rtl/>
        </w:rPr>
        <w:t>המהר"ם</w:t>
      </w:r>
      <w:r w:rsidRPr="00FD6FA5">
        <w:rPr>
          <w:rStyle w:val="afb"/>
          <w:rFonts w:hint="cs"/>
          <w:rtl/>
        </w:rPr>
        <w:t xml:space="preserve"> דאף שבלשון</w:t>
      </w:r>
      <w:r w:rsidRPr="00FD6FA5">
        <w:rPr>
          <w:rStyle w:val="affa"/>
          <w:rFonts w:hint="cs"/>
          <w:rtl/>
        </w:rPr>
        <w:t xml:space="preserve"> התוס'</w:t>
      </w:r>
      <w:r w:rsidRPr="00FD6FA5">
        <w:rPr>
          <w:rStyle w:val="afb"/>
          <w:rFonts w:hint="cs"/>
          <w:rtl/>
        </w:rPr>
        <w:t xml:space="preserve"> משמע דהריעותא היא במה שנמצאת הסכין פגומה, צ"ל דכוונתם לחזקה בדין סכין שנמצאת פגומה</w:t>
      </w:r>
      <w:r>
        <w:rPr>
          <w:rStyle w:val="afb"/>
          <w:rFonts w:hint="cs"/>
          <w:rtl/>
        </w:rPr>
        <w:t>, והריעותא היא בחזקת הסכין ע"י דשחוטה לפניך]</w:t>
      </w:r>
      <w:r w:rsidRPr="00FD6FA5">
        <w:rPr>
          <w:rStyle w:val="afb"/>
          <w:rFonts w:hint="cs"/>
          <w:rtl/>
        </w:rPr>
        <w:t>.</w:t>
      </w:r>
    </w:p>
    <w:p w14:paraId="4260D425" w14:textId="77777777" w:rsidR="00413DD0" w:rsidRDefault="00413DD0" w:rsidP="006D6D32">
      <w:pPr>
        <w:pStyle w:val="a3"/>
        <w:rPr>
          <w:rtl/>
        </w:rPr>
      </w:pPr>
      <w:bookmarkStart w:id="5504" w:name="_Toc526416021"/>
      <w:bookmarkStart w:id="5505" w:name="_Toc526418239"/>
      <w:bookmarkStart w:id="5506" w:name="_Toc19389623"/>
      <w:bookmarkStart w:id="5507" w:name="_Toc19393120"/>
      <w:r>
        <w:rPr>
          <w:rFonts w:hint="cs"/>
          <w:rtl/>
        </w:rPr>
        <w:t>דברי הראש יוסף דכל קושית התוס' לקמן היא רק לתי' הא' בתוס' בסוגיין ולא לתי' הג'</w:t>
      </w:r>
      <w:bookmarkEnd w:id="5504"/>
      <w:bookmarkEnd w:id="5505"/>
      <w:bookmarkEnd w:id="5506"/>
      <w:bookmarkEnd w:id="5507"/>
    </w:p>
    <w:p w14:paraId="17B76636" w14:textId="77777777" w:rsidR="002E29DB" w:rsidRDefault="00413DD0" w:rsidP="00223668">
      <w:pPr>
        <w:pStyle w:val="a0"/>
        <w:rPr>
          <w:rtl/>
        </w:rPr>
        <w:sectPr w:rsidR="002E29DB" w:rsidSect="00D3680E">
          <w:type w:val="continuous"/>
          <w:pgSz w:w="11906" w:h="16838"/>
          <w:pgMar w:top="720" w:right="720" w:bottom="720" w:left="720" w:header="283" w:footer="283" w:gutter="0"/>
          <w:cols w:num="2" w:space="567"/>
          <w:bidi/>
          <w:rtlGutter/>
          <w:docGrid w:linePitch="299"/>
        </w:sectPr>
      </w:pPr>
      <w:bookmarkStart w:id="5508" w:name="_Toc524638716"/>
      <w:r w:rsidRPr="00DC522A">
        <w:rPr>
          <w:rStyle w:val="af9"/>
          <w:rFonts w:hint="cs"/>
          <w:rtl/>
        </w:rPr>
        <w:t>והראש יוסף</w:t>
      </w:r>
      <w:r>
        <w:rPr>
          <w:rFonts w:hint="cs"/>
          <w:rtl/>
        </w:rPr>
        <w:t xml:space="preserve"> </w:t>
      </w:r>
      <w:r w:rsidRPr="00DC522A">
        <w:rPr>
          <w:rStyle w:val="af7"/>
          <w:rFonts w:eastAsia="Guttman Hodes" w:hint="cs"/>
          <w:rtl/>
        </w:rPr>
        <w:t>(י: ד"ה גם איני)</w:t>
      </w:r>
      <w:r>
        <w:rPr>
          <w:rFonts w:hint="cs"/>
          <w:rtl/>
        </w:rPr>
        <w:t xml:space="preserve"> תירץ את קושית </w:t>
      </w:r>
      <w:r w:rsidRPr="00DC522A">
        <w:rPr>
          <w:rStyle w:val="af9"/>
          <w:rFonts w:hint="cs"/>
          <w:rtl/>
        </w:rPr>
        <w:t>המהר"ם</w:t>
      </w:r>
      <w:r>
        <w:rPr>
          <w:rFonts w:hint="cs"/>
          <w:rtl/>
        </w:rPr>
        <w:t xml:space="preserve"> דאף  </w:t>
      </w:r>
      <w:r w:rsidRPr="00AB1452">
        <w:rPr>
          <w:rStyle w:val="af9"/>
          <w:rFonts w:hint="cs"/>
          <w:rtl/>
        </w:rPr>
        <w:t>דלתירוץ הג' בתוס'</w:t>
      </w:r>
      <w:r>
        <w:rPr>
          <w:rStyle w:val="af7"/>
          <w:rFonts w:eastAsia="Guttman Hodes" w:hint="cs"/>
          <w:rtl/>
        </w:rPr>
        <w:t xml:space="preserve"> </w:t>
      </w:r>
      <w:r w:rsidRPr="004F0937">
        <w:rPr>
          <w:rStyle w:val="af7"/>
          <w:rFonts w:eastAsia="Guttman Hodes" w:hint="cs"/>
          <w:rtl/>
        </w:rPr>
        <w:t xml:space="preserve">(עי' אות </w:t>
      </w:r>
      <w:r w:rsidRPr="004F0937">
        <w:rPr>
          <w:rStyle w:val="af7"/>
          <w:rFonts w:eastAsia="Guttman Hodes"/>
          <w:rtl/>
        </w:rPr>
        <w:fldChar w:fldCharType="begin"/>
      </w:r>
      <w:r w:rsidRPr="004F0937">
        <w:rPr>
          <w:rStyle w:val="af7"/>
          <w:rFonts w:eastAsia="Guttman Hodes"/>
          <w:rtl/>
        </w:rPr>
        <w:instrText xml:space="preserve"> </w:instrText>
      </w:r>
      <w:r w:rsidRPr="004F0937">
        <w:rPr>
          <w:rStyle w:val="af7"/>
          <w:rFonts w:eastAsia="Guttman Hodes" w:hint="cs"/>
        </w:rPr>
        <w:instrText>REF</w:instrText>
      </w:r>
      <w:r w:rsidRPr="004F0937">
        <w:rPr>
          <w:rStyle w:val="af7"/>
          <w:rFonts w:eastAsia="Guttman Hodes" w:hint="cs"/>
          <w:rtl/>
        </w:rPr>
        <w:instrText xml:space="preserve"> _</w:instrText>
      </w:r>
      <w:r w:rsidRPr="004F0937">
        <w:rPr>
          <w:rStyle w:val="af7"/>
          <w:rFonts w:eastAsia="Guttman Hodes" w:hint="cs"/>
        </w:rPr>
        <w:instrText>Ref523328223 \r \h</w:instrText>
      </w:r>
      <w:r w:rsidRPr="004F0937">
        <w:rPr>
          <w:rStyle w:val="af7"/>
          <w:rFonts w:eastAsia="Guttman Hodes"/>
          <w:rtl/>
        </w:rPr>
        <w:instrText xml:space="preserve"> </w:instrText>
      </w:r>
      <w:r w:rsidRPr="004F0937">
        <w:rPr>
          <w:rStyle w:val="af7"/>
          <w:rFonts w:eastAsia="Guttman Hodes"/>
          <w:rtl/>
        </w:rPr>
      </w:r>
      <w:r w:rsidRPr="004F0937">
        <w:rPr>
          <w:rStyle w:val="af7"/>
          <w:rFonts w:eastAsia="Guttman Hodes"/>
          <w:rtl/>
        </w:rPr>
        <w:fldChar w:fldCharType="separate"/>
      </w:r>
      <w:r w:rsidR="00345400">
        <w:rPr>
          <w:rStyle w:val="af7"/>
          <w:rFonts w:eastAsia="Guttman Hodes"/>
          <w:cs/>
        </w:rPr>
        <w:t>‎</w:t>
      </w:r>
      <w:r w:rsidR="00345400">
        <w:rPr>
          <w:rStyle w:val="af7"/>
          <w:rFonts w:eastAsia="Guttman Hodes"/>
          <w:rtl/>
        </w:rPr>
        <w:t>לה)</w:t>
      </w:r>
      <w:r w:rsidRPr="004F0937">
        <w:rPr>
          <w:rStyle w:val="af7"/>
          <w:rFonts w:eastAsia="Guttman Hodes"/>
          <w:rtl/>
        </w:rPr>
        <w:fldChar w:fldCharType="end"/>
      </w:r>
      <w:r w:rsidRPr="004F0937">
        <w:rPr>
          <w:rStyle w:val="af7"/>
          <w:rFonts w:eastAsia="Guttman Hodes" w:hint="cs"/>
          <w:rtl/>
        </w:rPr>
        <w:t xml:space="preserve"> </w:t>
      </w:r>
      <w:r>
        <w:rPr>
          <w:rFonts w:hint="cs"/>
          <w:rtl/>
        </w:rPr>
        <w:t>לא קשה</w:t>
      </w:r>
      <w:r w:rsidRPr="00AB1452">
        <w:rPr>
          <w:rFonts w:hint="cs"/>
          <w:rtl/>
        </w:rPr>
        <w:t xml:space="preserve"> </w:t>
      </w:r>
      <w:r>
        <w:rPr>
          <w:rFonts w:hint="cs"/>
          <w:rtl/>
        </w:rPr>
        <w:t xml:space="preserve">קושית </w:t>
      </w:r>
      <w:r w:rsidRPr="00AB1452">
        <w:rPr>
          <w:rStyle w:val="af9"/>
          <w:rFonts w:hint="cs"/>
          <w:rtl/>
        </w:rPr>
        <w:t>התוס'</w:t>
      </w:r>
      <w:r>
        <w:rPr>
          <w:rFonts w:hint="cs"/>
          <w:rtl/>
        </w:rPr>
        <w:t xml:space="preserve"> </w:t>
      </w:r>
      <w:r w:rsidRPr="004F0937">
        <w:rPr>
          <w:rStyle w:val="af7"/>
          <w:rFonts w:eastAsia="Guttman Hodes" w:hint="cs"/>
          <w:rtl/>
        </w:rPr>
        <w:t xml:space="preserve">(עי' אות </w:t>
      </w:r>
      <w:r w:rsidRPr="004F0937">
        <w:rPr>
          <w:rStyle w:val="af7"/>
          <w:rFonts w:eastAsia="Guttman Hodes"/>
          <w:rtl/>
        </w:rPr>
        <w:fldChar w:fldCharType="begin"/>
      </w:r>
      <w:r w:rsidRPr="004F0937">
        <w:rPr>
          <w:rStyle w:val="af7"/>
          <w:rFonts w:eastAsia="Guttman Hodes"/>
          <w:rtl/>
        </w:rPr>
        <w:instrText xml:space="preserve"> </w:instrText>
      </w:r>
      <w:r w:rsidRPr="004F0937">
        <w:rPr>
          <w:rStyle w:val="af7"/>
          <w:rFonts w:eastAsia="Guttman Hodes" w:hint="cs"/>
        </w:rPr>
        <w:instrText>REF</w:instrText>
      </w:r>
      <w:r w:rsidRPr="004F0937">
        <w:rPr>
          <w:rStyle w:val="af7"/>
          <w:rFonts w:eastAsia="Guttman Hodes" w:hint="cs"/>
          <w:rtl/>
        </w:rPr>
        <w:instrText xml:space="preserve"> _</w:instrText>
      </w:r>
      <w:r w:rsidRPr="004F0937">
        <w:rPr>
          <w:rStyle w:val="af7"/>
          <w:rFonts w:eastAsia="Guttman Hodes" w:hint="cs"/>
        </w:rPr>
        <w:instrText>Ref526245832 \r \h</w:instrText>
      </w:r>
      <w:r w:rsidRPr="004F0937">
        <w:rPr>
          <w:rStyle w:val="af7"/>
          <w:rFonts w:eastAsia="Guttman Hodes"/>
          <w:rtl/>
        </w:rPr>
        <w:instrText xml:space="preserve"> </w:instrText>
      </w:r>
      <w:r w:rsidRPr="004F0937">
        <w:rPr>
          <w:rStyle w:val="af7"/>
          <w:rFonts w:eastAsia="Guttman Hodes"/>
          <w:rtl/>
        </w:rPr>
      </w:r>
      <w:r w:rsidRPr="004F0937">
        <w:rPr>
          <w:rStyle w:val="af7"/>
          <w:rFonts w:eastAsia="Guttman Hodes"/>
          <w:rtl/>
        </w:rPr>
        <w:fldChar w:fldCharType="separate"/>
      </w:r>
      <w:r w:rsidR="00345400">
        <w:rPr>
          <w:rStyle w:val="af7"/>
          <w:rFonts w:eastAsia="Guttman Hodes"/>
          <w:cs/>
        </w:rPr>
        <w:t>‎</w:t>
      </w:r>
      <w:r w:rsidR="00345400">
        <w:rPr>
          <w:rStyle w:val="af7"/>
          <w:rFonts w:eastAsia="Guttman Hodes"/>
          <w:rtl/>
        </w:rPr>
        <w:t>סה)</w:t>
      </w:r>
      <w:r w:rsidRPr="004F0937">
        <w:rPr>
          <w:rStyle w:val="af7"/>
          <w:rFonts w:eastAsia="Guttman Hodes"/>
          <w:rtl/>
        </w:rPr>
        <w:fldChar w:fldCharType="end"/>
      </w:r>
      <w:r>
        <w:rPr>
          <w:rFonts w:hint="cs"/>
          <w:rtl/>
        </w:rPr>
        <w:t xml:space="preserve"> מהילפותא דבית המנוגע, מ"מ כוונתם להקשות לפי </w:t>
      </w:r>
      <w:r w:rsidRPr="00AB1452">
        <w:rPr>
          <w:rStyle w:val="af9"/>
          <w:rFonts w:hint="cs"/>
          <w:rtl/>
        </w:rPr>
        <w:t xml:space="preserve">התירוץ הא' בתוס' </w:t>
      </w:r>
      <w:r w:rsidRPr="004F0937">
        <w:rPr>
          <w:rStyle w:val="af7"/>
          <w:rFonts w:eastAsia="Guttman Hodes" w:hint="cs"/>
          <w:rtl/>
        </w:rPr>
        <w:t xml:space="preserve">(עי' אות </w:t>
      </w:r>
      <w:r w:rsidRPr="004F0937">
        <w:rPr>
          <w:rStyle w:val="af7"/>
          <w:rFonts w:eastAsia="Guttman Hodes"/>
          <w:rtl/>
        </w:rPr>
        <w:fldChar w:fldCharType="begin"/>
      </w:r>
      <w:r w:rsidRPr="004F0937">
        <w:rPr>
          <w:rStyle w:val="af7"/>
          <w:rFonts w:eastAsia="Guttman Hodes"/>
          <w:rtl/>
        </w:rPr>
        <w:instrText xml:space="preserve"> </w:instrText>
      </w:r>
      <w:r w:rsidRPr="004F0937">
        <w:rPr>
          <w:rStyle w:val="af7"/>
          <w:rFonts w:eastAsia="Guttman Hodes" w:hint="cs"/>
        </w:rPr>
        <w:instrText>REF</w:instrText>
      </w:r>
      <w:r w:rsidRPr="004F0937">
        <w:rPr>
          <w:rStyle w:val="af7"/>
          <w:rFonts w:eastAsia="Guttman Hodes" w:hint="cs"/>
          <w:rtl/>
        </w:rPr>
        <w:instrText xml:space="preserve"> _</w:instrText>
      </w:r>
      <w:r w:rsidRPr="004F0937">
        <w:rPr>
          <w:rStyle w:val="af7"/>
          <w:rFonts w:eastAsia="Guttman Hodes" w:hint="cs"/>
        </w:rPr>
        <w:instrText>Ref523328300 \r \h</w:instrText>
      </w:r>
      <w:r w:rsidRPr="004F0937">
        <w:rPr>
          <w:rStyle w:val="af7"/>
          <w:rFonts w:eastAsia="Guttman Hodes"/>
          <w:rtl/>
        </w:rPr>
        <w:instrText xml:space="preserve"> </w:instrText>
      </w:r>
      <w:r w:rsidRPr="004F0937">
        <w:rPr>
          <w:rStyle w:val="af7"/>
          <w:rFonts w:eastAsia="Guttman Hodes"/>
          <w:rtl/>
        </w:rPr>
      </w:r>
      <w:r w:rsidRPr="004F0937">
        <w:rPr>
          <w:rStyle w:val="af7"/>
          <w:rFonts w:eastAsia="Guttman Hodes"/>
          <w:rtl/>
        </w:rPr>
        <w:fldChar w:fldCharType="separate"/>
      </w:r>
      <w:r w:rsidR="00345400">
        <w:rPr>
          <w:rStyle w:val="af7"/>
          <w:rFonts w:eastAsia="Guttman Hodes"/>
          <w:cs/>
        </w:rPr>
        <w:t>‎</w:t>
      </w:r>
      <w:r w:rsidR="00345400">
        <w:rPr>
          <w:rStyle w:val="af7"/>
          <w:rFonts w:eastAsia="Guttman Hodes"/>
          <w:rtl/>
        </w:rPr>
        <w:t>יח)</w:t>
      </w:r>
      <w:r w:rsidRPr="004F0937">
        <w:rPr>
          <w:rStyle w:val="af7"/>
          <w:rFonts w:eastAsia="Guttman Hodes"/>
          <w:rtl/>
        </w:rPr>
        <w:fldChar w:fldCharType="end"/>
      </w:r>
      <w:r>
        <w:rPr>
          <w:rStyle w:val="af9"/>
          <w:rFonts w:hint="cs"/>
          <w:rtl/>
        </w:rPr>
        <w:t xml:space="preserve"> </w:t>
      </w:r>
      <w:r>
        <w:rPr>
          <w:rFonts w:hint="cs"/>
          <w:rtl/>
        </w:rPr>
        <w:t xml:space="preserve">דבסכין אין את סברת חסר ואתאי, ועיי"ש במה שביאר </w:t>
      </w:r>
      <w:r w:rsidRPr="00DC522A">
        <w:rPr>
          <w:rStyle w:val="af9"/>
          <w:rFonts w:hint="cs"/>
          <w:rtl/>
        </w:rPr>
        <w:t>הראש יוסף</w:t>
      </w:r>
      <w:r>
        <w:rPr>
          <w:rFonts w:hint="cs"/>
          <w:rtl/>
        </w:rPr>
        <w:t xml:space="preserve"> את קושית </w:t>
      </w:r>
      <w:r w:rsidRPr="00AB1452">
        <w:rPr>
          <w:rStyle w:val="af9"/>
          <w:rFonts w:hint="cs"/>
          <w:rtl/>
        </w:rPr>
        <w:t>התוס'</w:t>
      </w:r>
      <w:r>
        <w:rPr>
          <w:rFonts w:hint="cs"/>
          <w:rtl/>
        </w:rPr>
        <w:t xml:space="preserve"> לפי"ז</w:t>
      </w:r>
      <w:bookmarkEnd w:id="5474"/>
      <w:bookmarkEnd w:id="5475"/>
      <w:bookmarkEnd w:id="5476"/>
      <w:bookmarkEnd w:id="5477"/>
      <w:bookmarkEnd w:id="5508"/>
      <w:r>
        <w:rPr>
          <w:rFonts w:hint="cs"/>
          <w:rtl/>
        </w:rPr>
        <w:t>.</w:t>
      </w:r>
    </w:p>
    <w:p w14:paraId="71D8E621" w14:textId="77777777" w:rsidR="00413DD0" w:rsidRDefault="00413DD0" w:rsidP="00223668">
      <w:pPr>
        <w:pStyle w:val="a0"/>
        <w:rPr>
          <w:rtl/>
        </w:rPr>
        <w:sectPr w:rsidR="00413DD0" w:rsidSect="00D3680E">
          <w:type w:val="continuous"/>
          <w:pgSz w:w="11906" w:h="16838"/>
          <w:pgMar w:top="720" w:right="720" w:bottom="720" w:left="720" w:header="283" w:footer="283" w:gutter="0"/>
          <w:cols w:num="2" w:space="567"/>
          <w:bidi/>
          <w:rtlGutter/>
          <w:docGrid w:linePitch="299"/>
        </w:sectPr>
      </w:pPr>
    </w:p>
    <w:p w14:paraId="290168E4" w14:textId="77777777" w:rsidR="00413DD0" w:rsidRDefault="004B65FC" w:rsidP="00413DD0">
      <w:pPr>
        <w:keepNext/>
        <w:tabs>
          <w:tab w:val="left" w:pos="1163"/>
        </w:tabs>
        <w:spacing w:after="120" w:line="240" w:lineRule="auto"/>
        <w:ind w:left="0"/>
        <w:rPr>
          <w:rFonts w:ascii="Guttman Hodes" w:eastAsia="Guttman Hodes" w:hAnsi="Guttman Hodes" w:cs="Guttman Hodes"/>
          <w:noProof/>
          <w:sz w:val="18"/>
          <w:szCs w:val="18"/>
          <w:rtl/>
        </w:rPr>
        <w:sectPr w:rsidR="00413DD0" w:rsidSect="002E29DB">
          <w:pgSz w:w="11906" w:h="16838"/>
          <w:pgMar w:top="720" w:right="720" w:bottom="720" w:left="720" w:header="283" w:footer="283" w:gutter="0"/>
          <w:cols w:space="567"/>
          <w:bidi/>
          <w:rtlGutter/>
        </w:sectPr>
      </w:pPr>
      <w:r>
        <w:rPr>
          <w:rFonts w:ascii="Guttman Hodes" w:eastAsia="Guttman Hodes" w:hAnsi="Guttman Hodes" w:cs="Guttman Hodes"/>
          <w:noProof/>
          <w:sz w:val="18"/>
          <w:szCs w:val="18"/>
        </w:rPr>
        <w:pict w14:anchorId="4AB9A45F">
          <v:shape id="_x0000_i1031" type="#_x0000_t75" style="width:409.4pt;height:4.45pt" o:hrpct="0" o:hralign="center" o:hr="t">
            <v:imagedata r:id="rId21" o:title="BD14845_"/>
          </v:shape>
        </w:pict>
      </w:r>
    </w:p>
    <w:p w14:paraId="3621B1B2" w14:textId="77777777" w:rsidR="00413DD0" w:rsidRPr="003D226A" w:rsidRDefault="00413DD0" w:rsidP="006D6D32">
      <w:pPr>
        <w:pStyle w:val="afe"/>
        <w:rPr>
          <w:rFonts w:ascii="Guttman Hodes" w:eastAsia="Guttman Hodes" w:hAnsi="Guttman Hodes" w:cs="Guttman Hodes"/>
          <w:sz w:val="18"/>
          <w:szCs w:val="18"/>
          <w:rtl/>
        </w:rPr>
      </w:pPr>
      <w:r w:rsidRPr="0061208F">
        <w:rPr>
          <w:rFonts w:ascii="Guttman Hodes" w:eastAsia="Guttman Hodes" w:hAnsi="Guttman Hodes" w:cs="Guttman Hodes" w:hint="cs"/>
          <w:sz w:val="18"/>
          <w:szCs w:val="18"/>
          <w:rtl/>
        </w:rPr>
        <w:t xml:space="preserve"> </w:t>
      </w:r>
      <w:bookmarkStart w:id="5509" w:name="_Toc523760858"/>
      <w:bookmarkStart w:id="5510" w:name="_Toc524638748"/>
      <w:bookmarkStart w:id="5511" w:name="_Toc525594409"/>
      <w:bookmarkStart w:id="5512" w:name="_Toc526249285"/>
      <w:bookmarkStart w:id="5513" w:name="_Toc526416022"/>
      <w:bookmarkStart w:id="5514" w:name="_Toc526418240"/>
      <w:bookmarkStart w:id="5515" w:name="_Toc19435379"/>
      <w:bookmarkStart w:id="5516" w:name="_Toc20080707"/>
      <w:r>
        <w:rPr>
          <w:rFonts w:hint="cs"/>
          <w:rtl/>
        </w:rPr>
        <w:t>ביאורי ראשי הישיבות על הסוגיא</w:t>
      </w:r>
      <w:bookmarkEnd w:id="5509"/>
      <w:bookmarkEnd w:id="5510"/>
      <w:bookmarkEnd w:id="5511"/>
      <w:bookmarkEnd w:id="5512"/>
      <w:bookmarkEnd w:id="5513"/>
      <w:bookmarkEnd w:id="5514"/>
      <w:bookmarkEnd w:id="5515"/>
      <w:bookmarkEnd w:id="5516"/>
    </w:p>
    <w:p w14:paraId="45AABC5A" w14:textId="77777777" w:rsidR="003D226A" w:rsidRDefault="003D226A" w:rsidP="00223668">
      <w:pPr>
        <w:pStyle w:val="a0"/>
        <w:rPr>
          <w:rtl/>
        </w:rPr>
        <w:sectPr w:rsidR="003D226A" w:rsidSect="003D226A">
          <w:type w:val="continuous"/>
          <w:pgSz w:w="11906" w:h="16838"/>
          <w:pgMar w:top="720" w:right="720" w:bottom="720" w:left="720" w:header="283" w:footer="283" w:gutter="0"/>
          <w:cols w:space="567"/>
          <w:bidi/>
          <w:rtlGutter/>
        </w:sectPr>
      </w:pPr>
    </w:p>
    <w:p w14:paraId="4208957F" w14:textId="77777777" w:rsidR="00E92937" w:rsidRPr="007244EA" w:rsidRDefault="00E92937" w:rsidP="006D6D32">
      <w:pPr>
        <w:pStyle w:val="afe"/>
        <w:rPr>
          <w:rtl/>
        </w:rPr>
      </w:pPr>
      <w:bookmarkStart w:id="5517" w:name="_Toc526249289"/>
      <w:bookmarkStart w:id="5518" w:name="_Toc526416029"/>
      <w:bookmarkStart w:id="5519" w:name="_Toc526418241"/>
      <w:bookmarkStart w:id="5520" w:name="_Toc19435380"/>
      <w:bookmarkStart w:id="5521" w:name="_Toc20080708"/>
      <w:bookmarkStart w:id="5522" w:name="_Toc523760859"/>
      <w:bookmarkStart w:id="5523" w:name="_Toc524638749"/>
      <w:bookmarkStart w:id="5524" w:name="_Toc525594410"/>
      <w:bookmarkStart w:id="5525" w:name="_Toc526249286"/>
      <w:bookmarkStart w:id="5526" w:name="_Toc526416023"/>
      <w:bookmarkStart w:id="5527" w:name="_Toc523698001"/>
      <w:r>
        <w:rPr>
          <w:rFonts w:hint="cs"/>
          <w:rtl/>
        </w:rPr>
        <w:t>בדברי התוס' בספק ספיקא בסכין</w:t>
      </w:r>
      <w:bookmarkEnd w:id="5517"/>
      <w:bookmarkEnd w:id="5518"/>
      <w:bookmarkEnd w:id="5519"/>
      <w:bookmarkEnd w:id="5520"/>
      <w:bookmarkEnd w:id="5521"/>
    </w:p>
    <w:p w14:paraId="5E5C09F1" w14:textId="77777777" w:rsidR="00E92937" w:rsidRPr="001F3D44" w:rsidRDefault="00E92937" w:rsidP="00BF39B2">
      <w:pPr>
        <w:pStyle w:val="1"/>
        <w:rPr>
          <w:rtl/>
        </w:rPr>
      </w:pPr>
      <w:bookmarkStart w:id="5528" w:name="_Toc526249290"/>
      <w:bookmarkStart w:id="5529" w:name="_Toc526416030"/>
      <w:bookmarkStart w:id="5530" w:name="_Toc526418242"/>
      <w:bookmarkStart w:id="5531" w:name="_Toc19389624"/>
      <w:bookmarkStart w:id="5532" w:name="_Toc19393121"/>
      <w:r>
        <w:rPr>
          <w:rFonts w:hint="cs"/>
          <w:rtl/>
        </w:rPr>
        <w:t>ביאור המקדש דוד דספק ספיקא מהני כנגד חזקה עם ריעותא</w:t>
      </w:r>
      <w:bookmarkEnd w:id="5528"/>
      <w:bookmarkEnd w:id="5529"/>
      <w:bookmarkEnd w:id="5530"/>
      <w:bookmarkEnd w:id="5531"/>
      <w:bookmarkEnd w:id="5532"/>
    </w:p>
    <w:p w14:paraId="0BF65678" w14:textId="77777777" w:rsidR="00E92937" w:rsidRPr="001F3D44" w:rsidRDefault="00E92937" w:rsidP="006D6D32">
      <w:pPr>
        <w:pStyle w:val="a3"/>
        <w:rPr>
          <w:rtl/>
        </w:rPr>
      </w:pPr>
      <w:bookmarkStart w:id="5533" w:name="_Toc526418243"/>
      <w:bookmarkStart w:id="5534" w:name="_Toc19389625"/>
      <w:bookmarkStart w:id="5535" w:name="_Toc19393122"/>
      <w:r>
        <w:rPr>
          <w:rFonts w:hint="cs"/>
          <w:rtl/>
        </w:rPr>
        <w:t>קושית המקדש דוד דלא מהני ספק ספיקא להתיר במקום חזקה</w:t>
      </w:r>
      <w:bookmarkEnd w:id="5533"/>
      <w:bookmarkEnd w:id="5534"/>
      <w:bookmarkEnd w:id="5535"/>
    </w:p>
    <w:p w14:paraId="045FED00" w14:textId="77777777" w:rsidR="00E92937" w:rsidRDefault="00E92937" w:rsidP="00223668">
      <w:pPr>
        <w:pStyle w:val="a0"/>
        <w:rPr>
          <w:rtl/>
        </w:rPr>
      </w:pPr>
      <w:bookmarkStart w:id="5536" w:name="_Ref525767783"/>
      <w:bookmarkStart w:id="5537" w:name="_Ref526672060"/>
      <w:r w:rsidRPr="00AD567D">
        <w:rPr>
          <w:rStyle w:val="af9"/>
          <w:rFonts w:hint="cs"/>
          <w:rtl/>
        </w:rPr>
        <w:t xml:space="preserve">בשיעורי </w:t>
      </w:r>
      <w:r>
        <w:rPr>
          <w:rStyle w:val="af9"/>
          <w:rFonts w:hint="cs"/>
          <w:rtl/>
        </w:rPr>
        <w:t>ה</w:t>
      </w:r>
      <w:r w:rsidRPr="00AD567D">
        <w:rPr>
          <w:rStyle w:val="af9"/>
          <w:rFonts w:hint="cs"/>
          <w:rtl/>
        </w:rPr>
        <w:t>מקדש דוד</w:t>
      </w:r>
      <w:r>
        <w:rPr>
          <w:rStyle w:val="af1"/>
          <w:rtl/>
        </w:rPr>
        <w:footnoteReference w:id="27"/>
      </w:r>
      <w:r>
        <w:rPr>
          <w:rFonts w:hint="cs"/>
          <w:rtl/>
        </w:rPr>
        <w:t xml:space="preserve"> </w:t>
      </w:r>
      <w:r w:rsidRPr="00531C6B">
        <w:rPr>
          <w:rStyle w:val="af7"/>
          <w:rFonts w:eastAsia="Guttman Hodes" w:hint="cs"/>
          <w:rtl/>
        </w:rPr>
        <w:t>(חולין סי' ב' אות ח')</w:t>
      </w:r>
      <w:r>
        <w:rPr>
          <w:rFonts w:hint="cs"/>
          <w:rtl/>
        </w:rPr>
        <w:t xml:space="preserve"> הקשה על </w:t>
      </w:r>
      <w:r w:rsidRPr="000806D6">
        <w:rPr>
          <w:rStyle w:val="af9"/>
          <w:rFonts w:hint="cs"/>
          <w:rtl/>
        </w:rPr>
        <w:t>ה</w:t>
      </w:r>
      <w:r>
        <w:rPr>
          <w:rStyle w:val="af9"/>
          <w:rFonts w:hint="cs"/>
          <w:rtl/>
        </w:rPr>
        <w:t>תי' הג' ב</w:t>
      </w:r>
      <w:r w:rsidRPr="000806D6">
        <w:rPr>
          <w:rStyle w:val="af9"/>
          <w:rFonts w:hint="cs"/>
          <w:rtl/>
        </w:rPr>
        <w:t>תוס'</w:t>
      </w:r>
      <w:r>
        <w:rPr>
          <w:rFonts w:hint="cs"/>
          <w:rtl/>
        </w:rPr>
        <w:t xml:space="preserve"> </w:t>
      </w:r>
      <w:r w:rsidRPr="000806D6">
        <w:rPr>
          <w:rStyle w:val="af7"/>
          <w:rFonts w:eastAsia="Guttman Hodes" w:hint="cs"/>
          <w:rtl/>
        </w:rPr>
        <w:t xml:space="preserve">(עי' אות </w:t>
      </w:r>
      <w:r w:rsidRPr="000806D6">
        <w:rPr>
          <w:rStyle w:val="af7"/>
          <w:rFonts w:eastAsia="Guttman Hodes"/>
          <w:rtl/>
        </w:rPr>
        <w:fldChar w:fldCharType="begin"/>
      </w:r>
      <w:r w:rsidRPr="000806D6">
        <w:rPr>
          <w:rStyle w:val="af7"/>
          <w:rFonts w:eastAsia="Guttman Hodes"/>
          <w:rtl/>
        </w:rPr>
        <w:instrText xml:space="preserve"> </w:instrText>
      </w:r>
      <w:r w:rsidRPr="000806D6">
        <w:rPr>
          <w:rStyle w:val="af7"/>
          <w:rFonts w:eastAsia="Guttman Hodes" w:hint="cs"/>
        </w:rPr>
        <w:instrText>REF</w:instrText>
      </w:r>
      <w:r w:rsidRPr="000806D6">
        <w:rPr>
          <w:rStyle w:val="af7"/>
          <w:rFonts w:eastAsia="Guttman Hodes" w:hint="cs"/>
          <w:rtl/>
        </w:rPr>
        <w:instrText xml:space="preserve"> _</w:instrText>
      </w:r>
      <w:r w:rsidRPr="000806D6">
        <w:rPr>
          <w:rStyle w:val="af7"/>
          <w:rFonts w:eastAsia="Guttman Hodes" w:hint="cs"/>
        </w:rPr>
        <w:instrText>Ref523328223 \r \h</w:instrText>
      </w:r>
      <w:r w:rsidRPr="000806D6">
        <w:rPr>
          <w:rStyle w:val="af7"/>
          <w:rFonts w:eastAsia="Guttman Hodes"/>
          <w:rtl/>
        </w:rPr>
        <w:instrText xml:space="preserve"> </w:instrText>
      </w:r>
      <w:r w:rsidRPr="000806D6">
        <w:rPr>
          <w:rStyle w:val="af7"/>
          <w:rFonts w:eastAsia="Guttman Hodes"/>
          <w:rtl/>
        </w:rPr>
      </w:r>
      <w:r w:rsidRPr="000806D6">
        <w:rPr>
          <w:rStyle w:val="af7"/>
          <w:rFonts w:eastAsia="Guttman Hodes"/>
          <w:rtl/>
        </w:rPr>
        <w:fldChar w:fldCharType="separate"/>
      </w:r>
      <w:r w:rsidR="00345400">
        <w:rPr>
          <w:rStyle w:val="af7"/>
          <w:rFonts w:eastAsia="Guttman Hodes"/>
          <w:cs/>
        </w:rPr>
        <w:t>‎</w:t>
      </w:r>
      <w:r w:rsidR="00345400">
        <w:rPr>
          <w:rStyle w:val="af7"/>
          <w:rFonts w:eastAsia="Guttman Hodes"/>
          <w:rtl/>
        </w:rPr>
        <w:t>לה)</w:t>
      </w:r>
      <w:r w:rsidRPr="000806D6">
        <w:rPr>
          <w:rStyle w:val="af7"/>
          <w:rFonts w:eastAsia="Guttman Hodes"/>
          <w:rtl/>
        </w:rPr>
        <w:fldChar w:fldCharType="end"/>
      </w:r>
      <w:r>
        <w:rPr>
          <w:rFonts w:hint="cs"/>
          <w:rtl/>
        </w:rPr>
        <w:t xml:space="preserve"> דהאיך כתבו דרב חסדא התיר כיון שיש ספק ספיקא, הא לא מהני ספק ספיקא במקום שיש חזקה, [והביא </w:t>
      </w:r>
      <w:r w:rsidRPr="00531C6B">
        <w:rPr>
          <w:rStyle w:val="af9"/>
          <w:rFonts w:hint="cs"/>
          <w:rtl/>
        </w:rPr>
        <w:t xml:space="preserve">בשיעורי המקדש דוד </w:t>
      </w:r>
      <w:r>
        <w:rPr>
          <w:rFonts w:hint="cs"/>
          <w:rtl/>
        </w:rPr>
        <w:t xml:space="preserve">דכעי"ז הקשה </w:t>
      </w:r>
      <w:r w:rsidRPr="00531C6B">
        <w:rPr>
          <w:rStyle w:val="af9"/>
          <w:rFonts w:hint="cs"/>
          <w:rtl/>
        </w:rPr>
        <w:t>הגרעק"א</w:t>
      </w:r>
      <w:r>
        <w:rPr>
          <w:rFonts w:hint="cs"/>
          <w:rtl/>
        </w:rPr>
        <w:t xml:space="preserve"> </w:t>
      </w:r>
      <w:r w:rsidRPr="00531C6B">
        <w:rPr>
          <w:rStyle w:val="af7"/>
          <w:rFonts w:eastAsia="Guttman Hodes" w:hint="cs"/>
          <w:rtl/>
        </w:rPr>
        <w:t>(לקמן כח:)</w:t>
      </w:r>
      <w:r>
        <w:rPr>
          <w:rFonts w:hint="cs"/>
          <w:rtl/>
        </w:rPr>
        <w:t xml:space="preserve"> על דברי </w:t>
      </w:r>
      <w:r w:rsidRPr="00531C6B">
        <w:rPr>
          <w:rStyle w:val="af9"/>
          <w:rFonts w:hint="cs"/>
          <w:rtl/>
        </w:rPr>
        <w:t xml:space="preserve">התוס' </w:t>
      </w:r>
      <w:r>
        <w:rPr>
          <w:rFonts w:hint="cs"/>
          <w:rtl/>
        </w:rPr>
        <w:t>שם דכתבו בדין א"א לצמצם דספק ספיקא מתיר, דלא מהני ספק ספיקא כנגד חזקת אינו זבוח].</w:t>
      </w:r>
      <w:bookmarkEnd w:id="5536"/>
      <w:bookmarkEnd w:id="5537"/>
    </w:p>
    <w:p w14:paraId="6F13BD56" w14:textId="77777777" w:rsidR="00E92937" w:rsidRPr="009C7501" w:rsidRDefault="00E92937" w:rsidP="006D6D32">
      <w:pPr>
        <w:pStyle w:val="a3"/>
        <w:rPr>
          <w:rtl/>
        </w:rPr>
      </w:pPr>
      <w:bookmarkStart w:id="5538" w:name="_Toc526418244"/>
      <w:bookmarkStart w:id="5539" w:name="_Toc19389626"/>
      <w:bookmarkStart w:id="5540" w:name="_Toc19393123"/>
      <w:r>
        <w:rPr>
          <w:rFonts w:hint="cs"/>
          <w:rtl/>
        </w:rPr>
        <w:t>דברי המקדש דוד דכשיש חזקה כל ספק נדון בפנ"ע ולא שייך לצרפם לספק ספיקא</w:t>
      </w:r>
      <w:bookmarkEnd w:id="5538"/>
      <w:bookmarkEnd w:id="5539"/>
      <w:bookmarkEnd w:id="5540"/>
    </w:p>
    <w:p w14:paraId="6353901D" w14:textId="77777777" w:rsidR="00E92937" w:rsidRDefault="00E92937" w:rsidP="00223668">
      <w:pPr>
        <w:pStyle w:val="a0"/>
        <w:rPr>
          <w:rtl/>
        </w:rPr>
      </w:pPr>
      <w:r>
        <w:rPr>
          <w:rFonts w:hint="cs"/>
          <w:rtl/>
        </w:rPr>
        <w:t xml:space="preserve">וכתב </w:t>
      </w:r>
      <w:r w:rsidRPr="00531C6B">
        <w:rPr>
          <w:rStyle w:val="af9"/>
          <w:rFonts w:hint="cs"/>
          <w:rtl/>
        </w:rPr>
        <w:t xml:space="preserve">בשיעורי המקדש דוד </w:t>
      </w:r>
      <w:r>
        <w:rPr>
          <w:rFonts w:hint="cs"/>
          <w:rtl/>
        </w:rPr>
        <w:t>דהביאור בהא דלא מהני ספק ספיקא כנגד חזקה, הוא כיון דכל ספק הוא נדון בפני עצמו, וכיון שבספק אחד יש בו חזקת איסור שאוסרתו, ממילא אין בכח הספק השני להוציא את הספק הראשון מחזקתו.</w:t>
      </w:r>
    </w:p>
    <w:p w14:paraId="17CC9CC0" w14:textId="77777777" w:rsidR="00E92937" w:rsidRDefault="00E92937" w:rsidP="006D6D32">
      <w:pPr>
        <w:pStyle w:val="a3"/>
        <w:rPr>
          <w:rtl/>
        </w:rPr>
      </w:pPr>
      <w:bookmarkStart w:id="5541" w:name="_Toc526418245"/>
      <w:bookmarkStart w:id="5542" w:name="_Toc19389627"/>
      <w:bookmarkStart w:id="5543" w:name="_Toc19393124"/>
      <w:r>
        <w:rPr>
          <w:rFonts w:hint="cs"/>
          <w:rtl/>
        </w:rPr>
        <w:t>ביאור המקדש דוד דבחזקה עם ריעותא שייך לצרף את הספיקות בכדי להוציא מהחזקה</w:t>
      </w:r>
      <w:bookmarkEnd w:id="5541"/>
      <w:bookmarkEnd w:id="5542"/>
      <w:bookmarkEnd w:id="5543"/>
    </w:p>
    <w:p w14:paraId="1FA64107" w14:textId="77777777" w:rsidR="00E92937" w:rsidRDefault="00E92937" w:rsidP="00223668">
      <w:pPr>
        <w:pStyle w:val="a0"/>
        <w:rPr>
          <w:rtl/>
        </w:rPr>
      </w:pPr>
      <w:r>
        <w:rPr>
          <w:rFonts w:hint="cs"/>
          <w:rtl/>
        </w:rPr>
        <w:t xml:space="preserve">ולפי"ז ביאר </w:t>
      </w:r>
      <w:r w:rsidRPr="00531C6B">
        <w:rPr>
          <w:rStyle w:val="af9"/>
          <w:rFonts w:hint="cs"/>
          <w:rtl/>
        </w:rPr>
        <w:t xml:space="preserve">בשיעורי המקדש דוד </w:t>
      </w:r>
      <w:r>
        <w:rPr>
          <w:rFonts w:hint="cs"/>
          <w:rtl/>
        </w:rPr>
        <w:t>דדוקא בחזקת איסור שאין בה ריעותא דהיא חזקה ודאית, אמרינן דאין בכח הספק השני להוציא מהחזקת איסור של הספק הראשון, אבל כשיש ריעותא בחזקה, אף דלדינא מעמידים בחזקת איסור, מ"מ אפשר לצרף את ב' הספיקות בכדי להוציא מהחזקה, ולכן בסכין שיש ריעותא בחזקת אינו זבוח, עכיון שנעשה בבהמה מעשה שחיטה, לכן מהני הספק ספיקא להוציא את הבהמה מחזקת איסור.</w:t>
      </w:r>
    </w:p>
    <w:p w14:paraId="481963C3" w14:textId="77777777" w:rsidR="00E92937" w:rsidRDefault="00E92937" w:rsidP="006D6D32">
      <w:pPr>
        <w:pStyle w:val="afe"/>
        <w:rPr>
          <w:rtl/>
        </w:rPr>
      </w:pPr>
      <w:bookmarkStart w:id="5544" w:name="_Toc526418246"/>
      <w:bookmarkStart w:id="5545" w:name="_Toc19435381"/>
      <w:bookmarkStart w:id="5546" w:name="_Toc20080709"/>
      <w:r>
        <w:rPr>
          <w:rFonts w:hint="cs"/>
          <w:rtl/>
        </w:rPr>
        <w:t>בתירוץ הרשב"א דשמא לא שחט בפגימה</w:t>
      </w:r>
      <w:bookmarkEnd w:id="5522"/>
      <w:bookmarkEnd w:id="5523"/>
      <w:bookmarkEnd w:id="5524"/>
      <w:bookmarkEnd w:id="5525"/>
      <w:bookmarkEnd w:id="5526"/>
      <w:bookmarkEnd w:id="5544"/>
      <w:bookmarkEnd w:id="5545"/>
      <w:bookmarkEnd w:id="5546"/>
    </w:p>
    <w:p w14:paraId="11150EDA" w14:textId="77777777" w:rsidR="00E92937" w:rsidRPr="004C7F7E" w:rsidRDefault="00E92937" w:rsidP="00BF39B2">
      <w:pPr>
        <w:pStyle w:val="1"/>
        <w:rPr>
          <w:rtl/>
        </w:rPr>
      </w:pPr>
      <w:bookmarkStart w:id="5547" w:name="_Toc523760860"/>
      <w:bookmarkStart w:id="5548" w:name="_Toc524638750"/>
      <w:bookmarkStart w:id="5549" w:name="_Toc525594411"/>
      <w:bookmarkStart w:id="5550" w:name="_Toc526249287"/>
      <w:bookmarkStart w:id="5551" w:name="_Toc526416024"/>
      <w:bookmarkStart w:id="5552" w:name="_Toc526418247"/>
      <w:bookmarkStart w:id="5553" w:name="_Toc19389628"/>
      <w:bookmarkStart w:id="5554" w:name="_Toc19393125"/>
      <w:r>
        <w:rPr>
          <w:rFonts w:hint="cs"/>
          <w:rtl/>
        </w:rPr>
        <w:t xml:space="preserve">ביאור הגר"א קוטלר </w:t>
      </w:r>
      <w:bookmarkEnd w:id="5527"/>
      <w:bookmarkEnd w:id="5547"/>
      <w:bookmarkEnd w:id="5548"/>
      <w:bookmarkEnd w:id="5549"/>
      <w:bookmarkEnd w:id="5550"/>
      <w:r>
        <w:rPr>
          <w:rFonts w:hint="cs"/>
          <w:rtl/>
        </w:rPr>
        <w:t>דא"א לצרף חזקה דהשתא במצב של ספק</w:t>
      </w:r>
      <w:bookmarkEnd w:id="5551"/>
      <w:bookmarkEnd w:id="5552"/>
      <w:bookmarkEnd w:id="5553"/>
      <w:bookmarkEnd w:id="5554"/>
    </w:p>
    <w:p w14:paraId="6FE780F5" w14:textId="77777777" w:rsidR="00E92937" w:rsidRDefault="00E92937" w:rsidP="006D6D32">
      <w:pPr>
        <w:pStyle w:val="a3"/>
        <w:rPr>
          <w:rtl/>
        </w:rPr>
      </w:pPr>
      <w:bookmarkStart w:id="5555" w:name="_Toc526416025"/>
      <w:bookmarkStart w:id="5556" w:name="_Toc526418248"/>
      <w:bookmarkStart w:id="5557" w:name="_Toc19389629"/>
      <w:bookmarkStart w:id="5558" w:name="_Toc19393126"/>
      <w:r>
        <w:rPr>
          <w:rFonts w:hint="cs"/>
          <w:rtl/>
        </w:rPr>
        <w:t>קושית הגר"א קוטלר דנצרף את החזקה דהשתא דפגום לפניך לריעותא בסכין</w:t>
      </w:r>
      <w:bookmarkEnd w:id="5555"/>
      <w:bookmarkEnd w:id="5556"/>
      <w:bookmarkEnd w:id="5557"/>
      <w:bookmarkEnd w:id="5558"/>
    </w:p>
    <w:p w14:paraId="1F4B26F3" w14:textId="77777777" w:rsidR="00E92937" w:rsidRDefault="00E92937" w:rsidP="00223668">
      <w:pPr>
        <w:pStyle w:val="a0"/>
        <w:rPr>
          <w:rtl/>
        </w:rPr>
      </w:pPr>
      <w:bookmarkStart w:id="5559" w:name="_Ref523678680"/>
      <w:r>
        <w:rPr>
          <w:rFonts w:hint="cs"/>
          <w:rtl/>
        </w:rPr>
        <w:t xml:space="preserve">בדברי </w:t>
      </w:r>
      <w:r w:rsidRPr="00AF2863">
        <w:rPr>
          <w:rStyle w:val="af9"/>
          <w:rFonts w:hint="cs"/>
          <w:rtl/>
        </w:rPr>
        <w:t>הרשב"א</w:t>
      </w:r>
      <w:r w:rsidRPr="00AF2863">
        <w:rPr>
          <w:rStyle w:val="af7"/>
          <w:rFonts w:eastAsia="Guttman Hodes" w:hint="cs"/>
          <w:rtl/>
        </w:rPr>
        <w:t xml:space="preserve"> (עי'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Ref526246404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לו)</w:t>
      </w:r>
      <w:r>
        <w:rPr>
          <w:rStyle w:val="af7"/>
          <w:rFonts w:eastAsia="Guttman Hodes"/>
          <w:rtl/>
        </w:rPr>
        <w:fldChar w:fldCharType="end"/>
      </w:r>
      <w:r>
        <w:rPr>
          <w:rFonts w:hint="cs"/>
          <w:rtl/>
        </w:rPr>
        <w:t xml:space="preserve"> דהריעותא בסכין אינה עושה ריעותא בבהמה כיון שיתכן שלא שחט במקום הפגם, כתב </w:t>
      </w:r>
      <w:r w:rsidRPr="00AF2863">
        <w:rPr>
          <w:rStyle w:val="af9"/>
          <w:rFonts w:hint="cs"/>
          <w:rtl/>
        </w:rPr>
        <w:t>הגר"א קוטלר</w:t>
      </w:r>
      <w:r>
        <w:rPr>
          <w:rFonts w:hint="cs"/>
          <w:rtl/>
        </w:rPr>
        <w:t xml:space="preserve"> </w:t>
      </w:r>
      <w:r w:rsidRPr="00AF2863">
        <w:rPr>
          <w:rStyle w:val="af7"/>
          <w:rFonts w:eastAsia="Guttman Hodes" w:hint="cs"/>
          <w:rtl/>
        </w:rPr>
        <w:t>(נד' בספר זכרון אהל אברהם כתובות עמ' רי"ד ד"ה ונראה דכתב)</w:t>
      </w:r>
      <w:r>
        <w:rPr>
          <w:rFonts w:hint="cs"/>
          <w:rtl/>
        </w:rPr>
        <w:t xml:space="preserve"> דאף שאם לפני השחיטה היה ידוע שהסכין פגום, הייתה הבהמה בחזקת אינה זבוחה והיא ודאי נבילה, והקשה </w:t>
      </w:r>
      <w:r w:rsidRPr="00AF2863">
        <w:rPr>
          <w:rStyle w:val="af9"/>
          <w:rFonts w:hint="cs"/>
          <w:rtl/>
        </w:rPr>
        <w:t>הגר"א קוטלר</w:t>
      </w:r>
      <w:r>
        <w:rPr>
          <w:rFonts w:hint="cs"/>
          <w:rtl/>
        </w:rPr>
        <w:t xml:space="preserve"> דא"כ אף בנמצא הסכין פגום אחר השחיטה אמאי אין מצרפין את החזקה דהשתא דפגום לפניך, לחזקת אינה זבוחה, ותהיה ודאי נבילה.</w:t>
      </w:r>
      <w:bookmarkEnd w:id="5559"/>
    </w:p>
    <w:p w14:paraId="2121FA24" w14:textId="77777777" w:rsidR="00E92937" w:rsidRDefault="00E92937" w:rsidP="006D6D32">
      <w:pPr>
        <w:pStyle w:val="a3"/>
        <w:rPr>
          <w:rtl/>
        </w:rPr>
      </w:pPr>
      <w:bookmarkStart w:id="5560" w:name="_Toc526416026"/>
      <w:bookmarkStart w:id="5561" w:name="_Toc526418249"/>
      <w:bookmarkStart w:id="5562" w:name="_Toc19389630"/>
      <w:bookmarkStart w:id="5563" w:name="_Toc19393127"/>
      <w:r>
        <w:rPr>
          <w:rFonts w:hint="cs"/>
          <w:rtl/>
        </w:rPr>
        <w:t>ביאור הגר"א קוטלר דאפשר לצרף חזקה דהשתא רק שהמצב של עכשיו הוא ודאי ולא ספק</w:t>
      </w:r>
      <w:bookmarkEnd w:id="5560"/>
      <w:bookmarkEnd w:id="5561"/>
      <w:bookmarkEnd w:id="5562"/>
      <w:bookmarkEnd w:id="5563"/>
    </w:p>
    <w:p w14:paraId="2F8603F5" w14:textId="77777777" w:rsidR="00E92937" w:rsidRDefault="00E92937" w:rsidP="00223668">
      <w:pPr>
        <w:pStyle w:val="a0"/>
        <w:rPr>
          <w:rtl/>
        </w:rPr>
      </w:pPr>
      <w:r>
        <w:rPr>
          <w:rFonts w:hint="cs"/>
          <w:rtl/>
        </w:rPr>
        <w:t xml:space="preserve">וביאר </w:t>
      </w:r>
      <w:r w:rsidRPr="00AF2863">
        <w:rPr>
          <w:rStyle w:val="af9"/>
          <w:rFonts w:hint="cs"/>
          <w:rtl/>
        </w:rPr>
        <w:t>הגר"א קוטלר</w:t>
      </w:r>
      <w:r>
        <w:rPr>
          <w:rFonts w:hint="cs"/>
          <w:rtl/>
        </w:rPr>
        <w:t xml:space="preserve"> דכל מה שאפשר לצרף את החזקה דהשתא, הוא דוקא אם לפי המצב של עכשיו היא נבילה בודאי, דאמרינן דאינו זבוח לפניך, כמו במקוה שנמצא חסר, דלפי המצב של עכשיו, הטובל בה ודאי טמא, וכל מה שאפשר להכשיר הוא ע"י החזקה דמעיקרא שהיה המקוה כשר, בזה אפשר לצרף את החזקה דהשתא לחזקת טמא.</w:t>
      </w:r>
    </w:p>
    <w:p w14:paraId="43528F6B" w14:textId="77777777" w:rsidR="00E92937" w:rsidRPr="00D6550F" w:rsidRDefault="00E92937" w:rsidP="006D6D32">
      <w:pPr>
        <w:pStyle w:val="a3"/>
        <w:rPr>
          <w:rtl/>
        </w:rPr>
      </w:pPr>
      <w:bookmarkStart w:id="5564" w:name="_Toc526416027"/>
      <w:bookmarkStart w:id="5565" w:name="_Toc526418250"/>
      <w:bookmarkStart w:id="5566" w:name="_Toc19389631"/>
      <w:bookmarkStart w:id="5567" w:name="_Toc19393128"/>
      <w:r>
        <w:rPr>
          <w:rFonts w:hint="cs"/>
          <w:rtl/>
        </w:rPr>
        <w:t>ביאור הגר"א קוטלר דבסכין שאף עכשיו יש ספק א"א לצרף את החזקה דהשתא</w:t>
      </w:r>
      <w:bookmarkEnd w:id="5564"/>
      <w:bookmarkEnd w:id="5565"/>
      <w:bookmarkEnd w:id="5566"/>
      <w:bookmarkEnd w:id="5567"/>
    </w:p>
    <w:p w14:paraId="5154C54D" w14:textId="77777777" w:rsidR="00E92937" w:rsidRPr="004C7F7E" w:rsidRDefault="00E92937" w:rsidP="00223668">
      <w:pPr>
        <w:pStyle w:val="a0"/>
        <w:rPr>
          <w:rtl/>
        </w:rPr>
      </w:pPr>
      <w:r>
        <w:rPr>
          <w:rFonts w:hint="cs"/>
          <w:rtl/>
        </w:rPr>
        <w:t xml:space="preserve">אבל בסכין  שיתכן ששחט שלא במקום הפגם, ביאר </w:t>
      </w:r>
      <w:r w:rsidRPr="00AF2863">
        <w:rPr>
          <w:rStyle w:val="af9"/>
          <w:rFonts w:hint="cs"/>
          <w:rtl/>
        </w:rPr>
        <w:t xml:space="preserve">הגר"א קוטלר </w:t>
      </w:r>
      <w:r>
        <w:rPr>
          <w:rFonts w:hint="cs"/>
          <w:rtl/>
        </w:rPr>
        <w:t>דכיון שלפי המצב של עכשיו, אף שהסכין פגום מ"מ אינה נבילה בודאי, בזה א"א לצרף את החזקה דהשתא לחזקת אינו זבוח, דכיון שהבהמה נשחטה יצאה מחזקת אינה זבוחה, וא"א לומר דאינה זבוחה לפניך, ולכן כיון שאף לפי המצב של עכשיו יתכן שהיא שחוטה, מעמידים את הסכין בחזקתו שהוא בדוק, ואמרינן דעכשיו נפגם לאחר השחיטה, וממילא הבהמה בחזקת שחוטה בודאי.</w:t>
      </w:r>
    </w:p>
    <w:p w14:paraId="3C21F51D" w14:textId="77777777" w:rsidR="00E92937" w:rsidRDefault="00E92937" w:rsidP="00BF39B2">
      <w:pPr>
        <w:pStyle w:val="1"/>
        <w:rPr>
          <w:rtl/>
        </w:rPr>
      </w:pPr>
      <w:bookmarkStart w:id="5568" w:name="_Toc523397245"/>
      <w:bookmarkStart w:id="5569" w:name="_Toc523490377"/>
      <w:bookmarkStart w:id="5570" w:name="_Toc523698002"/>
      <w:bookmarkStart w:id="5571" w:name="_Toc523760861"/>
      <w:bookmarkStart w:id="5572" w:name="_Toc524638751"/>
      <w:bookmarkStart w:id="5573" w:name="_Toc525594412"/>
      <w:bookmarkStart w:id="5574" w:name="_Toc526249288"/>
      <w:bookmarkStart w:id="5575" w:name="_Toc526416028"/>
      <w:bookmarkStart w:id="5576" w:name="_Toc526418251"/>
      <w:bookmarkStart w:id="5577" w:name="_Toc19389632"/>
      <w:bookmarkStart w:id="5578" w:name="_Toc19393129"/>
      <w:r>
        <w:rPr>
          <w:rFonts w:hint="cs"/>
          <w:rtl/>
        </w:rPr>
        <w:t>ביאור האבי עזרי בתירוץ הרשב"א דבסכין אין תרתי לריעותא</w:t>
      </w:r>
      <w:bookmarkEnd w:id="5568"/>
      <w:bookmarkEnd w:id="5569"/>
      <w:bookmarkEnd w:id="5570"/>
      <w:bookmarkEnd w:id="5571"/>
      <w:bookmarkEnd w:id="5572"/>
      <w:bookmarkEnd w:id="5573"/>
      <w:bookmarkEnd w:id="5574"/>
      <w:bookmarkEnd w:id="5575"/>
      <w:bookmarkEnd w:id="5576"/>
      <w:bookmarkEnd w:id="5577"/>
      <w:bookmarkEnd w:id="5578"/>
    </w:p>
    <w:p w14:paraId="7DC520B7" w14:textId="77777777" w:rsidR="00E92937" w:rsidRPr="00701BD8" w:rsidRDefault="00E92937" w:rsidP="006D6D32">
      <w:pPr>
        <w:pStyle w:val="a3"/>
        <w:rPr>
          <w:rtl/>
        </w:rPr>
      </w:pPr>
      <w:bookmarkStart w:id="5579" w:name="_Toc526418252"/>
      <w:bookmarkStart w:id="5580" w:name="_Toc19389633"/>
      <w:bookmarkStart w:id="5581" w:name="_Toc19393130"/>
      <w:r>
        <w:rPr>
          <w:rFonts w:hint="cs"/>
          <w:rtl/>
        </w:rPr>
        <w:t>ביאור האבי עזרי דכיון שיש ספק אם נפגמה לפני השחיטה א"א לצרף את הריעותא</w:t>
      </w:r>
      <w:bookmarkEnd w:id="5579"/>
      <w:bookmarkEnd w:id="5580"/>
      <w:bookmarkEnd w:id="5581"/>
    </w:p>
    <w:p w14:paraId="0E84FBC1" w14:textId="77777777" w:rsidR="00E92937" w:rsidRDefault="00E92937" w:rsidP="00223668">
      <w:pPr>
        <w:pStyle w:val="a0"/>
      </w:pPr>
      <w:bookmarkStart w:id="5582" w:name="_Ref523391419"/>
      <w:r w:rsidRPr="00ED3AFF">
        <w:rPr>
          <w:rStyle w:val="af9"/>
          <w:rFonts w:hint="cs"/>
          <w:rtl/>
        </w:rPr>
        <w:t>באבי עזרי</w:t>
      </w:r>
      <w:r>
        <w:rPr>
          <w:rFonts w:hint="cs"/>
          <w:rtl/>
        </w:rPr>
        <w:t xml:space="preserve"> </w:t>
      </w:r>
      <w:r w:rsidRPr="00ED3AFF">
        <w:rPr>
          <w:rStyle w:val="af7"/>
          <w:rFonts w:eastAsia="Guttman Hodes" w:hint="cs"/>
          <w:rtl/>
        </w:rPr>
        <w:t xml:space="preserve">(איסו"ב י"ח </w:t>
      </w:r>
      <w:r w:rsidRPr="000066CF">
        <w:rPr>
          <w:rStyle w:val="af7"/>
          <w:rFonts w:eastAsia="Guttman Hodes" w:hint="cs"/>
          <w:rtl/>
        </w:rPr>
        <w:t>ה</w:t>
      </w:r>
      <w:r>
        <w:rPr>
          <w:rStyle w:val="af7"/>
          <w:rFonts w:eastAsia="Guttman Hodes" w:hint="cs"/>
          <w:rtl/>
        </w:rPr>
        <w:t>"י</w:t>
      </w:r>
      <w:r w:rsidRPr="000066CF">
        <w:rPr>
          <w:rStyle w:val="af7"/>
          <w:rFonts w:eastAsia="Guttman Hodes" w:hint="cs"/>
          <w:rtl/>
        </w:rPr>
        <w:t xml:space="preserve"> </w:t>
      </w:r>
      <w:r w:rsidRPr="00ED3AFF">
        <w:rPr>
          <w:rStyle w:val="af7"/>
          <w:rFonts w:eastAsia="Guttman Hodes" w:hint="cs"/>
          <w:rtl/>
        </w:rPr>
        <w:t xml:space="preserve">ד"ה והנה </w:t>
      </w:r>
      <w:r w:rsidRPr="00E44AE2">
        <w:rPr>
          <w:rStyle w:val="af7"/>
          <w:rFonts w:eastAsia="Guttman Hodes" w:hint="cs"/>
          <w:rtl/>
        </w:rPr>
        <w:t>בתוס'</w:t>
      </w:r>
      <w:r w:rsidRPr="00E44AE2">
        <w:rPr>
          <w:rStyle w:val="af1"/>
          <w:rtl/>
        </w:rPr>
        <w:footnoteReference w:id="28"/>
      </w:r>
      <w:r w:rsidRPr="00E44AE2">
        <w:rPr>
          <w:rStyle w:val="af7"/>
          <w:rFonts w:eastAsia="Guttman Hodes" w:hint="cs"/>
          <w:rtl/>
        </w:rPr>
        <w:t>)</w:t>
      </w:r>
      <w:r w:rsidRPr="00E44AE2">
        <w:rPr>
          <w:rFonts w:hint="cs"/>
          <w:rtl/>
        </w:rPr>
        <w:t xml:space="preserve"> הביא את </w:t>
      </w:r>
      <w:r>
        <w:rPr>
          <w:rFonts w:hint="cs"/>
          <w:rtl/>
        </w:rPr>
        <w:t>דברי</w:t>
      </w:r>
      <w:r w:rsidRPr="00E44AE2">
        <w:rPr>
          <w:rFonts w:hint="cs"/>
          <w:rtl/>
        </w:rPr>
        <w:t xml:space="preserve"> </w:t>
      </w:r>
      <w:r w:rsidRPr="00E44AE2">
        <w:rPr>
          <w:rStyle w:val="af9"/>
          <w:rFonts w:hint="cs"/>
          <w:rtl/>
        </w:rPr>
        <w:t>הרשב"א</w:t>
      </w:r>
      <w:r w:rsidRPr="00E44AE2">
        <w:rPr>
          <w:rStyle w:val="af7"/>
          <w:rFonts w:eastAsia="Guttman Hodes" w:hint="cs"/>
          <w:rtl/>
        </w:rPr>
        <w:t xml:space="preserve"> (עי' אות </w:t>
      </w:r>
      <w:r w:rsidRPr="00E44AE2">
        <w:rPr>
          <w:rStyle w:val="af7"/>
          <w:rFonts w:eastAsia="Guttman Hodes"/>
          <w:rtl/>
        </w:rPr>
        <w:fldChar w:fldCharType="begin"/>
      </w:r>
      <w:r w:rsidRPr="00E44AE2">
        <w:rPr>
          <w:rStyle w:val="af7"/>
          <w:rFonts w:eastAsia="Guttman Hodes"/>
          <w:rtl/>
        </w:rPr>
        <w:instrText xml:space="preserve"> </w:instrText>
      </w:r>
      <w:r w:rsidRPr="00E44AE2">
        <w:rPr>
          <w:rStyle w:val="af7"/>
          <w:rFonts w:eastAsia="Guttman Hodes" w:hint="cs"/>
        </w:rPr>
        <w:instrText>REF</w:instrText>
      </w:r>
      <w:r w:rsidRPr="00E44AE2">
        <w:rPr>
          <w:rStyle w:val="af7"/>
          <w:rFonts w:eastAsia="Guttman Hodes" w:hint="cs"/>
          <w:rtl/>
        </w:rPr>
        <w:instrText xml:space="preserve"> _</w:instrText>
      </w:r>
      <w:r w:rsidRPr="00E44AE2">
        <w:rPr>
          <w:rStyle w:val="af7"/>
          <w:rFonts w:eastAsia="Guttman Hodes" w:hint="cs"/>
        </w:rPr>
        <w:instrText>Ref526246404 \r \h</w:instrText>
      </w:r>
      <w:r w:rsidRPr="00E44AE2">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E44AE2">
        <w:rPr>
          <w:rStyle w:val="af7"/>
          <w:rFonts w:eastAsia="Guttman Hodes"/>
          <w:rtl/>
        </w:rPr>
      </w:r>
      <w:r w:rsidRPr="00E44AE2">
        <w:rPr>
          <w:rStyle w:val="af7"/>
          <w:rFonts w:eastAsia="Guttman Hodes"/>
          <w:rtl/>
        </w:rPr>
        <w:fldChar w:fldCharType="separate"/>
      </w:r>
      <w:r w:rsidR="00345400">
        <w:rPr>
          <w:rStyle w:val="af7"/>
          <w:rFonts w:eastAsia="Guttman Hodes"/>
          <w:cs/>
        </w:rPr>
        <w:t>‎</w:t>
      </w:r>
      <w:r w:rsidR="00345400">
        <w:rPr>
          <w:rStyle w:val="af7"/>
          <w:rFonts w:eastAsia="Guttman Hodes"/>
          <w:rtl/>
        </w:rPr>
        <w:t>לו)</w:t>
      </w:r>
      <w:r w:rsidRPr="00E44AE2">
        <w:rPr>
          <w:rStyle w:val="af7"/>
          <w:rFonts w:eastAsia="Guttman Hodes"/>
          <w:rtl/>
        </w:rPr>
        <w:fldChar w:fldCharType="end"/>
      </w:r>
      <w:r w:rsidRPr="00E44AE2">
        <w:rPr>
          <w:rFonts w:hint="cs"/>
          <w:rtl/>
        </w:rPr>
        <w:t xml:space="preserve"> דחילק בין מקוה שנחסר לסכין שנפגם, דבסכין יש ספק נוסף שמא לא פגעה הפגימה בסימנים</w:t>
      </w:r>
      <w:r>
        <w:rPr>
          <w:rFonts w:hint="cs"/>
          <w:rtl/>
        </w:rPr>
        <w:t>,</w:t>
      </w:r>
      <w:r w:rsidRPr="00E44AE2">
        <w:rPr>
          <w:rFonts w:hint="cs"/>
          <w:rtl/>
        </w:rPr>
        <w:t xml:space="preserve"> </w:t>
      </w:r>
      <w:r>
        <w:rPr>
          <w:rFonts w:hint="cs"/>
          <w:rtl/>
        </w:rPr>
        <w:t>דאיירי</w:t>
      </w:r>
      <w:r w:rsidRPr="00E44AE2">
        <w:rPr>
          <w:rFonts w:hint="cs"/>
          <w:rtl/>
        </w:rPr>
        <w:t xml:space="preserve"> בסכין שיש בו מלא צואר וחוץ לצואר כמלא צואר</w:t>
      </w:r>
      <w:r>
        <w:rPr>
          <w:rFonts w:hint="cs"/>
          <w:rtl/>
        </w:rPr>
        <w:t>,</w:t>
      </w:r>
      <w:r w:rsidRPr="00E44AE2">
        <w:rPr>
          <w:rFonts w:hint="cs"/>
          <w:rtl/>
        </w:rPr>
        <w:t xml:space="preserve"> וביאר </w:t>
      </w:r>
      <w:r w:rsidRPr="00E44AE2">
        <w:rPr>
          <w:rStyle w:val="af9"/>
          <w:rFonts w:hint="cs"/>
          <w:rtl/>
        </w:rPr>
        <w:t>האבי עזרי</w:t>
      </w:r>
      <w:r w:rsidRPr="00E44AE2">
        <w:rPr>
          <w:rFonts w:hint="cs"/>
          <w:rtl/>
        </w:rPr>
        <w:t xml:space="preserve"> דאם לפני השחיטה היה ידוע שהסכין פגום, ודאי דדינה כטריפה, אף בסכין שיש בו מלא צואר וחוץ לצואר בלא פגימה, דחיישינן שמא פגעה הפגימה</w:t>
      </w:r>
      <w:r>
        <w:rPr>
          <w:rFonts w:hint="cs"/>
          <w:rtl/>
        </w:rPr>
        <w:t xml:space="preserve"> בסימנים, אבל הכא שיש ספק אם הייתה הסכין פגומה לפני השחיטה, ואפשר לאסור את הבהמה מדין תרתי לריעותא דהבהמה בחזקת איסור, והרי סכין פגום לפניך, בזה ביאר </w:t>
      </w:r>
      <w:r w:rsidRPr="00ED3AFF">
        <w:rPr>
          <w:rStyle w:val="af9"/>
          <w:rFonts w:hint="cs"/>
          <w:rtl/>
        </w:rPr>
        <w:t>הרשב"א</w:t>
      </w:r>
      <w:r>
        <w:rPr>
          <w:rFonts w:hint="cs"/>
          <w:rtl/>
        </w:rPr>
        <w:t xml:space="preserve"> דהפגימה של הסכין אינה מוכיחה על ריעותא בשחיטה, דיתכן שלא שחט במקום הפגימה, ולכן א"א לצרף את הריעותא של הסכין לחזקת איסור של הבהמה.</w:t>
      </w:r>
      <w:bookmarkStart w:id="5583" w:name="_Ref523431509"/>
      <w:bookmarkEnd w:id="5582"/>
    </w:p>
    <w:p w14:paraId="1EBAC48D" w14:textId="77777777" w:rsidR="00E92937" w:rsidRDefault="00E92937" w:rsidP="006D6D32">
      <w:pPr>
        <w:pStyle w:val="a3"/>
      </w:pPr>
      <w:bookmarkStart w:id="5584" w:name="_Toc526418253"/>
      <w:bookmarkStart w:id="5585" w:name="_Toc19389634"/>
      <w:bookmarkStart w:id="5586" w:name="_Toc19393131"/>
      <w:r>
        <w:rPr>
          <w:rFonts w:hint="cs"/>
          <w:rtl/>
        </w:rPr>
        <w:t>קושית האבי עזרי דלביאור בתרת"ל דבסתירה בחזקות מעמידים בחזקה דהשתא א"א לבאר כן</w:t>
      </w:r>
      <w:bookmarkEnd w:id="5584"/>
      <w:bookmarkEnd w:id="5585"/>
      <w:bookmarkEnd w:id="5586"/>
    </w:p>
    <w:p w14:paraId="7E1319DA" w14:textId="77777777" w:rsidR="00E92937" w:rsidRDefault="00E92937" w:rsidP="00223668">
      <w:pPr>
        <w:pStyle w:val="a0"/>
        <w:rPr>
          <w:rtl/>
        </w:rPr>
      </w:pPr>
      <w:r>
        <w:rPr>
          <w:rFonts w:hint="cs"/>
          <w:rtl/>
        </w:rPr>
        <w:t xml:space="preserve">אך כתב </w:t>
      </w:r>
      <w:r w:rsidRPr="00ED3AFF">
        <w:rPr>
          <w:rStyle w:val="af9"/>
          <w:rFonts w:hint="cs"/>
          <w:rtl/>
        </w:rPr>
        <w:t>האבי עזרי</w:t>
      </w:r>
      <w:r>
        <w:rPr>
          <w:rFonts w:hint="cs"/>
          <w:rtl/>
        </w:rPr>
        <w:t xml:space="preserve"> דביאור זה שייך רק אם נאמר דהביאור בתרתי לריעותא הוא שמצרפים את ב' הריעותות יחד, אבל בדעת רב בקידושין</w:t>
      </w:r>
      <w:r w:rsidRPr="00ED3AFF">
        <w:rPr>
          <w:rStyle w:val="af7"/>
          <w:rFonts w:eastAsia="Guttman Hodes" w:hint="cs"/>
          <w:rtl/>
        </w:rPr>
        <w:t xml:space="preserve"> (עט.) </w:t>
      </w:r>
      <w:r>
        <w:rPr>
          <w:rFonts w:hint="cs"/>
          <w:rtl/>
        </w:rPr>
        <w:t xml:space="preserve">עיי"ש </w:t>
      </w:r>
      <w:r w:rsidRPr="00ED3AFF">
        <w:rPr>
          <w:rStyle w:val="af9"/>
          <w:rFonts w:hint="cs"/>
          <w:rtl/>
        </w:rPr>
        <w:t>באבי עזרי</w:t>
      </w:r>
      <w:r>
        <w:rPr>
          <w:rFonts w:hint="cs"/>
          <w:rtl/>
        </w:rPr>
        <w:t xml:space="preserve"> שביאר דהגדר בתרתי לריעותא הוא דבמקוה שיש סתירה בין חזקת הטומאה לחזקה דמעיקרא של המקוה, ולכן מעמידים על החזקה דהשתא דמקוה חסר לפניך, והקשה </w:t>
      </w:r>
      <w:r w:rsidRPr="00ED3AFF">
        <w:rPr>
          <w:rStyle w:val="af9"/>
          <w:rFonts w:hint="cs"/>
          <w:rtl/>
        </w:rPr>
        <w:t>האבי עזרי</w:t>
      </w:r>
      <w:r>
        <w:rPr>
          <w:rFonts w:hint="cs"/>
          <w:rtl/>
        </w:rPr>
        <w:t xml:space="preserve"> דא"כ לדעת רב עדיין שייך כאן תרתי לריעותא דיש סתירה בין חזקת הבדוק של הסכין, לחזקת האיסור של הבהמה, ולכן מעמידים על החזקה דהשתא בסכין דפגום לפניך, ואמאי מותרת לדעת רב חסדא.</w:t>
      </w:r>
      <w:bookmarkEnd w:id="5583"/>
    </w:p>
    <w:p w14:paraId="3DD3CF16" w14:textId="77777777" w:rsidR="00E92937" w:rsidRDefault="00E92937" w:rsidP="006D6D32">
      <w:pPr>
        <w:pStyle w:val="a3"/>
        <w:rPr>
          <w:rtl/>
        </w:rPr>
      </w:pPr>
      <w:bookmarkStart w:id="5587" w:name="_Toc526418254"/>
      <w:bookmarkStart w:id="5588" w:name="_Toc19389635"/>
      <w:bookmarkStart w:id="5589" w:name="_Toc19393132"/>
      <w:r>
        <w:rPr>
          <w:rFonts w:hint="cs"/>
          <w:rtl/>
        </w:rPr>
        <w:t>קושית האבי עזרי בביאור דברי הרשב"א אף לביאור דבתרת"ל מצרפים את החזקות</w:t>
      </w:r>
      <w:bookmarkEnd w:id="5587"/>
      <w:bookmarkEnd w:id="5588"/>
      <w:bookmarkEnd w:id="5589"/>
    </w:p>
    <w:p w14:paraId="01BC4175" w14:textId="77777777" w:rsidR="00E92937" w:rsidRDefault="00E92937" w:rsidP="00223668">
      <w:pPr>
        <w:pStyle w:val="a0"/>
      </w:pPr>
      <w:r>
        <w:rPr>
          <w:rFonts w:hint="cs"/>
          <w:rtl/>
        </w:rPr>
        <w:t xml:space="preserve">וכתב </w:t>
      </w:r>
      <w:r w:rsidRPr="00ED3AFF">
        <w:rPr>
          <w:rStyle w:val="af9"/>
          <w:rFonts w:hint="cs"/>
          <w:rtl/>
        </w:rPr>
        <w:t>האבי עזרי</w:t>
      </w:r>
      <w:r>
        <w:rPr>
          <w:rFonts w:hint="cs"/>
          <w:rtl/>
        </w:rPr>
        <w:t xml:space="preserve"> </w:t>
      </w:r>
      <w:r w:rsidRPr="000066CF">
        <w:rPr>
          <w:rStyle w:val="af7"/>
          <w:rFonts w:eastAsia="Guttman Hodes" w:hint="cs"/>
          <w:rtl/>
        </w:rPr>
        <w:t>(איסו"ב י"ח ה</w:t>
      </w:r>
      <w:r>
        <w:rPr>
          <w:rStyle w:val="af7"/>
          <w:rFonts w:eastAsia="Guttman Hodes" w:hint="cs"/>
          <w:rtl/>
        </w:rPr>
        <w:t>"י</w:t>
      </w:r>
      <w:r w:rsidRPr="000066CF">
        <w:rPr>
          <w:rStyle w:val="af7"/>
          <w:rFonts w:eastAsia="Guttman Hodes" w:hint="cs"/>
          <w:rtl/>
        </w:rPr>
        <w:t xml:space="preserve"> ד"ה אולם)</w:t>
      </w:r>
      <w:r>
        <w:rPr>
          <w:rFonts w:hint="cs"/>
          <w:rtl/>
        </w:rPr>
        <w:t xml:space="preserve"> דאף אם נבאר דתרתי לריעותא הוא דמצרפין את החזקות, עדיין קשה, דאף בלא התרתי לריעותא אסור מספק, דהא כל מה שבמקוה שנמצא חסר אמרינן תרתי לריעותא, הוא בכדי לטמא בודאי, ובלא התרתי לריעותא מעמידים את חזקת המקוה כנגד חזקת הטמא, וטמא מדין ספק השקול, וה"ה בסכין דמעמידים את חזקת האיסור של הבהמה כנגד חזקת הסכין, ואסור מספק, וא"כ אף להביאור דתרתי לריעותא הוא ע"י צירוף החזקות, ובסוגיין לא שייך תרתי לריעותא, עדיין קשה אמאי התיר רב חסדא, ולא אסר מספק.</w:t>
      </w:r>
    </w:p>
    <w:p w14:paraId="2E27DD67" w14:textId="77777777" w:rsidR="00E92937" w:rsidRDefault="00E92937" w:rsidP="006D6D32">
      <w:pPr>
        <w:pStyle w:val="a3"/>
        <w:rPr>
          <w:rtl/>
        </w:rPr>
      </w:pPr>
      <w:bookmarkStart w:id="5590" w:name="_Toc526418255"/>
      <w:bookmarkStart w:id="5591" w:name="_Toc19389636"/>
      <w:bookmarkStart w:id="5592" w:name="_Toc19393133"/>
      <w:r>
        <w:rPr>
          <w:rFonts w:hint="cs"/>
          <w:rtl/>
        </w:rPr>
        <w:t>דברי האבי עזרי דבמקוה שיש ריעותא בחזקתו שייך לצרף את חזקת הטמא</w:t>
      </w:r>
      <w:bookmarkEnd w:id="5590"/>
      <w:bookmarkEnd w:id="5591"/>
      <w:bookmarkEnd w:id="5592"/>
    </w:p>
    <w:p w14:paraId="4A657F3A" w14:textId="77777777" w:rsidR="00E92937" w:rsidRDefault="00E92937" w:rsidP="00223668">
      <w:pPr>
        <w:pStyle w:val="a0"/>
        <w:rPr>
          <w:rtl/>
        </w:rPr>
      </w:pPr>
      <w:r>
        <w:rPr>
          <w:rFonts w:hint="cs"/>
          <w:rtl/>
        </w:rPr>
        <w:t xml:space="preserve">אלא כתב </w:t>
      </w:r>
      <w:r w:rsidRPr="000066CF">
        <w:rPr>
          <w:rStyle w:val="af9"/>
          <w:rFonts w:hint="cs"/>
          <w:rtl/>
        </w:rPr>
        <w:t>האבי עזרי</w:t>
      </w:r>
      <w:r>
        <w:rPr>
          <w:rFonts w:hint="cs"/>
          <w:rtl/>
        </w:rPr>
        <w:t xml:space="preserve"> דבמקוה שנמצא חסר, כיון שודאי טבל והמקוה בחזקת שלם, א"כ א"א לדון על חזקת הטמא כלל, דכיון שמחמת החזקה דמעיקרא נפסק שהמקוה שלם, חזקת הטמא אינה מתנגדת לחזקת המקוה, דכיון שטבל הוא טהור ממילא. אלא דביארה הגמ' בנדה</w:t>
      </w:r>
      <w:r w:rsidRPr="000066CF">
        <w:rPr>
          <w:rStyle w:val="af7"/>
          <w:rFonts w:eastAsia="Guttman Hodes" w:hint="cs"/>
          <w:rtl/>
        </w:rPr>
        <w:t xml:space="preserve"> (ב:) </w:t>
      </w:r>
      <w:r>
        <w:rPr>
          <w:rFonts w:hint="cs"/>
          <w:rtl/>
        </w:rPr>
        <w:t>דכיון שיש ריעותא בחזקת המקוה דחסר לפניך, שייך לדון בחזקת הטמא, ויש תרתי לריעותא והוא טמא בודאי.</w:t>
      </w:r>
    </w:p>
    <w:p w14:paraId="32CEB780" w14:textId="77777777" w:rsidR="00E92937" w:rsidRDefault="00E92937" w:rsidP="006D6D32">
      <w:pPr>
        <w:pStyle w:val="a3"/>
        <w:rPr>
          <w:rtl/>
        </w:rPr>
      </w:pPr>
      <w:bookmarkStart w:id="5593" w:name="_Toc526418256"/>
      <w:bookmarkStart w:id="5594" w:name="_Toc19389637"/>
      <w:bookmarkStart w:id="5595" w:name="_Toc19393134"/>
      <w:r>
        <w:rPr>
          <w:rFonts w:hint="cs"/>
          <w:rtl/>
        </w:rPr>
        <w:t>ביאור האבי עזרי דבסכין שאין ריעותא בבהמה לא שייך לצרף את חזקת האיסור של הבהמה</w:t>
      </w:r>
      <w:bookmarkEnd w:id="5593"/>
      <w:bookmarkEnd w:id="5594"/>
      <w:bookmarkEnd w:id="5595"/>
    </w:p>
    <w:p w14:paraId="3F6284C3" w14:textId="77777777" w:rsidR="00E92937" w:rsidRDefault="00E92937" w:rsidP="00223668">
      <w:pPr>
        <w:pStyle w:val="a0"/>
        <w:rPr>
          <w:rtl/>
        </w:rPr>
      </w:pPr>
      <w:r>
        <w:rPr>
          <w:rFonts w:hint="cs"/>
          <w:rtl/>
        </w:rPr>
        <w:t xml:space="preserve">אבל בסכין כתב </w:t>
      </w:r>
      <w:r w:rsidRPr="000066CF">
        <w:rPr>
          <w:rStyle w:val="af9"/>
          <w:rFonts w:hint="cs"/>
          <w:rtl/>
        </w:rPr>
        <w:t>האבי עזרי</w:t>
      </w:r>
      <w:r>
        <w:rPr>
          <w:rFonts w:hint="cs"/>
          <w:rtl/>
        </w:rPr>
        <w:t xml:space="preserve"> דביאר </w:t>
      </w:r>
      <w:r w:rsidRPr="000066CF">
        <w:rPr>
          <w:rStyle w:val="af9"/>
          <w:rFonts w:hint="cs"/>
          <w:rtl/>
        </w:rPr>
        <w:t>הרשב"א</w:t>
      </w:r>
      <w:r>
        <w:rPr>
          <w:rFonts w:hint="cs"/>
          <w:rtl/>
        </w:rPr>
        <w:t xml:space="preserve"> דכיון שיש בסכין מלא צואר וחוץ לצואר שאינו פגום, ממילא הפגימה בסכין אינה עושה כל ריעותא, ולכן גם בספק אם נפגם הסכין לפני שחיטת הסימנים או לאחר השחיטה, ג"כ אפשר להעמיד את הסכין על חזקתו שהיה שלם, דהא אין כל ריעותא בחזקה, ולכן א"א לדון מחמת החזקת איסור של הבהמה, דכיון שע"י חזקת הסכין אמרינן שנשחטה כראוי, אין כאן ספק כלל.</w:t>
      </w:r>
    </w:p>
    <w:p w14:paraId="418C0FD2" w14:textId="77777777" w:rsidR="00E92937" w:rsidRDefault="00E92937" w:rsidP="006D6D32">
      <w:pPr>
        <w:pStyle w:val="a3"/>
        <w:rPr>
          <w:rtl/>
        </w:rPr>
      </w:pPr>
      <w:bookmarkStart w:id="5596" w:name="_Toc526418257"/>
      <w:bookmarkStart w:id="5597" w:name="_Toc19389638"/>
      <w:bookmarkStart w:id="5598" w:name="_Toc19393135"/>
      <w:r>
        <w:rPr>
          <w:rFonts w:hint="cs"/>
          <w:rtl/>
        </w:rPr>
        <w:t>ביאור האבי עזרי לביאור דתרת"ל הוא ע"י סתירת החזקות דבסכין שאין ריעותא לא חשיב סתירה</w:t>
      </w:r>
      <w:bookmarkEnd w:id="5596"/>
      <w:bookmarkEnd w:id="5597"/>
      <w:bookmarkEnd w:id="5598"/>
      <w:r>
        <w:rPr>
          <w:rFonts w:hint="cs"/>
          <w:rtl/>
        </w:rPr>
        <w:t xml:space="preserve"> </w:t>
      </w:r>
    </w:p>
    <w:p w14:paraId="3547C31B" w14:textId="77777777" w:rsidR="00E92937" w:rsidRDefault="00E92937" w:rsidP="00223668">
      <w:pPr>
        <w:pStyle w:val="a0"/>
        <w:rPr>
          <w:rtl/>
        </w:rPr>
        <w:sectPr w:rsidR="00E92937" w:rsidSect="002E29DB">
          <w:type w:val="continuous"/>
          <w:pgSz w:w="11906" w:h="16838"/>
          <w:pgMar w:top="720" w:right="720" w:bottom="720" w:left="720" w:header="283" w:footer="283" w:gutter="0"/>
          <w:cols w:num="2" w:space="567"/>
          <w:bidi/>
          <w:rtlGutter/>
        </w:sectPr>
      </w:pPr>
      <w:r>
        <w:rPr>
          <w:rFonts w:hint="cs"/>
          <w:rtl/>
        </w:rPr>
        <w:t xml:space="preserve">וכתב </w:t>
      </w:r>
      <w:r w:rsidRPr="000066CF">
        <w:rPr>
          <w:rStyle w:val="af9"/>
          <w:rFonts w:hint="cs"/>
          <w:rtl/>
        </w:rPr>
        <w:t>האבי עזרי</w:t>
      </w:r>
      <w:r>
        <w:rPr>
          <w:rFonts w:hint="cs"/>
          <w:rtl/>
        </w:rPr>
        <w:t xml:space="preserve"> דלפי"ז מיושבין דברי </w:t>
      </w:r>
      <w:r w:rsidRPr="000066CF">
        <w:rPr>
          <w:rStyle w:val="af9"/>
          <w:rFonts w:hint="cs"/>
          <w:rtl/>
        </w:rPr>
        <w:t>הרשב"א</w:t>
      </w:r>
      <w:r>
        <w:rPr>
          <w:rFonts w:hint="cs"/>
          <w:rtl/>
        </w:rPr>
        <w:t xml:space="preserve"> גם לדעת רב </w:t>
      </w:r>
      <w:r w:rsidRPr="000066CF">
        <w:rPr>
          <w:rStyle w:val="af7"/>
          <w:rFonts w:eastAsia="Guttman Hodes" w:hint="cs"/>
          <w:rtl/>
        </w:rPr>
        <w:t xml:space="preserve">(עי' אות </w:t>
      </w:r>
      <w:r w:rsidRPr="000066CF">
        <w:rPr>
          <w:rStyle w:val="af7"/>
          <w:rFonts w:eastAsia="Guttman Hodes"/>
          <w:rtl/>
        </w:rPr>
        <w:fldChar w:fldCharType="begin"/>
      </w:r>
      <w:r w:rsidRPr="000066CF">
        <w:rPr>
          <w:rStyle w:val="af7"/>
          <w:rFonts w:eastAsia="Guttman Hodes"/>
          <w:rtl/>
        </w:rPr>
        <w:instrText xml:space="preserve"> </w:instrText>
      </w:r>
      <w:r w:rsidRPr="000066CF">
        <w:rPr>
          <w:rStyle w:val="af7"/>
          <w:rFonts w:eastAsia="Guttman Hodes" w:hint="cs"/>
        </w:rPr>
        <w:instrText>REF</w:instrText>
      </w:r>
      <w:r w:rsidRPr="000066CF">
        <w:rPr>
          <w:rStyle w:val="af7"/>
          <w:rFonts w:eastAsia="Guttman Hodes" w:hint="cs"/>
          <w:rtl/>
        </w:rPr>
        <w:instrText xml:space="preserve"> _</w:instrText>
      </w:r>
      <w:r w:rsidRPr="000066CF">
        <w:rPr>
          <w:rStyle w:val="af7"/>
          <w:rFonts w:eastAsia="Guttman Hodes" w:hint="cs"/>
        </w:rPr>
        <w:instrText>Ref523431509 \r \h</w:instrText>
      </w:r>
      <w:r w:rsidRPr="000066CF">
        <w:rPr>
          <w:rStyle w:val="af7"/>
          <w:rFonts w:eastAsia="Guttman Hodes"/>
          <w:rtl/>
        </w:rPr>
        <w:instrText xml:space="preserve"> </w:instrText>
      </w:r>
      <w:r w:rsidRPr="000066CF">
        <w:rPr>
          <w:rStyle w:val="af7"/>
          <w:rFonts w:eastAsia="Guttman Hodes"/>
          <w:rtl/>
        </w:rPr>
      </w:r>
      <w:r w:rsidRPr="000066CF">
        <w:rPr>
          <w:rStyle w:val="af7"/>
          <w:rFonts w:eastAsia="Guttman Hodes"/>
          <w:rtl/>
        </w:rPr>
        <w:fldChar w:fldCharType="separate"/>
      </w:r>
      <w:r w:rsidR="00345400">
        <w:rPr>
          <w:rStyle w:val="af7"/>
          <w:rFonts w:eastAsia="Guttman Hodes"/>
          <w:cs/>
        </w:rPr>
        <w:t>‎</w:t>
      </w:r>
      <w:r w:rsidR="00345400">
        <w:rPr>
          <w:rStyle w:val="af7"/>
          <w:rFonts w:eastAsia="Guttman Hodes"/>
          <w:rtl/>
        </w:rPr>
        <w:t>עו)</w:t>
      </w:r>
      <w:r w:rsidRPr="000066CF">
        <w:rPr>
          <w:rStyle w:val="af7"/>
          <w:rFonts w:eastAsia="Guttman Hodes"/>
          <w:rtl/>
        </w:rPr>
        <w:fldChar w:fldCharType="end"/>
      </w:r>
      <w:r>
        <w:rPr>
          <w:rFonts w:hint="cs"/>
          <w:rtl/>
        </w:rPr>
        <w:t xml:space="preserve">, דס"ל דתרתי לריעותא אינו ע"י צירוף החזקות, אלא הגדר בתרתי לריעותא שבמקום שיש סתירה בין החזקת טמא של הגברא לחזקה דמעיקרא מעמידים על החזקה דהשתא דמקוה חסר לפניך, דהכא כיון שאין ריעותא בחזקת הסכין, ואין כל ספק לא שייך לדון בחזקת האיסור של האיסור של הבהמה כלל, ואין כל סתירא בין החזקות, וע"ע בדברי </w:t>
      </w:r>
      <w:r>
        <w:rPr>
          <w:rStyle w:val="af9"/>
          <w:rtl/>
        </w:rPr>
        <w:t>השער"י</w:t>
      </w:r>
      <w:r>
        <w:rPr>
          <w:rtl/>
        </w:rPr>
        <w:t xml:space="preserve"> </w:t>
      </w:r>
      <w:r>
        <w:rPr>
          <w:rStyle w:val="af7"/>
          <w:rFonts w:eastAsia="Guttman Hodes" w:hint="cs"/>
          <w:rtl/>
        </w:rPr>
        <w:t>(שער החזקות פי"ח סוד"ה ובהא דמבואר)</w:t>
      </w:r>
      <w:r>
        <w:rPr>
          <w:rFonts w:hint="cs"/>
          <w:rtl/>
        </w:rPr>
        <w:t>.</w:t>
      </w:r>
    </w:p>
    <w:p w14:paraId="1D14B828" w14:textId="77777777" w:rsidR="003D226A" w:rsidRPr="003D226A" w:rsidRDefault="003D226A" w:rsidP="00223668">
      <w:pPr>
        <w:pStyle w:val="a0"/>
        <w:numPr>
          <w:ilvl w:val="0"/>
          <w:numId w:val="0"/>
        </w:numPr>
        <w:rPr>
          <w:rtl/>
        </w:rPr>
      </w:pPr>
    </w:p>
    <w:p w14:paraId="3EE985BD" w14:textId="77777777" w:rsidR="003D226A" w:rsidRDefault="003D226A" w:rsidP="00BF39B2">
      <w:pPr>
        <w:pStyle w:val="1"/>
        <w:rPr>
          <w:rtl/>
        </w:rPr>
      </w:pPr>
    </w:p>
    <w:p w14:paraId="1FBC67C6" w14:textId="77777777" w:rsidR="003D226A" w:rsidRPr="003D226A" w:rsidRDefault="003D226A" w:rsidP="006D6D32">
      <w:pPr>
        <w:pStyle w:val="a3"/>
        <w:rPr>
          <w:rtl/>
        </w:rPr>
        <w:sectPr w:rsidR="003D226A" w:rsidRPr="003D226A" w:rsidSect="003D226A">
          <w:type w:val="continuous"/>
          <w:pgSz w:w="11906" w:h="16838"/>
          <w:pgMar w:top="720" w:right="720" w:bottom="720" w:left="720" w:header="283" w:footer="283" w:gutter="0"/>
          <w:cols w:num="2" w:space="567"/>
          <w:bidi/>
          <w:rtlGutter/>
        </w:sectPr>
      </w:pPr>
    </w:p>
    <w:p w14:paraId="19E5CEAE" w14:textId="77777777" w:rsidR="006F1691" w:rsidRPr="00C71C0E" w:rsidRDefault="006F1691" w:rsidP="006D6D32">
      <w:pPr>
        <w:pStyle w:val="afd"/>
        <w:rPr>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sidRPr="009B4FE9">
        <w:rPr>
          <w:rFonts w:hint="cs"/>
          <w:rtl/>
        </w:rPr>
        <w:t xml:space="preserve"> </w:t>
      </w:r>
      <w:bookmarkStart w:id="5599" w:name="_Toc534142066"/>
      <w:bookmarkStart w:id="5600" w:name="_Toc16669731"/>
      <w:bookmarkStart w:id="5601" w:name="_Toc19435382"/>
      <w:bookmarkStart w:id="5602" w:name="_Toc20080710"/>
      <w:r w:rsidRPr="00C71C0E">
        <w:rPr>
          <w:rFonts w:hint="cs"/>
          <w:rtl/>
        </w:rPr>
        <w:t xml:space="preserve">סימן </w:t>
      </w:r>
      <w:r>
        <w:rPr>
          <w:rFonts w:hint="cs"/>
          <w:rtl/>
        </w:rPr>
        <w:t>ו</w:t>
      </w:r>
      <w:r w:rsidRPr="00C71C0E">
        <w:rPr>
          <w:rFonts w:hint="cs"/>
          <w:rtl/>
        </w:rPr>
        <w:t>'</w:t>
      </w:r>
      <w:bookmarkEnd w:id="5599"/>
      <w:bookmarkEnd w:id="5600"/>
      <w:bookmarkEnd w:id="5601"/>
      <w:bookmarkEnd w:id="5602"/>
    </w:p>
    <w:p w14:paraId="2036A215" w14:textId="77777777" w:rsidR="006F1691" w:rsidRDefault="006F1691" w:rsidP="006D6D32">
      <w:pPr>
        <w:pStyle w:val="afd"/>
        <w:rPr>
          <w:rtl/>
        </w:rPr>
      </w:pPr>
      <w:bookmarkStart w:id="5603" w:name="_Toc534142067"/>
      <w:bookmarkStart w:id="5604" w:name="_Toc16669732"/>
      <w:bookmarkStart w:id="5605" w:name="_Toc19435383"/>
      <w:bookmarkStart w:id="5606" w:name="_Toc20080711"/>
      <w:r w:rsidRPr="00D633CC">
        <w:rPr>
          <w:rFonts w:hint="cs"/>
          <w:rtl/>
        </w:rPr>
        <w:t>ב</w:t>
      </w:r>
      <w:r>
        <w:rPr>
          <w:rFonts w:hint="cs"/>
          <w:rtl/>
        </w:rPr>
        <w:t>סוגיא ד</w:t>
      </w:r>
      <w:r w:rsidRPr="00D633CC">
        <w:rPr>
          <w:rFonts w:hint="cs"/>
          <w:rtl/>
        </w:rPr>
        <w:t>השוחט בסכין ונמצאת פגומה (</w:t>
      </w:r>
      <w:r>
        <w:rPr>
          <w:rFonts w:hint="cs"/>
          <w:rtl/>
        </w:rPr>
        <w:t>ג</w:t>
      </w:r>
      <w:r w:rsidRPr="00D633CC">
        <w:rPr>
          <w:rFonts w:hint="cs"/>
          <w:rtl/>
        </w:rPr>
        <w:t>')</w:t>
      </w:r>
      <w:bookmarkEnd w:id="5603"/>
      <w:bookmarkEnd w:id="5604"/>
      <w:bookmarkEnd w:id="5605"/>
      <w:bookmarkEnd w:id="5606"/>
    </w:p>
    <w:p w14:paraId="6AF4D44C" w14:textId="77777777" w:rsidR="006F1691" w:rsidRPr="00444CF5" w:rsidRDefault="006F1691" w:rsidP="006D6D32">
      <w:pPr>
        <w:pStyle w:val="afd"/>
        <w:rPr>
          <w:rtl/>
        </w:rPr>
      </w:pPr>
      <w:bookmarkStart w:id="5607" w:name="_Toc16669733"/>
      <w:bookmarkStart w:id="5608" w:name="_Toc19435384"/>
      <w:bookmarkStart w:id="5609" w:name="_Toc20080712"/>
      <w:r w:rsidRPr="006B1909">
        <w:rPr>
          <w:rFonts w:hint="cs"/>
          <w:rtl/>
        </w:rPr>
        <w:t>בענין תליה במפרקת ובבדיקה בין שחיטה לשחיטה</w:t>
      </w:r>
      <w:bookmarkEnd w:id="5607"/>
      <w:bookmarkEnd w:id="5608"/>
      <w:bookmarkEnd w:id="5609"/>
    </w:p>
    <w:p w14:paraId="4D814B30" w14:textId="77777777" w:rsidR="006F1691" w:rsidRPr="005E7D42" w:rsidRDefault="000A0C31" w:rsidP="00FE6ED2">
      <w:pPr>
        <w:pStyle w:val="2"/>
        <w:keepNext w:val="0"/>
        <w:keepLines w:val="0"/>
        <w:rPr>
          <w:rtl/>
        </w:rPr>
      </w:pPr>
      <w:r>
        <w:rPr>
          <w:rFonts w:hint="cs"/>
          <w:rtl/>
        </w:rPr>
        <w:t>מפתח הסוגיא</w:t>
      </w:r>
    </w:p>
    <w:p w14:paraId="742E59B5" w14:textId="77777777" w:rsidR="006F1691" w:rsidRDefault="006F1691" w:rsidP="00FE6ED2">
      <w:pPr>
        <w:pStyle w:val="2"/>
        <w:keepNext w:val="0"/>
        <w:keepLines w:val="0"/>
        <w:rPr>
          <w:rtl/>
        </w:rPr>
        <w:sectPr w:rsidR="006F1691" w:rsidSect="00C96CB9">
          <w:headerReference w:type="even" r:id="rId42"/>
          <w:headerReference w:type="default" r:id="rId43"/>
          <w:footerReference w:type="even" r:id="rId44"/>
          <w:headerReference w:type="first" r:id="rId45"/>
          <w:footerReference w:type="first" r:id="rId46"/>
          <w:pgSz w:w="11906" w:h="16838"/>
          <w:pgMar w:top="720" w:right="720" w:bottom="720" w:left="720" w:header="283" w:footer="283" w:gutter="0"/>
          <w:cols w:space="567"/>
          <w:bidi/>
          <w:rtlGutter/>
          <w:docGrid w:linePitch="299"/>
        </w:sectPr>
      </w:pPr>
    </w:p>
    <w:p w14:paraId="31347CD3" w14:textId="77777777" w:rsidR="006F1691" w:rsidRDefault="006F1691" w:rsidP="00FE6ED2">
      <w:pPr>
        <w:pStyle w:val="2"/>
        <w:keepNext w:val="0"/>
        <w:keepLines w:val="0"/>
        <w:rPr>
          <w:noProof/>
          <w:rtl/>
        </w:rPr>
      </w:pPr>
      <w:bookmarkStart w:id="5610" w:name="_Toc19435386"/>
      <w:r>
        <w:rPr>
          <w:rFonts w:hint="cs"/>
          <w:rtl/>
        </w:rPr>
        <w:t>בדעת רב חסדא בתליה במפרקת</w:t>
      </w:r>
      <w:bookmarkEnd w:id="5610"/>
      <w:r>
        <w:rPr>
          <w:noProof/>
          <w:rtl/>
        </w:rPr>
        <w:t xml:space="preserve"> </w:t>
      </w:r>
    </w:p>
    <w:p w14:paraId="45A57F19" w14:textId="77777777" w:rsidR="006F1691" w:rsidRDefault="006F1691" w:rsidP="00FE6ED2">
      <w:pPr>
        <w:pStyle w:val="aff4"/>
        <w:rPr>
          <w:rFonts w:eastAsiaTheme="minorEastAsia" w:cstheme="minorBidi"/>
          <w:i/>
          <w:iCs/>
          <w:noProof/>
          <w:sz w:val="22"/>
          <w:szCs w:val="22"/>
          <w:rtl/>
        </w:rPr>
      </w:pPr>
      <w:bookmarkStart w:id="5611" w:name="_Toc19435387"/>
      <w:bookmarkStart w:id="5612" w:name="_Toc20080713"/>
      <w:r>
        <w:rPr>
          <w:noProof/>
          <w:rtl/>
        </w:rPr>
        <w:t>דברי רש"י בדעת רב חסדא</w:t>
      </w:r>
      <w:bookmarkEnd w:id="5611"/>
      <w:bookmarkEnd w:id="5612"/>
    </w:p>
    <w:p w14:paraId="7909B0C1" w14:textId="77777777" w:rsidR="00B64DA9" w:rsidRPr="005077A7" w:rsidRDefault="00B64DA9" w:rsidP="00E12979">
      <w:pPr>
        <w:pStyle w:val="a"/>
        <w:numPr>
          <w:ilvl w:val="0"/>
          <w:numId w:val="23"/>
        </w:numPr>
        <w:rPr>
          <w:rFonts w:eastAsiaTheme="minorEastAsia" w:cstheme="minorBidi"/>
          <w:sz w:val="22"/>
          <w:szCs w:val="22"/>
        </w:rPr>
      </w:pPr>
      <w:r w:rsidRPr="00B64DA9">
        <w:rPr>
          <w:rtl/>
        </w:rPr>
        <w:t xml:space="preserve">דברי רש"י דרב חסדא מתיר בלא שיבר עצמות דנפגמה כשנגעה במפרקת </w:t>
      </w:r>
    </w:p>
    <w:p w14:paraId="03CED1AE" w14:textId="77777777" w:rsidR="006F1691" w:rsidRDefault="006F1691" w:rsidP="005077A7">
      <w:pPr>
        <w:pStyle w:val="a"/>
        <w:rPr>
          <w:rFonts w:eastAsiaTheme="minorEastAsia" w:cstheme="minorBidi"/>
          <w:sz w:val="22"/>
          <w:szCs w:val="22"/>
          <w:rtl/>
        </w:rPr>
      </w:pPr>
      <w:r>
        <w:rPr>
          <w:rtl/>
        </w:rPr>
        <w:t>דברי רש"י דלדידן המפרקת אינה פוגמת יותר מעור ולא דמי לשיבר בה עצמות</w:t>
      </w:r>
    </w:p>
    <w:p w14:paraId="304EB38A" w14:textId="77777777" w:rsidR="006F1691" w:rsidRDefault="006F1691" w:rsidP="00FE6ED2">
      <w:pPr>
        <w:pStyle w:val="aff4"/>
        <w:rPr>
          <w:rFonts w:eastAsiaTheme="minorEastAsia" w:cstheme="minorBidi"/>
          <w:i/>
          <w:iCs/>
          <w:noProof/>
          <w:sz w:val="22"/>
          <w:szCs w:val="22"/>
          <w:rtl/>
        </w:rPr>
      </w:pPr>
      <w:bookmarkStart w:id="5613" w:name="_Toc19435388"/>
      <w:bookmarkStart w:id="5614" w:name="_Toc20080714"/>
      <w:r>
        <w:rPr>
          <w:noProof/>
          <w:rtl/>
        </w:rPr>
        <w:t xml:space="preserve">ביאור הרמב"ן </w:t>
      </w:r>
      <w:r>
        <w:rPr>
          <w:rFonts w:hint="cs"/>
          <w:noProof/>
          <w:rtl/>
        </w:rPr>
        <w:t>ו</w:t>
      </w:r>
      <w:r>
        <w:rPr>
          <w:noProof/>
          <w:rtl/>
        </w:rPr>
        <w:t>הרשב"א ברש"י דרב חסדא איירי בנגע במפרקת</w:t>
      </w:r>
      <w:bookmarkEnd w:id="5613"/>
      <w:bookmarkEnd w:id="5614"/>
    </w:p>
    <w:p w14:paraId="564A78DE" w14:textId="77777777" w:rsidR="006F1691" w:rsidRDefault="006F1691" w:rsidP="005077A7">
      <w:pPr>
        <w:pStyle w:val="a"/>
        <w:rPr>
          <w:rFonts w:eastAsiaTheme="minorEastAsia" w:cstheme="minorBidi"/>
          <w:sz w:val="22"/>
          <w:szCs w:val="22"/>
          <w:rtl/>
        </w:rPr>
      </w:pPr>
      <w:r>
        <w:rPr>
          <w:rtl/>
        </w:rPr>
        <w:t>דברי הרמב"ן והרשב"א דמבואר ברש"י דאיירי דוקא כשנגע במפרקת ופוגמת יותר מעור</w:t>
      </w:r>
    </w:p>
    <w:p w14:paraId="020BBE49" w14:textId="77777777" w:rsidR="006F1691" w:rsidRDefault="006F1691" w:rsidP="005077A7">
      <w:pPr>
        <w:pStyle w:val="a"/>
        <w:rPr>
          <w:rFonts w:eastAsiaTheme="minorEastAsia" w:cstheme="minorBidi"/>
          <w:sz w:val="22"/>
          <w:szCs w:val="22"/>
          <w:rtl/>
        </w:rPr>
      </w:pPr>
      <w:r>
        <w:rPr>
          <w:rtl/>
        </w:rPr>
        <w:t>ביאור הרשב"א ברש"י דכל שלא ידוע שנגע במפרקת מודה רב חסדא לרב הונא דאסור</w:t>
      </w:r>
    </w:p>
    <w:p w14:paraId="178F9DA3" w14:textId="77777777" w:rsidR="006F1691" w:rsidRDefault="006F1691" w:rsidP="005077A7">
      <w:pPr>
        <w:pStyle w:val="a"/>
        <w:rPr>
          <w:rFonts w:eastAsiaTheme="minorEastAsia" w:cstheme="minorBidi"/>
          <w:sz w:val="22"/>
          <w:szCs w:val="22"/>
          <w:rtl/>
        </w:rPr>
      </w:pPr>
      <w:r>
        <w:rPr>
          <w:rtl/>
        </w:rPr>
        <w:t>ביאור הראש יוסף דמדוייק כן בדברי רש"י דרק לדידן נגיעה במפרקת אינה פוגמת</w:t>
      </w:r>
    </w:p>
    <w:p w14:paraId="7B9F22A5" w14:textId="77777777" w:rsidR="006F1691" w:rsidRDefault="006F1691" w:rsidP="00FE6ED2">
      <w:pPr>
        <w:pStyle w:val="aff4"/>
        <w:rPr>
          <w:rFonts w:eastAsiaTheme="minorEastAsia" w:cstheme="minorBidi"/>
          <w:i/>
          <w:iCs/>
          <w:noProof/>
          <w:sz w:val="22"/>
          <w:szCs w:val="22"/>
          <w:rtl/>
        </w:rPr>
      </w:pPr>
      <w:bookmarkStart w:id="5615" w:name="_Toc19435389"/>
      <w:bookmarkStart w:id="5616" w:name="_Toc20080715"/>
      <w:r>
        <w:rPr>
          <w:noProof/>
          <w:rtl/>
        </w:rPr>
        <w:t>קושיות הרמב"ן והרשב"א על רש"י</w:t>
      </w:r>
      <w:bookmarkEnd w:id="5615"/>
      <w:bookmarkEnd w:id="5616"/>
    </w:p>
    <w:p w14:paraId="23012022" w14:textId="77777777" w:rsidR="006F1691" w:rsidRDefault="006F1691" w:rsidP="005077A7">
      <w:pPr>
        <w:pStyle w:val="a"/>
        <w:rPr>
          <w:rFonts w:eastAsiaTheme="minorEastAsia" w:cstheme="minorBidi"/>
          <w:sz w:val="22"/>
          <w:szCs w:val="22"/>
          <w:rtl/>
        </w:rPr>
      </w:pPr>
      <w:r>
        <w:rPr>
          <w:rtl/>
        </w:rPr>
        <w:t>קושית הרמב"ן והרשב"א דמהא דאפשר לתלות במפרקת של האחרונה מוכח דלא איירי בנגע</w:t>
      </w:r>
    </w:p>
    <w:p w14:paraId="7D3A8C7E" w14:textId="77777777" w:rsidR="006F1691" w:rsidRDefault="006F1691" w:rsidP="005077A7">
      <w:pPr>
        <w:pStyle w:val="a"/>
        <w:rPr>
          <w:rFonts w:eastAsiaTheme="minorEastAsia" w:cstheme="minorBidi"/>
          <w:sz w:val="22"/>
          <w:szCs w:val="22"/>
          <w:rtl/>
        </w:rPr>
      </w:pPr>
      <w:r>
        <w:rPr>
          <w:rtl/>
        </w:rPr>
        <w:t>קושית הרשב"א דאי להו"א מתיר רב חסדא בלא נגע היה לגמ' לפרש כן במסקנא</w:t>
      </w:r>
    </w:p>
    <w:p w14:paraId="4A2CBD4D" w14:textId="77777777" w:rsidR="006F1691" w:rsidRDefault="006F1691" w:rsidP="005077A7">
      <w:pPr>
        <w:pStyle w:val="a"/>
        <w:rPr>
          <w:rFonts w:eastAsiaTheme="minorEastAsia" w:cstheme="minorBidi"/>
          <w:sz w:val="22"/>
          <w:szCs w:val="22"/>
          <w:rtl/>
        </w:rPr>
      </w:pPr>
      <w:r>
        <w:rPr>
          <w:rtl/>
        </w:rPr>
        <w:t>קושית הרשב"א דהיה לגמ' להקשות בנמצא עליו דבר החוצץ דלא תלינן אף כשיש תליה לפנינו</w:t>
      </w:r>
    </w:p>
    <w:p w14:paraId="316712CF" w14:textId="77777777" w:rsidR="006F1691" w:rsidRDefault="006F1691" w:rsidP="00FE6ED2">
      <w:pPr>
        <w:pStyle w:val="aff4"/>
        <w:rPr>
          <w:rFonts w:eastAsiaTheme="minorEastAsia" w:cstheme="minorBidi"/>
          <w:i/>
          <w:iCs/>
          <w:noProof/>
          <w:sz w:val="22"/>
          <w:szCs w:val="22"/>
          <w:rtl/>
        </w:rPr>
      </w:pPr>
      <w:bookmarkStart w:id="5617" w:name="_Toc19435390"/>
      <w:bookmarkStart w:id="5618" w:name="_Toc20080716"/>
      <w:r>
        <w:rPr>
          <w:noProof/>
          <w:rtl/>
        </w:rPr>
        <w:t>דעת הרמב"ן והרשב"א והרא"ה דאיירי בספק נגע במפרקת</w:t>
      </w:r>
      <w:bookmarkEnd w:id="5617"/>
      <w:bookmarkEnd w:id="5618"/>
    </w:p>
    <w:p w14:paraId="5A494EE3" w14:textId="77777777" w:rsidR="006F1691" w:rsidRDefault="006F1691" w:rsidP="005077A7">
      <w:pPr>
        <w:pStyle w:val="a"/>
        <w:rPr>
          <w:rFonts w:eastAsiaTheme="minorEastAsia" w:cstheme="minorBidi"/>
          <w:sz w:val="22"/>
          <w:szCs w:val="22"/>
          <w:rtl/>
        </w:rPr>
      </w:pPr>
      <w:r>
        <w:rPr>
          <w:rtl/>
        </w:rPr>
        <w:t>דברי הרמב"ן הרשב"א והרא"ה דרב חסדא התיר אף בספק נגע במפרקת</w:t>
      </w:r>
    </w:p>
    <w:p w14:paraId="49644370" w14:textId="77777777" w:rsidR="006F1691" w:rsidRDefault="006F1691" w:rsidP="005077A7">
      <w:pPr>
        <w:pStyle w:val="a"/>
        <w:rPr>
          <w:rFonts w:eastAsiaTheme="minorEastAsia" w:cstheme="minorBidi"/>
          <w:sz w:val="22"/>
          <w:szCs w:val="22"/>
          <w:rtl/>
        </w:rPr>
      </w:pPr>
      <w:r>
        <w:rPr>
          <w:rtl/>
        </w:rPr>
        <w:t>דברי הרשב"א דרב חסדא הקיל ב' קולות לתלות שנגע במפרקת ולתלות שנפגם בה</w:t>
      </w:r>
    </w:p>
    <w:p w14:paraId="267C0BE3" w14:textId="77777777" w:rsidR="006F1691" w:rsidRDefault="006F1691" w:rsidP="005077A7">
      <w:pPr>
        <w:pStyle w:val="a"/>
        <w:rPr>
          <w:rFonts w:eastAsiaTheme="minorEastAsia" w:cstheme="minorBidi"/>
          <w:sz w:val="22"/>
          <w:szCs w:val="22"/>
          <w:rtl/>
        </w:rPr>
      </w:pPr>
      <w:r>
        <w:rPr>
          <w:rtl/>
        </w:rPr>
        <w:t>דברי הרשב"א דלא קיי"ל כב' הקולות דרב חסדא ולא תלינן אף בידוע שנגע במפרקת</w:t>
      </w:r>
    </w:p>
    <w:p w14:paraId="7FE0C207" w14:textId="77777777" w:rsidR="006F1691" w:rsidRDefault="006F1691" w:rsidP="005077A7">
      <w:pPr>
        <w:pStyle w:val="a"/>
        <w:rPr>
          <w:rFonts w:eastAsiaTheme="minorEastAsia" w:cstheme="minorBidi"/>
          <w:sz w:val="22"/>
          <w:szCs w:val="22"/>
          <w:rtl/>
        </w:rPr>
      </w:pPr>
      <w:r>
        <w:rPr>
          <w:rtl/>
        </w:rPr>
        <w:t>דברי הרשב"א דמהא דרב חסדא לא הזכיר דשיבר בה עצמות מבואר דהתיר אף בלא שיבר</w:t>
      </w:r>
    </w:p>
    <w:p w14:paraId="6C807A14" w14:textId="77777777" w:rsidR="006F1691" w:rsidRDefault="006F1691" w:rsidP="00FE6ED2">
      <w:pPr>
        <w:pStyle w:val="aff4"/>
        <w:rPr>
          <w:rFonts w:eastAsiaTheme="minorEastAsia" w:cstheme="minorBidi"/>
          <w:i/>
          <w:iCs/>
          <w:noProof/>
          <w:sz w:val="22"/>
          <w:szCs w:val="22"/>
          <w:rtl/>
        </w:rPr>
      </w:pPr>
      <w:bookmarkStart w:id="5619" w:name="_Toc19435391"/>
      <w:bookmarkStart w:id="5620" w:name="_Toc20080717"/>
      <w:r>
        <w:rPr>
          <w:noProof/>
          <w:rtl/>
        </w:rPr>
        <w:t>ביאור הרמב"ן והרשב"א דבספק נגע מעמידים על חזקת הסכין</w:t>
      </w:r>
      <w:bookmarkEnd w:id="5619"/>
      <w:bookmarkEnd w:id="5620"/>
    </w:p>
    <w:p w14:paraId="17D85511" w14:textId="77777777" w:rsidR="006F1691" w:rsidRDefault="006F1691" w:rsidP="005077A7">
      <w:pPr>
        <w:pStyle w:val="a"/>
        <w:rPr>
          <w:rFonts w:eastAsiaTheme="minorEastAsia" w:cstheme="minorBidi"/>
          <w:sz w:val="22"/>
          <w:szCs w:val="22"/>
          <w:rtl/>
        </w:rPr>
      </w:pPr>
      <w:r>
        <w:rPr>
          <w:rtl/>
        </w:rPr>
        <w:t>קושית הרשב"א דאי לא ידוע שנגע במפרקת א"א לומר דודאי עצם מוציא מספק עור</w:t>
      </w:r>
    </w:p>
    <w:p w14:paraId="61443422" w14:textId="77777777" w:rsidR="006F1691" w:rsidRDefault="006F1691" w:rsidP="005077A7">
      <w:pPr>
        <w:pStyle w:val="a"/>
        <w:rPr>
          <w:rFonts w:eastAsiaTheme="minorEastAsia" w:cstheme="minorBidi"/>
          <w:sz w:val="22"/>
          <w:szCs w:val="22"/>
          <w:rtl/>
        </w:rPr>
      </w:pPr>
      <w:r>
        <w:rPr>
          <w:rtl/>
        </w:rPr>
        <w:t>דברי הרמב"ן הרשב"א והרא"ה דאין ספק פגימת העור מוציאה מודאי בדיקת הסכין</w:t>
      </w:r>
    </w:p>
    <w:p w14:paraId="1090D6B8" w14:textId="77777777" w:rsidR="006F1691" w:rsidRDefault="006F1691" w:rsidP="005077A7">
      <w:pPr>
        <w:pStyle w:val="a"/>
        <w:rPr>
          <w:rFonts w:eastAsiaTheme="minorEastAsia" w:cstheme="minorBidi"/>
          <w:sz w:val="22"/>
          <w:szCs w:val="22"/>
          <w:rtl/>
        </w:rPr>
      </w:pPr>
      <w:r>
        <w:rPr>
          <w:rtl/>
        </w:rPr>
        <w:t>תירוץ הרשב"א דכוונת הגמ' לומר דתלינן בעצם שמצוי לפגום כיון שעור אינו מצוי לפגום</w:t>
      </w:r>
    </w:p>
    <w:p w14:paraId="1F8A0692" w14:textId="77777777" w:rsidR="006F1691" w:rsidRDefault="006F1691" w:rsidP="00FE6ED2">
      <w:pPr>
        <w:pStyle w:val="2"/>
        <w:keepNext w:val="0"/>
        <w:keepLines w:val="0"/>
        <w:rPr>
          <w:rFonts w:eastAsiaTheme="minorEastAsia" w:cstheme="minorBidi"/>
          <w:i/>
          <w:iCs/>
          <w:noProof/>
          <w:sz w:val="22"/>
          <w:szCs w:val="22"/>
          <w:rtl/>
        </w:rPr>
      </w:pPr>
      <w:bookmarkStart w:id="5621" w:name="_Toc19435392"/>
      <w:r>
        <w:rPr>
          <w:noProof/>
          <w:rtl/>
        </w:rPr>
        <w:t>בנגע בודאי במפרקת לדידן</w:t>
      </w:r>
      <w:bookmarkEnd w:id="5621"/>
    </w:p>
    <w:p w14:paraId="0D2ACB96" w14:textId="77777777" w:rsidR="006F1691" w:rsidRDefault="006F1691" w:rsidP="00FE6ED2">
      <w:pPr>
        <w:pStyle w:val="aff4"/>
        <w:rPr>
          <w:rFonts w:eastAsiaTheme="minorEastAsia" w:cstheme="minorBidi"/>
          <w:i/>
          <w:iCs/>
          <w:noProof/>
          <w:sz w:val="22"/>
          <w:szCs w:val="22"/>
          <w:rtl/>
        </w:rPr>
      </w:pPr>
      <w:bookmarkStart w:id="5622" w:name="_Toc19435393"/>
      <w:bookmarkStart w:id="5623" w:name="_Toc20080718"/>
      <w:r>
        <w:rPr>
          <w:noProof/>
          <w:rtl/>
        </w:rPr>
        <w:t>פלוגתת רש"י עם הרמב"ן והרשב"א בידוע שנגע במפרקת</w:t>
      </w:r>
      <w:bookmarkEnd w:id="5622"/>
      <w:bookmarkEnd w:id="5623"/>
    </w:p>
    <w:p w14:paraId="3DD0E3FA" w14:textId="77777777" w:rsidR="006F1691" w:rsidRDefault="006F1691" w:rsidP="005077A7">
      <w:pPr>
        <w:pStyle w:val="a"/>
        <w:rPr>
          <w:rFonts w:eastAsiaTheme="minorEastAsia" w:cstheme="minorBidi"/>
          <w:sz w:val="22"/>
          <w:szCs w:val="22"/>
          <w:rtl/>
        </w:rPr>
      </w:pPr>
      <w:r>
        <w:rPr>
          <w:rtl/>
        </w:rPr>
        <w:t>דברי הרמב"ן והרשב"א בדעת רש"י דרב חסדא מתיר בנגע במפרקת ולא קיי"ל כוותיה</w:t>
      </w:r>
    </w:p>
    <w:p w14:paraId="11C6C74A" w14:textId="77777777" w:rsidR="006F1691" w:rsidRDefault="006F1691" w:rsidP="005077A7">
      <w:pPr>
        <w:pStyle w:val="a"/>
        <w:rPr>
          <w:rFonts w:eastAsiaTheme="minorEastAsia" w:cstheme="minorBidi"/>
          <w:sz w:val="22"/>
          <w:szCs w:val="22"/>
          <w:rtl/>
        </w:rPr>
      </w:pPr>
      <w:r>
        <w:rPr>
          <w:rtl/>
        </w:rPr>
        <w:t>דעת הרמב"ן והרשב"א דרב חסדא מתיר בין בודאי נגע במפרקת ובין בספק נגע</w:t>
      </w:r>
    </w:p>
    <w:p w14:paraId="11D810B7" w14:textId="77777777" w:rsidR="006F1691" w:rsidRDefault="006F1691" w:rsidP="00FE6ED2">
      <w:pPr>
        <w:pStyle w:val="aff4"/>
        <w:rPr>
          <w:rFonts w:eastAsiaTheme="minorEastAsia" w:cstheme="minorBidi"/>
          <w:i/>
          <w:iCs/>
          <w:noProof/>
          <w:sz w:val="22"/>
          <w:szCs w:val="22"/>
          <w:rtl/>
        </w:rPr>
      </w:pPr>
      <w:bookmarkStart w:id="5624" w:name="_Toc19435394"/>
      <w:bookmarkStart w:id="5625" w:name="_Toc20080719"/>
      <w:r>
        <w:rPr>
          <w:noProof/>
          <w:rtl/>
        </w:rPr>
        <w:t>דעת הרא"ה דבידוע שנגע במפרקת מותר אף לדידן</w:t>
      </w:r>
      <w:bookmarkEnd w:id="5624"/>
      <w:bookmarkEnd w:id="5625"/>
    </w:p>
    <w:p w14:paraId="2906041D" w14:textId="77777777" w:rsidR="006F1691" w:rsidRDefault="006F1691" w:rsidP="005077A7">
      <w:pPr>
        <w:pStyle w:val="a"/>
        <w:rPr>
          <w:rFonts w:eastAsiaTheme="minorEastAsia" w:cstheme="minorBidi"/>
          <w:sz w:val="22"/>
          <w:szCs w:val="22"/>
          <w:rtl/>
        </w:rPr>
      </w:pPr>
      <w:r>
        <w:rPr>
          <w:rtl/>
        </w:rPr>
        <w:t>דברי הרא"ה דבידוע שנגע במפרקת הוא כשיבר בה עצמות ואף לדידן כשר</w:t>
      </w:r>
    </w:p>
    <w:p w14:paraId="66D898E3" w14:textId="77777777" w:rsidR="006F1691" w:rsidRDefault="006F1691" w:rsidP="005077A7">
      <w:pPr>
        <w:pStyle w:val="a"/>
        <w:rPr>
          <w:rFonts w:eastAsiaTheme="minorEastAsia" w:cstheme="minorBidi"/>
          <w:sz w:val="22"/>
          <w:szCs w:val="22"/>
          <w:rtl/>
        </w:rPr>
      </w:pPr>
      <w:r>
        <w:rPr>
          <w:rtl/>
        </w:rPr>
        <w:t>דברי הרא"ה דדוקא כשעשה רושם במפרקת מותר לדידן ובלא עשה אסור מספק</w:t>
      </w:r>
    </w:p>
    <w:p w14:paraId="1E6E19D4" w14:textId="77777777" w:rsidR="006F1691" w:rsidRDefault="006F1691" w:rsidP="00FE6ED2">
      <w:pPr>
        <w:pStyle w:val="aff4"/>
        <w:rPr>
          <w:rFonts w:eastAsiaTheme="minorEastAsia" w:cstheme="minorBidi"/>
          <w:i/>
          <w:iCs/>
          <w:noProof/>
          <w:sz w:val="22"/>
          <w:szCs w:val="22"/>
          <w:rtl/>
        </w:rPr>
      </w:pPr>
      <w:bookmarkStart w:id="5626" w:name="_Toc19435395"/>
      <w:bookmarkStart w:id="5627" w:name="_Toc20080720"/>
      <w:r>
        <w:rPr>
          <w:noProof/>
          <w:rtl/>
        </w:rPr>
        <w:t>דברי המרדכי בנמצא חתך במפרקת</w:t>
      </w:r>
      <w:bookmarkEnd w:id="5626"/>
      <w:bookmarkEnd w:id="5627"/>
    </w:p>
    <w:p w14:paraId="00E199EF" w14:textId="77777777" w:rsidR="006F1691" w:rsidRDefault="006F1691" w:rsidP="005077A7">
      <w:pPr>
        <w:pStyle w:val="a"/>
        <w:rPr>
          <w:rFonts w:eastAsiaTheme="minorEastAsia" w:cstheme="minorBidi"/>
          <w:sz w:val="22"/>
          <w:szCs w:val="22"/>
          <w:rtl/>
        </w:rPr>
      </w:pPr>
      <w:r>
        <w:rPr>
          <w:rtl/>
        </w:rPr>
        <w:t>דברי המרדכי דבהדיח את המפרקת ונמצא בה חתך אף לדידן תלינן במפרקת</w:t>
      </w:r>
    </w:p>
    <w:p w14:paraId="69DB16FA" w14:textId="77777777" w:rsidR="006F1691" w:rsidRDefault="006F1691" w:rsidP="005077A7">
      <w:pPr>
        <w:pStyle w:val="a"/>
        <w:rPr>
          <w:rFonts w:eastAsiaTheme="minorEastAsia" w:cstheme="minorBidi"/>
          <w:sz w:val="22"/>
          <w:szCs w:val="22"/>
          <w:rtl/>
        </w:rPr>
      </w:pPr>
      <w:r>
        <w:rPr>
          <w:rtl/>
        </w:rPr>
        <w:t>ביאור המרדכי דרב חסדא איירי בנגע במפרקת ולא עשה חתך דאי"ז כשיבר בה עצמות</w:t>
      </w:r>
    </w:p>
    <w:p w14:paraId="150D54A8" w14:textId="77777777" w:rsidR="006F1691" w:rsidRDefault="006F1691" w:rsidP="00FE6ED2">
      <w:pPr>
        <w:pStyle w:val="aff4"/>
        <w:rPr>
          <w:rFonts w:eastAsiaTheme="minorEastAsia" w:cstheme="minorBidi"/>
          <w:i/>
          <w:iCs/>
          <w:noProof/>
          <w:sz w:val="22"/>
          <w:szCs w:val="22"/>
          <w:rtl/>
        </w:rPr>
      </w:pPr>
      <w:bookmarkStart w:id="5628" w:name="_Toc19435396"/>
      <w:bookmarkStart w:id="5629" w:name="_Toc20080721"/>
      <w:r>
        <w:rPr>
          <w:noProof/>
          <w:rtl/>
        </w:rPr>
        <w:t>דעת הרא"ה דבודאי לא נגע במפרקת לכו"ע אסור</w:t>
      </w:r>
      <w:bookmarkEnd w:id="5628"/>
      <w:bookmarkEnd w:id="5629"/>
    </w:p>
    <w:p w14:paraId="3B757C2F" w14:textId="77777777" w:rsidR="006F1691" w:rsidRDefault="006F1691" w:rsidP="005077A7">
      <w:pPr>
        <w:pStyle w:val="a"/>
        <w:rPr>
          <w:rFonts w:eastAsiaTheme="minorEastAsia" w:cstheme="minorBidi"/>
          <w:sz w:val="22"/>
          <w:szCs w:val="22"/>
          <w:rtl/>
        </w:rPr>
      </w:pPr>
      <w:r>
        <w:rPr>
          <w:rtl/>
        </w:rPr>
        <w:t>דברי הרא"ה דבמקום שודאי לא נגע הסכין במפרקת אף רב חסדא מודה דאסור</w:t>
      </w:r>
    </w:p>
    <w:p w14:paraId="2529F809" w14:textId="77777777" w:rsidR="006F1691" w:rsidRDefault="006F1691" w:rsidP="00FE6ED2">
      <w:pPr>
        <w:pStyle w:val="aff4"/>
        <w:rPr>
          <w:rFonts w:eastAsiaTheme="minorEastAsia" w:cstheme="minorBidi"/>
          <w:i/>
          <w:iCs/>
          <w:noProof/>
          <w:sz w:val="22"/>
          <w:szCs w:val="22"/>
          <w:rtl/>
        </w:rPr>
      </w:pPr>
      <w:bookmarkStart w:id="5630" w:name="_Toc19435397"/>
      <w:bookmarkStart w:id="5631" w:name="_Toc20080722"/>
      <w:r>
        <w:rPr>
          <w:noProof/>
          <w:rtl/>
        </w:rPr>
        <w:t>פלוגתת הרמב"ן והרשב"א בחתך את כל המפרקת</w:t>
      </w:r>
      <w:bookmarkEnd w:id="5630"/>
      <w:bookmarkEnd w:id="5631"/>
    </w:p>
    <w:p w14:paraId="561D2665" w14:textId="77777777" w:rsidR="006F1691" w:rsidRDefault="006F1691" w:rsidP="005077A7">
      <w:pPr>
        <w:pStyle w:val="a"/>
        <w:rPr>
          <w:rFonts w:eastAsiaTheme="minorEastAsia" w:cstheme="minorBidi"/>
          <w:sz w:val="22"/>
          <w:szCs w:val="22"/>
          <w:rtl/>
        </w:rPr>
      </w:pPr>
      <w:r>
        <w:rPr>
          <w:rtl/>
        </w:rPr>
        <w:t>דעת הרמב"ן דדוקא בשבר את כל המפרקת תלינן אבל בנגע במפרקת לא תלינן לקולא</w:t>
      </w:r>
    </w:p>
    <w:p w14:paraId="3756C237" w14:textId="77777777" w:rsidR="006F1691" w:rsidRDefault="006F1691" w:rsidP="005077A7">
      <w:pPr>
        <w:pStyle w:val="a"/>
        <w:rPr>
          <w:rFonts w:eastAsiaTheme="minorEastAsia" w:cstheme="minorBidi"/>
          <w:sz w:val="22"/>
          <w:szCs w:val="22"/>
          <w:rtl/>
        </w:rPr>
      </w:pPr>
      <w:r>
        <w:rPr>
          <w:rtl/>
        </w:rPr>
        <w:t>דברי הרשב"א דמפרקת לא דמי לשיבר עצמות וביאר הר"ן דאף בחתך את כל המפרקת אסור</w:t>
      </w:r>
    </w:p>
    <w:p w14:paraId="16658370" w14:textId="77777777" w:rsidR="006F1691" w:rsidRDefault="006F1691" w:rsidP="005077A7">
      <w:pPr>
        <w:pStyle w:val="a"/>
        <w:rPr>
          <w:rFonts w:eastAsiaTheme="minorEastAsia" w:cstheme="minorBidi"/>
          <w:sz w:val="22"/>
          <w:szCs w:val="22"/>
          <w:rtl/>
        </w:rPr>
      </w:pPr>
      <w:r>
        <w:rPr>
          <w:rtl/>
        </w:rPr>
        <w:t>ביאור הרשב"א דעצם המפרקת רך ואינו פוגם כשאר עצמות או דאינו פוגם בהולכה והבאה</w:t>
      </w:r>
    </w:p>
    <w:p w14:paraId="4F700FCA" w14:textId="77777777" w:rsidR="006F1691" w:rsidRDefault="006F1691" w:rsidP="005077A7">
      <w:pPr>
        <w:pStyle w:val="a"/>
        <w:rPr>
          <w:rFonts w:eastAsiaTheme="minorEastAsia" w:cstheme="minorBidi"/>
          <w:sz w:val="22"/>
          <w:szCs w:val="22"/>
          <w:rtl/>
        </w:rPr>
      </w:pPr>
      <w:r>
        <w:rPr>
          <w:rtl/>
        </w:rPr>
        <w:t>דברי הבעה"מ והרא"ש דבנגיעה במפרקת שאינו חותך בכח לא שכיח שיפגם</w:t>
      </w:r>
    </w:p>
    <w:p w14:paraId="191AA9C1" w14:textId="77777777" w:rsidR="006F1691" w:rsidRDefault="006F1691" w:rsidP="005077A7">
      <w:pPr>
        <w:pStyle w:val="a"/>
        <w:rPr>
          <w:rFonts w:eastAsiaTheme="minorEastAsia" w:cstheme="minorBidi"/>
          <w:sz w:val="22"/>
          <w:szCs w:val="22"/>
          <w:rtl/>
        </w:rPr>
      </w:pPr>
      <w:r>
        <w:rPr>
          <w:rtl/>
        </w:rPr>
        <w:t>הוכחת הרשב"א מהא דאין חיוב בדיקה בין שחיטה לשחיטה דמפרקת אינה כשאר עצמות</w:t>
      </w:r>
    </w:p>
    <w:p w14:paraId="2EEEFDC6" w14:textId="77777777" w:rsidR="006F1691" w:rsidRDefault="006F1691" w:rsidP="00FE6ED2">
      <w:pPr>
        <w:pStyle w:val="aff4"/>
        <w:rPr>
          <w:noProof/>
          <w:rtl/>
        </w:rPr>
      </w:pPr>
    </w:p>
    <w:p w14:paraId="218A524C" w14:textId="77777777" w:rsidR="006F1691" w:rsidRDefault="006F1691" w:rsidP="00FE6ED2">
      <w:pPr>
        <w:pStyle w:val="aff4"/>
        <w:rPr>
          <w:noProof/>
          <w:rtl/>
        </w:rPr>
      </w:pPr>
    </w:p>
    <w:p w14:paraId="5283FE62" w14:textId="77777777" w:rsidR="006F1691" w:rsidRDefault="006F1691" w:rsidP="00FE6ED2">
      <w:pPr>
        <w:pStyle w:val="aff4"/>
        <w:rPr>
          <w:rFonts w:eastAsiaTheme="minorEastAsia" w:cstheme="minorBidi"/>
          <w:i/>
          <w:iCs/>
          <w:noProof/>
          <w:sz w:val="22"/>
          <w:szCs w:val="22"/>
          <w:rtl/>
        </w:rPr>
      </w:pPr>
      <w:bookmarkStart w:id="5632" w:name="_Toc19435398"/>
      <w:bookmarkStart w:id="5633" w:name="_Toc20080723"/>
      <w:r>
        <w:rPr>
          <w:noProof/>
          <w:rtl/>
        </w:rPr>
        <w:t>בביאור דעת הרשב"א בחתך את המפרקת בדרך שבירה</w:t>
      </w:r>
      <w:bookmarkEnd w:id="5632"/>
      <w:bookmarkEnd w:id="5633"/>
    </w:p>
    <w:p w14:paraId="2CC2C819" w14:textId="77777777" w:rsidR="006F1691" w:rsidRDefault="006F1691" w:rsidP="005077A7">
      <w:pPr>
        <w:pStyle w:val="a"/>
        <w:rPr>
          <w:rFonts w:eastAsiaTheme="minorEastAsia" w:cstheme="minorBidi"/>
          <w:sz w:val="22"/>
          <w:szCs w:val="22"/>
          <w:rtl/>
        </w:rPr>
      </w:pPr>
      <w:r>
        <w:rPr>
          <w:rtl/>
        </w:rPr>
        <w:t>דברי השו"ע דאף בחתך את המפרקת בדרך שבירה לא תלינן בה</w:t>
      </w:r>
    </w:p>
    <w:p w14:paraId="47834065" w14:textId="77777777" w:rsidR="006F1691" w:rsidRDefault="006F1691" w:rsidP="005077A7">
      <w:pPr>
        <w:pStyle w:val="a"/>
        <w:rPr>
          <w:rFonts w:eastAsiaTheme="minorEastAsia" w:cstheme="minorBidi"/>
          <w:sz w:val="22"/>
          <w:szCs w:val="22"/>
          <w:rtl/>
        </w:rPr>
      </w:pPr>
      <w:r>
        <w:rPr>
          <w:rtl/>
        </w:rPr>
        <w:t>דברי הש"ך והט"ז דמקור דברי השו"ע הוא מביאור הר"ן בדעת הרשב"א</w:t>
      </w:r>
    </w:p>
    <w:p w14:paraId="114A5051" w14:textId="77777777" w:rsidR="006F1691" w:rsidRDefault="006F1691" w:rsidP="005077A7">
      <w:pPr>
        <w:pStyle w:val="a"/>
        <w:rPr>
          <w:rFonts w:eastAsiaTheme="minorEastAsia" w:cstheme="minorBidi"/>
          <w:sz w:val="22"/>
          <w:szCs w:val="22"/>
          <w:rtl/>
        </w:rPr>
      </w:pPr>
      <w:r>
        <w:rPr>
          <w:rtl/>
        </w:rPr>
        <w:t>דעת הש"ך והט"ז דרק בחתך בדרך הולכה והבאה לא תלינן במפרקת</w:t>
      </w:r>
    </w:p>
    <w:p w14:paraId="6AF7DCEF" w14:textId="77777777" w:rsidR="006F1691" w:rsidRDefault="006F1691" w:rsidP="005077A7">
      <w:pPr>
        <w:pStyle w:val="a"/>
        <w:rPr>
          <w:rFonts w:eastAsiaTheme="minorEastAsia" w:cstheme="minorBidi"/>
          <w:sz w:val="22"/>
          <w:szCs w:val="22"/>
          <w:rtl/>
        </w:rPr>
      </w:pPr>
      <w:r>
        <w:rPr>
          <w:rtl/>
        </w:rPr>
        <w:t>ביאור התבו"ש דיש חילוק בין תליה לקולא בבהמה אחת לתליה לחומרא בכמה בהמות</w:t>
      </w:r>
    </w:p>
    <w:p w14:paraId="41E3AECA" w14:textId="77777777" w:rsidR="006F1691" w:rsidRDefault="006F1691" w:rsidP="005077A7">
      <w:pPr>
        <w:pStyle w:val="a"/>
        <w:rPr>
          <w:rFonts w:eastAsiaTheme="minorEastAsia" w:cstheme="minorBidi"/>
          <w:sz w:val="22"/>
          <w:szCs w:val="22"/>
          <w:rtl/>
        </w:rPr>
      </w:pPr>
      <w:r>
        <w:rPr>
          <w:rtl/>
        </w:rPr>
        <w:t>דברי התבו"ש דמקור דברי השו"ע הוא מהרשב"א דקיי"ל כר"ח רק בשיבר עצמות דעלמא</w:t>
      </w:r>
    </w:p>
    <w:p w14:paraId="56B55FDC" w14:textId="77777777" w:rsidR="006F1691" w:rsidRDefault="006F1691" w:rsidP="005077A7">
      <w:pPr>
        <w:pStyle w:val="a"/>
        <w:rPr>
          <w:rFonts w:eastAsiaTheme="minorEastAsia" w:cstheme="minorBidi"/>
          <w:sz w:val="22"/>
          <w:szCs w:val="22"/>
          <w:rtl/>
        </w:rPr>
      </w:pPr>
      <w:r>
        <w:rPr>
          <w:rtl/>
        </w:rPr>
        <w:t>ביאור הפרמ"ג והגר"א דמקור השו"ע מדיוק הרשב"א דתלינן בעצמות ולא בעצם המפרקת</w:t>
      </w:r>
    </w:p>
    <w:p w14:paraId="072B6B05" w14:textId="77777777" w:rsidR="006F1691" w:rsidRDefault="006F1691" w:rsidP="00FE6ED2">
      <w:pPr>
        <w:pStyle w:val="2"/>
        <w:keepNext w:val="0"/>
        <w:keepLines w:val="0"/>
        <w:rPr>
          <w:rFonts w:eastAsiaTheme="minorEastAsia" w:cstheme="minorBidi"/>
          <w:i/>
          <w:iCs/>
          <w:noProof/>
          <w:sz w:val="22"/>
          <w:szCs w:val="22"/>
          <w:rtl/>
        </w:rPr>
      </w:pPr>
      <w:bookmarkStart w:id="5634" w:name="_Toc19435399"/>
      <w:r>
        <w:rPr>
          <w:noProof/>
          <w:rtl/>
        </w:rPr>
        <w:t>בביאור הלישנות ברב יוסף</w:t>
      </w:r>
      <w:bookmarkEnd w:id="5634"/>
    </w:p>
    <w:p w14:paraId="27B5481B" w14:textId="77777777" w:rsidR="006F1691" w:rsidRDefault="006F1691" w:rsidP="00FE6ED2">
      <w:pPr>
        <w:pStyle w:val="aff4"/>
        <w:rPr>
          <w:rFonts w:eastAsiaTheme="minorEastAsia" w:cstheme="minorBidi"/>
          <w:i/>
          <w:iCs/>
          <w:noProof/>
          <w:sz w:val="22"/>
          <w:szCs w:val="22"/>
          <w:rtl/>
        </w:rPr>
      </w:pPr>
      <w:bookmarkStart w:id="5635" w:name="_Toc19435400"/>
      <w:bookmarkStart w:id="5636" w:name="_Toc20080724"/>
      <w:r>
        <w:rPr>
          <w:noProof/>
          <w:rtl/>
        </w:rPr>
        <w:t>ביאור התוס' בל"ב דרק במפרקת האחרונה מצוי שיפגום</w:t>
      </w:r>
      <w:bookmarkEnd w:id="5635"/>
      <w:bookmarkEnd w:id="5636"/>
    </w:p>
    <w:p w14:paraId="709BEA81" w14:textId="77777777" w:rsidR="006F1691" w:rsidRDefault="006F1691" w:rsidP="005077A7">
      <w:pPr>
        <w:pStyle w:val="a"/>
        <w:rPr>
          <w:rFonts w:eastAsiaTheme="minorEastAsia" w:cstheme="minorBidi"/>
          <w:sz w:val="22"/>
          <w:szCs w:val="22"/>
          <w:rtl/>
        </w:rPr>
      </w:pPr>
      <w:r>
        <w:rPr>
          <w:rtl/>
        </w:rPr>
        <w:t>התי' הב' בתוס' דכיון שעצם ודאי פוגם אמרינן דהריעותא אינה בבהמה אלא בסכין</w:t>
      </w:r>
    </w:p>
    <w:p w14:paraId="288047A2" w14:textId="77777777" w:rsidR="006F1691" w:rsidRDefault="006F1691" w:rsidP="005077A7">
      <w:pPr>
        <w:pStyle w:val="a"/>
        <w:rPr>
          <w:rFonts w:eastAsiaTheme="minorEastAsia" w:cstheme="minorBidi"/>
          <w:sz w:val="22"/>
          <w:szCs w:val="22"/>
          <w:rtl/>
        </w:rPr>
      </w:pPr>
      <w:r>
        <w:rPr>
          <w:rtl/>
        </w:rPr>
        <w:t>קושית התוס' דבל"ב ברב יוסף משמע דלרב חסדא אין הטעם מצד דעצם ודאי פוגם</w:t>
      </w:r>
    </w:p>
    <w:p w14:paraId="5C48D390" w14:textId="77777777" w:rsidR="006F1691" w:rsidRDefault="006F1691" w:rsidP="005077A7">
      <w:pPr>
        <w:pStyle w:val="a"/>
        <w:rPr>
          <w:rFonts w:eastAsiaTheme="minorEastAsia" w:cstheme="minorBidi"/>
          <w:sz w:val="22"/>
          <w:szCs w:val="22"/>
          <w:rtl/>
        </w:rPr>
      </w:pPr>
      <w:r>
        <w:rPr>
          <w:rtl/>
        </w:rPr>
        <w:t>תירוץ התוס' דבהרבה בהמות נזהר לא לפגום בראשונות והאחרונה היא ודאי פוגמת</w:t>
      </w:r>
    </w:p>
    <w:p w14:paraId="70E9209D" w14:textId="77777777" w:rsidR="006F1691" w:rsidRDefault="006F1691" w:rsidP="005077A7">
      <w:pPr>
        <w:pStyle w:val="a"/>
        <w:rPr>
          <w:rFonts w:eastAsiaTheme="minorEastAsia" w:cstheme="minorBidi"/>
          <w:sz w:val="22"/>
          <w:szCs w:val="22"/>
          <w:rtl/>
        </w:rPr>
      </w:pPr>
      <w:r>
        <w:rPr>
          <w:rtl/>
        </w:rPr>
        <w:t>דחיית הר"ן דתירוץ התוס' הוא דוחק ולא משמע כן בגמ'</w:t>
      </w:r>
    </w:p>
    <w:p w14:paraId="3A95170E" w14:textId="77777777" w:rsidR="006F1691" w:rsidRDefault="006F1691" w:rsidP="00FE6ED2">
      <w:pPr>
        <w:pStyle w:val="aff4"/>
        <w:rPr>
          <w:rFonts w:eastAsiaTheme="minorEastAsia" w:cstheme="minorBidi"/>
          <w:i/>
          <w:iCs/>
          <w:noProof/>
          <w:sz w:val="22"/>
          <w:szCs w:val="22"/>
          <w:rtl/>
        </w:rPr>
      </w:pPr>
      <w:bookmarkStart w:id="5637" w:name="_Toc19435401"/>
      <w:bookmarkStart w:id="5638" w:name="_Toc20080725"/>
      <w:r>
        <w:rPr>
          <w:noProof/>
          <w:rtl/>
        </w:rPr>
        <w:t>ביאור הר"ן דב' הלישנות נחלקו בטעם ההיתר לרב חסדא</w:t>
      </w:r>
      <w:bookmarkEnd w:id="5637"/>
      <w:bookmarkEnd w:id="5638"/>
    </w:p>
    <w:p w14:paraId="04A23CD8" w14:textId="77777777" w:rsidR="006F1691" w:rsidRDefault="006F1691" w:rsidP="005077A7">
      <w:pPr>
        <w:pStyle w:val="a"/>
        <w:rPr>
          <w:rFonts w:eastAsiaTheme="minorEastAsia" w:cstheme="minorBidi"/>
          <w:sz w:val="22"/>
          <w:szCs w:val="22"/>
          <w:rtl/>
        </w:rPr>
      </w:pPr>
      <w:r>
        <w:rPr>
          <w:rtl/>
        </w:rPr>
        <w:t>דברי הר"ן דהספק ברב יוסף האו האם נשארה הסברא דאין ספק מוציא מידי ודאי</w:t>
      </w:r>
    </w:p>
    <w:p w14:paraId="5F04EC41" w14:textId="77777777" w:rsidR="006F1691" w:rsidRDefault="006F1691" w:rsidP="005077A7">
      <w:pPr>
        <w:pStyle w:val="a"/>
        <w:rPr>
          <w:rFonts w:eastAsiaTheme="minorEastAsia" w:cstheme="minorBidi"/>
          <w:sz w:val="22"/>
          <w:szCs w:val="22"/>
          <w:rtl/>
        </w:rPr>
      </w:pPr>
      <w:r>
        <w:rPr>
          <w:rtl/>
        </w:rPr>
        <w:t>ביאור הר"ן דלל"ק תלינן במפרקת גם מחמת דעצם ודאי פוגם</w:t>
      </w:r>
    </w:p>
    <w:p w14:paraId="5AE865E2" w14:textId="77777777" w:rsidR="006F1691" w:rsidRDefault="006F1691" w:rsidP="005077A7">
      <w:pPr>
        <w:pStyle w:val="a"/>
        <w:rPr>
          <w:rFonts w:eastAsiaTheme="minorEastAsia" w:cstheme="minorBidi"/>
          <w:sz w:val="22"/>
          <w:szCs w:val="22"/>
          <w:rtl/>
        </w:rPr>
      </w:pPr>
      <w:r>
        <w:rPr>
          <w:rtl/>
        </w:rPr>
        <w:t>ביאור הר"ן בל"ב דתלינן במפרקת רק מחמת דהבהמה לא איתרעי</w:t>
      </w:r>
    </w:p>
    <w:p w14:paraId="20997B00" w14:textId="77777777" w:rsidR="006F1691" w:rsidRDefault="006F1691" w:rsidP="005077A7">
      <w:pPr>
        <w:pStyle w:val="a"/>
        <w:rPr>
          <w:rFonts w:eastAsiaTheme="minorEastAsia" w:cstheme="minorBidi"/>
          <w:sz w:val="22"/>
          <w:szCs w:val="22"/>
          <w:rtl/>
        </w:rPr>
      </w:pPr>
      <w:r>
        <w:rPr>
          <w:rtl/>
        </w:rPr>
        <w:t>דברי החת"ס דהלישנא קמא סברה כתי' הב' בתוס' דרב חסדא מתיר מחמת דעצם ודאי פוגם</w:t>
      </w:r>
    </w:p>
    <w:p w14:paraId="3B10780E" w14:textId="77777777" w:rsidR="006F1691" w:rsidRDefault="006F1691" w:rsidP="005077A7">
      <w:pPr>
        <w:pStyle w:val="a"/>
        <w:rPr>
          <w:rFonts w:eastAsiaTheme="minorEastAsia" w:cstheme="minorBidi"/>
          <w:sz w:val="22"/>
          <w:szCs w:val="22"/>
          <w:rtl/>
        </w:rPr>
      </w:pPr>
      <w:r>
        <w:rPr>
          <w:rtl/>
        </w:rPr>
        <w:t>דברי החת"ס דהלישנא בתרא סברה כתי' הג' בתוס' דרב חסדא מתיר מדין ספק ספיקא</w:t>
      </w:r>
    </w:p>
    <w:p w14:paraId="01DA8EC0" w14:textId="77777777" w:rsidR="006F1691" w:rsidRDefault="006F1691" w:rsidP="005077A7">
      <w:pPr>
        <w:pStyle w:val="a"/>
        <w:rPr>
          <w:rFonts w:eastAsiaTheme="minorEastAsia" w:cstheme="minorBidi"/>
          <w:sz w:val="22"/>
          <w:szCs w:val="22"/>
          <w:rtl/>
        </w:rPr>
      </w:pPr>
      <w:r>
        <w:rPr>
          <w:rtl/>
        </w:rPr>
        <w:t>דברי החת"ס דלדידן לא סמכינן על סברת אין ספק מוציא מידי ודאי במפרקת</w:t>
      </w:r>
    </w:p>
    <w:p w14:paraId="38A3112D" w14:textId="77777777" w:rsidR="006F1691" w:rsidRDefault="006F1691" w:rsidP="00FE6ED2">
      <w:pPr>
        <w:pStyle w:val="aff4"/>
        <w:rPr>
          <w:rFonts w:eastAsiaTheme="minorEastAsia" w:cstheme="minorBidi"/>
          <w:i/>
          <w:iCs/>
          <w:noProof/>
          <w:sz w:val="22"/>
          <w:szCs w:val="22"/>
          <w:rtl/>
        </w:rPr>
      </w:pPr>
      <w:bookmarkStart w:id="5639" w:name="_Toc19435402"/>
      <w:bookmarkStart w:id="5640" w:name="_Toc20080726"/>
      <w:r>
        <w:rPr>
          <w:noProof/>
          <w:rtl/>
        </w:rPr>
        <w:t>דברי רבינו יונה והרשב"א במסקנת הגמ' לדידן ולרב לרב חסדא</w:t>
      </w:r>
      <w:bookmarkEnd w:id="5639"/>
      <w:bookmarkEnd w:id="5640"/>
    </w:p>
    <w:p w14:paraId="62D6B261" w14:textId="77777777" w:rsidR="006F1691" w:rsidRDefault="006F1691" w:rsidP="005077A7">
      <w:pPr>
        <w:pStyle w:val="a"/>
        <w:rPr>
          <w:rFonts w:eastAsiaTheme="minorEastAsia" w:cstheme="minorBidi"/>
          <w:sz w:val="22"/>
          <w:szCs w:val="22"/>
          <w:rtl/>
        </w:rPr>
      </w:pPr>
      <w:r>
        <w:rPr>
          <w:rtl/>
        </w:rPr>
        <w:t>דברי רבינו יונה דקיי"ל דרב יוסף כרב הונא ואף הראשונה אסורה</w:t>
      </w:r>
    </w:p>
    <w:p w14:paraId="61862B92" w14:textId="77777777" w:rsidR="006F1691" w:rsidRDefault="006F1691" w:rsidP="005077A7">
      <w:pPr>
        <w:pStyle w:val="a"/>
        <w:rPr>
          <w:rFonts w:eastAsiaTheme="minorEastAsia" w:cstheme="minorBidi"/>
          <w:sz w:val="22"/>
          <w:szCs w:val="22"/>
          <w:rtl/>
        </w:rPr>
      </w:pPr>
      <w:r>
        <w:rPr>
          <w:rtl/>
        </w:rPr>
        <w:t>דברי הרשב"א דלדידן בשיבר עצמות או אבד הסכין סמכינן על בדיקת הסכין לפני השחיטה</w:t>
      </w:r>
    </w:p>
    <w:p w14:paraId="7342754D" w14:textId="77777777" w:rsidR="006F1691" w:rsidRDefault="006F1691" w:rsidP="005077A7">
      <w:pPr>
        <w:pStyle w:val="a"/>
        <w:rPr>
          <w:rFonts w:eastAsiaTheme="minorEastAsia" w:cstheme="minorBidi"/>
          <w:sz w:val="22"/>
          <w:szCs w:val="22"/>
          <w:rtl/>
        </w:rPr>
      </w:pPr>
      <w:r>
        <w:rPr>
          <w:rtl/>
        </w:rPr>
        <w:t>דברי הרשב"א דלרב חסדא תלינן במפרקת האחרונה דחזקת הסכין מסייע להכשיר את הבהמות</w:t>
      </w:r>
    </w:p>
    <w:p w14:paraId="579AEF13" w14:textId="77777777" w:rsidR="006F1691" w:rsidRDefault="006F1691" w:rsidP="005077A7">
      <w:pPr>
        <w:pStyle w:val="a"/>
        <w:rPr>
          <w:rFonts w:eastAsiaTheme="minorEastAsia" w:cstheme="minorBidi"/>
          <w:sz w:val="22"/>
          <w:szCs w:val="22"/>
          <w:rtl/>
        </w:rPr>
      </w:pPr>
      <w:r>
        <w:rPr>
          <w:rtl/>
        </w:rPr>
        <w:t>דעת הראב"ד דלחומרא קיי"ל כלישנא בתרא דחיישינן שהמפרקת הראשונה פגמה</w:t>
      </w:r>
    </w:p>
    <w:p w14:paraId="6DD29F84" w14:textId="77777777" w:rsidR="006F1691" w:rsidRDefault="006F1691" w:rsidP="00FE6ED2">
      <w:pPr>
        <w:pStyle w:val="2"/>
        <w:keepNext w:val="0"/>
        <w:keepLines w:val="0"/>
        <w:rPr>
          <w:rFonts w:eastAsiaTheme="minorEastAsia" w:cstheme="minorBidi"/>
          <w:i/>
          <w:iCs/>
          <w:noProof/>
          <w:sz w:val="22"/>
          <w:szCs w:val="22"/>
          <w:rtl/>
        </w:rPr>
      </w:pPr>
      <w:bookmarkStart w:id="5641" w:name="_Toc19435403"/>
      <w:r>
        <w:rPr>
          <w:noProof/>
          <w:rtl/>
        </w:rPr>
        <w:t>בספק הגמ' בדעת רב כהנא</w:t>
      </w:r>
      <w:bookmarkEnd w:id="5641"/>
    </w:p>
    <w:p w14:paraId="443E6F35" w14:textId="77777777" w:rsidR="006F1691" w:rsidRDefault="006F1691" w:rsidP="00FE6ED2">
      <w:pPr>
        <w:pStyle w:val="aff4"/>
        <w:rPr>
          <w:rFonts w:eastAsiaTheme="minorEastAsia" w:cstheme="minorBidi"/>
          <w:i/>
          <w:iCs/>
          <w:noProof/>
          <w:sz w:val="22"/>
          <w:szCs w:val="22"/>
          <w:rtl/>
        </w:rPr>
      </w:pPr>
      <w:bookmarkStart w:id="5642" w:name="_Toc19435404"/>
      <w:bookmarkStart w:id="5643" w:name="_Toc20080727"/>
      <w:r>
        <w:rPr>
          <w:noProof/>
          <w:rtl/>
        </w:rPr>
        <w:t>ביאורי רש"י והרשב"א דהספק הוא תלוי בלישנות ברב יוסף</w:t>
      </w:r>
      <w:bookmarkEnd w:id="5642"/>
      <w:bookmarkEnd w:id="5643"/>
    </w:p>
    <w:p w14:paraId="2A3D1F98" w14:textId="77777777" w:rsidR="006F1691" w:rsidRDefault="006F1691" w:rsidP="005077A7">
      <w:pPr>
        <w:pStyle w:val="a"/>
        <w:rPr>
          <w:rFonts w:eastAsiaTheme="minorEastAsia" w:cstheme="minorBidi"/>
          <w:sz w:val="22"/>
          <w:szCs w:val="22"/>
          <w:rtl/>
        </w:rPr>
      </w:pPr>
      <w:r>
        <w:rPr>
          <w:rtl/>
        </w:rPr>
        <w:t>ביאור רש"י בדחיית הגמ' דרב כהנא כל"ק ברב חסדא דלא תלינן במפרקת האחרונה</w:t>
      </w:r>
    </w:p>
    <w:p w14:paraId="05F1CDCF" w14:textId="77777777" w:rsidR="006F1691" w:rsidRDefault="006F1691" w:rsidP="005077A7">
      <w:pPr>
        <w:pStyle w:val="a"/>
        <w:rPr>
          <w:rFonts w:eastAsiaTheme="minorEastAsia" w:cstheme="minorBidi"/>
          <w:sz w:val="22"/>
          <w:szCs w:val="22"/>
          <w:rtl/>
        </w:rPr>
      </w:pPr>
      <w:r>
        <w:rPr>
          <w:rtl/>
        </w:rPr>
        <w:t>ביאור הרשב"א קושיתד ברב כהנא היא כל"ב דרב יוסף ס"ל כרב הונא</w:t>
      </w:r>
    </w:p>
    <w:p w14:paraId="28712B88" w14:textId="77777777" w:rsidR="006F1691" w:rsidRDefault="006F1691" w:rsidP="005077A7">
      <w:pPr>
        <w:pStyle w:val="a"/>
        <w:rPr>
          <w:rFonts w:eastAsiaTheme="minorEastAsia" w:cstheme="minorBidi"/>
          <w:sz w:val="22"/>
          <w:szCs w:val="22"/>
          <w:rtl/>
        </w:rPr>
      </w:pPr>
      <w:r>
        <w:rPr>
          <w:rtl/>
        </w:rPr>
        <w:t>ביאור הרשב"א דדחיית הגמ' ברב כהנא כל"ק דרב יוסף ס"ל כרב חסדא</w:t>
      </w:r>
    </w:p>
    <w:p w14:paraId="189FD620" w14:textId="77777777" w:rsidR="006F1691" w:rsidRDefault="006F1691" w:rsidP="00FE6ED2">
      <w:pPr>
        <w:pStyle w:val="aff4"/>
        <w:rPr>
          <w:rFonts w:eastAsiaTheme="minorEastAsia" w:cstheme="minorBidi"/>
          <w:i/>
          <w:iCs/>
          <w:noProof/>
          <w:sz w:val="22"/>
          <w:szCs w:val="22"/>
          <w:rtl/>
        </w:rPr>
      </w:pPr>
      <w:bookmarkStart w:id="5644" w:name="_Toc19435405"/>
      <w:bookmarkStart w:id="5645" w:name="_Toc20080728"/>
      <w:r>
        <w:rPr>
          <w:noProof/>
          <w:rtl/>
        </w:rPr>
        <w:t>דעת רש"י והבעה"מ והרשב"א דלמסקנא רב כהנא כרב הונא</w:t>
      </w:r>
      <w:bookmarkEnd w:id="5644"/>
      <w:bookmarkEnd w:id="5645"/>
    </w:p>
    <w:p w14:paraId="46E65BAC" w14:textId="77777777" w:rsidR="006F1691" w:rsidRDefault="006F1691" w:rsidP="005077A7">
      <w:pPr>
        <w:pStyle w:val="a"/>
        <w:rPr>
          <w:rFonts w:eastAsiaTheme="minorEastAsia" w:cstheme="minorBidi"/>
          <w:sz w:val="22"/>
          <w:szCs w:val="22"/>
          <w:rtl/>
        </w:rPr>
      </w:pPr>
      <w:r>
        <w:rPr>
          <w:rtl/>
        </w:rPr>
        <w:t>דברי רש"י שצריך לבדוק לאחר השחיטה ותירוץ הגמ' דס'ל כרב חסדא הוא דיחוי בעלמא</w:t>
      </w:r>
    </w:p>
    <w:p w14:paraId="0E57AB5B" w14:textId="77777777" w:rsidR="006F1691" w:rsidRDefault="006F1691" w:rsidP="005077A7">
      <w:pPr>
        <w:pStyle w:val="a"/>
        <w:rPr>
          <w:rFonts w:eastAsiaTheme="minorEastAsia" w:cstheme="minorBidi"/>
          <w:sz w:val="22"/>
          <w:szCs w:val="22"/>
          <w:rtl/>
        </w:rPr>
      </w:pPr>
      <w:r>
        <w:rPr>
          <w:rtl/>
        </w:rPr>
        <w:t>דברי בהעה"מ והרשב"א דלמסקנא רב כהנא כרב הונא דהא מסתבר דלר"ח תלינן באחרונה</w:t>
      </w:r>
    </w:p>
    <w:p w14:paraId="54557BAD" w14:textId="77777777" w:rsidR="006F1691" w:rsidRDefault="006F1691" w:rsidP="005077A7">
      <w:pPr>
        <w:pStyle w:val="a"/>
        <w:rPr>
          <w:rFonts w:eastAsiaTheme="minorEastAsia" w:cstheme="minorBidi"/>
          <w:sz w:val="22"/>
          <w:szCs w:val="22"/>
          <w:rtl/>
        </w:rPr>
      </w:pPr>
      <w:r>
        <w:rPr>
          <w:rtl/>
        </w:rPr>
        <w:t>ביאור הרשב'"א דהבדיקה היא כדי שלא היה בל תשחית או להכשיר את הראשונות</w:t>
      </w:r>
    </w:p>
    <w:p w14:paraId="6E768FD6" w14:textId="77777777" w:rsidR="006F1691" w:rsidRDefault="006F1691" w:rsidP="005077A7">
      <w:pPr>
        <w:pStyle w:val="a"/>
        <w:rPr>
          <w:rFonts w:eastAsiaTheme="minorEastAsia" w:cstheme="minorBidi"/>
          <w:sz w:val="22"/>
          <w:szCs w:val="22"/>
          <w:rtl/>
        </w:rPr>
      </w:pPr>
      <w:r>
        <w:rPr>
          <w:rtl/>
        </w:rPr>
        <w:t>דברי רבינו יונה דהבדיקה בין שחיטה לשחיטה מחמת בל תשחית או שמא יחוס על ממונו</w:t>
      </w:r>
    </w:p>
    <w:p w14:paraId="5578E579" w14:textId="77777777" w:rsidR="006F1691" w:rsidRDefault="006F1691" w:rsidP="00FE6ED2">
      <w:pPr>
        <w:pStyle w:val="aff4"/>
        <w:rPr>
          <w:rFonts w:eastAsiaTheme="minorEastAsia" w:cstheme="minorBidi"/>
          <w:i/>
          <w:iCs/>
          <w:noProof/>
          <w:sz w:val="22"/>
          <w:szCs w:val="22"/>
          <w:rtl/>
        </w:rPr>
      </w:pPr>
      <w:bookmarkStart w:id="5646" w:name="_Toc19435406"/>
      <w:bookmarkStart w:id="5647" w:name="_Toc20080729"/>
      <w:r>
        <w:rPr>
          <w:noProof/>
          <w:rtl/>
        </w:rPr>
        <w:t>ביאור הרשב"א בקושית הגמ' דתבעי בדיקת חכם</w:t>
      </w:r>
      <w:bookmarkEnd w:id="5646"/>
      <w:bookmarkEnd w:id="5647"/>
    </w:p>
    <w:p w14:paraId="1A083FFB" w14:textId="77777777" w:rsidR="006F1691" w:rsidRDefault="006F1691" w:rsidP="005077A7">
      <w:pPr>
        <w:pStyle w:val="a"/>
        <w:rPr>
          <w:rFonts w:eastAsiaTheme="minorEastAsia" w:cstheme="minorBidi"/>
          <w:sz w:val="22"/>
          <w:szCs w:val="22"/>
          <w:rtl/>
        </w:rPr>
      </w:pPr>
      <w:r>
        <w:rPr>
          <w:rtl/>
        </w:rPr>
        <w:t>דברי הרשב"א דלרב חסדא הבדיקה בין שחיטה לשחיטה היא כבדיקה לפני השחיטה</w:t>
      </w:r>
    </w:p>
    <w:p w14:paraId="498B3EAC" w14:textId="77777777" w:rsidR="006F1691" w:rsidRDefault="006F1691" w:rsidP="005077A7">
      <w:pPr>
        <w:pStyle w:val="a"/>
        <w:rPr>
          <w:rFonts w:eastAsiaTheme="minorEastAsia" w:cstheme="minorBidi"/>
          <w:sz w:val="22"/>
          <w:szCs w:val="22"/>
          <w:rtl/>
        </w:rPr>
      </w:pPr>
      <w:r>
        <w:rPr>
          <w:rtl/>
        </w:rPr>
        <w:t>דברי הרשב"א דא"א לומר שבודק מחמת הראשונה דהא אף אם ימצא פגום תלינן במפרקת</w:t>
      </w:r>
    </w:p>
    <w:p w14:paraId="7DF0390D" w14:textId="77777777" w:rsidR="006F1691" w:rsidRDefault="006F1691" w:rsidP="00FE6ED2">
      <w:pPr>
        <w:pStyle w:val="aff4"/>
        <w:rPr>
          <w:rFonts w:eastAsiaTheme="minorEastAsia" w:cstheme="minorBidi"/>
          <w:i/>
          <w:iCs/>
          <w:noProof/>
          <w:sz w:val="22"/>
          <w:szCs w:val="22"/>
          <w:rtl/>
        </w:rPr>
      </w:pPr>
      <w:bookmarkStart w:id="5648" w:name="_Toc19435407"/>
      <w:bookmarkStart w:id="5649" w:name="_Toc20080730"/>
      <w:r>
        <w:rPr>
          <w:noProof/>
          <w:rtl/>
        </w:rPr>
        <w:t>דברי הרשב"א דאף לרב כהנא הבדיקה אינה חיוב מדינא</w:t>
      </w:r>
      <w:bookmarkEnd w:id="5648"/>
      <w:bookmarkEnd w:id="5649"/>
    </w:p>
    <w:p w14:paraId="03C9AF7F" w14:textId="77777777" w:rsidR="006F1691" w:rsidRDefault="006F1691" w:rsidP="005077A7">
      <w:pPr>
        <w:pStyle w:val="a"/>
        <w:rPr>
          <w:rFonts w:eastAsiaTheme="minorEastAsia" w:cstheme="minorBidi"/>
          <w:sz w:val="22"/>
          <w:szCs w:val="22"/>
          <w:rtl/>
        </w:rPr>
      </w:pPr>
      <w:r>
        <w:rPr>
          <w:rtl/>
        </w:rPr>
        <w:t>הוכחת הרשב"א מדא"צ בדיקת חכם דחשש מפרקת אינו כשבירת עצמות</w:t>
      </w:r>
    </w:p>
    <w:p w14:paraId="6B5E53B5" w14:textId="77777777" w:rsidR="006F1691" w:rsidRDefault="006F1691" w:rsidP="005077A7">
      <w:pPr>
        <w:pStyle w:val="a"/>
        <w:rPr>
          <w:rFonts w:eastAsiaTheme="minorEastAsia" w:cstheme="minorBidi"/>
          <w:sz w:val="22"/>
          <w:szCs w:val="22"/>
          <w:rtl/>
        </w:rPr>
      </w:pPr>
      <w:r>
        <w:rPr>
          <w:rtl/>
        </w:rPr>
        <w:t>ביאור הרשב"א בלשון רב כהנא שצריך לבדוק</w:t>
      </w:r>
    </w:p>
    <w:p w14:paraId="1CBE25EA" w14:textId="77777777" w:rsidR="006F1691" w:rsidRDefault="006F1691" w:rsidP="005077A7">
      <w:pPr>
        <w:pStyle w:val="a"/>
        <w:rPr>
          <w:rFonts w:eastAsiaTheme="minorEastAsia" w:cstheme="minorBidi"/>
          <w:sz w:val="22"/>
          <w:szCs w:val="22"/>
          <w:rtl/>
        </w:rPr>
      </w:pPr>
      <w:r>
        <w:rPr>
          <w:rtl/>
        </w:rPr>
        <w:t>דברי הרא"ש דמדינא אין חיוב בדיקה אחר השחיטה</w:t>
      </w:r>
    </w:p>
    <w:p w14:paraId="45C14FDC" w14:textId="77777777" w:rsidR="00B64DA9" w:rsidRDefault="00B64DA9" w:rsidP="00FE6ED2">
      <w:pPr>
        <w:pStyle w:val="aff4"/>
        <w:rPr>
          <w:noProof/>
          <w:rtl/>
        </w:rPr>
      </w:pPr>
    </w:p>
    <w:p w14:paraId="24217A33" w14:textId="77777777" w:rsidR="006F1691" w:rsidRDefault="006F1691" w:rsidP="00FE6ED2">
      <w:pPr>
        <w:pStyle w:val="aff4"/>
        <w:rPr>
          <w:rFonts w:eastAsiaTheme="minorEastAsia" w:cstheme="minorBidi"/>
          <w:i/>
          <w:iCs/>
          <w:noProof/>
          <w:sz w:val="22"/>
          <w:szCs w:val="22"/>
          <w:rtl/>
        </w:rPr>
      </w:pPr>
      <w:bookmarkStart w:id="5650" w:name="_Toc19435408"/>
      <w:bookmarkStart w:id="5651" w:name="_Toc20080731"/>
      <w:r>
        <w:rPr>
          <w:noProof/>
          <w:rtl/>
        </w:rPr>
        <w:t xml:space="preserve">דעת </w:t>
      </w:r>
      <w:r>
        <w:rPr>
          <w:rFonts w:hint="cs"/>
          <w:noProof/>
          <w:rtl/>
        </w:rPr>
        <w:t>הבה"ג ו</w:t>
      </w:r>
      <w:r>
        <w:rPr>
          <w:noProof/>
          <w:rtl/>
        </w:rPr>
        <w:t>הרמב"ן דלרב הונא יש חיוב בדיקה מדינא</w:t>
      </w:r>
      <w:bookmarkEnd w:id="5650"/>
      <w:bookmarkEnd w:id="5651"/>
    </w:p>
    <w:p w14:paraId="3359B0BF" w14:textId="77777777" w:rsidR="006F1691" w:rsidRDefault="006F1691" w:rsidP="005077A7">
      <w:pPr>
        <w:pStyle w:val="a"/>
        <w:rPr>
          <w:rFonts w:eastAsiaTheme="minorEastAsia" w:cstheme="minorBidi"/>
          <w:sz w:val="22"/>
          <w:szCs w:val="22"/>
          <w:rtl/>
        </w:rPr>
      </w:pPr>
      <w:r>
        <w:rPr>
          <w:rtl/>
        </w:rPr>
        <w:t>דברי הרמב"ן דמדאמר רב כהנא שצריך בדיקה מוכח דמדינא צריך לבדוק</w:t>
      </w:r>
    </w:p>
    <w:p w14:paraId="12DE6E66" w14:textId="77777777" w:rsidR="006F1691" w:rsidRDefault="006F1691" w:rsidP="00FE6ED2">
      <w:pPr>
        <w:pStyle w:val="2"/>
        <w:keepNext w:val="0"/>
        <w:keepLines w:val="0"/>
        <w:rPr>
          <w:rFonts w:eastAsiaTheme="minorEastAsia" w:cstheme="minorBidi"/>
          <w:i/>
          <w:iCs/>
          <w:noProof/>
          <w:sz w:val="22"/>
          <w:szCs w:val="22"/>
          <w:rtl/>
        </w:rPr>
      </w:pPr>
      <w:bookmarkStart w:id="5652" w:name="_Toc19435409"/>
      <w:r>
        <w:rPr>
          <w:noProof/>
          <w:rtl/>
        </w:rPr>
        <w:t>בדין נגע במפרקת בכמה בהמות</w:t>
      </w:r>
      <w:bookmarkEnd w:id="5652"/>
    </w:p>
    <w:p w14:paraId="7A3DFED1" w14:textId="77777777" w:rsidR="006F1691" w:rsidRDefault="006F1691" w:rsidP="00FE6ED2">
      <w:pPr>
        <w:pStyle w:val="aff4"/>
        <w:rPr>
          <w:rFonts w:eastAsiaTheme="minorEastAsia" w:cstheme="minorBidi"/>
          <w:i/>
          <w:iCs/>
          <w:noProof/>
          <w:sz w:val="22"/>
          <w:szCs w:val="22"/>
          <w:rtl/>
        </w:rPr>
      </w:pPr>
      <w:bookmarkStart w:id="5653" w:name="_Toc19435410"/>
      <w:bookmarkStart w:id="5654" w:name="_Toc20080732"/>
      <w:r>
        <w:rPr>
          <w:noProof/>
          <w:rtl/>
        </w:rPr>
        <w:t>דעת הראב"ד דבלא בדק אחר הראשונה האחרונות אסורות</w:t>
      </w:r>
      <w:bookmarkEnd w:id="5653"/>
      <w:bookmarkEnd w:id="5654"/>
    </w:p>
    <w:p w14:paraId="376587DF" w14:textId="77777777" w:rsidR="006F1691" w:rsidRDefault="006F1691" w:rsidP="005077A7">
      <w:pPr>
        <w:pStyle w:val="a"/>
        <w:rPr>
          <w:rFonts w:eastAsiaTheme="minorEastAsia" w:cstheme="minorBidi"/>
          <w:sz w:val="22"/>
          <w:szCs w:val="22"/>
          <w:rtl/>
        </w:rPr>
      </w:pPr>
      <w:r>
        <w:rPr>
          <w:rtl/>
        </w:rPr>
        <w:t>דעת הראב"ד דבלא בדק בין שחיטה לשחיטה האחרונות פסולות כבדיקה דלפני שחיטה</w:t>
      </w:r>
    </w:p>
    <w:p w14:paraId="4D1A37E0" w14:textId="77777777" w:rsidR="006F1691" w:rsidRDefault="006F1691" w:rsidP="005077A7">
      <w:pPr>
        <w:pStyle w:val="a"/>
        <w:rPr>
          <w:rFonts w:eastAsiaTheme="minorEastAsia" w:cstheme="minorBidi"/>
          <w:sz w:val="22"/>
          <w:szCs w:val="22"/>
          <w:rtl/>
        </w:rPr>
      </w:pPr>
      <w:r>
        <w:rPr>
          <w:rtl/>
        </w:rPr>
        <w:t>ביאור הרשב"א דלל"ב רב חסדא מחמיר דחשיב דשחיטת הראשונה היא כשיבר בה עצמות</w:t>
      </w:r>
    </w:p>
    <w:p w14:paraId="01DE5941" w14:textId="77777777" w:rsidR="006F1691" w:rsidRDefault="006F1691" w:rsidP="005077A7">
      <w:pPr>
        <w:pStyle w:val="a"/>
        <w:rPr>
          <w:rFonts w:eastAsiaTheme="minorEastAsia" w:cstheme="minorBidi"/>
          <w:sz w:val="22"/>
          <w:szCs w:val="22"/>
          <w:rtl/>
        </w:rPr>
      </w:pPr>
      <w:r>
        <w:rPr>
          <w:rtl/>
        </w:rPr>
        <w:t>דברי הרשב"א בשם הראב"ד דלחומרא קיי"ל כרב חסדא דספק מפרקת היא כשיבר בה עצמות</w:t>
      </w:r>
    </w:p>
    <w:p w14:paraId="4A12D407" w14:textId="77777777" w:rsidR="006F1691" w:rsidRDefault="006F1691" w:rsidP="00FE6ED2">
      <w:pPr>
        <w:pStyle w:val="aff4"/>
        <w:rPr>
          <w:rFonts w:eastAsiaTheme="minorEastAsia" w:cstheme="minorBidi"/>
          <w:i/>
          <w:iCs/>
          <w:noProof/>
          <w:sz w:val="22"/>
          <w:szCs w:val="22"/>
          <w:rtl/>
        </w:rPr>
      </w:pPr>
      <w:bookmarkStart w:id="5655" w:name="_Toc19435411"/>
      <w:bookmarkStart w:id="5656" w:name="_Toc20080733"/>
      <w:r>
        <w:rPr>
          <w:noProof/>
          <w:rtl/>
        </w:rPr>
        <w:t>פלוגתת הרמב"ן והראב"ד בחיוב הבדיקה בין שחיטה לשחיטה</w:t>
      </w:r>
      <w:bookmarkEnd w:id="5655"/>
      <w:bookmarkEnd w:id="5656"/>
    </w:p>
    <w:p w14:paraId="4F5CD9F9" w14:textId="77777777" w:rsidR="006F1691" w:rsidRDefault="006F1691" w:rsidP="005077A7">
      <w:pPr>
        <w:pStyle w:val="a"/>
        <w:rPr>
          <w:rFonts w:eastAsiaTheme="minorEastAsia" w:cstheme="minorBidi"/>
          <w:sz w:val="22"/>
          <w:szCs w:val="22"/>
          <w:rtl/>
        </w:rPr>
      </w:pPr>
      <w:r>
        <w:rPr>
          <w:rtl/>
        </w:rPr>
        <w:t>הוכחת הראב"ד מרב כהנא דבדיקה בין שחיטה לשחיטה היא כבדיקה דלפני שחיטה</w:t>
      </w:r>
    </w:p>
    <w:p w14:paraId="38231699" w14:textId="77777777" w:rsidR="006F1691" w:rsidRDefault="006F1691" w:rsidP="005077A7">
      <w:pPr>
        <w:pStyle w:val="a"/>
        <w:rPr>
          <w:rFonts w:eastAsiaTheme="minorEastAsia" w:cstheme="minorBidi"/>
          <w:sz w:val="22"/>
          <w:szCs w:val="22"/>
          <w:rtl/>
        </w:rPr>
      </w:pPr>
      <w:r>
        <w:rPr>
          <w:rtl/>
        </w:rPr>
        <w:t>דחיית הרמב"ן דמסקנת הגמ' דרב כהנא כלישנא בתרא דרב חסדא</w:t>
      </w:r>
    </w:p>
    <w:p w14:paraId="3526D010" w14:textId="77777777" w:rsidR="006F1691" w:rsidRDefault="006F1691" w:rsidP="005077A7">
      <w:pPr>
        <w:pStyle w:val="a"/>
        <w:rPr>
          <w:rFonts w:eastAsiaTheme="minorEastAsia" w:cstheme="minorBidi"/>
          <w:sz w:val="22"/>
          <w:szCs w:val="22"/>
          <w:rtl/>
        </w:rPr>
      </w:pPr>
      <w:r>
        <w:rPr>
          <w:rtl/>
        </w:rPr>
        <w:t>ביאור הרמב"ן דמסקנת הגמ' דרב כהנא כרב הונא</w:t>
      </w:r>
    </w:p>
    <w:p w14:paraId="2D08BF8B" w14:textId="77777777" w:rsidR="006F1691" w:rsidRDefault="006F1691" w:rsidP="00FE6ED2">
      <w:pPr>
        <w:pStyle w:val="aff4"/>
        <w:rPr>
          <w:rFonts w:eastAsiaTheme="minorEastAsia" w:cstheme="minorBidi"/>
          <w:i/>
          <w:iCs/>
          <w:noProof/>
          <w:sz w:val="22"/>
          <w:szCs w:val="22"/>
          <w:rtl/>
        </w:rPr>
      </w:pPr>
      <w:bookmarkStart w:id="5657" w:name="_Toc19435412"/>
      <w:bookmarkStart w:id="5658" w:name="_Toc20080734"/>
      <w:r>
        <w:rPr>
          <w:noProof/>
          <w:rtl/>
        </w:rPr>
        <w:t>דעת הרמב"ן דלא חיישינן לספק נגיעה במפרקת</w:t>
      </w:r>
      <w:bookmarkEnd w:id="5657"/>
      <w:bookmarkEnd w:id="5658"/>
    </w:p>
    <w:p w14:paraId="43A90725" w14:textId="77777777" w:rsidR="006F1691" w:rsidRDefault="006F1691" w:rsidP="005077A7">
      <w:pPr>
        <w:pStyle w:val="a"/>
        <w:rPr>
          <w:rFonts w:eastAsiaTheme="minorEastAsia" w:cstheme="minorBidi"/>
          <w:sz w:val="22"/>
          <w:szCs w:val="22"/>
          <w:rtl/>
        </w:rPr>
      </w:pPr>
      <w:r>
        <w:rPr>
          <w:rtl/>
        </w:rPr>
        <w:t>דברי הרמב"ן דהיה אפש"ל דלדידן באבד הסכין או שיבר עצמות חיישינן למפרקת הראשונה</w:t>
      </w:r>
    </w:p>
    <w:p w14:paraId="4683F381" w14:textId="77777777" w:rsidR="006F1691" w:rsidRDefault="006F1691" w:rsidP="005077A7">
      <w:pPr>
        <w:pStyle w:val="a"/>
        <w:rPr>
          <w:rFonts w:eastAsiaTheme="minorEastAsia" w:cstheme="minorBidi"/>
          <w:sz w:val="22"/>
          <w:szCs w:val="22"/>
          <w:rtl/>
        </w:rPr>
      </w:pPr>
      <w:r>
        <w:rPr>
          <w:rtl/>
        </w:rPr>
        <w:t>דחיית הרמב"ן דקיי"ל כרב חסדא דבהמה לא איתרעי ואין ספק נגיעת מפרקת מוציא מחזקת הסכין</w:t>
      </w:r>
    </w:p>
    <w:p w14:paraId="4F216644" w14:textId="77777777" w:rsidR="006F1691" w:rsidRDefault="006F1691" w:rsidP="00FE6ED2">
      <w:pPr>
        <w:pStyle w:val="aff4"/>
        <w:rPr>
          <w:rFonts w:eastAsiaTheme="minorEastAsia" w:cstheme="minorBidi"/>
          <w:i/>
          <w:iCs/>
          <w:noProof/>
          <w:sz w:val="22"/>
          <w:szCs w:val="22"/>
          <w:rtl/>
        </w:rPr>
      </w:pPr>
      <w:bookmarkStart w:id="5659" w:name="_Toc19435413"/>
      <w:bookmarkStart w:id="5660" w:name="_Toc20080735"/>
      <w:r>
        <w:rPr>
          <w:noProof/>
          <w:rtl/>
        </w:rPr>
        <w:t>דעת הרמב"ן דבידוע שנגע במפרקת האחרונות אסורות</w:t>
      </w:r>
      <w:bookmarkEnd w:id="5659"/>
      <w:bookmarkEnd w:id="5660"/>
    </w:p>
    <w:p w14:paraId="4F5D26B4" w14:textId="77777777" w:rsidR="006F1691" w:rsidRDefault="006F1691" w:rsidP="005077A7">
      <w:pPr>
        <w:pStyle w:val="a"/>
        <w:rPr>
          <w:rFonts w:eastAsiaTheme="minorEastAsia" w:cstheme="minorBidi"/>
          <w:sz w:val="22"/>
          <w:szCs w:val="22"/>
          <w:rtl/>
        </w:rPr>
      </w:pPr>
      <w:r>
        <w:rPr>
          <w:rtl/>
        </w:rPr>
        <w:t>דברי הרמב"ן דבידוע שנגע במפרקת ואבד הסכין האחרונות אסורות</w:t>
      </w:r>
    </w:p>
    <w:p w14:paraId="43A2A5BA" w14:textId="77777777" w:rsidR="006F1691" w:rsidRDefault="006F1691" w:rsidP="005077A7">
      <w:pPr>
        <w:pStyle w:val="a"/>
        <w:rPr>
          <w:rFonts w:eastAsiaTheme="minorEastAsia" w:cstheme="minorBidi"/>
          <w:sz w:val="22"/>
          <w:szCs w:val="22"/>
          <w:rtl/>
        </w:rPr>
      </w:pPr>
      <w:r>
        <w:rPr>
          <w:rtl/>
        </w:rPr>
        <w:t>ביאור הר"ן ברמב"ן דלחומרא חיישינן לסברת רב חסדא דנגיעת המפרקת כשבירת עצמות</w:t>
      </w:r>
    </w:p>
    <w:p w14:paraId="51BC9E58" w14:textId="77777777" w:rsidR="006F1691" w:rsidRDefault="006F1691" w:rsidP="005077A7">
      <w:pPr>
        <w:pStyle w:val="a"/>
        <w:rPr>
          <w:rFonts w:eastAsiaTheme="minorEastAsia" w:cstheme="minorBidi"/>
          <w:sz w:val="22"/>
          <w:szCs w:val="22"/>
          <w:rtl/>
        </w:rPr>
      </w:pPr>
      <w:r>
        <w:rPr>
          <w:rtl/>
        </w:rPr>
        <w:t>ביאור הגר"א דלדידן אין חילוק אם הריעותא בבהמה או בסכין ודלא כרב חסדא</w:t>
      </w:r>
    </w:p>
    <w:p w14:paraId="4C1384A3" w14:textId="77777777" w:rsidR="006F1691" w:rsidRDefault="006F1691" w:rsidP="00FE6ED2">
      <w:pPr>
        <w:pStyle w:val="aff4"/>
        <w:rPr>
          <w:rFonts w:eastAsiaTheme="minorEastAsia" w:cstheme="minorBidi"/>
          <w:i/>
          <w:iCs/>
          <w:noProof/>
          <w:sz w:val="22"/>
          <w:szCs w:val="22"/>
          <w:rtl/>
        </w:rPr>
      </w:pPr>
      <w:bookmarkStart w:id="5661" w:name="_Toc19435414"/>
      <w:bookmarkStart w:id="5662" w:name="_Toc20080736"/>
      <w:r>
        <w:rPr>
          <w:noProof/>
          <w:rtl/>
        </w:rPr>
        <w:t>דברי הבעה"מ דאף בהרבה בהמות לא חיישינן למפרקת</w:t>
      </w:r>
      <w:bookmarkEnd w:id="5661"/>
      <w:bookmarkEnd w:id="5662"/>
    </w:p>
    <w:p w14:paraId="23D445EC" w14:textId="77777777" w:rsidR="006F1691" w:rsidRDefault="006F1691" w:rsidP="005077A7">
      <w:pPr>
        <w:pStyle w:val="a"/>
        <w:rPr>
          <w:rFonts w:eastAsiaTheme="minorEastAsia" w:cstheme="minorBidi"/>
          <w:sz w:val="22"/>
          <w:szCs w:val="22"/>
          <w:rtl/>
        </w:rPr>
      </w:pPr>
      <w:r>
        <w:rPr>
          <w:rtl/>
        </w:rPr>
        <w:t>דברי הבעה"מ דכיון שלא מצוי ששובר את המפרקת בכח לא חיישינן לפגימת המפרקת</w:t>
      </w:r>
    </w:p>
    <w:p w14:paraId="218B2702" w14:textId="77777777" w:rsidR="006F1691" w:rsidRDefault="006F1691" w:rsidP="005077A7">
      <w:pPr>
        <w:pStyle w:val="a"/>
        <w:rPr>
          <w:rFonts w:eastAsiaTheme="minorEastAsia" w:cstheme="minorBidi"/>
          <w:sz w:val="22"/>
          <w:szCs w:val="22"/>
          <w:rtl/>
        </w:rPr>
      </w:pPr>
      <w:r>
        <w:rPr>
          <w:rtl/>
        </w:rPr>
        <w:t>דברי הבעה"מ דאף בהרבה בהמות הבדיקה היא לזריזות בעלמא כיון שבדק תחילה</w:t>
      </w:r>
    </w:p>
    <w:p w14:paraId="72643B02" w14:textId="77777777" w:rsidR="006F1691" w:rsidRDefault="006F1691" w:rsidP="00FE6ED2">
      <w:pPr>
        <w:pStyle w:val="aff4"/>
        <w:rPr>
          <w:rFonts w:eastAsiaTheme="minorEastAsia" w:cstheme="minorBidi"/>
          <w:i/>
          <w:iCs/>
          <w:noProof/>
          <w:sz w:val="22"/>
          <w:szCs w:val="22"/>
          <w:rtl/>
        </w:rPr>
      </w:pPr>
      <w:bookmarkStart w:id="5663" w:name="_Toc19435415"/>
      <w:bookmarkStart w:id="5664" w:name="_Toc20080737"/>
      <w:r>
        <w:rPr>
          <w:noProof/>
          <w:rtl/>
        </w:rPr>
        <w:t>דברי הרשב"א דנגיעת מפרקת אינה כשבירת עצמות</w:t>
      </w:r>
      <w:bookmarkEnd w:id="5663"/>
      <w:bookmarkEnd w:id="5664"/>
    </w:p>
    <w:p w14:paraId="0A38C047" w14:textId="77777777" w:rsidR="006F1691" w:rsidRDefault="006F1691" w:rsidP="005077A7">
      <w:pPr>
        <w:pStyle w:val="a"/>
        <w:rPr>
          <w:rFonts w:eastAsiaTheme="minorEastAsia" w:cstheme="minorBidi"/>
          <w:sz w:val="22"/>
          <w:szCs w:val="22"/>
          <w:rtl/>
        </w:rPr>
      </w:pPr>
      <w:r>
        <w:rPr>
          <w:rtl/>
        </w:rPr>
        <w:t>דברי הרשב"א בדעת הבעה"מ דאף בנגע במפרקת לא תלינן לחומרא בכמה בהמות</w:t>
      </w:r>
    </w:p>
    <w:p w14:paraId="3E3523B5" w14:textId="77777777" w:rsidR="006F1691" w:rsidRDefault="006F1691" w:rsidP="005077A7">
      <w:pPr>
        <w:pStyle w:val="a"/>
        <w:rPr>
          <w:rFonts w:eastAsiaTheme="minorEastAsia" w:cstheme="minorBidi"/>
          <w:sz w:val="22"/>
          <w:szCs w:val="22"/>
          <w:rtl/>
        </w:rPr>
      </w:pPr>
      <w:r>
        <w:rPr>
          <w:rtl/>
        </w:rPr>
        <w:t>ביאור הרשב"א דמוכח מדברי רב כהנא דנגיעת המפרקת אינה כשבירת עצמות</w:t>
      </w:r>
    </w:p>
    <w:p w14:paraId="17A7AE46" w14:textId="77777777" w:rsidR="006F1691" w:rsidRDefault="006F1691" w:rsidP="005077A7">
      <w:pPr>
        <w:pStyle w:val="a"/>
        <w:rPr>
          <w:rFonts w:eastAsiaTheme="minorEastAsia" w:cstheme="minorBidi"/>
          <w:sz w:val="22"/>
          <w:szCs w:val="22"/>
          <w:rtl/>
        </w:rPr>
      </w:pPr>
      <w:r>
        <w:rPr>
          <w:rtl/>
        </w:rPr>
        <w:t>דברי הרשב"א דלהלכה אסור בנגע במפרקת וכדברי הרמב"ן ורבו</w:t>
      </w:r>
    </w:p>
    <w:p w14:paraId="16D56CE7" w14:textId="77777777" w:rsidR="006F1691" w:rsidRDefault="006F1691" w:rsidP="00FE6ED2">
      <w:pPr>
        <w:pStyle w:val="aff4"/>
        <w:rPr>
          <w:rFonts w:eastAsiaTheme="minorEastAsia" w:cstheme="minorBidi"/>
          <w:i/>
          <w:iCs/>
          <w:noProof/>
          <w:sz w:val="22"/>
          <w:szCs w:val="22"/>
          <w:rtl/>
        </w:rPr>
      </w:pPr>
      <w:bookmarkStart w:id="5665" w:name="_Toc19435416"/>
      <w:bookmarkStart w:id="5666" w:name="_Toc20080738"/>
      <w:r>
        <w:rPr>
          <w:noProof/>
          <w:rtl/>
        </w:rPr>
        <w:t>דברי הרא"ש דבאבד הסכין אף בנגע במפרקת מותר</w:t>
      </w:r>
      <w:bookmarkEnd w:id="5665"/>
      <w:bookmarkEnd w:id="5666"/>
    </w:p>
    <w:p w14:paraId="14BF999C" w14:textId="77777777" w:rsidR="006F1691" w:rsidRDefault="006F1691" w:rsidP="005077A7">
      <w:pPr>
        <w:pStyle w:val="a"/>
        <w:rPr>
          <w:rFonts w:eastAsiaTheme="minorEastAsia" w:cstheme="minorBidi"/>
          <w:sz w:val="22"/>
          <w:szCs w:val="22"/>
          <w:rtl/>
        </w:rPr>
      </w:pPr>
      <w:r>
        <w:rPr>
          <w:rtl/>
        </w:rPr>
        <w:t>דברי הרא"ש דלא מסתבר שנפגם בנגיעה במפרקת וכל שאבד הסכין אף האחרונות מותרות</w:t>
      </w:r>
    </w:p>
    <w:p w14:paraId="1574B849" w14:textId="77777777" w:rsidR="006F1691" w:rsidRDefault="006F1691" w:rsidP="005077A7">
      <w:pPr>
        <w:pStyle w:val="a"/>
        <w:rPr>
          <w:rFonts w:eastAsiaTheme="minorEastAsia" w:cstheme="minorBidi"/>
          <w:sz w:val="22"/>
          <w:szCs w:val="22"/>
          <w:rtl/>
        </w:rPr>
      </w:pPr>
      <w:r>
        <w:rPr>
          <w:rtl/>
        </w:rPr>
        <w:t>דברי הרא"ש והמאירי דמדינא אין חיוב בדיקה אחר השחיטה דמעמידים את הסכין בחזקת בדוק</w:t>
      </w:r>
    </w:p>
    <w:p w14:paraId="39CE8E5A" w14:textId="77777777" w:rsidR="006F1691" w:rsidRDefault="006F1691" w:rsidP="005077A7">
      <w:pPr>
        <w:pStyle w:val="a"/>
        <w:rPr>
          <w:rFonts w:eastAsiaTheme="minorEastAsia" w:cstheme="minorBidi"/>
          <w:sz w:val="22"/>
          <w:szCs w:val="22"/>
          <w:rtl/>
        </w:rPr>
      </w:pPr>
      <w:r>
        <w:rPr>
          <w:rtl/>
        </w:rPr>
        <w:t>דברי הרא"ה דאף אחר שחיטת אלף בהמות א"צ לבדוק</w:t>
      </w:r>
    </w:p>
    <w:p w14:paraId="4437F7A0" w14:textId="77777777" w:rsidR="006F1691" w:rsidRDefault="006F1691" w:rsidP="00FE6ED2">
      <w:pPr>
        <w:pStyle w:val="aff4"/>
        <w:rPr>
          <w:rFonts w:eastAsiaTheme="minorEastAsia" w:cstheme="minorBidi"/>
          <w:i/>
          <w:iCs/>
          <w:noProof/>
          <w:sz w:val="22"/>
          <w:szCs w:val="22"/>
          <w:rtl/>
        </w:rPr>
      </w:pPr>
      <w:bookmarkStart w:id="5667" w:name="_Toc19435417"/>
      <w:bookmarkStart w:id="5668" w:name="_Toc20080739"/>
      <w:r>
        <w:rPr>
          <w:noProof/>
          <w:rtl/>
        </w:rPr>
        <w:t>דברי הי"א במאירי דיש חילוק בין חתך את המפרקת לנגע בה</w:t>
      </w:r>
      <w:bookmarkEnd w:id="5667"/>
      <w:bookmarkEnd w:id="5668"/>
    </w:p>
    <w:p w14:paraId="3223824D" w14:textId="77777777" w:rsidR="006F1691" w:rsidRDefault="006F1691" w:rsidP="005077A7">
      <w:pPr>
        <w:pStyle w:val="a"/>
        <w:rPr>
          <w:rFonts w:eastAsiaTheme="minorEastAsia" w:cstheme="minorBidi"/>
          <w:sz w:val="22"/>
          <w:szCs w:val="22"/>
          <w:rtl/>
        </w:rPr>
      </w:pPr>
      <w:r>
        <w:rPr>
          <w:rtl/>
        </w:rPr>
        <w:t>דברי המאירי דדוקא בחתך את המפרקת תלינן לחומרא אבל בנגיעה במפרקת לא חיישינן</w:t>
      </w:r>
    </w:p>
    <w:p w14:paraId="174AA143" w14:textId="77777777" w:rsidR="006F1691" w:rsidRDefault="006F1691" w:rsidP="00FE6ED2">
      <w:pPr>
        <w:pStyle w:val="aff4"/>
        <w:rPr>
          <w:rFonts w:eastAsiaTheme="minorEastAsia" w:cstheme="minorBidi"/>
          <w:i/>
          <w:iCs/>
          <w:noProof/>
          <w:sz w:val="22"/>
          <w:szCs w:val="22"/>
          <w:rtl/>
        </w:rPr>
      </w:pPr>
      <w:bookmarkStart w:id="5669" w:name="_Toc19435418"/>
      <w:bookmarkStart w:id="5670" w:name="_Toc20080740"/>
      <w:r>
        <w:rPr>
          <w:noProof/>
          <w:rtl/>
        </w:rPr>
        <w:t>דעת הרא"ה דבעשה הסכין רושם במפרקת חשיב כשיבר עצמות</w:t>
      </w:r>
      <w:bookmarkEnd w:id="5669"/>
      <w:bookmarkEnd w:id="5670"/>
    </w:p>
    <w:p w14:paraId="2519404A" w14:textId="77777777" w:rsidR="006F1691" w:rsidRDefault="006F1691" w:rsidP="005077A7">
      <w:pPr>
        <w:pStyle w:val="a"/>
        <w:rPr>
          <w:rFonts w:eastAsiaTheme="minorEastAsia" w:cstheme="minorBidi"/>
          <w:sz w:val="22"/>
          <w:szCs w:val="22"/>
          <w:rtl/>
        </w:rPr>
      </w:pPr>
      <w:r>
        <w:rPr>
          <w:rtl/>
        </w:rPr>
        <w:t>דברי הרא"ה דרב כהנא איירי בספק אם נגע במפרקת ולכן בנמצא פגום כולם אסורות</w:t>
      </w:r>
    </w:p>
    <w:p w14:paraId="54C40C28" w14:textId="77777777" w:rsidR="006F1691" w:rsidRDefault="006F1691" w:rsidP="005077A7">
      <w:pPr>
        <w:pStyle w:val="a"/>
        <w:rPr>
          <w:rFonts w:eastAsiaTheme="minorEastAsia" w:cstheme="minorBidi"/>
          <w:sz w:val="22"/>
          <w:szCs w:val="22"/>
          <w:rtl/>
        </w:rPr>
      </w:pPr>
      <w:r>
        <w:rPr>
          <w:rtl/>
        </w:rPr>
        <w:t>דברי הרא"ה דבנגע הסכין במפרקת ועשה בה רושם חשיב כשיבר עצמות</w:t>
      </w:r>
    </w:p>
    <w:p w14:paraId="001339FE" w14:textId="77777777" w:rsidR="006F1691" w:rsidRDefault="006F1691" w:rsidP="005077A7">
      <w:pPr>
        <w:pStyle w:val="a"/>
        <w:rPr>
          <w:rFonts w:eastAsiaTheme="minorEastAsia" w:cstheme="minorBidi"/>
          <w:sz w:val="22"/>
          <w:szCs w:val="22"/>
          <w:rtl/>
        </w:rPr>
      </w:pPr>
      <w:r>
        <w:rPr>
          <w:rtl/>
        </w:rPr>
        <w:t>דברי הרא"ה דבנגע הסכין במפרקת ולא עשה בה רושם הוא ספק וצריך להחמיר</w:t>
      </w:r>
    </w:p>
    <w:p w14:paraId="7CA4887B" w14:textId="77777777" w:rsidR="006F1691" w:rsidRDefault="006F1691" w:rsidP="005077A7">
      <w:pPr>
        <w:pStyle w:val="a"/>
        <w:rPr>
          <w:rFonts w:eastAsiaTheme="minorEastAsia" w:cstheme="minorBidi"/>
          <w:sz w:val="22"/>
          <w:szCs w:val="22"/>
          <w:rtl/>
        </w:rPr>
      </w:pPr>
      <w:r>
        <w:rPr>
          <w:rtl/>
        </w:rPr>
        <w:t>דברי הרא"ה דבודאי נגע באחרונה ולא עשה רושם ונמצא פגום כולם אסורות מספק</w:t>
      </w:r>
    </w:p>
    <w:p w14:paraId="4F14D444" w14:textId="77777777" w:rsidR="006F1691" w:rsidRDefault="006F1691" w:rsidP="00FE6ED2">
      <w:pPr>
        <w:pStyle w:val="aff4"/>
        <w:rPr>
          <w:rFonts w:eastAsiaTheme="minorEastAsia" w:cstheme="minorBidi"/>
          <w:i/>
          <w:iCs/>
          <w:noProof/>
          <w:sz w:val="22"/>
          <w:szCs w:val="22"/>
          <w:rtl/>
        </w:rPr>
      </w:pPr>
      <w:bookmarkStart w:id="5671" w:name="_Toc19435419"/>
      <w:bookmarkStart w:id="5672" w:name="_Toc20080741"/>
      <w:r>
        <w:rPr>
          <w:noProof/>
          <w:rtl/>
        </w:rPr>
        <w:t>קושית הגרעק"א על הראב"ד דאף לל"ב הסכין בחזקת בדוק</w:t>
      </w:r>
      <w:bookmarkEnd w:id="5671"/>
      <w:bookmarkEnd w:id="5672"/>
    </w:p>
    <w:p w14:paraId="6D200673" w14:textId="77777777" w:rsidR="006F1691" w:rsidRDefault="006F1691" w:rsidP="005077A7">
      <w:pPr>
        <w:pStyle w:val="a"/>
        <w:rPr>
          <w:rFonts w:eastAsiaTheme="minorEastAsia" w:cstheme="minorBidi"/>
          <w:sz w:val="22"/>
          <w:szCs w:val="22"/>
          <w:rtl/>
        </w:rPr>
      </w:pPr>
      <w:r>
        <w:rPr>
          <w:rtl/>
        </w:rPr>
        <w:t>קושית הגרעק"א דרק בנמצא פגום חיישינן למפרקת הראשונה אבל באבד אף לל"ק כשר</w:t>
      </w:r>
    </w:p>
    <w:p w14:paraId="00A44A24" w14:textId="77777777" w:rsidR="006F1691" w:rsidRDefault="006F1691" w:rsidP="005077A7">
      <w:pPr>
        <w:pStyle w:val="a"/>
        <w:rPr>
          <w:rFonts w:eastAsiaTheme="minorEastAsia" w:cstheme="minorBidi"/>
          <w:sz w:val="22"/>
          <w:szCs w:val="22"/>
          <w:rtl/>
        </w:rPr>
      </w:pPr>
      <w:r>
        <w:rPr>
          <w:rtl/>
        </w:rPr>
        <w:t>דברי הרעק"א דהביאור בל"ב דפליגא על סברת התוס' ואף בראשונות יש חשש פגימה במפרקת</w:t>
      </w:r>
    </w:p>
    <w:p w14:paraId="39BCEAF8" w14:textId="77777777" w:rsidR="006F1691" w:rsidRDefault="006F1691" w:rsidP="005077A7">
      <w:pPr>
        <w:pStyle w:val="a"/>
        <w:rPr>
          <w:rFonts w:eastAsiaTheme="minorEastAsia" w:cstheme="minorBidi"/>
          <w:sz w:val="22"/>
          <w:szCs w:val="22"/>
          <w:rtl/>
        </w:rPr>
      </w:pPr>
      <w:r>
        <w:rPr>
          <w:rtl/>
        </w:rPr>
        <w:t>קושית הגרעק"א על ראיית הראב"ד דע"י השחיטה חשיב הסכין כאינו בדוק</w:t>
      </w:r>
    </w:p>
    <w:p w14:paraId="1F8F0629" w14:textId="77777777" w:rsidR="006F1691" w:rsidRDefault="006F1691" w:rsidP="00FE6ED2">
      <w:pPr>
        <w:pStyle w:val="aff4"/>
        <w:rPr>
          <w:rFonts w:eastAsiaTheme="minorEastAsia" w:cstheme="minorBidi"/>
          <w:i/>
          <w:iCs/>
          <w:noProof/>
          <w:sz w:val="22"/>
          <w:szCs w:val="22"/>
          <w:rtl/>
        </w:rPr>
      </w:pPr>
      <w:bookmarkStart w:id="5673" w:name="_Toc19435420"/>
      <w:bookmarkStart w:id="5674" w:name="_Toc20080742"/>
      <w:r>
        <w:rPr>
          <w:noProof/>
          <w:rtl/>
        </w:rPr>
        <w:t>קושית הגרעק"א על הראב"ד דמנלן דמיקל רב הונא במפרקת</w:t>
      </w:r>
      <w:bookmarkEnd w:id="5673"/>
      <w:bookmarkEnd w:id="5674"/>
    </w:p>
    <w:p w14:paraId="4CEC1E92" w14:textId="77777777" w:rsidR="006F1691" w:rsidRDefault="006F1691" w:rsidP="005077A7">
      <w:pPr>
        <w:pStyle w:val="a"/>
        <w:rPr>
          <w:rFonts w:eastAsiaTheme="minorEastAsia" w:cstheme="minorBidi"/>
          <w:sz w:val="22"/>
          <w:szCs w:val="22"/>
          <w:rtl/>
        </w:rPr>
      </w:pPr>
      <w:r>
        <w:rPr>
          <w:rtl/>
        </w:rPr>
        <w:t>קושית הגרעק"א דלא מצינו שרב הונא מיקל יותר מרב חסדא בחשש פגימה במפרקת בכמה בהמות</w:t>
      </w:r>
    </w:p>
    <w:p w14:paraId="195DB26A" w14:textId="77777777" w:rsidR="006F1691" w:rsidRDefault="006F1691" w:rsidP="005077A7">
      <w:pPr>
        <w:pStyle w:val="a"/>
        <w:rPr>
          <w:rFonts w:eastAsiaTheme="minorEastAsia" w:cstheme="minorBidi"/>
          <w:sz w:val="22"/>
          <w:szCs w:val="22"/>
          <w:rtl/>
        </w:rPr>
      </w:pPr>
      <w:r>
        <w:rPr>
          <w:rtl/>
        </w:rPr>
        <w:t>דברי הגרעק"א דקושית הגמ' דתיבעי בדיקת חכם היא לל"ב אף על דעת רב הונא</w:t>
      </w:r>
    </w:p>
    <w:p w14:paraId="3A924B26" w14:textId="77777777" w:rsidR="006F1691" w:rsidRDefault="006F1691" w:rsidP="00FE6ED2">
      <w:pPr>
        <w:pStyle w:val="aff4"/>
        <w:rPr>
          <w:rFonts w:eastAsiaTheme="minorEastAsia" w:cstheme="minorBidi"/>
          <w:i/>
          <w:iCs/>
          <w:noProof/>
          <w:sz w:val="22"/>
          <w:szCs w:val="22"/>
          <w:rtl/>
        </w:rPr>
      </w:pPr>
      <w:bookmarkStart w:id="5675" w:name="_Toc19435421"/>
      <w:bookmarkStart w:id="5676" w:name="_Toc20080743"/>
      <w:r>
        <w:rPr>
          <w:noProof/>
          <w:rtl/>
        </w:rPr>
        <w:t>קושית הגרעק"א בסתירת דברי הרשב"א אי הל"ב לחומרא</w:t>
      </w:r>
      <w:bookmarkEnd w:id="5675"/>
      <w:bookmarkEnd w:id="5676"/>
    </w:p>
    <w:p w14:paraId="1959C4F4" w14:textId="77777777" w:rsidR="006F1691" w:rsidRPr="00B73ECE" w:rsidRDefault="006F1691" w:rsidP="005077A7">
      <w:pPr>
        <w:pStyle w:val="a"/>
        <w:rPr>
          <w:rFonts w:eastAsiaTheme="minorEastAsia" w:cstheme="minorBidi"/>
          <w:sz w:val="22"/>
          <w:szCs w:val="22"/>
          <w:rtl/>
        </w:rPr>
      </w:pPr>
      <w:r>
        <w:rPr>
          <w:rtl/>
        </w:rPr>
        <w:t>קושית הגרעק"א דבהמשך דברי הרשב"א מוכח דאין חומרא בלישנא בתרא לדעת רב חסדא</w:t>
      </w:r>
    </w:p>
    <w:p w14:paraId="23E57772" w14:textId="77777777" w:rsidR="006F1691" w:rsidRDefault="006F1691" w:rsidP="00FE6ED2">
      <w:pPr>
        <w:pStyle w:val="2"/>
        <w:keepNext w:val="0"/>
        <w:keepLines w:val="0"/>
        <w:rPr>
          <w:rFonts w:eastAsiaTheme="minorEastAsia" w:cstheme="minorBidi"/>
          <w:i/>
          <w:iCs/>
          <w:noProof/>
          <w:sz w:val="22"/>
          <w:szCs w:val="22"/>
          <w:rtl/>
        </w:rPr>
      </w:pPr>
      <w:bookmarkStart w:id="5677" w:name="_Toc19435422"/>
      <w:r>
        <w:rPr>
          <w:noProof/>
          <w:rtl/>
        </w:rPr>
        <w:t>מראי מקומות וביאורים על הרמב"ם</w:t>
      </w:r>
      <w:bookmarkEnd w:id="5677"/>
    </w:p>
    <w:p w14:paraId="352409BC" w14:textId="77777777" w:rsidR="006F1691" w:rsidRDefault="006F1691" w:rsidP="00FE6ED2">
      <w:pPr>
        <w:pStyle w:val="aff4"/>
        <w:rPr>
          <w:rFonts w:eastAsiaTheme="minorEastAsia" w:cstheme="minorBidi"/>
          <w:i/>
          <w:iCs/>
          <w:noProof/>
          <w:sz w:val="22"/>
          <w:szCs w:val="22"/>
          <w:rtl/>
        </w:rPr>
      </w:pPr>
      <w:bookmarkStart w:id="5678" w:name="_Toc19435423"/>
      <w:bookmarkStart w:id="5679" w:name="_Toc20080744"/>
      <w:r>
        <w:rPr>
          <w:noProof/>
          <w:rtl/>
        </w:rPr>
        <w:t>פלוגתת הרמב"ם והראב"ד בבדיקה אחר השחיטה</w:t>
      </w:r>
      <w:bookmarkEnd w:id="5678"/>
      <w:bookmarkEnd w:id="5679"/>
    </w:p>
    <w:p w14:paraId="4296496A" w14:textId="77777777" w:rsidR="006F1691" w:rsidRDefault="006F1691" w:rsidP="005077A7">
      <w:pPr>
        <w:pStyle w:val="a"/>
        <w:rPr>
          <w:rFonts w:eastAsiaTheme="minorEastAsia" w:cstheme="minorBidi"/>
          <w:sz w:val="22"/>
          <w:szCs w:val="22"/>
          <w:rtl/>
        </w:rPr>
      </w:pPr>
      <w:r>
        <w:rPr>
          <w:rtl/>
        </w:rPr>
        <w:t>דברי הרמב"ם שצריך לבדוק אחר השחיטה ובפגום הוי ספק נבילה</w:t>
      </w:r>
    </w:p>
    <w:p w14:paraId="1A8B325D" w14:textId="77777777" w:rsidR="006F1691" w:rsidRDefault="006F1691" w:rsidP="005077A7">
      <w:pPr>
        <w:pStyle w:val="a"/>
        <w:rPr>
          <w:rFonts w:eastAsiaTheme="minorEastAsia" w:cstheme="minorBidi"/>
          <w:sz w:val="22"/>
          <w:szCs w:val="22"/>
          <w:rtl/>
        </w:rPr>
      </w:pPr>
      <w:r>
        <w:rPr>
          <w:rtl/>
        </w:rPr>
        <w:t>דברי הרמב"ם דכיון שאם ימצא פגום אסור לכן צריך לבדוק בין שחיטה לשחיטה</w:t>
      </w:r>
    </w:p>
    <w:p w14:paraId="6917DEDE" w14:textId="77777777" w:rsidR="006F1691" w:rsidRDefault="006F1691" w:rsidP="005077A7">
      <w:pPr>
        <w:pStyle w:val="a"/>
        <w:rPr>
          <w:rFonts w:eastAsiaTheme="minorEastAsia" w:cstheme="minorBidi"/>
          <w:sz w:val="22"/>
          <w:szCs w:val="22"/>
          <w:rtl/>
        </w:rPr>
      </w:pPr>
      <w:r>
        <w:rPr>
          <w:rtl/>
        </w:rPr>
        <w:t>דברי הראב"ד דהבדיקה בין שחיטה לשחיטה היא כיון שרוצה לשחוט בהמה אחרת</w:t>
      </w:r>
    </w:p>
    <w:p w14:paraId="53CDD69F" w14:textId="77777777" w:rsidR="006F1691" w:rsidRDefault="006F1691" w:rsidP="005077A7">
      <w:pPr>
        <w:pStyle w:val="a"/>
        <w:rPr>
          <w:rFonts w:eastAsiaTheme="minorEastAsia" w:cstheme="minorBidi"/>
          <w:sz w:val="22"/>
          <w:szCs w:val="22"/>
          <w:rtl/>
        </w:rPr>
      </w:pPr>
      <w:r>
        <w:rPr>
          <w:rtl/>
        </w:rPr>
        <w:t>הוכחת הראב"ד מדלא אמר רב הונא שצריך לבדוק את הסכין כמו בבדיקת סימנים</w:t>
      </w:r>
    </w:p>
    <w:p w14:paraId="1AAF61CA" w14:textId="77777777" w:rsidR="006F1691" w:rsidRPr="00980100" w:rsidRDefault="006F1691" w:rsidP="00FE6ED2">
      <w:pPr>
        <w:pStyle w:val="aff4"/>
      </w:pPr>
      <w:bookmarkStart w:id="5680" w:name="_Toc19435424"/>
      <w:bookmarkStart w:id="5681" w:name="_Toc20080745"/>
      <w:r>
        <w:rPr>
          <w:rFonts w:hint="cs"/>
          <w:rtl/>
        </w:rPr>
        <w:t>בביאור דעת הרמב"ם דהבדיקה היא עצה טובה</w:t>
      </w:r>
      <w:bookmarkEnd w:id="5680"/>
      <w:bookmarkEnd w:id="5681"/>
    </w:p>
    <w:p w14:paraId="5547358F" w14:textId="77777777" w:rsidR="006F1691" w:rsidRDefault="006F1691" w:rsidP="005077A7">
      <w:pPr>
        <w:pStyle w:val="a"/>
        <w:rPr>
          <w:rFonts w:eastAsiaTheme="minorEastAsia" w:cstheme="minorBidi"/>
          <w:sz w:val="22"/>
          <w:szCs w:val="22"/>
          <w:rtl/>
        </w:rPr>
      </w:pPr>
      <w:r>
        <w:rPr>
          <w:rtl/>
        </w:rPr>
        <w:t>דברי התרוה"ד דמשמעות דברי רב כהנא דהבדיקה היא כבדיקה דקודם השחיטה</w:t>
      </w:r>
    </w:p>
    <w:p w14:paraId="27DE8B1D" w14:textId="77777777" w:rsidR="006F1691" w:rsidRDefault="006F1691" w:rsidP="005077A7">
      <w:pPr>
        <w:pStyle w:val="a"/>
        <w:rPr>
          <w:rFonts w:eastAsiaTheme="minorEastAsia" w:cstheme="minorBidi"/>
          <w:sz w:val="22"/>
          <w:szCs w:val="22"/>
          <w:rtl/>
        </w:rPr>
      </w:pPr>
      <w:r>
        <w:rPr>
          <w:rtl/>
        </w:rPr>
        <w:t>דברי התרוה"ד דמהרי"ף והרמב"ם מבואר שאין חיוב לבדוק בין שחיטה לשחיטה</w:t>
      </w:r>
    </w:p>
    <w:p w14:paraId="1F8B9B0C" w14:textId="77777777" w:rsidR="006F1691" w:rsidRDefault="006F1691" w:rsidP="005077A7">
      <w:pPr>
        <w:pStyle w:val="a"/>
        <w:rPr>
          <w:rFonts w:eastAsiaTheme="minorEastAsia" w:cstheme="minorBidi"/>
          <w:sz w:val="22"/>
          <w:szCs w:val="22"/>
          <w:rtl/>
        </w:rPr>
      </w:pPr>
      <w:r>
        <w:rPr>
          <w:rtl/>
        </w:rPr>
        <w:t>דיוק הש"ך הפרמ"ג והמ"מ דלהרמב"ם הבדיקה היא עצה טובה</w:t>
      </w:r>
    </w:p>
    <w:p w14:paraId="49C7E816" w14:textId="77777777" w:rsidR="006F1691" w:rsidRDefault="006F1691" w:rsidP="005077A7">
      <w:pPr>
        <w:pStyle w:val="a"/>
        <w:rPr>
          <w:rFonts w:eastAsiaTheme="minorEastAsia" w:cstheme="minorBidi"/>
          <w:sz w:val="22"/>
          <w:szCs w:val="22"/>
          <w:rtl/>
        </w:rPr>
      </w:pPr>
      <w:r>
        <w:rPr>
          <w:rtl/>
        </w:rPr>
        <w:t>קושית הלח"מ דהבדיקה שבין שחיטה לשחיטה היא אף לרב חסדא</w:t>
      </w:r>
    </w:p>
    <w:p w14:paraId="151F6DD6" w14:textId="77777777" w:rsidR="006F1691" w:rsidRDefault="006F1691" w:rsidP="005077A7">
      <w:pPr>
        <w:pStyle w:val="a"/>
        <w:rPr>
          <w:rFonts w:eastAsiaTheme="minorEastAsia" w:cstheme="minorBidi"/>
          <w:sz w:val="22"/>
          <w:szCs w:val="22"/>
          <w:rtl/>
        </w:rPr>
      </w:pPr>
      <w:r>
        <w:rPr>
          <w:rtl/>
        </w:rPr>
        <w:t>ביאור הפרמ"ג דלל"ב דרב חסדא א"צ לבדוק</w:t>
      </w:r>
    </w:p>
    <w:p w14:paraId="71C5560C" w14:textId="77777777" w:rsidR="006F1691" w:rsidRPr="00860462" w:rsidRDefault="006F1691" w:rsidP="00FE6ED2">
      <w:pPr>
        <w:pStyle w:val="aff4"/>
        <w:rPr>
          <w:rtl/>
        </w:rPr>
      </w:pPr>
      <w:bookmarkStart w:id="5682" w:name="_Toc19435425"/>
      <w:bookmarkStart w:id="5683" w:name="_Toc20080746"/>
      <w:r>
        <w:rPr>
          <w:rFonts w:hint="cs"/>
          <w:rtl/>
        </w:rPr>
        <w:t>בדעת הראב"ד דא"צ לבדוק בין שחיטה לשחיטה</w:t>
      </w:r>
      <w:bookmarkEnd w:id="5682"/>
      <w:bookmarkEnd w:id="5683"/>
    </w:p>
    <w:p w14:paraId="3A830A1D" w14:textId="77777777" w:rsidR="006F1691" w:rsidRDefault="006F1691" w:rsidP="005077A7">
      <w:pPr>
        <w:pStyle w:val="a"/>
        <w:rPr>
          <w:rFonts w:eastAsiaTheme="minorEastAsia" w:cstheme="minorBidi"/>
          <w:sz w:val="22"/>
          <w:szCs w:val="22"/>
          <w:rtl/>
        </w:rPr>
      </w:pPr>
      <w:r>
        <w:rPr>
          <w:rtl/>
        </w:rPr>
        <w:t>קושית הכס"מ על הראב"ד דהראשונים ס"ל כרמב"ם שצריך לבדוק</w:t>
      </w:r>
    </w:p>
    <w:p w14:paraId="5027C8D6" w14:textId="77777777" w:rsidR="006F1691" w:rsidRDefault="006F1691" w:rsidP="005077A7">
      <w:pPr>
        <w:pStyle w:val="a"/>
        <w:rPr>
          <w:rFonts w:eastAsiaTheme="minorEastAsia" w:cstheme="minorBidi"/>
          <w:sz w:val="22"/>
          <w:szCs w:val="22"/>
          <w:rtl/>
        </w:rPr>
      </w:pPr>
      <w:r>
        <w:rPr>
          <w:rtl/>
        </w:rPr>
        <w:t>ביאור העמק שאילה דהראב"ד ס"ל כשאילתות והבעה"מ והרי"ף ודלא כהבה"ג</w:t>
      </w:r>
    </w:p>
    <w:p w14:paraId="21508C77" w14:textId="77777777" w:rsidR="006F1691" w:rsidRDefault="006F1691" w:rsidP="00FE6ED2">
      <w:pPr>
        <w:pStyle w:val="aff4"/>
        <w:rPr>
          <w:rFonts w:eastAsiaTheme="minorEastAsia" w:cstheme="minorBidi"/>
          <w:i/>
          <w:iCs/>
          <w:noProof/>
          <w:sz w:val="22"/>
          <w:szCs w:val="22"/>
          <w:rtl/>
        </w:rPr>
      </w:pPr>
      <w:bookmarkStart w:id="5684" w:name="_Toc19435426"/>
      <w:bookmarkStart w:id="5685" w:name="_Toc20080747"/>
      <w:r>
        <w:rPr>
          <w:noProof/>
          <w:rtl/>
        </w:rPr>
        <w:t>דברי הרמב"ם דבשיבר עצמות או אבד הסכין השחיטה כשרה</w:t>
      </w:r>
      <w:bookmarkEnd w:id="5684"/>
      <w:bookmarkEnd w:id="5685"/>
    </w:p>
    <w:p w14:paraId="2A297917" w14:textId="77777777" w:rsidR="006F1691" w:rsidRDefault="006F1691" w:rsidP="005077A7">
      <w:pPr>
        <w:pStyle w:val="a"/>
        <w:rPr>
          <w:rFonts w:eastAsiaTheme="minorEastAsia" w:cstheme="minorBidi"/>
          <w:sz w:val="22"/>
          <w:szCs w:val="22"/>
          <w:rtl/>
        </w:rPr>
      </w:pPr>
      <w:r>
        <w:rPr>
          <w:rtl/>
        </w:rPr>
        <w:t>דברי הרמב"ם דבשיבר עצמות השחיטה כשרה דחזקת הסכין שנפגמה מהעצמות</w:t>
      </w:r>
    </w:p>
    <w:p w14:paraId="14172241" w14:textId="77777777" w:rsidR="006F1691" w:rsidRDefault="006F1691" w:rsidP="005077A7">
      <w:pPr>
        <w:pStyle w:val="a"/>
        <w:rPr>
          <w:rFonts w:eastAsiaTheme="minorEastAsia" w:cstheme="minorBidi"/>
          <w:sz w:val="22"/>
          <w:szCs w:val="22"/>
          <w:rtl/>
        </w:rPr>
      </w:pPr>
      <w:r>
        <w:rPr>
          <w:rtl/>
        </w:rPr>
        <w:t>דברי הרמב"ם דבפשע ולא בדק או שאבדה הסכין שחיטתו כשרה</w:t>
      </w:r>
    </w:p>
    <w:p w14:paraId="5689C23F" w14:textId="77777777" w:rsidR="006F1691" w:rsidRDefault="006F1691" w:rsidP="00FE6ED2">
      <w:pPr>
        <w:pStyle w:val="aff4"/>
        <w:rPr>
          <w:rFonts w:eastAsiaTheme="minorEastAsia" w:cstheme="minorBidi"/>
          <w:i/>
          <w:iCs/>
          <w:noProof/>
          <w:sz w:val="22"/>
          <w:szCs w:val="22"/>
          <w:rtl/>
        </w:rPr>
      </w:pPr>
      <w:bookmarkStart w:id="5686" w:name="_Toc19435427"/>
      <w:bookmarkStart w:id="5687" w:name="_Toc20080748"/>
      <w:r>
        <w:rPr>
          <w:noProof/>
          <w:rtl/>
        </w:rPr>
        <w:t>בדעת הרמב"ם בחשש פגימת המפרקת</w:t>
      </w:r>
      <w:bookmarkEnd w:id="5686"/>
      <w:bookmarkEnd w:id="5687"/>
    </w:p>
    <w:p w14:paraId="7DEDD249" w14:textId="77777777" w:rsidR="006F1691" w:rsidRDefault="006F1691" w:rsidP="005077A7">
      <w:pPr>
        <w:pStyle w:val="a"/>
        <w:rPr>
          <w:rFonts w:eastAsiaTheme="minorEastAsia" w:cstheme="minorBidi"/>
          <w:sz w:val="22"/>
          <w:szCs w:val="22"/>
          <w:rtl/>
        </w:rPr>
      </w:pPr>
      <w:r>
        <w:rPr>
          <w:rtl/>
        </w:rPr>
        <w:t>דיוק המ"מ ברמב"ם דס"ל דעצם המפרקת רך ולא תלינן בו</w:t>
      </w:r>
    </w:p>
    <w:p w14:paraId="27A92DD6" w14:textId="77777777" w:rsidR="006F1691" w:rsidRDefault="006F1691" w:rsidP="005077A7">
      <w:pPr>
        <w:pStyle w:val="a"/>
        <w:rPr>
          <w:rFonts w:eastAsiaTheme="minorEastAsia" w:cstheme="minorBidi"/>
          <w:sz w:val="22"/>
          <w:szCs w:val="22"/>
          <w:rtl/>
        </w:rPr>
      </w:pPr>
      <w:r>
        <w:rPr>
          <w:rtl/>
        </w:rPr>
        <w:t>דברי המ"מ דלהרמב"ם אף בנגעה הסכין במפרקת לא חיישינן שפגמה</w:t>
      </w:r>
    </w:p>
    <w:p w14:paraId="20503333" w14:textId="77777777" w:rsidR="006F1691" w:rsidRDefault="006F1691" w:rsidP="00FE6ED2">
      <w:pPr>
        <w:pStyle w:val="2"/>
        <w:keepNext w:val="0"/>
        <w:keepLines w:val="0"/>
        <w:rPr>
          <w:rFonts w:eastAsiaTheme="minorEastAsia" w:cstheme="minorBidi"/>
          <w:i/>
          <w:iCs/>
          <w:noProof/>
          <w:sz w:val="22"/>
          <w:szCs w:val="22"/>
          <w:rtl/>
        </w:rPr>
      </w:pPr>
      <w:bookmarkStart w:id="5688" w:name="_Toc19435428"/>
      <w:r>
        <w:rPr>
          <w:noProof/>
          <w:rtl/>
        </w:rPr>
        <w:t>ביאורי ראשי הישיבות על הסוגיא</w:t>
      </w:r>
      <w:bookmarkEnd w:id="5688"/>
    </w:p>
    <w:p w14:paraId="3FC8F7CE" w14:textId="77777777" w:rsidR="006F1691" w:rsidRDefault="006F1691" w:rsidP="00FE6ED2">
      <w:pPr>
        <w:pStyle w:val="2"/>
        <w:keepNext w:val="0"/>
        <w:keepLines w:val="0"/>
        <w:rPr>
          <w:rFonts w:eastAsiaTheme="minorEastAsia" w:cstheme="minorBidi"/>
          <w:i/>
          <w:iCs/>
          <w:noProof/>
          <w:sz w:val="22"/>
          <w:szCs w:val="22"/>
          <w:rtl/>
        </w:rPr>
      </w:pPr>
      <w:bookmarkStart w:id="5689" w:name="_Toc19435429"/>
      <w:r>
        <w:rPr>
          <w:noProof/>
          <w:rtl/>
        </w:rPr>
        <w:t>בדברי הרשב"א והראב"ד בל"ב</w:t>
      </w:r>
      <w:bookmarkEnd w:id="5689"/>
    </w:p>
    <w:p w14:paraId="1BD7703B" w14:textId="77777777" w:rsidR="006F1691" w:rsidRDefault="006F1691" w:rsidP="00FE6ED2">
      <w:pPr>
        <w:pStyle w:val="aff4"/>
        <w:rPr>
          <w:rFonts w:eastAsiaTheme="minorEastAsia" w:cstheme="minorBidi"/>
          <w:i/>
          <w:iCs/>
          <w:noProof/>
          <w:sz w:val="22"/>
          <w:szCs w:val="22"/>
          <w:rtl/>
        </w:rPr>
      </w:pPr>
      <w:bookmarkStart w:id="5690" w:name="_Toc19435430"/>
      <w:bookmarkStart w:id="5691" w:name="_Toc20080749"/>
      <w:r>
        <w:rPr>
          <w:noProof/>
          <w:rtl/>
        </w:rPr>
        <w:t>דברי האבאה"ז בקושיות הגרעק"א על הרשב"א</w:t>
      </w:r>
      <w:bookmarkEnd w:id="5690"/>
      <w:bookmarkEnd w:id="5691"/>
    </w:p>
    <w:p w14:paraId="32F94B78" w14:textId="77777777" w:rsidR="006F1691" w:rsidRDefault="006F1691" w:rsidP="005077A7">
      <w:pPr>
        <w:pStyle w:val="a"/>
        <w:rPr>
          <w:rFonts w:eastAsiaTheme="minorEastAsia" w:cstheme="minorBidi"/>
          <w:sz w:val="22"/>
          <w:szCs w:val="22"/>
          <w:rtl/>
        </w:rPr>
      </w:pPr>
      <w:r>
        <w:rPr>
          <w:rtl/>
        </w:rPr>
        <w:t>דברי האבהא"ז דסברת התוס' דחיישינן רק למפרקת האחרונה רק לתרץ את הקושיה ממקוה</w:t>
      </w:r>
    </w:p>
    <w:p w14:paraId="20D111BD" w14:textId="77777777" w:rsidR="006F1691" w:rsidRDefault="006F1691" w:rsidP="005077A7">
      <w:pPr>
        <w:pStyle w:val="a"/>
        <w:rPr>
          <w:rFonts w:eastAsiaTheme="minorEastAsia" w:cstheme="minorBidi"/>
          <w:sz w:val="22"/>
          <w:szCs w:val="22"/>
          <w:rtl/>
        </w:rPr>
      </w:pPr>
      <w:r>
        <w:rPr>
          <w:rtl/>
        </w:rPr>
        <w:t>דברי האבאה"ז דהרשב"א פליג על סברת התוס'</w:t>
      </w:r>
    </w:p>
    <w:p w14:paraId="0FA23CA8" w14:textId="77777777" w:rsidR="006F1691" w:rsidRDefault="006F1691" w:rsidP="005077A7">
      <w:pPr>
        <w:pStyle w:val="a"/>
        <w:rPr>
          <w:rFonts w:eastAsiaTheme="minorEastAsia" w:cstheme="minorBidi"/>
          <w:sz w:val="22"/>
          <w:szCs w:val="22"/>
          <w:rtl/>
        </w:rPr>
      </w:pPr>
      <w:r>
        <w:rPr>
          <w:rtl/>
        </w:rPr>
        <w:t>קושית האבאה"ז דלהרשב"א תלינן במפרקת דעצם פוגם יותר מעור וא"כ הראשונה פוגמת</w:t>
      </w:r>
    </w:p>
    <w:p w14:paraId="5DFDA6F6" w14:textId="77777777" w:rsidR="006F1691" w:rsidRDefault="006F1691" w:rsidP="00FE6ED2">
      <w:pPr>
        <w:pStyle w:val="aff4"/>
        <w:rPr>
          <w:rFonts w:eastAsiaTheme="minorEastAsia" w:cstheme="minorBidi"/>
          <w:i/>
          <w:iCs/>
          <w:noProof/>
          <w:sz w:val="22"/>
          <w:szCs w:val="22"/>
          <w:rtl/>
        </w:rPr>
      </w:pPr>
      <w:bookmarkStart w:id="5692" w:name="_Toc19435431"/>
      <w:bookmarkStart w:id="5693" w:name="_Toc20080750"/>
      <w:r>
        <w:rPr>
          <w:noProof/>
          <w:rtl/>
        </w:rPr>
        <w:t>ביאור האבהא"ז דלהראב"ד בכל שחיטה בטלה חזקת הסכין</w:t>
      </w:r>
      <w:bookmarkEnd w:id="5692"/>
      <w:bookmarkEnd w:id="5693"/>
    </w:p>
    <w:p w14:paraId="66FB1277" w14:textId="77777777" w:rsidR="006F1691" w:rsidRDefault="006F1691" w:rsidP="005077A7">
      <w:pPr>
        <w:pStyle w:val="a"/>
        <w:rPr>
          <w:rFonts w:eastAsiaTheme="minorEastAsia" w:cstheme="minorBidi"/>
          <w:sz w:val="22"/>
          <w:szCs w:val="22"/>
          <w:rtl/>
        </w:rPr>
      </w:pPr>
      <w:r>
        <w:rPr>
          <w:rtl/>
        </w:rPr>
        <w:t>ביאור האבאה"ז דלדעת הראב"ד טעמא דרב חסדא דהמפרקת ודאי פוגמת</w:t>
      </w:r>
    </w:p>
    <w:p w14:paraId="49005D09" w14:textId="77777777" w:rsidR="006F1691" w:rsidRPr="005B581E" w:rsidRDefault="006F1691" w:rsidP="005077A7">
      <w:pPr>
        <w:pStyle w:val="a"/>
        <w:rPr>
          <w:rFonts w:eastAsiaTheme="minorEastAsia" w:cstheme="minorBidi"/>
          <w:sz w:val="22"/>
          <w:szCs w:val="22"/>
        </w:rPr>
      </w:pPr>
      <w:r>
        <w:rPr>
          <w:rtl/>
        </w:rPr>
        <w:t>דברי האבאה"ז דלראב"ד בכל שחיטה עומד הסכין להפגם וא"א לתלות במפרקת האחרונה כל"ב</w:t>
      </w:r>
      <w:r w:rsidRPr="005B581E">
        <w:rPr>
          <w:rtl/>
        </w:rPr>
        <w:t xml:space="preserve"> </w:t>
      </w:r>
    </w:p>
    <w:p w14:paraId="2DFDFB23" w14:textId="77777777" w:rsidR="006F1691" w:rsidRPr="005B581E" w:rsidRDefault="006F1691" w:rsidP="005077A7">
      <w:pPr>
        <w:pStyle w:val="a"/>
        <w:rPr>
          <w:rFonts w:eastAsiaTheme="minorEastAsia" w:cstheme="minorBidi"/>
          <w:sz w:val="22"/>
          <w:szCs w:val="22"/>
          <w:rtl/>
        </w:rPr>
      </w:pPr>
      <w:r>
        <w:rPr>
          <w:rtl/>
        </w:rPr>
        <w:t>דברי האבאה"ז דלהראב"ד החילוק ממקוה הוא דהעצם ודאי פוגם ולא חיישינן לעור כלל</w:t>
      </w:r>
    </w:p>
    <w:p w14:paraId="03983187" w14:textId="77777777" w:rsidR="006F1691" w:rsidRDefault="006F1691" w:rsidP="00FE6ED2">
      <w:pPr>
        <w:pStyle w:val="aff4"/>
        <w:rPr>
          <w:rFonts w:eastAsiaTheme="minorEastAsia" w:cstheme="minorBidi"/>
          <w:i/>
          <w:iCs/>
          <w:noProof/>
          <w:sz w:val="22"/>
          <w:szCs w:val="22"/>
          <w:rtl/>
        </w:rPr>
      </w:pPr>
      <w:bookmarkStart w:id="5694" w:name="_Toc19435432"/>
      <w:bookmarkStart w:id="5695" w:name="_Toc20080751"/>
      <w:r>
        <w:rPr>
          <w:noProof/>
          <w:rtl/>
        </w:rPr>
        <w:t>ישוב האבאה"ז על קושיות הגרעק"א בדברי הרשב"א</w:t>
      </w:r>
      <w:bookmarkEnd w:id="5694"/>
      <w:bookmarkEnd w:id="5695"/>
    </w:p>
    <w:p w14:paraId="00B0CA49" w14:textId="77777777" w:rsidR="006F1691" w:rsidRDefault="006F1691" w:rsidP="005077A7">
      <w:pPr>
        <w:pStyle w:val="a"/>
        <w:rPr>
          <w:rFonts w:eastAsiaTheme="minorEastAsia" w:cstheme="minorBidi"/>
          <w:sz w:val="22"/>
          <w:szCs w:val="22"/>
          <w:rtl/>
        </w:rPr>
      </w:pPr>
      <w:r>
        <w:rPr>
          <w:rtl/>
        </w:rPr>
        <w:t>דברי האבהא"ז דלדעת הרשב"א דלרב חסדא תלינן באחרונה לא נעשה הסכין כאינו בדוק</w:t>
      </w:r>
    </w:p>
    <w:p w14:paraId="194CF584" w14:textId="77777777" w:rsidR="006F1691" w:rsidRDefault="006F1691" w:rsidP="005077A7">
      <w:pPr>
        <w:pStyle w:val="a"/>
        <w:rPr>
          <w:rFonts w:eastAsiaTheme="minorEastAsia" w:cstheme="minorBidi"/>
          <w:sz w:val="22"/>
          <w:szCs w:val="22"/>
          <w:rtl/>
        </w:rPr>
      </w:pPr>
      <w:r>
        <w:rPr>
          <w:rtl/>
        </w:rPr>
        <w:t>תירוץ האבאה"ז על קושית הגרעק"א דלרשב"א אף לל"ב לא נעשה הסכין כאינו בדוק</w:t>
      </w:r>
    </w:p>
    <w:p w14:paraId="387375C3" w14:textId="77777777" w:rsidR="006F1691" w:rsidRDefault="006F1691" w:rsidP="00FE6ED2">
      <w:pPr>
        <w:pStyle w:val="aff4"/>
        <w:rPr>
          <w:rFonts w:eastAsiaTheme="minorEastAsia" w:cstheme="minorBidi"/>
          <w:i/>
          <w:iCs/>
          <w:noProof/>
          <w:sz w:val="22"/>
          <w:szCs w:val="22"/>
          <w:rtl/>
        </w:rPr>
      </w:pPr>
      <w:bookmarkStart w:id="5696" w:name="_Toc19435433"/>
      <w:bookmarkStart w:id="5697" w:name="_Toc20080752"/>
      <w:r>
        <w:rPr>
          <w:noProof/>
          <w:rtl/>
        </w:rPr>
        <w:t>ביאור האבאה"ז בדברי הראב"ד דרב הונא מיקל בכמה בהמות</w:t>
      </w:r>
      <w:bookmarkEnd w:id="5696"/>
      <w:bookmarkEnd w:id="5697"/>
    </w:p>
    <w:p w14:paraId="407990A5" w14:textId="77777777" w:rsidR="006F1691" w:rsidRDefault="006F1691" w:rsidP="005077A7">
      <w:pPr>
        <w:pStyle w:val="a"/>
        <w:rPr>
          <w:rFonts w:eastAsiaTheme="minorEastAsia" w:cstheme="minorBidi"/>
          <w:sz w:val="22"/>
          <w:szCs w:val="22"/>
          <w:rtl/>
        </w:rPr>
      </w:pPr>
      <w:r>
        <w:rPr>
          <w:rtl/>
        </w:rPr>
        <w:t>ביאור האבאה"ז בראב"ד דרב הונא עצמו אינו מיקל בכמה בהמות</w:t>
      </w:r>
    </w:p>
    <w:p w14:paraId="12AEE129" w14:textId="77777777" w:rsidR="006F1691" w:rsidRPr="00C50E70" w:rsidRDefault="006F1691" w:rsidP="005077A7">
      <w:pPr>
        <w:pStyle w:val="a"/>
        <w:rPr>
          <w:rtl/>
        </w:rPr>
      </w:pPr>
      <w:r>
        <w:rPr>
          <w:rtl/>
        </w:rPr>
        <w:t>ביאור האבהא"ז דכוונת הראב"ד לאפוקי מהאוקימתא דרב כהנא כרב הונא</w:t>
      </w:r>
    </w:p>
    <w:p w14:paraId="5A00A5DA" w14:textId="77777777" w:rsidR="006F1691" w:rsidRPr="00C50E70" w:rsidRDefault="006F1691" w:rsidP="005077A7">
      <w:pPr>
        <w:pStyle w:val="a"/>
        <w:rPr>
          <w:rtl/>
        </w:rPr>
      </w:pPr>
      <w:r>
        <w:rPr>
          <w:rtl/>
        </w:rPr>
        <w:t>ביאור האבאה"ז דכוונת הראב"ד דלדידן אליבא דרב הונא יש קולא</w:t>
      </w:r>
    </w:p>
    <w:p w14:paraId="65E792BB" w14:textId="77777777" w:rsidR="006F1691" w:rsidRDefault="006F1691" w:rsidP="005077A7">
      <w:pPr>
        <w:pStyle w:val="a"/>
        <w:rPr>
          <w:rFonts w:eastAsiaTheme="minorEastAsia" w:cstheme="minorBidi"/>
          <w:sz w:val="22"/>
          <w:szCs w:val="22"/>
          <w:rtl/>
        </w:rPr>
      </w:pPr>
      <w:r>
        <w:rPr>
          <w:rtl/>
        </w:rPr>
        <w:t>ביאור האבאה"ז דקיי"ל בלא שיבר עצמות כרב הונא מספק ובשיבר עצמות כרב הונא בודאי</w:t>
      </w:r>
    </w:p>
    <w:p w14:paraId="7FF4F768" w14:textId="77777777" w:rsidR="006F1691" w:rsidRDefault="006F1691" w:rsidP="00FE6ED2">
      <w:pPr>
        <w:pStyle w:val="aff4"/>
        <w:rPr>
          <w:rtl/>
        </w:rPr>
        <w:sectPr w:rsidR="006F1691" w:rsidSect="00C96CB9">
          <w:headerReference w:type="default" r:id="rId47"/>
          <w:type w:val="continuous"/>
          <w:pgSz w:w="11906" w:h="16838"/>
          <w:pgMar w:top="720" w:right="720" w:bottom="720" w:left="720" w:header="283" w:footer="283" w:gutter="0"/>
          <w:cols w:num="2" w:space="170"/>
          <w:bidi/>
          <w:rtlGutter/>
          <w:docGrid w:linePitch="299"/>
        </w:sectPr>
      </w:pPr>
      <w:r>
        <w:rPr>
          <w:rtl/>
        </w:rPr>
        <w:fldChar w:fldCharType="end"/>
      </w:r>
    </w:p>
    <w:p w14:paraId="73C44B10" w14:textId="77777777" w:rsidR="006F1691" w:rsidRDefault="006F1691" w:rsidP="00FE6ED2">
      <w:pPr>
        <w:pStyle w:val="aff4"/>
        <w:rPr>
          <w:rtl/>
        </w:rPr>
        <w:sectPr w:rsidR="006F1691" w:rsidSect="00533768">
          <w:type w:val="continuous"/>
          <w:pgSz w:w="11906" w:h="16838"/>
          <w:pgMar w:top="720" w:right="720" w:bottom="720" w:left="720" w:header="283" w:footer="283" w:gutter="0"/>
          <w:cols w:num="2" w:space="567"/>
          <w:bidi/>
          <w:rtlGutter/>
          <w:docGrid w:linePitch="299"/>
        </w:sectPr>
      </w:pPr>
    </w:p>
    <w:p w14:paraId="4C808F6F" w14:textId="77777777" w:rsidR="00533768" w:rsidRDefault="00533768" w:rsidP="006D6D32">
      <w:pPr>
        <w:pStyle w:val="afe"/>
        <w:rPr>
          <w:rtl/>
        </w:rPr>
        <w:sectPr w:rsidR="00533768" w:rsidSect="00B64DA9">
          <w:pgSz w:w="11906" w:h="16838"/>
          <w:pgMar w:top="720" w:right="720" w:bottom="720" w:left="720" w:header="283" w:footer="283" w:gutter="0"/>
          <w:cols w:space="567"/>
          <w:bidi/>
          <w:rtlGutter/>
          <w:docGrid w:linePitch="299"/>
        </w:sectPr>
      </w:pPr>
      <w:bookmarkStart w:id="5698" w:name="_Toc526504094"/>
      <w:bookmarkStart w:id="5699" w:name="_Toc526852972"/>
      <w:bookmarkStart w:id="5700" w:name="_Toc526889869"/>
      <w:bookmarkStart w:id="5701" w:name="_Toc527108338"/>
      <w:bookmarkStart w:id="5702" w:name="_Toc19435434"/>
      <w:bookmarkStart w:id="5703" w:name="_Toc20080753"/>
      <w:r>
        <w:rPr>
          <w:rFonts w:hint="cs"/>
          <w:rtl/>
        </w:rPr>
        <w:t>מראי מקומות וביאורים על הסוגיא</w:t>
      </w:r>
      <w:bookmarkEnd w:id="5698"/>
      <w:bookmarkEnd w:id="5699"/>
      <w:bookmarkEnd w:id="5700"/>
      <w:bookmarkEnd w:id="5701"/>
      <w:bookmarkEnd w:id="5702"/>
      <w:bookmarkEnd w:id="5703"/>
    </w:p>
    <w:p w14:paraId="7B0B8171" w14:textId="77777777" w:rsidR="00533768" w:rsidRDefault="00533768" w:rsidP="006D6D32">
      <w:pPr>
        <w:pStyle w:val="afe"/>
        <w:rPr>
          <w:rtl/>
        </w:rPr>
      </w:pPr>
      <w:bookmarkStart w:id="5704" w:name="_Toc526249227"/>
      <w:bookmarkStart w:id="5705" w:name="_Toc526504095"/>
      <w:bookmarkStart w:id="5706" w:name="_Toc526852973"/>
      <w:bookmarkStart w:id="5707" w:name="_Toc526889870"/>
      <w:bookmarkStart w:id="5708" w:name="_Toc527108339"/>
      <w:bookmarkStart w:id="5709" w:name="_Toc19435435"/>
      <w:bookmarkStart w:id="5710" w:name="_Toc20080754"/>
      <w:bookmarkStart w:id="5711" w:name="_Toc525594379"/>
      <w:bookmarkStart w:id="5712" w:name="_Toc526249238"/>
      <w:r>
        <w:rPr>
          <w:rFonts w:hint="cs"/>
          <w:rtl/>
        </w:rPr>
        <w:t xml:space="preserve">בדעת רב חסדא </w:t>
      </w:r>
      <w:bookmarkEnd w:id="5704"/>
      <w:r>
        <w:rPr>
          <w:rFonts w:hint="cs"/>
          <w:rtl/>
        </w:rPr>
        <w:t>בתליה במפרקת</w:t>
      </w:r>
      <w:bookmarkEnd w:id="5705"/>
      <w:bookmarkEnd w:id="5706"/>
      <w:bookmarkEnd w:id="5707"/>
      <w:bookmarkEnd w:id="5708"/>
      <w:bookmarkEnd w:id="5709"/>
      <w:bookmarkEnd w:id="5710"/>
    </w:p>
    <w:p w14:paraId="0371D061" w14:textId="77777777" w:rsidR="00533768" w:rsidRDefault="00533768" w:rsidP="00BF39B2">
      <w:pPr>
        <w:pStyle w:val="1"/>
        <w:rPr>
          <w:rtl/>
        </w:rPr>
      </w:pPr>
      <w:bookmarkStart w:id="5713" w:name="_Toc526249228"/>
      <w:bookmarkStart w:id="5714" w:name="_Toc526504096"/>
      <w:bookmarkStart w:id="5715" w:name="_Toc526852974"/>
      <w:bookmarkStart w:id="5716" w:name="_Toc526889871"/>
      <w:bookmarkStart w:id="5717" w:name="_Toc527108340"/>
      <w:bookmarkStart w:id="5718" w:name="_Toc19389639"/>
      <w:bookmarkStart w:id="5719" w:name="_Toc19393136"/>
      <w:r>
        <w:rPr>
          <w:rFonts w:hint="cs"/>
          <w:rtl/>
        </w:rPr>
        <w:t>דברי רש"י בדעת רב חסדא</w:t>
      </w:r>
      <w:bookmarkEnd w:id="5711"/>
      <w:bookmarkEnd w:id="5713"/>
      <w:bookmarkEnd w:id="5714"/>
      <w:bookmarkEnd w:id="5715"/>
      <w:bookmarkEnd w:id="5716"/>
      <w:bookmarkEnd w:id="5717"/>
      <w:bookmarkEnd w:id="5718"/>
      <w:bookmarkEnd w:id="5719"/>
    </w:p>
    <w:p w14:paraId="4053C453" w14:textId="77777777" w:rsidR="00533768" w:rsidRDefault="00533768" w:rsidP="006D6D32">
      <w:pPr>
        <w:pStyle w:val="a3"/>
        <w:rPr>
          <w:rtl/>
        </w:rPr>
      </w:pPr>
      <w:bookmarkStart w:id="5720" w:name="_Toc526504097"/>
      <w:bookmarkStart w:id="5721" w:name="_Toc526852975"/>
      <w:bookmarkStart w:id="5722" w:name="_Toc526889872"/>
      <w:bookmarkStart w:id="5723" w:name="_Toc527108341"/>
      <w:bookmarkStart w:id="5724" w:name="_Toc19389640"/>
      <w:bookmarkStart w:id="5725" w:name="_Toc19393137"/>
      <w:r>
        <w:rPr>
          <w:rFonts w:hint="cs"/>
          <w:rtl/>
        </w:rPr>
        <w:t>דברי רש"י דרב חסדא מתיר בלא שיבר עצמות דנפגמה כשנגעה במפרקת</w:t>
      </w:r>
      <w:bookmarkEnd w:id="5720"/>
      <w:bookmarkEnd w:id="5721"/>
      <w:bookmarkEnd w:id="5722"/>
      <w:bookmarkEnd w:id="5723"/>
      <w:bookmarkEnd w:id="5724"/>
      <w:bookmarkEnd w:id="5725"/>
    </w:p>
    <w:p w14:paraId="689F68A2" w14:textId="77777777" w:rsidR="00533768" w:rsidRDefault="00533768" w:rsidP="00E12979">
      <w:pPr>
        <w:pStyle w:val="a0"/>
        <w:numPr>
          <w:ilvl w:val="0"/>
          <w:numId w:val="9"/>
        </w:numPr>
        <w:rPr>
          <w:rtl/>
        </w:rPr>
      </w:pPr>
      <w:bookmarkStart w:id="5726" w:name="_Ref526673482"/>
      <w:r>
        <w:rPr>
          <w:rFonts w:hint="cs"/>
          <w:rtl/>
        </w:rPr>
        <w:t xml:space="preserve">בביאור דעת רב חסדא דמתיר אף בלא שיבר בה עצמות, כתב </w:t>
      </w:r>
      <w:r w:rsidRPr="005576C4">
        <w:rPr>
          <w:rStyle w:val="af9"/>
          <w:rFonts w:hint="cs"/>
          <w:rtl/>
        </w:rPr>
        <w:t>רש"י</w:t>
      </w:r>
      <w:r>
        <w:rPr>
          <w:rFonts w:hint="cs"/>
          <w:rtl/>
        </w:rPr>
        <w:t xml:space="preserve"> </w:t>
      </w:r>
      <w:r w:rsidRPr="00223668">
        <w:rPr>
          <w:rStyle w:val="af7"/>
          <w:rFonts w:eastAsia="Guttman Hodes" w:hint="cs"/>
          <w:rtl/>
        </w:rPr>
        <w:t xml:space="preserve">(ד"ה בעצם) </w:t>
      </w:r>
      <w:r>
        <w:rPr>
          <w:rFonts w:hint="cs"/>
          <w:rtl/>
        </w:rPr>
        <w:t>דס"ל דהסכין נפגמה במה שנגעה בעצם המפרקת.</w:t>
      </w:r>
      <w:bookmarkEnd w:id="5726"/>
    </w:p>
    <w:p w14:paraId="467E0FCE" w14:textId="77777777" w:rsidR="00533768" w:rsidRPr="00096148" w:rsidRDefault="00533768" w:rsidP="006D6D32">
      <w:pPr>
        <w:pStyle w:val="a3"/>
        <w:rPr>
          <w:rtl/>
        </w:rPr>
      </w:pPr>
      <w:bookmarkStart w:id="5727" w:name="_Toc526504098"/>
      <w:bookmarkStart w:id="5728" w:name="_Toc526852976"/>
      <w:bookmarkStart w:id="5729" w:name="_Toc526889873"/>
      <w:bookmarkStart w:id="5730" w:name="_Toc527108342"/>
      <w:bookmarkStart w:id="5731" w:name="_Toc19389641"/>
      <w:bookmarkStart w:id="5732" w:name="_Toc19393138"/>
      <w:r>
        <w:rPr>
          <w:rFonts w:hint="cs"/>
          <w:rtl/>
        </w:rPr>
        <w:t>דברי רש"י דלדידן המפרקת אינה פוגמת יותר מעור ולא דמי לשיבר בה עצמות</w:t>
      </w:r>
      <w:bookmarkEnd w:id="5727"/>
      <w:bookmarkEnd w:id="5728"/>
      <w:bookmarkEnd w:id="5729"/>
      <w:bookmarkEnd w:id="5730"/>
      <w:bookmarkEnd w:id="5731"/>
      <w:bookmarkEnd w:id="5732"/>
    </w:p>
    <w:p w14:paraId="6D311C76" w14:textId="77777777" w:rsidR="00533768" w:rsidRPr="009B14F9" w:rsidRDefault="00533768" w:rsidP="00223668">
      <w:pPr>
        <w:pStyle w:val="a0"/>
        <w:rPr>
          <w:rtl/>
        </w:rPr>
      </w:pPr>
      <w:bookmarkStart w:id="5733" w:name="_Ref526496439"/>
      <w:r>
        <w:rPr>
          <w:rFonts w:hint="cs"/>
          <w:rtl/>
        </w:rPr>
        <w:t xml:space="preserve">וכתב </w:t>
      </w:r>
      <w:r w:rsidRPr="005576C4">
        <w:rPr>
          <w:rStyle w:val="af9"/>
          <w:rFonts w:hint="cs"/>
          <w:rtl/>
        </w:rPr>
        <w:t>רש"י</w:t>
      </w:r>
      <w:r>
        <w:rPr>
          <w:rFonts w:hint="cs"/>
          <w:rtl/>
        </w:rPr>
        <w:t xml:space="preserve"> דלדידן דבלא שיבר בה עצמות קיי"ל כרב הונא דאוסר, ולא תלינן לקולא בנגיעה במפרקת, הוא כיון שהמפרקת אינה פוגמת יותר מהעור, ולא דמי לשבירת עצמות דתלינן בהו, </w:t>
      </w:r>
      <w:r w:rsidRPr="005576C4">
        <w:rPr>
          <w:rStyle w:val="afb"/>
          <w:rFonts w:hint="cs"/>
          <w:rtl/>
        </w:rPr>
        <w:t>[כיון שפוגמים יותר מהעור]</w:t>
      </w:r>
      <w:r w:rsidRPr="005576C4">
        <w:rPr>
          <w:rFonts w:hint="cs"/>
          <w:rtl/>
        </w:rPr>
        <w:t>.</w:t>
      </w:r>
      <w:r>
        <w:rPr>
          <w:rFonts w:hint="cs"/>
          <w:rtl/>
        </w:rPr>
        <w:t xml:space="preserve"> </w:t>
      </w:r>
      <w:bookmarkStart w:id="5734" w:name="_Ref523774656"/>
      <w:r>
        <w:rPr>
          <w:rFonts w:hint="cs"/>
          <w:rtl/>
        </w:rPr>
        <w:t xml:space="preserve">והוסיף </w:t>
      </w:r>
      <w:r w:rsidRPr="009B14F9">
        <w:rPr>
          <w:rStyle w:val="af9"/>
          <w:rFonts w:hint="cs"/>
          <w:rtl/>
        </w:rPr>
        <w:t xml:space="preserve">רש"י </w:t>
      </w:r>
      <w:r w:rsidRPr="00EE2FEB">
        <w:rPr>
          <w:rStyle w:val="af7"/>
          <w:rFonts w:eastAsia="Guttman Hodes" w:hint="cs"/>
          <w:rtl/>
        </w:rPr>
        <w:t>(ד"ה מכלל)</w:t>
      </w:r>
      <w:r>
        <w:rPr>
          <w:rFonts w:hint="cs"/>
          <w:rtl/>
        </w:rPr>
        <w:t xml:space="preserve"> דמהא דאמרינן דהלכתא כרב הונא בשלא שיבר בה עצם מבואר דאף בכה"ג התיר רב חסדא, ודלא </w:t>
      </w:r>
      <w:r w:rsidRPr="009B14F9">
        <w:rPr>
          <w:rStyle w:val="af9"/>
          <w:rFonts w:hint="cs"/>
          <w:rtl/>
        </w:rPr>
        <w:t>כהרשב"א</w:t>
      </w:r>
      <w:r>
        <w:rPr>
          <w:rFonts w:hint="cs"/>
          <w:rtl/>
        </w:rPr>
        <w:t xml:space="preserve"> </w:t>
      </w:r>
      <w:r w:rsidRPr="00EE2FEB">
        <w:rPr>
          <w:rStyle w:val="af7"/>
          <w:rFonts w:eastAsia="Guttman Hodes" w:hint="cs"/>
          <w:rtl/>
        </w:rPr>
        <w:t xml:space="preserve">(עי' אות </w:t>
      </w:r>
      <w:r w:rsidRPr="00EE2FEB">
        <w:rPr>
          <w:rStyle w:val="af7"/>
          <w:rFonts w:eastAsia="Guttman Hodes"/>
          <w:rtl/>
        </w:rPr>
        <w:fldChar w:fldCharType="begin"/>
      </w:r>
      <w:r w:rsidRPr="00EE2FEB">
        <w:rPr>
          <w:rStyle w:val="af7"/>
          <w:rFonts w:eastAsia="Guttman Hodes"/>
          <w:rtl/>
        </w:rPr>
        <w:instrText xml:space="preserve"> </w:instrText>
      </w:r>
      <w:r w:rsidRPr="00EE2FEB">
        <w:rPr>
          <w:rStyle w:val="af7"/>
          <w:rFonts w:eastAsia="Guttman Hodes" w:hint="cs"/>
        </w:rPr>
        <w:instrText>REF</w:instrText>
      </w:r>
      <w:r w:rsidRPr="00EE2FEB">
        <w:rPr>
          <w:rStyle w:val="af7"/>
          <w:rFonts w:eastAsia="Guttman Hodes" w:hint="cs"/>
          <w:rtl/>
        </w:rPr>
        <w:instrText xml:space="preserve"> _</w:instrText>
      </w:r>
      <w:r w:rsidRPr="00EE2FEB">
        <w:rPr>
          <w:rStyle w:val="af7"/>
          <w:rFonts w:eastAsia="Guttman Hodes" w:hint="cs"/>
        </w:rPr>
        <w:instrText>Ref523774607 \r \h</w:instrText>
      </w:r>
      <w:r w:rsidRPr="00EE2FEB">
        <w:rPr>
          <w:rStyle w:val="af7"/>
          <w:rFonts w:eastAsia="Guttman Hodes"/>
          <w:rtl/>
        </w:rPr>
        <w:instrText xml:space="preserve"> </w:instrText>
      </w:r>
      <w:r w:rsidRPr="00EE2FEB">
        <w:rPr>
          <w:rStyle w:val="af7"/>
          <w:rFonts w:eastAsia="Guttman Hodes"/>
          <w:rtl/>
        </w:rPr>
      </w:r>
      <w:r w:rsidRPr="00EE2FEB">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EE2FEB">
        <w:rPr>
          <w:rStyle w:val="af7"/>
          <w:rFonts w:eastAsia="Guttman Hodes"/>
          <w:rtl/>
        </w:rPr>
        <w:fldChar w:fldCharType="end"/>
      </w:r>
      <w:r>
        <w:rPr>
          <w:rFonts w:hint="cs"/>
          <w:rtl/>
        </w:rPr>
        <w:t>.</w:t>
      </w:r>
      <w:bookmarkEnd w:id="5733"/>
      <w:bookmarkEnd w:id="5734"/>
    </w:p>
    <w:p w14:paraId="101DD7C7" w14:textId="77777777" w:rsidR="00533768" w:rsidRDefault="00533768" w:rsidP="00BF39B2">
      <w:pPr>
        <w:pStyle w:val="1"/>
        <w:rPr>
          <w:rtl/>
        </w:rPr>
      </w:pPr>
      <w:bookmarkStart w:id="5735" w:name="_Toc524638720"/>
      <w:bookmarkStart w:id="5736" w:name="_Toc525594380"/>
      <w:bookmarkStart w:id="5737" w:name="_Toc526249229"/>
      <w:bookmarkStart w:id="5738" w:name="_Toc526504099"/>
      <w:bookmarkStart w:id="5739" w:name="_Toc526852977"/>
      <w:bookmarkStart w:id="5740" w:name="_Toc526889874"/>
      <w:bookmarkStart w:id="5741" w:name="_Toc527108343"/>
      <w:bookmarkStart w:id="5742" w:name="_Toc19389642"/>
      <w:bookmarkStart w:id="5743" w:name="_Toc19393139"/>
      <w:r>
        <w:rPr>
          <w:rFonts w:hint="cs"/>
          <w:rtl/>
        </w:rPr>
        <w:t>ביאור הרמב"ן והרשב"א ברש"י דרב חסדא איירי בנגע במפרקת</w:t>
      </w:r>
      <w:bookmarkEnd w:id="5735"/>
      <w:bookmarkEnd w:id="5736"/>
      <w:bookmarkEnd w:id="5737"/>
      <w:bookmarkEnd w:id="5738"/>
      <w:bookmarkEnd w:id="5739"/>
      <w:bookmarkEnd w:id="5740"/>
      <w:bookmarkEnd w:id="5741"/>
      <w:bookmarkEnd w:id="5742"/>
      <w:bookmarkEnd w:id="5743"/>
    </w:p>
    <w:p w14:paraId="63EB98F9" w14:textId="77777777" w:rsidR="00533768" w:rsidRDefault="00533768" w:rsidP="006D6D32">
      <w:pPr>
        <w:pStyle w:val="a3"/>
        <w:rPr>
          <w:rtl/>
        </w:rPr>
      </w:pPr>
      <w:bookmarkStart w:id="5744" w:name="_Toc526504100"/>
      <w:bookmarkStart w:id="5745" w:name="_Toc526852978"/>
      <w:bookmarkStart w:id="5746" w:name="_Toc526889875"/>
      <w:bookmarkStart w:id="5747" w:name="_Toc527108344"/>
      <w:bookmarkStart w:id="5748" w:name="_Toc19389643"/>
      <w:bookmarkStart w:id="5749" w:name="_Toc19393140"/>
      <w:r>
        <w:rPr>
          <w:rFonts w:hint="cs"/>
          <w:rtl/>
        </w:rPr>
        <w:t>דברי הרמב"ן והרשב"א דמבואר ברש"י דאיירי דוקא כשנגע במפרקת ופוגמת יותר מעור</w:t>
      </w:r>
      <w:bookmarkEnd w:id="5744"/>
      <w:bookmarkEnd w:id="5745"/>
      <w:bookmarkEnd w:id="5746"/>
      <w:bookmarkEnd w:id="5747"/>
      <w:bookmarkEnd w:id="5748"/>
      <w:bookmarkEnd w:id="5749"/>
    </w:p>
    <w:p w14:paraId="605884B0" w14:textId="77777777" w:rsidR="00533768" w:rsidRDefault="00533768" w:rsidP="00223668">
      <w:pPr>
        <w:pStyle w:val="a0"/>
        <w:rPr>
          <w:rtl/>
        </w:rPr>
      </w:pPr>
      <w:bookmarkStart w:id="5750" w:name="_Ref526847156"/>
      <w:r>
        <w:rPr>
          <w:rFonts w:hint="cs"/>
          <w:rtl/>
        </w:rPr>
        <w:t xml:space="preserve">כתב </w:t>
      </w:r>
      <w:r w:rsidRPr="000B2C44">
        <w:rPr>
          <w:rStyle w:val="af9"/>
          <w:rFonts w:hint="cs"/>
          <w:rtl/>
        </w:rPr>
        <w:t>הרמב"ן</w:t>
      </w:r>
      <w:r>
        <w:rPr>
          <w:rFonts w:hint="cs"/>
          <w:rtl/>
        </w:rPr>
        <w:t xml:space="preserve"> </w:t>
      </w:r>
      <w:r w:rsidRPr="000B2C44">
        <w:rPr>
          <w:rStyle w:val="af7"/>
          <w:rFonts w:eastAsia="Guttman Hodes" w:hint="cs"/>
          <w:rtl/>
        </w:rPr>
        <w:t>(ד"ה אימר)</w:t>
      </w:r>
      <w:r>
        <w:rPr>
          <w:rFonts w:hint="cs"/>
          <w:rtl/>
        </w:rPr>
        <w:t xml:space="preserve"> דמבואר </w:t>
      </w:r>
      <w:r w:rsidRPr="000B2C44">
        <w:rPr>
          <w:rStyle w:val="af9"/>
          <w:rFonts w:hint="cs"/>
          <w:rtl/>
        </w:rPr>
        <w:t>ברש</w:t>
      </w:r>
      <w:r w:rsidRPr="00162E60">
        <w:rPr>
          <w:rStyle w:val="af9"/>
          <w:rFonts w:hint="cs"/>
          <w:rtl/>
        </w:rPr>
        <w:t>"י</w:t>
      </w:r>
      <w:r w:rsidRPr="00162E60">
        <w:rPr>
          <w:rFonts w:hint="cs"/>
          <w:rtl/>
        </w:rPr>
        <w:t xml:space="preserve"> </w:t>
      </w:r>
      <w:r w:rsidRPr="00162E60">
        <w:rPr>
          <w:rStyle w:val="af7"/>
          <w:rFonts w:eastAsia="Guttman Hodes" w:hint="cs"/>
          <w:rtl/>
        </w:rPr>
        <w:t xml:space="preserve">(עי' אות </w:t>
      </w:r>
      <w:r w:rsidRPr="00162E60">
        <w:rPr>
          <w:rStyle w:val="af7"/>
          <w:rFonts w:eastAsia="Guttman Hodes"/>
          <w:rtl/>
        </w:rPr>
        <w:fldChar w:fldCharType="begin"/>
      </w:r>
      <w:r w:rsidRPr="00162E60">
        <w:rPr>
          <w:rStyle w:val="af7"/>
          <w:rFonts w:eastAsia="Guttman Hodes"/>
          <w:rtl/>
        </w:rPr>
        <w:instrText xml:space="preserve"> </w:instrText>
      </w:r>
      <w:r w:rsidRPr="00162E60">
        <w:rPr>
          <w:rStyle w:val="af7"/>
          <w:rFonts w:eastAsia="Guttman Hodes" w:hint="cs"/>
        </w:rPr>
        <w:instrText>REF</w:instrText>
      </w:r>
      <w:r w:rsidRPr="00162E60">
        <w:rPr>
          <w:rStyle w:val="af7"/>
          <w:rFonts w:eastAsia="Guttman Hodes" w:hint="cs"/>
          <w:rtl/>
        </w:rPr>
        <w:instrText xml:space="preserve"> _</w:instrText>
      </w:r>
      <w:r w:rsidRPr="00162E60">
        <w:rPr>
          <w:rStyle w:val="af7"/>
          <w:rFonts w:eastAsia="Guttman Hodes" w:hint="cs"/>
        </w:rPr>
        <w:instrText>Ref526673482 \r \h</w:instrText>
      </w:r>
      <w:r w:rsidRPr="00162E60">
        <w:rPr>
          <w:rStyle w:val="af7"/>
          <w:rFonts w:eastAsia="Guttman Hodes"/>
          <w:rtl/>
        </w:rPr>
        <w:instrText xml:space="preserve"> </w:instrText>
      </w:r>
      <w:r w:rsidRPr="00162E60">
        <w:rPr>
          <w:rStyle w:val="af7"/>
          <w:rFonts w:eastAsia="Guttman Hodes"/>
          <w:rtl/>
        </w:rPr>
      </w:r>
      <w:r w:rsidRPr="00162E60">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162E60">
        <w:rPr>
          <w:rStyle w:val="af7"/>
          <w:rFonts w:eastAsia="Guttman Hodes"/>
          <w:rtl/>
        </w:rPr>
        <w:fldChar w:fldCharType="end"/>
      </w:r>
      <w:r w:rsidRPr="00162E60">
        <w:rPr>
          <w:rFonts w:hint="cs"/>
          <w:rtl/>
        </w:rPr>
        <w:t xml:space="preserve"> דלרב חסדא נגע הסכין במפרקת ולכן תלינן שנפגם בנגיעה במפרקת, ולדידן כיון שאין סברא לתלות במפרקת יותר מהעור לא תלינן. וכ"כ  </w:t>
      </w:r>
      <w:r w:rsidRPr="00162E60">
        <w:rPr>
          <w:rStyle w:val="af9"/>
          <w:rFonts w:hint="cs"/>
          <w:rtl/>
        </w:rPr>
        <w:t>הרשב"א</w:t>
      </w:r>
      <w:r w:rsidRPr="00162E60">
        <w:rPr>
          <w:rFonts w:hint="cs"/>
          <w:rtl/>
        </w:rPr>
        <w:t xml:space="preserve"> </w:t>
      </w:r>
      <w:r>
        <w:rPr>
          <w:rStyle w:val="af7"/>
          <w:rFonts w:eastAsia="Guttman Hodes" w:hint="cs"/>
          <w:rtl/>
        </w:rPr>
        <w:t>(</w:t>
      </w:r>
      <w:r w:rsidRPr="00162E60">
        <w:rPr>
          <w:rStyle w:val="af7"/>
          <w:rFonts w:eastAsia="Guttman Hodes" w:hint="cs"/>
          <w:rtl/>
        </w:rPr>
        <w:t>ד"ה והלכתא)</w:t>
      </w:r>
      <w:r w:rsidRPr="00162E60">
        <w:rPr>
          <w:rFonts w:hint="cs"/>
          <w:rtl/>
        </w:rPr>
        <w:t xml:space="preserve"> דמשמע מדברי </w:t>
      </w:r>
      <w:r w:rsidRPr="00162E60">
        <w:rPr>
          <w:rStyle w:val="af9"/>
          <w:rFonts w:hint="cs"/>
          <w:rtl/>
        </w:rPr>
        <w:t>רש"י</w:t>
      </w:r>
      <w:r w:rsidRPr="00162E60">
        <w:rPr>
          <w:rFonts w:hint="cs"/>
          <w:rtl/>
        </w:rPr>
        <w:t xml:space="preserve"> דלדעת רב</w:t>
      </w:r>
      <w:r>
        <w:rPr>
          <w:rFonts w:hint="cs"/>
          <w:rtl/>
        </w:rPr>
        <w:t xml:space="preserve"> חסדא המפרקת פוגמת כמו שבירת העצמות, ויותר מהפגם של העור</w:t>
      </w:r>
      <w:r>
        <w:rPr>
          <w:rStyle w:val="af1"/>
          <w:rtl/>
        </w:rPr>
        <w:footnoteReference w:id="29"/>
      </w:r>
      <w:r>
        <w:rPr>
          <w:rFonts w:hint="cs"/>
          <w:rtl/>
        </w:rPr>
        <w:t>.</w:t>
      </w:r>
      <w:bookmarkEnd w:id="5750"/>
    </w:p>
    <w:p w14:paraId="3EE733EC" w14:textId="77777777" w:rsidR="00533768" w:rsidRPr="006D770A" w:rsidRDefault="00533768" w:rsidP="006D6D32">
      <w:pPr>
        <w:pStyle w:val="a3"/>
      </w:pPr>
      <w:bookmarkStart w:id="5751" w:name="_Toc526504101"/>
      <w:bookmarkStart w:id="5752" w:name="_Toc526852979"/>
      <w:bookmarkStart w:id="5753" w:name="_Toc526889876"/>
      <w:bookmarkStart w:id="5754" w:name="_Toc527108345"/>
      <w:bookmarkStart w:id="5755" w:name="_Toc19389644"/>
      <w:bookmarkStart w:id="5756" w:name="_Toc19393141"/>
      <w:r>
        <w:rPr>
          <w:rFonts w:hint="cs"/>
          <w:rtl/>
        </w:rPr>
        <w:t>ביאור הרשב"א ברש"י דכל שלא ידוע שנגע במפרקת מודה רב חסדא לרב הונא</w:t>
      </w:r>
      <w:bookmarkEnd w:id="5751"/>
      <w:r>
        <w:rPr>
          <w:rFonts w:hint="cs"/>
          <w:rtl/>
        </w:rPr>
        <w:t xml:space="preserve"> דאסור</w:t>
      </w:r>
      <w:bookmarkEnd w:id="5752"/>
      <w:bookmarkEnd w:id="5753"/>
      <w:bookmarkEnd w:id="5754"/>
      <w:bookmarkEnd w:id="5755"/>
      <w:bookmarkEnd w:id="5756"/>
    </w:p>
    <w:p w14:paraId="46BFB25C" w14:textId="77777777" w:rsidR="00533768" w:rsidRPr="00B10F30" w:rsidRDefault="00533768" w:rsidP="00223668">
      <w:pPr>
        <w:pStyle w:val="a0"/>
        <w:rPr>
          <w:rtl/>
        </w:rPr>
      </w:pPr>
      <w:r>
        <w:rPr>
          <w:rFonts w:hint="cs"/>
          <w:rtl/>
        </w:rPr>
        <w:t xml:space="preserve">וכתב </w:t>
      </w:r>
      <w:r w:rsidRPr="009E75AA">
        <w:rPr>
          <w:rStyle w:val="af9"/>
          <w:rFonts w:hint="cs"/>
          <w:rtl/>
        </w:rPr>
        <w:t>הרשב"א</w:t>
      </w:r>
      <w:r>
        <w:rPr>
          <w:rFonts w:hint="cs"/>
          <w:rtl/>
        </w:rPr>
        <w:t xml:space="preserve"> דביאר </w:t>
      </w:r>
      <w:r w:rsidRPr="009E75AA">
        <w:rPr>
          <w:rStyle w:val="af9"/>
          <w:rFonts w:hint="cs"/>
          <w:rtl/>
        </w:rPr>
        <w:t>רש"י</w:t>
      </w:r>
      <w:r>
        <w:rPr>
          <w:rFonts w:hint="cs"/>
          <w:rtl/>
        </w:rPr>
        <w:t xml:space="preserve"> את דברי רב חסדא "דאימר בעצם מפרקת איפגים", דאיירי שנגע בודאי במפרקת, ולכן תלינן דבנפגם בנגיעת המפרקת, אבל אי לא ידעינן שנגע </w:t>
      </w:r>
      <w:r w:rsidRPr="00B10F30">
        <w:rPr>
          <w:rFonts w:hint="cs"/>
          <w:rtl/>
        </w:rPr>
        <w:t>במפרקת, מודה רב חסדא לרב הונא דהשחיטה פסולה, דאין במה לתלות.</w:t>
      </w:r>
    </w:p>
    <w:p w14:paraId="432A5428" w14:textId="77777777" w:rsidR="00533768" w:rsidRPr="00B10F30" w:rsidRDefault="00533768" w:rsidP="006D6D32">
      <w:pPr>
        <w:pStyle w:val="a3"/>
        <w:rPr>
          <w:rtl/>
        </w:rPr>
      </w:pPr>
      <w:bookmarkStart w:id="5757" w:name="_Toc526504102"/>
      <w:bookmarkStart w:id="5758" w:name="_Toc526852980"/>
      <w:bookmarkStart w:id="5759" w:name="_Toc526889877"/>
      <w:bookmarkStart w:id="5760" w:name="_Toc527108346"/>
      <w:bookmarkStart w:id="5761" w:name="_Toc19389645"/>
      <w:bookmarkStart w:id="5762" w:name="_Toc19393142"/>
      <w:r w:rsidRPr="00B10F30">
        <w:rPr>
          <w:rFonts w:hint="cs"/>
          <w:rtl/>
        </w:rPr>
        <w:t>ביאור הראש יוסף דמדוייק כן בדברי רש"י דרק לדידן נגיעה במפרקת אינה פוגמת</w:t>
      </w:r>
      <w:bookmarkEnd w:id="5757"/>
      <w:bookmarkEnd w:id="5758"/>
      <w:bookmarkEnd w:id="5759"/>
      <w:bookmarkEnd w:id="5760"/>
      <w:bookmarkEnd w:id="5761"/>
      <w:bookmarkEnd w:id="5762"/>
    </w:p>
    <w:p w14:paraId="49EB491D" w14:textId="77777777" w:rsidR="00533768" w:rsidRPr="00B10F30" w:rsidRDefault="00533768" w:rsidP="00223668">
      <w:pPr>
        <w:pStyle w:val="a0"/>
        <w:rPr>
          <w:rtl/>
        </w:rPr>
      </w:pPr>
      <w:r w:rsidRPr="00B10F30">
        <w:rPr>
          <w:rFonts w:hint="cs"/>
          <w:rtl/>
        </w:rPr>
        <w:t xml:space="preserve">וביאר </w:t>
      </w:r>
      <w:r w:rsidRPr="00B10F30">
        <w:rPr>
          <w:rStyle w:val="af9"/>
          <w:rFonts w:hint="cs"/>
          <w:rtl/>
        </w:rPr>
        <w:t xml:space="preserve">הראש יוסף </w:t>
      </w:r>
      <w:r w:rsidRPr="00B10F30">
        <w:rPr>
          <w:rStyle w:val="af7"/>
          <w:rFonts w:eastAsia="Guttman Hodes" w:hint="cs"/>
          <w:rtl/>
        </w:rPr>
        <w:t>(ד"ה בעצם)</w:t>
      </w:r>
      <w:r w:rsidRPr="00B10F30">
        <w:rPr>
          <w:rStyle w:val="af9"/>
          <w:rFonts w:hint="cs"/>
          <w:rtl/>
        </w:rPr>
        <w:t xml:space="preserve"> דהרשב"א</w:t>
      </w:r>
      <w:r w:rsidRPr="00B10F30">
        <w:rPr>
          <w:rFonts w:hint="cs"/>
          <w:rtl/>
        </w:rPr>
        <w:t xml:space="preserve"> דייק כן מלשון </w:t>
      </w:r>
      <w:r w:rsidRPr="00B10F30">
        <w:rPr>
          <w:rStyle w:val="af9"/>
          <w:rFonts w:hint="cs"/>
          <w:rtl/>
        </w:rPr>
        <w:t>רש"י</w:t>
      </w:r>
      <w:r w:rsidRPr="00B10F30">
        <w:rPr>
          <w:rFonts w:hint="cs"/>
          <w:rtl/>
        </w:rPr>
        <w:t xml:space="preserve"> דכתב דהגיעה במפרקת אינה פוגמת, ומשמע דרב חסדא איירי דוקא בנגע במפרקת, אבל בספק נגע לא התיר רב חסדא.</w:t>
      </w:r>
    </w:p>
    <w:p w14:paraId="6260BB6B" w14:textId="77777777" w:rsidR="00533768" w:rsidRDefault="00533768" w:rsidP="00BF39B2">
      <w:pPr>
        <w:pStyle w:val="1"/>
        <w:rPr>
          <w:rtl/>
        </w:rPr>
      </w:pPr>
      <w:bookmarkStart w:id="5763" w:name="_Toc523490362"/>
      <w:bookmarkStart w:id="5764" w:name="_Toc523697985"/>
      <w:bookmarkStart w:id="5765" w:name="_Toc523760848"/>
      <w:bookmarkStart w:id="5766" w:name="_Toc524638721"/>
      <w:bookmarkStart w:id="5767" w:name="_Toc525594381"/>
      <w:bookmarkStart w:id="5768" w:name="_Toc526249230"/>
      <w:bookmarkStart w:id="5769" w:name="_Toc526504103"/>
      <w:bookmarkStart w:id="5770" w:name="_Toc526852981"/>
      <w:bookmarkStart w:id="5771" w:name="_Toc526889878"/>
      <w:bookmarkStart w:id="5772" w:name="_Toc527108347"/>
      <w:bookmarkStart w:id="5773" w:name="_Toc19389646"/>
      <w:bookmarkStart w:id="5774" w:name="_Toc19393143"/>
      <w:r w:rsidRPr="00B10F30">
        <w:rPr>
          <w:rFonts w:hint="cs"/>
          <w:rtl/>
        </w:rPr>
        <w:t>קושיות הרמב"ן והרשב"א על רש"י</w:t>
      </w:r>
      <w:bookmarkEnd w:id="5763"/>
      <w:bookmarkEnd w:id="5764"/>
      <w:bookmarkEnd w:id="5765"/>
      <w:bookmarkEnd w:id="5766"/>
      <w:bookmarkEnd w:id="5767"/>
      <w:bookmarkEnd w:id="5768"/>
      <w:bookmarkEnd w:id="5769"/>
      <w:bookmarkEnd w:id="5770"/>
      <w:bookmarkEnd w:id="5771"/>
      <w:bookmarkEnd w:id="5772"/>
      <w:bookmarkEnd w:id="5773"/>
      <w:bookmarkEnd w:id="5774"/>
    </w:p>
    <w:p w14:paraId="3402E890" w14:textId="77777777" w:rsidR="00533768" w:rsidRDefault="00533768" w:rsidP="006D6D32">
      <w:pPr>
        <w:pStyle w:val="a3"/>
      </w:pPr>
      <w:bookmarkStart w:id="5775" w:name="_Toc526852982"/>
      <w:bookmarkStart w:id="5776" w:name="_Toc526889879"/>
      <w:bookmarkStart w:id="5777" w:name="_Toc527108348"/>
      <w:bookmarkStart w:id="5778" w:name="_Toc19389647"/>
      <w:bookmarkStart w:id="5779" w:name="_Toc19393144"/>
      <w:r>
        <w:rPr>
          <w:rFonts w:hint="cs"/>
          <w:rtl/>
        </w:rPr>
        <w:t>קושית הרמב"ן והרשב"א דמהא דאפשר לתלות במפרקת של האחרונה מוכח דלא איירי בנגע</w:t>
      </w:r>
      <w:bookmarkEnd w:id="5775"/>
      <w:bookmarkEnd w:id="5776"/>
      <w:bookmarkEnd w:id="5777"/>
      <w:bookmarkEnd w:id="5778"/>
      <w:bookmarkEnd w:id="5779"/>
    </w:p>
    <w:p w14:paraId="6EA0BD58" w14:textId="77777777" w:rsidR="00533768" w:rsidRDefault="00533768" w:rsidP="00223668">
      <w:pPr>
        <w:pStyle w:val="a0"/>
        <w:rPr>
          <w:rtl/>
        </w:rPr>
      </w:pPr>
      <w:r>
        <w:rPr>
          <w:rFonts w:hint="cs"/>
          <w:rtl/>
        </w:rPr>
        <w:t xml:space="preserve">והקשה </w:t>
      </w:r>
      <w:r w:rsidRPr="000D00A2">
        <w:rPr>
          <w:rStyle w:val="af9"/>
          <w:rFonts w:hint="cs"/>
          <w:rtl/>
        </w:rPr>
        <w:t xml:space="preserve">הרמב"ן </w:t>
      </w:r>
      <w:r w:rsidRPr="000D00A2">
        <w:rPr>
          <w:rFonts w:hint="cs"/>
          <w:rtl/>
        </w:rPr>
        <w:t xml:space="preserve">על </w:t>
      </w:r>
      <w:r w:rsidRPr="000D00A2">
        <w:rPr>
          <w:rStyle w:val="af9"/>
          <w:rFonts w:hint="cs"/>
          <w:rtl/>
        </w:rPr>
        <w:t xml:space="preserve">רש"י </w:t>
      </w:r>
      <w:r w:rsidRPr="000D00A2">
        <w:rPr>
          <w:rFonts w:hint="cs"/>
          <w:rtl/>
        </w:rPr>
        <w:t xml:space="preserve">דא"כ לא מבוארת קושית הגמ' דאפשר לתלות במפרקת של הבהמה האחרונה, דהרי שם אין כל סברא לתלות באחרונה יותר מבראשונה. וכעי"ז הקשה </w:t>
      </w:r>
      <w:r w:rsidRPr="000D00A2">
        <w:rPr>
          <w:rStyle w:val="af9"/>
          <w:rFonts w:hint="cs"/>
          <w:rtl/>
        </w:rPr>
        <w:t>הרשב"א</w:t>
      </w:r>
      <w:r>
        <w:rPr>
          <w:rStyle w:val="af9"/>
          <w:rFonts w:hint="cs"/>
          <w:rtl/>
        </w:rPr>
        <w:t xml:space="preserve"> </w:t>
      </w:r>
      <w:r>
        <w:rPr>
          <w:rStyle w:val="af7"/>
          <w:rFonts w:eastAsia="Guttman Hodes" w:hint="cs"/>
          <w:rtl/>
        </w:rPr>
        <w:t>(</w:t>
      </w:r>
      <w:r w:rsidRPr="00162E60">
        <w:rPr>
          <w:rStyle w:val="af7"/>
          <w:rFonts w:eastAsia="Guttman Hodes" w:hint="cs"/>
          <w:rtl/>
        </w:rPr>
        <w:t>ד"ה והלכתא)</w:t>
      </w:r>
      <w:r w:rsidRPr="00162E60">
        <w:rPr>
          <w:rFonts w:hint="cs"/>
          <w:rtl/>
        </w:rPr>
        <w:t xml:space="preserve"> </w:t>
      </w:r>
      <w:r w:rsidRPr="000D00A2">
        <w:rPr>
          <w:rFonts w:hint="cs"/>
          <w:rtl/>
        </w:rPr>
        <w:t>דמהא דמקשה הגמ' דלרב חסדא אי תלינן במפרקת, אמאי תלינן במפרקת של הבהמה הראשונה ולא במפרקת של הבהמה האחרונה, ואי לדעת רב חסדא איירי דיודע שנגע</w:t>
      </w:r>
      <w:r>
        <w:rPr>
          <w:rFonts w:hint="cs"/>
          <w:rtl/>
        </w:rPr>
        <w:t xml:space="preserve"> במפרקת, א"כ לא התיר רב חסדא מחמת דתולה במפרקת, אלא דס"ל דהמפרקת פוגמת כמו בשיבר בה עצמות.</w:t>
      </w:r>
    </w:p>
    <w:p w14:paraId="278CBB6D" w14:textId="77777777" w:rsidR="00533768" w:rsidRDefault="00533768" w:rsidP="006D6D32">
      <w:pPr>
        <w:pStyle w:val="a3"/>
        <w:rPr>
          <w:rtl/>
        </w:rPr>
      </w:pPr>
      <w:bookmarkStart w:id="5780" w:name="_Toc526852983"/>
      <w:bookmarkStart w:id="5781" w:name="_Toc526889880"/>
      <w:bookmarkStart w:id="5782" w:name="_Toc527108349"/>
      <w:bookmarkStart w:id="5783" w:name="_Toc19389648"/>
      <w:bookmarkStart w:id="5784" w:name="_Toc19393145"/>
      <w:r>
        <w:rPr>
          <w:rFonts w:hint="cs"/>
          <w:rtl/>
        </w:rPr>
        <w:t>קושית הרשב"א דאי להו"א מתיר רב חסדא בלא נגע היה לגמ' לפרש כן במסקנא</w:t>
      </w:r>
      <w:bookmarkEnd w:id="5780"/>
      <w:bookmarkEnd w:id="5781"/>
      <w:bookmarkEnd w:id="5782"/>
      <w:bookmarkEnd w:id="5783"/>
      <w:bookmarkEnd w:id="5784"/>
    </w:p>
    <w:p w14:paraId="5CFF1226" w14:textId="77777777" w:rsidR="00533768" w:rsidRDefault="00533768" w:rsidP="00223668">
      <w:pPr>
        <w:pStyle w:val="a0"/>
        <w:rPr>
          <w:rtl/>
        </w:rPr>
      </w:pPr>
      <w:r>
        <w:rPr>
          <w:rFonts w:hint="cs"/>
          <w:rtl/>
        </w:rPr>
        <w:t xml:space="preserve">ועוד הקשה </w:t>
      </w:r>
      <w:r w:rsidRPr="007079F1">
        <w:rPr>
          <w:rStyle w:val="af9"/>
          <w:rFonts w:hint="cs"/>
          <w:rtl/>
        </w:rPr>
        <w:t>הרשב"א</w:t>
      </w:r>
      <w:r>
        <w:rPr>
          <w:rFonts w:hint="cs"/>
          <w:rtl/>
        </w:rPr>
        <w:t xml:space="preserve"> דבקושית הגמ' דאלא במאי איפגים, משמע דהתיר רב חסדא אף בלא שיבר בה עצמות, ולא נגע במפרקת, ואי תירצה הגמ' דנגע במפרקת ונפגם בה, היה לגמ' לומר כן בפירוש דהכא במאי עסקינן דנגע במפרקת, כיון שבהו"א סבירא לן דהתיר רב חסדא אף כשלא נגע במפרקת כלל. </w:t>
      </w:r>
    </w:p>
    <w:p w14:paraId="40681592" w14:textId="77777777" w:rsidR="00533768" w:rsidRDefault="00533768" w:rsidP="006D6D32">
      <w:pPr>
        <w:pStyle w:val="a3"/>
        <w:rPr>
          <w:rtl/>
        </w:rPr>
      </w:pPr>
      <w:bookmarkStart w:id="5785" w:name="_Toc526852984"/>
      <w:bookmarkStart w:id="5786" w:name="_Toc526889881"/>
      <w:bookmarkStart w:id="5787" w:name="_Toc527108350"/>
      <w:bookmarkStart w:id="5788" w:name="_Toc19389649"/>
      <w:bookmarkStart w:id="5789" w:name="_Toc19393146"/>
      <w:r>
        <w:rPr>
          <w:rFonts w:hint="cs"/>
          <w:rtl/>
        </w:rPr>
        <w:t>קושית הרשב"א דהיה לגמ' להקשות בנמצא עליו דבר החוצץ דלא תלינן אף כשיש תליה לפנינו</w:t>
      </w:r>
      <w:bookmarkEnd w:id="5785"/>
      <w:bookmarkEnd w:id="5786"/>
      <w:bookmarkEnd w:id="5787"/>
      <w:bookmarkEnd w:id="5788"/>
      <w:bookmarkEnd w:id="5789"/>
    </w:p>
    <w:p w14:paraId="74104CBD" w14:textId="77777777" w:rsidR="00533768" w:rsidRPr="00654430" w:rsidRDefault="00533768" w:rsidP="00223668">
      <w:pPr>
        <w:pStyle w:val="a0"/>
        <w:rPr>
          <w:rtl/>
        </w:rPr>
      </w:pPr>
      <w:r>
        <w:rPr>
          <w:rFonts w:hint="cs"/>
          <w:rtl/>
        </w:rPr>
        <w:t xml:space="preserve">ועוד הקשה </w:t>
      </w:r>
      <w:r w:rsidRPr="007079F1">
        <w:rPr>
          <w:rStyle w:val="af9"/>
          <w:rFonts w:hint="cs"/>
          <w:rtl/>
        </w:rPr>
        <w:t>הרשב"א</w:t>
      </w:r>
      <w:r>
        <w:rPr>
          <w:rFonts w:hint="cs"/>
          <w:rtl/>
        </w:rPr>
        <w:t xml:space="preserve"> דבקושית הגמ' מנמצא עליו דבר החוצץ היה לגמ' להזכיר בקושיה דלא עלתה לו טבילה, אף שיש לו במה לתלות כשנתעסק באותו המין אחר השחיטה, דהוא כמו בסכין בנגע במפרקת, ואפ"ה אמרינן דהספק חציצה מוציא מודאי טבילה. וכתב </w:t>
      </w:r>
      <w:r w:rsidRPr="007079F1">
        <w:rPr>
          <w:rStyle w:val="af9"/>
          <w:rFonts w:hint="cs"/>
          <w:rtl/>
        </w:rPr>
        <w:t>הרשב"א</w:t>
      </w:r>
      <w:r>
        <w:rPr>
          <w:rFonts w:hint="cs"/>
          <w:rtl/>
        </w:rPr>
        <w:t xml:space="preserve"> דמוכח דרב אבא שהקשה מנמצא עליו דבר החוצץ, שמע מרב חסדא דהתיר אף בלא שיבר </w:t>
      </w:r>
      <w:r w:rsidRPr="007079F1">
        <w:rPr>
          <w:rStyle w:val="afb"/>
          <w:rFonts w:hint="cs"/>
          <w:rtl/>
        </w:rPr>
        <w:t>[את המפרקת]</w:t>
      </w:r>
      <w:r>
        <w:rPr>
          <w:rFonts w:hint="cs"/>
          <w:rtl/>
        </w:rPr>
        <w:t xml:space="preserve">, דס"ל לרב חסדא דתלינן שמא נגע </w:t>
      </w:r>
      <w:r w:rsidRPr="00C21492">
        <w:rPr>
          <w:rFonts w:hint="cs"/>
          <w:rtl/>
        </w:rPr>
        <w:t xml:space="preserve">במפרקת ופגמה את הסכין, ולכן הקשה רק מהא דספק חציצה מוציא מודאי טבילה. ועי' </w:t>
      </w:r>
      <w:r w:rsidRPr="00C21492">
        <w:rPr>
          <w:rStyle w:val="af9"/>
          <w:rFonts w:hint="cs"/>
          <w:rtl/>
        </w:rPr>
        <w:t>בשיטמ"ק</w:t>
      </w:r>
      <w:r w:rsidRPr="00C21492">
        <w:rPr>
          <w:rFonts w:hint="cs"/>
          <w:rtl/>
        </w:rPr>
        <w:t xml:space="preserve"> </w:t>
      </w:r>
      <w:r w:rsidRPr="00C21492">
        <w:rPr>
          <w:rStyle w:val="af7"/>
          <w:rFonts w:eastAsia="Guttman Hodes" w:hint="cs"/>
          <w:rtl/>
        </w:rPr>
        <w:t>(ד"ה ולי דברי)</w:t>
      </w:r>
      <w:r w:rsidRPr="00C21492">
        <w:rPr>
          <w:rFonts w:hint="cs"/>
          <w:rtl/>
        </w:rPr>
        <w:t xml:space="preserve"> במה שישב את דעת </w:t>
      </w:r>
      <w:r w:rsidRPr="00C21492">
        <w:rPr>
          <w:rStyle w:val="af9"/>
          <w:rFonts w:hint="cs"/>
          <w:rtl/>
        </w:rPr>
        <w:t>רש"י</w:t>
      </w:r>
      <w:r w:rsidRPr="00C21492">
        <w:rPr>
          <w:rFonts w:hint="cs"/>
          <w:rtl/>
        </w:rPr>
        <w:t>.</w:t>
      </w:r>
    </w:p>
    <w:p w14:paraId="305CF289" w14:textId="77777777" w:rsidR="00533768" w:rsidRDefault="00533768" w:rsidP="00BF39B2">
      <w:pPr>
        <w:pStyle w:val="1"/>
        <w:rPr>
          <w:rtl/>
        </w:rPr>
      </w:pPr>
      <w:bookmarkStart w:id="5790" w:name="_Toc526249231"/>
      <w:bookmarkStart w:id="5791" w:name="_Toc526504104"/>
      <w:bookmarkStart w:id="5792" w:name="_Toc526852985"/>
      <w:bookmarkStart w:id="5793" w:name="_Toc526889882"/>
      <w:bookmarkStart w:id="5794" w:name="_Toc527108351"/>
      <w:bookmarkStart w:id="5795" w:name="_Toc19389650"/>
      <w:bookmarkStart w:id="5796" w:name="_Toc19393147"/>
      <w:r>
        <w:rPr>
          <w:rFonts w:hint="cs"/>
          <w:rtl/>
        </w:rPr>
        <w:t>דעת הרמב"ן</w:t>
      </w:r>
      <w:bookmarkEnd w:id="5790"/>
      <w:r w:rsidRPr="0063634E">
        <w:rPr>
          <w:rFonts w:hint="cs"/>
          <w:rtl/>
        </w:rPr>
        <w:t xml:space="preserve"> </w:t>
      </w:r>
      <w:r>
        <w:rPr>
          <w:rFonts w:hint="cs"/>
          <w:rtl/>
        </w:rPr>
        <w:t>והרשב"א והרא"ה דאיירי בספק נגע במפרקת</w:t>
      </w:r>
      <w:bookmarkEnd w:id="5791"/>
      <w:bookmarkEnd w:id="5792"/>
      <w:bookmarkEnd w:id="5793"/>
      <w:bookmarkEnd w:id="5794"/>
      <w:bookmarkEnd w:id="5795"/>
      <w:bookmarkEnd w:id="5796"/>
    </w:p>
    <w:p w14:paraId="78D13F9E" w14:textId="77777777" w:rsidR="00533768" w:rsidRPr="00480FAC" w:rsidRDefault="00533768" w:rsidP="006D6D32">
      <w:pPr>
        <w:pStyle w:val="a3"/>
        <w:rPr>
          <w:rtl/>
        </w:rPr>
      </w:pPr>
      <w:bookmarkStart w:id="5797" w:name="_Toc526852986"/>
      <w:bookmarkStart w:id="5798" w:name="_Toc526889883"/>
      <w:bookmarkStart w:id="5799" w:name="_Toc527108352"/>
      <w:bookmarkStart w:id="5800" w:name="_Toc19389651"/>
      <w:bookmarkStart w:id="5801" w:name="_Toc19393148"/>
      <w:r>
        <w:rPr>
          <w:rFonts w:hint="cs"/>
          <w:rtl/>
        </w:rPr>
        <w:t>דברי הרמב"ן הרשב"א והרא"ה דרב חסדא התיר אף בספק נגע במפרקת</w:t>
      </w:r>
      <w:bookmarkEnd w:id="5797"/>
      <w:bookmarkEnd w:id="5798"/>
      <w:bookmarkEnd w:id="5799"/>
      <w:bookmarkEnd w:id="5800"/>
      <w:bookmarkEnd w:id="5801"/>
    </w:p>
    <w:p w14:paraId="0E82860A" w14:textId="77777777" w:rsidR="00533768" w:rsidRDefault="00533768" w:rsidP="00223668">
      <w:pPr>
        <w:pStyle w:val="a0"/>
        <w:rPr>
          <w:rtl/>
        </w:rPr>
      </w:pPr>
      <w:r>
        <w:rPr>
          <w:rFonts w:hint="cs"/>
          <w:rtl/>
        </w:rPr>
        <w:t xml:space="preserve">אלא כתבו </w:t>
      </w:r>
      <w:r w:rsidRPr="000B2C44">
        <w:rPr>
          <w:rStyle w:val="af9"/>
          <w:rFonts w:hint="cs"/>
          <w:rtl/>
        </w:rPr>
        <w:t>הרמב"ן</w:t>
      </w:r>
      <w:r>
        <w:rPr>
          <w:rFonts w:hint="cs"/>
          <w:rtl/>
        </w:rPr>
        <w:t xml:space="preserve"> </w:t>
      </w:r>
      <w:r w:rsidRPr="000B2C44">
        <w:rPr>
          <w:rStyle w:val="af7"/>
          <w:rFonts w:eastAsia="Guttman Hodes" w:hint="cs"/>
          <w:rtl/>
        </w:rPr>
        <w:t>(ד"ה אימר)</w:t>
      </w:r>
      <w:r>
        <w:rPr>
          <w:rFonts w:hint="cs"/>
          <w:rtl/>
        </w:rPr>
        <w:t xml:space="preserve"> בשם </w:t>
      </w:r>
      <w:r w:rsidRPr="000B2C44">
        <w:rPr>
          <w:rStyle w:val="af9"/>
          <w:rFonts w:hint="cs"/>
          <w:rtl/>
        </w:rPr>
        <w:t xml:space="preserve">י"מ </w:t>
      </w:r>
      <w:r>
        <w:rPr>
          <w:rStyle w:val="af9"/>
          <w:rFonts w:hint="cs"/>
          <w:rtl/>
        </w:rPr>
        <w:t>ו</w:t>
      </w:r>
      <w:r w:rsidRPr="007079F1">
        <w:rPr>
          <w:rStyle w:val="af9"/>
          <w:rFonts w:hint="cs"/>
          <w:rtl/>
        </w:rPr>
        <w:t xml:space="preserve">הרשב"א </w:t>
      </w:r>
      <w:r>
        <w:rPr>
          <w:rStyle w:val="af7"/>
          <w:rFonts w:eastAsia="Guttman Hodes" w:hint="cs"/>
          <w:rtl/>
        </w:rPr>
        <w:t>(</w:t>
      </w:r>
      <w:r w:rsidRPr="00162E60">
        <w:rPr>
          <w:rStyle w:val="af7"/>
          <w:rFonts w:eastAsia="Guttman Hodes" w:hint="cs"/>
          <w:rtl/>
        </w:rPr>
        <w:t>ד"ה והלכתא)</w:t>
      </w:r>
      <w:r w:rsidRPr="00162E60">
        <w:rPr>
          <w:rFonts w:hint="cs"/>
          <w:rtl/>
        </w:rPr>
        <w:t xml:space="preserve"> </w:t>
      </w:r>
      <w:r>
        <w:rPr>
          <w:rStyle w:val="af9"/>
          <w:rFonts w:hint="cs"/>
          <w:rtl/>
        </w:rPr>
        <w:t>ו</w:t>
      </w:r>
      <w:r w:rsidRPr="0063536D">
        <w:rPr>
          <w:rStyle w:val="af9"/>
          <w:rFonts w:hint="cs"/>
          <w:rtl/>
        </w:rPr>
        <w:t>הרא"ה בחי'</w:t>
      </w:r>
      <w:r>
        <w:rPr>
          <w:rFonts w:hint="cs"/>
          <w:rtl/>
        </w:rPr>
        <w:t xml:space="preserve"> </w:t>
      </w:r>
      <w:r w:rsidRPr="0063536D">
        <w:rPr>
          <w:rStyle w:val="af7"/>
          <w:rFonts w:eastAsia="Guttman Hodes" w:hint="cs"/>
          <w:rtl/>
        </w:rPr>
        <w:t xml:space="preserve">(ד"ה איתמר) </w:t>
      </w:r>
      <w:r w:rsidRPr="0095786D">
        <w:rPr>
          <w:rStyle w:val="af9"/>
          <w:rFonts w:hint="cs"/>
          <w:rtl/>
        </w:rPr>
        <w:t>ובבד"ה</w:t>
      </w:r>
      <w:r>
        <w:rPr>
          <w:rFonts w:hint="cs"/>
          <w:rtl/>
        </w:rPr>
        <w:t xml:space="preserve"> </w:t>
      </w:r>
      <w:r w:rsidRPr="0095786D">
        <w:rPr>
          <w:rStyle w:val="af7"/>
          <w:rFonts w:eastAsia="Guttman Hodes" w:hint="cs"/>
          <w:rtl/>
        </w:rPr>
        <w:t>(ב"א ש"ב דף טז. מדה"ס)</w:t>
      </w:r>
      <w:r>
        <w:rPr>
          <w:rFonts w:hint="cs"/>
          <w:rtl/>
        </w:rPr>
        <w:t xml:space="preserve"> דמבואר דהתיר רב חסדא אף כשלא ידעינן שנגע במפרקת, וכוונת רב חסדא לומר דתלינן שמא נגע במפרקת, ואמרינן שמא בנגיעת המפרקת נפגם הסכין,</w:t>
      </w:r>
      <w:r w:rsidRPr="00CB39AA">
        <w:rPr>
          <w:rFonts w:hint="cs"/>
          <w:rtl/>
        </w:rPr>
        <w:t xml:space="preserve"> </w:t>
      </w:r>
      <w:r>
        <w:rPr>
          <w:rFonts w:hint="cs"/>
          <w:rtl/>
        </w:rPr>
        <w:t xml:space="preserve">[וכתב </w:t>
      </w:r>
      <w:r w:rsidRPr="0063536D">
        <w:rPr>
          <w:rStyle w:val="af9"/>
          <w:rFonts w:hint="cs"/>
          <w:rtl/>
        </w:rPr>
        <w:t>הרא"ה</w:t>
      </w:r>
      <w:r>
        <w:rPr>
          <w:rFonts w:hint="cs"/>
          <w:rtl/>
        </w:rPr>
        <w:t xml:space="preserve"> דלשון רב חסדא "אימור" במפרקת נפגמה אינו לשון ודאי.</w:t>
      </w:r>
    </w:p>
    <w:p w14:paraId="405CE801" w14:textId="77777777" w:rsidR="00533768" w:rsidRDefault="00533768" w:rsidP="006D6D32">
      <w:pPr>
        <w:pStyle w:val="a3"/>
        <w:rPr>
          <w:rtl/>
        </w:rPr>
      </w:pPr>
      <w:bookmarkStart w:id="5802" w:name="_Toc526852987"/>
      <w:bookmarkStart w:id="5803" w:name="_Toc526889884"/>
      <w:bookmarkStart w:id="5804" w:name="_Toc527108353"/>
      <w:bookmarkStart w:id="5805" w:name="_Toc19389652"/>
      <w:bookmarkStart w:id="5806" w:name="_Toc19393149"/>
      <w:r>
        <w:rPr>
          <w:rFonts w:hint="cs"/>
          <w:rtl/>
        </w:rPr>
        <w:t>דברי הרשב"א דרב חסדא הקיל ב' קולות לתלות שנגע במפרקת ולתלות שנפגם בה</w:t>
      </w:r>
      <w:bookmarkEnd w:id="5802"/>
      <w:bookmarkEnd w:id="5803"/>
      <w:bookmarkEnd w:id="5804"/>
      <w:bookmarkEnd w:id="5805"/>
      <w:bookmarkEnd w:id="5806"/>
    </w:p>
    <w:p w14:paraId="473D34F2" w14:textId="77777777" w:rsidR="00533768" w:rsidRDefault="00533768" w:rsidP="00223668">
      <w:pPr>
        <w:pStyle w:val="a0"/>
        <w:rPr>
          <w:rtl/>
        </w:rPr>
      </w:pPr>
      <w:r>
        <w:rPr>
          <w:rFonts w:hint="cs"/>
          <w:rtl/>
        </w:rPr>
        <w:t xml:space="preserve">וכתב </w:t>
      </w:r>
      <w:r w:rsidRPr="004B6652">
        <w:rPr>
          <w:rStyle w:val="af9"/>
          <w:rFonts w:hint="cs"/>
          <w:rtl/>
        </w:rPr>
        <w:t>הרשב"א</w:t>
      </w:r>
      <w:r>
        <w:rPr>
          <w:rFonts w:hint="cs"/>
          <w:rtl/>
        </w:rPr>
        <w:t xml:space="preserve"> </w:t>
      </w:r>
      <w:r w:rsidRPr="004B6652">
        <w:rPr>
          <w:rStyle w:val="af7"/>
          <w:rFonts w:eastAsia="Guttman Hodes" w:hint="cs"/>
          <w:rtl/>
        </w:rPr>
        <w:t>(ד"ה ומיהו)</w:t>
      </w:r>
      <w:r>
        <w:rPr>
          <w:rFonts w:hint="cs"/>
          <w:rtl/>
        </w:rPr>
        <w:t xml:space="preserve"> דרב חסדא חידש ב' סברות להקל, הא' שהמפרקת פוגמת יותר מהעור, ובספק אם נפגם במפרקת או בעור, תלינן במפרקת, והב' דתלינן שמא נגע בעצם המפרקת והיא פגמה את הסכין.</w:t>
      </w:r>
    </w:p>
    <w:p w14:paraId="122505CD" w14:textId="77777777" w:rsidR="00533768" w:rsidRPr="009F666B" w:rsidRDefault="00533768" w:rsidP="006D6D32">
      <w:pPr>
        <w:pStyle w:val="a3"/>
      </w:pPr>
      <w:bookmarkStart w:id="5807" w:name="_Toc526852988"/>
      <w:bookmarkStart w:id="5808" w:name="_Toc526889885"/>
      <w:bookmarkStart w:id="5809" w:name="_Toc527108354"/>
      <w:bookmarkStart w:id="5810" w:name="_Toc19389653"/>
      <w:bookmarkStart w:id="5811" w:name="_Toc19393150"/>
      <w:r>
        <w:rPr>
          <w:rFonts w:hint="cs"/>
          <w:rtl/>
        </w:rPr>
        <w:t>דברי הרשב"א דלא קיי"ל כב' הקולות דרב חסדא ולא תלינן אף בידוע שנגע במפרקת</w:t>
      </w:r>
      <w:bookmarkEnd w:id="5807"/>
      <w:bookmarkEnd w:id="5808"/>
      <w:bookmarkEnd w:id="5809"/>
      <w:bookmarkEnd w:id="5810"/>
      <w:bookmarkEnd w:id="5811"/>
    </w:p>
    <w:p w14:paraId="315C53CE" w14:textId="77777777" w:rsidR="00533768" w:rsidRDefault="00533768" w:rsidP="00223668">
      <w:pPr>
        <w:pStyle w:val="a0"/>
        <w:rPr>
          <w:rtl/>
        </w:rPr>
      </w:pPr>
      <w:r>
        <w:rPr>
          <w:rFonts w:hint="cs"/>
          <w:rtl/>
        </w:rPr>
        <w:t xml:space="preserve">וכתב </w:t>
      </w:r>
      <w:r w:rsidRPr="004B6652">
        <w:rPr>
          <w:rStyle w:val="af9"/>
          <w:rFonts w:hint="cs"/>
          <w:rtl/>
        </w:rPr>
        <w:t>הרשב"א</w:t>
      </w:r>
      <w:r>
        <w:rPr>
          <w:rFonts w:hint="cs"/>
          <w:rtl/>
        </w:rPr>
        <w:t xml:space="preserve"> דלהלכה לא קיי"ל כב' הסברות שחידש רב חסדא לקולא, ולכן אף דרב חסדא התיר גם כשלא ידוע שנגע במפרקת, לדידן אסור גם כשידוע בודאי שנגע במפרקת, ורק בשיבר בה עצמות קיי"ל כוותיה דמותר, וכדמוכח מדאמרינן בגמ' דרק בשיבר בה עצמות קיי"ל כוותיה.</w:t>
      </w:r>
    </w:p>
    <w:p w14:paraId="3E07C081" w14:textId="77777777" w:rsidR="00533768" w:rsidRDefault="00533768" w:rsidP="006D6D32">
      <w:pPr>
        <w:pStyle w:val="a3"/>
        <w:rPr>
          <w:rtl/>
        </w:rPr>
      </w:pPr>
      <w:bookmarkStart w:id="5812" w:name="_Toc526852989"/>
      <w:bookmarkStart w:id="5813" w:name="_Toc526889886"/>
      <w:bookmarkStart w:id="5814" w:name="_Toc527108355"/>
      <w:bookmarkStart w:id="5815" w:name="_Toc19389654"/>
      <w:bookmarkStart w:id="5816" w:name="_Toc19393151"/>
      <w:r>
        <w:rPr>
          <w:rFonts w:hint="cs"/>
          <w:rtl/>
        </w:rPr>
        <w:t>דברי הרשב"א דמהא דרב חסדא לא הזכיר דשיבר בה עצמות מבואר דהתיר אף בלא שיבר</w:t>
      </w:r>
      <w:bookmarkEnd w:id="5812"/>
      <w:bookmarkEnd w:id="5813"/>
      <w:bookmarkEnd w:id="5814"/>
      <w:bookmarkEnd w:id="5815"/>
      <w:bookmarkEnd w:id="5816"/>
    </w:p>
    <w:p w14:paraId="4A70F752" w14:textId="77777777" w:rsidR="00533768" w:rsidRDefault="00533768" w:rsidP="00223668">
      <w:pPr>
        <w:pStyle w:val="a0"/>
        <w:rPr>
          <w:rtl/>
        </w:rPr>
      </w:pPr>
      <w:bookmarkStart w:id="5817" w:name="_Ref523774607"/>
      <w:r>
        <w:rPr>
          <w:rFonts w:hint="cs"/>
          <w:rtl/>
        </w:rPr>
        <w:t xml:space="preserve">והוסיף </w:t>
      </w:r>
      <w:r w:rsidRPr="00C24D6D">
        <w:rPr>
          <w:rStyle w:val="af9"/>
          <w:rFonts w:hint="cs"/>
          <w:rtl/>
        </w:rPr>
        <w:t>הרשב"א</w:t>
      </w:r>
      <w:r>
        <w:rPr>
          <w:rStyle w:val="af9"/>
          <w:rFonts w:hint="cs"/>
          <w:rtl/>
        </w:rPr>
        <w:t xml:space="preserve"> בחי'</w:t>
      </w:r>
      <w:r>
        <w:rPr>
          <w:rFonts w:hint="cs"/>
          <w:rtl/>
        </w:rPr>
        <w:t xml:space="preserve"> בשם</w:t>
      </w:r>
      <w:r w:rsidRPr="00C24D6D">
        <w:rPr>
          <w:rStyle w:val="af9"/>
          <w:rFonts w:hint="cs"/>
          <w:rtl/>
        </w:rPr>
        <w:t xml:space="preserve"> רבו</w:t>
      </w:r>
      <w:r>
        <w:rPr>
          <w:rFonts w:hint="cs"/>
          <w:rtl/>
        </w:rPr>
        <w:t xml:space="preserve"> דמהא דרק רב הונא אמר דאסור אף בשיבר בה עצמות, ואילו רב חסדא לא אמר את דינו בשיבר בה עצמות, </w:t>
      </w:r>
      <w:r w:rsidRPr="003A3028">
        <w:rPr>
          <w:rFonts w:hint="cs"/>
          <w:rtl/>
        </w:rPr>
        <w:t xml:space="preserve">מזה הבינה הגמ' דרב חסדא מתיר אף בלא שיבר בה עצמות, ורב הונא בא לומר רבותא, דאף בשיבר בה עצמות אסור, ודלא </w:t>
      </w:r>
      <w:r w:rsidRPr="003A3028">
        <w:rPr>
          <w:rStyle w:val="af9"/>
          <w:rFonts w:hint="cs"/>
          <w:rtl/>
        </w:rPr>
        <w:t>כרש"י</w:t>
      </w:r>
      <w:r w:rsidRPr="003A3028">
        <w:rPr>
          <w:rFonts w:hint="cs"/>
          <w:rtl/>
        </w:rPr>
        <w:t xml:space="preserve"> </w:t>
      </w:r>
      <w:r w:rsidRPr="003A3028">
        <w:rPr>
          <w:rStyle w:val="af7"/>
          <w:rFonts w:eastAsia="Guttman Hodes" w:hint="cs"/>
          <w:rtl/>
        </w:rPr>
        <w:t xml:space="preserve">(עי' אות </w:t>
      </w:r>
      <w:r w:rsidRPr="003A3028">
        <w:rPr>
          <w:rStyle w:val="af7"/>
          <w:rFonts w:eastAsia="Guttman Hodes"/>
          <w:rtl/>
        </w:rPr>
        <w:fldChar w:fldCharType="begin"/>
      </w:r>
      <w:r w:rsidRPr="003A3028">
        <w:rPr>
          <w:rStyle w:val="af7"/>
          <w:rFonts w:eastAsia="Guttman Hodes"/>
          <w:rtl/>
        </w:rPr>
        <w:instrText xml:space="preserve"> </w:instrText>
      </w:r>
      <w:r w:rsidRPr="003A3028">
        <w:rPr>
          <w:rStyle w:val="af7"/>
          <w:rFonts w:eastAsia="Guttman Hodes" w:hint="cs"/>
        </w:rPr>
        <w:instrText>REF</w:instrText>
      </w:r>
      <w:r w:rsidRPr="003A3028">
        <w:rPr>
          <w:rStyle w:val="af7"/>
          <w:rFonts w:eastAsia="Guttman Hodes" w:hint="cs"/>
          <w:rtl/>
        </w:rPr>
        <w:instrText xml:space="preserve"> _</w:instrText>
      </w:r>
      <w:r w:rsidRPr="003A3028">
        <w:rPr>
          <w:rStyle w:val="af7"/>
          <w:rFonts w:eastAsia="Guttman Hodes" w:hint="cs"/>
        </w:rPr>
        <w:instrText>Ref523774656 \r \h</w:instrText>
      </w:r>
      <w:r w:rsidRPr="003A3028">
        <w:rPr>
          <w:rStyle w:val="af7"/>
          <w:rFonts w:eastAsia="Guttman Hodes"/>
          <w:rtl/>
        </w:rPr>
        <w:instrText xml:space="preserve">  \* </w:instrText>
      </w:r>
      <w:r w:rsidRPr="003A3028">
        <w:rPr>
          <w:rStyle w:val="af7"/>
          <w:rFonts w:eastAsia="Guttman Hodes"/>
        </w:rPr>
        <w:instrText>MERGEFORMAT</w:instrText>
      </w:r>
      <w:r w:rsidRPr="003A3028">
        <w:rPr>
          <w:rStyle w:val="af7"/>
          <w:rFonts w:eastAsia="Guttman Hodes"/>
          <w:rtl/>
        </w:rPr>
        <w:instrText xml:space="preserve"> </w:instrText>
      </w:r>
      <w:r w:rsidRPr="003A3028">
        <w:rPr>
          <w:rStyle w:val="af7"/>
          <w:rFonts w:eastAsia="Guttman Hodes"/>
          <w:rtl/>
        </w:rPr>
      </w:r>
      <w:r w:rsidRPr="003A3028">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3A3028">
        <w:rPr>
          <w:rStyle w:val="af7"/>
          <w:rFonts w:eastAsia="Guttman Hodes"/>
          <w:rtl/>
        </w:rPr>
        <w:fldChar w:fldCharType="end"/>
      </w:r>
      <w:r w:rsidRPr="003A3028">
        <w:rPr>
          <w:rFonts w:hint="cs"/>
          <w:rtl/>
        </w:rPr>
        <w:t>.</w:t>
      </w:r>
      <w:bookmarkEnd w:id="5817"/>
      <w:r w:rsidRPr="003A3028">
        <w:rPr>
          <w:rFonts w:hint="cs"/>
          <w:rtl/>
        </w:rPr>
        <w:t xml:space="preserve"> </w:t>
      </w:r>
    </w:p>
    <w:p w14:paraId="6ACCD230" w14:textId="77777777" w:rsidR="00B64DA9" w:rsidRPr="00B64DA9" w:rsidRDefault="00B64DA9" w:rsidP="00B64DA9">
      <w:pPr>
        <w:pStyle w:val="a3"/>
      </w:pPr>
    </w:p>
    <w:p w14:paraId="4EA86DA1" w14:textId="77777777" w:rsidR="00533768" w:rsidRDefault="00533768" w:rsidP="00BF39B2">
      <w:pPr>
        <w:pStyle w:val="1"/>
        <w:rPr>
          <w:rtl/>
        </w:rPr>
      </w:pPr>
      <w:bookmarkStart w:id="5818" w:name="_Toc526852990"/>
      <w:bookmarkStart w:id="5819" w:name="_Toc526889887"/>
      <w:bookmarkStart w:id="5820" w:name="_Toc527108356"/>
      <w:bookmarkStart w:id="5821" w:name="_Toc19389655"/>
      <w:bookmarkStart w:id="5822" w:name="_Toc19393152"/>
      <w:r>
        <w:rPr>
          <w:rFonts w:hint="cs"/>
          <w:rtl/>
        </w:rPr>
        <w:t>ביאור הרמב"ן והרשב"א דבספק נגע מעמידים על חזקת הסכין</w:t>
      </w:r>
      <w:bookmarkEnd w:id="5818"/>
      <w:bookmarkEnd w:id="5819"/>
      <w:bookmarkEnd w:id="5820"/>
      <w:bookmarkEnd w:id="5821"/>
      <w:bookmarkEnd w:id="5822"/>
    </w:p>
    <w:p w14:paraId="2E828C6F" w14:textId="77777777" w:rsidR="00533768" w:rsidRPr="00640440" w:rsidRDefault="00533768" w:rsidP="006D6D32">
      <w:pPr>
        <w:pStyle w:val="a3"/>
        <w:rPr>
          <w:rtl/>
        </w:rPr>
      </w:pPr>
      <w:bookmarkStart w:id="5823" w:name="_Toc526852991"/>
      <w:bookmarkStart w:id="5824" w:name="_Toc526889888"/>
      <w:bookmarkStart w:id="5825" w:name="_Toc527108357"/>
      <w:bookmarkStart w:id="5826" w:name="_Toc19389656"/>
      <w:bookmarkStart w:id="5827" w:name="_Toc19393153"/>
      <w:r>
        <w:rPr>
          <w:rFonts w:hint="cs"/>
          <w:rtl/>
        </w:rPr>
        <w:t>קושית הרשב"א דאי לא ידוע שנגע במפרקת א"א לומר דודאי עצם מוציא מספק עור</w:t>
      </w:r>
      <w:bookmarkEnd w:id="5823"/>
      <w:bookmarkEnd w:id="5824"/>
      <w:bookmarkEnd w:id="5825"/>
      <w:bookmarkEnd w:id="5826"/>
      <w:bookmarkEnd w:id="5827"/>
    </w:p>
    <w:p w14:paraId="61525B15" w14:textId="77777777" w:rsidR="00533768" w:rsidRDefault="00533768" w:rsidP="00223668">
      <w:pPr>
        <w:pStyle w:val="a0"/>
        <w:rPr>
          <w:rtl/>
        </w:rPr>
      </w:pPr>
      <w:r>
        <w:rPr>
          <w:rFonts w:hint="cs"/>
          <w:rtl/>
        </w:rPr>
        <w:t xml:space="preserve">אך הקשה </w:t>
      </w:r>
      <w:r w:rsidRPr="00C24D6D">
        <w:rPr>
          <w:rStyle w:val="af9"/>
          <w:rFonts w:hint="cs"/>
          <w:rtl/>
        </w:rPr>
        <w:t>הרשב"א</w:t>
      </w:r>
      <w:r>
        <w:rPr>
          <w:rFonts w:hint="cs"/>
          <w:rtl/>
        </w:rPr>
        <w:t xml:space="preserve"> </w:t>
      </w:r>
      <w:r w:rsidRPr="00F72ABB">
        <w:rPr>
          <w:rStyle w:val="af7"/>
          <w:rFonts w:eastAsia="Guttman Hodes" w:hint="cs"/>
          <w:rtl/>
        </w:rPr>
        <w:t>(ד"ה ומיהו)</w:t>
      </w:r>
      <w:r>
        <w:rPr>
          <w:rFonts w:hint="cs"/>
          <w:rtl/>
        </w:rPr>
        <w:t xml:space="preserve"> דהיאך אפש"ל דרב חסדא מתיר אף בלא ידוע שנגע במפרקת, הא אמרינן בגמ' דעצם פוגם בודאי והוא מוציא מהספק פגימה של העור, ואי לא ידוע שנגע בעצם, צ"ל להיפך דודאי נגע בעור וספק נגע בעצם.</w:t>
      </w:r>
    </w:p>
    <w:p w14:paraId="2F7D2FE3" w14:textId="77777777" w:rsidR="00533768" w:rsidRPr="00FE6BD1" w:rsidRDefault="00533768" w:rsidP="006D6D32">
      <w:pPr>
        <w:pStyle w:val="a3"/>
      </w:pPr>
      <w:bookmarkStart w:id="5828" w:name="_Toc526852992"/>
      <w:bookmarkStart w:id="5829" w:name="_Toc526889889"/>
      <w:bookmarkStart w:id="5830" w:name="_Toc527108358"/>
      <w:bookmarkStart w:id="5831" w:name="_Toc19389657"/>
      <w:bookmarkStart w:id="5832" w:name="_Toc19393154"/>
      <w:r>
        <w:rPr>
          <w:rFonts w:hint="cs"/>
          <w:rtl/>
        </w:rPr>
        <w:t>דברי הרמב"ן הרשב"א והרא"ה דאין ספק פגימת העור מוציאה מודאי בדיקת הסכין</w:t>
      </w:r>
      <w:bookmarkEnd w:id="5828"/>
      <w:bookmarkEnd w:id="5829"/>
      <w:bookmarkEnd w:id="5830"/>
      <w:bookmarkEnd w:id="5831"/>
      <w:bookmarkEnd w:id="5832"/>
      <w:r>
        <w:rPr>
          <w:rFonts w:hint="cs"/>
          <w:rtl/>
        </w:rPr>
        <w:t xml:space="preserve"> </w:t>
      </w:r>
    </w:p>
    <w:p w14:paraId="70A2E995" w14:textId="77777777" w:rsidR="00533768" w:rsidRDefault="00533768" w:rsidP="00223668">
      <w:pPr>
        <w:pStyle w:val="a0"/>
        <w:rPr>
          <w:rtl/>
        </w:rPr>
      </w:pPr>
      <w:r>
        <w:rPr>
          <w:rFonts w:hint="cs"/>
          <w:rtl/>
        </w:rPr>
        <w:t xml:space="preserve">וביאר </w:t>
      </w:r>
      <w:r w:rsidRPr="00FE6BD1">
        <w:rPr>
          <w:rStyle w:val="af9"/>
          <w:rFonts w:hint="cs"/>
          <w:rtl/>
        </w:rPr>
        <w:t>הרמב"ן</w:t>
      </w:r>
      <w:r>
        <w:rPr>
          <w:rFonts w:hint="cs"/>
          <w:rtl/>
        </w:rPr>
        <w:t xml:space="preserve"> </w:t>
      </w:r>
      <w:r w:rsidRPr="000B2C44">
        <w:rPr>
          <w:rStyle w:val="af7"/>
          <w:rFonts w:eastAsia="Guttman Hodes" w:hint="cs"/>
          <w:rtl/>
        </w:rPr>
        <w:t>(ד"ה אימר</w:t>
      </w:r>
      <w:r>
        <w:rPr>
          <w:rStyle w:val="af7"/>
          <w:rFonts w:eastAsia="Guttman Hodes" w:hint="cs"/>
          <w:rtl/>
        </w:rPr>
        <w:t xml:space="preserve">, י. </w:t>
      </w:r>
      <w:r w:rsidRPr="0082791B">
        <w:rPr>
          <w:rStyle w:val="af7"/>
          <w:rFonts w:eastAsia="Guttman Hodes" w:hint="cs"/>
          <w:rtl/>
        </w:rPr>
        <w:t>ד"ה והאי</w:t>
      </w:r>
      <w:r w:rsidRPr="000B2C44">
        <w:rPr>
          <w:rStyle w:val="af7"/>
          <w:rFonts w:eastAsia="Guttman Hodes" w:hint="cs"/>
          <w:rtl/>
        </w:rPr>
        <w:t>)</w:t>
      </w:r>
      <w:r>
        <w:rPr>
          <w:rFonts w:hint="cs"/>
          <w:rtl/>
        </w:rPr>
        <w:t xml:space="preserve"> דכיון שהסכין בחזקת בדוק, ולא מצוי שהעור יפגום, אין ספק פגימת העור מוציא מידי בדיקת הסכין, וכ"כ </w:t>
      </w:r>
      <w:r w:rsidRPr="00E45CA7">
        <w:rPr>
          <w:rStyle w:val="af9"/>
          <w:rFonts w:hint="cs"/>
          <w:rtl/>
        </w:rPr>
        <w:t>הרשב"א</w:t>
      </w:r>
      <w:r>
        <w:rPr>
          <w:rStyle w:val="af9"/>
          <w:rFonts w:hint="cs"/>
          <w:rtl/>
        </w:rPr>
        <w:t xml:space="preserve"> בתירוצו השני</w:t>
      </w:r>
      <w:r>
        <w:rPr>
          <w:rFonts w:hint="cs"/>
          <w:rtl/>
        </w:rPr>
        <w:t xml:space="preserve"> דכוונת הגמ' לומר דאין ספק עור מוציא מהודאי של חזקת הסכין, ותלינן בעצם שאם נגע בו הסכין הוא פוגם בודאי, בעצם ועי"ז אפשר להוציא את הסכין מחזקתו</w:t>
      </w:r>
      <w:r>
        <w:rPr>
          <w:rStyle w:val="af1"/>
          <w:rtl/>
        </w:rPr>
        <w:footnoteReference w:id="30"/>
      </w:r>
      <w:r>
        <w:rPr>
          <w:rFonts w:hint="cs"/>
          <w:rtl/>
        </w:rPr>
        <w:t xml:space="preserve">. וכ"כ </w:t>
      </w:r>
      <w:r w:rsidRPr="0066343B">
        <w:rPr>
          <w:rStyle w:val="af9"/>
          <w:rFonts w:hint="cs"/>
          <w:rtl/>
        </w:rPr>
        <w:t xml:space="preserve">הרא"ה </w:t>
      </w:r>
      <w:r w:rsidRPr="0063536D">
        <w:rPr>
          <w:rStyle w:val="af9"/>
          <w:rFonts w:hint="cs"/>
          <w:rtl/>
        </w:rPr>
        <w:t>בחי'</w:t>
      </w:r>
      <w:r>
        <w:rPr>
          <w:rFonts w:hint="cs"/>
          <w:rtl/>
        </w:rPr>
        <w:t xml:space="preserve"> </w:t>
      </w:r>
      <w:r w:rsidRPr="0063536D">
        <w:rPr>
          <w:rStyle w:val="af7"/>
          <w:rFonts w:eastAsia="Guttman Hodes" w:hint="cs"/>
          <w:rtl/>
        </w:rPr>
        <w:t>(ד"ה איתמר)</w:t>
      </w:r>
      <w:r>
        <w:rPr>
          <w:rStyle w:val="af7"/>
          <w:rFonts w:eastAsia="Guttman Hodes" w:hint="cs"/>
          <w:rtl/>
        </w:rPr>
        <w:t xml:space="preserve"> </w:t>
      </w:r>
      <w:r>
        <w:rPr>
          <w:rFonts w:hint="cs"/>
          <w:rtl/>
        </w:rPr>
        <w:t>דכיון שיש צד שנגע במפרקת ונפגם, מעמידים את הסכין על חזקתו.</w:t>
      </w:r>
    </w:p>
    <w:p w14:paraId="34E7FC54" w14:textId="77777777" w:rsidR="00533768" w:rsidRDefault="00533768" w:rsidP="006D6D32">
      <w:pPr>
        <w:pStyle w:val="a3"/>
        <w:rPr>
          <w:rtl/>
        </w:rPr>
      </w:pPr>
      <w:bookmarkStart w:id="5833" w:name="_Toc526852993"/>
      <w:bookmarkStart w:id="5834" w:name="_Toc526889890"/>
      <w:bookmarkStart w:id="5835" w:name="_Toc527108359"/>
      <w:bookmarkStart w:id="5836" w:name="_Toc19389658"/>
      <w:bookmarkStart w:id="5837" w:name="_Toc19393155"/>
      <w:r>
        <w:rPr>
          <w:rFonts w:hint="cs"/>
          <w:rtl/>
        </w:rPr>
        <w:t>תירוץ הרשב"א דכוונת הגמ' לומר דתלינן בעצם שמצוי לפגום כיון שעור אינו מצוי לפגום</w:t>
      </w:r>
      <w:bookmarkEnd w:id="5833"/>
      <w:bookmarkEnd w:id="5834"/>
      <w:bookmarkEnd w:id="5835"/>
      <w:bookmarkEnd w:id="5836"/>
      <w:bookmarkEnd w:id="5837"/>
      <w:r>
        <w:rPr>
          <w:rFonts w:hint="cs"/>
          <w:rtl/>
        </w:rPr>
        <w:t xml:space="preserve"> </w:t>
      </w:r>
    </w:p>
    <w:p w14:paraId="42C7FE74" w14:textId="77777777" w:rsidR="00533768" w:rsidRDefault="00533768" w:rsidP="00223668">
      <w:pPr>
        <w:pStyle w:val="a0"/>
        <w:rPr>
          <w:rtl/>
        </w:rPr>
      </w:pPr>
      <w:r>
        <w:rPr>
          <w:rFonts w:hint="cs"/>
          <w:rtl/>
        </w:rPr>
        <w:t xml:space="preserve">ועוד תירץ </w:t>
      </w:r>
      <w:r w:rsidRPr="00E45CA7">
        <w:rPr>
          <w:rStyle w:val="af9"/>
          <w:rFonts w:hint="cs"/>
          <w:rtl/>
        </w:rPr>
        <w:t>הרשב"א</w:t>
      </w:r>
      <w:r>
        <w:rPr>
          <w:rStyle w:val="af9"/>
          <w:rFonts w:hint="cs"/>
          <w:rtl/>
        </w:rPr>
        <w:t xml:space="preserve"> בתירוצו הראשון</w:t>
      </w:r>
      <w:r>
        <w:rPr>
          <w:rFonts w:hint="cs"/>
          <w:rtl/>
        </w:rPr>
        <w:t xml:space="preserve"> דכוונת הגמ' כדביאר </w:t>
      </w:r>
      <w:r w:rsidRPr="00C24D6D">
        <w:rPr>
          <w:rStyle w:val="af9"/>
          <w:rFonts w:hint="cs"/>
          <w:rtl/>
        </w:rPr>
        <w:t>הרשב"א</w:t>
      </w:r>
      <w:r>
        <w:rPr>
          <w:rFonts w:hint="cs"/>
          <w:rtl/>
        </w:rPr>
        <w:t xml:space="preserve"> לעיל </w:t>
      </w:r>
      <w:r w:rsidRPr="00043480">
        <w:rPr>
          <w:rStyle w:val="af7"/>
          <w:rFonts w:eastAsia="Guttman Hodes" w:hint="cs"/>
          <w:rtl/>
        </w:rPr>
        <w:t>(</w:t>
      </w:r>
      <w:r>
        <w:rPr>
          <w:rStyle w:val="af7"/>
          <w:rFonts w:eastAsia="Guttman Hodes" w:hint="cs"/>
          <w:rtl/>
        </w:rPr>
        <w:t xml:space="preserve">י. </w:t>
      </w:r>
      <w:r w:rsidRPr="00043480">
        <w:rPr>
          <w:rStyle w:val="af7"/>
          <w:rFonts w:eastAsia="Guttman Hodes" w:hint="cs"/>
          <w:rtl/>
        </w:rPr>
        <w:t>ד"ה אמר</w:t>
      </w:r>
      <w:r>
        <w:rPr>
          <w:rStyle w:val="af7"/>
          <w:rFonts w:eastAsia="Guttman Hodes" w:hint="cs"/>
          <w:rtl/>
        </w:rPr>
        <w:t xml:space="preserve">, </w:t>
      </w:r>
      <w:r w:rsidR="00AC7E32">
        <w:rPr>
          <w:rStyle w:val="af7"/>
          <w:rFonts w:eastAsia="Guttman Hodes" w:hint="cs"/>
          <w:rtl/>
        </w:rPr>
        <w:t>הובא בסימן</w:t>
      </w:r>
      <w:r>
        <w:rPr>
          <w:rStyle w:val="af7"/>
          <w:rFonts w:eastAsia="Guttman Hodes" w:hint="cs"/>
          <w:rtl/>
        </w:rPr>
        <w:t xml:space="preserve"> ה' </w:t>
      </w:r>
      <w:r w:rsidRPr="00C24D6D">
        <w:rPr>
          <w:rStyle w:val="af7"/>
          <w:rFonts w:eastAsia="Guttman Hodes" w:hint="cs"/>
          <w:rtl/>
        </w:rPr>
        <w:t>אות</w:t>
      </w:r>
      <w:r>
        <w:rPr>
          <w:rStyle w:val="af7"/>
          <w:rFonts w:eastAsia="Guttman Hodes" w:hint="cs"/>
          <w:rtl/>
        </w:rPr>
        <w:t xml:space="preserve"> ב)</w:t>
      </w:r>
      <w:r>
        <w:rPr>
          <w:rFonts w:hint="cs"/>
          <w:rtl/>
        </w:rPr>
        <w:t xml:space="preserve"> דעור אינו מצוי לפגום, ועצם מצוי לפגום, ולכן אמרינן דנפגם במפרקת שהוא הדבר המצוי לפגום.</w:t>
      </w:r>
    </w:p>
    <w:p w14:paraId="0D797D1D" w14:textId="77777777" w:rsidR="00533768" w:rsidRDefault="00533768" w:rsidP="006D6D32">
      <w:pPr>
        <w:pStyle w:val="afe"/>
        <w:rPr>
          <w:rtl/>
        </w:rPr>
      </w:pPr>
      <w:bookmarkStart w:id="5838" w:name="_Toc525594377"/>
      <w:bookmarkStart w:id="5839" w:name="_Toc526249236"/>
      <w:bookmarkStart w:id="5840" w:name="_Toc526504105"/>
      <w:bookmarkStart w:id="5841" w:name="_Toc526852994"/>
      <w:bookmarkStart w:id="5842" w:name="_Toc526889891"/>
      <w:bookmarkStart w:id="5843" w:name="_Toc527108360"/>
      <w:bookmarkStart w:id="5844" w:name="_Toc19435436"/>
      <w:bookmarkStart w:id="5845" w:name="_Toc20080755"/>
      <w:r w:rsidRPr="00F77480">
        <w:rPr>
          <w:rFonts w:hint="cs"/>
          <w:rtl/>
        </w:rPr>
        <w:t>ב</w:t>
      </w:r>
      <w:r>
        <w:rPr>
          <w:rFonts w:hint="cs"/>
          <w:rtl/>
        </w:rPr>
        <w:t>נגע בודאי</w:t>
      </w:r>
      <w:r w:rsidRPr="00F77480">
        <w:rPr>
          <w:rFonts w:hint="cs"/>
          <w:rtl/>
        </w:rPr>
        <w:t xml:space="preserve"> במפרקת</w:t>
      </w:r>
      <w:bookmarkEnd w:id="5838"/>
      <w:bookmarkEnd w:id="5839"/>
      <w:bookmarkEnd w:id="5840"/>
      <w:r>
        <w:rPr>
          <w:rFonts w:hint="cs"/>
          <w:rtl/>
        </w:rPr>
        <w:t xml:space="preserve"> לדידן</w:t>
      </w:r>
      <w:bookmarkEnd w:id="5841"/>
      <w:bookmarkEnd w:id="5842"/>
      <w:bookmarkEnd w:id="5843"/>
      <w:bookmarkEnd w:id="5844"/>
      <w:bookmarkEnd w:id="5845"/>
    </w:p>
    <w:p w14:paraId="08C17444" w14:textId="77777777" w:rsidR="00533768" w:rsidRPr="00F3753F" w:rsidRDefault="00533768" w:rsidP="00BF39B2">
      <w:pPr>
        <w:pStyle w:val="1"/>
        <w:rPr>
          <w:rtl/>
        </w:rPr>
      </w:pPr>
      <w:bookmarkStart w:id="5846" w:name="_Toc526889892"/>
      <w:bookmarkStart w:id="5847" w:name="_Toc527108361"/>
      <w:bookmarkStart w:id="5848" w:name="_Toc19389659"/>
      <w:bookmarkStart w:id="5849" w:name="_Toc19393156"/>
      <w:bookmarkStart w:id="5850" w:name="_Toc526852995"/>
      <w:r>
        <w:rPr>
          <w:rFonts w:hint="cs"/>
          <w:rtl/>
        </w:rPr>
        <w:t>פלוגתת</w:t>
      </w:r>
      <w:r w:rsidRPr="00F3753F">
        <w:rPr>
          <w:rFonts w:hint="cs"/>
          <w:rtl/>
        </w:rPr>
        <w:t xml:space="preserve"> רש"י </w:t>
      </w:r>
      <w:r>
        <w:rPr>
          <w:rFonts w:hint="cs"/>
          <w:rtl/>
        </w:rPr>
        <w:t>עם</w:t>
      </w:r>
      <w:r w:rsidRPr="00F3753F">
        <w:rPr>
          <w:rFonts w:hint="cs"/>
          <w:rtl/>
        </w:rPr>
        <w:t xml:space="preserve"> הרמב"ן והרשב"א </w:t>
      </w:r>
      <w:r>
        <w:rPr>
          <w:rFonts w:hint="cs"/>
          <w:rtl/>
        </w:rPr>
        <w:t>בידוע שנגע במפרקת</w:t>
      </w:r>
      <w:bookmarkEnd w:id="5846"/>
      <w:bookmarkEnd w:id="5847"/>
      <w:bookmarkEnd w:id="5848"/>
      <w:bookmarkEnd w:id="5849"/>
      <w:r>
        <w:rPr>
          <w:rFonts w:hint="cs"/>
          <w:rtl/>
        </w:rPr>
        <w:t xml:space="preserve"> </w:t>
      </w:r>
      <w:bookmarkEnd w:id="5850"/>
    </w:p>
    <w:p w14:paraId="0096070F" w14:textId="77777777" w:rsidR="00533768" w:rsidRPr="00F3753F" w:rsidRDefault="00533768" w:rsidP="006D6D32">
      <w:pPr>
        <w:pStyle w:val="a3"/>
        <w:rPr>
          <w:rtl/>
        </w:rPr>
      </w:pPr>
      <w:bookmarkStart w:id="5851" w:name="_Toc526852996"/>
      <w:bookmarkStart w:id="5852" w:name="_Toc526889893"/>
      <w:bookmarkStart w:id="5853" w:name="_Toc527108362"/>
      <w:bookmarkStart w:id="5854" w:name="_Toc19389660"/>
      <w:bookmarkStart w:id="5855" w:name="_Toc19393157"/>
      <w:r>
        <w:rPr>
          <w:rFonts w:hint="cs"/>
          <w:rtl/>
        </w:rPr>
        <w:t>דברי הרמב"ן והרשב"א בדעת רש"י דרב חסדא מתיר בנגע במפרקת ולא קיי"ל כוותיה</w:t>
      </w:r>
      <w:bookmarkEnd w:id="5851"/>
      <w:bookmarkEnd w:id="5852"/>
      <w:bookmarkEnd w:id="5853"/>
      <w:bookmarkEnd w:id="5854"/>
      <w:bookmarkEnd w:id="5855"/>
    </w:p>
    <w:p w14:paraId="16998053" w14:textId="77777777" w:rsidR="00533768" w:rsidRDefault="00533768" w:rsidP="00223668">
      <w:pPr>
        <w:pStyle w:val="a0"/>
        <w:rPr>
          <w:rtl/>
        </w:rPr>
      </w:pPr>
      <w:r w:rsidRPr="00F3753F">
        <w:rPr>
          <w:rFonts w:hint="cs"/>
          <w:rtl/>
        </w:rPr>
        <w:t xml:space="preserve">כתבו </w:t>
      </w:r>
      <w:r w:rsidRPr="00F3753F">
        <w:rPr>
          <w:rStyle w:val="af9"/>
          <w:rFonts w:hint="cs"/>
          <w:rtl/>
        </w:rPr>
        <w:t xml:space="preserve">הרמב"ן </w:t>
      </w:r>
      <w:r w:rsidRPr="000B2C44">
        <w:rPr>
          <w:rStyle w:val="af7"/>
          <w:rFonts w:eastAsia="Guttman Hodes" w:hint="cs"/>
          <w:rtl/>
        </w:rPr>
        <w:t>(ד"ה אימר</w:t>
      </w:r>
      <w:r>
        <w:rPr>
          <w:rStyle w:val="af7"/>
          <w:rFonts w:eastAsia="Guttman Hodes" w:hint="cs"/>
          <w:rtl/>
        </w:rPr>
        <w:t xml:space="preserve">) </w:t>
      </w:r>
      <w:r w:rsidRPr="00F3753F">
        <w:rPr>
          <w:rStyle w:val="af9"/>
          <w:rFonts w:hint="cs"/>
          <w:rtl/>
        </w:rPr>
        <w:t>והרשב"א</w:t>
      </w:r>
      <w:r w:rsidRPr="00F3753F">
        <w:rPr>
          <w:rFonts w:hint="cs"/>
          <w:rtl/>
        </w:rPr>
        <w:t xml:space="preserve"> </w:t>
      </w:r>
      <w:r w:rsidRPr="00F3753F">
        <w:rPr>
          <w:rStyle w:val="af7"/>
          <w:rFonts w:eastAsia="Guttman Hodes" w:hint="cs"/>
          <w:rtl/>
        </w:rPr>
        <w:t>(</w:t>
      </w:r>
      <w:r w:rsidRPr="00162E60">
        <w:rPr>
          <w:rStyle w:val="af7"/>
          <w:rFonts w:eastAsia="Guttman Hodes" w:hint="cs"/>
          <w:rtl/>
        </w:rPr>
        <w:t>ד"ה והלכתא</w:t>
      </w:r>
      <w:r>
        <w:rPr>
          <w:rStyle w:val="af7"/>
          <w:rFonts w:eastAsia="Guttman Hodes" w:hint="cs"/>
          <w:rtl/>
        </w:rPr>
        <w:t xml:space="preserve">, </w:t>
      </w:r>
      <w:r w:rsidRPr="00F3753F">
        <w:rPr>
          <w:rStyle w:val="af7"/>
          <w:rFonts w:eastAsia="Guttman Hodes" w:hint="cs"/>
          <w:rtl/>
        </w:rPr>
        <w:t xml:space="preserve">עי' אות </w:t>
      </w:r>
      <w:r w:rsidRPr="00F3753F">
        <w:rPr>
          <w:rStyle w:val="af7"/>
          <w:rFonts w:eastAsia="Guttman Hodes"/>
          <w:rtl/>
        </w:rPr>
        <w:fldChar w:fldCharType="begin"/>
      </w:r>
      <w:r w:rsidRPr="00F3753F">
        <w:rPr>
          <w:rStyle w:val="af7"/>
          <w:rFonts w:eastAsia="Guttman Hodes"/>
          <w:rtl/>
        </w:rPr>
        <w:instrText xml:space="preserve"> </w:instrText>
      </w:r>
      <w:r w:rsidRPr="00F3753F">
        <w:rPr>
          <w:rStyle w:val="af7"/>
          <w:rFonts w:eastAsia="Guttman Hodes" w:hint="cs"/>
        </w:rPr>
        <w:instrText>REF</w:instrText>
      </w:r>
      <w:r w:rsidRPr="00F3753F">
        <w:rPr>
          <w:rStyle w:val="af7"/>
          <w:rFonts w:eastAsia="Guttman Hodes" w:hint="cs"/>
          <w:rtl/>
        </w:rPr>
        <w:instrText xml:space="preserve"> _</w:instrText>
      </w:r>
      <w:r w:rsidRPr="00F3753F">
        <w:rPr>
          <w:rStyle w:val="af7"/>
          <w:rFonts w:eastAsia="Guttman Hodes" w:hint="cs"/>
        </w:rPr>
        <w:instrText>Ref526847156 \r \h</w:instrText>
      </w:r>
      <w:r w:rsidRPr="00F3753F">
        <w:rPr>
          <w:rStyle w:val="af7"/>
          <w:rFonts w:eastAsia="Guttman Hodes"/>
          <w:rtl/>
        </w:rPr>
        <w:instrText xml:space="preserve"> </w:instrText>
      </w:r>
      <w:r w:rsidRPr="00F3753F">
        <w:rPr>
          <w:rStyle w:val="af7"/>
          <w:rFonts w:eastAsia="Guttman Hodes"/>
          <w:rtl/>
        </w:rPr>
      </w:r>
      <w:r w:rsidRPr="00F3753F">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F3753F">
        <w:rPr>
          <w:rStyle w:val="af7"/>
          <w:rFonts w:eastAsia="Guttman Hodes"/>
          <w:rtl/>
        </w:rPr>
        <w:fldChar w:fldCharType="end"/>
      </w:r>
      <w:r w:rsidRPr="00F3753F">
        <w:rPr>
          <w:rFonts w:hint="cs"/>
          <w:rtl/>
        </w:rPr>
        <w:t xml:space="preserve"> דלדעת </w:t>
      </w:r>
      <w:r w:rsidRPr="00F3753F">
        <w:rPr>
          <w:rStyle w:val="af9"/>
          <w:rFonts w:hint="cs"/>
          <w:rtl/>
        </w:rPr>
        <w:t>רש"י</w:t>
      </w:r>
      <w:r w:rsidRPr="00F3753F">
        <w:rPr>
          <w:rFonts w:hint="cs"/>
          <w:rtl/>
        </w:rPr>
        <w:t xml:space="preserve"> רב חסדא מתיר, בידוע שודאי נגע במפרקת</w:t>
      </w:r>
      <w:r>
        <w:rPr>
          <w:rFonts w:hint="cs"/>
          <w:rtl/>
        </w:rPr>
        <w:t>, ולא קיי"ל כרב חסדא בזה, ורק בשיבר בה עצמות תלינן לקולא</w:t>
      </w:r>
      <w:r w:rsidRPr="00F3753F">
        <w:rPr>
          <w:rFonts w:hint="cs"/>
          <w:rtl/>
        </w:rPr>
        <w:t>.</w:t>
      </w:r>
    </w:p>
    <w:p w14:paraId="19DCBAA3" w14:textId="77777777" w:rsidR="00533768" w:rsidRDefault="00533768" w:rsidP="006D6D32">
      <w:pPr>
        <w:pStyle w:val="a3"/>
        <w:rPr>
          <w:rtl/>
        </w:rPr>
      </w:pPr>
      <w:bookmarkStart w:id="5856" w:name="_Toc526889894"/>
      <w:bookmarkStart w:id="5857" w:name="_Toc527108363"/>
      <w:bookmarkStart w:id="5858" w:name="_Toc19389661"/>
      <w:bookmarkStart w:id="5859" w:name="_Toc19393158"/>
      <w:r>
        <w:rPr>
          <w:rFonts w:hint="cs"/>
          <w:rtl/>
        </w:rPr>
        <w:t>דעת הרמב"ן והרשב"א דרב חסדא מתיר בין בודאי נגע במפרקת ובין בספק נגע</w:t>
      </w:r>
      <w:bookmarkEnd w:id="5856"/>
      <w:bookmarkEnd w:id="5857"/>
      <w:bookmarkEnd w:id="5858"/>
      <w:bookmarkEnd w:id="5859"/>
    </w:p>
    <w:p w14:paraId="43F0ACF5" w14:textId="77777777" w:rsidR="00533768" w:rsidRPr="005547A4" w:rsidRDefault="00533768" w:rsidP="00223668">
      <w:pPr>
        <w:pStyle w:val="a0"/>
        <w:rPr>
          <w:rStyle w:val="afb"/>
          <w:rtl/>
        </w:rPr>
      </w:pPr>
      <w:r>
        <w:rPr>
          <w:rFonts w:hint="cs"/>
          <w:rtl/>
        </w:rPr>
        <w:t xml:space="preserve">אלא כתבו </w:t>
      </w:r>
      <w:r w:rsidRPr="00CC3B47">
        <w:rPr>
          <w:rStyle w:val="af9"/>
          <w:rFonts w:hint="cs"/>
          <w:rtl/>
        </w:rPr>
        <w:t>הרמב"ן והרשב"א</w:t>
      </w:r>
      <w:r>
        <w:rPr>
          <w:rFonts w:hint="cs"/>
          <w:rtl/>
        </w:rPr>
        <w:t xml:space="preserve"> דרב חסדא התיר בין בספק נגע במפרקת, ובין בודאי נגע במפרקת, ולדידן אף בודאי נגע במפרקת אסור,</w:t>
      </w:r>
      <w:r w:rsidRPr="001D1E81">
        <w:rPr>
          <w:rFonts w:hint="cs"/>
          <w:rtl/>
        </w:rPr>
        <w:t xml:space="preserve"> </w:t>
      </w:r>
      <w:r>
        <w:rPr>
          <w:rFonts w:hint="cs"/>
          <w:rtl/>
        </w:rPr>
        <w:t xml:space="preserve">ורק בשיבר בה עצמות תלינן לקולא. </w:t>
      </w:r>
      <w:r w:rsidRPr="005547A4">
        <w:rPr>
          <w:rStyle w:val="afb"/>
          <w:rFonts w:hint="cs"/>
          <w:rtl/>
        </w:rPr>
        <w:t>[</w:t>
      </w:r>
      <w:r>
        <w:rPr>
          <w:rStyle w:val="afb"/>
          <w:rFonts w:hint="cs"/>
          <w:rtl/>
        </w:rPr>
        <w:t xml:space="preserve">וע"ע בדברי </w:t>
      </w:r>
      <w:r w:rsidRPr="00145D03">
        <w:rPr>
          <w:rStyle w:val="affa"/>
          <w:rFonts w:hint="cs"/>
          <w:rtl/>
        </w:rPr>
        <w:t>הרא"ה</w:t>
      </w:r>
      <w:r>
        <w:rPr>
          <w:rStyle w:val="afb"/>
          <w:rFonts w:hint="cs"/>
          <w:rtl/>
        </w:rPr>
        <w:t xml:space="preserve"> </w:t>
      </w:r>
      <w:r w:rsidRPr="00145D03">
        <w:rPr>
          <w:rStyle w:val="aff6"/>
          <w:rFonts w:hint="cs"/>
          <w:rtl/>
        </w:rPr>
        <w:t xml:space="preserve">(עי' אות </w:t>
      </w:r>
      <w:r w:rsidRPr="00145D03">
        <w:rPr>
          <w:rStyle w:val="aff6"/>
          <w:rtl/>
        </w:rPr>
        <w:fldChar w:fldCharType="begin"/>
      </w:r>
      <w:r w:rsidRPr="00145D03">
        <w:rPr>
          <w:rStyle w:val="aff6"/>
          <w:rtl/>
        </w:rPr>
        <w:instrText xml:space="preserve"> </w:instrText>
      </w:r>
      <w:r w:rsidRPr="00145D03">
        <w:rPr>
          <w:rStyle w:val="aff6"/>
          <w:rFonts w:hint="cs"/>
        </w:rPr>
        <w:instrText>REF</w:instrText>
      </w:r>
      <w:r w:rsidRPr="00145D03">
        <w:rPr>
          <w:rStyle w:val="aff6"/>
          <w:rFonts w:hint="cs"/>
          <w:rtl/>
        </w:rPr>
        <w:instrText xml:space="preserve"> _</w:instrText>
      </w:r>
      <w:r w:rsidRPr="00145D03">
        <w:rPr>
          <w:rStyle w:val="aff6"/>
          <w:rFonts w:hint="cs"/>
        </w:rPr>
        <w:instrText>Ref526869070 \r \h</w:instrText>
      </w:r>
      <w:r w:rsidRPr="00145D03">
        <w:rPr>
          <w:rStyle w:val="aff6"/>
          <w:rtl/>
        </w:rPr>
        <w:instrText xml:space="preserve"> </w:instrText>
      </w:r>
      <w:r w:rsidRPr="00145D03">
        <w:rPr>
          <w:rStyle w:val="aff6"/>
          <w:rtl/>
        </w:rPr>
      </w:r>
      <w:r w:rsidRPr="00145D03">
        <w:rPr>
          <w:rStyle w:val="aff6"/>
          <w:rtl/>
        </w:rPr>
        <w:fldChar w:fldCharType="separate"/>
      </w:r>
      <w:r w:rsidR="00345400">
        <w:rPr>
          <w:rStyle w:val="aff6"/>
          <w:cs/>
        </w:rPr>
        <w:t>‎</w:t>
      </w:r>
      <w:r w:rsidR="00345400">
        <w:rPr>
          <w:rStyle w:val="aff6"/>
          <w:rtl/>
        </w:rPr>
        <w:t>כב)</w:t>
      </w:r>
      <w:r w:rsidRPr="00145D03">
        <w:rPr>
          <w:rStyle w:val="aff6"/>
          <w:rtl/>
        </w:rPr>
        <w:fldChar w:fldCharType="end"/>
      </w:r>
      <w:r w:rsidRPr="00145D03">
        <w:rPr>
          <w:rStyle w:val="aff6"/>
          <w:rFonts w:hint="cs"/>
          <w:rtl/>
        </w:rPr>
        <w:t xml:space="preserve"> </w:t>
      </w:r>
      <w:r>
        <w:rPr>
          <w:rStyle w:val="afb"/>
          <w:rFonts w:hint="cs"/>
          <w:rtl/>
        </w:rPr>
        <w:t>דנחלקו רק בספק נגע במפרקת, אבל בודאי לא נגע אף רב חסדא אוסר</w:t>
      </w:r>
      <w:r w:rsidRPr="005547A4">
        <w:rPr>
          <w:rStyle w:val="afb"/>
          <w:rFonts w:hint="cs"/>
          <w:rtl/>
        </w:rPr>
        <w:t>].</w:t>
      </w:r>
    </w:p>
    <w:p w14:paraId="03281BDF" w14:textId="77777777" w:rsidR="00533768" w:rsidRDefault="00533768" w:rsidP="00BF39B2">
      <w:pPr>
        <w:pStyle w:val="1"/>
        <w:rPr>
          <w:rtl/>
        </w:rPr>
      </w:pPr>
      <w:bookmarkStart w:id="5860" w:name="_Toc526852997"/>
      <w:bookmarkStart w:id="5861" w:name="_Toc526889895"/>
      <w:bookmarkStart w:id="5862" w:name="_Toc527108364"/>
      <w:bookmarkStart w:id="5863" w:name="_Toc19389662"/>
      <w:bookmarkStart w:id="5864" w:name="_Toc19393159"/>
      <w:r>
        <w:rPr>
          <w:rFonts w:hint="cs"/>
          <w:rtl/>
        </w:rPr>
        <w:t>דעת הרא"ה דבידוע שנגע במפרקת מותר אף לדידן</w:t>
      </w:r>
      <w:bookmarkEnd w:id="5860"/>
      <w:bookmarkEnd w:id="5861"/>
      <w:bookmarkEnd w:id="5862"/>
      <w:bookmarkEnd w:id="5863"/>
      <w:bookmarkEnd w:id="5864"/>
    </w:p>
    <w:p w14:paraId="34C1E22D" w14:textId="77777777" w:rsidR="00533768" w:rsidRPr="00D51481" w:rsidRDefault="00533768" w:rsidP="006D6D32">
      <w:pPr>
        <w:pStyle w:val="a3"/>
        <w:rPr>
          <w:rtl/>
        </w:rPr>
      </w:pPr>
      <w:bookmarkStart w:id="5865" w:name="_Toc526852998"/>
      <w:bookmarkStart w:id="5866" w:name="_Toc526889896"/>
      <w:bookmarkStart w:id="5867" w:name="_Toc527108365"/>
      <w:bookmarkStart w:id="5868" w:name="_Toc19389663"/>
      <w:bookmarkStart w:id="5869" w:name="_Toc19393160"/>
      <w:r>
        <w:rPr>
          <w:rFonts w:hint="cs"/>
          <w:rtl/>
        </w:rPr>
        <w:t>דברי הרא"ה דבידוע שנגע במפרקת הוא כשיבר בה עצמות ואף לדידן כשר</w:t>
      </w:r>
      <w:bookmarkEnd w:id="5865"/>
      <w:bookmarkEnd w:id="5866"/>
      <w:bookmarkEnd w:id="5867"/>
      <w:bookmarkEnd w:id="5868"/>
      <w:bookmarkEnd w:id="5869"/>
    </w:p>
    <w:p w14:paraId="0D0E999E" w14:textId="77777777" w:rsidR="00533768" w:rsidRDefault="00533768" w:rsidP="00223668">
      <w:pPr>
        <w:pStyle w:val="a0"/>
        <w:rPr>
          <w:rtl/>
        </w:rPr>
      </w:pPr>
      <w:bookmarkStart w:id="5870" w:name="_Ref526847473"/>
      <w:bookmarkStart w:id="5871" w:name="_Ref526502878"/>
      <w:r>
        <w:rPr>
          <w:rFonts w:hint="cs"/>
          <w:rtl/>
        </w:rPr>
        <w:t xml:space="preserve">והביא </w:t>
      </w:r>
      <w:r w:rsidRPr="000B2C44">
        <w:rPr>
          <w:rStyle w:val="af9"/>
          <w:rFonts w:hint="cs"/>
          <w:rtl/>
        </w:rPr>
        <w:t xml:space="preserve">הרמב"ן </w:t>
      </w:r>
      <w:r w:rsidRPr="000B2C44">
        <w:rPr>
          <w:rStyle w:val="af7"/>
          <w:rFonts w:eastAsia="Guttman Hodes" w:hint="cs"/>
          <w:rtl/>
        </w:rPr>
        <w:t>(ד"ה אימר</w:t>
      </w:r>
      <w:r>
        <w:rPr>
          <w:rStyle w:val="af7"/>
          <w:rFonts w:eastAsia="Guttman Hodes" w:hint="cs"/>
          <w:rtl/>
        </w:rPr>
        <w:t xml:space="preserve">) </w:t>
      </w:r>
      <w:r w:rsidRPr="00B6089B">
        <w:rPr>
          <w:rFonts w:hint="cs"/>
          <w:rtl/>
        </w:rPr>
        <w:t>בשם</w:t>
      </w:r>
      <w:r>
        <w:rPr>
          <w:rStyle w:val="af9"/>
          <w:rFonts w:hint="cs"/>
          <w:rtl/>
        </w:rPr>
        <w:t xml:space="preserve"> </w:t>
      </w:r>
      <w:r w:rsidRPr="000B2C44">
        <w:rPr>
          <w:rStyle w:val="af9"/>
          <w:rFonts w:hint="cs"/>
          <w:rtl/>
        </w:rPr>
        <w:t>י"א</w:t>
      </w:r>
      <w:r>
        <w:rPr>
          <w:rFonts w:hint="cs"/>
          <w:rtl/>
        </w:rPr>
        <w:t xml:space="preserve"> דהיכא דודאי נגע הסכין במפרקת, אף</w:t>
      </w:r>
      <w:r w:rsidRPr="00871045">
        <w:rPr>
          <w:rFonts w:hint="cs"/>
          <w:rtl/>
        </w:rPr>
        <w:t xml:space="preserve"> </w:t>
      </w:r>
      <w:r>
        <w:rPr>
          <w:rFonts w:hint="cs"/>
          <w:rtl/>
        </w:rPr>
        <w:t xml:space="preserve">לדידן תלינן במפרקת וכשר. וכ"כ להדיא </w:t>
      </w:r>
      <w:r w:rsidRPr="0063536D">
        <w:rPr>
          <w:rStyle w:val="af9"/>
          <w:rFonts w:hint="cs"/>
          <w:rtl/>
        </w:rPr>
        <w:t>הרא"ה בחי'</w:t>
      </w:r>
      <w:r>
        <w:rPr>
          <w:rFonts w:hint="cs"/>
          <w:rtl/>
        </w:rPr>
        <w:t xml:space="preserve"> </w:t>
      </w:r>
      <w:r w:rsidRPr="001C4532">
        <w:rPr>
          <w:rStyle w:val="af7"/>
          <w:rFonts w:eastAsia="Guttman Hodes" w:hint="cs"/>
          <w:rtl/>
        </w:rPr>
        <w:t xml:space="preserve">(ד"ה איתמר) </w:t>
      </w:r>
      <w:r>
        <w:rPr>
          <w:rFonts w:hint="cs"/>
          <w:rtl/>
        </w:rPr>
        <w:t xml:space="preserve">דכשידוע שנגע במפרקת חשיב כשיבר בה עצמות, ואף לדידן מותר כיון דקיי"ל כרב חסדא בשיבר בה עצמות, וכדמוכח בגמ' דפסקינן כרב הונא רק במקום שלא שיבר בה עצמות, והיינו שלא שיבר בודאי אלא בספק, דיש ספק שמא נגע במפרקת, וכן הביא </w:t>
      </w:r>
      <w:r w:rsidRPr="00EB2784">
        <w:rPr>
          <w:rStyle w:val="af9"/>
          <w:rFonts w:hint="cs"/>
          <w:rtl/>
        </w:rPr>
        <w:t>הר"ן על הרי"ף</w:t>
      </w:r>
      <w:r w:rsidRPr="001C4532">
        <w:rPr>
          <w:rStyle w:val="af7"/>
          <w:rFonts w:eastAsia="Guttman Hodes" w:hint="cs"/>
          <w:rtl/>
        </w:rPr>
        <w:t xml:space="preserve"> (ג. מדפי הרי"ף ד"ה והלכתא) </w:t>
      </w:r>
      <w:r w:rsidRPr="001201ED">
        <w:rPr>
          <w:rFonts w:hint="cs"/>
          <w:rtl/>
        </w:rPr>
        <w:t xml:space="preserve">בשם </w:t>
      </w:r>
      <w:r w:rsidRPr="00EB2784">
        <w:rPr>
          <w:rStyle w:val="af9"/>
          <w:rFonts w:hint="cs"/>
          <w:rtl/>
        </w:rPr>
        <w:t>י"א</w:t>
      </w:r>
      <w:r>
        <w:rPr>
          <w:rFonts w:hint="cs"/>
          <w:rtl/>
        </w:rPr>
        <w:t>.</w:t>
      </w:r>
      <w:bookmarkEnd w:id="5870"/>
    </w:p>
    <w:p w14:paraId="0427EE89" w14:textId="77777777" w:rsidR="00533768" w:rsidRPr="00C72327" w:rsidRDefault="00533768" w:rsidP="006D6D32">
      <w:pPr>
        <w:pStyle w:val="a3"/>
        <w:rPr>
          <w:rtl/>
        </w:rPr>
      </w:pPr>
      <w:bookmarkStart w:id="5872" w:name="_Toc526852999"/>
      <w:bookmarkStart w:id="5873" w:name="_Toc526889897"/>
      <w:bookmarkStart w:id="5874" w:name="_Toc527108366"/>
      <w:bookmarkStart w:id="5875" w:name="_Toc19389664"/>
      <w:bookmarkStart w:id="5876" w:name="_Toc19393161"/>
      <w:r>
        <w:rPr>
          <w:rFonts w:hint="cs"/>
          <w:rtl/>
        </w:rPr>
        <w:t>דברי הרא"ה דדוקא כשעשה רושם במפרקת מותר לדידן ובלא עשה אסור מספק</w:t>
      </w:r>
      <w:bookmarkEnd w:id="5872"/>
      <w:bookmarkEnd w:id="5873"/>
      <w:bookmarkEnd w:id="5874"/>
      <w:bookmarkEnd w:id="5875"/>
      <w:bookmarkEnd w:id="5876"/>
    </w:p>
    <w:p w14:paraId="0AF6B0B9" w14:textId="77777777" w:rsidR="00533768" w:rsidRDefault="00533768" w:rsidP="00223668">
      <w:pPr>
        <w:pStyle w:val="a0"/>
        <w:rPr>
          <w:rtl/>
        </w:rPr>
      </w:pPr>
      <w:r w:rsidRPr="00C72327">
        <w:rPr>
          <w:rFonts w:hint="cs"/>
          <w:rtl/>
        </w:rPr>
        <w:t xml:space="preserve">אך כתב </w:t>
      </w:r>
      <w:r w:rsidRPr="00C72327">
        <w:rPr>
          <w:rStyle w:val="af9"/>
          <w:rFonts w:hint="cs"/>
          <w:rtl/>
        </w:rPr>
        <w:t>הרא"ה בבד"ה</w:t>
      </w:r>
      <w:r w:rsidRPr="00C72327">
        <w:rPr>
          <w:rFonts w:hint="cs"/>
          <w:rtl/>
        </w:rPr>
        <w:t xml:space="preserve"> </w:t>
      </w:r>
      <w:r w:rsidRPr="00C72327">
        <w:rPr>
          <w:rStyle w:val="af7"/>
          <w:rFonts w:eastAsia="Guttman Hodes" w:hint="cs"/>
          <w:rtl/>
        </w:rPr>
        <w:t>(ב"א ש"ב דף טז. מדה"ס)</w:t>
      </w:r>
      <w:r w:rsidRPr="00C72327">
        <w:rPr>
          <w:rFonts w:hint="cs"/>
          <w:rtl/>
        </w:rPr>
        <w:t xml:space="preserve"> </w:t>
      </w:r>
      <w:r>
        <w:rPr>
          <w:rFonts w:hint="cs"/>
          <w:rtl/>
        </w:rPr>
        <w:t>דזהו דוקא</w:t>
      </w:r>
      <w:r w:rsidRPr="00C72327">
        <w:rPr>
          <w:rFonts w:hint="cs"/>
          <w:rtl/>
        </w:rPr>
        <w:t>, הוא דוקא במקום שעשה רושם במפרקת, אבל במקום שלא עשה רושם במפרקת, הוא ספק אי חשיב כשיבר בה עצמות, וצריך להחמיר</w:t>
      </w:r>
      <w:r>
        <w:rPr>
          <w:rFonts w:hint="cs"/>
          <w:rtl/>
        </w:rPr>
        <w:t>,</w:t>
      </w:r>
      <w:r w:rsidRPr="00B6089B">
        <w:rPr>
          <w:rFonts w:hint="cs"/>
          <w:rtl/>
        </w:rPr>
        <w:t xml:space="preserve"> </w:t>
      </w:r>
      <w:r>
        <w:rPr>
          <w:rFonts w:hint="cs"/>
          <w:rtl/>
        </w:rPr>
        <w:t xml:space="preserve">ועיי"ש </w:t>
      </w:r>
      <w:r>
        <w:rPr>
          <w:rStyle w:val="af9"/>
          <w:rFonts w:hint="cs"/>
          <w:rtl/>
        </w:rPr>
        <w:t>ב</w:t>
      </w:r>
      <w:r w:rsidRPr="0030772A">
        <w:rPr>
          <w:rStyle w:val="af9"/>
          <w:rFonts w:hint="cs"/>
          <w:rtl/>
        </w:rPr>
        <w:t>רא"ה בבד"ה</w:t>
      </w:r>
      <w:r>
        <w:rPr>
          <w:rFonts w:hint="cs"/>
          <w:rtl/>
        </w:rPr>
        <w:t xml:space="preserve"> במה שהוכיח כן מהגמ', דבשנגע במפרקת חשיב כשיבר בה עצמות, ובמה שדחה את דבריו</w:t>
      </w:r>
      <w:r w:rsidRPr="003E2891">
        <w:rPr>
          <w:rStyle w:val="af9"/>
          <w:rFonts w:hint="cs"/>
          <w:rtl/>
        </w:rPr>
        <w:t xml:space="preserve"> הרשב"א במשה"ב</w:t>
      </w:r>
      <w:r>
        <w:rPr>
          <w:rFonts w:hint="cs"/>
          <w:rtl/>
        </w:rPr>
        <w:t xml:space="preserve"> </w:t>
      </w:r>
      <w:r w:rsidRPr="00C72327">
        <w:rPr>
          <w:rStyle w:val="af7"/>
          <w:rFonts w:eastAsia="Guttman Hodes" w:hint="cs"/>
          <w:rtl/>
        </w:rPr>
        <w:t>(ב"א ש"ב דף טז. מדה"ס)</w:t>
      </w:r>
      <w:r>
        <w:rPr>
          <w:rFonts w:hint="cs"/>
          <w:rtl/>
        </w:rPr>
        <w:t>.</w:t>
      </w:r>
    </w:p>
    <w:p w14:paraId="34E67077" w14:textId="77777777" w:rsidR="00533768" w:rsidRDefault="00533768" w:rsidP="00BF39B2">
      <w:pPr>
        <w:pStyle w:val="1"/>
        <w:rPr>
          <w:rtl/>
        </w:rPr>
      </w:pPr>
      <w:bookmarkStart w:id="5877" w:name="_Toc526889898"/>
      <w:bookmarkStart w:id="5878" w:name="_Toc527108367"/>
      <w:bookmarkStart w:id="5879" w:name="_Toc19389665"/>
      <w:bookmarkStart w:id="5880" w:name="_Toc19393162"/>
      <w:bookmarkStart w:id="5881" w:name="_Toc526853000"/>
      <w:bookmarkStart w:id="5882" w:name="_Toc526504106"/>
      <w:r>
        <w:rPr>
          <w:rFonts w:hint="cs"/>
          <w:rtl/>
        </w:rPr>
        <w:t>דברי המרדכי בנמצא חתך במפרקת</w:t>
      </w:r>
      <w:bookmarkEnd w:id="5877"/>
      <w:bookmarkEnd w:id="5878"/>
      <w:bookmarkEnd w:id="5879"/>
      <w:bookmarkEnd w:id="5880"/>
    </w:p>
    <w:p w14:paraId="0775551C" w14:textId="77777777" w:rsidR="00533768" w:rsidRDefault="00533768" w:rsidP="006D6D32">
      <w:pPr>
        <w:pStyle w:val="a3"/>
        <w:rPr>
          <w:rtl/>
        </w:rPr>
      </w:pPr>
      <w:bookmarkStart w:id="5883" w:name="_Toc526889899"/>
      <w:bookmarkStart w:id="5884" w:name="_Toc527108368"/>
      <w:bookmarkStart w:id="5885" w:name="_Toc19389666"/>
      <w:bookmarkStart w:id="5886" w:name="_Toc19393163"/>
      <w:r>
        <w:rPr>
          <w:rFonts w:hint="cs"/>
          <w:rtl/>
        </w:rPr>
        <w:t>דברי המרדכי דבהדיח את המפרקת ונמצא בה חתך אף לדידן תלינן במפרקת</w:t>
      </w:r>
      <w:bookmarkEnd w:id="5881"/>
      <w:bookmarkEnd w:id="5883"/>
      <w:bookmarkEnd w:id="5884"/>
      <w:bookmarkEnd w:id="5885"/>
      <w:bookmarkEnd w:id="5886"/>
    </w:p>
    <w:p w14:paraId="3B4EB869" w14:textId="77777777" w:rsidR="00533768" w:rsidRDefault="00533768" w:rsidP="00223668">
      <w:pPr>
        <w:pStyle w:val="a0"/>
        <w:rPr>
          <w:rtl/>
        </w:rPr>
      </w:pPr>
      <w:bookmarkStart w:id="5887" w:name="_Ref526848950"/>
      <w:r>
        <w:rPr>
          <w:rFonts w:hint="cs"/>
          <w:rtl/>
        </w:rPr>
        <w:t>וכעי"ז כתב</w:t>
      </w:r>
      <w:r w:rsidRPr="00B20C82">
        <w:rPr>
          <w:rStyle w:val="af9"/>
          <w:rFonts w:hint="cs"/>
          <w:rtl/>
        </w:rPr>
        <w:t xml:space="preserve"> המרדכי</w:t>
      </w:r>
      <w:r>
        <w:rPr>
          <w:rFonts w:hint="cs"/>
          <w:rtl/>
        </w:rPr>
        <w:t xml:space="preserve"> </w:t>
      </w:r>
      <w:r w:rsidRPr="00B20C82">
        <w:rPr>
          <w:rStyle w:val="af7"/>
          <w:rFonts w:eastAsia="Guttman Hodes" w:hint="cs"/>
          <w:rtl/>
        </w:rPr>
        <w:t>(תקפ"ז)</w:t>
      </w:r>
      <w:r>
        <w:rPr>
          <w:rFonts w:hint="cs"/>
          <w:rtl/>
        </w:rPr>
        <w:t xml:space="preserve"> בשם </w:t>
      </w:r>
      <w:r w:rsidRPr="00B20C82">
        <w:rPr>
          <w:rStyle w:val="af9"/>
          <w:rFonts w:hint="cs"/>
          <w:rtl/>
        </w:rPr>
        <w:t>רבינו יהודה ב"ר קלונימוס ורבינו שמריה</w:t>
      </w:r>
      <w:r>
        <w:rPr>
          <w:rFonts w:hint="cs"/>
          <w:rtl/>
        </w:rPr>
        <w:t xml:space="preserve"> דאם הדיח את המפרקת מהדם ונמצא חתך במפרקת שהסכין נכנס לתוכה, השחיטה כשרה דחשיב כשיבר בה עצמות</w:t>
      </w:r>
      <w:r>
        <w:rPr>
          <w:rStyle w:val="af1"/>
          <w:rtl/>
        </w:rPr>
        <w:footnoteReference w:id="31"/>
      </w:r>
      <w:r>
        <w:rPr>
          <w:rFonts w:hint="cs"/>
          <w:rtl/>
        </w:rPr>
        <w:t>.</w:t>
      </w:r>
      <w:bookmarkEnd w:id="5887"/>
    </w:p>
    <w:p w14:paraId="5605788C" w14:textId="77777777" w:rsidR="00533768" w:rsidRPr="00B20C82" w:rsidRDefault="00533768" w:rsidP="006D6D32">
      <w:pPr>
        <w:pStyle w:val="a3"/>
      </w:pPr>
      <w:bookmarkStart w:id="5888" w:name="_Toc526853001"/>
      <w:bookmarkStart w:id="5889" w:name="_Toc526889900"/>
      <w:bookmarkStart w:id="5890" w:name="_Toc527108369"/>
      <w:bookmarkStart w:id="5891" w:name="_Toc19389667"/>
      <w:bookmarkStart w:id="5892" w:name="_Toc19393164"/>
      <w:r>
        <w:rPr>
          <w:rFonts w:hint="cs"/>
          <w:rtl/>
        </w:rPr>
        <w:t>ביאור המרדכי דרב חסדא איירי בנגע במפרקת ולא עשה חתך דאי"ז כשיבר בה עצמות</w:t>
      </w:r>
      <w:bookmarkEnd w:id="5888"/>
      <w:bookmarkEnd w:id="5889"/>
      <w:bookmarkEnd w:id="5890"/>
      <w:bookmarkEnd w:id="5891"/>
      <w:bookmarkEnd w:id="5892"/>
    </w:p>
    <w:p w14:paraId="2AEE7BFC" w14:textId="77777777" w:rsidR="00533768" w:rsidRDefault="00533768" w:rsidP="00223668">
      <w:pPr>
        <w:pStyle w:val="a0"/>
        <w:rPr>
          <w:rtl/>
        </w:rPr>
      </w:pPr>
      <w:r>
        <w:rPr>
          <w:rFonts w:hint="cs"/>
          <w:rtl/>
        </w:rPr>
        <w:t xml:space="preserve">והקשה </w:t>
      </w:r>
      <w:r w:rsidRPr="00B20C82">
        <w:rPr>
          <w:rStyle w:val="af9"/>
          <w:rFonts w:hint="cs"/>
          <w:rtl/>
        </w:rPr>
        <w:t>המרדכי</w:t>
      </w:r>
      <w:r>
        <w:rPr>
          <w:rFonts w:hint="cs"/>
          <w:rtl/>
        </w:rPr>
        <w:t xml:space="preserve"> דא"כ פלוגתת רב הונא ורב חסדא היא בשלא הדיח את המפרקת, ויש ספק אם נגע הסכין במפרקת, והיאך התיר רב חסדא דהא הסכין ודאי נגע בעור וספק נגע במפרקת, ועוד דהרי </w:t>
      </w:r>
      <w:r w:rsidRPr="00B20C82">
        <w:rPr>
          <w:rStyle w:val="af9"/>
          <w:rFonts w:hint="cs"/>
          <w:rtl/>
        </w:rPr>
        <w:t>רש"י</w:t>
      </w:r>
      <w:r>
        <w:rPr>
          <w:rFonts w:hint="cs"/>
          <w:rtl/>
        </w:rPr>
        <w:t xml:space="preserve"> </w:t>
      </w:r>
      <w:r w:rsidRPr="00B20C82">
        <w:rPr>
          <w:rStyle w:val="af7"/>
          <w:rFonts w:eastAsia="Guttman Hodes" w:hint="cs"/>
          <w:rtl/>
        </w:rPr>
        <w:t xml:space="preserve">(עי' אות </w:t>
      </w:r>
      <w:r w:rsidRPr="00B20C82">
        <w:rPr>
          <w:rStyle w:val="af7"/>
          <w:rFonts w:eastAsia="Guttman Hodes"/>
          <w:rtl/>
        </w:rPr>
        <w:fldChar w:fldCharType="begin"/>
      </w:r>
      <w:r w:rsidRPr="00B20C82">
        <w:rPr>
          <w:rStyle w:val="af7"/>
          <w:rFonts w:eastAsia="Guttman Hodes"/>
          <w:rtl/>
        </w:rPr>
        <w:instrText xml:space="preserve"> </w:instrText>
      </w:r>
      <w:r w:rsidRPr="00B20C82">
        <w:rPr>
          <w:rStyle w:val="af7"/>
          <w:rFonts w:eastAsia="Guttman Hodes" w:hint="cs"/>
        </w:rPr>
        <w:instrText>REF</w:instrText>
      </w:r>
      <w:r w:rsidRPr="00B20C82">
        <w:rPr>
          <w:rStyle w:val="af7"/>
          <w:rFonts w:eastAsia="Guttman Hodes" w:hint="cs"/>
          <w:rtl/>
        </w:rPr>
        <w:instrText xml:space="preserve"> _</w:instrText>
      </w:r>
      <w:r w:rsidRPr="00B20C82">
        <w:rPr>
          <w:rStyle w:val="af7"/>
          <w:rFonts w:eastAsia="Guttman Hodes" w:hint="cs"/>
        </w:rPr>
        <w:instrText>Ref526496439 \r \h</w:instrText>
      </w:r>
      <w:r w:rsidRPr="00B20C82">
        <w:rPr>
          <w:rStyle w:val="af7"/>
          <w:rFonts w:eastAsia="Guttman Hodes"/>
          <w:rtl/>
        </w:rPr>
        <w:instrText xml:space="preserve"> </w:instrText>
      </w:r>
      <w:r w:rsidRPr="00B20C82">
        <w:rPr>
          <w:rStyle w:val="af7"/>
          <w:rFonts w:eastAsia="Guttman Hodes"/>
          <w:rtl/>
        </w:rPr>
      </w:r>
      <w:r w:rsidRPr="00B20C82">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B20C82">
        <w:rPr>
          <w:rStyle w:val="af7"/>
          <w:rFonts w:eastAsia="Guttman Hodes"/>
          <w:rtl/>
        </w:rPr>
        <w:fldChar w:fldCharType="end"/>
      </w:r>
      <w:r>
        <w:rPr>
          <w:rFonts w:hint="cs"/>
          <w:rtl/>
        </w:rPr>
        <w:t xml:space="preserve"> כתב דלדידן לא סבירא לן כרב  חסדא דהמפרקת פוגמת יותר מהעור, ואילו שבירת עצמות בכח ודאי שפוגמת יותר ותלינן בה. ותירץ </w:t>
      </w:r>
      <w:r w:rsidRPr="00B20C82">
        <w:rPr>
          <w:rStyle w:val="af9"/>
          <w:rFonts w:hint="cs"/>
          <w:rtl/>
        </w:rPr>
        <w:t xml:space="preserve">המרדכי </w:t>
      </w:r>
      <w:r>
        <w:rPr>
          <w:rFonts w:hint="cs"/>
          <w:rtl/>
        </w:rPr>
        <w:t>דאפש"ל דרב חסדא איירי שנגע במפרקת אך לא נכנס הסכין לתוכה ולכן לדידן לא חשיב כשיבר בה עצמות.</w:t>
      </w:r>
    </w:p>
    <w:p w14:paraId="1A174652" w14:textId="77777777" w:rsidR="00533768" w:rsidRDefault="00533768" w:rsidP="00BF39B2">
      <w:pPr>
        <w:pStyle w:val="1"/>
        <w:rPr>
          <w:rtl/>
        </w:rPr>
      </w:pPr>
      <w:bookmarkStart w:id="5893" w:name="_Toc526889901"/>
      <w:bookmarkStart w:id="5894" w:name="_Toc527108370"/>
      <w:bookmarkStart w:id="5895" w:name="_Toc19389668"/>
      <w:bookmarkStart w:id="5896" w:name="_Toc19393165"/>
      <w:bookmarkStart w:id="5897" w:name="_Toc526853002"/>
      <w:r>
        <w:rPr>
          <w:rFonts w:hint="cs"/>
          <w:rtl/>
        </w:rPr>
        <w:t>דעת הרא"ה דבודאי לא נגע במפרקת לכו"ע אסור</w:t>
      </w:r>
      <w:bookmarkEnd w:id="5893"/>
      <w:bookmarkEnd w:id="5894"/>
      <w:bookmarkEnd w:id="5895"/>
      <w:bookmarkEnd w:id="5896"/>
    </w:p>
    <w:p w14:paraId="09F16E1E" w14:textId="77777777" w:rsidR="00533768" w:rsidRPr="00A612D2" w:rsidRDefault="00533768" w:rsidP="006D6D32">
      <w:pPr>
        <w:pStyle w:val="a3"/>
        <w:rPr>
          <w:rtl/>
        </w:rPr>
      </w:pPr>
      <w:bookmarkStart w:id="5898" w:name="_Toc526889902"/>
      <w:bookmarkStart w:id="5899" w:name="_Toc527108371"/>
      <w:bookmarkStart w:id="5900" w:name="_Toc19389669"/>
      <w:bookmarkStart w:id="5901" w:name="_Toc19393166"/>
      <w:r>
        <w:rPr>
          <w:rFonts w:hint="cs"/>
          <w:rtl/>
        </w:rPr>
        <w:t>דברי הרא"ה דבמקום שודאי לא נגע הסכין במפרקת אף רב חסדא מודה דאסור</w:t>
      </w:r>
      <w:bookmarkEnd w:id="5898"/>
      <w:bookmarkEnd w:id="5899"/>
      <w:bookmarkEnd w:id="5900"/>
      <w:bookmarkEnd w:id="5901"/>
    </w:p>
    <w:p w14:paraId="0E1A1C77" w14:textId="77777777" w:rsidR="00533768" w:rsidRDefault="00533768" w:rsidP="00223668">
      <w:pPr>
        <w:pStyle w:val="a0"/>
        <w:rPr>
          <w:rtl/>
        </w:rPr>
      </w:pPr>
      <w:bookmarkStart w:id="5902" w:name="_Ref523997858"/>
      <w:bookmarkStart w:id="5903" w:name="_Ref526869070"/>
      <w:r>
        <w:rPr>
          <w:rFonts w:hint="cs"/>
          <w:rtl/>
        </w:rPr>
        <w:t>עו"כ</w:t>
      </w:r>
      <w:r w:rsidRPr="00BB059E">
        <w:rPr>
          <w:rFonts w:hint="cs"/>
          <w:rtl/>
        </w:rPr>
        <w:t xml:space="preserve"> </w:t>
      </w:r>
      <w:r w:rsidRPr="00BB059E">
        <w:rPr>
          <w:rStyle w:val="af9"/>
          <w:rFonts w:hint="cs"/>
          <w:rtl/>
        </w:rPr>
        <w:t>הרא"ה בחי'</w:t>
      </w:r>
      <w:r w:rsidRPr="00BB059E">
        <w:rPr>
          <w:rFonts w:hint="cs"/>
          <w:rtl/>
        </w:rPr>
        <w:t xml:space="preserve"> </w:t>
      </w:r>
      <w:r w:rsidRPr="00C15BD0">
        <w:rPr>
          <w:rStyle w:val="af7"/>
          <w:rFonts w:eastAsia="Guttman Hodes" w:hint="cs"/>
          <w:rtl/>
        </w:rPr>
        <w:t xml:space="preserve">(ד"ה איתמר) </w:t>
      </w:r>
      <w:r>
        <w:rPr>
          <w:rFonts w:hint="cs"/>
          <w:rtl/>
        </w:rPr>
        <w:t>ד</w:t>
      </w:r>
      <w:r w:rsidRPr="00BB059E">
        <w:rPr>
          <w:rFonts w:hint="cs"/>
          <w:rtl/>
        </w:rPr>
        <w:t>רב הונא ורב חסדא נחלקו</w:t>
      </w:r>
      <w:r>
        <w:rPr>
          <w:rFonts w:hint="cs"/>
          <w:rtl/>
        </w:rPr>
        <w:t xml:space="preserve"> רק </w:t>
      </w:r>
      <w:r w:rsidRPr="00BB059E">
        <w:rPr>
          <w:rFonts w:hint="cs"/>
          <w:rtl/>
        </w:rPr>
        <w:t>בסתם שחיטה</w:t>
      </w:r>
      <w:r>
        <w:rPr>
          <w:rFonts w:hint="cs"/>
          <w:rtl/>
        </w:rPr>
        <w:t xml:space="preserve"> ש</w:t>
      </w:r>
      <w:r w:rsidRPr="00BB059E">
        <w:rPr>
          <w:rFonts w:hint="cs"/>
          <w:rtl/>
        </w:rPr>
        <w:t xml:space="preserve">יש ספק אם נגע במפרקת, </w:t>
      </w:r>
      <w:r>
        <w:rPr>
          <w:rFonts w:hint="cs"/>
          <w:rtl/>
        </w:rPr>
        <w:t xml:space="preserve">דלרב הונא אף בשיבר בה עצמות מעמידים את הבהמה בחזקת איסור, ולרב חסדא אף אם לא בדק כלל לאחר השחיטה מעמידים את הסכין בחזקת בדוק. אבל </w:t>
      </w:r>
      <w:bookmarkEnd w:id="5902"/>
      <w:r w:rsidRPr="00B74C9C">
        <w:rPr>
          <w:rFonts w:hint="cs"/>
          <w:rtl/>
        </w:rPr>
        <w:t>במקום שודאי לא</w:t>
      </w:r>
      <w:r>
        <w:rPr>
          <w:rFonts w:hint="cs"/>
          <w:rtl/>
        </w:rPr>
        <w:t xml:space="preserve"> הסכין</w:t>
      </w:r>
      <w:r w:rsidRPr="00B74C9C">
        <w:rPr>
          <w:rFonts w:hint="cs"/>
          <w:rtl/>
        </w:rPr>
        <w:t xml:space="preserve"> נגע במפרקת, אף רב חסדא מודה דאסור, דהוא ודאי שהעור פגמה.</w:t>
      </w:r>
      <w:r w:rsidRPr="00263052">
        <w:rPr>
          <w:rFonts w:hint="cs"/>
          <w:rtl/>
        </w:rPr>
        <w:t xml:space="preserve"> </w:t>
      </w:r>
      <w:r>
        <w:rPr>
          <w:rStyle w:val="afb"/>
          <w:rFonts w:hint="cs"/>
          <w:rtl/>
        </w:rPr>
        <w:t>[</w:t>
      </w:r>
      <w:r w:rsidRPr="00263052">
        <w:rPr>
          <w:rStyle w:val="afb"/>
          <w:rFonts w:hint="cs"/>
          <w:rtl/>
        </w:rPr>
        <w:t>וע"ע</w:t>
      </w:r>
      <w:r w:rsidRPr="001F1320">
        <w:rPr>
          <w:rStyle w:val="afb"/>
          <w:rFonts w:hint="cs"/>
          <w:rtl/>
        </w:rPr>
        <w:t xml:space="preserve"> </w:t>
      </w:r>
      <w:r w:rsidRPr="001F1320">
        <w:rPr>
          <w:rStyle w:val="affa"/>
          <w:rFonts w:hint="cs"/>
          <w:rtl/>
        </w:rPr>
        <w:t>ברא"ה בבד"ה</w:t>
      </w:r>
      <w:r w:rsidRPr="001F1320">
        <w:rPr>
          <w:rStyle w:val="afb"/>
          <w:rFonts w:hint="cs"/>
          <w:rtl/>
        </w:rPr>
        <w:t xml:space="preserve"> </w:t>
      </w:r>
      <w:r w:rsidRPr="001F1320">
        <w:rPr>
          <w:rStyle w:val="aff6"/>
          <w:rFonts w:hint="cs"/>
          <w:rtl/>
        </w:rPr>
        <w:t xml:space="preserve">(ב"א ש"ב דף טז. מדה"ס) </w:t>
      </w:r>
      <w:r>
        <w:rPr>
          <w:rStyle w:val="afb"/>
          <w:rFonts w:hint="cs"/>
          <w:rtl/>
        </w:rPr>
        <w:t xml:space="preserve">במ"ש להוכיח דכל פלוגתת רב הונא ורב חסדא, היא רק בספק נגע </w:t>
      </w:r>
      <w:r w:rsidRPr="001F1320">
        <w:rPr>
          <w:rStyle w:val="afb"/>
          <w:rFonts w:hint="cs"/>
          <w:rtl/>
        </w:rPr>
        <w:t>במפרקת,</w:t>
      </w:r>
      <w:r>
        <w:rPr>
          <w:rStyle w:val="afb"/>
          <w:rFonts w:hint="cs"/>
          <w:rtl/>
        </w:rPr>
        <w:t xml:space="preserve"> ובדברי </w:t>
      </w:r>
      <w:r w:rsidRPr="001F1320">
        <w:rPr>
          <w:rStyle w:val="affa"/>
          <w:rFonts w:hint="cs"/>
          <w:rtl/>
        </w:rPr>
        <w:t>הרשב"א במשה"ב</w:t>
      </w:r>
      <w:r w:rsidRPr="001F1320">
        <w:rPr>
          <w:rStyle w:val="afb"/>
          <w:rFonts w:hint="cs"/>
          <w:rtl/>
        </w:rPr>
        <w:t xml:space="preserve"> </w:t>
      </w:r>
      <w:r w:rsidRPr="001F1320">
        <w:rPr>
          <w:rStyle w:val="aff6"/>
          <w:rFonts w:hint="cs"/>
          <w:rtl/>
        </w:rPr>
        <w:t xml:space="preserve">(ב"א ש"ב דף טז. מדה"ס) </w:t>
      </w:r>
      <w:r>
        <w:rPr>
          <w:rStyle w:val="afb"/>
          <w:rFonts w:hint="cs"/>
          <w:rtl/>
        </w:rPr>
        <w:t>במה ש</w:t>
      </w:r>
      <w:r w:rsidRPr="001F1320">
        <w:rPr>
          <w:rStyle w:val="afb"/>
          <w:rFonts w:hint="cs"/>
          <w:rtl/>
        </w:rPr>
        <w:t>דחה את דבריו</w:t>
      </w:r>
      <w:r>
        <w:rPr>
          <w:rStyle w:val="afb"/>
          <w:rFonts w:hint="cs"/>
          <w:rtl/>
        </w:rPr>
        <w:t>].</w:t>
      </w:r>
      <w:bookmarkEnd w:id="5903"/>
    </w:p>
    <w:p w14:paraId="1AC2B11D" w14:textId="77777777" w:rsidR="00533768" w:rsidRDefault="00533768" w:rsidP="00BF39B2">
      <w:pPr>
        <w:pStyle w:val="1"/>
        <w:rPr>
          <w:rtl/>
        </w:rPr>
      </w:pPr>
      <w:bookmarkStart w:id="5904" w:name="_Toc526889903"/>
      <w:bookmarkStart w:id="5905" w:name="_Toc527108372"/>
      <w:bookmarkStart w:id="5906" w:name="_Toc19389670"/>
      <w:bookmarkStart w:id="5907" w:name="_Toc19393167"/>
      <w:r>
        <w:rPr>
          <w:rFonts w:hint="cs"/>
          <w:rtl/>
        </w:rPr>
        <w:t>פלוגתת הרמב"ן והרשב"א בחתך את כל המפרקת</w:t>
      </w:r>
      <w:bookmarkEnd w:id="5882"/>
      <w:bookmarkEnd w:id="5897"/>
      <w:bookmarkEnd w:id="5904"/>
      <w:bookmarkEnd w:id="5905"/>
      <w:bookmarkEnd w:id="5906"/>
      <w:bookmarkEnd w:id="5907"/>
    </w:p>
    <w:p w14:paraId="3A115BA2" w14:textId="77777777" w:rsidR="00533768" w:rsidRPr="002D5197" w:rsidRDefault="00533768" w:rsidP="006D6D32">
      <w:pPr>
        <w:pStyle w:val="a3"/>
      </w:pPr>
      <w:bookmarkStart w:id="5908" w:name="_Toc526853003"/>
      <w:bookmarkStart w:id="5909" w:name="_Toc526889904"/>
      <w:bookmarkStart w:id="5910" w:name="_Toc527108373"/>
      <w:bookmarkStart w:id="5911" w:name="_Toc19389671"/>
      <w:bookmarkStart w:id="5912" w:name="_Toc19393168"/>
      <w:r>
        <w:rPr>
          <w:rFonts w:hint="cs"/>
          <w:rtl/>
        </w:rPr>
        <w:t>דעת הרמב"ן דדוקא בשבר את כל המפרקת תלינן אבל בנגע במפרקת לא תלינן לקולא</w:t>
      </w:r>
      <w:bookmarkEnd w:id="5908"/>
      <w:bookmarkEnd w:id="5909"/>
      <w:bookmarkEnd w:id="5910"/>
      <w:bookmarkEnd w:id="5911"/>
      <w:bookmarkEnd w:id="5912"/>
      <w:r>
        <w:rPr>
          <w:rFonts w:hint="cs"/>
          <w:rtl/>
        </w:rPr>
        <w:t xml:space="preserve"> </w:t>
      </w:r>
    </w:p>
    <w:p w14:paraId="46F5353C" w14:textId="77777777" w:rsidR="00533768" w:rsidRPr="000B2C44" w:rsidRDefault="00533768" w:rsidP="00223668">
      <w:pPr>
        <w:pStyle w:val="a0"/>
        <w:rPr>
          <w:rtl/>
        </w:rPr>
      </w:pPr>
      <w:bookmarkStart w:id="5913" w:name="_Ref526850048"/>
      <w:r>
        <w:rPr>
          <w:rFonts w:hint="cs"/>
          <w:rtl/>
        </w:rPr>
        <w:t xml:space="preserve">כתב </w:t>
      </w:r>
      <w:r w:rsidRPr="001A01B6">
        <w:rPr>
          <w:rStyle w:val="af9"/>
          <w:rFonts w:hint="cs"/>
          <w:rtl/>
        </w:rPr>
        <w:t>הר</w:t>
      </w:r>
      <w:r w:rsidRPr="000B2C44">
        <w:rPr>
          <w:rStyle w:val="af9"/>
          <w:rFonts w:hint="cs"/>
          <w:rtl/>
        </w:rPr>
        <w:t>מב"ן</w:t>
      </w:r>
      <w:r>
        <w:rPr>
          <w:rFonts w:hint="cs"/>
          <w:rtl/>
        </w:rPr>
        <w:t xml:space="preserve"> דבמקום ששבר לגמרי את המפרקת תלינן לקולא, אבל בנגיעה במפרקת אסור, </w:t>
      </w:r>
      <w:r w:rsidRPr="00D40F2C">
        <w:rPr>
          <w:rStyle w:val="afb"/>
          <w:rFonts w:hint="cs"/>
          <w:rtl/>
        </w:rPr>
        <w:t>[</w:t>
      </w:r>
      <w:r>
        <w:rPr>
          <w:rStyle w:val="afb"/>
          <w:rFonts w:hint="cs"/>
          <w:rtl/>
        </w:rPr>
        <w:t>ו</w:t>
      </w:r>
      <w:r w:rsidRPr="00D40F2C">
        <w:rPr>
          <w:rStyle w:val="afb"/>
          <w:rFonts w:hint="cs"/>
          <w:rtl/>
        </w:rPr>
        <w:t>דחה את</w:t>
      </w:r>
      <w:r w:rsidRPr="00F412DF">
        <w:rPr>
          <w:rStyle w:val="afb"/>
          <w:rFonts w:hint="cs"/>
          <w:rtl/>
        </w:rPr>
        <w:t xml:space="preserve"> ד</w:t>
      </w:r>
      <w:r>
        <w:rPr>
          <w:rStyle w:val="afb"/>
          <w:rFonts w:hint="cs"/>
          <w:rtl/>
        </w:rPr>
        <w:t>עת</w:t>
      </w:r>
      <w:r w:rsidRPr="00F412DF">
        <w:rPr>
          <w:rStyle w:val="afb"/>
          <w:rFonts w:hint="cs"/>
          <w:rtl/>
        </w:rPr>
        <w:t xml:space="preserve"> </w:t>
      </w:r>
      <w:r w:rsidRPr="00F412DF">
        <w:rPr>
          <w:rStyle w:val="affa"/>
          <w:rFonts w:hint="cs"/>
          <w:rtl/>
        </w:rPr>
        <w:t>הרא"ה</w:t>
      </w:r>
      <w:r>
        <w:rPr>
          <w:rStyle w:val="afb"/>
          <w:rFonts w:hint="cs"/>
          <w:rtl/>
        </w:rPr>
        <w:t xml:space="preserve"> </w:t>
      </w:r>
      <w:r w:rsidRPr="00863DC0">
        <w:rPr>
          <w:rStyle w:val="aff6"/>
          <w:rFonts w:hint="cs"/>
          <w:rtl/>
        </w:rPr>
        <w:t xml:space="preserve">(עי' אות </w:t>
      </w:r>
      <w:r w:rsidRPr="00863DC0">
        <w:rPr>
          <w:rStyle w:val="aff6"/>
          <w:rtl/>
        </w:rPr>
        <w:fldChar w:fldCharType="begin"/>
      </w:r>
      <w:r w:rsidRPr="00863DC0">
        <w:rPr>
          <w:rStyle w:val="aff6"/>
          <w:rtl/>
        </w:rPr>
        <w:instrText xml:space="preserve"> </w:instrText>
      </w:r>
      <w:r w:rsidRPr="00863DC0">
        <w:rPr>
          <w:rStyle w:val="aff6"/>
          <w:rFonts w:hint="cs"/>
        </w:rPr>
        <w:instrText>REF</w:instrText>
      </w:r>
      <w:r w:rsidRPr="00863DC0">
        <w:rPr>
          <w:rStyle w:val="aff6"/>
          <w:rFonts w:hint="cs"/>
          <w:rtl/>
        </w:rPr>
        <w:instrText xml:space="preserve"> _</w:instrText>
      </w:r>
      <w:r w:rsidRPr="00863DC0">
        <w:rPr>
          <w:rStyle w:val="aff6"/>
          <w:rFonts w:hint="cs"/>
        </w:rPr>
        <w:instrText>Ref526847473 \r \h</w:instrText>
      </w:r>
      <w:r w:rsidRPr="00863DC0">
        <w:rPr>
          <w:rStyle w:val="aff6"/>
          <w:rtl/>
        </w:rPr>
        <w:instrText xml:space="preserve"> </w:instrText>
      </w:r>
      <w:r w:rsidRPr="00863DC0">
        <w:rPr>
          <w:rStyle w:val="aff6"/>
          <w:rtl/>
        </w:rPr>
      </w:r>
      <w:r w:rsidRPr="00863DC0">
        <w:rPr>
          <w:rStyle w:val="aff6"/>
          <w:rtl/>
        </w:rPr>
        <w:fldChar w:fldCharType="separate"/>
      </w:r>
      <w:r w:rsidR="00345400">
        <w:rPr>
          <w:rStyle w:val="aff6"/>
          <w:cs/>
        </w:rPr>
        <w:t>‎</w:t>
      </w:r>
      <w:r w:rsidR="00345400">
        <w:rPr>
          <w:rStyle w:val="aff6"/>
          <w:rtl/>
        </w:rPr>
        <w:t>יח)</w:t>
      </w:r>
      <w:r w:rsidRPr="00863DC0">
        <w:rPr>
          <w:rStyle w:val="aff6"/>
          <w:rtl/>
        </w:rPr>
        <w:fldChar w:fldCharType="end"/>
      </w:r>
      <w:r w:rsidRPr="00F412DF">
        <w:rPr>
          <w:rStyle w:val="afb"/>
          <w:rFonts w:hint="cs"/>
          <w:rtl/>
        </w:rPr>
        <w:t>]</w:t>
      </w:r>
      <w:r w:rsidRPr="00D40F2C">
        <w:rPr>
          <w:rStyle w:val="afb"/>
          <w:rFonts w:hint="cs"/>
          <w:rtl/>
        </w:rPr>
        <w:t>,</w:t>
      </w:r>
      <w:r>
        <w:rPr>
          <w:rFonts w:hint="cs"/>
          <w:rtl/>
        </w:rPr>
        <w:t xml:space="preserve"> דהא קיי"ל כרב חסדא רק בששיבר בה עצמות.</w:t>
      </w:r>
      <w:bookmarkEnd w:id="5871"/>
      <w:bookmarkEnd w:id="5913"/>
    </w:p>
    <w:p w14:paraId="48082167" w14:textId="77777777" w:rsidR="00533768" w:rsidRDefault="00533768" w:rsidP="006D6D32">
      <w:pPr>
        <w:pStyle w:val="a3"/>
        <w:rPr>
          <w:rtl/>
        </w:rPr>
      </w:pPr>
      <w:bookmarkStart w:id="5914" w:name="_Toc526853004"/>
      <w:bookmarkStart w:id="5915" w:name="_Toc526889905"/>
      <w:bookmarkStart w:id="5916" w:name="_Toc527108374"/>
      <w:bookmarkStart w:id="5917" w:name="_Toc19389672"/>
      <w:bookmarkStart w:id="5918" w:name="_Toc19393169"/>
      <w:r>
        <w:rPr>
          <w:rFonts w:hint="cs"/>
          <w:rtl/>
        </w:rPr>
        <w:t>דברי הרשב"א דמפרקת לא דמי לשיבר עצמות וביאר הר"ן דאף בחתך את כל המפרקת אסור</w:t>
      </w:r>
      <w:bookmarkEnd w:id="5914"/>
      <w:bookmarkEnd w:id="5915"/>
      <w:bookmarkEnd w:id="5916"/>
      <w:bookmarkEnd w:id="5917"/>
      <w:bookmarkEnd w:id="5918"/>
    </w:p>
    <w:p w14:paraId="7AF647C1" w14:textId="77777777" w:rsidR="00533768" w:rsidRDefault="00533768" w:rsidP="00223668">
      <w:pPr>
        <w:pStyle w:val="a0"/>
        <w:rPr>
          <w:rtl/>
        </w:rPr>
      </w:pPr>
      <w:bookmarkStart w:id="5919" w:name="_Ref526850040"/>
      <w:r w:rsidRPr="001A01B6">
        <w:rPr>
          <w:rStyle w:val="af9"/>
          <w:rFonts w:hint="cs"/>
          <w:rtl/>
        </w:rPr>
        <w:t>והרשב</w:t>
      </w:r>
      <w:r w:rsidRPr="004B6652">
        <w:rPr>
          <w:rStyle w:val="af9"/>
          <w:rFonts w:hint="cs"/>
          <w:rtl/>
        </w:rPr>
        <w:t>"א</w:t>
      </w:r>
      <w:r>
        <w:rPr>
          <w:rFonts w:hint="cs"/>
          <w:rtl/>
        </w:rPr>
        <w:t xml:space="preserve"> </w:t>
      </w:r>
      <w:r>
        <w:rPr>
          <w:rStyle w:val="af9"/>
          <w:rFonts w:hint="cs"/>
          <w:rtl/>
        </w:rPr>
        <w:t xml:space="preserve">בחי' </w:t>
      </w:r>
      <w:r w:rsidRPr="004B6652">
        <w:rPr>
          <w:rStyle w:val="af7"/>
          <w:rFonts w:eastAsia="Guttman Hodes" w:hint="cs"/>
          <w:rtl/>
        </w:rPr>
        <w:t>(ד"ה ומיהו)</w:t>
      </w:r>
      <w:r>
        <w:rPr>
          <w:rFonts w:hint="cs"/>
          <w:rtl/>
        </w:rPr>
        <w:t xml:space="preserve"> </w:t>
      </w:r>
      <w:r w:rsidRPr="00E83A2D">
        <w:rPr>
          <w:rStyle w:val="af9"/>
          <w:rFonts w:hint="cs"/>
          <w:rtl/>
        </w:rPr>
        <w:t>ובתוה"ב</w:t>
      </w:r>
      <w:r>
        <w:rPr>
          <w:rFonts w:hint="cs"/>
          <w:rtl/>
        </w:rPr>
        <w:t xml:space="preserve"> </w:t>
      </w:r>
      <w:r w:rsidRPr="00E83A2D">
        <w:rPr>
          <w:rStyle w:val="af7"/>
          <w:rFonts w:eastAsia="Guttman Hodes" w:hint="cs"/>
          <w:rtl/>
        </w:rPr>
        <w:t>(ב"א ש"ב דף טז: מדה"ס)</w:t>
      </w:r>
      <w:r>
        <w:rPr>
          <w:rFonts w:hint="cs"/>
          <w:rtl/>
        </w:rPr>
        <w:t xml:space="preserve"> </w:t>
      </w:r>
      <w:r w:rsidRPr="004637F3">
        <w:rPr>
          <w:rStyle w:val="af9"/>
          <w:rFonts w:hint="cs"/>
          <w:rtl/>
        </w:rPr>
        <w:t>והשיטמ"ק</w:t>
      </w:r>
      <w:r>
        <w:rPr>
          <w:rFonts w:hint="cs"/>
          <w:rtl/>
        </w:rPr>
        <w:t xml:space="preserve"> </w:t>
      </w:r>
      <w:r w:rsidRPr="007635CF">
        <w:rPr>
          <w:rStyle w:val="af7"/>
          <w:rFonts w:eastAsia="Guttman Hodes" w:hint="cs"/>
          <w:rtl/>
        </w:rPr>
        <w:t>(ד"ה והר"י החסיד)</w:t>
      </w:r>
      <w:r>
        <w:rPr>
          <w:rFonts w:hint="cs"/>
          <w:rtl/>
        </w:rPr>
        <w:t xml:space="preserve"> הביאו בשם </w:t>
      </w:r>
      <w:r w:rsidRPr="004B6652">
        <w:rPr>
          <w:rStyle w:val="af9"/>
          <w:rFonts w:hint="cs"/>
          <w:rtl/>
        </w:rPr>
        <w:t>רב</w:t>
      </w:r>
      <w:r>
        <w:rPr>
          <w:rStyle w:val="af9"/>
          <w:rFonts w:hint="cs"/>
          <w:rtl/>
        </w:rPr>
        <w:t>ינו יונה</w:t>
      </w:r>
      <w:r>
        <w:rPr>
          <w:rFonts w:hint="cs"/>
          <w:rtl/>
        </w:rPr>
        <w:t xml:space="preserve"> דכתב שהמפרקת </w:t>
      </w:r>
      <w:r w:rsidRPr="007635CF">
        <w:rPr>
          <w:rFonts w:hint="cs"/>
          <w:rtl/>
        </w:rPr>
        <w:t>אינה פוגמת כשבירת עצמות, ו</w:t>
      </w:r>
      <w:r>
        <w:rPr>
          <w:rFonts w:hint="cs"/>
          <w:rtl/>
        </w:rPr>
        <w:t>ביאר</w:t>
      </w:r>
      <w:r w:rsidRPr="007635CF">
        <w:rPr>
          <w:rFonts w:hint="cs"/>
          <w:rtl/>
        </w:rPr>
        <w:t xml:space="preserve"> </w:t>
      </w:r>
      <w:r w:rsidRPr="007635CF">
        <w:rPr>
          <w:rStyle w:val="af9"/>
          <w:rFonts w:hint="cs"/>
          <w:rtl/>
        </w:rPr>
        <w:t>הר"ן על הרי"ף</w:t>
      </w:r>
      <w:r w:rsidRPr="007635CF">
        <w:rPr>
          <w:rStyle w:val="af7"/>
          <w:rFonts w:eastAsia="Guttman Hodes" w:hint="cs"/>
          <w:rtl/>
        </w:rPr>
        <w:t xml:space="preserve"> (ג. מדפי הרי"ף ד"ה והלכתא) </w:t>
      </w:r>
      <w:r>
        <w:rPr>
          <w:rFonts w:hint="cs"/>
          <w:rtl/>
        </w:rPr>
        <w:t xml:space="preserve">דלדעת </w:t>
      </w:r>
      <w:r w:rsidRPr="00EB2784">
        <w:rPr>
          <w:rStyle w:val="af9"/>
          <w:rFonts w:hint="cs"/>
          <w:rtl/>
        </w:rPr>
        <w:t>הרשב"א</w:t>
      </w:r>
      <w:r>
        <w:rPr>
          <w:rFonts w:hint="cs"/>
          <w:rtl/>
        </w:rPr>
        <w:t xml:space="preserve"> אף בשיבר את כל המפרקת ג"כ אסור, ודלא </w:t>
      </w:r>
      <w:r>
        <w:rPr>
          <w:rStyle w:val="af9"/>
          <w:rFonts w:hint="cs"/>
          <w:rtl/>
        </w:rPr>
        <w:t>כ</w:t>
      </w:r>
      <w:r w:rsidRPr="00F47D15">
        <w:rPr>
          <w:rStyle w:val="af9"/>
          <w:rFonts w:hint="cs"/>
          <w:rtl/>
        </w:rPr>
        <w:t>הרמב"ן</w:t>
      </w:r>
      <w:r>
        <w:rPr>
          <w:rFonts w:hint="cs"/>
          <w:rtl/>
        </w:rPr>
        <w:t>.</w:t>
      </w:r>
      <w:bookmarkEnd w:id="5919"/>
    </w:p>
    <w:p w14:paraId="552BA110" w14:textId="77777777" w:rsidR="00533768" w:rsidRDefault="00533768" w:rsidP="006D6D32">
      <w:pPr>
        <w:pStyle w:val="a3"/>
        <w:rPr>
          <w:rtl/>
        </w:rPr>
      </w:pPr>
      <w:bookmarkStart w:id="5920" w:name="_Toc526853005"/>
      <w:bookmarkStart w:id="5921" w:name="_Toc526889906"/>
      <w:bookmarkStart w:id="5922" w:name="_Toc527108375"/>
      <w:bookmarkStart w:id="5923" w:name="_Toc19389673"/>
      <w:bookmarkStart w:id="5924" w:name="_Toc19393170"/>
      <w:r>
        <w:rPr>
          <w:rFonts w:hint="cs"/>
          <w:rtl/>
        </w:rPr>
        <w:t>ביאור הרשב"א דעצם המפרקת רך ואינו פוגם כשאר עצמות או דאינו פוגם בהולכה והבאה</w:t>
      </w:r>
      <w:bookmarkEnd w:id="5920"/>
      <w:bookmarkEnd w:id="5921"/>
      <w:bookmarkEnd w:id="5922"/>
      <w:bookmarkEnd w:id="5923"/>
      <w:bookmarkEnd w:id="5924"/>
    </w:p>
    <w:p w14:paraId="05CEB6A9" w14:textId="77777777" w:rsidR="00533768" w:rsidRDefault="00533768" w:rsidP="00223668">
      <w:pPr>
        <w:pStyle w:val="a0"/>
        <w:rPr>
          <w:rtl/>
        </w:rPr>
      </w:pPr>
      <w:r>
        <w:rPr>
          <w:rFonts w:hint="cs"/>
          <w:rtl/>
        </w:rPr>
        <w:t xml:space="preserve">וכתב </w:t>
      </w:r>
      <w:r w:rsidRPr="00C24D6D">
        <w:rPr>
          <w:rStyle w:val="af9"/>
          <w:rFonts w:hint="cs"/>
          <w:rtl/>
        </w:rPr>
        <w:t>הרשב"א</w:t>
      </w:r>
      <w:r>
        <w:rPr>
          <w:rStyle w:val="af9"/>
          <w:rFonts w:hint="cs"/>
          <w:rtl/>
        </w:rPr>
        <w:t xml:space="preserve"> </w:t>
      </w:r>
      <w:r w:rsidRPr="00C24D6D">
        <w:rPr>
          <w:rStyle w:val="af9"/>
          <w:rFonts w:hint="cs"/>
          <w:rtl/>
        </w:rPr>
        <w:t>דיש שביארו</w:t>
      </w:r>
      <w:r>
        <w:rPr>
          <w:rFonts w:hint="cs"/>
          <w:rtl/>
        </w:rPr>
        <w:t xml:space="preserve"> דהעצם של המפרקת הוא רך, ולכן אינו פוגם יותר מעור, </w:t>
      </w:r>
      <w:r w:rsidRPr="00C24D6D">
        <w:rPr>
          <w:rStyle w:val="af9"/>
          <w:rFonts w:hint="cs"/>
          <w:rtl/>
        </w:rPr>
        <w:t>ויש שביארו</w:t>
      </w:r>
      <w:r>
        <w:rPr>
          <w:rFonts w:hint="cs"/>
          <w:rtl/>
        </w:rPr>
        <w:t xml:space="preserve"> דאף בשאר עצמות אם רק נגע בהם דרך הולכה והבאה ואינו שוברם, אינם פוגמים כמו במפרקת, ורק כששובר את העצמות הפגימה מצויה, ולכן אמרינן בגמ' דקיי"ל כרב חסדא רק בששיבר בה עצמות, דהיינו שמכה על העצמות ושוברן</w:t>
      </w:r>
      <w:r>
        <w:rPr>
          <w:rStyle w:val="af1"/>
          <w:rtl/>
        </w:rPr>
        <w:footnoteReference w:id="32"/>
      </w:r>
      <w:r>
        <w:rPr>
          <w:rFonts w:hint="cs"/>
          <w:rtl/>
        </w:rPr>
        <w:t xml:space="preserve">, וכתב </w:t>
      </w:r>
      <w:r w:rsidRPr="00EB2784">
        <w:rPr>
          <w:rStyle w:val="af9"/>
          <w:rFonts w:hint="cs"/>
          <w:rtl/>
        </w:rPr>
        <w:t>הר"ן על הרי"ף</w:t>
      </w:r>
      <w:r>
        <w:rPr>
          <w:rFonts w:hint="cs"/>
          <w:rtl/>
        </w:rPr>
        <w:t xml:space="preserve"> דכן קיי"ל להלכה.</w:t>
      </w:r>
    </w:p>
    <w:p w14:paraId="66422EAF" w14:textId="77777777" w:rsidR="00533768" w:rsidRPr="00BF137E" w:rsidRDefault="00533768" w:rsidP="006D6D32">
      <w:pPr>
        <w:pStyle w:val="a3"/>
        <w:rPr>
          <w:rtl/>
        </w:rPr>
      </w:pPr>
      <w:bookmarkStart w:id="5925" w:name="_Toc526853006"/>
      <w:bookmarkStart w:id="5926" w:name="_Toc526889907"/>
      <w:bookmarkStart w:id="5927" w:name="_Toc527108376"/>
      <w:bookmarkStart w:id="5928" w:name="_Toc19389674"/>
      <w:bookmarkStart w:id="5929" w:name="_Toc19393171"/>
      <w:r w:rsidRPr="00BF137E">
        <w:rPr>
          <w:rFonts w:hint="cs"/>
          <w:rtl/>
        </w:rPr>
        <w:t xml:space="preserve">דברי </w:t>
      </w:r>
      <w:r>
        <w:rPr>
          <w:rFonts w:hint="cs"/>
          <w:rtl/>
        </w:rPr>
        <w:t>הבעה"מ ו</w:t>
      </w:r>
      <w:r w:rsidRPr="00BF137E">
        <w:rPr>
          <w:rFonts w:hint="cs"/>
          <w:rtl/>
        </w:rPr>
        <w:t>הרא"ש דבנגיעה במפרקת שאינו חותך בכח לא שכיח שיפגם</w:t>
      </w:r>
      <w:bookmarkEnd w:id="5925"/>
      <w:bookmarkEnd w:id="5926"/>
      <w:bookmarkEnd w:id="5927"/>
      <w:bookmarkEnd w:id="5928"/>
      <w:bookmarkEnd w:id="5929"/>
    </w:p>
    <w:p w14:paraId="1405DFBF" w14:textId="77777777" w:rsidR="00533768" w:rsidRDefault="00533768" w:rsidP="00223668">
      <w:pPr>
        <w:pStyle w:val="a0"/>
        <w:rPr>
          <w:rtl/>
        </w:rPr>
      </w:pPr>
      <w:r>
        <w:rPr>
          <w:rFonts w:hint="cs"/>
          <w:rtl/>
        </w:rPr>
        <w:t>ו</w:t>
      </w:r>
      <w:r w:rsidRPr="00193A7A">
        <w:rPr>
          <w:rtl/>
        </w:rPr>
        <w:t>כ</w:t>
      </w:r>
      <w:r>
        <w:rPr>
          <w:rFonts w:hint="cs"/>
          <w:rtl/>
        </w:rPr>
        <w:t>"כ</w:t>
      </w:r>
      <w:r w:rsidRPr="00193A7A">
        <w:rPr>
          <w:rtl/>
        </w:rPr>
        <w:t xml:space="preserve"> </w:t>
      </w:r>
      <w:r w:rsidRPr="005B103D">
        <w:rPr>
          <w:rStyle w:val="af9"/>
          <w:rtl/>
        </w:rPr>
        <w:t>הבעה"מ</w:t>
      </w:r>
      <w:r w:rsidRPr="00193A7A">
        <w:rPr>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Ref527103824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עב)</w:t>
      </w:r>
      <w:r>
        <w:rPr>
          <w:rStyle w:val="af7"/>
          <w:rFonts w:eastAsia="Guttman Hodes"/>
          <w:rtl/>
        </w:rPr>
        <w:fldChar w:fldCharType="end"/>
      </w:r>
      <w:r>
        <w:rPr>
          <w:rStyle w:val="af7"/>
          <w:rFonts w:eastAsia="Guttman Hodes" w:hint="cs"/>
          <w:rtl/>
        </w:rPr>
        <w:t xml:space="preserve"> </w:t>
      </w:r>
      <w:r w:rsidRPr="00193A7A">
        <w:rPr>
          <w:rtl/>
        </w:rPr>
        <w:t xml:space="preserve"> </w:t>
      </w:r>
      <w:r>
        <w:rPr>
          <w:rStyle w:val="af9"/>
          <w:rFonts w:hint="cs"/>
          <w:rtl/>
        </w:rPr>
        <w:t>ו</w:t>
      </w:r>
      <w:r w:rsidRPr="00BF137E">
        <w:rPr>
          <w:rStyle w:val="af9"/>
          <w:rFonts w:hint="cs"/>
          <w:rtl/>
        </w:rPr>
        <w:t>הרא"ש</w:t>
      </w:r>
      <w:r w:rsidRPr="00C078D8">
        <w:rPr>
          <w:rFonts w:hint="cs"/>
          <w:rtl/>
        </w:rPr>
        <w:t xml:space="preserve"> </w:t>
      </w:r>
      <w:r w:rsidRPr="00BF137E">
        <w:rPr>
          <w:rStyle w:val="af7"/>
          <w:rFonts w:eastAsia="Guttman Hodes" w:hint="cs"/>
          <w:rtl/>
        </w:rPr>
        <w:t>(סי' ט"ו)</w:t>
      </w:r>
      <w:r w:rsidRPr="00C078D8">
        <w:rPr>
          <w:rFonts w:hint="cs"/>
          <w:rtl/>
        </w:rPr>
        <w:t xml:space="preserve"> דהא דקיי"ל כרב הונא בלא שיבר בה עצמות, הוא כיון שאינו חותך בכח במפרקת, אלא דלפעמים הסכין נוגע בה אחר השחיטה</w:t>
      </w:r>
      <w:r>
        <w:rPr>
          <w:rFonts w:hint="cs"/>
          <w:rtl/>
        </w:rPr>
        <w:t xml:space="preserve"> בדרך הולכה והבאה, והוסיף </w:t>
      </w:r>
      <w:r w:rsidRPr="00BF137E">
        <w:rPr>
          <w:rStyle w:val="af9"/>
          <w:rFonts w:hint="cs"/>
          <w:rtl/>
        </w:rPr>
        <w:t>הרא"ש</w:t>
      </w:r>
      <w:r>
        <w:rPr>
          <w:rFonts w:hint="cs"/>
          <w:rtl/>
        </w:rPr>
        <w:t xml:space="preserve"> דבנגיעה כל שהוא במפרקת לא שכיח שנפגם הסכין</w:t>
      </w:r>
      <w:r>
        <w:rPr>
          <w:rStyle w:val="af1"/>
          <w:rtl/>
        </w:rPr>
        <w:footnoteReference w:id="33"/>
      </w:r>
      <w:r w:rsidRPr="00C078D8">
        <w:rPr>
          <w:rFonts w:hint="cs"/>
          <w:rtl/>
        </w:rPr>
        <w:t>.</w:t>
      </w:r>
    </w:p>
    <w:p w14:paraId="406552A4" w14:textId="77777777" w:rsidR="00533768" w:rsidRPr="00130841" w:rsidRDefault="00533768" w:rsidP="006D6D32">
      <w:pPr>
        <w:pStyle w:val="a3"/>
      </w:pPr>
      <w:bookmarkStart w:id="5930" w:name="_Toc526853007"/>
      <w:bookmarkStart w:id="5931" w:name="_Toc526889908"/>
      <w:bookmarkStart w:id="5932" w:name="_Toc527108377"/>
      <w:bookmarkStart w:id="5933" w:name="_Toc19389675"/>
      <w:bookmarkStart w:id="5934" w:name="_Toc19393172"/>
      <w:r>
        <w:rPr>
          <w:rFonts w:hint="cs"/>
          <w:rtl/>
        </w:rPr>
        <w:t>הוכחת הרשב"א מהא דאין חיוב בדיקה בין שחיטה לשחיטה דמפרקת אינה כשאר עצמות</w:t>
      </w:r>
      <w:bookmarkEnd w:id="5930"/>
      <w:bookmarkEnd w:id="5931"/>
      <w:bookmarkEnd w:id="5932"/>
      <w:bookmarkEnd w:id="5933"/>
      <w:bookmarkEnd w:id="5934"/>
    </w:p>
    <w:p w14:paraId="0A203686" w14:textId="77777777" w:rsidR="00533768" w:rsidRDefault="00533768" w:rsidP="00223668">
      <w:pPr>
        <w:pStyle w:val="a0"/>
        <w:rPr>
          <w:rtl/>
        </w:rPr>
      </w:pPr>
      <w:r>
        <w:rPr>
          <w:rFonts w:hint="cs"/>
          <w:rtl/>
        </w:rPr>
        <w:t xml:space="preserve">וכתב </w:t>
      </w:r>
      <w:r w:rsidRPr="00130841">
        <w:rPr>
          <w:rStyle w:val="af9"/>
          <w:rFonts w:hint="cs"/>
          <w:rtl/>
        </w:rPr>
        <w:t>הרשב</w:t>
      </w:r>
      <w:r w:rsidRPr="00DA5F1B">
        <w:rPr>
          <w:rStyle w:val="af9"/>
          <w:rFonts w:hint="cs"/>
          <w:rtl/>
        </w:rPr>
        <w:t>"א בחי'</w:t>
      </w:r>
      <w:r>
        <w:rPr>
          <w:rFonts w:hint="cs"/>
          <w:rtl/>
        </w:rPr>
        <w:t xml:space="preserve"> דכן מוכח מהא דאם שיבר עצמות בסכין לפני השחיטה, פשיטא שחייב לחזור ולבודקו, דאי בסתם סכין חייב לבדוק לפני השחיטה, כ"ש בסכין ששיבר בו עצמות, וכן מוכח מהא דמבואר דמדינא מרב כהנא דמדינא א"צ לבדוק</w:t>
      </w:r>
      <w:r w:rsidRPr="00F64887">
        <w:rPr>
          <w:rFonts w:hint="cs"/>
          <w:rtl/>
        </w:rPr>
        <w:t xml:space="preserve"> </w:t>
      </w:r>
      <w:r>
        <w:rPr>
          <w:rFonts w:hint="cs"/>
          <w:rtl/>
        </w:rPr>
        <w:t>בין שחיטה לשחיטה, ורק לכתחילה צריך לבדוק, כדי שלא יפסול הרבה בהמות. ואי נגיעת מפרקת פוגמת כשבירת עצמות, היאך התיר רב כהנא לחזור ולשחוט בלא בדיקה, כשיש חשש שנגע במפרקת, ואם לא בדק בין שחיטה לשחיטה, ואבד הסכין היה לרב כהנא לפסול, אלא מוכח דמפרקת אינה פוגמת כשבירת עצמות.</w:t>
      </w:r>
    </w:p>
    <w:p w14:paraId="10D85719" w14:textId="77777777" w:rsidR="00533768" w:rsidRDefault="00533768" w:rsidP="00BF39B2">
      <w:pPr>
        <w:pStyle w:val="1"/>
        <w:rPr>
          <w:rtl/>
        </w:rPr>
      </w:pPr>
      <w:bookmarkStart w:id="5935" w:name="_Toc527108378"/>
      <w:bookmarkStart w:id="5936" w:name="_Toc19389676"/>
      <w:bookmarkStart w:id="5937" w:name="_Toc19393173"/>
      <w:r>
        <w:rPr>
          <w:rFonts w:hint="cs"/>
          <w:rtl/>
        </w:rPr>
        <w:t>בביאור דעת הרשב"א בחתך את המפרקת בדרך שבירה</w:t>
      </w:r>
      <w:bookmarkEnd w:id="5935"/>
      <w:bookmarkEnd w:id="5936"/>
      <w:bookmarkEnd w:id="5937"/>
    </w:p>
    <w:p w14:paraId="56921832" w14:textId="77777777" w:rsidR="00533768" w:rsidRPr="002879B1" w:rsidRDefault="00533768" w:rsidP="006D6D32">
      <w:pPr>
        <w:pStyle w:val="a3"/>
        <w:rPr>
          <w:rtl/>
        </w:rPr>
      </w:pPr>
      <w:bookmarkStart w:id="5938" w:name="_Toc527108379"/>
      <w:bookmarkStart w:id="5939" w:name="_Toc19389677"/>
      <w:bookmarkStart w:id="5940" w:name="_Toc19393174"/>
      <w:r>
        <w:rPr>
          <w:rFonts w:hint="cs"/>
          <w:rtl/>
        </w:rPr>
        <w:t>דברי השו"ע דאף בחתך את המפרקת בדרך שבירה לא תלינן בה</w:t>
      </w:r>
      <w:bookmarkEnd w:id="5938"/>
      <w:bookmarkEnd w:id="5939"/>
      <w:bookmarkEnd w:id="5940"/>
    </w:p>
    <w:p w14:paraId="3DB72642" w14:textId="77777777" w:rsidR="00533768" w:rsidRDefault="00533768" w:rsidP="00223668">
      <w:pPr>
        <w:pStyle w:val="a0"/>
        <w:rPr>
          <w:rtl/>
        </w:rPr>
      </w:pPr>
      <w:r>
        <w:rPr>
          <w:rFonts w:hint="cs"/>
          <w:rtl/>
        </w:rPr>
        <w:t xml:space="preserve">פסק </w:t>
      </w:r>
      <w:r>
        <w:rPr>
          <w:rStyle w:val="af9"/>
          <w:rFonts w:hint="cs"/>
          <w:rtl/>
        </w:rPr>
        <w:t>ה</w:t>
      </w:r>
      <w:r w:rsidRPr="002879B1">
        <w:rPr>
          <w:rStyle w:val="af9"/>
          <w:rFonts w:hint="cs"/>
          <w:rtl/>
        </w:rPr>
        <w:t>שו"ע</w:t>
      </w:r>
      <w:r>
        <w:rPr>
          <w:rFonts w:hint="cs"/>
          <w:rtl/>
        </w:rPr>
        <w:t xml:space="preserve">  </w:t>
      </w:r>
      <w:r w:rsidRPr="002879B1">
        <w:rPr>
          <w:rStyle w:val="af7"/>
          <w:rFonts w:eastAsia="Guttman Hodes" w:hint="cs"/>
          <w:rtl/>
        </w:rPr>
        <w:t>(י"ח ט"ו)</w:t>
      </w:r>
      <w:r>
        <w:rPr>
          <w:rFonts w:hint="cs"/>
          <w:rtl/>
        </w:rPr>
        <w:t xml:space="preserve"> דלקולא לא תלינן בפגימת המפרקת, ואף אם שיבר את המפרקת בדרך שבירה לא תלינן בה, כיון שעצם המפרקת הוא רך.</w:t>
      </w:r>
    </w:p>
    <w:p w14:paraId="364381A0" w14:textId="77777777" w:rsidR="00533768" w:rsidRDefault="00533768" w:rsidP="006D6D32">
      <w:pPr>
        <w:pStyle w:val="a3"/>
        <w:rPr>
          <w:rtl/>
        </w:rPr>
      </w:pPr>
      <w:bookmarkStart w:id="5941" w:name="_Toc527108380"/>
      <w:bookmarkStart w:id="5942" w:name="_Toc19389678"/>
      <w:bookmarkStart w:id="5943" w:name="_Toc19393175"/>
      <w:r>
        <w:rPr>
          <w:rFonts w:hint="cs"/>
          <w:rtl/>
        </w:rPr>
        <w:t>דברי הש"ך והט"ז דמקור דברי השו"ע הוא מביאור הר"ן בדעת הרשב"א</w:t>
      </w:r>
      <w:bookmarkEnd w:id="5941"/>
      <w:bookmarkEnd w:id="5942"/>
      <w:bookmarkEnd w:id="5943"/>
    </w:p>
    <w:p w14:paraId="56D0B42F" w14:textId="77777777" w:rsidR="00533768" w:rsidRDefault="00533768" w:rsidP="00223668">
      <w:pPr>
        <w:pStyle w:val="a0"/>
        <w:rPr>
          <w:rtl/>
        </w:rPr>
      </w:pPr>
      <w:r>
        <w:rPr>
          <w:rFonts w:hint="cs"/>
          <w:rtl/>
        </w:rPr>
        <w:t xml:space="preserve">וכתבו </w:t>
      </w:r>
      <w:r w:rsidRPr="002879B1">
        <w:rPr>
          <w:rStyle w:val="af9"/>
          <w:rFonts w:hint="cs"/>
          <w:rtl/>
        </w:rPr>
        <w:t>הש"ך</w:t>
      </w:r>
      <w:r>
        <w:rPr>
          <w:rFonts w:hint="cs"/>
          <w:rtl/>
        </w:rPr>
        <w:t xml:space="preserve"> </w:t>
      </w:r>
      <w:r w:rsidRPr="002879B1">
        <w:rPr>
          <w:rStyle w:val="af7"/>
          <w:rFonts w:eastAsia="Guttman Hodes" w:hint="cs"/>
          <w:rtl/>
        </w:rPr>
        <w:t>(י"ח כ"ו)</w:t>
      </w:r>
      <w:r>
        <w:rPr>
          <w:rFonts w:hint="cs"/>
          <w:rtl/>
        </w:rPr>
        <w:t xml:space="preserve"> </w:t>
      </w:r>
      <w:r w:rsidRPr="002879B1">
        <w:rPr>
          <w:rStyle w:val="af9"/>
          <w:rFonts w:hint="cs"/>
          <w:rtl/>
        </w:rPr>
        <w:t>והט"ז</w:t>
      </w:r>
      <w:r>
        <w:rPr>
          <w:rFonts w:hint="cs"/>
          <w:rtl/>
        </w:rPr>
        <w:t xml:space="preserve"> </w:t>
      </w:r>
      <w:r w:rsidRPr="002879B1">
        <w:rPr>
          <w:rStyle w:val="af7"/>
          <w:rFonts w:eastAsia="Guttman Hodes" w:hint="cs"/>
          <w:rtl/>
        </w:rPr>
        <w:t>(י"ח י"ב)</w:t>
      </w:r>
      <w:r>
        <w:rPr>
          <w:rFonts w:hint="cs"/>
          <w:rtl/>
        </w:rPr>
        <w:t xml:space="preserve"> </w:t>
      </w:r>
      <w:r w:rsidRPr="002879B1">
        <w:rPr>
          <w:rStyle w:val="af9"/>
          <w:rFonts w:hint="cs"/>
          <w:rtl/>
        </w:rPr>
        <w:t>דהשו"ע</w:t>
      </w:r>
      <w:r>
        <w:rPr>
          <w:rFonts w:hint="cs"/>
          <w:rtl/>
        </w:rPr>
        <w:t xml:space="preserve"> למד כן מדברי </w:t>
      </w:r>
      <w:r w:rsidRPr="002879B1">
        <w:rPr>
          <w:rStyle w:val="af9"/>
          <w:rFonts w:hint="cs"/>
          <w:rtl/>
        </w:rPr>
        <w:t>הר"ן</w:t>
      </w:r>
      <w:r>
        <w:rPr>
          <w:rFonts w:hint="cs"/>
          <w:rtl/>
        </w:rPr>
        <w:t xml:space="preserve"> </w:t>
      </w:r>
      <w:r w:rsidRPr="009911D3">
        <w:rPr>
          <w:rStyle w:val="af7"/>
          <w:rFonts w:eastAsia="Guttman Hodes" w:hint="cs"/>
          <w:rtl/>
        </w:rPr>
        <w:t xml:space="preserve">(עי' אות </w:t>
      </w:r>
      <w:r w:rsidRPr="009911D3">
        <w:rPr>
          <w:rStyle w:val="af7"/>
          <w:rFonts w:eastAsia="Guttman Hodes"/>
          <w:rtl/>
        </w:rPr>
        <w:fldChar w:fldCharType="begin"/>
      </w:r>
      <w:r w:rsidRPr="009911D3">
        <w:rPr>
          <w:rStyle w:val="af7"/>
          <w:rFonts w:eastAsia="Guttman Hodes"/>
          <w:rtl/>
        </w:rPr>
        <w:instrText xml:space="preserve"> </w:instrText>
      </w:r>
      <w:r w:rsidRPr="009911D3">
        <w:rPr>
          <w:rStyle w:val="af7"/>
          <w:rFonts w:eastAsia="Guttman Hodes" w:hint="cs"/>
        </w:rPr>
        <w:instrText>REF</w:instrText>
      </w:r>
      <w:r w:rsidRPr="009911D3">
        <w:rPr>
          <w:rStyle w:val="af7"/>
          <w:rFonts w:eastAsia="Guttman Hodes" w:hint="cs"/>
          <w:rtl/>
        </w:rPr>
        <w:instrText xml:space="preserve"> _</w:instrText>
      </w:r>
      <w:r w:rsidRPr="009911D3">
        <w:rPr>
          <w:rStyle w:val="af7"/>
          <w:rFonts w:eastAsia="Guttman Hodes" w:hint="cs"/>
        </w:rPr>
        <w:instrText>Ref526850040 \r \h</w:instrText>
      </w:r>
      <w:r w:rsidRPr="009911D3">
        <w:rPr>
          <w:rStyle w:val="af7"/>
          <w:rFonts w:eastAsia="Guttman Hodes"/>
          <w:rtl/>
        </w:rPr>
        <w:instrText xml:space="preserve"> </w:instrText>
      </w:r>
      <w:r w:rsidRPr="009911D3">
        <w:rPr>
          <w:rStyle w:val="af7"/>
          <w:rFonts w:eastAsia="Guttman Hodes"/>
          <w:rtl/>
        </w:rPr>
      </w:r>
      <w:r w:rsidRPr="009911D3">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9911D3">
        <w:rPr>
          <w:rStyle w:val="af7"/>
          <w:rFonts w:eastAsia="Guttman Hodes"/>
          <w:rtl/>
        </w:rPr>
        <w:fldChar w:fldCharType="end"/>
      </w:r>
      <w:r>
        <w:rPr>
          <w:rFonts w:hint="cs"/>
          <w:rtl/>
        </w:rPr>
        <w:t xml:space="preserve"> בדעת </w:t>
      </w:r>
      <w:r w:rsidRPr="002879B1">
        <w:rPr>
          <w:rStyle w:val="af9"/>
          <w:rFonts w:hint="cs"/>
          <w:rtl/>
        </w:rPr>
        <w:t>הרשב"א</w:t>
      </w:r>
      <w:r>
        <w:rPr>
          <w:rFonts w:hint="cs"/>
          <w:rtl/>
        </w:rPr>
        <w:t xml:space="preserve"> דאף בחתך את כל המפרקת לא תלינן בה, והבין </w:t>
      </w:r>
      <w:r w:rsidRPr="002879B1">
        <w:rPr>
          <w:rStyle w:val="af9"/>
          <w:rFonts w:hint="cs"/>
          <w:rtl/>
        </w:rPr>
        <w:t>השו"ע</w:t>
      </w:r>
      <w:r>
        <w:rPr>
          <w:rFonts w:hint="cs"/>
          <w:rtl/>
        </w:rPr>
        <w:t xml:space="preserve"> בדברי </w:t>
      </w:r>
      <w:r w:rsidRPr="002879B1">
        <w:rPr>
          <w:rStyle w:val="af9"/>
          <w:rFonts w:hint="cs"/>
          <w:rtl/>
        </w:rPr>
        <w:t>הר"ן</w:t>
      </w:r>
      <w:r>
        <w:rPr>
          <w:rFonts w:hint="cs"/>
          <w:rtl/>
        </w:rPr>
        <w:t xml:space="preserve"> דאף בדרך שבירה לא תלינן.</w:t>
      </w:r>
    </w:p>
    <w:p w14:paraId="1F9D5FD8" w14:textId="77777777" w:rsidR="00533768" w:rsidRPr="00F774B8" w:rsidRDefault="00533768" w:rsidP="006D6D32">
      <w:pPr>
        <w:pStyle w:val="a3"/>
      </w:pPr>
      <w:bookmarkStart w:id="5944" w:name="_Toc527108381"/>
      <w:bookmarkStart w:id="5945" w:name="_Toc19389679"/>
      <w:bookmarkStart w:id="5946" w:name="_Toc19393176"/>
      <w:r>
        <w:rPr>
          <w:rFonts w:hint="cs"/>
          <w:rtl/>
        </w:rPr>
        <w:t>דעת הש"ך והט"ז דרק בחתך בדרך הולכה והבאה לא תלינן במפרקת</w:t>
      </w:r>
      <w:bookmarkEnd w:id="5944"/>
      <w:bookmarkEnd w:id="5945"/>
      <w:bookmarkEnd w:id="5946"/>
    </w:p>
    <w:p w14:paraId="7372A31A" w14:textId="77777777" w:rsidR="00533768" w:rsidRDefault="00533768" w:rsidP="00223668">
      <w:pPr>
        <w:pStyle w:val="a0"/>
        <w:rPr>
          <w:rtl/>
        </w:rPr>
      </w:pPr>
      <w:r>
        <w:rPr>
          <w:rFonts w:hint="cs"/>
          <w:rtl/>
        </w:rPr>
        <w:t xml:space="preserve">ודחו </w:t>
      </w:r>
      <w:r w:rsidRPr="002879B1">
        <w:rPr>
          <w:rStyle w:val="af9"/>
          <w:rFonts w:hint="cs"/>
          <w:rtl/>
        </w:rPr>
        <w:t>הש"ך והט"ז</w:t>
      </w:r>
      <w:r>
        <w:rPr>
          <w:rFonts w:hint="cs"/>
          <w:rtl/>
        </w:rPr>
        <w:t xml:space="preserve"> דכוונת </w:t>
      </w:r>
      <w:r w:rsidRPr="002879B1">
        <w:rPr>
          <w:rStyle w:val="af9"/>
          <w:rFonts w:hint="cs"/>
          <w:rtl/>
        </w:rPr>
        <w:t>הר"ן</w:t>
      </w:r>
      <w:r>
        <w:rPr>
          <w:rFonts w:hint="cs"/>
          <w:rtl/>
        </w:rPr>
        <w:t xml:space="preserve"> לומר דדוקא בחתך את המפרקת בדרך הולכה והבאה, לא תלינן בה, וכתבו </w:t>
      </w:r>
      <w:r w:rsidRPr="002879B1">
        <w:rPr>
          <w:rStyle w:val="af9"/>
          <w:rFonts w:hint="cs"/>
          <w:rtl/>
        </w:rPr>
        <w:t>הש"ך והט"ז</w:t>
      </w:r>
      <w:r>
        <w:rPr>
          <w:rFonts w:hint="cs"/>
          <w:rtl/>
        </w:rPr>
        <w:t xml:space="preserve"> דמבואר בדברי </w:t>
      </w:r>
      <w:r w:rsidRPr="002879B1">
        <w:rPr>
          <w:rStyle w:val="af9"/>
          <w:rFonts w:hint="cs"/>
          <w:rtl/>
        </w:rPr>
        <w:t>הר"ן והרשב"א בחי' ובתוה"ב</w:t>
      </w:r>
      <w:r>
        <w:rPr>
          <w:rFonts w:hint="cs"/>
          <w:rtl/>
        </w:rPr>
        <w:t xml:space="preserve"> דבחתך את המפרקת בדרך שבירה תלינן בה, עי' בדבריהם.</w:t>
      </w:r>
    </w:p>
    <w:p w14:paraId="0FE82126" w14:textId="77777777" w:rsidR="00533768" w:rsidRDefault="00533768" w:rsidP="006D6D32">
      <w:pPr>
        <w:pStyle w:val="a3"/>
        <w:rPr>
          <w:rtl/>
        </w:rPr>
      </w:pPr>
      <w:bookmarkStart w:id="5947" w:name="_Toc527108382"/>
      <w:bookmarkStart w:id="5948" w:name="_Toc19389680"/>
      <w:bookmarkStart w:id="5949" w:name="_Toc19393177"/>
      <w:r>
        <w:rPr>
          <w:rFonts w:hint="cs"/>
          <w:rtl/>
        </w:rPr>
        <w:t>ביאור התבו"ש דיש חילוק בין תליה לקולא בבהמה אחת לתליה לחומרא בכמה בהמות</w:t>
      </w:r>
      <w:bookmarkEnd w:id="5947"/>
      <w:bookmarkEnd w:id="5948"/>
      <w:bookmarkEnd w:id="5949"/>
    </w:p>
    <w:p w14:paraId="574C564A" w14:textId="77777777" w:rsidR="00533768" w:rsidRDefault="00533768" w:rsidP="00223668">
      <w:pPr>
        <w:pStyle w:val="a0"/>
        <w:rPr>
          <w:rtl/>
        </w:rPr>
      </w:pPr>
      <w:bookmarkStart w:id="5950" w:name="_Ref527020698"/>
      <w:r w:rsidRPr="008A117A">
        <w:rPr>
          <w:rStyle w:val="af9"/>
          <w:rFonts w:hint="cs"/>
          <w:rtl/>
        </w:rPr>
        <w:t>ובתבו"ש</w:t>
      </w:r>
      <w:r>
        <w:rPr>
          <w:rFonts w:hint="cs"/>
          <w:rtl/>
        </w:rPr>
        <w:t xml:space="preserve"> </w:t>
      </w:r>
      <w:r w:rsidRPr="008A2EF3">
        <w:rPr>
          <w:rStyle w:val="af7"/>
          <w:rFonts w:eastAsia="Guttman Hodes" w:hint="cs"/>
          <w:rtl/>
        </w:rPr>
        <w:t>(י"ח ל"ג)</w:t>
      </w:r>
      <w:r>
        <w:rPr>
          <w:rFonts w:hint="cs"/>
          <w:rtl/>
        </w:rPr>
        <w:t xml:space="preserve"> יישב דהא דמבואר </w:t>
      </w:r>
      <w:r w:rsidRPr="008A117A">
        <w:rPr>
          <w:rStyle w:val="af9"/>
          <w:rFonts w:hint="cs"/>
          <w:rtl/>
        </w:rPr>
        <w:t>בר"ן וברשב"א</w:t>
      </w:r>
      <w:r>
        <w:rPr>
          <w:rFonts w:hint="cs"/>
          <w:rtl/>
        </w:rPr>
        <w:t xml:space="preserve">  דדוקא בדרך הולכה והבאה לא תלינן במפרקת, היינו דוקא לחומרא בשחט כמה בהמות</w:t>
      </w:r>
      <w:r>
        <w:rPr>
          <w:rStyle w:val="af7"/>
          <w:rFonts w:eastAsia="Guttman Hodes" w:hint="cs"/>
          <w:rtl/>
        </w:rPr>
        <w:t xml:space="preserve"> </w:t>
      </w:r>
      <w:r w:rsidRPr="00E05C9B">
        <w:rPr>
          <w:rStyle w:val="af7"/>
          <w:rFonts w:eastAsia="Guttman Hodes" w:hint="cs"/>
          <w:rtl/>
        </w:rPr>
        <w:t xml:space="preserve">(עי' אות </w:t>
      </w:r>
      <w:r w:rsidRPr="00E05C9B">
        <w:rPr>
          <w:rStyle w:val="af7"/>
          <w:rFonts w:eastAsia="Guttman Hodes"/>
          <w:rtl/>
        </w:rPr>
        <w:fldChar w:fldCharType="begin"/>
      </w:r>
      <w:r w:rsidRPr="00E05C9B">
        <w:rPr>
          <w:rStyle w:val="af7"/>
          <w:rFonts w:eastAsia="Guttman Hodes"/>
          <w:rtl/>
        </w:rPr>
        <w:instrText xml:space="preserve"> </w:instrText>
      </w:r>
      <w:r w:rsidRPr="00E05C9B">
        <w:rPr>
          <w:rStyle w:val="af7"/>
          <w:rFonts w:eastAsia="Guttman Hodes" w:hint="cs"/>
        </w:rPr>
        <w:instrText>REF</w:instrText>
      </w:r>
      <w:r w:rsidRPr="00E05C9B">
        <w:rPr>
          <w:rStyle w:val="af7"/>
          <w:rFonts w:eastAsia="Guttman Hodes" w:hint="cs"/>
          <w:rtl/>
        </w:rPr>
        <w:instrText xml:space="preserve"> _</w:instrText>
      </w:r>
      <w:r w:rsidRPr="00E05C9B">
        <w:rPr>
          <w:rStyle w:val="af7"/>
          <w:rFonts w:eastAsia="Guttman Hodes" w:hint="cs"/>
        </w:rPr>
        <w:instrText>Ref527018649 \r \h</w:instrText>
      </w:r>
      <w:r w:rsidRPr="00E05C9B">
        <w:rPr>
          <w:rStyle w:val="af7"/>
          <w:rFonts w:eastAsia="Guttman Hodes"/>
          <w:rtl/>
        </w:rPr>
        <w:instrText xml:space="preserve"> </w:instrText>
      </w:r>
      <w:r w:rsidRPr="00E05C9B">
        <w:rPr>
          <w:rStyle w:val="af7"/>
          <w:rFonts w:eastAsia="Guttman Hodes"/>
          <w:rtl/>
        </w:rPr>
      </w:r>
      <w:r w:rsidRPr="00E05C9B">
        <w:rPr>
          <w:rStyle w:val="af7"/>
          <w:rFonts w:eastAsia="Guttman Hodes"/>
          <w:rtl/>
        </w:rPr>
        <w:fldChar w:fldCharType="separate"/>
      </w:r>
      <w:r w:rsidR="00345400">
        <w:rPr>
          <w:rStyle w:val="af7"/>
          <w:rFonts w:eastAsia="Guttman Hodes"/>
          <w:cs/>
        </w:rPr>
        <w:t>‎</w:t>
      </w:r>
      <w:r w:rsidR="00345400">
        <w:rPr>
          <w:rStyle w:val="af7"/>
          <w:rFonts w:eastAsia="Guttman Hodes"/>
          <w:rtl/>
        </w:rPr>
        <w:t>עד)</w:t>
      </w:r>
      <w:r w:rsidRPr="00E05C9B">
        <w:rPr>
          <w:rStyle w:val="af7"/>
          <w:rFonts w:eastAsia="Guttman Hodes"/>
          <w:rtl/>
        </w:rPr>
        <w:fldChar w:fldCharType="end"/>
      </w:r>
      <w:r>
        <w:rPr>
          <w:rFonts w:hint="cs"/>
          <w:rtl/>
        </w:rPr>
        <w:t xml:space="preserve">, דלא אמרינן דהיכא דחתך את המפרקת של הבהמה הראשונה, בדרך שבירה תלינן לחומרא, דהבהמות שאחריה אסורות, ורק בחתך בדרך הולכה והבאה, לא תלינן לחומרא בכמה בהמות, אבל בשחיטת בהמה אחת, לא כתב </w:t>
      </w:r>
      <w:r w:rsidRPr="008A2EF3">
        <w:rPr>
          <w:rStyle w:val="af9"/>
          <w:rFonts w:hint="cs"/>
          <w:rtl/>
        </w:rPr>
        <w:t>הרשב"א</w:t>
      </w:r>
      <w:r>
        <w:rPr>
          <w:rFonts w:hint="cs"/>
          <w:rtl/>
        </w:rPr>
        <w:t xml:space="preserve"> כלל דתלינן לקולא אף בחתך בדרך שבירה במפרקת.</w:t>
      </w:r>
      <w:bookmarkEnd w:id="5950"/>
    </w:p>
    <w:p w14:paraId="26974A86" w14:textId="77777777" w:rsidR="00533768" w:rsidRDefault="00533768" w:rsidP="006D6D32">
      <w:pPr>
        <w:pStyle w:val="a3"/>
        <w:rPr>
          <w:rtl/>
        </w:rPr>
      </w:pPr>
      <w:bookmarkStart w:id="5951" w:name="_Toc527108383"/>
      <w:bookmarkStart w:id="5952" w:name="_Toc19389681"/>
      <w:bookmarkStart w:id="5953" w:name="_Toc19393178"/>
      <w:r>
        <w:rPr>
          <w:rFonts w:hint="cs"/>
          <w:rtl/>
        </w:rPr>
        <w:t>דברי התבו"ש דמקור דברי השו"ע הוא מהרשב"א דקיי"ל כר"ח רק בשיבר עצמות דעלמא</w:t>
      </w:r>
      <w:bookmarkEnd w:id="5951"/>
      <w:bookmarkEnd w:id="5952"/>
      <w:bookmarkEnd w:id="5953"/>
    </w:p>
    <w:p w14:paraId="1512B0E7" w14:textId="77777777" w:rsidR="00533768" w:rsidRPr="00E630AD" w:rsidRDefault="00533768" w:rsidP="00223668">
      <w:pPr>
        <w:pStyle w:val="a0"/>
        <w:rPr>
          <w:rtl/>
        </w:rPr>
      </w:pPr>
      <w:r>
        <w:rPr>
          <w:rFonts w:hint="cs"/>
          <w:rtl/>
        </w:rPr>
        <w:t xml:space="preserve">וכתב </w:t>
      </w:r>
      <w:r w:rsidRPr="008A2EF3">
        <w:rPr>
          <w:rStyle w:val="af9"/>
          <w:rFonts w:hint="cs"/>
          <w:rtl/>
        </w:rPr>
        <w:t>התבו"ש</w:t>
      </w:r>
      <w:r>
        <w:rPr>
          <w:rFonts w:hint="cs"/>
          <w:rtl/>
        </w:rPr>
        <w:t xml:space="preserve"> דמקור דברי </w:t>
      </w:r>
      <w:r w:rsidRPr="008A2EF3">
        <w:rPr>
          <w:rStyle w:val="af9"/>
          <w:rFonts w:hint="cs"/>
          <w:rtl/>
        </w:rPr>
        <w:t>השו"ע</w:t>
      </w:r>
      <w:r>
        <w:rPr>
          <w:rFonts w:hint="cs"/>
          <w:rtl/>
        </w:rPr>
        <w:t xml:space="preserve"> הם ממ"ש </w:t>
      </w:r>
      <w:r w:rsidRPr="008A2EF3">
        <w:rPr>
          <w:rStyle w:val="af9"/>
          <w:rFonts w:hint="cs"/>
          <w:rtl/>
        </w:rPr>
        <w:t>הרשב"א במשה"ב</w:t>
      </w:r>
      <w:r>
        <w:rPr>
          <w:rFonts w:hint="cs"/>
          <w:rtl/>
        </w:rPr>
        <w:t xml:space="preserve"> </w:t>
      </w:r>
      <w:r w:rsidRPr="0095786D">
        <w:rPr>
          <w:rStyle w:val="af7"/>
          <w:rFonts w:eastAsia="Guttman Hodes" w:hint="cs"/>
          <w:rtl/>
        </w:rPr>
        <w:t>(ב"א ש"ב דף טז. מדה"ס)</w:t>
      </w:r>
      <w:r>
        <w:rPr>
          <w:rFonts w:hint="cs"/>
          <w:rtl/>
        </w:rPr>
        <w:t xml:space="preserve"> דלא תלינן בשום דבר כרב חסדא, דקיי"ל כוותיה רק בשיבר בה עצמות דעלמא, ומבואר דאף במפרקת לא תלינן לקולא, ועיי"ש </w:t>
      </w:r>
      <w:r w:rsidRPr="008A117A">
        <w:rPr>
          <w:rStyle w:val="af9"/>
          <w:rFonts w:hint="cs"/>
          <w:rtl/>
        </w:rPr>
        <w:t>בתבו"ש</w:t>
      </w:r>
      <w:r>
        <w:rPr>
          <w:rFonts w:hint="cs"/>
          <w:rtl/>
        </w:rPr>
        <w:t xml:space="preserve"> שביאר דכן מוכח אף בדעת </w:t>
      </w:r>
      <w:r w:rsidRPr="008A2EF3">
        <w:rPr>
          <w:rStyle w:val="af9"/>
          <w:rFonts w:hint="cs"/>
          <w:rtl/>
        </w:rPr>
        <w:t>הר"ן</w:t>
      </w:r>
      <w:r>
        <w:rPr>
          <w:rFonts w:hint="cs"/>
          <w:rtl/>
        </w:rPr>
        <w:t xml:space="preserve">, וע"ע בדברי </w:t>
      </w:r>
      <w:r w:rsidRPr="008A2EF3">
        <w:rPr>
          <w:rStyle w:val="af9"/>
          <w:rFonts w:hint="cs"/>
          <w:rtl/>
        </w:rPr>
        <w:t>הפר"ח</w:t>
      </w:r>
      <w:r>
        <w:rPr>
          <w:rFonts w:hint="cs"/>
          <w:rtl/>
        </w:rPr>
        <w:t xml:space="preserve"> </w:t>
      </w:r>
      <w:r w:rsidRPr="008A2EF3">
        <w:rPr>
          <w:rStyle w:val="af7"/>
          <w:rFonts w:eastAsia="Guttman Hodes" w:hint="cs"/>
          <w:rtl/>
        </w:rPr>
        <w:t>(י"ח כ"ו)</w:t>
      </w:r>
      <w:r>
        <w:rPr>
          <w:rFonts w:hint="cs"/>
          <w:rtl/>
        </w:rPr>
        <w:t>.</w:t>
      </w:r>
    </w:p>
    <w:p w14:paraId="09194691" w14:textId="77777777" w:rsidR="00533768" w:rsidRDefault="00533768" w:rsidP="006D6D32">
      <w:pPr>
        <w:pStyle w:val="a3"/>
        <w:rPr>
          <w:rtl/>
        </w:rPr>
      </w:pPr>
      <w:bookmarkStart w:id="5954" w:name="_Toc527108384"/>
      <w:bookmarkStart w:id="5955" w:name="_Toc19389682"/>
      <w:bookmarkStart w:id="5956" w:name="_Toc19393179"/>
      <w:r>
        <w:rPr>
          <w:rFonts w:hint="cs"/>
          <w:rtl/>
        </w:rPr>
        <w:t>ביאור הפרמ"ג והגר"א דמקור השו"ע מדיוק הרשב"א דתלינן בעצמות ולא בעצם המפרקת</w:t>
      </w:r>
      <w:bookmarkEnd w:id="5954"/>
      <w:bookmarkEnd w:id="5955"/>
      <w:bookmarkEnd w:id="5956"/>
    </w:p>
    <w:p w14:paraId="29B4E871" w14:textId="77777777" w:rsidR="00533768" w:rsidRDefault="00533768" w:rsidP="00223668">
      <w:pPr>
        <w:pStyle w:val="a0"/>
        <w:rPr>
          <w:rtl/>
        </w:rPr>
      </w:pPr>
      <w:r w:rsidRPr="00536B71">
        <w:rPr>
          <w:rStyle w:val="af9"/>
          <w:rFonts w:hint="cs"/>
          <w:rtl/>
        </w:rPr>
        <w:t>והפרמ"ג</w:t>
      </w:r>
      <w:r w:rsidRPr="00536B71">
        <w:rPr>
          <w:rStyle w:val="af7"/>
          <w:rFonts w:eastAsia="Guttman Hodes" w:hint="cs"/>
          <w:rtl/>
        </w:rPr>
        <w:t xml:space="preserve"> (י"ח משב"ז י"ב) </w:t>
      </w:r>
      <w:r>
        <w:rPr>
          <w:rFonts w:hint="cs"/>
          <w:rtl/>
        </w:rPr>
        <w:t xml:space="preserve">ביארו דמקור דברי </w:t>
      </w:r>
      <w:r w:rsidRPr="00A32BE8">
        <w:rPr>
          <w:rStyle w:val="af9"/>
          <w:rFonts w:hint="cs"/>
          <w:rtl/>
        </w:rPr>
        <w:t>השו"ע</w:t>
      </w:r>
      <w:r>
        <w:rPr>
          <w:rFonts w:hint="cs"/>
          <w:rtl/>
        </w:rPr>
        <w:t xml:space="preserve"> הם מדדייק </w:t>
      </w:r>
      <w:r w:rsidRPr="00536B71">
        <w:rPr>
          <w:rStyle w:val="af9"/>
          <w:rFonts w:hint="cs"/>
          <w:rtl/>
        </w:rPr>
        <w:t>הרשב"א</w:t>
      </w:r>
      <w:r>
        <w:rPr>
          <w:rFonts w:hint="cs"/>
          <w:rtl/>
        </w:rPr>
        <w:t xml:space="preserve"> </w:t>
      </w:r>
      <w:r w:rsidRPr="00536B71">
        <w:rPr>
          <w:rStyle w:val="af7"/>
          <w:rFonts w:eastAsia="Guttman Hodes" w:hint="cs"/>
          <w:rtl/>
        </w:rPr>
        <w:t>(ד"ה ומיהו)</w:t>
      </w:r>
      <w:r>
        <w:rPr>
          <w:rFonts w:hint="cs"/>
          <w:rtl/>
        </w:rPr>
        <w:t xml:space="preserve"> דקיי"ל כרב חסדא דוקא בששיבר בה עצמות, ומשמע דבשיבר את עצם המפרקת לא קיי"ל כוותיה, ומבואר בדברי </w:t>
      </w:r>
      <w:r w:rsidRPr="00536B71">
        <w:rPr>
          <w:rStyle w:val="af9"/>
          <w:rFonts w:hint="cs"/>
          <w:rtl/>
        </w:rPr>
        <w:t>הרשב"א</w:t>
      </w:r>
      <w:r>
        <w:rPr>
          <w:rFonts w:hint="cs"/>
          <w:rtl/>
        </w:rPr>
        <w:t xml:space="preserve"> דאף בדרך שבירה לא תלינן במפרקת,</w:t>
      </w:r>
      <w:r w:rsidRPr="0069547B">
        <w:rPr>
          <w:rFonts w:hint="cs"/>
          <w:rtl/>
        </w:rPr>
        <w:t xml:space="preserve"> </w:t>
      </w:r>
      <w:r>
        <w:rPr>
          <w:rFonts w:hint="cs"/>
          <w:rtl/>
        </w:rPr>
        <w:t xml:space="preserve">וכן מבואר בדברי </w:t>
      </w:r>
      <w:r w:rsidRPr="00536B71">
        <w:rPr>
          <w:rStyle w:val="af9"/>
          <w:rFonts w:hint="cs"/>
          <w:rtl/>
        </w:rPr>
        <w:t>הגר"א</w:t>
      </w:r>
      <w:r>
        <w:rPr>
          <w:rFonts w:hint="cs"/>
          <w:rtl/>
        </w:rPr>
        <w:t xml:space="preserve"> </w:t>
      </w:r>
      <w:r w:rsidRPr="00536B71">
        <w:rPr>
          <w:rStyle w:val="af7"/>
          <w:rFonts w:eastAsia="Guttman Hodes" w:hint="cs"/>
          <w:rtl/>
        </w:rPr>
        <w:t>(י"ח כ"ו)</w:t>
      </w:r>
      <w:r>
        <w:rPr>
          <w:rFonts w:hint="cs"/>
          <w:rtl/>
        </w:rPr>
        <w:t xml:space="preserve"> דכתב דמקור דברי </w:t>
      </w:r>
      <w:r w:rsidRPr="00536B71">
        <w:rPr>
          <w:rStyle w:val="af9"/>
          <w:rFonts w:hint="cs"/>
          <w:rtl/>
        </w:rPr>
        <w:t>השו"ע</w:t>
      </w:r>
      <w:r>
        <w:rPr>
          <w:rFonts w:hint="cs"/>
          <w:rtl/>
        </w:rPr>
        <w:t xml:space="preserve"> הוא מלשון הגמ' ששיבר עצמות, דמשמע דוקא עצמות.</w:t>
      </w:r>
    </w:p>
    <w:p w14:paraId="1C4600A2" w14:textId="77777777" w:rsidR="00533768" w:rsidRPr="00945D9A" w:rsidRDefault="00533768" w:rsidP="006D6D32">
      <w:pPr>
        <w:pStyle w:val="a3"/>
        <w:rPr>
          <w:rtl/>
        </w:rPr>
      </w:pPr>
    </w:p>
    <w:p w14:paraId="44930890" w14:textId="77777777" w:rsidR="00533768" w:rsidRDefault="00533768" w:rsidP="006D6D32">
      <w:pPr>
        <w:pStyle w:val="afe"/>
      </w:pPr>
      <w:bookmarkStart w:id="5957" w:name="_Toc526504118"/>
      <w:bookmarkStart w:id="5958" w:name="_Toc526853011"/>
      <w:bookmarkStart w:id="5959" w:name="_Toc526889909"/>
      <w:bookmarkStart w:id="5960" w:name="_Toc527108385"/>
      <w:bookmarkStart w:id="5961" w:name="_Toc19435437"/>
      <w:bookmarkStart w:id="5962" w:name="_Toc20080756"/>
      <w:r>
        <w:rPr>
          <w:rFonts w:hint="cs"/>
          <w:rtl/>
        </w:rPr>
        <w:t>בביאור הלישנות ברב יוסף</w:t>
      </w:r>
      <w:bookmarkEnd w:id="5712"/>
      <w:bookmarkEnd w:id="5957"/>
      <w:bookmarkEnd w:id="5958"/>
      <w:bookmarkEnd w:id="5959"/>
      <w:bookmarkEnd w:id="5960"/>
      <w:bookmarkEnd w:id="5961"/>
      <w:bookmarkEnd w:id="5962"/>
    </w:p>
    <w:p w14:paraId="57BC619D" w14:textId="77777777" w:rsidR="00533768" w:rsidRDefault="00533768" w:rsidP="00BF39B2">
      <w:pPr>
        <w:pStyle w:val="1"/>
        <w:rPr>
          <w:rtl/>
        </w:rPr>
      </w:pPr>
      <w:bookmarkStart w:id="5963" w:name="_Toc526249239"/>
      <w:bookmarkStart w:id="5964" w:name="_Toc526504119"/>
      <w:bookmarkStart w:id="5965" w:name="_Toc526853012"/>
      <w:bookmarkStart w:id="5966" w:name="_Toc526889910"/>
      <w:bookmarkStart w:id="5967" w:name="_Toc527108386"/>
      <w:bookmarkStart w:id="5968" w:name="_Toc19389683"/>
      <w:bookmarkStart w:id="5969" w:name="_Toc19393180"/>
      <w:r>
        <w:rPr>
          <w:rFonts w:hint="cs"/>
          <w:rtl/>
        </w:rPr>
        <w:t>ביאור התוס' בל</w:t>
      </w:r>
      <w:bookmarkEnd w:id="5963"/>
      <w:bookmarkEnd w:id="5964"/>
      <w:bookmarkEnd w:id="5965"/>
      <w:r>
        <w:rPr>
          <w:rFonts w:hint="cs"/>
          <w:rtl/>
        </w:rPr>
        <w:t>"ב דרק במפרקת האחרונה מצוי שיפגום</w:t>
      </w:r>
      <w:bookmarkEnd w:id="5966"/>
      <w:bookmarkEnd w:id="5967"/>
      <w:bookmarkEnd w:id="5968"/>
      <w:bookmarkEnd w:id="5969"/>
    </w:p>
    <w:p w14:paraId="70F9B40D" w14:textId="77777777" w:rsidR="00533768" w:rsidRDefault="00533768" w:rsidP="006D6D32">
      <w:pPr>
        <w:pStyle w:val="a3"/>
        <w:rPr>
          <w:rtl/>
        </w:rPr>
      </w:pPr>
      <w:bookmarkStart w:id="5970" w:name="_Toc526249240"/>
      <w:bookmarkStart w:id="5971" w:name="_Toc526504120"/>
      <w:bookmarkStart w:id="5972" w:name="_Toc526853013"/>
      <w:bookmarkStart w:id="5973" w:name="_Toc526889911"/>
      <w:bookmarkStart w:id="5974" w:name="_Toc527108387"/>
      <w:bookmarkStart w:id="5975" w:name="_Toc19389684"/>
      <w:bookmarkStart w:id="5976" w:name="_Toc19393181"/>
      <w:r>
        <w:rPr>
          <w:rFonts w:hint="cs"/>
          <w:rtl/>
        </w:rPr>
        <w:t>התי' הב' בתוס' דכיון שעצם ודאי פוגם אמרינן דהריעותא אינה בבהמה אלא בסכין</w:t>
      </w:r>
      <w:bookmarkEnd w:id="5970"/>
      <w:bookmarkEnd w:id="5971"/>
      <w:bookmarkEnd w:id="5972"/>
      <w:bookmarkEnd w:id="5973"/>
      <w:bookmarkEnd w:id="5974"/>
      <w:bookmarkEnd w:id="5975"/>
      <w:bookmarkEnd w:id="5976"/>
    </w:p>
    <w:p w14:paraId="367D45C4" w14:textId="77777777" w:rsidR="00533768" w:rsidRPr="00AF5850" w:rsidRDefault="00533768" w:rsidP="00223668">
      <w:pPr>
        <w:pStyle w:val="a0"/>
        <w:rPr>
          <w:rtl/>
        </w:rPr>
      </w:pPr>
      <w:r>
        <w:rPr>
          <w:rFonts w:hint="cs"/>
          <w:rtl/>
        </w:rPr>
        <w:t>כתבו</w:t>
      </w:r>
      <w:r>
        <w:rPr>
          <w:rStyle w:val="af9"/>
          <w:rtl/>
        </w:rPr>
        <w:t xml:space="preserve"> התוס'</w:t>
      </w:r>
      <w:r>
        <w:rPr>
          <w:rFonts w:hint="cs"/>
          <w:rtl/>
        </w:rPr>
        <w:t xml:space="preserve"> </w:t>
      </w:r>
      <w:r>
        <w:rPr>
          <w:rStyle w:val="af7"/>
          <w:rFonts w:eastAsia="Guttman Hodes" w:hint="cs"/>
          <w:rtl/>
        </w:rPr>
        <w:t>(י. ד"</w:t>
      </w:r>
      <w:r w:rsidRPr="00AF5850">
        <w:rPr>
          <w:rStyle w:val="af7"/>
          <w:rFonts w:eastAsia="Guttman Hodes" w:hint="cs"/>
          <w:rtl/>
        </w:rPr>
        <w:t>ה סכין)</w:t>
      </w:r>
      <w:r w:rsidRPr="00AF5850">
        <w:rPr>
          <w:rStyle w:val="af9"/>
          <w:rtl/>
        </w:rPr>
        <w:t xml:space="preserve"> בתירוצם הב' </w:t>
      </w:r>
      <w:r w:rsidRPr="00AF5850">
        <w:rPr>
          <w:rFonts w:hint="cs"/>
          <w:rtl/>
        </w:rPr>
        <w:t>דאף למסקנא</w:t>
      </w:r>
      <w:r w:rsidRPr="00AF5850">
        <w:rPr>
          <w:rStyle w:val="af9"/>
          <w:rtl/>
        </w:rPr>
        <w:t xml:space="preserve"> </w:t>
      </w:r>
      <w:r w:rsidRPr="00AF5850">
        <w:rPr>
          <w:rFonts w:hint="cs"/>
          <w:rtl/>
        </w:rPr>
        <w:t xml:space="preserve"> דסברת רב חסדא היא מחמת דבהמה לא איתרעי, מ"מ הסברא בזה היא כיון דעצם ודאי פוגם, עי' בדבריהם </w:t>
      </w:r>
      <w:bookmarkStart w:id="5977" w:name="_Toc525594334"/>
      <w:r w:rsidRPr="00AF5850">
        <w:rPr>
          <w:rStyle w:val="af7"/>
          <w:rFonts w:eastAsia="Guttman Hodes"/>
          <w:rtl/>
        </w:rPr>
        <w:t xml:space="preserve">(הובא </w:t>
      </w:r>
      <w:r>
        <w:rPr>
          <w:rStyle w:val="af7"/>
          <w:rFonts w:eastAsia="Guttman Hodes" w:hint="cs"/>
          <w:rtl/>
        </w:rPr>
        <w:t xml:space="preserve">דבריהם </w:t>
      </w:r>
      <w:r w:rsidRPr="00AF5850">
        <w:rPr>
          <w:rStyle w:val="af7"/>
          <w:rFonts w:eastAsia="Guttman Hodes"/>
          <w:rtl/>
        </w:rPr>
        <w:t xml:space="preserve">לעיל סימן ה' אות </w:t>
      </w:r>
      <w:r w:rsidRPr="00AF5850">
        <w:rPr>
          <w:rStyle w:val="af7"/>
          <w:rFonts w:eastAsia="Guttman Hodes" w:hint="cs"/>
          <w:rtl/>
        </w:rPr>
        <w:t>כו)</w:t>
      </w:r>
      <w:r w:rsidRPr="00AF5850">
        <w:rPr>
          <w:rFonts w:hint="cs"/>
          <w:rtl/>
        </w:rPr>
        <w:t>.</w:t>
      </w:r>
    </w:p>
    <w:p w14:paraId="7EEA5188" w14:textId="77777777" w:rsidR="00533768" w:rsidRPr="00AF5850" w:rsidRDefault="00533768" w:rsidP="006D6D32">
      <w:pPr>
        <w:pStyle w:val="a3"/>
      </w:pPr>
      <w:bookmarkStart w:id="5978" w:name="_Toc526249241"/>
      <w:bookmarkStart w:id="5979" w:name="_Toc526504121"/>
      <w:bookmarkStart w:id="5980" w:name="_Toc526853014"/>
      <w:bookmarkStart w:id="5981" w:name="_Toc526889912"/>
      <w:bookmarkStart w:id="5982" w:name="_Toc527108388"/>
      <w:bookmarkStart w:id="5983" w:name="_Toc19389685"/>
      <w:bookmarkStart w:id="5984" w:name="_Toc19393182"/>
      <w:r w:rsidRPr="00AF5850">
        <w:rPr>
          <w:rFonts w:hint="cs"/>
          <w:rtl/>
        </w:rPr>
        <w:t>קושית התוס' דבל"ב ברב יוסף משמע דלרב חסדא אין הטעם מצד דעצם ודאי פוגם</w:t>
      </w:r>
      <w:bookmarkEnd w:id="5977"/>
      <w:bookmarkEnd w:id="5978"/>
      <w:bookmarkEnd w:id="5979"/>
      <w:bookmarkEnd w:id="5980"/>
      <w:bookmarkEnd w:id="5981"/>
      <w:bookmarkEnd w:id="5982"/>
      <w:bookmarkEnd w:id="5983"/>
      <w:bookmarkEnd w:id="5984"/>
    </w:p>
    <w:p w14:paraId="7E46CCBB" w14:textId="77777777" w:rsidR="00533768" w:rsidRDefault="00533768" w:rsidP="00223668">
      <w:pPr>
        <w:pStyle w:val="a0"/>
        <w:rPr>
          <w:rtl/>
        </w:rPr>
      </w:pPr>
      <w:bookmarkStart w:id="5985" w:name="_Ref525596585"/>
      <w:bookmarkStart w:id="5986" w:name="_Ref523332438"/>
      <w:bookmarkStart w:id="5987" w:name="_Ref523946730"/>
      <w:r w:rsidRPr="00AF5850">
        <w:rPr>
          <w:rFonts w:hint="cs"/>
          <w:rtl/>
        </w:rPr>
        <w:t xml:space="preserve">והקשו </w:t>
      </w:r>
      <w:r w:rsidRPr="00AF5850">
        <w:rPr>
          <w:rStyle w:val="af9"/>
          <w:rtl/>
        </w:rPr>
        <w:t>התוס'</w:t>
      </w:r>
      <w:r w:rsidRPr="00AF5850">
        <w:rPr>
          <w:rFonts w:hint="cs"/>
          <w:rtl/>
        </w:rPr>
        <w:t xml:space="preserve"> דהא בלישנא</w:t>
      </w:r>
      <w:r>
        <w:rPr>
          <w:rFonts w:hint="cs"/>
          <w:rtl/>
        </w:rPr>
        <w:t xml:space="preserve"> בתרא ברב יוסף אמרינן דבהרבה בהמות, לרב חסדא אפילו הבהמה האחרונה שנשחטה היא כשרה, דתלינן שהפגם היה בעצם המפרקת של הבהמה האחרונה. וביאר </w:t>
      </w:r>
      <w:r>
        <w:rPr>
          <w:rStyle w:val="af9"/>
          <w:rtl/>
        </w:rPr>
        <w:t>הר"ן בחי'</w:t>
      </w:r>
      <w:r>
        <w:rPr>
          <w:rFonts w:hint="cs"/>
          <w:rtl/>
        </w:rPr>
        <w:t xml:space="preserve"> </w:t>
      </w:r>
      <w:r>
        <w:rPr>
          <w:rStyle w:val="af7"/>
          <w:rFonts w:eastAsia="Guttman Hodes" w:hint="cs"/>
          <w:rtl/>
        </w:rPr>
        <w:t xml:space="preserve">(י. ד"ה עצם) </w:t>
      </w:r>
      <w:r>
        <w:rPr>
          <w:rFonts w:hint="cs"/>
          <w:rtl/>
        </w:rPr>
        <w:t>דמבואר דלמסקנת הגמ' נדחה הטעם דאין ספק מוציא מידי ודאי, דהא לרב חסדא תלינן במפרקת של הבהמה האחרונה, ובזה א"א לומר דהמפרקת של האחרונה ודאי פוגמת, והמפרקת של הראשונה ספק פוגמת.</w:t>
      </w:r>
      <w:bookmarkEnd w:id="5985"/>
    </w:p>
    <w:p w14:paraId="7D292BB9" w14:textId="77777777" w:rsidR="00533768" w:rsidRDefault="00533768" w:rsidP="006D6D32">
      <w:pPr>
        <w:pStyle w:val="a3"/>
        <w:rPr>
          <w:rtl/>
        </w:rPr>
      </w:pPr>
      <w:bookmarkStart w:id="5988" w:name="_Toc526249242"/>
      <w:bookmarkStart w:id="5989" w:name="_Toc525594335"/>
      <w:bookmarkStart w:id="5990" w:name="_Toc526504122"/>
      <w:bookmarkStart w:id="5991" w:name="_Toc526853015"/>
      <w:bookmarkStart w:id="5992" w:name="_Toc526889913"/>
      <w:bookmarkStart w:id="5993" w:name="_Toc527108389"/>
      <w:bookmarkStart w:id="5994" w:name="_Toc19389686"/>
      <w:bookmarkStart w:id="5995" w:name="_Toc19393183"/>
      <w:r>
        <w:rPr>
          <w:rFonts w:hint="cs"/>
          <w:rtl/>
        </w:rPr>
        <w:t>תירוץ התוס' דבהרבה בהמות נזהר לא לפגום בראשונות והאחרונה היא ודאי פוגמת</w:t>
      </w:r>
      <w:bookmarkEnd w:id="5988"/>
      <w:bookmarkEnd w:id="5989"/>
      <w:bookmarkEnd w:id="5990"/>
      <w:bookmarkEnd w:id="5991"/>
      <w:bookmarkEnd w:id="5992"/>
      <w:bookmarkEnd w:id="5993"/>
      <w:bookmarkEnd w:id="5994"/>
      <w:bookmarkEnd w:id="5995"/>
    </w:p>
    <w:p w14:paraId="2F7F59E9" w14:textId="77777777" w:rsidR="00533768" w:rsidRDefault="00533768" w:rsidP="00223668">
      <w:pPr>
        <w:pStyle w:val="a0"/>
      </w:pPr>
      <w:bookmarkStart w:id="5996" w:name="_Ref526874979"/>
      <w:r>
        <w:rPr>
          <w:rFonts w:hint="cs"/>
          <w:rtl/>
        </w:rPr>
        <w:t xml:space="preserve">ותירצו </w:t>
      </w:r>
      <w:r>
        <w:rPr>
          <w:rStyle w:val="af9"/>
          <w:rtl/>
        </w:rPr>
        <w:t>התוס'</w:t>
      </w:r>
      <w:r>
        <w:rPr>
          <w:rFonts w:hint="cs"/>
          <w:rtl/>
        </w:rPr>
        <w:t xml:space="preserve"> דבהרבה בהמות נזהר השוחט בבהמות הראשונות שלא לדחוק את הסכין בעצם של המפרקת, כדי שיוכל לשחוט את שאר הבהמות, ובאחרונה אינו נזהר.</w:t>
      </w:r>
      <w:bookmarkEnd w:id="5986"/>
      <w:r>
        <w:rPr>
          <w:rFonts w:hint="cs"/>
          <w:rtl/>
        </w:rPr>
        <w:t xml:space="preserve"> </w:t>
      </w:r>
      <w:bookmarkEnd w:id="5987"/>
      <w:r>
        <w:rPr>
          <w:rFonts w:hint="cs"/>
          <w:rtl/>
        </w:rPr>
        <w:t xml:space="preserve">וביאר </w:t>
      </w:r>
      <w:r>
        <w:rPr>
          <w:rStyle w:val="af9"/>
          <w:rtl/>
        </w:rPr>
        <w:t>הר"ן</w:t>
      </w:r>
      <w:r>
        <w:rPr>
          <w:rFonts w:hint="cs"/>
          <w:rtl/>
        </w:rPr>
        <w:t xml:space="preserve"> </w:t>
      </w:r>
      <w:r>
        <w:rPr>
          <w:rStyle w:val="af9"/>
          <w:rtl/>
        </w:rPr>
        <w:t>בחי'</w:t>
      </w:r>
      <w:r>
        <w:rPr>
          <w:rFonts w:hint="cs"/>
          <w:rtl/>
        </w:rPr>
        <w:t xml:space="preserve"> דמשו"ה הוא קרוב לודאי שנפגם במפרקת של הבהמה האחרונה, ולא בעור או במפרקת של הראשונה.</w:t>
      </w:r>
      <w:bookmarkEnd w:id="5996"/>
    </w:p>
    <w:p w14:paraId="43A9034E" w14:textId="77777777" w:rsidR="00533768" w:rsidRDefault="00533768" w:rsidP="006D6D32">
      <w:pPr>
        <w:pStyle w:val="a3"/>
        <w:rPr>
          <w:rtl/>
        </w:rPr>
      </w:pPr>
      <w:bookmarkStart w:id="5997" w:name="_Toc526249243"/>
      <w:bookmarkStart w:id="5998" w:name="_Toc525594336"/>
      <w:bookmarkStart w:id="5999" w:name="_Toc526504123"/>
      <w:bookmarkStart w:id="6000" w:name="_Toc526853016"/>
      <w:bookmarkStart w:id="6001" w:name="_Toc526889914"/>
      <w:bookmarkStart w:id="6002" w:name="_Toc527108390"/>
      <w:bookmarkStart w:id="6003" w:name="_Toc19389687"/>
      <w:bookmarkStart w:id="6004" w:name="_Toc19393184"/>
      <w:r>
        <w:rPr>
          <w:rFonts w:hint="cs"/>
          <w:rtl/>
        </w:rPr>
        <w:t>דחיית הר"ן דתירוץ התוס' הוא דוחק ולא משמע כן בגמ'</w:t>
      </w:r>
      <w:bookmarkEnd w:id="5997"/>
      <w:bookmarkEnd w:id="5998"/>
      <w:bookmarkEnd w:id="5999"/>
      <w:bookmarkEnd w:id="6000"/>
      <w:bookmarkEnd w:id="6001"/>
      <w:bookmarkEnd w:id="6002"/>
      <w:bookmarkEnd w:id="6003"/>
      <w:bookmarkEnd w:id="6004"/>
    </w:p>
    <w:p w14:paraId="45F0A200" w14:textId="77777777" w:rsidR="00533768" w:rsidRDefault="00533768" w:rsidP="00223668">
      <w:pPr>
        <w:pStyle w:val="a0"/>
        <w:rPr>
          <w:rtl/>
        </w:rPr>
      </w:pPr>
      <w:r>
        <w:rPr>
          <w:rFonts w:hint="cs"/>
          <w:rtl/>
        </w:rPr>
        <w:t xml:space="preserve">ודחה </w:t>
      </w:r>
      <w:r>
        <w:rPr>
          <w:rStyle w:val="af9"/>
          <w:rtl/>
        </w:rPr>
        <w:t>הר"ן בחי'</w:t>
      </w:r>
      <w:r>
        <w:rPr>
          <w:rFonts w:hint="cs"/>
          <w:rtl/>
        </w:rPr>
        <w:t xml:space="preserve"> את דברי </w:t>
      </w:r>
      <w:r w:rsidRPr="004C7595">
        <w:rPr>
          <w:rStyle w:val="af9"/>
          <w:rFonts w:hint="cs"/>
          <w:rtl/>
        </w:rPr>
        <w:t xml:space="preserve">התוס' </w:t>
      </w:r>
      <w:r>
        <w:rPr>
          <w:rFonts w:hint="cs"/>
          <w:rtl/>
        </w:rPr>
        <w:t xml:space="preserve">וכתב דדוחק לפרש כן, וגם לא משמע כן בלשון הגמ', אלא </w:t>
      </w:r>
      <w:r w:rsidRPr="00EC00A5">
        <w:rPr>
          <w:rFonts w:hint="cs"/>
          <w:rtl/>
        </w:rPr>
        <w:t xml:space="preserve">דתלינן במפרקת של האחרונה, ולא מחמת שהוא קרוב לודאי, ולכן ביאר </w:t>
      </w:r>
      <w:r w:rsidRPr="00EC00A5">
        <w:rPr>
          <w:rStyle w:val="af9"/>
          <w:rtl/>
        </w:rPr>
        <w:t>הר"ן בחי'</w:t>
      </w:r>
      <w:r>
        <w:rPr>
          <w:rFonts w:hint="cs"/>
          <w:rtl/>
        </w:rPr>
        <w:t xml:space="preserve"> </w:t>
      </w:r>
      <w:r w:rsidRPr="00EC00A5">
        <w:rPr>
          <w:rFonts w:hint="cs"/>
          <w:rtl/>
        </w:rPr>
        <w:t>דלמסקנא נדחה הטעם דאין ספק מוציא מידי ודאי.</w:t>
      </w:r>
      <w:r>
        <w:rPr>
          <w:rFonts w:hint="cs"/>
          <w:rtl/>
        </w:rPr>
        <w:t xml:space="preserve"> </w:t>
      </w:r>
    </w:p>
    <w:p w14:paraId="3B83AB99" w14:textId="77777777" w:rsidR="00533768" w:rsidRDefault="00533768" w:rsidP="00BF39B2">
      <w:pPr>
        <w:pStyle w:val="1"/>
        <w:rPr>
          <w:rtl/>
        </w:rPr>
      </w:pPr>
      <w:bookmarkStart w:id="6005" w:name="_Toc526889915"/>
      <w:bookmarkStart w:id="6006" w:name="_Toc527108391"/>
      <w:bookmarkStart w:id="6007" w:name="_Toc19389688"/>
      <w:bookmarkStart w:id="6008" w:name="_Toc19393185"/>
      <w:r>
        <w:rPr>
          <w:rFonts w:hint="cs"/>
          <w:rtl/>
        </w:rPr>
        <w:t>ביאור הר"ן דב' הלישנות נחלקו בטעם ההיתר לרב חסדא</w:t>
      </w:r>
      <w:bookmarkEnd w:id="6005"/>
      <w:bookmarkEnd w:id="6006"/>
      <w:bookmarkEnd w:id="6007"/>
      <w:bookmarkEnd w:id="6008"/>
    </w:p>
    <w:p w14:paraId="455ADF01" w14:textId="77777777" w:rsidR="00533768" w:rsidRPr="002759A1" w:rsidRDefault="00533768" w:rsidP="006D6D32">
      <w:pPr>
        <w:pStyle w:val="a3"/>
        <w:rPr>
          <w:rtl/>
        </w:rPr>
      </w:pPr>
      <w:bookmarkStart w:id="6009" w:name="_Toc526889916"/>
      <w:bookmarkStart w:id="6010" w:name="_Toc527108392"/>
      <w:bookmarkStart w:id="6011" w:name="_Toc19389689"/>
      <w:bookmarkStart w:id="6012" w:name="_Toc19393186"/>
      <w:r>
        <w:rPr>
          <w:rFonts w:hint="cs"/>
          <w:rtl/>
        </w:rPr>
        <w:t>דברי הר"ן דהספק ברב יוסף האו האם נשארה הסברא דאין ספק מוציא מידי ודאי</w:t>
      </w:r>
      <w:bookmarkEnd w:id="6009"/>
      <w:bookmarkEnd w:id="6010"/>
      <w:bookmarkEnd w:id="6011"/>
      <w:bookmarkEnd w:id="6012"/>
      <w:r>
        <w:rPr>
          <w:rFonts w:hint="cs"/>
          <w:rtl/>
        </w:rPr>
        <w:t xml:space="preserve"> </w:t>
      </w:r>
    </w:p>
    <w:p w14:paraId="4A29FBB6" w14:textId="77777777" w:rsidR="00533768" w:rsidRDefault="00533768" w:rsidP="00223668">
      <w:pPr>
        <w:pStyle w:val="a0"/>
        <w:rPr>
          <w:rtl/>
        </w:rPr>
      </w:pPr>
      <w:bookmarkStart w:id="6013" w:name="_Ref526247165"/>
      <w:r>
        <w:rPr>
          <w:rFonts w:hint="cs"/>
          <w:rtl/>
        </w:rPr>
        <w:t xml:space="preserve">והוסיף </w:t>
      </w:r>
      <w:r w:rsidRPr="00EC00A5">
        <w:rPr>
          <w:rStyle w:val="af9"/>
          <w:rFonts w:hint="cs"/>
          <w:rtl/>
        </w:rPr>
        <w:t>הר"ן בחי'</w:t>
      </w:r>
      <w:r w:rsidRPr="00EC00A5">
        <w:rPr>
          <w:rFonts w:hint="cs"/>
          <w:rtl/>
        </w:rPr>
        <w:t xml:space="preserve"> </w:t>
      </w:r>
      <w:r>
        <w:rPr>
          <w:rFonts w:hint="cs"/>
          <w:rtl/>
        </w:rPr>
        <w:t xml:space="preserve"> </w:t>
      </w:r>
      <w:r>
        <w:rPr>
          <w:rStyle w:val="af7"/>
          <w:rFonts w:eastAsia="Guttman Hodes" w:hint="cs"/>
          <w:rtl/>
        </w:rPr>
        <w:t xml:space="preserve">(י. ד"ה עצם) </w:t>
      </w:r>
      <w:r w:rsidRPr="00EC00A5">
        <w:rPr>
          <w:rFonts w:hint="cs"/>
          <w:rtl/>
        </w:rPr>
        <w:t xml:space="preserve">דמה שהגמ' לא אמרה בתירוץ לשון "אלא", הוא כיון דהגמ' במסקנא </w:t>
      </w:r>
      <w:r>
        <w:rPr>
          <w:rFonts w:hint="cs"/>
          <w:rtl/>
        </w:rPr>
        <w:t xml:space="preserve">בב' הלישנות ברב יוסף, </w:t>
      </w:r>
      <w:r w:rsidRPr="00EC00A5">
        <w:rPr>
          <w:rFonts w:hint="cs"/>
          <w:rtl/>
        </w:rPr>
        <w:t>מסתפקת אי רב חסדא מתיר בצירוף הסברא דעצם ודאי פוגם</w:t>
      </w:r>
      <w:r>
        <w:rPr>
          <w:rFonts w:hint="cs"/>
          <w:rtl/>
        </w:rPr>
        <w:t>.</w:t>
      </w:r>
    </w:p>
    <w:p w14:paraId="47AA407F" w14:textId="77777777" w:rsidR="00533768" w:rsidRPr="00475B8A" w:rsidRDefault="00533768" w:rsidP="006D6D32">
      <w:pPr>
        <w:pStyle w:val="a3"/>
      </w:pPr>
      <w:bookmarkStart w:id="6014" w:name="_Toc526889917"/>
      <w:bookmarkStart w:id="6015" w:name="_Toc527108393"/>
      <w:bookmarkStart w:id="6016" w:name="_Toc19389690"/>
      <w:bookmarkStart w:id="6017" w:name="_Toc19393187"/>
      <w:r>
        <w:rPr>
          <w:rFonts w:hint="cs"/>
          <w:rtl/>
        </w:rPr>
        <w:t>ביאור הר"ן דלל"ק תלינן במפרקת גם מחמת דעצם ודאי פוגם</w:t>
      </w:r>
      <w:bookmarkEnd w:id="6014"/>
      <w:bookmarkEnd w:id="6015"/>
      <w:bookmarkEnd w:id="6016"/>
      <w:bookmarkEnd w:id="6017"/>
    </w:p>
    <w:p w14:paraId="697917A2" w14:textId="77777777" w:rsidR="00533768" w:rsidRDefault="00533768" w:rsidP="00223668">
      <w:pPr>
        <w:pStyle w:val="a0"/>
      </w:pPr>
      <w:r w:rsidRPr="00EC00A5">
        <w:rPr>
          <w:rFonts w:hint="cs"/>
          <w:rtl/>
        </w:rPr>
        <w:t>וביאר</w:t>
      </w:r>
      <w:r>
        <w:rPr>
          <w:rFonts w:hint="cs"/>
          <w:rtl/>
        </w:rPr>
        <w:t xml:space="preserve"> </w:t>
      </w:r>
      <w:r w:rsidRPr="00A1748E">
        <w:rPr>
          <w:rStyle w:val="af9"/>
          <w:rFonts w:hint="cs"/>
          <w:rtl/>
        </w:rPr>
        <w:t>הר"ן בחי'</w:t>
      </w:r>
      <w:r>
        <w:rPr>
          <w:rFonts w:hint="cs"/>
          <w:rtl/>
        </w:rPr>
        <w:t xml:space="preserve"> </w:t>
      </w:r>
      <w:r w:rsidRPr="004C7595">
        <w:rPr>
          <w:rStyle w:val="af7"/>
          <w:rFonts w:eastAsia="Guttman Hodes" w:hint="cs"/>
          <w:rtl/>
        </w:rPr>
        <w:t>(י. סוד"ה עצם)</w:t>
      </w:r>
      <w:r>
        <w:rPr>
          <w:rFonts w:hint="cs"/>
          <w:rtl/>
        </w:rPr>
        <w:t xml:space="preserve"> דבלישנא קמא ברב יוסף סברה הגמ' דרב חסדא לא התיר רק מחמת הסברא דבהמה לא איתרעי, דא"כ היה לרב חסדא להכשיר אף את הבהמה הראשונה, אלא דרב חסדא התיר בצירוף הסברא דעצם ודאי פוגם, דהיינו דאפשר לתלות את הפגימה במפרקת יותר מבעור, ולכן תלה רב חסדא במפרקת של הבהמה הראשונה שהיא פוגמת יותר מהעור של הראשונה, ואסר את האחרונות.</w:t>
      </w:r>
      <w:bookmarkEnd w:id="6013"/>
    </w:p>
    <w:p w14:paraId="658C9756" w14:textId="77777777" w:rsidR="00533768" w:rsidRDefault="00533768" w:rsidP="006D6D32">
      <w:pPr>
        <w:pStyle w:val="a3"/>
        <w:rPr>
          <w:rtl/>
        </w:rPr>
      </w:pPr>
      <w:bookmarkStart w:id="6018" w:name="_Toc526889918"/>
      <w:bookmarkStart w:id="6019" w:name="_Toc527108394"/>
      <w:bookmarkStart w:id="6020" w:name="_Toc19389691"/>
      <w:bookmarkStart w:id="6021" w:name="_Toc19393188"/>
      <w:r>
        <w:rPr>
          <w:rFonts w:hint="cs"/>
          <w:rtl/>
        </w:rPr>
        <w:t>ביאור הר"ן בל"ב דתלינן במפרקת רק מחמת דהבהמה לא איתרעי</w:t>
      </w:r>
      <w:bookmarkEnd w:id="6018"/>
      <w:bookmarkEnd w:id="6019"/>
      <w:bookmarkEnd w:id="6020"/>
      <w:bookmarkEnd w:id="6021"/>
    </w:p>
    <w:p w14:paraId="5D96B740" w14:textId="77777777" w:rsidR="00533768" w:rsidRDefault="00533768" w:rsidP="00223668">
      <w:pPr>
        <w:pStyle w:val="a0"/>
        <w:rPr>
          <w:rtl/>
        </w:rPr>
      </w:pPr>
      <w:r>
        <w:rPr>
          <w:rFonts w:hint="cs"/>
          <w:rtl/>
        </w:rPr>
        <w:t xml:space="preserve">ובלישנא בתרא ביאר </w:t>
      </w:r>
      <w:r w:rsidRPr="00F94C49">
        <w:rPr>
          <w:rStyle w:val="af9"/>
          <w:rFonts w:hint="cs"/>
          <w:rtl/>
        </w:rPr>
        <w:t>הר"ן בחי'</w:t>
      </w:r>
      <w:r>
        <w:rPr>
          <w:rFonts w:hint="cs"/>
          <w:rtl/>
        </w:rPr>
        <w:t xml:space="preserve"> דדחתה הגמ' דרב חסדא התיר רק מחמת הסברא דבהמה לא איתרעי, וכדהוכיחה הגמ' מנמצא עליו דבר החוצץ, </w:t>
      </w:r>
      <w:r w:rsidRPr="000414AE">
        <w:rPr>
          <w:rStyle w:val="afb"/>
          <w:rFonts w:hint="cs"/>
          <w:rtl/>
        </w:rPr>
        <w:t>[וכדביאר</w:t>
      </w:r>
      <w:r w:rsidRPr="000414AE">
        <w:rPr>
          <w:rStyle w:val="afb"/>
          <w:rtl/>
        </w:rPr>
        <w:t xml:space="preserve"> </w:t>
      </w:r>
      <w:r w:rsidRPr="000414AE">
        <w:rPr>
          <w:rStyle w:val="affa"/>
          <w:rtl/>
        </w:rPr>
        <w:t>הר"ן</w:t>
      </w:r>
      <w:r w:rsidRPr="000414AE">
        <w:rPr>
          <w:rStyle w:val="afb"/>
          <w:rtl/>
        </w:rPr>
        <w:t xml:space="preserve"> </w:t>
      </w:r>
      <w:r w:rsidRPr="00AF5850">
        <w:rPr>
          <w:rStyle w:val="afb"/>
          <w:rFonts w:hint="cs"/>
          <w:rtl/>
        </w:rPr>
        <w:t xml:space="preserve">בקושית הגמ' שם </w:t>
      </w:r>
      <w:r w:rsidRPr="00AF5850">
        <w:rPr>
          <w:rStyle w:val="aff6"/>
          <w:rFonts w:hint="cs"/>
          <w:rtl/>
        </w:rPr>
        <w:t>(</w:t>
      </w:r>
      <w:r w:rsidR="00AC7E32">
        <w:rPr>
          <w:rStyle w:val="aff6"/>
          <w:rFonts w:hint="cs"/>
          <w:rtl/>
        </w:rPr>
        <w:t>הובא בסימן</w:t>
      </w:r>
      <w:r w:rsidRPr="00AF5850">
        <w:rPr>
          <w:rStyle w:val="aff6"/>
          <w:rFonts w:hint="cs"/>
          <w:rtl/>
        </w:rPr>
        <w:t xml:space="preserve"> ה' אות ט)</w:t>
      </w:r>
      <w:r w:rsidRPr="00AF5850">
        <w:rPr>
          <w:rStyle w:val="afb"/>
          <w:rFonts w:hint="cs"/>
          <w:rtl/>
        </w:rPr>
        <w:t>],</w:t>
      </w:r>
      <w:r w:rsidRPr="00AF5850">
        <w:rPr>
          <w:rFonts w:hint="cs"/>
          <w:rtl/>
        </w:rPr>
        <w:t xml:space="preserve"> ולכן תלינן לקולא אף בספק השקול, ואף שאין סברא לתלות במפרקת הראשונה יותר מאשר במפרקת האחרונה, מ"מ ס"ל לרב חסדא דמותר. [וכדביאר </w:t>
      </w:r>
      <w:r w:rsidRPr="00AF5850">
        <w:rPr>
          <w:rStyle w:val="af9"/>
          <w:rFonts w:hint="cs"/>
          <w:rtl/>
        </w:rPr>
        <w:t>הר"ן על הרי"ף</w:t>
      </w:r>
      <w:r w:rsidRPr="00AF5850">
        <w:rPr>
          <w:rStyle w:val="af7"/>
          <w:rFonts w:eastAsia="Guttman Hodes" w:hint="cs"/>
          <w:rtl/>
        </w:rPr>
        <w:t xml:space="preserve"> (ב: מדפי הרי"ף ד"ה ורב חסדא, </w:t>
      </w:r>
      <w:r w:rsidR="00AC7E32">
        <w:rPr>
          <w:rStyle w:val="af7"/>
          <w:rFonts w:eastAsia="Guttman Hodes"/>
          <w:rtl/>
        </w:rPr>
        <w:t>הובא בסימן</w:t>
      </w:r>
      <w:r w:rsidRPr="00AF5850">
        <w:rPr>
          <w:rStyle w:val="af7"/>
          <w:rFonts w:eastAsia="Guttman Hodes"/>
          <w:rtl/>
        </w:rPr>
        <w:t xml:space="preserve"> ה' אות </w:t>
      </w:r>
      <w:r w:rsidRPr="00AF5850">
        <w:rPr>
          <w:rStyle w:val="af7"/>
          <w:rFonts w:eastAsia="Guttman Hodes" w:hint="cs"/>
          <w:rtl/>
        </w:rPr>
        <w:t>יא)</w:t>
      </w:r>
      <w:r w:rsidRPr="00AF5850">
        <w:rPr>
          <w:rFonts w:hint="cs"/>
          <w:rtl/>
        </w:rPr>
        <w:t xml:space="preserve"> דכיון שאין ריעותא בבהמה עצמה אלא רק בסכין מעמידים את הסכין בחזקתו</w:t>
      </w:r>
      <w:r w:rsidRPr="00345A63">
        <w:rPr>
          <w:rFonts w:hint="cs"/>
          <w:rtl/>
        </w:rPr>
        <w:t>].</w:t>
      </w:r>
    </w:p>
    <w:p w14:paraId="7A00F97F" w14:textId="77777777" w:rsidR="00533768" w:rsidRDefault="00533768" w:rsidP="006D6D32">
      <w:pPr>
        <w:pStyle w:val="a3"/>
        <w:rPr>
          <w:rtl/>
        </w:rPr>
      </w:pPr>
      <w:bookmarkStart w:id="6022" w:name="_Toc526889919"/>
      <w:bookmarkStart w:id="6023" w:name="_Toc527108395"/>
      <w:bookmarkStart w:id="6024" w:name="_Toc19389692"/>
      <w:bookmarkStart w:id="6025" w:name="_Toc19393189"/>
      <w:r>
        <w:rPr>
          <w:rFonts w:hint="cs"/>
          <w:rtl/>
        </w:rPr>
        <w:t>דברי החת"ס דהלישנא קמא סברה כתי' הב' בתוס' דרב חסדא מתיר מחמת דעצם ודאי פוגם</w:t>
      </w:r>
      <w:bookmarkEnd w:id="6022"/>
      <w:bookmarkEnd w:id="6023"/>
      <w:bookmarkEnd w:id="6024"/>
      <w:bookmarkEnd w:id="6025"/>
    </w:p>
    <w:p w14:paraId="127088E2" w14:textId="77777777" w:rsidR="00533768" w:rsidRDefault="00533768" w:rsidP="00223668">
      <w:pPr>
        <w:pStyle w:val="a0"/>
        <w:rPr>
          <w:rtl/>
        </w:rPr>
      </w:pPr>
      <w:r>
        <w:rPr>
          <w:rFonts w:hint="cs"/>
          <w:rtl/>
        </w:rPr>
        <w:t xml:space="preserve">וכעי"ז </w:t>
      </w:r>
      <w:r w:rsidRPr="008D34D2">
        <w:rPr>
          <w:rFonts w:hint="cs"/>
          <w:rtl/>
        </w:rPr>
        <w:t xml:space="preserve">כתב </w:t>
      </w:r>
      <w:r w:rsidRPr="00AF5850">
        <w:rPr>
          <w:rStyle w:val="af9"/>
          <w:rFonts w:hint="cs"/>
          <w:rtl/>
        </w:rPr>
        <w:t>החת"ס</w:t>
      </w:r>
      <w:r w:rsidRPr="00AF5850">
        <w:rPr>
          <w:rFonts w:hint="cs"/>
          <w:rtl/>
        </w:rPr>
        <w:t xml:space="preserve"> </w:t>
      </w:r>
      <w:r w:rsidRPr="00AF5850">
        <w:rPr>
          <w:rStyle w:val="af7"/>
          <w:rFonts w:eastAsia="Guttman Hodes" w:hint="cs"/>
          <w:rtl/>
        </w:rPr>
        <w:t>(ד"ה והלכתא)</w:t>
      </w:r>
      <w:r w:rsidRPr="00AF5850">
        <w:rPr>
          <w:rFonts w:hint="cs"/>
          <w:rtl/>
        </w:rPr>
        <w:t xml:space="preserve"> דהל"ק ס"ל </w:t>
      </w:r>
      <w:r w:rsidRPr="00AF5850">
        <w:rPr>
          <w:rStyle w:val="af9"/>
          <w:rFonts w:hint="cs"/>
          <w:rtl/>
        </w:rPr>
        <w:t>כתירוץ הב' בתוס'</w:t>
      </w:r>
      <w:r w:rsidRPr="00AF5850">
        <w:rPr>
          <w:rFonts w:hint="cs"/>
          <w:rtl/>
        </w:rPr>
        <w:t xml:space="preserve"> </w:t>
      </w:r>
      <w:r w:rsidRPr="00AF5850">
        <w:rPr>
          <w:rStyle w:val="af7"/>
          <w:rFonts w:eastAsia="Guttman Hodes" w:hint="cs"/>
          <w:rtl/>
        </w:rPr>
        <w:t>(י. ד"ה סכין</w:t>
      </w:r>
      <w:r w:rsidRPr="00AF5850">
        <w:rPr>
          <w:rStyle w:val="af7"/>
          <w:rFonts w:eastAsia="Guttman Hodes"/>
          <w:rtl/>
        </w:rPr>
        <w:t xml:space="preserve"> </w:t>
      </w:r>
      <w:r w:rsidR="00AC7E32">
        <w:rPr>
          <w:rStyle w:val="af7"/>
          <w:rFonts w:eastAsia="Guttman Hodes"/>
          <w:rtl/>
        </w:rPr>
        <w:t>הובא בסימן</w:t>
      </w:r>
      <w:r w:rsidRPr="00AF5850">
        <w:rPr>
          <w:rStyle w:val="af7"/>
          <w:rFonts w:eastAsia="Guttman Hodes"/>
          <w:rtl/>
        </w:rPr>
        <w:t xml:space="preserve"> ה' אות </w:t>
      </w:r>
      <w:r w:rsidRPr="00AF5850">
        <w:rPr>
          <w:rStyle w:val="af7"/>
          <w:rFonts w:eastAsia="Guttman Hodes" w:hint="cs"/>
          <w:rtl/>
        </w:rPr>
        <w:t>כו)</w:t>
      </w:r>
      <w:r w:rsidRPr="00AF5850">
        <w:rPr>
          <w:rFonts w:hint="cs"/>
          <w:rtl/>
        </w:rPr>
        <w:t xml:space="preserve">  דרב חסדא התיר כיון שאין ספק מוציא מידי ודאי, דעצם ודאי פוגם</w:t>
      </w:r>
      <w:r>
        <w:rPr>
          <w:rFonts w:hint="cs"/>
          <w:rtl/>
        </w:rPr>
        <w:t xml:space="preserve">, וא"כ ס"ל דהמפרקת של הראשונה פגמה את הסכין, ומוכח דרק הראשונה מותרת, ולל"ק לא אמרינן כסברת </w:t>
      </w:r>
      <w:r>
        <w:rPr>
          <w:rStyle w:val="af9"/>
          <w:rFonts w:hint="cs"/>
          <w:rtl/>
        </w:rPr>
        <w:t>ה</w:t>
      </w:r>
      <w:r w:rsidRPr="002B7317">
        <w:rPr>
          <w:rStyle w:val="af9"/>
          <w:rFonts w:hint="cs"/>
          <w:rtl/>
        </w:rPr>
        <w:t>תוס'</w:t>
      </w:r>
      <w:r>
        <w:rPr>
          <w:rFonts w:hint="cs"/>
          <w:rtl/>
        </w:rPr>
        <w:t xml:space="preserve"> </w:t>
      </w:r>
      <w:r w:rsidRPr="002B7317">
        <w:rPr>
          <w:rStyle w:val="af7"/>
          <w:rFonts w:eastAsia="Guttman Hodes" w:hint="cs"/>
          <w:rtl/>
        </w:rPr>
        <w:t>(י. ד"</w:t>
      </w:r>
      <w:r w:rsidRPr="00704ED1">
        <w:rPr>
          <w:rStyle w:val="af7"/>
          <w:rFonts w:eastAsia="Guttman Hodes" w:hint="cs"/>
          <w:rtl/>
        </w:rPr>
        <w:t xml:space="preserve">ה סכין, עי' אות </w:t>
      </w:r>
      <w:r w:rsidRPr="00704ED1">
        <w:rPr>
          <w:rStyle w:val="af7"/>
          <w:rFonts w:eastAsia="Guttman Hodes"/>
          <w:rtl/>
        </w:rPr>
        <w:fldChar w:fldCharType="begin"/>
      </w:r>
      <w:r w:rsidRPr="00704ED1">
        <w:rPr>
          <w:rStyle w:val="af7"/>
          <w:rFonts w:eastAsia="Guttman Hodes"/>
          <w:rtl/>
        </w:rPr>
        <w:instrText xml:space="preserve"> </w:instrText>
      </w:r>
      <w:r w:rsidRPr="00704ED1">
        <w:rPr>
          <w:rStyle w:val="af7"/>
          <w:rFonts w:eastAsia="Guttman Hodes" w:hint="cs"/>
        </w:rPr>
        <w:instrText>REF</w:instrText>
      </w:r>
      <w:r w:rsidRPr="00704ED1">
        <w:rPr>
          <w:rStyle w:val="af7"/>
          <w:rFonts w:eastAsia="Guttman Hodes" w:hint="cs"/>
          <w:rtl/>
        </w:rPr>
        <w:instrText xml:space="preserve"> _</w:instrText>
      </w:r>
      <w:r w:rsidRPr="00704ED1">
        <w:rPr>
          <w:rStyle w:val="af7"/>
          <w:rFonts w:eastAsia="Guttman Hodes" w:hint="cs"/>
        </w:rPr>
        <w:instrText>Ref526874979 \r \h</w:instrText>
      </w:r>
      <w:r w:rsidRPr="00704ED1">
        <w:rPr>
          <w:rStyle w:val="af7"/>
          <w:rFonts w:eastAsia="Guttman Hodes"/>
          <w:rtl/>
        </w:rPr>
        <w:instrText xml:space="preserve"> </w:instrText>
      </w:r>
      <w:r w:rsidRPr="00704ED1">
        <w:rPr>
          <w:rStyle w:val="af7"/>
          <w:rFonts w:eastAsia="Guttman Hodes"/>
          <w:rtl/>
        </w:rPr>
      </w:r>
      <w:r w:rsidRPr="00704ED1">
        <w:rPr>
          <w:rStyle w:val="af7"/>
          <w:rFonts w:eastAsia="Guttman Hodes"/>
          <w:rtl/>
        </w:rPr>
        <w:fldChar w:fldCharType="separate"/>
      </w:r>
      <w:r w:rsidR="00345400">
        <w:rPr>
          <w:rStyle w:val="af7"/>
          <w:rFonts w:eastAsia="Guttman Hodes"/>
          <w:cs/>
        </w:rPr>
        <w:t>‎</w:t>
      </w:r>
      <w:r w:rsidR="00345400">
        <w:rPr>
          <w:rStyle w:val="af7"/>
          <w:rFonts w:eastAsia="Guttman Hodes"/>
          <w:rtl/>
        </w:rPr>
        <w:t>לו)</w:t>
      </w:r>
      <w:r w:rsidRPr="00704ED1">
        <w:rPr>
          <w:rStyle w:val="af7"/>
          <w:rFonts w:eastAsia="Guttman Hodes"/>
          <w:rtl/>
        </w:rPr>
        <w:fldChar w:fldCharType="end"/>
      </w:r>
      <w:r w:rsidRPr="008D34D2">
        <w:rPr>
          <w:rFonts w:hint="cs"/>
          <w:rtl/>
        </w:rPr>
        <w:t xml:space="preserve"> </w:t>
      </w:r>
      <w:r>
        <w:rPr>
          <w:rFonts w:hint="cs"/>
          <w:rtl/>
        </w:rPr>
        <w:t>דבבהמות הראשונות נזהר שלא לדחוק את הסכין, ואין המפרקת פוגמת.</w:t>
      </w:r>
    </w:p>
    <w:p w14:paraId="023FF071" w14:textId="77777777" w:rsidR="00533768" w:rsidRDefault="00533768" w:rsidP="006D6D32">
      <w:pPr>
        <w:pStyle w:val="a3"/>
        <w:rPr>
          <w:rtl/>
        </w:rPr>
      </w:pPr>
      <w:bookmarkStart w:id="6026" w:name="_Toc526889920"/>
      <w:bookmarkStart w:id="6027" w:name="_Toc527108396"/>
      <w:bookmarkStart w:id="6028" w:name="_Toc19389693"/>
      <w:bookmarkStart w:id="6029" w:name="_Toc19393190"/>
      <w:r>
        <w:rPr>
          <w:rFonts w:hint="cs"/>
          <w:rtl/>
        </w:rPr>
        <w:t>דברי החת"ס דהלישנא בתרא סברה כתי' הג' בתוס' דרב חסדא מתיר מדין ספק ספיקא</w:t>
      </w:r>
      <w:bookmarkEnd w:id="6026"/>
      <w:bookmarkEnd w:id="6027"/>
      <w:bookmarkEnd w:id="6028"/>
      <w:bookmarkEnd w:id="6029"/>
    </w:p>
    <w:p w14:paraId="69F7C437" w14:textId="77777777" w:rsidR="00533768" w:rsidRDefault="00533768" w:rsidP="00223668">
      <w:pPr>
        <w:pStyle w:val="a0"/>
        <w:rPr>
          <w:rtl/>
        </w:rPr>
      </w:pPr>
      <w:r w:rsidRPr="00AF5850">
        <w:rPr>
          <w:rFonts w:hint="cs"/>
          <w:rtl/>
        </w:rPr>
        <w:t xml:space="preserve">ובלישנא בתרא ביאר </w:t>
      </w:r>
      <w:r w:rsidRPr="00AF5850">
        <w:rPr>
          <w:rStyle w:val="af9"/>
          <w:rFonts w:hint="cs"/>
          <w:rtl/>
        </w:rPr>
        <w:t>החת"ס</w:t>
      </w:r>
      <w:r w:rsidRPr="00AF5850">
        <w:rPr>
          <w:rFonts w:hint="cs"/>
          <w:rtl/>
        </w:rPr>
        <w:t xml:space="preserve"> דס"ל </w:t>
      </w:r>
      <w:r w:rsidRPr="00AF5850">
        <w:rPr>
          <w:rStyle w:val="af9"/>
          <w:rFonts w:hint="cs"/>
          <w:rtl/>
        </w:rPr>
        <w:t>כהתירוץ הג' בתוס'</w:t>
      </w:r>
      <w:r w:rsidRPr="00AF5850">
        <w:rPr>
          <w:rFonts w:hint="cs"/>
          <w:rtl/>
        </w:rPr>
        <w:t xml:space="preserve"> </w:t>
      </w:r>
      <w:r w:rsidRPr="00AF5850">
        <w:rPr>
          <w:rStyle w:val="af7"/>
          <w:rFonts w:eastAsia="Guttman Hodes" w:hint="cs"/>
          <w:rtl/>
        </w:rPr>
        <w:t>(י. ד"ה סכין</w:t>
      </w:r>
      <w:r w:rsidRPr="00AF5850">
        <w:rPr>
          <w:rStyle w:val="af7"/>
          <w:rFonts w:eastAsia="Guttman Hodes"/>
          <w:rtl/>
        </w:rPr>
        <w:t xml:space="preserve"> </w:t>
      </w:r>
      <w:r w:rsidR="00AC7E32">
        <w:rPr>
          <w:rStyle w:val="af7"/>
          <w:rFonts w:eastAsia="Guttman Hodes"/>
          <w:rtl/>
        </w:rPr>
        <w:t>הובא בסימן</w:t>
      </w:r>
      <w:r w:rsidRPr="00AF5850">
        <w:rPr>
          <w:rStyle w:val="af7"/>
          <w:rFonts w:eastAsia="Guttman Hodes"/>
          <w:rtl/>
        </w:rPr>
        <w:t xml:space="preserve"> ה' אות </w:t>
      </w:r>
      <w:r w:rsidRPr="00AF5850">
        <w:rPr>
          <w:rStyle w:val="af7"/>
          <w:rFonts w:eastAsia="Guttman Hodes" w:hint="cs"/>
          <w:rtl/>
        </w:rPr>
        <w:t>לה)</w:t>
      </w:r>
      <w:r w:rsidRPr="00AF5850">
        <w:rPr>
          <w:rFonts w:hint="cs"/>
          <w:rtl/>
        </w:rPr>
        <w:t xml:space="preserve"> דההיתר לרב חסדא הוא רק מסברת בהמה לא איתרעי, דיש ספק</w:t>
      </w:r>
      <w:r>
        <w:rPr>
          <w:rFonts w:hint="cs"/>
          <w:rtl/>
        </w:rPr>
        <w:t xml:space="preserve"> ספיקא אם נפגם הסכין בעור ואם שחט את הסימנים במקום הפגימה, ולכן תלינן שנפקם הסכין במפרקת האחרונה.</w:t>
      </w:r>
    </w:p>
    <w:p w14:paraId="612F4F6B" w14:textId="77777777" w:rsidR="00533768" w:rsidRDefault="00533768" w:rsidP="006D6D32">
      <w:pPr>
        <w:pStyle w:val="a3"/>
        <w:rPr>
          <w:rtl/>
        </w:rPr>
      </w:pPr>
      <w:bookmarkStart w:id="6030" w:name="_Toc526889921"/>
      <w:bookmarkStart w:id="6031" w:name="_Toc527108397"/>
      <w:bookmarkStart w:id="6032" w:name="_Toc19389694"/>
      <w:bookmarkStart w:id="6033" w:name="_Toc19393191"/>
      <w:r>
        <w:rPr>
          <w:rFonts w:hint="cs"/>
          <w:rtl/>
        </w:rPr>
        <w:t>דברי החת"ס דלדידן לא סמכינן על סברת אין ספק מוציא מידי ודאי במפרקת</w:t>
      </w:r>
      <w:bookmarkEnd w:id="6030"/>
      <w:bookmarkEnd w:id="6031"/>
      <w:bookmarkEnd w:id="6032"/>
      <w:bookmarkEnd w:id="6033"/>
    </w:p>
    <w:p w14:paraId="6F0699C1" w14:textId="77777777" w:rsidR="00533768" w:rsidRPr="00615DB7" w:rsidRDefault="00533768" w:rsidP="00223668">
      <w:pPr>
        <w:pStyle w:val="a0"/>
        <w:rPr>
          <w:rtl/>
        </w:rPr>
      </w:pPr>
      <w:r>
        <w:rPr>
          <w:rFonts w:hint="cs"/>
          <w:rtl/>
        </w:rPr>
        <w:t xml:space="preserve">והוסיף </w:t>
      </w:r>
      <w:r w:rsidRPr="0006181D">
        <w:rPr>
          <w:rStyle w:val="af9"/>
          <w:rFonts w:hint="cs"/>
          <w:rtl/>
        </w:rPr>
        <w:t xml:space="preserve">החת"ס </w:t>
      </w:r>
      <w:r>
        <w:rPr>
          <w:rFonts w:hint="cs"/>
          <w:rtl/>
        </w:rPr>
        <w:t>דלדידן קיי"ל כרב חסדא רק בשיבר בה עצמות, דרק בכה"ג עצם ודאי פוגם, ולא סמכינן על סברת אין ספק מוציא מידי ודאי, לומר דאף עצם המפרקת ודאי פוגם.</w:t>
      </w:r>
    </w:p>
    <w:p w14:paraId="6B4571CE" w14:textId="77777777" w:rsidR="00533768" w:rsidRDefault="00533768" w:rsidP="00BF39B2">
      <w:pPr>
        <w:pStyle w:val="1"/>
        <w:rPr>
          <w:rtl/>
        </w:rPr>
      </w:pPr>
      <w:bookmarkStart w:id="6034" w:name="_Toc527108398"/>
      <w:bookmarkStart w:id="6035" w:name="_Toc19389695"/>
      <w:bookmarkStart w:id="6036" w:name="_Toc19393192"/>
      <w:bookmarkStart w:id="6037" w:name="_Toc526249245"/>
      <w:bookmarkStart w:id="6038" w:name="_Toc526504125"/>
      <w:bookmarkStart w:id="6039" w:name="_Toc526853017"/>
      <w:bookmarkStart w:id="6040" w:name="_Toc526889923"/>
      <w:r>
        <w:rPr>
          <w:rFonts w:hint="cs"/>
          <w:rtl/>
        </w:rPr>
        <w:t>דברי רבינו יונה והרשב"א במסקנת הגמ' לדידן ולרב לרב חסדא</w:t>
      </w:r>
      <w:bookmarkEnd w:id="6034"/>
      <w:bookmarkEnd w:id="6035"/>
      <w:bookmarkEnd w:id="6036"/>
    </w:p>
    <w:p w14:paraId="622BCCDE" w14:textId="77777777" w:rsidR="00533768" w:rsidRDefault="00533768" w:rsidP="006D6D32">
      <w:pPr>
        <w:pStyle w:val="a3"/>
        <w:rPr>
          <w:rtl/>
        </w:rPr>
      </w:pPr>
      <w:bookmarkStart w:id="6041" w:name="_Toc526889922"/>
      <w:bookmarkStart w:id="6042" w:name="_Toc527108399"/>
      <w:bookmarkStart w:id="6043" w:name="_Toc19389696"/>
      <w:bookmarkStart w:id="6044" w:name="_Toc19393193"/>
      <w:r>
        <w:rPr>
          <w:rFonts w:hint="cs"/>
          <w:rtl/>
        </w:rPr>
        <w:t>דברי רבינו יונה דקיי"ל דרב יוסף כרב הונא ואף הראשונה אסורה</w:t>
      </w:r>
      <w:bookmarkEnd w:id="6041"/>
      <w:bookmarkEnd w:id="6042"/>
      <w:bookmarkEnd w:id="6043"/>
      <w:bookmarkEnd w:id="6044"/>
    </w:p>
    <w:p w14:paraId="455F432E" w14:textId="77777777" w:rsidR="00533768" w:rsidRDefault="00533768" w:rsidP="00223668">
      <w:pPr>
        <w:pStyle w:val="a0"/>
        <w:rPr>
          <w:rtl/>
        </w:rPr>
      </w:pPr>
      <w:r>
        <w:rPr>
          <w:rFonts w:hint="cs"/>
          <w:rtl/>
        </w:rPr>
        <w:t xml:space="preserve">כתב </w:t>
      </w:r>
      <w:r>
        <w:rPr>
          <w:rStyle w:val="af9"/>
          <w:rtl/>
        </w:rPr>
        <w:t>רבינו יונה בספר משפטי בדיקת הסכין</w:t>
      </w:r>
      <w:r>
        <w:rPr>
          <w:rStyle w:val="af1"/>
          <w:rtl/>
        </w:rPr>
        <w:footnoteReference w:id="34"/>
      </w:r>
      <w:r>
        <w:rPr>
          <w:rFonts w:hint="cs"/>
          <w:rtl/>
        </w:rPr>
        <w:t xml:space="preserve"> </w:t>
      </w:r>
      <w:r>
        <w:rPr>
          <w:rStyle w:val="af7"/>
          <w:rFonts w:eastAsia="Guttman Hodes" w:hint="cs"/>
          <w:rtl/>
        </w:rPr>
        <w:t>(בריש הספר, נד' בקובץ שיטות קמאי חולין ח"א עמ' רי"ח)</w:t>
      </w:r>
      <w:r>
        <w:rPr>
          <w:rFonts w:hint="cs"/>
          <w:rtl/>
        </w:rPr>
        <w:t xml:space="preserve"> דקיי"ל דרב יוסף אסר אף את הראשונה כרב הונא דחיישינן שבעור נפגם, וכמו שחייב לבדוק קודם שחיטה כך חייב לבדוק אחר שחיטה.</w:t>
      </w:r>
    </w:p>
    <w:p w14:paraId="72A11014" w14:textId="77777777" w:rsidR="00533768" w:rsidRPr="002E372B" w:rsidRDefault="00533768" w:rsidP="006D6D32">
      <w:pPr>
        <w:pStyle w:val="a3"/>
        <w:rPr>
          <w:rtl/>
        </w:rPr>
      </w:pPr>
      <w:bookmarkStart w:id="6045" w:name="_Toc527108400"/>
      <w:bookmarkStart w:id="6046" w:name="_Toc19389697"/>
      <w:bookmarkStart w:id="6047" w:name="_Toc19393194"/>
      <w:r>
        <w:rPr>
          <w:rFonts w:hint="cs"/>
          <w:rtl/>
        </w:rPr>
        <w:t>דברי הרשב"א דלדידן בשיבר עצמות או אבד הסכין סמכינן על בדיקת הסכין לפני השחיטה</w:t>
      </w:r>
      <w:bookmarkEnd w:id="6045"/>
      <w:bookmarkEnd w:id="6046"/>
      <w:bookmarkEnd w:id="6047"/>
    </w:p>
    <w:p w14:paraId="27F2BD56" w14:textId="77777777" w:rsidR="00533768" w:rsidRDefault="00533768" w:rsidP="00223668">
      <w:pPr>
        <w:pStyle w:val="a0"/>
        <w:rPr>
          <w:rtl/>
        </w:rPr>
      </w:pPr>
      <w:r>
        <w:rPr>
          <w:rStyle w:val="af9"/>
          <w:rFonts w:hint="cs"/>
          <w:rtl/>
        </w:rPr>
        <w:t>ו</w:t>
      </w:r>
      <w:r>
        <w:rPr>
          <w:rStyle w:val="af9"/>
          <w:rtl/>
        </w:rPr>
        <w:t xml:space="preserve">הרשב"א </w:t>
      </w:r>
      <w:r w:rsidRPr="00F41654">
        <w:rPr>
          <w:rStyle w:val="af7"/>
          <w:rFonts w:eastAsia="Guttman Hodes" w:hint="cs"/>
          <w:rtl/>
        </w:rPr>
        <w:t xml:space="preserve">(ד"ה ומה) </w:t>
      </w:r>
      <w:r>
        <w:rPr>
          <w:rFonts w:hint="cs"/>
          <w:rtl/>
        </w:rPr>
        <w:t xml:space="preserve">כתב דכיון דמסקנת הגמ' [דרב כהנא כרב חסדא] כל"ב ברב יוסף דלרב חסדא תלינן שנפגם במפרקת האחרונה, וא"כ לדידן </w:t>
      </w:r>
      <w:r w:rsidRPr="00CE0469">
        <w:rPr>
          <w:rFonts w:hint="cs"/>
          <w:rtl/>
        </w:rPr>
        <w:t>דקיי"ל כרב חסדא</w:t>
      </w:r>
      <w:r w:rsidRPr="008B6D9D">
        <w:rPr>
          <w:rFonts w:hint="cs"/>
          <w:rtl/>
        </w:rPr>
        <w:t xml:space="preserve"> </w:t>
      </w:r>
      <w:r>
        <w:rPr>
          <w:rFonts w:hint="cs"/>
          <w:rtl/>
        </w:rPr>
        <w:t>ב</w:t>
      </w:r>
      <w:r w:rsidRPr="00CE0469">
        <w:rPr>
          <w:rFonts w:hint="cs"/>
          <w:rtl/>
        </w:rPr>
        <w:t xml:space="preserve">שיבר בה עצמות, </w:t>
      </w:r>
      <w:r>
        <w:rPr>
          <w:rFonts w:hint="cs"/>
          <w:rtl/>
        </w:rPr>
        <w:t>לכן ב</w:t>
      </w:r>
      <w:r w:rsidRPr="00CE0469">
        <w:rPr>
          <w:rFonts w:hint="cs"/>
          <w:rtl/>
        </w:rPr>
        <w:t xml:space="preserve">שיבר בה עצמות או שנאבד הסכין </w:t>
      </w:r>
      <w:r>
        <w:rPr>
          <w:rFonts w:hint="cs"/>
          <w:rtl/>
        </w:rPr>
        <w:t xml:space="preserve">כולם מותרות, </w:t>
      </w:r>
      <w:r w:rsidRPr="00CE0469">
        <w:rPr>
          <w:rFonts w:hint="cs"/>
          <w:rtl/>
        </w:rPr>
        <w:t>כיון שבדק לפני השחיטה</w:t>
      </w:r>
      <w:r>
        <w:rPr>
          <w:rFonts w:hint="cs"/>
          <w:rtl/>
        </w:rPr>
        <w:t>.</w:t>
      </w:r>
    </w:p>
    <w:p w14:paraId="26565FA4" w14:textId="77777777" w:rsidR="00533768" w:rsidRPr="002E372B" w:rsidRDefault="00533768" w:rsidP="006D6D32">
      <w:pPr>
        <w:pStyle w:val="a3"/>
      </w:pPr>
      <w:bookmarkStart w:id="6048" w:name="_Toc527108401"/>
      <w:bookmarkStart w:id="6049" w:name="_Toc19389698"/>
      <w:bookmarkStart w:id="6050" w:name="_Toc19393195"/>
      <w:r>
        <w:rPr>
          <w:rFonts w:hint="cs"/>
          <w:rtl/>
        </w:rPr>
        <w:t>דברי הרשב"א דלרב חסדא תלינן במפרקת האחרונה דחזקת הסכין מסייע להכשיר את הבהמות</w:t>
      </w:r>
      <w:bookmarkEnd w:id="6048"/>
      <w:bookmarkEnd w:id="6049"/>
      <w:bookmarkEnd w:id="6050"/>
      <w:r>
        <w:rPr>
          <w:rFonts w:hint="cs"/>
          <w:rtl/>
        </w:rPr>
        <w:t xml:space="preserve"> </w:t>
      </w:r>
    </w:p>
    <w:p w14:paraId="5A9FD06C" w14:textId="77777777" w:rsidR="00533768" w:rsidRDefault="00533768" w:rsidP="00223668">
      <w:pPr>
        <w:pStyle w:val="a0"/>
        <w:rPr>
          <w:rtl/>
        </w:rPr>
      </w:pPr>
      <w:r>
        <w:rPr>
          <w:rFonts w:hint="cs"/>
          <w:rtl/>
        </w:rPr>
        <w:t xml:space="preserve">ובדעת רב חסדא ביאר </w:t>
      </w:r>
      <w:r w:rsidRPr="002E372B">
        <w:rPr>
          <w:rStyle w:val="af9"/>
          <w:rFonts w:hint="cs"/>
          <w:rtl/>
        </w:rPr>
        <w:t>הרשב"א</w:t>
      </w:r>
      <w:r>
        <w:rPr>
          <w:rFonts w:hint="cs"/>
          <w:rtl/>
        </w:rPr>
        <w:t xml:space="preserve"> דלמסקנא </w:t>
      </w:r>
      <w:r w:rsidRPr="00CE0469">
        <w:rPr>
          <w:rFonts w:hint="cs"/>
          <w:rtl/>
        </w:rPr>
        <w:t>תלינן שנפגם במפרקת של האחרונה</w:t>
      </w:r>
      <w:r>
        <w:rPr>
          <w:rFonts w:hint="cs"/>
          <w:rtl/>
        </w:rPr>
        <w:t xml:space="preserve">, אף כנמצאת הסכין פגומה, </w:t>
      </w:r>
      <w:r w:rsidRPr="00CE0469">
        <w:rPr>
          <w:rFonts w:hint="cs"/>
          <w:rtl/>
        </w:rPr>
        <w:t>דמעמידים את הבהמות בחזקת כשרות, עם חזקת הסכין שהיה בדוק מתחילה, שהוא</w:t>
      </w:r>
      <w:r>
        <w:rPr>
          <w:rFonts w:hint="cs"/>
          <w:rtl/>
        </w:rPr>
        <w:t xml:space="preserve"> מסייע להכשיר את הבהמות.</w:t>
      </w:r>
    </w:p>
    <w:p w14:paraId="400BA1C4" w14:textId="77777777" w:rsidR="00394AD1" w:rsidRPr="00394AD1" w:rsidRDefault="00394AD1" w:rsidP="00394AD1">
      <w:pPr>
        <w:pStyle w:val="a3"/>
        <w:rPr>
          <w:rtl/>
        </w:rPr>
      </w:pPr>
    </w:p>
    <w:p w14:paraId="1949B093" w14:textId="77777777" w:rsidR="00533768" w:rsidRDefault="00533768" w:rsidP="006D6D32">
      <w:pPr>
        <w:pStyle w:val="a3"/>
        <w:rPr>
          <w:rtl/>
        </w:rPr>
      </w:pPr>
      <w:bookmarkStart w:id="6051" w:name="_Toc527108402"/>
      <w:bookmarkStart w:id="6052" w:name="_Toc19389699"/>
      <w:bookmarkStart w:id="6053" w:name="_Toc19393196"/>
      <w:r>
        <w:rPr>
          <w:rFonts w:hint="cs"/>
          <w:rtl/>
        </w:rPr>
        <w:t>דעת הראב"ד דלחומרא קיי"ל כלישנא בתרא דחיישינן שהמפרקת הראשונה פגמה</w:t>
      </w:r>
      <w:bookmarkEnd w:id="6051"/>
      <w:bookmarkEnd w:id="6052"/>
      <w:bookmarkEnd w:id="6053"/>
    </w:p>
    <w:p w14:paraId="3B07BF1C" w14:textId="77777777" w:rsidR="00533768" w:rsidRPr="007638BA" w:rsidRDefault="00533768" w:rsidP="00223668">
      <w:pPr>
        <w:pStyle w:val="a0"/>
        <w:rPr>
          <w:rtl/>
        </w:rPr>
      </w:pPr>
      <w:r>
        <w:rPr>
          <w:rFonts w:hint="cs"/>
          <w:rtl/>
        </w:rPr>
        <w:t xml:space="preserve">וע"ע בדברי </w:t>
      </w:r>
      <w:r w:rsidRPr="007638BA">
        <w:rPr>
          <w:rStyle w:val="af9"/>
          <w:rFonts w:hint="cs"/>
          <w:rtl/>
        </w:rPr>
        <w:t>הראב"ד</w:t>
      </w:r>
      <w:r>
        <w:rPr>
          <w:rStyle w:val="af9"/>
          <w:rFonts w:hint="cs"/>
          <w:rtl/>
        </w:rPr>
        <w:t xml:space="preserve"> </w:t>
      </w:r>
      <w:r w:rsidRPr="007638BA">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Ref527025039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סא)</w:t>
      </w:r>
      <w:r>
        <w:rPr>
          <w:rStyle w:val="af7"/>
          <w:rFonts w:eastAsia="Guttman Hodes"/>
          <w:rtl/>
        </w:rPr>
        <w:fldChar w:fldCharType="end"/>
      </w:r>
      <w:r>
        <w:rPr>
          <w:rFonts w:hint="cs"/>
          <w:rtl/>
        </w:rPr>
        <w:t xml:space="preserve"> דכתב דלחומרא קיי"ל כלישנא בתרא, דבהרבה בהמות חיישינן שהמפרקת הראשונה פגמה, ואם לא בדק בין שחיטה לשחיטה האחרונות אסורות.</w:t>
      </w:r>
    </w:p>
    <w:p w14:paraId="333B687E" w14:textId="77777777" w:rsidR="00533768" w:rsidRDefault="00533768" w:rsidP="006D6D32">
      <w:pPr>
        <w:pStyle w:val="afe"/>
        <w:rPr>
          <w:rtl/>
        </w:rPr>
      </w:pPr>
      <w:bookmarkStart w:id="6054" w:name="_Toc527108403"/>
      <w:bookmarkStart w:id="6055" w:name="_Toc19435438"/>
      <w:bookmarkStart w:id="6056" w:name="_Toc20080757"/>
      <w:r>
        <w:rPr>
          <w:rFonts w:hint="cs"/>
          <w:rtl/>
        </w:rPr>
        <w:t>בספק הגמ' בדעת רב כהנא</w:t>
      </w:r>
      <w:bookmarkEnd w:id="6037"/>
      <w:bookmarkEnd w:id="6038"/>
      <w:bookmarkEnd w:id="6039"/>
      <w:bookmarkEnd w:id="6040"/>
      <w:bookmarkEnd w:id="6054"/>
      <w:bookmarkEnd w:id="6055"/>
      <w:bookmarkEnd w:id="6056"/>
    </w:p>
    <w:p w14:paraId="09248304" w14:textId="77777777" w:rsidR="00533768" w:rsidRDefault="00533768" w:rsidP="00BF39B2">
      <w:pPr>
        <w:pStyle w:val="1"/>
        <w:rPr>
          <w:rtl/>
        </w:rPr>
      </w:pPr>
      <w:bookmarkStart w:id="6057" w:name="_Toc526249246"/>
      <w:bookmarkStart w:id="6058" w:name="_Toc526504126"/>
      <w:bookmarkStart w:id="6059" w:name="_Toc526853018"/>
      <w:bookmarkStart w:id="6060" w:name="_Toc526889924"/>
      <w:bookmarkStart w:id="6061" w:name="_Toc527108404"/>
      <w:bookmarkStart w:id="6062" w:name="_Toc19389700"/>
      <w:bookmarkStart w:id="6063" w:name="_Toc19393197"/>
      <w:r w:rsidRPr="009C4C50">
        <w:rPr>
          <w:rFonts w:hint="cs"/>
          <w:rtl/>
        </w:rPr>
        <w:t>ביאור</w:t>
      </w:r>
      <w:r>
        <w:rPr>
          <w:rFonts w:hint="cs"/>
          <w:rtl/>
        </w:rPr>
        <w:t>י</w:t>
      </w:r>
      <w:r w:rsidRPr="009C4C50">
        <w:rPr>
          <w:rFonts w:hint="cs"/>
          <w:rtl/>
        </w:rPr>
        <w:t xml:space="preserve"> רש"י</w:t>
      </w:r>
      <w:bookmarkEnd w:id="6057"/>
      <w:bookmarkEnd w:id="6058"/>
      <w:bookmarkEnd w:id="6059"/>
      <w:bookmarkEnd w:id="6060"/>
      <w:r>
        <w:rPr>
          <w:rFonts w:hint="cs"/>
          <w:rtl/>
        </w:rPr>
        <w:t xml:space="preserve"> והרשב"א דהספק הוא תלוי בלישנות ברב יוסף</w:t>
      </w:r>
      <w:bookmarkEnd w:id="6061"/>
      <w:bookmarkEnd w:id="6062"/>
      <w:bookmarkEnd w:id="6063"/>
      <w:r>
        <w:rPr>
          <w:rFonts w:hint="cs"/>
          <w:rtl/>
        </w:rPr>
        <w:t xml:space="preserve">  </w:t>
      </w:r>
    </w:p>
    <w:p w14:paraId="58C2F0BE" w14:textId="77777777" w:rsidR="00533768" w:rsidRDefault="00533768" w:rsidP="006D6D32">
      <w:pPr>
        <w:pStyle w:val="a3"/>
        <w:rPr>
          <w:rtl/>
        </w:rPr>
      </w:pPr>
      <w:bookmarkStart w:id="6064" w:name="_Toc526889925"/>
      <w:bookmarkStart w:id="6065" w:name="_Toc527108405"/>
      <w:bookmarkStart w:id="6066" w:name="_Toc19389701"/>
      <w:bookmarkStart w:id="6067" w:name="_Toc19393198"/>
      <w:r>
        <w:rPr>
          <w:rFonts w:hint="cs"/>
          <w:rtl/>
        </w:rPr>
        <w:t>ביאור רש"י בדחיית הגמ' דרב כהנא כל"ק ברב חסדא</w:t>
      </w:r>
      <w:bookmarkEnd w:id="6064"/>
      <w:r>
        <w:rPr>
          <w:rFonts w:hint="cs"/>
          <w:rtl/>
        </w:rPr>
        <w:t xml:space="preserve"> דלא תלינן במפרקת האחרונה</w:t>
      </w:r>
      <w:bookmarkEnd w:id="6065"/>
      <w:bookmarkEnd w:id="6066"/>
      <w:bookmarkEnd w:id="6067"/>
    </w:p>
    <w:p w14:paraId="499A7D05" w14:textId="77777777" w:rsidR="00533768" w:rsidRDefault="00533768" w:rsidP="00223668">
      <w:pPr>
        <w:pStyle w:val="a0"/>
      </w:pPr>
      <w:r>
        <w:rPr>
          <w:rFonts w:hint="cs"/>
          <w:rtl/>
        </w:rPr>
        <w:t xml:space="preserve">בדחיית הגמ' </w:t>
      </w:r>
      <w:r w:rsidRPr="00833DC4">
        <w:rPr>
          <w:rFonts w:hint="cs"/>
          <w:rtl/>
        </w:rPr>
        <w:t>דרב כהנא</w:t>
      </w:r>
      <w:r w:rsidRPr="00833DC4">
        <w:rPr>
          <w:rFonts w:hint="cs"/>
          <w:color w:val="FF0000"/>
          <w:rtl/>
        </w:rPr>
        <w:t xml:space="preserve"> </w:t>
      </w:r>
      <w:r w:rsidRPr="00833DC4">
        <w:rPr>
          <w:rFonts w:hint="cs"/>
          <w:rtl/>
        </w:rPr>
        <w:t>ס"ל כרב חסדא</w:t>
      </w:r>
      <w:r>
        <w:rPr>
          <w:rFonts w:hint="cs"/>
          <w:rtl/>
        </w:rPr>
        <w:t>,</w:t>
      </w:r>
      <w:r w:rsidRPr="00833DC4">
        <w:rPr>
          <w:rFonts w:hint="cs"/>
          <w:rtl/>
        </w:rPr>
        <w:t xml:space="preserve"> </w:t>
      </w:r>
      <w:r>
        <w:rPr>
          <w:rFonts w:hint="cs"/>
          <w:rtl/>
        </w:rPr>
        <w:t>ביאר</w:t>
      </w:r>
      <w:r w:rsidRPr="00833DC4">
        <w:rPr>
          <w:rFonts w:hint="cs"/>
          <w:rtl/>
        </w:rPr>
        <w:t xml:space="preserve"> </w:t>
      </w:r>
      <w:r w:rsidRPr="00833DC4">
        <w:rPr>
          <w:rStyle w:val="af9"/>
          <w:rFonts w:hint="cs"/>
          <w:rtl/>
        </w:rPr>
        <w:t>רש"י</w:t>
      </w:r>
      <w:r w:rsidRPr="00833DC4">
        <w:rPr>
          <w:rFonts w:hint="cs"/>
          <w:rtl/>
        </w:rPr>
        <w:t xml:space="preserve"> </w:t>
      </w:r>
      <w:r w:rsidRPr="00833DC4">
        <w:rPr>
          <w:rStyle w:val="af7"/>
          <w:rFonts w:eastAsia="Guttman Hodes" w:hint="cs"/>
          <w:rtl/>
        </w:rPr>
        <w:t>(ד"ה לא כרב חסדא ס"ל)</w:t>
      </w:r>
      <w:r w:rsidRPr="00833DC4">
        <w:rPr>
          <w:rFonts w:hint="cs"/>
          <w:rtl/>
        </w:rPr>
        <w:t xml:space="preserve"> </w:t>
      </w:r>
      <w:r>
        <w:rPr>
          <w:rFonts w:hint="cs"/>
          <w:rtl/>
        </w:rPr>
        <w:t>דהיינו כלישנא קמא ברב יוסף, דלדעת רב חסדא חיישינן שנפגמה במפרקת הראשונה, ולא ס"ל כלישנא בתרא דלרב חסדא תלינן אף באחרונה, ולכן הצריך רב כהנא בדיקה בין שחיטה לשחיטה, שאם ימצא הסכין פגום, תאסר רק הבהמה ששחט לפני הבדיקה, ולא יאסרו כולם.</w:t>
      </w:r>
    </w:p>
    <w:p w14:paraId="46BAF40B" w14:textId="77777777" w:rsidR="00533768" w:rsidRDefault="00533768" w:rsidP="006D6D32">
      <w:pPr>
        <w:pStyle w:val="a3"/>
        <w:rPr>
          <w:rtl/>
        </w:rPr>
      </w:pPr>
      <w:bookmarkStart w:id="6068" w:name="_Toc526889932"/>
      <w:bookmarkStart w:id="6069" w:name="_Toc527108406"/>
      <w:bookmarkStart w:id="6070" w:name="_Toc19389702"/>
      <w:bookmarkStart w:id="6071" w:name="_Toc19393199"/>
      <w:bookmarkStart w:id="6072" w:name="_Toc526249261"/>
      <w:bookmarkStart w:id="6073" w:name="_Toc525594387"/>
      <w:bookmarkStart w:id="6074" w:name="_Toc524638727"/>
      <w:bookmarkStart w:id="6075" w:name="_Toc526504143"/>
      <w:bookmarkStart w:id="6076" w:name="_Toc526853040"/>
      <w:bookmarkStart w:id="6077" w:name="_Toc526249248"/>
      <w:bookmarkStart w:id="6078" w:name="_Toc526504128"/>
      <w:bookmarkStart w:id="6079" w:name="_Toc526853020"/>
      <w:bookmarkStart w:id="6080" w:name="_Toc526889926"/>
      <w:r>
        <w:rPr>
          <w:rFonts w:hint="cs"/>
          <w:rtl/>
        </w:rPr>
        <w:t>ביאור הרשב"א קושיתד ברב כהנא היא כל"ב דרב יוסף ס"ל כרב הונא</w:t>
      </w:r>
      <w:bookmarkEnd w:id="6068"/>
      <w:bookmarkEnd w:id="6069"/>
      <w:bookmarkEnd w:id="6070"/>
      <w:bookmarkEnd w:id="6071"/>
    </w:p>
    <w:p w14:paraId="0D3131ED" w14:textId="77777777" w:rsidR="00533768" w:rsidRDefault="00533768" w:rsidP="00223668">
      <w:pPr>
        <w:pStyle w:val="a0"/>
        <w:rPr>
          <w:rtl/>
        </w:rPr>
      </w:pPr>
      <w:r>
        <w:rPr>
          <w:rStyle w:val="af9"/>
          <w:rFonts w:hint="cs"/>
          <w:rtl/>
        </w:rPr>
        <w:t>ו</w:t>
      </w:r>
      <w:r>
        <w:rPr>
          <w:rStyle w:val="af9"/>
          <w:rtl/>
        </w:rPr>
        <w:t>הרשב"א בתוה"ב</w:t>
      </w:r>
      <w:r>
        <w:rPr>
          <w:rFonts w:hint="cs"/>
          <w:rtl/>
        </w:rPr>
        <w:t xml:space="preserve"> </w:t>
      </w:r>
      <w:r>
        <w:rPr>
          <w:rStyle w:val="af7"/>
          <w:rFonts w:eastAsia="Guttman Hodes" w:hint="cs"/>
          <w:rtl/>
        </w:rPr>
        <w:t>(ב"א ש"ב דף טז: מדה"ס)</w:t>
      </w:r>
      <w:r>
        <w:rPr>
          <w:rFonts w:hint="cs"/>
          <w:rtl/>
        </w:rPr>
        <w:t xml:space="preserve"> כתב דבקושית הגמ' הבין רב אחא בריה דרבא דרב כהנא ס"ל כלישנא בתרא ברב יוסף, דפסל רב יוסף אף את הבהמה הראשונה כרב הונא, ולכן הצריך רב כהנא בדיקה בין שחיטה לשחיטה, דאם תמצא פגימה, אף הראשונה פסולה.</w:t>
      </w:r>
    </w:p>
    <w:p w14:paraId="3355021A" w14:textId="77777777" w:rsidR="00533768" w:rsidRPr="00B903F2" w:rsidRDefault="00533768" w:rsidP="006D6D32">
      <w:pPr>
        <w:pStyle w:val="a3"/>
      </w:pPr>
      <w:bookmarkStart w:id="6081" w:name="_Toc526889933"/>
      <w:bookmarkStart w:id="6082" w:name="_Toc527108407"/>
      <w:bookmarkStart w:id="6083" w:name="_Toc19389703"/>
      <w:bookmarkStart w:id="6084" w:name="_Toc19393200"/>
      <w:r>
        <w:rPr>
          <w:rFonts w:hint="cs"/>
          <w:rtl/>
        </w:rPr>
        <w:t>ביאור הרשב"א דדחיית הגמ' ברב כהנא כל"ק דרב יוסף ס"ל כרב חסדא</w:t>
      </w:r>
      <w:bookmarkEnd w:id="6081"/>
      <w:bookmarkEnd w:id="6082"/>
      <w:bookmarkEnd w:id="6083"/>
      <w:bookmarkEnd w:id="6084"/>
      <w:r>
        <w:rPr>
          <w:rFonts w:hint="cs"/>
          <w:rtl/>
        </w:rPr>
        <w:t xml:space="preserve"> </w:t>
      </w:r>
    </w:p>
    <w:p w14:paraId="5F3E7157" w14:textId="77777777" w:rsidR="00533768" w:rsidRDefault="00533768" w:rsidP="00223668">
      <w:pPr>
        <w:pStyle w:val="a0"/>
        <w:rPr>
          <w:rtl/>
        </w:rPr>
      </w:pPr>
      <w:r>
        <w:rPr>
          <w:rFonts w:hint="cs"/>
          <w:rtl/>
        </w:rPr>
        <w:t xml:space="preserve">ובדחיית הגמ' ביאר </w:t>
      </w:r>
      <w:r>
        <w:rPr>
          <w:rStyle w:val="af9"/>
          <w:rtl/>
        </w:rPr>
        <w:t>הרשב"א בתוה"ב</w:t>
      </w:r>
      <w:r>
        <w:rPr>
          <w:rFonts w:hint="cs"/>
          <w:rtl/>
        </w:rPr>
        <w:t xml:space="preserve"> דרב אשי דחה דרב כהנא ס"ל כלישנא קמא ברב יוסף, דפסל רב יוסף את הבהמות מהשניה ואילך כרב חסדא, דהמפרקת של הראשונה פגמה, ולכן הצריך רב כהנא בדיקה בכדי להכשיר מהשניה ואילך</w:t>
      </w:r>
    </w:p>
    <w:p w14:paraId="798F04E6" w14:textId="77777777" w:rsidR="00533768" w:rsidRDefault="00533768" w:rsidP="00BF39B2">
      <w:pPr>
        <w:pStyle w:val="1"/>
        <w:rPr>
          <w:rtl/>
        </w:rPr>
      </w:pPr>
      <w:bookmarkStart w:id="6085" w:name="_Toc527108408"/>
      <w:bookmarkStart w:id="6086" w:name="_Toc19389704"/>
      <w:bookmarkStart w:id="6087" w:name="_Toc19393201"/>
      <w:bookmarkEnd w:id="6072"/>
      <w:bookmarkEnd w:id="6073"/>
      <w:bookmarkEnd w:id="6074"/>
      <w:bookmarkEnd w:id="6075"/>
      <w:bookmarkEnd w:id="6076"/>
      <w:r>
        <w:rPr>
          <w:rFonts w:hint="cs"/>
          <w:rtl/>
        </w:rPr>
        <w:t>דעת רש"י והבעה"מ והרשב"א דלמסקנא רב כהנא כרב הונא</w:t>
      </w:r>
      <w:bookmarkEnd w:id="6085"/>
      <w:bookmarkEnd w:id="6086"/>
      <w:bookmarkEnd w:id="6087"/>
    </w:p>
    <w:p w14:paraId="7EBBD3C7" w14:textId="77777777" w:rsidR="00533768" w:rsidRDefault="00533768" w:rsidP="006D6D32">
      <w:pPr>
        <w:pStyle w:val="a3"/>
        <w:rPr>
          <w:rtl/>
        </w:rPr>
      </w:pPr>
      <w:bookmarkStart w:id="6088" w:name="_Toc527108409"/>
      <w:bookmarkStart w:id="6089" w:name="_Toc19389705"/>
      <w:bookmarkStart w:id="6090" w:name="_Toc19393202"/>
      <w:r>
        <w:rPr>
          <w:rFonts w:hint="cs"/>
          <w:rtl/>
        </w:rPr>
        <w:t>דברי רש"י שצריך לבדוק לאחר השחיטה</w:t>
      </w:r>
      <w:bookmarkEnd w:id="6077"/>
      <w:bookmarkEnd w:id="6078"/>
      <w:bookmarkEnd w:id="6079"/>
      <w:r>
        <w:rPr>
          <w:rFonts w:hint="cs"/>
          <w:rtl/>
        </w:rPr>
        <w:t xml:space="preserve"> ותירוץ הגמ' דס'ל כרב חסדא הוא דיחוי בעלמא</w:t>
      </w:r>
      <w:bookmarkEnd w:id="6080"/>
      <w:bookmarkEnd w:id="6088"/>
      <w:bookmarkEnd w:id="6089"/>
      <w:bookmarkEnd w:id="6090"/>
    </w:p>
    <w:p w14:paraId="06B86C9D" w14:textId="77777777" w:rsidR="00533768" w:rsidRDefault="00533768" w:rsidP="00223668">
      <w:pPr>
        <w:pStyle w:val="a0"/>
        <w:rPr>
          <w:rtl/>
        </w:rPr>
      </w:pPr>
      <w:bookmarkStart w:id="6091" w:name="_Ref526956416"/>
      <w:r w:rsidRPr="00833DC4">
        <w:rPr>
          <w:rFonts w:hint="cs"/>
          <w:rtl/>
        </w:rPr>
        <w:t xml:space="preserve">אך כתב </w:t>
      </w:r>
      <w:r w:rsidRPr="007E0871">
        <w:rPr>
          <w:rStyle w:val="af9"/>
          <w:rFonts w:hint="cs"/>
          <w:rtl/>
        </w:rPr>
        <w:t>רש"י</w:t>
      </w:r>
      <w:r w:rsidRPr="00833DC4">
        <w:rPr>
          <w:rFonts w:hint="cs"/>
          <w:rtl/>
        </w:rPr>
        <w:t xml:space="preserve"> </w:t>
      </w:r>
      <w:r w:rsidRPr="00833DC4">
        <w:rPr>
          <w:rStyle w:val="af7"/>
          <w:rFonts w:eastAsia="Guttman Hodes" w:hint="cs"/>
          <w:rtl/>
        </w:rPr>
        <w:t>(ד"ה לא כרב חסדא</w:t>
      </w:r>
      <w:r>
        <w:rPr>
          <w:rStyle w:val="af7"/>
          <w:rFonts w:eastAsia="Guttman Hodes" w:hint="cs"/>
          <w:rtl/>
        </w:rPr>
        <w:t>)</w:t>
      </w:r>
      <w:r w:rsidRPr="00833DC4">
        <w:rPr>
          <w:rStyle w:val="af7"/>
          <w:rFonts w:eastAsia="Guttman Hodes" w:hint="cs"/>
          <w:rtl/>
        </w:rPr>
        <w:t xml:space="preserve"> </w:t>
      </w:r>
      <w:r>
        <w:rPr>
          <w:rFonts w:hint="cs"/>
          <w:rtl/>
        </w:rPr>
        <w:t xml:space="preserve">דתירוץ הגמ' דרב כהנא כרב חסדא </w:t>
      </w:r>
      <w:r w:rsidRPr="00833DC4">
        <w:rPr>
          <w:rFonts w:hint="cs"/>
          <w:rtl/>
        </w:rPr>
        <w:t xml:space="preserve">הוא דיחוי בעלמא, ורב כהנא שהצריך בדיקה בין שחיטה לשחיטה ס"ל כרב הונא, ואפילו בבהמה אחת צריך לבדוק אחר השחיטה, ואם נמצא פגום בין בבהמה אחת ובין בכמה </w:t>
      </w:r>
      <w:r w:rsidRPr="00F1612C">
        <w:rPr>
          <w:rFonts w:hint="cs"/>
          <w:rtl/>
        </w:rPr>
        <w:t>בהמות כולם אסורות</w:t>
      </w:r>
      <w:r>
        <w:rPr>
          <w:rFonts w:hint="cs"/>
          <w:rtl/>
        </w:rPr>
        <w:t>.</w:t>
      </w:r>
      <w:bookmarkEnd w:id="6091"/>
    </w:p>
    <w:p w14:paraId="6C2B6520" w14:textId="77777777" w:rsidR="00533768" w:rsidRPr="00896490" w:rsidRDefault="00533768" w:rsidP="006D6D32">
      <w:pPr>
        <w:pStyle w:val="a3"/>
      </w:pPr>
      <w:bookmarkStart w:id="6092" w:name="_Toc527108410"/>
      <w:bookmarkStart w:id="6093" w:name="_Toc19389706"/>
      <w:bookmarkStart w:id="6094" w:name="_Toc19393203"/>
      <w:r>
        <w:rPr>
          <w:rFonts w:hint="cs"/>
          <w:rtl/>
        </w:rPr>
        <w:t>דברי בהעה"מ והרשב"א דלמסקנא רב כהנא כרב הונא דהא מסתבר דלר"ח תלינן באחרונה</w:t>
      </w:r>
      <w:bookmarkEnd w:id="6092"/>
      <w:bookmarkEnd w:id="6093"/>
      <w:bookmarkEnd w:id="6094"/>
      <w:r>
        <w:rPr>
          <w:rFonts w:hint="cs"/>
          <w:rtl/>
        </w:rPr>
        <w:t xml:space="preserve"> </w:t>
      </w:r>
    </w:p>
    <w:p w14:paraId="57D36F44" w14:textId="77777777" w:rsidR="00533768" w:rsidRPr="00CD4FFE" w:rsidRDefault="00533768" w:rsidP="00223668">
      <w:pPr>
        <w:pStyle w:val="a0"/>
        <w:rPr>
          <w:rtl/>
        </w:rPr>
      </w:pPr>
      <w:bookmarkStart w:id="6095" w:name="_Ref526973794"/>
      <w:r>
        <w:rPr>
          <w:rFonts w:hint="cs"/>
          <w:rtl/>
        </w:rPr>
        <w:t>ו</w:t>
      </w:r>
      <w:r w:rsidRPr="00193A7A">
        <w:rPr>
          <w:rtl/>
        </w:rPr>
        <w:t>כ</w:t>
      </w:r>
      <w:r>
        <w:rPr>
          <w:rFonts w:hint="cs"/>
          <w:rtl/>
        </w:rPr>
        <w:t>"כ</w:t>
      </w:r>
      <w:r w:rsidRPr="00193A7A">
        <w:rPr>
          <w:rtl/>
        </w:rPr>
        <w:t xml:space="preserve"> </w:t>
      </w:r>
      <w:r w:rsidRPr="005B103D">
        <w:rPr>
          <w:rStyle w:val="af9"/>
          <w:rtl/>
        </w:rPr>
        <w:t>הבעה"מ</w:t>
      </w:r>
      <w:r w:rsidRPr="00193A7A">
        <w:rPr>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Ref527103824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עב)</w:t>
      </w:r>
      <w:r>
        <w:rPr>
          <w:rStyle w:val="af7"/>
          <w:rFonts w:eastAsia="Guttman Hodes"/>
          <w:rtl/>
        </w:rPr>
        <w:fldChar w:fldCharType="end"/>
      </w:r>
      <w:r>
        <w:rPr>
          <w:rStyle w:val="af7"/>
          <w:rFonts w:eastAsia="Guttman Hodes" w:hint="cs"/>
          <w:rtl/>
        </w:rPr>
        <w:t xml:space="preserve"> </w:t>
      </w:r>
      <w:r>
        <w:rPr>
          <w:rStyle w:val="af9"/>
          <w:rFonts w:hint="cs"/>
          <w:rtl/>
        </w:rPr>
        <w:t>ו</w:t>
      </w:r>
      <w:r>
        <w:rPr>
          <w:rStyle w:val="af9"/>
          <w:rtl/>
        </w:rPr>
        <w:t xml:space="preserve">הרשב"א בחי' </w:t>
      </w:r>
      <w:r w:rsidRPr="00F41654">
        <w:rPr>
          <w:rStyle w:val="af7"/>
          <w:rFonts w:eastAsia="Guttman Hodes" w:hint="cs"/>
          <w:rtl/>
        </w:rPr>
        <w:t xml:space="preserve">(ד"ה ומה) </w:t>
      </w:r>
      <w:r>
        <w:rPr>
          <w:rStyle w:val="af9"/>
          <w:rtl/>
        </w:rPr>
        <w:t>ובתוה"ב</w:t>
      </w:r>
      <w:r>
        <w:rPr>
          <w:rStyle w:val="af9"/>
          <w:rFonts w:hint="cs"/>
          <w:rtl/>
        </w:rPr>
        <w:t xml:space="preserve"> </w:t>
      </w:r>
      <w:r>
        <w:rPr>
          <w:rStyle w:val="af7"/>
          <w:rFonts w:eastAsia="Guttman Hodes" w:hint="cs"/>
          <w:rtl/>
        </w:rPr>
        <w:t>(ב"א ש"ב דף יז. מדה"ס)</w:t>
      </w:r>
      <w:r>
        <w:rPr>
          <w:rFonts w:hint="cs"/>
          <w:rtl/>
        </w:rPr>
        <w:t xml:space="preserve"> דדחיית הגמ' דרב כהנא כרב חסדא הוא דיחוי בעלמא,</w:t>
      </w:r>
      <w:r w:rsidRPr="00896490">
        <w:rPr>
          <w:rFonts w:hint="cs"/>
          <w:rtl/>
        </w:rPr>
        <w:t xml:space="preserve"> </w:t>
      </w:r>
      <w:r>
        <w:rPr>
          <w:rFonts w:hint="cs"/>
          <w:rtl/>
        </w:rPr>
        <w:t xml:space="preserve">ובאמת ס"ל לרב כהנא כרב הונא, דהא אי ס"ל כרב חסדא היה צריך לתלות במפרקת האחרונה כלישנא בתרא, וכתב </w:t>
      </w:r>
      <w:r>
        <w:rPr>
          <w:rStyle w:val="af9"/>
          <w:rtl/>
        </w:rPr>
        <w:t>הרשב"א בתוה"ב</w:t>
      </w:r>
      <w:r>
        <w:rPr>
          <w:rFonts w:hint="cs"/>
          <w:rtl/>
        </w:rPr>
        <w:t xml:space="preserve"> </w:t>
      </w:r>
      <w:r w:rsidRPr="00CD4FFE">
        <w:rPr>
          <w:rFonts w:hint="cs"/>
          <w:rtl/>
        </w:rPr>
        <w:t xml:space="preserve">דכן מסתבר דהוא מילתא בטעמא לתלות אף באחרונה לדעת רב חסדא, וכן מבואר בדברי </w:t>
      </w:r>
      <w:r w:rsidRPr="00CD4FFE">
        <w:rPr>
          <w:rStyle w:val="af9"/>
          <w:rFonts w:hint="cs"/>
          <w:rtl/>
        </w:rPr>
        <w:t>הרמב"ן</w:t>
      </w:r>
      <w:r w:rsidRPr="00CD4FFE">
        <w:rPr>
          <w:rFonts w:hint="cs"/>
          <w:rtl/>
        </w:rPr>
        <w:t xml:space="preserve"> </w:t>
      </w:r>
      <w:r w:rsidRPr="00CD4FFE">
        <w:rPr>
          <w:rStyle w:val="af7"/>
          <w:rFonts w:eastAsia="Guttman Hodes" w:hint="cs"/>
          <w:rtl/>
        </w:rPr>
        <w:t xml:space="preserve">(עי' אות </w:t>
      </w:r>
      <w:r w:rsidRPr="00CD4FFE">
        <w:rPr>
          <w:rStyle w:val="af7"/>
          <w:rFonts w:eastAsia="Guttman Hodes"/>
          <w:rtl/>
        </w:rPr>
        <w:fldChar w:fldCharType="begin"/>
      </w:r>
      <w:r w:rsidRPr="00CD4FFE">
        <w:rPr>
          <w:rStyle w:val="af7"/>
          <w:rFonts w:eastAsia="Guttman Hodes"/>
          <w:rtl/>
        </w:rPr>
        <w:instrText xml:space="preserve"> </w:instrText>
      </w:r>
      <w:r w:rsidRPr="00CD4FFE">
        <w:rPr>
          <w:rStyle w:val="af7"/>
          <w:rFonts w:eastAsia="Guttman Hodes" w:hint="cs"/>
        </w:rPr>
        <w:instrText>REF</w:instrText>
      </w:r>
      <w:r w:rsidRPr="00CD4FFE">
        <w:rPr>
          <w:rStyle w:val="af7"/>
          <w:rFonts w:eastAsia="Guttman Hodes" w:hint="cs"/>
          <w:rtl/>
        </w:rPr>
        <w:instrText xml:space="preserve"> _</w:instrText>
      </w:r>
      <w:r w:rsidRPr="00CD4FFE">
        <w:rPr>
          <w:rStyle w:val="af7"/>
          <w:rFonts w:eastAsia="Guttman Hodes" w:hint="cs"/>
        </w:rPr>
        <w:instrText>Ref527025677 \r \h</w:instrText>
      </w:r>
      <w:r w:rsidRPr="00CD4FFE">
        <w:rPr>
          <w:rStyle w:val="af7"/>
          <w:rFonts w:eastAsia="Guttman Hodes"/>
          <w:rtl/>
        </w:rPr>
        <w:instrText xml:space="preserve">  \* </w:instrText>
      </w:r>
      <w:r w:rsidRPr="00CD4FFE">
        <w:rPr>
          <w:rStyle w:val="af7"/>
          <w:rFonts w:eastAsia="Guttman Hodes"/>
        </w:rPr>
        <w:instrText>MERGEFORMAT</w:instrText>
      </w:r>
      <w:r w:rsidRPr="00CD4FFE">
        <w:rPr>
          <w:rStyle w:val="af7"/>
          <w:rFonts w:eastAsia="Guttman Hodes"/>
          <w:rtl/>
        </w:rPr>
        <w:instrText xml:space="preserve"> </w:instrText>
      </w:r>
      <w:r w:rsidRPr="00CD4FFE">
        <w:rPr>
          <w:rStyle w:val="af7"/>
          <w:rFonts w:eastAsia="Guttman Hodes"/>
          <w:rtl/>
        </w:rPr>
      </w:r>
      <w:r w:rsidRPr="00CD4FFE">
        <w:rPr>
          <w:rStyle w:val="af7"/>
          <w:rFonts w:eastAsia="Guttman Hodes"/>
          <w:rtl/>
        </w:rPr>
        <w:fldChar w:fldCharType="separate"/>
      </w:r>
      <w:r w:rsidR="00345400">
        <w:rPr>
          <w:rStyle w:val="af7"/>
          <w:rFonts w:eastAsia="Guttman Hodes"/>
          <w:cs/>
        </w:rPr>
        <w:t>‎</w:t>
      </w:r>
      <w:r w:rsidR="00345400">
        <w:rPr>
          <w:rStyle w:val="af7"/>
          <w:rFonts w:eastAsia="Guttman Hodes"/>
          <w:rtl/>
        </w:rPr>
        <w:t>סה)</w:t>
      </w:r>
      <w:r w:rsidRPr="00CD4FFE">
        <w:rPr>
          <w:rStyle w:val="af7"/>
          <w:rFonts w:eastAsia="Guttman Hodes"/>
          <w:rtl/>
        </w:rPr>
        <w:fldChar w:fldCharType="end"/>
      </w:r>
      <w:r>
        <w:rPr>
          <w:rFonts w:hint="cs"/>
          <w:rtl/>
        </w:rPr>
        <w:t xml:space="preserve">, עי' בדבריו בביאור דברי רב כהנא, וע"ע בדברי </w:t>
      </w:r>
      <w:r w:rsidRPr="007638BA">
        <w:rPr>
          <w:rStyle w:val="af9"/>
          <w:rFonts w:hint="cs"/>
          <w:rtl/>
        </w:rPr>
        <w:t>הראב"ד</w:t>
      </w:r>
      <w:r>
        <w:rPr>
          <w:rStyle w:val="af9"/>
          <w:rFonts w:hint="cs"/>
          <w:rtl/>
        </w:rPr>
        <w:t xml:space="preserve"> </w:t>
      </w:r>
      <w:r w:rsidRPr="007638BA">
        <w:rPr>
          <w:rStyle w:val="af7"/>
          <w:rFonts w:eastAsia="Guttman Hodes" w:hint="cs"/>
          <w:rtl/>
        </w:rPr>
        <w:t xml:space="preserve">(עי' אות </w:t>
      </w:r>
      <w:r w:rsidRPr="007638BA">
        <w:rPr>
          <w:rStyle w:val="af7"/>
          <w:rFonts w:eastAsia="Guttman Hodes"/>
          <w:rtl/>
        </w:rPr>
        <w:fldChar w:fldCharType="begin"/>
      </w:r>
      <w:r w:rsidRPr="007638BA">
        <w:rPr>
          <w:rStyle w:val="af7"/>
          <w:rFonts w:eastAsia="Guttman Hodes"/>
          <w:rtl/>
        </w:rPr>
        <w:instrText xml:space="preserve"> </w:instrText>
      </w:r>
      <w:r w:rsidRPr="007638BA">
        <w:rPr>
          <w:rStyle w:val="af7"/>
          <w:rFonts w:eastAsia="Guttman Hodes" w:hint="cs"/>
        </w:rPr>
        <w:instrText>REF</w:instrText>
      </w:r>
      <w:r w:rsidRPr="007638BA">
        <w:rPr>
          <w:rStyle w:val="af7"/>
          <w:rFonts w:eastAsia="Guttman Hodes" w:hint="cs"/>
          <w:rtl/>
        </w:rPr>
        <w:instrText xml:space="preserve"> _</w:instrText>
      </w:r>
      <w:r w:rsidRPr="007638BA">
        <w:rPr>
          <w:rStyle w:val="af7"/>
          <w:rFonts w:eastAsia="Guttman Hodes" w:hint="cs"/>
        </w:rPr>
        <w:instrText>Ref527041865 \r \h</w:instrText>
      </w:r>
      <w:r w:rsidRPr="007638BA">
        <w:rPr>
          <w:rStyle w:val="af7"/>
          <w:rFonts w:eastAsia="Guttman Hodes"/>
          <w:rtl/>
        </w:rPr>
        <w:instrText xml:space="preserve"> </w:instrText>
      </w:r>
      <w:r w:rsidRPr="007638BA">
        <w:rPr>
          <w:rStyle w:val="af7"/>
          <w:rFonts w:eastAsia="Guttman Hodes"/>
          <w:rtl/>
        </w:rPr>
      </w:r>
      <w:r w:rsidRPr="007638BA">
        <w:rPr>
          <w:rStyle w:val="af7"/>
          <w:rFonts w:eastAsia="Guttman Hodes"/>
          <w:rtl/>
        </w:rPr>
        <w:fldChar w:fldCharType="separate"/>
      </w:r>
      <w:r w:rsidR="00345400">
        <w:rPr>
          <w:rStyle w:val="af7"/>
          <w:rFonts w:eastAsia="Guttman Hodes"/>
          <w:cs/>
        </w:rPr>
        <w:t>‎</w:t>
      </w:r>
      <w:r w:rsidR="00345400">
        <w:rPr>
          <w:rStyle w:val="af7"/>
          <w:rFonts w:eastAsia="Guttman Hodes"/>
          <w:rtl/>
        </w:rPr>
        <w:t>סד)</w:t>
      </w:r>
      <w:r w:rsidRPr="007638BA">
        <w:rPr>
          <w:rStyle w:val="af7"/>
          <w:rFonts w:eastAsia="Guttman Hodes"/>
          <w:rtl/>
        </w:rPr>
        <w:fldChar w:fldCharType="end"/>
      </w:r>
      <w:r w:rsidRPr="00CD4FFE">
        <w:rPr>
          <w:rFonts w:hint="cs"/>
          <w:rtl/>
        </w:rPr>
        <w:t>.</w:t>
      </w:r>
      <w:bookmarkEnd w:id="6095"/>
    </w:p>
    <w:p w14:paraId="65605A3E" w14:textId="77777777" w:rsidR="00533768" w:rsidRDefault="00533768" w:rsidP="006D6D32">
      <w:pPr>
        <w:pStyle w:val="a3"/>
        <w:rPr>
          <w:rtl/>
        </w:rPr>
      </w:pPr>
      <w:bookmarkStart w:id="6096" w:name="_Toc527108411"/>
      <w:bookmarkStart w:id="6097" w:name="_Toc19389707"/>
      <w:bookmarkStart w:id="6098" w:name="_Toc19393204"/>
      <w:r>
        <w:rPr>
          <w:rFonts w:hint="cs"/>
          <w:rtl/>
        </w:rPr>
        <w:t>ביאור הרשב'"א דהבדיקה היא כדי שלא היה בל תשחית או להכשיר את הראשונות</w:t>
      </w:r>
      <w:bookmarkEnd w:id="6096"/>
      <w:bookmarkEnd w:id="6097"/>
      <w:bookmarkEnd w:id="6098"/>
    </w:p>
    <w:p w14:paraId="3C72F4DC" w14:textId="77777777" w:rsidR="00533768" w:rsidRDefault="00533768" w:rsidP="00223668">
      <w:pPr>
        <w:pStyle w:val="a0"/>
        <w:rPr>
          <w:rtl/>
        </w:rPr>
      </w:pPr>
      <w:r>
        <w:rPr>
          <w:rFonts w:hint="cs"/>
          <w:rtl/>
        </w:rPr>
        <w:t xml:space="preserve">וביאר </w:t>
      </w:r>
      <w:r w:rsidRPr="005772AB">
        <w:rPr>
          <w:rStyle w:val="af9"/>
          <w:rtl/>
        </w:rPr>
        <w:t>הרשב"א</w:t>
      </w:r>
      <w:r>
        <w:rPr>
          <w:rStyle w:val="af9"/>
          <w:rtl/>
        </w:rPr>
        <w:t xml:space="preserve"> בחי' </w:t>
      </w:r>
      <w:r>
        <w:rPr>
          <w:rStyle w:val="af9"/>
          <w:rFonts w:hint="cs"/>
          <w:rtl/>
        </w:rPr>
        <w:t>ו</w:t>
      </w:r>
      <w:r>
        <w:rPr>
          <w:rStyle w:val="af9"/>
          <w:rtl/>
        </w:rPr>
        <w:t>בתוה"ב</w:t>
      </w:r>
      <w:r>
        <w:rPr>
          <w:rFonts w:hint="cs"/>
          <w:rtl/>
        </w:rPr>
        <w:t xml:space="preserve"> </w:t>
      </w:r>
      <w:r>
        <w:rPr>
          <w:rStyle w:val="af7"/>
          <w:rFonts w:eastAsia="Guttman Hodes" w:hint="cs"/>
          <w:rtl/>
        </w:rPr>
        <w:t>ב"א ש"ב דף טז: מדה"ס)</w:t>
      </w:r>
      <w:r>
        <w:rPr>
          <w:rFonts w:hint="cs"/>
          <w:rtl/>
        </w:rPr>
        <w:t xml:space="preserve"> דלמסקנא רב כהנא  ס"ל כרב הונא, והצריך בדיקה בכדי שלא יהיה בל תשחית בהרבה בהמות, ועוד ביאר</w:t>
      </w:r>
      <w:r w:rsidRPr="00C71BD1">
        <w:rPr>
          <w:rStyle w:val="af9"/>
          <w:rFonts w:hint="cs"/>
          <w:rtl/>
        </w:rPr>
        <w:t xml:space="preserve"> </w:t>
      </w:r>
      <w:r w:rsidRPr="00C71BD1">
        <w:rPr>
          <w:rStyle w:val="af9"/>
          <w:rtl/>
        </w:rPr>
        <w:t xml:space="preserve">הרשב"א </w:t>
      </w:r>
      <w:r>
        <w:rPr>
          <w:rFonts w:hint="cs"/>
          <w:rtl/>
        </w:rPr>
        <w:t>דרב כהנא הצריך בדיקה בין שחיטה לשחיטה, בכדי להתיר את הראשונות שבדק אחר שחיטתן ונמצא הסכין שלם, ורק האחרונה שנמצא הסכין פגום אחריה אסורה, אבל אם לא בדק בין שחיטה לשחיטה כל הבהמות אסורות ואף הראשונה אסורה, אבל אם נאבד הסכין, אף שלא בדק בין שחיטה לשחיטה כולם מותרות.</w:t>
      </w:r>
    </w:p>
    <w:p w14:paraId="21286AD3" w14:textId="77777777" w:rsidR="00533768" w:rsidRDefault="00533768" w:rsidP="006D6D32">
      <w:pPr>
        <w:pStyle w:val="a3"/>
        <w:rPr>
          <w:rtl/>
        </w:rPr>
      </w:pPr>
      <w:bookmarkStart w:id="6099" w:name="_Toc527108412"/>
      <w:bookmarkStart w:id="6100" w:name="_Toc19389708"/>
      <w:bookmarkStart w:id="6101" w:name="_Toc19393205"/>
      <w:r>
        <w:rPr>
          <w:rFonts w:hint="cs"/>
          <w:rtl/>
        </w:rPr>
        <w:t>דברי רבינו יונה דהבדיקה בין שחיטה לשחיטה מחמת בל תשחית או שמא יחוס על ממונו</w:t>
      </w:r>
      <w:bookmarkEnd w:id="6099"/>
      <w:bookmarkEnd w:id="6100"/>
      <w:bookmarkEnd w:id="6101"/>
    </w:p>
    <w:p w14:paraId="2696DE65" w14:textId="77777777" w:rsidR="00533768" w:rsidRDefault="00533768" w:rsidP="00223668">
      <w:pPr>
        <w:pStyle w:val="a0"/>
        <w:rPr>
          <w:rStyle w:val="afb"/>
          <w:rtl/>
        </w:rPr>
      </w:pPr>
      <w:r w:rsidRPr="00896418">
        <w:rPr>
          <w:rFonts w:hint="cs"/>
          <w:rtl/>
        </w:rPr>
        <w:t xml:space="preserve">כתב </w:t>
      </w:r>
      <w:r w:rsidRPr="00896418">
        <w:rPr>
          <w:rStyle w:val="af9"/>
          <w:rtl/>
        </w:rPr>
        <w:t>רבינו יונה בספר משפטי בדיקת הסכין</w:t>
      </w:r>
      <w:r w:rsidRPr="00896418">
        <w:rPr>
          <w:rStyle w:val="af1"/>
          <w:rtl/>
        </w:rPr>
        <w:footnoteReference w:id="35"/>
      </w:r>
      <w:r w:rsidRPr="00896418">
        <w:rPr>
          <w:rFonts w:hint="cs"/>
          <w:rtl/>
        </w:rPr>
        <w:t xml:space="preserve"> </w:t>
      </w:r>
      <w:r w:rsidRPr="00896418">
        <w:rPr>
          <w:rStyle w:val="af7"/>
          <w:rFonts w:eastAsia="Guttman Hodes" w:hint="cs"/>
          <w:rtl/>
        </w:rPr>
        <w:t>(בריש הספר, נד' בקובץ שיטות קמאי חולין ח"א עמ' רי"ח)</w:t>
      </w:r>
      <w:r w:rsidRPr="00896418">
        <w:rPr>
          <w:rFonts w:hint="cs"/>
          <w:rtl/>
        </w:rPr>
        <w:t xml:space="preserve"> דמדינא אין חיוב לבדוק בין שחיטה לשחיטה, ורב כהנא בדק משום זהירות יתירה, בכדי שלא יבא לבל תשחית, וכן שמא יחוס השוחט על ממונו או יחשוש מבעל הממון, ולא יגלה שנמצא הסכין</w:t>
      </w:r>
      <w:r>
        <w:rPr>
          <w:rFonts w:hint="cs"/>
          <w:rtl/>
        </w:rPr>
        <w:t xml:space="preserve"> פגום אחר שחיטת הרבה בהמות.</w:t>
      </w:r>
    </w:p>
    <w:p w14:paraId="04DE95F2" w14:textId="77777777" w:rsidR="00533768" w:rsidRDefault="00533768" w:rsidP="00BF39B2">
      <w:pPr>
        <w:pStyle w:val="1"/>
        <w:rPr>
          <w:rtl/>
        </w:rPr>
      </w:pPr>
      <w:bookmarkStart w:id="6102" w:name="_Toc526889930"/>
      <w:bookmarkStart w:id="6103" w:name="_Toc527108413"/>
      <w:bookmarkStart w:id="6104" w:name="_Toc19389709"/>
      <w:bookmarkStart w:id="6105" w:name="_Toc19393206"/>
      <w:bookmarkStart w:id="6106" w:name="_Toc526249249"/>
      <w:bookmarkStart w:id="6107" w:name="_Toc526504129"/>
      <w:bookmarkStart w:id="6108" w:name="_Toc526853021"/>
      <w:bookmarkStart w:id="6109" w:name="_Toc525594386"/>
      <w:bookmarkStart w:id="6110" w:name="_Toc524638726"/>
      <w:r>
        <w:rPr>
          <w:rFonts w:hint="cs"/>
          <w:rtl/>
        </w:rPr>
        <w:t>ביאור הרשב"א בקושית הגמ' דתבעי בדיקת חכם</w:t>
      </w:r>
      <w:bookmarkEnd w:id="6102"/>
      <w:bookmarkEnd w:id="6103"/>
      <w:bookmarkEnd w:id="6104"/>
      <w:bookmarkEnd w:id="6105"/>
    </w:p>
    <w:p w14:paraId="6A2B22CD" w14:textId="77777777" w:rsidR="00533768" w:rsidRPr="00925E47" w:rsidRDefault="00533768" w:rsidP="006D6D32">
      <w:pPr>
        <w:pStyle w:val="a3"/>
        <w:rPr>
          <w:rtl/>
        </w:rPr>
      </w:pPr>
      <w:bookmarkStart w:id="6111" w:name="_Toc527108414"/>
      <w:bookmarkStart w:id="6112" w:name="_Toc19389710"/>
      <w:bookmarkStart w:id="6113" w:name="_Toc19393207"/>
      <w:r>
        <w:rPr>
          <w:rFonts w:hint="cs"/>
          <w:rtl/>
        </w:rPr>
        <w:t>דברי הרשב"א דלרב חסדא הבדיקה בין שחיטה לשחיטה היא כבדיקה לפני השחיטה</w:t>
      </w:r>
      <w:bookmarkEnd w:id="6111"/>
      <w:bookmarkEnd w:id="6112"/>
      <w:bookmarkEnd w:id="6113"/>
    </w:p>
    <w:p w14:paraId="13E31407" w14:textId="77777777" w:rsidR="00533768" w:rsidRDefault="00533768" w:rsidP="00223668">
      <w:pPr>
        <w:pStyle w:val="a0"/>
        <w:rPr>
          <w:rtl/>
        </w:rPr>
      </w:pPr>
      <w:r>
        <w:rPr>
          <w:rFonts w:hint="cs"/>
          <w:rtl/>
        </w:rPr>
        <w:t xml:space="preserve">בקושית הגמ' דתיבעי בדיקת חכם, ביאר </w:t>
      </w:r>
      <w:r>
        <w:rPr>
          <w:rStyle w:val="af9"/>
          <w:rtl/>
        </w:rPr>
        <w:t xml:space="preserve">הרשב"א בחי' </w:t>
      </w:r>
      <w:r>
        <w:rPr>
          <w:rStyle w:val="af7"/>
          <w:rFonts w:eastAsia="Guttman Hodes" w:hint="cs"/>
          <w:rtl/>
        </w:rPr>
        <w:t>(ד"ה אי הכי)</w:t>
      </w:r>
      <w:r>
        <w:rPr>
          <w:rFonts w:hint="cs"/>
          <w:rtl/>
        </w:rPr>
        <w:t xml:space="preserve"> </w:t>
      </w:r>
      <w:r>
        <w:rPr>
          <w:rStyle w:val="af9"/>
          <w:rtl/>
        </w:rPr>
        <w:t>ובתוה"ב</w:t>
      </w:r>
      <w:r>
        <w:rPr>
          <w:rFonts w:hint="cs"/>
          <w:rtl/>
        </w:rPr>
        <w:t xml:space="preserve"> </w:t>
      </w:r>
      <w:r>
        <w:rPr>
          <w:rStyle w:val="af7"/>
          <w:rFonts w:eastAsia="Guttman Hodes" w:hint="cs"/>
          <w:rtl/>
        </w:rPr>
        <w:t>(ב"א ש"ב דף טז: מדה"ס)</w:t>
      </w:r>
      <w:r>
        <w:rPr>
          <w:rFonts w:hint="cs"/>
          <w:rtl/>
        </w:rPr>
        <w:t xml:space="preserve"> דאי רב כהנא ס"ל כרב הונא, א"כ הבדיקה שבין שחיטה לשחיטה, היא בדיקה אחר השחיטה ולכן א"צ חכם, אבל אי ס"ל לרב כהנא כרב חסדא, הבדיקה שבין שחיטה לשחיטה, היא בדיקה דקודם השחיטה.</w:t>
      </w:r>
    </w:p>
    <w:p w14:paraId="09840632" w14:textId="77777777" w:rsidR="00533768" w:rsidRDefault="00533768" w:rsidP="006D6D32">
      <w:pPr>
        <w:pStyle w:val="a3"/>
        <w:rPr>
          <w:rtl/>
        </w:rPr>
      </w:pPr>
      <w:bookmarkStart w:id="6114" w:name="_Toc527108415"/>
      <w:bookmarkStart w:id="6115" w:name="_Toc19389711"/>
      <w:bookmarkStart w:id="6116" w:name="_Toc19393208"/>
      <w:r>
        <w:rPr>
          <w:rFonts w:hint="cs"/>
          <w:rtl/>
        </w:rPr>
        <w:t>דברי הרשב"א דא"א לומר שבודק מחמת הראשונה דהא אף אם ימצא פגום תלינן במפרקת</w:t>
      </w:r>
      <w:bookmarkEnd w:id="6114"/>
      <w:bookmarkEnd w:id="6115"/>
      <w:bookmarkEnd w:id="6116"/>
    </w:p>
    <w:p w14:paraId="28EE61BD" w14:textId="77777777" w:rsidR="00533768" w:rsidRDefault="00533768" w:rsidP="00223668">
      <w:pPr>
        <w:pStyle w:val="a0"/>
        <w:rPr>
          <w:rtl/>
        </w:rPr>
      </w:pPr>
      <w:r>
        <w:rPr>
          <w:rFonts w:hint="cs"/>
          <w:rtl/>
        </w:rPr>
        <w:t xml:space="preserve">והוסיף </w:t>
      </w:r>
      <w:r>
        <w:rPr>
          <w:rStyle w:val="af9"/>
          <w:rtl/>
        </w:rPr>
        <w:t xml:space="preserve">הרשב"א בחי' </w:t>
      </w:r>
      <w:r>
        <w:rPr>
          <w:rFonts w:hint="cs"/>
          <w:rtl/>
        </w:rPr>
        <w:t xml:space="preserve">דא"א לומר שבודק מחמת הראשונה, דהא אף אם ימצא פגום הראשונה מותרת, דתלינן שהמפרקת פגמה, אלא ודאי דהבדיקה היא בכדי להכשיר את האחרונות דחיישינן שנפגמה במפרקת של הראשונה, וא"כ היא בדיקה דקודם השחיטה, ולכן הוקשה לגמ' דאמאי א"צ חכם, ועי' במה שביאר </w:t>
      </w:r>
      <w:r w:rsidRPr="00005D54">
        <w:rPr>
          <w:rStyle w:val="af9"/>
          <w:rFonts w:hint="cs"/>
          <w:rtl/>
        </w:rPr>
        <w:t>הגרעק"א</w:t>
      </w:r>
      <w:r>
        <w:rPr>
          <w:rFonts w:hint="cs"/>
          <w:rtl/>
        </w:rPr>
        <w:t xml:space="preserve"> </w:t>
      </w:r>
      <w:r w:rsidRPr="00005D54">
        <w:rPr>
          <w:rStyle w:val="af7"/>
          <w:rFonts w:eastAsia="Guttman Hodes" w:hint="cs"/>
          <w:rtl/>
        </w:rPr>
        <w:t xml:space="preserve">(עי' אות </w:t>
      </w:r>
      <w:r w:rsidRPr="00005D54">
        <w:rPr>
          <w:rStyle w:val="af7"/>
          <w:rFonts w:eastAsia="Guttman Hodes"/>
          <w:rtl/>
        </w:rPr>
        <w:fldChar w:fldCharType="begin"/>
      </w:r>
      <w:r w:rsidRPr="00005D54">
        <w:rPr>
          <w:rStyle w:val="af7"/>
          <w:rFonts w:eastAsia="Guttman Hodes"/>
          <w:rtl/>
        </w:rPr>
        <w:instrText xml:space="preserve"> </w:instrText>
      </w:r>
      <w:r w:rsidRPr="00005D54">
        <w:rPr>
          <w:rStyle w:val="af7"/>
          <w:rFonts w:eastAsia="Guttman Hodes" w:hint="cs"/>
        </w:rPr>
        <w:instrText>REF</w:instrText>
      </w:r>
      <w:r w:rsidRPr="00005D54">
        <w:rPr>
          <w:rStyle w:val="af7"/>
          <w:rFonts w:eastAsia="Guttman Hodes" w:hint="cs"/>
          <w:rtl/>
        </w:rPr>
        <w:instrText xml:space="preserve"> _</w:instrText>
      </w:r>
      <w:r w:rsidRPr="00005D54">
        <w:rPr>
          <w:rStyle w:val="af7"/>
          <w:rFonts w:eastAsia="Guttman Hodes" w:hint="cs"/>
        </w:rPr>
        <w:instrText>Ref527043010 \r \h</w:instrText>
      </w:r>
      <w:r w:rsidRPr="00005D54">
        <w:rPr>
          <w:rStyle w:val="af7"/>
          <w:rFonts w:eastAsia="Guttman Hodes"/>
          <w:rtl/>
        </w:rPr>
        <w:instrText xml:space="preserve"> </w:instrText>
      </w:r>
      <w:r w:rsidRPr="00005D54">
        <w:rPr>
          <w:rStyle w:val="af7"/>
          <w:rFonts w:eastAsia="Guttman Hodes"/>
          <w:rtl/>
        </w:rPr>
      </w:r>
      <w:r w:rsidRPr="00005D54">
        <w:rPr>
          <w:rStyle w:val="af7"/>
          <w:rFonts w:eastAsia="Guttman Hodes"/>
          <w:rtl/>
        </w:rPr>
        <w:fldChar w:fldCharType="separate"/>
      </w:r>
      <w:r w:rsidR="00345400">
        <w:rPr>
          <w:rStyle w:val="af7"/>
          <w:rFonts w:eastAsia="Guttman Hodes"/>
          <w:cs/>
        </w:rPr>
        <w:t>‎</w:t>
      </w:r>
      <w:r w:rsidR="00345400">
        <w:rPr>
          <w:rStyle w:val="af7"/>
          <w:rFonts w:eastAsia="Guttman Hodes"/>
          <w:rtl/>
        </w:rPr>
        <w:t>פט)</w:t>
      </w:r>
      <w:r w:rsidRPr="00005D54">
        <w:rPr>
          <w:rStyle w:val="af7"/>
          <w:rFonts w:eastAsia="Guttman Hodes"/>
          <w:rtl/>
        </w:rPr>
        <w:fldChar w:fldCharType="end"/>
      </w:r>
      <w:r>
        <w:rPr>
          <w:rFonts w:hint="cs"/>
          <w:rtl/>
        </w:rPr>
        <w:t>.</w:t>
      </w:r>
    </w:p>
    <w:p w14:paraId="5C2864A1" w14:textId="77777777" w:rsidR="00533768" w:rsidRDefault="00533768" w:rsidP="00BF39B2">
      <w:pPr>
        <w:pStyle w:val="1"/>
        <w:rPr>
          <w:rtl/>
        </w:rPr>
      </w:pPr>
      <w:bookmarkStart w:id="6117" w:name="_Toc527108416"/>
      <w:bookmarkStart w:id="6118" w:name="_Toc19389712"/>
      <w:bookmarkStart w:id="6119" w:name="_Toc19393209"/>
      <w:r>
        <w:rPr>
          <w:rFonts w:hint="cs"/>
          <w:rtl/>
        </w:rPr>
        <w:t>דברי הרשב"א דאף לרב כהנא הבדיקה אינה חיוב מדינא</w:t>
      </w:r>
      <w:bookmarkEnd w:id="6117"/>
      <w:bookmarkEnd w:id="6118"/>
      <w:bookmarkEnd w:id="6119"/>
    </w:p>
    <w:p w14:paraId="14A94D95" w14:textId="77777777" w:rsidR="00533768" w:rsidRPr="00DC2CFF" w:rsidRDefault="00533768" w:rsidP="006D6D32">
      <w:pPr>
        <w:pStyle w:val="a3"/>
        <w:rPr>
          <w:rtl/>
        </w:rPr>
      </w:pPr>
      <w:bookmarkStart w:id="6120" w:name="_Toc527108417"/>
      <w:bookmarkStart w:id="6121" w:name="_Toc19389713"/>
      <w:bookmarkStart w:id="6122" w:name="_Toc19393210"/>
      <w:r>
        <w:rPr>
          <w:rFonts w:hint="cs"/>
          <w:rtl/>
        </w:rPr>
        <w:t>הוכחת הרשב"א מדא"צ בדיקת חכם דחשש מפרקת אינו כשבירת עצמות</w:t>
      </w:r>
      <w:bookmarkEnd w:id="6120"/>
      <w:bookmarkEnd w:id="6121"/>
      <w:bookmarkEnd w:id="6122"/>
    </w:p>
    <w:p w14:paraId="3E11FF7B" w14:textId="77777777" w:rsidR="00533768" w:rsidRDefault="00533768" w:rsidP="00223668">
      <w:pPr>
        <w:pStyle w:val="a0"/>
        <w:rPr>
          <w:rtl/>
        </w:rPr>
      </w:pPr>
      <w:bookmarkStart w:id="6123" w:name="_Toc526889947"/>
      <w:bookmarkStart w:id="6124" w:name="_Toc526249256"/>
      <w:bookmarkStart w:id="6125" w:name="_Toc526504135"/>
      <w:bookmarkStart w:id="6126" w:name="_Toc526249255"/>
      <w:bookmarkEnd w:id="6106"/>
      <w:bookmarkEnd w:id="6107"/>
      <w:bookmarkEnd w:id="6108"/>
      <w:r>
        <w:rPr>
          <w:rFonts w:hint="cs"/>
          <w:rtl/>
        </w:rPr>
        <w:t xml:space="preserve">וכתב </w:t>
      </w:r>
      <w:r w:rsidRPr="00DC2CFF">
        <w:rPr>
          <w:rStyle w:val="af9"/>
          <w:rFonts w:hint="cs"/>
          <w:rtl/>
        </w:rPr>
        <w:t xml:space="preserve">הרשב"א </w:t>
      </w:r>
      <w:r w:rsidRPr="00DC2CFF">
        <w:rPr>
          <w:rStyle w:val="af7"/>
          <w:rFonts w:eastAsia="Guttman Hodes" w:hint="cs"/>
          <w:rtl/>
        </w:rPr>
        <w:t>(ד"ה וכבר כתבנו)</w:t>
      </w:r>
      <w:r>
        <w:rPr>
          <w:rFonts w:hint="cs"/>
          <w:rtl/>
        </w:rPr>
        <w:t xml:space="preserve"> דמדברי רב כהנא מוכח דבאבד הסכין השחיטה כשרה, ואף לדידן דבשיבר בה עצמות קיי"ל כרב חסדא, אין כל חשש שמא נפגמה בעצם המפרקת של הבהמה הראשונה, דלא דמי מפרקת לשבירת עצמות, וביאר </w:t>
      </w:r>
      <w:r w:rsidRPr="00DC2CFF">
        <w:rPr>
          <w:rStyle w:val="af9"/>
          <w:rFonts w:hint="cs"/>
          <w:rtl/>
        </w:rPr>
        <w:t>הרשב"א</w:t>
      </w:r>
      <w:r>
        <w:rPr>
          <w:rFonts w:hint="cs"/>
          <w:rtl/>
        </w:rPr>
        <w:t xml:space="preserve"> דהבדיקה בין שחיטה לשחיטה היא עצה טובה ולא חובה, וכדמוכח מהא דא"צ בדיקת חכם בין שחיטה לשחיטה, ואי שבירת מפרקת היא כשבירת עצמות, א"כ ודאי דאסור לשחוט אחריה בלא בדיקת חכם, כמו בשיבר עצמות דאסור לשחוט בלא בדיקת חכם, דיצא הסכין מחזקת הבדיקה שקודם השחיטה.</w:t>
      </w:r>
    </w:p>
    <w:p w14:paraId="5382EDEB" w14:textId="77777777" w:rsidR="00533768" w:rsidRDefault="00533768" w:rsidP="006D6D32">
      <w:pPr>
        <w:pStyle w:val="a3"/>
        <w:rPr>
          <w:rtl/>
        </w:rPr>
      </w:pPr>
      <w:bookmarkStart w:id="6127" w:name="_Toc527108418"/>
      <w:bookmarkStart w:id="6128" w:name="_Toc19389714"/>
      <w:bookmarkStart w:id="6129" w:name="_Toc19393211"/>
      <w:r>
        <w:rPr>
          <w:rFonts w:hint="cs"/>
          <w:rtl/>
        </w:rPr>
        <w:t>ביאור הרשב"א בלשון רב כהנא שצריך לבדוק</w:t>
      </w:r>
      <w:bookmarkEnd w:id="6127"/>
      <w:bookmarkEnd w:id="6128"/>
      <w:bookmarkEnd w:id="6129"/>
    </w:p>
    <w:p w14:paraId="60EE4136" w14:textId="77777777" w:rsidR="00533768" w:rsidRDefault="00533768" w:rsidP="00223668">
      <w:pPr>
        <w:pStyle w:val="a0"/>
        <w:rPr>
          <w:rtl/>
        </w:rPr>
      </w:pPr>
      <w:r>
        <w:rPr>
          <w:rFonts w:hint="cs"/>
          <w:rtl/>
        </w:rPr>
        <w:t xml:space="preserve">והקשה </w:t>
      </w:r>
      <w:r w:rsidRPr="00DC2CFF">
        <w:rPr>
          <w:rStyle w:val="af9"/>
          <w:rFonts w:hint="cs"/>
          <w:rtl/>
        </w:rPr>
        <w:t>הרשב"א</w:t>
      </w:r>
      <w:r>
        <w:rPr>
          <w:rFonts w:hint="cs"/>
          <w:rtl/>
        </w:rPr>
        <w:t xml:space="preserve"> דא"כ אמאי אמר רב כהנא שצריך לבדוק, דמשמע דאינו עצה טובה, אלא יש חיוב מדינא לבדוק, ותירץ </w:t>
      </w:r>
      <w:r w:rsidRPr="00DC2CFF">
        <w:rPr>
          <w:rStyle w:val="af9"/>
          <w:rFonts w:hint="cs"/>
          <w:rtl/>
        </w:rPr>
        <w:t>הרשב"א</w:t>
      </w:r>
      <w:r>
        <w:rPr>
          <w:rFonts w:hint="cs"/>
          <w:rtl/>
        </w:rPr>
        <w:t xml:space="preserve"> דבכדי שלא יבא לבל תשחית צריך לבדוק, ועוד ביאר </w:t>
      </w:r>
      <w:r w:rsidRPr="00DC2CFF">
        <w:rPr>
          <w:rStyle w:val="af9"/>
          <w:rFonts w:hint="cs"/>
          <w:rtl/>
        </w:rPr>
        <w:t>הרשב"א</w:t>
      </w:r>
      <w:r>
        <w:rPr>
          <w:rFonts w:hint="cs"/>
          <w:rtl/>
        </w:rPr>
        <w:t xml:space="preserve"> דכוונת רב כהנא לומר דמי שרוצה להתיר את הראשונות צריך לבדוק בין שחיטה לשחיטה, דאם לא יבדוק כולם אסורות.</w:t>
      </w:r>
    </w:p>
    <w:p w14:paraId="2F48A396" w14:textId="77777777" w:rsidR="00533768" w:rsidRDefault="00533768" w:rsidP="006D6D32">
      <w:pPr>
        <w:pStyle w:val="a3"/>
        <w:rPr>
          <w:rtl/>
        </w:rPr>
      </w:pPr>
      <w:bookmarkStart w:id="6130" w:name="_Toc527108419"/>
      <w:bookmarkStart w:id="6131" w:name="_Toc19389715"/>
      <w:bookmarkStart w:id="6132" w:name="_Toc19393212"/>
      <w:r>
        <w:rPr>
          <w:rFonts w:hint="cs"/>
          <w:rtl/>
        </w:rPr>
        <w:t>דברי הרא"ש דמדינא אין חיוב בדיקה אחר השחיטה</w:t>
      </w:r>
      <w:bookmarkEnd w:id="6130"/>
      <w:bookmarkEnd w:id="6131"/>
      <w:bookmarkEnd w:id="6132"/>
    </w:p>
    <w:p w14:paraId="10B88BB6" w14:textId="77777777" w:rsidR="00533768" w:rsidRDefault="00533768" w:rsidP="00223668">
      <w:pPr>
        <w:pStyle w:val="a0"/>
        <w:rPr>
          <w:rtl/>
        </w:rPr>
      </w:pPr>
      <w:r>
        <w:rPr>
          <w:rFonts w:hint="cs"/>
          <w:rtl/>
        </w:rPr>
        <w:t xml:space="preserve">וכ"כ </w:t>
      </w:r>
      <w:r>
        <w:rPr>
          <w:rStyle w:val="af9"/>
          <w:rtl/>
        </w:rPr>
        <w:t xml:space="preserve">הרא"ש </w:t>
      </w:r>
      <w:r w:rsidRPr="00923BAD">
        <w:rPr>
          <w:rStyle w:val="af7"/>
          <w:rFonts w:eastAsia="Guttman Hodes" w:hint="cs"/>
          <w:rtl/>
        </w:rPr>
        <w:t>(סי' ט"ו)</w:t>
      </w:r>
      <w:r>
        <w:rPr>
          <w:rFonts w:hint="cs"/>
          <w:rtl/>
        </w:rPr>
        <w:t xml:space="preserve"> דאף שכתב </w:t>
      </w:r>
      <w:r>
        <w:rPr>
          <w:rStyle w:val="af9"/>
          <w:rtl/>
        </w:rPr>
        <w:t>רש"י</w:t>
      </w:r>
      <w:r>
        <w:rPr>
          <w:rFonts w:hint="cs"/>
          <w:rtl/>
        </w:rPr>
        <w:t xml:space="preserve"> </w:t>
      </w:r>
      <w:r w:rsidRPr="00923BAD">
        <w:rPr>
          <w:rStyle w:val="af7"/>
          <w:rFonts w:eastAsia="Guttman Hodes" w:hint="cs"/>
          <w:rtl/>
        </w:rPr>
        <w:t xml:space="preserve">(עי' אות </w:t>
      </w:r>
      <w:r w:rsidRPr="00923BAD">
        <w:rPr>
          <w:rStyle w:val="af7"/>
          <w:rFonts w:eastAsia="Guttman Hodes" w:hint="cs"/>
          <w:rtl/>
        </w:rPr>
        <w:fldChar w:fldCharType="begin"/>
      </w:r>
      <w:r w:rsidRPr="00923BAD">
        <w:rPr>
          <w:rStyle w:val="af7"/>
          <w:rFonts w:eastAsia="Guttman Hodes" w:hint="cs"/>
          <w:rtl/>
        </w:rPr>
        <w:instrText xml:space="preserve"> </w:instrText>
      </w:r>
      <w:r w:rsidRPr="00923BAD">
        <w:rPr>
          <w:rStyle w:val="af7"/>
          <w:rFonts w:eastAsia="Guttman Hodes"/>
        </w:rPr>
        <w:instrText>REF</w:instrText>
      </w:r>
      <w:r w:rsidRPr="00923BAD">
        <w:rPr>
          <w:rStyle w:val="af7"/>
          <w:rFonts w:eastAsia="Guttman Hodes" w:hint="cs"/>
          <w:rtl/>
        </w:rPr>
        <w:instrText xml:space="preserve"> _</w:instrText>
      </w:r>
      <w:r w:rsidRPr="00923BAD">
        <w:rPr>
          <w:rStyle w:val="af7"/>
          <w:rFonts w:eastAsia="Guttman Hodes"/>
        </w:rPr>
        <w:instrText>Ref526956416 \r \h</w:instrText>
      </w:r>
      <w:r w:rsidRPr="00923BAD">
        <w:rPr>
          <w:rStyle w:val="af7"/>
          <w:rFonts w:eastAsia="Guttman Hodes" w:hint="cs"/>
          <w:rtl/>
        </w:rPr>
        <w:instrText xml:space="preserve"> </w:instrText>
      </w:r>
      <w:r w:rsidRPr="00923BAD">
        <w:rPr>
          <w:rStyle w:val="af7"/>
          <w:rFonts w:eastAsia="Guttman Hodes" w:hint="cs"/>
          <w:rtl/>
        </w:rPr>
      </w:r>
      <w:r w:rsidRPr="00923BAD">
        <w:rPr>
          <w:rStyle w:val="af7"/>
          <w:rFonts w:eastAsia="Guttman Hodes" w:hint="cs"/>
          <w:rtl/>
        </w:rPr>
        <w:fldChar w:fldCharType="separate"/>
      </w:r>
      <w:r w:rsidR="00345400">
        <w:rPr>
          <w:rStyle w:val="af7"/>
          <w:rFonts w:eastAsia="Guttman Hodes" w:hint="eastAsia"/>
          <w:cs/>
        </w:rPr>
        <w:t>‎</w:t>
      </w:r>
      <w:r w:rsidR="00345400">
        <w:rPr>
          <w:rStyle w:val="af7"/>
          <w:rFonts w:eastAsia="Guttman Hodes" w:hint="eastAsia"/>
          <w:rtl/>
        </w:rPr>
        <w:t>נא</w:t>
      </w:r>
      <w:r w:rsidR="00345400">
        <w:rPr>
          <w:rStyle w:val="af7"/>
          <w:rFonts w:eastAsia="Guttman Hodes"/>
          <w:rtl/>
        </w:rPr>
        <w:t>)</w:t>
      </w:r>
      <w:r w:rsidRPr="00923BAD">
        <w:rPr>
          <w:rStyle w:val="af7"/>
          <w:rFonts w:eastAsia="Guttman Hodes" w:hint="cs"/>
          <w:rtl/>
        </w:rPr>
        <w:fldChar w:fldCharType="end"/>
      </w:r>
      <w:r w:rsidRPr="00923BAD">
        <w:rPr>
          <w:rStyle w:val="af7"/>
          <w:rFonts w:eastAsia="Guttman Hodes" w:hint="cs"/>
          <w:rtl/>
        </w:rPr>
        <w:t xml:space="preserve"> </w:t>
      </w:r>
      <w:r>
        <w:rPr>
          <w:rFonts w:hint="cs"/>
          <w:rtl/>
        </w:rPr>
        <w:t xml:space="preserve">דאף בשוחט בהמה אחת צריך לבדוק לאחר השחיטה, היינו רק לכתחילה כשהסכין לפנינו, אבל באבד לא מחזקינן ריעותא. </w:t>
      </w:r>
    </w:p>
    <w:p w14:paraId="12D46CE8" w14:textId="77777777" w:rsidR="00394AD1" w:rsidRPr="00394AD1" w:rsidRDefault="00394AD1" w:rsidP="00394AD1">
      <w:pPr>
        <w:pStyle w:val="a3"/>
      </w:pPr>
    </w:p>
    <w:p w14:paraId="7A62C510" w14:textId="77777777" w:rsidR="00533768" w:rsidRDefault="00533768" w:rsidP="00BF39B2">
      <w:pPr>
        <w:pStyle w:val="1"/>
        <w:rPr>
          <w:rtl/>
        </w:rPr>
      </w:pPr>
      <w:bookmarkStart w:id="6133" w:name="_Toc527108420"/>
      <w:bookmarkStart w:id="6134" w:name="_Toc19389716"/>
      <w:bookmarkStart w:id="6135" w:name="_Toc19393213"/>
      <w:r>
        <w:rPr>
          <w:rFonts w:hint="cs"/>
          <w:rtl/>
        </w:rPr>
        <w:t>דעת הבה"ג והרמב"ן דלרב הונא יש חיוב בדיקה מדינא</w:t>
      </w:r>
      <w:bookmarkEnd w:id="6133"/>
      <w:bookmarkEnd w:id="6134"/>
      <w:bookmarkEnd w:id="6135"/>
    </w:p>
    <w:p w14:paraId="3A2EED46" w14:textId="77777777" w:rsidR="00533768" w:rsidRDefault="00533768" w:rsidP="006D6D32">
      <w:pPr>
        <w:pStyle w:val="a3"/>
        <w:rPr>
          <w:rtl/>
        </w:rPr>
      </w:pPr>
      <w:bookmarkStart w:id="6136" w:name="_Toc527108421"/>
      <w:bookmarkStart w:id="6137" w:name="_Toc19389717"/>
      <w:bookmarkStart w:id="6138" w:name="_Toc19393214"/>
      <w:r>
        <w:rPr>
          <w:rFonts w:hint="cs"/>
          <w:rtl/>
        </w:rPr>
        <w:t>דברי הרמב"ן דמדאמר רב כהנא שצריך בדיקה מוכח דמדינא צריך לבדוק</w:t>
      </w:r>
      <w:bookmarkEnd w:id="6136"/>
      <w:bookmarkEnd w:id="6137"/>
      <w:bookmarkEnd w:id="6138"/>
    </w:p>
    <w:p w14:paraId="35517703" w14:textId="77777777" w:rsidR="00533768" w:rsidRDefault="00533768" w:rsidP="00223668">
      <w:pPr>
        <w:pStyle w:val="a0"/>
        <w:rPr>
          <w:rtl/>
        </w:rPr>
      </w:pPr>
      <w:r>
        <w:rPr>
          <w:rFonts w:hint="cs"/>
          <w:rtl/>
        </w:rPr>
        <w:t xml:space="preserve">אבל </w:t>
      </w:r>
      <w:r w:rsidRPr="005805F3">
        <w:rPr>
          <w:rStyle w:val="af9"/>
          <w:rFonts w:hint="cs"/>
          <w:rtl/>
        </w:rPr>
        <w:t>הבה"ג</w:t>
      </w:r>
      <w:r>
        <w:rPr>
          <w:rFonts w:hint="cs"/>
          <w:rtl/>
        </w:rPr>
        <w:t xml:space="preserve"> </w:t>
      </w:r>
      <w:r w:rsidRPr="002D3646">
        <w:rPr>
          <w:rStyle w:val="af7"/>
          <w:rFonts w:eastAsia="Guttman Hodes" w:hint="cs"/>
          <w:rtl/>
        </w:rPr>
        <w:t xml:space="preserve">(ריש הל' שחיטת חולין עמ' תר"י סוד"ה וסכין) </w:t>
      </w:r>
      <w:r>
        <w:rPr>
          <w:rFonts w:hint="cs"/>
          <w:rtl/>
        </w:rPr>
        <w:t xml:space="preserve"> כתב דצריך לבדוק בין לפני השחיטה ובין לאחר השחיטה, וביאר </w:t>
      </w:r>
      <w:r>
        <w:rPr>
          <w:rStyle w:val="af9"/>
          <w:rtl/>
        </w:rPr>
        <w:t>הרמב"ן</w:t>
      </w:r>
      <w:r>
        <w:rPr>
          <w:rFonts w:hint="cs"/>
          <w:rtl/>
        </w:rPr>
        <w:t xml:space="preserve"> </w:t>
      </w:r>
      <w:r w:rsidRPr="00AE3D9F">
        <w:rPr>
          <w:rStyle w:val="af7"/>
          <w:rFonts w:eastAsia="Guttman Hodes" w:hint="cs"/>
          <w:rtl/>
        </w:rPr>
        <w:t>(</w:t>
      </w:r>
      <w:r>
        <w:rPr>
          <w:rStyle w:val="af7"/>
          <w:rFonts w:eastAsia="Guttman Hodes" w:hint="cs"/>
          <w:rtl/>
        </w:rPr>
        <w:t xml:space="preserve">י. </w:t>
      </w:r>
      <w:r w:rsidRPr="00AE3D9F">
        <w:rPr>
          <w:rStyle w:val="af7"/>
          <w:rFonts w:eastAsia="Guttman Hodes" w:hint="cs"/>
          <w:rtl/>
        </w:rPr>
        <w:t xml:space="preserve">ד"ה השוחט) </w:t>
      </w:r>
      <w:r>
        <w:rPr>
          <w:rFonts w:hint="cs"/>
          <w:rtl/>
        </w:rPr>
        <w:t xml:space="preserve">דמהלשון של רב כהנא דצריך בדיקה, מבואר דלרב הונא צריך לבדוק מדינא לאחר השחיטה, ולא  רק דפסלינן אם נמצאת פגימה, וכתב </w:t>
      </w:r>
      <w:r w:rsidRPr="00BD4E33">
        <w:rPr>
          <w:rStyle w:val="af9"/>
          <w:rFonts w:hint="cs"/>
          <w:rtl/>
        </w:rPr>
        <w:t>הרמב"ן</w:t>
      </w:r>
      <w:r>
        <w:rPr>
          <w:rFonts w:hint="cs"/>
          <w:rtl/>
        </w:rPr>
        <w:t xml:space="preserve"> דכן דעת </w:t>
      </w:r>
      <w:r w:rsidRPr="00BD4E33">
        <w:rPr>
          <w:rStyle w:val="af9"/>
          <w:rFonts w:hint="cs"/>
          <w:rtl/>
        </w:rPr>
        <w:t>הבה"ג ורש"י</w:t>
      </w:r>
      <w:r>
        <w:rPr>
          <w:rFonts w:hint="cs"/>
          <w:rtl/>
        </w:rPr>
        <w:t xml:space="preserve"> </w:t>
      </w:r>
      <w:r w:rsidRPr="00923BAD">
        <w:rPr>
          <w:rStyle w:val="af7"/>
          <w:rFonts w:eastAsia="Guttman Hodes" w:hint="cs"/>
          <w:rtl/>
        </w:rPr>
        <w:t xml:space="preserve">(עי' אות </w:t>
      </w:r>
      <w:r w:rsidRPr="00923BAD">
        <w:rPr>
          <w:rStyle w:val="af7"/>
          <w:rFonts w:eastAsia="Guttman Hodes" w:hint="cs"/>
          <w:rtl/>
        </w:rPr>
        <w:fldChar w:fldCharType="begin"/>
      </w:r>
      <w:r w:rsidRPr="00923BAD">
        <w:rPr>
          <w:rStyle w:val="af7"/>
          <w:rFonts w:eastAsia="Guttman Hodes" w:hint="cs"/>
          <w:rtl/>
        </w:rPr>
        <w:instrText xml:space="preserve"> </w:instrText>
      </w:r>
      <w:r w:rsidRPr="00923BAD">
        <w:rPr>
          <w:rStyle w:val="af7"/>
          <w:rFonts w:eastAsia="Guttman Hodes"/>
        </w:rPr>
        <w:instrText>REF</w:instrText>
      </w:r>
      <w:r w:rsidRPr="00923BAD">
        <w:rPr>
          <w:rStyle w:val="af7"/>
          <w:rFonts w:eastAsia="Guttman Hodes" w:hint="cs"/>
          <w:rtl/>
        </w:rPr>
        <w:instrText xml:space="preserve"> _</w:instrText>
      </w:r>
      <w:r w:rsidRPr="00923BAD">
        <w:rPr>
          <w:rStyle w:val="af7"/>
          <w:rFonts w:eastAsia="Guttman Hodes"/>
        </w:rPr>
        <w:instrText>Ref526956416 \r \h</w:instrText>
      </w:r>
      <w:r w:rsidRPr="00923BAD">
        <w:rPr>
          <w:rStyle w:val="af7"/>
          <w:rFonts w:eastAsia="Guttman Hodes" w:hint="cs"/>
          <w:rtl/>
        </w:rPr>
        <w:instrText xml:space="preserve"> </w:instrText>
      </w:r>
      <w:r w:rsidRPr="00923BAD">
        <w:rPr>
          <w:rStyle w:val="af7"/>
          <w:rFonts w:eastAsia="Guttman Hodes" w:hint="cs"/>
          <w:rtl/>
        </w:rPr>
      </w:r>
      <w:r w:rsidRPr="00923BAD">
        <w:rPr>
          <w:rStyle w:val="af7"/>
          <w:rFonts w:eastAsia="Guttman Hodes" w:hint="cs"/>
          <w:rtl/>
        </w:rPr>
        <w:fldChar w:fldCharType="separate"/>
      </w:r>
      <w:r w:rsidR="00345400">
        <w:rPr>
          <w:rStyle w:val="af7"/>
          <w:rFonts w:eastAsia="Guttman Hodes" w:hint="eastAsia"/>
          <w:cs/>
        </w:rPr>
        <w:t>‎</w:t>
      </w:r>
      <w:r w:rsidR="00345400">
        <w:rPr>
          <w:rStyle w:val="af7"/>
          <w:rFonts w:eastAsia="Guttman Hodes" w:hint="eastAsia"/>
          <w:rtl/>
        </w:rPr>
        <w:t>נא</w:t>
      </w:r>
      <w:r w:rsidR="00345400">
        <w:rPr>
          <w:rStyle w:val="af7"/>
          <w:rFonts w:eastAsia="Guttman Hodes"/>
          <w:rtl/>
        </w:rPr>
        <w:t>)</w:t>
      </w:r>
      <w:r w:rsidRPr="00923BAD">
        <w:rPr>
          <w:rStyle w:val="af7"/>
          <w:rFonts w:eastAsia="Guttman Hodes" w:hint="cs"/>
          <w:rtl/>
        </w:rPr>
        <w:fldChar w:fldCharType="end"/>
      </w:r>
      <w:r>
        <w:rPr>
          <w:rFonts w:hint="cs"/>
          <w:rtl/>
        </w:rPr>
        <w:t>.</w:t>
      </w:r>
    </w:p>
    <w:p w14:paraId="114F8D1A" w14:textId="77777777" w:rsidR="00533768" w:rsidRDefault="00533768" w:rsidP="006D6D32">
      <w:pPr>
        <w:pStyle w:val="afe"/>
        <w:rPr>
          <w:rtl/>
        </w:rPr>
      </w:pPr>
      <w:bookmarkStart w:id="6139" w:name="_Toc527108422"/>
      <w:bookmarkStart w:id="6140" w:name="_Toc19435439"/>
      <w:bookmarkStart w:id="6141" w:name="_Toc20080758"/>
      <w:r>
        <w:rPr>
          <w:rFonts w:hint="cs"/>
          <w:rtl/>
        </w:rPr>
        <w:t>בדין נגע במפרקת בכמה בהמות</w:t>
      </w:r>
      <w:bookmarkEnd w:id="6123"/>
      <w:bookmarkEnd w:id="6139"/>
      <w:bookmarkEnd w:id="6140"/>
      <w:bookmarkEnd w:id="6141"/>
    </w:p>
    <w:p w14:paraId="33E4DE36" w14:textId="77777777" w:rsidR="00533768" w:rsidRDefault="00533768" w:rsidP="00BF39B2">
      <w:pPr>
        <w:pStyle w:val="1"/>
        <w:rPr>
          <w:rtl/>
        </w:rPr>
      </w:pPr>
      <w:bookmarkStart w:id="6142" w:name="_Toc527108423"/>
      <w:bookmarkStart w:id="6143" w:name="_Toc19389718"/>
      <w:bookmarkStart w:id="6144" w:name="_Toc19393215"/>
      <w:r>
        <w:rPr>
          <w:rFonts w:hint="cs"/>
          <w:rtl/>
        </w:rPr>
        <w:t>דעת הראב"ד דבלא בדק אחר הראשונה האחרונות אסורות</w:t>
      </w:r>
      <w:bookmarkEnd w:id="6142"/>
      <w:bookmarkEnd w:id="6143"/>
      <w:bookmarkEnd w:id="6144"/>
    </w:p>
    <w:p w14:paraId="6E2D8732" w14:textId="77777777" w:rsidR="00533768" w:rsidRDefault="00533768" w:rsidP="006D6D32">
      <w:pPr>
        <w:pStyle w:val="a3"/>
        <w:rPr>
          <w:rtl/>
        </w:rPr>
      </w:pPr>
      <w:bookmarkStart w:id="6145" w:name="_Toc527108424"/>
      <w:bookmarkStart w:id="6146" w:name="_Toc19389719"/>
      <w:bookmarkStart w:id="6147" w:name="_Toc19393216"/>
      <w:r>
        <w:rPr>
          <w:rFonts w:hint="cs"/>
          <w:rtl/>
        </w:rPr>
        <w:t>דעת הראב"ד דבלא בדק בין שחיטה לשחיטה האחרונות פסולות כבדיקה דלפני שחיטה</w:t>
      </w:r>
      <w:bookmarkEnd w:id="6145"/>
      <w:bookmarkEnd w:id="6146"/>
      <w:bookmarkEnd w:id="6147"/>
    </w:p>
    <w:p w14:paraId="63A8713D" w14:textId="77777777" w:rsidR="00533768" w:rsidRDefault="00533768" w:rsidP="00223668">
      <w:pPr>
        <w:pStyle w:val="a0"/>
        <w:rPr>
          <w:rtl/>
        </w:rPr>
      </w:pPr>
      <w:bookmarkStart w:id="6148" w:name="_Ref527025039"/>
      <w:bookmarkStart w:id="6149" w:name="_Ref523218501"/>
      <w:r>
        <w:rPr>
          <w:rFonts w:hint="cs"/>
          <w:rtl/>
        </w:rPr>
        <w:t xml:space="preserve">כתבו </w:t>
      </w:r>
      <w:r w:rsidRPr="001636A0">
        <w:rPr>
          <w:rStyle w:val="af9"/>
          <w:rtl/>
        </w:rPr>
        <w:t>הרמב"ן</w:t>
      </w:r>
      <w:r w:rsidRPr="001636A0">
        <w:rPr>
          <w:rFonts w:hint="cs"/>
          <w:rtl/>
        </w:rPr>
        <w:t xml:space="preserve"> </w:t>
      </w:r>
      <w:r w:rsidRPr="001636A0">
        <w:rPr>
          <w:rStyle w:val="af7"/>
          <w:rFonts w:eastAsia="Guttman Hodes" w:hint="cs"/>
          <w:rtl/>
        </w:rPr>
        <w:t>(</w:t>
      </w:r>
      <w:r>
        <w:rPr>
          <w:rStyle w:val="af7"/>
          <w:rFonts w:eastAsia="Guttman Hodes" w:hint="cs"/>
          <w:rtl/>
        </w:rPr>
        <w:t xml:space="preserve">י. </w:t>
      </w:r>
      <w:r w:rsidRPr="001636A0">
        <w:rPr>
          <w:rStyle w:val="af7"/>
          <w:rFonts w:eastAsia="Guttman Hodes" w:hint="cs"/>
          <w:rtl/>
        </w:rPr>
        <w:t>ד"ה ומיהו)</w:t>
      </w:r>
      <w:r w:rsidRPr="001636A0">
        <w:rPr>
          <w:rFonts w:hint="cs"/>
          <w:rtl/>
        </w:rPr>
        <w:t xml:space="preserve"> </w:t>
      </w:r>
      <w:r w:rsidRPr="001A01B6">
        <w:rPr>
          <w:rStyle w:val="af9"/>
          <w:rFonts w:hint="cs"/>
          <w:rtl/>
        </w:rPr>
        <w:t>והרשב</w:t>
      </w:r>
      <w:r w:rsidRPr="004B6652">
        <w:rPr>
          <w:rStyle w:val="af9"/>
          <w:rFonts w:hint="cs"/>
          <w:rtl/>
        </w:rPr>
        <w:t>"א</w:t>
      </w:r>
      <w:r>
        <w:rPr>
          <w:rFonts w:hint="cs"/>
          <w:rtl/>
        </w:rPr>
        <w:t xml:space="preserve"> </w:t>
      </w:r>
      <w:r>
        <w:rPr>
          <w:rStyle w:val="af9"/>
          <w:rFonts w:hint="cs"/>
          <w:rtl/>
        </w:rPr>
        <w:t xml:space="preserve">בחי' </w:t>
      </w:r>
      <w:r w:rsidRPr="004B6652">
        <w:rPr>
          <w:rStyle w:val="af7"/>
          <w:rFonts w:eastAsia="Guttman Hodes" w:hint="cs"/>
          <w:rtl/>
        </w:rPr>
        <w:t xml:space="preserve">(ד"ה </w:t>
      </w:r>
      <w:r>
        <w:rPr>
          <w:rStyle w:val="af7"/>
          <w:rFonts w:eastAsia="Guttman Hodes" w:hint="cs"/>
          <w:rtl/>
        </w:rPr>
        <w:t>אי הכי</w:t>
      </w:r>
      <w:r w:rsidRPr="004B6652">
        <w:rPr>
          <w:rStyle w:val="af7"/>
          <w:rFonts w:eastAsia="Guttman Hodes" w:hint="cs"/>
          <w:rtl/>
        </w:rPr>
        <w:t>)</w:t>
      </w:r>
      <w:r>
        <w:rPr>
          <w:rFonts w:hint="cs"/>
          <w:rtl/>
        </w:rPr>
        <w:t xml:space="preserve"> </w:t>
      </w:r>
      <w:r w:rsidRPr="00E83A2D">
        <w:rPr>
          <w:rStyle w:val="af9"/>
          <w:rFonts w:hint="cs"/>
          <w:rtl/>
        </w:rPr>
        <w:t>ובתוה"ב</w:t>
      </w:r>
      <w:r>
        <w:rPr>
          <w:rFonts w:hint="cs"/>
          <w:rtl/>
        </w:rPr>
        <w:t xml:space="preserve"> </w:t>
      </w:r>
      <w:r w:rsidRPr="00E83A2D">
        <w:rPr>
          <w:rStyle w:val="af7"/>
          <w:rFonts w:eastAsia="Guttman Hodes" w:hint="cs"/>
          <w:rtl/>
        </w:rPr>
        <w:t>(ב"א ש"ב דף טז: מדה"ס)</w:t>
      </w:r>
      <w:r>
        <w:rPr>
          <w:rFonts w:hint="cs"/>
          <w:rtl/>
        </w:rPr>
        <w:t xml:space="preserve"> בשם</w:t>
      </w:r>
      <w:r w:rsidRPr="001636A0">
        <w:rPr>
          <w:rFonts w:hint="cs"/>
          <w:rtl/>
        </w:rPr>
        <w:t xml:space="preserve"> </w:t>
      </w:r>
      <w:r w:rsidRPr="001636A0">
        <w:rPr>
          <w:rStyle w:val="af9"/>
          <w:rtl/>
        </w:rPr>
        <w:t>הראב"ד</w:t>
      </w:r>
      <w:r w:rsidRPr="001636A0">
        <w:rPr>
          <w:rFonts w:hint="cs"/>
          <w:rtl/>
        </w:rPr>
        <w:t xml:space="preserve"> דכתב דבשחט כמה בהמות ולא בדק, הראשונה כשרה והאחרות פסולות</w:t>
      </w:r>
      <w:r>
        <w:rPr>
          <w:rFonts w:hint="cs"/>
          <w:rtl/>
        </w:rPr>
        <w:t xml:space="preserve">, וביאר </w:t>
      </w:r>
      <w:r w:rsidRPr="00AA2D38">
        <w:rPr>
          <w:rStyle w:val="af9"/>
          <w:rFonts w:hint="cs"/>
          <w:rtl/>
        </w:rPr>
        <w:t>הרמב"ן</w:t>
      </w:r>
      <w:r>
        <w:rPr>
          <w:rFonts w:hint="cs"/>
          <w:rtl/>
        </w:rPr>
        <w:t xml:space="preserve"> </w:t>
      </w:r>
      <w:r w:rsidRPr="001636A0">
        <w:rPr>
          <w:rFonts w:hint="cs"/>
          <w:rtl/>
        </w:rPr>
        <w:t xml:space="preserve">דהבדיקה שבין שחיטה לשחיטה, היא כבדיקה דקודם שחיטה, </w:t>
      </w:r>
      <w:r>
        <w:rPr>
          <w:rFonts w:hint="cs"/>
          <w:rtl/>
        </w:rPr>
        <w:t xml:space="preserve">דחיישינן שבשחיטה הראשונה נגע במפרקת, ויצא הסכין מחזקת בדוק, [וע"ע בדברי </w:t>
      </w:r>
      <w:r w:rsidRPr="00AB1E75">
        <w:rPr>
          <w:rStyle w:val="af9"/>
          <w:rFonts w:hint="cs"/>
          <w:rtl/>
        </w:rPr>
        <w:t>הראב"ד בהשג' על הרמב"ם</w:t>
      </w:r>
      <w:r>
        <w:rPr>
          <w:rFonts w:hint="cs"/>
          <w:rtl/>
        </w:rPr>
        <w:t xml:space="preserve"> </w:t>
      </w:r>
      <w:r w:rsidRPr="00AB1E75">
        <w:rPr>
          <w:rStyle w:val="af7"/>
          <w:rFonts w:eastAsia="Guttman Hodes" w:hint="cs"/>
          <w:rtl/>
        </w:rPr>
        <w:t xml:space="preserve">(עי' אות </w:t>
      </w:r>
      <w:r w:rsidRPr="00AB1E75">
        <w:rPr>
          <w:rStyle w:val="af7"/>
          <w:rFonts w:eastAsia="Guttman Hodes"/>
          <w:rtl/>
        </w:rPr>
        <w:fldChar w:fldCharType="begin"/>
      </w:r>
      <w:r w:rsidRPr="00AB1E75">
        <w:rPr>
          <w:rStyle w:val="af7"/>
          <w:rFonts w:eastAsia="Guttman Hodes"/>
          <w:rtl/>
        </w:rPr>
        <w:instrText xml:space="preserve"> </w:instrText>
      </w:r>
      <w:r w:rsidRPr="00AB1E75">
        <w:rPr>
          <w:rStyle w:val="af7"/>
          <w:rFonts w:eastAsia="Guttman Hodes" w:hint="cs"/>
        </w:rPr>
        <w:instrText>REF</w:instrText>
      </w:r>
      <w:r w:rsidRPr="00AB1E75">
        <w:rPr>
          <w:rStyle w:val="af7"/>
          <w:rFonts w:eastAsia="Guttman Hodes" w:hint="cs"/>
          <w:rtl/>
        </w:rPr>
        <w:instrText xml:space="preserve"> _</w:instrText>
      </w:r>
      <w:r w:rsidRPr="00AB1E75">
        <w:rPr>
          <w:rStyle w:val="af7"/>
          <w:rFonts w:eastAsia="Guttman Hodes" w:hint="cs"/>
        </w:rPr>
        <w:instrText>Ref527042224 \r \h</w:instrText>
      </w:r>
      <w:r w:rsidRPr="00AB1E75">
        <w:rPr>
          <w:rStyle w:val="af7"/>
          <w:rFonts w:eastAsia="Guttman Hodes"/>
          <w:rtl/>
        </w:rPr>
        <w:instrText xml:space="preserve"> </w:instrText>
      </w:r>
      <w:r w:rsidRPr="00AB1E75">
        <w:rPr>
          <w:rStyle w:val="af7"/>
          <w:rFonts w:eastAsia="Guttman Hodes"/>
          <w:rtl/>
        </w:rPr>
      </w:r>
      <w:r w:rsidRPr="00AB1E75">
        <w:rPr>
          <w:rStyle w:val="af7"/>
          <w:rFonts w:eastAsia="Guttman Hodes"/>
          <w:rtl/>
        </w:rPr>
        <w:fldChar w:fldCharType="separate"/>
      </w:r>
      <w:r w:rsidR="00345400">
        <w:rPr>
          <w:rStyle w:val="af7"/>
          <w:rFonts w:eastAsia="Guttman Hodes"/>
          <w:cs/>
        </w:rPr>
        <w:t>‎</w:t>
      </w:r>
      <w:r w:rsidR="00345400">
        <w:rPr>
          <w:rStyle w:val="af7"/>
          <w:rFonts w:eastAsia="Guttman Hodes"/>
          <w:rtl/>
        </w:rPr>
        <w:t>צג)</w:t>
      </w:r>
      <w:r w:rsidRPr="00AB1E75">
        <w:rPr>
          <w:rStyle w:val="af7"/>
          <w:rFonts w:eastAsia="Guttman Hodes"/>
          <w:rtl/>
        </w:rPr>
        <w:fldChar w:fldCharType="end"/>
      </w:r>
      <w:r>
        <w:rPr>
          <w:rFonts w:hint="cs"/>
          <w:rtl/>
        </w:rPr>
        <w:t xml:space="preserve"> דכתב דאין דין בדיקה אחר השחיטה, והבדיקה שבין שחיטה לשחיטה, היא מחמת שרוצה לשחוט עוד בהמות].</w:t>
      </w:r>
      <w:bookmarkEnd w:id="6148"/>
    </w:p>
    <w:p w14:paraId="500D168A" w14:textId="77777777" w:rsidR="00533768" w:rsidRDefault="00533768" w:rsidP="006D6D32">
      <w:pPr>
        <w:pStyle w:val="a3"/>
        <w:rPr>
          <w:rtl/>
        </w:rPr>
      </w:pPr>
      <w:bookmarkStart w:id="6150" w:name="_Toc527108425"/>
      <w:bookmarkStart w:id="6151" w:name="_Toc19389720"/>
      <w:bookmarkStart w:id="6152" w:name="_Toc19393217"/>
      <w:r>
        <w:rPr>
          <w:rFonts w:hint="cs"/>
          <w:rtl/>
        </w:rPr>
        <w:t>ביאור הרשב"א דלל"ב רב חסדא מחמיר דחשיב דשחיטת הראשונה היא כשיבר בה עצמות</w:t>
      </w:r>
      <w:bookmarkEnd w:id="6150"/>
      <w:bookmarkEnd w:id="6151"/>
      <w:bookmarkEnd w:id="6152"/>
    </w:p>
    <w:p w14:paraId="21267CC2" w14:textId="77777777" w:rsidR="00533768" w:rsidRDefault="00533768" w:rsidP="00223668">
      <w:pPr>
        <w:pStyle w:val="a0"/>
        <w:rPr>
          <w:rtl/>
        </w:rPr>
      </w:pPr>
      <w:bookmarkStart w:id="6153" w:name="_Ref524081326"/>
      <w:bookmarkStart w:id="6154" w:name="_Ref523946681"/>
      <w:r>
        <w:rPr>
          <w:rFonts w:hint="cs"/>
          <w:rtl/>
        </w:rPr>
        <w:t xml:space="preserve">וביאר </w:t>
      </w:r>
      <w:r>
        <w:rPr>
          <w:rStyle w:val="af9"/>
          <w:rtl/>
        </w:rPr>
        <w:t>הרשב"א</w:t>
      </w:r>
      <w:r>
        <w:rPr>
          <w:rFonts w:hint="cs"/>
          <w:rtl/>
        </w:rPr>
        <w:t xml:space="preserve"> בשם </w:t>
      </w:r>
      <w:r>
        <w:rPr>
          <w:rStyle w:val="af9"/>
          <w:rtl/>
        </w:rPr>
        <w:t>הראב"ד</w:t>
      </w:r>
      <w:r>
        <w:rPr>
          <w:rFonts w:hint="cs"/>
          <w:rtl/>
        </w:rPr>
        <w:t xml:space="preserve"> דללישנא בתרא ברב יוסף בשחיטת כמה בהמות רב חסדא לחומרא ורב כהנא לקולא, כיון דרב חסדא מחשיב שחיטה של בהמה כשבירת עצמות, וחיישינן שנגע הסכין במפרקת של הבהמה הראשונה ונפגם, וממילא בשחט כמה בהמות, ולא בדק בין שחיטה לשחיטה ונאבד הסכין, כולם אסורות חוץ מהראשונה, דשחיטת הראשונה היא כשבירת עצמות, ורב הונא מיקל בזה דס"ל דלא חיישינן שנגע הסכין במפרקת ונפגם, וממילא שחיטת בהמה אינה כשבירת עצמות.</w:t>
      </w:r>
      <w:bookmarkEnd w:id="6153"/>
    </w:p>
    <w:p w14:paraId="5C8CE309" w14:textId="77777777" w:rsidR="00533768" w:rsidRDefault="00533768" w:rsidP="006D6D32">
      <w:pPr>
        <w:pStyle w:val="a3"/>
        <w:rPr>
          <w:rtl/>
        </w:rPr>
      </w:pPr>
      <w:bookmarkStart w:id="6155" w:name="_Toc527108426"/>
      <w:bookmarkStart w:id="6156" w:name="_Toc19389721"/>
      <w:bookmarkStart w:id="6157" w:name="_Toc19393218"/>
      <w:r>
        <w:rPr>
          <w:rFonts w:hint="cs"/>
          <w:rtl/>
        </w:rPr>
        <w:t>דברי הרשב"א בשם הראב"ד דלחומרא קיי"ל כרב חסדא דספק מפרקת היא כשיבר בה עצמות</w:t>
      </w:r>
      <w:bookmarkEnd w:id="6155"/>
      <w:bookmarkEnd w:id="6156"/>
      <w:bookmarkEnd w:id="6157"/>
    </w:p>
    <w:p w14:paraId="23EEB1D4" w14:textId="77777777" w:rsidR="00533768" w:rsidRDefault="00533768" w:rsidP="00223668">
      <w:pPr>
        <w:pStyle w:val="a0"/>
        <w:rPr>
          <w:rtl/>
        </w:rPr>
      </w:pPr>
      <w:r>
        <w:rPr>
          <w:rFonts w:hint="cs"/>
          <w:rtl/>
        </w:rPr>
        <w:t xml:space="preserve">וכתב </w:t>
      </w:r>
      <w:r>
        <w:rPr>
          <w:rStyle w:val="af9"/>
          <w:rtl/>
        </w:rPr>
        <w:t>הרשב"א</w:t>
      </w:r>
      <w:r>
        <w:rPr>
          <w:rFonts w:hint="cs"/>
          <w:rtl/>
        </w:rPr>
        <w:t xml:space="preserve"> בשם </w:t>
      </w:r>
      <w:r>
        <w:rPr>
          <w:rStyle w:val="af9"/>
          <w:rtl/>
        </w:rPr>
        <w:t>הראב"ד</w:t>
      </w:r>
      <w:r>
        <w:rPr>
          <w:rFonts w:hint="cs"/>
          <w:rtl/>
        </w:rPr>
        <w:t xml:space="preserve"> דאף דבבהמה אחת קיי"ל כרב הונא לחומרא, דבנמצא הסכין פגום חיישינן שהעור פגמו ואסורה, ולא תלינן במפרקת כרב חסדא, מ"מ בכמה בהמות קיי"ל כאוקימתא דלישנא בתרא דלרב חסדא שחיטת בהמה חשיבא כשבירת עצמות, כיון שהוא ספק דאו' ואזלינן לחומרא, וחיישינן שמא נפגם במפרקת של הראשונה, והאחרונות אסורות, ולא כרב הונא דס"ל בכמה בהמות לקולא דשחיטת הראשונה אינה כשבירת עצמות, </w:t>
      </w:r>
      <w:r>
        <w:rPr>
          <w:rStyle w:val="afb"/>
          <w:rtl/>
        </w:rPr>
        <w:t>[ואם אבד הסכין בלא בדיקה בין שחיטה לשחיטה אין האחרונות אסורות</w:t>
      </w:r>
      <w:r w:rsidRPr="00F77858">
        <w:rPr>
          <w:rStyle w:val="afb"/>
          <w:rtl/>
        </w:rPr>
        <w:t>]</w:t>
      </w:r>
      <w:r w:rsidRPr="00F77858">
        <w:rPr>
          <w:rStyle w:val="afb"/>
          <w:rFonts w:hint="cs"/>
          <w:rtl/>
        </w:rPr>
        <w:t>,</w:t>
      </w:r>
      <w:r>
        <w:rPr>
          <w:rFonts w:hint="cs"/>
          <w:rtl/>
        </w:rPr>
        <w:t xml:space="preserve"> ועי' במה שהקשה ה</w:t>
      </w:r>
      <w:r w:rsidRPr="005F4B47">
        <w:rPr>
          <w:rStyle w:val="af9"/>
          <w:rFonts w:hint="cs"/>
          <w:rtl/>
        </w:rPr>
        <w:t xml:space="preserve">גרעק"א </w:t>
      </w:r>
      <w:r w:rsidRPr="005F4B47">
        <w:rPr>
          <w:rStyle w:val="af7"/>
          <w:rFonts w:eastAsia="Guttman Hodes" w:hint="cs"/>
          <w:rtl/>
        </w:rPr>
        <w:t xml:space="preserve">(עי' אות </w:t>
      </w:r>
      <w:r w:rsidRPr="005F4B47">
        <w:rPr>
          <w:rStyle w:val="af7"/>
          <w:rFonts w:eastAsia="Guttman Hodes"/>
          <w:rtl/>
        </w:rPr>
        <w:fldChar w:fldCharType="begin"/>
      </w:r>
      <w:r w:rsidRPr="005F4B47">
        <w:rPr>
          <w:rStyle w:val="af7"/>
          <w:rFonts w:eastAsia="Guttman Hodes"/>
          <w:rtl/>
        </w:rPr>
        <w:instrText xml:space="preserve"> </w:instrText>
      </w:r>
      <w:r w:rsidRPr="005F4B47">
        <w:rPr>
          <w:rStyle w:val="af7"/>
          <w:rFonts w:eastAsia="Guttman Hodes" w:hint="cs"/>
        </w:rPr>
        <w:instrText>REF</w:instrText>
      </w:r>
      <w:r w:rsidRPr="005F4B47">
        <w:rPr>
          <w:rStyle w:val="af7"/>
          <w:rFonts w:eastAsia="Guttman Hodes" w:hint="cs"/>
          <w:rtl/>
        </w:rPr>
        <w:instrText xml:space="preserve"> _</w:instrText>
      </w:r>
      <w:r w:rsidRPr="005F4B47">
        <w:rPr>
          <w:rStyle w:val="af7"/>
          <w:rFonts w:eastAsia="Guttman Hodes" w:hint="cs"/>
        </w:rPr>
        <w:instrText>Ref523946616 \r \h</w:instrText>
      </w:r>
      <w:r w:rsidRPr="005F4B47">
        <w:rPr>
          <w:rStyle w:val="af7"/>
          <w:rFonts w:eastAsia="Guttman Hodes"/>
          <w:rtl/>
        </w:rPr>
        <w:instrText xml:space="preserve"> </w:instrText>
      </w:r>
      <w:r w:rsidRPr="005F4B47">
        <w:rPr>
          <w:rStyle w:val="af7"/>
          <w:rFonts w:eastAsia="Guttman Hodes"/>
          <w:rtl/>
        </w:rPr>
      </w:r>
      <w:r w:rsidRPr="005F4B47">
        <w:rPr>
          <w:rStyle w:val="af7"/>
          <w:rFonts w:eastAsia="Guttman Hodes"/>
          <w:rtl/>
        </w:rPr>
        <w:fldChar w:fldCharType="separate"/>
      </w:r>
      <w:r w:rsidR="00345400">
        <w:rPr>
          <w:rStyle w:val="af7"/>
          <w:rFonts w:eastAsia="Guttman Hodes"/>
          <w:cs/>
        </w:rPr>
        <w:t>‎</w:t>
      </w:r>
      <w:r w:rsidR="00345400">
        <w:rPr>
          <w:rStyle w:val="af7"/>
          <w:rFonts w:eastAsia="Guttman Hodes"/>
          <w:rtl/>
        </w:rPr>
        <w:t>פה)</w:t>
      </w:r>
      <w:r w:rsidRPr="005F4B47">
        <w:rPr>
          <w:rStyle w:val="af7"/>
          <w:rFonts w:eastAsia="Guttman Hodes"/>
          <w:rtl/>
        </w:rPr>
        <w:fldChar w:fldCharType="end"/>
      </w:r>
      <w:r>
        <w:rPr>
          <w:rFonts w:hint="cs"/>
          <w:rtl/>
        </w:rPr>
        <w:t xml:space="preserve"> על </w:t>
      </w:r>
      <w:r w:rsidRPr="005F4B47">
        <w:rPr>
          <w:rStyle w:val="af9"/>
          <w:rFonts w:hint="cs"/>
          <w:rtl/>
        </w:rPr>
        <w:t>הרשב"א</w:t>
      </w:r>
      <w:r>
        <w:rPr>
          <w:rFonts w:hint="cs"/>
          <w:rtl/>
        </w:rPr>
        <w:t xml:space="preserve"> בשם </w:t>
      </w:r>
      <w:r w:rsidRPr="005F4B47">
        <w:rPr>
          <w:rStyle w:val="af9"/>
          <w:rFonts w:hint="cs"/>
          <w:rtl/>
        </w:rPr>
        <w:t>הראב"ד</w:t>
      </w:r>
      <w:r>
        <w:rPr>
          <w:rFonts w:hint="cs"/>
          <w:rtl/>
        </w:rPr>
        <w:t>.</w:t>
      </w:r>
      <w:bookmarkEnd w:id="6154"/>
    </w:p>
    <w:p w14:paraId="1728D887" w14:textId="77777777" w:rsidR="00533768" w:rsidRDefault="00533768" w:rsidP="00BF39B2">
      <w:pPr>
        <w:pStyle w:val="1"/>
        <w:rPr>
          <w:rtl/>
        </w:rPr>
      </w:pPr>
      <w:bookmarkStart w:id="6158" w:name="_Toc527108427"/>
      <w:bookmarkStart w:id="6159" w:name="_Toc19389722"/>
      <w:bookmarkStart w:id="6160" w:name="_Toc19393219"/>
      <w:r>
        <w:rPr>
          <w:rFonts w:hint="cs"/>
          <w:rtl/>
        </w:rPr>
        <w:t>פלוגתת הרמב"ן והראב"ד בחיוב הבדיקה בין שחיטה לשחיטה</w:t>
      </w:r>
      <w:bookmarkEnd w:id="6158"/>
      <w:bookmarkEnd w:id="6159"/>
      <w:bookmarkEnd w:id="6160"/>
    </w:p>
    <w:p w14:paraId="15076399" w14:textId="77777777" w:rsidR="00533768" w:rsidRPr="00197ACB" w:rsidRDefault="00533768" w:rsidP="006D6D32">
      <w:pPr>
        <w:pStyle w:val="a3"/>
      </w:pPr>
      <w:bookmarkStart w:id="6161" w:name="_Toc527108428"/>
      <w:bookmarkStart w:id="6162" w:name="_Toc19389723"/>
      <w:bookmarkStart w:id="6163" w:name="_Toc19393220"/>
      <w:r>
        <w:rPr>
          <w:rFonts w:hint="cs"/>
          <w:rtl/>
        </w:rPr>
        <w:t>הוכחת הראב"ד מרב כהנא דבדיקה בין שחיטה לשחיטה היא כבדיקה דלפני שחיטה</w:t>
      </w:r>
      <w:bookmarkEnd w:id="6161"/>
      <w:bookmarkEnd w:id="6162"/>
      <w:bookmarkEnd w:id="6163"/>
    </w:p>
    <w:p w14:paraId="5784B308" w14:textId="77777777" w:rsidR="00533768" w:rsidRDefault="00533768" w:rsidP="00223668">
      <w:pPr>
        <w:pStyle w:val="a0"/>
        <w:rPr>
          <w:rtl/>
        </w:rPr>
      </w:pPr>
      <w:bookmarkStart w:id="6164" w:name="_Ref527041865"/>
      <w:r w:rsidRPr="001636A0">
        <w:rPr>
          <w:rFonts w:hint="cs"/>
          <w:rtl/>
        </w:rPr>
        <w:t xml:space="preserve">וכתב </w:t>
      </w:r>
      <w:r w:rsidRPr="001636A0">
        <w:rPr>
          <w:rStyle w:val="af9"/>
          <w:rFonts w:hint="cs"/>
          <w:rtl/>
        </w:rPr>
        <w:t>הרמב"ן</w:t>
      </w:r>
      <w:r w:rsidRPr="001636A0">
        <w:rPr>
          <w:rFonts w:hint="cs"/>
          <w:rtl/>
        </w:rPr>
        <w:t xml:space="preserve"> </w:t>
      </w:r>
      <w:r w:rsidRPr="001636A0">
        <w:rPr>
          <w:rStyle w:val="af7"/>
          <w:rFonts w:eastAsia="Guttman Hodes" w:hint="cs"/>
          <w:rtl/>
        </w:rPr>
        <w:t>(</w:t>
      </w:r>
      <w:r>
        <w:rPr>
          <w:rStyle w:val="af7"/>
          <w:rFonts w:eastAsia="Guttman Hodes" w:hint="cs"/>
          <w:rtl/>
        </w:rPr>
        <w:t xml:space="preserve">י. </w:t>
      </w:r>
      <w:r w:rsidRPr="001636A0">
        <w:rPr>
          <w:rStyle w:val="af7"/>
          <w:rFonts w:eastAsia="Guttman Hodes" w:hint="cs"/>
          <w:rtl/>
        </w:rPr>
        <w:t>ד"ה ומיהו)</w:t>
      </w:r>
      <w:r w:rsidRPr="001636A0">
        <w:rPr>
          <w:rFonts w:hint="cs"/>
          <w:rtl/>
        </w:rPr>
        <w:t xml:space="preserve"> בשם </w:t>
      </w:r>
      <w:r w:rsidRPr="001636A0">
        <w:rPr>
          <w:rStyle w:val="af9"/>
          <w:rFonts w:hint="cs"/>
          <w:rtl/>
        </w:rPr>
        <w:t>הראב"ד</w:t>
      </w:r>
      <w:r w:rsidRPr="001636A0">
        <w:rPr>
          <w:rFonts w:hint="cs"/>
          <w:rtl/>
        </w:rPr>
        <w:t xml:space="preserve"> </w:t>
      </w:r>
      <w:r>
        <w:rPr>
          <w:rFonts w:hint="cs"/>
          <w:rtl/>
        </w:rPr>
        <w:t xml:space="preserve">דכדבריו מוכח </w:t>
      </w:r>
      <w:r w:rsidRPr="001636A0">
        <w:rPr>
          <w:rFonts w:hint="cs"/>
          <w:rtl/>
        </w:rPr>
        <w:t xml:space="preserve">מדברי רב כהנא שהצריך לבדוק בין שחיטה לשחיטה, ומקשה הגמ' דא"כ לרב חסדא צריך בדיקת חכם, ומשמע דאף לרב חסדא שתלינן לקולא, מ"מ הוא מצריך בדיקה, וכתב </w:t>
      </w:r>
      <w:r w:rsidRPr="001636A0">
        <w:rPr>
          <w:rStyle w:val="af9"/>
          <w:rFonts w:hint="cs"/>
          <w:rtl/>
        </w:rPr>
        <w:t>הרמב"ן</w:t>
      </w:r>
      <w:r w:rsidRPr="001636A0">
        <w:rPr>
          <w:rFonts w:hint="cs"/>
          <w:rtl/>
        </w:rPr>
        <w:t xml:space="preserve"> בשם </w:t>
      </w:r>
      <w:r w:rsidRPr="001636A0">
        <w:rPr>
          <w:rStyle w:val="af9"/>
          <w:rFonts w:hint="cs"/>
          <w:rtl/>
        </w:rPr>
        <w:t>הראב"ד</w:t>
      </w:r>
      <w:r w:rsidRPr="001636A0">
        <w:rPr>
          <w:rFonts w:hint="cs"/>
          <w:rtl/>
        </w:rPr>
        <w:t xml:space="preserve"> דמבואר דהבדיקה שבין שחיטה לשחיטה, היא כבדיקה דקודם שחיטה, ואפילו</w:t>
      </w:r>
      <w:r>
        <w:rPr>
          <w:rFonts w:hint="cs"/>
          <w:rtl/>
        </w:rPr>
        <w:t xml:space="preserve"> בדיעבד חייב לבדוק, דחיישינן שבשחיטה הראשונה נגע במפרקת, ויצא הסכין מחזקת בדוק, ולכן מקשה הגמ' דצריך בדיקת חכם, ועי' בדברי </w:t>
      </w:r>
      <w:r w:rsidRPr="00453D15">
        <w:rPr>
          <w:rStyle w:val="af9"/>
          <w:rFonts w:hint="cs"/>
          <w:rtl/>
        </w:rPr>
        <w:t>הגרעק"א</w:t>
      </w:r>
      <w:r>
        <w:rPr>
          <w:rFonts w:hint="cs"/>
          <w:rtl/>
        </w:rPr>
        <w:t xml:space="preserve"> </w:t>
      </w:r>
      <w:r w:rsidRPr="00453D15">
        <w:rPr>
          <w:rStyle w:val="af7"/>
          <w:rFonts w:eastAsia="Guttman Hodes" w:hint="cs"/>
          <w:rtl/>
        </w:rPr>
        <w:t xml:space="preserve">(עי' אות </w:t>
      </w:r>
      <w:r w:rsidRPr="00453D15">
        <w:rPr>
          <w:rStyle w:val="af7"/>
          <w:rFonts w:eastAsia="Guttman Hodes"/>
          <w:rtl/>
        </w:rPr>
        <w:fldChar w:fldCharType="begin"/>
      </w:r>
      <w:r w:rsidRPr="00453D15">
        <w:rPr>
          <w:rStyle w:val="af7"/>
          <w:rFonts w:eastAsia="Guttman Hodes"/>
          <w:rtl/>
        </w:rPr>
        <w:instrText xml:space="preserve"> </w:instrText>
      </w:r>
      <w:r w:rsidRPr="00453D15">
        <w:rPr>
          <w:rStyle w:val="af7"/>
          <w:rFonts w:eastAsia="Guttman Hodes" w:hint="cs"/>
        </w:rPr>
        <w:instrText>REF</w:instrText>
      </w:r>
      <w:r w:rsidRPr="00453D15">
        <w:rPr>
          <w:rStyle w:val="af7"/>
          <w:rFonts w:eastAsia="Guttman Hodes" w:hint="cs"/>
          <w:rtl/>
        </w:rPr>
        <w:instrText xml:space="preserve"> _</w:instrText>
      </w:r>
      <w:r w:rsidRPr="00453D15">
        <w:rPr>
          <w:rStyle w:val="af7"/>
          <w:rFonts w:eastAsia="Guttman Hodes" w:hint="cs"/>
        </w:rPr>
        <w:instrText>Ref527042718 \r \h</w:instrText>
      </w:r>
      <w:r w:rsidRPr="00453D15">
        <w:rPr>
          <w:rStyle w:val="af7"/>
          <w:rFonts w:eastAsia="Guttman Hodes"/>
          <w:rtl/>
        </w:rPr>
        <w:instrText xml:space="preserve"> </w:instrText>
      </w:r>
      <w:r w:rsidRPr="00453D15">
        <w:rPr>
          <w:rStyle w:val="af7"/>
          <w:rFonts w:eastAsia="Guttman Hodes"/>
          <w:rtl/>
        </w:rPr>
      </w:r>
      <w:r w:rsidRPr="00453D15">
        <w:rPr>
          <w:rStyle w:val="af7"/>
          <w:rFonts w:eastAsia="Guttman Hodes"/>
          <w:rtl/>
        </w:rPr>
        <w:fldChar w:fldCharType="separate"/>
      </w:r>
      <w:r w:rsidR="00345400">
        <w:rPr>
          <w:rStyle w:val="af7"/>
          <w:rFonts w:eastAsia="Guttman Hodes"/>
          <w:cs/>
        </w:rPr>
        <w:t>‎</w:t>
      </w:r>
      <w:r w:rsidR="00345400">
        <w:rPr>
          <w:rStyle w:val="af7"/>
          <w:rFonts w:eastAsia="Guttman Hodes"/>
          <w:rtl/>
        </w:rPr>
        <w:t>פז)</w:t>
      </w:r>
      <w:r w:rsidRPr="00453D15">
        <w:rPr>
          <w:rStyle w:val="af7"/>
          <w:rFonts w:eastAsia="Guttman Hodes"/>
          <w:rtl/>
        </w:rPr>
        <w:fldChar w:fldCharType="end"/>
      </w:r>
      <w:r>
        <w:rPr>
          <w:rFonts w:hint="cs"/>
          <w:rtl/>
        </w:rPr>
        <w:t>.</w:t>
      </w:r>
      <w:bookmarkEnd w:id="6149"/>
      <w:bookmarkEnd w:id="6164"/>
    </w:p>
    <w:p w14:paraId="18D51A91" w14:textId="77777777" w:rsidR="00533768" w:rsidRDefault="00533768" w:rsidP="006D6D32">
      <w:pPr>
        <w:pStyle w:val="a3"/>
        <w:rPr>
          <w:rtl/>
        </w:rPr>
      </w:pPr>
      <w:bookmarkStart w:id="6165" w:name="_Toc527108429"/>
      <w:bookmarkStart w:id="6166" w:name="_Toc19389724"/>
      <w:bookmarkStart w:id="6167" w:name="_Toc19393221"/>
      <w:r>
        <w:rPr>
          <w:rFonts w:hint="cs"/>
          <w:rtl/>
        </w:rPr>
        <w:t>דחיית הרמב"ן דמסקנת הגמ' דרב כהנא כלישנא בתרא דרב חסדא</w:t>
      </w:r>
      <w:bookmarkEnd w:id="6165"/>
      <w:bookmarkEnd w:id="6166"/>
      <w:bookmarkEnd w:id="6167"/>
    </w:p>
    <w:p w14:paraId="4268EC4A" w14:textId="77777777" w:rsidR="00533768" w:rsidRDefault="00533768" w:rsidP="00223668">
      <w:pPr>
        <w:pStyle w:val="a0"/>
        <w:rPr>
          <w:rtl/>
        </w:rPr>
      </w:pPr>
      <w:bookmarkStart w:id="6168" w:name="_Ref527025677"/>
      <w:r>
        <w:rPr>
          <w:rFonts w:hint="cs"/>
          <w:rtl/>
        </w:rPr>
        <w:t>ודחה</w:t>
      </w:r>
      <w:r>
        <w:rPr>
          <w:rStyle w:val="af9"/>
          <w:rtl/>
        </w:rPr>
        <w:t xml:space="preserve"> הרמב"ן</w:t>
      </w:r>
      <w:r>
        <w:rPr>
          <w:rFonts w:hint="cs"/>
          <w:rtl/>
        </w:rPr>
        <w:t xml:space="preserve"> את ראיית </w:t>
      </w:r>
      <w:r>
        <w:rPr>
          <w:rStyle w:val="af9"/>
          <w:rtl/>
        </w:rPr>
        <w:t>הראב"ד</w:t>
      </w:r>
      <w:r>
        <w:rPr>
          <w:rFonts w:hint="cs"/>
          <w:rtl/>
        </w:rPr>
        <w:t xml:space="preserve"> דמה שהעמידה הגמ' את דברי רב כהנא אף לדעת רב חסדא, הוא דיחוי בעלמא. אלא דכיון דקיי"ל כרב הונא בלא שיבר בה עצמות, ובנמצא פגום כל הבהמות אסורות, לכן אמר רב כהנא דצריך לבדוק בין שחיטה לשחיטה, דהיינו שאם ימצא פגום לא יפסלו כל הבהמות, אבל הסכין לא יצא מחזקתו והוא בחזקת בדוק, וכלישנא בתרא דלרב חסדא תלינן במפרקת של האחרונה, כיון שהסכין בחזקת בדוק.</w:t>
      </w:r>
      <w:bookmarkEnd w:id="6168"/>
    </w:p>
    <w:p w14:paraId="4E3DB4E3" w14:textId="77777777" w:rsidR="00533768" w:rsidRPr="006F0A1F" w:rsidRDefault="00533768" w:rsidP="006D6D32">
      <w:pPr>
        <w:pStyle w:val="a3"/>
      </w:pPr>
      <w:bookmarkStart w:id="6169" w:name="_Toc527108430"/>
      <w:bookmarkStart w:id="6170" w:name="_Toc19389725"/>
      <w:bookmarkStart w:id="6171" w:name="_Toc19393222"/>
      <w:r>
        <w:rPr>
          <w:rFonts w:hint="cs"/>
          <w:rtl/>
        </w:rPr>
        <w:t>ביאור הרמב"ן דמסקנת הגמ' דרב כהנא כרב הונא</w:t>
      </w:r>
      <w:bookmarkEnd w:id="6169"/>
      <w:bookmarkEnd w:id="6170"/>
      <w:bookmarkEnd w:id="6171"/>
    </w:p>
    <w:p w14:paraId="305158C9" w14:textId="77777777" w:rsidR="00533768" w:rsidRDefault="00533768" w:rsidP="00223668">
      <w:pPr>
        <w:pStyle w:val="a0"/>
        <w:rPr>
          <w:rtl/>
        </w:rPr>
      </w:pPr>
      <w:r>
        <w:rPr>
          <w:rFonts w:hint="cs"/>
          <w:rtl/>
        </w:rPr>
        <w:t xml:space="preserve">ועוד ביאר </w:t>
      </w:r>
      <w:r>
        <w:rPr>
          <w:rStyle w:val="af9"/>
          <w:rtl/>
        </w:rPr>
        <w:t>הרמב"ן</w:t>
      </w:r>
      <w:r>
        <w:rPr>
          <w:rFonts w:hint="cs"/>
          <w:rtl/>
        </w:rPr>
        <w:t xml:space="preserve"> דרב כהנא ס"ל כדעת רב הונא לגמרי, ואם לא בדק ואבד הסכין השחיטה פסולה, אבל לדידן דקיי"ל דבאבד השחיטה כשרה, אין חוששין לבדיקה בין שחיטה לשחיטה.</w:t>
      </w:r>
    </w:p>
    <w:p w14:paraId="3BC7D536" w14:textId="77777777" w:rsidR="00533768" w:rsidRDefault="00533768" w:rsidP="00BF39B2">
      <w:pPr>
        <w:pStyle w:val="1"/>
        <w:rPr>
          <w:rtl/>
        </w:rPr>
      </w:pPr>
      <w:bookmarkStart w:id="6172" w:name="_Toc527108431"/>
      <w:bookmarkStart w:id="6173" w:name="_Toc19389726"/>
      <w:bookmarkStart w:id="6174" w:name="_Toc19393223"/>
      <w:r>
        <w:rPr>
          <w:rFonts w:hint="cs"/>
          <w:rtl/>
        </w:rPr>
        <w:t>דעת הרמב"ן דלא חיישינן לספק נגיעה במפרקת</w:t>
      </w:r>
      <w:bookmarkEnd w:id="6172"/>
      <w:bookmarkEnd w:id="6173"/>
      <w:bookmarkEnd w:id="6174"/>
    </w:p>
    <w:p w14:paraId="7C4B4950" w14:textId="77777777" w:rsidR="00533768" w:rsidRPr="00AE3D25" w:rsidRDefault="00533768" w:rsidP="006D6D32">
      <w:pPr>
        <w:pStyle w:val="a3"/>
        <w:rPr>
          <w:rtl/>
        </w:rPr>
      </w:pPr>
      <w:bookmarkStart w:id="6175" w:name="_Toc527108432"/>
      <w:bookmarkStart w:id="6176" w:name="_Toc19389727"/>
      <w:bookmarkStart w:id="6177" w:name="_Toc19393224"/>
      <w:r>
        <w:rPr>
          <w:rFonts w:hint="cs"/>
          <w:rtl/>
        </w:rPr>
        <w:t>דברי הרמב"ן דהיה אפש"ל דלדידן באבד הסכין או שיבר עצמות חיישינן למפרקת הראשונה</w:t>
      </w:r>
      <w:bookmarkEnd w:id="6175"/>
      <w:bookmarkEnd w:id="6176"/>
      <w:bookmarkEnd w:id="6177"/>
    </w:p>
    <w:p w14:paraId="6F4873F3" w14:textId="77777777" w:rsidR="00533768" w:rsidRPr="00870FF9" w:rsidRDefault="00533768" w:rsidP="00223668">
      <w:pPr>
        <w:pStyle w:val="a0"/>
        <w:rPr>
          <w:rStyle w:val="afb"/>
        </w:rPr>
      </w:pPr>
      <w:r>
        <w:rPr>
          <w:rFonts w:hint="cs"/>
          <w:rtl/>
        </w:rPr>
        <w:t xml:space="preserve">אלא כתב </w:t>
      </w:r>
      <w:r w:rsidRPr="00AE3D25">
        <w:rPr>
          <w:rStyle w:val="af9"/>
          <w:rtl/>
        </w:rPr>
        <w:t>הרמב"ן</w:t>
      </w:r>
      <w:r w:rsidRPr="00AE3D25">
        <w:rPr>
          <w:rFonts w:hint="cs"/>
          <w:rtl/>
        </w:rPr>
        <w:t xml:space="preserve"> </w:t>
      </w:r>
      <w:r w:rsidRPr="00AE3D25">
        <w:rPr>
          <w:rStyle w:val="af7"/>
          <w:rFonts w:eastAsia="Guttman Hodes" w:hint="cs"/>
          <w:rtl/>
        </w:rPr>
        <w:t>(י. ד"ה ומיהו)</w:t>
      </w:r>
      <w:r w:rsidRPr="00AE3D25">
        <w:rPr>
          <w:rFonts w:hint="cs"/>
          <w:rtl/>
        </w:rPr>
        <w:t xml:space="preserve"> </w:t>
      </w:r>
      <w:r w:rsidRPr="005135CD">
        <w:rPr>
          <w:rStyle w:val="afb"/>
          <w:rFonts w:hint="cs"/>
          <w:rtl/>
        </w:rPr>
        <w:t>[לדידן דקיי"ל כרב חסדא בשיבר בה עצמות ובאבדה הסכין],</w:t>
      </w:r>
      <w:r>
        <w:rPr>
          <w:rFonts w:hint="cs"/>
          <w:rtl/>
        </w:rPr>
        <w:t xml:space="preserve"> , דאף דהיה אפש"ל ד</w:t>
      </w:r>
      <w:r w:rsidRPr="00AE3D25">
        <w:rPr>
          <w:rFonts w:hint="cs"/>
          <w:rtl/>
        </w:rPr>
        <w:t>בש</w:t>
      </w:r>
      <w:r>
        <w:rPr>
          <w:rFonts w:hint="cs"/>
          <w:rtl/>
        </w:rPr>
        <w:t>ו</w:t>
      </w:r>
      <w:r w:rsidRPr="00AE3D25">
        <w:rPr>
          <w:rFonts w:hint="cs"/>
          <w:rtl/>
        </w:rPr>
        <w:t>חט</w:t>
      </w:r>
      <w:r>
        <w:rPr>
          <w:rFonts w:hint="cs"/>
          <w:rtl/>
        </w:rPr>
        <w:t xml:space="preserve"> כמה בהמות, ואבד הסכין או ששיבר בה עצמות דהראשונה כשרה והאחרות טריפות, דחיישינן שמא נפגמה במפרקת של הבהמה הראשונה. </w:t>
      </w:r>
      <w:r w:rsidRPr="00870FF9">
        <w:rPr>
          <w:rStyle w:val="afb"/>
          <w:rFonts w:hint="cs"/>
          <w:rtl/>
        </w:rPr>
        <w:t>[כל"ק דלא תלינן במפרקת האחרונה].</w:t>
      </w:r>
    </w:p>
    <w:p w14:paraId="49953513" w14:textId="77777777" w:rsidR="00533768" w:rsidRDefault="00533768" w:rsidP="006D6D32">
      <w:pPr>
        <w:pStyle w:val="a3"/>
        <w:rPr>
          <w:rtl/>
        </w:rPr>
      </w:pPr>
      <w:bookmarkStart w:id="6178" w:name="_Toc527108433"/>
      <w:bookmarkStart w:id="6179" w:name="_Toc19389728"/>
      <w:bookmarkStart w:id="6180" w:name="_Toc19393225"/>
      <w:r>
        <w:rPr>
          <w:rFonts w:hint="cs"/>
          <w:rtl/>
        </w:rPr>
        <w:t>דחיית הרמב"ן דקיי"ל כרב חסדא דבהמה לא איתרעי ואין ספק נגיעת מפרקת מוציא מחזקת הסכין</w:t>
      </w:r>
      <w:bookmarkEnd w:id="6178"/>
      <w:bookmarkEnd w:id="6179"/>
      <w:bookmarkEnd w:id="6180"/>
    </w:p>
    <w:p w14:paraId="7C220738" w14:textId="77777777" w:rsidR="00533768" w:rsidRDefault="00533768" w:rsidP="00223668">
      <w:pPr>
        <w:pStyle w:val="a0"/>
        <w:rPr>
          <w:rtl/>
        </w:rPr>
      </w:pPr>
      <w:r>
        <w:rPr>
          <w:rFonts w:hint="cs"/>
          <w:rtl/>
        </w:rPr>
        <w:t xml:space="preserve">מ"מ כתב </w:t>
      </w:r>
      <w:r>
        <w:rPr>
          <w:rStyle w:val="af9"/>
          <w:rtl/>
        </w:rPr>
        <w:t>הרמב"ן</w:t>
      </w:r>
      <w:r>
        <w:rPr>
          <w:rFonts w:hint="cs"/>
          <w:rtl/>
        </w:rPr>
        <w:t xml:space="preserve"> דמסתברא דכולם כשרות, דהא יתכן שלא נגע במפרקת כלל, דכיון דבשיבר בה עצמות קיי"ל כרב חסדא, א"כ מוכח דלא סבירא לן כסברת רב הונא דבהמה בחזקת איסור עומדת, אלא קיי"ל כסברת רב חסדא דבהמה לא איתרעי, וא"כ אין ספק נגיעה במפרקת מוציא מידי ודאי דסכין בדוק, וכעי"ז </w:t>
      </w:r>
      <w:r w:rsidRPr="00DD689C">
        <w:rPr>
          <w:rStyle w:val="af9"/>
          <w:rFonts w:hint="cs"/>
          <w:rtl/>
        </w:rPr>
        <w:t xml:space="preserve">הרשב"א </w:t>
      </w:r>
      <w:r w:rsidRPr="00DD689C">
        <w:rPr>
          <w:rStyle w:val="af7"/>
          <w:rFonts w:eastAsia="Guttman Hodes" w:hint="cs"/>
          <w:rtl/>
        </w:rPr>
        <w:t>(ד"ה ורבינו)</w:t>
      </w:r>
      <w:r w:rsidRPr="00DD689C">
        <w:rPr>
          <w:rFonts w:hint="cs"/>
          <w:rtl/>
        </w:rPr>
        <w:t xml:space="preserve"> בשם </w:t>
      </w:r>
      <w:r w:rsidRPr="00DD689C">
        <w:rPr>
          <w:rStyle w:val="af9"/>
          <w:rFonts w:hint="cs"/>
          <w:rtl/>
        </w:rPr>
        <w:t>רבו</w:t>
      </w:r>
      <w:r>
        <w:rPr>
          <w:rFonts w:hint="cs"/>
          <w:rtl/>
        </w:rPr>
        <w:t>.</w:t>
      </w:r>
    </w:p>
    <w:p w14:paraId="407BF012" w14:textId="77777777" w:rsidR="00533768" w:rsidRDefault="00533768" w:rsidP="00BF39B2">
      <w:pPr>
        <w:pStyle w:val="1"/>
        <w:rPr>
          <w:rtl/>
        </w:rPr>
      </w:pPr>
      <w:bookmarkStart w:id="6181" w:name="_Toc527108434"/>
      <w:bookmarkStart w:id="6182" w:name="_Toc19389729"/>
      <w:bookmarkStart w:id="6183" w:name="_Toc19393226"/>
      <w:r>
        <w:rPr>
          <w:rFonts w:hint="cs"/>
          <w:rtl/>
        </w:rPr>
        <w:t>דעת הרמב"ן דבידוע שנגע במפרקת האחרונות אסורות</w:t>
      </w:r>
      <w:bookmarkEnd w:id="6181"/>
      <w:bookmarkEnd w:id="6182"/>
      <w:bookmarkEnd w:id="6183"/>
    </w:p>
    <w:p w14:paraId="6DB5BEC6" w14:textId="77777777" w:rsidR="00533768" w:rsidRDefault="00533768" w:rsidP="006D6D32">
      <w:pPr>
        <w:pStyle w:val="a3"/>
        <w:rPr>
          <w:rtl/>
        </w:rPr>
      </w:pPr>
      <w:bookmarkStart w:id="6184" w:name="_Toc527108435"/>
      <w:bookmarkStart w:id="6185" w:name="_Toc19389730"/>
      <w:bookmarkStart w:id="6186" w:name="_Toc19393227"/>
      <w:r>
        <w:rPr>
          <w:rFonts w:hint="cs"/>
          <w:rtl/>
        </w:rPr>
        <w:t>דברי הרמב"ן דבידוע שנגע במפרקת ואבד הסכין האחרונות אסורות</w:t>
      </w:r>
      <w:bookmarkEnd w:id="6184"/>
      <w:bookmarkEnd w:id="6185"/>
      <w:bookmarkEnd w:id="6186"/>
    </w:p>
    <w:p w14:paraId="7064A2C5" w14:textId="77777777" w:rsidR="00533768" w:rsidRDefault="00533768" w:rsidP="00223668">
      <w:pPr>
        <w:pStyle w:val="a0"/>
        <w:rPr>
          <w:rtl/>
        </w:rPr>
      </w:pPr>
      <w:bookmarkStart w:id="6187" w:name="_Ref527018565"/>
      <w:r>
        <w:rPr>
          <w:rFonts w:hint="cs"/>
          <w:rtl/>
        </w:rPr>
        <w:t xml:space="preserve">אך כתב </w:t>
      </w:r>
      <w:r w:rsidRPr="009E0D5D">
        <w:rPr>
          <w:rStyle w:val="af9"/>
          <w:rFonts w:hint="cs"/>
          <w:rtl/>
        </w:rPr>
        <w:t>הרמב"ן</w:t>
      </w:r>
      <w:r>
        <w:rPr>
          <w:rFonts w:hint="cs"/>
          <w:rtl/>
        </w:rPr>
        <w:t xml:space="preserve"> דאם ודאי נגע הסכין במפרקת של אחת מהבהמות, ואבד הסכין או ששיבר בה עצמות, כל הבהמות ששחט אחר הנגיעה במפרקת אסורות.</w:t>
      </w:r>
      <w:bookmarkEnd w:id="6187"/>
    </w:p>
    <w:p w14:paraId="5FC54EAF" w14:textId="77777777" w:rsidR="00533768" w:rsidRDefault="00533768" w:rsidP="006D6D32">
      <w:pPr>
        <w:pStyle w:val="a3"/>
        <w:rPr>
          <w:rtl/>
        </w:rPr>
      </w:pPr>
      <w:bookmarkStart w:id="6188" w:name="_Toc527108436"/>
      <w:bookmarkStart w:id="6189" w:name="_Toc19389731"/>
      <w:bookmarkStart w:id="6190" w:name="_Toc19393228"/>
      <w:r>
        <w:rPr>
          <w:rFonts w:hint="cs"/>
          <w:rtl/>
        </w:rPr>
        <w:t>ביאור הר"ן ברמב"ן דלחומרא חיישינן לסברת רב חסדא דנגיעת המפרקת כשבירת עצמות</w:t>
      </w:r>
      <w:bookmarkEnd w:id="6188"/>
      <w:bookmarkEnd w:id="6189"/>
      <w:bookmarkEnd w:id="6190"/>
    </w:p>
    <w:p w14:paraId="2F6877CD" w14:textId="77777777" w:rsidR="00533768" w:rsidRPr="007F11B6" w:rsidRDefault="00533768" w:rsidP="00223668">
      <w:pPr>
        <w:pStyle w:val="a0"/>
        <w:rPr>
          <w:rtl/>
        </w:rPr>
      </w:pPr>
      <w:r>
        <w:rPr>
          <w:rFonts w:hint="cs"/>
          <w:rtl/>
        </w:rPr>
        <w:t xml:space="preserve">וביאר </w:t>
      </w:r>
      <w:r w:rsidRPr="00F22764">
        <w:rPr>
          <w:rStyle w:val="af9"/>
          <w:rFonts w:hint="cs"/>
          <w:rtl/>
        </w:rPr>
        <w:t>הר"ן על הרי"ף</w:t>
      </w:r>
      <w:r>
        <w:rPr>
          <w:rFonts w:hint="cs"/>
          <w:rtl/>
        </w:rPr>
        <w:t xml:space="preserve"> </w:t>
      </w:r>
      <w:r w:rsidRPr="00F22764">
        <w:rPr>
          <w:rStyle w:val="af7"/>
          <w:rFonts w:eastAsia="Guttman Hodes" w:hint="cs"/>
          <w:rtl/>
        </w:rPr>
        <w:t>(ג. ד"ה והלכתא)</w:t>
      </w:r>
      <w:r>
        <w:rPr>
          <w:rFonts w:hint="cs"/>
          <w:rtl/>
        </w:rPr>
        <w:t xml:space="preserve"> בדעת </w:t>
      </w:r>
      <w:r w:rsidRPr="00F22764">
        <w:rPr>
          <w:rStyle w:val="af9"/>
          <w:rFonts w:hint="cs"/>
          <w:rtl/>
        </w:rPr>
        <w:t>הרמב"ן</w:t>
      </w:r>
      <w:r>
        <w:rPr>
          <w:rFonts w:hint="cs"/>
          <w:rtl/>
        </w:rPr>
        <w:t xml:space="preserve"> דכיון דקיי"ל כרב חסדא בשיבר בה עצמות, א"כ סבירא לן דנגיעת המפרקת היא כשבירת עצמות, וכתב </w:t>
      </w:r>
      <w:r w:rsidRPr="00F22764">
        <w:rPr>
          <w:rStyle w:val="af9"/>
          <w:rFonts w:hint="cs"/>
          <w:rtl/>
        </w:rPr>
        <w:t>הר"ן על הרי"ף</w:t>
      </w:r>
      <w:r>
        <w:rPr>
          <w:rFonts w:hint="cs"/>
          <w:rtl/>
        </w:rPr>
        <w:t xml:space="preserve"> דס"ל </w:t>
      </w:r>
      <w:r w:rsidRPr="00F22764">
        <w:rPr>
          <w:rStyle w:val="af9"/>
          <w:rFonts w:hint="cs"/>
          <w:rtl/>
        </w:rPr>
        <w:t>להרמב"ן</w:t>
      </w:r>
      <w:r>
        <w:rPr>
          <w:rFonts w:hint="cs"/>
          <w:rtl/>
        </w:rPr>
        <w:t xml:space="preserve"> דלקולא לא סמכינן על סברת רב חסדא, דתלה במפרקת אף בשחיטת בהמה אחת, אבל לחומרא חיישינן לסברא זו, ולכן בשחט הרבה בהמות ונגע במפרקת, אמרינן דלחומרא נגיעת המפרקת היא כשבירת עצמות, וודאי דהמפרקת פגמה, ויצא הסכין מחזקת בדוק, וחשיב ששחט בסכין פגום.</w:t>
      </w:r>
    </w:p>
    <w:p w14:paraId="55C8C059" w14:textId="77777777" w:rsidR="00533768" w:rsidRDefault="00533768" w:rsidP="006D6D32">
      <w:pPr>
        <w:pStyle w:val="a3"/>
        <w:rPr>
          <w:rtl/>
        </w:rPr>
      </w:pPr>
      <w:bookmarkStart w:id="6191" w:name="_Toc527108437"/>
      <w:bookmarkStart w:id="6192" w:name="_Toc19389732"/>
      <w:bookmarkStart w:id="6193" w:name="_Toc19393229"/>
      <w:r>
        <w:rPr>
          <w:rFonts w:hint="cs"/>
          <w:rtl/>
        </w:rPr>
        <w:t>ביאור הגר"א דלדידן אין חילוק אם הריעותא בבהמה או בסכין ודלא כרב חסדא</w:t>
      </w:r>
      <w:bookmarkEnd w:id="6191"/>
      <w:bookmarkEnd w:id="6192"/>
      <w:bookmarkEnd w:id="6193"/>
    </w:p>
    <w:p w14:paraId="1187FE1C" w14:textId="77777777" w:rsidR="00533768" w:rsidRDefault="00533768" w:rsidP="00223668">
      <w:pPr>
        <w:pStyle w:val="a0"/>
        <w:rPr>
          <w:rtl/>
        </w:rPr>
      </w:pPr>
      <w:r w:rsidRPr="00F84A23">
        <w:rPr>
          <w:rFonts w:hint="cs"/>
          <w:rtl/>
        </w:rPr>
        <w:t xml:space="preserve">וכן פסק </w:t>
      </w:r>
      <w:r w:rsidRPr="00F84A23">
        <w:rPr>
          <w:rStyle w:val="af9"/>
          <w:rFonts w:hint="cs"/>
          <w:rtl/>
        </w:rPr>
        <w:t>בשו"ע</w:t>
      </w:r>
      <w:r w:rsidRPr="00F84A23">
        <w:rPr>
          <w:rFonts w:hint="cs"/>
          <w:rtl/>
        </w:rPr>
        <w:t xml:space="preserve"> </w:t>
      </w:r>
      <w:r w:rsidRPr="00F84A23">
        <w:rPr>
          <w:rStyle w:val="af7"/>
          <w:rFonts w:eastAsia="Guttman Hodes" w:hint="cs"/>
          <w:rtl/>
        </w:rPr>
        <w:t xml:space="preserve">(י"ח י"ב) </w:t>
      </w:r>
      <w:r w:rsidRPr="00F84A23">
        <w:rPr>
          <w:rFonts w:hint="cs"/>
          <w:rtl/>
        </w:rPr>
        <w:t>דהיכא שנגע במפרקת של אחת מהבהמות, ונאבד הסכין, צריך</w:t>
      </w:r>
      <w:r>
        <w:rPr>
          <w:rFonts w:hint="cs"/>
          <w:rtl/>
        </w:rPr>
        <w:t xml:space="preserve"> להחמיר ולחוש שמא נפגם במפרקת, וכל הבהמות ששחט אחר בהמה זו אסורות, וביאר </w:t>
      </w:r>
      <w:r w:rsidRPr="00AB1F2F">
        <w:rPr>
          <w:rStyle w:val="af9"/>
          <w:rFonts w:hint="cs"/>
          <w:rtl/>
        </w:rPr>
        <w:t>הגר"א</w:t>
      </w:r>
      <w:r>
        <w:rPr>
          <w:rFonts w:hint="cs"/>
          <w:rtl/>
        </w:rPr>
        <w:t xml:space="preserve"> </w:t>
      </w:r>
      <w:r w:rsidRPr="00AB1F2F">
        <w:rPr>
          <w:rStyle w:val="af7"/>
          <w:rFonts w:eastAsia="Guttman Hodes" w:hint="cs"/>
          <w:rtl/>
        </w:rPr>
        <w:t>(י"ח י"ז)</w:t>
      </w:r>
      <w:r>
        <w:rPr>
          <w:rFonts w:hint="cs"/>
          <w:rtl/>
        </w:rPr>
        <w:t xml:space="preserve"> דאף דלא קיי"ל כרב חסדא דהמפרקת פוגמת, מ"מ לחומרא חיישינן, דלדידן אין חילוק אם הריעותא היה בבהמה או בסכין, ודלא כסברת רב חסדא דבהמה לא איתרעי.</w:t>
      </w:r>
    </w:p>
    <w:p w14:paraId="292C419A" w14:textId="77777777" w:rsidR="00533768" w:rsidRPr="00123CE8" w:rsidRDefault="00533768" w:rsidP="00BF39B2">
      <w:pPr>
        <w:pStyle w:val="1"/>
        <w:rPr>
          <w:rtl/>
        </w:rPr>
      </w:pPr>
      <w:bookmarkStart w:id="6194" w:name="_Toc527108438"/>
      <w:bookmarkStart w:id="6195" w:name="_Toc19389733"/>
      <w:bookmarkStart w:id="6196" w:name="_Toc19393230"/>
      <w:r>
        <w:rPr>
          <w:rFonts w:hint="cs"/>
          <w:rtl/>
        </w:rPr>
        <w:t>דברי הבעה"מ דאף בהרבה בהמות לא חיישינן למפרקת</w:t>
      </w:r>
      <w:bookmarkEnd w:id="6194"/>
      <w:bookmarkEnd w:id="6195"/>
      <w:bookmarkEnd w:id="6196"/>
    </w:p>
    <w:p w14:paraId="21DD8B16" w14:textId="77777777" w:rsidR="00533768" w:rsidRDefault="00533768" w:rsidP="006D6D32">
      <w:pPr>
        <w:pStyle w:val="a3"/>
        <w:rPr>
          <w:rtl/>
        </w:rPr>
      </w:pPr>
      <w:bookmarkStart w:id="6197" w:name="_Toc527108439"/>
      <w:bookmarkStart w:id="6198" w:name="_Toc19389734"/>
      <w:bookmarkStart w:id="6199" w:name="_Toc19393231"/>
      <w:r>
        <w:rPr>
          <w:rFonts w:hint="cs"/>
          <w:rtl/>
        </w:rPr>
        <w:t>דברי הבעה"מ דכיון שלא מצוי ששובר את המפרקת בכח לא חיישינן לפגימת המפרקת</w:t>
      </w:r>
      <w:bookmarkEnd w:id="6197"/>
      <w:bookmarkEnd w:id="6198"/>
      <w:bookmarkEnd w:id="6199"/>
    </w:p>
    <w:p w14:paraId="4B2D922C" w14:textId="77777777" w:rsidR="00533768" w:rsidRDefault="00533768" w:rsidP="00223668">
      <w:pPr>
        <w:pStyle w:val="a0"/>
        <w:rPr>
          <w:rtl/>
        </w:rPr>
      </w:pPr>
      <w:bookmarkStart w:id="6200" w:name="_Ref527103824"/>
      <w:r>
        <w:rPr>
          <w:rFonts w:hint="cs"/>
          <w:rtl/>
        </w:rPr>
        <w:t xml:space="preserve">כתב </w:t>
      </w:r>
      <w:r w:rsidRPr="00D4377D">
        <w:rPr>
          <w:rStyle w:val="af9"/>
          <w:rFonts w:hint="cs"/>
          <w:rtl/>
        </w:rPr>
        <w:t>הבעה"מ</w:t>
      </w:r>
      <w:r>
        <w:rPr>
          <w:rFonts w:hint="cs"/>
          <w:rtl/>
        </w:rPr>
        <w:t xml:space="preserve"> </w:t>
      </w:r>
      <w:r w:rsidRPr="00D4377D">
        <w:rPr>
          <w:rStyle w:val="af7"/>
          <w:rFonts w:eastAsia="Guttman Hodes" w:hint="cs"/>
          <w:rtl/>
        </w:rPr>
        <w:t>(ג: מדפי הרי"ף ד"ה ואסיקנא)</w:t>
      </w:r>
      <w:r>
        <w:rPr>
          <w:rFonts w:hint="cs"/>
          <w:rtl/>
        </w:rPr>
        <w:t xml:space="preserve"> דבדלא שיבר בה עצמות קיי"ל כרב הונא דאסורה, ולא תלינן בעצם דמפרקת כיון שהדרך רק לנגוע בה בסכין בהולכה והבאה, ולא לשוברה בכח ולכן לא תלינן שהמפרקת פגמה, והא דהגמ' העמידה את דברי רב כהנא שהצריך בדיקה בין שחיטה לשחיטה כרב חסדא, הוא דיחוי בעלמא.</w:t>
      </w:r>
      <w:bookmarkEnd w:id="6200"/>
    </w:p>
    <w:p w14:paraId="2E4D9141" w14:textId="77777777" w:rsidR="00533768" w:rsidRPr="00DB3793" w:rsidRDefault="00533768" w:rsidP="006D6D32">
      <w:pPr>
        <w:pStyle w:val="a3"/>
        <w:rPr>
          <w:rtl/>
        </w:rPr>
      </w:pPr>
      <w:bookmarkStart w:id="6201" w:name="_Toc527108440"/>
      <w:bookmarkStart w:id="6202" w:name="_Toc19389735"/>
      <w:bookmarkStart w:id="6203" w:name="_Toc19393232"/>
      <w:r>
        <w:rPr>
          <w:rFonts w:hint="cs"/>
          <w:rtl/>
        </w:rPr>
        <w:t>דברי הבעה"מ דאף בהרבה בהמות הבדיקה היא לזריזות בעלמא כיון שבדק תחילה</w:t>
      </w:r>
      <w:bookmarkEnd w:id="6201"/>
      <w:bookmarkEnd w:id="6202"/>
      <w:bookmarkEnd w:id="6203"/>
    </w:p>
    <w:p w14:paraId="70CA3A56" w14:textId="77777777" w:rsidR="00533768" w:rsidRDefault="00533768" w:rsidP="00223668">
      <w:pPr>
        <w:pStyle w:val="a0"/>
        <w:rPr>
          <w:rtl/>
        </w:rPr>
      </w:pPr>
      <w:bookmarkStart w:id="6204" w:name="_Ref527104144"/>
      <w:r>
        <w:rPr>
          <w:rFonts w:hint="cs"/>
          <w:rtl/>
        </w:rPr>
        <w:t xml:space="preserve">וביאר </w:t>
      </w:r>
      <w:r w:rsidRPr="00D4377D">
        <w:rPr>
          <w:rStyle w:val="af9"/>
          <w:rFonts w:hint="cs"/>
          <w:rtl/>
        </w:rPr>
        <w:t>הבעה"מ</w:t>
      </w:r>
      <w:r>
        <w:rPr>
          <w:rFonts w:hint="cs"/>
          <w:rtl/>
        </w:rPr>
        <w:t xml:space="preserve"> דהא דאמר רב כהנא שצריך לבדוק בין כל שחיטה לשחיטה, אינו מדינא אלא הוא זריזות בעלמא שלא יפול ספק בהרבה בהמות, דחיישינן שע"י שנוגע הסכין במפרקת הרבה פעמים, הוא יכול להפגם, אבל בשחיטה של בהמה אחת, א"צ לבדוק אחריה, וגם בשחיטת הרבה בהמות אם לא בדק ביניהם ולא בדק אחריהם, מ"מ השחיטה כשרה כיון שבדק בתחילה, וכ"כ </w:t>
      </w:r>
      <w:r>
        <w:rPr>
          <w:rStyle w:val="af9"/>
          <w:rFonts w:hint="cs"/>
          <w:rtl/>
        </w:rPr>
        <w:t>המאירי</w:t>
      </w:r>
      <w:r w:rsidRPr="0020747B">
        <w:rPr>
          <w:rFonts w:hint="cs"/>
          <w:rtl/>
        </w:rPr>
        <w:t xml:space="preserve"> </w:t>
      </w:r>
      <w:r>
        <w:rPr>
          <w:rStyle w:val="af7"/>
          <w:rFonts w:eastAsia="Guttman Hodes" w:hint="cs"/>
          <w:rtl/>
        </w:rPr>
        <w:t xml:space="preserve">(עי' </w:t>
      </w:r>
      <w:r w:rsidRPr="00942A13">
        <w:rPr>
          <w:rStyle w:val="af7"/>
          <w:rFonts w:eastAsia="Guttman Hodes" w:hint="cs"/>
          <w:rtl/>
        </w:rPr>
        <w:t xml:space="preserve">אות </w:t>
      </w:r>
      <w:r w:rsidRPr="00942A13">
        <w:rPr>
          <w:rStyle w:val="af7"/>
          <w:rFonts w:eastAsia="Guttman Hodes"/>
          <w:rtl/>
        </w:rPr>
        <w:fldChar w:fldCharType="begin"/>
      </w:r>
      <w:r w:rsidRPr="00942A13">
        <w:rPr>
          <w:rStyle w:val="af7"/>
          <w:rFonts w:eastAsia="Guttman Hodes"/>
          <w:rtl/>
        </w:rPr>
        <w:instrText xml:space="preserve"> </w:instrText>
      </w:r>
      <w:r w:rsidRPr="00942A13">
        <w:rPr>
          <w:rStyle w:val="af7"/>
          <w:rFonts w:eastAsia="Guttman Hodes" w:hint="cs"/>
        </w:rPr>
        <w:instrText>REF</w:instrText>
      </w:r>
      <w:r w:rsidRPr="00942A13">
        <w:rPr>
          <w:rStyle w:val="af7"/>
          <w:rFonts w:eastAsia="Guttman Hodes" w:hint="cs"/>
          <w:rtl/>
        </w:rPr>
        <w:instrText xml:space="preserve"> _</w:instrText>
      </w:r>
      <w:r w:rsidRPr="00942A13">
        <w:rPr>
          <w:rStyle w:val="af7"/>
          <w:rFonts w:eastAsia="Guttman Hodes" w:hint="cs"/>
        </w:rPr>
        <w:instrText>Ref527104250 \r \h</w:instrText>
      </w:r>
      <w:r w:rsidRPr="00942A13">
        <w:rPr>
          <w:rStyle w:val="af7"/>
          <w:rFonts w:eastAsia="Guttman Hodes"/>
          <w:rtl/>
        </w:rPr>
        <w:instrText xml:space="preserve"> </w:instrText>
      </w:r>
      <w:r w:rsidRPr="00942A13">
        <w:rPr>
          <w:rStyle w:val="af7"/>
          <w:rFonts w:eastAsia="Guttman Hodes"/>
          <w:rtl/>
        </w:rPr>
      </w:r>
      <w:r w:rsidRPr="00942A13">
        <w:rPr>
          <w:rStyle w:val="af7"/>
          <w:rFonts w:eastAsia="Guttman Hodes"/>
          <w:rtl/>
        </w:rPr>
        <w:fldChar w:fldCharType="separate"/>
      </w:r>
      <w:r w:rsidR="00345400">
        <w:rPr>
          <w:rStyle w:val="af7"/>
          <w:rFonts w:eastAsia="Guttman Hodes"/>
          <w:cs/>
        </w:rPr>
        <w:t>‎</w:t>
      </w:r>
      <w:r w:rsidR="00345400">
        <w:rPr>
          <w:rStyle w:val="af7"/>
          <w:rFonts w:eastAsia="Guttman Hodes"/>
          <w:rtl/>
        </w:rPr>
        <w:t>עח)</w:t>
      </w:r>
      <w:r w:rsidRPr="00942A13">
        <w:rPr>
          <w:rStyle w:val="af7"/>
          <w:rFonts w:eastAsia="Guttman Hodes"/>
          <w:rtl/>
        </w:rPr>
        <w:fldChar w:fldCharType="end"/>
      </w:r>
      <w:r>
        <w:rPr>
          <w:rFonts w:hint="cs"/>
          <w:rtl/>
        </w:rPr>
        <w:t>.</w:t>
      </w:r>
      <w:bookmarkEnd w:id="6204"/>
    </w:p>
    <w:p w14:paraId="192CD946" w14:textId="77777777" w:rsidR="00533768" w:rsidRDefault="00533768" w:rsidP="00BF39B2">
      <w:pPr>
        <w:pStyle w:val="1"/>
        <w:rPr>
          <w:rtl/>
        </w:rPr>
      </w:pPr>
      <w:bookmarkStart w:id="6205" w:name="_Toc527108441"/>
      <w:bookmarkStart w:id="6206" w:name="_Toc19389736"/>
      <w:bookmarkStart w:id="6207" w:name="_Toc19393233"/>
      <w:r>
        <w:rPr>
          <w:rFonts w:hint="cs"/>
          <w:rtl/>
        </w:rPr>
        <w:t>דברי הרשב"א דנגיעת מפרקת אינה כשבירת עצמות</w:t>
      </w:r>
      <w:bookmarkEnd w:id="6205"/>
      <w:bookmarkEnd w:id="6206"/>
      <w:bookmarkEnd w:id="6207"/>
    </w:p>
    <w:p w14:paraId="689818C9" w14:textId="77777777" w:rsidR="00533768" w:rsidRPr="00054880" w:rsidRDefault="00533768" w:rsidP="006D6D32">
      <w:pPr>
        <w:pStyle w:val="a3"/>
        <w:rPr>
          <w:rtl/>
        </w:rPr>
      </w:pPr>
      <w:bookmarkStart w:id="6208" w:name="_Toc527108442"/>
      <w:bookmarkStart w:id="6209" w:name="_Toc19389737"/>
      <w:bookmarkStart w:id="6210" w:name="_Toc19393234"/>
      <w:r>
        <w:rPr>
          <w:rFonts w:hint="cs"/>
          <w:rtl/>
        </w:rPr>
        <w:t>דברי הרשב"א בדעת הבעה"מ דאף בנגע במפרקת לא תלינן לחומרא בכמה בהמות</w:t>
      </w:r>
      <w:bookmarkEnd w:id="6208"/>
      <w:bookmarkEnd w:id="6209"/>
      <w:bookmarkEnd w:id="6210"/>
    </w:p>
    <w:p w14:paraId="2DFBC65D" w14:textId="77777777" w:rsidR="00533768" w:rsidRDefault="00533768" w:rsidP="00223668">
      <w:pPr>
        <w:pStyle w:val="a0"/>
        <w:rPr>
          <w:rtl/>
        </w:rPr>
      </w:pPr>
      <w:bookmarkStart w:id="6211" w:name="_Ref527018649"/>
      <w:r>
        <w:rPr>
          <w:rFonts w:hint="cs"/>
          <w:rtl/>
        </w:rPr>
        <w:t xml:space="preserve">וכתב </w:t>
      </w:r>
      <w:r w:rsidRPr="006719FB">
        <w:rPr>
          <w:rStyle w:val="af9"/>
          <w:rFonts w:hint="cs"/>
          <w:rtl/>
        </w:rPr>
        <w:t>הרשב"א</w:t>
      </w:r>
      <w:r>
        <w:rPr>
          <w:rFonts w:hint="cs"/>
          <w:rtl/>
        </w:rPr>
        <w:t xml:space="preserve"> </w:t>
      </w:r>
      <w:r>
        <w:rPr>
          <w:rStyle w:val="af9"/>
          <w:rtl/>
        </w:rPr>
        <w:t>בתוה"ב</w:t>
      </w:r>
      <w:r>
        <w:rPr>
          <w:rFonts w:hint="cs"/>
          <w:rtl/>
        </w:rPr>
        <w:t xml:space="preserve"> </w:t>
      </w:r>
      <w:r>
        <w:rPr>
          <w:rStyle w:val="af7"/>
          <w:rFonts w:eastAsia="Guttman Hodes" w:hint="cs"/>
          <w:rtl/>
        </w:rPr>
        <w:t>(ב"א ש"ב דף יז. מדה"ס)</w:t>
      </w:r>
      <w:r>
        <w:rPr>
          <w:rtl/>
        </w:rPr>
        <w:t xml:space="preserve"> </w:t>
      </w:r>
      <w:r>
        <w:rPr>
          <w:rFonts w:hint="cs"/>
          <w:rtl/>
        </w:rPr>
        <w:t xml:space="preserve">דלדעת </w:t>
      </w:r>
      <w:r w:rsidRPr="00B04527">
        <w:rPr>
          <w:rStyle w:val="af9"/>
          <w:rFonts w:hint="cs"/>
          <w:rtl/>
        </w:rPr>
        <w:t>הבעה"מ</w:t>
      </w:r>
      <w:r>
        <w:rPr>
          <w:rFonts w:hint="cs"/>
          <w:rtl/>
        </w:rPr>
        <w:t xml:space="preserve"> </w:t>
      </w:r>
      <w:r w:rsidRPr="007202A0">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Ref527104144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עג)</w:t>
      </w:r>
      <w:r>
        <w:rPr>
          <w:rStyle w:val="af7"/>
          <w:rFonts w:eastAsia="Guttman Hodes"/>
          <w:rtl/>
        </w:rPr>
        <w:fldChar w:fldCharType="end"/>
      </w:r>
      <w:r>
        <w:rPr>
          <w:rStyle w:val="af7"/>
          <w:rFonts w:eastAsia="Guttman Hodes" w:hint="cs"/>
          <w:rtl/>
        </w:rPr>
        <w:t xml:space="preserve"> </w:t>
      </w:r>
      <w:r>
        <w:rPr>
          <w:rFonts w:hint="cs"/>
          <w:rtl/>
        </w:rPr>
        <w:t xml:space="preserve">כיון דקיי"ל כלישנא בתרא דרב יוסף דלרב חסדא תלינן במפרקת האחרונה, ורב כהנא הצריך בדיקה רק מחמת עצה טובה, לכן בשחט הרבה בהמות, ונאבד הסכין או ששיבר בה עצמות, אף אם נגע הסכין במפרקת מותר, דאין המפרקת פוגמת בדרך הולכה והבאה יותר מאשר העור, ועי' בדברי </w:t>
      </w:r>
      <w:r w:rsidRPr="00AC1812">
        <w:rPr>
          <w:rStyle w:val="af9"/>
          <w:rFonts w:hint="cs"/>
          <w:rtl/>
        </w:rPr>
        <w:t>התבו"ש</w:t>
      </w:r>
      <w:r>
        <w:rPr>
          <w:rFonts w:hint="cs"/>
          <w:rtl/>
        </w:rPr>
        <w:t xml:space="preserve"> </w:t>
      </w:r>
      <w:r w:rsidRPr="00AC1812">
        <w:rPr>
          <w:rStyle w:val="af7"/>
          <w:rFonts w:eastAsia="Guttman Hodes" w:hint="cs"/>
          <w:rtl/>
        </w:rPr>
        <w:t xml:space="preserve">(עי' אות </w:t>
      </w:r>
      <w:r w:rsidRPr="00AC1812">
        <w:rPr>
          <w:rStyle w:val="af7"/>
          <w:rFonts w:eastAsia="Guttman Hodes"/>
          <w:rtl/>
        </w:rPr>
        <w:fldChar w:fldCharType="begin"/>
      </w:r>
      <w:r w:rsidRPr="00AC1812">
        <w:rPr>
          <w:rStyle w:val="af7"/>
          <w:rFonts w:eastAsia="Guttman Hodes"/>
          <w:rtl/>
        </w:rPr>
        <w:instrText xml:space="preserve"> </w:instrText>
      </w:r>
      <w:r w:rsidRPr="00AC1812">
        <w:rPr>
          <w:rStyle w:val="af7"/>
          <w:rFonts w:eastAsia="Guttman Hodes" w:hint="cs"/>
        </w:rPr>
        <w:instrText>REF</w:instrText>
      </w:r>
      <w:r w:rsidRPr="00AC1812">
        <w:rPr>
          <w:rStyle w:val="af7"/>
          <w:rFonts w:eastAsia="Guttman Hodes" w:hint="cs"/>
          <w:rtl/>
        </w:rPr>
        <w:instrText xml:space="preserve"> _</w:instrText>
      </w:r>
      <w:r w:rsidRPr="00AC1812">
        <w:rPr>
          <w:rStyle w:val="af7"/>
          <w:rFonts w:eastAsia="Guttman Hodes" w:hint="cs"/>
        </w:rPr>
        <w:instrText>Ref527020698 \r \h</w:instrText>
      </w:r>
      <w:r w:rsidRPr="00AC1812">
        <w:rPr>
          <w:rStyle w:val="af7"/>
          <w:rFonts w:eastAsia="Guttman Hodes"/>
          <w:rtl/>
        </w:rPr>
        <w:instrText xml:space="preserve"> </w:instrText>
      </w:r>
      <w:r w:rsidRPr="00AC1812">
        <w:rPr>
          <w:rStyle w:val="af7"/>
          <w:rFonts w:eastAsia="Guttman Hodes"/>
          <w:rtl/>
        </w:rPr>
      </w:r>
      <w:r w:rsidRPr="00AC1812">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AC1812">
        <w:rPr>
          <w:rStyle w:val="af7"/>
          <w:rFonts w:eastAsia="Guttman Hodes"/>
          <w:rtl/>
        </w:rPr>
        <w:fldChar w:fldCharType="end"/>
      </w:r>
      <w:r>
        <w:rPr>
          <w:rFonts w:hint="cs"/>
          <w:rtl/>
        </w:rPr>
        <w:t>.</w:t>
      </w:r>
      <w:bookmarkEnd w:id="6211"/>
    </w:p>
    <w:p w14:paraId="2EF5B47B" w14:textId="77777777" w:rsidR="00533768" w:rsidRPr="00B04527" w:rsidRDefault="00533768" w:rsidP="006D6D32">
      <w:pPr>
        <w:pStyle w:val="a3"/>
        <w:rPr>
          <w:rtl/>
        </w:rPr>
      </w:pPr>
      <w:bookmarkStart w:id="6212" w:name="_Toc527108443"/>
      <w:bookmarkStart w:id="6213" w:name="_Toc19389738"/>
      <w:bookmarkStart w:id="6214" w:name="_Toc19393235"/>
      <w:r>
        <w:rPr>
          <w:rFonts w:hint="cs"/>
          <w:rtl/>
        </w:rPr>
        <w:t>ביאור הרשב"א דמוכח מדברי רב כהנא דנגיעת המפרקת אינה כשבירת עצמות</w:t>
      </w:r>
      <w:bookmarkEnd w:id="6212"/>
      <w:bookmarkEnd w:id="6213"/>
      <w:bookmarkEnd w:id="6214"/>
    </w:p>
    <w:p w14:paraId="23198C3B" w14:textId="77777777" w:rsidR="00533768" w:rsidRPr="00B04527" w:rsidRDefault="00533768" w:rsidP="00223668">
      <w:pPr>
        <w:pStyle w:val="a0"/>
        <w:rPr>
          <w:sz w:val="10"/>
          <w:szCs w:val="14"/>
          <w:rtl/>
        </w:rPr>
      </w:pPr>
      <w:r w:rsidRPr="007D6061">
        <w:rPr>
          <w:rFonts w:hint="cs"/>
          <w:rtl/>
        </w:rPr>
        <w:t>ו</w:t>
      </w:r>
      <w:r>
        <w:rPr>
          <w:rFonts w:hint="cs"/>
          <w:rtl/>
        </w:rPr>
        <w:t>ביאר</w:t>
      </w:r>
      <w:r w:rsidRPr="007D6061">
        <w:rPr>
          <w:rFonts w:hint="cs"/>
          <w:rtl/>
        </w:rPr>
        <w:t xml:space="preserve"> </w:t>
      </w:r>
      <w:r w:rsidRPr="007D6061">
        <w:rPr>
          <w:rStyle w:val="af9"/>
          <w:rFonts w:hint="cs"/>
          <w:rtl/>
        </w:rPr>
        <w:t>הרשב"א</w:t>
      </w:r>
      <w:r>
        <w:rPr>
          <w:rStyle w:val="af9"/>
          <w:rFonts w:hint="cs"/>
          <w:rtl/>
        </w:rPr>
        <w:t xml:space="preserve"> בחי' </w:t>
      </w:r>
      <w:r w:rsidRPr="00B04527">
        <w:rPr>
          <w:rStyle w:val="af7"/>
          <w:rFonts w:eastAsia="Guttman Hodes" w:hint="cs"/>
          <w:rtl/>
        </w:rPr>
        <w:t>(ד"ה ומיהו)</w:t>
      </w:r>
      <w:r w:rsidRPr="007D6061">
        <w:rPr>
          <w:rFonts w:hint="cs"/>
          <w:rtl/>
        </w:rPr>
        <w:t xml:space="preserve"> בשם </w:t>
      </w:r>
      <w:r w:rsidRPr="007D6061">
        <w:rPr>
          <w:rStyle w:val="af9"/>
          <w:rFonts w:hint="cs"/>
          <w:rtl/>
        </w:rPr>
        <w:t>רבו</w:t>
      </w:r>
      <w:r w:rsidRPr="007D6061">
        <w:rPr>
          <w:rFonts w:hint="cs"/>
          <w:rtl/>
        </w:rPr>
        <w:t xml:space="preserve"> </w:t>
      </w:r>
      <w:r>
        <w:rPr>
          <w:rFonts w:hint="cs"/>
          <w:rtl/>
        </w:rPr>
        <w:t>ד</w:t>
      </w:r>
      <w:r w:rsidRPr="007D6061">
        <w:rPr>
          <w:rFonts w:hint="cs"/>
          <w:rtl/>
        </w:rPr>
        <w:t xml:space="preserve">מבואר מרב כהנא </w:t>
      </w:r>
      <w:r>
        <w:rPr>
          <w:rFonts w:hint="cs"/>
          <w:rtl/>
        </w:rPr>
        <w:t xml:space="preserve">דרק </w:t>
      </w:r>
      <w:r w:rsidRPr="007D6061">
        <w:rPr>
          <w:rFonts w:hint="cs"/>
          <w:rtl/>
        </w:rPr>
        <w:t>לכתחילה</w:t>
      </w:r>
      <w:r>
        <w:rPr>
          <w:rFonts w:hint="cs"/>
          <w:rtl/>
        </w:rPr>
        <w:t xml:space="preserve"> צריך לבדוק</w:t>
      </w:r>
      <w:r w:rsidRPr="007D6061">
        <w:rPr>
          <w:rFonts w:hint="cs"/>
          <w:rtl/>
        </w:rPr>
        <w:t xml:space="preserve"> בין שחיטה לשחיטה, כדי שלא יפסול הרבה בהמות, </w:t>
      </w:r>
      <w:r>
        <w:rPr>
          <w:rFonts w:hint="cs"/>
          <w:rtl/>
        </w:rPr>
        <w:t>אבל</w:t>
      </w:r>
      <w:r w:rsidRPr="007D6061">
        <w:rPr>
          <w:rFonts w:hint="cs"/>
          <w:rtl/>
        </w:rPr>
        <w:t xml:space="preserve"> מדינא דא"צ לבדוק, </w:t>
      </w:r>
      <w:r>
        <w:rPr>
          <w:rFonts w:hint="cs"/>
          <w:rtl/>
        </w:rPr>
        <w:t xml:space="preserve">וא"כ </w:t>
      </w:r>
      <w:r w:rsidRPr="007D6061">
        <w:rPr>
          <w:rFonts w:hint="cs"/>
          <w:rtl/>
        </w:rPr>
        <w:t>מוכח דהמפרקת אינה פוגמת כשבירת עצמות,</w:t>
      </w:r>
      <w:r>
        <w:rPr>
          <w:rFonts w:hint="cs"/>
          <w:rtl/>
        </w:rPr>
        <w:t xml:space="preserve"> ד</w:t>
      </w:r>
      <w:r w:rsidRPr="007D6061">
        <w:rPr>
          <w:rFonts w:hint="cs"/>
          <w:rtl/>
        </w:rPr>
        <w:t>אי נגיעת מפרקת פוגמת כשבירת עצמות, היאך התיר רב כהנא לחזור ולשחוט בלא בדיקה, כשיש חשש שנגע במפרקת, ואם לא בדק בין שחיטה לשחיטה,</w:t>
      </w:r>
      <w:r>
        <w:rPr>
          <w:rFonts w:hint="cs"/>
          <w:rtl/>
        </w:rPr>
        <w:t xml:space="preserve"> ואבד הסכין היה לרב כהנא לפסול, [דהרי </w:t>
      </w:r>
      <w:r w:rsidRPr="007D6061">
        <w:rPr>
          <w:rFonts w:hint="cs"/>
          <w:rtl/>
        </w:rPr>
        <w:t>אם שיבר עצמות בסכין לפני השחיטה, פשיטא שחייב לחזור ולבודקו, דאי בסתם סכין חייב לבדוק לפני השחיטה, כ"ש בסכין ששיבר בו עצמות</w:t>
      </w:r>
      <w:r>
        <w:rPr>
          <w:rFonts w:hint="cs"/>
          <w:rtl/>
        </w:rPr>
        <w:t>]</w:t>
      </w:r>
      <w:r w:rsidRPr="007D6061">
        <w:rPr>
          <w:rFonts w:hint="cs"/>
          <w:rtl/>
        </w:rPr>
        <w:t>,</w:t>
      </w:r>
      <w:r>
        <w:rPr>
          <w:rFonts w:hint="cs"/>
          <w:rtl/>
        </w:rPr>
        <w:t xml:space="preserve"> </w:t>
      </w:r>
      <w:r w:rsidRPr="007D6061">
        <w:rPr>
          <w:rFonts w:hint="cs"/>
          <w:rtl/>
        </w:rPr>
        <w:t>אלא מוכח דמפרקת אינה פוגמת כשבירת עצמות.</w:t>
      </w:r>
    </w:p>
    <w:p w14:paraId="26257A18" w14:textId="77777777" w:rsidR="00533768" w:rsidRDefault="00533768" w:rsidP="006D6D32">
      <w:pPr>
        <w:pStyle w:val="a3"/>
        <w:rPr>
          <w:rtl/>
        </w:rPr>
      </w:pPr>
      <w:bookmarkStart w:id="6215" w:name="_Toc527108444"/>
      <w:bookmarkStart w:id="6216" w:name="_Toc19389739"/>
      <w:bookmarkStart w:id="6217" w:name="_Toc19393236"/>
      <w:r>
        <w:rPr>
          <w:rFonts w:hint="cs"/>
          <w:rtl/>
        </w:rPr>
        <w:t>דברי הרשב"א דלהלכה אסור בנגע במפרקת וכדברי הרמב"ן ורבו</w:t>
      </w:r>
      <w:bookmarkEnd w:id="6215"/>
      <w:bookmarkEnd w:id="6216"/>
      <w:bookmarkEnd w:id="6217"/>
    </w:p>
    <w:p w14:paraId="06C9A936" w14:textId="77777777" w:rsidR="00533768" w:rsidRDefault="00533768" w:rsidP="00223668">
      <w:pPr>
        <w:pStyle w:val="a0"/>
        <w:rPr>
          <w:rtl/>
        </w:rPr>
      </w:pPr>
      <w:bookmarkStart w:id="6218" w:name="_Ref527025117"/>
      <w:r>
        <w:rPr>
          <w:rFonts w:hint="cs"/>
          <w:rtl/>
        </w:rPr>
        <w:t xml:space="preserve">והביא </w:t>
      </w:r>
      <w:r>
        <w:rPr>
          <w:rStyle w:val="af9"/>
          <w:rtl/>
        </w:rPr>
        <w:t xml:space="preserve">הרשב"א בחי' </w:t>
      </w:r>
      <w:r w:rsidRPr="008D591D">
        <w:rPr>
          <w:rStyle w:val="af7"/>
          <w:rFonts w:eastAsia="Guttman Hodes" w:hint="cs"/>
          <w:rtl/>
        </w:rPr>
        <w:t>(ד"ה ויש מי שפי', ד"ה ורבינו)</w:t>
      </w:r>
      <w:r>
        <w:rPr>
          <w:rFonts w:hint="cs"/>
          <w:rtl/>
        </w:rPr>
        <w:t xml:space="preserve"> </w:t>
      </w:r>
      <w:r>
        <w:rPr>
          <w:rStyle w:val="af9"/>
          <w:rtl/>
        </w:rPr>
        <w:t>ובתוה"ב</w:t>
      </w:r>
      <w:r>
        <w:rPr>
          <w:rFonts w:hint="cs"/>
          <w:rtl/>
        </w:rPr>
        <w:t xml:space="preserve"> </w:t>
      </w:r>
      <w:r>
        <w:rPr>
          <w:rStyle w:val="af7"/>
          <w:rFonts w:eastAsia="Guttman Hodes" w:hint="cs"/>
          <w:rtl/>
        </w:rPr>
        <w:t>(ב"א ש"ב דף טז: מדה"ס)</w:t>
      </w:r>
      <w:r>
        <w:rPr>
          <w:rtl/>
        </w:rPr>
        <w:t xml:space="preserve"> </w:t>
      </w:r>
      <w:r>
        <w:rPr>
          <w:rFonts w:hint="cs"/>
          <w:rtl/>
        </w:rPr>
        <w:t xml:space="preserve">את דברי </w:t>
      </w:r>
      <w:r w:rsidRPr="008D591D">
        <w:rPr>
          <w:rStyle w:val="af9"/>
          <w:rFonts w:hint="cs"/>
          <w:rtl/>
        </w:rPr>
        <w:t xml:space="preserve">הרמב"ן </w:t>
      </w:r>
      <w:r w:rsidRPr="002636DD">
        <w:rPr>
          <w:rStyle w:val="af7"/>
          <w:rFonts w:eastAsia="Guttman Hodes" w:hint="cs"/>
          <w:rtl/>
        </w:rPr>
        <w:t xml:space="preserve">(עי' אות </w:t>
      </w:r>
      <w:r w:rsidRPr="002636DD">
        <w:rPr>
          <w:rStyle w:val="af7"/>
          <w:rFonts w:eastAsia="Guttman Hodes"/>
          <w:rtl/>
        </w:rPr>
        <w:fldChar w:fldCharType="begin"/>
      </w:r>
      <w:r w:rsidRPr="002636DD">
        <w:rPr>
          <w:rStyle w:val="af7"/>
          <w:rFonts w:eastAsia="Guttman Hodes"/>
          <w:rtl/>
        </w:rPr>
        <w:instrText xml:space="preserve"> </w:instrText>
      </w:r>
      <w:r w:rsidRPr="002636DD">
        <w:rPr>
          <w:rStyle w:val="af7"/>
          <w:rFonts w:eastAsia="Guttman Hodes" w:hint="cs"/>
        </w:rPr>
        <w:instrText>REF</w:instrText>
      </w:r>
      <w:r w:rsidRPr="002636DD">
        <w:rPr>
          <w:rStyle w:val="af7"/>
          <w:rFonts w:eastAsia="Guttman Hodes" w:hint="cs"/>
          <w:rtl/>
        </w:rPr>
        <w:instrText xml:space="preserve"> _</w:instrText>
      </w:r>
      <w:r w:rsidRPr="002636DD">
        <w:rPr>
          <w:rStyle w:val="af7"/>
          <w:rFonts w:eastAsia="Guttman Hodes" w:hint="cs"/>
        </w:rPr>
        <w:instrText>Ref527018565 \r \h</w:instrText>
      </w:r>
      <w:r w:rsidRPr="002636DD">
        <w:rPr>
          <w:rStyle w:val="af7"/>
          <w:rFonts w:eastAsia="Guttman Hodes"/>
          <w:rtl/>
        </w:rPr>
        <w:instrText xml:space="preserve"> </w:instrText>
      </w:r>
      <w:r w:rsidRPr="002636DD">
        <w:rPr>
          <w:rStyle w:val="af7"/>
          <w:rFonts w:eastAsia="Guttman Hodes"/>
          <w:rtl/>
        </w:rPr>
      </w:r>
      <w:r w:rsidRPr="002636DD">
        <w:rPr>
          <w:rStyle w:val="af7"/>
          <w:rFonts w:eastAsia="Guttman Hodes"/>
          <w:rtl/>
        </w:rPr>
        <w:fldChar w:fldCharType="separate"/>
      </w:r>
      <w:r w:rsidR="00345400">
        <w:rPr>
          <w:rStyle w:val="af7"/>
          <w:rFonts w:eastAsia="Guttman Hodes"/>
          <w:cs/>
        </w:rPr>
        <w:t>‎</w:t>
      </w:r>
      <w:r w:rsidR="00345400">
        <w:rPr>
          <w:rStyle w:val="af7"/>
          <w:rFonts w:eastAsia="Guttman Hodes"/>
          <w:rtl/>
        </w:rPr>
        <w:t>סט)</w:t>
      </w:r>
      <w:r w:rsidRPr="002636DD">
        <w:rPr>
          <w:rStyle w:val="af7"/>
          <w:rFonts w:eastAsia="Guttman Hodes"/>
          <w:rtl/>
        </w:rPr>
        <w:fldChar w:fldCharType="end"/>
      </w:r>
      <w:r>
        <w:rPr>
          <w:rFonts w:hint="cs"/>
          <w:rtl/>
        </w:rPr>
        <w:t xml:space="preserve"> </w:t>
      </w:r>
      <w:r w:rsidRPr="008D591D">
        <w:rPr>
          <w:rStyle w:val="af9"/>
          <w:rFonts w:hint="cs"/>
          <w:rtl/>
        </w:rPr>
        <w:t>ורבו</w:t>
      </w:r>
      <w:r>
        <w:rPr>
          <w:rFonts w:hint="cs"/>
          <w:rtl/>
        </w:rPr>
        <w:t xml:space="preserve"> דאוסרים את האחרונות במקום שודאי נגע </w:t>
      </w:r>
      <w:r w:rsidRPr="002E0528">
        <w:rPr>
          <w:rFonts w:hint="cs"/>
          <w:rtl/>
        </w:rPr>
        <w:t xml:space="preserve">במפרקת של הראשונה, וכתב </w:t>
      </w:r>
      <w:r w:rsidRPr="002E0528">
        <w:rPr>
          <w:rStyle w:val="af9"/>
          <w:rFonts w:hint="cs"/>
          <w:rtl/>
        </w:rPr>
        <w:t>הרשב"א</w:t>
      </w:r>
      <w:r w:rsidRPr="002E0528">
        <w:rPr>
          <w:rFonts w:hint="cs"/>
          <w:rtl/>
        </w:rPr>
        <w:t xml:space="preserve"> דכן נראה עיקר, אך כתב </w:t>
      </w:r>
      <w:r w:rsidRPr="002E0528">
        <w:rPr>
          <w:rStyle w:val="af9"/>
          <w:rFonts w:hint="cs"/>
          <w:rtl/>
        </w:rPr>
        <w:t>הרשב"א</w:t>
      </w:r>
      <w:r w:rsidRPr="002E0528">
        <w:rPr>
          <w:rFonts w:hint="cs"/>
          <w:rtl/>
        </w:rPr>
        <w:t xml:space="preserve"> דהמחמיר [</w:t>
      </w:r>
      <w:r w:rsidRPr="002E0528">
        <w:rPr>
          <w:rStyle w:val="af9"/>
          <w:rFonts w:hint="cs"/>
          <w:rtl/>
        </w:rPr>
        <w:t>כראב"ד</w:t>
      </w:r>
      <w:r w:rsidRPr="002E0528">
        <w:rPr>
          <w:rFonts w:hint="cs"/>
          <w:rtl/>
        </w:rPr>
        <w:t xml:space="preserve"> </w:t>
      </w:r>
      <w:r w:rsidRPr="002E0528">
        <w:rPr>
          <w:rStyle w:val="af7"/>
          <w:rFonts w:eastAsia="Guttman Hodes" w:hint="cs"/>
          <w:rtl/>
        </w:rPr>
        <w:t xml:space="preserve">(עי' אות </w:t>
      </w:r>
      <w:r w:rsidRPr="002E0528">
        <w:rPr>
          <w:rStyle w:val="af7"/>
          <w:rFonts w:eastAsia="Guttman Hodes"/>
          <w:rtl/>
        </w:rPr>
        <w:fldChar w:fldCharType="begin"/>
      </w:r>
      <w:r w:rsidRPr="002E0528">
        <w:rPr>
          <w:rStyle w:val="af7"/>
          <w:rFonts w:eastAsia="Guttman Hodes"/>
          <w:rtl/>
        </w:rPr>
        <w:instrText xml:space="preserve"> </w:instrText>
      </w:r>
      <w:r w:rsidRPr="002E0528">
        <w:rPr>
          <w:rStyle w:val="af7"/>
          <w:rFonts w:eastAsia="Guttman Hodes" w:hint="cs"/>
        </w:rPr>
        <w:instrText>REF</w:instrText>
      </w:r>
      <w:r w:rsidRPr="002E0528">
        <w:rPr>
          <w:rStyle w:val="af7"/>
          <w:rFonts w:eastAsia="Guttman Hodes" w:hint="cs"/>
          <w:rtl/>
        </w:rPr>
        <w:instrText xml:space="preserve"> _</w:instrText>
      </w:r>
      <w:r w:rsidRPr="002E0528">
        <w:rPr>
          <w:rStyle w:val="af7"/>
          <w:rFonts w:eastAsia="Guttman Hodes" w:hint="cs"/>
        </w:rPr>
        <w:instrText>Ref527025039 \r \h</w:instrText>
      </w:r>
      <w:r w:rsidRPr="002E0528">
        <w:rPr>
          <w:rStyle w:val="af7"/>
          <w:rFonts w:eastAsia="Guttman Hodes"/>
          <w:rtl/>
        </w:rPr>
        <w:instrText xml:space="preserve"> </w:instrText>
      </w:r>
      <w:r w:rsidRPr="002E0528">
        <w:rPr>
          <w:rStyle w:val="af7"/>
          <w:rFonts w:eastAsia="Guttman Hodes"/>
          <w:rtl/>
        </w:rPr>
      </w:r>
      <w:r w:rsidRPr="002E0528">
        <w:rPr>
          <w:rStyle w:val="af7"/>
          <w:rFonts w:eastAsia="Guttman Hodes"/>
          <w:rtl/>
        </w:rPr>
        <w:fldChar w:fldCharType="separate"/>
      </w:r>
      <w:r w:rsidR="00345400">
        <w:rPr>
          <w:rStyle w:val="af7"/>
          <w:rFonts w:eastAsia="Guttman Hodes"/>
          <w:cs/>
        </w:rPr>
        <w:t>‎</w:t>
      </w:r>
      <w:r w:rsidR="00345400">
        <w:rPr>
          <w:rStyle w:val="af7"/>
          <w:rFonts w:eastAsia="Guttman Hodes"/>
          <w:rtl/>
        </w:rPr>
        <w:t>סא)</w:t>
      </w:r>
      <w:r w:rsidRPr="002E0528">
        <w:rPr>
          <w:rStyle w:val="af7"/>
          <w:rFonts w:eastAsia="Guttman Hodes"/>
          <w:rtl/>
        </w:rPr>
        <w:fldChar w:fldCharType="end"/>
      </w:r>
      <w:r w:rsidRPr="002E0528">
        <w:rPr>
          <w:rFonts w:hint="cs"/>
          <w:rtl/>
        </w:rPr>
        <w:t>] אף כשלא</w:t>
      </w:r>
      <w:r>
        <w:rPr>
          <w:rFonts w:hint="cs"/>
          <w:rtl/>
        </w:rPr>
        <w:t xml:space="preserve"> נגע במפרקת תבא עליו ברכה.</w:t>
      </w:r>
      <w:bookmarkEnd w:id="6218"/>
    </w:p>
    <w:p w14:paraId="016D42D4" w14:textId="77777777" w:rsidR="00533768" w:rsidRPr="002A3F7F" w:rsidRDefault="00533768" w:rsidP="00BF39B2">
      <w:pPr>
        <w:pStyle w:val="1"/>
        <w:rPr>
          <w:rtl/>
        </w:rPr>
      </w:pPr>
      <w:bookmarkStart w:id="6219" w:name="_Toc527108445"/>
      <w:bookmarkStart w:id="6220" w:name="_Toc19389740"/>
      <w:bookmarkStart w:id="6221" w:name="_Toc19393237"/>
      <w:r>
        <w:rPr>
          <w:rFonts w:hint="cs"/>
          <w:rtl/>
        </w:rPr>
        <w:t>דברי הרא"ש דבאבד הסכין אף בנגע במפרקת מותר</w:t>
      </w:r>
      <w:bookmarkEnd w:id="6219"/>
      <w:bookmarkEnd w:id="6220"/>
      <w:bookmarkEnd w:id="6221"/>
    </w:p>
    <w:p w14:paraId="57A97A0F" w14:textId="77777777" w:rsidR="00533768" w:rsidRPr="002A3F7F" w:rsidRDefault="00533768" w:rsidP="006D6D32">
      <w:pPr>
        <w:pStyle w:val="a3"/>
        <w:rPr>
          <w:rtl/>
        </w:rPr>
      </w:pPr>
      <w:bookmarkStart w:id="6222" w:name="_Toc527108446"/>
      <w:bookmarkStart w:id="6223" w:name="_Toc19389741"/>
      <w:bookmarkStart w:id="6224" w:name="_Toc19393238"/>
      <w:r>
        <w:rPr>
          <w:rFonts w:hint="cs"/>
          <w:rtl/>
        </w:rPr>
        <w:t>דברי הרא"ש דלא מסתבר שנפגם בנגיעה במפרקת וכל שאבד הסכין אף האחרונות מותרות</w:t>
      </w:r>
      <w:bookmarkEnd w:id="6222"/>
      <w:bookmarkEnd w:id="6223"/>
      <w:bookmarkEnd w:id="6224"/>
    </w:p>
    <w:p w14:paraId="1BBC7063" w14:textId="77777777" w:rsidR="00533768" w:rsidRPr="0020747B" w:rsidRDefault="00533768" w:rsidP="00223668">
      <w:pPr>
        <w:pStyle w:val="a0"/>
        <w:rPr>
          <w:rtl/>
        </w:rPr>
      </w:pPr>
      <w:bookmarkStart w:id="6225" w:name="_Ref527107639"/>
      <w:r w:rsidRPr="00981341">
        <w:rPr>
          <w:rStyle w:val="af9"/>
          <w:rFonts w:hint="cs"/>
          <w:rtl/>
        </w:rPr>
        <w:t>והרא"ש</w:t>
      </w:r>
      <w:r w:rsidRPr="0020747B">
        <w:rPr>
          <w:rFonts w:hint="cs"/>
          <w:rtl/>
        </w:rPr>
        <w:t xml:space="preserve"> </w:t>
      </w:r>
      <w:r w:rsidRPr="002A3F7F">
        <w:rPr>
          <w:rStyle w:val="af7"/>
          <w:rFonts w:eastAsia="Guttman Hodes" w:hint="cs"/>
          <w:rtl/>
        </w:rPr>
        <w:t>(סי' ט"ו)</w:t>
      </w:r>
      <w:r w:rsidRPr="0020747B">
        <w:rPr>
          <w:rFonts w:hint="cs"/>
          <w:rtl/>
        </w:rPr>
        <w:t xml:space="preserve"> </w:t>
      </w:r>
      <w:r>
        <w:rPr>
          <w:rFonts w:hint="cs"/>
          <w:rtl/>
        </w:rPr>
        <w:t xml:space="preserve">הביא בשם </w:t>
      </w:r>
      <w:r w:rsidRPr="002A3F7F">
        <w:rPr>
          <w:rStyle w:val="af9"/>
          <w:rFonts w:hint="cs"/>
          <w:rtl/>
        </w:rPr>
        <w:t>י"א</w:t>
      </w:r>
      <w:r>
        <w:rPr>
          <w:rFonts w:hint="cs"/>
          <w:rtl/>
        </w:rPr>
        <w:t xml:space="preserve"> [</w:t>
      </w:r>
      <w:r w:rsidRPr="002A3F7F">
        <w:rPr>
          <w:rStyle w:val="af9"/>
          <w:rFonts w:hint="cs"/>
          <w:rtl/>
        </w:rPr>
        <w:t>הרמב"ן</w:t>
      </w:r>
      <w:r>
        <w:rPr>
          <w:rFonts w:hint="cs"/>
          <w:rtl/>
        </w:rPr>
        <w:t xml:space="preserve"> </w:t>
      </w:r>
      <w:r w:rsidRPr="002A3F7F">
        <w:rPr>
          <w:rStyle w:val="af7"/>
          <w:rFonts w:eastAsia="Guttman Hodes" w:hint="cs"/>
          <w:rtl/>
        </w:rPr>
        <w:t xml:space="preserve">(עי' אות </w:t>
      </w:r>
      <w:r w:rsidRPr="002A3F7F">
        <w:rPr>
          <w:rStyle w:val="af7"/>
          <w:rFonts w:eastAsia="Guttman Hodes"/>
          <w:rtl/>
        </w:rPr>
        <w:fldChar w:fldCharType="begin"/>
      </w:r>
      <w:r w:rsidRPr="002A3F7F">
        <w:rPr>
          <w:rStyle w:val="af7"/>
          <w:rFonts w:eastAsia="Guttman Hodes"/>
          <w:rtl/>
        </w:rPr>
        <w:instrText xml:space="preserve"> </w:instrText>
      </w:r>
      <w:r w:rsidRPr="002A3F7F">
        <w:rPr>
          <w:rStyle w:val="af7"/>
          <w:rFonts w:eastAsia="Guttman Hodes" w:hint="cs"/>
        </w:rPr>
        <w:instrText>REF</w:instrText>
      </w:r>
      <w:r w:rsidRPr="002A3F7F">
        <w:rPr>
          <w:rStyle w:val="af7"/>
          <w:rFonts w:eastAsia="Guttman Hodes" w:hint="cs"/>
          <w:rtl/>
        </w:rPr>
        <w:instrText xml:space="preserve"> _</w:instrText>
      </w:r>
      <w:r w:rsidRPr="002A3F7F">
        <w:rPr>
          <w:rStyle w:val="af7"/>
          <w:rFonts w:eastAsia="Guttman Hodes" w:hint="cs"/>
        </w:rPr>
        <w:instrText>Ref527018565 \r \h</w:instrText>
      </w:r>
      <w:r w:rsidRPr="002A3F7F">
        <w:rPr>
          <w:rStyle w:val="af7"/>
          <w:rFonts w:eastAsia="Guttman Hodes"/>
          <w:rtl/>
        </w:rPr>
        <w:instrText xml:space="preserve"> </w:instrText>
      </w:r>
      <w:r w:rsidRPr="002A3F7F">
        <w:rPr>
          <w:rStyle w:val="af7"/>
          <w:rFonts w:eastAsia="Guttman Hodes"/>
          <w:rtl/>
        </w:rPr>
      </w:r>
      <w:r w:rsidRPr="002A3F7F">
        <w:rPr>
          <w:rStyle w:val="af7"/>
          <w:rFonts w:eastAsia="Guttman Hodes"/>
          <w:rtl/>
        </w:rPr>
        <w:fldChar w:fldCharType="separate"/>
      </w:r>
      <w:r w:rsidR="00345400">
        <w:rPr>
          <w:rStyle w:val="af7"/>
          <w:rFonts w:eastAsia="Guttman Hodes"/>
          <w:cs/>
        </w:rPr>
        <w:t>‎</w:t>
      </w:r>
      <w:r w:rsidR="00345400">
        <w:rPr>
          <w:rStyle w:val="af7"/>
          <w:rFonts w:eastAsia="Guttman Hodes"/>
          <w:rtl/>
        </w:rPr>
        <w:t>סט)</w:t>
      </w:r>
      <w:r w:rsidRPr="002A3F7F">
        <w:rPr>
          <w:rStyle w:val="af7"/>
          <w:rFonts w:eastAsia="Guttman Hodes"/>
          <w:rtl/>
        </w:rPr>
        <w:fldChar w:fldCharType="end"/>
      </w:r>
      <w:r>
        <w:rPr>
          <w:rFonts w:hint="cs"/>
          <w:rtl/>
        </w:rPr>
        <w:t>] דבכמה בהמות ונגע במפרקת של הבהמה הראשונה ו</w:t>
      </w:r>
      <w:r w:rsidRPr="0020747B">
        <w:rPr>
          <w:rFonts w:hint="cs"/>
          <w:rtl/>
        </w:rPr>
        <w:t>אבד הסכין</w:t>
      </w:r>
      <w:r>
        <w:rPr>
          <w:rFonts w:hint="cs"/>
          <w:rtl/>
        </w:rPr>
        <w:t xml:space="preserve">, </w:t>
      </w:r>
      <w:r w:rsidRPr="0020747B">
        <w:rPr>
          <w:rFonts w:hint="cs"/>
          <w:rtl/>
        </w:rPr>
        <w:t xml:space="preserve">חיישינן שנפגם בראשונה </w:t>
      </w:r>
      <w:r>
        <w:rPr>
          <w:rFonts w:hint="cs"/>
          <w:rtl/>
        </w:rPr>
        <w:t xml:space="preserve">והאחורנות אסורות. ודחה </w:t>
      </w:r>
      <w:r w:rsidRPr="00981341">
        <w:rPr>
          <w:rStyle w:val="af9"/>
          <w:rFonts w:hint="cs"/>
          <w:rtl/>
        </w:rPr>
        <w:t>הרא"ש</w:t>
      </w:r>
      <w:r w:rsidRPr="0020747B">
        <w:rPr>
          <w:rFonts w:hint="cs"/>
          <w:rtl/>
        </w:rPr>
        <w:t xml:space="preserve"> דלא מסתבר לומר שנפגם הסכין בנגיעה כל שהוא שנגע במפרקת, וכל שלא נמצא הסכין פגום לא מחזקינן שיש ריעותא</w:t>
      </w:r>
      <w:r w:rsidRPr="002A3F7F">
        <w:rPr>
          <w:rFonts w:hint="cs"/>
          <w:rtl/>
        </w:rPr>
        <w:t>.</w:t>
      </w:r>
      <w:r>
        <w:rPr>
          <w:rFonts w:hint="cs"/>
          <w:rtl/>
        </w:rPr>
        <w:t xml:space="preserve"> </w:t>
      </w:r>
      <w:r w:rsidRPr="002A3F7F">
        <w:rPr>
          <w:rFonts w:hint="cs"/>
          <w:rtl/>
        </w:rPr>
        <w:t>והוסיף</w:t>
      </w:r>
      <w:r>
        <w:rPr>
          <w:rFonts w:hint="cs"/>
          <w:rtl/>
        </w:rPr>
        <w:t xml:space="preserve"> </w:t>
      </w:r>
      <w:r w:rsidRPr="002A3F7F">
        <w:rPr>
          <w:rStyle w:val="af9"/>
          <w:rFonts w:hint="cs"/>
          <w:rtl/>
        </w:rPr>
        <w:t>הרא"ש</w:t>
      </w:r>
      <w:r>
        <w:rPr>
          <w:rFonts w:hint="cs"/>
          <w:rtl/>
        </w:rPr>
        <w:t xml:space="preserve"> דמ"ש </w:t>
      </w:r>
      <w:r>
        <w:rPr>
          <w:rStyle w:val="af9"/>
          <w:rtl/>
        </w:rPr>
        <w:t>רש"י</w:t>
      </w:r>
      <w:r>
        <w:rPr>
          <w:rFonts w:hint="cs"/>
          <w:rtl/>
        </w:rPr>
        <w:t xml:space="preserve"> </w:t>
      </w:r>
      <w:r w:rsidRPr="002A3F7F">
        <w:rPr>
          <w:rStyle w:val="af7"/>
          <w:rFonts w:eastAsia="Guttman Hodes" w:hint="cs"/>
          <w:rtl/>
        </w:rPr>
        <w:t xml:space="preserve">(עי' אות </w:t>
      </w:r>
      <w:r w:rsidRPr="002A3F7F">
        <w:rPr>
          <w:rStyle w:val="af7"/>
          <w:rFonts w:eastAsia="Guttman Hodes" w:hint="cs"/>
          <w:rtl/>
        </w:rPr>
        <w:fldChar w:fldCharType="begin"/>
      </w:r>
      <w:r w:rsidRPr="002A3F7F">
        <w:rPr>
          <w:rStyle w:val="af7"/>
          <w:rFonts w:eastAsia="Guttman Hodes" w:hint="cs"/>
          <w:rtl/>
        </w:rPr>
        <w:instrText xml:space="preserve"> </w:instrText>
      </w:r>
      <w:r w:rsidRPr="002A3F7F">
        <w:rPr>
          <w:rStyle w:val="af7"/>
          <w:rFonts w:eastAsia="Guttman Hodes"/>
        </w:rPr>
        <w:instrText>REF</w:instrText>
      </w:r>
      <w:r w:rsidRPr="002A3F7F">
        <w:rPr>
          <w:rStyle w:val="af7"/>
          <w:rFonts w:eastAsia="Guttman Hodes" w:hint="cs"/>
          <w:rtl/>
        </w:rPr>
        <w:instrText xml:space="preserve"> _</w:instrText>
      </w:r>
      <w:r w:rsidRPr="002A3F7F">
        <w:rPr>
          <w:rStyle w:val="af7"/>
          <w:rFonts w:eastAsia="Guttman Hodes"/>
        </w:rPr>
        <w:instrText>Ref526956416 \r \h</w:instrText>
      </w:r>
      <w:r w:rsidRPr="002A3F7F">
        <w:rPr>
          <w:rStyle w:val="af7"/>
          <w:rFonts w:eastAsia="Guttman Hodes" w:hint="cs"/>
          <w:rtl/>
        </w:rPr>
        <w:instrText xml:space="preserve"> </w:instrText>
      </w:r>
      <w:r w:rsidRPr="002A3F7F">
        <w:rPr>
          <w:rStyle w:val="af7"/>
          <w:rFonts w:eastAsia="Guttman Hodes" w:hint="cs"/>
          <w:rtl/>
        </w:rPr>
      </w:r>
      <w:r w:rsidRPr="002A3F7F">
        <w:rPr>
          <w:rStyle w:val="af7"/>
          <w:rFonts w:eastAsia="Guttman Hodes" w:hint="cs"/>
          <w:rtl/>
        </w:rPr>
        <w:fldChar w:fldCharType="separate"/>
      </w:r>
      <w:r w:rsidR="00345400">
        <w:rPr>
          <w:rStyle w:val="af7"/>
          <w:rFonts w:eastAsia="Guttman Hodes" w:hint="eastAsia"/>
          <w:cs/>
        </w:rPr>
        <w:t>‎</w:t>
      </w:r>
      <w:r w:rsidR="00345400">
        <w:rPr>
          <w:rStyle w:val="af7"/>
          <w:rFonts w:eastAsia="Guttman Hodes" w:hint="eastAsia"/>
          <w:rtl/>
        </w:rPr>
        <w:t>נא</w:t>
      </w:r>
      <w:r w:rsidR="00345400">
        <w:rPr>
          <w:rStyle w:val="af7"/>
          <w:rFonts w:eastAsia="Guttman Hodes"/>
          <w:rtl/>
        </w:rPr>
        <w:t>)</w:t>
      </w:r>
      <w:r w:rsidRPr="002A3F7F">
        <w:rPr>
          <w:rStyle w:val="af7"/>
          <w:rFonts w:eastAsia="Guttman Hodes" w:hint="cs"/>
          <w:rtl/>
        </w:rPr>
        <w:fldChar w:fldCharType="end"/>
      </w:r>
      <w:r w:rsidRPr="002A3F7F">
        <w:rPr>
          <w:rStyle w:val="af7"/>
          <w:rFonts w:eastAsia="Guttman Hodes" w:hint="cs"/>
          <w:rtl/>
        </w:rPr>
        <w:t xml:space="preserve"> </w:t>
      </w:r>
      <w:r>
        <w:rPr>
          <w:rFonts w:hint="cs"/>
          <w:rtl/>
        </w:rPr>
        <w:t xml:space="preserve">דאף בשוחט בהמה אחת צריך לבדוק לאחר השחיטה, היינו רק לכתחילה כשהסכין לפנינו, אבל באבד לא מחזקינן ריעותא, וכ"כ </w:t>
      </w:r>
      <w:r w:rsidRPr="00DF5312">
        <w:rPr>
          <w:rStyle w:val="af9"/>
          <w:rFonts w:hint="cs"/>
          <w:rtl/>
        </w:rPr>
        <w:t>המאירי</w:t>
      </w:r>
      <w:r>
        <w:rPr>
          <w:rFonts w:hint="cs"/>
          <w:rtl/>
        </w:rPr>
        <w:t xml:space="preserve"> </w:t>
      </w:r>
      <w:r w:rsidRPr="002A3F7F">
        <w:rPr>
          <w:rStyle w:val="af7"/>
          <w:rFonts w:eastAsia="Guttman Hodes" w:hint="cs"/>
          <w:rtl/>
        </w:rPr>
        <w:t>(ד"ה יש)</w:t>
      </w:r>
      <w:r>
        <w:rPr>
          <w:rFonts w:hint="cs"/>
          <w:rtl/>
        </w:rPr>
        <w:t xml:space="preserve"> בשם </w:t>
      </w:r>
      <w:r w:rsidRPr="000E16BC">
        <w:rPr>
          <w:rStyle w:val="af9"/>
          <w:rFonts w:hint="cs"/>
          <w:rtl/>
        </w:rPr>
        <w:t>י"א</w:t>
      </w:r>
      <w:r>
        <w:rPr>
          <w:rStyle w:val="af1"/>
          <w:rtl/>
        </w:rPr>
        <w:footnoteReference w:id="36"/>
      </w:r>
      <w:r w:rsidRPr="00C078D8">
        <w:rPr>
          <w:rFonts w:hint="cs"/>
          <w:rtl/>
        </w:rPr>
        <w:t>.</w:t>
      </w:r>
      <w:bookmarkEnd w:id="6225"/>
    </w:p>
    <w:p w14:paraId="27304A3A" w14:textId="77777777" w:rsidR="00533768" w:rsidRDefault="00533768" w:rsidP="006D6D32">
      <w:pPr>
        <w:pStyle w:val="a3"/>
        <w:rPr>
          <w:rtl/>
        </w:rPr>
      </w:pPr>
      <w:bookmarkStart w:id="6226" w:name="_Toc527108447"/>
      <w:bookmarkStart w:id="6227" w:name="_Toc19389742"/>
      <w:bookmarkStart w:id="6228" w:name="_Toc19393239"/>
      <w:bookmarkStart w:id="6229" w:name="_Toc526249271"/>
      <w:bookmarkStart w:id="6230" w:name="_Toc526504113"/>
      <w:bookmarkStart w:id="6231" w:name="_Toc526853038"/>
      <w:bookmarkStart w:id="6232" w:name="_Toc526889952"/>
      <w:r>
        <w:rPr>
          <w:rFonts w:hint="cs"/>
          <w:rtl/>
        </w:rPr>
        <w:t>דברי הרא"ש והמאירי דמדינא אין חיוב בדיקה אחר השחיטה דמעמידים את הסכין בחזקת בדוק</w:t>
      </w:r>
      <w:bookmarkEnd w:id="6226"/>
      <w:bookmarkEnd w:id="6227"/>
      <w:bookmarkEnd w:id="6228"/>
    </w:p>
    <w:p w14:paraId="029C58C2" w14:textId="77777777" w:rsidR="00533768" w:rsidRDefault="00533768" w:rsidP="00223668">
      <w:pPr>
        <w:pStyle w:val="a0"/>
        <w:rPr>
          <w:rtl/>
        </w:rPr>
      </w:pPr>
      <w:bookmarkStart w:id="6233" w:name="_Ref527104250"/>
      <w:r>
        <w:rPr>
          <w:rFonts w:hint="cs"/>
          <w:rtl/>
        </w:rPr>
        <w:t xml:space="preserve">והביא </w:t>
      </w:r>
      <w:r>
        <w:rPr>
          <w:rStyle w:val="af9"/>
          <w:rtl/>
        </w:rPr>
        <w:t>הרא"ש</w:t>
      </w:r>
      <w:r>
        <w:rPr>
          <w:rFonts w:hint="cs"/>
          <w:rtl/>
        </w:rPr>
        <w:t xml:space="preserve"> את דברי </w:t>
      </w:r>
      <w:r>
        <w:rPr>
          <w:rStyle w:val="af9"/>
          <w:rtl/>
        </w:rPr>
        <w:t>הבעה"מ</w:t>
      </w:r>
      <w:r>
        <w:rPr>
          <w:rFonts w:hint="cs"/>
          <w:rtl/>
        </w:rPr>
        <w:t xml:space="preserve"> </w:t>
      </w:r>
      <w:r w:rsidRPr="00CC1E24">
        <w:rPr>
          <w:rStyle w:val="af7"/>
          <w:rFonts w:eastAsia="Guttman Hodes" w:hint="cs"/>
          <w:rtl/>
        </w:rPr>
        <w:t xml:space="preserve">(עי' אות </w:t>
      </w:r>
      <w:r w:rsidRPr="00CC1E24">
        <w:rPr>
          <w:rStyle w:val="af7"/>
          <w:rFonts w:eastAsia="Guttman Hodes"/>
          <w:rtl/>
        </w:rPr>
        <w:fldChar w:fldCharType="begin"/>
      </w:r>
      <w:r w:rsidRPr="00CC1E24">
        <w:rPr>
          <w:rStyle w:val="af7"/>
          <w:rFonts w:eastAsia="Guttman Hodes"/>
          <w:rtl/>
        </w:rPr>
        <w:instrText xml:space="preserve"> </w:instrText>
      </w:r>
      <w:r w:rsidRPr="00CC1E24">
        <w:rPr>
          <w:rStyle w:val="af7"/>
          <w:rFonts w:eastAsia="Guttman Hodes" w:hint="cs"/>
        </w:rPr>
        <w:instrText>REF</w:instrText>
      </w:r>
      <w:r w:rsidRPr="00CC1E24">
        <w:rPr>
          <w:rStyle w:val="af7"/>
          <w:rFonts w:eastAsia="Guttman Hodes" w:hint="cs"/>
          <w:rtl/>
        </w:rPr>
        <w:instrText xml:space="preserve"> _</w:instrText>
      </w:r>
      <w:r w:rsidRPr="00CC1E24">
        <w:rPr>
          <w:rStyle w:val="af7"/>
          <w:rFonts w:eastAsia="Guttman Hodes" w:hint="cs"/>
        </w:rPr>
        <w:instrText>Ref527104144 \r \h</w:instrText>
      </w:r>
      <w:r w:rsidRPr="00CC1E24">
        <w:rPr>
          <w:rStyle w:val="af7"/>
          <w:rFonts w:eastAsia="Guttman Hodes"/>
          <w:rtl/>
        </w:rPr>
        <w:instrText xml:space="preserve"> </w:instrText>
      </w:r>
      <w:r w:rsidRPr="00CC1E24">
        <w:rPr>
          <w:rStyle w:val="af7"/>
          <w:rFonts w:eastAsia="Guttman Hodes"/>
          <w:rtl/>
        </w:rPr>
      </w:r>
      <w:r w:rsidRPr="00CC1E24">
        <w:rPr>
          <w:rStyle w:val="af7"/>
          <w:rFonts w:eastAsia="Guttman Hodes"/>
          <w:rtl/>
        </w:rPr>
        <w:fldChar w:fldCharType="separate"/>
      </w:r>
      <w:r w:rsidR="00345400">
        <w:rPr>
          <w:rStyle w:val="af7"/>
          <w:rFonts w:eastAsia="Guttman Hodes"/>
          <w:cs/>
        </w:rPr>
        <w:t>‎</w:t>
      </w:r>
      <w:r w:rsidR="00345400">
        <w:rPr>
          <w:rStyle w:val="af7"/>
          <w:rFonts w:eastAsia="Guttman Hodes"/>
          <w:rtl/>
        </w:rPr>
        <w:t>עג)</w:t>
      </w:r>
      <w:r w:rsidRPr="00CC1E24">
        <w:rPr>
          <w:rStyle w:val="af7"/>
          <w:rFonts w:eastAsia="Guttman Hodes"/>
          <w:rtl/>
        </w:rPr>
        <w:fldChar w:fldCharType="end"/>
      </w:r>
      <w:r>
        <w:rPr>
          <w:rFonts w:hint="cs"/>
          <w:rtl/>
        </w:rPr>
        <w:t xml:space="preserve"> </w:t>
      </w:r>
      <w:r>
        <w:rPr>
          <w:rStyle w:val="af9"/>
          <w:rtl/>
        </w:rPr>
        <w:t>והעיטור</w:t>
      </w:r>
      <w:r>
        <w:rPr>
          <w:rFonts w:hint="cs"/>
          <w:rtl/>
        </w:rPr>
        <w:t xml:space="preserve"> </w:t>
      </w:r>
      <w:r w:rsidRPr="00CC1E24">
        <w:rPr>
          <w:rStyle w:val="af7"/>
          <w:rFonts w:eastAsia="Guttman Hodes" w:hint="cs"/>
          <w:rtl/>
        </w:rPr>
        <w:t>(שער ב' הלכות שחיטה ח"ב, נד' בקובץ שיטת קמאי חולין ח"א עמ' ר"ג)</w:t>
      </w:r>
      <w:r>
        <w:rPr>
          <w:rFonts w:hint="cs"/>
          <w:rtl/>
        </w:rPr>
        <w:t xml:space="preserve"> דאף בשחיטת הרבה בהמות אין חיוב מדינא לבדוק בין שחיטה לשחיטה, </w:t>
      </w:r>
      <w:bookmarkEnd w:id="6229"/>
      <w:bookmarkEnd w:id="6230"/>
      <w:bookmarkEnd w:id="6231"/>
      <w:bookmarkEnd w:id="6232"/>
      <w:r>
        <w:rPr>
          <w:rFonts w:hint="cs"/>
          <w:rtl/>
        </w:rPr>
        <w:t xml:space="preserve">וכ"כ </w:t>
      </w:r>
      <w:r>
        <w:rPr>
          <w:rStyle w:val="af9"/>
          <w:rtl/>
        </w:rPr>
        <w:t>המאירי</w:t>
      </w:r>
      <w:r>
        <w:rPr>
          <w:rFonts w:hint="cs"/>
          <w:rtl/>
        </w:rPr>
        <w:t xml:space="preserve"> </w:t>
      </w:r>
      <w:r w:rsidRPr="00CC1E24">
        <w:rPr>
          <w:rStyle w:val="af7"/>
          <w:rFonts w:eastAsia="Guttman Hodes" w:hint="cs"/>
          <w:rtl/>
        </w:rPr>
        <w:t>(ד"ה בדק)</w:t>
      </w:r>
      <w:r>
        <w:rPr>
          <w:rFonts w:hint="cs"/>
          <w:rtl/>
        </w:rPr>
        <w:t xml:space="preserve"> דמדינא א"צ לבדוק אחר השחיטה, אף אחר שחיטת הרבה בהמות, דמעמידים את הסכין על חזקתו, וכתב </w:t>
      </w:r>
      <w:r>
        <w:rPr>
          <w:rStyle w:val="af9"/>
          <w:rtl/>
        </w:rPr>
        <w:t>המאירי</w:t>
      </w:r>
      <w:r>
        <w:rPr>
          <w:rFonts w:hint="cs"/>
          <w:rtl/>
        </w:rPr>
        <w:t xml:space="preserve"> דכן מוכח מדברי רב כהנא</w:t>
      </w:r>
      <w:r w:rsidRPr="00CC1E24">
        <w:rPr>
          <w:rStyle w:val="af7"/>
          <w:rFonts w:eastAsia="Guttman Hodes" w:hint="cs"/>
          <w:rtl/>
        </w:rPr>
        <w:t xml:space="preserve"> </w:t>
      </w:r>
      <w:r>
        <w:rPr>
          <w:rFonts w:hint="cs"/>
          <w:rtl/>
        </w:rPr>
        <w:t>דאמר שצריך בדיקה בין שחיטה לשחיטה, ולא אמר שצריך בדיקה אחר כל השחיטות, ומבואר דא"צ לבדוק אחר השחיטה האחרונה.</w:t>
      </w:r>
      <w:bookmarkEnd w:id="6233"/>
    </w:p>
    <w:p w14:paraId="4305BB1B" w14:textId="77777777" w:rsidR="00533768" w:rsidRPr="003208FA" w:rsidRDefault="00533768" w:rsidP="006D6D32">
      <w:pPr>
        <w:pStyle w:val="a3"/>
        <w:rPr>
          <w:rtl/>
        </w:rPr>
      </w:pPr>
      <w:bookmarkStart w:id="6234" w:name="_Toc527108448"/>
      <w:bookmarkStart w:id="6235" w:name="_Toc19389743"/>
      <w:bookmarkStart w:id="6236" w:name="_Toc19393240"/>
      <w:r>
        <w:rPr>
          <w:rFonts w:hint="cs"/>
          <w:rtl/>
        </w:rPr>
        <w:t>דברי הרא"ה דאף אחר שחיטת אלף בהמות א"צ לבדוק</w:t>
      </w:r>
      <w:bookmarkEnd w:id="6234"/>
      <w:bookmarkEnd w:id="6235"/>
      <w:bookmarkEnd w:id="6236"/>
    </w:p>
    <w:p w14:paraId="4DE7D03B" w14:textId="77777777" w:rsidR="00533768" w:rsidRPr="006134EC" w:rsidRDefault="00533768" w:rsidP="00223668">
      <w:pPr>
        <w:pStyle w:val="a0"/>
        <w:rPr>
          <w:rtl/>
        </w:rPr>
      </w:pPr>
      <w:r>
        <w:rPr>
          <w:rFonts w:hint="cs"/>
          <w:rtl/>
        </w:rPr>
        <w:t>וכ"כ</w:t>
      </w:r>
      <w:r>
        <w:rPr>
          <w:rStyle w:val="af9"/>
          <w:rFonts w:hint="cs"/>
          <w:rtl/>
        </w:rPr>
        <w:t xml:space="preserve"> </w:t>
      </w:r>
      <w:r>
        <w:rPr>
          <w:rStyle w:val="af9"/>
          <w:rtl/>
        </w:rPr>
        <w:t>הרא"ה בחי'</w:t>
      </w:r>
      <w:r>
        <w:rPr>
          <w:rFonts w:hint="cs"/>
          <w:rtl/>
        </w:rPr>
        <w:t xml:space="preserve"> </w:t>
      </w:r>
      <w:r>
        <w:rPr>
          <w:rStyle w:val="af7"/>
          <w:rFonts w:eastAsia="Guttman Hodes" w:hint="cs"/>
          <w:rtl/>
        </w:rPr>
        <w:t xml:space="preserve">(סוד"ה איתמר) </w:t>
      </w:r>
      <w:r>
        <w:rPr>
          <w:rFonts w:hint="cs"/>
          <w:rtl/>
        </w:rPr>
        <w:t>ד</w:t>
      </w:r>
      <w:r w:rsidRPr="006134EC">
        <w:rPr>
          <w:rFonts w:hint="cs"/>
          <w:rtl/>
        </w:rPr>
        <w:t xml:space="preserve">כתחילה א"צ בדיקה אחר השחיטה כלל, בין אחר בהמה אחת, ובין אחר אלף בהמות, </w:t>
      </w:r>
      <w:r>
        <w:rPr>
          <w:rFonts w:hint="cs"/>
          <w:rtl/>
        </w:rPr>
        <w:t xml:space="preserve">ובאבד הסכין אחר שחיטת הרבה בהמות כולם כשרות, </w:t>
      </w:r>
      <w:r w:rsidRPr="006134EC">
        <w:rPr>
          <w:rFonts w:hint="cs"/>
          <w:rtl/>
        </w:rPr>
        <w:t>אלא דאם בודק אחר השחיטה מועיל שאם ימצא פגום לא יפסול את כולם.</w:t>
      </w:r>
    </w:p>
    <w:p w14:paraId="512C349C" w14:textId="77777777" w:rsidR="00533768" w:rsidRDefault="00533768" w:rsidP="00BF39B2">
      <w:pPr>
        <w:pStyle w:val="1"/>
        <w:rPr>
          <w:rtl/>
        </w:rPr>
      </w:pPr>
      <w:bookmarkStart w:id="6237" w:name="_Toc527108449"/>
      <w:bookmarkStart w:id="6238" w:name="_Toc19389744"/>
      <w:bookmarkStart w:id="6239" w:name="_Toc19393241"/>
      <w:r>
        <w:rPr>
          <w:rFonts w:hint="cs"/>
          <w:rtl/>
        </w:rPr>
        <w:t>דברי הי"א במאירי דיש חילוק בין חתך את המפרקת לנגע בה</w:t>
      </w:r>
      <w:bookmarkEnd w:id="6237"/>
      <w:bookmarkEnd w:id="6238"/>
      <w:bookmarkEnd w:id="6239"/>
    </w:p>
    <w:p w14:paraId="27EB21F6" w14:textId="77777777" w:rsidR="00533768" w:rsidRPr="00BA06EC" w:rsidRDefault="00533768" w:rsidP="006D6D32">
      <w:pPr>
        <w:pStyle w:val="a3"/>
        <w:rPr>
          <w:rtl/>
        </w:rPr>
      </w:pPr>
      <w:bookmarkStart w:id="6240" w:name="_Toc527108450"/>
      <w:bookmarkStart w:id="6241" w:name="_Toc19389745"/>
      <w:bookmarkStart w:id="6242" w:name="_Toc19393242"/>
      <w:r>
        <w:rPr>
          <w:rFonts w:hint="cs"/>
          <w:rtl/>
        </w:rPr>
        <w:t>דברי המאירי דדוקא בחתך את המפרקת תלינן לחומרא אבל בנגיעה במפרקת לא חיישינן</w:t>
      </w:r>
      <w:bookmarkEnd w:id="6240"/>
      <w:bookmarkEnd w:id="6241"/>
      <w:bookmarkEnd w:id="6242"/>
    </w:p>
    <w:p w14:paraId="02829351" w14:textId="77777777" w:rsidR="00533768" w:rsidRDefault="00533768" w:rsidP="00223668">
      <w:pPr>
        <w:pStyle w:val="a0"/>
        <w:rPr>
          <w:rtl/>
        </w:rPr>
      </w:pPr>
      <w:r>
        <w:rPr>
          <w:rFonts w:hint="cs"/>
          <w:rtl/>
        </w:rPr>
        <w:t xml:space="preserve">כתב </w:t>
      </w:r>
      <w:r w:rsidRPr="00DF5312">
        <w:rPr>
          <w:rStyle w:val="af9"/>
          <w:rFonts w:hint="cs"/>
          <w:rtl/>
        </w:rPr>
        <w:t>המאירי</w:t>
      </w:r>
      <w:r>
        <w:rPr>
          <w:rFonts w:hint="cs"/>
          <w:rtl/>
        </w:rPr>
        <w:t xml:space="preserve"> </w:t>
      </w:r>
      <w:r w:rsidRPr="00DF5312">
        <w:rPr>
          <w:rStyle w:val="af7"/>
          <w:rFonts w:eastAsia="Guttman Hodes" w:hint="cs"/>
          <w:rtl/>
        </w:rPr>
        <w:t>(ד"ה יש)</w:t>
      </w:r>
      <w:r>
        <w:rPr>
          <w:rFonts w:hint="cs"/>
          <w:rtl/>
        </w:rPr>
        <w:t xml:space="preserve"> דאף לדעת הסוברים דאם נגע הסכין במפרקת, כל הבהמות ששחט אחריה פסולות, זהו דוקא אם חתך הסכין במפרקת, אבל אם רק רק נגע הסכין במפרקת לא חיישינן שנפגם בזה.</w:t>
      </w:r>
    </w:p>
    <w:p w14:paraId="665A3FB3" w14:textId="77777777" w:rsidR="00533768" w:rsidRDefault="00533768" w:rsidP="00BF39B2">
      <w:pPr>
        <w:pStyle w:val="1"/>
        <w:rPr>
          <w:rtl/>
        </w:rPr>
      </w:pPr>
      <w:bookmarkStart w:id="6243" w:name="_Toc527108451"/>
      <w:bookmarkStart w:id="6244" w:name="_Toc19389746"/>
      <w:bookmarkStart w:id="6245" w:name="_Toc19393243"/>
      <w:bookmarkEnd w:id="6124"/>
      <w:bookmarkEnd w:id="6125"/>
      <w:bookmarkEnd w:id="6126"/>
      <w:r>
        <w:rPr>
          <w:rFonts w:hint="cs"/>
          <w:rtl/>
        </w:rPr>
        <w:t>דעת הרא"ה דבעשה הסכין רושם במפרקת חשיב כשיבר עצמות</w:t>
      </w:r>
      <w:bookmarkEnd w:id="6243"/>
      <w:bookmarkEnd w:id="6244"/>
      <w:bookmarkEnd w:id="6245"/>
    </w:p>
    <w:p w14:paraId="2F4A957D" w14:textId="77777777" w:rsidR="00533768" w:rsidRPr="00DE4BC5" w:rsidRDefault="00533768" w:rsidP="006D6D32">
      <w:pPr>
        <w:pStyle w:val="a3"/>
        <w:rPr>
          <w:rtl/>
        </w:rPr>
      </w:pPr>
      <w:bookmarkStart w:id="6246" w:name="_Toc527108452"/>
      <w:bookmarkStart w:id="6247" w:name="_Toc19389747"/>
      <w:bookmarkStart w:id="6248" w:name="_Toc19393244"/>
      <w:r>
        <w:rPr>
          <w:rFonts w:hint="cs"/>
          <w:rtl/>
        </w:rPr>
        <w:t>דברי הרא"ה דרב כהנא איירי בספק אם נגע במפרקת ולכן בנמצא פגום כולם אסורות</w:t>
      </w:r>
      <w:bookmarkEnd w:id="6246"/>
      <w:bookmarkEnd w:id="6247"/>
      <w:bookmarkEnd w:id="6248"/>
    </w:p>
    <w:p w14:paraId="5B55B69F" w14:textId="77777777" w:rsidR="00533768" w:rsidRPr="00C922AE" w:rsidRDefault="00533768" w:rsidP="00223668">
      <w:pPr>
        <w:pStyle w:val="a0"/>
        <w:rPr>
          <w:rtl/>
        </w:rPr>
      </w:pPr>
      <w:r>
        <w:rPr>
          <w:rStyle w:val="af9"/>
          <w:rFonts w:hint="cs"/>
          <w:rtl/>
        </w:rPr>
        <w:t>ו</w:t>
      </w:r>
      <w:r w:rsidRPr="006134EC">
        <w:rPr>
          <w:rStyle w:val="af9"/>
          <w:rFonts w:hint="cs"/>
          <w:rtl/>
        </w:rPr>
        <w:t>הרא"ה בחי'</w:t>
      </w:r>
      <w:r w:rsidRPr="006134EC">
        <w:rPr>
          <w:rFonts w:hint="cs"/>
          <w:rtl/>
        </w:rPr>
        <w:t xml:space="preserve"> </w:t>
      </w:r>
      <w:r w:rsidRPr="00C52629">
        <w:rPr>
          <w:rStyle w:val="af7"/>
          <w:rFonts w:eastAsia="Guttman Hodes" w:hint="cs"/>
          <w:rtl/>
        </w:rPr>
        <w:t>(סוד"ה איתמר)</w:t>
      </w:r>
      <w:r>
        <w:rPr>
          <w:rFonts w:hint="cs"/>
          <w:rtl/>
        </w:rPr>
        <w:t xml:space="preserve"> כתב דדברי רב כהנא שצריך לבדוק בין שחיטה לשחיטה, ואם לא בדק ונמצא הסכין פגום כולם אסורות, היינו </w:t>
      </w:r>
      <w:r w:rsidRPr="00C922AE">
        <w:rPr>
          <w:rFonts w:hint="cs"/>
          <w:rtl/>
        </w:rPr>
        <w:t xml:space="preserve">במקום שלא ידוע </w:t>
      </w:r>
      <w:r w:rsidRPr="00DF5281">
        <w:rPr>
          <w:rFonts w:hint="cs"/>
          <w:rtl/>
        </w:rPr>
        <w:t xml:space="preserve">אם נגע הסכין במפרקת, והוי כלא שיבר בה עצמות, [וכדביאר </w:t>
      </w:r>
      <w:r w:rsidRPr="00DF5281">
        <w:rPr>
          <w:rStyle w:val="af9"/>
          <w:rFonts w:hint="cs"/>
          <w:rtl/>
        </w:rPr>
        <w:t>הרא"ה</w:t>
      </w:r>
      <w:r w:rsidRPr="00DF5281">
        <w:rPr>
          <w:rFonts w:hint="cs"/>
          <w:rtl/>
        </w:rPr>
        <w:t xml:space="preserve"> </w:t>
      </w:r>
      <w:r>
        <w:rPr>
          <w:rStyle w:val="af7"/>
          <w:rFonts w:eastAsia="Guttman Hodes" w:hint="cs"/>
          <w:rtl/>
        </w:rPr>
        <w:t xml:space="preserve"> (</w:t>
      </w:r>
      <w:r w:rsidRPr="00DF5281">
        <w:rPr>
          <w:rStyle w:val="af7"/>
          <w:rFonts w:eastAsia="Guttman Hodes" w:hint="cs"/>
          <w:rtl/>
        </w:rPr>
        <w:t xml:space="preserve">עי' אות </w:t>
      </w:r>
      <w:r w:rsidRPr="00DF5281">
        <w:rPr>
          <w:rStyle w:val="af7"/>
          <w:rFonts w:eastAsia="Guttman Hodes"/>
          <w:rtl/>
        </w:rPr>
        <w:fldChar w:fldCharType="begin"/>
      </w:r>
      <w:r w:rsidRPr="00DF5281">
        <w:rPr>
          <w:rStyle w:val="af7"/>
          <w:rFonts w:eastAsia="Guttman Hodes"/>
          <w:rtl/>
        </w:rPr>
        <w:instrText xml:space="preserve"> </w:instrText>
      </w:r>
      <w:r w:rsidRPr="00DF5281">
        <w:rPr>
          <w:rStyle w:val="af7"/>
          <w:rFonts w:eastAsia="Guttman Hodes" w:hint="cs"/>
        </w:rPr>
        <w:instrText>REF</w:instrText>
      </w:r>
      <w:r w:rsidRPr="00DF5281">
        <w:rPr>
          <w:rStyle w:val="af7"/>
          <w:rFonts w:eastAsia="Guttman Hodes" w:hint="cs"/>
          <w:rtl/>
        </w:rPr>
        <w:instrText xml:space="preserve"> _</w:instrText>
      </w:r>
      <w:r w:rsidRPr="00DF5281">
        <w:rPr>
          <w:rStyle w:val="af7"/>
          <w:rFonts w:eastAsia="Guttman Hodes" w:hint="cs"/>
        </w:rPr>
        <w:instrText>Ref526869070 \r \h</w:instrText>
      </w:r>
      <w:r w:rsidRPr="00DF5281">
        <w:rPr>
          <w:rStyle w:val="af7"/>
          <w:rFonts w:eastAsia="Guttman Hodes"/>
          <w:rtl/>
        </w:rPr>
        <w:instrText xml:space="preserve"> </w:instrText>
      </w:r>
      <w:r w:rsidRPr="00DF5281">
        <w:rPr>
          <w:rStyle w:val="af7"/>
          <w:rFonts w:eastAsia="Guttman Hodes"/>
          <w:rtl/>
        </w:rPr>
      </w:r>
      <w:r w:rsidRPr="00DF5281">
        <w:rPr>
          <w:rStyle w:val="af7"/>
          <w:rFonts w:eastAsia="Guttman Hodes"/>
          <w:rtl/>
        </w:rPr>
        <w:fldChar w:fldCharType="separate"/>
      </w:r>
      <w:r w:rsidR="00345400">
        <w:rPr>
          <w:rStyle w:val="af7"/>
          <w:rFonts w:eastAsia="Guttman Hodes"/>
          <w:cs/>
        </w:rPr>
        <w:t>‎</w:t>
      </w:r>
      <w:r w:rsidR="00345400">
        <w:rPr>
          <w:rStyle w:val="af7"/>
          <w:rFonts w:eastAsia="Guttman Hodes"/>
          <w:rtl/>
        </w:rPr>
        <w:t>כב)</w:t>
      </w:r>
      <w:r w:rsidRPr="00DF5281">
        <w:rPr>
          <w:rStyle w:val="af7"/>
          <w:rFonts w:eastAsia="Guttman Hodes"/>
          <w:rtl/>
        </w:rPr>
        <w:fldChar w:fldCharType="end"/>
      </w:r>
      <w:r w:rsidRPr="00DF5281">
        <w:rPr>
          <w:rFonts w:hint="cs"/>
          <w:rtl/>
        </w:rPr>
        <w:t xml:space="preserve"> דפלוגתת רב הונא ורב חסדא, היא רק בספק נגע</w:t>
      </w:r>
      <w:r>
        <w:rPr>
          <w:rFonts w:hint="cs"/>
          <w:rtl/>
        </w:rPr>
        <w:t xml:space="preserve"> במפרקת, אבל בודאי לא נגע במפרקת, מודה רב הונא דכשר, ובודאי נגע במפרקת הוי כשיבר בה עצמות</w:t>
      </w:r>
      <w:r w:rsidRPr="00C922AE">
        <w:rPr>
          <w:rFonts w:hint="cs"/>
          <w:rtl/>
        </w:rPr>
        <w:t>].</w:t>
      </w:r>
    </w:p>
    <w:p w14:paraId="024BE648" w14:textId="77777777" w:rsidR="00533768" w:rsidRPr="009E3EF5" w:rsidRDefault="00533768" w:rsidP="006D6D32">
      <w:pPr>
        <w:pStyle w:val="a3"/>
      </w:pPr>
      <w:bookmarkStart w:id="6249" w:name="_Toc527108453"/>
      <w:bookmarkStart w:id="6250" w:name="_Toc19389748"/>
      <w:bookmarkStart w:id="6251" w:name="_Toc19393245"/>
      <w:r>
        <w:rPr>
          <w:rFonts w:hint="cs"/>
          <w:rtl/>
        </w:rPr>
        <w:t>דברי הרא"ה דבנגע הסכין במפרקת ועשה בה רושם חשיב כשיבר עצמות</w:t>
      </w:r>
      <w:bookmarkEnd w:id="6249"/>
      <w:bookmarkEnd w:id="6250"/>
      <w:bookmarkEnd w:id="6251"/>
    </w:p>
    <w:p w14:paraId="34CDF694" w14:textId="77777777" w:rsidR="00533768" w:rsidRDefault="00533768" w:rsidP="00223668">
      <w:pPr>
        <w:pStyle w:val="a0"/>
        <w:rPr>
          <w:rtl/>
        </w:rPr>
      </w:pPr>
      <w:r w:rsidRPr="009E3EF5">
        <w:rPr>
          <w:rFonts w:hint="cs"/>
          <w:rtl/>
        </w:rPr>
        <w:t xml:space="preserve">ובמקום שודאי נגע במפרקת כתב </w:t>
      </w:r>
      <w:r w:rsidRPr="00C52629">
        <w:rPr>
          <w:rStyle w:val="af9"/>
          <w:rFonts w:hint="cs"/>
          <w:rtl/>
        </w:rPr>
        <w:t>הרא"ה בחי' ובבד"ה</w:t>
      </w:r>
      <w:r w:rsidRPr="009E3EF5">
        <w:rPr>
          <w:rFonts w:hint="cs"/>
          <w:rtl/>
        </w:rPr>
        <w:t xml:space="preserve"> </w:t>
      </w:r>
      <w:r w:rsidRPr="009E3EF5">
        <w:rPr>
          <w:rStyle w:val="af7"/>
          <w:rFonts w:eastAsia="Guttman Hodes" w:hint="cs"/>
          <w:rtl/>
        </w:rPr>
        <w:t>(ב"א ש"ב דף טז. מדה"ס)</w:t>
      </w:r>
      <w:r w:rsidRPr="009E3EF5">
        <w:rPr>
          <w:rFonts w:hint="cs"/>
          <w:rtl/>
        </w:rPr>
        <w:t xml:space="preserve"> דחשיב כשיבר בה עצמות,</w:t>
      </w:r>
      <w:r>
        <w:rPr>
          <w:rFonts w:hint="cs"/>
          <w:rtl/>
        </w:rPr>
        <w:t xml:space="preserve"> </w:t>
      </w:r>
      <w:r w:rsidRPr="009E3EF5">
        <w:rPr>
          <w:rFonts w:hint="cs"/>
          <w:rtl/>
        </w:rPr>
        <w:t xml:space="preserve">אך </w:t>
      </w:r>
      <w:r>
        <w:rPr>
          <w:rFonts w:hint="cs"/>
          <w:rtl/>
        </w:rPr>
        <w:t>הוסיף</w:t>
      </w:r>
      <w:r w:rsidRPr="009E3EF5">
        <w:rPr>
          <w:rFonts w:hint="cs"/>
          <w:rtl/>
        </w:rPr>
        <w:t xml:space="preserve"> </w:t>
      </w:r>
      <w:r w:rsidRPr="009E3EF5">
        <w:rPr>
          <w:rStyle w:val="af9"/>
          <w:rFonts w:hint="cs"/>
          <w:rtl/>
        </w:rPr>
        <w:t>הרא"ה בבד"ה</w:t>
      </w:r>
      <w:r w:rsidRPr="009E3EF5">
        <w:rPr>
          <w:rFonts w:hint="cs"/>
          <w:rtl/>
        </w:rPr>
        <w:t xml:space="preserve"> דדוקא במקום שעשה הסכין רושם במפרקת, </w:t>
      </w:r>
      <w:r>
        <w:rPr>
          <w:rFonts w:hint="cs"/>
          <w:rtl/>
        </w:rPr>
        <w:t>חשיב כשיבר בה עצמות.</w:t>
      </w:r>
    </w:p>
    <w:p w14:paraId="5C795BDD" w14:textId="77777777" w:rsidR="00533768" w:rsidRPr="001C227A" w:rsidRDefault="00533768" w:rsidP="006D6D32">
      <w:pPr>
        <w:pStyle w:val="a3"/>
      </w:pPr>
      <w:bookmarkStart w:id="6252" w:name="_Toc527108454"/>
      <w:bookmarkStart w:id="6253" w:name="_Toc19389749"/>
      <w:bookmarkStart w:id="6254" w:name="_Toc19393246"/>
      <w:r>
        <w:rPr>
          <w:rFonts w:hint="cs"/>
          <w:rtl/>
        </w:rPr>
        <w:t>דברי הרא"ה דבנגע הסכין במפרקת ולא עשה בה רושם הוא ספק וצריך להחמיר</w:t>
      </w:r>
      <w:bookmarkEnd w:id="6252"/>
      <w:bookmarkEnd w:id="6253"/>
      <w:bookmarkEnd w:id="6254"/>
    </w:p>
    <w:p w14:paraId="36C624CC" w14:textId="77777777" w:rsidR="00533768" w:rsidRDefault="00533768" w:rsidP="00223668">
      <w:pPr>
        <w:pStyle w:val="a0"/>
        <w:rPr>
          <w:rtl/>
        </w:rPr>
      </w:pPr>
      <w:r>
        <w:rPr>
          <w:rFonts w:hint="cs"/>
          <w:rtl/>
        </w:rPr>
        <w:t>ו</w:t>
      </w:r>
      <w:r w:rsidRPr="009E3EF5">
        <w:rPr>
          <w:rFonts w:hint="cs"/>
          <w:rtl/>
        </w:rPr>
        <w:t xml:space="preserve">כתב </w:t>
      </w:r>
      <w:r w:rsidRPr="009E3EF5">
        <w:rPr>
          <w:rStyle w:val="af9"/>
          <w:rFonts w:hint="cs"/>
          <w:rtl/>
        </w:rPr>
        <w:t>הרא"ה בבד"ה</w:t>
      </w:r>
      <w:r w:rsidRPr="009E3EF5">
        <w:rPr>
          <w:rFonts w:hint="cs"/>
          <w:rtl/>
        </w:rPr>
        <w:t xml:space="preserve"> </w:t>
      </w:r>
      <w:r>
        <w:rPr>
          <w:rFonts w:hint="cs"/>
          <w:rtl/>
        </w:rPr>
        <w:t>ד</w:t>
      </w:r>
      <w:r w:rsidRPr="009E3EF5">
        <w:rPr>
          <w:rFonts w:hint="cs"/>
          <w:rtl/>
        </w:rPr>
        <w:t xml:space="preserve">במקום שלא עשה הסכין רושם במפרקת, </w:t>
      </w:r>
      <w:r>
        <w:rPr>
          <w:rFonts w:hint="cs"/>
          <w:rtl/>
        </w:rPr>
        <w:t>ד</w:t>
      </w:r>
      <w:r w:rsidRPr="009E3EF5">
        <w:rPr>
          <w:rFonts w:hint="cs"/>
          <w:rtl/>
        </w:rPr>
        <w:t>הוא ספק אי חשיב כשיבר בה עצמות</w:t>
      </w:r>
      <w:r>
        <w:rPr>
          <w:rFonts w:hint="cs"/>
          <w:rtl/>
        </w:rPr>
        <w:t xml:space="preserve">, </w:t>
      </w:r>
      <w:r w:rsidRPr="009E3EF5">
        <w:rPr>
          <w:rFonts w:hint="cs"/>
          <w:rtl/>
        </w:rPr>
        <w:t xml:space="preserve">ולכן בשחט כמה בהמות ונגע במפרקת של הראשונה ולא עשה רושם, </w:t>
      </w:r>
      <w:r>
        <w:rPr>
          <w:rFonts w:hint="cs"/>
          <w:rtl/>
        </w:rPr>
        <w:t xml:space="preserve">ולא בדק בין אחר שחיטת הראשונה, </w:t>
      </w:r>
      <w:r w:rsidRPr="009E3EF5">
        <w:rPr>
          <w:rFonts w:hint="cs"/>
          <w:rtl/>
        </w:rPr>
        <w:t>צריך להחמיר שמא הוא כשיבר בה עצמות, ויצאה הסכין מחזקת בדוק, והאחרונות אסורות</w:t>
      </w:r>
      <w:r>
        <w:rPr>
          <w:rFonts w:hint="cs"/>
          <w:rtl/>
        </w:rPr>
        <w:t>.</w:t>
      </w:r>
    </w:p>
    <w:p w14:paraId="6A7E7515" w14:textId="77777777" w:rsidR="00533768" w:rsidRPr="003208FA" w:rsidRDefault="00533768" w:rsidP="006D6D32">
      <w:pPr>
        <w:pStyle w:val="a3"/>
      </w:pPr>
      <w:bookmarkStart w:id="6255" w:name="_Toc527108455"/>
      <w:bookmarkStart w:id="6256" w:name="_Toc19389750"/>
      <w:bookmarkStart w:id="6257" w:name="_Toc19393247"/>
      <w:r>
        <w:rPr>
          <w:rFonts w:hint="cs"/>
          <w:rtl/>
        </w:rPr>
        <w:t>דברי הרא"ה דבודאי נגע באחרונה ולא עשה רושם ונמצא פגום כולם אסורות מספק</w:t>
      </w:r>
      <w:bookmarkEnd w:id="6255"/>
      <w:bookmarkEnd w:id="6256"/>
      <w:bookmarkEnd w:id="6257"/>
    </w:p>
    <w:p w14:paraId="105E91B4" w14:textId="77777777" w:rsidR="00533768" w:rsidRDefault="00533768" w:rsidP="00223668">
      <w:pPr>
        <w:pStyle w:val="a0"/>
        <w:rPr>
          <w:rtl/>
        </w:rPr>
      </w:pPr>
      <w:r w:rsidRPr="009E3EF5">
        <w:rPr>
          <w:rFonts w:hint="cs"/>
          <w:rtl/>
        </w:rPr>
        <w:t>ו</w:t>
      </w:r>
      <w:r>
        <w:rPr>
          <w:rFonts w:hint="cs"/>
          <w:rtl/>
        </w:rPr>
        <w:t>הוסיף</w:t>
      </w:r>
      <w:r w:rsidRPr="009E3EF5">
        <w:rPr>
          <w:rFonts w:hint="cs"/>
          <w:rtl/>
        </w:rPr>
        <w:t xml:space="preserve"> </w:t>
      </w:r>
      <w:r w:rsidRPr="009E3EF5">
        <w:rPr>
          <w:rStyle w:val="af9"/>
          <w:rFonts w:hint="cs"/>
          <w:rtl/>
        </w:rPr>
        <w:t>הרא</w:t>
      </w:r>
      <w:r w:rsidRPr="00C72327">
        <w:rPr>
          <w:rStyle w:val="af9"/>
          <w:rFonts w:hint="cs"/>
          <w:rtl/>
        </w:rPr>
        <w:t>"ה בבד"ה</w:t>
      </w:r>
      <w:r w:rsidRPr="00C72327">
        <w:rPr>
          <w:rFonts w:hint="cs"/>
          <w:rtl/>
        </w:rPr>
        <w:t xml:space="preserve"> דכן להיפך במקום שודאי נגע במפרקת של האחרונה ולא עשה בה רושם, ואח"כ נמצא הסכין פגום, דיש להחמיר דכולם אסורות שמא לא חשיב כשיבר בה עצמות, וקיי"ל בזה כרב הונא דאסורות שמא נפגם בעור של הראשונה.</w:t>
      </w:r>
    </w:p>
    <w:p w14:paraId="17086F86" w14:textId="77777777" w:rsidR="00533768" w:rsidRDefault="00533768" w:rsidP="00BF39B2">
      <w:pPr>
        <w:pStyle w:val="1"/>
        <w:rPr>
          <w:rtl/>
        </w:rPr>
      </w:pPr>
      <w:bookmarkStart w:id="6258" w:name="_Toc526249272"/>
      <w:bookmarkStart w:id="6259" w:name="_Toc525594393"/>
      <w:bookmarkStart w:id="6260" w:name="_Toc524638732"/>
      <w:bookmarkStart w:id="6261" w:name="_Toc526504150"/>
      <w:bookmarkStart w:id="6262" w:name="_Toc526853047"/>
      <w:bookmarkStart w:id="6263" w:name="_Toc526889957"/>
      <w:bookmarkStart w:id="6264" w:name="_Toc527108456"/>
      <w:bookmarkStart w:id="6265" w:name="_Toc19389751"/>
      <w:bookmarkStart w:id="6266" w:name="_Toc19393248"/>
      <w:bookmarkEnd w:id="6109"/>
      <w:bookmarkEnd w:id="6110"/>
      <w:r>
        <w:rPr>
          <w:rFonts w:hint="cs"/>
          <w:rtl/>
        </w:rPr>
        <w:t xml:space="preserve">קושית הגרעק"א על </w:t>
      </w:r>
      <w:bookmarkEnd w:id="6258"/>
      <w:bookmarkEnd w:id="6259"/>
      <w:bookmarkEnd w:id="6260"/>
      <w:bookmarkEnd w:id="6261"/>
      <w:bookmarkEnd w:id="6262"/>
      <w:bookmarkEnd w:id="6263"/>
      <w:r>
        <w:rPr>
          <w:rFonts w:hint="cs"/>
          <w:rtl/>
        </w:rPr>
        <w:t>הראב"ד דאף לל"ב הסכין בחזקת בדוק</w:t>
      </w:r>
      <w:bookmarkEnd w:id="6264"/>
      <w:bookmarkEnd w:id="6265"/>
      <w:bookmarkEnd w:id="6266"/>
    </w:p>
    <w:p w14:paraId="39AB25F2" w14:textId="77777777" w:rsidR="00533768" w:rsidRDefault="00533768" w:rsidP="006D6D32">
      <w:pPr>
        <w:pStyle w:val="a3"/>
        <w:rPr>
          <w:rtl/>
        </w:rPr>
      </w:pPr>
      <w:bookmarkStart w:id="6267" w:name="_Toc527108457"/>
      <w:bookmarkStart w:id="6268" w:name="_Toc19389752"/>
      <w:bookmarkStart w:id="6269" w:name="_Toc19393249"/>
      <w:r>
        <w:rPr>
          <w:rFonts w:hint="cs"/>
          <w:rtl/>
        </w:rPr>
        <w:t>קושית הגרעק"א דרק בנמצא פגום חיישינן למפרקת הראשונה אבל באבד אף לל"ק כשר</w:t>
      </w:r>
      <w:bookmarkEnd w:id="6267"/>
      <w:bookmarkEnd w:id="6268"/>
      <w:bookmarkEnd w:id="6269"/>
    </w:p>
    <w:p w14:paraId="75DB8C94" w14:textId="77777777" w:rsidR="00533768" w:rsidRDefault="00533768" w:rsidP="00223668">
      <w:pPr>
        <w:pStyle w:val="a0"/>
        <w:rPr>
          <w:rtl/>
        </w:rPr>
      </w:pPr>
      <w:bookmarkStart w:id="6270" w:name="_Ref523946616"/>
      <w:r>
        <w:rPr>
          <w:rStyle w:val="af9"/>
          <w:rtl/>
        </w:rPr>
        <w:t>הגרעק"א</w:t>
      </w:r>
      <w:r>
        <w:rPr>
          <w:rFonts w:hint="cs"/>
          <w:rtl/>
        </w:rPr>
        <w:t xml:space="preserve"> </w:t>
      </w:r>
      <w:r>
        <w:rPr>
          <w:rStyle w:val="af7"/>
          <w:rFonts w:eastAsia="Guttman Hodes" w:hint="cs"/>
          <w:rtl/>
        </w:rPr>
        <w:t xml:space="preserve">(ד"ה לא כר"ח) </w:t>
      </w:r>
      <w:r>
        <w:rPr>
          <w:rFonts w:hint="cs"/>
          <w:rtl/>
        </w:rPr>
        <w:t xml:space="preserve">הביא את דברי </w:t>
      </w:r>
      <w:r>
        <w:rPr>
          <w:rStyle w:val="af9"/>
          <w:rtl/>
        </w:rPr>
        <w:t>הרשב"א</w:t>
      </w:r>
      <w:r>
        <w:rPr>
          <w:rFonts w:hint="cs"/>
          <w:rtl/>
        </w:rPr>
        <w:t xml:space="preserve"> </w:t>
      </w:r>
      <w:r>
        <w:rPr>
          <w:rStyle w:val="af7"/>
          <w:rFonts w:eastAsia="Guttman Hodes" w:hint="cs"/>
          <w:rtl/>
        </w:rPr>
        <w:t xml:space="preserve">(עי' אות </w:t>
      </w:r>
      <w:r>
        <w:rPr>
          <w:rFont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Ref523946681 \r \h</w:instrText>
      </w:r>
      <w:r>
        <w:rPr>
          <w:rStyle w:val="af7"/>
          <w:rFonts w:eastAsia="Guttman Hodes" w:hint="cs"/>
          <w:rtl/>
        </w:rPr>
        <w:instrText xml:space="preserve"> </w:instrText>
      </w:r>
      <w:r>
        <w:rPr>
          <w:rFonts w:hint="cs"/>
          <w:rtl/>
        </w:rPr>
      </w:r>
      <w:r>
        <w:rPr>
          <w:rFonts w:hint="cs"/>
          <w:rtl/>
        </w:rPr>
        <w:fldChar w:fldCharType="separate"/>
      </w:r>
      <w:r w:rsidR="00345400">
        <w:rPr>
          <w:rStyle w:val="af7"/>
          <w:rFonts w:eastAsia="Guttman Hodes" w:hint="eastAsia"/>
          <w:cs/>
        </w:rPr>
        <w:t>‎</w:t>
      </w:r>
      <w:r w:rsidR="00345400">
        <w:rPr>
          <w:rStyle w:val="af7"/>
          <w:rFonts w:eastAsia="Guttman Hodes" w:hint="eastAsia"/>
          <w:rtl/>
        </w:rPr>
        <w:t>סב</w:t>
      </w:r>
      <w:r w:rsidR="00345400">
        <w:rPr>
          <w:rStyle w:val="af7"/>
          <w:rFonts w:eastAsia="Guttman Hodes"/>
          <w:rtl/>
        </w:rPr>
        <w:t>)</w:t>
      </w:r>
      <w:r>
        <w:rPr>
          <w:rFonts w:hint="cs"/>
          <w:rtl/>
        </w:rPr>
        <w:fldChar w:fldCharType="end"/>
      </w:r>
      <w:r>
        <w:rPr>
          <w:rFonts w:hint="cs"/>
          <w:rtl/>
        </w:rPr>
        <w:t xml:space="preserve"> בשם </w:t>
      </w:r>
      <w:r>
        <w:rPr>
          <w:rStyle w:val="af9"/>
          <w:rtl/>
        </w:rPr>
        <w:t>הראב"ד</w:t>
      </w:r>
      <w:r>
        <w:rPr>
          <w:rFonts w:hint="cs"/>
          <w:rtl/>
        </w:rPr>
        <w:t xml:space="preserve"> דקיי"ל כלישנא דרב כהנא כרב חסדא דהיא לחומרא, ואף </w:t>
      </w:r>
      <w:r>
        <w:rPr>
          <w:rStyle w:val="af9"/>
          <w:rtl/>
        </w:rPr>
        <w:t>הרשב"א</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Ref527025117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עו)</w:t>
      </w:r>
      <w:r>
        <w:rPr>
          <w:rStyle w:val="af7"/>
          <w:rFonts w:eastAsia="Guttman Hodes"/>
          <w:rtl/>
        </w:rPr>
        <w:fldChar w:fldCharType="end"/>
      </w:r>
      <w:r>
        <w:rPr>
          <w:rStyle w:val="af7"/>
          <w:rFonts w:eastAsia="Guttman Hodes" w:hint="cs"/>
          <w:rtl/>
        </w:rPr>
        <w:t xml:space="preserve"> </w:t>
      </w:r>
      <w:r>
        <w:rPr>
          <w:rFonts w:hint="cs"/>
          <w:rtl/>
        </w:rPr>
        <w:t xml:space="preserve">עצמו כתב דראוי להחמיר, והקשה </w:t>
      </w:r>
      <w:r>
        <w:rPr>
          <w:rStyle w:val="af9"/>
          <w:rtl/>
        </w:rPr>
        <w:t>הגרעק"א</w:t>
      </w:r>
      <w:r>
        <w:rPr>
          <w:rFonts w:hint="cs"/>
          <w:rtl/>
        </w:rPr>
        <w:t xml:space="preserve"> דבלישנא בתרא לא מבואר כלל דכל שחיטה מחשיבה את הסכין כאינו בדוק, דדוקא במקום שנמצאת פגומה לבסוף אמרינן דהמפרקת של הראשונה פגמה, והאחרונות אסורות, דלל"ב כיון דתלינן במפרקת, א"כ א"א לתלות במפרקת של האחרונה ולהתיר, דכיון דתלינן במפרקת צריך </w:t>
      </w:r>
      <w:r w:rsidRPr="00720C5E">
        <w:rPr>
          <w:rFonts w:hint="cs"/>
          <w:rtl/>
        </w:rPr>
        <w:t xml:space="preserve">לחוש גם למפרקת של הראשונה, אבל בנאבד הסכין שלא נמצא פגום, </w:t>
      </w:r>
      <w:r>
        <w:rPr>
          <w:rFonts w:hint="cs"/>
          <w:rtl/>
        </w:rPr>
        <w:t>נשאר הסכין בחזקתו דלעת רב חסדא.</w:t>
      </w:r>
      <w:bookmarkEnd w:id="6270"/>
    </w:p>
    <w:p w14:paraId="02ACF78A" w14:textId="77777777" w:rsidR="00533768" w:rsidRDefault="00533768" w:rsidP="006D6D32">
      <w:pPr>
        <w:pStyle w:val="a3"/>
        <w:rPr>
          <w:rtl/>
        </w:rPr>
      </w:pPr>
      <w:bookmarkStart w:id="6271" w:name="_Toc527108458"/>
      <w:bookmarkStart w:id="6272" w:name="_Toc19389753"/>
      <w:bookmarkStart w:id="6273" w:name="_Toc19393250"/>
      <w:r>
        <w:rPr>
          <w:rFonts w:hint="cs"/>
          <w:rtl/>
        </w:rPr>
        <w:t>דברי הרעק"א דהביאור בל"ב דפליגא על סברת התוס' ואף בראשונות יש חשש פגימה במפרקת</w:t>
      </w:r>
      <w:bookmarkEnd w:id="6271"/>
      <w:bookmarkEnd w:id="6272"/>
      <w:bookmarkEnd w:id="6273"/>
    </w:p>
    <w:p w14:paraId="40A120A8" w14:textId="77777777" w:rsidR="00533768" w:rsidRDefault="00533768" w:rsidP="00223668">
      <w:pPr>
        <w:pStyle w:val="a0"/>
      </w:pPr>
      <w:bookmarkStart w:id="6274" w:name="_Ref523946850"/>
      <w:r>
        <w:rPr>
          <w:rFonts w:hint="cs"/>
          <w:rtl/>
        </w:rPr>
        <w:t>וביאר</w:t>
      </w:r>
      <w:r>
        <w:rPr>
          <w:rStyle w:val="af9"/>
          <w:rtl/>
        </w:rPr>
        <w:t xml:space="preserve"> הגרעק"א </w:t>
      </w:r>
      <w:r>
        <w:rPr>
          <w:rFonts w:hint="cs"/>
          <w:rtl/>
        </w:rPr>
        <w:t xml:space="preserve">דכיון דרב חסדא מתיר בבהמה אחת כיון דס"ל דעור ספק פוגם ועצם ודאי פוגם, א"כ בכמה בהמות א"א לתלות במפרקת האחרונה ולהתיר, ובביאור הל"ק צריך לדחוק כדביארו </w:t>
      </w:r>
      <w:r>
        <w:rPr>
          <w:rStyle w:val="af9"/>
          <w:rtl/>
        </w:rPr>
        <w:t xml:space="preserve">התוס' </w:t>
      </w:r>
      <w:r>
        <w:rPr>
          <w:rStyle w:val="af7"/>
          <w:rFonts w:eastAsia="Guttman Hodes" w:hint="cs"/>
          <w:rtl/>
        </w:rPr>
        <w:t xml:space="preserve">(עי' אות </w:t>
      </w:r>
      <w:r>
        <w:rPr>
          <w:rFont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Ref523946730 \r \h</w:instrText>
      </w:r>
      <w:r>
        <w:rPr>
          <w:rStyle w:val="af7"/>
          <w:rFonts w:eastAsia="Guttman Hodes" w:hint="cs"/>
          <w:rtl/>
        </w:rPr>
        <w:instrText xml:space="preserve"> </w:instrText>
      </w:r>
      <w:r>
        <w:rPr>
          <w:rFonts w:hint="cs"/>
          <w:rtl/>
        </w:rPr>
      </w:r>
      <w:r>
        <w:rPr>
          <w:rFonts w:hint="cs"/>
          <w:rtl/>
        </w:rPr>
        <w:fldChar w:fldCharType="separate"/>
      </w:r>
      <w:r w:rsidR="00345400">
        <w:rPr>
          <w:rStyle w:val="af7"/>
          <w:rFonts w:eastAsia="Guttman Hodes" w:hint="eastAsia"/>
          <w:cs/>
        </w:rPr>
        <w:t>‎</w:t>
      </w:r>
      <w:r w:rsidR="00345400">
        <w:rPr>
          <w:rStyle w:val="af7"/>
          <w:rFonts w:eastAsia="Guttman Hodes" w:hint="eastAsia"/>
          <w:rtl/>
        </w:rPr>
        <w:t>לה</w:t>
      </w:r>
      <w:r w:rsidR="00345400">
        <w:rPr>
          <w:rStyle w:val="af7"/>
          <w:rFonts w:eastAsia="Guttman Hodes"/>
          <w:rtl/>
        </w:rPr>
        <w:t>)</w:t>
      </w:r>
      <w:r>
        <w:rPr>
          <w:rFonts w:hint="cs"/>
          <w:rtl/>
        </w:rPr>
        <w:fldChar w:fldCharType="end"/>
      </w:r>
      <w:r>
        <w:rPr>
          <w:rFonts w:hint="cs"/>
          <w:rtl/>
        </w:rPr>
        <w:t xml:space="preserve"> דבראשונות הוא נזהר שלא לדחוק את הסכין, ובאחרונה אינו נזהר ולכן תלינן באחרונה, וא"כ לל"ב הביאור הוא כפשוטו דמסברא א"א לתלות באחרונה יותר מהראשונה ולכן כולם אסורות, אבל בנאבד הסכין שלא נמצאת פגימה וא"צ לתלות, לא מבואר בל"ב כלל דרב חסדא מחשיב את הסכין כאינו בדוק, ועי' </w:t>
      </w:r>
      <w:r>
        <w:rPr>
          <w:rStyle w:val="af9"/>
          <w:rtl/>
        </w:rPr>
        <w:t>באבהא"ז</w:t>
      </w:r>
      <w:r>
        <w:rPr>
          <w:rFonts w:hint="cs"/>
          <w:rtl/>
        </w:rPr>
        <w:t xml:space="preserve"> </w:t>
      </w:r>
      <w:r>
        <w:rPr>
          <w:rStyle w:val="af7"/>
          <w:rFonts w:eastAsia="Guttman Hodes" w:hint="cs"/>
          <w:rtl/>
        </w:rPr>
        <w:t xml:space="preserve">(עי' אות </w:t>
      </w:r>
      <w:r>
        <w:rPr>
          <w:rFont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Ref523946816 \r \h</w:instrText>
      </w:r>
      <w:r>
        <w:rPr>
          <w:rStyle w:val="af7"/>
          <w:rFonts w:eastAsia="Guttman Hodes" w:hint="cs"/>
          <w:rtl/>
        </w:rPr>
        <w:instrText xml:space="preserve"> </w:instrText>
      </w:r>
      <w:r>
        <w:rPr>
          <w:rFonts w:hint="cs"/>
          <w:rtl/>
        </w:rPr>
      </w:r>
      <w:r>
        <w:rPr>
          <w:rFonts w:hint="cs"/>
          <w:rtl/>
        </w:rPr>
        <w:fldChar w:fldCharType="separate"/>
      </w:r>
      <w:r w:rsidR="00345400">
        <w:rPr>
          <w:rStyle w:val="af7"/>
          <w:rFonts w:eastAsia="Guttman Hodes" w:hint="eastAsia"/>
          <w:cs/>
        </w:rPr>
        <w:t>‎</w:t>
      </w:r>
      <w:r w:rsidR="00345400">
        <w:rPr>
          <w:rStyle w:val="af7"/>
          <w:rFonts w:eastAsia="Guttman Hodes" w:hint="eastAsia"/>
          <w:rtl/>
        </w:rPr>
        <w:t>קו</w:t>
      </w:r>
      <w:r w:rsidR="00345400">
        <w:rPr>
          <w:rStyle w:val="af7"/>
          <w:rFonts w:eastAsia="Guttman Hodes"/>
          <w:rtl/>
        </w:rPr>
        <w:t>)</w:t>
      </w:r>
      <w:r>
        <w:rPr>
          <w:rFonts w:hint="cs"/>
          <w:rtl/>
        </w:rPr>
        <w:fldChar w:fldCharType="end"/>
      </w:r>
      <w:r>
        <w:rPr>
          <w:rFonts w:hint="cs"/>
          <w:rtl/>
        </w:rPr>
        <w:t xml:space="preserve"> במה שהקשה על </w:t>
      </w:r>
      <w:r>
        <w:rPr>
          <w:rStyle w:val="af9"/>
          <w:rtl/>
        </w:rPr>
        <w:t>הגרעק"א</w:t>
      </w:r>
      <w:r>
        <w:rPr>
          <w:rFonts w:hint="cs"/>
          <w:rtl/>
        </w:rPr>
        <w:t>.</w:t>
      </w:r>
      <w:bookmarkEnd w:id="6274"/>
    </w:p>
    <w:p w14:paraId="006E975E" w14:textId="77777777" w:rsidR="00533768" w:rsidRDefault="00533768" w:rsidP="006D6D32">
      <w:pPr>
        <w:pStyle w:val="a3"/>
        <w:rPr>
          <w:rtl/>
        </w:rPr>
      </w:pPr>
      <w:bookmarkStart w:id="6275" w:name="_Toc527108459"/>
      <w:bookmarkStart w:id="6276" w:name="_Toc19389754"/>
      <w:bookmarkStart w:id="6277" w:name="_Toc19393251"/>
      <w:r>
        <w:rPr>
          <w:rFonts w:hint="cs"/>
          <w:rtl/>
        </w:rPr>
        <w:t>קושית הגרעק"א על ראיית הראב"ד דע"י השחיטה חשיב הסכין כאינו בדוק</w:t>
      </w:r>
      <w:bookmarkEnd w:id="6275"/>
      <w:bookmarkEnd w:id="6276"/>
      <w:bookmarkEnd w:id="6277"/>
    </w:p>
    <w:p w14:paraId="2DB19C75" w14:textId="77777777" w:rsidR="00533768" w:rsidRDefault="00533768" w:rsidP="00223668">
      <w:pPr>
        <w:pStyle w:val="a0"/>
        <w:rPr>
          <w:rtl/>
        </w:rPr>
      </w:pPr>
      <w:bookmarkStart w:id="6278" w:name="_Ref527042718"/>
      <w:r>
        <w:rPr>
          <w:rFonts w:hint="cs"/>
          <w:rtl/>
        </w:rPr>
        <w:t xml:space="preserve"> וכתב </w:t>
      </w:r>
      <w:r>
        <w:rPr>
          <w:rStyle w:val="af9"/>
          <w:rtl/>
        </w:rPr>
        <w:t>הגרעק"א</w:t>
      </w:r>
      <w:r>
        <w:rPr>
          <w:rFonts w:hint="cs"/>
          <w:rtl/>
        </w:rPr>
        <w:t xml:space="preserve"> דאף </w:t>
      </w:r>
      <w:r>
        <w:rPr>
          <w:rStyle w:val="af9"/>
          <w:rtl/>
        </w:rPr>
        <w:t>דהראב"ד</w:t>
      </w:r>
      <w:r>
        <w:rPr>
          <w:rFonts w:hint="cs"/>
          <w:rtl/>
        </w:rPr>
        <w:t xml:space="preserve"> </w:t>
      </w:r>
      <w:r w:rsidRPr="00453D15">
        <w:rPr>
          <w:rStyle w:val="af7"/>
          <w:rFonts w:eastAsia="Guttman Hodes" w:hint="cs"/>
          <w:rtl/>
        </w:rPr>
        <w:t xml:space="preserve">(עי' אות </w:t>
      </w:r>
      <w:r w:rsidRPr="00453D15">
        <w:rPr>
          <w:rStyle w:val="af7"/>
          <w:rFonts w:eastAsia="Guttman Hodes"/>
          <w:rtl/>
        </w:rPr>
        <w:fldChar w:fldCharType="begin"/>
      </w:r>
      <w:r w:rsidRPr="00453D15">
        <w:rPr>
          <w:rStyle w:val="af7"/>
          <w:rFonts w:eastAsia="Guttman Hodes"/>
          <w:rtl/>
        </w:rPr>
        <w:instrText xml:space="preserve"> </w:instrText>
      </w:r>
      <w:r w:rsidRPr="00453D15">
        <w:rPr>
          <w:rStyle w:val="af7"/>
          <w:rFonts w:eastAsia="Guttman Hodes" w:hint="cs"/>
        </w:rPr>
        <w:instrText>REF</w:instrText>
      </w:r>
      <w:r w:rsidRPr="00453D15">
        <w:rPr>
          <w:rStyle w:val="af7"/>
          <w:rFonts w:eastAsia="Guttman Hodes" w:hint="cs"/>
          <w:rtl/>
        </w:rPr>
        <w:instrText xml:space="preserve"> _</w:instrText>
      </w:r>
      <w:r w:rsidRPr="00453D15">
        <w:rPr>
          <w:rStyle w:val="af7"/>
          <w:rFonts w:eastAsia="Guttman Hodes" w:hint="cs"/>
        </w:rPr>
        <w:instrText>Ref527041865 \r \h</w:instrText>
      </w:r>
      <w:r w:rsidRPr="00453D15">
        <w:rPr>
          <w:rStyle w:val="af7"/>
          <w:rFonts w:eastAsia="Guttman Hodes"/>
          <w:rtl/>
        </w:rPr>
        <w:instrText xml:space="preserve"> </w:instrText>
      </w:r>
      <w:r w:rsidRPr="00453D15">
        <w:rPr>
          <w:rStyle w:val="af7"/>
          <w:rFonts w:eastAsia="Guttman Hodes"/>
          <w:rtl/>
        </w:rPr>
      </w:r>
      <w:r w:rsidRPr="00453D15">
        <w:rPr>
          <w:rStyle w:val="af7"/>
          <w:rFonts w:eastAsia="Guttman Hodes"/>
          <w:rtl/>
        </w:rPr>
        <w:fldChar w:fldCharType="separate"/>
      </w:r>
      <w:r w:rsidR="00345400">
        <w:rPr>
          <w:rStyle w:val="af7"/>
          <w:rFonts w:eastAsia="Guttman Hodes"/>
          <w:cs/>
        </w:rPr>
        <w:t>‎</w:t>
      </w:r>
      <w:r w:rsidR="00345400">
        <w:rPr>
          <w:rStyle w:val="af7"/>
          <w:rFonts w:eastAsia="Guttman Hodes"/>
          <w:rtl/>
        </w:rPr>
        <w:t>סד)</w:t>
      </w:r>
      <w:r w:rsidRPr="00453D15">
        <w:rPr>
          <w:rStyle w:val="af7"/>
          <w:rFonts w:eastAsia="Guttman Hodes"/>
          <w:rtl/>
        </w:rPr>
        <w:fldChar w:fldCharType="end"/>
      </w:r>
      <w:r>
        <w:rPr>
          <w:rFonts w:hint="cs"/>
          <w:rtl/>
        </w:rPr>
        <w:t xml:space="preserve"> הוכיח כן מקושית הגמ', דתיבעי בדיקת חכם, דמשמע דאחר השחיטה חשיב הסכין כאינו בדוק, ולכן צריך בדיקת חכם, מ"מ עדיין קשה אמאי מקשה הגמ' כן, דהא בלשון של רב חסדא לא משמע דהסכין חשיב כאינו בדוק, ועי' במה שביאר </w:t>
      </w:r>
      <w:r w:rsidRPr="00005D54">
        <w:rPr>
          <w:rStyle w:val="af9"/>
          <w:rFonts w:hint="cs"/>
          <w:rtl/>
        </w:rPr>
        <w:t>הגרעק"א</w:t>
      </w:r>
      <w:r>
        <w:rPr>
          <w:rFonts w:hint="cs"/>
          <w:rtl/>
        </w:rPr>
        <w:t xml:space="preserve"> </w:t>
      </w:r>
      <w:r w:rsidRPr="00005D54">
        <w:rPr>
          <w:rStyle w:val="af7"/>
          <w:rFonts w:eastAsia="Guttman Hodes" w:hint="cs"/>
          <w:rtl/>
        </w:rPr>
        <w:t xml:space="preserve">(עי' אות </w:t>
      </w:r>
      <w:r w:rsidRPr="00005D54">
        <w:rPr>
          <w:rStyle w:val="af7"/>
          <w:rFonts w:eastAsia="Guttman Hodes"/>
          <w:rtl/>
        </w:rPr>
        <w:fldChar w:fldCharType="begin"/>
      </w:r>
      <w:r w:rsidRPr="00005D54">
        <w:rPr>
          <w:rStyle w:val="af7"/>
          <w:rFonts w:eastAsia="Guttman Hodes"/>
          <w:rtl/>
        </w:rPr>
        <w:instrText xml:space="preserve"> </w:instrText>
      </w:r>
      <w:r w:rsidRPr="00005D54">
        <w:rPr>
          <w:rStyle w:val="af7"/>
          <w:rFonts w:eastAsia="Guttman Hodes" w:hint="cs"/>
        </w:rPr>
        <w:instrText>REF</w:instrText>
      </w:r>
      <w:r w:rsidRPr="00005D54">
        <w:rPr>
          <w:rStyle w:val="af7"/>
          <w:rFonts w:eastAsia="Guttman Hodes" w:hint="cs"/>
          <w:rtl/>
        </w:rPr>
        <w:instrText xml:space="preserve"> _</w:instrText>
      </w:r>
      <w:r w:rsidRPr="00005D54">
        <w:rPr>
          <w:rStyle w:val="af7"/>
          <w:rFonts w:eastAsia="Guttman Hodes" w:hint="cs"/>
        </w:rPr>
        <w:instrText>Ref527043010 \r \h</w:instrText>
      </w:r>
      <w:r w:rsidRPr="00005D54">
        <w:rPr>
          <w:rStyle w:val="af7"/>
          <w:rFonts w:eastAsia="Guttman Hodes"/>
          <w:rtl/>
        </w:rPr>
        <w:instrText xml:space="preserve"> </w:instrText>
      </w:r>
      <w:r w:rsidRPr="00005D54">
        <w:rPr>
          <w:rStyle w:val="af7"/>
          <w:rFonts w:eastAsia="Guttman Hodes"/>
          <w:rtl/>
        </w:rPr>
      </w:r>
      <w:r w:rsidRPr="00005D54">
        <w:rPr>
          <w:rStyle w:val="af7"/>
          <w:rFonts w:eastAsia="Guttman Hodes"/>
          <w:rtl/>
        </w:rPr>
        <w:fldChar w:fldCharType="separate"/>
      </w:r>
      <w:r w:rsidR="00345400">
        <w:rPr>
          <w:rStyle w:val="af7"/>
          <w:rFonts w:eastAsia="Guttman Hodes"/>
          <w:cs/>
        </w:rPr>
        <w:t>‎</w:t>
      </w:r>
      <w:r w:rsidR="00345400">
        <w:rPr>
          <w:rStyle w:val="af7"/>
          <w:rFonts w:eastAsia="Guttman Hodes"/>
          <w:rtl/>
        </w:rPr>
        <w:t>פט)</w:t>
      </w:r>
      <w:r w:rsidRPr="00005D54">
        <w:rPr>
          <w:rStyle w:val="af7"/>
          <w:rFonts w:eastAsia="Guttman Hodes"/>
          <w:rtl/>
        </w:rPr>
        <w:fldChar w:fldCharType="end"/>
      </w:r>
      <w:r>
        <w:rPr>
          <w:rFonts w:hint="cs"/>
          <w:rtl/>
        </w:rPr>
        <w:t>.</w:t>
      </w:r>
      <w:bookmarkEnd w:id="6278"/>
    </w:p>
    <w:p w14:paraId="11CC0DE6" w14:textId="77777777" w:rsidR="00533768" w:rsidRDefault="00533768" w:rsidP="00BF39B2">
      <w:pPr>
        <w:pStyle w:val="1"/>
        <w:rPr>
          <w:rtl/>
        </w:rPr>
      </w:pPr>
      <w:bookmarkStart w:id="6279" w:name="_Toc527108460"/>
      <w:bookmarkStart w:id="6280" w:name="_Toc19389755"/>
      <w:bookmarkStart w:id="6281" w:name="_Toc19393252"/>
      <w:r>
        <w:rPr>
          <w:rFonts w:hint="cs"/>
          <w:rtl/>
        </w:rPr>
        <w:t>קושית הגרעק"א על הראב"ד דמנלן דמיקל רב הונא במפרקת</w:t>
      </w:r>
      <w:bookmarkEnd w:id="6279"/>
      <w:bookmarkEnd w:id="6280"/>
      <w:bookmarkEnd w:id="6281"/>
    </w:p>
    <w:p w14:paraId="5C3DE3EB" w14:textId="77777777" w:rsidR="00533768" w:rsidRPr="00074C3C" w:rsidRDefault="00533768" w:rsidP="006D6D32">
      <w:pPr>
        <w:pStyle w:val="a3"/>
        <w:rPr>
          <w:rtl/>
        </w:rPr>
      </w:pPr>
      <w:bookmarkStart w:id="6282" w:name="_Toc527108461"/>
      <w:bookmarkStart w:id="6283" w:name="_Toc19389756"/>
      <w:bookmarkStart w:id="6284" w:name="_Toc19393253"/>
      <w:r>
        <w:rPr>
          <w:rFonts w:hint="cs"/>
          <w:rtl/>
        </w:rPr>
        <w:t>קושית הגרעק"א דלא מצינו שרב הונא מיקל יותר מרב חסדא בחשש פגימה במפרקת בכמה בהמות</w:t>
      </w:r>
      <w:bookmarkEnd w:id="6282"/>
      <w:bookmarkEnd w:id="6283"/>
      <w:bookmarkEnd w:id="6284"/>
    </w:p>
    <w:p w14:paraId="4D5D88C6" w14:textId="77777777" w:rsidR="00533768" w:rsidRPr="006B1909" w:rsidRDefault="00533768" w:rsidP="00223668">
      <w:pPr>
        <w:pStyle w:val="a0"/>
        <w:rPr>
          <w:rtl/>
        </w:rPr>
      </w:pPr>
      <w:bookmarkStart w:id="6285" w:name="_Ref524082548"/>
      <w:r>
        <w:rPr>
          <w:rFonts w:hint="cs"/>
          <w:rtl/>
        </w:rPr>
        <w:t xml:space="preserve">ובעיקר דברי </w:t>
      </w:r>
      <w:r>
        <w:rPr>
          <w:rStyle w:val="af9"/>
          <w:rtl/>
        </w:rPr>
        <w:t>הראב"ד</w:t>
      </w:r>
      <w:r>
        <w:rPr>
          <w:rFonts w:hint="cs"/>
          <w:rtl/>
        </w:rPr>
        <w:t xml:space="preserve"> </w:t>
      </w:r>
      <w:r>
        <w:rPr>
          <w:rStyle w:val="af7"/>
          <w:rFonts w:eastAsia="Guttman Hodes" w:hint="cs"/>
          <w:rtl/>
        </w:rPr>
        <w:t xml:space="preserve">(עי' אות </w:t>
      </w:r>
      <w:r>
        <w:rPr>
          <w:rFont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Ref524081326 \r \h</w:instrText>
      </w:r>
      <w:r>
        <w:rPr>
          <w:rStyle w:val="af7"/>
          <w:rFonts w:eastAsia="Guttman Hodes" w:hint="cs"/>
          <w:rtl/>
        </w:rPr>
        <w:instrText xml:space="preserve"> </w:instrText>
      </w:r>
      <w:r>
        <w:rPr>
          <w:rFonts w:hint="cs"/>
          <w:rtl/>
        </w:rPr>
      </w:r>
      <w:r>
        <w:rPr>
          <w:rFonts w:hint="cs"/>
          <w:rtl/>
        </w:rPr>
        <w:fldChar w:fldCharType="separate"/>
      </w:r>
      <w:r w:rsidR="00345400">
        <w:rPr>
          <w:rStyle w:val="af7"/>
          <w:rFonts w:eastAsia="Guttman Hodes" w:hint="eastAsia"/>
          <w:cs/>
        </w:rPr>
        <w:t>‎</w:t>
      </w:r>
      <w:r w:rsidR="00345400">
        <w:rPr>
          <w:rStyle w:val="af7"/>
          <w:rFonts w:eastAsia="Guttman Hodes" w:hint="eastAsia"/>
          <w:rtl/>
        </w:rPr>
        <w:t>סב</w:t>
      </w:r>
      <w:r w:rsidR="00345400">
        <w:rPr>
          <w:rStyle w:val="af7"/>
          <w:rFonts w:eastAsia="Guttman Hodes"/>
          <w:rtl/>
        </w:rPr>
        <w:t>)</w:t>
      </w:r>
      <w:r>
        <w:rPr>
          <w:rFonts w:hint="cs"/>
          <w:rtl/>
        </w:rPr>
        <w:fldChar w:fldCharType="end"/>
      </w:r>
      <w:r>
        <w:rPr>
          <w:rFonts w:hint="cs"/>
          <w:rtl/>
        </w:rPr>
        <w:t xml:space="preserve"> דכתב דבכמה בהמות דברי רב הונא הם לקולא, ודברי רב חסדא הם לחומרא, הקשה </w:t>
      </w:r>
      <w:r>
        <w:rPr>
          <w:rStyle w:val="af9"/>
          <w:rtl/>
        </w:rPr>
        <w:t>הגרעק"א</w:t>
      </w:r>
      <w:r>
        <w:rPr>
          <w:rFonts w:hint="cs"/>
          <w:rtl/>
        </w:rPr>
        <w:t xml:space="preserve"> </w:t>
      </w:r>
      <w:r>
        <w:rPr>
          <w:rStyle w:val="af7"/>
          <w:rFonts w:eastAsia="Guttman Hodes" w:hint="cs"/>
          <w:rtl/>
        </w:rPr>
        <w:t>(ד"ה אבל היותר)</w:t>
      </w:r>
      <w:r>
        <w:rPr>
          <w:rFonts w:hint="cs"/>
          <w:rtl/>
        </w:rPr>
        <w:t xml:space="preserve"> דלא מצינו שהיקל רב הונא בזה, וא"א להביא ראיה מהא דלא תלה רב הונא במפרקת, דמשמע דאין המפרקת מחשיבה את הסכין לאינו בדוק, דהא </w:t>
      </w:r>
      <w:r w:rsidRPr="006B1909">
        <w:rPr>
          <w:rFonts w:hint="cs"/>
          <w:rtl/>
        </w:rPr>
        <w:t xml:space="preserve">אף בששיבר בה עצמות, דודאי שהסכין נעשה אינו בדוק ג"כ אוסר רב הונא, ועי' בדברי </w:t>
      </w:r>
      <w:r w:rsidRPr="006B1909">
        <w:rPr>
          <w:rStyle w:val="af9"/>
          <w:rFonts w:hint="cs"/>
          <w:rtl/>
        </w:rPr>
        <w:t xml:space="preserve">האבאה"ז </w:t>
      </w:r>
      <w:r w:rsidRPr="006B1909">
        <w:rPr>
          <w:rStyle w:val="af7"/>
          <w:rFonts w:eastAsia="Guttman Hodes" w:hint="cs"/>
          <w:rtl/>
        </w:rPr>
        <w:t xml:space="preserve">(עי' אות </w:t>
      </w:r>
      <w:r w:rsidRPr="006B1909">
        <w:rPr>
          <w:rStyle w:val="af7"/>
          <w:rFonts w:eastAsia="Guttman Hodes"/>
          <w:rtl/>
        </w:rPr>
        <w:fldChar w:fldCharType="begin"/>
      </w:r>
      <w:r w:rsidRPr="006B1909">
        <w:rPr>
          <w:rStyle w:val="af7"/>
          <w:rFonts w:eastAsia="Guttman Hodes"/>
          <w:rtl/>
        </w:rPr>
        <w:instrText xml:space="preserve"> </w:instrText>
      </w:r>
      <w:r w:rsidRPr="006B1909">
        <w:rPr>
          <w:rStyle w:val="af7"/>
          <w:rFonts w:eastAsia="Guttman Hodes" w:hint="cs"/>
        </w:rPr>
        <w:instrText>REF</w:instrText>
      </w:r>
      <w:r w:rsidRPr="006B1909">
        <w:rPr>
          <w:rStyle w:val="af7"/>
          <w:rFonts w:eastAsia="Guttman Hodes" w:hint="cs"/>
          <w:rtl/>
        </w:rPr>
        <w:instrText xml:space="preserve"> _</w:instrText>
      </w:r>
      <w:r w:rsidRPr="006B1909">
        <w:rPr>
          <w:rStyle w:val="af7"/>
          <w:rFonts w:eastAsia="Guttman Hodes" w:hint="cs"/>
        </w:rPr>
        <w:instrText>Ref527108068 \r \h</w:instrText>
      </w:r>
      <w:r w:rsidRPr="006B1909">
        <w:rPr>
          <w:rStyle w:val="af7"/>
          <w:rFonts w:eastAsia="Guttman Hodes"/>
          <w:rtl/>
        </w:rPr>
        <w:instrText xml:space="preserve"> </w:instrText>
      </w:r>
      <w:r w:rsidRPr="006B1909">
        <w:rPr>
          <w:rStyle w:val="af7"/>
          <w:rFonts w:eastAsia="Guttman Hodes"/>
          <w:rtl/>
        </w:rPr>
      </w:r>
      <w:r w:rsidRPr="006B1909">
        <w:rPr>
          <w:rStyle w:val="af7"/>
          <w:rFonts w:eastAsia="Guttman Hodes"/>
          <w:rtl/>
        </w:rPr>
        <w:fldChar w:fldCharType="separate"/>
      </w:r>
      <w:r w:rsidR="00345400">
        <w:rPr>
          <w:rStyle w:val="af7"/>
          <w:rFonts w:eastAsia="Guttman Hodes"/>
          <w:cs/>
        </w:rPr>
        <w:t>‎</w:t>
      </w:r>
      <w:r w:rsidR="00345400">
        <w:rPr>
          <w:rStyle w:val="af7"/>
          <w:rFonts w:eastAsia="Guttman Hodes"/>
          <w:rtl/>
        </w:rPr>
        <w:t>קיד)</w:t>
      </w:r>
      <w:r w:rsidRPr="006B1909">
        <w:rPr>
          <w:rStyle w:val="af7"/>
          <w:rFonts w:eastAsia="Guttman Hodes"/>
          <w:rtl/>
        </w:rPr>
        <w:fldChar w:fldCharType="end"/>
      </w:r>
      <w:r w:rsidRPr="006B1909">
        <w:rPr>
          <w:rFonts w:hint="cs"/>
          <w:rtl/>
        </w:rPr>
        <w:t>.</w:t>
      </w:r>
      <w:bookmarkEnd w:id="6285"/>
    </w:p>
    <w:p w14:paraId="1854E05C" w14:textId="77777777" w:rsidR="00533768" w:rsidRDefault="00533768" w:rsidP="006D6D32">
      <w:pPr>
        <w:pStyle w:val="a3"/>
        <w:rPr>
          <w:rtl/>
        </w:rPr>
      </w:pPr>
      <w:bookmarkStart w:id="6286" w:name="_Toc527108462"/>
      <w:bookmarkStart w:id="6287" w:name="_Toc19389757"/>
      <w:bookmarkStart w:id="6288" w:name="_Toc19393254"/>
      <w:r>
        <w:rPr>
          <w:rFonts w:hint="cs"/>
          <w:rtl/>
        </w:rPr>
        <w:t>דברי הגרעק"א דקושית הגמ' דתיבעי בדיקת חכם היא לל"ב אף על דעת רב הונא</w:t>
      </w:r>
      <w:bookmarkEnd w:id="6286"/>
      <w:bookmarkEnd w:id="6287"/>
      <w:bookmarkEnd w:id="6288"/>
    </w:p>
    <w:p w14:paraId="0B2FE764" w14:textId="77777777" w:rsidR="00533768" w:rsidRDefault="00533768" w:rsidP="00223668">
      <w:pPr>
        <w:pStyle w:val="a0"/>
        <w:rPr>
          <w:rtl/>
        </w:rPr>
      </w:pPr>
      <w:bookmarkStart w:id="6289" w:name="_Ref527043010"/>
      <w:r>
        <w:rPr>
          <w:rFonts w:hint="cs"/>
          <w:rtl/>
        </w:rPr>
        <w:t xml:space="preserve">וכתב </w:t>
      </w:r>
      <w:r>
        <w:rPr>
          <w:rStyle w:val="af9"/>
          <w:rtl/>
        </w:rPr>
        <w:t>הגרעק"א</w:t>
      </w:r>
      <w:r>
        <w:rPr>
          <w:rFonts w:hint="cs"/>
          <w:rtl/>
        </w:rPr>
        <w:t xml:space="preserve"> דא"א להוכיח דרב הונא מיקל בזה יותר מרב חסדא, מקושית הגמ' דאי הכי לרב חסדא תיבעי בדיקת חכם, דאין כוונת הגמ' לומר דלרב הונא לא קשה, אלא כוונת הגמ' דבשלמא לל"ק דרב כהנא ס"ל כרב הונא ובודק לפסול את הראשונה, א"כ לא נעשה ההסכין כאינו בדוק וא"צ חכם, אבל לל"ב דרב כהנא כרב חסדא ובודק בכדי להכשיר את האחרונות, א"כ מבואר דע"י השחיטה נעשה הסכין כאינו בדוק, ומקשה הגמ' דללישנא זו תיבעי בדיקת חכם, בין לרב חסדא ובין לרב הונא, והוסיף </w:t>
      </w:r>
      <w:r>
        <w:rPr>
          <w:rStyle w:val="af9"/>
          <w:rtl/>
        </w:rPr>
        <w:t>הגרעק"א</w:t>
      </w:r>
      <w:r>
        <w:rPr>
          <w:rFonts w:hint="cs"/>
          <w:rtl/>
        </w:rPr>
        <w:t xml:space="preserve"> דהוא כ"ש דאי לרב חסדא צריך בדיקת חכם, כ"ש לרב הונא שלא מצינו שהיקל יותר מרב חסדא.</w:t>
      </w:r>
      <w:bookmarkEnd w:id="6289"/>
    </w:p>
    <w:p w14:paraId="47CCA31F" w14:textId="77777777" w:rsidR="00533768" w:rsidRDefault="00533768" w:rsidP="00BF39B2">
      <w:pPr>
        <w:pStyle w:val="1"/>
        <w:rPr>
          <w:rtl/>
        </w:rPr>
      </w:pPr>
      <w:bookmarkStart w:id="6290" w:name="_Toc527108463"/>
      <w:bookmarkStart w:id="6291" w:name="_Toc19389758"/>
      <w:bookmarkStart w:id="6292" w:name="_Toc19393255"/>
      <w:r>
        <w:rPr>
          <w:rFonts w:hint="cs"/>
          <w:rtl/>
        </w:rPr>
        <w:t>קושית הגרעק"א בסתירת דברי הרשב"א אי הל"ב לחומרא</w:t>
      </w:r>
      <w:bookmarkEnd w:id="6290"/>
      <w:bookmarkEnd w:id="6291"/>
      <w:bookmarkEnd w:id="6292"/>
    </w:p>
    <w:p w14:paraId="109AB428" w14:textId="77777777" w:rsidR="00533768" w:rsidRPr="00287F77" w:rsidRDefault="00533768" w:rsidP="006D6D32">
      <w:pPr>
        <w:pStyle w:val="a3"/>
        <w:rPr>
          <w:rtl/>
        </w:rPr>
      </w:pPr>
      <w:bookmarkStart w:id="6293" w:name="_Toc527108464"/>
      <w:bookmarkStart w:id="6294" w:name="_Toc19389759"/>
      <w:bookmarkStart w:id="6295" w:name="_Toc19393256"/>
      <w:r>
        <w:rPr>
          <w:rFonts w:hint="cs"/>
          <w:rtl/>
        </w:rPr>
        <w:t>קושית הגרעק"א דבהמשך דברי הרשב"א מוכח דאין חומרא בלישנא בתרא לדעת רב חסדא</w:t>
      </w:r>
      <w:bookmarkEnd w:id="6293"/>
      <w:bookmarkEnd w:id="6294"/>
      <w:bookmarkEnd w:id="6295"/>
    </w:p>
    <w:p w14:paraId="19FE187B" w14:textId="77777777" w:rsidR="00533768" w:rsidRPr="006B1909" w:rsidRDefault="00533768" w:rsidP="00223668">
      <w:pPr>
        <w:pStyle w:val="a0"/>
        <w:rPr>
          <w:rtl/>
        </w:rPr>
      </w:pPr>
      <w:bookmarkStart w:id="6296" w:name="_Toc524638733"/>
      <w:r>
        <w:rPr>
          <w:rFonts w:hint="cs"/>
          <w:rtl/>
        </w:rPr>
        <w:t xml:space="preserve">ועוד הקשה </w:t>
      </w:r>
      <w:r>
        <w:rPr>
          <w:rStyle w:val="af9"/>
          <w:rtl/>
        </w:rPr>
        <w:t>הגרעק"א</w:t>
      </w:r>
      <w:r>
        <w:rPr>
          <w:rFonts w:hint="cs"/>
          <w:rtl/>
        </w:rPr>
        <w:t xml:space="preserve"> </w:t>
      </w:r>
      <w:r>
        <w:rPr>
          <w:rStyle w:val="af7"/>
          <w:rFonts w:eastAsia="Guttman Hodes" w:hint="cs"/>
          <w:rtl/>
        </w:rPr>
        <w:t>(ד"ה עוד תמיהני)</w:t>
      </w:r>
      <w:r>
        <w:rPr>
          <w:rFonts w:hint="cs"/>
          <w:rtl/>
        </w:rPr>
        <w:t xml:space="preserve"> על </w:t>
      </w:r>
      <w:r>
        <w:rPr>
          <w:rStyle w:val="af9"/>
          <w:rtl/>
        </w:rPr>
        <w:t>הרשב"א</w:t>
      </w:r>
      <w:r>
        <w:rPr>
          <w:rFonts w:hint="cs"/>
          <w:rtl/>
        </w:rPr>
        <w:t xml:space="preserve"> דכתב דהביאור בתירוץ הגמ' דמראין את הסכין לחכם מפני כבודו, הוא דכיון שבדק לפני השחיטה יכול לשחוט כמה שירצה, דהרי תירוץ הגמ' הוא לדעת רב חסדא שאוסר בכמה בהמות בנאבד הסכין, אם לא בדק בין שחיטה לשחיטה, כדכתב </w:t>
      </w:r>
      <w:r>
        <w:rPr>
          <w:rStyle w:val="af9"/>
          <w:rtl/>
        </w:rPr>
        <w:t>הרשב"א</w:t>
      </w:r>
      <w:r>
        <w:rPr>
          <w:rStyle w:val="af9"/>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Ref527025117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עו)</w:t>
      </w:r>
      <w:r>
        <w:rPr>
          <w:rStyle w:val="af7"/>
          <w:rFonts w:eastAsia="Guttman Hodes"/>
          <w:rtl/>
        </w:rPr>
        <w:fldChar w:fldCharType="end"/>
      </w:r>
      <w:r>
        <w:rPr>
          <w:rStyle w:val="af7"/>
          <w:rFonts w:eastAsia="Guttman Hodes" w:hint="cs"/>
          <w:rtl/>
        </w:rPr>
        <w:t xml:space="preserve"> </w:t>
      </w:r>
      <w:r>
        <w:rPr>
          <w:rFonts w:hint="cs"/>
          <w:rtl/>
        </w:rPr>
        <w:t xml:space="preserve">דהלישנא בתרא היא לחומרא ברב חסדא בזה, והקשה </w:t>
      </w:r>
      <w:r>
        <w:rPr>
          <w:rStyle w:val="af9"/>
          <w:rtl/>
        </w:rPr>
        <w:t>הגרעק"א</w:t>
      </w:r>
      <w:r>
        <w:rPr>
          <w:rFonts w:hint="cs"/>
          <w:rtl/>
        </w:rPr>
        <w:t xml:space="preserve"> דא"כ היאך אפש"ל </w:t>
      </w:r>
      <w:r w:rsidRPr="007D5619">
        <w:rPr>
          <w:rFonts w:hint="cs"/>
          <w:rtl/>
        </w:rPr>
        <w:t xml:space="preserve">דתירוץ הגמ' הוא דמחמת הבדיקה הראשונה מותר לשחוט כמה שירצה, ורק מפני כבוד החכם בודק את הסכין </w:t>
      </w:r>
      <w:r w:rsidRPr="006B1909">
        <w:rPr>
          <w:rStyle w:val="afb"/>
          <w:rtl/>
        </w:rPr>
        <w:t>[</w:t>
      </w:r>
      <w:r w:rsidRPr="006B1909">
        <w:rPr>
          <w:rStyle w:val="afb"/>
          <w:rFonts w:hint="cs"/>
          <w:rtl/>
        </w:rPr>
        <w:t>אף</w:t>
      </w:r>
      <w:r w:rsidRPr="006B1909">
        <w:rPr>
          <w:rStyle w:val="afb"/>
          <w:rtl/>
        </w:rPr>
        <w:t xml:space="preserve"> דלכאו' דברי </w:t>
      </w:r>
      <w:r w:rsidRPr="006B1909">
        <w:rPr>
          <w:rStyle w:val="affa"/>
          <w:rtl/>
        </w:rPr>
        <w:t>הרשב"א</w:t>
      </w:r>
      <w:r w:rsidRPr="006B1909">
        <w:rPr>
          <w:rStyle w:val="afb"/>
          <w:rtl/>
        </w:rPr>
        <w:t xml:space="preserve"> שרב חסדא לחומרא הם בשם </w:t>
      </w:r>
      <w:r w:rsidRPr="006B1909">
        <w:rPr>
          <w:rStyle w:val="affa"/>
          <w:rtl/>
        </w:rPr>
        <w:t>הראב"ד והרשב"א</w:t>
      </w:r>
      <w:r w:rsidRPr="006B1909">
        <w:rPr>
          <w:rStyle w:val="afb"/>
          <w:rtl/>
        </w:rPr>
        <w:t xml:space="preserve"> חולק עליו,  </w:t>
      </w:r>
      <w:r w:rsidRPr="006B1909">
        <w:rPr>
          <w:rStyle w:val="afb"/>
          <w:rFonts w:hint="cs"/>
          <w:rtl/>
        </w:rPr>
        <w:t xml:space="preserve">אפש"ל דכוונת </w:t>
      </w:r>
      <w:r w:rsidRPr="006B1909">
        <w:rPr>
          <w:rStyle w:val="affa"/>
          <w:rFonts w:hint="cs"/>
          <w:rtl/>
        </w:rPr>
        <w:t>הגרעק"א</w:t>
      </w:r>
      <w:r w:rsidRPr="006B1909">
        <w:rPr>
          <w:rStyle w:val="afb"/>
          <w:rFonts w:hint="cs"/>
          <w:rtl/>
        </w:rPr>
        <w:t xml:space="preserve"> להקשות על דברי </w:t>
      </w:r>
      <w:r w:rsidRPr="006B1909">
        <w:rPr>
          <w:rStyle w:val="affa"/>
          <w:rFonts w:hint="cs"/>
          <w:rtl/>
        </w:rPr>
        <w:t>הרשב"א</w:t>
      </w:r>
      <w:r w:rsidRPr="006B1909">
        <w:rPr>
          <w:rStyle w:val="afb"/>
          <w:rFonts w:hint="cs"/>
          <w:rtl/>
        </w:rPr>
        <w:t xml:space="preserve"> </w:t>
      </w:r>
      <w:r w:rsidRPr="006B1909">
        <w:rPr>
          <w:rStyle w:val="aff6"/>
          <w:rFonts w:hint="cs"/>
          <w:rtl/>
        </w:rPr>
        <w:t xml:space="preserve">(עי' אות </w:t>
      </w:r>
      <w:r w:rsidRPr="006B1909">
        <w:rPr>
          <w:rStyle w:val="aff6"/>
          <w:rtl/>
        </w:rPr>
        <w:fldChar w:fldCharType="begin"/>
      </w:r>
      <w:r w:rsidRPr="006B1909">
        <w:rPr>
          <w:rStyle w:val="aff6"/>
          <w:rtl/>
        </w:rPr>
        <w:instrText xml:space="preserve"> </w:instrText>
      </w:r>
      <w:r w:rsidRPr="006B1909">
        <w:rPr>
          <w:rStyle w:val="aff6"/>
          <w:rFonts w:hint="cs"/>
        </w:rPr>
        <w:instrText>REF</w:instrText>
      </w:r>
      <w:r w:rsidRPr="006B1909">
        <w:rPr>
          <w:rStyle w:val="aff6"/>
          <w:rFonts w:hint="cs"/>
          <w:rtl/>
        </w:rPr>
        <w:instrText xml:space="preserve"> _</w:instrText>
      </w:r>
      <w:r w:rsidRPr="006B1909">
        <w:rPr>
          <w:rStyle w:val="aff6"/>
          <w:rFonts w:hint="cs"/>
        </w:rPr>
        <w:instrText>Ref527025117 \r \h</w:instrText>
      </w:r>
      <w:r w:rsidRPr="006B1909">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6B1909">
        <w:rPr>
          <w:rStyle w:val="aff6"/>
          <w:rtl/>
        </w:rPr>
      </w:r>
      <w:r w:rsidRPr="006B1909">
        <w:rPr>
          <w:rStyle w:val="aff6"/>
          <w:rtl/>
        </w:rPr>
        <w:fldChar w:fldCharType="separate"/>
      </w:r>
      <w:r w:rsidR="00345400">
        <w:rPr>
          <w:rStyle w:val="aff6"/>
          <w:cs/>
        </w:rPr>
        <w:t>‎</w:t>
      </w:r>
      <w:r w:rsidR="00345400">
        <w:rPr>
          <w:rStyle w:val="aff6"/>
          <w:rtl/>
        </w:rPr>
        <w:t>עו)</w:t>
      </w:r>
      <w:r w:rsidRPr="006B1909">
        <w:rPr>
          <w:rStyle w:val="aff6"/>
          <w:rtl/>
        </w:rPr>
        <w:fldChar w:fldCharType="end"/>
      </w:r>
      <w:r w:rsidRPr="006B1909">
        <w:rPr>
          <w:rStyle w:val="af7"/>
          <w:rFonts w:eastAsia="Guttman Hodes" w:hint="cs"/>
          <w:rtl/>
        </w:rPr>
        <w:t xml:space="preserve"> </w:t>
      </w:r>
      <w:r w:rsidRPr="006B1909">
        <w:rPr>
          <w:rStyle w:val="afb"/>
          <w:rFonts w:hint="cs"/>
          <w:rtl/>
        </w:rPr>
        <w:t>דכתב דהמחמיר תע"ב</w:t>
      </w:r>
      <w:r w:rsidRPr="006B1909">
        <w:rPr>
          <w:rStyle w:val="afb"/>
          <w:rtl/>
        </w:rPr>
        <w:t>]</w:t>
      </w:r>
      <w:bookmarkEnd w:id="6296"/>
      <w:r w:rsidRPr="006B1909">
        <w:rPr>
          <w:rFonts w:hint="cs"/>
          <w:rtl/>
        </w:rPr>
        <w:t xml:space="preserve">, ועי' בדברי </w:t>
      </w:r>
      <w:r w:rsidRPr="006B1909">
        <w:rPr>
          <w:rStyle w:val="af9"/>
          <w:rFonts w:hint="cs"/>
          <w:rtl/>
        </w:rPr>
        <w:t>האבאה"ז</w:t>
      </w:r>
      <w:r w:rsidRPr="006B1909">
        <w:rPr>
          <w:rFonts w:hint="cs"/>
          <w:rtl/>
        </w:rPr>
        <w:t xml:space="preserve"> </w:t>
      </w:r>
      <w:r w:rsidRPr="006B1909">
        <w:rPr>
          <w:rStyle w:val="af7"/>
          <w:rFonts w:eastAsia="Guttman Hodes" w:hint="cs"/>
          <w:rtl/>
        </w:rPr>
        <w:t xml:space="preserve">(עי' אות </w:t>
      </w:r>
      <w:r w:rsidRPr="006B1909">
        <w:rPr>
          <w:rStyle w:val="af7"/>
          <w:rFonts w:eastAsia="Guttman Hodes"/>
          <w:rtl/>
        </w:rPr>
        <w:fldChar w:fldCharType="begin"/>
      </w:r>
      <w:r w:rsidRPr="006B1909">
        <w:rPr>
          <w:rStyle w:val="af7"/>
          <w:rFonts w:eastAsia="Guttman Hodes"/>
          <w:rtl/>
        </w:rPr>
        <w:instrText xml:space="preserve"> </w:instrText>
      </w:r>
      <w:r w:rsidRPr="006B1909">
        <w:rPr>
          <w:rStyle w:val="af7"/>
          <w:rFonts w:eastAsia="Guttman Hodes" w:hint="cs"/>
        </w:rPr>
        <w:instrText>REF</w:instrText>
      </w:r>
      <w:r w:rsidRPr="006B1909">
        <w:rPr>
          <w:rStyle w:val="af7"/>
          <w:rFonts w:eastAsia="Guttman Hodes" w:hint="cs"/>
          <w:rtl/>
        </w:rPr>
        <w:instrText xml:space="preserve"> _</w:instrText>
      </w:r>
      <w:r w:rsidRPr="006B1909">
        <w:rPr>
          <w:rStyle w:val="af7"/>
          <w:rFonts w:eastAsia="Guttman Hodes" w:hint="cs"/>
        </w:rPr>
        <w:instrText>Ref527108128 \r \h</w:instrText>
      </w:r>
      <w:r w:rsidRPr="006B1909">
        <w:rPr>
          <w:rStyle w:val="af7"/>
          <w:rFonts w:eastAsia="Guttman Hodes"/>
          <w:rtl/>
        </w:rPr>
        <w:instrText xml:space="preserve"> </w:instrText>
      </w:r>
      <w:r w:rsidRPr="006B1909">
        <w:rPr>
          <w:rStyle w:val="af7"/>
          <w:rFonts w:eastAsia="Guttman Hodes"/>
          <w:rtl/>
        </w:rPr>
      </w:r>
      <w:r w:rsidRPr="006B1909">
        <w:rPr>
          <w:rStyle w:val="af7"/>
          <w:rFonts w:eastAsia="Guttman Hodes"/>
          <w:rtl/>
        </w:rPr>
        <w:fldChar w:fldCharType="separate"/>
      </w:r>
      <w:r w:rsidR="00345400">
        <w:rPr>
          <w:rStyle w:val="af7"/>
          <w:rFonts w:eastAsia="Guttman Hodes"/>
          <w:cs/>
        </w:rPr>
        <w:t>‎</w:t>
      </w:r>
      <w:r w:rsidR="00345400">
        <w:rPr>
          <w:rStyle w:val="af7"/>
          <w:rFonts w:eastAsia="Guttman Hodes"/>
          <w:rtl/>
        </w:rPr>
        <w:t>קיב)</w:t>
      </w:r>
      <w:r w:rsidRPr="006B1909">
        <w:rPr>
          <w:rStyle w:val="af7"/>
          <w:rFonts w:eastAsia="Guttman Hodes"/>
          <w:rtl/>
        </w:rPr>
        <w:fldChar w:fldCharType="end"/>
      </w:r>
      <w:r w:rsidRPr="006B1909">
        <w:rPr>
          <w:rStyle w:val="afb"/>
          <w:rFonts w:hint="cs"/>
          <w:rtl/>
        </w:rPr>
        <w:t>.</w:t>
      </w:r>
    </w:p>
    <w:p w14:paraId="43FDF821" w14:textId="77777777" w:rsidR="00533768" w:rsidRPr="00C00FCC" w:rsidRDefault="00533768" w:rsidP="00FE6ED2">
      <w:pPr>
        <w:bidi w:val="0"/>
        <w:spacing w:line="240" w:lineRule="auto"/>
        <w:ind w:left="0"/>
        <w:jc w:val="left"/>
        <w:rPr>
          <w:rFonts w:eastAsia="Guttman Hodes" w:cs="Guttman Hodes"/>
          <w:noProof/>
          <w:sz w:val="18"/>
          <w:szCs w:val="18"/>
          <w:rtl/>
        </w:rPr>
        <w:sectPr w:rsidR="00533768" w:rsidRPr="00C00FCC" w:rsidSect="00B64DA9">
          <w:type w:val="continuous"/>
          <w:pgSz w:w="11906" w:h="16838"/>
          <w:pgMar w:top="720" w:right="720" w:bottom="720" w:left="720" w:header="283" w:footer="283" w:gutter="0"/>
          <w:cols w:num="2" w:space="567"/>
          <w:bidi/>
          <w:rtlGutter/>
        </w:sectPr>
      </w:pPr>
    </w:p>
    <w:p w14:paraId="0124F4D7" w14:textId="77777777" w:rsidR="00533768" w:rsidRPr="001E5047" w:rsidRDefault="00533768" w:rsidP="00FE6ED2">
      <w:pPr>
        <w:bidi w:val="0"/>
        <w:spacing w:line="240" w:lineRule="auto"/>
        <w:ind w:left="0"/>
        <w:jc w:val="left"/>
        <w:rPr>
          <w:rFonts w:eastAsia="Guttman Hodes" w:cs="Guttman Hodes"/>
          <w:noProof/>
          <w:sz w:val="18"/>
          <w:szCs w:val="18"/>
          <w:rtl/>
        </w:rPr>
        <w:sectPr w:rsidR="00533768" w:rsidRPr="001E5047">
          <w:type w:val="continuous"/>
          <w:pgSz w:w="11906" w:h="16838"/>
          <w:pgMar w:top="720" w:right="720" w:bottom="720" w:left="720" w:header="283" w:footer="283" w:gutter="0"/>
          <w:cols w:num="2" w:space="567"/>
          <w:bidi/>
          <w:rtlGutter/>
        </w:sectPr>
      </w:pPr>
    </w:p>
    <w:p w14:paraId="01D19056" w14:textId="77777777" w:rsidR="00533768" w:rsidRDefault="00533768" w:rsidP="00FE6ED2">
      <w:pPr>
        <w:pStyle w:val="ad"/>
        <w:spacing w:before="120" w:after="120" w:line="240" w:lineRule="auto"/>
        <w:ind w:left="0"/>
        <w:rPr>
          <w:rFonts w:cs="FrankRuehl"/>
          <w:sz w:val="20"/>
          <w:rtl/>
        </w:rPr>
      </w:pPr>
      <w:r>
        <w:rPr>
          <w:rStyle w:val="af7"/>
          <w:rFonts w:eastAsiaTheme="minorHAnsi" w:hint="cs"/>
          <w:rtl/>
        </w:rPr>
        <w:t>)</w:t>
      </w:r>
      <w:r w:rsidRPr="001C78B6">
        <w:rPr>
          <w:rFonts w:cs="FrankRuehl"/>
          <w:sz w:val="20"/>
          <w:rtl/>
        </w:rPr>
        <w:t>.</w:t>
      </w:r>
    </w:p>
    <w:p w14:paraId="5F9AD782" w14:textId="77777777" w:rsidR="00533768" w:rsidRDefault="00533768" w:rsidP="00FE6ED2">
      <w:pPr>
        <w:bidi w:val="0"/>
        <w:spacing w:line="240" w:lineRule="auto"/>
        <w:ind w:left="0"/>
        <w:jc w:val="left"/>
        <w:rPr>
          <w:rFonts w:ascii="Guttman Hodes" w:eastAsia="Guttman Hodes" w:hAnsi="Guttman Hodes" w:cs="Guttman Hodes"/>
          <w:noProof/>
          <w:sz w:val="18"/>
          <w:szCs w:val="18"/>
        </w:rPr>
        <w:sectPr w:rsidR="00533768">
          <w:type w:val="continuous"/>
          <w:pgSz w:w="11906" w:h="16838"/>
          <w:pgMar w:top="720" w:right="720" w:bottom="720" w:left="720" w:header="283" w:footer="283" w:gutter="0"/>
          <w:cols w:num="2" w:space="567"/>
          <w:bidi/>
          <w:rtlGutter/>
        </w:sectPr>
      </w:pPr>
    </w:p>
    <w:p w14:paraId="524A7844" w14:textId="77777777" w:rsidR="003741AC" w:rsidRDefault="003741AC" w:rsidP="00FE6ED2">
      <w:pPr>
        <w:tabs>
          <w:tab w:val="left" w:pos="1163"/>
        </w:tabs>
        <w:spacing w:line="240" w:lineRule="auto"/>
        <w:ind w:left="0"/>
        <w:contextualSpacing/>
        <w:jc w:val="center"/>
        <w:rPr>
          <w:rFonts w:ascii="Guttman Hodes" w:eastAsia="Guttman Hodes" w:hAnsi="Guttman Hodes" w:cs="Guttman Hodes"/>
          <w:noProof/>
          <w:sz w:val="18"/>
          <w:szCs w:val="18"/>
        </w:rPr>
        <w:sectPr w:rsidR="003741AC">
          <w:type w:val="continuous"/>
          <w:pgSz w:w="11906" w:h="16838"/>
          <w:pgMar w:top="720" w:right="720" w:bottom="720" w:left="720" w:header="283" w:footer="283" w:gutter="0"/>
          <w:cols w:space="720"/>
          <w:bidi/>
          <w:rtlGutter/>
        </w:sectPr>
      </w:pPr>
    </w:p>
    <w:p w14:paraId="0DF4B8B9" w14:textId="77777777" w:rsidR="00533768" w:rsidRDefault="004B65FC" w:rsidP="00FE6ED2">
      <w:pPr>
        <w:tabs>
          <w:tab w:val="left" w:pos="1163"/>
        </w:tabs>
        <w:spacing w:line="240" w:lineRule="auto"/>
        <w:ind w:left="0"/>
        <w:contextualSpacing/>
        <w:jc w:val="center"/>
        <w:rPr>
          <w:rtl/>
        </w:rPr>
      </w:pPr>
      <w:r>
        <w:rPr>
          <w:rFonts w:ascii="Guttman Hodes" w:eastAsia="Guttman Hodes" w:hAnsi="Guttman Hodes" w:cs="Guttman Hodes"/>
          <w:noProof/>
          <w:sz w:val="18"/>
          <w:szCs w:val="18"/>
        </w:rPr>
        <w:pict w14:anchorId="4EE3A1F5">
          <v:shape id="_x0000_i1032" type="#_x0000_t75" style="width:409.4pt;height:4.45pt" o:hrpct="0" o:hralign="center" o:hr="t">
            <v:imagedata r:id="rId21" o:title="BD14845_"/>
          </v:shape>
        </w:pict>
      </w:r>
    </w:p>
    <w:p w14:paraId="005F59E4" w14:textId="77777777" w:rsidR="00533768" w:rsidRDefault="00533768" w:rsidP="00FE6ED2">
      <w:pPr>
        <w:pStyle w:val="ad"/>
        <w:tabs>
          <w:tab w:val="left" w:pos="1163"/>
        </w:tabs>
        <w:spacing w:before="120"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hint="cs"/>
          <w:noProof/>
          <w:sz w:val="18"/>
          <w:szCs w:val="18"/>
          <w:rtl/>
        </w:rPr>
        <w:t xml:space="preserve"> </w:t>
      </w:r>
    </w:p>
    <w:p w14:paraId="65083AA5" w14:textId="77777777" w:rsidR="00533768" w:rsidRDefault="00533768" w:rsidP="006D6D32">
      <w:pPr>
        <w:pStyle w:val="afe"/>
        <w:rPr>
          <w:sz w:val="18"/>
          <w:rtl/>
        </w:rPr>
      </w:pPr>
      <w:bookmarkStart w:id="6297" w:name="_Toc526249280"/>
      <w:bookmarkStart w:id="6298" w:name="_Toc525594407"/>
      <w:bookmarkStart w:id="6299" w:name="_Toc524638746"/>
      <w:bookmarkStart w:id="6300" w:name="_Toc523760856"/>
      <w:bookmarkStart w:id="6301" w:name="_Toc526504158"/>
      <w:bookmarkStart w:id="6302" w:name="_Toc526853055"/>
      <w:bookmarkStart w:id="6303" w:name="_Toc526889965"/>
      <w:bookmarkStart w:id="6304" w:name="_Toc527108472"/>
      <w:bookmarkStart w:id="6305" w:name="_Toc19435440"/>
      <w:bookmarkStart w:id="6306" w:name="_Toc20080759"/>
      <w:r>
        <w:rPr>
          <w:rFonts w:hint="cs"/>
          <w:rtl/>
        </w:rPr>
        <w:t>מראי מקומות וביאורים על הרמב"ם</w:t>
      </w:r>
      <w:bookmarkEnd w:id="6297"/>
      <w:bookmarkEnd w:id="6298"/>
      <w:bookmarkEnd w:id="6299"/>
      <w:bookmarkEnd w:id="6300"/>
      <w:bookmarkEnd w:id="6301"/>
      <w:bookmarkEnd w:id="6302"/>
      <w:bookmarkEnd w:id="6303"/>
      <w:bookmarkEnd w:id="6304"/>
      <w:bookmarkEnd w:id="6305"/>
      <w:bookmarkEnd w:id="6306"/>
    </w:p>
    <w:p w14:paraId="07BEBC57" w14:textId="77777777" w:rsidR="00533768" w:rsidRDefault="00533768" w:rsidP="00FE6ED2">
      <w:pPr>
        <w:bidi w:val="0"/>
        <w:spacing w:line="240" w:lineRule="auto"/>
        <w:ind w:left="0"/>
        <w:jc w:val="left"/>
        <w:rPr>
          <w:rFonts w:cs="FrankRuehl"/>
          <w:sz w:val="20"/>
          <w:rtl/>
        </w:rPr>
        <w:sectPr w:rsidR="00533768" w:rsidSect="003741AC">
          <w:pgSz w:w="11906" w:h="16838"/>
          <w:pgMar w:top="720" w:right="720" w:bottom="720" w:left="720" w:header="283" w:footer="283" w:gutter="0"/>
          <w:cols w:space="720"/>
          <w:bidi/>
          <w:rtlGutter/>
        </w:sectPr>
      </w:pPr>
    </w:p>
    <w:p w14:paraId="3B4C02CA" w14:textId="77777777" w:rsidR="00533768" w:rsidRDefault="00533768" w:rsidP="00BF39B2">
      <w:pPr>
        <w:pStyle w:val="1"/>
        <w:rPr>
          <w:rtl/>
        </w:rPr>
      </w:pPr>
      <w:bookmarkStart w:id="6307" w:name="_Toc526249281"/>
      <w:bookmarkStart w:id="6308" w:name="_Toc525594408"/>
      <w:bookmarkStart w:id="6309" w:name="_Toc524638747"/>
      <w:bookmarkStart w:id="6310" w:name="_Toc523760857"/>
      <w:bookmarkStart w:id="6311" w:name="_Toc526504159"/>
      <w:bookmarkStart w:id="6312" w:name="_Toc526853056"/>
      <w:bookmarkStart w:id="6313" w:name="_Toc526889966"/>
      <w:bookmarkStart w:id="6314" w:name="_Toc527108473"/>
      <w:bookmarkStart w:id="6315" w:name="_Toc19389760"/>
      <w:bookmarkStart w:id="6316" w:name="_Toc19393257"/>
      <w:r>
        <w:rPr>
          <w:rFonts w:hint="cs"/>
          <w:rtl/>
        </w:rPr>
        <w:t>פלוגתת הרמב"ם והראב"ד בבדיקה אחר השחיטה</w:t>
      </w:r>
      <w:bookmarkEnd w:id="6307"/>
      <w:bookmarkEnd w:id="6308"/>
      <w:bookmarkEnd w:id="6309"/>
      <w:bookmarkEnd w:id="6310"/>
      <w:bookmarkEnd w:id="6311"/>
      <w:bookmarkEnd w:id="6312"/>
      <w:bookmarkEnd w:id="6313"/>
      <w:bookmarkEnd w:id="6314"/>
      <w:bookmarkEnd w:id="6315"/>
      <w:bookmarkEnd w:id="6316"/>
    </w:p>
    <w:p w14:paraId="6E13C729" w14:textId="77777777" w:rsidR="00533768" w:rsidRDefault="00533768" w:rsidP="006D6D32">
      <w:pPr>
        <w:pStyle w:val="a3"/>
        <w:rPr>
          <w:rtl/>
        </w:rPr>
      </w:pPr>
      <w:bookmarkStart w:id="6317" w:name="_Toc526249282"/>
      <w:bookmarkStart w:id="6318" w:name="_Toc526504160"/>
      <w:bookmarkStart w:id="6319" w:name="_Toc526853057"/>
      <w:bookmarkStart w:id="6320" w:name="_Toc526889967"/>
      <w:bookmarkStart w:id="6321" w:name="_Toc527108474"/>
      <w:bookmarkStart w:id="6322" w:name="_Toc19389761"/>
      <w:bookmarkStart w:id="6323" w:name="_Toc19393258"/>
      <w:r>
        <w:rPr>
          <w:rFonts w:hint="cs"/>
          <w:rtl/>
        </w:rPr>
        <w:t>דברי הרמב"ם שצריך לבדוק אחר השחיטה ובפגום הוי ספק נבילה</w:t>
      </w:r>
      <w:bookmarkEnd w:id="6317"/>
      <w:bookmarkEnd w:id="6318"/>
      <w:bookmarkEnd w:id="6319"/>
      <w:bookmarkEnd w:id="6320"/>
      <w:bookmarkEnd w:id="6321"/>
      <w:bookmarkEnd w:id="6322"/>
      <w:bookmarkEnd w:id="6323"/>
    </w:p>
    <w:p w14:paraId="07CC708D" w14:textId="77777777" w:rsidR="00533768" w:rsidRDefault="00533768" w:rsidP="00223668">
      <w:pPr>
        <w:pStyle w:val="a0"/>
        <w:rPr>
          <w:rtl/>
        </w:rPr>
      </w:pPr>
      <w:r>
        <w:rPr>
          <w:rFonts w:hint="cs"/>
          <w:rtl/>
        </w:rPr>
        <w:t xml:space="preserve">כתב </w:t>
      </w:r>
      <w:r>
        <w:rPr>
          <w:rStyle w:val="af9"/>
          <w:rtl/>
        </w:rPr>
        <w:t>הרמב"ם</w:t>
      </w:r>
      <w:r>
        <w:rPr>
          <w:rFonts w:hint="cs"/>
          <w:rtl/>
        </w:rPr>
        <w:t xml:space="preserve"> </w:t>
      </w:r>
      <w:r>
        <w:rPr>
          <w:rStyle w:val="af7"/>
          <w:rFonts w:eastAsia="Guttman Hodes" w:hint="cs"/>
          <w:rtl/>
        </w:rPr>
        <w:t xml:space="preserve">(שחיטה א' כ"ד) </w:t>
      </w:r>
      <w:r>
        <w:rPr>
          <w:rFonts w:hint="cs"/>
          <w:rtl/>
        </w:rPr>
        <w:t>שצריך לבדוק את הסכין גם לאחר השחיטה, כיון שאם ימצא הסכין פגום לאחר השחיטה, הוי ספק נבילה, דחיישינן שמא פגם העור את הסכין.</w:t>
      </w:r>
    </w:p>
    <w:p w14:paraId="4906800D" w14:textId="77777777" w:rsidR="00533768" w:rsidRPr="00282387" w:rsidRDefault="00533768" w:rsidP="006D6D32">
      <w:pPr>
        <w:pStyle w:val="a3"/>
      </w:pPr>
      <w:bookmarkStart w:id="6324" w:name="_Toc527108475"/>
      <w:bookmarkStart w:id="6325" w:name="_Toc19389762"/>
      <w:bookmarkStart w:id="6326" w:name="_Toc19393259"/>
      <w:r>
        <w:rPr>
          <w:rFonts w:hint="cs"/>
          <w:rtl/>
        </w:rPr>
        <w:t>דברי הרמב"ם דכיון שאם ימצא פגום אסור לכן צריך לבדוק בין שחיטה לשחיטה</w:t>
      </w:r>
      <w:bookmarkEnd w:id="6324"/>
      <w:bookmarkEnd w:id="6325"/>
      <w:bookmarkEnd w:id="6326"/>
    </w:p>
    <w:p w14:paraId="196B60B8" w14:textId="77777777" w:rsidR="00533768" w:rsidRDefault="00533768" w:rsidP="00223668">
      <w:pPr>
        <w:pStyle w:val="a0"/>
        <w:rPr>
          <w:rtl/>
        </w:rPr>
      </w:pPr>
      <w:bookmarkStart w:id="6327" w:name="_Ref527057912"/>
      <w:r>
        <w:rPr>
          <w:rFonts w:hint="cs"/>
          <w:rtl/>
        </w:rPr>
        <w:t xml:space="preserve">והוסיף </w:t>
      </w:r>
      <w:r>
        <w:rPr>
          <w:rStyle w:val="af9"/>
          <w:rtl/>
        </w:rPr>
        <w:t>הרמב"ם</w:t>
      </w:r>
      <w:r>
        <w:rPr>
          <w:rFonts w:hint="cs"/>
          <w:rtl/>
        </w:rPr>
        <w:t xml:space="preserve"> דלפיכך השוחט הרבה בהמות או עופות צריך לבדוק בין כל אחת ואחת, דאם לא בדק בין שחיטה לשחיטה, ובדק אחר שחיטת האחרונה, ונמצא הסכין פגום, כל מה ששחט הם ספק  נבילה, ואף הראשונה שחט, וכ"כ </w:t>
      </w:r>
      <w:r>
        <w:rPr>
          <w:rStyle w:val="af9"/>
          <w:rtl/>
        </w:rPr>
        <w:t>רש"י</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Ref526956416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נא)</w:t>
      </w:r>
      <w:r>
        <w:rPr>
          <w:rStyle w:val="af7"/>
          <w:rFonts w:eastAsia="Guttman Hodes"/>
          <w:rtl/>
        </w:rPr>
        <w:fldChar w:fldCharType="end"/>
      </w:r>
      <w:r>
        <w:rPr>
          <w:rStyle w:val="af7"/>
          <w:rFonts w:eastAsia="Guttman Hodes" w:hint="cs"/>
          <w:rtl/>
        </w:rPr>
        <w:t xml:space="preserve"> </w:t>
      </w:r>
      <w:r>
        <w:rPr>
          <w:rFonts w:hint="cs"/>
          <w:rtl/>
        </w:rPr>
        <w:t>דצריך לבדוק אחר השחיטה.</w:t>
      </w:r>
      <w:bookmarkEnd w:id="6327"/>
    </w:p>
    <w:p w14:paraId="476A3F32" w14:textId="77777777" w:rsidR="00533768" w:rsidRDefault="00533768" w:rsidP="006D6D32">
      <w:pPr>
        <w:pStyle w:val="a3"/>
        <w:rPr>
          <w:rtl/>
        </w:rPr>
      </w:pPr>
      <w:bookmarkStart w:id="6328" w:name="_Toc526249283"/>
      <w:bookmarkStart w:id="6329" w:name="_Toc526504161"/>
      <w:bookmarkStart w:id="6330" w:name="_Toc526853058"/>
      <w:bookmarkStart w:id="6331" w:name="_Toc526889968"/>
      <w:bookmarkStart w:id="6332" w:name="_Toc527108476"/>
      <w:bookmarkStart w:id="6333" w:name="_Toc19389763"/>
      <w:bookmarkStart w:id="6334" w:name="_Toc19393260"/>
      <w:r>
        <w:rPr>
          <w:rFonts w:hint="cs"/>
          <w:rtl/>
        </w:rPr>
        <w:t xml:space="preserve">דברי הראב"ד </w:t>
      </w:r>
      <w:bookmarkEnd w:id="6328"/>
      <w:bookmarkEnd w:id="6329"/>
      <w:bookmarkEnd w:id="6330"/>
      <w:bookmarkEnd w:id="6331"/>
      <w:r>
        <w:rPr>
          <w:rFonts w:hint="cs"/>
          <w:rtl/>
        </w:rPr>
        <w:t>דהבדיקה בין שחיטה לשחיטה היא כיון שרוצה לשחוט בהמה אחרת</w:t>
      </w:r>
      <w:bookmarkEnd w:id="6332"/>
      <w:bookmarkEnd w:id="6333"/>
      <w:bookmarkEnd w:id="6334"/>
    </w:p>
    <w:p w14:paraId="52073E86" w14:textId="77777777" w:rsidR="00533768" w:rsidRDefault="00533768" w:rsidP="00223668">
      <w:pPr>
        <w:pStyle w:val="a0"/>
        <w:rPr>
          <w:rtl/>
        </w:rPr>
      </w:pPr>
      <w:bookmarkStart w:id="6335" w:name="_Ref527042224"/>
      <w:r>
        <w:rPr>
          <w:rFonts w:hint="cs"/>
          <w:rtl/>
        </w:rPr>
        <w:t xml:space="preserve">והשיג עליו </w:t>
      </w:r>
      <w:r>
        <w:rPr>
          <w:rStyle w:val="af9"/>
          <w:rtl/>
        </w:rPr>
        <w:t>הראב"ד</w:t>
      </w:r>
      <w:r>
        <w:rPr>
          <w:rStyle w:val="af7"/>
          <w:rFonts w:eastAsia="Guttman Hodes" w:hint="cs"/>
          <w:rtl/>
        </w:rPr>
        <w:t xml:space="preserve"> (שחיטה א' כ"ד) </w:t>
      </w:r>
      <w:r>
        <w:rPr>
          <w:rFonts w:hint="cs"/>
          <w:rtl/>
        </w:rPr>
        <w:t xml:space="preserve">וכתב דהסכימו חכמינו דמדינא א"צ לבדוק אחר השחיטה, אא"כ רוצה לשחוט עוד בהמה אחר שחיטת הראשונה, ועי' במ"ש </w:t>
      </w:r>
      <w:r w:rsidRPr="000F2F7D">
        <w:rPr>
          <w:rStyle w:val="af9"/>
          <w:rFonts w:hint="cs"/>
          <w:rtl/>
        </w:rPr>
        <w:t>הרמב"ן והרשב"א</w:t>
      </w:r>
      <w:r>
        <w:rPr>
          <w:rFonts w:hint="cs"/>
          <w:rtl/>
        </w:rPr>
        <w:t xml:space="preserve"> בשם </w:t>
      </w:r>
      <w:r w:rsidRPr="000F2F7D">
        <w:rPr>
          <w:rStyle w:val="af9"/>
          <w:rFonts w:hint="cs"/>
          <w:rtl/>
        </w:rPr>
        <w:t xml:space="preserve">הראב"ד </w:t>
      </w:r>
      <w:r w:rsidRPr="000F2F7D">
        <w:rPr>
          <w:rStyle w:val="af7"/>
          <w:rFonts w:eastAsia="Guttman Hodes" w:hint="cs"/>
          <w:rtl/>
        </w:rPr>
        <w:t xml:space="preserve">(עי' אות </w:t>
      </w:r>
      <w:r w:rsidRPr="000F2F7D">
        <w:rPr>
          <w:rStyle w:val="af7"/>
          <w:rFonts w:eastAsia="Guttman Hodes"/>
          <w:rtl/>
        </w:rPr>
        <w:fldChar w:fldCharType="begin"/>
      </w:r>
      <w:r w:rsidRPr="000F2F7D">
        <w:rPr>
          <w:rStyle w:val="af7"/>
          <w:rFonts w:eastAsia="Guttman Hodes"/>
          <w:rtl/>
        </w:rPr>
        <w:instrText xml:space="preserve"> </w:instrText>
      </w:r>
      <w:r w:rsidRPr="000F2F7D">
        <w:rPr>
          <w:rStyle w:val="af7"/>
          <w:rFonts w:eastAsia="Guttman Hodes" w:hint="cs"/>
        </w:rPr>
        <w:instrText>REF</w:instrText>
      </w:r>
      <w:r w:rsidRPr="000F2F7D">
        <w:rPr>
          <w:rStyle w:val="af7"/>
          <w:rFonts w:eastAsia="Guttman Hodes" w:hint="cs"/>
          <w:rtl/>
        </w:rPr>
        <w:instrText xml:space="preserve"> _</w:instrText>
      </w:r>
      <w:r w:rsidRPr="000F2F7D">
        <w:rPr>
          <w:rStyle w:val="af7"/>
          <w:rFonts w:eastAsia="Guttman Hodes" w:hint="cs"/>
        </w:rPr>
        <w:instrText>Ref527025039 \r \h</w:instrText>
      </w:r>
      <w:r w:rsidRPr="000F2F7D">
        <w:rPr>
          <w:rStyle w:val="af7"/>
          <w:rFonts w:eastAsia="Guttman Hodes"/>
          <w:rtl/>
        </w:rPr>
        <w:instrText xml:space="preserve"> </w:instrText>
      </w:r>
      <w:r w:rsidRPr="000F2F7D">
        <w:rPr>
          <w:rStyle w:val="af7"/>
          <w:rFonts w:eastAsia="Guttman Hodes"/>
          <w:rtl/>
        </w:rPr>
      </w:r>
      <w:r w:rsidRPr="000F2F7D">
        <w:rPr>
          <w:rStyle w:val="af7"/>
          <w:rFonts w:eastAsia="Guttman Hodes"/>
          <w:rtl/>
        </w:rPr>
        <w:fldChar w:fldCharType="separate"/>
      </w:r>
      <w:r w:rsidR="00345400">
        <w:rPr>
          <w:rStyle w:val="af7"/>
          <w:rFonts w:eastAsia="Guttman Hodes"/>
          <w:cs/>
        </w:rPr>
        <w:t>‎</w:t>
      </w:r>
      <w:r w:rsidR="00345400">
        <w:rPr>
          <w:rStyle w:val="af7"/>
          <w:rFonts w:eastAsia="Guttman Hodes"/>
          <w:rtl/>
        </w:rPr>
        <w:t>סא)</w:t>
      </w:r>
      <w:r w:rsidRPr="000F2F7D">
        <w:rPr>
          <w:rStyle w:val="af7"/>
          <w:rFonts w:eastAsia="Guttman Hodes"/>
          <w:rtl/>
        </w:rPr>
        <w:fldChar w:fldCharType="end"/>
      </w:r>
      <w:r>
        <w:rPr>
          <w:rFonts w:hint="cs"/>
          <w:rtl/>
        </w:rPr>
        <w:t>.</w:t>
      </w:r>
      <w:bookmarkEnd w:id="6335"/>
    </w:p>
    <w:p w14:paraId="7AF680F4" w14:textId="77777777" w:rsidR="00533768" w:rsidRDefault="00533768" w:rsidP="006D6D32">
      <w:pPr>
        <w:pStyle w:val="a3"/>
        <w:rPr>
          <w:rtl/>
        </w:rPr>
      </w:pPr>
      <w:bookmarkStart w:id="6336" w:name="_Toc526249284"/>
      <w:bookmarkStart w:id="6337" w:name="_Toc526504162"/>
      <w:bookmarkStart w:id="6338" w:name="_Toc526853059"/>
      <w:bookmarkStart w:id="6339" w:name="_Toc526889969"/>
      <w:bookmarkStart w:id="6340" w:name="_Toc527108477"/>
      <w:bookmarkStart w:id="6341" w:name="_Toc19389764"/>
      <w:bookmarkStart w:id="6342" w:name="_Toc19393261"/>
      <w:r>
        <w:rPr>
          <w:rFonts w:hint="cs"/>
          <w:rtl/>
        </w:rPr>
        <w:t>הוכחת הראב"ד מדלא אמר רב הונא שצריך לבדוק את הסכין כמו בבדיקת סימנים</w:t>
      </w:r>
      <w:bookmarkEnd w:id="6336"/>
      <w:bookmarkEnd w:id="6337"/>
      <w:bookmarkEnd w:id="6338"/>
      <w:bookmarkEnd w:id="6339"/>
      <w:bookmarkEnd w:id="6340"/>
      <w:bookmarkEnd w:id="6341"/>
      <w:bookmarkEnd w:id="6342"/>
    </w:p>
    <w:p w14:paraId="5DBE0E85" w14:textId="77777777" w:rsidR="00533768" w:rsidRDefault="00533768" w:rsidP="00223668">
      <w:pPr>
        <w:pStyle w:val="a0"/>
        <w:rPr>
          <w:rtl/>
        </w:rPr>
      </w:pPr>
      <w:r>
        <w:rPr>
          <w:rFonts w:hint="cs"/>
          <w:rtl/>
        </w:rPr>
        <w:t xml:space="preserve">וכתב </w:t>
      </w:r>
      <w:r>
        <w:rPr>
          <w:rStyle w:val="af9"/>
          <w:rtl/>
        </w:rPr>
        <w:t>הראב"ד</w:t>
      </w:r>
      <w:r>
        <w:rPr>
          <w:rFonts w:hint="cs"/>
          <w:rtl/>
        </w:rPr>
        <w:t xml:space="preserve"> דכן מוכח מהא דאמר רב הונא שאם שחט ונמצא פגום השחיטה פסולה, ולא אמר דצריך לבדוק אחר השחיטה, ואילו לדעת </w:t>
      </w:r>
      <w:r>
        <w:rPr>
          <w:rStyle w:val="af9"/>
          <w:rtl/>
        </w:rPr>
        <w:t xml:space="preserve">הרמב"ם </w:t>
      </w:r>
      <w:r>
        <w:rPr>
          <w:rFonts w:hint="cs"/>
          <w:rtl/>
        </w:rPr>
        <w:t xml:space="preserve">היה לגמ' לומר דצריך לבדוק אחר השחיטה, כמו שאמר רב </w:t>
      </w:r>
      <w:r>
        <w:rPr>
          <w:rStyle w:val="af7"/>
          <w:rFonts w:eastAsia="Guttman Hodes" w:hint="cs"/>
          <w:rtl/>
        </w:rPr>
        <w:t xml:space="preserve">(ט.) </w:t>
      </w:r>
      <w:r>
        <w:rPr>
          <w:rFonts w:hint="cs"/>
          <w:rtl/>
        </w:rPr>
        <w:t>דהשוחט צריך לבדוק בסימנים.</w:t>
      </w:r>
    </w:p>
    <w:p w14:paraId="5F3FE426" w14:textId="77777777" w:rsidR="00533768" w:rsidRDefault="00533768" w:rsidP="00BF39B2">
      <w:pPr>
        <w:pStyle w:val="1"/>
        <w:rPr>
          <w:rtl/>
        </w:rPr>
      </w:pPr>
      <w:bookmarkStart w:id="6343" w:name="_Toc19389765"/>
      <w:bookmarkStart w:id="6344" w:name="_Toc19393262"/>
      <w:bookmarkStart w:id="6345" w:name="_Toc527108478"/>
      <w:r>
        <w:rPr>
          <w:rFonts w:hint="cs"/>
          <w:rtl/>
        </w:rPr>
        <w:t>בביאור דעת הרמב"ם דהבדיקה היא עצה טובה</w:t>
      </w:r>
      <w:bookmarkEnd w:id="6343"/>
      <w:bookmarkEnd w:id="6344"/>
    </w:p>
    <w:p w14:paraId="31206BDC" w14:textId="77777777" w:rsidR="00533768" w:rsidRDefault="00533768" w:rsidP="006D6D32">
      <w:pPr>
        <w:pStyle w:val="a3"/>
        <w:rPr>
          <w:rtl/>
        </w:rPr>
      </w:pPr>
      <w:bookmarkStart w:id="6346" w:name="_Toc19389766"/>
      <w:bookmarkStart w:id="6347" w:name="_Toc19393263"/>
      <w:r>
        <w:rPr>
          <w:rFonts w:hint="cs"/>
          <w:rtl/>
        </w:rPr>
        <w:t>דברי התרוה"ד דמשמעות דברי רב כהנא דהבדיקה היא כבדיקה דקודם השחיטה</w:t>
      </w:r>
      <w:bookmarkEnd w:id="6345"/>
      <w:bookmarkEnd w:id="6346"/>
      <w:bookmarkEnd w:id="6347"/>
    </w:p>
    <w:p w14:paraId="43D69989" w14:textId="77777777" w:rsidR="00533768" w:rsidRDefault="00533768" w:rsidP="00223668">
      <w:pPr>
        <w:pStyle w:val="a0"/>
        <w:rPr>
          <w:rtl/>
        </w:rPr>
      </w:pPr>
      <w:r>
        <w:rPr>
          <w:rFonts w:hint="cs"/>
          <w:rtl/>
        </w:rPr>
        <w:t xml:space="preserve">כתב </w:t>
      </w:r>
      <w:r>
        <w:rPr>
          <w:rStyle w:val="af9"/>
          <w:rtl/>
        </w:rPr>
        <w:t>התרוה"ד</w:t>
      </w:r>
      <w:r>
        <w:rPr>
          <w:rFonts w:hint="cs"/>
          <w:rtl/>
        </w:rPr>
        <w:t xml:space="preserve"> </w:t>
      </w:r>
      <w:r>
        <w:rPr>
          <w:rStyle w:val="af7"/>
          <w:rFonts w:eastAsia="Guttman Hodes" w:hint="cs"/>
          <w:rtl/>
        </w:rPr>
        <w:t>(קפ"ד)</w:t>
      </w:r>
      <w:r>
        <w:rPr>
          <w:rFonts w:hint="cs"/>
          <w:rtl/>
        </w:rPr>
        <w:t xml:space="preserve"> דמשמעות דברי רב כהנא היא שיש חיוב לבדוק בין שחיטה לשחיטה, ואינו יכול לומר שיבדוק לבסוף ואם ימצא פגום יטריף הכל, דהא להו"א דרב כהנא כרב חסדא, א"כ הבדיקה בין שחיטה לשחיטה היא כבדיקה קודם השחיטה, דקיי"ל שאסור לשחוט ולבדוק אח"כ שמא ישכח, ודוחק לומר דלמסקנא דרב כהנא כרב הונא הוא מיקל יותר מרב חסדא, וכן משמע מהלשון של רב כהנא שצריך לבדוק.</w:t>
      </w:r>
    </w:p>
    <w:p w14:paraId="1ACCE29B" w14:textId="77777777" w:rsidR="00533768" w:rsidRDefault="00533768" w:rsidP="006D6D32">
      <w:pPr>
        <w:pStyle w:val="a3"/>
        <w:rPr>
          <w:rtl/>
        </w:rPr>
      </w:pPr>
      <w:bookmarkStart w:id="6348" w:name="_Toc527108479"/>
      <w:bookmarkStart w:id="6349" w:name="_Toc19389767"/>
      <w:bookmarkStart w:id="6350" w:name="_Toc19393264"/>
      <w:r>
        <w:rPr>
          <w:rFonts w:hint="cs"/>
          <w:rtl/>
        </w:rPr>
        <w:t>דברי התרוה"ד דמהרי"ף והרמב"ם מבואר שאין חיוב לבדוק בין שחיטה לשחיטה</w:t>
      </w:r>
      <w:bookmarkEnd w:id="6348"/>
      <w:bookmarkEnd w:id="6349"/>
      <w:bookmarkEnd w:id="6350"/>
    </w:p>
    <w:p w14:paraId="411E12E0" w14:textId="77777777" w:rsidR="00533768" w:rsidRDefault="00533768" w:rsidP="00223668">
      <w:pPr>
        <w:pStyle w:val="a0"/>
        <w:rPr>
          <w:rtl/>
        </w:rPr>
      </w:pPr>
      <w:r>
        <w:rPr>
          <w:rFonts w:hint="cs"/>
          <w:rtl/>
        </w:rPr>
        <w:t xml:space="preserve">אך כתב </w:t>
      </w:r>
      <w:r>
        <w:rPr>
          <w:rStyle w:val="af9"/>
          <w:rtl/>
        </w:rPr>
        <w:t>התרוה"ד</w:t>
      </w:r>
      <w:r>
        <w:rPr>
          <w:rFonts w:hint="cs"/>
          <w:rtl/>
        </w:rPr>
        <w:t xml:space="preserve"> דאפשר לדחות, ולומר דבגמ' משמע להיפך שאם רוצה להכנס בספק שיטריף את כולם מותר, </w:t>
      </w:r>
      <w:r w:rsidRPr="009651E1">
        <w:rPr>
          <w:rStyle w:val="afb"/>
          <w:rFonts w:hint="cs"/>
          <w:rtl/>
        </w:rPr>
        <w:t xml:space="preserve">[עיי"ש בדבריו דהאריך בביאור דברי הגמ'],  </w:t>
      </w:r>
      <w:r>
        <w:rPr>
          <w:rFonts w:hint="cs"/>
          <w:rtl/>
        </w:rPr>
        <w:t xml:space="preserve">וכן מבואר מדברי </w:t>
      </w:r>
      <w:r>
        <w:rPr>
          <w:rStyle w:val="af9"/>
          <w:rtl/>
        </w:rPr>
        <w:t xml:space="preserve">הרי"ף </w:t>
      </w:r>
      <w:r w:rsidRPr="009651E1">
        <w:rPr>
          <w:rStyle w:val="af7"/>
          <w:rFonts w:eastAsia="Guttman Hodes" w:hint="cs"/>
          <w:rtl/>
        </w:rPr>
        <w:t xml:space="preserve">(ג. מדפי הרי"ף) </w:t>
      </w:r>
      <w:r>
        <w:rPr>
          <w:rStyle w:val="af9"/>
          <w:rtl/>
        </w:rPr>
        <w:t>והרמב"ם</w:t>
      </w:r>
      <w:r>
        <w:rPr>
          <w:rFonts w:hint="cs"/>
          <w:rtl/>
        </w:rPr>
        <w:t xml:space="preserve"> </w:t>
      </w:r>
      <w:r w:rsidRPr="009651E1">
        <w:rPr>
          <w:rStyle w:val="af7"/>
          <w:rFonts w:eastAsia="Guttman Hodes" w:hint="cs"/>
          <w:rtl/>
        </w:rPr>
        <w:t xml:space="preserve">(עי' אות </w:t>
      </w:r>
      <w:r w:rsidRPr="009651E1">
        <w:rPr>
          <w:rStyle w:val="af7"/>
          <w:rFonts w:eastAsia="Guttman Hodes"/>
          <w:rtl/>
        </w:rPr>
        <w:fldChar w:fldCharType="begin"/>
      </w:r>
      <w:r w:rsidRPr="009651E1">
        <w:rPr>
          <w:rStyle w:val="af7"/>
          <w:rFonts w:eastAsia="Guttman Hodes"/>
          <w:rtl/>
        </w:rPr>
        <w:instrText xml:space="preserve"> </w:instrText>
      </w:r>
      <w:r w:rsidRPr="009651E1">
        <w:rPr>
          <w:rStyle w:val="af7"/>
          <w:rFonts w:eastAsia="Guttman Hodes" w:hint="cs"/>
        </w:rPr>
        <w:instrText>REF</w:instrText>
      </w:r>
      <w:r w:rsidRPr="009651E1">
        <w:rPr>
          <w:rStyle w:val="af7"/>
          <w:rFonts w:eastAsia="Guttman Hodes" w:hint="cs"/>
          <w:rtl/>
        </w:rPr>
        <w:instrText xml:space="preserve"> _</w:instrText>
      </w:r>
      <w:r w:rsidRPr="009651E1">
        <w:rPr>
          <w:rStyle w:val="af7"/>
          <w:rFonts w:eastAsia="Guttman Hodes" w:hint="cs"/>
        </w:rPr>
        <w:instrText>Ref527057912 \r \h</w:instrText>
      </w:r>
      <w:r w:rsidRPr="009651E1">
        <w:rPr>
          <w:rStyle w:val="af7"/>
          <w:rFonts w:eastAsia="Guttman Hodes"/>
          <w:rtl/>
        </w:rPr>
        <w:instrText xml:space="preserve"> </w:instrText>
      </w:r>
      <w:r w:rsidRPr="009651E1">
        <w:rPr>
          <w:rStyle w:val="af7"/>
          <w:rFonts w:eastAsia="Guttman Hodes"/>
          <w:rtl/>
        </w:rPr>
      </w:r>
      <w:r w:rsidRPr="009651E1">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9651E1">
        <w:rPr>
          <w:rStyle w:val="af7"/>
          <w:rFonts w:eastAsia="Guttman Hodes"/>
          <w:rtl/>
        </w:rPr>
        <w:fldChar w:fldCharType="end"/>
      </w:r>
      <w:r>
        <w:rPr>
          <w:rFonts w:hint="cs"/>
          <w:rtl/>
        </w:rPr>
        <w:t xml:space="preserve"> שכתבו שצריך לבדוק ואם לא בדק יפסול הכל, ומשמע שאין חיוב לבדוק, אלא שאם לא יבדוק הכל יפסל.</w:t>
      </w:r>
    </w:p>
    <w:p w14:paraId="39C6E88D" w14:textId="77777777" w:rsidR="00533768" w:rsidRDefault="00533768" w:rsidP="006D6D32">
      <w:pPr>
        <w:pStyle w:val="a3"/>
        <w:rPr>
          <w:rtl/>
        </w:rPr>
      </w:pPr>
      <w:bookmarkStart w:id="6351" w:name="_Toc527108480"/>
      <w:bookmarkStart w:id="6352" w:name="_Toc19389768"/>
      <w:bookmarkStart w:id="6353" w:name="_Toc19393265"/>
      <w:r>
        <w:rPr>
          <w:rFonts w:hint="cs"/>
          <w:rtl/>
        </w:rPr>
        <w:t>דיוק הש"ך הפרמ"ג והמ"מ דלהרמב"ם הבדיקה היא עצה טובה</w:t>
      </w:r>
      <w:bookmarkEnd w:id="6351"/>
      <w:bookmarkEnd w:id="6352"/>
      <w:bookmarkEnd w:id="6353"/>
    </w:p>
    <w:p w14:paraId="1ED44683" w14:textId="77777777" w:rsidR="00533768" w:rsidRDefault="00533768" w:rsidP="00223668">
      <w:pPr>
        <w:pStyle w:val="a0"/>
        <w:rPr>
          <w:rtl/>
        </w:rPr>
      </w:pPr>
      <w:bookmarkStart w:id="6354" w:name="_Ref527107131"/>
      <w:r>
        <w:rPr>
          <w:rFonts w:hint="cs"/>
          <w:rtl/>
        </w:rPr>
        <w:t xml:space="preserve">כתבו </w:t>
      </w:r>
      <w:r w:rsidRPr="00ED1388">
        <w:rPr>
          <w:rStyle w:val="af9"/>
          <w:rFonts w:hint="cs"/>
          <w:rtl/>
        </w:rPr>
        <w:t>הש"ך</w:t>
      </w:r>
      <w:r>
        <w:rPr>
          <w:rFonts w:hint="cs"/>
          <w:rtl/>
        </w:rPr>
        <w:t xml:space="preserve"> </w:t>
      </w:r>
      <w:r w:rsidRPr="00ED1388">
        <w:rPr>
          <w:rStyle w:val="af7"/>
          <w:rFonts w:eastAsia="Guttman Hodes" w:hint="cs"/>
          <w:rtl/>
        </w:rPr>
        <w:t>(י"ח י"ח)</w:t>
      </w:r>
      <w:r>
        <w:rPr>
          <w:rFonts w:hint="cs"/>
          <w:rtl/>
        </w:rPr>
        <w:t xml:space="preserve"> </w:t>
      </w:r>
      <w:r w:rsidRPr="000621DA">
        <w:rPr>
          <w:rStyle w:val="af9"/>
          <w:rFonts w:hint="cs"/>
          <w:rtl/>
        </w:rPr>
        <w:t>והפרמ"ג</w:t>
      </w:r>
      <w:r>
        <w:rPr>
          <w:rFonts w:hint="cs"/>
          <w:rtl/>
        </w:rPr>
        <w:t xml:space="preserve"> </w:t>
      </w:r>
      <w:r w:rsidRPr="000621DA">
        <w:rPr>
          <w:rStyle w:val="af7"/>
          <w:rFonts w:eastAsia="Guttman Hodes" w:hint="cs"/>
          <w:rtl/>
        </w:rPr>
        <w:t>(י"ח שפ"ד סוס"ק כ')</w:t>
      </w:r>
      <w:r>
        <w:rPr>
          <w:rFonts w:hint="cs"/>
          <w:rtl/>
        </w:rPr>
        <w:t xml:space="preserve"> </w:t>
      </w:r>
      <w:r w:rsidRPr="000621DA">
        <w:rPr>
          <w:rStyle w:val="af9"/>
          <w:rFonts w:hint="cs"/>
          <w:rtl/>
        </w:rPr>
        <w:t>והמגיד משנה [להר"י כלץ]</w:t>
      </w:r>
      <w:r>
        <w:rPr>
          <w:rFonts w:hint="cs"/>
          <w:rtl/>
        </w:rPr>
        <w:t xml:space="preserve"> </w:t>
      </w:r>
      <w:r w:rsidRPr="000621DA">
        <w:rPr>
          <w:rStyle w:val="af7"/>
          <w:rFonts w:eastAsia="Guttman Hodes" w:hint="cs"/>
          <w:rtl/>
        </w:rPr>
        <w:t>(שחיטה א' כ"ד ד"ה לפיכך)</w:t>
      </w:r>
      <w:r>
        <w:rPr>
          <w:rFonts w:hint="cs"/>
          <w:rtl/>
        </w:rPr>
        <w:t xml:space="preserve"> </w:t>
      </w:r>
      <w:r w:rsidRPr="000621DA">
        <w:rPr>
          <w:rStyle w:val="af9"/>
          <w:rFonts w:hint="cs"/>
          <w:rtl/>
        </w:rPr>
        <w:t>דהרמב"ם</w:t>
      </w:r>
      <w:r>
        <w:rPr>
          <w:rFonts w:hint="cs"/>
          <w:rtl/>
        </w:rPr>
        <w:t xml:space="preserve"> כתב דצריך לבדוק בין שחיטה לשחיטה, "שאם" לא בדק ונמצא פגום כולם פסולות, ולא כתב "ואם" לא בדק, דכוונתו לומר שהוא עצה טובה ואין חיוב לבדוק, [ועיי"ש דכתבו </w:t>
      </w:r>
      <w:r w:rsidRPr="000621DA">
        <w:rPr>
          <w:rStyle w:val="af9"/>
          <w:rFonts w:hint="cs"/>
          <w:rtl/>
        </w:rPr>
        <w:t>דהטור</w:t>
      </w:r>
      <w:r>
        <w:rPr>
          <w:rFonts w:hint="cs"/>
          <w:rtl/>
        </w:rPr>
        <w:t xml:space="preserve"> </w:t>
      </w:r>
      <w:r w:rsidRPr="000621DA">
        <w:rPr>
          <w:rStyle w:val="af7"/>
          <w:rFonts w:eastAsia="Guttman Hodes" w:hint="cs"/>
          <w:rtl/>
        </w:rPr>
        <w:t xml:space="preserve">(י"ח י"א) </w:t>
      </w:r>
      <w:r>
        <w:rPr>
          <w:rFonts w:hint="cs"/>
          <w:rtl/>
        </w:rPr>
        <w:t>כתב לשון "ואם לא בדק, דס"ל שיש דין לבדוק].</w:t>
      </w:r>
      <w:bookmarkEnd w:id="6354"/>
    </w:p>
    <w:p w14:paraId="50A1C889" w14:textId="77777777" w:rsidR="003741AC" w:rsidRPr="003741AC" w:rsidRDefault="003741AC" w:rsidP="003741AC">
      <w:pPr>
        <w:pStyle w:val="a3"/>
        <w:rPr>
          <w:rtl/>
        </w:rPr>
      </w:pPr>
    </w:p>
    <w:p w14:paraId="69970B68" w14:textId="77777777" w:rsidR="00533768" w:rsidRPr="00E51DA5" w:rsidRDefault="00533768" w:rsidP="006D6D32">
      <w:pPr>
        <w:pStyle w:val="a3"/>
        <w:rPr>
          <w:rtl/>
        </w:rPr>
      </w:pPr>
      <w:bookmarkStart w:id="6355" w:name="_Toc527108481"/>
      <w:bookmarkStart w:id="6356" w:name="_Toc19389769"/>
      <w:bookmarkStart w:id="6357" w:name="_Toc19393266"/>
      <w:r>
        <w:rPr>
          <w:rFonts w:hint="cs"/>
          <w:rtl/>
        </w:rPr>
        <w:t>קושית הלח"מ דהבדיקה שבין שחיטה לשחיטה היא אף לרב חסדא</w:t>
      </w:r>
      <w:bookmarkEnd w:id="6355"/>
      <w:bookmarkEnd w:id="6356"/>
      <w:bookmarkEnd w:id="6357"/>
    </w:p>
    <w:p w14:paraId="629D743D" w14:textId="77777777" w:rsidR="00533768" w:rsidRDefault="00533768" w:rsidP="00223668">
      <w:pPr>
        <w:pStyle w:val="a0"/>
        <w:rPr>
          <w:rtl/>
        </w:rPr>
      </w:pPr>
      <w:r>
        <w:rPr>
          <w:rFonts w:hint="cs"/>
          <w:rtl/>
        </w:rPr>
        <w:t xml:space="preserve">במ"ש </w:t>
      </w:r>
      <w:r w:rsidRPr="00860462">
        <w:rPr>
          <w:rStyle w:val="af9"/>
          <w:rFonts w:hint="cs"/>
          <w:rtl/>
        </w:rPr>
        <w:t>הרמב"ם</w:t>
      </w:r>
      <w:r>
        <w:rPr>
          <w:rFonts w:hint="cs"/>
          <w:rtl/>
        </w:rPr>
        <w:t xml:space="preserve"> </w:t>
      </w:r>
      <w:r w:rsidRPr="00860462">
        <w:rPr>
          <w:rStyle w:val="af7"/>
          <w:rFonts w:eastAsia="Guttman Hodes" w:hint="cs"/>
          <w:rtl/>
        </w:rPr>
        <w:t xml:space="preserve">(עי' אות </w:t>
      </w:r>
      <w:r w:rsidRPr="00860462">
        <w:rPr>
          <w:rStyle w:val="af7"/>
          <w:rFonts w:eastAsia="Guttman Hodes"/>
          <w:rtl/>
        </w:rPr>
        <w:fldChar w:fldCharType="begin"/>
      </w:r>
      <w:r w:rsidRPr="00860462">
        <w:rPr>
          <w:rStyle w:val="af7"/>
          <w:rFonts w:eastAsia="Guttman Hodes"/>
          <w:rtl/>
        </w:rPr>
        <w:instrText xml:space="preserve"> </w:instrText>
      </w:r>
      <w:r w:rsidRPr="00860462">
        <w:rPr>
          <w:rStyle w:val="af7"/>
          <w:rFonts w:eastAsia="Guttman Hodes" w:hint="cs"/>
        </w:rPr>
        <w:instrText>REF</w:instrText>
      </w:r>
      <w:r w:rsidRPr="00860462">
        <w:rPr>
          <w:rStyle w:val="af7"/>
          <w:rFonts w:eastAsia="Guttman Hodes" w:hint="cs"/>
          <w:rtl/>
        </w:rPr>
        <w:instrText xml:space="preserve"> _</w:instrText>
      </w:r>
      <w:r w:rsidRPr="00860462">
        <w:rPr>
          <w:rStyle w:val="af7"/>
          <w:rFonts w:eastAsia="Guttman Hodes" w:hint="cs"/>
        </w:rPr>
        <w:instrText>Ref527057912 \r \h</w:instrText>
      </w:r>
      <w:r w:rsidRPr="00860462">
        <w:rPr>
          <w:rStyle w:val="af7"/>
          <w:rFonts w:eastAsia="Guttman Hodes"/>
          <w:rtl/>
        </w:rPr>
        <w:instrText xml:space="preserve"> </w:instrText>
      </w:r>
      <w:r w:rsidRPr="00860462">
        <w:rPr>
          <w:rStyle w:val="af7"/>
          <w:rFonts w:eastAsia="Guttman Hodes"/>
          <w:rtl/>
        </w:rPr>
      </w:r>
      <w:r w:rsidRPr="00860462">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860462">
        <w:rPr>
          <w:rStyle w:val="af7"/>
          <w:rFonts w:eastAsia="Guttman Hodes"/>
          <w:rtl/>
        </w:rPr>
        <w:fldChar w:fldCharType="end"/>
      </w:r>
      <w:r>
        <w:rPr>
          <w:rFonts w:hint="cs"/>
          <w:rtl/>
        </w:rPr>
        <w:t xml:space="preserve"> דכיון שבנמצא הסכין פגום חיישינן שהעור פגם, לפיכך בהרבה בהמות צריך לבדוק בין שחיטה לשחיטה,</w:t>
      </w:r>
      <w:r w:rsidRPr="00C71B73">
        <w:rPr>
          <w:rFonts w:hint="cs"/>
          <w:rtl/>
        </w:rPr>
        <w:t xml:space="preserve"> </w:t>
      </w:r>
      <w:r>
        <w:rPr>
          <w:rFonts w:hint="cs"/>
          <w:rtl/>
        </w:rPr>
        <w:t xml:space="preserve">הקשה </w:t>
      </w:r>
      <w:r w:rsidRPr="00860462">
        <w:rPr>
          <w:rStyle w:val="af9"/>
          <w:rFonts w:hint="cs"/>
          <w:rtl/>
        </w:rPr>
        <w:t>הלח"מ</w:t>
      </w:r>
      <w:r>
        <w:rPr>
          <w:rFonts w:hint="cs"/>
          <w:rtl/>
        </w:rPr>
        <w:t xml:space="preserve"> </w:t>
      </w:r>
      <w:r w:rsidRPr="00860462">
        <w:rPr>
          <w:rStyle w:val="af7"/>
          <w:rFonts w:eastAsia="Guttman Hodes" w:hint="cs"/>
          <w:rtl/>
        </w:rPr>
        <w:t>(שחיטה א' כ"ד)</w:t>
      </w:r>
      <w:r>
        <w:rPr>
          <w:rFonts w:hint="cs"/>
          <w:rtl/>
        </w:rPr>
        <w:t xml:space="preserve"> דלא שייך לומר "לפיכך", דהא הדין בדיקה בין שחיטה לשחיטה, אינו רק לרב הונא דחושש שהעור פגם, אלא אף לרב חסדא, צריך לבדוק בין שחיטה לשחיטה.</w:t>
      </w:r>
    </w:p>
    <w:p w14:paraId="4D8131BC" w14:textId="77777777" w:rsidR="00533768" w:rsidRDefault="00533768" w:rsidP="006D6D32">
      <w:pPr>
        <w:pStyle w:val="a3"/>
        <w:rPr>
          <w:rtl/>
        </w:rPr>
      </w:pPr>
      <w:bookmarkStart w:id="6358" w:name="_Toc527108482"/>
      <w:bookmarkStart w:id="6359" w:name="_Toc19389770"/>
      <w:bookmarkStart w:id="6360" w:name="_Toc19393267"/>
      <w:r>
        <w:rPr>
          <w:rFonts w:hint="cs"/>
          <w:rtl/>
        </w:rPr>
        <w:t>ביאור הפרמ"ג דלל"ב דרב חסדא א"צ לבדוק</w:t>
      </w:r>
      <w:bookmarkEnd w:id="6358"/>
      <w:bookmarkEnd w:id="6359"/>
      <w:bookmarkEnd w:id="6360"/>
    </w:p>
    <w:p w14:paraId="705DD083" w14:textId="77777777" w:rsidR="00533768" w:rsidRDefault="00533768" w:rsidP="00223668">
      <w:pPr>
        <w:pStyle w:val="a0"/>
        <w:rPr>
          <w:rtl/>
        </w:rPr>
      </w:pPr>
      <w:r>
        <w:rPr>
          <w:rFonts w:hint="cs"/>
          <w:rtl/>
        </w:rPr>
        <w:t xml:space="preserve">ותירץ </w:t>
      </w:r>
      <w:r w:rsidRPr="00860462">
        <w:rPr>
          <w:rStyle w:val="af9"/>
          <w:rFonts w:hint="cs"/>
          <w:rtl/>
        </w:rPr>
        <w:t>הפרמ"ג</w:t>
      </w:r>
      <w:r>
        <w:rPr>
          <w:rFonts w:hint="cs"/>
          <w:rtl/>
        </w:rPr>
        <w:t xml:space="preserve"> </w:t>
      </w:r>
      <w:r w:rsidRPr="00860462">
        <w:rPr>
          <w:rStyle w:val="af7"/>
          <w:rFonts w:eastAsia="Guttman Hodes" w:hint="cs"/>
          <w:rtl/>
        </w:rPr>
        <w:t>(י"ח שפ"ד סוס"ק כ')</w:t>
      </w:r>
      <w:r>
        <w:rPr>
          <w:rFonts w:hint="cs"/>
          <w:rtl/>
        </w:rPr>
        <w:t xml:space="preserve"> דכוונת </w:t>
      </w:r>
      <w:r w:rsidRPr="00860462">
        <w:rPr>
          <w:rStyle w:val="af9"/>
          <w:rFonts w:hint="cs"/>
          <w:rtl/>
        </w:rPr>
        <w:t>הרמב"ם</w:t>
      </w:r>
      <w:r>
        <w:rPr>
          <w:rFonts w:hint="cs"/>
          <w:rtl/>
        </w:rPr>
        <w:t xml:space="preserve"> לומר דכיון דקיי"ל כרב הונא דחיישינן שהעור פגם, א"כ צריך לבדוק בין שחיטה לשחיטה כדי להכשיר את כל הבהמות, ואילו לל"ב ברב חסדא תלינן במפרקת האחרונה, וכדביארו</w:t>
      </w:r>
      <w:r w:rsidRPr="00860462">
        <w:rPr>
          <w:rStyle w:val="af9"/>
          <w:rFonts w:hint="cs"/>
          <w:rtl/>
        </w:rPr>
        <w:t xml:space="preserve"> התוס'</w:t>
      </w:r>
      <w:r>
        <w:rPr>
          <w:rFonts w:hint="cs"/>
          <w:rtl/>
        </w:rPr>
        <w:t xml:space="preserve"> </w:t>
      </w:r>
      <w:r w:rsidRPr="00860462">
        <w:rPr>
          <w:rStyle w:val="af7"/>
          <w:rFonts w:eastAsia="Guttman Hodes" w:hint="cs"/>
          <w:rtl/>
        </w:rPr>
        <w:t xml:space="preserve">(עי' אות </w:t>
      </w:r>
      <w:r w:rsidRPr="00860462">
        <w:rPr>
          <w:rStyle w:val="af7"/>
          <w:rFonts w:eastAsia="Guttman Hodes"/>
          <w:rtl/>
        </w:rPr>
        <w:fldChar w:fldCharType="begin"/>
      </w:r>
      <w:r w:rsidRPr="00860462">
        <w:rPr>
          <w:rStyle w:val="af7"/>
          <w:rFonts w:eastAsia="Guttman Hodes"/>
          <w:rtl/>
        </w:rPr>
        <w:instrText xml:space="preserve"> </w:instrText>
      </w:r>
      <w:r w:rsidRPr="00860462">
        <w:rPr>
          <w:rStyle w:val="af7"/>
          <w:rFonts w:eastAsia="Guttman Hodes" w:hint="cs"/>
        </w:rPr>
        <w:instrText>REF</w:instrText>
      </w:r>
      <w:r w:rsidRPr="00860462">
        <w:rPr>
          <w:rStyle w:val="af7"/>
          <w:rFonts w:eastAsia="Guttman Hodes" w:hint="cs"/>
          <w:rtl/>
        </w:rPr>
        <w:instrText xml:space="preserve"> _</w:instrText>
      </w:r>
      <w:r w:rsidRPr="00860462">
        <w:rPr>
          <w:rStyle w:val="af7"/>
          <w:rFonts w:eastAsia="Guttman Hodes" w:hint="cs"/>
        </w:rPr>
        <w:instrText>Ref526874979 \r \h</w:instrText>
      </w:r>
      <w:r w:rsidRPr="00860462">
        <w:rPr>
          <w:rStyle w:val="af7"/>
          <w:rFonts w:eastAsia="Guttman Hodes"/>
          <w:rtl/>
        </w:rPr>
        <w:instrText xml:space="preserve"> </w:instrText>
      </w:r>
      <w:r w:rsidRPr="00860462">
        <w:rPr>
          <w:rStyle w:val="af7"/>
          <w:rFonts w:eastAsia="Guttman Hodes"/>
          <w:rtl/>
        </w:rPr>
      </w:r>
      <w:r w:rsidRPr="00860462">
        <w:rPr>
          <w:rStyle w:val="af7"/>
          <w:rFonts w:eastAsia="Guttman Hodes"/>
          <w:rtl/>
        </w:rPr>
        <w:fldChar w:fldCharType="separate"/>
      </w:r>
      <w:r w:rsidR="00345400">
        <w:rPr>
          <w:rStyle w:val="af7"/>
          <w:rFonts w:eastAsia="Guttman Hodes"/>
          <w:cs/>
        </w:rPr>
        <w:t>‎</w:t>
      </w:r>
      <w:r w:rsidR="00345400">
        <w:rPr>
          <w:rStyle w:val="af7"/>
          <w:rFonts w:eastAsia="Guttman Hodes"/>
          <w:rtl/>
        </w:rPr>
        <w:t>לו)</w:t>
      </w:r>
      <w:r w:rsidRPr="00860462">
        <w:rPr>
          <w:rStyle w:val="af7"/>
          <w:rFonts w:eastAsia="Guttman Hodes"/>
          <w:rtl/>
        </w:rPr>
        <w:fldChar w:fldCharType="end"/>
      </w:r>
      <w:r>
        <w:rPr>
          <w:rFonts w:hint="cs"/>
          <w:rtl/>
        </w:rPr>
        <w:t xml:space="preserve"> דבראשונות נזהר שלא לדחוק את הסכין, ולא חיישינן לפגימת המפרקת בבהמות הראשונות, והרי ס"ל </w:t>
      </w:r>
      <w:r w:rsidRPr="00860462">
        <w:rPr>
          <w:rStyle w:val="af9"/>
          <w:rFonts w:hint="cs"/>
          <w:rtl/>
        </w:rPr>
        <w:t>להרמב"ם</w:t>
      </w:r>
      <w:r>
        <w:rPr>
          <w:rFonts w:hint="cs"/>
          <w:rtl/>
        </w:rPr>
        <w:t xml:space="preserve"> </w:t>
      </w:r>
      <w:r w:rsidRPr="00860462">
        <w:rPr>
          <w:rStyle w:val="af7"/>
          <w:rFonts w:eastAsia="Guttman Hodes" w:hint="cs"/>
          <w:rtl/>
        </w:rPr>
        <w:t xml:space="preserve">(עי' אות </w:t>
      </w:r>
      <w:r w:rsidRPr="00860462">
        <w:rPr>
          <w:rStyle w:val="af7"/>
          <w:rFonts w:eastAsia="Guttman Hodes"/>
          <w:rtl/>
        </w:rPr>
        <w:fldChar w:fldCharType="begin"/>
      </w:r>
      <w:r w:rsidRPr="00860462">
        <w:rPr>
          <w:rStyle w:val="af7"/>
          <w:rFonts w:eastAsia="Guttman Hodes"/>
          <w:rtl/>
        </w:rPr>
        <w:instrText xml:space="preserve"> </w:instrText>
      </w:r>
      <w:r w:rsidRPr="00860462">
        <w:rPr>
          <w:rStyle w:val="af7"/>
          <w:rFonts w:eastAsia="Guttman Hodes" w:hint="cs"/>
        </w:rPr>
        <w:instrText>REF</w:instrText>
      </w:r>
      <w:r w:rsidRPr="00860462">
        <w:rPr>
          <w:rStyle w:val="af7"/>
          <w:rFonts w:eastAsia="Guttman Hodes" w:hint="cs"/>
          <w:rtl/>
        </w:rPr>
        <w:instrText xml:space="preserve"> _</w:instrText>
      </w:r>
      <w:r w:rsidRPr="00860462">
        <w:rPr>
          <w:rStyle w:val="af7"/>
          <w:rFonts w:eastAsia="Guttman Hodes" w:hint="cs"/>
        </w:rPr>
        <w:instrText>Ref527107131 \r \h</w:instrText>
      </w:r>
      <w:r w:rsidRPr="00860462">
        <w:rPr>
          <w:rStyle w:val="af7"/>
          <w:rFonts w:eastAsia="Guttman Hodes"/>
          <w:rtl/>
        </w:rPr>
        <w:instrText xml:space="preserve"> </w:instrText>
      </w:r>
      <w:r w:rsidRPr="00860462">
        <w:rPr>
          <w:rStyle w:val="af7"/>
          <w:rFonts w:eastAsia="Guttman Hodes"/>
          <w:rtl/>
        </w:rPr>
      </w:r>
      <w:r w:rsidRPr="00860462">
        <w:rPr>
          <w:rStyle w:val="af7"/>
          <w:rFonts w:eastAsia="Guttman Hodes"/>
          <w:rtl/>
        </w:rPr>
        <w:fldChar w:fldCharType="separate"/>
      </w:r>
      <w:r w:rsidR="00345400">
        <w:rPr>
          <w:rStyle w:val="af7"/>
          <w:rFonts w:eastAsia="Guttman Hodes"/>
          <w:cs/>
        </w:rPr>
        <w:t>‎</w:t>
      </w:r>
      <w:r w:rsidR="00345400">
        <w:rPr>
          <w:rStyle w:val="af7"/>
          <w:rFonts w:eastAsia="Guttman Hodes"/>
          <w:rtl/>
        </w:rPr>
        <w:t>צז)</w:t>
      </w:r>
      <w:r w:rsidRPr="00860462">
        <w:rPr>
          <w:rStyle w:val="af7"/>
          <w:rFonts w:eastAsia="Guttman Hodes"/>
          <w:rtl/>
        </w:rPr>
        <w:fldChar w:fldCharType="end"/>
      </w:r>
      <w:r>
        <w:rPr>
          <w:rFonts w:hint="cs"/>
          <w:rtl/>
        </w:rPr>
        <w:t xml:space="preserve"> דאין חיוב לבדוק, אלא בכדי שלא יפסלו כל הבהמות.</w:t>
      </w:r>
      <w:r w:rsidRPr="00860462">
        <w:rPr>
          <w:rStyle w:val="afb"/>
          <w:rFonts w:hint="cs"/>
          <w:rtl/>
        </w:rPr>
        <w:t xml:space="preserve"> [וא"כ הוא לדעת רב הונא ולא לרב חסדא].</w:t>
      </w:r>
    </w:p>
    <w:p w14:paraId="5A151BE9" w14:textId="77777777" w:rsidR="00533768" w:rsidRPr="00860462" w:rsidRDefault="00533768" w:rsidP="00BF39B2">
      <w:pPr>
        <w:pStyle w:val="1"/>
        <w:rPr>
          <w:rtl/>
        </w:rPr>
      </w:pPr>
      <w:bookmarkStart w:id="6361" w:name="_Toc527108483"/>
      <w:bookmarkStart w:id="6362" w:name="_Toc19389771"/>
      <w:bookmarkStart w:id="6363" w:name="_Toc19393268"/>
      <w:r>
        <w:rPr>
          <w:rFonts w:hint="cs"/>
          <w:rtl/>
        </w:rPr>
        <w:t>בדעת הראב"ד דא"צ לבדוק בין שחיטה לשחיטה</w:t>
      </w:r>
      <w:bookmarkEnd w:id="6361"/>
      <w:bookmarkEnd w:id="6362"/>
      <w:bookmarkEnd w:id="6363"/>
    </w:p>
    <w:p w14:paraId="76DCB041" w14:textId="77777777" w:rsidR="00533768" w:rsidRDefault="00533768" w:rsidP="006D6D32">
      <w:pPr>
        <w:pStyle w:val="a3"/>
        <w:rPr>
          <w:rtl/>
        </w:rPr>
      </w:pPr>
      <w:bookmarkStart w:id="6364" w:name="_Toc527108484"/>
      <w:bookmarkStart w:id="6365" w:name="_Toc19389772"/>
      <w:bookmarkStart w:id="6366" w:name="_Toc19393269"/>
      <w:r>
        <w:rPr>
          <w:rFonts w:hint="cs"/>
          <w:rtl/>
        </w:rPr>
        <w:t>קושית הכס"מ על הראב"ד דהראשונים ס"ל כרמב"ם שצריך לבדוק</w:t>
      </w:r>
      <w:bookmarkEnd w:id="6364"/>
      <w:bookmarkEnd w:id="6365"/>
      <w:bookmarkEnd w:id="6366"/>
    </w:p>
    <w:p w14:paraId="0B629C10" w14:textId="77777777" w:rsidR="00533768" w:rsidRDefault="00533768" w:rsidP="00223668">
      <w:pPr>
        <w:pStyle w:val="a0"/>
        <w:rPr>
          <w:rtl/>
        </w:rPr>
      </w:pPr>
      <w:r w:rsidRPr="00B134CA">
        <w:rPr>
          <w:rStyle w:val="af9"/>
          <w:rFonts w:hint="cs"/>
          <w:rtl/>
        </w:rPr>
        <w:t>הכס"מ</w:t>
      </w:r>
      <w:r>
        <w:rPr>
          <w:rFonts w:hint="cs"/>
          <w:rtl/>
        </w:rPr>
        <w:t xml:space="preserve"> </w:t>
      </w:r>
      <w:r w:rsidRPr="00B134CA">
        <w:rPr>
          <w:rStyle w:val="af7"/>
          <w:rFonts w:eastAsia="Guttman Hodes" w:hint="cs"/>
          <w:rtl/>
        </w:rPr>
        <w:t>(שחיטה א' כ"ד)</w:t>
      </w:r>
      <w:r>
        <w:rPr>
          <w:rFonts w:hint="cs"/>
          <w:rtl/>
        </w:rPr>
        <w:t xml:space="preserve"> הקשה על דברי </w:t>
      </w:r>
      <w:r w:rsidRPr="00B134CA">
        <w:rPr>
          <w:rStyle w:val="af9"/>
          <w:rFonts w:hint="cs"/>
          <w:rtl/>
        </w:rPr>
        <w:t>הראב"ד</w:t>
      </w:r>
      <w:r>
        <w:rPr>
          <w:rFonts w:hint="cs"/>
          <w:rtl/>
        </w:rPr>
        <w:t xml:space="preserve"> דכתב דהסכימו חכמינו שאין חיוב לבדוק בין שחיטה לשחיטה, דהא דעת </w:t>
      </w:r>
      <w:r>
        <w:rPr>
          <w:rStyle w:val="af9"/>
          <w:rtl/>
        </w:rPr>
        <w:t>רש"י</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Ref526956416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נא)</w:t>
      </w:r>
      <w:r>
        <w:rPr>
          <w:rStyle w:val="af7"/>
          <w:rFonts w:eastAsia="Guttman Hodes"/>
          <w:rtl/>
        </w:rPr>
        <w:fldChar w:fldCharType="end"/>
      </w:r>
      <w:r>
        <w:rPr>
          <w:rFonts w:hint="cs"/>
          <w:rtl/>
        </w:rPr>
        <w:t xml:space="preserve"> </w:t>
      </w:r>
      <w:r w:rsidRPr="00B134CA">
        <w:rPr>
          <w:rStyle w:val="af9"/>
          <w:rFonts w:hint="cs"/>
          <w:rtl/>
        </w:rPr>
        <w:t>והרשב"א</w:t>
      </w:r>
      <w:r>
        <w:rPr>
          <w:rFonts w:hint="cs"/>
          <w:rtl/>
        </w:rPr>
        <w:t xml:space="preserve"> </w:t>
      </w:r>
      <w:r w:rsidRPr="00F6693B">
        <w:rPr>
          <w:rStyle w:val="af7"/>
          <w:rFonts w:eastAsia="Guttman Hodes" w:hint="cs"/>
          <w:rtl/>
        </w:rPr>
        <w:t xml:space="preserve">(עי' אות </w:t>
      </w:r>
      <w:r w:rsidRPr="00F6693B">
        <w:rPr>
          <w:rStyle w:val="af7"/>
          <w:rFonts w:eastAsia="Guttman Hodes"/>
          <w:rtl/>
        </w:rPr>
        <w:fldChar w:fldCharType="begin"/>
      </w:r>
      <w:r w:rsidRPr="00F6693B">
        <w:rPr>
          <w:rStyle w:val="af7"/>
          <w:rFonts w:eastAsia="Guttman Hodes"/>
          <w:rtl/>
        </w:rPr>
        <w:instrText xml:space="preserve"> </w:instrText>
      </w:r>
      <w:r w:rsidRPr="00F6693B">
        <w:rPr>
          <w:rStyle w:val="af7"/>
          <w:rFonts w:eastAsia="Guttman Hodes" w:hint="cs"/>
        </w:rPr>
        <w:instrText>REF</w:instrText>
      </w:r>
      <w:r w:rsidRPr="00F6693B">
        <w:rPr>
          <w:rStyle w:val="af7"/>
          <w:rFonts w:eastAsia="Guttman Hodes" w:hint="cs"/>
          <w:rtl/>
        </w:rPr>
        <w:instrText xml:space="preserve"> _</w:instrText>
      </w:r>
      <w:r w:rsidRPr="00F6693B">
        <w:rPr>
          <w:rStyle w:val="af7"/>
          <w:rFonts w:eastAsia="Guttman Hodes" w:hint="cs"/>
        </w:rPr>
        <w:instrText>Ref526973794 \r \h</w:instrText>
      </w:r>
      <w:r w:rsidRPr="00F6693B">
        <w:rPr>
          <w:rStyle w:val="af7"/>
          <w:rFonts w:eastAsia="Guttman Hodes"/>
          <w:rtl/>
        </w:rPr>
        <w:instrText xml:space="preserve"> </w:instrText>
      </w:r>
      <w:r w:rsidRPr="00F6693B">
        <w:rPr>
          <w:rStyle w:val="af7"/>
          <w:rFonts w:eastAsia="Guttman Hodes"/>
          <w:rtl/>
        </w:rPr>
      </w:r>
      <w:r w:rsidRPr="00F6693B">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F6693B">
        <w:rPr>
          <w:rStyle w:val="af7"/>
          <w:rFonts w:eastAsia="Guttman Hodes"/>
          <w:rtl/>
        </w:rPr>
        <w:fldChar w:fldCharType="end"/>
      </w:r>
      <w:r>
        <w:rPr>
          <w:rFonts w:hint="cs"/>
          <w:rtl/>
        </w:rPr>
        <w:t xml:space="preserve"> דצריך לבדוק, וכדעת </w:t>
      </w:r>
      <w:r w:rsidRPr="00B134CA">
        <w:rPr>
          <w:rStyle w:val="af9"/>
          <w:rFonts w:hint="cs"/>
          <w:rtl/>
        </w:rPr>
        <w:t>הרמב"ם</w:t>
      </w:r>
      <w:r>
        <w:rPr>
          <w:rFonts w:hint="cs"/>
          <w:rtl/>
        </w:rPr>
        <w:t>.</w:t>
      </w:r>
    </w:p>
    <w:p w14:paraId="6109BB65" w14:textId="77777777" w:rsidR="00533768" w:rsidRDefault="00533768" w:rsidP="006D6D32">
      <w:pPr>
        <w:pStyle w:val="a3"/>
        <w:rPr>
          <w:rtl/>
        </w:rPr>
      </w:pPr>
      <w:bookmarkStart w:id="6367" w:name="_Toc527108485"/>
      <w:bookmarkStart w:id="6368" w:name="_Toc19389773"/>
      <w:bookmarkStart w:id="6369" w:name="_Toc19393270"/>
      <w:r>
        <w:rPr>
          <w:rFonts w:hint="cs"/>
          <w:rtl/>
        </w:rPr>
        <w:t>ביאור העמק שאילה דהראב"ד ס"ל כשאילתות והבעה"מ והרי"ף ודלא כהבה"ג</w:t>
      </w:r>
      <w:bookmarkEnd w:id="6367"/>
      <w:bookmarkEnd w:id="6368"/>
      <w:bookmarkEnd w:id="6369"/>
    </w:p>
    <w:p w14:paraId="4D670AA0" w14:textId="77777777" w:rsidR="00533768" w:rsidRDefault="00533768" w:rsidP="00223668">
      <w:pPr>
        <w:pStyle w:val="a0"/>
        <w:rPr>
          <w:rtl/>
        </w:rPr>
      </w:pPr>
      <w:r w:rsidRPr="00B134CA">
        <w:rPr>
          <w:rStyle w:val="af9"/>
          <w:rFonts w:hint="cs"/>
          <w:rtl/>
        </w:rPr>
        <w:t>ובשאילתות דרב אחאי</w:t>
      </w:r>
      <w:r>
        <w:rPr>
          <w:rFonts w:hint="cs"/>
          <w:rtl/>
        </w:rPr>
        <w:t xml:space="preserve"> </w:t>
      </w:r>
      <w:r w:rsidRPr="00B134CA">
        <w:rPr>
          <w:rStyle w:val="af7"/>
          <w:rFonts w:eastAsia="Guttman Hodes" w:hint="cs"/>
          <w:rtl/>
        </w:rPr>
        <w:t>(בהעלותך קכ"ה)</w:t>
      </w:r>
      <w:r>
        <w:rPr>
          <w:rFonts w:hint="cs"/>
          <w:rtl/>
        </w:rPr>
        <w:t xml:space="preserve"> כתב שצריך לבדוק בין שחיטה לשחיטה, וכתב </w:t>
      </w:r>
      <w:r>
        <w:rPr>
          <w:rStyle w:val="af9"/>
          <w:rFonts w:hint="cs"/>
          <w:rtl/>
        </w:rPr>
        <w:t>ב</w:t>
      </w:r>
      <w:r w:rsidRPr="00B134CA">
        <w:rPr>
          <w:rStyle w:val="af9"/>
          <w:rFonts w:hint="cs"/>
          <w:rtl/>
        </w:rPr>
        <w:t>העמק שאילה</w:t>
      </w:r>
      <w:r>
        <w:rPr>
          <w:rFonts w:hint="cs"/>
          <w:rtl/>
        </w:rPr>
        <w:t xml:space="preserve"> </w:t>
      </w:r>
      <w:r w:rsidRPr="008435A5">
        <w:rPr>
          <w:rStyle w:val="af7"/>
          <w:rFonts w:eastAsia="Guttman Hodes" w:hint="cs"/>
          <w:rtl/>
        </w:rPr>
        <w:t>(בהעלותך קכ"ה אות ו')</w:t>
      </w:r>
      <w:r>
        <w:rPr>
          <w:rFonts w:hint="cs"/>
          <w:rtl/>
        </w:rPr>
        <w:t xml:space="preserve"> דמהא דלא כתב </w:t>
      </w:r>
      <w:r w:rsidRPr="00B134CA">
        <w:rPr>
          <w:rStyle w:val="af9"/>
          <w:rFonts w:hint="cs"/>
          <w:rtl/>
        </w:rPr>
        <w:t>השאילתות</w:t>
      </w:r>
      <w:r>
        <w:rPr>
          <w:rFonts w:hint="cs"/>
          <w:rtl/>
        </w:rPr>
        <w:t xml:space="preserve"> דצריך לבדוק אחר שחיטת בהמה אחת, מבואר דס"ל כדעת </w:t>
      </w:r>
      <w:r w:rsidRPr="00B134CA">
        <w:rPr>
          <w:rStyle w:val="af9"/>
          <w:rFonts w:hint="cs"/>
          <w:rtl/>
        </w:rPr>
        <w:t>הראב"ד</w:t>
      </w:r>
      <w:r>
        <w:rPr>
          <w:rFonts w:hint="cs"/>
          <w:rtl/>
        </w:rPr>
        <w:t xml:space="preserve"> </w:t>
      </w:r>
      <w:r w:rsidRPr="00F6693B">
        <w:rPr>
          <w:rStyle w:val="af7"/>
          <w:rFonts w:eastAsia="Guttman Hodes" w:hint="cs"/>
          <w:rtl/>
        </w:rPr>
        <w:t xml:space="preserve">(עי' אות </w:t>
      </w:r>
      <w:r w:rsidRPr="00F6693B">
        <w:rPr>
          <w:rStyle w:val="af7"/>
          <w:rFonts w:eastAsia="Guttman Hodes"/>
          <w:rtl/>
        </w:rPr>
        <w:fldChar w:fldCharType="begin"/>
      </w:r>
      <w:r w:rsidRPr="00F6693B">
        <w:rPr>
          <w:rStyle w:val="af7"/>
          <w:rFonts w:eastAsia="Guttman Hodes"/>
          <w:rtl/>
        </w:rPr>
        <w:instrText xml:space="preserve"> </w:instrText>
      </w:r>
      <w:r w:rsidRPr="00F6693B">
        <w:rPr>
          <w:rStyle w:val="af7"/>
          <w:rFonts w:eastAsia="Guttman Hodes" w:hint="cs"/>
        </w:rPr>
        <w:instrText>REF</w:instrText>
      </w:r>
      <w:r w:rsidRPr="00F6693B">
        <w:rPr>
          <w:rStyle w:val="af7"/>
          <w:rFonts w:eastAsia="Guttman Hodes" w:hint="cs"/>
          <w:rtl/>
        </w:rPr>
        <w:instrText xml:space="preserve"> _</w:instrText>
      </w:r>
      <w:r w:rsidRPr="00F6693B">
        <w:rPr>
          <w:rStyle w:val="af7"/>
          <w:rFonts w:eastAsia="Guttman Hodes" w:hint="cs"/>
        </w:rPr>
        <w:instrText>Ref527042224 \r \h</w:instrText>
      </w:r>
      <w:r w:rsidRPr="00F6693B">
        <w:rPr>
          <w:rStyle w:val="af7"/>
          <w:rFonts w:eastAsia="Guttman Hodes"/>
          <w:rtl/>
        </w:rPr>
        <w:instrText xml:space="preserve"> </w:instrText>
      </w:r>
      <w:r w:rsidRPr="00F6693B">
        <w:rPr>
          <w:rStyle w:val="af7"/>
          <w:rFonts w:eastAsia="Guttman Hodes"/>
          <w:rtl/>
        </w:rPr>
      </w:r>
      <w:r w:rsidRPr="00F6693B">
        <w:rPr>
          <w:rStyle w:val="af7"/>
          <w:rFonts w:eastAsia="Guttman Hodes"/>
          <w:rtl/>
        </w:rPr>
        <w:fldChar w:fldCharType="separate"/>
      </w:r>
      <w:r w:rsidR="00345400">
        <w:rPr>
          <w:rStyle w:val="af7"/>
          <w:rFonts w:eastAsia="Guttman Hodes"/>
          <w:cs/>
        </w:rPr>
        <w:t>‎</w:t>
      </w:r>
      <w:r w:rsidR="00345400">
        <w:rPr>
          <w:rStyle w:val="af7"/>
          <w:rFonts w:eastAsia="Guttman Hodes"/>
          <w:rtl/>
        </w:rPr>
        <w:t>צג)</w:t>
      </w:r>
      <w:r w:rsidRPr="00F6693B">
        <w:rPr>
          <w:rStyle w:val="af7"/>
          <w:rFonts w:eastAsia="Guttman Hodes"/>
          <w:rtl/>
        </w:rPr>
        <w:fldChar w:fldCharType="end"/>
      </w:r>
      <w:r>
        <w:rPr>
          <w:rFonts w:hint="cs"/>
          <w:rtl/>
        </w:rPr>
        <w:t xml:space="preserve"> </w:t>
      </w:r>
      <w:r>
        <w:rPr>
          <w:rStyle w:val="af9"/>
          <w:rFonts w:hint="cs"/>
          <w:rtl/>
        </w:rPr>
        <w:t>ו</w:t>
      </w:r>
      <w:r w:rsidRPr="005B103D">
        <w:rPr>
          <w:rStyle w:val="af9"/>
          <w:rtl/>
        </w:rPr>
        <w:t>הבעה"מ</w:t>
      </w:r>
      <w:r w:rsidRPr="00193A7A">
        <w:rPr>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Ref527103824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עב)</w:t>
      </w:r>
      <w:r>
        <w:rPr>
          <w:rStyle w:val="af7"/>
          <w:rFonts w:eastAsia="Guttman Hodes"/>
          <w:rtl/>
        </w:rPr>
        <w:fldChar w:fldCharType="end"/>
      </w:r>
      <w:r>
        <w:rPr>
          <w:rStyle w:val="af7"/>
          <w:rFonts w:eastAsia="Guttman Hodes" w:hint="cs"/>
          <w:rtl/>
        </w:rPr>
        <w:t xml:space="preserve"> </w:t>
      </w:r>
      <w:r>
        <w:rPr>
          <w:rFonts w:hint="cs"/>
          <w:rtl/>
        </w:rPr>
        <w:t xml:space="preserve">דא"צ לבדוק אחר השחיטה, והוסיף העמק שאילה דכן מבואר בדברי </w:t>
      </w:r>
      <w:r>
        <w:rPr>
          <w:rStyle w:val="af9"/>
          <w:rtl/>
        </w:rPr>
        <w:t xml:space="preserve">הרי"ף </w:t>
      </w:r>
      <w:r w:rsidRPr="009651E1">
        <w:rPr>
          <w:rStyle w:val="af7"/>
          <w:rFonts w:eastAsia="Guttman Hodes" w:hint="cs"/>
          <w:rtl/>
        </w:rPr>
        <w:t>(ג. מדפי הרי"ף)</w:t>
      </w:r>
      <w:r>
        <w:rPr>
          <w:rFonts w:hint="cs"/>
          <w:rtl/>
        </w:rPr>
        <w:t xml:space="preserve">, ולדבריהם כיוון </w:t>
      </w:r>
      <w:r w:rsidRPr="00B134CA">
        <w:rPr>
          <w:rStyle w:val="af9"/>
          <w:rFonts w:hint="cs"/>
          <w:rtl/>
        </w:rPr>
        <w:t>הראב"ד</w:t>
      </w:r>
      <w:r>
        <w:rPr>
          <w:rFonts w:hint="cs"/>
          <w:rtl/>
        </w:rPr>
        <w:t xml:space="preserve"> שכתב דהסכימו חכמים, והיינו דפליגי על </w:t>
      </w:r>
      <w:r w:rsidRPr="00B134CA">
        <w:rPr>
          <w:rStyle w:val="af9"/>
          <w:rFonts w:hint="cs"/>
          <w:rtl/>
        </w:rPr>
        <w:t>הבה"ג</w:t>
      </w:r>
      <w:r>
        <w:rPr>
          <w:rFonts w:hint="cs"/>
          <w:rtl/>
        </w:rPr>
        <w:t xml:space="preserve"> דכתב להדיא שיש חיוב בדיקה אחר השחיטה, וכדכתב </w:t>
      </w:r>
      <w:r w:rsidRPr="00533767">
        <w:rPr>
          <w:rStyle w:val="af9"/>
          <w:rFonts w:hint="cs"/>
          <w:rtl/>
        </w:rPr>
        <w:t>הרמב"ן</w:t>
      </w:r>
      <w:r>
        <w:rPr>
          <w:rFonts w:hint="cs"/>
          <w:rtl/>
        </w:rPr>
        <w:t xml:space="preserve"> </w:t>
      </w:r>
      <w:r w:rsidRPr="00F6693B">
        <w:rPr>
          <w:rStyle w:val="af7"/>
          <w:rFonts w:eastAsia="Guttman Hodes" w:hint="cs"/>
          <w:rtl/>
        </w:rPr>
        <w:t xml:space="preserve">(עי' אות </w:t>
      </w:r>
      <w:r w:rsidRPr="00F6693B">
        <w:rPr>
          <w:rStyle w:val="af7"/>
          <w:rFonts w:eastAsia="Guttman Hodes"/>
          <w:rtl/>
        </w:rPr>
        <w:fldChar w:fldCharType="begin"/>
      </w:r>
      <w:r w:rsidRPr="00F6693B">
        <w:rPr>
          <w:rStyle w:val="af7"/>
          <w:rFonts w:eastAsia="Guttman Hodes"/>
          <w:rtl/>
        </w:rPr>
        <w:instrText xml:space="preserve"> </w:instrText>
      </w:r>
      <w:r w:rsidRPr="00F6693B">
        <w:rPr>
          <w:rStyle w:val="af7"/>
          <w:rFonts w:eastAsia="Guttman Hodes" w:hint="cs"/>
        </w:rPr>
        <w:instrText>REF</w:instrText>
      </w:r>
      <w:r w:rsidRPr="00F6693B">
        <w:rPr>
          <w:rStyle w:val="af7"/>
          <w:rFonts w:eastAsia="Guttman Hodes" w:hint="cs"/>
          <w:rtl/>
        </w:rPr>
        <w:instrText xml:space="preserve"> _</w:instrText>
      </w:r>
      <w:r w:rsidRPr="00F6693B">
        <w:rPr>
          <w:rStyle w:val="af7"/>
          <w:rFonts w:eastAsia="Guttman Hodes" w:hint="cs"/>
        </w:rPr>
        <w:instrText>Ref526961150 \r \h</w:instrText>
      </w:r>
      <w:r w:rsidRPr="00F6693B">
        <w:rPr>
          <w:rStyle w:val="af7"/>
          <w:rFonts w:eastAsia="Guttman Hodes"/>
          <w:rtl/>
        </w:rPr>
        <w:instrText xml:space="preserve"> </w:instrText>
      </w:r>
      <w:r w:rsidRPr="00F6693B">
        <w:rPr>
          <w:rStyle w:val="af7"/>
          <w:rFonts w:eastAsia="Guttman Hodes"/>
          <w:rtl/>
        </w:rPr>
      </w:r>
      <w:r w:rsidRPr="00F6693B">
        <w:rPr>
          <w:rStyle w:val="af7"/>
          <w:rFonts w:eastAsia="Guttman Hodes"/>
          <w:rtl/>
        </w:rPr>
        <w:fldChar w:fldCharType="separate"/>
      </w:r>
      <w:r w:rsidR="00345400">
        <w:rPr>
          <w:rStyle w:val="af7"/>
          <w:rFonts w:eastAsia="Guttman Hodes"/>
          <w:cs/>
        </w:rPr>
        <w:t>‎</w:t>
      </w:r>
      <w:r w:rsidR="00345400">
        <w:rPr>
          <w:rStyle w:val="af7"/>
          <w:rFonts w:eastAsia="Guttman Hodes"/>
          <w:rtl/>
        </w:rPr>
        <w:t>ס)</w:t>
      </w:r>
      <w:r w:rsidRPr="00F6693B">
        <w:rPr>
          <w:rStyle w:val="af7"/>
          <w:rFonts w:eastAsia="Guttman Hodes"/>
          <w:rtl/>
        </w:rPr>
        <w:fldChar w:fldCharType="end"/>
      </w:r>
      <w:r>
        <w:rPr>
          <w:rFonts w:hint="cs"/>
          <w:rtl/>
        </w:rPr>
        <w:t xml:space="preserve"> בשמו.</w:t>
      </w:r>
    </w:p>
    <w:p w14:paraId="050F7C69" w14:textId="77777777" w:rsidR="00533768" w:rsidRDefault="00533768" w:rsidP="00BF39B2">
      <w:pPr>
        <w:pStyle w:val="1"/>
        <w:rPr>
          <w:rtl/>
        </w:rPr>
      </w:pPr>
      <w:bookmarkStart w:id="6370" w:name="_Toc527108486"/>
      <w:bookmarkStart w:id="6371" w:name="_Toc19389774"/>
      <w:bookmarkStart w:id="6372" w:name="_Toc19393271"/>
      <w:r>
        <w:rPr>
          <w:rFonts w:hint="cs"/>
          <w:rtl/>
        </w:rPr>
        <w:t>דברי הרמב"ם דבשיבר עצמות או אבד הסכין השחיטה כשרה</w:t>
      </w:r>
      <w:bookmarkEnd w:id="6370"/>
      <w:bookmarkEnd w:id="6371"/>
      <w:bookmarkEnd w:id="6372"/>
    </w:p>
    <w:p w14:paraId="3E248B48" w14:textId="77777777" w:rsidR="00533768" w:rsidRPr="000804D2" w:rsidRDefault="00533768" w:rsidP="006D6D32">
      <w:pPr>
        <w:pStyle w:val="a3"/>
        <w:rPr>
          <w:rtl/>
        </w:rPr>
      </w:pPr>
      <w:bookmarkStart w:id="6373" w:name="_Toc527108487"/>
      <w:bookmarkStart w:id="6374" w:name="_Toc19389775"/>
      <w:bookmarkStart w:id="6375" w:name="_Toc19393272"/>
      <w:r>
        <w:rPr>
          <w:rFonts w:hint="cs"/>
          <w:rtl/>
        </w:rPr>
        <w:t>דברי הרמב"ם דבשיבר עצמות השחיטה כשרה דחזקת הסכין שנפגמה מהעצמות</w:t>
      </w:r>
      <w:bookmarkEnd w:id="6373"/>
      <w:bookmarkEnd w:id="6374"/>
      <w:bookmarkEnd w:id="6375"/>
    </w:p>
    <w:p w14:paraId="1B001968" w14:textId="77777777" w:rsidR="00533768" w:rsidRDefault="00533768" w:rsidP="00223668">
      <w:pPr>
        <w:pStyle w:val="a0"/>
        <w:rPr>
          <w:rtl/>
        </w:rPr>
      </w:pPr>
      <w:r>
        <w:rPr>
          <w:rFonts w:hint="cs"/>
          <w:rtl/>
        </w:rPr>
        <w:t xml:space="preserve">עוד כתב </w:t>
      </w:r>
      <w:r w:rsidRPr="000131CE">
        <w:rPr>
          <w:rStyle w:val="af9"/>
          <w:rFonts w:hint="cs"/>
          <w:rtl/>
        </w:rPr>
        <w:t>הרמב"ם</w:t>
      </w:r>
      <w:r>
        <w:rPr>
          <w:rFonts w:hint="cs"/>
          <w:rtl/>
        </w:rPr>
        <w:t xml:space="preserve"> </w:t>
      </w:r>
      <w:r w:rsidRPr="00FC43F9">
        <w:rPr>
          <w:rStyle w:val="af7"/>
          <w:rFonts w:eastAsia="Guttman Hodes" w:hint="cs"/>
          <w:rtl/>
        </w:rPr>
        <w:t xml:space="preserve">(שחיטה א' כ"ה) </w:t>
      </w:r>
      <w:r>
        <w:rPr>
          <w:rFonts w:hint="cs"/>
          <w:rtl/>
        </w:rPr>
        <w:t>דאם שחט בסכין בדוקה ולא בדק לאחר השחיטה, ואח"כ שבר בסכין עץ או עצם, ולאחמ"כ נמצא הסכין פגום, דהשחיטה כשרה, דחזקת הסכין שנפגמה בדבר הקשה ששיבר בה.</w:t>
      </w:r>
    </w:p>
    <w:p w14:paraId="6DDB72DC" w14:textId="77777777" w:rsidR="00533768" w:rsidRDefault="00533768" w:rsidP="006D6D32">
      <w:pPr>
        <w:pStyle w:val="a3"/>
        <w:rPr>
          <w:rtl/>
        </w:rPr>
      </w:pPr>
      <w:bookmarkStart w:id="6376" w:name="_Toc527108488"/>
      <w:bookmarkStart w:id="6377" w:name="_Toc19389776"/>
      <w:bookmarkStart w:id="6378" w:name="_Toc19393273"/>
      <w:r>
        <w:rPr>
          <w:rFonts w:hint="cs"/>
          <w:rtl/>
        </w:rPr>
        <w:t>דברי הרמב"ם דבפשע ולא בדק או שאבדה הסכין שחיטתו כשרה</w:t>
      </w:r>
      <w:bookmarkEnd w:id="6376"/>
      <w:bookmarkEnd w:id="6377"/>
      <w:bookmarkEnd w:id="6378"/>
    </w:p>
    <w:p w14:paraId="16D25816" w14:textId="77777777" w:rsidR="00533768" w:rsidRDefault="00533768" w:rsidP="00223668">
      <w:pPr>
        <w:pStyle w:val="a0"/>
        <w:rPr>
          <w:rtl/>
        </w:rPr>
      </w:pPr>
      <w:r>
        <w:rPr>
          <w:rFonts w:hint="cs"/>
          <w:rtl/>
        </w:rPr>
        <w:t xml:space="preserve">והוסיף </w:t>
      </w:r>
      <w:r w:rsidRPr="000131CE">
        <w:rPr>
          <w:rStyle w:val="af9"/>
          <w:rFonts w:hint="cs"/>
          <w:rtl/>
        </w:rPr>
        <w:t>הרמב"ם</w:t>
      </w:r>
      <w:r>
        <w:rPr>
          <w:rFonts w:hint="cs"/>
          <w:rtl/>
        </w:rPr>
        <w:t xml:space="preserve"> דאם שחט בסכין בדוקה, ופשע ולא בדק את הסכין לאחר השחיטה, או שאבדה הסכין לפני שבדק, שחיטתו כשרה.</w:t>
      </w:r>
    </w:p>
    <w:p w14:paraId="1E8A08B4" w14:textId="77777777" w:rsidR="003741AC" w:rsidRPr="003741AC" w:rsidRDefault="003741AC" w:rsidP="003741AC">
      <w:pPr>
        <w:pStyle w:val="a3"/>
        <w:rPr>
          <w:rtl/>
        </w:rPr>
      </w:pPr>
    </w:p>
    <w:p w14:paraId="307CAA86" w14:textId="77777777" w:rsidR="003741AC" w:rsidRPr="003741AC" w:rsidRDefault="003741AC" w:rsidP="003741AC">
      <w:pPr>
        <w:pStyle w:val="a3"/>
        <w:rPr>
          <w:rtl/>
        </w:rPr>
      </w:pPr>
    </w:p>
    <w:p w14:paraId="39A694F2" w14:textId="77777777" w:rsidR="003741AC" w:rsidRPr="003741AC" w:rsidRDefault="003741AC" w:rsidP="003741AC">
      <w:pPr>
        <w:pStyle w:val="a3"/>
        <w:rPr>
          <w:rtl/>
        </w:rPr>
      </w:pPr>
    </w:p>
    <w:p w14:paraId="46ACDF95" w14:textId="77777777" w:rsidR="00533768" w:rsidRPr="00F22E18" w:rsidRDefault="00533768" w:rsidP="00BF39B2">
      <w:pPr>
        <w:pStyle w:val="1"/>
        <w:rPr>
          <w:rtl/>
        </w:rPr>
      </w:pPr>
      <w:bookmarkStart w:id="6379" w:name="_Toc527108489"/>
      <w:bookmarkStart w:id="6380" w:name="_Toc19389777"/>
      <w:bookmarkStart w:id="6381" w:name="_Toc19393274"/>
      <w:r>
        <w:rPr>
          <w:rFonts w:hint="cs"/>
          <w:rtl/>
        </w:rPr>
        <w:t>בדעת הרמב"ם בחשש פגימת המפרקת</w:t>
      </w:r>
      <w:bookmarkEnd w:id="6379"/>
      <w:bookmarkEnd w:id="6380"/>
      <w:bookmarkEnd w:id="6381"/>
    </w:p>
    <w:p w14:paraId="710A1E88" w14:textId="77777777" w:rsidR="00533768" w:rsidRDefault="00533768" w:rsidP="006D6D32">
      <w:pPr>
        <w:pStyle w:val="a3"/>
        <w:rPr>
          <w:rtl/>
        </w:rPr>
      </w:pPr>
      <w:bookmarkStart w:id="6382" w:name="_Toc527108490"/>
      <w:bookmarkStart w:id="6383" w:name="_Toc19389778"/>
      <w:bookmarkStart w:id="6384" w:name="_Toc19393275"/>
      <w:r>
        <w:rPr>
          <w:rFonts w:hint="cs"/>
          <w:rtl/>
        </w:rPr>
        <w:t>דיוק המ"מ ברמב"ם דס"ל דעצם המפרקת רך ולא תלינן בו</w:t>
      </w:r>
      <w:bookmarkEnd w:id="6382"/>
      <w:bookmarkEnd w:id="6383"/>
      <w:bookmarkEnd w:id="6384"/>
    </w:p>
    <w:p w14:paraId="2C424B95" w14:textId="77777777" w:rsidR="00533768" w:rsidRDefault="00533768" w:rsidP="00223668">
      <w:pPr>
        <w:pStyle w:val="a0"/>
        <w:rPr>
          <w:rtl/>
        </w:rPr>
      </w:pPr>
      <w:r>
        <w:rPr>
          <w:rFonts w:hint="cs"/>
          <w:rtl/>
        </w:rPr>
        <w:t xml:space="preserve">כתב </w:t>
      </w:r>
      <w:r w:rsidRPr="00F22E18">
        <w:rPr>
          <w:rStyle w:val="af9"/>
          <w:rFonts w:hint="cs"/>
          <w:rtl/>
        </w:rPr>
        <w:t>המגיד משנה [להר"י כלץ]</w:t>
      </w:r>
      <w:r>
        <w:rPr>
          <w:rFonts w:hint="cs"/>
          <w:rtl/>
        </w:rPr>
        <w:t xml:space="preserve"> </w:t>
      </w:r>
      <w:r w:rsidRPr="00F22E18">
        <w:rPr>
          <w:rStyle w:val="af7"/>
          <w:rFonts w:eastAsia="Guttman Hodes" w:hint="cs"/>
          <w:rtl/>
        </w:rPr>
        <w:t>(שחיטה א' כ"ה)</w:t>
      </w:r>
      <w:r>
        <w:rPr>
          <w:rFonts w:hint="cs"/>
          <w:rtl/>
        </w:rPr>
        <w:t xml:space="preserve"> דמהא דכתב </w:t>
      </w:r>
      <w:r w:rsidRPr="00F22E18">
        <w:rPr>
          <w:rStyle w:val="af9"/>
          <w:rFonts w:hint="cs"/>
          <w:rtl/>
        </w:rPr>
        <w:t>הרמב"ם</w:t>
      </w:r>
      <w:r>
        <w:rPr>
          <w:rFonts w:hint="cs"/>
          <w:rtl/>
        </w:rPr>
        <w:t xml:space="preserve"> </w:t>
      </w:r>
      <w:r w:rsidRPr="00C868C7">
        <w:rPr>
          <w:rStyle w:val="af7"/>
          <w:rFonts w:eastAsia="Guttman Hodes" w:hint="cs"/>
          <w:rtl/>
        </w:rPr>
        <w:t xml:space="preserve">(עי' אות </w:t>
      </w:r>
      <w:r w:rsidRPr="00C868C7">
        <w:rPr>
          <w:rStyle w:val="af7"/>
          <w:rFonts w:eastAsia="Guttman Hodes"/>
          <w:rtl/>
        </w:rPr>
        <w:fldChar w:fldCharType="begin"/>
      </w:r>
      <w:r w:rsidRPr="00C868C7">
        <w:rPr>
          <w:rStyle w:val="af7"/>
          <w:rFonts w:eastAsia="Guttman Hodes"/>
          <w:rtl/>
        </w:rPr>
        <w:instrText xml:space="preserve"> </w:instrText>
      </w:r>
      <w:r w:rsidRPr="00C868C7">
        <w:rPr>
          <w:rStyle w:val="af7"/>
          <w:rFonts w:eastAsia="Guttman Hodes" w:hint="cs"/>
        </w:rPr>
        <w:instrText>REF</w:instrText>
      </w:r>
      <w:r w:rsidRPr="00C868C7">
        <w:rPr>
          <w:rStyle w:val="af7"/>
          <w:rFonts w:eastAsia="Guttman Hodes" w:hint="cs"/>
          <w:rtl/>
        </w:rPr>
        <w:instrText xml:space="preserve"> _</w:instrText>
      </w:r>
      <w:r w:rsidRPr="00C868C7">
        <w:rPr>
          <w:rStyle w:val="af7"/>
          <w:rFonts w:eastAsia="Guttman Hodes" w:hint="cs"/>
        </w:rPr>
        <w:instrText>Ref527100296 \r \h</w:instrText>
      </w:r>
      <w:r w:rsidRPr="00C868C7">
        <w:rPr>
          <w:rStyle w:val="af7"/>
          <w:rFonts w:eastAsia="Guttman Hodes"/>
          <w:rtl/>
        </w:rPr>
        <w:instrText xml:space="preserve"> </w:instrText>
      </w:r>
      <w:r w:rsidRPr="00C868C7">
        <w:rPr>
          <w:rStyle w:val="af7"/>
          <w:rFonts w:eastAsia="Guttman Hodes"/>
          <w:rtl/>
        </w:rPr>
      </w:r>
      <w:r w:rsidRPr="00C868C7">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C868C7">
        <w:rPr>
          <w:rStyle w:val="af7"/>
          <w:rFonts w:eastAsia="Guttman Hodes"/>
          <w:rtl/>
        </w:rPr>
        <w:fldChar w:fldCharType="end"/>
      </w:r>
      <w:r>
        <w:rPr>
          <w:rFonts w:hint="cs"/>
          <w:rtl/>
        </w:rPr>
        <w:t xml:space="preserve"> דתלינן בעצם או עץ שהם קשים מבואר דס"ל </w:t>
      </w:r>
      <w:r w:rsidRPr="00C868C7">
        <w:rPr>
          <w:rStyle w:val="af9"/>
          <w:rFonts w:hint="cs"/>
          <w:rtl/>
        </w:rPr>
        <w:t>להרמב"ם</w:t>
      </w:r>
      <w:r>
        <w:rPr>
          <w:rFonts w:hint="cs"/>
          <w:rtl/>
        </w:rPr>
        <w:t xml:space="preserve"> כדעת </w:t>
      </w:r>
      <w:r w:rsidRPr="00BD6B0A">
        <w:rPr>
          <w:rStyle w:val="af9"/>
          <w:rFonts w:hint="cs"/>
          <w:rtl/>
        </w:rPr>
        <w:t>רבינו יונה</w:t>
      </w:r>
      <w:r>
        <w:rPr>
          <w:rFonts w:hint="cs"/>
          <w:rtl/>
        </w:rPr>
        <w:t xml:space="preserve"> דעצם המפרקת הוא רך ולא תלינן בו.</w:t>
      </w:r>
    </w:p>
    <w:p w14:paraId="065A567E" w14:textId="77777777" w:rsidR="00533768" w:rsidRPr="00C33F4A" w:rsidRDefault="00533768" w:rsidP="006D6D32">
      <w:pPr>
        <w:pStyle w:val="a3"/>
        <w:rPr>
          <w:rtl/>
        </w:rPr>
      </w:pPr>
      <w:bookmarkStart w:id="6385" w:name="_Toc527108491"/>
      <w:bookmarkStart w:id="6386" w:name="_Toc19389779"/>
      <w:bookmarkStart w:id="6387" w:name="_Toc19393276"/>
      <w:r>
        <w:rPr>
          <w:rFonts w:hint="cs"/>
          <w:rtl/>
        </w:rPr>
        <w:t>דברי המ"מ דלהרמב"ם אף בנגעה הסכין במפרקת לא חיישינן שפגמה</w:t>
      </w:r>
      <w:bookmarkEnd w:id="6385"/>
      <w:bookmarkEnd w:id="6386"/>
      <w:bookmarkEnd w:id="6387"/>
    </w:p>
    <w:p w14:paraId="52B4DE90" w14:textId="77777777" w:rsidR="00FE6ED2" w:rsidRDefault="00533768" w:rsidP="00223668">
      <w:pPr>
        <w:pStyle w:val="a0"/>
        <w:rPr>
          <w:rtl/>
        </w:rPr>
        <w:sectPr w:rsidR="00FE6ED2" w:rsidSect="003741AC">
          <w:type w:val="continuous"/>
          <w:pgSz w:w="11906" w:h="16838"/>
          <w:pgMar w:top="720" w:right="720" w:bottom="720" w:left="720" w:header="283" w:footer="283" w:gutter="0"/>
          <w:cols w:num="2" w:space="567"/>
          <w:bidi/>
          <w:rtlGutter/>
          <w:docGrid w:linePitch="299"/>
        </w:sectPr>
      </w:pPr>
      <w:r>
        <w:rPr>
          <w:rFonts w:hint="cs"/>
          <w:rtl/>
        </w:rPr>
        <w:t xml:space="preserve">ובמה שהוסיף </w:t>
      </w:r>
      <w:r w:rsidRPr="00C868C7">
        <w:rPr>
          <w:rStyle w:val="af9"/>
          <w:rFonts w:hint="cs"/>
          <w:rtl/>
        </w:rPr>
        <w:t>הרמב"ם</w:t>
      </w:r>
      <w:r>
        <w:rPr>
          <w:rFonts w:hint="cs"/>
          <w:rtl/>
        </w:rPr>
        <w:t xml:space="preserve"> דחזקת הסכין שנפגמה בדבר הקשה ששבר בה, כתב </w:t>
      </w:r>
      <w:r w:rsidRPr="00C868C7">
        <w:rPr>
          <w:rStyle w:val="af9"/>
          <w:rFonts w:hint="cs"/>
          <w:rtl/>
        </w:rPr>
        <w:t>המגיד משנה [להר"י כלץ]</w:t>
      </w:r>
      <w:r>
        <w:rPr>
          <w:rFonts w:hint="cs"/>
          <w:rtl/>
        </w:rPr>
        <w:t xml:space="preserve"> דכוונתו לומר דאף בנגעה הסכין במפרקת לא חיישינן שנפגמה [ודלא </w:t>
      </w:r>
      <w:r w:rsidRPr="00C868C7">
        <w:rPr>
          <w:rStyle w:val="af9"/>
          <w:rFonts w:hint="cs"/>
          <w:rtl/>
        </w:rPr>
        <w:t>כרמב"ן</w:t>
      </w:r>
      <w:r>
        <w:rPr>
          <w:rFonts w:hint="cs"/>
          <w:rtl/>
        </w:rPr>
        <w:t xml:space="preserve"> </w:t>
      </w:r>
      <w:r w:rsidRPr="00C868C7">
        <w:rPr>
          <w:rStyle w:val="af7"/>
          <w:rFonts w:eastAsia="Guttman Hodes" w:hint="cs"/>
          <w:rtl/>
        </w:rPr>
        <w:t xml:space="preserve">(עי' אות </w:t>
      </w:r>
      <w:r w:rsidRPr="00C868C7">
        <w:rPr>
          <w:rStyle w:val="af7"/>
          <w:rFonts w:eastAsia="Guttman Hodes"/>
          <w:rtl/>
        </w:rPr>
        <w:fldChar w:fldCharType="begin"/>
      </w:r>
      <w:r w:rsidRPr="00C868C7">
        <w:rPr>
          <w:rStyle w:val="af7"/>
          <w:rFonts w:eastAsia="Guttman Hodes"/>
          <w:rtl/>
        </w:rPr>
        <w:instrText xml:space="preserve"> </w:instrText>
      </w:r>
      <w:r w:rsidRPr="00C868C7">
        <w:rPr>
          <w:rStyle w:val="af7"/>
          <w:rFonts w:eastAsia="Guttman Hodes" w:hint="cs"/>
        </w:rPr>
        <w:instrText>REF</w:instrText>
      </w:r>
      <w:r w:rsidRPr="00C868C7">
        <w:rPr>
          <w:rStyle w:val="af7"/>
          <w:rFonts w:eastAsia="Guttman Hodes" w:hint="cs"/>
          <w:rtl/>
        </w:rPr>
        <w:instrText xml:space="preserve"> _</w:instrText>
      </w:r>
      <w:r w:rsidRPr="00C868C7">
        <w:rPr>
          <w:rStyle w:val="af7"/>
          <w:rFonts w:eastAsia="Guttman Hodes" w:hint="cs"/>
        </w:rPr>
        <w:instrText>Ref527018565 \r \h</w:instrText>
      </w:r>
      <w:r w:rsidRPr="00C868C7">
        <w:rPr>
          <w:rStyle w:val="af7"/>
          <w:rFonts w:eastAsia="Guttman Hodes"/>
          <w:rtl/>
        </w:rPr>
        <w:instrText xml:space="preserve"> </w:instrText>
      </w:r>
      <w:r w:rsidRPr="00C868C7">
        <w:rPr>
          <w:rStyle w:val="af7"/>
          <w:rFonts w:eastAsia="Guttman Hodes"/>
          <w:rtl/>
        </w:rPr>
      </w:r>
      <w:r w:rsidRPr="00C868C7">
        <w:rPr>
          <w:rStyle w:val="af7"/>
          <w:rFonts w:eastAsia="Guttman Hodes"/>
          <w:rtl/>
        </w:rPr>
        <w:fldChar w:fldCharType="separate"/>
      </w:r>
      <w:r w:rsidR="00345400">
        <w:rPr>
          <w:rStyle w:val="af7"/>
          <w:rFonts w:eastAsia="Guttman Hodes"/>
          <w:cs/>
        </w:rPr>
        <w:t>‎</w:t>
      </w:r>
      <w:r w:rsidR="00345400">
        <w:rPr>
          <w:rStyle w:val="af7"/>
          <w:rFonts w:eastAsia="Guttman Hodes"/>
          <w:rtl/>
        </w:rPr>
        <w:t>סט)</w:t>
      </w:r>
      <w:r w:rsidRPr="00C868C7">
        <w:rPr>
          <w:rStyle w:val="af7"/>
          <w:rFonts w:eastAsia="Guttman Hodes"/>
          <w:rtl/>
        </w:rPr>
        <w:fldChar w:fldCharType="end"/>
      </w:r>
      <w:r>
        <w:rPr>
          <w:rFonts w:hint="cs"/>
          <w:rtl/>
        </w:rPr>
        <w:t xml:space="preserve">] דלעולם מעמידים את הסכין בחזקתו, ואף באבד הסכין כולם כשרות, וכדכתב </w:t>
      </w:r>
      <w:r w:rsidRPr="00C868C7">
        <w:rPr>
          <w:rStyle w:val="af9"/>
          <w:rFonts w:hint="cs"/>
          <w:rtl/>
        </w:rPr>
        <w:t>הרא"ש</w:t>
      </w:r>
      <w:r>
        <w:rPr>
          <w:rFonts w:hint="cs"/>
          <w:rtl/>
        </w:rPr>
        <w:t xml:space="preserve"> </w:t>
      </w:r>
      <w:r w:rsidRPr="00C868C7">
        <w:rPr>
          <w:rStyle w:val="af7"/>
          <w:rFonts w:eastAsia="Guttman Hodes" w:hint="cs"/>
          <w:rtl/>
        </w:rPr>
        <w:t xml:space="preserve">(עי' אות </w:t>
      </w:r>
      <w:r w:rsidRPr="00C868C7">
        <w:rPr>
          <w:rStyle w:val="af7"/>
          <w:rFonts w:eastAsia="Guttman Hodes"/>
          <w:rtl/>
        </w:rPr>
        <w:fldChar w:fldCharType="begin"/>
      </w:r>
      <w:r w:rsidRPr="00C868C7">
        <w:rPr>
          <w:rStyle w:val="af7"/>
          <w:rFonts w:eastAsia="Guttman Hodes"/>
          <w:rtl/>
        </w:rPr>
        <w:instrText xml:space="preserve"> </w:instrText>
      </w:r>
      <w:r w:rsidRPr="00C868C7">
        <w:rPr>
          <w:rStyle w:val="af7"/>
          <w:rFonts w:eastAsia="Guttman Hodes" w:hint="cs"/>
        </w:rPr>
        <w:instrText>REF</w:instrText>
      </w:r>
      <w:r w:rsidRPr="00C868C7">
        <w:rPr>
          <w:rStyle w:val="af7"/>
          <w:rFonts w:eastAsia="Guttman Hodes" w:hint="cs"/>
          <w:rtl/>
        </w:rPr>
        <w:instrText xml:space="preserve"> _</w:instrText>
      </w:r>
      <w:r w:rsidRPr="00C868C7">
        <w:rPr>
          <w:rStyle w:val="af7"/>
          <w:rFonts w:eastAsia="Guttman Hodes" w:hint="cs"/>
        </w:rPr>
        <w:instrText>Ref527107639 \r \h</w:instrText>
      </w:r>
      <w:r w:rsidRPr="00C868C7">
        <w:rPr>
          <w:rStyle w:val="af7"/>
          <w:rFonts w:eastAsia="Guttman Hodes"/>
          <w:rtl/>
        </w:rPr>
        <w:instrText xml:space="preserve"> </w:instrText>
      </w:r>
      <w:r w:rsidRPr="00C868C7">
        <w:rPr>
          <w:rStyle w:val="af7"/>
          <w:rFonts w:eastAsia="Guttman Hodes"/>
          <w:rtl/>
        </w:rPr>
      </w:r>
      <w:r w:rsidRPr="00C868C7">
        <w:rPr>
          <w:rStyle w:val="af7"/>
          <w:rFonts w:eastAsia="Guttman Hodes"/>
          <w:rtl/>
        </w:rPr>
        <w:fldChar w:fldCharType="separate"/>
      </w:r>
      <w:r w:rsidR="00345400">
        <w:rPr>
          <w:rStyle w:val="af7"/>
          <w:rFonts w:eastAsia="Guttman Hodes"/>
          <w:cs/>
        </w:rPr>
        <w:t>‎</w:t>
      </w:r>
      <w:r w:rsidR="00345400">
        <w:rPr>
          <w:rStyle w:val="af7"/>
          <w:rFonts w:eastAsia="Guttman Hodes"/>
          <w:rtl/>
        </w:rPr>
        <w:t>עז)</w:t>
      </w:r>
      <w:r w:rsidRPr="00C868C7">
        <w:rPr>
          <w:rStyle w:val="af7"/>
          <w:rFonts w:eastAsia="Guttman Hodes"/>
          <w:rtl/>
        </w:rPr>
        <w:fldChar w:fldCharType="end"/>
      </w:r>
      <w:r>
        <w:rPr>
          <w:rFonts w:hint="cs"/>
          <w:rtl/>
        </w:rPr>
        <w:t>.</w:t>
      </w:r>
    </w:p>
    <w:p w14:paraId="7FCB1C64" w14:textId="77777777" w:rsidR="00533768" w:rsidRDefault="00533768" w:rsidP="00223668">
      <w:pPr>
        <w:pStyle w:val="a0"/>
        <w:numPr>
          <w:ilvl w:val="0"/>
          <w:numId w:val="0"/>
        </w:numPr>
        <w:rPr>
          <w:rtl/>
        </w:rPr>
      </w:pPr>
    </w:p>
    <w:p w14:paraId="2E0D1F9E" w14:textId="77777777" w:rsidR="00533768" w:rsidRDefault="00533768" w:rsidP="006D6D32">
      <w:pPr>
        <w:pStyle w:val="a3"/>
        <w:rPr>
          <w:highlight w:val="yellow"/>
          <w:rtl/>
        </w:rPr>
      </w:pPr>
    </w:p>
    <w:p w14:paraId="4882AA78" w14:textId="77777777" w:rsidR="00533768" w:rsidRPr="00C71C0E" w:rsidRDefault="00533768" w:rsidP="006D6D32">
      <w:pPr>
        <w:pStyle w:val="a3"/>
        <w:rPr>
          <w:rtl/>
        </w:rPr>
      </w:pPr>
    </w:p>
    <w:p w14:paraId="57D28EAA" w14:textId="77777777" w:rsidR="00533768" w:rsidRPr="001873E3" w:rsidRDefault="00533768" w:rsidP="006D6D32">
      <w:pPr>
        <w:pStyle w:val="a3"/>
        <w:rPr>
          <w:highlight w:val="yellow"/>
          <w:rtl/>
        </w:rPr>
        <w:sectPr w:rsidR="00533768" w:rsidRPr="001873E3" w:rsidSect="00834C78">
          <w:type w:val="continuous"/>
          <w:pgSz w:w="11906" w:h="16838"/>
          <w:pgMar w:top="720" w:right="720" w:bottom="720" w:left="720" w:header="283" w:footer="283" w:gutter="0"/>
          <w:cols w:num="2" w:space="567"/>
          <w:bidi/>
          <w:rtlGutter/>
          <w:docGrid w:linePitch="299"/>
        </w:sectPr>
      </w:pPr>
    </w:p>
    <w:p w14:paraId="43B7FE21" w14:textId="77777777" w:rsidR="00533768" w:rsidRPr="00C26C32" w:rsidRDefault="004B65FC" w:rsidP="00FE6ED2">
      <w:pPr>
        <w:tabs>
          <w:tab w:val="left" w:pos="1163"/>
        </w:tabs>
        <w:spacing w:after="120" w:line="240" w:lineRule="auto"/>
        <w:ind w:left="0"/>
        <w:rPr>
          <w:rFonts w:eastAsia="Guttman Hodes" w:cs="Guttman Hodes"/>
          <w:noProof/>
          <w:sz w:val="18"/>
          <w:szCs w:val="18"/>
          <w:rtl/>
        </w:rPr>
        <w:sectPr w:rsidR="00533768" w:rsidRPr="00C26C32" w:rsidSect="003741AC">
          <w:pgSz w:w="11906" w:h="16838"/>
          <w:pgMar w:top="720" w:right="720" w:bottom="720" w:left="720" w:header="283" w:footer="283" w:gutter="0"/>
          <w:cols w:space="567"/>
          <w:bidi/>
          <w:rtlGutter/>
        </w:sectPr>
      </w:pPr>
      <w:r>
        <w:rPr>
          <w:rFonts w:ascii="Guttman Hodes" w:eastAsia="Guttman Hodes" w:hAnsi="Guttman Hodes" w:cs="Guttman Hodes"/>
          <w:noProof/>
          <w:sz w:val="18"/>
          <w:szCs w:val="18"/>
        </w:rPr>
        <w:pict w14:anchorId="0DC91EDB">
          <v:shape id="_x0000_i1033" type="#_x0000_t75" style="width:409.4pt;height:4.45pt" o:hrpct="0" o:hralign="center" o:hr="t">
            <v:imagedata r:id="rId21" o:title="BD14845_"/>
          </v:shape>
        </w:pict>
      </w:r>
    </w:p>
    <w:p w14:paraId="049D00D3" w14:textId="77777777" w:rsidR="00533768" w:rsidRDefault="00533768" w:rsidP="006D6D32">
      <w:pPr>
        <w:pStyle w:val="afe"/>
        <w:rPr>
          <w:rtl/>
        </w:rPr>
      </w:pPr>
      <w:bookmarkStart w:id="6388" w:name="_Toc526504163"/>
      <w:bookmarkStart w:id="6389" w:name="_Toc526853061"/>
      <w:bookmarkStart w:id="6390" w:name="_Toc526889971"/>
      <w:bookmarkStart w:id="6391" w:name="_Toc527108492"/>
      <w:bookmarkStart w:id="6392" w:name="_Toc19435441"/>
      <w:bookmarkStart w:id="6393" w:name="_Toc20080760"/>
      <w:r>
        <w:rPr>
          <w:rFonts w:hint="cs"/>
          <w:rtl/>
        </w:rPr>
        <w:t>ביאורי ראשי הישיבות על הסוגיא</w:t>
      </w:r>
      <w:bookmarkEnd w:id="6388"/>
      <w:bookmarkEnd w:id="6389"/>
      <w:bookmarkEnd w:id="6390"/>
      <w:bookmarkEnd w:id="6391"/>
      <w:bookmarkEnd w:id="6392"/>
      <w:bookmarkEnd w:id="6393"/>
    </w:p>
    <w:p w14:paraId="1635410C" w14:textId="77777777" w:rsidR="00045367" w:rsidRDefault="00045367" w:rsidP="00BF39B2">
      <w:pPr>
        <w:pStyle w:val="1"/>
        <w:rPr>
          <w:rtl/>
        </w:rPr>
        <w:sectPr w:rsidR="00045367" w:rsidSect="00C26C32">
          <w:headerReference w:type="default" r:id="rId48"/>
          <w:footerReference w:type="default" r:id="rId49"/>
          <w:type w:val="continuous"/>
          <w:pgSz w:w="11906" w:h="16838"/>
          <w:pgMar w:top="720" w:right="720" w:bottom="720" w:left="720" w:header="283" w:footer="283" w:gutter="0"/>
          <w:pgNumType w:fmt="hebrew1" w:start="44"/>
          <w:cols w:space="567"/>
          <w:bidi/>
          <w:rtlGutter/>
          <w:docGrid w:linePitch="299"/>
        </w:sectPr>
      </w:pPr>
    </w:p>
    <w:p w14:paraId="140D2B26" w14:textId="77777777" w:rsidR="00045367" w:rsidRPr="00531C6B" w:rsidRDefault="00045367" w:rsidP="006D6D32">
      <w:pPr>
        <w:pStyle w:val="afe"/>
        <w:rPr>
          <w:rtl/>
        </w:rPr>
      </w:pPr>
      <w:bookmarkStart w:id="6394" w:name="_Toc526249291"/>
      <w:bookmarkStart w:id="6395" w:name="_Toc526504164"/>
      <w:bookmarkStart w:id="6396" w:name="_Toc526853062"/>
      <w:bookmarkStart w:id="6397" w:name="_Toc526889972"/>
      <w:bookmarkStart w:id="6398" w:name="_Toc527108493"/>
      <w:bookmarkStart w:id="6399" w:name="_Toc19435442"/>
      <w:bookmarkStart w:id="6400" w:name="_Toc20080761"/>
      <w:r w:rsidRPr="00D230F1">
        <w:rPr>
          <w:rFonts w:hint="cs"/>
          <w:rtl/>
        </w:rPr>
        <w:t xml:space="preserve">בדברי הרשב"א והראב"ד </w:t>
      </w:r>
      <w:bookmarkEnd w:id="6394"/>
      <w:bookmarkEnd w:id="6395"/>
      <w:bookmarkEnd w:id="6396"/>
      <w:bookmarkEnd w:id="6397"/>
      <w:r>
        <w:rPr>
          <w:rFonts w:hint="cs"/>
          <w:rtl/>
        </w:rPr>
        <w:t>בל"ב</w:t>
      </w:r>
      <w:bookmarkEnd w:id="6398"/>
      <w:bookmarkEnd w:id="6399"/>
      <w:bookmarkEnd w:id="6400"/>
    </w:p>
    <w:p w14:paraId="583D16B6" w14:textId="77777777" w:rsidR="00045367" w:rsidRDefault="00045367" w:rsidP="00BF39B2">
      <w:pPr>
        <w:pStyle w:val="1"/>
        <w:rPr>
          <w:rtl/>
        </w:rPr>
      </w:pPr>
      <w:bookmarkStart w:id="6401" w:name="_Toc524638752"/>
      <w:bookmarkStart w:id="6402" w:name="_Toc525594413"/>
      <w:bookmarkStart w:id="6403" w:name="_Toc526249292"/>
      <w:bookmarkStart w:id="6404" w:name="_Toc526504165"/>
      <w:bookmarkStart w:id="6405" w:name="_Toc526853063"/>
      <w:bookmarkStart w:id="6406" w:name="_Toc526889973"/>
      <w:bookmarkStart w:id="6407" w:name="_Toc527108494"/>
      <w:bookmarkStart w:id="6408" w:name="_Toc19389780"/>
      <w:bookmarkStart w:id="6409" w:name="_Toc19393277"/>
      <w:r>
        <w:rPr>
          <w:rFonts w:hint="cs"/>
          <w:rtl/>
        </w:rPr>
        <w:t>דברי האבאה"ז בקושיות הגרעק"א על הרשב"א</w:t>
      </w:r>
      <w:bookmarkEnd w:id="6401"/>
      <w:bookmarkEnd w:id="6402"/>
      <w:bookmarkEnd w:id="6403"/>
      <w:bookmarkEnd w:id="6404"/>
      <w:bookmarkEnd w:id="6405"/>
      <w:bookmarkEnd w:id="6406"/>
      <w:bookmarkEnd w:id="6407"/>
      <w:bookmarkEnd w:id="6408"/>
      <w:bookmarkEnd w:id="6409"/>
    </w:p>
    <w:p w14:paraId="3A9D3004" w14:textId="77777777" w:rsidR="00045367" w:rsidRDefault="00045367" w:rsidP="006D6D32">
      <w:pPr>
        <w:pStyle w:val="a3"/>
        <w:rPr>
          <w:rtl/>
        </w:rPr>
      </w:pPr>
      <w:bookmarkStart w:id="6410" w:name="_Toc527108495"/>
      <w:bookmarkStart w:id="6411" w:name="_Toc19389781"/>
      <w:bookmarkStart w:id="6412" w:name="_Toc19393278"/>
      <w:r>
        <w:rPr>
          <w:rFonts w:hint="cs"/>
          <w:rtl/>
        </w:rPr>
        <w:t>דברי האבהא"ז דסברת התוס' דחיישינן רק למפרקת האחרונה רק לתרץ את הקושיה ממקוה</w:t>
      </w:r>
      <w:bookmarkEnd w:id="6410"/>
      <w:bookmarkEnd w:id="6411"/>
      <w:bookmarkEnd w:id="6412"/>
    </w:p>
    <w:p w14:paraId="3B47D282" w14:textId="77777777" w:rsidR="00045367" w:rsidRDefault="00045367" w:rsidP="00223668">
      <w:pPr>
        <w:pStyle w:val="a0"/>
      </w:pPr>
      <w:bookmarkStart w:id="6413" w:name="_Ref523946816"/>
      <w:r w:rsidRPr="00795EFD">
        <w:rPr>
          <w:rStyle w:val="af9"/>
          <w:rFonts w:hint="cs"/>
          <w:rtl/>
        </w:rPr>
        <w:t>האבהא"ז</w:t>
      </w:r>
      <w:r>
        <w:rPr>
          <w:rFonts w:hint="cs"/>
          <w:rtl/>
        </w:rPr>
        <w:t xml:space="preserve"> </w:t>
      </w:r>
      <w:r w:rsidRPr="00795EFD">
        <w:rPr>
          <w:rStyle w:val="af7"/>
          <w:rFonts w:eastAsia="Guttman Hodes" w:hint="cs"/>
          <w:rtl/>
        </w:rPr>
        <w:t>(שחיטה א' כ"ד)</w:t>
      </w:r>
      <w:r>
        <w:rPr>
          <w:rFonts w:hint="cs"/>
          <w:rtl/>
        </w:rPr>
        <w:t xml:space="preserve"> הביא את קושית </w:t>
      </w:r>
      <w:r w:rsidRPr="00795EFD">
        <w:rPr>
          <w:rStyle w:val="af9"/>
          <w:rFonts w:hint="cs"/>
          <w:rtl/>
        </w:rPr>
        <w:t>הגרעק"א</w:t>
      </w:r>
      <w:r>
        <w:rPr>
          <w:rFonts w:hint="cs"/>
          <w:rtl/>
        </w:rPr>
        <w:t xml:space="preserve"> </w:t>
      </w:r>
      <w:r w:rsidRPr="00D34099">
        <w:rPr>
          <w:rStyle w:val="af7"/>
          <w:rFonts w:eastAsia="Guttman Hodes" w:hint="cs"/>
          <w:rtl/>
        </w:rPr>
        <w:t xml:space="preserve">(עי' </w:t>
      </w:r>
      <w:r w:rsidRPr="007A0FAA">
        <w:rPr>
          <w:rStyle w:val="af7"/>
          <w:rFonts w:eastAsia="Guttman Hodes" w:hint="cs"/>
          <w:rtl/>
        </w:rPr>
        <w:t xml:space="preserve">אות </w:t>
      </w:r>
      <w:r w:rsidRPr="007A0FAA">
        <w:rPr>
          <w:rStyle w:val="af7"/>
          <w:rFonts w:eastAsia="Guttman Hodes"/>
          <w:rtl/>
        </w:rPr>
        <w:fldChar w:fldCharType="begin"/>
      </w:r>
      <w:r w:rsidRPr="007A0FAA">
        <w:rPr>
          <w:rStyle w:val="af7"/>
          <w:rFonts w:eastAsia="Guttman Hodes"/>
          <w:rtl/>
        </w:rPr>
        <w:instrText xml:space="preserve"> </w:instrText>
      </w:r>
      <w:r w:rsidRPr="007A0FAA">
        <w:rPr>
          <w:rStyle w:val="af7"/>
          <w:rFonts w:eastAsia="Guttman Hodes" w:hint="cs"/>
        </w:rPr>
        <w:instrText>REF</w:instrText>
      </w:r>
      <w:r w:rsidRPr="007A0FAA">
        <w:rPr>
          <w:rStyle w:val="af7"/>
          <w:rFonts w:eastAsia="Guttman Hodes" w:hint="cs"/>
          <w:rtl/>
        </w:rPr>
        <w:instrText xml:space="preserve"> _</w:instrText>
      </w:r>
      <w:r w:rsidRPr="007A0FAA">
        <w:rPr>
          <w:rStyle w:val="af7"/>
          <w:rFonts w:eastAsia="Guttman Hodes" w:hint="cs"/>
        </w:rPr>
        <w:instrText>Ref523946616 \r \h</w:instrText>
      </w:r>
      <w:r w:rsidRPr="007A0FAA">
        <w:rPr>
          <w:rStyle w:val="af7"/>
          <w:rFonts w:eastAsia="Guttman Hodes"/>
          <w:rtl/>
        </w:rPr>
        <w:instrText xml:space="preserve"> </w:instrText>
      </w:r>
      <w:r w:rsidRPr="007A0FAA">
        <w:rPr>
          <w:rStyle w:val="af7"/>
          <w:rFonts w:eastAsia="Guttman Hodes"/>
          <w:rtl/>
        </w:rPr>
      </w:r>
      <w:r w:rsidRPr="007A0FAA">
        <w:rPr>
          <w:rStyle w:val="af7"/>
          <w:rFonts w:eastAsia="Guttman Hodes"/>
          <w:rtl/>
        </w:rPr>
        <w:fldChar w:fldCharType="separate"/>
      </w:r>
      <w:r w:rsidR="00345400">
        <w:rPr>
          <w:rStyle w:val="af7"/>
          <w:rFonts w:eastAsia="Guttman Hodes"/>
          <w:cs/>
        </w:rPr>
        <w:t>‎</w:t>
      </w:r>
      <w:r w:rsidR="00345400">
        <w:rPr>
          <w:rStyle w:val="af7"/>
          <w:rFonts w:eastAsia="Guttman Hodes"/>
          <w:rtl/>
        </w:rPr>
        <w:t>פה)</w:t>
      </w:r>
      <w:r w:rsidRPr="007A0FAA">
        <w:rPr>
          <w:rStyle w:val="af7"/>
          <w:rFonts w:eastAsia="Guttman Hodes"/>
          <w:rtl/>
        </w:rPr>
        <w:fldChar w:fldCharType="end"/>
      </w:r>
      <w:r>
        <w:rPr>
          <w:rFonts w:hint="cs"/>
          <w:rtl/>
        </w:rPr>
        <w:t xml:space="preserve"> על </w:t>
      </w:r>
      <w:r w:rsidRPr="00354F97">
        <w:rPr>
          <w:rStyle w:val="af9"/>
          <w:rFonts w:hint="cs"/>
          <w:rtl/>
        </w:rPr>
        <w:t>הרשב"א</w:t>
      </w:r>
      <w:r>
        <w:rPr>
          <w:rFonts w:hint="cs"/>
          <w:rtl/>
        </w:rPr>
        <w:t xml:space="preserve"> בשם </w:t>
      </w:r>
      <w:r w:rsidRPr="00354F97">
        <w:rPr>
          <w:rStyle w:val="af9"/>
          <w:rFonts w:hint="cs"/>
          <w:rtl/>
        </w:rPr>
        <w:t>הראב"ד</w:t>
      </w:r>
      <w:r>
        <w:rPr>
          <w:rFonts w:hint="cs"/>
          <w:rtl/>
        </w:rPr>
        <w:t xml:space="preserve"> </w:t>
      </w:r>
      <w:r w:rsidRPr="00354F97">
        <w:rPr>
          <w:rStyle w:val="af7"/>
          <w:rFonts w:eastAsia="Guttman Hodes" w:hint="cs"/>
          <w:rtl/>
        </w:rPr>
        <w:t xml:space="preserve">(עי' אות </w:t>
      </w:r>
      <w:r w:rsidRPr="00354F97">
        <w:rPr>
          <w:rStyle w:val="af7"/>
          <w:rFonts w:eastAsia="Guttman Hodes"/>
          <w:rtl/>
        </w:rPr>
        <w:fldChar w:fldCharType="begin"/>
      </w:r>
      <w:r w:rsidRPr="00354F97">
        <w:rPr>
          <w:rStyle w:val="af7"/>
          <w:rFonts w:eastAsia="Guttman Hodes"/>
          <w:rtl/>
        </w:rPr>
        <w:instrText xml:space="preserve"> </w:instrText>
      </w:r>
      <w:r w:rsidRPr="00354F97">
        <w:rPr>
          <w:rStyle w:val="af7"/>
          <w:rFonts w:eastAsia="Guttman Hodes" w:hint="cs"/>
        </w:rPr>
        <w:instrText>REF</w:instrText>
      </w:r>
      <w:r w:rsidRPr="00354F97">
        <w:rPr>
          <w:rStyle w:val="af7"/>
          <w:rFonts w:eastAsia="Guttman Hodes" w:hint="cs"/>
          <w:rtl/>
        </w:rPr>
        <w:instrText xml:space="preserve"> _</w:instrText>
      </w:r>
      <w:r w:rsidRPr="00354F97">
        <w:rPr>
          <w:rStyle w:val="af7"/>
          <w:rFonts w:eastAsia="Guttman Hodes" w:hint="cs"/>
        </w:rPr>
        <w:instrText>Ref527025039 \r \h</w:instrText>
      </w:r>
      <w:r w:rsidRPr="00354F97">
        <w:rPr>
          <w:rStyle w:val="af7"/>
          <w:rFonts w:eastAsia="Guttman Hodes"/>
          <w:rtl/>
        </w:rPr>
        <w:instrText xml:space="preserve"> </w:instrText>
      </w:r>
      <w:r w:rsidRPr="00354F97">
        <w:rPr>
          <w:rStyle w:val="af7"/>
          <w:rFonts w:eastAsia="Guttman Hodes"/>
          <w:rtl/>
        </w:rPr>
      </w:r>
      <w:r w:rsidRPr="00354F97">
        <w:rPr>
          <w:rStyle w:val="af7"/>
          <w:rFonts w:eastAsia="Guttman Hodes"/>
          <w:rtl/>
        </w:rPr>
        <w:fldChar w:fldCharType="separate"/>
      </w:r>
      <w:r w:rsidR="00345400">
        <w:rPr>
          <w:rStyle w:val="af7"/>
          <w:rFonts w:eastAsia="Guttman Hodes"/>
          <w:cs/>
        </w:rPr>
        <w:t>‎</w:t>
      </w:r>
      <w:r w:rsidR="00345400">
        <w:rPr>
          <w:rStyle w:val="af7"/>
          <w:rFonts w:eastAsia="Guttman Hodes"/>
          <w:rtl/>
        </w:rPr>
        <w:t>סא)</w:t>
      </w:r>
      <w:r w:rsidRPr="00354F97">
        <w:rPr>
          <w:rStyle w:val="af7"/>
          <w:rFonts w:eastAsia="Guttman Hodes"/>
          <w:rtl/>
        </w:rPr>
        <w:fldChar w:fldCharType="end"/>
      </w:r>
      <w:r>
        <w:rPr>
          <w:rFonts w:hint="cs"/>
          <w:rtl/>
        </w:rPr>
        <w:t xml:space="preserve"> דלחומרא קיי"ל כלישנא בתרא דחיישינן שהמפרקת של הבהמה הראשונה פגמה, ואם לא בדק בין שחיטה לשחיטה האחרונות אסורות, והקשה </w:t>
      </w:r>
      <w:r w:rsidRPr="00354F97">
        <w:rPr>
          <w:rStyle w:val="af9"/>
          <w:rFonts w:hint="cs"/>
          <w:rtl/>
        </w:rPr>
        <w:t>הגרעק"א</w:t>
      </w:r>
      <w:r>
        <w:rPr>
          <w:rFonts w:hint="cs"/>
          <w:rtl/>
        </w:rPr>
        <w:t xml:space="preserve"> דבלישנא בתרא לא מבואר כלל דכל שחיטה מחשיבה את הסכין כאינו בדוק, וביאר </w:t>
      </w:r>
      <w:r w:rsidRPr="007A0FAA">
        <w:rPr>
          <w:rStyle w:val="af9"/>
          <w:rFonts w:hint="cs"/>
          <w:rtl/>
        </w:rPr>
        <w:t>הגרעק"א</w:t>
      </w:r>
      <w:r>
        <w:rPr>
          <w:rFonts w:hint="cs"/>
          <w:rtl/>
        </w:rPr>
        <w:t xml:space="preserve"> </w:t>
      </w:r>
      <w:r w:rsidRPr="007A0FAA">
        <w:rPr>
          <w:rStyle w:val="af7"/>
          <w:rFonts w:eastAsia="Guttman Hodes" w:hint="cs"/>
          <w:rtl/>
        </w:rPr>
        <w:t xml:space="preserve">(עי' אות </w:t>
      </w:r>
      <w:r w:rsidRPr="007A0FAA">
        <w:rPr>
          <w:rStyle w:val="af7"/>
          <w:rFonts w:eastAsia="Guttman Hodes"/>
          <w:rtl/>
        </w:rPr>
        <w:fldChar w:fldCharType="begin"/>
      </w:r>
      <w:r w:rsidRPr="007A0FAA">
        <w:rPr>
          <w:rStyle w:val="af7"/>
          <w:rFonts w:eastAsia="Guttman Hodes"/>
          <w:rtl/>
        </w:rPr>
        <w:instrText xml:space="preserve"> </w:instrText>
      </w:r>
      <w:r w:rsidRPr="007A0FAA">
        <w:rPr>
          <w:rStyle w:val="af7"/>
          <w:rFonts w:eastAsia="Guttman Hodes" w:hint="cs"/>
        </w:rPr>
        <w:instrText>REF</w:instrText>
      </w:r>
      <w:r w:rsidRPr="007A0FAA">
        <w:rPr>
          <w:rStyle w:val="af7"/>
          <w:rFonts w:eastAsia="Guttman Hodes" w:hint="cs"/>
          <w:rtl/>
        </w:rPr>
        <w:instrText xml:space="preserve"> _</w:instrText>
      </w:r>
      <w:r w:rsidRPr="007A0FAA">
        <w:rPr>
          <w:rStyle w:val="af7"/>
          <w:rFonts w:eastAsia="Guttman Hodes" w:hint="cs"/>
        </w:rPr>
        <w:instrText>Ref523946850 \r \h</w:instrText>
      </w:r>
      <w:r w:rsidRPr="007A0FAA">
        <w:rPr>
          <w:rStyle w:val="af7"/>
          <w:rFonts w:eastAsia="Guttman Hodes"/>
          <w:rtl/>
        </w:rPr>
        <w:instrText xml:space="preserve"> </w:instrText>
      </w:r>
      <w:r w:rsidRPr="007A0FAA">
        <w:rPr>
          <w:rStyle w:val="af7"/>
          <w:rFonts w:eastAsia="Guttman Hodes"/>
          <w:rtl/>
        </w:rPr>
      </w:r>
      <w:r w:rsidRPr="007A0FAA">
        <w:rPr>
          <w:rStyle w:val="af7"/>
          <w:rFonts w:eastAsia="Guttman Hodes"/>
          <w:rtl/>
        </w:rPr>
        <w:fldChar w:fldCharType="separate"/>
      </w:r>
      <w:r w:rsidR="00345400">
        <w:rPr>
          <w:rStyle w:val="af7"/>
          <w:rFonts w:eastAsia="Guttman Hodes"/>
          <w:cs/>
        </w:rPr>
        <w:t>‎</w:t>
      </w:r>
      <w:r w:rsidR="00345400">
        <w:rPr>
          <w:rStyle w:val="af7"/>
          <w:rFonts w:eastAsia="Guttman Hodes"/>
          <w:rtl/>
        </w:rPr>
        <w:t>פו)</w:t>
      </w:r>
      <w:r w:rsidRPr="007A0FAA">
        <w:rPr>
          <w:rStyle w:val="af7"/>
          <w:rFonts w:eastAsia="Guttman Hodes"/>
          <w:rtl/>
        </w:rPr>
        <w:fldChar w:fldCharType="end"/>
      </w:r>
      <w:r>
        <w:rPr>
          <w:rFonts w:hint="cs"/>
          <w:rtl/>
        </w:rPr>
        <w:t xml:space="preserve"> דהא דתלינן לל"ק במפרקת של האחרונה, הוא מסברת </w:t>
      </w:r>
      <w:r w:rsidRPr="00795EFD">
        <w:rPr>
          <w:rStyle w:val="af9"/>
          <w:rFonts w:hint="cs"/>
          <w:rtl/>
        </w:rPr>
        <w:t xml:space="preserve">התוס' </w:t>
      </w:r>
      <w:r w:rsidRPr="00D34099">
        <w:rPr>
          <w:rStyle w:val="af7"/>
          <w:rFonts w:eastAsia="Guttman Hodes" w:hint="cs"/>
          <w:rtl/>
        </w:rPr>
        <w:t xml:space="preserve">(עי' אות </w:t>
      </w:r>
      <w:r w:rsidRPr="00D34099">
        <w:rPr>
          <w:rStyle w:val="af7"/>
          <w:rFonts w:eastAsia="Guttman Hodes"/>
          <w:rtl/>
        </w:rPr>
        <w:fldChar w:fldCharType="begin"/>
      </w:r>
      <w:r w:rsidRPr="00D34099">
        <w:rPr>
          <w:rStyle w:val="af7"/>
          <w:rFonts w:eastAsia="Guttman Hodes"/>
          <w:rtl/>
        </w:rPr>
        <w:instrText xml:space="preserve"> </w:instrText>
      </w:r>
      <w:r w:rsidRPr="00D34099">
        <w:rPr>
          <w:rStyle w:val="af7"/>
          <w:rFonts w:eastAsia="Guttman Hodes" w:hint="cs"/>
        </w:rPr>
        <w:instrText>REF</w:instrText>
      </w:r>
      <w:r w:rsidRPr="00D34099">
        <w:rPr>
          <w:rStyle w:val="af7"/>
          <w:rFonts w:eastAsia="Guttman Hodes" w:hint="cs"/>
          <w:rtl/>
        </w:rPr>
        <w:instrText xml:space="preserve"> _</w:instrText>
      </w:r>
      <w:r w:rsidRPr="00D34099">
        <w:rPr>
          <w:rStyle w:val="af7"/>
          <w:rFonts w:eastAsia="Guttman Hodes" w:hint="cs"/>
        </w:rPr>
        <w:instrText>Ref523946730 \r \h</w:instrText>
      </w:r>
      <w:r w:rsidRPr="00D34099">
        <w:rPr>
          <w:rStyle w:val="af7"/>
          <w:rFonts w:eastAsia="Guttman Hodes"/>
          <w:rtl/>
        </w:rPr>
        <w:instrText xml:space="preserve"> </w:instrText>
      </w:r>
      <w:r w:rsidRPr="00D34099">
        <w:rPr>
          <w:rStyle w:val="af7"/>
          <w:rFonts w:eastAsia="Guttman Hodes"/>
          <w:rtl/>
        </w:rPr>
      </w:r>
      <w:r w:rsidRPr="00D34099">
        <w:rPr>
          <w:rStyle w:val="af7"/>
          <w:rFonts w:eastAsia="Guttman Hodes"/>
          <w:rtl/>
        </w:rPr>
        <w:fldChar w:fldCharType="separate"/>
      </w:r>
      <w:r w:rsidR="00345400">
        <w:rPr>
          <w:rStyle w:val="af7"/>
          <w:rFonts w:eastAsia="Guttman Hodes"/>
          <w:cs/>
        </w:rPr>
        <w:t>‎</w:t>
      </w:r>
      <w:r w:rsidR="00345400">
        <w:rPr>
          <w:rStyle w:val="af7"/>
          <w:rFonts w:eastAsia="Guttman Hodes"/>
          <w:rtl/>
        </w:rPr>
        <w:t>לה)</w:t>
      </w:r>
      <w:r w:rsidRPr="00D34099">
        <w:rPr>
          <w:rStyle w:val="af7"/>
          <w:rFonts w:eastAsia="Guttman Hodes"/>
          <w:rtl/>
        </w:rPr>
        <w:fldChar w:fldCharType="end"/>
      </w:r>
      <w:r w:rsidRPr="00D34099">
        <w:rPr>
          <w:rStyle w:val="af7"/>
          <w:rFonts w:eastAsia="Guttman Hodes" w:hint="cs"/>
          <w:rtl/>
        </w:rPr>
        <w:t xml:space="preserve"> </w:t>
      </w:r>
      <w:r>
        <w:rPr>
          <w:rFonts w:hint="cs"/>
          <w:rtl/>
        </w:rPr>
        <w:t xml:space="preserve">דבראשונות הוא נזהר שלא לדחוק את הסכין, ורק בסברא זו פליגא הלישנא בתרא. והקשה </w:t>
      </w:r>
      <w:r w:rsidRPr="00354B25">
        <w:rPr>
          <w:rStyle w:val="af9"/>
          <w:rFonts w:hint="cs"/>
          <w:rtl/>
        </w:rPr>
        <w:t>האבהא"ז דהתוס'</w:t>
      </w:r>
      <w:r>
        <w:rPr>
          <w:rFonts w:hint="cs"/>
          <w:rtl/>
        </w:rPr>
        <w:t xml:space="preserve"> כתבו סברא זו בכדי לבאר את דבריהם בתירוצם השני דבסכין אינו תרתי לריעותא, כיון שעצם ודאי פוגם, ולכן הוצרכו בתירוץ זה לבאר את הלישנא קמא דאף שעצם ודאי פוגם, מ"מ תלינן במפרקת האחרונה כיון שבראשונות הוא נזהר.</w:t>
      </w:r>
      <w:bookmarkEnd w:id="6413"/>
    </w:p>
    <w:p w14:paraId="4D63A2E3" w14:textId="77777777" w:rsidR="00045367" w:rsidRDefault="00045367" w:rsidP="006D6D32">
      <w:pPr>
        <w:pStyle w:val="a3"/>
        <w:rPr>
          <w:rtl/>
        </w:rPr>
      </w:pPr>
      <w:bookmarkStart w:id="6414" w:name="_Toc527108496"/>
      <w:bookmarkStart w:id="6415" w:name="_Toc19389782"/>
      <w:bookmarkStart w:id="6416" w:name="_Toc19393279"/>
      <w:r>
        <w:rPr>
          <w:rFonts w:hint="cs"/>
          <w:rtl/>
        </w:rPr>
        <w:t>דברי האבאה"ז דהרשב"א פליג על סברת התוס'</w:t>
      </w:r>
      <w:bookmarkEnd w:id="6414"/>
      <w:bookmarkEnd w:id="6415"/>
      <w:bookmarkEnd w:id="6416"/>
    </w:p>
    <w:p w14:paraId="026CBA42" w14:textId="77777777" w:rsidR="00045367" w:rsidRDefault="00045367" w:rsidP="00223668">
      <w:pPr>
        <w:pStyle w:val="a0"/>
        <w:rPr>
          <w:rtl/>
        </w:rPr>
      </w:pPr>
      <w:bookmarkStart w:id="6417" w:name="_Ref523947737"/>
      <w:r>
        <w:rPr>
          <w:rFonts w:hint="cs"/>
          <w:rtl/>
        </w:rPr>
        <w:t xml:space="preserve">וכתב </w:t>
      </w:r>
      <w:r w:rsidRPr="00354B25">
        <w:rPr>
          <w:rStyle w:val="af9"/>
          <w:rFonts w:hint="cs"/>
          <w:rtl/>
        </w:rPr>
        <w:t>האבאה"ז</w:t>
      </w:r>
      <w:r>
        <w:rPr>
          <w:rFonts w:hint="cs"/>
          <w:rtl/>
        </w:rPr>
        <w:t xml:space="preserve"> דבגמ' לא משמע כסברא זו כלל, אלא דלא תלינן במפרקת הראשונה כיון שיתכן שנפגם באחרונה, ולסברת התוס' היה לגמ' לומר דרגיל יותר להזהר בראשונה, אלא מבואר דהתליה באחרונה היא בסתמא, והוסיף </w:t>
      </w:r>
      <w:r w:rsidRPr="00354B25">
        <w:rPr>
          <w:rStyle w:val="af9"/>
          <w:rFonts w:hint="cs"/>
          <w:rtl/>
        </w:rPr>
        <w:t>האבאה"ז</w:t>
      </w:r>
      <w:r>
        <w:rPr>
          <w:rFonts w:hint="cs"/>
          <w:rtl/>
        </w:rPr>
        <w:t xml:space="preserve"> דכן מוכח להדיא מדברי </w:t>
      </w:r>
      <w:r w:rsidRPr="00354B25">
        <w:rPr>
          <w:rStyle w:val="af9"/>
          <w:rFonts w:hint="cs"/>
          <w:rtl/>
        </w:rPr>
        <w:t>הרשב"א</w:t>
      </w:r>
      <w:r>
        <w:rPr>
          <w:rFonts w:hint="cs"/>
          <w:rtl/>
        </w:rPr>
        <w:t xml:space="preserve"> </w:t>
      </w:r>
      <w:r w:rsidRPr="00FE7F3E">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Ref526973794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Pr>
          <w:rStyle w:val="af7"/>
          <w:rFonts w:eastAsia="Guttman Hodes"/>
          <w:rtl/>
        </w:rPr>
        <w:fldChar w:fldCharType="end"/>
      </w:r>
      <w:r>
        <w:rPr>
          <w:rStyle w:val="af7"/>
          <w:rFonts w:eastAsia="Guttman Hodes" w:hint="cs"/>
          <w:rtl/>
        </w:rPr>
        <w:t xml:space="preserve"> </w:t>
      </w:r>
      <w:r>
        <w:rPr>
          <w:rFonts w:hint="cs"/>
          <w:rtl/>
        </w:rPr>
        <w:t>דכתב דהל"ב דרב כהנא כרב חסדא ולהכשיר את האחרונה הוא דיחוי בעלמא, דבאמת עדיין קיי"ל כסברא דמכדי מיתלי תלינן במפרקת, ואפשר לתלות אף באחרונה, ומבואר מדבריו דהוא תליה בעלמא, ואין כל סברא לומר שנפגמה רק באחרונה.</w:t>
      </w:r>
      <w:bookmarkEnd w:id="6417"/>
    </w:p>
    <w:p w14:paraId="203216A6" w14:textId="77777777" w:rsidR="00045367" w:rsidRPr="00FE7F3E" w:rsidRDefault="00045367" w:rsidP="006D6D32">
      <w:pPr>
        <w:pStyle w:val="a3"/>
        <w:rPr>
          <w:rtl/>
        </w:rPr>
      </w:pPr>
      <w:bookmarkStart w:id="6418" w:name="_Toc527108497"/>
      <w:bookmarkStart w:id="6419" w:name="_Toc19389783"/>
      <w:bookmarkStart w:id="6420" w:name="_Toc19393280"/>
      <w:r w:rsidRPr="00F16989">
        <w:rPr>
          <w:rFonts w:hint="cs"/>
          <w:rtl/>
        </w:rPr>
        <w:t xml:space="preserve">קושית האבאה"ז </w:t>
      </w:r>
      <w:r>
        <w:rPr>
          <w:rFonts w:hint="cs"/>
          <w:rtl/>
        </w:rPr>
        <w:t>דל</w:t>
      </w:r>
      <w:r w:rsidRPr="00F16989">
        <w:rPr>
          <w:rFonts w:hint="cs"/>
          <w:rtl/>
        </w:rPr>
        <w:t>הרשב"א</w:t>
      </w:r>
      <w:r>
        <w:rPr>
          <w:rFonts w:hint="cs"/>
          <w:rtl/>
        </w:rPr>
        <w:t xml:space="preserve"> תלינן במפרקת דעצם פוגם יותר מעור וא"כ הראשונה פוגמת</w:t>
      </w:r>
      <w:bookmarkEnd w:id="6418"/>
      <w:bookmarkEnd w:id="6419"/>
      <w:bookmarkEnd w:id="6420"/>
    </w:p>
    <w:p w14:paraId="3C9B9947" w14:textId="77777777" w:rsidR="00045367" w:rsidRDefault="00045367" w:rsidP="00223668">
      <w:pPr>
        <w:pStyle w:val="a0"/>
        <w:rPr>
          <w:rtl/>
        </w:rPr>
      </w:pPr>
      <w:r>
        <w:rPr>
          <w:rFonts w:hint="cs"/>
          <w:rtl/>
        </w:rPr>
        <w:t xml:space="preserve">אך כתב </w:t>
      </w:r>
      <w:r w:rsidRPr="000D4FBB">
        <w:rPr>
          <w:rStyle w:val="af9"/>
          <w:rFonts w:hint="cs"/>
          <w:rtl/>
        </w:rPr>
        <w:t>האבהא"ז</w:t>
      </w:r>
      <w:r>
        <w:rPr>
          <w:rFonts w:hint="cs"/>
          <w:rtl/>
        </w:rPr>
        <w:t xml:space="preserve"> </w:t>
      </w:r>
      <w:r w:rsidRPr="000D4FBB">
        <w:rPr>
          <w:rStyle w:val="af7"/>
          <w:rFonts w:eastAsia="Guttman Hodes" w:hint="cs"/>
          <w:rtl/>
        </w:rPr>
        <w:t>(שחיטה א' כ"ד ד"ה איברא</w:t>
      </w:r>
      <w:r>
        <w:rPr>
          <w:rStyle w:val="af7"/>
          <w:rFonts w:eastAsia="Guttman Hodes" w:hint="cs"/>
          <w:rtl/>
        </w:rPr>
        <w:t>)</w:t>
      </w:r>
      <w:r>
        <w:rPr>
          <w:rFonts w:hint="cs"/>
          <w:rtl/>
        </w:rPr>
        <w:t xml:space="preserve"> דעל עיקר דברי </w:t>
      </w:r>
      <w:r w:rsidRPr="000D4FBB">
        <w:rPr>
          <w:rStyle w:val="af9"/>
          <w:rFonts w:hint="cs"/>
          <w:rtl/>
        </w:rPr>
        <w:t>הרשב"א</w:t>
      </w:r>
      <w:r>
        <w:rPr>
          <w:rFonts w:hint="cs"/>
          <w:rtl/>
        </w:rPr>
        <w:t xml:space="preserve"> יש להקשות, דהרי </w:t>
      </w:r>
      <w:r w:rsidRPr="000D4FBB">
        <w:rPr>
          <w:rStyle w:val="af9"/>
          <w:rFonts w:hint="cs"/>
          <w:rtl/>
        </w:rPr>
        <w:t>הרשב"א</w:t>
      </w:r>
      <w:r>
        <w:rPr>
          <w:rFonts w:hint="cs"/>
          <w:rtl/>
        </w:rPr>
        <w:t xml:space="preserve"> </w:t>
      </w:r>
      <w:r w:rsidRPr="00C24D6D">
        <w:rPr>
          <w:rStyle w:val="af9"/>
          <w:rFonts w:hint="cs"/>
          <w:rtl/>
        </w:rPr>
        <w:t>הרשב"א</w:t>
      </w:r>
      <w:r>
        <w:rPr>
          <w:rFonts w:hint="cs"/>
          <w:rtl/>
        </w:rPr>
        <w:t xml:space="preserve"> לעיל </w:t>
      </w:r>
      <w:r w:rsidRPr="00043480">
        <w:rPr>
          <w:rStyle w:val="af7"/>
          <w:rFonts w:eastAsia="Guttman Hodes" w:hint="cs"/>
          <w:rtl/>
        </w:rPr>
        <w:t>(</w:t>
      </w:r>
      <w:r>
        <w:rPr>
          <w:rStyle w:val="af7"/>
          <w:rFonts w:eastAsia="Guttman Hodes" w:hint="cs"/>
          <w:rtl/>
        </w:rPr>
        <w:t xml:space="preserve">י. </w:t>
      </w:r>
      <w:r w:rsidRPr="00043480">
        <w:rPr>
          <w:rStyle w:val="af7"/>
          <w:rFonts w:eastAsia="Guttman Hodes" w:hint="cs"/>
          <w:rtl/>
        </w:rPr>
        <w:t xml:space="preserve">ד"ה </w:t>
      </w:r>
      <w:r>
        <w:rPr>
          <w:rStyle w:val="af7"/>
          <w:rFonts w:eastAsia="Guttman Hodes" w:hint="cs"/>
          <w:rtl/>
        </w:rPr>
        <w:t xml:space="preserve">ה"נ, </w:t>
      </w:r>
      <w:r w:rsidR="00AC7E32">
        <w:rPr>
          <w:rStyle w:val="af7"/>
          <w:rFonts w:eastAsia="Guttman Hodes" w:hint="cs"/>
          <w:rtl/>
        </w:rPr>
        <w:t>הובא בסימן</w:t>
      </w:r>
      <w:r>
        <w:rPr>
          <w:rStyle w:val="af7"/>
          <w:rFonts w:eastAsia="Guttman Hodes" w:hint="cs"/>
          <w:rtl/>
        </w:rPr>
        <w:t xml:space="preserve"> ה' </w:t>
      </w:r>
      <w:r w:rsidRPr="00C24D6D">
        <w:rPr>
          <w:rStyle w:val="af7"/>
          <w:rFonts w:eastAsia="Guttman Hodes" w:hint="cs"/>
          <w:rtl/>
        </w:rPr>
        <w:t>אות</w:t>
      </w:r>
      <w:r>
        <w:rPr>
          <w:rStyle w:val="af7"/>
          <w:rFonts w:eastAsia="Guttman Hodes" w:hint="cs"/>
          <w:rtl/>
        </w:rPr>
        <w:t xml:space="preserve"> לא)</w:t>
      </w:r>
      <w:r>
        <w:rPr>
          <w:rFonts w:hint="cs"/>
          <w:rtl/>
        </w:rPr>
        <w:t xml:space="preserve"> הקשה את קושית </w:t>
      </w:r>
      <w:r w:rsidRPr="004B4418">
        <w:rPr>
          <w:rStyle w:val="af9"/>
          <w:rFonts w:hint="cs"/>
          <w:rtl/>
        </w:rPr>
        <w:t>התוס'</w:t>
      </w:r>
      <w:r>
        <w:rPr>
          <w:rFonts w:hint="cs"/>
          <w:rtl/>
        </w:rPr>
        <w:t xml:space="preserve"> דאמאי אין בסכין תרתי לריעותא, ותירץ </w:t>
      </w:r>
      <w:r w:rsidRPr="000D4FBB">
        <w:rPr>
          <w:rStyle w:val="af9"/>
          <w:rFonts w:hint="cs"/>
          <w:rtl/>
        </w:rPr>
        <w:t>הרשב"א</w:t>
      </w:r>
      <w:r>
        <w:rPr>
          <w:rStyle w:val="af7"/>
          <w:rFonts w:eastAsia="Guttman Hodes" w:hint="cs"/>
          <w:rtl/>
        </w:rPr>
        <w:t xml:space="preserve"> </w:t>
      </w:r>
      <w:r>
        <w:rPr>
          <w:rFonts w:hint="cs"/>
          <w:rtl/>
        </w:rPr>
        <w:t xml:space="preserve">דעצם ודאי פוגם, והוסיף </w:t>
      </w:r>
      <w:r w:rsidRPr="00D063C0">
        <w:rPr>
          <w:rStyle w:val="af9"/>
          <w:rFonts w:hint="cs"/>
          <w:rtl/>
        </w:rPr>
        <w:t>הרשב"א</w:t>
      </w:r>
      <w:r>
        <w:rPr>
          <w:rFonts w:hint="cs"/>
          <w:rtl/>
        </w:rPr>
        <w:t xml:space="preserve"> דאף לרב חסדא שמכשיר גם בלא שיבר בה עצמות, הוא כיון דתלינן במפרקת יותר מבעור, משא"כ במקוה דאין במה לתלות</w:t>
      </w:r>
      <w:r>
        <w:rPr>
          <w:rStyle w:val="af1"/>
          <w:rtl/>
        </w:rPr>
        <w:footnoteReference w:id="37"/>
      </w:r>
      <w:r>
        <w:rPr>
          <w:rFonts w:hint="cs"/>
          <w:rtl/>
        </w:rPr>
        <w:t xml:space="preserve">, והקשה </w:t>
      </w:r>
      <w:r w:rsidRPr="00D063C0">
        <w:rPr>
          <w:rStyle w:val="af9"/>
          <w:rFonts w:hint="cs"/>
          <w:rtl/>
        </w:rPr>
        <w:t>האבהא"ז</w:t>
      </w:r>
      <w:r>
        <w:rPr>
          <w:rFonts w:hint="cs"/>
          <w:rtl/>
        </w:rPr>
        <w:t xml:space="preserve"> דא"כ אמאי בכמה בהמות תלינן במפרקת האחרונה, </w:t>
      </w:r>
      <w:r w:rsidRPr="00D207C9">
        <w:rPr>
          <w:rStyle w:val="afb"/>
          <w:rFonts w:hint="cs"/>
          <w:rtl/>
        </w:rPr>
        <w:t>[ולא אמרינן דדמי למקוה שאין במה לתלות, כיון שהתליה באחרונה היא כמו בראשונה],</w:t>
      </w:r>
      <w:r>
        <w:rPr>
          <w:rFonts w:hint="cs"/>
          <w:rtl/>
        </w:rPr>
        <w:t xml:space="preserve"> וא"א לומר </w:t>
      </w:r>
      <w:r w:rsidRPr="00D063C0">
        <w:rPr>
          <w:rStyle w:val="af9"/>
          <w:rFonts w:hint="cs"/>
          <w:rtl/>
        </w:rPr>
        <w:t>דהרשב"א</w:t>
      </w:r>
      <w:r>
        <w:rPr>
          <w:rFonts w:hint="cs"/>
          <w:rtl/>
        </w:rPr>
        <w:t xml:space="preserve"> ס"ל כסברת </w:t>
      </w:r>
      <w:r w:rsidRPr="00795EFD">
        <w:rPr>
          <w:rStyle w:val="af9"/>
          <w:rFonts w:hint="cs"/>
          <w:rtl/>
        </w:rPr>
        <w:t xml:space="preserve">התוס' </w:t>
      </w:r>
      <w:r w:rsidRPr="00D34099">
        <w:rPr>
          <w:rStyle w:val="af7"/>
          <w:rFonts w:eastAsia="Guttman Hodes" w:hint="cs"/>
          <w:rtl/>
        </w:rPr>
        <w:t xml:space="preserve">(עי' אות </w:t>
      </w:r>
      <w:r w:rsidRPr="00D34099">
        <w:rPr>
          <w:rStyle w:val="af7"/>
          <w:rFonts w:eastAsia="Guttman Hodes"/>
          <w:rtl/>
        </w:rPr>
        <w:fldChar w:fldCharType="begin"/>
      </w:r>
      <w:r w:rsidRPr="00D34099">
        <w:rPr>
          <w:rStyle w:val="af7"/>
          <w:rFonts w:eastAsia="Guttman Hodes"/>
          <w:rtl/>
        </w:rPr>
        <w:instrText xml:space="preserve"> </w:instrText>
      </w:r>
      <w:r w:rsidRPr="00D34099">
        <w:rPr>
          <w:rStyle w:val="af7"/>
          <w:rFonts w:eastAsia="Guttman Hodes" w:hint="cs"/>
        </w:rPr>
        <w:instrText>REF</w:instrText>
      </w:r>
      <w:r w:rsidRPr="00D34099">
        <w:rPr>
          <w:rStyle w:val="af7"/>
          <w:rFonts w:eastAsia="Guttman Hodes" w:hint="cs"/>
          <w:rtl/>
        </w:rPr>
        <w:instrText xml:space="preserve"> _</w:instrText>
      </w:r>
      <w:r w:rsidRPr="00D34099">
        <w:rPr>
          <w:rStyle w:val="af7"/>
          <w:rFonts w:eastAsia="Guttman Hodes" w:hint="cs"/>
        </w:rPr>
        <w:instrText>Ref523946730 \r \h</w:instrText>
      </w:r>
      <w:r w:rsidRPr="00D34099">
        <w:rPr>
          <w:rStyle w:val="af7"/>
          <w:rFonts w:eastAsia="Guttman Hodes"/>
          <w:rtl/>
        </w:rPr>
        <w:instrText xml:space="preserve"> </w:instrText>
      </w:r>
      <w:r w:rsidRPr="00D34099">
        <w:rPr>
          <w:rStyle w:val="af7"/>
          <w:rFonts w:eastAsia="Guttman Hodes"/>
          <w:rtl/>
        </w:rPr>
      </w:r>
      <w:r w:rsidRPr="00D34099">
        <w:rPr>
          <w:rStyle w:val="af7"/>
          <w:rFonts w:eastAsia="Guttman Hodes"/>
          <w:rtl/>
        </w:rPr>
        <w:fldChar w:fldCharType="separate"/>
      </w:r>
      <w:r w:rsidR="00345400">
        <w:rPr>
          <w:rStyle w:val="af7"/>
          <w:rFonts w:eastAsia="Guttman Hodes"/>
          <w:cs/>
        </w:rPr>
        <w:t>‎</w:t>
      </w:r>
      <w:r w:rsidR="00345400">
        <w:rPr>
          <w:rStyle w:val="af7"/>
          <w:rFonts w:eastAsia="Guttman Hodes"/>
          <w:rtl/>
        </w:rPr>
        <w:t>לה)</w:t>
      </w:r>
      <w:r w:rsidRPr="00D34099">
        <w:rPr>
          <w:rStyle w:val="af7"/>
          <w:rFonts w:eastAsia="Guttman Hodes"/>
          <w:rtl/>
        </w:rPr>
        <w:fldChar w:fldCharType="end"/>
      </w:r>
      <w:r>
        <w:rPr>
          <w:rFonts w:hint="cs"/>
          <w:rtl/>
        </w:rPr>
        <w:t xml:space="preserve"> דבראשונה נזהר טפי, דהא מוכח מדברי </w:t>
      </w:r>
      <w:r w:rsidRPr="00D063C0">
        <w:rPr>
          <w:rStyle w:val="af9"/>
          <w:rFonts w:hint="cs"/>
          <w:rtl/>
        </w:rPr>
        <w:t>הרשב"א</w:t>
      </w:r>
      <w:r>
        <w:rPr>
          <w:rFonts w:hint="cs"/>
          <w:rtl/>
        </w:rPr>
        <w:t xml:space="preserve"> </w:t>
      </w:r>
      <w:r w:rsidRPr="00385EFB">
        <w:rPr>
          <w:rStyle w:val="af7"/>
          <w:rFonts w:eastAsia="Guttman Hodes" w:hint="cs"/>
          <w:rtl/>
        </w:rPr>
        <w:t xml:space="preserve">(עי' אות </w:t>
      </w:r>
      <w:r w:rsidRPr="00385EFB">
        <w:rPr>
          <w:rStyle w:val="af7"/>
          <w:rFonts w:eastAsia="Guttman Hodes"/>
          <w:rtl/>
        </w:rPr>
        <w:fldChar w:fldCharType="begin"/>
      </w:r>
      <w:r w:rsidRPr="00385EFB">
        <w:rPr>
          <w:rStyle w:val="af7"/>
          <w:rFonts w:eastAsia="Guttman Hodes"/>
          <w:rtl/>
        </w:rPr>
        <w:instrText xml:space="preserve"> </w:instrText>
      </w:r>
      <w:r w:rsidRPr="00385EFB">
        <w:rPr>
          <w:rStyle w:val="af7"/>
          <w:rFonts w:eastAsia="Guttman Hodes" w:hint="cs"/>
        </w:rPr>
        <w:instrText>REF</w:instrText>
      </w:r>
      <w:r w:rsidRPr="00385EFB">
        <w:rPr>
          <w:rStyle w:val="af7"/>
          <w:rFonts w:eastAsia="Guttman Hodes" w:hint="cs"/>
          <w:rtl/>
        </w:rPr>
        <w:instrText xml:space="preserve"> _</w:instrText>
      </w:r>
      <w:r w:rsidRPr="00385EFB">
        <w:rPr>
          <w:rStyle w:val="af7"/>
          <w:rFonts w:eastAsia="Guttman Hodes" w:hint="cs"/>
        </w:rPr>
        <w:instrText>Ref523947737 \r \h</w:instrText>
      </w:r>
      <w:r w:rsidRPr="00385EFB">
        <w:rPr>
          <w:rStyle w:val="af7"/>
          <w:rFonts w:eastAsia="Guttman Hodes"/>
          <w:rtl/>
        </w:rPr>
        <w:instrText xml:space="preserve"> </w:instrText>
      </w:r>
      <w:r w:rsidRPr="00385EFB">
        <w:rPr>
          <w:rStyle w:val="af7"/>
          <w:rFonts w:eastAsia="Guttman Hodes"/>
          <w:rtl/>
        </w:rPr>
      </w:r>
      <w:r w:rsidRPr="00385EFB">
        <w:rPr>
          <w:rStyle w:val="af7"/>
          <w:rFonts w:eastAsia="Guttman Hodes"/>
          <w:rtl/>
        </w:rPr>
        <w:fldChar w:fldCharType="separate"/>
      </w:r>
      <w:r w:rsidR="00345400">
        <w:rPr>
          <w:rStyle w:val="af7"/>
          <w:rFonts w:eastAsia="Guttman Hodes"/>
          <w:cs/>
        </w:rPr>
        <w:t>‎</w:t>
      </w:r>
      <w:r w:rsidR="00345400">
        <w:rPr>
          <w:rStyle w:val="af7"/>
          <w:rFonts w:eastAsia="Guttman Hodes"/>
          <w:rtl/>
        </w:rPr>
        <w:t>קז)</w:t>
      </w:r>
      <w:r w:rsidRPr="00385EFB">
        <w:rPr>
          <w:rStyle w:val="af7"/>
          <w:rFonts w:eastAsia="Guttman Hodes"/>
          <w:rtl/>
        </w:rPr>
        <w:fldChar w:fldCharType="end"/>
      </w:r>
      <w:r>
        <w:rPr>
          <w:rFonts w:hint="cs"/>
          <w:rtl/>
        </w:rPr>
        <w:t xml:space="preserve"> דלא כסברת </w:t>
      </w:r>
      <w:r w:rsidRPr="0011660F">
        <w:rPr>
          <w:rStyle w:val="af9"/>
          <w:rFonts w:hint="cs"/>
          <w:rtl/>
        </w:rPr>
        <w:t>התוס'</w:t>
      </w:r>
      <w:r>
        <w:rPr>
          <w:rFonts w:hint="cs"/>
          <w:rtl/>
        </w:rPr>
        <w:t>.</w:t>
      </w:r>
    </w:p>
    <w:p w14:paraId="38540166" w14:textId="77777777" w:rsidR="00045367" w:rsidRDefault="00045367" w:rsidP="00BF39B2">
      <w:pPr>
        <w:pStyle w:val="1"/>
        <w:rPr>
          <w:rtl/>
        </w:rPr>
      </w:pPr>
      <w:bookmarkStart w:id="6421" w:name="_Toc524638753"/>
      <w:bookmarkStart w:id="6422" w:name="_Toc525594414"/>
      <w:bookmarkStart w:id="6423" w:name="_Toc526249293"/>
      <w:bookmarkStart w:id="6424" w:name="_Toc526504166"/>
      <w:bookmarkStart w:id="6425" w:name="_Toc526853064"/>
      <w:bookmarkStart w:id="6426" w:name="_Toc526889974"/>
      <w:bookmarkStart w:id="6427" w:name="_Toc527108498"/>
      <w:bookmarkStart w:id="6428" w:name="_Toc19389784"/>
      <w:bookmarkStart w:id="6429" w:name="_Toc19393281"/>
      <w:r>
        <w:rPr>
          <w:rFonts w:hint="cs"/>
          <w:rtl/>
        </w:rPr>
        <w:t>ביאור האבהא"ז דלהראב"ד בכל שחיטה בטלה חזקת הסכין</w:t>
      </w:r>
      <w:bookmarkEnd w:id="6421"/>
      <w:bookmarkEnd w:id="6422"/>
      <w:bookmarkEnd w:id="6423"/>
      <w:bookmarkEnd w:id="6424"/>
      <w:bookmarkEnd w:id="6425"/>
      <w:bookmarkEnd w:id="6426"/>
      <w:bookmarkEnd w:id="6427"/>
      <w:bookmarkEnd w:id="6428"/>
      <w:bookmarkEnd w:id="6429"/>
    </w:p>
    <w:p w14:paraId="09C68046" w14:textId="77777777" w:rsidR="00045367" w:rsidRPr="00D47B56" w:rsidRDefault="00045367" w:rsidP="006D6D32">
      <w:pPr>
        <w:pStyle w:val="a3"/>
        <w:rPr>
          <w:rtl/>
        </w:rPr>
      </w:pPr>
      <w:bookmarkStart w:id="6430" w:name="_Toc527108499"/>
      <w:bookmarkStart w:id="6431" w:name="_Toc19389785"/>
      <w:bookmarkStart w:id="6432" w:name="_Toc19393282"/>
      <w:r>
        <w:rPr>
          <w:rFonts w:hint="cs"/>
          <w:rtl/>
        </w:rPr>
        <w:t>ביאור האבאה"ז דלדעת הראב"ד טעמא דרב חסדא דהמפרקת ודאי פוגמת</w:t>
      </w:r>
      <w:bookmarkEnd w:id="6430"/>
      <w:bookmarkEnd w:id="6431"/>
      <w:bookmarkEnd w:id="6432"/>
    </w:p>
    <w:p w14:paraId="1F33A538" w14:textId="77777777" w:rsidR="00045367" w:rsidRPr="00EE68CC" w:rsidRDefault="00045367" w:rsidP="00223668">
      <w:pPr>
        <w:pStyle w:val="a0"/>
        <w:rPr>
          <w:rtl/>
        </w:rPr>
      </w:pPr>
      <w:r>
        <w:rPr>
          <w:rFonts w:hint="cs"/>
          <w:rtl/>
        </w:rPr>
        <w:t xml:space="preserve">וכתב </w:t>
      </w:r>
      <w:r w:rsidRPr="00DF5208">
        <w:rPr>
          <w:rStyle w:val="af9"/>
          <w:rFonts w:hint="cs"/>
          <w:rtl/>
        </w:rPr>
        <w:t>האבאה"ז</w:t>
      </w:r>
      <w:r>
        <w:rPr>
          <w:rFonts w:hint="cs"/>
          <w:rtl/>
        </w:rPr>
        <w:t xml:space="preserve"> </w:t>
      </w:r>
      <w:r w:rsidRPr="0070534C">
        <w:rPr>
          <w:rStyle w:val="af7"/>
          <w:rFonts w:eastAsia="Guttman Hodes" w:hint="cs"/>
          <w:rtl/>
        </w:rPr>
        <w:t>(שחיטה א' כ"ד ד"ה ובעיקר)</w:t>
      </w:r>
      <w:r w:rsidRPr="005B0C81">
        <w:rPr>
          <w:rFonts w:hint="cs"/>
          <w:rtl/>
        </w:rPr>
        <w:t xml:space="preserve"> </w:t>
      </w:r>
      <w:r w:rsidRPr="005B0C81">
        <w:rPr>
          <w:rStyle w:val="af9"/>
          <w:rFonts w:hint="cs"/>
          <w:rtl/>
        </w:rPr>
        <w:t>דהראב"ד</w:t>
      </w:r>
      <w:r w:rsidRPr="005B0C81">
        <w:rPr>
          <w:rFonts w:hint="cs"/>
          <w:rtl/>
        </w:rPr>
        <w:t xml:space="preserve"> ביאר </w:t>
      </w:r>
      <w:r>
        <w:rPr>
          <w:rFonts w:hint="cs"/>
          <w:rtl/>
        </w:rPr>
        <w:t>דטעם ההיתר ל</w:t>
      </w:r>
      <w:r w:rsidRPr="005B0C81">
        <w:rPr>
          <w:rFonts w:hint="cs"/>
          <w:rtl/>
        </w:rPr>
        <w:t>רב חסדא</w:t>
      </w:r>
      <w:r>
        <w:rPr>
          <w:rFonts w:hint="cs"/>
          <w:rtl/>
        </w:rPr>
        <w:t xml:space="preserve"> הוא כיון</w:t>
      </w:r>
      <w:r w:rsidRPr="005B0C81">
        <w:rPr>
          <w:rFonts w:hint="cs"/>
          <w:rtl/>
        </w:rPr>
        <w:t xml:space="preserve"> דעצם ודאי פוגם, </w:t>
      </w:r>
      <w:r>
        <w:rPr>
          <w:rStyle w:val="a8"/>
          <w:rFonts w:hint="cs"/>
          <w:rtl/>
        </w:rPr>
        <w:t>וכיון דהסכין עומד להפגם ע"י המפרקת, א"כ א"א לומר את סברת הל"ב דתלינן במפרקת האחרונה, דהא אמרינן שכבר נפגם הסכין במפרקת הראשונה, ולפי"ז בלא שיבר בה עצמות התיר רב חסדא כיון שהמפרקת פוגמת ומצוי שנוגע במפרקת.</w:t>
      </w:r>
    </w:p>
    <w:p w14:paraId="1B561A21" w14:textId="77777777" w:rsidR="00045367" w:rsidRPr="007A7BCC" w:rsidRDefault="00045367" w:rsidP="006D6D32">
      <w:pPr>
        <w:pStyle w:val="a3"/>
        <w:rPr>
          <w:rtl/>
        </w:rPr>
      </w:pPr>
      <w:bookmarkStart w:id="6433" w:name="_Toc527108500"/>
      <w:bookmarkStart w:id="6434" w:name="_Toc19389786"/>
      <w:bookmarkStart w:id="6435" w:name="_Toc19393283"/>
      <w:r>
        <w:rPr>
          <w:rFonts w:hint="cs"/>
          <w:rtl/>
        </w:rPr>
        <w:t>דברי האבאה"ז דלראב"ד בכל שחיטה עומד הסכין להפגם וא"א לתלות במפרקת האחרונה כל"ב</w:t>
      </w:r>
      <w:bookmarkEnd w:id="6433"/>
      <w:bookmarkEnd w:id="6434"/>
      <w:bookmarkEnd w:id="6435"/>
    </w:p>
    <w:p w14:paraId="51353416" w14:textId="77777777" w:rsidR="00045367" w:rsidRDefault="00045367" w:rsidP="00223668">
      <w:pPr>
        <w:pStyle w:val="a0"/>
        <w:rPr>
          <w:rtl/>
        </w:rPr>
      </w:pPr>
      <w:r>
        <w:rPr>
          <w:rFonts w:hint="cs"/>
          <w:rtl/>
        </w:rPr>
        <w:t xml:space="preserve">וכתב </w:t>
      </w:r>
      <w:r w:rsidRPr="007A7BCC">
        <w:rPr>
          <w:rStyle w:val="af9"/>
          <w:rFonts w:hint="cs"/>
          <w:rtl/>
        </w:rPr>
        <w:t xml:space="preserve">האבאה"ז </w:t>
      </w:r>
      <w:r>
        <w:rPr>
          <w:rFonts w:hint="cs"/>
          <w:rtl/>
        </w:rPr>
        <w:t xml:space="preserve">דלפי"ז בכל שחיטה חשיב הסכין כעומד להפגם, ופשיטא דנעשה אינו בדוק ע"י השחיטה, דדינו כסכין שמשתמש בו לדברים אחרים ולא רק לשחיטה, דהוא מצוי להפגם, וכתב </w:t>
      </w:r>
      <w:r w:rsidRPr="007A7BCC">
        <w:rPr>
          <w:rStyle w:val="af9"/>
          <w:rFonts w:hint="cs"/>
          <w:rtl/>
        </w:rPr>
        <w:t>האבאה"ז</w:t>
      </w:r>
      <w:r>
        <w:rPr>
          <w:rFonts w:hint="cs"/>
          <w:rtl/>
        </w:rPr>
        <w:t xml:space="preserve"> דא"כ מבוארים דברי </w:t>
      </w:r>
      <w:r w:rsidRPr="007A7BCC">
        <w:rPr>
          <w:rStyle w:val="af9"/>
          <w:rFonts w:hint="cs"/>
          <w:rtl/>
        </w:rPr>
        <w:t>הראב"ד</w:t>
      </w:r>
      <w:r>
        <w:rPr>
          <w:rFonts w:hint="cs"/>
          <w:rtl/>
        </w:rPr>
        <w:t xml:space="preserve"> דכתב דלסברת הלישנא קמא דהבדיקה היא בכדי להכשיר את האחרונות, א"א לומר את סברת הלישנא בתרא דכשתולים במפרקת אפשר לתלות באחרונה, דלדעת הלישנא קמא תלינן בראשונה מחמת דעצם ודאי פוגם, וא"א לומר דאף דנפגם במפרקת נתלה שנפגם רק באחרונה, דהא הראשונה ודאי פוגמת, ואחר הראשונה יצא הסכין מחזקת בדוק,</w:t>
      </w:r>
      <w:r w:rsidRPr="004B20DC">
        <w:rPr>
          <w:rFonts w:hint="cs"/>
          <w:rtl/>
        </w:rPr>
        <w:t xml:space="preserve"> </w:t>
      </w:r>
      <w:r>
        <w:rPr>
          <w:rFonts w:hint="cs"/>
          <w:rtl/>
        </w:rPr>
        <w:t>ולכן האחרונות אסורות והראשונה מותרת.</w:t>
      </w:r>
    </w:p>
    <w:p w14:paraId="011C1081" w14:textId="77777777" w:rsidR="00045367" w:rsidRDefault="00045367" w:rsidP="006D6D32">
      <w:pPr>
        <w:pStyle w:val="a3"/>
        <w:rPr>
          <w:rtl/>
        </w:rPr>
      </w:pPr>
      <w:bookmarkStart w:id="6436" w:name="_Toc527108501"/>
      <w:bookmarkStart w:id="6437" w:name="_Toc19389787"/>
      <w:bookmarkStart w:id="6438" w:name="_Toc19393284"/>
      <w:r>
        <w:rPr>
          <w:rFonts w:hint="cs"/>
          <w:rtl/>
        </w:rPr>
        <w:t>דברי האבאה"ז דלדעת הראב"ד החילוק ממקוה הוא דהעצם ודאי פוגם ולא חיישינן לעור כלל</w:t>
      </w:r>
      <w:bookmarkEnd w:id="6436"/>
      <w:bookmarkEnd w:id="6437"/>
      <w:bookmarkEnd w:id="6438"/>
    </w:p>
    <w:p w14:paraId="2CB1D68B" w14:textId="77777777" w:rsidR="00045367" w:rsidRPr="00105470" w:rsidRDefault="00045367" w:rsidP="00223668">
      <w:pPr>
        <w:pStyle w:val="a0"/>
        <w:rPr>
          <w:rtl/>
        </w:rPr>
      </w:pPr>
      <w:r>
        <w:rPr>
          <w:rFonts w:hint="cs"/>
          <w:rtl/>
        </w:rPr>
        <w:t xml:space="preserve">וכתב </w:t>
      </w:r>
      <w:r w:rsidRPr="007A7BCC">
        <w:rPr>
          <w:rStyle w:val="af9"/>
          <w:rFonts w:hint="cs"/>
          <w:rtl/>
        </w:rPr>
        <w:t>האבהא"ז</w:t>
      </w:r>
      <w:r>
        <w:rPr>
          <w:rFonts w:hint="cs"/>
          <w:rtl/>
        </w:rPr>
        <w:t xml:space="preserve"> דלפי"ז מבואר דלדעת </w:t>
      </w:r>
      <w:r w:rsidRPr="007A7BCC">
        <w:rPr>
          <w:rStyle w:val="af9"/>
          <w:rFonts w:hint="cs"/>
          <w:rtl/>
        </w:rPr>
        <w:t>הראב"ד</w:t>
      </w:r>
      <w:r>
        <w:rPr>
          <w:rFonts w:hint="cs"/>
          <w:rtl/>
        </w:rPr>
        <w:t xml:space="preserve"> התירוץ על קושית </w:t>
      </w:r>
      <w:r w:rsidRPr="007A7BCC">
        <w:rPr>
          <w:rStyle w:val="af9"/>
          <w:rFonts w:hint="cs"/>
          <w:rtl/>
        </w:rPr>
        <w:t>התוס'</w:t>
      </w:r>
      <w:r>
        <w:rPr>
          <w:rFonts w:hint="cs"/>
          <w:rtl/>
        </w:rPr>
        <w:t xml:space="preserve"> לעיל </w:t>
      </w:r>
      <w:r w:rsidRPr="00043480">
        <w:rPr>
          <w:rStyle w:val="af7"/>
          <w:rFonts w:eastAsia="Guttman Hodes" w:hint="cs"/>
          <w:rtl/>
        </w:rPr>
        <w:t>(</w:t>
      </w:r>
      <w:r>
        <w:rPr>
          <w:rStyle w:val="af7"/>
          <w:rFonts w:eastAsia="Guttman Hodes" w:hint="cs"/>
          <w:rtl/>
        </w:rPr>
        <w:t xml:space="preserve">י. </w:t>
      </w:r>
      <w:r w:rsidRPr="00043480">
        <w:rPr>
          <w:rStyle w:val="af7"/>
          <w:rFonts w:eastAsia="Guttman Hodes" w:hint="cs"/>
          <w:rtl/>
        </w:rPr>
        <w:t xml:space="preserve">ד"ה </w:t>
      </w:r>
      <w:r>
        <w:rPr>
          <w:rStyle w:val="af7"/>
          <w:rFonts w:eastAsia="Guttman Hodes" w:hint="cs"/>
          <w:rtl/>
        </w:rPr>
        <w:t xml:space="preserve">סכין, </w:t>
      </w:r>
      <w:r w:rsidR="00AC7E32">
        <w:rPr>
          <w:rStyle w:val="af7"/>
          <w:rFonts w:eastAsia="Guttman Hodes" w:hint="cs"/>
          <w:rtl/>
        </w:rPr>
        <w:t>הובא בסימן</w:t>
      </w:r>
      <w:r>
        <w:rPr>
          <w:rStyle w:val="af7"/>
          <w:rFonts w:eastAsia="Guttman Hodes" w:hint="cs"/>
          <w:rtl/>
        </w:rPr>
        <w:t xml:space="preserve"> ה' </w:t>
      </w:r>
      <w:r w:rsidRPr="00C24D6D">
        <w:rPr>
          <w:rStyle w:val="af7"/>
          <w:rFonts w:eastAsia="Guttman Hodes" w:hint="cs"/>
          <w:rtl/>
        </w:rPr>
        <w:t>אות</w:t>
      </w:r>
      <w:r>
        <w:rPr>
          <w:rStyle w:val="af7"/>
          <w:rFonts w:eastAsia="Guttman Hodes" w:hint="cs"/>
          <w:rtl/>
        </w:rPr>
        <w:t xml:space="preserve"> יז)</w:t>
      </w:r>
      <w:r>
        <w:rPr>
          <w:rFonts w:hint="cs"/>
          <w:rtl/>
        </w:rPr>
        <w:t xml:space="preserve"> דאמאי לא אסר רב חסדא מדין תרתי לריעותא כמו במקוה שנמצא חסר, אינו מחמת דבסכין לא שייכא סברת חסר ואתאי </w:t>
      </w:r>
      <w:r w:rsidRPr="007A7BCC">
        <w:rPr>
          <w:rStyle w:val="afb"/>
          <w:rFonts w:hint="cs"/>
          <w:rtl/>
        </w:rPr>
        <w:t>[</w:t>
      </w:r>
      <w:r w:rsidRPr="007A7BCC">
        <w:rPr>
          <w:rStyle w:val="affa"/>
          <w:rFonts w:hint="cs"/>
          <w:rtl/>
        </w:rPr>
        <w:t>כתירוץ הראשון בתוס'</w:t>
      </w:r>
      <w:r w:rsidRPr="007A7BCC">
        <w:rPr>
          <w:rStyle w:val="afb"/>
          <w:rFonts w:hint="cs"/>
          <w:rtl/>
        </w:rPr>
        <w:t>]</w:t>
      </w:r>
      <w:r>
        <w:rPr>
          <w:rFonts w:hint="cs"/>
          <w:rtl/>
        </w:rPr>
        <w:t>, אלא כיון שהמפרקת ודאי פוגמת, לכן לא חיישינן שהעור פגם,</w:t>
      </w:r>
      <w:r w:rsidRPr="002362D6">
        <w:rPr>
          <w:rStyle w:val="afb"/>
          <w:rFonts w:hint="cs"/>
          <w:rtl/>
        </w:rPr>
        <w:t xml:space="preserve"> </w:t>
      </w:r>
      <w:r w:rsidRPr="003B70B5">
        <w:rPr>
          <w:rStyle w:val="afb"/>
          <w:rFonts w:hint="cs"/>
          <w:rtl/>
        </w:rPr>
        <w:t>[ומה שהסכין פגום אינו ריעותא כלל</w:t>
      </w:r>
      <w:r>
        <w:rPr>
          <w:rStyle w:val="afb"/>
          <w:rFonts w:hint="cs"/>
          <w:rtl/>
        </w:rPr>
        <w:t xml:space="preserve">, ולא שייך בזה תרתי </w:t>
      </w:r>
      <w:r w:rsidRPr="00105470">
        <w:rPr>
          <w:rStyle w:val="afb"/>
          <w:rFonts w:hint="cs"/>
          <w:rtl/>
        </w:rPr>
        <w:t>לריעותא],</w:t>
      </w:r>
      <w:r w:rsidRPr="00105470">
        <w:rPr>
          <w:rFonts w:hint="cs"/>
          <w:rtl/>
        </w:rPr>
        <w:t xml:space="preserve"> אמנם יעויי"ש בהערה במ"ש </w:t>
      </w:r>
      <w:r w:rsidRPr="00105470">
        <w:rPr>
          <w:rStyle w:val="af9"/>
          <w:rFonts w:hint="cs"/>
          <w:rtl/>
        </w:rPr>
        <w:t>האבאה"ז</w:t>
      </w:r>
      <w:r w:rsidRPr="00105470">
        <w:rPr>
          <w:rFonts w:hint="cs"/>
          <w:rtl/>
        </w:rPr>
        <w:t xml:space="preserve"> לדחות ביאור זה</w:t>
      </w:r>
    </w:p>
    <w:p w14:paraId="3D805662" w14:textId="77777777" w:rsidR="00045367" w:rsidRDefault="00045367" w:rsidP="00BF39B2">
      <w:pPr>
        <w:pStyle w:val="1"/>
        <w:rPr>
          <w:rtl/>
        </w:rPr>
      </w:pPr>
      <w:bookmarkStart w:id="6439" w:name="_Toc524638754"/>
      <w:bookmarkStart w:id="6440" w:name="_Toc525594415"/>
      <w:bookmarkStart w:id="6441" w:name="_Toc526249294"/>
      <w:bookmarkStart w:id="6442" w:name="_Toc526504167"/>
      <w:bookmarkStart w:id="6443" w:name="_Toc526853065"/>
      <w:bookmarkStart w:id="6444" w:name="_Toc526889975"/>
      <w:bookmarkStart w:id="6445" w:name="_Toc527108502"/>
      <w:bookmarkStart w:id="6446" w:name="_Toc19389788"/>
      <w:bookmarkStart w:id="6447" w:name="_Toc19393285"/>
      <w:r w:rsidRPr="00105470">
        <w:rPr>
          <w:rFonts w:hint="cs"/>
          <w:rtl/>
        </w:rPr>
        <w:t>ישוב האבאה"ז על קושיות הגרעק"א בדברי הרשב</w:t>
      </w:r>
      <w:r>
        <w:rPr>
          <w:rFonts w:hint="cs"/>
          <w:rtl/>
        </w:rPr>
        <w:t>"א</w:t>
      </w:r>
      <w:bookmarkEnd w:id="6439"/>
      <w:bookmarkEnd w:id="6440"/>
      <w:bookmarkEnd w:id="6441"/>
      <w:bookmarkEnd w:id="6442"/>
      <w:bookmarkEnd w:id="6443"/>
      <w:bookmarkEnd w:id="6444"/>
      <w:bookmarkEnd w:id="6445"/>
      <w:bookmarkEnd w:id="6446"/>
      <w:bookmarkEnd w:id="6447"/>
    </w:p>
    <w:p w14:paraId="7F7EC24E" w14:textId="77777777" w:rsidR="00045367" w:rsidRPr="005021B5" w:rsidRDefault="00045367" w:rsidP="006D6D32">
      <w:pPr>
        <w:pStyle w:val="a3"/>
        <w:rPr>
          <w:rtl/>
        </w:rPr>
      </w:pPr>
      <w:bookmarkStart w:id="6448" w:name="_Toc527108503"/>
      <w:bookmarkStart w:id="6449" w:name="_Toc19389789"/>
      <w:bookmarkStart w:id="6450" w:name="_Toc19393286"/>
      <w:r>
        <w:rPr>
          <w:rFonts w:hint="cs"/>
          <w:rtl/>
        </w:rPr>
        <w:t>דברי האבהא"ז דלדעת הרשב"א דלרב חסדא תלינן באחרונה לא נעשה הסכין כאינו בדוק</w:t>
      </w:r>
      <w:bookmarkEnd w:id="6448"/>
      <w:bookmarkEnd w:id="6449"/>
      <w:bookmarkEnd w:id="6450"/>
    </w:p>
    <w:p w14:paraId="3CF1249F" w14:textId="77777777" w:rsidR="00045367" w:rsidRDefault="00045367" w:rsidP="00223668">
      <w:pPr>
        <w:pStyle w:val="a0"/>
        <w:rPr>
          <w:rtl/>
        </w:rPr>
      </w:pPr>
      <w:bookmarkStart w:id="6451" w:name="_Ref527108128"/>
      <w:r>
        <w:rPr>
          <w:rFonts w:hint="cs"/>
          <w:rtl/>
        </w:rPr>
        <w:t xml:space="preserve">וכתב </w:t>
      </w:r>
      <w:r w:rsidRPr="00295E0D">
        <w:rPr>
          <w:rStyle w:val="af9"/>
          <w:rFonts w:hint="cs"/>
          <w:rtl/>
        </w:rPr>
        <w:t>האבהא"ז</w:t>
      </w:r>
      <w:r>
        <w:rPr>
          <w:rFonts w:hint="cs"/>
          <w:rtl/>
        </w:rPr>
        <w:t xml:space="preserve"> </w:t>
      </w:r>
      <w:r w:rsidRPr="00295E0D">
        <w:rPr>
          <w:rStyle w:val="af7"/>
          <w:rFonts w:eastAsia="Guttman Hodes" w:hint="cs"/>
          <w:rtl/>
        </w:rPr>
        <w:t>(שחיטה א' כ"ד ד"ה אכן)</w:t>
      </w:r>
      <w:r>
        <w:rPr>
          <w:rFonts w:hint="cs"/>
          <w:rtl/>
        </w:rPr>
        <w:t xml:space="preserve"> דכל ביאור זה שייך רק לדעת </w:t>
      </w:r>
      <w:r w:rsidRPr="00295E0D">
        <w:rPr>
          <w:rStyle w:val="af9"/>
          <w:rFonts w:hint="cs"/>
          <w:rtl/>
        </w:rPr>
        <w:t>הראב"ד</w:t>
      </w:r>
      <w:r>
        <w:rPr>
          <w:rFonts w:hint="cs"/>
          <w:rtl/>
        </w:rPr>
        <w:t xml:space="preserve"> דביאר דעצם ודאי פוגם היינו כפשוטו, דבכל שחיטה אמרינן דמצוי שיגע בעצם </w:t>
      </w:r>
      <w:r w:rsidRPr="007F7CCE">
        <w:rPr>
          <w:rFonts w:hint="cs"/>
          <w:rtl/>
        </w:rPr>
        <w:t xml:space="preserve">והוא ודאי פוגם, ועי"ז יצא הסכין מחזקתו, אבל לדעת </w:t>
      </w:r>
      <w:r w:rsidRPr="007F7CCE">
        <w:rPr>
          <w:rStyle w:val="af9"/>
          <w:rFonts w:hint="cs"/>
          <w:rtl/>
        </w:rPr>
        <w:t>הרשב"א</w:t>
      </w:r>
      <w:r w:rsidRPr="007F7CCE">
        <w:rPr>
          <w:rFonts w:hint="cs"/>
          <w:rtl/>
        </w:rPr>
        <w:t xml:space="preserve"> </w:t>
      </w:r>
      <w:r w:rsidRPr="007F7CCE">
        <w:rPr>
          <w:rStyle w:val="af7"/>
          <w:rFonts w:eastAsia="Guttman Hodes" w:hint="cs"/>
          <w:rtl/>
        </w:rPr>
        <w:t xml:space="preserve">(עי' אות </w:t>
      </w:r>
      <w:r w:rsidRPr="007F7CCE">
        <w:rPr>
          <w:rStyle w:val="af7"/>
          <w:rFonts w:eastAsia="Guttman Hodes"/>
          <w:rtl/>
        </w:rPr>
        <w:fldChar w:fldCharType="begin"/>
      </w:r>
      <w:r w:rsidRPr="007F7CCE">
        <w:rPr>
          <w:rStyle w:val="af7"/>
          <w:rFonts w:eastAsia="Guttman Hodes"/>
          <w:rtl/>
        </w:rPr>
        <w:instrText xml:space="preserve"> </w:instrText>
      </w:r>
      <w:r w:rsidRPr="007F7CCE">
        <w:rPr>
          <w:rStyle w:val="af7"/>
          <w:rFonts w:eastAsia="Guttman Hodes" w:hint="cs"/>
        </w:rPr>
        <w:instrText>REF</w:instrText>
      </w:r>
      <w:r w:rsidRPr="007F7CCE">
        <w:rPr>
          <w:rStyle w:val="af7"/>
          <w:rFonts w:eastAsia="Guttman Hodes" w:hint="cs"/>
          <w:rtl/>
        </w:rPr>
        <w:instrText xml:space="preserve"> _</w:instrText>
      </w:r>
      <w:r w:rsidRPr="007F7CCE">
        <w:rPr>
          <w:rStyle w:val="af7"/>
          <w:rFonts w:eastAsia="Guttman Hodes" w:hint="cs"/>
        </w:rPr>
        <w:instrText>Ref526973794 \r \h</w:instrText>
      </w:r>
      <w:r w:rsidRPr="007F7CCE">
        <w:rPr>
          <w:rStyle w:val="af7"/>
          <w:rFonts w:eastAsia="Guttman Hodes"/>
          <w:rtl/>
        </w:rPr>
        <w:instrText xml:space="preserve"> </w:instrText>
      </w:r>
      <w:r w:rsidRPr="007F7CCE">
        <w:rPr>
          <w:rStyle w:val="af7"/>
          <w:rFonts w:eastAsia="Guttman Hodes"/>
          <w:rtl/>
        </w:rPr>
      </w:r>
      <w:r w:rsidRPr="007F7CCE">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7F7CCE">
        <w:rPr>
          <w:rStyle w:val="af7"/>
          <w:rFonts w:eastAsia="Guttman Hodes"/>
          <w:rtl/>
        </w:rPr>
        <w:fldChar w:fldCharType="end"/>
      </w:r>
      <w:r w:rsidRPr="007F7CCE">
        <w:rPr>
          <w:rFonts w:hint="cs"/>
          <w:rtl/>
        </w:rPr>
        <w:t xml:space="preserve"> דרב חסדא התיר אף בלא שיבר בה עצמות, מכח סברת הלישנא קמא דאפשר לתלות גם במפרקת האחרונה, ולא רק מסברת עצם</w:t>
      </w:r>
      <w:r>
        <w:rPr>
          <w:rFonts w:hint="cs"/>
          <w:rtl/>
        </w:rPr>
        <w:t xml:space="preserve"> ודאי פוגם, א"כ אמרינן דיותר מצוי שהמפרקת תפגום מאשר העור, אך אין כל ראיה לומר דמחמת החשש שנגע הסכין במפרקת, נעשה הסכין כאינו בדוק.</w:t>
      </w:r>
      <w:bookmarkEnd w:id="6451"/>
    </w:p>
    <w:p w14:paraId="0A16AC06" w14:textId="77777777" w:rsidR="00045367" w:rsidRDefault="00045367" w:rsidP="006D6D32">
      <w:pPr>
        <w:pStyle w:val="a3"/>
        <w:rPr>
          <w:rtl/>
        </w:rPr>
      </w:pPr>
      <w:bookmarkStart w:id="6452" w:name="_Toc527108504"/>
      <w:bookmarkStart w:id="6453" w:name="_Toc19389790"/>
      <w:bookmarkStart w:id="6454" w:name="_Toc19393287"/>
      <w:r>
        <w:rPr>
          <w:rFonts w:hint="cs"/>
          <w:rtl/>
        </w:rPr>
        <w:t>תירוץ האבאה"ז על קושית הגרעק"א דלרשב"א אף לל"ב לא נעשה הסכין כאינו בדוק</w:t>
      </w:r>
      <w:bookmarkEnd w:id="6452"/>
      <w:bookmarkEnd w:id="6453"/>
      <w:bookmarkEnd w:id="6454"/>
    </w:p>
    <w:p w14:paraId="22D227DD" w14:textId="77777777" w:rsidR="00045367" w:rsidRDefault="00045367" w:rsidP="00223668">
      <w:pPr>
        <w:pStyle w:val="a0"/>
        <w:rPr>
          <w:rtl/>
        </w:rPr>
      </w:pPr>
      <w:r>
        <w:rPr>
          <w:rFonts w:hint="cs"/>
          <w:rtl/>
        </w:rPr>
        <w:t xml:space="preserve">וכתב </w:t>
      </w:r>
      <w:r w:rsidRPr="00295E0D">
        <w:rPr>
          <w:rStyle w:val="af9"/>
          <w:rFonts w:hint="cs"/>
          <w:rtl/>
        </w:rPr>
        <w:t>האבאה"ז</w:t>
      </w:r>
      <w:r>
        <w:rPr>
          <w:rFonts w:hint="cs"/>
          <w:rtl/>
        </w:rPr>
        <w:t xml:space="preserve"> דא"כ לדעת </w:t>
      </w:r>
      <w:r w:rsidRPr="00295E0D">
        <w:rPr>
          <w:rStyle w:val="af9"/>
          <w:rFonts w:hint="cs"/>
          <w:rtl/>
        </w:rPr>
        <w:t>הרשב"א</w:t>
      </w:r>
      <w:r>
        <w:rPr>
          <w:rFonts w:hint="cs"/>
          <w:rtl/>
        </w:rPr>
        <w:t xml:space="preserve"> אף ללישנא בתרא דרב כהנא בדק בכדי להתיר את האחרונות, לא מוכח דס"ל דע"י המפרקת של הראשונה נעשה הסכין לאינו בדוק, ומיושבת בזה קושית </w:t>
      </w:r>
      <w:r w:rsidRPr="000F2179">
        <w:rPr>
          <w:rStyle w:val="af9"/>
          <w:rFonts w:hint="cs"/>
          <w:rtl/>
        </w:rPr>
        <w:t>הגרעק"א</w:t>
      </w:r>
      <w:r>
        <w:rPr>
          <w:rFonts w:hint="cs"/>
          <w:rtl/>
        </w:rPr>
        <w:t xml:space="preserve"> </w:t>
      </w:r>
      <w:r w:rsidRPr="00D34099">
        <w:rPr>
          <w:rStyle w:val="af7"/>
          <w:rFonts w:eastAsia="Guttman Hodes" w:hint="cs"/>
          <w:rtl/>
        </w:rPr>
        <w:t xml:space="preserve">(עי' </w:t>
      </w:r>
      <w:r w:rsidRPr="007A0FAA">
        <w:rPr>
          <w:rStyle w:val="af7"/>
          <w:rFonts w:eastAsia="Guttman Hodes" w:hint="cs"/>
          <w:rtl/>
        </w:rPr>
        <w:t xml:space="preserve">אות </w:t>
      </w:r>
      <w:r w:rsidRPr="007A0FAA">
        <w:rPr>
          <w:rStyle w:val="af7"/>
          <w:rFonts w:eastAsia="Guttman Hodes"/>
          <w:rtl/>
        </w:rPr>
        <w:fldChar w:fldCharType="begin"/>
      </w:r>
      <w:r w:rsidRPr="007A0FAA">
        <w:rPr>
          <w:rStyle w:val="af7"/>
          <w:rFonts w:eastAsia="Guttman Hodes"/>
          <w:rtl/>
        </w:rPr>
        <w:instrText xml:space="preserve"> </w:instrText>
      </w:r>
      <w:r w:rsidRPr="007A0FAA">
        <w:rPr>
          <w:rStyle w:val="af7"/>
          <w:rFonts w:eastAsia="Guttman Hodes" w:hint="cs"/>
        </w:rPr>
        <w:instrText>REF</w:instrText>
      </w:r>
      <w:r w:rsidRPr="007A0FAA">
        <w:rPr>
          <w:rStyle w:val="af7"/>
          <w:rFonts w:eastAsia="Guttman Hodes" w:hint="cs"/>
          <w:rtl/>
        </w:rPr>
        <w:instrText xml:space="preserve"> _</w:instrText>
      </w:r>
      <w:r w:rsidRPr="007A0FAA">
        <w:rPr>
          <w:rStyle w:val="af7"/>
          <w:rFonts w:eastAsia="Guttman Hodes" w:hint="cs"/>
        </w:rPr>
        <w:instrText>Ref523946616 \r \h</w:instrText>
      </w:r>
      <w:r w:rsidRPr="007A0FAA">
        <w:rPr>
          <w:rStyle w:val="af7"/>
          <w:rFonts w:eastAsia="Guttman Hodes"/>
          <w:rtl/>
        </w:rPr>
        <w:instrText xml:space="preserve"> </w:instrText>
      </w:r>
      <w:r w:rsidRPr="007A0FAA">
        <w:rPr>
          <w:rStyle w:val="af7"/>
          <w:rFonts w:eastAsia="Guttman Hodes"/>
          <w:rtl/>
        </w:rPr>
      </w:r>
      <w:r w:rsidRPr="007A0FAA">
        <w:rPr>
          <w:rStyle w:val="af7"/>
          <w:rFonts w:eastAsia="Guttman Hodes"/>
          <w:rtl/>
        </w:rPr>
        <w:fldChar w:fldCharType="separate"/>
      </w:r>
      <w:r w:rsidR="00345400">
        <w:rPr>
          <w:rStyle w:val="af7"/>
          <w:rFonts w:eastAsia="Guttman Hodes"/>
          <w:cs/>
        </w:rPr>
        <w:t>‎</w:t>
      </w:r>
      <w:r w:rsidR="00345400">
        <w:rPr>
          <w:rStyle w:val="af7"/>
          <w:rFonts w:eastAsia="Guttman Hodes"/>
          <w:rtl/>
        </w:rPr>
        <w:t>פה)</w:t>
      </w:r>
      <w:r w:rsidRPr="007A0FAA">
        <w:rPr>
          <w:rStyle w:val="af7"/>
          <w:rFonts w:eastAsia="Guttman Hodes"/>
          <w:rtl/>
        </w:rPr>
        <w:fldChar w:fldCharType="end"/>
      </w:r>
      <w:r>
        <w:rPr>
          <w:rFonts w:hint="cs"/>
          <w:rtl/>
        </w:rPr>
        <w:t xml:space="preserve"> על </w:t>
      </w:r>
      <w:r w:rsidRPr="000F2179">
        <w:rPr>
          <w:rStyle w:val="af9"/>
          <w:rFonts w:hint="cs"/>
          <w:rtl/>
        </w:rPr>
        <w:t>הרשב"א</w:t>
      </w:r>
      <w:r>
        <w:rPr>
          <w:rFonts w:hint="cs"/>
          <w:rtl/>
        </w:rPr>
        <w:t xml:space="preserve">, דלדעת </w:t>
      </w:r>
      <w:r w:rsidRPr="000F2179">
        <w:rPr>
          <w:rStyle w:val="af9"/>
          <w:rFonts w:hint="cs"/>
          <w:rtl/>
        </w:rPr>
        <w:t>הרשב"א</w:t>
      </w:r>
      <w:r>
        <w:rPr>
          <w:rFonts w:hint="cs"/>
          <w:rtl/>
        </w:rPr>
        <w:t xml:space="preserve"> באמת לא מוכח בלישנא בתרא דע"י השחיטה הסכין נעשה כאינו בדוק, </w:t>
      </w:r>
      <w:r w:rsidRPr="000F2179">
        <w:rPr>
          <w:rStyle w:val="af9"/>
          <w:rFonts w:hint="cs"/>
          <w:rtl/>
        </w:rPr>
        <w:t>והרשב"א</w:t>
      </w:r>
      <w:r>
        <w:rPr>
          <w:rFonts w:hint="cs"/>
          <w:rtl/>
        </w:rPr>
        <w:t xml:space="preserve"> כתב בסו"ד דפירושו הראשון עיקר, ומבואר דלא ס"ל </w:t>
      </w:r>
      <w:r w:rsidRPr="000F2179">
        <w:rPr>
          <w:rStyle w:val="af9"/>
          <w:rFonts w:hint="cs"/>
          <w:rtl/>
        </w:rPr>
        <w:t>כהראב"ד</w:t>
      </w:r>
      <w:r>
        <w:rPr>
          <w:rFonts w:hint="cs"/>
          <w:rtl/>
        </w:rPr>
        <w:t>, והיינו כיון דלדבריו אין כל ראיה מדברי הלישנא בתרא דהסכין חשיב כאינו בדוק.</w:t>
      </w:r>
    </w:p>
    <w:p w14:paraId="73502046" w14:textId="77777777" w:rsidR="00045367" w:rsidRPr="00045367" w:rsidRDefault="00045367" w:rsidP="006D6D32">
      <w:pPr>
        <w:pStyle w:val="a3"/>
        <w:rPr>
          <w:rtl/>
        </w:rPr>
      </w:pPr>
    </w:p>
    <w:p w14:paraId="63F31936" w14:textId="77777777" w:rsidR="00045367" w:rsidRDefault="00045367" w:rsidP="00BF39B2">
      <w:pPr>
        <w:pStyle w:val="1"/>
        <w:rPr>
          <w:rtl/>
        </w:rPr>
      </w:pPr>
      <w:bookmarkStart w:id="6455" w:name="_Toc524638755"/>
      <w:bookmarkStart w:id="6456" w:name="_Toc525594416"/>
      <w:bookmarkStart w:id="6457" w:name="_Toc526249295"/>
      <w:bookmarkStart w:id="6458" w:name="_Toc526504168"/>
      <w:bookmarkStart w:id="6459" w:name="_Toc526853066"/>
      <w:bookmarkStart w:id="6460" w:name="_Toc526889976"/>
      <w:bookmarkStart w:id="6461" w:name="_Toc527108505"/>
      <w:bookmarkStart w:id="6462" w:name="_Toc19389791"/>
      <w:bookmarkStart w:id="6463" w:name="_Toc19393288"/>
      <w:r>
        <w:rPr>
          <w:rFonts w:hint="cs"/>
          <w:rtl/>
        </w:rPr>
        <w:t>ביאור האבאה"ז בדברי הראב"ד דרב הונא מיקל בכמה בהמות</w:t>
      </w:r>
      <w:bookmarkEnd w:id="6455"/>
      <w:bookmarkEnd w:id="6456"/>
      <w:bookmarkEnd w:id="6457"/>
      <w:bookmarkEnd w:id="6458"/>
      <w:bookmarkEnd w:id="6459"/>
      <w:bookmarkEnd w:id="6460"/>
      <w:bookmarkEnd w:id="6461"/>
      <w:bookmarkEnd w:id="6462"/>
      <w:bookmarkEnd w:id="6463"/>
    </w:p>
    <w:p w14:paraId="001B0928" w14:textId="77777777" w:rsidR="00045367" w:rsidRPr="002A6DEF" w:rsidRDefault="00045367" w:rsidP="006D6D32">
      <w:pPr>
        <w:pStyle w:val="a3"/>
        <w:rPr>
          <w:rtl/>
        </w:rPr>
      </w:pPr>
      <w:bookmarkStart w:id="6464" w:name="_Toc527108506"/>
      <w:bookmarkStart w:id="6465" w:name="_Toc19389792"/>
      <w:bookmarkStart w:id="6466" w:name="_Toc19393289"/>
      <w:r>
        <w:rPr>
          <w:rFonts w:hint="cs"/>
          <w:rtl/>
        </w:rPr>
        <w:t>ביאור האבאה"ז בראב"ד דרב הונא עצמו אינו מיקל בכמה בהמות</w:t>
      </w:r>
      <w:bookmarkEnd w:id="6464"/>
      <w:bookmarkEnd w:id="6465"/>
      <w:bookmarkEnd w:id="6466"/>
    </w:p>
    <w:p w14:paraId="283B0386" w14:textId="77777777" w:rsidR="00045367" w:rsidRDefault="00045367" w:rsidP="00223668">
      <w:pPr>
        <w:pStyle w:val="a0"/>
      </w:pPr>
      <w:bookmarkStart w:id="6467" w:name="_Ref527108068"/>
      <w:r>
        <w:rPr>
          <w:rFonts w:hint="cs"/>
          <w:rtl/>
        </w:rPr>
        <w:t xml:space="preserve">עוד הביא </w:t>
      </w:r>
      <w:r w:rsidRPr="00C67911">
        <w:rPr>
          <w:rStyle w:val="af9"/>
          <w:rFonts w:hint="cs"/>
          <w:rtl/>
        </w:rPr>
        <w:t>האבאה"ז</w:t>
      </w:r>
      <w:r w:rsidRPr="0050744C">
        <w:rPr>
          <w:rStyle w:val="af7"/>
          <w:rFonts w:eastAsia="Guttman Hodes" w:hint="cs"/>
          <w:rtl/>
        </w:rPr>
        <w:t xml:space="preserve"> (שחיטה א' כ"ד ד"ה ומה שהקשה) </w:t>
      </w:r>
      <w:r>
        <w:rPr>
          <w:rFonts w:hint="cs"/>
          <w:rtl/>
        </w:rPr>
        <w:t xml:space="preserve">את קושית </w:t>
      </w:r>
      <w:r w:rsidRPr="00C67911">
        <w:rPr>
          <w:rStyle w:val="af9"/>
          <w:rFonts w:hint="cs"/>
          <w:rtl/>
        </w:rPr>
        <w:t>הגרעק"א</w:t>
      </w:r>
      <w:r>
        <w:rPr>
          <w:rFonts w:hint="cs"/>
          <w:rtl/>
        </w:rPr>
        <w:t xml:space="preserve"> </w:t>
      </w:r>
      <w:r w:rsidRPr="0050744C">
        <w:rPr>
          <w:rStyle w:val="af7"/>
          <w:rFonts w:eastAsia="Guttman Hodes" w:hint="cs"/>
          <w:rtl/>
        </w:rPr>
        <w:t xml:space="preserve">(עי' אות </w:t>
      </w:r>
      <w:r w:rsidRPr="0050744C">
        <w:rPr>
          <w:rStyle w:val="af7"/>
          <w:rFonts w:eastAsia="Guttman Hodes"/>
          <w:rtl/>
        </w:rPr>
        <w:fldChar w:fldCharType="begin"/>
      </w:r>
      <w:r w:rsidRPr="0050744C">
        <w:rPr>
          <w:rStyle w:val="af7"/>
          <w:rFonts w:eastAsia="Guttman Hodes"/>
          <w:rtl/>
        </w:rPr>
        <w:instrText xml:space="preserve"> </w:instrText>
      </w:r>
      <w:r w:rsidRPr="0050744C">
        <w:rPr>
          <w:rStyle w:val="af7"/>
          <w:rFonts w:eastAsia="Guttman Hodes" w:hint="cs"/>
        </w:rPr>
        <w:instrText>REF</w:instrText>
      </w:r>
      <w:r w:rsidRPr="0050744C">
        <w:rPr>
          <w:rStyle w:val="af7"/>
          <w:rFonts w:eastAsia="Guttman Hodes" w:hint="cs"/>
          <w:rtl/>
        </w:rPr>
        <w:instrText xml:space="preserve"> _</w:instrText>
      </w:r>
      <w:r w:rsidRPr="0050744C">
        <w:rPr>
          <w:rStyle w:val="af7"/>
          <w:rFonts w:eastAsia="Guttman Hodes" w:hint="cs"/>
        </w:rPr>
        <w:instrText>Ref524082548 \r \h</w:instrText>
      </w:r>
      <w:r w:rsidRPr="0050744C">
        <w:rPr>
          <w:rStyle w:val="af7"/>
          <w:rFonts w:eastAsia="Guttman Hodes"/>
          <w:rtl/>
        </w:rPr>
        <w:instrText xml:space="preserve"> </w:instrText>
      </w:r>
      <w:r w:rsidRPr="0050744C">
        <w:rPr>
          <w:rStyle w:val="af7"/>
          <w:rFonts w:eastAsia="Guttman Hodes"/>
          <w:rtl/>
        </w:rPr>
      </w:r>
      <w:r w:rsidRPr="0050744C">
        <w:rPr>
          <w:rStyle w:val="af7"/>
          <w:rFonts w:eastAsia="Guttman Hodes"/>
          <w:rtl/>
        </w:rPr>
        <w:fldChar w:fldCharType="separate"/>
      </w:r>
      <w:r w:rsidR="00345400">
        <w:rPr>
          <w:rStyle w:val="af7"/>
          <w:rFonts w:eastAsia="Guttman Hodes"/>
          <w:cs/>
        </w:rPr>
        <w:t>‎</w:t>
      </w:r>
      <w:r w:rsidR="00345400">
        <w:rPr>
          <w:rStyle w:val="af7"/>
          <w:rFonts w:eastAsia="Guttman Hodes"/>
          <w:rtl/>
        </w:rPr>
        <w:t>פח)</w:t>
      </w:r>
      <w:r w:rsidRPr="0050744C">
        <w:rPr>
          <w:rStyle w:val="af7"/>
          <w:rFonts w:eastAsia="Guttman Hodes"/>
          <w:rtl/>
        </w:rPr>
        <w:fldChar w:fldCharType="end"/>
      </w:r>
      <w:r>
        <w:rPr>
          <w:rFonts w:hint="cs"/>
          <w:rtl/>
        </w:rPr>
        <w:t xml:space="preserve"> על דברי</w:t>
      </w:r>
      <w:r w:rsidRPr="00C67911">
        <w:rPr>
          <w:rStyle w:val="af9"/>
          <w:rFonts w:hint="cs"/>
          <w:rtl/>
        </w:rPr>
        <w:t xml:space="preserve"> הראב"ד </w:t>
      </w:r>
      <w:r>
        <w:rPr>
          <w:rFonts w:hint="cs"/>
          <w:rtl/>
        </w:rPr>
        <w:t xml:space="preserve">דכתב דבכמה בהמות רב הונא מיקל ורב חסדא מחמיר, דלא מצינו שרב הונא מיקל בזה, דאף לרב הונא אפש"ל דהמפרקת ודאי פוגמת, ואפ"ה הוא אוסר בבהמה אחת כמו שאסר בשבירת עצמות, וכתב </w:t>
      </w:r>
      <w:r w:rsidRPr="0050744C">
        <w:rPr>
          <w:rStyle w:val="af9"/>
          <w:rFonts w:hint="cs"/>
          <w:rtl/>
        </w:rPr>
        <w:t>האהבא"ז</w:t>
      </w:r>
      <w:r>
        <w:rPr>
          <w:rFonts w:hint="cs"/>
          <w:rtl/>
        </w:rPr>
        <w:t xml:space="preserve"> דאפש"ל דבאמת אין כוונת </w:t>
      </w:r>
      <w:r w:rsidRPr="00E800F2">
        <w:rPr>
          <w:rStyle w:val="af9"/>
          <w:rFonts w:hint="cs"/>
          <w:rtl/>
        </w:rPr>
        <w:t>הראב"ד</w:t>
      </w:r>
      <w:r>
        <w:rPr>
          <w:rFonts w:hint="cs"/>
          <w:rtl/>
        </w:rPr>
        <w:t xml:space="preserve"> לומר דרב הונא מיקל בכמה בהמות.</w:t>
      </w:r>
      <w:bookmarkEnd w:id="6467"/>
    </w:p>
    <w:p w14:paraId="7B02E3CD" w14:textId="77777777" w:rsidR="00045367" w:rsidRDefault="00045367" w:rsidP="006D6D32">
      <w:pPr>
        <w:pStyle w:val="a3"/>
      </w:pPr>
      <w:bookmarkStart w:id="6468" w:name="_Toc527108507"/>
      <w:bookmarkStart w:id="6469" w:name="_Toc19389793"/>
      <w:bookmarkStart w:id="6470" w:name="_Toc19393290"/>
      <w:r>
        <w:rPr>
          <w:rFonts w:hint="cs"/>
          <w:rtl/>
        </w:rPr>
        <w:t>ביאור האבהא"ז דכוונת הראב"ד לאפוקי מהאוקימתא דרב כהנא כרב הונא</w:t>
      </w:r>
      <w:bookmarkEnd w:id="6468"/>
      <w:bookmarkEnd w:id="6469"/>
      <w:bookmarkEnd w:id="6470"/>
    </w:p>
    <w:p w14:paraId="38EA1992" w14:textId="77777777" w:rsidR="00045367" w:rsidRDefault="00045367" w:rsidP="00223668">
      <w:pPr>
        <w:pStyle w:val="a0"/>
        <w:rPr>
          <w:rtl/>
        </w:rPr>
      </w:pPr>
      <w:r>
        <w:rPr>
          <w:rFonts w:hint="cs"/>
          <w:rtl/>
        </w:rPr>
        <w:t xml:space="preserve">אלא ביאר </w:t>
      </w:r>
      <w:r w:rsidRPr="00C67911">
        <w:rPr>
          <w:rStyle w:val="af9"/>
          <w:rFonts w:hint="cs"/>
          <w:rtl/>
        </w:rPr>
        <w:t>האבאה"ז</w:t>
      </w:r>
      <w:r w:rsidRPr="0050744C">
        <w:rPr>
          <w:rStyle w:val="af7"/>
          <w:rFonts w:eastAsia="Guttman Hodes" w:hint="cs"/>
          <w:rtl/>
        </w:rPr>
        <w:t xml:space="preserve"> </w:t>
      </w:r>
      <w:r>
        <w:rPr>
          <w:rFonts w:hint="cs"/>
          <w:rtl/>
        </w:rPr>
        <w:t xml:space="preserve">דכוונת </w:t>
      </w:r>
      <w:r w:rsidRPr="0050744C">
        <w:rPr>
          <w:rStyle w:val="af9"/>
          <w:rFonts w:hint="cs"/>
          <w:rtl/>
        </w:rPr>
        <w:t>הראב"ד</w:t>
      </w:r>
      <w:r>
        <w:rPr>
          <w:rFonts w:hint="cs"/>
          <w:rtl/>
        </w:rPr>
        <w:t xml:space="preserve"> לומר דהסברא שע"י השחיטה נחשב הסכין כאינו בדוק, היא כסברת הלישנא בתרא דרב כהנא כרב חסדא, ואילו לרב הונא א"א לומר דמחמת סברא זו הצריך רב כהנא בדיקה בין שחיטה לשחיטה, </w:t>
      </w:r>
      <w:r w:rsidRPr="0050744C">
        <w:rPr>
          <w:rStyle w:val="afb"/>
          <w:rFonts w:hint="cs"/>
          <w:rtl/>
        </w:rPr>
        <w:t>[אלא לאכשורי קמייתא כסברת הלישנא קמא]</w:t>
      </w:r>
      <w:r>
        <w:rPr>
          <w:rStyle w:val="afb"/>
          <w:rFonts w:hint="cs"/>
          <w:rtl/>
        </w:rPr>
        <w:t>,</w:t>
      </w:r>
      <w:r w:rsidRPr="0050744C">
        <w:rPr>
          <w:rStyle w:val="afb"/>
          <w:rFonts w:hint="cs"/>
          <w:rtl/>
        </w:rPr>
        <w:t xml:space="preserve"> </w:t>
      </w:r>
      <w:r>
        <w:rPr>
          <w:rFonts w:hint="cs"/>
          <w:rtl/>
        </w:rPr>
        <w:t xml:space="preserve">ולכן כתב </w:t>
      </w:r>
      <w:r w:rsidRPr="0050744C">
        <w:rPr>
          <w:rStyle w:val="af9"/>
          <w:rFonts w:hint="cs"/>
          <w:rtl/>
        </w:rPr>
        <w:t>הראב"ד</w:t>
      </w:r>
      <w:r>
        <w:rPr>
          <w:rFonts w:hint="cs"/>
          <w:rtl/>
        </w:rPr>
        <w:t xml:space="preserve"> דקיי"ל בכמה בהמות לחומרא כלישנא בתרא כרב חסדא, ולא כאוקימתא דרב כהנא כרב הונא, דלל"ק אין את החומרא הזו, עיי"ש בדברי </w:t>
      </w:r>
      <w:r w:rsidRPr="00C67911">
        <w:rPr>
          <w:rStyle w:val="af9"/>
          <w:rFonts w:hint="cs"/>
          <w:rtl/>
        </w:rPr>
        <w:t>האבאה"ז</w:t>
      </w:r>
      <w:r>
        <w:rPr>
          <w:rFonts w:hint="cs"/>
          <w:rtl/>
        </w:rPr>
        <w:t>.</w:t>
      </w:r>
    </w:p>
    <w:p w14:paraId="07E3D7AD" w14:textId="77777777" w:rsidR="00045367" w:rsidRDefault="00045367" w:rsidP="006D6D32">
      <w:pPr>
        <w:pStyle w:val="a3"/>
        <w:rPr>
          <w:rtl/>
        </w:rPr>
      </w:pPr>
      <w:bookmarkStart w:id="6471" w:name="_Toc527108508"/>
      <w:bookmarkStart w:id="6472" w:name="_Toc19389794"/>
      <w:bookmarkStart w:id="6473" w:name="_Toc19393291"/>
      <w:r>
        <w:rPr>
          <w:rFonts w:hint="cs"/>
          <w:rtl/>
        </w:rPr>
        <w:t>ביאור האבאה"ז דכוונת הראב"ד דלדידן אליבא דרב הונא יש קולא</w:t>
      </w:r>
      <w:bookmarkEnd w:id="6471"/>
      <w:bookmarkEnd w:id="6472"/>
      <w:bookmarkEnd w:id="6473"/>
    </w:p>
    <w:p w14:paraId="4AD5AEF6" w14:textId="77777777" w:rsidR="00045367" w:rsidRDefault="00045367" w:rsidP="00223668">
      <w:pPr>
        <w:pStyle w:val="a0"/>
        <w:rPr>
          <w:rtl/>
        </w:rPr>
      </w:pPr>
      <w:r>
        <w:rPr>
          <w:rFonts w:hint="cs"/>
          <w:rtl/>
        </w:rPr>
        <w:t xml:space="preserve">אך כתב </w:t>
      </w:r>
      <w:r w:rsidRPr="001B41C6">
        <w:rPr>
          <w:rStyle w:val="af9"/>
          <w:rFonts w:hint="cs"/>
          <w:rtl/>
        </w:rPr>
        <w:t>האבאה"ז</w:t>
      </w:r>
      <w:r>
        <w:rPr>
          <w:rFonts w:hint="cs"/>
          <w:rtl/>
        </w:rPr>
        <w:t xml:space="preserve"> דאפש"ל דכוונת </w:t>
      </w:r>
      <w:r w:rsidRPr="001B41C6">
        <w:rPr>
          <w:rStyle w:val="af9"/>
          <w:rFonts w:hint="cs"/>
          <w:rtl/>
        </w:rPr>
        <w:t>הראב"ד</w:t>
      </w:r>
      <w:r>
        <w:rPr>
          <w:rFonts w:hint="cs"/>
          <w:rtl/>
        </w:rPr>
        <w:t xml:space="preserve"> דלדידן דקיי"ל כרב הונא בשבירת עצמות, א"א לומר דלרב הונא דהמפרקת ודאי פוגמת כשבירת עצמות, דא"כ היה לנו לפסוק כרב חסדא בכל שחיטה, ולכן אף אם לדעת הלישנא בתרא ס"ל לרב חסדא דבשחיטת כמה בהמות חיישינן שנגע במפרקת והיא ודאי פוגמת, ויצא הסכין מחזקתו, ולא ס"ל כסברת הלישנא קמא דאפשר לתלות במפרקת האחרונה, דהא הראשונה ודאי פוגמת, מ"מ לדידן א"א לומר דקיי"ל בזה כרב חסדא, דא"כ אמאי בלא שיבר בה עצמות קיי"ל כרב הונא דאסר, הא כל שחיטה היא כשבירת עצמות, ובשבירת עצמות הרי קיי"ל כרב חסדא דמתיר.</w:t>
      </w:r>
    </w:p>
    <w:p w14:paraId="02A5E62B" w14:textId="77777777" w:rsidR="00045367" w:rsidRPr="00E04CC1" w:rsidRDefault="00045367" w:rsidP="006D6D32">
      <w:pPr>
        <w:pStyle w:val="a3"/>
        <w:rPr>
          <w:rtl/>
        </w:rPr>
      </w:pPr>
      <w:bookmarkStart w:id="6474" w:name="_Toc527108509"/>
      <w:bookmarkStart w:id="6475" w:name="_Toc19389795"/>
      <w:bookmarkStart w:id="6476" w:name="_Toc19393292"/>
      <w:r>
        <w:rPr>
          <w:rFonts w:hint="cs"/>
          <w:rtl/>
        </w:rPr>
        <w:t>ביאור האבאה"ז דקיי"ל בלא שיבר עצמות כרב הונא מספק ובשיבר עצמות כרב הונא בודאי</w:t>
      </w:r>
      <w:bookmarkEnd w:id="6474"/>
      <w:bookmarkEnd w:id="6475"/>
      <w:bookmarkEnd w:id="6476"/>
    </w:p>
    <w:p w14:paraId="317BA815" w14:textId="77777777" w:rsidR="00045367" w:rsidRDefault="00045367" w:rsidP="00223668">
      <w:pPr>
        <w:pStyle w:val="a0"/>
        <w:rPr>
          <w:rtl/>
        </w:rPr>
        <w:sectPr w:rsidR="00045367" w:rsidSect="003741AC">
          <w:headerReference w:type="default" r:id="rId50"/>
          <w:type w:val="continuous"/>
          <w:pgSz w:w="11906" w:h="16838"/>
          <w:pgMar w:top="720" w:right="720" w:bottom="720" w:left="720" w:header="283" w:footer="283" w:gutter="0"/>
          <w:pgNumType w:start="77"/>
          <w:cols w:num="2" w:space="567"/>
          <w:bidi/>
          <w:rtlGutter/>
          <w:docGrid w:linePitch="299"/>
        </w:sectPr>
      </w:pPr>
      <w:r>
        <w:rPr>
          <w:rFonts w:hint="cs"/>
          <w:rtl/>
        </w:rPr>
        <w:t xml:space="preserve">וביאר </w:t>
      </w:r>
      <w:r w:rsidRPr="00ED4EBA">
        <w:rPr>
          <w:rStyle w:val="af9"/>
          <w:rFonts w:hint="cs"/>
          <w:rtl/>
        </w:rPr>
        <w:t>האבאה"ז</w:t>
      </w:r>
      <w:r>
        <w:rPr>
          <w:rFonts w:hint="cs"/>
          <w:rtl/>
        </w:rPr>
        <w:t xml:space="preserve"> דזו כוונת </w:t>
      </w:r>
      <w:r w:rsidRPr="00ED4EBA">
        <w:rPr>
          <w:rStyle w:val="af9"/>
          <w:rFonts w:hint="cs"/>
          <w:rtl/>
        </w:rPr>
        <w:t>הראב"ד</w:t>
      </w:r>
      <w:r>
        <w:rPr>
          <w:rFonts w:hint="cs"/>
          <w:rtl/>
        </w:rPr>
        <w:t xml:space="preserve"> דפליגי בהא רב הונא ורב חסדא, ורב הונא מיקל בזה, דהיינו דלדידן דקיי"ל כרב הונא בלא שיבר בה עצמות, מ"מ לא פסקינן בזה כרב הונא בתורת ודאי, אלא לחומרא חיישינן לסברת רב חסדא דשחיטה היא כשבירת עצמות, ומחמרינן בכמה בהמות להחשיב את השחיטה כשבירת עצמות, אבל בהא דקיי"ל כרב חסדא בשיבר בה עצמות, היינו בתורת ודאי, דהא פסקינן בזה לקולא כרב חסדא.</w:t>
      </w:r>
    </w:p>
    <w:p w14:paraId="6FEC0AC4" w14:textId="77777777" w:rsidR="00045367" w:rsidRPr="00694F2D" w:rsidRDefault="00045367" w:rsidP="00223668">
      <w:pPr>
        <w:pStyle w:val="a0"/>
        <w:numPr>
          <w:ilvl w:val="0"/>
          <w:numId w:val="0"/>
        </w:numPr>
        <w:rPr>
          <w:rtl/>
        </w:rPr>
      </w:pPr>
    </w:p>
    <w:p w14:paraId="4D65E994" w14:textId="77777777" w:rsidR="00892BEE" w:rsidRPr="00892BEE" w:rsidRDefault="00892BEE" w:rsidP="006D6D32">
      <w:pPr>
        <w:pStyle w:val="a3"/>
        <w:rPr>
          <w:rtl/>
        </w:rPr>
        <w:sectPr w:rsidR="00892BEE" w:rsidRPr="00892BEE" w:rsidSect="00045367">
          <w:type w:val="continuous"/>
          <w:pgSz w:w="11906" w:h="16838"/>
          <w:pgMar w:top="720" w:right="720" w:bottom="720" w:left="720" w:header="283" w:footer="283" w:gutter="0"/>
          <w:pgNumType w:fmt="hebrew1" w:start="44"/>
          <w:cols w:num="2" w:space="567"/>
          <w:bidi/>
          <w:rtlGutter/>
          <w:docGrid w:linePitch="299"/>
        </w:sectPr>
      </w:pPr>
    </w:p>
    <w:p w14:paraId="59BEADA7" w14:textId="77777777" w:rsidR="00590E50" w:rsidRDefault="00590E50" w:rsidP="006D6D32">
      <w:pPr>
        <w:pStyle w:val="afd"/>
      </w:pPr>
      <w:bookmarkStart w:id="6477" w:name="_Toc534142068"/>
      <w:bookmarkStart w:id="6478" w:name="_Toc16669734"/>
      <w:bookmarkStart w:id="6479" w:name="_Toc19435443"/>
      <w:bookmarkStart w:id="6480" w:name="_Toc20080762"/>
      <w:bookmarkStart w:id="6481" w:name="_Toc523760816"/>
      <w:bookmarkStart w:id="6482" w:name="_Toc523697879"/>
      <w:bookmarkStart w:id="6483" w:name="_Toc523490273"/>
      <w:bookmarkStart w:id="6484" w:name="_Toc523397169"/>
      <w:r>
        <w:rPr>
          <w:rFonts w:hint="cs"/>
          <w:rtl/>
        </w:rPr>
        <w:t>סימן ז'</w:t>
      </w:r>
      <w:bookmarkEnd w:id="6477"/>
      <w:bookmarkEnd w:id="6478"/>
      <w:bookmarkEnd w:id="6479"/>
      <w:bookmarkEnd w:id="6480"/>
    </w:p>
    <w:p w14:paraId="0318C62D" w14:textId="77777777" w:rsidR="00590E50" w:rsidRDefault="00590E50" w:rsidP="006D6D32">
      <w:pPr>
        <w:pStyle w:val="afd"/>
        <w:rPr>
          <w:rtl/>
        </w:rPr>
      </w:pPr>
      <w:bookmarkStart w:id="6485" w:name="_Toc534142069"/>
      <w:bookmarkStart w:id="6486" w:name="_Toc16669735"/>
      <w:bookmarkStart w:id="6487" w:name="_Toc19435444"/>
      <w:bookmarkStart w:id="6488" w:name="_Toc20080763"/>
      <w:r>
        <w:rPr>
          <w:rFonts w:hint="cs"/>
          <w:rtl/>
        </w:rPr>
        <w:t>בילפותא דחזקה מבית המנוגע</w:t>
      </w:r>
      <w:bookmarkEnd w:id="6485"/>
      <w:bookmarkEnd w:id="6486"/>
      <w:bookmarkEnd w:id="6487"/>
      <w:bookmarkEnd w:id="6488"/>
    </w:p>
    <w:p w14:paraId="68774C0A" w14:textId="77777777" w:rsidR="00590E50" w:rsidRPr="00693F53" w:rsidRDefault="00590E50" w:rsidP="00590E50">
      <w:pPr>
        <w:pStyle w:val="2"/>
        <w:rPr>
          <w:rtl/>
        </w:rPr>
      </w:pPr>
    </w:p>
    <w:bookmarkEnd w:id="6481"/>
    <w:bookmarkEnd w:id="6482"/>
    <w:bookmarkEnd w:id="6483"/>
    <w:bookmarkEnd w:id="6484"/>
    <w:p w14:paraId="43AD1578" w14:textId="77777777" w:rsidR="00590E50" w:rsidRPr="002A6401" w:rsidRDefault="000A0C31" w:rsidP="00590E50">
      <w:pPr>
        <w:pStyle w:val="2"/>
        <w:rPr>
          <w:rtl/>
        </w:rPr>
      </w:pPr>
      <w:r>
        <w:rPr>
          <w:rFonts w:hint="cs"/>
          <w:rtl/>
        </w:rPr>
        <w:t>מפתח הסוגיא</w:t>
      </w:r>
    </w:p>
    <w:p w14:paraId="621D7468" w14:textId="77777777" w:rsidR="00462465" w:rsidRDefault="00462465" w:rsidP="00590E50">
      <w:pPr>
        <w:pStyle w:val="aff4"/>
        <w:rPr>
          <w:rtl/>
        </w:rPr>
        <w:sectPr w:rsidR="00462465" w:rsidSect="003741AC">
          <w:headerReference w:type="default" r:id="rId51"/>
          <w:footerReference w:type="default" r:id="rId52"/>
          <w:headerReference w:type="first" r:id="rId53"/>
          <w:pgSz w:w="11906" w:h="16838"/>
          <w:pgMar w:top="720" w:right="720" w:bottom="720" w:left="720" w:header="283" w:footer="283" w:gutter="0"/>
          <w:pgNumType w:start="79"/>
          <w:cols w:space="170"/>
          <w:bidi/>
          <w:rtlGutter/>
          <w:docGrid w:linePitch="299"/>
        </w:sectPr>
      </w:pPr>
    </w:p>
    <w:p w14:paraId="1F07B57D" w14:textId="77777777" w:rsidR="00FC2F89" w:rsidRDefault="00FC2F89" w:rsidP="00FC2F89">
      <w:pPr>
        <w:pStyle w:val="2"/>
        <w:rPr>
          <w:rtl/>
        </w:rPr>
      </w:pPr>
      <w:bookmarkStart w:id="6489" w:name="_Toc19435446"/>
      <w:r>
        <w:rPr>
          <w:rFonts w:hint="cs"/>
          <w:rtl/>
        </w:rPr>
        <w:t>מראי מקומות וביאורים על הסוגיא</w:t>
      </w:r>
      <w:bookmarkEnd w:id="6489"/>
    </w:p>
    <w:p w14:paraId="05CA51FB" w14:textId="77777777" w:rsidR="00FC2F89" w:rsidRDefault="00FC2F89" w:rsidP="00FC2F89">
      <w:pPr>
        <w:pStyle w:val="2"/>
        <w:rPr>
          <w:rFonts w:eastAsiaTheme="minorEastAsia" w:cstheme="minorBidi"/>
          <w:i/>
          <w:iCs/>
          <w:noProof/>
          <w:sz w:val="22"/>
          <w:szCs w:val="22"/>
          <w:rtl/>
        </w:rPr>
      </w:pPr>
      <w:bookmarkStart w:id="6490" w:name="_Toc19435447"/>
      <w:r>
        <w:rPr>
          <w:noProof/>
          <w:rtl/>
        </w:rPr>
        <w:t>המקור לחזקה לחומרא ולקולא</w:t>
      </w:r>
      <w:bookmarkEnd w:id="6490"/>
    </w:p>
    <w:p w14:paraId="3DB7CE4B" w14:textId="77777777" w:rsidR="00FC2F89" w:rsidRDefault="00FC2F89" w:rsidP="00FC2F89">
      <w:pPr>
        <w:pStyle w:val="aff4"/>
        <w:rPr>
          <w:rFonts w:eastAsiaTheme="minorEastAsia" w:cstheme="minorBidi"/>
          <w:i/>
          <w:iCs/>
          <w:noProof/>
          <w:sz w:val="22"/>
          <w:szCs w:val="22"/>
          <w:rtl/>
        </w:rPr>
      </w:pPr>
      <w:bookmarkStart w:id="6491" w:name="_Toc19435448"/>
      <w:bookmarkStart w:id="6492" w:name="_Toc20080764"/>
      <w:r>
        <w:rPr>
          <w:noProof/>
          <w:rtl/>
        </w:rPr>
        <w:t>פלוגתת רש"י והרמב"ן אי צריך מקור לחזקה אף לחומרא</w:t>
      </w:r>
      <w:bookmarkEnd w:id="6491"/>
      <w:bookmarkEnd w:id="6492"/>
    </w:p>
    <w:p w14:paraId="4F71F15B" w14:textId="77777777" w:rsidR="003741AC" w:rsidRPr="005077A7" w:rsidRDefault="003741AC" w:rsidP="00E12979">
      <w:pPr>
        <w:pStyle w:val="a"/>
        <w:numPr>
          <w:ilvl w:val="0"/>
          <w:numId w:val="24"/>
        </w:numPr>
        <w:rPr>
          <w:rFonts w:eastAsiaTheme="minorEastAsia" w:cstheme="minorBidi"/>
          <w:noProof/>
          <w:sz w:val="22"/>
          <w:szCs w:val="22"/>
        </w:rPr>
      </w:pPr>
      <w:r w:rsidRPr="003741AC">
        <w:rPr>
          <w:noProof/>
          <w:rtl/>
        </w:rPr>
        <w:t xml:space="preserve">דברי רש"י דהילפותא לדין חזקה הוא בין לקולא ובין לחומרא </w:t>
      </w:r>
    </w:p>
    <w:p w14:paraId="61450F4A" w14:textId="77777777" w:rsidR="00FC2F89" w:rsidRDefault="00FC2F89" w:rsidP="005077A7">
      <w:pPr>
        <w:pStyle w:val="a"/>
        <w:rPr>
          <w:rFonts w:eastAsiaTheme="minorEastAsia" w:cstheme="minorBidi"/>
          <w:noProof/>
          <w:sz w:val="22"/>
          <w:szCs w:val="22"/>
          <w:rtl/>
        </w:rPr>
      </w:pPr>
      <w:r>
        <w:rPr>
          <w:noProof/>
          <w:rtl/>
        </w:rPr>
        <w:t>דברי הרמב"ן והרא"ה דהילפותא לחזקה היא לקולא אבל לחומרא מסברא מעמידים על החזקה</w:t>
      </w:r>
    </w:p>
    <w:p w14:paraId="316884EB" w14:textId="77777777" w:rsidR="00FC2F89" w:rsidRDefault="00FC2F89" w:rsidP="00FC2F89">
      <w:pPr>
        <w:pStyle w:val="aff4"/>
        <w:rPr>
          <w:rFonts w:eastAsiaTheme="minorEastAsia" w:cstheme="minorBidi"/>
          <w:i/>
          <w:iCs/>
          <w:noProof/>
          <w:sz w:val="22"/>
          <w:szCs w:val="22"/>
          <w:rtl/>
        </w:rPr>
      </w:pPr>
      <w:bookmarkStart w:id="6493" w:name="_Toc19435449"/>
      <w:bookmarkStart w:id="6494" w:name="_Toc20080765"/>
      <w:r>
        <w:rPr>
          <w:noProof/>
          <w:rtl/>
        </w:rPr>
        <w:t>דברי התוס' והרמב"ן דמעמידים על החזקה אף לקולא</w:t>
      </w:r>
      <w:bookmarkEnd w:id="6493"/>
      <w:bookmarkEnd w:id="6494"/>
    </w:p>
    <w:p w14:paraId="11BFE897" w14:textId="77777777" w:rsidR="00FC2F89" w:rsidRDefault="00FC2F89" w:rsidP="005077A7">
      <w:pPr>
        <w:pStyle w:val="a"/>
        <w:rPr>
          <w:rFonts w:eastAsiaTheme="minorEastAsia" w:cstheme="minorBidi"/>
          <w:noProof/>
          <w:sz w:val="22"/>
          <w:szCs w:val="22"/>
          <w:rtl/>
        </w:rPr>
      </w:pPr>
      <w:r>
        <w:rPr>
          <w:noProof/>
          <w:rtl/>
        </w:rPr>
        <w:t>דברי התוס' והרמב"ן דא"א לומר דהילפותא היא לחומרא דאין חילוק מדאו'</w:t>
      </w:r>
    </w:p>
    <w:p w14:paraId="0A4AABB2" w14:textId="77777777" w:rsidR="00FC2F89" w:rsidRPr="00AA17F3" w:rsidRDefault="00FC2F89" w:rsidP="005077A7">
      <w:pPr>
        <w:pStyle w:val="a"/>
        <w:rPr>
          <w:rtl/>
        </w:rPr>
      </w:pPr>
      <w:r>
        <w:rPr>
          <w:rFonts w:hint="cs"/>
          <w:rtl/>
        </w:rPr>
        <w:t>דברי התוס' דמוכח דבבית המנוגע מעמידים על החזקה אף לקולא</w:t>
      </w:r>
    </w:p>
    <w:p w14:paraId="6DA98009" w14:textId="77777777" w:rsidR="00FC2F89" w:rsidRDefault="00FC2F89" w:rsidP="005077A7">
      <w:pPr>
        <w:pStyle w:val="a"/>
        <w:rPr>
          <w:rFonts w:eastAsiaTheme="minorEastAsia" w:cstheme="minorBidi"/>
          <w:noProof/>
          <w:sz w:val="22"/>
          <w:szCs w:val="22"/>
          <w:rtl/>
        </w:rPr>
      </w:pPr>
      <w:r>
        <w:rPr>
          <w:noProof/>
          <w:rtl/>
        </w:rPr>
        <w:t xml:space="preserve">דברי התוס' דבנגע מעמידים את הנגע בחזקתו אף לקולא </w:t>
      </w:r>
      <w:r>
        <w:rPr>
          <w:rFonts w:hint="cs"/>
          <w:noProof/>
          <w:rtl/>
        </w:rPr>
        <w:t>כ</w:t>
      </w:r>
      <w:r>
        <w:rPr>
          <w:noProof/>
          <w:rtl/>
        </w:rPr>
        <w:t>שיש צד להוציאו מחזקתו לחומרא</w:t>
      </w:r>
    </w:p>
    <w:p w14:paraId="1AA1D833" w14:textId="77777777" w:rsidR="00FC2F89" w:rsidRDefault="00FC2F89" w:rsidP="005077A7">
      <w:pPr>
        <w:pStyle w:val="a"/>
        <w:rPr>
          <w:rFonts w:eastAsiaTheme="minorEastAsia" w:cstheme="minorBidi"/>
          <w:noProof/>
          <w:sz w:val="22"/>
          <w:szCs w:val="22"/>
          <w:rtl/>
        </w:rPr>
      </w:pPr>
      <w:r>
        <w:rPr>
          <w:noProof/>
          <w:rtl/>
        </w:rPr>
        <w:t>ביאור הרמב"ן דכשיש חשש שחסר בשעת ההסגר ועמד בעיניו וטמא מעמידים על החזקה לקולא</w:t>
      </w:r>
    </w:p>
    <w:p w14:paraId="4DEFEAFA" w14:textId="77777777" w:rsidR="00FC2F89" w:rsidRDefault="00FC2F89" w:rsidP="00FC2F89">
      <w:pPr>
        <w:pStyle w:val="2"/>
        <w:rPr>
          <w:rFonts w:eastAsiaTheme="minorEastAsia" w:cstheme="minorBidi"/>
          <w:i/>
          <w:iCs/>
          <w:noProof/>
          <w:sz w:val="22"/>
          <w:szCs w:val="22"/>
          <w:rtl/>
        </w:rPr>
      </w:pPr>
      <w:bookmarkStart w:id="6495" w:name="_Toc19435450"/>
      <w:r>
        <w:rPr>
          <w:noProof/>
          <w:rtl/>
        </w:rPr>
        <w:t>בביאור על מה קאי הנדון בחזקה</w:t>
      </w:r>
      <w:bookmarkEnd w:id="6495"/>
    </w:p>
    <w:p w14:paraId="0816597B" w14:textId="77777777" w:rsidR="00FC2F89" w:rsidRDefault="00FC2F89" w:rsidP="00FC2F89">
      <w:pPr>
        <w:pStyle w:val="aff4"/>
        <w:rPr>
          <w:rFonts w:eastAsiaTheme="minorEastAsia" w:cstheme="minorBidi"/>
          <w:i/>
          <w:iCs/>
          <w:noProof/>
          <w:sz w:val="22"/>
          <w:szCs w:val="22"/>
          <w:rtl/>
        </w:rPr>
      </w:pPr>
      <w:bookmarkStart w:id="6496" w:name="_Toc19435451"/>
      <w:bookmarkStart w:id="6497" w:name="_Toc20080766"/>
      <w:r>
        <w:rPr>
          <w:noProof/>
          <w:rtl/>
        </w:rPr>
        <w:t>בביאור דעת רש"י דקאי על החזקה דלעיל להיתר ולאיסור</w:t>
      </w:r>
      <w:bookmarkEnd w:id="6496"/>
      <w:bookmarkEnd w:id="6497"/>
    </w:p>
    <w:p w14:paraId="5C73834C" w14:textId="77777777" w:rsidR="00FC2F89" w:rsidRDefault="00FC2F89" w:rsidP="005077A7">
      <w:pPr>
        <w:pStyle w:val="a"/>
        <w:rPr>
          <w:rFonts w:eastAsiaTheme="minorEastAsia" w:cstheme="minorBidi"/>
          <w:noProof/>
          <w:sz w:val="22"/>
          <w:szCs w:val="22"/>
          <w:rtl/>
        </w:rPr>
      </w:pPr>
      <w:r>
        <w:rPr>
          <w:noProof/>
          <w:rtl/>
        </w:rPr>
        <w:t xml:space="preserve">דברי רש"י דהגמ' דנה על הדין לעיל דמעמידים </w:t>
      </w:r>
      <w:r>
        <w:rPr>
          <w:rFonts w:hint="cs"/>
          <w:noProof/>
          <w:rtl/>
        </w:rPr>
        <w:t xml:space="preserve">בחזקת </w:t>
      </w:r>
      <w:r>
        <w:rPr>
          <w:noProof/>
          <w:rtl/>
        </w:rPr>
        <w:t>איסור ולהיתר ומשמע דהוא דינא דזאב</w:t>
      </w:r>
    </w:p>
    <w:p w14:paraId="5680DC9D" w14:textId="77777777" w:rsidR="00FC2F89" w:rsidRDefault="00FC2F89" w:rsidP="005077A7">
      <w:pPr>
        <w:pStyle w:val="a"/>
        <w:rPr>
          <w:rFonts w:eastAsiaTheme="minorEastAsia" w:cstheme="minorBidi"/>
          <w:noProof/>
          <w:sz w:val="22"/>
          <w:szCs w:val="22"/>
          <w:rtl/>
        </w:rPr>
      </w:pPr>
      <w:r>
        <w:rPr>
          <w:noProof/>
          <w:rtl/>
        </w:rPr>
        <w:t>דחיית הרא"ה והראש יוסף דבזאב ההיתר הוא מדין רוב ולא מדין חזקה</w:t>
      </w:r>
    </w:p>
    <w:p w14:paraId="289C635B" w14:textId="77777777" w:rsidR="00FC2F89" w:rsidRDefault="00FC2F89" w:rsidP="00FC2F89">
      <w:pPr>
        <w:pStyle w:val="aff4"/>
        <w:rPr>
          <w:rFonts w:eastAsiaTheme="minorEastAsia" w:cstheme="minorBidi"/>
          <w:i/>
          <w:iCs/>
          <w:noProof/>
          <w:sz w:val="22"/>
          <w:szCs w:val="22"/>
          <w:rtl/>
        </w:rPr>
      </w:pPr>
      <w:bookmarkStart w:id="6498" w:name="_Toc19435452"/>
      <w:bookmarkStart w:id="6499" w:name="_Toc20080767"/>
      <w:r>
        <w:rPr>
          <w:noProof/>
          <w:rtl/>
        </w:rPr>
        <w:t>ביאור השיטמ"ק והראש יוסף דכוונת רש"י לדין סכין</w:t>
      </w:r>
      <w:bookmarkEnd w:id="6498"/>
      <w:bookmarkEnd w:id="6499"/>
    </w:p>
    <w:p w14:paraId="129C5841" w14:textId="77777777" w:rsidR="00FC2F89" w:rsidRDefault="00FC2F89" w:rsidP="005077A7">
      <w:pPr>
        <w:pStyle w:val="a"/>
        <w:rPr>
          <w:rFonts w:eastAsiaTheme="minorEastAsia" w:cstheme="minorBidi"/>
          <w:noProof/>
          <w:sz w:val="22"/>
          <w:szCs w:val="22"/>
          <w:rtl/>
        </w:rPr>
      </w:pPr>
      <w:r>
        <w:rPr>
          <w:noProof/>
          <w:rtl/>
        </w:rPr>
        <w:t>תירוץ השיטמ"ק דכוונת רש"י לדינא דסכין בלא שיבר עצמות לחומרא ובשיבר עצמות לקולא</w:t>
      </w:r>
    </w:p>
    <w:p w14:paraId="12F25FF3" w14:textId="77777777" w:rsidR="00FC2F89" w:rsidRDefault="00FC2F89" w:rsidP="00FC2F89">
      <w:pPr>
        <w:pStyle w:val="aff4"/>
        <w:rPr>
          <w:rFonts w:eastAsiaTheme="minorEastAsia" w:cstheme="minorBidi"/>
          <w:i/>
          <w:iCs/>
          <w:noProof/>
          <w:sz w:val="22"/>
          <w:szCs w:val="22"/>
          <w:rtl/>
        </w:rPr>
      </w:pPr>
      <w:bookmarkStart w:id="6500" w:name="_Toc19435453"/>
      <w:bookmarkStart w:id="6501" w:name="_Toc20080768"/>
      <w:r>
        <w:rPr>
          <w:noProof/>
          <w:rtl/>
        </w:rPr>
        <w:t>דברי הראשונים דקאי על דין חזקה בסכין</w:t>
      </w:r>
      <w:bookmarkEnd w:id="6500"/>
      <w:bookmarkEnd w:id="6501"/>
    </w:p>
    <w:p w14:paraId="7757B8CD" w14:textId="77777777" w:rsidR="00FC2F89" w:rsidRDefault="00FC2F89" w:rsidP="005077A7">
      <w:pPr>
        <w:pStyle w:val="a"/>
        <w:rPr>
          <w:rFonts w:eastAsiaTheme="minorEastAsia" w:cstheme="minorBidi"/>
          <w:noProof/>
          <w:sz w:val="22"/>
          <w:szCs w:val="22"/>
          <w:rtl/>
        </w:rPr>
      </w:pPr>
      <w:r>
        <w:rPr>
          <w:noProof/>
          <w:rtl/>
        </w:rPr>
        <w:t>דברי הרמב"ן דהנדון הוא על סכין דמוכח דמדאו' אזלינן אף לקולא ולכן החמירו בשיבר עצמות</w:t>
      </w:r>
    </w:p>
    <w:p w14:paraId="7B599445" w14:textId="77777777" w:rsidR="00FC2F89" w:rsidRDefault="00FC2F89" w:rsidP="005077A7">
      <w:pPr>
        <w:pStyle w:val="a"/>
        <w:rPr>
          <w:rFonts w:eastAsiaTheme="minorEastAsia" w:cstheme="minorBidi"/>
          <w:noProof/>
          <w:sz w:val="22"/>
          <w:szCs w:val="22"/>
          <w:rtl/>
        </w:rPr>
      </w:pPr>
      <w:r>
        <w:rPr>
          <w:noProof/>
          <w:rtl/>
        </w:rPr>
        <w:t>קושית השיטמ"ק דקושית הגמ' על רב הונא בשיבר עצמות היא דלא כהלכתא</w:t>
      </w:r>
    </w:p>
    <w:p w14:paraId="369A0863" w14:textId="77777777" w:rsidR="00FC2F89" w:rsidRDefault="00FC2F89" w:rsidP="005077A7">
      <w:pPr>
        <w:pStyle w:val="a"/>
        <w:rPr>
          <w:rFonts w:eastAsiaTheme="minorEastAsia" w:cstheme="minorBidi"/>
          <w:noProof/>
          <w:sz w:val="22"/>
          <w:szCs w:val="22"/>
          <w:rtl/>
        </w:rPr>
      </w:pPr>
      <w:r>
        <w:rPr>
          <w:noProof/>
          <w:rtl/>
        </w:rPr>
        <w:t>דברי הרא"ה דהגמ' קאי על דברי רב חסדא דסמך על חזקת סכין לקולא</w:t>
      </w:r>
    </w:p>
    <w:p w14:paraId="4E409867" w14:textId="77777777" w:rsidR="00FC2F89" w:rsidRDefault="00FC2F89" w:rsidP="005077A7">
      <w:pPr>
        <w:pStyle w:val="a"/>
        <w:rPr>
          <w:rFonts w:eastAsiaTheme="minorEastAsia" w:cstheme="minorBidi"/>
          <w:noProof/>
          <w:sz w:val="22"/>
          <w:szCs w:val="22"/>
          <w:rtl/>
        </w:rPr>
      </w:pPr>
      <w:r>
        <w:rPr>
          <w:noProof/>
          <w:rtl/>
        </w:rPr>
        <w:t>דברי הרשב"א דהנדון הוא על דינא דסכין דאף לר"ה מעמידים על החזקה באבד הסכין</w:t>
      </w:r>
    </w:p>
    <w:p w14:paraId="1F238A7A" w14:textId="77777777" w:rsidR="00FC2F89" w:rsidRDefault="00FC2F89" w:rsidP="005077A7">
      <w:pPr>
        <w:pStyle w:val="a"/>
        <w:rPr>
          <w:rFonts w:eastAsiaTheme="minorEastAsia" w:cstheme="minorBidi"/>
          <w:noProof/>
          <w:sz w:val="22"/>
          <w:szCs w:val="22"/>
          <w:rtl/>
        </w:rPr>
      </w:pPr>
      <w:r>
        <w:rPr>
          <w:noProof/>
          <w:rtl/>
        </w:rPr>
        <w:t xml:space="preserve">דברי הר"ן </w:t>
      </w:r>
      <w:r>
        <w:rPr>
          <w:rFonts w:hint="cs"/>
          <w:noProof/>
          <w:rtl/>
        </w:rPr>
        <w:t>הנדון בדין חזקה הוא ב</w:t>
      </w:r>
      <w:r>
        <w:rPr>
          <w:noProof/>
          <w:rtl/>
        </w:rPr>
        <w:t xml:space="preserve">רישא דרב הונא </w:t>
      </w:r>
      <w:r>
        <w:rPr>
          <w:rFonts w:hint="cs"/>
          <w:noProof/>
          <w:rtl/>
        </w:rPr>
        <w:t xml:space="preserve">והנדון </w:t>
      </w:r>
      <w:r>
        <w:rPr>
          <w:noProof/>
          <w:rtl/>
        </w:rPr>
        <w:t xml:space="preserve">לקמן </w:t>
      </w:r>
      <w:r>
        <w:rPr>
          <w:rFonts w:hint="cs"/>
          <w:noProof/>
          <w:rtl/>
        </w:rPr>
        <w:t>ב</w:t>
      </w:r>
      <w:r>
        <w:rPr>
          <w:noProof/>
          <w:rtl/>
        </w:rPr>
        <w:t xml:space="preserve">דין רוב </w:t>
      </w:r>
      <w:r>
        <w:rPr>
          <w:rFonts w:hint="cs"/>
          <w:noProof/>
          <w:rtl/>
        </w:rPr>
        <w:t>הוא</w:t>
      </w:r>
      <w:r>
        <w:rPr>
          <w:noProof/>
          <w:rtl/>
        </w:rPr>
        <w:t xml:space="preserve"> </w:t>
      </w:r>
      <w:r>
        <w:rPr>
          <w:rFonts w:hint="cs"/>
          <w:noProof/>
          <w:rtl/>
        </w:rPr>
        <w:t>ב</w:t>
      </w:r>
      <w:r>
        <w:rPr>
          <w:noProof/>
          <w:rtl/>
        </w:rPr>
        <w:t xml:space="preserve">סיפא </w:t>
      </w:r>
      <w:r>
        <w:rPr>
          <w:rFonts w:hint="cs"/>
          <w:noProof/>
          <w:rtl/>
        </w:rPr>
        <w:t>דרב הונא</w:t>
      </w:r>
    </w:p>
    <w:p w14:paraId="318422BE" w14:textId="77777777" w:rsidR="00FC2F89" w:rsidRDefault="00FC2F89" w:rsidP="00FC2F89">
      <w:pPr>
        <w:pStyle w:val="aff4"/>
        <w:rPr>
          <w:rFonts w:eastAsiaTheme="minorEastAsia" w:cstheme="minorBidi"/>
          <w:i/>
          <w:iCs/>
          <w:noProof/>
          <w:sz w:val="22"/>
          <w:szCs w:val="22"/>
          <w:rtl/>
        </w:rPr>
      </w:pPr>
      <w:bookmarkStart w:id="6502" w:name="_Toc19435454"/>
      <w:bookmarkStart w:id="6503" w:name="_Toc20080769"/>
      <w:r>
        <w:rPr>
          <w:noProof/>
          <w:rtl/>
        </w:rPr>
        <w:t>הביאור הב' ברמב"ן דקאי על לא בדק בסימנים דהוי נבילה</w:t>
      </w:r>
      <w:bookmarkEnd w:id="6502"/>
      <w:bookmarkEnd w:id="6503"/>
    </w:p>
    <w:p w14:paraId="3535A43F" w14:textId="77777777" w:rsidR="00FC2F89" w:rsidRDefault="00FC2F89" w:rsidP="005077A7">
      <w:pPr>
        <w:pStyle w:val="a"/>
        <w:rPr>
          <w:rFonts w:eastAsiaTheme="minorEastAsia" w:cstheme="minorBidi"/>
          <w:noProof/>
          <w:sz w:val="22"/>
          <w:szCs w:val="22"/>
          <w:rtl/>
        </w:rPr>
      </w:pPr>
      <w:r>
        <w:rPr>
          <w:noProof/>
          <w:rtl/>
        </w:rPr>
        <w:t>הביאור הב' ברמב"ן דקאי על ספק בסיממנים דמטמאה כנבילה ומבו' דהחזקה אלימתא מדאו'</w:t>
      </w:r>
    </w:p>
    <w:p w14:paraId="65EADAD4" w14:textId="77777777" w:rsidR="00FC2F89" w:rsidRDefault="00FC2F89" w:rsidP="005077A7">
      <w:pPr>
        <w:pStyle w:val="a"/>
        <w:rPr>
          <w:rFonts w:eastAsiaTheme="minorEastAsia" w:cstheme="minorBidi"/>
          <w:noProof/>
          <w:sz w:val="22"/>
          <w:szCs w:val="22"/>
          <w:rtl/>
        </w:rPr>
      </w:pPr>
      <w:r>
        <w:rPr>
          <w:noProof/>
          <w:rtl/>
        </w:rPr>
        <w:t>קושית השיטמ"ק דאי"ז סמוך לסוגיין כלל ועוד דלתוס' הוא דין דרבנן</w:t>
      </w:r>
    </w:p>
    <w:p w14:paraId="7DD9DDF7" w14:textId="77777777" w:rsidR="00FC2F89" w:rsidRDefault="00FC2F89" w:rsidP="00FC2F89">
      <w:pPr>
        <w:pStyle w:val="2"/>
        <w:rPr>
          <w:rFonts w:eastAsiaTheme="minorEastAsia" w:cstheme="minorBidi"/>
          <w:i/>
          <w:iCs/>
          <w:noProof/>
          <w:sz w:val="22"/>
          <w:szCs w:val="22"/>
          <w:rtl/>
        </w:rPr>
      </w:pPr>
      <w:bookmarkStart w:id="6504" w:name="_Toc19435455"/>
      <w:r>
        <w:rPr>
          <w:noProof/>
          <w:rtl/>
        </w:rPr>
        <w:t>בדין ספק טומאה בבית המנוגע</w:t>
      </w:r>
      <w:bookmarkEnd w:id="6504"/>
    </w:p>
    <w:p w14:paraId="2A253C9A" w14:textId="77777777" w:rsidR="00FC2F89" w:rsidRDefault="00FC2F89" w:rsidP="00FC2F89">
      <w:pPr>
        <w:pStyle w:val="aff4"/>
        <w:rPr>
          <w:rFonts w:eastAsiaTheme="minorEastAsia" w:cstheme="minorBidi"/>
          <w:i/>
          <w:iCs/>
          <w:noProof/>
          <w:sz w:val="22"/>
          <w:szCs w:val="22"/>
          <w:rtl/>
        </w:rPr>
      </w:pPr>
      <w:bookmarkStart w:id="6505" w:name="_Toc19435456"/>
      <w:bookmarkStart w:id="6506" w:name="_Toc20080770"/>
      <w:r>
        <w:rPr>
          <w:noProof/>
          <w:rtl/>
        </w:rPr>
        <w:t>דברי התוס' דבבית המנוגע אינו מדין ספק טומאה ברה"י</w:t>
      </w:r>
      <w:bookmarkEnd w:id="6505"/>
      <w:bookmarkEnd w:id="6506"/>
    </w:p>
    <w:p w14:paraId="71929AC3" w14:textId="77777777" w:rsidR="00FC2F89" w:rsidRDefault="00FC2F89" w:rsidP="005077A7">
      <w:pPr>
        <w:pStyle w:val="a"/>
        <w:rPr>
          <w:rFonts w:eastAsiaTheme="minorEastAsia" w:cstheme="minorBidi"/>
          <w:noProof/>
          <w:sz w:val="22"/>
          <w:szCs w:val="22"/>
          <w:rtl/>
        </w:rPr>
      </w:pPr>
      <w:r>
        <w:rPr>
          <w:noProof/>
          <w:rtl/>
        </w:rPr>
        <w:t>דברי התוס' דא"א לומר דטמא בבית המנוגע מדין ספק טומאה ברה"י דאף ברה"ר ובאבד"ל טמא</w:t>
      </w:r>
    </w:p>
    <w:p w14:paraId="20481B3C" w14:textId="77777777" w:rsidR="00FC2F89" w:rsidRDefault="00FC2F89" w:rsidP="005077A7">
      <w:pPr>
        <w:pStyle w:val="a"/>
        <w:rPr>
          <w:rFonts w:eastAsiaTheme="minorEastAsia" w:cstheme="minorBidi"/>
          <w:noProof/>
          <w:sz w:val="22"/>
          <w:szCs w:val="22"/>
          <w:rtl/>
        </w:rPr>
      </w:pPr>
      <w:r>
        <w:rPr>
          <w:noProof/>
          <w:rtl/>
        </w:rPr>
        <w:t>דברי רבנו מאיר דבריעותא מגופו לא ילפינן מסוטרה</w:t>
      </w:r>
    </w:p>
    <w:p w14:paraId="094991F6" w14:textId="77777777" w:rsidR="00FC2F89" w:rsidRDefault="00FC2F89" w:rsidP="005077A7">
      <w:pPr>
        <w:pStyle w:val="a"/>
        <w:rPr>
          <w:rFonts w:eastAsiaTheme="minorEastAsia" w:cstheme="minorBidi"/>
          <w:noProof/>
          <w:sz w:val="22"/>
          <w:szCs w:val="22"/>
          <w:rtl/>
        </w:rPr>
      </w:pPr>
      <w:r>
        <w:rPr>
          <w:noProof/>
          <w:rtl/>
        </w:rPr>
        <w:t>דברי התורא"ש דאף אי ילפינן נגע מסוטה מ"מ ילפינן מהא דלקולא מעמידים את הנגע בחזקתו</w:t>
      </w:r>
    </w:p>
    <w:p w14:paraId="66713094" w14:textId="77777777" w:rsidR="00FC2F89" w:rsidRDefault="00FC2F89" w:rsidP="005077A7">
      <w:pPr>
        <w:pStyle w:val="a"/>
        <w:rPr>
          <w:rFonts w:eastAsiaTheme="minorEastAsia" w:cstheme="minorBidi"/>
          <w:noProof/>
          <w:sz w:val="22"/>
          <w:szCs w:val="22"/>
          <w:rtl/>
        </w:rPr>
      </w:pPr>
      <w:r>
        <w:rPr>
          <w:noProof/>
          <w:rtl/>
        </w:rPr>
        <w:t>דחית רבינו מאיר דא"א לומר דבשבוע ראשון טמא מדין ספ"ט ברה"י ובסוף השבוע מדין חזקה</w:t>
      </w:r>
    </w:p>
    <w:p w14:paraId="1F619009" w14:textId="77777777" w:rsidR="00FC2F89" w:rsidRDefault="00FC2F89" w:rsidP="00FC2F89">
      <w:pPr>
        <w:pStyle w:val="aff4"/>
        <w:rPr>
          <w:rFonts w:eastAsiaTheme="minorEastAsia" w:cstheme="minorBidi"/>
          <w:i/>
          <w:iCs/>
          <w:noProof/>
          <w:sz w:val="22"/>
          <w:szCs w:val="22"/>
          <w:rtl/>
        </w:rPr>
      </w:pPr>
      <w:bookmarkStart w:id="6507" w:name="_Toc19435457"/>
      <w:bookmarkStart w:id="6508" w:name="_Toc20080771"/>
      <w:r>
        <w:rPr>
          <w:noProof/>
          <w:rtl/>
        </w:rPr>
        <w:t>דברי האחרונים בדין ספק טומאה בנגעים</w:t>
      </w:r>
      <w:bookmarkEnd w:id="6507"/>
      <w:bookmarkEnd w:id="6508"/>
    </w:p>
    <w:p w14:paraId="7CDF5CD1" w14:textId="77777777" w:rsidR="00FC2F89" w:rsidRDefault="00FC2F89" w:rsidP="005077A7">
      <w:pPr>
        <w:pStyle w:val="a"/>
        <w:rPr>
          <w:rFonts w:eastAsiaTheme="minorEastAsia" w:cstheme="minorBidi"/>
          <w:noProof/>
          <w:sz w:val="22"/>
          <w:szCs w:val="22"/>
        </w:rPr>
      </w:pPr>
      <w:r>
        <w:rPr>
          <w:noProof/>
          <w:rtl/>
        </w:rPr>
        <w:t>דברי הפנ"י דלדעת התוס' הא דבנגעים אין חילוק בין רה"ר לרה"י הוא אחר הילפותא בסוגיין</w:t>
      </w:r>
    </w:p>
    <w:p w14:paraId="1FF8BCEE" w14:textId="77777777" w:rsidR="00FC2F89" w:rsidRDefault="00FC2F89" w:rsidP="005077A7">
      <w:pPr>
        <w:pStyle w:val="a"/>
        <w:rPr>
          <w:rFonts w:eastAsiaTheme="minorEastAsia" w:cstheme="minorBidi"/>
          <w:noProof/>
          <w:sz w:val="22"/>
          <w:szCs w:val="22"/>
          <w:rtl/>
        </w:rPr>
      </w:pPr>
      <w:r>
        <w:rPr>
          <w:rFonts w:hint="cs"/>
          <w:rtl/>
        </w:rPr>
        <w:t>דברי החזו"א דבנגע לא שייך לטמא מספק כלל</w:t>
      </w:r>
    </w:p>
    <w:p w14:paraId="2474CBCE" w14:textId="77777777" w:rsidR="00FC2F89" w:rsidRDefault="00FC2F89" w:rsidP="00FC2F89">
      <w:pPr>
        <w:pStyle w:val="aff4"/>
        <w:rPr>
          <w:rFonts w:eastAsiaTheme="minorEastAsia" w:cstheme="minorBidi"/>
          <w:i/>
          <w:iCs/>
          <w:noProof/>
          <w:sz w:val="22"/>
          <w:szCs w:val="22"/>
          <w:rtl/>
        </w:rPr>
      </w:pPr>
      <w:bookmarkStart w:id="6509" w:name="_Toc19435458"/>
      <w:bookmarkStart w:id="6510" w:name="_Toc20080772"/>
      <w:r>
        <w:rPr>
          <w:noProof/>
          <w:rtl/>
        </w:rPr>
        <w:t>ביאורי האחרונים בדברי התוס' בספק טומאה בנגעי בתים</w:t>
      </w:r>
      <w:bookmarkEnd w:id="6509"/>
      <w:bookmarkEnd w:id="6510"/>
    </w:p>
    <w:p w14:paraId="2FBB7368" w14:textId="77777777" w:rsidR="00FC2F89" w:rsidRDefault="00FC2F89" w:rsidP="005077A7">
      <w:pPr>
        <w:pStyle w:val="a"/>
        <w:rPr>
          <w:rFonts w:eastAsiaTheme="minorEastAsia" w:cstheme="minorBidi"/>
          <w:noProof/>
          <w:sz w:val="22"/>
          <w:szCs w:val="22"/>
          <w:rtl/>
        </w:rPr>
      </w:pPr>
      <w:r>
        <w:rPr>
          <w:noProof/>
          <w:rtl/>
        </w:rPr>
        <w:t>קושית הפנ"י דהבית הוא דבר שאין בו דעת לישאל ולא שייך בו ספק טומאה</w:t>
      </w:r>
    </w:p>
    <w:p w14:paraId="454720E4" w14:textId="77777777" w:rsidR="00FC2F89" w:rsidRDefault="00FC2F89" w:rsidP="005077A7">
      <w:pPr>
        <w:pStyle w:val="a"/>
        <w:rPr>
          <w:rtl/>
        </w:rPr>
      </w:pPr>
      <w:r>
        <w:rPr>
          <w:rFonts w:hint="cs"/>
          <w:rtl/>
        </w:rPr>
        <w:t>תירוץ הפנ"י דהנדון בתוס' אינו רק בנגעי בתים אלא גם בנגעי אדם</w:t>
      </w:r>
    </w:p>
    <w:p w14:paraId="54C5A8F0" w14:textId="77777777" w:rsidR="00FC2F89" w:rsidRDefault="00FC2F89" w:rsidP="005077A7">
      <w:pPr>
        <w:pStyle w:val="a"/>
        <w:rPr>
          <w:rFonts w:eastAsiaTheme="minorEastAsia" w:cstheme="minorBidi"/>
          <w:noProof/>
          <w:sz w:val="22"/>
          <w:szCs w:val="22"/>
          <w:rtl/>
        </w:rPr>
      </w:pPr>
      <w:r>
        <w:rPr>
          <w:noProof/>
          <w:rtl/>
        </w:rPr>
        <w:t>תירוץ האחיעזר דאף כשמעמידים על החזקה עדיין גוף הטומאה בספק ויש ספק באדם שנכנס</w:t>
      </w:r>
    </w:p>
    <w:p w14:paraId="3DEEDE6C" w14:textId="77777777" w:rsidR="00FC2F89" w:rsidRDefault="00FC2F89" w:rsidP="005077A7">
      <w:pPr>
        <w:pStyle w:val="a"/>
        <w:rPr>
          <w:rFonts w:eastAsiaTheme="minorEastAsia" w:cstheme="minorBidi"/>
          <w:noProof/>
          <w:sz w:val="22"/>
          <w:szCs w:val="22"/>
          <w:rtl/>
        </w:rPr>
      </w:pPr>
      <w:r>
        <w:rPr>
          <w:noProof/>
          <w:rtl/>
        </w:rPr>
        <w:t>דברי החזו"א דבנגע הספק בטומאה עצמה ולא ילפינן מסוטה</w:t>
      </w:r>
    </w:p>
    <w:p w14:paraId="0FD7A9E8" w14:textId="77777777" w:rsidR="00FC2F89" w:rsidRDefault="00FC2F89" w:rsidP="005077A7">
      <w:pPr>
        <w:pStyle w:val="a"/>
        <w:rPr>
          <w:rFonts w:eastAsiaTheme="minorEastAsia" w:cstheme="minorBidi"/>
          <w:noProof/>
          <w:sz w:val="22"/>
          <w:szCs w:val="22"/>
          <w:rtl/>
        </w:rPr>
      </w:pPr>
      <w:r>
        <w:rPr>
          <w:noProof/>
          <w:rtl/>
        </w:rPr>
        <w:t>ביאור החזו"א דקושית התוס' על הנכנסים לבית ולא על הבית עצמו</w:t>
      </w:r>
    </w:p>
    <w:p w14:paraId="5F9DE67F" w14:textId="77777777" w:rsidR="00FC2F89" w:rsidRDefault="00FC2F89" w:rsidP="005077A7">
      <w:pPr>
        <w:pStyle w:val="a"/>
        <w:rPr>
          <w:rFonts w:eastAsiaTheme="minorEastAsia" w:cstheme="minorBidi"/>
          <w:noProof/>
          <w:sz w:val="22"/>
          <w:szCs w:val="22"/>
          <w:rtl/>
        </w:rPr>
      </w:pPr>
      <w:r>
        <w:rPr>
          <w:noProof/>
          <w:rtl/>
        </w:rPr>
        <w:t>ביאור החזו"א דהנדון הוא על הבית ולכן אף אם הנכנס לבית יש בו דעת לישאל דינו כבית</w:t>
      </w:r>
    </w:p>
    <w:p w14:paraId="47A07F56" w14:textId="77777777" w:rsidR="00FC2F89" w:rsidRDefault="00FC2F89" w:rsidP="005077A7">
      <w:pPr>
        <w:pStyle w:val="a"/>
        <w:rPr>
          <w:rFonts w:eastAsiaTheme="minorEastAsia" w:cstheme="minorBidi"/>
          <w:noProof/>
          <w:sz w:val="22"/>
          <w:szCs w:val="22"/>
          <w:rtl/>
        </w:rPr>
      </w:pPr>
      <w:r>
        <w:rPr>
          <w:noProof/>
          <w:rtl/>
        </w:rPr>
        <w:t>דברי החזו"א דדברי התוס' הם כדברי הריטב"א בעירובין דדנים חזקה בדבר שבו הספק</w:t>
      </w:r>
    </w:p>
    <w:p w14:paraId="7341E0FA" w14:textId="77777777" w:rsidR="00FC2F89" w:rsidRDefault="00FC2F89" w:rsidP="00FC2F89">
      <w:pPr>
        <w:pStyle w:val="2"/>
        <w:rPr>
          <w:rFonts w:eastAsiaTheme="minorEastAsia" w:cstheme="minorBidi"/>
          <w:i/>
          <w:iCs/>
          <w:noProof/>
          <w:sz w:val="22"/>
          <w:szCs w:val="22"/>
          <w:rtl/>
        </w:rPr>
      </w:pPr>
      <w:bookmarkStart w:id="6511" w:name="_Toc19435459"/>
      <w:r>
        <w:rPr>
          <w:noProof/>
          <w:rtl/>
        </w:rPr>
        <w:t>בענין חזקה עם ריעותא ותרתי דסתרי</w:t>
      </w:r>
      <w:bookmarkEnd w:id="6511"/>
    </w:p>
    <w:p w14:paraId="4160D5C0" w14:textId="77777777" w:rsidR="00FC2F89" w:rsidRDefault="00FC2F89" w:rsidP="00FC2F89">
      <w:pPr>
        <w:pStyle w:val="aff4"/>
        <w:rPr>
          <w:rFonts w:eastAsiaTheme="minorEastAsia" w:cstheme="minorBidi"/>
          <w:i/>
          <w:iCs/>
          <w:noProof/>
          <w:sz w:val="22"/>
          <w:szCs w:val="22"/>
          <w:rtl/>
        </w:rPr>
      </w:pPr>
      <w:bookmarkStart w:id="6512" w:name="_Toc19435460"/>
      <w:bookmarkStart w:id="6513" w:name="_Toc20080773"/>
      <w:r>
        <w:rPr>
          <w:noProof/>
          <w:rtl/>
        </w:rPr>
        <w:t>קושית התוס' מנלן דאזלינן בתר חזקה אף כשיש ריעותא</w:t>
      </w:r>
      <w:bookmarkEnd w:id="6512"/>
      <w:bookmarkEnd w:id="6513"/>
    </w:p>
    <w:p w14:paraId="3AF4F533" w14:textId="77777777" w:rsidR="00FC2F89" w:rsidRDefault="00FC2F89" w:rsidP="005077A7">
      <w:pPr>
        <w:pStyle w:val="a"/>
        <w:rPr>
          <w:rFonts w:eastAsiaTheme="minorEastAsia" w:cstheme="minorBidi"/>
          <w:noProof/>
          <w:sz w:val="22"/>
          <w:szCs w:val="22"/>
          <w:rtl/>
        </w:rPr>
      </w:pPr>
      <w:r>
        <w:rPr>
          <w:noProof/>
          <w:rtl/>
        </w:rPr>
        <w:t>קושית התוס' דהיאך ילפינן מבית המנוגע לסכין שהוא חזקה עם ריעותא</w:t>
      </w:r>
    </w:p>
    <w:p w14:paraId="626F862F" w14:textId="77777777" w:rsidR="00FC2F89" w:rsidRDefault="00FC2F89" w:rsidP="005077A7">
      <w:pPr>
        <w:pStyle w:val="a"/>
        <w:rPr>
          <w:rFonts w:eastAsiaTheme="minorEastAsia" w:cstheme="minorBidi"/>
          <w:noProof/>
          <w:sz w:val="22"/>
          <w:szCs w:val="22"/>
          <w:rtl/>
        </w:rPr>
      </w:pPr>
      <w:r>
        <w:rPr>
          <w:noProof/>
          <w:rtl/>
        </w:rPr>
        <w:t>קושית התוס' והתוס' הרא"ש מנלן דמעמידים על החזקה בשני שבילין דאחד מהם ודאי טמא</w:t>
      </w:r>
    </w:p>
    <w:p w14:paraId="6B7B9F0D" w14:textId="77777777" w:rsidR="00FC2F89" w:rsidRDefault="00FC2F89" w:rsidP="005077A7">
      <w:pPr>
        <w:pStyle w:val="a"/>
        <w:rPr>
          <w:rFonts w:eastAsiaTheme="minorEastAsia" w:cstheme="minorBidi"/>
          <w:noProof/>
          <w:sz w:val="22"/>
          <w:szCs w:val="22"/>
          <w:rtl/>
        </w:rPr>
      </w:pPr>
      <w:r>
        <w:rPr>
          <w:noProof/>
          <w:rtl/>
        </w:rPr>
        <w:t>ביאור המהר"ם דבשנים שנטמאו מעמידים כ"א בחזקתו אף שיש ריעותא דשרץ לפניך</w:t>
      </w:r>
    </w:p>
    <w:p w14:paraId="009197BC" w14:textId="77777777" w:rsidR="00FC2F89" w:rsidRDefault="00FC2F89" w:rsidP="005077A7">
      <w:pPr>
        <w:pStyle w:val="a"/>
        <w:rPr>
          <w:rFonts w:eastAsiaTheme="minorEastAsia" w:cstheme="minorBidi"/>
          <w:noProof/>
          <w:sz w:val="22"/>
          <w:szCs w:val="22"/>
          <w:rtl/>
        </w:rPr>
      </w:pPr>
      <w:r>
        <w:rPr>
          <w:noProof/>
          <w:rtl/>
        </w:rPr>
        <w:t>ביאור החמדת שלמה דקושית התוס' מנלן דמעמידים על החזקה בתרתי דסתרי</w:t>
      </w:r>
    </w:p>
    <w:p w14:paraId="6C76AAE3" w14:textId="77777777" w:rsidR="00FC2F89" w:rsidRDefault="00FC2F89" w:rsidP="00FC2F89">
      <w:pPr>
        <w:pStyle w:val="aff4"/>
        <w:rPr>
          <w:rFonts w:eastAsiaTheme="minorEastAsia" w:cstheme="minorBidi"/>
          <w:i/>
          <w:iCs/>
          <w:noProof/>
          <w:sz w:val="22"/>
          <w:szCs w:val="22"/>
          <w:rtl/>
        </w:rPr>
      </w:pPr>
      <w:bookmarkStart w:id="6514" w:name="_Toc19435461"/>
      <w:bookmarkStart w:id="6515" w:name="_Toc20080774"/>
      <w:r>
        <w:rPr>
          <w:noProof/>
          <w:rtl/>
        </w:rPr>
        <w:t>תירוץ התוס' דבבית המנוגע יש ריעותא בחזקה</w:t>
      </w:r>
      <w:bookmarkEnd w:id="6514"/>
      <w:bookmarkEnd w:id="6515"/>
    </w:p>
    <w:p w14:paraId="1F86AB06" w14:textId="77777777" w:rsidR="00FC2F89" w:rsidRDefault="00FC2F89" w:rsidP="005077A7">
      <w:pPr>
        <w:pStyle w:val="a"/>
        <w:rPr>
          <w:rFonts w:eastAsiaTheme="minorEastAsia" w:cstheme="minorBidi"/>
          <w:noProof/>
          <w:sz w:val="22"/>
          <w:szCs w:val="22"/>
          <w:rtl/>
        </w:rPr>
      </w:pPr>
      <w:r>
        <w:rPr>
          <w:noProof/>
          <w:rtl/>
        </w:rPr>
        <w:t>תירוץ התוס' דאף בבית המנוגע יש ריעותא בחזקה דהא נמצא הנגע חסר</w:t>
      </w:r>
    </w:p>
    <w:p w14:paraId="0C5BBB0E" w14:textId="77777777" w:rsidR="00FC2F89" w:rsidRDefault="00FC2F89" w:rsidP="005077A7">
      <w:pPr>
        <w:pStyle w:val="a"/>
        <w:rPr>
          <w:rFonts w:eastAsiaTheme="minorEastAsia" w:cstheme="minorBidi"/>
          <w:noProof/>
          <w:sz w:val="22"/>
          <w:szCs w:val="22"/>
          <w:rtl/>
        </w:rPr>
      </w:pPr>
      <w:r>
        <w:rPr>
          <w:noProof/>
          <w:rtl/>
        </w:rPr>
        <w:t>תירוץ השיטמ"ק דכיון דמדאו' אף לקולא מעמידים על החזקה ה"ה כשיש ריעותא</w:t>
      </w:r>
    </w:p>
    <w:p w14:paraId="3623D291" w14:textId="77777777" w:rsidR="00FC2F89" w:rsidRDefault="00FC2F89" w:rsidP="00FC2F89">
      <w:pPr>
        <w:pStyle w:val="aff4"/>
        <w:rPr>
          <w:rFonts w:eastAsiaTheme="minorEastAsia" w:cstheme="minorBidi"/>
          <w:i/>
          <w:iCs/>
          <w:noProof/>
          <w:sz w:val="22"/>
          <w:szCs w:val="22"/>
          <w:rtl/>
        </w:rPr>
      </w:pPr>
      <w:bookmarkStart w:id="6516" w:name="_Toc19435462"/>
      <w:bookmarkStart w:id="6517" w:name="_Toc20080775"/>
      <w:r>
        <w:rPr>
          <w:noProof/>
          <w:rtl/>
        </w:rPr>
        <w:t>ביאורי האחרונים בקושית התוס' מסכין</w:t>
      </w:r>
      <w:bookmarkEnd w:id="6516"/>
      <w:bookmarkEnd w:id="6517"/>
    </w:p>
    <w:p w14:paraId="1751CD49" w14:textId="77777777" w:rsidR="00FC2F89" w:rsidRDefault="00FC2F89" w:rsidP="005077A7">
      <w:pPr>
        <w:pStyle w:val="a"/>
        <w:rPr>
          <w:rFonts w:eastAsiaTheme="minorEastAsia" w:cstheme="minorBidi"/>
          <w:noProof/>
          <w:sz w:val="22"/>
          <w:szCs w:val="22"/>
          <w:rtl/>
        </w:rPr>
      </w:pPr>
      <w:r>
        <w:rPr>
          <w:noProof/>
          <w:rtl/>
        </w:rPr>
        <w:t>ביאור המהרש"א דהקשו התוס' דלרב חסדא מעמידים בחזקת שחוטה אף שיש ריעותא בסכין</w:t>
      </w:r>
    </w:p>
    <w:p w14:paraId="383D1D5F" w14:textId="77777777" w:rsidR="00FC2F89" w:rsidRDefault="00FC2F89" w:rsidP="005077A7">
      <w:pPr>
        <w:pStyle w:val="a"/>
        <w:rPr>
          <w:rFonts w:eastAsiaTheme="minorEastAsia" w:cstheme="minorBidi"/>
          <w:noProof/>
          <w:sz w:val="22"/>
          <w:szCs w:val="22"/>
          <w:rtl/>
        </w:rPr>
      </w:pPr>
      <w:r>
        <w:rPr>
          <w:noProof/>
          <w:rtl/>
        </w:rPr>
        <w:t>קושית המהר"ם דרב חסדא לא התיר מדין חזקה</w:t>
      </w:r>
    </w:p>
    <w:p w14:paraId="1B9C93AA" w14:textId="77777777" w:rsidR="00FC2F89" w:rsidRDefault="00FC2F89" w:rsidP="005077A7">
      <w:pPr>
        <w:pStyle w:val="a"/>
        <w:rPr>
          <w:rFonts w:eastAsiaTheme="minorEastAsia" w:cstheme="minorBidi"/>
          <w:noProof/>
          <w:sz w:val="22"/>
          <w:szCs w:val="22"/>
          <w:rtl/>
        </w:rPr>
      </w:pPr>
      <w:r>
        <w:rPr>
          <w:noProof/>
          <w:rtl/>
        </w:rPr>
        <w:t>ביאור המהר"ם דקושית התוס' דלרב הונא הבהמה בחזקת איסור אף בריעותא ששיבר עצמות</w:t>
      </w:r>
    </w:p>
    <w:p w14:paraId="60D9A58A" w14:textId="77777777" w:rsidR="00FC2F89" w:rsidRDefault="00FC2F89" w:rsidP="005077A7">
      <w:pPr>
        <w:pStyle w:val="a"/>
        <w:rPr>
          <w:rFonts w:eastAsiaTheme="minorEastAsia" w:cstheme="minorBidi"/>
          <w:noProof/>
          <w:sz w:val="22"/>
          <w:szCs w:val="22"/>
          <w:rtl/>
        </w:rPr>
      </w:pPr>
      <w:r>
        <w:rPr>
          <w:noProof/>
          <w:rtl/>
        </w:rPr>
        <w:t>קושית המהר"ם אמאי לא הקשו התוס' מדינא דזאב דמעמידים בחזקת היתר אף שיש ריעותא</w:t>
      </w:r>
    </w:p>
    <w:p w14:paraId="18B09599" w14:textId="77777777" w:rsidR="00FC2F89" w:rsidRDefault="00FC2F89" w:rsidP="00FC2F89">
      <w:pPr>
        <w:pStyle w:val="aff4"/>
        <w:rPr>
          <w:rFonts w:eastAsiaTheme="minorEastAsia" w:cstheme="minorBidi"/>
          <w:i/>
          <w:iCs/>
          <w:noProof/>
          <w:sz w:val="22"/>
          <w:szCs w:val="22"/>
          <w:rtl/>
        </w:rPr>
      </w:pPr>
      <w:bookmarkStart w:id="6518" w:name="_Toc19435463"/>
      <w:bookmarkStart w:id="6519" w:name="_Toc20080776"/>
      <w:r>
        <w:rPr>
          <w:noProof/>
          <w:rtl/>
        </w:rPr>
        <w:t>ביאור החמד"ש בטעם החזקה במקום ריעותא ובתרתי דסתרי</w:t>
      </w:r>
      <w:bookmarkEnd w:id="6518"/>
      <w:bookmarkEnd w:id="6519"/>
    </w:p>
    <w:p w14:paraId="4967C8BA" w14:textId="77777777" w:rsidR="00FC2F89" w:rsidRDefault="00FC2F89" w:rsidP="005077A7">
      <w:pPr>
        <w:pStyle w:val="a"/>
        <w:rPr>
          <w:rFonts w:eastAsiaTheme="minorEastAsia" w:cstheme="minorBidi"/>
          <w:noProof/>
          <w:sz w:val="22"/>
          <w:szCs w:val="22"/>
          <w:rtl/>
        </w:rPr>
      </w:pPr>
      <w:r>
        <w:rPr>
          <w:noProof/>
          <w:rtl/>
        </w:rPr>
        <w:t>קושית החמדת שלמה דלא תירצו התוס' מנלן דמעמידים על החזקה כשיש תרתי דסתרי</w:t>
      </w:r>
    </w:p>
    <w:p w14:paraId="2D8C5F9D" w14:textId="77777777" w:rsidR="00FC2F89" w:rsidRDefault="00FC2F89" w:rsidP="005077A7">
      <w:pPr>
        <w:pStyle w:val="a"/>
        <w:rPr>
          <w:rFonts w:eastAsiaTheme="minorEastAsia" w:cstheme="minorBidi"/>
          <w:noProof/>
          <w:sz w:val="22"/>
          <w:szCs w:val="22"/>
          <w:rtl/>
        </w:rPr>
      </w:pPr>
      <w:r>
        <w:rPr>
          <w:noProof/>
          <w:rtl/>
        </w:rPr>
        <w:t>תירוץ החמדת שלמה דכיון דילפינן דבמקום ריעותא מעמידים על החזקה ה"ה בתרתי דסתרי</w:t>
      </w:r>
    </w:p>
    <w:p w14:paraId="7D3CCDEB" w14:textId="77777777" w:rsidR="00FC2F89" w:rsidRDefault="00FC2F89" w:rsidP="005077A7">
      <w:pPr>
        <w:pStyle w:val="a"/>
        <w:rPr>
          <w:rFonts w:eastAsiaTheme="minorEastAsia" w:cstheme="minorBidi"/>
          <w:noProof/>
          <w:sz w:val="22"/>
          <w:szCs w:val="22"/>
          <w:rtl/>
        </w:rPr>
      </w:pPr>
      <w:r>
        <w:rPr>
          <w:noProof/>
          <w:rtl/>
        </w:rPr>
        <w:t>דברי החמדת שלמה דאפשר לבאר בגדר חזקה דהוי בירור שודאי לא נשתנה</w:t>
      </w:r>
    </w:p>
    <w:p w14:paraId="20B49FF1" w14:textId="77777777" w:rsidR="00FC2F89" w:rsidRDefault="00FC2F89" w:rsidP="005077A7">
      <w:pPr>
        <w:pStyle w:val="a"/>
        <w:rPr>
          <w:rFonts w:eastAsiaTheme="minorEastAsia" w:cstheme="minorBidi"/>
          <w:noProof/>
          <w:sz w:val="22"/>
          <w:szCs w:val="22"/>
          <w:rtl/>
        </w:rPr>
      </w:pPr>
      <w:r>
        <w:rPr>
          <w:noProof/>
          <w:rtl/>
        </w:rPr>
        <w:t>ביאור הרמב"ם בפיהמ"ש בגדר החזקה דא"א לחשוש שהיה שינוי</w:t>
      </w:r>
    </w:p>
    <w:p w14:paraId="4C68A5DC" w14:textId="77777777" w:rsidR="00FC2F89" w:rsidRDefault="00FC2F89" w:rsidP="005077A7">
      <w:pPr>
        <w:pStyle w:val="a"/>
        <w:rPr>
          <w:rFonts w:eastAsiaTheme="minorEastAsia" w:cstheme="minorBidi"/>
          <w:noProof/>
          <w:sz w:val="22"/>
          <w:szCs w:val="22"/>
          <w:rtl/>
        </w:rPr>
      </w:pPr>
      <w:r>
        <w:rPr>
          <w:noProof/>
          <w:rtl/>
        </w:rPr>
        <w:t>ביאור התוי"ט בדברי הרמב"ם בפיהמ"ש דאם חוששים לשינוי לעולם נחשוש לשינוי</w:t>
      </w:r>
    </w:p>
    <w:p w14:paraId="65AFC36F" w14:textId="77777777" w:rsidR="00FC2F89" w:rsidRDefault="00FC2F89" w:rsidP="005077A7">
      <w:pPr>
        <w:pStyle w:val="a"/>
        <w:rPr>
          <w:rFonts w:eastAsiaTheme="minorEastAsia" w:cstheme="minorBidi"/>
          <w:noProof/>
          <w:sz w:val="22"/>
          <w:szCs w:val="22"/>
          <w:rtl/>
        </w:rPr>
      </w:pPr>
      <w:r>
        <w:rPr>
          <w:noProof/>
          <w:rtl/>
        </w:rPr>
        <w:t>דברי החמדת שלמה דלהרמב"ם בפיהמ"ש החזקה אינה בירור אלא גזיה"כ</w:t>
      </w:r>
    </w:p>
    <w:p w14:paraId="22E9635A" w14:textId="77777777" w:rsidR="00FC2F89" w:rsidRDefault="00FC2F89" w:rsidP="005077A7">
      <w:pPr>
        <w:pStyle w:val="a"/>
        <w:rPr>
          <w:rFonts w:eastAsiaTheme="minorEastAsia" w:cstheme="minorBidi"/>
          <w:noProof/>
          <w:sz w:val="22"/>
          <w:szCs w:val="22"/>
          <w:rtl/>
        </w:rPr>
      </w:pPr>
      <w:r>
        <w:rPr>
          <w:noProof/>
          <w:rtl/>
        </w:rPr>
        <w:t>דברי החמדת שלמה דהנ"מ בין ב' הביאורים אי מעמידים על החזקה בתרתי דסתרי</w:t>
      </w:r>
    </w:p>
    <w:p w14:paraId="6E9527FE" w14:textId="77777777" w:rsidR="00FC2F89" w:rsidRDefault="00FC2F89" w:rsidP="005077A7">
      <w:pPr>
        <w:pStyle w:val="a"/>
        <w:rPr>
          <w:rFonts w:eastAsiaTheme="minorEastAsia" w:cstheme="minorBidi"/>
          <w:noProof/>
          <w:sz w:val="22"/>
          <w:szCs w:val="22"/>
          <w:rtl/>
        </w:rPr>
      </w:pPr>
      <w:r>
        <w:rPr>
          <w:noProof/>
          <w:rtl/>
        </w:rPr>
        <w:t>דברי החמדת שלמה דיש עוד נ"מ בין ב' הביאורים אי מעמידים על החזקה כשיש ריעותא</w:t>
      </w:r>
    </w:p>
    <w:p w14:paraId="6B2C333B" w14:textId="77777777" w:rsidR="00FC2F89" w:rsidRDefault="00FC2F89" w:rsidP="005077A7">
      <w:pPr>
        <w:pStyle w:val="a"/>
        <w:rPr>
          <w:rFonts w:eastAsiaTheme="minorEastAsia" w:cstheme="minorBidi"/>
          <w:noProof/>
          <w:sz w:val="22"/>
          <w:szCs w:val="22"/>
          <w:rtl/>
        </w:rPr>
      </w:pPr>
      <w:r>
        <w:rPr>
          <w:noProof/>
          <w:rtl/>
        </w:rPr>
        <w:t>ביאור החמדת שלמה דהתוס' בקושיה ס"ל דהחזקה היא בירור ומנלן דמעמידים כשיש ריעותא</w:t>
      </w:r>
    </w:p>
    <w:p w14:paraId="19B6574C" w14:textId="77777777" w:rsidR="00FC2F89" w:rsidRDefault="00FC2F89" w:rsidP="005077A7">
      <w:pPr>
        <w:pStyle w:val="a"/>
        <w:rPr>
          <w:rFonts w:eastAsiaTheme="minorEastAsia" w:cstheme="minorBidi"/>
          <w:noProof/>
          <w:sz w:val="22"/>
          <w:szCs w:val="22"/>
          <w:rtl/>
        </w:rPr>
      </w:pPr>
      <w:r>
        <w:rPr>
          <w:noProof/>
          <w:rtl/>
        </w:rPr>
        <w:t>ביאור החמד</w:t>
      </w:r>
      <w:r>
        <w:rPr>
          <w:rFonts w:hint="cs"/>
          <w:noProof/>
          <w:rtl/>
        </w:rPr>
        <w:t>"</w:t>
      </w:r>
      <w:r>
        <w:rPr>
          <w:noProof/>
          <w:rtl/>
        </w:rPr>
        <w:t>ש בתי' התוס' דחזקה אינה בירור וילפינן מבית המנוגע לריעותא ותרתי דסתרי</w:t>
      </w:r>
    </w:p>
    <w:p w14:paraId="033FB1A4" w14:textId="77777777" w:rsidR="00FC2F89" w:rsidRDefault="00FC2F89" w:rsidP="00FC2F89">
      <w:pPr>
        <w:pStyle w:val="aff4"/>
        <w:rPr>
          <w:rFonts w:eastAsiaTheme="minorEastAsia" w:cstheme="minorBidi"/>
          <w:i/>
          <w:iCs/>
          <w:noProof/>
          <w:sz w:val="22"/>
          <w:szCs w:val="22"/>
          <w:rtl/>
        </w:rPr>
      </w:pPr>
      <w:bookmarkStart w:id="6520" w:name="_Toc19435464"/>
      <w:bookmarkStart w:id="6521" w:name="_Toc20080777"/>
      <w:r>
        <w:rPr>
          <w:noProof/>
          <w:rtl/>
        </w:rPr>
        <w:t>דברי השע"מ בפלוגתת הראשונים בחזקה שיש בה ריעותא</w:t>
      </w:r>
      <w:bookmarkEnd w:id="6520"/>
      <w:bookmarkEnd w:id="6521"/>
    </w:p>
    <w:p w14:paraId="3D8E8871" w14:textId="77777777" w:rsidR="00FC2F89" w:rsidRDefault="00FC2F89" w:rsidP="005077A7">
      <w:pPr>
        <w:pStyle w:val="a"/>
        <w:rPr>
          <w:rFonts w:eastAsiaTheme="minorEastAsia" w:cstheme="minorBidi"/>
          <w:noProof/>
          <w:sz w:val="22"/>
          <w:szCs w:val="22"/>
          <w:rtl/>
        </w:rPr>
      </w:pPr>
      <w:r>
        <w:rPr>
          <w:noProof/>
          <w:rtl/>
        </w:rPr>
        <w:t>דברי השע"מ דלדעת רבינו יונה והר"ן מעמידים על החזקה כשיש ריעותא</w:t>
      </w:r>
    </w:p>
    <w:p w14:paraId="201522CF" w14:textId="77777777" w:rsidR="00FC2F89" w:rsidRDefault="00FC2F89" w:rsidP="005077A7">
      <w:pPr>
        <w:pStyle w:val="a"/>
        <w:rPr>
          <w:rFonts w:eastAsiaTheme="minorEastAsia" w:cstheme="minorBidi"/>
          <w:noProof/>
          <w:sz w:val="22"/>
          <w:szCs w:val="22"/>
          <w:rtl/>
        </w:rPr>
      </w:pPr>
      <w:r>
        <w:rPr>
          <w:noProof/>
          <w:rtl/>
        </w:rPr>
        <w:t>דברי השע"מ דלדעת הטור אין מעמידים על החזקה כשיש ריעותא</w:t>
      </w:r>
    </w:p>
    <w:p w14:paraId="65E51BD0" w14:textId="77777777" w:rsidR="00FC2F89" w:rsidRDefault="00FC2F89" w:rsidP="005077A7">
      <w:pPr>
        <w:pStyle w:val="a"/>
        <w:rPr>
          <w:rFonts w:eastAsiaTheme="minorEastAsia" w:cstheme="minorBidi"/>
          <w:noProof/>
          <w:sz w:val="22"/>
          <w:szCs w:val="22"/>
          <w:rtl/>
        </w:rPr>
      </w:pPr>
      <w:r>
        <w:rPr>
          <w:noProof/>
          <w:rtl/>
        </w:rPr>
        <w:t>דברי השע"מ דלדעת התוס' ביבמות אין מעמידים על החזקה כשיש ריעותא</w:t>
      </w:r>
    </w:p>
    <w:p w14:paraId="2168F8BE" w14:textId="77777777" w:rsidR="00FC2F89" w:rsidRDefault="00FC2F89" w:rsidP="00FC2F89">
      <w:pPr>
        <w:pStyle w:val="2"/>
        <w:rPr>
          <w:rFonts w:eastAsiaTheme="minorEastAsia" w:cstheme="minorBidi"/>
          <w:i/>
          <w:iCs/>
          <w:noProof/>
          <w:sz w:val="22"/>
          <w:szCs w:val="22"/>
          <w:rtl/>
        </w:rPr>
      </w:pPr>
      <w:bookmarkStart w:id="6522" w:name="_Toc19435465"/>
      <w:r>
        <w:rPr>
          <w:noProof/>
          <w:rtl/>
        </w:rPr>
        <w:t>בדין תרתי לריעותא בבית המנוגע</w:t>
      </w:r>
      <w:bookmarkEnd w:id="6522"/>
    </w:p>
    <w:p w14:paraId="531B665E" w14:textId="77777777" w:rsidR="00FC2F89" w:rsidRDefault="00FC2F89" w:rsidP="00FC2F89">
      <w:pPr>
        <w:pStyle w:val="aff4"/>
        <w:rPr>
          <w:rFonts w:eastAsiaTheme="minorEastAsia" w:cstheme="minorBidi"/>
          <w:i/>
          <w:iCs/>
          <w:noProof/>
          <w:sz w:val="22"/>
          <w:szCs w:val="22"/>
          <w:rtl/>
        </w:rPr>
      </w:pPr>
      <w:bookmarkStart w:id="6523" w:name="_Toc19435466"/>
      <w:bookmarkStart w:id="6524" w:name="_Toc20080778"/>
      <w:r>
        <w:rPr>
          <w:noProof/>
          <w:rtl/>
        </w:rPr>
        <w:t>קושית התוס' דנעמיד את הגברא בחזקת טהור כמו במקוה</w:t>
      </w:r>
      <w:bookmarkEnd w:id="6523"/>
      <w:bookmarkEnd w:id="6524"/>
    </w:p>
    <w:p w14:paraId="5D32F9B7" w14:textId="77777777" w:rsidR="00FC2F89" w:rsidRDefault="00FC2F89" w:rsidP="005077A7">
      <w:pPr>
        <w:pStyle w:val="a"/>
        <w:rPr>
          <w:rFonts w:eastAsiaTheme="minorEastAsia" w:cstheme="minorBidi"/>
          <w:noProof/>
          <w:sz w:val="22"/>
          <w:szCs w:val="22"/>
          <w:rtl/>
        </w:rPr>
      </w:pPr>
      <w:r>
        <w:rPr>
          <w:noProof/>
          <w:rtl/>
        </w:rPr>
        <w:t>קושית התוס' דכמו דבמקוה אמרינן תרת"ל בנגע נעמיד את הגברא בחזקת טהור דהרי חסר לפניך</w:t>
      </w:r>
    </w:p>
    <w:p w14:paraId="07A2CBF5" w14:textId="77777777" w:rsidR="00FC2F89" w:rsidRDefault="00FC2F89" w:rsidP="00FC2F89">
      <w:pPr>
        <w:pStyle w:val="aff4"/>
        <w:rPr>
          <w:rFonts w:eastAsiaTheme="minorEastAsia" w:cstheme="minorBidi"/>
          <w:i/>
          <w:iCs/>
          <w:noProof/>
          <w:sz w:val="22"/>
          <w:szCs w:val="22"/>
          <w:rtl/>
        </w:rPr>
      </w:pPr>
      <w:bookmarkStart w:id="6525" w:name="_Toc19435467"/>
      <w:bookmarkStart w:id="6526" w:name="_Toc20080779"/>
      <w:r>
        <w:rPr>
          <w:noProof/>
          <w:rtl/>
        </w:rPr>
        <w:t>ביאור הר"ש משנץ דחזקת הגברא לא מהני לזמן ההסגר</w:t>
      </w:r>
      <w:bookmarkEnd w:id="6525"/>
      <w:bookmarkEnd w:id="6526"/>
    </w:p>
    <w:p w14:paraId="0B772DC1" w14:textId="77777777" w:rsidR="00FC2F89" w:rsidRDefault="00FC2F89" w:rsidP="005077A7">
      <w:pPr>
        <w:pStyle w:val="a"/>
        <w:rPr>
          <w:rFonts w:eastAsiaTheme="minorEastAsia" w:cstheme="minorBidi"/>
          <w:noProof/>
          <w:sz w:val="22"/>
          <w:szCs w:val="22"/>
          <w:rtl/>
        </w:rPr>
      </w:pPr>
      <w:r>
        <w:rPr>
          <w:noProof/>
          <w:rtl/>
        </w:rPr>
        <w:t>דברי הר"ש משנץ דמקוה ע"י התרת"ל אי"ז טבילה אבל בנגע עדיין הוא טמא דנכנס לבית מוסגר</w:t>
      </w:r>
    </w:p>
    <w:p w14:paraId="7622FDFB" w14:textId="77777777" w:rsidR="00FC2F89" w:rsidRDefault="00FC2F89" w:rsidP="005077A7">
      <w:pPr>
        <w:pStyle w:val="a"/>
        <w:rPr>
          <w:rFonts w:eastAsiaTheme="minorEastAsia" w:cstheme="minorBidi"/>
          <w:noProof/>
          <w:sz w:val="22"/>
          <w:szCs w:val="22"/>
          <w:rtl/>
        </w:rPr>
      </w:pPr>
      <w:r>
        <w:rPr>
          <w:noProof/>
          <w:rtl/>
        </w:rPr>
        <w:t>ביאור הר"ש משנץ דהחזקת טהרה של הגברא היא על זמן כניסתו ולא מהני לזמן שהסגיר הכהן</w:t>
      </w:r>
    </w:p>
    <w:p w14:paraId="37768137" w14:textId="77777777" w:rsidR="00FC2F89" w:rsidRDefault="00FC2F89" w:rsidP="00FC2F89">
      <w:pPr>
        <w:pStyle w:val="aff4"/>
        <w:rPr>
          <w:rFonts w:eastAsiaTheme="minorEastAsia" w:cstheme="minorBidi"/>
          <w:i/>
          <w:iCs/>
          <w:noProof/>
          <w:sz w:val="22"/>
          <w:szCs w:val="22"/>
          <w:rtl/>
        </w:rPr>
      </w:pPr>
      <w:bookmarkStart w:id="6527" w:name="_Toc19435468"/>
      <w:bookmarkStart w:id="6528" w:name="_Toc20080780"/>
      <w:r>
        <w:rPr>
          <w:noProof/>
          <w:rtl/>
        </w:rPr>
        <w:t>תירוץ השיטמ"ק דהחזקת טהרה של הגברא אינה בנדון הספק</w:t>
      </w:r>
      <w:bookmarkEnd w:id="6527"/>
      <w:bookmarkEnd w:id="6528"/>
    </w:p>
    <w:p w14:paraId="5847FEB5" w14:textId="77777777" w:rsidR="00FC2F89" w:rsidRDefault="00FC2F89" w:rsidP="005077A7">
      <w:pPr>
        <w:pStyle w:val="a"/>
        <w:rPr>
          <w:rFonts w:eastAsiaTheme="minorEastAsia" w:cstheme="minorBidi"/>
          <w:noProof/>
          <w:sz w:val="22"/>
          <w:szCs w:val="22"/>
          <w:rtl/>
        </w:rPr>
      </w:pPr>
      <w:r>
        <w:rPr>
          <w:noProof/>
          <w:rtl/>
        </w:rPr>
        <w:t>תירוץ השיטמ"ק בשם י"מ דהנדון הוא על הבית ולא מהני לזה החזקת טהרה של הגברא</w:t>
      </w:r>
    </w:p>
    <w:p w14:paraId="5D035CE3" w14:textId="77777777" w:rsidR="00FC2F89" w:rsidRDefault="00FC2F89" w:rsidP="00FC2F89">
      <w:pPr>
        <w:pStyle w:val="aff4"/>
        <w:rPr>
          <w:rFonts w:eastAsiaTheme="minorEastAsia" w:cstheme="minorBidi"/>
          <w:i/>
          <w:iCs/>
          <w:noProof/>
          <w:sz w:val="22"/>
          <w:szCs w:val="22"/>
          <w:rtl/>
        </w:rPr>
      </w:pPr>
      <w:bookmarkStart w:id="6529" w:name="_Toc19435469"/>
      <w:bookmarkStart w:id="6530" w:name="_Toc20080781"/>
      <w:r>
        <w:rPr>
          <w:noProof/>
          <w:rtl/>
        </w:rPr>
        <w:t>ביאור התורא"ש והתוס' בנדה דבנגע אין את סברת חסר ואתאי</w:t>
      </w:r>
      <w:bookmarkEnd w:id="6529"/>
      <w:bookmarkEnd w:id="6530"/>
    </w:p>
    <w:p w14:paraId="650F6952" w14:textId="77777777" w:rsidR="00FC2F89" w:rsidRDefault="00FC2F89" w:rsidP="005077A7">
      <w:pPr>
        <w:pStyle w:val="a"/>
        <w:rPr>
          <w:rFonts w:eastAsiaTheme="minorEastAsia" w:cstheme="minorBidi"/>
          <w:noProof/>
          <w:sz w:val="22"/>
          <w:szCs w:val="22"/>
          <w:rtl/>
        </w:rPr>
      </w:pPr>
      <w:r>
        <w:rPr>
          <w:noProof/>
          <w:rtl/>
        </w:rPr>
        <w:t>תירוץ התוס' הרא"ש דבמקוה לא מעמידים על החזקה דמעיקרא מחמת סברת חסר ואתאי</w:t>
      </w:r>
    </w:p>
    <w:p w14:paraId="1B486E78" w14:textId="77777777" w:rsidR="00FC2F89" w:rsidRDefault="00FC2F89" w:rsidP="005077A7">
      <w:pPr>
        <w:pStyle w:val="a"/>
        <w:rPr>
          <w:rFonts w:eastAsiaTheme="minorEastAsia" w:cstheme="minorBidi"/>
          <w:noProof/>
          <w:sz w:val="22"/>
          <w:szCs w:val="22"/>
          <w:rtl/>
        </w:rPr>
      </w:pPr>
      <w:r>
        <w:rPr>
          <w:noProof/>
          <w:rtl/>
        </w:rPr>
        <w:t>תירוץ התוס' בנדה דנגע מתחסר בב"א ואמרינן שנחסר מיד כשיצא הכהן מן הבית</w:t>
      </w:r>
    </w:p>
    <w:p w14:paraId="44C2B8DA" w14:textId="77777777" w:rsidR="00FC2F89" w:rsidRDefault="00FC2F89" w:rsidP="00FC2F89">
      <w:pPr>
        <w:pStyle w:val="aff4"/>
        <w:rPr>
          <w:rFonts w:eastAsiaTheme="minorEastAsia" w:cstheme="minorBidi"/>
          <w:i/>
          <w:iCs/>
          <w:noProof/>
          <w:sz w:val="22"/>
          <w:szCs w:val="22"/>
          <w:rtl/>
        </w:rPr>
      </w:pPr>
      <w:bookmarkStart w:id="6531" w:name="_Toc19435470"/>
      <w:bookmarkStart w:id="6532" w:name="_Toc20080782"/>
      <w:r>
        <w:rPr>
          <w:noProof/>
          <w:rtl/>
        </w:rPr>
        <w:t>ביאורי האחרונים בדברי התוס' בנדה</w:t>
      </w:r>
      <w:bookmarkEnd w:id="6531"/>
      <w:bookmarkEnd w:id="6532"/>
    </w:p>
    <w:p w14:paraId="7D3A5311" w14:textId="77777777" w:rsidR="00FC2F89" w:rsidRDefault="00FC2F89" w:rsidP="005077A7">
      <w:pPr>
        <w:pStyle w:val="a"/>
        <w:rPr>
          <w:rFonts w:eastAsiaTheme="minorEastAsia" w:cstheme="minorBidi"/>
          <w:noProof/>
          <w:sz w:val="22"/>
          <w:szCs w:val="22"/>
          <w:rtl/>
        </w:rPr>
      </w:pPr>
      <w:r>
        <w:rPr>
          <w:noProof/>
          <w:rtl/>
        </w:rPr>
        <w:t>ביאור הראש יוסף דרק מחמת דח</w:t>
      </w:r>
      <w:r>
        <w:rPr>
          <w:rFonts w:hint="cs"/>
          <w:noProof/>
          <w:rtl/>
        </w:rPr>
        <w:t>סר</w:t>
      </w:r>
      <w:r>
        <w:rPr>
          <w:noProof/>
          <w:rtl/>
        </w:rPr>
        <w:t xml:space="preserve"> ואתאי מהני החזקה דהשתא במקום חזקה דמעיקרא</w:t>
      </w:r>
    </w:p>
    <w:p w14:paraId="4191A524" w14:textId="77777777" w:rsidR="00FC2F89" w:rsidRDefault="00FC2F89" w:rsidP="005077A7">
      <w:pPr>
        <w:pStyle w:val="a"/>
        <w:rPr>
          <w:rFonts w:eastAsiaTheme="minorEastAsia" w:cstheme="minorBidi"/>
          <w:noProof/>
          <w:sz w:val="22"/>
          <w:szCs w:val="22"/>
          <w:rtl/>
        </w:rPr>
      </w:pPr>
      <w:r>
        <w:rPr>
          <w:noProof/>
          <w:rtl/>
        </w:rPr>
        <w:t>ביאור הבכור שור דהתוס' בנדה אליבא דרב חסדא והתוס' בסוגיין אליבא דרב הונא</w:t>
      </w:r>
    </w:p>
    <w:p w14:paraId="0B793A8F" w14:textId="77777777" w:rsidR="003741AC" w:rsidRDefault="003741AC" w:rsidP="00FC2F89">
      <w:pPr>
        <w:pStyle w:val="aff4"/>
        <w:rPr>
          <w:noProof/>
          <w:rtl/>
        </w:rPr>
      </w:pPr>
    </w:p>
    <w:p w14:paraId="44C849AE" w14:textId="77777777" w:rsidR="00FC2F89" w:rsidRDefault="00FC2F89" w:rsidP="00FC2F89">
      <w:pPr>
        <w:pStyle w:val="aff4"/>
        <w:rPr>
          <w:rFonts w:eastAsiaTheme="minorEastAsia" w:cstheme="minorBidi"/>
          <w:i/>
          <w:iCs/>
          <w:noProof/>
          <w:sz w:val="22"/>
          <w:szCs w:val="22"/>
          <w:rtl/>
        </w:rPr>
      </w:pPr>
      <w:bookmarkStart w:id="6533" w:name="_Toc19435471"/>
      <w:bookmarkStart w:id="6534" w:name="_Toc20080783"/>
      <w:r>
        <w:rPr>
          <w:noProof/>
          <w:rtl/>
        </w:rPr>
        <w:t>ביאורי האחרונים בדברי התוס' בנדה דהבית טמא מגזיה"כ</w:t>
      </w:r>
      <w:bookmarkEnd w:id="6533"/>
      <w:bookmarkEnd w:id="6534"/>
    </w:p>
    <w:p w14:paraId="52BF67DC" w14:textId="77777777" w:rsidR="00FC2F89" w:rsidRDefault="00FC2F89" w:rsidP="005077A7">
      <w:pPr>
        <w:pStyle w:val="a"/>
        <w:rPr>
          <w:rFonts w:eastAsiaTheme="minorEastAsia" w:cstheme="minorBidi"/>
          <w:noProof/>
          <w:sz w:val="22"/>
          <w:szCs w:val="22"/>
          <w:rtl/>
        </w:rPr>
      </w:pPr>
      <w:r>
        <w:rPr>
          <w:noProof/>
          <w:rtl/>
        </w:rPr>
        <w:t>קושית המהר"ם למה הוסיפו התוס' דיש גזיה"כ הא כבר תירצו דאין את סברת חסר ואתאי</w:t>
      </w:r>
    </w:p>
    <w:p w14:paraId="14003FFC" w14:textId="77777777" w:rsidR="00FC2F89" w:rsidRDefault="00FC2F89" w:rsidP="005077A7">
      <w:pPr>
        <w:pStyle w:val="a"/>
        <w:rPr>
          <w:rFonts w:eastAsiaTheme="minorEastAsia" w:cstheme="minorBidi"/>
          <w:noProof/>
          <w:sz w:val="22"/>
          <w:szCs w:val="22"/>
          <w:rtl/>
        </w:rPr>
      </w:pPr>
      <w:r>
        <w:rPr>
          <w:noProof/>
          <w:rtl/>
        </w:rPr>
        <w:t>ביאור המהר"ם דאף שהחזקת טהרה סותרת את חזקת הנגע מ"מ יש גזיה"כ דטמא בודאי</w:t>
      </w:r>
    </w:p>
    <w:p w14:paraId="68A370F3" w14:textId="77777777" w:rsidR="00FC2F89" w:rsidRDefault="00FC2F89" w:rsidP="005077A7">
      <w:pPr>
        <w:pStyle w:val="a"/>
        <w:rPr>
          <w:rFonts w:eastAsiaTheme="minorEastAsia" w:cstheme="minorBidi"/>
          <w:noProof/>
          <w:sz w:val="22"/>
          <w:szCs w:val="22"/>
          <w:rtl/>
        </w:rPr>
      </w:pPr>
      <w:r>
        <w:rPr>
          <w:noProof/>
          <w:rtl/>
        </w:rPr>
        <w:t>ביאור המהר"ם דכיון שאין את סברת חסר ואתאי ל אמהני החזקה דהשתא</w:t>
      </w:r>
    </w:p>
    <w:p w14:paraId="61310247" w14:textId="77777777" w:rsidR="00FC2F89" w:rsidRDefault="00FC2F89" w:rsidP="005077A7">
      <w:pPr>
        <w:pStyle w:val="a"/>
        <w:rPr>
          <w:rFonts w:eastAsiaTheme="minorEastAsia" w:cstheme="minorBidi"/>
          <w:noProof/>
          <w:sz w:val="22"/>
          <w:szCs w:val="22"/>
          <w:rtl/>
        </w:rPr>
      </w:pPr>
      <w:r>
        <w:rPr>
          <w:noProof/>
          <w:rtl/>
        </w:rPr>
        <w:t>ביאור הראש יוסף דכוונת התוס' בנדה דבנכנס לאחר שחסר הנגע הוא טמא כיון שהבית מוסגר</w:t>
      </w:r>
    </w:p>
    <w:p w14:paraId="30313C21" w14:textId="77777777" w:rsidR="00FC2F89" w:rsidRDefault="00FC2F89" w:rsidP="00FC2F89">
      <w:pPr>
        <w:pStyle w:val="aff4"/>
        <w:rPr>
          <w:rFonts w:eastAsiaTheme="minorEastAsia" w:cstheme="minorBidi"/>
          <w:i/>
          <w:iCs/>
          <w:noProof/>
          <w:sz w:val="22"/>
          <w:szCs w:val="22"/>
          <w:rtl/>
        </w:rPr>
      </w:pPr>
      <w:bookmarkStart w:id="6535" w:name="_Toc19435472"/>
      <w:bookmarkStart w:id="6536" w:name="_Toc20080784"/>
      <w:r>
        <w:rPr>
          <w:noProof/>
          <w:rtl/>
        </w:rPr>
        <w:t>תירוץ החמדת שלמה</w:t>
      </w:r>
      <w:r>
        <w:rPr>
          <w:rFonts w:hint="cs"/>
          <w:noProof/>
          <w:rtl/>
        </w:rPr>
        <w:t xml:space="preserve"> דהנדון על הבית ולא על האדם</w:t>
      </w:r>
      <w:bookmarkEnd w:id="6535"/>
      <w:bookmarkEnd w:id="6536"/>
    </w:p>
    <w:p w14:paraId="6BDC8BC3" w14:textId="77777777" w:rsidR="00FC2F89" w:rsidRDefault="00FC2F89" w:rsidP="005077A7">
      <w:pPr>
        <w:pStyle w:val="a"/>
        <w:rPr>
          <w:rFonts w:eastAsiaTheme="minorEastAsia" w:cstheme="minorBidi"/>
          <w:noProof/>
          <w:sz w:val="22"/>
          <w:szCs w:val="22"/>
          <w:rtl/>
        </w:rPr>
      </w:pPr>
      <w:r>
        <w:rPr>
          <w:noProof/>
          <w:rtl/>
        </w:rPr>
        <w:t>תירוץ החמדת שלמה דבמקוה הנדון הוא על הטובל ובטובל יש תרת"ל</w:t>
      </w:r>
    </w:p>
    <w:p w14:paraId="06EAA683" w14:textId="77777777" w:rsidR="00FC2F89" w:rsidRDefault="00FC2F89" w:rsidP="005077A7">
      <w:pPr>
        <w:pStyle w:val="a"/>
        <w:rPr>
          <w:rFonts w:eastAsiaTheme="minorEastAsia" w:cstheme="minorBidi"/>
          <w:noProof/>
          <w:sz w:val="22"/>
          <w:szCs w:val="22"/>
          <w:rtl/>
        </w:rPr>
      </w:pPr>
      <w:r>
        <w:rPr>
          <w:noProof/>
          <w:rtl/>
        </w:rPr>
        <w:t>דברי החמדת שלמה דבנגע הנדון על הבית ולא מהני התרת"ל שיש באדם שנכנס לבית</w:t>
      </w:r>
    </w:p>
    <w:p w14:paraId="7302AE01" w14:textId="77777777" w:rsidR="00FC2F89" w:rsidRDefault="00FC2F89" w:rsidP="005077A7">
      <w:pPr>
        <w:pStyle w:val="a"/>
        <w:rPr>
          <w:rFonts w:eastAsiaTheme="minorEastAsia" w:cstheme="minorBidi"/>
          <w:noProof/>
          <w:sz w:val="22"/>
          <w:szCs w:val="22"/>
          <w:rtl/>
        </w:rPr>
      </w:pPr>
      <w:r>
        <w:rPr>
          <w:noProof/>
          <w:rtl/>
        </w:rPr>
        <w:t>קושית החמדת שלמה דהא כתבו התוס' דלקולא מעמידים על החזקה ואמאי לא אמרינן תרת"ל</w:t>
      </w:r>
    </w:p>
    <w:p w14:paraId="48DA41F7" w14:textId="77777777" w:rsidR="00FC2F89" w:rsidRDefault="00FC2F89" w:rsidP="005077A7">
      <w:pPr>
        <w:pStyle w:val="a"/>
        <w:rPr>
          <w:rFonts w:eastAsiaTheme="minorEastAsia" w:cstheme="minorBidi"/>
          <w:noProof/>
          <w:sz w:val="22"/>
          <w:szCs w:val="22"/>
          <w:rtl/>
        </w:rPr>
      </w:pPr>
      <w:r>
        <w:rPr>
          <w:noProof/>
          <w:rtl/>
        </w:rPr>
        <w:t>דברי החמדת שלמה דאפשר לחלק דבמקוה לא טבל כלל ובנגע אין נ"מ בשעת החסרון</w:t>
      </w:r>
    </w:p>
    <w:p w14:paraId="78218641" w14:textId="77777777" w:rsidR="00FC2F89" w:rsidRDefault="00FC2F89" w:rsidP="005077A7">
      <w:pPr>
        <w:pStyle w:val="a"/>
        <w:rPr>
          <w:rFonts w:eastAsiaTheme="minorEastAsia" w:cstheme="minorBidi"/>
          <w:noProof/>
          <w:sz w:val="22"/>
          <w:szCs w:val="22"/>
          <w:rtl/>
        </w:rPr>
      </w:pPr>
      <w:r>
        <w:rPr>
          <w:noProof/>
          <w:rtl/>
        </w:rPr>
        <w:t>דברי האחיעזר דבהסגר ראשון ושני עיקר הנדון הוא על האדם ולא על הבית</w:t>
      </w:r>
    </w:p>
    <w:p w14:paraId="39287089" w14:textId="77777777" w:rsidR="00FC2F89" w:rsidRDefault="00FC2F89" w:rsidP="00FC2F89">
      <w:pPr>
        <w:pStyle w:val="2"/>
        <w:rPr>
          <w:rFonts w:eastAsiaTheme="minorEastAsia" w:cstheme="minorBidi"/>
          <w:i/>
          <w:iCs/>
          <w:noProof/>
          <w:sz w:val="22"/>
          <w:szCs w:val="22"/>
          <w:rtl/>
        </w:rPr>
      </w:pPr>
      <w:bookmarkStart w:id="6537" w:name="_Toc19435473"/>
      <w:r>
        <w:rPr>
          <w:noProof/>
          <w:rtl/>
        </w:rPr>
        <w:t>בחילוק בין חזקת הגוף לחזקת דין</w:t>
      </w:r>
      <w:bookmarkEnd w:id="6537"/>
    </w:p>
    <w:p w14:paraId="5F721A99" w14:textId="77777777" w:rsidR="00FC2F89" w:rsidRDefault="00FC2F89" w:rsidP="00FC2F89">
      <w:pPr>
        <w:pStyle w:val="aff4"/>
        <w:rPr>
          <w:rFonts w:eastAsiaTheme="minorEastAsia" w:cstheme="minorBidi"/>
          <w:i/>
          <w:iCs/>
          <w:noProof/>
          <w:sz w:val="22"/>
          <w:szCs w:val="22"/>
          <w:rtl/>
        </w:rPr>
      </w:pPr>
      <w:bookmarkStart w:id="6538" w:name="_Toc19435474"/>
      <w:bookmarkStart w:id="6539" w:name="_Toc20080785"/>
      <w:r>
        <w:rPr>
          <w:noProof/>
          <w:rtl/>
        </w:rPr>
        <w:t>דברי הש"ש דחזקת הגוף עדיפא על שאר החזקות</w:t>
      </w:r>
      <w:bookmarkEnd w:id="6538"/>
      <w:bookmarkEnd w:id="6539"/>
    </w:p>
    <w:p w14:paraId="37734FD3" w14:textId="77777777" w:rsidR="00FC2F89" w:rsidRDefault="00FC2F89" w:rsidP="005077A7">
      <w:pPr>
        <w:pStyle w:val="a"/>
        <w:rPr>
          <w:rFonts w:eastAsiaTheme="minorEastAsia" w:cstheme="minorBidi"/>
          <w:noProof/>
          <w:sz w:val="22"/>
          <w:szCs w:val="22"/>
          <w:rtl/>
        </w:rPr>
      </w:pPr>
      <w:r>
        <w:rPr>
          <w:noProof/>
          <w:rtl/>
        </w:rPr>
        <w:t>דברי הש"ש והפנ"י דחזקת הגוף עדיפא מחזקת דין ומרוב ומהני להוציא ממון מחזקתו</w:t>
      </w:r>
    </w:p>
    <w:p w14:paraId="5DCA2F3C" w14:textId="77777777" w:rsidR="00FC2F89" w:rsidRDefault="00FC2F89" w:rsidP="005077A7">
      <w:pPr>
        <w:pStyle w:val="a"/>
        <w:rPr>
          <w:rFonts w:eastAsiaTheme="minorEastAsia" w:cstheme="minorBidi"/>
          <w:noProof/>
          <w:sz w:val="22"/>
          <w:szCs w:val="22"/>
          <w:rtl/>
        </w:rPr>
      </w:pPr>
      <w:r>
        <w:rPr>
          <w:noProof/>
          <w:rtl/>
        </w:rPr>
        <w:t>דברי הש"ש דספק טומאה ברה"י מטמא בחזקת דין ולא בחזקת הגוף</w:t>
      </w:r>
    </w:p>
    <w:p w14:paraId="30830BFB" w14:textId="77777777" w:rsidR="00FC2F89" w:rsidRDefault="00FC2F89" w:rsidP="00FC2F89">
      <w:pPr>
        <w:pStyle w:val="aff4"/>
        <w:rPr>
          <w:rFonts w:eastAsiaTheme="minorEastAsia" w:cstheme="minorBidi"/>
          <w:i/>
          <w:iCs/>
          <w:noProof/>
          <w:sz w:val="22"/>
          <w:szCs w:val="22"/>
          <w:rtl/>
        </w:rPr>
      </w:pPr>
      <w:bookmarkStart w:id="6540" w:name="_Toc19435475"/>
      <w:bookmarkStart w:id="6541" w:name="_Toc20080786"/>
      <w:r>
        <w:rPr>
          <w:noProof/>
          <w:rtl/>
        </w:rPr>
        <w:t>דברי החוט המשולש דמבית המנוגע לא ילפינן חזקה דמעיקרא</w:t>
      </w:r>
      <w:bookmarkEnd w:id="6540"/>
      <w:bookmarkEnd w:id="6541"/>
    </w:p>
    <w:p w14:paraId="2E6F6757" w14:textId="77777777" w:rsidR="00FC2F89" w:rsidRDefault="00FC2F89" w:rsidP="005077A7">
      <w:pPr>
        <w:pStyle w:val="a"/>
        <w:rPr>
          <w:rFonts w:eastAsiaTheme="minorEastAsia" w:cstheme="minorBidi"/>
          <w:noProof/>
          <w:sz w:val="22"/>
          <w:szCs w:val="22"/>
          <w:rtl/>
        </w:rPr>
      </w:pPr>
      <w:r>
        <w:rPr>
          <w:noProof/>
          <w:rtl/>
        </w:rPr>
        <w:t>דברי החוט המשולש דנגע הוא חזקת הגוף ולא דמי לחזקת דין</w:t>
      </w:r>
    </w:p>
    <w:p w14:paraId="02DC2F34" w14:textId="77777777" w:rsidR="00FC2F89" w:rsidRDefault="00FC2F89" w:rsidP="005077A7">
      <w:pPr>
        <w:pStyle w:val="a"/>
        <w:rPr>
          <w:rFonts w:eastAsiaTheme="minorEastAsia" w:cstheme="minorBidi"/>
          <w:noProof/>
          <w:sz w:val="22"/>
          <w:szCs w:val="22"/>
          <w:rtl/>
        </w:rPr>
      </w:pPr>
      <w:r>
        <w:rPr>
          <w:noProof/>
          <w:rtl/>
        </w:rPr>
        <w:t>קושית החוט המשולש היאך ילפינן חזקת דין מנגע</w:t>
      </w:r>
    </w:p>
    <w:p w14:paraId="540B9304" w14:textId="77777777" w:rsidR="00FC2F89" w:rsidRDefault="00FC2F89" w:rsidP="005077A7">
      <w:pPr>
        <w:pStyle w:val="a"/>
        <w:rPr>
          <w:rFonts w:eastAsiaTheme="minorEastAsia" w:cstheme="minorBidi"/>
          <w:noProof/>
          <w:sz w:val="22"/>
          <w:szCs w:val="22"/>
          <w:rtl/>
        </w:rPr>
      </w:pPr>
      <w:r>
        <w:rPr>
          <w:noProof/>
          <w:rtl/>
        </w:rPr>
        <w:t>דברי החוט המשולש והחלקת יואב דחזקה דמעיקרא היא הלמ"מ או דמסברא אזלינן בתרה</w:t>
      </w:r>
    </w:p>
    <w:p w14:paraId="5B13D1FA" w14:textId="77777777" w:rsidR="00FC2F89" w:rsidRDefault="00FC2F89" w:rsidP="005077A7">
      <w:pPr>
        <w:pStyle w:val="a"/>
        <w:rPr>
          <w:rFonts w:eastAsiaTheme="minorEastAsia" w:cstheme="minorBidi"/>
          <w:noProof/>
          <w:sz w:val="22"/>
          <w:szCs w:val="22"/>
          <w:rtl/>
        </w:rPr>
      </w:pPr>
      <w:r>
        <w:rPr>
          <w:noProof/>
          <w:rtl/>
        </w:rPr>
        <w:t>דברי החת"ס דמנגע ילפינן רק לחזקה קמייתא ולא לחזקת דין וכל החזקות הם הלמ"מ</w:t>
      </w:r>
    </w:p>
    <w:p w14:paraId="226B4647" w14:textId="77777777" w:rsidR="00FC2F89" w:rsidRDefault="00FC2F89" w:rsidP="005077A7">
      <w:pPr>
        <w:pStyle w:val="a"/>
        <w:rPr>
          <w:rFonts w:eastAsiaTheme="minorEastAsia" w:cstheme="minorBidi"/>
          <w:noProof/>
          <w:sz w:val="22"/>
          <w:szCs w:val="22"/>
          <w:rtl/>
        </w:rPr>
      </w:pPr>
      <w:r>
        <w:rPr>
          <w:noProof/>
          <w:rtl/>
        </w:rPr>
        <w:t>דברי החת"ס דהגמ' נקטה דמעמידים על החזקה דהוא בחזקה דמעיקרא ולא כרוב דאזלינן בתריה</w:t>
      </w:r>
    </w:p>
    <w:p w14:paraId="0873DF33" w14:textId="77777777" w:rsidR="00FC2F89" w:rsidRDefault="00FC2F89" w:rsidP="00FC2F89">
      <w:pPr>
        <w:pStyle w:val="2"/>
        <w:rPr>
          <w:rFonts w:eastAsiaTheme="minorEastAsia" w:cstheme="minorBidi"/>
          <w:i/>
          <w:iCs/>
          <w:noProof/>
          <w:sz w:val="22"/>
          <w:szCs w:val="22"/>
          <w:rtl/>
        </w:rPr>
      </w:pPr>
      <w:bookmarkStart w:id="6542" w:name="_Toc19435476"/>
      <w:r>
        <w:rPr>
          <w:noProof/>
          <w:rtl/>
        </w:rPr>
        <w:t>אי ילפינן מנגע לדין סוקלין על החזקות</w:t>
      </w:r>
      <w:bookmarkEnd w:id="6542"/>
    </w:p>
    <w:p w14:paraId="60464CFD" w14:textId="77777777" w:rsidR="00FC2F89" w:rsidRDefault="00FC2F89" w:rsidP="00FC2F89">
      <w:pPr>
        <w:pStyle w:val="aff4"/>
        <w:rPr>
          <w:rFonts w:eastAsiaTheme="minorEastAsia" w:cstheme="minorBidi"/>
          <w:i/>
          <w:iCs/>
          <w:noProof/>
          <w:sz w:val="22"/>
          <w:szCs w:val="22"/>
          <w:rtl/>
        </w:rPr>
      </w:pPr>
      <w:bookmarkStart w:id="6543" w:name="_Toc19435477"/>
      <w:bookmarkStart w:id="6544" w:name="_Toc20080787"/>
      <w:r>
        <w:rPr>
          <w:noProof/>
          <w:rtl/>
        </w:rPr>
        <w:t>פלוגתת האחרונים בגדר החזקה בדין סוקלין על החזקות</w:t>
      </w:r>
      <w:bookmarkEnd w:id="6543"/>
      <w:bookmarkEnd w:id="6544"/>
    </w:p>
    <w:p w14:paraId="04047F39" w14:textId="77777777" w:rsidR="00FC2F89" w:rsidRDefault="00FC2F89" w:rsidP="005077A7">
      <w:pPr>
        <w:pStyle w:val="a"/>
        <w:rPr>
          <w:rFonts w:eastAsiaTheme="minorEastAsia" w:cstheme="minorBidi"/>
          <w:noProof/>
          <w:sz w:val="22"/>
          <w:szCs w:val="22"/>
          <w:rtl/>
        </w:rPr>
      </w:pPr>
      <w:r>
        <w:rPr>
          <w:noProof/>
          <w:rtl/>
        </w:rPr>
        <w:t>דברי הבית שמואל והקרית ספר דמבית המנוגע ילפינן גם את הדין דסוקלין על החזקות</w:t>
      </w:r>
    </w:p>
    <w:p w14:paraId="3B91641B" w14:textId="77777777" w:rsidR="00FC2F89" w:rsidRDefault="00FC2F89" w:rsidP="005077A7">
      <w:pPr>
        <w:pStyle w:val="a"/>
        <w:rPr>
          <w:rFonts w:eastAsiaTheme="minorEastAsia" w:cstheme="minorBidi"/>
          <w:noProof/>
          <w:sz w:val="22"/>
          <w:szCs w:val="22"/>
        </w:rPr>
      </w:pPr>
      <w:r w:rsidRPr="00F00F9E">
        <w:rPr>
          <w:noProof/>
          <w:rtl/>
        </w:rPr>
        <w:t>דחיית החוט המשולש והחת"ס והבית מאיר דדין סוקלין על החזקות לא שייך כלל לילפותא מנגע</w:t>
      </w:r>
    </w:p>
    <w:p w14:paraId="53BA34B4" w14:textId="77777777" w:rsidR="00FC2F89" w:rsidRPr="00640FA7" w:rsidRDefault="00FC2F89" w:rsidP="005077A7">
      <w:pPr>
        <w:pStyle w:val="a"/>
        <w:rPr>
          <w:rFonts w:eastAsiaTheme="minorEastAsia" w:cstheme="minorBidi"/>
          <w:noProof/>
          <w:sz w:val="22"/>
          <w:szCs w:val="22"/>
          <w:rtl/>
        </w:rPr>
      </w:pPr>
      <w:r>
        <w:rPr>
          <w:noProof/>
          <w:rtl/>
        </w:rPr>
        <w:t>דברי הבאר היטב דא"א ללמוד ממקלל ומכה אביו כיון שהיא חזקה שאין בה ריעותא</w:t>
      </w:r>
    </w:p>
    <w:p w14:paraId="2984AF84" w14:textId="77777777" w:rsidR="00FC2F89" w:rsidRDefault="00FC2F89" w:rsidP="00FC2F89">
      <w:pPr>
        <w:pStyle w:val="2"/>
        <w:rPr>
          <w:noProof/>
          <w:rtl/>
        </w:rPr>
      </w:pPr>
    </w:p>
    <w:p w14:paraId="624E116D" w14:textId="77777777" w:rsidR="00FC2F89" w:rsidRDefault="00FC2F89" w:rsidP="00FC2F89">
      <w:pPr>
        <w:pStyle w:val="2"/>
        <w:rPr>
          <w:rFonts w:eastAsiaTheme="minorEastAsia" w:cstheme="minorBidi"/>
          <w:i/>
          <w:iCs/>
          <w:noProof/>
          <w:sz w:val="22"/>
          <w:szCs w:val="22"/>
          <w:rtl/>
        </w:rPr>
      </w:pPr>
      <w:bookmarkStart w:id="6545" w:name="_Toc19435478"/>
      <w:r>
        <w:rPr>
          <w:noProof/>
          <w:rtl/>
        </w:rPr>
        <w:t>ביאורי ראשי הישיבות על הסוגיא</w:t>
      </w:r>
      <w:bookmarkEnd w:id="6545"/>
    </w:p>
    <w:p w14:paraId="67FF5E75" w14:textId="77777777" w:rsidR="00FC2F89" w:rsidRDefault="00FC2F89" w:rsidP="00FC2F89">
      <w:pPr>
        <w:pStyle w:val="2"/>
        <w:rPr>
          <w:rFonts w:eastAsiaTheme="minorEastAsia" w:cstheme="minorBidi"/>
          <w:i/>
          <w:iCs/>
          <w:noProof/>
          <w:sz w:val="22"/>
          <w:szCs w:val="22"/>
          <w:rtl/>
        </w:rPr>
      </w:pPr>
      <w:bookmarkStart w:id="6546" w:name="_Toc19435479"/>
      <w:r>
        <w:rPr>
          <w:noProof/>
          <w:rtl/>
        </w:rPr>
        <w:t>בחילוק בין חזקת הגוף לחזקת דין</w:t>
      </w:r>
      <w:bookmarkEnd w:id="6546"/>
    </w:p>
    <w:p w14:paraId="4AD7A2DE" w14:textId="77777777" w:rsidR="00FC2F89" w:rsidRDefault="00FC2F89" w:rsidP="00FC2F89">
      <w:pPr>
        <w:pStyle w:val="aff4"/>
        <w:rPr>
          <w:rFonts w:eastAsiaTheme="minorEastAsia" w:cstheme="minorBidi"/>
          <w:i/>
          <w:iCs/>
          <w:noProof/>
          <w:sz w:val="22"/>
          <w:szCs w:val="22"/>
          <w:rtl/>
        </w:rPr>
      </w:pPr>
      <w:bookmarkStart w:id="6547" w:name="_Toc19435480"/>
      <w:bookmarkStart w:id="6548" w:name="_Toc20080788"/>
      <w:r>
        <w:rPr>
          <w:noProof/>
          <w:rtl/>
        </w:rPr>
        <w:t>ביאור השער"י דהילפותא מנגע דחזקה מכריע את מקור הספק</w:t>
      </w:r>
      <w:bookmarkEnd w:id="6547"/>
      <w:bookmarkEnd w:id="6548"/>
    </w:p>
    <w:p w14:paraId="4D8FFBDC" w14:textId="77777777" w:rsidR="00FC2F89" w:rsidRDefault="00FC2F89" w:rsidP="005077A7">
      <w:pPr>
        <w:pStyle w:val="a"/>
        <w:rPr>
          <w:rFonts w:eastAsiaTheme="minorEastAsia" w:cstheme="minorBidi"/>
          <w:noProof/>
          <w:sz w:val="22"/>
          <w:szCs w:val="22"/>
          <w:rtl/>
        </w:rPr>
      </w:pPr>
      <w:r>
        <w:rPr>
          <w:noProof/>
          <w:rtl/>
        </w:rPr>
        <w:t>קושית השער"י היאך ילפינן מנגע שהוא חזקת הגוף לשאר החזקות דהם חזקת דין</w:t>
      </w:r>
    </w:p>
    <w:p w14:paraId="27BDFF44" w14:textId="77777777" w:rsidR="00FC2F89" w:rsidRDefault="00FC2F89" w:rsidP="005077A7">
      <w:pPr>
        <w:pStyle w:val="a"/>
        <w:rPr>
          <w:rFonts w:eastAsiaTheme="minorEastAsia" w:cstheme="minorBidi"/>
          <w:noProof/>
          <w:sz w:val="22"/>
          <w:szCs w:val="22"/>
          <w:rtl/>
        </w:rPr>
      </w:pPr>
      <w:r>
        <w:rPr>
          <w:noProof/>
          <w:rtl/>
        </w:rPr>
        <w:t>דברי השער"י דחזקה שהיא במקור הספק יש בה יותר כח להכריע</w:t>
      </w:r>
    </w:p>
    <w:p w14:paraId="3EF68D19" w14:textId="77777777" w:rsidR="00FC2F89" w:rsidRDefault="00FC2F89" w:rsidP="005077A7">
      <w:pPr>
        <w:pStyle w:val="a"/>
        <w:rPr>
          <w:rFonts w:eastAsiaTheme="minorEastAsia" w:cstheme="minorBidi"/>
          <w:noProof/>
          <w:sz w:val="22"/>
          <w:szCs w:val="22"/>
          <w:rtl/>
        </w:rPr>
      </w:pPr>
      <w:r>
        <w:rPr>
          <w:noProof/>
          <w:rtl/>
        </w:rPr>
        <w:t>ביאור השער"י דילפינן מנגע דחזקת הגוף מבטלת את הספק וה"ה לחזקת דין</w:t>
      </w:r>
    </w:p>
    <w:p w14:paraId="138FD72B" w14:textId="77777777" w:rsidR="00FC2F89" w:rsidRDefault="00FC2F89" w:rsidP="005077A7">
      <w:pPr>
        <w:pStyle w:val="a"/>
        <w:rPr>
          <w:rFonts w:eastAsiaTheme="minorEastAsia" w:cstheme="minorBidi"/>
          <w:noProof/>
          <w:sz w:val="22"/>
          <w:szCs w:val="22"/>
          <w:rtl/>
        </w:rPr>
      </w:pPr>
      <w:r>
        <w:rPr>
          <w:noProof/>
          <w:rtl/>
        </w:rPr>
        <w:t>דברי השער"י דכיון שחזקה מכריעה את הספק חזקת הגוף עדיפא דהיא מכריעה את עיקר הספק</w:t>
      </w:r>
    </w:p>
    <w:p w14:paraId="103E535B" w14:textId="77777777" w:rsidR="00FC2F89" w:rsidRDefault="00FC2F89" w:rsidP="00FC2F89">
      <w:pPr>
        <w:pStyle w:val="aff4"/>
        <w:rPr>
          <w:rFonts w:eastAsiaTheme="minorEastAsia" w:cstheme="minorBidi"/>
          <w:i/>
          <w:iCs/>
          <w:noProof/>
          <w:sz w:val="22"/>
          <w:szCs w:val="22"/>
          <w:rtl/>
        </w:rPr>
      </w:pPr>
      <w:bookmarkStart w:id="6549" w:name="_Toc19435481"/>
      <w:bookmarkStart w:id="6550" w:name="_Toc20080789"/>
      <w:r>
        <w:rPr>
          <w:noProof/>
          <w:rtl/>
        </w:rPr>
        <w:t>ביאור הקוב"ש דחזקת הגוף הוא שינוי גדול יותר מחזקת דין</w:t>
      </w:r>
      <w:bookmarkEnd w:id="6549"/>
      <w:bookmarkEnd w:id="6550"/>
    </w:p>
    <w:p w14:paraId="42108F84" w14:textId="77777777" w:rsidR="00FC2F89" w:rsidRDefault="00FC2F89" w:rsidP="005077A7">
      <w:pPr>
        <w:pStyle w:val="a"/>
        <w:rPr>
          <w:rFonts w:eastAsiaTheme="minorEastAsia" w:cstheme="minorBidi"/>
          <w:noProof/>
          <w:sz w:val="22"/>
          <w:szCs w:val="22"/>
          <w:rtl/>
        </w:rPr>
      </w:pPr>
      <w:r>
        <w:rPr>
          <w:noProof/>
          <w:rtl/>
        </w:rPr>
        <w:t>קושית הקוב"ש על הש"ש דחזקת הגוף היא חזקה אלימתא והיאך ילפינן ממנה לשאר החזקות</w:t>
      </w:r>
    </w:p>
    <w:p w14:paraId="105EA368" w14:textId="77777777" w:rsidR="00FC2F89" w:rsidRDefault="00FC2F89" w:rsidP="005077A7">
      <w:pPr>
        <w:pStyle w:val="a"/>
        <w:rPr>
          <w:rFonts w:eastAsiaTheme="minorEastAsia" w:cstheme="minorBidi"/>
          <w:noProof/>
          <w:sz w:val="22"/>
          <w:szCs w:val="22"/>
          <w:rtl/>
        </w:rPr>
      </w:pPr>
      <w:r>
        <w:rPr>
          <w:noProof/>
          <w:rtl/>
        </w:rPr>
        <w:t>קושית הקוב"ש דכיון שכל החזקות נלמדות מנגע מנלן שיש חילוק בין חזקת גוף לחזקת דין</w:t>
      </w:r>
    </w:p>
    <w:p w14:paraId="19AF8834" w14:textId="77777777" w:rsidR="00FC2F89" w:rsidRDefault="00FC2F89" w:rsidP="005077A7">
      <w:pPr>
        <w:pStyle w:val="a"/>
        <w:rPr>
          <w:rFonts w:eastAsiaTheme="minorEastAsia" w:cstheme="minorBidi"/>
          <w:noProof/>
          <w:sz w:val="22"/>
          <w:szCs w:val="22"/>
          <w:rtl/>
        </w:rPr>
      </w:pPr>
      <w:r>
        <w:rPr>
          <w:noProof/>
          <w:rtl/>
        </w:rPr>
        <w:t>ביאור הקוב"ש דגדר חזקה הוא שלא היה שינוי ממה שהוחזק לפני לידת הספק</w:t>
      </w:r>
    </w:p>
    <w:p w14:paraId="7E08E7F0" w14:textId="77777777" w:rsidR="00FC2F89" w:rsidRDefault="00FC2F89" w:rsidP="005077A7">
      <w:pPr>
        <w:pStyle w:val="a"/>
        <w:rPr>
          <w:rFonts w:eastAsiaTheme="minorEastAsia" w:cstheme="minorBidi"/>
          <w:noProof/>
          <w:sz w:val="22"/>
          <w:szCs w:val="22"/>
          <w:rtl/>
        </w:rPr>
      </w:pPr>
      <w:r>
        <w:rPr>
          <w:noProof/>
          <w:rtl/>
        </w:rPr>
        <w:t>ביאור הקוב"ש דבחזקת הגוף השינוי הוא גדול יותר וחזקת הגוף היא כב' חזקות כנגד חזקת דין</w:t>
      </w:r>
    </w:p>
    <w:p w14:paraId="36B6D31B" w14:textId="77777777" w:rsidR="00FC2F89" w:rsidRDefault="00FC2F89" w:rsidP="00FC2F89">
      <w:pPr>
        <w:pStyle w:val="aff4"/>
        <w:rPr>
          <w:rFonts w:eastAsiaTheme="minorEastAsia" w:cstheme="minorBidi"/>
          <w:i/>
          <w:iCs/>
          <w:noProof/>
          <w:sz w:val="22"/>
          <w:szCs w:val="22"/>
          <w:rtl/>
        </w:rPr>
      </w:pPr>
      <w:bookmarkStart w:id="6551" w:name="_Toc19435482"/>
      <w:bookmarkStart w:id="6552" w:name="_Toc20080790"/>
      <w:r>
        <w:rPr>
          <w:noProof/>
          <w:rtl/>
        </w:rPr>
        <w:t>דברי הגר"ח דלולי החזקה לא שייך בנגע דין ספק טומאה</w:t>
      </w:r>
      <w:bookmarkEnd w:id="6551"/>
      <w:bookmarkEnd w:id="6552"/>
    </w:p>
    <w:p w14:paraId="1ECD8276" w14:textId="77777777" w:rsidR="00FC2F89" w:rsidRDefault="00FC2F89" w:rsidP="005077A7">
      <w:pPr>
        <w:pStyle w:val="a"/>
        <w:rPr>
          <w:rFonts w:eastAsiaTheme="minorEastAsia" w:cstheme="minorBidi"/>
          <w:noProof/>
          <w:sz w:val="22"/>
          <w:szCs w:val="22"/>
          <w:rtl/>
        </w:rPr>
      </w:pPr>
      <w:r>
        <w:rPr>
          <w:noProof/>
          <w:rtl/>
        </w:rPr>
        <w:t>דברי הגר"ח דבנגע לא שייך דין ספק טומאה דהספק הוא ככל ספיקא דדינא</w:t>
      </w:r>
    </w:p>
    <w:p w14:paraId="4D129F90" w14:textId="77777777" w:rsidR="00FC2F89" w:rsidRDefault="00FC2F89" w:rsidP="005077A7">
      <w:pPr>
        <w:pStyle w:val="a"/>
        <w:rPr>
          <w:rFonts w:eastAsiaTheme="minorEastAsia" w:cstheme="minorBidi"/>
          <w:noProof/>
          <w:sz w:val="22"/>
          <w:szCs w:val="22"/>
          <w:rtl/>
        </w:rPr>
      </w:pPr>
      <w:r>
        <w:rPr>
          <w:noProof/>
          <w:rtl/>
        </w:rPr>
        <w:t>ביאור הגר"ח דהכהן יכול לטמא רק בודאי ולא בספק</w:t>
      </w:r>
    </w:p>
    <w:p w14:paraId="5E804814" w14:textId="77777777" w:rsidR="00FC2F89" w:rsidRDefault="00FC2F89" w:rsidP="00FC2F89">
      <w:pPr>
        <w:pStyle w:val="aff4"/>
        <w:rPr>
          <w:rFonts w:eastAsiaTheme="minorEastAsia" w:cstheme="minorBidi"/>
          <w:i/>
          <w:iCs/>
          <w:noProof/>
          <w:sz w:val="22"/>
          <w:szCs w:val="22"/>
          <w:rtl/>
        </w:rPr>
      </w:pPr>
      <w:bookmarkStart w:id="6553" w:name="_Toc19435483"/>
      <w:bookmarkStart w:id="6554" w:name="_Toc20080791"/>
      <w:r>
        <w:rPr>
          <w:noProof/>
          <w:rtl/>
        </w:rPr>
        <w:t>ביאור השער"י בדין חזקה עם ריעותא</w:t>
      </w:r>
      <w:bookmarkEnd w:id="6553"/>
      <w:bookmarkEnd w:id="6554"/>
    </w:p>
    <w:p w14:paraId="7A5A0F43" w14:textId="77777777" w:rsidR="00FC2F89" w:rsidRDefault="00FC2F89" w:rsidP="005077A7">
      <w:pPr>
        <w:pStyle w:val="a"/>
        <w:rPr>
          <w:rFonts w:eastAsiaTheme="minorEastAsia" w:cstheme="minorBidi"/>
          <w:noProof/>
          <w:sz w:val="22"/>
          <w:szCs w:val="22"/>
          <w:rtl/>
        </w:rPr>
      </w:pPr>
      <w:r>
        <w:rPr>
          <w:noProof/>
          <w:rtl/>
        </w:rPr>
        <w:t>קושית השער"י היאך מעמידים על החזקה לקולא להסוברים דאין מעמידים בחזקה עם ריעותא</w:t>
      </w:r>
    </w:p>
    <w:p w14:paraId="6C088209" w14:textId="77777777" w:rsidR="00FC2F89" w:rsidRDefault="00FC2F89" w:rsidP="005077A7">
      <w:pPr>
        <w:pStyle w:val="a"/>
        <w:rPr>
          <w:rFonts w:eastAsiaTheme="minorEastAsia" w:cstheme="minorBidi"/>
          <w:noProof/>
          <w:sz w:val="22"/>
          <w:szCs w:val="22"/>
          <w:rtl/>
        </w:rPr>
      </w:pPr>
      <w:r>
        <w:rPr>
          <w:noProof/>
          <w:rtl/>
        </w:rPr>
        <w:t>ביאור השער"י דדוקא בדבר שהיה בו דין חזקה אין מעמידים על חזקתו כשיש ריעותא</w:t>
      </w:r>
    </w:p>
    <w:p w14:paraId="1D71877C" w14:textId="77777777" w:rsidR="00FC2F89" w:rsidRDefault="00FC2F89" w:rsidP="005077A7">
      <w:pPr>
        <w:pStyle w:val="a"/>
        <w:rPr>
          <w:rFonts w:eastAsiaTheme="minorEastAsia" w:cstheme="minorBidi"/>
          <w:noProof/>
          <w:sz w:val="22"/>
          <w:szCs w:val="22"/>
          <w:rtl/>
        </w:rPr>
      </w:pPr>
      <w:r>
        <w:rPr>
          <w:noProof/>
          <w:rtl/>
        </w:rPr>
        <w:t>ביאור השער"י דבנגע אחר שטימא הכהן א"צ לדין חזקה ולכן אף כשנחסר אי"ז חשיב ריעותא</w:t>
      </w:r>
    </w:p>
    <w:p w14:paraId="27676F66" w14:textId="77777777" w:rsidR="00FC2F89" w:rsidRDefault="00FC2F89" w:rsidP="005077A7">
      <w:pPr>
        <w:pStyle w:val="a"/>
        <w:rPr>
          <w:rtl/>
        </w:rPr>
        <w:sectPr w:rsidR="00FC2F89" w:rsidSect="003741AC">
          <w:type w:val="continuous"/>
          <w:pgSz w:w="11906" w:h="16838"/>
          <w:pgMar w:top="720" w:right="720" w:bottom="720" w:left="720" w:header="283" w:footer="283" w:gutter="0"/>
          <w:cols w:num="2" w:space="170"/>
          <w:bidi/>
          <w:rtlGutter/>
          <w:docGrid w:linePitch="299"/>
        </w:sectPr>
      </w:pPr>
      <w:r>
        <w:rPr>
          <w:noProof/>
          <w:rtl/>
        </w:rPr>
        <w:t>דברי השער"י בביאור התוס' בנדה דבנגע אין ריעותא בחזקה כיון שהיה טמה מגזיה"כ</w:t>
      </w:r>
    </w:p>
    <w:p w14:paraId="46295D3E" w14:textId="77777777" w:rsidR="00FF5773" w:rsidRDefault="00FF5773" w:rsidP="005077A7">
      <w:pPr>
        <w:pStyle w:val="a"/>
        <w:rPr>
          <w:rtl/>
        </w:rPr>
        <w:sectPr w:rsidR="00FF5773" w:rsidSect="00462465">
          <w:type w:val="continuous"/>
          <w:pgSz w:w="11906" w:h="16838"/>
          <w:pgMar w:top="720" w:right="720" w:bottom="720" w:left="720" w:header="283" w:footer="283" w:gutter="0"/>
          <w:cols w:num="2" w:space="170"/>
          <w:bidi/>
          <w:rtlGutter/>
          <w:docGrid w:linePitch="299"/>
        </w:sectPr>
      </w:pPr>
    </w:p>
    <w:p w14:paraId="3BEAEE69" w14:textId="77777777" w:rsidR="00FF5773" w:rsidRDefault="00FF5773" w:rsidP="006D6D32">
      <w:pPr>
        <w:pStyle w:val="afe"/>
        <w:rPr>
          <w:rtl/>
        </w:rPr>
      </w:pPr>
      <w:bookmarkStart w:id="6555" w:name="_Toc527924448"/>
      <w:bookmarkStart w:id="6556" w:name="_Toc527928667"/>
      <w:bookmarkStart w:id="6557" w:name="_Toc527999440"/>
      <w:bookmarkStart w:id="6558" w:name="_Toc19435484"/>
      <w:bookmarkStart w:id="6559" w:name="_Toc20080792"/>
      <w:bookmarkStart w:id="6560" w:name="_Toc527912520"/>
      <w:r>
        <w:rPr>
          <w:rFonts w:hint="cs"/>
          <w:rtl/>
        </w:rPr>
        <w:t>מראי מקומות וביאורים על הסוגיא</w:t>
      </w:r>
      <w:bookmarkEnd w:id="6555"/>
      <w:bookmarkEnd w:id="6556"/>
      <w:bookmarkEnd w:id="6557"/>
      <w:bookmarkEnd w:id="6558"/>
      <w:bookmarkEnd w:id="6559"/>
    </w:p>
    <w:p w14:paraId="3EC918A6" w14:textId="77777777" w:rsidR="00FF5773" w:rsidRDefault="00FF5773" w:rsidP="006D6D32">
      <w:pPr>
        <w:pStyle w:val="afe"/>
        <w:rPr>
          <w:highlight w:val="yellow"/>
          <w:rtl/>
        </w:rPr>
        <w:sectPr w:rsidR="00FF5773" w:rsidSect="003741AC">
          <w:headerReference w:type="first" r:id="rId54"/>
          <w:footerReference w:type="first" r:id="rId55"/>
          <w:pgSz w:w="11906" w:h="16838"/>
          <w:pgMar w:top="720" w:right="720" w:bottom="720" w:left="720" w:header="283" w:footer="283" w:gutter="0"/>
          <w:cols w:space="567"/>
          <w:bidi/>
          <w:rtlGutter/>
          <w:docGrid w:linePitch="299"/>
        </w:sectPr>
      </w:pPr>
    </w:p>
    <w:p w14:paraId="43C35E5D" w14:textId="77777777" w:rsidR="00FF5773" w:rsidRDefault="00FF5773" w:rsidP="006D6D32">
      <w:pPr>
        <w:pStyle w:val="afe"/>
        <w:rPr>
          <w:rtl/>
        </w:rPr>
      </w:pPr>
      <w:bookmarkStart w:id="6561" w:name="_Toc527924449"/>
      <w:bookmarkStart w:id="6562" w:name="_Toc527928668"/>
      <w:bookmarkStart w:id="6563" w:name="_Toc527999441"/>
      <w:bookmarkStart w:id="6564" w:name="_Toc19435485"/>
      <w:bookmarkStart w:id="6565" w:name="_Toc20080793"/>
      <w:r w:rsidRPr="00B046A1">
        <w:rPr>
          <w:rFonts w:hint="cs"/>
          <w:rtl/>
        </w:rPr>
        <w:t>המקור לחזקה לחומרא ולקולא</w:t>
      </w:r>
      <w:bookmarkEnd w:id="6560"/>
      <w:bookmarkEnd w:id="6561"/>
      <w:bookmarkEnd w:id="6562"/>
      <w:bookmarkEnd w:id="6563"/>
      <w:bookmarkEnd w:id="6564"/>
      <w:bookmarkEnd w:id="6565"/>
    </w:p>
    <w:p w14:paraId="3907E942" w14:textId="77777777" w:rsidR="00FF5773" w:rsidRDefault="00FF5773" w:rsidP="00BF39B2">
      <w:pPr>
        <w:pStyle w:val="1"/>
        <w:rPr>
          <w:rtl/>
        </w:rPr>
      </w:pPr>
      <w:bookmarkStart w:id="6566" w:name="_Toc527912521"/>
      <w:bookmarkStart w:id="6567" w:name="_Toc527924450"/>
      <w:bookmarkStart w:id="6568" w:name="_Toc527928669"/>
      <w:bookmarkStart w:id="6569" w:name="_Toc527999442"/>
      <w:bookmarkStart w:id="6570" w:name="_Toc19389796"/>
      <w:bookmarkStart w:id="6571" w:name="_Toc19393293"/>
      <w:r>
        <w:rPr>
          <w:rFonts w:hint="cs"/>
          <w:rtl/>
        </w:rPr>
        <w:t>פלוגתת רש"י והרמב"ן אי צריך מקור לחזקה אף לחומרא</w:t>
      </w:r>
      <w:bookmarkEnd w:id="6566"/>
      <w:bookmarkEnd w:id="6567"/>
      <w:bookmarkEnd w:id="6568"/>
      <w:bookmarkEnd w:id="6569"/>
      <w:bookmarkEnd w:id="6570"/>
      <w:bookmarkEnd w:id="6571"/>
    </w:p>
    <w:p w14:paraId="7F8C49C9" w14:textId="77777777" w:rsidR="00FF5773" w:rsidRDefault="00FF5773" w:rsidP="006D6D32">
      <w:pPr>
        <w:pStyle w:val="a3"/>
        <w:rPr>
          <w:rtl/>
        </w:rPr>
      </w:pPr>
      <w:bookmarkStart w:id="6572" w:name="_Toc527912522"/>
      <w:bookmarkStart w:id="6573" w:name="_Toc527924451"/>
      <w:bookmarkStart w:id="6574" w:name="_Toc527928670"/>
      <w:bookmarkStart w:id="6575" w:name="_Toc527999443"/>
      <w:bookmarkStart w:id="6576" w:name="_Toc19389797"/>
      <w:bookmarkStart w:id="6577" w:name="_Toc19393294"/>
      <w:r>
        <w:rPr>
          <w:rFonts w:hint="cs"/>
          <w:rtl/>
        </w:rPr>
        <w:t>דברי רש"י דהילפותא לדין חזקה הוא בין לקולא ובין לחומרא</w:t>
      </w:r>
      <w:bookmarkEnd w:id="6572"/>
      <w:bookmarkEnd w:id="6573"/>
      <w:bookmarkEnd w:id="6574"/>
      <w:bookmarkEnd w:id="6575"/>
      <w:bookmarkEnd w:id="6576"/>
      <w:bookmarkEnd w:id="6577"/>
    </w:p>
    <w:p w14:paraId="43F7A8CB" w14:textId="77777777" w:rsidR="00FF5773" w:rsidRPr="001D50BC" w:rsidRDefault="00FF5773" w:rsidP="00E12979">
      <w:pPr>
        <w:pStyle w:val="a0"/>
        <w:numPr>
          <w:ilvl w:val="0"/>
          <w:numId w:val="5"/>
        </w:numPr>
        <w:rPr>
          <w:rtl/>
        </w:rPr>
      </w:pPr>
      <w:bookmarkStart w:id="6578" w:name="_Ref527280447"/>
      <w:r>
        <w:rPr>
          <w:rFonts w:hint="cs"/>
          <w:rtl/>
        </w:rPr>
        <w:t xml:space="preserve">כתב </w:t>
      </w:r>
      <w:r>
        <w:rPr>
          <w:rStyle w:val="af9"/>
          <w:rtl/>
        </w:rPr>
        <w:t>רש"י</w:t>
      </w:r>
      <w:r>
        <w:rPr>
          <w:rFonts w:hint="cs"/>
          <w:rtl/>
        </w:rPr>
        <w:t xml:space="preserve"> </w:t>
      </w:r>
      <w:r w:rsidRPr="00223668">
        <w:rPr>
          <w:rStyle w:val="af7"/>
          <w:rFonts w:eastAsia="Guttman Hodes" w:hint="cs"/>
          <w:rtl/>
        </w:rPr>
        <w:t xml:space="preserve">(ד"ה הא) </w:t>
      </w:r>
      <w:r>
        <w:rPr>
          <w:rFonts w:hint="cs"/>
          <w:rtl/>
        </w:rPr>
        <w:t xml:space="preserve">דהנדון בגמ' במקור לחזקה, בין לאיסור ובין להיתר כמו בגמ' לעיל, </w:t>
      </w:r>
      <w:bookmarkEnd w:id="6578"/>
      <w:r w:rsidRPr="00011D8D">
        <w:rPr>
          <w:rStyle w:val="afb"/>
          <w:rFonts w:hint="cs"/>
          <w:rtl/>
        </w:rPr>
        <w:t>[ומבואר דבין לקולא ובין לחומרא דנה הגמ' מנלן דמעמידים על החזקה],</w:t>
      </w:r>
      <w:r>
        <w:rPr>
          <w:rFonts w:hint="cs"/>
          <w:rtl/>
        </w:rPr>
        <w:t xml:space="preserve"> </w:t>
      </w:r>
      <w:r w:rsidRPr="00D550C3">
        <w:rPr>
          <w:rFonts w:hint="cs"/>
          <w:rtl/>
        </w:rPr>
        <w:t xml:space="preserve">ועי' בדברי </w:t>
      </w:r>
      <w:r w:rsidRPr="00D550C3">
        <w:rPr>
          <w:rStyle w:val="af9"/>
          <w:rFonts w:hint="cs"/>
          <w:rtl/>
        </w:rPr>
        <w:t>הראש יוסף</w:t>
      </w:r>
      <w:r w:rsidRPr="00D550C3">
        <w:rPr>
          <w:rFonts w:hint="cs"/>
          <w:rtl/>
        </w:rPr>
        <w:t xml:space="preserve"> </w:t>
      </w:r>
      <w:r w:rsidRPr="00223668">
        <w:rPr>
          <w:rStyle w:val="af7"/>
          <w:rFonts w:eastAsia="Guttman Hodes" w:hint="cs"/>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Ref527280527 \r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223668">
        <w:rPr>
          <w:rStyle w:val="af7"/>
          <w:rFonts w:eastAsia="Guttman Hodes"/>
          <w:rtl/>
        </w:rPr>
        <w:fldChar w:fldCharType="end"/>
      </w:r>
      <w:r>
        <w:rPr>
          <w:rFonts w:hint="cs"/>
          <w:rtl/>
        </w:rPr>
        <w:t xml:space="preserve"> במ"ש בביאור דברי </w:t>
      </w:r>
      <w:r w:rsidRPr="00D550C3">
        <w:rPr>
          <w:rStyle w:val="af9"/>
          <w:rFonts w:hint="cs"/>
          <w:rtl/>
        </w:rPr>
        <w:t>רש"י</w:t>
      </w:r>
      <w:r w:rsidRPr="00D550C3">
        <w:rPr>
          <w:rFonts w:hint="cs"/>
          <w:rtl/>
        </w:rPr>
        <w:t>.</w:t>
      </w:r>
    </w:p>
    <w:p w14:paraId="0F13487E" w14:textId="77777777" w:rsidR="00FF5773" w:rsidRDefault="00FF5773" w:rsidP="006D6D32">
      <w:pPr>
        <w:pStyle w:val="a3"/>
        <w:rPr>
          <w:rtl/>
        </w:rPr>
      </w:pPr>
      <w:bookmarkStart w:id="6579" w:name="_Toc527912523"/>
      <w:bookmarkStart w:id="6580" w:name="_Toc527924452"/>
      <w:bookmarkStart w:id="6581" w:name="_Toc527928671"/>
      <w:bookmarkStart w:id="6582" w:name="_Toc527999444"/>
      <w:bookmarkStart w:id="6583" w:name="_Toc19389798"/>
      <w:bookmarkStart w:id="6584" w:name="_Toc19393295"/>
      <w:r>
        <w:rPr>
          <w:rFonts w:hint="cs"/>
          <w:rtl/>
        </w:rPr>
        <w:t>דברי הרמב"ן והרא"ה דהילפותא לחזקה היא לקולא אבל לחומרא מסברא מעמידים על החזקה</w:t>
      </w:r>
      <w:bookmarkEnd w:id="6579"/>
      <w:bookmarkEnd w:id="6580"/>
      <w:bookmarkEnd w:id="6581"/>
      <w:bookmarkEnd w:id="6582"/>
      <w:bookmarkEnd w:id="6583"/>
      <w:bookmarkEnd w:id="6584"/>
    </w:p>
    <w:p w14:paraId="71D0CDF5" w14:textId="77777777" w:rsidR="00FF5773" w:rsidRDefault="00FF5773" w:rsidP="00E12979">
      <w:pPr>
        <w:pStyle w:val="a0"/>
        <w:numPr>
          <w:ilvl w:val="0"/>
          <w:numId w:val="5"/>
        </w:numPr>
        <w:rPr>
          <w:rtl/>
        </w:rPr>
      </w:pPr>
      <w:bookmarkStart w:id="6585" w:name="_Ref524900434"/>
      <w:r>
        <w:rPr>
          <w:rFonts w:hint="cs"/>
          <w:rtl/>
        </w:rPr>
        <w:t xml:space="preserve">אבל </w:t>
      </w:r>
      <w:r>
        <w:rPr>
          <w:rStyle w:val="af9"/>
          <w:rtl/>
        </w:rPr>
        <w:t>הרמב"ן</w:t>
      </w:r>
      <w:r>
        <w:rPr>
          <w:rFonts w:hint="cs"/>
          <w:rtl/>
        </w:rPr>
        <w:t xml:space="preserve"> </w:t>
      </w:r>
      <w:r w:rsidRPr="00223668">
        <w:rPr>
          <w:rStyle w:val="af7"/>
          <w:rFonts w:eastAsia="Guttman Hodes" w:hint="cs"/>
          <w:rtl/>
        </w:rPr>
        <w:t>(ד"ה מנא)</w:t>
      </w:r>
      <w:r>
        <w:rPr>
          <w:rFonts w:hint="cs"/>
          <w:rtl/>
        </w:rPr>
        <w:t xml:space="preserve"> כתב דהנדון בגמ' במקור לחזקה, הוא לסמוך על </w:t>
      </w:r>
      <w:r w:rsidRPr="00ED4931">
        <w:rPr>
          <w:rFonts w:hint="cs"/>
          <w:rtl/>
        </w:rPr>
        <w:t xml:space="preserve">החזקה לקולא, אבל לחומרא מסברא אזלינן בתר חזקה וא"צ קרא. </w:t>
      </w:r>
      <w:bookmarkStart w:id="6586" w:name="_Ref527301326"/>
      <w:bookmarkEnd w:id="6585"/>
      <w:r>
        <w:rPr>
          <w:rFonts w:hint="cs"/>
          <w:rtl/>
        </w:rPr>
        <w:t xml:space="preserve">וכ"כ </w:t>
      </w:r>
      <w:r>
        <w:rPr>
          <w:rStyle w:val="af9"/>
          <w:rtl/>
        </w:rPr>
        <w:t>השיטמ"ק</w:t>
      </w:r>
      <w:r>
        <w:rPr>
          <w:rFonts w:hint="cs"/>
          <w:rtl/>
        </w:rPr>
        <w:t xml:space="preserve"> </w:t>
      </w:r>
      <w:r w:rsidRPr="00223668">
        <w:rPr>
          <w:rStyle w:val="af7"/>
          <w:rFonts w:eastAsia="Guttman Hodes" w:hint="cs"/>
          <w:rtl/>
        </w:rPr>
        <w:t>(ד"ה והרא"ה)</w:t>
      </w:r>
      <w:r>
        <w:rPr>
          <w:rFonts w:hint="cs"/>
          <w:rtl/>
        </w:rPr>
        <w:t xml:space="preserve"> בשם </w:t>
      </w:r>
      <w:r>
        <w:rPr>
          <w:rStyle w:val="af9"/>
          <w:rtl/>
        </w:rPr>
        <w:t>הרא"ה</w:t>
      </w:r>
      <w:r>
        <w:rPr>
          <w:rFonts w:hint="cs"/>
          <w:rtl/>
        </w:rPr>
        <w:t xml:space="preserve"> דהנדון בגמ' הוא מנלן דאזלינן בתר חזקה לקולא, כדברי רב חסדא דסמך על בדיקת הסכין אף לקולא</w:t>
      </w:r>
      <w:bookmarkEnd w:id="6586"/>
      <w:r>
        <w:rPr>
          <w:rFonts w:hint="cs"/>
          <w:rtl/>
        </w:rPr>
        <w:t>.</w:t>
      </w:r>
    </w:p>
    <w:p w14:paraId="727A1514" w14:textId="77777777" w:rsidR="00FF5773" w:rsidRDefault="00FF5773" w:rsidP="00BF39B2">
      <w:pPr>
        <w:pStyle w:val="1"/>
        <w:rPr>
          <w:rtl/>
        </w:rPr>
      </w:pPr>
      <w:bookmarkStart w:id="6587" w:name="_Toc527912524"/>
      <w:bookmarkStart w:id="6588" w:name="_Toc527924453"/>
      <w:bookmarkStart w:id="6589" w:name="_Toc527928672"/>
      <w:bookmarkStart w:id="6590" w:name="_Toc527999445"/>
      <w:bookmarkStart w:id="6591" w:name="_Toc19389799"/>
      <w:bookmarkStart w:id="6592" w:name="_Toc19393296"/>
      <w:r>
        <w:rPr>
          <w:rFonts w:hint="cs"/>
          <w:rtl/>
        </w:rPr>
        <w:t>דברי התוס' והרמב"ן דמעמידים על החזקה אף לקולא</w:t>
      </w:r>
      <w:bookmarkEnd w:id="6587"/>
      <w:bookmarkEnd w:id="6588"/>
      <w:bookmarkEnd w:id="6589"/>
      <w:bookmarkEnd w:id="6590"/>
      <w:bookmarkEnd w:id="6591"/>
      <w:bookmarkEnd w:id="6592"/>
    </w:p>
    <w:p w14:paraId="5087A1D1" w14:textId="77777777" w:rsidR="00FF5773" w:rsidRPr="008C5511" w:rsidRDefault="00FF5773" w:rsidP="006D6D32">
      <w:pPr>
        <w:pStyle w:val="a3"/>
        <w:rPr>
          <w:rtl/>
        </w:rPr>
      </w:pPr>
      <w:bookmarkStart w:id="6593" w:name="_Toc527912525"/>
      <w:bookmarkStart w:id="6594" w:name="_Toc527924454"/>
      <w:bookmarkStart w:id="6595" w:name="_Toc527928673"/>
      <w:bookmarkStart w:id="6596" w:name="_Toc527999446"/>
      <w:bookmarkStart w:id="6597" w:name="_Toc19389800"/>
      <w:bookmarkStart w:id="6598" w:name="_Toc19393297"/>
      <w:r>
        <w:rPr>
          <w:rFonts w:hint="cs"/>
          <w:rtl/>
        </w:rPr>
        <w:t>דברי התוס' והרמב"ן דא"א לומר דהילפותא היא לחומרא דאין חילוק מדאו'</w:t>
      </w:r>
      <w:bookmarkEnd w:id="6593"/>
      <w:bookmarkEnd w:id="6594"/>
      <w:bookmarkEnd w:id="6595"/>
      <w:bookmarkEnd w:id="6596"/>
      <w:bookmarkEnd w:id="6597"/>
      <w:bookmarkEnd w:id="6598"/>
      <w:r>
        <w:rPr>
          <w:rFonts w:hint="cs"/>
          <w:rtl/>
        </w:rPr>
        <w:t xml:space="preserve"> </w:t>
      </w:r>
    </w:p>
    <w:p w14:paraId="7E57AB02" w14:textId="77777777" w:rsidR="00FF5773" w:rsidRPr="002421AB" w:rsidRDefault="00FF5773" w:rsidP="00223668">
      <w:pPr>
        <w:pStyle w:val="a0"/>
        <w:rPr>
          <w:rStyle w:val="afb"/>
          <w:rtl/>
        </w:rPr>
      </w:pPr>
      <w:r>
        <w:rPr>
          <w:rFonts w:hint="cs"/>
          <w:rtl/>
        </w:rPr>
        <w:t>כתבו</w:t>
      </w:r>
      <w:r w:rsidRPr="008C5511">
        <w:rPr>
          <w:rStyle w:val="af9"/>
          <w:rFonts w:hint="cs"/>
          <w:rtl/>
        </w:rPr>
        <w:t xml:space="preserve"> התוס'</w:t>
      </w:r>
      <w:r>
        <w:rPr>
          <w:rFonts w:hint="cs"/>
          <w:rtl/>
        </w:rPr>
        <w:t xml:space="preserve"> </w:t>
      </w:r>
      <w:r w:rsidRPr="008C5511">
        <w:rPr>
          <w:rStyle w:val="af7"/>
          <w:rFonts w:eastAsia="Guttman Hodes" w:hint="cs"/>
          <w:rtl/>
        </w:rPr>
        <w:t>(ד"ה אלא)</w:t>
      </w:r>
      <w:r>
        <w:rPr>
          <w:rFonts w:hint="cs"/>
          <w:rtl/>
        </w:rPr>
        <w:t xml:space="preserve"> דא"א לומר דבבית המנוגע מטמאינן לחומרא, אבל לקולא אין מעמידים על החזקה, דבדאו' אין לחלק בין קולא לחומרא,</w:t>
      </w:r>
      <w:r w:rsidRPr="0081321F">
        <w:rPr>
          <w:rFonts w:hint="cs"/>
          <w:rtl/>
        </w:rPr>
        <w:t xml:space="preserve"> </w:t>
      </w:r>
      <w:r>
        <w:rPr>
          <w:rFonts w:hint="cs"/>
          <w:rtl/>
        </w:rPr>
        <w:t xml:space="preserve">. וכ"כ </w:t>
      </w:r>
      <w:r w:rsidRPr="00101F75">
        <w:rPr>
          <w:rStyle w:val="af9"/>
          <w:rFonts w:hint="cs"/>
          <w:rtl/>
        </w:rPr>
        <w:t>הרמב"ן</w:t>
      </w:r>
      <w:r>
        <w:rPr>
          <w:rStyle w:val="af9"/>
          <w:rFonts w:hint="cs"/>
          <w:rtl/>
        </w:rPr>
        <w:t xml:space="preserve"> בתירוצו השני</w:t>
      </w:r>
      <w:r w:rsidRPr="00101F75">
        <w:rPr>
          <w:rStyle w:val="af9"/>
          <w:rFonts w:hint="cs"/>
          <w:rtl/>
        </w:rPr>
        <w:t xml:space="preserve"> </w:t>
      </w:r>
      <w:r w:rsidRPr="0092102C">
        <w:rPr>
          <w:rStyle w:val="af7"/>
          <w:rFonts w:eastAsia="Guttman Hodes" w:hint="cs"/>
          <w:rtl/>
        </w:rPr>
        <w:t>(ד"ה מנא)</w:t>
      </w:r>
      <w:r w:rsidRPr="00101F75">
        <w:rPr>
          <w:rFonts w:hint="cs"/>
          <w:rtl/>
        </w:rPr>
        <w:t xml:space="preserve"> </w:t>
      </w:r>
      <w:r>
        <w:rPr>
          <w:rFonts w:hint="cs"/>
          <w:rtl/>
        </w:rPr>
        <w:t>דבדאו' אין חילוק בין חומרא לקולא, בכל מקום שיש ספק, ולכן כיון דבנגעים מצינו דאזלינן בתר חזקה לחומרא, ילפינן מזה דאזלינן בתר חזקה אף לקולא</w:t>
      </w:r>
      <w:r>
        <w:rPr>
          <w:rStyle w:val="af1"/>
          <w:rtl/>
        </w:rPr>
        <w:footnoteReference w:id="38"/>
      </w:r>
      <w:r>
        <w:rPr>
          <w:rFonts w:hint="cs"/>
          <w:rtl/>
        </w:rPr>
        <w:t>.</w:t>
      </w:r>
    </w:p>
    <w:p w14:paraId="04487500" w14:textId="77777777" w:rsidR="00FF5773" w:rsidRPr="0034135F" w:rsidRDefault="00FF5773" w:rsidP="006D6D32">
      <w:pPr>
        <w:pStyle w:val="a3"/>
      </w:pPr>
      <w:bookmarkStart w:id="6599" w:name="_Toc527912526"/>
      <w:bookmarkStart w:id="6600" w:name="_Toc527924455"/>
      <w:bookmarkStart w:id="6601" w:name="_Toc527928674"/>
      <w:bookmarkStart w:id="6602" w:name="_Toc527999447"/>
      <w:bookmarkStart w:id="6603" w:name="_Toc19389801"/>
      <w:bookmarkStart w:id="6604" w:name="_Toc19393298"/>
      <w:r>
        <w:rPr>
          <w:rFonts w:hint="cs"/>
          <w:rtl/>
        </w:rPr>
        <w:t>דברי התוס' דמוכח דבבית המנוגע מעמידים על החזקה אף לקולא</w:t>
      </w:r>
      <w:bookmarkEnd w:id="6599"/>
      <w:bookmarkEnd w:id="6600"/>
      <w:bookmarkEnd w:id="6601"/>
      <w:bookmarkEnd w:id="6602"/>
      <w:bookmarkEnd w:id="6603"/>
      <w:bookmarkEnd w:id="6604"/>
    </w:p>
    <w:p w14:paraId="6ABD2B7B" w14:textId="77777777" w:rsidR="00FF5773" w:rsidRPr="00AA3089" w:rsidRDefault="00FF5773" w:rsidP="00223668">
      <w:pPr>
        <w:pStyle w:val="a0"/>
        <w:rPr>
          <w:rtl/>
        </w:rPr>
      </w:pPr>
      <w:bookmarkStart w:id="6605" w:name="_Ref527664130"/>
      <w:r>
        <w:rPr>
          <w:rFonts w:hint="cs"/>
          <w:rtl/>
        </w:rPr>
        <w:t>ועוד כתבו</w:t>
      </w:r>
      <w:r w:rsidRPr="008C5511">
        <w:rPr>
          <w:rStyle w:val="af9"/>
          <w:rFonts w:hint="cs"/>
          <w:rtl/>
        </w:rPr>
        <w:t xml:space="preserve"> התוס'</w:t>
      </w:r>
      <w:r>
        <w:rPr>
          <w:rFonts w:hint="cs"/>
          <w:rtl/>
        </w:rPr>
        <w:t xml:space="preserve"> דאף בבית </w:t>
      </w:r>
      <w:r w:rsidRPr="00AA3089">
        <w:rPr>
          <w:rFonts w:hint="cs"/>
          <w:rtl/>
        </w:rPr>
        <w:t xml:space="preserve">המנוגע הוא לקולא, דשורפין עליו תרומה וקדשים, והנכנס למקדש מביא קרבן, ואי </w:t>
      </w:r>
      <w:r>
        <w:rPr>
          <w:rFonts w:hint="cs"/>
          <w:rtl/>
        </w:rPr>
        <w:t xml:space="preserve">רק </w:t>
      </w:r>
      <w:r w:rsidRPr="00AA3089">
        <w:rPr>
          <w:rFonts w:hint="cs"/>
          <w:rtl/>
        </w:rPr>
        <w:t>מספק הוא</w:t>
      </w:r>
      <w:r>
        <w:rPr>
          <w:rFonts w:hint="cs"/>
          <w:rtl/>
        </w:rPr>
        <w:t xml:space="preserve"> טמא, א"כ הוי</w:t>
      </w:r>
      <w:r w:rsidRPr="00AA3089">
        <w:rPr>
          <w:rFonts w:hint="cs"/>
          <w:rtl/>
        </w:rPr>
        <w:t xml:space="preserve"> ספק חולין בעזרה.</w:t>
      </w:r>
      <w:bookmarkEnd w:id="6605"/>
    </w:p>
    <w:p w14:paraId="763A0D82" w14:textId="77777777" w:rsidR="00FF5773" w:rsidRPr="00AA3089" w:rsidRDefault="00FF5773" w:rsidP="006D6D32">
      <w:pPr>
        <w:pStyle w:val="a3"/>
      </w:pPr>
      <w:bookmarkStart w:id="6606" w:name="_Toc527924456"/>
      <w:bookmarkStart w:id="6607" w:name="_Toc527928675"/>
      <w:bookmarkStart w:id="6608" w:name="_Toc527999448"/>
      <w:bookmarkStart w:id="6609" w:name="_Toc19389802"/>
      <w:bookmarkStart w:id="6610" w:name="_Toc19393299"/>
      <w:bookmarkStart w:id="6611" w:name="_Toc527912527"/>
      <w:r w:rsidRPr="00AA3089">
        <w:rPr>
          <w:rFonts w:hint="cs"/>
          <w:rtl/>
        </w:rPr>
        <w:t>דברי התוס' ד</w:t>
      </w:r>
      <w:r>
        <w:rPr>
          <w:rFonts w:hint="cs"/>
          <w:rtl/>
        </w:rPr>
        <w:t xml:space="preserve">בנגע </w:t>
      </w:r>
      <w:r w:rsidRPr="00AA3089">
        <w:rPr>
          <w:rFonts w:hint="cs"/>
          <w:rtl/>
        </w:rPr>
        <w:t xml:space="preserve">מעמידים את הנגע בחזקתו אף לקולא </w:t>
      </w:r>
      <w:r>
        <w:rPr>
          <w:rFonts w:hint="cs"/>
          <w:rtl/>
        </w:rPr>
        <w:t xml:space="preserve">במקום שיש </w:t>
      </w:r>
      <w:r w:rsidRPr="00AA3089">
        <w:rPr>
          <w:rFonts w:hint="cs"/>
          <w:rtl/>
        </w:rPr>
        <w:t xml:space="preserve">צד </w:t>
      </w:r>
      <w:r>
        <w:rPr>
          <w:rFonts w:hint="cs"/>
          <w:rtl/>
        </w:rPr>
        <w:t>להוציאו מחזקתו לחומרא</w:t>
      </w:r>
      <w:bookmarkEnd w:id="6606"/>
      <w:bookmarkEnd w:id="6607"/>
      <w:bookmarkEnd w:id="6608"/>
      <w:bookmarkEnd w:id="6609"/>
      <w:bookmarkEnd w:id="6610"/>
      <w:r w:rsidRPr="00AA3089">
        <w:rPr>
          <w:rFonts w:hint="cs"/>
          <w:rtl/>
        </w:rPr>
        <w:t xml:space="preserve"> </w:t>
      </w:r>
      <w:bookmarkEnd w:id="6611"/>
    </w:p>
    <w:p w14:paraId="2C252FC9" w14:textId="77777777" w:rsidR="00FF5773" w:rsidRPr="00AA3089" w:rsidRDefault="00FF5773" w:rsidP="00223668">
      <w:pPr>
        <w:pStyle w:val="a0"/>
        <w:rPr>
          <w:rtl/>
        </w:rPr>
      </w:pPr>
      <w:bookmarkStart w:id="6612" w:name="_Ref527921036"/>
      <w:r w:rsidRPr="00AA3089">
        <w:rPr>
          <w:rFonts w:hint="cs"/>
          <w:rtl/>
        </w:rPr>
        <w:t xml:space="preserve">והוסיפו </w:t>
      </w:r>
      <w:r w:rsidRPr="00AA3089">
        <w:rPr>
          <w:rStyle w:val="af9"/>
          <w:rFonts w:hint="cs"/>
          <w:rtl/>
        </w:rPr>
        <w:t xml:space="preserve">התוס' והתוס' הרא"ש </w:t>
      </w:r>
      <w:r w:rsidRPr="00AA3089">
        <w:rPr>
          <w:rStyle w:val="af7"/>
          <w:rFonts w:eastAsia="Guttman Hodes" w:hint="cs"/>
          <w:rtl/>
        </w:rPr>
        <w:t>(ד"ה אלא)</w:t>
      </w:r>
      <w:r w:rsidRPr="00AA3089">
        <w:rPr>
          <w:rFonts w:hint="cs"/>
          <w:rtl/>
        </w:rPr>
        <w:t xml:space="preserve"> דבבית המנוגע מצינו דאף לקולא מעמידים את הנגע על חזקתו, במקום שהיה נגע גדול כגריס ועוד, ובסוף השבוע נחסר הנגע ממה שהיה ועמד על כגריס, דמטהרין את הבית, ולא חיישינן שמא בשעת ההסגר חסר הנגע, ממה שראוהו הכהן, ועמד על כגריס כשיעור שנמצא בסוף השבוע, וא"כ עמד הנגע בעיניו ולא התמעט וצריך הסגר שני, אלא מוכח דבשעת ההסגר מעמידים את הנגע בחזקתו</w:t>
      </w:r>
      <w:r>
        <w:rPr>
          <w:rStyle w:val="af1"/>
          <w:rtl/>
        </w:rPr>
        <w:footnoteReference w:id="39"/>
      </w:r>
      <w:r>
        <w:rPr>
          <w:rFonts w:hint="cs"/>
          <w:rtl/>
        </w:rPr>
        <w:t xml:space="preserve">, וע"ע בדברי </w:t>
      </w:r>
      <w:r w:rsidRPr="001C316E">
        <w:rPr>
          <w:rStyle w:val="af9"/>
          <w:rFonts w:hint="cs"/>
          <w:rtl/>
        </w:rPr>
        <w:t>התוס' הרא"ש</w:t>
      </w:r>
      <w:r>
        <w:rPr>
          <w:rFonts w:hint="cs"/>
          <w:rtl/>
        </w:rPr>
        <w:t xml:space="preserve"> </w:t>
      </w:r>
      <w:r w:rsidRPr="001C316E">
        <w:rPr>
          <w:rStyle w:val="af7"/>
          <w:rFonts w:eastAsia="Guttman Hodes" w:hint="cs"/>
          <w:rtl/>
        </w:rPr>
        <w:t xml:space="preserve">(עי' אות </w:t>
      </w:r>
      <w:r w:rsidRPr="001C316E">
        <w:rPr>
          <w:rStyle w:val="af7"/>
          <w:rFonts w:eastAsia="Guttman Hodes"/>
          <w:rtl/>
        </w:rPr>
        <w:fldChar w:fldCharType="begin"/>
      </w:r>
      <w:r w:rsidRPr="001C316E">
        <w:rPr>
          <w:rStyle w:val="af7"/>
          <w:rFonts w:eastAsia="Guttman Hodes"/>
          <w:rtl/>
        </w:rPr>
        <w:instrText xml:space="preserve"> </w:instrText>
      </w:r>
      <w:r w:rsidRPr="001C316E">
        <w:rPr>
          <w:rStyle w:val="af7"/>
          <w:rFonts w:eastAsia="Guttman Hodes" w:hint="cs"/>
        </w:rPr>
        <w:instrText>REF</w:instrText>
      </w:r>
      <w:r w:rsidRPr="001C316E">
        <w:rPr>
          <w:rStyle w:val="af7"/>
          <w:rFonts w:eastAsia="Guttman Hodes" w:hint="cs"/>
          <w:rtl/>
        </w:rPr>
        <w:instrText xml:space="preserve"> _</w:instrText>
      </w:r>
      <w:r w:rsidRPr="001C316E">
        <w:rPr>
          <w:rStyle w:val="af7"/>
          <w:rFonts w:eastAsia="Guttman Hodes" w:hint="cs"/>
        </w:rPr>
        <w:instrText>Ref527921004 \r \h</w:instrText>
      </w:r>
      <w:r w:rsidRPr="001C316E">
        <w:rPr>
          <w:rStyle w:val="af7"/>
          <w:rFonts w:eastAsia="Guttman Hodes"/>
          <w:rtl/>
        </w:rPr>
        <w:instrText xml:space="preserve"> </w:instrText>
      </w:r>
      <w:r w:rsidRPr="001C316E">
        <w:rPr>
          <w:rStyle w:val="af7"/>
          <w:rFonts w:eastAsia="Guttman Hodes"/>
          <w:rtl/>
        </w:rPr>
      </w:r>
      <w:r w:rsidRPr="001C316E">
        <w:rPr>
          <w:rStyle w:val="af7"/>
          <w:rFonts w:eastAsia="Guttman Hodes"/>
          <w:rtl/>
        </w:rPr>
        <w:fldChar w:fldCharType="separate"/>
      </w:r>
      <w:r w:rsidR="00345400">
        <w:rPr>
          <w:rStyle w:val="af7"/>
          <w:rFonts w:eastAsia="Guttman Hodes"/>
          <w:cs/>
        </w:rPr>
        <w:t>‎</w:t>
      </w:r>
      <w:r w:rsidR="00345400">
        <w:rPr>
          <w:rStyle w:val="af7"/>
          <w:rFonts w:eastAsia="Guttman Hodes"/>
          <w:rtl/>
        </w:rPr>
        <w:t>יט)</w:t>
      </w:r>
      <w:r w:rsidRPr="001C316E">
        <w:rPr>
          <w:rStyle w:val="af7"/>
          <w:rFonts w:eastAsia="Guttman Hodes"/>
          <w:rtl/>
        </w:rPr>
        <w:fldChar w:fldCharType="end"/>
      </w:r>
      <w:r w:rsidRPr="00AA3089">
        <w:rPr>
          <w:rFonts w:hint="cs"/>
          <w:rtl/>
        </w:rPr>
        <w:t>.</w:t>
      </w:r>
      <w:bookmarkEnd w:id="6612"/>
    </w:p>
    <w:p w14:paraId="29A6F9BA" w14:textId="77777777" w:rsidR="00FF5773" w:rsidRPr="00AA3089" w:rsidRDefault="00FF5773" w:rsidP="006D6D32">
      <w:pPr>
        <w:pStyle w:val="a3"/>
      </w:pPr>
      <w:bookmarkStart w:id="6613" w:name="_Toc527924457"/>
      <w:bookmarkStart w:id="6614" w:name="_Toc527928676"/>
      <w:bookmarkStart w:id="6615" w:name="_Toc527999449"/>
      <w:bookmarkStart w:id="6616" w:name="_Toc19389803"/>
      <w:bookmarkStart w:id="6617" w:name="_Toc19393300"/>
      <w:r>
        <w:rPr>
          <w:rFonts w:hint="cs"/>
          <w:rtl/>
        </w:rPr>
        <w:t>ביאור הרמב"ן דכשיש חשש שחסר בשעת ההסגר ועמד בעיניו וטמא מעמידים על החזקה לקולא</w:t>
      </w:r>
      <w:bookmarkEnd w:id="6613"/>
      <w:bookmarkEnd w:id="6614"/>
      <w:bookmarkEnd w:id="6615"/>
      <w:bookmarkEnd w:id="6616"/>
      <w:bookmarkEnd w:id="6617"/>
      <w:r>
        <w:rPr>
          <w:rFonts w:hint="cs"/>
          <w:rtl/>
        </w:rPr>
        <w:t xml:space="preserve"> </w:t>
      </w:r>
    </w:p>
    <w:p w14:paraId="05C727E5" w14:textId="77777777" w:rsidR="00FF5773" w:rsidRPr="00AA3089" w:rsidRDefault="00FF5773" w:rsidP="00223668">
      <w:pPr>
        <w:pStyle w:val="a0"/>
        <w:rPr>
          <w:rtl/>
        </w:rPr>
      </w:pPr>
      <w:r w:rsidRPr="00AA3089">
        <w:rPr>
          <w:rStyle w:val="af9"/>
          <w:rtl/>
        </w:rPr>
        <w:t>והרמב"ן [בתירוצו הראשון]</w:t>
      </w:r>
      <w:r w:rsidRPr="00AA3089">
        <w:rPr>
          <w:rtl/>
        </w:rPr>
        <w:t xml:space="preserve"> </w:t>
      </w:r>
      <w:r w:rsidRPr="00AA3089">
        <w:rPr>
          <w:rStyle w:val="af7"/>
          <w:rFonts w:eastAsia="Guttman Hodes"/>
          <w:rtl/>
        </w:rPr>
        <w:t>(ד"ה מנא)</w:t>
      </w:r>
      <w:r w:rsidRPr="00AA3089">
        <w:rPr>
          <w:rtl/>
        </w:rPr>
        <w:t xml:space="preserve"> כתב דמבית המנוגע ילפינן דלקולא מעמידים על החזקה, </w:t>
      </w:r>
      <w:r w:rsidRPr="00AA3089">
        <w:rPr>
          <w:rStyle w:val="afb"/>
          <w:rtl/>
        </w:rPr>
        <w:t>[</w:t>
      </w:r>
      <w:r w:rsidRPr="00AA3089">
        <w:rPr>
          <w:rStyle w:val="afb"/>
          <w:rFonts w:hint="cs"/>
          <w:rtl/>
        </w:rPr>
        <w:t xml:space="preserve">אבל </w:t>
      </w:r>
      <w:r w:rsidRPr="00AA3089">
        <w:rPr>
          <w:rStyle w:val="afb"/>
          <w:rtl/>
        </w:rPr>
        <w:t xml:space="preserve">לחומרא </w:t>
      </w:r>
      <w:r w:rsidRPr="00AA3089">
        <w:rPr>
          <w:rStyle w:val="afb"/>
          <w:rFonts w:hint="cs"/>
          <w:rtl/>
        </w:rPr>
        <w:t xml:space="preserve">כתב </w:t>
      </w:r>
      <w:r w:rsidRPr="00AA3089">
        <w:rPr>
          <w:rStyle w:val="affa"/>
          <w:rFonts w:hint="cs"/>
          <w:rtl/>
        </w:rPr>
        <w:t>הרמב"ן</w:t>
      </w:r>
      <w:r w:rsidRPr="00AA3089">
        <w:rPr>
          <w:rStyle w:val="afb"/>
          <w:rFonts w:hint="cs"/>
          <w:rtl/>
        </w:rPr>
        <w:t xml:space="preserve"> ד</w:t>
      </w:r>
      <w:r w:rsidRPr="00AA3089">
        <w:rPr>
          <w:rStyle w:val="afb"/>
          <w:rtl/>
        </w:rPr>
        <w:t>מסברא מעמידים על החזקה]</w:t>
      </w:r>
      <w:r w:rsidRPr="00AA3089">
        <w:rPr>
          <w:rStyle w:val="afb"/>
          <w:rFonts w:hint="cs"/>
          <w:rtl/>
        </w:rPr>
        <w:t>,</w:t>
      </w:r>
      <w:r w:rsidRPr="00AA3089">
        <w:rPr>
          <w:rStyle w:val="afb"/>
          <w:rtl/>
        </w:rPr>
        <w:t xml:space="preserve"> </w:t>
      </w:r>
      <w:r w:rsidRPr="00AA3089">
        <w:rPr>
          <w:rtl/>
        </w:rPr>
        <w:t>וביאר</w:t>
      </w:r>
      <w:r w:rsidRPr="00AA3089">
        <w:rPr>
          <w:rStyle w:val="af9"/>
          <w:rtl/>
        </w:rPr>
        <w:t xml:space="preserve"> הרמב"ן </w:t>
      </w:r>
      <w:r w:rsidRPr="00AA3089">
        <w:rPr>
          <w:rtl/>
        </w:rPr>
        <w:t xml:space="preserve">דלולי דין חזקה צריך לחוש, שמא לאחר שיצא הכהן מהבית נחסר הנגע, ואף במקום שלאחר השבוע נמצא הנגע שלם, דמ"מ היה לנו לחוש שמא נחסר מיד לאחר שראוהו הכהן, ואח"כ בתוך השבוע חזר הנגע נעשה שלם, וא"כ מה שהסגירו הכהן אינו הסגר, ואף אם בסוף השבוע נשאר הנגע כמו שראוהו הכהן בתחילה, לא היה צריך הכהן לטהר, אלא כתב </w:t>
      </w:r>
      <w:r w:rsidRPr="00AA3089">
        <w:rPr>
          <w:rStyle w:val="af9"/>
          <w:rtl/>
        </w:rPr>
        <w:t>הרמב"ן</w:t>
      </w:r>
      <w:r w:rsidRPr="00AA3089">
        <w:rPr>
          <w:rtl/>
        </w:rPr>
        <w:t xml:space="preserve"> דמוכח דאזלינן בתר חזקה אף לקולא.</w:t>
      </w:r>
    </w:p>
    <w:p w14:paraId="44522F11" w14:textId="77777777" w:rsidR="00FF5773" w:rsidRDefault="00FF5773" w:rsidP="006D6D32">
      <w:pPr>
        <w:pStyle w:val="afe"/>
        <w:rPr>
          <w:rtl/>
        </w:rPr>
      </w:pPr>
      <w:bookmarkStart w:id="6618" w:name="_Toc527999450"/>
      <w:bookmarkStart w:id="6619" w:name="_Toc19435486"/>
      <w:bookmarkStart w:id="6620" w:name="_Toc20080794"/>
      <w:r>
        <w:rPr>
          <w:rFonts w:hint="cs"/>
          <w:rtl/>
        </w:rPr>
        <w:t>בביאור על מה קאי הנדון בחזקה</w:t>
      </w:r>
      <w:bookmarkEnd w:id="6618"/>
      <w:bookmarkEnd w:id="6619"/>
      <w:bookmarkEnd w:id="6620"/>
      <w:r>
        <w:rPr>
          <w:rFonts w:hint="cs"/>
          <w:rtl/>
        </w:rPr>
        <w:t xml:space="preserve"> </w:t>
      </w:r>
    </w:p>
    <w:p w14:paraId="1FE485D4" w14:textId="77777777" w:rsidR="00FF5773" w:rsidRDefault="00FF5773" w:rsidP="00BF39B2">
      <w:pPr>
        <w:pStyle w:val="1"/>
        <w:rPr>
          <w:rtl/>
        </w:rPr>
      </w:pPr>
      <w:bookmarkStart w:id="6621" w:name="_Toc527912530"/>
      <w:bookmarkStart w:id="6622" w:name="_Toc527924459"/>
      <w:bookmarkStart w:id="6623" w:name="_Toc527928678"/>
      <w:bookmarkStart w:id="6624" w:name="_Toc527999451"/>
      <w:bookmarkStart w:id="6625" w:name="_Toc19389804"/>
      <w:bookmarkStart w:id="6626" w:name="_Toc19393301"/>
      <w:r>
        <w:rPr>
          <w:rFonts w:hint="cs"/>
          <w:rtl/>
        </w:rPr>
        <w:t>ב</w:t>
      </w:r>
      <w:r w:rsidRPr="005A3FF7">
        <w:rPr>
          <w:rFonts w:hint="cs"/>
          <w:rtl/>
        </w:rPr>
        <w:t xml:space="preserve">ביאור </w:t>
      </w:r>
      <w:r>
        <w:rPr>
          <w:rFonts w:hint="cs"/>
          <w:rtl/>
        </w:rPr>
        <w:t>דעת רש"י</w:t>
      </w:r>
      <w:bookmarkEnd w:id="6621"/>
      <w:bookmarkEnd w:id="6622"/>
      <w:bookmarkEnd w:id="6623"/>
      <w:r>
        <w:rPr>
          <w:rFonts w:hint="cs"/>
          <w:rtl/>
        </w:rPr>
        <w:t xml:space="preserve"> דקאי על החזקה דלעיל להיתר ולאיסור</w:t>
      </w:r>
      <w:bookmarkEnd w:id="6624"/>
      <w:bookmarkEnd w:id="6625"/>
      <w:bookmarkEnd w:id="6626"/>
    </w:p>
    <w:p w14:paraId="1CEEEA03" w14:textId="77777777" w:rsidR="00FF5773" w:rsidRDefault="00FF5773" w:rsidP="006D6D32">
      <w:pPr>
        <w:pStyle w:val="a3"/>
        <w:rPr>
          <w:rtl/>
        </w:rPr>
      </w:pPr>
      <w:bookmarkStart w:id="6627" w:name="_Toc527912531"/>
      <w:bookmarkStart w:id="6628" w:name="_Toc527924460"/>
      <w:bookmarkStart w:id="6629" w:name="_Toc527928679"/>
      <w:bookmarkStart w:id="6630" w:name="_Toc527999452"/>
      <w:bookmarkStart w:id="6631" w:name="_Toc19389805"/>
      <w:bookmarkStart w:id="6632" w:name="_Toc19393302"/>
      <w:r>
        <w:rPr>
          <w:rFonts w:hint="cs"/>
          <w:rtl/>
        </w:rPr>
        <w:t>דברי רש"י דהגמ' דנה על הדין לעיל דמעמידים על החזקה לאיסור ולהיתר ומשמע דהוא דינא דזאב</w:t>
      </w:r>
      <w:bookmarkEnd w:id="6627"/>
      <w:bookmarkEnd w:id="6628"/>
      <w:bookmarkEnd w:id="6629"/>
      <w:bookmarkEnd w:id="6630"/>
      <w:bookmarkEnd w:id="6631"/>
      <w:bookmarkEnd w:id="6632"/>
    </w:p>
    <w:p w14:paraId="14944052" w14:textId="77777777" w:rsidR="00FF5773" w:rsidRDefault="00FF5773" w:rsidP="00223668">
      <w:pPr>
        <w:pStyle w:val="a0"/>
        <w:rPr>
          <w:rtl/>
        </w:rPr>
      </w:pPr>
      <w:bookmarkStart w:id="6633" w:name="_Ref527663715"/>
      <w:bookmarkStart w:id="6634" w:name="_Ref527280527"/>
      <w:r>
        <w:rPr>
          <w:rFonts w:hint="cs"/>
          <w:rtl/>
        </w:rPr>
        <w:t xml:space="preserve">בדברי </w:t>
      </w:r>
      <w:r w:rsidRPr="00EE5B33">
        <w:rPr>
          <w:rStyle w:val="af9"/>
          <w:rFonts w:hint="cs"/>
          <w:rtl/>
        </w:rPr>
        <w:t>רש"י</w:t>
      </w:r>
      <w:r>
        <w:rPr>
          <w:rFonts w:hint="cs"/>
          <w:rtl/>
        </w:rPr>
        <w:t xml:space="preserve"> </w:t>
      </w:r>
      <w:r w:rsidRPr="005A3FF7">
        <w:rPr>
          <w:rStyle w:val="af7"/>
          <w:rFonts w:eastAsia="Guttman Hodes" w:hint="cs"/>
          <w:rtl/>
        </w:rPr>
        <w:t xml:space="preserve">(עי' אות </w:t>
      </w:r>
      <w:r w:rsidRPr="005A3FF7">
        <w:rPr>
          <w:rStyle w:val="af7"/>
          <w:rFonts w:eastAsia="Guttman Hodes"/>
          <w:rtl/>
        </w:rPr>
        <w:fldChar w:fldCharType="begin"/>
      </w:r>
      <w:r w:rsidRPr="005A3FF7">
        <w:rPr>
          <w:rStyle w:val="af7"/>
          <w:rFonts w:eastAsia="Guttman Hodes"/>
          <w:rtl/>
        </w:rPr>
        <w:instrText xml:space="preserve"> </w:instrText>
      </w:r>
      <w:r w:rsidRPr="005A3FF7">
        <w:rPr>
          <w:rStyle w:val="af7"/>
          <w:rFonts w:eastAsia="Guttman Hodes" w:hint="cs"/>
        </w:rPr>
        <w:instrText>REF</w:instrText>
      </w:r>
      <w:r w:rsidRPr="005A3FF7">
        <w:rPr>
          <w:rStyle w:val="af7"/>
          <w:rFonts w:eastAsia="Guttman Hodes" w:hint="cs"/>
          <w:rtl/>
        </w:rPr>
        <w:instrText xml:space="preserve"> _</w:instrText>
      </w:r>
      <w:r w:rsidRPr="005A3FF7">
        <w:rPr>
          <w:rStyle w:val="af7"/>
          <w:rFonts w:eastAsia="Guttman Hodes" w:hint="cs"/>
        </w:rPr>
        <w:instrText>Ref527280447 \r \h</w:instrText>
      </w:r>
      <w:r w:rsidRPr="005A3FF7">
        <w:rPr>
          <w:rStyle w:val="af7"/>
          <w:rFonts w:eastAsia="Guttman Hodes"/>
          <w:rtl/>
        </w:rPr>
        <w:instrText xml:space="preserve"> </w:instrText>
      </w:r>
      <w:r w:rsidRPr="005A3FF7">
        <w:rPr>
          <w:rStyle w:val="af7"/>
          <w:rFonts w:eastAsia="Guttman Hodes"/>
          <w:rtl/>
        </w:rPr>
      </w:r>
      <w:r w:rsidRPr="005A3FF7">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5A3FF7">
        <w:rPr>
          <w:rStyle w:val="af7"/>
          <w:rFonts w:eastAsia="Guttman Hodes"/>
          <w:rtl/>
        </w:rPr>
        <w:fldChar w:fldCharType="end"/>
      </w:r>
      <w:r>
        <w:rPr>
          <w:rFonts w:hint="cs"/>
          <w:rtl/>
        </w:rPr>
        <w:t xml:space="preserve"> דכתב דאיתא לעיל דמעמידים על החזקה בין לאיסור ובין להיתר, כתב </w:t>
      </w:r>
      <w:r w:rsidRPr="00EE5B33">
        <w:rPr>
          <w:rStyle w:val="af9"/>
          <w:rFonts w:hint="cs"/>
          <w:rtl/>
        </w:rPr>
        <w:t>הראש יוסף</w:t>
      </w:r>
      <w:r>
        <w:rPr>
          <w:rFonts w:hint="cs"/>
          <w:rtl/>
        </w:rPr>
        <w:t xml:space="preserve"> </w:t>
      </w:r>
      <w:r w:rsidRPr="00EE5B33">
        <w:rPr>
          <w:rStyle w:val="af7"/>
          <w:rFonts w:eastAsia="Guttman Hodes" w:hint="cs"/>
          <w:rtl/>
        </w:rPr>
        <w:t xml:space="preserve">(ד"ה מנא) </w:t>
      </w:r>
      <w:r>
        <w:rPr>
          <w:rFonts w:hint="cs"/>
          <w:rtl/>
        </w:rPr>
        <w:t xml:space="preserve">דמשמע דכוונת </w:t>
      </w:r>
      <w:r w:rsidRPr="00EE5B33">
        <w:rPr>
          <w:rStyle w:val="af9"/>
          <w:rFonts w:hint="cs"/>
          <w:rtl/>
        </w:rPr>
        <w:t>רש"י</w:t>
      </w:r>
      <w:r>
        <w:rPr>
          <w:rFonts w:hint="cs"/>
          <w:rtl/>
        </w:rPr>
        <w:t xml:space="preserve"> לומר דקאי על הגמ' לעיל </w:t>
      </w:r>
      <w:r w:rsidRPr="00EE5B33">
        <w:rPr>
          <w:rStyle w:val="af7"/>
          <w:rFonts w:eastAsia="Guttman Hodes" w:hint="cs"/>
          <w:rtl/>
        </w:rPr>
        <w:t>(ט.)</w:t>
      </w:r>
      <w:r>
        <w:rPr>
          <w:rFonts w:hint="cs"/>
          <w:rtl/>
        </w:rPr>
        <w:t xml:space="preserve"> דזאב שנטל בני מעיים, הבהמה מותרת דסמכינן על החזקה.</w:t>
      </w:r>
      <w:bookmarkEnd w:id="6633"/>
    </w:p>
    <w:p w14:paraId="16744B5B" w14:textId="77777777" w:rsidR="00FF5773" w:rsidRPr="005C6F19" w:rsidRDefault="00FF5773" w:rsidP="006D6D32">
      <w:pPr>
        <w:pStyle w:val="a3"/>
        <w:rPr>
          <w:rtl/>
        </w:rPr>
      </w:pPr>
      <w:bookmarkStart w:id="6635" w:name="_Toc527912532"/>
      <w:bookmarkStart w:id="6636" w:name="_Toc527924461"/>
      <w:bookmarkStart w:id="6637" w:name="_Toc527928680"/>
      <w:bookmarkStart w:id="6638" w:name="_Toc527999453"/>
      <w:bookmarkStart w:id="6639" w:name="_Toc19389806"/>
      <w:bookmarkStart w:id="6640" w:name="_Toc19393303"/>
      <w:r>
        <w:rPr>
          <w:rFonts w:hint="cs"/>
          <w:rtl/>
        </w:rPr>
        <w:t>דחיית הרא"ה והראש יוסף דבזאב ההיתר הוא מדין רוב ולא מדין חזקה</w:t>
      </w:r>
      <w:bookmarkEnd w:id="6635"/>
      <w:bookmarkEnd w:id="6636"/>
      <w:bookmarkEnd w:id="6637"/>
      <w:bookmarkEnd w:id="6638"/>
      <w:bookmarkEnd w:id="6639"/>
      <w:bookmarkEnd w:id="6640"/>
    </w:p>
    <w:p w14:paraId="067B9311" w14:textId="77777777" w:rsidR="00FF5773" w:rsidRPr="005C6F19" w:rsidRDefault="00FF5773" w:rsidP="00223668">
      <w:pPr>
        <w:pStyle w:val="a0"/>
        <w:rPr>
          <w:rtl/>
        </w:rPr>
      </w:pPr>
      <w:r>
        <w:rPr>
          <w:rFonts w:hint="cs"/>
          <w:rtl/>
        </w:rPr>
        <w:t>אבל</w:t>
      </w:r>
      <w:r w:rsidRPr="00117CD3">
        <w:rPr>
          <w:rFonts w:hint="cs"/>
          <w:rtl/>
        </w:rPr>
        <w:t xml:space="preserve"> </w:t>
      </w:r>
      <w:r w:rsidRPr="00117CD3">
        <w:rPr>
          <w:rStyle w:val="af9"/>
          <w:rtl/>
        </w:rPr>
        <w:t>השיטמ"ק</w:t>
      </w:r>
      <w:r w:rsidRPr="00117CD3">
        <w:rPr>
          <w:rFonts w:hint="cs"/>
          <w:rtl/>
        </w:rPr>
        <w:t xml:space="preserve"> </w:t>
      </w:r>
      <w:r w:rsidRPr="00117CD3">
        <w:rPr>
          <w:rStyle w:val="af7"/>
          <w:rFonts w:eastAsia="Guttman Hodes" w:hint="cs"/>
          <w:rtl/>
        </w:rPr>
        <w:t xml:space="preserve">(ד"ה </w:t>
      </w:r>
      <w:r w:rsidRPr="00417059">
        <w:rPr>
          <w:rStyle w:val="af7"/>
          <w:rFonts w:eastAsia="Guttman Hodes" w:hint="cs"/>
          <w:rtl/>
        </w:rPr>
        <w:t xml:space="preserve">והרא"ה) </w:t>
      </w:r>
      <w:r>
        <w:rPr>
          <w:rFonts w:hint="cs"/>
          <w:rtl/>
        </w:rPr>
        <w:t xml:space="preserve">בשם </w:t>
      </w:r>
      <w:r>
        <w:rPr>
          <w:rStyle w:val="af9"/>
          <w:rtl/>
        </w:rPr>
        <w:t>הרא"ה</w:t>
      </w:r>
      <w:r>
        <w:rPr>
          <w:rFonts w:hint="cs"/>
          <w:rtl/>
        </w:rPr>
        <w:t xml:space="preserve"> כתב </w:t>
      </w:r>
      <w:r w:rsidRPr="00117CD3">
        <w:rPr>
          <w:rFonts w:hint="cs"/>
          <w:rtl/>
        </w:rPr>
        <w:t xml:space="preserve">דא"א לומר </w:t>
      </w:r>
      <w:r>
        <w:rPr>
          <w:rFonts w:hint="cs"/>
          <w:rtl/>
        </w:rPr>
        <w:t xml:space="preserve">[כמשמעות </w:t>
      </w:r>
      <w:r w:rsidRPr="000C61CE">
        <w:rPr>
          <w:rStyle w:val="af9"/>
          <w:rFonts w:hint="cs"/>
          <w:rtl/>
        </w:rPr>
        <w:t>רש"י</w:t>
      </w:r>
      <w:r>
        <w:rPr>
          <w:rFonts w:hint="cs"/>
          <w:rtl/>
        </w:rPr>
        <w:t xml:space="preserve">] </w:t>
      </w:r>
      <w:r w:rsidRPr="00117CD3">
        <w:rPr>
          <w:rFonts w:hint="cs"/>
          <w:rtl/>
        </w:rPr>
        <w:t xml:space="preserve">דקאי על הדין דנשחטה בחזקת היתר קיימא, דהוא מדין רוב, דרוב בהמות אינם טריפות, ולא מדין חזקה, </w:t>
      </w:r>
      <w:r w:rsidRPr="005C6F19">
        <w:rPr>
          <w:rFonts w:hint="cs"/>
          <w:rtl/>
        </w:rPr>
        <w:t>דהחזקה הרי לא נתבררה בשעתה, דלא ידענו בחייה שאינה טריפה, אלא ההיתר הוא מדין רוב, והלשון חזקה הוא לאו דוקא.</w:t>
      </w:r>
      <w:bookmarkStart w:id="6641" w:name="_Ref527301304"/>
      <w:r w:rsidRPr="00DA02DC">
        <w:rPr>
          <w:rFonts w:hint="cs"/>
          <w:rtl/>
        </w:rPr>
        <w:t xml:space="preserve"> </w:t>
      </w:r>
      <w:r>
        <w:rPr>
          <w:rFonts w:hint="cs"/>
          <w:rtl/>
        </w:rPr>
        <w:t xml:space="preserve">וכן הקשה </w:t>
      </w:r>
      <w:r w:rsidRPr="00184781">
        <w:rPr>
          <w:rStyle w:val="af9"/>
          <w:rFonts w:hint="cs"/>
          <w:rtl/>
        </w:rPr>
        <w:t>הראש יוסף</w:t>
      </w:r>
      <w:r>
        <w:rPr>
          <w:rFonts w:hint="cs"/>
          <w:rtl/>
        </w:rPr>
        <w:t xml:space="preserve"> והוסיף דא"א לומר דכוונת </w:t>
      </w:r>
      <w:r w:rsidRPr="00DA02DC">
        <w:rPr>
          <w:rStyle w:val="af9"/>
          <w:rFonts w:hint="cs"/>
          <w:rtl/>
        </w:rPr>
        <w:t>רש"י</w:t>
      </w:r>
      <w:r>
        <w:rPr>
          <w:rFonts w:hint="cs"/>
          <w:rtl/>
        </w:rPr>
        <w:t xml:space="preserve"> לחזקה דבהמה בחייה בחזקת איסור עומדת, דהא היא חזקה לאיסור ולא להיתר, ועי' במה שביאר </w:t>
      </w:r>
      <w:r w:rsidRPr="00417059">
        <w:rPr>
          <w:rStyle w:val="af9"/>
          <w:rFonts w:hint="cs"/>
          <w:rtl/>
        </w:rPr>
        <w:t>הראש יוסף</w:t>
      </w:r>
      <w:r>
        <w:rPr>
          <w:rFonts w:hint="cs"/>
          <w:rtl/>
        </w:rPr>
        <w:t xml:space="preserve"> </w:t>
      </w:r>
      <w:r w:rsidRPr="00417059">
        <w:rPr>
          <w:rStyle w:val="af7"/>
          <w:rFonts w:eastAsia="Guttman Hodes" w:hint="cs"/>
          <w:rtl/>
        </w:rPr>
        <w:t xml:space="preserve">(עי' אות </w:t>
      </w:r>
      <w:r w:rsidRPr="00417059">
        <w:rPr>
          <w:rStyle w:val="af7"/>
          <w:rFonts w:eastAsia="Guttman Hodes"/>
          <w:rtl/>
        </w:rPr>
        <w:fldChar w:fldCharType="begin"/>
      </w:r>
      <w:r w:rsidRPr="00417059">
        <w:rPr>
          <w:rStyle w:val="af7"/>
          <w:rFonts w:eastAsia="Guttman Hodes"/>
          <w:rtl/>
        </w:rPr>
        <w:instrText xml:space="preserve"> </w:instrText>
      </w:r>
      <w:r w:rsidRPr="00417059">
        <w:rPr>
          <w:rStyle w:val="af7"/>
          <w:rFonts w:eastAsia="Guttman Hodes" w:hint="cs"/>
        </w:rPr>
        <w:instrText>REF</w:instrText>
      </w:r>
      <w:r w:rsidRPr="00417059">
        <w:rPr>
          <w:rStyle w:val="af7"/>
          <w:rFonts w:eastAsia="Guttman Hodes" w:hint="cs"/>
          <w:rtl/>
        </w:rPr>
        <w:instrText xml:space="preserve"> _</w:instrText>
      </w:r>
      <w:r w:rsidRPr="00417059">
        <w:rPr>
          <w:rStyle w:val="af7"/>
          <w:rFonts w:eastAsia="Guttman Hodes" w:hint="cs"/>
        </w:rPr>
        <w:instrText>Ref527663764 \r \h</w:instrText>
      </w:r>
      <w:r w:rsidRPr="00417059">
        <w:rPr>
          <w:rStyle w:val="af7"/>
          <w:rFonts w:eastAsia="Guttman Hodes"/>
          <w:rtl/>
        </w:rPr>
        <w:instrText xml:space="preserve"> </w:instrText>
      </w:r>
      <w:r w:rsidRPr="00417059">
        <w:rPr>
          <w:rStyle w:val="af7"/>
          <w:rFonts w:eastAsia="Guttman Hodes"/>
          <w:rtl/>
        </w:rPr>
      </w:r>
      <w:r w:rsidRPr="00417059">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417059">
        <w:rPr>
          <w:rStyle w:val="af7"/>
          <w:rFonts w:eastAsia="Guttman Hodes"/>
          <w:rtl/>
        </w:rPr>
        <w:fldChar w:fldCharType="end"/>
      </w:r>
      <w:r>
        <w:rPr>
          <w:rFonts w:hint="cs"/>
          <w:rtl/>
        </w:rPr>
        <w:t xml:space="preserve"> בדעת </w:t>
      </w:r>
      <w:r w:rsidRPr="00417059">
        <w:rPr>
          <w:rStyle w:val="af9"/>
          <w:rFonts w:hint="cs"/>
          <w:rtl/>
        </w:rPr>
        <w:t>רש"י</w:t>
      </w:r>
      <w:r>
        <w:rPr>
          <w:rFonts w:hint="cs"/>
          <w:rtl/>
        </w:rPr>
        <w:t>.</w:t>
      </w:r>
      <w:bookmarkEnd w:id="6641"/>
    </w:p>
    <w:p w14:paraId="4DC59EB5" w14:textId="77777777" w:rsidR="00FF5773" w:rsidRDefault="00FF5773" w:rsidP="00BF39B2">
      <w:pPr>
        <w:pStyle w:val="1"/>
        <w:rPr>
          <w:rtl/>
        </w:rPr>
      </w:pPr>
      <w:bookmarkStart w:id="6642" w:name="_Toc527912533"/>
      <w:bookmarkStart w:id="6643" w:name="_Toc527924462"/>
      <w:bookmarkStart w:id="6644" w:name="_Toc527928681"/>
      <w:bookmarkStart w:id="6645" w:name="_Toc527999454"/>
      <w:bookmarkStart w:id="6646" w:name="_Toc19389807"/>
      <w:bookmarkStart w:id="6647" w:name="_Toc19393304"/>
      <w:bookmarkEnd w:id="6634"/>
      <w:r>
        <w:rPr>
          <w:rFonts w:hint="cs"/>
          <w:rtl/>
        </w:rPr>
        <w:t>ביאור השיטמ"ק והראש יוסף דכוונת רש"י לדין סכין</w:t>
      </w:r>
      <w:bookmarkEnd w:id="6642"/>
      <w:bookmarkEnd w:id="6643"/>
      <w:bookmarkEnd w:id="6644"/>
      <w:bookmarkEnd w:id="6645"/>
      <w:bookmarkEnd w:id="6646"/>
      <w:bookmarkEnd w:id="6647"/>
    </w:p>
    <w:p w14:paraId="3166740D" w14:textId="77777777" w:rsidR="00FF5773" w:rsidRDefault="00FF5773" w:rsidP="006D6D32">
      <w:pPr>
        <w:pStyle w:val="a3"/>
        <w:rPr>
          <w:rtl/>
        </w:rPr>
      </w:pPr>
      <w:bookmarkStart w:id="6648" w:name="_Toc527912534"/>
      <w:bookmarkStart w:id="6649" w:name="_Toc527924463"/>
      <w:bookmarkStart w:id="6650" w:name="_Toc527928682"/>
      <w:bookmarkStart w:id="6651" w:name="_Toc527999455"/>
      <w:bookmarkStart w:id="6652" w:name="_Toc19389808"/>
      <w:bookmarkStart w:id="6653" w:name="_Toc19393305"/>
      <w:r>
        <w:rPr>
          <w:rFonts w:hint="cs"/>
          <w:rtl/>
        </w:rPr>
        <w:t>תירוץ השיטמ"ק דכוונת רש"י לדינא דסכין בלא שיבר עצמות לחומרא ובשיבר עצמות לקולא</w:t>
      </w:r>
      <w:bookmarkEnd w:id="6648"/>
      <w:bookmarkEnd w:id="6649"/>
      <w:bookmarkEnd w:id="6650"/>
      <w:bookmarkEnd w:id="6651"/>
      <w:bookmarkEnd w:id="6652"/>
      <w:bookmarkEnd w:id="6653"/>
    </w:p>
    <w:p w14:paraId="427ED896" w14:textId="77777777" w:rsidR="00FF5773" w:rsidRPr="00916102" w:rsidRDefault="00FF5773" w:rsidP="00223668">
      <w:pPr>
        <w:pStyle w:val="a0"/>
        <w:rPr>
          <w:rtl/>
        </w:rPr>
      </w:pPr>
      <w:r>
        <w:rPr>
          <w:rFonts w:hint="cs"/>
          <w:rtl/>
        </w:rPr>
        <w:t>ו</w:t>
      </w:r>
      <w:r w:rsidRPr="00916102">
        <w:rPr>
          <w:rFonts w:hint="cs"/>
          <w:rtl/>
        </w:rPr>
        <w:t xml:space="preserve">תירץ </w:t>
      </w:r>
      <w:r>
        <w:rPr>
          <w:rStyle w:val="af9"/>
          <w:rFonts w:hint="cs"/>
          <w:rtl/>
        </w:rPr>
        <w:t>ה</w:t>
      </w:r>
      <w:r w:rsidRPr="00916102">
        <w:rPr>
          <w:rStyle w:val="af9"/>
          <w:rtl/>
        </w:rPr>
        <w:t>שיטמ"ק</w:t>
      </w:r>
      <w:r w:rsidRPr="00916102">
        <w:rPr>
          <w:rFonts w:hint="cs"/>
          <w:rtl/>
        </w:rPr>
        <w:t xml:space="preserve"> </w:t>
      </w:r>
      <w:r w:rsidRPr="00916102">
        <w:rPr>
          <w:rStyle w:val="af7"/>
          <w:rFonts w:eastAsia="Guttman Hodes" w:hint="cs"/>
          <w:rtl/>
        </w:rPr>
        <w:t>(ד"ה והרא"ה)</w:t>
      </w:r>
      <w:r w:rsidRPr="00916102">
        <w:rPr>
          <w:rFonts w:hint="cs"/>
          <w:rtl/>
        </w:rPr>
        <w:t xml:space="preserve"> את דברי </w:t>
      </w:r>
      <w:r w:rsidRPr="00916102">
        <w:rPr>
          <w:rStyle w:val="af9"/>
          <w:rFonts w:hint="cs"/>
          <w:rtl/>
        </w:rPr>
        <w:t>רש"י</w:t>
      </w:r>
      <w:r w:rsidRPr="00916102">
        <w:rPr>
          <w:rFonts w:hint="cs"/>
          <w:rtl/>
        </w:rPr>
        <w:t xml:space="preserve"> </w:t>
      </w:r>
      <w:r>
        <w:rPr>
          <w:rFonts w:hint="cs"/>
          <w:rtl/>
        </w:rPr>
        <w:t>דקושית הגמ' היא על דינא דסכין, דרק בדין זה מצינו דאזלינן בתר חזקה לקולא ולחומרא, דבשלא שיבר בה עצמות, קיי"ל כרב הונא דמעמידים לחומרא בחזקת איסור של הבהמה, ובששיבר בה עצמות</w:t>
      </w:r>
      <w:r w:rsidRPr="0039687C">
        <w:rPr>
          <w:rFonts w:hint="cs"/>
          <w:rtl/>
        </w:rPr>
        <w:t xml:space="preserve"> </w:t>
      </w:r>
      <w:r>
        <w:rPr>
          <w:rFonts w:hint="cs"/>
          <w:rtl/>
        </w:rPr>
        <w:t>קיי"ל כרב חסדא, דמעמידים לקולא בחזקת הבדוק של הסכין, ולרב חסדא מעמידים בחזקת סכין אף בשלא שיבר בה עצמות.</w:t>
      </w:r>
    </w:p>
    <w:p w14:paraId="1747BF5F" w14:textId="77777777" w:rsidR="00FF5773" w:rsidRPr="00F21113" w:rsidRDefault="00FF5773" w:rsidP="00BF39B2">
      <w:pPr>
        <w:pStyle w:val="1"/>
        <w:rPr>
          <w:rtl/>
        </w:rPr>
      </w:pPr>
      <w:bookmarkStart w:id="6654" w:name="_Toc527912535"/>
      <w:bookmarkStart w:id="6655" w:name="_Toc527924464"/>
      <w:bookmarkStart w:id="6656" w:name="_Toc527928683"/>
      <w:bookmarkStart w:id="6657" w:name="_Toc527999456"/>
      <w:bookmarkStart w:id="6658" w:name="_Toc19389809"/>
      <w:bookmarkStart w:id="6659" w:name="_Toc19393306"/>
      <w:r w:rsidRPr="00F21113">
        <w:rPr>
          <w:rFonts w:hint="cs"/>
          <w:rtl/>
        </w:rPr>
        <w:t xml:space="preserve">דברי </w:t>
      </w:r>
      <w:bookmarkEnd w:id="6654"/>
      <w:bookmarkEnd w:id="6655"/>
      <w:bookmarkEnd w:id="6656"/>
      <w:r>
        <w:rPr>
          <w:rFonts w:hint="cs"/>
          <w:rtl/>
        </w:rPr>
        <w:t>הראשונים דקאי על דין חזקה בסכין</w:t>
      </w:r>
      <w:bookmarkEnd w:id="6657"/>
      <w:bookmarkEnd w:id="6658"/>
      <w:bookmarkEnd w:id="6659"/>
    </w:p>
    <w:p w14:paraId="368560ED" w14:textId="77777777" w:rsidR="00FF5773" w:rsidRDefault="00FF5773" w:rsidP="006D6D32">
      <w:pPr>
        <w:pStyle w:val="a3"/>
        <w:rPr>
          <w:rtl/>
        </w:rPr>
      </w:pPr>
      <w:bookmarkStart w:id="6660" w:name="_Toc527912536"/>
      <w:bookmarkStart w:id="6661" w:name="_Toc527924465"/>
      <w:bookmarkStart w:id="6662" w:name="_Toc527928684"/>
      <w:bookmarkStart w:id="6663" w:name="_Toc527999457"/>
      <w:bookmarkStart w:id="6664" w:name="_Toc19389810"/>
      <w:bookmarkStart w:id="6665" w:name="_Toc19393307"/>
      <w:r>
        <w:rPr>
          <w:rFonts w:hint="cs"/>
          <w:rtl/>
        </w:rPr>
        <w:t>דברי הרמב"ן דהנדון הוא על סכין דמוכח דמדאו' אזלינן אף לקולא ולכן החמירו בשיבר עצמות</w:t>
      </w:r>
      <w:bookmarkEnd w:id="6660"/>
      <w:bookmarkEnd w:id="6661"/>
      <w:bookmarkEnd w:id="6662"/>
      <w:bookmarkEnd w:id="6663"/>
      <w:bookmarkEnd w:id="6664"/>
      <w:bookmarkEnd w:id="6665"/>
    </w:p>
    <w:p w14:paraId="35E42D87" w14:textId="77777777" w:rsidR="00FF5773" w:rsidRDefault="00FF5773" w:rsidP="00E12979">
      <w:pPr>
        <w:pStyle w:val="a0"/>
        <w:numPr>
          <w:ilvl w:val="0"/>
          <w:numId w:val="5"/>
        </w:numPr>
        <w:rPr>
          <w:rtl/>
        </w:rPr>
      </w:pPr>
      <w:r>
        <w:rPr>
          <w:rFonts w:hint="cs"/>
          <w:rtl/>
        </w:rPr>
        <w:t xml:space="preserve">כתב </w:t>
      </w:r>
      <w:r>
        <w:rPr>
          <w:rStyle w:val="af9"/>
          <w:rtl/>
        </w:rPr>
        <w:t>הרמב"ן</w:t>
      </w:r>
      <w:r>
        <w:rPr>
          <w:rFonts w:hint="cs"/>
          <w:rtl/>
        </w:rPr>
        <w:t xml:space="preserve"> </w:t>
      </w:r>
      <w:r w:rsidRPr="00223668">
        <w:rPr>
          <w:rStyle w:val="af7"/>
          <w:rFonts w:eastAsia="Guttman Hodes" w:hint="cs"/>
          <w:rtl/>
        </w:rPr>
        <w:t>(ד"ה מנא)</w:t>
      </w:r>
      <w:r>
        <w:rPr>
          <w:rFonts w:hint="cs"/>
          <w:rtl/>
        </w:rPr>
        <w:t xml:space="preserve"> דהנדון בגמ' מה המקור לחזקה הוא אגב דאמר רב הונא דבסכין שנמצאת פגומה מעמידים בחזקת איסור, אפילו בשיבר בה עצמות, וביאר </w:t>
      </w:r>
      <w:r>
        <w:rPr>
          <w:rStyle w:val="af9"/>
          <w:rtl/>
        </w:rPr>
        <w:t>הרמב"ן</w:t>
      </w:r>
      <w:r>
        <w:rPr>
          <w:rFonts w:hint="cs"/>
          <w:rtl/>
        </w:rPr>
        <w:t xml:space="preserve"> דאף דברב הונא אזלינן בתר חזקה לחומרא, ולזה א"</w:t>
      </w:r>
      <w:r w:rsidRPr="00FC2868">
        <w:rPr>
          <w:rFonts w:hint="cs"/>
          <w:rtl/>
        </w:rPr>
        <w:t>צ קרא</w:t>
      </w:r>
      <w:r>
        <w:rPr>
          <w:rFonts w:hint="cs"/>
          <w:rtl/>
        </w:rPr>
        <w:t>,</w:t>
      </w:r>
      <w:r w:rsidRPr="00FC2868">
        <w:rPr>
          <w:rFonts w:hint="cs"/>
          <w:rtl/>
        </w:rPr>
        <w:t xml:space="preserve"> </w:t>
      </w:r>
      <w:r w:rsidRPr="00FC2868">
        <w:rPr>
          <w:rStyle w:val="afb"/>
          <w:rFonts w:hint="cs"/>
          <w:rtl/>
        </w:rPr>
        <w:t xml:space="preserve">[כדכתב </w:t>
      </w:r>
      <w:r w:rsidRPr="00FC2868">
        <w:rPr>
          <w:rStyle w:val="affa"/>
          <w:rFonts w:hint="cs"/>
          <w:rtl/>
        </w:rPr>
        <w:t xml:space="preserve">הרמב"ן </w:t>
      </w:r>
      <w:r w:rsidRPr="00FC2868">
        <w:rPr>
          <w:rStyle w:val="aff6"/>
          <w:rFonts w:hint="cs"/>
          <w:rtl/>
        </w:rPr>
        <w:t xml:space="preserve">(עי' אות </w:t>
      </w:r>
      <w:r w:rsidRPr="00FC2868">
        <w:rPr>
          <w:rStyle w:val="aff6"/>
          <w:rFonts w:hint="cs"/>
          <w:rtl/>
        </w:rPr>
        <w:fldChar w:fldCharType="begin"/>
      </w:r>
      <w:r w:rsidRPr="00FC2868">
        <w:rPr>
          <w:rStyle w:val="aff6"/>
          <w:rFonts w:hint="cs"/>
          <w:rtl/>
        </w:rPr>
        <w:instrText xml:space="preserve"> </w:instrText>
      </w:r>
      <w:r w:rsidRPr="00FC2868">
        <w:rPr>
          <w:rStyle w:val="aff6"/>
          <w:rFonts w:hint="cs"/>
        </w:rPr>
        <w:instrText>REF</w:instrText>
      </w:r>
      <w:r w:rsidRPr="00FC2868">
        <w:rPr>
          <w:rStyle w:val="aff6"/>
          <w:rFonts w:hint="cs"/>
          <w:rtl/>
        </w:rPr>
        <w:instrText xml:space="preserve"> _</w:instrText>
      </w:r>
      <w:r w:rsidRPr="00FC2868">
        <w:rPr>
          <w:rStyle w:val="aff6"/>
          <w:rFonts w:hint="cs"/>
        </w:rPr>
        <w:instrText>Ref524900434 \r \h</w:instrText>
      </w:r>
      <w:r w:rsidRPr="00FC2868">
        <w:rPr>
          <w:rStyle w:val="aff6"/>
          <w:rFonts w:hint="cs"/>
          <w:rtl/>
        </w:rPr>
        <w:instrText xml:space="preserve"> </w:instrText>
      </w:r>
      <w:r w:rsidRPr="00FC2868">
        <w:rPr>
          <w:rStyle w:val="aff6"/>
          <w:rtl/>
        </w:rPr>
        <w:instrText xml:space="preserve"> \* </w:instrText>
      </w:r>
      <w:r w:rsidRPr="00FC2868">
        <w:rPr>
          <w:rStyle w:val="aff6"/>
        </w:rPr>
        <w:instrText>MERGEFORMAT</w:instrText>
      </w:r>
      <w:r w:rsidRPr="00FC2868">
        <w:rPr>
          <w:rStyle w:val="aff6"/>
          <w:rtl/>
        </w:rPr>
        <w:instrText xml:space="preserve"> </w:instrText>
      </w:r>
      <w:r w:rsidRPr="00FC2868">
        <w:rPr>
          <w:rStyle w:val="aff6"/>
          <w:rFonts w:hint="cs"/>
          <w:rtl/>
        </w:rPr>
      </w:r>
      <w:r w:rsidRPr="00FC2868">
        <w:rPr>
          <w:rStyle w:val="aff6"/>
          <w:rFonts w:hint="cs"/>
          <w:rtl/>
        </w:rPr>
        <w:fldChar w:fldCharType="separate"/>
      </w:r>
      <w:r w:rsidR="00345400">
        <w:rPr>
          <w:rStyle w:val="aff6"/>
          <w:rFonts w:hint="eastAsia"/>
          <w:cs/>
        </w:rPr>
        <w:t>‎</w:t>
      </w:r>
      <w:r w:rsidR="00345400">
        <w:rPr>
          <w:rStyle w:val="aff6"/>
          <w:rFonts w:hint="eastAsia"/>
          <w:rtl/>
        </w:rPr>
        <w:t>ב</w:t>
      </w:r>
      <w:r w:rsidR="00345400">
        <w:rPr>
          <w:rStyle w:val="aff6"/>
          <w:rtl/>
        </w:rPr>
        <w:t>)</w:t>
      </w:r>
      <w:r w:rsidRPr="00FC2868">
        <w:rPr>
          <w:rStyle w:val="aff6"/>
          <w:rFonts w:hint="cs"/>
          <w:rtl/>
        </w:rPr>
        <w:fldChar w:fldCharType="end"/>
      </w:r>
      <w:r w:rsidRPr="00FC2868">
        <w:rPr>
          <w:rStyle w:val="afb"/>
          <w:rFonts w:hint="cs"/>
          <w:rtl/>
        </w:rPr>
        <w:t>]</w:t>
      </w:r>
      <w:r>
        <w:rPr>
          <w:rStyle w:val="afb"/>
          <w:rFonts w:hint="cs"/>
          <w:rtl/>
        </w:rPr>
        <w:t>,</w:t>
      </w:r>
      <w:r w:rsidRPr="00FC2868">
        <w:rPr>
          <w:rFonts w:hint="cs"/>
          <w:rtl/>
        </w:rPr>
        <w:t xml:space="preserve"> מ"מ מקשה הגמ' מנלן דאזלי</w:t>
      </w:r>
      <w:r>
        <w:rPr>
          <w:rFonts w:hint="cs"/>
          <w:rtl/>
        </w:rPr>
        <w:t>נן בתר חזקה לקולא, כיון דאם מדאו' לא אזלינן בתר חזקה לקולא, לא היו מחמירים רבנן לאסור בסכין, אף בשיבר בה עצמות, והיו מתירים מדין אין ספק מוציא מידי ודאי.</w:t>
      </w:r>
      <w:bookmarkStart w:id="6666" w:name="_Toc527912537"/>
      <w:bookmarkStart w:id="6667" w:name="_Toc527924466"/>
      <w:bookmarkStart w:id="6668" w:name="_Toc527928685"/>
      <w:bookmarkStart w:id="6669" w:name="_Toc527999458"/>
    </w:p>
    <w:p w14:paraId="0DB36E2F" w14:textId="77777777" w:rsidR="00FF5773" w:rsidRDefault="00FF5773" w:rsidP="006D6D32">
      <w:pPr>
        <w:pStyle w:val="a3"/>
        <w:rPr>
          <w:rtl/>
        </w:rPr>
      </w:pPr>
      <w:bookmarkStart w:id="6670" w:name="_Toc19389811"/>
      <w:bookmarkStart w:id="6671" w:name="_Toc19393308"/>
      <w:r>
        <w:rPr>
          <w:rFonts w:hint="cs"/>
          <w:rtl/>
        </w:rPr>
        <w:t>קושית השיטמ"ק דקושית הגמ' על רב הונא בשיבר עצמות היא דלא כהלכתא</w:t>
      </w:r>
      <w:bookmarkEnd w:id="6666"/>
      <w:bookmarkEnd w:id="6667"/>
      <w:bookmarkEnd w:id="6668"/>
      <w:bookmarkEnd w:id="6669"/>
      <w:bookmarkEnd w:id="6670"/>
      <w:bookmarkEnd w:id="6671"/>
      <w:r>
        <w:rPr>
          <w:rFonts w:hint="cs"/>
          <w:rtl/>
        </w:rPr>
        <w:t xml:space="preserve"> </w:t>
      </w:r>
    </w:p>
    <w:p w14:paraId="3796C842" w14:textId="77777777" w:rsidR="00FF5773" w:rsidRPr="00ED4931" w:rsidRDefault="00FF5773" w:rsidP="00223668">
      <w:pPr>
        <w:pStyle w:val="a0"/>
        <w:rPr>
          <w:rtl/>
        </w:rPr>
      </w:pPr>
      <w:r>
        <w:rPr>
          <w:rFonts w:hint="cs"/>
          <w:rtl/>
        </w:rPr>
        <w:t xml:space="preserve">והקשה </w:t>
      </w:r>
      <w:r w:rsidRPr="007A16C3">
        <w:rPr>
          <w:rStyle w:val="af9"/>
          <w:rFonts w:hint="cs"/>
          <w:rtl/>
        </w:rPr>
        <w:t>השיטמ"ק</w:t>
      </w:r>
      <w:r>
        <w:rPr>
          <w:rFonts w:hint="cs"/>
          <w:rtl/>
        </w:rPr>
        <w:t xml:space="preserve"> </w:t>
      </w:r>
      <w:r w:rsidRPr="007A16C3">
        <w:rPr>
          <w:rStyle w:val="af7"/>
          <w:rFonts w:eastAsia="Guttman Hodes" w:hint="cs"/>
          <w:rtl/>
        </w:rPr>
        <w:t>(ד"ה מנא)</w:t>
      </w:r>
      <w:r>
        <w:rPr>
          <w:rFonts w:hint="cs"/>
          <w:rtl/>
        </w:rPr>
        <w:t xml:space="preserve"> על </w:t>
      </w:r>
      <w:r w:rsidRPr="007A16C3">
        <w:rPr>
          <w:rStyle w:val="af9"/>
          <w:rFonts w:hint="cs"/>
          <w:rtl/>
        </w:rPr>
        <w:t>הרמב"ן</w:t>
      </w:r>
      <w:r>
        <w:rPr>
          <w:rFonts w:hint="cs"/>
          <w:rtl/>
        </w:rPr>
        <w:t xml:space="preserve"> דהרי רק בלא שיבר בה עצמות קיי"ל כרב הונא, והיאך מקשה הגמ' על דברי רב הונא בשיבר בה עצמות. </w:t>
      </w:r>
    </w:p>
    <w:p w14:paraId="2E8D54E2" w14:textId="77777777" w:rsidR="00FF5773" w:rsidRDefault="00FF5773" w:rsidP="006D6D32">
      <w:pPr>
        <w:pStyle w:val="a3"/>
        <w:rPr>
          <w:rtl/>
        </w:rPr>
      </w:pPr>
      <w:bookmarkStart w:id="6672" w:name="_Toc527912540"/>
      <w:bookmarkStart w:id="6673" w:name="_Toc527924469"/>
      <w:bookmarkStart w:id="6674" w:name="_Toc527928688"/>
      <w:bookmarkStart w:id="6675" w:name="_Toc527999459"/>
      <w:bookmarkStart w:id="6676" w:name="_Toc19389812"/>
      <w:bookmarkStart w:id="6677" w:name="_Toc19393309"/>
      <w:bookmarkStart w:id="6678" w:name="_Toc527912538"/>
      <w:bookmarkStart w:id="6679" w:name="_Toc527924467"/>
      <w:bookmarkStart w:id="6680" w:name="_Toc527928686"/>
      <w:r>
        <w:rPr>
          <w:rFonts w:hint="cs"/>
          <w:rtl/>
        </w:rPr>
        <w:t>דברי הרא"ה דהגמ' קאי על דברי רב חסדא דסמך על חזקת סכין לקולא</w:t>
      </w:r>
      <w:bookmarkEnd w:id="6672"/>
      <w:bookmarkEnd w:id="6673"/>
      <w:bookmarkEnd w:id="6674"/>
      <w:bookmarkEnd w:id="6675"/>
      <w:bookmarkEnd w:id="6676"/>
      <w:bookmarkEnd w:id="6677"/>
    </w:p>
    <w:p w14:paraId="7EFE31D2" w14:textId="77777777" w:rsidR="00FF5773" w:rsidRPr="00DD0581" w:rsidRDefault="00FF5773" w:rsidP="00223668">
      <w:pPr>
        <w:pStyle w:val="a0"/>
        <w:rPr>
          <w:rtl/>
        </w:rPr>
      </w:pPr>
      <w:r>
        <w:rPr>
          <w:rFonts w:hint="cs"/>
          <w:rtl/>
        </w:rPr>
        <w:t>ו</w:t>
      </w:r>
      <w:r w:rsidRPr="00DD0581">
        <w:rPr>
          <w:rStyle w:val="af9"/>
          <w:rtl/>
        </w:rPr>
        <w:t>השיטמ"ק</w:t>
      </w:r>
      <w:r w:rsidRPr="00DD0581">
        <w:rPr>
          <w:rFonts w:hint="cs"/>
          <w:rtl/>
        </w:rPr>
        <w:t xml:space="preserve"> </w:t>
      </w:r>
      <w:r w:rsidRPr="00DD0581">
        <w:rPr>
          <w:rStyle w:val="af7"/>
          <w:rFonts w:eastAsia="Guttman Hodes" w:hint="cs"/>
          <w:rtl/>
        </w:rPr>
        <w:t>(ד"ה והרא"ה)</w:t>
      </w:r>
      <w:r w:rsidRPr="00DD0581">
        <w:rPr>
          <w:rFonts w:hint="cs"/>
          <w:rtl/>
        </w:rPr>
        <w:t xml:space="preserve"> בשם </w:t>
      </w:r>
      <w:r w:rsidRPr="00DD0581">
        <w:rPr>
          <w:rStyle w:val="af9"/>
          <w:rtl/>
        </w:rPr>
        <w:t>הרא"ה</w:t>
      </w:r>
      <w:r w:rsidRPr="00DD0581">
        <w:rPr>
          <w:rFonts w:hint="cs"/>
          <w:rtl/>
        </w:rPr>
        <w:t xml:space="preserve"> </w:t>
      </w:r>
      <w:r>
        <w:rPr>
          <w:rFonts w:hint="cs"/>
          <w:rtl/>
        </w:rPr>
        <w:t xml:space="preserve">כתב </w:t>
      </w:r>
      <w:r w:rsidRPr="00DD0581">
        <w:rPr>
          <w:rFonts w:hint="cs"/>
          <w:rtl/>
        </w:rPr>
        <w:t>דהגמ' קאי על דברי רב חסדא דסמך על בדיקת הסכין אף לקולא</w:t>
      </w:r>
      <w:r>
        <w:rPr>
          <w:rFonts w:hint="cs"/>
          <w:rtl/>
        </w:rPr>
        <w:t>.</w:t>
      </w:r>
    </w:p>
    <w:p w14:paraId="78CA4FAE" w14:textId="77777777" w:rsidR="00FF5773" w:rsidRDefault="00FF5773" w:rsidP="006D6D32">
      <w:pPr>
        <w:pStyle w:val="a3"/>
        <w:rPr>
          <w:rtl/>
        </w:rPr>
      </w:pPr>
      <w:bookmarkStart w:id="6681" w:name="_Toc527912541"/>
      <w:bookmarkStart w:id="6682" w:name="_Toc527924470"/>
      <w:bookmarkStart w:id="6683" w:name="_Toc527928689"/>
      <w:bookmarkStart w:id="6684" w:name="_Toc527999460"/>
      <w:bookmarkStart w:id="6685" w:name="_Toc19389813"/>
      <w:bookmarkStart w:id="6686" w:name="_Toc19393310"/>
      <w:r>
        <w:rPr>
          <w:rFonts w:hint="cs"/>
          <w:rtl/>
        </w:rPr>
        <w:t>דברי הרשב"א דהנדון הוא על דינא דסכין דאף לר"ה מעמידים על החזקה באבד הסכין</w:t>
      </w:r>
      <w:bookmarkEnd w:id="6681"/>
      <w:bookmarkEnd w:id="6682"/>
      <w:bookmarkEnd w:id="6683"/>
      <w:bookmarkEnd w:id="6684"/>
      <w:bookmarkEnd w:id="6685"/>
      <w:bookmarkEnd w:id="6686"/>
    </w:p>
    <w:p w14:paraId="045FB2F0" w14:textId="77777777" w:rsidR="00FF5773" w:rsidRPr="00C62890" w:rsidRDefault="00FF5773" w:rsidP="00223668">
      <w:pPr>
        <w:pStyle w:val="a0"/>
        <w:rPr>
          <w:rtl/>
        </w:rPr>
      </w:pPr>
      <w:bookmarkStart w:id="6687" w:name="_Ref527663764"/>
      <w:r w:rsidRPr="00CB6D19">
        <w:rPr>
          <w:rStyle w:val="af9"/>
          <w:rFonts w:hint="cs"/>
          <w:rtl/>
        </w:rPr>
        <w:t>והרשב"א במשה"ב</w:t>
      </w:r>
      <w:r>
        <w:rPr>
          <w:rFonts w:hint="cs"/>
          <w:rtl/>
        </w:rPr>
        <w:t xml:space="preserve"> </w:t>
      </w:r>
      <w:r w:rsidRPr="00417059">
        <w:rPr>
          <w:rStyle w:val="af7"/>
          <w:rFonts w:eastAsia="Guttman Hodes" w:hint="cs"/>
          <w:rtl/>
        </w:rPr>
        <w:t>(ב</w:t>
      </w:r>
      <w:r w:rsidRPr="00417059">
        <w:rPr>
          <w:rStyle w:val="af7"/>
          <w:rFonts w:eastAsia="Guttman Hodes"/>
          <w:rtl/>
        </w:rPr>
        <w:t>"</w:t>
      </w:r>
      <w:r w:rsidRPr="00417059">
        <w:rPr>
          <w:rStyle w:val="af7"/>
          <w:rFonts w:eastAsia="Guttman Hodes" w:hint="cs"/>
          <w:rtl/>
        </w:rPr>
        <w:t>א ש</w:t>
      </w:r>
      <w:r w:rsidRPr="00417059">
        <w:rPr>
          <w:rStyle w:val="af7"/>
          <w:rFonts w:eastAsia="Guttman Hodes"/>
          <w:rtl/>
        </w:rPr>
        <w:t>"</w:t>
      </w:r>
      <w:r w:rsidRPr="00417059">
        <w:rPr>
          <w:rStyle w:val="af7"/>
          <w:rFonts w:eastAsia="Guttman Hodes" w:hint="cs"/>
          <w:rtl/>
        </w:rPr>
        <w:t>א ד"ף ד: מדה"ס בסו"ד ד"ה ואלו דברים)</w:t>
      </w:r>
      <w:r>
        <w:rPr>
          <w:rFonts w:hint="cs"/>
          <w:rtl/>
        </w:rPr>
        <w:t xml:space="preserve"> כתב דקושית הגמ' דמנלן דאזלינן בתר חזקה, היא על הדין דסכין שנמצא פגום, דאף לרב הונא מעמידים על החזקה, באבד הסכין השחיטה כשרה </w:t>
      </w:r>
      <w:r w:rsidRPr="00ED6D22">
        <w:rPr>
          <w:rStyle w:val="afb"/>
          <w:rFonts w:hint="cs"/>
          <w:rtl/>
        </w:rPr>
        <w:t>[כשיטת הרשב"א ודלא כרמב"ן שם]</w:t>
      </w:r>
      <w:r>
        <w:rPr>
          <w:rFonts w:hint="cs"/>
          <w:rtl/>
        </w:rPr>
        <w:t xml:space="preserve">, כיון שבדק את הסכין לפני השחיטה, וכתב </w:t>
      </w:r>
      <w:r w:rsidRPr="00EE5B33">
        <w:rPr>
          <w:rStyle w:val="af9"/>
          <w:rFonts w:hint="cs"/>
          <w:rtl/>
        </w:rPr>
        <w:t>הראש יוסף</w:t>
      </w:r>
      <w:r>
        <w:rPr>
          <w:rFonts w:hint="cs"/>
          <w:rtl/>
        </w:rPr>
        <w:t xml:space="preserve"> </w:t>
      </w:r>
      <w:r w:rsidRPr="00417059">
        <w:rPr>
          <w:rStyle w:val="af7"/>
          <w:rFonts w:eastAsia="Guttman Hodes" w:hint="cs"/>
          <w:rtl/>
        </w:rPr>
        <w:t xml:space="preserve">(ד"ה מנא) </w:t>
      </w:r>
      <w:r>
        <w:rPr>
          <w:rFonts w:hint="cs"/>
          <w:rtl/>
        </w:rPr>
        <w:t xml:space="preserve">דזו כוונת </w:t>
      </w:r>
      <w:r w:rsidRPr="005A3FF7">
        <w:rPr>
          <w:rStyle w:val="af9"/>
          <w:rFonts w:hint="cs"/>
          <w:rtl/>
        </w:rPr>
        <w:t>רש"י</w:t>
      </w:r>
      <w:r>
        <w:rPr>
          <w:rFonts w:hint="cs"/>
          <w:rtl/>
        </w:rPr>
        <w:t xml:space="preserve"> </w:t>
      </w:r>
      <w:r w:rsidRPr="00EC684D">
        <w:rPr>
          <w:rStyle w:val="af7"/>
          <w:rFonts w:eastAsia="Guttman Hodes" w:hint="cs"/>
          <w:rtl/>
        </w:rPr>
        <w:t xml:space="preserve">(עי' אות </w:t>
      </w:r>
      <w:r w:rsidRPr="00EC684D">
        <w:rPr>
          <w:rStyle w:val="af7"/>
          <w:rFonts w:eastAsia="Guttman Hodes"/>
          <w:rtl/>
        </w:rPr>
        <w:fldChar w:fldCharType="begin"/>
      </w:r>
      <w:r w:rsidRPr="00EC684D">
        <w:rPr>
          <w:rStyle w:val="af7"/>
          <w:rFonts w:eastAsia="Guttman Hodes"/>
          <w:rtl/>
        </w:rPr>
        <w:instrText xml:space="preserve"> </w:instrText>
      </w:r>
      <w:r w:rsidRPr="00EC684D">
        <w:rPr>
          <w:rStyle w:val="af7"/>
          <w:rFonts w:eastAsia="Guttman Hodes" w:hint="cs"/>
        </w:rPr>
        <w:instrText>REF</w:instrText>
      </w:r>
      <w:r w:rsidRPr="00EC684D">
        <w:rPr>
          <w:rStyle w:val="af7"/>
          <w:rFonts w:eastAsia="Guttman Hodes" w:hint="cs"/>
          <w:rtl/>
        </w:rPr>
        <w:instrText xml:space="preserve"> _</w:instrText>
      </w:r>
      <w:r w:rsidRPr="00EC684D">
        <w:rPr>
          <w:rStyle w:val="af7"/>
          <w:rFonts w:eastAsia="Guttman Hodes" w:hint="cs"/>
        </w:rPr>
        <w:instrText>Ref527663715 \r \h</w:instrText>
      </w:r>
      <w:r w:rsidRPr="00EC684D">
        <w:rPr>
          <w:rStyle w:val="af7"/>
          <w:rFonts w:eastAsia="Guttman Hodes"/>
          <w:rtl/>
        </w:rPr>
        <w:instrText xml:space="preserve"> </w:instrText>
      </w:r>
      <w:r w:rsidRPr="00EC684D">
        <w:rPr>
          <w:rStyle w:val="af7"/>
          <w:rFonts w:eastAsia="Guttman Hodes"/>
          <w:rtl/>
        </w:rPr>
      </w:r>
      <w:r w:rsidRPr="00EC684D">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EC684D">
        <w:rPr>
          <w:rStyle w:val="af7"/>
          <w:rFonts w:eastAsia="Guttman Hodes"/>
          <w:rtl/>
        </w:rPr>
        <w:fldChar w:fldCharType="end"/>
      </w:r>
      <w:r w:rsidRPr="00EC684D">
        <w:rPr>
          <w:rStyle w:val="af7"/>
          <w:rFonts w:eastAsia="Guttman Hodes" w:hint="cs"/>
          <w:rtl/>
        </w:rPr>
        <w:t xml:space="preserve"> </w:t>
      </w:r>
      <w:r>
        <w:rPr>
          <w:rFonts w:hint="cs"/>
          <w:rtl/>
        </w:rPr>
        <w:t xml:space="preserve">דכתב דאיתא לעיל שסומכין על החזקה לאסור ולהתיר, דלקולא היינו באבד הסכין,  ולחומרא היינו כשנמצא פגום דיש תרתי לריעותא </w:t>
      </w:r>
      <w:r w:rsidRPr="005A3FF7">
        <w:rPr>
          <w:rStyle w:val="afb"/>
          <w:rFonts w:hint="cs"/>
          <w:rtl/>
        </w:rPr>
        <w:t>[חזקת איסור דבהמה וסכין פגום לפניך]</w:t>
      </w:r>
      <w:r>
        <w:rPr>
          <w:rFonts w:hint="cs"/>
          <w:rtl/>
        </w:rPr>
        <w:t>, מעמידים בחזקת איסור. וכ"ש לדידן דבשיבר בה עצמות קיי"ל כרב חסדא דמותר, דמוכח דמעמידים על חזקת הסכין להיתר, כיון שיש ריעותא בחזקת איסור של הבהמה דהרי שחוטה לפניך.</w:t>
      </w:r>
      <w:bookmarkEnd w:id="6687"/>
    </w:p>
    <w:p w14:paraId="666043E1" w14:textId="77777777" w:rsidR="00FF5773" w:rsidRPr="00304BB0" w:rsidRDefault="00FF5773" w:rsidP="006D6D32">
      <w:pPr>
        <w:pStyle w:val="a3"/>
        <w:rPr>
          <w:rtl/>
        </w:rPr>
      </w:pPr>
      <w:bookmarkStart w:id="6688" w:name="_Toc19389814"/>
      <w:bookmarkStart w:id="6689" w:name="_Toc19393311"/>
      <w:r>
        <w:rPr>
          <w:noProof/>
          <w:rtl/>
        </w:rPr>
        <w:t xml:space="preserve">דברי הר"ן </w:t>
      </w:r>
      <w:r>
        <w:rPr>
          <w:rFonts w:hint="cs"/>
          <w:noProof/>
          <w:rtl/>
        </w:rPr>
        <w:t>הנדון בדין חזקה הוא ב</w:t>
      </w:r>
      <w:r>
        <w:rPr>
          <w:noProof/>
          <w:rtl/>
        </w:rPr>
        <w:t xml:space="preserve">רישא דרב הונא </w:t>
      </w:r>
      <w:r>
        <w:rPr>
          <w:rFonts w:hint="cs"/>
          <w:noProof/>
          <w:rtl/>
        </w:rPr>
        <w:t xml:space="preserve">והנדון </w:t>
      </w:r>
      <w:r>
        <w:rPr>
          <w:noProof/>
          <w:rtl/>
        </w:rPr>
        <w:t xml:space="preserve">לקמן </w:t>
      </w:r>
      <w:r>
        <w:rPr>
          <w:rFonts w:hint="cs"/>
          <w:noProof/>
          <w:rtl/>
        </w:rPr>
        <w:t>ב</w:t>
      </w:r>
      <w:r>
        <w:rPr>
          <w:noProof/>
          <w:rtl/>
        </w:rPr>
        <w:t xml:space="preserve">דין רוב </w:t>
      </w:r>
      <w:r>
        <w:rPr>
          <w:rFonts w:hint="cs"/>
          <w:noProof/>
          <w:rtl/>
        </w:rPr>
        <w:t>הוא</w:t>
      </w:r>
      <w:r>
        <w:rPr>
          <w:noProof/>
          <w:rtl/>
        </w:rPr>
        <w:t xml:space="preserve"> </w:t>
      </w:r>
      <w:r>
        <w:rPr>
          <w:rFonts w:hint="cs"/>
          <w:noProof/>
          <w:rtl/>
        </w:rPr>
        <w:t>ב</w:t>
      </w:r>
      <w:r>
        <w:rPr>
          <w:noProof/>
          <w:rtl/>
        </w:rPr>
        <w:t xml:space="preserve">סיפא </w:t>
      </w:r>
      <w:r>
        <w:rPr>
          <w:rFonts w:hint="cs"/>
          <w:noProof/>
          <w:rtl/>
        </w:rPr>
        <w:t>דרב הונא</w:t>
      </w:r>
      <w:bookmarkEnd w:id="6688"/>
      <w:bookmarkEnd w:id="6689"/>
    </w:p>
    <w:p w14:paraId="1618EC67" w14:textId="77777777" w:rsidR="00FF5773" w:rsidRDefault="00FF5773" w:rsidP="00E12979">
      <w:pPr>
        <w:pStyle w:val="a0"/>
        <w:numPr>
          <w:ilvl w:val="0"/>
          <w:numId w:val="5"/>
        </w:numPr>
      </w:pPr>
      <w:bookmarkStart w:id="6690" w:name="_Ref527652731"/>
      <w:r w:rsidRPr="00304BB0">
        <w:rPr>
          <w:rFonts w:hint="cs"/>
          <w:rtl/>
        </w:rPr>
        <w:t>ו</w:t>
      </w:r>
      <w:r w:rsidRPr="00304BB0">
        <w:rPr>
          <w:rStyle w:val="af9"/>
          <w:rtl/>
        </w:rPr>
        <w:t>הר"ן</w:t>
      </w:r>
      <w:r w:rsidRPr="00304BB0">
        <w:rPr>
          <w:rStyle w:val="af9"/>
          <w:rFonts w:hint="cs"/>
          <w:rtl/>
        </w:rPr>
        <w:t xml:space="preserve"> </w:t>
      </w:r>
      <w:r>
        <w:rPr>
          <w:rStyle w:val="af9"/>
          <w:rFonts w:hint="cs"/>
          <w:rtl/>
        </w:rPr>
        <w:t>בחי'</w:t>
      </w:r>
      <w:r w:rsidRPr="00304BB0">
        <w:rPr>
          <w:rFonts w:hint="cs"/>
          <w:rtl/>
        </w:rPr>
        <w:t xml:space="preserve"> </w:t>
      </w:r>
      <w:r w:rsidRPr="00223668">
        <w:rPr>
          <w:rStyle w:val="af7"/>
          <w:rFonts w:eastAsia="Guttman Hodes" w:hint="cs"/>
          <w:rtl/>
        </w:rPr>
        <w:t>(לקמן יא. ד"ה מנא)</w:t>
      </w:r>
      <w:r w:rsidRPr="00304BB0">
        <w:rPr>
          <w:rFonts w:hint="cs"/>
          <w:rtl/>
        </w:rPr>
        <w:t xml:space="preserve"> כתב דהנדון בגמ' הוא על דברי רב הונא</w:t>
      </w:r>
      <w:r>
        <w:rPr>
          <w:rFonts w:hint="cs"/>
          <w:rtl/>
        </w:rPr>
        <w:t xml:space="preserve"> לעיל </w:t>
      </w:r>
      <w:r w:rsidRPr="00223668">
        <w:rPr>
          <w:rStyle w:val="af7"/>
          <w:rFonts w:eastAsia="Guttman Hodes" w:hint="cs"/>
          <w:rtl/>
        </w:rPr>
        <w:t>(ט.)</w:t>
      </w:r>
      <w:r w:rsidRPr="00304BB0">
        <w:rPr>
          <w:rFonts w:hint="cs"/>
          <w:rtl/>
        </w:rPr>
        <w:t xml:space="preserve">, דברישא </w:t>
      </w:r>
      <w:r>
        <w:rPr>
          <w:rFonts w:hint="cs"/>
          <w:rtl/>
        </w:rPr>
        <w:t xml:space="preserve">אמר רב הונא </w:t>
      </w:r>
      <w:r w:rsidRPr="00304BB0">
        <w:rPr>
          <w:rFonts w:hint="cs"/>
          <w:rtl/>
        </w:rPr>
        <w:t>ד</w:t>
      </w:r>
      <w:r>
        <w:rPr>
          <w:rFonts w:hint="cs"/>
          <w:rtl/>
        </w:rPr>
        <w:t>ב</w:t>
      </w:r>
      <w:r w:rsidRPr="00304BB0">
        <w:rPr>
          <w:rFonts w:hint="cs"/>
          <w:rtl/>
        </w:rPr>
        <w:t xml:space="preserve">ספק בשחיטה מעמידים אותה בחזקת איסור, </w:t>
      </w:r>
      <w:r>
        <w:rPr>
          <w:rFonts w:hint="cs"/>
          <w:rtl/>
        </w:rPr>
        <w:t xml:space="preserve">ועל זה דנה הגמ' בסוגיין מהוא המקור לדין חזקה. </w:t>
      </w:r>
      <w:r w:rsidRPr="00304BB0">
        <w:rPr>
          <w:rFonts w:hint="cs"/>
          <w:rtl/>
        </w:rPr>
        <w:t xml:space="preserve">ובסיפא דרב הונא בספק טריפה </w:t>
      </w:r>
      <w:r>
        <w:rPr>
          <w:rFonts w:hint="cs"/>
          <w:rtl/>
        </w:rPr>
        <w:t>דנשחטה בחזקת היתר קיימא, ההיתר הוא מדין</w:t>
      </w:r>
      <w:r w:rsidRPr="00304BB0">
        <w:rPr>
          <w:rFonts w:hint="cs"/>
          <w:rtl/>
        </w:rPr>
        <w:t xml:space="preserve"> הרוב</w:t>
      </w:r>
      <w:r>
        <w:rPr>
          <w:rFonts w:hint="cs"/>
          <w:rtl/>
        </w:rPr>
        <w:t xml:space="preserve">, דא"א להתירה מדין חזקה כיון שאין לנו חזקה שלא הייתה טריפה משעה שנולדה, ועל זה דנה הגמ' </w:t>
      </w:r>
      <w:r w:rsidRPr="00304BB0">
        <w:rPr>
          <w:rFonts w:hint="cs"/>
          <w:rtl/>
        </w:rPr>
        <w:t xml:space="preserve">לקמן </w:t>
      </w:r>
      <w:r w:rsidRPr="00223668">
        <w:rPr>
          <w:rStyle w:val="af7"/>
          <w:rFonts w:eastAsia="Guttman Hodes" w:hint="cs"/>
          <w:rtl/>
        </w:rPr>
        <w:t>(יא.)</w:t>
      </w:r>
      <w:r>
        <w:rPr>
          <w:rFonts w:hint="cs"/>
          <w:rtl/>
        </w:rPr>
        <w:t xml:space="preserve"> מהוא המקור לדין רוב</w:t>
      </w:r>
      <w:r w:rsidRPr="00304BB0">
        <w:rPr>
          <w:rFonts w:hint="cs"/>
          <w:rtl/>
        </w:rPr>
        <w:t>.</w:t>
      </w:r>
      <w:bookmarkEnd w:id="6690"/>
    </w:p>
    <w:p w14:paraId="5531E0D7" w14:textId="77777777" w:rsidR="00FF5773" w:rsidRDefault="00FF5773" w:rsidP="00BF39B2">
      <w:pPr>
        <w:pStyle w:val="1"/>
        <w:rPr>
          <w:rtl/>
        </w:rPr>
      </w:pPr>
      <w:bookmarkStart w:id="6691" w:name="_Toc527999462"/>
      <w:bookmarkStart w:id="6692" w:name="_Toc19389815"/>
      <w:bookmarkStart w:id="6693" w:name="_Toc19393312"/>
      <w:r>
        <w:rPr>
          <w:rFonts w:hint="cs"/>
          <w:rtl/>
        </w:rPr>
        <w:t>הביאור הב' ברמב"ן דקאי על לא בדק בסימנים דהוי נבילה</w:t>
      </w:r>
      <w:bookmarkEnd w:id="6691"/>
      <w:bookmarkEnd w:id="6692"/>
      <w:bookmarkEnd w:id="6693"/>
    </w:p>
    <w:p w14:paraId="758B857F" w14:textId="77777777" w:rsidR="00FF5773" w:rsidRDefault="00FF5773" w:rsidP="006D6D32">
      <w:pPr>
        <w:pStyle w:val="a3"/>
        <w:rPr>
          <w:rtl/>
        </w:rPr>
      </w:pPr>
      <w:bookmarkStart w:id="6694" w:name="_Toc527999463"/>
      <w:bookmarkStart w:id="6695" w:name="_Toc19389816"/>
      <w:bookmarkStart w:id="6696" w:name="_Toc19393313"/>
      <w:r>
        <w:rPr>
          <w:rFonts w:hint="cs"/>
          <w:rtl/>
        </w:rPr>
        <w:t>הביאור הב' ברמב"ן דקאי על ספק בסיממנים דמטמאה כנבילה ומבו' דהחזקה אלימתא מדאו'</w:t>
      </w:r>
      <w:bookmarkEnd w:id="6678"/>
      <w:bookmarkEnd w:id="6679"/>
      <w:bookmarkEnd w:id="6680"/>
      <w:bookmarkEnd w:id="6694"/>
      <w:bookmarkEnd w:id="6695"/>
      <w:bookmarkEnd w:id="6696"/>
    </w:p>
    <w:p w14:paraId="048D60D6" w14:textId="77777777" w:rsidR="00FF5773" w:rsidRDefault="00FF5773" w:rsidP="00E12979">
      <w:pPr>
        <w:pStyle w:val="a0"/>
        <w:numPr>
          <w:ilvl w:val="0"/>
          <w:numId w:val="5"/>
        </w:numPr>
        <w:rPr>
          <w:rtl/>
        </w:rPr>
      </w:pPr>
      <w:r>
        <w:rPr>
          <w:rFonts w:hint="cs"/>
          <w:rtl/>
        </w:rPr>
        <w:t xml:space="preserve">ועוד ביאר </w:t>
      </w:r>
      <w:r>
        <w:rPr>
          <w:rStyle w:val="af9"/>
          <w:rtl/>
        </w:rPr>
        <w:t>הרמב"ן</w:t>
      </w:r>
      <w:r>
        <w:rPr>
          <w:rStyle w:val="af9"/>
          <w:rFonts w:hint="cs"/>
          <w:rtl/>
        </w:rPr>
        <w:t xml:space="preserve"> </w:t>
      </w:r>
      <w:r w:rsidRPr="00223668">
        <w:rPr>
          <w:rStyle w:val="af7"/>
          <w:rFonts w:eastAsia="Guttman Hodes" w:hint="cs"/>
          <w:rtl/>
        </w:rPr>
        <w:t>(ד"ה מנא)</w:t>
      </w:r>
      <w:r>
        <w:rPr>
          <w:rFonts w:hint="cs"/>
          <w:rtl/>
        </w:rPr>
        <w:t xml:space="preserve"> דכיון דאיתא בברייתא לעיל </w:t>
      </w:r>
      <w:r w:rsidRPr="00223668">
        <w:rPr>
          <w:rStyle w:val="af7"/>
          <w:rFonts w:eastAsia="Guttman Hodes" w:hint="cs"/>
          <w:rtl/>
        </w:rPr>
        <w:t xml:space="preserve">(ט.) </w:t>
      </w:r>
      <w:r>
        <w:rPr>
          <w:rFonts w:hint="cs"/>
          <w:rtl/>
        </w:rPr>
        <w:t>דבלא בדק בסימנים, הוי נבילה ומטמאה במשא, א"כ מבואר דמדאו' החזקה היא אלימתא, ולכן מקשה הגמ' מנלן.</w:t>
      </w:r>
    </w:p>
    <w:p w14:paraId="3EC8A36C" w14:textId="77777777" w:rsidR="00FF5773" w:rsidRDefault="00FF5773" w:rsidP="006D6D32">
      <w:pPr>
        <w:pStyle w:val="a3"/>
        <w:rPr>
          <w:rtl/>
        </w:rPr>
      </w:pPr>
      <w:bookmarkStart w:id="6697" w:name="_Toc527912539"/>
      <w:bookmarkStart w:id="6698" w:name="_Toc527924468"/>
      <w:bookmarkStart w:id="6699" w:name="_Toc527928687"/>
      <w:bookmarkStart w:id="6700" w:name="_Toc527999464"/>
      <w:bookmarkStart w:id="6701" w:name="_Toc19389817"/>
      <w:bookmarkStart w:id="6702" w:name="_Toc19393314"/>
      <w:r>
        <w:rPr>
          <w:rFonts w:hint="cs"/>
          <w:rtl/>
        </w:rPr>
        <w:t>קושית השיטמ"ק דאי"ז סמוך לסוגיין כלל ועוד דלתוס' הוא דין דרבנן</w:t>
      </w:r>
      <w:bookmarkEnd w:id="6697"/>
      <w:bookmarkEnd w:id="6698"/>
      <w:bookmarkEnd w:id="6699"/>
      <w:bookmarkEnd w:id="6700"/>
      <w:bookmarkEnd w:id="6701"/>
      <w:bookmarkEnd w:id="6702"/>
    </w:p>
    <w:p w14:paraId="32322A1F" w14:textId="77777777" w:rsidR="00FF5773" w:rsidRDefault="00FF5773" w:rsidP="00223668">
      <w:pPr>
        <w:pStyle w:val="a0"/>
        <w:rPr>
          <w:rtl/>
        </w:rPr>
      </w:pPr>
      <w:r w:rsidRPr="007A16C3">
        <w:rPr>
          <w:rFonts w:hint="cs"/>
          <w:rtl/>
        </w:rPr>
        <w:t xml:space="preserve">והקשה </w:t>
      </w:r>
      <w:r w:rsidRPr="007A16C3">
        <w:rPr>
          <w:rStyle w:val="af9"/>
          <w:rFonts w:hint="cs"/>
          <w:rtl/>
        </w:rPr>
        <w:t>השיטמ"ק</w:t>
      </w:r>
      <w:r w:rsidRPr="007A16C3">
        <w:rPr>
          <w:rFonts w:hint="cs"/>
          <w:rtl/>
        </w:rPr>
        <w:t xml:space="preserve"> </w:t>
      </w:r>
      <w:r w:rsidRPr="007A16C3">
        <w:rPr>
          <w:rStyle w:val="af7"/>
          <w:rFonts w:eastAsia="Guttman Hodes" w:hint="cs"/>
          <w:rtl/>
        </w:rPr>
        <w:t>(ד"ה מנא)</w:t>
      </w:r>
      <w:r w:rsidRPr="007A16C3">
        <w:rPr>
          <w:rFonts w:hint="cs"/>
          <w:rtl/>
        </w:rPr>
        <w:t xml:space="preserve"> על </w:t>
      </w:r>
      <w:r w:rsidRPr="007A16C3">
        <w:rPr>
          <w:rStyle w:val="af9"/>
          <w:rFonts w:hint="cs"/>
          <w:rtl/>
        </w:rPr>
        <w:t>הרמב"ן</w:t>
      </w:r>
      <w:r>
        <w:rPr>
          <w:rFonts w:hint="cs"/>
          <w:rtl/>
        </w:rPr>
        <w:t xml:space="preserve"> דהוא דוחק דהא הגמ' בסוגיין לא סמוכה כלל לגמ'</w:t>
      </w:r>
      <w:r w:rsidRPr="004C27A0">
        <w:rPr>
          <w:rFonts w:hint="cs"/>
          <w:rtl/>
        </w:rPr>
        <w:t xml:space="preserve"> </w:t>
      </w:r>
      <w:r>
        <w:rPr>
          <w:rFonts w:hint="cs"/>
          <w:rtl/>
        </w:rPr>
        <w:t xml:space="preserve">לעיל </w:t>
      </w:r>
      <w:r>
        <w:rPr>
          <w:rStyle w:val="af7"/>
          <w:rFonts w:eastAsia="Guttman Hodes" w:hint="cs"/>
          <w:rtl/>
        </w:rPr>
        <w:t>(ט.)</w:t>
      </w:r>
      <w:r>
        <w:rPr>
          <w:rFonts w:hint="cs"/>
          <w:rtl/>
        </w:rPr>
        <w:t xml:space="preserve"> דבלא בדק בסימנים הוי נבילה, ועו"כ </w:t>
      </w:r>
      <w:r w:rsidRPr="00914C95">
        <w:rPr>
          <w:rStyle w:val="af9"/>
          <w:rFonts w:hint="cs"/>
          <w:rtl/>
        </w:rPr>
        <w:t>השיטמ"ק</w:t>
      </w:r>
      <w:r>
        <w:rPr>
          <w:rFonts w:hint="cs"/>
          <w:rtl/>
        </w:rPr>
        <w:t xml:space="preserve"> דלשיטת </w:t>
      </w:r>
      <w:r w:rsidRPr="00914C95">
        <w:rPr>
          <w:rStyle w:val="af9"/>
          <w:rFonts w:hint="cs"/>
          <w:rtl/>
        </w:rPr>
        <w:t>התוס'</w:t>
      </w:r>
      <w:r>
        <w:rPr>
          <w:rFonts w:hint="cs"/>
          <w:rtl/>
        </w:rPr>
        <w:t xml:space="preserve"> </w:t>
      </w:r>
      <w:r w:rsidRPr="00914C95">
        <w:rPr>
          <w:rStyle w:val="af7"/>
          <w:rFonts w:eastAsia="Guttman Hodes" w:hint="cs"/>
          <w:rtl/>
        </w:rPr>
        <w:t xml:space="preserve">(ט. ד"ה ואסורה) </w:t>
      </w:r>
      <w:r>
        <w:rPr>
          <w:rFonts w:hint="cs"/>
          <w:rtl/>
        </w:rPr>
        <w:t>הרי נעשית נבילה רק מדרבנן, וא"א לומר לדבריהם דמקשה הגמ' מנא ילפינן לה מדאו'.</w:t>
      </w:r>
    </w:p>
    <w:p w14:paraId="4986B077" w14:textId="77777777" w:rsidR="00FF5773" w:rsidRDefault="00FF5773" w:rsidP="006D6D32">
      <w:pPr>
        <w:pStyle w:val="afe"/>
        <w:rPr>
          <w:rtl/>
        </w:rPr>
      </w:pPr>
      <w:bookmarkStart w:id="6703" w:name="_Toc527924472"/>
      <w:bookmarkStart w:id="6704" w:name="_Toc527928691"/>
      <w:bookmarkStart w:id="6705" w:name="_Toc527999465"/>
      <w:bookmarkStart w:id="6706" w:name="_Toc19435487"/>
      <w:bookmarkStart w:id="6707" w:name="_Toc20080795"/>
      <w:r>
        <w:rPr>
          <w:rFonts w:hint="cs"/>
          <w:rtl/>
        </w:rPr>
        <w:t>בדין ספק טומאה בבית המנוגע</w:t>
      </w:r>
      <w:bookmarkEnd w:id="6703"/>
      <w:bookmarkEnd w:id="6704"/>
      <w:bookmarkEnd w:id="6705"/>
      <w:bookmarkEnd w:id="6706"/>
      <w:bookmarkEnd w:id="6707"/>
    </w:p>
    <w:p w14:paraId="4F2CB0D4" w14:textId="77777777" w:rsidR="00FF5773" w:rsidRPr="00E07A6E" w:rsidRDefault="00FF5773" w:rsidP="00BF39B2">
      <w:pPr>
        <w:pStyle w:val="1"/>
        <w:rPr>
          <w:rtl/>
        </w:rPr>
      </w:pPr>
      <w:bookmarkStart w:id="6708" w:name="_Toc527912544"/>
      <w:bookmarkStart w:id="6709" w:name="_Toc527924473"/>
      <w:bookmarkStart w:id="6710" w:name="_Toc527928692"/>
      <w:bookmarkStart w:id="6711" w:name="_Toc527999466"/>
      <w:bookmarkStart w:id="6712" w:name="_Toc19389818"/>
      <w:bookmarkStart w:id="6713" w:name="_Toc19393315"/>
      <w:r>
        <w:rPr>
          <w:rFonts w:hint="cs"/>
          <w:rtl/>
        </w:rPr>
        <w:t>דברי התוס' דבבית המנוגע אינו מדין ספק טומאה ברה"י</w:t>
      </w:r>
      <w:bookmarkEnd w:id="6708"/>
      <w:bookmarkEnd w:id="6709"/>
      <w:bookmarkEnd w:id="6710"/>
      <w:bookmarkEnd w:id="6711"/>
      <w:bookmarkEnd w:id="6712"/>
      <w:bookmarkEnd w:id="6713"/>
    </w:p>
    <w:p w14:paraId="00888891" w14:textId="77777777" w:rsidR="00FF5773" w:rsidRDefault="00FF5773" w:rsidP="006D6D32">
      <w:pPr>
        <w:pStyle w:val="a3"/>
        <w:rPr>
          <w:rtl/>
        </w:rPr>
      </w:pPr>
      <w:bookmarkStart w:id="6714" w:name="_Toc527912545"/>
      <w:bookmarkStart w:id="6715" w:name="_Toc527924474"/>
      <w:bookmarkStart w:id="6716" w:name="_Toc527928693"/>
      <w:bookmarkStart w:id="6717" w:name="_Toc527999467"/>
      <w:bookmarkStart w:id="6718" w:name="_Toc19389819"/>
      <w:bookmarkStart w:id="6719" w:name="_Toc19393316"/>
      <w:r>
        <w:rPr>
          <w:rFonts w:hint="cs"/>
          <w:rtl/>
        </w:rPr>
        <w:t>דברי התוס' דא"א לומר דטמא בבית המנוגע מדין ספק טומאה ברה"י דאף ברה"ר ובאבד"ל טמא</w:t>
      </w:r>
      <w:bookmarkEnd w:id="6714"/>
      <w:bookmarkEnd w:id="6715"/>
      <w:bookmarkEnd w:id="6716"/>
      <w:bookmarkEnd w:id="6717"/>
      <w:bookmarkEnd w:id="6718"/>
      <w:bookmarkEnd w:id="6719"/>
    </w:p>
    <w:p w14:paraId="10EBC419" w14:textId="77777777" w:rsidR="00FF5773" w:rsidRDefault="00FF5773" w:rsidP="00E12979">
      <w:pPr>
        <w:pStyle w:val="a0"/>
        <w:numPr>
          <w:ilvl w:val="0"/>
          <w:numId w:val="5"/>
        </w:numPr>
        <w:rPr>
          <w:rtl/>
        </w:rPr>
      </w:pPr>
      <w:bookmarkStart w:id="6720" w:name="_Ref524897303"/>
      <w:r>
        <w:rPr>
          <w:rFonts w:hint="cs"/>
          <w:rtl/>
        </w:rPr>
        <w:t xml:space="preserve">כתבו </w:t>
      </w:r>
      <w:r>
        <w:rPr>
          <w:rStyle w:val="af9"/>
          <w:rtl/>
        </w:rPr>
        <w:t xml:space="preserve">התוס' </w:t>
      </w:r>
      <w:r w:rsidRPr="00223668">
        <w:rPr>
          <w:rStyle w:val="af7"/>
          <w:rFonts w:eastAsia="Guttman Hodes" w:hint="cs"/>
          <w:rtl/>
        </w:rPr>
        <w:t>(ד"ה ודילמא)</w:t>
      </w:r>
      <w:r>
        <w:rPr>
          <w:rFonts w:hint="cs"/>
          <w:rtl/>
        </w:rPr>
        <w:t xml:space="preserve"> דא"א להקשות דאין ראיה מבית המנוגע דמעמידים על החזקה, דאפש"ל דבבית המנוגע הוא טמא מדין ספק טומאה ברה"י, דהא דין בית המנוגע הוא גם במקום שהוא כרה"ר שיש בו הרבה בנ"א, וכן בדבר שאין בו דעת לישאל, ועי' במ"ש </w:t>
      </w:r>
      <w:r w:rsidRPr="003E47BE">
        <w:rPr>
          <w:rStyle w:val="af9"/>
          <w:rtl/>
        </w:rPr>
        <w:t>האבהא"ז</w:t>
      </w:r>
      <w:r>
        <w:rPr>
          <w:rtl/>
        </w:rPr>
        <w:t xml:space="preserve"> </w:t>
      </w:r>
      <w:r w:rsidRPr="00223668">
        <w:rPr>
          <w:rStyle w:val="af7"/>
          <w:rFonts w:eastAsia="Guttman Hodes"/>
          <w:rtl/>
        </w:rPr>
        <w:t>(אישות י' ט"ו ד"ה והנה</w:t>
      </w:r>
      <w:r w:rsidRPr="00223668">
        <w:rPr>
          <w:rStyle w:val="af7"/>
          <w:rFonts w:eastAsia="Guttman Hodes" w:hint="cs"/>
          <w:rtl/>
        </w:rPr>
        <w:t xml:space="preserve"> נבאר</w:t>
      </w:r>
      <w:r w:rsidRPr="00223668">
        <w:rPr>
          <w:rStyle w:val="af7"/>
          <w:rFonts w:eastAsia="Guttman Hodes"/>
          <w:rtl/>
        </w:rPr>
        <w:t>)</w:t>
      </w:r>
      <w:r>
        <w:rPr>
          <w:rFonts w:hint="cs"/>
          <w:rtl/>
        </w:rPr>
        <w:t xml:space="preserve"> בביאור דברי </w:t>
      </w:r>
      <w:r w:rsidRPr="003E47BE">
        <w:rPr>
          <w:rStyle w:val="af9"/>
          <w:rFonts w:hint="cs"/>
          <w:rtl/>
        </w:rPr>
        <w:t>התוס'</w:t>
      </w:r>
      <w:r>
        <w:rPr>
          <w:rFonts w:hint="cs"/>
          <w:rtl/>
        </w:rPr>
        <w:t>.</w:t>
      </w:r>
      <w:bookmarkEnd w:id="6720"/>
    </w:p>
    <w:p w14:paraId="3FCEA702" w14:textId="77777777" w:rsidR="00FF5773" w:rsidRPr="007A5CA0" w:rsidRDefault="00FF5773" w:rsidP="006D6D32">
      <w:pPr>
        <w:pStyle w:val="a3"/>
        <w:rPr>
          <w:rtl/>
        </w:rPr>
      </w:pPr>
      <w:bookmarkStart w:id="6721" w:name="_Toc527912546"/>
      <w:bookmarkStart w:id="6722" w:name="_Toc527924475"/>
      <w:bookmarkStart w:id="6723" w:name="_Toc527928694"/>
      <w:bookmarkStart w:id="6724" w:name="_Toc527999468"/>
      <w:bookmarkStart w:id="6725" w:name="_Toc19389820"/>
      <w:bookmarkStart w:id="6726" w:name="_Toc19393317"/>
      <w:r>
        <w:rPr>
          <w:rFonts w:hint="cs"/>
          <w:rtl/>
        </w:rPr>
        <w:t>דברי רבנו מאיר דבריעותא מגופו לא ילפינן מסוטרה</w:t>
      </w:r>
      <w:bookmarkEnd w:id="6721"/>
      <w:bookmarkEnd w:id="6722"/>
      <w:bookmarkEnd w:id="6723"/>
      <w:bookmarkEnd w:id="6724"/>
      <w:bookmarkEnd w:id="6725"/>
      <w:bookmarkEnd w:id="6726"/>
    </w:p>
    <w:p w14:paraId="75E9D858" w14:textId="77777777" w:rsidR="00FF5773" w:rsidRDefault="00FF5773" w:rsidP="00223668">
      <w:pPr>
        <w:pStyle w:val="a0"/>
        <w:rPr>
          <w:rtl/>
        </w:rPr>
      </w:pPr>
      <w:r w:rsidRPr="00314D2F">
        <w:rPr>
          <w:rStyle w:val="af9"/>
          <w:rFonts w:hint="cs"/>
          <w:rtl/>
        </w:rPr>
        <w:t>ובתוס' הרא"ש</w:t>
      </w:r>
      <w:r>
        <w:rPr>
          <w:rFonts w:hint="cs"/>
          <w:rtl/>
        </w:rPr>
        <w:t xml:space="preserve"> </w:t>
      </w:r>
      <w:r w:rsidRPr="00314D2F">
        <w:rPr>
          <w:rStyle w:val="af7"/>
          <w:rFonts w:eastAsia="Guttman Hodes" w:hint="cs"/>
          <w:rtl/>
        </w:rPr>
        <w:t>(ד"ה והקשה)</w:t>
      </w:r>
      <w:r>
        <w:rPr>
          <w:rFonts w:hint="cs"/>
          <w:rtl/>
        </w:rPr>
        <w:t xml:space="preserve"> הביא </w:t>
      </w:r>
      <w:r w:rsidRPr="00314D2F">
        <w:rPr>
          <w:rStyle w:val="af9"/>
          <w:rFonts w:hint="cs"/>
          <w:rtl/>
        </w:rPr>
        <w:t>דרבינו מאיר</w:t>
      </w:r>
      <w:r>
        <w:rPr>
          <w:rFonts w:hint="cs"/>
          <w:rtl/>
        </w:rPr>
        <w:t xml:space="preserve"> תירץ דבדבר שיש בו ריעותא מגופו, לא ילפינן מסוטה דברה"י טמא.</w:t>
      </w:r>
    </w:p>
    <w:p w14:paraId="271D9D9C" w14:textId="77777777" w:rsidR="00FF5773" w:rsidRPr="00AA3089" w:rsidRDefault="00FF5773" w:rsidP="006D6D32">
      <w:pPr>
        <w:pStyle w:val="a3"/>
        <w:rPr>
          <w:rtl/>
        </w:rPr>
      </w:pPr>
      <w:bookmarkStart w:id="6727" w:name="_Toc527924476"/>
      <w:bookmarkStart w:id="6728" w:name="_Toc527928695"/>
      <w:bookmarkStart w:id="6729" w:name="_Toc527999469"/>
      <w:bookmarkStart w:id="6730" w:name="_Toc19389821"/>
      <w:bookmarkStart w:id="6731" w:name="_Toc19393318"/>
      <w:bookmarkStart w:id="6732" w:name="_Toc527912547"/>
      <w:r>
        <w:rPr>
          <w:rFonts w:hint="cs"/>
          <w:rtl/>
        </w:rPr>
        <w:t>דברי התוס' הרא"ש דאף אי ילפינן נגע מסוטה מ"מ ילפינן מהא דלקולא מעמידים את הנגע בחזקתו</w:t>
      </w:r>
      <w:bookmarkEnd w:id="6727"/>
      <w:bookmarkEnd w:id="6728"/>
      <w:bookmarkEnd w:id="6729"/>
      <w:bookmarkEnd w:id="6730"/>
      <w:bookmarkEnd w:id="6731"/>
    </w:p>
    <w:p w14:paraId="3634240B" w14:textId="77777777" w:rsidR="00FF5773" w:rsidRPr="00AA3089" w:rsidRDefault="00FF5773" w:rsidP="00223668">
      <w:pPr>
        <w:pStyle w:val="a0"/>
        <w:rPr>
          <w:rtl/>
        </w:rPr>
      </w:pPr>
      <w:bookmarkStart w:id="6733" w:name="_Ref527921004"/>
      <w:r w:rsidRPr="00AA3089">
        <w:rPr>
          <w:rFonts w:hint="cs"/>
          <w:rtl/>
        </w:rPr>
        <w:t xml:space="preserve">ועו"כ </w:t>
      </w:r>
      <w:r w:rsidRPr="00AA3089">
        <w:rPr>
          <w:rStyle w:val="af9"/>
          <w:rFonts w:hint="cs"/>
          <w:rtl/>
        </w:rPr>
        <w:t xml:space="preserve">התוס' הרא"ש </w:t>
      </w:r>
      <w:r w:rsidRPr="007A5B43">
        <w:rPr>
          <w:rStyle w:val="af7"/>
          <w:rFonts w:eastAsia="Guttman Hodes" w:hint="cs"/>
          <w:rtl/>
        </w:rPr>
        <w:t>(ד"ה והקשה)</w:t>
      </w:r>
      <w:r w:rsidRPr="00AA3089">
        <w:rPr>
          <w:rStyle w:val="af9"/>
          <w:rFonts w:hint="cs"/>
          <w:rtl/>
        </w:rPr>
        <w:t xml:space="preserve"> דבשיטת התוס'</w:t>
      </w:r>
      <w:r w:rsidRPr="00AA3089">
        <w:rPr>
          <w:rFonts w:hint="cs"/>
          <w:rtl/>
        </w:rPr>
        <w:t xml:space="preserve"> תירץ </w:t>
      </w:r>
      <w:r w:rsidRPr="007A5B43">
        <w:rPr>
          <w:rStyle w:val="afb"/>
          <w:rFonts w:hint="cs"/>
          <w:rtl/>
        </w:rPr>
        <w:t xml:space="preserve">[עפי"ד </w:t>
      </w:r>
      <w:r w:rsidRPr="007A5B43">
        <w:rPr>
          <w:rStyle w:val="affa"/>
          <w:rFonts w:hint="cs"/>
          <w:rtl/>
        </w:rPr>
        <w:t xml:space="preserve">התוס' </w:t>
      </w:r>
      <w:r w:rsidRPr="007A5B43">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Ref527921036 \r \h</w:instrText>
      </w:r>
      <w:r>
        <w:rPr>
          <w:rStyle w:val="aff6"/>
          <w:rtl/>
        </w:rPr>
        <w:instrText xml:space="preserve"> </w:instrText>
      </w:r>
      <w:r>
        <w:rPr>
          <w:rStyle w:val="aff6"/>
          <w:rtl/>
        </w:rPr>
      </w:r>
      <w:r>
        <w:rPr>
          <w:rStyle w:val="aff6"/>
          <w:rtl/>
        </w:rPr>
        <w:fldChar w:fldCharType="separate"/>
      </w:r>
      <w:r w:rsidR="00345400">
        <w:rPr>
          <w:rStyle w:val="aff6"/>
          <w:cs/>
        </w:rPr>
        <w:t>‎</w:t>
      </w:r>
      <w:r w:rsidR="00345400">
        <w:rPr>
          <w:rStyle w:val="aff6"/>
          <w:rtl/>
        </w:rPr>
        <w:t>ה)</w:t>
      </w:r>
      <w:r>
        <w:rPr>
          <w:rStyle w:val="aff6"/>
          <w:rtl/>
        </w:rPr>
        <w:fldChar w:fldCharType="end"/>
      </w:r>
      <w:r w:rsidRPr="007A5B43">
        <w:rPr>
          <w:rStyle w:val="aff6"/>
          <w:rtl/>
        </w:rPr>
        <w:fldChar w:fldCharType="begin"/>
      </w:r>
      <w:r w:rsidRPr="007A5B43">
        <w:rPr>
          <w:rStyle w:val="aff6"/>
          <w:rtl/>
        </w:rPr>
        <w:instrText xml:space="preserve"> </w:instrText>
      </w:r>
      <w:r w:rsidRPr="007A5B43">
        <w:rPr>
          <w:rStyle w:val="aff6"/>
          <w:rFonts w:hint="cs"/>
        </w:rPr>
        <w:instrText>REF</w:instrText>
      </w:r>
      <w:r w:rsidRPr="007A5B43">
        <w:rPr>
          <w:rStyle w:val="aff6"/>
          <w:rFonts w:hint="cs"/>
          <w:rtl/>
        </w:rPr>
        <w:instrText xml:space="preserve"> _</w:instrText>
      </w:r>
      <w:r w:rsidRPr="007A5B43">
        <w:rPr>
          <w:rStyle w:val="aff6"/>
          <w:rFonts w:hint="cs"/>
        </w:rPr>
        <w:instrText>Ref527664130 \r \h</w:instrText>
      </w:r>
      <w:r w:rsidRPr="007A5B43">
        <w:rPr>
          <w:rStyle w:val="aff6"/>
          <w:rtl/>
        </w:rPr>
        <w:instrText xml:space="preserve">  \* </w:instrText>
      </w:r>
      <w:r w:rsidRPr="007A5B43">
        <w:rPr>
          <w:rStyle w:val="aff6"/>
        </w:rPr>
        <w:instrText>MERGEFORMAT</w:instrText>
      </w:r>
      <w:r w:rsidRPr="007A5B43">
        <w:rPr>
          <w:rStyle w:val="aff6"/>
          <w:rtl/>
        </w:rPr>
        <w:instrText xml:space="preserve"> </w:instrText>
      </w:r>
      <w:r w:rsidRPr="007A5B43">
        <w:rPr>
          <w:rStyle w:val="aff6"/>
          <w:rtl/>
        </w:rPr>
      </w:r>
      <w:r w:rsidRPr="007A5B43">
        <w:rPr>
          <w:rStyle w:val="aff6"/>
          <w:rtl/>
        </w:rPr>
        <w:fldChar w:fldCharType="separate"/>
      </w:r>
      <w:r w:rsidR="00345400">
        <w:rPr>
          <w:rStyle w:val="aff6"/>
          <w:cs/>
        </w:rPr>
        <w:t>‎</w:t>
      </w:r>
      <w:r w:rsidR="00345400">
        <w:rPr>
          <w:rStyle w:val="aff6"/>
          <w:rtl/>
        </w:rPr>
        <w:t>ד)</w:t>
      </w:r>
      <w:r w:rsidRPr="007A5B43">
        <w:rPr>
          <w:rStyle w:val="aff6"/>
          <w:rtl/>
        </w:rPr>
        <w:fldChar w:fldCharType="end"/>
      </w:r>
      <w:r w:rsidRPr="007A5B43">
        <w:rPr>
          <w:rStyle w:val="afb"/>
          <w:rFonts w:hint="cs"/>
          <w:rtl/>
        </w:rPr>
        <w:t xml:space="preserve">] </w:t>
      </w:r>
      <w:r w:rsidRPr="00AA3089">
        <w:rPr>
          <w:rFonts w:hint="cs"/>
          <w:rtl/>
        </w:rPr>
        <w:t xml:space="preserve">דאף אי ילפינן לה מסוטה, מ"מ מוכח דמעמידים את הנגע על חזקתו, דאי לא מעמידים על החזקה, א"כ אף כשנמצא הנגע חסר א"א לטהר, דהא יתכן שהתמעט הנגע מיד לאחר שראהו הכהן, ולפני שהסגיר הכהן את הבית, ומשעת ההסגר ועד סוף השבוע עמד הנגע בעיניו,  </w:t>
      </w:r>
      <w:r w:rsidRPr="00077033">
        <w:rPr>
          <w:rStyle w:val="afb"/>
          <w:rFonts w:hint="cs"/>
          <w:rtl/>
        </w:rPr>
        <w:t>[וצריך להסגירו שנית],</w:t>
      </w:r>
      <w:r w:rsidRPr="00AA3089">
        <w:rPr>
          <w:rFonts w:hint="cs"/>
          <w:rtl/>
        </w:rPr>
        <w:t xml:space="preserve"> ומנלן שמשעת ההסגר ועד לאחר השבוע התמעט הנגע. אלא מוכח דמשעה שראה הכהן את הנגע, ועד שהסגירו מעמידים את הנגע בחזקתו שלא חסר, ולכן אם לאחר השבוע של ההסגר, רואה הכהן שחסר הנגע, יכול לטהרו</w:t>
      </w:r>
      <w:r>
        <w:rPr>
          <w:rFonts w:hint="cs"/>
          <w:rtl/>
        </w:rPr>
        <w:t>,</w:t>
      </w:r>
      <w:r w:rsidRPr="00AA4A42">
        <w:rPr>
          <w:rFonts w:hint="cs"/>
          <w:rtl/>
        </w:rPr>
        <w:t xml:space="preserve"> </w:t>
      </w:r>
      <w:r>
        <w:rPr>
          <w:rFonts w:hint="cs"/>
          <w:rtl/>
        </w:rPr>
        <w:t xml:space="preserve">וכ"כ </w:t>
      </w:r>
      <w:r w:rsidRPr="00AA4A42">
        <w:rPr>
          <w:rStyle w:val="af9"/>
          <w:rFonts w:hint="cs"/>
          <w:rtl/>
        </w:rPr>
        <w:t>הראש יוסף</w:t>
      </w:r>
      <w:r>
        <w:rPr>
          <w:rFonts w:hint="cs"/>
          <w:rtl/>
        </w:rPr>
        <w:t xml:space="preserve"> </w:t>
      </w:r>
      <w:r w:rsidRPr="00AA4A42">
        <w:rPr>
          <w:rStyle w:val="af7"/>
          <w:rFonts w:eastAsia="Guttman Hodes" w:hint="cs"/>
          <w:rtl/>
        </w:rPr>
        <w:t>(ד"ה ודע דלפי)</w:t>
      </w:r>
      <w:r w:rsidRPr="00AA3089">
        <w:rPr>
          <w:rFonts w:hint="cs"/>
          <w:rtl/>
        </w:rPr>
        <w:t>.</w:t>
      </w:r>
      <w:bookmarkEnd w:id="6733"/>
    </w:p>
    <w:p w14:paraId="09578095" w14:textId="77777777" w:rsidR="00FF5773" w:rsidRPr="00AA3089" w:rsidRDefault="00FF5773" w:rsidP="006D6D32">
      <w:pPr>
        <w:pStyle w:val="a3"/>
        <w:rPr>
          <w:rtl/>
        </w:rPr>
      </w:pPr>
      <w:bookmarkStart w:id="6734" w:name="_Toc527924477"/>
      <w:bookmarkStart w:id="6735" w:name="_Toc527928696"/>
      <w:bookmarkStart w:id="6736" w:name="_Toc527999470"/>
      <w:bookmarkStart w:id="6737" w:name="_Toc19389822"/>
      <w:bookmarkStart w:id="6738" w:name="_Toc19393319"/>
      <w:r>
        <w:rPr>
          <w:rFonts w:hint="cs"/>
          <w:rtl/>
        </w:rPr>
        <w:t>דחית רבינו מאיר דא"א לומר דבשבוע ראשון טמא מדין ספ"ט ברה"י ובסוף השבוע מדין חזקה</w:t>
      </w:r>
      <w:bookmarkEnd w:id="6734"/>
      <w:bookmarkEnd w:id="6735"/>
      <w:bookmarkEnd w:id="6736"/>
      <w:bookmarkEnd w:id="6737"/>
      <w:bookmarkEnd w:id="6738"/>
    </w:p>
    <w:p w14:paraId="7CEC8BA6" w14:textId="77777777" w:rsidR="00FF5773" w:rsidRDefault="00FF5773" w:rsidP="00223668">
      <w:pPr>
        <w:pStyle w:val="a0"/>
        <w:rPr>
          <w:rtl/>
        </w:rPr>
      </w:pPr>
      <w:r w:rsidRPr="00AA3089">
        <w:rPr>
          <w:rFonts w:hint="cs"/>
          <w:rtl/>
        </w:rPr>
        <w:t xml:space="preserve">אך </w:t>
      </w:r>
      <w:r w:rsidRPr="00AA3089">
        <w:rPr>
          <w:rStyle w:val="af9"/>
          <w:rFonts w:hint="cs"/>
          <w:rtl/>
        </w:rPr>
        <w:t>כתב התוס' הרא"ש דרבינו מאיר</w:t>
      </w:r>
      <w:r w:rsidRPr="00AA3089">
        <w:rPr>
          <w:rFonts w:hint="cs"/>
          <w:rtl/>
        </w:rPr>
        <w:t xml:space="preserve"> דחה את תירוץ </w:t>
      </w:r>
      <w:r w:rsidRPr="00AA3089">
        <w:rPr>
          <w:rStyle w:val="af9"/>
          <w:rFonts w:hint="cs"/>
          <w:rtl/>
        </w:rPr>
        <w:t>שיטת התוס'</w:t>
      </w:r>
      <w:r w:rsidRPr="00AA3089">
        <w:rPr>
          <w:rFonts w:hint="cs"/>
          <w:rtl/>
        </w:rPr>
        <w:t xml:space="preserve"> דא"כ הוי תרתי דסתרי, דבשבוע הראשון מטמאים את הנגע, מדין ספק טומאה ברה"י, וע"י טומאה זו הנכנס לבית חייב קרבן, וא"כ כשבסוף השבוע נמצא הנגע חסר, היאך אפשר לטהרו, הרי יתכן שכבר נחסר בשעת ההסגר, ועכשיו הוא נגע שעמד בעיניו, דהרי הספק אם נחסר הוא גם על אמצע השבוע, </w:t>
      </w:r>
      <w:r w:rsidRPr="00AA3089">
        <w:rPr>
          <w:rStyle w:val="afb"/>
          <w:rFonts w:hint="cs"/>
          <w:rtl/>
        </w:rPr>
        <w:t>[דהיה טמא רק מדין ספק טומאה ברה"י ולא מדין חזקה],</w:t>
      </w:r>
      <w:r w:rsidRPr="00AA3089">
        <w:rPr>
          <w:rFonts w:hint="cs"/>
          <w:rtl/>
        </w:rPr>
        <w:t xml:space="preserve"> כמו</w:t>
      </w:r>
      <w:r w:rsidRPr="00C25753">
        <w:rPr>
          <w:rFonts w:hint="cs"/>
          <w:rtl/>
        </w:rPr>
        <w:t xml:space="preserve"> על סוף השבוע.</w:t>
      </w:r>
    </w:p>
    <w:p w14:paraId="19B65000" w14:textId="77777777" w:rsidR="00FF5773" w:rsidRDefault="00FF5773" w:rsidP="00BF39B2">
      <w:pPr>
        <w:pStyle w:val="1"/>
        <w:rPr>
          <w:rtl/>
        </w:rPr>
      </w:pPr>
      <w:bookmarkStart w:id="6739" w:name="_Toc527999471"/>
      <w:bookmarkStart w:id="6740" w:name="_Toc19389823"/>
      <w:bookmarkStart w:id="6741" w:name="_Toc19393320"/>
      <w:r>
        <w:rPr>
          <w:rFonts w:hint="cs"/>
          <w:rtl/>
        </w:rPr>
        <w:t>דברי האחרונים בדין ספק טומאה בנגעים</w:t>
      </w:r>
      <w:bookmarkEnd w:id="6739"/>
      <w:bookmarkEnd w:id="6740"/>
      <w:bookmarkEnd w:id="6741"/>
      <w:r>
        <w:rPr>
          <w:rFonts w:hint="cs"/>
          <w:rtl/>
        </w:rPr>
        <w:t xml:space="preserve"> </w:t>
      </w:r>
    </w:p>
    <w:p w14:paraId="0227CAAC" w14:textId="77777777" w:rsidR="00FF5773" w:rsidRPr="006B0E89" w:rsidRDefault="00FF5773" w:rsidP="006D6D32">
      <w:pPr>
        <w:pStyle w:val="a3"/>
        <w:rPr>
          <w:rtl/>
        </w:rPr>
      </w:pPr>
      <w:bookmarkStart w:id="6742" w:name="_Toc527999472"/>
      <w:bookmarkStart w:id="6743" w:name="_Toc19389824"/>
      <w:bookmarkStart w:id="6744" w:name="_Toc19393321"/>
      <w:r>
        <w:rPr>
          <w:rFonts w:hint="cs"/>
          <w:rtl/>
        </w:rPr>
        <w:t>דברי הפנ"י דלדעת התוס' הא דבנגעים אין חילוק בין רה"ר לרה"י הוא אחר הילפותא בסוגיין</w:t>
      </w:r>
      <w:bookmarkEnd w:id="6742"/>
      <w:bookmarkEnd w:id="6743"/>
      <w:bookmarkEnd w:id="6744"/>
    </w:p>
    <w:p w14:paraId="4B96E494" w14:textId="77777777" w:rsidR="00FF5773" w:rsidRDefault="00FF5773" w:rsidP="00223668">
      <w:pPr>
        <w:pStyle w:val="a0"/>
        <w:rPr>
          <w:rtl/>
        </w:rPr>
      </w:pPr>
      <w:bookmarkStart w:id="6745" w:name="_Ref527993987"/>
      <w:bookmarkStart w:id="6746" w:name="_Toc527924478"/>
      <w:bookmarkStart w:id="6747" w:name="_Toc527928697"/>
      <w:bookmarkStart w:id="6748" w:name="_Toc527924479"/>
      <w:bookmarkStart w:id="6749" w:name="_Toc527928698"/>
      <w:r w:rsidRPr="00575193">
        <w:rPr>
          <w:rtl/>
        </w:rPr>
        <w:t xml:space="preserve">כתב </w:t>
      </w:r>
      <w:r w:rsidRPr="00040DEA">
        <w:rPr>
          <w:rStyle w:val="af9"/>
          <w:rtl/>
        </w:rPr>
        <w:t>הפנ"י</w:t>
      </w:r>
      <w:r w:rsidRPr="00040DEA">
        <w:rPr>
          <w:rStyle w:val="af7"/>
          <w:rFonts w:eastAsia="Guttman Hodes"/>
          <w:rtl/>
        </w:rPr>
        <w:t xml:space="preserve"> </w:t>
      </w:r>
      <w:r w:rsidRPr="00040DEA">
        <w:rPr>
          <w:rStyle w:val="af7"/>
          <w:rFonts w:eastAsia="Guttman Hodes" w:hint="cs"/>
          <w:rtl/>
        </w:rPr>
        <w:t xml:space="preserve">(על תוד"ה ודלמא) </w:t>
      </w:r>
      <w:r w:rsidRPr="00575193">
        <w:rPr>
          <w:rtl/>
        </w:rPr>
        <w:t xml:space="preserve">דדעת </w:t>
      </w:r>
      <w:r w:rsidRPr="00040DEA">
        <w:rPr>
          <w:rStyle w:val="af9"/>
          <w:rtl/>
        </w:rPr>
        <w:t>התוס'</w:t>
      </w:r>
      <w:r w:rsidRPr="00575193">
        <w:rPr>
          <w:rtl/>
        </w:rPr>
        <w:t xml:space="preserve"> דהא דאיתא בגמ' בנזיר </w:t>
      </w:r>
      <w:r w:rsidRPr="00040DEA">
        <w:rPr>
          <w:rStyle w:val="af7"/>
          <w:rFonts w:eastAsia="Guttman Hodes"/>
          <w:rtl/>
        </w:rPr>
        <w:t>(סה:)</w:t>
      </w:r>
      <w:r w:rsidRPr="00575193">
        <w:rPr>
          <w:rtl/>
        </w:rPr>
        <w:t xml:space="preserve"> דבדין נגעים אין חילוק בין רה"י לרה"י, היינו אחר מסקנת הגמ' בסוגיין דאזלינן בנגעים בתר חזקה, ואפילו ברה"ר ואפילו בדבר שאין בו דעת לישאל, ודלא </w:t>
      </w:r>
      <w:r w:rsidRPr="005543E1">
        <w:rPr>
          <w:rStyle w:val="af9"/>
          <w:rtl/>
        </w:rPr>
        <w:t>כהר"ש</w:t>
      </w:r>
      <w:r w:rsidRPr="005543E1">
        <w:rPr>
          <w:rtl/>
        </w:rPr>
        <w:t xml:space="preserve"> </w:t>
      </w:r>
      <w:r w:rsidRPr="005543E1">
        <w:rPr>
          <w:rStyle w:val="af7"/>
          <w:rFonts w:eastAsia="Guttman Rashi"/>
          <w:rtl/>
        </w:rPr>
        <w:t>(</w:t>
      </w:r>
      <w:r w:rsidRPr="005543E1">
        <w:rPr>
          <w:rStyle w:val="af7"/>
          <w:rFonts w:eastAsia="Guttman Hodes" w:hint="cs"/>
          <w:rtl/>
        </w:rPr>
        <w:t>נגעים ד' י"א)</w:t>
      </w:r>
      <w:r w:rsidRPr="005543E1">
        <w:rPr>
          <w:rtl/>
        </w:rPr>
        <w:t xml:space="preserve"> דכתב די</w:t>
      </w:r>
      <w:r w:rsidRPr="00575193">
        <w:rPr>
          <w:rtl/>
        </w:rPr>
        <w:t>ש ילפותא דבנגעים אין חילוק בין רה"י לרה"י</w:t>
      </w:r>
      <w:bookmarkEnd w:id="6745"/>
    </w:p>
    <w:p w14:paraId="76CBCF2A" w14:textId="77777777" w:rsidR="00FF5773" w:rsidRPr="006B0E89" w:rsidRDefault="00FF5773" w:rsidP="006D6D32">
      <w:pPr>
        <w:pStyle w:val="a3"/>
      </w:pPr>
      <w:bookmarkStart w:id="6750" w:name="_Toc19389825"/>
      <w:bookmarkStart w:id="6751" w:name="_Toc19393322"/>
      <w:r>
        <w:rPr>
          <w:rFonts w:hint="cs"/>
          <w:rtl/>
        </w:rPr>
        <w:t>דברי החזו"א דבנגע לא שייך לטמא מספק כלל</w:t>
      </w:r>
      <w:bookmarkEnd w:id="6750"/>
      <w:bookmarkEnd w:id="6751"/>
    </w:p>
    <w:p w14:paraId="03D78775" w14:textId="77777777" w:rsidR="00FF5773" w:rsidRPr="00D0222F" w:rsidRDefault="00FF5773" w:rsidP="00223668">
      <w:pPr>
        <w:pStyle w:val="a0"/>
        <w:rPr>
          <w:rtl/>
        </w:rPr>
      </w:pPr>
      <w:bookmarkStart w:id="6752" w:name="_Ref528000209"/>
      <w:r>
        <w:rPr>
          <w:rStyle w:val="af9"/>
          <w:rFonts w:hint="cs"/>
          <w:rtl/>
        </w:rPr>
        <w:t>ו</w:t>
      </w:r>
      <w:r w:rsidRPr="00040DEA">
        <w:rPr>
          <w:rStyle w:val="af9"/>
          <w:rtl/>
        </w:rPr>
        <w:t>החזו"א</w:t>
      </w:r>
      <w:r w:rsidRPr="00040DEA">
        <w:rPr>
          <w:rStyle w:val="af7"/>
          <w:rFonts w:eastAsia="Guttman Hodes"/>
          <w:rtl/>
        </w:rPr>
        <w:t xml:space="preserve"> (יו"ד רי"ד י: ד"ה ולו"ד) </w:t>
      </w:r>
      <w:r>
        <w:rPr>
          <w:rFonts w:hint="cs"/>
          <w:rtl/>
        </w:rPr>
        <w:t>כתב ד</w:t>
      </w:r>
      <w:r w:rsidRPr="00575193">
        <w:rPr>
          <w:rtl/>
        </w:rPr>
        <w:t xml:space="preserve">לולי דברי </w:t>
      </w:r>
      <w:r w:rsidRPr="00040DEA">
        <w:rPr>
          <w:rStyle w:val="af9"/>
          <w:rtl/>
        </w:rPr>
        <w:t xml:space="preserve">התוס' </w:t>
      </w:r>
      <w:r w:rsidRPr="00575193">
        <w:rPr>
          <w:rtl/>
        </w:rPr>
        <w:t xml:space="preserve">אפש"ל דאין הכהן יכול להסגיר מספק כלל, דהכהן יכול לומר שהנגע טמא או להסגירו רק כשהוא יודע בודאי שיש נגע [או שיודע ע"י עדים], אבל אם מסגיר מספק אי"ז הסגר כלל, וממילא לא שייך לומר דטמא מדין </w:t>
      </w:r>
      <w:r>
        <w:rPr>
          <w:rtl/>
        </w:rPr>
        <w:t>ספק טומאה</w:t>
      </w:r>
      <w:r w:rsidRPr="00575193">
        <w:rPr>
          <w:rtl/>
        </w:rPr>
        <w:t xml:space="preserve"> ברה"י</w:t>
      </w:r>
      <w:bookmarkEnd w:id="6746"/>
      <w:bookmarkEnd w:id="6747"/>
      <w:r>
        <w:rPr>
          <w:rFonts w:hint="cs"/>
          <w:rtl/>
        </w:rPr>
        <w:t xml:space="preserve">, </w:t>
      </w:r>
      <w:r w:rsidRPr="00575193">
        <w:rPr>
          <w:rtl/>
        </w:rPr>
        <w:t xml:space="preserve">, וכעי"ז כתב </w:t>
      </w:r>
      <w:r w:rsidRPr="00040DEA">
        <w:rPr>
          <w:rStyle w:val="af9"/>
          <w:rtl/>
        </w:rPr>
        <w:t>הגר"ח</w:t>
      </w:r>
      <w:r w:rsidRPr="00575193">
        <w:rPr>
          <w:rtl/>
        </w:rPr>
        <w:t xml:space="preserve"> </w:t>
      </w:r>
      <w:r w:rsidRPr="00040DEA">
        <w:rPr>
          <w:rStyle w:val="af7"/>
          <w:rFonts w:eastAsia="Guttman Hodes"/>
          <w:rtl/>
        </w:rPr>
        <w:t>(</w:t>
      </w:r>
      <w:r w:rsidRPr="00F40C8F">
        <w:rPr>
          <w:rStyle w:val="af7"/>
          <w:rFonts w:eastAsia="Guttman Hodes"/>
          <w:rtl/>
        </w:rPr>
        <w:t xml:space="preserve">עי' אות </w:t>
      </w:r>
      <w:r w:rsidRPr="00F40C8F">
        <w:rPr>
          <w:rStyle w:val="af7"/>
          <w:rFonts w:eastAsia="Guttman Hodes"/>
          <w:cs/>
        </w:rPr>
        <w:t>‎</w:t>
      </w:r>
      <w:r w:rsidRPr="00F40C8F">
        <w:rPr>
          <w:rStyle w:val="af7"/>
          <w:rFonts w:eastAsia="Guttman Hodes"/>
          <w:rtl/>
        </w:rPr>
        <w:fldChar w:fldCharType="begin"/>
      </w:r>
      <w:r w:rsidRPr="00F40C8F">
        <w:rPr>
          <w:rStyle w:val="af7"/>
          <w:rFonts w:eastAsia="Guttman Hodes"/>
          <w:rtl/>
        </w:rPr>
        <w:instrText xml:space="preserve"> </w:instrText>
      </w:r>
      <w:r w:rsidRPr="00F40C8F">
        <w:rPr>
          <w:rStyle w:val="af7"/>
          <w:rFonts w:eastAsia="Guttman Hodes" w:hint="cs"/>
        </w:rPr>
        <w:instrText>REF</w:instrText>
      </w:r>
      <w:r w:rsidRPr="00F40C8F">
        <w:rPr>
          <w:rStyle w:val="af7"/>
          <w:rFonts w:eastAsia="Guttman Hodes" w:hint="cs"/>
          <w:rtl/>
        </w:rPr>
        <w:instrText xml:space="preserve"> _</w:instrText>
      </w:r>
      <w:r w:rsidRPr="00F40C8F">
        <w:rPr>
          <w:rStyle w:val="af7"/>
          <w:rFonts w:eastAsia="Guttman Hodes" w:hint="cs"/>
        </w:rPr>
        <w:instrText>Ref529869483 \r \h</w:instrText>
      </w:r>
      <w:r w:rsidRPr="00F40C8F">
        <w:rPr>
          <w:rStyle w:val="af7"/>
          <w:rFonts w:eastAsia="Guttman Hodes"/>
          <w:rtl/>
        </w:rPr>
        <w:instrText xml:space="preserve"> </w:instrText>
      </w:r>
      <w:r w:rsidRPr="00F40C8F">
        <w:rPr>
          <w:rStyle w:val="af7"/>
          <w:rFonts w:eastAsia="Guttman Hodes"/>
          <w:rtl/>
        </w:rPr>
      </w:r>
      <w:r w:rsidRPr="00F40C8F">
        <w:rPr>
          <w:rStyle w:val="af7"/>
          <w:rFonts w:eastAsia="Guttman Hodes"/>
          <w:rtl/>
        </w:rPr>
        <w:fldChar w:fldCharType="separate"/>
      </w:r>
      <w:r w:rsidR="00345400">
        <w:rPr>
          <w:rStyle w:val="af7"/>
          <w:rFonts w:eastAsia="Guttman Hodes"/>
          <w:cs/>
        </w:rPr>
        <w:t>‎</w:t>
      </w:r>
      <w:r w:rsidR="00345400">
        <w:rPr>
          <w:rStyle w:val="af7"/>
          <w:rFonts w:eastAsia="Guttman Hodes"/>
          <w:rtl/>
        </w:rPr>
        <w:t>פח)</w:t>
      </w:r>
      <w:r w:rsidRPr="00F40C8F">
        <w:rPr>
          <w:rStyle w:val="af7"/>
          <w:rFonts w:eastAsia="Guttman Hodes"/>
          <w:rtl/>
        </w:rPr>
        <w:fldChar w:fldCharType="end"/>
      </w:r>
      <w:r>
        <w:rPr>
          <w:rFonts w:hint="cs"/>
          <w:rtl/>
        </w:rPr>
        <w:t>.</w:t>
      </w:r>
      <w:bookmarkEnd w:id="6752"/>
    </w:p>
    <w:p w14:paraId="7E743717" w14:textId="77777777" w:rsidR="00FF5773" w:rsidRDefault="00FF5773" w:rsidP="00BF39B2">
      <w:pPr>
        <w:pStyle w:val="1"/>
        <w:rPr>
          <w:rtl/>
        </w:rPr>
      </w:pPr>
      <w:bookmarkStart w:id="6753" w:name="_Toc527999473"/>
      <w:bookmarkStart w:id="6754" w:name="_Toc19389826"/>
      <w:bookmarkStart w:id="6755" w:name="_Toc19393323"/>
      <w:r>
        <w:rPr>
          <w:rFonts w:hint="cs"/>
          <w:rtl/>
        </w:rPr>
        <w:t>ביאורי האחרונים בדברי התוס' בספק טומאה בנגעי בתים</w:t>
      </w:r>
      <w:bookmarkEnd w:id="6753"/>
      <w:bookmarkEnd w:id="6754"/>
      <w:bookmarkEnd w:id="6755"/>
    </w:p>
    <w:p w14:paraId="4B727846" w14:textId="77777777" w:rsidR="00FF5773" w:rsidRDefault="00FF5773" w:rsidP="006D6D32">
      <w:pPr>
        <w:pStyle w:val="a3"/>
        <w:rPr>
          <w:rtl/>
        </w:rPr>
      </w:pPr>
      <w:bookmarkStart w:id="6756" w:name="_Toc527999474"/>
      <w:bookmarkStart w:id="6757" w:name="_Toc19389827"/>
      <w:bookmarkStart w:id="6758" w:name="_Toc19393324"/>
      <w:r>
        <w:rPr>
          <w:rFonts w:hint="cs"/>
          <w:rtl/>
        </w:rPr>
        <w:t>קושית הפנ"י דהבית הוא דבר שאין בו דעת לישאל ולא שייך בו ספק טומאה</w:t>
      </w:r>
      <w:bookmarkEnd w:id="6732"/>
      <w:bookmarkEnd w:id="6748"/>
      <w:bookmarkEnd w:id="6749"/>
      <w:bookmarkEnd w:id="6756"/>
      <w:bookmarkEnd w:id="6757"/>
      <w:bookmarkEnd w:id="6758"/>
    </w:p>
    <w:p w14:paraId="017CE648" w14:textId="77777777" w:rsidR="00FF5773" w:rsidRDefault="00FF5773" w:rsidP="00223668">
      <w:pPr>
        <w:pStyle w:val="a0"/>
        <w:rPr>
          <w:rtl/>
        </w:rPr>
      </w:pPr>
      <w:r>
        <w:rPr>
          <w:rFonts w:hint="cs"/>
          <w:rtl/>
        </w:rPr>
        <w:t>הקשה</w:t>
      </w:r>
      <w:r>
        <w:rPr>
          <w:rStyle w:val="af9"/>
          <w:rFonts w:hint="cs"/>
          <w:rtl/>
        </w:rPr>
        <w:t xml:space="preserve"> </w:t>
      </w:r>
      <w:r w:rsidRPr="0048248F">
        <w:rPr>
          <w:rStyle w:val="af9"/>
          <w:rFonts w:hint="cs"/>
          <w:rtl/>
        </w:rPr>
        <w:t>הפנ"י</w:t>
      </w:r>
      <w:r>
        <w:rPr>
          <w:rFonts w:hint="cs"/>
          <w:rtl/>
        </w:rPr>
        <w:t xml:space="preserve"> </w:t>
      </w:r>
      <w:r w:rsidRPr="0048248F">
        <w:rPr>
          <w:rStyle w:val="af7"/>
          <w:rFonts w:eastAsia="Guttman Hodes" w:hint="cs"/>
          <w:rtl/>
        </w:rPr>
        <w:t>(על תוד"ה ודלמא)</w:t>
      </w:r>
      <w:r>
        <w:rPr>
          <w:rFonts w:hint="cs"/>
          <w:rtl/>
        </w:rPr>
        <w:t xml:space="preserve"> על קושית </w:t>
      </w:r>
      <w:r w:rsidRPr="00C25753">
        <w:rPr>
          <w:rStyle w:val="af9"/>
          <w:rFonts w:hint="cs"/>
          <w:rtl/>
        </w:rPr>
        <w:t xml:space="preserve">התוס' </w:t>
      </w:r>
      <w:r w:rsidRPr="00D0222F">
        <w:rPr>
          <w:rStyle w:val="af7"/>
          <w:rFonts w:eastAsia="Guttman Hodes" w:hint="cs"/>
          <w:rtl/>
        </w:rPr>
        <w:t xml:space="preserve">(עי' אות </w:t>
      </w:r>
      <w:r w:rsidRPr="00D0222F">
        <w:rPr>
          <w:rStyle w:val="af7"/>
          <w:rFonts w:eastAsia="Guttman Hodes"/>
          <w:rtl/>
        </w:rPr>
        <w:fldChar w:fldCharType="begin"/>
      </w:r>
      <w:r w:rsidRPr="00D0222F">
        <w:rPr>
          <w:rStyle w:val="af7"/>
          <w:rFonts w:eastAsia="Guttman Hodes"/>
          <w:rtl/>
        </w:rPr>
        <w:instrText xml:space="preserve"> </w:instrText>
      </w:r>
      <w:r w:rsidRPr="00D0222F">
        <w:rPr>
          <w:rStyle w:val="af7"/>
          <w:rFonts w:eastAsia="Guttman Hodes" w:hint="cs"/>
        </w:rPr>
        <w:instrText>REF</w:instrText>
      </w:r>
      <w:r w:rsidRPr="00D0222F">
        <w:rPr>
          <w:rStyle w:val="af7"/>
          <w:rFonts w:eastAsia="Guttman Hodes" w:hint="cs"/>
          <w:rtl/>
        </w:rPr>
        <w:instrText xml:space="preserve"> _</w:instrText>
      </w:r>
      <w:r w:rsidRPr="00D0222F">
        <w:rPr>
          <w:rStyle w:val="af7"/>
          <w:rFonts w:eastAsia="Guttman Hodes" w:hint="cs"/>
        </w:rPr>
        <w:instrText>Ref524897303 \r \h</w:instrText>
      </w:r>
      <w:r w:rsidRPr="00D0222F">
        <w:rPr>
          <w:rStyle w:val="af7"/>
          <w:rFonts w:eastAsia="Guttman Hodes"/>
          <w:rtl/>
        </w:rPr>
        <w:instrText xml:space="preserve"> </w:instrText>
      </w:r>
      <w:r w:rsidRPr="00D0222F">
        <w:rPr>
          <w:rStyle w:val="af7"/>
          <w:rFonts w:eastAsia="Guttman Hodes"/>
          <w:rtl/>
        </w:rPr>
      </w:r>
      <w:r w:rsidRPr="00D0222F">
        <w:rPr>
          <w:rStyle w:val="af7"/>
          <w:rFonts w:eastAsia="Guttman Hodes"/>
          <w:rtl/>
        </w:rPr>
        <w:fldChar w:fldCharType="separate"/>
      </w:r>
      <w:r w:rsidR="00345400">
        <w:rPr>
          <w:rStyle w:val="af7"/>
          <w:rFonts w:eastAsia="Guttman Hodes"/>
          <w:cs/>
        </w:rPr>
        <w:t>‎</w:t>
      </w:r>
      <w:r w:rsidR="00345400">
        <w:rPr>
          <w:rStyle w:val="af7"/>
          <w:rFonts w:eastAsia="Guttman Hodes"/>
          <w:rtl/>
        </w:rPr>
        <w:t>יז)</w:t>
      </w:r>
      <w:r w:rsidRPr="00D0222F">
        <w:rPr>
          <w:rStyle w:val="af7"/>
          <w:rFonts w:eastAsia="Guttman Hodes"/>
          <w:rtl/>
        </w:rPr>
        <w:fldChar w:fldCharType="end"/>
      </w:r>
      <w:r>
        <w:rPr>
          <w:rFonts w:hint="cs"/>
          <w:rtl/>
        </w:rPr>
        <w:t xml:space="preserve"> דהיאך אפש"ל דהבית טמא מדין ספק טומאה ברה"י, הרי הבית הוא דבר שאין בו דעת לישאל, ואין בו דין ספק טומאה ברה"י.</w:t>
      </w:r>
    </w:p>
    <w:p w14:paraId="2F9B0B42" w14:textId="77777777" w:rsidR="00FF5773" w:rsidRDefault="00FF5773" w:rsidP="006D6D32">
      <w:pPr>
        <w:pStyle w:val="a3"/>
        <w:rPr>
          <w:rtl/>
        </w:rPr>
      </w:pPr>
      <w:bookmarkStart w:id="6759" w:name="_Toc19389828"/>
      <w:bookmarkStart w:id="6760" w:name="_Toc19393325"/>
      <w:r>
        <w:rPr>
          <w:rFonts w:hint="cs"/>
          <w:rtl/>
        </w:rPr>
        <w:t>תירוץ הפנ"י דהנדון בתוס' אינו רק בנגעי בתים אלא גם בנגעי אדם</w:t>
      </w:r>
      <w:bookmarkEnd w:id="6759"/>
      <w:bookmarkEnd w:id="6760"/>
    </w:p>
    <w:p w14:paraId="6A0BB82B" w14:textId="77777777" w:rsidR="00FF5773" w:rsidRPr="00F24792" w:rsidRDefault="00FF5773" w:rsidP="00223668">
      <w:pPr>
        <w:pStyle w:val="a0"/>
        <w:rPr>
          <w:rtl/>
        </w:rPr>
      </w:pPr>
      <w:bookmarkStart w:id="6761" w:name="_Toc527912548"/>
      <w:bookmarkStart w:id="6762" w:name="_Toc527924480"/>
      <w:bookmarkStart w:id="6763" w:name="_Toc527928699"/>
      <w:r>
        <w:rPr>
          <w:rFonts w:hint="cs"/>
          <w:rtl/>
        </w:rPr>
        <w:t xml:space="preserve">ותירץ </w:t>
      </w:r>
      <w:r w:rsidRPr="0068696B">
        <w:rPr>
          <w:rStyle w:val="af9"/>
          <w:rFonts w:hint="cs"/>
          <w:rtl/>
        </w:rPr>
        <w:t>הפנ"י</w:t>
      </w:r>
      <w:r>
        <w:rPr>
          <w:rFonts w:hint="cs"/>
          <w:rtl/>
        </w:rPr>
        <w:t xml:space="preserve"> דאין כוונת </w:t>
      </w:r>
      <w:r w:rsidRPr="0068696B">
        <w:rPr>
          <w:rStyle w:val="af9"/>
          <w:rFonts w:hint="cs"/>
          <w:rtl/>
        </w:rPr>
        <w:t>התוס'</w:t>
      </w:r>
      <w:r>
        <w:rPr>
          <w:rFonts w:hint="cs"/>
          <w:rtl/>
        </w:rPr>
        <w:t xml:space="preserve"> לדון על רק דין נגעי בתים, אלא דנים בכל המקור להא דבנגעים אזלינן בתר חזקה, ואין חילוק בין רה"ר לרה"י, </w:t>
      </w:r>
      <w:r w:rsidRPr="0068696B">
        <w:rPr>
          <w:rStyle w:val="afb"/>
          <w:rFonts w:hint="cs"/>
          <w:rtl/>
        </w:rPr>
        <w:t xml:space="preserve">[כדביאר </w:t>
      </w:r>
      <w:r w:rsidRPr="0068696B">
        <w:rPr>
          <w:rStyle w:val="affa"/>
          <w:rFonts w:hint="cs"/>
          <w:rtl/>
        </w:rPr>
        <w:t>הפנ"י</w:t>
      </w:r>
      <w:r w:rsidRPr="0068696B">
        <w:rPr>
          <w:rStyle w:val="afb"/>
          <w:rFonts w:hint="cs"/>
          <w:rtl/>
        </w:rPr>
        <w:t xml:space="preserve"> </w:t>
      </w:r>
      <w:r w:rsidRPr="0068696B">
        <w:rPr>
          <w:rStyle w:val="aff6"/>
          <w:rFonts w:hint="cs"/>
          <w:rtl/>
        </w:rPr>
        <w:t xml:space="preserve">(עי' אות </w:t>
      </w:r>
      <w:r w:rsidRPr="0068696B">
        <w:rPr>
          <w:rStyle w:val="aff6"/>
          <w:rtl/>
        </w:rPr>
        <w:fldChar w:fldCharType="begin"/>
      </w:r>
      <w:r w:rsidRPr="0068696B">
        <w:rPr>
          <w:rStyle w:val="aff6"/>
          <w:rtl/>
        </w:rPr>
        <w:instrText xml:space="preserve"> </w:instrText>
      </w:r>
      <w:r w:rsidRPr="0068696B">
        <w:rPr>
          <w:rStyle w:val="aff6"/>
          <w:rFonts w:hint="cs"/>
        </w:rPr>
        <w:instrText>REF</w:instrText>
      </w:r>
      <w:r w:rsidRPr="0068696B">
        <w:rPr>
          <w:rStyle w:val="aff6"/>
          <w:rFonts w:hint="cs"/>
          <w:rtl/>
        </w:rPr>
        <w:instrText xml:space="preserve"> _</w:instrText>
      </w:r>
      <w:r w:rsidRPr="0068696B">
        <w:rPr>
          <w:rStyle w:val="aff6"/>
          <w:rFonts w:hint="cs"/>
        </w:rPr>
        <w:instrText>Ref527993987 \r \h</w:instrText>
      </w:r>
      <w:r w:rsidRPr="0068696B">
        <w:rPr>
          <w:rStyle w:val="aff6"/>
          <w:rtl/>
        </w:rPr>
        <w:instrText xml:space="preserve"> </w:instrText>
      </w:r>
      <w:r w:rsidRPr="0068696B">
        <w:rPr>
          <w:rStyle w:val="aff6"/>
          <w:rtl/>
        </w:rPr>
      </w:r>
      <w:r w:rsidRPr="0068696B">
        <w:rPr>
          <w:rStyle w:val="aff6"/>
          <w:rtl/>
        </w:rPr>
        <w:fldChar w:fldCharType="separate"/>
      </w:r>
      <w:r w:rsidR="00345400">
        <w:rPr>
          <w:rStyle w:val="aff6"/>
          <w:cs/>
        </w:rPr>
        <w:t>‎</w:t>
      </w:r>
      <w:r w:rsidR="00345400">
        <w:rPr>
          <w:rStyle w:val="aff6"/>
          <w:rtl/>
        </w:rPr>
        <w:t>כא)</w:t>
      </w:r>
      <w:r w:rsidRPr="0068696B">
        <w:rPr>
          <w:rStyle w:val="aff6"/>
          <w:rtl/>
        </w:rPr>
        <w:fldChar w:fldCharType="end"/>
      </w:r>
      <w:r w:rsidRPr="0068696B">
        <w:rPr>
          <w:rStyle w:val="afb"/>
          <w:rFonts w:hint="cs"/>
          <w:rtl/>
        </w:rPr>
        <w:t>],</w:t>
      </w:r>
      <w:r>
        <w:rPr>
          <w:rFonts w:hint="cs"/>
          <w:rtl/>
        </w:rPr>
        <w:t xml:space="preserve"> וא"כ הנדון הוא גם בנגעי אדם שיש בו דעת לישאל. </w:t>
      </w:r>
    </w:p>
    <w:p w14:paraId="5EA5431E" w14:textId="77777777" w:rsidR="00FF5773" w:rsidRPr="00494B23" w:rsidRDefault="00FF5773" w:rsidP="006D6D32">
      <w:pPr>
        <w:pStyle w:val="a3"/>
        <w:rPr>
          <w:rtl/>
        </w:rPr>
      </w:pPr>
      <w:bookmarkStart w:id="6764" w:name="_Toc527999475"/>
      <w:bookmarkStart w:id="6765" w:name="_Toc19389829"/>
      <w:bookmarkStart w:id="6766" w:name="_Toc19393326"/>
      <w:r w:rsidRPr="00B64502">
        <w:rPr>
          <w:rFonts w:hint="cs"/>
          <w:rtl/>
        </w:rPr>
        <w:t xml:space="preserve">תירוץ האחיעזר </w:t>
      </w:r>
      <w:r>
        <w:rPr>
          <w:rFonts w:hint="cs"/>
          <w:rtl/>
        </w:rPr>
        <w:t xml:space="preserve">דאף כשמעמידים על החזקה עדיין </w:t>
      </w:r>
      <w:r w:rsidRPr="00B64502">
        <w:rPr>
          <w:rFonts w:hint="cs"/>
          <w:rtl/>
        </w:rPr>
        <w:t>גוף הטומאה</w:t>
      </w:r>
      <w:bookmarkEnd w:id="6761"/>
      <w:bookmarkEnd w:id="6762"/>
      <w:bookmarkEnd w:id="6763"/>
      <w:r>
        <w:rPr>
          <w:rFonts w:hint="cs"/>
          <w:rtl/>
        </w:rPr>
        <w:t xml:space="preserve"> בספק ויש ספק באדם שנכנס</w:t>
      </w:r>
      <w:bookmarkEnd w:id="6764"/>
      <w:bookmarkEnd w:id="6765"/>
      <w:bookmarkEnd w:id="6766"/>
    </w:p>
    <w:p w14:paraId="050CB0DE" w14:textId="77777777" w:rsidR="00FF5773" w:rsidRPr="00C11C20" w:rsidRDefault="00FF5773" w:rsidP="00223668">
      <w:pPr>
        <w:pStyle w:val="a0"/>
        <w:rPr>
          <w:rtl/>
        </w:rPr>
      </w:pPr>
      <w:r w:rsidRPr="0048248F">
        <w:rPr>
          <w:rStyle w:val="af9"/>
          <w:rFonts w:hint="cs"/>
          <w:rtl/>
        </w:rPr>
        <w:t>ובאחיעזר</w:t>
      </w:r>
      <w:r>
        <w:rPr>
          <w:rFonts w:hint="cs"/>
          <w:rtl/>
        </w:rPr>
        <w:t xml:space="preserve"> </w:t>
      </w:r>
      <w:r w:rsidRPr="002658D3">
        <w:rPr>
          <w:rStyle w:val="af7"/>
          <w:rFonts w:eastAsia="Guttman Hodes" w:hint="cs"/>
          <w:rtl/>
        </w:rPr>
        <w:t xml:space="preserve">(ח"א סי' א' אות ה') </w:t>
      </w:r>
      <w:r>
        <w:rPr>
          <w:rFonts w:hint="cs"/>
          <w:rtl/>
        </w:rPr>
        <w:t>תירץ את קושית</w:t>
      </w:r>
      <w:r w:rsidRPr="0048248F">
        <w:rPr>
          <w:rStyle w:val="af9"/>
          <w:rFonts w:hint="cs"/>
          <w:rtl/>
        </w:rPr>
        <w:t xml:space="preserve"> הפנ"י </w:t>
      </w:r>
      <w:r>
        <w:rPr>
          <w:rFonts w:hint="cs"/>
          <w:rtl/>
        </w:rPr>
        <w:t xml:space="preserve">דאין כוונת התוס' לדון על </w:t>
      </w:r>
      <w:r w:rsidRPr="00BD4F49">
        <w:rPr>
          <w:rFonts w:hint="cs"/>
          <w:rtl/>
        </w:rPr>
        <w:t xml:space="preserve">הבית עצמו, </w:t>
      </w:r>
      <w:r>
        <w:rPr>
          <w:rFonts w:hint="cs"/>
          <w:rtl/>
        </w:rPr>
        <w:t xml:space="preserve">כיון </w:t>
      </w:r>
      <w:r w:rsidRPr="00BD4F49">
        <w:rPr>
          <w:rFonts w:hint="cs"/>
          <w:rtl/>
        </w:rPr>
        <w:t xml:space="preserve">דבגוף הטומאה עצמה </w:t>
      </w:r>
      <w:r>
        <w:rPr>
          <w:rFonts w:hint="cs"/>
          <w:rtl/>
        </w:rPr>
        <w:t xml:space="preserve">לעולם הדין הוא שנשאר ספק, ולכן </w:t>
      </w:r>
      <w:r w:rsidRPr="00BD4F49">
        <w:rPr>
          <w:rFonts w:hint="cs"/>
          <w:rtl/>
        </w:rPr>
        <w:t>אף כשמעמידים על החזקה ומטמאים את הבית, עדיין חש</w:t>
      </w:r>
      <w:r>
        <w:rPr>
          <w:rFonts w:hint="cs"/>
          <w:rtl/>
        </w:rPr>
        <w:t>י</w:t>
      </w:r>
      <w:r w:rsidRPr="00BD4F49">
        <w:rPr>
          <w:rFonts w:hint="cs"/>
          <w:rtl/>
        </w:rPr>
        <w:t xml:space="preserve">ב </w:t>
      </w:r>
      <w:r>
        <w:rPr>
          <w:rFonts w:hint="cs"/>
          <w:rtl/>
        </w:rPr>
        <w:t>ש</w:t>
      </w:r>
      <w:r w:rsidRPr="00BD4F49">
        <w:rPr>
          <w:rFonts w:hint="cs"/>
          <w:rtl/>
        </w:rPr>
        <w:t>הוא שהוא עומד בספק, וא"כ כשנכנס לבית אדם שהוא יש בו דעת לישאל</w:t>
      </w:r>
      <w:r>
        <w:rPr>
          <w:rFonts w:hint="cs"/>
          <w:rtl/>
        </w:rPr>
        <w:t xml:space="preserve">. וביאר האחיעזר דלכן </w:t>
      </w:r>
      <w:r w:rsidRPr="00BD4F49">
        <w:rPr>
          <w:rFonts w:hint="cs"/>
          <w:rtl/>
        </w:rPr>
        <w:t xml:space="preserve">הקשו </w:t>
      </w:r>
      <w:r w:rsidRPr="007D5595">
        <w:rPr>
          <w:rStyle w:val="af9"/>
          <w:rFonts w:hint="cs"/>
          <w:rtl/>
        </w:rPr>
        <w:t>התוס'</w:t>
      </w:r>
      <w:r w:rsidRPr="00BD4F49">
        <w:rPr>
          <w:rFonts w:hint="cs"/>
          <w:rtl/>
        </w:rPr>
        <w:t xml:space="preserve"> דיתכן שה</w:t>
      </w:r>
      <w:r>
        <w:rPr>
          <w:rFonts w:hint="cs"/>
          <w:rtl/>
        </w:rPr>
        <w:t>בית</w:t>
      </w:r>
      <w:r w:rsidRPr="00BD4F49">
        <w:rPr>
          <w:rFonts w:hint="cs"/>
          <w:rtl/>
        </w:rPr>
        <w:t xml:space="preserve"> טמא</w:t>
      </w:r>
      <w:r>
        <w:rPr>
          <w:rFonts w:hint="cs"/>
          <w:rtl/>
        </w:rPr>
        <w:t xml:space="preserve"> מדין ספק טומאה ברה"י, ותירצו </w:t>
      </w:r>
      <w:r w:rsidRPr="00494B23">
        <w:rPr>
          <w:rStyle w:val="af9"/>
          <w:rFonts w:hint="cs"/>
          <w:rtl/>
        </w:rPr>
        <w:t>התוס'</w:t>
      </w:r>
      <w:r>
        <w:rPr>
          <w:rFonts w:hint="cs"/>
          <w:rtl/>
        </w:rPr>
        <w:t xml:space="preserve"> דאף בדבר שאין בו דעת לישאל ככלים, שאין בהם דין ספק טומאה ברה"י, ואפ"ה  הם טמאים ומוכח דמעמידים את הבית בחזקת טמא, וע"ע במה שהאריך </w:t>
      </w:r>
      <w:r w:rsidRPr="007B39DD">
        <w:rPr>
          <w:rStyle w:val="af9"/>
          <w:rFonts w:hint="cs"/>
          <w:rtl/>
        </w:rPr>
        <w:t>האחיעזר</w:t>
      </w:r>
      <w:r>
        <w:rPr>
          <w:rFonts w:hint="cs"/>
          <w:rtl/>
        </w:rPr>
        <w:t xml:space="preserve"> בביאור דברי </w:t>
      </w:r>
      <w:r w:rsidRPr="007B39DD">
        <w:rPr>
          <w:rStyle w:val="af9"/>
          <w:rFonts w:hint="cs"/>
          <w:rtl/>
        </w:rPr>
        <w:t>התוס'</w:t>
      </w:r>
      <w:r>
        <w:rPr>
          <w:rFonts w:hint="cs"/>
          <w:rtl/>
        </w:rPr>
        <w:t>.</w:t>
      </w:r>
    </w:p>
    <w:p w14:paraId="52E9D564" w14:textId="77777777" w:rsidR="00FF5773" w:rsidRDefault="00FF5773" w:rsidP="006D6D32">
      <w:pPr>
        <w:pStyle w:val="a3"/>
        <w:rPr>
          <w:rtl/>
        </w:rPr>
      </w:pPr>
      <w:bookmarkStart w:id="6767" w:name="_Toc527912549"/>
      <w:bookmarkStart w:id="6768" w:name="_Toc527924481"/>
      <w:bookmarkStart w:id="6769" w:name="_Toc527928700"/>
      <w:bookmarkStart w:id="6770" w:name="_Toc527999476"/>
      <w:bookmarkStart w:id="6771" w:name="_Toc19389830"/>
      <w:bookmarkStart w:id="6772" w:name="_Toc19393327"/>
      <w:r>
        <w:rPr>
          <w:rFonts w:hint="cs"/>
          <w:rtl/>
        </w:rPr>
        <w:t>דברי החזו"א דבנגע הספק בטומאה עצמה ולא ילפינן מסוטה</w:t>
      </w:r>
      <w:bookmarkEnd w:id="6767"/>
      <w:bookmarkEnd w:id="6768"/>
      <w:bookmarkEnd w:id="6769"/>
      <w:bookmarkEnd w:id="6770"/>
      <w:bookmarkEnd w:id="6771"/>
      <w:bookmarkEnd w:id="6772"/>
    </w:p>
    <w:p w14:paraId="6FAC45A0" w14:textId="77777777" w:rsidR="00FF5773" w:rsidRDefault="00FF5773" w:rsidP="00223668">
      <w:pPr>
        <w:pStyle w:val="a0"/>
        <w:rPr>
          <w:rtl/>
        </w:rPr>
      </w:pPr>
      <w:r w:rsidRPr="00B64502">
        <w:rPr>
          <w:rStyle w:val="af9"/>
          <w:rFonts w:hint="cs"/>
          <w:rtl/>
        </w:rPr>
        <w:t>והחזו"א</w:t>
      </w:r>
      <w:r w:rsidRPr="00B64502">
        <w:rPr>
          <w:rFonts w:hint="cs"/>
          <w:rtl/>
        </w:rPr>
        <w:t xml:space="preserve"> </w:t>
      </w:r>
      <w:r w:rsidRPr="00B64502">
        <w:rPr>
          <w:rStyle w:val="af7"/>
          <w:rFonts w:eastAsia="Guttman Hodes" w:hint="cs"/>
          <w:rtl/>
        </w:rPr>
        <w:t>(יו"</w:t>
      </w:r>
      <w:r w:rsidRPr="001610D1">
        <w:rPr>
          <w:rStyle w:val="af7"/>
          <w:rFonts w:eastAsia="Guttman Hodes" w:hint="cs"/>
          <w:rtl/>
        </w:rPr>
        <w:t>ד רי"ד י: ד"ה תוד"ה ודלמא)</w:t>
      </w:r>
      <w:r>
        <w:rPr>
          <w:rFonts w:hint="cs"/>
          <w:rtl/>
        </w:rPr>
        <w:t xml:space="preserve"> כתב דאין כוונת </w:t>
      </w:r>
      <w:r w:rsidRPr="001610D1">
        <w:rPr>
          <w:rStyle w:val="af9"/>
          <w:rFonts w:hint="cs"/>
          <w:rtl/>
        </w:rPr>
        <w:t>התוס'</w:t>
      </w:r>
      <w:r>
        <w:rPr>
          <w:rFonts w:hint="cs"/>
          <w:rtl/>
        </w:rPr>
        <w:t xml:space="preserve"> להקשות דהבית יהיה טמא מספק, מדין ספק טומאה ברה"י, דהא מסוטה ילפינן רק לענין ספק מגע בטומאה, אבל בנגע הספק הוא בטומאה עצמה ולא ילפינן לה מסוטה, </w:t>
      </w:r>
      <w:r w:rsidRPr="001376AA">
        <w:rPr>
          <w:rStyle w:val="afb"/>
          <w:rFonts w:hint="cs"/>
          <w:rtl/>
        </w:rPr>
        <w:t>[כמבואר</w:t>
      </w:r>
      <w:r>
        <w:rPr>
          <w:rFonts w:hint="cs"/>
          <w:rtl/>
        </w:rPr>
        <w:t xml:space="preserve"> </w:t>
      </w:r>
      <w:r w:rsidRPr="001376AA">
        <w:rPr>
          <w:rStyle w:val="affa"/>
          <w:rFonts w:hint="cs"/>
          <w:rtl/>
        </w:rPr>
        <w:t>בתוס' בנדה</w:t>
      </w:r>
      <w:r>
        <w:rPr>
          <w:rFonts w:hint="cs"/>
          <w:rtl/>
        </w:rPr>
        <w:t xml:space="preserve"> </w:t>
      </w:r>
      <w:r w:rsidRPr="001376AA">
        <w:rPr>
          <w:rStyle w:val="aff6"/>
          <w:rFonts w:hint="cs"/>
          <w:rtl/>
        </w:rPr>
        <w:t>(יז: ד"ה ואין)</w:t>
      </w:r>
      <w:r w:rsidRPr="001376AA">
        <w:rPr>
          <w:rStyle w:val="afb"/>
          <w:rFonts w:hint="cs"/>
          <w:rtl/>
        </w:rPr>
        <w:t>],</w:t>
      </w:r>
      <w:r>
        <w:rPr>
          <w:rFonts w:hint="cs"/>
          <w:rtl/>
        </w:rPr>
        <w:t xml:space="preserve"> ועוד דהרי הבית הוא דבר שאין בו דעת לישאל, ואין בו דין ספק טומאה ברה"י.</w:t>
      </w:r>
    </w:p>
    <w:p w14:paraId="3EF80555" w14:textId="77777777" w:rsidR="00FF5773" w:rsidRDefault="00FF5773" w:rsidP="006D6D32">
      <w:pPr>
        <w:pStyle w:val="a3"/>
        <w:rPr>
          <w:rtl/>
        </w:rPr>
      </w:pPr>
      <w:bookmarkStart w:id="6773" w:name="_Toc527912550"/>
      <w:bookmarkStart w:id="6774" w:name="_Toc527924482"/>
      <w:bookmarkStart w:id="6775" w:name="_Toc527928701"/>
      <w:bookmarkStart w:id="6776" w:name="_Toc527999477"/>
      <w:bookmarkStart w:id="6777" w:name="_Toc19389831"/>
      <w:bookmarkStart w:id="6778" w:name="_Toc19393328"/>
      <w:r>
        <w:rPr>
          <w:rFonts w:hint="cs"/>
          <w:rtl/>
        </w:rPr>
        <w:t>ביאור החזו"א דקושית התוס' על הנכנסים לבית ולא על הבית עצמו</w:t>
      </w:r>
      <w:bookmarkEnd w:id="6773"/>
      <w:bookmarkEnd w:id="6774"/>
      <w:bookmarkEnd w:id="6775"/>
      <w:bookmarkEnd w:id="6776"/>
      <w:bookmarkEnd w:id="6777"/>
      <w:bookmarkEnd w:id="6778"/>
    </w:p>
    <w:p w14:paraId="4BF1719C" w14:textId="77777777" w:rsidR="00FF5773" w:rsidRDefault="00FF5773" w:rsidP="00223668">
      <w:pPr>
        <w:pStyle w:val="a0"/>
        <w:rPr>
          <w:rtl/>
        </w:rPr>
      </w:pPr>
      <w:r>
        <w:rPr>
          <w:rFonts w:hint="cs"/>
          <w:rtl/>
        </w:rPr>
        <w:t xml:space="preserve">אלא כתב </w:t>
      </w:r>
      <w:r w:rsidRPr="001610D1">
        <w:rPr>
          <w:rStyle w:val="af9"/>
          <w:rFonts w:hint="cs"/>
          <w:rtl/>
        </w:rPr>
        <w:t>החזו"א</w:t>
      </w:r>
      <w:r>
        <w:rPr>
          <w:rFonts w:hint="cs"/>
          <w:rtl/>
        </w:rPr>
        <w:t xml:space="preserve"> דכוונת </w:t>
      </w:r>
      <w:r w:rsidRPr="001610D1">
        <w:rPr>
          <w:rStyle w:val="af9"/>
          <w:rFonts w:hint="cs"/>
          <w:rtl/>
        </w:rPr>
        <w:t>התוס'</w:t>
      </w:r>
      <w:r>
        <w:rPr>
          <w:rFonts w:hint="cs"/>
          <w:rtl/>
        </w:rPr>
        <w:t xml:space="preserve"> להקשות על הספק טומאה של הנכנסים לבית, דהבית עצמו הוא ספק טומאה, והוי כספק שרץ ספק צפרדע, והנכנסים יש להם ספק אם נגעו בטומאה או לא, דזהו דין ספק טומאה דילפינן לה מסוטה.</w:t>
      </w:r>
    </w:p>
    <w:p w14:paraId="08A03E73" w14:textId="77777777" w:rsidR="00FF5773" w:rsidRDefault="00FF5773" w:rsidP="006D6D32">
      <w:pPr>
        <w:pStyle w:val="a3"/>
        <w:rPr>
          <w:rtl/>
        </w:rPr>
      </w:pPr>
      <w:bookmarkStart w:id="6779" w:name="_Toc527912551"/>
      <w:bookmarkStart w:id="6780" w:name="_Toc527924483"/>
      <w:bookmarkStart w:id="6781" w:name="_Toc527928702"/>
      <w:bookmarkStart w:id="6782" w:name="_Toc527999478"/>
      <w:bookmarkStart w:id="6783" w:name="_Toc19389832"/>
      <w:bookmarkStart w:id="6784" w:name="_Toc19393329"/>
      <w:r>
        <w:rPr>
          <w:rFonts w:hint="cs"/>
          <w:rtl/>
        </w:rPr>
        <w:t>ביאור החזו"א דהנדון הוא על הבית ולכן אף אם הנכנס לבית יש בו דעת לישאל דינו כבית</w:t>
      </w:r>
      <w:bookmarkEnd w:id="6779"/>
      <w:bookmarkEnd w:id="6780"/>
      <w:bookmarkEnd w:id="6781"/>
      <w:bookmarkEnd w:id="6782"/>
      <w:bookmarkEnd w:id="6783"/>
      <w:bookmarkEnd w:id="6784"/>
    </w:p>
    <w:p w14:paraId="06886DEA" w14:textId="77777777" w:rsidR="00FF5773" w:rsidRDefault="00FF5773" w:rsidP="00223668">
      <w:pPr>
        <w:pStyle w:val="a0"/>
        <w:rPr>
          <w:rtl/>
        </w:rPr>
      </w:pPr>
      <w:bookmarkStart w:id="6785" w:name="_Ref527391256"/>
      <w:r>
        <w:rPr>
          <w:rFonts w:hint="cs"/>
          <w:rtl/>
        </w:rPr>
        <w:t xml:space="preserve">ובתירוץ </w:t>
      </w:r>
      <w:r w:rsidRPr="001610D1">
        <w:rPr>
          <w:rStyle w:val="af9"/>
          <w:rFonts w:hint="cs"/>
          <w:rtl/>
        </w:rPr>
        <w:t xml:space="preserve">התוס' </w:t>
      </w:r>
      <w:r>
        <w:rPr>
          <w:rFonts w:hint="cs"/>
          <w:rtl/>
        </w:rPr>
        <w:t xml:space="preserve">ביאר </w:t>
      </w:r>
      <w:r w:rsidRPr="001610D1">
        <w:rPr>
          <w:rStyle w:val="af9"/>
          <w:rFonts w:hint="cs"/>
          <w:rtl/>
        </w:rPr>
        <w:t>החזו"א</w:t>
      </w:r>
      <w:r>
        <w:rPr>
          <w:rFonts w:hint="cs"/>
          <w:rtl/>
        </w:rPr>
        <w:t xml:space="preserve"> דכיון דאף אם נכנסו ג' בנ"א אל הבית הם טמאים, אף שיש להם דין ספק טומאה ברה"ר </w:t>
      </w:r>
      <w:r w:rsidRPr="001254C7">
        <w:rPr>
          <w:rStyle w:val="afb"/>
          <w:rFonts w:hint="cs"/>
          <w:rtl/>
        </w:rPr>
        <w:t xml:space="preserve">[כדאיתא בנזיר </w:t>
      </w:r>
      <w:r w:rsidRPr="001254C7">
        <w:rPr>
          <w:rStyle w:val="aff6"/>
          <w:rFonts w:hint="cs"/>
          <w:rtl/>
        </w:rPr>
        <w:t>(נז.)</w:t>
      </w:r>
      <w:r w:rsidRPr="001254C7">
        <w:rPr>
          <w:rStyle w:val="afb"/>
          <w:rFonts w:hint="cs"/>
          <w:rtl/>
        </w:rPr>
        <w:t>]</w:t>
      </w:r>
      <w:r>
        <w:rPr>
          <w:rFonts w:hint="cs"/>
          <w:rtl/>
        </w:rPr>
        <w:t xml:space="preserve">, וכן אם נכנסו לבית כלים שלא ע"י אדם הם טמאים, אף שהוא דבר שאין בו דעת לישאל ולא ילפינן לה מסוטה, ומוכח דהדין טומאה בבית המנוגע הוא מחמת שמעמידים על החזקה, ולא מדין ספק טומאה ברה"י. והיינו דאחר שמעמידים את הבית בחזקת טומאה, ממילא כל מי שנכנס לבית נטמא, דהחזקת טהרה של הנכנסים לא מהני, כמו במקוה שנמצא חסר, דהוא </w:t>
      </w:r>
      <w:r w:rsidRPr="004070AB">
        <w:rPr>
          <w:rFonts w:hint="cs"/>
          <w:rtl/>
        </w:rPr>
        <w:t>בחזקת טמא, ולא מהני החזקת טהרה של הטהרות</w:t>
      </w:r>
      <w:r>
        <w:rPr>
          <w:rFonts w:hint="cs"/>
          <w:rtl/>
        </w:rPr>
        <w:t>.</w:t>
      </w:r>
    </w:p>
    <w:p w14:paraId="3AED5CF6" w14:textId="77777777" w:rsidR="00FF5773" w:rsidRPr="007A7C89" w:rsidRDefault="00FF5773" w:rsidP="006D6D32">
      <w:pPr>
        <w:pStyle w:val="a3"/>
      </w:pPr>
      <w:bookmarkStart w:id="6786" w:name="_Toc527912552"/>
      <w:bookmarkStart w:id="6787" w:name="_Toc527924484"/>
      <w:bookmarkStart w:id="6788" w:name="_Toc527928703"/>
      <w:bookmarkStart w:id="6789" w:name="_Toc527999479"/>
      <w:bookmarkStart w:id="6790" w:name="_Toc19389833"/>
      <w:bookmarkStart w:id="6791" w:name="_Toc19393330"/>
      <w:r>
        <w:rPr>
          <w:rFonts w:hint="cs"/>
          <w:rtl/>
        </w:rPr>
        <w:t>דברי החזו"א דדברי התוס' הם כדברי הריטב"א בעירובין דדנים חזקה בדבר שבו הספק</w:t>
      </w:r>
      <w:bookmarkEnd w:id="6786"/>
      <w:bookmarkEnd w:id="6787"/>
      <w:bookmarkEnd w:id="6788"/>
      <w:bookmarkEnd w:id="6789"/>
      <w:bookmarkEnd w:id="6790"/>
      <w:bookmarkEnd w:id="6791"/>
    </w:p>
    <w:p w14:paraId="3F1410A0" w14:textId="77777777" w:rsidR="00FF5773" w:rsidRPr="008E2965" w:rsidRDefault="00FF5773" w:rsidP="00223668">
      <w:pPr>
        <w:pStyle w:val="a0"/>
        <w:rPr>
          <w:rtl/>
        </w:rPr>
      </w:pPr>
      <w:r>
        <w:rPr>
          <w:rFonts w:hint="cs"/>
          <w:rtl/>
        </w:rPr>
        <w:t xml:space="preserve">והוסיף </w:t>
      </w:r>
      <w:r w:rsidRPr="001610D1">
        <w:rPr>
          <w:rStyle w:val="af9"/>
          <w:rFonts w:hint="cs"/>
          <w:rtl/>
        </w:rPr>
        <w:t>החזו"א</w:t>
      </w:r>
      <w:r>
        <w:rPr>
          <w:rFonts w:hint="cs"/>
          <w:rtl/>
        </w:rPr>
        <w:t xml:space="preserve"> דהביאור </w:t>
      </w:r>
      <w:r w:rsidRPr="008E2965">
        <w:rPr>
          <w:rStyle w:val="af9"/>
          <w:rFonts w:hint="cs"/>
          <w:rtl/>
        </w:rPr>
        <w:t>בתוס'</w:t>
      </w:r>
      <w:r>
        <w:rPr>
          <w:rFonts w:hint="cs"/>
          <w:rtl/>
        </w:rPr>
        <w:t xml:space="preserve"> הוא כמו שכתב </w:t>
      </w:r>
      <w:r w:rsidRPr="004070AB">
        <w:rPr>
          <w:rStyle w:val="af9"/>
          <w:rFonts w:hint="cs"/>
          <w:rtl/>
        </w:rPr>
        <w:t>הריטב"א ב</w:t>
      </w:r>
      <w:r>
        <w:rPr>
          <w:rStyle w:val="af9"/>
          <w:rFonts w:hint="cs"/>
          <w:rtl/>
        </w:rPr>
        <w:t xml:space="preserve">עירובין </w:t>
      </w:r>
      <w:r w:rsidRPr="00DD17AC">
        <w:rPr>
          <w:rStyle w:val="af7"/>
          <w:rFonts w:eastAsia="Guttman Hodes" w:hint="cs"/>
          <w:rtl/>
        </w:rPr>
        <w:t>(לו. ד"ה רבא)</w:t>
      </w:r>
      <w:r>
        <w:rPr>
          <w:rFonts w:hint="cs"/>
          <w:rtl/>
        </w:rPr>
        <w:t xml:space="preserve">. </w:t>
      </w:r>
      <w:r w:rsidRPr="008E2965">
        <w:rPr>
          <w:rFonts w:hint="cs"/>
          <w:rtl/>
        </w:rPr>
        <w:t xml:space="preserve">[דכתב </w:t>
      </w:r>
      <w:r w:rsidRPr="008E2965">
        <w:rPr>
          <w:rStyle w:val="af9"/>
          <w:rFonts w:hint="cs"/>
          <w:rtl/>
        </w:rPr>
        <w:t>הריטב"א בעירובין</w:t>
      </w:r>
      <w:r w:rsidRPr="008E2965">
        <w:rPr>
          <w:rFonts w:hint="cs"/>
          <w:rtl/>
        </w:rPr>
        <w:t xml:space="preserve"> בשם </w:t>
      </w:r>
      <w:r w:rsidRPr="008E2965">
        <w:rPr>
          <w:rStyle w:val="af9"/>
          <w:rFonts w:hint="cs"/>
          <w:rtl/>
        </w:rPr>
        <w:t>הר"ם בר שניאור</w:t>
      </w:r>
      <w:r w:rsidRPr="008E2965">
        <w:rPr>
          <w:rFonts w:hint="cs"/>
          <w:rtl/>
        </w:rPr>
        <w:t xml:space="preserve"> דבכל חזקה דנים על הדבר שהספק בא ממנו, ולכן במקוה הנדון הוא על האדם שטבל, ולא אמרינן דהעמד את הטהרות שנגע בהם הטובל בחזקתם, דכיון שודאי נגע בהם האדם שטבל במקוה שנמצא חסר פקעה חזקתם].</w:t>
      </w:r>
      <w:bookmarkEnd w:id="6785"/>
    </w:p>
    <w:p w14:paraId="7FCE99FF" w14:textId="77777777" w:rsidR="00FF5773" w:rsidRDefault="00FF5773" w:rsidP="006D6D32">
      <w:pPr>
        <w:pStyle w:val="afe"/>
        <w:rPr>
          <w:rtl/>
        </w:rPr>
      </w:pPr>
      <w:bookmarkStart w:id="6792" w:name="_Toc527912553"/>
      <w:bookmarkStart w:id="6793" w:name="_Toc527924485"/>
      <w:bookmarkStart w:id="6794" w:name="_Toc527928704"/>
      <w:bookmarkStart w:id="6795" w:name="_Toc527999480"/>
      <w:bookmarkStart w:id="6796" w:name="_Toc19435488"/>
      <w:bookmarkStart w:id="6797" w:name="_Toc20080796"/>
      <w:r>
        <w:rPr>
          <w:rFonts w:hint="cs"/>
          <w:rtl/>
        </w:rPr>
        <w:t>בענין חזקה עם ריעותא ותרתי דסתרי</w:t>
      </w:r>
      <w:bookmarkEnd w:id="6792"/>
      <w:bookmarkEnd w:id="6793"/>
      <w:bookmarkEnd w:id="6794"/>
      <w:bookmarkEnd w:id="6795"/>
      <w:bookmarkEnd w:id="6796"/>
      <w:bookmarkEnd w:id="6797"/>
    </w:p>
    <w:p w14:paraId="33F6BD9B" w14:textId="77777777" w:rsidR="00FF5773" w:rsidRDefault="00FF5773" w:rsidP="00BF39B2">
      <w:pPr>
        <w:pStyle w:val="1"/>
        <w:rPr>
          <w:rtl/>
        </w:rPr>
      </w:pPr>
      <w:bookmarkStart w:id="6798" w:name="_Toc527912554"/>
      <w:bookmarkStart w:id="6799" w:name="_Toc527924486"/>
      <w:bookmarkStart w:id="6800" w:name="_Toc527928705"/>
      <w:bookmarkStart w:id="6801" w:name="_Toc527999481"/>
      <w:bookmarkStart w:id="6802" w:name="_Toc19389834"/>
      <w:bookmarkStart w:id="6803" w:name="_Toc19393331"/>
      <w:r>
        <w:rPr>
          <w:rFonts w:hint="cs"/>
          <w:rtl/>
        </w:rPr>
        <w:t>קושית התוס' מנלן דאזלינן בתר חזקה אף כשיש ריעותא</w:t>
      </w:r>
      <w:bookmarkEnd w:id="6798"/>
      <w:bookmarkEnd w:id="6799"/>
      <w:bookmarkEnd w:id="6800"/>
      <w:bookmarkEnd w:id="6801"/>
      <w:bookmarkEnd w:id="6802"/>
      <w:bookmarkEnd w:id="6803"/>
    </w:p>
    <w:p w14:paraId="1BD4A16D" w14:textId="77777777" w:rsidR="00FF5773" w:rsidRDefault="00FF5773" w:rsidP="006D6D32">
      <w:pPr>
        <w:pStyle w:val="a3"/>
        <w:rPr>
          <w:rtl/>
        </w:rPr>
      </w:pPr>
      <w:bookmarkStart w:id="6804" w:name="_Toc527912555"/>
      <w:bookmarkStart w:id="6805" w:name="_Toc527924487"/>
      <w:bookmarkStart w:id="6806" w:name="_Toc527928706"/>
      <w:bookmarkStart w:id="6807" w:name="_Toc527999482"/>
      <w:bookmarkStart w:id="6808" w:name="_Toc19389835"/>
      <w:bookmarkStart w:id="6809" w:name="_Toc19393332"/>
      <w:r>
        <w:rPr>
          <w:rFonts w:hint="cs"/>
          <w:rtl/>
        </w:rPr>
        <w:t>קושית התוס' דהיאך ילפינן מבית המנוגע לסכין שהוא חזקה עם ריעותא</w:t>
      </w:r>
      <w:bookmarkEnd w:id="6804"/>
      <w:bookmarkEnd w:id="6805"/>
      <w:bookmarkEnd w:id="6806"/>
      <w:bookmarkEnd w:id="6807"/>
      <w:bookmarkEnd w:id="6808"/>
      <w:bookmarkEnd w:id="6809"/>
    </w:p>
    <w:p w14:paraId="47419C54" w14:textId="77777777" w:rsidR="00FF5773" w:rsidRDefault="00FF5773" w:rsidP="00E12979">
      <w:pPr>
        <w:pStyle w:val="a0"/>
        <w:numPr>
          <w:ilvl w:val="0"/>
          <w:numId w:val="5"/>
        </w:numPr>
        <w:rPr>
          <w:rtl/>
        </w:rPr>
      </w:pPr>
      <w:bookmarkStart w:id="6810" w:name="_Ref528000124"/>
      <w:r>
        <w:rPr>
          <w:rFonts w:hint="cs"/>
          <w:rtl/>
        </w:rPr>
        <w:t>עוד הקשו</w:t>
      </w:r>
      <w:r>
        <w:rPr>
          <w:rStyle w:val="af9"/>
          <w:rtl/>
        </w:rPr>
        <w:t xml:space="preserve"> התוס'</w:t>
      </w:r>
      <w:r>
        <w:rPr>
          <w:rFonts w:hint="cs"/>
          <w:rtl/>
        </w:rPr>
        <w:t xml:space="preserve"> </w:t>
      </w:r>
      <w:r w:rsidRPr="00223668">
        <w:rPr>
          <w:rStyle w:val="af7"/>
          <w:rFonts w:eastAsia="Guttman Hodes" w:hint="cs"/>
          <w:rtl/>
        </w:rPr>
        <w:t>(ד"ה ודילמא)</w:t>
      </w:r>
      <w:r>
        <w:rPr>
          <w:rFonts w:hint="cs"/>
          <w:rtl/>
        </w:rPr>
        <w:t xml:space="preserve"> האיך ילפינן מבית המנוגע, הא כל מה שאפשר להוכיח מבית המנוגע, הוא במקום שאין ריעותא בחזקה, אבל במקום שיש ריעותא, כסכין שנמצא פגום, מנלן דמעמידים על החזקה, ועי' במה שביארו </w:t>
      </w:r>
      <w:r w:rsidRPr="00917D2E">
        <w:rPr>
          <w:rStyle w:val="af9"/>
          <w:rFonts w:hint="cs"/>
          <w:rtl/>
        </w:rPr>
        <w:t>המהרש"א</w:t>
      </w:r>
      <w:r>
        <w:rPr>
          <w:rFonts w:hint="cs"/>
          <w:rtl/>
        </w:rPr>
        <w:t xml:space="preserve"> </w:t>
      </w:r>
      <w:r w:rsidRPr="00223668">
        <w:rPr>
          <w:rStyle w:val="af7"/>
          <w:rFonts w:eastAsia="Guttman Hodes" w:hint="cs"/>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Ref524897311 \r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לו)</w:t>
      </w:r>
      <w:r w:rsidRPr="00223668">
        <w:rPr>
          <w:rStyle w:val="af7"/>
          <w:rFonts w:eastAsia="Guttman Hodes"/>
          <w:rtl/>
        </w:rPr>
        <w:fldChar w:fldCharType="end"/>
      </w:r>
      <w:r>
        <w:rPr>
          <w:rFonts w:hint="cs"/>
          <w:rtl/>
        </w:rPr>
        <w:t xml:space="preserve"> </w:t>
      </w:r>
      <w:r w:rsidRPr="00917D2E">
        <w:rPr>
          <w:rStyle w:val="af9"/>
          <w:rFonts w:hint="cs"/>
          <w:rtl/>
        </w:rPr>
        <w:t>והמהר"ם</w:t>
      </w:r>
      <w:r>
        <w:rPr>
          <w:rFonts w:hint="cs"/>
          <w:rtl/>
        </w:rPr>
        <w:t xml:space="preserve"> </w:t>
      </w:r>
      <w:r w:rsidRPr="00223668">
        <w:rPr>
          <w:rStyle w:val="af7"/>
          <w:rFonts w:eastAsia="Guttman Hodes" w:hint="cs"/>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Ref524897317 \r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לח)</w:t>
      </w:r>
      <w:r w:rsidRPr="00223668">
        <w:rPr>
          <w:rStyle w:val="af7"/>
          <w:rFonts w:eastAsia="Guttman Hodes"/>
          <w:rtl/>
        </w:rPr>
        <w:fldChar w:fldCharType="end"/>
      </w:r>
      <w:r>
        <w:rPr>
          <w:rFonts w:hint="cs"/>
          <w:rtl/>
        </w:rPr>
        <w:t xml:space="preserve"> את קושית </w:t>
      </w:r>
      <w:r w:rsidRPr="00917D2E">
        <w:rPr>
          <w:rStyle w:val="af9"/>
          <w:rFonts w:hint="cs"/>
          <w:rtl/>
        </w:rPr>
        <w:t>התוס'</w:t>
      </w:r>
      <w:r>
        <w:rPr>
          <w:rFonts w:hint="cs"/>
          <w:rtl/>
        </w:rPr>
        <w:t xml:space="preserve"> מסכין, ועי' במ"ש </w:t>
      </w:r>
      <w:r w:rsidRPr="003E47BE">
        <w:rPr>
          <w:rStyle w:val="af9"/>
          <w:rtl/>
        </w:rPr>
        <w:t>האבהא"ז</w:t>
      </w:r>
      <w:r>
        <w:rPr>
          <w:rtl/>
        </w:rPr>
        <w:t xml:space="preserve"> </w:t>
      </w:r>
      <w:r w:rsidRPr="00223668">
        <w:rPr>
          <w:rStyle w:val="af7"/>
          <w:rFonts w:eastAsia="Guttman Hodes"/>
          <w:rtl/>
        </w:rPr>
        <w:t xml:space="preserve">(אישות י' ט"ו ד"ה </w:t>
      </w:r>
      <w:r w:rsidRPr="00223668">
        <w:rPr>
          <w:rStyle w:val="af7"/>
          <w:rFonts w:eastAsia="Guttman Hodes" w:hint="cs"/>
          <w:rtl/>
        </w:rPr>
        <w:t>ונראה דהנה התוס'</w:t>
      </w:r>
      <w:r w:rsidRPr="00223668">
        <w:rPr>
          <w:rStyle w:val="af7"/>
          <w:rFonts w:eastAsia="Guttman Hodes"/>
          <w:rtl/>
        </w:rPr>
        <w:t>)</w:t>
      </w:r>
      <w:r>
        <w:rPr>
          <w:rFonts w:hint="cs"/>
          <w:rtl/>
        </w:rPr>
        <w:t xml:space="preserve"> בביאור דברי </w:t>
      </w:r>
      <w:r w:rsidRPr="003E47BE">
        <w:rPr>
          <w:rStyle w:val="af9"/>
          <w:rFonts w:hint="cs"/>
          <w:rtl/>
        </w:rPr>
        <w:t>התוס'</w:t>
      </w:r>
      <w:r>
        <w:rPr>
          <w:rFonts w:hint="cs"/>
          <w:rtl/>
        </w:rPr>
        <w:t>.</w:t>
      </w:r>
      <w:bookmarkEnd w:id="6810"/>
    </w:p>
    <w:p w14:paraId="3B17122A" w14:textId="77777777" w:rsidR="00FF5773" w:rsidRPr="00F33CB6" w:rsidRDefault="00FF5773" w:rsidP="006D6D32">
      <w:pPr>
        <w:pStyle w:val="a3"/>
      </w:pPr>
      <w:bookmarkStart w:id="6811" w:name="_Toc527912556"/>
      <w:bookmarkStart w:id="6812" w:name="_Toc527924488"/>
      <w:bookmarkStart w:id="6813" w:name="_Toc527928707"/>
      <w:bookmarkStart w:id="6814" w:name="_Toc527999483"/>
      <w:bookmarkStart w:id="6815" w:name="_Toc19389836"/>
      <w:bookmarkStart w:id="6816" w:name="_Toc19393333"/>
      <w:r>
        <w:rPr>
          <w:rFonts w:hint="cs"/>
          <w:rtl/>
        </w:rPr>
        <w:t>קושית התוס' והתוס' הרא"ש מנלן דמעמידים על החזקה בשני שבילין דאחד מהם ודאי טמא</w:t>
      </w:r>
      <w:bookmarkEnd w:id="6811"/>
      <w:bookmarkEnd w:id="6812"/>
      <w:bookmarkEnd w:id="6813"/>
      <w:bookmarkEnd w:id="6814"/>
      <w:bookmarkEnd w:id="6815"/>
      <w:bookmarkEnd w:id="6816"/>
    </w:p>
    <w:p w14:paraId="7F20B251" w14:textId="77777777" w:rsidR="00FF5773" w:rsidRDefault="00FF5773" w:rsidP="00E12979">
      <w:pPr>
        <w:pStyle w:val="a0"/>
        <w:numPr>
          <w:ilvl w:val="0"/>
          <w:numId w:val="5"/>
        </w:numPr>
        <w:rPr>
          <w:rtl/>
        </w:rPr>
      </w:pPr>
      <w:bookmarkStart w:id="6817" w:name="_Ref528000175"/>
      <w:bookmarkStart w:id="6818" w:name="_Ref527907735"/>
      <w:r>
        <w:rPr>
          <w:rFonts w:hint="cs"/>
          <w:rtl/>
        </w:rPr>
        <w:t xml:space="preserve">ועוד הקשו </w:t>
      </w:r>
      <w:r w:rsidRPr="00E52022">
        <w:rPr>
          <w:rStyle w:val="af9"/>
          <w:rFonts w:hint="cs"/>
          <w:rtl/>
        </w:rPr>
        <w:t>התוס'</w:t>
      </w:r>
      <w:r>
        <w:rPr>
          <w:rStyle w:val="af9"/>
          <w:rFonts w:hint="cs"/>
          <w:rtl/>
        </w:rPr>
        <w:t xml:space="preserve"> </w:t>
      </w:r>
      <w:r>
        <w:rPr>
          <w:rFonts w:hint="cs"/>
          <w:rtl/>
        </w:rPr>
        <w:t xml:space="preserve">דהיאך ילפינן מבית המנוגע, לדין שנים שנטמא אחד מהם ברה"ר דמעמידים את כ"א על חזקתו דהוא טהור, אף שאחד מהם ודאי טמא. וכתב </w:t>
      </w:r>
      <w:r>
        <w:rPr>
          <w:rStyle w:val="af9"/>
          <w:rFonts w:hint="cs"/>
          <w:rtl/>
        </w:rPr>
        <w:t>התוס' הרא"ש</w:t>
      </w:r>
      <w:r w:rsidRPr="00E52022">
        <w:rPr>
          <w:rStyle w:val="af9"/>
          <w:rFonts w:hint="cs"/>
          <w:rtl/>
        </w:rPr>
        <w:t xml:space="preserve"> </w:t>
      </w:r>
      <w:r>
        <w:rPr>
          <w:rFonts w:hint="cs"/>
          <w:rtl/>
        </w:rPr>
        <w:t xml:space="preserve">דהקושיה היא מדין שנים שהלכו בשני שבילין </w:t>
      </w:r>
      <w:r w:rsidRPr="00223668">
        <w:rPr>
          <w:rStyle w:val="af7"/>
          <w:rFonts w:eastAsia="Guttman Hodes" w:hint="cs"/>
          <w:rtl/>
        </w:rPr>
        <w:t>(שבועות יט:)</w:t>
      </w:r>
      <w:r>
        <w:rPr>
          <w:rFonts w:hint="cs"/>
          <w:rtl/>
        </w:rPr>
        <w:t xml:space="preserve"> ואחד מהם ודאי נטמא, דהוי ספק טומאה ברה"ר, ומעמידים כ"א על חזקתו, והוסיף</w:t>
      </w:r>
      <w:r>
        <w:rPr>
          <w:rStyle w:val="af9"/>
          <w:rFonts w:hint="cs"/>
          <w:rtl/>
        </w:rPr>
        <w:t xml:space="preserve"> התוס' הרא"ש</w:t>
      </w:r>
      <w:r w:rsidRPr="00E52022">
        <w:rPr>
          <w:rStyle w:val="af9"/>
          <w:rFonts w:hint="cs"/>
          <w:rtl/>
        </w:rPr>
        <w:t xml:space="preserve"> </w:t>
      </w:r>
      <w:r>
        <w:rPr>
          <w:rFonts w:hint="cs"/>
          <w:rtl/>
        </w:rPr>
        <w:t xml:space="preserve">דכן קשה משני נזירין </w:t>
      </w:r>
      <w:r w:rsidRPr="00223668">
        <w:rPr>
          <w:rStyle w:val="af7"/>
          <w:rFonts w:eastAsia="Guttman Hodes" w:hint="cs"/>
          <w:rtl/>
        </w:rPr>
        <w:t xml:space="preserve">(נזיר נז.) </w:t>
      </w:r>
      <w:r>
        <w:rPr>
          <w:rFonts w:hint="cs"/>
          <w:rtl/>
        </w:rPr>
        <w:t>שנזרקה טומאה ביניהם, דאם הם שלושה הם טהורים מדין ספק טומאה ברשות הרבים, אף שאחד מהם ודאי טמא.</w:t>
      </w:r>
      <w:bookmarkEnd w:id="6817"/>
    </w:p>
    <w:p w14:paraId="2465BE32" w14:textId="77777777" w:rsidR="005F130E" w:rsidRPr="005F130E" w:rsidRDefault="005F130E" w:rsidP="005F130E">
      <w:pPr>
        <w:pStyle w:val="a3"/>
        <w:rPr>
          <w:rtl/>
        </w:rPr>
      </w:pPr>
    </w:p>
    <w:p w14:paraId="6E3E45E0" w14:textId="77777777" w:rsidR="00FF5773" w:rsidRPr="00557CE7" w:rsidRDefault="00FF5773" w:rsidP="006D6D32">
      <w:pPr>
        <w:pStyle w:val="a3"/>
      </w:pPr>
      <w:bookmarkStart w:id="6819" w:name="_Toc527912557"/>
      <w:bookmarkStart w:id="6820" w:name="_Toc527924489"/>
      <w:bookmarkStart w:id="6821" w:name="_Toc527928708"/>
      <w:bookmarkStart w:id="6822" w:name="_Toc527999484"/>
      <w:bookmarkStart w:id="6823" w:name="_Toc19389837"/>
      <w:bookmarkStart w:id="6824" w:name="_Toc19393334"/>
      <w:r>
        <w:rPr>
          <w:rFonts w:hint="cs"/>
          <w:rtl/>
        </w:rPr>
        <w:t>ביאור המהר"ם דבשנים שנטמאו מעמידים כ"א בחזקתו אף שיש ריעותא דשרץ לפניך</w:t>
      </w:r>
      <w:bookmarkEnd w:id="6819"/>
      <w:bookmarkEnd w:id="6820"/>
      <w:bookmarkEnd w:id="6821"/>
      <w:bookmarkEnd w:id="6822"/>
      <w:bookmarkEnd w:id="6823"/>
      <w:bookmarkEnd w:id="6824"/>
    </w:p>
    <w:p w14:paraId="660B87AD" w14:textId="77777777" w:rsidR="00FF5773" w:rsidRDefault="00FF5773" w:rsidP="00E12979">
      <w:pPr>
        <w:pStyle w:val="a0"/>
        <w:numPr>
          <w:ilvl w:val="0"/>
          <w:numId w:val="5"/>
        </w:numPr>
        <w:rPr>
          <w:rtl/>
        </w:rPr>
      </w:pPr>
      <w:bookmarkStart w:id="6825" w:name="_Ref527907979"/>
      <w:r>
        <w:rPr>
          <w:rFonts w:hint="cs"/>
          <w:rtl/>
        </w:rPr>
        <w:t xml:space="preserve">וביאר </w:t>
      </w:r>
      <w:r w:rsidRPr="00A201F5">
        <w:rPr>
          <w:rStyle w:val="af9"/>
          <w:rFonts w:hint="cs"/>
          <w:rtl/>
        </w:rPr>
        <w:t>המהר"ם</w:t>
      </w:r>
      <w:r>
        <w:rPr>
          <w:rFonts w:hint="cs"/>
          <w:rtl/>
        </w:rPr>
        <w:t xml:space="preserve"> </w:t>
      </w:r>
      <w:r w:rsidRPr="00223668">
        <w:rPr>
          <w:rStyle w:val="af7"/>
          <w:rFonts w:eastAsia="Guttman Hodes" w:hint="cs"/>
          <w:rtl/>
        </w:rPr>
        <w:t>(על תוד"ה ודילמא בסו"ד)</w:t>
      </w:r>
      <w:r>
        <w:rPr>
          <w:rFonts w:hint="cs"/>
          <w:rtl/>
        </w:rPr>
        <w:t xml:space="preserve"> דכוונת </w:t>
      </w:r>
      <w:r w:rsidRPr="00557CE7">
        <w:rPr>
          <w:rStyle w:val="af9"/>
          <w:rFonts w:hint="cs"/>
          <w:rtl/>
        </w:rPr>
        <w:t>התוס'</w:t>
      </w:r>
      <w:r>
        <w:rPr>
          <w:rFonts w:hint="cs"/>
          <w:rtl/>
        </w:rPr>
        <w:t xml:space="preserve"> להקשות היאך ב</w:t>
      </w:r>
      <w:r>
        <w:rPr>
          <w:rtl/>
        </w:rPr>
        <w:t xml:space="preserve">שנים שנטמאו </w:t>
      </w:r>
      <w:r>
        <w:rPr>
          <w:rFonts w:hint="cs"/>
          <w:rtl/>
        </w:rPr>
        <w:t>מעמידים כ"א בחזקת טהור, ושניהם טהורים, אף שיש ריעותא דשרץ לפניך ויש אחד שהוא ודאי טמא</w:t>
      </w:r>
      <w:bookmarkEnd w:id="6825"/>
      <w:r>
        <w:rPr>
          <w:rFonts w:hint="cs"/>
          <w:rtl/>
        </w:rPr>
        <w:t xml:space="preserve">, ועי' </w:t>
      </w:r>
      <w:r w:rsidRPr="004F1CC4">
        <w:rPr>
          <w:rStyle w:val="af9"/>
          <w:rFonts w:hint="cs"/>
          <w:rtl/>
        </w:rPr>
        <w:t>בתפארת יעקב</w:t>
      </w:r>
      <w:r>
        <w:rPr>
          <w:rFonts w:hint="cs"/>
          <w:rtl/>
        </w:rPr>
        <w:t xml:space="preserve"> </w:t>
      </w:r>
      <w:r w:rsidRPr="00223668">
        <w:rPr>
          <w:rStyle w:val="af7"/>
          <w:rFonts w:eastAsia="Guttman Hodes" w:hint="cs"/>
          <w:rtl/>
        </w:rPr>
        <w:t xml:space="preserve">(על תוד"ה ודילמא) </w:t>
      </w:r>
      <w:r>
        <w:rPr>
          <w:rFonts w:hint="cs"/>
          <w:rtl/>
        </w:rPr>
        <w:t>במה שהאריך בזה.</w:t>
      </w:r>
    </w:p>
    <w:p w14:paraId="6360E7DD" w14:textId="77777777" w:rsidR="00FF5773" w:rsidRPr="00C20D33" w:rsidRDefault="00FF5773" w:rsidP="006D6D32">
      <w:pPr>
        <w:pStyle w:val="a3"/>
      </w:pPr>
      <w:bookmarkStart w:id="6826" w:name="_Toc527912558"/>
      <w:bookmarkStart w:id="6827" w:name="_Toc527924490"/>
      <w:bookmarkStart w:id="6828" w:name="_Toc527928709"/>
      <w:bookmarkStart w:id="6829" w:name="_Toc527999485"/>
      <w:bookmarkStart w:id="6830" w:name="_Toc19389838"/>
      <w:bookmarkStart w:id="6831" w:name="_Toc19393335"/>
      <w:r>
        <w:rPr>
          <w:rFonts w:hint="cs"/>
          <w:rtl/>
        </w:rPr>
        <w:t>ביאור החמדת שלמה דקושית התוס' מנלן דמעמידים על החזקה בתרתי דסתרי</w:t>
      </w:r>
      <w:bookmarkEnd w:id="6826"/>
      <w:bookmarkEnd w:id="6827"/>
      <w:bookmarkEnd w:id="6828"/>
      <w:bookmarkEnd w:id="6829"/>
      <w:bookmarkEnd w:id="6830"/>
      <w:bookmarkEnd w:id="6831"/>
    </w:p>
    <w:p w14:paraId="17ABF855" w14:textId="77777777" w:rsidR="00FF5773" w:rsidRDefault="00FF5773" w:rsidP="00E12979">
      <w:pPr>
        <w:pStyle w:val="a0"/>
        <w:numPr>
          <w:ilvl w:val="0"/>
          <w:numId w:val="5"/>
        </w:numPr>
        <w:rPr>
          <w:rtl/>
        </w:rPr>
      </w:pPr>
      <w:r>
        <w:rPr>
          <w:rStyle w:val="af9"/>
          <w:rFonts w:hint="cs"/>
          <w:rtl/>
        </w:rPr>
        <w:t>ו</w:t>
      </w:r>
      <w:r w:rsidRPr="00BE5788">
        <w:rPr>
          <w:rStyle w:val="af9"/>
          <w:rFonts w:hint="cs"/>
          <w:rtl/>
        </w:rPr>
        <w:t>החמדת שלמה</w:t>
      </w:r>
      <w:r>
        <w:rPr>
          <w:rFonts w:hint="cs"/>
          <w:rtl/>
        </w:rPr>
        <w:t xml:space="preserve"> </w:t>
      </w:r>
      <w:r w:rsidRPr="00223668">
        <w:rPr>
          <w:rStyle w:val="af7"/>
          <w:rFonts w:eastAsia="Guttman Hodes" w:hint="cs"/>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Ref527490802 \r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מ)</w:t>
      </w:r>
      <w:r w:rsidRPr="00223668">
        <w:rPr>
          <w:rStyle w:val="af7"/>
          <w:rFonts w:eastAsia="Guttman Hodes"/>
          <w:rtl/>
        </w:rPr>
        <w:fldChar w:fldCharType="end"/>
      </w:r>
      <w:r>
        <w:rPr>
          <w:rFonts w:hint="cs"/>
          <w:rtl/>
        </w:rPr>
        <w:t xml:space="preserve"> ביאר דכוונת </w:t>
      </w:r>
      <w:r w:rsidRPr="00E76DB6">
        <w:rPr>
          <w:rStyle w:val="af9"/>
          <w:rFonts w:hint="cs"/>
          <w:rtl/>
        </w:rPr>
        <w:t xml:space="preserve">התוס' </w:t>
      </w:r>
      <w:r>
        <w:rPr>
          <w:rFonts w:hint="cs"/>
          <w:rtl/>
        </w:rPr>
        <w:t>להקשות דמנלן דאזלינן בתר חזקה אף בתרתי דסתרי, כגון בשני שבילין והיאך ילפינן לה מבית המנוגע,  עי' בדבריו.</w:t>
      </w:r>
      <w:bookmarkEnd w:id="6818"/>
    </w:p>
    <w:p w14:paraId="3B628FB3" w14:textId="77777777" w:rsidR="00FF5773" w:rsidRDefault="00FF5773" w:rsidP="00BF39B2">
      <w:pPr>
        <w:pStyle w:val="1"/>
        <w:rPr>
          <w:rtl/>
        </w:rPr>
      </w:pPr>
      <w:bookmarkStart w:id="6832" w:name="_Toc527912559"/>
      <w:bookmarkStart w:id="6833" w:name="_Toc527924491"/>
      <w:bookmarkStart w:id="6834" w:name="_Toc527928710"/>
      <w:bookmarkStart w:id="6835" w:name="_Toc527999486"/>
      <w:bookmarkStart w:id="6836" w:name="_Toc19389839"/>
      <w:bookmarkStart w:id="6837" w:name="_Toc19393336"/>
      <w:r>
        <w:rPr>
          <w:rFonts w:hint="cs"/>
          <w:rtl/>
        </w:rPr>
        <w:t>תירוץ התוס' דבבית המנוגע יש ריעותא בחזקה</w:t>
      </w:r>
      <w:bookmarkEnd w:id="6832"/>
      <w:bookmarkEnd w:id="6833"/>
      <w:bookmarkEnd w:id="6834"/>
      <w:bookmarkEnd w:id="6835"/>
      <w:bookmarkEnd w:id="6836"/>
      <w:bookmarkEnd w:id="6837"/>
    </w:p>
    <w:p w14:paraId="4F2F900E" w14:textId="77777777" w:rsidR="00FF5773" w:rsidRDefault="00FF5773" w:rsidP="006D6D32">
      <w:pPr>
        <w:pStyle w:val="a3"/>
        <w:rPr>
          <w:rtl/>
        </w:rPr>
      </w:pPr>
      <w:bookmarkStart w:id="6838" w:name="_Toc527912560"/>
      <w:bookmarkStart w:id="6839" w:name="_Toc527924492"/>
      <w:bookmarkStart w:id="6840" w:name="_Toc527928711"/>
      <w:bookmarkStart w:id="6841" w:name="_Toc527999487"/>
      <w:bookmarkStart w:id="6842" w:name="_Toc19389840"/>
      <w:bookmarkStart w:id="6843" w:name="_Toc19393337"/>
      <w:r>
        <w:rPr>
          <w:rFonts w:hint="cs"/>
          <w:rtl/>
        </w:rPr>
        <w:t>תירוץ התוס' דאף בבית המנוגע יש ריעותא בחזקה דהא נמצא הנגע חסר</w:t>
      </w:r>
      <w:bookmarkEnd w:id="6838"/>
      <w:bookmarkEnd w:id="6839"/>
      <w:bookmarkEnd w:id="6840"/>
      <w:bookmarkEnd w:id="6841"/>
      <w:bookmarkEnd w:id="6842"/>
      <w:bookmarkEnd w:id="6843"/>
    </w:p>
    <w:p w14:paraId="6EB6549B" w14:textId="77777777" w:rsidR="00FF5773" w:rsidRDefault="00FF5773" w:rsidP="00223668">
      <w:pPr>
        <w:pStyle w:val="a0"/>
        <w:rPr>
          <w:rtl/>
        </w:rPr>
      </w:pPr>
      <w:bookmarkStart w:id="6844" w:name="_Ref527490767"/>
      <w:bookmarkStart w:id="6845" w:name="_Ref528000231"/>
      <w:r>
        <w:rPr>
          <w:rFonts w:hint="cs"/>
          <w:rtl/>
        </w:rPr>
        <w:t>ותירצו</w:t>
      </w:r>
      <w:r>
        <w:rPr>
          <w:rStyle w:val="af9"/>
          <w:rtl/>
        </w:rPr>
        <w:t xml:space="preserve"> התוס' </w:t>
      </w:r>
      <w:r>
        <w:rPr>
          <w:rFonts w:hint="cs"/>
          <w:rtl/>
        </w:rPr>
        <w:t xml:space="preserve">דאף בבית המנוגע יש ריעותא גדולה בחזקה, דהא נמצא חסר לאחר השבוע, ואפ"ה לא אמרינן דמי שנכנס לבית בימי הסגרו הוא טהור למפרע, אלא מעמידים על החזקה והוא טמא, ואם נכנס לעזרה חייב קרבן, וכ"כ </w:t>
      </w:r>
      <w:r>
        <w:rPr>
          <w:rStyle w:val="af9"/>
          <w:rtl/>
        </w:rPr>
        <w:t xml:space="preserve">התוס' בנדה </w:t>
      </w:r>
      <w:r>
        <w:rPr>
          <w:rStyle w:val="af7"/>
          <w:rFonts w:eastAsia="Guttman Hodes" w:hint="cs"/>
          <w:rtl/>
        </w:rPr>
        <w:t>(ב: ד"ה התם</w:t>
      </w:r>
      <w:bookmarkEnd w:id="6844"/>
      <w:r>
        <w:rPr>
          <w:rStyle w:val="af7"/>
          <w:rFonts w:eastAsia="Guttman Hodes" w:hint="cs"/>
          <w:rtl/>
        </w:rPr>
        <w:t>)</w:t>
      </w:r>
      <w:r>
        <w:rPr>
          <w:rFonts w:hint="cs"/>
          <w:rtl/>
        </w:rPr>
        <w:t xml:space="preserve">, ועי' בדברי </w:t>
      </w:r>
      <w:r w:rsidRPr="0065416C">
        <w:rPr>
          <w:rStyle w:val="af9"/>
          <w:rFonts w:hint="cs"/>
          <w:rtl/>
        </w:rPr>
        <w:t>השער המלך</w:t>
      </w:r>
      <w:r>
        <w:rPr>
          <w:rFonts w:hint="cs"/>
          <w:rtl/>
        </w:rPr>
        <w:t xml:space="preserve"> </w:t>
      </w:r>
      <w:r w:rsidRPr="0065416C">
        <w:rPr>
          <w:rStyle w:val="af7"/>
          <w:rFonts w:eastAsia="Guttman Hodes" w:hint="cs"/>
          <w:rtl/>
        </w:rPr>
        <w:t xml:space="preserve">(עי' אות </w:t>
      </w:r>
      <w:r w:rsidRPr="0065416C">
        <w:rPr>
          <w:rStyle w:val="af7"/>
          <w:rFonts w:eastAsia="Guttman Hodes"/>
          <w:rtl/>
        </w:rPr>
        <w:fldChar w:fldCharType="begin"/>
      </w:r>
      <w:r w:rsidRPr="0065416C">
        <w:rPr>
          <w:rStyle w:val="af7"/>
          <w:rFonts w:eastAsia="Guttman Hodes"/>
          <w:rtl/>
        </w:rPr>
        <w:instrText xml:space="preserve"> </w:instrText>
      </w:r>
      <w:r w:rsidRPr="0065416C">
        <w:rPr>
          <w:rStyle w:val="af7"/>
          <w:rFonts w:eastAsia="Guttman Hodes" w:hint="cs"/>
        </w:rPr>
        <w:instrText>REF</w:instrText>
      </w:r>
      <w:r w:rsidRPr="0065416C">
        <w:rPr>
          <w:rStyle w:val="af7"/>
          <w:rFonts w:eastAsia="Guttman Hodes" w:hint="cs"/>
          <w:rtl/>
        </w:rPr>
        <w:instrText xml:space="preserve"> _</w:instrText>
      </w:r>
      <w:r w:rsidRPr="0065416C">
        <w:rPr>
          <w:rStyle w:val="af7"/>
          <w:rFonts w:eastAsia="Guttman Hodes" w:hint="cs"/>
        </w:rPr>
        <w:instrText>Ref527904308 \r \h</w:instrText>
      </w:r>
      <w:r w:rsidRPr="0065416C">
        <w:rPr>
          <w:rStyle w:val="af7"/>
          <w:rFonts w:eastAsia="Guttman Hodes"/>
          <w:rtl/>
        </w:rPr>
        <w:instrText xml:space="preserve"> </w:instrText>
      </w:r>
      <w:r w:rsidRPr="0065416C">
        <w:rPr>
          <w:rStyle w:val="af7"/>
          <w:rFonts w:eastAsia="Guttman Hodes"/>
          <w:rtl/>
        </w:rPr>
      </w:r>
      <w:r w:rsidRPr="0065416C">
        <w:rPr>
          <w:rStyle w:val="af7"/>
          <w:rFonts w:eastAsia="Guttman Hodes"/>
          <w:rtl/>
        </w:rPr>
        <w:fldChar w:fldCharType="separate"/>
      </w:r>
      <w:r w:rsidR="00345400">
        <w:rPr>
          <w:rStyle w:val="af7"/>
          <w:rFonts w:eastAsia="Guttman Hodes"/>
          <w:cs/>
        </w:rPr>
        <w:t>‎</w:t>
      </w:r>
      <w:r w:rsidR="00345400">
        <w:rPr>
          <w:rStyle w:val="af7"/>
          <w:rFonts w:eastAsia="Guttman Hodes"/>
          <w:rtl/>
        </w:rPr>
        <w:t>נ)</w:t>
      </w:r>
      <w:r w:rsidRPr="0065416C">
        <w:rPr>
          <w:rStyle w:val="af7"/>
          <w:rFonts w:eastAsia="Guttman Hodes"/>
          <w:rtl/>
        </w:rPr>
        <w:fldChar w:fldCharType="end"/>
      </w:r>
      <w:r>
        <w:rPr>
          <w:rFonts w:hint="cs"/>
          <w:rtl/>
        </w:rPr>
        <w:t xml:space="preserve"> שהביא את פלוגתת </w:t>
      </w:r>
      <w:r w:rsidRPr="0065416C">
        <w:rPr>
          <w:rStyle w:val="af9"/>
          <w:rFonts w:hint="cs"/>
          <w:rtl/>
        </w:rPr>
        <w:t>הראשונים</w:t>
      </w:r>
      <w:r>
        <w:rPr>
          <w:rFonts w:hint="cs"/>
          <w:rtl/>
        </w:rPr>
        <w:t xml:space="preserve"> בדין חזקה שיש בה ריעותא, וע"ע במ"ש </w:t>
      </w:r>
      <w:r w:rsidRPr="00731B8D">
        <w:rPr>
          <w:rStyle w:val="af9"/>
          <w:rFonts w:hint="cs"/>
          <w:rtl/>
        </w:rPr>
        <w:t>האבהא"ז</w:t>
      </w:r>
      <w:r>
        <w:rPr>
          <w:rFonts w:hint="cs"/>
          <w:rtl/>
        </w:rPr>
        <w:t xml:space="preserve"> </w:t>
      </w:r>
      <w:r w:rsidRPr="00731B8D">
        <w:rPr>
          <w:rStyle w:val="af7"/>
          <w:rFonts w:eastAsia="Guttman Hodes" w:hint="cs"/>
          <w:rtl/>
        </w:rPr>
        <w:t>(אישות י' ט"ו ד"ה והנה במה שהבאנו)</w:t>
      </w:r>
      <w:r>
        <w:rPr>
          <w:rFonts w:hint="cs"/>
          <w:rtl/>
        </w:rPr>
        <w:t xml:space="preserve"> בביאור דברי </w:t>
      </w:r>
      <w:r w:rsidRPr="00731B8D">
        <w:rPr>
          <w:rStyle w:val="af9"/>
          <w:rFonts w:hint="cs"/>
          <w:rtl/>
        </w:rPr>
        <w:t>התוס'</w:t>
      </w:r>
      <w:r>
        <w:rPr>
          <w:rFonts w:hint="cs"/>
          <w:rtl/>
        </w:rPr>
        <w:t>.</w:t>
      </w:r>
      <w:bookmarkEnd w:id="6845"/>
    </w:p>
    <w:p w14:paraId="63D8B13F" w14:textId="77777777" w:rsidR="00FF5773" w:rsidRPr="00880A57" w:rsidRDefault="00FF5773" w:rsidP="006D6D32">
      <w:pPr>
        <w:pStyle w:val="a3"/>
      </w:pPr>
      <w:bookmarkStart w:id="6846" w:name="_Toc527912561"/>
      <w:bookmarkStart w:id="6847" w:name="_Toc527924493"/>
      <w:bookmarkStart w:id="6848" w:name="_Toc527928712"/>
      <w:bookmarkStart w:id="6849" w:name="_Toc527999488"/>
      <w:bookmarkStart w:id="6850" w:name="_Toc19389841"/>
      <w:bookmarkStart w:id="6851" w:name="_Toc19393338"/>
      <w:r>
        <w:rPr>
          <w:rFonts w:hint="cs"/>
          <w:rtl/>
        </w:rPr>
        <w:t>תירוץ השיטמ"ק דכיון דמדאו' אף לקולא מעמידים על החזקה ה"ה כשיש ריעותא</w:t>
      </w:r>
      <w:bookmarkEnd w:id="6846"/>
      <w:bookmarkEnd w:id="6847"/>
      <w:bookmarkEnd w:id="6848"/>
      <w:bookmarkEnd w:id="6849"/>
      <w:bookmarkEnd w:id="6850"/>
      <w:bookmarkEnd w:id="6851"/>
    </w:p>
    <w:p w14:paraId="0B14B04E" w14:textId="77777777" w:rsidR="00FF5773" w:rsidRPr="00880A57" w:rsidRDefault="00FF5773" w:rsidP="00E12979">
      <w:pPr>
        <w:pStyle w:val="a0"/>
        <w:numPr>
          <w:ilvl w:val="0"/>
          <w:numId w:val="5"/>
        </w:numPr>
        <w:rPr>
          <w:rtl/>
        </w:rPr>
      </w:pPr>
      <w:r>
        <w:rPr>
          <w:rFonts w:hint="cs"/>
          <w:rtl/>
        </w:rPr>
        <w:t xml:space="preserve"> </w:t>
      </w:r>
      <w:r w:rsidRPr="0067796B">
        <w:rPr>
          <w:rStyle w:val="af9"/>
          <w:rFonts w:hint="cs"/>
          <w:rtl/>
        </w:rPr>
        <w:t>ובשיטמ"ק</w:t>
      </w:r>
      <w:r w:rsidRPr="00880A57">
        <w:rPr>
          <w:rFonts w:hint="cs"/>
          <w:rtl/>
        </w:rPr>
        <w:t xml:space="preserve"> </w:t>
      </w:r>
      <w:r w:rsidRPr="00223668">
        <w:rPr>
          <w:rStyle w:val="af7"/>
          <w:rFonts w:eastAsia="Guttman Hodes" w:hint="cs"/>
          <w:rtl/>
        </w:rPr>
        <w:t>(ד"ה וא"ת תינח)</w:t>
      </w:r>
      <w:r w:rsidRPr="00880A57">
        <w:rPr>
          <w:rFonts w:hint="cs"/>
          <w:rtl/>
        </w:rPr>
        <w:t xml:space="preserve"> תירץ</w:t>
      </w:r>
      <w:r>
        <w:rPr>
          <w:rFonts w:hint="cs"/>
          <w:rtl/>
        </w:rPr>
        <w:t xml:space="preserve"> דכיון דמדאו' מעמידים על החזקה בין לחומרא ובין לקולא, א"כ אף כשיש ריעותא בחזקה מעמידים על החזקה, דכיון דילפינן מקרא דאזלינן בתר חזקה אף לקולא, א"צ פסוק לכל פרטי החזקות.</w:t>
      </w:r>
    </w:p>
    <w:p w14:paraId="33BC61D3" w14:textId="77777777" w:rsidR="00FF5773" w:rsidRDefault="00FF5773" w:rsidP="00BF39B2">
      <w:pPr>
        <w:pStyle w:val="1"/>
        <w:rPr>
          <w:rtl/>
        </w:rPr>
      </w:pPr>
      <w:bookmarkStart w:id="6852" w:name="_Toc527912562"/>
      <w:bookmarkStart w:id="6853" w:name="_Toc527924494"/>
      <w:bookmarkStart w:id="6854" w:name="_Toc527928713"/>
      <w:bookmarkStart w:id="6855" w:name="_Toc527999489"/>
      <w:bookmarkStart w:id="6856" w:name="_Toc19389842"/>
      <w:bookmarkStart w:id="6857" w:name="_Toc19393339"/>
      <w:r>
        <w:rPr>
          <w:rFonts w:hint="cs"/>
          <w:rtl/>
        </w:rPr>
        <w:t>ביאורי האחרונים בקושית התוס' מסכין</w:t>
      </w:r>
      <w:bookmarkEnd w:id="6852"/>
      <w:bookmarkEnd w:id="6853"/>
      <w:bookmarkEnd w:id="6854"/>
      <w:bookmarkEnd w:id="6855"/>
      <w:bookmarkEnd w:id="6856"/>
      <w:bookmarkEnd w:id="6857"/>
    </w:p>
    <w:p w14:paraId="5D01AC0D" w14:textId="77777777" w:rsidR="00FF5773" w:rsidRDefault="00FF5773" w:rsidP="006D6D32">
      <w:pPr>
        <w:pStyle w:val="a3"/>
        <w:rPr>
          <w:rtl/>
        </w:rPr>
      </w:pPr>
      <w:bookmarkStart w:id="6858" w:name="_Toc527912563"/>
      <w:bookmarkStart w:id="6859" w:name="_Toc527924495"/>
      <w:bookmarkStart w:id="6860" w:name="_Toc527928714"/>
      <w:bookmarkStart w:id="6861" w:name="_Toc527999490"/>
      <w:bookmarkStart w:id="6862" w:name="_Toc19389843"/>
      <w:bookmarkStart w:id="6863" w:name="_Toc19393340"/>
      <w:r>
        <w:rPr>
          <w:rFonts w:hint="cs"/>
          <w:rtl/>
        </w:rPr>
        <w:t>ביאור המהרש"א דהקשו התוס' דלרב חסדא מעמידים בחזקת שחוטה אף שיש ריעותא בסכין</w:t>
      </w:r>
      <w:bookmarkEnd w:id="6858"/>
      <w:bookmarkEnd w:id="6859"/>
      <w:bookmarkEnd w:id="6860"/>
      <w:bookmarkEnd w:id="6861"/>
      <w:bookmarkEnd w:id="6862"/>
      <w:bookmarkEnd w:id="6863"/>
    </w:p>
    <w:p w14:paraId="243244BE" w14:textId="77777777" w:rsidR="00FF5773" w:rsidRDefault="00FF5773" w:rsidP="00E12979">
      <w:pPr>
        <w:pStyle w:val="a0"/>
        <w:numPr>
          <w:ilvl w:val="0"/>
          <w:numId w:val="5"/>
        </w:numPr>
        <w:rPr>
          <w:rtl/>
        </w:rPr>
      </w:pPr>
      <w:bookmarkStart w:id="6864" w:name="_Ref524897311"/>
      <w:r>
        <w:rPr>
          <w:rFonts w:hint="cs"/>
          <w:rtl/>
        </w:rPr>
        <w:t xml:space="preserve">כתב </w:t>
      </w:r>
      <w:r>
        <w:rPr>
          <w:rStyle w:val="af9"/>
          <w:rtl/>
        </w:rPr>
        <w:t>המהרש"א</w:t>
      </w:r>
      <w:r>
        <w:rPr>
          <w:rFonts w:hint="cs"/>
          <w:rtl/>
        </w:rPr>
        <w:t xml:space="preserve"> </w:t>
      </w:r>
      <w:r w:rsidRPr="00223668">
        <w:rPr>
          <w:rStyle w:val="af7"/>
          <w:rFonts w:eastAsia="Guttman Hodes" w:hint="cs"/>
          <w:rtl/>
        </w:rPr>
        <w:t>(על תוד"ה ודילמא)</w:t>
      </w:r>
      <w:r>
        <w:rPr>
          <w:rFonts w:hint="cs"/>
          <w:rtl/>
        </w:rPr>
        <w:t xml:space="preserve"> דמה שהקשו</w:t>
      </w:r>
      <w:r>
        <w:rPr>
          <w:rStyle w:val="af9"/>
          <w:rtl/>
        </w:rPr>
        <w:t xml:space="preserve"> התוס'</w:t>
      </w:r>
      <w:r>
        <w:rPr>
          <w:rFonts w:hint="cs"/>
          <w:rtl/>
        </w:rPr>
        <w:t xml:space="preserve"> </w:t>
      </w:r>
      <w:r w:rsidRPr="00223668">
        <w:rPr>
          <w:rStyle w:val="af7"/>
          <w:rFonts w:eastAsia="Guttman Hodes" w:hint="cs"/>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Ref528000124 \r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ל)</w:t>
      </w:r>
      <w:r w:rsidRPr="00223668">
        <w:rPr>
          <w:rStyle w:val="af7"/>
          <w:rFonts w:eastAsia="Guttman Hodes"/>
          <w:rtl/>
        </w:rPr>
        <w:fldChar w:fldCharType="end"/>
      </w:r>
      <w:r>
        <w:rPr>
          <w:rFonts w:hint="cs"/>
          <w:rtl/>
        </w:rPr>
        <w:t xml:space="preserve"> מדין סכין שנמצא פגום דהוא חזקה עם ריעותא, כוונתם לדעת רב חסדא דבסכין שנמצאת פגומה מעמידים את הבהמה בחזקת שחוטה, כיון דשחוטה לפניך, והבהמה לא איתרעי דהריעותא היא בסכין במה שנמצאת פגומה</w:t>
      </w:r>
      <w:bookmarkEnd w:id="6864"/>
      <w:r>
        <w:rPr>
          <w:rFonts w:hint="cs"/>
          <w:rtl/>
        </w:rPr>
        <w:t>,</w:t>
      </w:r>
      <w:r w:rsidRPr="00AF426A">
        <w:rPr>
          <w:rFonts w:hint="cs"/>
          <w:rtl/>
        </w:rPr>
        <w:t xml:space="preserve"> </w:t>
      </w:r>
      <w:r>
        <w:rPr>
          <w:rFonts w:hint="cs"/>
          <w:rtl/>
        </w:rPr>
        <w:t xml:space="preserve">וכ"כ </w:t>
      </w:r>
      <w:r w:rsidRPr="00A201F5">
        <w:rPr>
          <w:rStyle w:val="af9"/>
          <w:rFonts w:hint="cs"/>
          <w:rtl/>
        </w:rPr>
        <w:t>המהר"ם</w:t>
      </w:r>
      <w:r>
        <w:rPr>
          <w:rFonts w:hint="cs"/>
          <w:rtl/>
        </w:rPr>
        <w:t xml:space="preserve"> </w:t>
      </w:r>
      <w:r w:rsidRPr="00223668">
        <w:rPr>
          <w:rStyle w:val="af7"/>
          <w:rFonts w:eastAsia="Guttman Hodes" w:hint="cs"/>
          <w:rtl/>
        </w:rPr>
        <w:t>(על תוד"ה ודילמא)</w:t>
      </w:r>
      <w:r>
        <w:rPr>
          <w:rFonts w:hint="cs"/>
          <w:rtl/>
        </w:rPr>
        <w:t xml:space="preserve"> דמשמע דכוונת </w:t>
      </w:r>
      <w:r>
        <w:rPr>
          <w:rStyle w:val="af9"/>
          <w:rtl/>
        </w:rPr>
        <w:t>התוס'</w:t>
      </w:r>
      <w:r>
        <w:rPr>
          <w:rFonts w:hint="cs"/>
          <w:rtl/>
        </w:rPr>
        <w:t xml:space="preserve"> להקשות מדברי רב חסדא, דמכשיר אף שיש ריעותא בסכין במה שנמצאת פגומה, ואפ"ה העמיד את הבהמה בחזקת היתר.</w:t>
      </w:r>
    </w:p>
    <w:p w14:paraId="3783F495" w14:textId="77777777" w:rsidR="00FF5773" w:rsidRDefault="00FF5773" w:rsidP="006D6D32">
      <w:pPr>
        <w:pStyle w:val="a3"/>
        <w:rPr>
          <w:rtl/>
        </w:rPr>
      </w:pPr>
      <w:bookmarkStart w:id="6865" w:name="_Toc527912564"/>
      <w:bookmarkStart w:id="6866" w:name="_Toc527924496"/>
      <w:bookmarkStart w:id="6867" w:name="_Toc527928715"/>
      <w:bookmarkStart w:id="6868" w:name="_Toc527999491"/>
      <w:bookmarkStart w:id="6869" w:name="_Toc19389844"/>
      <w:bookmarkStart w:id="6870" w:name="_Toc19393341"/>
      <w:r>
        <w:rPr>
          <w:rFonts w:hint="cs"/>
          <w:rtl/>
        </w:rPr>
        <w:t>קושית המהר"ם דרב חסדא לא התיר מדין חזקה</w:t>
      </w:r>
      <w:bookmarkEnd w:id="6865"/>
      <w:bookmarkEnd w:id="6866"/>
      <w:bookmarkEnd w:id="6867"/>
      <w:bookmarkEnd w:id="6868"/>
      <w:bookmarkEnd w:id="6869"/>
      <w:bookmarkEnd w:id="6870"/>
    </w:p>
    <w:p w14:paraId="5C4ABD83" w14:textId="77777777" w:rsidR="00FF5773" w:rsidRDefault="00FF5773" w:rsidP="00E12979">
      <w:pPr>
        <w:pStyle w:val="a0"/>
        <w:numPr>
          <w:ilvl w:val="0"/>
          <w:numId w:val="5"/>
        </w:numPr>
        <w:rPr>
          <w:rtl/>
        </w:rPr>
      </w:pPr>
      <w:r>
        <w:rPr>
          <w:rFonts w:hint="cs"/>
          <w:rtl/>
        </w:rPr>
        <w:t xml:space="preserve">והקשה </w:t>
      </w:r>
      <w:r>
        <w:rPr>
          <w:rStyle w:val="af9"/>
          <w:rtl/>
        </w:rPr>
        <w:t>המהר"ם</w:t>
      </w:r>
      <w:r>
        <w:rPr>
          <w:rFonts w:hint="cs"/>
          <w:rtl/>
        </w:rPr>
        <w:t xml:space="preserve"> דלא מצינו בדברי רב חסדא דהתיר מחמת שמעמידים בחזקת היתר, דהא התיר רב חסדא מחמת דאין ספק מוציא מידי ודאי, ומסברת סכין איתרעי בהמה לא איתרעי, ואדרבה בדעת רב הונא אמרינן דמעמידים על החזקה דמעיקרא דהבהמה בחייה בחזקת איסור, ועי' </w:t>
      </w:r>
      <w:r>
        <w:rPr>
          <w:rStyle w:val="af9"/>
          <w:rtl/>
        </w:rPr>
        <w:t>בראש יוסף</w:t>
      </w:r>
      <w:r>
        <w:rPr>
          <w:rFonts w:hint="cs"/>
          <w:rtl/>
        </w:rPr>
        <w:t xml:space="preserve"> </w:t>
      </w:r>
      <w:r w:rsidRPr="00223668">
        <w:rPr>
          <w:rStyle w:val="af7"/>
          <w:rFonts w:eastAsia="Guttman Hodes" w:hint="cs"/>
          <w:rtl/>
        </w:rPr>
        <w:t>(ד"ה גם איני)</w:t>
      </w:r>
      <w:r>
        <w:rPr>
          <w:rFonts w:hint="cs"/>
          <w:rtl/>
        </w:rPr>
        <w:t xml:space="preserve"> במה שתירץ את קושית </w:t>
      </w:r>
      <w:r>
        <w:rPr>
          <w:rStyle w:val="af9"/>
          <w:rtl/>
        </w:rPr>
        <w:t>המהר"ם</w:t>
      </w:r>
      <w:r>
        <w:rPr>
          <w:rFonts w:hint="cs"/>
          <w:rtl/>
        </w:rPr>
        <w:t>.</w:t>
      </w:r>
    </w:p>
    <w:p w14:paraId="3A552C12" w14:textId="77777777" w:rsidR="00FF5773" w:rsidRDefault="00FF5773" w:rsidP="006D6D32">
      <w:pPr>
        <w:pStyle w:val="a3"/>
        <w:rPr>
          <w:rtl/>
        </w:rPr>
      </w:pPr>
      <w:bookmarkStart w:id="6871" w:name="_Toc527912565"/>
      <w:bookmarkStart w:id="6872" w:name="_Toc527924497"/>
      <w:bookmarkStart w:id="6873" w:name="_Toc527928716"/>
      <w:bookmarkStart w:id="6874" w:name="_Toc527999492"/>
      <w:bookmarkStart w:id="6875" w:name="_Toc19389845"/>
      <w:bookmarkStart w:id="6876" w:name="_Toc19393342"/>
      <w:r>
        <w:rPr>
          <w:rFonts w:hint="cs"/>
          <w:rtl/>
        </w:rPr>
        <w:t>ביאור המהר"ם דקושית התוס' דלרב הונא הבהמה בחזקת איסור אף בריעותא ששיבר עצמות</w:t>
      </w:r>
      <w:bookmarkEnd w:id="6871"/>
      <w:bookmarkEnd w:id="6872"/>
      <w:bookmarkEnd w:id="6873"/>
      <w:bookmarkEnd w:id="6874"/>
      <w:bookmarkEnd w:id="6875"/>
      <w:bookmarkEnd w:id="6876"/>
    </w:p>
    <w:p w14:paraId="70889470" w14:textId="77777777" w:rsidR="00FF5773" w:rsidRDefault="00FF5773" w:rsidP="00E12979">
      <w:pPr>
        <w:pStyle w:val="a0"/>
        <w:numPr>
          <w:ilvl w:val="0"/>
          <w:numId w:val="5"/>
        </w:numPr>
        <w:rPr>
          <w:rStyle w:val="afb"/>
          <w:rtl/>
        </w:rPr>
      </w:pPr>
      <w:bookmarkStart w:id="6877" w:name="_Ref524897317"/>
      <w:r>
        <w:rPr>
          <w:rFonts w:hint="cs"/>
          <w:rtl/>
        </w:rPr>
        <w:t>אלא ביאר</w:t>
      </w:r>
      <w:r>
        <w:rPr>
          <w:rStyle w:val="af9"/>
          <w:rtl/>
        </w:rPr>
        <w:t xml:space="preserve"> המהר"ם </w:t>
      </w:r>
      <w:r>
        <w:rPr>
          <w:rFonts w:hint="cs"/>
          <w:rtl/>
        </w:rPr>
        <w:t xml:space="preserve">דכוונת </w:t>
      </w:r>
      <w:r>
        <w:rPr>
          <w:rStyle w:val="af9"/>
          <w:rtl/>
        </w:rPr>
        <w:t xml:space="preserve">התוס' </w:t>
      </w:r>
      <w:r>
        <w:rPr>
          <w:rFonts w:hint="cs"/>
          <w:rtl/>
        </w:rPr>
        <w:t xml:space="preserve">להקשות מדעת רב הונא דאף בשיבר בה עצמות, אסר רב הונא מחמת דמעמידים את הבהמה בחזקת איסור, אף שיש ריעותא בחזקה דשחוטה לפניך. </w:t>
      </w:r>
      <w:r>
        <w:rPr>
          <w:rStyle w:val="afb"/>
          <w:rtl/>
        </w:rPr>
        <w:t xml:space="preserve">[וכתב </w:t>
      </w:r>
      <w:r>
        <w:rPr>
          <w:rStyle w:val="affa"/>
          <w:rtl/>
        </w:rPr>
        <w:t>המהר"ם</w:t>
      </w:r>
      <w:r>
        <w:rPr>
          <w:rStyle w:val="afb"/>
          <w:rtl/>
        </w:rPr>
        <w:t xml:space="preserve"> דאף שבלשון</w:t>
      </w:r>
      <w:r>
        <w:rPr>
          <w:rStyle w:val="affa"/>
          <w:rtl/>
        </w:rPr>
        <w:t xml:space="preserve"> התוס'</w:t>
      </w:r>
      <w:r>
        <w:rPr>
          <w:rStyle w:val="afb"/>
          <w:rtl/>
        </w:rPr>
        <w:t xml:space="preserve"> משמע דהריעותא היא במה שנמצאת הסכין פגומה, צ"ל דכוונתם לחזקה בדין סכין שנמצאת פגומה</w:t>
      </w:r>
      <w:r>
        <w:rPr>
          <w:rStyle w:val="afb"/>
          <w:rFonts w:hint="cs"/>
          <w:rtl/>
        </w:rPr>
        <w:t>]</w:t>
      </w:r>
      <w:r>
        <w:rPr>
          <w:rStyle w:val="afb"/>
          <w:rtl/>
        </w:rPr>
        <w:t>.</w:t>
      </w:r>
      <w:bookmarkEnd w:id="6877"/>
    </w:p>
    <w:p w14:paraId="42B38E17" w14:textId="77777777" w:rsidR="00FF5773" w:rsidRDefault="00FF5773" w:rsidP="006D6D32">
      <w:pPr>
        <w:pStyle w:val="a3"/>
        <w:rPr>
          <w:rtl/>
        </w:rPr>
      </w:pPr>
      <w:bookmarkStart w:id="6878" w:name="_Toc527912566"/>
      <w:bookmarkStart w:id="6879" w:name="_Toc527924498"/>
      <w:bookmarkStart w:id="6880" w:name="_Toc527928717"/>
      <w:bookmarkStart w:id="6881" w:name="_Toc527999493"/>
      <w:bookmarkStart w:id="6882" w:name="_Toc19389846"/>
      <w:bookmarkStart w:id="6883" w:name="_Toc19393343"/>
      <w:r>
        <w:rPr>
          <w:rFonts w:hint="cs"/>
          <w:rtl/>
        </w:rPr>
        <w:t>קושית המהר"ם אמאי לא הקשו התוס' מדינא דזאב דמעמידים בחזקת היתר אף שיש ריעותא</w:t>
      </w:r>
      <w:bookmarkEnd w:id="6878"/>
      <w:bookmarkEnd w:id="6879"/>
      <w:bookmarkEnd w:id="6880"/>
      <w:bookmarkEnd w:id="6881"/>
      <w:bookmarkEnd w:id="6882"/>
      <w:bookmarkEnd w:id="6883"/>
    </w:p>
    <w:p w14:paraId="7D5ED681" w14:textId="77777777" w:rsidR="00FF5773" w:rsidRPr="00234A09" w:rsidRDefault="00FF5773" w:rsidP="00E12979">
      <w:pPr>
        <w:pStyle w:val="a0"/>
        <w:numPr>
          <w:ilvl w:val="0"/>
          <w:numId w:val="5"/>
        </w:numPr>
        <w:rPr>
          <w:rtl/>
        </w:rPr>
      </w:pPr>
      <w:r>
        <w:rPr>
          <w:rFonts w:hint="cs"/>
          <w:rtl/>
        </w:rPr>
        <w:t xml:space="preserve">אך הקשה </w:t>
      </w:r>
      <w:r>
        <w:rPr>
          <w:rStyle w:val="af9"/>
          <w:rtl/>
        </w:rPr>
        <w:t>המהר"ם</w:t>
      </w:r>
      <w:r>
        <w:rPr>
          <w:rFonts w:hint="cs"/>
          <w:rtl/>
        </w:rPr>
        <w:t xml:space="preserve"> למה לא הקשו </w:t>
      </w:r>
      <w:r>
        <w:rPr>
          <w:rStyle w:val="af9"/>
          <w:rtl/>
        </w:rPr>
        <w:t xml:space="preserve">התוס' </w:t>
      </w:r>
      <w:r>
        <w:rPr>
          <w:rFonts w:hint="cs"/>
          <w:rtl/>
        </w:rPr>
        <w:t xml:space="preserve">מדינא דזאב שנטל בני מעיים </w:t>
      </w:r>
      <w:r w:rsidRPr="00223668">
        <w:rPr>
          <w:rStyle w:val="af7"/>
          <w:rFonts w:eastAsia="Guttman Hodes" w:hint="cs"/>
          <w:rtl/>
        </w:rPr>
        <w:t>(ט.)</w:t>
      </w:r>
      <w:r>
        <w:rPr>
          <w:rFonts w:hint="cs"/>
          <w:rtl/>
        </w:rPr>
        <w:t xml:space="preserve"> דמעמידים בחזקת היתר, אף שיש ריעותא דהבני מעיים נקובים לפניך, ודמי למה שהקשו </w:t>
      </w:r>
      <w:r>
        <w:rPr>
          <w:rStyle w:val="af9"/>
          <w:rtl/>
        </w:rPr>
        <w:t>התוס'</w:t>
      </w:r>
      <w:r w:rsidRPr="00223668">
        <w:rPr>
          <w:rStyle w:val="af7"/>
          <w:rFonts w:eastAsia="Guttman Hodes"/>
          <w:rtl/>
        </w:rPr>
        <w:t xml:space="preserve"> </w:t>
      </w:r>
      <w:r w:rsidRPr="00223668">
        <w:rPr>
          <w:rStyle w:val="af7"/>
          <w:rFonts w:eastAsia="Guttman Hodes" w:hint="cs"/>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Ref527907735 \r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223668">
        <w:rPr>
          <w:rStyle w:val="af7"/>
          <w:rFonts w:eastAsia="Guttman Hodes"/>
          <w:rtl/>
        </w:rPr>
        <w:fldChar w:fldCharType="end"/>
      </w:r>
      <w:r>
        <w:rPr>
          <w:rStyle w:val="af9"/>
          <w:rFonts w:hint="cs"/>
          <w:rtl/>
        </w:rPr>
        <w:t xml:space="preserve"> </w:t>
      </w:r>
      <w:r>
        <w:rPr>
          <w:rFonts w:hint="cs"/>
          <w:rtl/>
        </w:rPr>
        <w:t>משנים שנטמא אחד מהם דמעמידים כ"א בחזקת טהור, אף שיש ריעותא דשרץ לפניך ויש אחד שהוא ודאי טמא.</w:t>
      </w:r>
    </w:p>
    <w:p w14:paraId="3A57FE03" w14:textId="77777777" w:rsidR="00FF5773" w:rsidRDefault="00FF5773" w:rsidP="00BF39B2">
      <w:pPr>
        <w:pStyle w:val="1"/>
        <w:rPr>
          <w:rtl/>
        </w:rPr>
      </w:pPr>
      <w:bookmarkStart w:id="6884" w:name="_Toc527912567"/>
      <w:bookmarkStart w:id="6885" w:name="_Toc527924499"/>
      <w:bookmarkStart w:id="6886" w:name="_Toc527928718"/>
      <w:bookmarkStart w:id="6887" w:name="_Toc527999494"/>
      <w:bookmarkStart w:id="6888" w:name="_Toc19389847"/>
      <w:bookmarkStart w:id="6889" w:name="_Toc19393344"/>
      <w:r>
        <w:rPr>
          <w:rFonts w:hint="cs"/>
          <w:rtl/>
        </w:rPr>
        <w:t>ביאור החמד"ש בטעם החזקה במקום ריעותא ובתרתי דסתרי</w:t>
      </w:r>
      <w:bookmarkEnd w:id="6884"/>
      <w:bookmarkEnd w:id="6885"/>
      <w:bookmarkEnd w:id="6886"/>
      <w:bookmarkEnd w:id="6887"/>
      <w:bookmarkEnd w:id="6888"/>
      <w:bookmarkEnd w:id="6889"/>
    </w:p>
    <w:p w14:paraId="5CB88956" w14:textId="77777777" w:rsidR="00FF5773" w:rsidRDefault="00FF5773" w:rsidP="006D6D32">
      <w:pPr>
        <w:pStyle w:val="a3"/>
        <w:rPr>
          <w:rtl/>
        </w:rPr>
      </w:pPr>
      <w:bookmarkStart w:id="6890" w:name="_Toc527912568"/>
      <w:bookmarkStart w:id="6891" w:name="_Toc527924500"/>
      <w:bookmarkStart w:id="6892" w:name="_Toc527928719"/>
      <w:bookmarkStart w:id="6893" w:name="_Toc527999495"/>
      <w:bookmarkStart w:id="6894" w:name="_Toc19389848"/>
      <w:bookmarkStart w:id="6895" w:name="_Toc19393345"/>
      <w:r>
        <w:rPr>
          <w:rFonts w:hint="cs"/>
          <w:rtl/>
        </w:rPr>
        <w:t>קושית החמדת שלמה דלא תירצו התוס' מנלן דמעמידים על החזקה כשיש תרתי דסתרי</w:t>
      </w:r>
      <w:bookmarkEnd w:id="6890"/>
      <w:bookmarkEnd w:id="6891"/>
      <w:bookmarkEnd w:id="6892"/>
      <w:bookmarkEnd w:id="6893"/>
      <w:bookmarkEnd w:id="6894"/>
      <w:bookmarkEnd w:id="6895"/>
    </w:p>
    <w:p w14:paraId="2E7996B0" w14:textId="77777777" w:rsidR="00FF5773" w:rsidRPr="005C35D7" w:rsidRDefault="00FF5773" w:rsidP="00223668">
      <w:pPr>
        <w:pStyle w:val="a0"/>
        <w:rPr>
          <w:rStyle w:val="afb"/>
          <w:rtl/>
        </w:rPr>
      </w:pPr>
      <w:bookmarkStart w:id="6896" w:name="_Ref527490802"/>
      <w:r>
        <w:rPr>
          <w:rFonts w:hint="cs"/>
          <w:rtl/>
        </w:rPr>
        <w:t xml:space="preserve">הקשה </w:t>
      </w:r>
      <w:r w:rsidRPr="006619D5">
        <w:rPr>
          <w:rStyle w:val="af9"/>
          <w:rFonts w:hint="cs"/>
          <w:rtl/>
        </w:rPr>
        <w:t>החמדת שלמה</w:t>
      </w:r>
      <w:r>
        <w:rPr>
          <w:rFonts w:hint="cs"/>
          <w:rtl/>
        </w:rPr>
        <w:t xml:space="preserve"> </w:t>
      </w:r>
      <w:r w:rsidRPr="006619D5">
        <w:rPr>
          <w:rStyle w:val="af7"/>
          <w:rFonts w:eastAsia="Guttman Hodes" w:hint="cs"/>
          <w:rtl/>
        </w:rPr>
        <w:t>(</w:t>
      </w:r>
      <w:r>
        <w:rPr>
          <w:rStyle w:val="af7"/>
          <w:rFonts w:eastAsia="Guttman Hodes" w:hint="cs"/>
          <w:rtl/>
        </w:rPr>
        <w:t xml:space="preserve">שו"ת </w:t>
      </w:r>
      <w:r w:rsidRPr="006619D5">
        <w:rPr>
          <w:rStyle w:val="af7"/>
          <w:rFonts w:eastAsia="Guttman Hodes" w:hint="cs"/>
          <w:rtl/>
        </w:rPr>
        <w:t>יו"ד סי' ד' א')</w:t>
      </w:r>
      <w:r>
        <w:rPr>
          <w:rFonts w:hint="cs"/>
          <w:rtl/>
        </w:rPr>
        <w:t xml:space="preserve"> על תירוץ </w:t>
      </w:r>
      <w:r w:rsidRPr="006619D5">
        <w:rPr>
          <w:rStyle w:val="af9"/>
          <w:rFonts w:hint="cs"/>
          <w:rtl/>
        </w:rPr>
        <w:t xml:space="preserve">התוס' </w:t>
      </w:r>
      <w:r w:rsidRPr="006619D5">
        <w:rPr>
          <w:rStyle w:val="af7"/>
          <w:rFonts w:eastAsia="Guttman Hodes" w:hint="cs"/>
          <w:rtl/>
        </w:rPr>
        <w:t xml:space="preserve">(עי' אות </w:t>
      </w:r>
      <w:r w:rsidRPr="006619D5">
        <w:rPr>
          <w:rStyle w:val="af7"/>
          <w:rFonts w:eastAsia="Guttman Hodes"/>
          <w:rtl/>
        </w:rPr>
        <w:fldChar w:fldCharType="begin"/>
      </w:r>
      <w:r w:rsidRPr="006619D5">
        <w:rPr>
          <w:rStyle w:val="af7"/>
          <w:rFonts w:eastAsia="Guttman Hodes"/>
          <w:rtl/>
        </w:rPr>
        <w:instrText xml:space="preserve"> </w:instrText>
      </w:r>
      <w:r w:rsidRPr="006619D5">
        <w:rPr>
          <w:rStyle w:val="af7"/>
          <w:rFonts w:eastAsia="Guttman Hodes" w:hint="cs"/>
        </w:rPr>
        <w:instrText>REF</w:instrText>
      </w:r>
      <w:r w:rsidRPr="006619D5">
        <w:rPr>
          <w:rStyle w:val="af7"/>
          <w:rFonts w:eastAsia="Guttman Hodes" w:hint="cs"/>
          <w:rtl/>
        </w:rPr>
        <w:instrText xml:space="preserve"> _</w:instrText>
      </w:r>
      <w:r w:rsidRPr="006619D5">
        <w:rPr>
          <w:rStyle w:val="af7"/>
          <w:rFonts w:eastAsia="Guttman Hodes" w:hint="cs"/>
        </w:rPr>
        <w:instrText>Ref527490767 \r \h</w:instrText>
      </w:r>
      <w:r w:rsidRPr="006619D5">
        <w:rPr>
          <w:rStyle w:val="af7"/>
          <w:rFonts w:eastAsia="Guttman Hodes"/>
          <w:rtl/>
        </w:rPr>
        <w:instrText xml:space="preserve"> </w:instrText>
      </w:r>
      <w:r w:rsidRPr="006619D5">
        <w:rPr>
          <w:rStyle w:val="af7"/>
          <w:rFonts w:eastAsia="Guttman Hodes"/>
          <w:rtl/>
        </w:rPr>
      </w:r>
      <w:r w:rsidRPr="006619D5">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sidRPr="006619D5">
        <w:rPr>
          <w:rStyle w:val="af7"/>
          <w:rFonts w:eastAsia="Guttman Hodes"/>
          <w:rtl/>
        </w:rPr>
        <w:fldChar w:fldCharType="end"/>
      </w:r>
      <w:r>
        <w:rPr>
          <w:rFonts w:hint="cs"/>
          <w:rtl/>
        </w:rPr>
        <w:t xml:space="preserve"> דאף בבית המנוגע יש ריעותא, דעדיין לא תירצו </w:t>
      </w:r>
      <w:r w:rsidRPr="006619D5">
        <w:rPr>
          <w:rStyle w:val="af9"/>
          <w:rFonts w:hint="cs"/>
          <w:rtl/>
        </w:rPr>
        <w:t>התוס'</w:t>
      </w:r>
      <w:r>
        <w:rPr>
          <w:rFonts w:hint="cs"/>
          <w:rtl/>
        </w:rPr>
        <w:t xml:space="preserve"> את קושייתם השניה, דמנלן דאזלינן בתר חזקה בתרתי דסתרי, כגון בשני שבילין. </w:t>
      </w:r>
      <w:r w:rsidRPr="005C35D7">
        <w:rPr>
          <w:rStyle w:val="afb"/>
          <w:rFonts w:hint="cs"/>
          <w:rtl/>
        </w:rPr>
        <w:t>[אמנם לביאור</w:t>
      </w:r>
      <w:r>
        <w:rPr>
          <w:rFonts w:hint="cs"/>
          <w:rtl/>
        </w:rPr>
        <w:t xml:space="preserve"> </w:t>
      </w:r>
      <w:r w:rsidRPr="00766F08">
        <w:rPr>
          <w:rStyle w:val="affa"/>
          <w:rFonts w:hint="cs"/>
          <w:rtl/>
        </w:rPr>
        <w:t>המהר"ם</w:t>
      </w:r>
      <w:r w:rsidRPr="005C35D7">
        <w:rPr>
          <w:rStyle w:val="aff6"/>
          <w:rFonts w:hint="cs"/>
          <w:rtl/>
        </w:rPr>
        <w:t xml:space="preserve"> (עי' אות </w:t>
      </w:r>
      <w:r w:rsidRPr="005C35D7">
        <w:rPr>
          <w:rStyle w:val="aff6"/>
          <w:rtl/>
        </w:rPr>
        <w:fldChar w:fldCharType="begin"/>
      </w:r>
      <w:r w:rsidRPr="005C35D7">
        <w:rPr>
          <w:rStyle w:val="aff6"/>
          <w:rtl/>
        </w:rPr>
        <w:instrText xml:space="preserve"> </w:instrText>
      </w:r>
      <w:r w:rsidRPr="005C35D7">
        <w:rPr>
          <w:rStyle w:val="aff6"/>
          <w:rFonts w:hint="cs"/>
        </w:rPr>
        <w:instrText>REF</w:instrText>
      </w:r>
      <w:r w:rsidRPr="005C35D7">
        <w:rPr>
          <w:rStyle w:val="aff6"/>
          <w:rFonts w:hint="cs"/>
          <w:rtl/>
        </w:rPr>
        <w:instrText xml:space="preserve"> _</w:instrText>
      </w:r>
      <w:r w:rsidRPr="005C35D7">
        <w:rPr>
          <w:rStyle w:val="aff6"/>
          <w:rFonts w:hint="cs"/>
        </w:rPr>
        <w:instrText>Ref527907979 \r \h</w:instrText>
      </w:r>
      <w:r w:rsidRPr="005C35D7">
        <w:rPr>
          <w:rStyle w:val="aff6"/>
          <w:rtl/>
        </w:rPr>
        <w:instrText xml:space="preserve"> </w:instrText>
      </w:r>
      <w:r w:rsidRPr="005C35D7">
        <w:rPr>
          <w:rStyle w:val="aff6"/>
          <w:rtl/>
        </w:rPr>
      </w:r>
      <w:r w:rsidRPr="005C35D7">
        <w:rPr>
          <w:rStyle w:val="aff6"/>
          <w:rtl/>
        </w:rPr>
        <w:fldChar w:fldCharType="separate"/>
      </w:r>
      <w:r w:rsidR="00345400">
        <w:rPr>
          <w:rStyle w:val="aff6"/>
          <w:cs/>
        </w:rPr>
        <w:t>‎</w:t>
      </w:r>
      <w:r w:rsidR="00345400">
        <w:rPr>
          <w:rStyle w:val="aff6"/>
          <w:rtl/>
        </w:rPr>
        <w:t>לב)</w:t>
      </w:r>
      <w:r w:rsidRPr="005C35D7">
        <w:rPr>
          <w:rStyle w:val="aff6"/>
          <w:rtl/>
        </w:rPr>
        <w:fldChar w:fldCharType="end"/>
      </w:r>
      <w:r w:rsidRPr="005C35D7">
        <w:rPr>
          <w:rStyle w:val="aff6"/>
          <w:rFonts w:hint="cs"/>
          <w:rtl/>
        </w:rPr>
        <w:t xml:space="preserve"> </w:t>
      </w:r>
      <w:r>
        <w:rPr>
          <w:rStyle w:val="afb"/>
          <w:rFonts w:hint="cs"/>
          <w:rtl/>
        </w:rPr>
        <w:t xml:space="preserve">לכאו' </w:t>
      </w:r>
      <w:r w:rsidRPr="005C35D7">
        <w:rPr>
          <w:rStyle w:val="afb"/>
          <w:rFonts w:hint="cs"/>
          <w:rtl/>
        </w:rPr>
        <w:t>לק"מ].</w:t>
      </w:r>
      <w:bookmarkEnd w:id="6896"/>
    </w:p>
    <w:p w14:paraId="0996ADBD" w14:textId="77777777" w:rsidR="00FF5773" w:rsidRDefault="00FF5773" w:rsidP="006D6D32">
      <w:pPr>
        <w:pStyle w:val="a3"/>
        <w:rPr>
          <w:rtl/>
        </w:rPr>
      </w:pPr>
      <w:bookmarkStart w:id="6897" w:name="_Toc527912569"/>
      <w:bookmarkStart w:id="6898" w:name="_Toc527924501"/>
      <w:bookmarkStart w:id="6899" w:name="_Toc527928720"/>
      <w:bookmarkStart w:id="6900" w:name="_Toc527999496"/>
      <w:bookmarkStart w:id="6901" w:name="_Toc19389849"/>
      <w:bookmarkStart w:id="6902" w:name="_Toc19393346"/>
      <w:r>
        <w:rPr>
          <w:rFonts w:hint="cs"/>
          <w:rtl/>
        </w:rPr>
        <w:t>תירוץ החמדת שלמה דכיון דילפינן דבמקום ריעותא מעמידים על החזקה ה"ה בתרתי דסתרי</w:t>
      </w:r>
      <w:bookmarkEnd w:id="6897"/>
      <w:bookmarkEnd w:id="6898"/>
      <w:bookmarkEnd w:id="6899"/>
      <w:bookmarkEnd w:id="6900"/>
      <w:bookmarkEnd w:id="6901"/>
      <w:bookmarkEnd w:id="6902"/>
    </w:p>
    <w:p w14:paraId="7493F04B" w14:textId="77777777" w:rsidR="00FF5773" w:rsidRDefault="00FF5773" w:rsidP="00223668">
      <w:pPr>
        <w:pStyle w:val="a0"/>
        <w:rPr>
          <w:rtl/>
        </w:rPr>
      </w:pPr>
      <w:r>
        <w:rPr>
          <w:rFonts w:hint="cs"/>
          <w:rtl/>
        </w:rPr>
        <w:t xml:space="preserve">ותירץ </w:t>
      </w:r>
      <w:r w:rsidRPr="006619D5">
        <w:rPr>
          <w:rStyle w:val="af9"/>
          <w:rFonts w:hint="cs"/>
          <w:rtl/>
        </w:rPr>
        <w:t>החמדת שלמה</w:t>
      </w:r>
      <w:r>
        <w:rPr>
          <w:rFonts w:hint="cs"/>
          <w:rtl/>
        </w:rPr>
        <w:t xml:space="preserve"> דאחר דילפינן מבית המנוגע, דאף במקום שיש ריעותא מעמידים על החזקה, ה"ה דמעמידים על החזקה בתרתי דסתרי.</w:t>
      </w:r>
    </w:p>
    <w:p w14:paraId="6A7655C5" w14:textId="77777777" w:rsidR="00FF5773" w:rsidRPr="00750062" w:rsidRDefault="00FF5773" w:rsidP="006D6D32">
      <w:pPr>
        <w:pStyle w:val="a3"/>
      </w:pPr>
      <w:bookmarkStart w:id="6903" w:name="_Toc527912570"/>
      <w:bookmarkStart w:id="6904" w:name="_Toc527924502"/>
      <w:bookmarkStart w:id="6905" w:name="_Toc527928721"/>
      <w:bookmarkStart w:id="6906" w:name="_Toc527999497"/>
      <w:bookmarkStart w:id="6907" w:name="_Toc19389850"/>
      <w:bookmarkStart w:id="6908" w:name="_Toc19393347"/>
      <w:r>
        <w:rPr>
          <w:rFonts w:hint="cs"/>
          <w:rtl/>
        </w:rPr>
        <w:t>דברי החמדת שלמה דאפשר לבאר בגדר חזקה דהוי בירור שודאי לא נשתנה</w:t>
      </w:r>
      <w:bookmarkEnd w:id="6903"/>
      <w:bookmarkEnd w:id="6904"/>
      <w:bookmarkEnd w:id="6905"/>
      <w:bookmarkEnd w:id="6906"/>
      <w:bookmarkEnd w:id="6907"/>
      <w:bookmarkEnd w:id="6908"/>
    </w:p>
    <w:p w14:paraId="58C54F64" w14:textId="77777777" w:rsidR="00FF5773" w:rsidRDefault="00FF5773" w:rsidP="00223668">
      <w:pPr>
        <w:pStyle w:val="a0"/>
        <w:rPr>
          <w:rtl/>
        </w:rPr>
      </w:pPr>
      <w:r>
        <w:rPr>
          <w:rFonts w:hint="cs"/>
          <w:rtl/>
        </w:rPr>
        <w:t xml:space="preserve">וביאר </w:t>
      </w:r>
      <w:r w:rsidRPr="006619D5">
        <w:rPr>
          <w:rStyle w:val="af9"/>
          <w:rFonts w:hint="cs"/>
          <w:rtl/>
        </w:rPr>
        <w:t>החמדת שלמה</w:t>
      </w:r>
      <w:r>
        <w:rPr>
          <w:rFonts w:hint="cs"/>
          <w:rtl/>
        </w:rPr>
        <w:t xml:space="preserve"> דיש ב' אופנים לבאר את הטעם דמעמידים על החזקה. הא' דבדבר שיש בו חזקה, אנו לא מסתפקים שמא היה בו שינוי, ולכן מעמידים אותו על חזקתו בתורת ודאי, והוא כבירור שלא נשתנה דמהיכי תיתי לחוש שהיה שינוי.</w:t>
      </w:r>
    </w:p>
    <w:p w14:paraId="24838D97" w14:textId="77777777" w:rsidR="00FF5773" w:rsidRDefault="00FF5773" w:rsidP="006D6D32">
      <w:pPr>
        <w:pStyle w:val="a3"/>
        <w:rPr>
          <w:rtl/>
        </w:rPr>
      </w:pPr>
      <w:bookmarkStart w:id="6909" w:name="_Toc527912571"/>
      <w:bookmarkStart w:id="6910" w:name="_Toc527924503"/>
      <w:bookmarkStart w:id="6911" w:name="_Toc527928722"/>
      <w:bookmarkStart w:id="6912" w:name="_Toc527999498"/>
      <w:bookmarkStart w:id="6913" w:name="_Toc19389851"/>
      <w:bookmarkStart w:id="6914" w:name="_Toc19393348"/>
      <w:r>
        <w:rPr>
          <w:rFonts w:hint="cs"/>
          <w:rtl/>
        </w:rPr>
        <w:t>ביאור הרמב"ם בפיהמ"ש בגדר החזקה דא"א לחשוש שהיה שינוי</w:t>
      </w:r>
      <w:bookmarkEnd w:id="6909"/>
      <w:bookmarkEnd w:id="6910"/>
      <w:bookmarkEnd w:id="6911"/>
      <w:bookmarkEnd w:id="6912"/>
      <w:bookmarkEnd w:id="6913"/>
      <w:bookmarkEnd w:id="6914"/>
    </w:p>
    <w:p w14:paraId="65DBA0A9" w14:textId="77777777" w:rsidR="00FF5773" w:rsidRDefault="00FF5773" w:rsidP="00223668">
      <w:pPr>
        <w:pStyle w:val="a0"/>
        <w:rPr>
          <w:rtl/>
        </w:rPr>
      </w:pPr>
      <w:bookmarkStart w:id="6915" w:name="_Ref527999185"/>
      <w:r>
        <w:rPr>
          <w:rFonts w:hint="cs"/>
          <w:rtl/>
        </w:rPr>
        <w:t xml:space="preserve">והאופן הב' בביאור הטעם דמעמידים על החזקה, הביא  </w:t>
      </w:r>
      <w:r w:rsidRPr="006619D5">
        <w:rPr>
          <w:rStyle w:val="af9"/>
          <w:rFonts w:hint="cs"/>
          <w:rtl/>
        </w:rPr>
        <w:t>החמדת שלמה</w:t>
      </w:r>
      <w:r>
        <w:rPr>
          <w:rFonts w:hint="cs"/>
          <w:rtl/>
        </w:rPr>
        <w:t xml:space="preserve"> את </w:t>
      </w:r>
      <w:r w:rsidRPr="004366E8">
        <w:rPr>
          <w:rFonts w:hint="cs"/>
          <w:rtl/>
        </w:rPr>
        <w:t xml:space="preserve">דברי </w:t>
      </w:r>
      <w:r w:rsidRPr="004366E8">
        <w:rPr>
          <w:rStyle w:val="af9"/>
          <w:rFonts w:hint="cs"/>
          <w:rtl/>
        </w:rPr>
        <w:t xml:space="preserve">הרמב"ם בפיהמ"ש </w:t>
      </w:r>
      <w:r w:rsidRPr="00614128">
        <w:rPr>
          <w:rStyle w:val="af7"/>
          <w:rFonts w:eastAsia="Guttman Hodes" w:hint="cs"/>
          <w:rtl/>
        </w:rPr>
        <w:t xml:space="preserve">(נזיר פ"ט ב') </w:t>
      </w:r>
      <w:r>
        <w:rPr>
          <w:rFonts w:hint="cs"/>
          <w:rtl/>
        </w:rPr>
        <w:t xml:space="preserve">בהא דאיתא במשנה בנזיר </w:t>
      </w:r>
      <w:r w:rsidRPr="00614128">
        <w:rPr>
          <w:rStyle w:val="af7"/>
          <w:rFonts w:eastAsia="Guttman Hodes" w:hint="cs"/>
          <w:rtl/>
        </w:rPr>
        <w:t>(פ"ט ב')</w:t>
      </w:r>
      <w:r>
        <w:rPr>
          <w:rFonts w:hint="cs"/>
          <w:rtl/>
        </w:rPr>
        <w:t xml:space="preserve"> בדינא דטומאת התהום, דמעמידים את הטהור בחזקתו ואת הטמא בחזקתו דרגלים לדבר, ביאר </w:t>
      </w:r>
      <w:r w:rsidRPr="00B33898">
        <w:rPr>
          <w:rStyle w:val="af9"/>
          <w:rFonts w:hint="cs"/>
          <w:rtl/>
        </w:rPr>
        <w:t>הרמב"ם בפיהמ"ש</w:t>
      </w:r>
      <w:r>
        <w:rPr>
          <w:rFonts w:hint="cs"/>
          <w:rtl/>
        </w:rPr>
        <w:t xml:space="preserve"> בהא דמעמידים על החזקה, דאם נחשוש לכל ספק הוא דבר שאין לו תכלית, ולכן העיקר שכשיש מצב מסויים מניחים אותו בחזקתו, עד שיהיה דבר ברור שמוציאו מחזקתו, ובכל דבר שיש בו ספק אינו יוצא מחזקתו.</w:t>
      </w:r>
      <w:bookmarkEnd w:id="6915"/>
    </w:p>
    <w:p w14:paraId="35AF6630" w14:textId="77777777" w:rsidR="00FF5773" w:rsidRPr="004366E8" w:rsidRDefault="00FF5773" w:rsidP="006D6D32">
      <w:pPr>
        <w:pStyle w:val="a3"/>
      </w:pPr>
      <w:bookmarkStart w:id="6916" w:name="_Toc527912572"/>
      <w:bookmarkStart w:id="6917" w:name="_Toc527924504"/>
      <w:bookmarkStart w:id="6918" w:name="_Toc527928723"/>
      <w:bookmarkStart w:id="6919" w:name="_Toc527999499"/>
      <w:bookmarkStart w:id="6920" w:name="_Toc19389852"/>
      <w:bookmarkStart w:id="6921" w:name="_Toc19393349"/>
      <w:r>
        <w:rPr>
          <w:rFonts w:hint="cs"/>
          <w:rtl/>
        </w:rPr>
        <w:t>ביאור התוי"ט בדברי הרמב"ם בפיהמ"ש דאם חוששים לשינוי לעולם נחשוש לשינוי</w:t>
      </w:r>
      <w:bookmarkEnd w:id="6916"/>
      <w:bookmarkEnd w:id="6917"/>
      <w:bookmarkEnd w:id="6918"/>
      <w:bookmarkEnd w:id="6919"/>
      <w:bookmarkEnd w:id="6920"/>
      <w:bookmarkEnd w:id="6921"/>
    </w:p>
    <w:p w14:paraId="24EFFD68" w14:textId="77777777" w:rsidR="00FF5773" w:rsidRDefault="00FF5773" w:rsidP="00223668">
      <w:pPr>
        <w:pStyle w:val="a0"/>
        <w:rPr>
          <w:rtl/>
        </w:rPr>
      </w:pPr>
      <w:r>
        <w:rPr>
          <w:rFonts w:hint="cs"/>
          <w:rtl/>
        </w:rPr>
        <w:t xml:space="preserve">וביאר </w:t>
      </w:r>
      <w:r w:rsidRPr="00614128">
        <w:rPr>
          <w:rStyle w:val="af9"/>
          <w:rFonts w:hint="cs"/>
          <w:rtl/>
        </w:rPr>
        <w:t>התוי"ט</w:t>
      </w:r>
      <w:r w:rsidRPr="00614128">
        <w:rPr>
          <w:rStyle w:val="af7"/>
          <w:rFonts w:eastAsia="Guttman Hodes" w:hint="cs"/>
          <w:rtl/>
        </w:rPr>
        <w:t xml:space="preserve"> (נזיר פ"ט ב') </w:t>
      </w:r>
      <w:r>
        <w:rPr>
          <w:rFonts w:hint="cs"/>
          <w:rtl/>
        </w:rPr>
        <w:t xml:space="preserve">דכוונת </w:t>
      </w:r>
      <w:r w:rsidRPr="00614128">
        <w:rPr>
          <w:rStyle w:val="af9"/>
          <w:rFonts w:hint="cs"/>
          <w:rtl/>
        </w:rPr>
        <w:t>הרמב"ם בפיהמ"ש</w:t>
      </w:r>
      <w:r>
        <w:rPr>
          <w:rFonts w:hint="cs"/>
          <w:rtl/>
        </w:rPr>
        <w:t xml:space="preserve"> לומר שאם לא נלך אחר החזקה, ונאמר שיתכן שהיה שינוי בדבר ממה שהוחזק בו מתחילה, לא נוכל לעמוד בשום דבר, דבכל דבר אם נעמיד שהיה בו שינוי והמצב הוא אחר, נוכל להסתפק גם בזה אולי המצב אינו כך, וא"כ בכל דבר אין כל תכלית שאפשר לעמוד בו, וכתב </w:t>
      </w:r>
      <w:r w:rsidRPr="00614128">
        <w:rPr>
          <w:rStyle w:val="af9"/>
          <w:rFonts w:hint="cs"/>
          <w:rtl/>
        </w:rPr>
        <w:t>התוי"ט</w:t>
      </w:r>
      <w:r>
        <w:rPr>
          <w:rFonts w:hint="cs"/>
          <w:rtl/>
        </w:rPr>
        <w:t xml:space="preserve"> דזהו הביאור בלשון המשנה "רגלים לדבר" שאין עמידה באפשרות אחת, והוי כאילו יש לדבר רגלים להלך לאפשרות אחרת.</w:t>
      </w:r>
    </w:p>
    <w:p w14:paraId="25D93A93" w14:textId="77777777" w:rsidR="00FF5773" w:rsidRPr="003F7133" w:rsidRDefault="00FF5773" w:rsidP="006D6D32">
      <w:pPr>
        <w:pStyle w:val="a3"/>
        <w:rPr>
          <w:rtl/>
        </w:rPr>
      </w:pPr>
      <w:bookmarkStart w:id="6922" w:name="_Toc527912573"/>
      <w:bookmarkStart w:id="6923" w:name="_Toc527924505"/>
      <w:bookmarkStart w:id="6924" w:name="_Toc527928724"/>
      <w:bookmarkStart w:id="6925" w:name="_Toc527999500"/>
      <w:bookmarkStart w:id="6926" w:name="_Toc19389853"/>
      <w:bookmarkStart w:id="6927" w:name="_Toc19393350"/>
      <w:r>
        <w:rPr>
          <w:rFonts w:hint="cs"/>
          <w:rtl/>
        </w:rPr>
        <w:t>דברי החמדת שלמה דלהרמב"ם בפיהמ"ש החזקה אינה בירור אלא גזיה"כ</w:t>
      </w:r>
      <w:bookmarkEnd w:id="6922"/>
      <w:bookmarkEnd w:id="6923"/>
      <w:bookmarkEnd w:id="6924"/>
      <w:bookmarkEnd w:id="6925"/>
      <w:bookmarkEnd w:id="6926"/>
      <w:bookmarkEnd w:id="6927"/>
    </w:p>
    <w:p w14:paraId="19A8F14C" w14:textId="77777777" w:rsidR="00FF5773" w:rsidRDefault="00FF5773" w:rsidP="00223668">
      <w:pPr>
        <w:pStyle w:val="a0"/>
        <w:rPr>
          <w:rtl/>
        </w:rPr>
      </w:pPr>
      <w:r>
        <w:rPr>
          <w:rFonts w:hint="cs"/>
          <w:rtl/>
        </w:rPr>
        <w:t xml:space="preserve">וכתב </w:t>
      </w:r>
      <w:r w:rsidRPr="006619D5">
        <w:rPr>
          <w:rStyle w:val="af9"/>
          <w:rFonts w:hint="cs"/>
          <w:rtl/>
        </w:rPr>
        <w:t>החמדת שלמה</w:t>
      </w:r>
      <w:r>
        <w:rPr>
          <w:rFonts w:hint="cs"/>
          <w:rtl/>
        </w:rPr>
        <w:t xml:space="preserve"> דלביאור</w:t>
      </w:r>
      <w:r w:rsidRPr="003F7133">
        <w:rPr>
          <w:rStyle w:val="af9"/>
          <w:rFonts w:hint="cs"/>
          <w:rtl/>
        </w:rPr>
        <w:t xml:space="preserve"> </w:t>
      </w:r>
      <w:r w:rsidRPr="004366E8">
        <w:rPr>
          <w:rStyle w:val="af9"/>
          <w:rFonts w:hint="cs"/>
          <w:rtl/>
        </w:rPr>
        <w:t>הרמב"ם בפיהמ"ש</w:t>
      </w:r>
      <w:r>
        <w:rPr>
          <w:rFonts w:hint="cs"/>
          <w:rtl/>
        </w:rPr>
        <w:t xml:space="preserve"> הגדר בחזקה אינו בירור, אלא דהוא גזיה"כ להעמיד על החזקה.</w:t>
      </w:r>
    </w:p>
    <w:p w14:paraId="013DA690" w14:textId="77777777" w:rsidR="00FF5773" w:rsidRDefault="00FF5773" w:rsidP="006D6D32">
      <w:pPr>
        <w:pStyle w:val="a3"/>
        <w:rPr>
          <w:rtl/>
        </w:rPr>
      </w:pPr>
      <w:bookmarkStart w:id="6928" w:name="_Toc527912574"/>
      <w:bookmarkStart w:id="6929" w:name="_Toc527924506"/>
      <w:bookmarkStart w:id="6930" w:name="_Toc527928725"/>
      <w:bookmarkStart w:id="6931" w:name="_Toc527999501"/>
      <w:bookmarkStart w:id="6932" w:name="_Toc19389854"/>
      <w:bookmarkStart w:id="6933" w:name="_Toc19393351"/>
      <w:r>
        <w:rPr>
          <w:rFonts w:hint="cs"/>
          <w:rtl/>
        </w:rPr>
        <w:t>דברי החמדת שלמה דהנ"מ בין ב' הביאורים אי מעמידים על החזקה בתרתי דסתרי</w:t>
      </w:r>
      <w:bookmarkEnd w:id="6928"/>
      <w:bookmarkEnd w:id="6929"/>
      <w:bookmarkEnd w:id="6930"/>
      <w:bookmarkEnd w:id="6931"/>
      <w:bookmarkEnd w:id="6932"/>
      <w:bookmarkEnd w:id="6933"/>
    </w:p>
    <w:p w14:paraId="352B8D66" w14:textId="77777777" w:rsidR="00FF5773" w:rsidRPr="009B6415" w:rsidRDefault="00FF5773" w:rsidP="00223668">
      <w:pPr>
        <w:pStyle w:val="a0"/>
        <w:rPr>
          <w:rtl/>
        </w:rPr>
      </w:pPr>
      <w:r>
        <w:rPr>
          <w:rFonts w:hint="cs"/>
          <w:rtl/>
        </w:rPr>
        <w:t xml:space="preserve">וכתב </w:t>
      </w:r>
      <w:r w:rsidRPr="006619D5">
        <w:rPr>
          <w:rStyle w:val="af9"/>
          <w:rFonts w:hint="cs"/>
          <w:rtl/>
        </w:rPr>
        <w:t>החמדת שלמה</w:t>
      </w:r>
      <w:r>
        <w:rPr>
          <w:rFonts w:hint="cs"/>
          <w:rtl/>
        </w:rPr>
        <w:t xml:space="preserve"> דהנ"מ בין הביאורים, הוא בתרתי דסתרי כשני שבילין, דהתם א"א לבאר דהחזקה היא בירור בתורת ודאי, ששניהם טהורים, דהא אחד מהם נטמא בודאי ויצא מחזקתו, אבל לביאור דחזקה אינה בירור, אלא דהוא גזיה"כ להעמיד על החזקה, א"כ אף בשני שבילין אפשר להעמיד כ"א מהם על חזקתו, שהוא טהור, דאי"ז בירור כלל.</w:t>
      </w:r>
    </w:p>
    <w:p w14:paraId="62DC468A" w14:textId="77777777" w:rsidR="00FF5773" w:rsidRDefault="00FF5773" w:rsidP="006D6D32">
      <w:pPr>
        <w:pStyle w:val="a3"/>
        <w:rPr>
          <w:rtl/>
        </w:rPr>
      </w:pPr>
      <w:bookmarkStart w:id="6934" w:name="_Toc527912575"/>
      <w:bookmarkStart w:id="6935" w:name="_Toc527924507"/>
      <w:bookmarkStart w:id="6936" w:name="_Toc527928726"/>
      <w:bookmarkStart w:id="6937" w:name="_Toc527999502"/>
      <w:bookmarkStart w:id="6938" w:name="_Toc19389855"/>
      <w:bookmarkStart w:id="6939" w:name="_Toc19393352"/>
      <w:r>
        <w:rPr>
          <w:rFonts w:hint="cs"/>
          <w:rtl/>
        </w:rPr>
        <w:t>דברי החמדת שלמה דיש עוד נ</w:t>
      </w:r>
      <w:r>
        <w:rPr>
          <w:rtl/>
        </w:rPr>
        <w:t>"</w:t>
      </w:r>
      <w:r>
        <w:rPr>
          <w:rFonts w:hint="cs"/>
          <w:rtl/>
        </w:rPr>
        <w:t>מ בין ב' הביאורים אי מעמידים על החזקה כשיש ריעותא</w:t>
      </w:r>
      <w:bookmarkEnd w:id="6934"/>
      <w:bookmarkEnd w:id="6935"/>
      <w:bookmarkEnd w:id="6936"/>
      <w:bookmarkEnd w:id="6937"/>
      <w:bookmarkEnd w:id="6938"/>
      <w:bookmarkEnd w:id="6939"/>
    </w:p>
    <w:p w14:paraId="378B0239" w14:textId="77777777" w:rsidR="00FF5773" w:rsidRDefault="00FF5773" w:rsidP="00223668">
      <w:pPr>
        <w:pStyle w:val="a0"/>
        <w:rPr>
          <w:rtl/>
        </w:rPr>
      </w:pPr>
      <w:r>
        <w:rPr>
          <w:rFonts w:hint="cs"/>
          <w:rtl/>
        </w:rPr>
        <w:t xml:space="preserve">וכתב </w:t>
      </w:r>
      <w:r w:rsidRPr="006619D5">
        <w:rPr>
          <w:rStyle w:val="af9"/>
          <w:rFonts w:hint="cs"/>
          <w:rtl/>
        </w:rPr>
        <w:t>החמדת שלמה</w:t>
      </w:r>
      <w:r>
        <w:rPr>
          <w:rFonts w:hint="cs"/>
          <w:rtl/>
        </w:rPr>
        <w:t xml:space="preserve"> דכן חזקה שיש בה ריעותא היא תלויה בב' הביאורים, דלביאור הראשון שהחזקה היא בירור, דמסברא אנו לא מסתפקים שמא היה שינוי, א"כ כשיש ריעותא לפנינו והתחדש מקום לספק, א"א לומר שיש חזקה שמבררת שלא היה שינוי, אבל לביאור הב' דחזקה אינה בירור, א"כ אף כשיש ריעותא אפשר להעמיד על החזקה.</w:t>
      </w:r>
    </w:p>
    <w:p w14:paraId="6AE11E05" w14:textId="77777777" w:rsidR="00FF5773" w:rsidRPr="005C7E5E" w:rsidRDefault="00FF5773" w:rsidP="006D6D32">
      <w:pPr>
        <w:pStyle w:val="a3"/>
      </w:pPr>
      <w:bookmarkStart w:id="6940" w:name="_Toc527912576"/>
      <w:bookmarkStart w:id="6941" w:name="_Toc527924508"/>
      <w:bookmarkStart w:id="6942" w:name="_Toc527928727"/>
      <w:bookmarkStart w:id="6943" w:name="_Toc527999503"/>
      <w:bookmarkStart w:id="6944" w:name="_Toc19389856"/>
      <w:bookmarkStart w:id="6945" w:name="_Toc19393353"/>
      <w:r>
        <w:rPr>
          <w:rFonts w:hint="cs"/>
          <w:rtl/>
        </w:rPr>
        <w:t>ביאור החמדת שלמה דהתוס' בקושיה ס"ל דהחזקה היא בירור ומנלן דמעמידים כשיש ריעותא</w:t>
      </w:r>
      <w:bookmarkEnd w:id="6940"/>
      <w:bookmarkEnd w:id="6941"/>
      <w:bookmarkEnd w:id="6942"/>
      <w:bookmarkEnd w:id="6943"/>
      <w:bookmarkEnd w:id="6944"/>
      <w:bookmarkEnd w:id="6945"/>
    </w:p>
    <w:p w14:paraId="5949936F" w14:textId="77777777" w:rsidR="00FF5773" w:rsidRDefault="00FF5773" w:rsidP="00223668">
      <w:pPr>
        <w:pStyle w:val="a0"/>
        <w:rPr>
          <w:rtl/>
        </w:rPr>
      </w:pPr>
      <w:r>
        <w:rPr>
          <w:rFonts w:hint="cs"/>
          <w:rtl/>
        </w:rPr>
        <w:t xml:space="preserve">וביאר </w:t>
      </w:r>
      <w:r w:rsidRPr="006619D5">
        <w:rPr>
          <w:rStyle w:val="af9"/>
          <w:rFonts w:hint="cs"/>
          <w:rtl/>
        </w:rPr>
        <w:t xml:space="preserve">החמדת שלמה </w:t>
      </w:r>
      <w:r>
        <w:rPr>
          <w:rFonts w:hint="cs"/>
          <w:rtl/>
        </w:rPr>
        <w:t xml:space="preserve">דבקושייתם הבינו </w:t>
      </w:r>
      <w:r w:rsidRPr="006619D5">
        <w:rPr>
          <w:rStyle w:val="af9"/>
          <w:rFonts w:hint="cs"/>
          <w:rtl/>
        </w:rPr>
        <w:t>התוס'</w:t>
      </w:r>
      <w:r>
        <w:rPr>
          <w:rFonts w:hint="cs"/>
          <w:rtl/>
        </w:rPr>
        <w:t xml:space="preserve"> </w:t>
      </w:r>
      <w:r w:rsidRPr="006619D5">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Ref528000175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Pr>
          <w:rStyle w:val="af7"/>
          <w:rFonts w:eastAsia="Guttman Hodes"/>
          <w:rtl/>
        </w:rPr>
        <w:fldChar w:fldCharType="end"/>
      </w:r>
      <w:r w:rsidRPr="006619D5">
        <w:rPr>
          <w:rStyle w:val="af7"/>
          <w:rFonts w:eastAsia="Guttman Hodes" w:hint="cs"/>
          <w:rtl/>
        </w:rPr>
        <w:t xml:space="preserve"> </w:t>
      </w:r>
      <w:r>
        <w:rPr>
          <w:rFonts w:hint="cs"/>
          <w:rtl/>
        </w:rPr>
        <w:t>דהחזקה היא בירור, ולכן הקשו דמנלן דמעמידים על החזקה, כשיש ריעותא ובתרתי דסתרי.</w:t>
      </w:r>
    </w:p>
    <w:p w14:paraId="76A9FFA2" w14:textId="77777777" w:rsidR="00FF5773" w:rsidRDefault="00FF5773" w:rsidP="006D6D32">
      <w:pPr>
        <w:pStyle w:val="a3"/>
        <w:rPr>
          <w:rtl/>
        </w:rPr>
      </w:pPr>
      <w:bookmarkStart w:id="6946" w:name="_Toc527912577"/>
      <w:bookmarkStart w:id="6947" w:name="_Toc527924509"/>
      <w:bookmarkStart w:id="6948" w:name="_Toc527928728"/>
      <w:bookmarkStart w:id="6949" w:name="_Toc527999504"/>
      <w:bookmarkStart w:id="6950" w:name="_Toc19389857"/>
      <w:bookmarkStart w:id="6951" w:name="_Toc19393354"/>
      <w:r>
        <w:rPr>
          <w:rFonts w:hint="cs"/>
          <w:rtl/>
        </w:rPr>
        <w:t>ביאור החמדת שלמה בתי' התוס' דחזקה אינה בירור וילפינן מבית המנוגע לריעותא ותרתי דסתרי</w:t>
      </w:r>
      <w:bookmarkEnd w:id="6946"/>
      <w:bookmarkEnd w:id="6947"/>
      <w:bookmarkEnd w:id="6948"/>
      <w:bookmarkEnd w:id="6949"/>
      <w:bookmarkEnd w:id="6950"/>
      <w:bookmarkEnd w:id="6951"/>
    </w:p>
    <w:p w14:paraId="72C0E2C8" w14:textId="77777777" w:rsidR="00FF5773" w:rsidRDefault="00FF5773" w:rsidP="00223668">
      <w:pPr>
        <w:pStyle w:val="a0"/>
        <w:rPr>
          <w:rtl/>
        </w:rPr>
      </w:pPr>
      <w:r>
        <w:rPr>
          <w:rFonts w:hint="cs"/>
          <w:rtl/>
        </w:rPr>
        <w:t xml:space="preserve">ובתירוץ </w:t>
      </w:r>
      <w:r w:rsidRPr="006619D5">
        <w:rPr>
          <w:rStyle w:val="af9"/>
          <w:rFonts w:hint="cs"/>
          <w:rtl/>
        </w:rPr>
        <w:t>התוס'</w:t>
      </w:r>
      <w:r>
        <w:rPr>
          <w:rFonts w:hint="cs"/>
          <w:rtl/>
        </w:rPr>
        <w:t xml:space="preserve"> </w:t>
      </w:r>
      <w:r w:rsidRPr="006619D5">
        <w:rPr>
          <w:rStyle w:val="af7"/>
          <w:rFonts w:eastAsia="Guttman Hodes" w:hint="cs"/>
          <w:rtl/>
        </w:rPr>
        <w:t xml:space="preserve">(עי' אות </w:t>
      </w:r>
      <w:r w:rsidRPr="006619D5">
        <w:rPr>
          <w:rStyle w:val="af7"/>
          <w:rFonts w:eastAsia="Guttman Hodes"/>
          <w:rtl/>
        </w:rPr>
        <w:fldChar w:fldCharType="begin"/>
      </w:r>
      <w:r w:rsidRPr="006619D5">
        <w:rPr>
          <w:rStyle w:val="af7"/>
          <w:rFonts w:eastAsia="Guttman Hodes"/>
          <w:rtl/>
        </w:rPr>
        <w:instrText xml:space="preserve"> </w:instrText>
      </w:r>
      <w:r w:rsidRPr="006619D5">
        <w:rPr>
          <w:rStyle w:val="af7"/>
          <w:rFonts w:eastAsia="Guttman Hodes" w:hint="cs"/>
        </w:rPr>
        <w:instrText>REF</w:instrText>
      </w:r>
      <w:r w:rsidRPr="006619D5">
        <w:rPr>
          <w:rStyle w:val="af7"/>
          <w:rFonts w:eastAsia="Guttman Hodes" w:hint="cs"/>
          <w:rtl/>
        </w:rPr>
        <w:instrText xml:space="preserve"> _</w:instrText>
      </w:r>
      <w:r w:rsidRPr="006619D5">
        <w:rPr>
          <w:rStyle w:val="af7"/>
          <w:rFonts w:eastAsia="Guttman Hodes" w:hint="cs"/>
        </w:rPr>
        <w:instrText>Ref527490767 \r \h</w:instrText>
      </w:r>
      <w:r w:rsidRPr="006619D5">
        <w:rPr>
          <w:rStyle w:val="af7"/>
          <w:rFonts w:eastAsia="Guttman Hodes"/>
          <w:rtl/>
        </w:rPr>
        <w:instrText xml:space="preserve"> </w:instrText>
      </w:r>
      <w:r w:rsidRPr="006619D5">
        <w:rPr>
          <w:rStyle w:val="af7"/>
          <w:rFonts w:eastAsia="Guttman Hodes"/>
          <w:rtl/>
        </w:rPr>
      </w:r>
      <w:r w:rsidRPr="006619D5">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sidRPr="006619D5">
        <w:rPr>
          <w:rStyle w:val="af7"/>
          <w:rFonts w:eastAsia="Guttman Hodes"/>
          <w:rtl/>
        </w:rPr>
        <w:fldChar w:fldCharType="end"/>
      </w:r>
      <w:r>
        <w:rPr>
          <w:rFonts w:hint="cs"/>
          <w:rtl/>
        </w:rPr>
        <w:t xml:space="preserve"> ביאר </w:t>
      </w:r>
      <w:r w:rsidRPr="006619D5">
        <w:rPr>
          <w:rStyle w:val="af9"/>
          <w:rFonts w:hint="cs"/>
          <w:rtl/>
        </w:rPr>
        <w:t>החמדת שלמה</w:t>
      </w:r>
      <w:r>
        <w:rPr>
          <w:rFonts w:hint="cs"/>
          <w:rtl/>
        </w:rPr>
        <w:t xml:space="preserve"> דילפינן מבית המנוגע דמעמידים על החזקה אף כשיש ריעותא, וא"כ מוכח דהחזקה אינה מטעם בירור, וממילא מבואר דאף בתרתי דסתרי מעמידים על החזקה, דהיא כחזקה עם ריעותא.</w:t>
      </w:r>
    </w:p>
    <w:p w14:paraId="6CC91973" w14:textId="77777777" w:rsidR="00FF5773" w:rsidRDefault="00FF5773" w:rsidP="00BF39B2">
      <w:pPr>
        <w:pStyle w:val="1"/>
        <w:rPr>
          <w:rtl/>
        </w:rPr>
      </w:pPr>
      <w:bookmarkStart w:id="6952" w:name="_Toc527912578"/>
      <w:bookmarkStart w:id="6953" w:name="_Toc527924510"/>
      <w:bookmarkStart w:id="6954" w:name="_Toc527928729"/>
      <w:bookmarkStart w:id="6955" w:name="_Toc527999505"/>
      <w:bookmarkStart w:id="6956" w:name="_Toc19389858"/>
      <w:bookmarkStart w:id="6957" w:name="_Toc19393355"/>
      <w:r>
        <w:rPr>
          <w:rFonts w:hint="cs"/>
          <w:rtl/>
        </w:rPr>
        <w:t>דברי השע"מ ב</w:t>
      </w:r>
      <w:r w:rsidRPr="00FF064B">
        <w:rPr>
          <w:rFonts w:hint="cs"/>
          <w:rtl/>
        </w:rPr>
        <w:t xml:space="preserve">פלוגתת הראשונים </w:t>
      </w:r>
      <w:r>
        <w:rPr>
          <w:rFonts w:hint="cs"/>
          <w:rtl/>
        </w:rPr>
        <w:t>ב</w:t>
      </w:r>
      <w:r w:rsidRPr="00FF064B">
        <w:rPr>
          <w:rFonts w:hint="cs"/>
          <w:rtl/>
        </w:rPr>
        <w:t xml:space="preserve">חזקה </w:t>
      </w:r>
      <w:r>
        <w:rPr>
          <w:rFonts w:hint="cs"/>
          <w:rtl/>
        </w:rPr>
        <w:t>שיש בה</w:t>
      </w:r>
      <w:r w:rsidRPr="00FF064B">
        <w:rPr>
          <w:rFonts w:hint="cs"/>
          <w:rtl/>
        </w:rPr>
        <w:t xml:space="preserve"> ריעותא</w:t>
      </w:r>
      <w:bookmarkEnd w:id="6952"/>
      <w:bookmarkEnd w:id="6953"/>
      <w:bookmarkEnd w:id="6954"/>
      <w:bookmarkEnd w:id="6955"/>
      <w:bookmarkEnd w:id="6956"/>
      <w:bookmarkEnd w:id="6957"/>
    </w:p>
    <w:p w14:paraId="79E24849" w14:textId="77777777" w:rsidR="00FF5773" w:rsidRPr="009E2C49" w:rsidRDefault="00FF5773" w:rsidP="006D6D32">
      <w:pPr>
        <w:pStyle w:val="a3"/>
        <w:rPr>
          <w:rtl/>
        </w:rPr>
      </w:pPr>
      <w:bookmarkStart w:id="6958" w:name="_Toc527912579"/>
      <w:bookmarkStart w:id="6959" w:name="_Toc527924511"/>
      <w:bookmarkStart w:id="6960" w:name="_Toc527928730"/>
      <w:bookmarkStart w:id="6961" w:name="_Toc527999506"/>
      <w:bookmarkStart w:id="6962" w:name="_Toc19389859"/>
      <w:bookmarkStart w:id="6963" w:name="_Toc19393356"/>
      <w:r>
        <w:rPr>
          <w:rFonts w:hint="cs"/>
          <w:rtl/>
        </w:rPr>
        <w:t>דברי השע"מ דלדעת רבינו יונה והר"ן מעמידים על החזקה כשיש ריעותא</w:t>
      </w:r>
      <w:bookmarkEnd w:id="6958"/>
      <w:bookmarkEnd w:id="6959"/>
      <w:bookmarkEnd w:id="6960"/>
      <w:bookmarkEnd w:id="6961"/>
      <w:bookmarkEnd w:id="6962"/>
      <w:bookmarkEnd w:id="6963"/>
    </w:p>
    <w:p w14:paraId="78FC0DEE" w14:textId="77777777" w:rsidR="00FF5773" w:rsidRDefault="00FF5773" w:rsidP="00223668">
      <w:pPr>
        <w:pStyle w:val="a0"/>
        <w:rPr>
          <w:rtl/>
        </w:rPr>
      </w:pPr>
      <w:bookmarkStart w:id="6964" w:name="_Ref527904308"/>
      <w:r>
        <w:rPr>
          <w:rFonts w:hint="cs"/>
          <w:rtl/>
        </w:rPr>
        <w:t xml:space="preserve">בעיקר דברי </w:t>
      </w:r>
      <w:r w:rsidRPr="00A92164">
        <w:rPr>
          <w:rStyle w:val="af9"/>
          <w:rFonts w:hint="cs"/>
          <w:rtl/>
        </w:rPr>
        <w:t>התוס'</w:t>
      </w:r>
      <w:r>
        <w:rPr>
          <w:rFonts w:hint="cs"/>
          <w:rtl/>
        </w:rPr>
        <w:t xml:space="preserve"> </w:t>
      </w:r>
      <w:r w:rsidRPr="00A92164">
        <w:rPr>
          <w:rStyle w:val="af7"/>
          <w:rFonts w:eastAsia="Guttman Hodes" w:hint="cs"/>
          <w:rtl/>
        </w:rPr>
        <w:t xml:space="preserve">(עי' אות </w:t>
      </w:r>
      <w:r w:rsidRPr="00A92164">
        <w:rPr>
          <w:rStyle w:val="af7"/>
          <w:rFonts w:eastAsia="Guttman Hodes"/>
          <w:rtl/>
        </w:rPr>
        <w:fldChar w:fldCharType="begin"/>
      </w:r>
      <w:r w:rsidRPr="00A92164">
        <w:rPr>
          <w:rStyle w:val="af7"/>
          <w:rFonts w:eastAsia="Guttman Hodes"/>
          <w:rtl/>
        </w:rPr>
        <w:instrText xml:space="preserve"> </w:instrText>
      </w:r>
      <w:r w:rsidRPr="00A92164">
        <w:rPr>
          <w:rStyle w:val="af7"/>
          <w:rFonts w:eastAsia="Guttman Hodes" w:hint="cs"/>
        </w:rPr>
        <w:instrText>REF</w:instrText>
      </w:r>
      <w:r w:rsidRPr="00A92164">
        <w:rPr>
          <w:rStyle w:val="af7"/>
          <w:rFonts w:eastAsia="Guttman Hodes" w:hint="cs"/>
          <w:rtl/>
        </w:rPr>
        <w:instrText xml:space="preserve"> _</w:instrText>
      </w:r>
      <w:r w:rsidRPr="00A92164">
        <w:rPr>
          <w:rStyle w:val="af7"/>
          <w:rFonts w:eastAsia="Guttman Hodes" w:hint="cs"/>
        </w:rPr>
        <w:instrText>Ref527490767 \r \h</w:instrText>
      </w:r>
      <w:r w:rsidRPr="00A92164">
        <w:rPr>
          <w:rStyle w:val="af7"/>
          <w:rFonts w:eastAsia="Guttman Hodes"/>
          <w:rtl/>
        </w:rPr>
        <w:instrText xml:space="preserve"> </w:instrText>
      </w:r>
      <w:r w:rsidRPr="00A92164">
        <w:rPr>
          <w:rStyle w:val="af7"/>
          <w:rFonts w:eastAsia="Guttman Hodes"/>
          <w:rtl/>
        </w:rPr>
      </w:r>
      <w:r w:rsidRPr="00A92164">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sidRPr="00A92164">
        <w:rPr>
          <w:rStyle w:val="af7"/>
          <w:rFonts w:eastAsia="Guttman Hodes"/>
          <w:rtl/>
        </w:rPr>
        <w:fldChar w:fldCharType="end"/>
      </w:r>
      <w:r>
        <w:rPr>
          <w:rFonts w:hint="cs"/>
          <w:rtl/>
        </w:rPr>
        <w:t xml:space="preserve"> דכתבו דאף כשיש ריעותא מעמידים על החזקה, </w:t>
      </w:r>
      <w:r w:rsidRPr="008A3A47">
        <w:rPr>
          <w:rFonts w:hint="cs"/>
          <w:rtl/>
        </w:rPr>
        <w:t xml:space="preserve">כתב </w:t>
      </w:r>
      <w:r w:rsidRPr="00A178FE">
        <w:rPr>
          <w:rStyle w:val="af9"/>
          <w:rFonts w:hint="cs"/>
          <w:rtl/>
        </w:rPr>
        <w:t>השער המלך</w:t>
      </w:r>
      <w:r w:rsidRPr="008A3A47">
        <w:rPr>
          <w:rFonts w:hint="cs"/>
          <w:rtl/>
        </w:rPr>
        <w:t xml:space="preserve"> </w:t>
      </w:r>
      <w:r w:rsidRPr="00A178FE">
        <w:rPr>
          <w:rStyle w:val="af7"/>
          <w:rFonts w:eastAsia="Guttman Hodes" w:hint="cs"/>
          <w:rtl/>
        </w:rPr>
        <w:t xml:space="preserve">(אישות ג' י"ד ד"ה ומדברי הר"ן) </w:t>
      </w:r>
      <w:r>
        <w:rPr>
          <w:rFonts w:hint="cs"/>
          <w:rtl/>
        </w:rPr>
        <w:t xml:space="preserve">דכן מבואר בדברי </w:t>
      </w:r>
      <w:r w:rsidRPr="00A178FE">
        <w:rPr>
          <w:rStyle w:val="af9"/>
          <w:rFonts w:hint="cs"/>
          <w:rtl/>
        </w:rPr>
        <w:t>הר"ן על הרי"ף</w:t>
      </w:r>
      <w:r>
        <w:rPr>
          <w:rFonts w:hint="cs"/>
          <w:rtl/>
        </w:rPr>
        <w:t xml:space="preserve"> </w:t>
      </w:r>
      <w:r w:rsidRPr="00A178FE">
        <w:rPr>
          <w:rStyle w:val="af7"/>
          <w:rFonts w:eastAsia="Guttman Hodes" w:hint="cs"/>
          <w:rtl/>
        </w:rPr>
        <w:t xml:space="preserve">(ג. מדפי הרי"ף ד"ה גרסי') </w:t>
      </w:r>
      <w:r>
        <w:rPr>
          <w:rFonts w:hint="cs"/>
          <w:rtl/>
        </w:rPr>
        <w:t xml:space="preserve">דכתב בשם </w:t>
      </w:r>
      <w:r w:rsidRPr="00A178FE">
        <w:rPr>
          <w:rStyle w:val="af9"/>
          <w:rFonts w:hint="cs"/>
          <w:rtl/>
        </w:rPr>
        <w:t>רבינו יונה</w:t>
      </w:r>
      <w:r>
        <w:rPr>
          <w:rFonts w:hint="cs"/>
          <w:rtl/>
        </w:rPr>
        <w:t xml:space="preserve"> דבהמה שנשחטה ונמצאת טריפה, הגבינות שנעשו ממנה מותרות, דכיון שבהמה בחייה בחזקת שאינה טריפה, אמרינן דעכשיו סמוך לשחיטתה נטרפה, וכתב </w:t>
      </w:r>
      <w:r w:rsidRPr="00A178FE">
        <w:rPr>
          <w:rStyle w:val="af9"/>
          <w:rFonts w:hint="cs"/>
          <w:rtl/>
        </w:rPr>
        <w:t>השער המלך</w:t>
      </w:r>
      <w:r>
        <w:rPr>
          <w:rFonts w:hint="cs"/>
          <w:rtl/>
        </w:rPr>
        <w:t xml:space="preserve"> דמבואר מדברי </w:t>
      </w:r>
      <w:r w:rsidRPr="00A178FE">
        <w:rPr>
          <w:rStyle w:val="af9"/>
          <w:rFonts w:hint="cs"/>
          <w:rtl/>
        </w:rPr>
        <w:t>הר"ן על הרי"ף</w:t>
      </w:r>
      <w:r>
        <w:rPr>
          <w:rFonts w:hint="cs"/>
          <w:rtl/>
        </w:rPr>
        <w:t xml:space="preserve"> דאף שיש ריעותא בחזקה קמייתא, דהא היא טריפה לפנינו, אפ"ה מעמידים אותה על חזקתה ואמרינן דנטרפה סמוך לשחיטתה, וע"ע במה שהאריך בזה </w:t>
      </w:r>
      <w:r w:rsidRPr="00763071">
        <w:rPr>
          <w:rStyle w:val="af9"/>
          <w:rFonts w:hint="cs"/>
          <w:rtl/>
        </w:rPr>
        <w:t>החלקת יואב</w:t>
      </w:r>
      <w:r>
        <w:rPr>
          <w:rFonts w:hint="cs"/>
          <w:rtl/>
        </w:rPr>
        <w:t xml:space="preserve"> </w:t>
      </w:r>
      <w:r w:rsidRPr="00763071">
        <w:rPr>
          <w:rStyle w:val="af7"/>
          <w:rFonts w:eastAsia="Guttman Hodes" w:hint="cs"/>
          <w:rtl/>
        </w:rPr>
        <w:t>(ח"א פתיחה ליו"ד סעיף</w:t>
      </w:r>
      <w:r>
        <w:rPr>
          <w:rStyle w:val="af7"/>
          <w:rFonts w:eastAsia="Guttman Hodes" w:hint="cs"/>
          <w:rtl/>
        </w:rPr>
        <w:t xml:space="preserve"> א')</w:t>
      </w:r>
      <w:r>
        <w:rPr>
          <w:rFonts w:hint="cs"/>
          <w:rtl/>
        </w:rPr>
        <w:t>.</w:t>
      </w:r>
      <w:bookmarkEnd w:id="6964"/>
    </w:p>
    <w:p w14:paraId="78AF5593" w14:textId="77777777" w:rsidR="00FF5773" w:rsidRDefault="00FF5773" w:rsidP="006D6D32">
      <w:pPr>
        <w:pStyle w:val="a3"/>
      </w:pPr>
      <w:bookmarkStart w:id="6965" w:name="_Toc527912580"/>
      <w:bookmarkStart w:id="6966" w:name="_Toc527924512"/>
      <w:bookmarkStart w:id="6967" w:name="_Toc527928731"/>
      <w:bookmarkStart w:id="6968" w:name="_Toc527999507"/>
      <w:bookmarkStart w:id="6969" w:name="_Toc19389860"/>
      <w:bookmarkStart w:id="6970" w:name="_Toc19393357"/>
      <w:r>
        <w:rPr>
          <w:rFonts w:hint="cs"/>
          <w:rtl/>
        </w:rPr>
        <w:t>דברי השע"מ דלדעת הטור אין מעמידים על החזקה כשיש ריעותא</w:t>
      </w:r>
      <w:bookmarkEnd w:id="6965"/>
      <w:bookmarkEnd w:id="6966"/>
      <w:bookmarkEnd w:id="6967"/>
      <w:bookmarkEnd w:id="6968"/>
      <w:bookmarkEnd w:id="6969"/>
      <w:bookmarkEnd w:id="6970"/>
    </w:p>
    <w:p w14:paraId="7972DAD1" w14:textId="77777777" w:rsidR="00FF5773" w:rsidRPr="008A3A47" w:rsidRDefault="00FF5773" w:rsidP="00223668">
      <w:pPr>
        <w:pStyle w:val="a0"/>
        <w:rPr>
          <w:rtl/>
        </w:rPr>
      </w:pPr>
      <w:r>
        <w:rPr>
          <w:rFonts w:hint="cs"/>
          <w:rtl/>
        </w:rPr>
        <w:t>והביא</w:t>
      </w:r>
      <w:r>
        <w:rPr>
          <w:rStyle w:val="af9"/>
          <w:rFonts w:hint="cs"/>
          <w:rtl/>
        </w:rPr>
        <w:t xml:space="preserve"> </w:t>
      </w:r>
      <w:r w:rsidRPr="00A92164">
        <w:rPr>
          <w:rStyle w:val="af9"/>
          <w:rFonts w:hint="cs"/>
          <w:rtl/>
        </w:rPr>
        <w:t>השער המלך</w:t>
      </w:r>
      <w:r w:rsidRPr="008A3A47">
        <w:rPr>
          <w:rFonts w:hint="cs"/>
          <w:rtl/>
        </w:rPr>
        <w:t xml:space="preserve"> </w:t>
      </w:r>
      <w:r w:rsidRPr="00A92164">
        <w:rPr>
          <w:rStyle w:val="af7"/>
          <w:rFonts w:eastAsia="Guttman Hodes" w:hint="cs"/>
          <w:rtl/>
        </w:rPr>
        <w:t>(אישות ג' י"ד ד"ה ודעת הטור)</w:t>
      </w:r>
      <w:r>
        <w:rPr>
          <w:rFonts w:hint="cs"/>
          <w:rtl/>
        </w:rPr>
        <w:t xml:space="preserve"> את דברי </w:t>
      </w:r>
      <w:r w:rsidRPr="00A92164">
        <w:rPr>
          <w:rStyle w:val="af9"/>
          <w:rFonts w:hint="cs"/>
          <w:rtl/>
        </w:rPr>
        <w:t xml:space="preserve">הטור </w:t>
      </w:r>
      <w:r w:rsidRPr="00A92164">
        <w:rPr>
          <w:rStyle w:val="af7"/>
          <w:rFonts w:eastAsia="Guttman Hodes" w:hint="cs"/>
          <w:rtl/>
        </w:rPr>
        <w:t>(אה"ע ל"ז ו')</w:t>
      </w:r>
      <w:r w:rsidRPr="008A3A47">
        <w:rPr>
          <w:rFonts w:hint="cs"/>
          <w:rtl/>
        </w:rPr>
        <w:t xml:space="preserve"> </w:t>
      </w:r>
      <w:r>
        <w:rPr>
          <w:rFonts w:hint="cs"/>
          <w:rtl/>
        </w:rPr>
        <w:t xml:space="preserve">דכתב דנערה בתוך הו' חדשים של ימי נערות, וקדשה אביה בדרך וקידשה עצמה בעיר שלא לדעת אביה, ועכשיו נמצאו בה סימנים, </w:t>
      </w:r>
      <w:r w:rsidRPr="00A92164">
        <w:rPr>
          <w:rStyle w:val="afb"/>
          <w:rFonts w:hint="cs"/>
          <w:rtl/>
        </w:rPr>
        <w:t>[ויש ספק אם היו לה סימנים בזמן שקידשה אביה</w:t>
      </w:r>
      <w:r>
        <w:rPr>
          <w:rStyle w:val="afb"/>
          <w:rFonts w:hint="cs"/>
          <w:rtl/>
        </w:rPr>
        <w:t>,</w:t>
      </w:r>
      <w:r w:rsidRPr="00A92164">
        <w:rPr>
          <w:rStyle w:val="afb"/>
          <w:rFonts w:hint="cs"/>
          <w:rtl/>
        </w:rPr>
        <w:t xml:space="preserve"> ואין קידושיו קידושין],</w:t>
      </w:r>
      <w:r>
        <w:rPr>
          <w:rFonts w:hint="cs"/>
          <w:rtl/>
        </w:rPr>
        <w:t xml:space="preserve"> דהיא מקודשת מספק וצריכה גט משניהם, וכתב </w:t>
      </w:r>
      <w:r w:rsidRPr="00A92164">
        <w:rPr>
          <w:rStyle w:val="af9"/>
          <w:rFonts w:hint="cs"/>
          <w:rtl/>
        </w:rPr>
        <w:t>השער המלך</w:t>
      </w:r>
      <w:r>
        <w:rPr>
          <w:rFonts w:hint="cs"/>
          <w:rtl/>
        </w:rPr>
        <w:t xml:space="preserve"> דמבואר מדברי </w:t>
      </w:r>
      <w:r w:rsidRPr="00A92164">
        <w:rPr>
          <w:rStyle w:val="af9"/>
          <w:rFonts w:hint="cs"/>
          <w:rtl/>
        </w:rPr>
        <w:t xml:space="preserve">הטור </w:t>
      </w:r>
      <w:r>
        <w:rPr>
          <w:rFonts w:hint="cs"/>
          <w:rtl/>
        </w:rPr>
        <w:t xml:space="preserve">דהוא </w:t>
      </w:r>
      <w:r w:rsidRPr="008A3A47">
        <w:rPr>
          <w:rFonts w:hint="cs"/>
          <w:rtl/>
        </w:rPr>
        <w:t xml:space="preserve">פליג על </w:t>
      </w:r>
      <w:r w:rsidRPr="00A92164">
        <w:rPr>
          <w:rStyle w:val="af9"/>
          <w:rFonts w:hint="cs"/>
          <w:rtl/>
        </w:rPr>
        <w:t xml:space="preserve">התוס' </w:t>
      </w:r>
      <w:r w:rsidRPr="008A3A47">
        <w:rPr>
          <w:rFonts w:hint="cs"/>
          <w:rtl/>
        </w:rPr>
        <w:t>וס"ל ד</w:t>
      </w:r>
      <w:r>
        <w:rPr>
          <w:rFonts w:hint="cs"/>
          <w:rtl/>
        </w:rPr>
        <w:t>כשיש ריעותא לא אזלינן בתר חזקה, ולכן כיון שיש ריעותא בחזקת נערות שלה דנמצאו בה סימנים, לכן לא מעמידים אותה בחזקת נערה, דהרי בוגרת לפנינו.</w:t>
      </w:r>
    </w:p>
    <w:p w14:paraId="46416BDA" w14:textId="77777777" w:rsidR="00FF5773" w:rsidRDefault="00FF5773" w:rsidP="006D6D32">
      <w:pPr>
        <w:pStyle w:val="a3"/>
        <w:rPr>
          <w:rtl/>
        </w:rPr>
      </w:pPr>
      <w:bookmarkStart w:id="6971" w:name="_Toc527912581"/>
      <w:bookmarkStart w:id="6972" w:name="_Toc527924513"/>
      <w:bookmarkStart w:id="6973" w:name="_Toc527928732"/>
      <w:bookmarkStart w:id="6974" w:name="_Toc527999508"/>
      <w:bookmarkStart w:id="6975" w:name="_Toc19389861"/>
      <w:bookmarkStart w:id="6976" w:name="_Toc19393358"/>
      <w:r>
        <w:rPr>
          <w:rFonts w:hint="cs"/>
          <w:rtl/>
        </w:rPr>
        <w:t>דברי השע"מ דלדעת התוס' ביבמות</w:t>
      </w:r>
      <w:r w:rsidRPr="00765A0C">
        <w:rPr>
          <w:rFonts w:hint="cs"/>
          <w:rtl/>
        </w:rPr>
        <w:t xml:space="preserve"> </w:t>
      </w:r>
      <w:r>
        <w:rPr>
          <w:rFonts w:hint="cs"/>
          <w:rtl/>
        </w:rPr>
        <w:t>אין מעמידים על החזקה כשיש ריעותא</w:t>
      </w:r>
      <w:bookmarkEnd w:id="6971"/>
      <w:bookmarkEnd w:id="6972"/>
      <w:bookmarkEnd w:id="6973"/>
      <w:bookmarkEnd w:id="6974"/>
      <w:bookmarkEnd w:id="6975"/>
      <w:bookmarkEnd w:id="6976"/>
    </w:p>
    <w:p w14:paraId="56D361A3" w14:textId="77777777" w:rsidR="00FF5773" w:rsidRPr="00606607" w:rsidRDefault="00FF5773" w:rsidP="00223668">
      <w:pPr>
        <w:pStyle w:val="a0"/>
        <w:rPr>
          <w:rStyle w:val="afb"/>
          <w:rtl/>
        </w:rPr>
      </w:pPr>
      <w:r>
        <w:rPr>
          <w:rFonts w:hint="cs"/>
          <w:rtl/>
        </w:rPr>
        <w:t xml:space="preserve">והוסיף </w:t>
      </w:r>
      <w:r w:rsidRPr="00606607">
        <w:rPr>
          <w:rStyle w:val="af9"/>
          <w:rFonts w:hint="cs"/>
          <w:rtl/>
        </w:rPr>
        <w:t>השער המלך</w:t>
      </w:r>
      <w:r>
        <w:rPr>
          <w:rFonts w:hint="cs"/>
          <w:rtl/>
        </w:rPr>
        <w:t xml:space="preserve"> דכן מבואר </w:t>
      </w:r>
      <w:r w:rsidRPr="00606607">
        <w:rPr>
          <w:rStyle w:val="af9"/>
          <w:rFonts w:hint="cs"/>
          <w:rtl/>
        </w:rPr>
        <w:t>בתוס' ביבמות</w:t>
      </w:r>
      <w:r>
        <w:rPr>
          <w:rFonts w:hint="cs"/>
          <w:rtl/>
        </w:rPr>
        <w:t xml:space="preserve"> </w:t>
      </w:r>
      <w:r w:rsidRPr="00606607">
        <w:rPr>
          <w:rStyle w:val="af7"/>
          <w:rFonts w:eastAsia="Guttman Hodes" w:hint="cs"/>
          <w:rtl/>
        </w:rPr>
        <w:t xml:space="preserve">(סח. סוד"ה רישא) </w:t>
      </w:r>
      <w:r>
        <w:rPr>
          <w:rFonts w:hint="cs"/>
          <w:rtl/>
        </w:rPr>
        <w:t xml:space="preserve">דבמקום שיש ריעותא אין מעמידים על החזקה, דכתבו דבספק בן ט' אין מעמידים אותו על חזקתו שהיה קטן, כיון דעכשיו שבא לפנינו הוא ודאי בן ט' ואיתרע החזקה קמייתא, ועיי"ש דביאר </w:t>
      </w:r>
      <w:r w:rsidRPr="00606607">
        <w:rPr>
          <w:rStyle w:val="af9"/>
          <w:rFonts w:hint="cs"/>
          <w:rtl/>
        </w:rPr>
        <w:t>השער המלך</w:t>
      </w:r>
      <w:r>
        <w:rPr>
          <w:rFonts w:hint="cs"/>
          <w:rtl/>
        </w:rPr>
        <w:t xml:space="preserve"> דאין הכוונה דלא אזלינן בתר החזקה כלל, אלא דהוי ספק</w:t>
      </w:r>
      <w:r>
        <w:rPr>
          <w:rStyle w:val="af1"/>
          <w:rtl/>
        </w:rPr>
        <w:footnoteReference w:id="40"/>
      </w:r>
      <w:r>
        <w:rPr>
          <w:rFonts w:hint="cs"/>
          <w:rtl/>
        </w:rPr>
        <w:t>,</w:t>
      </w:r>
      <w:r w:rsidRPr="00EC120E">
        <w:rPr>
          <w:rFonts w:hint="cs"/>
          <w:rtl/>
        </w:rPr>
        <w:t xml:space="preserve"> </w:t>
      </w:r>
      <w:r>
        <w:rPr>
          <w:rFonts w:hint="cs"/>
          <w:rtl/>
        </w:rPr>
        <w:t xml:space="preserve">וע"ע במ"ש </w:t>
      </w:r>
      <w:r w:rsidRPr="00EC120E">
        <w:rPr>
          <w:rStyle w:val="af9"/>
          <w:rFonts w:hint="cs"/>
          <w:rtl/>
        </w:rPr>
        <w:t>המחנ"א</w:t>
      </w:r>
      <w:r>
        <w:rPr>
          <w:rFonts w:hint="cs"/>
          <w:rtl/>
        </w:rPr>
        <w:t xml:space="preserve"> </w:t>
      </w:r>
      <w:r w:rsidRPr="00EC120E">
        <w:rPr>
          <w:rStyle w:val="af7"/>
          <w:rFonts w:eastAsia="Guttman Hodes" w:hint="cs"/>
          <w:rtl/>
        </w:rPr>
        <w:t>(אישות ג'</w:t>
      </w:r>
      <w:r>
        <w:rPr>
          <w:rStyle w:val="af7"/>
          <w:rFonts w:eastAsia="Guttman Hodes" w:hint="cs"/>
          <w:rtl/>
        </w:rPr>
        <w:t xml:space="preserve"> ד"ה</w:t>
      </w:r>
      <w:r w:rsidRPr="00EC120E">
        <w:rPr>
          <w:rStyle w:val="af7"/>
          <w:rFonts w:eastAsia="Guttman Hodes" w:hint="cs"/>
          <w:rtl/>
        </w:rPr>
        <w:t xml:space="preserve"> אבל לע"ד)</w:t>
      </w:r>
      <w:r>
        <w:rPr>
          <w:rFonts w:hint="cs"/>
          <w:rtl/>
        </w:rPr>
        <w:t>.</w:t>
      </w:r>
    </w:p>
    <w:p w14:paraId="06558315" w14:textId="77777777" w:rsidR="0031789C" w:rsidRDefault="0031789C" w:rsidP="006D6D32">
      <w:pPr>
        <w:pStyle w:val="afe"/>
        <w:rPr>
          <w:rtl/>
        </w:rPr>
      </w:pPr>
      <w:bookmarkStart w:id="6977" w:name="_Toc527912582"/>
      <w:bookmarkStart w:id="6978" w:name="_Toc527924514"/>
      <w:bookmarkStart w:id="6979" w:name="_Toc527928733"/>
      <w:bookmarkStart w:id="6980" w:name="_Toc527999509"/>
    </w:p>
    <w:p w14:paraId="19928071" w14:textId="77777777" w:rsidR="0031789C" w:rsidRDefault="0031789C" w:rsidP="006D6D32">
      <w:pPr>
        <w:pStyle w:val="afe"/>
        <w:rPr>
          <w:rtl/>
        </w:rPr>
      </w:pPr>
    </w:p>
    <w:p w14:paraId="2456314A" w14:textId="77777777" w:rsidR="0031789C" w:rsidRDefault="0031789C" w:rsidP="006D6D32">
      <w:pPr>
        <w:pStyle w:val="afe"/>
        <w:rPr>
          <w:rtl/>
        </w:rPr>
      </w:pPr>
    </w:p>
    <w:p w14:paraId="19ADAD3E" w14:textId="77777777" w:rsidR="00FF5773" w:rsidRDefault="00FF5773" w:rsidP="006D6D32">
      <w:pPr>
        <w:pStyle w:val="afe"/>
        <w:rPr>
          <w:rtl/>
        </w:rPr>
      </w:pPr>
      <w:bookmarkStart w:id="6981" w:name="_Toc19435489"/>
      <w:bookmarkStart w:id="6982" w:name="_Toc20080797"/>
      <w:r>
        <w:rPr>
          <w:rFonts w:hint="cs"/>
          <w:rtl/>
        </w:rPr>
        <w:t>בדין תרתי לריעותא בבית המנוגע</w:t>
      </w:r>
      <w:bookmarkEnd w:id="6977"/>
      <w:bookmarkEnd w:id="6978"/>
      <w:bookmarkEnd w:id="6979"/>
      <w:bookmarkEnd w:id="6980"/>
      <w:bookmarkEnd w:id="6981"/>
      <w:bookmarkEnd w:id="6982"/>
    </w:p>
    <w:p w14:paraId="36DBD055" w14:textId="77777777" w:rsidR="00FF5773" w:rsidRDefault="00FF5773" w:rsidP="00BF39B2">
      <w:pPr>
        <w:pStyle w:val="1"/>
        <w:rPr>
          <w:rtl/>
        </w:rPr>
      </w:pPr>
      <w:bookmarkStart w:id="6983" w:name="_Toc527912583"/>
      <w:bookmarkStart w:id="6984" w:name="_Toc527924515"/>
      <w:bookmarkStart w:id="6985" w:name="_Toc527928734"/>
      <w:bookmarkStart w:id="6986" w:name="_Toc527999510"/>
      <w:bookmarkStart w:id="6987" w:name="_Toc19389862"/>
      <w:bookmarkStart w:id="6988" w:name="_Toc19393359"/>
      <w:r>
        <w:rPr>
          <w:rFonts w:hint="cs"/>
          <w:rtl/>
        </w:rPr>
        <w:t>קושית התוס' דנעמיד את הגברא בחזקת טהור כמו במקוה</w:t>
      </w:r>
      <w:bookmarkEnd w:id="6983"/>
      <w:bookmarkEnd w:id="6984"/>
      <w:bookmarkEnd w:id="6985"/>
      <w:bookmarkEnd w:id="6986"/>
      <w:bookmarkEnd w:id="6987"/>
      <w:bookmarkEnd w:id="6988"/>
    </w:p>
    <w:p w14:paraId="29D4182F" w14:textId="77777777" w:rsidR="00FF5773" w:rsidRPr="00D93338" w:rsidRDefault="00FF5773" w:rsidP="006D6D32">
      <w:pPr>
        <w:pStyle w:val="a3"/>
        <w:rPr>
          <w:rtl/>
        </w:rPr>
      </w:pPr>
      <w:bookmarkStart w:id="6989" w:name="_Toc527912584"/>
      <w:bookmarkStart w:id="6990" w:name="_Toc527924516"/>
      <w:bookmarkStart w:id="6991" w:name="_Toc527928735"/>
      <w:bookmarkStart w:id="6992" w:name="_Toc527999511"/>
      <w:bookmarkStart w:id="6993" w:name="_Toc19389863"/>
      <w:bookmarkStart w:id="6994" w:name="_Toc19393360"/>
      <w:r>
        <w:rPr>
          <w:rFonts w:hint="cs"/>
          <w:rtl/>
        </w:rPr>
        <w:t>קושית התוס' דכמו דבמקוה אמרינן תרת"ל בנגע נעמיד את הגברא בחזקת טהור דהרי חסר לפניך</w:t>
      </w:r>
      <w:bookmarkEnd w:id="6989"/>
      <w:bookmarkEnd w:id="6990"/>
      <w:bookmarkEnd w:id="6991"/>
      <w:bookmarkEnd w:id="6992"/>
      <w:bookmarkEnd w:id="6993"/>
      <w:bookmarkEnd w:id="6994"/>
    </w:p>
    <w:p w14:paraId="48B08B9B" w14:textId="77777777" w:rsidR="00FF5773" w:rsidRDefault="00FF5773" w:rsidP="00E12979">
      <w:pPr>
        <w:pStyle w:val="a0"/>
        <w:numPr>
          <w:ilvl w:val="0"/>
          <w:numId w:val="5"/>
        </w:numPr>
        <w:rPr>
          <w:rtl/>
        </w:rPr>
      </w:pPr>
      <w:bookmarkStart w:id="6995" w:name="_Ref527488441"/>
      <w:r>
        <w:rPr>
          <w:rFonts w:hint="cs"/>
          <w:rtl/>
        </w:rPr>
        <w:t xml:space="preserve">עוד הקשו </w:t>
      </w:r>
      <w:r>
        <w:rPr>
          <w:rStyle w:val="af9"/>
          <w:rtl/>
        </w:rPr>
        <w:t>התוס'</w:t>
      </w:r>
      <w:r>
        <w:rPr>
          <w:rFonts w:hint="cs"/>
          <w:rtl/>
        </w:rPr>
        <w:t xml:space="preserve"> </w:t>
      </w:r>
      <w:r w:rsidRPr="00223668">
        <w:rPr>
          <w:rStyle w:val="af7"/>
          <w:rFonts w:eastAsia="Guttman Hodes" w:hint="cs"/>
          <w:rtl/>
        </w:rPr>
        <w:t>(ד"ה ודילמא)</w:t>
      </w:r>
      <w:r>
        <w:rPr>
          <w:rFonts w:hint="cs"/>
          <w:rtl/>
        </w:rPr>
        <w:t xml:space="preserve"> דהא במקוה שהיה בחזקת שלם וטבלו בו, ואח"כ נמצא חסר, דאמרינן בגמ' בנדה </w:t>
      </w:r>
      <w:r w:rsidRPr="00223668">
        <w:rPr>
          <w:rStyle w:val="af7"/>
          <w:rFonts w:eastAsia="Guttman Hodes" w:hint="cs"/>
          <w:rtl/>
        </w:rPr>
        <w:t>(ב:)</w:t>
      </w:r>
      <w:r>
        <w:rPr>
          <w:rFonts w:hint="cs"/>
          <w:rtl/>
        </w:rPr>
        <w:t xml:space="preserve"> דכל הטהרות שנעשו על גביו טמאות, כיון שיש תרתי לריעותא דחסר לפניך, והעמד טמא על חזקתו, ולא מעמידים את המקוה על חזקתו, וא"כ ה"ה בבית המנוגע, אמאי מעמידים את הנגע על חזקתו, ולא אמרינן דכיון שחסר הנגע לפניך, והגברא בחזקת טהור, דנעמידו בחזקתו טהרה, ועי' בדברי </w:t>
      </w:r>
      <w:r w:rsidRPr="0067045B">
        <w:rPr>
          <w:rStyle w:val="af9"/>
          <w:rFonts w:hint="cs"/>
          <w:rtl/>
        </w:rPr>
        <w:t>המשנת ר"א</w:t>
      </w:r>
      <w:r>
        <w:rPr>
          <w:rFonts w:hint="cs"/>
          <w:rtl/>
        </w:rPr>
        <w:t xml:space="preserve"> </w:t>
      </w:r>
      <w:r w:rsidRPr="00223668">
        <w:rPr>
          <w:rStyle w:val="af7"/>
          <w:rFonts w:eastAsia="Guttman Hodes" w:hint="cs"/>
          <w:rtl/>
        </w:rPr>
        <w:t xml:space="preserve">(עי' הערה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NOTEREF</w:instrText>
      </w:r>
      <w:r w:rsidRPr="00223668">
        <w:rPr>
          <w:rStyle w:val="af7"/>
          <w:rFonts w:eastAsia="Guttman Hodes" w:hint="cs"/>
          <w:rtl/>
        </w:rPr>
        <w:instrText xml:space="preserve"> _</w:instrText>
      </w:r>
      <w:r w:rsidRPr="00223668">
        <w:rPr>
          <w:rStyle w:val="af7"/>
          <w:rFonts w:eastAsia="Guttman Hodes" w:hint="cs"/>
        </w:rPr>
        <w:instrText>Ref527883111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rtl/>
        </w:rPr>
        <w:t>44</w:t>
      </w:r>
      <w:r w:rsidRPr="00223668">
        <w:rPr>
          <w:rStyle w:val="af7"/>
          <w:rFonts w:eastAsia="Guttman Hodes"/>
          <w:rtl/>
        </w:rPr>
        <w:fldChar w:fldCharType="end"/>
      </w:r>
      <w:bookmarkEnd w:id="6995"/>
      <w:r w:rsidRPr="00223668">
        <w:rPr>
          <w:rStyle w:val="af7"/>
          <w:rFonts w:eastAsia="Guttman Hodes" w:hint="cs"/>
          <w:rtl/>
        </w:rPr>
        <w:t>)</w:t>
      </w:r>
      <w:r>
        <w:rPr>
          <w:rFonts w:hint="cs"/>
          <w:rtl/>
        </w:rPr>
        <w:t xml:space="preserve">, ועי' במ"ש </w:t>
      </w:r>
      <w:r w:rsidRPr="003E47BE">
        <w:rPr>
          <w:rStyle w:val="af9"/>
          <w:rtl/>
        </w:rPr>
        <w:t>האבהא"ז</w:t>
      </w:r>
      <w:r>
        <w:rPr>
          <w:rtl/>
        </w:rPr>
        <w:t xml:space="preserve"> </w:t>
      </w:r>
      <w:r w:rsidRPr="00223668">
        <w:rPr>
          <w:rStyle w:val="af7"/>
          <w:rFonts w:eastAsia="Guttman Hodes"/>
          <w:rtl/>
        </w:rPr>
        <w:t xml:space="preserve">(אישות י' ט"ו ד"ה </w:t>
      </w:r>
      <w:r w:rsidRPr="00223668">
        <w:rPr>
          <w:rStyle w:val="af7"/>
          <w:rFonts w:eastAsia="Guttman Hodes" w:hint="cs"/>
          <w:rtl/>
        </w:rPr>
        <w:t>ועתה נוכל</w:t>
      </w:r>
      <w:r w:rsidRPr="00223668">
        <w:rPr>
          <w:rStyle w:val="af7"/>
          <w:rFonts w:eastAsia="Guttman Hodes"/>
          <w:rtl/>
        </w:rPr>
        <w:t>)</w:t>
      </w:r>
      <w:r>
        <w:rPr>
          <w:rFonts w:hint="cs"/>
          <w:rtl/>
        </w:rPr>
        <w:t xml:space="preserve"> בביאור דברי </w:t>
      </w:r>
      <w:r w:rsidRPr="003E47BE">
        <w:rPr>
          <w:rStyle w:val="af9"/>
          <w:rFonts w:hint="cs"/>
          <w:rtl/>
        </w:rPr>
        <w:t>התוס'</w:t>
      </w:r>
      <w:r>
        <w:rPr>
          <w:rFonts w:hint="cs"/>
          <w:rtl/>
        </w:rPr>
        <w:t>.</w:t>
      </w:r>
    </w:p>
    <w:p w14:paraId="37E88C8E" w14:textId="77777777" w:rsidR="00FF5773" w:rsidRDefault="00FF5773" w:rsidP="00BF39B2">
      <w:pPr>
        <w:pStyle w:val="1"/>
        <w:rPr>
          <w:rtl/>
        </w:rPr>
      </w:pPr>
      <w:bookmarkStart w:id="6996" w:name="_Toc527912586"/>
      <w:bookmarkStart w:id="6997" w:name="_Toc527924518"/>
      <w:bookmarkStart w:id="6998" w:name="_Toc527928737"/>
      <w:bookmarkStart w:id="6999" w:name="_Toc527999512"/>
      <w:bookmarkStart w:id="7000" w:name="_Toc19389864"/>
      <w:bookmarkStart w:id="7001" w:name="_Toc19393361"/>
      <w:r w:rsidRPr="00251513">
        <w:rPr>
          <w:rFonts w:hint="cs"/>
          <w:rtl/>
        </w:rPr>
        <w:t>ביאור הר"ש משנץ</w:t>
      </w:r>
      <w:bookmarkEnd w:id="6996"/>
      <w:bookmarkEnd w:id="6997"/>
      <w:bookmarkEnd w:id="6998"/>
      <w:r>
        <w:rPr>
          <w:rFonts w:hint="cs"/>
          <w:rtl/>
        </w:rPr>
        <w:t xml:space="preserve"> דחזקת הגברא לא מהני לזמן ההסגר</w:t>
      </w:r>
      <w:bookmarkEnd w:id="6999"/>
      <w:bookmarkEnd w:id="7000"/>
      <w:bookmarkEnd w:id="7001"/>
    </w:p>
    <w:p w14:paraId="6F64F5DB" w14:textId="77777777" w:rsidR="00FF5773" w:rsidRPr="00D34C2F" w:rsidRDefault="00FF5773" w:rsidP="006D6D32">
      <w:pPr>
        <w:pStyle w:val="a3"/>
        <w:rPr>
          <w:rtl/>
        </w:rPr>
      </w:pPr>
      <w:bookmarkStart w:id="7002" w:name="_Toc527912587"/>
      <w:bookmarkStart w:id="7003" w:name="_Toc527924519"/>
      <w:bookmarkStart w:id="7004" w:name="_Toc527928738"/>
      <w:bookmarkStart w:id="7005" w:name="_Toc527999513"/>
      <w:bookmarkStart w:id="7006" w:name="_Toc19389865"/>
      <w:bookmarkStart w:id="7007" w:name="_Toc19393362"/>
      <w:r>
        <w:rPr>
          <w:rFonts w:hint="cs"/>
          <w:rtl/>
        </w:rPr>
        <w:t>דברי הר"ש משנץ דמקוה ע"י התרת"ל אי"ז טבילה אבל בנגע עדיין הוא טמא דנכנס לבית מוסגר</w:t>
      </w:r>
      <w:bookmarkEnd w:id="7002"/>
      <w:bookmarkEnd w:id="7003"/>
      <w:bookmarkEnd w:id="7004"/>
      <w:bookmarkEnd w:id="7005"/>
      <w:bookmarkEnd w:id="7006"/>
      <w:bookmarkEnd w:id="7007"/>
    </w:p>
    <w:p w14:paraId="0F38BD56" w14:textId="77777777" w:rsidR="00FF5773" w:rsidRDefault="00FF5773" w:rsidP="00223668">
      <w:pPr>
        <w:pStyle w:val="a0"/>
        <w:rPr>
          <w:rtl/>
        </w:rPr>
      </w:pPr>
      <w:bookmarkStart w:id="7008" w:name="_Ref527997238"/>
      <w:r w:rsidRPr="00001D05">
        <w:rPr>
          <w:rStyle w:val="af9"/>
          <w:rFonts w:hint="cs"/>
          <w:rtl/>
        </w:rPr>
        <w:t>ובשיטמ"ק</w:t>
      </w:r>
      <w:r>
        <w:rPr>
          <w:rFonts w:hint="cs"/>
          <w:rtl/>
        </w:rPr>
        <w:t xml:space="preserve"> </w:t>
      </w:r>
      <w:r w:rsidRPr="00001D05">
        <w:rPr>
          <w:rStyle w:val="af7"/>
          <w:rFonts w:eastAsia="Guttman Hodes" w:hint="cs"/>
          <w:rtl/>
        </w:rPr>
        <w:t>(ד"ה אבל קשה היכי)</w:t>
      </w:r>
      <w:r>
        <w:rPr>
          <w:rFonts w:hint="cs"/>
          <w:rtl/>
        </w:rPr>
        <w:t xml:space="preserve"> תירץ את קושית </w:t>
      </w:r>
      <w:r w:rsidRPr="00883380">
        <w:rPr>
          <w:rStyle w:val="af9"/>
          <w:rFonts w:hint="cs"/>
          <w:rtl/>
        </w:rPr>
        <w:t>התוס'</w:t>
      </w:r>
      <w:r>
        <w:rPr>
          <w:rFonts w:hint="cs"/>
          <w:rtl/>
        </w:rPr>
        <w:t xml:space="preserve"> </w:t>
      </w:r>
      <w:r w:rsidRPr="00883380">
        <w:rPr>
          <w:rStyle w:val="af7"/>
          <w:rFonts w:eastAsia="Guttman Hodes" w:hint="cs"/>
          <w:rtl/>
        </w:rPr>
        <w:t xml:space="preserve">(עי' אות </w:t>
      </w:r>
      <w:r w:rsidRPr="00883380">
        <w:rPr>
          <w:rStyle w:val="af7"/>
          <w:rFonts w:eastAsia="Guttman Hodes"/>
          <w:rtl/>
        </w:rPr>
        <w:fldChar w:fldCharType="begin"/>
      </w:r>
      <w:r w:rsidRPr="00883380">
        <w:rPr>
          <w:rStyle w:val="af7"/>
          <w:rFonts w:eastAsia="Guttman Hodes"/>
          <w:rtl/>
        </w:rPr>
        <w:instrText xml:space="preserve"> </w:instrText>
      </w:r>
      <w:r w:rsidRPr="00883380">
        <w:rPr>
          <w:rStyle w:val="af7"/>
          <w:rFonts w:eastAsia="Guttman Hodes" w:hint="cs"/>
        </w:rPr>
        <w:instrText>REF</w:instrText>
      </w:r>
      <w:r w:rsidRPr="00883380">
        <w:rPr>
          <w:rStyle w:val="af7"/>
          <w:rFonts w:eastAsia="Guttman Hodes" w:hint="cs"/>
          <w:rtl/>
        </w:rPr>
        <w:instrText xml:space="preserve"> _</w:instrText>
      </w:r>
      <w:r w:rsidRPr="00883380">
        <w:rPr>
          <w:rStyle w:val="af7"/>
          <w:rFonts w:eastAsia="Guttman Hodes" w:hint="cs"/>
        </w:rPr>
        <w:instrText>Ref527488441 \r \h</w:instrText>
      </w:r>
      <w:r w:rsidRPr="00883380">
        <w:rPr>
          <w:rStyle w:val="af7"/>
          <w:rFonts w:eastAsia="Guttman Hodes"/>
          <w:rtl/>
        </w:rPr>
        <w:instrText xml:space="preserve"> </w:instrText>
      </w:r>
      <w:r w:rsidRPr="00883380">
        <w:rPr>
          <w:rStyle w:val="af7"/>
          <w:rFonts w:eastAsia="Guttman Hodes"/>
          <w:rtl/>
        </w:rPr>
      </w:r>
      <w:r w:rsidRPr="00883380">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883380">
        <w:rPr>
          <w:rStyle w:val="af7"/>
          <w:rFonts w:eastAsia="Guttman Hodes"/>
          <w:rtl/>
        </w:rPr>
        <w:fldChar w:fldCharType="end"/>
      </w:r>
      <w:r>
        <w:rPr>
          <w:rFonts w:hint="cs"/>
          <w:rtl/>
        </w:rPr>
        <w:t xml:space="preserve"> בשם </w:t>
      </w:r>
      <w:r w:rsidRPr="00001D05">
        <w:rPr>
          <w:rStyle w:val="af9"/>
          <w:rFonts w:hint="cs"/>
          <w:rtl/>
        </w:rPr>
        <w:t>הר"ש משנץ</w:t>
      </w:r>
      <w:r>
        <w:rPr>
          <w:rFonts w:hint="cs"/>
          <w:rtl/>
        </w:rPr>
        <w:t xml:space="preserve"> דבחזקת מקוה ע"י התרתי לריעותא דחזקת טמא וחסר לפניך, אמרינן דבשעה שטבל האדם במקוה, לא הייתה טבילה כלל, דאמרינן שטבל במקוה חסר, אבל בנגע דאף דחסר הנגע לפניך ויש לאדם שנכנס חזקת טהרה, ומכח החזקה נאמר שבשעה שנכנס האדם לבית כבר נחסר הנגע, עדיין נשאר האדם טמא, דאף אי נימא שבשעת כניסתו לבית היה הנגע חסר, מ"מ הבית כבר היה מוסגר והוא טמא.</w:t>
      </w:r>
      <w:bookmarkEnd w:id="7008"/>
    </w:p>
    <w:p w14:paraId="0EC43994" w14:textId="77777777" w:rsidR="00FF5773" w:rsidRPr="00001D05" w:rsidRDefault="00FF5773" w:rsidP="006D6D32">
      <w:pPr>
        <w:pStyle w:val="a3"/>
      </w:pPr>
      <w:bookmarkStart w:id="7009" w:name="_Toc527912588"/>
      <w:bookmarkStart w:id="7010" w:name="_Toc527924520"/>
      <w:bookmarkStart w:id="7011" w:name="_Toc527928739"/>
      <w:bookmarkStart w:id="7012" w:name="_Toc527999514"/>
      <w:bookmarkStart w:id="7013" w:name="_Toc19389866"/>
      <w:bookmarkStart w:id="7014" w:name="_Toc19393363"/>
      <w:r>
        <w:rPr>
          <w:rFonts w:hint="cs"/>
          <w:rtl/>
        </w:rPr>
        <w:t>ביאור הר"ש משנץ דהחזקת טהרה של הגברא היא על זמן כניסתו ולא מהני לזמן שהסגיר הכהן</w:t>
      </w:r>
      <w:bookmarkEnd w:id="7009"/>
      <w:bookmarkEnd w:id="7010"/>
      <w:bookmarkEnd w:id="7011"/>
      <w:bookmarkEnd w:id="7012"/>
      <w:bookmarkEnd w:id="7013"/>
      <w:bookmarkEnd w:id="7014"/>
    </w:p>
    <w:p w14:paraId="18E1921F" w14:textId="77777777" w:rsidR="00FF5773" w:rsidRDefault="00FF5773" w:rsidP="00223668">
      <w:pPr>
        <w:pStyle w:val="a0"/>
        <w:rPr>
          <w:rtl/>
        </w:rPr>
      </w:pPr>
      <w:r>
        <w:rPr>
          <w:rFonts w:hint="cs"/>
          <w:rtl/>
        </w:rPr>
        <w:t xml:space="preserve">וביאר </w:t>
      </w:r>
      <w:r w:rsidRPr="00001D05">
        <w:rPr>
          <w:rStyle w:val="af9"/>
          <w:rFonts w:hint="cs"/>
          <w:rtl/>
        </w:rPr>
        <w:t>השיטמ"ק</w:t>
      </w:r>
      <w:r>
        <w:rPr>
          <w:rFonts w:hint="cs"/>
          <w:rtl/>
        </w:rPr>
        <w:t xml:space="preserve"> בשם </w:t>
      </w:r>
      <w:r w:rsidRPr="00001D05">
        <w:rPr>
          <w:rStyle w:val="af9"/>
          <w:rFonts w:hint="cs"/>
          <w:rtl/>
        </w:rPr>
        <w:t>הר"ש משנץ</w:t>
      </w:r>
      <w:r>
        <w:rPr>
          <w:rFonts w:hint="cs"/>
          <w:rtl/>
        </w:rPr>
        <w:t xml:space="preserve"> דהחזקת טהרה של האדם שנכנס לבית, מהני לשעה שנולד בו הספק, שהיא שעת כניסתו לבית, אבל א"א לומר דע"י החזקת טהרה של האדם נאמר שהנגע נחסר כבר בשעה שהסגיר הכהן את הבית, דלא היה כל נדון על האדם בשעת ההסגר.</w:t>
      </w:r>
    </w:p>
    <w:p w14:paraId="20AF814F" w14:textId="77777777" w:rsidR="00FF5773" w:rsidRDefault="00FF5773" w:rsidP="00BF39B2">
      <w:pPr>
        <w:pStyle w:val="1"/>
        <w:rPr>
          <w:rtl/>
        </w:rPr>
      </w:pPr>
      <w:bookmarkStart w:id="7015" w:name="_Toc527912589"/>
      <w:bookmarkStart w:id="7016" w:name="_Toc527924521"/>
      <w:bookmarkStart w:id="7017" w:name="_Toc527928740"/>
      <w:bookmarkStart w:id="7018" w:name="_Toc527999515"/>
      <w:bookmarkStart w:id="7019" w:name="_Toc19389867"/>
      <w:bookmarkStart w:id="7020" w:name="_Toc19393364"/>
      <w:r>
        <w:rPr>
          <w:rFonts w:hint="cs"/>
          <w:rtl/>
        </w:rPr>
        <w:t>תירוץ השיטמ"ק דהחזקת טהרה של הגברא אינה בנדון הספק</w:t>
      </w:r>
      <w:bookmarkEnd w:id="7015"/>
      <w:bookmarkEnd w:id="7016"/>
      <w:bookmarkEnd w:id="7017"/>
      <w:bookmarkEnd w:id="7018"/>
      <w:bookmarkEnd w:id="7019"/>
      <w:bookmarkEnd w:id="7020"/>
    </w:p>
    <w:p w14:paraId="08008992" w14:textId="77777777" w:rsidR="00FF5773" w:rsidRDefault="00FF5773" w:rsidP="006D6D32">
      <w:pPr>
        <w:pStyle w:val="a3"/>
        <w:rPr>
          <w:rtl/>
        </w:rPr>
      </w:pPr>
      <w:bookmarkStart w:id="7021" w:name="_Toc527912590"/>
      <w:bookmarkStart w:id="7022" w:name="_Toc527924522"/>
      <w:bookmarkStart w:id="7023" w:name="_Toc527928741"/>
      <w:bookmarkStart w:id="7024" w:name="_Toc527999516"/>
      <w:bookmarkStart w:id="7025" w:name="_Toc19389868"/>
      <w:bookmarkStart w:id="7026" w:name="_Toc19393365"/>
      <w:r>
        <w:rPr>
          <w:rFonts w:hint="cs"/>
          <w:rtl/>
        </w:rPr>
        <w:t>תירוץ השיטמ"ק בשם י"מ דהנדון הוא על הבית ולא מהני לזה החזקת טהרה של הגברא</w:t>
      </w:r>
      <w:bookmarkEnd w:id="7021"/>
      <w:bookmarkEnd w:id="7022"/>
      <w:bookmarkEnd w:id="7023"/>
      <w:bookmarkEnd w:id="7024"/>
      <w:bookmarkEnd w:id="7025"/>
      <w:bookmarkEnd w:id="7026"/>
    </w:p>
    <w:p w14:paraId="17AA5FA9" w14:textId="77777777" w:rsidR="00FF5773" w:rsidRDefault="00FF5773" w:rsidP="00223668">
      <w:pPr>
        <w:pStyle w:val="a0"/>
        <w:rPr>
          <w:rtl/>
        </w:rPr>
      </w:pPr>
      <w:r>
        <w:rPr>
          <w:rFonts w:hint="cs"/>
          <w:rtl/>
        </w:rPr>
        <w:t xml:space="preserve">ועוד תירץ </w:t>
      </w:r>
      <w:r w:rsidRPr="00001D05">
        <w:rPr>
          <w:rStyle w:val="af9"/>
          <w:rFonts w:hint="cs"/>
          <w:rtl/>
        </w:rPr>
        <w:t>השיטמ"ק</w:t>
      </w:r>
      <w:r>
        <w:rPr>
          <w:rFonts w:hint="cs"/>
          <w:rtl/>
        </w:rPr>
        <w:t xml:space="preserve"> בשם </w:t>
      </w:r>
      <w:r w:rsidRPr="00001D05">
        <w:rPr>
          <w:rStyle w:val="af9"/>
          <w:rFonts w:hint="cs"/>
          <w:rtl/>
        </w:rPr>
        <w:t>י"מ</w:t>
      </w:r>
      <w:r>
        <w:rPr>
          <w:rFonts w:hint="cs"/>
          <w:rtl/>
        </w:rPr>
        <w:t xml:space="preserve"> דכיון שהנדון הוא על הבית, לא מהני החזקת טהרה של האדם לנדון בבית, כמו שבמקוה לא מהני החזקת טהרה של הטהרות שנגע בהם האדם שטבל במקוה שנמצא חסר, כיון שהנדון הוא בטובל ולא בטהרות שנגע בהם,.</w:t>
      </w:r>
    </w:p>
    <w:p w14:paraId="7E24A404" w14:textId="77777777" w:rsidR="00FF5773" w:rsidRDefault="00FF5773" w:rsidP="00BF39B2">
      <w:pPr>
        <w:pStyle w:val="1"/>
        <w:rPr>
          <w:rtl/>
        </w:rPr>
      </w:pPr>
      <w:bookmarkStart w:id="7027" w:name="_Toc527912591"/>
      <w:bookmarkStart w:id="7028" w:name="_Toc527924523"/>
      <w:bookmarkStart w:id="7029" w:name="_Toc527928742"/>
      <w:bookmarkStart w:id="7030" w:name="_Toc527999517"/>
      <w:bookmarkStart w:id="7031" w:name="_Toc19389869"/>
      <w:bookmarkStart w:id="7032" w:name="_Toc19393366"/>
      <w:r>
        <w:rPr>
          <w:rFonts w:hint="cs"/>
          <w:rtl/>
        </w:rPr>
        <w:t>ביאור התורא"ש והתוס' בנדה דבנגע אין את סברת חסר ואתאי</w:t>
      </w:r>
      <w:bookmarkEnd w:id="7027"/>
      <w:bookmarkEnd w:id="7028"/>
      <w:bookmarkEnd w:id="7029"/>
      <w:bookmarkEnd w:id="7030"/>
      <w:bookmarkEnd w:id="7031"/>
      <w:bookmarkEnd w:id="7032"/>
    </w:p>
    <w:p w14:paraId="5EB5348C" w14:textId="77777777" w:rsidR="00FF5773" w:rsidRPr="00720EA5" w:rsidRDefault="00FF5773" w:rsidP="006D6D32">
      <w:pPr>
        <w:pStyle w:val="a3"/>
      </w:pPr>
      <w:bookmarkStart w:id="7033" w:name="_Toc527912592"/>
      <w:bookmarkStart w:id="7034" w:name="_Toc527924524"/>
      <w:bookmarkStart w:id="7035" w:name="_Toc527928743"/>
      <w:bookmarkStart w:id="7036" w:name="_Toc527999518"/>
      <w:bookmarkStart w:id="7037" w:name="_Toc19389870"/>
      <w:bookmarkStart w:id="7038" w:name="_Toc19393367"/>
      <w:r>
        <w:rPr>
          <w:rFonts w:hint="cs"/>
          <w:rtl/>
        </w:rPr>
        <w:t>תירוץ התוס' הרא"ש דבמקוה לא מעמידים על החזקה דמעיקרא מחמת סברת חסר ואתאי</w:t>
      </w:r>
      <w:bookmarkEnd w:id="7033"/>
      <w:bookmarkEnd w:id="7034"/>
      <w:bookmarkEnd w:id="7035"/>
      <w:bookmarkEnd w:id="7036"/>
      <w:bookmarkEnd w:id="7037"/>
      <w:bookmarkEnd w:id="7038"/>
    </w:p>
    <w:p w14:paraId="68ADCBE1" w14:textId="77777777" w:rsidR="00FF5773" w:rsidRDefault="00FF5773" w:rsidP="00E12979">
      <w:pPr>
        <w:pStyle w:val="a0"/>
        <w:numPr>
          <w:ilvl w:val="0"/>
          <w:numId w:val="5"/>
        </w:numPr>
        <w:rPr>
          <w:rtl/>
        </w:rPr>
      </w:pPr>
      <w:r>
        <w:rPr>
          <w:rStyle w:val="af9"/>
          <w:rtl/>
        </w:rPr>
        <w:t>ובתוס' הרא"ש</w:t>
      </w:r>
      <w:r w:rsidRPr="00223668">
        <w:rPr>
          <w:rStyle w:val="af7"/>
          <w:rFonts w:eastAsia="Guttman Hodes" w:hint="cs"/>
          <w:rtl/>
        </w:rPr>
        <w:t xml:space="preserve"> (ד"ה ודילמא) </w:t>
      </w:r>
      <w:r>
        <w:rPr>
          <w:rFonts w:hint="cs"/>
          <w:rtl/>
        </w:rPr>
        <w:t>תירץ דבמקוה לא אזלינן בתר חזקה מחמת סברת חסר ואתאי, אבל בנגע כיון שבשעה שהסגיר הכהן היה הנגע קיים, הבית טמא כל שבעה, אף אם מיד לאחר שהכהן טימא נחסר הנגע.</w:t>
      </w:r>
    </w:p>
    <w:p w14:paraId="6E735B97" w14:textId="77777777" w:rsidR="00FF5773" w:rsidRPr="00F60A08" w:rsidRDefault="00FF5773" w:rsidP="006D6D32">
      <w:pPr>
        <w:pStyle w:val="a3"/>
        <w:rPr>
          <w:rtl/>
        </w:rPr>
      </w:pPr>
      <w:bookmarkStart w:id="7039" w:name="_Toc527912593"/>
      <w:bookmarkStart w:id="7040" w:name="_Toc527924525"/>
      <w:bookmarkStart w:id="7041" w:name="_Toc527928744"/>
      <w:bookmarkStart w:id="7042" w:name="_Toc527999519"/>
      <w:bookmarkStart w:id="7043" w:name="_Toc19389871"/>
      <w:bookmarkStart w:id="7044" w:name="_Toc19393368"/>
      <w:r>
        <w:rPr>
          <w:rFonts w:hint="cs"/>
          <w:rtl/>
        </w:rPr>
        <w:t>תירוץ התוס' בנדה דנגע מתחסר בב"א ואמרינן שנחסר מיד כשיצא הכהן מן הבית</w:t>
      </w:r>
      <w:bookmarkEnd w:id="7039"/>
      <w:bookmarkEnd w:id="7040"/>
      <w:bookmarkEnd w:id="7041"/>
      <w:bookmarkEnd w:id="7042"/>
      <w:bookmarkEnd w:id="7043"/>
      <w:bookmarkEnd w:id="7044"/>
    </w:p>
    <w:p w14:paraId="5A8D9C6D" w14:textId="77777777" w:rsidR="00FF5773" w:rsidRDefault="00FF5773" w:rsidP="00E12979">
      <w:pPr>
        <w:pStyle w:val="a0"/>
        <w:numPr>
          <w:ilvl w:val="0"/>
          <w:numId w:val="5"/>
        </w:numPr>
        <w:rPr>
          <w:rtl/>
        </w:rPr>
      </w:pPr>
      <w:bookmarkStart w:id="7045" w:name="_Ref527491955"/>
      <w:r w:rsidRPr="00493377">
        <w:rPr>
          <w:rtl/>
        </w:rPr>
        <w:t>ו</w:t>
      </w:r>
      <w:r w:rsidRPr="00493377">
        <w:rPr>
          <w:rFonts w:hint="cs"/>
          <w:rtl/>
        </w:rPr>
        <w:t>כעי"ז תירצו</w:t>
      </w:r>
      <w:r>
        <w:rPr>
          <w:rStyle w:val="af9"/>
          <w:rFonts w:hint="cs"/>
          <w:rtl/>
        </w:rPr>
        <w:t xml:space="preserve"> </w:t>
      </w:r>
      <w:r>
        <w:rPr>
          <w:rStyle w:val="af9"/>
          <w:rtl/>
        </w:rPr>
        <w:t>התוס' בנדה</w:t>
      </w:r>
      <w:r>
        <w:rPr>
          <w:rFonts w:hint="cs"/>
          <w:rtl/>
        </w:rPr>
        <w:t xml:space="preserve"> </w:t>
      </w:r>
      <w:r w:rsidRPr="00223668">
        <w:rPr>
          <w:rStyle w:val="af7"/>
          <w:rFonts w:eastAsia="Guttman Hodes" w:hint="cs"/>
          <w:rtl/>
        </w:rPr>
        <w:t xml:space="preserve">(ב: ד"ה התם) </w:t>
      </w:r>
      <w:r w:rsidRPr="005624D3">
        <w:rPr>
          <w:rFonts w:hint="cs"/>
          <w:rtl/>
        </w:rPr>
        <w:t>דבמקוה שיש את סברת "חסר ואתאי" דרגיל להתחסר מעט מעט, וי</w:t>
      </w:r>
      <w:r>
        <w:rPr>
          <w:rFonts w:hint="cs"/>
          <w:rtl/>
        </w:rPr>
        <w:t xml:space="preserve">תכן שנחסר לפני שטבל בו האדם, לכן לא מעמידים על החזקה, אבל בנגע שרגיל להתחסר  לפחות מכגריס בבת אחת, לכן אמרינן שנחסר עכשיו, ומעמידים את הנגע בחזקת שלם כשיצא הכהן מהבית וטימאו, והסיפו </w:t>
      </w:r>
      <w:r>
        <w:rPr>
          <w:rStyle w:val="af9"/>
          <w:rtl/>
        </w:rPr>
        <w:t>התוס' בנדה</w:t>
      </w:r>
      <w:r>
        <w:rPr>
          <w:rFonts w:hint="cs"/>
          <w:rtl/>
        </w:rPr>
        <w:t xml:space="preserve"> אף אם נחסר אח"כ, מ"מ הוא גזיה"כ דהבית טמא בכל אותו השבוע, עד שיטהרנו הכהן.</w:t>
      </w:r>
      <w:bookmarkEnd w:id="7045"/>
    </w:p>
    <w:p w14:paraId="05B6E315" w14:textId="77777777" w:rsidR="00FF5773" w:rsidRDefault="00FF5773" w:rsidP="00BF39B2">
      <w:pPr>
        <w:pStyle w:val="1"/>
        <w:rPr>
          <w:rtl/>
        </w:rPr>
      </w:pPr>
      <w:bookmarkStart w:id="7046" w:name="_Toc527912594"/>
      <w:bookmarkStart w:id="7047" w:name="_Toc527924526"/>
      <w:bookmarkStart w:id="7048" w:name="_Toc527928745"/>
      <w:bookmarkStart w:id="7049" w:name="_Toc527999520"/>
      <w:bookmarkStart w:id="7050" w:name="_Toc19389872"/>
      <w:bookmarkStart w:id="7051" w:name="_Toc19393369"/>
      <w:r>
        <w:rPr>
          <w:rFonts w:hint="cs"/>
          <w:rtl/>
        </w:rPr>
        <w:t>ביאורי האחרונים בדברי התוס' בנדה</w:t>
      </w:r>
      <w:bookmarkEnd w:id="7046"/>
      <w:bookmarkEnd w:id="7047"/>
      <w:bookmarkEnd w:id="7048"/>
      <w:bookmarkEnd w:id="7049"/>
      <w:bookmarkEnd w:id="7050"/>
      <w:bookmarkEnd w:id="7051"/>
    </w:p>
    <w:p w14:paraId="54325C2B" w14:textId="77777777" w:rsidR="00FF5773" w:rsidRDefault="00FF5773" w:rsidP="006D6D32">
      <w:pPr>
        <w:pStyle w:val="a3"/>
        <w:rPr>
          <w:rtl/>
        </w:rPr>
      </w:pPr>
      <w:bookmarkStart w:id="7052" w:name="_Toc527924527"/>
      <w:bookmarkStart w:id="7053" w:name="_Toc527928746"/>
      <w:bookmarkStart w:id="7054" w:name="_Toc527999521"/>
      <w:bookmarkStart w:id="7055" w:name="_Toc19389873"/>
      <w:bookmarkStart w:id="7056" w:name="_Toc19393370"/>
      <w:r>
        <w:rPr>
          <w:rFonts w:hint="cs"/>
          <w:rtl/>
        </w:rPr>
        <w:t>ביאור הראש יוסף דרק מחמת דחסר ואתאי מהני החזקה דהשתא במקום חזקה דמעיקרא</w:t>
      </w:r>
      <w:bookmarkEnd w:id="7052"/>
      <w:bookmarkEnd w:id="7053"/>
      <w:bookmarkEnd w:id="7054"/>
      <w:bookmarkEnd w:id="7055"/>
      <w:bookmarkEnd w:id="7056"/>
    </w:p>
    <w:p w14:paraId="2B06B8A9" w14:textId="77777777" w:rsidR="00FF5773" w:rsidRPr="00FF6F38" w:rsidRDefault="00FF5773" w:rsidP="00223668">
      <w:pPr>
        <w:pStyle w:val="a0"/>
        <w:rPr>
          <w:rtl/>
        </w:rPr>
      </w:pPr>
      <w:r>
        <w:rPr>
          <w:rFonts w:hint="cs"/>
          <w:rtl/>
        </w:rPr>
        <w:t xml:space="preserve">וביאר </w:t>
      </w:r>
      <w:r w:rsidRPr="00137ADA">
        <w:rPr>
          <w:rStyle w:val="af9"/>
          <w:rFonts w:hint="cs"/>
          <w:rtl/>
        </w:rPr>
        <w:t>הראש יוסף</w:t>
      </w:r>
      <w:r>
        <w:rPr>
          <w:rFonts w:hint="cs"/>
          <w:rtl/>
        </w:rPr>
        <w:t xml:space="preserve"> </w:t>
      </w:r>
      <w:r w:rsidRPr="00137ADA">
        <w:rPr>
          <w:rStyle w:val="af7"/>
          <w:rFonts w:eastAsia="Guttman Hodes" w:hint="cs"/>
          <w:rtl/>
        </w:rPr>
        <w:t xml:space="preserve">(ד"ה והנה כאן) </w:t>
      </w:r>
      <w:r>
        <w:rPr>
          <w:rFonts w:hint="cs"/>
          <w:rtl/>
        </w:rPr>
        <w:t xml:space="preserve">את דברי </w:t>
      </w:r>
      <w:r w:rsidRPr="00137ADA">
        <w:rPr>
          <w:rStyle w:val="af9"/>
          <w:rFonts w:hint="cs"/>
          <w:rtl/>
        </w:rPr>
        <w:t>התוס' בנדה</w:t>
      </w:r>
      <w:r>
        <w:rPr>
          <w:rFonts w:hint="cs"/>
          <w:rtl/>
        </w:rPr>
        <w:t xml:space="preserve"> דחזקה דהשתא לא מהני כלל במקום שיש חזקה דמעיקרא, אלא דבמקוה כיון שחסר ואתאי דהדרך שמתחסר מעט מעט, לכן החזקה דהשתא היא חזקה טובה ולכן יחדם עם החזקת טמא יש תרתי לריעותא, אבל בשאר מקומות שאין מעלה לחזקה דהשתא, אינה נחשבת כלל כנגד החזקה דמעיקרא.</w:t>
      </w:r>
    </w:p>
    <w:p w14:paraId="3BE6F978" w14:textId="77777777" w:rsidR="00FF5773" w:rsidRPr="002618FF" w:rsidRDefault="00FF5773" w:rsidP="006D6D32">
      <w:pPr>
        <w:pStyle w:val="a3"/>
        <w:rPr>
          <w:rtl/>
        </w:rPr>
      </w:pPr>
      <w:bookmarkStart w:id="7057" w:name="_Toc527924528"/>
      <w:bookmarkStart w:id="7058" w:name="_Toc527928747"/>
      <w:bookmarkStart w:id="7059" w:name="_Toc527999522"/>
      <w:bookmarkStart w:id="7060" w:name="_Toc19389874"/>
      <w:bookmarkStart w:id="7061" w:name="_Toc19393371"/>
      <w:r>
        <w:rPr>
          <w:rFonts w:hint="cs"/>
          <w:rtl/>
        </w:rPr>
        <w:t>ביאור הבכור שור דהתוס' בנדה אליבא דרב חסדא והתוס' בסוגיין אליבא דרב הונא</w:t>
      </w:r>
      <w:bookmarkEnd w:id="7057"/>
      <w:bookmarkEnd w:id="7058"/>
      <w:bookmarkEnd w:id="7059"/>
      <w:bookmarkEnd w:id="7060"/>
      <w:bookmarkEnd w:id="7061"/>
    </w:p>
    <w:p w14:paraId="26FD54C6" w14:textId="77777777" w:rsidR="00FF5773" w:rsidRDefault="00FF5773" w:rsidP="00223668">
      <w:pPr>
        <w:pStyle w:val="a0"/>
        <w:rPr>
          <w:rtl/>
        </w:rPr>
      </w:pPr>
      <w:r>
        <w:rPr>
          <w:rStyle w:val="af9"/>
          <w:rFonts w:hint="cs"/>
          <w:rtl/>
        </w:rPr>
        <w:t>ו</w:t>
      </w:r>
      <w:r w:rsidRPr="00DF61E4">
        <w:rPr>
          <w:rStyle w:val="af9"/>
          <w:rFonts w:hint="cs"/>
          <w:rtl/>
        </w:rPr>
        <w:t>הבכור שור</w:t>
      </w:r>
      <w:r>
        <w:rPr>
          <w:rFonts w:hint="cs"/>
          <w:rtl/>
        </w:rPr>
        <w:t xml:space="preserve"> </w:t>
      </w:r>
      <w:r w:rsidRPr="00DF61E4">
        <w:rPr>
          <w:rStyle w:val="af7"/>
          <w:rFonts w:eastAsia="Guttman Hodes" w:hint="cs"/>
          <w:rtl/>
        </w:rPr>
        <w:t>(על תוד"ה ודילמא)</w:t>
      </w:r>
      <w:r>
        <w:rPr>
          <w:rFonts w:hint="cs"/>
          <w:rtl/>
        </w:rPr>
        <w:t xml:space="preserve"> כתב דהא דכתבו </w:t>
      </w:r>
      <w:r w:rsidRPr="00DF61E4">
        <w:rPr>
          <w:rStyle w:val="af9"/>
          <w:rFonts w:hint="cs"/>
          <w:rtl/>
        </w:rPr>
        <w:t>התוס' בנדה</w:t>
      </w:r>
      <w:r>
        <w:rPr>
          <w:rFonts w:hint="cs"/>
          <w:rtl/>
        </w:rPr>
        <w:t xml:space="preserve"> </w:t>
      </w:r>
      <w:r w:rsidRPr="0097610C">
        <w:rPr>
          <w:rStyle w:val="af7"/>
          <w:rFonts w:eastAsia="Guttman Hodes" w:hint="cs"/>
          <w:rtl/>
        </w:rPr>
        <w:t xml:space="preserve">(עי' אות </w:t>
      </w:r>
      <w:r w:rsidRPr="0097610C">
        <w:rPr>
          <w:rStyle w:val="af7"/>
          <w:rFonts w:eastAsia="Guttman Hodes"/>
          <w:rtl/>
        </w:rPr>
        <w:fldChar w:fldCharType="begin"/>
      </w:r>
      <w:r w:rsidRPr="0097610C">
        <w:rPr>
          <w:rStyle w:val="af7"/>
          <w:rFonts w:eastAsia="Guttman Hodes"/>
          <w:rtl/>
        </w:rPr>
        <w:instrText xml:space="preserve"> </w:instrText>
      </w:r>
      <w:r w:rsidRPr="0097610C">
        <w:rPr>
          <w:rStyle w:val="af7"/>
          <w:rFonts w:eastAsia="Guttman Hodes" w:hint="cs"/>
        </w:rPr>
        <w:instrText>REF</w:instrText>
      </w:r>
      <w:r w:rsidRPr="0097610C">
        <w:rPr>
          <w:rStyle w:val="af7"/>
          <w:rFonts w:eastAsia="Guttman Hodes" w:hint="cs"/>
          <w:rtl/>
        </w:rPr>
        <w:instrText xml:space="preserve"> _</w:instrText>
      </w:r>
      <w:r w:rsidRPr="0097610C">
        <w:rPr>
          <w:rStyle w:val="af7"/>
          <w:rFonts w:eastAsia="Guttman Hodes" w:hint="cs"/>
        </w:rPr>
        <w:instrText>Ref527491955 \r \h</w:instrText>
      </w:r>
      <w:r w:rsidRPr="0097610C">
        <w:rPr>
          <w:rStyle w:val="af7"/>
          <w:rFonts w:eastAsia="Guttman Hodes"/>
          <w:rtl/>
        </w:rPr>
        <w:instrText xml:space="preserve"> </w:instrText>
      </w:r>
      <w:r w:rsidRPr="0097610C">
        <w:rPr>
          <w:rStyle w:val="af7"/>
          <w:rFonts w:eastAsia="Guttman Hodes"/>
          <w:rtl/>
        </w:rPr>
      </w:r>
      <w:r w:rsidRPr="0097610C">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97610C">
        <w:rPr>
          <w:rStyle w:val="af7"/>
          <w:rFonts w:eastAsia="Guttman Hodes"/>
          <w:rtl/>
        </w:rPr>
        <w:fldChar w:fldCharType="end"/>
      </w:r>
      <w:r>
        <w:rPr>
          <w:rFonts w:hint="cs"/>
          <w:rtl/>
        </w:rPr>
        <w:t xml:space="preserve"> דבמקוה לא מעמידים על החזקה, כיון שיש את סברת חסר ואתאי, הוא אליבא דרב חסדא דהתיר בסכין כיון שאין את סברת חסר ואתאי, </w:t>
      </w:r>
      <w:r w:rsidRPr="0097610C">
        <w:rPr>
          <w:rStyle w:val="afb"/>
          <w:rFonts w:hint="cs"/>
          <w:rtl/>
        </w:rPr>
        <w:t xml:space="preserve">[עפ"י </w:t>
      </w:r>
      <w:r w:rsidRPr="0097610C">
        <w:rPr>
          <w:rStyle w:val="affa"/>
          <w:rFonts w:hint="cs"/>
          <w:rtl/>
        </w:rPr>
        <w:t>התי' הא' בתוס'</w:t>
      </w:r>
      <w:r w:rsidRPr="0097610C">
        <w:rPr>
          <w:rStyle w:val="afb"/>
          <w:rFonts w:hint="cs"/>
          <w:rtl/>
        </w:rPr>
        <w:t xml:space="preserve"> </w:t>
      </w:r>
      <w:r w:rsidRPr="0097610C">
        <w:rPr>
          <w:rStyle w:val="aff6"/>
          <w:rFonts w:hint="cs"/>
          <w:rtl/>
        </w:rPr>
        <w:t>(י. ד"ה סכין)</w:t>
      </w:r>
      <w:r w:rsidRPr="0097610C">
        <w:rPr>
          <w:rStyle w:val="afb"/>
          <w:rFonts w:hint="cs"/>
          <w:rtl/>
        </w:rPr>
        <w:t>]</w:t>
      </w:r>
      <w:r>
        <w:rPr>
          <w:rFonts w:hint="cs"/>
          <w:rtl/>
        </w:rPr>
        <w:t xml:space="preserve">. אבל </w:t>
      </w:r>
      <w:r w:rsidRPr="0097610C">
        <w:rPr>
          <w:rStyle w:val="af9"/>
          <w:rFonts w:hint="cs"/>
          <w:rtl/>
        </w:rPr>
        <w:t>התוס' בסוגיין</w:t>
      </w:r>
      <w:r>
        <w:rPr>
          <w:rFonts w:hint="cs"/>
          <w:rtl/>
        </w:rPr>
        <w:t xml:space="preserve"> </w:t>
      </w:r>
      <w:r w:rsidRPr="0097610C">
        <w:rPr>
          <w:rStyle w:val="af7"/>
          <w:rFonts w:eastAsia="Guttman Hodes" w:hint="cs"/>
          <w:rtl/>
        </w:rPr>
        <w:t xml:space="preserve">(עי' אות </w:t>
      </w:r>
      <w:r w:rsidRPr="0097610C">
        <w:rPr>
          <w:rStyle w:val="af7"/>
          <w:rFonts w:eastAsia="Guttman Hodes"/>
          <w:rtl/>
        </w:rPr>
        <w:fldChar w:fldCharType="begin"/>
      </w:r>
      <w:r w:rsidRPr="0097610C">
        <w:rPr>
          <w:rStyle w:val="af7"/>
          <w:rFonts w:eastAsia="Guttman Hodes"/>
          <w:rtl/>
        </w:rPr>
        <w:instrText xml:space="preserve"> </w:instrText>
      </w:r>
      <w:r w:rsidRPr="0097610C">
        <w:rPr>
          <w:rStyle w:val="af7"/>
          <w:rFonts w:eastAsia="Guttman Hodes" w:hint="cs"/>
        </w:rPr>
        <w:instrText>REF</w:instrText>
      </w:r>
      <w:r w:rsidRPr="0097610C">
        <w:rPr>
          <w:rStyle w:val="af7"/>
          <w:rFonts w:eastAsia="Guttman Hodes" w:hint="cs"/>
          <w:rtl/>
        </w:rPr>
        <w:instrText xml:space="preserve"> _</w:instrText>
      </w:r>
      <w:r w:rsidRPr="0097610C">
        <w:rPr>
          <w:rStyle w:val="af7"/>
          <w:rFonts w:eastAsia="Guttman Hodes" w:hint="cs"/>
        </w:rPr>
        <w:instrText>Ref527488441 \r \h</w:instrText>
      </w:r>
      <w:r w:rsidRPr="0097610C">
        <w:rPr>
          <w:rStyle w:val="af7"/>
          <w:rFonts w:eastAsia="Guttman Hodes"/>
          <w:rtl/>
        </w:rPr>
        <w:instrText xml:space="preserve"> </w:instrText>
      </w:r>
      <w:r w:rsidRPr="0097610C">
        <w:rPr>
          <w:rStyle w:val="af7"/>
          <w:rFonts w:eastAsia="Guttman Hodes"/>
          <w:rtl/>
        </w:rPr>
      </w:r>
      <w:r w:rsidRPr="0097610C">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97610C">
        <w:rPr>
          <w:rStyle w:val="af7"/>
          <w:rFonts w:eastAsia="Guttman Hodes"/>
          <w:rtl/>
        </w:rPr>
        <w:fldChar w:fldCharType="end"/>
      </w:r>
      <w:r>
        <w:rPr>
          <w:rFonts w:hint="cs"/>
          <w:rtl/>
        </w:rPr>
        <w:t xml:space="preserve"> הקשו אליבא דרב הונא דהגמ' בסוגיין היא כדקיי"ל להלכה כרב הונא בלא שיבר בה עצמות, ורב הונא אסר בסכין אף שאין את סברת חסר ואתאי, ולכן הוקשה להם אמאי בבית המנוגע מעמידים את הנגע בחזקתו, כנגד חזקת הטהרה של האדם.</w:t>
      </w:r>
    </w:p>
    <w:p w14:paraId="5FAA0426" w14:textId="77777777" w:rsidR="00FF5773" w:rsidRPr="00E00B4C" w:rsidRDefault="00FF5773" w:rsidP="00BF39B2">
      <w:pPr>
        <w:pStyle w:val="1"/>
        <w:rPr>
          <w:rtl/>
        </w:rPr>
      </w:pPr>
      <w:bookmarkStart w:id="7062" w:name="_Toc527924529"/>
      <w:bookmarkStart w:id="7063" w:name="_Toc527928748"/>
      <w:bookmarkStart w:id="7064" w:name="_Toc527999523"/>
      <w:bookmarkStart w:id="7065" w:name="_Toc19389875"/>
      <w:bookmarkStart w:id="7066" w:name="_Toc19393372"/>
      <w:r>
        <w:rPr>
          <w:rFonts w:hint="cs"/>
          <w:rtl/>
        </w:rPr>
        <w:t>ביאורי האחרונים בדברי התוס' בנדה דהבית טמא מגזיה"כ</w:t>
      </w:r>
      <w:bookmarkEnd w:id="7062"/>
      <w:bookmarkEnd w:id="7063"/>
      <w:bookmarkEnd w:id="7064"/>
      <w:bookmarkEnd w:id="7065"/>
      <w:bookmarkEnd w:id="7066"/>
    </w:p>
    <w:p w14:paraId="186E05F1" w14:textId="77777777" w:rsidR="00FF5773" w:rsidRDefault="00FF5773" w:rsidP="006D6D32">
      <w:pPr>
        <w:pStyle w:val="a3"/>
        <w:rPr>
          <w:rtl/>
        </w:rPr>
      </w:pPr>
      <w:bookmarkStart w:id="7067" w:name="_Toc527924530"/>
      <w:bookmarkStart w:id="7068" w:name="_Toc527928749"/>
      <w:bookmarkStart w:id="7069" w:name="_Toc527999524"/>
      <w:bookmarkStart w:id="7070" w:name="_Toc19389876"/>
      <w:bookmarkStart w:id="7071" w:name="_Toc19393373"/>
      <w:r>
        <w:rPr>
          <w:rFonts w:hint="cs"/>
          <w:rtl/>
        </w:rPr>
        <w:t>קושית המהר"ם למה הוסיפו התוס' דיש גזיה"כ הא כבר תירצו דאין את סברת חסר ואתאי</w:t>
      </w:r>
      <w:bookmarkEnd w:id="7067"/>
      <w:bookmarkEnd w:id="7068"/>
      <w:bookmarkEnd w:id="7069"/>
      <w:bookmarkEnd w:id="7070"/>
      <w:bookmarkEnd w:id="7071"/>
    </w:p>
    <w:p w14:paraId="4FE6A3C0" w14:textId="77777777" w:rsidR="00FF5773" w:rsidRDefault="00FF5773" w:rsidP="00223668">
      <w:pPr>
        <w:pStyle w:val="a0"/>
        <w:rPr>
          <w:rtl/>
        </w:rPr>
      </w:pPr>
      <w:bookmarkStart w:id="7072" w:name="_Ref527998541"/>
      <w:bookmarkStart w:id="7073" w:name="_Ref527912464"/>
      <w:r>
        <w:rPr>
          <w:rFonts w:hint="cs"/>
          <w:rtl/>
        </w:rPr>
        <w:t>הקשה</w:t>
      </w:r>
      <w:r>
        <w:rPr>
          <w:rStyle w:val="af9"/>
          <w:rFonts w:hint="cs"/>
          <w:rtl/>
        </w:rPr>
        <w:t xml:space="preserve"> </w:t>
      </w:r>
      <w:r w:rsidRPr="00530400">
        <w:rPr>
          <w:rStyle w:val="af9"/>
          <w:rFonts w:hint="cs"/>
          <w:rtl/>
        </w:rPr>
        <w:t>המהר"ם</w:t>
      </w:r>
      <w:r>
        <w:rPr>
          <w:rFonts w:hint="cs"/>
          <w:rtl/>
        </w:rPr>
        <w:t xml:space="preserve"> </w:t>
      </w:r>
      <w:r w:rsidRPr="00530400">
        <w:rPr>
          <w:rStyle w:val="af7"/>
          <w:rFonts w:eastAsia="Guttman Hodes" w:hint="cs"/>
          <w:rtl/>
        </w:rPr>
        <w:t xml:space="preserve">(נדה ב: על תוד"ה התם) </w:t>
      </w:r>
      <w:r>
        <w:rPr>
          <w:rFonts w:hint="cs"/>
          <w:rtl/>
        </w:rPr>
        <w:t xml:space="preserve">על דברי </w:t>
      </w:r>
      <w:r>
        <w:rPr>
          <w:rStyle w:val="af9"/>
          <w:rtl/>
        </w:rPr>
        <w:t>התוס' בנדה</w:t>
      </w:r>
      <w:r>
        <w:rPr>
          <w:rFonts w:hint="cs"/>
          <w:rtl/>
        </w:rPr>
        <w:t xml:space="preserve"> דאחר שתירצו דבנגע הרגילות שמתחסר בבת אחת, למה הוסיפו </w:t>
      </w:r>
      <w:r>
        <w:rPr>
          <w:rStyle w:val="af9"/>
          <w:rtl/>
        </w:rPr>
        <w:t>התוס' בנדה</w:t>
      </w:r>
      <w:r>
        <w:rPr>
          <w:rFonts w:hint="cs"/>
          <w:rtl/>
        </w:rPr>
        <w:t xml:space="preserve"> דהוא גזיה"כ דהבית טמא בכל אותו השבוע.</w:t>
      </w:r>
      <w:bookmarkEnd w:id="7072"/>
    </w:p>
    <w:p w14:paraId="5E24D53D" w14:textId="77777777" w:rsidR="00FF5773" w:rsidRPr="00E731C9" w:rsidRDefault="00FF5773" w:rsidP="006D6D32">
      <w:pPr>
        <w:pStyle w:val="a3"/>
      </w:pPr>
      <w:bookmarkStart w:id="7074" w:name="_Toc527924531"/>
      <w:bookmarkStart w:id="7075" w:name="_Toc527928750"/>
      <w:bookmarkStart w:id="7076" w:name="_Toc527999525"/>
      <w:bookmarkStart w:id="7077" w:name="_Toc19389877"/>
      <w:bookmarkStart w:id="7078" w:name="_Toc19393374"/>
      <w:r>
        <w:rPr>
          <w:rFonts w:hint="cs"/>
          <w:rtl/>
        </w:rPr>
        <w:t>ביאור המהר"ם דאף שהחזקת טהרה סותרת את חזקת הנגע מ"מ יש גזיה"כ דטמא בודאי</w:t>
      </w:r>
      <w:bookmarkEnd w:id="7074"/>
      <w:bookmarkEnd w:id="7075"/>
      <w:bookmarkEnd w:id="7076"/>
      <w:bookmarkEnd w:id="7077"/>
      <w:bookmarkEnd w:id="7078"/>
      <w:r>
        <w:rPr>
          <w:rFonts w:hint="cs"/>
          <w:rtl/>
        </w:rPr>
        <w:t xml:space="preserve"> </w:t>
      </w:r>
    </w:p>
    <w:p w14:paraId="461572DB" w14:textId="77777777" w:rsidR="00FF5773" w:rsidRDefault="00FF5773" w:rsidP="00223668">
      <w:pPr>
        <w:pStyle w:val="a0"/>
        <w:rPr>
          <w:rtl/>
        </w:rPr>
      </w:pPr>
      <w:r>
        <w:rPr>
          <w:rFonts w:hint="cs"/>
          <w:rtl/>
        </w:rPr>
        <w:t xml:space="preserve">וביאר </w:t>
      </w:r>
      <w:r w:rsidRPr="00530400">
        <w:rPr>
          <w:rStyle w:val="af9"/>
          <w:rFonts w:hint="cs"/>
          <w:rtl/>
        </w:rPr>
        <w:t>המהר"ם</w:t>
      </w:r>
      <w:r>
        <w:rPr>
          <w:rFonts w:hint="cs"/>
          <w:rtl/>
        </w:rPr>
        <w:t xml:space="preserve"> דהוקשה </w:t>
      </w:r>
      <w:r>
        <w:rPr>
          <w:rStyle w:val="af9"/>
          <w:rFonts w:hint="cs"/>
          <w:rtl/>
        </w:rPr>
        <w:t>ל</w:t>
      </w:r>
      <w:r>
        <w:rPr>
          <w:rStyle w:val="af9"/>
          <w:rtl/>
        </w:rPr>
        <w:t>תוס' בנדה</w:t>
      </w:r>
      <w:r>
        <w:rPr>
          <w:rFonts w:hint="cs"/>
          <w:rtl/>
        </w:rPr>
        <w:t xml:space="preserve"> דאף אי נעמיד את הבית על החזקה דמעיקרא דהיה הנגע שלם, ולא כחזקה דהשתא דהוא דחסר, מ"מ החזקת טהרה של הגברא סותרת לחזקת הבית, והוי כפלגא ופלגא, דהגברא טמא בספק ולא בודאי, והיאך מביא קרבן, </w:t>
      </w:r>
      <w:r w:rsidRPr="00530400">
        <w:rPr>
          <w:rStyle w:val="afb"/>
          <w:rFonts w:hint="cs"/>
          <w:rtl/>
        </w:rPr>
        <w:t xml:space="preserve">[וא"א לומר דהוא טמא מדין </w:t>
      </w:r>
      <w:r>
        <w:rPr>
          <w:rStyle w:val="afb"/>
          <w:rFonts w:hint="cs"/>
          <w:rtl/>
        </w:rPr>
        <w:t>ספק טומאה</w:t>
      </w:r>
      <w:r w:rsidRPr="00530400">
        <w:rPr>
          <w:rStyle w:val="afb"/>
          <w:rFonts w:hint="cs"/>
          <w:rtl/>
        </w:rPr>
        <w:t xml:space="preserve"> ברה"י כדכתבו </w:t>
      </w:r>
      <w:r w:rsidRPr="00530400">
        <w:rPr>
          <w:rStyle w:val="affa"/>
          <w:rFonts w:hint="cs"/>
          <w:rtl/>
        </w:rPr>
        <w:t>התוס' בסוגיין</w:t>
      </w:r>
      <w:r w:rsidRPr="00530400">
        <w:rPr>
          <w:rStyle w:val="afb"/>
          <w:rFonts w:hint="cs"/>
          <w:rtl/>
        </w:rPr>
        <w:t xml:space="preserve"> </w:t>
      </w:r>
      <w:r w:rsidRPr="00B00FBE">
        <w:rPr>
          <w:rStyle w:val="aff6"/>
          <w:rFonts w:hint="cs"/>
          <w:rtl/>
        </w:rPr>
        <w:t xml:space="preserve">(עי' אות </w:t>
      </w:r>
      <w:r w:rsidRPr="00B00FBE">
        <w:rPr>
          <w:rStyle w:val="aff6"/>
          <w:rtl/>
        </w:rPr>
        <w:fldChar w:fldCharType="begin"/>
      </w:r>
      <w:r w:rsidRPr="00B00FBE">
        <w:rPr>
          <w:rStyle w:val="aff6"/>
          <w:rtl/>
        </w:rPr>
        <w:instrText xml:space="preserve"> </w:instrText>
      </w:r>
      <w:r w:rsidRPr="00B00FBE">
        <w:rPr>
          <w:rStyle w:val="aff6"/>
          <w:rFonts w:hint="cs"/>
        </w:rPr>
        <w:instrText>REF</w:instrText>
      </w:r>
      <w:r w:rsidRPr="00B00FBE">
        <w:rPr>
          <w:rStyle w:val="aff6"/>
          <w:rFonts w:hint="cs"/>
          <w:rtl/>
        </w:rPr>
        <w:instrText xml:space="preserve"> _</w:instrText>
      </w:r>
      <w:r w:rsidRPr="00B00FBE">
        <w:rPr>
          <w:rStyle w:val="aff6"/>
          <w:rFonts w:hint="cs"/>
        </w:rPr>
        <w:instrText>Ref524897303 \r \h</w:instrText>
      </w:r>
      <w:r w:rsidRPr="00B00FBE">
        <w:rPr>
          <w:rStyle w:val="aff6"/>
          <w:rtl/>
        </w:rPr>
        <w:instrText xml:space="preserve"> </w:instrText>
      </w:r>
      <w:r w:rsidRPr="00B00FBE">
        <w:rPr>
          <w:rStyle w:val="aff6"/>
          <w:rtl/>
        </w:rPr>
      </w:r>
      <w:r w:rsidRPr="00B00FBE">
        <w:rPr>
          <w:rStyle w:val="aff6"/>
          <w:rtl/>
        </w:rPr>
        <w:fldChar w:fldCharType="separate"/>
      </w:r>
      <w:r w:rsidR="00345400">
        <w:rPr>
          <w:rStyle w:val="aff6"/>
          <w:cs/>
        </w:rPr>
        <w:t>‎</w:t>
      </w:r>
      <w:r w:rsidR="00345400">
        <w:rPr>
          <w:rStyle w:val="aff6"/>
          <w:rtl/>
        </w:rPr>
        <w:t>יז)</w:t>
      </w:r>
      <w:r w:rsidRPr="00B00FBE">
        <w:rPr>
          <w:rStyle w:val="aff6"/>
          <w:rtl/>
        </w:rPr>
        <w:fldChar w:fldCharType="end"/>
      </w:r>
      <w:r w:rsidRPr="00530400">
        <w:rPr>
          <w:rStyle w:val="afb"/>
          <w:rFonts w:hint="cs"/>
          <w:rtl/>
        </w:rPr>
        <w:t>],</w:t>
      </w:r>
      <w:r>
        <w:rPr>
          <w:rFonts w:hint="cs"/>
          <w:rtl/>
        </w:rPr>
        <w:t xml:space="preserve"> לכן ביארו </w:t>
      </w:r>
      <w:r>
        <w:rPr>
          <w:rStyle w:val="af9"/>
          <w:rtl/>
        </w:rPr>
        <w:t>התוס' בנדה</w:t>
      </w:r>
      <w:r>
        <w:rPr>
          <w:rFonts w:hint="cs"/>
          <w:rtl/>
        </w:rPr>
        <w:t xml:space="preserve"> דחזקת הגברא לא מהני לומר שהיה הנגע חסר בשעה שנכנס לבית, כיון דכיון </w:t>
      </w:r>
      <w:r>
        <w:rPr>
          <w:rtl/>
        </w:rPr>
        <w:t>שטימא הכהן את הבית אף אם נחסר אח"כ, הוא גזיה"כ דטמא עד שיטהרנו הכהן</w:t>
      </w:r>
      <w:r>
        <w:rPr>
          <w:rFonts w:hint="cs"/>
          <w:rtl/>
        </w:rPr>
        <w:t>, ולכן מחזקינן דהנכנס טמא בודאי</w:t>
      </w:r>
      <w:r>
        <w:rPr>
          <w:rtl/>
        </w:rPr>
        <w:t>.</w:t>
      </w:r>
      <w:bookmarkEnd w:id="7073"/>
    </w:p>
    <w:p w14:paraId="3FE41267" w14:textId="77777777" w:rsidR="00FF5773" w:rsidRDefault="00FF5773" w:rsidP="006D6D32">
      <w:pPr>
        <w:pStyle w:val="a3"/>
        <w:rPr>
          <w:rtl/>
        </w:rPr>
      </w:pPr>
      <w:bookmarkStart w:id="7079" w:name="_Toc527924532"/>
      <w:bookmarkStart w:id="7080" w:name="_Toc527928751"/>
      <w:bookmarkStart w:id="7081" w:name="_Toc527999526"/>
      <w:bookmarkStart w:id="7082" w:name="_Toc19389878"/>
      <w:bookmarkStart w:id="7083" w:name="_Toc19393375"/>
      <w:r>
        <w:rPr>
          <w:rFonts w:hint="cs"/>
          <w:rtl/>
        </w:rPr>
        <w:t>ביאור המהר"ם דכיון שאין את סברת חסר ואתאי ל אמהני החזקה דהשתא</w:t>
      </w:r>
      <w:bookmarkEnd w:id="7079"/>
      <w:bookmarkEnd w:id="7080"/>
      <w:bookmarkEnd w:id="7081"/>
      <w:bookmarkEnd w:id="7082"/>
      <w:bookmarkEnd w:id="7083"/>
    </w:p>
    <w:p w14:paraId="2BA2C0E7" w14:textId="77777777" w:rsidR="00FF5773" w:rsidRPr="00394C51" w:rsidRDefault="00FF5773" w:rsidP="00223668">
      <w:pPr>
        <w:pStyle w:val="a0"/>
        <w:rPr>
          <w:rtl/>
        </w:rPr>
      </w:pPr>
      <w:r w:rsidRPr="00394C51">
        <w:rPr>
          <w:rFonts w:hint="cs"/>
          <w:rtl/>
        </w:rPr>
        <w:t xml:space="preserve">והוסיף </w:t>
      </w:r>
      <w:r w:rsidRPr="00394C51">
        <w:rPr>
          <w:rStyle w:val="af9"/>
          <w:rFonts w:hint="cs"/>
          <w:rtl/>
        </w:rPr>
        <w:t>המהר"ם</w:t>
      </w:r>
      <w:r w:rsidRPr="00394C51">
        <w:rPr>
          <w:rFonts w:hint="cs"/>
          <w:rtl/>
        </w:rPr>
        <w:t xml:space="preserve"> דאי ע"י החזקה דהשתא דחסר לפניך, יש ריעותא בחזקת הנגע, א"כ א"א להעמיד את הבית בחזקת טומאה כלל, ולכן הוצרכו </w:t>
      </w:r>
      <w:r w:rsidRPr="00394C51">
        <w:rPr>
          <w:rStyle w:val="af9"/>
          <w:rFonts w:hint="cs"/>
          <w:rtl/>
        </w:rPr>
        <w:t>התוס'</w:t>
      </w:r>
      <w:r w:rsidRPr="00394C51">
        <w:rPr>
          <w:rFonts w:hint="cs"/>
          <w:rtl/>
        </w:rPr>
        <w:t xml:space="preserve"> לומר את מה שכתבו בתחילת דבריהם דבמקוה הרגילות שמתחסר מעט מעט, ולכן שייך לומר בו חסר לפניך, משא"כ בנגע שמתחסר בבת אחת</w:t>
      </w:r>
      <w:r>
        <w:rPr>
          <w:rFonts w:hint="cs"/>
          <w:rtl/>
        </w:rPr>
        <w:t xml:space="preserve">, וע"י במה שביאר </w:t>
      </w:r>
      <w:r w:rsidRPr="00801A83">
        <w:rPr>
          <w:rStyle w:val="af9"/>
          <w:rFonts w:hint="cs"/>
          <w:rtl/>
        </w:rPr>
        <w:t>המקו</w:t>
      </w:r>
      <w:r>
        <w:rPr>
          <w:rStyle w:val="af9"/>
          <w:rFonts w:hint="cs"/>
          <w:rtl/>
        </w:rPr>
        <w:t>"ח</w:t>
      </w:r>
      <w:r w:rsidRPr="00801A83">
        <w:rPr>
          <w:rStyle w:val="af9"/>
          <w:rFonts w:hint="cs"/>
          <w:rtl/>
        </w:rPr>
        <w:t xml:space="preserve"> [לבעל הנתיה"מ] </w:t>
      </w:r>
      <w:r w:rsidRPr="00801A83">
        <w:rPr>
          <w:rStyle w:val="af7"/>
          <w:rFonts w:eastAsia="Guttman Hodes" w:hint="cs"/>
          <w:rtl/>
        </w:rPr>
        <w:t>(סי' תס"ז י"א י"א ד"ה וראיה)</w:t>
      </w:r>
      <w:r>
        <w:rPr>
          <w:rFonts w:hint="cs"/>
          <w:rtl/>
        </w:rPr>
        <w:t xml:space="preserve">, ועי' בדברי </w:t>
      </w:r>
      <w:r w:rsidRPr="00801A83">
        <w:rPr>
          <w:rStyle w:val="af9"/>
          <w:rFonts w:hint="cs"/>
          <w:rtl/>
        </w:rPr>
        <w:t>השער"י</w:t>
      </w:r>
      <w:r>
        <w:rPr>
          <w:rFonts w:hint="cs"/>
          <w:rtl/>
        </w:rPr>
        <w:t xml:space="preserve"> </w:t>
      </w:r>
      <w:r w:rsidRPr="00801A83">
        <w:rPr>
          <w:rStyle w:val="af7"/>
          <w:rFonts w:eastAsia="Guttman Hodes" w:hint="cs"/>
          <w:rtl/>
        </w:rPr>
        <w:t xml:space="preserve">(עי' אות </w:t>
      </w:r>
      <w:r w:rsidRPr="00801A83">
        <w:rPr>
          <w:rStyle w:val="af7"/>
          <w:rFonts w:eastAsia="Guttman Hodes"/>
          <w:rtl/>
        </w:rPr>
        <w:fldChar w:fldCharType="begin"/>
      </w:r>
      <w:r w:rsidRPr="00801A83">
        <w:rPr>
          <w:rStyle w:val="af7"/>
          <w:rFonts w:eastAsia="Guttman Hodes"/>
          <w:rtl/>
        </w:rPr>
        <w:instrText xml:space="preserve"> </w:instrText>
      </w:r>
      <w:r w:rsidRPr="00801A83">
        <w:rPr>
          <w:rStyle w:val="af7"/>
          <w:rFonts w:eastAsia="Guttman Hodes" w:hint="cs"/>
        </w:rPr>
        <w:instrText>REF</w:instrText>
      </w:r>
      <w:r w:rsidRPr="00801A83">
        <w:rPr>
          <w:rStyle w:val="af7"/>
          <w:rFonts w:eastAsia="Guttman Hodes" w:hint="cs"/>
          <w:rtl/>
        </w:rPr>
        <w:instrText xml:space="preserve"> _</w:instrText>
      </w:r>
      <w:r w:rsidRPr="00801A83">
        <w:rPr>
          <w:rStyle w:val="af7"/>
          <w:rFonts w:eastAsia="Guttman Hodes" w:hint="cs"/>
        </w:rPr>
        <w:instrText>Ref527998685 \r \h</w:instrText>
      </w:r>
      <w:r w:rsidRPr="00801A83">
        <w:rPr>
          <w:rStyle w:val="af7"/>
          <w:rFonts w:eastAsia="Guttman Hodes"/>
          <w:rtl/>
        </w:rPr>
        <w:instrText xml:space="preserve"> </w:instrText>
      </w:r>
      <w:r w:rsidRPr="00801A83">
        <w:rPr>
          <w:rStyle w:val="af7"/>
          <w:rFonts w:eastAsia="Guttman Hodes"/>
          <w:rtl/>
        </w:rPr>
      </w:r>
      <w:r w:rsidRPr="00801A83">
        <w:rPr>
          <w:rStyle w:val="af7"/>
          <w:rFonts w:eastAsia="Guttman Hodes"/>
          <w:rtl/>
        </w:rPr>
        <w:fldChar w:fldCharType="separate"/>
      </w:r>
      <w:r w:rsidR="00345400">
        <w:rPr>
          <w:rStyle w:val="af7"/>
          <w:rFonts w:eastAsia="Guttman Hodes"/>
          <w:cs/>
        </w:rPr>
        <w:t>‎</w:t>
      </w:r>
      <w:r w:rsidR="00345400">
        <w:rPr>
          <w:rStyle w:val="af7"/>
          <w:rFonts w:eastAsia="Guttman Hodes"/>
          <w:rtl/>
        </w:rPr>
        <w:t>צג)</w:t>
      </w:r>
      <w:r w:rsidRPr="00801A83">
        <w:rPr>
          <w:rStyle w:val="af7"/>
          <w:rFonts w:eastAsia="Guttman Hodes"/>
          <w:rtl/>
        </w:rPr>
        <w:fldChar w:fldCharType="end"/>
      </w:r>
      <w:r>
        <w:rPr>
          <w:rFonts w:hint="cs"/>
          <w:rtl/>
        </w:rPr>
        <w:t>.</w:t>
      </w:r>
    </w:p>
    <w:p w14:paraId="1DCF1C56" w14:textId="77777777" w:rsidR="00FF5773" w:rsidRDefault="00FF5773" w:rsidP="006D6D32">
      <w:pPr>
        <w:pStyle w:val="a3"/>
        <w:rPr>
          <w:rtl/>
        </w:rPr>
      </w:pPr>
      <w:bookmarkStart w:id="7084" w:name="_Toc527924533"/>
      <w:bookmarkStart w:id="7085" w:name="_Toc527928752"/>
      <w:bookmarkStart w:id="7086" w:name="_Toc527999527"/>
      <w:bookmarkStart w:id="7087" w:name="_Toc19389879"/>
      <w:bookmarkStart w:id="7088" w:name="_Toc19393376"/>
      <w:r w:rsidRPr="00394C51">
        <w:rPr>
          <w:rFonts w:hint="cs"/>
          <w:rtl/>
        </w:rPr>
        <w:t>ביאור הראש יוסף דכוונת התוס' בנדה דבנכנס לאחר שחסר הנגע הוא טמא כיון</w:t>
      </w:r>
      <w:r>
        <w:rPr>
          <w:rFonts w:hint="cs"/>
          <w:rtl/>
        </w:rPr>
        <w:t xml:space="preserve"> שהבית מוסגר</w:t>
      </w:r>
      <w:bookmarkEnd w:id="7084"/>
      <w:bookmarkEnd w:id="7085"/>
      <w:bookmarkEnd w:id="7086"/>
      <w:bookmarkEnd w:id="7087"/>
      <w:bookmarkEnd w:id="7088"/>
    </w:p>
    <w:p w14:paraId="2D7ECE7C" w14:textId="77777777" w:rsidR="00FF5773" w:rsidRDefault="00FF5773" w:rsidP="00223668">
      <w:pPr>
        <w:pStyle w:val="a0"/>
        <w:rPr>
          <w:rtl/>
        </w:rPr>
      </w:pPr>
      <w:r w:rsidRPr="002618FF">
        <w:rPr>
          <w:rStyle w:val="af9"/>
          <w:rFonts w:hint="cs"/>
          <w:rtl/>
        </w:rPr>
        <w:t>והראש יוסף</w:t>
      </w:r>
      <w:r>
        <w:rPr>
          <w:rFonts w:hint="cs"/>
          <w:rtl/>
        </w:rPr>
        <w:t xml:space="preserve"> </w:t>
      </w:r>
      <w:r w:rsidRPr="002618FF">
        <w:rPr>
          <w:rStyle w:val="af7"/>
          <w:rFonts w:eastAsia="Guttman Hodes" w:hint="cs"/>
          <w:rtl/>
        </w:rPr>
        <w:t>(ד"ה ודע דהתוס')</w:t>
      </w:r>
      <w:r>
        <w:rPr>
          <w:rFonts w:hint="cs"/>
          <w:rtl/>
        </w:rPr>
        <w:t xml:space="preserve"> כתב דדברי </w:t>
      </w:r>
      <w:r w:rsidRPr="002618FF">
        <w:rPr>
          <w:rStyle w:val="af9"/>
          <w:rFonts w:hint="cs"/>
          <w:rtl/>
        </w:rPr>
        <w:t>המהר"ם</w:t>
      </w:r>
      <w:r>
        <w:rPr>
          <w:rFonts w:hint="cs"/>
          <w:rtl/>
        </w:rPr>
        <w:t xml:space="preserve"> אינם מובנים, אלא ביאר </w:t>
      </w:r>
      <w:r w:rsidRPr="002618FF">
        <w:rPr>
          <w:rStyle w:val="af9"/>
          <w:rFonts w:hint="cs"/>
          <w:rtl/>
        </w:rPr>
        <w:t>הראש יוסף</w:t>
      </w:r>
      <w:r>
        <w:rPr>
          <w:rFonts w:hint="cs"/>
          <w:rtl/>
        </w:rPr>
        <w:t xml:space="preserve"> דכוונת </w:t>
      </w:r>
      <w:r w:rsidRPr="002618FF">
        <w:rPr>
          <w:rStyle w:val="af9"/>
          <w:rFonts w:hint="cs"/>
          <w:rtl/>
        </w:rPr>
        <w:t>התוס' בנדה</w:t>
      </w:r>
      <w:r>
        <w:rPr>
          <w:rFonts w:hint="cs"/>
          <w:rtl/>
        </w:rPr>
        <w:t xml:space="preserve"> לבאר את מה שכתבו דאם נכנס אדם לבית הוא טמא, דאפילו אם נחסר הנגע אחר שטימאו הכהן, ואח"כ נכנס האדם לשם, הוא טמא עד סוף השבוע.</w:t>
      </w:r>
    </w:p>
    <w:p w14:paraId="74C42A35" w14:textId="77777777" w:rsidR="00F62A0F" w:rsidRPr="00F62A0F" w:rsidRDefault="00F62A0F" w:rsidP="006D6D32">
      <w:pPr>
        <w:pStyle w:val="a3"/>
        <w:rPr>
          <w:rtl/>
        </w:rPr>
      </w:pPr>
    </w:p>
    <w:p w14:paraId="2494382E" w14:textId="77777777" w:rsidR="00F62A0F" w:rsidRPr="00F62A0F" w:rsidRDefault="00F62A0F" w:rsidP="006D6D32">
      <w:pPr>
        <w:pStyle w:val="a3"/>
        <w:rPr>
          <w:rtl/>
        </w:rPr>
      </w:pPr>
    </w:p>
    <w:p w14:paraId="653BF92D" w14:textId="77777777" w:rsidR="00FF5773" w:rsidRDefault="00FF5773" w:rsidP="00BF39B2">
      <w:pPr>
        <w:pStyle w:val="1"/>
        <w:rPr>
          <w:rtl/>
        </w:rPr>
      </w:pPr>
      <w:bookmarkStart w:id="7089" w:name="_Toc19389880"/>
      <w:bookmarkStart w:id="7090" w:name="_Toc19393377"/>
      <w:r>
        <w:rPr>
          <w:rtl/>
        </w:rPr>
        <w:t>תירוץ החמדת שלמה</w:t>
      </w:r>
      <w:r>
        <w:rPr>
          <w:rFonts w:hint="cs"/>
          <w:rtl/>
        </w:rPr>
        <w:t xml:space="preserve"> דהנדון על הבית ולא על האדם</w:t>
      </w:r>
      <w:bookmarkEnd w:id="7089"/>
      <w:bookmarkEnd w:id="7090"/>
    </w:p>
    <w:p w14:paraId="48D32397" w14:textId="77777777" w:rsidR="00FF5773" w:rsidRPr="00F60A08" w:rsidRDefault="00FF5773" w:rsidP="006D6D32">
      <w:pPr>
        <w:pStyle w:val="a3"/>
        <w:rPr>
          <w:rtl/>
        </w:rPr>
      </w:pPr>
      <w:bookmarkStart w:id="7091" w:name="_Toc527924535"/>
      <w:bookmarkStart w:id="7092" w:name="_Toc527928754"/>
      <w:bookmarkStart w:id="7093" w:name="_Toc527999529"/>
      <w:bookmarkStart w:id="7094" w:name="_Toc19389881"/>
      <w:bookmarkStart w:id="7095" w:name="_Toc19393378"/>
      <w:r>
        <w:rPr>
          <w:rFonts w:hint="cs"/>
          <w:rtl/>
        </w:rPr>
        <w:t>תירוץ החמדת שלמה דבמקוה הנדון הוא על הטובל ובטובל יש תרת"ל</w:t>
      </w:r>
      <w:bookmarkEnd w:id="7091"/>
      <w:bookmarkEnd w:id="7092"/>
      <w:bookmarkEnd w:id="7093"/>
      <w:bookmarkEnd w:id="7094"/>
      <w:bookmarkEnd w:id="7095"/>
    </w:p>
    <w:p w14:paraId="67093570" w14:textId="77777777" w:rsidR="00FF5773" w:rsidRDefault="00FF5773" w:rsidP="00223668">
      <w:pPr>
        <w:pStyle w:val="a0"/>
        <w:rPr>
          <w:rtl/>
        </w:rPr>
      </w:pPr>
      <w:r w:rsidRPr="00B44CE0">
        <w:rPr>
          <w:rStyle w:val="af9"/>
          <w:rFonts w:hint="cs"/>
          <w:rtl/>
        </w:rPr>
        <w:t>והחמדת שלמה</w:t>
      </w:r>
      <w:r>
        <w:rPr>
          <w:rFonts w:hint="cs"/>
          <w:rtl/>
        </w:rPr>
        <w:t xml:space="preserve"> </w:t>
      </w:r>
      <w:r w:rsidRPr="00B44CE0">
        <w:rPr>
          <w:rStyle w:val="af7"/>
          <w:rFonts w:eastAsia="Guttman Hodes" w:hint="cs"/>
          <w:rtl/>
        </w:rPr>
        <w:t>(</w:t>
      </w:r>
      <w:r>
        <w:rPr>
          <w:rStyle w:val="af7"/>
          <w:rFonts w:eastAsia="Guttman Hodes" w:hint="cs"/>
          <w:rtl/>
        </w:rPr>
        <w:t xml:space="preserve">שו"ת </w:t>
      </w:r>
      <w:r w:rsidRPr="00B44CE0">
        <w:rPr>
          <w:rStyle w:val="af7"/>
          <w:rFonts w:eastAsia="Guttman Hodes" w:hint="cs"/>
          <w:rtl/>
        </w:rPr>
        <w:t>יו"ד סי' ד' ו'</w:t>
      </w:r>
      <w:r w:rsidRPr="00353896">
        <w:rPr>
          <w:rFonts w:hint="cs"/>
          <w:rtl/>
        </w:rPr>
        <w:t xml:space="preserve"> </w:t>
      </w:r>
      <w:r>
        <w:rPr>
          <w:rStyle w:val="af7"/>
          <w:rFonts w:eastAsia="Guttman Hodes" w:hint="cs"/>
          <w:rtl/>
        </w:rPr>
        <w:t>ד"ה עוד הקשו</w:t>
      </w:r>
      <w:r w:rsidRPr="00B44CE0">
        <w:rPr>
          <w:rStyle w:val="af7"/>
          <w:rFonts w:eastAsia="Guttman Hodes" w:hint="cs"/>
          <w:rtl/>
        </w:rPr>
        <w:t>)</w:t>
      </w:r>
      <w:r>
        <w:rPr>
          <w:rFonts w:hint="cs"/>
          <w:rtl/>
        </w:rPr>
        <w:t xml:space="preserve"> תירץ את קושית</w:t>
      </w:r>
      <w:r w:rsidRPr="00B44CE0">
        <w:rPr>
          <w:rStyle w:val="af9"/>
          <w:rFonts w:hint="cs"/>
          <w:rtl/>
        </w:rPr>
        <w:t xml:space="preserve"> התוס'</w:t>
      </w:r>
      <w:r>
        <w:rPr>
          <w:rFonts w:hint="cs"/>
          <w:rtl/>
        </w:rPr>
        <w:t xml:space="preserve"> </w:t>
      </w:r>
      <w:r w:rsidRPr="00B44CE0">
        <w:rPr>
          <w:rStyle w:val="af7"/>
          <w:rFonts w:eastAsia="Guttman Hodes" w:hint="cs"/>
          <w:rtl/>
        </w:rPr>
        <w:t xml:space="preserve">(עי' אות </w:t>
      </w:r>
      <w:r w:rsidRPr="00B44CE0">
        <w:rPr>
          <w:rStyle w:val="af7"/>
          <w:rFonts w:eastAsia="Guttman Hodes"/>
          <w:rtl/>
        </w:rPr>
        <w:fldChar w:fldCharType="begin"/>
      </w:r>
      <w:r w:rsidRPr="00B44CE0">
        <w:rPr>
          <w:rStyle w:val="af7"/>
          <w:rFonts w:eastAsia="Guttman Hodes"/>
          <w:rtl/>
        </w:rPr>
        <w:instrText xml:space="preserve"> </w:instrText>
      </w:r>
      <w:r w:rsidRPr="00B44CE0">
        <w:rPr>
          <w:rStyle w:val="af7"/>
          <w:rFonts w:eastAsia="Guttman Hodes" w:hint="cs"/>
        </w:rPr>
        <w:instrText>REF</w:instrText>
      </w:r>
      <w:r w:rsidRPr="00B44CE0">
        <w:rPr>
          <w:rStyle w:val="af7"/>
          <w:rFonts w:eastAsia="Guttman Hodes" w:hint="cs"/>
          <w:rtl/>
        </w:rPr>
        <w:instrText xml:space="preserve"> _</w:instrText>
      </w:r>
      <w:r w:rsidRPr="00B44CE0">
        <w:rPr>
          <w:rStyle w:val="af7"/>
          <w:rFonts w:eastAsia="Guttman Hodes" w:hint="cs"/>
        </w:rPr>
        <w:instrText>Ref527488441 \r \h</w:instrText>
      </w:r>
      <w:r w:rsidRPr="00B44CE0">
        <w:rPr>
          <w:rStyle w:val="af7"/>
          <w:rFonts w:eastAsia="Guttman Hodes"/>
          <w:rtl/>
        </w:rPr>
        <w:instrText xml:space="preserve"> </w:instrText>
      </w:r>
      <w:r w:rsidRPr="00B44CE0">
        <w:rPr>
          <w:rStyle w:val="af7"/>
          <w:rFonts w:eastAsia="Guttman Hodes"/>
          <w:rtl/>
        </w:rPr>
      </w:r>
      <w:r w:rsidRPr="00B44CE0">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B44CE0">
        <w:rPr>
          <w:rStyle w:val="af7"/>
          <w:rFonts w:eastAsia="Guttman Hodes"/>
          <w:rtl/>
        </w:rPr>
        <w:fldChar w:fldCharType="end"/>
      </w:r>
      <w:r>
        <w:rPr>
          <w:rFonts w:hint="cs"/>
          <w:rtl/>
        </w:rPr>
        <w:t xml:space="preserve"> דכל החזקת כשרות שיש במקוה, היא לענין הטמאים שטובלים בו, ואין כל נדון על המקוה עצמו, ולכן אמרינן תרתי לריעותא ע"י חסר לפניך וחזקת הטמא של הגברא, דכשרות המקוה היא לענין הטובל, ובטובל יש תרתי לריעותא.</w:t>
      </w:r>
    </w:p>
    <w:p w14:paraId="675404DE" w14:textId="77777777" w:rsidR="00FF5773" w:rsidRDefault="00FF5773" w:rsidP="006D6D32">
      <w:pPr>
        <w:pStyle w:val="a3"/>
        <w:rPr>
          <w:rtl/>
        </w:rPr>
      </w:pPr>
      <w:bookmarkStart w:id="7096" w:name="_Toc527924536"/>
      <w:bookmarkStart w:id="7097" w:name="_Toc527928755"/>
      <w:bookmarkStart w:id="7098" w:name="_Toc527999530"/>
      <w:bookmarkStart w:id="7099" w:name="_Toc19389882"/>
      <w:bookmarkStart w:id="7100" w:name="_Toc19393379"/>
      <w:r>
        <w:rPr>
          <w:rFonts w:hint="cs"/>
          <w:rtl/>
        </w:rPr>
        <w:t>דברי החמדת שלמה דבנגע הנדון על הבית ולא מהני התרת"ל שיש באדם שנכנס לבית</w:t>
      </w:r>
      <w:bookmarkEnd w:id="7096"/>
      <w:bookmarkEnd w:id="7097"/>
      <w:bookmarkEnd w:id="7098"/>
      <w:bookmarkEnd w:id="7099"/>
      <w:bookmarkEnd w:id="7100"/>
    </w:p>
    <w:p w14:paraId="1D4BAA2B" w14:textId="77777777" w:rsidR="00FF5773" w:rsidRDefault="00FF5773" w:rsidP="00223668">
      <w:pPr>
        <w:pStyle w:val="a0"/>
        <w:rPr>
          <w:rtl/>
        </w:rPr>
      </w:pPr>
      <w:r>
        <w:rPr>
          <w:rFonts w:hint="cs"/>
          <w:rtl/>
        </w:rPr>
        <w:t xml:space="preserve">אבל בבית המנוגע כתב </w:t>
      </w:r>
      <w:r w:rsidRPr="00B44CE0">
        <w:rPr>
          <w:rStyle w:val="af9"/>
          <w:rFonts w:hint="cs"/>
          <w:rtl/>
        </w:rPr>
        <w:t>החמדת שלמה</w:t>
      </w:r>
      <w:r>
        <w:rPr>
          <w:rFonts w:hint="cs"/>
          <w:rtl/>
        </w:rPr>
        <w:t xml:space="preserve"> דהנדון הוא לטמא את הבית עצמו, ואין הנדון באדם שנכנס לבית, ולכן א"א לומר שיש תרתי לריעותא בחזקת הנגע, ע"י דחסר לפניך והחזקת טהרה של האדם, </w:t>
      </w:r>
      <w:r w:rsidRPr="00B44CE0">
        <w:rPr>
          <w:rStyle w:val="afb"/>
          <w:rFonts w:hint="cs"/>
          <w:rtl/>
        </w:rPr>
        <w:t xml:space="preserve">[והוסיף </w:t>
      </w:r>
      <w:r w:rsidRPr="00B44CE0">
        <w:rPr>
          <w:rStyle w:val="affa"/>
          <w:rFonts w:hint="cs"/>
          <w:rtl/>
        </w:rPr>
        <w:t>החמדת שלמה</w:t>
      </w:r>
      <w:r w:rsidRPr="00B44CE0">
        <w:rPr>
          <w:rStyle w:val="afb"/>
          <w:rFonts w:hint="cs"/>
          <w:rtl/>
        </w:rPr>
        <w:t xml:space="preserve"> דהחזקת טהרה של הבית, ודאי שאינה מצטרפת כיון שהורעה חזקתו, כשנולד בו הנגע]</w:t>
      </w:r>
      <w:r>
        <w:rPr>
          <w:rFonts w:hint="cs"/>
          <w:rtl/>
        </w:rPr>
        <w:t xml:space="preserve">. </w:t>
      </w:r>
    </w:p>
    <w:p w14:paraId="7ACBEE36" w14:textId="77777777" w:rsidR="000D2A6E" w:rsidRPr="000D2A6E" w:rsidRDefault="000D2A6E" w:rsidP="006D6D32">
      <w:pPr>
        <w:pStyle w:val="a3"/>
        <w:rPr>
          <w:rtl/>
        </w:rPr>
      </w:pPr>
    </w:p>
    <w:p w14:paraId="7C7E8F77" w14:textId="77777777" w:rsidR="00FF5773" w:rsidRDefault="00FF5773" w:rsidP="006D6D32">
      <w:pPr>
        <w:pStyle w:val="a3"/>
        <w:rPr>
          <w:rtl/>
        </w:rPr>
      </w:pPr>
      <w:bookmarkStart w:id="7101" w:name="_Toc527924537"/>
      <w:bookmarkStart w:id="7102" w:name="_Toc527928756"/>
      <w:bookmarkStart w:id="7103" w:name="_Toc527999531"/>
      <w:bookmarkStart w:id="7104" w:name="_Toc19389883"/>
      <w:bookmarkStart w:id="7105" w:name="_Toc19393380"/>
      <w:r>
        <w:rPr>
          <w:rFonts w:hint="cs"/>
          <w:rtl/>
        </w:rPr>
        <w:t>קושית החמדת שלמה דהא כתבו התוס' דלקולא מעמידים על החזקה ואמאי לא אמרינן תרת"ל</w:t>
      </w:r>
      <w:bookmarkEnd w:id="7101"/>
      <w:bookmarkEnd w:id="7102"/>
      <w:bookmarkEnd w:id="7103"/>
      <w:bookmarkEnd w:id="7104"/>
      <w:bookmarkEnd w:id="7105"/>
    </w:p>
    <w:p w14:paraId="1E52C031" w14:textId="77777777" w:rsidR="00FF5773" w:rsidRDefault="00FF5773" w:rsidP="00223668">
      <w:pPr>
        <w:pStyle w:val="a0"/>
        <w:rPr>
          <w:rtl/>
        </w:rPr>
      </w:pPr>
      <w:r>
        <w:rPr>
          <w:rFonts w:hint="cs"/>
          <w:rtl/>
        </w:rPr>
        <w:t xml:space="preserve">אך הקשה </w:t>
      </w:r>
      <w:r w:rsidRPr="008E6CD0">
        <w:rPr>
          <w:rStyle w:val="af9"/>
          <w:rFonts w:hint="cs"/>
          <w:rtl/>
        </w:rPr>
        <w:t xml:space="preserve">החמדת </w:t>
      </w:r>
      <w:r w:rsidRPr="009B7634">
        <w:rPr>
          <w:rStyle w:val="af9"/>
          <w:rFonts w:hint="cs"/>
          <w:rtl/>
        </w:rPr>
        <w:t>שלמה</w:t>
      </w:r>
      <w:r w:rsidRPr="009B7634">
        <w:rPr>
          <w:rFonts w:hint="cs"/>
          <w:rtl/>
        </w:rPr>
        <w:t xml:space="preserve"> </w:t>
      </w:r>
      <w:r w:rsidRPr="009B7634">
        <w:rPr>
          <w:rStyle w:val="af9"/>
          <w:rFonts w:hint="cs"/>
          <w:rtl/>
        </w:rPr>
        <w:t xml:space="preserve">דבתוס' </w:t>
      </w:r>
      <w:r w:rsidRPr="009B7634">
        <w:rPr>
          <w:rStyle w:val="af7"/>
          <w:rFonts w:eastAsia="Guttman Hodes" w:hint="cs"/>
          <w:rtl/>
        </w:rPr>
        <w:t xml:space="preserve">(ד"ה אלא עי' אות </w:t>
      </w:r>
      <w:r w:rsidRPr="009B7634">
        <w:rPr>
          <w:rStyle w:val="af7"/>
          <w:rFonts w:eastAsia="Guttman Hodes"/>
          <w:rtl/>
        </w:rPr>
        <w:fldChar w:fldCharType="begin"/>
      </w:r>
      <w:r w:rsidRPr="009B7634">
        <w:rPr>
          <w:rStyle w:val="af7"/>
          <w:rFonts w:eastAsia="Guttman Hodes"/>
          <w:rtl/>
        </w:rPr>
        <w:instrText xml:space="preserve"> </w:instrText>
      </w:r>
      <w:r w:rsidRPr="009B7634">
        <w:rPr>
          <w:rStyle w:val="af7"/>
          <w:rFonts w:eastAsia="Guttman Hodes" w:hint="cs"/>
        </w:rPr>
        <w:instrText>REF</w:instrText>
      </w:r>
      <w:r w:rsidRPr="009B7634">
        <w:rPr>
          <w:rStyle w:val="af7"/>
          <w:rFonts w:eastAsia="Guttman Hodes" w:hint="cs"/>
          <w:rtl/>
        </w:rPr>
        <w:instrText xml:space="preserve"> _</w:instrText>
      </w:r>
      <w:r w:rsidRPr="009B7634">
        <w:rPr>
          <w:rStyle w:val="af7"/>
          <w:rFonts w:eastAsia="Guttman Hodes" w:hint="cs"/>
        </w:rPr>
        <w:instrText>Ref527921036 \r \h</w:instrText>
      </w:r>
      <w:r w:rsidRPr="009B7634">
        <w:rPr>
          <w:rStyle w:val="af7"/>
          <w:rFonts w:eastAsia="Guttman Hodes"/>
          <w:rtl/>
        </w:rPr>
        <w:instrText xml:space="preserve"> </w:instrText>
      </w:r>
      <w:r w:rsidRPr="009B7634">
        <w:rPr>
          <w:rStyle w:val="af7"/>
          <w:rFonts w:eastAsia="Guttman Hodes"/>
          <w:rtl/>
        </w:rPr>
      </w:r>
      <w:r w:rsidRPr="009B7634">
        <w:rPr>
          <w:rStyle w:val="af7"/>
          <w:rFonts w:eastAsia="Guttman Hodes"/>
          <w:rtl/>
        </w:rPr>
        <w:fldChar w:fldCharType="separate"/>
      </w:r>
      <w:r w:rsidR="00345400">
        <w:rPr>
          <w:rStyle w:val="af7"/>
          <w:rFonts w:eastAsia="Guttman Hodes"/>
          <w:cs/>
        </w:rPr>
        <w:t>‎</w:t>
      </w:r>
      <w:r w:rsidR="00345400">
        <w:rPr>
          <w:rStyle w:val="af7"/>
          <w:rFonts w:eastAsia="Guttman Hodes"/>
          <w:rtl/>
        </w:rPr>
        <w:t>ה)</w:t>
      </w:r>
      <w:r w:rsidRPr="009B7634">
        <w:rPr>
          <w:rStyle w:val="af7"/>
          <w:rFonts w:eastAsia="Guttman Hodes"/>
          <w:rtl/>
        </w:rPr>
        <w:fldChar w:fldCharType="end"/>
      </w:r>
      <w:r w:rsidRPr="009B7634">
        <w:rPr>
          <w:rStyle w:val="af7"/>
          <w:rFonts w:eastAsia="Guttman Hodes" w:hint="cs"/>
          <w:rtl/>
        </w:rPr>
        <w:t xml:space="preserve"> </w:t>
      </w:r>
      <w:r w:rsidRPr="009B7634">
        <w:rPr>
          <w:rFonts w:hint="cs"/>
          <w:rtl/>
        </w:rPr>
        <w:t>שכתבו דאף לקולא מעמידים את הנגע בחזקתו, קשה דהוי תרתי לריעותא, דהנגע חסר לפניך, והבית</w:t>
      </w:r>
      <w:r>
        <w:rPr>
          <w:rFonts w:hint="cs"/>
          <w:rtl/>
        </w:rPr>
        <w:t xml:space="preserve"> בחזקת טומאה, ויצטרך הסגר שני, </w:t>
      </w:r>
      <w:r w:rsidRPr="008E6CD0">
        <w:rPr>
          <w:rStyle w:val="afb"/>
          <w:rFonts w:hint="cs"/>
          <w:rtl/>
        </w:rPr>
        <w:t xml:space="preserve">[וכתב </w:t>
      </w:r>
      <w:r w:rsidRPr="008E6CD0">
        <w:rPr>
          <w:rStyle w:val="affa"/>
          <w:rFonts w:hint="cs"/>
          <w:rtl/>
        </w:rPr>
        <w:t>החמדת שלמה</w:t>
      </w:r>
      <w:r w:rsidRPr="008E6CD0">
        <w:rPr>
          <w:rStyle w:val="afb"/>
          <w:rFonts w:hint="cs"/>
          <w:rtl/>
        </w:rPr>
        <w:t xml:space="preserve"> דלביאור </w:t>
      </w:r>
      <w:r w:rsidRPr="008E6CD0">
        <w:rPr>
          <w:rStyle w:val="affa"/>
          <w:rFonts w:hint="cs"/>
          <w:rtl/>
        </w:rPr>
        <w:t>התוס' בנדה</w:t>
      </w:r>
      <w:r w:rsidRPr="008E6CD0">
        <w:rPr>
          <w:rStyle w:val="afb"/>
          <w:rFonts w:hint="cs"/>
          <w:rtl/>
        </w:rPr>
        <w:t xml:space="preserve"> </w:t>
      </w:r>
      <w:r w:rsidRPr="00B44CE0">
        <w:rPr>
          <w:rStyle w:val="aff6"/>
          <w:rFonts w:hint="cs"/>
          <w:rtl/>
        </w:rPr>
        <w:t xml:space="preserve">(עי' אות </w:t>
      </w:r>
      <w:r w:rsidRPr="00B44CE0">
        <w:rPr>
          <w:rStyle w:val="aff6"/>
          <w:rtl/>
        </w:rPr>
        <w:fldChar w:fldCharType="begin"/>
      </w:r>
      <w:r w:rsidRPr="00B44CE0">
        <w:rPr>
          <w:rStyle w:val="aff6"/>
          <w:rtl/>
        </w:rPr>
        <w:instrText xml:space="preserve"> </w:instrText>
      </w:r>
      <w:r w:rsidRPr="00B44CE0">
        <w:rPr>
          <w:rStyle w:val="aff6"/>
          <w:rFonts w:hint="cs"/>
        </w:rPr>
        <w:instrText>REF</w:instrText>
      </w:r>
      <w:r w:rsidRPr="00B44CE0">
        <w:rPr>
          <w:rStyle w:val="aff6"/>
          <w:rFonts w:hint="cs"/>
          <w:rtl/>
        </w:rPr>
        <w:instrText xml:space="preserve"> _</w:instrText>
      </w:r>
      <w:r w:rsidRPr="00B44CE0">
        <w:rPr>
          <w:rStyle w:val="aff6"/>
          <w:rFonts w:hint="cs"/>
        </w:rPr>
        <w:instrText>Ref527491955 \r \h</w:instrText>
      </w:r>
      <w:r w:rsidRPr="00B44CE0">
        <w:rPr>
          <w:rStyle w:val="aff6"/>
          <w:rtl/>
        </w:rPr>
        <w:instrText xml:space="preserve"> </w:instrText>
      </w:r>
      <w:r w:rsidRPr="00B44CE0">
        <w:rPr>
          <w:rStyle w:val="aff6"/>
          <w:rtl/>
        </w:rPr>
      </w:r>
      <w:r w:rsidRPr="00B44CE0">
        <w:rPr>
          <w:rStyle w:val="aff6"/>
          <w:rtl/>
        </w:rPr>
        <w:fldChar w:fldCharType="separate"/>
      </w:r>
      <w:r w:rsidR="00345400">
        <w:rPr>
          <w:rStyle w:val="aff6"/>
          <w:cs/>
        </w:rPr>
        <w:t>‎</w:t>
      </w:r>
      <w:r w:rsidR="00345400">
        <w:rPr>
          <w:rStyle w:val="aff6"/>
          <w:rtl/>
        </w:rPr>
        <w:t>נח)</w:t>
      </w:r>
      <w:r w:rsidRPr="00B44CE0">
        <w:rPr>
          <w:rStyle w:val="aff6"/>
          <w:rtl/>
        </w:rPr>
        <w:fldChar w:fldCharType="end"/>
      </w:r>
      <w:r w:rsidRPr="00B44CE0">
        <w:rPr>
          <w:rStyle w:val="aff6"/>
          <w:rFonts w:hint="cs"/>
          <w:rtl/>
        </w:rPr>
        <w:t xml:space="preserve"> </w:t>
      </w:r>
      <w:r w:rsidRPr="008E6CD0">
        <w:rPr>
          <w:rStyle w:val="afb"/>
          <w:rFonts w:hint="cs"/>
          <w:rtl/>
        </w:rPr>
        <w:t>דנגע רגיל להתחסר בבת אחת מיושב]</w:t>
      </w:r>
      <w:r>
        <w:rPr>
          <w:rFonts w:hint="cs"/>
          <w:rtl/>
        </w:rPr>
        <w:t>.</w:t>
      </w:r>
    </w:p>
    <w:p w14:paraId="67A3EA4B" w14:textId="77777777" w:rsidR="00FF5773" w:rsidRDefault="00FF5773" w:rsidP="006D6D32">
      <w:pPr>
        <w:pStyle w:val="a3"/>
        <w:rPr>
          <w:rtl/>
        </w:rPr>
      </w:pPr>
      <w:bookmarkStart w:id="7106" w:name="_Toc527924538"/>
      <w:bookmarkStart w:id="7107" w:name="_Toc527928757"/>
      <w:bookmarkStart w:id="7108" w:name="_Toc527999532"/>
      <w:bookmarkStart w:id="7109" w:name="_Toc19389884"/>
      <w:bookmarkStart w:id="7110" w:name="_Toc19393381"/>
      <w:r>
        <w:rPr>
          <w:rFonts w:hint="cs"/>
          <w:rtl/>
        </w:rPr>
        <w:t>דברי החמדת שלמה דאפשר לחלק דבמקוה לא טבל כלל ובנגע אין נ"מ בשעת החסרון</w:t>
      </w:r>
      <w:bookmarkEnd w:id="7106"/>
      <w:bookmarkEnd w:id="7107"/>
      <w:bookmarkEnd w:id="7108"/>
      <w:bookmarkEnd w:id="7109"/>
      <w:bookmarkEnd w:id="7110"/>
    </w:p>
    <w:p w14:paraId="16603EED" w14:textId="77777777" w:rsidR="00FF5773" w:rsidRPr="003B02CC" w:rsidRDefault="00FF5773" w:rsidP="00223668">
      <w:pPr>
        <w:pStyle w:val="a0"/>
        <w:rPr>
          <w:rStyle w:val="afb"/>
          <w:rtl/>
        </w:rPr>
      </w:pPr>
      <w:r w:rsidRPr="003B02CC">
        <w:rPr>
          <w:rFonts w:hint="cs"/>
          <w:rtl/>
        </w:rPr>
        <w:t xml:space="preserve">וכתב </w:t>
      </w:r>
      <w:r w:rsidRPr="003B02CC">
        <w:rPr>
          <w:rStyle w:val="af9"/>
          <w:rFonts w:hint="cs"/>
          <w:rtl/>
        </w:rPr>
        <w:t>החמדת שלמה</w:t>
      </w:r>
      <w:r w:rsidRPr="003B02CC">
        <w:rPr>
          <w:rFonts w:hint="cs"/>
          <w:rtl/>
        </w:rPr>
        <w:t xml:space="preserve"> דאפשר קצת לחלק בין מקוה לנגע, דבמקוה בשעת הטבילה היה נ"מ אם נחסר המקוה, דטבילתו אינה טבילה, אבל בנגע שבשעת החסרון אין עדיין נ"מ, אלא הנ"מ היא אם יעמוד הנגע בעיניו, לכן א"א לומר שיש תרתי לריעותא ע"י החסרון. </w:t>
      </w:r>
      <w:r w:rsidRPr="003B02CC">
        <w:rPr>
          <w:rStyle w:val="afb"/>
          <w:rFonts w:hint="cs"/>
          <w:rtl/>
        </w:rPr>
        <w:t xml:space="preserve">[ועי' בדברי </w:t>
      </w:r>
      <w:r w:rsidRPr="003B02CC">
        <w:rPr>
          <w:rStyle w:val="affa"/>
          <w:rFonts w:hint="cs"/>
          <w:rtl/>
        </w:rPr>
        <w:t>הר"ש משאנץ</w:t>
      </w:r>
      <w:r w:rsidRPr="003B02CC">
        <w:rPr>
          <w:rStyle w:val="afb"/>
          <w:rFonts w:hint="cs"/>
          <w:rtl/>
        </w:rPr>
        <w:t xml:space="preserve"> </w:t>
      </w:r>
      <w:r w:rsidRPr="00873CAE">
        <w:rPr>
          <w:rStyle w:val="aff6"/>
          <w:rFonts w:hint="cs"/>
          <w:rtl/>
        </w:rPr>
        <w:t xml:space="preserve">(עי' אות </w:t>
      </w:r>
      <w:r w:rsidRPr="00873CAE">
        <w:rPr>
          <w:rStyle w:val="aff6"/>
          <w:rtl/>
        </w:rPr>
        <w:fldChar w:fldCharType="begin"/>
      </w:r>
      <w:r w:rsidRPr="00873CAE">
        <w:rPr>
          <w:rStyle w:val="aff6"/>
          <w:rtl/>
        </w:rPr>
        <w:instrText xml:space="preserve"> </w:instrText>
      </w:r>
      <w:r w:rsidRPr="00873CAE">
        <w:rPr>
          <w:rStyle w:val="aff6"/>
          <w:rFonts w:hint="cs"/>
        </w:rPr>
        <w:instrText>REF</w:instrText>
      </w:r>
      <w:r w:rsidRPr="00873CAE">
        <w:rPr>
          <w:rStyle w:val="aff6"/>
          <w:rFonts w:hint="cs"/>
          <w:rtl/>
        </w:rPr>
        <w:instrText xml:space="preserve"> _</w:instrText>
      </w:r>
      <w:r w:rsidRPr="00873CAE">
        <w:rPr>
          <w:rStyle w:val="aff6"/>
          <w:rFonts w:hint="cs"/>
        </w:rPr>
        <w:instrText>Ref527997238 \r \h</w:instrText>
      </w:r>
      <w:r w:rsidRPr="00873CAE">
        <w:rPr>
          <w:rStyle w:val="aff6"/>
          <w:rtl/>
        </w:rPr>
        <w:instrText xml:space="preserve"> </w:instrText>
      </w:r>
      <w:r w:rsidRPr="00873CAE">
        <w:rPr>
          <w:rStyle w:val="aff6"/>
          <w:rtl/>
        </w:rPr>
      </w:r>
      <w:r w:rsidRPr="00873CAE">
        <w:rPr>
          <w:rStyle w:val="aff6"/>
          <w:rtl/>
        </w:rPr>
        <w:fldChar w:fldCharType="separate"/>
      </w:r>
      <w:r w:rsidR="00345400">
        <w:rPr>
          <w:rStyle w:val="aff6"/>
          <w:cs/>
        </w:rPr>
        <w:t>‎</w:t>
      </w:r>
      <w:r w:rsidR="00345400">
        <w:rPr>
          <w:rStyle w:val="aff6"/>
          <w:rtl/>
        </w:rPr>
        <w:t>נד)</w:t>
      </w:r>
      <w:r w:rsidRPr="00873CAE">
        <w:rPr>
          <w:rStyle w:val="aff6"/>
          <w:rtl/>
        </w:rPr>
        <w:fldChar w:fldCharType="end"/>
      </w:r>
      <w:r w:rsidRPr="003B02CC">
        <w:rPr>
          <w:rStyle w:val="afb"/>
          <w:rFonts w:hint="cs"/>
          <w:rtl/>
        </w:rPr>
        <w:t>].</w:t>
      </w:r>
    </w:p>
    <w:p w14:paraId="055AD15C" w14:textId="77777777" w:rsidR="00FF5773" w:rsidRDefault="00FF5773" w:rsidP="006D6D32">
      <w:pPr>
        <w:pStyle w:val="a3"/>
        <w:rPr>
          <w:rtl/>
        </w:rPr>
      </w:pPr>
      <w:bookmarkStart w:id="7111" w:name="_Toc527999533"/>
      <w:bookmarkStart w:id="7112" w:name="_Toc19389885"/>
      <w:bookmarkStart w:id="7113" w:name="_Toc19393382"/>
      <w:r>
        <w:rPr>
          <w:rFonts w:hint="cs"/>
          <w:rtl/>
        </w:rPr>
        <w:t>דברי האחיעזר דבהסגר ראשון ושני עיקר הנדון הוא על האדם ולא על הבית</w:t>
      </w:r>
      <w:bookmarkEnd w:id="7111"/>
      <w:bookmarkEnd w:id="7112"/>
      <w:bookmarkEnd w:id="7113"/>
    </w:p>
    <w:p w14:paraId="081E5FF0" w14:textId="77777777" w:rsidR="00FF5773" w:rsidRPr="00C606C6" w:rsidRDefault="00FF5773" w:rsidP="00223668">
      <w:pPr>
        <w:pStyle w:val="a0"/>
        <w:rPr>
          <w:rtl/>
        </w:rPr>
      </w:pPr>
      <w:r>
        <w:rPr>
          <w:rFonts w:hint="cs"/>
          <w:rtl/>
        </w:rPr>
        <w:t>אמנם</w:t>
      </w:r>
      <w:r w:rsidRPr="007D5BB2">
        <w:rPr>
          <w:rStyle w:val="af9"/>
          <w:rFonts w:hint="cs"/>
          <w:rtl/>
        </w:rPr>
        <w:t xml:space="preserve"> האחיעזר</w:t>
      </w:r>
      <w:r>
        <w:rPr>
          <w:rFonts w:hint="cs"/>
          <w:rtl/>
        </w:rPr>
        <w:t xml:space="preserve"> </w:t>
      </w:r>
      <w:r w:rsidRPr="007D5BB2">
        <w:rPr>
          <w:rStyle w:val="af7"/>
          <w:rFonts w:eastAsia="Guttman Hodes" w:hint="cs"/>
          <w:rtl/>
        </w:rPr>
        <w:t>(ח"ב יו"ד ב' סוד"ה דמוקמינן)</w:t>
      </w:r>
      <w:r>
        <w:rPr>
          <w:rFonts w:hint="cs"/>
          <w:rtl/>
        </w:rPr>
        <w:t xml:space="preserve"> ביאר דאף שלכאורה הנדון הוא על הבית, ולא מהני החזקת טהרה של האדם. מ"מ בהסגר ראשון ושני לפני שהבית מוחלט עיקר הנ"מ מהטומאה, היא על הנוגע בבית, ולכן הקשו </w:t>
      </w:r>
      <w:r w:rsidRPr="007D5BB2">
        <w:rPr>
          <w:rStyle w:val="af9"/>
          <w:rFonts w:hint="cs"/>
          <w:rtl/>
        </w:rPr>
        <w:t xml:space="preserve">התוס' </w:t>
      </w:r>
      <w:r>
        <w:rPr>
          <w:rFonts w:hint="cs"/>
          <w:rtl/>
        </w:rPr>
        <w:t>דיהיה תרתי לריעותא דחסר לפניך, והאדם בחזקת טהור.</w:t>
      </w:r>
    </w:p>
    <w:p w14:paraId="10531F6E" w14:textId="77777777" w:rsidR="00FF5773" w:rsidRDefault="00FF5773" w:rsidP="006D6D32">
      <w:pPr>
        <w:pStyle w:val="afe"/>
        <w:rPr>
          <w:rtl/>
        </w:rPr>
      </w:pPr>
      <w:bookmarkStart w:id="7114" w:name="_Toc527912596"/>
      <w:bookmarkStart w:id="7115" w:name="_Toc527924539"/>
      <w:bookmarkStart w:id="7116" w:name="_Toc527928758"/>
      <w:bookmarkStart w:id="7117" w:name="_Toc527999534"/>
      <w:bookmarkStart w:id="7118" w:name="_Toc19435490"/>
      <w:bookmarkStart w:id="7119" w:name="_Toc20080798"/>
      <w:r>
        <w:rPr>
          <w:rFonts w:hint="cs"/>
          <w:rtl/>
        </w:rPr>
        <w:t>בחילוק בין חזקת הגוף לחזקת דין</w:t>
      </w:r>
      <w:bookmarkEnd w:id="7114"/>
      <w:bookmarkEnd w:id="7115"/>
      <w:bookmarkEnd w:id="7116"/>
      <w:bookmarkEnd w:id="7117"/>
      <w:bookmarkEnd w:id="7118"/>
      <w:bookmarkEnd w:id="7119"/>
    </w:p>
    <w:p w14:paraId="5FE97D00" w14:textId="77777777" w:rsidR="00FF5773" w:rsidRDefault="00FF5773" w:rsidP="00BF39B2">
      <w:pPr>
        <w:pStyle w:val="1"/>
        <w:rPr>
          <w:rtl/>
        </w:rPr>
      </w:pPr>
      <w:bookmarkStart w:id="7120" w:name="_Toc527912597"/>
      <w:bookmarkStart w:id="7121" w:name="_Toc527924540"/>
      <w:bookmarkStart w:id="7122" w:name="_Toc527928759"/>
      <w:bookmarkStart w:id="7123" w:name="_Toc527999535"/>
      <w:bookmarkStart w:id="7124" w:name="_Toc19389886"/>
      <w:bookmarkStart w:id="7125" w:name="_Toc19393383"/>
      <w:r>
        <w:rPr>
          <w:rFonts w:hint="cs"/>
          <w:rtl/>
        </w:rPr>
        <w:t>דברי הש"ש דחזקת הגוף עדיפא על שאר החזקות</w:t>
      </w:r>
      <w:bookmarkEnd w:id="7120"/>
      <w:bookmarkEnd w:id="7121"/>
      <w:bookmarkEnd w:id="7122"/>
      <w:bookmarkEnd w:id="7123"/>
      <w:bookmarkEnd w:id="7124"/>
      <w:bookmarkEnd w:id="7125"/>
    </w:p>
    <w:p w14:paraId="1B6D5220" w14:textId="77777777" w:rsidR="00FF5773" w:rsidRDefault="00FF5773" w:rsidP="006D6D32">
      <w:pPr>
        <w:pStyle w:val="a3"/>
        <w:rPr>
          <w:rtl/>
        </w:rPr>
      </w:pPr>
      <w:bookmarkStart w:id="7126" w:name="_Toc527924541"/>
      <w:bookmarkStart w:id="7127" w:name="_Toc527928760"/>
      <w:bookmarkStart w:id="7128" w:name="_Toc527999536"/>
      <w:bookmarkStart w:id="7129" w:name="_Toc19389887"/>
      <w:bookmarkStart w:id="7130" w:name="_Toc19393384"/>
      <w:r>
        <w:rPr>
          <w:rFonts w:hint="cs"/>
          <w:rtl/>
        </w:rPr>
        <w:t>דברי הש"ש והפנ"י דחזקת הגוף עדיפא מחזקת דין ומרוב ומהני להוציא ממון מחזקתו</w:t>
      </w:r>
      <w:bookmarkEnd w:id="7126"/>
      <w:bookmarkEnd w:id="7127"/>
      <w:bookmarkEnd w:id="7128"/>
      <w:bookmarkEnd w:id="7129"/>
      <w:bookmarkEnd w:id="7130"/>
    </w:p>
    <w:p w14:paraId="4BF46965" w14:textId="77777777" w:rsidR="00FF5773" w:rsidRDefault="00FF5773" w:rsidP="00223668">
      <w:pPr>
        <w:pStyle w:val="a0"/>
        <w:rPr>
          <w:rtl/>
        </w:rPr>
      </w:pPr>
      <w:bookmarkStart w:id="7131" w:name="_Ref527708950"/>
      <w:r>
        <w:rPr>
          <w:rFonts w:hint="cs"/>
          <w:rtl/>
        </w:rPr>
        <w:t xml:space="preserve">כתב </w:t>
      </w:r>
      <w:r>
        <w:rPr>
          <w:rStyle w:val="af9"/>
          <w:rFonts w:hint="cs"/>
          <w:rtl/>
        </w:rPr>
        <w:t>ה</w:t>
      </w:r>
      <w:r w:rsidRPr="00C5737A">
        <w:rPr>
          <w:rStyle w:val="af9"/>
          <w:rFonts w:hint="cs"/>
          <w:rtl/>
        </w:rPr>
        <w:t>ש"ש</w:t>
      </w:r>
      <w:r>
        <w:rPr>
          <w:rFonts w:hint="cs"/>
          <w:rtl/>
        </w:rPr>
        <w:t xml:space="preserve"> </w:t>
      </w:r>
      <w:r w:rsidRPr="00C5737A">
        <w:rPr>
          <w:rStyle w:val="af7"/>
          <w:rFonts w:eastAsia="Guttman Hodes" w:hint="cs"/>
          <w:rtl/>
        </w:rPr>
        <w:t>(ש"א פט"ו</w:t>
      </w:r>
      <w:r>
        <w:rPr>
          <w:rStyle w:val="af7"/>
          <w:rFonts w:eastAsia="Guttman Hodes" w:hint="cs"/>
          <w:rtl/>
        </w:rPr>
        <w:t xml:space="preserve"> ד"ה ונראה</w:t>
      </w:r>
      <w:r w:rsidRPr="00C5737A">
        <w:rPr>
          <w:rStyle w:val="af7"/>
          <w:rFonts w:eastAsia="Guttman Hodes" w:hint="cs"/>
          <w:rtl/>
        </w:rPr>
        <w:t>)</w:t>
      </w:r>
      <w:r>
        <w:rPr>
          <w:rFonts w:hint="cs"/>
          <w:rtl/>
        </w:rPr>
        <w:t xml:space="preserve"> דמבואר בגמ' בכתובות </w:t>
      </w:r>
      <w:r w:rsidRPr="00C5737A">
        <w:rPr>
          <w:rStyle w:val="af7"/>
          <w:rFonts w:eastAsia="Guttman Hodes" w:hint="cs"/>
          <w:rtl/>
        </w:rPr>
        <w:t>(עה:)</w:t>
      </w:r>
      <w:r>
        <w:rPr>
          <w:rFonts w:hint="cs"/>
          <w:rtl/>
        </w:rPr>
        <w:t xml:space="preserve"> דחזקת הגוף עדיפא על כל החזקות, ובמקום שיש חזקת הגוף לטהר, לא אמרינן דספק טומאה ברה"י טמא, והביא </w:t>
      </w:r>
      <w:r w:rsidRPr="00C806A5">
        <w:rPr>
          <w:rStyle w:val="af9"/>
          <w:rFonts w:hint="cs"/>
          <w:rtl/>
        </w:rPr>
        <w:t>הש"ש</w:t>
      </w:r>
      <w:r>
        <w:rPr>
          <w:rFonts w:hint="cs"/>
          <w:rtl/>
        </w:rPr>
        <w:t xml:space="preserve"> את דברי </w:t>
      </w:r>
      <w:r w:rsidRPr="00C806A5">
        <w:rPr>
          <w:rStyle w:val="af9"/>
          <w:rFonts w:hint="cs"/>
          <w:rtl/>
        </w:rPr>
        <w:t>הפנ"י</w:t>
      </w:r>
      <w:r>
        <w:rPr>
          <w:rFonts w:hint="cs"/>
          <w:rtl/>
        </w:rPr>
        <w:t xml:space="preserve"> </w:t>
      </w:r>
      <w:r w:rsidRPr="00C806A5">
        <w:rPr>
          <w:rStyle w:val="af7"/>
          <w:rFonts w:eastAsia="Guttman Hodes" w:hint="cs"/>
          <w:rtl/>
        </w:rPr>
        <w:t>(כתובות עה: ד"ה טעמא)</w:t>
      </w:r>
      <w:r>
        <w:rPr>
          <w:rFonts w:hint="cs"/>
          <w:rtl/>
        </w:rPr>
        <w:t xml:space="preserve"> דכתב דחזקת הגוף מהני אף להוציא ממון מחזקתו ועדיפא מרוב, ועי' במה שהקשה </w:t>
      </w:r>
      <w:r w:rsidRPr="00055220">
        <w:rPr>
          <w:rStyle w:val="af9"/>
          <w:rFonts w:hint="cs"/>
          <w:rtl/>
        </w:rPr>
        <w:t>השער"י</w:t>
      </w:r>
      <w:r>
        <w:rPr>
          <w:rFonts w:hint="cs"/>
          <w:rtl/>
        </w:rPr>
        <w:t xml:space="preserve"> </w:t>
      </w:r>
      <w:r w:rsidRPr="00055220">
        <w:rPr>
          <w:rStyle w:val="af7"/>
          <w:rFonts w:eastAsia="Guttman Hodes" w:hint="cs"/>
          <w:rtl/>
        </w:rPr>
        <w:t xml:space="preserve">(עי' אות </w:t>
      </w:r>
      <w:r w:rsidRPr="00055220">
        <w:rPr>
          <w:rStyle w:val="af7"/>
          <w:rFonts w:eastAsia="Guttman Hodes"/>
          <w:rtl/>
        </w:rPr>
        <w:fldChar w:fldCharType="begin"/>
      </w:r>
      <w:r w:rsidRPr="00055220">
        <w:rPr>
          <w:rStyle w:val="af7"/>
          <w:rFonts w:eastAsia="Guttman Hodes"/>
          <w:rtl/>
        </w:rPr>
        <w:instrText xml:space="preserve"> </w:instrText>
      </w:r>
      <w:r w:rsidRPr="00055220">
        <w:rPr>
          <w:rStyle w:val="af7"/>
          <w:rFonts w:eastAsia="Guttman Hodes" w:hint="cs"/>
        </w:rPr>
        <w:instrText>REF</w:instrText>
      </w:r>
      <w:r w:rsidRPr="00055220">
        <w:rPr>
          <w:rStyle w:val="af7"/>
          <w:rFonts w:eastAsia="Guttman Hodes" w:hint="cs"/>
          <w:rtl/>
        </w:rPr>
        <w:instrText xml:space="preserve"> _</w:instrText>
      </w:r>
      <w:r w:rsidRPr="00055220">
        <w:rPr>
          <w:rStyle w:val="af7"/>
          <w:rFonts w:eastAsia="Guttman Hodes" w:hint="cs"/>
        </w:rPr>
        <w:instrText>Ref524982583 \r \h</w:instrText>
      </w:r>
      <w:r w:rsidRPr="00055220">
        <w:rPr>
          <w:rStyle w:val="af7"/>
          <w:rFonts w:eastAsia="Guttman Hodes"/>
          <w:rtl/>
        </w:rPr>
        <w:instrText xml:space="preserve"> </w:instrText>
      </w:r>
      <w:r w:rsidRPr="00055220">
        <w:rPr>
          <w:rStyle w:val="af7"/>
          <w:rFonts w:eastAsia="Guttman Hodes"/>
          <w:rtl/>
        </w:rPr>
      </w:r>
      <w:r w:rsidRPr="00055220">
        <w:rPr>
          <w:rStyle w:val="af7"/>
          <w:rFonts w:eastAsia="Guttman Hodes"/>
          <w:rtl/>
        </w:rPr>
        <w:fldChar w:fldCharType="separate"/>
      </w:r>
      <w:r w:rsidR="00345400">
        <w:rPr>
          <w:rStyle w:val="af7"/>
          <w:rFonts w:eastAsia="Guttman Hodes"/>
          <w:cs/>
        </w:rPr>
        <w:t>‎</w:t>
      </w:r>
      <w:r w:rsidR="00345400">
        <w:rPr>
          <w:rStyle w:val="af7"/>
          <w:rFonts w:eastAsia="Guttman Hodes"/>
          <w:rtl/>
        </w:rPr>
        <w:t>פ)</w:t>
      </w:r>
      <w:r w:rsidRPr="00055220">
        <w:rPr>
          <w:rStyle w:val="af7"/>
          <w:rFonts w:eastAsia="Guttman Hodes"/>
          <w:rtl/>
        </w:rPr>
        <w:fldChar w:fldCharType="end"/>
      </w:r>
      <w:r>
        <w:rPr>
          <w:rFonts w:hint="cs"/>
          <w:rtl/>
        </w:rPr>
        <w:t xml:space="preserve"> דא"כ היאך ילפינן מבית המנוגע לכל החזקות</w:t>
      </w:r>
      <w:r>
        <w:rPr>
          <w:rStyle w:val="af1"/>
          <w:rtl/>
        </w:rPr>
        <w:footnoteReference w:id="41"/>
      </w:r>
      <w:bookmarkEnd w:id="7131"/>
      <w:r>
        <w:rPr>
          <w:rFonts w:hint="cs"/>
          <w:rtl/>
        </w:rPr>
        <w:t>.</w:t>
      </w:r>
    </w:p>
    <w:p w14:paraId="7A7C2460" w14:textId="77777777" w:rsidR="00F62A0F" w:rsidRPr="00F62A0F" w:rsidRDefault="00F62A0F" w:rsidP="006D6D32">
      <w:pPr>
        <w:pStyle w:val="a3"/>
        <w:rPr>
          <w:rtl/>
        </w:rPr>
      </w:pPr>
    </w:p>
    <w:p w14:paraId="078C6B2B" w14:textId="77777777" w:rsidR="00F62A0F" w:rsidRPr="00F62A0F" w:rsidRDefault="00F62A0F" w:rsidP="006D6D32">
      <w:pPr>
        <w:pStyle w:val="a3"/>
        <w:rPr>
          <w:rtl/>
        </w:rPr>
      </w:pPr>
    </w:p>
    <w:p w14:paraId="30F80080" w14:textId="77777777" w:rsidR="00FF5773" w:rsidRDefault="00FF5773" w:rsidP="006D6D32">
      <w:pPr>
        <w:pStyle w:val="a3"/>
        <w:rPr>
          <w:rtl/>
        </w:rPr>
      </w:pPr>
      <w:bookmarkStart w:id="7132" w:name="_Toc527924542"/>
      <w:bookmarkStart w:id="7133" w:name="_Toc527928761"/>
      <w:bookmarkStart w:id="7134" w:name="_Toc527999537"/>
      <w:bookmarkStart w:id="7135" w:name="_Toc19389888"/>
      <w:bookmarkStart w:id="7136" w:name="_Toc19393385"/>
      <w:r>
        <w:rPr>
          <w:rFonts w:hint="cs"/>
          <w:rtl/>
        </w:rPr>
        <w:t>דברי הש"ש דספק טומאה ברה"י מטמא בחזקת דין ולא בחזקת הגוף</w:t>
      </w:r>
      <w:bookmarkEnd w:id="7132"/>
      <w:bookmarkEnd w:id="7133"/>
      <w:bookmarkEnd w:id="7134"/>
      <w:bookmarkEnd w:id="7135"/>
      <w:bookmarkEnd w:id="7136"/>
    </w:p>
    <w:p w14:paraId="35380AF6" w14:textId="77777777" w:rsidR="00FF5773" w:rsidRDefault="00FF5773" w:rsidP="00E12979">
      <w:pPr>
        <w:pStyle w:val="a0"/>
        <w:numPr>
          <w:ilvl w:val="0"/>
          <w:numId w:val="5"/>
        </w:numPr>
        <w:rPr>
          <w:rtl/>
        </w:rPr>
      </w:pPr>
      <w:bookmarkStart w:id="7137" w:name="_Ref527709560"/>
      <w:r>
        <w:rPr>
          <w:rFonts w:hint="cs"/>
          <w:rtl/>
        </w:rPr>
        <w:t xml:space="preserve">ועוד כתב </w:t>
      </w:r>
      <w:r w:rsidRPr="0037128F">
        <w:rPr>
          <w:rStyle w:val="af9"/>
          <w:rFonts w:hint="cs"/>
          <w:rtl/>
        </w:rPr>
        <w:t>הש"ש</w:t>
      </w:r>
      <w:r>
        <w:rPr>
          <w:rFonts w:hint="cs"/>
          <w:rtl/>
        </w:rPr>
        <w:t xml:space="preserve"> </w:t>
      </w:r>
      <w:r w:rsidRPr="00223668">
        <w:rPr>
          <w:rStyle w:val="af7"/>
          <w:rFonts w:eastAsia="Guttman Hodes" w:hint="cs"/>
          <w:rtl/>
        </w:rPr>
        <w:t>(ש"ב פ"א ד"ה ונראה לפי)</w:t>
      </w:r>
      <w:r>
        <w:rPr>
          <w:rFonts w:hint="cs"/>
          <w:rtl/>
        </w:rPr>
        <w:t xml:space="preserve"> דאף דכתבו </w:t>
      </w:r>
      <w:r w:rsidRPr="0037128F">
        <w:rPr>
          <w:rStyle w:val="af9"/>
          <w:rFonts w:hint="cs"/>
          <w:rtl/>
        </w:rPr>
        <w:t>התוס' בנדה</w:t>
      </w:r>
      <w:r>
        <w:rPr>
          <w:rFonts w:hint="cs"/>
          <w:rtl/>
        </w:rPr>
        <w:t xml:space="preserve"> </w:t>
      </w:r>
      <w:r w:rsidRPr="00223668">
        <w:rPr>
          <w:rStyle w:val="af7"/>
          <w:rFonts w:eastAsia="Guttman Hodes" w:hint="cs"/>
          <w:rtl/>
        </w:rPr>
        <w:t xml:space="preserve">(ב. ד"ה מעת) </w:t>
      </w:r>
      <w:r>
        <w:rPr>
          <w:rFonts w:hint="cs"/>
          <w:rtl/>
        </w:rPr>
        <w:t>דבספק טומאה ברה"י ילפינן מסוטה דטמא אף כנגד חזקת טהרה, מ"מ א"א לטמא בספק טומאה ברה"י כנגד חזקת הגוף, כיון שחזקת הגוף עדיפא מכל החזקות ולא ילפינן לה מסוטה</w:t>
      </w:r>
      <w:bookmarkEnd w:id="7137"/>
      <w:r>
        <w:rPr>
          <w:rFonts w:hint="cs"/>
          <w:rtl/>
        </w:rPr>
        <w:t>,</w:t>
      </w:r>
      <w:r w:rsidRPr="00106515">
        <w:rPr>
          <w:rFonts w:hint="cs"/>
          <w:rtl/>
        </w:rPr>
        <w:t xml:space="preserve"> </w:t>
      </w:r>
      <w:r>
        <w:rPr>
          <w:rFonts w:hint="cs"/>
          <w:rtl/>
        </w:rPr>
        <w:t xml:space="preserve">ועי' במה שהקשה </w:t>
      </w:r>
      <w:r w:rsidRPr="00055220">
        <w:rPr>
          <w:rStyle w:val="af9"/>
          <w:rFonts w:hint="cs"/>
          <w:rtl/>
        </w:rPr>
        <w:t>הקוב"ש</w:t>
      </w:r>
      <w:r>
        <w:rPr>
          <w:rFonts w:hint="cs"/>
          <w:rtl/>
        </w:rPr>
        <w:t xml:space="preserve"> </w:t>
      </w:r>
      <w:r w:rsidRPr="00223668">
        <w:rPr>
          <w:rStyle w:val="af7"/>
          <w:rFonts w:eastAsia="Guttman Hodes" w:hint="cs"/>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Ref524982548 \r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פד)</w:t>
      </w:r>
      <w:r w:rsidRPr="00223668">
        <w:rPr>
          <w:rStyle w:val="af7"/>
          <w:rFonts w:eastAsia="Guttman Hodes"/>
          <w:rtl/>
        </w:rPr>
        <w:fldChar w:fldCharType="end"/>
      </w:r>
      <w:r>
        <w:rPr>
          <w:rFonts w:hint="cs"/>
          <w:rtl/>
        </w:rPr>
        <w:t xml:space="preserve"> דא"כ היאך ילפינן בסוגיין מבית המנוגע שהוא חזקת הגוף לשאר החזקות.</w:t>
      </w:r>
    </w:p>
    <w:p w14:paraId="42095EC0" w14:textId="77777777" w:rsidR="00FF5773" w:rsidRDefault="00FF5773" w:rsidP="00BF39B2">
      <w:pPr>
        <w:pStyle w:val="1"/>
        <w:rPr>
          <w:rtl/>
        </w:rPr>
      </w:pPr>
      <w:bookmarkStart w:id="7138" w:name="_Toc527912598"/>
      <w:bookmarkStart w:id="7139" w:name="_Toc527924543"/>
      <w:bookmarkStart w:id="7140" w:name="_Toc527928762"/>
      <w:bookmarkStart w:id="7141" w:name="_Toc527999538"/>
      <w:bookmarkStart w:id="7142" w:name="_Toc19389889"/>
      <w:bookmarkStart w:id="7143" w:name="_Toc19393386"/>
      <w:r>
        <w:rPr>
          <w:rFonts w:hint="cs"/>
          <w:rtl/>
        </w:rPr>
        <w:t>דברי החוט המשולש דמבית המנוגע לא ילפינן חזקה דמעיקרא</w:t>
      </w:r>
      <w:bookmarkEnd w:id="7138"/>
      <w:bookmarkEnd w:id="7139"/>
      <w:bookmarkEnd w:id="7140"/>
      <w:bookmarkEnd w:id="7141"/>
      <w:bookmarkEnd w:id="7142"/>
      <w:bookmarkEnd w:id="7143"/>
    </w:p>
    <w:p w14:paraId="7C84CE5A" w14:textId="77777777" w:rsidR="00FF5773" w:rsidRDefault="00FF5773" w:rsidP="006D6D32">
      <w:pPr>
        <w:pStyle w:val="a3"/>
        <w:rPr>
          <w:rtl/>
        </w:rPr>
      </w:pPr>
      <w:bookmarkStart w:id="7144" w:name="_Toc527924544"/>
      <w:bookmarkStart w:id="7145" w:name="_Toc527928763"/>
      <w:bookmarkStart w:id="7146" w:name="_Toc527999539"/>
      <w:bookmarkStart w:id="7147" w:name="_Toc19389890"/>
      <w:bookmarkStart w:id="7148" w:name="_Toc19393387"/>
      <w:r>
        <w:rPr>
          <w:rFonts w:hint="cs"/>
          <w:rtl/>
        </w:rPr>
        <w:t>דברי החוט המשולש דנגע הוא חזקת הגוף ולא דמי לחזקת דין</w:t>
      </w:r>
      <w:bookmarkEnd w:id="7144"/>
      <w:bookmarkEnd w:id="7145"/>
      <w:bookmarkEnd w:id="7146"/>
      <w:bookmarkEnd w:id="7147"/>
      <w:bookmarkEnd w:id="7148"/>
      <w:r>
        <w:rPr>
          <w:rFonts w:hint="cs"/>
          <w:rtl/>
        </w:rPr>
        <w:t xml:space="preserve"> </w:t>
      </w:r>
    </w:p>
    <w:p w14:paraId="0DED5466" w14:textId="77777777" w:rsidR="00FF5773" w:rsidRDefault="00FF5773" w:rsidP="00223668">
      <w:pPr>
        <w:pStyle w:val="a0"/>
        <w:rPr>
          <w:rtl/>
        </w:rPr>
      </w:pPr>
      <w:r>
        <w:rPr>
          <w:rStyle w:val="af9"/>
          <w:rFonts w:hint="cs"/>
          <w:rtl/>
        </w:rPr>
        <w:t>ו</w:t>
      </w:r>
      <w:r w:rsidRPr="00FB6B74">
        <w:rPr>
          <w:rStyle w:val="af9"/>
          <w:rFonts w:hint="cs"/>
          <w:rtl/>
        </w:rPr>
        <w:t>בשו"ת חוט המשולש</w:t>
      </w:r>
      <w:r>
        <w:rPr>
          <w:rFonts w:hint="cs"/>
          <w:rtl/>
        </w:rPr>
        <w:t xml:space="preserve"> </w:t>
      </w:r>
      <w:r>
        <w:rPr>
          <w:rStyle w:val="af9"/>
          <w:rFonts w:hint="cs"/>
          <w:rtl/>
        </w:rPr>
        <w:t xml:space="preserve">[לנכד </w:t>
      </w:r>
      <w:r w:rsidRPr="00FB6B74">
        <w:rPr>
          <w:rStyle w:val="af9"/>
          <w:rFonts w:hint="cs"/>
          <w:rtl/>
        </w:rPr>
        <w:t>הגר"ח מוולאזין</w:t>
      </w:r>
      <w:r w:rsidRPr="000C2801">
        <w:rPr>
          <w:rStyle w:val="af1"/>
          <w:rtl/>
        </w:rPr>
        <w:footnoteReference w:id="42"/>
      </w:r>
      <w:r>
        <w:rPr>
          <w:rStyle w:val="af9"/>
          <w:rFonts w:hint="cs"/>
          <w:rtl/>
        </w:rPr>
        <w:t>]</w:t>
      </w:r>
      <w:r w:rsidRPr="00FB6B74">
        <w:rPr>
          <w:rStyle w:val="af9"/>
          <w:rFonts w:hint="cs"/>
          <w:rtl/>
        </w:rPr>
        <w:t xml:space="preserve"> </w:t>
      </w:r>
      <w:r w:rsidRPr="00FB6B74">
        <w:rPr>
          <w:rStyle w:val="af7"/>
          <w:rFonts w:eastAsia="Guttman Hodes" w:hint="cs"/>
          <w:rtl/>
        </w:rPr>
        <w:t xml:space="preserve">(ח"ג כ"ז ד"ה ומה שרצה לתרץ) </w:t>
      </w:r>
      <w:r>
        <w:rPr>
          <w:rFonts w:hint="cs"/>
          <w:rtl/>
        </w:rPr>
        <w:t xml:space="preserve">כתב דהחזקה דבית המנוגע, לא דמי לכל חזקה דמעיקרא, דבבית המנוגע הוא חזקת הגוף, דמעמידים את הנגע בחזקתו שלא חסר בשעה שהסגיר הכהן את הבית, ואילו שאר החזקות דמעיקרא, הם חזקה דדינא, ומבואר בגמ' בכתובות </w:t>
      </w:r>
      <w:r w:rsidRPr="00FB6B74">
        <w:rPr>
          <w:rStyle w:val="af7"/>
          <w:rFonts w:eastAsia="Guttman Hodes" w:hint="cs"/>
          <w:rtl/>
        </w:rPr>
        <w:t>(עה:)</w:t>
      </w:r>
      <w:r>
        <w:rPr>
          <w:rFonts w:hint="cs"/>
          <w:rtl/>
        </w:rPr>
        <w:t xml:space="preserve"> דחזקה דגופא שאני מחזקת דין.</w:t>
      </w:r>
    </w:p>
    <w:p w14:paraId="64CB90B7" w14:textId="77777777" w:rsidR="000D2A6E" w:rsidRPr="000D2A6E" w:rsidRDefault="000D2A6E" w:rsidP="006D6D32">
      <w:pPr>
        <w:pStyle w:val="a3"/>
        <w:rPr>
          <w:rtl/>
        </w:rPr>
      </w:pPr>
    </w:p>
    <w:p w14:paraId="707B9724" w14:textId="77777777" w:rsidR="00FF5773" w:rsidRDefault="00FF5773" w:rsidP="006D6D32">
      <w:pPr>
        <w:pStyle w:val="a3"/>
        <w:rPr>
          <w:rtl/>
        </w:rPr>
      </w:pPr>
      <w:bookmarkStart w:id="7149" w:name="_Toc527924545"/>
      <w:bookmarkStart w:id="7150" w:name="_Toc527928764"/>
      <w:bookmarkStart w:id="7151" w:name="_Toc527999540"/>
      <w:bookmarkStart w:id="7152" w:name="_Toc19389891"/>
      <w:bookmarkStart w:id="7153" w:name="_Toc19393388"/>
      <w:r>
        <w:rPr>
          <w:rFonts w:hint="cs"/>
          <w:rtl/>
        </w:rPr>
        <w:t>קושית החוט המשולש היאך ילפינן חזקת דין מנגע</w:t>
      </w:r>
      <w:bookmarkEnd w:id="7149"/>
      <w:bookmarkEnd w:id="7150"/>
      <w:bookmarkEnd w:id="7151"/>
      <w:bookmarkEnd w:id="7152"/>
      <w:bookmarkEnd w:id="7153"/>
    </w:p>
    <w:p w14:paraId="5062380A" w14:textId="77777777" w:rsidR="00FF5773" w:rsidRDefault="00FF5773" w:rsidP="00223668">
      <w:pPr>
        <w:pStyle w:val="a0"/>
        <w:rPr>
          <w:rtl/>
        </w:rPr>
      </w:pPr>
      <w:bookmarkStart w:id="7154" w:name="_Ref527315701"/>
      <w:r>
        <w:rPr>
          <w:rFonts w:hint="cs"/>
          <w:rtl/>
        </w:rPr>
        <w:t xml:space="preserve">והקשה </w:t>
      </w:r>
      <w:r w:rsidRPr="00FB6B74">
        <w:rPr>
          <w:rStyle w:val="af9"/>
          <w:rFonts w:hint="cs"/>
          <w:rtl/>
        </w:rPr>
        <w:t>החוט המשולש</w:t>
      </w:r>
      <w:r>
        <w:rPr>
          <w:rFonts w:hint="cs"/>
          <w:rtl/>
        </w:rPr>
        <w:t xml:space="preserve"> דא"כ היאך ילפינן מבית המנוגע, את החזקות דמעיקרא שהם חזקה דדינא.</w:t>
      </w:r>
      <w:bookmarkEnd w:id="7154"/>
    </w:p>
    <w:p w14:paraId="630CAA21" w14:textId="77777777" w:rsidR="00FF5773" w:rsidRDefault="00FF5773" w:rsidP="006D6D32">
      <w:pPr>
        <w:pStyle w:val="a3"/>
        <w:rPr>
          <w:rtl/>
        </w:rPr>
      </w:pPr>
      <w:bookmarkStart w:id="7155" w:name="_Toc527912599"/>
      <w:bookmarkStart w:id="7156" w:name="_Toc527924546"/>
      <w:bookmarkStart w:id="7157" w:name="_Toc527928765"/>
      <w:bookmarkStart w:id="7158" w:name="_Toc527999541"/>
      <w:bookmarkStart w:id="7159" w:name="_Toc19389892"/>
      <w:bookmarkStart w:id="7160" w:name="_Toc19393389"/>
      <w:r>
        <w:rPr>
          <w:rFonts w:hint="cs"/>
          <w:rtl/>
        </w:rPr>
        <w:t>דברי החוט המשולש והחלקת יואב דחזקה דמעיקרא היא הלמ"מ או דמסברא אזלינן בתרה</w:t>
      </w:r>
      <w:bookmarkEnd w:id="7155"/>
      <w:bookmarkEnd w:id="7156"/>
      <w:bookmarkEnd w:id="7157"/>
      <w:bookmarkEnd w:id="7158"/>
      <w:bookmarkEnd w:id="7159"/>
      <w:bookmarkEnd w:id="7160"/>
    </w:p>
    <w:p w14:paraId="77E78D4D" w14:textId="77777777" w:rsidR="00FF5773" w:rsidRDefault="00FF5773" w:rsidP="00223668">
      <w:pPr>
        <w:pStyle w:val="a0"/>
        <w:rPr>
          <w:rtl/>
        </w:rPr>
      </w:pPr>
      <w:r>
        <w:rPr>
          <w:rFonts w:hint="cs"/>
          <w:rtl/>
        </w:rPr>
        <w:t>ותירץ</w:t>
      </w:r>
      <w:r w:rsidRPr="00C81EFA">
        <w:rPr>
          <w:rFonts w:hint="cs"/>
          <w:rtl/>
        </w:rPr>
        <w:t xml:space="preserve"> </w:t>
      </w:r>
      <w:r w:rsidRPr="00486836">
        <w:rPr>
          <w:rStyle w:val="af9"/>
          <w:rFonts w:hint="cs"/>
          <w:rtl/>
        </w:rPr>
        <w:t>החוט המשולש</w:t>
      </w:r>
      <w:r>
        <w:rPr>
          <w:rFonts w:hint="cs"/>
          <w:rtl/>
        </w:rPr>
        <w:t xml:space="preserve"> דחזקה דמעיקרא לא נלמד מבית המנוגע, אלא דהוא הלכה למשה מסיני, או דמסברא אזלינן בתר חזקה דמעיקרא, וכ"כ </w:t>
      </w:r>
      <w:r w:rsidRPr="00763071">
        <w:rPr>
          <w:rStyle w:val="af9"/>
          <w:rFonts w:hint="cs"/>
          <w:rtl/>
        </w:rPr>
        <w:t>החלקת יואב</w:t>
      </w:r>
      <w:r>
        <w:rPr>
          <w:rFonts w:hint="cs"/>
          <w:rtl/>
        </w:rPr>
        <w:t xml:space="preserve"> </w:t>
      </w:r>
      <w:r w:rsidRPr="00763071">
        <w:rPr>
          <w:rStyle w:val="af7"/>
          <w:rFonts w:eastAsia="Guttman Hodes" w:hint="cs"/>
          <w:rtl/>
        </w:rPr>
        <w:t>(ח"א פתיחה ליו"ד סעיף ב' בהערה הראשונה)</w:t>
      </w:r>
      <w:r>
        <w:rPr>
          <w:rFonts w:hint="cs"/>
          <w:rtl/>
        </w:rPr>
        <w:t xml:space="preserve"> דבחזקה דמעיקרא כו"ע מודו לדברי רב אחא, דס"ל דהמקור לחזקה הוא מהלכה למשה מסיני, [כדביאר </w:t>
      </w:r>
      <w:r w:rsidRPr="00763071">
        <w:rPr>
          <w:rStyle w:val="af9"/>
          <w:rFonts w:hint="cs"/>
          <w:rtl/>
        </w:rPr>
        <w:t>המהרש"א</w:t>
      </w:r>
      <w:r>
        <w:rPr>
          <w:rFonts w:hint="cs"/>
          <w:rtl/>
        </w:rPr>
        <w:t xml:space="preserve"> </w:t>
      </w:r>
      <w:r w:rsidRPr="00763071">
        <w:rPr>
          <w:rStyle w:val="af7"/>
          <w:rFonts w:eastAsia="Guttman Hodes" w:hint="cs"/>
          <w:rtl/>
        </w:rPr>
        <w:t xml:space="preserve">(יא. </w:t>
      </w:r>
      <w:r>
        <w:rPr>
          <w:rStyle w:val="af7"/>
          <w:rFonts w:eastAsia="Guttman Hodes" w:hint="cs"/>
          <w:rtl/>
        </w:rPr>
        <w:t>על תו</w:t>
      </w:r>
      <w:r w:rsidRPr="00763071">
        <w:rPr>
          <w:rStyle w:val="af7"/>
          <w:rFonts w:eastAsia="Guttman Hodes" w:hint="cs"/>
          <w:rtl/>
        </w:rPr>
        <w:t>ד"ה מנא)</w:t>
      </w:r>
      <w:r>
        <w:rPr>
          <w:rFonts w:hint="cs"/>
          <w:rtl/>
        </w:rPr>
        <w:t xml:space="preserve"> בדעת </w:t>
      </w:r>
      <w:r w:rsidRPr="00763071">
        <w:rPr>
          <w:rStyle w:val="af9"/>
          <w:rFonts w:hint="cs"/>
          <w:rtl/>
        </w:rPr>
        <w:t>התוס'</w:t>
      </w:r>
      <w:r>
        <w:rPr>
          <w:rFonts w:hint="cs"/>
          <w:rtl/>
        </w:rPr>
        <w:t xml:space="preserve"> </w:t>
      </w:r>
      <w:r w:rsidRPr="00763071">
        <w:rPr>
          <w:rStyle w:val="af7"/>
          <w:rFonts w:eastAsia="Guttman Hodes" w:hint="cs"/>
          <w:rtl/>
        </w:rPr>
        <w:t>(יא. ד"ה מנא)</w:t>
      </w:r>
      <w:r>
        <w:rPr>
          <w:rFonts w:hint="cs"/>
          <w:rtl/>
        </w:rPr>
        <w:t>].</w:t>
      </w:r>
    </w:p>
    <w:p w14:paraId="0924B099" w14:textId="77777777" w:rsidR="00FF5773" w:rsidRDefault="00FF5773" w:rsidP="006D6D32">
      <w:pPr>
        <w:pStyle w:val="a3"/>
        <w:rPr>
          <w:rtl/>
        </w:rPr>
      </w:pPr>
      <w:bookmarkStart w:id="7161" w:name="_Toc527928766"/>
      <w:bookmarkStart w:id="7162" w:name="_Toc527999542"/>
      <w:bookmarkStart w:id="7163" w:name="_Toc19389893"/>
      <w:bookmarkStart w:id="7164" w:name="_Toc19393390"/>
      <w:bookmarkStart w:id="7165" w:name="_Toc527912600"/>
      <w:bookmarkStart w:id="7166" w:name="_Toc527924547"/>
      <w:r>
        <w:rPr>
          <w:rFonts w:hint="cs"/>
          <w:rtl/>
        </w:rPr>
        <w:t>דברי החת"ס דמנגע ילפינן רק לחזקה קמייתא ולא לחזקת דין וכל החזקות הם הלמ"מ</w:t>
      </w:r>
      <w:bookmarkEnd w:id="7161"/>
      <w:bookmarkEnd w:id="7162"/>
      <w:bookmarkEnd w:id="7163"/>
      <w:bookmarkEnd w:id="7164"/>
    </w:p>
    <w:p w14:paraId="5F97872A" w14:textId="77777777" w:rsidR="00FF5773" w:rsidRDefault="00FF5773" w:rsidP="00223668">
      <w:pPr>
        <w:pStyle w:val="a0"/>
        <w:rPr>
          <w:rtl/>
        </w:rPr>
      </w:pPr>
      <w:r>
        <w:rPr>
          <w:rFonts w:hint="cs"/>
          <w:rtl/>
        </w:rPr>
        <w:t xml:space="preserve">וכ"כ </w:t>
      </w:r>
      <w:r w:rsidRPr="0045411B">
        <w:rPr>
          <w:rStyle w:val="af9"/>
          <w:rFonts w:hint="cs"/>
          <w:rtl/>
        </w:rPr>
        <w:t>החת"ס</w:t>
      </w:r>
      <w:r>
        <w:rPr>
          <w:rFonts w:hint="cs"/>
          <w:rtl/>
        </w:rPr>
        <w:t xml:space="preserve"> </w:t>
      </w:r>
      <w:r w:rsidRPr="0045411B">
        <w:rPr>
          <w:rStyle w:val="af7"/>
          <w:rFonts w:eastAsia="Guttman Hodes" w:hint="cs"/>
          <w:rtl/>
        </w:rPr>
        <w:t>(ד"ה ובחזקה)</w:t>
      </w:r>
      <w:r>
        <w:rPr>
          <w:rFonts w:hint="cs"/>
          <w:rtl/>
        </w:rPr>
        <w:t xml:space="preserve"> דהילפותא מבית המנוגע היא רק לחזקה קמייתא, ולא לשאר החזקות, ואף דבין דינא דחזקה ובין דינא דרוב הוא הלכה למשה מסיני, מ"מ הגמ' מביאה מקור לזה מהפסוק, וביאר </w:t>
      </w:r>
      <w:r w:rsidRPr="00CA2753">
        <w:rPr>
          <w:rStyle w:val="af9"/>
          <w:rFonts w:hint="cs"/>
          <w:rtl/>
        </w:rPr>
        <w:t>החת"ס</w:t>
      </w:r>
      <w:r>
        <w:rPr>
          <w:rFonts w:hint="cs"/>
          <w:rtl/>
        </w:rPr>
        <w:t xml:space="preserve"> דהגמ' דנה בחזקה זו, כדכתב </w:t>
      </w:r>
      <w:r w:rsidRPr="0045411B">
        <w:rPr>
          <w:rStyle w:val="af9"/>
          <w:rFonts w:hint="cs"/>
          <w:rtl/>
        </w:rPr>
        <w:t xml:space="preserve">הר"ן </w:t>
      </w:r>
      <w:r w:rsidRPr="00CA2753">
        <w:rPr>
          <w:rStyle w:val="af7"/>
          <w:rFonts w:eastAsia="Guttman Hodes" w:hint="cs"/>
          <w:rtl/>
        </w:rPr>
        <w:t xml:space="preserve">(עי' אות </w:t>
      </w:r>
      <w:r w:rsidRPr="00CA2753">
        <w:rPr>
          <w:rStyle w:val="af7"/>
          <w:rFonts w:eastAsia="Guttman Hodes"/>
          <w:rtl/>
        </w:rPr>
        <w:fldChar w:fldCharType="begin"/>
      </w:r>
      <w:r w:rsidRPr="00CA2753">
        <w:rPr>
          <w:rStyle w:val="af7"/>
          <w:rFonts w:eastAsia="Guttman Hodes"/>
          <w:rtl/>
        </w:rPr>
        <w:instrText xml:space="preserve"> </w:instrText>
      </w:r>
      <w:r w:rsidRPr="00CA2753">
        <w:rPr>
          <w:rStyle w:val="af7"/>
          <w:rFonts w:eastAsia="Guttman Hodes" w:hint="cs"/>
        </w:rPr>
        <w:instrText>REF</w:instrText>
      </w:r>
      <w:r w:rsidRPr="00CA2753">
        <w:rPr>
          <w:rStyle w:val="af7"/>
          <w:rFonts w:eastAsia="Guttman Hodes" w:hint="cs"/>
          <w:rtl/>
        </w:rPr>
        <w:instrText xml:space="preserve"> _</w:instrText>
      </w:r>
      <w:r w:rsidRPr="00CA2753">
        <w:rPr>
          <w:rStyle w:val="af7"/>
          <w:rFonts w:eastAsia="Guttman Hodes" w:hint="cs"/>
        </w:rPr>
        <w:instrText>Ref527652731 \r \h</w:instrText>
      </w:r>
      <w:r w:rsidRPr="00CA2753">
        <w:rPr>
          <w:rStyle w:val="af7"/>
          <w:rFonts w:eastAsia="Guttman Hodes"/>
          <w:rtl/>
        </w:rPr>
        <w:instrText xml:space="preserve"> </w:instrText>
      </w:r>
      <w:r w:rsidRPr="00CA2753">
        <w:rPr>
          <w:rStyle w:val="af7"/>
          <w:rFonts w:eastAsia="Guttman Hodes"/>
          <w:rtl/>
        </w:rPr>
      </w:r>
      <w:r w:rsidRPr="00CA2753">
        <w:rPr>
          <w:rStyle w:val="af7"/>
          <w:rFonts w:eastAsia="Guttman Hodes"/>
          <w:rtl/>
        </w:rPr>
        <w:fldChar w:fldCharType="separate"/>
      </w:r>
      <w:r w:rsidR="00345400">
        <w:rPr>
          <w:rStyle w:val="af7"/>
          <w:rFonts w:eastAsia="Guttman Hodes"/>
          <w:cs/>
        </w:rPr>
        <w:t>‎</w:t>
      </w:r>
      <w:r w:rsidR="00345400">
        <w:rPr>
          <w:rStyle w:val="af7"/>
          <w:rFonts w:eastAsia="Guttman Hodes"/>
          <w:rtl/>
        </w:rPr>
        <w:t>יד)</w:t>
      </w:r>
      <w:r w:rsidRPr="00CA2753">
        <w:rPr>
          <w:rStyle w:val="af7"/>
          <w:rFonts w:eastAsia="Guttman Hodes"/>
          <w:rtl/>
        </w:rPr>
        <w:fldChar w:fldCharType="end"/>
      </w:r>
      <w:r>
        <w:rPr>
          <w:rFonts w:hint="cs"/>
          <w:rtl/>
        </w:rPr>
        <w:t xml:space="preserve"> דקאי על דינא דסכין דחזקתו בדוק.</w:t>
      </w:r>
    </w:p>
    <w:p w14:paraId="53294F31" w14:textId="77777777" w:rsidR="00FF5773" w:rsidRDefault="00FF5773" w:rsidP="006D6D32">
      <w:pPr>
        <w:pStyle w:val="a3"/>
        <w:rPr>
          <w:rtl/>
        </w:rPr>
      </w:pPr>
      <w:bookmarkStart w:id="7167" w:name="_Toc527928767"/>
      <w:bookmarkStart w:id="7168" w:name="_Toc527999543"/>
      <w:bookmarkStart w:id="7169" w:name="_Toc19389894"/>
      <w:bookmarkStart w:id="7170" w:name="_Toc19393391"/>
      <w:r>
        <w:rPr>
          <w:rFonts w:hint="cs"/>
          <w:rtl/>
        </w:rPr>
        <w:t>דברי החת"ס דהגמ' נקטה דמעמידים על החזקה דהוא בחזקה דמעיקרא ולא כרוב דאזלינן בתריה</w:t>
      </w:r>
      <w:bookmarkEnd w:id="7167"/>
      <w:bookmarkEnd w:id="7168"/>
      <w:bookmarkEnd w:id="7169"/>
      <w:bookmarkEnd w:id="7170"/>
    </w:p>
    <w:p w14:paraId="72CFEB15" w14:textId="77777777" w:rsidR="00FF5773" w:rsidRDefault="00FF5773" w:rsidP="00223668">
      <w:pPr>
        <w:pStyle w:val="a0"/>
        <w:rPr>
          <w:rtl/>
        </w:rPr>
      </w:pPr>
      <w:r>
        <w:rPr>
          <w:rFonts w:hint="cs"/>
          <w:rtl/>
        </w:rPr>
        <w:t xml:space="preserve">וכתב </w:t>
      </w:r>
      <w:r w:rsidRPr="00C918CA">
        <w:rPr>
          <w:rStyle w:val="af9"/>
          <w:rFonts w:hint="cs"/>
          <w:rtl/>
        </w:rPr>
        <w:t>החתם סופר</w:t>
      </w:r>
      <w:r>
        <w:rPr>
          <w:rFonts w:hint="cs"/>
          <w:rtl/>
        </w:rPr>
        <w:t xml:space="preserve"> </w:t>
      </w:r>
      <w:r w:rsidRPr="00C918CA">
        <w:rPr>
          <w:rStyle w:val="af7"/>
          <w:rFonts w:eastAsia="Guttman Hodes" w:hint="cs"/>
          <w:rtl/>
        </w:rPr>
        <w:t>(ד"ה אוקי)</w:t>
      </w:r>
      <w:r>
        <w:rPr>
          <w:rFonts w:hint="cs"/>
          <w:rtl/>
        </w:rPr>
        <w:t xml:space="preserve"> דהגמ' נקטה לשון "אוקי מילתא אחזקיה", דהיינו בדבר שראינו שהיה כך, והספק הוא שמא היה בו שינוי, שמעמידים אותו על חזקתו שלא נשתנה, אך לא נקטה הגמ' את הלשון של הגמ' לקמן </w:t>
      </w:r>
      <w:r w:rsidRPr="00C918CA">
        <w:rPr>
          <w:rStyle w:val="af7"/>
          <w:rFonts w:eastAsia="Guttman Hodes" w:hint="cs"/>
          <w:rtl/>
        </w:rPr>
        <w:t>(יא.)</w:t>
      </w:r>
      <w:r>
        <w:rPr>
          <w:rFonts w:hint="cs"/>
          <w:rtl/>
        </w:rPr>
        <w:t xml:space="preserve"> דאזלינן בתר רובא, כיון דבחזקה קמייתא א"א לומר דאזלינן בתר חזקה, דלשון זה שייך בחזקה שהיא מחמת מנהג, כסוקלין על החזקות, וכהוחזקה נדה בשכנותיה, וחזקה שאין אדם פורע תוך זמנו.</w:t>
      </w:r>
    </w:p>
    <w:p w14:paraId="2D7A6E21" w14:textId="77777777" w:rsidR="00F62A0F" w:rsidRDefault="00F62A0F" w:rsidP="006D6D32">
      <w:pPr>
        <w:pStyle w:val="afe"/>
        <w:rPr>
          <w:rtl/>
        </w:rPr>
      </w:pPr>
      <w:bookmarkStart w:id="7171" w:name="_Toc527928768"/>
      <w:bookmarkStart w:id="7172" w:name="_Toc527999544"/>
    </w:p>
    <w:p w14:paraId="4CDFB83C" w14:textId="77777777" w:rsidR="00F62A0F" w:rsidRDefault="00F62A0F" w:rsidP="006D6D32">
      <w:pPr>
        <w:pStyle w:val="afe"/>
        <w:rPr>
          <w:rtl/>
        </w:rPr>
      </w:pPr>
    </w:p>
    <w:p w14:paraId="3DABC43E" w14:textId="77777777" w:rsidR="00FF5773" w:rsidRDefault="00FF5773" w:rsidP="006D6D32">
      <w:pPr>
        <w:pStyle w:val="afe"/>
        <w:rPr>
          <w:rtl/>
        </w:rPr>
      </w:pPr>
      <w:bookmarkStart w:id="7173" w:name="_Toc19435491"/>
      <w:bookmarkStart w:id="7174" w:name="_Toc20080799"/>
      <w:r>
        <w:rPr>
          <w:rFonts w:hint="cs"/>
          <w:rtl/>
        </w:rPr>
        <w:t>אי ילפינן מנגע לדין סוקלין על החזקות</w:t>
      </w:r>
      <w:bookmarkEnd w:id="7165"/>
      <w:bookmarkEnd w:id="7166"/>
      <w:bookmarkEnd w:id="7171"/>
      <w:bookmarkEnd w:id="7172"/>
      <w:bookmarkEnd w:id="7173"/>
      <w:bookmarkEnd w:id="7174"/>
    </w:p>
    <w:p w14:paraId="01944E54" w14:textId="77777777" w:rsidR="00FF5773" w:rsidRDefault="00FF5773" w:rsidP="00BF39B2">
      <w:pPr>
        <w:pStyle w:val="1"/>
        <w:rPr>
          <w:rtl/>
        </w:rPr>
      </w:pPr>
      <w:bookmarkStart w:id="7175" w:name="_Toc527928769"/>
      <w:bookmarkStart w:id="7176" w:name="_Toc527999545"/>
      <w:bookmarkStart w:id="7177" w:name="_Toc19389895"/>
      <w:bookmarkStart w:id="7178" w:name="_Toc19393392"/>
      <w:r>
        <w:rPr>
          <w:rFonts w:hint="cs"/>
          <w:rtl/>
        </w:rPr>
        <w:t>פלוגתת האחרונים בגדר החזקה בדין סוקלין על החזקות</w:t>
      </w:r>
      <w:bookmarkEnd w:id="7175"/>
      <w:bookmarkEnd w:id="7176"/>
      <w:bookmarkEnd w:id="7177"/>
      <w:bookmarkEnd w:id="7178"/>
    </w:p>
    <w:p w14:paraId="318D8ACA" w14:textId="77777777" w:rsidR="00FF5773" w:rsidRDefault="00FF5773" w:rsidP="006D6D32">
      <w:pPr>
        <w:pStyle w:val="a3"/>
        <w:rPr>
          <w:rtl/>
        </w:rPr>
      </w:pPr>
      <w:bookmarkStart w:id="7179" w:name="_Toc527912601"/>
      <w:bookmarkStart w:id="7180" w:name="_Toc527924548"/>
      <w:bookmarkStart w:id="7181" w:name="_Toc527928770"/>
      <w:bookmarkStart w:id="7182" w:name="_Toc527999546"/>
      <w:bookmarkStart w:id="7183" w:name="_Toc19389896"/>
      <w:bookmarkStart w:id="7184" w:name="_Toc19393393"/>
      <w:r>
        <w:rPr>
          <w:rFonts w:hint="cs"/>
          <w:rtl/>
        </w:rPr>
        <w:t>דברי הבית שמואל והקרית ספר דמבית המנוגע ילפינן גם את הדין דסוקלין על החזקות</w:t>
      </w:r>
      <w:bookmarkEnd w:id="7179"/>
      <w:bookmarkEnd w:id="7180"/>
      <w:bookmarkEnd w:id="7181"/>
      <w:bookmarkEnd w:id="7182"/>
      <w:bookmarkEnd w:id="7183"/>
      <w:bookmarkEnd w:id="7184"/>
    </w:p>
    <w:p w14:paraId="1E12298C" w14:textId="77777777" w:rsidR="00FF5773" w:rsidRDefault="00FF5773" w:rsidP="00223668">
      <w:pPr>
        <w:pStyle w:val="a0"/>
        <w:rPr>
          <w:rtl/>
        </w:rPr>
      </w:pPr>
      <w:r w:rsidRPr="00712175">
        <w:rPr>
          <w:rFonts w:hint="cs"/>
          <w:rtl/>
        </w:rPr>
        <w:t xml:space="preserve">כתב </w:t>
      </w:r>
      <w:r w:rsidRPr="00F31E22">
        <w:rPr>
          <w:rStyle w:val="af9"/>
          <w:rFonts w:hint="cs"/>
          <w:rtl/>
        </w:rPr>
        <w:t>הרמב"ם</w:t>
      </w:r>
      <w:r>
        <w:rPr>
          <w:rFonts w:hint="cs"/>
          <w:rtl/>
        </w:rPr>
        <w:t xml:space="preserve"> </w:t>
      </w:r>
      <w:r w:rsidRPr="00F31E22">
        <w:rPr>
          <w:rStyle w:val="af7"/>
          <w:rFonts w:eastAsia="Guttman Hodes" w:hint="cs"/>
          <w:rtl/>
        </w:rPr>
        <w:t>(איסו"ב א' כ')</w:t>
      </w:r>
      <w:r>
        <w:rPr>
          <w:rFonts w:hint="cs"/>
          <w:rtl/>
        </w:rPr>
        <w:t xml:space="preserve"> דסוקלין על החזקות, ומי שהוחזק בקורבה דנים בו על פי החזקה, ואם בא על מי שמוחזקת כאחותו וכו', דנים אותו אף שאין ראיה שזו אחותו, וכתב </w:t>
      </w:r>
      <w:r w:rsidRPr="00663BED">
        <w:rPr>
          <w:rStyle w:val="af9"/>
          <w:rFonts w:hint="cs"/>
          <w:rtl/>
        </w:rPr>
        <w:t>הרמב"ם</w:t>
      </w:r>
      <w:r>
        <w:rPr>
          <w:rFonts w:hint="cs"/>
          <w:rtl/>
        </w:rPr>
        <w:t xml:space="preserve"> דהמקור לזה הוא מכה ומקלל אביו, שאין ראיה ברוה שזהו אביו ואפ"ה דנים אותו. והקשה </w:t>
      </w:r>
      <w:r w:rsidRPr="00663BED">
        <w:rPr>
          <w:rStyle w:val="af9"/>
          <w:rFonts w:hint="cs"/>
          <w:rtl/>
        </w:rPr>
        <w:t>הבית שמואל</w:t>
      </w:r>
      <w:r>
        <w:rPr>
          <w:rFonts w:hint="cs"/>
          <w:rtl/>
        </w:rPr>
        <w:t xml:space="preserve"> </w:t>
      </w:r>
      <w:r w:rsidRPr="00F31E22">
        <w:rPr>
          <w:rStyle w:val="af7"/>
          <w:rFonts w:eastAsia="Guttman Hodes" w:hint="cs"/>
          <w:rtl/>
        </w:rPr>
        <w:t>(אהע"ז י"ט א')</w:t>
      </w:r>
      <w:r>
        <w:rPr>
          <w:rFonts w:hint="cs"/>
          <w:rtl/>
        </w:rPr>
        <w:t xml:space="preserve"> אמאי לא כתב </w:t>
      </w:r>
      <w:r w:rsidRPr="00663BED">
        <w:rPr>
          <w:rStyle w:val="af9"/>
          <w:rFonts w:hint="cs"/>
          <w:rtl/>
        </w:rPr>
        <w:t>הרמב"ם</w:t>
      </w:r>
      <w:r>
        <w:rPr>
          <w:rFonts w:hint="cs"/>
          <w:rtl/>
        </w:rPr>
        <w:t xml:space="preserve"> דהמקור לדין חזקה הוא מבית המנוגע כדאיתא בסוגיין, </w:t>
      </w:r>
      <w:r w:rsidRPr="00663BED">
        <w:rPr>
          <w:rStyle w:val="af9"/>
          <w:rFonts w:hint="cs"/>
          <w:rtl/>
        </w:rPr>
        <w:t>ובקרית ספר</w:t>
      </w:r>
      <w:r>
        <w:rPr>
          <w:rFonts w:hint="cs"/>
          <w:rtl/>
        </w:rPr>
        <w:t xml:space="preserve"> </w:t>
      </w:r>
      <w:r w:rsidRPr="00F31E22">
        <w:rPr>
          <w:rStyle w:val="af7"/>
          <w:rFonts w:eastAsia="Guttman Hodes" w:hint="cs"/>
          <w:rtl/>
        </w:rPr>
        <w:t xml:space="preserve">(איסו"ב א' ד"ה סומכין) </w:t>
      </w:r>
      <w:r>
        <w:rPr>
          <w:rFonts w:hint="cs"/>
          <w:rtl/>
        </w:rPr>
        <w:t>כתב דיש ב' ראיות לדין דסוקלין על החזקות, דילפינן מבית המנוגע, וכן יש ראיה ממקלל אביו,</w:t>
      </w:r>
      <w:r w:rsidRPr="00026AEF">
        <w:rPr>
          <w:rFonts w:hint="cs"/>
          <w:rtl/>
        </w:rPr>
        <w:t xml:space="preserve"> </w:t>
      </w:r>
      <w:r w:rsidRPr="00026AEF">
        <w:rPr>
          <w:rStyle w:val="af9"/>
          <w:rFonts w:hint="cs"/>
          <w:rtl/>
        </w:rPr>
        <w:t>והרדב"ז</w:t>
      </w:r>
      <w:r>
        <w:rPr>
          <w:rFonts w:hint="cs"/>
          <w:rtl/>
        </w:rPr>
        <w:t xml:space="preserve"> </w:t>
      </w:r>
      <w:r w:rsidRPr="00026AEF">
        <w:rPr>
          <w:rStyle w:val="af7"/>
          <w:rFonts w:eastAsia="Guttman Hodes" w:hint="cs"/>
          <w:rtl/>
        </w:rPr>
        <w:t xml:space="preserve">(שו"ת </w:t>
      </w:r>
      <w:r>
        <w:rPr>
          <w:rStyle w:val="af7"/>
          <w:rFonts w:eastAsia="Guttman Hodes" w:hint="cs"/>
          <w:rtl/>
        </w:rPr>
        <w:t>[</w:t>
      </w:r>
      <w:r w:rsidRPr="00026AEF">
        <w:rPr>
          <w:rStyle w:val="af7"/>
          <w:rFonts w:eastAsia="Guttman Hodes" w:hint="cs"/>
          <w:rtl/>
        </w:rPr>
        <w:t>אלף שט"ז</w:t>
      </w:r>
      <w:r>
        <w:rPr>
          <w:rStyle w:val="af7"/>
          <w:rFonts w:eastAsia="Guttman Hodes" w:hint="cs"/>
          <w:rtl/>
        </w:rPr>
        <w:t>]</w:t>
      </w:r>
      <w:r w:rsidRPr="00026AEF">
        <w:rPr>
          <w:rStyle w:val="af7"/>
          <w:rFonts w:eastAsia="Guttman Hodes" w:hint="cs"/>
          <w:rtl/>
        </w:rPr>
        <w:t xml:space="preserve"> ח"ד רמ"ה) </w:t>
      </w:r>
      <w:r>
        <w:rPr>
          <w:rFonts w:hint="cs"/>
          <w:rtl/>
        </w:rPr>
        <w:t>כתב דמבית המנוגע ילפינן לדינא דסוקלין על החזקות.</w:t>
      </w:r>
    </w:p>
    <w:p w14:paraId="39D0ADBF" w14:textId="77777777" w:rsidR="00FF5773" w:rsidRPr="00E14924" w:rsidRDefault="00FF5773" w:rsidP="006D6D32">
      <w:pPr>
        <w:pStyle w:val="a3"/>
        <w:rPr>
          <w:rtl/>
        </w:rPr>
      </w:pPr>
      <w:bookmarkStart w:id="7185" w:name="_Toc527928771"/>
      <w:bookmarkStart w:id="7186" w:name="_Toc527999547"/>
      <w:bookmarkStart w:id="7187" w:name="_Toc19389897"/>
      <w:bookmarkStart w:id="7188" w:name="_Toc19393394"/>
      <w:r>
        <w:rPr>
          <w:rFonts w:hint="cs"/>
          <w:rtl/>
        </w:rPr>
        <w:t>דחיית החוט המשולש והחת"ס והבית מאיר דדין סוקלין על החזקות לא שייך כלל לילפותא מנגע</w:t>
      </w:r>
      <w:bookmarkEnd w:id="7185"/>
      <w:bookmarkEnd w:id="7186"/>
      <w:bookmarkEnd w:id="7187"/>
      <w:bookmarkEnd w:id="7188"/>
      <w:r>
        <w:rPr>
          <w:rFonts w:hint="cs"/>
          <w:rtl/>
        </w:rPr>
        <w:t xml:space="preserve"> </w:t>
      </w:r>
    </w:p>
    <w:p w14:paraId="15A65E54" w14:textId="77777777" w:rsidR="0031789C" w:rsidRPr="0031789C" w:rsidRDefault="00FF5773" w:rsidP="00223668">
      <w:pPr>
        <w:pStyle w:val="a0"/>
        <w:rPr>
          <w:rtl/>
        </w:rPr>
      </w:pPr>
      <w:r w:rsidRPr="00921979">
        <w:rPr>
          <w:rStyle w:val="af9"/>
          <w:rFonts w:hint="cs"/>
          <w:rtl/>
        </w:rPr>
        <w:t>והגר"ח מוולאזין בחוט המשולש</w:t>
      </w:r>
      <w:r>
        <w:rPr>
          <w:rFonts w:hint="cs"/>
          <w:rtl/>
        </w:rPr>
        <w:t xml:space="preserve"> </w:t>
      </w:r>
      <w:r w:rsidRPr="0033107B">
        <w:rPr>
          <w:rStyle w:val="af7"/>
          <w:rFonts w:eastAsia="Guttman Hodes" w:hint="cs"/>
          <w:rtl/>
        </w:rPr>
        <w:t>(ח"א סי' ד"ה ולכאו')</w:t>
      </w:r>
      <w:r>
        <w:rPr>
          <w:rFonts w:hint="cs"/>
          <w:rtl/>
        </w:rPr>
        <w:t xml:space="preserve"> דחה את דברי </w:t>
      </w:r>
      <w:r w:rsidRPr="00612BAD">
        <w:rPr>
          <w:rStyle w:val="af9"/>
          <w:rFonts w:hint="cs"/>
          <w:rtl/>
        </w:rPr>
        <w:t>הבית שמואל</w:t>
      </w:r>
      <w:r>
        <w:rPr>
          <w:rFonts w:hint="cs"/>
          <w:rtl/>
        </w:rPr>
        <w:t xml:space="preserve"> וכתב דמבית המנוגע ילפינן דמעמידים בחזקה קמייתא, ולא דמי כלל לדין דסוקלין על החזקות, דמחזיקין שודאי היה כמו החזקה דלפנינו.</w:t>
      </w:r>
      <w:r w:rsidRPr="00E415ED">
        <w:rPr>
          <w:rFonts w:hint="cs"/>
          <w:rtl/>
        </w:rPr>
        <w:t xml:space="preserve"> </w:t>
      </w:r>
      <w:r>
        <w:rPr>
          <w:rFonts w:hint="cs"/>
          <w:rtl/>
        </w:rPr>
        <w:t xml:space="preserve">וכן דחה </w:t>
      </w:r>
      <w:r w:rsidRPr="0033107B">
        <w:rPr>
          <w:rStyle w:val="af9"/>
          <w:rFonts w:hint="cs"/>
          <w:rtl/>
        </w:rPr>
        <w:t xml:space="preserve">החת"ס </w:t>
      </w:r>
      <w:r w:rsidRPr="0033107B">
        <w:rPr>
          <w:rStyle w:val="af7"/>
          <w:rFonts w:eastAsia="Guttman Hodes" w:hint="cs"/>
          <w:rtl/>
        </w:rPr>
        <w:t>(</w:t>
      </w:r>
      <w:r>
        <w:rPr>
          <w:rStyle w:val="af7"/>
          <w:rFonts w:eastAsia="Guttman Hodes" w:hint="cs"/>
          <w:rtl/>
        </w:rPr>
        <w:t xml:space="preserve"> ד"ה אוקי, וב</w:t>
      </w:r>
      <w:r w:rsidRPr="0033107B">
        <w:rPr>
          <w:rStyle w:val="af7"/>
          <w:rFonts w:eastAsia="Guttman Hodes" w:hint="cs"/>
          <w:rtl/>
        </w:rPr>
        <w:t>שו"ת ח"ג אה"ע סי' ע"ו ד"ה א' ענין)</w:t>
      </w:r>
      <w:r>
        <w:rPr>
          <w:rFonts w:hint="cs"/>
          <w:rtl/>
        </w:rPr>
        <w:t xml:space="preserve"> דהילפותא מבית המנוגע היא בדבר שכבר נתברר לנו שכך היה, ואילו בדינא דסוקלין על החזקות, לא התברר מעולם שהיה כמו החזקה, אלא שמחזיקין כמו הנהוג.</w:t>
      </w:r>
      <w:r w:rsidRPr="00612BAD">
        <w:rPr>
          <w:rFonts w:hint="cs"/>
          <w:rtl/>
        </w:rPr>
        <w:t xml:space="preserve"> </w:t>
      </w:r>
      <w:r>
        <w:rPr>
          <w:rFonts w:hint="cs"/>
          <w:rtl/>
        </w:rPr>
        <w:t xml:space="preserve">וכן דחה </w:t>
      </w:r>
      <w:r w:rsidRPr="00612BAD">
        <w:rPr>
          <w:rStyle w:val="af9"/>
          <w:rFonts w:hint="cs"/>
          <w:rtl/>
        </w:rPr>
        <w:t>הבית מאיר</w:t>
      </w:r>
      <w:r>
        <w:rPr>
          <w:rFonts w:hint="cs"/>
          <w:rtl/>
        </w:rPr>
        <w:t xml:space="preserve"> </w:t>
      </w:r>
      <w:r w:rsidRPr="00612BAD">
        <w:rPr>
          <w:rStyle w:val="af7"/>
          <w:rFonts w:eastAsia="Guttman Hodes" w:hint="cs"/>
          <w:rtl/>
        </w:rPr>
        <w:t>(אהע"ז י"ט א')</w:t>
      </w:r>
      <w:r>
        <w:rPr>
          <w:rFonts w:hint="cs"/>
          <w:rtl/>
        </w:rPr>
        <w:t xml:space="preserve"> דדינא דסוקלין על החזקות הוא חזקה מכח רוב, דדבר שמוחזק בתמידות ל' יום כך הוא האמת, ובבית המנוגע החזקה היא שלא היה שינוי.</w:t>
      </w:r>
    </w:p>
    <w:p w14:paraId="2A7D87E5" w14:textId="77777777" w:rsidR="00FF5773" w:rsidRPr="007D6896" w:rsidRDefault="00FF5773" w:rsidP="006D6D32">
      <w:pPr>
        <w:pStyle w:val="a3"/>
        <w:rPr>
          <w:rtl/>
        </w:rPr>
      </w:pPr>
      <w:bookmarkStart w:id="7189" w:name="_Toc527928772"/>
      <w:bookmarkStart w:id="7190" w:name="_Toc527999548"/>
      <w:bookmarkStart w:id="7191" w:name="_Toc19389898"/>
      <w:bookmarkStart w:id="7192" w:name="_Toc19393395"/>
      <w:r>
        <w:rPr>
          <w:rFonts w:hint="cs"/>
          <w:rtl/>
        </w:rPr>
        <w:t>דברי הבאר היטב דא"א ללמוד ממקלל ומכה אביו כיון שהיא חזקה שאין בה ריעותא</w:t>
      </w:r>
      <w:bookmarkEnd w:id="7189"/>
      <w:bookmarkEnd w:id="7190"/>
      <w:bookmarkEnd w:id="7191"/>
      <w:bookmarkEnd w:id="7192"/>
    </w:p>
    <w:p w14:paraId="2CD32BB1" w14:textId="77777777" w:rsidR="00566B58" w:rsidRDefault="00FF5773" w:rsidP="00223668">
      <w:pPr>
        <w:pStyle w:val="a0"/>
        <w:rPr>
          <w:rtl/>
        </w:rPr>
        <w:sectPr w:rsidR="00566B58" w:rsidSect="003741AC">
          <w:type w:val="continuous"/>
          <w:pgSz w:w="11906" w:h="16838"/>
          <w:pgMar w:top="720" w:right="720" w:bottom="720" w:left="720" w:header="283" w:footer="283" w:gutter="0"/>
          <w:cols w:num="2" w:space="567"/>
          <w:titlePg/>
          <w:bidi/>
          <w:rtlGutter/>
          <w:docGrid w:linePitch="299"/>
        </w:sectPr>
      </w:pPr>
      <w:r w:rsidRPr="0033107B">
        <w:rPr>
          <w:rStyle w:val="af9"/>
          <w:rFonts w:hint="cs"/>
          <w:rtl/>
        </w:rPr>
        <w:t>ובבאר היטב</w:t>
      </w:r>
      <w:r w:rsidRPr="0033107B">
        <w:rPr>
          <w:rStyle w:val="af7"/>
          <w:rFonts w:eastAsia="Guttman Hodes" w:hint="cs"/>
          <w:rtl/>
        </w:rPr>
        <w:t xml:space="preserve"> (אהע"ז י"ט א') </w:t>
      </w:r>
      <w:r>
        <w:rPr>
          <w:rFonts w:hint="cs"/>
          <w:rtl/>
        </w:rPr>
        <w:t xml:space="preserve">תירץ את קושית </w:t>
      </w:r>
      <w:r w:rsidRPr="0033107B">
        <w:rPr>
          <w:rStyle w:val="af9"/>
          <w:rFonts w:hint="cs"/>
          <w:rtl/>
        </w:rPr>
        <w:t>הבית שמואל</w:t>
      </w:r>
      <w:r>
        <w:rPr>
          <w:rFonts w:hint="cs"/>
          <w:rtl/>
        </w:rPr>
        <w:t xml:space="preserve"> דא"א ללמוד ממקלל ומכה אביו דמעמידים על החזקה, כיון שהיא חזקה שאין בה ריעותא, ואילו בבית המנוגע ילפינן דאף במקום ריעותא מעמידים על החזקה, כדכתבו </w:t>
      </w:r>
      <w:r w:rsidRPr="0033107B">
        <w:rPr>
          <w:rStyle w:val="af9"/>
          <w:rFonts w:hint="cs"/>
          <w:rtl/>
        </w:rPr>
        <w:t>התוס'</w:t>
      </w:r>
      <w:r>
        <w:rPr>
          <w:rFonts w:hint="cs"/>
          <w:rtl/>
        </w:rPr>
        <w:t xml:space="preserve"> </w:t>
      </w:r>
      <w:r w:rsidRPr="0033107B">
        <w:rPr>
          <w:rStyle w:val="af7"/>
          <w:rFonts w:eastAsia="Guttman Hodes" w:hint="cs"/>
          <w:rtl/>
        </w:rPr>
        <w:t xml:space="preserve">(עי' אות </w:t>
      </w:r>
      <w:r w:rsidRPr="0033107B">
        <w:rPr>
          <w:rStyle w:val="af7"/>
          <w:rFonts w:eastAsia="Guttman Hodes"/>
          <w:rtl/>
        </w:rPr>
        <w:fldChar w:fldCharType="begin"/>
      </w:r>
      <w:r w:rsidRPr="0033107B">
        <w:rPr>
          <w:rStyle w:val="af7"/>
          <w:rFonts w:eastAsia="Guttman Hodes"/>
          <w:rtl/>
        </w:rPr>
        <w:instrText xml:space="preserve"> </w:instrText>
      </w:r>
      <w:r w:rsidRPr="0033107B">
        <w:rPr>
          <w:rStyle w:val="af7"/>
          <w:rFonts w:eastAsia="Guttman Hodes" w:hint="cs"/>
        </w:rPr>
        <w:instrText>REF</w:instrText>
      </w:r>
      <w:r w:rsidRPr="0033107B">
        <w:rPr>
          <w:rStyle w:val="af7"/>
          <w:rFonts w:eastAsia="Guttman Hodes" w:hint="cs"/>
          <w:rtl/>
        </w:rPr>
        <w:instrText xml:space="preserve"> _</w:instrText>
      </w:r>
      <w:r w:rsidRPr="0033107B">
        <w:rPr>
          <w:rStyle w:val="af7"/>
          <w:rFonts w:eastAsia="Guttman Hodes" w:hint="cs"/>
        </w:rPr>
        <w:instrText>Ref527490767 \r \h</w:instrText>
      </w:r>
      <w:r w:rsidRPr="0033107B">
        <w:rPr>
          <w:rStyle w:val="af7"/>
          <w:rFonts w:eastAsia="Guttman Hodes"/>
          <w:rtl/>
        </w:rPr>
        <w:instrText xml:space="preserve"> </w:instrText>
      </w:r>
      <w:r w:rsidRPr="0033107B">
        <w:rPr>
          <w:rStyle w:val="af7"/>
          <w:rFonts w:eastAsia="Guttman Hodes"/>
          <w:rtl/>
        </w:rPr>
      </w:r>
      <w:r w:rsidRPr="0033107B">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sidRPr="0033107B">
        <w:rPr>
          <w:rStyle w:val="af7"/>
          <w:rFonts w:eastAsia="Guttman Hodes"/>
          <w:rtl/>
        </w:rPr>
        <w:fldChar w:fldCharType="end"/>
      </w:r>
      <w:r>
        <w:rPr>
          <w:rFonts w:hint="cs"/>
          <w:rtl/>
        </w:rPr>
        <w:t>.</w:t>
      </w:r>
    </w:p>
    <w:p w14:paraId="3C3FF46D" w14:textId="77777777" w:rsidR="00FF5773" w:rsidRDefault="00FF5773" w:rsidP="008F511D">
      <w:pPr>
        <w:bidi w:val="0"/>
        <w:ind w:left="0"/>
        <w:jc w:val="left"/>
        <w:rPr>
          <w:rFonts w:eastAsia="Guttman Hodes" w:cs="Guttman Hodes"/>
          <w:sz w:val="12"/>
          <w:szCs w:val="12"/>
          <w:highlight w:val="yellow"/>
        </w:rPr>
      </w:pPr>
    </w:p>
    <w:p w14:paraId="7C90CC3D" w14:textId="77777777" w:rsidR="005F130E" w:rsidRDefault="005F130E" w:rsidP="00566B58">
      <w:pPr>
        <w:tabs>
          <w:tab w:val="left" w:pos="1163"/>
        </w:tabs>
        <w:spacing w:line="240" w:lineRule="auto"/>
        <w:ind w:left="0"/>
        <w:jc w:val="center"/>
        <w:rPr>
          <w:rFonts w:ascii="Guttman Hodes" w:eastAsia="Guttman Hodes" w:hAnsi="Guttman Hodes" w:cs="Guttman Hodes"/>
          <w:noProof/>
          <w:sz w:val="18"/>
          <w:szCs w:val="18"/>
        </w:rPr>
        <w:sectPr w:rsidR="005F130E" w:rsidSect="00566B58">
          <w:type w:val="continuous"/>
          <w:pgSz w:w="11906" w:h="16838"/>
          <w:pgMar w:top="720" w:right="720" w:bottom="720" w:left="720" w:header="283" w:footer="283" w:gutter="0"/>
          <w:pgNumType w:fmt="hebrew1"/>
          <w:cols w:space="720"/>
          <w:bidi/>
          <w:rtlGutter/>
        </w:sectPr>
      </w:pPr>
    </w:p>
    <w:p w14:paraId="59F84DC6" w14:textId="77777777" w:rsidR="00566B58" w:rsidRDefault="004B65FC" w:rsidP="00566B58">
      <w:pPr>
        <w:tabs>
          <w:tab w:val="left" w:pos="1163"/>
        </w:tabs>
        <w:spacing w:line="240" w:lineRule="auto"/>
        <w:ind w:left="0"/>
        <w:jc w:val="center"/>
        <w:rPr>
          <w:rtl/>
        </w:rPr>
      </w:pPr>
      <w:r>
        <w:rPr>
          <w:rFonts w:ascii="Guttman Hodes" w:eastAsia="Guttman Hodes" w:hAnsi="Guttman Hodes" w:cs="Guttman Hodes"/>
          <w:noProof/>
          <w:sz w:val="18"/>
          <w:szCs w:val="18"/>
        </w:rPr>
        <w:pict w14:anchorId="77B16BC8">
          <v:shape id="_x0000_i1034" type="#_x0000_t75" style="width:409.4pt;height:4.45pt" o:hrpct="0" o:hralign="center" o:hr="t">
            <v:imagedata r:id="rId21" o:title="BD14845_"/>
          </v:shape>
        </w:pict>
      </w:r>
    </w:p>
    <w:p w14:paraId="25CC8A76" w14:textId="77777777" w:rsidR="00566B58" w:rsidRDefault="00566B58" w:rsidP="00566B58">
      <w:pPr>
        <w:bidi w:val="0"/>
        <w:spacing w:line="240" w:lineRule="auto"/>
        <w:ind w:left="0"/>
        <w:jc w:val="left"/>
        <w:rPr>
          <w:rFonts w:ascii="Guttman Hodes" w:eastAsia="Guttman Hodes" w:hAnsi="Guttman Hodes" w:cs="Guttman Hodes"/>
          <w:noProof/>
          <w:sz w:val="18"/>
          <w:szCs w:val="18"/>
          <w:rtl/>
        </w:rPr>
        <w:sectPr w:rsidR="00566B58" w:rsidSect="005F130E">
          <w:pgSz w:w="11906" w:h="16838"/>
          <w:pgMar w:top="720" w:right="720" w:bottom="720" w:left="720" w:header="283" w:footer="283" w:gutter="0"/>
          <w:cols w:space="720"/>
          <w:bidi/>
          <w:rtlGutter/>
        </w:sectPr>
      </w:pPr>
    </w:p>
    <w:p w14:paraId="32E88911" w14:textId="77777777" w:rsidR="00566B58" w:rsidRDefault="00566B58" w:rsidP="006D6D32">
      <w:pPr>
        <w:pStyle w:val="afe"/>
        <w:rPr>
          <w:rtl/>
        </w:rPr>
        <w:sectPr w:rsidR="00566B58">
          <w:type w:val="continuous"/>
          <w:pgSz w:w="11906" w:h="16838"/>
          <w:pgMar w:top="720" w:right="720" w:bottom="720" w:left="720" w:header="283" w:footer="283" w:gutter="0"/>
          <w:cols w:space="720"/>
          <w:bidi/>
          <w:rtlGutter/>
        </w:sectPr>
      </w:pPr>
      <w:bookmarkStart w:id="7193" w:name="_Toc527912602"/>
      <w:bookmarkStart w:id="7194" w:name="_Toc527924549"/>
      <w:bookmarkStart w:id="7195" w:name="_Toc527928773"/>
      <w:bookmarkStart w:id="7196" w:name="_Toc527999549"/>
      <w:bookmarkStart w:id="7197" w:name="_Toc19435492"/>
      <w:bookmarkStart w:id="7198" w:name="_Toc20080800"/>
      <w:r>
        <w:rPr>
          <w:rFonts w:hint="cs"/>
          <w:rtl/>
        </w:rPr>
        <w:t>ביאורי ראשי הישיבות על הסוגיא</w:t>
      </w:r>
      <w:bookmarkEnd w:id="7193"/>
      <w:bookmarkEnd w:id="7194"/>
      <w:bookmarkEnd w:id="7195"/>
      <w:bookmarkEnd w:id="7196"/>
      <w:bookmarkEnd w:id="7197"/>
      <w:bookmarkEnd w:id="7198"/>
    </w:p>
    <w:p w14:paraId="1DDF0D7F" w14:textId="77777777" w:rsidR="00566B58" w:rsidRDefault="00566B58" w:rsidP="006D6D32">
      <w:pPr>
        <w:pStyle w:val="afe"/>
        <w:rPr>
          <w:rtl/>
        </w:rPr>
      </w:pPr>
      <w:bookmarkStart w:id="7199" w:name="_Toc527912603"/>
      <w:bookmarkStart w:id="7200" w:name="_Toc527924550"/>
      <w:bookmarkStart w:id="7201" w:name="_Toc527928774"/>
      <w:bookmarkStart w:id="7202" w:name="_Toc527999550"/>
      <w:bookmarkStart w:id="7203" w:name="_Toc19435493"/>
      <w:bookmarkStart w:id="7204" w:name="_Toc20080801"/>
      <w:r>
        <w:rPr>
          <w:rFonts w:hint="cs"/>
          <w:rtl/>
        </w:rPr>
        <w:t>בחילוק בין חזקת הגוף לחזקת דין</w:t>
      </w:r>
      <w:bookmarkEnd w:id="7199"/>
      <w:bookmarkEnd w:id="7200"/>
      <w:bookmarkEnd w:id="7201"/>
      <w:bookmarkEnd w:id="7202"/>
      <w:bookmarkEnd w:id="7203"/>
      <w:bookmarkEnd w:id="7204"/>
    </w:p>
    <w:p w14:paraId="11157D15" w14:textId="77777777" w:rsidR="00566B58" w:rsidRDefault="00566B58" w:rsidP="00BF39B2">
      <w:pPr>
        <w:pStyle w:val="1"/>
        <w:rPr>
          <w:rtl/>
        </w:rPr>
      </w:pPr>
      <w:bookmarkStart w:id="7205" w:name="_Toc527912604"/>
      <w:bookmarkStart w:id="7206" w:name="_Toc527924551"/>
      <w:bookmarkStart w:id="7207" w:name="_Toc527928775"/>
      <w:bookmarkStart w:id="7208" w:name="_Toc527999551"/>
      <w:bookmarkStart w:id="7209" w:name="_Toc19389899"/>
      <w:bookmarkStart w:id="7210" w:name="_Toc19393396"/>
      <w:r>
        <w:rPr>
          <w:rFonts w:hint="cs"/>
          <w:rtl/>
        </w:rPr>
        <w:t>ביאור השער"י</w:t>
      </w:r>
      <w:bookmarkEnd w:id="7205"/>
      <w:bookmarkEnd w:id="7206"/>
      <w:bookmarkEnd w:id="7207"/>
      <w:r>
        <w:rPr>
          <w:rFonts w:hint="cs"/>
          <w:rtl/>
        </w:rPr>
        <w:t xml:space="preserve"> דהילפותא מנגע דחזקה מכריע את מקור הספק</w:t>
      </w:r>
      <w:bookmarkEnd w:id="7208"/>
      <w:bookmarkEnd w:id="7209"/>
      <w:bookmarkEnd w:id="7210"/>
    </w:p>
    <w:p w14:paraId="006C4E19" w14:textId="77777777" w:rsidR="00566B58" w:rsidRDefault="00566B58" w:rsidP="006D6D32">
      <w:pPr>
        <w:pStyle w:val="a3"/>
        <w:rPr>
          <w:rtl/>
        </w:rPr>
      </w:pPr>
      <w:bookmarkStart w:id="7211" w:name="_Toc527928776"/>
      <w:bookmarkStart w:id="7212" w:name="_Toc527999552"/>
      <w:bookmarkStart w:id="7213" w:name="_Toc19389900"/>
      <w:bookmarkStart w:id="7214" w:name="_Toc19393397"/>
      <w:r>
        <w:rPr>
          <w:rFonts w:hint="cs"/>
          <w:rtl/>
        </w:rPr>
        <w:t>קושית השער"י היאך ילפינן מנגע שהוא חזקת הגוף לשאר החזקות דהם חזקת דין</w:t>
      </w:r>
      <w:bookmarkEnd w:id="7211"/>
      <w:bookmarkEnd w:id="7212"/>
      <w:bookmarkEnd w:id="7213"/>
      <w:bookmarkEnd w:id="7214"/>
    </w:p>
    <w:p w14:paraId="55FCC2CA" w14:textId="77777777" w:rsidR="00566B58" w:rsidRPr="000423ED" w:rsidRDefault="00566B58" w:rsidP="00E12979">
      <w:pPr>
        <w:pStyle w:val="a0"/>
        <w:numPr>
          <w:ilvl w:val="0"/>
          <w:numId w:val="5"/>
        </w:numPr>
        <w:rPr>
          <w:rtl/>
        </w:rPr>
      </w:pPr>
      <w:bookmarkStart w:id="7215" w:name="_Ref524982583"/>
      <w:r>
        <w:rPr>
          <w:rStyle w:val="af9"/>
          <w:rtl/>
        </w:rPr>
        <w:t>בשער"י</w:t>
      </w:r>
      <w:r>
        <w:rPr>
          <w:rFonts w:hint="cs"/>
          <w:rtl/>
        </w:rPr>
        <w:t xml:space="preserve"> </w:t>
      </w:r>
      <w:r w:rsidRPr="00223668">
        <w:rPr>
          <w:rStyle w:val="af7"/>
          <w:rFonts w:eastAsia="Guttman Hodes" w:hint="cs"/>
          <w:rtl/>
        </w:rPr>
        <w:t xml:space="preserve">(שער החזקות פ"א) </w:t>
      </w:r>
      <w:r>
        <w:rPr>
          <w:rFonts w:hint="cs"/>
          <w:rtl/>
        </w:rPr>
        <w:t xml:space="preserve">הקשה היאך ילפינן מבית המנוגע לכל החזקות, הא בגמ' בכתובות </w:t>
      </w:r>
      <w:r w:rsidRPr="00223668">
        <w:rPr>
          <w:rStyle w:val="af7"/>
          <w:rFonts w:eastAsia="Guttman Hodes" w:hint="cs"/>
          <w:rtl/>
        </w:rPr>
        <w:t xml:space="preserve">(עה:) </w:t>
      </w:r>
      <w:r>
        <w:rPr>
          <w:rFonts w:hint="cs"/>
          <w:rtl/>
        </w:rPr>
        <w:t>מוכח דחזקת הגוף עדיפא משאר החזקות, ומבואר שם דחזקת נגעים היא חזקת הגוף</w:t>
      </w:r>
      <w:r>
        <w:rPr>
          <w:rStyle w:val="af1"/>
          <w:rtl/>
        </w:rPr>
        <w:footnoteReference w:id="43"/>
      </w:r>
      <w:r>
        <w:rPr>
          <w:rFonts w:hint="cs"/>
          <w:rtl/>
        </w:rPr>
        <w:t xml:space="preserve">, וא"כ היאך אפשר ללמוד מבית המנוגע דהוא חזקה אלימתא, דאף בשאר החזקות אזלינן בתר חזקה, וכתב </w:t>
      </w:r>
      <w:r w:rsidRPr="009C25D1">
        <w:rPr>
          <w:rStyle w:val="af9"/>
          <w:rFonts w:hint="cs"/>
          <w:rtl/>
        </w:rPr>
        <w:t>השער"י</w:t>
      </w:r>
      <w:r>
        <w:rPr>
          <w:rFonts w:hint="cs"/>
          <w:rtl/>
        </w:rPr>
        <w:t xml:space="preserve"> דיותר קשה לפי דברי </w:t>
      </w:r>
      <w:r w:rsidRPr="009C25D1">
        <w:rPr>
          <w:rStyle w:val="af9"/>
          <w:rFonts w:hint="cs"/>
          <w:rtl/>
        </w:rPr>
        <w:t>הש"ש</w:t>
      </w:r>
      <w:r>
        <w:rPr>
          <w:rFonts w:hint="cs"/>
          <w:rtl/>
        </w:rPr>
        <w:t xml:space="preserve"> </w:t>
      </w:r>
      <w:r w:rsidRPr="00223668">
        <w:rPr>
          <w:rStyle w:val="af7"/>
          <w:rFonts w:eastAsia="Guttman Hodes" w:hint="cs"/>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Ref527708950 \r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ע)</w:t>
      </w:r>
      <w:r w:rsidRPr="00223668">
        <w:rPr>
          <w:rStyle w:val="af7"/>
          <w:rFonts w:eastAsia="Guttman Hodes"/>
          <w:rtl/>
        </w:rPr>
        <w:fldChar w:fldCharType="end"/>
      </w:r>
      <w:r w:rsidRPr="00223668">
        <w:rPr>
          <w:rStyle w:val="af7"/>
          <w:rFonts w:eastAsia="Guttman Hodes" w:hint="cs"/>
          <w:rtl/>
        </w:rPr>
        <w:t xml:space="preserve"> </w:t>
      </w:r>
      <w:r>
        <w:rPr>
          <w:rFonts w:hint="cs"/>
          <w:rtl/>
        </w:rPr>
        <w:t xml:space="preserve">דכתב דחזקת הגוף מהני אף להוציא ממון מחזקתו ועדיפא מרוב, ובמקום שיש חזקת הגוף לטהר, לא אמרינן דספק טומאה ברה"י טמא, דהיאך ילפינן מבית המנוגע לכל החזקות, וכן הקשו </w:t>
      </w:r>
      <w:r w:rsidRPr="00486836">
        <w:rPr>
          <w:rStyle w:val="af9"/>
          <w:rFonts w:hint="cs"/>
          <w:rtl/>
        </w:rPr>
        <w:t>הגר"ח מוולאזין בשו"ת חוט המשולש</w:t>
      </w:r>
      <w:r>
        <w:rPr>
          <w:rFonts w:hint="cs"/>
          <w:rtl/>
        </w:rPr>
        <w:t xml:space="preserve"> </w:t>
      </w:r>
      <w:r w:rsidRPr="00223668">
        <w:rPr>
          <w:rStyle w:val="af7"/>
          <w:rFonts w:eastAsia="Guttman Hodes" w:hint="cs"/>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Ref527315701 \r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עג)</w:t>
      </w:r>
      <w:r w:rsidRPr="00223668">
        <w:rPr>
          <w:rStyle w:val="af7"/>
          <w:rFonts w:eastAsia="Guttman Hodes"/>
          <w:rtl/>
        </w:rPr>
        <w:fldChar w:fldCharType="end"/>
      </w:r>
      <w:r>
        <w:rPr>
          <w:rFonts w:hint="cs"/>
          <w:rtl/>
        </w:rPr>
        <w:t xml:space="preserve"> </w:t>
      </w:r>
      <w:r w:rsidRPr="0061402A">
        <w:rPr>
          <w:rStyle w:val="af9"/>
          <w:rFonts w:hint="cs"/>
          <w:rtl/>
        </w:rPr>
        <w:t>ו</w:t>
      </w:r>
      <w:r w:rsidRPr="0061402A">
        <w:rPr>
          <w:rStyle w:val="af9"/>
          <w:rtl/>
        </w:rPr>
        <w:t>ה</w:t>
      </w:r>
      <w:r>
        <w:rPr>
          <w:rStyle w:val="af9"/>
          <w:rtl/>
        </w:rPr>
        <w:t>קוב"ש</w:t>
      </w:r>
      <w:r>
        <w:rPr>
          <w:rFonts w:hint="cs"/>
          <w:rtl/>
        </w:rPr>
        <w:t xml:space="preserve"> </w:t>
      </w:r>
      <w:r w:rsidRPr="00223668">
        <w:rPr>
          <w:rStyle w:val="af7"/>
          <w:rFonts w:eastAsia="Guttman Hodes" w:hint="cs"/>
          <w:rtl/>
        </w:rPr>
        <w:t xml:space="preserve">(עי' אות </w:t>
      </w:r>
      <w:r>
        <w:rPr>
          <w:rFonts w:hint="cs"/>
          <w:rtl/>
        </w:rPr>
        <w:fldChar w:fldCharType="begin"/>
      </w:r>
      <w:r w:rsidRPr="00223668">
        <w:rPr>
          <w:rStyle w:val="af7"/>
          <w:rFonts w:eastAsia="Guttman Hodes" w:hint="cs"/>
          <w:rtl/>
        </w:rPr>
        <w:instrText xml:space="preserve"> </w:instrText>
      </w:r>
      <w:r w:rsidRPr="00223668">
        <w:rPr>
          <w:rStyle w:val="af7"/>
          <w:rFonts w:eastAsia="Guttman Hodes"/>
        </w:rPr>
        <w:instrText>REF</w:instrText>
      </w:r>
      <w:r w:rsidRPr="00223668">
        <w:rPr>
          <w:rStyle w:val="af7"/>
          <w:rFonts w:eastAsia="Guttman Hodes" w:hint="cs"/>
          <w:rtl/>
        </w:rPr>
        <w:instrText xml:space="preserve"> _</w:instrText>
      </w:r>
      <w:r w:rsidRPr="00223668">
        <w:rPr>
          <w:rStyle w:val="af7"/>
          <w:rFonts w:eastAsia="Guttman Hodes"/>
        </w:rPr>
        <w:instrText>Ref524982548 \r \h</w:instrText>
      </w:r>
      <w:r w:rsidRPr="00223668">
        <w:rPr>
          <w:rStyle w:val="af7"/>
          <w:rFonts w:eastAsia="Guttman Hodes" w:hint="cs"/>
          <w:rtl/>
        </w:rPr>
        <w:instrText xml:space="preserve"> </w:instrText>
      </w:r>
      <w:r>
        <w:rPr>
          <w:rFonts w:hint="cs"/>
          <w:rtl/>
        </w:rPr>
      </w:r>
      <w:r>
        <w:rPr>
          <w:rFonts w:hint="cs"/>
          <w:rtl/>
        </w:rPr>
        <w:fldChar w:fldCharType="separate"/>
      </w:r>
      <w:r w:rsidR="00345400">
        <w:rPr>
          <w:rStyle w:val="af7"/>
          <w:rFonts w:eastAsia="Guttman Hodes" w:hint="eastAsia"/>
          <w:cs/>
        </w:rPr>
        <w:t>‎</w:t>
      </w:r>
      <w:r w:rsidR="00345400">
        <w:rPr>
          <w:rStyle w:val="af7"/>
          <w:rFonts w:eastAsia="Guttman Hodes" w:hint="eastAsia"/>
          <w:rtl/>
        </w:rPr>
        <w:t>פד</w:t>
      </w:r>
      <w:r w:rsidR="00345400">
        <w:rPr>
          <w:rStyle w:val="af7"/>
          <w:rFonts w:eastAsia="Guttman Hodes"/>
          <w:rtl/>
        </w:rPr>
        <w:t>)</w:t>
      </w:r>
      <w:r>
        <w:rPr>
          <w:rFonts w:hint="cs"/>
          <w:rtl/>
        </w:rPr>
        <w:fldChar w:fldCharType="end"/>
      </w:r>
      <w:bookmarkEnd w:id="7215"/>
      <w:r>
        <w:rPr>
          <w:rFonts w:hint="cs"/>
          <w:rtl/>
        </w:rPr>
        <w:t xml:space="preserve">, </w:t>
      </w:r>
      <w:r>
        <w:rPr>
          <w:rStyle w:val="af9"/>
          <w:rFonts w:hint="cs"/>
          <w:rtl/>
        </w:rPr>
        <w:t>ו</w:t>
      </w:r>
      <w:r w:rsidRPr="000423ED">
        <w:rPr>
          <w:rStyle w:val="af9"/>
          <w:rFonts w:hint="cs"/>
          <w:rtl/>
        </w:rPr>
        <w:t>ה</w:t>
      </w:r>
      <w:r w:rsidRPr="000423ED">
        <w:rPr>
          <w:rStyle w:val="af9"/>
          <w:rtl/>
        </w:rPr>
        <w:t>משנת ר"א</w:t>
      </w:r>
      <w:r w:rsidRPr="000423ED">
        <w:rPr>
          <w:rtl/>
        </w:rPr>
        <w:t xml:space="preserve"> </w:t>
      </w:r>
      <w:r w:rsidRPr="00223668">
        <w:rPr>
          <w:rStyle w:val="af7"/>
          <w:rFonts w:eastAsia="Guttman Hodes" w:hint="cs"/>
          <w:rtl/>
        </w:rPr>
        <w:t>(עי' בהערה</w:t>
      </w:r>
      <w:bookmarkStart w:id="7216" w:name="_Ref527883111"/>
      <w:r>
        <w:rPr>
          <w:rStyle w:val="af1"/>
          <w:rtl/>
        </w:rPr>
        <w:footnoteReference w:id="44"/>
      </w:r>
      <w:bookmarkEnd w:id="7216"/>
      <w:r w:rsidRPr="00223668">
        <w:rPr>
          <w:rStyle w:val="af7"/>
          <w:rFonts w:eastAsia="Guttman Hodes" w:hint="cs"/>
          <w:rtl/>
        </w:rPr>
        <w:t>)</w:t>
      </w:r>
      <w:r>
        <w:rPr>
          <w:rFonts w:hint="cs"/>
          <w:rtl/>
        </w:rPr>
        <w:t>.</w:t>
      </w:r>
    </w:p>
    <w:p w14:paraId="5CC99194" w14:textId="77777777" w:rsidR="00566B58" w:rsidRDefault="00566B58" w:rsidP="006D6D32">
      <w:pPr>
        <w:pStyle w:val="a3"/>
        <w:rPr>
          <w:rtl/>
        </w:rPr>
      </w:pPr>
      <w:bookmarkStart w:id="7217" w:name="_Toc527928777"/>
      <w:bookmarkStart w:id="7218" w:name="_Toc527999553"/>
      <w:bookmarkStart w:id="7219" w:name="_Toc19389901"/>
      <w:bookmarkStart w:id="7220" w:name="_Toc19393398"/>
      <w:r>
        <w:rPr>
          <w:rFonts w:hint="cs"/>
          <w:rtl/>
        </w:rPr>
        <w:t>דברי השער"י דחזקה שהיא במקור הספק יש בה יותר כח להכריע</w:t>
      </w:r>
      <w:bookmarkEnd w:id="7217"/>
      <w:bookmarkEnd w:id="7218"/>
      <w:bookmarkEnd w:id="7219"/>
      <w:bookmarkEnd w:id="7220"/>
    </w:p>
    <w:p w14:paraId="3BE2CA09" w14:textId="77777777" w:rsidR="00566B58" w:rsidRDefault="00566B58" w:rsidP="00223668">
      <w:pPr>
        <w:pStyle w:val="a0"/>
        <w:rPr>
          <w:rtl/>
        </w:rPr>
      </w:pPr>
      <w:r>
        <w:rPr>
          <w:rFonts w:hint="cs"/>
          <w:rtl/>
        </w:rPr>
        <w:t xml:space="preserve">וכתב </w:t>
      </w:r>
      <w:r w:rsidRPr="002D33EB">
        <w:rPr>
          <w:rStyle w:val="af9"/>
          <w:rFonts w:hint="cs"/>
          <w:rtl/>
        </w:rPr>
        <w:t>השער"י</w:t>
      </w:r>
      <w:r>
        <w:rPr>
          <w:rFonts w:hint="cs"/>
          <w:rtl/>
        </w:rPr>
        <w:t xml:space="preserve"> </w:t>
      </w:r>
      <w:r w:rsidRPr="002D33EB">
        <w:rPr>
          <w:rStyle w:val="af7"/>
          <w:rFonts w:eastAsia="Guttman Hodes" w:hint="cs"/>
          <w:rtl/>
        </w:rPr>
        <w:t>(שער החזקות פ"א ד"ה ונראה לענ"ד)</w:t>
      </w:r>
      <w:r>
        <w:rPr>
          <w:rFonts w:hint="cs"/>
          <w:rtl/>
        </w:rPr>
        <w:t xml:space="preserve"> דמבואר בכמה סוגיות, דיש לחזקה יותר כח להכריע, כשהיא חזקה במקור הספק, וביאר </w:t>
      </w:r>
      <w:r w:rsidRPr="002D33EB">
        <w:rPr>
          <w:rStyle w:val="af9"/>
          <w:rFonts w:hint="cs"/>
          <w:rtl/>
        </w:rPr>
        <w:t>השער"י</w:t>
      </w:r>
      <w:r>
        <w:rPr>
          <w:rFonts w:hint="cs"/>
          <w:rtl/>
        </w:rPr>
        <w:t xml:space="preserve"> דכל הדינים שנולדים מהספק המקורי נגררים אחר הכרעת החזקה במקור הספק, ולכן מהני חזקת מקוה לטהר אדם טמא, אף שהוא בחזקת טומאה, וכן מהני חזקת סכין שלא נפגם להתיר את הבהמה </w:t>
      </w:r>
      <w:r w:rsidRPr="00D631A2">
        <w:rPr>
          <w:rStyle w:val="afb"/>
          <w:rFonts w:hint="cs"/>
          <w:rtl/>
        </w:rPr>
        <w:t>[במקום שאין תרתי לריעותא]</w:t>
      </w:r>
      <w:r>
        <w:rPr>
          <w:rFonts w:hint="cs"/>
          <w:rtl/>
        </w:rPr>
        <w:t xml:space="preserve">, כיון שהחזקה מכריעה את מקור הספק שהוא במקוה ובסכין, וכן בחזקת מומין בגמ' בכתובות </w:t>
      </w:r>
      <w:r w:rsidRPr="002D33EB">
        <w:rPr>
          <w:rStyle w:val="af7"/>
          <w:rFonts w:eastAsia="Guttman Hodes" w:hint="cs"/>
          <w:rtl/>
        </w:rPr>
        <w:t>(עה:)</w:t>
      </w:r>
      <w:r>
        <w:rPr>
          <w:rFonts w:hint="cs"/>
          <w:rtl/>
        </w:rPr>
        <w:t xml:space="preserve"> דהנדון הוא על המומין, ולכן יש כח בחזקת המומין לעקור את הקידושין, שהם תולדה מהספק במומין.</w:t>
      </w:r>
    </w:p>
    <w:p w14:paraId="066D8AFF" w14:textId="77777777" w:rsidR="00566B58" w:rsidRDefault="00566B58" w:rsidP="006D6D32">
      <w:pPr>
        <w:pStyle w:val="a3"/>
        <w:rPr>
          <w:rtl/>
        </w:rPr>
      </w:pPr>
      <w:bookmarkStart w:id="7221" w:name="_Toc527928778"/>
      <w:bookmarkStart w:id="7222" w:name="_Toc527999554"/>
      <w:bookmarkStart w:id="7223" w:name="_Toc19389902"/>
      <w:bookmarkStart w:id="7224" w:name="_Toc19393399"/>
      <w:r>
        <w:rPr>
          <w:rFonts w:hint="cs"/>
          <w:rtl/>
        </w:rPr>
        <w:t>ביאור השער"י דילפינן מנגע דחזקת הגוף מבטלת את הספק וה"ה לחזקת דין</w:t>
      </w:r>
      <w:bookmarkEnd w:id="7221"/>
      <w:bookmarkEnd w:id="7222"/>
      <w:bookmarkEnd w:id="7223"/>
      <w:bookmarkEnd w:id="7224"/>
    </w:p>
    <w:p w14:paraId="337A164E" w14:textId="77777777" w:rsidR="00566B58" w:rsidRDefault="00566B58" w:rsidP="00223668">
      <w:pPr>
        <w:pStyle w:val="a0"/>
        <w:rPr>
          <w:rtl/>
        </w:rPr>
      </w:pPr>
      <w:r>
        <w:rPr>
          <w:rFonts w:hint="cs"/>
          <w:rtl/>
        </w:rPr>
        <w:t xml:space="preserve">וכתב </w:t>
      </w:r>
      <w:r w:rsidRPr="009E6575">
        <w:rPr>
          <w:rStyle w:val="af9"/>
          <w:rFonts w:hint="cs"/>
          <w:rtl/>
        </w:rPr>
        <w:t>השער"י</w:t>
      </w:r>
      <w:r>
        <w:rPr>
          <w:rFonts w:hint="cs"/>
          <w:rtl/>
        </w:rPr>
        <w:t xml:space="preserve"> </w:t>
      </w:r>
      <w:r w:rsidRPr="009E6575">
        <w:rPr>
          <w:rStyle w:val="af7"/>
          <w:rFonts w:eastAsia="Guttman Hodes" w:hint="cs"/>
          <w:rtl/>
        </w:rPr>
        <w:t>(שער החזקות פ"א ד"ה ועפי"ז)</w:t>
      </w:r>
      <w:r>
        <w:rPr>
          <w:rFonts w:hint="cs"/>
          <w:rtl/>
        </w:rPr>
        <w:t xml:space="preserve"> דלפי"ז אפשר לבאר היאך ילפינן את שאר החזקות, מבית המנוגע, דכיון דנתבאר בבית המנוגע שהחזקה דמעיקרא מבטלת ומכריעה את הספק, ממילא כל דיני החזקות שווים, ואין כל מעלה בזה לחזקת הגוף על פני שאר החזקות, דאף בחזקת הגוף מסברא לא מעמידים על החזקה, ולכן אחר שבחזקת הגוף ילפינן מבית המנוגע דהחזקה מכריעה את הספק, א"כ ילפינן מינה דכל חזקה מכריעה את הספק.</w:t>
      </w:r>
    </w:p>
    <w:p w14:paraId="6DB6749E" w14:textId="77777777" w:rsidR="00566B58" w:rsidRDefault="00566B58" w:rsidP="006D6D32">
      <w:pPr>
        <w:pStyle w:val="a3"/>
        <w:rPr>
          <w:rtl/>
        </w:rPr>
      </w:pPr>
      <w:bookmarkStart w:id="7225" w:name="_Toc527928779"/>
      <w:bookmarkStart w:id="7226" w:name="_Toc527999555"/>
      <w:bookmarkStart w:id="7227" w:name="_Toc19389903"/>
      <w:bookmarkStart w:id="7228" w:name="_Toc19393400"/>
      <w:r>
        <w:rPr>
          <w:rFonts w:hint="cs"/>
          <w:rtl/>
        </w:rPr>
        <w:t>דברי השער"י דכיון שחזקה מכריעה את הספק חזקת הגוף עדיפא</w:t>
      </w:r>
      <w:r w:rsidRPr="00ED30EF">
        <w:rPr>
          <w:rFonts w:hint="cs"/>
          <w:rtl/>
        </w:rPr>
        <w:t xml:space="preserve"> </w:t>
      </w:r>
      <w:r>
        <w:rPr>
          <w:rFonts w:hint="cs"/>
          <w:rtl/>
        </w:rPr>
        <w:t>דהיא מכריעה את עיקר הספק</w:t>
      </w:r>
      <w:bookmarkEnd w:id="7225"/>
      <w:bookmarkEnd w:id="7226"/>
      <w:bookmarkEnd w:id="7227"/>
      <w:bookmarkEnd w:id="7228"/>
    </w:p>
    <w:p w14:paraId="0BA4B9C7" w14:textId="77777777" w:rsidR="00566B58" w:rsidRDefault="00566B58" w:rsidP="00223668">
      <w:pPr>
        <w:pStyle w:val="a0"/>
        <w:rPr>
          <w:rtl/>
        </w:rPr>
      </w:pPr>
      <w:r>
        <w:rPr>
          <w:rFonts w:hint="cs"/>
          <w:rtl/>
        </w:rPr>
        <w:t xml:space="preserve">וביאר </w:t>
      </w:r>
      <w:r w:rsidRPr="009E6575">
        <w:rPr>
          <w:rStyle w:val="af9"/>
          <w:rFonts w:hint="cs"/>
          <w:rtl/>
        </w:rPr>
        <w:t>השער"י</w:t>
      </w:r>
      <w:r>
        <w:rPr>
          <w:rFonts w:hint="cs"/>
          <w:rtl/>
        </w:rPr>
        <w:t xml:space="preserve"> דאחר שגילתה התורה דחזקה מכריעה את הספק, ממילא יש מעלה לחזקת הגוף על שאר החזקות, כיון דחזקת הגוף מכריעה את עיקר הספק, ועדיפא מחזקת דין שמכריעה רק את התולדה מהספק, וע"ע בדברי </w:t>
      </w:r>
      <w:r w:rsidRPr="00997BD3">
        <w:rPr>
          <w:rStyle w:val="af9"/>
          <w:rFonts w:hint="cs"/>
          <w:rtl/>
        </w:rPr>
        <w:t>השער"י</w:t>
      </w:r>
      <w:r>
        <w:rPr>
          <w:rFonts w:hint="cs"/>
          <w:rtl/>
        </w:rPr>
        <w:t xml:space="preserve"> </w:t>
      </w:r>
      <w:r w:rsidRPr="00997BD3">
        <w:rPr>
          <w:rStyle w:val="af7"/>
          <w:rFonts w:eastAsia="Guttman Hodes" w:hint="cs"/>
          <w:rtl/>
        </w:rPr>
        <w:t>(שער החזקות פ"ד ד"ה ועוד נראה לי)</w:t>
      </w:r>
      <w:r>
        <w:rPr>
          <w:rFonts w:hint="cs"/>
          <w:rtl/>
        </w:rPr>
        <w:t xml:space="preserve"> במ"ש בביאור המקור לחזקה דהשתא.</w:t>
      </w:r>
    </w:p>
    <w:p w14:paraId="4977BBD1" w14:textId="77777777" w:rsidR="00566B58" w:rsidRDefault="00566B58" w:rsidP="00BF39B2">
      <w:pPr>
        <w:pStyle w:val="1"/>
        <w:rPr>
          <w:rtl/>
        </w:rPr>
      </w:pPr>
      <w:bookmarkStart w:id="7229" w:name="_Toc527912605"/>
      <w:bookmarkStart w:id="7230" w:name="_Toc527924552"/>
      <w:bookmarkStart w:id="7231" w:name="_Toc527928780"/>
      <w:bookmarkStart w:id="7232" w:name="_Toc527999556"/>
      <w:bookmarkStart w:id="7233" w:name="_Toc19389904"/>
      <w:bookmarkStart w:id="7234" w:name="_Toc19393401"/>
      <w:r>
        <w:rPr>
          <w:rFonts w:hint="cs"/>
          <w:rtl/>
        </w:rPr>
        <w:t>ביאור הקוב"ש דחזקת הגוף הוא שינוי גדול יותר מחזקת דין</w:t>
      </w:r>
      <w:bookmarkEnd w:id="7229"/>
      <w:bookmarkEnd w:id="7230"/>
      <w:bookmarkEnd w:id="7231"/>
      <w:bookmarkEnd w:id="7232"/>
      <w:bookmarkEnd w:id="7233"/>
      <w:bookmarkEnd w:id="7234"/>
    </w:p>
    <w:p w14:paraId="116D276E" w14:textId="77777777" w:rsidR="00566B58" w:rsidRDefault="00566B58" w:rsidP="006D6D32">
      <w:pPr>
        <w:pStyle w:val="a3"/>
        <w:rPr>
          <w:rtl/>
        </w:rPr>
      </w:pPr>
      <w:bookmarkStart w:id="7235" w:name="_Toc527928781"/>
      <w:bookmarkStart w:id="7236" w:name="_Toc527999557"/>
      <w:bookmarkStart w:id="7237" w:name="_Toc19389905"/>
      <w:bookmarkStart w:id="7238" w:name="_Toc19393402"/>
      <w:r>
        <w:rPr>
          <w:rFonts w:hint="cs"/>
          <w:rtl/>
        </w:rPr>
        <w:t>קושית הקוב"ש על הש"ש דחזקת הגוף היא חזקה אלימתא והיאך ילפינן ממנה לשאר החזקות</w:t>
      </w:r>
      <w:bookmarkEnd w:id="7235"/>
      <w:bookmarkEnd w:id="7236"/>
      <w:bookmarkEnd w:id="7237"/>
      <w:bookmarkEnd w:id="7238"/>
    </w:p>
    <w:p w14:paraId="238E6D05" w14:textId="77777777" w:rsidR="00566B58" w:rsidRDefault="00566B58" w:rsidP="00E12979">
      <w:pPr>
        <w:pStyle w:val="a0"/>
        <w:numPr>
          <w:ilvl w:val="0"/>
          <w:numId w:val="5"/>
        </w:numPr>
        <w:rPr>
          <w:rtl/>
        </w:rPr>
      </w:pPr>
      <w:bookmarkStart w:id="7239" w:name="_Ref524982548"/>
      <w:r>
        <w:rPr>
          <w:rStyle w:val="af9"/>
          <w:rtl/>
        </w:rPr>
        <w:t>בקוב"ש</w:t>
      </w:r>
      <w:r>
        <w:rPr>
          <w:rFonts w:hint="cs"/>
          <w:rtl/>
        </w:rPr>
        <w:t xml:space="preserve"> </w:t>
      </w:r>
      <w:r w:rsidRPr="00223668">
        <w:rPr>
          <w:rStyle w:val="af7"/>
          <w:rFonts w:eastAsia="Guttman Hodes" w:hint="cs"/>
          <w:rtl/>
        </w:rPr>
        <w:t>(כתובות אות רס"ד)</w:t>
      </w:r>
      <w:r>
        <w:rPr>
          <w:rFonts w:hint="cs"/>
          <w:rtl/>
        </w:rPr>
        <w:t xml:space="preserve"> הביא את דברי</w:t>
      </w:r>
      <w:r>
        <w:rPr>
          <w:rStyle w:val="af9"/>
          <w:rtl/>
        </w:rPr>
        <w:t xml:space="preserve"> הש"ש </w:t>
      </w:r>
      <w:r w:rsidRPr="00223668">
        <w:rPr>
          <w:rStyle w:val="af7"/>
          <w:rFonts w:eastAsia="Guttman Hodes" w:hint="cs"/>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Ref527709560 \r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עא)</w:t>
      </w:r>
      <w:r w:rsidRPr="00223668">
        <w:rPr>
          <w:rStyle w:val="af7"/>
          <w:rFonts w:eastAsia="Guttman Hodes"/>
          <w:rtl/>
        </w:rPr>
        <w:fldChar w:fldCharType="end"/>
      </w:r>
      <w:r>
        <w:rPr>
          <w:rFonts w:hint="cs"/>
          <w:rtl/>
        </w:rPr>
        <w:t xml:space="preserve"> דכתב דא"א ללמוד את חזקת הגוף משאר החזקות, כיון דחזקת הגוף היא חזקה אלימא, והקשה </w:t>
      </w:r>
      <w:r>
        <w:rPr>
          <w:rStyle w:val="af9"/>
          <w:rtl/>
        </w:rPr>
        <w:t>הקוב"ש</w:t>
      </w:r>
      <w:r>
        <w:rPr>
          <w:rFonts w:hint="cs"/>
          <w:rtl/>
        </w:rPr>
        <w:t xml:space="preserve"> דהיאך ילפינן בסוגיין מבית המנוגע לכל החזקות, הא בבית המנוגע הוא חזקת הגוף דהוא חזקה אלימתא, וא"א להביא ראיה מ</w:t>
      </w:r>
      <w:bookmarkStart w:id="7240" w:name="נקודה_זמנית"/>
      <w:bookmarkEnd w:id="7240"/>
      <w:r>
        <w:rPr>
          <w:rFonts w:hint="cs"/>
          <w:rtl/>
        </w:rPr>
        <w:t>זה דאזלינן בתר חזקה אף בשאר החזקות.</w:t>
      </w:r>
      <w:bookmarkEnd w:id="7239"/>
    </w:p>
    <w:p w14:paraId="29F92C4A" w14:textId="77777777" w:rsidR="00566B58" w:rsidRDefault="00566B58" w:rsidP="006D6D32">
      <w:pPr>
        <w:pStyle w:val="a3"/>
        <w:rPr>
          <w:rtl/>
        </w:rPr>
      </w:pPr>
      <w:bookmarkStart w:id="7241" w:name="_Toc527928782"/>
      <w:bookmarkStart w:id="7242" w:name="_Toc527999558"/>
      <w:bookmarkStart w:id="7243" w:name="_Toc19389906"/>
      <w:bookmarkStart w:id="7244" w:name="_Toc19393403"/>
      <w:r>
        <w:rPr>
          <w:rFonts w:hint="cs"/>
          <w:rtl/>
        </w:rPr>
        <w:t>קושית הקוב"ש דכיון שכל החזקות נלמדות מנגע מנלן שיש חילוק בין חזקת גוף לחזקת דין</w:t>
      </w:r>
      <w:bookmarkEnd w:id="7241"/>
      <w:bookmarkEnd w:id="7242"/>
      <w:bookmarkEnd w:id="7243"/>
      <w:bookmarkEnd w:id="7244"/>
    </w:p>
    <w:p w14:paraId="5724D3B2" w14:textId="77777777" w:rsidR="00566B58" w:rsidRDefault="00566B58" w:rsidP="00E12979">
      <w:pPr>
        <w:pStyle w:val="a0"/>
        <w:numPr>
          <w:ilvl w:val="0"/>
          <w:numId w:val="5"/>
        </w:numPr>
        <w:rPr>
          <w:rtl/>
        </w:rPr>
      </w:pPr>
      <w:r>
        <w:rPr>
          <w:rFonts w:hint="cs"/>
          <w:rtl/>
        </w:rPr>
        <w:t xml:space="preserve">ובעיקר החילוק בין חזקת הגוף לשאר החזקות, הקשה </w:t>
      </w:r>
      <w:r>
        <w:rPr>
          <w:rStyle w:val="af9"/>
          <w:rtl/>
        </w:rPr>
        <w:t>הקוב"ש</w:t>
      </w:r>
      <w:r>
        <w:rPr>
          <w:rFonts w:hint="cs"/>
          <w:rtl/>
        </w:rPr>
        <w:t xml:space="preserve"> דכיון דאת כל החזקות ילפינן מפסוק אחד בבית המנוגע, מנלן לחלק ביניהם.</w:t>
      </w:r>
    </w:p>
    <w:p w14:paraId="3ADA3213" w14:textId="77777777" w:rsidR="00566B58" w:rsidRDefault="00566B58" w:rsidP="006D6D32">
      <w:pPr>
        <w:pStyle w:val="a3"/>
      </w:pPr>
      <w:bookmarkStart w:id="7245" w:name="_Toc527928783"/>
      <w:bookmarkStart w:id="7246" w:name="_Toc527999559"/>
      <w:bookmarkStart w:id="7247" w:name="_Toc19389907"/>
      <w:bookmarkStart w:id="7248" w:name="_Toc19393404"/>
      <w:r>
        <w:rPr>
          <w:rFonts w:hint="cs"/>
          <w:rtl/>
        </w:rPr>
        <w:t>ביאור הקוב"ש דגדר חזקה הוא שלא היה שינוי ממה שהוחזק לפני לידת הספק</w:t>
      </w:r>
      <w:bookmarkEnd w:id="7245"/>
      <w:bookmarkEnd w:id="7246"/>
      <w:bookmarkEnd w:id="7247"/>
      <w:bookmarkEnd w:id="7248"/>
    </w:p>
    <w:p w14:paraId="5FBFD7A5" w14:textId="77777777" w:rsidR="00566B58" w:rsidRDefault="00566B58" w:rsidP="00E12979">
      <w:pPr>
        <w:pStyle w:val="a0"/>
        <w:numPr>
          <w:ilvl w:val="0"/>
          <w:numId w:val="5"/>
        </w:numPr>
        <w:rPr>
          <w:rtl/>
        </w:rPr>
      </w:pPr>
      <w:r>
        <w:rPr>
          <w:rFonts w:hint="cs"/>
          <w:rtl/>
        </w:rPr>
        <w:t xml:space="preserve">וכתב </w:t>
      </w:r>
      <w:r>
        <w:rPr>
          <w:rStyle w:val="af9"/>
          <w:rtl/>
        </w:rPr>
        <w:t>הקוב"ש</w:t>
      </w:r>
      <w:r>
        <w:rPr>
          <w:rFonts w:hint="cs"/>
          <w:rtl/>
        </w:rPr>
        <w:t xml:space="preserve"> </w:t>
      </w:r>
      <w:r w:rsidRPr="00223668">
        <w:rPr>
          <w:rStyle w:val="af7"/>
          <w:rFonts w:eastAsia="Guttman Hodes" w:hint="cs"/>
          <w:rtl/>
        </w:rPr>
        <w:t>(כתובות אות רס"ה)</w:t>
      </w:r>
      <w:r>
        <w:rPr>
          <w:rFonts w:hint="cs"/>
          <w:rtl/>
        </w:rPr>
        <w:t xml:space="preserve"> דעיקר הגדר של החזקה הוא דאמרינן שלא היה שינוי ממה שהיה לפני לידת הספק, ומזה ילפינן דאף במקום שהיה ודאי שינוי, והספק הוא האם היה שינוי גדול או שינוי קטן, דמעמידים על החזקה ואמרינן שהיה שינוי קטן ולא שינוי גדול.</w:t>
      </w:r>
    </w:p>
    <w:p w14:paraId="5DC0BF7D" w14:textId="77777777" w:rsidR="00566B58" w:rsidRDefault="00566B58" w:rsidP="006D6D32">
      <w:pPr>
        <w:pStyle w:val="a3"/>
        <w:rPr>
          <w:rtl/>
        </w:rPr>
      </w:pPr>
      <w:bookmarkStart w:id="7249" w:name="_Toc527928784"/>
      <w:bookmarkStart w:id="7250" w:name="_Toc527999560"/>
      <w:bookmarkStart w:id="7251" w:name="_Toc19389908"/>
      <w:bookmarkStart w:id="7252" w:name="_Toc19393405"/>
      <w:r>
        <w:rPr>
          <w:rFonts w:hint="cs"/>
          <w:rtl/>
        </w:rPr>
        <w:t>ביאור הקוב"ש דבחזקת הגוף השינוי הוא גדול יותר וחזקת הגוף היא כב' חזקות כנגד חזקת דין</w:t>
      </w:r>
      <w:bookmarkEnd w:id="7249"/>
      <w:bookmarkEnd w:id="7250"/>
      <w:bookmarkEnd w:id="7251"/>
      <w:bookmarkEnd w:id="7252"/>
    </w:p>
    <w:p w14:paraId="467F037D" w14:textId="77777777" w:rsidR="00566B58" w:rsidRDefault="00566B58" w:rsidP="00E12979">
      <w:pPr>
        <w:pStyle w:val="a0"/>
        <w:numPr>
          <w:ilvl w:val="0"/>
          <w:numId w:val="5"/>
        </w:numPr>
        <w:rPr>
          <w:rtl/>
        </w:rPr>
      </w:pPr>
      <w:r>
        <w:rPr>
          <w:rFonts w:hint="cs"/>
          <w:rtl/>
        </w:rPr>
        <w:t xml:space="preserve">ובזה ביאר </w:t>
      </w:r>
      <w:r>
        <w:rPr>
          <w:rStyle w:val="af9"/>
          <w:rtl/>
        </w:rPr>
        <w:t>הקוב"ש</w:t>
      </w:r>
      <w:r>
        <w:rPr>
          <w:rFonts w:hint="cs"/>
          <w:rtl/>
        </w:rPr>
        <w:t xml:space="preserve"> את החילוק בין חזקת הגוף לחזקת דין, דאי נאמר שהיה שינוי בגוף הוא שינוי גדול, יותר מאשר אם נאמר שהיה שינוי בדין, ולכן חזקת הגוף כנגד חזקת דין חשיב כאילו יש ב' חזקות כנגד חזקה אחת, וכתב </w:t>
      </w:r>
      <w:r>
        <w:rPr>
          <w:rStyle w:val="af9"/>
          <w:rtl/>
        </w:rPr>
        <w:t>הקוב"ש</w:t>
      </w:r>
      <w:r>
        <w:rPr>
          <w:rFonts w:hint="cs"/>
          <w:rtl/>
        </w:rPr>
        <w:t xml:space="preserve"> דלכן אפשר ללמוד את כל החזקות מבית המנוגע, דאף שהוא חזקת הגוף, מ"מ ילפינן דאזלינן בתר חזקה לומר שלא היה שינוי, בין בשינוי מרובה כחזקת הגוף, ובין בשינוי מועט כחזקת דין, וע"ע </w:t>
      </w:r>
      <w:r w:rsidRPr="00F20CCC">
        <w:rPr>
          <w:rStyle w:val="af9"/>
          <w:rFonts w:hint="cs"/>
          <w:rtl/>
        </w:rPr>
        <w:t>בש"ש</w:t>
      </w:r>
      <w:r>
        <w:rPr>
          <w:rFonts w:hint="cs"/>
          <w:rtl/>
        </w:rPr>
        <w:t xml:space="preserve"> </w:t>
      </w:r>
      <w:r w:rsidRPr="00223668">
        <w:rPr>
          <w:rStyle w:val="af7"/>
          <w:rFonts w:eastAsia="Guttman Hodes" w:hint="cs"/>
          <w:rtl/>
        </w:rPr>
        <w:t>(ש"ב סופ"ב)</w:t>
      </w:r>
      <w:r>
        <w:rPr>
          <w:rFonts w:hint="cs"/>
          <w:rtl/>
        </w:rPr>
        <w:t>.</w:t>
      </w:r>
    </w:p>
    <w:p w14:paraId="11B5AD87" w14:textId="77777777" w:rsidR="00566B58" w:rsidRDefault="0031789C" w:rsidP="00BF39B2">
      <w:pPr>
        <w:pStyle w:val="1"/>
        <w:rPr>
          <w:rtl/>
        </w:rPr>
      </w:pPr>
      <w:bookmarkStart w:id="7253" w:name="_Toc527912606"/>
      <w:bookmarkStart w:id="7254" w:name="_Toc527924553"/>
      <w:bookmarkStart w:id="7255" w:name="_Toc527928785"/>
      <w:bookmarkStart w:id="7256" w:name="_Toc527999561"/>
      <w:bookmarkStart w:id="7257" w:name="_Toc19389909"/>
      <w:bookmarkStart w:id="7258" w:name="_Toc19393406"/>
      <w:r>
        <w:rPr>
          <w:rFonts w:hint="cs"/>
          <w:rtl/>
        </w:rPr>
        <w:t>ד</w:t>
      </w:r>
      <w:r w:rsidR="00566B58" w:rsidRPr="00873CAE">
        <w:rPr>
          <w:rFonts w:hint="cs"/>
          <w:rtl/>
        </w:rPr>
        <w:t xml:space="preserve">ברי הגר"ח דלולי החזקה לא שייך בנגע </w:t>
      </w:r>
      <w:r w:rsidR="00566B58">
        <w:rPr>
          <w:rFonts w:hint="cs"/>
          <w:rtl/>
        </w:rPr>
        <w:t xml:space="preserve">דין </w:t>
      </w:r>
      <w:r w:rsidR="00566B58" w:rsidRPr="00873CAE">
        <w:rPr>
          <w:rFonts w:hint="cs"/>
          <w:rtl/>
        </w:rPr>
        <w:t>ספק טומאה</w:t>
      </w:r>
      <w:bookmarkEnd w:id="7253"/>
      <w:bookmarkEnd w:id="7254"/>
      <w:bookmarkEnd w:id="7255"/>
      <w:bookmarkEnd w:id="7256"/>
      <w:bookmarkEnd w:id="7257"/>
      <w:bookmarkEnd w:id="7258"/>
    </w:p>
    <w:p w14:paraId="01CEC2BA" w14:textId="77777777" w:rsidR="00566B58" w:rsidRDefault="00566B58" w:rsidP="006D6D32">
      <w:pPr>
        <w:pStyle w:val="a3"/>
        <w:rPr>
          <w:rtl/>
        </w:rPr>
      </w:pPr>
      <w:bookmarkStart w:id="7259" w:name="_Toc527928786"/>
      <w:bookmarkStart w:id="7260" w:name="_Toc527999562"/>
      <w:bookmarkStart w:id="7261" w:name="_Toc19389910"/>
      <w:bookmarkStart w:id="7262" w:name="_Toc19393407"/>
      <w:r>
        <w:rPr>
          <w:rFonts w:hint="cs"/>
          <w:rtl/>
        </w:rPr>
        <w:t>דברי הגר"ח דבנגע לא שייך דין ספק טומאה דהספק הוא ככל ספיקא דדינא</w:t>
      </w:r>
      <w:bookmarkEnd w:id="7259"/>
      <w:bookmarkEnd w:id="7260"/>
      <w:bookmarkEnd w:id="7261"/>
      <w:bookmarkEnd w:id="7262"/>
    </w:p>
    <w:p w14:paraId="74111343" w14:textId="77777777" w:rsidR="00566B58" w:rsidRDefault="00566B58" w:rsidP="00223668">
      <w:pPr>
        <w:pStyle w:val="a0"/>
        <w:rPr>
          <w:rtl/>
        </w:rPr>
      </w:pPr>
      <w:bookmarkStart w:id="7263" w:name="_Ref527887684"/>
      <w:bookmarkStart w:id="7264" w:name="_Ref529869483"/>
      <w:r>
        <w:rPr>
          <w:rFonts w:hint="cs"/>
          <w:rtl/>
        </w:rPr>
        <w:t xml:space="preserve">בקושית </w:t>
      </w:r>
      <w:r w:rsidRPr="00642167">
        <w:rPr>
          <w:rStyle w:val="af9"/>
          <w:rFonts w:hint="cs"/>
          <w:rtl/>
        </w:rPr>
        <w:t>התוס'</w:t>
      </w:r>
      <w:r>
        <w:rPr>
          <w:rStyle w:val="af7"/>
          <w:rFonts w:eastAsia="Guttman Hodes" w:hint="cs"/>
          <w:rtl/>
        </w:rPr>
        <w:t xml:space="preserve"> </w:t>
      </w:r>
      <w:r w:rsidRPr="00C24EC0">
        <w:rPr>
          <w:rStyle w:val="af7"/>
          <w:rFonts w:eastAsia="Guttman Hodes" w:hint="cs"/>
          <w:rtl/>
        </w:rPr>
        <w:t xml:space="preserve">(עי' אות </w:t>
      </w:r>
      <w:r w:rsidRPr="00C24EC0">
        <w:rPr>
          <w:rStyle w:val="af7"/>
          <w:rFonts w:eastAsia="Guttman Hodes"/>
          <w:rtl/>
        </w:rPr>
        <w:fldChar w:fldCharType="begin"/>
      </w:r>
      <w:r w:rsidRPr="00C24EC0">
        <w:rPr>
          <w:rStyle w:val="af7"/>
          <w:rFonts w:eastAsia="Guttman Hodes"/>
          <w:rtl/>
        </w:rPr>
        <w:instrText xml:space="preserve"> </w:instrText>
      </w:r>
      <w:r w:rsidRPr="00C24EC0">
        <w:rPr>
          <w:rStyle w:val="af7"/>
          <w:rFonts w:eastAsia="Guttman Hodes" w:hint="cs"/>
        </w:rPr>
        <w:instrText>REF</w:instrText>
      </w:r>
      <w:r w:rsidRPr="00C24EC0">
        <w:rPr>
          <w:rStyle w:val="af7"/>
          <w:rFonts w:eastAsia="Guttman Hodes" w:hint="cs"/>
          <w:rtl/>
        </w:rPr>
        <w:instrText xml:space="preserve"> _</w:instrText>
      </w:r>
      <w:r w:rsidRPr="00C24EC0">
        <w:rPr>
          <w:rStyle w:val="af7"/>
          <w:rFonts w:eastAsia="Guttman Hodes" w:hint="cs"/>
        </w:rPr>
        <w:instrText>Ref524897303 \r \h</w:instrText>
      </w:r>
      <w:r w:rsidRPr="00C24EC0">
        <w:rPr>
          <w:rStyle w:val="af7"/>
          <w:rFonts w:eastAsia="Guttman Hodes"/>
          <w:rtl/>
        </w:rPr>
        <w:instrText xml:space="preserve"> </w:instrText>
      </w:r>
      <w:r w:rsidRPr="00C24EC0">
        <w:rPr>
          <w:rStyle w:val="af7"/>
          <w:rFonts w:eastAsia="Guttman Hodes"/>
          <w:rtl/>
        </w:rPr>
      </w:r>
      <w:r w:rsidRPr="00C24EC0">
        <w:rPr>
          <w:rStyle w:val="af7"/>
          <w:rFonts w:eastAsia="Guttman Hodes"/>
          <w:rtl/>
        </w:rPr>
        <w:fldChar w:fldCharType="separate"/>
      </w:r>
      <w:r w:rsidR="00345400">
        <w:rPr>
          <w:rStyle w:val="af7"/>
          <w:rFonts w:eastAsia="Guttman Hodes"/>
          <w:cs/>
        </w:rPr>
        <w:t>‎</w:t>
      </w:r>
      <w:r w:rsidR="00345400">
        <w:rPr>
          <w:rStyle w:val="af7"/>
          <w:rFonts w:eastAsia="Guttman Hodes"/>
          <w:rtl/>
        </w:rPr>
        <w:t>יז)</w:t>
      </w:r>
      <w:r w:rsidRPr="00C24EC0">
        <w:rPr>
          <w:rStyle w:val="af7"/>
          <w:rFonts w:eastAsia="Guttman Hodes"/>
          <w:rtl/>
        </w:rPr>
        <w:fldChar w:fldCharType="end"/>
      </w:r>
      <w:r>
        <w:rPr>
          <w:rFonts w:hint="cs"/>
          <w:rtl/>
        </w:rPr>
        <w:t xml:space="preserve"> דבבית המנוגע אפש"ל דהטומאה היא מדין ספק טומאה ברה"י, ולא מדין חזקה. תירץ </w:t>
      </w:r>
      <w:r w:rsidRPr="006B679A">
        <w:rPr>
          <w:rStyle w:val="af9"/>
          <w:rFonts w:hint="cs"/>
          <w:rtl/>
        </w:rPr>
        <w:t>בחי' הגר"ח על הש"ס</w:t>
      </w:r>
      <w:r>
        <w:rPr>
          <w:rFonts w:hint="cs"/>
          <w:rtl/>
        </w:rPr>
        <w:t xml:space="preserve"> </w:t>
      </w:r>
      <w:r w:rsidRPr="00C72B20">
        <w:rPr>
          <w:rStyle w:val="af7"/>
          <w:rFonts w:eastAsia="Guttman Hodes" w:hint="cs"/>
          <w:rtl/>
        </w:rPr>
        <w:t>(סימן ק"ל)</w:t>
      </w:r>
      <w:r>
        <w:rPr>
          <w:rFonts w:hint="cs"/>
          <w:rtl/>
        </w:rPr>
        <w:t xml:space="preserve"> דבטומאת נגעים לא שייך הדין דספק טומאה ברה"י, דכ"ז שלא טימא הכהן את הנגע, הוא טהור לגמרי, ולא שייך בו ספק טטומאה כלל, דאינו חפצא של טומאה, והספק שיש לכהן אם הנגע עומד בעיניו וצריך לטמאו, אינו ספק טומאה ברה"י, אלא הוא ככל ספיקא דדינא. [אך כתב </w:t>
      </w:r>
      <w:r w:rsidRPr="006B679A">
        <w:rPr>
          <w:rStyle w:val="af9"/>
          <w:rFonts w:hint="cs"/>
          <w:rtl/>
        </w:rPr>
        <w:t>הגר"ח</w:t>
      </w:r>
      <w:r>
        <w:rPr>
          <w:rFonts w:hint="cs"/>
          <w:rtl/>
        </w:rPr>
        <w:t xml:space="preserve"> דאחר שהסגירו הכהן ונזקק הנגע לטומאה, ואח"כ יש ספק האם יטהרנו הכהן, או יחליטו לטומאה, דבזה יש נדון של ספק טומאה ברה"י], וכעי"ז כתב </w:t>
      </w:r>
      <w:r w:rsidRPr="00D33AAE">
        <w:rPr>
          <w:rStyle w:val="af9"/>
          <w:rFonts w:hint="cs"/>
          <w:rtl/>
        </w:rPr>
        <w:t>החזו"א</w:t>
      </w:r>
      <w:r>
        <w:rPr>
          <w:rFonts w:hint="cs"/>
          <w:rtl/>
        </w:rPr>
        <w:t xml:space="preserve"> </w:t>
      </w:r>
      <w:r w:rsidRPr="009768A4">
        <w:rPr>
          <w:rStyle w:val="af7"/>
          <w:rFonts w:eastAsia="Guttman Hodes" w:hint="cs"/>
          <w:rtl/>
        </w:rPr>
        <w:t>(</w:t>
      </w:r>
      <w:r w:rsidRPr="000E5B3B">
        <w:rPr>
          <w:rStyle w:val="af7"/>
          <w:rFonts w:eastAsia="Guttman Hodes" w:hint="cs"/>
          <w:rtl/>
        </w:rPr>
        <w:t xml:space="preserve">עי' אות </w:t>
      </w:r>
      <w:bookmarkEnd w:id="7263"/>
      <w:r w:rsidRPr="000E5B3B">
        <w:rPr>
          <w:rStyle w:val="af7"/>
          <w:rFonts w:eastAsia="Guttman Hodes"/>
          <w:rtl/>
        </w:rPr>
        <w:fldChar w:fldCharType="begin"/>
      </w:r>
      <w:r w:rsidRPr="000E5B3B">
        <w:rPr>
          <w:rStyle w:val="af7"/>
          <w:rFonts w:eastAsia="Guttman Hodes"/>
          <w:rtl/>
        </w:rPr>
        <w:instrText xml:space="preserve"> </w:instrText>
      </w:r>
      <w:r w:rsidRPr="000E5B3B">
        <w:rPr>
          <w:rStyle w:val="af7"/>
          <w:rFonts w:eastAsia="Guttman Hodes" w:hint="cs"/>
        </w:rPr>
        <w:instrText>REF</w:instrText>
      </w:r>
      <w:r w:rsidRPr="000E5B3B">
        <w:rPr>
          <w:rStyle w:val="af7"/>
          <w:rFonts w:eastAsia="Guttman Hodes" w:hint="cs"/>
          <w:rtl/>
        </w:rPr>
        <w:instrText xml:space="preserve"> _</w:instrText>
      </w:r>
      <w:r w:rsidRPr="000E5B3B">
        <w:rPr>
          <w:rStyle w:val="af7"/>
          <w:rFonts w:eastAsia="Guttman Hodes" w:hint="cs"/>
        </w:rPr>
        <w:instrText>Ref528000209 \r \h</w:instrText>
      </w:r>
      <w:r w:rsidRPr="000E5B3B">
        <w:rPr>
          <w:rStyle w:val="af7"/>
          <w:rFonts w:eastAsia="Guttman Hodes"/>
          <w:rtl/>
        </w:rPr>
        <w:instrText xml:space="preserve"> </w:instrText>
      </w:r>
      <w:r w:rsidRPr="000E5B3B">
        <w:rPr>
          <w:rStyle w:val="af7"/>
          <w:rFonts w:eastAsia="Guttman Hodes"/>
          <w:rtl/>
        </w:rPr>
      </w:r>
      <w:r w:rsidRPr="000E5B3B">
        <w:rPr>
          <w:rStyle w:val="af7"/>
          <w:rFonts w:eastAsia="Guttman Hodes"/>
          <w:rtl/>
        </w:rPr>
        <w:fldChar w:fldCharType="separate"/>
      </w:r>
      <w:r w:rsidR="00345400">
        <w:rPr>
          <w:rStyle w:val="af7"/>
          <w:rFonts w:eastAsia="Guttman Hodes"/>
          <w:cs/>
        </w:rPr>
        <w:t>‎</w:t>
      </w:r>
      <w:r w:rsidR="00345400">
        <w:rPr>
          <w:rStyle w:val="af7"/>
          <w:rFonts w:eastAsia="Guttman Hodes"/>
          <w:rtl/>
        </w:rPr>
        <w:t>כב)</w:t>
      </w:r>
      <w:r w:rsidRPr="000E5B3B">
        <w:rPr>
          <w:rStyle w:val="af7"/>
          <w:rFonts w:eastAsia="Guttman Hodes"/>
          <w:rtl/>
        </w:rPr>
        <w:fldChar w:fldCharType="end"/>
      </w:r>
      <w:r>
        <w:rPr>
          <w:rFonts w:hint="cs"/>
          <w:rtl/>
        </w:rPr>
        <w:t>.</w:t>
      </w:r>
      <w:bookmarkEnd w:id="7264"/>
    </w:p>
    <w:p w14:paraId="4E1CEC4D" w14:textId="77777777" w:rsidR="00566B58" w:rsidRPr="00610C10" w:rsidRDefault="00566B58" w:rsidP="006D6D32">
      <w:pPr>
        <w:pStyle w:val="a3"/>
        <w:rPr>
          <w:rtl/>
        </w:rPr>
      </w:pPr>
      <w:bookmarkStart w:id="7265" w:name="_Toc527928787"/>
      <w:bookmarkStart w:id="7266" w:name="_Toc527999563"/>
      <w:bookmarkStart w:id="7267" w:name="_Toc19389911"/>
      <w:bookmarkStart w:id="7268" w:name="_Toc19393408"/>
      <w:r>
        <w:rPr>
          <w:rFonts w:hint="cs"/>
          <w:rtl/>
        </w:rPr>
        <w:t>ביאור הגר"ח דהכהן יכול לטמא רק בודאי ולא בספק</w:t>
      </w:r>
      <w:bookmarkEnd w:id="7265"/>
      <w:bookmarkEnd w:id="7266"/>
      <w:bookmarkEnd w:id="7267"/>
      <w:bookmarkEnd w:id="7268"/>
    </w:p>
    <w:p w14:paraId="46A21339" w14:textId="77777777" w:rsidR="00566B58" w:rsidRDefault="00566B58" w:rsidP="00223668">
      <w:pPr>
        <w:pStyle w:val="a0"/>
        <w:rPr>
          <w:rtl/>
        </w:rPr>
      </w:pPr>
      <w:r>
        <w:rPr>
          <w:rFonts w:hint="cs"/>
          <w:rtl/>
        </w:rPr>
        <w:t xml:space="preserve">וביאר </w:t>
      </w:r>
      <w:r w:rsidRPr="006B679A">
        <w:rPr>
          <w:rStyle w:val="af9"/>
          <w:rFonts w:hint="cs"/>
          <w:rtl/>
        </w:rPr>
        <w:t>הגרא"ז מלצר</w:t>
      </w:r>
      <w:r>
        <w:rPr>
          <w:rFonts w:hint="cs"/>
          <w:rtl/>
        </w:rPr>
        <w:t xml:space="preserve"> בשם </w:t>
      </w:r>
      <w:r w:rsidRPr="006B679A">
        <w:rPr>
          <w:rStyle w:val="af9"/>
          <w:rFonts w:hint="cs"/>
          <w:rtl/>
        </w:rPr>
        <w:t>הגר"ח</w:t>
      </w:r>
      <w:r>
        <w:rPr>
          <w:rFonts w:hint="cs"/>
          <w:rtl/>
        </w:rPr>
        <w:t xml:space="preserve"> </w:t>
      </w:r>
      <w:r w:rsidRPr="006B679A">
        <w:rPr>
          <w:rStyle w:val="af7"/>
          <w:rFonts w:eastAsia="Guttman Hodes" w:hint="cs"/>
          <w:rtl/>
        </w:rPr>
        <w:t>(הובא בחי' הגר"ח מהדו' מישור עמ' תע"ח)</w:t>
      </w:r>
      <w:r>
        <w:rPr>
          <w:rFonts w:hint="cs"/>
          <w:rtl/>
        </w:rPr>
        <w:t xml:space="preserve"> דכיון טומאת נגעים חלה רק לאחר שאמר הכהן דהבית טמא, א"כ א"א לומר דמטמאינן ליה מספק, דרק כשהכהן יודע בודאי שיש נגע בבית, הוא יכול לומר דהבית טמא, אבל אם אין הכהן רואה את הנגע בודאי, אינו יכול לומר שהבית טמא, וממילא הבית טהור בודאי, ולא שייך בזה דין ספק טומאה ברה"י כלל. </w:t>
      </w:r>
      <w:r w:rsidRPr="005006DD">
        <w:rPr>
          <w:rStyle w:val="afb"/>
          <w:rFonts w:hint="cs"/>
          <w:rtl/>
        </w:rPr>
        <w:t xml:space="preserve">[וכן הביא </w:t>
      </w:r>
      <w:r w:rsidRPr="005006DD">
        <w:rPr>
          <w:rStyle w:val="affa"/>
          <w:rFonts w:hint="cs"/>
          <w:rtl/>
        </w:rPr>
        <w:t>בביאורים והערות להגרש"ז אוירבך על הש"ש</w:t>
      </w:r>
      <w:r w:rsidRPr="005006DD">
        <w:rPr>
          <w:rStyle w:val="afb"/>
          <w:rFonts w:hint="cs"/>
          <w:rtl/>
        </w:rPr>
        <w:t xml:space="preserve"> </w:t>
      </w:r>
      <w:r w:rsidRPr="005006DD">
        <w:rPr>
          <w:rStyle w:val="aff6"/>
          <w:rFonts w:hint="cs"/>
          <w:rtl/>
        </w:rPr>
        <w:t>(ש"א פ"ה אות ל"ט ד"ה ולענין ספק)</w:t>
      </w:r>
      <w:r w:rsidRPr="005006DD">
        <w:rPr>
          <w:rStyle w:val="afb"/>
          <w:rFonts w:hint="cs"/>
          <w:rtl/>
        </w:rPr>
        <w:t xml:space="preserve"> ועיי"ש במה שהקשה </w:t>
      </w:r>
      <w:r w:rsidRPr="005006DD">
        <w:rPr>
          <w:rStyle w:val="affa"/>
          <w:rFonts w:hint="cs"/>
          <w:rtl/>
        </w:rPr>
        <w:t>הגרש"ז</w:t>
      </w:r>
      <w:r w:rsidRPr="005006DD">
        <w:rPr>
          <w:rStyle w:val="afb"/>
          <w:rFonts w:hint="cs"/>
          <w:rtl/>
        </w:rPr>
        <w:t xml:space="preserve"> על דברי </w:t>
      </w:r>
      <w:r w:rsidRPr="005006DD">
        <w:rPr>
          <w:rStyle w:val="affa"/>
          <w:rFonts w:hint="cs"/>
          <w:rtl/>
        </w:rPr>
        <w:t>הגר"ח</w:t>
      </w:r>
      <w:r w:rsidRPr="005006DD">
        <w:rPr>
          <w:rStyle w:val="afb"/>
          <w:rFonts w:hint="cs"/>
          <w:rtl/>
        </w:rPr>
        <w:t>].</w:t>
      </w:r>
      <w:r>
        <w:rPr>
          <w:rFonts w:hint="cs"/>
          <w:rtl/>
        </w:rPr>
        <w:t xml:space="preserve"> וע"ע במ"ש </w:t>
      </w:r>
      <w:r w:rsidRPr="0004441D">
        <w:rPr>
          <w:rStyle w:val="af9"/>
          <w:rFonts w:hint="cs"/>
          <w:rtl/>
        </w:rPr>
        <w:t>במשנת ר"א</w:t>
      </w:r>
      <w:r>
        <w:rPr>
          <w:rFonts w:hint="cs"/>
          <w:rtl/>
        </w:rPr>
        <w:t xml:space="preserve"> </w:t>
      </w:r>
      <w:r w:rsidRPr="0004441D">
        <w:rPr>
          <w:rStyle w:val="af7"/>
          <w:rFonts w:eastAsia="Guttman Hodes" w:hint="cs"/>
          <w:rtl/>
        </w:rPr>
        <w:t>(סי' א' א' ד"ה אמנם הנה)</w:t>
      </w:r>
      <w:r>
        <w:rPr>
          <w:rFonts w:hint="cs"/>
          <w:rtl/>
        </w:rPr>
        <w:t>.</w:t>
      </w:r>
    </w:p>
    <w:p w14:paraId="52C855F6" w14:textId="77777777" w:rsidR="00566B58" w:rsidRDefault="00566B58" w:rsidP="00BF39B2">
      <w:pPr>
        <w:pStyle w:val="1"/>
        <w:rPr>
          <w:rtl/>
        </w:rPr>
      </w:pPr>
      <w:bookmarkStart w:id="7269" w:name="_Toc527912607"/>
      <w:bookmarkStart w:id="7270" w:name="_Toc527924554"/>
      <w:bookmarkStart w:id="7271" w:name="_Toc527928788"/>
      <w:bookmarkStart w:id="7272" w:name="_Toc527999564"/>
      <w:bookmarkStart w:id="7273" w:name="_Toc19389912"/>
      <w:bookmarkStart w:id="7274" w:name="_Toc19393409"/>
      <w:r>
        <w:rPr>
          <w:rFonts w:hint="cs"/>
          <w:rtl/>
        </w:rPr>
        <w:t>ביאור השער"י בדין חזקה עם ריעותא</w:t>
      </w:r>
      <w:bookmarkEnd w:id="7269"/>
      <w:bookmarkEnd w:id="7270"/>
      <w:bookmarkEnd w:id="7271"/>
      <w:bookmarkEnd w:id="7272"/>
      <w:bookmarkEnd w:id="7273"/>
      <w:bookmarkEnd w:id="7274"/>
    </w:p>
    <w:p w14:paraId="6A96998D" w14:textId="77777777" w:rsidR="00566B58" w:rsidRPr="00A36FDB" w:rsidRDefault="00566B58" w:rsidP="006D6D32">
      <w:pPr>
        <w:pStyle w:val="a3"/>
        <w:rPr>
          <w:rtl/>
        </w:rPr>
      </w:pPr>
      <w:bookmarkStart w:id="7275" w:name="_Toc527928789"/>
      <w:bookmarkStart w:id="7276" w:name="_Toc527999565"/>
      <w:bookmarkStart w:id="7277" w:name="_Toc19389913"/>
      <w:bookmarkStart w:id="7278" w:name="_Toc19393410"/>
      <w:r w:rsidRPr="001C6B9C">
        <w:rPr>
          <w:rFonts w:hint="cs"/>
          <w:rtl/>
        </w:rPr>
        <w:t xml:space="preserve">קושית השער"י </w:t>
      </w:r>
      <w:r>
        <w:rPr>
          <w:rFonts w:hint="cs"/>
          <w:rtl/>
        </w:rPr>
        <w:t>היאך מעמידים על החזקה לקולא להסוברים</w:t>
      </w:r>
      <w:r w:rsidRPr="001C6B9C">
        <w:rPr>
          <w:rFonts w:hint="cs"/>
          <w:rtl/>
        </w:rPr>
        <w:t xml:space="preserve"> דאין מעמידים בחזקה עם ריעותא</w:t>
      </w:r>
      <w:bookmarkEnd w:id="7275"/>
      <w:bookmarkEnd w:id="7276"/>
      <w:bookmarkEnd w:id="7277"/>
      <w:bookmarkEnd w:id="7278"/>
    </w:p>
    <w:p w14:paraId="2E8DB899" w14:textId="77777777" w:rsidR="00566B58" w:rsidRDefault="00566B58" w:rsidP="00223668">
      <w:pPr>
        <w:pStyle w:val="a0"/>
        <w:rPr>
          <w:rtl/>
        </w:rPr>
      </w:pPr>
      <w:r>
        <w:rPr>
          <w:rFonts w:hint="cs"/>
          <w:rtl/>
        </w:rPr>
        <w:t xml:space="preserve">במ"ש </w:t>
      </w:r>
      <w:r w:rsidRPr="00C9377E">
        <w:rPr>
          <w:rStyle w:val="af9"/>
          <w:rFonts w:hint="cs"/>
          <w:rtl/>
        </w:rPr>
        <w:t xml:space="preserve">התוס' </w:t>
      </w:r>
      <w:r w:rsidRPr="00C9377E">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Ref528000231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Pr>
          <w:rStyle w:val="af7"/>
          <w:rFonts w:eastAsia="Guttman Hodes"/>
          <w:rtl/>
        </w:rPr>
        <w:fldChar w:fldCharType="end"/>
      </w:r>
      <w:r w:rsidRPr="00C9377E">
        <w:rPr>
          <w:rStyle w:val="af7"/>
          <w:rFonts w:eastAsia="Guttman Hodes" w:hint="cs"/>
          <w:rtl/>
        </w:rPr>
        <w:t xml:space="preserve"> </w:t>
      </w:r>
      <w:r>
        <w:rPr>
          <w:rFonts w:hint="cs"/>
          <w:rtl/>
        </w:rPr>
        <w:t xml:space="preserve">דאף במקום ריעותא מעמידים על החזקה, ובבית המנוגע יש ריעותא דנמצא חסר לאחר שבעה, הקשה </w:t>
      </w:r>
      <w:r w:rsidRPr="002C01FA">
        <w:rPr>
          <w:rStyle w:val="af9"/>
          <w:rFonts w:hint="cs"/>
          <w:rtl/>
        </w:rPr>
        <w:t>השער"י</w:t>
      </w:r>
      <w:r>
        <w:rPr>
          <w:rFonts w:hint="cs"/>
          <w:rtl/>
        </w:rPr>
        <w:t xml:space="preserve"> </w:t>
      </w:r>
      <w:r w:rsidRPr="001E17A5">
        <w:rPr>
          <w:rStyle w:val="af7"/>
          <w:rFonts w:eastAsia="Guttman Hodes" w:hint="cs"/>
          <w:rtl/>
        </w:rPr>
        <w:t>(שער החזקות פי"ח)</w:t>
      </w:r>
      <w:r>
        <w:rPr>
          <w:rFonts w:hint="cs"/>
          <w:rtl/>
        </w:rPr>
        <w:t xml:space="preserve"> דלדעת </w:t>
      </w:r>
      <w:r w:rsidRPr="004F5965">
        <w:rPr>
          <w:rStyle w:val="af9"/>
          <w:rFonts w:hint="cs"/>
          <w:rtl/>
        </w:rPr>
        <w:t xml:space="preserve">הרשב"א </w:t>
      </w:r>
      <w:r w:rsidRPr="001E17A5">
        <w:rPr>
          <w:rStyle w:val="af7"/>
          <w:rFonts w:eastAsia="Guttman Hodes" w:hint="cs"/>
          <w:rtl/>
        </w:rPr>
        <w:t>(י. ד"ה ולענין)</w:t>
      </w:r>
      <w:r>
        <w:rPr>
          <w:rFonts w:hint="cs"/>
          <w:rtl/>
        </w:rPr>
        <w:t xml:space="preserve"> </w:t>
      </w:r>
      <w:r w:rsidRPr="004F5965">
        <w:rPr>
          <w:rStyle w:val="af9"/>
          <w:rFonts w:hint="cs"/>
          <w:rtl/>
        </w:rPr>
        <w:t>והר"ן</w:t>
      </w:r>
      <w:r w:rsidRPr="00DF3F85">
        <w:rPr>
          <w:rStyle w:val="af9"/>
          <w:rFonts w:hint="cs"/>
          <w:rtl/>
        </w:rPr>
        <w:t xml:space="preserve"> </w:t>
      </w:r>
      <w:r w:rsidRPr="00C85630">
        <w:rPr>
          <w:rStyle w:val="af9"/>
          <w:rFonts w:hint="cs"/>
          <w:rtl/>
        </w:rPr>
        <w:t>על הרי"ף</w:t>
      </w:r>
      <w:r>
        <w:rPr>
          <w:rFonts w:hint="cs"/>
          <w:rtl/>
        </w:rPr>
        <w:t xml:space="preserve"> </w:t>
      </w:r>
      <w:r w:rsidRPr="001E17A5">
        <w:rPr>
          <w:rStyle w:val="af7"/>
          <w:rFonts w:eastAsia="Guttman Hodes" w:hint="cs"/>
          <w:rtl/>
        </w:rPr>
        <w:t>(ג. מדפי הרי"ף ד"ה תניא, הובאו בסימן ג' אות נג)</w:t>
      </w:r>
      <w:r>
        <w:rPr>
          <w:rFonts w:hint="cs"/>
          <w:rtl/>
        </w:rPr>
        <w:t xml:space="preserve"> שכתבו בשם </w:t>
      </w:r>
      <w:r w:rsidRPr="004F5965">
        <w:rPr>
          <w:rStyle w:val="af9"/>
          <w:rFonts w:hint="cs"/>
          <w:rtl/>
        </w:rPr>
        <w:t>רבינו יונה</w:t>
      </w:r>
      <w:r>
        <w:rPr>
          <w:rFonts w:hint="cs"/>
          <w:rtl/>
        </w:rPr>
        <w:t xml:space="preserve"> דבנשמט הגף של העוף, ויש ספק אם נשמט קודם השחיטה או לאחריה, דהוא </w:t>
      </w:r>
      <w:r w:rsidRPr="008F1671">
        <w:rPr>
          <w:rFonts w:hint="cs"/>
          <w:rtl/>
        </w:rPr>
        <w:t>ספק דאו' לחומרא, דס"ל דבמקום שיש ריעותא לא מהני החזקה</w:t>
      </w:r>
      <w:r w:rsidRPr="008F1671">
        <w:rPr>
          <w:rStyle w:val="af1"/>
          <w:rtl/>
        </w:rPr>
        <w:footnoteReference w:id="45"/>
      </w:r>
      <w:r w:rsidRPr="008F1671">
        <w:rPr>
          <w:rFonts w:hint="cs"/>
          <w:rtl/>
        </w:rPr>
        <w:t>,</w:t>
      </w:r>
      <w:r w:rsidRPr="008F1671">
        <w:rPr>
          <w:rStyle w:val="afb"/>
          <w:rFonts w:hint="cs"/>
          <w:rtl/>
        </w:rPr>
        <w:t xml:space="preserve"> </w:t>
      </w:r>
      <w:r w:rsidRPr="008F1671">
        <w:rPr>
          <w:rFonts w:hint="cs"/>
          <w:rtl/>
        </w:rPr>
        <w:t xml:space="preserve">דא"כ בבית המנוגע שיש בו ריעותא, קשה אמאי </w:t>
      </w:r>
      <w:r>
        <w:rPr>
          <w:rFonts w:hint="cs"/>
          <w:rtl/>
        </w:rPr>
        <w:t>מעמידים על החזקה.</w:t>
      </w:r>
    </w:p>
    <w:p w14:paraId="0DEFA186" w14:textId="77777777" w:rsidR="00DF4DA7" w:rsidRPr="00DF4DA7" w:rsidRDefault="00DF4DA7" w:rsidP="00DF4DA7">
      <w:pPr>
        <w:pStyle w:val="a3"/>
        <w:rPr>
          <w:rtl/>
        </w:rPr>
      </w:pPr>
    </w:p>
    <w:p w14:paraId="3D144049" w14:textId="77777777" w:rsidR="00DF4DA7" w:rsidRPr="00DF4DA7" w:rsidRDefault="00DF4DA7" w:rsidP="00DF4DA7">
      <w:pPr>
        <w:pStyle w:val="a3"/>
        <w:rPr>
          <w:rtl/>
        </w:rPr>
      </w:pPr>
    </w:p>
    <w:p w14:paraId="4CF3099C" w14:textId="77777777" w:rsidR="00566B58" w:rsidRPr="001C6B9C" w:rsidRDefault="00566B58" w:rsidP="006D6D32">
      <w:pPr>
        <w:pStyle w:val="a3"/>
        <w:rPr>
          <w:rtl/>
        </w:rPr>
      </w:pPr>
      <w:bookmarkStart w:id="7279" w:name="_Toc527999566"/>
      <w:bookmarkStart w:id="7280" w:name="_Toc19389914"/>
      <w:bookmarkStart w:id="7281" w:name="_Toc19393411"/>
      <w:r>
        <w:rPr>
          <w:rFonts w:hint="cs"/>
          <w:rtl/>
        </w:rPr>
        <w:t>ביאור השער"י דדוקא בדבר שהיה בו דין חזקה אין מעמידים על חזקתו כשיש ריעותא</w:t>
      </w:r>
      <w:bookmarkEnd w:id="7279"/>
      <w:bookmarkEnd w:id="7280"/>
      <w:bookmarkEnd w:id="7281"/>
    </w:p>
    <w:p w14:paraId="22C47E64" w14:textId="77777777" w:rsidR="00566B58" w:rsidRDefault="00566B58" w:rsidP="00223668">
      <w:pPr>
        <w:pStyle w:val="a0"/>
        <w:rPr>
          <w:rtl/>
        </w:rPr>
      </w:pPr>
      <w:r>
        <w:rPr>
          <w:rFonts w:hint="cs"/>
          <w:rtl/>
        </w:rPr>
        <w:t xml:space="preserve">וכתב </w:t>
      </w:r>
      <w:r w:rsidRPr="006D2002">
        <w:rPr>
          <w:rStyle w:val="af9"/>
          <w:rFonts w:hint="cs"/>
          <w:rtl/>
        </w:rPr>
        <w:t>השער"י</w:t>
      </w:r>
      <w:r>
        <w:rPr>
          <w:rFonts w:hint="cs"/>
          <w:rtl/>
        </w:rPr>
        <w:t xml:space="preserve"> דכ"מ שכתבו </w:t>
      </w:r>
      <w:r w:rsidRPr="006D2002">
        <w:rPr>
          <w:rStyle w:val="af9"/>
          <w:rFonts w:hint="cs"/>
          <w:rtl/>
        </w:rPr>
        <w:t>רבינו יונה והרשב"א והר"ן</w:t>
      </w:r>
      <w:r>
        <w:rPr>
          <w:rFonts w:hint="cs"/>
          <w:rtl/>
        </w:rPr>
        <w:t xml:space="preserve"> דאין מעמידים על החזקה בדבר שיצא מחזקתו, היינו דוקא בדבר שמתחילתו היה בו דין חזקה, דכיון שנתברר שאף שהעמידו את העוף בחזקת שאינו טריפה, מ"מ היה בו שינוי בחזקה דנשמט הגף, לכן א"א להעמיד על החזקה ולומר שהשינוי דנשמט הגף היה לאחר השחיטה, כיון שכבר יצא שעה אחת מחזקתו.</w:t>
      </w:r>
    </w:p>
    <w:p w14:paraId="67317833" w14:textId="77777777" w:rsidR="00566B58" w:rsidRPr="00923955" w:rsidRDefault="00566B58" w:rsidP="006D6D32">
      <w:pPr>
        <w:pStyle w:val="a3"/>
        <w:rPr>
          <w:rtl/>
        </w:rPr>
      </w:pPr>
      <w:bookmarkStart w:id="7282" w:name="_Toc527999567"/>
      <w:bookmarkStart w:id="7283" w:name="_Toc19389915"/>
      <w:bookmarkStart w:id="7284" w:name="_Toc19393412"/>
      <w:r>
        <w:rPr>
          <w:rFonts w:hint="cs"/>
          <w:rtl/>
        </w:rPr>
        <w:t>ביאור השער"י דבנגע אחר שטימא הכהן א"צ לדין חזקה ולכן אף כשנחסר אי"ז חשיב ריעותא</w:t>
      </w:r>
      <w:bookmarkEnd w:id="7282"/>
      <w:bookmarkEnd w:id="7283"/>
      <w:bookmarkEnd w:id="7284"/>
    </w:p>
    <w:p w14:paraId="6FDD2D5E" w14:textId="77777777" w:rsidR="00566B58" w:rsidRDefault="00566B58" w:rsidP="00223668">
      <w:pPr>
        <w:pStyle w:val="a0"/>
        <w:rPr>
          <w:rtl/>
        </w:rPr>
      </w:pPr>
      <w:r>
        <w:rPr>
          <w:rFonts w:hint="cs"/>
          <w:rtl/>
        </w:rPr>
        <w:t xml:space="preserve">אבל בדין נגע ביאר </w:t>
      </w:r>
      <w:r w:rsidRPr="006D2002">
        <w:rPr>
          <w:rStyle w:val="af9"/>
          <w:rFonts w:hint="cs"/>
          <w:rtl/>
        </w:rPr>
        <w:t>השער"י</w:t>
      </w:r>
      <w:r>
        <w:rPr>
          <w:rFonts w:hint="cs"/>
          <w:rtl/>
        </w:rPr>
        <w:t xml:space="preserve"> דכיון שאחר שהכהן טימא את הבית, א"צ להעמידו על חזקתו, דאף אם נחסר הנגע הוא עדיין טמא, וכל מה שצריך להעמיד על החזקה הוא בזמן שטימא הכהן, לכן אף שלאחר השבוע נמצא שנחסר הנגע, אי"ז ריעותא בחזקה, דמזמן יציאת הכהן מהבית ועד סוף השבוע, לא העמדנו את הנגע בחזקתו כלל, דאף אם הוא חסר הוא טמא. </w:t>
      </w:r>
    </w:p>
    <w:p w14:paraId="13225E1F" w14:textId="77777777" w:rsidR="00566B58" w:rsidRDefault="00566B58" w:rsidP="006D6D32">
      <w:pPr>
        <w:pStyle w:val="a3"/>
        <w:rPr>
          <w:rtl/>
        </w:rPr>
      </w:pPr>
      <w:bookmarkStart w:id="7285" w:name="_Toc527999568"/>
      <w:bookmarkStart w:id="7286" w:name="_Toc19389916"/>
      <w:bookmarkStart w:id="7287" w:name="_Toc19393413"/>
      <w:r>
        <w:rPr>
          <w:rFonts w:hint="cs"/>
          <w:rtl/>
        </w:rPr>
        <w:t>דברי השער"י בביאור התוס' בנדה דבנגע אין ריעותא בחזקה כיון שהיה טמה מגזיה"כ</w:t>
      </w:r>
      <w:bookmarkEnd w:id="7285"/>
      <w:bookmarkEnd w:id="7286"/>
      <w:bookmarkEnd w:id="7287"/>
    </w:p>
    <w:p w14:paraId="28817F30" w14:textId="77777777" w:rsidR="00566B58" w:rsidRPr="00FF5773" w:rsidRDefault="00566B58" w:rsidP="00223668">
      <w:pPr>
        <w:pStyle w:val="a0"/>
        <w:rPr>
          <w:rtl/>
        </w:rPr>
      </w:pPr>
      <w:bookmarkStart w:id="7288" w:name="_Ref527998685"/>
      <w:r>
        <w:rPr>
          <w:rFonts w:hint="cs"/>
          <w:rtl/>
        </w:rPr>
        <w:t>ובזה ביאר</w:t>
      </w:r>
      <w:r w:rsidRPr="00C72654">
        <w:rPr>
          <w:rStyle w:val="af9"/>
          <w:rFonts w:hint="cs"/>
          <w:rtl/>
        </w:rPr>
        <w:t xml:space="preserve"> השער"י </w:t>
      </w:r>
      <w:r w:rsidRPr="00F86424">
        <w:rPr>
          <w:rStyle w:val="af7"/>
          <w:rFonts w:eastAsia="Guttman Hodes" w:hint="cs"/>
          <w:rtl/>
        </w:rPr>
        <w:t>(שער החזקות פי"ח ד"ה ודבר זה למדתי)</w:t>
      </w:r>
      <w:r>
        <w:rPr>
          <w:rFonts w:hint="cs"/>
          <w:rtl/>
        </w:rPr>
        <w:t xml:space="preserve"> את דברי </w:t>
      </w:r>
      <w:r w:rsidRPr="00F86424">
        <w:rPr>
          <w:rStyle w:val="af9"/>
          <w:rFonts w:hint="cs"/>
          <w:rtl/>
        </w:rPr>
        <w:t>התוס' בנדה</w:t>
      </w:r>
      <w:r w:rsidRPr="00F86424">
        <w:rPr>
          <w:rStyle w:val="af7"/>
          <w:rFonts w:eastAsia="Guttman Hodes" w:hint="cs"/>
          <w:rtl/>
        </w:rPr>
        <w:t xml:space="preserve"> (עי' אות </w:t>
      </w:r>
      <w:r w:rsidRPr="00F86424">
        <w:rPr>
          <w:rStyle w:val="af7"/>
          <w:rFonts w:eastAsia="Guttman Hodes"/>
          <w:rtl/>
        </w:rPr>
        <w:fldChar w:fldCharType="begin"/>
      </w:r>
      <w:r w:rsidRPr="00F86424">
        <w:rPr>
          <w:rStyle w:val="af7"/>
          <w:rFonts w:eastAsia="Guttman Hodes"/>
          <w:rtl/>
        </w:rPr>
        <w:instrText xml:space="preserve"> </w:instrText>
      </w:r>
      <w:r w:rsidRPr="00F86424">
        <w:rPr>
          <w:rStyle w:val="af7"/>
          <w:rFonts w:eastAsia="Guttman Hodes" w:hint="cs"/>
        </w:rPr>
        <w:instrText>REF</w:instrText>
      </w:r>
      <w:r w:rsidRPr="00F86424">
        <w:rPr>
          <w:rStyle w:val="af7"/>
          <w:rFonts w:eastAsia="Guttman Hodes" w:hint="cs"/>
          <w:rtl/>
        </w:rPr>
        <w:instrText xml:space="preserve"> _</w:instrText>
      </w:r>
      <w:r w:rsidRPr="00F86424">
        <w:rPr>
          <w:rStyle w:val="af7"/>
          <w:rFonts w:eastAsia="Guttman Hodes" w:hint="cs"/>
        </w:rPr>
        <w:instrText>Ref527491955 \r \h</w:instrText>
      </w:r>
      <w:r w:rsidRPr="00F86424">
        <w:rPr>
          <w:rStyle w:val="af7"/>
          <w:rFonts w:eastAsia="Guttman Hodes"/>
          <w:rtl/>
        </w:rPr>
        <w:instrText xml:space="preserve"> </w:instrText>
      </w:r>
      <w:r w:rsidRPr="00F86424">
        <w:rPr>
          <w:rStyle w:val="af7"/>
          <w:rFonts w:eastAsia="Guttman Hodes"/>
          <w:rtl/>
        </w:rPr>
      </w:r>
      <w:r w:rsidRPr="00F86424">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F86424">
        <w:rPr>
          <w:rStyle w:val="af7"/>
          <w:rFonts w:eastAsia="Guttman Hodes"/>
          <w:rtl/>
        </w:rPr>
        <w:fldChar w:fldCharType="end"/>
      </w:r>
      <w:r>
        <w:rPr>
          <w:rFonts w:hint="cs"/>
          <w:rtl/>
        </w:rPr>
        <w:t xml:space="preserve"> דהוסיפו שאחר שטימא הכהן יש גזיה"כ דהבית טמא, ותמה </w:t>
      </w:r>
      <w:r w:rsidRPr="00F86424">
        <w:rPr>
          <w:rStyle w:val="af9"/>
          <w:rFonts w:hint="cs"/>
          <w:rtl/>
        </w:rPr>
        <w:t>המהר"ם</w:t>
      </w:r>
      <w:r>
        <w:rPr>
          <w:rFonts w:hint="cs"/>
          <w:rtl/>
        </w:rPr>
        <w:t xml:space="preserve"> </w:t>
      </w:r>
      <w:r w:rsidRPr="00F86424">
        <w:rPr>
          <w:rStyle w:val="af7"/>
          <w:rFonts w:eastAsia="Guttman Hodes" w:hint="cs"/>
          <w:rtl/>
        </w:rPr>
        <w:t xml:space="preserve">(עי' אות </w:t>
      </w:r>
      <w:r w:rsidRPr="00F86424">
        <w:rPr>
          <w:rStyle w:val="af7"/>
          <w:rFonts w:eastAsia="Guttman Hodes"/>
          <w:rtl/>
        </w:rPr>
        <w:fldChar w:fldCharType="begin"/>
      </w:r>
      <w:r w:rsidRPr="00F86424">
        <w:rPr>
          <w:rStyle w:val="af7"/>
          <w:rFonts w:eastAsia="Guttman Hodes"/>
          <w:rtl/>
        </w:rPr>
        <w:instrText xml:space="preserve"> </w:instrText>
      </w:r>
      <w:r w:rsidRPr="00F86424">
        <w:rPr>
          <w:rStyle w:val="af7"/>
          <w:rFonts w:eastAsia="Guttman Hodes" w:hint="cs"/>
        </w:rPr>
        <w:instrText>REF</w:instrText>
      </w:r>
      <w:r w:rsidRPr="00F86424">
        <w:rPr>
          <w:rStyle w:val="af7"/>
          <w:rFonts w:eastAsia="Guttman Hodes" w:hint="cs"/>
          <w:rtl/>
        </w:rPr>
        <w:instrText xml:space="preserve"> _</w:instrText>
      </w:r>
      <w:r w:rsidRPr="00F86424">
        <w:rPr>
          <w:rStyle w:val="af7"/>
          <w:rFonts w:eastAsia="Guttman Hodes" w:hint="cs"/>
        </w:rPr>
        <w:instrText>Ref527998541 \r \h</w:instrText>
      </w:r>
      <w:r w:rsidRPr="00F86424">
        <w:rPr>
          <w:rStyle w:val="af7"/>
          <w:rFonts w:eastAsia="Guttman Hodes"/>
          <w:rtl/>
        </w:rPr>
        <w:instrText xml:space="preserve"> </w:instrText>
      </w:r>
      <w:r w:rsidRPr="00F86424">
        <w:rPr>
          <w:rStyle w:val="af7"/>
          <w:rFonts w:eastAsia="Guttman Hodes"/>
          <w:rtl/>
        </w:rPr>
      </w:r>
      <w:r w:rsidRPr="00F86424">
        <w:rPr>
          <w:rStyle w:val="af7"/>
          <w:rFonts w:eastAsia="Guttman Hodes"/>
          <w:rtl/>
        </w:rPr>
        <w:fldChar w:fldCharType="separate"/>
      </w:r>
      <w:r w:rsidR="00345400">
        <w:rPr>
          <w:rStyle w:val="af7"/>
          <w:rFonts w:eastAsia="Guttman Hodes"/>
          <w:cs/>
        </w:rPr>
        <w:t>‎</w:t>
      </w:r>
      <w:r w:rsidR="00345400">
        <w:rPr>
          <w:rStyle w:val="af7"/>
          <w:rFonts w:eastAsia="Guttman Hodes"/>
          <w:rtl/>
        </w:rPr>
        <w:t>סא)</w:t>
      </w:r>
      <w:r w:rsidRPr="00F86424">
        <w:rPr>
          <w:rStyle w:val="af7"/>
          <w:rFonts w:eastAsia="Guttman Hodes"/>
          <w:rtl/>
        </w:rPr>
        <w:fldChar w:fldCharType="end"/>
      </w:r>
      <w:r>
        <w:rPr>
          <w:rFonts w:hint="cs"/>
          <w:rtl/>
        </w:rPr>
        <w:t xml:space="preserve"> דמה כוונת</w:t>
      </w:r>
      <w:r w:rsidRPr="00F86424">
        <w:rPr>
          <w:rStyle w:val="af9"/>
          <w:rFonts w:hint="cs"/>
          <w:rtl/>
        </w:rPr>
        <w:t xml:space="preserve"> התוס' בנדה</w:t>
      </w:r>
      <w:r>
        <w:rPr>
          <w:rFonts w:hint="cs"/>
          <w:rtl/>
        </w:rPr>
        <w:t xml:space="preserve"> להוסיף בזה, וכתב </w:t>
      </w:r>
      <w:r w:rsidRPr="00F86424">
        <w:rPr>
          <w:rStyle w:val="af9"/>
          <w:rFonts w:hint="cs"/>
          <w:rtl/>
        </w:rPr>
        <w:t>השער"י</w:t>
      </w:r>
      <w:r>
        <w:rPr>
          <w:rFonts w:hint="cs"/>
          <w:rtl/>
        </w:rPr>
        <w:t xml:space="preserve"> דס"ל </w:t>
      </w:r>
      <w:r w:rsidRPr="00F86424">
        <w:rPr>
          <w:rStyle w:val="af9"/>
          <w:rFonts w:hint="cs"/>
          <w:rtl/>
        </w:rPr>
        <w:t>להתוס' בנדה</w:t>
      </w:r>
      <w:r>
        <w:rPr>
          <w:rFonts w:hint="cs"/>
          <w:rtl/>
        </w:rPr>
        <w:t xml:space="preserve"> כמו שביאר </w:t>
      </w:r>
      <w:r w:rsidRPr="00F86424">
        <w:rPr>
          <w:rStyle w:val="af9"/>
          <w:rFonts w:hint="cs"/>
          <w:rtl/>
        </w:rPr>
        <w:t>השער"י</w:t>
      </w:r>
      <w:r>
        <w:rPr>
          <w:rFonts w:hint="cs"/>
          <w:rtl/>
        </w:rPr>
        <w:t xml:space="preserve"> בדעת </w:t>
      </w:r>
      <w:r w:rsidRPr="00F86424">
        <w:rPr>
          <w:rStyle w:val="af9"/>
          <w:rFonts w:hint="cs"/>
          <w:rtl/>
        </w:rPr>
        <w:t>רבינו יונה</w:t>
      </w:r>
      <w:r>
        <w:rPr>
          <w:rFonts w:hint="cs"/>
          <w:rtl/>
        </w:rPr>
        <w:t xml:space="preserve"> דמה שנמצא הנגע חסר בסוף השבוע אינו עושה ריעותא בחזקה כלל, ולכן אין החסר לפניך מצטרף לתרתי לריעותא, דלא חשיב שיצא הנגע מחזקתו, דלאחר שטימא הכהן, א"צ להעמידו על חזקתו דאף אם יתחסר הוא טמא. ולכן אף שכבר תירצו </w:t>
      </w:r>
      <w:r w:rsidRPr="00F86424">
        <w:rPr>
          <w:rStyle w:val="af9"/>
          <w:rFonts w:hint="cs"/>
          <w:rtl/>
        </w:rPr>
        <w:t>התוס' בנדה</w:t>
      </w:r>
      <w:r>
        <w:rPr>
          <w:rFonts w:hint="cs"/>
          <w:rtl/>
        </w:rPr>
        <w:t xml:space="preserve"> דנגע לא דמי למקוה, דבמקוה יש את סברת חסר ואתאי, ואילו בנגע הדרך שמתחסר בבת אחת, עדיין הוקשה להם דהוא חזקה שיש בה ריעותא, ולכן ביארו דאי"ז נחשב לריעותא.</w:t>
      </w:r>
      <w:bookmarkEnd w:id="7288"/>
    </w:p>
    <w:p w14:paraId="0AF9298F" w14:textId="77777777" w:rsidR="00566B58" w:rsidRPr="00FB6B74" w:rsidRDefault="00566B58" w:rsidP="00566B58">
      <w:pPr>
        <w:bidi w:val="0"/>
        <w:ind w:left="0"/>
        <w:jc w:val="left"/>
        <w:rPr>
          <w:rFonts w:eastAsia="Guttman Hodes" w:cs="Guttman Hodes"/>
          <w:sz w:val="12"/>
          <w:szCs w:val="12"/>
          <w:highlight w:val="yellow"/>
          <w:rtl/>
        </w:rPr>
        <w:sectPr w:rsidR="00566B58" w:rsidRPr="00FB6B74" w:rsidSect="00DF4DA7">
          <w:type w:val="continuous"/>
          <w:pgSz w:w="11906" w:h="16838"/>
          <w:pgMar w:top="720" w:right="720" w:bottom="720" w:left="720" w:header="283" w:footer="283" w:gutter="0"/>
          <w:cols w:num="2" w:space="567"/>
          <w:titlePg/>
          <w:bidi/>
          <w:rtlGutter/>
          <w:docGrid w:linePitch="299"/>
        </w:sectPr>
      </w:pPr>
    </w:p>
    <w:p w14:paraId="13BC139E" w14:textId="77777777" w:rsidR="00FF5773" w:rsidRDefault="00FF5773" w:rsidP="008F511D">
      <w:pPr>
        <w:tabs>
          <w:tab w:val="left" w:pos="1163"/>
        </w:tabs>
        <w:spacing w:line="240" w:lineRule="auto"/>
        <w:ind w:left="0"/>
        <w:jc w:val="center"/>
        <w:rPr>
          <w:rFonts w:ascii="Guttman Hodes" w:eastAsia="Guttman Hodes" w:hAnsi="Guttman Hodes" w:cs="Guttman Hodes"/>
          <w:noProof/>
          <w:sz w:val="18"/>
          <w:szCs w:val="18"/>
        </w:rPr>
        <w:sectPr w:rsidR="00FF5773">
          <w:type w:val="continuous"/>
          <w:pgSz w:w="11906" w:h="16838"/>
          <w:pgMar w:top="720" w:right="720" w:bottom="720" w:left="720" w:header="283" w:footer="283" w:gutter="0"/>
          <w:cols w:space="720"/>
          <w:bidi/>
          <w:rtlGutter/>
        </w:sectPr>
      </w:pPr>
    </w:p>
    <w:p w14:paraId="31493E82" w14:textId="77777777" w:rsidR="0065529E" w:rsidRDefault="0065529E" w:rsidP="008F511D">
      <w:pPr>
        <w:bidi w:val="0"/>
        <w:ind w:left="0"/>
        <w:jc w:val="left"/>
        <w:rPr>
          <w:rFonts w:eastAsia="Guttman Hodes" w:cs="Guttman Hodes"/>
          <w:bCs/>
          <w:noProof/>
          <w:sz w:val="18"/>
          <w:szCs w:val="18"/>
        </w:rPr>
        <w:sectPr w:rsidR="0065529E" w:rsidSect="00FF5773">
          <w:type w:val="continuous"/>
          <w:pgSz w:w="11906" w:h="16838"/>
          <w:pgMar w:top="720" w:right="720" w:bottom="720" w:left="720" w:header="283" w:footer="283" w:gutter="0"/>
          <w:cols w:num="2" w:space="567"/>
          <w:bidi/>
          <w:rtlGutter/>
        </w:sectPr>
      </w:pPr>
    </w:p>
    <w:p w14:paraId="61EFDE36" w14:textId="77777777" w:rsidR="00FF5773" w:rsidRPr="00055220" w:rsidRDefault="00FF5773" w:rsidP="008F511D">
      <w:pPr>
        <w:bidi w:val="0"/>
        <w:ind w:left="0"/>
        <w:jc w:val="left"/>
        <w:rPr>
          <w:rFonts w:eastAsia="Guttman Hodes" w:cs="Guttman Hodes"/>
          <w:bCs/>
          <w:noProof/>
          <w:sz w:val="18"/>
          <w:szCs w:val="18"/>
          <w:rtl/>
        </w:rPr>
        <w:sectPr w:rsidR="00FF5773" w:rsidRPr="00055220" w:rsidSect="00FF5773">
          <w:type w:val="continuous"/>
          <w:pgSz w:w="11906" w:h="16838"/>
          <w:pgMar w:top="720" w:right="720" w:bottom="720" w:left="720" w:header="283" w:footer="283" w:gutter="0"/>
          <w:cols w:num="2" w:space="567"/>
          <w:bidi/>
          <w:rtlGutter/>
        </w:sectPr>
      </w:pPr>
    </w:p>
    <w:p w14:paraId="4A2CA76A" w14:textId="77777777" w:rsidR="00744111" w:rsidRDefault="00744111" w:rsidP="006D6D32">
      <w:pPr>
        <w:pStyle w:val="afd"/>
      </w:pPr>
      <w:bookmarkStart w:id="7289" w:name="_Toc534142070"/>
      <w:bookmarkStart w:id="7290" w:name="_Toc16669736"/>
      <w:bookmarkStart w:id="7291" w:name="_Toc19435494"/>
      <w:bookmarkStart w:id="7292" w:name="_Toc20080802"/>
      <w:r>
        <w:rPr>
          <w:rFonts w:hint="cs"/>
          <w:rtl/>
        </w:rPr>
        <w:t>סימן ח'</w:t>
      </w:r>
      <w:bookmarkEnd w:id="7289"/>
      <w:bookmarkEnd w:id="7290"/>
      <w:bookmarkEnd w:id="7291"/>
      <w:bookmarkEnd w:id="7292"/>
    </w:p>
    <w:p w14:paraId="2E1F79A1" w14:textId="77777777" w:rsidR="00744111" w:rsidRDefault="00744111" w:rsidP="006D6D32">
      <w:pPr>
        <w:pStyle w:val="afd"/>
        <w:rPr>
          <w:rtl/>
        </w:rPr>
      </w:pPr>
      <w:bookmarkStart w:id="7293" w:name="_Toc534142071"/>
      <w:bookmarkStart w:id="7294" w:name="_Toc16669737"/>
      <w:bookmarkStart w:id="7295" w:name="_Toc19435495"/>
      <w:bookmarkStart w:id="7296" w:name="_Toc20080803"/>
      <w:r w:rsidRPr="006961AC">
        <w:rPr>
          <w:rFonts w:hint="cs"/>
          <w:rtl/>
        </w:rPr>
        <w:t>ב</w:t>
      </w:r>
      <w:r>
        <w:rPr>
          <w:rFonts w:hint="cs"/>
          <w:rtl/>
        </w:rPr>
        <w:t>סוגיא</w:t>
      </w:r>
      <w:r w:rsidRPr="006961AC">
        <w:rPr>
          <w:rFonts w:hint="cs"/>
          <w:rtl/>
        </w:rPr>
        <w:t xml:space="preserve"> </w:t>
      </w:r>
      <w:r>
        <w:rPr>
          <w:rFonts w:hint="cs"/>
          <w:rtl/>
        </w:rPr>
        <w:t>ד</w:t>
      </w:r>
      <w:r w:rsidRPr="006961AC">
        <w:rPr>
          <w:rFonts w:hint="cs"/>
          <w:rtl/>
        </w:rPr>
        <w:t>רוב</w:t>
      </w:r>
      <w:r>
        <w:rPr>
          <w:rFonts w:hint="cs"/>
          <w:rtl/>
        </w:rPr>
        <w:t xml:space="preserve"> (א')</w:t>
      </w:r>
      <w:bookmarkEnd w:id="7293"/>
      <w:bookmarkEnd w:id="7294"/>
      <w:bookmarkEnd w:id="7295"/>
      <w:bookmarkEnd w:id="7296"/>
    </w:p>
    <w:p w14:paraId="0889F374" w14:textId="77777777" w:rsidR="00744111" w:rsidRPr="006961AC" w:rsidRDefault="00744111" w:rsidP="006D6D32">
      <w:pPr>
        <w:pStyle w:val="afd"/>
        <w:rPr>
          <w:rtl/>
        </w:rPr>
      </w:pPr>
      <w:bookmarkStart w:id="7297" w:name="_Toc534142072"/>
      <w:bookmarkStart w:id="7298" w:name="_Toc16669738"/>
      <w:bookmarkStart w:id="7299" w:name="_Toc19435496"/>
      <w:bookmarkStart w:id="7300" w:name="_Toc20080804"/>
      <w:r>
        <w:rPr>
          <w:rFonts w:hint="cs"/>
          <w:rtl/>
        </w:rPr>
        <w:t>בביאור הילפותא וגדר הדין ברובא דאיתא קמן וליתא קמן</w:t>
      </w:r>
      <w:bookmarkEnd w:id="7297"/>
      <w:bookmarkEnd w:id="7298"/>
      <w:bookmarkEnd w:id="7299"/>
      <w:bookmarkEnd w:id="7300"/>
    </w:p>
    <w:p w14:paraId="2F4D5413" w14:textId="77777777" w:rsidR="00744111" w:rsidRDefault="000A0C31" w:rsidP="00744111">
      <w:pPr>
        <w:pStyle w:val="2"/>
        <w:rPr>
          <w:rtl/>
        </w:rPr>
      </w:pPr>
      <w:r>
        <w:rPr>
          <w:rFonts w:hint="cs"/>
          <w:rtl/>
        </w:rPr>
        <w:t>מפתח הסוגיא</w:t>
      </w:r>
    </w:p>
    <w:p w14:paraId="449F39D0" w14:textId="77777777" w:rsidR="00744111" w:rsidRDefault="00744111" w:rsidP="00744111">
      <w:pPr>
        <w:pStyle w:val="aff4"/>
        <w:rPr>
          <w:rtl/>
        </w:rPr>
        <w:sectPr w:rsidR="00744111" w:rsidSect="00DF4DA7">
          <w:headerReference w:type="default" r:id="rId56"/>
          <w:headerReference w:type="first" r:id="rId57"/>
          <w:footerReference w:type="first" r:id="rId58"/>
          <w:pgSz w:w="11906" w:h="16838"/>
          <w:pgMar w:top="720" w:right="720" w:bottom="720" w:left="720" w:header="283" w:footer="283" w:gutter="0"/>
          <w:cols w:space="170"/>
          <w:bidi/>
          <w:rtlGutter/>
          <w:docGrid w:linePitch="299"/>
        </w:sectPr>
      </w:pPr>
    </w:p>
    <w:p w14:paraId="2B79C365" w14:textId="77777777" w:rsidR="00744111" w:rsidRDefault="00744111" w:rsidP="00744111">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bookmarkStart w:id="7301" w:name="_Toc19435498"/>
      <w:r>
        <w:rPr>
          <w:noProof/>
          <w:rtl/>
        </w:rPr>
        <w:t>מראי מקומות וביאורים על הסוגיא</w:t>
      </w:r>
      <w:bookmarkEnd w:id="7301"/>
    </w:p>
    <w:p w14:paraId="7949C391" w14:textId="77777777" w:rsidR="00744111" w:rsidRDefault="00744111" w:rsidP="00744111">
      <w:pPr>
        <w:pStyle w:val="2"/>
        <w:rPr>
          <w:rFonts w:eastAsiaTheme="minorEastAsia" w:cstheme="minorBidi"/>
          <w:i/>
          <w:iCs/>
          <w:noProof/>
          <w:sz w:val="22"/>
          <w:szCs w:val="22"/>
          <w:rtl/>
        </w:rPr>
      </w:pPr>
      <w:bookmarkStart w:id="7302" w:name="_Toc19435499"/>
      <w:r>
        <w:rPr>
          <w:noProof/>
          <w:rtl/>
        </w:rPr>
        <w:t>בביאור על מה קאי הנדון ברוב</w:t>
      </w:r>
      <w:bookmarkEnd w:id="7302"/>
    </w:p>
    <w:p w14:paraId="1DE095A0" w14:textId="77777777" w:rsidR="00744111" w:rsidRDefault="00744111" w:rsidP="00744111">
      <w:pPr>
        <w:pStyle w:val="aff4"/>
        <w:rPr>
          <w:rFonts w:eastAsiaTheme="minorEastAsia" w:cstheme="minorBidi"/>
          <w:i/>
          <w:iCs/>
          <w:noProof/>
          <w:sz w:val="22"/>
          <w:szCs w:val="22"/>
          <w:rtl/>
        </w:rPr>
      </w:pPr>
      <w:bookmarkStart w:id="7303" w:name="_Toc19435500"/>
      <w:bookmarkStart w:id="7304" w:name="_Toc20080805"/>
      <w:r>
        <w:rPr>
          <w:noProof/>
          <w:rtl/>
        </w:rPr>
        <w:t>פלוגתת רש"י והר"ן על מה הנדון ברוב</w:t>
      </w:r>
      <w:bookmarkEnd w:id="7303"/>
      <w:bookmarkEnd w:id="7304"/>
    </w:p>
    <w:p w14:paraId="4BD8F005" w14:textId="77777777" w:rsidR="00F2685C" w:rsidRPr="005077A7" w:rsidRDefault="00F2685C" w:rsidP="00E12979">
      <w:pPr>
        <w:pStyle w:val="a"/>
        <w:numPr>
          <w:ilvl w:val="0"/>
          <w:numId w:val="25"/>
        </w:numPr>
        <w:rPr>
          <w:rFonts w:eastAsiaTheme="minorEastAsia" w:cstheme="minorBidi"/>
          <w:noProof/>
          <w:sz w:val="22"/>
          <w:szCs w:val="22"/>
        </w:rPr>
      </w:pPr>
      <w:r w:rsidRPr="00F2685C">
        <w:rPr>
          <w:noProof/>
          <w:rtl/>
        </w:rPr>
        <w:t xml:space="preserve">דברי רש"י דהנדון במקור לרוב הוא אגב הנדון במקור לחזקה </w:t>
      </w:r>
    </w:p>
    <w:p w14:paraId="5C7CC1F0" w14:textId="77777777" w:rsidR="00744111" w:rsidRDefault="00744111" w:rsidP="005077A7">
      <w:pPr>
        <w:pStyle w:val="a"/>
        <w:rPr>
          <w:rFonts w:eastAsiaTheme="minorEastAsia" w:cstheme="minorBidi"/>
          <w:noProof/>
          <w:sz w:val="22"/>
          <w:szCs w:val="22"/>
          <w:rtl/>
        </w:rPr>
      </w:pPr>
      <w:r>
        <w:rPr>
          <w:noProof/>
          <w:rtl/>
        </w:rPr>
        <w:t>דברי הר"ן הנדון בדין חזקה הוא ברישא דרב הונא והנדון לקמן בדין רוב הוא בסיפא דרב הונא</w:t>
      </w:r>
    </w:p>
    <w:p w14:paraId="3928F106" w14:textId="77777777" w:rsidR="00744111" w:rsidRDefault="00744111" w:rsidP="005077A7">
      <w:pPr>
        <w:pStyle w:val="a"/>
        <w:rPr>
          <w:rFonts w:eastAsiaTheme="minorEastAsia" w:cstheme="minorBidi"/>
          <w:noProof/>
          <w:sz w:val="22"/>
          <w:szCs w:val="22"/>
          <w:rtl/>
        </w:rPr>
      </w:pPr>
      <w:r>
        <w:rPr>
          <w:noProof/>
          <w:rtl/>
        </w:rPr>
        <w:t>דברי הר"ן דהגמ' לא הביאה בפירוש את דברי רב הונא דאינו משנה</w:t>
      </w:r>
    </w:p>
    <w:p w14:paraId="72B34F0A" w14:textId="77777777" w:rsidR="00744111" w:rsidRDefault="00744111" w:rsidP="005077A7">
      <w:pPr>
        <w:pStyle w:val="a"/>
        <w:rPr>
          <w:rFonts w:eastAsiaTheme="minorEastAsia" w:cstheme="minorBidi"/>
          <w:noProof/>
          <w:sz w:val="22"/>
          <w:szCs w:val="22"/>
          <w:rtl/>
        </w:rPr>
      </w:pPr>
      <w:r>
        <w:rPr>
          <w:noProof/>
          <w:rtl/>
        </w:rPr>
        <w:t>ביאור השיטמ"ק דרש"י ס"ל דהנדון ברוב ג"כ אינו שייך לדברי רב הונא ודלא כהר"ן</w:t>
      </w:r>
    </w:p>
    <w:p w14:paraId="63EC26FF" w14:textId="77777777" w:rsidR="00744111" w:rsidRDefault="00744111" w:rsidP="00744111">
      <w:pPr>
        <w:pStyle w:val="2"/>
        <w:rPr>
          <w:rFonts w:eastAsiaTheme="minorEastAsia" w:cstheme="minorBidi"/>
          <w:i/>
          <w:iCs/>
          <w:noProof/>
          <w:sz w:val="22"/>
          <w:szCs w:val="22"/>
          <w:rtl/>
        </w:rPr>
      </w:pPr>
      <w:bookmarkStart w:id="7305" w:name="_Toc19435501"/>
      <w:r>
        <w:rPr>
          <w:noProof/>
          <w:rtl/>
        </w:rPr>
        <w:t>בקושית התוס' דנילף רוב מחזקה בק"ו</w:t>
      </w:r>
      <w:bookmarkEnd w:id="7305"/>
    </w:p>
    <w:p w14:paraId="75A0E1EB" w14:textId="77777777" w:rsidR="00744111" w:rsidRDefault="00744111" w:rsidP="00744111">
      <w:pPr>
        <w:pStyle w:val="aff4"/>
        <w:rPr>
          <w:rFonts w:eastAsiaTheme="minorEastAsia" w:cstheme="minorBidi"/>
          <w:i/>
          <w:iCs/>
          <w:noProof/>
          <w:sz w:val="22"/>
          <w:szCs w:val="22"/>
          <w:rtl/>
        </w:rPr>
      </w:pPr>
      <w:bookmarkStart w:id="7306" w:name="_Toc19435502"/>
      <w:bookmarkStart w:id="7307" w:name="_Toc20080806"/>
      <w:r>
        <w:rPr>
          <w:noProof/>
          <w:rtl/>
        </w:rPr>
        <w:t>קושית התוס' דנילף רוב מחזקה בק"ו דהא עדיף ממנה</w:t>
      </w:r>
      <w:bookmarkEnd w:id="7306"/>
      <w:bookmarkEnd w:id="7307"/>
    </w:p>
    <w:p w14:paraId="3807FA0B" w14:textId="77777777" w:rsidR="00744111" w:rsidRDefault="00744111" w:rsidP="005077A7">
      <w:pPr>
        <w:pStyle w:val="a"/>
        <w:rPr>
          <w:rFonts w:eastAsiaTheme="minorEastAsia" w:cstheme="minorBidi"/>
          <w:noProof/>
          <w:sz w:val="22"/>
          <w:szCs w:val="22"/>
          <w:rtl/>
        </w:rPr>
      </w:pPr>
      <w:r>
        <w:rPr>
          <w:noProof/>
          <w:rtl/>
        </w:rPr>
        <w:t>קושית התוס' דכיון שרוב עדיף מחזקה נילף מבית המנוגע את דין רוב בק"ו מחזקה</w:t>
      </w:r>
    </w:p>
    <w:p w14:paraId="251053A3" w14:textId="77777777" w:rsidR="00744111" w:rsidRDefault="00744111" w:rsidP="00744111">
      <w:pPr>
        <w:pStyle w:val="aff4"/>
        <w:rPr>
          <w:rFonts w:eastAsiaTheme="minorEastAsia" w:cstheme="minorBidi"/>
          <w:i/>
          <w:iCs/>
          <w:noProof/>
          <w:sz w:val="22"/>
          <w:szCs w:val="22"/>
          <w:rtl/>
        </w:rPr>
      </w:pPr>
      <w:bookmarkStart w:id="7308" w:name="_Toc19435503"/>
      <w:bookmarkStart w:id="7309" w:name="_Toc20080807"/>
      <w:r>
        <w:rPr>
          <w:noProof/>
          <w:rtl/>
        </w:rPr>
        <w:t>תירוץ התוס' דקושית הגמ' למ"ד דאין ילפותא לחזקה</w:t>
      </w:r>
      <w:bookmarkEnd w:id="7308"/>
      <w:bookmarkEnd w:id="7309"/>
    </w:p>
    <w:p w14:paraId="7E654D4F" w14:textId="77777777" w:rsidR="00744111" w:rsidRDefault="00744111" w:rsidP="005077A7">
      <w:pPr>
        <w:pStyle w:val="a"/>
        <w:rPr>
          <w:rFonts w:eastAsiaTheme="minorEastAsia" w:cstheme="minorBidi"/>
          <w:noProof/>
          <w:sz w:val="22"/>
          <w:szCs w:val="22"/>
          <w:rtl/>
        </w:rPr>
      </w:pPr>
      <w:r>
        <w:rPr>
          <w:noProof/>
          <w:rtl/>
        </w:rPr>
        <w:t>תירוץ התוס' דכל קושית הגמ' היא למ"ד דלא ילפינן מבית המנוגע וביאר המהרש"א דהוא הלמ"מ</w:t>
      </w:r>
    </w:p>
    <w:p w14:paraId="0F53B947" w14:textId="77777777" w:rsidR="00744111" w:rsidRDefault="00744111" w:rsidP="005077A7">
      <w:pPr>
        <w:pStyle w:val="a"/>
        <w:rPr>
          <w:rFonts w:eastAsiaTheme="minorEastAsia" w:cstheme="minorBidi"/>
          <w:noProof/>
          <w:sz w:val="22"/>
          <w:szCs w:val="22"/>
          <w:rtl/>
        </w:rPr>
      </w:pPr>
      <w:r>
        <w:rPr>
          <w:noProof/>
          <w:rtl/>
        </w:rPr>
        <w:t>דברי הרשב"א דדברי רב אחא הם דיחוי בעלמא וילפינן מבית המנוגע</w:t>
      </w:r>
    </w:p>
    <w:p w14:paraId="19F789B9" w14:textId="77777777" w:rsidR="00744111" w:rsidRDefault="00744111" w:rsidP="00744111">
      <w:pPr>
        <w:pStyle w:val="aff4"/>
        <w:rPr>
          <w:rFonts w:eastAsiaTheme="minorEastAsia" w:cstheme="minorBidi"/>
          <w:i/>
          <w:iCs/>
          <w:noProof/>
          <w:sz w:val="22"/>
          <w:szCs w:val="22"/>
          <w:rtl/>
        </w:rPr>
      </w:pPr>
      <w:bookmarkStart w:id="7310" w:name="_Toc19435504"/>
      <w:bookmarkStart w:id="7311" w:name="_Toc20080808"/>
      <w:r>
        <w:rPr>
          <w:noProof/>
          <w:rtl/>
        </w:rPr>
        <w:t>ביאור הרשב"א דרק למסקנא רוב עדיף מחזקה</w:t>
      </w:r>
      <w:bookmarkEnd w:id="7310"/>
      <w:bookmarkEnd w:id="7311"/>
    </w:p>
    <w:p w14:paraId="486B4923" w14:textId="77777777" w:rsidR="00744111" w:rsidRDefault="00744111" w:rsidP="005077A7">
      <w:pPr>
        <w:pStyle w:val="a"/>
        <w:rPr>
          <w:rFonts w:eastAsiaTheme="minorEastAsia" w:cstheme="minorBidi"/>
          <w:noProof/>
          <w:sz w:val="22"/>
          <w:szCs w:val="22"/>
          <w:rtl/>
        </w:rPr>
      </w:pPr>
      <w:r>
        <w:rPr>
          <w:noProof/>
          <w:rtl/>
        </w:rPr>
        <w:t>תירוץ הרשב"א והתור"פ דהא דרוב עדיף מחזקה הוא רק אחר שיש ילפותא לדין רוב</w:t>
      </w:r>
    </w:p>
    <w:p w14:paraId="56E18FC4" w14:textId="77777777" w:rsidR="00744111" w:rsidRDefault="00744111" w:rsidP="005077A7">
      <w:pPr>
        <w:pStyle w:val="a"/>
        <w:rPr>
          <w:rFonts w:eastAsiaTheme="minorEastAsia" w:cstheme="minorBidi"/>
          <w:noProof/>
          <w:sz w:val="22"/>
          <w:szCs w:val="22"/>
          <w:rtl/>
        </w:rPr>
      </w:pPr>
      <w:r>
        <w:rPr>
          <w:noProof/>
          <w:rtl/>
        </w:rPr>
        <w:t>קושית התוס' הרא"ש דמוכח שמסברא רוב עדיף מחזקה וא"צ לזה ילפותא</w:t>
      </w:r>
    </w:p>
    <w:p w14:paraId="26553A0E" w14:textId="77777777" w:rsidR="00744111" w:rsidRDefault="00744111" w:rsidP="005077A7">
      <w:pPr>
        <w:pStyle w:val="a"/>
        <w:rPr>
          <w:rFonts w:eastAsiaTheme="minorEastAsia" w:cstheme="minorBidi"/>
          <w:noProof/>
          <w:sz w:val="22"/>
          <w:szCs w:val="22"/>
          <w:rtl/>
        </w:rPr>
      </w:pPr>
      <w:r>
        <w:rPr>
          <w:noProof/>
          <w:rtl/>
        </w:rPr>
        <w:t>תירוץ השיטמ"ק דאף שהוא סברא מ"מ אי חזקה כתיבה ורוב לא כתוב חזקה עדיפא</w:t>
      </w:r>
    </w:p>
    <w:p w14:paraId="2EA0FB7C" w14:textId="77777777" w:rsidR="00744111" w:rsidRDefault="00744111" w:rsidP="00744111">
      <w:pPr>
        <w:pStyle w:val="aff4"/>
        <w:rPr>
          <w:rFonts w:eastAsiaTheme="minorEastAsia" w:cstheme="minorBidi"/>
          <w:i/>
          <w:iCs/>
          <w:noProof/>
          <w:sz w:val="22"/>
          <w:szCs w:val="22"/>
          <w:rtl/>
        </w:rPr>
      </w:pPr>
      <w:bookmarkStart w:id="7312" w:name="_Toc19435505"/>
      <w:bookmarkStart w:id="7313" w:name="_Toc20080809"/>
      <w:r>
        <w:rPr>
          <w:noProof/>
          <w:rtl/>
        </w:rPr>
        <w:t>ביאורי האחרונים בהא דרוב עדיף מחזקה</w:t>
      </w:r>
      <w:bookmarkEnd w:id="7312"/>
      <w:bookmarkEnd w:id="7313"/>
    </w:p>
    <w:p w14:paraId="70DC9A10" w14:textId="77777777" w:rsidR="00744111" w:rsidRDefault="00744111" w:rsidP="005077A7">
      <w:pPr>
        <w:pStyle w:val="a"/>
        <w:rPr>
          <w:rFonts w:eastAsiaTheme="minorEastAsia" w:cstheme="minorBidi"/>
          <w:noProof/>
          <w:sz w:val="22"/>
          <w:szCs w:val="22"/>
          <w:rtl/>
        </w:rPr>
      </w:pPr>
      <w:r>
        <w:rPr>
          <w:noProof/>
          <w:rtl/>
        </w:rPr>
        <w:t>ביאור החמד"ש דאחר דילפינן דאזלינן בתר רוב שהוא בירור ממילא עדיף מחזקה שהיא דין</w:t>
      </w:r>
    </w:p>
    <w:p w14:paraId="5A0F45BB" w14:textId="77777777" w:rsidR="00744111" w:rsidRDefault="00744111" w:rsidP="005077A7">
      <w:pPr>
        <w:pStyle w:val="a"/>
        <w:rPr>
          <w:rFonts w:eastAsiaTheme="minorEastAsia" w:cstheme="minorBidi"/>
          <w:noProof/>
          <w:sz w:val="22"/>
          <w:szCs w:val="22"/>
          <w:rtl/>
        </w:rPr>
      </w:pPr>
      <w:r>
        <w:rPr>
          <w:noProof/>
          <w:rtl/>
        </w:rPr>
        <w:t>דברי הש"ש דרוב שהוא לפנינו עדיף מחזקה שאינה לפנינו והייתה רק מעיקרא</w:t>
      </w:r>
    </w:p>
    <w:p w14:paraId="16F302C2" w14:textId="77777777" w:rsidR="00744111" w:rsidRDefault="00744111" w:rsidP="00744111">
      <w:pPr>
        <w:pStyle w:val="aff4"/>
        <w:rPr>
          <w:rFonts w:eastAsiaTheme="minorEastAsia" w:cstheme="minorBidi"/>
          <w:i/>
          <w:iCs/>
          <w:noProof/>
          <w:sz w:val="22"/>
          <w:szCs w:val="22"/>
          <w:rtl/>
        </w:rPr>
      </w:pPr>
      <w:bookmarkStart w:id="7314" w:name="_Toc19435506"/>
      <w:bookmarkStart w:id="7315" w:name="_Toc20080810"/>
      <w:r>
        <w:rPr>
          <w:noProof/>
          <w:rtl/>
        </w:rPr>
        <w:t>דעת רבינו חיים והתוס' הרא"ש דיש ילפותא דרוב עדיף מחזקה</w:t>
      </w:r>
      <w:bookmarkEnd w:id="7314"/>
      <w:bookmarkEnd w:id="7315"/>
    </w:p>
    <w:p w14:paraId="03BD8E91" w14:textId="77777777" w:rsidR="00744111" w:rsidRDefault="00744111" w:rsidP="005077A7">
      <w:pPr>
        <w:pStyle w:val="a"/>
        <w:rPr>
          <w:rFonts w:eastAsiaTheme="minorEastAsia" w:cstheme="minorBidi"/>
          <w:noProof/>
          <w:sz w:val="22"/>
          <w:szCs w:val="22"/>
          <w:rtl/>
        </w:rPr>
      </w:pPr>
      <w:r>
        <w:rPr>
          <w:noProof/>
          <w:rtl/>
        </w:rPr>
        <w:t>תירוץ רבינו חיים דמסברא רוב לא עדיף מחזקה וילפינן לה מפרה אדומה</w:t>
      </w:r>
    </w:p>
    <w:p w14:paraId="1A130C19" w14:textId="77777777" w:rsidR="00744111" w:rsidRDefault="00744111" w:rsidP="005077A7">
      <w:pPr>
        <w:pStyle w:val="a"/>
        <w:rPr>
          <w:rFonts w:eastAsiaTheme="minorEastAsia" w:cstheme="minorBidi"/>
          <w:noProof/>
          <w:sz w:val="22"/>
          <w:szCs w:val="22"/>
          <w:rtl/>
        </w:rPr>
      </w:pPr>
      <w:r>
        <w:rPr>
          <w:noProof/>
          <w:rtl/>
        </w:rPr>
        <w:t>תירוץ רבינו מאיר דילפינן משעיר המשתלח דרוב עדיף מחזקה</w:t>
      </w:r>
    </w:p>
    <w:p w14:paraId="67C3D021" w14:textId="77777777" w:rsidR="00744111" w:rsidRDefault="00744111" w:rsidP="00744111">
      <w:pPr>
        <w:pStyle w:val="aff4"/>
        <w:rPr>
          <w:rFonts w:eastAsiaTheme="minorEastAsia" w:cstheme="minorBidi"/>
          <w:i/>
          <w:iCs/>
          <w:noProof/>
          <w:sz w:val="22"/>
          <w:szCs w:val="22"/>
          <w:rtl/>
        </w:rPr>
      </w:pPr>
      <w:bookmarkStart w:id="7316" w:name="_Toc19435507"/>
      <w:bookmarkStart w:id="7317" w:name="_Toc20080811"/>
      <w:r>
        <w:rPr>
          <w:noProof/>
          <w:rtl/>
        </w:rPr>
        <w:t>קושית השיטמ"ק והגרעק"א דהחזקה בפרה אינה בשורש הספק</w:t>
      </w:r>
      <w:bookmarkEnd w:id="7316"/>
      <w:bookmarkEnd w:id="7317"/>
    </w:p>
    <w:p w14:paraId="5E1472E7" w14:textId="77777777" w:rsidR="00744111" w:rsidRDefault="00744111" w:rsidP="005077A7">
      <w:pPr>
        <w:pStyle w:val="a"/>
        <w:rPr>
          <w:rFonts w:eastAsiaTheme="minorEastAsia" w:cstheme="minorBidi"/>
          <w:noProof/>
          <w:sz w:val="22"/>
          <w:szCs w:val="22"/>
          <w:rtl/>
        </w:rPr>
      </w:pPr>
      <w:r>
        <w:rPr>
          <w:noProof/>
          <w:rtl/>
        </w:rPr>
        <w:t>קושית השיטמ"ק דאחר שהכשרנו את הפרה ע"י הרוב אין החזקה שבאדם יכולה לבטלה</w:t>
      </w:r>
    </w:p>
    <w:p w14:paraId="5188FDDB" w14:textId="77777777" w:rsidR="00744111" w:rsidRDefault="00744111" w:rsidP="005077A7">
      <w:pPr>
        <w:pStyle w:val="a"/>
        <w:rPr>
          <w:rFonts w:eastAsiaTheme="minorEastAsia" w:cstheme="minorBidi"/>
          <w:noProof/>
          <w:sz w:val="22"/>
          <w:szCs w:val="22"/>
          <w:rtl/>
        </w:rPr>
      </w:pPr>
      <w:r>
        <w:rPr>
          <w:noProof/>
          <w:rtl/>
        </w:rPr>
        <w:t>קושית הגרעק"א דהרוב בפרה אינו כנגד החזקה דהנדון הוא בפרה ולא באדם</w:t>
      </w:r>
    </w:p>
    <w:p w14:paraId="0F7F90A8" w14:textId="77777777" w:rsidR="00744111" w:rsidRDefault="00744111" w:rsidP="00744111">
      <w:pPr>
        <w:pStyle w:val="aff4"/>
        <w:rPr>
          <w:rFonts w:eastAsiaTheme="minorEastAsia" w:cstheme="minorBidi"/>
          <w:i/>
          <w:iCs/>
          <w:noProof/>
          <w:sz w:val="22"/>
          <w:szCs w:val="22"/>
          <w:rtl/>
        </w:rPr>
      </w:pPr>
      <w:bookmarkStart w:id="7318" w:name="_Toc19435508"/>
      <w:bookmarkStart w:id="7319" w:name="_Toc20080812"/>
      <w:r>
        <w:rPr>
          <w:noProof/>
          <w:rtl/>
        </w:rPr>
        <w:t>קושיות האחרונים על דברי התוס'</w:t>
      </w:r>
      <w:bookmarkEnd w:id="7318"/>
      <w:bookmarkEnd w:id="7319"/>
    </w:p>
    <w:p w14:paraId="2BDD2532" w14:textId="77777777" w:rsidR="00744111" w:rsidRDefault="00744111" w:rsidP="005077A7">
      <w:pPr>
        <w:pStyle w:val="a"/>
        <w:rPr>
          <w:rFonts w:eastAsiaTheme="minorEastAsia" w:cstheme="minorBidi"/>
          <w:noProof/>
          <w:sz w:val="22"/>
          <w:szCs w:val="22"/>
          <w:rtl/>
        </w:rPr>
      </w:pPr>
      <w:r>
        <w:rPr>
          <w:noProof/>
          <w:rtl/>
        </w:rPr>
        <w:t>קושית הגרעק"א דאפשר להוכיח מכל שחיטה דאזלינן בתר רוב כנגד חזקת אינו זבוח</w:t>
      </w:r>
    </w:p>
    <w:p w14:paraId="5DE8B06D" w14:textId="77777777" w:rsidR="00744111" w:rsidRDefault="00744111" w:rsidP="005077A7">
      <w:pPr>
        <w:pStyle w:val="a"/>
        <w:rPr>
          <w:rFonts w:eastAsiaTheme="minorEastAsia" w:cstheme="minorBidi"/>
          <w:noProof/>
          <w:sz w:val="22"/>
          <w:szCs w:val="22"/>
          <w:rtl/>
        </w:rPr>
      </w:pPr>
      <w:r>
        <w:rPr>
          <w:noProof/>
          <w:rtl/>
        </w:rPr>
        <w:t>קושית הגרעק"א דנילף דרוב עדיף מחזקה מהא דרוב עדיף מקרוב</w:t>
      </w:r>
    </w:p>
    <w:p w14:paraId="42C52774" w14:textId="77777777" w:rsidR="00744111" w:rsidRDefault="00744111" w:rsidP="005077A7">
      <w:pPr>
        <w:pStyle w:val="a"/>
        <w:rPr>
          <w:rFonts w:eastAsiaTheme="minorEastAsia" w:cstheme="minorBidi"/>
          <w:noProof/>
          <w:sz w:val="22"/>
          <w:szCs w:val="22"/>
          <w:rtl/>
        </w:rPr>
      </w:pPr>
      <w:r>
        <w:rPr>
          <w:noProof/>
          <w:rtl/>
        </w:rPr>
        <w:t>תירוץ הגרעק"א דקרוב הוא מדין תליה וא"א ללמוד מזה דרוב עדיף מחזקה שאינה תליה</w:t>
      </w:r>
    </w:p>
    <w:p w14:paraId="20876F86" w14:textId="77777777" w:rsidR="00744111" w:rsidRDefault="00744111" w:rsidP="005077A7">
      <w:pPr>
        <w:pStyle w:val="a"/>
        <w:rPr>
          <w:rFonts w:eastAsiaTheme="minorEastAsia" w:cstheme="minorBidi"/>
          <w:noProof/>
          <w:sz w:val="22"/>
          <w:szCs w:val="22"/>
          <w:rtl/>
        </w:rPr>
      </w:pPr>
      <w:r>
        <w:rPr>
          <w:noProof/>
          <w:rtl/>
        </w:rPr>
        <w:t>קושית המהרש"א דבפרה נסמוך את מיעוט טריפות לחזקת טהרה של הגברא</w:t>
      </w:r>
    </w:p>
    <w:p w14:paraId="06CE2E1E" w14:textId="77777777" w:rsidR="00744111" w:rsidRDefault="00744111" w:rsidP="005077A7">
      <w:pPr>
        <w:pStyle w:val="a"/>
        <w:rPr>
          <w:rFonts w:eastAsiaTheme="minorEastAsia" w:cstheme="minorBidi"/>
          <w:noProof/>
          <w:sz w:val="22"/>
          <w:szCs w:val="22"/>
          <w:rtl/>
        </w:rPr>
      </w:pPr>
      <w:r>
        <w:rPr>
          <w:noProof/>
          <w:rtl/>
        </w:rPr>
        <w:t>תירוץ המהרש"א דמדאו' לא חיישינן למיעוט כשיש חזקה ועוד דמיעוט טריפות לא שכיח</w:t>
      </w:r>
    </w:p>
    <w:p w14:paraId="2ECBDE7C" w14:textId="77777777" w:rsidR="00744111" w:rsidRDefault="00744111" w:rsidP="00744111">
      <w:pPr>
        <w:pStyle w:val="aff4"/>
        <w:rPr>
          <w:rFonts w:eastAsiaTheme="minorEastAsia" w:cstheme="minorBidi"/>
          <w:i/>
          <w:iCs/>
          <w:noProof/>
          <w:sz w:val="22"/>
          <w:szCs w:val="22"/>
          <w:rtl/>
        </w:rPr>
      </w:pPr>
      <w:bookmarkStart w:id="7320" w:name="_Toc19435509"/>
      <w:bookmarkStart w:id="7321" w:name="_Toc20080813"/>
      <w:r>
        <w:rPr>
          <w:noProof/>
          <w:rtl/>
        </w:rPr>
        <w:t>דברי התוס' הרא"ש והפנ"י דרק רוב שסותר לחזקה עדיף ממנה</w:t>
      </w:r>
      <w:bookmarkEnd w:id="7320"/>
      <w:bookmarkEnd w:id="7321"/>
    </w:p>
    <w:p w14:paraId="5E230D9E" w14:textId="77777777" w:rsidR="00744111" w:rsidRDefault="00744111" w:rsidP="005077A7">
      <w:pPr>
        <w:pStyle w:val="a"/>
        <w:rPr>
          <w:rFonts w:eastAsiaTheme="minorEastAsia" w:cstheme="minorBidi"/>
          <w:noProof/>
          <w:sz w:val="22"/>
          <w:szCs w:val="22"/>
          <w:rtl/>
        </w:rPr>
      </w:pPr>
      <w:r>
        <w:rPr>
          <w:noProof/>
          <w:rtl/>
        </w:rPr>
        <w:t>תירוץ הפנ"י דרוב שאינו בענין של החזקה לא עדיף ממנה ולכן א"א ללמוד רוב בק"ו מחזקה</w:t>
      </w:r>
    </w:p>
    <w:p w14:paraId="01CE46AF" w14:textId="77777777" w:rsidR="00744111" w:rsidRDefault="00744111" w:rsidP="005077A7">
      <w:pPr>
        <w:pStyle w:val="a"/>
        <w:rPr>
          <w:rFonts w:eastAsiaTheme="minorEastAsia" w:cstheme="minorBidi"/>
          <w:noProof/>
          <w:sz w:val="22"/>
          <w:szCs w:val="22"/>
          <w:rtl/>
        </w:rPr>
      </w:pPr>
      <w:r>
        <w:rPr>
          <w:noProof/>
          <w:rtl/>
        </w:rPr>
        <w:t>דברי התוס' הרא"ש דדוקא רוב שמגרע את כח החזקה עדיף ממנה</w:t>
      </w:r>
    </w:p>
    <w:p w14:paraId="617A6AB5" w14:textId="77777777" w:rsidR="00744111" w:rsidRDefault="00744111" w:rsidP="00744111">
      <w:pPr>
        <w:pStyle w:val="2"/>
        <w:rPr>
          <w:rFonts w:eastAsiaTheme="minorEastAsia" w:cstheme="minorBidi"/>
          <w:i/>
          <w:iCs/>
          <w:noProof/>
          <w:sz w:val="22"/>
          <w:szCs w:val="22"/>
          <w:rtl/>
        </w:rPr>
      </w:pPr>
      <w:bookmarkStart w:id="7322" w:name="_Toc19435510"/>
      <w:r>
        <w:rPr>
          <w:noProof/>
          <w:rtl/>
        </w:rPr>
        <w:t>בילפותא לרובא דליתא קמן</w:t>
      </w:r>
      <w:bookmarkEnd w:id="7322"/>
    </w:p>
    <w:p w14:paraId="305C985E" w14:textId="77777777" w:rsidR="00744111" w:rsidRDefault="00744111" w:rsidP="00744111">
      <w:pPr>
        <w:pStyle w:val="aff4"/>
        <w:rPr>
          <w:rFonts w:eastAsiaTheme="minorEastAsia" w:cstheme="minorBidi"/>
          <w:i/>
          <w:iCs/>
          <w:noProof/>
          <w:sz w:val="22"/>
          <w:szCs w:val="22"/>
          <w:rtl/>
        </w:rPr>
      </w:pPr>
      <w:bookmarkStart w:id="7323" w:name="_Toc19435511"/>
      <w:bookmarkStart w:id="7324" w:name="_Toc20080814"/>
      <w:r>
        <w:rPr>
          <w:noProof/>
          <w:rtl/>
        </w:rPr>
        <w:t>פלוגתת הראשונים בילפותא לרובא דליתא קמן למסקנת הגמ'</w:t>
      </w:r>
      <w:bookmarkEnd w:id="7323"/>
      <w:bookmarkEnd w:id="7324"/>
    </w:p>
    <w:p w14:paraId="6B4E2D3B" w14:textId="77777777" w:rsidR="00744111" w:rsidRDefault="00744111" w:rsidP="005077A7">
      <w:pPr>
        <w:pStyle w:val="a"/>
        <w:rPr>
          <w:rFonts w:eastAsiaTheme="minorEastAsia" w:cstheme="minorBidi"/>
          <w:noProof/>
          <w:sz w:val="22"/>
          <w:szCs w:val="22"/>
          <w:rtl/>
        </w:rPr>
      </w:pPr>
      <w:r>
        <w:rPr>
          <w:noProof/>
          <w:rtl/>
        </w:rPr>
        <w:t>דברי רש"י דלמסקנת הגמ' רובא דליתא קמן הוא הלכה למשה מסיני</w:t>
      </w:r>
    </w:p>
    <w:p w14:paraId="312A1D88" w14:textId="77777777" w:rsidR="00744111" w:rsidRDefault="00744111" w:rsidP="005077A7">
      <w:pPr>
        <w:pStyle w:val="a"/>
        <w:rPr>
          <w:rFonts w:eastAsiaTheme="minorEastAsia" w:cstheme="minorBidi"/>
          <w:noProof/>
          <w:sz w:val="22"/>
          <w:szCs w:val="22"/>
          <w:rtl/>
        </w:rPr>
      </w:pPr>
      <w:r>
        <w:rPr>
          <w:noProof/>
          <w:rtl/>
        </w:rPr>
        <w:t>הביאור הב' ברש"י דלמסקנא רובא דליתא קמן נלמד מסנהדרין כמו רובא דאיתא קמן</w:t>
      </w:r>
    </w:p>
    <w:p w14:paraId="37BBAFDE" w14:textId="77777777" w:rsidR="00744111" w:rsidRDefault="00744111" w:rsidP="005077A7">
      <w:pPr>
        <w:pStyle w:val="a"/>
        <w:rPr>
          <w:rFonts w:eastAsiaTheme="minorEastAsia" w:cstheme="minorBidi"/>
          <w:noProof/>
          <w:sz w:val="22"/>
          <w:szCs w:val="22"/>
          <w:rtl/>
        </w:rPr>
      </w:pPr>
      <w:r>
        <w:rPr>
          <w:noProof/>
          <w:rtl/>
        </w:rPr>
        <w:t>דברי רש"י לקמן דרובא דליתא קמן נלמד מקרא דהאליה תמימה</w:t>
      </w:r>
    </w:p>
    <w:p w14:paraId="365699BC" w14:textId="77777777" w:rsidR="00744111" w:rsidRDefault="00744111" w:rsidP="005077A7">
      <w:pPr>
        <w:pStyle w:val="a"/>
        <w:rPr>
          <w:rFonts w:eastAsiaTheme="minorEastAsia" w:cstheme="minorBidi"/>
          <w:noProof/>
          <w:sz w:val="22"/>
          <w:szCs w:val="22"/>
          <w:rtl/>
        </w:rPr>
      </w:pPr>
      <w:r>
        <w:rPr>
          <w:noProof/>
          <w:rtl/>
        </w:rPr>
        <w:t>דברי הר"ן דרובא דליתא קמן נלמד מפרה אדומה</w:t>
      </w:r>
    </w:p>
    <w:p w14:paraId="3354A314" w14:textId="77777777" w:rsidR="00744111" w:rsidRDefault="00744111" w:rsidP="005077A7">
      <w:pPr>
        <w:pStyle w:val="a"/>
        <w:rPr>
          <w:rFonts w:eastAsiaTheme="minorEastAsia" w:cstheme="minorBidi"/>
          <w:noProof/>
          <w:sz w:val="22"/>
          <w:szCs w:val="22"/>
          <w:rtl/>
        </w:rPr>
      </w:pPr>
      <w:r>
        <w:rPr>
          <w:noProof/>
          <w:rtl/>
        </w:rPr>
        <w:t>ביאור השעה"מ בר"ן דדחיית הגמ' למסקנא היא רק על דברי רב אשי דדלמא במקום נקב שחיט</w:t>
      </w:r>
    </w:p>
    <w:p w14:paraId="510111AD" w14:textId="77777777" w:rsidR="00744111" w:rsidRDefault="00744111" w:rsidP="005077A7">
      <w:pPr>
        <w:pStyle w:val="a"/>
        <w:rPr>
          <w:rFonts w:eastAsiaTheme="minorEastAsia" w:cstheme="minorBidi"/>
          <w:noProof/>
          <w:sz w:val="22"/>
          <w:szCs w:val="22"/>
        </w:rPr>
      </w:pPr>
      <w:r>
        <w:rPr>
          <w:noProof/>
          <w:rtl/>
        </w:rPr>
        <w:t>דברי החת"ס דרבינו חיים ס"ל כהר"ן דילפינן רובא דליתא קמן מפרה אדומה</w:t>
      </w:r>
    </w:p>
    <w:p w14:paraId="31100AC4" w14:textId="77777777" w:rsidR="00744111" w:rsidRDefault="00744111" w:rsidP="005077A7">
      <w:pPr>
        <w:pStyle w:val="a"/>
        <w:rPr>
          <w:rFonts w:eastAsiaTheme="minorEastAsia" w:cstheme="minorBidi"/>
          <w:noProof/>
          <w:sz w:val="22"/>
          <w:szCs w:val="22"/>
          <w:rtl/>
        </w:rPr>
      </w:pPr>
      <w:r>
        <w:rPr>
          <w:noProof/>
          <w:rtl/>
        </w:rPr>
        <w:t>דברי הרשב"א בב"ב דילפינן רובא דליתא קמן מפסח ושעיר ועגלה ומכה אביו ושחיטה</w:t>
      </w:r>
    </w:p>
    <w:p w14:paraId="4F79D0C7" w14:textId="77777777" w:rsidR="00744111" w:rsidRDefault="00744111" w:rsidP="005077A7">
      <w:pPr>
        <w:pStyle w:val="a"/>
        <w:rPr>
          <w:rFonts w:eastAsiaTheme="minorEastAsia" w:cstheme="minorBidi"/>
          <w:noProof/>
          <w:sz w:val="22"/>
          <w:szCs w:val="22"/>
          <w:rtl/>
        </w:rPr>
      </w:pPr>
      <w:r>
        <w:rPr>
          <w:noProof/>
          <w:rtl/>
        </w:rPr>
        <w:t>דברי התוס' בב"ב דהגמ' בב"ב צריכה לומר דרובא דליתא קמן דאו' דהא לא ילפינן לה מסנהדרין</w:t>
      </w:r>
    </w:p>
    <w:p w14:paraId="0F4B3864" w14:textId="77777777" w:rsidR="00744111" w:rsidRDefault="00744111" w:rsidP="005077A7">
      <w:pPr>
        <w:pStyle w:val="a"/>
        <w:rPr>
          <w:rFonts w:eastAsiaTheme="minorEastAsia" w:cstheme="minorBidi"/>
          <w:noProof/>
          <w:sz w:val="22"/>
          <w:szCs w:val="22"/>
          <w:rtl/>
        </w:rPr>
      </w:pPr>
      <w:r>
        <w:rPr>
          <w:noProof/>
          <w:rtl/>
        </w:rPr>
        <w:t>דברי הריטב"א בב"ב דרובא דליתא קמן אין לו ילפותא מבוררת כל כך כמו ברובא דאיתא קמן</w:t>
      </w:r>
    </w:p>
    <w:p w14:paraId="53BEFC7D" w14:textId="77777777" w:rsidR="00744111" w:rsidRDefault="00744111" w:rsidP="00744111">
      <w:pPr>
        <w:pStyle w:val="2"/>
        <w:rPr>
          <w:rFonts w:eastAsiaTheme="minorEastAsia" w:cstheme="minorBidi"/>
          <w:i/>
          <w:iCs/>
          <w:noProof/>
          <w:sz w:val="22"/>
          <w:szCs w:val="22"/>
          <w:rtl/>
        </w:rPr>
      </w:pPr>
      <w:bookmarkStart w:id="7325" w:name="_Toc19435512"/>
      <w:r>
        <w:rPr>
          <w:noProof/>
          <w:rtl/>
        </w:rPr>
        <w:t xml:space="preserve">בילפותא </w:t>
      </w:r>
      <w:r>
        <w:rPr>
          <w:rFonts w:hint="cs"/>
          <w:noProof/>
          <w:rtl/>
        </w:rPr>
        <w:t>ל</w:t>
      </w:r>
      <w:r>
        <w:rPr>
          <w:noProof/>
          <w:rtl/>
        </w:rPr>
        <w:t>רובא דאיתא קמן</w:t>
      </w:r>
      <w:bookmarkEnd w:id="7325"/>
    </w:p>
    <w:p w14:paraId="60E92F09" w14:textId="77777777" w:rsidR="00744111" w:rsidRDefault="00744111" w:rsidP="00744111">
      <w:pPr>
        <w:pStyle w:val="aff4"/>
        <w:rPr>
          <w:rFonts w:eastAsiaTheme="minorEastAsia" w:cstheme="minorBidi"/>
          <w:i/>
          <w:iCs/>
          <w:noProof/>
          <w:sz w:val="22"/>
          <w:szCs w:val="22"/>
          <w:rtl/>
        </w:rPr>
      </w:pPr>
      <w:bookmarkStart w:id="7326" w:name="_Toc19435513"/>
      <w:bookmarkStart w:id="7327" w:name="_Toc20080815"/>
      <w:r>
        <w:rPr>
          <w:noProof/>
          <w:rtl/>
        </w:rPr>
        <w:t>בביאור הילפותא דט' חנויות מסנהדרין</w:t>
      </w:r>
      <w:bookmarkEnd w:id="7326"/>
      <w:bookmarkEnd w:id="7327"/>
    </w:p>
    <w:p w14:paraId="6CBE4E20" w14:textId="77777777" w:rsidR="00744111" w:rsidRDefault="00744111" w:rsidP="005077A7">
      <w:pPr>
        <w:pStyle w:val="a"/>
        <w:rPr>
          <w:rFonts w:eastAsiaTheme="minorEastAsia" w:cstheme="minorBidi"/>
          <w:noProof/>
          <w:sz w:val="22"/>
          <w:szCs w:val="22"/>
          <w:rtl/>
        </w:rPr>
      </w:pPr>
      <w:r>
        <w:rPr>
          <w:noProof/>
          <w:rtl/>
        </w:rPr>
        <w:t>דברי המרדכי דבסנהדרין אין ספק ולא שייך בו דין קבוע כמו בט' חנויות</w:t>
      </w:r>
    </w:p>
    <w:p w14:paraId="5BC80401" w14:textId="77777777" w:rsidR="00744111" w:rsidRDefault="00744111" w:rsidP="005077A7">
      <w:pPr>
        <w:pStyle w:val="a"/>
        <w:rPr>
          <w:rFonts w:eastAsiaTheme="minorEastAsia" w:cstheme="minorBidi"/>
          <w:noProof/>
          <w:sz w:val="22"/>
          <w:szCs w:val="22"/>
          <w:rtl/>
        </w:rPr>
      </w:pPr>
      <w:r>
        <w:rPr>
          <w:noProof/>
          <w:rtl/>
        </w:rPr>
        <w:t>תירוץ המרדכי דבסנהדרין הדיבור שנפרש מפיהם הוא כבשר שפרש מהחנויות</w:t>
      </w:r>
    </w:p>
    <w:p w14:paraId="234E873C" w14:textId="77777777" w:rsidR="00744111" w:rsidRDefault="00744111" w:rsidP="005077A7">
      <w:pPr>
        <w:pStyle w:val="a"/>
        <w:rPr>
          <w:rFonts w:eastAsiaTheme="minorEastAsia" w:cstheme="minorBidi"/>
          <w:noProof/>
          <w:sz w:val="22"/>
          <w:szCs w:val="22"/>
          <w:rtl/>
        </w:rPr>
      </w:pPr>
      <w:r>
        <w:rPr>
          <w:noProof/>
          <w:rtl/>
        </w:rPr>
        <w:t>דברי החת"ס דבט' חנויות אין המיעוט ניכר כסנהדרין אך יתכן שיפגע באיסור ובסנהדרין אין חשש</w:t>
      </w:r>
    </w:p>
    <w:p w14:paraId="16A6DFB7" w14:textId="77777777" w:rsidR="00744111" w:rsidRDefault="00744111" w:rsidP="005077A7">
      <w:pPr>
        <w:pStyle w:val="a"/>
        <w:rPr>
          <w:rFonts w:eastAsiaTheme="minorEastAsia" w:cstheme="minorBidi"/>
          <w:noProof/>
          <w:sz w:val="22"/>
          <w:szCs w:val="22"/>
          <w:rtl/>
        </w:rPr>
      </w:pPr>
      <w:r>
        <w:rPr>
          <w:noProof/>
          <w:rtl/>
        </w:rPr>
        <w:t>קושית השיטמ"ק דבסנהדרין ידוע מי הרוב ומי המיעוט והיאך ילפינן לט' חנויות שהוא ספק</w:t>
      </w:r>
    </w:p>
    <w:p w14:paraId="1AE13DEF" w14:textId="77777777" w:rsidR="00744111" w:rsidRDefault="00744111" w:rsidP="005077A7">
      <w:pPr>
        <w:pStyle w:val="a"/>
        <w:rPr>
          <w:rFonts w:eastAsiaTheme="minorEastAsia" w:cstheme="minorBidi"/>
          <w:noProof/>
          <w:sz w:val="22"/>
          <w:szCs w:val="22"/>
          <w:rtl/>
        </w:rPr>
      </w:pPr>
      <w:r>
        <w:rPr>
          <w:noProof/>
          <w:rtl/>
        </w:rPr>
        <w:t>תירוץ השיטמ"ק דאף בסנהדרין לא ידוע אם האמת כרוב או כמיעוט</w:t>
      </w:r>
    </w:p>
    <w:p w14:paraId="4E11B41E" w14:textId="77777777" w:rsidR="00744111" w:rsidRDefault="00744111" w:rsidP="005077A7">
      <w:pPr>
        <w:pStyle w:val="a"/>
        <w:rPr>
          <w:rFonts w:eastAsiaTheme="minorEastAsia" w:cstheme="minorBidi"/>
          <w:noProof/>
          <w:sz w:val="22"/>
          <w:szCs w:val="22"/>
          <w:rtl/>
        </w:rPr>
      </w:pPr>
      <w:r>
        <w:rPr>
          <w:noProof/>
          <w:rtl/>
        </w:rPr>
        <w:t>קושית החת"ס דלמסקנא נילף את רובא דאיתא קמן מרובא דליתא קמן ולא מסנהדרין</w:t>
      </w:r>
    </w:p>
    <w:p w14:paraId="1837C8E1" w14:textId="77777777" w:rsidR="00744111" w:rsidRDefault="00744111" w:rsidP="005077A7">
      <w:pPr>
        <w:pStyle w:val="a"/>
        <w:rPr>
          <w:rFonts w:eastAsiaTheme="minorEastAsia" w:cstheme="minorBidi"/>
          <w:noProof/>
          <w:sz w:val="22"/>
          <w:szCs w:val="22"/>
          <w:rtl/>
        </w:rPr>
      </w:pPr>
      <w:r>
        <w:rPr>
          <w:noProof/>
          <w:rtl/>
        </w:rPr>
        <w:t>תירוץ החת"ס דהמיעוט ברובא דא"ק חשוב יותר וא"א ללומדו מהמיעוט בררובא דל"ק</w:t>
      </w:r>
    </w:p>
    <w:p w14:paraId="2F221B62" w14:textId="77777777" w:rsidR="00744111" w:rsidRDefault="00744111" w:rsidP="00744111">
      <w:pPr>
        <w:pStyle w:val="2"/>
        <w:rPr>
          <w:rFonts w:eastAsiaTheme="minorEastAsia" w:cstheme="minorBidi"/>
          <w:i/>
          <w:iCs/>
          <w:noProof/>
          <w:sz w:val="22"/>
          <w:szCs w:val="22"/>
          <w:rtl/>
        </w:rPr>
      </w:pPr>
      <w:bookmarkStart w:id="7328" w:name="_Toc19435514"/>
      <w:r>
        <w:rPr>
          <w:noProof/>
          <w:rtl/>
        </w:rPr>
        <w:t>בחילוק בין רובא דא"ק לרובא דל"ק</w:t>
      </w:r>
      <w:bookmarkEnd w:id="7328"/>
    </w:p>
    <w:p w14:paraId="4A81488E" w14:textId="77777777" w:rsidR="00744111" w:rsidRDefault="00744111" w:rsidP="00744111">
      <w:pPr>
        <w:pStyle w:val="aff4"/>
        <w:rPr>
          <w:rFonts w:eastAsiaTheme="minorEastAsia" w:cstheme="minorBidi"/>
          <w:i/>
          <w:iCs/>
          <w:noProof/>
          <w:sz w:val="22"/>
          <w:szCs w:val="22"/>
          <w:rtl/>
        </w:rPr>
      </w:pPr>
      <w:bookmarkStart w:id="7329" w:name="_Toc19435515"/>
      <w:bookmarkStart w:id="7330" w:name="_Toc20080816"/>
      <w:r>
        <w:rPr>
          <w:noProof/>
          <w:rtl/>
        </w:rPr>
        <w:t>דברי רש"י ורבינו גרשום בביאור רובא דא"ק ורובא דל"ק</w:t>
      </w:r>
      <w:bookmarkEnd w:id="7329"/>
      <w:bookmarkEnd w:id="7330"/>
    </w:p>
    <w:p w14:paraId="5CC95423" w14:textId="77777777" w:rsidR="00744111" w:rsidRDefault="00744111" w:rsidP="005077A7">
      <w:pPr>
        <w:pStyle w:val="a"/>
        <w:rPr>
          <w:rFonts w:eastAsiaTheme="minorEastAsia" w:cstheme="minorBidi"/>
          <w:noProof/>
          <w:sz w:val="22"/>
          <w:szCs w:val="22"/>
          <w:rtl/>
        </w:rPr>
      </w:pPr>
      <w:r>
        <w:rPr>
          <w:noProof/>
          <w:rtl/>
        </w:rPr>
        <w:t>ביאור רש"י דבט' חנויות וסנהדרין אנו רואים את הרוב לפנינו וברובא דל"ק הוא רוב בעולם</w:t>
      </w:r>
    </w:p>
    <w:p w14:paraId="32ADB9C7" w14:textId="77777777" w:rsidR="00744111" w:rsidRDefault="00744111" w:rsidP="005077A7">
      <w:pPr>
        <w:pStyle w:val="a"/>
        <w:rPr>
          <w:rFonts w:eastAsiaTheme="minorEastAsia" w:cstheme="minorBidi"/>
          <w:noProof/>
          <w:sz w:val="22"/>
          <w:szCs w:val="22"/>
          <w:rtl/>
        </w:rPr>
      </w:pPr>
      <w:r>
        <w:rPr>
          <w:noProof/>
          <w:rtl/>
        </w:rPr>
        <w:t>ביאור רבינו גרשום דברובא דא"ק הרוב לפנינו וברובא דל"ק אין אנו רואים מהו רוב העולם</w:t>
      </w:r>
    </w:p>
    <w:p w14:paraId="4DBCD2D2" w14:textId="77777777" w:rsidR="00744111" w:rsidRDefault="00744111" w:rsidP="00744111">
      <w:pPr>
        <w:pStyle w:val="aff4"/>
        <w:rPr>
          <w:rFonts w:eastAsiaTheme="minorEastAsia" w:cstheme="minorBidi"/>
          <w:i/>
          <w:iCs/>
          <w:noProof/>
          <w:sz w:val="22"/>
          <w:szCs w:val="22"/>
          <w:rtl/>
        </w:rPr>
      </w:pPr>
      <w:bookmarkStart w:id="7331" w:name="_Toc19435516"/>
      <w:bookmarkStart w:id="7332" w:name="_Toc20080817"/>
      <w:r>
        <w:rPr>
          <w:noProof/>
          <w:rtl/>
        </w:rPr>
        <w:t>דעת התורי"ד דבאיתא קמן רוב של אותו דין מבטל את המיעוט</w:t>
      </w:r>
      <w:bookmarkEnd w:id="7331"/>
      <w:bookmarkEnd w:id="7332"/>
    </w:p>
    <w:p w14:paraId="5FF09FB9" w14:textId="77777777" w:rsidR="00744111" w:rsidRDefault="00744111" w:rsidP="005077A7">
      <w:pPr>
        <w:pStyle w:val="a"/>
        <w:rPr>
          <w:rFonts w:eastAsiaTheme="minorEastAsia" w:cstheme="minorBidi"/>
          <w:noProof/>
          <w:sz w:val="22"/>
          <w:szCs w:val="22"/>
          <w:rtl/>
        </w:rPr>
      </w:pPr>
      <w:r>
        <w:rPr>
          <w:noProof/>
          <w:rtl/>
        </w:rPr>
        <w:t>דברי התורי"ד דבט' חנויות יש ט' אפשרויות להיתר שמבטלות את האפשרות לאיסור</w:t>
      </w:r>
    </w:p>
    <w:p w14:paraId="2D2C6974" w14:textId="77777777" w:rsidR="00744111" w:rsidRDefault="00744111" w:rsidP="005077A7">
      <w:pPr>
        <w:pStyle w:val="a"/>
        <w:rPr>
          <w:rFonts w:eastAsiaTheme="minorEastAsia" w:cstheme="minorBidi"/>
          <w:noProof/>
          <w:sz w:val="22"/>
          <w:szCs w:val="22"/>
          <w:rtl/>
        </w:rPr>
      </w:pPr>
      <w:r>
        <w:rPr>
          <w:noProof/>
          <w:rtl/>
        </w:rPr>
        <w:t>דברי התורי"ד דדוקא במקום שהם מצטרפין ומסייעים אחד לשני לדין אחד שייך בו דין רוב</w:t>
      </w:r>
    </w:p>
    <w:p w14:paraId="1BD65A8A" w14:textId="77777777" w:rsidR="00744111" w:rsidRDefault="00744111" w:rsidP="00744111">
      <w:pPr>
        <w:pStyle w:val="aff4"/>
        <w:rPr>
          <w:rFonts w:eastAsiaTheme="minorEastAsia" w:cstheme="minorBidi"/>
          <w:i/>
          <w:iCs/>
          <w:noProof/>
          <w:sz w:val="22"/>
          <w:szCs w:val="22"/>
          <w:rtl/>
        </w:rPr>
      </w:pPr>
      <w:bookmarkStart w:id="7333" w:name="_Toc19435517"/>
      <w:bookmarkStart w:id="7334" w:name="_Toc20080818"/>
      <w:r>
        <w:rPr>
          <w:noProof/>
          <w:rtl/>
        </w:rPr>
        <w:t>דעת התוס' הרא"ש דרובא דאיתא קמן אינו דין ודאי</w:t>
      </w:r>
      <w:bookmarkEnd w:id="7333"/>
      <w:bookmarkEnd w:id="7334"/>
    </w:p>
    <w:p w14:paraId="095C19FB" w14:textId="77777777" w:rsidR="00744111" w:rsidRDefault="00744111" w:rsidP="005077A7">
      <w:pPr>
        <w:pStyle w:val="a"/>
        <w:rPr>
          <w:rFonts w:eastAsiaTheme="minorEastAsia" w:cstheme="minorBidi"/>
          <w:noProof/>
          <w:sz w:val="22"/>
          <w:szCs w:val="22"/>
          <w:rtl/>
        </w:rPr>
      </w:pPr>
      <w:r>
        <w:rPr>
          <w:noProof/>
          <w:rtl/>
        </w:rPr>
        <w:t>דברי התוס' הרא"ש דרובא דליתא קמן האיסור מתבטל ברוב אך אין לו דין ודאי כהרוב</w:t>
      </w:r>
    </w:p>
    <w:p w14:paraId="2D5D6E5A" w14:textId="77777777" w:rsidR="00744111" w:rsidRDefault="00744111" w:rsidP="005077A7">
      <w:pPr>
        <w:pStyle w:val="a"/>
        <w:rPr>
          <w:rFonts w:eastAsiaTheme="minorEastAsia" w:cstheme="minorBidi"/>
          <w:noProof/>
          <w:sz w:val="22"/>
          <w:szCs w:val="22"/>
          <w:rtl/>
        </w:rPr>
      </w:pPr>
      <w:r>
        <w:rPr>
          <w:noProof/>
          <w:rtl/>
        </w:rPr>
        <w:t>דברי הנתיה"מ דדעת התוס' הרא"ש דההיתר באיסורים בכל דפריש הוא מדין ביטול ברוב</w:t>
      </w:r>
    </w:p>
    <w:p w14:paraId="745F4710" w14:textId="77777777" w:rsidR="00744111" w:rsidRDefault="00744111" w:rsidP="00744111">
      <w:pPr>
        <w:pStyle w:val="aff4"/>
        <w:rPr>
          <w:rFonts w:eastAsiaTheme="minorEastAsia" w:cstheme="minorBidi"/>
          <w:i/>
          <w:iCs/>
          <w:noProof/>
          <w:sz w:val="22"/>
          <w:szCs w:val="22"/>
          <w:rtl/>
        </w:rPr>
      </w:pPr>
      <w:bookmarkStart w:id="7335" w:name="_Toc19435518"/>
      <w:bookmarkStart w:id="7336" w:name="_Toc20080819"/>
      <w:r>
        <w:rPr>
          <w:noProof/>
          <w:rtl/>
        </w:rPr>
        <w:t>ביאור ה</w:t>
      </w:r>
      <w:r w:rsidR="00345400">
        <w:rPr>
          <w:noProof/>
          <w:rtl/>
        </w:rPr>
        <w:t>פלתי</w:t>
      </w:r>
      <w:r>
        <w:rPr>
          <w:noProof/>
          <w:rtl/>
        </w:rPr>
        <w:t xml:space="preserve"> בתוס' בכתובות דאף ברובא דא"ק הוא דין ודאי</w:t>
      </w:r>
      <w:bookmarkEnd w:id="7335"/>
      <w:bookmarkEnd w:id="7336"/>
    </w:p>
    <w:p w14:paraId="06361EE3" w14:textId="77777777" w:rsidR="00744111" w:rsidRDefault="00744111" w:rsidP="005077A7">
      <w:pPr>
        <w:pStyle w:val="a"/>
        <w:rPr>
          <w:rFonts w:eastAsiaTheme="minorEastAsia" w:cstheme="minorBidi"/>
          <w:noProof/>
          <w:sz w:val="22"/>
          <w:szCs w:val="22"/>
          <w:rtl/>
        </w:rPr>
      </w:pPr>
      <w:r>
        <w:rPr>
          <w:noProof/>
          <w:rtl/>
        </w:rPr>
        <w:t>דברי התוס' בכתובות דרוב ככל וביאר ה</w:t>
      </w:r>
      <w:r w:rsidR="00345400">
        <w:rPr>
          <w:noProof/>
          <w:rtl/>
        </w:rPr>
        <w:t>פלתי</w:t>
      </w:r>
      <w:r>
        <w:rPr>
          <w:noProof/>
          <w:rtl/>
        </w:rPr>
        <w:t xml:space="preserve"> דס"ל דברובא דא"ק הוא יש לרוב דין ודאי</w:t>
      </w:r>
    </w:p>
    <w:p w14:paraId="654B977F" w14:textId="77777777" w:rsidR="00744111" w:rsidRDefault="00744111" w:rsidP="00744111">
      <w:pPr>
        <w:pStyle w:val="aff4"/>
        <w:rPr>
          <w:rFonts w:eastAsiaTheme="minorEastAsia" w:cstheme="minorBidi"/>
          <w:i/>
          <w:iCs/>
          <w:noProof/>
          <w:sz w:val="22"/>
          <w:szCs w:val="22"/>
          <w:rtl/>
        </w:rPr>
      </w:pPr>
      <w:bookmarkStart w:id="7337" w:name="_Toc19435519"/>
      <w:bookmarkStart w:id="7338" w:name="_Toc20080820"/>
      <w:r>
        <w:rPr>
          <w:noProof/>
          <w:rtl/>
        </w:rPr>
        <w:t>ביאור הש"ש בתוס' הרא"ש דרובא דא"ק הוא דין ולא סברא</w:t>
      </w:r>
      <w:bookmarkEnd w:id="7337"/>
      <w:bookmarkEnd w:id="7338"/>
    </w:p>
    <w:p w14:paraId="1FFFC359" w14:textId="77777777" w:rsidR="00744111" w:rsidRDefault="00744111" w:rsidP="005077A7">
      <w:pPr>
        <w:pStyle w:val="a"/>
        <w:rPr>
          <w:rFonts w:eastAsiaTheme="minorEastAsia" w:cstheme="minorBidi"/>
          <w:noProof/>
          <w:sz w:val="22"/>
          <w:szCs w:val="22"/>
          <w:rtl/>
        </w:rPr>
      </w:pPr>
      <w:r>
        <w:rPr>
          <w:noProof/>
          <w:rtl/>
        </w:rPr>
        <w:t>ביאור הש"ש בתורא"ש דברובא דא"ק אינו סברא והתורה התירה מדין רוב אף שנשאר ספק</w:t>
      </w:r>
    </w:p>
    <w:p w14:paraId="31F5E980" w14:textId="77777777" w:rsidR="00744111" w:rsidRDefault="00744111" w:rsidP="005077A7">
      <w:pPr>
        <w:pStyle w:val="a"/>
        <w:rPr>
          <w:rFonts w:eastAsiaTheme="minorEastAsia" w:cstheme="minorBidi"/>
          <w:noProof/>
          <w:sz w:val="22"/>
          <w:szCs w:val="22"/>
          <w:rtl/>
        </w:rPr>
      </w:pPr>
      <w:r>
        <w:rPr>
          <w:noProof/>
          <w:rtl/>
        </w:rPr>
        <w:t>ביאור הש"ש בתורא"ש דברובא דליתא קמן מסברא אזלינן בתר רובא ויש לרוב דין ודאי</w:t>
      </w:r>
    </w:p>
    <w:p w14:paraId="420BA7DF" w14:textId="77777777" w:rsidR="00744111" w:rsidRDefault="00744111" w:rsidP="005077A7">
      <w:pPr>
        <w:pStyle w:val="a"/>
        <w:rPr>
          <w:rFonts w:eastAsiaTheme="minorEastAsia" w:cstheme="minorBidi"/>
          <w:noProof/>
          <w:sz w:val="22"/>
          <w:szCs w:val="22"/>
          <w:rtl/>
        </w:rPr>
      </w:pPr>
      <w:r>
        <w:rPr>
          <w:noProof/>
          <w:rtl/>
        </w:rPr>
        <w:t>דברי הש"ש דברובא דא"ק יכול להיות שפרש מהמיעוט וברובא דל"ק חשיב שידוע שהיה כהרוב</w:t>
      </w:r>
    </w:p>
    <w:p w14:paraId="5433DDB8" w14:textId="77777777" w:rsidR="00744111" w:rsidRDefault="00744111" w:rsidP="00744111">
      <w:pPr>
        <w:pStyle w:val="aff4"/>
        <w:rPr>
          <w:rFonts w:eastAsiaTheme="minorEastAsia" w:cstheme="minorBidi"/>
          <w:i/>
          <w:iCs/>
          <w:noProof/>
          <w:sz w:val="22"/>
          <w:szCs w:val="22"/>
          <w:rtl/>
        </w:rPr>
      </w:pPr>
      <w:bookmarkStart w:id="7339" w:name="_Toc19435520"/>
      <w:bookmarkStart w:id="7340" w:name="_Toc20080821"/>
      <w:r>
        <w:rPr>
          <w:noProof/>
          <w:rtl/>
        </w:rPr>
        <w:t>ביאור הדבר אברהם דאף להתורא"ש רובא דא"ק הוא דין ודאי</w:t>
      </w:r>
      <w:bookmarkEnd w:id="7339"/>
      <w:bookmarkEnd w:id="7340"/>
    </w:p>
    <w:p w14:paraId="64CDAF29" w14:textId="77777777" w:rsidR="00744111" w:rsidRDefault="00744111" w:rsidP="005077A7">
      <w:pPr>
        <w:pStyle w:val="a"/>
        <w:rPr>
          <w:rFonts w:eastAsiaTheme="minorEastAsia" w:cstheme="minorBidi"/>
          <w:noProof/>
          <w:sz w:val="22"/>
          <w:szCs w:val="22"/>
          <w:rtl/>
        </w:rPr>
      </w:pPr>
      <w:r>
        <w:rPr>
          <w:noProof/>
          <w:rtl/>
        </w:rPr>
        <w:t>דברי הדבר אברהם דדוקא לענין מעשה בהמה אין הרוב כודאי דצריך שימנה במנין ברור</w:t>
      </w:r>
    </w:p>
    <w:p w14:paraId="41C5B77F" w14:textId="77777777" w:rsidR="00744111" w:rsidRDefault="00744111" w:rsidP="005077A7">
      <w:pPr>
        <w:pStyle w:val="a"/>
        <w:rPr>
          <w:rFonts w:eastAsiaTheme="minorEastAsia" w:cstheme="minorBidi"/>
          <w:noProof/>
          <w:sz w:val="22"/>
          <w:szCs w:val="22"/>
          <w:rtl/>
        </w:rPr>
      </w:pPr>
      <w:r>
        <w:rPr>
          <w:noProof/>
          <w:rtl/>
        </w:rPr>
        <w:t>דברי הברוך טעם דכוונת התורא"ש שרוב אינו כודאי ודחיית הדבר אברהם דלא משמע כן</w:t>
      </w:r>
    </w:p>
    <w:p w14:paraId="591D69CA" w14:textId="77777777" w:rsidR="00744111" w:rsidRDefault="00744111" w:rsidP="005077A7">
      <w:pPr>
        <w:pStyle w:val="a"/>
        <w:rPr>
          <w:rFonts w:eastAsiaTheme="minorEastAsia" w:cstheme="minorBidi"/>
          <w:noProof/>
          <w:sz w:val="22"/>
          <w:szCs w:val="22"/>
          <w:rtl/>
        </w:rPr>
      </w:pPr>
      <w:r>
        <w:rPr>
          <w:noProof/>
          <w:rtl/>
        </w:rPr>
        <w:t>דברי הדבר אברהם דלברוך טעם למסקנא רובא דל"ק עדיף כיון שאין מיעוט שמתנגד לו</w:t>
      </w:r>
    </w:p>
    <w:p w14:paraId="58703E60" w14:textId="77777777" w:rsidR="00744111" w:rsidRDefault="00744111" w:rsidP="00744111">
      <w:pPr>
        <w:pStyle w:val="aff4"/>
        <w:rPr>
          <w:rFonts w:eastAsiaTheme="minorEastAsia" w:cstheme="minorBidi"/>
          <w:i/>
          <w:iCs/>
          <w:noProof/>
          <w:sz w:val="22"/>
          <w:szCs w:val="22"/>
          <w:rtl/>
        </w:rPr>
      </w:pPr>
      <w:bookmarkStart w:id="7341" w:name="_Toc19435521"/>
      <w:bookmarkStart w:id="7342" w:name="_Toc20080822"/>
      <w:r>
        <w:rPr>
          <w:noProof/>
          <w:rtl/>
        </w:rPr>
        <w:t>ביאור הנתיה"מ בתשו' דברובא דא"ק כ"א מגדיל את הספק</w:t>
      </w:r>
      <w:bookmarkEnd w:id="7341"/>
      <w:bookmarkEnd w:id="7342"/>
    </w:p>
    <w:p w14:paraId="6515DA77" w14:textId="77777777" w:rsidR="00744111" w:rsidRDefault="00744111" w:rsidP="005077A7">
      <w:pPr>
        <w:pStyle w:val="a"/>
        <w:rPr>
          <w:rFonts w:eastAsiaTheme="minorEastAsia" w:cstheme="minorBidi"/>
          <w:noProof/>
          <w:sz w:val="22"/>
          <w:szCs w:val="22"/>
          <w:rtl/>
        </w:rPr>
      </w:pPr>
      <w:r>
        <w:rPr>
          <w:noProof/>
          <w:rtl/>
        </w:rPr>
        <w:t>ביאור הנתיה"מ דברובא דל"ק שאר הבהמות אינם יוצרים את הספק ואף בבהמה אחת יש ספק</w:t>
      </w:r>
    </w:p>
    <w:p w14:paraId="126AEF29" w14:textId="77777777" w:rsidR="00744111" w:rsidRDefault="00744111" w:rsidP="005077A7">
      <w:pPr>
        <w:pStyle w:val="a"/>
        <w:rPr>
          <w:rFonts w:eastAsiaTheme="minorEastAsia" w:cstheme="minorBidi"/>
          <w:noProof/>
          <w:sz w:val="22"/>
          <w:szCs w:val="22"/>
          <w:rtl/>
        </w:rPr>
      </w:pPr>
      <w:r>
        <w:rPr>
          <w:noProof/>
          <w:rtl/>
        </w:rPr>
        <w:t>ביאור הנתיה"מ דברובא דא"ק החנויות יוצרות את הספק וכל חנות מגדילה את הספק יותר</w:t>
      </w:r>
    </w:p>
    <w:p w14:paraId="2B65A8E6" w14:textId="77777777" w:rsidR="00744111" w:rsidRDefault="00744111" w:rsidP="00744111">
      <w:pPr>
        <w:pStyle w:val="aff4"/>
        <w:rPr>
          <w:rFonts w:eastAsiaTheme="minorEastAsia" w:cstheme="minorBidi"/>
          <w:i/>
          <w:iCs/>
          <w:noProof/>
          <w:sz w:val="22"/>
          <w:szCs w:val="22"/>
          <w:rtl/>
        </w:rPr>
      </w:pPr>
      <w:bookmarkStart w:id="7343" w:name="_Toc19435522"/>
      <w:bookmarkStart w:id="7344" w:name="_Toc20080823"/>
      <w:r>
        <w:rPr>
          <w:noProof/>
          <w:rtl/>
        </w:rPr>
        <w:t>ביאור החת"ס דברובא דליתא קמן אין ידיעה שעכשיו יש רוב</w:t>
      </w:r>
      <w:bookmarkEnd w:id="7343"/>
      <w:bookmarkEnd w:id="7344"/>
    </w:p>
    <w:p w14:paraId="760D5173" w14:textId="77777777" w:rsidR="00744111" w:rsidRDefault="00744111" w:rsidP="005077A7">
      <w:pPr>
        <w:pStyle w:val="a"/>
        <w:rPr>
          <w:rFonts w:eastAsiaTheme="minorEastAsia" w:cstheme="minorBidi"/>
          <w:noProof/>
          <w:sz w:val="22"/>
          <w:szCs w:val="22"/>
          <w:rtl/>
        </w:rPr>
      </w:pPr>
      <w:r>
        <w:rPr>
          <w:noProof/>
          <w:rtl/>
        </w:rPr>
        <w:t>דברי החת"ס דברובא דא"ק הרוב לפנינו וברובא דל"ק הוא רק מנהג העולם ויתכן שעכשיו אין רוב</w:t>
      </w:r>
    </w:p>
    <w:p w14:paraId="77FA9712" w14:textId="77777777" w:rsidR="00744111" w:rsidRDefault="00744111" w:rsidP="005077A7">
      <w:pPr>
        <w:pStyle w:val="a"/>
        <w:rPr>
          <w:rFonts w:eastAsiaTheme="minorEastAsia" w:cstheme="minorBidi"/>
          <w:noProof/>
          <w:sz w:val="22"/>
          <w:szCs w:val="22"/>
          <w:rtl/>
        </w:rPr>
      </w:pPr>
      <w:r>
        <w:rPr>
          <w:noProof/>
          <w:rtl/>
        </w:rPr>
        <w:t>דברי החת"ס דברובא דא"ק הרוב והמיעוט קבועים לפנינו וברובא דל"ק אין תערובת קבועה כלל</w:t>
      </w:r>
    </w:p>
    <w:p w14:paraId="638275C3" w14:textId="77777777" w:rsidR="00744111" w:rsidRDefault="00744111" w:rsidP="00744111">
      <w:pPr>
        <w:pStyle w:val="aff4"/>
        <w:rPr>
          <w:rFonts w:eastAsiaTheme="minorEastAsia" w:cstheme="minorBidi"/>
          <w:i/>
          <w:iCs/>
          <w:noProof/>
          <w:sz w:val="22"/>
          <w:szCs w:val="22"/>
          <w:rtl/>
        </w:rPr>
      </w:pPr>
      <w:bookmarkStart w:id="7345" w:name="_Toc19435523"/>
      <w:bookmarkStart w:id="7346" w:name="_Toc20080824"/>
      <w:r>
        <w:rPr>
          <w:noProof/>
          <w:rtl/>
        </w:rPr>
        <w:t>ביאור הגר"י ענגיל דברובא דא"ק הרוב והמיעוט יוצרים ספק</w:t>
      </w:r>
      <w:bookmarkEnd w:id="7345"/>
      <w:bookmarkEnd w:id="7346"/>
    </w:p>
    <w:p w14:paraId="1EECAD28" w14:textId="77777777" w:rsidR="00744111" w:rsidRDefault="00744111" w:rsidP="005077A7">
      <w:pPr>
        <w:pStyle w:val="a"/>
        <w:rPr>
          <w:rFonts w:eastAsiaTheme="minorEastAsia" w:cstheme="minorBidi"/>
          <w:noProof/>
          <w:sz w:val="22"/>
          <w:szCs w:val="22"/>
          <w:rtl/>
        </w:rPr>
      </w:pPr>
      <w:r>
        <w:rPr>
          <w:noProof/>
          <w:rtl/>
        </w:rPr>
        <w:t>דברי הגר"י ענגיל דברובא דאיתא קמן הספק נוצר ע"י הרוב והמיעוט</w:t>
      </w:r>
    </w:p>
    <w:p w14:paraId="78BB9FE9" w14:textId="77777777" w:rsidR="00744111" w:rsidRDefault="00744111" w:rsidP="005077A7">
      <w:pPr>
        <w:pStyle w:val="a"/>
        <w:rPr>
          <w:rFonts w:eastAsiaTheme="minorEastAsia" w:cstheme="minorBidi"/>
          <w:noProof/>
          <w:sz w:val="22"/>
          <w:szCs w:val="22"/>
        </w:rPr>
      </w:pPr>
      <w:r>
        <w:rPr>
          <w:noProof/>
          <w:rtl/>
        </w:rPr>
        <w:t>דברי הגר"י ענגיל דברובא דליתא קמן הספק הוא בדבר שלפנינו ולא מחמת הרוב והמיעוט</w:t>
      </w:r>
    </w:p>
    <w:p w14:paraId="50F29951" w14:textId="77777777" w:rsidR="00744111" w:rsidRDefault="00744111" w:rsidP="00744111">
      <w:pPr>
        <w:pStyle w:val="2"/>
        <w:rPr>
          <w:rFonts w:eastAsiaTheme="minorEastAsia" w:cstheme="minorBidi"/>
          <w:i/>
          <w:iCs/>
          <w:noProof/>
          <w:sz w:val="22"/>
          <w:szCs w:val="22"/>
          <w:rtl/>
        </w:rPr>
      </w:pPr>
      <w:bookmarkStart w:id="7347" w:name="_Toc19435524"/>
      <w:r>
        <w:rPr>
          <w:noProof/>
          <w:rtl/>
        </w:rPr>
        <w:t>בהא דלא ילפינן רובא דל"ק מסנהדרין</w:t>
      </w:r>
      <w:bookmarkEnd w:id="7347"/>
    </w:p>
    <w:p w14:paraId="05F09305" w14:textId="77777777" w:rsidR="00744111" w:rsidRDefault="00744111" w:rsidP="00744111">
      <w:pPr>
        <w:pStyle w:val="aff4"/>
        <w:rPr>
          <w:rFonts w:eastAsiaTheme="minorEastAsia" w:cstheme="minorBidi"/>
          <w:i/>
          <w:iCs/>
          <w:noProof/>
          <w:sz w:val="22"/>
          <w:szCs w:val="22"/>
          <w:rtl/>
        </w:rPr>
      </w:pPr>
      <w:bookmarkStart w:id="7348" w:name="_Toc19435525"/>
      <w:bookmarkStart w:id="7349" w:name="_Toc20080825"/>
      <w:r>
        <w:rPr>
          <w:noProof/>
          <w:rtl/>
        </w:rPr>
        <w:t>ביאור הגר"י ענגיל דבסנהרין אין למיעוט כח ליצור ספק</w:t>
      </w:r>
      <w:bookmarkEnd w:id="7348"/>
      <w:bookmarkEnd w:id="7349"/>
    </w:p>
    <w:p w14:paraId="7944CB14" w14:textId="77777777" w:rsidR="00744111" w:rsidRDefault="00744111" w:rsidP="005077A7">
      <w:pPr>
        <w:pStyle w:val="a"/>
        <w:rPr>
          <w:rFonts w:eastAsiaTheme="minorEastAsia" w:cstheme="minorBidi"/>
          <w:noProof/>
          <w:sz w:val="22"/>
          <w:szCs w:val="22"/>
          <w:rtl/>
        </w:rPr>
      </w:pPr>
      <w:r>
        <w:rPr>
          <w:noProof/>
          <w:rtl/>
        </w:rPr>
        <w:t>דברי הגר"י ענגיל דבסנהדרין מיעוט אינו עושה ספק וא"א למילף מזה לרובא דל"ק שיש כבר ספק</w:t>
      </w:r>
    </w:p>
    <w:p w14:paraId="5F2FBB2B" w14:textId="77777777" w:rsidR="00744111" w:rsidRDefault="00744111" w:rsidP="00744111">
      <w:pPr>
        <w:pStyle w:val="aff4"/>
        <w:rPr>
          <w:rFonts w:eastAsiaTheme="minorEastAsia" w:cstheme="minorBidi"/>
          <w:i/>
          <w:iCs/>
          <w:noProof/>
          <w:sz w:val="22"/>
          <w:szCs w:val="22"/>
          <w:rtl/>
        </w:rPr>
      </w:pPr>
      <w:bookmarkStart w:id="7350" w:name="_Toc19435526"/>
      <w:bookmarkStart w:id="7351" w:name="_Toc20080826"/>
      <w:r>
        <w:rPr>
          <w:noProof/>
          <w:rtl/>
        </w:rPr>
        <w:t>ביאור חי' רמ"ש דברובא דא"ק חשיב שהרוב והמיעוט מעורבים</w:t>
      </w:r>
      <w:bookmarkEnd w:id="7350"/>
      <w:bookmarkEnd w:id="7351"/>
    </w:p>
    <w:p w14:paraId="452C5908" w14:textId="77777777" w:rsidR="00744111" w:rsidRDefault="00744111" w:rsidP="005077A7">
      <w:pPr>
        <w:pStyle w:val="a"/>
        <w:rPr>
          <w:rFonts w:eastAsiaTheme="minorEastAsia" w:cstheme="minorBidi"/>
          <w:noProof/>
          <w:sz w:val="22"/>
          <w:szCs w:val="22"/>
          <w:rtl/>
        </w:rPr>
      </w:pPr>
      <w:r>
        <w:rPr>
          <w:noProof/>
          <w:rtl/>
        </w:rPr>
        <w:t>דברי חי' רמ"ש דברובא דא"ק הרוב ומיעוט חשיבי מעורבים והמיעוט בטל וא"א ללמוד לרובא דל"ק</w:t>
      </w:r>
    </w:p>
    <w:p w14:paraId="51605DC6" w14:textId="77777777" w:rsidR="00744111" w:rsidRDefault="00744111" w:rsidP="005077A7">
      <w:pPr>
        <w:pStyle w:val="a"/>
        <w:rPr>
          <w:rFonts w:eastAsiaTheme="minorEastAsia" w:cstheme="minorBidi"/>
          <w:noProof/>
          <w:sz w:val="22"/>
          <w:szCs w:val="22"/>
          <w:rtl/>
        </w:rPr>
      </w:pPr>
      <w:r>
        <w:rPr>
          <w:noProof/>
          <w:rtl/>
        </w:rPr>
        <w:t>דברי חי' רמ"ש דבדיני נפשות לא שייך ביטול ובממון אין המיעוט מתבטל</w:t>
      </w:r>
    </w:p>
    <w:p w14:paraId="78FA54E9" w14:textId="77777777" w:rsidR="00744111" w:rsidRDefault="00744111" w:rsidP="00744111">
      <w:pPr>
        <w:pStyle w:val="aff4"/>
        <w:rPr>
          <w:rFonts w:eastAsiaTheme="minorEastAsia" w:cstheme="minorBidi"/>
          <w:i/>
          <w:iCs/>
          <w:noProof/>
          <w:sz w:val="22"/>
          <w:szCs w:val="22"/>
          <w:rtl/>
        </w:rPr>
      </w:pPr>
      <w:bookmarkStart w:id="7352" w:name="_Toc19435527"/>
      <w:bookmarkStart w:id="7353" w:name="_Toc20080827"/>
      <w:r>
        <w:rPr>
          <w:noProof/>
          <w:rtl/>
        </w:rPr>
        <w:t>דברי החת"ס דרובא דל"ק עדיף דאין לפנינו מיעוט שסותרו</w:t>
      </w:r>
      <w:bookmarkEnd w:id="7352"/>
      <w:bookmarkEnd w:id="7353"/>
    </w:p>
    <w:p w14:paraId="369862A2" w14:textId="77777777" w:rsidR="00744111" w:rsidRDefault="00744111" w:rsidP="005077A7">
      <w:pPr>
        <w:pStyle w:val="a"/>
        <w:rPr>
          <w:rFonts w:eastAsiaTheme="minorEastAsia" w:cstheme="minorBidi"/>
          <w:noProof/>
          <w:sz w:val="22"/>
          <w:szCs w:val="22"/>
          <w:rtl/>
        </w:rPr>
      </w:pPr>
      <w:r>
        <w:rPr>
          <w:noProof/>
          <w:rtl/>
        </w:rPr>
        <w:t>דברי החת"ס דלמסקנא דאיתא קמן נלמד מהלמ"מ הוא עדיף מדליתא קמן</w:t>
      </w:r>
    </w:p>
    <w:p w14:paraId="0F0CC196" w14:textId="77777777" w:rsidR="00744111" w:rsidRDefault="00744111" w:rsidP="005077A7">
      <w:pPr>
        <w:pStyle w:val="a"/>
        <w:rPr>
          <w:rFonts w:eastAsiaTheme="minorEastAsia" w:cstheme="minorBidi"/>
          <w:noProof/>
          <w:sz w:val="22"/>
          <w:szCs w:val="22"/>
          <w:rtl/>
        </w:rPr>
      </w:pPr>
      <w:r>
        <w:rPr>
          <w:noProof/>
          <w:rtl/>
        </w:rPr>
        <w:t>ביאור החת"ס דברובא דל"ק אין מיעוט הסותר ועדיף מרובא דא"ק שיש מיעוט הסותר לרוב</w:t>
      </w:r>
    </w:p>
    <w:p w14:paraId="776B5E12" w14:textId="77777777" w:rsidR="00744111" w:rsidRDefault="00744111" w:rsidP="00744111">
      <w:pPr>
        <w:pStyle w:val="aff4"/>
        <w:rPr>
          <w:rFonts w:eastAsiaTheme="minorEastAsia" w:cstheme="minorBidi"/>
          <w:i/>
          <w:iCs/>
          <w:noProof/>
          <w:sz w:val="22"/>
          <w:szCs w:val="22"/>
          <w:rtl/>
        </w:rPr>
      </w:pPr>
      <w:bookmarkStart w:id="7354" w:name="_Toc19435528"/>
      <w:bookmarkStart w:id="7355" w:name="_Toc20080828"/>
      <w:r>
        <w:rPr>
          <w:noProof/>
          <w:rtl/>
        </w:rPr>
        <w:t>דברי החזו"א דלא שייך לומר כל דפריש ברובא דליתא קמן</w:t>
      </w:r>
      <w:bookmarkEnd w:id="7354"/>
      <w:bookmarkEnd w:id="7355"/>
    </w:p>
    <w:p w14:paraId="6D04DCC9" w14:textId="77777777" w:rsidR="00744111" w:rsidRDefault="00744111" w:rsidP="005077A7">
      <w:pPr>
        <w:pStyle w:val="a"/>
        <w:rPr>
          <w:rFonts w:eastAsiaTheme="minorEastAsia" w:cstheme="minorBidi"/>
          <w:noProof/>
          <w:sz w:val="22"/>
          <w:szCs w:val="22"/>
          <w:rtl/>
        </w:rPr>
      </w:pPr>
      <w:r>
        <w:rPr>
          <w:noProof/>
          <w:rtl/>
        </w:rPr>
        <w:t>דברי החזו"א דברובא דליתא קמן לא עמדנו עליו מעולם ולא שייך לומר כל דפריש</w:t>
      </w:r>
    </w:p>
    <w:p w14:paraId="6E96FBC9" w14:textId="77777777" w:rsidR="00744111" w:rsidRDefault="00744111" w:rsidP="00744111">
      <w:pPr>
        <w:pStyle w:val="2"/>
        <w:rPr>
          <w:rFonts w:eastAsiaTheme="minorEastAsia" w:cstheme="minorBidi"/>
          <w:i/>
          <w:iCs/>
          <w:noProof/>
          <w:sz w:val="22"/>
          <w:szCs w:val="22"/>
          <w:rtl/>
        </w:rPr>
      </w:pPr>
      <w:bookmarkStart w:id="7356" w:name="_Toc19435529"/>
      <w:r>
        <w:rPr>
          <w:noProof/>
          <w:rtl/>
        </w:rPr>
        <w:t>במעלת רובא דאיתא קמן</w:t>
      </w:r>
      <w:bookmarkEnd w:id="7356"/>
    </w:p>
    <w:p w14:paraId="31463619" w14:textId="77777777" w:rsidR="00744111" w:rsidRDefault="00744111" w:rsidP="00744111">
      <w:pPr>
        <w:pStyle w:val="aff4"/>
        <w:rPr>
          <w:rFonts w:eastAsiaTheme="minorEastAsia" w:cstheme="minorBidi"/>
          <w:i/>
          <w:iCs/>
          <w:noProof/>
          <w:sz w:val="22"/>
          <w:szCs w:val="22"/>
          <w:rtl/>
        </w:rPr>
      </w:pPr>
      <w:bookmarkStart w:id="7357" w:name="_Toc19435530"/>
      <w:bookmarkStart w:id="7358" w:name="_Toc20080829"/>
      <w:r>
        <w:rPr>
          <w:noProof/>
          <w:rtl/>
        </w:rPr>
        <w:t>דעת התוס' והר"ן דברובא דא"ק לכו"ע לא חיישינן למיעוטא</w:t>
      </w:r>
      <w:bookmarkEnd w:id="7357"/>
      <w:bookmarkEnd w:id="7358"/>
    </w:p>
    <w:p w14:paraId="6D961C18" w14:textId="77777777" w:rsidR="00744111" w:rsidRDefault="00744111" w:rsidP="005077A7">
      <w:pPr>
        <w:pStyle w:val="a"/>
        <w:rPr>
          <w:rFonts w:eastAsiaTheme="minorEastAsia" w:cstheme="minorBidi"/>
          <w:noProof/>
          <w:sz w:val="22"/>
          <w:szCs w:val="22"/>
          <w:rtl/>
        </w:rPr>
      </w:pPr>
      <w:r>
        <w:rPr>
          <w:noProof/>
          <w:rtl/>
        </w:rPr>
        <w:t>דברי הר"ן דמהא דא"א ללמוד רובא דליתא קמן מסנהדרין מוכח דלא חיישינן בו למיעוט</w:t>
      </w:r>
    </w:p>
    <w:p w14:paraId="32C0BBB5" w14:textId="77777777" w:rsidR="00744111" w:rsidRDefault="00744111" w:rsidP="005077A7">
      <w:pPr>
        <w:pStyle w:val="a"/>
        <w:rPr>
          <w:rFonts w:eastAsiaTheme="minorEastAsia" w:cstheme="minorBidi"/>
          <w:noProof/>
          <w:sz w:val="22"/>
          <w:szCs w:val="22"/>
          <w:rtl/>
        </w:rPr>
      </w:pPr>
      <w:r>
        <w:rPr>
          <w:noProof/>
          <w:rtl/>
        </w:rPr>
        <w:t>ביאור הר"ן דברובא דא"ק הרוב שלפנינו מבטל את המיעוט לגמרי וברובא דל"ק המיעוט לא בטל</w:t>
      </w:r>
    </w:p>
    <w:p w14:paraId="26EDD351" w14:textId="77777777" w:rsidR="00744111" w:rsidRDefault="00744111" w:rsidP="005077A7">
      <w:pPr>
        <w:pStyle w:val="a"/>
        <w:rPr>
          <w:rFonts w:eastAsiaTheme="minorEastAsia" w:cstheme="minorBidi"/>
          <w:noProof/>
          <w:sz w:val="22"/>
          <w:szCs w:val="22"/>
          <w:rtl/>
        </w:rPr>
      </w:pPr>
      <w:r>
        <w:rPr>
          <w:noProof/>
          <w:rtl/>
        </w:rPr>
        <w:t>דברי התוס' ביבמות ובבכורות דברובא דאיתא קמן אף ר"מ לא חייש למיעוטא</w:t>
      </w:r>
    </w:p>
    <w:p w14:paraId="0CD0859F" w14:textId="77777777" w:rsidR="00744111" w:rsidRDefault="00744111" w:rsidP="005077A7">
      <w:pPr>
        <w:pStyle w:val="a"/>
        <w:rPr>
          <w:rFonts w:eastAsiaTheme="minorEastAsia" w:cstheme="minorBidi"/>
          <w:noProof/>
          <w:sz w:val="22"/>
          <w:szCs w:val="22"/>
          <w:rtl/>
        </w:rPr>
      </w:pPr>
      <w:r>
        <w:rPr>
          <w:noProof/>
          <w:rtl/>
        </w:rPr>
        <w:t>דברי החוו"ד דברובא דאיתא קמן א"א לסמוך את המיעוט לחזקה דהוא כמאן דליתא</w:t>
      </w:r>
    </w:p>
    <w:p w14:paraId="36A2EB45" w14:textId="77777777" w:rsidR="00744111" w:rsidRDefault="00744111" w:rsidP="005077A7">
      <w:pPr>
        <w:pStyle w:val="a"/>
        <w:rPr>
          <w:rFonts w:eastAsiaTheme="minorEastAsia" w:cstheme="minorBidi"/>
          <w:noProof/>
          <w:sz w:val="22"/>
          <w:szCs w:val="22"/>
          <w:rtl/>
        </w:rPr>
      </w:pPr>
      <w:r>
        <w:rPr>
          <w:noProof/>
          <w:rtl/>
        </w:rPr>
        <w:t>ביאור האבאה"ז דהרמב"ן מסתפק אי ברובא דאיתא קמן אמרינן סמוך מיעוטא לחזקה</w:t>
      </w:r>
    </w:p>
    <w:p w14:paraId="23288CFC" w14:textId="77777777" w:rsidR="00744111" w:rsidRDefault="00744111" w:rsidP="00744111">
      <w:pPr>
        <w:pStyle w:val="aff4"/>
        <w:rPr>
          <w:rFonts w:eastAsiaTheme="minorEastAsia" w:cstheme="minorBidi"/>
          <w:i/>
          <w:iCs/>
          <w:noProof/>
          <w:sz w:val="22"/>
          <w:szCs w:val="22"/>
          <w:rtl/>
        </w:rPr>
      </w:pPr>
      <w:bookmarkStart w:id="7359" w:name="_Toc19435531"/>
      <w:bookmarkStart w:id="7360" w:name="_Toc20080830"/>
      <w:r>
        <w:rPr>
          <w:noProof/>
          <w:rtl/>
        </w:rPr>
        <w:t>משמעות הר"ש והרשב"א דברובא דא"ק סמכינן מיעוטא לחזקה</w:t>
      </w:r>
      <w:bookmarkEnd w:id="7359"/>
      <w:bookmarkEnd w:id="7360"/>
    </w:p>
    <w:p w14:paraId="65B56DFF" w14:textId="77777777" w:rsidR="00744111" w:rsidRDefault="00744111" w:rsidP="005077A7">
      <w:pPr>
        <w:pStyle w:val="a"/>
        <w:rPr>
          <w:rFonts w:eastAsiaTheme="minorEastAsia" w:cstheme="minorBidi"/>
          <w:noProof/>
          <w:sz w:val="22"/>
          <w:szCs w:val="22"/>
          <w:rtl/>
        </w:rPr>
      </w:pPr>
      <w:r>
        <w:rPr>
          <w:noProof/>
          <w:rtl/>
        </w:rPr>
        <w:t>משמעות הרשב"א דאף ברובא דאיתא קמן שייך לומר סמוך מיעוטא לחזקה</w:t>
      </w:r>
    </w:p>
    <w:p w14:paraId="7C49B04A" w14:textId="77777777" w:rsidR="00744111" w:rsidRDefault="00744111" w:rsidP="005077A7">
      <w:pPr>
        <w:pStyle w:val="a"/>
        <w:rPr>
          <w:rFonts w:eastAsiaTheme="minorEastAsia" w:cstheme="minorBidi"/>
          <w:noProof/>
          <w:sz w:val="22"/>
          <w:szCs w:val="22"/>
          <w:rtl/>
        </w:rPr>
      </w:pPr>
      <w:r>
        <w:rPr>
          <w:noProof/>
          <w:rtl/>
        </w:rPr>
        <w:t>דחיית הגרעק"א דבתינוק הוא רובא דא"ק ולא אמרינן ביה סמוך מיעוטא לחזקה</w:t>
      </w:r>
    </w:p>
    <w:p w14:paraId="31FD133A" w14:textId="77777777" w:rsidR="00744111" w:rsidRDefault="00744111" w:rsidP="005077A7">
      <w:pPr>
        <w:pStyle w:val="a"/>
        <w:rPr>
          <w:rFonts w:eastAsiaTheme="minorEastAsia" w:cstheme="minorBidi"/>
          <w:noProof/>
          <w:sz w:val="22"/>
          <w:szCs w:val="22"/>
          <w:rtl/>
        </w:rPr>
      </w:pPr>
      <w:r>
        <w:rPr>
          <w:noProof/>
          <w:rtl/>
        </w:rPr>
        <w:t>קושית האו"ש דבר"ש משמע דאף ברובא דאיתא קמן שייך לומר סמוך מיעוטא לחזקה לר"מ</w:t>
      </w:r>
    </w:p>
    <w:p w14:paraId="54D753CA" w14:textId="77777777" w:rsidR="00744111" w:rsidRDefault="00744111" w:rsidP="005077A7">
      <w:pPr>
        <w:pStyle w:val="a"/>
        <w:rPr>
          <w:rFonts w:eastAsiaTheme="minorEastAsia" w:cstheme="minorBidi"/>
          <w:noProof/>
          <w:sz w:val="22"/>
          <w:szCs w:val="22"/>
          <w:rtl/>
        </w:rPr>
      </w:pPr>
      <w:r>
        <w:rPr>
          <w:noProof/>
          <w:rtl/>
        </w:rPr>
        <w:t>דברי הגרעק"א דלביאור הב' ברש"י דרובא דל"ק נלמד מסנהדרין צ"ל דרק מדרבנן המיעוט בטל</w:t>
      </w:r>
    </w:p>
    <w:p w14:paraId="63B63D4E" w14:textId="77777777" w:rsidR="00744111" w:rsidRDefault="00744111" w:rsidP="00744111">
      <w:pPr>
        <w:pStyle w:val="aff4"/>
        <w:rPr>
          <w:rFonts w:eastAsiaTheme="minorEastAsia" w:cstheme="minorBidi"/>
          <w:i/>
          <w:iCs/>
          <w:noProof/>
          <w:sz w:val="22"/>
          <w:szCs w:val="22"/>
          <w:rtl/>
        </w:rPr>
      </w:pPr>
      <w:bookmarkStart w:id="7361" w:name="_Toc19435532"/>
      <w:bookmarkStart w:id="7362" w:name="_Toc20080831"/>
      <w:r>
        <w:rPr>
          <w:noProof/>
          <w:rtl/>
        </w:rPr>
        <w:t>ספק הגרעק"א בדעת הר"ן בסמוך מיעוטא לפלגא ברובא דא"ק</w:t>
      </w:r>
      <w:bookmarkEnd w:id="7361"/>
      <w:bookmarkEnd w:id="7362"/>
    </w:p>
    <w:p w14:paraId="615AB9C4" w14:textId="77777777" w:rsidR="00744111" w:rsidRDefault="00744111" w:rsidP="005077A7">
      <w:pPr>
        <w:pStyle w:val="a"/>
        <w:rPr>
          <w:rFonts w:eastAsiaTheme="minorEastAsia" w:cstheme="minorBidi"/>
          <w:noProof/>
          <w:sz w:val="22"/>
          <w:szCs w:val="22"/>
          <w:rtl/>
        </w:rPr>
      </w:pPr>
      <w:r>
        <w:rPr>
          <w:noProof/>
          <w:rtl/>
        </w:rPr>
        <w:t>דברי הגרעק"א דכיון דברובא דאיתא קמן המיעוט כמי שאינו משמע דא"א לסומכו לפלגא</w:t>
      </w:r>
    </w:p>
    <w:p w14:paraId="70958BA3" w14:textId="77777777" w:rsidR="00744111" w:rsidRDefault="00744111" w:rsidP="005077A7">
      <w:pPr>
        <w:pStyle w:val="a"/>
        <w:rPr>
          <w:rFonts w:eastAsiaTheme="minorEastAsia" w:cstheme="minorBidi"/>
          <w:noProof/>
          <w:sz w:val="22"/>
          <w:szCs w:val="22"/>
          <w:rtl/>
        </w:rPr>
      </w:pPr>
      <w:r>
        <w:rPr>
          <w:noProof/>
          <w:rtl/>
        </w:rPr>
        <w:t>דחיית הגרעק"א דכל דברי הר"ן הם לדעת ר"מ אבל סמוך מיעוטא לפלגא לרבנן סמכינן</w:t>
      </w:r>
    </w:p>
    <w:p w14:paraId="341ADA96" w14:textId="77777777" w:rsidR="00744111" w:rsidRDefault="00744111" w:rsidP="005077A7">
      <w:pPr>
        <w:pStyle w:val="a"/>
        <w:rPr>
          <w:rFonts w:eastAsiaTheme="minorEastAsia" w:cstheme="minorBidi"/>
          <w:noProof/>
          <w:sz w:val="22"/>
          <w:szCs w:val="22"/>
          <w:rtl/>
        </w:rPr>
      </w:pPr>
      <w:r>
        <w:rPr>
          <w:noProof/>
          <w:rtl/>
        </w:rPr>
        <w:t>ספק הגרעק"א דהא אף לרבנן המיעוט כמי שאינו ולא סמכינן מיעוט לחזקה לחומרא</w:t>
      </w:r>
    </w:p>
    <w:p w14:paraId="05407567" w14:textId="77777777" w:rsidR="00744111" w:rsidRDefault="00744111" w:rsidP="00744111">
      <w:pPr>
        <w:pStyle w:val="aff4"/>
        <w:rPr>
          <w:rFonts w:eastAsiaTheme="minorEastAsia" w:cstheme="minorBidi"/>
          <w:i/>
          <w:iCs/>
          <w:noProof/>
          <w:sz w:val="22"/>
          <w:szCs w:val="22"/>
          <w:rtl/>
        </w:rPr>
      </w:pPr>
      <w:bookmarkStart w:id="7363" w:name="_Toc19435533"/>
      <w:bookmarkStart w:id="7364" w:name="_Toc20080832"/>
      <w:r>
        <w:rPr>
          <w:noProof/>
          <w:rtl/>
        </w:rPr>
        <w:t>פלוגתת הראשונים אי אזלינן בממון בתר רובא דאיתא קמן</w:t>
      </w:r>
      <w:bookmarkEnd w:id="7363"/>
      <w:bookmarkEnd w:id="7364"/>
    </w:p>
    <w:p w14:paraId="14E499C8" w14:textId="77777777" w:rsidR="00744111" w:rsidRDefault="00744111" w:rsidP="005077A7">
      <w:pPr>
        <w:pStyle w:val="a"/>
        <w:rPr>
          <w:rFonts w:eastAsiaTheme="minorEastAsia" w:cstheme="minorBidi"/>
          <w:noProof/>
          <w:sz w:val="22"/>
          <w:szCs w:val="22"/>
          <w:rtl/>
        </w:rPr>
      </w:pPr>
      <w:r>
        <w:rPr>
          <w:noProof/>
          <w:rtl/>
        </w:rPr>
        <w:t>דברי התרוה"ד דנחלקו המהר"ם מרוטנבורג ור"י אי אזלינן בממון בתר רובא דאיתא קמן</w:t>
      </w:r>
    </w:p>
    <w:p w14:paraId="20EC4B53" w14:textId="77777777" w:rsidR="00744111" w:rsidRDefault="00744111" w:rsidP="005077A7">
      <w:pPr>
        <w:pStyle w:val="a"/>
        <w:rPr>
          <w:rFonts w:eastAsiaTheme="minorEastAsia" w:cstheme="minorBidi"/>
          <w:noProof/>
          <w:sz w:val="22"/>
          <w:szCs w:val="22"/>
          <w:rtl/>
        </w:rPr>
      </w:pPr>
      <w:r>
        <w:rPr>
          <w:noProof/>
          <w:rtl/>
        </w:rPr>
        <w:t>דברי הגרעק"א דאי ילפינן ליתא קמן מסנהדרין בממון לא אזלינן בתר רובא כלל</w:t>
      </w:r>
    </w:p>
    <w:p w14:paraId="24127570" w14:textId="77777777" w:rsidR="00744111" w:rsidRDefault="00744111" w:rsidP="005077A7">
      <w:pPr>
        <w:pStyle w:val="a"/>
        <w:rPr>
          <w:rFonts w:eastAsiaTheme="minorEastAsia" w:cstheme="minorBidi"/>
          <w:noProof/>
          <w:sz w:val="22"/>
          <w:szCs w:val="22"/>
          <w:rtl/>
        </w:rPr>
      </w:pPr>
      <w:r>
        <w:rPr>
          <w:noProof/>
          <w:rtl/>
        </w:rPr>
        <w:t>דברי הגרעק"א דאי ילפינן רובא דל"ק מהלכה למשה מסיני בממון אזלינן בתר רובא דא"ק</w:t>
      </w:r>
    </w:p>
    <w:p w14:paraId="73300BB2" w14:textId="77777777" w:rsidR="00744111" w:rsidRDefault="00744111" w:rsidP="005077A7">
      <w:pPr>
        <w:pStyle w:val="a"/>
        <w:rPr>
          <w:rFonts w:eastAsiaTheme="minorEastAsia" w:cstheme="minorBidi"/>
          <w:noProof/>
          <w:sz w:val="22"/>
          <w:szCs w:val="22"/>
          <w:rtl/>
        </w:rPr>
      </w:pPr>
      <w:r>
        <w:rPr>
          <w:noProof/>
          <w:rtl/>
        </w:rPr>
        <w:t>ביאור הגרעק"א דכיון דהמיעוט ברובא דא"ק כמי שאינו א"א לומר בממון סמוך מיעוטא למוחזק</w:t>
      </w:r>
    </w:p>
    <w:p w14:paraId="153DACD8" w14:textId="77777777" w:rsidR="00744111" w:rsidRDefault="00744111" w:rsidP="005077A7">
      <w:pPr>
        <w:pStyle w:val="a"/>
        <w:rPr>
          <w:rFonts w:eastAsiaTheme="minorEastAsia" w:cstheme="minorBidi"/>
          <w:noProof/>
          <w:sz w:val="22"/>
          <w:szCs w:val="22"/>
          <w:rtl/>
        </w:rPr>
      </w:pPr>
      <w:r>
        <w:rPr>
          <w:noProof/>
          <w:rtl/>
        </w:rPr>
        <w:t>דברי הגרעק"א דלתוס' הוא ספק אי אזלינן בממון בתר רובא דאיתא קמן ולדעת הרמ"א לא אזלינן</w:t>
      </w:r>
    </w:p>
    <w:p w14:paraId="7A1C93A3" w14:textId="77777777" w:rsidR="00744111" w:rsidRDefault="00744111" w:rsidP="00744111">
      <w:pPr>
        <w:pStyle w:val="aff4"/>
        <w:rPr>
          <w:rFonts w:eastAsiaTheme="minorEastAsia" w:cstheme="minorBidi"/>
          <w:i/>
          <w:iCs/>
          <w:noProof/>
          <w:sz w:val="22"/>
          <w:szCs w:val="22"/>
          <w:rtl/>
        </w:rPr>
      </w:pPr>
      <w:bookmarkStart w:id="7365" w:name="_Toc19435534"/>
      <w:bookmarkStart w:id="7366" w:name="_Toc20080833"/>
      <w:r>
        <w:rPr>
          <w:noProof/>
          <w:rtl/>
        </w:rPr>
        <w:t>דברי הש"ש והגרעק"א דע"א אינו נאמן כנגד רובא דליתא קמן</w:t>
      </w:r>
      <w:bookmarkEnd w:id="7365"/>
      <w:bookmarkEnd w:id="7366"/>
    </w:p>
    <w:p w14:paraId="3558C4C2" w14:textId="77777777" w:rsidR="00744111" w:rsidRDefault="00744111" w:rsidP="005077A7">
      <w:pPr>
        <w:pStyle w:val="a"/>
        <w:rPr>
          <w:rFonts w:eastAsiaTheme="minorEastAsia" w:cstheme="minorBidi"/>
          <w:noProof/>
          <w:sz w:val="22"/>
          <w:szCs w:val="22"/>
          <w:rtl/>
        </w:rPr>
      </w:pPr>
      <w:r>
        <w:rPr>
          <w:noProof/>
          <w:rtl/>
        </w:rPr>
        <w:t>דברי הש"ש דע"א נאמן כנגד רובא דאיתא קמן ואינו נאמן כנגד רובא דליתא קמן</w:t>
      </w:r>
    </w:p>
    <w:p w14:paraId="298119B9" w14:textId="77777777" w:rsidR="00744111" w:rsidRDefault="00744111" w:rsidP="005077A7">
      <w:pPr>
        <w:pStyle w:val="a"/>
        <w:rPr>
          <w:rFonts w:eastAsiaTheme="minorEastAsia" w:cstheme="minorBidi"/>
          <w:noProof/>
          <w:sz w:val="22"/>
          <w:szCs w:val="22"/>
          <w:rtl/>
        </w:rPr>
      </w:pPr>
      <w:r>
        <w:rPr>
          <w:noProof/>
          <w:rtl/>
        </w:rPr>
        <w:t>ביאור הש"ש דברובא דא"ק הע"א מעיד שאין תערובת ואין רוב וברובא דל"ק מעיד כנגד הרוב</w:t>
      </w:r>
    </w:p>
    <w:p w14:paraId="58C4A07A" w14:textId="77777777" w:rsidR="00744111" w:rsidRDefault="00744111" w:rsidP="005077A7">
      <w:pPr>
        <w:pStyle w:val="a"/>
        <w:rPr>
          <w:rFonts w:eastAsiaTheme="minorEastAsia" w:cstheme="minorBidi"/>
          <w:noProof/>
          <w:sz w:val="22"/>
          <w:szCs w:val="22"/>
          <w:rtl/>
        </w:rPr>
      </w:pPr>
      <w:r>
        <w:rPr>
          <w:noProof/>
          <w:rtl/>
        </w:rPr>
        <w:t>ביאור הגרעק"א דברובא דל"ק הע"א מעיד כנגד הטבע שהוא כחזקה וברובא דא"ק חשיב כספק</w:t>
      </w:r>
    </w:p>
    <w:p w14:paraId="0A4D5319" w14:textId="77777777" w:rsidR="00744111" w:rsidRDefault="00744111" w:rsidP="005077A7">
      <w:pPr>
        <w:pStyle w:val="a"/>
        <w:rPr>
          <w:rFonts w:eastAsiaTheme="minorEastAsia" w:cstheme="minorBidi"/>
          <w:noProof/>
          <w:sz w:val="22"/>
          <w:szCs w:val="22"/>
          <w:rtl/>
        </w:rPr>
      </w:pPr>
      <w:r>
        <w:rPr>
          <w:noProof/>
          <w:rtl/>
        </w:rPr>
        <w:t>דעת הנודע ביהודה דע"א נאמן כנגד רובא דל"ק וספק אם נאמן כנגד רובא דא"ק</w:t>
      </w:r>
    </w:p>
    <w:p w14:paraId="53799356" w14:textId="77777777" w:rsidR="00744111" w:rsidRDefault="00744111" w:rsidP="00744111">
      <w:pPr>
        <w:pStyle w:val="2"/>
        <w:rPr>
          <w:rFonts w:eastAsiaTheme="minorEastAsia" w:cstheme="minorBidi"/>
          <w:i/>
          <w:iCs/>
          <w:noProof/>
          <w:sz w:val="22"/>
          <w:szCs w:val="22"/>
          <w:rtl/>
        </w:rPr>
      </w:pPr>
      <w:bookmarkStart w:id="7367" w:name="_Toc19435535"/>
      <w:r>
        <w:rPr>
          <w:noProof/>
          <w:rtl/>
        </w:rPr>
        <w:t>ביאורי ראשי הישיבות על הסוגיא</w:t>
      </w:r>
      <w:bookmarkEnd w:id="7367"/>
    </w:p>
    <w:p w14:paraId="7A163F5A" w14:textId="77777777" w:rsidR="00744111" w:rsidRDefault="00744111" w:rsidP="00744111">
      <w:pPr>
        <w:pStyle w:val="2"/>
        <w:rPr>
          <w:rFonts w:eastAsiaTheme="minorEastAsia" w:cstheme="minorBidi"/>
          <w:i/>
          <w:iCs/>
          <w:noProof/>
          <w:sz w:val="22"/>
          <w:szCs w:val="22"/>
          <w:rtl/>
        </w:rPr>
      </w:pPr>
      <w:bookmarkStart w:id="7368" w:name="_Toc19435536"/>
      <w:r>
        <w:rPr>
          <w:noProof/>
          <w:rtl/>
        </w:rPr>
        <w:t>בביאור עדיפות רוב על חזקה</w:t>
      </w:r>
      <w:bookmarkEnd w:id="7368"/>
    </w:p>
    <w:p w14:paraId="42895C3A" w14:textId="77777777" w:rsidR="00744111" w:rsidRDefault="00744111" w:rsidP="00744111">
      <w:pPr>
        <w:pStyle w:val="aff4"/>
        <w:rPr>
          <w:rFonts w:eastAsiaTheme="minorEastAsia" w:cstheme="minorBidi"/>
          <w:i/>
          <w:iCs/>
          <w:noProof/>
          <w:sz w:val="22"/>
          <w:szCs w:val="22"/>
          <w:rtl/>
        </w:rPr>
      </w:pPr>
      <w:bookmarkStart w:id="7369" w:name="_Toc19435537"/>
      <w:bookmarkStart w:id="7370" w:name="_Toc20080834"/>
      <w:r>
        <w:rPr>
          <w:noProof/>
          <w:rtl/>
        </w:rPr>
        <w:t>ביאור הקוה"ע והשער"י דרוב הוא בירור וחזקה היא דין</w:t>
      </w:r>
      <w:bookmarkEnd w:id="7369"/>
      <w:bookmarkEnd w:id="7370"/>
    </w:p>
    <w:p w14:paraId="2AA3F2B7" w14:textId="77777777" w:rsidR="00744111" w:rsidRDefault="00744111" w:rsidP="005077A7">
      <w:pPr>
        <w:pStyle w:val="a"/>
        <w:rPr>
          <w:rFonts w:eastAsiaTheme="minorEastAsia" w:cstheme="minorBidi"/>
          <w:noProof/>
          <w:sz w:val="22"/>
          <w:szCs w:val="22"/>
          <w:rtl/>
        </w:rPr>
      </w:pPr>
      <w:r>
        <w:rPr>
          <w:noProof/>
          <w:rtl/>
        </w:rPr>
        <w:t>תירוץ הקוה"ע דרוב עדיף מחזקה כיון שהוא מברר את הספק וחזקה היא הנהגה בספק</w:t>
      </w:r>
    </w:p>
    <w:p w14:paraId="6EA3218E" w14:textId="77777777" w:rsidR="00744111" w:rsidRDefault="00744111" w:rsidP="005077A7">
      <w:pPr>
        <w:pStyle w:val="a"/>
        <w:rPr>
          <w:rFonts w:eastAsiaTheme="minorEastAsia" w:cstheme="minorBidi"/>
          <w:noProof/>
          <w:sz w:val="22"/>
          <w:szCs w:val="22"/>
          <w:rtl/>
        </w:rPr>
      </w:pPr>
      <w:r>
        <w:rPr>
          <w:noProof/>
          <w:rtl/>
        </w:rPr>
        <w:t>ביאור הקוב"ש ברשב"א דרק אחר דילפינן את דין רוב הוא עדיף מחזקה כיון שהוא בירור</w:t>
      </w:r>
    </w:p>
    <w:p w14:paraId="034B44F1" w14:textId="77777777" w:rsidR="00744111" w:rsidRDefault="00744111" w:rsidP="005077A7">
      <w:pPr>
        <w:pStyle w:val="a"/>
        <w:rPr>
          <w:rFonts w:eastAsiaTheme="minorEastAsia" w:cstheme="minorBidi"/>
          <w:noProof/>
          <w:sz w:val="22"/>
          <w:szCs w:val="22"/>
          <w:rtl/>
        </w:rPr>
      </w:pPr>
      <w:r>
        <w:rPr>
          <w:noProof/>
          <w:rtl/>
        </w:rPr>
        <w:t>דברי השער"י דרוב מברר את מציאות המעשה וא"א להעמיד על חזקה כשנתברר הספק</w:t>
      </w:r>
    </w:p>
    <w:p w14:paraId="79A08ADE" w14:textId="77777777" w:rsidR="00744111" w:rsidRDefault="00744111" w:rsidP="005077A7">
      <w:pPr>
        <w:pStyle w:val="a"/>
        <w:rPr>
          <w:rFonts w:eastAsiaTheme="minorEastAsia" w:cstheme="minorBidi"/>
          <w:noProof/>
          <w:sz w:val="22"/>
          <w:szCs w:val="22"/>
          <w:rtl/>
        </w:rPr>
      </w:pPr>
      <w:r>
        <w:rPr>
          <w:noProof/>
          <w:rtl/>
        </w:rPr>
        <w:t>דברי השער"י דחזקה אלימא יותר מרוב דאין כנגדה מיעוט וחשיב שאין ספק כלל</w:t>
      </w:r>
    </w:p>
    <w:p w14:paraId="1EFC6522" w14:textId="77777777" w:rsidR="00744111" w:rsidRDefault="00744111" w:rsidP="00744111">
      <w:pPr>
        <w:pStyle w:val="2"/>
        <w:rPr>
          <w:rFonts w:eastAsiaTheme="minorEastAsia" w:cstheme="minorBidi"/>
          <w:i/>
          <w:iCs/>
          <w:noProof/>
          <w:sz w:val="22"/>
          <w:szCs w:val="22"/>
          <w:rtl/>
        </w:rPr>
      </w:pPr>
      <w:bookmarkStart w:id="7371" w:name="_Toc19435538"/>
      <w:r w:rsidRPr="00E7002B">
        <w:rPr>
          <w:noProof/>
          <w:rtl/>
        </w:rPr>
        <w:t>בחילוק בין רובא דא</w:t>
      </w:r>
      <w:r>
        <w:rPr>
          <w:rFonts w:hint="cs"/>
          <w:noProof/>
          <w:rtl/>
        </w:rPr>
        <w:t xml:space="preserve">"ק </w:t>
      </w:r>
      <w:r w:rsidRPr="00E7002B">
        <w:rPr>
          <w:noProof/>
          <w:rtl/>
        </w:rPr>
        <w:t>לרובא ד</w:t>
      </w:r>
      <w:r>
        <w:rPr>
          <w:rFonts w:hint="cs"/>
          <w:noProof/>
          <w:rtl/>
        </w:rPr>
        <w:t>ל"ק</w:t>
      </w:r>
      <w:bookmarkEnd w:id="7371"/>
    </w:p>
    <w:p w14:paraId="53C084EB" w14:textId="77777777" w:rsidR="00744111" w:rsidRDefault="00744111" w:rsidP="00744111">
      <w:pPr>
        <w:pStyle w:val="aff4"/>
        <w:rPr>
          <w:rFonts w:eastAsiaTheme="minorEastAsia" w:cstheme="minorBidi"/>
          <w:i/>
          <w:iCs/>
          <w:noProof/>
          <w:sz w:val="22"/>
          <w:szCs w:val="22"/>
          <w:rtl/>
        </w:rPr>
      </w:pPr>
      <w:bookmarkStart w:id="7372" w:name="_Toc19435539"/>
      <w:bookmarkStart w:id="7373" w:name="_Toc20080835"/>
      <w:r>
        <w:rPr>
          <w:noProof/>
          <w:rtl/>
        </w:rPr>
        <w:t>דברי השער"י דמבואר דרובא דאיתא קמן עדיף מליתא קמן</w:t>
      </w:r>
      <w:bookmarkEnd w:id="7372"/>
      <w:bookmarkEnd w:id="7373"/>
    </w:p>
    <w:p w14:paraId="1BB814B9" w14:textId="77777777" w:rsidR="00744111" w:rsidRDefault="00744111" w:rsidP="005077A7">
      <w:pPr>
        <w:pStyle w:val="a"/>
        <w:rPr>
          <w:rFonts w:eastAsiaTheme="minorEastAsia" w:cstheme="minorBidi"/>
          <w:noProof/>
          <w:sz w:val="22"/>
          <w:szCs w:val="22"/>
          <w:rtl/>
        </w:rPr>
      </w:pPr>
      <w:r>
        <w:rPr>
          <w:noProof/>
          <w:rtl/>
        </w:rPr>
        <w:t>דברי השער"י דמשמעות סוגיין דרובא דאיתא קמן מכריע ומברר יותר מרובא דליתא קמן</w:t>
      </w:r>
    </w:p>
    <w:p w14:paraId="7FFFBF84" w14:textId="77777777" w:rsidR="00744111" w:rsidRDefault="00744111" w:rsidP="005077A7">
      <w:pPr>
        <w:pStyle w:val="a"/>
        <w:rPr>
          <w:rFonts w:eastAsiaTheme="minorEastAsia" w:cstheme="minorBidi"/>
          <w:noProof/>
          <w:sz w:val="22"/>
          <w:szCs w:val="22"/>
          <w:rtl/>
        </w:rPr>
      </w:pPr>
      <w:r>
        <w:rPr>
          <w:noProof/>
          <w:rtl/>
        </w:rPr>
        <w:t>דברי השער"י דרובא דאיתא קמן עדיף לענין ממון ולענין דינא דסמוך מיעוטא לחזקה</w:t>
      </w:r>
    </w:p>
    <w:p w14:paraId="116321A5" w14:textId="77777777" w:rsidR="00744111" w:rsidRDefault="00744111" w:rsidP="00744111">
      <w:pPr>
        <w:pStyle w:val="aff4"/>
        <w:rPr>
          <w:rFonts w:eastAsiaTheme="minorEastAsia" w:cstheme="minorBidi"/>
          <w:i/>
          <w:iCs/>
          <w:noProof/>
          <w:sz w:val="22"/>
          <w:szCs w:val="22"/>
          <w:rtl/>
        </w:rPr>
      </w:pPr>
      <w:bookmarkStart w:id="7374" w:name="_Toc19435540"/>
      <w:bookmarkStart w:id="7375" w:name="_Toc20080836"/>
      <w:r>
        <w:rPr>
          <w:noProof/>
          <w:rtl/>
        </w:rPr>
        <w:t>קושית השער"י בגדר רובא דאיתא קמן בסנהדרין וט' חנויות</w:t>
      </w:r>
      <w:bookmarkEnd w:id="7374"/>
      <w:bookmarkEnd w:id="7375"/>
    </w:p>
    <w:p w14:paraId="230E5FA1" w14:textId="77777777" w:rsidR="00744111" w:rsidRDefault="00744111" w:rsidP="005077A7">
      <w:pPr>
        <w:pStyle w:val="a"/>
        <w:rPr>
          <w:rFonts w:eastAsiaTheme="minorEastAsia" w:cstheme="minorBidi"/>
          <w:noProof/>
          <w:sz w:val="22"/>
          <w:szCs w:val="22"/>
          <w:rtl/>
        </w:rPr>
      </w:pPr>
      <w:r>
        <w:rPr>
          <w:noProof/>
          <w:rtl/>
        </w:rPr>
        <w:t>קושית השער"י דהיאך ילפינן בירור ברובא דא"ק מסנהדרין שאין סברא לומר דוקא כהרוב</w:t>
      </w:r>
    </w:p>
    <w:p w14:paraId="79776F2A" w14:textId="77777777" w:rsidR="00744111" w:rsidRDefault="00744111" w:rsidP="005077A7">
      <w:pPr>
        <w:pStyle w:val="a"/>
        <w:rPr>
          <w:rFonts w:eastAsiaTheme="minorEastAsia" w:cstheme="minorBidi"/>
          <w:noProof/>
          <w:sz w:val="22"/>
          <w:szCs w:val="22"/>
          <w:rtl/>
        </w:rPr>
      </w:pPr>
      <w:r>
        <w:rPr>
          <w:noProof/>
          <w:rtl/>
        </w:rPr>
        <w:t>קושית השער"י דאי בסנהדרין יש סברא דהרוב מכוונים לאמת זהו רובא דליתא קמן</w:t>
      </w:r>
    </w:p>
    <w:p w14:paraId="75F089A1" w14:textId="77777777" w:rsidR="00744111" w:rsidRDefault="00744111" w:rsidP="005077A7">
      <w:pPr>
        <w:pStyle w:val="a"/>
        <w:rPr>
          <w:rFonts w:eastAsiaTheme="minorEastAsia" w:cstheme="minorBidi"/>
          <w:noProof/>
          <w:sz w:val="22"/>
          <w:szCs w:val="22"/>
          <w:rtl/>
        </w:rPr>
      </w:pPr>
      <w:r>
        <w:rPr>
          <w:noProof/>
          <w:rtl/>
        </w:rPr>
        <w:t>דברי השער"י דבט' חנויות אין בירור במציאות שפרש מהרוב יותר מהמיעוט</w:t>
      </w:r>
    </w:p>
    <w:p w14:paraId="27DCCA91" w14:textId="77777777" w:rsidR="00744111" w:rsidRDefault="00744111" w:rsidP="00744111">
      <w:pPr>
        <w:pStyle w:val="aff4"/>
        <w:rPr>
          <w:rFonts w:eastAsiaTheme="minorEastAsia" w:cstheme="minorBidi"/>
          <w:i/>
          <w:iCs/>
          <w:noProof/>
          <w:sz w:val="22"/>
          <w:szCs w:val="22"/>
          <w:rtl/>
        </w:rPr>
      </w:pPr>
      <w:bookmarkStart w:id="7376" w:name="_Toc19435541"/>
      <w:bookmarkStart w:id="7377" w:name="_Toc20080837"/>
      <w:r>
        <w:rPr>
          <w:noProof/>
          <w:rtl/>
        </w:rPr>
        <w:t>ביאור השער"י בילפותא לרובא דאיתא קמן ולדליתא קמן</w:t>
      </w:r>
      <w:bookmarkEnd w:id="7376"/>
      <w:bookmarkEnd w:id="7377"/>
    </w:p>
    <w:p w14:paraId="5C53F7DD" w14:textId="77777777" w:rsidR="00744111" w:rsidRDefault="00744111" w:rsidP="005077A7">
      <w:pPr>
        <w:pStyle w:val="a"/>
        <w:rPr>
          <w:rFonts w:eastAsiaTheme="minorEastAsia" w:cstheme="minorBidi"/>
          <w:noProof/>
          <w:sz w:val="22"/>
          <w:szCs w:val="22"/>
          <w:rtl/>
        </w:rPr>
      </w:pPr>
      <w:r>
        <w:rPr>
          <w:noProof/>
          <w:rtl/>
        </w:rPr>
        <w:t>ביאור השער"י דבט' חנויות יש ט' צדדים להיתר הבשר וצד א' לאיסור ודמי לצדדים בדיינים</w:t>
      </w:r>
    </w:p>
    <w:p w14:paraId="1C58B54D" w14:textId="77777777" w:rsidR="00744111" w:rsidRDefault="00744111" w:rsidP="005077A7">
      <w:pPr>
        <w:pStyle w:val="a"/>
        <w:rPr>
          <w:rFonts w:eastAsiaTheme="minorEastAsia" w:cstheme="minorBidi"/>
          <w:noProof/>
          <w:sz w:val="22"/>
          <w:szCs w:val="22"/>
          <w:rtl/>
        </w:rPr>
      </w:pPr>
      <w:r>
        <w:rPr>
          <w:noProof/>
          <w:rtl/>
        </w:rPr>
        <w:t>ביאור השער"י דברובא דל"ק אין מציאות של היתר ואיסור והוא בירור ע"י שיקול הדעת</w:t>
      </w:r>
    </w:p>
    <w:p w14:paraId="1230008D" w14:textId="77777777" w:rsidR="00744111" w:rsidRDefault="00744111" w:rsidP="005077A7">
      <w:pPr>
        <w:pStyle w:val="a"/>
        <w:rPr>
          <w:rFonts w:eastAsiaTheme="minorEastAsia" w:cstheme="minorBidi"/>
          <w:noProof/>
          <w:sz w:val="22"/>
          <w:szCs w:val="22"/>
          <w:rtl/>
        </w:rPr>
      </w:pPr>
      <w:r>
        <w:rPr>
          <w:noProof/>
          <w:rtl/>
        </w:rPr>
        <w:t>דברי הגרש"ש דבט' חנויות אין נ"מ מהיכן פרש מתוך הט' ולכן שייך לדונם כרוב ולא כ"א בפנ"ע</w:t>
      </w:r>
    </w:p>
    <w:p w14:paraId="5691CFD4" w14:textId="77777777" w:rsidR="00744111" w:rsidRDefault="00744111" w:rsidP="00744111">
      <w:pPr>
        <w:pStyle w:val="aff4"/>
        <w:rPr>
          <w:rFonts w:eastAsiaTheme="minorEastAsia" w:cstheme="minorBidi"/>
          <w:i/>
          <w:iCs/>
          <w:noProof/>
          <w:sz w:val="22"/>
          <w:szCs w:val="22"/>
          <w:rtl/>
        </w:rPr>
      </w:pPr>
      <w:bookmarkStart w:id="7378" w:name="_Toc19435542"/>
      <w:bookmarkStart w:id="7379" w:name="_Toc20080838"/>
      <w:r>
        <w:rPr>
          <w:noProof/>
          <w:rtl/>
        </w:rPr>
        <w:t>ביאור השער"י דאיתא קמן הוא דין וליתא קמן הוא בירור</w:t>
      </w:r>
      <w:bookmarkEnd w:id="7378"/>
      <w:bookmarkEnd w:id="7379"/>
    </w:p>
    <w:p w14:paraId="32DED11B" w14:textId="77777777" w:rsidR="00744111" w:rsidRDefault="00744111" w:rsidP="005077A7">
      <w:pPr>
        <w:pStyle w:val="a"/>
        <w:rPr>
          <w:rFonts w:eastAsiaTheme="minorEastAsia" w:cstheme="minorBidi"/>
          <w:noProof/>
          <w:sz w:val="22"/>
          <w:szCs w:val="22"/>
          <w:rtl/>
        </w:rPr>
      </w:pPr>
      <w:r>
        <w:rPr>
          <w:noProof/>
          <w:rtl/>
        </w:rPr>
        <w:t>דברי השער"י דרובא דא"ק הוא ספק דאזלינן בתר רוב צדדים ואינו בירור ורובא דל"ק הוא בירור</w:t>
      </w:r>
    </w:p>
    <w:p w14:paraId="2908D187" w14:textId="77777777" w:rsidR="00744111" w:rsidRDefault="00744111" w:rsidP="005077A7">
      <w:pPr>
        <w:pStyle w:val="a"/>
        <w:rPr>
          <w:rFonts w:eastAsiaTheme="minorEastAsia" w:cstheme="minorBidi"/>
          <w:noProof/>
          <w:sz w:val="22"/>
          <w:szCs w:val="22"/>
          <w:rtl/>
        </w:rPr>
      </w:pPr>
      <w:r>
        <w:rPr>
          <w:noProof/>
          <w:rtl/>
        </w:rPr>
        <w:t>דברי השער"י דרובא דל"ק הוא בירור ומהני לענין נפשות ויוחסין ורובא דא"ק לא מהני</w:t>
      </w:r>
    </w:p>
    <w:p w14:paraId="525ADDEA" w14:textId="77777777" w:rsidR="00744111" w:rsidRDefault="00744111" w:rsidP="00744111">
      <w:pPr>
        <w:pStyle w:val="aff4"/>
        <w:rPr>
          <w:rFonts w:eastAsiaTheme="minorEastAsia" w:cstheme="minorBidi"/>
          <w:i/>
          <w:iCs/>
          <w:noProof/>
          <w:sz w:val="22"/>
          <w:szCs w:val="22"/>
          <w:rtl/>
        </w:rPr>
      </w:pPr>
      <w:bookmarkStart w:id="7380" w:name="_Toc19435543"/>
      <w:bookmarkStart w:id="7381" w:name="_Toc20080839"/>
      <w:r>
        <w:rPr>
          <w:noProof/>
          <w:rtl/>
        </w:rPr>
        <w:t>ביאור השער"י ברמב"ם דבנפשות לא מהני רובא דליתא קמן</w:t>
      </w:r>
      <w:bookmarkEnd w:id="7380"/>
      <w:bookmarkEnd w:id="7381"/>
    </w:p>
    <w:p w14:paraId="03004ADB" w14:textId="77777777" w:rsidR="00744111" w:rsidRDefault="00744111" w:rsidP="005077A7">
      <w:pPr>
        <w:pStyle w:val="a"/>
        <w:rPr>
          <w:rFonts w:eastAsiaTheme="minorEastAsia" w:cstheme="minorBidi"/>
          <w:noProof/>
          <w:sz w:val="22"/>
          <w:szCs w:val="22"/>
          <w:rtl/>
        </w:rPr>
      </w:pPr>
      <w:r>
        <w:rPr>
          <w:noProof/>
          <w:rtl/>
        </w:rPr>
        <w:t>קושית השער"י בסתירת דברי הרמב"ם אי מהני רוב בדיני נפשות</w:t>
      </w:r>
    </w:p>
    <w:p w14:paraId="3D4455CD" w14:textId="77777777" w:rsidR="00744111" w:rsidRDefault="00744111" w:rsidP="005077A7">
      <w:pPr>
        <w:pStyle w:val="a"/>
        <w:rPr>
          <w:rFonts w:eastAsiaTheme="minorEastAsia" w:cstheme="minorBidi"/>
          <w:noProof/>
          <w:sz w:val="22"/>
          <w:szCs w:val="22"/>
          <w:rtl/>
        </w:rPr>
      </w:pPr>
      <w:r>
        <w:rPr>
          <w:noProof/>
          <w:rtl/>
        </w:rPr>
        <w:t>דברי השער"י דלדעת הרמב"ם דלענין נפשות רובא דל"ק מהני ורובא דא"ק לא מהני</w:t>
      </w:r>
    </w:p>
    <w:p w14:paraId="019C73B1" w14:textId="77777777" w:rsidR="00744111" w:rsidRDefault="00744111" w:rsidP="005077A7">
      <w:pPr>
        <w:pStyle w:val="a"/>
        <w:rPr>
          <w:rFonts w:eastAsiaTheme="minorEastAsia" w:cstheme="minorBidi"/>
          <w:noProof/>
          <w:sz w:val="22"/>
          <w:szCs w:val="22"/>
          <w:rtl/>
        </w:rPr>
      </w:pPr>
      <w:r>
        <w:rPr>
          <w:noProof/>
          <w:rtl/>
        </w:rPr>
        <w:t>ביאור השער"י דברובא דל"ק נתברר הספק אף בנפשות וברובא דא"ק אינו דין ודאי לענין נפשות</w:t>
      </w:r>
    </w:p>
    <w:p w14:paraId="6A0F0C17" w14:textId="77777777" w:rsidR="00744111" w:rsidRDefault="00744111" w:rsidP="005077A7">
      <w:pPr>
        <w:pStyle w:val="a"/>
        <w:rPr>
          <w:rFonts w:eastAsiaTheme="minorEastAsia" w:cstheme="minorBidi"/>
          <w:noProof/>
          <w:sz w:val="22"/>
          <w:szCs w:val="22"/>
          <w:rtl/>
        </w:rPr>
      </w:pPr>
      <w:r>
        <w:rPr>
          <w:noProof/>
          <w:rtl/>
        </w:rPr>
        <w:t>דברי השער"י דאף שהספק על הנפשות הוא תולדה מספק שהוכרע ברובא דא"ק מ"מ אינו כודאי</w:t>
      </w:r>
    </w:p>
    <w:p w14:paraId="5E4FB070" w14:textId="77777777" w:rsidR="00744111" w:rsidRDefault="00744111" w:rsidP="00744111">
      <w:pPr>
        <w:pStyle w:val="aff4"/>
        <w:rPr>
          <w:rFonts w:eastAsiaTheme="minorEastAsia" w:cstheme="minorBidi"/>
          <w:i/>
          <w:iCs/>
          <w:noProof/>
          <w:sz w:val="22"/>
          <w:szCs w:val="22"/>
          <w:rtl/>
        </w:rPr>
      </w:pPr>
      <w:bookmarkStart w:id="7382" w:name="_Toc19435544"/>
      <w:bookmarkStart w:id="7383" w:name="_Toc20080840"/>
      <w:r>
        <w:rPr>
          <w:noProof/>
          <w:rtl/>
        </w:rPr>
        <w:t>דברי הקוב"ש דברובא דליתא קמן יש רק ידיעה כללית</w:t>
      </w:r>
      <w:bookmarkEnd w:id="7382"/>
      <w:bookmarkEnd w:id="7383"/>
    </w:p>
    <w:p w14:paraId="32309513" w14:textId="77777777" w:rsidR="00744111" w:rsidRDefault="00744111" w:rsidP="005077A7">
      <w:pPr>
        <w:pStyle w:val="a"/>
        <w:rPr>
          <w:rFonts w:eastAsiaTheme="minorEastAsia" w:cstheme="minorBidi"/>
          <w:noProof/>
          <w:sz w:val="22"/>
          <w:szCs w:val="22"/>
          <w:rtl/>
        </w:rPr>
      </w:pPr>
      <w:r>
        <w:rPr>
          <w:noProof/>
          <w:rtl/>
        </w:rPr>
        <w:t>ביאור הקוב"ש דברובא דל"ק יש רק ידיעה כללית ואין ידיעה על הפרטים שמצטרפים לרוב</w:t>
      </w:r>
    </w:p>
    <w:p w14:paraId="0CD3D252" w14:textId="77777777" w:rsidR="00744111" w:rsidRDefault="00744111" w:rsidP="00744111">
      <w:pPr>
        <w:pStyle w:val="aff4"/>
        <w:rPr>
          <w:rFonts w:eastAsiaTheme="minorEastAsia" w:cstheme="minorBidi"/>
          <w:i/>
          <w:iCs/>
          <w:noProof/>
          <w:sz w:val="22"/>
          <w:szCs w:val="22"/>
          <w:rtl/>
        </w:rPr>
      </w:pPr>
      <w:bookmarkStart w:id="7384" w:name="_Toc19435545"/>
      <w:bookmarkStart w:id="7385" w:name="_Toc20080841"/>
      <w:r>
        <w:rPr>
          <w:noProof/>
          <w:rtl/>
        </w:rPr>
        <w:t>קושית הגר"ח דיועיל רובא דליתא מדין רובא דאיתא</w:t>
      </w:r>
      <w:bookmarkEnd w:id="7384"/>
      <w:bookmarkEnd w:id="7385"/>
    </w:p>
    <w:p w14:paraId="35385427" w14:textId="77777777" w:rsidR="00744111" w:rsidRDefault="00744111" w:rsidP="005077A7">
      <w:pPr>
        <w:pStyle w:val="a"/>
        <w:rPr>
          <w:rFonts w:eastAsiaTheme="minorEastAsia" w:cstheme="minorBidi"/>
          <w:noProof/>
          <w:sz w:val="22"/>
          <w:szCs w:val="22"/>
          <w:rtl/>
        </w:rPr>
      </w:pPr>
      <w:r>
        <w:rPr>
          <w:noProof/>
          <w:rtl/>
        </w:rPr>
        <w:t>קושית הגר"ח דנילף מרובא דא"ק דברובא דל"ק נימא כל דפריש כרובא דא"ק</w:t>
      </w:r>
    </w:p>
    <w:p w14:paraId="4D013721" w14:textId="77777777" w:rsidR="00744111" w:rsidRDefault="00744111" w:rsidP="005077A7">
      <w:pPr>
        <w:pStyle w:val="a"/>
        <w:rPr>
          <w:rFonts w:eastAsiaTheme="minorEastAsia" w:cstheme="minorBidi"/>
          <w:noProof/>
          <w:sz w:val="22"/>
          <w:szCs w:val="22"/>
          <w:rtl/>
        </w:rPr>
      </w:pPr>
      <w:r>
        <w:rPr>
          <w:noProof/>
          <w:rtl/>
        </w:rPr>
        <w:t>ביאור הגרש"ר בקושית הגר"ח דאף דרובא דא"ק הוא מסברא אפשר לתלות שפירש מהרוב</w:t>
      </w:r>
    </w:p>
    <w:p w14:paraId="42ACDA75" w14:textId="77777777" w:rsidR="00744111" w:rsidRDefault="00744111" w:rsidP="005077A7">
      <w:pPr>
        <w:pStyle w:val="a"/>
        <w:rPr>
          <w:rFonts w:eastAsiaTheme="minorEastAsia" w:cstheme="minorBidi"/>
          <w:noProof/>
          <w:sz w:val="22"/>
          <w:szCs w:val="22"/>
          <w:rtl/>
        </w:rPr>
      </w:pPr>
      <w:r>
        <w:rPr>
          <w:noProof/>
          <w:rtl/>
        </w:rPr>
        <w:t>דברי הקוב"ש דמשמע להו"א בגמ' ברובא דל"ק אין אף את דינא דכל דפריש</w:t>
      </w:r>
    </w:p>
    <w:p w14:paraId="7C45A2CD" w14:textId="77777777" w:rsidR="00744111" w:rsidRDefault="00744111" w:rsidP="00744111">
      <w:pPr>
        <w:pStyle w:val="aff4"/>
        <w:rPr>
          <w:rFonts w:eastAsiaTheme="minorEastAsia" w:cstheme="minorBidi"/>
          <w:i/>
          <w:iCs/>
          <w:noProof/>
          <w:sz w:val="22"/>
          <w:szCs w:val="22"/>
          <w:rtl/>
        </w:rPr>
      </w:pPr>
      <w:bookmarkStart w:id="7386" w:name="_Toc19435546"/>
      <w:bookmarkStart w:id="7387" w:name="_Toc20080842"/>
      <w:r>
        <w:rPr>
          <w:noProof/>
          <w:rtl/>
        </w:rPr>
        <w:t>תירוצי הקוב"ש והגרש"ר דברובא דל"ק לא שייך כל דפריש</w:t>
      </w:r>
      <w:bookmarkEnd w:id="7386"/>
      <w:bookmarkEnd w:id="7387"/>
    </w:p>
    <w:p w14:paraId="16838CAF" w14:textId="77777777" w:rsidR="00744111" w:rsidRDefault="00744111" w:rsidP="005077A7">
      <w:pPr>
        <w:pStyle w:val="a"/>
        <w:rPr>
          <w:rFonts w:eastAsiaTheme="minorEastAsia" w:cstheme="minorBidi"/>
          <w:noProof/>
          <w:sz w:val="22"/>
          <w:szCs w:val="22"/>
          <w:rtl/>
        </w:rPr>
      </w:pPr>
      <w:r>
        <w:rPr>
          <w:noProof/>
          <w:rtl/>
        </w:rPr>
        <w:t>תירוץ הקוב"ש דברובא דל"ק אין ידיעה על הפרטים וא"א לומר שפירש מהם</w:t>
      </w:r>
    </w:p>
    <w:p w14:paraId="4FB8D2F1" w14:textId="77777777" w:rsidR="00744111" w:rsidRDefault="00744111" w:rsidP="005077A7">
      <w:pPr>
        <w:pStyle w:val="a"/>
        <w:rPr>
          <w:rFonts w:eastAsiaTheme="minorEastAsia" w:cstheme="minorBidi"/>
          <w:noProof/>
          <w:sz w:val="22"/>
          <w:szCs w:val="22"/>
          <w:rtl/>
        </w:rPr>
      </w:pPr>
      <w:r>
        <w:rPr>
          <w:noProof/>
          <w:rtl/>
        </w:rPr>
        <w:t>תירוץ הגרש"ר דברובא דל"ק הספק לא נולד מהרוב והמיעוט וא"א לומר שפירש מהם</w:t>
      </w:r>
    </w:p>
    <w:p w14:paraId="00813854" w14:textId="77777777" w:rsidR="00744111" w:rsidRDefault="00744111" w:rsidP="00744111">
      <w:pPr>
        <w:pStyle w:val="aff4"/>
        <w:rPr>
          <w:rFonts w:eastAsiaTheme="minorEastAsia" w:cstheme="minorBidi"/>
          <w:i/>
          <w:iCs/>
          <w:noProof/>
          <w:sz w:val="22"/>
          <w:szCs w:val="22"/>
          <w:rtl/>
        </w:rPr>
      </w:pPr>
      <w:bookmarkStart w:id="7388" w:name="_Toc19435547"/>
      <w:bookmarkStart w:id="7389" w:name="_Toc20080843"/>
      <w:r>
        <w:rPr>
          <w:noProof/>
          <w:rtl/>
        </w:rPr>
        <w:t>דברי הקוב"ש דרובא דל"ק הוא אף כשיש רק בהמה אחת</w:t>
      </w:r>
      <w:bookmarkEnd w:id="7388"/>
      <w:bookmarkEnd w:id="7389"/>
    </w:p>
    <w:p w14:paraId="785A9AA5" w14:textId="77777777" w:rsidR="00744111" w:rsidRDefault="00744111" w:rsidP="005077A7">
      <w:pPr>
        <w:pStyle w:val="a"/>
        <w:rPr>
          <w:rFonts w:eastAsiaTheme="minorEastAsia" w:cstheme="minorBidi"/>
          <w:noProof/>
          <w:sz w:val="22"/>
          <w:szCs w:val="22"/>
          <w:rtl/>
        </w:rPr>
      </w:pPr>
      <w:r>
        <w:rPr>
          <w:noProof/>
          <w:rtl/>
        </w:rPr>
        <w:t>דברי הקוב"ש דרובא דל"ק הוא אף כשאין רוב לפנינו ורובא דא"ק הוא רק ברוב לפנינו</w:t>
      </w:r>
    </w:p>
    <w:p w14:paraId="46EBAB9F" w14:textId="77777777" w:rsidR="00744111" w:rsidRDefault="00744111" w:rsidP="005077A7">
      <w:pPr>
        <w:pStyle w:val="a"/>
        <w:rPr>
          <w:rFonts w:eastAsiaTheme="minorEastAsia" w:cstheme="minorBidi"/>
          <w:noProof/>
          <w:sz w:val="22"/>
          <w:szCs w:val="22"/>
          <w:rtl/>
        </w:rPr>
      </w:pPr>
      <w:r>
        <w:rPr>
          <w:noProof/>
          <w:rtl/>
        </w:rPr>
        <w:t>דברי הקוב"ש דנקרא רובא דא"ק כיון שהוא מועיל רק כשהרוב לפנינו</w:t>
      </w:r>
    </w:p>
    <w:p w14:paraId="5A23C58E" w14:textId="77777777" w:rsidR="00744111" w:rsidRDefault="00744111" w:rsidP="00744111">
      <w:pPr>
        <w:pStyle w:val="aff4"/>
        <w:rPr>
          <w:rFonts w:eastAsiaTheme="minorEastAsia" w:cstheme="minorBidi"/>
          <w:i/>
          <w:iCs/>
          <w:noProof/>
          <w:sz w:val="22"/>
          <w:szCs w:val="22"/>
          <w:rtl/>
        </w:rPr>
      </w:pPr>
      <w:bookmarkStart w:id="7390" w:name="_Toc19435548"/>
      <w:bookmarkStart w:id="7391" w:name="_Toc20080844"/>
      <w:r>
        <w:rPr>
          <w:noProof/>
          <w:rtl/>
        </w:rPr>
        <w:t>דברי הגר"ח מטעלז בחילוק בין רובא דא"ק לרובא דל"ק</w:t>
      </w:r>
      <w:bookmarkEnd w:id="7390"/>
      <w:bookmarkEnd w:id="7391"/>
    </w:p>
    <w:p w14:paraId="295ECDC7" w14:textId="77777777" w:rsidR="00744111" w:rsidRDefault="00744111" w:rsidP="005077A7">
      <w:pPr>
        <w:pStyle w:val="a"/>
        <w:rPr>
          <w:rFonts w:eastAsiaTheme="minorEastAsia" w:cstheme="minorBidi"/>
          <w:noProof/>
          <w:sz w:val="22"/>
          <w:szCs w:val="22"/>
          <w:rtl/>
        </w:rPr>
      </w:pPr>
      <w:r>
        <w:rPr>
          <w:noProof/>
          <w:rtl/>
        </w:rPr>
        <w:t>דברי הגר"ח מטעלז דבט' חנויות יש רוב כנגד כל חנות אלא דיש גזיה"כ דאזלינן בתר רובא</w:t>
      </w:r>
    </w:p>
    <w:p w14:paraId="35090211" w14:textId="77777777" w:rsidR="00744111" w:rsidRDefault="00744111" w:rsidP="005077A7">
      <w:pPr>
        <w:pStyle w:val="a"/>
        <w:rPr>
          <w:rFonts w:eastAsiaTheme="minorEastAsia" w:cstheme="minorBidi"/>
          <w:noProof/>
          <w:sz w:val="22"/>
          <w:szCs w:val="22"/>
          <w:rtl/>
        </w:rPr>
      </w:pPr>
      <w:r>
        <w:rPr>
          <w:noProof/>
          <w:rtl/>
        </w:rPr>
        <w:t>דברי הגר"ח מטעלז דרובא דל"ק לא גרע מרובא דא"ק אלא הם ב' סוגים שונים של בירור</w:t>
      </w:r>
    </w:p>
    <w:p w14:paraId="35A1178D" w14:textId="77777777" w:rsidR="00744111" w:rsidRDefault="00744111" w:rsidP="00744111">
      <w:pPr>
        <w:pStyle w:val="aff4"/>
        <w:rPr>
          <w:rFonts w:eastAsiaTheme="minorEastAsia" w:cstheme="minorBidi"/>
          <w:i/>
          <w:iCs/>
          <w:noProof/>
          <w:sz w:val="22"/>
          <w:szCs w:val="22"/>
          <w:rtl/>
        </w:rPr>
      </w:pPr>
      <w:bookmarkStart w:id="7392" w:name="_Toc19435549"/>
      <w:bookmarkStart w:id="7393" w:name="_Toc20080845"/>
      <w:r>
        <w:rPr>
          <w:noProof/>
          <w:rtl/>
        </w:rPr>
        <w:t>קושית הקה"י דאין חילוק בין רובא דא"ק לרובא דל"ק</w:t>
      </w:r>
      <w:bookmarkEnd w:id="7392"/>
      <w:bookmarkEnd w:id="7393"/>
    </w:p>
    <w:p w14:paraId="001139BE" w14:textId="77777777" w:rsidR="00744111" w:rsidRDefault="00744111" w:rsidP="005077A7">
      <w:pPr>
        <w:pStyle w:val="a"/>
        <w:rPr>
          <w:rFonts w:eastAsiaTheme="minorEastAsia" w:cstheme="minorBidi"/>
          <w:noProof/>
          <w:sz w:val="22"/>
          <w:szCs w:val="22"/>
          <w:rtl/>
        </w:rPr>
      </w:pPr>
      <w:r>
        <w:rPr>
          <w:noProof/>
          <w:rtl/>
        </w:rPr>
        <w:t>קושית הקה"י דאף ברובא דל"ק יש סברא שהוא מהרוב כמו ברובא דא"ק</w:t>
      </w:r>
    </w:p>
    <w:p w14:paraId="2FE0E65F" w14:textId="77777777" w:rsidR="00744111" w:rsidRDefault="00744111" w:rsidP="005077A7">
      <w:pPr>
        <w:pStyle w:val="a"/>
        <w:rPr>
          <w:rFonts w:eastAsiaTheme="minorEastAsia" w:cstheme="minorBidi"/>
          <w:noProof/>
          <w:sz w:val="22"/>
          <w:szCs w:val="22"/>
          <w:rtl/>
        </w:rPr>
      </w:pPr>
      <w:r>
        <w:rPr>
          <w:noProof/>
          <w:rtl/>
        </w:rPr>
        <w:t>קושית הקה"י היאך ילפינן את דין רובא דל"ק מרוב בחשש דדלמא לאו אביו דהוא חשש רחוק</w:t>
      </w:r>
    </w:p>
    <w:p w14:paraId="61F294C4" w14:textId="77777777" w:rsidR="00744111" w:rsidRPr="00494E7A" w:rsidRDefault="00744111" w:rsidP="005077A7">
      <w:pPr>
        <w:pStyle w:val="a"/>
        <w:rPr>
          <w:rFonts w:eastAsiaTheme="minorEastAsia" w:cstheme="minorBidi"/>
          <w:noProof/>
          <w:sz w:val="22"/>
          <w:szCs w:val="22"/>
          <w:rtl/>
        </w:rPr>
      </w:pPr>
      <w:r>
        <w:rPr>
          <w:noProof/>
          <w:rtl/>
        </w:rPr>
        <w:t>קושית הקה"י דנילף רובא דל"ק מרובא דא"ק דהא הידיעה ברובא דל"ק היא כרובא דא"ק</w:t>
      </w:r>
    </w:p>
    <w:p w14:paraId="32420AE8" w14:textId="77777777" w:rsidR="00744111" w:rsidRDefault="00744111" w:rsidP="00744111">
      <w:pPr>
        <w:pStyle w:val="aff4"/>
        <w:rPr>
          <w:rFonts w:eastAsiaTheme="minorEastAsia" w:cstheme="minorBidi"/>
          <w:i/>
          <w:iCs/>
          <w:noProof/>
          <w:sz w:val="22"/>
          <w:szCs w:val="22"/>
          <w:rtl/>
        </w:rPr>
      </w:pPr>
      <w:bookmarkStart w:id="7394" w:name="_Toc19435550"/>
      <w:bookmarkStart w:id="7395" w:name="_Toc20080846"/>
      <w:r>
        <w:rPr>
          <w:noProof/>
          <w:rtl/>
        </w:rPr>
        <w:t>ביאור הקה"י דלהו"א בגמ' רובא דל"ק אינו רוב ברור</w:t>
      </w:r>
      <w:bookmarkEnd w:id="7394"/>
      <w:bookmarkEnd w:id="7395"/>
    </w:p>
    <w:p w14:paraId="2AA928BF" w14:textId="77777777" w:rsidR="00744111" w:rsidRDefault="00744111" w:rsidP="005077A7">
      <w:pPr>
        <w:pStyle w:val="a"/>
        <w:rPr>
          <w:rFonts w:eastAsiaTheme="minorEastAsia" w:cstheme="minorBidi"/>
          <w:noProof/>
          <w:sz w:val="22"/>
          <w:szCs w:val="22"/>
          <w:rtl/>
        </w:rPr>
      </w:pPr>
      <w:r>
        <w:rPr>
          <w:noProof/>
          <w:rtl/>
        </w:rPr>
        <w:t>ביאור הקה"י דרובא דל"ק אינו רוב ברור אלא אנו משערים מסברא שיש רוב</w:t>
      </w:r>
    </w:p>
    <w:p w14:paraId="368CDF49" w14:textId="77777777" w:rsidR="00744111" w:rsidRDefault="00744111" w:rsidP="005077A7">
      <w:pPr>
        <w:pStyle w:val="a"/>
        <w:rPr>
          <w:rFonts w:eastAsiaTheme="minorEastAsia" w:cstheme="minorBidi"/>
          <w:noProof/>
          <w:sz w:val="22"/>
          <w:szCs w:val="22"/>
          <w:rtl/>
        </w:rPr>
      </w:pPr>
      <w:r>
        <w:rPr>
          <w:noProof/>
          <w:rtl/>
        </w:rPr>
        <w:t>דברי הקה"י דהראיה מסברת "דלמא לאו אביו הוא" דאומדנא דרובא דל"ק חשיב כרוב ברור</w:t>
      </w:r>
    </w:p>
    <w:p w14:paraId="555EBA53" w14:textId="77777777" w:rsidR="00744111" w:rsidRDefault="00744111" w:rsidP="005077A7">
      <w:pPr>
        <w:pStyle w:val="a"/>
        <w:rPr>
          <w:rFonts w:eastAsiaTheme="minorEastAsia" w:cstheme="minorBidi"/>
          <w:noProof/>
          <w:sz w:val="22"/>
          <w:szCs w:val="22"/>
          <w:rtl/>
        </w:rPr>
      </w:pPr>
      <w:r>
        <w:rPr>
          <w:noProof/>
          <w:rtl/>
        </w:rPr>
        <w:t>דברי הקה"י דלמסקנא רובא דל"ק הוא רוב ברור ולא שנא מרובא דא"ק</w:t>
      </w:r>
    </w:p>
    <w:p w14:paraId="2E1EF4F2" w14:textId="77777777" w:rsidR="00744111" w:rsidRDefault="00744111" w:rsidP="005077A7">
      <w:pPr>
        <w:pStyle w:val="a"/>
      </w:pPr>
      <w:r>
        <w:rPr>
          <w:noProof/>
          <w:rtl/>
        </w:rPr>
        <w:t>דברי הקה"י דבחשש "דלמא לאו אביו הוא" אין כל ספק וא"צ להגיע לדין רוב</w:t>
      </w:r>
      <w:r w:rsidRPr="00373A8D">
        <w:rPr>
          <w:rFonts w:hint="cs"/>
          <w:rtl/>
        </w:rPr>
        <w:t xml:space="preserve"> </w:t>
      </w:r>
    </w:p>
    <w:p w14:paraId="74A7A5E0" w14:textId="77777777" w:rsidR="00744111" w:rsidRDefault="00744111" w:rsidP="00744111">
      <w:pPr>
        <w:pStyle w:val="aff4"/>
      </w:pPr>
      <w:bookmarkStart w:id="7396" w:name="_Toc19435551"/>
      <w:bookmarkStart w:id="7397" w:name="_Toc20080847"/>
      <w:r>
        <w:rPr>
          <w:rFonts w:hint="cs"/>
          <w:rtl/>
        </w:rPr>
        <w:t>הביאור הב' בקה"י דאף לתורא"ש רוב בסדר העולם הוא ודאי</w:t>
      </w:r>
      <w:bookmarkEnd w:id="7396"/>
      <w:bookmarkEnd w:id="7397"/>
    </w:p>
    <w:p w14:paraId="5E938AE5" w14:textId="77777777" w:rsidR="00744111" w:rsidRPr="00F04D1B" w:rsidRDefault="00744111" w:rsidP="005077A7">
      <w:pPr>
        <w:pStyle w:val="a"/>
        <w:rPr>
          <w:rtl/>
        </w:rPr>
      </w:pPr>
      <w:r>
        <w:rPr>
          <w:rFonts w:hint="cs"/>
          <w:rtl/>
        </w:rPr>
        <w:t xml:space="preserve">דברי הקה"י דאף לתורא"ש ברוב בדרך העולם יש לו דין ודאי ורק בריעותא אינו ודאי </w:t>
      </w:r>
    </w:p>
    <w:p w14:paraId="5D444B3B" w14:textId="77777777" w:rsidR="00744111" w:rsidRDefault="00744111" w:rsidP="00744111">
      <w:pPr>
        <w:pStyle w:val="aff4"/>
        <w:rPr>
          <w:rFonts w:eastAsiaTheme="minorEastAsia" w:cstheme="minorBidi"/>
          <w:i/>
          <w:iCs/>
          <w:noProof/>
          <w:sz w:val="22"/>
          <w:szCs w:val="22"/>
          <w:rtl/>
        </w:rPr>
      </w:pPr>
      <w:bookmarkStart w:id="7398" w:name="_Toc19435552"/>
      <w:bookmarkStart w:id="7399" w:name="_Toc20080848"/>
      <w:r>
        <w:rPr>
          <w:noProof/>
          <w:rtl/>
        </w:rPr>
        <w:t>דברי השער"י דרוב בדיינים ורובא דא"ק הם מדין ביטול ברוב</w:t>
      </w:r>
      <w:bookmarkEnd w:id="7398"/>
      <w:bookmarkEnd w:id="7399"/>
    </w:p>
    <w:p w14:paraId="200700AF" w14:textId="77777777" w:rsidR="00744111" w:rsidRDefault="00744111" w:rsidP="005077A7">
      <w:pPr>
        <w:pStyle w:val="a"/>
        <w:rPr>
          <w:rFonts w:eastAsiaTheme="minorEastAsia" w:cstheme="minorBidi"/>
          <w:noProof/>
          <w:sz w:val="22"/>
          <w:szCs w:val="22"/>
          <w:rtl/>
        </w:rPr>
      </w:pPr>
      <w:r w:rsidRPr="00316749">
        <w:rPr>
          <w:rtl/>
        </w:rPr>
        <w:t>דברי השער"י דמשמע ברש"י דהרוב בסנהדרין הוא מדין ביטול ברוב</w:t>
      </w:r>
    </w:p>
    <w:p w14:paraId="47B202C7" w14:textId="77777777" w:rsidR="00744111" w:rsidRPr="00316749" w:rsidRDefault="00744111" w:rsidP="005077A7">
      <w:pPr>
        <w:pStyle w:val="a"/>
        <w:rPr>
          <w:rtl/>
        </w:rPr>
      </w:pPr>
      <w:r w:rsidRPr="00316749">
        <w:rPr>
          <w:rtl/>
        </w:rPr>
        <w:t>קושית השער"י דאי בסנהדרין הוא מדין ביטול ברוב האיך ילפינן מיניה את רובא דא"ק</w:t>
      </w:r>
    </w:p>
    <w:p w14:paraId="132177E5" w14:textId="77777777" w:rsidR="00744111" w:rsidRPr="00316749" w:rsidRDefault="00744111" w:rsidP="005077A7">
      <w:pPr>
        <w:pStyle w:val="a"/>
        <w:rPr>
          <w:rtl/>
        </w:rPr>
      </w:pPr>
      <w:r w:rsidRPr="00316749">
        <w:rPr>
          <w:rtl/>
        </w:rPr>
        <w:t>דברי השער"י דבמרדכי ובתורא"ש משמע דרובא דא"ק הוא מדין ביטול ברוב</w:t>
      </w:r>
    </w:p>
    <w:p w14:paraId="06013961" w14:textId="77777777" w:rsidR="00744111" w:rsidRPr="00316749" w:rsidRDefault="00744111" w:rsidP="005077A7">
      <w:pPr>
        <w:pStyle w:val="a"/>
        <w:rPr>
          <w:rtl/>
        </w:rPr>
      </w:pPr>
      <w:r w:rsidRPr="00316749">
        <w:rPr>
          <w:rtl/>
        </w:rPr>
        <w:t>דברי השער"י דברובא דל"ק אין כל בירור על רוב האפשרויות יותר מאפשרות אחת</w:t>
      </w:r>
    </w:p>
    <w:p w14:paraId="7802DFA7" w14:textId="77777777" w:rsidR="00744111" w:rsidRDefault="00744111" w:rsidP="005077A7">
      <w:pPr>
        <w:pStyle w:val="a"/>
        <w:rPr>
          <w:rFonts w:eastAsiaTheme="minorEastAsia" w:cstheme="minorBidi"/>
          <w:noProof/>
          <w:sz w:val="22"/>
          <w:szCs w:val="22"/>
        </w:rPr>
      </w:pPr>
      <w:r w:rsidRPr="00316749">
        <w:rPr>
          <w:rtl/>
        </w:rPr>
        <w:t>ביאור השער"י דרובא דא"ק רוב האפשרויות מבטלים אפשרות הא</w:t>
      </w:r>
      <w:r>
        <w:rPr>
          <w:rFonts w:hint="cs"/>
          <w:rtl/>
        </w:rPr>
        <w:t>'</w:t>
      </w:r>
      <w:r w:rsidRPr="00316749">
        <w:rPr>
          <w:rtl/>
        </w:rPr>
        <w:t xml:space="preserve"> מדין ביטול </w:t>
      </w:r>
      <w:r>
        <w:rPr>
          <w:noProof/>
          <w:rtl/>
        </w:rPr>
        <w:t>ברוב</w:t>
      </w:r>
    </w:p>
    <w:p w14:paraId="214B0A52" w14:textId="77777777" w:rsidR="00744111" w:rsidRPr="00F57B10" w:rsidRDefault="00744111" w:rsidP="005077A7">
      <w:pPr>
        <w:pStyle w:val="a"/>
        <w:rPr>
          <w:rFonts w:eastAsiaTheme="minorEastAsia" w:cstheme="minorBidi"/>
          <w:noProof/>
          <w:sz w:val="22"/>
          <w:szCs w:val="22"/>
          <w:rtl/>
        </w:rPr>
      </w:pPr>
      <w:r>
        <w:rPr>
          <w:noProof/>
          <w:rtl/>
        </w:rPr>
        <w:t>דחיית השער"י דהוא דוחק טובא דברובא דא"ק האיסור משתנה להיתר</w:t>
      </w:r>
    </w:p>
    <w:p w14:paraId="56D7C0FB" w14:textId="77777777" w:rsidR="00744111" w:rsidRDefault="00744111" w:rsidP="00744111">
      <w:pPr>
        <w:pStyle w:val="aff4"/>
        <w:rPr>
          <w:rFonts w:eastAsiaTheme="minorEastAsia" w:cstheme="minorBidi"/>
          <w:i/>
          <w:iCs/>
          <w:noProof/>
          <w:sz w:val="22"/>
          <w:szCs w:val="22"/>
          <w:rtl/>
        </w:rPr>
      </w:pPr>
      <w:bookmarkStart w:id="7400" w:name="_Toc19435553"/>
      <w:bookmarkStart w:id="7401" w:name="_Toc20080849"/>
      <w:r>
        <w:rPr>
          <w:noProof/>
          <w:rtl/>
        </w:rPr>
        <w:t>ביאור השער"י דבדיינים יש דין ביטול ברוב וגם הלך אחר הרוב</w:t>
      </w:r>
      <w:bookmarkEnd w:id="7400"/>
      <w:bookmarkEnd w:id="7401"/>
    </w:p>
    <w:p w14:paraId="2E134B2E" w14:textId="77777777" w:rsidR="00744111" w:rsidRDefault="00744111" w:rsidP="005077A7">
      <w:pPr>
        <w:pStyle w:val="a"/>
        <w:rPr>
          <w:rFonts w:eastAsiaTheme="minorEastAsia" w:cstheme="minorBidi"/>
          <w:noProof/>
          <w:sz w:val="22"/>
          <w:szCs w:val="22"/>
          <w:rtl/>
        </w:rPr>
      </w:pPr>
      <w:r>
        <w:rPr>
          <w:noProof/>
          <w:rtl/>
        </w:rPr>
        <w:t>דברי השער"י דברובא דא"ק אם התברר שהיה אסור צריך כפרה דלא נהפך להיתר כביטול ברוב</w:t>
      </w:r>
    </w:p>
    <w:p w14:paraId="3537F010" w14:textId="77777777" w:rsidR="00744111" w:rsidRDefault="00744111" w:rsidP="005077A7">
      <w:pPr>
        <w:pStyle w:val="a"/>
        <w:rPr>
          <w:rFonts w:eastAsiaTheme="minorEastAsia" w:cstheme="minorBidi"/>
          <w:noProof/>
          <w:sz w:val="22"/>
          <w:szCs w:val="22"/>
          <w:rtl/>
        </w:rPr>
      </w:pPr>
      <w:r>
        <w:rPr>
          <w:noProof/>
          <w:rtl/>
        </w:rPr>
        <w:t>דברי השער"י דברוב דיינים יש דין א' שהם מגלים מהי ההלכה ומזה ילפינן את רובא דא"ק</w:t>
      </w:r>
    </w:p>
    <w:p w14:paraId="3E01732C" w14:textId="77777777" w:rsidR="00744111" w:rsidRDefault="00744111" w:rsidP="005077A7">
      <w:pPr>
        <w:pStyle w:val="a"/>
        <w:rPr>
          <w:rFonts w:eastAsiaTheme="minorEastAsia" w:cstheme="minorBidi"/>
          <w:noProof/>
          <w:sz w:val="22"/>
          <w:szCs w:val="22"/>
          <w:rtl/>
        </w:rPr>
      </w:pPr>
      <w:r>
        <w:rPr>
          <w:noProof/>
          <w:rtl/>
        </w:rPr>
        <w:t>ביאור השער"י דברוב דיינים יש דין נוסף דמתבטלת דעת המיעוט וילפינן לביטול ברוב</w:t>
      </w:r>
    </w:p>
    <w:p w14:paraId="58AC4543" w14:textId="77777777" w:rsidR="00744111" w:rsidRDefault="00744111" w:rsidP="00744111">
      <w:pPr>
        <w:pStyle w:val="aff4"/>
        <w:rPr>
          <w:rFonts w:eastAsiaTheme="minorEastAsia" w:cstheme="minorBidi"/>
          <w:i/>
          <w:iCs/>
          <w:noProof/>
          <w:sz w:val="22"/>
          <w:szCs w:val="22"/>
          <w:rtl/>
        </w:rPr>
      </w:pPr>
      <w:bookmarkStart w:id="7402" w:name="_Toc19435554"/>
      <w:bookmarkStart w:id="7403" w:name="_Toc20080850"/>
      <w:r>
        <w:rPr>
          <w:noProof/>
          <w:rtl/>
        </w:rPr>
        <w:t>דברי הגר"ח בדין רוב בדיינים וברובו ככולו</w:t>
      </w:r>
      <w:bookmarkEnd w:id="7402"/>
      <w:bookmarkEnd w:id="7403"/>
    </w:p>
    <w:p w14:paraId="63E9F2DB" w14:textId="77777777" w:rsidR="00744111" w:rsidRPr="00F57B10" w:rsidRDefault="00744111" w:rsidP="005077A7">
      <w:pPr>
        <w:pStyle w:val="a"/>
        <w:rPr>
          <w:rFonts w:eastAsiaTheme="minorEastAsia" w:cstheme="minorBidi"/>
          <w:noProof/>
          <w:sz w:val="22"/>
          <w:szCs w:val="22"/>
        </w:rPr>
      </w:pPr>
      <w:r>
        <w:rPr>
          <w:noProof/>
          <w:rtl/>
        </w:rPr>
        <w:t>דברי הגר"ח דברוב יש דין הכרעה בספק ודין רובו ככולו</w:t>
      </w:r>
    </w:p>
    <w:p w14:paraId="21169B65" w14:textId="77777777" w:rsidR="00744111" w:rsidRPr="00F57B10" w:rsidRDefault="00744111" w:rsidP="005077A7">
      <w:pPr>
        <w:pStyle w:val="a"/>
        <w:rPr>
          <w:rFonts w:eastAsiaTheme="minorEastAsia" w:cstheme="minorBidi"/>
          <w:noProof/>
          <w:sz w:val="22"/>
          <w:szCs w:val="22"/>
          <w:rtl/>
        </w:rPr>
      </w:pPr>
      <w:r>
        <w:rPr>
          <w:noProof/>
          <w:rtl/>
        </w:rPr>
        <w:t>ביאור הגר"ח דרובו ככולו נלמד מהא דבדיינים הוא פסק של כל הב"ד</w:t>
      </w:r>
    </w:p>
    <w:p w14:paraId="7B543161" w14:textId="77777777" w:rsidR="008B3A0D" w:rsidRDefault="00744111" w:rsidP="005077A7">
      <w:pPr>
        <w:pStyle w:val="a"/>
        <w:rPr>
          <w:noProof/>
        </w:rPr>
      </w:pPr>
      <w:r>
        <w:rPr>
          <w:noProof/>
          <w:rtl/>
        </w:rPr>
        <w:t>דברי הגר"ח דבדיינים יש גם דין הכרעה בספק כמו הרוב ומזה ילפינן את דין רובא דא"ק</w:t>
      </w:r>
    </w:p>
    <w:p w14:paraId="67F73F36" w14:textId="77777777" w:rsidR="00936DD3" w:rsidRDefault="00936DD3" w:rsidP="005077A7">
      <w:pPr>
        <w:pStyle w:val="a"/>
        <w:rPr>
          <w:noProof/>
          <w:rtl/>
        </w:rPr>
        <w:sectPr w:rsidR="00936DD3" w:rsidSect="00F2685C">
          <w:type w:val="continuous"/>
          <w:pgSz w:w="11906" w:h="16838"/>
          <w:pgMar w:top="720" w:right="720" w:bottom="720" w:left="720" w:header="283" w:footer="283" w:gutter="0"/>
          <w:cols w:num="2" w:space="113"/>
          <w:titlePg/>
          <w:bidi/>
          <w:rtlGutter/>
          <w:docGrid w:linePitch="299"/>
        </w:sectPr>
      </w:pPr>
    </w:p>
    <w:p w14:paraId="1340E6E4" w14:textId="77777777" w:rsidR="009A2997" w:rsidRDefault="00744111" w:rsidP="006D6D32">
      <w:pPr>
        <w:pStyle w:val="afe"/>
        <w:rPr>
          <w:rtl/>
        </w:rPr>
      </w:pPr>
      <w:r>
        <w:rPr>
          <w:rtl/>
        </w:rPr>
        <w:fldChar w:fldCharType="end"/>
      </w:r>
      <w:bookmarkStart w:id="7404" w:name="_Toc528615425"/>
      <w:bookmarkStart w:id="7405" w:name="_Toc528712417"/>
      <w:bookmarkStart w:id="7406" w:name="_Toc528777077"/>
      <w:bookmarkStart w:id="7407" w:name="_Toc528789637"/>
      <w:bookmarkStart w:id="7408" w:name="_Toc19435555"/>
      <w:bookmarkStart w:id="7409" w:name="_Toc20080851"/>
      <w:r w:rsidR="009A2997">
        <w:rPr>
          <w:rFonts w:hint="cs"/>
          <w:rtl/>
        </w:rPr>
        <w:t>מראי מקומות וביאורים על הסוגיא</w:t>
      </w:r>
      <w:bookmarkEnd w:id="7404"/>
      <w:bookmarkEnd w:id="7405"/>
      <w:bookmarkEnd w:id="7406"/>
      <w:bookmarkEnd w:id="7407"/>
      <w:bookmarkEnd w:id="7408"/>
      <w:bookmarkEnd w:id="7409"/>
    </w:p>
    <w:p w14:paraId="3BE67E5D" w14:textId="77777777" w:rsidR="009A2997" w:rsidRPr="0065105E" w:rsidRDefault="009A2997" w:rsidP="009A2997">
      <w:pPr>
        <w:pStyle w:val="2"/>
        <w:bidi w:val="0"/>
        <w:rPr>
          <w:rFonts w:asciiTheme="minorHAnsi" w:hAnsiTheme="minorHAnsi"/>
          <w:bCs/>
          <w:sz w:val="18"/>
          <w:szCs w:val="28"/>
          <w:rtl/>
        </w:rPr>
        <w:sectPr w:rsidR="009A2997" w:rsidRPr="0065105E" w:rsidSect="00F2685C">
          <w:headerReference w:type="first" r:id="rId59"/>
          <w:footerReference w:type="first" r:id="rId60"/>
          <w:type w:val="continuous"/>
          <w:pgSz w:w="11906" w:h="16838"/>
          <w:pgMar w:top="720" w:right="720" w:bottom="720" w:left="720" w:header="283" w:footer="283" w:gutter="0"/>
          <w:cols w:space="720"/>
          <w:bidi/>
          <w:rtlGutter/>
          <w:docGrid w:linePitch="299"/>
        </w:sectPr>
      </w:pPr>
    </w:p>
    <w:p w14:paraId="148A7ED8" w14:textId="77777777" w:rsidR="009A2997" w:rsidRPr="003B43D3" w:rsidRDefault="009A2997" w:rsidP="006D6D32">
      <w:pPr>
        <w:pStyle w:val="afe"/>
        <w:rPr>
          <w:rtl/>
        </w:rPr>
      </w:pPr>
      <w:bookmarkStart w:id="7410" w:name="_Toc528615426"/>
      <w:bookmarkStart w:id="7411" w:name="_Toc528712418"/>
      <w:bookmarkStart w:id="7412" w:name="_Toc528777078"/>
      <w:bookmarkStart w:id="7413" w:name="_Toc528789638"/>
      <w:bookmarkStart w:id="7414" w:name="_Toc19435556"/>
      <w:bookmarkStart w:id="7415" w:name="_Toc20080852"/>
      <w:r w:rsidRPr="003B43D3">
        <w:rPr>
          <w:rFonts w:hint="cs"/>
          <w:rtl/>
        </w:rPr>
        <w:t>בביאור על מה קאי הנדון ברוב</w:t>
      </w:r>
      <w:bookmarkEnd w:id="7410"/>
      <w:bookmarkEnd w:id="7411"/>
      <w:bookmarkEnd w:id="7412"/>
      <w:bookmarkEnd w:id="7413"/>
      <w:bookmarkEnd w:id="7414"/>
      <w:bookmarkEnd w:id="7415"/>
    </w:p>
    <w:p w14:paraId="2030DBC5" w14:textId="77777777" w:rsidR="009A2997" w:rsidRPr="00121BC5" w:rsidRDefault="009A2997" w:rsidP="00BF39B2">
      <w:pPr>
        <w:pStyle w:val="1"/>
        <w:rPr>
          <w:rtl/>
        </w:rPr>
      </w:pPr>
      <w:bookmarkStart w:id="7416" w:name="_Toc528615427"/>
      <w:bookmarkStart w:id="7417" w:name="_Toc528712419"/>
      <w:bookmarkStart w:id="7418" w:name="_Toc528777079"/>
      <w:bookmarkStart w:id="7419" w:name="_Toc528789639"/>
      <w:bookmarkStart w:id="7420" w:name="_Toc19389917"/>
      <w:bookmarkStart w:id="7421" w:name="_Toc19393414"/>
      <w:r w:rsidRPr="00121BC5">
        <w:rPr>
          <w:rFonts w:hint="cs"/>
          <w:rtl/>
        </w:rPr>
        <w:t>פלוגתת רש"י והר"ן על מה הנדון ברוב</w:t>
      </w:r>
      <w:bookmarkEnd w:id="7416"/>
      <w:bookmarkEnd w:id="7417"/>
      <w:bookmarkEnd w:id="7418"/>
      <w:bookmarkEnd w:id="7419"/>
      <w:bookmarkEnd w:id="7420"/>
      <w:bookmarkEnd w:id="7421"/>
    </w:p>
    <w:p w14:paraId="0D6BC9FE" w14:textId="77777777" w:rsidR="009A2997" w:rsidRPr="00121BC5" w:rsidRDefault="009A2997" w:rsidP="006D6D32">
      <w:pPr>
        <w:pStyle w:val="a3"/>
        <w:rPr>
          <w:rtl/>
        </w:rPr>
      </w:pPr>
      <w:bookmarkStart w:id="7422" w:name="_Toc528615428"/>
      <w:bookmarkStart w:id="7423" w:name="_Toc528712420"/>
      <w:bookmarkStart w:id="7424" w:name="_Toc528777080"/>
      <w:bookmarkStart w:id="7425" w:name="_Toc528789640"/>
      <w:bookmarkStart w:id="7426" w:name="_Toc19389918"/>
      <w:bookmarkStart w:id="7427" w:name="_Toc19393415"/>
      <w:r>
        <w:rPr>
          <w:rFonts w:hint="cs"/>
          <w:rtl/>
        </w:rPr>
        <w:t>דברי רש"י דהנדון במקור לרוב הוא אגב הנדון במקור לחזקה</w:t>
      </w:r>
      <w:bookmarkEnd w:id="7422"/>
      <w:bookmarkEnd w:id="7423"/>
      <w:bookmarkEnd w:id="7424"/>
      <w:bookmarkEnd w:id="7425"/>
      <w:bookmarkEnd w:id="7426"/>
      <w:bookmarkEnd w:id="7427"/>
    </w:p>
    <w:p w14:paraId="7B30DC4D" w14:textId="77777777" w:rsidR="009A2997" w:rsidRPr="00121BC5" w:rsidRDefault="009A2997" w:rsidP="00E12979">
      <w:pPr>
        <w:pStyle w:val="a0"/>
        <w:numPr>
          <w:ilvl w:val="0"/>
          <w:numId w:val="10"/>
        </w:numPr>
        <w:rPr>
          <w:rtl/>
        </w:rPr>
      </w:pPr>
      <w:r w:rsidRPr="00121BC5">
        <w:rPr>
          <w:rFonts w:hint="cs"/>
          <w:rtl/>
        </w:rPr>
        <w:t xml:space="preserve">כתב </w:t>
      </w:r>
      <w:r w:rsidRPr="00121BC5">
        <w:rPr>
          <w:rStyle w:val="af9"/>
          <w:rFonts w:hint="cs"/>
          <w:rtl/>
        </w:rPr>
        <w:t>רש"י</w:t>
      </w:r>
      <w:r w:rsidRPr="00121BC5">
        <w:rPr>
          <w:rFonts w:hint="cs"/>
          <w:rtl/>
        </w:rPr>
        <w:t xml:space="preserve"> </w:t>
      </w:r>
      <w:r w:rsidRPr="00223668">
        <w:rPr>
          <w:rStyle w:val="af7"/>
          <w:rFonts w:eastAsia="Guttman Hodes" w:hint="cs"/>
          <w:rtl/>
        </w:rPr>
        <w:t>(ד"ה מנא)</w:t>
      </w:r>
      <w:r w:rsidRPr="00121BC5">
        <w:rPr>
          <w:rFonts w:hint="cs"/>
          <w:rtl/>
        </w:rPr>
        <w:t xml:space="preserve"> דהנדון בגמ' מהו המקור לרוב, הוא אגב הנדון בגמ' לעיל </w:t>
      </w:r>
      <w:r w:rsidRPr="00223668">
        <w:rPr>
          <w:rStyle w:val="af7"/>
          <w:rFonts w:eastAsia="Guttman Hodes" w:hint="cs"/>
          <w:rtl/>
        </w:rPr>
        <w:t>(י:)</w:t>
      </w:r>
      <w:r w:rsidRPr="00121BC5">
        <w:rPr>
          <w:rFonts w:hint="cs"/>
          <w:rtl/>
        </w:rPr>
        <w:t xml:space="preserve"> מהו המקור לדין חזקה.</w:t>
      </w:r>
    </w:p>
    <w:p w14:paraId="1C807DAC" w14:textId="77777777" w:rsidR="009A2997" w:rsidRPr="00304BB0" w:rsidRDefault="009A2997" w:rsidP="006D6D32">
      <w:pPr>
        <w:pStyle w:val="a3"/>
        <w:rPr>
          <w:rtl/>
        </w:rPr>
      </w:pPr>
      <w:bookmarkStart w:id="7428" w:name="_Toc528615429"/>
      <w:bookmarkStart w:id="7429" w:name="_Toc528712421"/>
      <w:bookmarkStart w:id="7430" w:name="_Toc528777081"/>
      <w:bookmarkStart w:id="7431" w:name="_Toc528789641"/>
      <w:bookmarkStart w:id="7432" w:name="_Toc19389919"/>
      <w:bookmarkStart w:id="7433" w:name="_Toc19393416"/>
      <w:r w:rsidRPr="00121BC5">
        <w:rPr>
          <w:rFonts w:hint="cs"/>
          <w:noProof/>
          <w:rtl/>
        </w:rPr>
        <w:t>דברי הר"ן הנדון בדין חזקה הוא ברישא דרב הונא והנדון לקמן בדין רוב הוא בסיפא דרב הונא</w:t>
      </w:r>
      <w:bookmarkEnd w:id="7428"/>
      <w:bookmarkEnd w:id="7429"/>
      <w:bookmarkEnd w:id="7430"/>
      <w:bookmarkEnd w:id="7431"/>
      <w:bookmarkEnd w:id="7432"/>
      <w:bookmarkEnd w:id="7433"/>
    </w:p>
    <w:p w14:paraId="0861E12A" w14:textId="77777777" w:rsidR="009A2997" w:rsidRDefault="009A2997" w:rsidP="00223668">
      <w:pPr>
        <w:pStyle w:val="a0"/>
        <w:rPr>
          <w:rtl/>
        </w:rPr>
      </w:pPr>
      <w:r w:rsidRPr="00CD6A20">
        <w:rPr>
          <w:rStyle w:val="af9"/>
          <w:rFonts w:hint="cs"/>
          <w:rtl/>
        </w:rPr>
        <w:t>ו</w:t>
      </w:r>
      <w:r w:rsidRPr="00CD6A20">
        <w:rPr>
          <w:rStyle w:val="af9"/>
          <w:rtl/>
        </w:rPr>
        <w:t>ה</w:t>
      </w:r>
      <w:r w:rsidRPr="00304BB0">
        <w:rPr>
          <w:rStyle w:val="af9"/>
          <w:rtl/>
        </w:rPr>
        <w:t>ר"ן</w:t>
      </w:r>
      <w:r w:rsidRPr="00304BB0">
        <w:rPr>
          <w:rStyle w:val="af9"/>
          <w:rFonts w:hint="cs"/>
          <w:rtl/>
        </w:rPr>
        <w:t xml:space="preserve"> </w:t>
      </w:r>
      <w:r>
        <w:rPr>
          <w:rStyle w:val="af9"/>
          <w:rFonts w:hint="cs"/>
          <w:rtl/>
        </w:rPr>
        <w:t>בחי'</w:t>
      </w:r>
      <w:r w:rsidRPr="00304BB0">
        <w:rPr>
          <w:rFonts w:hint="cs"/>
          <w:rtl/>
        </w:rPr>
        <w:t xml:space="preserve"> </w:t>
      </w:r>
      <w:r w:rsidRPr="00304BB0">
        <w:rPr>
          <w:rStyle w:val="af7"/>
          <w:rFonts w:eastAsia="Guttman Hodes" w:hint="cs"/>
          <w:rtl/>
        </w:rPr>
        <w:t>(ד"ה מנא)</w:t>
      </w:r>
      <w:r w:rsidRPr="00304BB0">
        <w:rPr>
          <w:rFonts w:hint="cs"/>
          <w:rtl/>
        </w:rPr>
        <w:t xml:space="preserve"> כתב דהנדון בגמ' הוא על דברי רב הונא</w:t>
      </w:r>
      <w:r>
        <w:rPr>
          <w:rFonts w:hint="cs"/>
          <w:rtl/>
        </w:rPr>
        <w:t xml:space="preserve"> לעיל </w:t>
      </w:r>
      <w:r w:rsidRPr="003E67C0">
        <w:rPr>
          <w:rStyle w:val="af7"/>
          <w:rFonts w:eastAsia="Guttman Hodes" w:hint="cs"/>
          <w:rtl/>
        </w:rPr>
        <w:t>(ט.)</w:t>
      </w:r>
      <w:r w:rsidRPr="00304BB0">
        <w:rPr>
          <w:rFonts w:hint="cs"/>
          <w:rtl/>
        </w:rPr>
        <w:t>, דבריש</w:t>
      </w:r>
      <w:r>
        <w:rPr>
          <w:rFonts w:hint="cs"/>
          <w:rtl/>
        </w:rPr>
        <w:t>א של דבריו</w:t>
      </w:r>
      <w:r w:rsidRPr="00304BB0">
        <w:rPr>
          <w:rFonts w:hint="cs"/>
          <w:rtl/>
        </w:rPr>
        <w:t xml:space="preserve"> </w:t>
      </w:r>
      <w:r>
        <w:rPr>
          <w:rFonts w:hint="cs"/>
          <w:rtl/>
        </w:rPr>
        <w:t xml:space="preserve">אמר רב הונא </w:t>
      </w:r>
      <w:r w:rsidRPr="00304BB0">
        <w:rPr>
          <w:rFonts w:hint="cs"/>
          <w:rtl/>
        </w:rPr>
        <w:t>ד</w:t>
      </w:r>
      <w:r>
        <w:rPr>
          <w:rFonts w:hint="cs"/>
          <w:rtl/>
        </w:rPr>
        <w:t>ב</w:t>
      </w:r>
      <w:r w:rsidRPr="00304BB0">
        <w:rPr>
          <w:rFonts w:hint="cs"/>
          <w:rtl/>
        </w:rPr>
        <w:t xml:space="preserve">ספק בשחיטה מעמידים אותה בחזקת איסור, </w:t>
      </w:r>
      <w:r>
        <w:rPr>
          <w:rFonts w:hint="cs"/>
          <w:rtl/>
        </w:rPr>
        <w:t xml:space="preserve">ועל זה דנה הגמ' לעיל </w:t>
      </w:r>
      <w:r w:rsidRPr="004A58CC">
        <w:rPr>
          <w:rStyle w:val="af7"/>
          <w:rFonts w:eastAsia="Guttman Hodes" w:hint="cs"/>
          <w:rtl/>
        </w:rPr>
        <w:t>(י:)</w:t>
      </w:r>
      <w:r>
        <w:rPr>
          <w:rFonts w:hint="cs"/>
          <w:rtl/>
        </w:rPr>
        <w:t xml:space="preserve"> מהו המקור לחזקה, </w:t>
      </w:r>
      <w:r w:rsidRPr="00304BB0">
        <w:rPr>
          <w:rFonts w:hint="cs"/>
          <w:rtl/>
        </w:rPr>
        <w:t xml:space="preserve">ובסיפא </w:t>
      </w:r>
      <w:r>
        <w:rPr>
          <w:rFonts w:hint="cs"/>
          <w:rtl/>
        </w:rPr>
        <w:t>של דבריו</w:t>
      </w:r>
      <w:r w:rsidRPr="00304BB0">
        <w:rPr>
          <w:rFonts w:hint="cs"/>
          <w:rtl/>
        </w:rPr>
        <w:t xml:space="preserve"> </w:t>
      </w:r>
      <w:r>
        <w:rPr>
          <w:rFonts w:hint="cs"/>
          <w:rtl/>
        </w:rPr>
        <w:t>אמר רב הונא ד</w:t>
      </w:r>
      <w:r w:rsidRPr="00304BB0">
        <w:rPr>
          <w:rFonts w:hint="cs"/>
          <w:rtl/>
        </w:rPr>
        <w:t xml:space="preserve">בספק טריפה </w:t>
      </w:r>
      <w:r>
        <w:rPr>
          <w:rFonts w:hint="cs"/>
          <w:rtl/>
        </w:rPr>
        <w:t>דנשחטה בחזקת היתר קיימא, ההיתר הוא מדין</w:t>
      </w:r>
      <w:r w:rsidRPr="00304BB0">
        <w:rPr>
          <w:rFonts w:hint="cs"/>
          <w:rtl/>
        </w:rPr>
        <w:t xml:space="preserve"> הרוב</w:t>
      </w:r>
      <w:r>
        <w:rPr>
          <w:rFonts w:hint="cs"/>
          <w:rtl/>
        </w:rPr>
        <w:t xml:space="preserve">, </w:t>
      </w:r>
      <w:r w:rsidRPr="00A360C7">
        <w:rPr>
          <w:rStyle w:val="afb"/>
          <w:rFonts w:hint="cs"/>
          <w:rtl/>
        </w:rPr>
        <w:t>[דא"א להתירה מדין חזקה כיון שאין לנו חזקה</w:t>
      </w:r>
      <w:r>
        <w:rPr>
          <w:rStyle w:val="afb"/>
          <w:rFonts w:hint="cs"/>
          <w:rtl/>
        </w:rPr>
        <w:t>,</w:t>
      </w:r>
      <w:r w:rsidRPr="00A360C7">
        <w:rPr>
          <w:rStyle w:val="afb"/>
          <w:rFonts w:hint="cs"/>
          <w:rtl/>
        </w:rPr>
        <w:t xml:space="preserve"> שלא הייתה טריפה משעה שנולדה, ומה שאמר רב הונא דמוקמינן לה בחזקת היתר, היינו משום הרוב,] </w:t>
      </w:r>
      <w:r>
        <w:rPr>
          <w:rFonts w:hint="cs"/>
          <w:rtl/>
        </w:rPr>
        <w:t>ועל זה דנה הגמ' בסוגיין מהוא המקור לדין רוב</w:t>
      </w:r>
      <w:r w:rsidRPr="00304BB0">
        <w:rPr>
          <w:rFonts w:hint="cs"/>
          <w:rtl/>
        </w:rPr>
        <w:t>.</w:t>
      </w:r>
    </w:p>
    <w:p w14:paraId="2E07CC25" w14:textId="77777777" w:rsidR="009A2997" w:rsidRDefault="009A2997" w:rsidP="006D6D32">
      <w:pPr>
        <w:pStyle w:val="a3"/>
        <w:rPr>
          <w:rtl/>
        </w:rPr>
      </w:pPr>
      <w:bookmarkStart w:id="7434" w:name="_Toc528615430"/>
      <w:bookmarkStart w:id="7435" w:name="_Toc528712422"/>
      <w:bookmarkStart w:id="7436" w:name="_Toc528777082"/>
      <w:bookmarkStart w:id="7437" w:name="_Toc528789642"/>
      <w:bookmarkStart w:id="7438" w:name="_Toc19389920"/>
      <w:bookmarkStart w:id="7439" w:name="_Toc19393417"/>
      <w:r>
        <w:rPr>
          <w:rFonts w:hint="cs"/>
          <w:rtl/>
        </w:rPr>
        <w:t>דברי הר"ן דהגמ' לא הביאה בפירוש את דברי רב הונא דאינו משנה</w:t>
      </w:r>
      <w:bookmarkEnd w:id="7434"/>
      <w:bookmarkEnd w:id="7435"/>
      <w:bookmarkEnd w:id="7436"/>
      <w:bookmarkEnd w:id="7437"/>
      <w:bookmarkEnd w:id="7438"/>
      <w:bookmarkEnd w:id="7439"/>
    </w:p>
    <w:p w14:paraId="7C2F70A5" w14:textId="77777777" w:rsidR="009A2997" w:rsidRDefault="009A2997" w:rsidP="00223668">
      <w:pPr>
        <w:pStyle w:val="a0"/>
        <w:rPr>
          <w:rtl/>
        </w:rPr>
      </w:pPr>
      <w:r>
        <w:rPr>
          <w:rFonts w:hint="cs"/>
          <w:rtl/>
        </w:rPr>
        <w:t xml:space="preserve">והוסיף </w:t>
      </w:r>
      <w:r w:rsidRPr="003D3D25">
        <w:rPr>
          <w:rStyle w:val="af9"/>
          <w:rFonts w:hint="cs"/>
          <w:rtl/>
        </w:rPr>
        <w:t>הר"ן</w:t>
      </w:r>
      <w:r w:rsidRPr="00CD6A20">
        <w:rPr>
          <w:rStyle w:val="af9"/>
          <w:rFonts w:hint="cs"/>
          <w:rtl/>
        </w:rPr>
        <w:t xml:space="preserve"> </w:t>
      </w:r>
      <w:r>
        <w:rPr>
          <w:rStyle w:val="af9"/>
          <w:rFonts w:hint="cs"/>
          <w:rtl/>
        </w:rPr>
        <w:t>בחי'</w:t>
      </w:r>
      <w:r>
        <w:rPr>
          <w:rFonts w:hint="cs"/>
          <w:rtl/>
        </w:rPr>
        <w:t xml:space="preserve"> דאחר דאמרינן בגמ' דהנדון הוא ברובא דליתא קמן כגון קטן וקטנה, היה לגמ' לומר כגון דבספק טריפה דאמר רב הונא דאזלינן בתר רובא, אלא דהגמ' העדיפה לנקוט את דין קטן וקטנה שהוא רוב שכתוב במשנה, ולא את דברי רב הונא שאמר כן מסברת עצמו, ולכן אמר רב אשי לקמן </w:t>
      </w:r>
      <w:r w:rsidRPr="00CD6A20">
        <w:rPr>
          <w:rStyle w:val="af7"/>
          <w:rFonts w:eastAsia="Guttman Hodes" w:hint="cs"/>
          <w:rtl/>
        </w:rPr>
        <w:t>(יא:)</w:t>
      </w:r>
      <w:r>
        <w:rPr>
          <w:rFonts w:hint="cs"/>
          <w:rtl/>
        </w:rPr>
        <w:t xml:space="preserve"> דילפינן את דין רוב משחיטה עצמה, דהוא המשך לנדון הגמ' שהוא בדברי רב הונא דנשחטה בחזקת היתר קיימא.</w:t>
      </w:r>
    </w:p>
    <w:p w14:paraId="4301558A" w14:textId="77777777" w:rsidR="009A2997" w:rsidRPr="007C4252" w:rsidRDefault="009A2997" w:rsidP="006D6D32">
      <w:pPr>
        <w:pStyle w:val="a3"/>
        <w:rPr>
          <w:rtl/>
        </w:rPr>
      </w:pPr>
      <w:bookmarkStart w:id="7440" w:name="_Toc528615431"/>
      <w:bookmarkStart w:id="7441" w:name="_Toc528712423"/>
      <w:bookmarkStart w:id="7442" w:name="_Toc528777083"/>
      <w:bookmarkStart w:id="7443" w:name="_Toc528789643"/>
      <w:bookmarkStart w:id="7444" w:name="_Toc19389921"/>
      <w:bookmarkStart w:id="7445" w:name="_Toc19393418"/>
      <w:r>
        <w:rPr>
          <w:rFonts w:hint="cs"/>
          <w:rtl/>
        </w:rPr>
        <w:t>ביאור השיטמ"ק דרש"י ס"ל דהנדון ברוב ג"כ אינו שייך לדברי רב הונא ודלא כהר"ן</w:t>
      </w:r>
      <w:bookmarkEnd w:id="7440"/>
      <w:bookmarkEnd w:id="7441"/>
      <w:bookmarkEnd w:id="7442"/>
      <w:bookmarkEnd w:id="7443"/>
      <w:bookmarkEnd w:id="7444"/>
      <w:bookmarkEnd w:id="7445"/>
    </w:p>
    <w:p w14:paraId="253B62AE" w14:textId="77777777" w:rsidR="009A2997" w:rsidRPr="00EC4D55" w:rsidRDefault="009A2997" w:rsidP="00223668">
      <w:pPr>
        <w:pStyle w:val="a0"/>
        <w:rPr>
          <w:rtl/>
        </w:rPr>
      </w:pPr>
      <w:r>
        <w:rPr>
          <w:rFonts w:hint="cs"/>
          <w:rtl/>
        </w:rPr>
        <w:t xml:space="preserve">וביאר </w:t>
      </w:r>
      <w:r w:rsidRPr="00EC4D55">
        <w:rPr>
          <w:rStyle w:val="af9"/>
          <w:rFonts w:hint="cs"/>
          <w:rtl/>
        </w:rPr>
        <w:t>השיטמ"ק</w:t>
      </w:r>
      <w:r>
        <w:rPr>
          <w:rFonts w:hint="cs"/>
          <w:rtl/>
        </w:rPr>
        <w:t xml:space="preserve"> </w:t>
      </w:r>
      <w:r w:rsidRPr="00EC4D55">
        <w:rPr>
          <w:rStyle w:val="af7"/>
          <w:rFonts w:eastAsia="Guttman Hodes" w:hint="cs"/>
          <w:rtl/>
        </w:rPr>
        <w:t xml:space="preserve">(ד"ה ורש"י ז"ל) </w:t>
      </w:r>
      <w:r w:rsidRPr="00641008">
        <w:rPr>
          <w:rStyle w:val="af9"/>
          <w:rFonts w:hint="cs"/>
          <w:rtl/>
        </w:rPr>
        <w:t>דרש"י</w:t>
      </w:r>
      <w:r>
        <w:rPr>
          <w:rFonts w:hint="cs"/>
          <w:rtl/>
        </w:rPr>
        <w:t xml:space="preserve"> לא ביאר </w:t>
      </w:r>
      <w:r w:rsidRPr="00641008">
        <w:rPr>
          <w:rStyle w:val="af9"/>
          <w:rFonts w:hint="cs"/>
          <w:rtl/>
        </w:rPr>
        <w:t>כר"ן</w:t>
      </w:r>
      <w:r>
        <w:rPr>
          <w:rFonts w:hint="cs"/>
          <w:rtl/>
        </w:rPr>
        <w:t xml:space="preserve"> </w:t>
      </w:r>
      <w:r w:rsidRPr="004204BB">
        <w:rPr>
          <w:rFonts w:hint="cs"/>
          <w:rtl/>
        </w:rPr>
        <w:t xml:space="preserve">דכיון דלענין </w:t>
      </w:r>
      <w:r>
        <w:rPr>
          <w:rFonts w:hint="cs"/>
          <w:rtl/>
        </w:rPr>
        <w:t xml:space="preserve">הנדון בגמ' מנלן דאזלינן בתר חזקה, ביאר </w:t>
      </w:r>
      <w:r w:rsidRPr="00C811D0">
        <w:rPr>
          <w:rStyle w:val="af9"/>
          <w:rFonts w:hint="cs"/>
          <w:rtl/>
        </w:rPr>
        <w:t>רש"י</w:t>
      </w:r>
      <w:r w:rsidRPr="00EC4D55">
        <w:rPr>
          <w:rStyle w:val="af9"/>
          <w:rFonts w:hint="cs"/>
          <w:rtl/>
        </w:rPr>
        <w:t xml:space="preserve"> לעיל</w:t>
      </w:r>
      <w:r>
        <w:rPr>
          <w:rFonts w:hint="cs"/>
          <w:rtl/>
        </w:rPr>
        <w:t xml:space="preserve"> </w:t>
      </w:r>
      <w:r w:rsidRPr="00EC4D55">
        <w:rPr>
          <w:rStyle w:val="af7"/>
          <w:rFonts w:eastAsia="Guttman Hodes" w:hint="cs"/>
          <w:rtl/>
        </w:rPr>
        <w:t xml:space="preserve">(י: </w:t>
      </w:r>
      <w:r w:rsidRPr="00184444">
        <w:rPr>
          <w:rStyle w:val="af7"/>
          <w:rFonts w:eastAsia="Guttman Hodes" w:hint="cs"/>
          <w:rtl/>
        </w:rPr>
        <w:t xml:space="preserve">ד"ה הא) </w:t>
      </w:r>
      <w:r>
        <w:rPr>
          <w:rFonts w:hint="cs"/>
          <w:rtl/>
        </w:rPr>
        <w:t xml:space="preserve">דקאי על הגמ' לעיל דאזלינן בתר חזקה להיתר ולאיסור, ומבואר דלא קאי על דברי רב הונא דבחזקת איסור עומדת, אלא על דינא דסכין, </w:t>
      </w:r>
      <w:r w:rsidRPr="00C811D0">
        <w:rPr>
          <w:rStyle w:val="afb"/>
          <w:rFonts w:hint="cs"/>
          <w:rtl/>
        </w:rPr>
        <w:t xml:space="preserve">[וכדכתב </w:t>
      </w:r>
      <w:r w:rsidRPr="00C811D0">
        <w:rPr>
          <w:rStyle w:val="affa"/>
          <w:rFonts w:hint="cs"/>
          <w:rtl/>
        </w:rPr>
        <w:t>השיטמ"ק לעיל</w:t>
      </w:r>
      <w:r w:rsidRPr="00C811D0">
        <w:rPr>
          <w:rStyle w:val="afb"/>
          <w:rFonts w:hint="cs"/>
          <w:rtl/>
        </w:rPr>
        <w:t xml:space="preserve"> </w:t>
      </w:r>
      <w:r w:rsidRPr="00C811D0">
        <w:rPr>
          <w:rStyle w:val="aff6"/>
          <w:rFonts w:hint="cs"/>
          <w:rtl/>
        </w:rPr>
        <w:t xml:space="preserve">(ט: ד"ה הובא </w:t>
      </w:r>
      <w:r w:rsidRPr="00690824">
        <w:rPr>
          <w:rStyle w:val="aff6"/>
          <w:rFonts w:hint="cs"/>
          <w:rtl/>
        </w:rPr>
        <w:t xml:space="preserve">בסימן ז' אות </w:t>
      </w:r>
      <w:r>
        <w:rPr>
          <w:rStyle w:val="aff6"/>
          <w:rFonts w:hint="cs"/>
          <w:rtl/>
        </w:rPr>
        <w:t>ט'</w:t>
      </w:r>
      <w:r w:rsidRPr="00690824">
        <w:rPr>
          <w:rStyle w:val="aff6"/>
          <w:rFonts w:hint="cs"/>
          <w:rtl/>
        </w:rPr>
        <w:t>)</w:t>
      </w:r>
      <w:r w:rsidRPr="00690824">
        <w:rPr>
          <w:rStyle w:val="afb"/>
          <w:rFonts w:hint="cs"/>
          <w:rtl/>
        </w:rPr>
        <w:t xml:space="preserve"> דבדינא דסכין יש חזקה להיתר ולאיסור, ואילו בדינא דרב הונא אין חזקה להיתר ולאיסור</w:t>
      </w:r>
      <w:r w:rsidRPr="00C811D0">
        <w:rPr>
          <w:rStyle w:val="afb"/>
          <w:rFonts w:hint="cs"/>
          <w:rtl/>
        </w:rPr>
        <w:t>],</w:t>
      </w:r>
      <w:r>
        <w:rPr>
          <w:rFonts w:hint="cs"/>
          <w:rtl/>
        </w:rPr>
        <w:t xml:space="preserve"> וכיון דהנדון בחזקה אינו על דברי רב הונא, א"א לפרש כביאור </w:t>
      </w:r>
      <w:r w:rsidRPr="00EC4D55">
        <w:rPr>
          <w:rStyle w:val="af9"/>
          <w:rFonts w:hint="cs"/>
          <w:rtl/>
        </w:rPr>
        <w:t>הר"ן</w:t>
      </w:r>
      <w:r>
        <w:rPr>
          <w:rFonts w:hint="cs"/>
          <w:rtl/>
        </w:rPr>
        <w:t xml:space="preserve"> דהנדון ברוב הוא על דברי רב הונא, ולכן הוצרך </w:t>
      </w:r>
      <w:r w:rsidRPr="00EC4D55">
        <w:rPr>
          <w:rStyle w:val="af9"/>
          <w:rFonts w:hint="cs"/>
          <w:rtl/>
        </w:rPr>
        <w:t>רש"י</w:t>
      </w:r>
      <w:r>
        <w:rPr>
          <w:rFonts w:hint="cs"/>
          <w:rtl/>
        </w:rPr>
        <w:t xml:space="preserve"> לפרש, דהנדון ברוב הוא אגב הנדון בחזקה.</w:t>
      </w:r>
    </w:p>
    <w:p w14:paraId="724574FD" w14:textId="77777777" w:rsidR="009A2997" w:rsidRDefault="009A2997" w:rsidP="006D6D32">
      <w:pPr>
        <w:pStyle w:val="afe"/>
        <w:rPr>
          <w:rtl/>
        </w:rPr>
      </w:pPr>
      <w:bookmarkStart w:id="7446" w:name="_Toc528777084"/>
      <w:bookmarkStart w:id="7447" w:name="_Toc528789644"/>
      <w:bookmarkStart w:id="7448" w:name="_Toc19435557"/>
      <w:bookmarkStart w:id="7449" w:name="_Toc20080853"/>
      <w:r>
        <w:rPr>
          <w:rFonts w:hint="cs"/>
          <w:rtl/>
        </w:rPr>
        <w:t>בקושית התוס' דנילף רוב מחזקה בק"ו</w:t>
      </w:r>
      <w:bookmarkEnd w:id="7446"/>
      <w:bookmarkEnd w:id="7447"/>
      <w:bookmarkEnd w:id="7448"/>
      <w:bookmarkEnd w:id="7449"/>
    </w:p>
    <w:p w14:paraId="6DA60E8F" w14:textId="77777777" w:rsidR="009A2997" w:rsidRDefault="009A2997" w:rsidP="00BF39B2">
      <w:pPr>
        <w:pStyle w:val="1"/>
        <w:rPr>
          <w:rtl/>
        </w:rPr>
      </w:pPr>
      <w:bookmarkStart w:id="7450" w:name="_Toc528615433"/>
      <w:bookmarkStart w:id="7451" w:name="_Toc528712425"/>
      <w:bookmarkStart w:id="7452" w:name="_Toc528777085"/>
      <w:bookmarkStart w:id="7453" w:name="_Toc528789645"/>
      <w:bookmarkStart w:id="7454" w:name="_Toc19389922"/>
      <w:bookmarkStart w:id="7455" w:name="_Toc19393419"/>
      <w:r>
        <w:rPr>
          <w:rFonts w:hint="cs"/>
          <w:rtl/>
        </w:rPr>
        <w:t>קושית התוס' דנילף רוב מחזקה</w:t>
      </w:r>
      <w:bookmarkEnd w:id="7450"/>
      <w:bookmarkEnd w:id="7451"/>
      <w:r>
        <w:rPr>
          <w:rFonts w:hint="cs"/>
          <w:rtl/>
        </w:rPr>
        <w:t xml:space="preserve"> בק"ו דהא עדיף ממנה</w:t>
      </w:r>
      <w:bookmarkEnd w:id="7452"/>
      <w:bookmarkEnd w:id="7453"/>
      <w:bookmarkEnd w:id="7454"/>
      <w:bookmarkEnd w:id="7455"/>
    </w:p>
    <w:p w14:paraId="16897F82" w14:textId="77777777" w:rsidR="009A2997" w:rsidRPr="005049E2" w:rsidRDefault="009A2997" w:rsidP="006D6D32">
      <w:pPr>
        <w:pStyle w:val="a3"/>
        <w:rPr>
          <w:rtl/>
        </w:rPr>
      </w:pPr>
      <w:bookmarkStart w:id="7456" w:name="_Toc528615434"/>
      <w:bookmarkStart w:id="7457" w:name="_Toc528712426"/>
      <w:bookmarkStart w:id="7458" w:name="_Toc528777086"/>
      <w:bookmarkStart w:id="7459" w:name="_Toc528789646"/>
      <w:bookmarkStart w:id="7460" w:name="_Toc19389923"/>
      <w:bookmarkStart w:id="7461" w:name="_Toc19393420"/>
      <w:r>
        <w:rPr>
          <w:rFonts w:hint="cs"/>
          <w:rtl/>
        </w:rPr>
        <w:t>קושית התוס' דכיון שרוב עדיף מחזקה נילף מבית המנוגע את דין רוב בק"ו מחזקה</w:t>
      </w:r>
      <w:bookmarkEnd w:id="7456"/>
      <w:bookmarkEnd w:id="7457"/>
      <w:bookmarkEnd w:id="7458"/>
      <w:bookmarkEnd w:id="7459"/>
      <w:bookmarkEnd w:id="7460"/>
      <w:bookmarkEnd w:id="7461"/>
    </w:p>
    <w:p w14:paraId="33ED65EF" w14:textId="77777777" w:rsidR="009A2997" w:rsidRDefault="009A2997" w:rsidP="00223668">
      <w:pPr>
        <w:pStyle w:val="a0"/>
        <w:rPr>
          <w:rtl/>
        </w:rPr>
      </w:pPr>
      <w:bookmarkStart w:id="7462" w:name="_Ref528009850"/>
      <w:r>
        <w:rPr>
          <w:rFonts w:hint="cs"/>
          <w:rtl/>
        </w:rPr>
        <w:t xml:space="preserve">הקשו </w:t>
      </w:r>
      <w:r w:rsidRPr="005049E2">
        <w:rPr>
          <w:rStyle w:val="af9"/>
          <w:rFonts w:hint="cs"/>
          <w:rtl/>
        </w:rPr>
        <w:t xml:space="preserve">התוס' </w:t>
      </w:r>
      <w:r w:rsidRPr="005049E2">
        <w:rPr>
          <w:rStyle w:val="af7"/>
          <w:rFonts w:eastAsia="Guttman Hodes" w:hint="cs"/>
          <w:rtl/>
        </w:rPr>
        <w:t>(ד"ה מנא)</w:t>
      </w:r>
      <w:r>
        <w:rPr>
          <w:rFonts w:hint="cs"/>
          <w:rtl/>
        </w:rPr>
        <w:t xml:space="preserve"> דכיון דילפינן מבית המנוגע דאזלינן בתר חזקה, א"כ כ"ש דאזלינן בתר רוב, דהא רובא וחזקה רובא עדיף, ועי' במה שתירץ </w:t>
      </w:r>
      <w:r w:rsidRPr="00E60F98">
        <w:rPr>
          <w:rStyle w:val="af9"/>
          <w:rFonts w:hint="cs"/>
          <w:rtl/>
        </w:rPr>
        <w:t>הקוה"ע</w:t>
      </w:r>
      <w:r>
        <w:rPr>
          <w:rFonts w:hint="cs"/>
          <w:rtl/>
        </w:rPr>
        <w:t xml:space="preserve"> </w:t>
      </w:r>
      <w:r w:rsidRPr="00E60F98">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Ref528009936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פו)</w:t>
      </w:r>
      <w:r>
        <w:rPr>
          <w:rStyle w:val="af7"/>
          <w:rFonts w:eastAsia="Guttman Hodes"/>
          <w:rtl/>
        </w:rPr>
        <w:fldChar w:fldCharType="end"/>
      </w:r>
      <w:r>
        <w:rPr>
          <w:rFonts w:hint="cs"/>
          <w:rtl/>
        </w:rPr>
        <w:t>.</w:t>
      </w:r>
      <w:bookmarkEnd w:id="7462"/>
    </w:p>
    <w:p w14:paraId="356C5525" w14:textId="77777777" w:rsidR="00442CE4" w:rsidRPr="00442CE4" w:rsidRDefault="00442CE4" w:rsidP="00442CE4">
      <w:pPr>
        <w:pStyle w:val="a3"/>
        <w:rPr>
          <w:rtl/>
        </w:rPr>
      </w:pPr>
    </w:p>
    <w:p w14:paraId="180B45AF" w14:textId="77777777" w:rsidR="009A2997" w:rsidRDefault="009A2997" w:rsidP="00BF39B2">
      <w:pPr>
        <w:pStyle w:val="1"/>
        <w:rPr>
          <w:rtl/>
        </w:rPr>
      </w:pPr>
      <w:bookmarkStart w:id="7463" w:name="_Toc528615435"/>
      <w:bookmarkStart w:id="7464" w:name="_Toc528712427"/>
      <w:bookmarkStart w:id="7465" w:name="_Toc528777087"/>
      <w:bookmarkStart w:id="7466" w:name="_Toc528789647"/>
      <w:bookmarkStart w:id="7467" w:name="_Toc19389924"/>
      <w:bookmarkStart w:id="7468" w:name="_Toc19393421"/>
      <w:r>
        <w:rPr>
          <w:rFonts w:hint="cs"/>
          <w:rtl/>
        </w:rPr>
        <w:t>תירוץ התוס' דקושית הגמ' למ"ד דאין ילפותא לחזקה</w:t>
      </w:r>
      <w:bookmarkEnd w:id="7463"/>
      <w:bookmarkEnd w:id="7464"/>
      <w:bookmarkEnd w:id="7465"/>
      <w:bookmarkEnd w:id="7466"/>
      <w:bookmarkEnd w:id="7467"/>
      <w:bookmarkEnd w:id="7468"/>
    </w:p>
    <w:p w14:paraId="037D0ADE" w14:textId="77777777" w:rsidR="009A2997" w:rsidRPr="00B8316B" w:rsidRDefault="009A2997" w:rsidP="006D6D32">
      <w:pPr>
        <w:pStyle w:val="a3"/>
        <w:rPr>
          <w:rtl/>
        </w:rPr>
      </w:pPr>
      <w:bookmarkStart w:id="7469" w:name="_Toc528615436"/>
      <w:bookmarkStart w:id="7470" w:name="_Toc528712428"/>
      <w:bookmarkStart w:id="7471" w:name="_Toc528777088"/>
      <w:bookmarkStart w:id="7472" w:name="_Toc528789648"/>
      <w:bookmarkStart w:id="7473" w:name="_Toc19389925"/>
      <w:bookmarkStart w:id="7474" w:name="_Toc19393422"/>
      <w:r>
        <w:rPr>
          <w:rFonts w:hint="cs"/>
          <w:rtl/>
        </w:rPr>
        <w:t>תירוץ התוס' דכל קושית הגמ' היא למ"ד דלא ילפינן מבית המנוגע וביאר המהרש"א דהוא הלמ"מ</w:t>
      </w:r>
      <w:bookmarkEnd w:id="7469"/>
      <w:bookmarkEnd w:id="7470"/>
      <w:bookmarkEnd w:id="7471"/>
      <w:bookmarkEnd w:id="7472"/>
      <w:bookmarkEnd w:id="7473"/>
      <w:bookmarkEnd w:id="7474"/>
    </w:p>
    <w:p w14:paraId="6F169447" w14:textId="77777777" w:rsidR="009A2997" w:rsidRDefault="009A2997" w:rsidP="00223668">
      <w:pPr>
        <w:pStyle w:val="a0"/>
        <w:rPr>
          <w:rtl/>
        </w:rPr>
      </w:pPr>
      <w:r>
        <w:rPr>
          <w:rFonts w:hint="cs"/>
          <w:rtl/>
        </w:rPr>
        <w:t xml:space="preserve">ותירצו </w:t>
      </w:r>
      <w:r w:rsidRPr="005049E2">
        <w:rPr>
          <w:rStyle w:val="af9"/>
          <w:rFonts w:hint="cs"/>
          <w:rtl/>
        </w:rPr>
        <w:t xml:space="preserve">התוס' </w:t>
      </w:r>
      <w:r>
        <w:rPr>
          <w:rFonts w:hint="cs"/>
          <w:rtl/>
        </w:rPr>
        <w:t>דקושיית הגמ' היא לדעת רב אחר בר"י דס"ל דלא ילפינן את החזקה מבית המנוגע, וביאר</w:t>
      </w:r>
      <w:r w:rsidRPr="005049E2">
        <w:rPr>
          <w:rStyle w:val="af9"/>
          <w:rFonts w:hint="cs"/>
          <w:rtl/>
        </w:rPr>
        <w:t xml:space="preserve"> המהרש"א </w:t>
      </w:r>
      <w:r w:rsidRPr="005049E2">
        <w:rPr>
          <w:rStyle w:val="af7"/>
          <w:rFonts w:eastAsia="Guttman Hodes" w:hint="cs"/>
          <w:rtl/>
        </w:rPr>
        <w:t>(על תוד"ה מנא)</w:t>
      </w:r>
      <w:r>
        <w:rPr>
          <w:rFonts w:hint="cs"/>
          <w:rtl/>
        </w:rPr>
        <w:t xml:space="preserve"> דס"ל לרב אחא בר"י דחזקה היא הלכה למשה מסיני, וא"א ללמוד דאזלינן בתר רוב מהא דאזלינן בתר חזקה, וכ"ש רוב דעדיף מחזקה, כיון שא"א ללמוד ק"ו מהלכה למשה מסיני.</w:t>
      </w:r>
    </w:p>
    <w:p w14:paraId="50435962" w14:textId="77777777" w:rsidR="009A2997" w:rsidRDefault="009A2997" w:rsidP="006D6D32">
      <w:pPr>
        <w:pStyle w:val="a3"/>
        <w:rPr>
          <w:rtl/>
        </w:rPr>
      </w:pPr>
      <w:bookmarkStart w:id="7475" w:name="_Toc528615437"/>
      <w:bookmarkStart w:id="7476" w:name="_Toc528712429"/>
      <w:bookmarkStart w:id="7477" w:name="_Toc528777089"/>
      <w:bookmarkStart w:id="7478" w:name="_Toc528789649"/>
      <w:bookmarkStart w:id="7479" w:name="_Toc19389926"/>
      <w:bookmarkStart w:id="7480" w:name="_Toc19393423"/>
      <w:r>
        <w:rPr>
          <w:rFonts w:hint="cs"/>
          <w:rtl/>
        </w:rPr>
        <w:t>דברי הרשב"א דדברי רב אחא הם דיחוי בעלמא וילפינן מבית המנוגע</w:t>
      </w:r>
      <w:bookmarkEnd w:id="7475"/>
      <w:bookmarkEnd w:id="7476"/>
      <w:bookmarkEnd w:id="7477"/>
      <w:bookmarkEnd w:id="7478"/>
      <w:bookmarkEnd w:id="7479"/>
      <w:bookmarkEnd w:id="7480"/>
    </w:p>
    <w:p w14:paraId="42C8EC87" w14:textId="77777777" w:rsidR="009A2997" w:rsidRDefault="009A2997" w:rsidP="00223668">
      <w:pPr>
        <w:pStyle w:val="a0"/>
        <w:rPr>
          <w:rtl/>
        </w:rPr>
      </w:pPr>
      <w:r w:rsidRPr="003F1BB0">
        <w:rPr>
          <w:rStyle w:val="af9"/>
          <w:rFonts w:hint="cs"/>
          <w:rtl/>
        </w:rPr>
        <w:t>והרשב"א</w:t>
      </w:r>
      <w:r>
        <w:rPr>
          <w:rFonts w:hint="cs"/>
          <w:rtl/>
        </w:rPr>
        <w:t xml:space="preserve"> </w:t>
      </w:r>
      <w:r w:rsidRPr="003F1BB0">
        <w:rPr>
          <w:rStyle w:val="af7"/>
          <w:rFonts w:eastAsia="Guttman Hodes" w:hint="cs"/>
          <w:rtl/>
        </w:rPr>
        <w:t>(ד"ה אתיא)</w:t>
      </w:r>
      <w:r>
        <w:rPr>
          <w:rFonts w:hint="cs"/>
          <w:rtl/>
        </w:rPr>
        <w:t xml:space="preserve"> כתב דבאמת אי יש ילפותא דאזלינן בתר חזקה, כ"ש דאזלינן בתר רוב, דהא רובא וחזקה רובא עדיף, אלא דכיון שהגמ' לא פשטה מהו המקור לחזקה </w:t>
      </w:r>
      <w:r w:rsidRPr="00A863A4">
        <w:rPr>
          <w:rStyle w:val="afb"/>
          <w:rFonts w:hint="cs"/>
          <w:rtl/>
        </w:rPr>
        <w:t>[כדדחה רב אחא בר"י]</w:t>
      </w:r>
      <w:r>
        <w:rPr>
          <w:rFonts w:hint="cs"/>
          <w:rtl/>
        </w:rPr>
        <w:t>, לכן דנה הגמ' מהו המקור לרוב,</w:t>
      </w:r>
      <w:r w:rsidRPr="002E5526">
        <w:rPr>
          <w:rFonts w:hint="cs"/>
          <w:rtl/>
        </w:rPr>
        <w:t xml:space="preserve"> </w:t>
      </w:r>
      <w:r>
        <w:rPr>
          <w:rFonts w:hint="cs"/>
          <w:rtl/>
        </w:rPr>
        <w:t xml:space="preserve">אך דחה </w:t>
      </w:r>
      <w:r w:rsidRPr="003F1BB0">
        <w:rPr>
          <w:rStyle w:val="af9"/>
          <w:rFonts w:hint="cs"/>
          <w:rtl/>
        </w:rPr>
        <w:t>הרשב"א</w:t>
      </w:r>
      <w:r>
        <w:rPr>
          <w:rFonts w:hint="cs"/>
          <w:rtl/>
        </w:rPr>
        <w:t xml:space="preserve"> בשם </w:t>
      </w:r>
      <w:r w:rsidRPr="003F1BB0">
        <w:rPr>
          <w:rStyle w:val="af9"/>
          <w:rFonts w:hint="cs"/>
          <w:rtl/>
        </w:rPr>
        <w:t>י"מ</w:t>
      </w:r>
      <w:r>
        <w:rPr>
          <w:rFonts w:hint="cs"/>
          <w:rtl/>
        </w:rPr>
        <w:t xml:space="preserve"> דהגמ' כבר פשטה דהמקור לחזקה הוא מבית המנוגע, ודברי רב אחא בר"י הם דיחויא בעלמא.</w:t>
      </w:r>
    </w:p>
    <w:p w14:paraId="3126CE69" w14:textId="77777777" w:rsidR="009A2997" w:rsidRDefault="009A2997" w:rsidP="00BF39B2">
      <w:pPr>
        <w:pStyle w:val="1"/>
        <w:rPr>
          <w:rtl/>
        </w:rPr>
      </w:pPr>
      <w:bookmarkStart w:id="7481" w:name="_Toc528615438"/>
      <w:bookmarkStart w:id="7482" w:name="_Toc528712430"/>
      <w:bookmarkStart w:id="7483" w:name="_Toc528777090"/>
      <w:bookmarkStart w:id="7484" w:name="_Toc528789650"/>
      <w:bookmarkStart w:id="7485" w:name="_Toc19389927"/>
      <w:bookmarkStart w:id="7486" w:name="_Toc19393424"/>
      <w:r>
        <w:rPr>
          <w:rFonts w:hint="cs"/>
          <w:rtl/>
        </w:rPr>
        <w:t>ביאור הרשב"א דרק למסקנא רוב עדיף מחזקה</w:t>
      </w:r>
      <w:bookmarkEnd w:id="7481"/>
      <w:bookmarkEnd w:id="7482"/>
      <w:bookmarkEnd w:id="7483"/>
      <w:bookmarkEnd w:id="7484"/>
      <w:bookmarkEnd w:id="7485"/>
      <w:bookmarkEnd w:id="7486"/>
    </w:p>
    <w:p w14:paraId="38C9640B" w14:textId="77777777" w:rsidR="009A2997" w:rsidRPr="00725179" w:rsidRDefault="009A2997" w:rsidP="006D6D32">
      <w:pPr>
        <w:pStyle w:val="a3"/>
        <w:rPr>
          <w:rtl/>
        </w:rPr>
      </w:pPr>
      <w:bookmarkStart w:id="7487" w:name="_Toc528615439"/>
      <w:bookmarkStart w:id="7488" w:name="_Toc528712431"/>
      <w:bookmarkStart w:id="7489" w:name="_Toc528777091"/>
      <w:bookmarkStart w:id="7490" w:name="_Toc528789651"/>
      <w:bookmarkStart w:id="7491" w:name="_Toc19389928"/>
      <w:bookmarkStart w:id="7492" w:name="_Toc19393425"/>
      <w:r>
        <w:rPr>
          <w:rFonts w:hint="cs"/>
          <w:rtl/>
        </w:rPr>
        <w:t>תירוץ הרשב"א והתור"פ דהא דרוב עדיף מחזקה הוא רק אחר שיש ילפותא לדין רוב</w:t>
      </w:r>
      <w:bookmarkEnd w:id="7487"/>
      <w:bookmarkEnd w:id="7488"/>
      <w:bookmarkEnd w:id="7489"/>
      <w:bookmarkEnd w:id="7490"/>
      <w:bookmarkEnd w:id="7491"/>
      <w:bookmarkEnd w:id="7492"/>
    </w:p>
    <w:p w14:paraId="210FC1EE" w14:textId="77777777" w:rsidR="009A2997" w:rsidRPr="00BA4BFE" w:rsidRDefault="009A2997" w:rsidP="00223668">
      <w:pPr>
        <w:pStyle w:val="a0"/>
        <w:rPr>
          <w:rtl/>
        </w:rPr>
      </w:pPr>
      <w:bookmarkStart w:id="7493" w:name="_Ref528009874"/>
      <w:r>
        <w:rPr>
          <w:rFonts w:hint="cs"/>
          <w:rtl/>
        </w:rPr>
        <w:t xml:space="preserve">אלא ביאר </w:t>
      </w:r>
      <w:r w:rsidRPr="002E5526">
        <w:rPr>
          <w:rStyle w:val="af9"/>
          <w:rFonts w:hint="cs"/>
          <w:rtl/>
        </w:rPr>
        <w:t>הרשב</w:t>
      </w:r>
      <w:r w:rsidRPr="0021489F">
        <w:rPr>
          <w:rStyle w:val="af9"/>
          <w:rFonts w:hint="cs"/>
          <w:rtl/>
        </w:rPr>
        <w:t>"א</w:t>
      </w:r>
      <w:r w:rsidRPr="0021489F">
        <w:rPr>
          <w:rFonts w:hint="cs"/>
          <w:rtl/>
        </w:rPr>
        <w:t xml:space="preserve"> דא"א ללמוד את רוב ב</w:t>
      </w:r>
      <w:r>
        <w:rPr>
          <w:rFonts w:hint="cs"/>
          <w:rtl/>
        </w:rPr>
        <w:t xml:space="preserve">ק"ו מחזקה, דכל מה שרוב עדיף מחזקה הוא אחר מסקנת הגמ' דיש ילפותא דאזלינן בתר רוב, אבל בקושיית הגמ' מהו המקור לרוב, א"א לומר דהוא כ"ש מחזקה, דיתכן דאזלינן בתר חזקה, ולא אזלינן בתר רוב </w:t>
      </w:r>
      <w:r w:rsidRPr="0021489F">
        <w:rPr>
          <w:rFonts w:hint="cs"/>
          <w:rtl/>
        </w:rPr>
        <w:t>כלל, וכ"כ</w:t>
      </w:r>
      <w:r>
        <w:rPr>
          <w:rStyle w:val="af9"/>
          <w:rFonts w:hint="cs"/>
          <w:rtl/>
        </w:rPr>
        <w:t xml:space="preserve"> </w:t>
      </w:r>
      <w:r w:rsidRPr="0021489F">
        <w:rPr>
          <w:rStyle w:val="af9"/>
          <w:rFonts w:hint="cs"/>
          <w:rtl/>
        </w:rPr>
        <w:t>השיטמ"ק</w:t>
      </w:r>
      <w:r w:rsidRPr="0021489F">
        <w:rPr>
          <w:rFonts w:hint="cs"/>
          <w:rtl/>
        </w:rPr>
        <w:t xml:space="preserve"> </w:t>
      </w:r>
      <w:r w:rsidRPr="0021489F">
        <w:rPr>
          <w:rStyle w:val="af7"/>
          <w:rFonts w:eastAsia="Guttman Hodes" w:hint="cs"/>
          <w:rtl/>
        </w:rPr>
        <w:t>(ד"ה והקשו)</w:t>
      </w:r>
      <w:r w:rsidRPr="0021489F">
        <w:rPr>
          <w:rFonts w:hint="cs"/>
          <w:rtl/>
        </w:rPr>
        <w:t xml:space="preserve"> בשם </w:t>
      </w:r>
      <w:r w:rsidRPr="0021489F">
        <w:rPr>
          <w:rStyle w:val="af9"/>
          <w:rFonts w:hint="cs"/>
          <w:rtl/>
        </w:rPr>
        <w:t>התור"פ</w:t>
      </w:r>
      <w:r>
        <w:rPr>
          <w:rFonts w:hint="cs"/>
          <w:rtl/>
        </w:rPr>
        <w:t xml:space="preserve">, ועי' במ"ש </w:t>
      </w:r>
      <w:r w:rsidRPr="00E60F98">
        <w:rPr>
          <w:rStyle w:val="af9"/>
          <w:rFonts w:hint="cs"/>
          <w:rtl/>
        </w:rPr>
        <w:t>הקו</w:t>
      </w:r>
      <w:r>
        <w:rPr>
          <w:rStyle w:val="af9"/>
          <w:rFonts w:hint="cs"/>
          <w:rtl/>
        </w:rPr>
        <w:t>ב</w:t>
      </w:r>
      <w:r w:rsidRPr="00E60F98">
        <w:rPr>
          <w:rStyle w:val="af9"/>
          <w:rFonts w:hint="cs"/>
          <w:rtl/>
        </w:rPr>
        <w:t>"</w:t>
      </w:r>
      <w:bookmarkEnd w:id="7493"/>
      <w:r>
        <w:rPr>
          <w:rStyle w:val="af9"/>
          <w:rFonts w:hint="cs"/>
          <w:rtl/>
        </w:rPr>
        <w:t>ש</w:t>
      </w:r>
      <w:r>
        <w:rPr>
          <w:rFonts w:hint="cs"/>
          <w:rtl/>
        </w:rPr>
        <w:t xml:space="preserve"> </w:t>
      </w:r>
      <w:r w:rsidRPr="00E60F98">
        <w:rPr>
          <w:rStyle w:val="af7"/>
          <w:rFonts w:eastAsia="Guttman Hodes" w:hint="cs"/>
          <w:rtl/>
        </w:rPr>
        <w:t xml:space="preserve">(עי' אות </w:t>
      </w:r>
      <w:r w:rsidRPr="00E60F98">
        <w:rPr>
          <w:rStyle w:val="af7"/>
          <w:rFonts w:eastAsia="Guttman Hodes"/>
          <w:rtl/>
        </w:rPr>
        <w:fldChar w:fldCharType="begin"/>
      </w:r>
      <w:r w:rsidRPr="00E60F98">
        <w:rPr>
          <w:rStyle w:val="af7"/>
          <w:rFonts w:eastAsia="Guttman Hodes"/>
          <w:rtl/>
        </w:rPr>
        <w:instrText xml:space="preserve"> </w:instrText>
      </w:r>
      <w:r w:rsidRPr="00E60F98">
        <w:rPr>
          <w:rStyle w:val="af7"/>
          <w:rFonts w:eastAsia="Guttman Hodes"/>
        </w:rPr>
        <w:instrText>REF</w:instrText>
      </w:r>
      <w:r w:rsidRPr="00E60F98">
        <w:rPr>
          <w:rStyle w:val="af7"/>
          <w:rFonts w:eastAsia="Guttman Hodes"/>
          <w:rtl/>
        </w:rPr>
        <w:instrText xml:space="preserve"> _</w:instrText>
      </w:r>
      <w:r w:rsidRPr="00E60F98">
        <w:rPr>
          <w:rStyle w:val="af7"/>
          <w:rFonts w:eastAsia="Guttman Hodes"/>
        </w:rPr>
        <w:instrText>Ref528009908 \r \h</w:instrText>
      </w:r>
      <w:r w:rsidRPr="00E60F98">
        <w:rPr>
          <w:rStyle w:val="af7"/>
          <w:rFonts w:eastAsia="Guttman Hodes"/>
          <w:rtl/>
        </w:rPr>
        <w:instrText xml:space="preserve"> </w:instrText>
      </w:r>
      <w:r w:rsidRPr="00E60F98">
        <w:rPr>
          <w:rStyle w:val="af7"/>
          <w:rFonts w:eastAsia="Guttman Hodes"/>
          <w:rtl/>
        </w:rPr>
      </w:r>
      <w:r w:rsidRPr="00E60F98">
        <w:rPr>
          <w:rStyle w:val="af7"/>
          <w:rFonts w:eastAsia="Guttman Hodes"/>
          <w:rtl/>
        </w:rPr>
        <w:fldChar w:fldCharType="separate"/>
      </w:r>
      <w:r w:rsidR="00345400">
        <w:rPr>
          <w:rStyle w:val="af7"/>
          <w:rFonts w:eastAsia="Guttman Hodes"/>
          <w:cs/>
        </w:rPr>
        <w:t>‎</w:t>
      </w:r>
      <w:r w:rsidR="00345400">
        <w:rPr>
          <w:rStyle w:val="af7"/>
          <w:rFonts w:eastAsia="Guttman Hodes"/>
          <w:rtl/>
        </w:rPr>
        <w:t>פז)</w:t>
      </w:r>
      <w:r w:rsidRPr="00E60F98">
        <w:rPr>
          <w:rStyle w:val="af7"/>
          <w:rFonts w:eastAsia="Guttman Hodes"/>
          <w:rtl/>
        </w:rPr>
        <w:fldChar w:fldCharType="end"/>
      </w:r>
      <w:r>
        <w:rPr>
          <w:rFonts w:hint="cs"/>
          <w:rtl/>
        </w:rPr>
        <w:t>.</w:t>
      </w:r>
    </w:p>
    <w:p w14:paraId="748F8952" w14:textId="77777777" w:rsidR="009A2997" w:rsidRDefault="009A2997" w:rsidP="006D6D32">
      <w:pPr>
        <w:pStyle w:val="a3"/>
        <w:rPr>
          <w:rtl/>
        </w:rPr>
      </w:pPr>
      <w:bookmarkStart w:id="7494" w:name="_Toc528615440"/>
      <w:bookmarkStart w:id="7495" w:name="_Toc528712432"/>
      <w:bookmarkStart w:id="7496" w:name="_Toc528777092"/>
      <w:bookmarkStart w:id="7497" w:name="_Toc528789652"/>
      <w:bookmarkStart w:id="7498" w:name="_Toc19389929"/>
      <w:bookmarkStart w:id="7499" w:name="_Toc19393426"/>
      <w:r>
        <w:rPr>
          <w:rFonts w:hint="cs"/>
          <w:rtl/>
        </w:rPr>
        <w:t>קושית התוס' הרא"ש דמוכח שמסברא רוב עדיף מחזקה וא"צ לזה ילפותא</w:t>
      </w:r>
      <w:bookmarkEnd w:id="7494"/>
      <w:bookmarkEnd w:id="7495"/>
      <w:bookmarkEnd w:id="7496"/>
      <w:bookmarkEnd w:id="7497"/>
      <w:bookmarkEnd w:id="7498"/>
      <w:bookmarkEnd w:id="7499"/>
    </w:p>
    <w:p w14:paraId="41940207" w14:textId="77777777" w:rsidR="009A2997" w:rsidRDefault="009A2997" w:rsidP="00223668">
      <w:pPr>
        <w:pStyle w:val="a0"/>
        <w:rPr>
          <w:rtl/>
        </w:rPr>
      </w:pPr>
      <w:bookmarkStart w:id="7500" w:name="_Ref528055893"/>
      <w:r>
        <w:rPr>
          <w:rFonts w:hint="cs"/>
          <w:rtl/>
        </w:rPr>
        <w:t xml:space="preserve">והקשו </w:t>
      </w:r>
      <w:r w:rsidRPr="00FC00CD">
        <w:rPr>
          <w:rStyle w:val="af9"/>
          <w:rFonts w:hint="cs"/>
          <w:rtl/>
        </w:rPr>
        <w:t>התוס' הרא"ש</w:t>
      </w:r>
      <w:r>
        <w:rPr>
          <w:rFonts w:hint="cs"/>
          <w:rtl/>
        </w:rPr>
        <w:t xml:space="preserve"> </w:t>
      </w:r>
      <w:r w:rsidRPr="00FC00CD">
        <w:rPr>
          <w:rStyle w:val="af7"/>
          <w:rFonts w:eastAsia="Guttman Hodes" w:hint="cs"/>
          <w:rtl/>
        </w:rPr>
        <w:t>(ד</w:t>
      </w:r>
      <w:r w:rsidRPr="005B2611">
        <w:rPr>
          <w:rStyle w:val="af7"/>
          <w:rFonts w:eastAsia="Guttman Hodes" w:hint="cs"/>
          <w:rtl/>
        </w:rPr>
        <w:t>"ה מנא)</w:t>
      </w:r>
      <w:r w:rsidRPr="005B2611">
        <w:rPr>
          <w:rFonts w:hint="cs"/>
          <w:rtl/>
        </w:rPr>
        <w:t xml:space="preserve"> </w:t>
      </w:r>
      <w:r w:rsidRPr="005B2611">
        <w:rPr>
          <w:rStyle w:val="af9"/>
          <w:rFonts w:hint="cs"/>
          <w:rtl/>
        </w:rPr>
        <w:t>והשיטמ"ק</w:t>
      </w:r>
      <w:r w:rsidRPr="005B2611">
        <w:rPr>
          <w:rFonts w:hint="cs"/>
          <w:rtl/>
        </w:rPr>
        <w:t xml:space="preserve"> </w:t>
      </w:r>
      <w:r w:rsidRPr="005B2611">
        <w:rPr>
          <w:rStyle w:val="af7"/>
          <w:rFonts w:eastAsia="Guttman Hodes" w:hint="cs"/>
          <w:rtl/>
        </w:rPr>
        <w:t>(ד"ה וקשה לי)</w:t>
      </w:r>
      <w:r>
        <w:rPr>
          <w:rFonts w:hint="cs"/>
          <w:rtl/>
        </w:rPr>
        <w:t xml:space="preserve"> </w:t>
      </w:r>
      <w:r w:rsidRPr="005B2611">
        <w:rPr>
          <w:rFonts w:hint="cs"/>
          <w:rtl/>
        </w:rPr>
        <w:t xml:space="preserve">על </w:t>
      </w:r>
      <w:r w:rsidRPr="005B2611">
        <w:rPr>
          <w:rStyle w:val="af9"/>
          <w:rFonts w:hint="cs"/>
          <w:rtl/>
        </w:rPr>
        <w:t>הרשב</w:t>
      </w:r>
      <w:r w:rsidRPr="00FC00CD">
        <w:rPr>
          <w:rStyle w:val="af9"/>
          <w:rFonts w:hint="cs"/>
          <w:rtl/>
        </w:rPr>
        <w:t>"א</w:t>
      </w:r>
      <w:r>
        <w:rPr>
          <w:rFonts w:hint="cs"/>
          <w:rtl/>
        </w:rPr>
        <w:t xml:space="preserve"> דא"א לומר דרק אחר שיש ילפותא לרוב, אמרינן דרובא עדיף, דכיון שגם רוב וגם חזקה הם מדאו', מנלן דרוב עדיף מחזקה, אלא מוכח דהעדיפות של הרוב היא מסברא, וא"צ לזה ילפותא,</w:t>
      </w:r>
      <w:r w:rsidRPr="002704FD">
        <w:rPr>
          <w:rFonts w:hint="cs"/>
          <w:rtl/>
        </w:rPr>
        <w:t xml:space="preserve"> </w:t>
      </w:r>
      <w:r>
        <w:rPr>
          <w:rFonts w:hint="cs"/>
          <w:rtl/>
        </w:rPr>
        <w:t>וא"כ הדק"ל דכיון דאזלינן בתר חזקה כ"ש דאזלינן בתר רובא.</w:t>
      </w:r>
    </w:p>
    <w:p w14:paraId="661EAE77" w14:textId="77777777" w:rsidR="009A2997" w:rsidRPr="008921D4" w:rsidRDefault="009A2997" w:rsidP="006D6D32">
      <w:pPr>
        <w:pStyle w:val="a3"/>
      </w:pPr>
      <w:bookmarkStart w:id="7501" w:name="_Toc528615441"/>
      <w:bookmarkStart w:id="7502" w:name="_Toc528712433"/>
      <w:bookmarkStart w:id="7503" w:name="_Toc528777093"/>
      <w:bookmarkStart w:id="7504" w:name="_Toc528789653"/>
      <w:bookmarkStart w:id="7505" w:name="_Toc19389930"/>
      <w:bookmarkStart w:id="7506" w:name="_Toc19393427"/>
      <w:r>
        <w:rPr>
          <w:rFonts w:hint="cs"/>
          <w:rtl/>
        </w:rPr>
        <w:t>תירוץ השיטמ"ק דאף שהוא סברא מ"מ אי חזקה כתיבה ורוב לא כתוב חזקה עדיפא</w:t>
      </w:r>
      <w:bookmarkEnd w:id="7501"/>
      <w:bookmarkEnd w:id="7502"/>
      <w:bookmarkEnd w:id="7503"/>
      <w:bookmarkEnd w:id="7504"/>
      <w:bookmarkEnd w:id="7505"/>
      <w:bookmarkEnd w:id="7506"/>
    </w:p>
    <w:p w14:paraId="421808F6" w14:textId="77777777" w:rsidR="009A2997" w:rsidRPr="008921D4" w:rsidRDefault="009A2997" w:rsidP="00223668">
      <w:pPr>
        <w:pStyle w:val="a0"/>
        <w:rPr>
          <w:rtl/>
        </w:rPr>
      </w:pPr>
      <w:r w:rsidRPr="008921D4">
        <w:rPr>
          <w:rFonts w:hint="cs"/>
          <w:rtl/>
        </w:rPr>
        <w:t xml:space="preserve">ותירץ </w:t>
      </w:r>
      <w:r w:rsidRPr="008921D4">
        <w:rPr>
          <w:rStyle w:val="af9"/>
          <w:rFonts w:hint="cs"/>
          <w:rtl/>
        </w:rPr>
        <w:t>השיטמ"ק</w:t>
      </w:r>
      <w:r>
        <w:rPr>
          <w:rFonts w:hint="cs"/>
          <w:rtl/>
        </w:rPr>
        <w:t xml:space="preserve"> דאף דמסברא רוב עדיף מחזקה, מ"מ אם רק לחזקה הייתה ילפותא ולא לרוב, אמרינן דהחזקה דכתיבא עדיפא, מרוב דלא כתיבא</w:t>
      </w:r>
      <w:r w:rsidRPr="008921D4">
        <w:rPr>
          <w:rFonts w:hint="cs"/>
          <w:rtl/>
        </w:rPr>
        <w:t>.</w:t>
      </w:r>
    </w:p>
    <w:p w14:paraId="2F1C9744" w14:textId="77777777" w:rsidR="009A2997" w:rsidRDefault="009A2997" w:rsidP="00BF39B2">
      <w:pPr>
        <w:pStyle w:val="1"/>
        <w:rPr>
          <w:rtl/>
        </w:rPr>
      </w:pPr>
      <w:bookmarkStart w:id="7507" w:name="_Toc528615442"/>
      <w:bookmarkStart w:id="7508" w:name="_Toc528712434"/>
      <w:bookmarkStart w:id="7509" w:name="_Toc528777094"/>
      <w:bookmarkStart w:id="7510" w:name="_Toc528789654"/>
      <w:bookmarkStart w:id="7511" w:name="_Toc19389931"/>
      <w:bookmarkStart w:id="7512" w:name="_Toc19393428"/>
      <w:bookmarkEnd w:id="7500"/>
      <w:r>
        <w:rPr>
          <w:rFonts w:hint="cs"/>
          <w:rtl/>
        </w:rPr>
        <w:t>ביאורי האחרונים בהא דרוב עדיף מחזקה</w:t>
      </w:r>
      <w:bookmarkEnd w:id="7507"/>
      <w:bookmarkEnd w:id="7508"/>
      <w:bookmarkEnd w:id="7509"/>
      <w:bookmarkEnd w:id="7510"/>
      <w:bookmarkEnd w:id="7511"/>
      <w:bookmarkEnd w:id="7512"/>
    </w:p>
    <w:p w14:paraId="76E3D3A2" w14:textId="77777777" w:rsidR="009A2997" w:rsidRDefault="009A2997" w:rsidP="006D6D32">
      <w:pPr>
        <w:pStyle w:val="a3"/>
        <w:rPr>
          <w:rtl/>
        </w:rPr>
      </w:pPr>
      <w:bookmarkStart w:id="7513" w:name="_Toc528615443"/>
      <w:bookmarkStart w:id="7514" w:name="_Toc528712435"/>
      <w:bookmarkStart w:id="7515" w:name="_Toc528777095"/>
      <w:bookmarkStart w:id="7516" w:name="_Toc528789655"/>
      <w:bookmarkStart w:id="7517" w:name="_Toc19389932"/>
      <w:bookmarkStart w:id="7518" w:name="_Toc19393429"/>
      <w:r>
        <w:rPr>
          <w:rFonts w:hint="cs"/>
          <w:rtl/>
        </w:rPr>
        <w:t>ביאור החמד"ש דאחר דילפינן דאזלינן בתר רוב שהוא בירור ממילא עדיף מחזקה שהיא דין</w:t>
      </w:r>
      <w:bookmarkEnd w:id="7513"/>
      <w:bookmarkEnd w:id="7514"/>
      <w:bookmarkEnd w:id="7515"/>
      <w:bookmarkEnd w:id="7516"/>
      <w:bookmarkEnd w:id="7517"/>
      <w:bookmarkEnd w:id="7518"/>
    </w:p>
    <w:p w14:paraId="1D3AD614" w14:textId="77777777" w:rsidR="009A2997" w:rsidRPr="0026019F" w:rsidRDefault="009A2997" w:rsidP="00223668">
      <w:pPr>
        <w:pStyle w:val="a0"/>
        <w:rPr>
          <w:rStyle w:val="afb"/>
          <w:rtl/>
        </w:rPr>
      </w:pPr>
      <w:r w:rsidRPr="001F415E">
        <w:rPr>
          <w:rStyle w:val="af9"/>
          <w:rFonts w:hint="cs"/>
          <w:rtl/>
        </w:rPr>
        <w:t>והחמדת שלמה</w:t>
      </w:r>
      <w:r>
        <w:rPr>
          <w:rFonts w:hint="cs"/>
          <w:rtl/>
        </w:rPr>
        <w:t xml:space="preserve"> </w:t>
      </w:r>
      <w:r w:rsidRPr="001F415E">
        <w:rPr>
          <w:rStyle w:val="af7"/>
          <w:rFonts w:eastAsia="Guttman Hodes" w:hint="cs"/>
          <w:rtl/>
        </w:rPr>
        <w:t>(שו"ת יו"ד סי' כ"ט אות ח' ד"ה ובזה אשכחנא)</w:t>
      </w:r>
      <w:r>
        <w:rPr>
          <w:rFonts w:hint="cs"/>
          <w:rtl/>
        </w:rPr>
        <w:t xml:space="preserve"> ביאר את דברי </w:t>
      </w:r>
      <w:r w:rsidRPr="001F415E">
        <w:rPr>
          <w:rStyle w:val="af9"/>
          <w:rFonts w:hint="cs"/>
          <w:rtl/>
        </w:rPr>
        <w:t>הרשב"א</w:t>
      </w:r>
      <w:r>
        <w:rPr>
          <w:rFonts w:hint="cs"/>
          <w:rtl/>
        </w:rPr>
        <w:t xml:space="preserve">, דכיון שרוב הוא בירור, ובמקום שיש רוב לא חיישינן לצד הרחוק שהוא מהמיעוט, ולכן מסברא ודאי שרוב עדיף מחזקה, שאינה בירור, דבחזקה עדיין יש ספק, רק הדין הוא דאזלינן בתר חזקה, אך כ"ז שייך לומר אחר שיש ילפותא דאזלינן בתר רוב שהוא מברר, אבל לפני הילפותא, לא ידעינן שרוב הוא בירור כלל. </w:t>
      </w:r>
      <w:r w:rsidRPr="00D5754F">
        <w:rPr>
          <w:rStyle w:val="afb"/>
          <w:rFonts w:hint="cs"/>
          <w:rtl/>
        </w:rPr>
        <w:t xml:space="preserve">[וע"ע בדברי </w:t>
      </w:r>
      <w:r w:rsidRPr="00D5754F">
        <w:rPr>
          <w:rStyle w:val="affa"/>
          <w:rFonts w:hint="cs"/>
          <w:rtl/>
        </w:rPr>
        <w:t>החמדת שלמה</w:t>
      </w:r>
      <w:r w:rsidRPr="00D5754F">
        <w:rPr>
          <w:rStyle w:val="afb"/>
          <w:rFonts w:hint="cs"/>
          <w:rtl/>
        </w:rPr>
        <w:t xml:space="preserve"> </w:t>
      </w:r>
      <w:r w:rsidRPr="00D5754F">
        <w:rPr>
          <w:rStyle w:val="aff6"/>
          <w:rFonts w:hint="cs"/>
          <w:rtl/>
        </w:rPr>
        <w:t>(יו"ד סי' כ"ה אות ח', אבהע"ז סי</w:t>
      </w:r>
      <w:r>
        <w:rPr>
          <w:rStyle w:val="aff6"/>
          <w:rFonts w:hint="cs"/>
          <w:rtl/>
        </w:rPr>
        <w:t>'</w:t>
      </w:r>
      <w:r w:rsidRPr="00D5754F">
        <w:rPr>
          <w:rStyle w:val="aff6"/>
          <w:rFonts w:hint="cs"/>
          <w:rtl/>
        </w:rPr>
        <w:t xml:space="preserve"> כ"ג אות ב')</w:t>
      </w:r>
      <w:r w:rsidRPr="00D5754F">
        <w:rPr>
          <w:rStyle w:val="afb"/>
          <w:rFonts w:hint="cs"/>
          <w:rtl/>
        </w:rPr>
        <w:t>]</w:t>
      </w:r>
      <w:r w:rsidRPr="0026019F">
        <w:rPr>
          <w:rStyle w:val="afb"/>
          <w:rFonts w:hint="cs"/>
          <w:rtl/>
        </w:rPr>
        <w:t>.</w:t>
      </w:r>
    </w:p>
    <w:p w14:paraId="75338A37" w14:textId="77777777" w:rsidR="009A2997" w:rsidRDefault="009A2997" w:rsidP="006D6D32">
      <w:pPr>
        <w:pStyle w:val="a3"/>
        <w:rPr>
          <w:rtl/>
        </w:rPr>
      </w:pPr>
      <w:bookmarkStart w:id="7519" w:name="_Toc528615444"/>
      <w:bookmarkStart w:id="7520" w:name="_Toc528712436"/>
      <w:bookmarkStart w:id="7521" w:name="_Toc528777096"/>
      <w:bookmarkStart w:id="7522" w:name="_Toc528789656"/>
      <w:bookmarkStart w:id="7523" w:name="_Toc19389933"/>
      <w:bookmarkStart w:id="7524" w:name="_Toc19393430"/>
      <w:r>
        <w:rPr>
          <w:rFonts w:hint="cs"/>
          <w:rtl/>
        </w:rPr>
        <w:t>דברי הש"ש דרוב שהוא לפנינו עדיף מחזקה שאינה לפנינו והייתה רק מעיקרא</w:t>
      </w:r>
      <w:bookmarkEnd w:id="7519"/>
      <w:bookmarkEnd w:id="7520"/>
      <w:bookmarkEnd w:id="7521"/>
      <w:bookmarkEnd w:id="7522"/>
      <w:bookmarkEnd w:id="7523"/>
      <w:bookmarkEnd w:id="7524"/>
    </w:p>
    <w:p w14:paraId="554A4EB9" w14:textId="77777777" w:rsidR="009A2997" w:rsidRDefault="009A2997" w:rsidP="00223668">
      <w:pPr>
        <w:pStyle w:val="a0"/>
        <w:rPr>
          <w:rStyle w:val="afb"/>
          <w:rtl/>
        </w:rPr>
      </w:pPr>
      <w:bookmarkStart w:id="7525" w:name="_Ref528314592"/>
      <w:r>
        <w:rPr>
          <w:rStyle w:val="af9"/>
          <w:rFonts w:hint="cs"/>
          <w:rtl/>
        </w:rPr>
        <w:t>ו</w:t>
      </w:r>
      <w:r w:rsidRPr="00032DBC">
        <w:rPr>
          <w:rStyle w:val="af9"/>
          <w:rFonts w:hint="cs"/>
          <w:rtl/>
        </w:rPr>
        <w:t>הש"ש</w:t>
      </w:r>
      <w:r w:rsidRPr="00032DBC">
        <w:rPr>
          <w:rStyle w:val="af7"/>
          <w:rFonts w:eastAsia="Guttman Hodes" w:hint="cs"/>
          <w:rtl/>
        </w:rPr>
        <w:t xml:space="preserve"> (ש"ד פכ"ד ד"ה כתב בתשו') </w:t>
      </w:r>
      <w:r>
        <w:rPr>
          <w:rFonts w:hint="cs"/>
          <w:rtl/>
        </w:rPr>
        <w:t xml:space="preserve">ביאר דהא דרוב עדיף מחזקה, הוא כיון דעכשיו יש לפנינו רוב, אבל חזקה אינה לפנינו, אלא דמעמידים על החזקה דמעיקרא, ואמרינן שלא היה שינוי בחזקה, ולכן אזלינן בתר הרוב שהוא לפנינו. </w:t>
      </w:r>
      <w:r w:rsidRPr="00032DBC">
        <w:rPr>
          <w:rStyle w:val="afb"/>
          <w:rFonts w:hint="cs"/>
          <w:rtl/>
        </w:rPr>
        <w:t xml:space="preserve">[והוסיף </w:t>
      </w:r>
      <w:r w:rsidRPr="00032DBC">
        <w:rPr>
          <w:rStyle w:val="affa"/>
          <w:rFonts w:hint="cs"/>
          <w:rtl/>
        </w:rPr>
        <w:t>הש"ש</w:t>
      </w:r>
      <w:r w:rsidRPr="00032DBC">
        <w:rPr>
          <w:rStyle w:val="afb"/>
          <w:rFonts w:hint="cs"/>
          <w:rtl/>
        </w:rPr>
        <w:t xml:space="preserve"> דמשו"</w:t>
      </w:r>
      <w:r>
        <w:rPr>
          <w:rStyle w:val="afb"/>
          <w:rFonts w:hint="cs"/>
          <w:rtl/>
        </w:rPr>
        <w:t xml:space="preserve">ה </w:t>
      </w:r>
      <w:r w:rsidRPr="00032DBC">
        <w:rPr>
          <w:rStyle w:val="afb"/>
          <w:rFonts w:hint="cs"/>
          <w:rtl/>
        </w:rPr>
        <w:t xml:space="preserve">רוב </w:t>
      </w:r>
      <w:r>
        <w:rPr>
          <w:rStyle w:val="afb"/>
          <w:rFonts w:hint="cs"/>
          <w:rtl/>
        </w:rPr>
        <w:t>אינו יכול להוציא מ</w:t>
      </w:r>
      <w:r w:rsidRPr="00032DBC">
        <w:rPr>
          <w:rStyle w:val="afb"/>
          <w:rFonts w:hint="cs"/>
          <w:rtl/>
        </w:rPr>
        <w:t>מוחזק, דאף המוחזק הוא לפנינו</w:t>
      </w:r>
      <w:r>
        <w:rPr>
          <w:rStyle w:val="afb"/>
          <w:rFonts w:hint="cs"/>
          <w:rtl/>
        </w:rPr>
        <w:t>]</w:t>
      </w:r>
      <w:r>
        <w:rPr>
          <w:rFonts w:hint="cs"/>
          <w:rtl/>
        </w:rPr>
        <w:t xml:space="preserve">, ועי' בדברי </w:t>
      </w:r>
      <w:r w:rsidRPr="00E60F98">
        <w:rPr>
          <w:rStyle w:val="af9"/>
          <w:rFonts w:hint="cs"/>
          <w:rtl/>
        </w:rPr>
        <w:t>הקוה"ע</w:t>
      </w:r>
      <w:r>
        <w:rPr>
          <w:rFonts w:hint="cs"/>
          <w:rtl/>
        </w:rPr>
        <w:t xml:space="preserve"> </w:t>
      </w:r>
      <w:r w:rsidRPr="00E60F98">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Ref528009936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פו)</w:t>
      </w:r>
      <w:r>
        <w:rPr>
          <w:rStyle w:val="af7"/>
          <w:rFonts w:eastAsia="Guttman Hodes"/>
          <w:rtl/>
        </w:rPr>
        <w:fldChar w:fldCharType="end"/>
      </w:r>
      <w:r>
        <w:rPr>
          <w:rFonts w:hint="cs"/>
          <w:rtl/>
        </w:rPr>
        <w:t>.</w:t>
      </w:r>
      <w:bookmarkEnd w:id="7525"/>
    </w:p>
    <w:p w14:paraId="1EBAFB08" w14:textId="77777777" w:rsidR="009A2997" w:rsidRPr="00F02FAC" w:rsidRDefault="009A2997" w:rsidP="00BF39B2">
      <w:pPr>
        <w:pStyle w:val="1"/>
        <w:rPr>
          <w:rtl/>
        </w:rPr>
      </w:pPr>
      <w:bookmarkStart w:id="7526" w:name="_Toc528615445"/>
      <w:bookmarkStart w:id="7527" w:name="_Toc528712437"/>
      <w:bookmarkStart w:id="7528" w:name="_Toc528777097"/>
      <w:bookmarkStart w:id="7529" w:name="_Toc528789657"/>
      <w:bookmarkStart w:id="7530" w:name="_Toc19389934"/>
      <w:bookmarkStart w:id="7531" w:name="_Toc19393431"/>
      <w:r>
        <w:rPr>
          <w:rFonts w:hint="cs"/>
          <w:rtl/>
        </w:rPr>
        <w:t>דעת רבינו חיים והתוס' הרא"ש דיש ילפותא דרוב עדיף מחזקה</w:t>
      </w:r>
      <w:bookmarkEnd w:id="7526"/>
      <w:bookmarkEnd w:id="7527"/>
      <w:bookmarkEnd w:id="7528"/>
      <w:bookmarkEnd w:id="7529"/>
      <w:bookmarkEnd w:id="7530"/>
      <w:bookmarkEnd w:id="7531"/>
    </w:p>
    <w:p w14:paraId="063D23FF" w14:textId="77777777" w:rsidR="009A2997" w:rsidRDefault="009A2997" w:rsidP="006D6D32">
      <w:pPr>
        <w:pStyle w:val="a3"/>
        <w:rPr>
          <w:rtl/>
        </w:rPr>
      </w:pPr>
      <w:bookmarkStart w:id="7532" w:name="_Toc528615446"/>
      <w:bookmarkStart w:id="7533" w:name="_Toc528712438"/>
      <w:bookmarkStart w:id="7534" w:name="_Toc528777098"/>
      <w:bookmarkStart w:id="7535" w:name="_Toc528789658"/>
      <w:bookmarkStart w:id="7536" w:name="_Toc19389935"/>
      <w:bookmarkStart w:id="7537" w:name="_Toc19393432"/>
      <w:r>
        <w:rPr>
          <w:rFonts w:hint="cs"/>
          <w:rtl/>
        </w:rPr>
        <w:t>תירוץ רבינו חיים דמסברא רוב לא עדיף מחזקה וילפינן לה מפרה אדומה</w:t>
      </w:r>
      <w:bookmarkEnd w:id="7532"/>
      <w:bookmarkEnd w:id="7533"/>
      <w:bookmarkEnd w:id="7534"/>
      <w:bookmarkEnd w:id="7535"/>
      <w:bookmarkEnd w:id="7536"/>
      <w:bookmarkEnd w:id="7537"/>
    </w:p>
    <w:p w14:paraId="729AA90D" w14:textId="77777777" w:rsidR="009A2997" w:rsidRDefault="009A2997" w:rsidP="00223668">
      <w:pPr>
        <w:pStyle w:val="a0"/>
        <w:rPr>
          <w:rStyle w:val="12"/>
          <w:sz w:val="18"/>
          <w:szCs w:val="18"/>
          <w:rtl/>
        </w:rPr>
      </w:pPr>
      <w:bookmarkStart w:id="7538" w:name="_Ref528171682"/>
      <w:r>
        <w:rPr>
          <w:rStyle w:val="af9"/>
          <w:rFonts w:hint="cs"/>
          <w:rtl/>
        </w:rPr>
        <w:t>ו</w:t>
      </w:r>
      <w:r w:rsidRPr="00797161">
        <w:rPr>
          <w:rStyle w:val="af9"/>
          <w:rFonts w:hint="cs"/>
          <w:rtl/>
        </w:rPr>
        <w:t xml:space="preserve">התוס' </w:t>
      </w:r>
      <w:r w:rsidRPr="005049E2">
        <w:rPr>
          <w:rStyle w:val="af7"/>
          <w:rFonts w:eastAsia="Guttman Hodes" w:hint="cs"/>
          <w:rtl/>
        </w:rPr>
        <w:t>(ד"ה מנא)</w:t>
      </w:r>
      <w:r>
        <w:rPr>
          <w:rFonts w:hint="cs"/>
          <w:rtl/>
        </w:rPr>
        <w:t xml:space="preserve"> </w:t>
      </w:r>
      <w:r w:rsidRPr="00797161">
        <w:rPr>
          <w:rFonts w:hint="cs"/>
          <w:rtl/>
        </w:rPr>
        <w:t xml:space="preserve">תירצו בשם </w:t>
      </w:r>
      <w:r w:rsidRPr="00797161">
        <w:rPr>
          <w:rStyle w:val="af9"/>
          <w:rFonts w:hint="cs"/>
          <w:rtl/>
        </w:rPr>
        <w:t>רבינו חיים</w:t>
      </w:r>
      <w:r w:rsidRPr="00797161">
        <w:rPr>
          <w:rFonts w:hint="cs"/>
          <w:rtl/>
        </w:rPr>
        <w:t xml:space="preserve"> דמסברא</w:t>
      </w:r>
      <w:r w:rsidRPr="00797161">
        <w:rPr>
          <w:rStyle w:val="12"/>
          <w:rFonts w:hint="cs"/>
          <w:sz w:val="18"/>
          <w:szCs w:val="18"/>
          <w:rtl/>
        </w:rPr>
        <w:t xml:space="preserve"> </w:t>
      </w:r>
      <w:r w:rsidRPr="00797161">
        <w:rPr>
          <w:rFonts w:hint="cs"/>
          <w:rtl/>
        </w:rPr>
        <w:t>רוב לא עדיף מחזקה,</w:t>
      </w:r>
      <w:r w:rsidRPr="00797161">
        <w:rPr>
          <w:rStyle w:val="12"/>
          <w:rFonts w:hint="cs"/>
          <w:sz w:val="18"/>
          <w:szCs w:val="18"/>
          <w:rtl/>
        </w:rPr>
        <w:t xml:space="preserve"> אלא דילפינן מפרה אדומה, דאף שהגברא שמזין עליו הוא בחזקת טמא, מ"מ לא חיישינן שמא הפרה היא טריפה, ואזלינן בתר רובא דרוב בהמות אינם טריפות, ומוציאין ע"י הרוב את הגברא מחזקתו דהוא טמא, וילפינן מזה דרוב עדיף מחזקה</w:t>
      </w:r>
      <w:r>
        <w:rPr>
          <w:rStyle w:val="af1"/>
          <w:rtl/>
        </w:rPr>
        <w:footnoteReference w:id="46"/>
      </w:r>
      <w:r w:rsidRPr="00797161">
        <w:rPr>
          <w:rStyle w:val="12"/>
          <w:rFonts w:hint="cs"/>
          <w:sz w:val="18"/>
          <w:szCs w:val="18"/>
          <w:rtl/>
        </w:rPr>
        <w:t>.</w:t>
      </w:r>
      <w:bookmarkEnd w:id="7538"/>
    </w:p>
    <w:p w14:paraId="32545980" w14:textId="77777777" w:rsidR="009A2997" w:rsidRDefault="009A2997" w:rsidP="006D6D32">
      <w:pPr>
        <w:pStyle w:val="a3"/>
        <w:rPr>
          <w:rtl/>
        </w:rPr>
      </w:pPr>
      <w:bookmarkStart w:id="7539" w:name="_Toc528615447"/>
      <w:bookmarkStart w:id="7540" w:name="_Toc528712439"/>
      <w:bookmarkStart w:id="7541" w:name="_Toc528777099"/>
      <w:bookmarkStart w:id="7542" w:name="_Toc528789659"/>
      <w:bookmarkStart w:id="7543" w:name="_Toc19389936"/>
      <w:bookmarkStart w:id="7544" w:name="_Toc19393433"/>
      <w:r>
        <w:rPr>
          <w:rFonts w:hint="cs"/>
          <w:rtl/>
        </w:rPr>
        <w:t>תירוץ רבינו מאיר דילפינן משעיר המשתלח דרוב עדיף מחזקה</w:t>
      </w:r>
      <w:bookmarkEnd w:id="7539"/>
      <w:bookmarkEnd w:id="7540"/>
      <w:bookmarkEnd w:id="7541"/>
      <w:bookmarkEnd w:id="7542"/>
      <w:bookmarkEnd w:id="7543"/>
      <w:bookmarkEnd w:id="7544"/>
    </w:p>
    <w:p w14:paraId="68FA4E0D" w14:textId="77777777" w:rsidR="009A2997" w:rsidRPr="004F39CC" w:rsidRDefault="009A2997" w:rsidP="00223668">
      <w:pPr>
        <w:pStyle w:val="a0"/>
        <w:rPr>
          <w:rtl/>
        </w:rPr>
      </w:pPr>
      <w:bookmarkStart w:id="7545" w:name="_Ref528171692"/>
      <w:r w:rsidRPr="00797161">
        <w:rPr>
          <w:rFonts w:hint="cs"/>
          <w:rtl/>
        </w:rPr>
        <w:t>ו</w:t>
      </w:r>
      <w:r>
        <w:rPr>
          <w:rFonts w:hint="cs"/>
          <w:rtl/>
        </w:rPr>
        <w:t>כעי"ז</w:t>
      </w:r>
      <w:r w:rsidRPr="00797161">
        <w:rPr>
          <w:rFonts w:hint="cs"/>
          <w:rtl/>
        </w:rPr>
        <w:t xml:space="preserve"> </w:t>
      </w:r>
      <w:r>
        <w:rPr>
          <w:rFonts w:hint="cs"/>
          <w:rtl/>
        </w:rPr>
        <w:t xml:space="preserve">כתב </w:t>
      </w:r>
      <w:r w:rsidRPr="00FC00CD">
        <w:rPr>
          <w:rStyle w:val="af9"/>
          <w:rFonts w:hint="cs"/>
          <w:rtl/>
        </w:rPr>
        <w:t>התוס' הרא"ש</w:t>
      </w:r>
      <w:r>
        <w:rPr>
          <w:rFonts w:hint="cs"/>
          <w:rtl/>
        </w:rPr>
        <w:t xml:space="preserve"> בשם </w:t>
      </w:r>
      <w:r w:rsidRPr="00FC00CD">
        <w:rPr>
          <w:rStyle w:val="af9"/>
          <w:rFonts w:hint="cs"/>
          <w:rtl/>
        </w:rPr>
        <w:t>רבינו מאיר</w:t>
      </w:r>
      <w:r>
        <w:rPr>
          <w:rFonts w:hint="cs"/>
          <w:rtl/>
        </w:rPr>
        <w:t xml:space="preserve"> </w:t>
      </w:r>
      <w:r w:rsidRPr="00A40E97">
        <w:rPr>
          <w:rStyle w:val="afb"/>
          <w:rFonts w:hint="cs"/>
          <w:rtl/>
        </w:rPr>
        <w:t>[</w:t>
      </w:r>
      <w:r>
        <w:rPr>
          <w:rStyle w:val="afb"/>
          <w:rFonts w:hint="cs"/>
          <w:rtl/>
        </w:rPr>
        <w:t xml:space="preserve">ליישב את קושייתו </w:t>
      </w:r>
      <w:r w:rsidRPr="00A40E97">
        <w:rPr>
          <w:rStyle w:val="afb"/>
          <w:rFonts w:hint="cs"/>
          <w:rtl/>
        </w:rPr>
        <w:t xml:space="preserve">על </w:t>
      </w:r>
      <w:r w:rsidRPr="00A40E97">
        <w:rPr>
          <w:rStyle w:val="affa"/>
          <w:rFonts w:hint="cs"/>
          <w:rtl/>
        </w:rPr>
        <w:t>הרשב"א</w:t>
      </w:r>
      <w:r w:rsidRPr="00A40E97">
        <w:rPr>
          <w:rStyle w:val="afb"/>
          <w:rFonts w:hint="cs"/>
          <w:rtl/>
        </w:rPr>
        <w:t xml:space="preserve"> </w:t>
      </w:r>
      <w:r w:rsidRPr="00A40E97">
        <w:rPr>
          <w:rStyle w:val="aff6"/>
          <w:rFonts w:hint="cs"/>
          <w:rtl/>
        </w:rPr>
        <w:t xml:space="preserve">(עי' אות </w:t>
      </w:r>
      <w:r w:rsidRPr="00A40E97">
        <w:rPr>
          <w:rStyle w:val="aff6"/>
          <w:rtl/>
        </w:rPr>
        <w:fldChar w:fldCharType="begin"/>
      </w:r>
      <w:r w:rsidRPr="00A40E97">
        <w:rPr>
          <w:rStyle w:val="aff6"/>
          <w:rtl/>
        </w:rPr>
        <w:instrText xml:space="preserve"> </w:instrText>
      </w:r>
      <w:r w:rsidRPr="00A40E97">
        <w:rPr>
          <w:rStyle w:val="aff6"/>
          <w:rFonts w:hint="cs"/>
        </w:rPr>
        <w:instrText>REF</w:instrText>
      </w:r>
      <w:r w:rsidRPr="00A40E97">
        <w:rPr>
          <w:rStyle w:val="aff6"/>
          <w:rFonts w:hint="cs"/>
          <w:rtl/>
        </w:rPr>
        <w:instrText xml:space="preserve"> _</w:instrText>
      </w:r>
      <w:r w:rsidRPr="00A40E97">
        <w:rPr>
          <w:rStyle w:val="aff6"/>
          <w:rFonts w:hint="cs"/>
        </w:rPr>
        <w:instrText>Ref528055893 \r \h</w:instrText>
      </w:r>
      <w:r w:rsidRPr="00A40E97">
        <w:rPr>
          <w:rStyle w:val="aff6"/>
          <w:rtl/>
        </w:rPr>
        <w:instrText xml:space="preserve"> </w:instrText>
      </w:r>
      <w:r w:rsidRPr="00A40E97">
        <w:rPr>
          <w:rStyle w:val="aff6"/>
          <w:rtl/>
        </w:rPr>
      </w:r>
      <w:r w:rsidRPr="00A40E97">
        <w:rPr>
          <w:rStyle w:val="aff6"/>
          <w:rtl/>
        </w:rPr>
        <w:fldChar w:fldCharType="separate"/>
      </w:r>
      <w:r w:rsidR="00345400">
        <w:rPr>
          <w:rStyle w:val="aff6"/>
          <w:cs/>
        </w:rPr>
        <w:t>‎</w:t>
      </w:r>
      <w:r w:rsidR="00345400">
        <w:rPr>
          <w:rStyle w:val="aff6"/>
          <w:rtl/>
        </w:rPr>
        <w:t>ט)</w:t>
      </w:r>
      <w:r w:rsidRPr="00A40E97">
        <w:rPr>
          <w:rStyle w:val="aff6"/>
          <w:rtl/>
        </w:rPr>
        <w:fldChar w:fldCharType="end"/>
      </w:r>
      <w:r w:rsidRPr="00A40E97">
        <w:rPr>
          <w:rStyle w:val="afb"/>
          <w:rFonts w:hint="cs"/>
          <w:rtl/>
        </w:rPr>
        <w:t>]</w:t>
      </w:r>
      <w:r>
        <w:rPr>
          <w:rFonts w:hint="cs"/>
          <w:rtl/>
        </w:rPr>
        <w:t xml:space="preserve"> דהא דרוב עדיף מחזקה נלמד משעיר המשתלח, דמוחזק לן שיש חוטאים שלא נתכפרו, וא"כ צריך לחוש שהשעיר הוא טריפה ואינם מתכפרים בו, ומהא דאזלינן בתר רוב בהמות אינם טריפות, ולא חיישינן שמא הוא טריפה, מוכח דרובא וחזקה רובא עדיף.</w:t>
      </w:r>
      <w:bookmarkEnd w:id="7545"/>
    </w:p>
    <w:p w14:paraId="65913EA8" w14:textId="77777777" w:rsidR="009A2997" w:rsidRPr="00C77253" w:rsidRDefault="009A2997" w:rsidP="00BF39B2">
      <w:pPr>
        <w:pStyle w:val="1"/>
        <w:rPr>
          <w:rtl/>
        </w:rPr>
      </w:pPr>
      <w:bookmarkStart w:id="7546" w:name="_Toc528615448"/>
      <w:bookmarkStart w:id="7547" w:name="_Toc528712440"/>
      <w:bookmarkStart w:id="7548" w:name="_Toc528777100"/>
      <w:bookmarkStart w:id="7549" w:name="_Toc528789660"/>
      <w:bookmarkStart w:id="7550" w:name="_Toc19389937"/>
      <w:bookmarkStart w:id="7551" w:name="_Toc19393434"/>
      <w:r>
        <w:rPr>
          <w:rFonts w:hint="cs"/>
          <w:rtl/>
        </w:rPr>
        <w:t>קושית השיטמ"ק והגרעק"א דהחזקה בפרה אינה בשורש הספק</w:t>
      </w:r>
      <w:bookmarkEnd w:id="7546"/>
      <w:bookmarkEnd w:id="7547"/>
      <w:bookmarkEnd w:id="7548"/>
      <w:bookmarkEnd w:id="7549"/>
      <w:bookmarkEnd w:id="7550"/>
      <w:bookmarkEnd w:id="7551"/>
    </w:p>
    <w:p w14:paraId="101DAF7E" w14:textId="77777777" w:rsidR="009A2997" w:rsidRDefault="009A2997" w:rsidP="006D6D32">
      <w:pPr>
        <w:pStyle w:val="a3"/>
        <w:rPr>
          <w:rtl/>
        </w:rPr>
      </w:pPr>
      <w:bookmarkStart w:id="7552" w:name="_Toc528615449"/>
      <w:bookmarkStart w:id="7553" w:name="_Toc528712441"/>
      <w:bookmarkStart w:id="7554" w:name="_Toc528777101"/>
      <w:bookmarkStart w:id="7555" w:name="_Toc528789661"/>
      <w:bookmarkStart w:id="7556" w:name="_Toc19389938"/>
      <w:bookmarkStart w:id="7557" w:name="_Toc19393435"/>
      <w:r>
        <w:rPr>
          <w:rFonts w:hint="cs"/>
          <w:rtl/>
        </w:rPr>
        <w:t>קושית השיטמ"ק דאחר שהכשרנו את הפרה ע"י הרוב אין החזקה שבאדם יכולה לבטלה</w:t>
      </w:r>
      <w:bookmarkEnd w:id="7552"/>
      <w:bookmarkEnd w:id="7553"/>
      <w:bookmarkEnd w:id="7554"/>
      <w:bookmarkEnd w:id="7555"/>
      <w:bookmarkEnd w:id="7556"/>
      <w:bookmarkEnd w:id="7557"/>
    </w:p>
    <w:p w14:paraId="5DE21CEF" w14:textId="77777777" w:rsidR="009A2997" w:rsidRPr="00CC2698" w:rsidRDefault="009A2997" w:rsidP="00223668">
      <w:pPr>
        <w:pStyle w:val="a0"/>
        <w:rPr>
          <w:rtl/>
        </w:rPr>
      </w:pPr>
      <w:r>
        <w:rPr>
          <w:rFonts w:hint="cs"/>
          <w:rtl/>
        </w:rPr>
        <w:t xml:space="preserve">וכתב </w:t>
      </w:r>
      <w:r w:rsidRPr="0012468F">
        <w:rPr>
          <w:rStyle w:val="af9"/>
          <w:rFonts w:hint="cs"/>
          <w:rtl/>
        </w:rPr>
        <w:t xml:space="preserve">השיטמ"ק </w:t>
      </w:r>
      <w:r w:rsidRPr="0012468F">
        <w:rPr>
          <w:rStyle w:val="af7"/>
          <w:rFonts w:eastAsia="Guttman Hodes" w:hint="cs"/>
          <w:rtl/>
        </w:rPr>
        <w:t>(ד"ה והתוס' תירצו)</w:t>
      </w:r>
      <w:r>
        <w:rPr>
          <w:rFonts w:hint="cs"/>
          <w:rtl/>
        </w:rPr>
        <w:t xml:space="preserve"> דקצת יש לדחות את תירוץ </w:t>
      </w:r>
      <w:r w:rsidRPr="00797161">
        <w:rPr>
          <w:rStyle w:val="af9"/>
          <w:rFonts w:hint="cs"/>
          <w:rtl/>
        </w:rPr>
        <w:t xml:space="preserve">התוס' </w:t>
      </w:r>
      <w:r w:rsidRPr="00797161">
        <w:rPr>
          <w:rFonts w:hint="cs"/>
          <w:rtl/>
        </w:rPr>
        <w:t xml:space="preserve">בשם </w:t>
      </w:r>
      <w:r w:rsidRPr="00797161">
        <w:rPr>
          <w:rStyle w:val="af9"/>
          <w:rFonts w:hint="cs"/>
          <w:rtl/>
        </w:rPr>
        <w:t>רבינו חיים</w:t>
      </w:r>
      <w:r>
        <w:rPr>
          <w:rFonts w:hint="cs"/>
          <w:rtl/>
        </w:rPr>
        <w:t xml:space="preserve"> </w:t>
      </w:r>
      <w:r w:rsidRPr="004A7006">
        <w:rPr>
          <w:rStyle w:val="af7"/>
          <w:rFonts w:eastAsia="Guttman Hodes" w:hint="cs"/>
          <w:rtl/>
        </w:rPr>
        <w:t xml:space="preserve">(עי' אות </w:t>
      </w:r>
      <w:r w:rsidRPr="004A7006">
        <w:rPr>
          <w:rStyle w:val="af7"/>
          <w:rFonts w:eastAsia="Guttman Hodes"/>
          <w:rtl/>
        </w:rPr>
        <w:fldChar w:fldCharType="begin"/>
      </w:r>
      <w:r w:rsidRPr="004A7006">
        <w:rPr>
          <w:rStyle w:val="af7"/>
          <w:rFonts w:eastAsia="Guttman Hodes"/>
          <w:rtl/>
        </w:rPr>
        <w:instrText xml:space="preserve"> </w:instrText>
      </w:r>
      <w:r w:rsidRPr="004A7006">
        <w:rPr>
          <w:rStyle w:val="af7"/>
          <w:rFonts w:eastAsia="Guttman Hodes" w:hint="cs"/>
        </w:rPr>
        <w:instrText>REF</w:instrText>
      </w:r>
      <w:r w:rsidRPr="004A7006">
        <w:rPr>
          <w:rStyle w:val="af7"/>
          <w:rFonts w:eastAsia="Guttman Hodes" w:hint="cs"/>
          <w:rtl/>
        </w:rPr>
        <w:instrText xml:space="preserve"> _</w:instrText>
      </w:r>
      <w:r w:rsidRPr="004A7006">
        <w:rPr>
          <w:rStyle w:val="af7"/>
          <w:rFonts w:eastAsia="Guttman Hodes" w:hint="cs"/>
        </w:rPr>
        <w:instrText>Ref528171682 \r \h</w:instrText>
      </w:r>
      <w:r w:rsidRPr="004A7006">
        <w:rPr>
          <w:rStyle w:val="af7"/>
          <w:rFonts w:eastAsia="Guttman Hodes"/>
          <w:rtl/>
        </w:rPr>
        <w:instrText xml:space="preserve"> </w:instrText>
      </w:r>
      <w:r w:rsidRPr="004A7006">
        <w:rPr>
          <w:rStyle w:val="af7"/>
          <w:rFonts w:eastAsia="Guttman Hodes"/>
          <w:rtl/>
        </w:rPr>
      </w:r>
      <w:r w:rsidRPr="004A7006">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4A7006">
        <w:rPr>
          <w:rStyle w:val="af7"/>
          <w:rFonts w:eastAsia="Guttman Hodes"/>
          <w:rtl/>
        </w:rPr>
        <w:fldChar w:fldCharType="end"/>
      </w:r>
      <w:r>
        <w:rPr>
          <w:rFonts w:hint="cs"/>
          <w:rtl/>
        </w:rPr>
        <w:t>,</w:t>
      </w:r>
      <w:r w:rsidRPr="00797161">
        <w:rPr>
          <w:rFonts w:hint="cs"/>
          <w:rtl/>
        </w:rPr>
        <w:t xml:space="preserve"> </w:t>
      </w:r>
      <w:r>
        <w:rPr>
          <w:rFonts w:hint="cs"/>
          <w:rtl/>
        </w:rPr>
        <w:t xml:space="preserve">דדוקא אם החזקה היא במקום הרוב, אפשר ללמוד מזה דהרוב עדיף, דהיינו אם החזקה הייתה בבהמה עצמה, ואפ"ה אזלינן בתר הרוב בבהמה שאינה טריפה, א"כ מוכח דרובא עדיף מחזקה, אבל הכא דהרוב הוא בפרה, ואילו החזקה היא באדם, א"כ אחר שהכשרנו את הפרה ע"י הרוב, ואין בפרה כל חזקה שמנתנגדת לרוב, היאך אפש"ל דחזקת האדם תבא אח"כ ותבטל את הרוב שקדם לה. והוסיף </w:t>
      </w:r>
      <w:r w:rsidRPr="0012468F">
        <w:rPr>
          <w:rStyle w:val="af9"/>
          <w:rFonts w:hint="cs"/>
          <w:rtl/>
        </w:rPr>
        <w:t xml:space="preserve">השיטמ"ק </w:t>
      </w:r>
      <w:r>
        <w:rPr>
          <w:rFonts w:hint="cs"/>
          <w:rtl/>
        </w:rPr>
        <w:t xml:space="preserve">דהכשרת הפרה היא לענין שיכולה להוציא את את הטמא מטומאתו, ולענין זה כבר הכשרנו את הפרה ע"י הרוב. וכתב </w:t>
      </w:r>
      <w:r w:rsidRPr="0012468F">
        <w:rPr>
          <w:rStyle w:val="af9"/>
          <w:rFonts w:hint="cs"/>
          <w:rtl/>
        </w:rPr>
        <w:t xml:space="preserve">השיטמ"ק </w:t>
      </w:r>
      <w:r>
        <w:rPr>
          <w:rFonts w:hint="cs"/>
          <w:rtl/>
        </w:rPr>
        <w:t xml:space="preserve">דכן קשה על תירוץ </w:t>
      </w:r>
      <w:r w:rsidRPr="0012468F">
        <w:rPr>
          <w:rStyle w:val="af9"/>
          <w:rFonts w:hint="cs"/>
          <w:rtl/>
        </w:rPr>
        <w:t xml:space="preserve">התוס' הרא"ש </w:t>
      </w:r>
      <w:r w:rsidRPr="004A7006">
        <w:rPr>
          <w:rStyle w:val="af7"/>
          <w:rFonts w:eastAsia="Guttman Hodes" w:hint="cs"/>
          <w:rtl/>
        </w:rPr>
        <w:t xml:space="preserve">(עי' אות </w:t>
      </w:r>
      <w:r w:rsidRPr="004A7006">
        <w:rPr>
          <w:rStyle w:val="af7"/>
          <w:rFonts w:eastAsia="Guttman Hodes"/>
          <w:rtl/>
        </w:rPr>
        <w:fldChar w:fldCharType="begin"/>
      </w:r>
      <w:r w:rsidRPr="004A7006">
        <w:rPr>
          <w:rStyle w:val="af7"/>
          <w:rFonts w:eastAsia="Guttman Hodes"/>
          <w:rtl/>
        </w:rPr>
        <w:instrText xml:space="preserve"> </w:instrText>
      </w:r>
      <w:r w:rsidRPr="004A7006">
        <w:rPr>
          <w:rStyle w:val="af7"/>
          <w:rFonts w:eastAsia="Guttman Hodes" w:hint="cs"/>
        </w:rPr>
        <w:instrText>REF</w:instrText>
      </w:r>
      <w:r w:rsidRPr="004A7006">
        <w:rPr>
          <w:rStyle w:val="af7"/>
          <w:rFonts w:eastAsia="Guttman Hodes" w:hint="cs"/>
          <w:rtl/>
        </w:rPr>
        <w:instrText xml:space="preserve"> _</w:instrText>
      </w:r>
      <w:r w:rsidRPr="004A7006">
        <w:rPr>
          <w:rStyle w:val="af7"/>
          <w:rFonts w:eastAsia="Guttman Hodes" w:hint="cs"/>
        </w:rPr>
        <w:instrText>Ref528171692 \r \h</w:instrText>
      </w:r>
      <w:r w:rsidRPr="004A7006">
        <w:rPr>
          <w:rStyle w:val="af7"/>
          <w:rFonts w:eastAsia="Guttman Hodes"/>
          <w:rtl/>
        </w:rPr>
        <w:instrText xml:space="preserve"> </w:instrText>
      </w:r>
      <w:r w:rsidRPr="004A7006">
        <w:rPr>
          <w:rStyle w:val="af7"/>
          <w:rFonts w:eastAsia="Guttman Hodes"/>
          <w:rtl/>
        </w:rPr>
      </w:r>
      <w:r w:rsidRPr="004A7006">
        <w:rPr>
          <w:rStyle w:val="af7"/>
          <w:rFonts w:eastAsia="Guttman Hodes"/>
          <w:rtl/>
        </w:rPr>
        <w:fldChar w:fldCharType="separate"/>
      </w:r>
      <w:r w:rsidR="00345400">
        <w:rPr>
          <w:rStyle w:val="af7"/>
          <w:rFonts w:eastAsia="Guttman Hodes"/>
          <w:cs/>
        </w:rPr>
        <w:t>‎</w:t>
      </w:r>
      <w:r w:rsidR="00345400">
        <w:rPr>
          <w:rStyle w:val="af7"/>
          <w:rFonts w:eastAsia="Guttman Hodes"/>
          <w:rtl/>
        </w:rPr>
        <w:t>יד)</w:t>
      </w:r>
      <w:r w:rsidRPr="004A7006">
        <w:rPr>
          <w:rStyle w:val="af7"/>
          <w:rFonts w:eastAsia="Guttman Hodes"/>
          <w:rtl/>
        </w:rPr>
        <w:fldChar w:fldCharType="end"/>
      </w:r>
      <w:r>
        <w:rPr>
          <w:rFonts w:hint="cs"/>
          <w:rtl/>
        </w:rPr>
        <w:t xml:space="preserve"> בשם </w:t>
      </w:r>
      <w:r w:rsidRPr="0012468F">
        <w:rPr>
          <w:rStyle w:val="af9"/>
          <w:rFonts w:hint="cs"/>
          <w:rtl/>
        </w:rPr>
        <w:t>רבינו מאיר</w:t>
      </w:r>
      <w:r>
        <w:rPr>
          <w:rFonts w:hint="cs"/>
          <w:rtl/>
        </w:rPr>
        <w:t>.</w:t>
      </w:r>
    </w:p>
    <w:p w14:paraId="467CE473" w14:textId="77777777" w:rsidR="009A2997" w:rsidRPr="004949C8" w:rsidRDefault="009A2997" w:rsidP="006D6D32">
      <w:pPr>
        <w:pStyle w:val="a3"/>
        <w:rPr>
          <w:rtl/>
        </w:rPr>
      </w:pPr>
      <w:bookmarkStart w:id="7558" w:name="_Toc528615450"/>
      <w:bookmarkStart w:id="7559" w:name="_Toc528712442"/>
      <w:bookmarkStart w:id="7560" w:name="_Toc528777102"/>
      <w:bookmarkStart w:id="7561" w:name="_Toc528789662"/>
      <w:bookmarkStart w:id="7562" w:name="_Toc19389939"/>
      <w:bookmarkStart w:id="7563" w:name="_Toc19393436"/>
      <w:r>
        <w:rPr>
          <w:rFonts w:hint="cs"/>
          <w:rtl/>
        </w:rPr>
        <w:t>קושית הגרעק"א דהרוב בפרה אינו כנגד החזקה דהנדון הוא בפרה ולא באדם</w:t>
      </w:r>
      <w:bookmarkEnd w:id="7558"/>
      <w:bookmarkEnd w:id="7559"/>
      <w:bookmarkEnd w:id="7560"/>
      <w:bookmarkEnd w:id="7561"/>
      <w:bookmarkEnd w:id="7562"/>
      <w:bookmarkEnd w:id="7563"/>
    </w:p>
    <w:p w14:paraId="4054F1A2" w14:textId="77777777" w:rsidR="009A2997" w:rsidRPr="002666E1" w:rsidRDefault="009A2997" w:rsidP="00223668">
      <w:pPr>
        <w:pStyle w:val="a0"/>
        <w:rPr>
          <w:rtl/>
        </w:rPr>
      </w:pPr>
      <w:r>
        <w:rPr>
          <w:rFonts w:hint="cs"/>
          <w:rtl/>
        </w:rPr>
        <w:t xml:space="preserve">וכן הקשה </w:t>
      </w:r>
      <w:r w:rsidRPr="00C77253">
        <w:rPr>
          <w:rStyle w:val="af9"/>
          <w:rFonts w:hint="cs"/>
          <w:rtl/>
        </w:rPr>
        <w:t>הגרעק"א</w:t>
      </w:r>
      <w:r>
        <w:rPr>
          <w:rFonts w:hint="cs"/>
          <w:rtl/>
        </w:rPr>
        <w:t xml:space="preserve"> </w:t>
      </w:r>
      <w:r w:rsidRPr="00C77253">
        <w:rPr>
          <w:rStyle w:val="af7"/>
          <w:rFonts w:eastAsia="Guttman Hodes" w:hint="cs"/>
          <w:rtl/>
        </w:rPr>
        <w:t>(ד"ה בא"ד ולמאי)</w:t>
      </w:r>
      <w:r>
        <w:rPr>
          <w:rFonts w:hint="cs"/>
          <w:rtl/>
        </w:rPr>
        <w:t xml:space="preserve"> על תירוץ </w:t>
      </w:r>
      <w:r w:rsidRPr="00C77253">
        <w:rPr>
          <w:rStyle w:val="af9"/>
          <w:rFonts w:hint="cs"/>
          <w:rtl/>
        </w:rPr>
        <w:t>התוס'</w:t>
      </w:r>
      <w:r>
        <w:rPr>
          <w:rFonts w:hint="cs"/>
          <w:rtl/>
        </w:rPr>
        <w:t xml:space="preserve"> בשם </w:t>
      </w:r>
      <w:r w:rsidRPr="00C77253">
        <w:rPr>
          <w:rStyle w:val="af9"/>
          <w:rFonts w:hint="cs"/>
          <w:rtl/>
        </w:rPr>
        <w:t xml:space="preserve">רבינו </w:t>
      </w:r>
      <w:r w:rsidRPr="00797161">
        <w:rPr>
          <w:rStyle w:val="af9"/>
          <w:rFonts w:hint="cs"/>
          <w:rtl/>
        </w:rPr>
        <w:t>חיים</w:t>
      </w:r>
      <w:r>
        <w:rPr>
          <w:rFonts w:hint="cs"/>
          <w:rtl/>
        </w:rPr>
        <w:t xml:space="preserve"> </w:t>
      </w:r>
      <w:r w:rsidRPr="004A7006">
        <w:rPr>
          <w:rStyle w:val="af7"/>
          <w:rFonts w:eastAsia="Guttman Hodes" w:hint="cs"/>
          <w:rtl/>
        </w:rPr>
        <w:t xml:space="preserve">(עי' אות </w:t>
      </w:r>
      <w:r w:rsidRPr="004A7006">
        <w:rPr>
          <w:rStyle w:val="af7"/>
          <w:rFonts w:eastAsia="Guttman Hodes"/>
          <w:rtl/>
        </w:rPr>
        <w:fldChar w:fldCharType="begin"/>
      </w:r>
      <w:r w:rsidRPr="004A7006">
        <w:rPr>
          <w:rStyle w:val="af7"/>
          <w:rFonts w:eastAsia="Guttman Hodes"/>
          <w:rtl/>
        </w:rPr>
        <w:instrText xml:space="preserve"> </w:instrText>
      </w:r>
      <w:r w:rsidRPr="004A7006">
        <w:rPr>
          <w:rStyle w:val="af7"/>
          <w:rFonts w:eastAsia="Guttman Hodes" w:hint="cs"/>
        </w:rPr>
        <w:instrText>REF</w:instrText>
      </w:r>
      <w:r w:rsidRPr="004A7006">
        <w:rPr>
          <w:rStyle w:val="af7"/>
          <w:rFonts w:eastAsia="Guttman Hodes" w:hint="cs"/>
          <w:rtl/>
        </w:rPr>
        <w:instrText xml:space="preserve"> _</w:instrText>
      </w:r>
      <w:r w:rsidRPr="004A7006">
        <w:rPr>
          <w:rStyle w:val="af7"/>
          <w:rFonts w:eastAsia="Guttman Hodes" w:hint="cs"/>
        </w:rPr>
        <w:instrText>Ref528171682 \r \h</w:instrText>
      </w:r>
      <w:r w:rsidRPr="004A7006">
        <w:rPr>
          <w:rStyle w:val="af7"/>
          <w:rFonts w:eastAsia="Guttman Hodes"/>
          <w:rtl/>
        </w:rPr>
        <w:instrText xml:space="preserve"> </w:instrText>
      </w:r>
      <w:r w:rsidRPr="004A7006">
        <w:rPr>
          <w:rStyle w:val="af7"/>
          <w:rFonts w:eastAsia="Guttman Hodes"/>
          <w:rtl/>
        </w:rPr>
      </w:r>
      <w:r w:rsidRPr="004A7006">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4A7006">
        <w:rPr>
          <w:rStyle w:val="af7"/>
          <w:rFonts w:eastAsia="Guttman Hodes"/>
          <w:rtl/>
        </w:rPr>
        <w:fldChar w:fldCharType="end"/>
      </w:r>
      <w:r>
        <w:rPr>
          <w:rStyle w:val="af7"/>
          <w:rFonts w:eastAsia="Guttman Hodes" w:hint="cs"/>
          <w:rtl/>
        </w:rPr>
        <w:t xml:space="preserve"> </w:t>
      </w:r>
      <w:r>
        <w:rPr>
          <w:rFonts w:hint="cs"/>
          <w:rtl/>
        </w:rPr>
        <w:t xml:space="preserve">דאמאי הוצרכו </w:t>
      </w:r>
      <w:r w:rsidRPr="004949C8">
        <w:rPr>
          <w:rStyle w:val="af9"/>
          <w:rFonts w:hint="cs"/>
          <w:rtl/>
        </w:rPr>
        <w:t>התוס'</w:t>
      </w:r>
      <w:r>
        <w:rPr>
          <w:rFonts w:hint="cs"/>
          <w:rtl/>
        </w:rPr>
        <w:t xml:space="preserve"> ללמוד כן מפרה אדומה, שהרוב אינו כ"כ נגד חזקה, דהא הספק שמא הפרה היא טריפה, הוא ספק בפרה ואינו ספק באדם שמזין עליו, וכיון שהנדון הוא בפרה, ויש בה רוב שאינה טריפה, ממילא האדם טהור</w:t>
      </w:r>
      <w:r w:rsidRPr="00764CEE">
        <w:rPr>
          <w:rFonts w:hint="cs"/>
          <w:rtl/>
        </w:rPr>
        <w:t xml:space="preserve">. </w:t>
      </w:r>
      <w:r w:rsidRPr="002666E1">
        <w:rPr>
          <w:rtl/>
        </w:rPr>
        <w:t xml:space="preserve">וע"ע במה שהקשה </w:t>
      </w:r>
      <w:r w:rsidRPr="002666E1">
        <w:rPr>
          <w:rStyle w:val="af9"/>
          <w:rtl/>
        </w:rPr>
        <w:t>בחי' הבית מאיר</w:t>
      </w:r>
      <w:r w:rsidRPr="002666E1">
        <w:rPr>
          <w:rtl/>
        </w:rPr>
        <w:t xml:space="preserve"> </w:t>
      </w:r>
      <w:r w:rsidRPr="002666E1">
        <w:rPr>
          <w:rStyle w:val="af7"/>
          <w:rFonts w:eastAsia="Guttman Hodes"/>
          <w:rtl/>
        </w:rPr>
        <w:t>(על תוד"ה אתיא)</w:t>
      </w:r>
      <w:r>
        <w:rPr>
          <w:rFonts w:hint="cs"/>
          <w:rtl/>
        </w:rPr>
        <w:t xml:space="preserve">, ובמה שביאר </w:t>
      </w:r>
      <w:r w:rsidRPr="00E75265">
        <w:rPr>
          <w:rStyle w:val="af9"/>
          <w:rFonts w:hint="cs"/>
          <w:rtl/>
        </w:rPr>
        <w:t>באמרי בינה</w:t>
      </w:r>
      <w:r>
        <w:rPr>
          <w:rFonts w:hint="cs"/>
          <w:rtl/>
        </w:rPr>
        <w:t xml:space="preserve"> </w:t>
      </w:r>
      <w:r w:rsidRPr="00E75265">
        <w:rPr>
          <w:rStyle w:val="af7"/>
          <w:rFonts w:eastAsia="Guttman Hodes" w:hint="cs"/>
          <w:rtl/>
        </w:rPr>
        <w:t>(שחיטה כ' ד"ה ודעת תוס')</w:t>
      </w:r>
      <w:r>
        <w:rPr>
          <w:rFonts w:hint="cs"/>
          <w:rtl/>
        </w:rPr>
        <w:t>.</w:t>
      </w:r>
    </w:p>
    <w:p w14:paraId="15C6B63C" w14:textId="77777777" w:rsidR="009A2997" w:rsidRDefault="009A2997" w:rsidP="00BF39B2">
      <w:pPr>
        <w:pStyle w:val="1"/>
        <w:rPr>
          <w:rtl/>
        </w:rPr>
      </w:pPr>
      <w:bookmarkStart w:id="7564" w:name="_Toc528615451"/>
      <w:bookmarkStart w:id="7565" w:name="_Toc528712443"/>
      <w:bookmarkStart w:id="7566" w:name="_Toc528777103"/>
      <w:bookmarkStart w:id="7567" w:name="_Toc528789663"/>
      <w:bookmarkStart w:id="7568" w:name="_Toc19389940"/>
      <w:bookmarkStart w:id="7569" w:name="_Toc19393437"/>
      <w:r>
        <w:rPr>
          <w:rFonts w:hint="cs"/>
          <w:rtl/>
        </w:rPr>
        <w:t>קושיות האחרונים על דברי התוס'</w:t>
      </w:r>
      <w:bookmarkEnd w:id="7564"/>
      <w:bookmarkEnd w:id="7565"/>
      <w:bookmarkEnd w:id="7566"/>
      <w:bookmarkEnd w:id="7567"/>
      <w:bookmarkEnd w:id="7568"/>
      <w:bookmarkEnd w:id="7569"/>
    </w:p>
    <w:p w14:paraId="0349E23C" w14:textId="77777777" w:rsidR="009A2997" w:rsidRDefault="009A2997" w:rsidP="006D6D32">
      <w:pPr>
        <w:pStyle w:val="a3"/>
        <w:rPr>
          <w:rtl/>
        </w:rPr>
      </w:pPr>
      <w:bookmarkStart w:id="7570" w:name="_Toc528615452"/>
      <w:bookmarkStart w:id="7571" w:name="_Toc528712444"/>
      <w:bookmarkStart w:id="7572" w:name="_Toc528777104"/>
      <w:bookmarkStart w:id="7573" w:name="_Toc528789664"/>
      <w:bookmarkStart w:id="7574" w:name="_Toc19389941"/>
      <w:bookmarkStart w:id="7575" w:name="_Toc19393438"/>
      <w:r>
        <w:rPr>
          <w:rFonts w:hint="cs"/>
          <w:rtl/>
        </w:rPr>
        <w:t>קושית הגרעק"א דאפשר להוכיח מכל שחיטה דאזלינן בתר רוב כנגד חזקת אינו זבוח</w:t>
      </w:r>
      <w:bookmarkEnd w:id="7570"/>
      <w:bookmarkEnd w:id="7571"/>
      <w:bookmarkEnd w:id="7572"/>
      <w:bookmarkEnd w:id="7573"/>
      <w:bookmarkEnd w:id="7574"/>
      <w:bookmarkEnd w:id="7575"/>
    </w:p>
    <w:p w14:paraId="4478C162" w14:textId="77777777" w:rsidR="009A2997" w:rsidRDefault="009A2997" w:rsidP="00223668">
      <w:pPr>
        <w:pStyle w:val="a0"/>
        <w:rPr>
          <w:rtl/>
        </w:rPr>
      </w:pPr>
      <w:r>
        <w:rPr>
          <w:rFonts w:hint="cs"/>
          <w:rtl/>
        </w:rPr>
        <w:t xml:space="preserve">והוסיף </w:t>
      </w:r>
      <w:r w:rsidRPr="00C77253">
        <w:rPr>
          <w:rStyle w:val="af9"/>
          <w:rFonts w:hint="cs"/>
          <w:rtl/>
        </w:rPr>
        <w:t>הגרעק"א</w:t>
      </w:r>
      <w:r>
        <w:rPr>
          <w:rFonts w:hint="cs"/>
          <w:rtl/>
        </w:rPr>
        <w:t xml:space="preserve"> </w:t>
      </w:r>
      <w:r>
        <w:rPr>
          <w:rStyle w:val="af9"/>
          <w:rFonts w:hint="cs"/>
          <w:rtl/>
        </w:rPr>
        <w:t>ד</w:t>
      </w:r>
      <w:r w:rsidRPr="00C77253">
        <w:rPr>
          <w:rStyle w:val="af9"/>
          <w:rFonts w:hint="cs"/>
          <w:rtl/>
        </w:rPr>
        <w:t>התוס'</w:t>
      </w:r>
      <w:r>
        <w:rPr>
          <w:rFonts w:hint="cs"/>
          <w:rtl/>
        </w:rPr>
        <w:t xml:space="preserve"> יכולים להוכיח כן מכל שחיטה, דניחוש שמא היה נקב בושט במקום השחיטה, ואזלינן בתר רוב בהמות אינם טריפות, כנגד החזקת אינו זבוח של הבהמה, ומוכח דרוב עדיף מחזקה.</w:t>
      </w:r>
    </w:p>
    <w:p w14:paraId="679F9F2C" w14:textId="77777777" w:rsidR="00442CE4" w:rsidRPr="00442CE4" w:rsidRDefault="00442CE4" w:rsidP="00442CE4">
      <w:pPr>
        <w:pStyle w:val="a3"/>
        <w:rPr>
          <w:rtl/>
        </w:rPr>
      </w:pPr>
    </w:p>
    <w:p w14:paraId="71AA5244" w14:textId="77777777" w:rsidR="00442CE4" w:rsidRPr="00442CE4" w:rsidRDefault="00442CE4" w:rsidP="00442CE4">
      <w:pPr>
        <w:pStyle w:val="a3"/>
        <w:rPr>
          <w:rtl/>
        </w:rPr>
      </w:pPr>
    </w:p>
    <w:p w14:paraId="2E230180" w14:textId="77777777" w:rsidR="009A2997" w:rsidRDefault="009A2997" w:rsidP="006D6D32">
      <w:pPr>
        <w:pStyle w:val="a3"/>
        <w:rPr>
          <w:rtl/>
        </w:rPr>
      </w:pPr>
      <w:bookmarkStart w:id="7576" w:name="_Toc528615453"/>
      <w:bookmarkStart w:id="7577" w:name="_Toc528712445"/>
      <w:bookmarkStart w:id="7578" w:name="_Toc528777105"/>
      <w:bookmarkStart w:id="7579" w:name="_Toc528789665"/>
      <w:bookmarkStart w:id="7580" w:name="_Toc19389942"/>
      <w:bookmarkStart w:id="7581" w:name="_Toc19393439"/>
      <w:r>
        <w:rPr>
          <w:rFonts w:hint="cs"/>
          <w:rtl/>
        </w:rPr>
        <w:t>קושית הגרעק"א דנילף דרוב עדיף מחזקה מהא דרוב עדיף מקרוב</w:t>
      </w:r>
      <w:bookmarkEnd w:id="7576"/>
      <w:bookmarkEnd w:id="7577"/>
      <w:bookmarkEnd w:id="7578"/>
      <w:bookmarkEnd w:id="7579"/>
      <w:bookmarkEnd w:id="7580"/>
      <w:bookmarkEnd w:id="7581"/>
    </w:p>
    <w:p w14:paraId="0FFD5CA7" w14:textId="77777777" w:rsidR="009A2997" w:rsidRPr="00AA0009" w:rsidRDefault="009A2997" w:rsidP="00223668">
      <w:pPr>
        <w:pStyle w:val="a0"/>
        <w:rPr>
          <w:rtl/>
        </w:rPr>
      </w:pPr>
      <w:r>
        <w:rPr>
          <w:rFonts w:hint="cs"/>
          <w:rtl/>
        </w:rPr>
        <w:t xml:space="preserve">עוד הקשה </w:t>
      </w:r>
      <w:r w:rsidRPr="006B243B">
        <w:rPr>
          <w:rStyle w:val="af9"/>
          <w:rFonts w:hint="cs"/>
          <w:rtl/>
        </w:rPr>
        <w:t>הגרעק"א</w:t>
      </w:r>
      <w:r>
        <w:rPr>
          <w:rFonts w:hint="cs"/>
          <w:rtl/>
        </w:rPr>
        <w:t xml:space="preserve"> </w:t>
      </w:r>
      <w:r w:rsidRPr="00323FDD">
        <w:rPr>
          <w:rStyle w:val="af7"/>
          <w:rFonts w:eastAsia="Guttman Hodes" w:hint="cs"/>
          <w:rtl/>
        </w:rPr>
        <w:t>(על תוד"ה ד"ה מנא)</w:t>
      </w:r>
      <w:r>
        <w:rPr>
          <w:rFonts w:hint="cs"/>
          <w:rtl/>
        </w:rPr>
        <w:t xml:space="preserve"> על תירוץ </w:t>
      </w:r>
      <w:r w:rsidRPr="00323FDD">
        <w:rPr>
          <w:rStyle w:val="af9"/>
          <w:rFonts w:hint="cs"/>
          <w:rtl/>
        </w:rPr>
        <w:t>התוס'</w:t>
      </w:r>
      <w:r>
        <w:rPr>
          <w:rFonts w:hint="cs"/>
          <w:rtl/>
        </w:rPr>
        <w:t xml:space="preserve"> בשם </w:t>
      </w:r>
      <w:r w:rsidRPr="00323FDD">
        <w:rPr>
          <w:rStyle w:val="af9"/>
          <w:rFonts w:hint="cs"/>
          <w:rtl/>
        </w:rPr>
        <w:t>רבינו חיים</w:t>
      </w:r>
      <w:r>
        <w:rPr>
          <w:rFonts w:hint="cs"/>
          <w:rtl/>
        </w:rPr>
        <w:t xml:space="preserve"> דעדיין אפשר ללמוד את דין רוב מדין קרוב, דהא קיי"ל דרוב וקרוב הולכין אחר הרוב, ואת דין קרוב ילפינן מקרא דעגלה ערופה, וא"כ כ"ש דאזלינן </w:t>
      </w:r>
      <w:r w:rsidRPr="00AA0009">
        <w:rPr>
          <w:rFonts w:hint="cs"/>
          <w:rtl/>
        </w:rPr>
        <w:t xml:space="preserve">בתר רוב דעדיף מקרוב, ועי' במה שתירץ בזה </w:t>
      </w:r>
      <w:r w:rsidRPr="00AA0009">
        <w:rPr>
          <w:rStyle w:val="af9"/>
          <w:rFonts w:hint="cs"/>
          <w:rtl/>
        </w:rPr>
        <w:t>החמדת שלמה</w:t>
      </w:r>
      <w:r w:rsidRPr="00AA0009">
        <w:rPr>
          <w:rFonts w:hint="cs"/>
          <w:rtl/>
        </w:rPr>
        <w:t xml:space="preserve"> </w:t>
      </w:r>
      <w:r w:rsidRPr="00AA0009">
        <w:rPr>
          <w:rStyle w:val="af7"/>
          <w:rFonts w:eastAsia="Guttman Hodes" w:hint="cs"/>
          <w:rtl/>
        </w:rPr>
        <w:t>(בהקדמה לשו"ת)</w:t>
      </w:r>
      <w:r w:rsidRPr="00AA0009">
        <w:rPr>
          <w:rFonts w:hint="cs"/>
          <w:rtl/>
        </w:rPr>
        <w:t>. וע</w:t>
      </w:r>
      <w:r>
        <w:rPr>
          <w:rFonts w:hint="cs"/>
          <w:rtl/>
        </w:rPr>
        <w:t>"ע</w:t>
      </w:r>
      <w:r w:rsidRPr="00AA0009">
        <w:rPr>
          <w:rFonts w:hint="cs"/>
          <w:rtl/>
        </w:rPr>
        <w:t xml:space="preserve"> </w:t>
      </w:r>
      <w:r>
        <w:rPr>
          <w:rFonts w:hint="cs"/>
          <w:rtl/>
        </w:rPr>
        <w:t xml:space="preserve">בדברי </w:t>
      </w:r>
      <w:r w:rsidRPr="00AA0009">
        <w:rPr>
          <w:rStyle w:val="af9"/>
          <w:rFonts w:hint="cs"/>
          <w:rtl/>
        </w:rPr>
        <w:t xml:space="preserve">החת"ס </w:t>
      </w:r>
      <w:r w:rsidRPr="00AA0009">
        <w:rPr>
          <w:rStyle w:val="af7"/>
          <w:rFonts w:eastAsia="Guttman Hodes" w:hint="cs"/>
          <w:rtl/>
        </w:rPr>
        <w:t>(ד"ה ושמעתי)</w:t>
      </w:r>
      <w:r>
        <w:rPr>
          <w:rFonts w:hint="cs"/>
          <w:rtl/>
        </w:rPr>
        <w:t>.</w:t>
      </w:r>
    </w:p>
    <w:p w14:paraId="05D81B48" w14:textId="77777777" w:rsidR="009A2997" w:rsidRPr="00AA0009" w:rsidRDefault="009A2997" w:rsidP="006D6D32">
      <w:pPr>
        <w:pStyle w:val="a3"/>
        <w:rPr>
          <w:rtl/>
        </w:rPr>
      </w:pPr>
      <w:bookmarkStart w:id="7582" w:name="_Toc528615454"/>
      <w:bookmarkStart w:id="7583" w:name="_Toc528712446"/>
      <w:bookmarkStart w:id="7584" w:name="_Toc528777106"/>
      <w:bookmarkStart w:id="7585" w:name="_Toc528789666"/>
      <w:bookmarkStart w:id="7586" w:name="_Toc19389943"/>
      <w:bookmarkStart w:id="7587" w:name="_Toc19393440"/>
      <w:r w:rsidRPr="00AA0009">
        <w:rPr>
          <w:rFonts w:hint="cs"/>
          <w:rtl/>
        </w:rPr>
        <w:t>תירוץ הגרעק"א דקרוב הוא מדין תליה וא"א ללמוד מזה דרוב עדיף מחזקה שאינה תליה</w:t>
      </w:r>
      <w:bookmarkEnd w:id="7582"/>
      <w:bookmarkEnd w:id="7583"/>
      <w:bookmarkEnd w:id="7584"/>
      <w:bookmarkEnd w:id="7585"/>
      <w:bookmarkEnd w:id="7586"/>
      <w:bookmarkEnd w:id="7587"/>
    </w:p>
    <w:p w14:paraId="4E9B5DDD" w14:textId="77777777" w:rsidR="009A2997" w:rsidRDefault="009A2997" w:rsidP="00223668">
      <w:pPr>
        <w:pStyle w:val="a0"/>
        <w:rPr>
          <w:rtl/>
        </w:rPr>
      </w:pPr>
      <w:r w:rsidRPr="00AA0009">
        <w:rPr>
          <w:rFonts w:hint="cs"/>
          <w:rtl/>
        </w:rPr>
        <w:t xml:space="preserve">ותירץ </w:t>
      </w:r>
      <w:r w:rsidRPr="00AA0009">
        <w:rPr>
          <w:rStyle w:val="af9"/>
          <w:rFonts w:hint="cs"/>
          <w:rtl/>
        </w:rPr>
        <w:t>הגרעק"א</w:t>
      </w:r>
      <w:r w:rsidRPr="00AA0009">
        <w:rPr>
          <w:rFonts w:hint="cs"/>
          <w:rtl/>
        </w:rPr>
        <w:t xml:space="preserve"> דהא דרוב עדיף מקרוב, לא דמי כלל להא דרוב עדיף מחזקה, דהדין דה</w:t>
      </w:r>
      <w:r>
        <w:rPr>
          <w:rFonts w:hint="cs"/>
          <w:rtl/>
        </w:rPr>
        <w:t xml:space="preserve">ולכין אחר הקרוב הוא מדין תליה, דיש לפנינו את הרוב ואת הרחוק, ותלינן בקרוב, ולכן שייך לומר דלמסקנת הגמ' שיש מעלה ברוב, תלינן יותר ברוב מאשר בקרוב, אבל לענין חזקה לא שייך לומר דמסברא תלינן ברוב ולא בחזקה, כיון שדין חזקה אינו מדין תליה כלל, אלא הגדר בחזקה הוא שמספק אין מוציאין את הדבר מחזקתו, ולכן א"א לומר דמסברא למסקנא תלינן ברוב יותר מאשר בחזקה, דהרי החזקה אינה מדין תליה כלל, ומוכח דיש סברא גמורה דרוב אלים מחזקה, וביאר </w:t>
      </w:r>
      <w:r w:rsidRPr="006B243B">
        <w:rPr>
          <w:rStyle w:val="af9"/>
          <w:rFonts w:hint="cs"/>
          <w:rtl/>
        </w:rPr>
        <w:t>הגרעק"א</w:t>
      </w:r>
      <w:r>
        <w:rPr>
          <w:rFonts w:hint="cs"/>
          <w:rtl/>
        </w:rPr>
        <w:t xml:space="preserve"> דלכן הקשו </w:t>
      </w:r>
      <w:r w:rsidRPr="006B243B">
        <w:rPr>
          <w:rStyle w:val="af9"/>
          <w:rFonts w:hint="cs"/>
          <w:rtl/>
        </w:rPr>
        <w:t xml:space="preserve">התוס' </w:t>
      </w:r>
      <w:r>
        <w:rPr>
          <w:rFonts w:hint="cs"/>
          <w:rtl/>
        </w:rPr>
        <w:t>דנלמד את הרוב בק"ו מחזקה.</w:t>
      </w:r>
    </w:p>
    <w:p w14:paraId="396CD6C7" w14:textId="77777777" w:rsidR="009A2997" w:rsidRDefault="009A2997" w:rsidP="006D6D32">
      <w:pPr>
        <w:pStyle w:val="a3"/>
        <w:rPr>
          <w:rtl/>
        </w:rPr>
      </w:pPr>
      <w:bookmarkStart w:id="7588" w:name="_Toc528615455"/>
      <w:bookmarkStart w:id="7589" w:name="_Toc528712447"/>
      <w:bookmarkStart w:id="7590" w:name="_Toc528777107"/>
      <w:bookmarkStart w:id="7591" w:name="_Toc528789667"/>
      <w:bookmarkStart w:id="7592" w:name="_Toc19389944"/>
      <w:bookmarkStart w:id="7593" w:name="_Toc19393441"/>
      <w:r>
        <w:rPr>
          <w:rFonts w:hint="cs"/>
          <w:rtl/>
        </w:rPr>
        <w:t>קושית המהרש"א דבפרה נסמוך את מיעוט טריפות לחזקת טהרה של הגברא</w:t>
      </w:r>
      <w:bookmarkEnd w:id="7588"/>
      <w:bookmarkEnd w:id="7589"/>
      <w:bookmarkEnd w:id="7590"/>
      <w:bookmarkEnd w:id="7591"/>
      <w:bookmarkEnd w:id="7592"/>
      <w:bookmarkEnd w:id="7593"/>
    </w:p>
    <w:p w14:paraId="1F7874ED" w14:textId="77777777" w:rsidR="009A2997" w:rsidRDefault="009A2997" w:rsidP="00223668">
      <w:pPr>
        <w:pStyle w:val="a0"/>
        <w:rPr>
          <w:rtl/>
        </w:rPr>
      </w:pPr>
      <w:r>
        <w:rPr>
          <w:rFonts w:hint="cs"/>
          <w:rtl/>
        </w:rPr>
        <w:t xml:space="preserve">הקשה </w:t>
      </w:r>
      <w:r w:rsidRPr="00C33A36">
        <w:rPr>
          <w:rStyle w:val="af9"/>
          <w:rFonts w:hint="cs"/>
          <w:rtl/>
        </w:rPr>
        <w:t xml:space="preserve">המהרש"א </w:t>
      </w:r>
      <w:r w:rsidRPr="00C33A36">
        <w:rPr>
          <w:rStyle w:val="af7"/>
          <w:rFonts w:eastAsia="Guttman Hodes" w:hint="cs"/>
          <w:rtl/>
        </w:rPr>
        <w:t xml:space="preserve">(ד"ה בא"ד אלא) </w:t>
      </w:r>
      <w:r>
        <w:rPr>
          <w:rFonts w:hint="cs"/>
          <w:rtl/>
        </w:rPr>
        <w:t xml:space="preserve">על תירוץ </w:t>
      </w:r>
      <w:r w:rsidRPr="00323FDD">
        <w:rPr>
          <w:rStyle w:val="af9"/>
          <w:rFonts w:hint="cs"/>
          <w:rtl/>
        </w:rPr>
        <w:t>התוס'</w:t>
      </w:r>
      <w:r>
        <w:rPr>
          <w:rFonts w:hint="cs"/>
          <w:rtl/>
        </w:rPr>
        <w:t xml:space="preserve"> בשם </w:t>
      </w:r>
      <w:r w:rsidRPr="00323FDD">
        <w:rPr>
          <w:rStyle w:val="af9"/>
          <w:rFonts w:hint="cs"/>
          <w:rtl/>
        </w:rPr>
        <w:t>רבינו חיים</w:t>
      </w:r>
      <w:r>
        <w:rPr>
          <w:rFonts w:hint="cs"/>
          <w:rtl/>
        </w:rPr>
        <w:t xml:space="preserve"> דבפרה אדומה אמאי לא אמרינן סמוך מיעוט טריפות, לחזקת טהרה של הגברא, ולא אזלינן בתר הרוב.</w:t>
      </w:r>
    </w:p>
    <w:p w14:paraId="6B2A5966" w14:textId="77777777" w:rsidR="009A2997" w:rsidRPr="00C33A36" w:rsidRDefault="009A2997" w:rsidP="006D6D32">
      <w:pPr>
        <w:pStyle w:val="a3"/>
      </w:pPr>
      <w:bookmarkStart w:id="7594" w:name="_Toc528615456"/>
      <w:bookmarkStart w:id="7595" w:name="_Toc528712448"/>
      <w:bookmarkStart w:id="7596" w:name="_Toc528777108"/>
      <w:bookmarkStart w:id="7597" w:name="_Toc528789668"/>
      <w:bookmarkStart w:id="7598" w:name="_Toc19389945"/>
      <w:bookmarkStart w:id="7599" w:name="_Toc19393442"/>
      <w:r>
        <w:rPr>
          <w:rFonts w:hint="cs"/>
          <w:rtl/>
        </w:rPr>
        <w:t>תירוץ המהרש"א דמדאו' לא חיישינן למיעוט כשיש חזקה ועוד דמיעוט טריפות לא שכיח</w:t>
      </w:r>
      <w:bookmarkEnd w:id="7594"/>
      <w:bookmarkEnd w:id="7595"/>
      <w:bookmarkEnd w:id="7596"/>
      <w:bookmarkEnd w:id="7597"/>
      <w:bookmarkEnd w:id="7598"/>
      <w:bookmarkEnd w:id="7599"/>
    </w:p>
    <w:p w14:paraId="52B48BD3" w14:textId="77777777" w:rsidR="009A2997" w:rsidRPr="00C33A36" w:rsidRDefault="009A2997" w:rsidP="00223668">
      <w:pPr>
        <w:pStyle w:val="a0"/>
        <w:rPr>
          <w:rtl/>
        </w:rPr>
      </w:pPr>
      <w:r>
        <w:rPr>
          <w:rFonts w:hint="cs"/>
          <w:rtl/>
        </w:rPr>
        <w:t xml:space="preserve">ותירץ </w:t>
      </w:r>
      <w:r w:rsidRPr="00C33A36">
        <w:rPr>
          <w:rStyle w:val="af9"/>
          <w:rFonts w:hint="cs"/>
          <w:rtl/>
        </w:rPr>
        <w:t xml:space="preserve">המהרש"א </w:t>
      </w:r>
      <w:r>
        <w:rPr>
          <w:rFonts w:hint="cs"/>
          <w:rtl/>
        </w:rPr>
        <w:t xml:space="preserve">דמדאו' לא חיישינן למיעוט כשיש עמו חזקה, ורק רבנן חששו לזה, כמ"ש </w:t>
      </w:r>
      <w:r w:rsidRPr="00C33A36">
        <w:rPr>
          <w:rStyle w:val="af9"/>
          <w:rFonts w:hint="cs"/>
          <w:rtl/>
        </w:rPr>
        <w:t>הרא"</w:t>
      </w:r>
      <w:r w:rsidRPr="00093DA6">
        <w:rPr>
          <w:rStyle w:val="af9"/>
          <w:rFonts w:hint="cs"/>
          <w:rtl/>
        </w:rPr>
        <w:t xml:space="preserve">ש </w:t>
      </w:r>
      <w:r w:rsidRPr="00093DA6">
        <w:rPr>
          <w:rStyle w:val="af7"/>
          <w:rFonts w:eastAsia="Guttman Hodes" w:hint="cs"/>
          <w:rtl/>
        </w:rPr>
        <w:t>(</w:t>
      </w:r>
      <w:r>
        <w:rPr>
          <w:rStyle w:val="af7"/>
          <w:rFonts w:eastAsia="Guttman Hodes" w:hint="cs"/>
          <w:rtl/>
        </w:rPr>
        <w:t>סי ט"ז</w:t>
      </w:r>
      <w:r w:rsidRPr="00093DA6">
        <w:rPr>
          <w:rStyle w:val="af7"/>
          <w:rFonts w:eastAsia="Guttman Hodes" w:hint="cs"/>
          <w:rtl/>
        </w:rPr>
        <w:t>)</w:t>
      </w:r>
      <w:r w:rsidRPr="00093DA6">
        <w:rPr>
          <w:rFonts w:hint="cs"/>
          <w:rtl/>
        </w:rPr>
        <w:t xml:space="preserve">. ועוד תירץ </w:t>
      </w:r>
      <w:r w:rsidRPr="00093DA6">
        <w:rPr>
          <w:rStyle w:val="af9"/>
          <w:rFonts w:hint="cs"/>
          <w:rtl/>
        </w:rPr>
        <w:t xml:space="preserve">המהרש"א </w:t>
      </w:r>
      <w:r w:rsidRPr="00093DA6">
        <w:rPr>
          <w:rFonts w:hint="cs"/>
          <w:rtl/>
        </w:rPr>
        <w:t>דכיון דמיעוט טריפות אינו שכיח, לכן לא</w:t>
      </w:r>
      <w:r>
        <w:rPr>
          <w:rFonts w:hint="cs"/>
          <w:rtl/>
        </w:rPr>
        <w:t xml:space="preserve"> א"א לסמוך את המיעוט לחזקה, ועמ"ש בזה </w:t>
      </w:r>
      <w:r w:rsidRPr="00C872AB">
        <w:rPr>
          <w:rStyle w:val="af9"/>
          <w:rFonts w:hint="cs"/>
          <w:rtl/>
        </w:rPr>
        <w:t>הגרעק"</w:t>
      </w:r>
      <w:r w:rsidRPr="00461AD7">
        <w:rPr>
          <w:rStyle w:val="af9"/>
          <w:rFonts w:hint="cs"/>
          <w:rtl/>
        </w:rPr>
        <w:t>א</w:t>
      </w:r>
      <w:r w:rsidRPr="00461AD7">
        <w:rPr>
          <w:rFonts w:hint="cs"/>
          <w:rtl/>
        </w:rPr>
        <w:t xml:space="preserve"> </w:t>
      </w:r>
      <w:r w:rsidRPr="00461AD7">
        <w:rPr>
          <w:rStyle w:val="af7"/>
          <w:rFonts w:eastAsia="Guttman Hodes" w:hint="cs"/>
          <w:rtl/>
        </w:rPr>
        <w:t xml:space="preserve">(ד"ה </w:t>
      </w:r>
      <w:r>
        <w:rPr>
          <w:rStyle w:val="af7"/>
          <w:rFonts w:eastAsia="Guttman Hodes" w:hint="cs"/>
          <w:rtl/>
        </w:rPr>
        <w:t>בא"ד ולמאי</w:t>
      </w:r>
      <w:r w:rsidRPr="00461AD7">
        <w:rPr>
          <w:rStyle w:val="af7"/>
          <w:rFonts w:eastAsia="Guttman Hodes" w:hint="cs"/>
          <w:rtl/>
        </w:rPr>
        <w:t xml:space="preserve">) </w:t>
      </w:r>
      <w:r w:rsidRPr="00461AD7">
        <w:rPr>
          <w:rStyle w:val="af9"/>
          <w:rFonts w:hint="cs"/>
          <w:rtl/>
        </w:rPr>
        <w:t>והראש</w:t>
      </w:r>
      <w:r w:rsidRPr="00FB6D40">
        <w:rPr>
          <w:rStyle w:val="af9"/>
          <w:rFonts w:hint="cs"/>
          <w:rtl/>
        </w:rPr>
        <w:t xml:space="preserve"> יוסף</w:t>
      </w:r>
      <w:r>
        <w:rPr>
          <w:rStyle w:val="af7"/>
          <w:rFonts w:eastAsia="Guttman Hodes" w:hint="cs"/>
          <w:rtl/>
        </w:rPr>
        <w:t xml:space="preserve"> (על תוד"ה מנא)</w:t>
      </w:r>
      <w:r>
        <w:rPr>
          <w:rFonts w:hint="cs"/>
          <w:rtl/>
        </w:rPr>
        <w:t>.</w:t>
      </w:r>
    </w:p>
    <w:p w14:paraId="7364FB89" w14:textId="77777777" w:rsidR="009A2997" w:rsidRPr="006841CB" w:rsidRDefault="009A2997" w:rsidP="00BF39B2">
      <w:pPr>
        <w:pStyle w:val="1"/>
        <w:rPr>
          <w:rtl/>
        </w:rPr>
      </w:pPr>
      <w:bookmarkStart w:id="7600" w:name="_Toc528615457"/>
      <w:bookmarkStart w:id="7601" w:name="_Toc528712449"/>
      <w:bookmarkStart w:id="7602" w:name="_Toc528777109"/>
      <w:bookmarkStart w:id="7603" w:name="_Toc528789669"/>
      <w:bookmarkStart w:id="7604" w:name="_Toc19389946"/>
      <w:bookmarkStart w:id="7605" w:name="_Toc19393443"/>
      <w:r>
        <w:rPr>
          <w:rFonts w:hint="cs"/>
          <w:rtl/>
        </w:rPr>
        <w:t>דברי התוס' הרא"ש והפנ"י דרק רוב שסותר לחזקה עדיף ממנה</w:t>
      </w:r>
      <w:bookmarkEnd w:id="7600"/>
      <w:bookmarkEnd w:id="7601"/>
      <w:bookmarkEnd w:id="7602"/>
      <w:bookmarkEnd w:id="7603"/>
      <w:bookmarkEnd w:id="7604"/>
      <w:bookmarkEnd w:id="7605"/>
    </w:p>
    <w:p w14:paraId="0412A777" w14:textId="77777777" w:rsidR="009A2997" w:rsidRDefault="009A2997" w:rsidP="006D6D32">
      <w:pPr>
        <w:pStyle w:val="a3"/>
        <w:rPr>
          <w:rtl/>
        </w:rPr>
      </w:pPr>
      <w:bookmarkStart w:id="7606" w:name="_Toc528615458"/>
      <w:bookmarkStart w:id="7607" w:name="_Toc528712450"/>
      <w:bookmarkStart w:id="7608" w:name="_Toc528777110"/>
      <w:bookmarkStart w:id="7609" w:name="_Toc528789670"/>
      <w:bookmarkStart w:id="7610" w:name="_Toc19389947"/>
      <w:bookmarkStart w:id="7611" w:name="_Toc19393444"/>
      <w:r>
        <w:rPr>
          <w:rFonts w:hint="cs"/>
          <w:rtl/>
        </w:rPr>
        <w:t>תירוץ הפנ"י דרוב שאינו בענין של החזקה לא עדיף ממנה ולכן א"א ללמוד רוב בק"ו מחזקה</w:t>
      </w:r>
      <w:bookmarkEnd w:id="7606"/>
      <w:bookmarkEnd w:id="7607"/>
      <w:bookmarkEnd w:id="7608"/>
      <w:bookmarkEnd w:id="7609"/>
      <w:bookmarkEnd w:id="7610"/>
      <w:bookmarkEnd w:id="7611"/>
    </w:p>
    <w:p w14:paraId="5AAF3AE6" w14:textId="77777777" w:rsidR="009A2997" w:rsidRPr="00D40DCA" w:rsidRDefault="009A2997" w:rsidP="00223668">
      <w:pPr>
        <w:pStyle w:val="a0"/>
        <w:rPr>
          <w:rStyle w:val="afb"/>
          <w:rtl/>
        </w:rPr>
      </w:pPr>
      <w:bookmarkStart w:id="7612" w:name="_Ref528314512"/>
      <w:r w:rsidRPr="00AC442D">
        <w:rPr>
          <w:rStyle w:val="af9"/>
          <w:rFonts w:hint="cs"/>
          <w:rtl/>
        </w:rPr>
        <w:t>והפנ"י</w:t>
      </w:r>
      <w:r>
        <w:rPr>
          <w:rFonts w:hint="cs"/>
          <w:rtl/>
        </w:rPr>
        <w:t xml:space="preserve"> </w:t>
      </w:r>
      <w:r w:rsidRPr="00D40DCA">
        <w:rPr>
          <w:rStyle w:val="af7"/>
          <w:rFonts w:eastAsia="Guttman Hodes" w:hint="cs"/>
          <w:rtl/>
        </w:rPr>
        <w:t xml:space="preserve">(כתובות יב: ד"ה ויתכן) </w:t>
      </w:r>
      <w:r>
        <w:rPr>
          <w:rFonts w:hint="cs"/>
          <w:rtl/>
        </w:rPr>
        <w:t xml:space="preserve">תירץ את קושית </w:t>
      </w:r>
      <w:r w:rsidRPr="00AC442D">
        <w:rPr>
          <w:rStyle w:val="af9"/>
          <w:rFonts w:hint="cs"/>
          <w:rtl/>
        </w:rPr>
        <w:t>התוס'</w:t>
      </w:r>
      <w:r>
        <w:rPr>
          <w:rFonts w:hint="cs"/>
          <w:rtl/>
        </w:rPr>
        <w:t xml:space="preserve"> </w:t>
      </w:r>
      <w:r w:rsidRPr="00D40DCA">
        <w:rPr>
          <w:rStyle w:val="af7"/>
          <w:rFonts w:eastAsia="Guttman Hodes" w:hint="cs"/>
          <w:rtl/>
        </w:rPr>
        <w:t xml:space="preserve">(עי' אות </w:t>
      </w:r>
      <w:r w:rsidRPr="00D40DCA">
        <w:rPr>
          <w:rStyle w:val="af7"/>
          <w:rFonts w:eastAsia="Guttman Hodes"/>
          <w:rtl/>
        </w:rPr>
        <w:fldChar w:fldCharType="begin"/>
      </w:r>
      <w:r w:rsidRPr="00D40DCA">
        <w:rPr>
          <w:rStyle w:val="af7"/>
          <w:rFonts w:eastAsia="Guttman Hodes"/>
          <w:rtl/>
        </w:rPr>
        <w:instrText xml:space="preserve"> </w:instrText>
      </w:r>
      <w:r w:rsidRPr="00D40DCA">
        <w:rPr>
          <w:rStyle w:val="af7"/>
          <w:rFonts w:eastAsia="Guttman Hodes" w:hint="cs"/>
        </w:rPr>
        <w:instrText>REF</w:instrText>
      </w:r>
      <w:r w:rsidRPr="00D40DCA">
        <w:rPr>
          <w:rStyle w:val="af7"/>
          <w:rFonts w:eastAsia="Guttman Hodes" w:hint="cs"/>
          <w:rtl/>
        </w:rPr>
        <w:instrText xml:space="preserve"> _</w:instrText>
      </w:r>
      <w:r w:rsidRPr="00D40DCA">
        <w:rPr>
          <w:rStyle w:val="af7"/>
          <w:rFonts w:eastAsia="Guttman Hodes" w:hint="cs"/>
        </w:rPr>
        <w:instrText>Ref528009850 \r \h</w:instrText>
      </w:r>
      <w:r w:rsidRPr="00D40DCA">
        <w:rPr>
          <w:rStyle w:val="af7"/>
          <w:rFonts w:eastAsia="Guttman Hodes"/>
          <w:rtl/>
        </w:rPr>
        <w:instrText xml:space="preserve"> </w:instrText>
      </w:r>
      <w:r w:rsidRPr="00D40DCA">
        <w:rPr>
          <w:rStyle w:val="af7"/>
          <w:rFonts w:eastAsia="Guttman Hodes"/>
          <w:rtl/>
        </w:rPr>
      </w:r>
      <w:r w:rsidRPr="00D40DCA">
        <w:rPr>
          <w:rStyle w:val="af7"/>
          <w:rFonts w:eastAsia="Guttman Hodes"/>
          <w:rtl/>
        </w:rPr>
        <w:fldChar w:fldCharType="separate"/>
      </w:r>
      <w:r w:rsidR="00345400">
        <w:rPr>
          <w:rStyle w:val="af7"/>
          <w:rFonts w:eastAsia="Guttman Hodes"/>
          <w:cs/>
        </w:rPr>
        <w:t>‎</w:t>
      </w:r>
      <w:r w:rsidR="00345400">
        <w:rPr>
          <w:rStyle w:val="af7"/>
          <w:rFonts w:eastAsia="Guttman Hodes"/>
          <w:rtl/>
        </w:rPr>
        <w:t>ה)</w:t>
      </w:r>
      <w:r w:rsidRPr="00D40DCA">
        <w:rPr>
          <w:rStyle w:val="af7"/>
          <w:rFonts w:eastAsia="Guttman Hodes"/>
          <w:rtl/>
        </w:rPr>
        <w:fldChar w:fldCharType="end"/>
      </w:r>
      <w:r>
        <w:rPr>
          <w:rFonts w:hint="cs"/>
          <w:rtl/>
        </w:rPr>
        <w:t xml:space="preserve">, דהא דרובא וחזקה רובא עדיף, הוא דוקא במקום שהרוב הוא באותו ענין שיש בו חזקה, דהיינו כשיש ספק אם היה שינוי בחזקה, והרוב אומר שהיה שינוי, בכה"ג הרוב עדיף מחזקה, אבל במקום שיש רוב שאינו שייך לחזקה כלל אלא הוא ענין אחר, </w:t>
      </w:r>
      <w:r w:rsidRPr="00AC442D">
        <w:rPr>
          <w:rStyle w:val="afb"/>
          <w:rFonts w:hint="cs"/>
          <w:rtl/>
        </w:rPr>
        <w:t>[כרוב כנגד חזקת ממון],</w:t>
      </w:r>
      <w:r>
        <w:rPr>
          <w:rFonts w:hint="cs"/>
          <w:rtl/>
        </w:rPr>
        <w:t xml:space="preserve"> דבכה"ג אין הרוב עדיף מחזקה, וכתב </w:t>
      </w:r>
      <w:r w:rsidRPr="00AC442D">
        <w:rPr>
          <w:rStyle w:val="af9"/>
          <w:rFonts w:hint="cs"/>
          <w:rtl/>
        </w:rPr>
        <w:t>הפנ"י</w:t>
      </w:r>
      <w:r>
        <w:rPr>
          <w:rFonts w:hint="cs"/>
          <w:rtl/>
        </w:rPr>
        <w:t xml:space="preserve"> דא"כ מיושבת קושית </w:t>
      </w:r>
      <w:r w:rsidRPr="00AC442D">
        <w:rPr>
          <w:rStyle w:val="af9"/>
          <w:rFonts w:hint="cs"/>
          <w:rtl/>
        </w:rPr>
        <w:t>התוס'</w:t>
      </w:r>
      <w:r>
        <w:rPr>
          <w:rFonts w:hint="cs"/>
          <w:rtl/>
        </w:rPr>
        <w:t xml:space="preserve"> דאף דילפינן מבית המנוגע דאזלינן בתר חזקה, א"א ללמוד את דין רוב בק"ו, כיון שיש רוב שאינו עדיף מחזקה. </w:t>
      </w:r>
      <w:r w:rsidRPr="00D40DCA">
        <w:rPr>
          <w:rStyle w:val="afb"/>
          <w:rFonts w:hint="cs"/>
          <w:rtl/>
        </w:rPr>
        <w:t>[וע"ע במ"ש ב</w:t>
      </w:r>
      <w:bookmarkEnd w:id="7612"/>
      <w:r w:rsidRPr="00D40DCA">
        <w:rPr>
          <w:rStyle w:val="afb"/>
          <w:rFonts w:hint="cs"/>
          <w:rtl/>
        </w:rPr>
        <w:t xml:space="preserve">זה </w:t>
      </w:r>
      <w:r w:rsidRPr="00D40DCA">
        <w:rPr>
          <w:rStyle w:val="affa"/>
          <w:rFonts w:hint="cs"/>
          <w:rtl/>
        </w:rPr>
        <w:t>ה</w:t>
      </w:r>
      <w:r w:rsidRPr="00D40DCA">
        <w:rPr>
          <w:rStyle w:val="affa"/>
          <w:rtl/>
        </w:rPr>
        <w:t>מחנ</w:t>
      </w:r>
      <w:r w:rsidRPr="00D40DCA">
        <w:rPr>
          <w:rStyle w:val="affa"/>
          <w:rFonts w:hint="cs"/>
          <w:rtl/>
        </w:rPr>
        <w:t>"</w:t>
      </w:r>
      <w:r w:rsidRPr="00D40DCA">
        <w:rPr>
          <w:rStyle w:val="affa"/>
          <w:rtl/>
        </w:rPr>
        <w:t>א</w:t>
      </w:r>
      <w:r w:rsidRPr="00D40DCA">
        <w:rPr>
          <w:rStyle w:val="afb"/>
          <w:rFonts w:hint="cs"/>
          <w:rtl/>
        </w:rPr>
        <w:t xml:space="preserve"> </w:t>
      </w:r>
      <w:r w:rsidRPr="00D40DCA">
        <w:rPr>
          <w:rStyle w:val="aff6"/>
          <w:rFonts w:hint="cs"/>
          <w:rtl/>
        </w:rPr>
        <w:t xml:space="preserve">(על הרמב"ם </w:t>
      </w:r>
      <w:r w:rsidRPr="00D40DCA">
        <w:rPr>
          <w:rStyle w:val="aff6"/>
          <w:rtl/>
        </w:rPr>
        <w:t>יבום וחליצה פ</w:t>
      </w:r>
      <w:r w:rsidRPr="00D40DCA">
        <w:rPr>
          <w:rStyle w:val="aff6"/>
          <w:rFonts w:hint="cs"/>
          <w:rtl/>
        </w:rPr>
        <w:t>"</w:t>
      </w:r>
      <w:r w:rsidRPr="00D40DCA">
        <w:rPr>
          <w:rStyle w:val="aff6"/>
          <w:rtl/>
        </w:rPr>
        <w:t>ג הט</w:t>
      </w:r>
      <w:r w:rsidRPr="00D40DCA">
        <w:rPr>
          <w:rStyle w:val="aff6"/>
          <w:rFonts w:hint="cs"/>
          <w:rtl/>
        </w:rPr>
        <w:t>"</w:t>
      </w:r>
      <w:r w:rsidRPr="00D40DCA">
        <w:rPr>
          <w:rStyle w:val="aff6"/>
          <w:rtl/>
        </w:rPr>
        <w:t>ז</w:t>
      </w:r>
      <w:r w:rsidRPr="00D40DCA">
        <w:rPr>
          <w:rStyle w:val="aff6"/>
          <w:rFonts w:hint="cs"/>
          <w:rtl/>
        </w:rPr>
        <w:t>, נד' בסוף המחנ"א)</w:t>
      </w:r>
      <w:r w:rsidRPr="00D40DCA">
        <w:rPr>
          <w:rStyle w:val="afb"/>
          <w:rFonts w:hint="cs"/>
          <w:rtl/>
        </w:rPr>
        <w:t>].</w:t>
      </w:r>
    </w:p>
    <w:p w14:paraId="0F736C04" w14:textId="77777777" w:rsidR="009A2997" w:rsidRDefault="009A2997" w:rsidP="006D6D32">
      <w:pPr>
        <w:pStyle w:val="a3"/>
        <w:rPr>
          <w:rtl/>
        </w:rPr>
      </w:pPr>
      <w:bookmarkStart w:id="7613" w:name="_Toc528615459"/>
      <w:bookmarkStart w:id="7614" w:name="_Toc528712451"/>
      <w:bookmarkStart w:id="7615" w:name="_Toc528777111"/>
      <w:bookmarkStart w:id="7616" w:name="_Toc528789671"/>
      <w:bookmarkStart w:id="7617" w:name="_Toc19389948"/>
      <w:bookmarkStart w:id="7618" w:name="_Toc19393445"/>
      <w:r>
        <w:rPr>
          <w:rFonts w:hint="cs"/>
          <w:rtl/>
        </w:rPr>
        <w:t>דברי התוס' הרא"ש דדוקא רוב שמגרע את כח החזקה עדיף ממנה</w:t>
      </w:r>
      <w:bookmarkEnd w:id="7613"/>
      <w:bookmarkEnd w:id="7614"/>
      <w:bookmarkEnd w:id="7615"/>
      <w:bookmarkEnd w:id="7616"/>
      <w:bookmarkEnd w:id="7617"/>
      <w:bookmarkEnd w:id="7618"/>
    </w:p>
    <w:p w14:paraId="5A037C7D" w14:textId="77777777" w:rsidR="009A2997" w:rsidRDefault="009A2997" w:rsidP="00223668">
      <w:pPr>
        <w:pStyle w:val="a0"/>
        <w:rPr>
          <w:rStyle w:val="afb"/>
          <w:rtl/>
        </w:rPr>
      </w:pPr>
      <w:r>
        <w:rPr>
          <w:rFonts w:hint="cs"/>
          <w:rtl/>
        </w:rPr>
        <w:t xml:space="preserve">וכעין סברא זו כתב </w:t>
      </w:r>
      <w:r w:rsidRPr="00024841">
        <w:rPr>
          <w:rStyle w:val="af9"/>
          <w:rFonts w:hint="cs"/>
          <w:rtl/>
        </w:rPr>
        <w:t>התוס' הרא"ש בכתובות</w:t>
      </w:r>
      <w:r>
        <w:rPr>
          <w:rFonts w:hint="cs"/>
          <w:rtl/>
        </w:rPr>
        <w:t xml:space="preserve"> </w:t>
      </w:r>
      <w:r w:rsidRPr="00024841">
        <w:rPr>
          <w:rStyle w:val="af7"/>
          <w:rFonts w:eastAsia="Guttman Hodes" w:hint="cs"/>
          <w:rtl/>
        </w:rPr>
        <w:t>(ט. ד"ה ואבע"א)</w:t>
      </w:r>
      <w:r>
        <w:rPr>
          <w:rFonts w:hint="cs"/>
          <w:rtl/>
        </w:rPr>
        <w:t xml:space="preserve"> דרוב עדיף מחזקה רק במקום שהרוב מגרע את כח החזקה, והחזקה מגרעת את כח הרוב, [</w:t>
      </w:r>
      <w:r w:rsidRPr="00024841">
        <w:rPr>
          <w:rStyle w:val="afb"/>
          <w:rFonts w:hint="cs"/>
          <w:rtl/>
        </w:rPr>
        <w:t>כרוב תינוקות מטפחין בעיסה, כנגד החזקת טהרה של העיסה],</w:t>
      </w:r>
      <w:r>
        <w:rPr>
          <w:rFonts w:hint="cs"/>
          <w:rtl/>
        </w:rPr>
        <w:t xml:space="preserve"> אבל במקום שאפשר להעמיד על החזקה בלא לבטל את הרוב, אין הרוב מוציא מהחזקה. </w:t>
      </w:r>
      <w:r w:rsidRPr="00024841">
        <w:rPr>
          <w:rStyle w:val="afb"/>
          <w:rFonts w:hint="cs"/>
          <w:rtl/>
        </w:rPr>
        <w:t>[כ</w:t>
      </w:r>
      <w:r>
        <w:rPr>
          <w:rStyle w:val="afb"/>
          <w:rFonts w:hint="cs"/>
          <w:rtl/>
        </w:rPr>
        <w:t xml:space="preserve">גון </w:t>
      </w:r>
      <w:r w:rsidRPr="00024841">
        <w:rPr>
          <w:rStyle w:val="afb"/>
          <w:rFonts w:hint="cs"/>
          <w:rtl/>
        </w:rPr>
        <w:t>שיש רוב שנבעלה ברצון, ויש לה חזקת היתר, דאפשר להעמיד</w:t>
      </w:r>
      <w:r>
        <w:rPr>
          <w:rStyle w:val="afb"/>
          <w:rFonts w:hint="cs"/>
          <w:rtl/>
        </w:rPr>
        <w:t>ה</w:t>
      </w:r>
      <w:r w:rsidRPr="00024841">
        <w:rPr>
          <w:rStyle w:val="afb"/>
          <w:rFonts w:hint="cs"/>
          <w:rtl/>
        </w:rPr>
        <w:t xml:space="preserve"> בחזקת היתר שזינתה מרצון כשהייתה פנויה, דאין החזקה סותרת את הרוב].</w:t>
      </w:r>
    </w:p>
    <w:p w14:paraId="52CBB99A" w14:textId="77777777" w:rsidR="00442CE4" w:rsidRPr="00442CE4" w:rsidRDefault="00442CE4" w:rsidP="00442CE4">
      <w:pPr>
        <w:pStyle w:val="a3"/>
        <w:rPr>
          <w:rtl/>
        </w:rPr>
      </w:pPr>
    </w:p>
    <w:p w14:paraId="6C9C1BE3" w14:textId="77777777" w:rsidR="00442CE4" w:rsidRPr="00442CE4" w:rsidRDefault="00442CE4" w:rsidP="00442CE4">
      <w:pPr>
        <w:pStyle w:val="a3"/>
        <w:rPr>
          <w:rtl/>
        </w:rPr>
      </w:pPr>
    </w:p>
    <w:p w14:paraId="3BE6D697" w14:textId="77777777" w:rsidR="009A2997" w:rsidRDefault="009A2997" w:rsidP="006D6D32">
      <w:pPr>
        <w:pStyle w:val="afe"/>
        <w:rPr>
          <w:rtl/>
        </w:rPr>
      </w:pPr>
      <w:bookmarkStart w:id="7619" w:name="_Toc528615460"/>
      <w:bookmarkStart w:id="7620" w:name="_Toc528712452"/>
      <w:bookmarkStart w:id="7621" w:name="_Toc528777112"/>
      <w:bookmarkStart w:id="7622" w:name="_Toc528789672"/>
      <w:bookmarkStart w:id="7623" w:name="_Toc19435558"/>
      <w:bookmarkStart w:id="7624" w:name="_Toc20080854"/>
      <w:r>
        <w:rPr>
          <w:rFonts w:hint="cs"/>
          <w:rtl/>
        </w:rPr>
        <w:t>בילפותא לרובא דליתא קמן</w:t>
      </w:r>
      <w:bookmarkEnd w:id="7619"/>
      <w:bookmarkEnd w:id="7620"/>
      <w:bookmarkEnd w:id="7621"/>
      <w:bookmarkEnd w:id="7622"/>
      <w:bookmarkEnd w:id="7623"/>
      <w:bookmarkEnd w:id="7624"/>
    </w:p>
    <w:p w14:paraId="21C333E7" w14:textId="77777777" w:rsidR="009A2997" w:rsidRDefault="009A2997" w:rsidP="00BF39B2">
      <w:pPr>
        <w:pStyle w:val="1"/>
        <w:rPr>
          <w:rtl/>
        </w:rPr>
      </w:pPr>
      <w:bookmarkStart w:id="7625" w:name="_Toc528615461"/>
      <w:bookmarkStart w:id="7626" w:name="_Toc528712453"/>
      <w:bookmarkStart w:id="7627" w:name="_Toc528777113"/>
      <w:bookmarkStart w:id="7628" w:name="_Toc528789673"/>
      <w:bookmarkStart w:id="7629" w:name="_Toc19389949"/>
      <w:bookmarkStart w:id="7630" w:name="_Toc19393446"/>
      <w:r>
        <w:rPr>
          <w:rFonts w:hint="cs"/>
          <w:rtl/>
        </w:rPr>
        <w:t>פלוגתת הראשונים בילפותא לרובא דליתא קמן למסקנת הגמ'</w:t>
      </w:r>
      <w:bookmarkEnd w:id="7625"/>
      <w:bookmarkEnd w:id="7626"/>
      <w:bookmarkEnd w:id="7627"/>
      <w:bookmarkEnd w:id="7628"/>
      <w:bookmarkEnd w:id="7629"/>
      <w:bookmarkEnd w:id="7630"/>
    </w:p>
    <w:p w14:paraId="58AADE9D" w14:textId="77777777" w:rsidR="009A2997" w:rsidRDefault="009A2997" w:rsidP="006D6D32">
      <w:pPr>
        <w:pStyle w:val="a3"/>
        <w:rPr>
          <w:rtl/>
        </w:rPr>
      </w:pPr>
      <w:bookmarkStart w:id="7631" w:name="_Toc528615462"/>
      <w:bookmarkStart w:id="7632" w:name="_Toc528712454"/>
      <w:bookmarkStart w:id="7633" w:name="_Toc528777114"/>
      <w:bookmarkStart w:id="7634" w:name="_Toc528789674"/>
      <w:bookmarkStart w:id="7635" w:name="_Toc19389950"/>
      <w:bookmarkStart w:id="7636" w:name="_Toc19393447"/>
      <w:r>
        <w:rPr>
          <w:rFonts w:hint="cs"/>
          <w:rtl/>
        </w:rPr>
        <w:t>דברי רש"י דלמסקנת הגמ' רובא דליתא קמן הוא הלכה למשה מסיני</w:t>
      </w:r>
      <w:bookmarkEnd w:id="7631"/>
      <w:bookmarkEnd w:id="7632"/>
      <w:bookmarkEnd w:id="7633"/>
      <w:bookmarkEnd w:id="7634"/>
      <w:bookmarkEnd w:id="7635"/>
      <w:bookmarkEnd w:id="7636"/>
    </w:p>
    <w:p w14:paraId="2E2B01A1" w14:textId="77777777" w:rsidR="009A2997" w:rsidRDefault="009A2997" w:rsidP="00223668">
      <w:pPr>
        <w:pStyle w:val="a0"/>
        <w:rPr>
          <w:rtl/>
        </w:rPr>
      </w:pPr>
      <w:bookmarkStart w:id="7637" w:name="_Ref528318822"/>
      <w:r>
        <w:rPr>
          <w:rFonts w:hint="cs"/>
          <w:rtl/>
        </w:rPr>
        <w:t xml:space="preserve">במסקנת סוגיין כתב </w:t>
      </w:r>
      <w:r w:rsidRPr="00E22908">
        <w:rPr>
          <w:rStyle w:val="af9"/>
          <w:rFonts w:hint="cs"/>
          <w:rtl/>
        </w:rPr>
        <w:t xml:space="preserve">רש"י </w:t>
      </w:r>
      <w:r w:rsidRPr="00E22908">
        <w:rPr>
          <w:rStyle w:val="af7"/>
          <w:rFonts w:eastAsia="Guttman Hodes" w:hint="cs"/>
          <w:rtl/>
        </w:rPr>
        <w:t xml:space="preserve">(יב. ד"ה פסח) </w:t>
      </w:r>
      <w:r>
        <w:rPr>
          <w:rFonts w:hint="cs"/>
          <w:rtl/>
        </w:rPr>
        <w:t xml:space="preserve">דהמקור לרובא דליתא קמן הוא מהלכה למשה מסיני, דכל הילפותות שהביאה הגמ' לרובא דליתא קמן, הם במקום דא"א לבדוק, אבל הא דסמכינן על הרוב במקום שאפשר לבדוק, הוא מהלכה למשה מסיני, וכ"כ </w:t>
      </w:r>
      <w:r w:rsidRPr="008C3D1A">
        <w:rPr>
          <w:rStyle w:val="af9"/>
          <w:rFonts w:hint="cs"/>
          <w:rtl/>
        </w:rPr>
        <w:t>הרא"ש</w:t>
      </w:r>
      <w:r>
        <w:rPr>
          <w:rFonts w:hint="cs"/>
          <w:rtl/>
        </w:rPr>
        <w:t xml:space="preserve"> </w:t>
      </w:r>
      <w:r w:rsidRPr="008C3D1A">
        <w:rPr>
          <w:rStyle w:val="af7"/>
          <w:rFonts w:eastAsia="Guttman Hodes" w:hint="cs"/>
          <w:rtl/>
        </w:rPr>
        <w:t>(סי' ט"ז)</w:t>
      </w:r>
      <w:r>
        <w:rPr>
          <w:rFonts w:hint="cs"/>
          <w:rtl/>
        </w:rPr>
        <w:t xml:space="preserve">, ועי' בדברי </w:t>
      </w:r>
      <w:r w:rsidRPr="00CC0EB2">
        <w:rPr>
          <w:rStyle w:val="af9"/>
          <w:rFonts w:hint="cs"/>
          <w:rtl/>
        </w:rPr>
        <w:t>הגרעק"א</w:t>
      </w:r>
      <w:r>
        <w:rPr>
          <w:rFonts w:hint="cs"/>
          <w:rtl/>
        </w:rPr>
        <w:t xml:space="preserve"> </w:t>
      </w:r>
      <w:r w:rsidRPr="00CC0EB2">
        <w:rPr>
          <w:rStyle w:val="af7"/>
          <w:rFonts w:eastAsia="Guttman Hodes" w:hint="cs"/>
          <w:rtl/>
        </w:rPr>
        <w:t xml:space="preserve">(עי' אות </w:t>
      </w:r>
      <w:r w:rsidRPr="00CC0EB2">
        <w:rPr>
          <w:rStyle w:val="af7"/>
          <w:rFonts w:eastAsia="Guttman Hodes"/>
          <w:rtl/>
        </w:rPr>
        <w:fldChar w:fldCharType="begin"/>
      </w:r>
      <w:r w:rsidRPr="00CC0EB2">
        <w:rPr>
          <w:rStyle w:val="af7"/>
          <w:rFonts w:eastAsia="Guttman Hodes"/>
          <w:rtl/>
        </w:rPr>
        <w:instrText xml:space="preserve"> </w:instrText>
      </w:r>
      <w:r w:rsidRPr="00CC0EB2">
        <w:rPr>
          <w:rStyle w:val="af7"/>
          <w:rFonts w:eastAsia="Guttman Hodes" w:hint="cs"/>
        </w:rPr>
        <w:instrText>REF</w:instrText>
      </w:r>
      <w:r w:rsidRPr="00CC0EB2">
        <w:rPr>
          <w:rStyle w:val="af7"/>
          <w:rFonts w:eastAsia="Guttman Hodes" w:hint="cs"/>
          <w:rtl/>
        </w:rPr>
        <w:instrText xml:space="preserve"> _</w:instrText>
      </w:r>
      <w:r w:rsidRPr="00CC0EB2">
        <w:rPr>
          <w:rStyle w:val="af7"/>
          <w:rFonts w:eastAsia="Guttman Hodes" w:hint="cs"/>
        </w:rPr>
        <w:instrText>Ref528494834 \r \h</w:instrText>
      </w:r>
      <w:r w:rsidRPr="00CC0EB2">
        <w:rPr>
          <w:rStyle w:val="af7"/>
          <w:rFonts w:eastAsia="Guttman Hodes"/>
          <w:rtl/>
        </w:rPr>
        <w:instrText xml:space="preserve"> </w:instrText>
      </w:r>
      <w:r w:rsidRPr="00CC0EB2">
        <w:rPr>
          <w:rStyle w:val="af7"/>
          <w:rFonts w:eastAsia="Guttman Hodes"/>
          <w:rtl/>
        </w:rPr>
      </w:r>
      <w:r w:rsidRPr="00CC0EB2">
        <w:rPr>
          <w:rStyle w:val="af7"/>
          <w:rFonts w:eastAsia="Guttman Hodes"/>
          <w:rtl/>
        </w:rPr>
        <w:fldChar w:fldCharType="separate"/>
      </w:r>
      <w:r w:rsidR="00345400">
        <w:rPr>
          <w:rStyle w:val="af7"/>
          <w:rFonts w:eastAsia="Guttman Hodes"/>
          <w:cs/>
        </w:rPr>
        <w:t>‎</w:t>
      </w:r>
      <w:r w:rsidR="00345400">
        <w:rPr>
          <w:rStyle w:val="af7"/>
          <w:rFonts w:eastAsia="Guttman Hodes"/>
          <w:rtl/>
        </w:rPr>
        <w:t>עט)</w:t>
      </w:r>
      <w:r w:rsidRPr="00CC0EB2">
        <w:rPr>
          <w:rStyle w:val="af7"/>
          <w:rFonts w:eastAsia="Guttman Hodes"/>
          <w:rtl/>
        </w:rPr>
        <w:fldChar w:fldCharType="end"/>
      </w:r>
      <w:r>
        <w:rPr>
          <w:rFonts w:hint="cs"/>
          <w:rtl/>
        </w:rPr>
        <w:t>.</w:t>
      </w:r>
      <w:bookmarkEnd w:id="7637"/>
    </w:p>
    <w:p w14:paraId="42EA5A1A" w14:textId="77777777" w:rsidR="009A2997" w:rsidRPr="009818D0" w:rsidRDefault="009A2997" w:rsidP="006D6D32">
      <w:pPr>
        <w:pStyle w:val="a3"/>
        <w:rPr>
          <w:rtl/>
        </w:rPr>
      </w:pPr>
      <w:bookmarkStart w:id="7638" w:name="_Toc528615463"/>
      <w:bookmarkStart w:id="7639" w:name="_Toc528712455"/>
      <w:bookmarkStart w:id="7640" w:name="_Toc528777115"/>
      <w:bookmarkStart w:id="7641" w:name="_Toc528789675"/>
      <w:bookmarkStart w:id="7642" w:name="_Toc19389951"/>
      <w:bookmarkStart w:id="7643" w:name="_Toc19393448"/>
      <w:r>
        <w:rPr>
          <w:rFonts w:hint="cs"/>
          <w:rtl/>
        </w:rPr>
        <w:t>הביאור הב' ברש"י דלמסקנא רובא דליתא קמן נלמד מסנהדרין כמו רובא דאיתא קמן</w:t>
      </w:r>
      <w:bookmarkEnd w:id="7638"/>
      <w:bookmarkEnd w:id="7639"/>
      <w:bookmarkEnd w:id="7640"/>
      <w:bookmarkEnd w:id="7641"/>
      <w:bookmarkEnd w:id="7642"/>
      <w:bookmarkEnd w:id="7643"/>
    </w:p>
    <w:p w14:paraId="338F5E67" w14:textId="77777777" w:rsidR="009A2997" w:rsidRDefault="009A2997" w:rsidP="00223668">
      <w:pPr>
        <w:pStyle w:val="a0"/>
        <w:rPr>
          <w:rtl/>
        </w:rPr>
      </w:pPr>
      <w:bookmarkStart w:id="7644" w:name="_Ref528318815"/>
      <w:r>
        <w:rPr>
          <w:rFonts w:hint="cs"/>
          <w:rtl/>
        </w:rPr>
        <w:t xml:space="preserve">ועו"כ </w:t>
      </w:r>
      <w:r w:rsidRPr="00E22908">
        <w:rPr>
          <w:rStyle w:val="af9"/>
          <w:rFonts w:hint="cs"/>
          <w:rtl/>
        </w:rPr>
        <w:t>רש"י בביאורו הב'</w:t>
      </w:r>
      <w:r>
        <w:rPr>
          <w:rFonts w:hint="cs"/>
          <w:rtl/>
        </w:rPr>
        <w:t xml:space="preserve"> דמאחרי רבים להטות</w:t>
      </w:r>
      <w:r w:rsidRPr="009818D0">
        <w:rPr>
          <w:rFonts w:hint="cs"/>
          <w:rtl/>
        </w:rPr>
        <w:t xml:space="preserve"> </w:t>
      </w:r>
      <w:r>
        <w:rPr>
          <w:rFonts w:hint="cs"/>
          <w:rtl/>
        </w:rPr>
        <w:t>ילפינן</w:t>
      </w:r>
      <w:r w:rsidRPr="009818D0">
        <w:rPr>
          <w:rFonts w:hint="cs"/>
          <w:rtl/>
        </w:rPr>
        <w:t xml:space="preserve"> </w:t>
      </w:r>
      <w:r>
        <w:rPr>
          <w:rFonts w:hint="cs"/>
          <w:rtl/>
        </w:rPr>
        <w:t xml:space="preserve">דאזלינן בתר רובא, בין ברובא דאיתא קמן, ובין ברובא דליתא קמן, דמאי שנא היא מהאי, ומשו"ה סמכינן על </w:t>
      </w:r>
      <w:r w:rsidRPr="00724D2B">
        <w:rPr>
          <w:rFonts w:hint="cs"/>
          <w:rtl/>
        </w:rPr>
        <w:t>הרוב אף בי"ח טריפות שאפשר</w:t>
      </w:r>
      <w:r>
        <w:rPr>
          <w:rFonts w:hint="cs"/>
          <w:rtl/>
        </w:rPr>
        <w:t xml:space="preserve"> לבדוק,</w:t>
      </w:r>
      <w:r w:rsidRPr="00724D2B">
        <w:rPr>
          <w:rFonts w:hint="cs"/>
          <w:rtl/>
        </w:rPr>
        <w:t xml:space="preserve"> </w:t>
      </w:r>
      <w:r w:rsidRPr="00724D2B">
        <w:rPr>
          <w:rStyle w:val="afb"/>
          <w:rFonts w:hint="cs"/>
          <w:rtl/>
        </w:rPr>
        <w:t xml:space="preserve">[והוסיף </w:t>
      </w:r>
      <w:r w:rsidRPr="00724D2B">
        <w:rPr>
          <w:rStyle w:val="affa"/>
          <w:rFonts w:hint="cs"/>
          <w:rtl/>
        </w:rPr>
        <w:t>רש"י</w:t>
      </w:r>
      <w:r w:rsidRPr="00724D2B">
        <w:rPr>
          <w:rStyle w:val="afb"/>
          <w:rFonts w:hint="cs"/>
          <w:rtl/>
        </w:rPr>
        <w:t xml:space="preserve"> דהא דבודקין את הריאה, הוא כיון ששכיח שיש בה ריעותא, אבל במקום שאין הריאה לפנינו, הבהמה כשרה דסמכינן על דברי רב הונא לעיל </w:t>
      </w:r>
      <w:r w:rsidRPr="00724D2B">
        <w:rPr>
          <w:rStyle w:val="aff6"/>
          <w:rFonts w:hint="cs"/>
          <w:rtl/>
        </w:rPr>
        <w:t>(ט.)</w:t>
      </w:r>
      <w:r w:rsidRPr="00724D2B">
        <w:rPr>
          <w:rStyle w:val="afb"/>
          <w:rFonts w:hint="cs"/>
          <w:rtl/>
        </w:rPr>
        <w:t xml:space="preserve"> דנשחטה בחזקת היתר קיימא],</w:t>
      </w:r>
      <w:r>
        <w:rPr>
          <w:rFonts w:hint="cs"/>
          <w:rtl/>
        </w:rPr>
        <w:t xml:space="preserve"> וכ"כ </w:t>
      </w:r>
      <w:r w:rsidRPr="008C3D1A">
        <w:rPr>
          <w:rStyle w:val="af9"/>
          <w:rFonts w:hint="cs"/>
          <w:rtl/>
        </w:rPr>
        <w:t>הרא"ש</w:t>
      </w:r>
      <w:r w:rsidRPr="00B459DB">
        <w:rPr>
          <w:rStyle w:val="af9"/>
          <w:rFonts w:hint="cs"/>
          <w:rtl/>
        </w:rPr>
        <w:t xml:space="preserve"> </w:t>
      </w:r>
      <w:r w:rsidRPr="00E22908">
        <w:rPr>
          <w:rStyle w:val="af9"/>
          <w:rFonts w:hint="cs"/>
          <w:rtl/>
        </w:rPr>
        <w:t>בביאורו הב'</w:t>
      </w:r>
      <w:r>
        <w:rPr>
          <w:rFonts w:hint="cs"/>
          <w:rtl/>
        </w:rPr>
        <w:t xml:space="preserve"> </w:t>
      </w:r>
      <w:r w:rsidRPr="00724D2B">
        <w:rPr>
          <w:rStyle w:val="af7"/>
          <w:rFonts w:eastAsia="Guttman Hodes" w:hint="cs"/>
          <w:rtl/>
        </w:rPr>
        <w:t>(סי' ט"ז)</w:t>
      </w:r>
      <w:r>
        <w:rPr>
          <w:rFonts w:hint="cs"/>
          <w:rtl/>
        </w:rPr>
        <w:t xml:space="preserve">, ועי' בדברי </w:t>
      </w:r>
      <w:r w:rsidRPr="00CC0EB2">
        <w:rPr>
          <w:rStyle w:val="af9"/>
          <w:rFonts w:hint="cs"/>
          <w:rtl/>
        </w:rPr>
        <w:t>הגרעק"א</w:t>
      </w:r>
      <w:r>
        <w:rPr>
          <w:rFonts w:hint="cs"/>
          <w:rtl/>
        </w:rPr>
        <w:t xml:space="preserve"> </w:t>
      </w:r>
      <w:r w:rsidRPr="00CC0EB2">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Ref528494865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עח)</w:t>
      </w:r>
      <w:r>
        <w:rPr>
          <w:rStyle w:val="af7"/>
          <w:rFonts w:eastAsia="Guttman Hodes"/>
          <w:rtl/>
        </w:rPr>
        <w:fldChar w:fldCharType="end"/>
      </w:r>
      <w:r>
        <w:rPr>
          <w:rFonts w:hint="cs"/>
          <w:rtl/>
        </w:rPr>
        <w:t xml:space="preserve">, [וע"ע במ"ש </w:t>
      </w:r>
      <w:r w:rsidRPr="00284D0E">
        <w:rPr>
          <w:rStyle w:val="af9"/>
          <w:rFonts w:hint="cs"/>
          <w:rtl/>
        </w:rPr>
        <w:t>במעדני יו"ט</w:t>
      </w:r>
      <w:r>
        <w:rPr>
          <w:rFonts w:hint="cs"/>
          <w:rtl/>
        </w:rPr>
        <w:t xml:space="preserve"> </w:t>
      </w:r>
      <w:r w:rsidRPr="00284D0E">
        <w:rPr>
          <w:rStyle w:val="af7"/>
          <w:rFonts w:eastAsia="Guttman Hodes" w:hint="cs"/>
          <w:rtl/>
        </w:rPr>
        <w:t>(על הרא"ש סי' ט"ז אות ז')</w:t>
      </w:r>
      <w:r>
        <w:rPr>
          <w:rFonts w:hint="cs"/>
          <w:rtl/>
        </w:rPr>
        <w:t>].</w:t>
      </w:r>
      <w:bookmarkEnd w:id="7644"/>
    </w:p>
    <w:p w14:paraId="1E256FC9" w14:textId="77777777" w:rsidR="009A2997" w:rsidRDefault="009A2997" w:rsidP="006D6D32">
      <w:pPr>
        <w:pStyle w:val="a3"/>
        <w:rPr>
          <w:rtl/>
        </w:rPr>
      </w:pPr>
      <w:bookmarkStart w:id="7645" w:name="_Toc528615464"/>
      <w:bookmarkStart w:id="7646" w:name="_Toc528712456"/>
      <w:bookmarkStart w:id="7647" w:name="_Toc528777116"/>
      <w:bookmarkStart w:id="7648" w:name="_Toc528789676"/>
      <w:bookmarkStart w:id="7649" w:name="_Toc19389952"/>
      <w:bookmarkStart w:id="7650" w:name="_Toc19393449"/>
      <w:r>
        <w:rPr>
          <w:rFonts w:hint="cs"/>
          <w:rtl/>
        </w:rPr>
        <w:t>דברי רש"י לקמן דרובא דליתא קמן נלמד מקרא דהאליה תמימה</w:t>
      </w:r>
      <w:bookmarkEnd w:id="7645"/>
      <w:bookmarkEnd w:id="7646"/>
      <w:bookmarkEnd w:id="7647"/>
      <w:bookmarkEnd w:id="7648"/>
      <w:bookmarkEnd w:id="7649"/>
      <w:bookmarkEnd w:id="7650"/>
    </w:p>
    <w:p w14:paraId="1D3E27BF" w14:textId="77777777" w:rsidR="009A2997" w:rsidRDefault="009A2997" w:rsidP="00223668">
      <w:pPr>
        <w:pStyle w:val="a0"/>
        <w:rPr>
          <w:rtl/>
        </w:rPr>
      </w:pPr>
      <w:r>
        <w:rPr>
          <w:rFonts w:hint="cs"/>
          <w:rtl/>
        </w:rPr>
        <w:t xml:space="preserve">אבל </w:t>
      </w:r>
      <w:r w:rsidRPr="00B91FA1">
        <w:rPr>
          <w:rStyle w:val="af9"/>
          <w:rFonts w:hint="cs"/>
          <w:rtl/>
        </w:rPr>
        <w:t>ברש"י לקמן</w:t>
      </w:r>
      <w:r>
        <w:rPr>
          <w:rFonts w:hint="cs"/>
          <w:rtl/>
        </w:rPr>
        <w:t xml:space="preserve"> </w:t>
      </w:r>
      <w:r w:rsidRPr="00B91FA1">
        <w:rPr>
          <w:rStyle w:val="af7"/>
          <w:rFonts w:eastAsia="Guttman Hodes" w:hint="cs"/>
          <w:rtl/>
        </w:rPr>
        <w:t xml:space="preserve">(נ: ד"ה מאי) </w:t>
      </w:r>
      <w:r>
        <w:rPr>
          <w:rFonts w:hint="cs"/>
          <w:rtl/>
        </w:rPr>
        <w:t xml:space="preserve">כתב דהילפותא לרובא דליתא קמן </w:t>
      </w:r>
      <w:r w:rsidRPr="00B91FA1">
        <w:rPr>
          <w:rStyle w:val="afb"/>
          <w:rFonts w:hint="cs"/>
          <w:rtl/>
        </w:rPr>
        <w:t>[אף במקום דאפשר כי"ח טריפות]</w:t>
      </w:r>
      <w:r>
        <w:rPr>
          <w:rFonts w:hint="cs"/>
          <w:rtl/>
        </w:rPr>
        <w:t xml:space="preserve">, היא מדאיתא בסוגיין דילפינן מקראי דהאליה תמימה, וכן מהרבה פסוקים, והקשה </w:t>
      </w:r>
      <w:r w:rsidRPr="00B91FA1">
        <w:rPr>
          <w:rStyle w:val="af9"/>
          <w:rFonts w:hint="cs"/>
          <w:rtl/>
        </w:rPr>
        <w:t xml:space="preserve">הגרעק"א בגלהש"ס </w:t>
      </w:r>
      <w:r w:rsidRPr="00E22908">
        <w:rPr>
          <w:rStyle w:val="af7"/>
          <w:rFonts w:eastAsia="Guttman Hodes" w:hint="cs"/>
          <w:rtl/>
        </w:rPr>
        <w:t xml:space="preserve">(יב. </w:t>
      </w:r>
      <w:r>
        <w:rPr>
          <w:rStyle w:val="af7"/>
          <w:rFonts w:eastAsia="Guttman Hodes" w:hint="cs"/>
          <w:rtl/>
        </w:rPr>
        <w:t xml:space="preserve">על רש"י </w:t>
      </w:r>
      <w:r w:rsidRPr="00E22908">
        <w:rPr>
          <w:rStyle w:val="af7"/>
          <w:rFonts w:eastAsia="Guttman Hodes" w:hint="cs"/>
          <w:rtl/>
        </w:rPr>
        <w:t xml:space="preserve">ד"ה פסח) </w:t>
      </w:r>
      <w:r>
        <w:rPr>
          <w:rFonts w:hint="cs"/>
          <w:rtl/>
        </w:rPr>
        <w:t xml:space="preserve">דדברי </w:t>
      </w:r>
      <w:r w:rsidRPr="00B91FA1">
        <w:rPr>
          <w:rStyle w:val="af9"/>
          <w:rFonts w:hint="cs"/>
          <w:rtl/>
        </w:rPr>
        <w:t>רש"י לקמן</w:t>
      </w:r>
      <w:r>
        <w:rPr>
          <w:rFonts w:hint="cs"/>
          <w:rtl/>
        </w:rPr>
        <w:t xml:space="preserve"> סותרים לדבריו במסקנת סוגיין.</w:t>
      </w:r>
    </w:p>
    <w:p w14:paraId="748786ED" w14:textId="77777777" w:rsidR="009A2997" w:rsidRDefault="009A2997" w:rsidP="006D6D32">
      <w:pPr>
        <w:pStyle w:val="a3"/>
        <w:rPr>
          <w:rtl/>
        </w:rPr>
      </w:pPr>
      <w:bookmarkStart w:id="7651" w:name="_Toc528615465"/>
      <w:bookmarkStart w:id="7652" w:name="_Toc528712457"/>
      <w:bookmarkStart w:id="7653" w:name="_Toc528777117"/>
      <w:bookmarkStart w:id="7654" w:name="_Toc528789677"/>
      <w:bookmarkStart w:id="7655" w:name="_Toc19389953"/>
      <w:bookmarkStart w:id="7656" w:name="_Toc19393450"/>
      <w:r>
        <w:rPr>
          <w:rFonts w:hint="cs"/>
          <w:rtl/>
        </w:rPr>
        <w:t>דברי הר"ן דרובא דליתא קמן נלמד מפרה אדומה</w:t>
      </w:r>
      <w:bookmarkEnd w:id="7651"/>
      <w:bookmarkEnd w:id="7652"/>
      <w:bookmarkEnd w:id="7653"/>
      <w:bookmarkEnd w:id="7654"/>
      <w:bookmarkEnd w:id="7655"/>
      <w:bookmarkEnd w:id="7656"/>
    </w:p>
    <w:p w14:paraId="0E502950" w14:textId="77777777" w:rsidR="009A2997" w:rsidRDefault="009A2997" w:rsidP="00223668">
      <w:pPr>
        <w:pStyle w:val="a0"/>
        <w:rPr>
          <w:rtl/>
        </w:rPr>
      </w:pPr>
      <w:bookmarkStart w:id="7657" w:name="_Ref528316209"/>
      <w:r w:rsidRPr="0009616E">
        <w:rPr>
          <w:rStyle w:val="af9"/>
          <w:rFonts w:hint="cs"/>
          <w:rtl/>
        </w:rPr>
        <w:t>והר"ן על הרי"ף</w:t>
      </w:r>
      <w:r>
        <w:rPr>
          <w:rFonts w:hint="cs"/>
          <w:rtl/>
        </w:rPr>
        <w:t xml:space="preserve"> </w:t>
      </w:r>
      <w:r w:rsidRPr="0009616E">
        <w:rPr>
          <w:rStyle w:val="af7"/>
          <w:rFonts w:eastAsia="Guttman Hodes" w:hint="cs"/>
          <w:rtl/>
        </w:rPr>
        <w:t>(ג. מדפי הרי"</w:t>
      </w:r>
      <w:r>
        <w:rPr>
          <w:rStyle w:val="af7"/>
          <w:rFonts w:eastAsia="Guttman Hodes" w:hint="cs"/>
          <w:rtl/>
        </w:rPr>
        <w:t xml:space="preserve">ף ריש </w:t>
      </w:r>
      <w:r w:rsidRPr="0009616E">
        <w:rPr>
          <w:rStyle w:val="af7"/>
          <w:rFonts w:eastAsia="Guttman Hodes" w:hint="cs"/>
          <w:rtl/>
        </w:rPr>
        <w:t xml:space="preserve">ד"ה גרסי') </w:t>
      </w:r>
      <w:r>
        <w:rPr>
          <w:rFonts w:hint="cs"/>
          <w:rtl/>
        </w:rPr>
        <w:t xml:space="preserve">כתב דבמסקנת הסוגיא </w:t>
      </w:r>
      <w:r w:rsidRPr="0009616E">
        <w:rPr>
          <w:rStyle w:val="af7"/>
          <w:rFonts w:eastAsia="Guttman Hodes" w:hint="cs"/>
          <w:rtl/>
        </w:rPr>
        <w:t xml:space="preserve">(יב.) </w:t>
      </w:r>
      <w:r>
        <w:rPr>
          <w:rFonts w:hint="cs"/>
          <w:rtl/>
        </w:rPr>
        <w:t xml:space="preserve">מבואר דילפינן מפרה אדומה דאזלינן בתר הרוב אף במקום שאפשר לבדוק, והוסיף </w:t>
      </w:r>
      <w:r w:rsidRPr="0009616E">
        <w:rPr>
          <w:rStyle w:val="af9"/>
          <w:rFonts w:hint="cs"/>
          <w:rtl/>
        </w:rPr>
        <w:t>הר"ן</w:t>
      </w:r>
      <w:r w:rsidRPr="00DE02F7">
        <w:rPr>
          <w:rStyle w:val="af9"/>
          <w:rFonts w:hint="cs"/>
          <w:rtl/>
        </w:rPr>
        <w:t xml:space="preserve"> </w:t>
      </w:r>
      <w:r w:rsidRPr="0009616E">
        <w:rPr>
          <w:rStyle w:val="af9"/>
          <w:rFonts w:hint="cs"/>
          <w:rtl/>
        </w:rPr>
        <w:t>על הרי"ף</w:t>
      </w:r>
      <w:r>
        <w:rPr>
          <w:rFonts w:hint="cs"/>
          <w:rtl/>
        </w:rPr>
        <w:t xml:space="preserve"> </w:t>
      </w:r>
      <w:r w:rsidRPr="00DE02F7">
        <w:rPr>
          <w:rStyle w:val="af7"/>
          <w:rFonts w:eastAsia="Guttman Hodes" w:hint="cs"/>
          <w:rtl/>
        </w:rPr>
        <w:t>(בהמשך דבריו)</w:t>
      </w:r>
      <w:r>
        <w:rPr>
          <w:rFonts w:hint="cs"/>
          <w:rtl/>
        </w:rPr>
        <w:t xml:space="preserve"> דסמכינן על הרוב אפילו בבדיקת ריאה אם אינה לפנינו, דהא בפרה אדומה א"א לבדוק, ואפ"ה מעמידים אותה בחזקת שהיא כשירה.</w:t>
      </w:r>
      <w:r w:rsidRPr="00D94F0F">
        <w:rPr>
          <w:rFonts w:hint="cs"/>
          <w:rtl/>
        </w:rPr>
        <w:t xml:space="preserve"> </w:t>
      </w:r>
      <w:r w:rsidRPr="00D94F0F">
        <w:rPr>
          <w:rStyle w:val="af9"/>
          <w:rFonts w:hint="cs"/>
          <w:rtl/>
        </w:rPr>
        <w:t>ובר"ן בחי' בב"ב</w:t>
      </w:r>
      <w:r>
        <w:rPr>
          <w:rFonts w:hint="cs"/>
          <w:rtl/>
        </w:rPr>
        <w:t xml:space="preserve"> </w:t>
      </w:r>
      <w:r w:rsidRPr="00D94F0F">
        <w:rPr>
          <w:rStyle w:val="af7"/>
          <w:rFonts w:eastAsia="Guttman Hodes" w:hint="cs"/>
          <w:rtl/>
        </w:rPr>
        <w:t>(כג. ד"ה א"ר חנינא)</w:t>
      </w:r>
      <w:r>
        <w:rPr>
          <w:rFonts w:hint="cs"/>
          <w:rtl/>
        </w:rPr>
        <w:t xml:space="preserve"> כתב דרובא דליתא קמן ילפינן לה בסוגיין מעדים זוממין.</w:t>
      </w:r>
    </w:p>
    <w:p w14:paraId="344D953D" w14:textId="77777777" w:rsidR="009A2997" w:rsidRPr="0038747B" w:rsidRDefault="009A2997" w:rsidP="006D6D32">
      <w:pPr>
        <w:pStyle w:val="a3"/>
      </w:pPr>
      <w:bookmarkStart w:id="7658" w:name="_Toc528615466"/>
      <w:bookmarkStart w:id="7659" w:name="_Toc528712458"/>
      <w:bookmarkStart w:id="7660" w:name="_Toc528777118"/>
      <w:bookmarkStart w:id="7661" w:name="_Toc528789678"/>
      <w:bookmarkStart w:id="7662" w:name="_Toc19389954"/>
      <w:bookmarkStart w:id="7663" w:name="_Toc19393451"/>
      <w:r>
        <w:rPr>
          <w:rFonts w:hint="cs"/>
          <w:rtl/>
        </w:rPr>
        <w:t>ביאור השעה"מ בר"ן דדחיית הגמ' למסקנא היא רק על דברי רב אשי דדלמא במקום נקב שחיט</w:t>
      </w:r>
      <w:bookmarkEnd w:id="7658"/>
      <w:bookmarkEnd w:id="7659"/>
      <w:bookmarkEnd w:id="7660"/>
      <w:bookmarkEnd w:id="7661"/>
      <w:bookmarkEnd w:id="7662"/>
      <w:bookmarkEnd w:id="7663"/>
    </w:p>
    <w:p w14:paraId="1F632153" w14:textId="77777777" w:rsidR="009A2997" w:rsidRPr="0009616E" w:rsidRDefault="009A2997" w:rsidP="00223668">
      <w:pPr>
        <w:pStyle w:val="a0"/>
        <w:rPr>
          <w:rtl/>
        </w:rPr>
      </w:pPr>
      <w:r>
        <w:rPr>
          <w:rFonts w:hint="cs"/>
          <w:rtl/>
        </w:rPr>
        <w:t>וכתב</w:t>
      </w:r>
      <w:r w:rsidRPr="00172F62">
        <w:rPr>
          <w:rStyle w:val="af9"/>
          <w:rFonts w:hint="cs"/>
          <w:rtl/>
        </w:rPr>
        <w:t xml:space="preserve"> </w:t>
      </w:r>
      <w:r w:rsidRPr="0038747B">
        <w:rPr>
          <w:rStyle w:val="af9"/>
          <w:rFonts w:hint="cs"/>
          <w:rtl/>
        </w:rPr>
        <w:t>השעה"מ</w:t>
      </w:r>
      <w:r>
        <w:rPr>
          <w:rFonts w:hint="cs"/>
          <w:rtl/>
        </w:rPr>
        <w:t xml:space="preserve"> </w:t>
      </w:r>
      <w:r w:rsidRPr="0038747B">
        <w:rPr>
          <w:rStyle w:val="af7"/>
          <w:rFonts w:eastAsia="Guttman Hodes" w:hint="cs"/>
          <w:rtl/>
        </w:rPr>
        <w:t>(טומאת מת י"ב ד"ה ואלם חזות)</w:t>
      </w:r>
      <w:r>
        <w:rPr>
          <w:rFonts w:hint="cs"/>
          <w:rtl/>
        </w:rPr>
        <w:t xml:space="preserve"> </w:t>
      </w:r>
      <w:r w:rsidRPr="0038747B">
        <w:rPr>
          <w:rStyle w:val="af9"/>
          <w:rFonts w:hint="cs"/>
          <w:rtl/>
        </w:rPr>
        <w:t>דהר"ן</w:t>
      </w:r>
      <w:r>
        <w:rPr>
          <w:rFonts w:hint="cs"/>
          <w:rtl/>
        </w:rPr>
        <w:t xml:space="preserve"> פליג על </w:t>
      </w:r>
      <w:r w:rsidRPr="0038747B">
        <w:rPr>
          <w:rStyle w:val="af9"/>
          <w:rFonts w:hint="cs"/>
          <w:rtl/>
        </w:rPr>
        <w:t>רש"י</w:t>
      </w:r>
      <w:r>
        <w:rPr>
          <w:rFonts w:hint="cs"/>
          <w:rtl/>
        </w:rPr>
        <w:t xml:space="preserve"> וס"ל דרובא דליתא קמן נלמד מפרה אדומה ולא מהלכה למשה מסיני, וביאר</w:t>
      </w:r>
      <w:r w:rsidRPr="00172F62">
        <w:rPr>
          <w:rStyle w:val="af9"/>
          <w:rFonts w:hint="cs"/>
          <w:rtl/>
        </w:rPr>
        <w:t xml:space="preserve"> </w:t>
      </w:r>
      <w:r w:rsidRPr="0038747B">
        <w:rPr>
          <w:rStyle w:val="af9"/>
          <w:rFonts w:hint="cs"/>
          <w:rtl/>
        </w:rPr>
        <w:t>השעה"מ</w:t>
      </w:r>
      <w:r>
        <w:rPr>
          <w:rFonts w:hint="cs"/>
          <w:rtl/>
        </w:rPr>
        <w:t xml:space="preserve"> </w:t>
      </w:r>
      <w:r w:rsidRPr="00DC404A">
        <w:rPr>
          <w:rFonts w:hint="cs"/>
          <w:rtl/>
        </w:rPr>
        <w:t xml:space="preserve">דלדעת </w:t>
      </w:r>
      <w:r w:rsidRPr="0038747B">
        <w:rPr>
          <w:rStyle w:val="af9"/>
          <w:rFonts w:hint="cs"/>
          <w:rtl/>
        </w:rPr>
        <w:t>הר"ן</w:t>
      </w:r>
      <w:r>
        <w:rPr>
          <w:rFonts w:hint="cs"/>
          <w:rtl/>
        </w:rPr>
        <w:t xml:space="preserve"> הגמ' במסקנא דוחה רק את דברי רב אשי לקמן </w:t>
      </w:r>
      <w:r w:rsidRPr="004A4059">
        <w:rPr>
          <w:rStyle w:val="af7"/>
          <w:rFonts w:eastAsia="Guttman Hodes" w:hint="cs"/>
          <w:rtl/>
        </w:rPr>
        <w:t>(</w:t>
      </w:r>
      <w:r>
        <w:rPr>
          <w:rStyle w:val="af7"/>
          <w:rFonts w:eastAsia="Guttman Hodes" w:hint="cs"/>
          <w:rtl/>
        </w:rPr>
        <w:t>יא:</w:t>
      </w:r>
      <w:r w:rsidRPr="004A4059">
        <w:rPr>
          <w:rStyle w:val="af7"/>
          <w:rFonts w:eastAsia="Guttman Hodes" w:hint="cs"/>
          <w:rtl/>
        </w:rPr>
        <w:t>)</w:t>
      </w:r>
      <w:r>
        <w:rPr>
          <w:rFonts w:hint="cs"/>
          <w:rtl/>
        </w:rPr>
        <w:t xml:space="preserve"> דדלמא במקום נקב שחיט, דזהו דבר שא"א לבדוק, אבל בשאר הילפותות חשיב שאפשר לבדוק וילפינן מינייהו.</w:t>
      </w:r>
      <w:bookmarkEnd w:id="7657"/>
    </w:p>
    <w:p w14:paraId="390230AA" w14:textId="77777777" w:rsidR="009A2997" w:rsidRDefault="009A2997" w:rsidP="006D6D32">
      <w:pPr>
        <w:pStyle w:val="a3"/>
        <w:rPr>
          <w:rtl/>
        </w:rPr>
      </w:pPr>
      <w:bookmarkStart w:id="7664" w:name="_Toc528615467"/>
      <w:bookmarkStart w:id="7665" w:name="_Toc528712459"/>
      <w:bookmarkStart w:id="7666" w:name="_Toc528777119"/>
      <w:bookmarkStart w:id="7667" w:name="_Toc528789679"/>
      <w:bookmarkStart w:id="7668" w:name="_Toc19389955"/>
      <w:bookmarkStart w:id="7669" w:name="_Toc19393452"/>
      <w:r>
        <w:rPr>
          <w:rFonts w:hint="cs"/>
          <w:rtl/>
        </w:rPr>
        <w:t>דברי החת"ס דרבינו חיים ס"ל כהר"ן דילפינן רובא דליתא קמן מפרה אדומה</w:t>
      </w:r>
      <w:bookmarkEnd w:id="7664"/>
      <w:bookmarkEnd w:id="7665"/>
      <w:bookmarkEnd w:id="7666"/>
      <w:bookmarkEnd w:id="7667"/>
      <w:bookmarkEnd w:id="7668"/>
      <w:bookmarkEnd w:id="7669"/>
    </w:p>
    <w:p w14:paraId="2411B67D" w14:textId="77777777" w:rsidR="009A2997" w:rsidRDefault="009A2997" w:rsidP="00223668">
      <w:pPr>
        <w:pStyle w:val="a0"/>
        <w:rPr>
          <w:rtl/>
        </w:rPr>
      </w:pPr>
      <w:r>
        <w:rPr>
          <w:rFonts w:hint="cs"/>
          <w:rtl/>
        </w:rPr>
        <w:t xml:space="preserve">וכתב </w:t>
      </w:r>
      <w:r w:rsidRPr="00D452D3">
        <w:rPr>
          <w:rStyle w:val="af9"/>
          <w:rFonts w:hint="cs"/>
          <w:rtl/>
        </w:rPr>
        <w:t xml:space="preserve">החת"ס </w:t>
      </w:r>
      <w:r w:rsidRPr="004A4059">
        <w:rPr>
          <w:rStyle w:val="af7"/>
          <w:rFonts w:eastAsia="Guttman Hodes" w:hint="cs"/>
          <w:rtl/>
        </w:rPr>
        <w:t>(ד"ה ולכאורה קשה)</w:t>
      </w:r>
      <w:r>
        <w:rPr>
          <w:rFonts w:hint="cs"/>
          <w:rtl/>
        </w:rPr>
        <w:t xml:space="preserve"> דכ</w:t>
      </w:r>
      <w:r w:rsidRPr="0009616E">
        <w:rPr>
          <w:rFonts w:hint="cs"/>
          <w:rtl/>
        </w:rPr>
        <w:t xml:space="preserve">דעת </w:t>
      </w:r>
      <w:r w:rsidRPr="0009616E">
        <w:rPr>
          <w:rStyle w:val="af9"/>
          <w:rFonts w:hint="cs"/>
          <w:rtl/>
        </w:rPr>
        <w:t xml:space="preserve">הר"ן </w:t>
      </w:r>
      <w:r w:rsidRPr="0009616E">
        <w:rPr>
          <w:rFonts w:hint="cs"/>
          <w:rtl/>
        </w:rPr>
        <w:t>מבואר מדברי</w:t>
      </w:r>
      <w:r w:rsidRPr="00D452D3">
        <w:rPr>
          <w:rStyle w:val="af9"/>
          <w:rFonts w:hint="cs"/>
          <w:rtl/>
        </w:rPr>
        <w:t xml:space="preserve"> התוס' </w:t>
      </w:r>
      <w:r w:rsidRPr="004A4059">
        <w:rPr>
          <w:rStyle w:val="af7"/>
          <w:rFonts w:eastAsia="Guttman Hodes" w:hint="cs"/>
          <w:rtl/>
        </w:rPr>
        <w:t xml:space="preserve">(עי' אות </w:t>
      </w:r>
      <w:r w:rsidRPr="004A4059">
        <w:rPr>
          <w:rStyle w:val="af7"/>
          <w:rFonts w:eastAsia="Guttman Hodes"/>
          <w:rtl/>
        </w:rPr>
        <w:fldChar w:fldCharType="begin"/>
      </w:r>
      <w:r w:rsidRPr="004A4059">
        <w:rPr>
          <w:rStyle w:val="af7"/>
          <w:rFonts w:eastAsia="Guttman Hodes"/>
          <w:rtl/>
        </w:rPr>
        <w:instrText xml:space="preserve"> </w:instrText>
      </w:r>
      <w:r w:rsidRPr="004A4059">
        <w:rPr>
          <w:rStyle w:val="af7"/>
          <w:rFonts w:eastAsia="Guttman Hodes" w:hint="cs"/>
        </w:rPr>
        <w:instrText>REF</w:instrText>
      </w:r>
      <w:r w:rsidRPr="004A4059">
        <w:rPr>
          <w:rStyle w:val="af7"/>
          <w:rFonts w:eastAsia="Guttman Hodes" w:hint="cs"/>
          <w:rtl/>
        </w:rPr>
        <w:instrText xml:space="preserve"> _</w:instrText>
      </w:r>
      <w:r w:rsidRPr="004A4059">
        <w:rPr>
          <w:rStyle w:val="af7"/>
          <w:rFonts w:eastAsia="Guttman Hodes" w:hint="cs"/>
        </w:rPr>
        <w:instrText>Ref528171682 \r \h</w:instrText>
      </w:r>
      <w:r w:rsidRPr="004A4059">
        <w:rPr>
          <w:rStyle w:val="af7"/>
          <w:rFonts w:eastAsia="Guttman Hodes"/>
          <w:rtl/>
        </w:rPr>
        <w:instrText xml:space="preserve"> </w:instrText>
      </w:r>
      <w:r w:rsidRPr="004A4059">
        <w:rPr>
          <w:rStyle w:val="af7"/>
          <w:rFonts w:eastAsia="Guttman Hodes"/>
          <w:rtl/>
        </w:rPr>
      </w:r>
      <w:r w:rsidRPr="004A4059">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4A4059">
        <w:rPr>
          <w:rStyle w:val="af7"/>
          <w:rFonts w:eastAsia="Guttman Hodes"/>
          <w:rtl/>
        </w:rPr>
        <w:fldChar w:fldCharType="end"/>
      </w:r>
      <w:r>
        <w:rPr>
          <w:rFonts w:hint="cs"/>
          <w:rtl/>
        </w:rPr>
        <w:t xml:space="preserve"> בשם </w:t>
      </w:r>
      <w:r w:rsidRPr="00D452D3">
        <w:rPr>
          <w:rStyle w:val="af9"/>
          <w:rFonts w:hint="cs"/>
          <w:rtl/>
        </w:rPr>
        <w:t xml:space="preserve">רבינו חיים </w:t>
      </w:r>
      <w:r>
        <w:rPr>
          <w:rFonts w:hint="cs"/>
          <w:rtl/>
        </w:rPr>
        <w:t xml:space="preserve">מבואר דלמסקנא ילפינן מפרה אדומה ומשאר הילפותות, מהא דביאר דילפינן מפרה אדומה דרובא וחזקה רובא עדיף, וביאר </w:t>
      </w:r>
      <w:r w:rsidRPr="00D452D3">
        <w:rPr>
          <w:rStyle w:val="af9"/>
          <w:rFonts w:hint="cs"/>
          <w:rtl/>
        </w:rPr>
        <w:t xml:space="preserve">החת"ס </w:t>
      </w:r>
      <w:r>
        <w:rPr>
          <w:rFonts w:hint="cs"/>
          <w:rtl/>
        </w:rPr>
        <w:t xml:space="preserve">דס"ל </w:t>
      </w:r>
      <w:r w:rsidRPr="00D452D3">
        <w:rPr>
          <w:rStyle w:val="af9"/>
          <w:rFonts w:hint="cs"/>
          <w:rtl/>
        </w:rPr>
        <w:t xml:space="preserve">לרבינו חיים </w:t>
      </w:r>
      <w:r>
        <w:rPr>
          <w:rFonts w:hint="cs"/>
          <w:rtl/>
        </w:rPr>
        <w:t xml:space="preserve">כדביאר </w:t>
      </w:r>
      <w:r w:rsidRPr="0038747B">
        <w:rPr>
          <w:rStyle w:val="af9"/>
          <w:rFonts w:hint="cs"/>
          <w:rtl/>
        </w:rPr>
        <w:t>השעה"מ</w:t>
      </w:r>
      <w:r>
        <w:rPr>
          <w:rFonts w:hint="cs"/>
          <w:rtl/>
        </w:rPr>
        <w:t xml:space="preserve"> </w:t>
      </w:r>
      <w:r w:rsidRPr="0038747B">
        <w:rPr>
          <w:rStyle w:val="af7"/>
          <w:rFonts w:eastAsia="Guttman Hodes" w:hint="cs"/>
          <w:rtl/>
        </w:rPr>
        <w:t xml:space="preserve">(עי' אות </w:t>
      </w:r>
      <w:r w:rsidRPr="0038747B">
        <w:rPr>
          <w:rStyle w:val="af7"/>
          <w:rFonts w:eastAsia="Guttman Hodes"/>
          <w:rtl/>
        </w:rPr>
        <w:fldChar w:fldCharType="begin"/>
      </w:r>
      <w:r w:rsidRPr="0038747B">
        <w:rPr>
          <w:rStyle w:val="af7"/>
          <w:rFonts w:eastAsia="Guttman Hodes"/>
          <w:rtl/>
        </w:rPr>
        <w:instrText xml:space="preserve"> </w:instrText>
      </w:r>
      <w:r w:rsidRPr="0038747B">
        <w:rPr>
          <w:rStyle w:val="af7"/>
          <w:rFonts w:eastAsia="Guttman Hodes" w:hint="cs"/>
        </w:rPr>
        <w:instrText>REF</w:instrText>
      </w:r>
      <w:r w:rsidRPr="0038747B">
        <w:rPr>
          <w:rStyle w:val="af7"/>
          <w:rFonts w:eastAsia="Guttman Hodes" w:hint="cs"/>
          <w:rtl/>
        </w:rPr>
        <w:instrText xml:space="preserve"> _</w:instrText>
      </w:r>
      <w:r w:rsidRPr="0038747B">
        <w:rPr>
          <w:rStyle w:val="af7"/>
          <w:rFonts w:eastAsia="Guttman Hodes" w:hint="cs"/>
        </w:rPr>
        <w:instrText>Ref528316209 \r \h</w:instrText>
      </w:r>
      <w:r w:rsidRPr="0038747B">
        <w:rPr>
          <w:rStyle w:val="af7"/>
          <w:rFonts w:eastAsia="Guttman Hodes"/>
          <w:rtl/>
        </w:rPr>
        <w:instrText xml:space="preserve"> </w:instrText>
      </w:r>
      <w:r w:rsidRPr="0038747B">
        <w:rPr>
          <w:rStyle w:val="af7"/>
          <w:rFonts w:eastAsia="Guttman Hodes"/>
          <w:rtl/>
        </w:rPr>
      </w:r>
      <w:r w:rsidRPr="0038747B">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38747B">
        <w:rPr>
          <w:rStyle w:val="af7"/>
          <w:rFonts w:eastAsia="Guttman Hodes"/>
          <w:rtl/>
        </w:rPr>
        <w:fldChar w:fldCharType="end"/>
      </w:r>
      <w:r>
        <w:rPr>
          <w:rFonts w:hint="cs"/>
          <w:rtl/>
        </w:rPr>
        <w:t xml:space="preserve"> בדעת </w:t>
      </w:r>
      <w:r w:rsidRPr="0038747B">
        <w:rPr>
          <w:rStyle w:val="af9"/>
          <w:rFonts w:hint="cs"/>
          <w:rtl/>
        </w:rPr>
        <w:t>הר"ן</w:t>
      </w:r>
      <w:r>
        <w:rPr>
          <w:rFonts w:hint="cs"/>
          <w:rtl/>
        </w:rPr>
        <w:t xml:space="preserve"> דלמסקנא הגמ' דוחה רק את דברי רב אשי לקמן.</w:t>
      </w:r>
    </w:p>
    <w:p w14:paraId="56928CE3" w14:textId="77777777" w:rsidR="009A2997" w:rsidRDefault="009A2997" w:rsidP="006D6D32">
      <w:pPr>
        <w:pStyle w:val="a3"/>
        <w:rPr>
          <w:rtl/>
        </w:rPr>
      </w:pPr>
      <w:bookmarkStart w:id="7670" w:name="_Toc528615468"/>
      <w:bookmarkStart w:id="7671" w:name="_Toc528712460"/>
      <w:bookmarkStart w:id="7672" w:name="_Toc528777120"/>
      <w:bookmarkStart w:id="7673" w:name="_Toc528789680"/>
      <w:bookmarkStart w:id="7674" w:name="_Toc19389956"/>
      <w:bookmarkStart w:id="7675" w:name="_Toc19393453"/>
      <w:r>
        <w:rPr>
          <w:rFonts w:hint="cs"/>
          <w:rtl/>
        </w:rPr>
        <w:t>דברי הרשב"א בב"ב דילפינן רובא דליתא קמן מפסח ושעיר ועגלה ומכה אביו ושחיטה</w:t>
      </w:r>
      <w:bookmarkEnd w:id="7670"/>
      <w:bookmarkEnd w:id="7671"/>
      <w:bookmarkEnd w:id="7672"/>
      <w:bookmarkEnd w:id="7673"/>
      <w:bookmarkEnd w:id="7674"/>
      <w:bookmarkEnd w:id="7675"/>
    </w:p>
    <w:p w14:paraId="4F33B223" w14:textId="77777777" w:rsidR="009A2997" w:rsidRDefault="009A2997" w:rsidP="00223668">
      <w:pPr>
        <w:pStyle w:val="a0"/>
        <w:rPr>
          <w:rStyle w:val="afb"/>
          <w:rtl/>
        </w:rPr>
      </w:pPr>
      <w:r>
        <w:rPr>
          <w:rFonts w:hint="cs"/>
          <w:rtl/>
        </w:rPr>
        <w:t xml:space="preserve">וע"ע בדברי </w:t>
      </w:r>
      <w:r w:rsidRPr="004E71C2">
        <w:rPr>
          <w:rStyle w:val="af9"/>
          <w:rFonts w:hint="cs"/>
          <w:rtl/>
        </w:rPr>
        <w:t>הרשב"א בב"ב</w:t>
      </w:r>
      <w:r>
        <w:rPr>
          <w:rFonts w:hint="cs"/>
          <w:rtl/>
        </w:rPr>
        <w:t xml:space="preserve"> </w:t>
      </w:r>
      <w:r w:rsidRPr="004E71C2">
        <w:rPr>
          <w:rStyle w:val="af7"/>
          <w:rFonts w:eastAsia="Guttman Hodes" w:hint="cs"/>
          <w:rtl/>
        </w:rPr>
        <w:t>(כד.)</w:t>
      </w:r>
      <w:r>
        <w:rPr>
          <w:rFonts w:hint="cs"/>
          <w:rtl/>
        </w:rPr>
        <w:t xml:space="preserve"> דהקשה על הא דברי רבא בגמ' שם דשמע מינה מדברי רבי חייא דרובא דאו', דהא דין רוב יש לו ילפותא מפורשת, דרובא דאיתא קמן ילפינן בסוגיין מאחרי רבים להטות, ורובא דליתא קמן ילפינן לה בסוגיין מפסח, ומשעיר המשתלח, ומעגלה ערופה, וממכה אביו, ומשחיטה עצמה. </w:t>
      </w:r>
      <w:r w:rsidRPr="004B390A">
        <w:rPr>
          <w:rStyle w:val="afb"/>
          <w:rFonts w:hint="cs"/>
          <w:rtl/>
        </w:rPr>
        <w:t>[ומ</w:t>
      </w:r>
      <w:r>
        <w:rPr>
          <w:rStyle w:val="afb"/>
          <w:rFonts w:hint="cs"/>
          <w:rtl/>
        </w:rPr>
        <w:t>שמע</w:t>
      </w:r>
      <w:r w:rsidRPr="004B390A">
        <w:rPr>
          <w:rStyle w:val="afb"/>
          <w:rFonts w:hint="cs"/>
          <w:rtl/>
        </w:rPr>
        <w:t xml:space="preserve"> דס"ל דלמסקנא ילפינן לה מקראי ואינו הלמ"מ</w:t>
      </w:r>
      <w:r>
        <w:rPr>
          <w:rStyle w:val="afb"/>
          <w:rFonts w:hint="cs"/>
          <w:rtl/>
        </w:rPr>
        <w:t>, אך יתכן דהתם איירי דוקא בלא אפשר</w:t>
      </w:r>
      <w:r w:rsidRPr="004B390A">
        <w:rPr>
          <w:rStyle w:val="afb"/>
          <w:rFonts w:hint="cs"/>
          <w:rtl/>
        </w:rPr>
        <w:t>].</w:t>
      </w:r>
    </w:p>
    <w:p w14:paraId="0D45C21C" w14:textId="77777777" w:rsidR="009A2997" w:rsidRDefault="009A2997" w:rsidP="006D6D32">
      <w:pPr>
        <w:pStyle w:val="a3"/>
        <w:rPr>
          <w:rtl/>
        </w:rPr>
      </w:pPr>
      <w:bookmarkStart w:id="7676" w:name="_Toc528615469"/>
      <w:bookmarkStart w:id="7677" w:name="_Toc528712461"/>
      <w:bookmarkStart w:id="7678" w:name="_Toc528777121"/>
      <w:bookmarkStart w:id="7679" w:name="_Toc528789681"/>
      <w:bookmarkStart w:id="7680" w:name="_Toc19389957"/>
      <w:bookmarkStart w:id="7681" w:name="_Toc19393454"/>
      <w:r>
        <w:rPr>
          <w:rFonts w:hint="cs"/>
          <w:rtl/>
        </w:rPr>
        <w:t>דברי התוס' בב"ב דהגמ' בב"ב צריכה לומר דרובא דליתא קמן דאו' דהא לא ילפינן לה מסנהדרין</w:t>
      </w:r>
      <w:bookmarkEnd w:id="7676"/>
      <w:bookmarkEnd w:id="7677"/>
      <w:bookmarkEnd w:id="7678"/>
      <w:bookmarkEnd w:id="7679"/>
      <w:bookmarkEnd w:id="7680"/>
      <w:bookmarkEnd w:id="7681"/>
    </w:p>
    <w:p w14:paraId="48345409" w14:textId="77777777" w:rsidR="009A2997" w:rsidRPr="00AC405B" w:rsidRDefault="009A2997" w:rsidP="00223668">
      <w:pPr>
        <w:pStyle w:val="a0"/>
        <w:rPr>
          <w:rStyle w:val="afb"/>
          <w:rtl/>
        </w:rPr>
      </w:pPr>
      <w:r w:rsidRPr="00532934">
        <w:rPr>
          <w:rStyle w:val="af9"/>
          <w:rFonts w:hint="cs"/>
          <w:rtl/>
        </w:rPr>
        <w:t>ובתוס' בב"ב</w:t>
      </w:r>
      <w:r>
        <w:rPr>
          <w:rFonts w:hint="cs"/>
          <w:rtl/>
        </w:rPr>
        <w:t xml:space="preserve"> </w:t>
      </w:r>
      <w:r w:rsidRPr="00532934">
        <w:rPr>
          <w:rStyle w:val="af7"/>
          <w:rFonts w:eastAsia="Guttman Hodes" w:hint="cs"/>
          <w:rtl/>
        </w:rPr>
        <w:t xml:space="preserve">(כד. ד"ה וש"מ, בהג"ה) </w:t>
      </w:r>
      <w:r>
        <w:rPr>
          <w:rFonts w:hint="cs"/>
          <w:rtl/>
        </w:rPr>
        <w:t>כתבו דכוונת רבא לומר דרובא דליתא קמן הוא מדאו', דהא רובא דאיתא קמן ילפינן לה בסוגיין מאחרי רבים להטות</w:t>
      </w:r>
      <w:r>
        <w:rPr>
          <w:rStyle w:val="af1"/>
          <w:rtl/>
        </w:rPr>
        <w:footnoteReference w:id="47"/>
      </w:r>
      <w:r w:rsidRPr="00AC405B">
        <w:rPr>
          <w:rStyle w:val="afb"/>
          <w:rFonts w:hint="cs"/>
          <w:rtl/>
        </w:rPr>
        <w:t xml:space="preserve">. [וכתב </w:t>
      </w:r>
      <w:r w:rsidRPr="00AC405B">
        <w:rPr>
          <w:rStyle w:val="affa"/>
          <w:rFonts w:hint="cs"/>
          <w:rtl/>
        </w:rPr>
        <w:t>בהג' פורת יוסף</w:t>
      </w:r>
      <w:r w:rsidRPr="00AC405B">
        <w:rPr>
          <w:rStyle w:val="afb"/>
          <w:rFonts w:hint="cs"/>
          <w:rtl/>
        </w:rPr>
        <w:t xml:space="preserve"> </w:t>
      </w:r>
      <w:r w:rsidRPr="00AC405B">
        <w:rPr>
          <w:rStyle w:val="aff6"/>
          <w:rFonts w:hint="cs"/>
          <w:rtl/>
        </w:rPr>
        <w:t>(ב"ב כד. על תוד"ה וש"מ)</w:t>
      </w:r>
      <w:r w:rsidRPr="00AC405B">
        <w:rPr>
          <w:rStyle w:val="afb"/>
          <w:rFonts w:hint="cs"/>
          <w:rtl/>
        </w:rPr>
        <w:t xml:space="preserve"> דס"ל </w:t>
      </w:r>
      <w:r w:rsidRPr="00CB22B7">
        <w:rPr>
          <w:rStyle w:val="affa"/>
          <w:rFonts w:hint="cs"/>
          <w:rtl/>
        </w:rPr>
        <w:t>להתוס'</w:t>
      </w:r>
      <w:r>
        <w:rPr>
          <w:rStyle w:val="affa"/>
          <w:rFonts w:hint="cs"/>
          <w:rtl/>
        </w:rPr>
        <w:t xml:space="preserve"> בב"ב</w:t>
      </w:r>
      <w:r w:rsidRPr="00CB22B7">
        <w:rPr>
          <w:rStyle w:val="affa"/>
          <w:rFonts w:hint="cs"/>
          <w:rtl/>
        </w:rPr>
        <w:t xml:space="preserve"> כביאור הב' ברש"י</w:t>
      </w:r>
      <w:r w:rsidRPr="00AC405B">
        <w:rPr>
          <w:rStyle w:val="afb"/>
          <w:rFonts w:hint="cs"/>
          <w:rtl/>
        </w:rPr>
        <w:t xml:space="preserve"> </w:t>
      </w:r>
      <w:r w:rsidRPr="00CB22B7">
        <w:rPr>
          <w:rStyle w:val="aff6"/>
          <w:rFonts w:hint="cs"/>
          <w:rtl/>
        </w:rPr>
        <w:t xml:space="preserve">(עי' אות </w:t>
      </w:r>
      <w:r w:rsidRPr="00CB22B7">
        <w:rPr>
          <w:rStyle w:val="aff6"/>
          <w:rtl/>
        </w:rPr>
        <w:fldChar w:fldCharType="begin"/>
      </w:r>
      <w:r w:rsidRPr="00CB22B7">
        <w:rPr>
          <w:rStyle w:val="aff6"/>
          <w:rtl/>
        </w:rPr>
        <w:instrText xml:space="preserve"> </w:instrText>
      </w:r>
      <w:r w:rsidRPr="00CB22B7">
        <w:rPr>
          <w:rStyle w:val="aff6"/>
          <w:rFonts w:hint="cs"/>
        </w:rPr>
        <w:instrText>REF</w:instrText>
      </w:r>
      <w:r w:rsidRPr="00CB22B7">
        <w:rPr>
          <w:rStyle w:val="aff6"/>
          <w:rFonts w:hint="cs"/>
          <w:rtl/>
        </w:rPr>
        <w:instrText xml:space="preserve"> _</w:instrText>
      </w:r>
      <w:r w:rsidRPr="00CB22B7">
        <w:rPr>
          <w:rStyle w:val="aff6"/>
          <w:rFonts w:hint="cs"/>
        </w:rPr>
        <w:instrText>Ref528318815 \r \h</w:instrText>
      </w:r>
      <w:r w:rsidRPr="00CB22B7">
        <w:rPr>
          <w:rStyle w:val="aff6"/>
          <w:rtl/>
        </w:rPr>
        <w:instrText xml:space="preserve"> </w:instrText>
      </w:r>
      <w:r w:rsidRPr="00CB22B7">
        <w:rPr>
          <w:rStyle w:val="aff6"/>
          <w:rtl/>
        </w:rPr>
      </w:r>
      <w:r w:rsidRPr="00CB22B7">
        <w:rPr>
          <w:rStyle w:val="aff6"/>
          <w:rtl/>
        </w:rPr>
        <w:fldChar w:fldCharType="separate"/>
      </w:r>
      <w:r w:rsidR="00345400">
        <w:rPr>
          <w:rStyle w:val="aff6"/>
          <w:cs/>
        </w:rPr>
        <w:t>‎</w:t>
      </w:r>
      <w:r w:rsidR="00345400">
        <w:rPr>
          <w:rStyle w:val="aff6"/>
          <w:rtl/>
        </w:rPr>
        <w:t>כה)</w:t>
      </w:r>
      <w:r w:rsidRPr="00CB22B7">
        <w:rPr>
          <w:rStyle w:val="aff6"/>
          <w:rtl/>
        </w:rPr>
        <w:fldChar w:fldCharType="end"/>
      </w:r>
      <w:r w:rsidRPr="00AC405B">
        <w:rPr>
          <w:rStyle w:val="afb"/>
          <w:rFonts w:hint="cs"/>
          <w:rtl/>
        </w:rPr>
        <w:t xml:space="preserve"> דרובא דליתא קמן ג"כ נלמד מאחרי רבים להטות דאין חילוק בין רובא דאיתא קמן, לרובא דליתא קמן, וזה כוונת רבא לומר דרובא דאו', דאילו </w:t>
      </w:r>
      <w:r w:rsidRPr="00CB22B7">
        <w:rPr>
          <w:rStyle w:val="affa"/>
          <w:rFonts w:hint="cs"/>
          <w:rtl/>
        </w:rPr>
        <w:t>לביאור הא' ברש"י</w:t>
      </w:r>
      <w:r w:rsidRPr="00AC405B">
        <w:rPr>
          <w:rStyle w:val="afb"/>
          <w:rFonts w:hint="cs"/>
          <w:rtl/>
        </w:rPr>
        <w:t xml:space="preserve"> </w:t>
      </w:r>
      <w:r w:rsidRPr="00AC405B">
        <w:rPr>
          <w:rStyle w:val="aff6"/>
          <w:rFonts w:hint="cs"/>
          <w:rtl/>
        </w:rPr>
        <w:t xml:space="preserve">(עי' </w:t>
      </w:r>
      <w:r w:rsidRPr="00CB22B7">
        <w:rPr>
          <w:rStyle w:val="aff6"/>
          <w:rFonts w:hint="cs"/>
          <w:rtl/>
        </w:rPr>
        <w:t xml:space="preserve">אות </w:t>
      </w:r>
      <w:r w:rsidRPr="00CB22B7">
        <w:rPr>
          <w:rStyle w:val="aff6"/>
          <w:rtl/>
        </w:rPr>
        <w:fldChar w:fldCharType="begin"/>
      </w:r>
      <w:r w:rsidRPr="00CB22B7">
        <w:rPr>
          <w:rStyle w:val="aff6"/>
          <w:rtl/>
        </w:rPr>
        <w:instrText xml:space="preserve"> </w:instrText>
      </w:r>
      <w:r w:rsidRPr="00CB22B7">
        <w:rPr>
          <w:rStyle w:val="aff6"/>
          <w:rFonts w:hint="cs"/>
        </w:rPr>
        <w:instrText>REF</w:instrText>
      </w:r>
      <w:r w:rsidRPr="00CB22B7">
        <w:rPr>
          <w:rStyle w:val="aff6"/>
          <w:rFonts w:hint="cs"/>
          <w:rtl/>
        </w:rPr>
        <w:instrText xml:space="preserve"> _</w:instrText>
      </w:r>
      <w:r w:rsidRPr="00CB22B7">
        <w:rPr>
          <w:rStyle w:val="aff6"/>
          <w:rFonts w:hint="cs"/>
        </w:rPr>
        <w:instrText>Ref528318822 \r \h</w:instrText>
      </w:r>
      <w:r w:rsidRPr="00CB22B7">
        <w:rPr>
          <w:rStyle w:val="aff6"/>
          <w:rtl/>
        </w:rPr>
        <w:instrText xml:space="preserve"> </w:instrText>
      </w:r>
      <w:r w:rsidRPr="00CB22B7">
        <w:rPr>
          <w:rStyle w:val="aff6"/>
          <w:rtl/>
        </w:rPr>
      </w:r>
      <w:r w:rsidRPr="00CB22B7">
        <w:rPr>
          <w:rStyle w:val="aff6"/>
          <w:rtl/>
        </w:rPr>
        <w:fldChar w:fldCharType="separate"/>
      </w:r>
      <w:r w:rsidR="00345400">
        <w:rPr>
          <w:rStyle w:val="aff6"/>
          <w:cs/>
        </w:rPr>
        <w:t>‎</w:t>
      </w:r>
      <w:r w:rsidR="00345400">
        <w:rPr>
          <w:rStyle w:val="aff6"/>
          <w:rtl/>
        </w:rPr>
        <w:t>כד)</w:t>
      </w:r>
      <w:r w:rsidRPr="00CB22B7">
        <w:rPr>
          <w:rStyle w:val="aff6"/>
          <w:rtl/>
        </w:rPr>
        <w:fldChar w:fldCharType="end"/>
      </w:r>
      <w:r w:rsidRPr="00AC405B">
        <w:rPr>
          <w:rStyle w:val="afb"/>
          <w:rFonts w:hint="cs"/>
          <w:rtl/>
        </w:rPr>
        <w:t xml:space="preserve"> דהוא הלמ"מ</w:t>
      </w:r>
      <w:r>
        <w:rPr>
          <w:rStyle w:val="afb"/>
          <w:rFonts w:hint="cs"/>
          <w:rtl/>
        </w:rPr>
        <w:t>,</w:t>
      </w:r>
      <w:r w:rsidRPr="00AC405B">
        <w:rPr>
          <w:rStyle w:val="afb"/>
          <w:rFonts w:hint="cs"/>
          <w:rtl/>
        </w:rPr>
        <w:t xml:space="preserve"> קשה </w:t>
      </w:r>
      <w:r>
        <w:rPr>
          <w:rStyle w:val="afb"/>
          <w:rFonts w:hint="cs"/>
          <w:rtl/>
        </w:rPr>
        <w:t xml:space="preserve">על </w:t>
      </w:r>
      <w:r w:rsidRPr="00AC405B">
        <w:rPr>
          <w:rStyle w:val="afb"/>
          <w:rFonts w:hint="cs"/>
          <w:rtl/>
        </w:rPr>
        <w:t>הגמ' שם</w:t>
      </w:r>
      <w:r>
        <w:rPr>
          <w:rStyle w:val="afb"/>
          <w:rFonts w:hint="cs"/>
          <w:rtl/>
        </w:rPr>
        <w:t>,</w:t>
      </w:r>
      <w:r w:rsidRPr="00AC405B">
        <w:rPr>
          <w:rStyle w:val="afb"/>
          <w:rFonts w:hint="cs"/>
          <w:rtl/>
        </w:rPr>
        <w:t xml:space="preserve"> דאמאי רובא שאינו מפורש בקרא</w:t>
      </w:r>
      <w:r>
        <w:rPr>
          <w:rStyle w:val="afb"/>
          <w:rFonts w:hint="cs"/>
          <w:rtl/>
        </w:rPr>
        <w:t>,</w:t>
      </w:r>
      <w:r w:rsidRPr="00AC405B">
        <w:rPr>
          <w:rStyle w:val="afb"/>
          <w:rFonts w:hint="cs"/>
          <w:rtl/>
        </w:rPr>
        <w:t xml:space="preserve"> עדיף מקרוב שהוא מפורש בקרא]. </w:t>
      </w:r>
    </w:p>
    <w:p w14:paraId="1A88A906" w14:textId="77777777" w:rsidR="009A2997" w:rsidRDefault="009A2997" w:rsidP="006D6D32">
      <w:pPr>
        <w:pStyle w:val="a3"/>
        <w:rPr>
          <w:rtl/>
        </w:rPr>
      </w:pPr>
      <w:bookmarkStart w:id="7682" w:name="_Toc528615470"/>
      <w:bookmarkStart w:id="7683" w:name="_Toc528712462"/>
      <w:bookmarkStart w:id="7684" w:name="_Toc528777122"/>
      <w:bookmarkStart w:id="7685" w:name="_Toc528789682"/>
      <w:bookmarkStart w:id="7686" w:name="_Toc19389958"/>
      <w:bookmarkStart w:id="7687" w:name="_Toc19393455"/>
      <w:r>
        <w:rPr>
          <w:rFonts w:hint="cs"/>
          <w:rtl/>
        </w:rPr>
        <w:t>דברי הריטב"א בב"ב דרובא דליתא קמן אין לו ילפותא מבוררת כל כך כמו ברובא דאיתא קמן</w:t>
      </w:r>
      <w:bookmarkEnd w:id="7682"/>
      <w:bookmarkEnd w:id="7683"/>
      <w:bookmarkEnd w:id="7684"/>
      <w:bookmarkEnd w:id="7685"/>
      <w:bookmarkEnd w:id="7686"/>
      <w:bookmarkEnd w:id="7687"/>
    </w:p>
    <w:p w14:paraId="07C91729" w14:textId="77777777" w:rsidR="009A2997" w:rsidRDefault="009A2997" w:rsidP="00223668">
      <w:pPr>
        <w:pStyle w:val="a0"/>
        <w:rPr>
          <w:rtl/>
        </w:rPr>
      </w:pPr>
      <w:r w:rsidRPr="00434331">
        <w:rPr>
          <w:rStyle w:val="af9"/>
          <w:rFonts w:hint="cs"/>
          <w:rtl/>
        </w:rPr>
        <w:t>והריטב"א בב"ב</w:t>
      </w:r>
      <w:r>
        <w:rPr>
          <w:rFonts w:hint="cs"/>
          <w:rtl/>
        </w:rPr>
        <w:t xml:space="preserve"> </w:t>
      </w:r>
      <w:r w:rsidRPr="00434331">
        <w:rPr>
          <w:rStyle w:val="af7"/>
          <w:rFonts w:eastAsia="Guttman Hodes" w:hint="cs"/>
          <w:rtl/>
        </w:rPr>
        <w:t>(כד. ד"ה אמר)</w:t>
      </w:r>
      <w:r>
        <w:rPr>
          <w:rFonts w:hint="cs"/>
          <w:rtl/>
        </w:rPr>
        <w:t xml:space="preserve"> תירץ דכיון דמבואר בסוגיין דרובא דליתא קמן אין לו ילפותא מבוררת כל כך, ואילו רובא דאיתא קמן ילפינן לה מאחרי רבים להטות, לכן אמר רבא דש"מ דאף רובא דליתא קמן הוא מדאו'</w:t>
      </w:r>
      <w:r>
        <w:rPr>
          <w:rStyle w:val="af1"/>
          <w:rtl/>
        </w:rPr>
        <w:footnoteReference w:id="48"/>
      </w:r>
      <w:r>
        <w:rPr>
          <w:rFonts w:hint="cs"/>
          <w:rtl/>
        </w:rPr>
        <w:t>.</w:t>
      </w:r>
    </w:p>
    <w:p w14:paraId="488A3A6A" w14:textId="77777777" w:rsidR="009A2997" w:rsidRDefault="009A2997" w:rsidP="006D6D32">
      <w:pPr>
        <w:pStyle w:val="afe"/>
        <w:rPr>
          <w:rtl/>
        </w:rPr>
      </w:pPr>
      <w:bookmarkStart w:id="7688" w:name="_Toc528615471"/>
      <w:bookmarkStart w:id="7689" w:name="_Toc528712463"/>
      <w:bookmarkStart w:id="7690" w:name="_Toc528777123"/>
      <w:bookmarkStart w:id="7691" w:name="_Toc528789683"/>
      <w:bookmarkStart w:id="7692" w:name="_Toc19435559"/>
      <w:bookmarkStart w:id="7693" w:name="_Toc20080855"/>
      <w:r>
        <w:rPr>
          <w:rFonts w:hint="cs"/>
          <w:rtl/>
        </w:rPr>
        <w:t>בילפותא לרובא דאיתא קמן</w:t>
      </w:r>
      <w:bookmarkEnd w:id="7688"/>
      <w:bookmarkEnd w:id="7689"/>
      <w:bookmarkEnd w:id="7690"/>
      <w:bookmarkEnd w:id="7691"/>
      <w:bookmarkEnd w:id="7692"/>
      <w:bookmarkEnd w:id="7693"/>
    </w:p>
    <w:p w14:paraId="79EFC906" w14:textId="77777777" w:rsidR="009A2997" w:rsidRDefault="009A2997" w:rsidP="00BF39B2">
      <w:pPr>
        <w:pStyle w:val="1"/>
        <w:rPr>
          <w:rtl/>
        </w:rPr>
      </w:pPr>
      <w:bookmarkStart w:id="7694" w:name="_Toc528615472"/>
      <w:bookmarkStart w:id="7695" w:name="_Toc528712464"/>
      <w:bookmarkStart w:id="7696" w:name="_Toc528777124"/>
      <w:bookmarkStart w:id="7697" w:name="_Toc528789684"/>
      <w:bookmarkStart w:id="7698" w:name="_Toc19389959"/>
      <w:bookmarkStart w:id="7699" w:name="_Toc19393456"/>
      <w:r>
        <w:rPr>
          <w:rFonts w:hint="cs"/>
          <w:rtl/>
        </w:rPr>
        <w:t>בביאור הילפותא דט' חנויות מסנהדרין</w:t>
      </w:r>
      <w:bookmarkEnd w:id="7694"/>
      <w:bookmarkEnd w:id="7695"/>
      <w:bookmarkEnd w:id="7696"/>
      <w:bookmarkEnd w:id="7697"/>
      <w:bookmarkEnd w:id="7698"/>
      <w:bookmarkEnd w:id="7699"/>
    </w:p>
    <w:p w14:paraId="7EFFE72F" w14:textId="77777777" w:rsidR="009A2997" w:rsidRDefault="009A2997" w:rsidP="006D6D32">
      <w:pPr>
        <w:pStyle w:val="a3"/>
        <w:rPr>
          <w:rtl/>
        </w:rPr>
      </w:pPr>
      <w:bookmarkStart w:id="7700" w:name="_Toc528615473"/>
      <w:bookmarkStart w:id="7701" w:name="_Toc528712465"/>
      <w:bookmarkStart w:id="7702" w:name="_Toc528777125"/>
      <w:bookmarkStart w:id="7703" w:name="_Toc528789685"/>
      <w:bookmarkStart w:id="7704" w:name="_Toc19389960"/>
      <w:bookmarkStart w:id="7705" w:name="_Toc19393457"/>
      <w:r>
        <w:rPr>
          <w:rFonts w:hint="cs"/>
          <w:rtl/>
        </w:rPr>
        <w:t>דברי המרדכי דבסנהדרין אין ספק ולא שייך בו דין קבוע כמו בט' חנויות</w:t>
      </w:r>
      <w:bookmarkEnd w:id="7700"/>
      <w:bookmarkEnd w:id="7701"/>
      <w:bookmarkEnd w:id="7702"/>
      <w:bookmarkEnd w:id="7703"/>
      <w:bookmarkEnd w:id="7704"/>
      <w:bookmarkEnd w:id="7705"/>
      <w:r>
        <w:rPr>
          <w:rFonts w:hint="cs"/>
          <w:rtl/>
        </w:rPr>
        <w:t xml:space="preserve"> </w:t>
      </w:r>
    </w:p>
    <w:p w14:paraId="3A54E797" w14:textId="77777777" w:rsidR="009A2997" w:rsidRDefault="009A2997" w:rsidP="00223668">
      <w:pPr>
        <w:pStyle w:val="a0"/>
        <w:rPr>
          <w:rtl/>
        </w:rPr>
      </w:pPr>
      <w:bookmarkStart w:id="7706" w:name="_Ref528772590"/>
      <w:r w:rsidRPr="002E1172">
        <w:rPr>
          <w:rStyle w:val="af9"/>
          <w:rFonts w:hint="cs"/>
          <w:rtl/>
        </w:rPr>
        <w:t>במרדכי</w:t>
      </w:r>
      <w:r>
        <w:rPr>
          <w:rFonts w:hint="cs"/>
          <w:rtl/>
        </w:rPr>
        <w:t xml:space="preserve"> </w:t>
      </w:r>
      <w:r w:rsidRPr="002E1172">
        <w:rPr>
          <w:rStyle w:val="af7"/>
          <w:rFonts w:eastAsia="Guttman Hodes" w:hint="cs"/>
          <w:rtl/>
        </w:rPr>
        <w:t>(תקצ"ג)</w:t>
      </w:r>
      <w:r>
        <w:rPr>
          <w:rFonts w:hint="cs"/>
          <w:rtl/>
        </w:rPr>
        <w:t xml:space="preserve"> הקשה בשם </w:t>
      </w:r>
      <w:r w:rsidRPr="002E1172">
        <w:rPr>
          <w:rStyle w:val="af9"/>
          <w:rFonts w:hint="cs"/>
          <w:rtl/>
        </w:rPr>
        <w:t>רבינו יקר</w:t>
      </w:r>
      <w:r>
        <w:rPr>
          <w:rFonts w:hint="cs"/>
          <w:rtl/>
        </w:rPr>
        <w:t xml:space="preserve"> האיך ילפינן את דין רובא דאיתא קמן בט' חנויות מסהנדרין, הרי הסנהדרין הם קבועים בלשכת הגזית, וכל קבוע כמחצה על מחצה דמי, ותירץ </w:t>
      </w:r>
      <w:r w:rsidRPr="002E1172">
        <w:rPr>
          <w:rStyle w:val="af9"/>
          <w:rFonts w:hint="cs"/>
          <w:rtl/>
        </w:rPr>
        <w:t>המרדכי</w:t>
      </w:r>
      <w:r>
        <w:rPr>
          <w:rFonts w:hint="cs"/>
          <w:rtl/>
        </w:rPr>
        <w:t xml:space="preserve"> בשם </w:t>
      </w:r>
      <w:r w:rsidRPr="002E1172">
        <w:rPr>
          <w:rStyle w:val="af9"/>
          <w:rFonts w:hint="cs"/>
          <w:rtl/>
        </w:rPr>
        <w:t>רבינו יקר</w:t>
      </w:r>
      <w:r>
        <w:rPr>
          <w:rFonts w:hint="cs"/>
          <w:rtl/>
        </w:rPr>
        <w:t xml:space="preserve"> דבסנהדרין אין כל ספק מי המזכין ומי המחייבין, וכל דין קבוע הוא דוקא במקום שיש ספק כגון ט' חנויות שקנה מאחת מהם </w:t>
      </w:r>
      <w:r w:rsidRPr="00FA617E">
        <w:rPr>
          <w:rStyle w:val="afb"/>
          <w:rFonts w:hint="cs"/>
          <w:rtl/>
        </w:rPr>
        <w:t>[שהיא קבועה במקומה]</w:t>
      </w:r>
      <w:r>
        <w:rPr>
          <w:rFonts w:hint="cs"/>
          <w:rtl/>
        </w:rPr>
        <w:t>, ואינו יודע מאיזה קנה.</w:t>
      </w:r>
      <w:bookmarkEnd w:id="7706"/>
    </w:p>
    <w:p w14:paraId="66456CE3" w14:textId="77777777" w:rsidR="009A2997" w:rsidRPr="007D2493" w:rsidRDefault="009A2997" w:rsidP="006D6D32">
      <w:pPr>
        <w:pStyle w:val="a3"/>
        <w:rPr>
          <w:rtl/>
        </w:rPr>
      </w:pPr>
      <w:bookmarkStart w:id="7707" w:name="_Toc528615474"/>
      <w:bookmarkStart w:id="7708" w:name="_Toc528712466"/>
      <w:bookmarkStart w:id="7709" w:name="_Toc528777126"/>
      <w:bookmarkStart w:id="7710" w:name="_Toc528789686"/>
      <w:bookmarkStart w:id="7711" w:name="_Toc19389961"/>
      <w:bookmarkStart w:id="7712" w:name="_Toc19393458"/>
      <w:r>
        <w:rPr>
          <w:rFonts w:hint="cs"/>
          <w:rtl/>
        </w:rPr>
        <w:t>תירוץ המרדכי דבסנהדרין הדיבור שנפרש מפיהם הוא כבשר שפרש מהחנויות</w:t>
      </w:r>
      <w:bookmarkEnd w:id="7707"/>
      <w:bookmarkEnd w:id="7708"/>
      <w:bookmarkEnd w:id="7709"/>
      <w:bookmarkEnd w:id="7710"/>
      <w:bookmarkEnd w:id="7711"/>
      <w:bookmarkEnd w:id="7712"/>
    </w:p>
    <w:p w14:paraId="106F22ED" w14:textId="77777777" w:rsidR="009A2997" w:rsidRDefault="009A2997" w:rsidP="00223668">
      <w:pPr>
        <w:pStyle w:val="a0"/>
        <w:rPr>
          <w:rtl/>
        </w:rPr>
      </w:pPr>
      <w:r>
        <w:rPr>
          <w:rFonts w:hint="cs"/>
          <w:rtl/>
        </w:rPr>
        <w:t xml:space="preserve">ועוד תירץ </w:t>
      </w:r>
      <w:r w:rsidRPr="002E1172">
        <w:rPr>
          <w:rStyle w:val="af9"/>
          <w:rFonts w:hint="cs"/>
          <w:rtl/>
        </w:rPr>
        <w:t>המרדכי</w:t>
      </w:r>
      <w:r>
        <w:rPr>
          <w:rFonts w:hint="cs"/>
          <w:rtl/>
        </w:rPr>
        <w:t xml:space="preserve"> בשם </w:t>
      </w:r>
      <w:r w:rsidRPr="002E1172">
        <w:rPr>
          <w:rStyle w:val="af9"/>
          <w:rFonts w:hint="cs"/>
          <w:rtl/>
        </w:rPr>
        <w:t>רבינו יקר</w:t>
      </w:r>
      <w:r>
        <w:rPr>
          <w:rFonts w:hint="cs"/>
          <w:rtl/>
        </w:rPr>
        <w:t xml:space="preserve"> דהסנהדרין אינם עושים מעשה בגופם, אלא הדיבור הוא נפרש מפיהם, וחשיב כבשר שנמצא דאמרינן ביה כל דפריש מרובא פריש, </w:t>
      </w:r>
      <w:r w:rsidRPr="00B93307">
        <w:rPr>
          <w:rStyle w:val="afb"/>
          <w:rFonts w:hint="cs"/>
          <w:rtl/>
        </w:rPr>
        <w:t>[ולא שייך לומר שהדיבור הוא קבוע],</w:t>
      </w:r>
      <w:r>
        <w:rPr>
          <w:rFonts w:hint="cs"/>
          <w:rtl/>
        </w:rPr>
        <w:t xml:space="preserve"> ועי' במ"ש </w:t>
      </w:r>
      <w:r w:rsidRPr="00B93307">
        <w:rPr>
          <w:rStyle w:val="af9"/>
          <w:rFonts w:hint="cs"/>
          <w:rtl/>
        </w:rPr>
        <w:t>במהר"ץ חיות</w:t>
      </w:r>
      <w:r>
        <w:rPr>
          <w:rFonts w:hint="cs"/>
          <w:rtl/>
        </w:rPr>
        <w:t xml:space="preserve"> </w:t>
      </w:r>
      <w:r w:rsidRPr="00B93307">
        <w:rPr>
          <w:rStyle w:val="af7"/>
          <w:rFonts w:eastAsia="Guttman Hodes" w:hint="cs"/>
          <w:rtl/>
        </w:rPr>
        <w:t>(ד"ה רובא)</w:t>
      </w:r>
      <w:r>
        <w:rPr>
          <w:rFonts w:hint="cs"/>
          <w:rtl/>
        </w:rPr>
        <w:t xml:space="preserve">, וע"ע במה שתירץ </w:t>
      </w:r>
      <w:r w:rsidRPr="00CC3D34">
        <w:rPr>
          <w:rStyle w:val="af9"/>
          <w:rFonts w:hint="cs"/>
          <w:rtl/>
        </w:rPr>
        <w:t>הגרנ"ט</w:t>
      </w:r>
      <w:r>
        <w:rPr>
          <w:rFonts w:hint="cs"/>
          <w:rtl/>
        </w:rPr>
        <w:t xml:space="preserve"> </w:t>
      </w:r>
      <w:r w:rsidRPr="00CC3D34">
        <w:rPr>
          <w:rStyle w:val="af7"/>
          <w:rFonts w:eastAsia="Guttman Hodes" w:hint="cs"/>
          <w:rtl/>
        </w:rPr>
        <w:t>(הובא בחי' הגר"ח עהש"ס ב"ק כז:)</w:t>
      </w:r>
      <w:r w:rsidRPr="00B93307">
        <w:rPr>
          <w:rFonts w:hint="cs"/>
          <w:rtl/>
        </w:rPr>
        <w:t>.</w:t>
      </w:r>
    </w:p>
    <w:p w14:paraId="129B8523" w14:textId="77777777" w:rsidR="009A2997" w:rsidRDefault="009A2997" w:rsidP="006D6D32">
      <w:pPr>
        <w:pStyle w:val="a3"/>
        <w:rPr>
          <w:rtl/>
        </w:rPr>
      </w:pPr>
      <w:bookmarkStart w:id="7713" w:name="_Toc528615475"/>
      <w:bookmarkStart w:id="7714" w:name="_Toc528712467"/>
      <w:bookmarkStart w:id="7715" w:name="_Toc528777127"/>
      <w:bookmarkStart w:id="7716" w:name="_Toc528789687"/>
      <w:bookmarkStart w:id="7717" w:name="_Toc19389962"/>
      <w:bookmarkStart w:id="7718" w:name="_Toc19393459"/>
      <w:r>
        <w:rPr>
          <w:rFonts w:hint="cs"/>
          <w:rtl/>
        </w:rPr>
        <w:t>דברי החת"ס דבט' חנויות אין המיעוט ניכר כסנהדרין אך יתכן שיפגע באיסור ובסנהדרין אין חשש</w:t>
      </w:r>
      <w:bookmarkEnd w:id="7713"/>
      <w:bookmarkEnd w:id="7714"/>
      <w:bookmarkEnd w:id="7715"/>
      <w:bookmarkEnd w:id="7716"/>
      <w:bookmarkEnd w:id="7717"/>
      <w:bookmarkEnd w:id="7718"/>
    </w:p>
    <w:p w14:paraId="734F5B8A" w14:textId="77777777" w:rsidR="009A2997" w:rsidRDefault="009A2997" w:rsidP="00223668">
      <w:pPr>
        <w:pStyle w:val="a0"/>
        <w:rPr>
          <w:rtl/>
        </w:rPr>
      </w:pPr>
      <w:r>
        <w:rPr>
          <w:rFonts w:hint="cs"/>
          <w:rtl/>
        </w:rPr>
        <w:t xml:space="preserve">וכתב </w:t>
      </w:r>
      <w:r w:rsidRPr="005D67BA">
        <w:rPr>
          <w:rStyle w:val="af9"/>
          <w:rFonts w:hint="cs"/>
          <w:rtl/>
        </w:rPr>
        <w:t>החת"ס</w:t>
      </w:r>
      <w:r>
        <w:rPr>
          <w:rFonts w:hint="cs"/>
          <w:rtl/>
        </w:rPr>
        <w:t xml:space="preserve"> </w:t>
      </w:r>
      <w:r w:rsidRPr="005D67BA">
        <w:rPr>
          <w:rStyle w:val="af7"/>
          <w:rFonts w:eastAsia="Guttman Hodes" w:hint="cs"/>
          <w:rtl/>
        </w:rPr>
        <w:t>(ד"ה כגון)</w:t>
      </w:r>
      <w:r>
        <w:rPr>
          <w:rFonts w:hint="cs"/>
          <w:rtl/>
        </w:rPr>
        <w:t xml:space="preserve"> דמבואר </w:t>
      </w:r>
      <w:r>
        <w:rPr>
          <w:rStyle w:val="af9"/>
          <w:rFonts w:hint="cs"/>
          <w:rtl/>
        </w:rPr>
        <w:t>ב</w:t>
      </w:r>
      <w:r w:rsidRPr="005D67BA">
        <w:rPr>
          <w:rStyle w:val="af9"/>
          <w:rFonts w:hint="cs"/>
          <w:rtl/>
        </w:rPr>
        <w:t>מרדכי</w:t>
      </w:r>
      <w:r>
        <w:rPr>
          <w:rFonts w:hint="cs"/>
          <w:rtl/>
        </w:rPr>
        <w:t xml:space="preserve"> דבט' חנויות וסנהדרין יש מעלה וגריעותא לכל אחד מהם, דבט' חנויות אין המיעוט ניכר לפנינו, וא"א להכיר בבשר מהיכן הוא בא, משא"כ בסנהדרין שהמיעוט הוא ניכר ולא שייך לומר בו ביטול, אבל בט' חנויות יתכן שנלך אחר הרוב, ויפגע באיסור דהבשר באמת בא מהחנות האסורה, ואילו בסנהדרין אינו נוטל כלל מהמיעוט, אלא שאינו חושש לדעתם והם כמאן דליתא. וכתב </w:t>
      </w:r>
      <w:r w:rsidRPr="00C07FE2">
        <w:rPr>
          <w:rStyle w:val="af9"/>
          <w:rFonts w:hint="cs"/>
          <w:rtl/>
        </w:rPr>
        <w:t>החת"ס</w:t>
      </w:r>
      <w:r>
        <w:rPr>
          <w:rFonts w:hint="cs"/>
          <w:rtl/>
        </w:rPr>
        <w:t xml:space="preserve"> דכין שהם שקולים ילפינן את שניהם מאחרי רבים להטות.</w:t>
      </w:r>
    </w:p>
    <w:p w14:paraId="4677B671" w14:textId="77777777" w:rsidR="009A2997" w:rsidRDefault="009A2997" w:rsidP="006D6D32">
      <w:pPr>
        <w:pStyle w:val="a3"/>
        <w:rPr>
          <w:rtl/>
        </w:rPr>
      </w:pPr>
      <w:bookmarkStart w:id="7719" w:name="_Toc528615476"/>
      <w:bookmarkStart w:id="7720" w:name="_Toc528712468"/>
      <w:bookmarkStart w:id="7721" w:name="_Toc528777128"/>
      <w:bookmarkStart w:id="7722" w:name="_Toc528789688"/>
      <w:bookmarkStart w:id="7723" w:name="_Toc19389963"/>
      <w:bookmarkStart w:id="7724" w:name="_Toc19393460"/>
      <w:r>
        <w:rPr>
          <w:rFonts w:hint="cs"/>
          <w:rtl/>
        </w:rPr>
        <w:t>קושית השיטמ"ק דבסנהדרין ידוע מי הרוב ומי המיעוט והיאך ילפינן לט' חנויות שהוא ספק</w:t>
      </w:r>
      <w:bookmarkEnd w:id="7719"/>
      <w:bookmarkEnd w:id="7720"/>
      <w:bookmarkEnd w:id="7721"/>
      <w:bookmarkEnd w:id="7722"/>
      <w:bookmarkEnd w:id="7723"/>
      <w:bookmarkEnd w:id="7724"/>
    </w:p>
    <w:p w14:paraId="799EE9E2" w14:textId="77777777" w:rsidR="009A2997" w:rsidRDefault="009A2997" w:rsidP="00223668">
      <w:pPr>
        <w:pStyle w:val="a0"/>
        <w:rPr>
          <w:rtl/>
        </w:rPr>
      </w:pPr>
      <w:r w:rsidRPr="002E1172">
        <w:rPr>
          <w:rStyle w:val="af9"/>
          <w:rFonts w:hint="cs"/>
          <w:rtl/>
        </w:rPr>
        <w:t>והשיטמ"ק</w:t>
      </w:r>
      <w:r>
        <w:rPr>
          <w:rFonts w:hint="cs"/>
          <w:rtl/>
        </w:rPr>
        <w:t xml:space="preserve"> </w:t>
      </w:r>
      <w:r w:rsidRPr="002E1172">
        <w:rPr>
          <w:rStyle w:val="af7"/>
          <w:rFonts w:eastAsia="Guttman Hodes" w:hint="cs"/>
          <w:rtl/>
        </w:rPr>
        <w:t>(ד"ה כגון)</w:t>
      </w:r>
      <w:r>
        <w:rPr>
          <w:rFonts w:hint="cs"/>
          <w:rtl/>
        </w:rPr>
        <w:t xml:space="preserve"> הקשה בשם </w:t>
      </w:r>
      <w:r w:rsidRPr="002E1172">
        <w:rPr>
          <w:rStyle w:val="af9"/>
          <w:rFonts w:hint="cs"/>
          <w:rtl/>
        </w:rPr>
        <w:t>תוס' אחרונות</w:t>
      </w:r>
      <w:r>
        <w:rPr>
          <w:rFonts w:hint="cs"/>
          <w:rtl/>
        </w:rPr>
        <w:t xml:space="preserve"> דהיאך ילפינן את דין רובא דליתא קמן בט' חנויות מסנהדרין, הרי יש ידיעה ודאית שהרוב הם המזכים, ואילו בט' חנויות אין לנו כל ידיעה אם הבשר הוא מהרוב, או שאינו מהרוב.</w:t>
      </w:r>
    </w:p>
    <w:p w14:paraId="607F8553" w14:textId="77777777" w:rsidR="006D46E2" w:rsidRPr="006D46E2" w:rsidRDefault="006D46E2" w:rsidP="006D46E2">
      <w:pPr>
        <w:pStyle w:val="a3"/>
        <w:rPr>
          <w:rtl/>
        </w:rPr>
      </w:pPr>
    </w:p>
    <w:p w14:paraId="172AB5AB" w14:textId="77777777" w:rsidR="009A2997" w:rsidRDefault="009A2997" w:rsidP="006D6D32">
      <w:pPr>
        <w:pStyle w:val="a3"/>
        <w:rPr>
          <w:rtl/>
        </w:rPr>
      </w:pPr>
      <w:bookmarkStart w:id="7725" w:name="_Toc528615477"/>
      <w:bookmarkStart w:id="7726" w:name="_Toc528712469"/>
      <w:bookmarkStart w:id="7727" w:name="_Toc528777129"/>
      <w:bookmarkStart w:id="7728" w:name="_Toc528789689"/>
      <w:bookmarkStart w:id="7729" w:name="_Toc19389964"/>
      <w:bookmarkStart w:id="7730" w:name="_Toc19393461"/>
      <w:r>
        <w:rPr>
          <w:rFonts w:hint="cs"/>
          <w:rtl/>
        </w:rPr>
        <w:t>תירוץ השיטמ"ק דאף בסנהדרין לא ידוע אם האמת כרוב או כמיעוט</w:t>
      </w:r>
      <w:bookmarkEnd w:id="7725"/>
      <w:bookmarkEnd w:id="7726"/>
      <w:bookmarkEnd w:id="7727"/>
      <w:bookmarkEnd w:id="7728"/>
      <w:bookmarkEnd w:id="7729"/>
      <w:bookmarkEnd w:id="7730"/>
    </w:p>
    <w:p w14:paraId="5C8825E7" w14:textId="77777777" w:rsidR="009A2997" w:rsidRPr="00CB7EA1" w:rsidRDefault="009A2997" w:rsidP="00223668">
      <w:pPr>
        <w:pStyle w:val="a0"/>
        <w:rPr>
          <w:rtl/>
        </w:rPr>
      </w:pPr>
      <w:r>
        <w:rPr>
          <w:rFonts w:hint="cs"/>
          <w:rtl/>
        </w:rPr>
        <w:t xml:space="preserve">ותירץ </w:t>
      </w:r>
      <w:r w:rsidRPr="002E1172">
        <w:rPr>
          <w:rStyle w:val="af9"/>
          <w:rFonts w:hint="cs"/>
          <w:rtl/>
        </w:rPr>
        <w:t>השיטמ"ק</w:t>
      </w:r>
      <w:r>
        <w:rPr>
          <w:rFonts w:hint="cs"/>
          <w:rtl/>
        </w:rPr>
        <w:t xml:space="preserve"> בשם </w:t>
      </w:r>
      <w:r w:rsidRPr="002E1172">
        <w:rPr>
          <w:rStyle w:val="af9"/>
          <w:rFonts w:hint="cs"/>
          <w:rtl/>
        </w:rPr>
        <w:t>תוס' אחרונות</w:t>
      </w:r>
      <w:r>
        <w:rPr>
          <w:rFonts w:hint="cs"/>
          <w:rtl/>
        </w:rPr>
        <w:t xml:space="preserve"> דמ"מ אף בסנהדרין אין לנו ידיעה ודאית שהאמת היא כסברת הרוב, דהא יתכן שסברת המיעוט היא הסברא האמיתית, אלא מבואר בקרא דאחרי רבים להטות דאמרינן כל דפריש מרובא פריש, ולכן ילפינן מסנהדרין לט' חנויות, דאמרינן כל דפריש מרובא פריש.</w:t>
      </w:r>
    </w:p>
    <w:p w14:paraId="6E230561" w14:textId="77777777" w:rsidR="009A2997" w:rsidRPr="00EC2909" w:rsidRDefault="009A2997" w:rsidP="006D6D32">
      <w:pPr>
        <w:pStyle w:val="a3"/>
        <w:rPr>
          <w:rtl/>
        </w:rPr>
      </w:pPr>
      <w:bookmarkStart w:id="7731" w:name="_Toc528712470"/>
      <w:bookmarkStart w:id="7732" w:name="_Toc528777130"/>
      <w:bookmarkStart w:id="7733" w:name="_Toc528789690"/>
      <w:bookmarkStart w:id="7734" w:name="_Toc19389965"/>
      <w:bookmarkStart w:id="7735" w:name="_Toc19393462"/>
      <w:r>
        <w:rPr>
          <w:rFonts w:hint="cs"/>
          <w:rtl/>
        </w:rPr>
        <w:t>קושית החת"ס דלמסקנא נילף את רובא דאיתא קמן מרובא דליתא קמן ולא מסנהדרין</w:t>
      </w:r>
      <w:bookmarkEnd w:id="7731"/>
      <w:bookmarkEnd w:id="7732"/>
      <w:bookmarkEnd w:id="7733"/>
      <w:bookmarkEnd w:id="7734"/>
      <w:bookmarkEnd w:id="7735"/>
    </w:p>
    <w:p w14:paraId="50923ABF" w14:textId="77777777" w:rsidR="009A2997" w:rsidRPr="006B3D02" w:rsidRDefault="009A2997" w:rsidP="00223668">
      <w:pPr>
        <w:pStyle w:val="a0"/>
        <w:rPr>
          <w:rtl/>
        </w:rPr>
      </w:pPr>
      <w:r>
        <w:rPr>
          <w:rStyle w:val="af9"/>
          <w:rFonts w:hint="cs"/>
          <w:rtl/>
        </w:rPr>
        <w:t>ו</w:t>
      </w:r>
      <w:r w:rsidRPr="00D702A2">
        <w:rPr>
          <w:rStyle w:val="af9"/>
          <w:rFonts w:hint="cs"/>
          <w:rtl/>
        </w:rPr>
        <w:t>החת"ס</w:t>
      </w:r>
      <w:r>
        <w:rPr>
          <w:rFonts w:hint="cs"/>
          <w:rtl/>
        </w:rPr>
        <w:t xml:space="preserve"> </w:t>
      </w:r>
      <w:r w:rsidRPr="00D702A2">
        <w:rPr>
          <w:rStyle w:val="af7"/>
          <w:rFonts w:eastAsia="Guttman Hodes" w:hint="cs"/>
          <w:rtl/>
        </w:rPr>
        <w:t>(ד"ה מנא)</w:t>
      </w:r>
      <w:r>
        <w:rPr>
          <w:rFonts w:hint="cs"/>
          <w:rtl/>
        </w:rPr>
        <w:t xml:space="preserve"> הקשה</w:t>
      </w:r>
      <w:r w:rsidRPr="006B3D02">
        <w:rPr>
          <w:rFonts w:hint="cs"/>
          <w:rtl/>
        </w:rPr>
        <w:t xml:space="preserve"> דכיון דלמסקנת הגמ' אזלינן בתר רובא דליתא קמן, אפילו בדיני נפשות, א"כ למה </w:t>
      </w:r>
      <w:r>
        <w:rPr>
          <w:rFonts w:hint="cs"/>
          <w:rtl/>
        </w:rPr>
        <w:t>צריך</w:t>
      </w:r>
      <w:r w:rsidRPr="006B3D02">
        <w:rPr>
          <w:rFonts w:hint="cs"/>
          <w:rtl/>
        </w:rPr>
        <w:t xml:space="preserve"> ללמוד את הרוב בסנהדרין מאחרי רבים להטות, דהרי רובא דאיתא קמן עדיף מרובא דליתא קמן</w:t>
      </w:r>
      <w:r>
        <w:rPr>
          <w:rFonts w:hint="cs"/>
          <w:rtl/>
        </w:rPr>
        <w:t>, ונלמד ממנו גם לרובא דליתא קמן</w:t>
      </w:r>
      <w:r w:rsidRPr="006B3D02">
        <w:rPr>
          <w:rFonts w:hint="cs"/>
          <w:rtl/>
        </w:rPr>
        <w:t>.</w:t>
      </w:r>
    </w:p>
    <w:p w14:paraId="14E4896E" w14:textId="77777777" w:rsidR="009A2997" w:rsidRPr="006B3D02" w:rsidRDefault="009A2997" w:rsidP="006D6D32">
      <w:pPr>
        <w:pStyle w:val="a3"/>
        <w:rPr>
          <w:rtl/>
        </w:rPr>
      </w:pPr>
      <w:bookmarkStart w:id="7736" w:name="_Toc528712471"/>
      <w:bookmarkStart w:id="7737" w:name="_Toc528777131"/>
      <w:bookmarkStart w:id="7738" w:name="_Toc528789691"/>
      <w:bookmarkStart w:id="7739" w:name="_Toc19389966"/>
      <w:bookmarkStart w:id="7740" w:name="_Toc19393463"/>
      <w:r>
        <w:rPr>
          <w:rFonts w:hint="cs"/>
          <w:rtl/>
        </w:rPr>
        <w:t xml:space="preserve">תירוץ החת"ס דהמיעוט ברובא דא"ק חשוב יותר וא"א ללומדו מהמיעוט </w:t>
      </w:r>
      <w:bookmarkEnd w:id="7736"/>
      <w:r>
        <w:rPr>
          <w:rFonts w:hint="cs"/>
          <w:rtl/>
        </w:rPr>
        <w:t>בררובא דל"ק</w:t>
      </w:r>
      <w:bookmarkEnd w:id="7737"/>
      <w:bookmarkEnd w:id="7738"/>
      <w:bookmarkEnd w:id="7739"/>
      <w:bookmarkEnd w:id="7740"/>
      <w:r>
        <w:rPr>
          <w:rFonts w:hint="cs"/>
          <w:rtl/>
        </w:rPr>
        <w:t xml:space="preserve"> </w:t>
      </w:r>
    </w:p>
    <w:p w14:paraId="1E7904D9" w14:textId="77777777" w:rsidR="009A2997" w:rsidRPr="00F55B36" w:rsidRDefault="009A2997" w:rsidP="00223668">
      <w:pPr>
        <w:pStyle w:val="a0"/>
        <w:rPr>
          <w:rtl/>
        </w:rPr>
      </w:pPr>
      <w:r w:rsidRPr="006B3D02">
        <w:rPr>
          <w:rFonts w:hint="cs"/>
          <w:rtl/>
        </w:rPr>
        <w:t xml:space="preserve">ותירץ </w:t>
      </w:r>
      <w:r w:rsidRPr="00D702A2">
        <w:rPr>
          <w:rStyle w:val="af9"/>
          <w:rFonts w:hint="cs"/>
          <w:rtl/>
        </w:rPr>
        <w:t>החת"ס</w:t>
      </w:r>
      <w:r w:rsidRPr="006B3D02">
        <w:rPr>
          <w:rFonts w:hint="cs"/>
          <w:rtl/>
        </w:rPr>
        <w:t xml:space="preserve"> דהו"א דהמיעוט דאיתא קמן חשוב יותר מהמיעוט </w:t>
      </w:r>
      <w:r w:rsidRPr="00C04E70">
        <w:rPr>
          <w:rFonts w:hint="cs"/>
          <w:rtl/>
        </w:rPr>
        <w:t xml:space="preserve">בליתא קמן, </w:t>
      </w:r>
      <w:r>
        <w:rPr>
          <w:rFonts w:hint="cs"/>
          <w:rtl/>
        </w:rPr>
        <w:t>כיון ש</w:t>
      </w:r>
      <w:r w:rsidRPr="00C04E70">
        <w:rPr>
          <w:rFonts w:hint="cs"/>
          <w:rtl/>
        </w:rPr>
        <w:t>יתכן שסברת המועטין טובה יותר מסברת המרובין, ולכן קמ"ל קרא ד</w:t>
      </w:r>
      <w:r w:rsidRPr="006B3D02">
        <w:rPr>
          <w:rFonts w:hint="cs"/>
          <w:rtl/>
        </w:rPr>
        <w:t>אחרי רבים להטות דאזלינן בתר רובא.</w:t>
      </w:r>
    </w:p>
    <w:p w14:paraId="23BBC20A" w14:textId="77777777" w:rsidR="009A2997" w:rsidRDefault="009A2997" w:rsidP="006D6D32">
      <w:pPr>
        <w:pStyle w:val="afe"/>
        <w:rPr>
          <w:rtl/>
        </w:rPr>
      </w:pPr>
      <w:bookmarkStart w:id="7741" w:name="_Toc528615478"/>
      <w:bookmarkStart w:id="7742" w:name="_Toc528712472"/>
      <w:bookmarkStart w:id="7743" w:name="_Toc528777132"/>
      <w:bookmarkStart w:id="7744" w:name="_Toc528789692"/>
      <w:bookmarkStart w:id="7745" w:name="_Toc19435560"/>
      <w:bookmarkStart w:id="7746" w:name="_Toc20080856"/>
      <w:r>
        <w:rPr>
          <w:rFonts w:hint="cs"/>
          <w:rtl/>
        </w:rPr>
        <w:t xml:space="preserve">בחילוק בין </w:t>
      </w:r>
      <w:bookmarkEnd w:id="7741"/>
      <w:bookmarkEnd w:id="7742"/>
      <w:r>
        <w:rPr>
          <w:rFonts w:hint="cs"/>
          <w:rtl/>
        </w:rPr>
        <w:t>רובא דא"ק לרובא דל"ק</w:t>
      </w:r>
      <w:bookmarkEnd w:id="7743"/>
      <w:bookmarkEnd w:id="7744"/>
      <w:bookmarkEnd w:id="7745"/>
      <w:bookmarkEnd w:id="7746"/>
      <w:r>
        <w:rPr>
          <w:rFonts w:hint="cs"/>
          <w:rtl/>
        </w:rPr>
        <w:t xml:space="preserve"> </w:t>
      </w:r>
    </w:p>
    <w:p w14:paraId="750FBEDD" w14:textId="77777777" w:rsidR="009A2997" w:rsidRDefault="009A2997" w:rsidP="00BF39B2">
      <w:pPr>
        <w:pStyle w:val="1"/>
        <w:rPr>
          <w:rtl/>
        </w:rPr>
      </w:pPr>
      <w:bookmarkStart w:id="7747" w:name="_Toc528712473"/>
      <w:bookmarkStart w:id="7748" w:name="_Toc528777133"/>
      <w:bookmarkStart w:id="7749" w:name="_Toc528789693"/>
      <w:bookmarkStart w:id="7750" w:name="_Toc19389967"/>
      <w:bookmarkStart w:id="7751" w:name="_Toc19393464"/>
      <w:r>
        <w:rPr>
          <w:rFonts w:hint="cs"/>
          <w:rtl/>
        </w:rPr>
        <w:t>דברי רש"י ורבינו גרשום בביאור רובא דא"ק ורובא דל"ק</w:t>
      </w:r>
      <w:bookmarkEnd w:id="7747"/>
      <w:bookmarkEnd w:id="7748"/>
      <w:bookmarkEnd w:id="7749"/>
      <w:bookmarkEnd w:id="7750"/>
      <w:bookmarkEnd w:id="7751"/>
    </w:p>
    <w:p w14:paraId="781A1E31" w14:textId="77777777" w:rsidR="009A2997" w:rsidRDefault="009A2997" w:rsidP="006D6D32">
      <w:pPr>
        <w:pStyle w:val="a3"/>
        <w:rPr>
          <w:rtl/>
        </w:rPr>
      </w:pPr>
      <w:bookmarkStart w:id="7752" w:name="_Toc528777134"/>
      <w:bookmarkStart w:id="7753" w:name="_Toc528789694"/>
      <w:bookmarkStart w:id="7754" w:name="_Toc19389968"/>
      <w:bookmarkStart w:id="7755" w:name="_Toc19393465"/>
      <w:r>
        <w:rPr>
          <w:rFonts w:hint="cs"/>
          <w:rtl/>
        </w:rPr>
        <w:t>ביאור רש"י דבט' חנויות וסנהדרין אנו רואים את הרוב לפנינו וברובא דל"ק הוא רוב בעולם</w:t>
      </w:r>
      <w:bookmarkEnd w:id="7752"/>
      <w:bookmarkEnd w:id="7753"/>
      <w:bookmarkEnd w:id="7754"/>
      <w:bookmarkEnd w:id="7755"/>
    </w:p>
    <w:p w14:paraId="1D052C06" w14:textId="77777777" w:rsidR="009A2997" w:rsidRPr="00236D5E" w:rsidRDefault="009A2997" w:rsidP="00223668">
      <w:pPr>
        <w:pStyle w:val="a0"/>
        <w:rPr>
          <w:rStyle w:val="afb"/>
          <w:rtl/>
        </w:rPr>
      </w:pPr>
      <w:r>
        <w:rPr>
          <w:rFonts w:hint="cs"/>
          <w:rtl/>
        </w:rPr>
        <w:t xml:space="preserve">כתב </w:t>
      </w:r>
      <w:r w:rsidRPr="00236D5E">
        <w:rPr>
          <w:rStyle w:val="af9"/>
          <w:rFonts w:hint="cs"/>
          <w:rtl/>
        </w:rPr>
        <w:t>רש"י ביבמות</w:t>
      </w:r>
      <w:r>
        <w:rPr>
          <w:rFonts w:hint="cs"/>
          <w:rtl/>
        </w:rPr>
        <w:t xml:space="preserve"> </w:t>
      </w:r>
      <w:r w:rsidRPr="00236D5E">
        <w:rPr>
          <w:rStyle w:val="af7"/>
          <w:rFonts w:eastAsia="Guttman Hodes" w:hint="cs"/>
          <w:rtl/>
        </w:rPr>
        <w:t>(קיט. ד"ה תשע)</w:t>
      </w:r>
      <w:r>
        <w:rPr>
          <w:rFonts w:hint="cs"/>
          <w:rtl/>
        </w:rPr>
        <w:t xml:space="preserve"> דהא דט' חנויות הוא רובא דאיתא קמן, היינו כיון שהחנויות הם לפנינו ואנו רואים שהם מוכרות בשר שחוטה, ובסנהדרין הרוב שמזכים הם לפנינו, ורובא דליתא קמן היינו כגון דאזלינן בתר רוב נשים שבעולם. </w:t>
      </w:r>
      <w:r w:rsidRPr="00236D5E">
        <w:rPr>
          <w:rStyle w:val="afb"/>
          <w:rFonts w:hint="cs"/>
          <w:rtl/>
        </w:rPr>
        <w:t>[והיינו שאין אנו רואים אותם לפנינו].</w:t>
      </w:r>
    </w:p>
    <w:p w14:paraId="6A769D25" w14:textId="77777777" w:rsidR="009A2997" w:rsidRDefault="009A2997" w:rsidP="006D6D32">
      <w:pPr>
        <w:pStyle w:val="a3"/>
        <w:rPr>
          <w:rtl/>
        </w:rPr>
      </w:pPr>
      <w:bookmarkStart w:id="7756" w:name="_Toc528712474"/>
      <w:bookmarkStart w:id="7757" w:name="_Toc528777135"/>
      <w:bookmarkStart w:id="7758" w:name="_Toc528789695"/>
      <w:bookmarkStart w:id="7759" w:name="_Toc19389969"/>
      <w:bookmarkStart w:id="7760" w:name="_Toc19393466"/>
      <w:r>
        <w:rPr>
          <w:rFonts w:hint="cs"/>
          <w:rtl/>
        </w:rPr>
        <w:t>ביאור רבינו גרשום דברובא דא"ק הרוב לפנינו וברובא דל"ק אין אנו רואים מהו רוב העולם</w:t>
      </w:r>
      <w:bookmarkEnd w:id="7756"/>
      <w:bookmarkEnd w:id="7757"/>
      <w:bookmarkEnd w:id="7758"/>
      <w:bookmarkEnd w:id="7759"/>
      <w:bookmarkEnd w:id="7760"/>
    </w:p>
    <w:p w14:paraId="637792C5" w14:textId="77777777" w:rsidR="009A2997" w:rsidRDefault="009A2997" w:rsidP="00223668">
      <w:pPr>
        <w:pStyle w:val="a0"/>
        <w:rPr>
          <w:rtl/>
        </w:rPr>
      </w:pPr>
      <w:r>
        <w:rPr>
          <w:rFonts w:hint="cs"/>
          <w:rtl/>
        </w:rPr>
        <w:t xml:space="preserve">וכן ביאר </w:t>
      </w:r>
      <w:r w:rsidRPr="009B1D96">
        <w:rPr>
          <w:rStyle w:val="af9"/>
          <w:rFonts w:hint="cs"/>
          <w:rtl/>
        </w:rPr>
        <w:t>ברבינו גרשום בבכורות</w:t>
      </w:r>
      <w:r>
        <w:rPr>
          <w:rFonts w:hint="cs"/>
          <w:rtl/>
        </w:rPr>
        <w:t xml:space="preserve"> </w:t>
      </w:r>
      <w:r w:rsidRPr="009B1D96">
        <w:rPr>
          <w:rStyle w:val="af7"/>
          <w:rFonts w:eastAsia="Guttman Hodes" w:hint="cs"/>
          <w:rtl/>
        </w:rPr>
        <w:t>(יט: ד"ה וכי, וד"ה קטן)</w:t>
      </w:r>
      <w:r>
        <w:rPr>
          <w:rFonts w:hint="cs"/>
          <w:rtl/>
        </w:rPr>
        <w:t xml:space="preserve"> דרובא דאיתא קמן היינו בט' חנויות דכיון שהם לפנינו, אמרינן כל דפריש מרובא פריש, וכן סנהדרין דאזלינן בתר הרוב, ואילו רובא דליתא קמן, היינו במקום שאין אנו רואים מהו רוב העולם, כרוב קטנים אינם סריסים שאין אנו רואים אם רוב העולם אינם סריסים, ואפ"ה אזלינן בתר רובא.</w:t>
      </w:r>
    </w:p>
    <w:p w14:paraId="7D4672D8" w14:textId="77777777" w:rsidR="009A2997" w:rsidRDefault="009A2997" w:rsidP="00BF39B2">
      <w:pPr>
        <w:pStyle w:val="1"/>
        <w:rPr>
          <w:rtl/>
        </w:rPr>
      </w:pPr>
      <w:bookmarkStart w:id="7761" w:name="_Toc528712475"/>
      <w:bookmarkStart w:id="7762" w:name="_Toc528777136"/>
      <w:bookmarkStart w:id="7763" w:name="_Toc528789696"/>
      <w:bookmarkStart w:id="7764" w:name="_Toc19389970"/>
      <w:bookmarkStart w:id="7765" w:name="_Toc19393467"/>
      <w:r>
        <w:rPr>
          <w:rFonts w:hint="cs"/>
          <w:rtl/>
        </w:rPr>
        <w:t>דעת התורי"ד דבאיתא קמן רוב של אותו דין מבטל את המיעוט</w:t>
      </w:r>
      <w:bookmarkEnd w:id="7761"/>
      <w:bookmarkEnd w:id="7762"/>
      <w:bookmarkEnd w:id="7763"/>
      <w:bookmarkEnd w:id="7764"/>
      <w:bookmarkEnd w:id="7765"/>
      <w:r>
        <w:rPr>
          <w:rFonts w:hint="cs"/>
          <w:rtl/>
        </w:rPr>
        <w:t xml:space="preserve"> </w:t>
      </w:r>
    </w:p>
    <w:p w14:paraId="12B0BC29" w14:textId="77777777" w:rsidR="009A2997" w:rsidRDefault="009A2997" w:rsidP="006D6D32">
      <w:pPr>
        <w:pStyle w:val="a3"/>
        <w:rPr>
          <w:rtl/>
        </w:rPr>
      </w:pPr>
      <w:bookmarkStart w:id="7766" w:name="_Toc528712476"/>
      <w:bookmarkStart w:id="7767" w:name="_Toc528777137"/>
      <w:bookmarkStart w:id="7768" w:name="_Toc528789697"/>
      <w:bookmarkStart w:id="7769" w:name="_Toc19389971"/>
      <w:bookmarkStart w:id="7770" w:name="_Toc19393468"/>
      <w:r>
        <w:rPr>
          <w:rFonts w:hint="cs"/>
          <w:rtl/>
        </w:rPr>
        <w:t>דברי התורי"ד דבט' חנויות יש ט' אפשרויות להיתר שמבטלות את האפשרות לאיסור</w:t>
      </w:r>
      <w:bookmarkEnd w:id="7766"/>
      <w:bookmarkEnd w:id="7767"/>
      <w:bookmarkEnd w:id="7768"/>
      <w:bookmarkEnd w:id="7769"/>
      <w:bookmarkEnd w:id="7770"/>
    </w:p>
    <w:p w14:paraId="212F35C1" w14:textId="77777777" w:rsidR="009A2997" w:rsidRDefault="009A2997" w:rsidP="00223668">
      <w:pPr>
        <w:pStyle w:val="a0"/>
        <w:rPr>
          <w:rtl/>
        </w:rPr>
      </w:pPr>
      <w:r>
        <w:rPr>
          <w:rFonts w:hint="cs"/>
          <w:rtl/>
        </w:rPr>
        <w:t xml:space="preserve">כתב </w:t>
      </w:r>
      <w:r w:rsidRPr="00AD72C0">
        <w:rPr>
          <w:rStyle w:val="af9"/>
          <w:rFonts w:hint="cs"/>
          <w:rtl/>
        </w:rPr>
        <w:t>התוס' רי"ד בב"ב</w:t>
      </w:r>
      <w:r>
        <w:rPr>
          <w:rFonts w:hint="cs"/>
          <w:rtl/>
        </w:rPr>
        <w:t xml:space="preserve"> </w:t>
      </w:r>
      <w:r w:rsidRPr="000F4FB1">
        <w:rPr>
          <w:rStyle w:val="af7"/>
          <w:rFonts w:eastAsia="Guttman Hodes" w:hint="cs"/>
          <w:rtl/>
        </w:rPr>
        <w:t>(כג: ד"ה ואי קשיא)</w:t>
      </w:r>
      <w:r>
        <w:rPr>
          <w:rFonts w:hint="cs"/>
          <w:rtl/>
        </w:rPr>
        <w:t xml:space="preserve"> דבט' חנויות כיון שיש ט' ביאות </w:t>
      </w:r>
      <w:r w:rsidRPr="00E83A0B">
        <w:rPr>
          <w:rStyle w:val="afb"/>
          <w:rFonts w:hint="cs"/>
          <w:rtl/>
        </w:rPr>
        <w:t>[דהיינו ט' אפשרויות]</w:t>
      </w:r>
      <w:r>
        <w:rPr>
          <w:rFonts w:hint="cs"/>
          <w:rtl/>
        </w:rPr>
        <w:t xml:space="preserve">, שהבשר בא מחנות שמתירה את הבשר, וביאה אחת </w:t>
      </w:r>
      <w:r w:rsidRPr="00E83A0B">
        <w:rPr>
          <w:rStyle w:val="afb"/>
          <w:rFonts w:hint="cs"/>
          <w:rtl/>
        </w:rPr>
        <w:t>[דהיינו אפשרות אחת]</w:t>
      </w:r>
      <w:r>
        <w:rPr>
          <w:rFonts w:hint="cs"/>
          <w:rtl/>
        </w:rPr>
        <w:t xml:space="preserve">, שהבשר בא מחנות </w:t>
      </w:r>
      <w:r w:rsidRPr="00A54757">
        <w:rPr>
          <w:rFonts w:hint="cs"/>
          <w:rtl/>
        </w:rPr>
        <w:t>שאוסרת אותו, אזלינן בתר רובא, דט</w:t>
      </w:r>
      <w:r>
        <w:rPr>
          <w:rFonts w:hint="cs"/>
          <w:rtl/>
        </w:rPr>
        <w:t>' החנויות מבטלות את החנות האחת.</w:t>
      </w:r>
    </w:p>
    <w:p w14:paraId="2B2E042E" w14:textId="77777777" w:rsidR="009A2997" w:rsidRPr="00B60217" w:rsidRDefault="009A2997" w:rsidP="006D6D32">
      <w:pPr>
        <w:pStyle w:val="a3"/>
      </w:pPr>
      <w:bookmarkStart w:id="7771" w:name="_Toc528712477"/>
      <w:bookmarkStart w:id="7772" w:name="_Toc528777138"/>
      <w:bookmarkStart w:id="7773" w:name="_Toc528789698"/>
      <w:bookmarkStart w:id="7774" w:name="_Toc19389972"/>
      <w:bookmarkStart w:id="7775" w:name="_Toc19393469"/>
      <w:r>
        <w:rPr>
          <w:rFonts w:hint="cs"/>
          <w:rtl/>
        </w:rPr>
        <w:t>דברי התורי"ד דדוקא במקום שהם מצטרפין ומסייעים אחד לשני לדין אחד שייך בו דין רוב</w:t>
      </w:r>
      <w:bookmarkEnd w:id="7771"/>
      <w:bookmarkEnd w:id="7772"/>
      <w:bookmarkEnd w:id="7773"/>
      <w:bookmarkEnd w:id="7774"/>
      <w:bookmarkEnd w:id="7775"/>
    </w:p>
    <w:p w14:paraId="1F63351A" w14:textId="77777777" w:rsidR="009A2997" w:rsidRPr="00A54757" w:rsidRDefault="009A2997" w:rsidP="00223668">
      <w:pPr>
        <w:pStyle w:val="a0"/>
        <w:rPr>
          <w:rtl/>
        </w:rPr>
      </w:pPr>
      <w:bookmarkStart w:id="7776" w:name="_Ref528688417"/>
      <w:r>
        <w:rPr>
          <w:rFonts w:hint="cs"/>
          <w:rtl/>
        </w:rPr>
        <w:t xml:space="preserve">והוסיף </w:t>
      </w:r>
      <w:r w:rsidRPr="00AD72C0">
        <w:rPr>
          <w:rStyle w:val="af9"/>
          <w:rFonts w:hint="cs"/>
          <w:rtl/>
        </w:rPr>
        <w:t>התוס' רי"ד בב"ב</w:t>
      </w:r>
      <w:r w:rsidRPr="00A54757">
        <w:rPr>
          <w:rFonts w:hint="cs"/>
          <w:rtl/>
        </w:rPr>
        <w:t xml:space="preserve"> </w:t>
      </w:r>
      <w:r>
        <w:rPr>
          <w:rFonts w:hint="cs"/>
          <w:rtl/>
        </w:rPr>
        <w:t xml:space="preserve">דדין רוב בעגלה ערופה שייך </w:t>
      </w:r>
      <w:r w:rsidRPr="00A54757">
        <w:rPr>
          <w:rFonts w:hint="cs"/>
          <w:rtl/>
        </w:rPr>
        <w:t xml:space="preserve">רק </w:t>
      </w:r>
      <w:r>
        <w:rPr>
          <w:rFonts w:hint="cs"/>
          <w:rtl/>
        </w:rPr>
        <w:t>במקום ש</w:t>
      </w:r>
      <w:r w:rsidRPr="00A54757">
        <w:rPr>
          <w:rFonts w:hint="cs"/>
          <w:rtl/>
        </w:rPr>
        <w:t xml:space="preserve">יש ט' עיירות של ישראל ואחת של נכרים, </w:t>
      </w:r>
      <w:r>
        <w:rPr>
          <w:rFonts w:hint="cs"/>
          <w:rtl/>
        </w:rPr>
        <w:t>דאזלינן בתר רובא</w:t>
      </w:r>
      <w:r w:rsidRPr="00A54757">
        <w:rPr>
          <w:rFonts w:hint="cs"/>
          <w:rtl/>
        </w:rPr>
        <w:t xml:space="preserve"> שבא מהישראל, דכל הט' עיירות מסייעות זו לזו, ואמרינן דהרוצח בא מעיר של </w:t>
      </w:r>
      <w:r w:rsidRPr="00B60217">
        <w:rPr>
          <w:rFonts w:hint="cs"/>
          <w:rtl/>
        </w:rPr>
        <w:t>ישראל, ואף כשהעיר של הנכרים היא קרובה, דרוב עדיף מקרוב</w:t>
      </w:r>
      <w:r>
        <w:rPr>
          <w:rFonts w:hint="cs"/>
          <w:rtl/>
        </w:rPr>
        <w:t>,</w:t>
      </w:r>
      <w:r w:rsidRPr="00B60217">
        <w:rPr>
          <w:rFonts w:hint="cs"/>
          <w:rtl/>
        </w:rPr>
        <w:t xml:space="preserve"> אבל במקום ש</w:t>
      </w:r>
      <w:r>
        <w:rPr>
          <w:rFonts w:hint="cs"/>
          <w:rtl/>
        </w:rPr>
        <w:t>כל העיירות הם של ישראל ו</w:t>
      </w:r>
      <w:r w:rsidRPr="00B60217">
        <w:rPr>
          <w:rFonts w:hint="cs"/>
          <w:rtl/>
        </w:rPr>
        <w:t xml:space="preserve">יש ט' עיירות </w:t>
      </w:r>
      <w:r>
        <w:rPr>
          <w:rFonts w:hint="cs"/>
          <w:rtl/>
        </w:rPr>
        <w:t>רחוקות</w:t>
      </w:r>
      <w:r w:rsidRPr="00B60217">
        <w:rPr>
          <w:rFonts w:hint="cs"/>
          <w:rtl/>
        </w:rPr>
        <w:t xml:space="preserve"> שהם </w:t>
      </w:r>
      <w:r>
        <w:rPr>
          <w:rFonts w:hint="cs"/>
          <w:rtl/>
        </w:rPr>
        <w:t>ה</w:t>
      </w:r>
      <w:r w:rsidRPr="00B60217">
        <w:rPr>
          <w:rFonts w:hint="cs"/>
          <w:rtl/>
        </w:rPr>
        <w:t>רוב, וכנגדן</w:t>
      </w:r>
      <w:r>
        <w:rPr>
          <w:rFonts w:hint="cs"/>
          <w:rtl/>
        </w:rPr>
        <w:t xml:space="preserve"> יש</w:t>
      </w:r>
      <w:r w:rsidRPr="00A54757">
        <w:rPr>
          <w:rFonts w:hint="cs"/>
          <w:rtl/>
        </w:rPr>
        <w:t xml:space="preserve"> עיר אחת</w:t>
      </w:r>
      <w:r>
        <w:rPr>
          <w:rFonts w:hint="cs"/>
          <w:rtl/>
        </w:rPr>
        <w:t xml:space="preserve"> </w:t>
      </w:r>
      <w:r w:rsidRPr="00A54757">
        <w:rPr>
          <w:rFonts w:hint="cs"/>
          <w:rtl/>
        </w:rPr>
        <w:t>שהיא קרובה, אין בזה דין רוב כלל, ד</w:t>
      </w:r>
      <w:r>
        <w:rPr>
          <w:rFonts w:hint="cs"/>
          <w:rtl/>
        </w:rPr>
        <w:t xml:space="preserve">כיון שכל העיירות הם של ישראל, </w:t>
      </w:r>
      <w:r w:rsidRPr="00A54757">
        <w:rPr>
          <w:rFonts w:hint="cs"/>
          <w:rtl/>
        </w:rPr>
        <w:t>כל עיר ועיר עומדת בפנ"ע, דלכל עיר יש ביאה אחת, והרוצח בא או מהעיר הזו או מהעיר הזו</w:t>
      </w:r>
      <w:r>
        <w:rPr>
          <w:rFonts w:hint="cs"/>
          <w:rtl/>
        </w:rPr>
        <w:t xml:space="preserve">. </w:t>
      </w:r>
      <w:r w:rsidRPr="000F4FB1">
        <w:rPr>
          <w:rStyle w:val="afb"/>
          <w:rFonts w:hint="cs"/>
          <w:rtl/>
        </w:rPr>
        <w:t>[דאין עיר אחת מסייעת לחברתה, ואינם מצטרפות לבטל את העיר הקרובה].</w:t>
      </w:r>
      <w:r>
        <w:rPr>
          <w:rFonts w:hint="cs"/>
          <w:rtl/>
        </w:rPr>
        <w:t xml:space="preserve"> ועי' </w:t>
      </w:r>
      <w:r w:rsidRPr="00AD72C0">
        <w:rPr>
          <w:rStyle w:val="af9"/>
          <w:rFonts w:hint="cs"/>
          <w:rtl/>
        </w:rPr>
        <w:t>בשער"י</w:t>
      </w:r>
      <w:r>
        <w:rPr>
          <w:rFonts w:hint="cs"/>
          <w:rtl/>
        </w:rPr>
        <w:t xml:space="preserve"> </w:t>
      </w:r>
      <w:r w:rsidRPr="000F4FB1">
        <w:rPr>
          <w:rStyle w:val="af7"/>
          <w:rFonts w:eastAsia="Guttman Hodes" w:hint="cs"/>
          <w:rtl/>
        </w:rPr>
        <w:t xml:space="preserve">(עי' אות </w:t>
      </w:r>
      <w:r w:rsidRPr="000F4FB1">
        <w:rPr>
          <w:rStyle w:val="af7"/>
          <w:rFonts w:eastAsia="Guttman Hodes"/>
          <w:rtl/>
        </w:rPr>
        <w:fldChar w:fldCharType="begin"/>
      </w:r>
      <w:r w:rsidRPr="000F4FB1">
        <w:rPr>
          <w:rStyle w:val="af7"/>
          <w:rFonts w:eastAsia="Guttman Hodes"/>
          <w:rtl/>
        </w:rPr>
        <w:instrText xml:space="preserve"> </w:instrText>
      </w:r>
      <w:r w:rsidRPr="000F4FB1">
        <w:rPr>
          <w:rStyle w:val="af7"/>
          <w:rFonts w:eastAsia="Guttman Hodes" w:hint="cs"/>
        </w:rPr>
        <w:instrText>REF</w:instrText>
      </w:r>
      <w:r w:rsidRPr="000F4FB1">
        <w:rPr>
          <w:rStyle w:val="af7"/>
          <w:rFonts w:eastAsia="Guttman Hodes" w:hint="cs"/>
          <w:rtl/>
        </w:rPr>
        <w:instrText xml:space="preserve"> _</w:instrText>
      </w:r>
      <w:r w:rsidRPr="000F4FB1">
        <w:rPr>
          <w:rStyle w:val="af7"/>
          <w:rFonts w:eastAsia="Guttman Hodes" w:hint="cs"/>
        </w:rPr>
        <w:instrText>Ref528688394 \r \h</w:instrText>
      </w:r>
      <w:r w:rsidRPr="000F4FB1">
        <w:rPr>
          <w:rStyle w:val="af7"/>
          <w:rFonts w:eastAsia="Guttman Hodes"/>
          <w:rtl/>
        </w:rPr>
        <w:instrText xml:space="preserve"> </w:instrText>
      </w:r>
      <w:r w:rsidRPr="000F4FB1">
        <w:rPr>
          <w:rStyle w:val="af7"/>
          <w:rFonts w:eastAsia="Guttman Hodes"/>
          <w:rtl/>
        </w:rPr>
      </w:r>
      <w:r w:rsidRPr="000F4FB1">
        <w:rPr>
          <w:rStyle w:val="af7"/>
          <w:rFonts w:eastAsia="Guttman Hodes"/>
          <w:rtl/>
        </w:rPr>
        <w:fldChar w:fldCharType="separate"/>
      </w:r>
      <w:r w:rsidR="00345400">
        <w:rPr>
          <w:rStyle w:val="af7"/>
          <w:rFonts w:eastAsia="Guttman Hodes"/>
          <w:cs/>
        </w:rPr>
        <w:t>‎</w:t>
      </w:r>
      <w:r w:rsidR="00345400">
        <w:rPr>
          <w:rStyle w:val="af7"/>
          <w:rFonts w:eastAsia="Guttman Hodes"/>
          <w:rtl/>
        </w:rPr>
        <w:t>צה)</w:t>
      </w:r>
      <w:r w:rsidRPr="000F4FB1">
        <w:rPr>
          <w:rStyle w:val="af7"/>
          <w:rFonts w:eastAsia="Guttman Hodes"/>
          <w:rtl/>
        </w:rPr>
        <w:fldChar w:fldCharType="end"/>
      </w:r>
      <w:r>
        <w:rPr>
          <w:rFonts w:hint="cs"/>
          <w:rtl/>
        </w:rPr>
        <w:t xml:space="preserve"> שכתב כעין סברא זו.</w:t>
      </w:r>
      <w:bookmarkEnd w:id="7776"/>
    </w:p>
    <w:p w14:paraId="3BF8D87F" w14:textId="77777777" w:rsidR="009A2997" w:rsidRDefault="009A2997" w:rsidP="00BF39B2">
      <w:pPr>
        <w:pStyle w:val="1"/>
        <w:rPr>
          <w:rtl/>
        </w:rPr>
      </w:pPr>
      <w:bookmarkStart w:id="7777" w:name="_Toc528712478"/>
      <w:bookmarkStart w:id="7778" w:name="_Toc528777139"/>
      <w:bookmarkStart w:id="7779" w:name="_Toc528789699"/>
      <w:bookmarkStart w:id="7780" w:name="_Toc19389973"/>
      <w:bookmarkStart w:id="7781" w:name="_Toc19393470"/>
      <w:r>
        <w:rPr>
          <w:rFonts w:hint="cs"/>
          <w:rtl/>
        </w:rPr>
        <w:t>דעת התוס' הרא"ש דרובא דאיתא קמן אינו דין ודאי</w:t>
      </w:r>
      <w:bookmarkEnd w:id="7777"/>
      <w:bookmarkEnd w:id="7778"/>
      <w:bookmarkEnd w:id="7779"/>
      <w:bookmarkEnd w:id="7780"/>
      <w:bookmarkEnd w:id="7781"/>
    </w:p>
    <w:p w14:paraId="549666DD" w14:textId="77777777" w:rsidR="009A2997" w:rsidRPr="009077B7" w:rsidRDefault="009A2997" w:rsidP="006D6D32">
      <w:pPr>
        <w:pStyle w:val="a3"/>
        <w:rPr>
          <w:rtl/>
        </w:rPr>
      </w:pPr>
      <w:bookmarkStart w:id="7782" w:name="_Toc528712479"/>
      <w:bookmarkStart w:id="7783" w:name="_Toc528777140"/>
      <w:bookmarkStart w:id="7784" w:name="_Toc528789700"/>
      <w:bookmarkStart w:id="7785" w:name="_Toc19389974"/>
      <w:bookmarkStart w:id="7786" w:name="_Toc19393471"/>
      <w:r>
        <w:rPr>
          <w:rFonts w:hint="cs"/>
          <w:rtl/>
        </w:rPr>
        <w:t>דברי התוס' הרא"ש דרובא דליתא קמן האיסור מתבטל ברוב אך אין לו דין ודאי כהרוב</w:t>
      </w:r>
      <w:bookmarkEnd w:id="7782"/>
      <w:bookmarkEnd w:id="7783"/>
      <w:bookmarkEnd w:id="7784"/>
      <w:bookmarkEnd w:id="7785"/>
      <w:bookmarkEnd w:id="7786"/>
    </w:p>
    <w:p w14:paraId="28F50740" w14:textId="77777777" w:rsidR="009A2997" w:rsidRDefault="009A2997" w:rsidP="00223668">
      <w:pPr>
        <w:pStyle w:val="a0"/>
        <w:rPr>
          <w:rStyle w:val="afb"/>
          <w:rtl/>
        </w:rPr>
      </w:pPr>
      <w:bookmarkStart w:id="7787" w:name="_Ref528495171"/>
      <w:r>
        <w:rPr>
          <w:rFonts w:hint="cs"/>
          <w:rtl/>
        </w:rPr>
        <w:t xml:space="preserve">כתב </w:t>
      </w:r>
      <w:r w:rsidRPr="007D358C">
        <w:rPr>
          <w:rStyle w:val="af9"/>
          <w:rFonts w:hint="cs"/>
          <w:rtl/>
        </w:rPr>
        <w:t>התוס' הרא"ש בב"מ</w:t>
      </w:r>
      <w:r>
        <w:rPr>
          <w:rFonts w:hint="cs"/>
          <w:rtl/>
        </w:rPr>
        <w:t xml:space="preserve"> </w:t>
      </w:r>
      <w:r w:rsidRPr="007D358C">
        <w:rPr>
          <w:rStyle w:val="af7"/>
          <w:rFonts w:eastAsia="Guttman Hodes" w:hint="cs"/>
          <w:rtl/>
        </w:rPr>
        <w:t xml:space="preserve">(ו: </w:t>
      </w:r>
      <w:r>
        <w:rPr>
          <w:rStyle w:val="af7"/>
          <w:rFonts w:eastAsia="Guttman Hodes" w:hint="cs"/>
          <w:rtl/>
        </w:rPr>
        <w:t>סו</w:t>
      </w:r>
      <w:r w:rsidRPr="007D358C">
        <w:rPr>
          <w:rStyle w:val="af7"/>
          <w:rFonts w:eastAsia="Guttman Hodes" w:hint="cs"/>
          <w:rtl/>
        </w:rPr>
        <w:t>ד"ה קפץ)</w:t>
      </w:r>
      <w:r>
        <w:rPr>
          <w:rFonts w:hint="cs"/>
          <w:rtl/>
        </w:rPr>
        <w:t xml:space="preserve"> דברובא דאיתא קמן דאמרינן כל דפריש מרובא פריש, הוא גזיה"כ להתיר את הספק באיסורין, דהאיסור נהפך להיתר ע"י ביטול ברוב, אך אין הכוונה שאינו ספק כלל, ולכן בדין "עשירי ודאי ולא עשירי ספק" אף במקום שיש רוב עדיין הוא בכלל ספק עשירי, ועי' במ"ש </w:t>
      </w:r>
      <w:r w:rsidRPr="00492376">
        <w:rPr>
          <w:rStyle w:val="af9"/>
          <w:rFonts w:hint="cs"/>
          <w:rtl/>
        </w:rPr>
        <w:t>בחי' רמ"ש</w:t>
      </w:r>
      <w:r>
        <w:rPr>
          <w:rFonts w:hint="cs"/>
          <w:rtl/>
        </w:rPr>
        <w:t xml:space="preserve"> </w:t>
      </w:r>
      <w:r w:rsidRPr="00492376">
        <w:rPr>
          <w:rStyle w:val="af7"/>
          <w:rFonts w:eastAsia="Guttman Hodes" w:hint="cs"/>
          <w:rtl/>
        </w:rPr>
        <w:t xml:space="preserve">(עי' אות </w:t>
      </w:r>
      <w:r w:rsidRPr="00492376">
        <w:rPr>
          <w:rStyle w:val="af7"/>
          <w:rFonts w:eastAsia="Guttman Hodes"/>
          <w:rtl/>
        </w:rPr>
        <w:fldChar w:fldCharType="begin"/>
      </w:r>
      <w:r w:rsidRPr="00492376">
        <w:rPr>
          <w:rStyle w:val="af7"/>
          <w:rFonts w:eastAsia="Guttman Hodes"/>
          <w:rtl/>
        </w:rPr>
        <w:instrText xml:space="preserve"> </w:instrText>
      </w:r>
      <w:r w:rsidRPr="00492376">
        <w:rPr>
          <w:rStyle w:val="af7"/>
          <w:rFonts w:eastAsia="Guttman Hodes" w:hint="cs"/>
        </w:rPr>
        <w:instrText>REF</w:instrText>
      </w:r>
      <w:r w:rsidRPr="00492376">
        <w:rPr>
          <w:rStyle w:val="af7"/>
          <w:rFonts w:eastAsia="Guttman Hodes" w:hint="cs"/>
          <w:rtl/>
        </w:rPr>
        <w:instrText xml:space="preserve"> _</w:instrText>
      </w:r>
      <w:r w:rsidRPr="00492376">
        <w:rPr>
          <w:rStyle w:val="af7"/>
          <w:rFonts w:eastAsia="Guttman Hodes" w:hint="cs"/>
        </w:rPr>
        <w:instrText>Ref528600178 \r \h</w:instrText>
      </w:r>
      <w:r w:rsidRPr="00492376">
        <w:rPr>
          <w:rStyle w:val="af7"/>
          <w:rFonts w:eastAsia="Guttman Hodes"/>
          <w:rtl/>
        </w:rPr>
        <w:instrText xml:space="preserve"> </w:instrText>
      </w:r>
      <w:r w:rsidRPr="00492376">
        <w:rPr>
          <w:rStyle w:val="af7"/>
          <w:rFonts w:eastAsia="Guttman Hodes"/>
          <w:rtl/>
        </w:rPr>
      </w:r>
      <w:r w:rsidRPr="00492376">
        <w:rPr>
          <w:rStyle w:val="af7"/>
          <w:rFonts w:eastAsia="Guttman Hodes"/>
          <w:rtl/>
        </w:rPr>
        <w:fldChar w:fldCharType="separate"/>
      </w:r>
      <w:r w:rsidR="00345400">
        <w:rPr>
          <w:rStyle w:val="af7"/>
          <w:rFonts w:eastAsia="Guttman Hodes"/>
          <w:cs/>
        </w:rPr>
        <w:t>‎</w:t>
      </w:r>
      <w:r w:rsidR="00345400">
        <w:rPr>
          <w:rStyle w:val="af7"/>
          <w:rFonts w:eastAsia="Guttman Hodes"/>
          <w:rtl/>
        </w:rPr>
        <w:t>ס)</w:t>
      </w:r>
      <w:r w:rsidRPr="00492376">
        <w:rPr>
          <w:rStyle w:val="af7"/>
          <w:rFonts w:eastAsia="Guttman Hodes"/>
          <w:rtl/>
        </w:rPr>
        <w:fldChar w:fldCharType="end"/>
      </w:r>
      <w:r>
        <w:rPr>
          <w:rFonts w:hint="cs"/>
          <w:rtl/>
        </w:rPr>
        <w:t>,</w:t>
      </w:r>
      <w:r w:rsidRPr="007D358C">
        <w:rPr>
          <w:rFonts w:hint="cs"/>
          <w:rtl/>
        </w:rPr>
        <w:t xml:space="preserve"> </w:t>
      </w:r>
      <w:r w:rsidRPr="0013326C">
        <w:rPr>
          <w:rStyle w:val="afb"/>
          <w:rFonts w:hint="cs"/>
          <w:rtl/>
        </w:rPr>
        <w:t xml:space="preserve">[ועמ"ש </w:t>
      </w:r>
      <w:r w:rsidRPr="0013326C">
        <w:rPr>
          <w:rStyle w:val="affa"/>
          <w:rFonts w:hint="cs"/>
          <w:rtl/>
        </w:rPr>
        <w:t>החת"ס</w:t>
      </w:r>
      <w:r w:rsidRPr="0013326C">
        <w:rPr>
          <w:rStyle w:val="afb"/>
          <w:rFonts w:hint="cs"/>
          <w:rtl/>
        </w:rPr>
        <w:t xml:space="preserve"> </w:t>
      </w:r>
      <w:r w:rsidRPr="0013326C">
        <w:rPr>
          <w:rStyle w:val="aff6"/>
          <w:rFonts w:hint="cs"/>
          <w:rtl/>
        </w:rPr>
        <w:t xml:space="preserve">(עי' אות </w:t>
      </w:r>
      <w:r w:rsidRPr="0013326C">
        <w:rPr>
          <w:rStyle w:val="aff6"/>
          <w:rtl/>
        </w:rPr>
        <w:fldChar w:fldCharType="begin"/>
      </w:r>
      <w:r w:rsidRPr="0013326C">
        <w:rPr>
          <w:rStyle w:val="aff6"/>
          <w:rtl/>
        </w:rPr>
        <w:instrText xml:space="preserve"> </w:instrText>
      </w:r>
      <w:r w:rsidRPr="0013326C">
        <w:rPr>
          <w:rStyle w:val="aff6"/>
          <w:rFonts w:hint="cs"/>
        </w:rPr>
        <w:instrText>REF</w:instrText>
      </w:r>
      <w:r w:rsidRPr="0013326C">
        <w:rPr>
          <w:rStyle w:val="aff6"/>
          <w:rFonts w:hint="cs"/>
          <w:rtl/>
        </w:rPr>
        <w:instrText xml:space="preserve"> _</w:instrText>
      </w:r>
      <w:r w:rsidRPr="0013326C">
        <w:rPr>
          <w:rStyle w:val="aff6"/>
          <w:rFonts w:hint="cs"/>
        </w:rPr>
        <w:instrText>Ref528495144 \r \h</w:instrText>
      </w:r>
      <w:r w:rsidRPr="0013326C">
        <w:rPr>
          <w:rStyle w:val="aff6"/>
          <w:rtl/>
        </w:rPr>
        <w:instrText xml:space="preserve"> </w:instrText>
      </w:r>
      <w:r w:rsidRPr="0013326C">
        <w:rPr>
          <w:rStyle w:val="aff6"/>
          <w:rtl/>
        </w:rPr>
      </w:r>
      <w:r w:rsidRPr="0013326C">
        <w:rPr>
          <w:rStyle w:val="aff6"/>
          <w:rtl/>
        </w:rPr>
        <w:fldChar w:fldCharType="separate"/>
      </w:r>
      <w:r w:rsidR="00345400">
        <w:rPr>
          <w:rStyle w:val="aff6"/>
          <w:cs/>
        </w:rPr>
        <w:t>‎</w:t>
      </w:r>
      <w:r w:rsidR="00345400">
        <w:rPr>
          <w:rStyle w:val="aff6"/>
          <w:rtl/>
        </w:rPr>
        <w:t>סג)</w:t>
      </w:r>
      <w:r w:rsidRPr="0013326C">
        <w:rPr>
          <w:rStyle w:val="aff6"/>
          <w:rtl/>
        </w:rPr>
        <w:fldChar w:fldCharType="end"/>
      </w:r>
      <w:r w:rsidRPr="0013326C">
        <w:rPr>
          <w:rStyle w:val="afb"/>
          <w:rFonts w:hint="cs"/>
          <w:rtl/>
        </w:rPr>
        <w:t xml:space="preserve"> עפ"י דברי </w:t>
      </w:r>
      <w:r w:rsidRPr="0013326C">
        <w:rPr>
          <w:rStyle w:val="affa"/>
          <w:rFonts w:hint="cs"/>
          <w:rtl/>
        </w:rPr>
        <w:t>התוס' הרא"ש</w:t>
      </w:r>
      <w:r>
        <w:rPr>
          <w:rStyle w:val="afb"/>
          <w:rFonts w:hint="cs"/>
          <w:rtl/>
        </w:rPr>
        <w:t xml:space="preserve">, וע"ע </w:t>
      </w:r>
      <w:r w:rsidRPr="00A14DD8">
        <w:rPr>
          <w:rStyle w:val="affa"/>
          <w:rFonts w:hint="cs"/>
          <w:rtl/>
        </w:rPr>
        <w:t>במשנת ר"א</w:t>
      </w:r>
      <w:r>
        <w:rPr>
          <w:rStyle w:val="afb"/>
          <w:rFonts w:hint="cs"/>
          <w:rtl/>
        </w:rPr>
        <w:t xml:space="preserve"> </w:t>
      </w:r>
      <w:r w:rsidRPr="00A14DD8">
        <w:rPr>
          <w:rStyle w:val="aff6"/>
          <w:rFonts w:hint="cs"/>
          <w:rtl/>
        </w:rPr>
        <w:t>(גיטין סי' א')</w:t>
      </w:r>
      <w:r>
        <w:rPr>
          <w:rStyle w:val="afb"/>
          <w:rFonts w:hint="cs"/>
          <w:rtl/>
        </w:rPr>
        <w:t xml:space="preserve"> שהאריך בזה טובא, וכתב </w:t>
      </w:r>
      <w:r w:rsidRPr="00A14DD8">
        <w:rPr>
          <w:rStyle w:val="affa"/>
          <w:rFonts w:hint="cs"/>
          <w:rtl/>
        </w:rPr>
        <w:t>במשנת ר"א</w:t>
      </w:r>
      <w:r>
        <w:rPr>
          <w:rStyle w:val="afb"/>
          <w:rFonts w:hint="cs"/>
          <w:rtl/>
        </w:rPr>
        <w:t xml:space="preserve"> </w:t>
      </w:r>
      <w:r w:rsidRPr="00A14DD8">
        <w:rPr>
          <w:rStyle w:val="aff6"/>
          <w:rFonts w:hint="cs"/>
          <w:rtl/>
        </w:rPr>
        <w:t>(גיטין סי' א'</w:t>
      </w:r>
      <w:r>
        <w:rPr>
          <w:rStyle w:val="aff6"/>
          <w:rFonts w:hint="cs"/>
          <w:rtl/>
        </w:rPr>
        <w:t xml:space="preserve"> אות ח'</w:t>
      </w:r>
      <w:r w:rsidRPr="00A14DD8">
        <w:rPr>
          <w:rStyle w:val="aff6"/>
          <w:rFonts w:hint="cs"/>
          <w:rtl/>
        </w:rPr>
        <w:t>)</w:t>
      </w:r>
      <w:r>
        <w:rPr>
          <w:rStyle w:val="afb"/>
          <w:rFonts w:hint="cs"/>
          <w:rtl/>
        </w:rPr>
        <w:t xml:space="preserve"> דכן דעת </w:t>
      </w:r>
      <w:r w:rsidRPr="00E805A1">
        <w:rPr>
          <w:rStyle w:val="affa"/>
          <w:rFonts w:hint="cs"/>
          <w:rtl/>
        </w:rPr>
        <w:t>הרמב"ם</w:t>
      </w:r>
      <w:r w:rsidRPr="0013326C">
        <w:rPr>
          <w:rStyle w:val="afb"/>
          <w:rFonts w:hint="cs"/>
          <w:rtl/>
        </w:rPr>
        <w:t>].</w:t>
      </w:r>
      <w:bookmarkEnd w:id="7787"/>
    </w:p>
    <w:p w14:paraId="5B23E95B" w14:textId="77777777" w:rsidR="009A2997" w:rsidRDefault="009A2997" w:rsidP="006D6D32">
      <w:pPr>
        <w:pStyle w:val="a3"/>
        <w:rPr>
          <w:rtl/>
        </w:rPr>
      </w:pPr>
      <w:bookmarkStart w:id="7788" w:name="_Toc528777141"/>
      <w:bookmarkStart w:id="7789" w:name="_Toc528789701"/>
      <w:bookmarkStart w:id="7790" w:name="_Toc19389975"/>
      <w:bookmarkStart w:id="7791" w:name="_Toc19393472"/>
      <w:r>
        <w:rPr>
          <w:rFonts w:hint="cs"/>
          <w:rtl/>
        </w:rPr>
        <w:t>דברי הנתיה"מ דדעת התוס' הרא"ש דההיתר באיסורים בכל דפריש הוא מדין ביטול ברוב</w:t>
      </w:r>
      <w:bookmarkEnd w:id="7788"/>
      <w:bookmarkEnd w:id="7789"/>
      <w:bookmarkEnd w:id="7790"/>
      <w:bookmarkEnd w:id="7791"/>
    </w:p>
    <w:p w14:paraId="0BBC305D" w14:textId="77777777" w:rsidR="009A2997" w:rsidRPr="00F900EE" w:rsidRDefault="009A2997" w:rsidP="00223668">
      <w:pPr>
        <w:pStyle w:val="a0"/>
        <w:rPr>
          <w:rtl/>
        </w:rPr>
      </w:pPr>
      <w:r w:rsidRPr="00F900EE">
        <w:rPr>
          <w:rtl/>
        </w:rPr>
        <w:t xml:space="preserve">וכתב </w:t>
      </w:r>
      <w:r w:rsidRPr="00F900EE">
        <w:rPr>
          <w:rStyle w:val="af9"/>
          <w:rtl/>
        </w:rPr>
        <w:t>בקהלת יעקב [לבעל הנתיה"מ]</w:t>
      </w:r>
      <w:r w:rsidRPr="00F900EE">
        <w:rPr>
          <w:rtl/>
        </w:rPr>
        <w:t xml:space="preserve"> </w:t>
      </w:r>
      <w:r w:rsidRPr="00F900EE">
        <w:rPr>
          <w:rStyle w:val="af7"/>
          <w:rFonts w:eastAsia="Guttman Hodes"/>
          <w:rtl/>
        </w:rPr>
        <w:t>(אבהע"ז סי' ד' סעיף ל"ג ד"ה וצריכה)</w:t>
      </w:r>
      <w:r w:rsidRPr="00F900EE">
        <w:rPr>
          <w:rtl/>
        </w:rPr>
        <w:t xml:space="preserve"> דמבואר בדברי </w:t>
      </w:r>
      <w:r w:rsidRPr="00F900EE">
        <w:rPr>
          <w:rStyle w:val="af9"/>
          <w:rtl/>
        </w:rPr>
        <w:t>התוס' הרא"ש בב"מ</w:t>
      </w:r>
      <w:r w:rsidRPr="00F900EE">
        <w:rPr>
          <w:rtl/>
        </w:rPr>
        <w:t xml:space="preserve"> דההיתר באיסורים בכל דפריש, הוא מדין ביטול ברוב</w:t>
      </w:r>
      <w:r>
        <w:rPr>
          <w:rFonts w:hint="cs"/>
          <w:rtl/>
        </w:rPr>
        <w:t xml:space="preserve">, ועי' במה שביאר בזה </w:t>
      </w:r>
      <w:r w:rsidRPr="00D94FF0">
        <w:rPr>
          <w:rStyle w:val="af9"/>
          <w:rFonts w:hint="cs"/>
          <w:rtl/>
        </w:rPr>
        <w:t>בדבר אברהם</w:t>
      </w:r>
      <w:r>
        <w:rPr>
          <w:rFonts w:hint="cs"/>
          <w:rtl/>
        </w:rPr>
        <w:t xml:space="preserve"> </w:t>
      </w:r>
      <w:r w:rsidRPr="00D94FF0">
        <w:rPr>
          <w:rStyle w:val="af7"/>
          <w:rFonts w:eastAsia="Guttman Hodes" w:hint="cs"/>
          <w:rtl/>
        </w:rPr>
        <w:t>(ח"א סי' ל"ד אות ד')</w:t>
      </w:r>
      <w:r>
        <w:rPr>
          <w:rFonts w:hint="cs"/>
          <w:rtl/>
        </w:rPr>
        <w:t xml:space="preserve">, וע"ע בדברי </w:t>
      </w:r>
      <w:r>
        <w:rPr>
          <w:rStyle w:val="af9"/>
          <w:rFonts w:hint="cs"/>
          <w:rtl/>
        </w:rPr>
        <w:t>ה</w:t>
      </w:r>
      <w:r w:rsidRPr="00ED14B7">
        <w:rPr>
          <w:rStyle w:val="af9"/>
          <w:rFonts w:hint="cs"/>
          <w:rtl/>
        </w:rPr>
        <w:t>שער"י</w:t>
      </w:r>
      <w:r>
        <w:rPr>
          <w:rFonts w:hint="cs"/>
          <w:rtl/>
        </w:rPr>
        <w:t xml:space="preserve"> </w:t>
      </w:r>
      <w:r w:rsidRPr="00ED14B7">
        <w:rPr>
          <w:rStyle w:val="af7"/>
          <w:rFonts w:eastAsia="Guttman Hodes" w:hint="cs"/>
          <w:rtl/>
        </w:rPr>
        <w:t xml:space="preserve">(עי' אות </w:t>
      </w:r>
      <w:r w:rsidRPr="00ED14B7">
        <w:rPr>
          <w:rStyle w:val="af7"/>
          <w:rFonts w:eastAsia="Guttman Hodes"/>
          <w:rtl/>
        </w:rPr>
        <w:fldChar w:fldCharType="begin"/>
      </w:r>
      <w:r w:rsidRPr="00ED14B7">
        <w:rPr>
          <w:rStyle w:val="af7"/>
          <w:rFonts w:eastAsia="Guttman Hodes"/>
          <w:rtl/>
        </w:rPr>
        <w:instrText xml:space="preserve"> </w:instrText>
      </w:r>
      <w:r w:rsidRPr="00ED14B7">
        <w:rPr>
          <w:rStyle w:val="af7"/>
          <w:rFonts w:eastAsia="Guttman Hodes" w:hint="cs"/>
        </w:rPr>
        <w:instrText>REF</w:instrText>
      </w:r>
      <w:r w:rsidRPr="00ED14B7">
        <w:rPr>
          <w:rStyle w:val="af7"/>
          <w:rFonts w:eastAsia="Guttman Hodes" w:hint="cs"/>
          <w:rtl/>
        </w:rPr>
        <w:instrText xml:space="preserve"> _</w:instrText>
      </w:r>
      <w:r w:rsidRPr="00ED14B7">
        <w:rPr>
          <w:rStyle w:val="af7"/>
          <w:rFonts w:eastAsia="Guttman Hodes" w:hint="cs"/>
        </w:rPr>
        <w:instrText>Ref528772877 \r \h</w:instrText>
      </w:r>
      <w:r w:rsidRPr="00ED14B7">
        <w:rPr>
          <w:rStyle w:val="af7"/>
          <w:rFonts w:eastAsia="Guttman Hodes"/>
          <w:rtl/>
        </w:rPr>
        <w:instrText xml:space="preserve"> </w:instrText>
      </w:r>
      <w:r w:rsidRPr="00ED14B7">
        <w:rPr>
          <w:rStyle w:val="af7"/>
          <w:rFonts w:eastAsia="Guttman Hodes"/>
          <w:rtl/>
        </w:rPr>
      </w:r>
      <w:r w:rsidRPr="00ED14B7">
        <w:rPr>
          <w:rStyle w:val="af7"/>
          <w:rFonts w:eastAsia="Guttman Hodes"/>
          <w:rtl/>
        </w:rPr>
        <w:fldChar w:fldCharType="separate"/>
      </w:r>
      <w:r w:rsidR="00345400">
        <w:rPr>
          <w:rStyle w:val="af7"/>
          <w:rFonts w:eastAsia="Guttman Hodes"/>
          <w:cs/>
        </w:rPr>
        <w:t>‎</w:t>
      </w:r>
      <w:r w:rsidR="00345400">
        <w:rPr>
          <w:rStyle w:val="af7"/>
          <w:rFonts w:eastAsia="Guttman Hodes"/>
          <w:rtl/>
        </w:rPr>
        <w:t>קכד)</w:t>
      </w:r>
      <w:r w:rsidRPr="00ED14B7">
        <w:rPr>
          <w:rStyle w:val="af7"/>
          <w:rFonts w:eastAsia="Guttman Hodes"/>
          <w:rtl/>
        </w:rPr>
        <w:fldChar w:fldCharType="end"/>
      </w:r>
      <w:r>
        <w:rPr>
          <w:rFonts w:hint="cs"/>
          <w:rtl/>
        </w:rPr>
        <w:t xml:space="preserve"> בזה</w:t>
      </w:r>
      <w:r w:rsidRPr="00F900EE">
        <w:rPr>
          <w:rtl/>
        </w:rPr>
        <w:t>.</w:t>
      </w:r>
    </w:p>
    <w:p w14:paraId="4D980D44" w14:textId="77777777" w:rsidR="009A2997" w:rsidRDefault="009A2997" w:rsidP="00BF39B2">
      <w:pPr>
        <w:pStyle w:val="1"/>
        <w:rPr>
          <w:rtl/>
        </w:rPr>
      </w:pPr>
      <w:bookmarkStart w:id="7792" w:name="_Toc528712480"/>
      <w:bookmarkStart w:id="7793" w:name="_Toc528777142"/>
      <w:bookmarkStart w:id="7794" w:name="_Toc528789702"/>
      <w:bookmarkStart w:id="7795" w:name="_Toc19389976"/>
      <w:bookmarkStart w:id="7796" w:name="_Toc19393473"/>
      <w:r>
        <w:rPr>
          <w:rFonts w:hint="cs"/>
          <w:rtl/>
        </w:rPr>
        <w:t>ביאור ה</w:t>
      </w:r>
      <w:r w:rsidR="00345400">
        <w:rPr>
          <w:rFonts w:hint="cs"/>
          <w:rtl/>
        </w:rPr>
        <w:t>פלתי</w:t>
      </w:r>
      <w:r>
        <w:rPr>
          <w:rFonts w:hint="cs"/>
          <w:rtl/>
        </w:rPr>
        <w:t xml:space="preserve"> בתוס' בכתובות דאף ברובא דא"ק הוא דין ודאי</w:t>
      </w:r>
      <w:bookmarkEnd w:id="7792"/>
      <w:bookmarkEnd w:id="7793"/>
      <w:bookmarkEnd w:id="7794"/>
      <w:bookmarkEnd w:id="7795"/>
      <w:bookmarkEnd w:id="7796"/>
    </w:p>
    <w:p w14:paraId="5D41CD5B" w14:textId="77777777" w:rsidR="009A2997" w:rsidRPr="00875E50" w:rsidRDefault="009A2997" w:rsidP="006D6D32">
      <w:pPr>
        <w:pStyle w:val="a3"/>
      </w:pPr>
      <w:bookmarkStart w:id="7797" w:name="_Toc528712481"/>
      <w:bookmarkStart w:id="7798" w:name="_Toc528777143"/>
      <w:bookmarkStart w:id="7799" w:name="_Toc528789703"/>
      <w:bookmarkStart w:id="7800" w:name="_Toc19389977"/>
      <w:bookmarkStart w:id="7801" w:name="_Toc19393474"/>
      <w:r>
        <w:rPr>
          <w:rFonts w:hint="cs"/>
          <w:rtl/>
        </w:rPr>
        <w:t>דברי התוס' בכתובות דרוב ככל וביאר ה</w:t>
      </w:r>
      <w:r w:rsidR="00345400">
        <w:rPr>
          <w:rFonts w:hint="cs"/>
          <w:rtl/>
        </w:rPr>
        <w:t>פלתי</w:t>
      </w:r>
      <w:r>
        <w:rPr>
          <w:rFonts w:hint="cs"/>
          <w:rtl/>
        </w:rPr>
        <w:t xml:space="preserve"> דס"ל דברובא דא"ק הוא יש לרוב דין ודאי</w:t>
      </w:r>
      <w:bookmarkEnd w:id="7797"/>
      <w:bookmarkEnd w:id="7798"/>
      <w:bookmarkEnd w:id="7799"/>
      <w:bookmarkEnd w:id="7800"/>
      <w:bookmarkEnd w:id="7801"/>
    </w:p>
    <w:p w14:paraId="40700C3A" w14:textId="77777777" w:rsidR="009A2997" w:rsidRPr="00205F2D" w:rsidRDefault="009A2997" w:rsidP="00223668">
      <w:pPr>
        <w:pStyle w:val="a0"/>
        <w:rPr>
          <w:rtl/>
        </w:rPr>
      </w:pPr>
      <w:r w:rsidRPr="007E6C55">
        <w:rPr>
          <w:rStyle w:val="af9"/>
          <w:rFonts w:hint="cs"/>
          <w:rtl/>
        </w:rPr>
        <w:t>ובתוס' בכתובות</w:t>
      </w:r>
      <w:r>
        <w:rPr>
          <w:rFonts w:hint="cs"/>
          <w:rtl/>
        </w:rPr>
        <w:t xml:space="preserve"> </w:t>
      </w:r>
      <w:r w:rsidRPr="007E6C55">
        <w:rPr>
          <w:rStyle w:val="af7"/>
          <w:rFonts w:eastAsia="Guttman Hodes" w:hint="cs"/>
          <w:rtl/>
        </w:rPr>
        <w:t>(יג: ד"ה מסייע)</w:t>
      </w:r>
      <w:r>
        <w:rPr>
          <w:rFonts w:hint="cs"/>
          <w:rtl/>
        </w:rPr>
        <w:t xml:space="preserve"> כתבו דבאשה שספק נבעלה לפסולים, אין חילוק בין מקום שיש רוב פסולים </w:t>
      </w:r>
      <w:r w:rsidRPr="0085123C">
        <w:rPr>
          <w:rStyle w:val="afb"/>
          <w:rFonts w:hint="cs"/>
          <w:rtl/>
        </w:rPr>
        <w:t>[כחורבא בדברא]</w:t>
      </w:r>
      <w:r>
        <w:rPr>
          <w:rFonts w:hint="cs"/>
          <w:rtl/>
        </w:rPr>
        <w:t xml:space="preserve">, למקום שכולם פסולים </w:t>
      </w:r>
      <w:r w:rsidRPr="0085123C">
        <w:rPr>
          <w:rStyle w:val="afb"/>
          <w:rFonts w:hint="cs"/>
          <w:rtl/>
        </w:rPr>
        <w:t>[כשבויה]</w:t>
      </w:r>
      <w:r>
        <w:rPr>
          <w:rFonts w:hint="cs"/>
          <w:rtl/>
        </w:rPr>
        <w:t xml:space="preserve">, כיון שרוב הוא כמו כל. וכתב </w:t>
      </w:r>
      <w:r w:rsidRPr="0085123C">
        <w:rPr>
          <w:rStyle w:val="af9"/>
          <w:rFonts w:hint="cs"/>
          <w:rtl/>
        </w:rPr>
        <w:t>ה</w:t>
      </w:r>
      <w:r w:rsidR="00345400">
        <w:rPr>
          <w:rStyle w:val="af9"/>
          <w:rFonts w:hint="cs"/>
          <w:rtl/>
        </w:rPr>
        <w:t>פלתי</w:t>
      </w:r>
      <w:r w:rsidRPr="0085123C">
        <w:rPr>
          <w:rStyle w:val="af9"/>
          <w:rFonts w:hint="cs"/>
          <w:rtl/>
        </w:rPr>
        <w:t xml:space="preserve"> </w:t>
      </w:r>
      <w:r w:rsidRPr="0085123C">
        <w:rPr>
          <w:rStyle w:val="af7"/>
          <w:rFonts w:eastAsia="Guttman Hodes" w:hint="cs"/>
          <w:rtl/>
        </w:rPr>
        <w:t xml:space="preserve">(יו"ד ס"ג א' ד"ה ונראה דזה) </w:t>
      </w:r>
      <w:r w:rsidRPr="00DB2BF9">
        <w:rPr>
          <w:rFonts w:hint="cs"/>
          <w:rtl/>
        </w:rPr>
        <w:t xml:space="preserve">דמבואר </w:t>
      </w:r>
      <w:r>
        <w:rPr>
          <w:rStyle w:val="af9"/>
          <w:rFonts w:hint="cs"/>
          <w:rtl/>
        </w:rPr>
        <w:t>ב</w:t>
      </w:r>
      <w:r w:rsidRPr="00875E50">
        <w:rPr>
          <w:rStyle w:val="af9"/>
          <w:rFonts w:hint="cs"/>
          <w:rtl/>
        </w:rPr>
        <w:t xml:space="preserve">תוס' </w:t>
      </w:r>
      <w:r>
        <w:rPr>
          <w:rStyle w:val="af9"/>
          <w:rFonts w:hint="cs"/>
          <w:rtl/>
        </w:rPr>
        <w:t>בכתובות</w:t>
      </w:r>
      <w:r>
        <w:rPr>
          <w:rFonts w:hint="cs"/>
          <w:rtl/>
        </w:rPr>
        <w:t xml:space="preserve"> דהם </w:t>
      </w:r>
      <w:r w:rsidRPr="00205F2D">
        <w:rPr>
          <w:rFonts w:hint="cs"/>
          <w:rtl/>
        </w:rPr>
        <w:t xml:space="preserve">פליגי על </w:t>
      </w:r>
      <w:r w:rsidRPr="00875E50">
        <w:rPr>
          <w:rStyle w:val="af9"/>
          <w:rFonts w:hint="cs"/>
          <w:rtl/>
        </w:rPr>
        <w:t>התוס' הרא"ש</w:t>
      </w:r>
      <w:r>
        <w:rPr>
          <w:rStyle w:val="af9"/>
          <w:rFonts w:hint="cs"/>
          <w:rtl/>
        </w:rPr>
        <w:t xml:space="preserve"> בב"מ</w:t>
      </w:r>
      <w:r>
        <w:rPr>
          <w:rFonts w:hint="cs"/>
          <w:rtl/>
        </w:rPr>
        <w:t>,</w:t>
      </w:r>
      <w:r w:rsidRPr="00205F2D">
        <w:rPr>
          <w:rFonts w:hint="cs"/>
          <w:rtl/>
        </w:rPr>
        <w:t xml:space="preserve"> וס"ל דאף ברובא דאיתא קמן הוא דין ודאי</w:t>
      </w:r>
      <w:r>
        <w:rPr>
          <w:rFonts w:hint="cs"/>
          <w:rtl/>
        </w:rPr>
        <w:t>,</w:t>
      </w:r>
      <w:r w:rsidRPr="004D179A">
        <w:rPr>
          <w:rFonts w:hint="cs"/>
          <w:rtl/>
        </w:rPr>
        <w:t xml:space="preserve"> </w:t>
      </w:r>
      <w:r w:rsidRPr="00205F2D">
        <w:rPr>
          <w:rFonts w:hint="cs"/>
          <w:rtl/>
        </w:rPr>
        <w:t>וע</w:t>
      </w:r>
      <w:r>
        <w:rPr>
          <w:rFonts w:hint="cs"/>
          <w:rtl/>
        </w:rPr>
        <w:t>"ע</w:t>
      </w:r>
      <w:r w:rsidRPr="00205F2D">
        <w:rPr>
          <w:rFonts w:hint="cs"/>
          <w:rtl/>
        </w:rPr>
        <w:t xml:space="preserve"> </w:t>
      </w:r>
      <w:r w:rsidRPr="00875E50">
        <w:rPr>
          <w:rStyle w:val="af9"/>
          <w:rFonts w:hint="cs"/>
          <w:rtl/>
        </w:rPr>
        <w:t>בשערי תורה</w:t>
      </w:r>
      <w:r w:rsidRPr="00205F2D">
        <w:rPr>
          <w:rFonts w:hint="cs"/>
          <w:rtl/>
        </w:rPr>
        <w:t xml:space="preserve"> </w:t>
      </w:r>
      <w:r w:rsidRPr="00875E50">
        <w:rPr>
          <w:rStyle w:val="af7"/>
          <w:rFonts w:eastAsia="Guttman Hodes" w:hint="cs"/>
          <w:rtl/>
        </w:rPr>
        <w:t xml:space="preserve">(ח"ב ענייני חזקות כלל א' אות ב') </w:t>
      </w:r>
      <w:r w:rsidRPr="00205F2D">
        <w:rPr>
          <w:rFonts w:hint="cs"/>
          <w:rtl/>
        </w:rPr>
        <w:t>דכתב</w:t>
      </w:r>
      <w:r>
        <w:rPr>
          <w:rFonts w:hint="cs"/>
          <w:rtl/>
        </w:rPr>
        <w:t xml:space="preserve"> דכיון</w:t>
      </w:r>
      <w:r w:rsidRPr="00205F2D">
        <w:rPr>
          <w:rFonts w:hint="cs"/>
          <w:rtl/>
        </w:rPr>
        <w:t xml:space="preserve"> </w:t>
      </w:r>
      <w:r w:rsidRPr="00875E50">
        <w:rPr>
          <w:rStyle w:val="af9"/>
          <w:rFonts w:hint="cs"/>
          <w:rtl/>
        </w:rPr>
        <w:t>דהתוס' בב"מ</w:t>
      </w:r>
      <w:r w:rsidRPr="00205F2D">
        <w:rPr>
          <w:rFonts w:hint="cs"/>
          <w:rtl/>
        </w:rPr>
        <w:t xml:space="preserve"> </w:t>
      </w:r>
      <w:r w:rsidRPr="00875E50">
        <w:rPr>
          <w:rStyle w:val="af7"/>
          <w:rFonts w:eastAsia="Guttman Hodes" w:hint="cs"/>
          <w:rtl/>
        </w:rPr>
        <w:t>(ו: ד"ה קפץ)</w:t>
      </w:r>
      <w:r w:rsidRPr="00205F2D">
        <w:rPr>
          <w:rFonts w:hint="cs"/>
          <w:rtl/>
        </w:rPr>
        <w:t xml:space="preserve"> </w:t>
      </w:r>
      <w:r>
        <w:rPr>
          <w:rFonts w:hint="cs"/>
          <w:rtl/>
        </w:rPr>
        <w:t xml:space="preserve">לא תירצו </w:t>
      </w:r>
      <w:r>
        <w:rPr>
          <w:rStyle w:val="af9"/>
          <w:rFonts w:hint="cs"/>
          <w:rtl/>
        </w:rPr>
        <w:t>כ</w:t>
      </w:r>
      <w:r w:rsidRPr="00875E50">
        <w:rPr>
          <w:rStyle w:val="af9"/>
          <w:rFonts w:hint="cs"/>
          <w:rtl/>
        </w:rPr>
        <w:t>התוס' הרא"ש</w:t>
      </w:r>
      <w:r>
        <w:rPr>
          <w:rStyle w:val="af9"/>
          <w:rFonts w:hint="cs"/>
          <w:rtl/>
        </w:rPr>
        <w:t xml:space="preserve"> בב"מ</w:t>
      </w:r>
      <w:r>
        <w:rPr>
          <w:rFonts w:hint="cs"/>
          <w:rtl/>
        </w:rPr>
        <w:t>,</w:t>
      </w:r>
      <w:r w:rsidRPr="00205F2D">
        <w:rPr>
          <w:rFonts w:hint="cs"/>
          <w:rtl/>
        </w:rPr>
        <w:t xml:space="preserve"> </w:t>
      </w:r>
      <w:r>
        <w:rPr>
          <w:rFonts w:hint="cs"/>
          <w:rtl/>
        </w:rPr>
        <w:t>א"כ מבואר ד</w:t>
      </w:r>
      <w:r w:rsidRPr="00205F2D">
        <w:rPr>
          <w:rFonts w:hint="cs"/>
          <w:rtl/>
        </w:rPr>
        <w:t>פליגי על</w:t>
      </w:r>
      <w:r>
        <w:rPr>
          <w:rFonts w:hint="cs"/>
          <w:rtl/>
        </w:rPr>
        <w:t>יה,</w:t>
      </w:r>
      <w:r w:rsidRPr="00205F2D">
        <w:rPr>
          <w:rFonts w:hint="cs"/>
          <w:rtl/>
        </w:rPr>
        <w:t xml:space="preserve"> וס"ל דאף ברובא דאיתא קמן הוא דין ודאי.</w:t>
      </w:r>
    </w:p>
    <w:p w14:paraId="2591E3B0" w14:textId="77777777" w:rsidR="009A2997" w:rsidRDefault="009A2997" w:rsidP="00BF39B2">
      <w:pPr>
        <w:pStyle w:val="1"/>
        <w:rPr>
          <w:rtl/>
        </w:rPr>
      </w:pPr>
      <w:bookmarkStart w:id="7802" w:name="_Toc528712482"/>
      <w:bookmarkStart w:id="7803" w:name="_Toc528777144"/>
      <w:bookmarkStart w:id="7804" w:name="_Toc528789704"/>
      <w:bookmarkStart w:id="7805" w:name="_Toc19389978"/>
      <w:bookmarkStart w:id="7806" w:name="_Toc19393475"/>
      <w:r>
        <w:rPr>
          <w:rFonts w:hint="cs"/>
          <w:rtl/>
        </w:rPr>
        <w:t>ביאור הש"ש בתוס' הרא"ש דרובא דא"ק הוא דין ולא סברא</w:t>
      </w:r>
      <w:bookmarkEnd w:id="7802"/>
      <w:bookmarkEnd w:id="7803"/>
      <w:bookmarkEnd w:id="7804"/>
      <w:bookmarkEnd w:id="7805"/>
      <w:bookmarkEnd w:id="7806"/>
    </w:p>
    <w:p w14:paraId="68D8AFE0" w14:textId="77777777" w:rsidR="009A2997" w:rsidRPr="006966E4" w:rsidRDefault="009A2997" w:rsidP="006D6D32">
      <w:pPr>
        <w:pStyle w:val="a3"/>
        <w:rPr>
          <w:rtl/>
        </w:rPr>
      </w:pPr>
      <w:bookmarkStart w:id="7807" w:name="_Toc528712483"/>
      <w:bookmarkStart w:id="7808" w:name="_Toc528777145"/>
      <w:bookmarkStart w:id="7809" w:name="_Toc528789705"/>
      <w:bookmarkStart w:id="7810" w:name="_Toc19389979"/>
      <w:bookmarkStart w:id="7811" w:name="_Toc19393476"/>
      <w:r>
        <w:rPr>
          <w:rFonts w:hint="cs"/>
          <w:rtl/>
        </w:rPr>
        <w:t>ביאור הש"ש בתורא"ש דברובא דא"ק אינו סברא והתורה התירה מדין רוב אף שנשאר ספק</w:t>
      </w:r>
      <w:bookmarkEnd w:id="7807"/>
      <w:bookmarkEnd w:id="7808"/>
      <w:bookmarkEnd w:id="7809"/>
      <w:bookmarkEnd w:id="7810"/>
      <w:bookmarkEnd w:id="7811"/>
      <w:r>
        <w:rPr>
          <w:rFonts w:hint="cs"/>
          <w:rtl/>
        </w:rPr>
        <w:t xml:space="preserve"> </w:t>
      </w:r>
    </w:p>
    <w:p w14:paraId="5BE01584" w14:textId="77777777" w:rsidR="009A2997" w:rsidRDefault="009A2997" w:rsidP="00223668">
      <w:pPr>
        <w:pStyle w:val="a0"/>
        <w:rPr>
          <w:rtl/>
        </w:rPr>
      </w:pPr>
      <w:bookmarkStart w:id="7812" w:name="_Ref528578332"/>
      <w:bookmarkStart w:id="7813" w:name="_Ref528785445"/>
      <w:r>
        <w:rPr>
          <w:rStyle w:val="af9"/>
          <w:rFonts w:hint="cs"/>
          <w:rtl/>
        </w:rPr>
        <w:t>ו</w:t>
      </w:r>
      <w:r w:rsidRPr="00595F02">
        <w:rPr>
          <w:rStyle w:val="af9"/>
          <w:rFonts w:hint="cs"/>
          <w:rtl/>
        </w:rPr>
        <w:t>הש</w:t>
      </w:r>
      <w:r w:rsidRPr="0013326C">
        <w:rPr>
          <w:rStyle w:val="af9"/>
          <w:rFonts w:hint="cs"/>
          <w:rtl/>
        </w:rPr>
        <w:t>"ש</w:t>
      </w:r>
      <w:r w:rsidRPr="00595F02">
        <w:rPr>
          <w:rStyle w:val="af7"/>
          <w:rFonts w:eastAsia="Guttman Hodes" w:hint="cs"/>
          <w:rtl/>
        </w:rPr>
        <w:t xml:space="preserve"> (ש"ב פט"ו ד"ה ולכן)</w:t>
      </w:r>
      <w:r>
        <w:rPr>
          <w:rFonts w:hint="cs"/>
          <w:rtl/>
        </w:rPr>
        <w:t xml:space="preserve"> ביאר את דברי </w:t>
      </w:r>
      <w:r w:rsidRPr="00595F02">
        <w:rPr>
          <w:rStyle w:val="af9"/>
          <w:rFonts w:hint="cs"/>
          <w:rtl/>
        </w:rPr>
        <w:t>התוס' הרא"ש</w:t>
      </w:r>
      <w:r>
        <w:rPr>
          <w:rFonts w:hint="cs"/>
          <w:rtl/>
        </w:rPr>
        <w:t xml:space="preserve"> דברובא דאיתא קמן דאמרינן כל דפריש מרובא פריש, היינו דיש דין ללכת אחר הרוב, אך אין הרוב מברר את הדין בודאי, דמסברא יכול להיות שפרש מהרוב כמו שפרש מהמיעוט, והוא גזירת הכתוב דאזלינן בתר רובא, ולכן לענין דין "עשירי ודאי ולא עשירי ספק", חשיב שהתירתו תורה מדין רוב, אך עדיין הוא נשאר בספק.</w:t>
      </w:r>
      <w:bookmarkEnd w:id="7812"/>
      <w:r w:rsidRPr="00074FFC">
        <w:rPr>
          <w:rFonts w:hint="cs"/>
          <w:rtl/>
        </w:rPr>
        <w:t xml:space="preserve"> </w:t>
      </w:r>
      <w:r>
        <w:rPr>
          <w:rFonts w:hint="cs"/>
          <w:rtl/>
        </w:rPr>
        <w:t xml:space="preserve">וביאר </w:t>
      </w:r>
      <w:r w:rsidRPr="000C1DC6">
        <w:rPr>
          <w:rStyle w:val="af9"/>
          <w:rFonts w:hint="cs"/>
          <w:rtl/>
        </w:rPr>
        <w:t>הקוב"ש</w:t>
      </w:r>
      <w:r>
        <w:rPr>
          <w:rFonts w:hint="cs"/>
          <w:rtl/>
        </w:rPr>
        <w:t xml:space="preserve"> </w:t>
      </w:r>
      <w:r w:rsidRPr="000C1DC6">
        <w:rPr>
          <w:rStyle w:val="af7"/>
          <w:rFonts w:eastAsia="Guttman Hodes" w:hint="cs"/>
          <w:rtl/>
        </w:rPr>
        <w:t>(ח"ב סי' מ"ה אות י"א)</w:t>
      </w:r>
      <w:r>
        <w:rPr>
          <w:rFonts w:hint="cs"/>
          <w:rtl/>
        </w:rPr>
        <w:t xml:space="preserve"> דכוונת </w:t>
      </w:r>
      <w:r w:rsidRPr="000C1DC6">
        <w:rPr>
          <w:rStyle w:val="af9"/>
          <w:rFonts w:hint="cs"/>
          <w:rtl/>
        </w:rPr>
        <w:t>הש"ש</w:t>
      </w:r>
      <w:r>
        <w:rPr>
          <w:rFonts w:hint="cs"/>
          <w:rtl/>
        </w:rPr>
        <w:t xml:space="preserve"> לומר דרובא דאיתא קמן אינו בירור ויש רק גזיה"כ דאזלינן בתר רובא, אך במקום שיש דין "ודאי" לא מהני הרוב.</w:t>
      </w:r>
      <w:bookmarkEnd w:id="7813"/>
    </w:p>
    <w:p w14:paraId="3EA64D6F" w14:textId="77777777" w:rsidR="009A2997" w:rsidRDefault="009A2997" w:rsidP="006D6D32">
      <w:pPr>
        <w:pStyle w:val="a3"/>
        <w:rPr>
          <w:rtl/>
        </w:rPr>
      </w:pPr>
      <w:bookmarkStart w:id="7814" w:name="_Toc528712484"/>
      <w:bookmarkStart w:id="7815" w:name="_Toc528777146"/>
      <w:bookmarkStart w:id="7816" w:name="_Toc528789706"/>
      <w:bookmarkStart w:id="7817" w:name="_Toc19389980"/>
      <w:bookmarkStart w:id="7818" w:name="_Toc19393477"/>
      <w:r>
        <w:rPr>
          <w:rFonts w:hint="cs"/>
          <w:rtl/>
        </w:rPr>
        <w:t>ביאור הש"ש בתורא"ש דברובא דליתא קמן מסברא אזלינן בתר רובא ויש לרוב דין ודאי</w:t>
      </w:r>
      <w:bookmarkEnd w:id="7814"/>
      <w:bookmarkEnd w:id="7815"/>
      <w:bookmarkEnd w:id="7816"/>
      <w:bookmarkEnd w:id="7817"/>
      <w:bookmarkEnd w:id="7818"/>
    </w:p>
    <w:p w14:paraId="0CF5650F" w14:textId="77777777" w:rsidR="009A2997" w:rsidRPr="008767B6" w:rsidRDefault="009A2997" w:rsidP="00223668">
      <w:pPr>
        <w:pStyle w:val="a0"/>
        <w:rPr>
          <w:rtl/>
        </w:rPr>
      </w:pPr>
      <w:r>
        <w:rPr>
          <w:rFonts w:hint="cs"/>
          <w:rtl/>
        </w:rPr>
        <w:t xml:space="preserve">אך כתב </w:t>
      </w:r>
      <w:r w:rsidRPr="00595F02">
        <w:rPr>
          <w:rStyle w:val="af9"/>
          <w:rFonts w:hint="cs"/>
          <w:rtl/>
        </w:rPr>
        <w:t>הש"ש</w:t>
      </w:r>
      <w:r>
        <w:rPr>
          <w:rFonts w:hint="cs"/>
          <w:rtl/>
        </w:rPr>
        <w:t xml:space="preserve"> </w:t>
      </w:r>
      <w:r w:rsidRPr="00595F02">
        <w:rPr>
          <w:rStyle w:val="af7"/>
          <w:rFonts w:eastAsia="Guttman Hodes" w:hint="cs"/>
          <w:rtl/>
        </w:rPr>
        <w:t>(ש"ב פט"ו ד"ה והא)</w:t>
      </w:r>
      <w:r>
        <w:rPr>
          <w:rFonts w:hint="cs"/>
          <w:rtl/>
        </w:rPr>
        <w:t xml:space="preserve"> דזהו דוקא ברובא דאיתא קמן, אבל ברובא דליתא קמן חשיב דין ודאי, ולכן בדין "ממזר ודאי ולא ממזר ספק", כשיש רובא דאיתא קמן, חשיב שנפשט הספק לגמרי, וביאר </w:t>
      </w:r>
      <w:r w:rsidRPr="00595F02">
        <w:rPr>
          <w:rStyle w:val="af9"/>
          <w:rFonts w:hint="cs"/>
          <w:rtl/>
        </w:rPr>
        <w:t>הש"ש</w:t>
      </w:r>
      <w:r>
        <w:rPr>
          <w:rFonts w:hint="cs"/>
          <w:rtl/>
        </w:rPr>
        <w:t xml:space="preserve"> דרובא דליתא קמן הוא רוב מסברא, כמבואר בגמ' בסוגיין דמקשה "ודלמא לאו אביו הוא" ואזלינן בתר הרוב, ומסברא ודאי שהוא אביו. וביאר </w:t>
      </w:r>
      <w:r w:rsidRPr="000C1DC6">
        <w:rPr>
          <w:rStyle w:val="af9"/>
          <w:rFonts w:hint="cs"/>
          <w:rtl/>
        </w:rPr>
        <w:t>הקוב"ש</w:t>
      </w:r>
      <w:r>
        <w:rPr>
          <w:rFonts w:hint="cs"/>
          <w:rtl/>
        </w:rPr>
        <w:t xml:space="preserve"> </w:t>
      </w:r>
      <w:r w:rsidRPr="000C1DC6">
        <w:rPr>
          <w:rStyle w:val="af7"/>
          <w:rFonts w:eastAsia="Guttman Hodes" w:hint="cs"/>
          <w:rtl/>
        </w:rPr>
        <w:t>(ח"ב סי' מ"ה אות י"א)</w:t>
      </w:r>
      <w:r>
        <w:rPr>
          <w:rFonts w:hint="cs"/>
          <w:rtl/>
        </w:rPr>
        <w:t xml:space="preserve"> דכוונת </w:t>
      </w:r>
      <w:r w:rsidRPr="000C1DC6">
        <w:rPr>
          <w:rStyle w:val="af9"/>
          <w:rFonts w:hint="cs"/>
          <w:rtl/>
        </w:rPr>
        <w:t>הש"ש</w:t>
      </w:r>
      <w:r>
        <w:rPr>
          <w:rFonts w:hint="cs"/>
          <w:rtl/>
        </w:rPr>
        <w:t xml:space="preserve"> לומר דרובא דליתא קמן הוא </w:t>
      </w:r>
      <w:r w:rsidRPr="008767B6">
        <w:rPr>
          <w:rFonts w:hint="cs"/>
          <w:rtl/>
        </w:rPr>
        <w:t>בירור כמו אנן סהדי, ולכן הוא נקרא "ודאי"</w:t>
      </w:r>
      <w:r>
        <w:rPr>
          <w:rFonts w:hint="cs"/>
          <w:rtl/>
        </w:rPr>
        <w:t xml:space="preserve">, ועי' בדברי </w:t>
      </w:r>
      <w:r w:rsidRPr="00F137B0">
        <w:rPr>
          <w:rStyle w:val="af9"/>
          <w:rFonts w:hint="cs"/>
          <w:rtl/>
        </w:rPr>
        <w:t>הגרש"ר</w:t>
      </w:r>
      <w:r>
        <w:rPr>
          <w:rFonts w:hint="cs"/>
          <w:rtl/>
        </w:rPr>
        <w:t xml:space="preserve"> </w:t>
      </w:r>
      <w:r w:rsidRPr="00F137B0">
        <w:rPr>
          <w:rStyle w:val="af7"/>
          <w:rFonts w:eastAsia="Guttman Hodes" w:hint="cs"/>
          <w:rtl/>
        </w:rPr>
        <w:t xml:space="preserve">(עי' אות </w:t>
      </w:r>
      <w:r w:rsidRPr="00F137B0">
        <w:rPr>
          <w:rStyle w:val="af7"/>
          <w:rFonts w:eastAsia="Guttman Hodes"/>
          <w:rtl/>
        </w:rPr>
        <w:fldChar w:fldCharType="begin"/>
      </w:r>
      <w:r w:rsidRPr="00F137B0">
        <w:rPr>
          <w:rStyle w:val="af7"/>
          <w:rFonts w:eastAsia="Guttman Hodes"/>
          <w:rtl/>
        </w:rPr>
        <w:instrText xml:space="preserve"> </w:instrText>
      </w:r>
      <w:r w:rsidRPr="00F137B0">
        <w:rPr>
          <w:rStyle w:val="af7"/>
          <w:rFonts w:eastAsia="Guttman Hodes" w:hint="cs"/>
        </w:rPr>
        <w:instrText>REF</w:instrText>
      </w:r>
      <w:r w:rsidRPr="00F137B0">
        <w:rPr>
          <w:rStyle w:val="af7"/>
          <w:rFonts w:eastAsia="Guttman Hodes" w:hint="cs"/>
          <w:rtl/>
        </w:rPr>
        <w:instrText xml:space="preserve"> _</w:instrText>
      </w:r>
      <w:r w:rsidRPr="00F137B0">
        <w:rPr>
          <w:rStyle w:val="af7"/>
          <w:rFonts w:eastAsia="Guttman Hodes" w:hint="cs"/>
        </w:rPr>
        <w:instrText>Ref528785540 \r \h</w:instrText>
      </w:r>
      <w:r w:rsidRPr="00F137B0">
        <w:rPr>
          <w:rStyle w:val="af7"/>
          <w:rFonts w:eastAsia="Guttman Hodes"/>
          <w:rtl/>
        </w:rPr>
        <w:instrText xml:space="preserve"> </w:instrText>
      </w:r>
      <w:r w:rsidRPr="00F137B0">
        <w:rPr>
          <w:rStyle w:val="af7"/>
          <w:rFonts w:eastAsia="Guttman Hodes"/>
          <w:rtl/>
        </w:rPr>
      </w:r>
      <w:r w:rsidRPr="00F137B0">
        <w:rPr>
          <w:rStyle w:val="af7"/>
          <w:rFonts w:eastAsia="Guttman Hodes"/>
          <w:rtl/>
        </w:rPr>
        <w:fldChar w:fldCharType="separate"/>
      </w:r>
      <w:r w:rsidR="00345400">
        <w:rPr>
          <w:rStyle w:val="af7"/>
          <w:rFonts w:eastAsia="Guttman Hodes"/>
          <w:cs/>
        </w:rPr>
        <w:t>‎</w:t>
      </w:r>
      <w:r w:rsidR="00345400">
        <w:rPr>
          <w:rStyle w:val="af7"/>
          <w:rFonts w:eastAsia="Guttman Hodes"/>
          <w:rtl/>
        </w:rPr>
        <w:t>קו)</w:t>
      </w:r>
      <w:r w:rsidRPr="00F137B0">
        <w:rPr>
          <w:rStyle w:val="af7"/>
          <w:rFonts w:eastAsia="Guttman Hodes"/>
          <w:rtl/>
        </w:rPr>
        <w:fldChar w:fldCharType="end"/>
      </w:r>
      <w:r>
        <w:rPr>
          <w:rFonts w:hint="cs"/>
          <w:rtl/>
        </w:rPr>
        <w:t xml:space="preserve"> </w:t>
      </w:r>
      <w:r w:rsidRPr="00D90ED3">
        <w:rPr>
          <w:rStyle w:val="af9"/>
          <w:rFonts w:hint="cs"/>
          <w:rtl/>
        </w:rPr>
        <w:t>והקה"י</w:t>
      </w:r>
      <w:r>
        <w:rPr>
          <w:rFonts w:hint="cs"/>
          <w:rtl/>
        </w:rPr>
        <w:t xml:space="preserve"> </w:t>
      </w:r>
      <w:r w:rsidRPr="00D90ED3">
        <w:rPr>
          <w:rStyle w:val="af7"/>
          <w:rFonts w:eastAsia="Guttman Hodes" w:hint="cs"/>
          <w:rtl/>
        </w:rPr>
        <w:t xml:space="preserve">(עי' אות </w:t>
      </w:r>
      <w:r w:rsidRPr="00D90ED3">
        <w:rPr>
          <w:rStyle w:val="af7"/>
          <w:rFonts w:eastAsia="Guttman Hodes"/>
          <w:rtl/>
        </w:rPr>
        <w:fldChar w:fldCharType="begin"/>
      </w:r>
      <w:r w:rsidRPr="00D90ED3">
        <w:rPr>
          <w:rStyle w:val="af7"/>
          <w:rFonts w:eastAsia="Guttman Hodes"/>
          <w:rtl/>
        </w:rPr>
        <w:instrText xml:space="preserve"> </w:instrText>
      </w:r>
      <w:r w:rsidRPr="00D90ED3">
        <w:rPr>
          <w:rStyle w:val="af7"/>
          <w:rFonts w:eastAsia="Guttman Hodes" w:hint="cs"/>
        </w:rPr>
        <w:instrText>REF</w:instrText>
      </w:r>
      <w:r w:rsidRPr="00D90ED3">
        <w:rPr>
          <w:rStyle w:val="af7"/>
          <w:rFonts w:eastAsia="Guttman Hodes" w:hint="cs"/>
          <w:rtl/>
        </w:rPr>
        <w:instrText xml:space="preserve"> _</w:instrText>
      </w:r>
      <w:r w:rsidRPr="00D90ED3">
        <w:rPr>
          <w:rStyle w:val="af7"/>
          <w:rFonts w:eastAsia="Guttman Hodes" w:hint="cs"/>
        </w:rPr>
        <w:instrText>Ref528785951 \r \h</w:instrText>
      </w:r>
      <w:r w:rsidRPr="00D90ED3">
        <w:rPr>
          <w:rStyle w:val="af7"/>
          <w:rFonts w:eastAsia="Guttman Hodes"/>
          <w:rtl/>
        </w:rPr>
        <w:instrText xml:space="preserve"> </w:instrText>
      </w:r>
      <w:r w:rsidRPr="00D90ED3">
        <w:rPr>
          <w:rStyle w:val="af7"/>
          <w:rFonts w:eastAsia="Guttman Hodes"/>
          <w:rtl/>
        </w:rPr>
      </w:r>
      <w:r w:rsidRPr="00D90ED3">
        <w:rPr>
          <w:rStyle w:val="af7"/>
          <w:rFonts w:eastAsia="Guttman Hodes"/>
          <w:rtl/>
        </w:rPr>
        <w:fldChar w:fldCharType="separate"/>
      </w:r>
      <w:r w:rsidR="00345400">
        <w:rPr>
          <w:rStyle w:val="af7"/>
          <w:rFonts w:eastAsia="Guttman Hodes"/>
          <w:cs/>
        </w:rPr>
        <w:t>‎</w:t>
      </w:r>
      <w:r w:rsidR="00345400">
        <w:rPr>
          <w:rStyle w:val="af7"/>
          <w:rFonts w:eastAsia="Guttman Hodes"/>
          <w:rtl/>
        </w:rPr>
        <w:t>קיד)</w:t>
      </w:r>
      <w:r w:rsidRPr="00D90ED3">
        <w:rPr>
          <w:rStyle w:val="af7"/>
          <w:rFonts w:eastAsia="Guttman Hodes"/>
          <w:rtl/>
        </w:rPr>
        <w:fldChar w:fldCharType="end"/>
      </w:r>
      <w:r w:rsidRPr="008767B6">
        <w:rPr>
          <w:rFonts w:hint="cs"/>
          <w:rtl/>
        </w:rPr>
        <w:t xml:space="preserve">. </w:t>
      </w:r>
    </w:p>
    <w:p w14:paraId="3D3299BC" w14:textId="77777777" w:rsidR="009A2997" w:rsidRDefault="009A2997" w:rsidP="006D6D32">
      <w:pPr>
        <w:pStyle w:val="a3"/>
        <w:rPr>
          <w:rtl/>
        </w:rPr>
      </w:pPr>
      <w:bookmarkStart w:id="7819" w:name="_Toc528712485"/>
      <w:bookmarkStart w:id="7820" w:name="_Toc528777147"/>
      <w:bookmarkStart w:id="7821" w:name="_Toc528789707"/>
      <w:bookmarkStart w:id="7822" w:name="_Toc19389981"/>
      <w:bookmarkStart w:id="7823" w:name="_Toc19393478"/>
      <w:r>
        <w:rPr>
          <w:rFonts w:hint="cs"/>
          <w:rtl/>
        </w:rPr>
        <w:t>דברי הש"ש דברובא דא"ק יכול להיות שפרש מהמיעוט וברובא דל"ק חשיב שידוע שהיה כהרוב</w:t>
      </w:r>
      <w:bookmarkEnd w:id="7819"/>
      <w:bookmarkEnd w:id="7820"/>
      <w:bookmarkEnd w:id="7821"/>
      <w:bookmarkEnd w:id="7822"/>
      <w:bookmarkEnd w:id="7823"/>
    </w:p>
    <w:p w14:paraId="59409E5B" w14:textId="77777777" w:rsidR="009A2997" w:rsidRDefault="009A2997" w:rsidP="00223668">
      <w:pPr>
        <w:pStyle w:val="a0"/>
      </w:pPr>
      <w:bookmarkStart w:id="7824" w:name="_Ref528785102"/>
      <w:r>
        <w:rPr>
          <w:rFonts w:hint="cs"/>
          <w:rtl/>
        </w:rPr>
        <w:t xml:space="preserve">ועו"כ </w:t>
      </w:r>
      <w:r w:rsidRPr="003824A5">
        <w:rPr>
          <w:rStyle w:val="af9"/>
          <w:rFonts w:hint="cs"/>
          <w:rtl/>
        </w:rPr>
        <w:t>הש"ש</w:t>
      </w:r>
      <w:r>
        <w:rPr>
          <w:rFonts w:hint="cs"/>
          <w:rtl/>
        </w:rPr>
        <w:t xml:space="preserve"> </w:t>
      </w:r>
      <w:r w:rsidRPr="004A59FD">
        <w:rPr>
          <w:rStyle w:val="af7"/>
          <w:rFonts w:eastAsia="Guttman Hodes" w:hint="cs"/>
          <w:rtl/>
        </w:rPr>
        <w:t xml:space="preserve">(ש"ב פט"ז ד"ה ואפשר) </w:t>
      </w:r>
      <w:r>
        <w:rPr>
          <w:rFonts w:hint="cs"/>
          <w:rtl/>
        </w:rPr>
        <w:t xml:space="preserve">דרובא דאיתא קמן, אינו רוב שתלוי בסברא, דהרי מסברא יכול להיות שפירש מהרוב כמו שפירש מהמיעוט, אלא דאמרה תורה דאזלינן בתר הרוב, ואמרינן כל דפריש מרוב פריש, אך אינו דין ודאי. אבל ברובא דליתא קמן, מסברא אזלינן בתר הרוב, וחשיב שידוע לנו בודאי שהמציאות הייתה כמו הרוב. </w:t>
      </w:r>
      <w:r w:rsidRPr="003824A5">
        <w:rPr>
          <w:rStyle w:val="afb"/>
          <w:rFonts w:hint="cs"/>
          <w:rtl/>
        </w:rPr>
        <w:t xml:space="preserve">[וכתב </w:t>
      </w:r>
      <w:r w:rsidRPr="003824A5">
        <w:rPr>
          <w:rStyle w:val="affa"/>
          <w:rFonts w:hint="cs"/>
          <w:rtl/>
        </w:rPr>
        <w:t>הש"ש</w:t>
      </w:r>
      <w:r>
        <w:rPr>
          <w:rStyle w:val="afb"/>
          <w:rFonts w:hint="cs"/>
          <w:rtl/>
        </w:rPr>
        <w:t xml:space="preserve"> </w:t>
      </w:r>
      <w:r w:rsidRPr="003824A5">
        <w:rPr>
          <w:rStyle w:val="afb"/>
          <w:rFonts w:hint="cs"/>
          <w:rtl/>
        </w:rPr>
        <w:t>דבשבויה שיש רוב דהנכרים פרוצים, והוא רוב על כל נכרי ונכרי, חשיב שידוע לנו בהכרח ובסברא שנבעלה].</w:t>
      </w:r>
      <w:bookmarkEnd w:id="7824"/>
      <w:r>
        <w:rPr>
          <w:rFonts w:hint="cs"/>
          <w:rtl/>
        </w:rPr>
        <w:t xml:space="preserve"> ועי' במ"ש </w:t>
      </w:r>
      <w:r w:rsidRPr="004A59FD">
        <w:rPr>
          <w:rStyle w:val="af9"/>
          <w:rFonts w:hint="cs"/>
          <w:rtl/>
        </w:rPr>
        <w:t>הקוב"ש</w:t>
      </w:r>
      <w:r>
        <w:rPr>
          <w:rFonts w:hint="cs"/>
          <w:rtl/>
        </w:rPr>
        <w:t xml:space="preserve"> </w:t>
      </w:r>
      <w:r w:rsidRPr="004A59FD">
        <w:rPr>
          <w:rStyle w:val="af7"/>
          <w:rFonts w:eastAsia="Guttman Hodes" w:hint="cs"/>
          <w:rtl/>
        </w:rPr>
        <w:t xml:space="preserve">(עי' אות </w:t>
      </w:r>
      <w:bookmarkStart w:id="7825" w:name="_Toc528777148"/>
      <w:r w:rsidRPr="004A59FD">
        <w:rPr>
          <w:rStyle w:val="af7"/>
          <w:rFonts w:eastAsia="Guttman Hodes"/>
          <w:rtl/>
        </w:rPr>
        <w:fldChar w:fldCharType="begin"/>
      </w:r>
      <w:r w:rsidRPr="004A59FD">
        <w:rPr>
          <w:rStyle w:val="af7"/>
          <w:rFonts w:eastAsia="Guttman Hodes"/>
          <w:rtl/>
        </w:rPr>
        <w:instrText xml:space="preserve"> </w:instrText>
      </w:r>
      <w:r w:rsidRPr="004A59FD">
        <w:rPr>
          <w:rStyle w:val="af7"/>
          <w:rFonts w:eastAsia="Guttman Hodes" w:hint="cs"/>
        </w:rPr>
        <w:instrText>REF</w:instrText>
      </w:r>
      <w:r w:rsidRPr="004A59FD">
        <w:rPr>
          <w:rStyle w:val="af7"/>
          <w:rFonts w:eastAsia="Guttman Hodes" w:hint="cs"/>
          <w:rtl/>
        </w:rPr>
        <w:instrText xml:space="preserve"> _</w:instrText>
      </w:r>
      <w:r w:rsidRPr="004A59FD">
        <w:rPr>
          <w:rStyle w:val="af7"/>
          <w:rFonts w:eastAsia="Guttman Hodes" w:hint="cs"/>
        </w:rPr>
        <w:instrText>Ref528093402 \r \h</w:instrText>
      </w:r>
      <w:r w:rsidRPr="004A59FD">
        <w:rPr>
          <w:rStyle w:val="af7"/>
          <w:rFonts w:eastAsia="Guttman Hodes"/>
          <w:rtl/>
        </w:rPr>
        <w:instrText xml:space="preserve"> </w:instrText>
      </w:r>
      <w:r w:rsidRPr="004A59FD">
        <w:rPr>
          <w:rStyle w:val="af7"/>
          <w:rFonts w:eastAsia="Guttman Hodes"/>
          <w:rtl/>
        </w:rPr>
      </w:r>
      <w:r w:rsidRPr="004A59FD">
        <w:rPr>
          <w:rStyle w:val="af7"/>
          <w:rFonts w:eastAsia="Guttman Hodes"/>
          <w:rtl/>
        </w:rPr>
        <w:fldChar w:fldCharType="separate"/>
      </w:r>
      <w:r w:rsidR="00345400">
        <w:rPr>
          <w:rStyle w:val="af7"/>
          <w:rFonts w:eastAsia="Guttman Hodes"/>
          <w:cs/>
        </w:rPr>
        <w:t>‎</w:t>
      </w:r>
      <w:r w:rsidR="00345400">
        <w:rPr>
          <w:rStyle w:val="af7"/>
          <w:rFonts w:eastAsia="Guttman Hodes"/>
          <w:rtl/>
        </w:rPr>
        <w:t>קד)</w:t>
      </w:r>
      <w:r w:rsidRPr="004A59FD">
        <w:rPr>
          <w:rStyle w:val="af7"/>
          <w:rFonts w:eastAsia="Guttman Hodes"/>
          <w:rtl/>
        </w:rPr>
        <w:fldChar w:fldCharType="end"/>
      </w:r>
      <w:r>
        <w:rPr>
          <w:rFonts w:hint="cs"/>
          <w:rtl/>
        </w:rPr>
        <w:t>.</w:t>
      </w:r>
    </w:p>
    <w:p w14:paraId="1F07F9D4" w14:textId="77777777" w:rsidR="009A2997" w:rsidRDefault="009A2997" w:rsidP="00BF39B2">
      <w:pPr>
        <w:pStyle w:val="1"/>
        <w:rPr>
          <w:rtl/>
        </w:rPr>
      </w:pPr>
      <w:bookmarkStart w:id="7826" w:name="_Toc528789708"/>
      <w:bookmarkStart w:id="7827" w:name="_Toc19389982"/>
      <w:bookmarkStart w:id="7828" w:name="_Toc19393479"/>
      <w:r w:rsidRPr="009769F7">
        <w:rPr>
          <w:rFonts w:hint="cs"/>
          <w:rtl/>
        </w:rPr>
        <w:t xml:space="preserve">ביאור הדבר אברהם </w:t>
      </w:r>
      <w:r>
        <w:rPr>
          <w:rFonts w:hint="cs"/>
          <w:rtl/>
        </w:rPr>
        <w:t>דאף לה</w:t>
      </w:r>
      <w:r w:rsidRPr="009769F7">
        <w:rPr>
          <w:rFonts w:hint="cs"/>
          <w:rtl/>
        </w:rPr>
        <w:t xml:space="preserve">תורא"ש </w:t>
      </w:r>
      <w:r>
        <w:rPr>
          <w:rFonts w:hint="cs"/>
          <w:rtl/>
        </w:rPr>
        <w:t>רובא דא"ק הוא דין ודאי</w:t>
      </w:r>
      <w:bookmarkEnd w:id="7825"/>
      <w:bookmarkEnd w:id="7826"/>
      <w:bookmarkEnd w:id="7827"/>
      <w:bookmarkEnd w:id="7828"/>
    </w:p>
    <w:p w14:paraId="1007FBA8" w14:textId="77777777" w:rsidR="009A2997" w:rsidRDefault="009A2997" w:rsidP="006D6D32">
      <w:pPr>
        <w:pStyle w:val="a3"/>
        <w:rPr>
          <w:rtl/>
        </w:rPr>
      </w:pPr>
      <w:bookmarkStart w:id="7829" w:name="_Toc528777149"/>
      <w:bookmarkStart w:id="7830" w:name="_Toc528789709"/>
      <w:bookmarkStart w:id="7831" w:name="_Toc19389983"/>
      <w:bookmarkStart w:id="7832" w:name="_Toc19393480"/>
      <w:r>
        <w:rPr>
          <w:rFonts w:hint="cs"/>
          <w:rtl/>
        </w:rPr>
        <w:t>דברי הדבר אברהם דדוקא לענין מעשה בהמה אין הרוב כודאי דצריך שימנה במנין ברור</w:t>
      </w:r>
      <w:bookmarkEnd w:id="7829"/>
      <w:bookmarkEnd w:id="7830"/>
      <w:bookmarkEnd w:id="7831"/>
      <w:bookmarkEnd w:id="7832"/>
    </w:p>
    <w:p w14:paraId="1D4E1401" w14:textId="77777777" w:rsidR="009A2997" w:rsidRDefault="009A2997" w:rsidP="00223668">
      <w:pPr>
        <w:pStyle w:val="a0"/>
        <w:rPr>
          <w:rtl/>
        </w:rPr>
      </w:pPr>
      <w:bookmarkStart w:id="7833" w:name="_Toc528712486"/>
      <w:r>
        <w:rPr>
          <w:rFonts w:hint="cs"/>
          <w:rtl/>
        </w:rPr>
        <w:t xml:space="preserve">אבל </w:t>
      </w:r>
      <w:r w:rsidRPr="00D94FF0">
        <w:rPr>
          <w:rStyle w:val="af9"/>
          <w:rFonts w:hint="cs"/>
          <w:rtl/>
        </w:rPr>
        <w:t>בדבר אברהם</w:t>
      </w:r>
      <w:r>
        <w:rPr>
          <w:rFonts w:hint="cs"/>
          <w:rtl/>
        </w:rPr>
        <w:t xml:space="preserve"> </w:t>
      </w:r>
      <w:r w:rsidRPr="00D94FF0">
        <w:rPr>
          <w:rStyle w:val="af7"/>
          <w:rFonts w:eastAsia="Guttman Hodes" w:hint="cs"/>
          <w:rtl/>
        </w:rPr>
        <w:t xml:space="preserve">(ח"א סי' ל"ד אות ד') </w:t>
      </w:r>
      <w:r>
        <w:rPr>
          <w:rFonts w:hint="cs"/>
          <w:rtl/>
        </w:rPr>
        <w:t xml:space="preserve">כתב דאף </w:t>
      </w:r>
      <w:r w:rsidRPr="00D94FF0">
        <w:rPr>
          <w:rStyle w:val="af9"/>
          <w:rFonts w:hint="cs"/>
          <w:rtl/>
        </w:rPr>
        <w:t>התוס' הרא"ש בב"מ</w:t>
      </w:r>
      <w:r>
        <w:rPr>
          <w:rFonts w:hint="cs"/>
          <w:rtl/>
        </w:rPr>
        <w:t xml:space="preserve"> מודה דברובא דאיתא קמן, יש לרוב דין ודאי, ולענין דין "ממזר ודאי ולא ממזר ספק" הוא ודאי גמור, ורק לענין מעשר בהמה שיש דין מנין, צריך שימנה בודאי ולא בספק, ולכן אף שמדין הרוב לדינא הוא ודאי גמור, מ"מ לענין המונה עצמו אינו ברור לו, ולכן חשיב שלא מנה בודאי.</w:t>
      </w:r>
    </w:p>
    <w:p w14:paraId="57623823" w14:textId="77777777" w:rsidR="009A2997" w:rsidRDefault="009A2997" w:rsidP="006D6D32">
      <w:pPr>
        <w:pStyle w:val="a3"/>
        <w:rPr>
          <w:rtl/>
        </w:rPr>
      </w:pPr>
      <w:bookmarkStart w:id="7834" w:name="_Toc528777150"/>
      <w:bookmarkStart w:id="7835" w:name="_Toc528789710"/>
      <w:bookmarkStart w:id="7836" w:name="_Toc19389984"/>
      <w:bookmarkStart w:id="7837" w:name="_Toc19393481"/>
      <w:r>
        <w:rPr>
          <w:rFonts w:hint="cs"/>
          <w:rtl/>
        </w:rPr>
        <w:t>דברי הברוך טעם דכוונת התורא"ש שרוב אינו כודאי ודחיית הדבר אברהם דלא משמע כן</w:t>
      </w:r>
      <w:bookmarkEnd w:id="7834"/>
      <w:bookmarkEnd w:id="7835"/>
      <w:bookmarkEnd w:id="7836"/>
      <w:bookmarkEnd w:id="7837"/>
    </w:p>
    <w:p w14:paraId="6E108562" w14:textId="77777777" w:rsidR="009A2997" w:rsidRDefault="009A2997" w:rsidP="00223668">
      <w:pPr>
        <w:pStyle w:val="a0"/>
        <w:rPr>
          <w:rtl/>
        </w:rPr>
      </w:pPr>
      <w:bookmarkStart w:id="7838" w:name="_Ref528784294"/>
      <w:r>
        <w:rPr>
          <w:rFonts w:hint="cs"/>
          <w:rtl/>
        </w:rPr>
        <w:t xml:space="preserve">והביא </w:t>
      </w:r>
      <w:r w:rsidRPr="00D94FF0">
        <w:rPr>
          <w:rStyle w:val="af9"/>
          <w:rFonts w:hint="cs"/>
          <w:rtl/>
        </w:rPr>
        <w:t>הדבר אברהם</w:t>
      </w:r>
      <w:r>
        <w:rPr>
          <w:rFonts w:hint="cs"/>
          <w:rtl/>
        </w:rPr>
        <w:t xml:space="preserve"> את דברי </w:t>
      </w:r>
      <w:r w:rsidRPr="00D94FF0">
        <w:rPr>
          <w:rStyle w:val="af9"/>
          <w:rFonts w:hint="cs"/>
          <w:rtl/>
        </w:rPr>
        <w:t>הברוך טעם</w:t>
      </w:r>
      <w:r>
        <w:rPr>
          <w:rFonts w:hint="cs"/>
          <w:rtl/>
        </w:rPr>
        <w:t xml:space="preserve"> </w:t>
      </w:r>
      <w:r w:rsidRPr="00D94FF0">
        <w:rPr>
          <w:rStyle w:val="af7"/>
          <w:rFonts w:eastAsia="Guttman Hodes" w:hint="cs"/>
          <w:rtl/>
        </w:rPr>
        <w:t>(בהג' על הש"ש ש"א פ"א)</w:t>
      </w:r>
      <w:r>
        <w:rPr>
          <w:rFonts w:hint="cs"/>
          <w:rtl/>
        </w:rPr>
        <w:t xml:space="preserve"> דכתב דכוונת </w:t>
      </w:r>
      <w:r w:rsidRPr="00D94FF0">
        <w:rPr>
          <w:rStyle w:val="af9"/>
          <w:rFonts w:hint="cs"/>
          <w:rtl/>
        </w:rPr>
        <w:t>התוס' הרא"ש בב"מ</w:t>
      </w:r>
      <w:r>
        <w:rPr>
          <w:rFonts w:hint="cs"/>
          <w:rtl/>
        </w:rPr>
        <w:t xml:space="preserve"> דברובא דאיתא קמן אין לו דין ודאי, כיון שאינו רוב מסברא, ואינו ודאי אף לדין "ממזר ודאי ולא ממזר ספק", אך דחה </w:t>
      </w:r>
      <w:r w:rsidRPr="00DE703F">
        <w:rPr>
          <w:rStyle w:val="af9"/>
          <w:rFonts w:hint="cs"/>
          <w:rtl/>
        </w:rPr>
        <w:t>הדבר אברהם</w:t>
      </w:r>
      <w:r>
        <w:rPr>
          <w:rFonts w:hint="cs"/>
          <w:rtl/>
        </w:rPr>
        <w:t xml:space="preserve"> דבדברי </w:t>
      </w:r>
      <w:r w:rsidRPr="00DE703F">
        <w:rPr>
          <w:rStyle w:val="af9"/>
          <w:rFonts w:hint="cs"/>
          <w:rtl/>
        </w:rPr>
        <w:t>התוס' הרא"ש בב"מ</w:t>
      </w:r>
      <w:r>
        <w:rPr>
          <w:rFonts w:hint="cs"/>
          <w:rtl/>
        </w:rPr>
        <w:t xml:space="preserve"> לא משמע כן, דהא כתב </w:t>
      </w:r>
      <w:r w:rsidRPr="00DE703F">
        <w:rPr>
          <w:rStyle w:val="af9"/>
          <w:rFonts w:hint="cs"/>
          <w:rtl/>
        </w:rPr>
        <w:t>התוס' הרא"ש בב"מ</w:t>
      </w:r>
      <w:r>
        <w:rPr>
          <w:rFonts w:hint="cs"/>
          <w:rtl/>
        </w:rPr>
        <w:t xml:space="preserve"> דהמיעוט בטל ברוב, ודוחק לומר דכוונתו דרובא דאיתא קמן הוא מדין ביטול, אלא ביאר </w:t>
      </w:r>
      <w:r w:rsidRPr="00DE703F">
        <w:rPr>
          <w:rStyle w:val="af9"/>
          <w:rFonts w:hint="cs"/>
          <w:rtl/>
        </w:rPr>
        <w:t>הדבר אברהם</w:t>
      </w:r>
      <w:r>
        <w:rPr>
          <w:rFonts w:hint="cs"/>
          <w:rtl/>
        </w:rPr>
        <w:t xml:space="preserve"> דכוונת </w:t>
      </w:r>
      <w:r w:rsidRPr="001C1EC5">
        <w:rPr>
          <w:rStyle w:val="af9"/>
          <w:rFonts w:hint="cs"/>
          <w:rtl/>
        </w:rPr>
        <w:t>התוס' הרא"ש בב"מ</w:t>
      </w:r>
      <w:r>
        <w:rPr>
          <w:rFonts w:hint="cs"/>
          <w:rtl/>
        </w:rPr>
        <w:t xml:space="preserve"> ליישב את מה שהקשה בתחילת דבריו עיי"ש במה שביאר.</w:t>
      </w:r>
      <w:bookmarkEnd w:id="7838"/>
    </w:p>
    <w:p w14:paraId="0AD9E54F" w14:textId="77777777" w:rsidR="009A2997" w:rsidRDefault="009A2997" w:rsidP="006D6D32">
      <w:pPr>
        <w:pStyle w:val="a3"/>
        <w:rPr>
          <w:rtl/>
        </w:rPr>
      </w:pPr>
      <w:bookmarkStart w:id="7839" w:name="_Toc528777151"/>
      <w:bookmarkStart w:id="7840" w:name="_Toc528789711"/>
      <w:bookmarkStart w:id="7841" w:name="_Toc19389985"/>
      <w:bookmarkStart w:id="7842" w:name="_Toc19393482"/>
      <w:r>
        <w:rPr>
          <w:rFonts w:hint="cs"/>
          <w:rtl/>
        </w:rPr>
        <w:t>דברי הדבר אברהם דלברוך טעם למסקנא רובא דל"ק עדיף כיון שאין מיעוט שמתנגד לו</w:t>
      </w:r>
      <w:bookmarkEnd w:id="7839"/>
      <w:bookmarkEnd w:id="7840"/>
      <w:bookmarkEnd w:id="7841"/>
      <w:bookmarkEnd w:id="7842"/>
    </w:p>
    <w:p w14:paraId="643EBFF8" w14:textId="77777777" w:rsidR="009A2997" w:rsidRPr="000947EC" w:rsidRDefault="009A2997" w:rsidP="00223668">
      <w:pPr>
        <w:pStyle w:val="a0"/>
        <w:rPr>
          <w:rtl/>
        </w:rPr>
      </w:pPr>
      <w:r>
        <w:rPr>
          <w:rFonts w:hint="cs"/>
          <w:rtl/>
        </w:rPr>
        <w:t xml:space="preserve">ועוד הקשה </w:t>
      </w:r>
      <w:r w:rsidRPr="00DE703F">
        <w:rPr>
          <w:rStyle w:val="af9"/>
          <w:rFonts w:hint="cs"/>
          <w:rtl/>
        </w:rPr>
        <w:t>הדבר אברהם</w:t>
      </w:r>
      <w:r>
        <w:rPr>
          <w:rFonts w:hint="cs"/>
          <w:rtl/>
        </w:rPr>
        <w:t xml:space="preserve"> על ביאור </w:t>
      </w:r>
      <w:r w:rsidRPr="00DE703F">
        <w:rPr>
          <w:rStyle w:val="af9"/>
          <w:rFonts w:hint="cs"/>
          <w:rtl/>
        </w:rPr>
        <w:t>הברוך טעם</w:t>
      </w:r>
      <w:r>
        <w:rPr>
          <w:rFonts w:hint="cs"/>
          <w:rtl/>
        </w:rPr>
        <w:t xml:space="preserve"> דא"א לומר דברובא דאיתא קמן הוא ספק, ורק ברובא דליתא קמן יש לו דין ודאי, דהא בסוגיין מבואר דרובא דאיתא קמן עדיף מרובא דליתא קמן, וצ"ל לדברי </w:t>
      </w:r>
      <w:r w:rsidRPr="00DE703F">
        <w:rPr>
          <w:rStyle w:val="af9"/>
          <w:rFonts w:hint="cs"/>
          <w:rtl/>
        </w:rPr>
        <w:t>הברוך טעם</w:t>
      </w:r>
      <w:r>
        <w:rPr>
          <w:rFonts w:hint="cs"/>
          <w:rtl/>
        </w:rPr>
        <w:t xml:space="preserve"> דהגריעותא ברובא דאיתא קמן, היא כיון שיש מיעוט לפנינו, ולכן אף שאמרה תורה דאזלינן בתר רובא, מ"מ כיון שיש מיעוט לפנינו א"א לומר שהוא ודאי כהרוב, אבל ברובא דליתא קמן שהוא רוב מסברא, דאף דמדיני הרוב הוא רוב גרוע יותר כמבואר בסוגיין, מ"מ למסקנת סוגיין דאף ברובא דליתא קמן אזלינן בתר רובא, הוא עדיף ויש לו דין ודאי כיון שאין מיעוט לפנינו שסותר את הרוב, ועיי"ש במה שביאר </w:t>
      </w:r>
      <w:r w:rsidRPr="00DE703F">
        <w:rPr>
          <w:rStyle w:val="af9"/>
          <w:rFonts w:hint="cs"/>
          <w:rtl/>
        </w:rPr>
        <w:t>הדבר אברהם</w:t>
      </w:r>
      <w:r>
        <w:rPr>
          <w:rFonts w:hint="cs"/>
          <w:rtl/>
        </w:rPr>
        <w:t xml:space="preserve"> בזה את דברי </w:t>
      </w:r>
      <w:r w:rsidRPr="00E13ACA">
        <w:rPr>
          <w:rStyle w:val="af9"/>
          <w:rFonts w:hint="cs"/>
          <w:rtl/>
        </w:rPr>
        <w:t>התוס' הרא"ש בב"מ</w:t>
      </w:r>
      <w:r>
        <w:rPr>
          <w:rFonts w:hint="cs"/>
          <w:rtl/>
        </w:rPr>
        <w:t xml:space="preserve"> לענין ביטול.</w:t>
      </w:r>
    </w:p>
    <w:p w14:paraId="565776BE" w14:textId="77777777" w:rsidR="009A2997" w:rsidRDefault="009A2997" w:rsidP="00BF39B2">
      <w:pPr>
        <w:pStyle w:val="1"/>
        <w:rPr>
          <w:rtl/>
        </w:rPr>
      </w:pPr>
      <w:bookmarkStart w:id="7843" w:name="_Toc528777152"/>
      <w:bookmarkStart w:id="7844" w:name="_Toc528789712"/>
      <w:bookmarkStart w:id="7845" w:name="_Toc19389986"/>
      <w:bookmarkStart w:id="7846" w:name="_Toc19393483"/>
      <w:r>
        <w:rPr>
          <w:rFonts w:hint="cs"/>
          <w:rtl/>
        </w:rPr>
        <w:t>ביאור הנתיה"מ בתשו' דברובא דא"ק כ"א מגדיל את הספק</w:t>
      </w:r>
      <w:bookmarkEnd w:id="7833"/>
      <w:bookmarkEnd w:id="7843"/>
      <w:bookmarkEnd w:id="7844"/>
      <w:bookmarkEnd w:id="7845"/>
      <w:bookmarkEnd w:id="7846"/>
    </w:p>
    <w:p w14:paraId="74733535" w14:textId="77777777" w:rsidR="009A2997" w:rsidRPr="0027714A" w:rsidRDefault="009A2997" w:rsidP="006D6D32">
      <w:pPr>
        <w:pStyle w:val="a3"/>
        <w:rPr>
          <w:rtl/>
        </w:rPr>
      </w:pPr>
      <w:bookmarkStart w:id="7847" w:name="_Toc528712487"/>
      <w:bookmarkStart w:id="7848" w:name="_Toc528777153"/>
      <w:bookmarkStart w:id="7849" w:name="_Toc528789713"/>
      <w:bookmarkStart w:id="7850" w:name="_Toc19389987"/>
      <w:bookmarkStart w:id="7851" w:name="_Toc19393484"/>
      <w:r>
        <w:rPr>
          <w:rFonts w:hint="cs"/>
          <w:rtl/>
        </w:rPr>
        <w:t>ביאור הנתיה"מ דברובא דל"ק שאר הבהמות אינם יוצרים את הספק ואף בבהמה אחת יש ספק</w:t>
      </w:r>
      <w:bookmarkEnd w:id="7847"/>
      <w:bookmarkEnd w:id="7848"/>
      <w:bookmarkEnd w:id="7849"/>
      <w:bookmarkEnd w:id="7850"/>
      <w:bookmarkEnd w:id="7851"/>
    </w:p>
    <w:p w14:paraId="02CD1876" w14:textId="77777777" w:rsidR="009A2997" w:rsidRDefault="009A2997" w:rsidP="00223668">
      <w:pPr>
        <w:pStyle w:val="a0"/>
        <w:rPr>
          <w:rtl/>
        </w:rPr>
      </w:pPr>
      <w:bookmarkStart w:id="7852" w:name="_Ref528314189"/>
      <w:r>
        <w:rPr>
          <w:rStyle w:val="af9"/>
          <w:rFonts w:hint="cs"/>
          <w:rtl/>
        </w:rPr>
        <w:t>והנתיה"מ</w:t>
      </w:r>
      <w:r w:rsidRPr="00675F66">
        <w:rPr>
          <w:rStyle w:val="af9"/>
          <w:rFonts w:hint="cs"/>
          <w:rtl/>
        </w:rPr>
        <w:t xml:space="preserve"> בתשובתו</w:t>
      </w:r>
      <w:r>
        <w:rPr>
          <w:rFonts w:hint="cs"/>
          <w:rtl/>
        </w:rPr>
        <w:t xml:space="preserve"> </w:t>
      </w:r>
      <w:r w:rsidRPr="00675F66">
        <w:rPr>
          <w:rStyle w:val="af7"/>
          <w:rFonts w:eastAsia="Guttman Hodes" w:hint="cs"/>
          <w:rtl/>
        </w:rPr>
        <w:t xml:space="preserve">(נד' בשו"ת חמדת שלמה אבהא"ז </w:t>
      </w:r>
      <w:r>
        <w:rPr>
          <w:rStyle w:val="af7"/>
          <w:rFonts w:eastAsia="Guttman Hodes" w:hint="cs"/>
          <w:rtl/>
        </w:rPr>
        <w:t xml:space="preserve">סי' </w:t>
      </w:r>
      <w:r w:rsidRPr="00675F66">
        <w:rPr>
          <w:rStyle w:val="af7"/>
          <w:rFonts w:eastAsia="Guttman Hodes" w:hint="cs"/>
          <w:rtl/>
        </w:rPr>
        <w:t>כ"ד</w:t>
      </w:r>
      <w:r>
        <w:rPr>
          <w:rStyle w:val="af7"/>
          <w:rFonts w:eastAsia="Guttman Hodes" w:hint="cs"/>
          <w:rtl/>
        </w:rPr>
        <w:t xml:space="preserve"> אות</w:t>
      </w:r>
      <w:r w:rsidRPr="00675F66">
        <w:rPr>
          <w:rStyle w:val="af7"/>
          <w:rFonts w:eastAsia="Guttman Hodes" w:hint="cs"/>
          <w:rtl/>
        </w:rPr>
        <w:t xml:space="preserve"> י"ב) </w:t>
      </w:r>
      <w:r>
        <w:rPr>
          <w:rFonts w:hint="cs"/>
          <w:rtl/>
        </w:rPr>
        <w:t>ביאר דרובא דליתא קמן הוא רוב שאינו לפנינו בדין, דהיינו כרוב בהמות אינם טריפות, דהבהמות האחרות אינם יוצרים את הספק, ואינם בכלל הנדון שלפנינו, ואף אם הייתה רק בהמה אחת בעולם, היה בה ספק אם היא כשרה או טריפה.</w:t>
      </w:r>
      <w:bookmarkEnd w:id="7852"/>
    </w:p>
    <w:p w14:paraId="1130110E" w14:textId="77777777" w:rsidR="009A2997" w:rsidRPr="00675F66" w:rsidRDefault="009A2997" w:rsidP="006D6D32">
      <w:pPr>
        <w:pStyle w:val="a3"/>
      </w:pPr>
      <w:bookmarkStart w:id="7853" w:name="_Toc528712488"/>
      <w:bookmarkStart w:id="7854" w:name="_Toc528777154"/>
      <w:bookmarkStart w:id="7855" w:name="_Toc528789714"/>
      <w:bookmarkStart w:id="7856" w:name="_Toc19389988"/>
      <w:bookmarkStart w:id="7857" w:name="_Toc19393485"/>
      <w:r>
        <w:rPr>
          <w:rFonts w:hint="cs"/>
          <w:rtl/>
        </w:rPr>
        <w:t>ביאור הנתיה"מ דברובא דא"ק החנויות יוצרות את הספק וכל חנות מגדילה את הספק יותר</w:t>
      </w:r>
      <w:bookmarkEnd w:id="7853"/>
      <w:bookmarkEnd w:id="7854"/>
      <w:bookmarkEnd w:id="7855"/>
      <w:bookmarkEnd w:id="7856"/>
      <w:bookmarkEnd w:id="7857"/>
    </w:p>
    <w:p w14:paraId="7C0B03AD" w14:textId="77777777" w:rsidR="009A2997" w:rsidRPr="00260464" w:rsidRDefault="009A2997" w:rsidP="00223668">
      <w:pPr>
        <w:pStyle w:val="a0"/>
        <w:rPr>
          <w:rtl/>
        </w:rPr>
      </w:pPr>
      <w:r>
        <w:rPr>
          <w:rFonts w:hint="cs"/>
          <w:rtl/>
        </w:rPr>
        <w:t xml:space="preserve">אבל רובא דאיתא קמן כסנהדרין וט' חנויות, ביאר </w:t>
      </w:r>
      <w:r>
        <w:rPr>
          <w:rStyle w:val="af9"/>
          <w:rFonts w:hint="cs"/>
          <w:rtl/>
        </w:rPr>
        <w:t>הנתיה"מ</w:t>
      </w:r>
      <w:r w:rsidRPr="00675F66">
        <w:rPr>
          <w:rStyle w:val="af9"/>
          <w:rFonts w:hint="cs"/>
          <w:rtl/>
        </w:rPr>
        <w:t xml:space="preserve"> בתשובתו</w:t>
      </w:r>
      <w:r>
        <w:rPr>
          <w:rFonts w:hint="cs"/>
          <w:rtl/>
        </w:rPr>
        <w:t xml:space="preserve"> דהספק הוא מכח כל החנויות, דאם הייתה רק חנות אחת לא היה ספק כלל, וכל חנות נוספת מגדילה את הספק, וכל החנויות באים לדין לפנינו.</w:t>
      </w:r>
    </w:p>
    <w:p w14:paraId="4D990087" w14:textId="77777777" w:rsidR="009A2997" w:rsidRDefault="009A2997" w:rsidP="00BF39B2">
      <w:pPr>
        <w:pStyle w:val="1"/>
        <w:rPr>
          <w:rtl/>
        </w:rPr>
      </w:pPr>
      <w:bookmarkStart w:id="7858" w:name="_Toc528712489"/>
      <w:bookmarkStart w:id="7859" w:name="_Toc528777155"/>
      <w:bookmarkStart w:id="7860" w:name="_Toc528789715"/>
      <w:bookmarkStart w:id="7861" w:name="_Toc19389989"/>
      <w:bookmarkStart w:id="7862" w:name="_Toc19393486"/>
      <w:r>
        <w:rPr>
          <w:rFonts w:hint="cs"/>
          <w:rtl/>
        </w:rPr>
        <w:t>ביאור החת"ס דברובא דליתא קמן אין ידיעה שעכשיו יש רוב</w:t>
      </w:r>
      <w:bookmarkEnd w:id="7858"/>
      <w:bookmarkEnd w:id="7859"/>
      <w:bookmarkEnd w:id="7860"/>
      <w:bookmarkEnd w:id="7861"/>
      <w:bookmarkEnd w:id="7862"/>
    </w:p>
    <w:p w14:paraId="01B61E7A" w14:textId="77777777" w:rsidR="009A2997" w:rsidRPr="00A475EF" w:rsidRDefault="009A2997" w:rsidP="006D6D32">
      <w:pPr>
        <w:pStyle w:val="a3"/>
        <w:rPr>
          <w:rtl/>
        </w:rPr>
      </w:pPr>
      <w:bookmarkStart w:id="7863" w:name="_Toc528712490"/>
      <w:bookmarkStart w:id="7864" w:name="_Toc528777156"/>
      <w:bookmarkStart w:id="7865" w:name="_Toc528789716"/>
      <w:bookmarkStart w:id="7866" w:name="_Toc19389990"/>
      <w:bookmarkStart w:id="7867" w:name="_Toc19393487"/>
      <w:r>
        <w:rPr>
          <w:rFonts w:hint="cs"/>
          <w:rtl/>
        </w:rPr>
        <w:t>דברי החת"ס דברובא דא"ק הרוב לפנינו וברובא דל"ק הוא רק מנהג העולם ויתכן שעכשיו אין רוב</w:t>
      </w:r>
      <w:bookmarkEnd w:id="7863"/>
      <w:bookmarkEnd w:id="7864"/>
      <w:bookmarkEnd w:id="7865"/>
      <w:bookmarkEnd w:id="7866"/>
      <w:bookmarkEnd w:id="7867"/>
    </w:p>
    <w:p w14:paraId="42BBE338" w14:textId="77777777" w:rsidR="009A2997" w:rsidRDefault="009A2997" w:rsidP="00223668">
      <w:pPr>
        <w:pStyle w:val="a0"/>
        <w:rPr>
          <w:rStyle w:val="afb"/>
          <w:rtl/>
        </w:rPr>
      </w:pPr>
      <w:r>
        <w:rPr>
          <w:rFonts w:hint="cs"/>
          <w:rtl/>
        </w:rPr>
        <w:t xml:space="preserve">כתב </w:t>
      </w:r>
      <w:r w:rsidRPr="00310854">
        <w:rPr>
          <w:rStyle w:val="af9"/>
          <w:rFonts w:hint="cs"/>
          <w:rtl/>
        </w:rPr>
        <w:t>החת"ס</w:t>
      </w:r>
      <w:r>
        <w:rPr>
          <w:rFonts w:hint="cs"/>
          <w:rtl/>
        </w:rPr>
        <w:t xml:space="preserve"> </w:t>
      </w:r>
      <w:r w:rsidRPr="00260BF0">
        <w:rPr>
          <w:rStyle w:val="af7"/>
          <w:rFonts w:eastAsia="Guttman Hodes" w:hint="cs"/>
          <w:rtl/>
        </w:rPr>
        <w:t>(שו"ת ח"ד אבהע"ז ב' קמ"ז ד"ה והנה דברי)</w:t>
      </w:r>
      <w:r>
        <w:rPr>
          <w:rFonts w:hint="cs"/>
          <w:rtl/>
        </w:rPr>
        <w:t xml:space="preserve"> דרובא דאיתא קמן, היינו שהוחזק הרוב לפנינו, ורובא דליתא קמן, היינו שלא הוחזק לנו הרוב אלא כך הוא מנהג העולם. וכתב </w:t>
      </w:r>
      <w:r w:rsidRPr="00260BF0">
        <w:rPr>
          <w:rStyle w:val="af9"/>
          <w:rFonts w:hint="cs"/>
          <w:rtl/>
        </w:rPr>
        <w:t>החת"ס בחי'</w:t>
      </w:r>
      <w:r>
        <w:rPr>
          <w:rFonts w:hint="cs"/>
          <w:rtl/>
        </w:rPr>
        <w:t xml:space="preserve"> </w:t>
      </w:r>
      <w:r w:rsidRPr="00260BF0">
        <w:rPr>
          <w:rStyle w:val="af7"/>
          <w:rFonts w:eastAsia="Guttman Hodes" w:hint="cs"/>
          <w:rtl/>
        </w:rPr>
        <w:t>(ד"ה רובא)</w:t>
      </w:r>
      <w:r>
        <w:rPr>
          <w:rFonts w:hint="cs"/>
          <w:rtl/>
        </w:rPr>
        <w:t xml:space="preserve"> דברוב קטנים אינם סריסים הוא כיון דאין לפנינו רוב שהם לא סריסים, וא"א שהקטן שלפנינו הוא פורש מהרוב, דהרי יתכן שכל הקטנים שבדור הזה אינם סריסים, וכן ברוב בהמות אינם טריפות, דאין לנו כל ידיעה שאין כל הבהמות שבעולם טריפות, אלא דזהו המנהג בעולם, ולכן הוא רובא דליתא קמן. </w:t>
      </w:r>
      <w:r w:rsidRPr="000B326B">
        <w:rPr>
          <w:rStyle w:val="afb"/>
          <w:rFonts w:hint="cs"/>
          <w:rtl/>
        </w:rPr>
        <w:t xml:space="preserve">[והוסיף </w:t>
      </w:r>
      <w:r w:rsidRPr="000B326B">
        <w:rPr>
          <w:rStyle w:val="affa"/>
          <w:rFonts w:hint="cs"/>
          <w:rtl/>
        </w:rPr>
        <w:t>החת"ס</w:t>
      </w:r>
      <w:r w:rsidRPr="000B326B">
        <w:rPr>
          <w:rStyle w:val="afb"/>
          <w:rFonts w:hint="cs"/>
          <w:rtl/>
        </w:rPr>
        <w:t xml:space="preserve"> דרובא דעלמא הם נכרים, זהו רובא דאיתא קמן, ושייך לומר בו כל דפריש].</w:t>
      </w:r>
    </w:p>
    <w:p w14:paraId="3D08BE54" w14:textId="77777777" w:rsidR="009A2997" w:rsidRDefault="009A2997" w:rsidP="006D6D32">
      <w:pPr>
        <w:pStyle w:val="a3"/>
        <w:rPr>
          <w:rtl/>
        </w:rPr>
      </w:pPr>
      <w:bookmarkStart w:id="7868" w:name="_Toc528777157"/>
      <w:bookmarkStart w:id="7869" w:name="_Toc528789717"/>
      <w:bookmarkStart w:id="7870" w:name="_Toc19389991"/>
      <w:bookmarkStart w:id="7871" w:name="_Toc19393488"/>
      <w:r>
        <w:rPr>
          <w:rFonts w:hint="cs"/>
          <w:rtl/>
        </w:rPr>
        <w:t>דברי החת"ס דברובא דא"ק הרוב והמיעוט קבועים לפנינו וברובא דל"ק אין תערובת קבועה כלל</w:t>
      </w:r>
      <w:bookmarkEnd w:id="7868"/>
      <w:bookmarkEnd w:id="7869"/>
      <w:bookmarkEnd w:id="7870"/>
      <w:bookmarkEnd w:id="7871"/>
    </w:p>
    <w:p w14:paraId="137A64F9" w14:textId="77777777" w:rsidR="009A2997" w:rsidRPr="00C113CC" w:rsidRDefault="009A2997" w:rsidP="00223668">
      <w:pPr>
        <w:pStyle w:val="a0"/>
        <w:rPr>
          <w:rtl/>
        </w:rPr>
      </w:pPr>
      <w:r>
        <w:rPr>
          <w:rFonts w:hint="cs"/>
          <w:rtl/>
        </w:rPr>
        <w:t xml:space="preserve">כתב </w:t>
      </w:r>
      <w:r w:rsidRPr="00E90B36">
        <w:rPr>
          <w:rStyle w:val="af9"/>
          <w:rFonts w:hint="cs"/>
          <w:rtl/>
        </w:rPr>
        <w:t>החת"ס בב"ב</w:t>
      </w:r>
      <w:r>
        <w:rPr>
          <w:rFonts w:hint="cs"/>
          <w:rtl/>
        </w:rPr>
        <w:t xml:space="preserve"> </w:t>
      </w:r>
      <w:r w:rsidRPr="00E90B36">
        <w:rPr>
          <w:rStyle w:val="af7"/>
          <w:rFonts w:eastAsia="Guttman Hodes" w:hint="cs"/>
          <w:rtl/>
        </w:rPr>
        <w:t>(כג: ד"ה אע"ג)</w:t>
      </w:r>
      <w:r>
        <w:rPr>
          <w:rFonts w:hint="cs"/>
          <w:rtl/>
        </w:rPr>
        <w:t xml:space="preserve"> דרובא דאיתא קמן היינו שהרוב והמיעוט קבועים לפנינו, ואף אם הוא בסוף העולם, מ"מ חיישינן לרובא דעלמא ואמרינן כל דפריש מרובא פריש, ורובא דליתא קמן הוא דוקא במקום שאין תערובת קבועה כלל לא רוב ולא מיעוט, אלא דכך הוא מנהג העולם, והרוב והמיעוט לא נספרו כלל, אם עכשיו המצב הוא כמו הרוב, אלא דמנהג העולם הוא כמו הרוב.</w:t>
      </w:r>
    </w:p>
    <w:p w14:paraId="598070BC" w14:textId="77777777" w:rsidR="009A2997" w:rsidRDefault="009A2997" w:rsidP="00BF39B2">
      <w:pPr>
        <w:pStyle w:val="1"/>
        <w:rPr>
          <w:rtl/>
        </w:rPr>
      </w:pPr>
      <w:bookmarkStart w:id="7872" w:name="_Toc528712491"/>
      <w:bookmarkStart w:id="7873" w:name="_Toc528777158"/>
      <w:bookmarkStart w:id="7874" w:name="_Toc528789718"/>
      <w:bookmarkStart w:id="7875" w:name="_Toc19389992"/>
      <w:bookmarkStart w:id="7876" w:name="_Toc19393489"/>
      <w:r>
        <w:rPr>
          <w:rFonts w:hint="cs"/>
          <w:rtl/>
        </w:rPr>
        <w:t>ביאור הגר"י ענגיל דברובא דא"ק הרוב והמיעוט יוצרים ספק</w:t>
      </w:r>
      <w:bookmarkEnd w:id="7872"/>
      <w:bookmarkEnd w:id="7873"/>
      <w:bookmarkEnd w:id="7874"/>
      <w:bookmarkEnd w:id="7875"/>
      <w:bookmarkEnd w:id="7876"/>
    </w:p>
    <w:p w14:paraId="2F71B2B1" w14:textId="77777777" w:rsidR="009A2997" w:rsidRPr="005E0354" w:rsidRDefault="009A2997" w:rsidP="006D6D32">
      <w:pPr>
        <w:pStyle w:val="a3"/>
        <w:rPr>
          <w:rtl/>
        </w:rPr>
      </w:pPr>
      <w:bookmarkStart w:id="7877" w:name="_Toc528712492"/>
      <w:bookmarkStart w:id="7878" w:name="_Toc528777159"/>
      <w:bookmarkStart w:id="7879" w:name="_Toc528789719"/>
      <w:bookmarkStart w:id="7880" w:name="_Toc19389993"/>
      <w:bookmarkStart w:id="7881" w:name="_Toc19393490"/>
      <w:r>
        <w:rPr>
          <w:rFonts w:hint="cs"/>
          <w:rtl/>
        </w:rPr>
        <w:t>דברי הגר"י ענגיל דברובא דאיתא קמן הספק נוצר ע"י הרוב והמיעוט</w:t>
      </w:r>
      <w:bookmarkEnd w:id="7877"/>
      <w:bookmarkEnd w:id="7878"/>
      <w:bookmarkEnd w:id="7879"/>
      <w:bookmarkEnd w:id="7880"/>
      <w:bookmarkEnd w:id="7881"/>
    </w:p>
    <w:p w14:paraId="37E0F456" w14:textId="77777777" w:rsidR="009A2997" w:rsidRDefault="009A2997" w:rsidP="00223668">
      <w:pPr>
        <w:pStyle w:val="a0"/>
        <w:rPr>
          <w:rtl/>
        </w:rPr>
      </w:pPr>
      <w:r w:rsidRPr="00697B13">
        <w:rPr>
          <w:rStyle w:val="af9"/>
          <w:rFonts w:hint="cs"/>
          <w:rtl/>
        </w:rPr>
        <w:t>ובבית האוצר [להגר"י ענגיל]</w:t>
      </w:r>
      <w:r>
        <w:rPr>
          <w:rFonts w:hint="cs"/>
          <w:rtl/>
        </w:rPr>
        <w:t xml:space="preserve"> </w:t>
      </w:r>
      <w:r w:rsidRPr="00697B13">
        <w:rPr>
          <w:rStyle w:val="af7"/>
          <w:rFonts w:eastAsia="Guttman Hodes" w:hint="cs"/>
          <w:rtl/>
        </w:rPr>
        <w:t>(ח"ב מערכת ב'</w:t>
      </w:r>
      <w:r>
        <w:rPr>
          <w:rStyle w:val="af7"/>
          <w:rFonts w:eastAsia="Guttman Hodes" w:hint="cs"/>
          <w:rtl/>
        </w:rPr>
        <w:t xml:space="preserve"> </w:t>
      </w:r>
      <w:r w:rsidRPr="00697B13">
        <w:rPr>
          <w:rStyle w:val="af7"/>
          <w:rFonts w:eastAsia="Guttman Hodes" w:hint="cs"/>
          <w:rtl/>
        </w:rPr>
        <w:t xml:space="preserve">י' </w:t>
      </w:r>
      <w:r>
        <w:rPr>
          <w:rStyle w:val="af7"/>
          <w:rFonts w:eastAsia="Guttman Hodes" w:hint="cs"/>
          <w:rtl/>
        </w:rPr>
        <w:t xml:space="preserve">כלל י"ח אות ו' </w:t>
      </w:r>
      <w:r w:rsidRPr="00697B13">
        <w:rPr>
          <w:rStyle w:val="af7"/>
          <w:rFonts w:eastAsia="Guttman Hodes" w:hint="cs"/>
          <w:rtl/>
        </w:rPr>
        <w:t>עמ' ל"ו ד"ה ונראה בזה)</w:t>
      </w:r>
      <w:r>
        <w:rPr>
          <w:rFonts w:hint="cs"/>
          <w:rtl/>
        </w:rPr>
        <w:t xml:space="preserve"> ביאר דברובא דאיתא קמן הספק נוצר מחמת הרוב והמיעוט, דהא בסנהדרין אם כל הסנהדרין היו אומרים דבר אחד, לא היה כל ספק לפנינו, </w:t>
      </w:r>
      <w:r w:rsidRPr="00697B13">
        <w:rPr>
          <w:rStyle w:val="afb"/>
          <w:rFonts w:hint="cs"/>
          <w:rtl/>
        </w:rPr>
        <w:t>[דאף אם הם טעו בהלכה יש להם כח לפסוק, וא"כ לא שייך לומר שיש ספק אי אמרו אמת],</w:t>
      </w:r>
      <w:r>
        <w:rPr>
          <w:rFonts w:hint="cs"/>
          <w:rtl/>
        </w:rPr>
        <w:t xml:space="preserve"> ורק כיון שיש רוב שאומרים דבר אחד, ומיעוט שאומרים דבר אחר יש ספק לפנינו, וכן בט' חנויות דרק כיון שיש חנויות כשרות וחנות טריפה נולד לנו ספק, אבל אם היו כל החנויות כשרות לא היה ספק כלל.</w:t>
      </w:r>
    </w:p>
    <w:p w14:paraId="4C0A5E62" w14:textId="77777777" w:rsidR="009A2997" w:rsidRDefault="009A2997" w:rsidP="006D6D32">
      <w:pPr>
        <w:pStyle w:val="a3"/>
        <w:rPr>
          <w:rtl/>
        </w:rPr>
      </w:pPr>
      <w:bookmarkStart w:id="7882" w:name="_Toc528712493"/>
      <w:bookmarkStart w:id="7883" w:name="_Toc528777160"/>
      <w:bookmarkStart w:id="7884" w:name="_Toc528789720"/>
      <w:bookmarkStart w:id="7885" w:name="_Toc19389994"/>
      <w:bookmarkStart w:id="7886" w:name="_Toc19393491"/>
      <w:r>
        <w:rPr>
          <w:rFonts w:hint="cs"/>
          <w:rtl/>
        </w:rPr>
        <w:t>דברי הגר"י ענגיל דברובא דליתא קמן הספק הוא בדבר שלפנינו ולא מחמת הרוב והמיעוט</w:t>
      </w:r>
      <w:bookmarkEnd w:id="7882"/>
      <w:bookmarkEnd w:id="7883"/>
      <w:bookmarkEnd w:id="7884"/>
      <w:bookmarkEnd w:id="7885"/>
      <w:bookmarkEnd w:id="7886"/>
    </w:p>
    <w:p w14:paraId="44D3B8F5" w14:textId="77777777" w:rsidR="009A2997" w:rsidRDefault="009A2997" w:rsidP="00223668">
      <w:pPr>
        <w:pStyle w:val="a0"/>
        <w:rPr>
          <w:rtl/>
        </w:rPr>
      </w:pPr>
      <w:r>
        <w:rPr>
          <w:rFonts w:hint="cs"/>
          <w:rtl/>
        </w:rPr>
        <w:t xml:space="preserve">אבל ברובא דליתא קמן כגון בקטן שמא הוא סריס, ביאר </w:t>
      </w:r>
      <w:r w:rsidRPr="00697B13">
        <w:rPr>
          <w:rStyle w:val="af9"/>
          <w:rFonts w:hint="cs"/>
          <w:rtl/>
        </w:rPr>
        <w:t>בבית האוצר [להגר"י ענגיל]</w:t>
      </w:r>
      <w:r>
        <w:rPr>
          <w:rFonts w:hint="cs"/>
          <w:rtl/>
        </w:rPr>
        <w:t xml:space="preserve"> דהספק הוא דבר שעומד מצד עצמו, והספק בקטן שלפנינו לא נוצר מכח רוב ומיעוט, דהקטן הזה הוא אדם לעצמו שיש בו ספק אם הוא סריס, וכן ברוב בהמות אינם טריפות, דהספק הוא על הבהמה שלפנינו שמא היא טריפה, והבירור ע"י רובא דליתא קמן הוא דכיון שרוב העולם אינם סריסים ורוב בהמות אינם טריפות, מסתמא אף קטן ובהמה זו הם בכלל הרוב.</w:t>
      </w:r>
    </w:p>
    <w:p w14:paraId="096B634D" w14:textId="77777777" w:rsidR="009A2997" w:rsidRDefault="009A2997" w:rsidP="006D6D32">
      <w:pPr>
        <w:pStyle w:val="afe"/>
        <w:rPr>
          <w:rtl/>
        </w:rPr>
      </w:pPr>
      <w:bookmarkStart w:id="7887" w:name="_Toc528712494"/>
      <w:bookmarkStart w:id="7888" w:name="_Toc528777161"/>
      <w:bookmarkStart w:id="7889" w:name="_Toc528789721"/>
      <w:bookmarkStart w:id="7890" w:name="_Toc19435561"/>
      <w:bookmarkStart w:id="7891" w:name="_Toc20080857"/>
      <w:r>
        <w:rPr>
          <w:rFonts w:hint="cs"/>
          <w:rtl/>
        </w:rPr>
        <w:t>בהא דלא ילפינן רובא דל"ק מסנהדרין</w:t>
      </w:r>
      <w:bookmarkEnd w:id="7887"/>
      <w:bookmarkEnd w:id="7888"/>
      <w:bookmarkEnd w:id="7889"/>
      <w:bookmarkEnd w:id="7890"/>
      <w:bookmarkEnd w:id="7891"/>
    </w:p>
    <w:p w14:paraId="77CD41B5" w14:textId="77777777" w:rsidR="009A2997" w:rsidRPr="00631B60" w:rsidRDefault="009A2997" w:rsidP="00BF39B2">
      <w:pPr>
        <w:pStyle w:val="1"/>
        <w:rPr>
          <w:rtl/>
        </w:rPr>
      </w:pPr>
      <w:bookmarkStart w:id="7892" w:name="_Toc528712495"/>
      <w:bookmarkStart w:id="7893" w:name="_Toc528777162"/>
      <w:bookmarkStart w:id="7894" w:name="_Toc528789722"/>
      <w:bookmarkStart w:id="7895" w:name="_Toc19389995"/>
      <w:bookmarkStart w:id="7896" w:name="_Toc19393492"/>
      <w:r>
        <w:rPr>
          <w:rFonts w:hint="cs"/>
          <w:rtl/>
        </w:rPr>
        <w:t>ביאור הגר"י ענגיל דבסנהרין אין למיעוט כח ליצור ספק</w:t>
      </w:r>
      <w:bookmarkEnd w:id="7892"/>
      <w:bookmarkEnd w:id="7893"/>
      <w:bookmarkEnd w:id="7894"/>
      <w:bookmarkEnd w:id="7895"/>
      <w:bookmarkEnd w:id="7896"/>
    </w:p>
    <w:p w14:paraId="185EBA90" w14:textId="77777777" w:rsidR="009A2997" w:rsidRDefault="009A2997" w:rsidP="006D6D32">
      <w:pPr>
        <w:pStyle w:val="a3"/>
        <w:rPr>
          <w:rtl/>
        </w:rPr>
      </w:pPr>
      <w:bookmarkStart w:id="7897" w:name="_Toc528712496"/>
      <w:bookmarkStart w:id="7898" w:name="_Toc528777163"/>
      <w:bookmarkStart w:id="7899" w:name="_Toc528789723"/>
      <w:bookmarkStart w:id="7900" w:name="_Toc19389996"/>
      <w:bookmarkStart w:id="7901" w:name="_Toc19393493"/>
      <w:r>
        <w:rPr>
          <w:rFonts w:hint="cs"/>
          <w:rtl/>
        </w:rPr>
        <w:t>דברי הגר"י ענגיל דבסנהדרין מיעוט אינו עושה ספק וא"א למילף מזה לרובא דל"ק שיש כבר ספק</w:t>
      </w:r>
      <w:bookmarkEnd w:id="7897"/>
      <w:bookmarkEnd w:id="7898"/>
      <w:bookmarkEnd w:id="7899"/>
      <w:bookmarkEnd w:id="7900"/>
      <w:bookmarkEnd w:id="7901"/>
    </w:p>
    <w:p w14:paraId="0527D8E5" w14:textId="77777777" w:rsidR="009A2997" w:rsidRDefault="009A2997" w:rsidP="00223668">
      <w:pPr>
        <w:pStyle w:val="a0"/>
        <w:rPr>
          <w:rtl/>
        </w:rPr>
      </w:pPr>
      <w:r>
        <w:rPr>
          <w:rFonts w:hint="cs"/>
          <w:rtl/>
        </w:rPr>
        <w:t xml:space="preserve">ולפי"ז ביאר </w:t>
      </w:r>
      <w:r w:rsidRPr="00697B13">
        <w:rPr>
          <w:rStyle w:val="af9"/>
          <w:rFonts w:hint="cs"/>
          <w:rtl/>
        </w:rPr>
        <w:t>בבית האוצר [להגר"י ענגיל]</w:t>
      </w:r>
      <w:r>
        <w:rPr>
          <w:rFonts w:hint="cs"/>
          <w:rtl/>
        </w:rPr>
        <w:t xml:space="preserve"> </w:t>
      </w:r>
      <w:r w:rsidRPr="00697B13">
        <w:rPr>
          <w:rStyle w:val="af7"/>
          <w:rFonts w:eastAsia="Guttman Hodes" w:hint="cs"/>
          <w:rtl/>
        </w:rPr>
        <w:t>(ח"ב מערכת ב'</w:t>
      </w:r>
      <w:r>
        <w:rPr>
          <w:rStyle w:val="af7"/>
          <w:rFonts w:eastAsia="Guttman Hodes" w:hint="cs"/>
          <w:rtl/>
        </w:rPr>
        <w:t xml:space="preserve"> </w:t>
      </w:r>
      <w:r w:rsidRPr="00697B13">
        <w:rPr>
          <w:rStyle w:val="af7"/>
          <w:rFonts w:eastAsia="Guttman Hodes" w:hint="cs"/>
          <w:rtl/>
        </w:rPr>
        <w:t xml:space="preserve">י' </w:t>
      </w:r>
      <w:r>
        <w:rPr>
          <w:rStyle w:val="af7"/>
          <w:rFonts w:eastAsia="Guttman Hodes" w:hint="cs"/>
          <w:rtl/>
        </w:rPr>
        <w:t xml:space="preserve">כלל י"ח אות ו' </w:t>
      </w:r>
      <w:r w:rsidRPr="00697B13">
        <w:rPr>
          <w:rStyle w:val="af7"/>
          <w:rFonts w:eastAsia="Guttman Hodes" w:hint="cs"/>
          <w:rtl/>
        </w:rPr>
        <w:t>עמ' ל"ו ד"ה ונראה בזה)</w:t>
      </w:r>
      <w:r>
        <w:rPr>
          <w:rFonts w:hint="cs"/>
          <w:rtl/>
        </w:rPr>
        <w:t xml:space="preserve"> את דברי הגמ' בסוגיין דא"א ללמוד את רובא דליתא קמן, מקרא דאחרי רבים להטות, דהילפותא מסנהדרין היא שאין כח במיעוט לעשות ספק, ואזלינן בתר הרוב, ואמרינן דאין כל ספק, אבל א"א ללמוד מזה שבמקום שיש כבר ספק לפנינו מצד עצמו כרובא דליתא קמן, דאזלינן בתר הרוב, ולא בתר המיעוט, דאין כח ברוב לברר את הספק כיון שהמיעוט במקומו עומד, דכיון שיש מיעוט שהם סריסים עדיין יש לנו ספק שמא הקטן הזה הוא מהמיעוט, ולכן א"א לברר שאין ספק מכח הרוב, מילפותא דאחרי רבים להטות.</w:t>
      </w:r>
    </w:p>
    <w:p w14:paraId="64B86D9B" w14:textId="77777777" w:rsidR="009A2997" w:rsidRDefault="009A2997" w:rsidP="00BF39B2">
      <w:pPr>
        <w:pStyle w:val="1"/>
        <w:rPr>
          <w:rtl/>
        </w:rPr>
      </w:pPr>
      <w:bookmarkStart w:id="7902" w:name="_Toc528712497"/>
      <w:bookmarkStart w:id="7903" w:name="_Toc528777164"/>
      <w:bookmarkStart w:id="7904" w:name="_Toc528789724"/>
      <w:bookmarkStart w:id="7905" w:name="_Toc19389997"/>
      <w:bookmarkStart w:id="7906" w:name="_Toc19393494"/>
      <w:r>
        <w:rPr>
          <w:rFonts w:hint="cs"/>
          <w:rtl/>
        </w:rPr>
        <w:t>ביאור חי' רמ"ש דברובא דא"ק חשיב שהרוב והמיעוט מעורבים</w:t>
      </w:r>
      <w:bookmarkEnd w:id="7902"/>
      <w:bookmarkEnd w:id="7903"/>
      <w:bookmarkEnd w:id="7904"/>
      <w:bookmarkEnd w:id="7905"/>
      <w:bookmarkEnd w:id="7906"/>
    </w:p>
    <w:p w14:paraId="1251B7CA" w14:textId="77777777" w:rsidR="009A2997" w:rsidRPr="00B129D2" w:rsidRDefault="009A2997" w:rsidP="006D6D32">
      <w:pPr>
        <w:pStyle w:val="a3"/>
        <w:rPr>
          <w:rtl/>
        </w:rPr>
      </w:pPr>
      <w:bookmarkStart w:id="7907" w:name="_Toc528712498"/>
      <w:bookmarkStart w:id="7908" w:name="_Toc528777165"/>
      <w:bookmarkStart w:id="7909" w:name="_Toc528789725"/>
      <w:bookmarkStart w:id="7910" w:name="_Toc19389998"/>
      <w:bookmarkStart w:id="7911" w:name="_Toc19393495"/>
      <w:r>
        <w:rPr>
          <w:rFonts w:hint="cs"/>
          <w:rtl/>
        </w:rPr>
        <w:t xml:space="preserve">דברי חי' רמ"ש דברובא דא"ק הרוב ומיעוט חשיבי מעורבים והמיעוט בטל וא"א ללמוד </w:t>
      </w:r>
      <w:bookmarkEnd w:id="7907"/>
      <w:r>
        <w:rPr>
          <w:rFonts w:hint="cs"/>
          <w:rtl/>
        </w:rPr>
        <w:t>לרובא דל"ק</w:t>
      </w:r>
      <w:bookmarkEnd w:id="7908"/>
      <w:bookmarkEnd w:id="7909"/>
      <w:bookmarkEnd w:id="7910"/>
      <w:bookmarkEnd w:id="7911"/>
    </w:p>
    <w:p w14:paraId="64048A1C" w14:textId="77777777" w:rsidR="009A2997" w:rsidRPr="008F26BA" w:rsidRDefault="009A2997" w:rsidP="00223668">
      <w:pPr>
        <w:pStyle w:val="a0"/>
        <w:rPr>
          <w:rStyle w:val="afb"/>
          <w:rtl/>
        </w:rPr>
      </w:pPr>
      <w:bookmarkStart w:id="7912" w:name="_Ref528600178"/>
      <w:r>
        <w:rPr>
          <w:rFonts w:hint="cs"/>
          <w:rtl/>
        </w:rPr>
        <w:t xml:space="preserve">כתב </w:t>
      </w:r>
      <w:r w:rsidRPr="00D207A3">
        <w:rPr>
          <w:rStyle w:val="af9"/>
          <w:rFonts w:hint="cs"/>
          <w:rtl/>
        </w:rPr>
        <w:t>בחי' רמ"ש לקמן</w:t>
      </w:r>
      <w:r>
        <w:rPr>
          <w:rFonts w:hint="cs"/>
          <w:rtl/>
        </w:rPr>
        <w:t xml:space="preserve"> </w:t>
      </w:r>
      <w:r w:rsidRPr="00D207A3">
        <w:rPr>
          <w:rStyle w:val="af7"/>
          <w:rFonts w:eastAsia="Guttman Hodes" w:hint="cs"/>
          <w:rtl/>
        </w:rPr>
        <w:t>(צו. ד"ה והנה ליישב)</w:t>
      </w:r>
      <w:r>
        <w:rPr>
          <w:rFonts w:hint="cs"/>
          <w:rtl/>
        </w:rPr>
        <w:t xml:space="preserve"> </w:t>
      </w:r>
      <w:r w:rsidRPr="00D207A3">
        <w:rPr>
          <w:rStyle w:val="af9"/>
          <w:rFonts w:hint="cs"/>
          <w:rtl/>
        </w:rPr>
        <w:t>ובסנהדרין</w:t>
      </w:r>
      <w:r>
        <w:rPr>
          <w:rFonts w:hint="cs"/>
          <w:rtl/>
        </w:rPr>
        <w:t xml:space="preserve"> </w:t>
      </w:r>
      <w:r w:rsidRPr="00D207A3">
        <w:rPr>
          <w:rStyle w:val="af7"/>
          <w:rFonts w:eastAsia="Guttman Hodes" w:hint="cs"/>
          <w:rtl/>
        </w:rPr>
        <w:t>(סט. ד"ה מסתפינא)</w:t>
      </w:r>
      <w:r>
        <w:rPr>
          <w:rFonts w:hint="cs"/>
          <w:rtl/>
        </w:rPr>
        <w:t xml:space="preserve"> דהא דאיתא בסוגיין דא"א ללמוד את רובא דליתא קמן מרובא דאיתא קמן, ומבואר דרובא דאיתא קמן הוא חשוב יותר, היינו כיון דברובא דאיתא קמן, המיעוט נמצא לפנינו, ולא ידוע לנו אם פירש מהרוב או מהמיעוט, ומסברא ראוי לתלות ברוב ובמיעוט בשווה, ואפ"ה ילפינן דאזלינן בתר רובא ואמרינן שפריש מהרוב, והיינו כיון שאין אנו יודעים אם פרש מהרוב או מהמיעוט, לכן אנו דנים את הרוב והמיעוט כאילו הם מעורבבים, והמיעוט בטל ברוב דחד בתרי בטיל, כמבואר בדברי </w:t>
      </w:r>
      <w:r w:rsidRPr="00D207A3">
        <w:rPr>
          <w:rStyle w:val="af9"/>
          <w:rFonts w:hint="cs"/>
          <w:rtl/>
        </w:rPr>
        <w:t>התוס' הרא"ש בב"מ</w:t>
      </w:r>
      <w:r>
        <w:rPr>
          <w:rFonts w:hint="cs"/>
          <w:rtl/>
        </w:rPr>
        <w:t xml:space="preserve"> </w:t>
      </w:r>
      <w:r w:rsidRPr="00D207A3">
        <w:rPr>
          <w:rStyle w:val="af7"/>
          <w:rFonts w:eastAsia="Guttman Hodes" w:hint="cs"/>
          <w:rtl/>
        </w:rPr>
        <w:t xml:space="preserve">(עי' </w:t>
      </w:r>
      <w:r w:rsidRPr="00492376">
        <w:rPr>
          <w:rStyle w:val="af7"/>
          <w:rFonts w:eastAsia="Guttman Hodes" w:hint="cs"/>
          <w:rtl/>
        </w:rPr>
        <w:t xml:space="preserve">אות </w:t>
      </w:r>
      <w:r w:rsidRPr="00492376">
        <w:rPr>
          <w:rStyle w:val="af7"/>
          <w:rFonts w:eastAsia="Guttman Hodes"/>
          <w:rtl/>
        </w:rPr>
        <w:fldChar w:fldCharType="begin"/>
      </w:r>
      <w:r w:rsidRPr="00492376">
        <w:rPr>
          <w:rStyle w:val="af7"/>
          <w:rFonts w:eastAsia="Guttman Hodes"/>
          <w:rtl/>
        </w:rPr>
        <w:instrText xml:space="preserve"> </w:instrText>
      </w:r>
      <w:r w:rsidRPr="00492376">
        <w:rPr>
          <w:rStyle w:val="af7"/>
          <w:rFonts w:eastAsia="Guttman Hodes" w:hint="cs"/>
        </w:rPr>
        <w:instrText>REF</w:instrText>
      </w:r>
      <w:r w:rsidRPr="00492376">
        <w:rPr>
          <w:rStyle w:val="af7"/>
          <w:rFonts w:eastAsia="Guttman Hodes" w:hint="cs"/>
          <w:rtl/>
        </w:rPr>
        <w:instrText xml:space="preserve"> _</w:instrText>
      </w:r>
      <w:r w:rsidRPr="00492376">
        <w:rPr>
          <w:rStyle w:val="af7"/>
          <w:rFonts w:eastAsia="Guttman Hodes" w:hint="cs"/>
        </w:rPr>
        <w:instrText>Ref528495171 \r \h</w:instrText>
      </w:r>
      <w:r w:rsidRPr="00492376">
        <w:rPr>
          <w:rStyle w:val="af7"/>
          <w:rFonts w:eastAsia="Guttman Hodes"/>
          <w:rtl/>
        </w:rPr>
        <w:instrText xml:space="preserve"> </w:instrText>
      </w:r>
      <w:r w:rsidRPr="00492376">
        <w:rPr>
          <w:rStyle w:val="af7"/>
          <w:rFonts w:eastAsia="Guttman Hodes"/>
          <w:rtl/>
        </w:rPr>
      </w:r>
      <w:r w:rsidRPr="00492376">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492376">
        <w:rPr>
          <w:rStyle w:val="af7"/>
          <w:rFonts w:eastAsia="Guttman Hodes"/>
          <w:rtl/>
        </w:rPr>
        <w:fldChar w:fldCharType="end"/>
      </w:r>
      <w:r>
        <w:rPr>
          <w:rFonts w:hint="cs"/>
          <w:rtl/>
        </w:rPr>
        <w:t xml:space="preserve">, ולכן לא מהני למה שפירש החשיבות שפרש ממיעוט קבוע. </w:t>
      </w:r>
      <w:r w:rsidRPr="008F26BA">
        <w:rPr>
          <w:rStyle w:val="afb"/>
          <w:rFonts w:hint="cs"/>
          <w:rtl/>
        </w:rPr>
        <w:t>[ולכן רובא דאיתא קמן הוא חשוב יותר, א"א ללמוד ממנו את רובא דליתא קמן].</w:t>
      </w:r>
      <w:bookmarkEnd w:id="7912"/>
    </w:p>
    <w:p w14:paraId="1D334A30" w14:textId="77777777" w:rsidR="009A2997" w:rsidRDefault="009A2997" w:rsidP="006D6D32">
      <w:pPr>
        <w:pStyle w:val="a3"/>
        <w:rPr>
          <w:rtl/>
        </w:rPr>
      </w:pPr>
      <w:bookmarkStart w:id="7913" w:name="_Toc528712499"/>
      <w:bookmarkStart w:id="7914" w:name="_Toc528777166"/>
      <w:bookmarkStart w:id="7915" w:name="_Toc528789726"/>
      <w:bookmarkStart w:id="7916" w:name="_Toc19389999"/>
      <w:bookmarkStart w:id="7917" w:name="_Toc19393496"/>
      <w:r>
        <w:rPr>
          <w:rFonts w:hint="cs"/>
          <w:rtl/>
        </w:rPr>
        <w:t>דברי חי' רמ"ש דבדיני נפשות לא שייך ביטול ובממון אין המיעוט מתבטל</w:t>
      </w:r>
      <w:bookmarkEnd w:id="7913"/>
      <w:bookmarkEnd w:id="7914"/>
      <w:bookmarkEnd w:id="7915"/>
      <w:bookmarkEnd w:id="7916"/>
      <w:bookmarkEnd w:id="7917"/>
    </w:p>
    <w:p w14:paraId="53B1CA22" w14:textId="77777777" w:rsidR="009A2997" w:rsidRDefault="009A2997" w:rsidP="00223668">
      <w:pPr>
        <w:pStyle w:val="a0"/>
        <w:rPr>
          <w:rtl/>
        </w:rPr>
      </w:pPr>
      <w:r>
        <w:rPr>
          <w:rFonts w:hint="cs"/>
          <w:rtl/>
        </w:rPr>
        <w:t xml:space="preserve">והוסיף </w:t>
      </w:r>
      <w:r w:rsidRPr="00D207A3">
        <w:rPr>
          <w:rStyle w:val="af9"/>
          <w:rFonts w:hint="cs"/>
          <w:rtl/>
        </w:rPr>
        <w:t>בחי' רמ"ש לקמן</w:t>
      </w:r>
      <w:r>
        <w:rPr>
          <w:rFonts w:hint="cs"/>
          <w:rtl/>
        </w:rPr>
        <w:t xml:space="preserve"> </w:t>
      </w:r>
      <w:r w:rsidRPr="00D207A3">
        <w:rPr>
          <w:rStyle w:val="af7"/>
          <w:rFonts w:eastAsia="Guttman Hodes" w:hint="cs"/>
          <w:rtl/>
        </w:rPr>
        <w:t>(צו. ד"ה והנה ליישב)</w:t>
      </w:r>
      <w:r>
        <w:rPr>
          <w:rFonts w:hint="cs"/>
          <w:rtl/>
        </w:rPr>
        <w:t xml:space="preserve"> דמשו"ה בדיני נפשות לא אזלינן בתר רובא ברובא דאיתא קמן, דבדיני נפשות לא שייך ביטול, עיי"ש בדבריו, ובדיני ממונות כתב </w:t>
      </w:r>
      <w:r w:rsidRPr="00D207A3">
        <w:rPr>
          <w:rStyle w:val="af9"/>
          <w:rFonts w:hint="cs"/>
          <w:rtl/>
        </w:rPr>
        <w:t>בחי' רמ"ש בסנהדרין</w:t>
      </w:r>
      <w:r>
        <w:rPr>
          <w:rFonts w:hint="cs"/>
          <w:rtl/>
        </w:rPr>
        <w:t xml:space="preserve"> </w:t>
      </w:r>
      <w:r w:rsidRPr="00D207A3">
        <w:rPr>
          <w:rStyle w:val="af7"/>
          <w:rFonts w:eastAsia="Guttman Hodes" w:hint="cs"/>
          <w:rtl/>
        </w:rPr>
        <w:t>(סט. ד"ה מסתפינא)</w:t>
      </w:r>
      <w:r>
        <w:rPr>
          <w:rFonts w:hint="cs"/>
          <w:rtl/>
        </w:rPr>
        <w:t xml:space="preserve"> דהא דלא אזלינן בממון בתר רובא, היינו דוקא ברובא דליתא קמן, אבל ברובא דאיתא קמן כיון דקיי"ל דממונא לא בטיל, לכן אף שהמיעוט חשיב שהוא מעורב עם הרוב, מ"מ אינו מתבטל, וא"א ללכת אחר הרוב, כיון שהמיעוט קבוע במקומו.</w:t>
      </w:r>
    </w:p>
    <w:p w14:paraId="66A46B1E" w14:textId="77777777" w:rsidR="009A2997" w:rsidRDefault="009A2997" w:rsidP="00BF39B2">
      <w:pPr>
        <w:pStyle w:val="1"/>
        <w:rPr>
          <w:rtl/>
        </w:rPr>
      </w:pPr>
      <w:bookmarkStart w:id="7918" w:name="_Toc528615484"/>
      <w:bookmarkStart w:id="7919" w:name="_Toc528712500"/>
      <w:bookmarkStart w:id="7920" w:name="_Toc528777167"/>
      <w:bookmarkStart w:id="7921" w:name="_Toc528789727"/>
      <w:bookmarkStart w:id="7922" w:name="_Toc19390000"/>
      <w:bookmarkStart w:id="7923" w:name="_Toc19393497"/>
      <w:r>
        <w:rPr>
          <w:rFonts w:hint="cs"/>
          <w:rtl/>
        </w:rPr>
        <w:t>דברי החת"ס דרובא דל"ק עדיף דאין לפנינו מיעוט שסותרו</w:t>
      </w:r>
      <w:bookmarkEnd w:id="7918"/>
      <w:bookmarkEnd w:id="7919"/>
      <w:bookmarkEnd w:id="7920"/>
      <w:bookmarkEnd w:id="7921"/>
      <w:bookmarkEnd w:id="7922"/>
      <w:bookmarkEnd w:id="7923"/>
    </w:p>
    <w:p w14:paraId="4CAE45E6" w14:textId="77777777" w:rsidR="009A2997" w:rsidRPr="005C4FB7" w:rsidRDefault="009A2997" w:rsidP="006D6D32">
      <w:pPr>
        <w:pStyle w:val="a3"/>
        <w:rPr>
          <w:rtl/>
        </w:rPr>
      </w:pPr>
      <w:bookmarkStart w:id="7924" w:name="_Toc528712501"/>
      <w:bookmarkStart w:id="7925" w:name="_Toc528777168"/>
      <w:bookmarkStart w:id="7926" w:name="_Toc528789728"/>
      <w:bookmarkStart w:id="7927" w:name="_Toc19390001"/>
      <w:bookmarkStart w:id="7928" w:name="_Toc19393498"/>
      <w:r>
        <w:rPr>
          <w:rFonts w:hint="cs"/>
          <w:rtl/>
        </w:rPr>
        <w:t>דברי החת"ס דלמסקנא דאיתא קמן נלמד מהלמ"מ הוא עדיף מדליתא קמן</w:t>
      </w:r>
      <w:bookmarkEnd w:id="7924"/>
      <w:bookmarkEnd w:id="7925"/>
      <w:bookmarkEnd w:id="7926"/>
      <w:bookmarkEnd w:id="7927"/>
      <w:bookmarkEnd w:id="7928"/>
    </w:p>
    <w:p w14:paraId="54BC66E3" w14:textId="77777777" w:rsidR="009A2997" w:rsidRDefault="009A2997" w:rsidP="00223668">
      <w:pPr>
        <w:pStyle w:val="a0"/>
        <w:rPr>
          <w:rtl/>
        </w:rPr>
      </w:pPr>
      <w:r>
        <w:rPr>
          <w:rFonts w:hint="cs"/>
          <w:rtl/>
        </w:rPr>
        <w:t xml:space="preserve">כתב </w:t>
      </w:r>
      <w:r w:rsidRPr="00310854">
        <w:rPr>
          <w:rStyle w:val="af9"/>
          <w:rFonts w:hint="cs"/>
          <w:rtl/>
        </w:rPr>
        <w:t>החת"ס</w:t>
      </w:r>
      <w:r>
        <w:rPr>
          <w:rFonts w:hint="cs"/>
          <w:rtl/>
        </w:rPr>
        <w:t xml:space="preserve"> </w:t>
      </w:r>
      <w:r w:rsidRPr="00072254">
        <w:rPr>
          <w:rStyle w:val="af7"/>
          <w:rFonts w:eastAsia="Guttman Hodes" w:hint="cs"/>
          <w:rtl/>
        </w:rPr>
        <w:t>(שו"ת ח"ד אבהע"ז ב' קמ"ז ד"ה והנה דברי</w:t>
      </w:r>
      <w:r>
        <w:rPr>
          <w:rStyle w:val="af7"/>
          <w:rFonts w:eastAsia="Guttman Hodes" w:hint="cs"/>
          <w:rtl/>
        </w:rPr>
        <w:t xml:space="preserve">, ובחי' </w:t>
      </w:r>
      <w:r>
        <w:rPr>
          <w:rStyle w:val="af7"/>
          <w:rFonts w:eastAsia="Guttman Hodes"/>
          <w:rtl/>
        </w:rPr>
        <w:t xml:space="preserve">בב"ב </w:t>
      </w:r>
      <w:r w:rsidRPr="00C04F69">
        <w:rPr>
          <w:rStyle w:val="af7"/>
          <w:rFonts w:eastAsia="Guttman Hodes"/>
          <w:rtl/>
        </w:rPr>
        <w:t>כג: ד"ה אע"ג</w:t>
      </w:r>
      <w:r w:rsidRPr="00072254">
        <w:rPr>
          <w:rStyle w:val="af7"/>
          <w:rFonts w:eastAsia="Guttman Hodes" w:hint="cs"/>
          <w:rtl/>
        </w:rPr>
        <w:t>)</w:t>
      </w:r>
      <w:r>
        <w:rPr>
          <w:rFonts w:hint="cs"/>
          <w:rtl/>
        </w:rPr>
        <w:t xml:space="preserve"> דאף דמההו"א בגמ' משמע דרובא דליתא קמן גרע מרובא דאיתא קמן, ולכן א"א ללומדו מקרא דאחרי רבים להטות, מ"מ </w:t>
      </w:r>
      <w:r w:rsidRPr="00887702">
        <w:rPr>
          <w:rFonts w:hint="cs"/>
          <w:rtl/>
        </w:rPr>
        <w:t>למסקנא דיש הלכה למשה מסיני דאזלינן אפילו בתר רובא דליתא ק</w:t>
      </w:r>
      <w:r>
        <w:rPr>
          <w:rFonts w:hint="cs"/>
          <w:rtl/>
        </w:rPr>
        <w:t>מן, א"כ רובא דליתא קמן עדיף.</w:t>
      </w:r>
    </w:p>
    <w:p w14:paraId="5AC4069A" w14:textId="77777777" w:rsidR="009A2997" w:rsidRPr="00310854" w:rsidRDefault="009A2997" w:rsidP="006D6D32">
      <w:pPr>
        <w:pStyle w:val="a3"/>
      </w:pPr>
      <w:bookmarkStart w:id="7929" w:name="_Toc528712502"/>
      <w:bookmarkStart w:id="7930" w:name="_Toc528777169"/>
      <w:bookmarkStart w:id="7931" w:name="_Toc528789729"/>
      <w:bookmarkStart w:id="7932" w:name="_Toc19390002"/>
      <w:bookmarkStart w:id="7933" w:name="_Toc19393499"/>
      <w:r>
        <w:rPr>
          <w:rFonts w:hint="cs"/>
          <w:rtl/>
        </w:rPr>
        <w:t>ביאור החת"ס דברובא דל"ק אין מיעוט הסותר ועדיף מרובא דא"ק שיש מיעוט הסותר לרוב</w:t>
      </w:r>
      <w:bookmarkEnd w:id="7929"/>
      <w:bookmarkEnd w:id="7930"/>
      <w:bookmarkEnd w:id="7931"/>
      <w:bookmarkEnd w:id="7932"/>
      <w:bookmarkEnd w:id="7933"/>
      <w:r>
        <w:rPr>
          <w:rFonts w:hint="cs"/>
          <w:rtl/>
        </w:rPr>
        <w:t xml:space="preserve"> </w:t>
      </w:r>
    </w:p>
    <w:p w14:paraId="2D3E309E" w14:textId="77777777" w:rsidR="009A2997" w:rsidRDefault="009A2997" w:rsidP="00223668">
      <w:pPr>
        <w:pStyle w:val="a0"/>
        <w:rPr>
          <w:rStyle w:val="afb"/>
          <w:rtl/>
        </w:rPr>
      </w:pPr>
      <w:bookmarkStart w:id="7934" w:name="_Ref528495144"/>
      <w:r>
        <w:rPr>
          <w:rFonts w:hint="cs"/>
          <w:rtl/>
        </w:rPr>
        <w:t xml:space="preserve">וביאר </w:t>
      </w:r>
      <w:r w:rsidRPr="00310854">
        <w:rPr>
          <w:rStyle w:val="af9"/>
          <w:rFonts w:hint="cs"/>
          <w:rtl/>
        </w:rPr>
        <w:t>החת"ס</w:t>
      </w:r>
      <w:r>
        <w:rPr>
          <w:rFonts w:hint="cs"/>
          <w:rtl/>
        </w:rPr>
        <w:t xml:space="preserve"> דברובא דאיתא קמן יש לפנינו מיעוט שסותר את </w:t>
      </w:r>
      <w:r w:rsidRPr="00313ADD">
        <w:rPr>
          <w:rFonts w:hint="cs"/>
          <w:rtl/>
        </w:rPr>
        <w:t xml:space="preserve">הרוב, ורק מחמת הגזיה"כ אזלינן בתר הרוב, כדכתב </w:t>
      </w:r>
      <w:r w:rsidRPr="00313ADD">
        <w:rPr>
          <w:rStyle w:val="af9"/>
          <w:rFonts w:hint="cs"/>
          <w:rtl/>
        </w:rPr>
        <w:t>התוס' הרא"ש בב"מ</w:t>
      </w:r>
      <w:r w:rsidRPr="00313ADD">
        <w:rPr>
          <w:rFonts w:hint="cs"/>
          <w:rtl/>
        </w:rPr>
        <w:t xml:space="preserve"> </w:t>
      </w:r>
      <w:r w:rsidRPr="00313ADD">
        <w:rPr>
          <w:rStyle w:val="af7"/>
          <w:rFonts w:eastAsia="Guttman Hodes" w:hint="cs"/>
          <w:rtl/>
        </w:rPr>
        <w:t xml:space="preserve">(עי' אות </w:t>
      </w:r>
      <w:r w:rsidRPr="00313ADD">
        <w:rPr>
          <w:rStyle w:val="af7"/>
          <w:rFonts w:eastAsia="Guttman Hodes"/>
          <w:rtl/>
        </w:rPr>
        <w:fldChar w:fldCharType="begin"/>
      </w:r>
      <w:r w:rsidRPr="00313ADD">
        <w:rPr>
          <w:rStyle w:val="af7"/>
          <w:rFonts w:eastAsia="Guttman Hodes"/>
          <w:rtl/>
        </w:rPr>
        <w:instrText xml:space="preserve"> </w:instrText>
      </w:r>
      <w:r w:rsidRPr="00313ADD">
        <w:rPr>
          <w:rStyle w:val="af7"/>
          <w:rFonts w:eastAsia="Guttman Hodes" w:hint="cs"/>
        </w:rPr>
        <w:instrText>REF</w:instrText>
      </w:r>
      <w:r w:rsidRPr="00313ADD">
        <w:rPr>
          <w:rStyle w:val="af7"/>
          <w:rFonts w:eastAsia="Guttman Hodes" w:hint="cs"/>
          <w:rtl/>
        </w:rPr>
        <w:instrText xml:space="preserve"> _</w:instrText>
      </w:r>
      <w:r w:rsidRPr="00313ADD">
        <w:rPr>
          <w:rStyle w:val="af7"/>
          <w:rFonts w:eastAsia="Guttman Hodes" w:hint="cs"/>
        </w:rPr>
        <w:instrText>Ref528495171 \r \h</w:instrText>
      </w:r>
      <w:r w:rsidRPr="00313ADD">
        <w:rPr>
          <w:rStyle w:val="af7"/>
          <w:rFonts w:eastAsia="Guttman Hodes"/>
          <w:rtl/>
        </w:rPr>
        <w:instrText xml:space="preserve"> </w:instrText>
      </w:r>
      <w:r w:rsidRPr="00313ADD">
        <w:rPr>
          <w:rStyle w:val="af7"/>
          <w:rFonts w:eastAsia="Guttman Hodes"/>
          <w:rtl/>
        </w:rPr>
      </w:r>
      <w:r w:rsidRPr="00313ADD">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313ADD">
        <w:rPr>
          <w:rStyle w:val="af7"/>
          <w:rFonts w:eastAsia="Guttman Hodes"/>
          <w:rtl/>
        </w:rPr>
        <w:fldChar w:fldCharType="end"/>
      </w:r>
      <w:r>
        <w:rPr>
          <w:rFonts w:hint="cs"/>
          <w:rtl/>
        </w:rPr>
        <w:t xml:space="preserve"> דהוא ספק שהתירה תורה, אבל ברובא דליתא קמן אין לפנינו כל מיעוט שסותר את הרוב, ולא שייך לומר שיש חזקת איסור, דיתכן שאין כל מיעוט ואין ספק כלל. </w:t>
      </w:r>
      <w:r w:rsidRPr="00CF5C0B">
        <w:rPr>
          <w:rStyle w:val="afb"/>
          <w:rFonts w:hint="cs"/>
          <w:rtl/>
        </w:rPr>
        <w:t>[כרוב קטנים אינם סריסים, דיתכן שבדור הזה כל הקטנים אינם סריסים].</w:t>
      </w:r>
      <w:bookmarkEnd w:id="7934"/>
    </w:p>
    <w:p w14:paraId="45DBDBBD" w14:textId="77777777" w:rsidR="009A2997" w:rsidRDefault="009A2997" w:rsidP="00BF39B2">
      <w:pPr>
        <w:pStyle w:val="1"/>
        <w:rPr>
          <w:rtl/>
        </w:rPr>
      </w:pPr>
      <w:bookmarkStart w:id="7935" w:name="_Toc528712503"/>
      <w:bookmarkStart w:id="7936" w:name="_Toc528777170"/>
      <w:bookmarkStart w:id="7937" w:name="_Toc528789730"/>
      <w:bookmarkStart w:id="7938" w:name="_Toc19390003"/>
      <w:bookmarkStart w:id="7939" w:name="_Toc19393500"/>
      <w:r>
        <w:rPr>
          <w:rFonts w:hint="cs"/>
          <w:rtl/>
        </w:rPr>
        <w:t>דברי החזו"א דלא שייך לומר כל דפריש ברובא דליתא קמן</w:t>
      </w:r>
      <w:bookmarkEnd w:id="7935"/>
      <w:bookmarkEnd w:id="7936"/>
      <w:bookmarkEnd w:id="7937"/>
      <w:bookmarkEnd w:id="7938"/>
      <w:bookmarkEnd w:id="7939"/>
    </w:p>
    <w:p w14:paraId="1E89C04C" w14:textId="77777777" w:rsidR="009A2997" w:rsidRDefault="009A2997" w:rsidP="006D6D32">
      <w:pPr>
        <w:pStyle w:val="a3"/>
        <w:rPr>
          <w:rtl/>
        </w:rPr>
      </w:pPr>
      <w:bookmarkStart w:id="7940" w:name="_Toc528712504"/>
      <w:bookmarkStart w:id="7941" w:name="_Toc528777171"/>
      <w:bookmarkStart w:id="7942" w:name="_Toc528789731"/>
      <w:bookmarkStart w:id="7943" w:name="_Toc19390004"/>
      <w:bookmarkStart w:id="7944" w:name="_Toc19393501"/>
      <w:r>
        <w:rPr>
          <w:rFonts w:hint="cs"/>
          <w:rtl/>
        </w:rPr>
        <w:t>דברי החזו"א דברובא דליתא קמן לא עמדנו עליו מעולם ולא שייך לומר כל דפריש</w:t>
      </w:r>
      <w:bookmarkEnd w:id="7940"/>
      <w:bookmarkEnd w:id="7941"/>
      <w:bookmarkEnd w:id="7942"/>
      <w:bookmarkEnd w:id="7943"/>
      <w:bookmarkEnd w:id="7944"/>
    </w:p>
    <w:p w14:paraId="25A2E6E6" w14:textId="77777777" w:rsidR="009A2997" w:rsidRDefault="009A2997" w:rsidP="00223668">
      <w:pPr>
        <w:pStyle w:val="a0"/>
        <w:rPr>
          <w:rtl/>
        </w:rPr>
      </w:pPr>
      <w:bookmarkStart w:id="7945" w:name="_Ref529876532"/>
      <w:bookmarkStart w:id="7946" w:name="_Toc528615479"/>
      <w:r>
        <w:rPr>
          <w:rFonts w:hint="cs"/>
          <w:rtl/>
        </w:rPr>
        <w:t xml:space="preserve">כתב </w:t>
      </w:r>
      <w:r w:rsidRPr="00E81520">
        <w:rPr>
          <w:rStyle w:val="af9"/>
          <w:rFonts w:hint="cs"/>
          <w:rtl/>
        </w:rPr>
        <w:t>החזו"א</w:t>
      </w:r>
      <w:r>
        <w:rPr>
          <w:rFonts w:hint="cs"/>
          <w:rtl/>
        </w:rPr>
        <w:t xml:space="preserve"> </w:t>
      </w:r>
      <w:r w:rsidRPr="00E81520">
        <w:rPr>
          <w:rStyle w:val="af7"/>
          <w:rFonts w:eastAsia="Guttman Hodes" w:hint="cs"/>
          <w:rtl/>
        </w:rPr>
        <w:t>(אבהע"ז סי' ל"א אות ב' סוד"ה וראיה)</w:t>
      </w:r>
      <w:r>
        <w:rPr>
          <w:rFonts w:hint="cs"/>
          <w:rtl/>
        </w:rPr>
        <w:t xml:space="preserve"> דברובא דליתא קמן כרוב בהמות מתעברות ויולדות, א"א לומר דכיון שרובן כבר ילדו, יהיה רובא דאיתא קמן ונימא כל דפריש מרובא פריש, דהא כל הרוב הוא מחמת ההנהגות שידועות בעולם, ועפי"ז החלטנו שכך הוא הרוב, אך לא ראינו שכך הוא רוב העולם, וכתב </w:t>
      </w:r>
      <w:r w:rsidRPr="00E81520">
        <w:rPr>
          <w:rStyle w:val="af9"/>
          <w:rFonts w:hint="cs"/>
          <w:rtl/>
        </w:rPr>
        <w:t>החזו"א</w:t>
      </w:r>
      <w:r>
        <w:rPr>
          <w:rFonts w:hint="cs"/>
          <w:rtl/>
        </w:rPr>
        <w:t xml:space="preserve"> דלכן אמרינן שהוא רובא דליתא קמן, </w:t>
      </w:r>
      <w:r w:rsidRPr="00E81520">
        <w:rPr>
          <w:rStyle w:val="afb"/>
          <w:rFonts w:hint="cs"/>
          <w:rtl/>
        </w:rPr>
        <w:t>[היינו שלעולם אינו רוב לפנינו]</w:t>
      </w:r>
      <w:r>
        <w:rPr>
          <w:rFonts w:hint="cs"/>
          <w:rtl/>
        </w:rPr>
        <w:t xml:space="preserve">, וע"ע בדברי </w:t>
      </w:r>
      <w:r w:rsidRPr="003B128E">
        <w:rPr>
          <w:rStyle w:val="af9"/>
          <w:rFonts w:hint="cs"/>
          <w:rtl/>
        </w:rPr>
        <w:t>הגר"ח</w:t>
      </w:r>
      <w:r>
        <w:rPr>
          <w:rFonts w:hint="cs"/>
          <w:rtl/>
        </w:rPr>
        <w:t xml:space="preserve"> </w:t>
      </w:r>
      <w:r w:rsidRPr="003B128E">
        <w:rPr>
          <w:rStyle w:val="af7"/>
          <w:rFonts w:eastAsia="Guttman Hodes" w:hint="cs"/>
          <w:rtl/>
        </w:rPr>
        <w:t xml:space="preserve">(עי' אות </w:t>
      </w:r>
      <w:r w:rsidRPr="003B128E">
        <w:rPr>
          <w:rStyle w:val="af7"/>
          <w:rFonts w:eastAsia="Guttman Hodes"/>
          <w:rtl/>
        </w:rPr>
        <w:fldChar w:fldCharType="begin"/>
      </w:r>
      <w:r w:rsidRPr="003B128E">
        <w:rPr>
          <w:rStyle w:val="af7"/>
          <w:rFonts w:eastAsia="Guttman Hodes"/>
          <w:rtl/>
        </w:rPr>
        <w:instrText xml:space="preserve"> </w:instrText>
      </w:r>
      <w:r w:rsidRPr="003B128E">
        <w:rPr>
          <w:rStyle w:val="af7"/>
          <w:rFonts w:eastAsia="Guttman Hodes" w:hint="cs"/>
        </w:rPr>
        <w:instrText>REF</w:instrText>
      </w:r>
      <w:r w:rsidRPr="003B128E">
        <w:rPr>
          <w:rStyle w:val="af7"/>
          <w:rFonts w:eastAsia="Guttman Hodes" w:hint="cs"/>
          <w:rtl/>
        </w:rPr>
        <w:instrText xml:space="preserve"> _</w:instrText>
      </w:r>
      <w:r w:rsidRPr="003B128E">
        <w:rPr>
          <w:rStyle w:val="af7"/>
          <w:rFonts w:eastAsia="Guttman Hodes" w:hint="cs"/>
        </w:rPr>
        <w:instrText>Ref529876477 \r \h</w:instrText>
      </w:r>
      <w:r w:rsidRPr="003B128E">
        <w:rPr>
          <w:rStyle w:val="af7"/>
          <w:rFonts w:eastAsia="Guttman Hodes"/>
          <w:rtl/>
        </w:rPr>
        <w:instrText xml:space="preserve"> </w:instrText>
      </w:r>
      <w:r w:rsidRPr="003B128E">
        <w:rPr>
          <w:rStyle w:val="af7"/>
          <w:rFonts w:eastAsia="Guttman Hodes"/>
          <w:rtl/>
        </w:rPr>
      </w:r>
      <w:r w:rsidRPr="003B128E">
        <w:rPr>
          <w:rStyle w:val="af7"/>
          <w:rFonts w:eastAsia="Guttman Hodes"/>
          <w:rtl/>
        </w:rPr>
        <w:fldChar w:fldCharType="separate"/>
      </w:r>
      <w:r w:rsidR="00345400">
        <w:rPr>
          <w:rStyle w:val="af7"/>
          <w:rFonts w:eastAsia="Guttman Hodes"/>
          <w:cs/>
        </w:rPr>
        <w:t>‎</w:t>
      </w:r>
      <w:r w:rsidR="00345400">
        <w:rPr>
          <w:rStyle w:val="af7"/>
          <w:rFonts w:eastAsia="Guttman Hodes"/>
          <w:rtl/>
        </w:rPr>
        <w:t>קה)</w:t>
      </w:r>
      <w:r w:rsidRPr="003B128E">
        <w:rPr>
          <w:rStyle w:val="af7"/>
          <w:rFonts w:eastAsia="Guttman Hodes"/>
          <w:rtl/>
        </w:rPr>
        <w:fldChar w:fldCharType="end"/>
      </w:r>
      <w:r>
        <w:rPr>
          <w:rFonts w:hint="cs"/>
          <w:rtl/>
        </w:rPr>
        <w:t>.</w:t>
      </w:r>
      <w:bookmarkEnd w:id="7945"/>
    </w:p>
    <w:p w14:paraId="7580BD60" w14:textId="77777777" w:rsidR="006D46E2" w:rsidRPr="006D46E2" w:rsidRDefault="006D46E2" w:rsidP="006D46E2">
      <w:pPr>
        <w:pStyle w:val="a3"/>
        <w:rPr>
          <w:rtl/>
        </w:rPr>
      </w:pPr>
    </w:p>
    <w:p w14:paraId="66EDF213" w14:textId="77777777" w:rsidR="006D46E2" w:rsidRPr="006D46E2" w:rsidRDefault="006D46E2" w:rsidP="006D46E2">
      <w:pPr>
        <w:pStyle w:val="a3"/>
        <w:rPr>
          <w:rtl/>
        </w:rPr>
      </w:pPr>
    </w:p>
    <w:p w14:paraId="516CB9D0" w14:textId="77777777" w:rsidR="006D46E2" w:rsidRPr="006D46E2" w:rsidRDefault="006D46E2" w:rsidP="006D46E2">
      <w:pPr>
        <w:pStyle w:val="a3"/>
        <w:rPr>
          <w:rtl/>
        </w:rPr>
      </w:pPr>
    </w:p>
    <w:p w14:paraId="53214484" w14:textId="77777777" w:rsidR="009A2997" w:rsidRDefault="009A2997" w:rsidP="006D6D32">
      <w:pPr>
        <w:pStyle w:val="afe"/>
        <w:rPr>
          <w:rtl/>
        </w:rPr>
      </w:pPr>
      <w:bookmarkStart w:id="7947" w:name="_Toc528712505"/>
      <w:bookmarkStart w:id="7948" w:name="_Toc528777172"/>
      <w:bookmarkStart w:id="7949" w:name="_Toc528789732"/>
      <w:bookmarkStart w:id="7950" w:name="_Toc19435562"/>
      <w:bookmarkStart w:id="7951" w:name="_Toc20080858"/>
      <w:r>
        <w:rPr>
          <w:rFonts w:hint="cs"/>
          <w:rtl/>
        </w:rPr>
        <w:t>במעלת רובא דאיתא קמן</w:t>
      </w:r>
      <w:bookmarkEnd w:id="7946"/>
      <w:bookmarkEnd w:id="7947"/>
      <w:bookmarkEnd w:id="7948"/>
      <w:bookmarkEnd w:id="7949"/>
      <w:bookmarkEnd w:id="7950"/>
      <w:bookmarkEnd w:id="7951"/>
    </w:p>
    <w:p w14:paraId="3E4E61A2" w14:textId="77777777" w:rsidR="009A2997" w:rsidRDefault="009A2997" w:rsidP="00BF39B2">
      <w:pPr>
        <w:pStyle w:val="1"/>
        <w:rPr>
          <w:rtl/>
        </w:rPr>
      </w:pPr>
      <w:bookmarkStart w:id="7952" w:name="_Toc528712506"/>
      <w:bookmarkStart w:id="7953" w:name="_Toc528777173"/>
      <w:bookmarkStart w:id="7954" w:name="_Toc528789733"/>
      <w:bookmarkStart w:id="7955" w:name="_Toc19390005"/>
      <w:bookmarkStart w:id="7956" w:name="_Toc19393502"/>
      <w:bookmarkStart w:id="7957" w:name="_Toc528615481"/>
      <w:bookmarkStart w:id="7958" w:name="_Toc528615480"/>
      <w:r w:rsidRPr="00536C22">
        <w:rPr>
          <w:rFonts w:hint="cs"/>
          <w:rtl/>
        </w:rPr>
        <w:t xml:space="preserve">דעת </w:t>
      </w:r>
      <w:r>
        <w:rPr>
          <w:rFonts w:hint="cs"/>
          <w:rtl/>
        </w:rPr>
        <w:t>התוס' ו</w:t>
      </w:r>
      <w:r w:rsidRPr="00536C22">
        <w:rPr>
          <w:rFonts w:hint="cs"/>
          <w:rtl/>
        </w:rPr>
        <w:t>הר"ן דב</w:t>
      </w:r>
      <w:r>
        <w:rPr>
          <w:rFonts w:hint="cs"/>
          <w:rtl/>
        </w:rPr>
        <w:t>רובא ד</w:t>
      </w:r>
      <w:r w:rsidRPr="00536C22">
        <w:rPr>
          <w:rFonts w:hint="cs"/>
          <w:rtl/>
        </w:rPr>
        <w:t>א</w:t>
      </w:r>
      <w:r>
        <w:rPr>
          <w:rFonts w:hint="cs"/>
          <w:rtl/>
        </w:rPr>
        <w:t>"ק לכו"ע לא חיישינן למיעוטא</w:t>
      </w:r>
      <w:bookmarkEnd w:id="7952"/>
      <w:bookmarkEnd w:id="7953"/>
      <w:bookmarkEnd w:id="7954"/>
      <w:bookmarkEnd w:id="7955"/>
      <w:bookmarkEnd w:id="7956"/>
      <w:r>
        <w:rPr>
          <w:rFonts w:hint="cs"/>
          <w:rtl/>
        </w:rPr>
        <w:t xml:space="preserve"> </w:t>
      </w:r>
      <w:bookmarkEnd w:id="7957"/>
    </w:p>
    <w:p w14:paraId="600449FC" w14:textId="77777777" w:rsidR="009A2997" w:rsidRDefault="009A2997" w:rsidP="006D6D32">
      <w:pPr>
        <w:pStyle w:val="a3"/>
        <w:rPr>
          <w:rtl/>
        </w:rPr>
      </w:pPr>
      <w:bookmarkStart w:id="7959" w:name="_Toc528712507"/>
      <w:bookmarkStart w:id="7960" w:name="_Toc528777174"/>
      <w:bookmarkStart w:id="7961" w:name="_Toc528789734"/>
      <w:bookmarkStart w:id="7962" w:name="_Toc19390006"/>
      <w:bookmarkStart w:id="7963" w:name="_Toc19393503"/>
      <w:bookmarkEnd w:id="7958"/>
      <w:r>
        <w:rPr>
          <w:rFonts w:hint="cs"/>
          <w:rtl/>
        </w:rPr>
        <w:t>דברי הר"ן דמהא דא"א ללמוד רובא דליתא קמן מסנהדרין מוכח דלא חיישינן בו למיעוט</w:t>
      </w:r>
      <w:bookmarkEnd w:id="7959"/>
      <w:bookmarkEnd w:id="7960"/>
      <w:bookmarkEnd w:id="7961"/>
      <w:bookmarkEnd w:id="7962"/>
      <w:bookmarkEnd w:id="7963"/>
    </w:p>
    <w:p w14:paraId="1F9722FD" w14:textId="77777777" w:rsidR="009A2997" w:rsidRDefault="009A2997" w:rsidP="00223668">
      <w:pPr>
        <w:pStyle w:val="a0"/>
        <w:rPr>
          <w:rtl/>
        </w:rPr>
      </w:pPr>
      <w:bookmarkStart w:id="7964" w:name="_Ref528166854"/>
      <w:r>
        <w:rPr>
          <w:rFonts w:hint="cs"/>
          <w:rtl/>
        </w:rPr>
        <w:t xml:space="preserve">כתב </w:t>
      </w:r>
      <w:r w:rsidRPr="003E0EC7">
        <w:rPr>
          <w:rStyle w:val="af9"/>
          <w:rFonts w:hint="cs"/>
          <w:rtl/>
        </w:rPr>
        <w:t>הר"ן על הרי"ף בע"ז</w:t>
      </w:r>
      <w:r>
        <w:rPr>
          <w:rFonts w:hint="cs"/>
          <w:rtl/>
        </w:rPr>
        <w:t xml:space="preserve"> </w:t>
      </w:r>
      <w:r w:rsidRPr="003E0EC7">
        <w:rPr>
          <w:rStyle w:val="af7"/>
          <w:rFonts w:eastAsia="Guttman Hodes" w:hint="cs"/>
          <w:rtl/>
        </w:rPr>
        <w:t>(פ"ג דף יז: מדפי הרי"ף ד"ה גרסינן)</w:t>
      </w:r>
      <w:r>
        <w:rPr>
          <w:rFonts w:hint="cs"/>
          <w:rtl/>
        </w:rPr>
        <w:t xml:space="preserve"> דמהא דאיתא בסוגיין דאף דילפינן מאחרי רבים להטות, דאזלינן בתר הרוב</w:t>
      </w:r>
      <w:r w:rsidRPr="00BD719E">
        <w:rPr>
          <w:rFonts w:hint="cs"/>
          <w:rtl/>
        </w:rPr>
        <w:t xml:space="preserve"> </w:t>
      </w:r>
      <w:r>
        <w:rPr>
          <w:rFonts w:hint="cs"/>
          <w:rtl/>
        </w:rPr>
        <w:t>ברובא דאיתא קמן, עדיין צריך ילפותא לרובא דליתא קמן, א"כ מבואר דאף ר"מ דחייש למיעוטא, מודה דברובא דאיתא קמן אזלינן בתר הרוב.</w:t>
      </w:r>
      <w:bookmarkEnd w:id="7964"/>
    </w:p>
    <w:p w14:paraId="0426009B" w14:textId="77777777" w:rsidR="009A2997" w:rsidRPr="004F5A97" w:rsidRDefault="009A2997" w:rsidP="006D6D32">
      <w:pPr>
        <w:pStyle w:val="a3"/>
      </w:pPr>
      <w:bookmarkStart w:id="7965" w:name="_Toc528712508"/>
      <w:bookmarkStart w:id="7966" w:name="_Toc528777175"/>
      <w:bookmarkStart w:id="7967" w:name="_Toc528789735"/>
      <w:bookmarkStart w:id="7968" w:name="_Toc19390007"/>
      <w:bookmarkStart w:id="7969" w:name="_Toc19393504"/>
      <w:r>
        <w:rPr>
          <w:rFonts w:hint="cs"/>
          <w:rtl/>
        </w:rPr>
        <w:t>ביאור הר"ן דברובא דא"ק הרוב שלפנינו מבטל את המיעוט לגמרי וברובא דל"ק המיעוט לא בטל</w:t>
      </w:r>
      <w:bookmarkEnd w:id="7965"/>
      <w:bookmarkEnd w:id="7966"/>
      <w:bookmarkEnd w:id="7967"/>
      <w:bookmarkEnd w:id="7968"/>
      <w:bookmarkEnd w:id="7969"/>
    </w:p>
    <w:p w14:paraId="40F1F2BB" w14:textId="77777777" w:rsidR="009A2997" w:rsidRPr="00843D99" w:rsidRDefault="009A2997" w:rsidP="00223668">
      <w:pPr>
        <w:pStyle w:val="a0"/>
        <w:rPr>
          <w:rtl/>
        </w:rPr>
      </w:pPr>
      <w:r>
        <w:rPr>
          <w:rFonts w:hint="cs"/>
          <w:rtl/>
        </w:rPr>
        <w:t xml:space="preserve">וביאר </w:t>
      </w:r>
      <w:r w:rsidRPr="003E0EC7">
        <w:rPr>
          <w:rStyle w:val="af9"/>
          <w:rFonts w:hint="cs"/>
          <w:rtl/>
        </w:rPr>
        <w:t>הר"ן על הרי"ף בע"ז</w:t>
      </w:r>
      <w:r>
        <w:rPr>
          <w:rFonts w:hint="cs"/>
          <w:rtl/>
        </w:rPr>
        <w:t xml:space="preserve"> דברובא דאיתא קמן כיון שהוא רוב שידוע לפנינו, יש בכחו לבטל את המיעוט, ולעשותו כמי שאינו, אבל ברובא דליתא קמן ס"ל לר"מ דהמיעוט לא נחשב כמי שאינו, ולכן חייש ר"מ למיעוטא, וכתב</w:t>
      </w:r>
      <w:r w:rsidRPr="004F5A97">
        <w:rPr>
          <w:rStyle w:val="af9"/>
          <w:rFonts w:hint="cs"/>
          <w:rtl/>
        </w:rPr>
        <w:t xml:space="preserve"> </w:t>
      </w:r>
      <w:r w:rsidRPr="003E0EC7">
        <w:rPr>
          <w:rStyle w:val="af9"/>
          <w:rFonts w:hint="cs"/>
          <w:rtl/>
        </w:rPr>
        <w:t>הר"ן על הרי"ף בע"ז</w:t>
      </w:r>
      <w:r>
        <w:rPr>
          <w:rFonts w:hint="cs"/>
          <w:rtl/>
        </w:rPr>
        <w:t xml:space="preserve"> דרבנן ס"ל דאף ברובא דליתא קמן, המיעוט נחשב כמי שאינו, ועי' </w:t>
      </w:r>
      <w:r w:rsidRPr="00766F34">
        <w:rPr>
          <w:rStyle w:val="af9"/>
          <w:rFonts w:hint="cs"/>
          <w:rtl/>
        </w:rPr>
        <w:t>באו"ש</w:t>
      </w:r>
      <w:r>
        <w:rPr>
          <w:rFonts w:hint="cs"/>
          <w:rtl/>
        </w:rPr>
        <w:t xml:space="preserve"> </w:t>
      </w:r>
      <w:r w:rsidRPr="00766F34">
        <w:rPr>
          <w:rStyle w:val="af7"/>
          <w:rFonts w:eastAsia="Guttman Hodes" w:hint="cs"/>
          <w:rtl/>
        </w:rPr>
        <w:t>(פ"</w:t>
      </w:r>
      <w:r w:rsidRPr="00766F34">
        <w:rPr>
          <w:rStyle w:val="af7"/>
          <w:rFonts w:eastAsia="Guttman Hodes"/>
          <w:rtl/>
        </w:rPr>
        <w:t>ז ה</w:t>
      </w:r>
      <w:r w:rsidRPr="00766F34">
        <w:rPr>
          <w:rStyle w:val="af7"/>
          <w:rFonts w:eastAsia="Guttman Hodes" w:hint="cs"/>
          <w:rtl/>
        </w:rPr>
        <w:t>"</w:t>
      </w:r>
      <w:r w:rsidRPr="00766F34">
        <w:rPr>
          <w:rStyle w:val="af7"/>
          <w:rFonts w:eastAsia="Guttman Hodes"/>
          <w:rtl/>
        </w:rPr>
        <w:t>ו</w:t>
      </w:r>
      <w:r w:rsidRPr="00766F34">
        <w:rPr>
          <w:rStyle w:val="af7"/>
          <w:rFonts w:eastAsia="Guttman Hodes" w:hint="cs"/>
          <w:rtl/>
        </w:rPr>
        <w:t xml:space="preserve"> סוד"ה במשנה)</w:t>
      </w:r>
      <w:r>
        <w:rPr>
          <w:rFonts w:hint="cs"/>
          <w:rtl/>
        </w:rPr>
        <w:t xml:space="preserve"> במה שהקשה על </w:t>
      </w:r>
      <w:r w:rsidRPr="00766F34">
        <w:rPr>
          <w:rStyle w:val="af9"/>
          <w:rFonts w:hint="cs"/>
          <w:rtl/>
        </w:rPr>
        <w:t>הר"ן</w:t>
      </w:r>
      <w:r>
        <w:rPr>
          <w:rFonts w:hint="cs"/>
          <w:rtl/>
        </w:rPr>
        <w:t>.</w:t>
      </w:r>
    </w:p>
    <w:p w14:paraId="1CF9C129" w14:textId="77777777" w:rsidR="009A2997" w:rsidRDefault="009A2997" w:rsidP="006D6D32">
      <w:pPr>
        <w:pStyle w:val="a3"/>
        <w:rPr>
          <w:rtl/>
        </w:rPr>
      </w:pPr>
      <w:bookmarkStart w:id="7970" w:name="_Toc528712509"/>
      <w:bookmarkStart w:id="7971" w:name="_Toc528777176"/>
      <w:bookmarkStart w:id="7972" w:name="_Toc528789736"/>
      <w:bookmarkStart w:id="7973" w:name="_Toc19390008"/>
      <w:bookmarkStart w:id="7974" w:name="_Toc19393505"/>
      <w:r>
        <w:rPr>
          <w:rFonts w:hint="cs"/>
          <w:rtl/>
        </w:rPr>
        <w:t>דברי התוס' ביבמות ובבכורות דברובא דאיתא קמן אף ר"מ לא חייש למיעוטא</w:t>
      </w:r>
      <w:bookmarkEnd w:id="7970"/>
      <w:bookmarkEnd w:id="7971"/>
      <w:bookmarkEnd w:id="7972"/>
      <w:bookmarkEnd w:id="7973"/>
      <w:bookmarkEnd w:id="7974"/>
    </w:p>
    <w:p w14:paraId="3473F17A" w14:textId="77777777" w:rsidR="009A2997" w:rsidRDefault="009A2997" w:rsidP="00223668">
      <w:pPr>
        <w:pStyle w:val="a0"/>
        <w:rPr>
          <w:rtl/>
        </w:rPr>
      </w:pPr>
      <w:bookmarkStart w:id="7975" w:name="_Ref528661345"/>
      <w:r>
        <w:rPr>
          <w:rFonts w:hint="cs"/>
          <w:rtl/>
        </w:rPr>
        <w:t xml:space="preserve">וכ"כ </w:t>
      </w:r>
      <w:r w:rsidRPr="00843D99">
        <w:rPr>
          <w:rStyle w:val="af9"/>
          <w:rFonts w:hint="cs"/>
          <w:rtl/>
        </w:rPr>
        <w:t>התוס' ביבמות</w:t>
      </w:r>
      <w:r>
        <w:rPr>
          <w:rFonts w:hint="cs"/>
          <w:rtl/>
        </w:rPr>
        <w:t xml:space="preserve"> </w:t>
      </w:r>
      <w:r w:rsidRPr="00843D99">
        <w:rPr>
          <w:rStyle w:val="af7"/>
          <w:rFonts w:eastAsia="Guttman Hodes" w:hint="cs"/>
          <w:rtl/>
        </w:rPr>
        <w:t>(סז: ד"ה אין)</w:t>
      </w:r>
      <w:r>
        <w:rPr>
          <w:rFonts w:hint="cs"/>
          <w:rtl/>
        </w:rPr>
        <w:t xml:space="preserve"> דברובא דאיתא קמן, אף ר"מ מודה דלא חיישינן למיעוטא, וכ"כ </w:t>
      </w:r>
      <w:r w:rsidRPr="00843D99">
        <w:rPr>
          <w:rStyle w:val="af9"/>
          <w:rFonts w:hint="cs"/>
          <w:rtl/>
        </w:rPr>
        <w:t>התוס' בבכורות</w:t>
      </w:r>
      <w:r>
        <w:rPr>
          <w:rFonts w:hint="cs"/>
          <w:rtl/>
        </w:rPr>
        <w:t xml:space="preserve"> </w:t>
      </w:r>
      <w:r w:rsidRPr="00843D99">
        <w:rPr>
          <w:rStyle w:val="af7"/>
          <w:rFonts w:eastAsia="Guttman Hodes" w:hint="cs"/>
          <w:rtl/>
        </w:rPr>
        <w:t>(יט: ד"ה ברובא)</w:t>
      </w:r>
      <w:r>
        <w:rPr>
          <w:rFonts w:hint="cs"/>
          <w:rtl/>
        </w:rPr>
        <w:t xml:space="preserve"> דלא פליג ר"מ על הילפותא דתשע חנויות, מדכתיב אחרי רבים להטות.</w:t>
      </w:r>
      <w:bookmarkEnd w:id="7975"/>
    </w:p>
    <w:p w14:paraId="5F0395E8" w14:textId="77777777" w:rsidR="009A2997" w:rsidRDefault="009A2997" w:rsidP="006D6D32">
      <w:pPr>
        <w:pStyle w:val="a3"/>
        <w:rPr>
          <w:rtl/>
        </w:rPr>
      </w:pPr>
      <w:bookmarkStart w:id="7976" w:name="_Toc528712510"/>
      <w:bookmarkStart w:id="7977" w:name="_Toc528777177"/>
      <w:bookmarkStart w:id="7978" w:name="_Toc528789737"/>
      <w:bookmarkStart w:id="7979" w:name="_Toc19390009"/>
      <w:bookmarkStart w:id="7980" w:name="_Toc19393506"/>
      <w:r>
        <w:rPr>
          <w:rFonts w:hint="cs"/>
          <w:rtl/>
        </w:rPr>
        <w:t>דברי החוו"ד דברובא דאיתא קמן א"א לסמוך את המיעוט לחזקה דהוא כמאן דליתא</w:t>
      </w:r>
      <w:bookmarkEnd w:id="7976"/>
      <w:bookmarkEnd w:id="7977"/>
      <w:bookmarkEnd w:id="7978"/>
      <w:bookmarkEnd w:id="7979"/>
      <w:bookmarkEnd w:id="7980"/>
    </w:p>
    <w:p w14:paraId="279AD527" w14:textId="77777777" w:rsidR="009A2997" w:rsidRDefault="009A2997" w:rsidP="00223668">
      <w:pPr>
        <w:pStyle w:val="a0"/>
        <w:rPr>
          <w:rtl/>
        </w:rPr>
      </w:pPr>
      <w:bookmarkStart w:id="7981" w:name="_Ref528314116"/>
      <w:r>
        <w:rPr>
          <w:rFonts w:hint="cs"/>
          <w:rtl/>
        </w:rPr>
        <w:t xml:space="preserve">כתב </w:t>
      </w:r>
      <w:r w:rsidRPr="00E72DA2">
        <w:rPr>
          <w:rStyle w:val="af9"/>
          <w:rFonts w:hint="cs"/>
          <w:rtl/>
        </w:rPr>
        <w:t>החוו"ד</w:t>
      </w:r>
      <w:r>
        <w:rPr>
          <w:rFonts w:hint="cs"/>
          <w:rtl/>
        </w:rPr>
        <w:t xml:space="preserve"> </w:t>
      </w:r>
      <w:r w:rsidRPr="00E72DA2">
        <w:rPr>
          <w:rStyle w:val="af7"/>
          <w:rFonts w:eastAsia="Guttman Hodes" w:hint="cs"/>
          <w:rtl/>
        </w:rPr>
        <w:t xml:space="preserve">(ס"ג ב') </w:t>
      </w:r>
      <w:r>
        <w:rPr>
          <w:rFonts w:hint="cs"/>
          <w:rtl/>
        </w:rPr>
        <w:t>דהא דאמרינן סמוך מיעוטא לחזקה, זהו דוקא ברובא דליתא קמן, אבל ברובא דאיתא קמן המיעוט הוא כמאן דליתא, ואף לדעת ר"מ א"א לצרפו לחזקה</w:t>
      </w:r>
      <w:r>
        <w:rPr>
          <w:rStyle w:val="af1"/>
          <w:rtl/>
        </w:rPr>
        <w:footnoteReference w:id="49"/>
      </w:r>
      <w:r>
        <w:rPr>
          <w:rFonts w:hint="cs"/>
          <w:rtl/>
        </w:rPr>
        <w:t xml:space="preserve">. </w:t>
      </w:r>
      <w:r w:rsidRPr="00FD5BDC">
        <w:rPr>
          <w:rStyle w:val="afb"/>
          <w:rFonts w:hint="cs"/>
          <w:rtl/>
        </w:rPr>
        <w:t>[</w:t>
      </w:r>
      <w:r w:rsidRPr="00FD5BDC">
        <w:rPr>
          <w:rStyle w:val="afb"/>
          <w:rtl/>
        </w:rPr>
        <w:t>ו</w:t>
      </w:r>
      <w:r w:rsidRPr="001B7D1F">
        <w:rPr>
          <w:rStyle w:val="afb"/>
          <w:rtl/>
        </w:rPr>
        <w:t xml:space="preserve">הוסיף </w:t>
      </w:r>
      <w:r w:rsidRPr="001B7D1F">
        <w:rPr>
          <w:rStyle w:val="affa"/>
          <w:rtl/>
        </w:rPr>
        <w:t>החוו"ד</w:t>
      </w:r>
      <w:r w:rsidRPr="001B7D1F">
        <w:rPr>
          <w:rStyle w:val="afb"/>
          <w:rtl/>
        </w:rPr>
        <w:t xml:space="preserve"> דכ"ש שאין מצרפים ב' מיעוטים ברובא דאיתא קמן</w:t>
      </w:r>
      <w:r>
        <w:rPr>
          <w:rStyle w:val="afb"/>
          <w:rFonts w:hint="cs"/>
          <w:rtl/>
        </w:rPr>
        <w:t>,</w:t>
      </w:r>
      <w:r w:rsidRPr="001B7D1F">
        <w:rPr>
          <w:rStyle w:val="afb"/>
          <w:rtl/>
        </w:rPr>
        <w:t xml:space="preserve"> ודלא </w:t>
      </w:r>
      <w:r w:rsidRPr="001B7D1F">
        <w:rPr>
          <w:rStyle w:val="affa"/>
          <w:rtl/>
        </w:rPr>
        <w:t>כתבו"ש</w:t>
      </w:r>
      <w:r>
        <w:rPr>
          <w:rStyle w:val="afb"/>
          <w:rtl/>
        </w:rPr>
        <w:t xml:space="preserve"> דכתב </w:t>
      </w:r>
      <w:r w:rsidRPr="00FD5BDC">
        <w:rPr>
          <w:rStyle w:val="afb"/>
          <w:rtl/>
        </w:rPr>
        <w:t>דמצרפי</w:t>
      </w:r>
      <w:r w:rsidRPr="00FD5BDC">
        <w:rPr>
          <w:rStyle w:val="afb"/>
          <w:rFonts w:hint="cs"/>
          <w:rtl/>
        </w:rPr>
        <w:t>ם</w:t>
      </w:r>
      <w:r>
        <w:rPr>
          <w:rStyle w:val="afb"/>
          <w:rFonts w:hint="cs"/>
          <w:rtl/>
        </w:rPr>
        <w:t xml:space="preserve"> ב' מיעוטים לחזק</w:t>
      </w:r>
      <w:r w:rsidRPr="00FD5BDC">
        <w:rPr>
          <w:rStyle w:val="afb"/>
          <w:rFonts w:hint="cs"/>
          <w:rtl/>
        </w:rPr>
        <w:t>ה</w:t>
      </w:r>
      <w:r w:rsidRPr="00FD5BDC">
        <w:rPr>
          <w:rStyle w:val="afb"/>
          <w:rtl/>
        </w:rPr>
        <w:t>]</w:t>
      </w:r>
      <w:bookmarkEnd w:id="7981"/>
      <w:r w:rsidRPr="00FD5BDC">
        <w:rPr>
          <w:rStyle w:val="afb"/>
          <w:rFonts w:hint="cs"/>
          <w:rtl/>
        </w:rPr>
        <w:t>.</w:t>
      </w:r>
      <w:r w:rsidRPr="00E418EB">
        <w:rPr>
          <w:rFonts w:hint="cs"/>
          <w:rtl/>
        </w:rPr>
        <w:t xml:space="preserve"> וע"ע בדברי </w:t>
      </w:r>
      <w:r>
        <w:rPr>
          <w:rStyle w:val="af9"/>
          <w:rFonts w:hint="cs"/>
          <w:rtl/>
        </w:rPr>
        <w:t>הנתיה"מ בתשובתו</w:t>
      </w:r>
      <w:r w:rsidRPr="00E418EB">
        <w:rPr>
          <w:rFonts w:hint="cs"/>
          <w:rtl/>
        </w:rPr>
        <w:t xml:space="preserve"> </w:t>
      </w:r>
      <w:r w:rsidRPr="00E418EB">
        <w:rPr>
          <w:rStyle w:val="af7"/>
          <w:rFonts w:eastAsia="Guttman Hodes" w:hint="cs"/>
          <w:rtl/>
        </w:rPr>
        <w:t xml:space="preserve">(עי' אות </w:t>
      </w:r>
      <w:r w:rsidRPr="00E418EB">
        <w:rPr>
          <w:rStyle w:val="af7"/>
          <w:rFonts w:eastAsia="Guttman Hodes"/>
          <w:rtl/>
        </w:rPr>
        <w:fldChar w:fldCharType="begin"/>
      </w:r>
      <w:r w:rsidRPr="00E418EB">
        <w:rPr>
          <w:rStyle w:val="af7"/>
          <w:rFonts w:eastAsia="Guttman Hodes"/>
          <w:rtl/>
        </w:rPr>
        <w:instrText xml:space="preserve"> </w:instrText>
      </w:r>
      <w:r w:rsidRPr="00E418EB">
        <w:rPr>
          <w:rStyle w:val="af7"/>
          <w:rFonts w:eastAsia="Guttman Hodes" w:hint="cs"/>
        </w:rPr>
        <w:instrText>REF</w:instrText>
      </w:r>
      <w:r w:rsidRPr="00E418EB">
        <w:rPr>
          <w:rStyle w:val="af7"/>
          <w:rFonts w:eastAsia="Guttman Hodes" w:hint="cs"/>
          <w:rtl/>
        </w:rPr>
        <w:instrText xml:space="preserve"> _</w:instrText>
      </w:r>
      <w:r w:rsidRPr="00E418EB">
        <w:rPr>
          <w:rStyle w:val="af7"/>
          <w:rFonts w:eastAsia="Guttman Hodes" w:hint="cs"/>
        </w:rPr>
        <w:instrText>Ref528314189 \r \h</w:instrText>
      </w:r>
      <w:r w:rsidRPr="00E418EB">
        <w:rPr>
          <w:rStyle w:val="af7"/>
          <w:rFonts w:eastAsia="Guttman Hodes"/>
          <w:rtl/>
        </w:rPr>
        <w:instrText xml:space="preserve"> </w:instrText>
      </w:r>
      <w:r w:rsidRPr="00E418EB">
        <w:rPr>
          <w:rStyle w:val="af7"/>
          <w:rFonts w:eastAsia="Guttman Hodes"/>
          <w:rtl/>
        </w:rPr>
      </w:r>
      <w:r w:rsidRPr="00E418EB">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E418EB">
        <w:rPr>
          <w:rStyle w:val="af7"/>
          <w:rFonts w:eastAsia="Guttman Hodes"/>
          <w:rtl/>
        </w:rPr>
        <w:fldChar w:fldCharType="end"/>
      </w:r>
      <w:r w:rsidRPr="00E418EB">
        <w:rPr>
          <w:rFonts w:hint="cs"/>
          <w:rtl/>
        </w:rPr>
        <w:t xml:space="preserve"> בגדר החילוק בין רובא דאיתא לרובא דליתא</w:t>
      </w:r>
      <w:r>
        <w:rPr>
          <w:rFonts w:hint="cs"/>
          <w:rtl/>
        </w:rPr>
        <w:t>.</w:t>
      </w:r>
    </w:p>
    <w:p w14:paraId="79EFF3E9" w14:textId="77777777" w:rsidR="009A2997" w:rsidRDefault="009A2997" w:rsidP="006D6D32">
      <w:pPr>
        <w:pStyle w:val="a3"/>
        <w:rPr>
          <w:rtl/>
        </w:rPr>
      </w:pPr>
      <w:bookmarkStart w:id="7982" w:name="_Toc528777178"/>
      <w:bookmarkStart w:id="7983" w:name="_Toc528789738"/>
      <w:bookmarkStart w:id="7984" w:name="_Toc19390010"/>
      <w:bookmarkStart w:id="7985" w:name="_Toc19393507"/>
      <w:r>
        <w:rPr>
          <w:rFonts w:hint="cs"/>
          <w:rtl/>
        </w:rPr>
        <w:t>ביאור האבאה"ז דהרמב"ן מסתפק אי ברובא דאיתא קמן אמרינן סמוך מיעוטא לחזקה</w:t>
      </w:r>
      <w:bookmarkEnd w:id="7982"/>
      <w:bookmarkEnd w:id="7983"/>
      <w:bookmarkEnd w:id="7984"/>
      <w:bookmarkEnd w:id="7985"/>
    </w:p>
    <w:p w14:paraId="056D1B13" w14:textId="77777777" w:rsidR="009A2997" w:rsidRPr="00F54E2D" w:rsidRDefault="009A2997" w:rsidP="00223668">
      <w:pPr>
        <w:pStyle w:val="a0"/>
        <w:rPr>
          <w:rtl/>
        </w:rPr>
      </w:pPr>
      <w:r w:rsidRPr="00F54E2D">
        <w:rPr>
          <w:rStyle w:val="af9"/>
          <w:rFonts w:hint="cs"/>
          <w:rtl/>
        </w:rPr>
        <w:t>והרמב"ן ביבמות</w:t>
      </w:r>
      <w:r>
        <w:rPr>
          <w:rFonts w:hint="cs"/>
          <w:rtl/>
        </w:rPr>
        <w:t xml:space="preserve"> </w:t>
      </w:r>
      <w:r w:rsidRPr="00E67491">
        <w:rPr>
          <w:rStyle w:val="af7"/>
          <w:rFonts w:eastAsia="Guttman Hodes" w:hint="cs"/>
          <w:rtl/>
        </w:rPr>
        <w:t>(קיט. ד"ה כך)</w:t>
      </w:r>
      <w:r>
        <w:rPr>
          <w:rFonts w:hint="cs"/>
          <w:rtl/>
        </w:rPr>
        <w:t xml:space="preserve"> הקשה אמאי ברוב שרצים בבית לא אמרינן סמוך מיעוטא לחזקה, ותירץ דהוא רובא דאיתא קמן, ועוד תירץ דאין שם חזקה כיון </w:t>
      </w:r>
      <w:r w:rsidRPr="00194DF7">
        <w:rPr>
          <w:rFonts w:hint="cs"/>
          <w:rtl/>
        </w:rPr>
        <w:t xml:space="preserve">שודאי נגע. וביאר </w:t>
      </w:r>
      <w:r w:rsidRPr="00E67491">
        <w:rPr>
          <w:rStyle w:val="af9"/>
          <w:rFonts w:hint="cs"/>
          <w:rtl/>
        </w:rPr>
        <w:t>האבאה"ז</w:t>
      </w:r>
      <w:r w:rsidRPr="00194DF7">
        <w:rPr>
          <w:rFonts w:hint="cs"/>
          <w:rtl/>
        </w:rPr>
        <w:t xml:space="preserve"> </w:t>
      </w:r>
      <w:r w:rsidRPr="00E67491">
        <w:rPr>
          <w:rStyle w:val="af7"/>
          <w:rFonts w:eastAsia="Guttman Hodes" w:hint="cs"/>
          <w:rtl/>
        </w:rPr>
        <w:t>(אישות פט"ז הכ"ה ד"ה והנה אי)</w:t>
      </w:r>
      <w:r w:rsidRPr="00194DF7">
        <w:rPr>
          <w:rFonts w:hint="cs"/>
          <w:rtl/>
        </w:rPr>
        <w:t xml:space="preserve"> </w:t>
      </w:r>
      <w:r w:rsidRPr="00E67491">
        <w:rPr>
          <w:rStyle w:val="af9"/>
          <w:rFonts w:hint="cs"/>
          <w:rtl/>
        </w:rPr>
        <w:t>דהרמב"ן</w:t>
      </w:r>
      <w:r w:rsidRPr="00194DF7">
        <w:rPr>
          <w:rFonts w:hint="cs"/>
          <w:rtl/>
        </w:rPr>
        <w:t xml:space="preserve"> מסתפק אי ברובא</w:t>
      </w:r>
      <w:r>
        <w:rPr>
          <w:rFonts w:hint="cs"/>
          <w:rtl/>
        </w:rPr>
        <w:t xml:space="preserve"> דאיתא קמן אמרינן סמוך מיעוטא ל</w:t>
      </w:r>
      <w:r w:rsidRPr="00194DF7">
        <w:rPr>
          <w:rFonts w:hint="cs"/>
          <w:rtl/>
        </w:rPr>
        <w:t>חזקה או לא.</w:t>
      </w:r>
    </w:p>
    <w:p w14:paraId="45B44AE5" w14:textId="77777777" w:rsidR="009A2997" w:rsidRDefault="009A2997" w:rsidP="00BF39B2">
      <w:pPr>
        <w:pStyle w:val="1"/>
        <w:rPr>
          <w:rtl/>
        </w:rPr>
      </w:pPr>
      <w:bookmarkStart w:id="7986" w:name="_Toc528615483"/>
      <w:bookmarkStart w:id="7987" w:name="_Toc528712515"/>
      <w:bookmarkStart w:id="7988" w:name="_Toc528777179"/>
      <w:bookmarkStart w:id="7989" w:name="_Toc528789739"/>
      <w:bookmarkStart w:id="7990" w:name="_Toc19390011"/>
      <w:bookmarkStart w:id="7991" w:name="_Toc19393508"/>
      <w:r>
        <w:rPr>
          <w:rFonts w:hint="cs"/>
          <w:rtl/>
        </w:rPr>
        <w:t>משמעות הר"ש והרשב"א דברובא דא"ק סמכינן מיעוטא לחזקה</w:t>
      </w:r>
      <w:bookmarkEnd w:id="7986"/>
      <w:bookmarkEnd w:id="7987"/>
      <w:bookmarkEnd w:id="7988"/>
      <w:bookmarkEnd w:id="7989"/>
      <w:bookmarkEnd w:id="7990"/>
      <w:bookmarkEnd w:id="7991"/>
    </w:p>
    <w:p w14:paraId="30AA065D" w14:textId="77777777" w:rsidR="009A2997" w:rsidRDefault="009A2997" w:rsidP="006D6D32">
      <w:pPr>
        <w:pStyle w:val="a3"/>
        <w:rPr>
          <w:rtl/>
        </w:rPr>
      </w:pPr>
      <w:bookmarkStart w:id="7992" w:name="_Toc528712516"/>
      <w:bookmarkStart w:id="7993" w:name="_Toc528777180"/>
      <w:bookmarkStart w:id="7994" w:name="_Toc528789740"/>
      <w:bookmarkStart w:id="7995" w:name="_Toc19390012"/>
      <w:bookmarkStart w:id="7996" w:name="_Toc19393509"/>
      <w:r>
        <w:rPr>
          <w:rFonts w:hint="cs"/>
          <w:rtl/>
        </w:rPr>
        <w:t>משמעות הרשב"א דאף ברובא דאיתא קמן שייך לומר סמוך מיעוטא לחזקה</w:t>
      </w:r>
      <w:bookmarkEnd w:id="7992"/>
      <w:bookmarkEnd w:id="7993"/>
      <w:bookmarkEnd w:id="7994"/>
      <w:bookmarkEnd w:id="7995"/>
      <w:bookmarkEnd w:id="7996"/>
    </w:p>
    <w:p w14:paraId="05C2E918" w14:textId="77777777" w:rsidR="009A2997" w:rsidRDefault="009A2997" w:rsidP="00223668">
      <w:pPr>
        <w:pStyle w:val="a0"/>
        <w:rPr>
          <w:rtl/>
        </w:rPr>
      </w:pPr>
      <w:r>
        <w:rPr>
          <w:rFonts w:hint="cs"/>
          <w:rtl/>
        </w:rPr>
        <w:t>ויעוי'</w:t>
      </w:r>
      <w:r>
        <w:rPr>
          <w:rStyle w:val="af9"/>
          <w:rFonts w:hint="cs"/>
          <w:rtl/>
        </w:rPr>
        <w:t xml:space="preserve"> </w:t>
      </w:r>
      <w:r w:rsidRPr="000E30B1">
        <w:rPr>
          <w:rStyle w:val="af9"/>
          <w:rFonts w:hint="cs"/>
          <w:rtl/>
        </w:rPr>
        <w:t>ברשב"א במשה"ב</w:t>
      </w:r>
      <w:r>
        <w:rPr>
          <w:rFonts w:hint="cs"/>
          <w:rtl/>
        </w:rPr>
        <w:t xml:space="preserve"> </w:t>
      </w:r>
      <w:r w:rsidRPr="000C2C84">
        <w:rPr>
          <w:rStyle w:val="af7"/>
          <w:rFonts w:eastAsia="Guttman Hodes" w:hint="cs"/>
          <w:rtl/>
        </w:rPr>
        <w:t>(ב"א ש"א דף ז: מדה"ס ד"ה הא איכא)</w:t>
      </w:r>
      <w:r>
        <w:rPr>
          <w:rFonts w:hint="cs"/>
          <w:rtl/>
        </w:rPr>
        <w:t xml:space="preserve"> דהקשה בדין עיסה טהורה שנמצאו בה חתיכות, ספק של שרץ ספק צפרדע, דאם יש רוב שרצים בבית טמאה, דנימא סמוך מיעוט צפרדעים לחזקת טהרה</w:t>
      </w:r>
      <w:r w:rsidRPr="000E30B1">
        <w:rPr>
          <w:rStyle w:val="afb"/>
          <w:rFonts w:hint="cs"/>
          <w:rtl/>
        </w:rPr>
        <w:t>.</w:t>
      </w:r>
      <w:r>
        <w:rPr>
          <w:rStyle w:val="afb"/>
          <w:rFonts w:hint="cs"/>
          <w:rtl/>
        </w:rPr>
        <w:t xml:space="preserve"> [</w:t>
      </w:r>
      <w:r w:rsidRPr="000E30B1">
        <w:rPr>
          <w:rStyle w:val="afb"/>
          <w:rFonts w:hint="cs"/>
          <w:rtl/>
        </w:rPr>
        <w:t>ו</w:t>
      </w:r>
      <w:r>
        <w:rPr>
          <w:rStyle w:val="afb"/>
          <w:rFonts w:hint="cs"/>
          <w:rtl/>
        </w:rPr>
        <w:t>הרי רוב שרצים בבית, ורוב זבים באותו מקום,</w:t>
      </w:r>
      <w:r w:rsidRPr="000E30B1">
        <w:rPr>
          <w:rStyle w:val="afb"/>
          <w:rFonts w:hint="cs"/>
          <w:rtl/>
        </w:rPr>
        <w:t xml:space="preserve"> הוא רובא דאיתא קמן, ומבואר </w:t>
      </w:r>
      <w:r w:rsidRPr="00D228DB">
        <w:rPr>
          <w:rStyle w:val="affa"/>
          <w:rFonts w:hint="cs"/>
          <w:rtl/>
        </w:rPr>
        <w:t>בר"ש</w:t>
      </w:r>
      <w:r w:rsidRPr="000E30B1">
        <w:rPr>
          <w:rStyle w:val="afb"/>
          <w:rFonts w:hint="cs"/>
          <w:rtl/>
        </w:rPr>
        <w:t xml:space="preserve"> </w:t>
      </w:r>
      <w:r>
        <w:rPr>
          <w:rStyle w:val="affa"/>
          <w:rFonts w:hint="cs"/>
          <w:rtl/>
        </w:rPr>
        <w:t>ו</w:t>
      </w:r>
      <w:r w:rsidRPr="000E30B1">
        <w:rPr>
          <w:rStyle w:val="affa"/>
          <w:rFonts w:hint="cs"/>
          <w:rtl/>
        </w:rPr>
        <w:t>ברשב"א</w:t>
      </w:r>
      <w:r w:rsidRPr="000E30B1">
        <w:rPr>
          <w:rStyle w:val="afb"/>
          <w:rFonts w:hint="cs"/>
          <w:rtl/>
        </w:rPr>
        <w:t xml:space="preserve"> דאף בכה"ג אמרינן סמוך מיעוטא לחזקה</w:t>
      </w:r>
      <w:r w:rsidRPr="00777564">
        <w:rPr>
          <w:rStyle w:val="afb"/>
          <w:rFonts w:hint="cs"/>
          <w:rtl/>
        </w:rPr>
        <w:t>].</w:t>
      </w:r>
    </w:p>
    <w:p w14:paraId="2174DFE3" w14:textId="77777777" w:rsidR="009A2997" w:rsidRPr="003007D4" w:rsidRDefault="009A2997" w:rsidP="006D6D32">
      <w:pPr>
        <w:pStyle w:val="a3"/>
      </w:pPr>
      <w:bookmarkStart w:id="7997" w:name="_Toc528777181"/>
      <w:bookmarkStart w:id="7998" w:name="_Toc528789741"/>
      <w:bookmarkStart w:id="7999" w:name="_Toc19390013"/>
      <w:bookmarkStart w:id="8000" w:name="_Toc19393510"/>
      <w:r>
        <w:rPr>
          <w:rFonts w:hint="cs"/>
          <w:rtl/>
        </w:rPr>
        <w:t>דחיית הגרעק"א דבתינוק הוא רובא דא"ק ולא אמרינן ביה סמוך מיעוטא לחזקה</w:t>
      </w:r>
      <w:bookmarkEnd w:id="7997"/>
      <w:bookmarkEnd w:id="7998"/>
      <w:bookmarkEnd w:id="7999"/>
      <w:bookmarkEnd w:id="8000"/>
    </w:p>
    <w:p w14:paraId="1BBDDAB6" w14:textId="77777777" w:rsidR="009A2997" w:rsidRPr="004E3831" w:rsidRDefault="009A2997" w:rsidP="00223668">
      <w:pPr>
        <w:pStyle w:val="a0"/>
        <w:rPr>
          <w:rtl/>
        </w:rPr>
      </w:pPr>
      <w:r w:rsidRPr="004E3831">
        <w:rPr>
          <w:rFonts w:hint="cs"/>
          <w:rtl/>
        </w:rPr>
        <w:t xml:space="preserve">וכתב </w:t>
      </w:r>
      <w:r w:rsidRPr="004E3831">
        <w:rPr>
          <w:rStyle w:val="af9"/>
          <w:rFonts w:hint="cs"/>
          <w:rtl/>
        </w:rPr>
        <w:t>הגרעק"א</w:t>
      </w:r>
      <w:r w:rsidRPr="004E3831">
        <w:rPr>
          <w:rFonts w:hint="cs"/>
          <w:rtl/>
        </w:rPr>
        <w:t xml:space="preserve"> </w:t>
      </w:r>
      <w:r w:rsidRPr="004E3831">
        <w:rPr>
          <w:rStyle w:val="af7"/>
          <w:rFonts w:eastAsia="Guttman Hodes" w:hint="cs"/>
          <w:rtl/>
        </w:rPr>
        <w:t>(שו"ת מהדו"ת סי' ק"ג ה')</w:t>
      </w:r>
      <w:r w:rsidRPr="004E3831">
        <w:rPr>
          <w:rFonts w:hint="cs"/>
          <w:rtl/>
        </w:rPr>
        <w:t xml:space="preserve"> דאפש</w:t>
      </w:r>
      <w:r>
        <w:rPr>
          <w:rFonts w:hint="cs"/>
          <w:rtl/>
        </w:rPr>
        <w:t xml:space="preserve">ר דלדחות את דברי </w:t>
      </w:r>
      <w:r w:rsidRPr="00585C7D">
        <w:rPr>
          <w:rStyle w:val="af9"/>
          <w:rFonts w:hint="cs"/>
          <w:rtl/>
        </w:rPr>
        <w:t>הרשב"א במשה"ב</w:t>
      </w:r>
      <w:r>
        <w:rPr>
          <w:rFonts w:hint="cs"/>
          <w:rtl/>
        </w:rPr>
        <w:t>,</w:t>
      </w:r>
      <w:r w:rsidRPr="004E3831">
        <w:rPr>
          <w:rFonts w:hint="cs"/>
          <w:rtl/>
        </w:rPr>
        <w:t xml:space="preserve"> דהא דבתינוק לא אמרינן סמוך מיעוטא לחזקה הוא כיון דהוא רובא דאיתא קמן כדכתב </w:t>
      </w:r>
      <w:r w:rsidRPr="004E3831">
        <w:rPr>
          <w:rStyle w:val="af9"/>
          <w:rFonts w:hint="cs"/>
          <w:rtl/>
        </w:rPr>
        <w:t xml:space="preserve">רש"י בקידושין </w:t>
      </w:r>
      <w:r w:rsidRPr="004E3831">
        <w:rPr>
          <w:rStyle w:val="af7"/>
          <w:rFonts w:eastAsia="Guttman Hodes" w:hint="cs"/>
          <w:rtl/>
        </w:rPr>
        <w:t>(פ. ד"ה אם)</w:t>
      </w:r>
      <w:r w:rsidRPr="004E3831">
        <w:rPr>
          <w:rFonts w:hint="cs"/>
          <w:rtl/>
        </w:rPr>
        <w:t xml:space="preserve">, וברובא דאיתא קמן לא סמכינן את המיעוט לחזקה, וכמו שחילק </w:t>
      </w:r>
      <w:r w:rsidRPr="004E3831">
        <w:rPr>
          <w:rStyle w:val="af9"/>
          <w:rFonts w:hint="cs"/>
          <w:rtl/>
        </w:rPr>
        <w:t xml:space="preserve">התרוה"ד </w:t>
      </w:r>
      <w:r w:rsidRPr="009769F7">
        <w:rPr>
          <w:rStyle w:val="af7"/>
          <w:rFonts w:eastAsia="Guttman Hodes" w:hint="cs"/>
          <w:rtl/>
        </w:rPr>
        <w:t xml:space="preserve">(עי' אות </w:t>
      </w:r>
      <w:r w:rsidRPr="009769F7">
        <w:rPr>
          <w:rStyle w:val="af7"/>
          <w:rFonts w:eastAsia="Guttman Hodes"/>
          <w:rtl/>
        </w:rPr>
        <w:fldChar w:fldCharType="begin"/>
      </w:r>
      <w:r w:rsidRPr="009769F7">
        <w:rPr>
          <w:rStyle w:val="af7"/>
          <w:rFonts w:eastAsia="Guttman Hodes"/>
          <w:rtl/>
        </w:rPr>
        <w:instrText xml:space="preserve"> </w:instrText>
      </w:r>
      <w:r w:rsidRPr="009769F7">
        <w:rPr>
          <w:rStyle w:val="af7"/>
          <w:rFonts w:eastAsia="Guttman Hodes" w:hint="cs"/>
        </w:rPr>
        <w:instrText>REF</w:instrText>
      </w:r>
      <w:r w:rsidRPr="009769F7">
        <w:rPr>
          <w:rStyle w:val="af7"/>
          <w:rFonts w:eastAsia="Guttman Hodes" w:hint="cs"/>
          <w:rtl/>
        </w:rPr>
        <w:instrText xml:space="preserve"> _</w:instrText>
      </w:r>
      <w:r w:rsidRPr="009769F7">
        <w:rPr>
          <w:rStyle w:val="af7"/>
          <w:rFonts w:eastAsia="Guttman Hodes" w:hint="cs"/>
        </w:rPr>
        <w:instrText>Ref528661304 \r \h</w:instrText>
      </w:r>
      <w:r w:rsidRPr="009769F7">
        <w:rPr>
          <w:rStyle w:val="af7"/>
          <w:rFonts w:eastAsia="Guttman Hodes"/>
          <w:rtl/>
        </w:rPr>
        <w:instrText xml:space="preserve"> </w:instrText>
      </w:r>
      <w:r w:rsidRPr="009769F7">
        <w:rPr>
          <w:rStyle w:val="af7"/>
          <w:rFonts w:eastAsia="Guttman Hodes"/>
          <w:rtl/>
        </w:rPr>
      </w:r>
      <w:r w:rsidRPr="009769F7">
        <w:rPr>
          <w:rStyle w:val="af7"/>
          <w:rFonts w:eastAsia="Guttman Hodes"/>
          <w:rtl/>
        </w:rPr>
        <w:fldChar w:fldCharType="separate"/>
      </w:r>
      <w:r w:rsidR="00345400">
        <w:rPr>
          <w:rStyle w:val="af7"/>
          <w:rFonts w:eastAsia="Guttman Hodes"/>
          <w:cs/>
        </w:rPr>
        <w:t>‎</w:t>
      </w:r>
      <w:r w:rsidR="00345400">
        <w:rPr>
          <w:rStyle w:val="af7"/>
          <w:rFonts w:eastAsia="Guttman Hodes"/>
          <w:rtl/>
        </w:rPr>
        <w:t>עז)</w:t>
      </w:r>
      <w:r w:rsidRPr="009769F7">
        <w:rPr>
          <w:rStyle w:val="af7"/>
          <w:rFonts w:eastAsia="Guttman Hodes"/>
          <w:rtl/>
        </w:rPr>
        <w:fldChar w:fldCharType="end"/>
      </w:r>
      <w:r w:rsidRPr="004E3831">
        <w:rPr>
          <w:rFonts w:hint="cs"/>
          <w:rtl/>
        </w:rPr>
        <w:t xml:space="preserve"> </w:t>
      </w:r>
      <w:r>
        <w:rPr>
          <w:rFonts w:hint="cs"/>
          <w:rtl/>
        </w:rPr>
        <w:t xml:space="preserve">בשם </w:t>
      </w:r>
      <w:r w:rsidRPr="004E3831">
        <w:rPr>
          <w:rStyle w:val="af9"/>
          <w:rFonts w:hint="cs"/>
          <w:rtl/>
        </w:rPr>
        <w:t xml:space="preserve">המהר"ם מרוטנבורג </w:t>
      </w:r>
      <w:r w:rsidRPr="004E3831">
        <w:rPr>
          <w:rFonts w:hint="cs"/>
          <w:rtl/>
        </w:rPr>
        <w:t>לענין ממון דברובא דאיתא קמן אזלינן בתר רובא אף בממון</w:t>
      </w:r>
      <w:r>
        <w:rPr>
          <w:rFonts w:hint="cs"/>
          <w:rtl/>
        </w:rPr>
        <w:t>.</w:t>
      </w:r>
    </w:p>
    <w:p w14:paraId="5D7C4A63" w14:textId="77777777" w:rsidR="009A2997" w:rsidRPr="003E41C3" w:rsidRDefault="009A2997" w:rsidP="006D6D32">
      <w:pPr>
        <w:pStyle w:val="a3"/>
        <w:rPr>
          <w:rtl/>
        </w:rPr>
      </w:pPr>
      <w:bookmarkStart w:id="8001" w:name="_Toc528712517"/>
      <w:bookmarkStart w:id="8002" w:name="_Toc528777182"/>
      <w:bookmarkStart w:id="8003" w:name="_Toc528789742"/>
      <w:bookmarkStart w:id="8004" w:name="_Toc19390014"/>
      <w:bookmarkStart w:id="8005" w:name="_Toc19393511"/>
      <w:r>
        <w:rPr>
          <w:rFonts w:hint="cs"/>
          <w:rtl/>
        </w:rPr>
        <w:t>קושית האו"ש דבר"ש משמע דאף ברובא דאיתא קמן שייך לומר סמוך מיעוטא לחזקה לר"מ</w:t>
      </w:r>
      <w:bookmarkEnd w:id="8001"/>
      <w:bookmarkEnd w:id="8002"/>
      <w:bookmarkEnd w:id="8003"/>
      <w:bookmarkEnd w:id="8004"/>
      <w:bookmarkEnd w:id="8005"/>
    </w:p>
    <w:p w14:paraId="043EA2BE" w14:textId="77777777" w:rsidR="009A2997" w:rsidRDefault="009A2997" w:rsidP="00223668">
      <w:pPr>
        <w:pStyle w:val="a0"/>
        <w:rPr>
          <w:rtl/>
        </w:rPr>
      </w:pPr>
      <w:r w:rsidRPr="00962A65">
        <w:rPr>
          <w:rFonts w:hint="cs"/>
          <w:rtl/>
        </w:rPr>
        <w:t>ו</w:t>
      </w:r>
      <w:r>
        <w:rPr>
          <w:rFonts w:hint="cs"/>
          <w:rtl/>
        </w:rPr>
        <w:t xml:space="preserve">כן </w:t>
      </w:r>
      <w:r w:rsidRPr="00962A65">
        <w:rPr>
          <w:rFonts w:hint="cs"/>
          <w:rtl/>
        </w:rPr>
        <w:t xml:space="preserve">יעוי' </w:t>
      </w:r>
      <w:r w:rsidRPr="00777564">
        <w:rPr>
          <w:rStyle w:val="af9"/>
          <w:rFonts w:hint="cs"/>
          <w:rtl/>
        </w:rPr>
        <w:t>בר"ש בטהרות</w:t>
      </w:r>
      <w:r>
        <w:rPr>
          <w:rFonts w:hint="cs"/>
          <w:rtl/>
        </w:rPr>
        <w:t xml:space="preserve"> </w:t>
      </w:r>
      <w:r w:rsidRPr="000C2C84">
        <w:rPr>
          <w:rStyle w:val="af7"/>
          <w:rFonts w:eastAsia="Guttman Hodes" w:hint="cs"/>
          <w:rtl/>
        </w:rPr>
        <w:t>(פ"ה מ"ז ד"ה על בגדיו)</w:t>
      </w:r>
      <w:r>
        <w:rPr>
          <w:rFonts w:hint="cs"/>
          <w:rtl/>
        </w:rPr>
        <w:t xml:space="preserve"> </w:t>
      </w:r>
      <w:r w:rsidRPr="000C2C84">
        <w:rPr>
          <w:rFonts w:hint="cs"/>
          <w:rtl/>
        </w:rPr>
        <w:t>דכתב בענין טומאת מדרס דבמקום שיש רוב כותים, או רוב זבים וזבות, דלדעת ר"מ אמרינן סמוך מיעוטא לחזקה</w:t>
      </w:r>
      <w:r>
        <w:rPr>
          <w:rFonts w:hint="cs"/>
          <w:rtl/>
        </w:rPr>
        <w:t xml:space="preserve">, ותמה </w:t>
      </w:r>
      <w:r w:rsidRPr="003E41C3">
        <w:rPr>
          <w:rStyle w:val="af9"/>
          <w:rFonts w:hint="cs"/>
          <w:rtl/>
        </w:rPr>
        <w:t>האו"ש</w:t>
      </w:r>
      <w:r>
        <w:rPr>
          <w:rFonts w:hint="cs"/>
          <w:rtl/>
        </w:rPr>
        <w:t xml:space="preserve"> </w:t>
      </w:r>
      <w:r w:rsidRPr="003E41C3">
        <w:rPr>
          <w:rStyle w:val="af7"/>
          <w:rFonts w:eastAsia="Guttman Hodes" w:hint="cs"/>
          <w:rtl/>
        </w:rPr>
        <w:t>(אבות הטומאה פי"ח ה"ו)</w:t>
      </w:r>
      <w:r>
        <w:rPr>
          <w:rFonts w:hint="cs"/>
          <w:rtl/>
        </w:rPr>
        <w:t xml:space="preserve"> על </w:t>
      </w:r>
      <w:r w:rsidRPr="00F02C7C">
        <w:rPr>
          <w:rStyle w:val="af9"/>
          <w:rFonts w:hint="cs"/>
          <w:rtl/>
        </w:rPr>
        <w:t>הר"ש</w:t>
      </w:r>
      <w:r>
        <w:rPr>
          <w:rFonts w:hint="cs"/>
          <w:rtl/>
        </w:rPr>
        <w:t xml:space="preserve"> דהרי כיון שהוא רובא דאיתא קמן, א"כ א"א לומר בזה סמוך מיעוטא לחזקה</w:t>
      </w:r>
      <w:r>
        <w:rPr>
          <w:rStyle w:val="af1"/>
          <w:rtl/>
        </w:rPr>
        <w:footnoteReference w:id="50"/>
      </w:r>
      <w:r>
        <w:rPr>
          <w:rFonts w:hint="cs"/>
          <w:rtl/>
        </w:rPr>
        <w:t>.</w:t>
      </w:r>
    </w:p>
    <w:p w14:paraId="71F60047" w14:textId="77777777" w:rsidR="009A2997" w:rsidRDefault="009A2997" w:rsidP="006D6D32">
      <w:pPr>
        <w:pStyle w:val="a3"/>
        <w:rPr>
          <w:rtl/>
        </w:rPr>
      </w:pPr>
      <w:bookmarkStart w:id="8006" w:name="_Toc528777183"/>
      <w:bookmarkStart w:id="8007" w:name="_Toc528789743"/>
      <w:bookmarkStart w:id="8008" w:name="_Toc19390015"/>
      <w:bookmarkStart w:id="8009" w:name="_Toc19393512"/>
      <w:r>
        <w:rPr>
          <w:rFonts w:hint="cs"/>
          <w:rtl/>
        </w:rPr>
        <w:t>דברי הגרעק"א דלביאור הב' ברש"י דרובא דל"ק נלמד מסנהדרין צ"ל דרק מדרבנן המיעוט בטל</w:t>
      </w:r>
      <w:bookmarkEnd w:id="8006"/>
      <w:bookmarkEnd w:id="8007"/>
      <w:bookmarkEnd w:id="8008"/>
      <w:bookmarkEnd w:id="8009"/>
    </w:p>
    <w:p w14:paraId="057598E9" w14:textId="77777777" w:rsidR="009A2997" w:rsidRPr="002C1CB6" w:rsidRDefault="009A2997" w:rsidP="00223668">
      <w:pPr>
        <w:pStyle w:val="a0"/>
        <w:rPr>
          <w:rtl/>
        </w:rPr>
      </w:pPr>
      <w:r>
        <w:rPr>
          <w:rFonts w:hint="cs"/>
          <w:rtl/>
        </w:rPr>
        <w:t xml:space="preserve">הקשה </w:t>
      </w:r>
      <w:r w:rsidRPr="007200AC">
        <w:rPr>
          <w:rStyle w:val="af9"/>
          <w:rFonts w:hint="cs"/>
          <w:rtl/>
        </w:rPr>
        <w:t>הגרעק"א</w:t>
      </w:r>
      <w:r>
        <w:rPr>
          <w:rFonts w:hint="cs"/>
          <w:rtl/>
        </w:rPr>
        <w:t xml:space="preserve"> </w:t>
      </w:r>
      <w:r w:rsidRPr="007200AC">
        <w:rPr>
          <w:rStyle w:val="af7"/>
          <w:rFonts w:eastAsia="Guttman Hodes" w:hint="cs"/>
          <w:rtl/>
        </w:rPr>
        <w:t>(שו"ת מהדו"ת ק"ג ה')</w:t>
      </w:r>
      <w:r>
        <w:rPr>
          <w:rFonts w:hint="cs"/>
          <w:rtl/>
        </w:rPr>
        <w:t xml:space="preserve"> על </w:t>
      </w:r>
      <w:r w:rsidRPr="007200AC">
        <w:rPr>
          <w:rStyle w:val="af9"/>
          <w:rFonts w:hint="cs"/>
          <w:rtl/>
        </w:rPr>
        <w:t>הביאור הב' ברש"י</w:t>
      </w:r>
      <w:r>
        <w:rPr>
          <w:rFonts w:hint="cs"/>
          <w:rtl/>
        </w:rPr>
        <w:t xml:space="preserve"> </w:t>
      </w:r>
      <w:r w:rsidRPr="007200AC">
        <w:rPr>
          <w:rStyle w:val="af7"/>
          <w:rFonts w:eastAsia="Guttman Hodes" w:hint="cs"/>
          <w:rtl/>
        </w:rPr>
        <w:t xml:space="preserve">(עי' אות </w:t>
      </w:r>
      <w:r w:rsidRPr="007200AC">
        <w:rPr>
          <w:rStyle w:val="af7"/>
          <w:rFonts w:eastAsia="Guttman Hodes"/>
          <w:rtl/>
        </w:rPr>
        <w:fldChar w:fldCharType="begin"/>
      </w:r>
      <w:r w:rsidRPr="007200AC">
        <w:rPr>
          <w:rStyle w:val="af7"/>
          <w:rFonts w:eastAsia="Guttman Hodes"/>
          <w:rtl/>
        </w:rPr>
        <w:instrText xml:space="preserve"> </w:instrText>
      </w:r>
      <w:r w:rsidRPr="007200AC">
        <w:rPr>
          <w:rStyle w:val="af7"/>
          <w:rFonts w:eastAsia="Guttman Hodes" w:hint="cs"/>
        </w:rPr>
        <w:instrText>REF</w:instrText>
      </w:r>
      <w:r w:rsidRPr="007200AC">
        <w:rPr>
          <w:rStyle w:val="af7"/>
          <w:rFonts w:eastAsia="Guttman Hodes" w:hint="cs"/>
          <w:rtl/>
        </w:rPr>
        <w:instrText xml:space="preserve"> _</w:instrText>
      </w:r>
      <w:r w:rsidRPr="007200AC">
        <w:rPr>
          <w:rStyle w:val="af7"/>
          <w:rFonts w:eastAsia="Guttman Hodes" w:hint="cs"/>
        </w:rPr>
        <w:instrText>Ref528752821 \r \h</w:instrText>
      </w:r>
      <w:r w:rsidRPr="007200AC">
        <w:rPr>
          <w:rStyle w:val="af7"/>
          <w:rFonts w:eastAsia="Guttman Hodes"/>
          <w:rtl/>
        </w:rPr>
        <w:instrText xml:space="preserve"> </w:instrText>
      </w:r>
      <w:r w:rsidRPr="007200AC">
        <w:rPr>
          <w:rStyle w:val="af7"/>
          <w:rFonts w:eastAsia="Guttman Hodes"/>
          <w:rtl/>
        </w:rPr>
      </w:r>
      <w:r w:rsidRPr="007200AC">
        <w:rPr>
          <w:rStyle w:val="af7"/>
          <w:rFonts w:eastAsia="Guttman Hodes"/>
          <w:rtl/>
        </w:rPr>
        <w:fldChar w:fldCharType="separate"/>
      </w:r>
      <w:r w:rsidR="00345400">
        <w:rPr>
          <w:rStyle w:val="af7"/>
          <w:rFonts w:eastAsia="Guttman Hodes" w:hint="cs"/>
          <w:b/>
          <w:bCs/>
          <w:rtl/>
        </w:rPr>
        <w:t>שגיאה! מקור ההפניה לא נמצא.</w:t>
      </w:r>
      <w:r w:rsidRPr="007200AC">
        <w:rPr>
          <w:rStyle w:val="af7"/>
          <w:rFonts w:eastAsia="Guttman Hodes"/>
          <w:rtl/>
        </w:rPr>
        <w:fldChar w:fldCharType="end"/>
      </w:r>
      <w:r>
        <w:rPr>
          <w:rFonts w:hint="cs"/>
          <w:rtl/>
        </w:rPr>
        <w:t xml:space="preserve"> דמאחרי רבים להטות, ילפינן גם את רובא דליתא קמן, דאין כל חילוק בין רובא דאיתא קמן, לרובא דליתא קמן, דהא </w:t>
      </w:r>
      <w:r w:rsidRPr="007200AC">
        <w:rPr>
          <w:rStyle w:val="af9"/>
          <w:rFonts w:hint="cs"/>
          <w:rtl/>
        </w:rPr>
        <w:t>ברש</w:t>
      </w:r>
      <w:r>
        <w:rPr>
          <w:rStyle w:val="af9"/>
          <w:rFonts w:hint="cs"/>
          <w:rtl/>
        </w:rPr>
        <w:t>"</w:t>
      </w:r>
      <w:r w:rsidRPr="007200AC">
        <w:rPr>
          <w:rStyle w:val="af9"/>
          <w:rFonts w:hint="cs"/>
          <w:rtl/>
        </w:rPr>
        <w:t>י בקידושין</w:t>
      </w:r>
      <w:r>
        <w:rPr>
          <w:rFonts w:hint="cs"/>
          <w:rtl/>
        </w:rPr>
        <w:t xml:space="preserve"> </w:t>
      </w:r>
      <w:r w:rsidRPr="007200AC">
        <w:rPr>
          <w:rStyle w:val="af7"/>
          <w:rFonts w:eastAsia="Guttman Hodes" w:hint="cs"/>
          <w:rtl/>
        </w:rPr>
        <w:t>(פ. ד"ה אם)</w:t>
      </w:r>
      <w:r>
        <w:rPr>
          <w:rFonts w:hint="cs"/>
          <w:rtl/>
        </w:rPr>
        <w:t xml:space="preserve"> מבואר דרובא דאיתא קמן מהני אף כנגד חזקה ולא אמרינן ביה סמוך מיעוטא לחזקה, ועדיף מרובא דליתא קמן, דלא מהני כנגד חזקה, וכתב </w:t>
      </w:r>
      <w:r w:rsidRPr="007200AC">
        <w:rPr>
          <w:rStyle w:val="af9"/>
          <w:rFonts w:hint="cs"/>
          <w:rtl/>
        </w:rPr>
        <w:t>הגרעק"א</w:t>
      </w:r>
      <w:r>
        <w:rPr>
          <w:rFonts w:hint="cs"/>
          <w:rtl/>
        </w:rPr>
        <w:t xml:space="preserve"> דצ"ל דרק מדרבנן רובא דאיתא קמן עדיף, אבל מדאו' אין חילוק בין רובא דאיתא קמן לרובא דליתא קמן.</w:t>
      </w:r>
    </w:p>
    <w:p w14:paraId="0B77D287" w14:textId="77777777" w:rsidR="009A2997" w:rsidRDefault="009A2997" w:rsidP="00BF39B2">
      <w:pPr>
        <w:pStyle w:val="1"/>
        <w:rPr>
          <w:rtl/>
        </w:rPr>
      </w:pPr>
      <w:bookmarkStart w:id="8010" w:name="_Toc528615482"/>
      <w:bookmarkStart w:id="8011" w:name="_Toc528712511"/>
      <w:bookmarkStart w:id="8012" w:name="_Toc528777184"/>
      <w:bookmarkStart w:id="8013" w:name="_Toc528789744"/>
      <w:bookmarkStart w:id="8014" w:name="_Toc19390016"/>
      <w:bookmarkStart w:id="8015" w:name="_Toc19393513"/>
      <w:bookmarkStart w:id="8016" w:name="_Toc528615485"/>
      <w:bookmarkStart w:id="8017" w:name="_Toc528712518"/>
      <w:r>
        <w:rPr>
          <w:rFonts w:hint="cs"/>
          <w:rtl/>
        </w:rPr>
        <w:t xml:space="preserve">ספק הגרעק"א בדעת הר"ן בסמוך מיעוטא לפלגא </w:t>
      </w:r>
      <w:bookmarkEnd w:id="8010"/>
      <w:bookmarkEnd w:id="8011"/>
      <w:r>
        <w:rPr>
          <w:rFonts w:hint="cs"/>
          <w:rtl/>
        </w:rPr>
        <w:t>ברובא דא"ק</w:t>
      </w:r>
      <w:bookmarkEnd w:id="8012"/>
      <w:bookmarkEnd w:id="8013"/>
      <w:bookmarkEnd w:id="8014"/>
      <w:bookmarkEnd w:id="8015"/>
    </w:p>
    <w:p w14:paraId="0ED43B25" w14:textId="77777777" w:rsidR="009A2997" w:rsidRPr="000F5B58" w:rsidRDefault="009A2997" w:rsidP="006D6D32">
      <w:pPr>
        <w:pStyle w:val="a3"/>
        <w:rPr>
          <w:rtl/>
        </w:rPr>
      </w:pPr>
      <w:bookmarkStart w:id="8018" w:name="_Toc528712512"/>
      <w:bookmarkStart w:id="8019" w:name="_Toc528777185"/>
      <w:bookmarkStart w:id="8020" w:name="_Toc528789745"/>
      <w:bookmarkStart w:id="8021" w:name="_Toc19390017"/>
      <w:bookmarkStart w:id="8022" w:name="_Toc19393514"/>
      <w:r>
        <w:rPr>
          <w:rFonts w:hint="cs"/>
          <w:rtl/>
        </w:rPr>
        <w:t>דברי הגרעק"א דכיון דברובא דאיתא קמן המיעוט כמי שאינו משמע דא"א לסומכו לפלגא</w:t>
      </w:r>
      <w:bookmarkEnd w:id="8018"/>
      <w:bookmarkEnd w:id="8019"/>
      <w:bookmarkEnd w:id="8020"/>
      <w:bookmarkEnd w:id="8021"/>
      <w:bookmarkEnd w:id="8022"/>
    </w:p>
    <w:p w14:paraId="7EEDB375" w14:textId="77777777" w:rsidR="009A2997" w:rsidRDefault="009A2997" w:rsidP="00223668">
      <w:pPr>
        <w:pStyle w:val="a0"/>
        <w:rPr>
          <w:rtl/>
        </w:rPr>
      </w:pPr>
      <w:r>
        <w:rPr>
          <w:rFonts w:hint="cs"/>
          <w:rtl/>
        </w:rPr>
        <w:t xml:space="preserve">כתב </w:t>
      </w:r>
      <w:r w:rsidRPr="000F5B58">
        <w:rPr>
          <w:rStyle w:val="af9"/>
          <w:rFonts w:hint="cs"/>
          <w:rtl/>
        </w:rPr>
        <w:t>הגרעק"א</w:t>
      </w:r>
      <w:r>
        <w:rPr>
          <w:rFonts w:hint="cs"/>
          <w:rtl/>
        </w:rPr>
        <w:t xml:space="preserve"> </w:t>
      </w:r>
      <w:r w:rsidRPr="000F5B58">
        <w:rPr>
          <w:rStyle w:val="af7"/>
          <w:rFonts w:eastAsia="Guttman Hodes" w:hint="cs"/>
          <w:rtl/>
        </w:rPr>
        <w:t>(שו"ת מהדו"ק סי' ק"ו ד"ה גם הנני)</w:t>
      </w:r>
      <w:r>
        <w:rPr>
          <w:rFonts w:hint="cs"/>
          <w:rtl/>
        </w:rPr>
        <w:t xml:space="preserve"> דיש להסתפק אי אמרינן סמוך מיעוט לפלגא, דכיון דכתב </w:t>
      </w:r>
      <w:r w:rsidRPr="000F5B58">
        <w:rPr>
          <w:rStyle w:val="af9"/>
          <w:rFonts w:hint="cs"/>
          <w:rtl/>
        </w:rPr>
        <w:t>הר"ן על הרי"ף בע"ז</w:t>
      </w:r>
      <w:r>
        <w:rPr>
          <w:rFonts w:hint="cs"/>
          <w:rtl/>
        </w:rPr>
        <w:t xml:space="preserve"> </w:t>
      </w:r>
      <w:r w:rsidRPr="000F5B58">
        <w:rPr>
          <w:rStyle w:val="af7"/>
          <w:rFonts w:eastAsia="Guttman Hodes" w:hint="cs"/>
          <w:rtl/>
        </w:rPr>
        <w:t xml:space="preserve">(עי' אות </w:t>
      </w:r>
      <w:r w:rsidRPr="000F5B58">
        <w:rPr>
          <w:rStyle w:val="af7"/>
          <w:rFonts w:eastAsia="Guttman Hodes"/>
          <w:rtl/>
        </w:rPr>
        <w:fldChar w:fldCharType="begin"/>
      </w:r>
      <w:r w:rsidRPr="000F5B58">
        <w:rPr>
          <w:rStyle w:val="af7"/>
          <w:rFonts w:eastAsia="Guttman Hodes"/>
          <w:rtl/>
        </w:rPr>
        <w:instrText xml:space="preserve"> </w:instrText>
      </w:r>
      <w:r w:rsidRPr="000F5B58">
        <w:rPr>
          <w:rStyle w:val="af7"/>
          <w:rFonts w:eastAsia="Guttman Hodes" w:hint="cs"/>
        </w:rPr>
        <w:instrText>REF</w:instrText>
      </w:r>
      <w:r w:rsidRPr="000F5B58">
        <w:rPr>
          <w:rStyle w:val="af7"/>
          <w:rFonts w:eastAsia="Guttman Hodes" w:hint="cs"/>
          <w:rtl/>
        </w:rPr>
        <w:instrText xml:space="preserve"> _</w:instrText>
      </w:r>
      <w:r w:rsidRPr="000F5B58">
        <w:rPr>
          <w:rStyle w:val="af7"/>
          <w:rFonts w:eastAsia="Guttman Hodes" w:hint="cs"/>
        </w:rPr>
        <w:instrText>Ref528166854 \r \h</w:instrText>
      </w:r>
      <w:r w:rsidRPr="000F5B58">
        <w:rPr>
          <w:rStyle w:val="af7"/>
          <w:rFonts w:eastAsia="Guttman Hodes"/>
          <w:rtl/>
        </w:rPr>
        <w:instrText xml:space="preserve"> </w:instrText>
      </w:r>
      <w:r w:rsidRPr="000F5B58">
        <w:rPr>
          <w:rStyle w:val="af7"/>
          <w:rFonts w:eastAsia="Guttman Hodes"/>
          <w:rtl/>
        </w:rPr>
      </w:r>
      <w:r w:rsidRPr="000F5B58">
        <w:rPr>
          <w:rStyle w:val="af7"/>
          <w:rFonts w:eastAsia="Guttman Hodes"/>
          <w:rtl/>
        </w:rPr>
        <w:fldChar w:fldCharType="separate"/>
      </w:r>
      <w:r w:rsidR="00345400">
        <w:rPr>
          <w:rStyle w:val="af7"/>
          <w:rFonts w:eastAsia="Guttman Hodes"/>
          <w:cs/>
        </w:rPr>
        <w:t>‎</w:t>
      </w:r>
      <w:r w:rsidR="00345400">
        <w:rPr>
          <w:rStyle w:val="af7"/>
          <w:rFonts w:eastAsia="Guttman Hodes"/>
          <w:rtl/>
        </w:rPr>
        <w:t>סה)</w:t>
      </w:r>
      <w:r w:rsidRPr="000F5B58">
        <w:rPr>
          <w:rStyle w:val="af7"/>
          <w:rFonts w:eastAsia="Guttman Hodes"/>
          <w:rtl/>
        </w:rPr>
        <w:fldChar w:fldCharType="end"/>
      </w:r>
      <w:r>
        <w:rPr>
          <w:rFonts w:hint="cs"/>
          <w:rtl/>
        </w:rPr>
        <w:t xml:space="preserve"> דברובא דאיתא קמן המיעוט הוא כמאן דליתא, ולכן לא אמרינן ביה סמוך מיעוטא לחזקה, ה"ה דלא אמרינן ברובא דאיתא קמן, סמוך מיעוטא לפלגא.</w:t>
      </w:r>
    </w:p>
    <w:p w14:paraId="000A987A" w14:textId="77777777" w:rsidR="009A2997" w:rsidRPr="00FC7FD1" w:rsidRDefault="009A2997" w:rsidP="006D6D32">
      <w:pPr>
        <w:pStyle w:val="a3"/>
        <w:rPr>
          <w:rtl/>
        </w:rPr>
      </w:pPr>
      <w:bookmarkStart w:id="8023" w:name="_Toc528712513"/>
      <w:bookmarkStart w:id="8024" w:name="_Toc528777186"/>
      <w:bookmarkStart w:id="8025" w:name="_Toc528789746"/>
      <w:bookmarkStart w:id="8026" w:name="_Toc19390018"/>
      <w:bookmarkStart w:id="8027" w:name="_Toc19393515"/>
      <w:r>
        <w:rPr>
          <w:rFonts w:hint="cs"/>
          <w:rtl/>
        </w:rPr>
        <w:t>דחיית הגרעק"א דכל דברי הר"ן הם לדעת ר"מ אבל סמוך מיעוטא לפלגא לרבנן סמכינן</w:t>
      </w:r>
      <w:bookmarkEnd w:id="8023"/>
      <w:bookmarkEnd w:id="8024"/>
      <w:bookmarkEnd w:id="8025"/>
      <w:bookmarkEnd w:id="8026"/>
      <w:bookmarkEnd w:id="8027"/>
    </w:p>
    <w:p w14:paraId="3188354C" w14:textId="77777777" w:rsidR="009A2997" w:rsidRDefault="009A2997" w:rsidP="00223668">
      <w:pPr>
        <w:pStyle w:val="a0"/>
        <w:rPr>
          <w:rtl/>
        </w:rPr>
      </w:pPr>
      <w:r>
        <w:rPr>
          <w:rFonts w:hint="cs"/>
          <w:rtl/>
        </w:rPr>
        <w:t xml:space="preserve">וכתב </w:t>
      </w:r>
      <w:r w:rsidRPr="000F5B58">
        <w:rPr>
          <w:rStyle w:val="af9"/>
          <w:rFonts w:hint="cs"/>
          <w:rtl/>
        </w:rPr>
        <w:t>הגרעק"א</w:t>
      </w:r>
      <w:r>
        <w:rPr>
          <w:rFonts w:hint="cs"/>
          <w:rtl/>
        </w:rPr>
        <w:t xml:space="preserve"> דאפשר לדחות ולומר דכל דברי </w:t>
      </w:r>
      <w:r w:rsidRPr="000F5B58">
        <w:rPr>
          <w:rStyle w:val="af9"/>
          <w:rFonts w:hint="cs"/>
          <w:rtl/>
        </w:rPr>
        <w:t>הר"ן על הרי"ף בע"ז</w:t>
      </w:r>
      <w:r>
        <w:rPr>
          <w:rFonts w:hint="cs"/>
          <w:rtl/>
        </w:rPr>
        <w:t xml:space="preserve"> הם רק לענין סמוך מיעוטא לחזקה, דכתב </w:t>
      </w:r>
      <w:r w:rsidRPr="000F5B58">
        <w:rPr>
          <w:rStyle w:val="af9"/>
          <w:rFonts w:hint="cs"/>
          <w:rtl/>
        </w:rPr>
        <w:t xml:space="preserve">הר"ן </w:t>
      </w:r>
      <w:r>
        <w:rPr>
          <w:rFonts w:hint="cs"/>
          <w:rtl/>
        </w:rPr>
        <w:t>דאף ר"מ מודה דברובא דאיתא קמן המיעוט הוא כמאן דליתא, ולכן לא אמרינן סמוך מיעוטא לחזקה, דכל מה דסמכינן את המיעוט לחזקה הוא לר"מ, וכיון דהמיעוט כמאן דליתא, ממילא א"א לסומכו לחזקה, אבל בסמוך מיעוטא לפלגא דהוא גם לרבנן, יתכן דאף ברובא דאיתא קמן אפשר לסמוך את המיעוט לפלגא.</w:t>
      </w:r>
    </w:p>
    <w:p w14:paraId="51716832" w14:textId="77777777" w:rsidR="009A2997" w:rsidRDefault="009A2997" w:rsidP="006D6D32">
      <w:pPr>
        <w:pStyle w:val="a3"/>
        <w:rPr>
          <w:rtl/>
        </w:rPr>
      </w:pPr>
      <w:bookmarkStart w:id="8028" w:name="_Toc528712514"/>
      <w:bookmarkStart w:id="8029" w:name="_Toc528777187"/>
      <w:bookmarkStart w:id="8030" w:name="_Toc528789747"/>
      <w:bookmarkStart w:id="8031" w:name="_Toc19390019"/>
      <w:bookmarkStart w:id="8032" w:name="_Toc19393516"/>
      <w:r>
        <w:rPr>
          <w:rFonts w:hint="cs"/>
          <w:rtl/>
        </w:rPr>
        <w:t>ספק הגרעק"א דהא אף לרבנן המיעוט כמי שאינו ולא סמכינן מיעוט לחזקה לחומרא</w:t>
      </w:r>
      <w:bookmarkEnd w:id="8028"/>
      <w:bookmarkEnd w:id="8029"/>
      <w:bookmarkEnd w:id="8030"/>
      <w:bookmarkEnd w:id="8031"/>
      <w:bookmarkEnd w:id="8032"/>
    </w:p>
    <w:p w14:paraId="06B72780" w14:textId="77777777" w:rsidR="009A2997" w:rsidRPr="00DB5C47" w:rsidRDefault="009A2997" w:rsidP="00223668">
      <w:pPr>
        <w:pStyle w:val="a0"/>
        <w:rPr>
          <w:rtl/>
        </w:rPr>
      </w:pPr>
      <w:r>
        <w:rPr>
          <w:rFonts w:hint="cs"/>
          <w:rtl/>
        </w:rPr>
        <w:t xml:space="preserve">אך כתב </w:t>
      </w:r>
      <w:r w:rsidRPr="000F5B58">
        <w:rPr>
          <w:rStyle w:val="af9"/>
          <w:rFonts w:hint="cs"/>
          <w:rtl/>
        </w:rPr>
        <w:t>הגרעק"א</w:t>
      </w:r>
      <w:r>
        <w:rPr>
          <w:rFonts w:hint="cs"/>
          <w:rtl/>
        </w:rPr>
        <w:t xml:space="preserve"> דאפש"ל דמר"מ נשמע לדידן, דכיון דלדעת ר"מ, המיעוט של רובא דאיתא קמן, הוא גרוע יותר מהמיעוט של רובא דליתא קמן, ה"ה לדעת הפוסקים דלחומרא סמכינן את המיעוט לחזקה, זהו דוקא ברובא דליתא קמן דלר"מ אמרינן סמוך מיעוטא לחזקה אף לקולא, סמכינן לדידן לחומרא, אבל ברובא דאיתא קמן דהמיעוט הוא </w:t>
      </w:r>
      <w:r w:rsidRPr="00DB5C47">
        <w:rPr>
          <w:rFonts w:hint="cs"/>
          <w:rtl/>
        </w:rPr>
        <w:t>גרוע לדעת ר"מ, ה"ה לדידן דלחומרא לא אמרינן ביה סמוך מיעוטא לחזקה, וא"כ אף לפלגא לא סמכינן וע</w:t>
      </w:r>
      <w:r>
        <w:rPr>
          <w:rFonts w:hint="cs"/>
          <w:rtl/>
        </w:rPr>
        <w:t xml:space="preserve">"ע </w:t>
      </w:r>
      <w:r w:rsidRPr="00DB5C47">
        <w:rPr>
          <w:rFonts w:hint="cs"/>
          <w:rtl/>
        </w:rPr>
        <w:t xml:space="preserve">במ"ש </w:t>
      </w:r>
      <w:r w:rsidRPr="00DB5C47">
        <w:rPr>
          <w:rStyle w:val="af9"/>
          <w:rFonts w:hint="cs"/>
          <w:rtl/>
        </w:rPr>
        <w:t>הגרעק"א</w:t>
      </w:r>
      <w:r w:rsidRPr="00DB5C47">
        <w:rPr>
          <w:rFonts w:hint="cs"/>
          <w:rtl/>
        </w:rPr>
        <w:t xml:space="preserve"> </w:t>
      </w:r>
      <w:r w:rsidRPr="00DB5C47">
        <w:rPr>
          <w:rStyle w:val="af7"/>
          <w:rFonts w:eastAsia="Guttman Hodes" w:hint="cs"/>
          <w:rtl/>
        </w:rPr>
        <w:t xml:space="preserve">(עי' אות </w:t>
      </w:r>
      <w:r w:rsidRPr="00DB5C47">
        <w:rPr>
          <w:rStyle w:val="af7"/>
          <w:rFonts w:eastAsia="Guttman Hodes"/>
          <w:rtl/>
        </w:rPr>
        <w:fldChar w:fldCharType="begin"/>
      </w:r>
      <w:r w:rsidRPr="00DB5C47">
        <w:rPr>
          <w:rStyle w:val="af7"/>
          <w:rFonts w:eastAsia="Guttman Hodes"/>
          <w:rtl/>
        </w:rPr>
        <w:instrText xml:space="preserve"> </w:instrText>
      </w:r>
      <w:r w:rsidRPr="00DB5C47">
        <w:rPr>
          <w:rStyle w:val="af7"/>
          <w:rFonts w:eastAsia="Guttman Hodes" w:hint="cs"/>
        </w:rPr>
        <w:instrText>REF</w:instrText>
      </w:r>
      <w:r w:rsidRPr="00DB5C47">
        <w:rPr>
          <w:rStyle w:val="af7"/>
          <w:rFonts w:eastAsia="Guttman Hodes" w:hint="cs"/>
          <w:rtl/>
        </w:rPr>
        <w:instrText xml:space="preserve"> _</w:instrText>
      </w:r>
      <w:r w:rsidRPr="00DB5C47">
        <w:rPr>
          <w:rStyle w:val="af7"/>
          <w:rFonts w:eastAsia="Guttman Hodes" w:hint="cs"/>
        </w:rPr>
        <w:instrText>Ref528494865 \r \h</w:instrText>
      </w:r>
      <w:r w:rsidRPr="00DB5C47">
        <w:rPr>
          <w:rStyle w:val="af7"/>
          <w:rFonts w:eastAsia="Guttman Hodes"/>
          <w:rtl/>
        </w:rPr>
        <w:instrText xml:space="preserve"> </w:instrText>
      </w:r>
      <w:r w:rsidRPr="00DB5C47">
        <w:rPr>
          <w:rStyle w:val="af7"/>
          <w:rFonts w:eastAsia="Guttman Hodes"/>
          <w:rtl/>
        </w:rPr>
      </w:r>
      <w:r w:rsidRPr="00DB5C47">
        <w:rPr>
          <w:rStyle w:val="af7"/>
          <w:rFonts w:eastAsia="Guttman Hodes"/>
          <w:rtl/>
        </w:rPr>
        <w:fldChar w:fldCharType="separate"/>
      </w:r>
      <w:r w:rsidR="00345400">
        <w:rPr>
          <w:rStyle w:val="af7"/>
          <w:rFonts w:eastAsia="Guttman Hodes"/>
          <w:cs/>
        </w:rPr>
        <w:t>‎</w:t>
      </w:r>
      <w:r w:rsidR="00345400">
        <w:rPr>
          <w:rStyle w:val="af7"/>
          <w:rFonts w:eastAsia="Guttman Hodes"/>
          <w:rtl/>
        </w:rPr>
        <w:t>עח)</w:t>
      </w:r>
      <w:r w:rsidRPr="00DB5C47">
        <w:rPr>
          <w:rStyle w:val="af7"/>
          <w:rFonts w:eastAsia="Guttman Hodes"/>
          <w:rtl/>
        </w:rPr>
        <w:fldChar w:fldCharType="end"/>
      </w:r>
      <w:r w:rsidRPr="00DB5C47">
        <w:rPr>
          <w:rFonts w:hint="cs"/>
          <w:rtl/>
        </w:rPr>
        <w:t xml:space="preserve"> לענין </w:t>
      </w:r>
      <w:r>
        <w:rPr>
          <w:rFonts w:hint="cs"/>
          <w:rtl/>
        </w:rPr>
        <w:t>רובא דאיתא קמן ב</w:t>
      </w:r>
      <w:r w:rsidRPr="00DB5C47">
        <w:rPr>
          <w:rFonts w:hint="cs"/>
          <w:rtl/>
        </w:rPr>
        <w:t>ממון.</w:t>
      </w:r>
    </w:p>
    <w:p w14:paraId="3B730B1A" w14:textId="77777777" w:rsidR="009A2997" w:rsidRPr="00161555" w:rsidRDefault="009A2997" w:rsidP="00BF39B2">
      <w:pPr>
        <w:pStyle w:val="1"/>
        <w:rPr>
          <w:rtl/>
        </w:rPr>
      </w:pPr>
      <w:bookmarkStart w:id="8033" w:name="_Toc528777188"/>
      <w:bookmarkStart w:id="8034" w:name="_Toc528789748"/>
      <w:bookmarkStart w:id="8035" w:name="_Toc19390020"/>
      <w:bookmarkStart w:id="8036" w:name="_Toc19393517"/>
      <w:r>
        <w:rPr>
          <w:rFonts w:hint="cs"/>
          <w:rtl/>
        </w:rPr>
        <w:t>פלוגתת הראשונים אי אזלינן בממון בתר רובא דאיתא קמן</w:t>
      </w:r>
      <w:bookmarkEnd w:id="8016"/>
      <w:bookmarkEnd w:id="8017"/>
      <w:bookmarkEnd w:id="8033"/>
      <w:bookmarkEnd w:id="8034"/>
      <w:bookmarkEnd w:id="8035"/>
      <w:bookmarkEnd w:id="8036"/>
    </w:p>
    <w:p w14:paraId="477DC7BA" w14:textId="77777777" w:rsidR="009A2997" w:rsidRDefault="009A2997" w:rsidP="006D6D32">
      <w:pPr>
        <w:pStyle w:val="a3"/>
        <w:rPr>
          <w:rtl/>
        </w:rPr>
      </w:pPr>
      <w:bookmarkStart w:id="8037" w:name="_Toc528712519"/>
      <w:bookmarkStart w:id="8038" w:name="_Toc528777189"/>
      <w:bookmarkStart w:id="8039" w:name="_Toc528789749"/>
      <w:bookmarkStart w:id="8040" w:name="_Toc19390021"/>
      <w:bookmarkStart w:id="8041" w:name="_Toc19393518"/>
      <w:r>
        <w:rPr>
          <w:rFonts w:hint="cs"/>
          <w:rtl/>
        </w:rPr>
        <w:t>דברי התרוה"ד דנחלקו המהר"ם מרוטנבורג ור"י אי אזלינן בממון בתר רובא דאיתא קמן</w:t>
      </w:r>
      <w:bookmarkEnd w:id="8037"/>
      <w:bookmarkEnd w:id="8038"/>
      <w:bookmarkEnd w:id="8039"/>
      <w:bookmarkEnd w:id="8040"/>
      <w:bookmarkEnd w:id="8041"/>
    </w:p>
    <w:p w14:paraId="3F63F7E6" w14:textId="77777777" w:rsidR="009A2997" w:rsidRDefault="009A2997" w:rsidP="00223668">
      <w:pPr>
        <w:pStyle w:val="a0"/>
        <w:rPr>
          <w:rtl/>
        </w:rPr>
      </w:pPr>
      <w:bookmarkStart w:id="8042" w:name="_Ref528661304"/>
      <w:r>
        <w:rPr>
          <w:rFonts w:hint="cs"/>
          <w:rtl/>
        </w:rPr>
        <w:t>כתב</w:t>
      </w:r>
      <w:r w:rsidRPr="00E33925">
        <w:rPr>
          <w:rStyle w:val="af9"/>
          <w:rFonts w:hint="cs"/>
          <w:rtl/>
        </w:rPr>
        <w:t xml:space="preserve"> </w:t>
      </w:r>
      <w:r>
        <w:rPr>
          <w:rStyle w:val="af9"/>
          <w:rFonts w:hint="cs"/>
          <w:rtl/>
        </w:rPr>
        <w:t>ה</w:t>
      </w:r>
      <w:r w:rsidRPr="00E33925">
        <w:rPr>
          <w:rStyle w:val="af9"/>
          <w:rFonts w:hint="cs"/>
          <w:rtl/>
        </w:rPr>
        <w:t>תרוה"ד</w:t>
      </w:r>
      <w:r>
        <w:rPr>
          <w:rFonts w:hint="cs"/>
          <w:rtl/>
        </w:rPr>
        <w:t xml:space="preserve"> </w:t>
      </w:r>
      <w:r w:rsidRPr="0021011D">
        <w:rPr>
          <w:rStyle w:val="af7"/>
          <w:rFonts w:eastAsia="Guttman Hodes" w:hint="cs"/>
          <w:rtl/>
        </w:rPr>
        <w:t>(שי"ד)</w:t>
      </w:r>
      <w:r>
        <w:rPr>
          <w:rFonts w:hint="cs"/>
          <w:rtl/>
        </w:rPr>
        <w:t xml:space="preserve"> </w:t>
      </w:r>
      <w:r>
        <w:rPr>
          <w:rFonts w:ascii="Cambria" w:hAnsi="Cambria" w:hint="cs"/>
          <w:rtl/>
        </w:rPr>
        <w:t>דדעת</w:t>
      </w:r>
      <w:r>
        <w:rPr>
          <w:rFonts w:hint="cs"/>
          <w:rtl/>
        </w:rPr>
        <w:t xml:space="preserve"> </w:t>
      </w:r>
      <w:r>
        <w:rPr>
          <w:rStyle w:val="af9"/>
          <w:rFonts w:hint="cs"/>
          <w:rtl/>
        </w:rPr>
        <w:t>המהר"ם מרונטבורג</w:t>
      </w:r>
      <w:r>
        <w:rPr>
          <w:rFonts w:hint="cs"/>
          <w:rtl/>
        </w:rPr>
        <w:t xml:space="preserve"> </w:t>
      </w:r>
      <w:r w:rsidRPr="00C87B6A">
        <w:rPr>
          <w:rStyle w:val="afb"/>
          <w:rFonts w:hint="cs"/>
          <w:rtl/>
        </w:rPr>
        <w:t>[עי' בהערה</w:t>
      </w:r>
      <w:r>
        <w:rPr>
          <w:rStyle w:val="af1"/>
          <w:rtl/>
        </w:rPr>
        <w:footnoteReference w:id="51"/>
      </w:r>
      <w:r w:rsidRPr="00C87B6A">
        <w:rPr>
          <w:rStyle w:val="afb"/>
          <w:rFonts w:hint="cs"/>
          <w:rtl/>
        </w:rPr>
        <w:t>]</w:t>
      </w:r>
      <w:r>
        <w:rPr>
          <w:rFonts w:hint="cs"/>
          <w:rtl/>
        </w:rPr>
        <w:t xml:space="preserve"> דהא דלא אזלינן בממון בתר רובא,</w:t>
      </w:r>
      <w:r w:rsidRPr="007647B5">
        <w:rPr>
          <w:rFonts w:hint="cs"/>
          <w:rtl/>
        </w:rPr>
        <w:t xml:space="preserve"> </w:t>
      </w:r>
      <w:r>
        <w:rPr>
          <w:rFonts w:hint="cs"/>
          <w:rtl/>
        </w:rPr>
        <w:t xml:space="preserve">היינו דוקא ברובא דליתא קמן, אבל ברובא דאיתא קמן, אף בממון אזלינן בתר רובא. ודעת </w:t>
      </w:r>
      <w:r w:rsidRPr="00757E3A">
        <w:rPr>
          <w:rStyle w:val="af9"/>
          <w:rFonts w:hint="cs"/>
          <w:rtl/>
        </w:rPr>
        <w:t>המרדכי בכתובות</w:t>
      </w:r>
      <w:r>
        <w:rPr>
          <w:rFonts w:hint="cs"/>
          <w:rtl/>
        </w:rPr>
        <w:t xml:space="preserve"> </w:t>
      </w:r>
      <w:r w:rsidRPr="0021011D">
        <w:rPr>
          <w:rStyle w:val="af7"/>
          <w:rFonts w:eastAsia="Guttman Hodes" w:hint="cs"/>
          <w:rtl/>
        </w:rPr>
        <w:t xml:space="preserve">(דף טו. רמז קמ"א) </w:t>
      </w:r>
      <w:r>
        <w:rPr>
          <w:rFonts w:hint="cs"/>
          <w:rtl/>
        </w:rPr>
        <w:t xml:space="preserve">בשם </w:t>
      </w:r>
      <w:r w:rsidRPr="00757E3A">
        <w:rPr>
          <w:rStyle w:val="af9"/>
          <w:rFonts w:hint="cs"/>
          <w:rtl/>
        </w:rPr>
        <w:t>ר"י</w:t>
      </w:r>
      <w:r>
        <w:rPr>
          <w:rFonts w:hint="cs"/>
          <w:rtl/>
        </w:rPr>
        <w:t xml:space="preserve"> דבממון לא אזלינן בתר רובא אף ברובא דאיתא קמן, עיי"ש שהאריך בזה, וע"ע בדברי </w:t>
      </w:r>
      <w:r w:rsidRPr="00A018C6">
        <w:rPr>
          <w:rStyle w:val="af9"/>
          <w:rFonts w:hint="cs"/>
          <w:rtl/>
        </w:rPr>
        <w:t>הקונה"ס</w:t>
      </w:r>
      <w:r>
        <w:rPr>
          <w:rFonts w:hint="cs"/>
          <w:rtl/>
        </w:rPr>
        <w:t xml:space="preserve"> </w:t>
      </w:r>
      <w:r w:rsidRPr="00A018C6">
        <w:rPr>
          <w:rStyle w:val="af7"/>
          <w:rFonts w:eastAsia="Guttman Hodes" w:hint="cs"/>
          <w:rtl/>
        </w:rPr>
        <w:t>(כלל ו' אות ד' ד"ה והוי יודע)</w:t>
      </w:r>
      <w:r>
        <w:rPr>
          <w:rFonts w:hint="cs"/>
          <w:rtl/>
        </w:rPr>
        <w:t>.</w:t>
      </w:r>
      <w:bookmarkEnd w:id="8042"/>
    </w:p>
    <w:p w14:paraId="7929F769" w14:textId="77777777" w:rsidR="009A2997" w:rsidRDefault="009A2997" w:rsidP="006D6D32">
      <w:pPr>
        <w:pStyle w:val="a3"/>
        <w:rPr>
          <w:rtl/>
        </w:rPr>
      </w:pPr>
      <w:bookmarkStart w:id="8043" w:name="_Toc528712520"/>
      <w:bookmarkStart w:id="8044" w:name="_Toc528777190"/>
      <w:bookmarkStart w:id="8045" w:name="_Toc528789750"/>
      <w:bookmarkStart w:id="8046" w:name="_Toc19390022"/>
      <w:bookmarkStart w:id="8047" w:name="_Toc19393519"/>
      <w:r>
        <w:rPr>
          <w:rFonts w:hint="cs"/>
          <w:rtl/>
        </w:rPr>
        <w:t>דברי הגרעק"א דאי ילפינן ליתא קמן מסנהדרין בממון לא אזלינן בתר רובא כלל</w:t>
      </w:r>
      <w:bookmarkEnd w:id="8043"/>
      <w:bookmarkEnd w:id="8044"/>
      <w:bookmarkEnd w:id="8045"/>
      <w:bookmarkEnd w:id="8046"/>
      <w:bookmarkEnd w:id="8047"/>
    </w:p>
    <w:p w14:paraId="5A057493" w14:textId="77777777" w:rsidR="009A2997" w:rsidRDefault="009A2997" w:rsidP="00223668">
      <w:pPr>
        <w:pStyle w:val="a0"/>
        <w:rPr>
          <w:rtl/>
        </w:rPr>
      </w:pPr>
      <w:bookmarkStart w:id="8048" w:name="_Ref528494865"/>
      <w:r>
        <w:rPr>
          <w:rFonts w:hint="cs"/>
          <w:rtl/>
        </w:rPr>
        <w:t xml:space="preserve">וכתב </w:t>
      </w:r>
      <w:r w:rsidRPr="008D54B3">
        <w:rPr>
          <w:rStyle w:val="af9"/>
          <w:rFonts w:hint="cs"/>
          <w:rtl/>
        </w:rPr>
        <w:t>הגרעק"א</w:t>
      </w:r>
      <w:r>
        <w:rPr>
          <w:rStyle w:val="af9"/>
          <w:rFonts w:hint="cs"/>
          <w:rtl/>
        </w:rPr>
        <w:t xml:space="preserve"> בחי'</w:t>
      </w:r>
      <w:r>
        <w:rPr>
          <w:rFonts w:hint="cs"/>
          <w:rtl/>
        </w:rPr>
        <w:t xml:space="preserve"> </w:t>
      </w:r>
      <w:r w:rsidRPr="008D54B3">
        <w:rPr>
          <w:rStyle w:val="af7"/>
          <w:rFonts w:eastAsia="Guttman Hodes" w:hint="cs"/>
          <w:rtl/>
        </w:rPr>
        <w:t xml:space="preserve">(יב. ד"ה בא"ד א"נ) </w:t>
      </w:r>
      <w:r w:rsidRPr="008D54B3">
        <w:rPr>
          <w:rStyle w:val="af9"/>
          <w:rFonts w:hint="cs"/>
          <w:rtl/>
        </w:rPr>
        <w:t>דלביאור הב' ברש"י</w:t>
      </w:r>
      <w:r>
        <w:rPr>
          <w:rFonts w:hint="cs"/>
          <w:rtl/>
        </w:rPr>
        <w:t xml:space="preserve"> </w:t>
      </w:r>
      <w:r w:rsidRPr="00CC0EB2">
        <w:rPr>
          <w:rStyle w:val="af7"/>
          <w:rFonts w:eastAsia="Guttman Hodes" w:hint="cs"/>
          <w:rtl/>
        </w:rPr>
        <w:t xml:space="preserve">(עי' אות </w:t>
      </w:r>
      <w:r w:rsidRPr="00CC0EB2">
        <w:rPr>
          <w:rStyle w:val="af7"/>
          <w:rFonts w:eastAsia="Guttman Hodes"/>
          <w:rtl/>
        </w:rPr>
        <w:fldChar w:fldCharType="begin"/>
      </w:r>
      <w:r w:rsidRPr="00CC0EB2">
        <w:rPr>
          <w:rStyle w:val="af7"/>
          <w:rFonts w:eastAsia="Guttman Hodes"/>
          <w:rtl/>
        </w:rPr>
        <w:instrText xml:space="preserve"> </w:instrText>
      </w:r>
      <w:r w:rsidRPr="00CC0EB2">
        <w:rPr>
          <w:rStyle w:val="af7"/>
          <w:rFonts w:eastAsia="Guttman Hodes" w:hint="cs"/>
        </w:rPr>
        <w:instrText>REF</w:instrText>
      </w:r>
      <w:r w:rsidRPr="00CC0EB2">
        <w:rPr>
          <w:rStyle w:val="af7"/>
          <w:rFonts w:eastAsia="Guttman Hodes" w:hint="cs"/>
          <w:rtl/>
        </w:rPr>
        <w:instrText xml:space="preserve"> _</w:instrText>
      </w:r>
      <w:r w:rsidRPr="00CC0EB2">
        <w:rPr>
          <w:rStyle w:val="af7"/>
          <w:rFonts w:eastAsia="Guttman Hodes" w:hint="cs"/>
        </w:rPr>
        <w:instrText>Ref528318815 \r \h</w:instrText>
      </w:r>
      <w:r w:rsidRPr="00CC0EB2">
        <w:rPr>
          <w:rStyle w:val="af7"/>
          <w:rFonts w:eastAsia="Guttman Hodes"/>
          <w:rtl/>
        </w:rPr>
        <w:instrText xml:space="preserve"> </w:instrText>
      </w:r>
      <w:r w:rsidRPr="00CC0EB2">
        <w:rPr>
          <w:rStyle w:val="af7"/>
          <w:rFonts w:eastAsia="Guttman Hodes"/>
          <w:rtl/>
        </w:rPr>
      </w:r>
      <w:r w:rsidRPr="00CC0EB2">
        <w:rPr>
          <w:rStyle w:val="af7"/>
          <w:rFonts w:eastAsia="Guttman Hodes"/>
          <w:rtl/>
        </w:rPr>
        <w:fldChar w:fldCharType="separate"/>
      </w:r>
      <w:r w:rsidR="00345400">
        <w:rPr>
          <w:rStyle w:val="af7"/>
          <w:rFonts w:eastAsia="Guttman Hodes"/>
          <w:cs/>
        </w:rPr>
        <w:t>‎</w:t>
      </w:r>
      <w:r w:rsidR="00345400">
        <w:rPr>
          <w:rStyle w:val="af7"/>
          <w:rFonts w:eastAsia="Guttman Hodes"/>
          <w:rtl/>
        </w:rPr>
        <w:t>כה)</w:t>
      </w:r>
      <w:r w:rsidRPr="00CC0EB2">
        <w:rPr>
          <w:rStyle w:val="af7"/>
          <w:rFonts w:eastAsia="Guttman Hodes"/>
          <w:rtl/>
        </w:rPr>
        <w:fldChar w:fldCharType="end"/>
      </w:r>
      <w:r>
        <w:rPr>
          <w:rFonts w:hint="cs"/>
          <w:rtl/>
        </w:rPr>
        <w:t xml:space="preserve"> דלמסקנא אין חילוק בין רובא דאיתא קמן לרובא דליתא קמן, ואת שניהם לומדים מאחרי רבים להטות, וא"כ גם בממון אין חילוק בדין הרוב, וכיון דקיי"ל דברובא דליתא קמן לא אזלינן בממון בתר רוב, ה"ה ברובא דאיתא קמן, וכתב </w:t>
      </w:r>
      <w:r w:rsidRPr="008D54B3">
        <w:rPr>
          <w:rStyle w:val="af9"/>
          <w:rFonts w:hint="cs"/>
          <w:rtl/>
        </w:rPr>
        <w:t>הגרעק"א</w:t>
      </w:r>
      <w:r>
        <w:rPr>
          <w:rFonts w:hint="cs"/>
          <w:rtl/>
        </w:rPr>
        <w:t xml:space="preserve"> דכן מבואר </w:t>
      </w:r>
      <w:r w:rsidRPr="008D54B3">
        <w:rPr>
          <w:rStyle w:val="af9"/>
          <w:rFonts w:hint="cs"/>
          <w:rtl/>
        </w:rPr>
        <w:t>בתוס' בכתובות</w:t>
      </w:r>
      <w:r>
        <w:rPr>
          <w:rFonts w:hint="cs"/>
          <w:rtl/>
        </w:rPr>
        <w:t xml:space="preserve"> </w:t>
      </w:r>
      <w:r w:rsidRPr="008D54B3">
        <w:rPr>
          <w:rStyle w:val="af7"/>
          <w:rFonts w:eastAsia="Guttman Hodes" w:hint="cs"/>
          <w:rtl/>
        </w:rPr>
        <w:t>(ט"ו: ד"ה להחזיר)</w:t>
      </w:r>
      <w:r>
        <w:rPr>
          <w:rFonts w:hint="cs"/>
          <w:rtl/>
        </w:rPr>
        <w:t>.</w:t>
      </w:r>
      <w:bookmarkEnd w:id="8048"/>
    </w:p>
    <w:p w14:paraId="1E5607F1" w14:textId="77777777" w:rsidR="009A2997" w:rsidRDefault="009A2997" w:rsidP="006D6D32">
      <w:pPr>
        <w:pStyle w:val="a3"/>
        <w:rPr>
          <w:rtl/>
        </w:rPr>
      </w:pPr>
      <w:bookmarkStart w:id="8049" w:name="_Toc528712521"/>
      <w:bookmarkStart w:id="8050" w:name="_Toc528777191"/>
      <w:bookmarkStart w:id="8051" w:name="_Toc528789751"/>
      <w:bookmarkStart w:id="8052" w:name="_Toc19390023"/>
      <w:bookmarkStart w:id="8053" w:name="_Toc19393520"/>
      <w:r>
        <w:rPr>
          <w:rFonts w:hint="cs"/>
          <w:rtl/>
        </w:rPr>
        <w:t xml:space="preserve">דברי הגרעק"א דאי ילפינן רובא דל"ק מהלכה למשה מסיני בממון אזלינן בתר </w:t>
      </w:r>
      <w:bookmarkEnd w:id="8049"/>
      <w:r>
        <w:rPr>
          <w:rFonts w:hint="cs"/>
          <w:rtl/>
        </w:rPr>
        <w:t>רובא דא"ק</w:t>
      </w:r>
      <w:bookmarkEnd w:id="8050"/>
      <w:bookmarkEnd w:id="8051"/>
      <w:bookmarkEnd w:id="8052"/>
      <w:bookmarkEnd w:id="8053"/>
    </w:p>
    <w:p w14:paraId="657B688A" w14:textId="77777777" w:rsidR="009A2997" w:rsidRDefault="009A2997" w:rsidP="00223668">
      <w:pPr>
        <w:pStyle w:val="a0"/>
        <w:rPr>
          <w:rtl/>
        </w:rPr>
      </w:pPr>
      <w:bookmarkStart w:id="8054" w:name="_Ref528494834"/>
      <w:r>
        <w:rPr>
          <w:rFonts w:hint="cs"/>
          <w:rtl/>
        </w:rPr>
        <w:t xml:space="preserve">אבל </w:t>
      </w:r>
      <w:r w:rsidRPr="008D54B3">
        <w:rPr>
          <w:rStyle w:val="af9"/>
          <w:rFonts w:hint="cs"/>
          <w:rtl/>
        </w:rPr>
        <w:t>לביאור הא' ברש"י</w:t>
      </w:r>
      <w:r>
        <w:rPr>
          <w:rFonts w:hint="cs"/>
          <w:rtl/>
        </w:rPr>
        <w:t xml:space="preserve"> </w:t>
      </w:r>
      <w:r w:rsidRPr="00CC0EB2">
        <w:rPr>
          <w:rStyle w:val="af7"/>
          <w:rFonts w:eastAsia="Guttman Hodes" w:hint="cs"/>
          <w:rtl/>
        </w:rPr>
        <w:t xml:space="preserve">(עי' אות </w:t>
      </w:r>
      <w:r w:rsidRPr="00CC0EB2">
        <w:rPr>
          <w:rStyle w:val="af7"/>
          <w:rFonts w:eastAsia="Guttman Hodes"/>
          <w:rtl/>
        </w:rPr>
        <w:fldChar w:fldCharType="begin"/>
      </w:r>
      <w:r w:rsidRPr="00CC0EB2">
        <w:rPr>
          <w:rStyle w:val="af7"/>
          <w:rFonts w:eastAsia="Guttman Hodes"/>
          <w:rtl/>
        </w:rPr>
        <w:instrText xml:space="preserve"> </w:instrText>
      </w:r>
      <w:r w:rsidRPr="00CC0EB2">
        <w:rPr>
          <w:rStyle w:val="af7"/>
          <w:rFonts w:eastAsia="Guttman Hodes" w:hint="cs"/>
        </w:rPr>
        <w:instrText>REF</w:instrText>
      </w:r>
      <w:r w:rsidRPr="00CC0EB2">
        <w:rPr>
          <w:rStyle w:val="af7"/>
          <w:rFonts w:eastAsia="Guttman Hodes" w:hint="cs"/>
          <w:rtl/>
        </w:rPr>
        <w:instrText xml:space="preserve"> _</w:instrText>
      </w:r>
      <w:r w:rsidRPr="00CC0EB2">
        <w:rPr>
          <w:rStyle w:val="af7"/>
          <w:rFonts w:eastAsia="Guttman Hodes" w:hint="cs"/>
        </w:rPr>
        <w:instrText>Ref528318822 \r \h</w:instrText>
      </w:r>
      <w:r w:rsidRPr="00CC0EB2">
        <w:rPr>
          <w:rStyle w:val="af7"/>
          <w:rFonts w:eastAsia="Guttman Hodes"/>
          <w:rtl/>
        </w:rPr>
        <w:instrText xml:space="preserve"> </w:instrText>
      </w:r>
      <w:r w:rsidRPr="00CC0EB2">
        <w:rPr>
          <w:rStyle w:val="af7"/>
          <w:rFonts w:eastAsia="Guttman Hodes"/>
          <w:rtl/>
        </w:rPr>
      </w:r>
      <w:r w:rsidRPr="00CC0EB2">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CC0EB2">
        <w:rPr>
          <w:rStyle w:val="af7"/>
          <w:rFonts w:eastAsia="Guttman Hodes"/>
          <w:rtl/>
        </w:rPr>
        <w:fldChar w:fldCharType="end"/>
      </w:r>
      <w:r>
        <w:rPr>
          <w:rFonts w:hint="cs"/>
          <w:rtl/>
        </w:rPr>
        <w:t xml:space="preserve"> דרובא דליתא קמן נלמד מהלכה למשה מסיני, ולא מקרא דאחרי רבים להטות, כתב </w:t>
      </w:r>
      <w:r w:rsidRPr="008D54B3">
        <w:rPr>
          <w:rStyle w:val="af9"/>
          <w:rFonts w:hint="cs"/>
          <w:rtl/>
        </w:rPr>
        <w:t>הגרעק"א</w:t>
      </w:r>
      <w:r>
        <w:rPr>
          <w:rFonts w:hint="cs"/>
          <w:rtl/>
        </w:rPr>
        <w:t xml:space="preserve"> הא דבממון לא אזלינן בתר רובא, הוא רק ברובא דליתא קמן, אבל ברובא דאיתא קמן, אף בממון אזלינן בתריה, וכתב </w:t>
      </w:r>
      <w:r w:rsidRPr="008D54B3">
        <w:rPr>
          <w:rStyle w:val="af9"/>
          <w:rFonts w:hint="cs"/>
          <w:rtl/>
        </w:rPr>
        <w:t>הגרעק"א</w:t>
      </w:r>
      <w:r>
        <w:rPr>
          <w:rFonts w:hint="cs"/>
          <w:rtl/>
        </w:rPr>
        <w:t xml:space="preserve"> דכן דעת </w:t>
      </w:r>
      <w:r w:rsidRPr="008D54B3">
        <w:rPr>
          <w:rStyle w:val="af9"/>
          <w:rFonts w:hint="cs"/>
          <w:rtl/>
        </w:rPr>
        <w:t>הרשב"ם בב"ב</w:t>
      </w:r>
      <w:r>
        <w:rPr>
          <w:rFonts w:hint="cs"/>
          <w:rtl/>
        </w:rPr>
        <w:t xml:space="preserve"> </w:t>
      </w:r>
      <w:r w:rsidRPr="008D54B3">
        <w:rPr>
          <w:rStyle w:val="af7"/>
          <w:rFonts w:eastAsia="Guttman Hodes" w:hint="cs"/>
          <w:rtl/>
        </w:rPr>
        <w:t>(צג. ד"ה דהיא)</w:t>
      </w:r>
      <w:r>
        <w:rPr>
          <w:rFonts w:hint="cs"/>
          <w:rtl/>
        </w:rPr>
        <w:t>.</w:t>
      </w:r>
    </w:p>
    <w:p w14:paraId="4A66549E" w14:textId="77777777" w:rsidR="009A2997" w:rsidRPr="00A56B08" w:rsidRDefault="009A2997" w:rsidP="006D6D32">
      <w:pPr>
        <w:pStyle w:val="a3"/>
      </w:pPr>
      <w:bookmarkStart w:id="8055" w:name="_Toc528712522"/>
      <w:bookmarkStart w:id="8056" w:name="_Toc528777192"/>
      <w:bookmarkStart w:id="8057" w:name="_Toc528789752"/>
      <w:bookmarkStart w:id="8058" w:name="_Toc19390024"/>
      <w:bookmarkStart w:id="8059" w:name="_Toc19393521"/>
      <w:r>
        <w:rPr>
          <w:rFonts w:hint="cs"/>
          <w:rtl/>
        </w:rPr>
        <w:t>ביאור הגרעק"א דכיון דהמיעוט ברובא דא"ק כמי שאינו א"א לומר בממון סמוך מיעוטא למוחזק</w:t>
      </w:r>
      <w:bookmarkEnd w:id="8055"/>
      <w:bookmarkEnd w:id="8056"/>
      <w:bookmarkEnd w:id="8057"/>
      <w:bookmarkEnd w:id="8058"/>
      <w:bookmarkEnd w:id="8059"/>
    </w:p>
    <w:p w14:paraId="52C90D1C" w14:textId="77777777" w:rsidR="009A2997" w:rsidRPr="00C77748" w:rsidRDefault="009A2997" w:rsidP="00223668">
      <w:pPr>
        <w:pStyle w:val="a0"/>
        <w:rPr>
          <w:rtl/>
        </w:rPr>
      </w:pPr>
      <w:r>
        <w:rPr>
          <w:rFonts w:hint="cs"/>
          <w:rtl/>
        </w:rPr>
        <w:t xml:space="preserve">וביאר </w:t>
      </w:r>
      <w:r w:rsidRPr="008D54B3">
        <w:rPr>
          <w:rStyle w:val="af9"/>
          <w:rFonts w:hint="cs"/>
          <w:rtl/>
        </w:rPr>
        <w:t>הגרעק"א</w:t>
      </w:r>
      <w:r>
        <w:rPr>
          <w:rStyle w:val="af9"/>
          <w:rFonts w:hint="cs"/>
          <w:rtl/>
        </w:rPr>
        <w:t xml:space="preserve"> בחי' ובשו"ת </w:t>
      </w:r>
      <w:r w:rsidRPr="00C77748">
        <w:rPr>
          <w:rStyle w:val="af7"/>
          <w:rFonts w:eastAsia="Guttman Hodes" w:hint="cs"/>
          <w:rtl/>
        </w:rPr>
        <w:t>(שו"ת מהדו"ק סי' ק"ו ד"ה גם הנני)</w:t>
      </w:r>
      <w:r>
        <w:rPr>
          <w:rFonts w:hint="cs"/>
          <w:rtl/>
        </w:rPr>
        <w:t xml:space="preserve"> דאי הטעם דלא אזלינן בממון בתר רוב, הוא כיון דאף לדידן לחומרא אמרינן סמוך מיעוטא לחזקה, ולכן א"א להוציא את הממון מחזקתו, א"כ ברובא דאיתא קמן מבואר </w:t>
      </w:r>
      <w:r w:rsidRPr="008D54B3">
        <w:rPr>
          <w:rStyle w:val="af9"/>
          <w:rFonts w:hint="cs"/>
          <w:rtl/>
        </w:rPr>
        <w:t>ברש"</w:t>
      </w:r>
      <w:r w:rsidRPr="00CC0EB2">
        <w:rPr>
          <w:rStyle w:val="af9"/>
          <w:rFonts w:hint="cs"/>
          <w:rtl/>
        </w:rPr>
        <w:t>י בקידושין</w:t>
      </w:r>
      <w:r w:rsidRPr="00C77748">
        <w:rPr>
          <w:rStyle w:val="af7"/>
          <w:rFonts w:eastAsia="Guttman Hodes" w:hint="cs"/>
          <w:rtl/>
        </w:rPr>
        <w:t xml:space="preserve"> (פ. ד"ה אם) </w:t>
      </w:r>
      <w:r>
        <w:rPr>
          <w:rFonts w:hint="cs"/>
          <w:rtl/>
        </w:rPr>
        <w:t>דאף להחמיר לא חיישינן לחזקה ברובא דאיתא קמן, דאף לדעת ר"מ לא אמרינן סמוך מיעוטא לחזקה לקולא, כיון שהמיעוט הוא כמי שאינו, א"כ ה"ה לדידן דבממון שהוא לחומרא להוציא מהמוחזק, דרק ברובא דליתא קמן אמרינן סמוך לחומרא, אבל ברובא דאיתא קמן דהמיעוט הוא כמי שאינו, בכח הרוב להוציא מהמוחזק.</w:t>
      </w:r>
      <w:bookmarkEnd w:id="8054"/>
      <w:r>
        <w:rPr>
          <w:rFonts w:hint="cs"/>
          <w:rtl/>
        </w:rPr>
        <w:t xml:space="preserve"> </w:t>
      </w:r>
      <w:bookmarkStart w:id="8060" w:name="_Toc528615486"/>
      <w:r w:rsidRPr="00C77748">
        <w:rPr>
          <w:rFonts w:hint="cs"/>
          <w:rtl/>
        </w:rPr>
        <w:t xml:space="preserve">ובדין רוב כנגד חזקת ממון ע"ע במ"ש </w:t>
      </w:r>
      <w:r w:rsidRPr="00EB7F3C">
        <w:rPr>
          <w:rStyle w:val="af9"/>
          <w:rFonts w:hint="cs"/>
          <w:rtl/>
        </w:rPr>
        <w:t>הפנ"י</w:t>
      </w:r>
      <w:r w:rsidRPr="00C77748">
        <w:rPr>
          <w:rFonts w:hint="cs"/>
          <w:rtl/>
        </w:rPr>
        <w:t xml:space="preserve"> </w:t>
      </w:r>
      <w:r w:rsidRPr="00EB7F3C">
        <w:rPr>
          <w:rStyle w:val="af7"/>
          <w:rFonts w:eastAsia="Guttman Hodes" w:hint="cs"/>
          <w:rtl/>
        </w:rPr>
        <w:t xml:space="preserve">(עי' אות </w:t>
      </w:r>
      <w:r w:rsidRPr="00EB7F3C">
        <w:rPr>
          <w:rStyle w:val="af7"/>
          <w:rFonts w:eastAsia="Guttman Hodes"/>
          <w:rtl/>
        </w:rPr>
        <w:fldChar w:fldCharType="begin"/>
      </w:r>
      <w:r w:rsidRPr="00EB7F3C">
        <w:rPr>
          <w:rStyle w:val="af7"/>
          <w:rFonts w:eastAsia="Guttman Hodes"/>
          <w:rtl/>
        </w:rPr>
        <w:instrText xml:space="preserve"> </w:instrText>
      </w:r>
      <w:r w:rsidRPr="00EB7F3C">
        <w:rPr>
          <w:rStyle w:val="af7"/>
          <w:rFonts w:eastAsia="Guttman Hodes" w:hint="cs"/>
        </w:rPr>
        <w:instrText>REF</w:instrText>
      </w:r>
      <w:r w:rsidRPr="00EB7F3C">
        <w:rPr>
          <w:rStyle w:val="af7"/>
          <w:rFonts w:eastAsia="Guttman Hodes" w:hint="cs"/>
          <w:rtl/>
        </w:rPr>
        <w:instrText xml:space="preserve"> _</w:instrText>
      </w:r>
      <w:r w:rsidRPr="00EB7F3C">
        <w:rPr>
          <w:rStyle w:val="af7"/>
          <w:rFonts w:eastAsia="Guttman Hodes" w:hint="cs"/>
        </w:rPr>
        <w:instrText>Ref528314512 \r \h</w:instrText>
      </w:r>
      <w:r w:rsidRPr="00EB7F3C">
        <w:rPr>
          <w:rStyle w:val="af7"/>
          <w:rFonts w:eastAsia="Guttman Hodes"/>
          <w:rtl/>
        </w:rPr>
        <w:instrText xml:space="preserve">  \* </w:instrText>
      </w:r>
      <w:r w:rsidRPr="00EB7F3C">
        <w:rPr>
          <w:rStyle w:val="af7"/>
          <w:rFonts w:eastAsia="Guttman Hodes"/>
        </w:rPr>
        <w:instrText>MERGEFORMAT</w:instrText>
      </w:r>
      <w:r w:rsidRPr="00EB7F3C">
        <w:rPr>
          <w:rStyle w:val="af7"/>
          <w:rFonts w:eastAsia="Guttman Hodes"/>
          <w:rtl/>
        </w:rPr>
        <w:instrText xml:space="preserve"> </w:instrText>
      </w:r>
      <w:r w:rsidRPr="00EB7F3C">
        <w:rPr>
          <w:rStyle w:val="af7"/>
          <w:rFonts w:eastAsia="Guttman Hodes"/>
          <w:rtl/>
        </w:rPr>
      </w:r>
      <w:r w:rsidRPr="00EB7F3C">
        <w:rPr>
          <w:rStyle w:val="af7"/>
          <w:rFonts w:eastAsia="Guttman Hodes"/>
          <w:rtl/>
        </w:rPr>
        <w:fldChar w:fldCharType="separate"/>
      </w:r>
      <w:r w:rsidR="00345400">
        <w:rPr>
          <w:rStyle w:val="af7"/>
          <w:rFonts w:eastAsia="Guttman Hodes"/>
          <w:cs/>
        </w:rPr>
        <w:t>‎</w:t>
      </w:r>
      <w:r w:rsidR="00345400">
        <w:rPr>
          <w:rStyle w:val="af7"/>
          <w:rFonts w:eastAsia="Guttman Hodes"/>
          <w:rtl/>
        </w:rPr>
        <w:t>כב)</w:t>
      </w:r>
      <w:r w:rsidRPr="00EB7F3C">
        <w:rPr>
          <w:rStyle w:val="af7"/>
          <w:rFonts w:eastAsia="Guttman Hodes"/>
          <w:rtl/>
        </w:rPr>
        <w:fldChar w:fldCharType="end"/>
      </w:r>
      <w:r w:rsidRPr="00C77748">
        <w:rPr>
          <w:rFonts w:hint="cs"/>
          <w:rtl/>
        </w:rPr>
        <w:t xml:space="preserve"> </w:t>
      </w:r>
      <w:r w:rsidRPr="00EB7F3C">
        <w:rPr>
          <w:rStyle w:val="af9"/>
          <w:rFonts w:hint="cs"/>
          <w:rtl/>
        </w:rPr>
        <w:t>והש"ש</w:t>
      </w:r>
      <w:r w:rsidRPr="00C77748">
        <w:rPr>
          <w:rFonts w:hint="cs"/>
          <w:rtl/>
        </w:rPr>
        <w:t xml:space="preserve"> </w:t>
      </w:r>
      <w:r w:rsidRPr="00EB7F3C">
        <w:rPr>
          <w:rStyle w:val="af7"/>
          <w:rFonts w:eastAsia="Guttman Hodes" w:hint="cs"/>
          <w:rtl/>
        </w:rPr>
        <w:t xml:space="preserve">(עי' אות </w:t>
      </w:r>
      <w:r w:rsidRPr="00EB7F3C">
        <w:rPr>
          <w:rStyle w:val="af7"/>
          <w:rFonts w:eastAsia="Guttman Hodes"/>
          <w:rtl/>
        </w:rPr>
        <w:fldChar w:fldCharType="begin"/>
      </w:r>
      <w:r w:rsidRPr="00EB7F3C">
        <w:rPr>
          <w:rStyle w:val="af7"/>
          <w:rFonts w:eastAsia="Guttman Hodes"/>
          <w:rtl/>
        </w:rPr>
        <w:instrText xml:space="preserve"> </w:instrText>
      </w:r>
      <w:r w:rsidRPr="00EB7F3C">
        <w:rPr>
          <w:rStyle w:val="af7"/>
          <w:rFonts w:eastAsia="Guttman Hodes" w:hint="cs"/>
        </w:rPr>
        <w:instrText>REF</w:instrText>
      </w:r>
      <w:r w:rsidRPr="00EB7F3C">
        <w:rPr>
          <w:rStyle w:val="af7"/>
          <w:rFonts w:eastAsia="Guttman Hodes" w:hint="cs"/>
          <w:rtl/>
        </w:rPr>
        <w:instrText xml:space="preserve"> _</w:instrText>
      </w:r>
      <w:r w:rsidRPr="00EB7F3C">
        <w:rPr>
          <w:rStyle w:val="af7"/>
          <w:rFonts w:eastAsia="Guttman Hodes" w:hint="cs"/>
        </w:rPr>
        <w:instrText>Ref528314592 \r \h</w:instrText>
      </w:r>
      <w:r w:rsidRPr="00EB7F3C">
        <w:rPr>
          <w:rStyle w:val="af7"/>
          <w:rFonts w:eastAsia="Guttman Hodes"/>
          <w:rtl/>
        </w:rPr>
        <w:instrText xml:space="preserve">  \* </w:instrText>
      </w:r>
      <w:r w:rsidRPr="00EB7F3C">
        <w:rPr>
          <w:rStyle w:val="af7"/>
          <w:rFonts w:eastAsia="Guttman Hodes"/>
        </w:rPr>
        <w:instrText>MERGEFORMAT</w:instrText>
      </w:r>
      <w:r w:rsidRPr="00EB7F3C">
        <w:rPr>
          <w:rStyle w:val="af7"/>
          <w:rFonts w:eastAsia="Guttman Hodes"/>
          <w:rtl/>
        </w:rPr>
        <w:instrText xml:space="preserve"> </w:instrText>
      </w:r>
      <w:r w:rsidRPr="00EB7F3C">
        <w:rPr>
          <w:rStyle w:val="af7"/>
          <w:rFonts w:eastAsia="Guttman Hodes"/>
          <w:rtl/>
        </w:rPr>
      </w:r>
      <w:r w:rsidRPr="00EB7F3C">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EB7F3C">
        <w:rPr>
          <w:rStyle w:val="af7"/>
          <w:rFonts w:eastAsia="Guttman Hodes"/>
          <w:rtl/>
        </w:rPr>
        <w:fldChar w:fldCharType="end"/>
      </w:r>
      <w:r w:rsidRPr="00C77748">
        <w:rPr>
          <w:rFonts w:hint="cs"/>
          <w:rtl/>
        </w:rPr>
        <w:t xml:space="preserve"> </w:t>
      </w:r>
      <w:r w:rsidRPr="00EB7F3C">
        <w:rPr>
          <w:rStyle w:val="af9"/>
          <w:rFonts w:hint="cs"/>
          <w:rtl/>
        </w:rPr>
        <w:t>והשער"י</w:t>
      </w:r>
      <w:r w:rsidRPr="00C77748">
        <w:rPr>
          <w:rFonts w:hint="cs"/>
          <w:rtl/>
        </w:rPr>
        <w:t xml:space="preserve"> </w:t>
      </w:r>
      <w:r w:rsidRPr="00EB7F3C">
        <w:rPr>
          <w:rStyle w:val="af7"/>
          <w:rFonts w:eastAsia="Guttman Hodes" w:hint="cs"/>
          <w:rtl/>
        </w:rPr>
        <w:t xml:space="preserve">(עי' אות </w:t>
      </w:r>
      <w:r w:rsidRPr="00EB7F3C">
        <w:rPr>
          <w:rStyle w:val="af7"/>
          <w:rFonts w:eastAsia="Guttman Hodes"/>
          <w:rtl/>
        </w:rPr>
        <w:fldChar w:fldCharType="begin"/>
      </w:r>
      <w:r w:rsidRPr="00EB7F3C">
        <w:rPr>
          <w:rStyle w:val="af7"/>
          <w:rFonts w:eastAsia="Guttman Hodes"/>
          <w:rtl/>
        </w:rPr>
        <w:instrText xml:space="preserve"> </w:instrText>
      </w:r>
      <w:r w:rsidRPr="00EB7F3C">
        <w:rPr>
          <w:rStyle w:val="af7"/>
          <w:rFonts w:eastAsia="Guttman Hodes" w:hint="cs"/>
        </w:rPr>
        <w:instrText>REF</w:instrText>
      </w:r>
      <w:r w:rsidRPr="00EB7F3C">
        <w:rPr>
          <w:rStyle w:val="af7"/>
          <w:rFonts w:eastAsia="Guttman Hodes" w:hint="cs"/>
          <w:rtl/>
        </w:rPr>
        <w:instrText xml:space="preserve"> _</w:instrText>
      </w:r>
      <w:r w:rsidRPr="00EB7F3C">
        <w:rPr>
          <w:rStyle w:val="af7"/>
          <w:rFonts w:eastAsia="Guttman Hodes" w:hint="cs"/>
        </w:rPr>
        <w:instrText>Ref528314543 \r \h</w:instrText>
      </w:r>
      <w:r w:rsidRPr="00EB7F3C">
        <w:rPr>
          <w:rStyle w:val="af7"/>
          <w:rFonts w:eastAsia="Guttman Hodes"/>
          <w:rtl/>
        </w:rPr>
        <w:instrText xml:space="preserve">  \* </w:instrText>
      </w:r>
      <w:r w:rsidRPr="00EB7F3C">
        <w:rPr>
          <w:rStyle w:val="af7"/>
          <w:rFonts w:eastAsia="Guttman Hodes"/>
        </w:rPr>
        <w:instrText>MERGEFORMAT</w:instrText>
      </w:r>
      <w:r w:rsidRPr="00EB7F3C">
        <w:rPr>
          <w:rStyle w:val="af7"/>
          <w:rFonts w:eastAsia="Guttman Hodes"/>
          <w:rtl/>
        </w:rPr>
        <w:instrText xml:space="preserve"> </w:instrText>
      </w:r>
      <w:r w:rsidRPr="00EB7F3C">
        <w:rPr>
          <w:rStyle w:val="af7"/>
          <w:rFonts w:eastAsia="Guttman Hodes"/>
          <w:rtl/>
        </w:rPr>
      </w:r>
      <w:r w:rsidRPr="00EB7F3C">
        <w:rPr>
          <w:rStyle w:val="af7"/>
          <w:rFonts w:eastAsia="Guttman Hodes"/>
          <w:rtl/>
        </w:rPr>
        <w:fldChar w:fldCharType="separate"/>
      </w:r>
      <w:r w:rsidR="00345400">
        <w:rPr>
          <w:rStyle w:val="af7"/>
          <w:rFonts w:eastAsia="Guttman Hodes"/>
          <w:cs/>
        </w:rPr>
        <w:t>‎</w:t>
      </w:r>
      <w:r w:rsidR="00345400">
        <w:rPr>
          <w:rStyle w:val="af7"/>
          <w:rFonts w:eastAsia="Guttman Hodes"/>
          <w:rtl/>
        </w:rPr>
        <w:t>פט)</w:t>
      </w:r>
      <w:r w:rsidRPr="00EB7F3C">
        <w:rPr>
          <w:rStyle w:val="af7"/>
          <w:rFonts w:eastAsia="Guttman Hodes"/>
          <w:rtl/>
        </w:rPr>
        <w:fldChar w:fldCharType="end"/>
      </w:r>
      <w:r>
        <w:rPr>
          <w:rFonts w:hint="cs"/>
          <w:rtl/>
        </w:rPr>
        <w:t>.</w:t>
      </w:r>
    </w:p>
    <w:p w14:paraId="0608D19A" w14:textId="77777777" w:rsidR="009A2997" w:rsidRPr="00C77748" w:rsidRDefault="009A2997" w:rsidP="006D6D32">
      <w:pPr>
        <w:pStyle w:val="a3"/>
        <w:rPr>
          <w:rtl/>
        </w:rPr>
      </w:pPr>
      <w:bookmarkStart w:id="8061" w:name="_Toc528777193"/>
      <w:bookmarkStart w:id="8062" w:name="_Toc528789753"/>
      <w:bookmarkStart w:id="8063" w:name="_Toc19390025"/>
      <w:bookmarkStart w:id="8064" w:name="_Toc19393522"/>
      <w:r>
        <w:rPr>
          <w:rFonts w:hint="cs"/>
          <w:rtl/>
        </w:rPr>
        <w:t>דברי הגרעק"א דלתוס' הוא ספק אי אזלינן בממון בתר רובא דאיתא קמן ולדעת הרמ"א לא אזלינן</w:t>
      </w:r>
      <w:bookmarkEnd w:id="8061"/>
      <w:bookmarkEnd w:id="8062"/>
      <w:bookmarkEnd w:id="8063"/>
      <w:bookmarkEnd w:id="8064"/>
    </w:p>
    <w:p w14:paraId="1B5DC00A" w14:textId="77777777" w:rsidR="009A2997" w:rsidRDefault="009A2997" w:rsidP="00223668">
      <w:pPr>
        <w:pStyle w:val="a0"/>
        <w:rPr>
          <w:rtl/>
        </w:rPr>
      </w:pPr>
      <w:r>
        <w:rPr>
          <w:rFonts w:hint="cs"/>
          <w:rtl/>
        </w:rPr>
        <w:t xml:space="preserve">והוסיף </w:t>
      </w:r>
      <w:r w:rsidRPr="008D54B3">
        <w:rPr>
          <w:rStyle w:val="af9"/>
          <w:rFonts w:hint="cs"/>
          <w:rtl/>
        </w:rPr>
        <w:t>הגרעק"א</w:t>
      </w:r>
      <w:r>
        <w:rPr>
          <w:rStyle w:val="af9"/>
          <w:rFonts w:hint="cs"/>
          <w:rtl/>
        </w:rPr>
        <w:t xml:space="preserve"> בחי'</w:t>
      </w:r>
      <w:r>
        <w:rPr>
          <w:rFonts w:hint="cs"/>
          <w:rtl/>
        </w:rPr>
        <w:t xml:space="preserve"> דבדברי </w:t>
      </w:r>
      <w:r w:rsidRPr="008D54B3">
        <w:rPr>
          <w:rStyle w:val="af9"/>
          <w:rFonts w:hint="cs"/>
          <w:rtl/>
        </w:rPr>
        <w:t xml:space="preserve">התוס' </w:t>
      </w:r>
      <w:r w:rsidRPr="00C77748">
        <w:rPr>
          <w:rStyle w:val="af9"/>
          <w:rFonts w:hint="cs"/>
          <w:rtl/>
        </w:rPr>
        <w:t>בסנהדרין</w:t>
      </w:r>
      <w:r w:rsidRPr="00C77748">
        <w:rPr>
          <w:rFonts w:hint="cs"/>
          <w:rtl/>
        </w:rPr>
        <w:t xml:space="preserve"> </w:t>
      </w:r>
      <w:r w:rsidRPr="00C77748">
        <w:rPr>
          <w:rStyle w:val="af7"/>
          <w:rFonts w:eastAsia="Guttman Hodes" w:hint="cs"/>
          <w:rtl/>
        </w:rPr>
        <w:t>(ג: ד"ה דיני)</w:t>
      </w:r>
      <w:r w:rsidRPr="00C77748">
        <w:rPr>
          <w:rFonts w:hint="cs"/>
          <w:rtl/>
        </w:rPr>
        <w:t xml:space="preserve"> משמע שהם מסתפקים אי ברובא דאיתא קמן אזלינן בתר הרוב. </w:t>
      </w:r>
      <w:r>
        <w:rPr>
          <w:rFonts w:hint="cs"/>
          <w:rtl/>
        </w:rPr>
        <w:t xml:space="preserve">וכתב </w:t>
      </w:r>
      <w:r w:rsidRPr="00ED6797">
        <w:rPr>
          <w:rStyle w:val="af9"/>
          <w:rFonts w:hint="cs"/>
          <w:rtl/>
        </w:rPr>
        <w:t>הגרעק"א דברמ"א</w:t>
      </w:r>
      <w:r w:rsidRPr="00ED6797">
        <w:rPr>
          <w:rStyle w:val="af7"/>
          <w:rFonts w:eastAsia="Guttman Hodes" w:hint="cs"/>
          <w:rtl/>
        </w:rPr>
        <w:t xml:space="preserve"> (חו"מ רצ"ב י')</w:t>
      </w:r>
      <w:r>
        <w:rPr>
          <w:rFonts w:hint="cs"/>
          <w:rtl/>
        </w:rPr>
        <w:t xml:space="preserve"> מבואר דאף ברובא דאיתא קמן, לא אזלינן בממון אחר הרוב, אך אפש"ל דמ"מ לענין איסור לא אמרינן סמוך מיעוטא לחזקה לחומרא ברובא דאיתא קמן.</w:t>
      </w:r>
    </w:p>
    <w:p w14:paraId="769CF0DC" w14:textId="77777777" w:rsidR="009A2997" w:rsidRDefault="009A2997" w:rsidP="00BF39B2">
      <w:pPr>
        <w:pStyle w:val="1"/>
        <w:rPr>
          <w:rtl/>
        </w:rPr>
      </w:pPr>
      <w:bookmarkStart w:id="8065" w:name="_Toc528712523"/>
      <w:bookmarkStart w:id="8066" w:name="_Toc528777194"/>
      <w:bookmarkStart w:id="8067" w:name="_Toc528789754"/>
      <w:bookmarkStart w:id="8068" w:name="_Toc19390026"/>
      <w:bookmarkStart w:id="8069" w:name="_Toc19393523"/>
      <w:r>
        <w:rPr>
          <w:rFonts w:hint="cs"/>
          <w:rtl/>
        </w:rPr>
        <w:t>דברי הש"ש והגרעק"א דע"א אינו נאמן כנגד רובא דליתא קמן</w:t>
      </w:r>
      <w:bookmarkEnd w:id="8060"/>
      <w:bookmarkEnd w:id="8065"/>
      <w:bookmarkEnd w:id="8066"/>
      <w:bookmarkEnd w:id="8067"/>
      <w:bookmarkEnd w:id="8068"/>
      <w:bookmarkEnd w:id="8069"/>
    </w:p>
    <w:p w14:paraId="7DD10EB8" w14:textId="77777777" w:rsidR="009A2997" w:rsidRDefault="009A2997" w:rsidP="006D6D32">
      <w:pPr>
        <w:pStyle w:val="a3"/>
        <w:rPr>
          <w:rtl/>
        </w:rPr>
      </w:pPr>
      <w:bookmarkStart w:id="8070" w:name="_Toc528777195"/>
      <w:bookmarkStart w:id="8071" w:name="_Toc528789755"/>
      <w:bookmarkStart w:id="8072" w:name="_Toc19390027"/>
      <w:bookmarkStart w:id="8073" w:name="_Toc19393524"/>
      <w:r>
        <w:rPr>
          <w:rFonts w:hint="cs"/>
          <w:rtl/>
        </w:rPr>
        <w:t>דברי הש"ש דע"א נאמן כנגד רובא דאיתא קמן ואינו נאמן כנגד רובא דליתא קמן</w:t>
      </w:r>
      <w:bookmarkEnd w:id="8070"/>
      <w:bookmarkEnd w:id="8071"/>
      <w:bookmarkEnd w:id="8072"/>
      <w:bookmarkEnd w:id="8073"/>
    </w:p>
    <w:p w14:paraId="582EB123" w14:textId="77777777" w:rsidR="009A2997" w:rsidRDefault="009A2997" w:rsidP="00223668">
      <w:pPr>
        <w:pStyle w:val="a0"/>
        <w:rPr>
          <w:rtl/>
        </w:rPr>
      </w:pPr>
      <w:r>
        <w:rPr>
          <w:rFonts w:hint="cs"/>
          <w:rtl/>
        </w:rPr>
        <w:t xml:space="preserve">כתב </w:t>
      </w:r>
      <w:r w:rsidRPr="00944883">
        <w:rPr>
          <w:rStyle w:val="af9"/>
          <w:rFonts w:hint="cs"/>
          <w:rtl/>
        </w:rPr>
        <w:t>הש"ש</w:t>
      </w:r>
      <w:r>
        <w:rPr>
          <w:rFonts w:hint="cs"/>
          <w:rtl/>
        </w:rPr>
        <w:t xml:space="preserve"> </w:t>
      </w:r>
      <w:r w:rsidRPr="00944883">
        <w:rPr>
          <w:rStyle w:val="af7"/>
          <w:rFonts w:eastAsia="Guttman Hodes" w:hint="cs"/>
          <w:rtl/>
        </w:rPr>
        <w:t>(ש"ו פ"ז ד"ה ולפי"ז)</w:t>
      </w:r>
      <w:r>
        <w:rPr>
          <w:rFonts w:hint="cs"/>
          <w:rtl/>
        </w:rPr>
        <w:t xml:space="preserve"> דע"א נאמן כנגד רובא דאיתא קמן כגון חתיכות כשרות וטריפות שנתערבו, ואינו נאמן כנגד רובא דליתא קמן, כגון שמעיד על בהמה שהיא בכלל הרוב שאינה טריפה, ואומר שיש לה מחט בחלל הגוף.</w:t>
      </w:r>
    </w:p>
    <w:p w14:paraId="124E7524" w14:textId="77777777" w:rsidR="009A2997" w:rsidRPr="00944883" w:rsidRDefault="009A2997" w:rsidP="006D6D32">
      <w:pPr>
        <w:pStyle w:val="a3"/>
      </w:pPr>
      <w:bookmarkStart w:id="8074" w:name="_Toc528777196"/>
      <w:bookmarkStart w:id="8075" w:name="_Toc528789756"/>
      <w:bookmarkStart w:id="8076" w:name="_Toc19390028"/>
      <w:bookmarkStart w:id="8077" w:name="_Toc19393525"/>
      <w:r>
        <w:rPr>
          <w:rFonts w:hint="cs"/>
          <w:rtl/>
        </w:rPr>
        <w:t>ביאור הש"ש דברובא דא"ק הע"א מעיד שאין תערובת ואין רוב וברובא דל"ק מעיד כנגד הרוב</w:t>
      </w:r>
      <w:bookmarkEnd w:id="8074"/>
      <w:bookmarkEnd w:id="8075"/>
      <w:bookmarkEnd w:id="8076"/>
      <w:bookmarkEnd w:id="8077"/>
      <w:r>
        <w:rPr>
          <w:rFonts w:hint="cs"/>
          <w:rtl/>
        </w:rPr>
        <w:t xml:space="preserve"> </w:t>
      </w:r>
    </w:p>
    <w:p w14:paraId="66F0AF5B" w14:textId="77777777" w:rsidR="009A2997" w:rsidRDefault="009A2997" w:rsidP="00223668">
      <w:pPr>
        <w:pStyle w:val="a0"/>
        <w:rPr>
          <w:rtl/>
        </w:rPr>
      </w:pPr>
      <w:r>
        <w:rPr>
          <w:rFonts w:hint="cs"/>
          <w:rtl/>
        </w:rPr>
        <w:t xml:space="preserve">וביאר </w:t>
      </w:r>
      <w:r w:rsidRPr="00944883">
        <w:rPr>
          <w:rStyle w:val="af9"/>
          <w:rFonts w:hint="cs"/>
          <w:rtl/>
        </w:rPr>
        <w:t>הש"ש</w:t>
      </w:r>
      <w:r>
        <w:rPr>
          <w:rFonts w:hint="cs"/>
          <w:rtl/>
        </w:rPr>
        <w:t xml:space="preserve"> דברובא דאיתא קמן שהספק הוא מחמת שיש לפנינו תערובת, מה הכשר ומה הטרף, לכן כשאומר הע"א שהיא מהכשרה ממילא אין כאן תערובת לפנינו, ואין הע"א מעיד כנגד הרוב כלל. אבל ברובא דליתא קמן דהרוב אינו מחמת התערובת, אלא הוא רוב בטבע בפני עצמו, ואף לדברי הע"א הוא מעיד כנגד הרוב, וכיון שע"א אינו נאמן כנגד חזקה כ"ש שאינו נאמן כנגד הרוב.</w:t>
      </w:r>
    </w:p>
    <w:p w14:paraId="3A8428A0" w14:textId="77777777" w:rsidR="009A2997" w:rsidRPr="00CD4B26" w:rsidRDefault="009A2997" w:rsidP="006D6D32">
      <w:pPr>
        <w:pStyle w:val="a3"/>
        <w:rPr>
          <w:rtl/>
        </w:rPr>
      </w:pPr>
      <w:bookmarkStart w:id="8078" w:name="_Toc528777197"/>
      <w:bookmarkStart w:id="8079" w:name="_Toc528789757"/>
      <w:bookmarkStart w:id="8080" w:name="_Toc19390029"/>
      <w:bookmarkStart w:id="8081" w:name="_Toc19393526"/>
      <w:r>
        <w:rPr>
          <w:rFonts w:hint="cs"/>
          <w:rtl/>
        </w:rPr>
        <w:t>ביאור הגרעק"א דברובא דל"ק הע"א מעיד כנגד הטבע שהוא כחזקה וברובא דא"ק חשיב כספק</w:t>
      </w:r>
      <w:bookmarkEnd w:id="8078"/>
      <w:bookmarkEnd w:id="8079"/>
      <w:bookmarkEnd w:id="8080"/>
      <w:bookmarkEnd w:id="8081"/>
    </w:p>
    <w:p w14:paraId="7B17518C" w14:textId="77777777" w:rsidR="009A2997" w:rsidRDefault="009A2997" w:rsidP="00223668">
      <w:pPr>
        <w:pStyle w:val="a0"/>
        <w:rPr>
          <w:rtl/>
        </w:rPr>
      </w:pPr>
      <w:bookmarkStart w:id="8082" w:name="_Ref528661248"/>
      <w:r w:rsidRPr="00CD4B26">
        <w:rPr>
          <w:rStyle w:val="af9"/>
          <w:rFonts w:hint="cs"/>
          <w:rtl/>
        </w:rPr>
        <w:t>והגרעק"א בכתובות</w:t>
      </w:r>
      <w:r>
        <w:rPr>
          <w:rFonts w:hint="cs"/>
          <w:rtl/>
        </w:rPr>
        <w:t xml:space="preserve"> </w:t>
      </w:r>
      <w:r w:rsidRPr="00CD4B26">
        <w:rPr>
          <w:rStyle w:val="af7"/>
          <w:rFonts w:eastAsia="Guttman Hodes" w:hint="cs"/>
          <w:rtl/>
        </w:rPr>
        <w:t>(יג: ד"ה ואפשר)</w:t>
      </w:r>
      <w:r>
        <w:rPr>
          <w:rFonts w:hint="cs"/>
          <w:rtl/>
        </w:rPr>
        <w:t xml:space="preserve"> כתב דברובא דליתא קמן שהוא רוב בטבע, אין הע"א נאמן כיון שהוא מעיד כנגד רוב טוב שהוא כחזקה בדבר שלא נולד בו ספק כלל, אבל ברובא דאיתא קמן שהמיעוט לפנינו, ומסברא א"א לתלות ברוב יותר מהמיעוט, אלא דיש גזיה"כ דאזלינן בתר רובא, א"כ חשיב כע"א שמעיד במקום שיש ספק לפנינו, ואפשר להעמיד את הדבר בחזקתו, דנאמן הע"א לומר שיצא מחזקתו, כיון שיש ספק, וכן ברובא דאיתא קמן כיון שהמיעוט לפנינו חשיב כחזקה במקום ספק.</w:t>
      </w:r>
      <w:bookmarkEnd w:id="8082"/>
    </w:p>
    <w:p w14:paraId="48A05661" w14:textId="77777777" w:rsidR="009A2997" w:rsidRDefault="009A2997" w:rsidP="006D6D32">
      <w:pPr>
        <w:pStyle w:val="a3"/>
        <w:rPr>
          <w:rtl/>
        </w:rPr>
      </w:pPr>
      <w:bookmarkStart w:id="8083" w:name="_Toc528777198"/>
      <w:bookmarkStart w:id="8084" w:name="_Toc528789758"/>
      <w:bookmarkStart w:id="8085" w:name="_Toc19390030"/>
      <w:bookmarkStart w:id="8086" w:name="_Toc19393527"/>
      <w:r>
        <w:rPr>
          <w:rFonts w:hint="cs"/>
          <w:rtl/>
        </w:rPr>
        <w:t>דעת הנודע ביהודה דע"א נאמן כנגד רובא דל"ק וספק אם נאמן כנגד רובא דא"ק</w:t>
      </w:r>
      <w:bookmarkEnd w:id="8083"/>
      <w:bookmarkEnd w:id="8084"/>
      <w:bookmarkEnd w:id="8085"/>
      <w:bookmarkEnd w:id="8086"/>
    </w:p>
    <w:p w14:paraId="4A1E9E14" w14:textId="77777777" w:rsidR="009A2997" w:rsidRPr="00EC6032" w:rsidRDefault="009A2997" w:rsidP="00223668">
      <w:pPr>
        <w:pStyle w:val="a0"/>
        <w:rPr>
          <w:rStyle w:val="afb"/>
          <w:rtl/>
        </w:rPr>
      </w:pPr>
      <w:r>
        <w:rPr>
          <w:rFonts w:hint="cs"/>
          <w:rtl/>
        </w:rPr>
        <w:t xml:space="preserve">אבל </w:t>
      </w:r>
      <w:r w:rsidRPr="00AA39B6">
        <w:rPr>
          <w:rStyle w:val="af9"/>
          <w:rFonts w:hint="cs"/>
          <w:rtl/>
        </w:rPr>
        <w:t>הנו</w:t>
      </w:r>
      <w:r>
        <w:rPr>
          <w:rStyle w:val="af9"/>
          <w:rFonts w:hint="cs"/>
          <w:rtl/>
        </w:rPr>
        <w:t>דע ביהודה</w:t>
      </w:r>
      <w:r>
        <w:rPr>
          <w:rFonts w:hint="cs"/>
          <w:rtl/>
        </w:rPr>
        <w:t xml:space="preserve"> </w:t>
      </w:r>
      <w:r w:rsidRPr="00AA39B6">
        <w:rPr>
          <w:rStyle w:val="af7"/>
          <w:rFonts w:eastAsia="Guttman Hodes" w:hint="cs"/>
          <w:rtl/>
        </w:rPr>
        <w:t>(</w:t>
      </w:r>
      <w:r w:rsidRPr="00AA39B6">
        <w:rPr>
          <w:rStyle w:val="af7"/>
          <w:rFonts w:eastAsia="Guttman Hodes"/>
          <w:rtl/>
        </w:rPr>
        <w:t>מהדו</w:t>
      </w:r>
      <w:r w:rsidRPr="00AA39B6">
        <w:rPr>
          <w:rStyle w:val="af7"/>
          <w:rFonts w:eastAsia="Guttman Hodes" w:hint="cs"/>
          <w:rtl/>
        </w:rPr>
        <w:t>"</w:t>
      </w:r>
      <w:r w:rsidRPr="00AA39B6">
        <w:rPr>
          <w:rStyle w:val="af7"/>
          <w:rFonts w:eastAsia="Guttman Hodes"/>
          <w:rtl/>
        </w:rPr>
        <w:t>ק</w:t>
      </w:r>
      <w:r w:rsidRPr="00AA39B6">
        <w:rPr>
          <w:rStyle w:val="af7"/>
          <w:rFonts w:eastAsia="Guttman Hodes" w:hint="cs"/>
          <w:rtl/>
        </w:rPr>
        <w:t xml:space="preserve"> אבהע"ז</w:t>
      </w:r>
      <w:r w:rsidRPr="00AA39B6">
        <w:rPr>
          <w:rStyle w:val="af7"/>
          <w:rFonts w:eastAsia="Guttman Hodes"/>
          <w:rtl/>
        </w:rPr>
        <w:t xml:space="preserve"> סי</w:t>
      </w:r>
      <w:r w:rsidRPr="00AA39B6">
        <w:rPr>
          <w:rStyle w:val="af7"/>
          <w:rFonts w:eastAsia="Guttman Hodes" w:hint="cs"/>
          <w:rtl/>
        </w:rPr>
        <w:t>'</w:t>
      </w:r>
      <w:r w:rsidRPr="00AA39B6">
        <w:rPr>
          <w:rStyle w:val="af7"/>
          <w:rFonts w:eastAsia="Guttman Hodes"/>
          <w:rtl/>
        </w:rPr>
        <w:t xml:space="preserve"> ס</w:t>
      </w:r>
      <w:r w:rsidRPr="00AA39B6">
        <w:rPr>
          <w:rStyle w:val="af7"/>
          <w:rFonts w:eastAsia="Guttman Hodes" w:hint="cs"/>
          <w:rtl/>
        </w:rPr>
        <w:t>"</w:t>
      </w:r>
      <w:r w:rsidRPr="00AA39B6">
        <w:rPr>
          <w:rStyle w:val="af7"/>
          <w:rFonts w:eastAsia="Guttman Hodes"/>
          <w:rtl/>
        </w:rPr>
        <w:t>ט</w:t>
      </w:r>
      <w:r w:rsidRPr="00AA39B6">
        <w:rPr>
          <w:rStyle w:val="af7"/>
          <w:rFonts w:eastAsia="Guttman Hodes" w:hint="cs"/>
          <w:rtl/>
        </w:rPr>
        <w:t xml:space="preserve"> ד"ה ועוד אני)</w:t>
      </w:r>
      <w:r>
        <w:rPr>
          <w:rFonts w:hint="cs"/>
          <w:rtl/>
        </w:rPr>
        <w:t xml:space="preserve"> כתב דפשיטא דע"א נאמן כנגד רובא דליתא קמן, כדמוכח מהא דאשה נאמנת בספירת ז' נקיים, אעפ"י שרוב ימיה טמאין, אבל ברובא דאיתא קמן, כתב </w:t>
      </w:r>
      <w:r w:rsidRPr="00AA39B6">
        <w:rPr>
          <w:rStyle w:val="af9"/>
          <w:rFonts w:hint="cs"/>
          <w:rtl/>
        </w:rPr>
        <w:t>הנוב"י</w:t>
      </w:r>
      <w:r>
        <w:rPr>
          <w:rFonts w:hint="cs"/>
          <w:rtl/>
        </w:rPr>
        <w:t xml:space="preserve"> </w:t>
      </w:r>
      <w:r w:rsidRPr="00AA39B6">
        <w:rPr>
          <w:rStyle w:val="af7"/>
          <w:rFonts w:eastAsia="Guttman Hodes" w:hint="cs"/>
          <w:rtl/>
        </w:rPr>
        <w:t>(</w:t>
      </w:r>
      <w:r w:rsidRPr="00AA39B6">
        <w:rPr>
          <w:rStyle w:val="af7"/>
          <w:rFonts w:eastAsia="Guttman Hodes"/>
          <w:rtl/>
        </w:rPr>
        <w:t>מהדו</w:t>
      </w:r>
      <w:r w:rsidRPr="00AA39B6">
        <w:rPr>
          <w:rStyle w:val="af7"/>
          <w:rFonts w:eastAsia="Guttman Hodes" w:hint="cs"/>
          <w:rtl/>
        </w:rPr>
        <w:t>"</w:t>
      </w:r>
      <w:r w:rsidRPr="00AA39B6">
        <w:rPr>
          <w:rStyle w:val="af7"/>
          <w:rFonts w:eastAsia="Guttman Hodes"/>
          <w:rtl/>
        </w:rPr>
        <w:t>ק</w:t>
      </w:r>
      <w:r w:rsidRPr="00AA39B6">
        <w:rPr>
          <w:rStyle w:val="af7"/>
          <w:rFonts w:eastAsia="Guttman Hodes" w:hint="cs"/>
          <w:rtl/>
        </w:rPr>
        <w:t xml:space="preserve"> אבהע"ז</w:t>
      </w:r>
      <w:r w:rsidRPr="00AA39B6">
        <w:rPr>
          <w:rStyle w:val="af7"/>
          <w:rFonts w:eastAsia="Guttman Hodes"/>
          <w:rtl/>
        </w:rPr>
        <w:t xml:space="preserve"> סי</w:t>
      </w:r>
      <w:r w:rsidRPr="00AA39B6">
        <w:rPr>
          <w:rStyle w:val="af7"/>
          <w:rFonts w:eastAsia="Guttman Hodes" w:hint="cs"/>
          <w:rtl/>
        </w:rPr>
        <w:t>'</w:t>
      </w:r>
      <w:r w:rsidRPr="00AA39B6">
        <w:rPr>
          <w:rStyle w:val="af7"/>
          <w:rFonts w:eastAsia="Guttman Hodes"/>
          <w:rtl/>
        </w:rPr>
        <w:t xml:space="preserve"> ס</w:t>
      </w:r>
      <w:r w:rsidRPr="00AA39B6">
        <w:rPr>
          <w:rStyle w:val="af7"/>
          <w:rFonts w:eastAsia="Guttman Hodes" w:hint="cs"/>
          <w:rtl/>
        </w:rPr>
        <w:t>"</w:t>
      </w:r>
      <w:r w:rsidRPr="00AA39B6">
        <w:rPr>
          <w:rStyle w:val="af7"/>
          <w:rFonts w:eastAsia="Guttman Hodes"/>
          <w:rtl/>
        </w:rPr>
        <w:t>ט</w:t>
      </w:r>
      <w:r w:rsidRPr="00AA39B6">
        <w:rPr>
          <w:rStyle w:val="af7"/>
          <w:rFonts w:eastAsia="Guttman Hodes" w:hint="cs"/>
          <w:rtl/>
        </w:rPr>
        <w:t xml:space="preserve"> ד"ה</w:t>
      </w:r>
      <w:r>
        <w:rPr>
          <w:rStyle w:val="af7"/>
          <w:rFonts w:eastAsia="Guttman Hodes" w:hint="cs"/>
          <w:rtl/>
        </w:rPr>
        <w:t xml:space="preserve"> והנה)</w:t>
      </w:r>
      <w:r w:rsidRPr="00AA39B6">
        <w:rPr>
          <w:rStyle w:val="af7"/>
          <w:rFonts w:eastAsia="Guttman Hodes" w:hint="cs"/>
          <w:rtl/>
        </w:rPr>
        <w:t xml:space="preserve"> </w:t>
      </w:r>
      <w:r>
        <w:rPr>
          <w:rFonts w:hint="cs"/>
          <w:rtl/>
        </w:rPr>
        <w:t>דיש להסתפק אם ע"א נאמן.</w:t>
      </w:r>
      <w:r w:rsidRPr="00F752EC">
        <w:rPr>
          <w:rStyle w:val="afb"/>
          <w:rFonts w:hint="cs"/>
          <w:rtl/>
        </w:rPr>
        <w:t xml:space="preserve"> </w:t>
      </w:r>
      <w:r w:rsidRPr="00EC6032">
        <w:rPr>
          <w:rStyle w:val="afb"/>
          <w:rFonts w:hint="cs"/>
          <w:rtl/>
        </w:rPr>
        <w:t>[ועי' במ</w:t>
      </w:r>
      <w:r>
        <w:rPr>
          <w:rStyle w:val="afb"/>
          <w:rFonts w:hint="cs"/>
          <w:rtl/>
        </w:rPr>
        <w:t>ה</w:t>
      </w:r>
      <w:r w:rsidRPr="00EC6032">
        <w:rPr>
          <w:rStyle w:val="afb"/>
          <w:rFonts w:hint="cs"/>
          <w:rtl/>
        </w:rPr>
        <w:t xml:space="preserve"> </w:t>
      </w:r>
      <w:r>
        <w:rPr>
          <w:rStyle w:val="afb"/>
          <w:rFonts w:hint="cs"/>
          <w:rtl/>
        </w:rPr>
        <w:t xml:space="preserve">שביארו </w:t>
      </w:r>
      <w:r w:rsidRPr="00EC6032">
        <w:rPr>
          <w:rStyle w:val="afb"/>
          <w:rFonts w:hint="cs"/>
          <w:rtl/>
        </w:rPr>
        <w:t>בזה עפ"י הגדר בע"א כנגד חזקה</w:t>
      </w:r>
      <w:r>
        <w:rPr>
          <w:rStyle w:val="afb"/>
          <w:rFonts w:hint="cs"/>
          <w:rtl/>
        </w:rPr>
        <w:t>,</w:t>
      </w:r>
      <w:r w:rsidRPr="00EC6032">
        <w:rPr>
          <w:rStyle w:val="afb"/>
          <w:rFonts w:hint="cs"/>
          <w:rtl/>
        </w:rPr>
        <w:t xml:space="preserve"> </w:t>
      </w:r>
      <w:r w:rsidRPr="00EC6032">
        <w:rPr>
          <w:rStyle w:val="affa"/>
          <w:rFonts w:hint="cs"/>
          <w:rtl/>
        </w:rPr>
        <w:t>בשער"י</w:t>
      </w:r>
      <w:r w:rsidRPr="00EC6032">
        <w:rPr>
          <w:rStyle w:val="afb"/>
          <w:rFonts w:hint="cs"/>
          <w:rtl/>
        </w:rPr>
        <w:t xml:space="preserve"> </w:t>
      </w:r>
      <w:r w:rsidRPr="00EC6032">
        <w:rPr>
          <w:rStyle w:val="aff6"/>
          <w:rFonts w:hint="cs"/>
          <w:rtl/>
        </w:rPr>
        <w:t xml:space="preserve">(ש"ו פ"ב ד"ה אח"ז) </w:t>
      </w:r>
      <w:r w:rsidRPr="00EC6032">
        <w:rPr>
          <w:rStyle w:val="affa"/>
          <w:rFonts w:hint="cs"/>
          <w:rtl/>
        </w:rPr>
        <w:t>ובקוב"ש</w:t>
      </w:r>
      <w:r w:rsidRPr="00EC6032">
        <w:rPr>
          <w:rStyle w:val="afb"/>
          <w:rFonts w:hint="cs"/>
          <w:rtl/>
        </w:rPr>
        <w:t xml:space="preserve"> </w:t>
      </w:r>
      <w:r w:rsidRPr="00EC6032">
        <w:rPr>
          <w:rStyle w:val="aff6"/>
          <w:rFonts w:hint="cs"/>
          <w:rtl/>
        </w:rPr>
        <w:t>(ח"ב הערות לש"ש אות ד')</w:t>
      </w:r>
      <w:r w:rsidRPr="00EC6032">
        <w:rPr>
          <w:rStyle w:val="afb"/>
          <w:rFonts w:hint="cs"/>
          <w:rtl/>
        </w:rPr>
        <w:t xml:space="preserve"> </w:t>
      </w:r>
      <w:r w:rsidRPr="00EC6032">
        <w:rPr>
          <w:rStyle w:val="affa"/>
          <w:rFonts w:hint="cs"/>
          <w:rtl/>
        </w:rPr>
        <w:t>ובשיעורי הגרש"ר</w:t>
      </w:r>
      <w:r w:rsidRPr="00EC6032">
        <w:rPr>
          <w:rStyle w:val="afb"/>
          <w:rFonts w:hint="cs"/>
          <w:rtl/>
        </w:rPr>
        <w:t xml:space="preserve"> </w:t>
      </w:r>
      <w:r w:rsidRPr="00EC6032">
        <w:rPr>
          <w:rStyle w:val="aff6"/>
          <w:rFonts w:hint="cs"/>
          <w:rtl/>
        </w:rPr>
        <w:t>(גיטין ב: ד"ה והשתא)</w:t>
      </w:r>
      <w:r w:rsidRPr="00EC6032">
        <w:rPr>
          <w:rStyle w:val="afb"/>
          <w:rFonts w:hint="cs"/>
          <w:rtl/>
        </w:rPr>
        <w:t xml:space="preserve">]. </w:t>
      </w:r>
    </w:p>
    <w:p w14:paraId="13A3531D" w14:textId="77777777" w:rsidR="009A2997" w:rsidRPr="00024841" w:rsidRDefault="009A2997" w:rsidP="006D6D32">
      <w:pPr>
        <w:pStyle w:val="a3"/>
        <w:rPr>
          <w:rtl/>
        </w:rPr>
        <w:sectPr w:rsidR="009A2997" w:rsidRPr="00024841" w:rsidSect="00442CE4">
          <w:type w:val="continuous"/>
          <w:pgSz w:w="11906" w:h="16838"/>
          <w:pgMar w:top="720" w:right="720" w:bottom="720" w:left="720" w:header="283" w:footer="283" w:gutter="0"/>
          <w:cols w:num="2" w:space="567"/>
          <w:bidi/>
          <w:rtlGutter/>
        </w:sectPr>
      </w:pPr>
    </w:p>
    <w:p w14:paraId="7BB83DF2" w14:textId="77777777" w:rsidR="009A2997" w:rsidRDefault="009A2997" w:rsidP="009A2997">
      <w:pPr>
        <w:keepNext/>
        <w:tabs>
          <w:tab w:val="left" w:pos="1163"/>
        </w:tabs>
        <w:spacing w:after="120" w:line="240" w:lineRule="auto"/>
        <w:ind w:left="0"/>
        <w:rPr>
          <w:rFonts w:ascii="Guttman Hodes" w:eastAsia="Guttman Hodes" w:hAnsi="Guttman Hodes" w:cs="Guttman Hodes"/>
          <w:noProof/>
          <w:sz w:val="18"/>
          <w:szCs w:val="18"/>
        </w:rPr>
        <w:sectPr w:rsidR="009A2997" w:rsidSect="00E27B81">
          <w:type w:val="continuous"/>
          <w:pgSz w:w="11906" w:h="16838"/>
          <w:pgMar w:top="720" w:right="720" w:bottom="720" w:left="720" w:header="283" w:footer="283" w:gutter="0"/>
          <w:cols w:space="567"/>
          <w:bidi/>
          <w:rtlGutter/>
        </w:sectPr>
      </w:pPr>
    </w:p>
    <w:p w14:paraId="662D78E1" w14:textId="77777777" w:rsidR="009A2997" w:rsidRPr="0061208F" w:rsidRDefault="004B65FC" w:rsidP="009A2997">
      <w:pPr>
        <w:keepNext/>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6C80C8A5">
          <v:shape id="_x0000_i1035" type="#_x0000_t75" style="width:404.55pt;height:6.8pt" o:hrpct="0" o:hralign="center" o:hr="t">
            <v:imagedata r:id="rId21" o:title="BD14845_"/>
          </v:shape>
        </w:pict>
      </w:r>
      <w:r w:rsidR="009A2997" w:rsidRPr="0061208F">
        <w:rPr>
          <w:rFonts w:ascii="Guttman Hodes" w:eastAsia="Guttman Hodes" w:hAnsi="Guttman Hodes" w:cs="Guttman Hodes" w:hint="cs"/>
          <w:noProof/>
          <w:sz w:val="18"/>
          <w:szCs w:val="18"/>
          <w:rtl/>
        </w:rPr>
        <w:t xml:space="preserve"> </w:t>
      </w:r>
    </w:p>
    <w:p w14:paraId="79833543" w14:textId="77777777" w:rsidR="009A2997" w:rsidRDefault="009A2997" w:rsidP="006D6D32">
      <w:pPr>
        <w:pStyle w:val="afe"/>
        <w:rPr>
          <w:rtl/>
        </w:rPr>
      </w:pPr>
      <w:bookmarkStart w:id="8087" w:name="_Toc528615487"/>
      <w:bookmarkStart w:id="8088" w:name="_Toc528712524"/>
      <w:bookmarkStart w:id="8089" w:name="_Toc528777199"/>
      <w:bookmarkStart w:id="8090" w:name="_Toc528789759"/>
      <w:bookmarkStart w:id="8091" w:name="_Toc19435563"/>
      <w:bookmarkStart w:id="8092" w:name="_Toc20080859"/>
      <w:r>
        <w:rPr>
          <w:rFonts w:hint="cs"/>
          <w:rtl/>
        </w:rPr>
        <w:t>ביאורי ראשי הישיבות על הסוגיא</w:t>
      </w:r>
      <w:bookmarkStart w:id="8093" w:name="_Toc528615488"/>
      <w:bookmarkStart w:id="8094" w:name="_Toc528712525"/>
      <w:bookmarkStart w:id="8095" w:name="_Toc528777200"/>
      <w:bookmarkStart w:id="8096" w:name="_Toc528789760"/>
      <w:bookmarkEnd w:id="8087"/>
      <w:bookmarkEnd w:id="8088"/>
      <w:bookmarkEnd w:id="8089"/>
      <w:bookmarkEnd w:id="8090"/>
      <w:bookmarkEnd w:id="8091"/>
      <w:bookmarkEnd w:id="8092"/>
    </w:p>
    <w:p w14:paraId="399F5043" w14:textId="77777777" w:rsidR="009A2997" w:rsidRDefault="009A2997" w:rsidP="006D6D32">
      <w:pPr>
        <w:pStyle w:val="afe"/>
        <w:rPr>
          <w:rtl/>
        </w:rPr>
        <w:sectPr w:rsidR="009A2997" w:rsidSect="006D46E2">
          <w:headerReference w:type="first" r:id="rId61"/>
          <w:pgSz w:w="11906" w:h="16838"/>
          <w:pgMar w:top="720" w:right="720" w:bottom="720" w:left="720" w:header="283" w:footer="283" w:gutter="0"/>
          <w:cols w:space="567"/>
          <w:bidi/>
          <w:rtlGutter/>
          <w:docGrid w:linePitch="299"/>
        </w:sectPr>
      </w:pPr>
    </w:p>
    <w:p w14:paraId="2FD6FD2C" w14:textId="77777777" w:rsidR="009A2997" w:rsidRDefault="009A2997" w:rsidP="006D6D32">
      <w:pPr>
        <w:pStyle w:val="afe"/>
        <w:rPr>
          <w:rtl/>
        </w:rPr>
      </w:pPr>
      <w:bookmarkStart w:id="8097" w:name="_Toc19435564"/>
      <w:bookmarkStart w:id="8098" w:name="_Toc20080860"/>
      <w:r>
        <w:rPr>
          <w:rFonts w:hint="cs"/>
          <w:rtl/>
        </w:rPr>
        <w:t>בביאור עדיפות רוב על חזקה</w:t>
      </w:r>
      <w:bookmarkEnd w:id="8093"/>
      <w:bookmarkEnd w:id="8094"/>
      <w:bookmarkEnd w:id="8095"/>
      <w:bookmarkEnd w:id="8096"/>
      <w:bookmarkEnd w:id="8097"/>
      <w:bookmarkEnd w:id="8098"/>
    </w:p>
    <w:p w14:paraId="65BB4ADD" w14:textId="77777777" w:rsidR="009A2997" w:rsidRDefault="009A2997" w:rsidP="00BF39B2">
      <w:pPr>
        <w:pStyle w:val="1"/>
        <w:rPr>
          <w:rtl/>
        </w:rPr>
      </w:pPr>
      <w:bookmarkStart w:id="8099" w:name="_Toc528615489"/>
      <w:bookmarkStart w:id="8100" w:name="_Toc528712526"/>
      <w:bookmarkStart w:id="8101" w:name="_Toc528777201"/>
      <w:bookmarkStart w:id="8102" w:name="_Toc528789761"/>
      <w:bookmarkStart w:id="8103" w:name="_Toc19390031"/>
      <w:bookmarkStart w:id="8104" w:name="_Toc19393528"/>
      <w:r>
        <w:rPr>
          <w:rFonts w:hint="cs"/>
          <w:rtl/>
        </w:rPr>
        <w:t>ביאור הקוה"ע</w:t>
      </w:r>
      <w:bookmarkEnd w:id="8099"/>
      <w:bookmarkEnd w:id="8100"/>
      <w:r>
        <w:rPr>
          <w:rFonts w:hint="cs"/>
          <w:rtl/>
        </w:rPr>
        <w:t xml:space="preserve"> והשער"י דרוב הוא בירור וחזקה היא דין</w:t>
      </w:r>
      <w:bookmarkEnd w:id="8101"/>
      <w:bookmarkEnd w:id="8102"/>
      <w:bookmarkEnd w:id="8103"/>
      <w:bookmarkEnd w:id="8104"/>
    </w:p>
    <w:p w14:paraId="5D33DDDE" w14:textId="77777777" w:rsidR="009A2997" w:rsidRPr="00FC00CD" w:rsidRDefault="009A2997" w:rsidP="006D6D32">
      <w:pPr>
        <w:pStyle w:val="a3"/>
        <w:rPr>
          <w:rtl/>
        </w:rPr>
      </w:pPr>
      <w:bookmarkStart w:id="8105" w:name="_Toc528777202"/>
      <w:bookmarkStart w:id="8106" w:name="_Toc528789762"/>
      <w:bookmarkStart w:id="8107" w:name="_Toc19390032"/>
      <w:bookmarkStart w:id="8108" w:name="_Toc19393529"/>
      <w:r>
        <w:rPr>
          <w:rFonts w:hint="cs"/>
          <w:rtl/>
        </w:rPr>
        <w:t>תירוץ הקוה"ע דרוב עדיף מחזקה כיון שהוא מברר את הספק וחזקה היא הנהגה בספק</w:t>
      </w:r>
      <w:bookmarkEnd w:id="8105"/>
      <w:bookmarkEnd w:id="8106"/>
      <w:bookmarkEnd w:id="8107"/>
      <w:bookmarkEnd w:id="8108"/>
    </w:p>
    <w:p w14:paraId="29D388D5" w14:textId="77777777" w:rsidR="009A2997" w:rsidRPr="00596C9A" w:rsidRDefault="009A2997" w:rsidP="00223668">
      <w:pPr>
        <w:pStyle w:val="a0"/>
        <w:rPr>
          <w:rStyle w:val="afb"/>
        </w:rPr>
      </w:pPr>
      <w:bookmarkStart w:id="8109" w:name="_Ref528009936"/>
      <w:r>
        <w:rPr>
          <w:rFonts w:hint="cs"/>
          <w:rtl/>
        </w:rPr>
        <w:t xml:space="preserve">בקושית </w:t>
      </w:r>
      <w:r w:rsidRPr="00E60F98">
        <w:rPr>
          <w:rStyle w:val="af9"/>
          <w:rFonts w:hint="cs"/>
          <w:rtl/>
        </w:rPr>
        <w:t xml:space="preserve">התוס' </w:t>
      </w:r>
      <w:r w:rsidRPr="00E60F98">
        <w:rPr>
          <w:rStyle w:val="af7"/>
          <w:rFonts w:eastAsia="Guttman Hodes" w:hint="cs"/>
          <w:rtl/>
        </w:rPr>
        <w:t xml:space="preserve">(עי' אות </w:t>
      </w:r>
      <w:r w:rsidRPr="00E60F98">
        <w:rPr>
          <w:rStyle w:val="af7"/>
          <w:rFonts w:eastAsia="Guttman Hodes"/>
          <w:rtl/>
        </w:rPr>
        <w:fldChar w:fldCharType="begin"/>
      </w:r>
      <w:r w:rsidRPr="00E60F98">
        <w:rPr>
          <w:rStyle w:val="af7"/>
          <w:rFonts w:eastAsia="Guttman Hodes"/>
          <w:rtl/>
        </w:rPr>
        <w:instrText xml:space="preserve"> </w:instrText>
      </w:r>
      <w:r w:rsidRPr="00E60F98">
        <w:rPr>
          <w:rStyle w:val="af7"/>
          <w:rFonts w:eastAsia="Guttman Hodes" w:hint="cs"/>
        </w:rPr>
        <w:instrText>REF</w:instrText>
      </w:r>
      <w:r w:rsidRPr="00E60F98">
        <w:rPr>
          <w:rStyle w:val="af7"/>
          <w:rFonts w:eastAsia="Guttman Hodes" w:hint="cs"/>
          <w:rtl/>
        </w:rPr>
        <w:instrText xml:space="preserve"> _</w:instrText>
      </w:r>
      <w:r w:rsidRPr="00E60F98">
        <w:rPr>
          <w:rStyle w:val="af7"/>
          <w:rFonts w:eastAsia="Guttman Hodes" w:hint="cs"/>
        </w:rPr>
        <w:instrText>Ref528009850 \r \h</w:instrText>
      </w:r>
      <w:r w:rsidRPr="00E60F98">
        <w:rPr>
          <w:rStyle w:val="af7"/>
          <w:rFonts w:eastAsia="Guttman Hodes"/>
          <w:rtl/>
        </w:rPr>
        <w:instrText xml:space="preserve"> </w:instrText>
      </w:r>
      <w:r w:rsidRPr="00E60F98">
        <w:rPr>
          <w:rStyle w:val="af7"/>
          <w:rFonts w:eastAsia="Guttman Hodes"/>
          <w:rtl/>
        </w:rPr>
      </w:r>
      <w:r w:rsidRPr="00E60F98">
        <w:rPr>
          <w:rStyle w:val="af7"/>
          <w:rFonts w:eastAsia="Guttman Hodes"/>
          <w:rtl/>
        </w:rPr>
        <w:fldChar w:fldCharType="separate"/>
      </w:r>
      <w:r w:rsidR="00345400">
        <w:rPr>
          <w:rStyle w:val="af7"/>
          <w:rFonts w:eastAsia="Guttman Hodes"/>
          <w:cs/>
        </w:rPr>
        <w:t>‎</w:t>
      </w:r>
      <w:r w:rsidR="00345400">
        <w:rPr>
          <w:rStyle w:val="af7"/>
          <w:rFonts w:eastAsia="Guttman Hodes"/>
          <w:rtl/>
        </w:rPr>
        <w:t>ה)</w:t>
      </w:r>
      <w:r w:rsidRPr="00E60F98">
        <w:rPr>
          <w:rStyle w:val="af7"/>
          <w:rFonts w:eastAsia="Guttman Hodes"/>
          <w:rtl/>
        </w:rPr>
        <w:fldChar w:fldCharType="end"/>
      </w:r>
      <w:r>
        <w:rPr>
          <w:rFonts w:hint="cs"/>
          <w:rtl/>
        </w:rPr>
        <w:t xml:space="preserve"> דאחר שילפינן חזקה מבית המנוגע, כ"ש דאזלינן בתר רוב, דהא רובא וחזקה רובא עדיף, תירץ </w:t>
      </w:r>
      <w:r w:rsidRPr="00E60F98">
        <w:rPr>
          <w:rStyle w:val="af9"/>
          <w:rFonts w:hint="cs"/>
          <w:rtl/>
        </w:rPr>
        <w:t>הקוה"ע</w:t>
      </w:r>
      <w:r>
        <w:rPr>
          <w:rFonts w:hint="cs"/>
          <w:rtl/>
        </w:rPr>
        <w:t xml:space="preserve"> </w:t>
      </w:r>
      <w:r w:rsidRPr="00E60F98">
        <w:rPr>
          <w:rStyle w:val="af7"/>
          <w:rFonts w:eastAsia="Guttman Hodes" w:hint="cs"/>
          <w:rtl/>
        </w:rPr>
        <w:t xml:space="preserve">(ס"ז ד' ד"ה ובזה אפשר) </w:t>
      </w:r>
      <w:r>
        <w:rPr>
          <w:rFonts w:hint="cs"/>
          <w:rtl/>
        </w:rPr>
        <w:t xml:space="preserve">דהביאור בהא דרוב עדיף מחזקה, אינו מחמת דהכח של הרוב הוא גדול יותר, אלא דרוב מברר את הספק, וכיון שרוב הוא בירור על המעשה, וחזקה אינה מבררת את הספק, לכן במקום שיש רוב, לא אזלינן בתר חזקה, דאחר שנתברר הספק אין כל מקום לחזקה. וכתב </w:t>
      </w:r>
      <w:r w:rsidRPr="00937A53">
        <w:rPr>
          <w:rStyle w:val="af9"/>
          <w:rFonts w:hint="cs"/>
          <w:rtl/>
        </w:rPr>
        <w:t>הקוה"ע</w:t>
      </w:r>
      <w:r>
        <w:rPr>
          <w:rFonts w:hint="cs"/>
          <w:rtl/>
        </w:rPr>
        <w:t xml:space="preserve"> דדמי לעד אחד דהוא נאמן במקום חזקה, אף שהכח של החזקה הוא כח גדול יותר מעד אחד, דהא חזקה מהני גם בדיני נפשות, דאחר שהעד בירר את הספק אין מקום לומר דאזלינן בתר חזקה. </w:t>
      </w:r>
      <w:r w:rsidRPr="00596C9A">
        <w:rPr>
          <w:rStyle w:val="afb"/>
          <w:rFonts w:hint="cs"/>
          <w:rtl/>
        </w:rPr>
        <w:t xml:space="preserve">[והוסיף </w:t>
      </w:r>
      <w:r w:rsidRPr="00596C9A">
        <w:rPr>
          <w:rStyle w:val="affa"/>
          <w:rFonts w:hint="cs"/>
          <w:rtl/>
        </w:rPr>
        <w:t>הקוב"ש</w:t>
      </w:r>
      <w:r w:rsidRPr="00596C9A">
        <w:rPr>
          <w:rStyle w:val="afb"/>
          <w:rFonts w:hint="cs"/>
          <w:rtl/>
        </w:rPr>
        <w:t xml:space="preserve"> </w:t>
      </w:r>
      <w:r w:rsidRPr="00596C9A">
        <w:rPr>
          <w:rStyle w:val="aff6"/>
          <w:rFonts w:hint="cs"/>
          <w:rtl/>
        </w:rPr>
        <w:t>(ח"ב הערות לש"ש אות ד')</w:t>
      </w:r>
      <w:r w:rsidRPr="00596C9A">
        <w:rPr>
          <w:rStyle w:val="afb"/>
          <w:rFonts w:hint="cs"/>
          <w:rtl/>
        </w:rPr>
        <w:t xml:space="preserve"> דלא יתכן לומר שהחזקה היא מבררת את המעשה, דהא בגט שספק קרוב לו ספק רוב לה, א"א לומר דהחזקת אשת איש מבררת שהגט נפל קרוב לו, אלא מוכח דהוא גזיה"כ דבמקום ספק נעשה כמו החזקה</w:t>
      </w:r>
      <w:r>
        <w:rPr>
          <w:rStyle w:val="afb"/>
          <w:rFonts w:hint="cs"/>
          <w:rtl/>
        </w:rPr>
        <w:t>, וא"כ א"א ללמוד ממנה בק"ו את דין רוב</w:t>
      </w:r>
      <w:r w:rsidRPr="00596C9A">
        <w:rPr>
          <w:rStyle w:val="afb"/>
          <w:rFonts w:hint="cs"/>
          <w:rtl/>
        </w:rPr>
        <w:t>].</w:t>
      </w:r>
    </w:p>
    <w:p w14:paraId="33351E88" w14:textId="77777777" w:rsidR="009A2997" w:rsidRPr="00E60F98" w:rsidRDefault="009A2997" w:rsidP="006D6D32">
      <w:pPr>
        <w:pStyle w:val="a3"/>
      </w:pPr>
      <w:bookmarkStart w:id="8110" w:name="_Toc528777203"/>
      <w:bookmarkStart w:id="8111" w:name="_Toc528789763"/>
      <w:bookmarkStart w:id="8112" w:name="_Toc19390033"/>
      <w:bookmarkStart w:id="8113" w:name="_Toc19393530"/>
      <w:bookmarkEnd w:id="8109"/>
      <w:r>
        <w:rPr>
          <w:rFonts w:hint="cs"/>
          <w:rtl/>
        </w:rPr>
        <w:t>ביאור הקוב"ש ברשב"א דרק אחר דילפינן את דין רוב הוא עדיף מחזקה כיון שהוא בירור</w:t>
      </w:r>
      <w:bookmarkEnd w:id="8110"/>
      <w:bookmarkEnd w:id="8111"/>
      <w:bookmarkEnd w:id="8112"/>
      <w:bookmarkEnd w:id="8113"/>
      <w:r>
        <w:rPr>
          <w:rFonts w:hint="cs"/>
          <w:rtl/>
        </w:rPr>
        <w:t xml:space="preserve"> </w:t>
      </w:r>
    </w:p>
    <w:p w14:paraId="17E1285E" w14:textId="77777777" w:rsidR="009A2997" w:rsidRDefault="009A2997" w:rsidP="00223668">
      <w:pPr>
        <w:pStyle w:val="a0"/>
        <w:rPr>
          <w:rtl/>
        </w:rPr>
      </w:pPr>
      <w:bookmarkStart w:id="8114" w:name="_Ref528009908"/>
      <w:r>
        <w:rPr>
          <w:rFonts w:hint="cs"/>
          <w:rtl/>
        </w:rPr>
        <w:t>וכתב</w:t>
      </w:r>
      <w:r>
        <w:rPr>
          <w:rStyle w:val="af9"/>
          <w:rFonts w:hint="cs"/>
          <w:rtl/>
        </w:rPr>
        <w:t xml:space="preserve"> </w:t>
      </w:r>
      <w:r w:rsidRPr="00E60F98">
        <w:rPr>
          <w:rStyle w:val="af9"/>
          <w:rFonts w:hint="cs"/>
          <w:rtl/>
        </w:rPr>
        <w:t>הקוה"ע</w:t>
      </w:r>
      <w:r>
        <w:rPr>
          <w:rFonts w:hint="cs"/>
          <w:rtl/>
        </w:rPr>
        <w:t xml:space="preserve"> דיתכן שזו כוונת </w:t>
      </w:r>
      <w:r w:rsidRPr="00E60F98">
        <w:rPr>
          <w:rStyle w:val="af9"/>
          <w:rFonts w:hint="cs"/>
          <w:rtl/>
        </w:rPr>
        <w:t>הרשב"א</w:t>
      </w:r>
      <w:r>
        <w:rPr>
          <w:rFonts w:hint="cs"/>
          <w:rtl/>
        </w:rPr>
        <w:t xml:space="preserve"> </w:t>
      </w:r>
      <w:r w:rsidRPr="00BE1642">
        <w:rPr>
          <w:rStyle w:val="af7"/>
          <w:rFonts w:eastAsia="Guttman Hodes" w:hint="cs"/>
          <w:rtl/>
        </w:rPr>
        <w:t xml:space="preserve">(עי' אות </w:t>
      </w:r>
      <w:r w:rsidRPr="00BE1642">
        <w:rPr>
          <w:rStyle w:val="af7"/>
          <w:rFonts w:eastAsia="Guttman Hodes"/>
          <w:rtl/>
        </w:rPr>
        <w:fldChar w:fldCharType="begin"/>
      </w:r>
      <w:r w:rsidRPr="00BE1642">
        <w:rPr>
          <w:rStyle w:val="af7"/>
          <w:rFonts w:eastAsia="Guttman Hodes"/>
          <w:rtl/>
        </w:rPr>
        <w:instrText xml:space="preserve"> </w:instrText>
      </w:r>
      <w:r w:rsidRPr="00BE1642">
        <w:rPr>
          <w:rStyle w:val="af7"/>
          <w:rFonts w:eastAsia="Guttman Hodes" w:hint="cs"/>
        </w:rPr>
        <w:instrText>REF</w:instrText>
      </w:r>
      <w:r w:rsidRPr="00BE1642">
        <w:rPr>
          <w:rStyle w:val="af7"/>
          <w:rFonts w:eastAsia="Guttman Hodes" w:hint="cs"/>
          <w:rtl/>
        </w:rPr>
        <w:instrText xml:space="preserve"> _</w:instrText>
      </w:r>
      <w:r w:rsidRPr="00BE1642">
        <w:rPr>
          <w:rStyle w:val="af7"/>
          <w:rFonts w:eastAsia="Guttman Hodes" w:hint="cs"/>
        </w:rPr>
        <w:instrText>Ref528009874 \r \h</w:instrText>
      </w:r>
      <w:r w:rsidRPr="00BE1642">
        <w:rPr>
          <w:rStyle w:val="af7"/>
          <w:rFonts w:eastAsia="Guttman Hodes"/>
          <w:rtl/>
        </w:rPr>
        <w:instrText xml:space="preserve"> </w:instrText>
      </w:r>
      <w:r w:rsidRPr="00BE1642">
        <w:rPr>
          <w:rStyle w:val="af7"/>
          <w:rFonts w:eastAsia="Guttman Hodes"/>
          <w:rtl/>
        </w:rPr>
      </w:r>
      <w:r w:rsidRPr="00BE1642">
        <w:rPr>
          <w:rStyle w:val="af7"/>
          <w:rFonts w:eastAsia="Guttman Hodes"/>
          <w:rtl/>
        </w:rPr>
        <w:fldChar w:fldCharType="separate"/>
      </w:r>
      <w:r w:rsidR="00345400">
        <w:rPr>
          <w:rStyle w:val="af7"/>
          <w:rFonts w:eastAsia="Guttman Hodes"/>
          <w:cs/>
        </w:rPr>
        <w:t>‎</w:t>
      </w:r>
      <w:r w:rsidR="00345400">
        <w:rPr>
          <w:rStyle w:val="af7"/>
          <w:rFonts w:eastAsia="Guttman Hodes"/>
          <w:rtl/>
        </w:rPr>
        <w:t>ח)</w:t>
      </w:r>
      <w:r w:rsidRPr="00BE1642">
        <w:rPr>
          <w:rStyle w:val="af7"/>
          <w:rFonts w:eastAsia="Guttman Hodes"/>
          <w:rtl/>
        </w:rPr>
        <w:fldChar w:fldCharType="end"/>
      </w:r>
      <w:r>
        <w:rPr>
          <w:rFonts w:hint="cs"/>
          <w:rtl/>
        </w:rPr>
        <w:t xml:space="preserve"> דכתב דהא דרוב עדיף מחזקה, הוא רק לאחר שיש ילפותא לדין רוב, וכל שאין מקור לרוב, יתכן דאזלינן בתר חזקה ולא אזלינן בתר רוב כלל, וכתב </w:t>
      </w:r>
      <w:r w:rsidRPr="00E60F98">
        <w:rPr>
          <w:rStyle w:val="af9"/>
          <w:rFonts w:hint="cs"/>
          <w:rtl/>
        </w:rPr>
        <w:t>הקוה"ע</w:t>
      </w:r>
      <w:r>
        <w:rPr>
          <w:rFonts w:hint="cs"/>
          <w:rtl/>
        </w:rPr>
        <w:t xml:space="preserve"> דדברי </w:t>
      </w:r>
      <w:r w:rsidRPr="00E60F98">
        <w:rPr>
          <w:rStyle w:val="af9"/>
          <w:rFonts w:hint="cs"/>
          <w:rtl/>
        </w:rPr>
        <w:t>הרשב"א</w:t>
      </w:r>
      <w:r>
        <w:rPr>
          <w:rFonts w:hint="cs"/>
          <w:rtl/>
        </w:rPr>
        <w:t xml:space="preserve"> סתומין, </w:t>
      </w:r>
      <w:bookmarkEnd w:id="8114"/>
      <w:r>
        <w:rPr>
          <w:rFonts w:hint="cs"/>
          <w:rtl/>
        </w:rPr>
        <w:t xml:space="preserve">וביאר </w:t>
      </w:r>
      <w:r w:rsidRPr="00BE1642">
        <w:rPr>
          <w:rStyle w:val="af9"/>
          <w:rFonts w:hint="cs"/>
          <w:rtl/>
        </w:rPr>
        <w:t>הקוב"ש</w:t>
      </w:r>
      <w:r>
        <w:rPr>
          <w:rFonts w:hint="cs"/>
          <w:rtl/>
        </w:rPr>
        <w:t xml:space="preserve"> </w:t>
      </w:r>
      <w:r w:rsidRPr="00BE1642">
        <w:rPr>
          <w:rStyle w:val="af7"/>
          <w:rFonts w:eastAsia="Guttman Hodes" w:hint="cs"/>
          <w:rtl/>
        </w:rPr>
        <w:t>(ב"ב אות ע"ח)</w:t>
      </w:r>
      <w:r>
        <w:rPr>
          <w:rFonts w:hint="cs"/>
          <w:rtl/>
        </w:rPr>
        <w:t xml:space="preserve"> דכוונת </w:t>
      </w:r>
      <w:r w:rsidRPr="00BE1642">
        <w:rPr>
          <w:rStyle w:val="af9"/>
          <w:rFonts w:hint="cs"/>
          <w:rtl/>
        </w:rPr>
        <w:t>הרשב"א</w:t>
      </w:r>
      <w:r>
        <w:rPr>
          <w:rFonts w:hint="cs"/>
          <w:rtl/>
        </w:rPr>
        <w:t xml:space="preserve"> לומר דכיון שהחזקה אינה מבררת את הספק, אלא שיש גזיה"כ שאין מוציאין את הדבר מחזקתו, א"כ כשיש רוב שמברר את הספק אין כל מקום לחזקה, אבל אם לא הייתה ילפותא לדין רוב, א"כ אין כל מקור שרוב מברר את הספק, ולא שייך כלל לומר דרוב נלמד בק"ו מחזקה דעדיף ממנה.</w:t>
      </w:r>
    </w:p>
    <w:p w14:paraId="33D65346" w14:textId="77777777" w:rsidR="009A2997" w:rsidRDefault="009A2997" w:rsidP="006D6D32">
      <w:pPr>
        <w:pStyle w:val="a3"/>
        <w:rPr>
          <w:rtl/>
        </w:rPr>
      </w:pPr>
      <w:bookmarkStart w:id="8115" w:name="_Toc528777204"/>
      <w:bookmarkStart w:id="8116" w:name="_Toc528789764"/>
      <w:bookmarkStart w:id="8117" w:name="_Toc19390034"/>
      <w:bookmarkStart w:id="8118" w:name="_Toc19393531"/>
      <w:r>
        <w:rPr>
          <w:rFonts w:hint="cs"/>
          <w:rtl/>
        </w:rPr>
        <w:t>דברי השער"י דרוב מברר את מציאות המעשה וא"א להעמיד על חזקה כשנתברר הספק</w:t>
      </w:r>
      <w:bookmarkEnd w:id="8115"/>
      <w:bookmarkEnd w:id="8116"/>
      <w:bookmarkEnd w:id="8117"/>
      <w:bookmarkEnd w:id="8118"/>
      <w:r>
        <w:rPr>
          <w:rFonts w:hint="cs"/>
          <w:rtl/>
        </w:rPr>
        <w:t xml:space="preserve"> </w:t>
      </w:r>
    </w:p>
    <w:p w14:paraId="404575F4" w14:textId="77777777" w:rsidR="009A2997" w:rsidRDefault="009A2997" w:rsidP="00223668">
      <w:pPr>
        <w:pStyle w:val="a0"/>
      </w:pPr>
      <w:r>
        <w:rPr>
          <w:rFonts w:hint="cs"/>
          <w:rtl/>
        </w:rPr>
        <w:t xml:space="preserve">וכ"כ </w:t>
      </w:r>
      <w:r w:rsidRPr="00755031">
        <w:rPr>
          <w:rStyle w:val="af9"/>
          <w:rFonts w:hint="cs"/>
          <w:rtl/>
        </w:rPr>
        <w:t>השער"י</w:t>
      </w:r>
      <w:r>
        <w:rPr>
          <w:rFonts w:hint="cs"/>
          <w:rtl/>
        </w:rPr>
        <w:t xml:space="preserve"> </w:t>
      </w:r>
      <w:r w:rsidRPr="00755031">
        <w:rPr>
          <w:rStyle w:val="af7"/>
          <w:rFonts w:eastAsia="Guttman Hodes" w:hint="cs"/>
          <w:rtl/>
        </w:rPr>
        <w:t xml:space="preserve">(שער החזקות פי"ג ד"ה </w:t>
      </w:r>
      <w:r>
        <w:rPr>
          <w:rStyle w:val="af7"/>
          <w:rFonts w:eastAsia="Guttman Hodes" w:hint="cs"/>
          <w:rtl/>
        </w:rPr>
        <w:t>והנה לפי"ז</w:t>
      </w:r>
      <w:r w:rsidRPr="00755031">
        <w:rPr>
          <w:rStyle w:val="af7"/>
          <w:rFonts w:eastAsia="Guttman Hodes" w:hint="cs"/>
          <w:rtl/>
        </w:rPr>
        <w:t>)</w:t>
      </w:r>
      <w:r>
        <w:rPr>
          <w:rFonts w:hint="cs"/>
          <w:rtl/>
        </w:rPr>
        <w:t xml:space="preserve"> דהטעם דרוב עדיף מחזקה, הוא כיון שדין הרוב הוא שמבררת את המציאות של המעשה, ואילו חזקה אינה מבררת כלום, והיא רק מכריעה את הספק, ולכן כשיש בירור אין כל מקום להעמיד על חזקה, דאחר שמדיני התורה נתברר הספק, לא שייך לומר העמד את הדבר על חזקתו, כנגד מה שנתברר לנו. </w:t>
      </w:r>
      <w:r w:rsidRPr="00755031">
        <w:rPr>
          <w:rStyle w:val="afb"/>
          <w:rFonts w:hint="cs"/>
          <w:rtl/>
        </w:rPr>
        <w:t>[וכגון ברוב מצויין אצל שחיטה מומחין הן, דמהני כנגד החזקת אינו זבוח של הבהמה, דא"א לומר שחזקת אינו זבוח תברר לנו שהשוחט ששחט את הבהמה לא היה מומחה, וכיון שיש לנו בירור שנשחטה ע"י מומחה, ממילא א"א להעמידה בחזקת אינו זבוח].</w:t>
      </w:r>
    </w:p>
    <w:p w14:paraId="43CADD18" w14:textId="77777777" w:rsidR="009A2997" w:rsidRDefault="009A2997" w:rsidP="006D6D32">
      <w:pPr>
        <w:pStyle w:val="a3"/>
        <w:rPr>
          <w:rtl/>
        </w:rPr>
      </w:pPr>
      <w:bookmarkStart w:id="8119" w:name="_Toc528777205"/>
      <w:bookmarkStart w:id="8120" w:name="_Toc528789765"/>
      <w:bookmarkStart w:id="8121" w:name="_Toc19390035"/>
      <w:bookmarkStart w:id="8122" w:name="_Toc19393532"/>
      <w:r>
        <w:rPr>
          <w:rFonts w:hint="cs"/>
          <w:rtl/>
        </w:rPr>
        <w:t>דברי השער"י דחזקה אלימא יותר מרוב דאין כנגדה מיעוט וחשיב שאין ספק כלל</w:t>
      </w:r>
      <w:bookmarkEnd w:id="8119"/>
      <w:bookmarkEnd w:id="8120"/>
      <w:bookmarkEnd w:id="8121"/>
      <w:bookmarkEnd w:id="8122"/>
    </w:p>
    <w:p w14:paraId="5890B82F" w14:textId="77777777" w:rsidR="009A2997" w:rsidRDefault="009A2997" w:rsidP="00223668">
      <w:pPr>
        <w:pStyle w:val="a0"/>
        <w:rPr>
          <w:rStyle w:val="afb"/>
          <w:rtl/>
        </w:rPr>
      </w:pPr>
      <w:bookmarkStart w:id="8123" w:name="_Ref528314543"/>
      <w:r>
        <w:rPr>
          <w:rFonts w:hint="cs"/>
          <w:rtl/>
        </w:rPr>
        <w:t xml:space="preserve">אך כתב </w:t>
      </w:r>
      <w:r w:rsidRPr="00755031">
        <w:rPr>
          <w:rStyle w:val="af9"/>
          <w:rFonts w:hint="cs"/>
          <w:rtl/>
        </w:rPr>
        <w:t>השער"י</w:t>
      </w:r>
      <w:r>
        <w:rPr>
          <w:rFonts w:hint="cs"/>
          <w:rtl/>
        </w:rPr>
        <w:t xml:space="preserve"> דהחזקה יש לה יותר כח מהרוב, דהא ברוב יש כנגדו מיעוט, ואילו במקום שמהני החזקה, חשיב שאין ספק כלל, </w:t>
      </w:r>
      <w:r w:rsidRPr="00755031">
        <w:rPr>
          <w:rStyle w:val="afb"/>
          <w:rFonts w:hint="cs"/>
          <w:rtl/>
        </w:rPr>
        <w:t>[ולכן בממון לא מהני הרוב להוציא ממוחזק, דהמיעוט מצטרף לחזקת הממון].</w:t>
      </w:r>
      <w:bookmarkEnd w:id="8123"/>
    </w:p>
    <w:p w14:paraId="42F6D471" w14:textId="77777777" w:rsidR="006D46E2" w:rsidRPr="006D46E2" w:rsidRDefault="006D46E2" w:rsidP="006D46E2">
      <w:pPr>
        <w:pStyle w:val="a3"/>
        <w:rPr>
          <w:rtl/>
        </w:rPr>
      </w:pPr>
    </w:p>
    <w:p w14:paraId="1240C613" w14:textId="77777777" w:rsidR="006D46E2" w:rsidRPr="006D46E2" w:rsidRDefault="006D46E2" w:rsidP="006D46E2">
      <w:pPr>
        <w:pStyle w:val="a3"/>
        <w:rPr>
          <w:rtl/>
        </w:rPr>
      </w:pPr>
    </w:p>
    <w:p w14:paraId="59FB8444" w14:textId="77777777" w:rsidR="006D46E2" w:rsidRPr="006D46E2" w:rsidRDefault="006D46E2" w:rsidP="006D46E2">
      <w:pPr>
        <w:pStyle w:val="a3"/>
        <w:rPr>
          <w:rtl/>
        </w:rPr>
      </w:pPr>
    </w:p>
    <w:p w14:paraId="210E1BD7" w14:textId="77777777" w:rsidR="006D46E2" w:rsidRPr="006D46E2" w:rsidRDefault="006D46E2" w:rsidP="006D46E2">
      <w:pPr>
        <w:pStyle w:val="a3"/>
        <w:rPr>
          <w:rtl/>
        </w:rPr>
      </w:pPr>
    </w:p>
    <w:p w14:paraId="354ED99A" w14:textId="77777777" w:rsidR="009A2997" w:rsidRDefault="009A2997" w:rsidP="006D6D32">
      <w:pPr>
        <w:pStyle w:val="afe"/>
        <w:rPr>
          <w:rFonts w:eastAsiaTheme="minorEastAsia" w:cstheme="minorBidi"/>
          <w:i/>
          <w:iCs/>
          <w:szCs w:val="22"/>
          <w:rtl/>
        </w:rPr>
      </w:pPr>
      <w:bookmarkStart w:id="8124" w:name="_Toc19435565"/>
      <w:bookmarkStart w:id="8125" w:name="_Toc20080861"/>
      <w:bookmarkStart w:id="8126" w:name="_Toc528712528"/>
      <w:bookmarkStart w:id="8127" w:name="_Toc528777207"/>
      <w:bookmarkStart w:id="8128" w:name="_Toc528789767"/>
      <w:r>
        <w:rPr>
          <w:rtl/>
        </w:rPr>
        <w:t>בחילוק בין רובא דא"ק לרובא דל"ק</w:t>
      </w:r>
      <w:bookmarkEnd w:id="8124"/>
      <w:bookmarkEnd w:id="8125"/>
    </w:p>
    <w:p w14:paraId="2CFEC243" w14:textId="77777777" w:rsidR="009A2997" w:rsidRPr="006D355B" w:rsidRDefault="009A2997" w:rsidP="00BF39B2">
      <w:pPr>
        <w:pStyle w:val="1"/>
        <w:rPr>
          <w:rtl/>
        </w:rPr>
      </w:pPr>
      <w:bookmarkStart w:id="8129" w:name="_Toc19390036"/>
      <w:bookmarkStart w:id="8130" w:name="_Toc19393533"/>
      <w:r>
        <w:rPr>
          <w:rFonts w:hint="cs"/>
          <w:rtl/>
        </w:rPr>
        <w:t>דברי השער"י דמבואר דרובא דאיתא קמן עדיף מליתא קמן</w:t>
      </w:r>
      <w:bookmarkEnd w:id="8126"/>
      <w:bookmarkEnd w:id="8127"/>
      <w:bookmarkEnd w:id="8128"/>
      <w:bookmarkEnd w:id="8129"/>
      <w:bookmarkEnd w:id="8130"/>
    </w:p>
    <w:p w14:paraId="446F4B99" w14:textId="77777777" w:rsidR="009A2997" w:rsidRDefault="009A2997" w:rsidP="006D6D32">
      <w:pPr>
        <w:pStyle w:val="a3"/>
        <w:rPr>
          <w:rtl/>
        </w:rPr>
      </w:pPr>
      <w:bookmarkStart w:id="8131" w:name="_Toc528777208"/>
      <w:bookmarkStart w:id="8132" w:name="_Toc528789768"/>
      <w:bookmarkStart w:id="8133" w:name="_Toc19390037"/>
      <w:bookmarkStart w:id="8134" w:name="_Toc19393534"/>
      <w:r>
        <w:rPr>
          <w:rFonts w:hint="cs"/>
          <w:rtl/>
        </w:rPr>
        <w:t>דברי השער"י דמשמעות סוגיין דרובא דאיתא קמן מכריע ומברר יותר מרובא דליתא קמן</w:t>
      </w:r>
      <w:bookmarkEnd w:id="8131"/>
      <w:bookmarkEnd w:id="8132"/>
      <w:bookmarkEnd w:id="8133"/>
      <w:bookmarkEnd w:id="8134"/>
    </w:p>
    <w:p w14:paraId="7CB3FC74" w14:textId="77777777" w:rsidR="009A2997" w:rsidRPr="009B3BF4" w:rsidRDefault="009A2997" w:rsidP="00223668">
      <w:pPr>
        <w:pStyle w:val="a0"/>
        <w:rPr>
          <w:rtl/>
        </w:rPr>
      </w:pPr>
      <w:r>
        <w:rPr>
          <w:rFonts w:hint="cs"/>
          <w:rtl/>
        </w:rPr>
        <w:t xml:space="preserve">כתב </w:t>
      </w:r>
      <w:r w:rsidRPr="00DF3EF1">
        <w:rPr>
          <w:rStyle w:val="af9"/>
          <w:rFonts w:hint="cs"/>
          <w:rtl/>
        </w:rPr>
        <w:t>השער"י</w:t>
      </w:r>
      <w:r>
        <w:rPr>
          <w:rFonts w:hint="cs"/>
          <w:rtl/>
        </w:rPr>
        <w:t xml:space="preserve"> </w:t>
      </w:r>
      <w:r w:rsidRPr="00DF3EF1">
        <w:rPr>
          <w:rStyle w:val="af7"/>
          <w:rFonts w:eastAsia="Guttman Hodes" w:hint="cs"/>
          <w:rtl/>
        </w:rPr>
        <w:t>(ש"ג פ"א)</w:t>
      </w:r>
      <w:r>
        <w:rPr>
          <w:rFonts w:hint="cs"/>
          <w:rtl/>
        </w:rPr>
        <w:t xml:space="preserve"> דמפשטות סוגיין משמע דמקרא דאחרי רבים להטות, ילפינן רק את דין רובא דאיתא קמן, וא"א ללמוד מזה את רובא דליתא קמן, </w:t>
      </w:r>
      <w:r w:rsidRPr="009B3BF4">
        <w:rPr>
          <w:rFonts w:hint="cs"/>
          <w:rtl/>
        </w:rPr>
        <w:t xml:space="preserve">וביאר </w:t>
      </w:r>
      <w:r w:rsidRPr="009B3BF4">
        <w:rPr>
          <w:rStyle w:val="af9"/>
          <w:rFonts w:hint="cs"/>
          <w:rtl/>
        </w:rPr>
        <w:t>השער"י</w:t>
      </w:r>
      <w:r w:rsidRPr="009B3BF4">
        <w:rPr>
          <w:rFonts w:hint="cs"/>
          <w:rtl/>
        </w:rPr>
        <w:t xml:space="preserve"> דרובא דאיתא קמן הוא יותר מכריע ומברר את הספק, מאשר רובא דליתא קמן, ו</w:t>
      </w:r>
      <w:r>
        <w:rPr>
          <w:rFonts w:hint="cs"/>
          <w:rtl/>
        </w:rPr>
        <w:t xml:space="preserve">כתב </w:t>
      </w:r>
      <w:r w:rsidRPr="00F07F1D">
        <w:rPr>
          <w:rStyle w:val="af9"/>
          <w:rFonts w:hint="cs"/>
          <w:rtl/>
        </w:rPr>
        <w:t>השער"י</w:t>
      </w:r>
      <w:r>
        <w:rPr>
          <w:rFonts w:hint="cs"/>
          <w:rtl/>
        </w:rPr>
        <w:t xml:space="preserve"> ד</w:t>
      </w:r>
      <w:r w:rsidRPr="009B3BF4">
        <w:rPr>
          <w:rFonts w:hint="cs"/>
          <w:rtl/>
        </w:rPr>
        <w:t xml:space="preserve">כן מבואר בגמ' ביבמות </w:t>
      </w:r>
      <w:r w:rsidRPr="009B3BF4">
        <w:rPr>
          <w:rStyle w:val="af7"/>
          <w:rFonts w:eastAsia="Guttman Hodes" w:hint="cs"/>
          <w:rtl/>
        </w:rPr>
        <w:t>(קיט.)</w:t>
      </w:r>
      <w:r w:rsidRPr="009B3BF4">
        <w:rPr>
          <w:rFonts w:hint="cs"/>
          <w:rtl/>
        </w:rPr>
        <w:t xml:space="preserve"> דלרבנן אזלינן בתר רוב רק </w:t>
      </w:r>
      <w:r>
        <w:rPr>
          <w:rFonts w:hint="cs"/>
          <w:rtl/>
        </w:rPr>
        <w:t>ברובא דאיתא קמן, ולא בדליתא קמן</w:t>
      </w:r>
      <w:r w:rsidRPr="009B3BF4">
        <w:rPr>
          <w:rFonts w:hint="cs"/>
          <w:rtl/>
        </w:rPr>
        <w:t>.</w:t>
      </w:r>
    </w:p>
    <w:p w14:paraId="1FE8E01C" w14:textId="77777777" w:rsidR="009A2997" w:rsidRDefault="009A2997" w:rsidP="006D6D32">
      <w:pPr>
        <w:pStyle w:val="a3"/>
        <w:rPr>
          <w:rtl/>
        </w:rPr>
      </w:pPr>
      <w:bookmarkStart w:id="8135" w:name="_Toc528777209"/>
      <w:bookmarkStart w:id="8136" w:name="_Toc528789769"/>
      <w:bookmarkStart w:id="8137" w:name="_Toc19390038"/>
      <w:bookmarkStart w:id="8138" w:name="_Toc19393535"/>
      <w:r>
        <w:rPr>
          <w:rFonts w:hint="cs"/>
          <w:rtl/>
        </w:rPr>
        <w:t>דברי השער"י דרובא דאיתא קמן עדיף לענין ממון ולענין דינא דסמוך מיעוטא לחזקה</w:t>
      </w:r>
      <w:bookmarkEnd w:id="8135"/>
      <w:bookmarkEnd w:id="8136"/>
      <w:bookmarkEnd w:id="8137"/>
      <w:bookmarkEnd w:id="8138"/>
    </w:p>
    <w:p w14:paraId="43EA504A" w14:textId="77777777" w:rsidR="009A2997" w:rsidRDefault="009A2997" w:rsidP="00223668">
      <w:pPr>
        <w:pStyle w:val="a0"/>
        <w:rPr>
          <w:rtl/>
        </w:rPr>
      </w:pPr>
      <w:r>
        <w:rPr>
          <w:rFonts w:hint="cs"/>
          <w:rtl/>
        </w:rPr>
        <w:t xml:space="preserve">והביא </w:t>
      </w:r>
      <w:r w:rsidRPr="005A6614">
        <w:rPr>
          <w:rStyle w:val="af9"/>
          <w:rFonts w:hint="cs"/>
          <w:rtl/>
        </w:rPr>
        <w:t>השער"י</w:t>
      </w:r>
      <w:r>
        <w:rPr>
          <w:rFonts w:hint="cs"/>
          <w:rtl/>
        </w:rPr>
        <w:t xml:space="preserve"> דכן מבואר מדברי </w:t>
      </w:r>
      <w:r w:rsidRPr="00520CEC">
        <w:rPr>
          <w:rStyle w:val="af9"/>
          <w:rFonts w:hint="cs"/>
          <w:rtl/>
        </w:rPr>
        <w:t>הרשב"ם בב"ב</w:t>
      </w:r>
      <w:r>
        <w:rPr>
          <w:rFonts w:hint="cs"/>
          <w:rtl/>
        </w:rPr>
        <w:t xml:space="preserve"> </w:t>
      </w:r>
      <w:r w:rsidRPr="007D494B">
        <w:rPr>
          <w:rStyle w:val="af7"/>
          <w:rFonts w:eastAsia="Guttman Hodes" w:hint="cs"/>
          <w:rtl/>
        </w:rPr>
        <w:t>(צג. ד"ה דהוא)</w:t>
      </w:r>
      <w:r>
        <w:rPr>
          <w:rFonts w:hint="cs"/>
          <w:rtl/>
        </w:rPr>
        <w:t xml:space="preserve"> דרק ברובא דליתא קמן לא אזלינן בממון בתר הרוב, אבל ברובא דאיתא קמן, אף בממון אזלינן בתר הרוב, וכן הוכיח </w:t>
      </w:r>
      <w:r w:rsidRPr="005A6614">
        <w:rPr>
          <w:rStyle w:val="af9"/>
          <w:rFonts w:hint="cs"/>
          <w:rtl/>
        </w:rPr>
        <w:t>התרוה"ד</w:t>
      </w:r>
      <w:r>
        <w:rPr>
          <w:rFonts w:hint="cs"/>
          <w:rtl/>
        </w:rPr>
        <w:t xml:space="preserve"> </w:t>
      </w:r>
      <w:r w:rsidRPr="007D494B">
        <w:rPr>
          <w:rStyle w:val="af7"/>
          <w:rFonts w:eastAsia="Guttman Hodes" w:hint="cs"/>
          <w:rtl/>
        </w:rPr>
        <w:t xml:space="preserve">(עי' אות </w:t>
      </w:r>
      <w:r w:rsidRPr="007D494B">
        <w:rPr>
          <w:rStyle w:val="af7"/>
          <w:rFonts w:eastAsia="Guttman Hodes"/>
          <w:rtl/>
        </w:rPr>
        <w:fldChar w:fldCharType="begin"/>
      </w:r>
      <w:r w:rsidRPr="007D494B">
        <w:rPr>
          <w:rStyle w:val="af7"/>
          <w:rFonts w:eastAsia="Guttman Hodes"/>
          <w:rtl/>
        </w:rPr>
        <w:instrText xml:space="preserve"> </w:instrText>
      </w:r>
      <w:r w:rsidRPr="007D494B">
        <w:rPr>
          <w:rStyle w:val="af7"/>
          <w:rFonts w:eastAsia="Guttman Hodes" w:hint="cs"/>
        </w:rPr>
        <w:instrText>REF</w:instrText>
      </w:r>
      <w:r w:rsidRPr="007D494B">
        <w:rPr>
          <w:rStyle w:val="af7"/>
          <w:rFonts w:eastAsia="Guttman Hodes" w:hint="cs"/>
          <w:rtl/>
        </w:rPr>
        <w:instrText xml:space="preserve"> _</w:instrText>
      </w:r>
      <w:r w:rsidRPr="007D494B">
        <w:rPr>
          <w:rStyle w:val="af7"/>
          <w:rFonts w:eastAsia="Guttman Hodes" w:hint="cs"/>
        </w:rPr>
        <w:instrText>Ref528661304 \r \h</w:instrText>
      </w:r>
      <w:r w:rsidRPr="007D494B">
        <w:rPr>
          <w:rStyle w:val="af7"/>
          <w:rFonts w:eastAsia="Guttman Hodes"/>
          <w:rtl/>
        </w:rPr>
        <w:instrText xml:space="preserve"> </w:instrText>
      </w:r>
      <w:r w:rsidRPr="007D494B">
        <w:rPr>
          <w:rStyle w:val="af7"/>
          <w:rFonts w:eastAsia="Guttman Hodes"/>
          <w:rtl/>
        </w:rPr>
      </w:r>
      <w:r w:rsidRPr="007D494B">
        <w:rPr>
          <w:rStyle w:val="af7"/>
          <w:rFonts w:eastAsia="Guttman Hodes"/>
          <w:rtl/>
        </w:rPr>
        <w:fldChar w:fldCharType="separate"/>
      </w:r>
      <w:r w:rsidR="00345400">
        <w:rPr>
          <w:rStyle w:val="af7"/>
          <w:rFonts w:eastAsia="Guttman Hodes"/>
          <w:cs/>
        </w:rPr>
        <w:t>‎</w:t>
      </w:r>
      <w:r w:rsidR="00345400">
        <w:rPr>
          <w:rStyle w:val="af7"/>
          <w:rFonts w:eastAsia="Guttman Hodes"/>
          <w:rtl/>
        </w:rPr>
        <w:t>עז)</w:t>
      </w:r>
      <w:r w:rsidRPr="007D494B">
        <w:rPr>
          <w:rStyle w:val="af7"/>
          <w:rFonts w:eastAsia="Guttman Hodes"/>
          <w:rtl/>
        </w:rPr>
        <w:fldChar w:fldCharType="end"/>
      </w:r>
      <w:r>
        <w:rPr>
          <w:rFonts w:hint="cs"/>
          <w:rtl/>
        </w:rPr>
        <w:t xml:space="preserve"> מדברי </w:t>
      </w:r>
      <w:r w:rsidRPr="005A6614">
        <w:rPr>
          <w:rStyle w:val="af9"/>
          <w:rFonts w:hint="cs"/>
          <w:rtl/>
        </w:rPr>
        <w:t>הגליון תוס'</w:t>
      </w:r>
      <w:r>
        <w:rPr>
          <w:rFonts w:hint="cs"/>
          <w:rtl/>
        </w:rPr>
        <w:t xml:space="preserve">, ועוד הביא </w:t>
      </w:r>
      <w:r w:rsidRPr="005A6614">
        <w:rPr>
          <w:rStyle w:val="af9"/>
          <w:rFonts w:hint="cs"/>
          <w:rtl/>
        </w:rPr>
        <w:t>השער"י</w:t>
      </w:r>
      <w:r>
        <w:rPr>
          <w:rFonts w:hint="cs"/>
          <w:rtl/>
        </w:rPr>
        <w:t xml:space="preserve"> מדברי </w:t>
      </w:r>
      <w:r w:rsidRPr="005A6614">
        <w:rPr>
          <w:rStyle w:val="af9"/>
          <w:rFonts w:hint="cs"/>
          <w:rtl/>
        </w:rPr>
        <w:t>התוס' ביבמות</w:t>
      </w:r>
      <w:r>
        <w:rPr>
          <w:rFonts w:hint="cs"/>
          <w:rtl/>
        </w:rPr>
        <w:t xml:space="preserve"> </w:t>
      </w:r>
      <w:r w:rsidRPr="005A6614">
        <w:rPr>
          <w:rStyle w:val="af9"/>
          <w:rFonts w:hint="cs"/>
          <w:rtl/>
        </w:rPr>
        <w:t>ובבכורות</w:t>
      </w:r>
      <w:r>
        <w:rPr>
          <w:rFonts w:hint="cs"/>
          <w:rtl/>
        </w:rPr>
        <w:t xml:space="preserve"> </w:t>
      </w:r>
      <w:r w:rsidRPr="007D494B">
        <w:rPr>
          <w:rStyle w:val="af7"/>
          <w:rFonts w:eastAsia="Guttman Hodes" w:hint="cs"/>
          <w:rtl/>
        </w:rPr>
        <w:t xml:space="preserve">(עי' אות </w:t>
      </w:r>
      <w:r w:rsidRPr="007D494B">
        <w:rPr>
          <w:rStyle w:val="af7"/>
          <w:rFonts w:eastAsia="Guttman Hodes"/>
          <w:rtl/>
        </w:rPr>
        <w:fldChar w:fldCharType="begin"/>
      </w:r>
      <w:r w:rsidRPr="007D494B">
        <w:rPr>
          <w:rStyle w:val="af7"/>
          <w:rFonts w:eastAsia="Guttman Hodes"/>
          <w:rtl/>
        </w:rPr>
        <w:instrText xml:space="preserve"> </w:instrText>
      </w:r>
      <w:r w:rsidRPr="007D494B">
        <w:rPr>
          <w:rStyle w:val="af7"/>
          <w:rFonts w:eastAsia="Guttman Hodes" w:hint="cs"/>
        </w:rPr>
        <w:instrText>REF</w:instrText>
      </w:r>
      <w:r w:rsidRPr="007D494B">
        <w:rPr>
          <w:rStyle w:val="af7"/>
          <w:rFonts w:eastAsia="Guttman Hodes" w:hint="cs"/>
          <w:rtl/>
        </w:rPr>
        <w:instrText xml:space="preserve"> _</w:instrText>
      </w:r>
      <w:r w:rsidRPr="007D494B">
        <w:rPr>
          <w:rStyle w:val="af7"/>
          <w:rFonts w:eastAsia="Guttman Hodes" w:hint="cs"/>
        </w:rPr>
        <w:instrText>Ref528661345 \r \h</w:instrText>
      </w:r>
      <w:r w:rsidRPr="007D494B">
        <w:rPr>
          <w:rStyle w:val="af7"/>
          <w:rFonts w:eastAsia="Guttman Hodes"/>
          <w:rtl/>
        </w:rPr>
        <w:instrText xml:space="preserve"> </w:instrText>
      </w:r>
      <w:r w:rsidRPr="007D494B">
        <w:rPr>
          <w:rStyle w:val="af7"/>
          <w:rFonts w:eastAsia="Guttman Hodes"/>
          <w:rtl/>
        </w:rPr>
      </w:r>
      <w:r w:rsidRPr="007D494B">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7D494B">
        <w:rPr>
          <w:rStyle w:val="af7"/>
          <w:rFonts w:eastAsia="Guttman Hodes"/>
          <w:rtl/>
        </w:rPr>
        <w:fldChar w:fldCharType="end"/>
      </w:r>
      <w:r>
        <w:rPr>
          <w:rFonts w:hint="cs"/>
          <w:rtl/>
        </w:rPr>
        <w:t xml:space="preserve"> דברובא דאיתא קמן מודה ר"מ דאזלינן בתר רובא, ולא חייש למיעוטא.</w:t>
      </w:r>
    </w:p>
    <w:p w14:paraId="0F16F09E" w14:textId="77777777" w:rsidR="009A2997" w:rsidRPr="00A10642" w:rsidRDefault="009A2997" w:rsidP="00BF39B2">
      <w:pPr>
        <w:pStyle w:val="1"/>
        <w:rPr>
          <w:rtl/>
        </w:rPr>
      </w:pPr>
      <w:bookmarkStart w:id="8139" w:name="_Toc528712529"/>
      <w:bookmarkStart w:id="8140" w:name="_Toc528777210"/>
      <w:bookmarkStart w:id="8141" w:name="_Toc528789770"/>
      <w:bookmarkStart w:id="8142" w:name="_Toc19390039"/>
      <w:bookmarkStart w:id="8143" w:name="_Toc19393536"/>
      <w:r>
        <w:rPr>
          <w:rFonts w:hint="cs"/>
          <w:rtl/>
        </w:rPr>
        <w:t>קושית השער"י בגדר רובא דאיתא קמן בסנהדרין וט' חנויות</w:t>
      </w:r>
      <w:bookmarkEnd w:id="8139"/>
      <w:bookmarkEnd w:id="8140"/>
      <w:bookmarkEnd w:id="8141"/>
      <w:bookmarkEnd w:id="8142"/>
      <w:bookmarkEnd w:id="8143"/>
    </w:p>
    <w:p w14:paraId="7E1986AE" w14:textId="77777777" w:rsidR="009A2997" w:rsidRDefault="009A2997" w:rsidP="006D6D32">
      <w:pPr>
        <w:pStyle w:val="a3"/>
        <w:rPr>
          <w:rtl/>
        </w:rPr>
      </w:pPr>
      <w:bookmarkStart w:id="8144" w:name="_Toc528777211"/>
      <w:bookmarkStart w:id="8145" w:name="_Toc528789771"/>
      <w:bookmarkStart w:id="8146" w:name="_Toc19390040"/>
      <w:bookmarkStart w:id="8147" w:name="_Toc19393537"/>
      <w:r>
        <w:rPr>
          <w:rFonts w:hint="cs"/>
          <w:rtl/>
        </w:rPr>
        <w:t>קושית השער"י דהיאך ילפינן בירור ברובא דא"ק מסנהדרין שאין סברא לומר דוקא כהרוב</w:t>
      </w:r>
      <w:bookmarkEnd w:id="8144"/>
      <w:bookmarkEnd w:id="8145"/>
      <w:bookmarkEnd w:id="8146"/>
      <w:bookmarkEnd w:id="8147"/>
    </w:p>
    <w:p w14:paraId="3450C4A3" w14:textId="77777777" w:rsidR="009A2997" w:rsidRDefault="009A2997" w:rsidP="00223668">
      <w:pPr>
        <w:pStyle w:val="a0"/>
        <w:rPr>
          <w:rtl/>
        </w:rPr>
      </w:pPr>
      <w:r>
        <w:rPr>
          <w:rFonts w:hint="cs"/>
          <w:rtl/>
        </w:rPr>
        <w:t xml:space="preserve">והקשה </w:t>
      </w:r>
      <w:r w:rsidRPr="005A6614">
        <w:rPr>
          <w:rStyle w:val="af9"/>
          <w:rFonts w:hint="cs"/>
          <w:rtl/>
        </w:rPr>
        <w:t xml:space="preserve">השער"י </w:t>
      </w:r>
      <w:r w:rsidRPr="005A6614">
        <w:rPr>
          <w:rStyle w:val="af7"/>
          <w:rFonts w:eastAsia="Guttman Hodes" w:hint="cs"/>
          <w:rtl/>
        </w:rPr>
        <w:t>(ש"ג פ"א ד"ה ונלענ"ד)</w:t>
      </w:r>
      <w:r>
        <w:rPr>
          <w:rFonts w:hint="cs"/>
          <w:rtl/>
        </w:rPr>
        <w:t xml:space="preserve"> דברובא דאיתא קמן, אם נאמר שהוא בירור שמכריע היאך הייתה המציאות, א"כ יש חילוק בין סנהדרין לט' חנויות, דהא בסנהדרין יש סברא לומר שרוב הדיינים כוונו להלכה יותר מאשר המיעוט, כיון שהרבה דיינים כיוונו לדעה אחת, וכמבואר </w:t>
      </w:r>
      <w:r w:rsidRPr="005A6614">
        <w:rPr>
          <w:rStyle w:val="af9"/>
          <w:rFonts w:hint="cs"/>
          <w:rtl/>
        </w:rPr>
        <w:t>בספר החינוך</w:t>
      </w:r>
      <w:r>
        <w:rPr>
          <w:rFonts w:hint="cs"/>
          <w:rtl/>
        </w:rPr>
        <w:t xml:space="preserve"> </w:t>
      </w:r>
      <w:r w:rsidRPr="005A6614">
        <w:rPr>
          <w:rStyle w:val="af7"/>
          <w:rFonts w:eastAsia="Guttman Hodes" w:hint="cs"/>
          <w:rtl/>
        </w:rPr>
        <w:t>(מצוה ע"ח)</w:t>
      </w:r>
      <w:r>
        <w:rPr>
          <w:rFonts w:hint="cs"/>
          <w:rtl/>
        </w:rPr>
        <w:t>, אבל בט' חנויות אם מסברא יותר קרוב לומר שהבשר הוא מרוב הכשרות, א"כ לא דמי כלל לסנהדרין שהוא בירור מסתבר יותר שכיוונו לדעה אחת.</w:t>
      </w:r>
    </w:p>
    <w:p w14:paraId="19946BC5" w14:textId="77777777" w:rsidR="009A2997" w:rsidRPr="005A6614" w:rsidRDefault="009A2997" w:rsidP="006D6D32">
      <w:pPr>
        <w:pStyle w:val="a3"/>
      </w:pPr>
      <w:bookmarkStart w:id="8148" w:name="_Toc528777212"/>
      <w:bookmarkStart w:id="8149" w:name="_Toc528789772"/>
      <w:bookmarkStart w:id="8150" w:name="_Toc19390041"/>
      <w:bookmarkStart w:id="8151" w:name="_Toc19393538"/>
      <w:r>
        <w:rPr>
          <w:rFonts w:hint="cs"/>
          <w:rtl/>
        </w:rPr>
        <w:t>קושית השער"י דאי בסנהדרין יש סברא דהרוב מכוונים לאמת זהו רובא דליתא קמן</w:t>
      </w:r>
      <w:bookmarkEnd w:id="8148"/>
      <w:bookmarkEnd w:id="8149"/>
      <w:bookmarkEnd w:id="8150"/>
      <w:bookmarkEnd w:id="8151"/>
    </w:p>
    <w:p w14:paraId="6DF73423" w14:textId="77777777" w:rsidR="009A2997" w:rsidRDefault="009A2997" w:rsidP="00223668">
      <w:pPr>
        <w:pStyle w:val="a0"/>
        <w:rPr>
          <w:rtl/>
        </w:rPr>
      </w:pPr>
      <w:r>
        <w:rPr>
          <w:rFonts w:hint="cs"/>
          <w:rtl/>
        </w:rPr>
        <w:t xml:space="preserve">ועוד הקשה </w:t>
      </w:r>
      <w:r w:rsidRPr="005A6614">
        <w:rPr>
          <w:rStyle w:val="af9"/>
          <w:rFonts w:hint="cs"/>
          <w:rtl/>
        </w:rPr>
        <w:t>השער"י</w:t>
      </w:r>
      <w:r>
        <w:rPr>
          <w:rFonts w:hint="cs"/>
          <w:rtl/>
        </w:rPr>
        <w:t xml:space="preserve"> דאי הרוב בסנהדרין הוא מחמת שהרוב מכוונים לאמת יותר מהמיעוט, א"כ זהו רובא דליתא קמן, דאנו משערים מהו המצוי.</w:t>
      </w:r>
    </w:p>
    <w:p w14:paraId="3F981F2C" w14:textId="77777777" w:rsidR="009A2997" w:rsidRDefault="009A2997" w:rsidP="006D6D32">
      <w:pPr>
        <w:pStyle w:val="a3"/>
        <w:rPr>
          <w:rtl/>
        </w:rPr>
      </w:pPr>
      <w:bookmarkStart w:id="8152" w:name="_Toc528777213"/>
      <w:bookmarkStart w:id="8153" w:name="_Toc528789773"/>
      <w:bookmarkStart w:id="8154" w:name="_Toc19390042"/>
      <w:bookmarkStart w:id="8155" w:name="_Toc19393539"/>
      <w:r>
        <w:rPr>
          <w:rFonts w:hint="cs"/>
          <w:rtl/>
        </w:rPr>
        <w:t>דברי השער"י דבט' חנויות אין בירור במציאות שפרש מהרוב יותר מהמיעוט</w:t>
      </w:r>
      <w:bookmarkEnd w:id="8152"/>
      <w:bookmarkEnd w:id="8153"/>
      <w:bookmarkEnd w:id="8154"/>
      <w:bookmarkEnd w:id="8155"/>
    </w:p>
    <w:p w14:paraId="49F0A995" w14:textId="77777777" w:rsidR="009A2997" w:rsidRDefault="009A2997" w:rsidP="00223668">
      <w:pPr>
        <w:pStyle w:val="a0"/>
        <w:rPr>
          <w:rtl/>
        </w:rPr>
      </w:pPr>
      <w:r>
        <w:rPr>
          <w:rFonts w:hint="cs"/>
          <w:rtl/>
        </w:rPr>
        <w:t xml:space="preserve">וכתב </w:t>
      </w:r>
      <w:r w:rsidRPr="005A6614">
        <w:rPr>
          <w:rStyle w:val="af9"/>
          <w:rFonts w:hint="cs"/>
          <w:rtl/>
        </w:rPr>
        <w:t>השער"י</w:t>
      </w:r>
      <w:r>
        <w:rPr>
          <w:rFonts w:hint="cs"/>
          <w:rtl/>
        </w:rPr>
        <w:t xml:space="preserve"> דא"א לומר דבט' חנויות יש הכרעה שהבשר פרש מרוב החנויות הכשרות, דיותר מצוי שפרש מהרוב יותר מהמיעוט, דהא אם נדון כל חנות בפנ"ע נוכל לומר שהבשר לא פרש ממנה, כיון שיש כנגדה ט' חנויות אחרות, והבשר הרי פרש רק מחנות אחת, ובספק עצמו שהוא הפרישה אין כל חילוק בין כשרה לטריפה, וכיון שאין בירור במציאות מהיכן פירש הבשר, ממילא אין בירור אם הבשר כשר או פסול.</w:t>
      </w:r>
    </w:p>
    <w:p w14:paraId="30A6A7B9" w14:textId="77777777" w:rsidR="006D46E2" w:rsidRPr="006D46E2" w:rsidRDefault="006D46E2" w:rsidP="006D46E2">
      <w:pPr>
        <w:pStyle w:val="a3"/>
        <w:rPr>
          <w:rtl/>
        </w:rPr>
      </w:pPr>
    </w:p>
    <w:p w14:paraId="047D41F2" w14:textId="77777777" w:rsidR="009A2997" w:rsidRDefault="009A2997" w:rsidP="00BF39B2">
      <w:pPr>
        <w:pStyle w:val="1"/>
        <w:rPr>
          <w:rtl/>
        </w:rPr>
      </w:pPr>
      <w:bookmarkStart w:id="8156" w:name="_Toc528615491"/>
      <w:bookmarkStart w:id="8157" w:name="_Toc528712530"/>
      <w:bookmarkStart w:id="8158" w:name="_Toc528777214"/>
      <w:bookmarkStart w:id="8159" w:name="_Toc528789774"/>
      <w:bookmarkStart w:id="8160" w:name="_Toc19390043"/>
      <w:bookmarkStart w:id="8161" w:name="_Toc19393540"/>
      <w:r>
        <w:rPr>
          <w:rFonts w:hint="cs"/>
          <w:rtl/>
        </w:rPr>
        <w:t>ביאור השער"י בילפותא לרובא דאיתא קמן ולדליתא קמן</w:t>
      </w:r>
      <w:bookmarkEnd w:id="8156"/>
      <w:bookmarkEnd w:id="8157"/>
      <w:bookmarkEnd w:id="8158"/>
      <w:bookmarkEnd w:id="8159"/>
      <w:bookmarkEnd w:id="8160"/>
      <w:bookmarkEnd w:id="8161"/>
    </w:p>
    <w:p w14:paraId="54579D4E" w14:textId="77777777" w:rsidR="009A2997" w:rsidRPr="00FE70FE" w:rsidRDefault="009A2997" w:rsidP="006D6D32">
      <w:pPr>
        <w:pStyle w:val="a3"/>
        <w:rPr>
          <w:rtl/>
        </w:rPr>
      </w:pPr>
      <w:bookmarkStart w:id="8162" w:name="_Toc528789775"/>
      <w:bookmarkStart w:id="8163" w:name="_Toc19390044"/>
      <w:bookmarkStart w:id="8164" w:name="_Toc19393541"/>
      <w:r>
        <w:rPr>
          <w:rFonts w:hint="cs"/>
          <w:rtl/>
        </w:rPr>
        <w:t>ביאור השער"י דבט' חנויות יש ט' צדדים להיתר הבשר וצד א' לאיסור ודמי לצדדים בדיינים</w:t>
      </w:r>
      <w:bookmarkEnd w:id="8162"/>
      <w:bookmarkEnd w:id="8163"/>
      <w:bookmarkEnd w:id="8164"/>
    </w:p>
    <w:p w14:paraId="403AA29C" w14:textId="77777777" w:rsidR="009A2997" w:rsidRDefault="009A2997" w:rsidP="00223668">
      <w:pPr>
        <w:pStyle w:val="a0"/>
        <w:rPr>
          <w:rtl/>
        </w:rPr>
      </w:pPr>
      <w:bookmarkStart w:id="8165" w:name="_Ref528688394"/>
      <w:r>
        <w:rPr>
          <w:rFonts w:hint="cs"/>
          <w:rtl/>
        </w:rPr>
        <w:t xml:space="preserve">אלא ביאר </w:t>
      </w:r>
      <w:r w:rsidRPr="005A6614">
        <w:rPr>
          <w:rStyle w:val="af9"/>
          <w:rFonts w:hint="cs"/>
          <w:rtl/>
        </w:rPr>
        <w:t>השער"י</w:t>
      </w:r>
      <w:r>
        <w:rPr>
          <w:rFonts w:hint="cs"/>
          <w:rtl/>
        </w:rPr>
        <w:t xml:space="preserve"> </w:t>
      </w:r>
      <w:r w:rsidRPr="005A6614">
        <w:rPr>
          <w:rStyle w:val="af7"/>
          <w:rFonts w:eastAsia="Guttman Hodes" w:hint="cs"/>
          <w:rtl/>
        </w:rPr>
        <w:t>(ש"ג פ"א ד"ה אלא נראה)</w:t>
      </w:r>
      <w:r>
        <w:rPr>
          <w:rFonts w:hint="cs"/>
          <w:rtl/>
        </w:rPr>
        <w:t xml:space="preserve"> דהרוב בט' חנויות הוא כמו הרוב בדיינים, דכל חנות בפנ"ע גורמת לספק בכשרות הבשר, ועי"ז יש בבשר ט' צדדים להיתר וצד א' לאיסור, ולכן ילפינן לה מאחרי רבים להטות דאזלינן בתר הדין שיוצא מהרוב, אעפ"י שבמציאות אין כל בירור מהיכן פירש הבשר, ולכן מודה בזה ר"מ דלא חיישינן למיעוטא כמו שלא חייש למיעוטא בדיינים, ועי' בדברי </w:t>
      </w:r>
      <w:r w:rsidRPr="00AD72C0">
        <w:rPr>
          <w:rStyle w:val="af9"/>
          <w:rFonts w:hint="cs"/>
          <w:rtl/>
        </w:rPr>
        <w:t>התוס' רי"ד</w:t>
      </w:r>
      <w:r>
        <w:rPr>
          <w:rFonts w:hint="cs"/>
          <w:rtl/>
        </w:rPr>
        <w:t xml:space="preserve"> </w:t>
      </w:r>
      <w:r w:rsidRPr="00AD72C0">
        <w:rPr>
          <w:rStyle w:val="af7"/>
          <w:rFonts w:eastAsia="Guttman Hodes" w:hint="cs"/>
          <w:rtl/>
        </w:rPr>
        <w:t xml:space="preserve">(עי' אות </w:t>
      </w:r>
      <w:r w:rsidRPr="00AD72C0">
        <w:rPr>
          <w:rStyle w:val="af7"/>
          <w:rFonts w:eastAsia="Guttman Hodes"/>
          <w:rtl/>
        </w:rPr>
        <w:fldChar w:fldCharType="begin"/>
      </w:r>
      <w:r w:rsidRPr="00AD72C0">
        <w:rPr>
          <w:rStyle w:val="af7"/>
          <w:rFonts w:eastAsia="Guttman Hodes"/>
          <w:rtl/>
        </w:rPr>
        <w:instrText xml:space="preserve"> </w:instrText>
      </w:r>
      <w:r w:rsidRPr="00AD72C0">
        <w:rPr>
          <w:rStyle w:val="af7"/>
          <w:rFonts w:eastAsia="Guttman Hodes" w:hint="cs"/>
        </w:rPr>
        <w:instrText>REF</w:instrText>
      </w:r>
      <w:r w:rsidRPr="00AD72C0">
        <w:rPr>
          <w:rStyle w:val="af7"/>
          <w:rFonts w:eastAsia="Guttman Hodes" w:hint="cs"/>
          <w:rtl/>
        </w:rPr>
        <w:instrText xml:space="preserve"> _</w:instrText>
      </w:r>
      <w:r w:rsidRPr="00AD72C0">
        <w:rPr>
          <w:rStyle w:val="af7"/>
          <w:rFonts w:eastAsia="Guttman Hodes" w:hint="cs"/>
        </w:rPr>
        <w:instrText>Ref528688417 \r \h</w:instrText>
      </w:r>
      <w:r w:rsidRPr="00AD72C0">
        <w:rPr>
          <w:rStyle w:val="af7"/>
          <w:rFonts w:eastAsia="Guttman Hodes"/>
          <w:rtl/>
        </w:rPr>
        <w:instrText xml:space="preserve"> </w:instrText>
      </w:r>
      <w:r w:rsidRPr="00AD72C0">
        <w:rPr>
          <w:rStyle w:val="af7"/>
          <w:rFonts w:eastAsia="Guttman Hodes"/>
          <w:rtl/>
        </w:rPr>
      </w:r>
      <w:r w:rsidRPr="00AD72C0">
        <w:rPr>
          <w:rStyle w:val="af7"/>
          <w:rFonts w:eastAsia="Guttman Hodes"/>
          <w:rtl/>
        </w:rPr>
        <w:fldChar w:fldCharType="separate"/>
      </w:r>
      <w:r w:rsidR="00345400">
        <w:rPr>
          <w:rStyle w:val="af7"/>
          <w:rFonts w:eastAsia="Guttman Hodes"/>
          <w:cs/>
        </w:rPr>
        <w:t>‎</w:t>
      </w:r>
      <w:r w:rsidR="00345400">
        <w:rPr>
          <w:rStyle w:val="af7"/>
          <w:rFonts w:eastAsia="Guttman Hodes"/>
          <w:rtl/>
        </w:rPr>
        <w:t>מג)</w:t>
      </w:r>
      <w:r w:rsidRPr="00AD72C0">
        <w:rPr>
          <w:rStyle w:val="af7"/>
          <w:rFonts w:eastAsia="Guttman Hodes"/>
          <w:rtl/>
        </w:rPr>
        <w:fldChar w:fldCharType="end"/>
      </w:r>
      <w:r>
        <w:rPr>
          <w:rFonts w:hint="cs"/>
          <w:rtl/>
        </w:rPr>
        <w:t>.</w:t>
      </w:r>
      <w:bookmarkEnd w:id="8165"/>
    </w:p>
    <w:p w14:paraId="247D1C61" w14:textId="77777777" w:rsidR="009A2997" w:rsidRDefault="009A2997" w:rsidP="006D6D32">
      <w:pPr>
        <w:pStyle w:val="a3"/>
        <w:rPr>
          <w:rtl/>
        </w:rPr>
      </w:pPr>
      <w:bookmarkStart w:id="8166" w:name="_Toc528789776"/>
      <w:bookmarkStart w:id="8167" w:name="_Toc19390045"/>
      <w:bookmarkStart w:id="8168" w:name="_Toc19393542"/>
      <w:r>
        <w:rPr>
          <w:rFonts w:hint="cs"/>
          <w:rtl/>
        </w:rPr>
        <w:t>ביאור השער"י דברובא דל"ק אין מציאות של היתר ואיסור והוא בירור ע"י שיקול הדעת</w:t>
      </w:r>
      <w:bookmarkEnd w:id="8166"/>
      <w:bookmarkEnd w:id="8167"/>
      <w:bookmarkEnd w:id="8168"/>
    </w:p>
    <w:p w14:paraId="6EB689AE" w14:textId="77777777" w:rsidR="009A2997" w:rsidRDefault="009A2997" w:rsidP="00223668">
      <w:pPr>
        <w:pStyle w:val="a0"/>
        <w:rPr>
          <w:rtl/>
        </w:rPr>
      </w:pPr>
      <w:r>
        <w:rPr>
          <w:rFonts w:hint="cs"/>
          <w:rtl/>
        </w:rPr>
        <w:t xml:space="preserve">אבל ברובא דליתא קמן ביאר </w:t>
      </w:r>
      <w:r w:rsidRPr="005A6614">
        <w:rPr>
          <w:rStyle w:val="af9"/>
          <w:rFonts w:hint="cs"/>
          <w:rtl/>
        </w:rPr>
        <w:t>השער"י</w:t>
      </w:r>
      <w:r>
        <w:rPr>
          <w:rFonts w:hint="cs"/>
          <w:rtl/>
        </w:rPr>
        <w:t xml:space="preserve"> דאין כל מציאות לפנינו שגורמת צד היתר ואיסור, ורק מחמת שיקול הדעת מהי המציאות, אמרינן שיש בירור דהרוב הוא כמו המקרים המצויים, ולכן א"א ללמוד את רובא דליתא קמן מדיינים, דהרי בדיינים אין כל בירור, ולכן כתב </w:t>
      </w:r>
      <w:r w:rsidRPr="005A6614">
        <w:rPr>
          <w:rStyle w:val="af9"/>
          <w:rFonts w:hint="cs"/>
          <w:rtl/>
        </w:rPr>
        <w:t>רש"י</w:t>
      </w:r>
      <w:r>
        <w:rPr>
          <w:rFonts w:hint="cs"/>
          <w:rtl/>
        </w:rPr>
        <w:t xml:space="preserve"> </w:t>
      </w:r>
      <w:r w:rsidRPr="00F83C72">
        <w:rPr>
          <w:rStyle w:val="af7"/>
          <w:rFonts w:eastAsia="Guttman Hodes" w:hint="cs"/>
          <w:rtl/>
        </w:rPr>
        <w:t xml:space="preserve">(עי' </w:t>
      </w:r>
      <w:r w:rsidRPr="00115E29">
        <w:rPr>
          <w:rStyle w:val="af7"/>
          <w:rFonts w:eastAsia="Guttman Hodes" w:hint="cs"/>
          <w:rtl/>
        </w:rPr>
        <w:t>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Ref528783719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hint="cs"/>
          <w:b/>
          <w:bCs/>
          <w:rtl/>
        </w:rPr>
        <w:t>שגיאה! מקור ההפניה לא נמצא.</w:t>
      </w:r>
      <w:r>
        <w:rPr>
          <w:rStyle w:val="af7"/>
          <w:rFonts w:eastAsia="Guttman Hodes"/>
          <w:rtl/>
        </w:rPr>
        <w:fldChar w:fldCharType="end"/>
      </w:r>
      <w:r w:rsidRPr="00115E29">
        <w:rPr>
          <w:rStyle w:val="af7"/>
          <w:rFonts w:eastAsia="Guttman Hodes" w:hint="cs"/>
          <w:rtl/>
        </w:rPr>
        <w:t xml:space="preserve"> </w:t>
      </w:r>
      <w:r>
        <w:rPr>
          <w:rFonts w:hint="cs"/>
          <w:rtl/>
        </w:rPr>
        <w:t>דהוא נלמד מהלכה למשה מסיני, או שקיבלו חז"ל דהוא כלול בקרא דאחרי רבים להטות.</w:t>
      </w:r>
    </w:p>
    <w:p w14:paraId="6BCCCD3F" w14:textId="77777777" w:rsidR="009A2997" w:rsidRDefault="009A2997" w:rsidP="006D6D32">
      <w:pPr>
        <w:pStyle w:val="a3"/>
        <w:rPr>
          <w:rtl/>
        </w:rPr>
      </w:pPr>
      <w:bookmarkStart w:id="8169" w:name="_Toc528789777"/>
      <w:bookmarkStart w:id="8170" w:name="_Toc19390046"/>
      <w:bookmarkStart w:id="8171" w:name="_Toc19393543"/>
      <w:r>
        <w:rPr>
          <w:rFonts w:hint="cs"/>
          <w:rtl/>
        </w:rPr>
        <w:t>דברי הגרש"ש דבט' חנויות אין נ"מ מהיכן פרש מתוך הט' ולכן שייך לדונם כרוב ולא כ"א בפנ"ע</w:t>
      </w:r>
      <w:bookmarkEnd w:id="8169"/>
      <w:bookmarkEnd w:id="8170"/>
      <w:bookmarkEnd w:id="8171"/>
    </w:p>
    <w:p w14:paraId="2AEADF9A" w14:textId="77777777" w:rsidR="009A2997" w:rsidRPr="00115E29" w:rsidRDefault="009A2997" w:rsidP="00223668">
      <w:pPr>
        <w:pStyle w:val="a0"/>
        <w:rPr>
          <w:sz w:val="10"/>
          <w:szCs w:val="14"/>
          <w:rtl/>
        </w:rPr>
      </w:pPr>
      <w:r>
        <w:rPr>
          <w:rFonts w:hint="cs"/>
          <w:rtl/>
        </w:rPr>
        <w:t xml:space="preserve">כתב </w:t>
      </w:r>
      <w:r w:rsidRPr="00115E29">
        <w:rPr>
          <w:rStyle w:val="af9"/>
          <w:rFonts w:hint="cs"/>
          <w:rtl/>
        </w:rPr>
        <w:t>בחי' הגרש"ש</w:t>
      </w:r>
      <w:r>
        <w:rPr>
          <w:rFonts w:hint="cs"/>
          <w:rtl/>
        </w:rPr>
        <w:t xml:space="preserve"> </w:t>
      </w:r>
      <w:r w:rsidRPr="00115E29">
        <w:rPr>
          <w:rStyle w:val="af7"/>
          <w:rFonts w:eastAsia="Guttman Hodes" w:hint="cs"/>
          <w:rtl/>
        </w:rPr>
        <w:t xml:space="preserve">(כתובות סי' י"ג [מהד' חד' סי' כ"ב] ד"ה אמנם נ"ל) </w:t>
      </w:r>
      <w:r>
        <w:rPr>
          <w:rFonts w:hint="cs"/>
          <w:rtl/>
        </w:rPr>
        <w:t xml:space="preserve">דרובא דאיתא קמן שייך במקום שדנים על הרוב יחד, ועל המיעוט כדבר בפנ"ע, כמו בט' חנויות דדנים אם הבשר הוא מהט' חנויות הכשרות, או מהחנות הטריפה, דהרי כל נ"מ בין הט' חנויות מאיזה חנות הוא בא, </w:t>
      </w:r>
      <w:r w:rsidRPr="00670DBE">
        <w:rPr>
          <w:rStyle w:val="afb"/>
          <w:rFonts w:hint="cs"/>
          <w:rtl/>
        </w:rPr>
        <w:t>[</w:t>
      </w:r>
      <w:r>
        <w:rPr>
          <w:rStyle w:val="afb"/>
          <w:rFonts w:hint="cs"/>
          <w:rtl/>
        </w:rPr>
        <w:t>לכן</w:t>
      </w:r>
      <w:r w:rsidRPr="00670DBE">
        <w:rPr>
          <w:rStyle w:val="afb"/>
          <w:rFonts w:hint="cs"/>
          <w:rtl/>
        </w:rPr>
        <w:t xml:space="preserve"> אף </w:t>
      </w:r>
      <w:r>
        <w:rPr>
          <w:rStyle w:val="afb"/>
          <w:rFonts w:hint="cs"/>
          <w:rtl/>
        </w:rPr>
        <w:t xml:space="preserve">כשהחנות הטריפה היא </w:t>
      </w:r>
      <w:r w:rsidRPr="00670DBE">
        <w:rPr>
          <w:rStyle w:val="afb"/>
          <w:rFonts w:hint="cs"/>
          <w:rtl/>
        </w:rPr>
        <w:t>קרובה</w:t>
      </w:r>
      <w:r>
        <w:rPr>
          <w:rStyle w:val="afb"/>
          <w:rFonts w:hint="cs"/>
          <w:rtl/>
        </w:rPr>
        <w:t>,</w:t>
      </w:r>
      <w:r w:rsidRPr="00670DBE">
        <w:rPr>
          <w:rStyle w:val="afb"/>
          <w:rFonts w:hint="cs"/>
          <w:rtl/>
        </w:rPr>
        <w:t xml:space="preserve"> </w:t>
      </w:r>
      <w:r>
        <w:rPr>
          <w:rStyle w:val="afb"/>
          <w:rFonts w:hint="cs"/>
          <w:rtl/>
        </w:rPr>
        <w:t>אזלינן בתר הרוב ולא בתר הקרוב</w:t>
      </w:r>
      <w:r w:rsidRPr="00670DBE">
        <w:rPr>
          <w:rStyle w:val="afb"/>
          <w:rFonts w:hint="cs"/>
          <w:rtl/>
        </w:rPr>
        <w:t>],</w:t>
      </w:r>
      <w:r>
        <w:rPr>
          <w:rFonts w:hint="cs"/>
          <w:rtl/>
        </w:rPr>
        <w:t xml:space="preserve"> אבל אם היה הנדון על כל חנות בפנ"ע, א"א לומר שיש רוב, כיון שהבשר פריש רק מחנות אחת, ולא מכל הט' חנויות. </w:t>
      </w:r>
      <w:r w:rsidRPr="00115E29">
        <w:rPr>
          <w:rStyle w:val="afb"/>
          <w:rFonts w:hint="cs"/>
          <w:rtl/>
        </w:rPr>
        <w:t>[ודמי למצא יונה בין ג' שובכות, וקרובה לאחת מהם, דודאי שמחזיר לקרוב, וא"א לומר דהב' הרחוקות הם רוב כנגד הקרוב].</w:t>
      </w:r>
    </w:p>
    <w:p w14:paraId="0F90D836" w14:textId="77777777" w:rsidR="009A2997" w:rsidRDefault="009A2997" w:rsidP="00BF39B2">
      <w:pPr>
        <w:pStyle w:val="1"/>
        <w:rPr>
          <w:rtl/>
        </w:rPr>
      </w:pPr>
      <w:bookmarkStart w:id="8172" w:name="_Toc528712531"/>
      <w:bookmarkStart w:id="8173" w:name="_Toc528777215"/>
      <w:bookmarkStart w:id="8174" w:name="_Toc528789778"/>
      <w:bookmarkStart w:id="8175" w:name="_Toc19390047"/>
      <w:bookmarkStart w:id="8176" w:name="_Toc19393544"/>
      <w:r>
        <w:rPr>
          <w:rFonts w:hint="cs"/>
          <w:rtl/>
        </w:rPr>
        <w:t>ביאור השער"י דאיתא קמן הוא דין וליתא קמן הוא בירור</w:t>
      </w:r>
      <w:bookmarkEnd w:id="8172"/>
      <w:bookmarkEnd w:id="8173"/>
      <w:bookmarkEnd w:id="8174"/>
      <w:bookmarkEnd w:id="8175"/>
      <w:bookmarkEnd w:id="8176"/>
    </w:p>
    <w:p w14:paraId="42C34B1C" w14:textId="77777777" w:rsidR="009A2997" w:rsidRDefault="009A2997" w:rsidP="006D6D32">
      <w:pPr>
        <w:pStyle w:val="a3"/>
        <w:rPr>
          <w:rtl/>
        </w:rPr>
      </w:pPr>
      <w:bookmarkStart w:id="8177" w:name="_Toc528789779"/>
      <w:bookmarkStart w:id="8178" w:name="_Toc19390048"/>
      <w:bookmarkStart w:id="8179" w:name="_Toc19393545"/>
      <w:r>
        <w:rPr>
          <w:rFonts w:hint="cs"/>
          <w:rtl/>
        </w:rPr>
        <w:t>דברי השער"י דרובא דא"ק הוא ספק דאזלינן בתר רוב צדדים ואינו בירור ורובא דל"ק הוא בירור</w:t>
      </w:r>
      <w:bookmarkEnd w:id="8177"/>
      <w:bookmarkEnd w:id="8178"/>
      <w:bookmarkEnd w:id="8179"/>
    </w:p>
    <w:p w14:paraId="5925538D" w14:textId="77777777" w:rsidR="009A2997" w:rsidRDefault="009A2997" w:rsidP="00223668">
      <w:pPr>
        <w:pStyle w:val="a0"/>
        <w:rPr>
          <w:rtl/>
        </w:rPr>
      </w:pPr>
      <w:r>
        <w:rPr>
          <w:rFonts w:hint="cs"/>
          <w:rtl/>
        </w:rPr>
        <w:t xml:space="preserve">וכתב </w:t>
      </w:r>
      <w:r w:rsidRPr="00AB494E">
        <w:rPr>
          <w:rStyle w:val="af9"/>
          <w:rFonts w:hint="cs"/>
          <w:rtl/>
        </w:rPr>
        <w:t>השער"י</w:t>
      </w:r>
      <w:r>
        <w:rPr>
          <w:rFonts w:hint="cs"/>
          <w:rtl/>
        </w:rPr>
        <w:t xml:space="preserve"> </w:t>
      </w:r>
      <w:r w:rsidRPr="00AB494E">
        <w:rPr>
          <w:rStyle w:val="af7"/>
          <w:rFonts w:eastAsia="Guttman Hodes" w:hint="cs"/>
          <w:rtl/>
        </w:rPr>
        <w:t xml:space="preserve">(ש"ג פ"א ד"ה ולפי"ז שני) </w:t>
      </w:r>
      <w:r>
        <w:rPr>
          <w:rFonts w:hint="cs"/>
          <w:rtl/>
        </w:rPr>
        <w:t>דמבואר דהדין דרובא דאיתא קמן, והדין דרובא דליתא קמן, הם ב' דינים נפרדים, דרובא דאיתא קמן אינו מברר כלל, ויש עדיין ספק כאילו אין כאן רוב כלל, אלא דלדינא אזלינן בתר רוב צדדים כמו בדיינים, ואילו רובא דליתא קמן, הוא בירור שמברר ומכריע את המציאות, ודינו לסמוך על בירור זה בין לקולא ובין לחומרא</w:t>
      </w:r>
      <w:r>
        <w:rPr>
          <w:rStyle w:val="af1"/>
          <w:rtl/>
        </w:rPr>
        <w:footnoteReference w:id="52"/>
      </w:r>
      <w:r>
        <w:rPr>
          <w:rFonts w:hint="cs"/>
          <w:rtl/>
        </w:rPr>
        <w:t>.</w:t>
      </w:r>
    </w:p>
    <w:p w14:paraId="08033506" w14:textId="77777777" w:rsidR="009A2997" w:rsidRDefault="009A2997" w:rsidP="006D6D32">
      <w:pPr>
        <w:pStyle w:val="a3"/>
        <w:rPr>
          <w:rtl/>
        </w:rPr>
      </w:pPr>
      <w:bookmarkStart w:id="8180" w:name="_Toc528789780"/>
      <w:bookmarkStart w:id="8181" w:name="_Toc19390049"/>
      <w:bookmarkStart w:id="8182" w:name="_Toc19393546"/>
      <w:r>
        <w:rPr>
          <w:rFonts w:hint="cs"/>
          <w:rtl/>
        </w:rPr>
        <w:t>דברי השער"י דרובא דל"ק הוא בירור ומהני לענין נפשות ויוחסין ורובא דא"ק לא מהני</w:t>
      </w:r>
      <w:bookmarkEnd w:id="8180"/>
      <w:bookmarkEnd w:id="8181"/>
      <w:bookmarkEnd w:id="8182"/>
    </w:p>
    <w:p w14:paraId="7E15D0C3" w14:textId="77777777" w:rsidR="009A2997" w:rsidRPr="00343946" w:rsidRDefault="009A2997" w:rsidP="00223668">
      <w:pPr>
        <w:pStyle w:val="a0"/>
        <w:rPr>
          <w:rtl/>
        </w:rPr>
      </w:pPr>
      <w:r>
        <w:rPr>
          <w:rFonts w:hint="cs"/>
          <w:rtl/>
        </w:rPr>
        <w:t xml:space="preserve">ולפי"ז ביאר </w:t>
      </w:r>
      <w:r>
        <w:rPr>
          <w:rStyle w:val="af9"/>
          <w:rFonts w:hint="cs"/>
          <w:rtl/>
        </w:rPr>
        <w:t>ה</w:t>
      </w:r>
      <w:r w:rsidRPr="009E10A1">
        <w:rPr>
          <w:rStyle w:val="af9"/>
          <w:rFonts w:hint="cs"/>
          <w:rtl/>
        </w:rPr>
        <w:t>שער"י</w:t>
      </w:r>
      <w:r>
        <w:rPr>
          <w:rFonts w:hint="cs"/>
          <w:rtl/>
        </w:rPr>
        <w:t xml:space="preserve"> </w:t>
      </w:r>
      <w:r w:rsidRPr="00343946">
        <w:rPr>
          <w:rStyle w:val="af7"/>
          <w:rFonts w:eastAsia="Guttman Hodes" w:hint="cs"/>
          <w:rtl/>
        </w:rPr>
        <w:t>(ש"ג פ"א ד"ה וראיה)</w:t>
      </w:r>
      <w:r>
        <w:rPr>
          <w:rFonts w:hint="cs"/>
          <w:rtl/>
        </w:rPr>
        <w:t xml:space="preserve"> את הגמ' בקידושין </w:t>
      </w:r>
      <w:r w:rsidRPr="00343946">
        <w:rPr>
          <w:rStyle w:val="af7"/>
          <w:rFonts w:eastAsia="Guttman Hodes" w:hint="cs"/>
          <w:rtl/>
        </w:rPr>
        <w:t>(פ.)</w:t>
      </w:r>
      <w:r>
        <w:rPr>
          <w:rFonts w:hint="cs"/>
          <w:rtl/>
        </w:rPr>
        <w:t xml:space="preserve"> דמבואר דרובא דליתא קמן מהני לדיני נפשות, אך לא מהני לשרוף עליו תרומה, ואילו רובא דאיתא קמן מהני לשרוף את התרומה, ולא מהני לדיני נפשות, כמבואר </w:t>
      </w:r>
      <w:r w:rsidRPr="009E10A1">
        <w:rPr>
          <w:rStyle w:val="af9"/>
          <w:rFonts w:hint="cs"/>
          <w:rtl/>
        </w:rPr>
        <w:t>ברמב"ם</w:t>
      </w:r>
      <w:r>
        <w:rPr>
          <w:rFonts w:hint="cs"/>
          <w:rtl/>
        </w:rPr>
        <w:t xml:space="preserve"> </w:t>
      </w:r>
      <w:r w:rsidRPr="00343946">
        <w:rPr>
          <w:rStyle w:val="af7"/>
          <w:rFonts w:eastAsia="Guttman Hodes" w:hint="cs"/>
          <w:rtl/>
        </w:rPr>
        <w:t xml:space="preserve">(עי' אות </w:t>
      </w:r>
      <w:r w:rsidRPr="00343946">
        <w:rPr>
          <w:rStyle w:val="af7"/>
          <w:rFonts w:eastAsia="Guttman Hodes"/>
          <w:rtl/>
        </w:rPr>
        <w:fldChar w:fldCharType="begin"/>
      </w:r>
      <w:r w:rsidRPr="00343946">
        <w:rPr>
          <w:rStyle w:val="af7"/>
          <w:rFonts w:eastAsia="Guttman Hodes"/>
          <w:rtl/>
        </w:rPr>
        <w:instrText xml:space="preserve"> </w:instrText>
      </w:r>
      <w:r w:rsidRPr="00343946">
        <w:rPr>
          <w:rStyle w:val="af7"/>
          <w:rFonts w:eastAsia="Guttman Hodes" w:hint="cs"/>
        </w:rPr>
        <w:instrText>REF</w:instrText>
      </w:r>
      <w:r w:rsidRPr="00343946">
        <w:rPr>
          <w:rStyle w:val="af7"/>
          <w:rFonts w:eastAsia="Guttman Hodes" w:hint="cs"/>
          <w:rtl/>
        </w:rPr>
        <w:instrText xml:space="preserve"> _</w:instrText>
      </w:r>
      <w:r w:rsidRPr="00343946">
        <w:rPr>
          <w:rStyle w:val="af7"/>
          <w:rFonts w:eastAsia="Guttman Hodes" w:hint="cs"/>
        </w:rPr>
        <w:instrText>Ref528661845 \r \h</w:instrText>
      </w:r>
      <w:r w:rsidRPr="00343946">
        <w:rPr>
          <w:rStyle w:val="af7"/>
          <w:rFonts w:eastAsia="Guttman Hodes"/>
          <w:rtl/>
        </w:rPr>
        <w:instrText xml:space="preserve"> </w:instrText>
      </w:r>
      <w:r w:rsidRPr="00343946">
        <w:rPr>
          <w:rStyle w:val="af7"/>
          <w:rFonts w:eastAsia="Guttman Hodes"/>
          <w:rtl/>
        </w:rPr>
      </w:r>
      <w:r w:rsidRPr="00343946">
        <w:rPr>
          <w:rStyle w:val="af7"/>
          <w:rFonts w:eastAsia="Guttman Hodes"/>
          <w:rtl/>
        </w:rPr>
        <w:fldChar w:fldCharType="separate"/>
      </w:r>
      <w:r w:rsidR="00345400">
        <w:rPr>
          <w:rStyle w:val="af7"/>
          <w:rFonts w:eastAsia="Guttman Hodes"/>
          <w:cs/>
        </w:rPr>
        <w:t>‎</w:t>
      </w:r>
      <w:r w:rsidR="00345400">
        <w:rPr>
          <w:rStyle w:val="af7"/>
          <w:rFonts w:eastAsia="Guttman Hodes"/>
          <w:rtl/>
        </w:rPr>
        <w:t>ק)</w:t>
      </w:r>
      <w:r w:rsidRPr="00343946">
        <w:rPr>
          <w:rStyle w:val="af7"/>
          <w:rFonts w:eastAsia="Guttman Hodes"/>
          <w:rtl/>
        </w:rPr>
        <w:fldChar w:fldCharType="end"/>
      </w:r>
      <w:r>
        <w:rPr>
          <w:rFonts w:hint="cs"/>
          <w:rtl/>
        </w:rPr>
        <w:t xml:space="preserve">, וכן לענין יוחסין דמבואר דמהני רובא דליתא קמן, ולא מהני רובא דאיתא קמן, וביאר </w:t>
      </w:r>
      <w:r w:rsidRPr="00343946">
        <w:rPr>
          <w:rStyle w:val="af9"/>
          <w:rFonts w:hint="cs"/>
          <w:rtl/>
        </w:rPr>
        <w:t>השער"י</w:t>
      </w:r>
      <w:r>
        <w:rPr>
          <w:rFonts w:hint="cs"/>
          <w:rtl/>
        </w:rPr>
        <w:t xml:space="preserve"> דכיון דרובא דליתא קמן הוא בירור גמור, ולכן מהני לנפשות וליוחסין, דבדינים אלו סגי בבירור של רוב, ואילו רובא דאיתא קמן אף שאינו בירור גמור, מ"מ יש בכחו לפסוק דין ודאי, ולכן מהני לשרוף את התרומה.</w:t>
      </w:r>
    </w:p>
    <w:p w14:paraId="25F6C1C7" w14:textId="77777777" w:rsidR="009A2997" w:rsidRDefault="009A2997" w:rsidP="00BF39B2">
      <w:pPr>
        <w:pStyle w:val="1"/>
        <w:rPr>
          <w:rtl/>
        </w:rPr>
      </w:pPr>
      <w:bookmarkStart w:id="8183" w:name="_Toc528712532"/>
      <w:bookmarkStart w:id="8184" w:name="_Toc528777216"/>
      <w:bookmarkStart w:id="8185" w:name="_Toc528789781"/>
      <w:bookmarkStart w:id="8186" w:name="_Toc19390050"/>
      <w:bookmarkStart w:id="8187" w:name="_Toc19393547"/>
      <w:r>
        <w:rPr>
          <w:rFonts w:hint="cs"/>
          <w:rtl/>
        </w:rPr>
        <w:t>ביאור השער"י ברמב"ם דבנפשות לא מהני רובא דליתא קמן</w:t>
      </w:r>
      <w:bookmarkEnd w:id="8183"/>
      <w:bookmarkEnd w:id="8184"/>
      <w:bookmarkEnd w:id="8185"/>
      <w:bookmarkEnd w:id="8186"/>
      <w:bookmarkEnd w:id="8187"/>
    </w:p>
    <w:p w14:paraId="0674A95E" w14:textId="77777777" w:rsidR="009A2997" w:rsidRPr="003B4D72" w:rsidRDefault="009A2997" w:rsidP="006D6D32">
      <w:pPr>
        <w:pStyle w:val="a3"/>
        <w:rPr>
          <w:rtl/>
        </w:rPr>
      </w:pPr>
      <w:bookmarkStart w:id="8188" w:name="_Toc528789782"/>
      <w:bookmarkStart w:id="8189" w:name="_Toc19390051"/>
      <w:bookmarkStart w:id="8190" w:name="_Toc19393548"/>
      <w:r>
        <w:rPr>
          <w:rFonts w:hint="cs"/>
          <w:rtl/>
        </w:rPr>
        <w:t>קושית השער"י בסתירת דברי הרמב"ם אי מהני רוב בדיני נפשות</w:t>
      </w:r>
      <w:bookmarkEnd w:id="8188"/>
      <w:bookmarkEnd w:id="8189"/>
      <w:bookmarkEnd w:id="8190"/>
    </w:p>
    <w:p w14:paraId="449225DC" w14:textId="77777777" w:rsidR="009A2997" w:rsidRDefault="009A2997" w:rsidP="00223668">
      <w:pPr>
        <w:pStyle w:val="a0"/>
        <w:rPr>
          <w:rtl/>
        </w:rPr>
      </w:pPr>
      <w:bookmarkStart w:id="8191" w:name="_Ref528661845"/>
      <w:r>
        <w:rPr>
          <w:rFonts w:hint="cs"/>
          <w:rtl/>
        </w:rPr>
        <w:t xml:space="preserve">כתב </w:t>
      </w:r>
      <w:r w:rsidRPr="00AD5824">
        <w:rPr>
          <w:rStyle w:val="af9"/>
          <w:rFonts w:hint="cs"/>
          <w:rtl/>
        </w:rPr>
        <w:t>השער"י</w:t>
      </w:r>
      <w:r>
        <w:rPr>
          <w:rFonts w:hint="cs"/>
          <w:rtl/>
        </w:rPr>
        <w:t xml:space="preserve"> </w:t>
      </w:r>
      <w:r w:rsidRPr="00AD5824">
        <w:rPr>
          <w:rStyle w:val="af7"/>
          <w:rFonts w:eastAsia="Guttman Hodes" w:hint="cs"/>
          <w:rtl/>
        </w:rPr>
        <w:t>(ש"ג פ"א ד"ה והנה באמת)</w:t>
      </w:r>
      <w:r>
        <w:rPr>
          <w:rFonts w:hint="cs"/>
          <w:rtl/>
        </w:rPr>
        <w:t xml:space="preserve"> דמדברי </w:t>
      </w:r>
      <w:r w:rsidRPr="00AD5824">
        <w:rPr>
          <w:rStyle w:val="af9"/>
          <w:rFonts w:hint="cs"/>
          <w:rtl/>
        </w:rPr>
        <w:t>הרמב"ם</w:t>
      </w:r>
      <w:r>
        <w:rPr>
          <w:rFonts w:hint="cs"/>
          <w:rtl/>
        </w:rPr>
        <w:t xml:space="preserve"> מוכח דרובא דליתא קמן עדיף על רובא דאיתא קמן, דהא כתב </w:t>
      </w:r>
      <w:r w:rsidRPr="00AD5824">
        <w:rPr>
          <w:rStyle w:val="af9"/>
          <w:rFonts w:hint="cs"/>
          <w:rtl/>
        </w:rPr>
        <w:t>הרמב"ם</w:t>
      </w:r>
      <w:r>
        <w:rPr>
          <w:rFonts w:hint="cs"/>
          <w:rtl/>
        </w:rPr>
        <w:t xml:space="preserve"> </w:t>
      </w:r>
      <w:r w:rsidRPr="00AD5824">
        <w:rPr>
          <w:rStyle w:val="af7"/>
          <w:rFonts w:eastAsia="Guttman Hodes" w:hint="cs"/>
          <w:rtl/>
        </w:rPr>
        <w:t>(איסו"ב ט"ו כ"ז)</w:t>
      </w:r>
      <w:r>
        <w:rPr>
          <w:rFonts w:hint="cs"/>
          <w:rtl/>
        </w:rPr>
        <w:t xml:space="preserve"> דאסופי שנמצא במקום שיש שם עכו"ם שראוי לילד, דהוא ספק עכו"ם ואם נשא אשה </w:t>
      </w:r>
      <w:r w:rsidRPr="00403861">
        <w:rPr>
          <w:rStyle w:val="afb"/>
          <w:rFonts w:hint="cs"/>
          <w:rtl/>
        </w:rPr>
        <w:t>[גיורת]</w:t>
      </w:r>
      <w:r>
        <w:rPr>
          <w:rFonts w:hint="cs"/>
          <w:rtl/>
        </w:rPr>
        <w:t xml:space="preserve">, היא ספק אשת איש והבא עליה פטור, שאין הורגין מספק, והשיג עליו </w:t>
      </w:r>
      <w:r w:rsidRPr="00AD5824">
        <w:rPr>
          <w:rStyle w:val="af9"/>
          <w:rFonts w:hint="cs"/>
          <w:rtl/>
        </w:rPr>
        <w:t>הראב"ד</w:t>
      </w:r>
      <w:r>
        <w:rPr>
          <w:rFonts w:hint="cs"/>
          <w:rtl/>
        </w:rPr>
        <w:t xml:space="preserve"> דקיי"ל דאף בדיני נפשות אזלינן בתר רובא, והביא </w:t>
      </w:r>
      <w:r w:rsidRPr="00AD5824">
        <w:rPr>
          <w:rStyle w:val="af9"/>
          <w:rFonts w:hint="cs"/>
          <w:rtl/>
        </w:rPr>
        <w:t>השער"י</w:t>
      </w:r>
      <w:r>
        <w:rPr>
          <w:rFonts w:hint="cs"/>
          <w:rtl/>
        </w:rPr>
        <w:t xml:space="preserve"> את דברי </w:t>
      </w:r>
      <w:r w:rsidRPr="00AD5824">
        <w:rPr>
          <w:rStyle w:val="af9"/>
          <w:rFonts w:hint="cs"/>
          <w:rtl/>
        </w:rPr>
        <w:t>הרמב"ם</w:t>
      </w:r>
      <w:r>
        <w:rPr>
          <w:rFonts w:hint="cs"/>
          <w:rtl/>
        </w:rPr>
        <w:t xml:space="preserve"> </w:t>
      </w:r>
      <w:r w:rsidRPr="00AD5824">
        <w:rPr>
          <w:rStyle w:val="af7"/>
          <w:rFonts w:eastAsia="Guttman Hodes" w:hint="cs"/>
          <w:rtl/>
        </w:rPr>
        <w:t>(</w:t>
      </w:r>
      <w:r w:rsidRPr="001855BF">
        <w:rPr>
          <w:rStyle w:val="af7"/>
          <w:rFonts w:eastAsia="Guttman Hodes" w:hint="cs"/>
          <w:rtl/>
        </w:rPr>
        <w:t xml:space="preserve">איסו"ב </w:t>
      </w:r>
      <w:r>
        <w:rPr>
          <w:rStyle w:val="af7"/>
          <w:rFonts w:eastAsia="Guttman Hodes" w:hint="cs"/>
          <w:rtl/>
        </w:rPr>
        <w:t>פ"ג</w:t>
      </w:r>
      <w:r w:rsidRPr="001855BF">
        <w:rPr>
          <w:rStyle w:val="af7"/>
          <w:rFonts w:eastAsia="Guttman Hodes" w:hint="cs"/>
          <w:rtl/>
        </w:rPr>
        <w:t xml:space="preserve"> </w:t>
      </w:r>
      <w:r>
        <w:rPr>
          <w:rStyle w:val="af7"/>
          <w:rFonts w:eastAsia="Guttman Hodes" w:hint="cs"/>
          <w:rtl/>
        </w:rPr>
        <w:t>ה"ב</w:t>
      </w:r>
      <w:r w:rsidRPr="001855BF">
        <w:rPr>
          <w:rStyle w:val="af7"/>
          <w:rFonts w:eastAsia="Guttman Hodes" w:hint="cs"/>
          <w:rtl/>
        </w:rPr>
        <w:t>)</w:t>
      </w:r>
      <w:r w:rsidRPr="001855BF">
        <w:rPr>
          <w:rFonts w:hint="cs"/>
          <w:rtl/>
        </w:rPr>
        <w:t xml:space="preserve"> לגבי קטנה שקידשה אביה, דהבא עליה בחנק, ומבואר</w:t>
      </w:r>
      <w:r>
        <w:rPr>
          <w:rFonts w:hint="cs"/>
          <w:rtl/>
        </w:rPr>
        <w:t xml:space="preserve"> דאף שהיא מקודשת רק מכח הרוב שאינה איילונית, מ"מ היא ודאי אשת איש.</w:t>
      </w:r>
      <w:bookmarkEnd w:id="8191"/>
    </w:p>
    <w:p w14:paraId="35C330EE" w14:textId="77777777" w:rsidR="009A2997" w:rsidRPr="00CE311F" w:rsidRDefault="009A2997" w:rsidP="006D6D32">
      <w:pPr>
        <w:pStyle w:val="a3"/>
        <w:rPr>
          <w:rtl/>
        </w:rPr>
      </w:pPr>
      <w:bookmarkStart w:id="8192" w:name="_Toc528789783"/>
      <w:bookmarkStart w:id="8193" w:name="_Toc19390052"/>
      <w:bookmarkStart w:id="8194" w:name="_Toc19393549"/>
      <w:r>
        <w:rPr>
          <w:rFonts w:hint="cs"/>
          <w:rtl/>
        </w:rPr>
        <w:t>דברי השער"י דלדעת הרמב"ם דלענין נפשות רובא דל"ק מהני ורובא דא"ק לא מהני</w:t>
      </w:r>
      <w:bookmarkEnd w:id="8192"/>
      <w:bookmarkEnd w:id="8193"/>
      <w:bookmarkEnd w:id="8194"/>
    </w:p>
    <w:p w14:paraId="1C38E34B" w14:textId="77777777" w:rsidR="009A2997" w:rsidRDefault="009A2997" w:rsidP="00223668">
      <w:pPr>
        <w:pStyle w:val="a0"/>
        <w:rPr>
          <w:rtl/>
        </w:rPr>
      </w:pPr>
      <w:r>
        <w:rPr>
          <w:rFonts w:hint="cs"/>
          <w:rtl/>
        </w:rPr>
        <w:t xml:space="preserve">אלא כתב </w:t>
      </w:r>
      <w:r w:rsidRPr="00AD5824">
        <w:rPr>
          <w:rStyle w:val="af9"/>
          <w:rFonts w:hint="cs"/>
          <w:rtl/>
        </w:rPr>
        <w:t>השער"י</w:t>
      </w:r>
      <w:r>
        <w:rPr>
          <w:rFonts w:hint="cs"/>
          <w:rtl/>
        </w:rPr>
        <w:t xml:space="preserve"> דמוכח דלדעת </w:t>
      </w:r>
      <w:r w:rsidRPr="00AD5824">
        <w:rPr>
          <w:rStyle w:val="af9"/>
          <w:rFonts w:hint="cs"/>
          <w:rtl/>
        </w:rPr>
        <w:t>הרמב"ם</w:t>
      </w:r>
      <w:r>
        <w:rPr>
          <w:rFonts w:hint="cs"/>
          <w:rtl/>
        </w:rPr>
        <w:t xml:space="preserve"> דוקא ברובא דליתא קמן מהני לדיני נפשות, אבל רובא דאיתא קמן לא מהני לדיני נפשות, וכתב </w:t>
      </w:r>
      <w:r w:rsidRPr="005A6614">
        <w:rPr>
          <w:rStyle w:val="af9"/>
          <w:rFonts w:hint="cs"/>
          <w:rtl/>
        </w:rPr>
        <w:t>השער"י</w:t>
      </w:r>
      <w:r>
        <w:rPr>
          <w:rFonts w:hint="cs"/>
          <w:rtl/>
        </w:rPr>
        <w:t xml:space="preserve"> דכן מבואר מדברי </w:t>
      </w:r>
      <w:r w:rsidRPr="005A6614">
        <w:rPr>
          <w:rStyle w:val="af9"/>
          <w:rFonts w:hint="cs"/>
          <w:rtl/>
        </w:rPr>
        <w:t>הגרעק"א</w:t>
      </w:r>
      <w:r>
        <w:rPr>
          <w:rFonts w:hint="cs"/>
          <w:rtl/>
        </w:rPr>
        <w:t xml:space="preserve"> </w:t>
      </w:r>
      <w:r w:rsidRPr="00520CEC">
        <w:rPr>
          <w:rStyle w:val="af7"/>
          <w:rFonts w:eastAsia="Guttman Hodes" w:hint="cs"/>
          <w:rtl/>
        </w:rPr>
        <w:t xml:space="preserve">(עי' אות </w:t>
      </w:r>
      <w:r w:rsidRPr="00520CEC">
        <w:rPr>
          <w:rStyle w:val="af7"/>
          <w:rFonts w:eastAsia="Guttman Hodes"/>
          <w:rtl/>
        </w:rPr>
        <w:fldChar w:fldCharType="begin"/>
      </w:r>
      <w:r w:rsidRPr="00520CEC">
        <w:rPr>
          <w:rStyle w:val="af7"/>
          <w:rFonts w:eastAsia="Guttman Hodes"/>
          <w:rtl/>
        </w:rPr>
        <w:instrText xml:space="preserve"> </w:instrText>
      </w:r>
      <w:r w:rsidRPr="00520CEC">
        <w:rPr>
          <w:rStyle w:val="af7"/>
          <w:rFonts w:eastAsia="Guttman Hodes" w:hint="cs"/>
        </w:rPr>
        <w:instrText>REF</w:instrText>
      </w:r>
      <w:r w:rsidRPr="00520CEC">
        <w:rPr>
          <w:rStyle w:val="af7"/>
          <w:rFonts w:eastAsia="Guttman Hodes" w:hint="cs"/>
          <w:rtl/>
        </w:rPr>
        <w:instrText xml:space="preserve"> _</w:instrText>
      </w:r>
      <w:r w:rsidRPr="00520CEC">
        <w:rPr>
          <w:rStyle w:val="af7"/>
          <w:rFonts w:eastAsia="Guttman Hodes" w:hint="cs"/>
        </w:rPr>
        <w:instrText>Ref528661248 \r \h</w:instrText>
      </w:r>
      <w:r w:rsidRPr="00520CEC">
        <w:rPr>
          <w:rStyle w:val="af7"/>
          <w:rFonts w:eastAsia="Guttman Hodes"/>
          <w:rtl/>
        </w:rPr>
        <w:instrText xml:space="preserve"> </w:instrText>
      </w:r>
      <w:r w:rsidRPr="00520CEC">
        <w:rPr>
          <w:rStyle w:val="af7"/>
          <w:rFonts w:eastAsia="Guttman Hodes"/>
          <w:rtl/>
        </w:rPr>
      </w:r>
      <w:r w:rsidRPr="00520CEC">
        <w:rPr>
          <w:rStyle w:val="af7"/>
          <w:rFonts w:eastAsia="Guttman Hodes"/>
          <w:rtl/>
        </w:rPr>
        <w:fldChar w:fldCharType="separate"/>
      </w:r>
      <w:r w:rsidR="00345400">
        <w:rPr>
          <w:rStyle w:val="af7"/>
          <w:rFonts w:eastAsia="Guttman Hodes"/>
          <w:cs/>
        </w:rPr>
        <w:t>‎</w:t>
      </w:r>
      <w:r w:rsidR="00345400">
        <w:rPr>
          <w:rStyle w:val="af7"/>
          <w:rFonts w:eastAsia="Guttman Hodes"/>
          <w:rtl/>
        </w:rPr>
        <w:t>פד)</w:t>
      </w:r>
      <w:r w:rsidRPr="00520CEC">
        <w:rPr>
          <w:rStyle w:val="af7"/>
          <w:rFonts w:eastAsia="Guttman Hodes"/>
          <w:rtl/>
        </w:rPr>
        <w:fldChar w:fldCharType="end"/>
      </w:r>
      <w:r>
        <w:rPr>
          <w:rFonts w:hint="cs"/>
          <w:rtl/>
        </w:rPr>
        <w:t xml:space="preserve"> </w:t>
      </w:r>
      <w:r w:rsidRPr="004C15EE">
        <w:rPr>
          <w:rStyle w:val="af9"/>
          <w:rFonts w:hint="cs"/>
          <w:rtl/>
        </w:rPr>
        <w:t>והברוך טעם</w:t>
      </w:r>
      <w:r>
        <w:rPr>
          <w:rFonts w:hint="cs"/>
          <w:rtl/>
        </w:rPr>
        <w:t xml:space="preserve"> </w:t>
      </w:r>
      <w:r w:rsidRPr="004C15EE">
        <w:rPr>
          <w:rStyle w:val="af7"/>
          <w:rFonts w:eastAsia="Guttman Hodes" w:hint="cs"/>
          <w:rtl/>
        </w:rPr>
        <w:t xml:space="preserve">(עי' אות </w:t>
      </w:r>
      <w:r w:rsidRPr="004C15EE">
        <w:rPr>
          <w:rStyle w:val="af7"/>
          <w:rFonts w:eastAsia="Guttman Hodes"/>
          <w:rtl/>
        </w:rPr>
        <w:fldChar w:fldCharType="begin"/>
      </w:r>
      <w:r w:rsidRPr="004C15EE">
        <w:rPr>
          <w:rStyle w:val="af7"/>
          <w:rFonts w:eastAsia="Guttman Hodes"/>
          <w:rtl/>
        </w:rPr>
        <w:instrText xml:space="preserve"> </w:instrText>
      </w:r>
      <w:r w:rsidRPr="004C15EE">
        <w:rPr>
          <w:rStyle w:val="af7"/>
          <w:rFonts w:eastAsia="Guttman Hodes" w:hint="cs"/>
        </w:rPr>
        <w:instrText>REF</w:instrText>
      </w:r>
      <w:r w:rsidRPr="004C15EE">
        <w:rPr>
          <w:rStyle w:val="af7"/>
          <w:rFonts w:eastAsia="Guttman Hodes" w:hint="cs"/>
          <w:rtl/>
        </w:rPr>
        <w:instrText xml:space="preserve"> _</w:instrText>
      </w:r>
      <w:r w:rsidRPr="004C15EE">
        <w:rPr>
          <w:rStyle w:val="af7"/>
          <w:rFonts w:eastAsia="Guttman Hodes" w:hint="cs"/>
        </w:rPr>
        <w:instrText>Ref528784294 \r \h</w:instrText>
      </w:r>
      <w:r w:rsidRPr="004C15EE">
        <w:rPr>
          <w:rStyle w:val="af7"/>
          <w:rFonts w:eastAsia="Guttman Hodes"/>
          <w:rtl/>
        </w:rPr>
        <w:instrText xml:space="preserve"> </w:instrText>
      </w:r>
      <w:r w:rsidRPr="004C15EE">
        <w:rPr>
          <w:rStyle w:val="af7"/>
          <w:rFonts w:eastAsia="Guttman Hodes"/>
          <w:rtl/>
        </w:rPr>
      </w:r>
      <w:r w:rsidRPr="004C15EE">
        <w:rPr>
          <w:rStyle w:val="af7"/>
          <w:rFonts w:eastAsia="Guttman Hodes"/>
          <w:rtl/>
        </w:rPr>
        <w:fldChar w:fldCharType="separate"/>
      </w:r>
      <w:r w:rsidR="00345400">
        <w:rPr>
          <w:rStyle w:val="af7"/>
          <w:rFonts w:eastAsia="Guttman Hodes"/>
          <w:cs/>
        </w:rPr>
        <w:t>‎</w:t>
      </w:r>
      <w:r w:rsidR="00345400">
        <w:rPr>
          <w:rStyle w:val="af7"/>
          <w:rFonts w:eastAsia="Guttman Hodes"/>
          <w:rtl/>
        </w:rPr>
        <w:t>נא)</w:t>
      </w:r>
      <w:r w:rsidRPr="004C15EE">
        <w:rPr>
          <w:rStyle w:val="af7"/>
          <w:rFonts w:eastAsia="Guttman Hodes"/>
          <w:rtl/>
        </w:rPr>
        <w:fldChar w:fldCharType="end"/>
      </w:r>
      <w:r>
        <w:rPr>
          <w:rFonts w:hint="cs"/>
          <w:rtl/>
        </w:rPr>
        <w:t xml:space="preserve"> דרובא דליתא קמן, עדיף מרובא דאיתא קמן.</w:t>
      </w:r>
    </w:p>
    <w:p w14:paraId="4D747D00" w14:textId="77777777" w:rsidR="009A2997" w:rsidRDefault="009A2997" w:rsidP="006D6D32">
      <w:pPr>
        <w:pStyle w:val="a3"/>
        <w:rPr>
          <w:rtl/>
        </w:rPr>
      </w:pPr>
      <w:bookmarkStart w:id="8195" w:name="_Toc528789784"/>
      <w:bookmarkStart w:id="8196" w:name="_Toc19390053"/>
      <w:bookmarkStart w:id="8197" w:name="_Toc19393550"/>
      <w:r>
        <w:rPr>
          <w:rFonts w:hint="cs"/>
          <w:rtl/>
        </w:rPr>
        <w:t>ביאור השער"י דברובא דל"ק נתברר הספק אף בנפשות וברובא דא"ק אינו דין ודאי לענין נפשות</w:t>
      </w:r>
      <w:bookmarkEnd w:id="8195"/>
      <w:bookmarkEnd w:id="8196"/>
      <w:bookmarkEnd w:id="8197"/>
    </w:p>
    <w:p w14:paraId="08EC5127" w14:textId="77777777" w:rsidR="009A2997" w:rsidRDefault="009A2997" w:rsidP="00223668">
      <w:pPr>
        <w:pStyle w:val="a0"/>
        <w:rPr>
          <w:rtl/>
        </w:rPr>
      </w:pPr>
      <w:r>
        <w:rPr>
          <w:rFonts w:hint="cs"/>
          <w:rtl/>
        </w:rPr>
        <w:t xml:space="preserve">וכתב </w:t>
      </w:r>
      <w:r w:rsidRPr="007B5E99">
        <w:rPr>
          <w:rStyle w:val="af9"/>
          <w:rFonts w:hint="cs"/>
          <w:rtl/>
        </w:rPr>
        <w:t>השער"י</w:t>
      </w:r>
      <w:r w:rsidRPr="007B5E99">
        <w:rPr>
          <w:rStyle w:val="af7"/>
          <w:rFonts w:eastAsia="Guttman Hodes" w:hint="cs"/>
          <w:rtl/>
        </w:rPr>
        <w:t xml:space="preserve"> (ש"ג פ"א ד"ה ובזה נלענ"ד) </w:t>
      </w:r>
      <w:r>
        <w:rPr>
          <w:rFonts w:hint="cs"/>
          <w:rtl/>
        </w:rPr>
        <w:t xml:space="preserve">דהביאור בדברי </w:t>
      </w:r>
      <w:r w:rsidRPr="00925187">
        <w:rPr>
          <w:rStyle w:val="af9"/>
          <w:rFonts w:hint="cs"/>
          <w:rtl/>
        </w:rPr>
        <w:t>הרמב"ם</w:t>
      </w:r>
      <w:r>
        <w:rPr>
          <w:rFonts w:hint="cs"/>
          <w:rtl/>
        </w:rPr>
        <w:t xml:space="preserve"> הוא דכיון שרובא דליתא קמן הוא בירור על המציאות של הספק, ובזה קיי"ל דאזלינן בדיני נפשות בתר רובא, אבל ברובא דאיתא קמן כתינוק שנמצא בעיר של רוב ישראל, שאין כל הכרעה ובירור על המציאות של הספק, אלא דכל בית מהעיר עושה צד ספק אם הוא ישראל או עכו"ם,</w:t>
      </w:r>
      <w:r w:rsidRPr="00B073B3">
        <w:rPr>
          <w:rFonts w:hint="cs"/>
          <w:rtl/>
        </w:rPr>
        <w:t xml:space="preserve"> </w:t>
      </w:r>
      <w:r>
        <w:rPr>
          <w:rFonts w:hint="cs"/>
          <w:rtl/>
        </w:rPr>
        <w:t>וילפינן מסנהדרין דיש דין לילך אחר רוב הצדדים, ולכן לענין הדינים של התינוק עצמו הוכרע שהוא ישראל, אבל ליהרג עליו,</w:t>
      </w:r>
      <w:r w:rsidRPr="00B77A7E">
        <w:rPr>
          <w:rStyle w:val="afb"/>
          <w:rFonts w:hint="cs"/>
          <w:rtl/>
        </w:rPr>
        <w:t xml:space="preserve"> [אם אחר הרגו</w:t>
      </w:r>
      <w:r>
        <w:rPr>
          <w:rStyle w:val="afb"/>
          <w:rFonts w:hint="cs"/>
          <w:rtl/>
        </w:rPr>
        <w:t>,</w:t>
      </w:r>
      <w:r w:rsidRPr="00B77A7E">
        <w:rPr>
          <w:rStyle w:val="afb"/>
          <w:rFonts w:hint="cs"/>
          <w:rtl/>
        </w:rPr>
        <w:t xml:space="preserve"> או בא על </w:t>
      </w:r>
      <w:r w:rsidRPr="00CF7617">
        <w:rPr>
          <w:rStyle w:val="afb"/>
          <w:rFonts w:hint="cs"/>
          <w:rtl/>
        </w:rPr>
        <w:t>אשתו],</w:t>
      </w:r>
      <w:r>
        <w:rPr>
          <w:rFonts w:hint="cs"/>
          <w:rtl/>
        </w:rPr>
        <w:t xml:space="preserve"> לא מהני מה שדינו כישראל דהא אין ידוע בודאי שהוא מישראל.</w:t>
      </w:r>
    </w:p>
    <w:p w14:paraId="6CF20B13" w14:textId="77777777" w:rsidR="009A2997" w:rsidRDefault="009A2997" w:rsidP="006D6D32">
      <w:pPr>
        <w:pStyle w:val="a3"/>
        <w:rPr>
          <w:rtl/>
        </w:rPr>
      </w:pPr>
      <w:bookmarkStart w:id="8198" w:name="_Toc528789785"/>
      <w:bookmarkStart w:id="8199" w:name="_Toc19390054"/>
      <w:bookmarkStart w:id="8200" w:name="_Toc19393551"/>
      <w:r>
        <w:rPr>
          <w:rFonts w:hint="cs"/>
          <w:rtl/>
        </w:rPr>
        <w:t>דברי השער"י דאף שהספק על הנפשות הוא תולדה מספק שהוכרע ברובא דא"ק מ"מ אינו כודאי</w:t>
      </w:r>
      <w:bookmarkEnd w:id="8198"/>
      <w:bookmarkEnd w:id="8199"/>
      <w:bookmarkEnd w:id="8200"/>
    </w:p>
    <w:p w14:paraId="1C9FC3CD" w14:textId="77777777" w:rsidR="009A2997" w:rsidRPr="005A6614" w:rsidRDefault="009A2997" w:rsidP="00223668">
      <w:pPr>
        <w:pStyle w:val="a0"/>
        <w:rPr>
          <w:rtl/>
        </w:rPr>
      </w:pPr>
      <w:r>
        <w:rPr>
          <w:rFonts w:hint="cs"/>
          <w:rtl/>
        </w:rPr>
        <w:t xml:space="preserve">והוסיף </w:t>
      </w:r>
      <w:r w:rsidRPr="007B5E99">
        <w:rPr>
          <w:rStyle w:val="af9"/>
          <w:rFonts w:hint="cs"/>
          <w:rtl/>
        </w:rPr>
        <w:t>השער"י</w:t>
      </w:r>
      <w:r>
        <w:rPr>
          <w:rFonts w:hint="cs"/>
          <w:rtl/>
        </w:rPr>
        <w:t xml:space="preserve"> דאף שהוכרע על התינוק שהוא ישראל, וא"כ הספק על רציחתו, הוא תולדה מהספק שכבר הוכרע עליו, מ"מ על עצם מעשה הרציחה אין רובא דאיתא קמן, שיש רוב צדדים שהוא מעשה רציחה, ודין תולדה לא מצינו ברובא דאיתא קמן, ורק על עצם הספק איתא דאזלינן בתר רוב צדדים.</w:t>
      </w:r>
    </w:p>
    <w:p w14:paraId="38275887" w14:textId="77777777" w:rsidR="009A2997" w:rsidRPr="00F0047E" w:rsidRDefault="009A2997" w:rsidP="00BF39B2">
      <w:pPr>
        <w:pStyle w:val="1"/>
        <w:rPr>
          <w:rtl/>
        </w:rPr>
      </w:pPr>
      <w:bookmarkStart w:id="8201" w:name="_Toc528615492"/>
      <w:bookmarkStart w:id="8202" w:name="_Toc528712533"/>
      <w:bookmarkStart w:id="8203" w:name="_Toc528777217"/>
      <w:bookmarkStart w:id="8204" w:name="_Toc528789786"/>
      <w:bookmarkStart w:id="8205" w:name="_Toc19390055"/>
      <w:bookmarkStart w:id="8206" w:name="_Toc19393552"/>
      <w:r w:rsidRPr="00AF474B">
        <w:rPr>
          <w:rFonts w:hint="cs"/>
          <w:rtl/>
        </w:rPr>
        <w:t xml:space="preserve">דברי הקוב"ש </w:t>
      </w:r>
      <w:bookmarkEnd w:id="8201"/>
      <w:bookmarkEnd w:id="8202"/>
      <w:bookmarkEnd w:id="8203"/>
      <w:r>
        <w:rPr>
          <w:rFonts w:hint="cs"/>
          <w:rtl/>
        </w:rPr>
        <w:t>דברובא דליתא קמן יש רק ידיעה כללית</w:t>
      </w:r>
      <w:bookmarkEnd w:id="8204"/>
      <w:bookmarkEnd w:id="8205"/>
      <w:bookmarkEnd w:id="8206"/>
    </w:p>
    <w:p w14:paraId="587C10B4" w14:textId="77777777" w:rsidR="009A2997" w:rsidRDefault="009A2997" w:rsidP="006D6D32">
      <w:pPr>
        <w:pStyle w:val="a3"/>
        <w:rPr>
          <w:rtl/>
        </w:rPr>
      </w:pPr>
      <w:bookmarkStart w:id="8207" w:name="_Toc528789787"/>
      <w:bookmarkStart w:id="8208" w:name="_Toc19390056"/>
      <w:bookmarkStart w:id="8209" w:name="_Toc19393553"/>
      <w:r>
        <w:rPr>
          <w:rFonts w:hint="cs"/>
          <w:rtl/>
        </w:rPr>
        <w:t>ביאור הקוב"ש דברובא דל"ק יש רק ידיעה כללית ואין ידיעה על הפרטים שמצטרפים לרוב</w:t>
      </w:r>
      <w:bookmarkEnd w:id="8207"/>
      <w:bookmarkEnd w:id="8208"/>
      <w:bookmarkEnd w:id="8209"/>
    </w:p>
    <w:p w14:paraId="2A99A52E" w14:textId="77777777" w:rsidR="009A2997" w:rsidRDefault="009A2997" w:rsidP="00223668">
      <w:pPr>
        <w:pStyle w:val="a0"/>
        <w:rPr>
          <w:rtl/>
        </w:rPr>
      </w:pPr>
      <w:bookmarkStart w:id="8210" w:name="_Ref528093402"/>
      <w:r>
        <w:rPr>
          <w:rFonts w:hint="cs"/>
          <w:rtl/>
        </w:rPr>
        <w:t xml:space="preserve">כתב </w:t>
      </w:r>
      <w:r w:rsidRPr="00147B59">
        <w:rPr>
          <w:rStyle w:val="af9"/>
          <w:rFonts w:hint="cs"/>
          <w:rtl/>
        </w:rPr>
        <w:t>הקוב"ש</w:t>
      </w:r>
      <w:r>
        <w:rPr>
          <w:rFonts w:hint="cs"/>
          <w:rtl/>
        </w:rPr>
        <w:t xml:space="preserve"> </w:t>
      </w:r>
      <w:r w:rsidRPr="00147B59">
        <w:rPr>
          <w:rStyle w:val="af7"/>
          <w:rFonts w:eastAsia="Guttman Hodes" w:hint="cs"/>
          <w:rtl/>
        </w:rPr>
        <w:t>(ב"ב אות פ"ג)</w:t>
      </w:r>
      <w:r>
        <w:rPr>
          <w:rFonts w:hint="cs"/>
          <w:rtl/>
        </w:rPr>
        <w:t xml:space="preserve"> </w:t>
      </w:r>
      <w:r w:rsidRPr="00867F09">
        <w:rPr>
          <w:rFonts w:hint="cs"/>
          <w:rtl/>
        </w:rPr>
        <w:t xml:space="preserve">דמדברי </w:t>
      </w:r>
      <w:r w:rsidRPr="00867F09">
        <w:rPr>
          <w:rStyle w:val="af9"/>
          <w:rFonts w:hint="cs"/>
          <w:rtl/>
        </w:rPr>
        <w:t>הש"ש</w:t>
      </w:r>
      <w:r w:rsidRPr="00867F09">
        <w:rPr>
          <w:rFonts w:hint="cs"/>
          <w:rtl/>
        </w:rPr>
        <w:t xml:space="preserve"> </w:t>
      </w:r>
      <w:r w:rsidRPr="004A59FD">
        <w:rPr>
          <w:rStyle w:val="af7"/>
          <w:rFonts w:eastAsia="Guttman Hodes" w:hint="cs"/>
          <w:rtl/>
        </w:rPr>
        <w:t xml:space="preserve">(עי' אות </w:t>
      </w:r>
      <w:r w:rsidRPr="004A59FD">
        <w:rPr>
          <w:rStyle w:val="af7"/>
          <w:rFonts w:eastAsia="Guttman Hodes"/>
          <w:rtl/>
        </w:rPr>
        <w:fldChar w:fldCharType="begin"/>
      </w:r>
      <w:r w:rsidRPr="004A59FD">
        <w:rPr>
          <w:rStyle w:val="af7"/>
          <w:rFonts w:eastAsia="Guttman Hodes"/>
          <w:rtl/>
        </w:rPr>
        <w:instrText xml:space="preserve"> </w:instrText>
      </w:r>
      <w:r w:rsidRPr="004A59FD">
        <w:rPr>
          <w:rStyle w:val="af7"/>
          <w:rFonts w:eastAsia="Guttman Hodes" w:hint="cs"/>
        </w:rPr>
        <w:instrText>REF</w:instrText>
      </w:r>
      <w:r w:rsidRPr="004A59FD">
        <w:rPr>
          <w:rStyle w:val="af7"/>
          <w:rFonts w:eastAsia="Guttman Hodes" w:hint="cs"/>
          <w:rtl/>
        </w:rPr>
        <w:instrText xml:space="preserve"> _</w:instrText>
      </w:r>
      <w:r w:rsidRPr="004A59FD">
        <w:rPr>
          <w:rStyle w:val="af7"/>
          <w:rFonts w:eastAsia="Guttman Hodes" w:hint="cs"/>
        </w:rPr>
        <w:instrText>Ref528785102 \r \h</w:instrText>
      </w:r>
      <w:r w:rsidRPr="004A59FD">
        <w:rPr>
          <w:rStyle w:val="af7"/>
          <w:rFonts w:eastAsia="Guttman Hodes"/>
          <w:rtl/>
        </w:rPr>
        <w:instrText xml:space="preserve"> </w:instrText>
      </w:r>
      <w:r w:rsidRPr="004A59FD">
        <w:rPr>
          <w:rStyle w:val="af7"/>
          <w:rFonts w:eastAsia="Guttman Hodes"/>
          <w:rtl/>
        </w:rPr>
      </w:r>
      <w:r w:rsidRPr="004A59FD">
        <w:rPr>
          <w:rStyle w:val="af7"/>
          <w:rFonts w:eastAsia="Guttman Hodes"/>
          <w:rtl/>
        </w:rPr>
        <w:fldChar w:fldCharType="separate"/>
      </w:r>
      <w:r w:rsidR="00345400">
        <w:rPr>
          <w:rStyle w:val="af7"/>
          <w:rFonts w:eastAsia="Guttman Hodes"/>
          <w:cs/>
        </w:rPr>
        <w:t>‎</w:t>
      </w:r>
      <w:r w:rsidR="00345400">
        <w:rPr>
          <w:rStyle w:val="af7"/>
          <w:rFonts w:eastAsia="Guttman Hodes"/>
          <w:rtl/>
        </w:rPr>
        <w:t>מט)</w:t>
      </w:r>
      <w:r w:rsidRPr="004A59FD">
        <w:rPr>
          <w:rStyle w:val="af7"/>
          <w:rFonts w:eastAsia="Guttman Hodes"/>
          <w:rtl/>
        </w:rPr>
        <w:fldChar w:fldCharType="end"/>
      </w:r>
      <w:r>
        <w:rPr>
          <w:rFonts w:hint="cs"/>
          <w:rtl/>
        </w:rPr>
        <w:t xml:space="preserve"> </w:t>
      </w:r>
      <w:r w:rsidRPr="00867F09">
        <w:rPr>
          <w:rFonts w:hint="cs"/>
          <w:rtl/>
        </w:rPr>
        <w:t xml:space="preserve">משמע דהחילוק בין דבר שהוא ברובא דאיתא קמן לרובא דליתא קמן, הוא בדבר שהרוב לפנינו, וכתב </w:t>
      </w:r>
      <w:r w:rsidRPr="00867F09">
        <w:rPr>
          <w:rStyle w:val="af9"/>
          <w:rFonts w:hint="cs"/>
          <w:rtl/>
        </w:rPr>
        <w:t>הקוב"ש</w:t>
      </w:r>
      <w:r w:rsidRPr="00867F09">
        <w:rPr>
          <w:rFonts w:hint="cs"/>
          <w:rtl/>
        </w:rPr>
        <w:t xml:space="preserve"> דאפשר לבאר</w:t>
      </w:r>
      <w:r>
        <w:rPr>
          <w:rFonts w:hint="cs"/>
          <w:rtl/>
        </w:rPr>
        <w:t xml:space="preserve"> באופן אחר, דברובא דאיתא קמן אנו יודעים מי הם כל הפרטים שמצטרפים לרוב, וברובא דליתא קמן, אנו יודעים רק שהכלל הוא כמו הרוב, אך אין אנו יודעים על הפרטים, כגון רוב בהמות כשרות, שיש לנו בזה רק ידיעה כללית, וממנה דנים על כל בהמה בפנ"ע שהיא מהרוב, אך אין לנו ידיעה בפרטים שמצטרפים לרוב, דעל כל בהמה בפנ"ע אפש"ל שהיא טריפה.</w:t>
      </w:r>
      <w:bookmarkEnd w:id="8210"/>
    </w:p>
    <w:p w14:paraId="63629CBE" w14:textId="77777777" w:rsidR="009A2997" w:rsidRPr="00DF669E" w:rsidRDefault="009A2997" w:rsidP="00BF39B2">
      <w:pPr>
        <w:pStyle w:val="1"/>
        <w:rPr>
          <w:rtl/>
        </w:rPr>
      </w:pPr>
      <w:bookmarkStart w:id="8211" w:name="_Toc528615493"/>
      <w:bookmarkStart w:id="8212" w:name="_Toc528712534"/>
      <w:bookmarkStart w:id="8213" w:name="_Toc528777218"/>
      <w:bookmarkStart w:id="8214" w:name="_Toc528789788"/>
      <w:bookmarkStart w:id="8215" w:name="_Toc19390057"/>
      <w:bookmarkStart w:id="8216" w:name="_Toc19393554"/>
      <w:r>
        <w:rPr>
          <w:rFonts w:hint="cs"/>
          <w:rtl/>
        </w:rPr>
        <w:t>קושית הגר"ח דיועיל רובא דליתא מדין רובא דאיתא</w:t>
      </w:r>
      <w:bookmarkEnd w:id="8211"/>
      <w:bookmarkEnd w:id="8212"/>
      <w:bookmarkEnd w:id="8213"/>
      <w:bookmarkEnd w:id="8214"/>
      <w:bookmarkEnd w:id="8215"/>
      <w:bookmarkEnd w:id="8216"/>
    </w:p>
    <w:p w14:paraId="5924065B" w14:textId="77777777" w:rsidR="009A2997" w:rsidRDefault="009A2997" w:rsidP="006D6D32">
      <w:pPr>
        <w:pStyle w:val="a3"/>
        <w:rPr>
          <w:rtl/>
        </w:rPr>
      </w:pPr>
      <w:bookmarkStart w:id="8217" w:name="_Toc528789789"/>
      <w:bookmarkStart w:id="8218" w:name="_Toc19390058"/>
      <w:bookmarkStart w:id="8219" w:name="_Toc19393555"/>
      <w:r>
        <w:rPr>
          <w:rFonts w:hint="cs"/>
          <w:rtl/>
        </w:rPr>
        <w:t>קושית הגר"ח דנילף מרובא דא"ק דברובא דל"ק נימא כל דפריש כרובא דא"ק</w:t>
      </w:r>
      <w:bookmarkEnd w:id="8217"/>
      <w:bookmarkEnd w:id="8218"/>
      <w:bookmarkEnd w:id="8219"/>
    </w:p>
    <w:p w14:paraId="5614A906" w14:textId="77777777" w:rsidR="009A2997" w:rsidRDefault="009A2997" w:rsidP="00223668">
      <w:pPr>
        <w:pStyle w:val="a0"/>
        <w:rPr>
          <w:rtl/>
        </w:rPr>
      </w:pPr>
      <w:bookmarkStart w:id="8220" w:name="_Ref529876477"/>
      <w:r>
        <w:rPr>
          <w:rFonts w:hint="cs"/>
          <w:rtl/>
        </w:rPr>
        <w:t xml:space="preserve">והביא </w:t>
      </w:r>
      <w:r w:rsidRPr="00B9752F">
        <w:rPr>
          <w:rStyle w:val="af9"/>
          <w:rFonts w:hint="cs"/>
          <w:rtl/>
        </w:rPr>
        <w:t>בקוב"ש</w:t>
      </w:r>
      <w:r>
        <w:rPr>
          <w:rFonts w:hint="cs"/>
          <w:rtl/>
        </w:rPr>
        <w:t xml:space="preserve"> </w:t>
      </w:r>
      <w:r w:rsidRPr="00B9752F">
        <w:rPr>
          <w:rStyle w:val="af7"/>
          <w:rFonts w:eastAsia="Guttman Hodes" w:hint="cs"/>
          <w:rtl/>
        </w:rPr>
        <w:t>(ב"ב אות פ"ד)</w:t>
      </w:r>
      <w:r>
        <w:rPr>
          <w:rFonts w:hint="cs"/>
          <w:rtl/>
        </w:rPr>
        <w:t xml:space="preserve"> בשם </w:t>
      </w:r>
      <w:r w:rsidRPr="00B9752F">
        <w:rPr>
          <w:rStyle w:val="af9"/>
          <w:rFonts w:hint="cs"/>
          <w:rtl/>
        </w:rPr>
        <w:t>הגר"ח</w:t>
      </w:r>
      <w:r>
        <w:rPr>
          <w:rFonts w:hint="cs"/>
          <w:rtl/>
        </w:rPr>
        <w:t xml:space="preserve"> דהקשה דאף אי לא ילפינן את רובא דליתא קמן מרובא דאיתא קמן שהוא רוב מיוחד, מ"מ שיועיל רובא דליתא כמו רובא דאיתא, ונאמר דכל דפריש מרובא פריש, ועי' בדברי </w:t>
      </w:r>
      <w:r w:rsidRPr="003B128E">
        <w:rPr>
          <w:rStyle w:val="af9"/>
          <w:rFonts w:hint="cs"/>
          <w:rtl/>
        </w:rPr>
        <w:t>החזו"א</w:t>
      </w:r>
      <w:r>
        <w:rPr>
          <w:rFonts w:hint="cs"/>
          <w:rtl/>
        </w:rPr>
        <w:t xml:space="preserve"> </w:t>
      </w:r>
      <w:r w:rsidRPr="003B128E">
        <w:rPr>
          <w:rStyle w:val="af7"/>
          <w:rFonts w:eastAsia="Guttman Hodes" w:hint="cs"/>
          <w:rtl/>
        </w:rPr>
        <w:t xml:space="preserve">(עי' אות </w:t>
      </w:r>
      <w:r w:rsidRPr="003B128E">
        <w:rPr>
          <w:rStyle w:val="af7"/>
          <w:rFonts w:eastAsia="Guttman Hodes"/>
          <w:rtl/>
        </w:rPr>
        <w:fldChar w:fldCharType="begin"/>
      </w:r>
      <w:r w:rsidRPr="003B128E">
        <w:rPr>
          <w:rStyle w:val="af7"/>
          <w:rFonts w:eastAsia="Guttman Hodes"/>
          <w:rtl/>
        </w:rPr>
        <w:instrText xml:space="preserve"> </w:instrText>
      </w:r>
      <w:r w:rsidRPr="003B128E">
        <w:rPr>
          <w:rStyle w:val="af7"/>
          <w:rFonts w:eastAsia="Guttman Hodes" w:hint="cs"/>
        </w:rPr>
        <w:instrText>REF</w:instrText>
      </w:r>
      <w:r w:rsidRPr="003B128E">
        <w:rPr>
          <w:rStyle w:val="af7"/>
          <w:rFonts w:eastAsia="Guttman Hodes" w:hint="cs"/>
          <w:rtl/>
        </w:rPr>
        <w:instrText xml:space="preserve"> _</w:instrText>
      </w:r>
      <w:r w:rsidRPr="003B128E">
        <w:rPr>
          <w:rStyle w:val="af7"/>
          <w:rFonts w:eastAsia="Guttman Hodes" w:hint="cs"/>
        </w:rPr>
        <w:instrText>Ref529876532 \r \h</w:instrText>
      </w:r>
      <w:r w:rsidRPr="003B128E">
        <w:rPr>
          <w:rStyle w:val="af7"/>
          <w:rFonts w:eastAsia="Guttman Hodes"/>
          <w:rtl/>
        </w:rPr>
        <w:instrText xml:space="preserve"> </w:instrText>
      </w:r>
      <w:r w:rsidRPr="003B128E">
        <w:rPr>
          <w:rStyle w:val="af7"/>
          <w:rFonts w:eastAsia="Guttman Hodes"/>
          <w:rtl/>
        </w:rPr>
      </w:r>
      <w:r w:rsidRPr="003B128E">
        <w:rPr>
          <w:rStyle w:val="af7"/>
          <w:rFonts w:eastAsia="Guttman Hodes"/>
          <w:rtl/>
        </w:rPr>
        <w:fldChar w:fldCharType="separate"/>
      </w:r>
      <w:r w:rsidR="00345400">
        <w:rPr>
          <w:rStyle w:val="af7"/>
          <w:rFonts w:eastAsia="Guttman Hodes"/>
          <w:cs/>
        </w:rPr>
        <w:t>‎</w:t>
      </w:r>
      <w:r w:rsidR="00345400">
        <w:rPr>
          <w:rStyle w:val="af7"/>
          <w:rFonts w:eastAsia="Guttman Hodes"/>
          <w:rtl/>
        </w:rPr>
        <w:t>סד)</w:t>
      </w:r>
      <w:r w:rsidRPr="003B128E">
        <w:rPr>
          <w:rStyle w:val="af7"/>
          <w:rFonts w:eastAsia="Guttman Hodes"/>
          <w:rtl/>
        </w:rPr>
        <w:fldChar w:fldCharType="end"/>
      </w:r>
      <w:r>
        <w:rPr>
          <w:rFonts w:hint="cs"/>
          <w:rtl/>
        </w:rPr>
        <w:t>.</w:t>
      </w:r>
      <w:bookmarkEnd w:id="8220"/>
    </w:p>
    <w:p w14:paraId="71A52E75" w14:textId="77777777" w:rsidR="009A2997" w:rsidRDefault="009A2997" w:rsidP="006D6D32">
      <w:pPr>
        <w:pStyle w:val="a3"/>
        <w:rPr>
          <w:rtl/>
        </w:rPr>
      </w:pPr>
      <w:bookmarkStart w:id="8221" w:name="_Toc528789790"/>
      <w:bookmarkStart w:id="8222" w:name="_Toc19390059"/>
      <w:bookmarkStart w:id="8223" w:name="_Toc19393556"/>
      <w:r>
        <w:rPr>
          <w:rFonts w:hint="cs"/>
          <w:rtl/>
        </w:rPr>
        <w:t>ביאור הגרש"ר בקושית הגר"ח דאף דרובא דא"ק הוא מסברא אפשר לתלות שפירש מהרוב</w:t>
      </w:r>
      <w:bookmarkEnd w:id="8221"/>
      <w:bookmarkEnd w:id="8222"/>
      <w:bookmarkEnd w:id="8223"/>
    </w:p>
    <w:p w14:paraId="68F43231" w14:textId="77777777" w:rsidR="009A2997" w:rsidRDefault="009A2997" w:rsidP="00223668">
      <w:pPr>
        <w:pStyle w:val="a0"/>
        <w:rPr>
          <w:rtl/>
        </w:rPr>
      </w:pPr>
      <w:bookmarkStart w:id="8224" w:name="_Ref528785540"/>
      <w:r w:rsidRPr="005215DA">
        <w:rPr>
          <w:rStyle w:val="af9"/>
          <w:rFonts w:hint="cs"/>
          <w:rtl/>
        </w:rPr>
        <w:t>ובשיעורי הגרש"ר</w:t>
      </w:r>
      <w:r>
        <w:rPr>
          <w:rFonts w:hint="cs"/>
          <w:rtl/>
        </w:rPr>
        <w:t xml:space="preserve"> </w:t>
      </w:r>
      <w:r w:rsidRPr="005215DA">
        <w:rPr>
          <w:rStyle w:val="af7"/>
          <w:rFonts w:eastAsia="Guttman Hodes" w:hint="cs"/>
          <w:rtl/>
        </w:rPr>
        <w:t>(סנהדרין סט. אות ס"ז ד"ה וגדר)</w:t>
      </w:r>
      <w:r>
        <w:rPr>
          <w:rFonts w:hint="cs"/>
          <w:rtl/>
        </w:rPr>
        <w:t xml:space="preserve"> ביאר את קושית </w:t>
      </w:r>
      <w:r w:rsidRPr="005215DA">
        <w:rPr>
          <w:rStyle w:val="af9"/>
          <w:rFonts w:hint="cs"/>
          <w:rtl/>
        </w:rPr>
        <w:t>הגר"ח</w:t>
      </w:r>
      <w:r>
        <w:rPr>
          <w:rFonts w:hint="cs"/>
          <w:rtl/>
        </w:rPr>
        <w:t xml:space="preserve"> דאף דרובא </w:t>
      </w:r>
      <w:r w:rsidRPr="00A448A7">
        <w:rPr>
          <w:rFonts w:hint="cs"/>
          <w:rtl/>
        </w:rPr>
        <w:t xml:space="preserve">דליתא קמן ביאר </w:t>
      </w:r>
      <w:r w:rsidRPr="00A448A7">
        <w:rPr>
          <w:rStyle w:val="af9"/>
          <w:rFonts w:hint="cs"/>
          <w:rtl/>
        </w:rPr>
        <w:t>הש"ש</w:t>
      </w:r>
      <w:r w:rsidRPr="00A448A7">
        <w:rPr>
          <w:rFonts w:hint="cs"/>
          <w:rtl/>
        </w:rPr>
        <w:t xml:space="preserve"> </w:t>
      </w:r>
      <w:r w:rsidRPr="00A448A7">
        <w:rPr>
          <w:rStyle w:val="af7"/>
          <w:rFonts w:eastAsia="Guttman Hodes" w:hint="cs"/>
          <w:rtl/>
        </w:rPr>
        <w:t xml:space="preserve">(עי' אות </w:t>
      </w:r>
      <w:r w:rsidRPr="00A448A7">
        <w:rPr>
          <w:rStyle w:val="af7"/>
          <w:rFonts w:eastAsia="Guttman Hodes"/>
          <w:rtl/>
        </w:rPr>
        <w:fldChar w:fldCharType="begin"/>
      </w:r>
      <w:r w:rsidRPr="00A448A7">
        <w:rPr>
          <w:rStyle w:val="af7"/>
          <w:rFonts w:eastAsia="Guttman Hodes"/>
          <w:rtl/>
        </w:rPr>
        <w:instrText xml:space="preserve"> </w:instrText>
      </w:r>
      <w:r w:rsidRPr="00A448A7">
        <w:rPr>
          <w:rStyle w:val="af7"/>
          <w:rFonts w:eastAsia="Guttman Hodes" w:hint="cs"/>
        </w:rPr>
        <w:instrText>REF</w:instrText>
      </w:r>
      <w:r w:rsidRPr="00A448A7">
        <w:rPr>
          <w:rStyle w:val="af7"/>
          <w:rFonts w:eastAsia="Guttman Hodes" w:hint="cs"/>
          <w:rtl/>
        </w:rPr>
        <w:instrText xml:space="preserve"> _</w:instrText>
      </w:r>
      <w:r w:rsidRPr="00A448A7">
        <w:rPr>
          <w:rStyle w:val="af7"/>
          <w:rFonts w:eastAsia="Guttman Hodes" w:hint="cs"/>
        </w:rPr>
        <w:instrText>Ref528785445 \r \h</w:instrText>
      </w:r>
      <w:r w:rsidRPr="00A448A7">
        <w:rPr>
          <w:rStyle w:val="af7"/>
          <w:rFonts w:eastAsia="Guttman Hodes"/>
          <w:rtl/>
        </w:rPr>
        <w:instrText xml:space="preserve"> </w:instrText>
      </w:r>
      <w:r w:rsidRPr="00A448A7">
        <w:rPr>
          <w:rStyle w:val="af7"/>
          <w:rFonts w:eastAsia="Guttman Hodes"/>
          <w:rtl/>
        </w:rPr>
      </w:r>
      <w:r w:rsidRPr="00A448A7">
        <w:rPr>
          <w:rStyle w:val="af7"/>
          <w:rFonts w:eastAsia="Guttman Hodes"/>
          <w:rtl/>
        </w:rPr>
        <w:fldChar w:fldCharType="separate"/>
      </w:r>
      <w:r w:rsidR="00345400">
        <w:rPr>
          <w:rStyle w:val="af7"/>
          <w:rFonts w:eastAsia="Guttman Hodes"/>
          <w:cs/>
        </w:rPr>
        <w:t>‎</w:t>
      </w:r>
      <w:r w:rsidR="00345400">
        <w:rPr>
          <w:rStyle w:val="af7"/>
          <w:rFonts w:eastAsia="Guttman Hodes"/>
          <w:rtl/>
        </w:rPr>
        <w:t>מז)</w:t>
      </w:r>
      <w:r w:rsidRPr="00A448A7">
        <w:rPr>
          <w:rStyle w:val="af7"/>
          <w:rFonts w:eastAsia="Guttman Hodes"/>
          <w:rtl/>
        </w:rPr>
        <w:fldChar w:fldCharType="end"/>
      </w:r>
      <w:r w:rsidRPr="00A448A7">
        <w:rPr>
          <w:rFonts w:hint="cs"/>
          <w:rtl/>
        </w:rPr>
        <w:t xml:space="preserve"> שהוא רוב בטבע, ומסברא יש בו בירור, ואילו רובא דאיתא קמן הוא גזיה"כ ואינו מסברא, והם ב' סוגים</w:t>
      </w:r>
      <w:r>
        <w:rPr>
          <w:rFonts w:hint="cs"/>
          <w:rtl/>
        </w:rPr>
        <w:t xml:space="preserve"> שונים של רוב. מ"מ קשה דאף אם לא מצינו דאזלינן בתר רוב מחמת שהוא רוב בטבע, ויש סברא ללכת אחר הרוב, עדיין אפשר לתלות שהבהמה הזו היא מתוך רוב הבהמות שבעולם, ומה הנ"מ אם הרוב נספר לפנינו כמו ט' חנויות, או שאינו נספר לפנינו, אך ידוע לנו בודאות שיש רוב במהות שלימות בעולם, ואפש"ל בו כל דפריש מרובא פריש.</w:t>
      </w:r>
      <w:bookmarkEnd w:id="8224"/>
    </w:p>
    <w:p w14:paraId="7B366D05" w14:textId="77777777" w:rsidR="009A2997" w:rsidRDefault="009A2997" w:rsidP="006D6D32">
      <w:pPr>
        <w:pStyle w:val="a3"/>
        <w:rPr>
          <w:rtl/>
        </w:rPr>
      </w:pPr>
      <w:bookmarkStart w:id="8225" w:name="_Toc528789791"/>
      <w:bookmarkStart w:id="8226" w:name="_Toc19390060"/>
      <w:bookmarkStart w:id="8227" w:name="_Toc19393557"/>
      <w:r>
        <w:rPr>
          <w:rFonts w:hint="cs"/>
          <w:rtl/>
        </w:rPr>
        <w:t>דברי הקוב"ש דמשמע להו"א בגמ' ברובא דל"ק אין אף את דינא דכל דפריש</w:t>
      </w:r>
      <w:bookmarkEnd w:id="8225"/>
      <w:bookmarkEnd w:id="8226"/>
      <w:bookmarkEnd w:id="8227"/>
    </w:p>
    <w:p w14:paraId="7201563E" w14:textId="77777777" w:rsidR="009A2997" w:rsidRDefault="009A2997" w:rsidP="00223668">
      <w:pPr>
        <w:pStyle w:val="a0"/>
        <w:rPr>
          <w:rtl/>
        </w:rPr>
      </w:pPr>
      <w:r>
        <w:rPr>
          <w:rFonts w:hint="cs"/>
          <w:rtl/>
        </w:rPr>
        <w:t xml:space="preserve">וכתב </w:t>
      </w:r>
      <w:r w:rsidRPr="00E312FC">
        <w:rPr>
          <w:rStyle w:val="af9"/>
          <w:rFonts w:hint="cs"/>
          <w:rtl/>
        </w:rPr>
        <w:t>הקוב"ש</w:t>
      </w:r>
      <w:r>
        <w:rPr>
          <w:rFonts w:hint="cs"/>
          <w:rtl/>
        </w:rPr>
        <w:t xml:space="preserve"> </w:t>
      </w:r>
      <w:r w:rsidRPr="00B9752F">
        <w:rPr>
          <w:rStyle w:val="af7"/>
          <w:rFonts w:eastAsia="Guttman Hodes" w:hint="cs"/>
          <w:rtl/>
        </w:rPr>
        <w:t>(ב"ב אות פ"ד)</w:t>
      </w:r>
      <w:r>
        <w:rPr>
          <w:rFonts w:hint="cs"/>
          <w:rtl/>
        </w:rPr>
        <w:t xml:space="preserve"> דהיה אפש"ל דבאמת אפשר ללמוד דרובא דליתא קמן יועיל מדין כל דפריש, אלא דהגמ' רצתה ללמוד שיש דין בפנ"ע ברובא דליתא קמן, ואינו מדין כל דפריש, ונ"מ דמהני בקבוע, אך דחה </w:t>
      </w:r>
      <w:r w:rsidRPr="00B9752F">
        <w:rPr>
          <w:rStyle w:val="af9"/>
          <w:rFonts w:hint="cs"/>
          <w:rtl/>
        </w:rPr>
        <w:t>הקוב"ש</w:t>
      </w:r>
      <w:r>
        <w:rPr>
          <w:rFonts w:hint="cs"/>
          <w:rtl/>
        </w:rPr>
        <w:t xml:space="preserve"> דמשמעות סוגיין היא, דלהו"א ברובא דליתא קמן לא אזלינן בתר הרוב כלל, דאי מהני מדין כל דפריש הייתה הגמ' יכולה לדחות את כל הראיות דאזלינן בהו בתר רובא מדין כל דפריש, ולכן לא חיישינן דהבהמה היא טריפה וכו'.</w:t>
      </w:r>
    </w:p>
    <w:p w14:paraId="38568B6D" w14:textId="77777777" w:rsidR="009A2997" w:rsidRDefault="009A2997" w:rsidP="00BF39B2">
      <w:pPr>
        <w:pStyle w:val="1"/>
        <w:rPr>
          <w:rtl/>
        </w:rPr>
      </w:pPr>
      <w:bookmarkStart w:id="8228" w:name="_Toc528789792"/>
      <w:bookmarkStart w:id="8229" w:name="_Toc19390061"/>
      <w:bookmarkStart w:id="8230" w:name="_Toc19393558"/>
      <w:r>
        <w:rPr>
          <w:rFonts w:hint="cs"/>
          <w:rtl/>
        </w:rPr>
        <w:t>תירוצי הקוב"ש והגרש"ר דברובא דל"ק לא שייך כל דפריש</w:t>
      </w:r>
      <w:bookmarkEnd w:id="8228"/>
      <w:bookmarkEnd w:id="8229"/>
      <w:bookmarkEnd w:id="8230"/>
    </w:p>
    <w:p w14:paraId="6B2F94A9" w14:textId="77777777" w:rsidR="009A2997" w:rsidRPr="00B9752F" w:rsidRDefault="009A2997" w:rsidP="006D6D32">
      <w:pPr>
        <w:pStyle w:val="a3"/>
      </w:pPr>
      <w:bookmarkStart w:id="8231" w:name="_Toc528789793"/>
      <w:bookmarkStart w:id="8232" w:name="_Toc19390062"/>
      <w:bookmarkStart w:id="8233" w:name="_Toc19393559"/>
      <w:r>
        <w:rPr>
          <w:rFonts w:hint="cs"/>
          <w:rtl/>
        </w:rPr>
        <w:t>תירוץ הקוב"ש דברובא דל"ק אין ידיעה על הפרטים וא"א לומר שפירש מהם</w:t>
      </w:r>
      <w:bookmarkEnd w:id="8231"/>
      <w:bookmarkEnd w:id="8232"/>
      <w:bookmarkEnd w:id="8233"/>
    </w:p>
    <w:p w14:paraId="1B66FCDA" w14:textId="77777777" w:rsidR="009A2997" w:rsidRPr="00477D43" w:rsidRDefault="009A2997" w:rsidP="00223668">
      <w:pPr>
        <w:pStyle w:val="a0"/>
        <w:rPr>
          <w:rStyle w:val="afb"/>
          <w:rtl/>
        </w:rPr>
      </w:pPr>
      <w:r>
        <w:rPr>
          <w:rFonts w:hint="cs"/>
          <w:rtl/>
        </w:rPr>
        <w:t xml:space="preserve">ותירץ </w:t>
      </w:r>
      <w:r w:rsidRPr="00B9752F">
        <w:rPr>
          <w:rStyle w:val="af9"/>
          <w:rFonts w:hint="cs"/>
          <w:rtl/>
        </w:rPr>
        <w:t>הקוב"ש</w:t>
      </w:r>
      <w:r>
        <w:rPr>
          <w:rFonts w:hint="cs"/>
          <w:rtl/>
        </w:rPr>
        <w:t xml:space="preserve"> עפ"י ביאורו </w:t>
      </w:r>
      <w:r w:rsidRPr="00B9752F">
        <w:rPr>
          <w:rStyle w:val="af7"/>
          <w:rFonts w:eastAsia="Guttman Hodes" w:hint="cs"/>
          <w:rtl/>
        </w:rPr>
        <w:t xml:space="preserve">(עי' אות </w:t>
      </w:r>
      <w:r w:rsidRPr="00B9752F">
        <w:rPr>
          <w:rStyle w:val="af7"/>
          <w:rFonts w:eastAsia="Guttman Hodes"/>
          <w:rtl/>
        </w:rPr>
        <w:fldChar w:fldCharType="begin"/>
      </w:r>
      <w:r w:rsidRPr="00B9752F">
        <w:rPr>
          <w:rStyle w:val="af7"/>
          <w:rFonts w:eastAsia="Guttman Hodes"/>
          <w:rtl/>
        </w:rPr>
        <w:instrText xml:space="preserve"> </w:instrText>
      </w:r>
      <w:r w:rsidRPr="00B9752F">
        <w:rPr>
          <w:rStyle w:val="af7"/>
          <w:rFonts w:eastAsia="Guttman Hodes" w:hint="cs"/>
        </w:rPr>
        <w:instrText>REF</w:instrText>
      </w:r>
      <w:r w:rsidRPr="00B9752F">
        <w:rPr>
          <w:rStyle w:val="af7"/>
          <w:rFonts w:eastAsia="Guttman Hodes" w:hint="cs"/>
          <w:rtl/>
        </w:rPr>
        <w:instrText xml:space="preserve"> _</w:instrText>
      </w:r>
      <w:r w:rsidRPr="00B9752F">
        <w:rPr>
          <w:rStyle w:val="af7"/>
          <w:rFonts w:eastAsia="Guttman Hodes" w:hint="cs"/>
        </w:rPr>
        <w:instrText>Ref528093402 \r \h</w:instrText>
      </w:r>
      <w:r w:rsidRPr="00B9752F">
        <w:rPr>
          <w:rStyle w:val="af7"/>
          <w:rFonts w:eastAsia="Guttman Hodes"/>
          <w:rtl/>
        </w:rPr>
        <w:instrText xml:space="preserve"> </w:instrText>
      </w:r>
      <w:r w:rsidRPr="00B9752F">
        <w:rPr>
          <w:rStyle w:val="af7"/>
          <w:rFonts w:eastAsia="Guttman Hodes"/>
          <w:rtl/>
        </w:rPr>
      </w:r>
      <w:r w:rsidRPr="00B9752F">
        <w:rPr>
          <w:rStyle w:val="af7"/>
          <w:rFonts w:eastAsia="Guttman Hodes"/>
          <w:rtl/>
        </w:rPr>
        <w:fldChar w:fldCharType="separate"/>
      </w:r>
      <w:r w:rsidR="00345400">
        <w:rPr>
          <w:rStyle w:val="af7"/>
          <w:rFonts w:eastAsia="Guttman Hodes"/>
          <w:cs/>
        </w:rPr>
        <w:t>‎</w:t>
      </w:r>
      <w:r w:rsidR="00345400">
        <w:rPr>
          <w:rStyle w:val="af7"/>
          <w:rFonts w:eastAsia="Guttman Hodes"/>
          <w:rtl/>
        </w:rPr>
        <w:t>קד)</w:t>
      </w:r>
      <w:r w:rsidRPr="00B9752F">
        <w:rPr>
          <w:rStyle w:val="af7"/>
          <w:rFonts w:eastAsia="Guttman Hodes"/>
          <w:rtl/>
        </w:rPr>
        <w:fldChar w:fldCharType="end"/>
      </w:r>
      <w:r>
        <w:rPr>
          <w:rFonts w:hint="cs"/>
          <w:rtl/>
        </w:rPr>
        <w:t xml:space="preserve"> דרובא דליתא קמן היינו כשאין לנו ידיעה בפרטי הרוב על כ"א מהם בפנ"ע, וא"כ ודאי דלהו"א לא אזלינן בתר הרוב כלל, דלא שייך לומר בו כל דפריש, דהא אין לנו ידיעה על כל פרט בפנ"ע. </w:t>
      </w:r>
      <w:r w:rsidRPr="00477D43">
        <w:rPr>
          <w:rStyle w:val="afb"/>
          <w:rFonts w:hint="cs"/>
          <w:rtl/>
        </w:rPr>
        <w:t>[וא"א לומר שפירש מהפרטים שמצטרפים לרוב, דאין אנו יודעים מי הם].</w:t>
      </w:r>
    </w:p>
    <w:p w14:paraId="58FEE892" w14:textId="77777777" w:rsidR="009A2997" w:rsidRDefault="009A2997" w:rsidP="006D6D32">
      <w:pPr>
        <w:pStyle w:val="a3"/>
        <w:rPr>
          <w:rtl/>
        </w:rPr>
      </w:pPr>
      <w:bookmarkStart w:id="8234" w:name="_Toc528789794"/>
      <w:bookmarkStart w:id="8235" w:name="_Toc19390063"/>
      <w:bookmarkStart w:id="8236" w:name="_Toc19393560"/>
      <w:r>
        <w:rPr>
          <w:rFonts w:hint="cs"/>
          <w:rtl/>
        </w:rPr>
        <w:t>תירוץ הגרש"ר דברובא דל"ק הספק לא נולד מהרוב והמיעוט וא"א לומר שפירש מהם</w:t>
      </w:r>
      <w:bookmarkEnd w:id="8234"/>
      <w:bookmarkEnd w:id="8235"/>
      <w:bookmarkEnd w:id="8236"/>
    </w:p>
    <w:p w14:paraId="462D1DC7" w14:textId="77777777" w:rsidR="009A2997" w:rsidRDefault="009A2997" w:rsidP="00223668">
      <w:pPr>
        <w:pStyle w:val="a0"/>
        <w:rPr>
          <w:rtl/>
        </w:rPr>
      </w:pPr>
      <w:r w:rsidRPr="002B16FD">
        <w:rPr>
          <w:rStyle w:val="af9"/>
          <w:rFonts w:hint="cs"/>
          <w:rtl/>
        </w:rPr>
        <w:t>ובשיעורי הגרש"ר</w:t>
      </w:r>
      <w:r>
        <w:rPr>
          <w:rFonts w:hint="cs"/>
          <w:rtl/>
        </w:rPr>
        <w:t xml:space="preserve"> </w:t>
      </w:r>
      <w:r w:rsidRPr="002B16FD">
        <w:rPr>
          <w:rStyle w:val="af7"/>
          <w:rFonts w:eastAsia="Guttman Hodes" w:hint="cs"/>
          <w:rtl/>
        </w:rPr>
        <w:t xml:space="preserve">(סנהדרין סט. אות ס"ז ד"ה ובאמת) </w:t>
      </w:r>
      <w:r>
        <w:rPr>
          <w:rFonts w:hint="cs"/>
          <w:rtl/>
        </w:rPr>
        <w:t xml:space="preserve">תירץ דבט' חנויות ברור שהחתיכה היא מאחת מהחנויות, והספק הוא אם באה מהכשרות או מהטריפה, וא"כ הספק הוא מאיזה חנות באה החתיכה, ובזה אמרינן דכל דפריש מרובא פריש, אבל ברובא דליתא קמן כגון בהמה שהיא ספק טריפה, הספק הוא בבהמה שלפנינו, אם היא מהרוב או מהמיעוט, ואינו נולד מתוך שאר הבהמות שבעולם, והרוב והמיעוט שבעולם אינן גורמים את הספק בה עצמה, אלא הם מלמדים שכן הוא הטבע בעולם, ולכן לא שייך לומר בזה כל דפריש מרובא פריש, דהבהמה לא פירשה כלל לא מהרוב ולא מהמיעוט, וכתב </w:t>
      </w:r>
      <w:r w:rsidRPr="002B16FD">
        <w:rPr>
          <w:rStyle w:val="af9"/>
          <w:rFonts w:hint="cs"/>
          <w:rtl/>
        </w:rPr>
        <w:t>הגרש"ר</w:t>
      </w:r>
      <w:r>
        <w:rPr>
          <w:rFonts w:hint="cs"/>
          <w:rtl/>
        </w:rPr>
        <w:t xml:space="preserve"> שזהו הגדר ברובא דליתא קמן.</w:t>
      </w:r>
    </w:p>
    <w:p w14:paraId="4BDC34FB" w14:textId="77777777" w:rsidR="009A2997" w:rsidRPr="003D38BC" w:rsidRDefault="009A2997" w:rsidP="00BF39B2">
      <w:pPr>
        <w:pStyle w:val="1"/>
        <w:rPr>
          <w:rtl/>
        </w:rPr>
      </w:pPr>
      <w:bookmarkStart w:id="8237" w:name="_Toc528789795"/>
      <w:bookmarkStart w:id="8238" w:name="_Toc19390064"/>
      <w:bookmarkStart w:id="8239" w:name="_Toc19393561"/>
      <w:r>
        <w:rPr>
          <w:rFonts w:hint="cs"/>
          <w:rtl/>
        </w:rPr>
        <w:t>דברי הקוב"ש דרובא דל"ק הוא אף כשיש רק בהמה אחת</w:t>
      </w:r>
      <w:bookmarkEnd w:id="8237"/>
      <w:bookmarkEnd w:id="8238"/>
      <w:bookmarkEnd w:id="8239"/>
      <w:r>
        <w:rPr>
          <w:rFonts w:hint="cs"/>
          <w:rtl/>
        </w:rPr>
        <w:t xml:space="preserve"> </w:t>
      </w:r>
    </w:p>
    <w:p w14:paraId="59E96B48" w14:textId="77777777" w:rsidR="009A2997" w:rsidRDefault="009A2997" w:rsidP="006D6D32">
      <w:pPr>
        <w:pStyle w:val="a3"/>
        <w:rPr>
          <w:rtl/>
        </w:rPr>
      </w:pPr>
      <w:bookmarkStart w:id="8240" w:name="_Toc528789796"/>
      <w:bookmarkStart w:id="8241" w:name="_Toc19390065"/>
      <w:bookmarkStart w:id="8242" w:name="_Toc19393562"/>
      <w:r>
        <w:rPr>
          <w:rFonts w:hint="cs"/>
          <w:rtl/>
        </w:rPr>
        <w:t>דברי הקוב"ש דרובא דל"ק הוא אף כשאין רוב לפנינו ורובא דא"ק הוא רק ברוב לפנינו</w:t>
      </w:r>
      <w:bookmarkEnd w:id="8240"/>
      <w:bookmarkEnd w:id="8241"/>
      <w:bookmarkEnd w:id="8242"/>
    </w:p>
    <w:p w14:paraId="6AC58AC9" w14:textId="77777777" w:rsidR="009A2997" w:rsidRPr="005E77D4" w:rsidRDefault="009A2997" w:rsidP="00223668">
      <w:pPr>
        <w:pStyle w:val="a0"/>
        <w:rPr>
          <w:rtl/>
        </w:rPr>
      </w:pPr>
      <w:r>
        <w:rPr>
          <w:rFonts w:hint="cs"/>
          <w:rtl/>
        </w:rPr>
        <w:t xml:space="preserve">עו"כ </w:t>
      </w:r>
      <w:r w:rsidRPr="00960DEE">
        <w:rPr>
          <w:rStyle w:val="af9"/>
          <w:rFonts w:hint="cs"/>
          <w:rtl/>
        </w:rPr>
        <w:t>הקוב"ש</w:t>
      </w:r>
      <w:r>
        <w:rPr>
          <w:rFonts w:hint="cs"/>
          <w:rtl/>
        </w:rPr>
        <w:t xml:space="preserve"> </w:t>
      </w:r>
      <w:r w:rsidRPr="00960DEE">
        <w:rPr>
          <w:rStyle w:val="af7"/>
          <w:rFonts w:eastAsia="Guttman Hodes" w:hint="cs"/>
          <w:rtl/>
        </w:rPr>
        <w:t>(ב"ב אות פ"ו)</w:t>
      </w:r>
      <w:r>
        <w:rPr>
          <w:rFonts w:hint="cs"/>
          <w:rtl/>
        </w:rPr>
        <w:t xml:space="preserve"> דרובא דליתא קמן הוא רוב בטבע העולם, ואף אם תשאר בעולם רק בהמה אחת היא בכלל הרוב, אבל רובא דאיתא קמן, כגון בתשע חנויות הוא רק במקרה, והביא </w:t>
      </w:r>
      <w:r w:rsidRPr="00422ED5">
        <w:rPr>
          <w:rStyle w:val="af9"/>
          <w:rFonts w:hint="cs"/>
          <w:rtl/>
        </w:rPr>
        <w:t>הקוב"ש</w:t>
      </w:r>
      <w:r>
        <w:rPr>
          <w:rFonts w:hint="cs"/>
          <w:rtl/>
        </w:rPr>
        <w:t xml:space="preserve"> את דברי </w:t>
      </w:r>
      <w:r w:rsidRPr="00422ED5">
        <w:rPr>
          <w:rStyle w:val="af9"/>
          <w:rFonts w:hint="cs"/>
          <w:rtl/>
        </w:rPr>
        <w:t>הרא"</w:t>
      </w:r>
      <w:r w:rsidRPr="00B1651B">
        <w:rPr>
          <w:rStyle w:val="af9"/>
          <w:rFonts w:hint="cs"/>
          <w:rtl/>
        </w:rPr>
        <w:t>ש לקמן</w:t>
      </w:r>
      <w:r>
        <w:rPr>
          <w:rStyle w:val="af1"/>
          <w:rtl/>
        </w:rPr>
        <w:footnoteReference w:id="53"/>
      </w:r>
      <w:r>
        <w:rPr>
          <w:rFonts w:hint="cs"/>
          <w:rtl/>
        </w:rPr>
        <w:t xml:space="preserve"> </w:t>
      </w:r>
      <w:r w:rsidRPr="000E43F7">
        <w:rPr>
          <w:rStyle w:val="af7"/>
          <w:rFonts w:eastAsia="Guttman Hodes" w:hint="cs"/>
          <w:rtl/>
        </w:rPr>
        <w:t>(</w:t>
      </w:r>
      <w:r>
        <w:rPr>
          <w:rStyle w:val="af7"/>
          <w:rFonts w:eastAsia="Guttman Hodes" w:hint="cs"/>
          <w:rtl/>
        </w:rPr>
        <w:t>פ"ה סי' ה'</w:t>
      </w:r>
      <w:r w:rsidRPr="000E43F7">
        <w:rPr>
          <w:rStyle w:val="af7"/>
          <w:rFonts w:eastAsia="Guttman Hodes" w:hint="cs"/>
          <w:rtl/>
        </w:rPr>
        <w:t>)</w:t>
      </w:r>
      <w:r>
        <w:rPr>
          <w:rFonts w:hint="cs"/>
          <w:rtl/>
        </w:rPr>
        <w:t xml:space="preserve"> דכתב בשם </w:t>
      </w:r>
      <w:r w:rsidRPr="00422ED5">
        <w:rPr>
          <w:rStyle w:val="af9"/>
          <w:rFonts w:hint="cs"/>
          <w:rtl/>
        </w:rPr>
        <w:t>הבה"ג</w:t>
      </w:r>
      <w:r>
        <w:rPr>
          <w:rFonts w:hint="cs"/>
          <w:rtl/>
        </w:rPr>
        <w:t xml:space="preserve"> </w:t>
      </w:r>
      <w:r w:rsidRPr="00CF3989">
        <w:rPr>
          <w:rStyle w:val="af7"/>
          <w:rFonts w:eastAsia="Guttman Hodes" w:hint="cs"/>
          <w:rtl/>
        </w:rPr>
        <w:t>(סי' ס"ו עמ' תרמ"ט ד"ה והיכא)</w:t>
      </w:r>
      <w:r>
        <w:rPr>
          <w:rFonts w:hint="cs"/>
          <w:rtl/>
        </w:rPr>
        <w:t xml:space="preserve"> דברובא דאיתא קמן, ופרשו חלק מהרוב ונשארו שניים, דהנשארים אסורים</w:t>
      </w:r>
      <w:r w:rsidRPr="0030541C">
        <w:rPr>
          <w:rFonts w:hint="cs"/>
          <w:rtl/>
        </w:rPr>
        <w:t xml:space="preserve"> </w:t>
      </w:r>
      <w:r>
        <w:rPr>
          <w:rFonts w:hint="cs"/>
          <w:rtl/>
        </w:rPr>
        <w:t>כיון שעכשיו אין רוב,</w:t>
      </w:r>
      <w:r w:rsidRPr="00133814">
        <w:rPr>
          <w:rFonts w:hint="cs"/>
          <w:rtl/>
        </w:rPr>
        <w:t xml:space="preserve"> </w:t>
      </w:r>
      <w:r>
        <w:rPr>
          <w:rFonts w:hint="cs"/>
          <w:rtl/>
        </w:rPr>
        <w:t xml:space="preserve">וביאר </w:t>
      </w:r>
      <w:r w:rsidRPr="00944C84">
        <w:rPr>
          <w:rStyle w:val="af9"/>
          <w:rFonts w:hint="cs"/>
          <w:rtl/>
        </w:rPr>
        <w:t>הקוב"ש</w:t>
      </w:r>
      <w:r>
        <w:rPr>
          <w:rFonts w:hint="cs"/>
          <w:rtl/>
        </w:rPr>
        <w:t xml:space="preserve"> דכיון שעכשיו אין רוב, לא אזלינן בתר הרוב שהיה מתחילה</w:t>
      </w:r>
      <w:r>
        <w:rPr>
          <w:rStyle w:val="af1"/>
          <w:rtl/>
        </w:rPr>
        <w:footnoteReference w:id="54"/>
      </w:r>
      <w:r>
        <w:rPr>
          <w:rFonts w:hint="cs"/>
          <w:rtl/>
        </w:rPr>
        <w:t>.</w:t>
      </w:r>
    </w:p>
    <w:p w14:paraId="376A34DC" w14:textId="77777777" w:rsidR="000F2D6C" w:rsidRDefault="000F2D6C" w:rsidP="006D6D32">
      <w:pPr>
        <w:pStyle w:val="a3"/>
        <w:rPr>
          <w:rtl/>
        </w:rPr>
      </w:pPr>
      <w:bookmarkStart w:id="8243" w:name="_Toc528789797"/>
    </w:p>
    <w:p w14:paraId="007AAEDF" w14:textId="77777777" w:rsidR="009A2997" w:rsidRDefault="009A2997" w:rsidP="006D6D32">
      <w:pPr>
        <w:pStyle w:val="a3"/>
        <w:rPr>
          <w:rtl/>
        </w:rPr>
      </w:pPr>
      <w:bookmarkStart w:id="8244" w:name="_Toc19390066"/>
      <w:bookmarkStart w:id="8245" w:name="_Toc19393563"/>
      <w:r>
        <w:rPr>
          <w:rFonts w:hint="cs"/>
          <w:rtl/>
        </w:rPr>
        <w:t>דברי הקוב"ש דנקרא רובא דא"ק כיון שהוא מועיל רק כשהרוב לפנינו</w:t>
      </w:r>
      <w:bookmarkEnd w:id="8243"/>
      <w:bookmarkEnd w:id="8244"/>
      <w:bookmarkEnd w:id="8245"/>
    </w:p>
    <w:p w14:paraId="7D935768" w14:textId="77777777" w:rsidR="009A2997" w:rsidRDefault="009A2997" w:rsidP="00223668">
      <w:pPr>
        <w:pStyle w:val="a0"/>
        <w:rPr>
          <w:rtl/>
        </w:rPr>
      </w:pPr>
      <w:r>
        <w:rPr>
          <w:rFonts w:hint="cs"/>
          <w:rtl/>
        </w:rPr>
        <w:t xml:space="preserve">והוסיף </w:t>
      </w:r>
      <w:r w:rsidRPr="00062711">
        <w:rPr>
          <w:rStyle w:val="af9"/>
          <w:rFonts w:hint="cs"/>
          <w:rtl/>
        </w:rPr>
        <w:t>הקוב"ש</w:t>
      </w:r>
      <w:r>
        <w:rPr>
          <w:rFonts w:hint="cs"/>
          <w:rtl/>
        </w:rPr>
        <w:t xml:space="preserve"> </w:t>
      </w:r>
      <w:r w:rsidRPr="00062711">
        <w:rPr>
          <w:rStyle w:val="af7"/>
          <w:rFonts w:eastAsia="Guttman Hodes" w:hint="cs"/>
          <w:rtl/>
        </w:rPr>
        <w:t>(ח"ב הערות לש"ש אות ג')</w:t>
      </w:r>
      <w:r>
        <w:rPr>
          <w:rFonts w:hint="cs"/>
          <w:rtl/>
        </w:rPr>
        <w:t xml:space="preserve"> דיתכן לומר דלכן נקרא שמו רובא דאיתא קמן, כיון שהרוב מועיל רק כשיש רוב בשעה שפרשו מהרוב, ואם בשעת הפרישה נשארו רק שנים לא מהני שהיה רוב בתחילה. ואילו ברובא דליתא קמן ביאר </w:t>
      </w:r>
      <w:r w:rsidRPr="00EA2E3E">
        <w:rPr>
          <w:rStyle w:val="af9"/>
          <w:rFonts w:hint="cs"/>
          <w:rtl/>
        </w:rPr>
        <w:t>הקוב"ש</w:t>
      </w:r>
      <w:r>
        <w:rPr>
          <w:rFonts w:hint="cs"/>
          <w:rtl/>
        </w:rPr>
        <w:t xml:space="preserve"> דהנדון אינו על בהמה מסוימת שהיא לפנינו אלא על כל בהמה, ולכן נקרא רובא דליתא קמן.</w:t>
      </w:r>
    </w:p>
    <w:p w14:paraId="188D2C0B" w14:textId="77777777" w:rsidR="009A2997" w:rsidRDefault="009A2997" w:rsidP="00BF39B2">
      <w:pPr>
        <w:pStyle w:val="1"/>
        <w:rPr>
          <w:rtl/>
        </w:rPr>
      </w:pPr>
      <w:bookmarkStart w:id="8246" w:name="_Toc528615494"/>
      <w:bookmarkStart w:id="8247" w:name="_Toc528712535"/>
      <w:bookmarkStart w:id="8248" w:name="_Toc528777219"/>
      <w:bookmarkStart w:id="8249" w:name="_Toc528789798"/>
      <w:bookmarkStart w:id="8250" w:name="_Toc19390067"/>
      <w:bookmarkStart w:id="8251" w:name="_Toc19393564"/>
      <w:r w:rsidRPr="00EF414E">
        <w:rPr>
          <w:rFonts w:hint="cs"/>
          <w:rtl/>
        </w:rPr>
        <w:t xml:space="preserve">דברי הגר"ח מטעלז בחילוק בין רובא </w:t>
      </w:r>
      <w:r>
        <w:rPr>
          <w:rFonts w:hint="cs"/>
          <w:rtl/>
        </w:rPr>
        <w:t>דא"ק</w:t>
      </w:r>
      <w:r w:rsidRPr="00EF414E">
        <w:rPr>
          <w:rFonts w:hint="cs"/>
          <w:rtl/>
        </w:rPr>
        <w:t xml:space="preserve"> לרובא דל</w:t>
      </w:r>
      <w:bookmarkEnd w:id="8246"/>
      <w:bookmarkEnd w:id="8247"/>
      <w:bookmarkEnd w:id="8248"/>
      <w:r>
        <w:rPr>
          <w:rFonts w:hint="cs"/>
          <w:rtl/>
        </w:rPr>
        <w:t>"ק</w:t>
      </w:r>
      <w:bookmarkEnd w:id="8249"/>
      <w:bookmarkEnd w:id="8250"/>
      <w:bookmarkEnd w:id="8251"/>
    </w:p>
    <w:p w14:paraId="7ADF595D" w14:textId="77777777" w:rsidR="009A2997" w:rsidRPr="000473F7" w:rsidRDefault="009A2997" w:rsidP="006D6D32">
      <w:pPr>
        <w:pStyle w:val="a3"/>
        <w:rPr>
          <w:rtl/>
        </w:rPr>
      </w:pPr>
      <w:bookmarkStart w:id="8252" w:name="_Toc528789799"/>
      <w:bookmarkStart w:id="8253" w:name="_Toc19390068"/>
      <w:bookmarkStart w:id="8254" w:name="_Toc19393565"/>
      <w:r>
        <w:rPr>
          <w:rFonts w:hint="cs"/>
          <w:rtl/>
        </w:rPr>
        <w:t>דברי הגר"ח מטעלז דבט' חנויות יש רוב כנגד כל חנות אלא דיש גזיה"כ דאזלינן בתר רובא</w:t>
      </w:r>
      <w:bookmarkEnd w:id="8252"/>
      <w:bookmarkEnd w:id="8253"/>
      <w:bookmarkEnd w:id="8254"/>
    </w:p>
    <w:p w14:paraId="65744DE7" w14:textId="77777777" w:rsidR="009A2997" w:rsidRDefault="009A2997" w:rsidP="00223668">
      <w:pPr>
        <w:pStyle w:val="a0"/>
        <w:rPr>
          <w:rtl/>
        </w:rPr>
      </w:pPr>
      <w:r>
        <w:rPr>
          <w:rFonts w:hint="cs"/>
          <w:rtl/>
        </w:rPr>
        <w:t xml:space="preserve">כתב </w:t>
      </w:r>
      <w:r w:rsidRPr="00337A38">
        <w:rPr>
          <w:rStyle w:val="af9"/>
          <w:rFonts w:hint="cs"/>
          <w:rtl/>
        </w:rPr>
        <w:t>בחי' הגר"ח מטעלז</w:t>
      </w:r>
      <w:r>
        <w:rPr>
          <w:rFonts w:hint="cs"/>
          <w:rtl/>
        </w:rPr>
        <w:t xml:space="preserve"> </w:t>
      </w:r>
      <w:r w:rsidRPr="007B527A">
        <w:rPr>
          <w:rStyle w:val="af7"/>
          <w:rFonts w:eastAsia="Guttman Hodes" w:hint="cs"/>
          <w:rtl/>
        </w:rPr>
        <w:t>(ב"ב סי' ט' בענין רוב וקרוב עמ' ר"ו ד"ה ונראה)</w:t>
      </w:r>
      <w:r>
        <w:rPr>
          <w:rFonts w:hint="cs"/>
          <w:rtl/>
        </w:rPr>
        <w:t xml:space="preserve"> דברובא דאיתא קמן הרוב אינו מברר את הספק, אלא הוא גזיה"כ לנהוג לדינא כמו הרוב, דהא לא שייך לומר שיש בירור כגון בט' חנויות דאין כל בירור שהחתיכה באה מרוב החנויות ולא מהחנות היחידה, דהרי החתיכה באה רק מחנות אחת, וכנגד כל חנות יש רוב של חנויות אחרות, אך מ"מ הוא גזיה"כ דאזלינן בתר רובא. אבל ברובא דאיתא קמן כתב </w:t>
      </w:r>
      <w:r w:rsidRPr="000879DE">
        <w:rPr>
          <w:rStyle w:val="af9"/>
          <w:rFonts w:hint="cs"/>
          <w:rtl/>
        </w:rPr>
        <w:t>הגר"ח מטעלז</w:t>
      </w:r>
      <w:r>
        <w:rPr>
          <w:rFonts w:hint="cs"/>
          <w:rtl/>
        </w:rPr>
        <w:t xml:space="preserve"> דהוא בירור גמור, דכך הוא מסתבר לומר שמקרה זה הוא כרוב המקרים שבעולם, ואינו יוצא מהכלל.</w:t>
      </w:r>
    </w:p>
    <w:p w14:paraId="39DD8058" w14:textId="77777777" w:rsidR="009A2997" w:rsidRDefault="009A2997" w:rsidP="006D6D32">
      <w:pPr>
        <w:pStyle w:val="a3"/>
        <w:rPr>
          <w:rtl/>
        </w:rPr>
      </w:pPr>
      <w:bookmarkStart w:id="8255" w:name="_Toc528789800"/>
      <w:bookmarkStart w:id="8256" w:name="_Toc19390069"/>
      <w:bookmarkStart w:id="8257" w:name="_Toc19393566"/>
      <w:r>
        <w:rPr>
          <w:rFonts w:hint="cs"/>
          <w:rtl/>
        </w:rPr>
        <w:t>דברי הגר"ח מטעלז דרובא דל"ק לא גרע מרובא דא"ק אלא הם ב' סוגים שונים של בירור</w:t>
      </w:r>
      <w:bookmarkEnd w:id="8255"/>
      <w:bookmarkEnd w:id="8256"/>
      <w:bookmarkEnd w:id="8257"/>
    </w:p>
    <w:p w14:paraId="01917941" w14:textId="77777777" w:rsidR="009A2997" w:rsidRDefault="009A2997" w:rsidP="00223668">
      <w:pPr>
        <w:pStyle w:val="a0"/>
        <w:rPr>
          <w:rtl/>
        </w:rPr>
      </w:pPr>
      <w:r>
        <w:rPr>
          <w:rFonts w:hint="cs"/>
          <w:rtl/>
        </w:rPr>
        <w:t xml:space="preserve">והוסיף </w:t>
      </w:r>
      <w:r w:rsidRPr="00740820">
        <w:rPr>
          <w:rStyle w:val="af9"/>
          <w:rFonts w:hint="cs"/>
          <w:rtl/>
        </w:rPr>
        <w:t>הגר"ח מטעלז</w:t>
      </w:r>
      <w:r>
        <w:rPr>
          <w:rFonts w:hint="cs"/>
          <w:rtl/>
        </w:rPr>
        <w:t xml:space="preserve"> </w:t>
      </w:r>
      <w:r w:rsidRPr="00740820">
        <w:rPr>
          <w:rStyle w:val="af7"/>
          <w:rFonts w:eastAsia="Guttman Hodes" w:hint="cs"/>
          <w:rtl/>
        </w:rPr>
        <w:t>(</w:t>
      </w:r>
      <w:r w:rsidRPr="00337A38">
        <w:rPr>
          <w:rStyle w:val="af7"/>
          <w:rFonts w:eastAsia="Guttman Hodes" w:hint="cs"/>
          <w:rtl/>
        </w:rPr>
        <w:t>ב"</w:t>
      </w:r>
      <w:r>
        <w:rPr>
          <w:rStyle w:val="af7"/>
          <w:rFonts w:eastAsia="Guttman Hodes" w:hint="cs"/>
          <w:rtl/>
        </w:rPr>
        <w:t>ב</w:t>
      </w:r>
      <w:r w:rsidRPr="00337A38">
        <w:rPr>
          <w:rStyle w:val="af7"/>
          <w:rFonts w:eastAsia="Guttman Hodes" w:hint="cs"/>
          <w:rtl/>
        </w:rPr>
        <w:t xml:space="preserve"> </w:t>
      </w:r>
      <w:r>
        <w:rPr>
          <w:rStyle w:val="af7"/>
          <w:rFonts w:eastAsia="Guttman Hodes" w:hint="cs"/>
          <w:rtl/>
        </w:rPr>
        <w:t xml:space="preserve">סי' ט' בענין רוב וקרוב </w:t>
      </w:r>
      <w:r w:rsidRPr="00740820">
        <w:rPr>
          <w:rStyle w:val="af7"/>
          <w:rFonts w:eastAsia="Guttman Hodes" w:hint="cs"/>
          <w:rtl/>
        </w:rPr>
        <w:t xml:space="preserve">עמ' </w:t>
      </w:r>
      <w:r>
        <w:rPr>
          <w:rStyle w:val="af7"/>
          <w:rFonts w:eastAsia="Guttman Hodes" w:hint="cs"/>
          <w:rtl/>
        </w:rPr>
        <w:t>ר"ו</w:t>
      </w:r>
      <w:r w:rsidRPr="00740820">
        <w:rPr>
          <w:rStyle w:val="af7"/>
          <w:rFonts w:eastAsia="Guttman Hodes" w:hint="cs"/>
          <w:rtl/>
        </w:rPr>
        <w:t xml:space="preserve"> ד"ה והא דנקט)</w:t>
      </w:r>
      <w:r>
        <w:rPr>
          <w:rFonts w:hint="cs"/>
          <w:rtl/>
        </w:rPr>
        <w:t xml:space="preserve"> דהא דאיתא בסוגיין דא"א ללמוד את רובא דאיתא מרובא דליתא קמן, אינו מחמת דרובא דליתא קמן גרוע מרובא דאיתא קמן, אלא דכיון שהם שני סוגים שונים של בירור, א"א ללמוד אותם אחד מהשני</w:t>
      </w:r>
      <w:r>
        <w:rPr>
          <w:rStyle w:val="af1"/>
          <w:rtl/>
        </w:rPr>
        <w:footnoteReference w:id="55"/>
      </w:r>
      <w:r>
        <w:rPr>
          <w:rFonts w:hint="cs"/>
          <w:rtl/>
        </w:rPr>
        <w:t xml:space="preserve">, </w:t>
      </w:r>
      <w:r w:rsidRPr="005016BB">
        <w:rPr>
          <w:rStyle w:val="afb"/>
          <w:rFonts w:hint="cs"/>
          <w:rtl/>
        </w:rPr>
        <w:t>[ועיי"ש</w:t>
      </w:r>
      <w:r>
        <w:rPr>
          <w:rStyle w:val="afb"/>
          <w:rFonts w:hint="cs"/>
          <w:rtl/>
        </w:rPr>
        <w:t xml:space="preserve"> עוד</w:t>
      </w:r>
      <w:r w:rsidRPr="005016BB">
        <w:rPr>
          <w:rStyle w:val="afb"/>
          <w:rFonts w:hint="cs"/>
          <w:rtl/>
        </w:rPr>
        <w:t xml:space="preserve"> במ"ש </w:t>
      </w:r>
      <w:r w:rsidRPr="009019E8">
        <w:rPr>
          <w:rStyle w:val="affa"/>
          <w:rFonts w:hint="cs"/>
          <w:rtl/>
        </w:rPr>
        <w:t>הגר"ח מטעלז</w:t>
      </w:r>
      <w:r>
        <w:rPr>
          <w:rFonts w:hint="cs"/>
          <w:rtl/>
        </w:rPr>
        <w:t xml:space="preserve"> </w:t>
      </w:r>
      <w:r w:rsidRPr="005016BB">
        <w:rPr>
          <w:rStyle w:val="afb"/>
          <w:rFonts w:hint="cs"/>
          <w:rtl/>
        </w:rPr>
        <w:t xml:space="preserve">על דברי </w:t>
      </w:r>
      <w:r w:rsidRPr="005016BB">
        <w:rPr>
          <w:rStyle w:val="affa"/>
          <w:rFonts w:hint="cs"/>
          <w:rtl/>
        </w:rPr>
        <w:t>הש"ש</w:t>
      </w:r>
      <w:r w:rsidRPr="005016BB">
        <w:rPr>
          <w:rStyle w:val="afb"/>
          <w:rFonts w:hint="cs"/>
          <w:rtl/>
        </w:rPr>
        <w:t>]</w:t>
      </w:r>
      <w:r>
        <w:rPr>
          <w:rFonts w:hint="cs"/>
          <w:rtl/>
        </w:rPr>
        <w:t>.</w:t>
      </w:r>
    </w:p>
    <w:p w14:paraId="44E55874" w14:textId="77777777" w:rsidR="009A2997" w:rsidRDefault="009A2997" w:rsidP="00BF39B2">
      <w:pPr>
        <w:pStyle w:val="1"/>
        <w:rPr>
          <w:rtl/>
        </w:rPr>
      </w:pPr>
      <w:bookmarkStart w:id="8258" w:name="_Toc528789801"/>
      <w:bookmarkStart w:id="8259" w:name="_Toc19390070"/>
      <w:bookmarkStart w:id="8260" w:name="_Toc19393567"/>
      <w:r>
        <w:rPr>
          <w:rFonts w:hint="cs"/>
          <w:rtl/>
        </w:rPr>
        <w:t>קושית הקה"י דאין חילוק בין רובא דא"ק לרובא דל"ק</w:t>
      </w:r>
      <w:bookmarkEnd w:id="8258"/>
      <w:bookmarkEnd w:id="8259"/>
      <w:bookmarkEnd w:id="8260"/>
    </w:p>
    <w:p w14:paraId="2D7F2991" w14:textId="77777777" w:rsidR="009A2997" w:rsidRPr="00624596" w:rsidRDefault="009A2997" w:rsidP="006D6D32">
      <w:pPr>
        <w:pStyle w:val="a3"/>
        <w:rPr>
          <w:rtl/>
        </w:rPr>
      </w:pPr>
      <w:bookmarkStart w:id="8261" w:name="_Toc528789802"/>
      <w:bookmarkStart w:id="8262" w:name="_Toc19390071"/>
      <w:bookmarkStart w:id="8263" w:name="_Toc19393568"/>
      <w:r>
        <w:rPr>
          <w:rFonts w:hint="cs"/>
          <w:rtl/>
        </w:rPr>
        <w:t>קושית הקה"י דאף ברובא דל"ק יש סברא שהוא מהרוב כמו ברובא דא"ק</w:t>
      </w:r>
      <w:bookmarkEnd w:id="8261"/>
      <w:bookmarkEnd w:id="8262"/>
      <w:bookmarkEnd w:id="8263"/>
    </w:p>
    <w:p w14:paraId="026A734D" w14:textId="77777777" w:rsidR="009A2997" w:rsidRDefault="009A2997" w:rsidP="00223668">
      <w:pPr>
        <w:pStyle w:val="a0"/>
        <w:rPr>
          <w:rtl/>
        </w:rPr>
      </w:pPr>
      <w:bookmarkStart w:id="8264" w:name="_Ref528785951"/>
      <w:r w:rsidRPr="007D7DB9">
        <w:rPr>
          <w:rStyle w:val="af9"/>
          <w:rFonts w:hint="cs"/>
          <w:rtl/>
        </w:rPr>
        <w:t>בקה"י</w:t>
      </w:r>
      <w:r>
        <w:rPr>
          <w:rFonts w:hint="cs"/>
          <w:rtl/>
        </w:rPr>
        <w:t xml:space="preserve"> </w:t>
      </w:r>
      <w:r w:rsidRPr="007D7DB9">
        <w:rPr>
          <w:rStyle w:val="af7"/>
          <w:rFonts w:eastAsia="Guttman Hodes" w:hint="cs"/>
          <w:rtl/>
        </w:rPr>
        <w:t xml:space="preserve">(סי' </w:t>
      </w:r>
      <w:r>
        <w:rPr>
          <w:rStyle w:val="af7"/>
          <w:rFonts w:eastAsia="Guttman Hodes" w:hint="cs"/>
          <w:rtl/>
        </w:rPr>
        <w:t>ז</w:t>
      </w:r>
      <w:r w:rsidRPr="007D7DB9">
        <w:rPr>
          <w:rStyle w:val="af7"/>
          <w:rFonts w:eastAsia="Guttman Hodes" w:hint="cs"/>
          <w:rtl/>
        </w:rPr>
        <w:t>' א'</w:t>
      </w:r>
      <w:r>
        <w:rPr>
          <w:rStyle w:val="af7"/>
          <w:rFonts w:eastAsia="Guttman Hodes" w:hint="cs"/>
          <w:rtl/>
        </w:rPr>
        <w:t>, קידושין סי</w:t>
      </w:r>
      <w:r>
        <w:rPr>
          <w:rStyle w:val="af7"/>
          <w:rFonts w:eastAsia="Guttman Hodes"/>
          <w:rtl/>
        </w:rPr>
        <w:t>'</w:t>
      </w:r>
      <w:r>
        <w:rPr>
          <w:rStyle w:val="af7"/>
          <w:rFonts w:eastAsia="Guttman Hodes" w:hint="cs"/>
          <w:rtl/>
        </w:rPr>
        <w:t xml:space="preserve"> ל</w:t>
      </w:r>
      <w:r>
        <w:rPr>
          <w:rStyle w:val="af7"/>
          <w:rFonts w:eastAsia="Guttman Hodes"/>
          <w:rtl/>
        </w:rPr>
        <w:t>"</w:t>
      </w:r>
      <w:r>
        <w:rPr>
          <w:rStyle w:val="af7"/>
          <w:rFonts w:eastAsia="Guttman Hodes" w:hint="cs"/>
          <w:rtl/>
        </w:rPr>
        <w:t>ו ג'</w:t>
      </w:r>
      <w:r w:rsidRPr="007D7DB9">
        <w:rPr>
          <w:rStyle w:val="af7"/>
          <w:rFonts w:eastAsia="Guttman Hodes" w:hint="cs"/>
          <w:rtl/>
        </w:rPr>
        <w:t>)</w:t>
      </w:r>
      <w:r>
        <w:rPr>
          <w:rFonts w:hint="cs"/>
          <w:rtl/>
        </w:rPr>
        <w:t xml:space="preserve"> הביא את דברי </w:t>
      </w:r>
      <w:r w:rsidRPr="007D7DB9">
        <w:rPr>
          <w:rStyle w:val="af9"/>
          <w:rFonts w:hint="cs"/>
          <w:rtl/>
        </w:rPr>
        <w:t>הש"ש</w:t>
      </w:r>
      <w:r>
        <w:rPr>
          <w:rFonts w:hint="cs"/>
          <w:rtl/>
        </w:rPr>
        <w:t xml:space="preserve"> </w:t>
      </w:r>
      <w:r w:rsidRPr="007D7DB9">
        <w:rPr>
          <w:rStyle w:val="af7"/>
          <w:rFonts w:eastAsia="Guttman Hodes" w:hint="cs"/>
          <w:rtl/>
        </w:rPr>
        <w:t xml:space="preserve">(עי' אות </w:t>
      </w:r>
      <w:r w:rsidRPr="007D7DB9">
        <w:rPr>
          <w:rStyle w:val="af7"/>
          <w:rFonts w:eastAsia="Guttman Hodes"/>
          <w:rtl/>
        </w:rPr>
        <w:fldChar w:fldCharType="begin"/>
      </w:r>
      <w:r w:rsidRPr="007D7DB9">
        <w:rPr>
          <w:rStyle w:val="af7"/>
          <w:rFonts w:eastAsia="Guttman Hodes"/>
          <w:rtl/>
        </w:rPr>
        <w:instrText xml:space="preserve"> </w:instrText>
      </w:r>
      <w:r w:rsidRPr="007D7DB9">
        <w:rPr>
          <w:rStyle w:val="af7"/>
          <w:rFonts w:eastAsia="Guttman Hodes" w:hint="cs"/>
        </w:rPr>
        <w:instrText>REF</w:instrText>
      </w:r>
      <w:r w:rsidRPr="007D7DB9">
        <w:rPr>
          <w:rStyle w:val="af7"/>
          <w:rFonts w:eastAsia="Guttman Hodes" w:hint="cs"/>
          <w:rtl/>
        </w:rPr>
        <w:instrText xml:space="preserve"> _</w:instrText>
      </w:r>
      <w:r w:rsidRPr="007D7DB9">
        <w:rPr>
          <w:rStyle w:val="af7"/>
          <w:rFonts w:eastAsia="Guttman Hodes" w:hint="cs"/>
        </w:rPr>
        <w:instrText>Ref528578332 \r \h</w:instrText>
      </w:r>
      <w:r w:rsidRPr="007D7DB9">
        <w:rPr>
          <w:rStyle w:val="af7"/>
          <w:rFonts w:eastAsia="Guttman Hodes"/>
          <w:rtl/>
        </w:rPr>
        <w:instrText xml:space="preserve"> </w:instrText>
      </w:r>
      <w:r w:rsidRPr="007D7DB9">
        <w:rPr>
          <w:rStyle w:val="af7"/>
          <w:rFonts w:eastAsia="Guttman Hodes"/>
          <w:rtl/>
        </w:rPr>
      </w:r>
      <w:r w:rsidRPr="007D7DB9">
        <w:rPr>
          <w:rStyle w:val="af7"/>
          <w:rFonts w:eastAsia="Guttman Hodes"/>
          <w:rtl/>
        </w:rPr>
        <w:fldChar w:fldCharType="separate"/>
      </w:r>
      <w:r w:rsidR="00345400">
        <w:rPr>
          <w:rStyle w:val="af7"/>
          <w:rFonts w:eastAsia="Guttman Hodes"/>
          <w:cs/>
        </w:rPr>
        <w:t>‎</w:t>
      </w:r>
      <w:r w:rsidR="00345400">
        <w:rPr>
          <w:rStyle w:val="af7"/>
          <w:rFonts w:eastAsia="Guttman Hodes"/>
          <w:rtl/>
        </w:rPr>
        <w:t>מז)</w:t>
      </w:r>
      <w:r w:rsidRPr="007D7DB9">
        <w:rPr>
          <w:rStyle w:val="af7"/>
          <w:rFonts w:eastAsia="Guttman Hodes"/>
          <w:rtl/>
        </w:rPr>
        <w:fldChar w:fldCharType="end"/>
      </w:r>
      <w:r>
        <w:rPr>
          <w:rFonts w:hint="cs"/>
          <w:rtl/>
        </w:rPr>
        <w:t xml:space="preserve"> דרובא דאיתא קמן אינו מסברא, דיתכן שפורש מהמיעוט כמו מהמרובה, ואילו רובא דליתא קמן, הוא מסברא, דכן הדעת נותנת דרוב העולם נולדו מאביהם המוחזק לנו והם כשרים, והקשה </w:t>
      </w:r>
      <w:r w:rsidRPr="007D7DB9">
        <w:rPr>
          <w:rStyle w:val="af9"/>
          <w:rFonts w:hint="cs"/>
          <w:rtl/>
        </w:rPr>
        <w:t>הקה"י</w:t>
      </w:r>
      <w:r>
        <w:rPr>
          <w:rFonts w:hint="cs"/>
          <w:rtl/>
        </w:rPr>
        <w:t xml:space="preserve"> דחילוק זה אינו מובן, דהא אי מכל מאה אנשים יש מיעוט של עשרה פסולים, הוא כמו ט' חנויות כשרות ואחת טריפה, ומה הנ"מ אם הוא רובא דאיתא קמן או דליתא קמן, דכמו שבאיתא קמן מסברא אפש"ל שפרש מהמיעוט ולא מהרוב, ה"ה בליתא קמן אפש"ל דמסברא הדבר שאנו דנים עליו הוא מהמיעוט ולא</w:t>
      </w:r>
      <w:r w:rsidRPr="00597A43">
        <w:rPr>
          <w:rFonts w:hint="cs"/>
          <w:rtl/>
        </w:rPr>
        <w:t xml:space="preserve"> </w:t>
      </w:r>
      <w:r>
        <w:rPr>
          <w:rFonts w:hint="cs"/>
          <w:rtl/>
        </w:rPr>
        <w:t xml:space="preserve">מהרוב. </w:t>
      </w:r>
      <w:r w:rsidRPr="007D7DB9">
        <w:rPr>
          <w:rStyle w:val="afb"/>
          <w:rFonts w:hint="cs"/>
          <w:rtl/>
        </w:rPr>
        <w:t xml:space="preserve">[וכתב </w:t>
      </w:r>
      <w:r w:rsidRPr="007D7DB9">
        <w:rPr>
          <w:rStyle w:val="affa"/>
          <w:rFonts w:hint="cs"/>
          <w:rtl/>
        </w:rPr>
        <w:t>הקה"י</w:t>
      </w:r>
      <w:r w:rsidRPr="007D7DB9">
        <w:rPr>
          <w:rStyle w:val="afb"/>
          <w:rFonts w:hint="cs"/>
          <w:rtl/>
        </w:rPr>
        <w:t xml:space="preserve"> דאפשר ליישב].</w:t>
      </w:r>
      <w:bookmarkEnd w:id="8264"/>
    </w:p>
    <w:p w14:paraId="48D5F95C" w14:textId="77777777" w:rsidR="009A2997" w:rsidRDefault="009A2997" w:rsidP="006D6D32">
      <w:pPr>
        <w:pStyle w:val="a3"/>
        <w:rPr>
          <w:rtl/>
        </w:rPr>
      </w:pPr>
      <w:bookmarkStart w:id="8265" w:name="_Toc528789803"/>
      <w:bookmarkStart w:id="8266" w:name="_Toc19390072"/>
      <w:bookmarkStart w:id="8267" w:name="_Toc19393569"/>
      <w:r>
        <w:rPr>
          <w:rFonts w:hint="cs"/>
          <w:rtl/>
        </w:rPr>
        <w:t>קושית הקה"י היאך ילפינן את דין רובא דל"ק מרוב בחשש דדלמא לאו אביו דהוא חשש רחוק</w:t>
      </w:r>
      <w:bookmarkEnd w:id="8265"/>
      <w:bookmarkEnd w:id="8266"/>
      <w:bookmarkEnd w:id="8267"/>
    </w:p>
    <w:p w14:paraId="53CC1497" w14:textId="77777777" w:rsidR="009A2997" w:rsidRDefault="009A2997" w:rsidP="00223668">
      <w:pPr>
        <w:pStyle w:val="a0"/>
        <w:rPr>
          <w:rtl/>
        </w:rPr>
      </w:pPr>
      <w:r>
        <w:rPr>
          <w:rFonts w:hint="cs"/>
          <w:rtl/>
        </w:rPr>
        <w:t xml:space="preserve">וכתב </w:t>
      </w:r>
      <w:r w:rsidRPr="007D7DB9">
        <w:rPr>
          <w:rStyle w:val="af9"/>
          <w:rFonts w:hint="cs"/>
          <w:rtl/>
        </w:rPr>
        <w:t>הקה"י</w:t>
      </w:r>
      <w:r>
        <w:rPr>
          <w:rFonts w:hint="cs"/>
          <w:rtl/>
        </w:rPr>
        <w:t xml:space="preserve"> דאפש"ל דהחשש דדלמא לאו אביו הוא, זהו חשש רחוק ובסתמא לא חיישינן לזה כלל, אך הקשה </w:t>
      </w:r>
      <w:r w:rsidRPr="00597A43">
        <w:rPr>
          <w:rStyle w:val="af9"/>
          <w:rFonts w:hint="cs"/>
          <w:rtl/>
        </w:rPr>
        <w:t>הקה"י</w:t>
      </w:r>
      <w:r>
        <w:rPr>
          <w:rFonts w:hint="cs"/>
          <w:rtl/>
        </w:rPr>
        <w:t xml:space="preserve"> דא"כ היאך הגמ' רוצה ללמוד מזה את דין רובא דליתא קמן בכל ספק אף בספק שהוא מצוי יותר, וכתב </w:t>
      </w:r>
      <w:r w:rsidRPr="00FF4A43">
        <w:rPr>
          <w:rStyle w:val="af9"/>
          <w:rFonts w:hint="cs"/>
          <w:rtl/>
        </w:rPr>
        <w:t>הקה"י</w:t>
      </w:r>
      <w:r>
        <w:rPr>
          <w:rFonts w:hint="cs"/>
          <w:rtl/>
        </w:rPr>
        <w:t xml:space="preserve"> </w:t>
      </w:r>
      <w:r>
        <w:rPr>
          <w:rStyle w:val="af7"/>
          <w:rFonts w:eastAsia="Guttman Hodes" w:hint="cs"/>
          <w:rtl/>
        </w:rPr>
        <w:t>(סי' ז</w:t>
      </w:r>
      <w:r w:rsidRPr="00CE0F66">
        <w:rPr>
          <w:rStyle w:val="af7"/>
          <w:rFonts w:eastAsia="Guttman Hodes" w:hint="cs"/>
          <w:rtl/>
        </w:rPr>
        <w:t>' אות ג'</w:t>
      </w:r>
      <w:r>
        <w:rPr>
          <w:rStyle w:val="af7"/>
          <w:rFonts w:eastAsia="Guttman Hodes" w:hint="cs"/>
          <w:rtl/>
        </w:rPr>
        <w:t>, קידושין סי</w:t>
      </w:r>
      <w:r>
        <w:rPr>
          <w:rStyle w:val="af7"/>
          <w:rFonts w:eastAsia="Guttman Hodes"/>
          <w:rtl/>
        </w:rPr>
        <w:t>'</w:t>
      </w:r>
      <w:r>
        <w:rPr>
          <w:rStyle w:val="af7"/>
          <w:rFonts w:eastAsia="Guttman Hodes" w:hint="cs"/>
          <w:rtl/>
        </w:rPr>
        <w:t xml:space="preserve"> ל</w:t>
      </w:r>
      <w:r>
        <w:rPr>
          <w:rStyle w:val="af7"/>
          <w:rFonts w:eastAsia="Guttman Hodes"/>
          <w:rtl/>
        </w:rPr>
        <w:t>"</w:t>
      </w:r>
      <w:r>
        <w:rPr>
          <w:rStyle w:val="af7"/>
          <w:rFonts w:eastAsia="Guttman Hodes" w:hint="cs"/>
          <w:rtl/>
        </w:rPr>
        <w:t xml:space="preserve">ו </w:t>
      </w:r>
      <w:r w:rsidRPr="00CE0F66">
        <w:rPr>
          <w:rStyle w:val="af7"/>
          <w:rFonts w:eastAsia="Guttman Hodes" w:hint="cs"/>
          <w:rtl/>
        </w:rPr>
        <w:t>ג')</w:t>
      </w:r>
      <w:r>
        <w:rPr>
          <w:rFonts w:hint="cs"/>
          <w:rtl/>
        </w:rPr>
        <w:t xml:space="preserve"> דאפש"ל דהחשש דדלמא לאו אביו הוא, זהו מיעוטא דמיעוטא, דהרי אף אם ידעינן שזינתה לפני ט' חודשים, עדיין הולד כשר כיון שרוב בעילות אחר הבעל, וכ"ש כשלא ידוע שזנתה כלל, ורוב נשים אינם מזנות, ומסתמא לא חיישינן לזנות, ואי"ז נחשב בגדר ספק כלל, ואף לענין ממון ודאי דחשיב בנו, אך הקשה </w:t>
      </w:r>
      <w:r w:rsidRPr="00FF4A43">
        <w:rPr>
          <w:rStyle w:val="af9"/>
          <w:rFonts w:hint="cs"/>
          <w:rtl/>
        </w:rPr>
        <w:t>הקה"י</w:t>
      </w:r>
      <w:r>
        <w:rPr>
          <w:rFonts w:hint="cs"/>
          <w:rtl/>
        </w:rPr>
        <w:t xml:space="preserve"> דא"כ מה הביאה הגמ' בסוגיין מקור לרובא דליתא קמן ממכה אביו, "דדלמא לאו אביו הוא", הרי הוא מיעוטא דמיעוטא.</w:t>
      </w:r>
    </w:p>
    <w:p w14:paraId="573ED15A" w14:textId="77777777" w:rsidR="009A2997" w:rsidRDefault="009A2997" w:rsidP="006D6D32">
      <w:pPr>
        <w:pStyle w:val="a3"/>
        <w:rPr>
          <w:rtl/>
        </w:rPr>
      </w:pPr>
      <w:bookmarkStart w:id="8268" w:name="_Toc528789804"/>
      <w:bookmarkStart w:id="8269" w:name="_Toc19390073"/>
      <w:bookmarkStart w:id="8270" w:name="_Toc19393570"/>
      <w:r>
        <w:rPr>
          <w:rFonts w:hint="cs"/>
          <w:rtl/>
        </w:rPr>
        <w:t>קושית הקה"י דנילף רובא דל"ק מרובא דא"ק דהא הידיעה ברובא דל"ק היא כרובא דא"ק</w:t>
      </w:r>
      <w:bookmarkEnd w:id="8268"/>
      <w:bookmarkEnd w:id="8269"/>
      <w:bookmarkEnd w:id="8270"/>
    </w:p>
    <w:p w14:paraId="1FF24423" w14:textId="77777777" w:rsidR="009A2997" w:rsidRDefault="009A2997" w:rsidP="00223668">
      <w:pPr>
        <w:pStyle w:val="a0"/>
        <w:rPr>
          <w:rtl/>
        </w:rPr>
      </w:pPr>
      <w:r>
        <w:rPr>
          <w:rFonts w:hint="cs"/>
          <w:rtl/>
        </w:rPr>
        <w:t xml:space="preserve">והקשה </w:t>
      </w:r>
      <w:r w:rsidRPr="00875B4D">
        <w:rPr>
          <w:rStyle w:val="af9"/>
          <w:rFonts w:hint="cs"/>
          <w:rtl/>
        </w:rPr>
        <w:t>הקה"י</w:t>
      </w:r>
      <w:r>
        <w:rPr>
          <w:rFonts w:hint="cs"/>
          <w:rtl/>
        </w:rPr>
        <w:t xml:space="preserve"> על עיקר קושיית הגמ' דא"א ללמוד את רובא דליתא קמן, מהילפותא דאחרי רבים להטות דאזלינן בתר רובא דאיתא קמן, דמהו החסרון ברובא דליתא קמן, דאף שאין אנו רואים את הרוב בעינינו כמו ברובא דאיתא קמן, מ"מ הרי המציאות ידועה בבירור, והידיעה היא כמו רובא דאיתא קמן.</w:t>
      </w:r>
    </w:p>
    <w:p w14:paraId="2C2CAF69" w14:textId="77777777" w:rsidR="009A2997" w:rsidRPr="00A70FA9" w:rsidRDefault="009A2997" w:rsidP="00BF39B2">
      <w:pPr>
        <w:pStyle w:val="1"/>
        <w:rPr>
          <w:rtl/>
        </w:rPr>
      </w:pPr>
      <w:bookmarkStart w:id="8271" w:name="_Toc528789805"/>
      <w:bookmarkStart w:id="8272" w:name="_Toc19390074"/>
      <w:bookmarkStart w:id="8273" w:name="_Toc19393571"/>
      <w:r>
        <w:rPr>
          <w:rFonts w:hint="cs"/>
          <w:rtl/>
        </w:rPr>
        <w:t>ביאור הקה"י דלהו"א בגמ' רובא דל"ק אינו רוב ברור</w:t>
      </w:r>
      <w:bookmarkEnd w:id="8271"/>
      <w:bookmarkEnd w:id="8272"/>
      <w:bookmarkEnd w:id="8273"/>
    </w:p>
    <w:p w14:paraId="49520791" w14:textId="77777777" w:rsidR="009A2997" w:rsidRDefault="009A2997" w:rsidP="006D6D32">
      <w:pPr>
        <w:pStyle w:val="a3"/>
        <w:rPr>
          <w:rtl/>
        </w:rPr>
      </w:pPr>
      <w:bookmarkStart w:id="8274" w:name="_Toc528789806"/>
      <w:bookmarkStart w:id="8275" w:name="_Toc19390075"/>
      <w:bookmarkStart w:id="8276" w:name="_Toc19393572"/>
      <w:r>
        <w:rPr>
          <w:rFonts w:hint="cs"/>
          <w:rtl/>
        </w:rPr>
        <w:t>ביאור הקה"י דרובא דל"ק אינו רוב ברור אלא אנו משערים מסברא שיש רוב</w:t>
      </w:r>
      <w:bookmarkEnd w:id="8274"/>
      <w:bookmarkEnd w:id="8275"/>
      <w:bookmarkEnd w:id="8276"/>
    </w:p>
    <w:p w14:paraId="6AF916E5" w14:textId="77777777" w:rsidR="009A2997" w:rsidRDefault="009A2997" w:rsidP="00223668">
      <w:pPr>
        <w:pStyle w:val="a0"/>
        <w:rPr>
          <w:rtl/>
        </w:rPr>
      </w:pPr>
      <w:r>
        <w:rPr>
          <w:rFonts w:hint="cs"/>
          <w:rtl/>
        </w:rPr>
        <w:t xml:space="preserve">אלא כתב </w:t>
      </w:r>
      <w:r w:rsidRPr="003414B8">
        <w:rPr>
          <w:rStyle w:val="af9"/>
          <w:rFonts w:hint="cs"/>
          <w:rtl/>
        </w:rPr>
        <w:t>הקה"י</w:t>
      </w:r>
      <w:r>
        <w:rPr>
          <w:rFonts w:hint="cs"/>
          <w:rtl/>
        </w:rPr>
        <w:t xml:space="preserve"> </w:t>
      </w:r>
      <w:r w:rsidRPr="003414B8">
        <w:rPr>
          <w:rStyle w:val="af7"/>
          <w:rFonts w:eastAsia="Guttman Hodes" w:hint="cs"/>
          <w:rtl/>
        </w:rPr>
        <w:t xml:space="preserve">(סי' </w:t>
      </w:r>
      <w:r>
        <w:rPr>
          <w:rStyle w:val="af7"/>
          <w:rFonts w:eastAsia="Guttman Hodes" w:hint="cs"/>
          <w:rtl/>
        </w:rPr>
        <w:t>ז</w:t>
      </w:r>
      <w:r w:rsidRPr="003414B8">
        <w:rPr>
          <w:rStyle w:val="af7"/>
          <w:rFonts w:eastAsia="Guttman Hodes" w:hint="cs"/>
          <w:rtl/>
        </w:rPr>
        <w:t>' אות ג ד"ה ומשמע</w:t>
      </w:r>
      <w:r>
        <w:rPr>
          <w:rStyle w:val="af7"/>
          <w:rFonts w:eastAsia="Guttman Hodes" w:hint="cs"/>
          <w:rtl/>
        </w:rPr>
        <w:t>, קידושין סי</w:t>
      </w:r>
      <w:r>
        <w:rPr>
          <w:rStyle w:val="af7"/>
          <w:rFonts w:eastAsia="Guttman Hodes"/>
          <w:rtl/>
        </w:rPr>
        <w:t>'</w:t>
      </w:r>
      <w:r>
        <w:rPr>
          <w:rStyle w:val="af7"/>
          <w:rFonts w:eastAsia="Guttman Hodes" w:hint="cs"/>
          <w:rtl/>
        </w:rPr>
        <w:t xml:space="preserve"> ל</w:t>
      </w:r>
      <w:r>
        <w:rPr>
          <w:rStyle w:val="af7"/>
          <w:rFonts w:eastAsia="Guttman Hodes"/>
          <w:rtl/>
        </w:rPr>
        <w:t>"</w:t>
      </w:r>
      <w:r>
        <w:rPr>
          <w:rStyle w:val="af7"/>
          <w:rFonts w:eastAsia="Guttman Hodes" w:hint="cs"/>
          <w:rtl/>
        </w:rPr>
        <w:t>ו ג'</w:t>
      </w:r>
      <w:r w:rsidRPr="003414B8">
        <w:rPr>
          <w:rStyle w:val="af7"/>
          <w:rFonts w:eastAsia="Guttman Hodes" w:hint="cs"/>
          <w:rtl/>
        </w:rPr>
        <w:t>)</w:t>
      </w:r>
      <w:r>
        <w:rPr>
          <w:rFonts w:hint="cs"/>
          <w:rtl/>
        </w:rPr>
        <w:t xml:space="preserve"> דמבואר בקושיית הגמ' דכל רובא דליתא קמן אינו רוב ברור, כיון שמעולם לא נמנה הרוב והמיעוט, ורק שאנו משערים דכן הוא המציאות בעולם, אך כיון שאינו רוב בורר ומוחלט, לכן אף שהוא פשוט מסברא והכרעת השכל, מ"מ אין לו דין ודאי ואינו בירור, ורק רוב שאנו רואים אותו במציאות ובודאות, הוא בירור בודאי.</w:t>
      </w:r>
    </w:p>
    <w:p w14:paraId="70F04B7F" w14:textId="77777777" w:rsidR="009A2997" w:rsidRDefault="009A2997" w:rsidP="006D6D32">
      <w:pPr>
        <w:pStyle w:val="a3"/>
        <w:rPr>
          <w:rtl/>
        </w:rPr>
      </w:pPr>
      <w:bookmarkStart w:id="8277" w:name="_Toc528789807"/>
      <w:bookmarkStart w:id="8278" w:name="_Toc19390076"/>
      <w:bookmarkStart w:id="8279" w:name="_Toc19393573"/>
      <w:r>
        <w:rPr>
          <w:rFonts w:hint="cs"/>
          <w:rtl/>
        </w:rPr>
        <w:t>דברי הקה"י דהראיה מסברת "דלמא לאו אביו הוא" דאומדנא דרובא דל"ק חשיב כרוב ברור</w:t>
      </w:r>
      <w:bookmarkEnd w:id="8277"/>
      <w:bookmarkEnd w:id="8278"/>
      <w:bookmarkEnd w:id="8279"/>
    </w:p>
    <w:p w14:paraId="4D8D2E2A" w14:textId="77777777" w:rsidR="009A2997" w:rsidRDefault="009A2997" w:rsidP="00223668">
      <w:pPr>
        <w:pStyle w:val="a0"/>
        <w:rPr>
          <w:rtl/>
        </w:rPr>
      </w:pPr>
      <w:r>
        <w:rPr>
          <w:rFonts w:hint="cs"/>
          <w:rtl/>
        </w:rPr>
        <w:t xml:space="preserve">וביאר </w:t>
      </w:r>
      <w:r w:rsidRPr="003414B8">
        <w:rPr>
          <w:rStyle w:val="af9"/>
          <w:rFonts w:hint="cs"/>
          <w:rtl/>
        </w:rPr>
        <w:t>הקה"י</w:t>
      </w:r>
      <w:r>
        <w:rPr>
          <w:rFonts w:hint="cs"/>
          <w:rtl/>
        </w:rPr>
        <w:t xml:space="preserve"> דע"ז הביאה הגמ' ראיה ממכה אביו דאזלינן בתר רוב בעילות אחר הבעל, ואין לדחות דהוא מיעוטא דמיעוטא דמסברא אין כל ספק, דהוא אומדנא ברורה שהוא אביו, דא"כ ממילא מוכח דכל רובא דליתא קמן חשיב רוב, דהרי מסברא ברובא דליתא קמן יש רוב, וכל הנדון הוא האם צריך שיהיה ודאי לפנינו, וכיון דבחשש דדלמא לאו אביו חזינן דסגי במה שמסתברא שהוא אביו, ויש לו דין אביו בודאי, א"כ מוכח דאף ברובא דליתא קמן יש לו דין ודאי.</w:t>
      </w:r>
    </w:p>
    <w:p w14:paraId="3C30D1CE" w14:textId="77777777" w:rsidR="009A2997" w:rsidRDefault="009A2997" w:rsidP="006D6D32">
      <w:pPr>
        <w:pStyle w:val="a3"/>
        <w:rPr>
          <w:rtl/>
        </w:rPr>
      </w:pPr>
      <w:bookmarkStart w:id="8280" w:name="_Toc528789808"/>
      <w:bookmarkStart w:id="8281" w:name="_Toc19390077"/>
      <w:bookmarkStart w:id="8282" w:name="_Toc19393574"/>
      <w:r>
        <w:rPr>
          <w:rFonts w:hint="cs"/>
          <w:rtl/>
        </w:rPr>
        <w:t>דברי הקה"י דלמסקנא רובא דל"ק הוא רוב ברור ולא שנא מרובא דא"ק</w:t>
      </w:r>
      <w:bookmarkEnd w:id="8280"/>
      <w:bookmarkEnd w:id="8281"/>
      <w:bookmarkEnd w:id="8282"/>
    </w:p>
    <w:p w14:paraId="37EDAFCB" w14:textId="77777777" w:rsidR="009A2997" w:rsidRDefault="009A2997" w:rsidP="00223668">
      <w:pPr>
        <w:pStyle w:val="a0"/>
        <w:rPr>
          <w:rtl/>
        </w:rPr>
      </w:pPr>
      <w:r>
        <w:rPr>
          <w:rFonts w:hint="cs"/>
          <w:rtl/>
        </w:rPr>
        <w:t xml:space="preserve">וכתב </w:t>
      </w:r>
      <w:r w:rsidRPr="00284C46">
        <w:rPr>
          <w:rStyle w:val="af9"/>
          <w:rFonts w:hint="cs"/>
          <w:rtl/>
        </w:rPr>
        <w:t>הקה"י</w:t>
      </w:r>
      <w:r>
        <w:rPr>
          <w:rFonts w:hint="cs"/>
          <w:rtl/>
        </w:rPr>
        <w:t xml:space="preserve"> </w:t>
      </w:r>
      <w:r>
        <w:rPr>
          <w:rStyle w:val="af7"/>
          <w:rFonts w:eastAsia="Guttman Hodes" w:hint="cs"/>
          <w:rtl/>
        </w:rPr>
        <w:t>(סי' ז</w:t>
      </w:r>
      <w:r w:rsidRPr="00284C46">
        <w:rPr>
          <w:rStyle w:val="af7"/>
          <w:rFonts w:eastAsia="Guttman Hodes" w:hint="cs"/>
          <w:rtl/>
        </w:rPr>
        <w:t>' אות ג' ד"ה וכל</w:t>
      </w:r>
      <w:r>
        <w:rPr>
          <w:rStyle w:val="af7"/>
          <w:rFonts w:eastAsia="Guttman Hodes" w:hint="cs"/>
          <w:rtl/>
        </w:rPr>
        <w:t>, קידושין סי</w:t>
      </w:r>
      <w:r>
        <w:rPr>
          <w:rStyle w:val="af7"/>
          <w:rFonts w:eastAsia="Guttman Hodes"/>
          <w:rtl/>
        </w:rPr>
        <w:t>'</w:t>
      </w:r>
      <w:r>
        <w:rPr>
          <w:rStyle w:val="af7"/>
          <w:rFonts w:eastAsia="Guttman Hodes" w:hint="cs"/>
          <w:rtl/>
        </w:rPr>
        <w:t xml:space="preserve"> ל</w:t>
      </w:r>
      <w:r>
        <w:rPr>
          <w:rStyle w:val="af7"/>
          <w:rFonts w:eastAsia="Guttman Hodes"/>
          <w:rtl/>
        </w:rPr>
        <w:t>"</w:t>
      </w:r>
      <w:r>
        <w:rPr>
          <w:rStyle w:val="af7"/>
          <w:rFonts w:eastAsia="Guttman Hodes" w:hint="cs"/>
          <w:rtl/>
        </w:rPr>
        <w:t>ו ג'</w:t>
      </w:r>
      <w:r w:rsidRPr="00284C46">
        <w:rPr>
          <w:rStyle w:val="af7"/>
          <w:rFonts w:eastAsia="Guttman Hodes" w:hint="cs"/>
          <w:rtl/>
        </w:rPr>
        <w:t>)</w:t>
      </w:r>
      <w:r>
        <w:rPr>
          <w:rFonts w:hint="cs"/>
          <w:rtl/>
        </w:rPr>
        <w:t xml:space="preserve"> דכל הנדון שרובא דליתא קמן אינו רוב גמור, הוא רק להו"א אבל למסקנת הגמ' דכתב </w:t>
      </w:r>
      <w:r w:rsidRPr="00284C46">
        <w:rPr>
          <w:rStyle w:val="af9"/>
          <w:rFonts w:hint="cs"/>
          <w:rtl/>
        </w:rPr>
        <w:t>רש"י</w:t>
      </w:r>
      <w:r>
        <w:rPr>
          <w:rFonts w:hint="cs"/>
          <w:rtl/>
        </w:rPr>
        <w:t xml:space="preserve"> </w:t>
      </w:r>
      <w:r w:rsidRPr="00284C46">
        <w:rPr>
          <w:rStyle w:val="af7"/>
          <w:rFonts w:eastAsia="Guttman Hodes" w:hint="cs"/>
          <w:rtl/>
        </w:rPr>
        <w:t xml:space="preserve">(עי' אות </w:t>
      </w:r>
      <w:r w:rsidRPr="00284C46">
        <w:rPr>
          <w:rStyle w:val="af7"/>
          <w:rFonts w:eastAsia="Guttman Hodes"/>
          <w:rtl/>
        </w:rPr>
        <w:fldChar w:fldCharType="begin"/>
      </w:r>
      <w:r w:rsidRPr="00284C46">
        <w:rPr>
          <w:rStyle w:val="af7"/>
          <w:rFonts w:eastAsia="Guttman Hodes"/>
          <w:rtl/>
        </w:rPr>
        <w:instrText xml:space="preserve"> </w:instrText>
      </w:r>
      <w:r w:rsidRPr="00284C46">
        <w:rPr>
          <w:rStyle w:val="af7"/>
          <w:rFonts w:eastAsia="Guttman Hodes" w:hint="cs"/>
        </w:rPr>
        <w:instrText>REF</w:instrText>
      </w:r>
      <w:r w:rsidRPr="00284C46">
        <w:rPr>
          <w:rStyle w:val="af7"/>
          <w:rFonts w:eastAsia="Guttman Hodes" w:hint="cs"/>
          <w:rtl/>
        </w:rPr>
        <w:instrText xml:space="preserve"> _</w:instrText>
      </w:r>
      <w:r w:rsidRPr="00284C46">
        <w:rPr>
          <w:rStyle w:val="af7"/>
          <w:rFonts w:eastAsia="Guttman Hodes" w:hint="cs"/>
        </w:rPr>
        <w:instrText>Ref528318822 \r \h</w:instrText>
      </w:r>
      <w:r w:rsidRPr="00284C46">
        <w:rPr>
          <w:rStyle w:val="af7"/>
          <w:rFonts w:eastAsia="Guttman Hodes"/>
          <w:rtl/>
        </w:rPr>
        <w:instrText xml:space="preserve"> </w:instrText>
      </w:r>
      <w:r w:rsidRPr="00284C46">
        <w:rPr>
          <w:rStyle w:val="af7"/>
          <w:rFonts w:eastAsia="Guttman Hodes"/>
          <w:rtl/>
        </w:rPr>
      </w:r>
      <w:r w:rsidRPr="00284C46">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284C46">
        <w:rPr>
          <w:rStyle w:val="af7"/>
          <w:rFonts w:eastAsia="Guttman Hodes"/>
          <w:rtl/>
        </w:rPr>
        <w:fldChar w:fldCharType="end"/>
      </w:r>
      <w:r>
        <w:rPr>
          <w:rFonts w:hint="cs"/>
          <w:rtl/>
        </w:rPr>
        <w:t xml:space="preserve"> דרובא דליתא קמן הוא מהלכה למשה מסיני, או דילפינן ליה מאחרי רבים להטות, ואין חילוק בין רובא דאיתא קמן לרובא דליתא קמן, א"כ מבואר דאין חילוק בין אם הרוב ברור לעינינו, או דע"י הסברא ידעינן שיש רוב, דאף בסברא הרוב הוא כודאי.</w:t>
      </w:r>
    </w:p>
    <w:p w14:paraId="347DBE10" w14:textId="77777777" w:rsidR="009A2997" w:rsidRPr="00130A22" w:rsidRDefault="009A2997" w:rsidP="006D6D32">
      <w:pPr>
        <w:pStyle w:val="a3"/>
      </w:pPr>
      <w:bookmarkStart w:id="8283" w:name="_Toc528789809"/>
      <w:bookmarkStart w:id="8284" w:name="_Toc19390078"/>
      <w:bookmarkStart w:id="8285" w:name="_Toc19393575"/>
      <w:r>
        <w:rPr>
          <w:rFonts w:hint="cs"/>
          <w:rtl/>
        </w:rPr>
        <w:t>דברי הקה"י דבחשש "דלמא לאו אביו הוא" אין כל ספק וא"צ להגיע לדין רוב</w:t>
      </w:r>
      <w:bookmarkEnd w:id="8283"/>
      <w:bookmarkEnd w:id="8284"/>
      <w:bookmarkEnd w:id="8285"/>
    </w:p>
    <w:p w14:paraId="56F131F2" w14:textId="77777777" w:rsidR="009A2997" w:rsidRDefault="009A2997" w:rsidP="00223668">
      <w:pPr>
        <w:pStyle w:val="a0"/>
        <w:rPr>
          <w:rtl/>
        </w:rPr>
      </w:pPr>
      <w:r>
        <w:rPr>
          <w:rFonts w:hint="cs"/>
          <w:rtl/>
        </w:rPr>
        <w:t xml:space="preserve">וכתב </w:t>
      </w:r>
      <w:r w:rsidRPr="00130A22">
        <w:rPr>
          <w:rStyle w:val="af9"/>
          <w:rFonts w:hint="cs"/>
          <w:rtl/>
        </w:rPr>
        <w:t>הקה"י</w:t>
      </w:r>
      <w:r>
        <w:rPr>
          <w:rFonts w:hint="cs"/>
          <w:rtl/>
        </w:rPr>
        <w:t xml:space="preserve"> דא"כ מבואר דלמסקנת הגמ' החשש "דדלמא לאו אביו" אינו נחשב לחשש כלל, דמסברא אין כל ספק, וא"צ להגיע לדין רוב.</w:t>
      </w:r>
    </w:p>
    <w:p w14:paraId="7E15EB59" w14:textId="77777777" w:rsidR="009A2997" w:rsidRPr="00A50F11" w:rsidRDefault="009A2997" w:rsidP="00BF39B2">
      <w:pPr>
        <w:pStyle w:val="1"/>
        <w:rPr>
          <w:rtl/>
        </w:rPr>
      </w:pPr>
      <w:bookmarkStart w:id="8286" w:name="_Toc19390079"/>
      <w:bookmarkStart w:id="8287" w:name="_Toc19393576"/>
      <w:r>
        <w:rPr>
          <w:rFonts w:hint="cs"/>
          <w:rtl/>
        </w:rPr>
        <w:t>הביאור הב' בקה"י דאף לתורא"ש רוב בסדר העולם הוא ודאי</w:t>
      </w:r>
      <w:bookmarkEnd w:id="8286"/>
      <w:bookmarkEnd w:id="8287"/>
    </w:p>
    <w:p w14:paraId="29F2BEC1" w14:textId="77777777" w:rsidR="009A2997" w:rsidRPr="00F04D1B" w:rsidRDefault="009A2997" w:rsidP="006D6D32">
      <w:pPr>
        <w:pStyle w:val="a3"/>
        <w:rPr>
          <w:rtl/>
        </w:rPr>
      </w:pPr>
      <w:bookmarkStart w:id="8288" w:name="_Toc19390080"/>
      <w:bookmarkStart w:id="8289" w:name="_Toc19393577"/>
      <w:r>
        <w:rPr>
          <w:rFonts w:hint="cs"/>
          <w:rtl/>
        </w:rPr>
        <w:t>דברי הקה"י דאף לתורא"ש ברוב שהוא דרך העולם יש לו דין ודאי ורק בריעותא אינו ודאי</w:t>
      </w:r>
      <w:bookmarkEnd w:id="8288"/>
      <w:bookmarkEnd w:id="8289"/>
      <w:r>
        <w:rPr>
          <w:rFonts w:hint="cs"/>
          <w:rtl/>
        </w:rPr>
        <w:t xml:space="preserve"> </w:t>
      </w:r>
    </w:p>
    <w:p w14:paraId="608CAAAF" w14:textId="77777777" w:rsidR="009A2997" w:rsidRDefault="009A2997" w:rsidP="00223668">
      <w:pPr>
        <w:pStyle w:val="a0"/>
        <w:rPr>
          <w:rtl/>
        </w:rPr>
      </w:pPr>
      <w:bookmarkStart w:id="8290" w:name="_Toc528789810"/>
      <w:r>
        <w:rPr>
          <w:rFonts w:hint="cs"/>
          <w:rtl/>
        </w:rPr>
        <w:t xml:space="preserve">ועוד ביאר </w:t>
      </w:r>
      <w:r w:rsidRPr="001C5C5C">
        <w:rPr>
          <w:rStyle w:val="af9"/>
          <w:rFonts w:hint="cs"/>
          <w:rtl/>
        </w:rPr>
        <w:t>הקה"י</w:t>
      </w:r>
      <w:r>
        <w:rPr>
          <w:rFonts w:hint="cs"/>
          <w:rtl/>
        </w:rPr>
        <w:t xml:space="preserve"> </w:t>
      </w:r>
      <w:r w:rsidRPr="009A3534">
        <w:rPr>
          <w:rStyle w:val="af7"/>
          <w:rFonts w:eastAsia="Guttman Hodes" w:hint="cs"/>
          <w:rtl/>
        </w:rPr>
        <w:t xml:space="preserve">(סי' ו' אות </w:t>
      </w:r>
      <w:r>
        <w:rPr>
          <w:rStyle w:val="af7"/>
          <w:rFonts w:eastAsia="Guttman Hodes" w:hint="cs"/>
          <w:rtl/>
        </w:rPr>
        <w:t>ד</w:t>
      </w:r>
      <w:r w:rsidRPr="009A3534">
        <w:rPr>
          <w:rStyle w:val="af7"/>
          <w:rFonts w:eastAsia="Guttman Hodes" w:hint="cs"/>
          <w:rtl/>
        </w:rPr>
        <w:t xml:space="preserve">' ד"ה </w:t>
      </w:r>
      <w:r>
        <w:rPr>
          <w:rStyle w:val="af7"/>
          <w:rFonts w:eastAsia="Guttman Hodes" w:hint="cs"/>
          <w:rtl/>
        </w:rPr>
        <w:t>אלא, קידושין סי' ל"ו</w:t>
      </w:r>
      <w:r w:rsidRPr="009A3534">
        <w:rPr>
          <w:rStyle w:val="af7"/>
          <w:rFonts w:eastAsia="Guttman Hodes" w:hint="cs"/>
          <w:rtl/>
        </w:rPr>
        <w:t xml:space="preserve"> </w:t>
      </w:r>
      <w:r>
        <w:rPr>
          <w:rStyle w:val="af7"/>
          <w:rFonts w:eastAsia="Guttman Hodes" w:hint="cs"/>
          <w:rtl/>
        </w:rPr>
        <w:t>ד</w:t>
      </w:r>
      <w:r w:rsidRPr="009A3534">
        <w:rPr>
          <w:rStyle w:val="af7"/>
          <w:rFonts w:eastAsia="Guttman Hodes" w:hint="cs"/>
          <w:rtl/>
        </w:rPr>
        <w:t>')</w:t>
      </w:r>
      <w:r>
        <w:rPr>
          <w:rFonts w:hint="cs"/>
          <w:rtl/>
        </w:rPr>
        <w:t xml:space="preserve"> דאף לדברי </w:t>
      </w:r>
      <w:r w:rsidRPr="001C5C5C">
        <w:rPr>
          <w:rStyle w:val="af9"/>
          <w:rFonts w:hint="cs"/>
          <w:rtl/>
        </w:rPr>
        <w:t>התוס' הרא"ש בב"מ</w:t>
      </w:r>
      <w:r w:rsidRPr="00F04D1B">
        <w:rPr>
          <w:rStyle w:val="af7"/>
          <w:rFonts w:eastAsia="Guttman Hodes" w:hint="cs"/>
          <w:rtl/>
        </w:rPr>
        <w:t xml:space="preserve"> (עי' אות </w:t>
      </w:r>
      <w:r w:rsidRPr="00F04D1B">
        <w:rPr>
          <w:rStyle w:val="af7"/>
          <w:rFonts w:eastAsia="Guttman Hodes"/>
          <w:rtl/>
        </w:rPr>
        <w:fldChar w:fldCharType="begin"/>
      </w:r>
      <w:r w:rsidRPr="00F04D1B">
        <w:rPr>
          <w:rStyle w:val="af7"/>
          <w:rFonts w:eastAsia="Guttman Hodes"/>
          <w:rtl/>
        </w:rPr>
        <w:instrText xml:space="preserve"> </w:instrText>
      </w:r>
      <w:r w:rsidRPr="00F04D1B">
        <w:rPr>
          <w:rStyle w:val="af7"/>
          <w:rFonts w:eastAsia="Guttman Hodes" w:hint="cs"/>
        </w:rPr>
        <w:instrText>REF</w:instrText>
      </w:r>
      <w:r w:rsidRPr="00F04D1B">
        <w:rPr>
          <w:rStyle w:val="af7"/>
          <w:rFonts w:eastAsia="Guttman Hodes" w:hint="cs"/>
          <w:rtl/>
        </w:rPr>
        <w:instrText xml:space="preserve"> _</w:instrText>
      </w:r>
      <w:r w:rsidRPr="00F04D1B">
        <w:rPr>
          <w:rStyle w:val="af7"/>
          <w:rFonts w:eastAsia="Guttman Hodes" w:hint="cs"/>
        </w:rPr>
        <w:instrText>Ref528495171 \r \h</w:instrText>
      </w:r>
      <w:r w:rsidRPr="00F04D1B">
        <w:rPr>
          <w:rStyle w:val="af7"/>
          <w:rFonts w:eastAsia="Guttman Hodes"/>
          <w:rtl/>
        </w:rPr>
        <w:instrText xml:space="preserve"> </w:instrText>
      </w:r>
      <w:r w:rsidRPr="00F04D1B">
        <w:rPr>
          <w:rStyle w:val="af7"/>
          <w:rFonts w:eastAsia="Guttman Hodes"/>
          <w:rtl/>
        </w:rPr>
      </w:r>
      <w:r w:rsidRPr="00F04D1B">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F04D1B">
        <w:rPr>
          <w:rStyle w:val="af7"/>
          <w:rFonts w:eastAsia="Guttman Hodes"/>
          <w:rtl/>
        </w:rPr>
        <w:fldChar w:fldCharType="end"/>
      </w:r>
      <w:r>
        <w:rPr>
          <w:rFonts w:hint="cs"/>
          <w:rtl/>
        </w:rPr>
        <w:t xml:space="preserve"> דאין לרוב דין ודאי, היינו דוקא במקום שיש ריעותא לפנינו, כגון במעשר בהמה שקפץ אחד מהמנויין לתוך הדיר, דיש ספק ואזלינן בתר רובא, וכן בשתוקי דאזלינן בתר רוב העיר, אבל בדבר שהוא כסדר העולם, ואין בו כל ריעותא, כתב </w:t>
      </w:r>
      <w:r w:rsidRPr="001C5C5C">
        <w:rPr>
          <w:rStyle w:val="af9"/>
          <w:rFonts w:hint="cs"/>
          <w:rtl/>
        </w:rPr>
        <w:t>הקה"י</w:t>
      </w:r>
      <w:r>
        <w:rPr>
          <w:rFonts w:hint="cs"/>
          <w:rtl/>
        </w:rPr>
        <w:t xml:space="preserve"> דאף לדעת </w:t>
      </w:r>
      <w:r w:rsidRPr="001C5C5C">
        <w:rPr>
          <w:rStyle w:val="af9"/>
          <w:rFonts w:hint="cs"/>
          <w:rtl/>
        </w:rPr>
        <w:t xml:space="preserve">התוס' הרא"ש בב"מ </w:t>
      </w:r>
      <w:r>
        <w:rPr>
          <w:rFonts w:hint="cs"/>
          <w:rtl/>
        </w:rPr>
        <w:t>יש לו דין ודאי.</w:t>
      </w:r>
      <w:r w:rsidRPr="0029552F">
        <w:rPr>
          <w:rFonts w:hint="cs"/>
          <w:rtl/>
        </w:rPr>
        <w:t xml:space="preserve"> </w:t>
      </w:r>
      <w:r>
        <w:rPr>
          <w:rFonts w:hint="cs"/>
          <w:rtl/>
        </w:rPr>
        <w:t xml:space="preserve">והוסיף </w:t>
      </w:r>
      <w:r w:rsidRPr="0029552F">
        <w:rPr>
          <w:rStyle w:val="af9"/>
          <w:rFonts w:hint="cs"/>
          <w:rtl/>
        </w:rPr>
        <w:t>הקה"י</w:t>
      </w:r>
      <w:r>
        <w:rPr>
          <w:rFonts w:hint="cs"/>
          <w:rtl/>
        </w:rPr>
        <w:t xml:space="preserve"> דיתכן שזו כוונת </w:t>
      </w:r>
      <w:r w:rsidRPr="0029552F">
        <w:rPr>
          <w:rStyle w:val="af9"/>
          <w:rFonts w:hint="cs"/>
          <w:rtl/>
        </w:rPr>
        <w:t>הברוך טעם</w:t>
      </w:r>
      <w:r>
        <w:rPr>
          <w:rFonts w:hint="cs"/>
          <w:rtl/>
        </w:rPr>
        <w:t xml:space="preserve"> </w:t>
      </w:r>
      <w:r w:rsidRPr="00D43745">
        <w:rPr>
          <w:rStyle w:val="af7"/>
          <w:rFonts w:eastAsia="Guttman Hodes" w:hint="cs"/>
          <w:rtl/>
        </w:rPr>
        <w:t xml:space="preserve">(עי' אות </w:t>
      </w:r>
      <w:r w:rsidRPr="00D43745">
        <w:rPr>
          <w:rStyle w:val="af7"/>
          <w:rFonts w:eastAsia="Guttman Hodes"/>
          <w:rtl/>
        </w:rPr>
        <w:fldChar w:fldCharType="begin"/>
      </w:r>
      <w:r w:rsidRPr="00D43745">
        <w:rPr>
          <w:rStyle w:val="af7"/>
          <w:rFonts w:eastAsia="Guttman Hodes"/>
          <w:rtl/>
        </w:rPr>
        <w:instrText xml:space="preserve"> </w:instrText>
      </w:r>
      <w:r w:rsidRPr="00D43745">
        <w:rPr>
          <w:rStyle w:val="af7"/>
          <w:rFonts w:eastAsia="Guttman Hodes" w:hint="cs"/>
        </w:rPr>
        <w:instrText>REF</w:instrText>
      </w:r>
      <w:r w:rsidRPr="00D43745">
        <w:rPr>
          <w:rStyle w:val="af7"/>
          <w:rFonts w:eastAsia="Guttman Hodes" w:hint="cs"/>
          <w:rtl/>
        </w:rPr>
        <w:instrText xml:space="preserve"> _</w:instrText>
      </w:r>
      <w:r w:rsidRPr="00D43745">
        <w:rPr>
          <w:rStyle w:val="af7"/>
          <w:rFonts w:eastAsia="Guttman Hodes" w:hint="cs"/>
        </w:rPr>
        <w:instrText>Ref528784294 \r \h</w:instrText>
      </w:r>
      <w:r w:rsidRPr="00D43745">
        <w:rPr>
          <w:rStyle w:val="af7"/>
          <w:rFonts w:eastAsia="Guttman Hodes"/>
          <w:rtl/>
        </w:rPr>
        <w:instrText xml:space="preserve"> </w:instrText>
      </w:r>
      <w:r w:rsidRPr="00D43745">
        <w:rPr>
          <w:rStyle w:val="af7"/>
          <w:rFonts w:eastAsia="Guttman Hodes"/>
          <w:rtl/>
        </w:rPr>
      </w:r>
      <w:r w:rsidRPr="00D43745">
        <w:rPr>
          <w:rStyle w:val="af7"/>
          <w:rFonts w:eastAsia="Guttman Hodes"/>
          <w:rtl/>
        </w:rPr>
        <w:fldChar w:fldCharType="separate"/>
      </w:r>
      <w:r w:rsidR="00345400">
        <w:rPr>
          <w:rStyle w:val="af7"/>
          <w:rFonts w:eastAsia="Guttman Hodes"/>
          <w:cs/>
        </w:rPr>
        <w:t>‎</w:t>
      </w:r>
      <w:r w:rsidR="00345400">
        <w:rPr>
          <w:rStyle w:val="af7"/>
          <w:rFonts w:eastAsia="Guttman Hodes"/>
          <w:rtl/>
        </w:rPr>
        <w:t>נא)</w:t>
      </w:r>
      <w:r w:rsidRPr="00D43745">
        <w:rPr>
          <w:rStyle w:val="af7"/>
          <w:rFonts w:eastAsia="Guttman Hodes"/>
          <w:rtl/>
        </w:rPr>
        <w:fldChar w:fldCharType="end"/>
      </w:r>
      <w:r>
        <w:rPr>
          <w:rFonts w:hint="cs"/>
          <w:rtl/>
        </w:rPr>
        <w:t xml:space="preserve">, אך שהוסיף סברא נוספת דיתכן שרוב פסולים הוא דבר מצוי, ועוד הוסיף </w:t>
      </w:r>
      <w:r w:rsidRPr="0029552F">
        <w:rPr>
          <w:rStyle w:val="af9"/>
          <w:rFonts w:hint="cs"/>
          <w:rtl/>
        </w:rPr>
        <w:t>הקה"י</w:t>
      </w:r>
      <w:r>
        <w:rPr>
          <w:rFonts w:hint="cs"/>
          <w:rtl/>
        </w:rPr>
        <w:t xml:space="preserve"> דיתכן שזו כוונת </w:t>
      </w:r>
      <w:r w:rsidRPr="0029552F">
        <w:rPr>
          <w:rStyle w:val="af9"/>
          <w:rFonts w:hint="cs"/>
          <w:rtl/>
        </w:rPr>
        <w:t>הש"ש</w:t>
      </w:r>
      <w:r>
        <w:rPr>
          <w:rFonts w:hint="cs"/>
          <w:rtl/>
        </w:rPr>
        <w:t xml:space="preserve"> </w:t>
      </w:r>
      <w:r w:rsidRPr="00D43745">
        <w:rPr>
          <w:rStyle w:val="af7"/>
          <w:rFonts w:eastAsia="Guttman Hodes" w:hint="cs"/>
          <w:rtl/>
        </w:rPr>
        <w:t xml:space="preserve">(עי' אות </w:t>
      </w:r>
      <w:r w:rsidRPr="00D43745">
        <w:rPr>
          <w:rStyle w:val="af7"/>
          <w:rFonts w:eastAsia="Guttman Hodes"/>
          <w:rtl/>
        </w:rPr>
        <w:fldChar w:fldCharType="begin"/>
      </w:r>
      <w:r w:rsidRPr="00D43745">
        <w:rPr>
          <w:rStyle w:val="af7"/>
          <w:rFonts w:eastAsia="Guttman Hodes"/>
          <w:rtl/>
        </w:rPr>
        <w:instrText xml:space="preserve"> </w:instrText>
      </w:r>
      <w:r w:rsidRPr="00D43745">
        <w:rPr>
          <w:rStyle w:val="af7"/>
          <w:rFonts w:eastAsia="Guttman Hodes" w:hint="cs"/>
        </w:rPr>
        <w:instrText>REF</w:instrText>
      </w:r>
      <w:r w:rsidRPr="00D43745">
        <w:rPr>
          <w:rStyle w:val="af7"/>
          <w:rFonts w:eastAsia="Guttman Hodes" w:hint="cs"/>
          <w:rtl/>
        </w:rPr>
        <w:instrText xml:space="preserve"> _</w:instrText>
      </w:r>
      <w:r w:rsidRPr="00D43745">
        <w:rPr>
          <w:rStyle w:val="af7"/>
          <w:rFonts w:eastAsia="Guttman Hodes" w:hint="cs"/>
        </w:rPr>
        <w:instrText>Ref528785445 \r \h</w:instrText>
      </w:r>
      <w:r w:rsidRPr="00D43745">
        <w:rPr>
          <w:rStyle w:val="af7"/>
          <w:rFonts w:eastAsia="Guttman Hodes"/>
          <w:rtl/>
        </w:rPr>
        <w:instrText xml:space="preserve"> </w:instrText>
      </w:r>
      <w:r w:rsidRPr="00D43745">
        <w:rPr>
          <w:rStyle w:val="af7"/>
          <w:rFonts w:eastAsia="Guttman Hodes"/>
          <w:rtl/>
        </w:rPr>
      </w:r>
      <w:r w:rsidRPr="00D43745">
        <w:rPr>
          <w:rStyle w:val="af7"/>
          <w:rFonts w:eastAsia="Guttman Hodes"/>
          <w:rtl/>
        </w:rPr>
        <w:fldChar w:fldCharType="separate"/>
      </w:r>
      <w:r w:rsidR="00345400">
        <w:rPr>
          <w:rStyle w:val="af7"/>
          <w:rFonts w:eastAsia="Guttman Hodes"/>
          <w:cs/>
        </w:rPr>
        <w:t>‎</w:t>
      </w:r>
      <w:r w:rsidR="00345400">
        <w:rPr>
          <w:rStyle w:val="af7"/>
          <w:rFonts w:eastAsia="Guttman Hodes"/>
          <w:rtl/>
        </w:rPr>
        <w:t>מז)</w:t>
      </w:r>
      <w:r w:rsidRPr="00D43745">
        <w:rPr>
          <w:rStyle w:val="af7"/>
          <w:rFonts w:eastAsia="Guttman Hodes"/>
          <w:rtl/>
        </w:rPr>
        <w:fldChar w:fldCharType="end"/>
      </w:r>
      <w:r>
        <w:rPr>
          <w:rFonts w:hint="cs"/>
          <w:rtl/>
        </w:rPr>
        <w:t xml:space="preserve"> אלא דבמקום שאין ריעותא לפנינו, כתב </w:t>
      </w:r>
      <w:r w:rsidRPr="0029552F">
        <w:rPr>
          <w:rStyle w:val="af9"/>
          <w:rFonts w:hint="cs"/>
          <w:rtl/>
        </w:rPr>
        <w:t>הש"ש</w:t>
      </w:r>
      <w:r>
        <w:rPr>
          <w:rFonts w:hint="cs"/>
          <w:rtl/>
        </w:rPr>
        <w:t xml:space="preserve"> דהוא רובא דליתא קמן.</w:t>
      </w:r>
    </w:p>
    <w:p w14:paraId="0F7CDABD" w14:textId="77777777" w:rsidR="009A2997" w:rsidRPr="00BD06A7" w:rsidRDefault="009A2997" w:rsidP="00BF39B2">
      <w:pPr>
        <w:pStyle w:val="1"/>
        <w:rPr>
          <w:rtl/>
        </w:rPr>
      </w:pPr>
      <w:bookmarkStart w:id="8291" w:name="_Toc19390081"/>
      <w:bookmarkStart w:id="8292" w:name="_Toc19393578"/>
      <w:r>
        <w:rPr>
          <w:rFonts w:hint="cs"/>
          <w:rtl/>
        </w:rPr>
        <w:t>דברי השער"י דרוב בדיינים ורובא דא"ק הם מדין ביטול ברוב</w:t>
      </w:r>
      <w:bookmarkEnd w:id="8290"/>
      <w:bookmarkEnd w:id="8291"/>
      <w:bookmarkEnd w:id="8292"/>
    </w:p>
    <w:p w14:paraId="43E02BFF" w14:textId="77777777" w:rsidR="009A2997" w:rsidRDefault="009A2997" w:rsidP="006D6D32">
      <w:pPr>
        <w:pStyle w:val="a3"/>
        <w:rPr>
          <w:rtl/>
        </w:rPr>
      </w:pPr>
      <w:bookmarkStart w:id="8293" w:name="_Toc528789811"/>
      <w:bookmarkStart w:id="8294" w:name="_Toc19390082"/>
      <w:bookmarkStart w:id="8295" w:name="_Toc19393579"/>
      <w:r>
        <w:rPr>
          <w:rFonts w:hint="cs"/>
          <w:rtl/>
        </w:rPr>
        <w:t>דברי השער"י דמשמע ברש"י דהרוב בסנהדרין הוא מדין ביטול ברוב</w:t>
      </w:r>
      <w:bookmarkEnd w:id="8293"/>
      <w:bookmarkEnd w:id="8294"/>
      <w:bookmarkEnd w:id="8295"/>
    </w:p>
    <w:p w14:paraId="0A04BD57" w14:textId="77777777" w:rsidR="009A2997" w:rsidRDefault="009A2997" w:rsidP="00223668">
      <w:pPr>
        <w:pStyle w:val="a0"/>
        <w:rPr>
          <w:rtl/>
        </w:rPr>
      </w:pPr>
      <w:r>
        <w:rPr>
          <w:rFonts w:hint="cs"/>
          <w:rtl/>
        </w:rPr>
        <w:t xml:space="preserve">כתב </w:t>
      </w:r>
      <w:r w:rsidRPr="00477D93">
        <w:rPr>
          <w:rStyle w:val="af9"/>
          <w:rFonts w:hint="cs"/>
          <w:rtl/>
        </w:rPr>
        <w:t>השער"י</w:t>
      </w:r>
      <w:r>
        <w:rPr>
          <w:rFonts w:hint="cs"/>
          <w:rtl/>
        </w:rPr>
        <w:t xml:space="preserve"> </w:t>
      </w:r>
      <w:r w:rsidRPr="00477D93">
        <w:rPr>
          <w:rStyle w:val="af7"/>
          <w:rFonts w:eastAsia="Guttman Hodes" w:hint="cs"/>
          <w:rtl/>
        </w:rPr>
        <w:t>(ש"ג פ"ד)</w:t>
      </w:r>
      <w:r>
        <w:rPr>
          <w:rFonts w:hint="cs"/>
          <w:rtl/>
        </w:rPr>
        <w:t xml:space="preserve"> דמהא דכתב </w:t>
      </w:r>
      <w:r w:rsidRPr="00477D93">
        <w:rPr>
          <w:rStyle w:val="af9"/>
          <w:rFonts w:hint="cs"/>
          <w:rtl/>
        </w:rPr>
        <w:t>רש"י בגיטין</w:t>
      </w:r>
      <w:r>
        <w:rPr>
          <w:rFonts w:hint="cs"/>
          <w:rtl/>
        </w:rPr>
        <w:t xml:space="preserve"> </w:t>
      </w:r>
      <w:r w:rsidRPr="00477D93">
        <w:rPr>
          <w:rStyle w:val="af7"/>
          <w:rFonts w:eastAsia="Guttman Hodes" w:hint="cs"/>
          <w:rtl/>
        </w:rPr>
        <w:t>(נד: ד"ה לא יעלו)</w:t>
      </w:r>
      <w:r>
        <w:rPr>
          <w:rFonts w:hint="cs"/>
          <w:rtl/>
        </w:rPr>
        <w:t xml:space="preserve"> </w:t>
      </w:r>
      <w:r w:rsidRPr="00477D93">
        <w:rPr>
          <w:rStyle w:val="af9"/>
          <w:rFonts w:hint="cs"/>
          <w:rtl/>
        </w:rPr>
        <w:t xml:space="preserve">ובחולין </w:t>
      </w:r>
      <w:r w:rsidRPr="00A004A6">
        <w:rPr>
          <w:rStyle w:val="af7"/>
          <w:rFonts w:eastAsia="Guttman Hodes" w:hint="cs"/>
          <w:rtl/>
        </w:rPr>
        <w:t>(צח: ד"ה מדאו')</w:t>
      </w:r>
      <w:r>
        <w:rPr>
          <w:rFonts w:hint="cs"/>
          <w:rtl/>
        </w:rPr>
        <w:t xml:space="preserve"> דדין ביטול ברוב נלמד מקרא דאחרי רבים להטות, משמע דהרוב בסנהדרין הוא כמו ביטול ברוב, דהאיסור נהפך להיתר, ואף שהפשטות דאמרה תורה שאף שהאמת היא אחת, מ"מ צריך להחזיק שהאמת היא כמרובים ולא כמועטים, מ"מ משמע דאף בדיינים הוא מדין ביטול, דאי"ז הכרעת האמת ובירור השקר, אלא דדעת מיעוט הדיינים מתבטלת בדעת רוב הדיינים.</w:t>
      </w:r>
    </w:p>
    <w:p w14:paraId="72E07510" w14:textId="77777777" w:rsidR="009A2997" w:rsidRDefault="009A2997" w:rsidP="006D6D32">
      <w:pPr>
        <w:pStyle w:val="a3"/>
        <w:rPr>
          <w:rtl/>
        </w:rPr>
      </w:pPr>
      <w:bookmarkStart w:id="8296" w:name="_Toc528789812"/>
      <w:bookmarkStart w:id="8297" w:name="_Toc19390083"/>
      <w:bookmarkStart w:id="8298" w:name="_Toc19393580"/>
      <w:r>
        <w:rPr>
          <w:rFonts w:hint="cs"/>
          <w:rtl/>
        </w:rPr>
        <w:t>קושית השער"י דאי בסנהדרין הוא מדין ביטול ברוב האיך ילפינן מיניה את רובא דא"ק</w:t>
      </w:r>
      <w:bookmarkEnd w:id="8296"/>
      <w:bookmarkEnd w:id="8297"/>
      <w:bookmarkEnd w:id="8298"/>
    </w:p>
    <w:p w14:paraId="27F7EB70" w14:textId="77777777" w:rsidR="009A2997" w:rsidRPr="008B1DFB" w:rsidRDefault="009A2997" w:rsidP="00223668">
      <w:pPr>
        <w:pStyle w:val="a0"/>
        <w:rPr>
          <w:rtl/>
        </w:rPr>
      </w:pPr>
      <w:r>
        <w:rPr>
          <w:rFonts w:hint="cs"/>
          <w:rtl/>
        </w:rPr>
        <w:t xml:space="preserve">אך הקשה </w:t>
      </w:r>
      <w:r w:rsidRPr="00477D93">
        <w:rPr>
          <w:rStyle w:val="af9"/>
          <w:rFonts w:hint="cs"/>
          <w:rtl/>
        </w:rPr>
        <w:t>השער"י</w:t>
      </w:r>
      <w:r>
        <w:rPr>
          <w:rFonts w:hint="cs"/>
          <w:rtl/>
        </w:rPr>
        <w:t xml:space="preserve"> דא"כ היאך ילפינן מדיינים את דין רובא דאיתא קמן בט' חנויות, הרי בזה לא שייך לומר ביטול ברוב כלל, וא"א לומר דבדיינים נאמרו ב' דינים גם שהמיעוט מתבטל, וגם שהולכים אחר הרוב, דאי יש דין לילך אחר הרוב מוכח שיש מיעוט כנגדו שהרוב לא ביטלו.</w:t>
      </w:r>
    </w:p>
    <w:p w14:paraId="6D0FEEA4" w14:textId="77777777" w:rsidR="009A2997" w:rsidRDefault="009A2997" w:rsidP="006D6D32">
      <w:pPr>
        <w:pStyle w:val="a3"/>
        <w:rPr>
          <w:rtl/>
        </w:rPr>
      </w:pPr>
      <w:bookmarkStart w:id="8299" w:name="_Toc528789813"/>
      <w:bookmarkStart w:id="8300" w:name="_Toc19390084"/>
      <w:bookmarkStart w:id="8301" w:name="_Toc19393581"/>
      <w:r>
        <w:rPr>
          <w:rFonts w:hint="cs"/>
          <w:rtl/>
        </w:rPr>
        <w:t>דברי השער"י דבמרדכי ובתורא"ש משמע דרובא דא"ק הוא מדין ביטול ברוב</w:t>
      </w:r>
      <w:bookmarkEnd w:id="8299"/>
      <w:bookmarkEnd w:id="8300"/>
      <w:bookmarkEnd w:id="8301"/>
    </w:p>
    <w:p w14:paraId="17430A4F" w14:textId="77777777" w:rsidR="009A2997" w:rsidRDefault="009A2997" w:rsidP="00223668">
      <w:pPr>
        <w:pStyle w:val="a0"/>
        <w:rPr>
          <w:rtl/>
        </w:rPr>
      </w:pPr>
      <w:bookmarkStart w:id="8302" w:name="_Ref528772877"/>
      <w:r>
        <w:rPr>
          <w:rFonts w:hint="cs"/>
          <w:rtl/>
        </w:rPr>
        <w:t xml:space="preserve">אלא כתב </w:t>
      </w:r>
      <w:r w:rsidRPr="00477D93">
        <w:rPr>
          <w:rStyle w:val="af9"/>
          <w:rFonts w:hint="cs"/>
          <w:rtl/>
        </w:rPr>
        <w:t>השער"י</w:t>
      </w:r>
      <w:r>
        <w:rPr>
          <w:rFonts w:hint="cs"/>
          <w:rtl/>
        </w:rPr>
        <w:t xml:space="preserve"> </w:t>
      </w:r>
      <w:r w:rsidRPr="006A1A71">
        <w:rPr>
          <w:rStyle w:val="af7"/>
          <w:rFonts w:eastAsia="Guttman Hodes" w:hint="cs"/>
          <w:rtl/>
        </w:rPr>
        <w:t>(ש</w:t>
      </w:r>
      <w:r w:rsidRPr="00477D93">
        <w:rPr>
          <w:rStyle w:val="af7"/>
          <w:rFonts w:eastAsia="Guttman Hodes" w:hint="cs"/>
          <w:rtl/>
        </w:rPr>
        <w:t>"ג פ"ד ד"ה והנה בפשטות)</w:t>
      </w:r>
      <w:r>
        <w:rPr>
          <w:rFonts w:hint="cs"/>
          <w:rtl/>
        </w:rPr>
        <w:t xml:space="preserve"> דבדברי </w:t>
      </w:r>
      <w:r w:rsidRPr="00477D93">
        <w:rPr>
          <w:rStyle w:val="af9"/>
          <w:rFonts w:hint="cs"/>
          <w:rtl/>
        </w:rPr>
        <w:t>המרדכי לקמן</w:t>
      </w:r>
      <w:r>
        <w:rPr>
          <w:rFonts w:hint="cs"/>
          <w:rtl/>
        </w:rPr>
        <w:t xml:space="preserve"> </w:t>
      </w:r>
      <w:r w:rsidRPr="00477D93">
        <w:rPr>
          <w:rStyle w:val="af7"/>
          <w:rFonts w:eastAsia="Guttman Hodes" w:hint="cs"/>
          <w:rtl/>
        </w:rPr>
        <w:t>(רמז תשל"ז)</w:t>
      </w:r>
      <w:r>
        <w:rPr>
          <w:rFonts w:hint="cs"/>
          <w:rtl/>
        </w:rPr>
        <w:t xml:space="preserve"> דכתב בשם </w:t>
      </w:r>
      <w:r w:rsidRPr="00477D93">
        <w:rPr>
          <w:rStyle w:val="af9"/>
          <w:rFonts w:hint="cs"/>
          <w:rtl/>
        </w:rPr>
        <w:t>רבינו ברוך</w:t>
      </w:r>
      <w:r>
        <w:rPr>
          <w:rFonts w:hint="cs"/>
          <w:rtl/>
        </w:rPr>
        <w:t xml:space="preserve"> דאף ר"מ דחייש למיעוטא מודה לדין ביטול ברוב, כדמוכח מהא דהא מבואר בסוגיין </w:t>
      </w:r>
      <w:r w:rsidRPr="006A1A71">
        <w:rPr>
          <w:rStyle w:val="af7"/>
          <w:rFonts w:eastAsia="Guttman Hodes" w:hint="cs"/>
          <w:rtl/>
        </w:rPr>
        <w:t>(יא:)</w:t>
      </w:r>
      <w:r>
        <w:rPr>
          <w:rFonts w:hint="cs"/>
          <w:rtl/>
        </w:rPr>
        <w:t xml:space="preserve"> דמודה ר"מ ברובא דאיתא קמן, ומוכח מהמרדכי דדין ביטול ברוב הוא מדין רובא דאיתא קמן, וכן מבואר מדברי </w:t>
      </w:r>
      <w:r w:rsidRPr="00477D93">
        <w:rPr>
          <w:rStyle w:val="af9"/>
          <w:rFonts w:hint="cs"/>
          <w:rtl/>
        </w:rPr>
        <w:t>התוס' הרא"ש בב"מ</w:t>
      </w:r>
      <w:r>
        <w:rPr>
          <w:rFonts w:hint="cs"/>
          <w:rtl/>
        </w:rPr>
        <w:t xml:space="preserve"> </w:t>
      </w:r>
      <w:r w:rsidRPr="006A1A71">
        <w:rPr>
          <w:rStyle w:val="af7"/>
          <w:rFonts w:eastAsia="Guttman Hodes" w:hint="cs"/>
          <w:rtl/>
        </w:rPr>
        <w:t xml:space="preserve">(עי' אות </w:t>
      </w:r>
      <w:r w:rsidRPr="006A1A71">
        <w:rPr>
          <w:rStyle w:val="af7"/>
          <w:rFonts w:eastAsia="Guttman Hodes"/>
          <w:rtl/>
        </w:rPr>
        <w:fldChar w:fldCharType="begin"/>
      </w:r>
      <w:r w:rsidRPr="006A1A71">
        <w:rPr>
          <w:rStyle w:val="af7"/>
          <w:rFonts w:eastAsia="Guttman Hodes"/>
          <w:rtl/>
        </w:rPr>
        <w:instrText xml:space="preserve"> </w:instrText>
      </w:r>
      <w:r w:rsidRPr="006A1A71">
        <w:rPr>
          <w:rStyle w:val="af7"/>
          <w:rFonts w:eastAsia="Guttman Hodes" w:hint="cs"/>
        </w:rPr>
        <w:instrText>REF</w:instrText>
      </w:r>
      <w:r w:rsidRPr="006A1A71">
        <w:rPr>
          <w:rStyle w:val="af7"/>
          <w:rFonts w:eastAsia="Guttman Hodes" w:hint="cs"/>
          <w:rtl/>
        </w:rPr>
        <w:instrText xml:space="preserve"> _</w:instrText>
      </w:r>
      <w:r w:rsidRPr="006A1A71">
        <w:rPr>
          <w:rStyle w:val="af7"/>
          <w:rFonts w:eastAsia="Guttman Hodes" w:hint="cs"/>
        </w:rPr>
        <w:instrText>Ref528495171 \r \h</w:instrText>
      </w:r>
      <w:r w:rsidRPr="006A1A71">
        <w:rPr>
          <w:rStyle w:val="af7"/>
          <w:rFonts w:eastAsia="Guttman Hodes"/>
          <w:rtl/>
        </w:rPr>
        <w:instrText xml:space="preserve"> </w:instrText>
      </w:r>
      <w:r w:rsidRPr="006A1A71">
        <w:rPr>
          <w:rStyle w:val="af7"/>
          <w:rFonts w:eastAsia="Guttman Hodes"/>
          <w:rtl/>
        </w:rPr>
      </w:r>
      <w:r w:rsidRPr="006A1A71">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6A1A71">
        <w:rPr>
          <w:rStyle w:val="af7"/>
          <w:rFonts w:eastAsia="Guttman Hodes"/>
          <w:rtl/>
        </w:rPr>
        <w:fldChar w:fldCharType="end"/>
      </w:r>
      <w:r>
        <w:rPr>
          <w:rFonts w:hint="cs"/>
          <w:rtl/>
        </w:rPr>
        <w:t xml:space="preserve"> דכתב דרובא דאיתא קמן אין לו דין ודאי, ואפ"ה התירתו תורה, דהאיסור נהפך להיתר מדין ביטול ברוב. [אמנם בהמשך דבריו דחה </w:t>
      </w:r>
      <w:r w:rsidRPr="00477D93">
        <w:rPr>
          <w:rStyle w:val="af9"/>
          <w:rFonts w:hint="cs"/>
          <w:rtl/>
        </w:rPr>
        <w:t>השער"י</w:t>
      </w:r>
      <w:r>
        <w:rPr>
          <w:rFonts w:hint="cs"/>
          <w:rtl/>
        </w:rPr>
        <w:t xml:space="preserve"> </w:t>
      </w:r>
      <w:r w:rsidRPr="00477D93">
        <w:rPr>
          <w:rStyle w:val="af7"/>
          <w:rFonts w:eastAsia="Guttman Hodes" w:hint="cs"/>
          <w:rtl/>
        </w:rPr>
        <w:t>(ש"ג פ"ד ד"ה ולכן נראה, ד"ה וכן בדברי)</w:t>
      </w:r>
      <w:r>
        <w:rPr>
          <w:rFonts w:hint="cs"/>
          <w:rtl/>
        </w:rPr>
        <w:t xml:space="preserve"> דאי"ז כוונת </w:t>
      </w:r>
      <w:r w:rsidRPr="00477D93">
        <w:rPr>
          <w:rStyle w:val="af9"/>
          <w:rFonts w:hint="cs"/>
          <w:rtl/>
        </w:rPr>
        <w:t>התוס' הרא"ש והמרדכי</w:t>
      </w:r>
      <w:r>
        <w:rPr>
          <w:rFonts w:hint="cs"/>
          <w:rtl/>
        </w:rPr>
        <w:t>, עיי"ש בדבריו].</w:t>
      </w:r>
      <w:bookmarkEnd w:id="8302"/>
    </w:p>
    <w:p w14:paraId="01EF2E94" w14:textId="77777777" w:rsidR="009A2997" w:rsidRDefault="009A2997" w:rsidP="006D6D32">
      <w:pPr>
        <w:pStyle w:val="a3"/>
        <w:rPr>
          <w:rtl/>
        </w:rPr>
      </w:pPr>
      <w:bookmarkStart w:id="8303" w:name="_Toc528789814"/>
      <w:bookmarkStart w:id="8304" w:name="_Toc19390085"/>
      <w:bookmarkStart w:id="8305" w:name="_Toc19393582"/>
      <w:r>
        <w:rPr>
          <w:rFonts w:hint="cs"/>
          <w:rtl/>
        </w:rPr>
        <w:t>דברי השער"י דברובא דל"ק אין כל בירור על רוב האפשרויות יותר מאפשרות אחת</w:t>
      </w:r>
      <w:bookmarkEnd w:id="8303"/>
      <w:bookmarkEnd w:id="8304"/>
      <w:bookmarkEnd w:id="8305"/>
    </w:p>
    <w:p w14:paraId="4FDA87E1" w14:textId="77777777" w:rsidR="009A2997" w:rsidRPr="006A1A71" w:rsidRDefault="009A2997" w:rsidP="00223668">
      <w:pPr>
        <w:pStyle w:val="a0"/>
        <w:rPr>
          <w:rStyle w:val="afb"/>
          <w:rtl/>
        </w:rPr>
      </w:pPr>
      <w:r>
        <w:rPr>
          <w:rFonts w:hint="cs"/>
          <w:rtl/>
        </w:rPr>
        <w:t xml:space="preserve">וכתב </w:t>
      </w:r>
      <w:r w:rsidRPr="00477D93">
        <w:rPr>
          <w:rStyle w:val="af9"/>
          <w:rFonts w:hint="cs"/>
          <w:rtl/>
        </w:rPr>
        <w:t>השער"י</w:t>
      </w:r>
      <w:r>
        <w:rPr>
          <w:rFonts w:hint="cs"/>
          <w:rtl/>
        </w:rPr>
        <w:t xml:space="preserve"> דמבואר דרובא דאיתא קמן, אינו סברא בטבע, דכל חנות מהט' חנויות עומדת בפנ"ע, ואין כל בירור דט' האפשרויות הם יותר מהאפשרות האחת. [</w:t>
      </w:r>
      <w:r w:rsidRPr="006A1A71">
        <w:rPr>
          <w:rStyle w:val="afb"/>
          <w:rFonts w:hint="cs"/>
          <w:rtl/>
        </w:rPr>
        <w:t xml:space="preserve">והביא </w:t>
      </w:r>
      <w:r w:rsidRPr="006A1A71">
        <w:rPr>
          <w:rStyle w:val="affa"/>
          <w:rFonts w:hint="cs"/>
          <w:rtl/>
        </w:rPr>
        <w:t>השער"י</w:t>
      </w:r>
      <w:r w:rsidRPr="006A1A71">
        <w:rPr>
          <w:rStyle w:val="afb"/>
          <w:rFonts w:hint="cs"/>
          <w:rtl/>
        </w:rPr>
        <w:t xml:space="preserve"> דהוא דבר תמוה שאף בטבעו של עולם אנו מחזיקים שהוא רוב, דהקונה ט' שטרות של גורל ישלם יותר מקונה שטר אחד, דמסתבר שאחד מהט' שטרות יזכה, אף שכנגד כל שטר יש רוב של ט' השטרות האחרים, ובמציאות אין כל רוב דכל אחד הוא חלק מכל השטרות].</w:t>
      </w:r>
    </w:p>
    <w:p w14:paraId="0D9BB1B6" w14:textId="77777777" w:rsidR="009A2997" w:rsidRPr="00DA01A8" w:rsidRDefault="009A2997" w:rsidP="006D6D32">
      <w:pPr>
        <w:pStyle w:val="a3"/>
        <w:rPr>
          <w:rtl/>
        </w:rPr>
      </w:pPr>
      <w:bookmarkStart w:id="8306" w:name="_Toc528789815"/>
      <w:bookmarkStart w:id="8307" w:name="_Toc19390086"/>
      <w:bookmarkStart w:id="8308" w:name="_Toc19393583"/>
      <w:r>
        <w:rPr>
          <w:rFonts w:hint="cs"/>
          <w:rtl/>
        </w:rPr>
        <w:t>ביאור השער"י דרובא דא"ק רוב האפשרויות מבטלים את האפשרות האחת מדין ביטול ברוב</w:t>
      </w:r>
      <w:bookmarkEnd w:id="8306"/>
      <w:bookmarkEnd w:id="8307"/>
      <w:bookmarkEnd w:id="8308"/>
    </w:p>
    <w:p w14:paraId="28FD5DF9" w14:textId="77777777" w:rsidR="009A2997" w:rsidRDefault="009A2997" w:rsidP="00223668">
      <w:pPr>
        <w:pStyle w:val="a0"/>
        <w:rPr>
          <w:rtl/>
        </w:rPr>
      </w:pPr>
      <w:r>
        <w:rPr>
          <w:rFonts w:hint="cs"/>
          <w:rtl/>
        </w:rPr>
        <w:t xml:space="preserve">וכתב </w:t>
      </w:r>
      <w:r w:rsidRPr="00477D93">
        <w:rPr>
          <w:rStyle w:val="af9"/>
          <w:rFonts w:hint="cs"/>
          <w:rtl/>
        </w:rPr>
        <w:t>השער"י</w:t>
      </w:r>
      <w:r>
        <w:rPr>
          <w:rFonts w:hint="cs"/>
          <w:rtl/>
        </w:rPr>
        <w:t xml:space="preserve"> </w:t>
      </w:r>
      <w:r w:rsidRPr="006A1A71">
        <w:rPr>
          <w:rStyle w:val="af7"/>
          <w:rFonts w:eastAsia="Guttman Hodes" w:hint="cs"/>
          <w:rtl/>
        </w:rPr>
        <w:t>(ש"ג פ"</w:t>
      </w:r>
      <w:r w:rsidRPr="00477D93">
        <w:rPr>
          <w:rStyle w:val="af7"/>
          <w:rFonts w:eastAsia="Guttman Hodes" w:hint="cs"/>
          <w:rtl/>
        </w:rPr>
        <w:t>ד ד"ה וע"כ י"ל)</w:t>
      </w:r>
      <w:r>
        <w:rPr>
          <w:rFonts w:hint="cs"/>
          <w:rtl/>
        </w:rPr>
        <w:t xml:space="preserve"> דמוכח דהרוב של ט' חנויות שנלמד מסנהדרין, הוא מדין ביטול ברוב, דכיון שאין כל בירור מהיכן פרש הבשר, והוא ספק השקול, א"כ מבואר דהא דהתירה תורה ברוב היינו כיון שהט' חנויות גורמים היתר על הבשר, וא"א להתיר את הבשר אם הוא במציאות נבילה בלא דין ביטול ברוב, וזהו הדין גם ברוב בדיינים דהמיעוט מתבטל ברוב ואף אם גליא כלפי שמיא שהדין הוא כהמיעוט, מ"מ הוא משתנה ע"י רוב דיינים, עיי"ש במה שביאר בזה.</w:t>
      </w:r>
    </w:p>
    <w:p w14:paraId="1B0ADE8B" w14:textId="77777777" w:rsidR="009A2997" w:rsidRDefault="009A2997" w:rsidP="006D6D32">
      <w:pPr>
        <w:pStyle w:val="a3"/>
        <w:rPr>
          <w:rtl/>
        </w:rPr>
      </w:pPr>
      <w:bookmarkStart w:id="8309" w:name="_Toc528789816"/>
      <w:bookmarkStart w:id="8310" w:name="_Toc19390087"/>
      <w:bookmarkStart w:id="8311" w:name="_Toc19393584"/>
      <w:r>
        <w:rPr>
          <w:rFonts w:hint="cs"/>
          <w:rtl/>
        </w:rPr>
        <w:t>דחיית השער"י דהוא דוחק טובא דברובא דא"ק האיסור משתנה להיתר</w:t>
      </w:r>
      <w:bookmarkEnd w:id="8309"/>
      <w:bookmarkEnd w:id="8310"/>
      <w:bookmarkEnd w:id="8311"/>
    </w:p>
    <w:p w14:paraId="0B08401C" w14:textId="77777777" w:rsidR="006D46E2" w:rsidRDefault="009A2997" w:rsidP="00223668">
      <w:pPr>
        <w:pStyle w:val="a0"/>
        <w:numPr>
          <w:ilvl w:val="0"/>
          <w:numId w:val="0"/>
        </w:numPr>
        <w:rPr>
          <w:rtl/>
        </w:rPr>
      </w:pPr>
      <w:r>
        <w:rPr>
          <w:rFonts w:hint="cs"/>
          <w:rtl/>
        </w:rPr>
        <w:t xml:space="preserve">אך דחה </w:t>
      </w:r>
      <w:r w:rsidRPr="007C18C4">
        <w:rPr>
          <w:rStyle w:val="af9"/>
          <w:rFonts w:hint="cs"/>
          <w:rtl/>
        </w:rPr>
        <w:t>השער"י</w:t>
      </w:r>
      <w:r>
        <w:rPr>
          <w:rFonts w:hint="cs"/>
          <w:rtl/>
        </w:rPr>
        <w:t xml:space="preserve"> </w:t>
      </w:r>
      <w:r w:rsidRPr="009A2997">
        <w:rPr>
          <w:rStyle w:val="af7"/>
          <w:rFonts w:eastAsia="Guttman Hodes" w:hint="cs"/>
          <w:rtl/>
        </w:rPr>
        <w:t>(ש"ג פ"ד ד"ה אבל בלא"ה)</w:t>
      </w:r>
      <w:r>
        <w:rPr>
          <w:rFonts w:hint="cs"/>
          <w:rtl/>
        </w:rPr>
        <w:t xml:space="preserve"> דדוחק טובא לומר דדין כל דפריש, הוא מדין ביטול ברוב, דהאיסור משתנה להיתר, עיי"ש במה שהאריך בזה.</w:t>
      </w:r>
      <w:bookmarkStart w:id="8312" w:name="_Toc528789817"/>
    </w:p>
    <w:p w14:paraId="56901BD5" w14:textId="77777777" w:rsidR="009A2997" w:rsidRPr="0063331F" w:rsidRDefault="009A2997" w:rsidP="00BF39B2">
      <w:pPr>
        <w:pStyle w:val="1"/>
        <w:rPr>
          <w:rtl/>
        </w:rPr>
      </w:pPr>
      <w:bookmarkStart w:id="8313" w:name="_Toc19390088"/>
      <w:bookmarkStart w:id="8314" w:name="_Toc19393585"/>
      <w:r>
        <w:rPr>
          <w:rFonts w:hint="cs"/>
          <w:rtl/>
        </w:rPr>
        <w:t>ביאור השער"י דבדיינים יש דין ביטול ברוב וגם הלך אחר הרוב</w:t>
      </w:r>
      <w:bookmarkEnd w:id="8312"/>
      <w:bookmarkEnd w:id="8313"/>
      <w:bookmarkEnd w:id="8314"/>
    </w:p>
    <w:p w14:paraId="718893EA" w14:textId="77777777" w:rsidR="009A2997" w:rsidRDefault="009A2997" w:rsidP="006D6D32">
      <w:pPr>
        <w:pStyle w:val="a3"/>
        <w:rPr>
          <w:rtl/>
        </w:rPr>
      </w:pPr>
      <w:bookmarkStart w:id="8315" w:name="_Toc528789818"/>
      <w:bookmarkStart w:id="8316" w:name="_Toc19390089"/>
      <w:bookmarkStart w:id="8317" w:name="_Toc19393586"/>
      <w:r>
        <w:rPr>
          <w:rFonts w:hint="cs"/>
          <w:rtl/>
        </w:rPr>
        <w:t>דברי השער"י דברובא דא"ק אם התברר שהיה אסור צריך כפרה דלא נהפך להיתר כביטול ברוב</w:t>
      </w:r>
      <w:bookmarkEnd w:id="8315"/>
      <w:bookmarkEnd w:id="8316"/>
      <w:bookmarkEnd w:id="8317"/>
    </w:p>
    <w:p w14:paraId="1F9F7A89" w14:textId="77777777" w:rsidR="009A2997" w:rsidRDefault="009A2997" w:rsidP="00223668">
      <w:pPr>
        <w:pStyle w:val="a0"/>
        <w:rPr>
          <w:rtl/>
        </w:rPr>
      </w:pPr>
      <w:r>
        <w:rPr>
          <w:rFonts w:hint="cs"/>
          <w:rtl/>
        </w:rPr>
        <w:t xml:space="preserve">אלא כתב </w:t>
      </w:r>
      <w:r w:rsidRPr="00477D93">
        <w:rPr>
          <w:rStyle w:val="af9"/>
          <w:rFonts w:hint="cs"/>
          <w:rtl/>
        </w:rPr>
        <w:t>השער"י</w:t>
      </w:r>
      <w:r>
        <w:rPr>
          <w:rFonts w:hint="cs"/>
          <w:rtl/>
        </w:rPr>
        <w:t xml:space="preserve"> </w:t>
      </w:r>
      <w:r w:rsidRPr="00477D93">
        <w:rPr>
          <w:rStyle w:val="af7"/>
          <w:rFonts w:eastAsia="Guttman Hodes" w:hint="cs"/>
          <w:rtl/>
        </w:rPr>
        <w:t>(ש"ג פ"ד ד"ה ולכן נראה)</w:t>
      </w:r>
      <w:r>
        <w:rPr>
          <w:rFonts w:hint="cs"/>
          <w:rtl/>
        </w:rPr>
        <w:t xml:space="preserve"> דאף בביטול ברוב האיסור נהפך להיתר, מ"מ דין כל דפריש הוא דין הנהגה של היתר, אך במציאות אין היתר, ואם יתברר אח"כ שהיה איסור צריך כפרה.</w:t>
      </w:r>
    </w:p>
    <w:p w14:paraId="442C9D6E" w14:textId="77777777" w:rsidR="009A2997" w:rsidRDefault="009A2997" w:rsidP="006D6D32">
      <w:pPr>
        <w:pStyle w:val="a3"/>
        <w:rPr>
          <w:rtl/>
        </w:rPr>
      </w:pPr>
      <w:bookmarkStart w:id="8318" w:name="_Toc528789819"/>
      <w:bookmarkStart w:id="8319" w:name="_Toc19390090"/>
      <w:bookmarkStart w:id="8320" w:name="_Toc19393587"/>
      <w:r>
        <w:rPr>
          <w:rFonts w:hint="cs"/>
          <w:rtl/>
        </w:rPr>
        <w:t>דברי השער"י דברוב דיינים יש דין א' שהם מגלים מהי ההלכה ומזה ילפינן את רובא דא"ק</w:t>
      </w:r>
      <w:bookmarkEnd w:id="8318"/>
      <w:bookmarkEnd w:id="8319"/>
      <w:bookmarkEnd w:id="8320"/>
    </w:p>
    <w:p w14:paraId="7EA05F9F" w14:textId="77777777" w:rsidR="009A2997" w:rsidRDefault="009A2997" w:rsidP="00223668">
      <w:pPr>
        <w:pStyle w:val="a0"/>
        <w:rPr>
          <w:rtl/>
        </w:rPr>
      </w:pPr>
      <w:r>
        <w:rPr>
          <w:rFonts w:hint="cs"/>
          <w:rtl/>
        </w:rPr>
        <w:t xml:space="preserve">וביאר </w:t>
      </w:r>
      <w:r w:rsidRPr="00477D93">
        <w:rPr>
          <w:rStyle w:val="af9"/>
          <w:rFonts w:hint="cs"/>
          <w:rtl/>
        </w:rPr>
        <w:t>השער"י</w:t>
      </w:r>
      <w:r>
        <w:rPr>
          <w:rFonts w:hint="cs"/>
          <w:rtl/>
        </w:rPr>
        <w:t xml:space="preserve"> </w:t>
      </w:r>
      <w:r w:rsidRPr="00477D93">
        <w:rPr>
          <w:rStyle w:val="af7"/>
          <w:rFonts w:eastAsia="Guttman Hodes" w:hint="cs"/>
          <w:rtl/>
        </w:rPr>
        <w:t>(ש"ג פ"ד ד"ה ועתה עלינו)</w:t>
      </w:r>
      <w:r>
        <w:rPr>
          <w:rFonts w:hint="cs"/>
          <w:rtl/>
        </w:rPr>
        <w:t xml:space="preserve"> דמרוב בדיינים ילפינן את דין רוב בב' עניינים שונים, הא' דהוא גילוי מילתא שכך ההלכה, ובזה הדיינים אינם פועלים לחדש כל דין, ומזה ילפינן דברובא דאיתא קמן אמרינן כל דפריש מרובא פריש, דמוכח דאזלינן בתר דעת המרובים ולא כדעת המועטים.</w:t>
      </w:r>
    </w:p>
    <w:p w14:paraId="69814EB8" w14:textId="77777777" w:rsidR="009A2997" w:rsidRPr="00F14347" w:rsidRDefault="009A2997" w:rsidP="006D6D32">
      <w:pPr>
        <w:pStyle w:val="a3"/>
        <w:rPr>
          <w:rtl/>
        </w:rPr>
      </w:pPr>
      <w:bookmarkStart w:id="8321" w:name="_Toc528789820"/>
      <w:bookmarkStart w:id="8322" w:name="_Toc19390091"/>
      <w:bookmarkStart w:id="8323" w:name="_Toc19393588"/>
      <w:r>
        <w:rPr>
          <w:rFonts w:hint="cs"/>
          <w:rtl/>
        </w:rPr>
        <w:t>ביאור השער"י דברוב דיינים יש דין נוסף דמתבטלת דעת המיעוט ומזה ילפינן לביטול ברוב</w:t>
      </w:r>
      <w:bookmarkEnd w:id="8321"/>
      <w:bookmarkEnd w:id="8322"/>
      <w:bookmarkEnd w:id="8323"/>
    </w:p>
    <w:p w14:paraId="20B5E1B5" w14:textId="77777777" w:rsidR="009A2997" w:rsidRDefault="009A2997" w:rsidP="00223668">
      <w:pPr>
        <w:pStyle w:val="a0"/>
        <w:rPr>
          <w:rtl/>
        </w:rPr>
      </w:pPr>
      <w:r>
        <w:rPr>
          <w:rFonts w:hint="cs"/>
          <w:rtl/>
        </w:rPr>
        <w:t xml:space="preserve">וכתב </w:t>
      </w:r>
      <w:r w:rsidRPr="00477D93">
        <w:rPr>
          <w:rStyle w:val="af9"/>
          <w:rFonts w:hint="cs"/>
          <w:rtl/>
        </w:rPr>
        <w:t>השער"י</w:t>
      </w:r>
      <w:r>
        <w:rPr>
          <w:rFonts w:hint="cs"/>
          <w:rtl/>
        </w:rPr>
        <w:t xml:space="preserve"> דהענין הב' הוא שצריך חלות של גמר דין כמו הרוב, ואם דעת המיעוט אינה מתבטלת, אף אם הדין לעשות כמרובים עדיין יש בגמר דין את דעת המועטים שסותרת את הדין, ומבואר דדעת המועטים מתבטלת בדעת המרובים, והמיעוט הוא כמאן דליתא, ורק הדין של המרובים חל, או שהמיעוט מתהפך להיות כרוב, ומזה ילפינן את דין ביטול ברוב דהאיסור נהפך להיתר.</w:t>
      </w:r>
    </w:p>
    <w:p w14:paraId="7CA08FB4" w14:textId="77777777" w:rsidR="009A2997" w:rsidRPr="00D120AF" w:rsidRDefault="009A2997" w:rsidP="00BF39B2">
      <w:pPr>
        <w:pStyle w:val="1"/>
        <w:rPr>
          <w:rtl/>
        </w:rPr>
      </w:pPr>
      <w:bookmarkStart w:id="8324" w:name="_Toc528777222"/>
      <w:bookmarkStart w:id="8325" w:name="_Toc528789821"/>
      <w:bookmarkStart w:id="8326" w:name="_Toc19390092"/>
      <w:bookmarkStart w:id="8327" w:name="_Toc19393589"/>
      <w:r>
        <w:rPr>
          <w:rFonts w:hint="cs"/>
          <w:rtl/>
        </w:rPr>
        <w:t>דברי הגר"ח בדין רוב בדיינים וברובו ככולו</w:t>
      </w:r>
      <w:bookmarkEnd w:id="8324"/>
      <w:bookmarkEnd w:id="8325"/>
      <w:bookmarkEnd w:id="8326"/>
      <w:bookmarkEnd w:id="8327"/>
    </w:p>
    <w:p w14:paraId="36B5DA03" w14:textId="77777777" w:rsidR="009A2997" w:rsidRDefault="009A2997" w:rsidP="006D6D32">
      <w:pPr>
        <w:pStyle w:val="a3"/>
        <w:rPr>
          <w:rtl/>
        </w:rPr>
      </w:pPr>
      <w:bookmarkStart w:id="8328" w:name="_Toc528789822"/>
      <w:bookmarkStart w:id="8329" w:name="_Toc19390093"/>
      <w:bookmarkStart w:id="8330" w:name="_Toc19393590"/>
      <w:r>
        <w:rPr>
          <w:rFonts w:hint="cs"/>
          <w:rtl/>
        </w:rPr>
        <w:t>דברי הגר"ח דברוב יש דין הכרעה בספק ודין רובו ככולו</w:t>
      </w:r>
      <w:bookmarkEnd w:id="8328"/>
      <w:bookmarkEnd w:id="8329"/>
      <w:bookmarkEnd w:id="8330"/>
    </w:p>
    <w:p w14:paraId="79797509" w14:textId="77777777" w:rsidR="009A2997" w:rsidRDefault="009A2997" w:rsidP="00223668">
      <w:pPr>
        <w:pStyle w:val="a0"/>
        <w:rPr>
          <w:rtl/>
        </w:rPr>
      </w:pPr>
      <w:r w:rsidRPr="00E7221B">
        <w:rPr>
          <w:rFonts w:hint="cs"/>
          <w:rtl/>
        </w:rPr>
        <w:t xml:space="preserve">כתב </w:t>
      </w:r>
      <w:r w:rsidRPr="00477D93">
        <w:rPr>
          <w:rStyle w:val="af9"/>
          <w:rFonts w:hint="cs"/>
          <w:rtl/>
        </w:rPr>
        <w:t>בחי' הגר"ח על הש"ס</w:t>
      </w:r>
      <w:r w:rsidRPr="00E7221B">
        <w:rPr>
          <w:rFonts w:hint="cs"/>
          <w:rtl/>
        </w:rPr>
        <w:t xml:space="preserve"> </w:t>
      </w:r>
      <w:r w:rsidRPr="00A004A6">
        <w:rPr>
          <w:rStyle w:val="af7"/>
          <w:rFonts w:eastAsia="Guttman Hodes" w:hint="cs"/>
          <w:rtl/>
        </w:rPr>
        <w:t>(ב"ק דף כז:)</w:t>
      </w:r>
      <w:r w:rsidRPr="00E7221B">
        <w:rPr>
          <w:rFonts w:hint="cs"/>
          <w:rtl/>
        </w:rPr>
        <w:t xml:space="preserve"> דיש ב' דינים ברוב, הא' רוב שהוא מכריע ומברר במקום שיש ספק, והב' בדין רובו ככולו, דהוא דבר שלא שייך בו ספק כלל, כגון שחיטת רוב סימנים דקיי"ל דרובם ככולם, וכן תערובת של לח בלח דבטל ברוב, אף שאין כל ספק.</w:t>
      </w:r>
    </w:p>
    <w:p w14:paraId="438BD334" w14:textId="77777777" w:rsidR="000F2D6C" w:rsidRPr="000F2D6C" w:rsidRDefault="000F2D6C" w:rsidP="000F2D6C">
      <w:pPr>
        <w:pStyle w:val="a3"/>
        <w:rPr>
          <w:rtl/>
        </w:rPr>
      </w:pPr>
    </w:p>
    <w:p w14:paraId="66325252" w14:textId="77777777" w:rsidR="009A2997" w:rsidRPr="00E7221B" w:rsidRDefault="009A2997" w:rsidP="006D6D32">
      <w:pPr>
        <w:pStyle w:val="a3"/>
        <w:rPr>
          <w:rtl/>
        </w:rPr>
      </w:pPr>
      <w:bookmarkStart w:id="8331" w:name="_Toc528789823"/>
      <w:bookmarkStart w:id="8332" w:name="_Toc19390094"/>
      <w:bookmarkStart w:id="8333" w:name="_Toc19393591"/>
      <w:r>
        <w:rPr>
          <w:rFonts w:hint="cs"/>
          <w:rtl/>
        </w:rPr>
        <w:t>ביאור הגר"ח דרובו ככולו נלמד מהא דבדיינים הוא פסק של כל הב"ד</w:t>
      </w:r>
      <w:bookmarkEnd w:id="8331"/>
      <w:bookmarkEnd w:id="8332"/>
      <w:bookmarkEnd w:id="8333"/>
    </w:p>
    <w:p w14:paraId="338D0B3A" w14:textId="77777777" w:rsidR="009A2997" w:rsidRDefault="009A2997" w:rsidP="00223668">
      <w:pPr>
        <w:pStyle w:val="a0"/>
        <w:rPr>
          <w:rtl/>
        </w:rPr>
      </w:pPr>
      <w:r w:rsidRPr="00E7221B">
        <w:rPr>
          <w:rFonts w:hint="cs"/>
          <w:rtl/>
        </w:rPr>
        <w:t xml:space="preserve">והקשה </w:t>
      </w:r>
      <w:r w:rsidRPr="00A004A6">
        <w:rPr>
          <w:rStyle w:val="af9"/>
          <w:rFonts w:hint="cs"/>
          <w:rtl/>
        </w:rPr>
        <w:t>הגר"ח</w:t>
      </w:r>
      <w:r w:rsidRPr="00E7221B">
        <w:rPr>
          <w:rFonts w:hint="cs"/>
          <w:rtl/>
        </w:rPr>
        <w:t xml:space="preserve"> מהוא המקור לדין רובו ככולו, ותירץ דבדין אחרי רבים להטות יש ב' דינים נפרדים, הא' דבדיני נפשות צריך שיהיו כ"ג דיינים, וכשיש רוב בב"ד חשיב שיש כ"ג דיינים שדנים את הדין מדין רובו ככולו, </w:t>
      </w:r>
      <w:r>
        <w:rPr>
          <w:rFonts w:hint="cs"/>
          <w:rtl/>
        </w:rPr>
        <w:t>ומזה ילפינן שיש דין רובו ככלו דהמיעוט מתהפך ונעשה כמו הרוב.</w:t>
      </w:r>
    </w:p>
    <w:p w14:paraId="44F47814" w14:textId="77777777" w:rsidR="009A2997" w:rsidRDefault="009A2997" w:rsidP="006D6D32">
      <w:pPr>
        <w:pStyle w:val="a3"/>
        <w:rPr>
          <w:rtl/>
        </w:rPr>
      </w:pPr>
      <w:bookmarkStart w:id="8334" w:name="_Toc528789824"/>
      <w:bookmarkStart w:id="8335" w:name="_Toc19390095"/>
      <w:bookmarkStart w:id="8336" w:name="_Toc19393592"/>
      <w:r>
        <w:rPr>
          <w:rFonts w:hint="cs"/>
          <w:rtl/>
        </w:rPr>
        <w:t>דברי הגר"ח דבדיינים יש גם דין הכרעה בספק כמו הרוב ומזה ילפינן את דין רובא דא"ק</w:t>
      </w:r>
      <w:bookmarkEnd w:id="8334"/>
      <w:bookmarkEnd w:id="8335"/>
      <w:bookmarkEnd w:id="8336"/>
      <w:r>
        <w:rPr>
          <w:rFonts w:hint="cs"/>
          <w:rtl/>
        </w:rPr>
        <w:t xml:space="preserve"> </w:t>
      </w:r>
    </w:p>
    <w:p w14:paraId="71AF6018" w14:textId="77777777" w:rsidR="009A2997" w:rsidRDefault="009A2997" w:rsidP="00223668">
      <w:pPr>
        <w:pStyle w:val="a0"/>
        <w:rPr>
          <w:rtl/>
        </w:rPr>
        <w:sectPr w:rsidR="009A2997" w:rsidSect="000F2D6C">
          <w:type w:val="continuous"/>
          <w:pgSz w:w="11906" w:h="16838"/>
          <w:pgMar w:top="720" w:right="720" w:bottom="720" w:left="720" w:header="283" w:footer="283" w:gutter="0"/>
          <w:cols w:num="2" w:space="170"/>
          <w:bidi/>
          <w:rtlGutter/>
          <w:docGrid w:linePitch="299"/>
        </w:sectPr>
      </w:pPr>
      <w:r>
        <w:rPr>
          <w:rFonts w:hint="cs"/>
          <w:rtl/>
        </w:rPr>
        <w:t xml:space="preserve">וכתב </w:t>
      </w:r>
      <w:r w:rsidRPr="00A004A6">
        <w:rPr>
          <w:rStyle w:val="af9"/>
          <w:rFonts w:hint="cs"/>
          <w:rtl/>
        </w:rPr>
        <w:t>הגר"ח</w:t>
      </w:r>
      <w:r>
        <w:rPr>
          <w:rFonts w:hint="cs"/>
          <w:rtl/>
        </w:rPr>
        <w:t xml:space="preserve"> דכיון שהדין אינו תלוי בדעת הב"ד, וצריך שיכוונו את הדין לאמיתו, וכל שיש מיעוט שחולקים, א"א להכריע את הדין ונשאר ספק, ובזה לא סגי בדין רובו ככולו, דצריך לברר את הדין לאמיתו, ומוכח דאף בזה אזלינן בתר רובא, שהרוב מכריע את הספק, ועיי"ש במה שתירץ לפי"ז </w:t>
      </w:r>
      <w:r w:rsidRPr="006A1A71">
        <w:rPr>
          <w:rStyle w:val="af9"/>
          <w:rFonts w:hint="cs"/>
          <w:rtl/>
        </w:rPr>
        <w:t xml:space="preserve">הגרנ"ט </w:t>
      </w:r>
      <w:r>
        <w:rPr>
          <w:rFonts w:hint="cs"/>
          <w:rtl/>
        </w:rPr>
        <w:t xml:space="preserve">את קושית </w:t>
      </w:r>
      <w:r w:rsidRPr="006A1A71">
        <w:rPr>
          <w:rStyle w:val="af9"/>
          <w:rFonts w:hint="cs"/>
          <w:rtl/>
        </w:rPr>
        <w:t xml:space="preserve">המרדכי </w:t>
      </w:r>
      <w:r w:rsidRPr="0086302D">
        <w:rPr>
          <w:rStyle w:val="af7"/>
          <w:rFonts w:eastAsia="Guttman Hodes" w:hint="cs"/>
          <w:rtl/>
        </w:rPr>
        <w:t xml:space="preserve">(עי' אות </w:t>
      </w:r>
      <w:r w:rsidRPr="0086302D">
        <w:rPr>
          <w:rStyle w:val="af7"/>
          <w:rFonts w:eastAsia="Guttman Hodes"/>
          <w:rtl/>
        </w:rPr>
        <w:fldChar w:fldCharType="begin"/>
      </w:r>
      <w:r w:rsidRPr="0086302D">
        <w:rPr>
          <w:rStyle w:val="af7"/>
          <w:rFonts w:eastAsia="Guttman Hodes"/>
          <w:rtl/>
        </w:rPr>
        <w:instrText xml:space="preserve"> </w:instrText>
      </w:r>
      <w:r w:rsidRPr="0086302D">
        <w:rPr>
          <w:rStyle w:val="af7"/>
          <w:rFonts w:eastAsia="Guttman Hodes" w:hint="cs"/>
        </w:rPr>
        <w:instrText>REF</w:instrText>
      </w:r>
      <w:r w:rsidRPr="0086302D">
        <w:rPr>
          <w:rStyle w:val="af7"/>
          <w:rFonts w:eastAsia="Guttman Hodes" w:hint="cs"/>
          <w:rtl/>
        </w:rPr>
        <w:instrText xml:space="preserve"> _</w:instrText>
      </w:r>
      <w:r w:rsidRPr="0086302D">
        <w:rPr>
          <w:rStyle w:val="af7"/>
          <w:rFonts w:eastAsia="Guttman Hodes" w:hint="cs"/>
        </w:rPr>
        <w:instrText>Ref528772590 \r \h</w:instrText>
      </w:r>
      <w:r w:rsidRPr="0086302D">
        <w:rPr>
          <w:rStyle w:val="af7"/>
          <w:rFonts w:eastAsia="Guttman Hodes"/>
          <w:rtl/>
        </w:rPr>
        <w:instrText xml:space="preserve"> </w:instrText>
      </w:r>
      <w:r w:rsidRPr="0086302D">
        <w:rPr>
          <w:rStyle w:val="af7"/>
          <w:rFonts w:eastAsia="Guttman Hodes"/>
          <w:rtl/>
        </w:rPr>
      </w:r>
      <w:r w:rsidRPr="0086302D">
        <w:rPr>
          <w:rStyle w:val="af7"/>
          <w:rFonts w:eastAsia="Guttman Hodes"/>
          <w:rtl/>
        </w:rPr>
        <w:fldChar w:fldCharType="separate"/>
      </w:r>
      <w:r w:rsidR="00345400">
        <w:rPr>
          <w:rStyle w:val="af7"/>
          <w:rFonts w:eastAsia="Guttman Hodes"/>
          <w:cs/>
        </w:rPr>
        <w:t>‎</w:t>
      </w:r>
      <w:r w:rsidR="00345400">
        <w:rPr>
          <w:rStyle w:val="af7"/>
          <w:rFonts w:eastAsia="Guttman Hodes"/>
          <w:rtl/>
        </w:rPr>
        <w:t>לג)</w:t>
      </w:r>
      <w:r w:rsidRPr="0086302D">
        <w:rPr>
          <w:rStyle w:val="af7"/>
          <w:rFonts w:eastAsia="Guttman Hodes"/>
          <w:rtl/>
        </w:rPr>
        <w:fldChar w:fldCharType="end"/>
      </w:r>
      <w:r>
        <w:rPr>
          <w:rFonts w:hint="cs"/>
          <w:rtl/>
        </w:rPr>
        <w:t xml:space="preserve"> דהרוב בדיינים הוא קבוע.</w:t>
      </w:r>
    </w:p>
    <w:p w14:paraId="700667D6" w14:textId="77777777" w:rsidR="00FF5773" w:rsidRPr="009363B7" w:rsidRDefault="00FF5773" w:rsidP="00223668">
      <w:pPr>
        <w:pStyle w:val="a0"/>
        <w:numPr>
          <w:ilvl w:val="0"/>
          <w:numId w:val="0"/>
        </w:numPr>
        <w:rPr>
          <w:rtl/>
        </w:rPr>
      </w:pPr>
    </w:p>
    <w:p w14:paraId="40CA64F8" w14:textId="77777777" w:rsidR="00E12B13" w:rsidRDefault="00E12B13" w:rsidP="00590E50">
      <w:pPr>
        <w:pStyle w:val="aff4"/>
        <w:rPr>
          <w:rtl/>
        </w:rPr>
        <w:sectPr w:rsidR="00E12B13" w:rsidSect="00FF5773">
          <w:type w:val="continuous"/>
          <w:pgSz w:w="11906" w:h="16838"/>
          <w:pgMar w:top="720" w:right="720" w:bottom="720" w:left="720" w:header="283" w:footer="283" w:gutter="0"/>
          <w:cols w:num="2" w:space="170"/>
          <w:bidi/>
          <w:rtlGutter/>
          <w:docGrid w:linePitch="299"/>
        </w:sectPr>
      </w:pPr>
    </w:p>
    <w:p w14:paraId="2F904B0C" w14:textId="77777777" w:rsidR="00FB0353" w:rsidRDefault="00FB0353" w:rsidP="006D6D32">
      <w:pPr>
        <w:pStyle w:val="afd"/>
      </w:pPr>
      <w:bookmarkStart w:id="8337" w:name="_Toc529444957"/>
      <w:bookmarkStart w:id="8338" w:name="_Toc529704469"/>
      <w:bookmarkStart w:id="8339" w:name="_Toc529738925"/>
      <w:bookmarkStart w:id="8340" w:name="_Toc534142073"/>
      <w:bookmarkStart w:id="8341" w:name="_Toc16669739"/>
      <w:bookmarkStart w:id="8342" w:name="_Toc19435566"/>
      <w:bookmarkStart w:id="8343" w:name="_Toc20080862"/>
      <w:r>
        <w:rPr>
          <w:rFonts w:hint="cs"/>
          <w:rtl/>
        </w:rPr>
        <w:t>סימן ט'</w:t>
      </w:r>
      <w:bookmarkEnd w:id="8337"/>
      <w:bookmarkEnd w:id="8338"/>
      <w:bookmarkEnd w:id="8339"/>
      <w:bookmarkEnd w:id="8340"/>
      <w:bookmarkEnd w:id="8341"/>
      <w:bookmarkEnd w:id="8342"/>
      <w:bookmarkEnd w:id="8343"/>
    </w:p>
    <w:p w14:paraId="4D9BD3BD" w14:textId="77777777" w:rsidR="00FB0353" w:rsidRDefault="00FB0353" w:rsidP="006D6D32">
      <w:pPr>
        <w:pStyle w:val="afd"/>
        <w:rPr>
          <w:rtl/>
        </w:rPr>
      </w:pPr>
      <w:bookmarkStart w:id="8344" w:name="_Toc529444958"/>
      <w:bookmarkStart w:id="8345" w:name="_Toc529704470"/>
      <w:bookmarkStart w:id="8346" w:name="_Toc529738926"/>
      <w:bookmarkStart w:id="8347" w:name="_Toc534142074"/>
      <w:bookmarkStart w:id="8348" w:name="_Toc16669740"/>
      <w:bookmarkStart w:id="8349" w:name="_Toc19435567"/>
      <w:bookmarkStart w:id="8350" w:name="_Toc20080863"/>
      <w:r>
        <w:rPr>
          <w:rFonts w:hint="cs"/>
          <w:rtl/>
        </w:rPr>
        <w:t>בסוגיא ד</w:t>
      </w:r>
      <w:r w:rsidRPr="009D697A">
        <w:rPr>
          <w:rFonts w:hint="cs"/>
          <w:rtl/>
        </w:rPr>
        <w:t>רוב (ב')</w:t>
      </w:r>
      <w:bookmarkEnd w:id="8344"/>
      <w:bookmarkEnd w:id="8345"/>
      <w:bookmarkEnd w:id="8346"/>
      <w:bookmarkEnd w:id="8347"/>
      <w:bookmarkEnd w:id="8348"/>
      <w:bookmarkEnd w:id="8349"/>
      <w:bookmarkEnd w:id="8350"/>
    </w:p>
    <w:p w14:paraId="6E16E554" w14:textId="77777777" w:rsidR="00FB0353" w:rsidRPr="006E4372" w:rsidRDefault="00FB0353" w:rsidP="006D6D32">
      <w:pPr>
        <w:pStyle w:val="afd"/>
        <w:rPr>
          <w:rtl/>
        </w:rPr>
      </w:pPr>
      <w:bookmarkStart w:id="8351" w:name="_Toc529444959"/>
      <w:bookmarkStart w:id="8352" w:name="_Toc529704471"/>
      <w:bookmarkStart w:id="8353" w:name="_Toc529738927"/>
      <w:bookmarkStart w:id="8354" w:name="_Toc16669741"/>
      <w:bookmarkStart w:id="8355" w:name="_Toc19435568"/>
      <w:bookmarkStart w:id="8356" w:name="_Toc20080864"/>
      <w:r>
        <w:rPr>
          <w:rFonts w:hint="cs"/>
          <w:rtl/>
        </w:rPr>
        <w:t>בענין חזקה שלא נתבררה בשעתה וחזקה מכח רוב</w:t>
      </w:r>
      <w:bookmarkEnd w:id="8351"/>
      <w:bookmarkEnd w:id="8352"/>
      <w:bookmarkEnd w:id="8353"/>
      <w:bookmarkEnd w:id="8354"/>
      <w:bookmarkEnd w:id="8355"/>
      <w:bookmarkEnd w:id="8356"/>
    </w:p>
    <w:p w14:paraId="7F68C864" w14:textId="77777777" w:rsidR="00FB0353" w:rsidRDefault="00FB0353" w:rsidP="005548CF">
      <w:pPr>
        <w:pStyle w:val="2"/>
        <w:keepNext w:val="0"/>
        <w:keepLines w:val="0"/>
        <w:rPr>
          <w:rtl/>
        </w:rPr>
      </w:pPr>
    </w:p>
    <w:p w14:paraId="71DC8E59" w14:textId="77777777" w:rsidR="00FB0353" w:rsidRDefault="000A0C31" w:rsidP="005548CF">
      <w:pPr>
        <w:pStyle w:val="2"/>
        <w:keepNext w:val="0"/>
        <w:keepLines w:val="0"/>
        <w:rPr>
          <w:rtl/>
        </w:rPr>
      </w:pPr>
      <w:r>
        <w:rPr>
          <w:rFonts w:hint="cs"/>
          <w:rtl/>
        </w:rPr>
        <w:t>מפתח הסוגיא</w:t>
      </w:r>
    </w:p>
    <w:p w14:paraId="354DED6F" w14:textId="77777777" w:rsidR="00FB0353" w:rsidRDefault="00FB0353" w:rsidP="005548CF">
      <w:pPr>
        <w:pStyle w:val="2"/>
        <w:keepNext w:val="0"/>
        <w:keepLines w:val="0"/>
        <w:rPr>
          <w:rtl/>
        </w:rPr>
        <w:sectPr w:rsidR="00FB0353" w:rsidSect="000F2D6C">
          <w:headerReference w:type="default" r:id="rId62"/>
          <w:headerReference w:type="first" r:id="rId63"/>
          <w:footerReference w:type="first" r:id="rId64"/>
          <w:pgSz w:w="11906" w:h="16838"/>
          <w:pgMar w:top="720" w:right="720" w:bottom="720" w:left="720" w:header="283" w:footer="283" w:gutter="0"/>
          <w:cols w:space="113"/>
          <w:bidi/>
          <w:rtlGutter/>
          <w:docGrid w:linePitch="299"/>
        </w:sectPr>
      </w:pPr>
    </w:p>
    <w:p w14:paraId="099A93F8" w14:textId="77777777" w:rsidR="00FB0353" w:rsidRDefault="00FB0353" w:rsidP="005548CF">
      <w:pPr>
        <w:pStyle w:val="2"/>
        <w:keepNext w:val="0"/>
        <w:keepLines w:val="0"/>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bookmarkStart w:id="8357" w:name="_Toc19435570"/>
      <w:r>
        <w:rPr>
          <w:noProof/>
          <w:rtl/>
        </w:rPr>
        <w:t>מראי מקומות וביאורים על הסוגיא</w:t>
      </w:r>
      <w:bookmarkEnd w:id="8357"/>
    </w:p>
    <w:p w14:paraId="0A2B4001" w14:textId="77777777" w:rsidR="00FB0353" w:rsidRDefault="00FB0353" w:rsidP="005548CF">
      <w:pPr>
        <w:pStyle w:val="2"/>
        <w:keepNext w:val="0"/>
        <w:keepLines w:val="0"/>
        <w:rPr>
          <w:rFonts w:eastAsiaTheme="minorEastAsia" w:cstheme="minorBidi"/>
          <w:i/>
          <w:iCs/>
          <w:noProof/>
          <w:sz w:val="22"/>
          <w:szCs w:val="22"/>
          <w:rtl/>
        </w:rPr>
      </w:pPr>
      <w:bookmarkStart w:id="8358" w:name="_Toc19435571"/>
      <w:r>
        <w:rPr>
          <w:noProof/>
          <w:rtl/>
        </w:rPr>
        <w:t>בחזקה שלא נתבררה בשעתה</w:t>
      </w:r>
      <w:bookmarkEnd w:id="8358"/>
    </w:p>
    <w:p w14:paraId="38430E9A" w14:textId="77777777" w:rsidR="00FB0353" w:rsidRDefault="00FB0353" w:rsidP="005548CF">
      <w:pPr>
        <w:pStyle w:val="aff4"/>
        <w:rPr>
          <w:rFonts w:eastAsiaTheme="minorEastAsia" w:cstheme="minorBidi"/>
          <w:i/>
          <w:iCs/>
          <w:noProof/>
          <w:sz w:val="22"/>
          <w:szCs w:val="22"/>
          <w:rtl/>
        </w:rPr>
      </w:pPr>
      <w:bookmarkStart w:id="8359" w:name="_Toc19435572"/>
      <w:bookmarkStart w:id="8360" w:name="_Toc20080865"/>
      <w:r>
        <w:rPr>
          <w:noProof/>
          <w:rtl/>
        </w:rPr>
        <w:t>קושית התוס' דפרה ועדים זוממין הם מדין חזקה ולא מדין רוב</w:t>
      </w:r>
      <w:bookmarkEnd w:id="8359"/>
      <w:bookmarkEnd w:id="8360"/>
    </w:p>
    <w:p w14:paraId="7F93F22C" w14:textId="77777777" w:rsidR="000F2D6C" w:rsidRPr="005077A7" w:rsidRDefault="000F2D6C" w:rsidP="00E12979">
      <w:pPr>
        <w:pStyle w:val="a"/>
        <w:numPr>
          <w:ilvl w:val="0"/>
          <w:numId w:val="26"/>
        </w:numPr>
        <w:rPr>
          <w:rFonts w:eastAsiaTheme="minorEastAsia" w:cstheme="minorBidi"/>
          <w:noProof/>
          <w:sz w:val="22"/>
          <w:szCs w:val="22"/>
        </w:rPr>
      </w:pPr>
      <w:r w:rsidRPr="00E12B13">
        <w:rPr>
          <w:noProof/>
          <w:rtl/>
        </w:rPr>
        <w:t>קושית התוס' דבפרה ועדים זוממין לא חיישינן לטריפה דמעמידים על החזקה ואינו מדין רוב</w:t>
      </w:r>
      <w:r>
        <w:rPr>
          <w:noProof/>
          <w:rtl/>
        </w:rPr>
        <w:t xml:space="preserve"> </w:t>
      </w:r>
    </w:p>
    <w:p w14:paraId="69BE8615" w14:textId="77777777" w:rsidR="00FB0353" w:rsidRDefault="00FB0353" w:rsidP="005077A7">
      <w:pPr>
        <w:pStyle w:val="a"/>
        <w:rPr>
          <w:rFonts w:eastAsiaTheme="minorEastAsia" w:cstheme="minorBidi"/>
          <w:noProof/>
          <w:sz w:val="22"/>
          <w:szCs w:val="22"/>
          <w:rtl/>
        </w:rPr>
      </w:pPr>
      <w:r>
        <w:rPr>
          <w:noProof/>
          <w:rtl/>
        </w:rPr>
        <w:t>קושית הרמב"ן דבפרה מעמידים אותה על החזקה ועל הרוב ואין ראיה לרוב לבד וחזקה לבד</w:t>
      </w:r>
    </w:p>
    <w:p w14:paraId="4D2AB675" w14:textId="77777777" w:rsidR="00FB0353" w:rsidRDefault="00FB0353" w:rsidP="005548CF">
      <w:pPr>
        <w:pStyle w:val="aff4"/>
        <w:rPr>
          <w:rFonts w:eastAsiaTheme="minorEastAsia" w:cstheme="minorBidi"/>
          <w:i/>
          <w:iCs/>
          <w:noProof/>
          <w:sz w:val="22"/>
          <w:szCs w:val="22"/>
          <w:rtl/>
        </w:rPr>
      </w:pPr>
      <w:bookmarkStart w:id="8361" w:name="_Toc19435573"/>
      <w:bookmarkStart w:id="8362" w:name="_Toc20080866"/>
      <w:r>
        <w:rPr>
          <w:noProof/>
          <w:rtl/>
        </w:rPr>
        <w:t>דעת התוס' דחזקה שלא נתבררה בשעתה אינה חזקה</w:t>
      </w:r>
      <w:bookmarkEnd w:id="8361"/>
      <w:bookmarkEnd w:id="8362"/>
    </w:p>
    <w:p w14:paraId="7AA696BE" w14:textId="77777777" w:rsidR="00FB0353" w:rsidRDefault="00FB0353" w:rsidP="005077A7">
      <w:pPr>
        <w:pStyle w:val="a"/>
        <w:rPr>
          <w:rFonts w:eastAsiaTheme="minorEastAsia" w:cstheme="minorBidi"/>
          <w:noProof/>
          <w:sz w:val="22"/>
          <w:szCs w:val="22"/>
          <w:rtl/>
        </w:rPr>
      </w:pPr>
      <w:r>
        <w:rPr>
          <w:noProof/>
          <w:rtl/>
        </w:rPr>
        <w:t>תירוץ התוס' דחזקה שלא היה ידועה לנו בבירור בשעת החזקה לא אזלינן בתרה</w:t>
      </w:r>
    </w:p>
    <w:p w14:paraId="63F1FAF8" w14:textId="77777777" w:rsidR="00FB0353" w:rsidRDefault="00FB0353" w:rsidP="005077A7">
      <w:pPr>
        <w:pStyle w:val="a"/>
        <w:rPr>
          <w:rFonts w:eastAsiaTheme="minorEastAsia" w:cstheme="minorBidi"/>
          <w:noProof/>
          <w:sz w:val="22"/>
          <w:szCs w:val="22"/>
          <w:rtl/>
        </w:rPr>
      </w:pPr>
      <w:r>
        <w:rPr>
          <w:noProof/>
          <w:rtl/>
        </w:rPr>
        <w:t>ביאור הרשב"א והר"ן בתוס' דאזלינן רק בתר חזקה שידועה בשעת החזקה כחזקת פנויה או נשואה</w:t>
      </w:r>
    </w:p>
    <w:p w14:paraId="5535F75A" w14:textId="77777777" w:rsidR="00FB0353" w:rsidRDefault="00FB0353" w:rsidP="005548CF">
      <w:pPr>
        <w:pStyle w:val="aff4"/>
        <w:rPr>
          <w:rFonts w:eastAsiaTheme="minorEastAsia" w:cstheme="minorBidi"/>
          <w:i/>
          <w:iCs/>
          <w:noProof/>
          <w:sz w:val="22"/>
          <w:szCs w:val="22"/>
          <w:rtl/>
        </w:rPr>
      </w:pPr>
      <w:bookmarkStart w:id="8363" w:name="_Toc19435574"/>
      <w:bookmarkStart w:id="8364" w:name="_Toc20080867"/>
      <w:r>
        <w:rPr>
          <w:noProof/>
          <w:rtl/>
        </w:rPr>
        <w:t>תירוצי הרמב"ן והרשב"א על קושית התוס'</w:t>
      </w:r>
      <w:bookmarkEnd w:id="8363"/>
      <w:bookmarkEnd w:id="8364"/>
    </w:p>
    <w:p w14:paraId="125F09D2" w14:textId="77777777" w:rsidR="00FB0353" w:rsidRDefault="00FB0353" w:rsidP="005077A7">
      <w:pPr>
        <w:pStyle w:val="a"/>
        <w:rPr>
          <w:rFonts w:eastAsiaTheme="minorEastAsia" w:cstheme="minorBidi"/>
          <w:noProof/>
          <w:sz w:val="22"/>
          <w:szCs w:val="22"/>
          <w:rtl/>
        </w:rPr>
      </w:pPr>
      <w:r>
        <w:rPr>
          <w:noProof/>
          <w:rtl/>
        </w:rPr>
        <w:t>תירוץ הרמב"ן דראיית הגמ' מפרה היא רק למ"ד דטריפה חיה דלדידיה אין כל חזקה</w:t>
      </w:r>
    </w:p>
    <w:p w14:paraId="630873C3" w14:textId="77777777" w:rsidR="00FB0353" w:rsidRDefault="00FB0353" w:rsidP="005077A7">
      <w:pPr>
        <w:pStyle w:val="a"/>
        <w:rPr>
          <w:rFonts w:eastAsiaTheme="minorEastAsia" w:cstheme="minorBidi"/>
          <w:noProof/>
          <w:sz w:val="22"/>
          <w:szCs w:val="22"/>
          <w:rtl/>
        </w:rPr>
      </w:pPr>
      <w:r>
        <w:rPr>
          <w:noProof/>
          <w:rtl/>
        </w:rPr>
        <w:t>דברי הרשב"א דלרב אחא שאין מקור לחזקה הביאה הגמ' ראיה מפרה דהא רוב עדיף מחזקה</w:t>
      </w:r>
    </w:p>
    <w:p w14:paraId="564DDBB3" w14:textId="77777777" w:rsidR="00FB0353" w:rsidRDefault="00FB0353" w:rsidP="005548CF">
      <w:pPr>
        <w:pStyle w:val="aff4"/>
        <w:rPr>
          <w:rFonts w:eastAsiaTheme="minorEastAsia" w:cstheme="minorBidi"/>
          <w:i/>
          <w:iCs/>
          <w:noProof/>
          <w:sz w:val="22"/>
          <w:szCs w:val="22"/>
          <w:rtl/>
        </w:rPr>
      </w:pPr>
      <w:bookmarkStart w:id="8365" w:name="_Toc19435575"/>
      <w:bookmarkStart w:id="8366" w:name="_Toc20080868"/>
      <w:r>
        <w:rPr>
          <w:noProof/>
          <w:rtl/>
        </w:rPr>
        <w:t>דעת התוס' דבחזקה שלא נתבררה בשעתה הגבינות אסורות</w:t>
      </w:r>
      <w:bookmarkEnd w:id="8365"/>
      <w:bookmarkEnd w:id="8366"/>
    </w:p>
    <w:p w14:paraId="03F25665" w14:textId="77777777" w:rsidR="00FB0353" w:rsidRDefault="00FB0353" w:rsidP="005077A7">
      <w:pPr>
        <w:pStyle w:val="a"/>
        <w:rPr>
          <w:rFonts w:eastAsiaTheme="minorEastAsia" w:cstheme="minorBidi"/>
          <w:noProof/>
          <w:sz w:val="22"/>
          <w:szCs w:val="22"/>
          <w:rtl/>
        </w:rPr>
      </w:pPr>
      <w:r>
        <w:rPr>
          <w:noProof/>
          <w:rtl/>
        </w:rPr>
        <w:t>דברי התוס' דכיון שחזקה שלא נתבררה בשעתה אינה חזקה לכן הגבינות שנחלבו ממנה אסורות</w:t>
      </w:r>
    </w:p>
    <w:p w14:paraId="02E9178B" w14:textId="77777777" w:rsidR="00FB0353" w:rsidRDefault="00FB0353" w:rsidP="005548CF">
      <w:pPr>
        <w:pStyle w:val="aff4"/>
        <w:rPr>
          <w:rFonts w:eastAsiaTheme="minorEastAsia" w:cstheme="minorBidi"/>
          <w:i/>
          <w:iCs/>
          <w:noProof/>
          <w:sz w:val="22"/>
          <w:szCs w:val="22"/>
          <w:rtl/>
        </w:rPr>
      </w:pPr>
      <w:bookmarkStart w:id="8367" w:name="_Toc19435576"/>
      <w:bookmarkStart w:id="8368" w:name="_Toc20080869"/>
      <w:r>
        <w:rPr>
          <w:noProof/>
          <w:rtl/>
        </w:rPr>
        <w:t>דעת הרשב"ם דהגבינות מותרות מדין חזקה</w:t>
      </w:r>
      <w:bookmarkEnd w:id="8367"/>
      <w:bookmarkEnd w:id="8368"/>
    </w:p>
    <w:p w14:paraId="4338E179" w14:textId="77777777" w:rsidR="00FB0353" w:rsidRDefault="00FB0353" w:rsidP="005077A7">
      <w:pPr>
        <w:pStyle w:val="a"/>
        <w:rPr>
          <w:rFonts w:eastAsiaTheme="minorEastAsia" w:cstheme="minorBidi"/>
          <w:noProof/>
          <w:sz w:val="22"/>
          <w:szCs w:val="22"/>
          <w:rtl/>
        </w:rPr>
      </w:pPr>
      <w:r>
        <w:rPr>
          <w:noProof/>
          <w:rtl/>
        </w:rPr>
        <w:t>דברי ספר התרומה בשם הרשב"ם דאזלינן בתר חזקה שלא נתבררה בשעתה והגבינות מותרות</w:t>
      </w:r>
    </w:p>
    <w:p w14:paraId="782EBEB7" w14:textId="77777777" w:rsidR="00FB0353" w:rsidRDefault="00FB0353" w:rsidP="005077A7">
      <w:pPr>
        <w:pStyle w:val="a"/>
        <w:rPr>
          <w:rFonts w:eastAsiaTheme="minorEastAsia" w:cstheme="minorBidi"/>
          <w:noProof/>
          <w:sz w:val="22"/>
          <w:szCs w:val="22"/>
          <w:rtl/>
        </w:rPr>
      </w:pPr>
      <w:r>
        <w:rPr>
          <w:noProof/>
          <w:rtl/>
        </w:rPr>
        <w:t>דברי השערי דורא [ברשב"ם] דההיתר בגבינות הוא כיון שהרוב מברר את החזקה</w:t>
      </w:r>
    </w:p>
    <w:p w14:paraId="34576892" w14:textId="77777777" w:rsidR="00FB0353" w:rsidRDefault="00FB0353" w:rsidP="005548CF">
      <w:pPr>
        <w:pStyle w:val="aff4"/>
        <w:rPr>
          <w:rFonts w:eastAsiaTheme="minorEastAsia" w:cstheme="minorBidi"/>
          <w:i/>
          <w:iCs/>
          <w:noProof/>
          <w:sz w:val="22"/>
          <w:szCs w:val="22"/>
          <w:rtl/>
        </w:rPr>
      </w:pPr>
      <w:bookmarkStart w:id="8369" w:name="_Toc19435577"/>
      <w:bookmarkStart w:id="8370" w:name="_Toc20080870"/>
      <w:r>
        <w:rPr>
          <w:noProof/>
          <w:rtl/>
        </w:rPr>
        <w:t>פלוגתת המהרי"ט והנוב"י בגדר חזקה שלא נבררה בשעתה</w:t>
      </w:r>
      <w:bookmarkEnd w:id="8369"/>
      <w:bookmarkEnd w:id="8370"/>
    </w:p>
    <w:p w14:paraId="185366B5" w14:textId="77777777" w:rsidR="00FB0353" w:rsidRDefault="00FB0353" w:rsidP="005077A7">
      <w:pPr>
        <w:pStyle w:val="a"/>
        <w:rPr>
          <w:rFonts w:eastAsiaTheme="minorEastAsia" w:cstheme="minorBidi"/>
          <w:noProof/>
          <w:sz w:val="22"/>
          <w:szCs w:val="22"/>
          <w:rtl/>
        </w:rPr>
      </w:pPr>
      <w:r>
        <w:rPr>
          <w:noProof/>
          <w:rtl/>
        </w:rPr>
        <w:t xml:space="preserve">דברי המהרי"ט דבנגע בא' בלילה שלא ראינו שהיה חי </w:t>
      </w:r>
      <w:r>
        <w:rPr>
          <w:rFonts w:hint="cs"/>
          <w:noProof/>
          <w:rtl/>
        </w:rPr>
        <w:t>מוכח ד</w:t>
      </w:r>
      <w:r>
        <w:rPr>
          <w:noProof/>
          <w:rtl/>
        </w:rPr>
        <w:t>אין לו חזקת חי דלא נתבררה בשעתה</w:t>
      </w:r>
    </w:p>
    <w:p w14:paraId="5297F409" w14:textId="77777777" w:rsidR="00FB0353" w:rsidRDefault="00FB0353" w:rsidP="005077A7">
      <w:pPr>
        <w:pStyle w:val="a"/>
        <w:rPr>
          <w:rFonts w:eastAsiaTheme="minorEastAsia" w:cstheme="minorBidi"/>
          <w:noProof/>
          <w:sz w:val="22"/>
          <w:szCs w:val="22"/>
          <w:rtl/>
        </w:rPr>
      </w:pPr>
      <w:r>
        <w:rPr>
          <w:noProof/>
          <w:rtl/>
        </w:rPr>
        <w:t>דחיית הנוב"י דמבקום שודאי הייתה לו חזקה אלא שלא ידענו ממנה חשיב נתבררה בשעתה</w:t>
      </w:r>
    </w:p>
    <w:p w14:paraId="2A79E5A5" w14:textId="77777777" w:rsidR="00FB0353" w:rsidRDefault="00FB0353" w:rsidP="005077A7">
      <w:pPr>
        <w:pStyle w:val="a"/>
        <w:rPr>
          <w:rFonts w:eastAsiaTheme="minorEastAsia" w:cstheme="minorBidi"/>
          <w:noProof/>
          <w:sz w:val="22"/>
          <w:szCs w:val="22"/>
          <w:rtl/>
        </w:rPr>
      </w:pPr>
      <w:r>
        <w:rPr>
          <w:noProof/>
          <w:rtl/>
        </w:rPr>
        <w:t>ביאור הבית אפרים דדוקא במקום שהיה ספק שהתברר למפרע חשיב לא נתבררה בשעתה</w:t>
      </w:r>
    </w:p>
    <w:p w14:paraId="216BC5C2" w14:textId="77777777" w:rsidR="00FB0353" w:rsidRDefault="00FB0353" w:rsidP="005077A7">
      <w:pPr>
        <w:pStyle w:val="a"/>
        <w:rPr>
          <w:rFonts w:eastAsiaTheme="minorEastAsia" w:cstheme="minorBidi"/>
          <w:noProof/>
          <w:sz w:val="22"/>
          <w:szCs w:val="22"/>
          <w:rtl/>
        </w:rPr>
      </w:pPr>
      <w:r>
        <w:rPr>
          <w:noProof/>
          <w:rtl/>
        </w:rPr>
        <w:t>הוכחת הנוב"י מדברי הרשב"א דחזקת פנויה נתבררה בשעתה וא"צ שהחזקה תהיה ידועה לנו</w:t>
      </w:r>
    </w:p>
    <w:p w14:paraId="3E8E5CA6" w14:textId="77777777" w:rsidR="00FB0353" w:rsidRDefault="00FB0353" w:rsidP="005077A7">
      <w:pPr>
        <w:pStyle w:val="a"/>
        <w:rPr>
          <w:rFonts w:eastAsiaTheme="minorEastAsia" w:cstheme="minorBidi"/>
          <w:noProof/>
          <w:sz w:val="22"/>
          <w:szCs w:val="22"/>
          <w:rtl/>
        </w:rPr>
      </w:pPr>
      <w:r>
        <w:rPr>
          <w:noProof/>
          <w:rtl/>
        </w:rPr>
        <w:t>הוכחת הפנ"י מתוס' דחזקהת בהמה של נכרי שלא ביכרה נתבררה בשעתה אף שאינה ידועה לנו</w:t>
      </w:r>
    </w:p>
    <w:p w14:paraId="7685167B" w14:textId="77777777" w:rsidR="00FB0353" w:rsidRDefault="00FB0353" w:rsidP="005548CF">
      <w:pPr>
        <w:pStyle w:val="aff4"/>
        <w:rPr>
          <w:rFonts w:eastAsiaTheme="minorEastAsia" w:cstheme="minorBidi"/>
          <w:i/>
          <w:iCs/>
          <w:noProof/>
          <w:sz w:val="22"/>
          <w:szCs w:val="22"/>
          <w:rtl/>
        </w:rPr>
      </w:pPr>
      <w:bookmarkStart w:id="8371" w:name="_Toc19435578"/>
      <w:bookmarkStart w:id="8372" w:name="_Toc20080871"/>
      <w:r>
        <w:rPr>
          <w:noProof/>
          <w:rtl/>
        </w:rPr>
        <w:t>דברי הש"ש דאף חזקה דהשתא צריך שתתברר בשעתה</w:t>
      </w:r>
      <w:bookmarkEnd w:id="8371"/>
      <w:bookmarkEnd w:id="8372"/>
    </w:p>
    <w:p w14:paraId="6ABC6624" w14:textId="77777777" w:rsidR="00FB0353" w:rsidRDefault="00FB0353" w:rsidP="005077A7">
      <w:pPr>
        <w:pStyle w:val="a"/>
        <w:rPr>
          <w:rFonts w:eastAsiaTheme="minorEastAsia" w:cstheme="minorBidi"/>
          <w:noProof/>
          <w:sz w:val="22"/>
          <w:szCs w:val="22"/>
          <w:rtl/>
        </w:rPr>
      </w:pPr>
      <w:r>
        <w:rPr>
          <w:noProof/>
          <w:rtl/>
        </w:rPr>
        <w:t>דברי הש"ש דלדעת התוס' אף בחזקה דהשתא לא אזלינן בתרה כשלא נתבררה בשעתה</w:t>
      </w:r>
    </w:p>
    <w:p w14:paraId="58A75DDA" w14:textId="77777777" w:rsidR="00FB0353" w:rsidRDefault="00FB0353" w:rsidP="005548CF">
      <w:pPr>
        <w:pStyle w:val="aff4"/>
        <w:rPr>
          <w:rFonts w:eastAsiaTheme="minorEastAsia" w:cstheme="minorBidi"/>
          <w:i/>
          <w:iCs/>
          <w:noProof/>
          <w:sz w:val="22"/>
          <w:szCs w:val="22"/>
          <w:rtl/>
        </w:rPr>
      </w:pPr>
      <w:bookmarkStart w:id="8373" w:name="_Toc19435579"/>
      <w:bookmarkStart w:id="8374" w:name="_Toc20080872"/>
      <w:r>
        <w:rPr>
          <w:noProof/>
          <w:rtl/>
        </w:rPr>
        <w:t>דברי החת"ס דאי חזקה היא מהלמ"מ מהני חזקה שלא נתבררה</w:t>
      </w:r>
      <w:bookmarkEnd w:id="8373"/>
      <w:bookmarkEnd w:id="8374"/>
    </w:p>
    <w:p w14:paraId="27C847D1" w14:textId="77777777" w:rsidR="00FB0353" w:rsidRDefault="00FB0353" w:rsidP="005077A7">
      <w:pPr>
        <w:pStyle w:val="a"/>
        <w:rPr>
          <w:rFonts w:eastAsiaTheme="minorEastAsia" w:cstheme="minorBidi"/>
          <w:noProof/>
          <w:sz w:val="22"/>
          <w:szCs w:val="22"/>
          <w:rtl/>
        </w:rPr>
      </w:pPr>
      <w:r>
        <w:rPr>
          <w:noProof/>
          <w:rtl/>
        </w:rPr>
        <w:t>דברי החת"ס דרק למ"ד דחזקה נלמדת מבית המנוגע חזקה שאינה מבוררת אינה חזקה</w:t>
      </w:r>
    </w:p>
    <w:p w14:paraId="4977EBAD" w14:textId="77777777" w:rsidR="00FB0353" w:rsidRDefault="00FB0353" w:rsidP="005548CF">
      <w:pPr>
        <w:pStyle w:val="aff4"/>
        <w:rPr>
          <w:rFonts w:eastAsiaTheme="minorEastAsia" w:cstheme="minorBidi"/>
          <w:i/>
          <w:iCs/>
          <w:noProof/>
          <w:sz w:val="22"/>
          <w:szCs w:val="22"/>
          <w:rtl/>
        </w:rPr>
      </w:pPr>
      <w:bookmarkStart w:id="8375" w:name="_Toc19435580"/>
      <w:bookmarkStart w:id="8376" w:name="_Toc20080873"/>
      <w:r>
        <w:rPr>
          <w:noProof/>
          <w:rtl/>
        </w:rPr>
        <w:t>ביאור החמדת שלמה בתוס' בחזקה שלא נתבררה בשעתה</w:t>
      </w:r>
      <w:bookmarkEnd w:id="8375"/>
      <w:bookmarkEnd w:id="8376"/>
    </w:p>
    <w:p w14:paraId="18992205" w14:textId="77777777" w:rsidR="00FB0353" w:rsidRDefault="00FB0353" w:rsidP="005077A7">
      <w:pPr>
        <w:pStyle w:val="a"/>
        <w:rPr>
          <w:rFonts w:eastAsiaTheme="minorEastAsia" w:cstheme="minorBidi"/>
          <w:noProof/>
          <w:sz w:val="22"/>
          <w:szCs w:val="22"/>
          <w:rtl/>
        </w:rPr>
      </w:pPr>
      <w:r>
        <w:rPr>
          <w:noProof/>
          <w:rtl/>
        </w:rPr>
        <w:t>קושית החמדת שלמה דאי חזקה הוא סברא כיון שברור שהייתה כשרה אמאי אין לה חזקה</w:t>
      </w:r>
    </w:p>
    <w:p w14:paraId="45BAC8F2" w14:textId="77777777" w:rsidR="00FB0353" w:rsidRDefault="00FB0353" w:rsidP="005077A7">
      <w:pPr>
        <w:pStyle w:val="a"/>
        <w:rPr>
          <w:rFonts w:eastAsiaTheme="minorEastAsia" w:cstheme="minorBidi"/>
          <w:noProof/>
          <w:sz w:val="22"/>
          <w:szCs w:val="22"/>
          <w:rtl/>
        </w:rPr>
      </w:pPr>
      <w:r>
        <w:rPr>
          <w:noProof/>
          <w:rtl/>
        </w:rPr>
        <w:t>דברי החמדת שלמה דמבואר בתוס' דטעם החזקה הוא מגזיה"כ שספק לאי יציא מדבר ברור</w:t>
      </w:r>
    </w:p>
    <w:p w14:paraId="29BBCF6C" w14:textId="77777777" w:rsidR="00FB0353" w:rsidRDefault="00FB0353" w:rsidP="005077A7">
      <w:pPr>
        <w:pStyle w:val="a"/>
        <w:rPr>
          <w:rFonts w:eastAsiaTheme="minorEastAsia" w:cstheme="minorBidi"/>
          <w:noProof/>
          <w:sz w:val="22"/>
          <w:szCs w:val="22"/>
          <w:rtl/>
        </w:rPr>
      </w:pPr>
      <w:r>
        <w:rPr>
          <w:noProof/>
          <w:rtl/>
        </w:rPr>
        <w:t>דברי החמד"ש דבלא נתבררה בשעתה שלא היה דבר ברור לא נאמרה הגזיה"כ של חזקה</w:t>
      </w:r>
    </w:p>
    <w:p w14:paraId="25111E1B" w14:textId="77777777" w:rsidR="00FB0353" w:rsidRDefault="00FB0353" w:rsidP="005077A7">
      <w:pPr>
        <w:pStyle w:val="a"/>
        <w:rPr>
          <w:rFonts w:eastAsiaTheme="minorEastAsia" w:cstheme="minorBidi"/>
          <w:noProof/>
          <w:sz w:val="22"/>
          <w:szCs w:val="22"/>
          <w:rtl/>
        </w:rPr>
      </w:pPr>
      <w:r>
        <w:rPr>
          <w:noProof/>
          <w:rtl/>
        </w:rPr>
        <w:t>דברי החמד"ש דמבואר בתוס' דאף כשאין ריעותא לא אזלינן בתר חזקה שלא נתבררה בשעתה</w:t>
      </w:r>
    </w:p>
    <w:p w14:paraId="1CBCAA4F" w14:textId="77777777" w:rsidR="00FB0353" w:rsidRDefault="00FB0353" w:rsidP="005548CF">
      <w:pPr>
        <w:pStyle w:val="2"/>
        <w:keepNext w:val="0"/>
        <w:keepLines w:val="0"/>
        <w:rPr>
          <w:rFonts w:eastAsiaTheme="minorEastAsia" w:cstheme="minorBidi"/>
          <w:i/>
          <w:iCs/>
          <w:noProof/>
          <w:sz w:val="22"/>
          <w:szCs w:val="22"/>
          <w:rtl/>
        </w:rPr>
      </w:pPr>
      <w:bookmarkStart w:id="8377" w:name="_Toc19435581"/>
      <w:r>
        <w:rPr>
          <w:noProof/>
          <w:rtl/>
        </w:rPr>
        <w:t>בענין חזקה מכח רוב</w:t>
      </w:r>
      <w:bookmarkEnd w:id="8377"/>
    </w:p>
    <w:p w14:paraId="0CDE4A88" w14:textId="77777777" w:rsidR="00FB0353" w:rsidRDefault="00FB0353" w:rsidP="005548CF">
      <w:pPr>
        <w:pStyle w:val="aff4"/>
        <w:rPr>
          <w:rFonts w:eastAsiaTheme="minorEastAsia" w:cstheme="minorBidi"/>
          <w:i/>
          <w:iCs/>
          <w:noProof/>
          <w:sz w:val="22"/>
          <w:szCs w:val="22"/>
          <w:rtl/>
        </w:rPr>
      </w:pPr>
      <w:bookmarkStart w:id="8378" w:name="_Toc19435582"/>
      <w:bookmarkStart w:id="8379" w:name="_Toc20080874"/>
      <w:r>
        <w:rPr>
          <w:noProof/>
          <w:rtl/>
        </w:rPr>
        <w:t>דעת הר"ש ורבינו יונה דאזלינן בתר חזקה מכח רוב</w:t>
      </w:r>
      <w:bookmarkEnd w:id="8378"/>
      <w:bookmarkEnd w:id="8379"/>
    </w:p>
    <w:p w14:paraId="46DDEEDD" w14:textId="77777777" w:rsidR="00FB0353" w:rsidRDefault="00FB0353" w:rsidP="005077A7">
      <w:pPr>
        <w:pStyle w:val="a"/>
        <w:rPr>
          <w:rFonts w:eastAsiaTheme="minorEastAsia" w:cstheme="minorBidi"/>
          <w:noProof/>
          <w:sz w:val="22"/>
          <w:szCs w:val="22"/>
          <w:rtl/>
        </w:rPr>
      </w:pPr>
      <w:r>
        <w:rPr>
          <w:noProof/>
          <w:rtl/>
        </w:rPr>
        <w:t>דברי רבינו שמשון רבינו יונה דהגבינות מותרות ע"י חזקה מכח הרוב דרוב בהמות אינם טריפות</w:t>
      </w:r>
    </w:p>
    <w:p w14:paraId="4B217B9C" w14:textId="77777777" w:rsidR="00FB0353" w:rsidRDefault="00FB0353" w:rsidP="005077A7">
      <w:pPr>
        <w:pStyle w:val="a"/>
        <w:rPr>
          <w:rFonts w:eastAsiaTheme="minorEastAsia" w:cstheme="minorBidi"/>
          <w:noProof/>
          <w:sz w:val="22"/>
          <w:szCs w:val="22"/>
          <w:rtl/>
        </w:rPr>
      </w:pPr>
      <w:r>
        <w:rPr>
          <w:noProof/>
          <w:rtl/>
        </w:rPr>
        <w:t>פלוגתת הראשונים בביאור חזקה מכח רוב</w:t>
      </w:r>
    </w:p>
    <w:p w14:paraId="5E8FFC04" w14:textId="77777777" w:rsidR="00FB0353" w:rsidRDefault="00FB0353" w:rsidP="005077A7">
      <w:pPr>
        <w:pStyle w:val="a"/>
        <w:rPr>
          <w:rFonts w:eastAsiaTheme="minorEastAsia" w:cstheme="minorBidi"/>
          <w:noProof/>
          <w:sz w:val="22"/>
          <w:szCs w:val="22"/>
          <w:rtl/>
        </w:rPr>
      </w:pPr>
      <w:r>
        <w:rPr>
          <w:noProof/>
          <w:rtl/>
        </w:rPr>
        <w:t>הוכחת רבינו יונה דאזלינן בתר חזקה מכח רוב מדינא דשחטה בחזקת היתר</w:t>
      </w:r>
    </w:p>
    <w:p w14:paraId="54C41851" w14:textId="77777777" w:rsidR="00FB0353" w:rsidRDefault="00FB0353" w:rsidP="005548CF">
      <w:pPr>
        <w:pStyle w:val="aff4"/>
        <w:rPr>
          <w:rFonts w:eastAsiaTheme="minorEastAsia" w:cstheme="minorBidi"/>
          <w:i/>
          <w:iCs/>
          <w:noProof/>
          <w:sz w:val="22"/>
          <w:szCs w:val="22"/>
          <w:rtl/>
        </w:rPr>
      </w:pPr>
      <w:bookmarkStart w:id="8380" w:name="_Toc19435583"/>
      <w:bookmarkStart w:id="8381" w:name="_Toc20080875"/>
      <w:r>
        <w:rPr>
          <w:noProof/>
          <w:rtl/>
        </w:rPr>
        <w:t>דעת הרא"ש בהיתר הגבינות מדין רוב או מדין חזקה</w:t>
      </w:r>
      <w:bookmarkEnd w:id="8380"/>
      <w:bookmarkEnd w:id="8381"/>
    </w:p>
    <w:p w14:paraId="01E5C6BA" w14:textId="77777777" w:rsidR="00FB0353" w:rsidRDefault="00FB0353" w:rsidP="005077A7">
      <w:pPr>
        <w:pStyle w:val="a"/>
        <w:rPr>
          <w:rFonts w:eastAsiaTheme="minorEastAsia" w:cstheme="minorBidi"/>
          <w:noProof/>
          <w:sz w:val="22"/>
          <w:szCs w:val="22"/>
          <w:rtl/>
        </w:rPr>
      </w:pPr>
      <w:r>
        <w:rPr>
          <w:noProof/>
          <w:rtl/>
        </w:rPr>
        <w:t>דברי הרא"ש דהגבינות מותרת כיון שרוב בהמות כשרות ורוב עדיף מחזקה</w:t>
      </w:r>
    </w:p>
    <w:p w14:paraId="6705853D" w14:textId="77777777" w:rsidR="00FB0353" w:rsidRDefault="00FB0353" w:rsidP="005077A7">
      <w:pPr>
        <w:pStyle w:val="a"/>
        <w:rPr>
          <w:rFonts w:eastAsiaTheme="minorEastAsia" w:cstheme="minorBidi"/>
          <w:noProof/>
          <w:sz w:val="22"/>
          <w:szCs w:val="22"/>
          <w:rtl/>
        </w:rPr>
      </w:pPr>
      <w:r>
        <w:rPr>
          <w:noProof/>
          <w:rtl/>
        </w:rPr>
        <w:t>ביאור השערי תורה בקושית הטור על הרא"ש דהיאך מהני הרוב כשטריפה לפנינו</w:t>
      </w:r>
    </w:p>
    <w:p w14:paraId="59D573CA" w14:textId="77777777" w:rsidR="00FB0353" w:rsidRDefault="00FB0353" w:rsidP="005077A7">
      <w:pPr>
        <w:pStyle w:val="a"/>
        <w:rPr>
          <w:rFonts w:eastAsiaTheme="minorEastAsia" w:cstheme="minorBidi"/>
          <w:noProof/>
          <w:sz w:val="22"/>
          <w:szCs w:val="22"/>
          <w:rtl/>
        </w:rPr>
      </w:pPr>
      <w:r>
        <w:rPr>
          <w:noProof/>
          <w:rtl/>
        </w:rPr>
        <w:t>ביאור הרא"ש בתשו' דלמסקנת הגמ' כיון שיש רוב כל שעה מעמידים את הבהמה בחזקת כשרות</w:t>
      </w:r>
    </w:p>
    <w:p w14:paraId="6CC7FC2C" w14:textId="77777777" w:rsidR="00FB0353" w:rsidRPr="000F2D6C" w:rsidRDefault="00FB0353" w:rsidP="005077A7">
      <w:pPr>
        <w:pStyle w:val="a"/>
        <w:rPr>
          <w:rFonts w:eastAsiaTheme="minorEastAsia" w:cstheme="minorBidi"/>
          <w:noProof/>
          <w:sz w:val="22"/>
          <w:szCs w:val="22"/>
          <w:rtl/>
        </w:rPr>
      </w:pPr>
      <w:r>
        <w:rPr>
          <w:noProof/>
          <w:rtl/>
        </w:rPr>
        <w:t>דברי השערי תורה והתורת יקותיאל דהרא"ש ביאר דכוונתו לחזקה מכח רוב</w:t>
      </w:r>
    </w:p>
    <w:p w14:paraId="4F22247C" w14:textId="77777777" w:rsidR="00FB0353" w:rsidRPr="00EB5E97" w:rsidRDefault="00FB0353" w:rsidP="005077A7">
      <w:pPr>
        <w:pStyle w:val="a"/>
        <w:rPr>
          <w:rFonts w:eastAsiaTheme="minorEastAsia" w:cstheme="minorBidi"/>
          <w:noProof/>
          <w:sz w:val="22"/>
          <w:szCs w:val="22"/>
          <w:rtl/>
        </w:rPr>
      </w:pPr>
      <w:r>
        <w:rPr>
          <w:noProof/>
          <w:rtl/>
        </w:rPr>
        <w:t>ביאור הב"י והגר"א ברא"ש דהתיר ע"י חזקה מכח רוב וכדעת רבינו יונה</w:t>
      </w:r>
    </w:p>
    <w:p w14:paraId="6BDE96AA" w14:textId="77777777" w:rsidR="00FB0353" w:rsidRDefault="00FB0353" w:rsidP="005077A7">
      <w:pPr>
        <w:pStyle w:val="a"/>
        <w:rPr>
          <w:rFonts w:eastAsiaTheme="minorEastAsia" w:cstheme="minorBidi"/>
          <w:noProof/>
          <w:sz w:val="22"/>
          <w:szCs w:val="22"/>
          <w:rtl/>
        </w:rPr>
      </w:pPr>
      <w:r>
        <w:rPr>
          <w:noProof/>
          <w:rtl/>
        </w:rPr>
        <w:t>ביאור ה</w:t>
      </w:r>
      <w:r w:rsidR="00345400">
        <w:rPr>
          <w:noProof/>
          <w:rtl/>
        </w:rPr>
        <w:t>פלתי</w:t>
      </w:r>
      <w:r>
        <w:rPr>
          <w:noProof/>
          <w:rtl/>
        </w:rPr>
        <w:t xml:space="preserve"> והמעדני יו"ט ברא"ש דרוב מתיר אף שלא נתברר בשעתה ועדיף מחזקה</w:t>
      </w:r>
    </w:p>
    <w:p w14:paraId="5546EDFE" w14:textId="77777777" w:rsidR="00FB0353" w:rsidRDefault="00FB0353" w:rsidP="005077A7">
      <w:pPr>
        <w:pStyle w:val="a"/>
        <w:rPr>
          <w:rFonts w:eastAsiaTheme="minorEastAsia" w:cstheme="minorBidi"/>
          <w:noProof/>
          <w:sz w:val="22"/>
          <w:szCs w:val="22"/>
          <w:rtl/>
        </w:rPr>
      </w:pPr>
      <w:r>
        <w:rPr>
          <w:noProof/>
          <w:rtl/>
        </w:rPr>
        <w:t>ביאור החזו"א ברא"ש דכיון שלפני הריעותא הייתה מוחזקת בכשרות הנדון בזה הוא מדין חזקה</w:t>
      </w:r>
    </w:p>
    <w:p w14:paraId="1D251B64" w14:textId="77777777" w:rsidR="00FB0353" w:rsidRDefault="00FB0353" w:rsidP="005548CF">
      <w:pPr>
        <w:pStyle w:val="aff4"/>
        <w:rPr>
          <w:rFonts w:eastAsiaTheme="minorEastAsia" w:cstheme="minorBidi"/>
          <w:i/>
          <w:iCs/>
          <w:noProof/>
          <w:sz w:val="22"/>
          <w:szCs w:val="22"/>
          <w:rtl/>
        </w:rPr>
      </w:pPr>
      <w:bookmarkStart w:id="8382" w:name="_Toc19435584"/>
      <w:bookmarkStart w:id="8383" w:name="_Toc20080876"/>
      <w:r>
        <w:rPr>
          <w:noProof/>
          <w:rtl/>
        </w:rPr>
        <w:t>דעת האחרונים דלתוס' לא אמרינן חזקה מכח רוב כלל</w:t>
      </w:r>
      <w:bookmarkEnd w:id="8382"/>
      <w:bookmarkEnd w:id="8383"/>
    </w:p>
    <w:p w14:paraId="3398974E" w14:textId="77777777" w:rsidR="00FB0353" w:rsidRDefault="00FB0353" w:rsidP="005077A7">
      <w:pPr>
        <w:pStyle w:val="a"/>
        <w:rPr>
          <w:rFonts w:eastAsiaTheme="minorEastAsia" w:cstheme="minorBidi"/>
          <w:noProof/>
          <w:sz w:val="22"/>
          <w:szCs w:val="22"/>
          <w:rtl/>
        </w:rPr>
      </w:pPr>
      <w:r>
        <w:rPr>
          <w:noProof/>
          <w:rtl/>
        </w:rPr>
        <w:t>דברי הגר"א וה</w:t>
      </w:r>
      <w:r w:rsidR="00345400">
        <w:rPr>
          <w:noProof/>
          <w:rtl/>
        </w:rPr>
        <w:t>פלתי</w:t>
      </w:r>
      <w:r>
        <w:rPr>
          <w:noProof/>
          <w:rtl/>
        </w:rPr>
        <w:t xml:space="preserve"> דהתוס' ס"ל דלא אזלינן בתר חזקה מכח רוב</w:t>
      </w:r>
    </w:p>
    <w:p w14:paraId="7FF16C37" w14:textId="77777777" w:rsidR="00FB0353" w:rsidRDefault="00FB0353" w:rsidP="005077A7">
      <w:pPr>
        <w:pStyle w:val="a"/>
        <w:rPr>
          <w:rFonts w:eastAsiaTheme="minorEastAsia" w:cstheme="minorBidi"/>
          <w:noProof/>
          <w:sz w:val="22"/>
          <w:szCs w:val="22"/>
          <w:rtl/>
        </w:rPr>
      </w:pPr>
      <w:r>
        <w:rPr>
          <w:noProof/>
          <w:rtl/>
        </w:rPr>
        <w:t>ביאור החזו"א דכיון שיש ספק מתי אינה בכלל הרוב ואין בזה ידיעה ודאית א"א להעמיד על חזקה</w:t>
      </w:r>
    </w:p>
    <w:p w14:paraId="6BD174DC" w14:textId="77777777" w:rsidR="00FB0353" w:rsidRDefault="00FB0353" w:rsidP="005077A7">
      <w:pPr>
        <w:pStyle w:val="a"/>
        <w:rPr>
          <w:rFonts w:eastAsiaTheme="minorEastAsia" w:cstheme="minorBidi"/>
          <w:noProof/>
          <w:sz w:val="22"/>
          <w:szCs w:val="22"/>
          <w:rtl/>
        </w:rPr>
      </w:pPr>
      <w:r>
        <w:rPr>
          <w:noProof/>
          <w:rtl/>
        </w:rPr>
        <w:t>ביאור החזו"א דלתוס' דין רוב מכריע רק את הדין לאיסור והיתר אך אין ידיעה מכח הרוב</w:t>
      </w:r>
    </w:p>
    <w:p w14:paraId="5D7D17ED" w14:textId="77777777" w:rsidR="00FB0353" w:rsidRDefault="00FB0353" w:rsidP="005548CF">
      <w:pPr>
        <w:pStyle w:val="aff4"/>
        <w:rPr>
          <w:rFonts w:eastAsiaTheme="minorEastAsia" w:cstheme="minorBidi"/>
          <w:i/>
          <w:iCs/>
          <w:noProof/>
          <w:sz w:val="22"/>
          <w:szCs w:val="22"/>
          <w:rtl/>
        </w:rPr>
      </w:pPr>
      <w:bookmarkStart w:id="8384" w:name="_Toc19435585"/>
      <w:bookmarkStart w:id="8385" w:name="_Toc20080877"/>
      <w:r>
        <w:rPr>
          <w:noProof/>
          <w:rtl/>
        </w:rPr>
        <w:t>דעת האחרונים דדדוקא כשיש ריעותא פליגי תוס' על הרשב"א</w:t>
      </w:r>
      <w:bookmarkEnd w:id="8384"/>
      <w:bookmarkEnd w:id="8385"/>
    </w:p>
    <w:p w14:paraId="230BD09E" w14:textId="77777777" w:rsidR="00FB0353" w:rsidRDefault="00FB0353" w:rsidP="005077A7">
      <w:pPr>
        <w:pStyle w:val="a"/>
        <w:rPr>
          <w:rFonts w:eastAsiaTheme="minorEastAsia" w:cstheme="minorBidi"/>
          <w:noProof/>
          <w:sz w:val="22"/>
          <w:szCs w:val="22"/>
          <w:rtl/>
        </w:rPr>
      </w:pPr>
      <w:r>
        <w:rPr>
          <w:noProof/>
          <w:rtl/>
        </w:rPr>
        <w:t>דברי הפרמ"ג והתורת יקותיאל והבינ"א דדוקא במקום ריעותא ס"ל לתוס' דיצאה מכלל הרוב</w:t>
      </w:r>
    </w:p>
    <w:p w14:paraId="174EF7FF" w14:textId="77777777" w:rsidR="00FB0353" w:rsidRDefault="00FB0353" w:rsidP="005077A7">
      <w:pPr>
        <w:pStyle w:val="a"/>
        <w:rPr>
          <w:rFonts w:eastAsiaTheme="minorEastAsia" w:cstheme="minorBidi"/>
          <w:noProof/>
          <w:sz w:val="22"/>
          <w:szCs w:val="22"/>
          <w:rtl/>
        </w:rPr>
      </w:pPr>
      <w:r>
        <w:rPr>
          <w:noProof/>
          <w:rtl/>
        </w:rPr>
        <w:t>דברי הפרמ"ג והתורת יקותיאל והבינ"א דבספק השקול אף לתוס' יש חזקה מכח רוב</w:t>
      </w:r>
    </w:p>
    <w:p w14:paraId="4B8CA6C3" w14:textId="77777777" w:rsidR="00FB0353" w:rsidRDefault="00FB0353" w:rsidP="005077A7">
      <w:pPr>
        <w:pStyle w:val="a"/>
        <w:rPr>
          <w:rFonts w:eastAsiaTheme="minorEastAsia" w:cstheme="minorBidi"/>
          <w:noProof/>
          <w:sz w:val="22"/>
          <w:szCs w:val="22"/>
          <w:rtl/>
        </w:rPr>
      </w:pPr>
      <w:r>
        <w:rPr>
          <w:noProof/>
          <w:rtl/>
        </w:rPr>
        <w:t>ביאור הגרעק"א דאף לתוס' בספק אם היא טריפה אפשר להעמידה על חזקת ההיתר מכח הרוב</w:t>
      </w:r>
    </w:p>
    <w:p w14:paraId="6DE6585C" w14:textId="77777777" w:rsidR="00FB0353" w:rsidRDefault="00FB0353" w:rsidP="005077A7">
      <w:pPr>
        <w:pStyle w:val="a"/>
        <w:rPr>
          <w:rFonts w:eastAsiaTheme="minorEastAsia" w:cstheme="minorBidi"/>
          <w:noProof/>
          <w:sz w:val="22"/>
          <w:szCs w:val="22"/>
          <w:rtl/>
        </w:rPr>
      </w:pPr>
      <w:r>
        <w:rPr>
          <w:noProof/>
          <w:rtl/>
        </w:rPr>
        <w:t>דברי הנחל"ד דבחזקה מכח רוב שלא נתבררה אמרינן שלא הייתה מהרוב כלל</w:t>
      </w:r>
    </w:p>
    <w:p w14:paraId="38D8B33D" w14:textId="77777777" w:rsidR="00FB0353" w:rsidRDefault="00FB0353" w:rsidP="005548CF">
      <w:pPr>
        <w:pStyle w:val="aff4"/>
        <w:rPr>
          <w:rFonts w:eastAsiaTheme="minorEastAsia" w:cstheme="minorBidi"/>
          <w:i/>
          <w:iCs/>
          <w:noProof/>
          <w:sz w:val="22"/>
          <w:szCs w:val="22"/>
          <w:rtl/>
        </w:rPr>
      </w:pPr>
      <w:bookmarkStart w:id="8386" w:name="_Toc19435586"/>
      <w:bookmarkStart w:id="8387" w:name="_Toc20080878"/>
      <w:r>
        <w:rPr>
          <w:noProof/>
          <w:rtl/>
        </w:rPr>
        <w:t>דברי התבו"ש דדוקא כשאין ריעותא מחיים יש חזקה מכח רוב</w:t>
      </w:r>
      <w:bookmarkEnd w:id="8386"/>
      <w:bookmarkEnd w:id="8387"/>
    </w:p>
    <w:p w14:paraId="6C6101B3" w14:textId="77777777" w:rsidR="00FB0353" w:rsidRDefault="00FB0353" w:rsidP="005077A7">
      <w:pPr>
        <w:pStyle w:val="a"/>
        <w:rPr>
          <w:rFonts w:eastAsiaTheme="minorEastAsia" w:cstheme="minorBidi"/>
          <w:noProof/>
          <w:sz w:val="22"/>
          <w:szCs w:val="22"/>
          <w:rtl/>
        </w:rPr>
      </w:pPr>
      <w:r>
        <w:rPr>
          <w:noProof/>
          <w:rtl/>
        </w:rPr>
        <w:t>דברי התבו"ש דבגבינות התיר הרשב"א כיון שבשעת החליבה לא הייתה ריעותא ברוב</w:t>
      </w:r>
    </w:p>
    <w:p w14:paraId="608B285C" w14:textId="77777777" w:rsidR="00FB0353" w:rsidRDefault="00FB0353" w:rsidP="005548CF">
      <w:pPr>
        <w:pStyle w:val="aff4"/>
        <w:rPr>
          <w:rFonts w:eastAsiaTheme="minorEastAsia" w:cstheme="minorBidi"/>
          <w:i/>
          <w:iCs/>
          <w:noProof/>
          <w:sz w:val="22"/>
          <w:szCs w:val="22"/>
          <w:rtl/>
        </w:rPr>
      </w:pPr>
      <w:bookmarkStart w:id="8388" w:name="_Toc19435587"/>
      <w:bookmarkStart w:id="8389" w:name="_Toc20080879"/>
      <w:r>
        <w:rPr>
          <w:noProof/>
          <w:rtl/>
        </w:rPr>
        <w:t>דברי האחרונים בדעת הרשב"א בחזקה מכח רוב</w:t>
      </w:r>
      <w:bookmarkEnd w:id="8388"/>
      <w:bookmarkEnd w:id="8389"/>
    </w:p>
    <w:p w14:paraId="559846D5" w14:textId="77777777" w:rsidR="00FB0353" w:rsidRDefault="00FB0353" w:rsidP="005077A7">
      <w:pPr>
        <w:pStyle w:val="a"/>
        <w:rPr>
          <w:rFonts w:eastAsiaTheme="minorEastAsia" w:cstheme="minorBidi"/>
          <w:noProof/>
          <w:sz w:val="22"/>
          <w:szCs w:val="22"/>
          <w:rtl/>
        </w:rPr>
      </w:pPr>
      <w:r>
        <w:rPr>
          <w:noProof/>
          <w:rtl/>
        </w:rPr>
        <w:t>ביאור הפרמ"ג דלהרשב"א מכח הרוב חשיב שהחזקה היא חזקה מבוררת</w:t>
      </w:r>
    </w:p>
    <w:p w14:paraId="4DE24B6B" w14:textId="77777777" w:rsidR="00FB0353" w:rsidRDefault="00FB0353" w:rsidP="005077A7">
      <w:pPr>
        <w:pStyle w:val="a"/>
        <w:rPr>
          <w:rFonts w:eastAsiaTheme="minorEastAsia" w:cstheme="minorBidi"/>
          <w:noProof/>
          <w:sz w:val="22"/>
          <w:szCs w:val="22"/>
          <w:rtl/>
        </w:rPr>
      </w:pPr>
      <w:r>
        <w:rPr>
          <w:noProof/>
          <w:rtl/>
        </w:rPr>
        <w:t>דברי ה</w:t>
      </w:r>
      <w:r w:rsidR="00345400">
        <w:rPr>
          <w:noProof/>
          <w:rtl/>
        </w:rPr>
        <w:t>פלתי</w:t>
      </w:r>
      <w:r>
        <w:rPr>
          <w:noProof/>
          <w:rtl/>
        </w:rPr>
        <w:t xml:space="preserve"> דלהרשב"א ההיתר רק ע"י חזקה מכח רוב ודלא כרא"ש שהתיר מדין רוב</w:t>
      </w:r>
    </w:p>
    <w:p w14:paraId="7D74333D" w14:textId="77777777" w:rsidR="00FB0353" w:rsidRDefault="00FB0353" w:rsidP="005077A7">
      <w:pPr>
        <w:pStyle w:val="a"/>
        <w:rPr>
          <w:rFonts w:eastAsiaTheme="minorEastAsia" w:cstheme="minorBidi"/>
          <w:noProof/>
          <w:sz w:val="22"/>
          <w:szCs w:val="22"/>
          <w:rtl/>
        </w:rPr>
      </w:pPr>
      <w:r>
        <w:rPr>
          <w:noProof/>
          <w:rtl/>
        </w:rPr>
        <w:t>ביאור החזו"א בדעת הרשב"א דלענין החלב מתירין את זמן הספק ע"י הרוב כיון שהוחזקה בכשרות</w:t>
      </w:r>
    </w:p>
    <w:p w14:paraId="6DDEB686" w14:textId="77777777" w:rsidR="00FB0353" w:rsidRDefault="00FB0353" w:rsidP="005548CF">
      <w:pPr>
        <w:pStyle w:val="aff4"/>
        <w:rPr>
          <w:rFonts w:eastAsiaTheme="minorEastAsia" w:cstheme="minorBidi"/>
          <w:i/>
          <w:iCs/>
          <w:noProof/>
          <w:sz w:val="22"/>
          <w:szCs w:val="22"/>
          <w:rtl/>
        </w:rPr>
      </w:pPr>
      <w:bookmarkStart w:id="8390" w:name="_Toc19435588"/>
      <w:bookmarkStart w:id="8391" w:name="_Toc20080880"/>
      <w:r>
        <w:rPr>
          <w:noProof/>
          <w:rtl/>
        </w:rPr>
        <w:t>פלוגתת התפארת למשה והגרעק"א בנולדה ודאי כשרה</w:t>
      </w:r>
      <w:bookmarkEnd w:id="8390"/>
      <w:bookmarkEnd w:id="8391"/>
    </w:p>
    <w:p w14:paraId="140D2D31" w14:textId="77777777" w:rsidR="00FB0353" w:rsidRDefault="00FB0353" w:rsidP="005077A7">
      <w:pPr>
        <w:pStyle w:val="a"/>
        <w:rPr>
          <w:rFonts w:eastAsiaTheme="minorEastAsia" w:cstheme="minorBidi"/>
          <w:noProof/>
          <w:sz w:val="22"/>
          <w:szCs w:val="22"/>
          <w:rtl/>
        </w:rPr>
      </w:pPr>
      <w:r>
        <w:rPr>
          <w:noProof/>
          <w:rtl/>
        </w:rPr>
        <w:t>דברי התפאל"מ והתבו"ש והפנ"י והביה"ל דבודאי נולדה כשרה חשיב חזקה שנתבררה בשעתה</w:t>
      </w:r>
    </w:p>
    <w:p w14:paraId="588B63AD" w14:textId="77777777" w:rsidR="00FB0353" w:rsidRDefault="00FB0353" w:rsidP="005077A7">
      <w:pPr>
        <w:pStyle w:val="a"/>
        <w:rPr>
          <w:rFonts w:eastAsiaTheme="minorEastAsia" w:cstheme="minorBidi"/>
          <w:noProof/>
          <w:sz w:val="22"/>
          <w:szCs w:val="22"/>
          <w:rtl/>
        </w:rPr>
      </w:pPr>
      <w:r>
        <w:rPr>
          <w:noProof/>
          <w:rtl/>
        </w:rPr>
        <w:t>הוכחת הגרעק"א מהרשב"א דאף בדבר שלא נולדה עמו הוי חזקה שלא נתבררה בשעתה</w:t>
      </w:r>
    </w:p>
    <w:p w14:paraId="767BCA7F" w14:textId="77777777" w:rsidR="00FB0353" w:rsidRDefault="00FB0353" w:rsidP="005548CF">
      <w:pPr>
        <w:pStyle w:val="aff4"/>
        <w:rPr>
          <w:rFonts w:eastAsiaTheme="minorEastAsia" w:cstheme="minorBidi"/>
          <w:i/>
          <w:iCs/>
          <w:noProof/>
          <w:sz w:val="22"/>
          <w:szCs w:val="22"/>
          <w:rtl/>
        </w:rPr>
      </w:pPr>
      <w:bookmarkStart w:id="8392" w:name="_Toc19435589"/>
      <w:bookmarkStart w:id="8393" w:name="_Toc20080881"/>
      <w:r>
        <w:rPr>
          <w:noProof/>
          <w:rtl/>
        </w:rPr>
        <w:t>דברי הגרעק"א דבהמה בת י"ב חודש היא ספק טריפה</w:t>
      </w:r>
      <w:bookmarkEnd w:id="8392"/>
      <w:bookmarkEnd w:id="8393"/>
    </w:p>
    <w:p w14:paraId="06146480" w14:textId="77777777" w:rsidR="00FB0353" w:rsidRDefault="00FB0353" w:rsidP="005077A7">
      <w:pPr>
        <w:pStyle w:val="a"/>
        <w:rPr>
          <w:rFonts w:eastAsiaTheme="minorEastAsia" w:cstheme="minorBidi"/>
          <w:noProof/>
          <w:sz w:val="22"/>
          <w:szCs w:val="22"/>
          <w:rtl/>
        </w:rPr>
      </w:pPr>
      <w:r>
        <w:rPr>
          <w:noProof/>
          <w:rtl/>
        </w:rPr>
        <w:t>דברי הגרעק"א דבהמה בת יב"ח דמוכח שנולדה כשרה היא ספק טריפה ובתוך שנתה ודאי טריפה</w:t>
      </w:r>
    </w:p>
    <w:p w14:paraId="57602770" w14:textId="77777777" w:rsidR="00FB0353" w:rsidRDefault="00FB0353" w:rsidP="005548CF">
      <w:pPr>
        <w:pStyle w:val="2"/>
        <w:keepNext w:val="0"/>
        <w:keepLines w:val="0"/>
        <w:rPr>
          <w:rFonts w:eastAsiaTheme="minorEastAsia" w:cstheme="minorBidi"/>
          <w:i/>
          <w:iCs/>
          <w:noProof/>
          <w:sz w:val="22"/>
          <w:szCs w:val="22"/>
          <w:rtl/>
        </w:rPr>
      </w:pPr>
      <w:bookmarkStart w:id="8394" w:name="_Toc19435590"/>
      <w:r>
        <w:rPr>
          <w:noProof/>
          <w:rtl/>
        </w:rPr>
        <w:t>בדעת הרשב"ם דהתיר מדין חזקה</w:t>
      </w:r>
      <w:bookmarkEnd w:id="8394"/>
    </w:p>
    <w:p w14:paraId="1ED5E295" w14:textId="77777777" w:rsidR="00FB0353" w:rsidRDefault="00FB0353" w:rsidP="005548CF">
      <w:pPr>
        <w:pStyle w:val="aff4"/>
        <w:rPr>
          <w:rFonts w:eastAsiaTheme="minorEastAsia" w:cstheme="minorBidi"/>
          <w:i/>
          <w:iCs/>
          <w:noProof/>
          <w:sz w:val="22"/>
          <w:szCs w:val="22"/>
          <w:rtl/>
        </w:rPr>
      </w:pPr>
      <w:bookmarkStart w:id="8395" w:name="_Toc19435591"/>
      <w:bookmarkStart w:id="8396" w:name="_Toc20080882"/>
      <w:r>
        <w:rPr>
          <w:noProof/>
          <w:rtl/>
        </w:rPr>
        <w:t>דעת הראשונים ברשב"ם דמהני חזקה שלא נתבררה בשעתה</w:t>
      </w:r>
      <w:bookmarkEnd w:id="8395"/>
      <w:bookmarkEnd w:id="8396"/>
    </w:p>
    <w:p w14:paraId="0E624161" w14:textId="77777777" w:rsidR="00FB0353" w:rsidRDefault="00FB0353" w:rsidP="005077A7">
      <w:pPr>
        <w:pStyle w:val="a"/>
        <w:rPr>
          <w:rFonts w:eastAsiaTheme="minorEastAsia" w:cstheme="minorBidi"/>
          <w:noProof/>
          <w:sz w:val="22"/>
          <w:szCs w:val="22"/>
          <w:rtl/>
        </w:rPr>
      </w:pPr>
      <w:r>
        <w:rPr>
          <w:noProof/>
          <w:rtl/>
        </w:rPr>
        <w:t>דברי ספר התרומה בשם הרשב"ם דאזלינן בתר חזקה שלא נתבררה בשעתה והגבינות מותרות</w:t>
      </w:r>
    </w:p>
    <w:p w14:paraId="6A72D225" w14:textId="77777777" w:rsidR="00FB0353" w:rsidRDefault="00FB0353" w:rsidP="005077A7">
      <w:pPr>
        <w:pStyle w:val="a"/>
        <w:rPr>
          <w:rFonts w:eastAsiaTheme="minorEastAsia" w:cstheme="minorBidi"/>
          <w:noProof/>
          <w:sz w:val="22"/>
          <w:szCs w:val="22"/>
          <w:rtl/>
        </w:rPr>
      </w:pPr>
      <w:r>
        <w:rPr>
          <w:noProof/>
          <w:rtl/>
        </w:rPr>
        <w:t>דחיית התרומה להוכחת התוס' דחזקה שלא נתבררה אינה חזקה דאיירי למ"ד טריפה חיה</w:t>
      </w:r>
    </w:p>
    <w:p w14:paraId="51F4C037" w14:textId="77777777" w:rsidR="00FB0353" w:rsidRDefault="00FB0353" w:rsidP="005077A7">
      <w:pPr>
        <w:pStyle w:val="a"/>
        <w:rPr>
          <w:rFonts w:eastAsiaTheme="minorEastAsia" w:cstheme="minorBidi"/>
          <w:noProof/>
          <w:sz w:val="22"/>
          <w:szCs w:val="22"/>
          <w:rtl/>
        </w:rPr>
      </w:pPr>
      <w:r>
        <w:rPr>
          <w:noProof/>
          <w:rtl/>
        </w:rPr>
        <w:t>דברי המרדכי בשם ר"י דמעמידים את הבהמה בחזקת היתר כיון שאין את סברת חסר ואתאי</w:t>
      </w:r>
    </w:p>
    <w:p w14:paraId="357ED19A" w14:textId="77777777" w:rsidR="00FB0353" w:rsidRDefault="00FB0353" w:rsidP="005548CF">
      <w:pPr>
        <w:pStyle w:val="aff4"/>
        <w:rPr>
          <w:rFonts w:eastAsiaTheme="minorEastAsia" w:cstheme="minorBidi"/>
          <w:i/>
          <w:iCs/>
          <w:noProof/>
          <w:sz w:val="22"/>
          <w:szCs w:val="22"/>
          <w:rtl/>
        </w:rPr>
      </w:pPr>
      <w:bookmarkStart w:id="8397" w:name="_Toc19435592"/>
      <w:bookmarkStart w:id="8398" w:name="_Toc20080883"/>
      <w:r>
        <w:rPr>
          <w:noProof/>
          <w:rtl/>
        </w:rPr>
        <w:t>בהא דאזלינן בתר חזקה דמעיקרא במקום שהורעה החזקה</w:t>
      </w:r>
      <w:bookmarkEnd w:id="8397"/>
      <w:bookmarkEnd w:id="8398"/>
    </w:p>
    <w:p w14:paraId="5D3BCFB2" w14:textId="77777777" w:rsidR="00FB0353" w:rsidRDefault="00FB0353" w:rsidP="005077A7">
      <w:pPr>
        <w:pStyle w:val="a"/>
        <w:rPr>
          <w:rFonts w:eastAsiaTheme="minorEastAsia" w:cstheme="minorBidi"/>
          <w:noProof/>
          <w:sz w:val="22"/>
          <w:szCs w:val="22"/>
          <w:rtl/>
        </w:rPr>
      </w:pPr>
      <w:r>
        <w:rPr>
          <w:noProof/>
          <w:rtl/>
        </w:rPr>
        <w:t>קושית התרומה והרוקח דהיאך מעמידים על החזקה שאינה קיימת עכשיו דהיא ודאי טריפה</w:t>
      </w:r>
    </w:p>
    <w:p w14:paraId="5A9BB5D5" w14:textId="77777777" w:rsidR="00FB0353" w:rsidRDefault="00FB0353" w:rsidP="005077A7">
      <w:pPr>
        <w:pStyle w:val="a"/>
        <w:rPr>
          <w:rFonts w:eastAsiaTheme="minorEastAsia" w:cstheme="minorBidi"/>
          <w:noProof/>
          <w:sz w:val="22"/>
          <w:szCs w:val="22"/>
          <w:rtl/>
        </w:rPr>
      </w:pPr>
      <w:r>
        <w:rPr>
          <w:noProof/>
          <w:rtl/>
        </w:rPr>
        <w:t>תירוץ התרומה והרוקח דכן מצינו בחזקת מקוה ובחזקת נערה שמעמידים על החזקה במקום ריעותא</w:t>
      </w:r>
    </w:p>
    <w:p w14:paraId="229B81E0" w14:textId="77777777" w:rsidR="00FB0353" w:rsidRDefault="00FB0353" w:rsidP="005548CF">
      <w:pPr>
        <w:pStyle w:val="aff4"/>
        <w:rPr>
          <w:rFonts w:eastAsiaTheme="minorEastAsia" w:cstheme="minorBidi"/>
          <w:i/>
          <w:iCs/>
          <w:noProof/>
          <w:sz w:val="22"/>
          <w:szCs w:val="22"/>
          <w:rtl/>
        </w:rPr>
      </w:pPr>
      <w:bookmarkStart w:id="8399" w:name="_Toc19435593"/>
      <w:bookmarkStart w:id="8400" w:name="_Toc20080884"/>
      <w:r>
        <w:rPr>
          <w:noProof/>
          <w:rtl/>
        </w:rPr>
        <w:t>דברי השערי דורא דע"י הרוב מתבררת החזקה</w:t>
      </w:r>
      <w:bookmarkEnd w:id="8399"/>
      <w:bookmarkEnd w:id="8400"/>
    </w:p>
    <w:p w14:paraId="42D22B84" w14:textId="77777777" w:rsidR="00FB0353" w:rsidRDefault="00FB0353" w:rsidP="005077A7">
      <w:pPr>
        <w:pStyle w:val="a"/>
        <w:rPr>
          <w:rFonts w:eastAsiaTheme="minorEastAsia" w:cstheme="minorBidi"/>
          <w:noProof/>
          <w:sz w:val="22"/>
          <w:szCs w:val="22"/>
          <w:rtl/>
        </w:rPr>
      </w:pPr>
      <w:r>
        <w:rPr>
          <w:noProof/>
          <w:rtl/>
        </w:rPr>
        <w:t>דברי השערי דורא בשם הרשב"ם דיש רק חדא לריעותא והבהמה בחזקת הגוף שאינה טריפה</w:t>
      </w:r>
    </w:p>
    <w:p w14:paraId="13DC4930" w14:textId="77777777" w:rsidR="00FB0353" w:rsidRDefault="00FB0353" w:rsidP="005077A7">
      <w:pPr>
        <w:pStyle w:val="a"/>
        <w:rPr>
          <w:rFonts w:eastAsiaTheme="minorEastAsia" w:cstheme="minorBidi"/>
          <w:noProof/>
          <w:sz w:val="22"/>
          <w:szCs w:val="22"/>
          <w:rtl/>
        </w:rPr>
      </w:pPr>
      <w:r>
        <w:rPr>
          <w:noProof/>
          <w:rtl/>
        </w:rPr>
        <w:t>דברי השערי דורא דע"י הרוב חשיב שהחזקה נתבררה בשעתה</w:t>
      </w:r>
    </w:p>
    <w:p w14:paraId="04F06EF0" w14:textId="77777777" w:rsidR="00FB0353" w:rsidRDefault="00FB0353" w:rsidP="005077A7">
      <w:pPr>
        <w:pStyle w:val="a"/>
        <w:rPr>
          <w:rFonts w:eastAsiaTheme="minorEastAsia" w:cstheme="minorBidi"/>
          <w:noProof/>
          <w:sz w:val="22"/>
          <w:szCs w:val="22"/>
          <w:rtl/>
        </w:rPr>
      </w:pPr>
      <w:r>
        <w:rPr>
          <w:noProof/>
          <w:rtl/>
        </w:rPr>
        <w:t>דברי השערי תורה והתורת יקותיאל דהשערי דורא ביאר דהרשב"ם התיר ע"י חזקה מכח רוב</w:t>
      </w:r>
    </w:p>
    <w:p w14:paraId="16DC9F05" w14:textId="77777777" w:rsidR="00FB0353" w:rsidRDefault="00FB0353" w:rsidP="005548CF">
      <w:pPr>
        <w:pStyle w:val="aff4"/>
        <w:rPr>
          <w:rFonts w:eastAsiaTheme="minorEastAsia" w:cstheme="minorBidi"/>
          <w:i/>
          <w:iCs/>
          <w:noProof/>
          <w:sz w:val="22"/>
          <w:szCs w:val="22"/>
          <w:rtl/>
        </w:rPr>
      </w:pPr>
      <w:bookmarkStart w:id="8401" w:name="_Toc19435594"/>
      <w:bookmarkStart w:id="8402" w:name="_Toc20080885"/>
      <w:r>
        <w:rPr>
          <w:noProof/>
          <w:rtl/>
        </w:rPr>
        <w:t>דעת הר"א משנץ והתור"פ דמעמידים את הרוב עד הריעותא</w:t>
      </w:r>
      <w:bookmarkEnd w:id="8401"/>
      <w:bookmarkEnd w:id="8402"/>
    </w:p>
    <w:p w14:paraId="28CD2E47" w14:textId="77777777" w:rsidR="00FB0353" w:rsidRDefault="00FB0353" w:rsidP="005077A7">
      <w:pPr>
        <w:pStyle w:val="a"/>
        <w:rPr>
          <w:rFonts w:eastAsiaTheme="minorEastAsia" w:cstheme="minorBidi"/>
          <w:noProof/>
          <w:sz w:val="22"/>
          <w:szCs w:val="22"/>
          <w:rtl/>
        </w:rPr>
      </w:pPr>
      <w:r>
        <w:rPr>
          <w:noProof/>
          <w:rtl/>
        </w:rPr>
        <w:t>דברי הר"א משנץ דע"י הרוב עצמו אמרינן דהייתה בכלל הרוב ורק עכשיו נטרפה</w:t>
      </w:r>
    </w:p>
    <w:p w14:paraId="62751AC1" w14:textId="77777777" w:rsidR="00FB0353" w:rsidRDefault="00FB0353" w:rsidP="005077A7">
      <w:pPr>
        <w:pStyle w:val="a"/>
        <w:rPr>
          <w:rFonts w:eastAsiaTheme="minorEastAsia" w:cstheme="minorBidi"/>
          <w:noProof/>
          <w:sz w:val="22"/>
          <w:szCs w:val="22"/>
          <w:rtl/>
        </w:rPr>
      </w:pPr>
      <w:r>
        <w:rPr>
          <w:noProof/>
          <w:rtl/>
        </w:rPr>
        <w:t>דברי הר"א משנץ דכיון דבחזקה דמעיקרא אמרינן שעכשיו נעשית הריעותא כ"ש ברוב</w:t>
      </w:r>
    </w:p>
    <w:p w14:paraId="41904A76" w14:textId="77777777" w:rsidR="00FB0353" w:rsidRDefault="00FB0353" w:rsidP="005077A7">
      <w:pPr>
        <w:pStyle w:val="a"/>
        <w:rPr>
          <w:rFonts w:eastAsiaTheme="minorEastAsia" w:cstheme="minorBidi"/>
          <w:noProof/>
          <w:sz w:val="22"/>
          <w:szCs w:val="22"/>
          <w:rtl/>
        </w:rPr>
      </w:pPr>
      <w:r>
        <w:rPr>
          <w:noProof/>
          <w:rtl/>
        </w:rPr>
        <w:t>דברי רבינו פרץ דרוב דמי לחזקה המבוררת דמעמידים ברוב עד שעת הריעותא</w:t>
      </w:r>
    </w:p>
    <w:p w14:paraId="57855D5E" w14:textId="77777777" w:rsidR="00FB0353" w:rsidRDefault="00FB0353" w:rsidP="005548CF">
      <w:pPr>
        <w:pStyle w:val="aff4"/>
        <w:rPr>
          <w:rFonts w:eastAsiaTheme="minorEastAsia" w:cstheme="minorBidi"/>
          <w:i/>
          <w:iCs/>
          <w:noProof/>
          <w:sz w:val="22"/>
          <w:szCs w:val="22"/>
          <w:rtl/>
        </w:rPr>
      </w:pPr>
      <w:bookmarkStart w:id="8403" w:name="_Toc19435595"/>
      <w:bookmarkStart w:id="8404" w:name="_Toc20080886"/>
      <w:r>
        <w:rPr>
          <w:noProof/>
          <w:rtl/>
        </w:rPr>
        <w:t>דברי הרוקח והבכור שור דבהמה איתרעי גבינות לא איתרעי</w:t>
      </w:r>
      <w:bookmarkEnd w:id="8403"/>
      <w:bookmarkEnd w:id="8404"/>
    </w:p>
    <w:p w14:paraId="325BCA72" w14:textId="77777777" w:rsidR="00FB0353" w:rsidRDefault="00FB0353" w:rsidP="005077A7">
      <w:pPr>
        <w:pStyle w:val="a"/>
        <w:rPr>
          <w:rFonts w:eastAsiaTheme="minorEastAsia" w:cstheme="minorBidi"/>
          <w:noProof/>
          <w:sz w:val="22"/>
          <w:szCs w:val="22"/>
          <w:rtl/>
        </w:rPr>
      </w:pPr>
      <w:r>
        <w:rPr>
          <w:noProof/>
          <w:rtl/>
        </w:rPr>
        <w:t>דברי הרוקח דהותר החלב לפני השחיטה והריעותא היא בבהמה ולא בחזקת היתר של החלב</w:t>
      </w:r>
    </w:p>
    <w:p w14:paraId="06725574" w14:textId="77777777" w:rsidR="00FB0353" w:rsidRDefault="00FB0353" w:rsidP="005077A7">
      <w:pPr>
        <w:pStyle w:val="a"/>
        <w:rPr>
          <w:rFonts w:eastAsiaTheme="minorEastAsia" w:cstheme="minorBidi"/>
          <w:noProof/>
          <w:sz w:val="22"/>
          <w:szCs w:val="22"/>
          <w:rtl/>
        </w:rPr>
      </w:pPr>
      <w:r>
        <w:rPr>
          <w:noProof/>
          <w:rtl/>
        </w:rPr>
        <w:t>ביאור הבכור שור והשערי תורה דמעמידים את החלב בחזקתו שנחלב בהיתר</w:t>
      </w:r>
    </w:p>
    <w:p w14:paraId="6B44F50A" w14:textId="77777777" w:rsidR="00FB0353" w:rsidRDefault="00FB0353" w:rsidP="005548CF">
      <w:pPr>
        <w:pStyle w:val="2"/>
        <w:keepNext w:val="0"/>
        <w:keepLines w:val="0"/>
        <w:rPr>
          <w:rFonts w:eastAsiaTheme="minorEastAsia" w:cstheme="minorBidi"/>
          <w:i/>
          <w:iCs/>
          <w:noProof/>
          <w:sz w:val="22"/>
          <w:szCs w:val="22"/>
          <w:rtl/>
        </w:rPr>
      </w:pPr>
      <w:bookmarkStart w:id="8405" w:name="_Toc19435596"/>
      <w:r>
        <w:rPr>
          <w:noProof/>
          <w:rtl/>
        </w:rPr>
        <w:t>דין הגבינות בטריפות ע"י סירכא</w:t>
      </w:r>
      <w:bookmarkEnd w:id="8405"/>
    </w:p>
    <w:p w14:paraId="4F797FC9" w14:textId="77777777" w:rsidR="00FB0353" w:rsidRDefault="00FB0353" w:rsidP="005548CF">
      <w:pPr>
        <w:pStyle w:val="aff4"/>
        <w:rPr>
          <w:rFonts w:eastAsiaTheme="minorEastAsia" w:cstheme="minorBidi"/>
          <w:i/>
          <w:iCs/>
          <w:noProof/>
          <w:sz w:val="22"/>
          <w:szCs w:val="22"/>
          <w:rtl/>
        </w:rPr>
      </w:pPr>
      <w:bookmarkStart w:id="8406" w:name="_Toc19435597"/>
      <w:bookmarkStart w:id="8407" w:name="_Toc20080887"/>
      <w:r>
        <w:rPr>
          <w:noProof/>
          <w:rtl/>
        </w:rPr>
        <w:t>דעת התוס' דבסירכא בריאה אפשר להתיר מדין ספק ספיקא</w:t>
      </w:r>
      <w:bookmarkEnd w:id="8406"/>
      <w:bookmarkEnd w:id="8407"/>
    </w:p>
    <w:p w14:paraId="0328254E" w14:textId="77777777" w:rsidR="00FB0353" w:rsidRDefault="00FB0353" w:rsidP="005077A7">
      <w:pPr>
        <w:pStyle w:val="a"/>
        <w:rPr>
          <w:rFonts w:eastAsiaTheme="minorEastAsia" w:cstheme="minorBidi"/>
          <w:noProof/>
          <w:sz w:val="22"/>
          <w:szCs w:val="22"/>
          <w:rtl/>
        </w:rPr>
      </w:pPr>
      <w:r>
        <w:rPr>
          <w:noProof/>
          <w:rtl/>
        </w:rPr>
        <w:t>דברי התוס' דבטריפה בסירכא בריאה אפשר להתיר מדין ספק ספיקא</w:t>
      </w:r>
    </w:p>
    <w:p w14:paraId="362BC84D" w14:textId="77777777" w:rsidR="00FB0353" w:rsidRDefault="00FB0353" w:rsidP="005077A7">
      <w:pPr>
        <w:pStyle w:val="a"/>
        <w:rPr>
          <w:rFonts w:eastAsiaTheme="minorEastAsia" w:cstheme="minorBidi"/>
          <w:noProof/>
          <w:sz w:val="22"/>
          <w:szCs w:val="22"/>
          <w:rtl/>
        </w:rPr>
      </w:pPr>
      <w:r>
        <w:rPr>
          <w:noProof/>
          <w:rtl/>
        </w:rPr>
        <w:t>דברי השערי דורא דההיתר מדין ספק ספיקא הוא בגבינות שנחלבו לפני ג' ימים לשחיטה</w:t>
      </w:r>
    </w:p>
    <w:p w14:paraId="48AFF6D5" w14:textId="77777777" w:rsidR="00FB0353" w:rsidRDefault="00FB0353" w:rsidP="005077A7">
      <w:pPr>
        <w:pStyle w:val="a"/>
        <w:rPr>
          <w:rFonts w:eastAsiaTheme="minorEastAsia" w:cstheme="minorBidi"/>
          <w:noProof/>
          <w:sz w:val="22"/>
          <w:szCs w:val="22"/>
          <w:rtl/>
        </w:rPr>
      </w:pPr>
      <w:r>
        <w:rPr>
          <w:noProof/>
          <w:rtl/>
        </w:rPr>
        <w:t>דברי הש"ך דפלוגתת התוס' והרשב"א היא רק בגבינות שנחלבו לפני ג' ימים לשחיטה</w:t>
      </w:r>
    </w:p>
    <w:p w14:paraId="219D3773" w14:textId="77777777" w:rsidR="00FB0353" w:rsidRDefault="00FB0353" w:rsidP="005077A7">
      <w:pPr>
        <w:pStyle w:val="a"/>
        <w:rPr>
          <w:rFonts w:eastAsiaTheme="minorEastAsia" w:cstheme="minorBidi"/>
          <w:noProof/>
          <w:sz w:val="22"/>
          <w:szCs w:val="22"/>
          <w:rtl/>
        </w:rPr>
      </w:pPr>
      <w:r>
        <w:rPr>
          <w:noProof/>
          <w:rtl/>
        </w:rPr>
        <w:t>דברי הש"ך דברמ"א מבואר דהתוס' התיר אף בג' ימים האחרונים</w:t>
      </w:r>
    </w:p>
    <w:p w14:paraId="27650A19" w14:textId="77777777" w:rsidR="00FB0353" w:rsidRDefault="00FB0353" w:rsidP="005548CF">
      <w:pPr>
        <w:pStyle w:val="aff4"/>
        <w:rPr>
          <w:rFonts w:eastAsiaTheme="minorEastAsia" w:cstheme="minorBidi"/>
          <w:i/>
          <w:iCs/>
          <w:noProof/>
          <w:sz w:val="22"/>
          <w:szCs w:val="22"/>
          <w:rtl/>
        </w:rPr>
      </w:pPr>
      <w:bookmarkStart w:id="8408" w:name="_Toc19435598"/>
      <w:bookmarkStart w:id="8409" w:name="_Toc20080888"/>
      <w:r>
        <w:rPr>
          <w:noProof/>
          <w:rtl/>
        </w:rPr>
        <w:t>דעת רבינו יונה דבסירכא יצאה מחזקתה והגבינות אסורות</w:t>
      </w:r>
      <w:bookmarkEnd w:id="8408"/>
      <w:bookmarkEnd w:id="8409"/>
    </w:p>
    <w:p w14:paraId="6A413A52" w14:textId="77777777" w:rsidR="00FB0353" w:rsidRDefault="00FB0353" w:rsidP="005077A7">
      <w:pPr>
        <w:pStyle w:val="a"/>
        <w:rPr>
          <w:rFonts w:eastAsiaTheme="minorEastAsia" w:cstheme="minorBidi"/>
          <w:noProof/>
          <w:sz w:val="22"/>
          <w:szCs w:val="22"/>
          <w:rtl/>
        </w:rPr>
      </w:pPr>
      <w:r>
        <w:rPr>
          <w:noProof/>
          <w:rtl/>
        </w:rPr>
        <w:t>דברי רבינו יונה דבטריפה שודאי נטרפה מחיים ולא סמוך לשחיטה אין לבהמה כל חזקה</w:t>
      </w:r>
    </w:p>
    <w:p w14:paraId="63674270" w14:textId="77777777" w:rsidR="00FB0353" w:rsidRDefault="00FB0353" w:rsidP="005077A7">
      <w:pPr>
        <w:pStyle w:val="a"/>
        <w:rPr>
          <w:rFonts w:eastAsiaTheme="minorEastAsia" w:cstheme="minorBidi"/>
          <w:noProof/>
          <w:sz w:val="22"/>
          <w:szCs w:val="22"/>
          <w:rtl/>
        </w:rPr>
      </w:pPr>
      <w:r>
        <w:rPr>
          <w:noProof/>
          <w:rtl/>
        </w:rPr>
        <w:t>הוכחת הרשב"א והר"ן מדין כתמים דביצאה מחזקתה א"א להעמידה על החזקה כלל</w:t>
      </w:r>
    </w:p>
    <w:p w14:paraId="0B6CBD0D" w14:textId="77777777" w:rsidR="00FB0353" w:rsidRDefault="00FB0353" w:rsidP="005077A7">
      <w:pPr>
        <w:pStyle w:val="a"/>
        <w:rPr>
          <w:rFonts w:eastAsiaTheme="minorEastAsia" w:cstheme="minorBidi"/>
          <w:noProof/>
          <w:sz w:val="22"/>
          <w:szCs w:val="22"/>
          <w:rtl/>
        </w:rPr>
      </w:pPr>
      <w:r>
        <w:rPr>
          <w:noProof/>
          <w:rtl/>
        </w:rPr>
        <w:t>דברי הרשב"א והר"ן דבדין מומין יש החזקה אף שיצאה ממנה מדין אין מחזיקין מרשות לרשות</w:t>
      </w:r>
    </w:p>
    <w:p w14:paraId="659D4096" w14:textId="77777777" w:rsidR="00FB0353" w:rsidRDefault="00FB0353" w:rsidP="005077A7">
      <w:pPr>
        <w:pStyle w:val="a"/>
        <w:rPr>
          <w:rFonts w:eastAsiaTheme="minorEastAsia" w:cstheme="minorBidi"/>
          <w:noProof/>
          <w:sz w:val="22"/>
          <w:szCs w:val="22"/>
          <w:rtl/>
        </w:rPr>
      </w:pPr>
      <w:r>
        <w:rPr>
          <w:noProof/>
          <w:rtl/>
        </w:rPr>
        <w:t>ביאור הש"ש ברשב"א דבמומין אי"ז חזקת הגוף אלא דין אין מחזיקין ריעותא מרשות לרשות</w:t>
      </w:r>
    </w:p>
    <w:p w14:paraId="5CC3A26B" w14:textId="77777777" w:rsidR="00FB0353" w:rsidRDefault="00FB0353" w:rsidP="005548CF">
      <w:pPr>
        <w:pStyle w:val="aff4"/>
        <w:rPr>
          <w:rFonts w:eastAsiaTheme="minorEastAsia" w:cstheme="minorBidi"/>
          <w:i/>
          <w:iCs/>
          <w:noProof/>
          <w:sz w:val="22"/>
          <w:szCs w:val="22"/>
          <w:rtl/>
        </w:rPr>
      </w:pPr>
      <w:bookmarkStart w:id="8410" w:name="_Toc19435599"/>
      <w:bookmarkStart w:id="8411" w:name="_Toc20080889"/>
      <w:r>
        <w:rPr>
          <w:noProof/>
          <w:rtl/>
        </w:rPr>
        <w:t>דחיית הש"ך דבכתמים אין רוב כמו בטריפה</w:t>
      </w:r>
      <w:bookmarkEnd w:id="8410"/>
      <w:bookmarkEnd w:id="8411"/>
    </w:p>
    <w:p w14:paraId="583ABA3D" w14:textId="77777777" w:rsidR="00FB0353" w:rsidRDefault="00FB0353" w:rsidP="005077A7">
      <w:pPr>
        <w:pStyle w:val="a"/>
        <w:rPr>
          <w:rFonts w:eastAsiaTheme="minorEastAsia" w:cstheme="minorBidi"/>
          <w:noProof/>
          <w:sz w:val="22"/>
          <w:szCs w:val="22"/>
          <w:rtl/>
        </w:rPr>
      </w:pPr>
      <w:r>
        <w:rPr>
          <w:noProof/>
          <w:rtl/>
        </w:rPr>
        <w:t>דחיית הש"ך לראיית הרשב"א מכתמים דהתם יצאה מחזקתה למפרע כיון שאין רוב שהיא טהורה</w:t>
      </w:r>
    </w:p>
    <w:p w14:paraId="6007880E" w14:textId="77777777" w:rsidR="00FB0353" w:rsidRDefault="00FB0353" w:rsidP="005548CF">
      <w:pPr>
        <w:pStyle w:val="aff4"/>
        <w:rPr>
          <w:rFonts w:eastAsiaTheme="minorEastAsia" w:cstheme="minorBidi"/>
          <w:i/>
          <w:iCs/>
          <w:noProof/>
          <w:sz w:val="22"/>
          <w:szCs w:val="22"/>
          <w:rtl/>
        </w:rPr>
      </w:pPr>
      <w:bookmarkStart w:id="8412" w:name="_Toc19435600"/>
      <w:bookmarkStart w:id="8413" w:name="_Toc20080890"/>
      <w:r>
        <w:rPr>
          <w:noProof/>
          <w:rtl/>
        </w:rPr>
        <w:t>דברי הפרמ"ג בחזקה שלא נתבררה בשעתה וחזקה מכח רוב</w:t>
      </w:r>
      <w:bookmarkEnd w:id="8412"/>
      <w:bookmarkEnd w:id="8413"/>
    </w:p>
    <w:p w14:paraId="1BFB6F62" w14:textId="77777777" w:rsidR="00FB0353" w:rsidRDefault="00FB0353" w:rsidP="005077A7">
      <w:pPr>
        <w:pStyle w:val="a"/>
        <w:rPr>
          <w:rFonts w:eastAsiaTheme="minorEastAsia" w:cstheme="minorBidi"/>
          <w:noProof/>
          <w:sz w:val="22"/>
          <w:szCs w:val="22"/>
          <w:rtl/>
        </w:rPr>
      </w:pPr>
      <w:r>
        <w:rPr>
          <w:noProof/>
          <w:rtl/>
        </w:rPr>
        <w:t>דברי הפרמ"ג שיש ג' חזקות נתבררה ולא נתבררה וחזקה מכח רוב</w:t>
      </w:r>
    </w:p>
    <w:p w14:paraId="17ECC477" w14:textId="77777777" w:rsidR="00FB0353" w:rsidRDefault="00FB0353" w:rsidP="005077A7">
      <w:pPr>
        <w:pStyle w:val="a"/>
        <w:rPr>
          <w:rFonts w:eastAsiaTheme="minorEastAsia" w:cstheme="minorBidi"/>
          <w:noProof/>
          <w:sz w:val="22"/>
          <w:szCs w:val="22"/>
          <w:rtl/>
        </w:rPr>
      </w:pPr>
      <w:r>
        <w:rPr>
          <w:noProof/>
          <w:rtl/>
        </w:rPr>
        <w:t>ביאור הפמ"ג דלתוס' יצאה מכלל הרוב ולרשב"א ע"י הרוב חשיב שנתבררה חזקתה</w:t>
      </w:r>
    </w:p>
    <w:p w14:paraId="7139D61B" w14:textId="77777777" w:rsidR="00FB0353" w:rsidRDefault="00FB0353" w:rsidP="005077A7">
      <w:pPr>
        <w:pStyle w:val="a"/>
        <w:rPr>
          <w:rFonts w:eastAsiaTheme="minorEastAsia" w:cstheme="minorBidi"/>
          <w:noProof/>
          <w:sz w:val="22"/>
          <w:szCs w:val="22"/>
          <w:rtl/>
        </w:rPr>
      </w:pPr>
      <w:r>
        <w:rPr>
          <w:noProof/>
          <w:rtl/>
        </w:rPr>
        <w:t>ביאור הפרמ"ג ברשב"א דעד שנתברר שהיא טריפה הוחזקה שהיא בכלל הרוב</w:t>
      </w:r>
    </w:p>
    <w:p w14:paraId="52D7B195" w14:textId="77777777" w:rsidR="00FB0353" w:rsidRDefault="00FB0353" w:rsidP="005077A7">
      <w:pPr>
        <w:pStyle w:val="a"/>
        <w:rPr>
          <w:rFonts w:eastAsiaTheme="minorEastAsia" w:cstheme="minorBidi"/>
          <w:noProof/>
          <w:sz w:val="22"/>
          <w:szCs w:val="22"/>
          <w:rtl/>
        </w:rPr>
      </w:pPr>
      <w:r>
        <w:rPr>
          <w:noProof/>
          <w:rtl/>
        </w:rPr>
        <w:t>דברי הפרמ"ג דדברי הרשב"א דביצאה מהרוב מחיים אין לה חזקה הוא רק בחזקה מכח רוב</w:t>
      </w:r>
    </w:p>
    <w:p w14:paraId="37C490FF" w14:textId="77777777" w:rsidR="00FB0353" w:rsidRDefault="00FB0353" w:rsidP="005077A7">
      <w:pPr>
        <w:pStyle w:val="a"/>
        <w:rPr>
          <w:rFonts w:eastAsiaTheme="minorEastAsia" w:cstheme="minorBidi"/>
          <w:noProof/>
          <w:sz w:val="22"/>
          <w:szCs w:val="22"/>
          <w:rtl/>
        </w:rPr>
      </w:pPr>
      <w:r>
        <w:rPr>
          <w:noProof/>
          <w:rtl/>
        </w:rPr>
        <w:t>דברי הפר"ח דאף בחזקה שנתבררה בשעתה אם יצאה מהרוב מחיים אין לה חזקה</w:t>
      </w:r>
    </w:p>
    <w:p w14:paraId="0AFB67BF" w14:textId="77777777" w:rsidR="00FB0353" w:rsidRDefault="00FB0353" w:rsidP="005077A7">
      <w:pPr>
        <w:pStyle w:val="a"/>
        <w:rPr>
          <w:rFonts w:eastAsiaTheme="minorEastAsia" w:cstheme="minorBidi"/>
          <w:noProof/>
          <w:sz w:val="22"/>
          <w:szCs w:val="22"/>
          <w:rtl/>
        </w:rPr>
      </w:pPr>
      <w:r>
        <w:rPr>
          <w:noProof/>
          <w:rtl/>
        </w:rPr>
        <w:t>ביאור הפרמ"ג דבדבר שא"א לומר שעכשיו יצאה מחזקתה א"א לתת לו גבול למפרע</w:t>
      </w:r>
    </w:p>
    <w:p w14:paraId="69C7CD72" w14:textId="77777777" w:rsidR="00FB0353" w:rsidRDefault="00FB0353" w:rsidP="005548CF">
      <w:pPr>
        <w:pStyle w:val="aff4"/>
        <w:rPr>
          <w:rFonts w:eastAsiaTheme="minorEastAsia" w:cstheme="minorBidi"/>
          <w:i/>
          <w:iCs/>
          <w:noProof/>
          <w:sz w:val="22"/>
          <w:szCs w:val="22"/>
          <w:rtl/>
        </w:rPr>
      </w:pPr>
      <w:bookmarkStart w:id="8414" w:name="_Toc19435601"/>
      <w:bookmarkStart w:id="8415" w:name="_Toc20080891"/>
      <w:r>
        <w:rPr>
          <w:noProof/>
          <w:rtl/>
        </w:rPr>
        <w:t>ביאור התורת יקותיאל בפלוגתת הראשונים ביצאה מחזקתה</w:t>
      </w:r>
      <w:bookmarkEnd w:id="8414"/>
      <w:bookmarkEnd w:id="8415"/>
    </w:p>
    <w:p w14:paraId="31217E0F" w14:textId="77777777" w:rsidR="00FB0353" w:rsidRDefault="00FB0353" w:rsidP="005077A7">
      <w:pPr>
        <w:pStyle w:val="a"/>
        <w:rPr>
          <w:rFonts w:eastAsiaTheme="minorEastAsia" w:cstheme="minorBidi"/>
          <w:noProof/>
          <w:sz w:val="22"/>
          <w:szCs w:val="22"/>
          <w:rtl/>
        </w:rPr>
      </w:pPr>
      <w:r>
        <w:rPr>
          <w:noProof/>
          <w:rtl/>
        </w:rPr>
        <w:t>ביאור התורת יקותיאל דלרבינו יונה ביצאה מחזקתה חשיב חזקה בטעות דהא יש בה ריעותא</w:t>
      </w:r>
    </w:p>
    <w:p w14:paraId="6CEDD1A6" w14:textId="77777777" w:rsidR="00FB0353" w:rsidRDefault="00FB0353" w:rsidP="005077A7">
      <w:pPr>
        <w:pStyle w:val="a"/>
        <w:rPr>
          <w:rFonts w:eastAsiaTheme="minorEastAsia" w:cstheme="minorBidi"/>
          <w:noProof/>
          <w:sz w:val="22"/>
          <w:szCs w:val="22"/>
          <w:rtl/>
        </w:rPr>
      </w:pPr>
      <w:r>
        <w:rPr>
          <w:noProof/>
          <w:rtl/>
        </w:rPr>
        <w:t>דברי התורת יקותיאל בדעת הסמ"ק דגדר חזקה הוא להעמיד על זמן אחד שהייתה בו כשרה</w:t>
      </w:r>
    </w:p>
    <w:p w14:paraId="7A90C317" w14:textId="77777777" w:rsidR="00FB0353" w:rsidRDefault="00FB0353" w:rsidP="005548CF">
      <w:pPr>
        <w:pStyle w:val="aff4"/>
        <w:rPr>
          <w:rFonts w:eastAsiaTheme="minorEastAsia" w:cstheme="minorBidi"/>
          <w:i/>
          <w:iCs/>
          <w:noProof/>
          <w:sz w:val="22"/>
          <w:szCs w:val="22"/>
          <w:rtl/>
        </w:rPr>
      </w:pPr>
      <w:bookmarkStart w:id="8416" w:name="_Toc19435602"/>
      <w:bookmarkStart w:id="8417" w:name="_Toc20080892"/>
      <w:r>
        <w:rPr>
          <w:noProof/>
          <w:rtl/>
        </w:rPr>
        <w:t>דברי הרא"ה דאין חילוק בחזקה בין סירכא לשאר טריפות</w:t>
      </w:r>
      <w:bookmarkEnd w:id="8416"/>
      <w:bookmarkEnd w:id="8417"/>
    </w:p>
    <w:p w14:paraId="1E9937E1" w14:textId="77777777" w:rsidR="00FB0353" w:rsidRDefault="00FB0353" w:rsidP="005077A7">
      <w:pPr>
        <w:pStyle w:val="a"/>
        <w:rPr>
          <w:rFonts w:eastAsiaTheme="minorEastAsia" w:cstheme="minorBidi"/>
          <w:noProof/>
          <w:sz w:val="22"/>
          <w:szCs w:val="22"/>
          <w:rtl/>
        </w:rPr>
      </w:pPr>
      <w:r>
        <w:rPr>
          <w:noProof/>
          <w:rtl/>
        </w:rPr>
        <w:t>קושית הרא"ה דכמו שמעמידים שנטרפה סמוך לשחיטה נעמיד שנטרפה לפני ג' ימים</w:t>
      </w:r>
    </w:p>
    <w:p w14:paraId="77016337" w14:textId="77777777" w:rsidR="00FB0353" w:rsidRDefault="00FB0353" w:rsidP="005077A7">
      <w:pPr>
        <w:pStyle w:val="a"/>
        <w:rPr>
          <w:rFonts w:eastAsiaTheme="minorEastAsia" w:cstheme="minorBidi"/>
          <w:noProof/>
          <w:sz w:val="22"/>
          <w:szCs w:val="22"/>
          <w:rtl/>
        </w:rPr>
      </w:pPr>
      <w:r>
        <w:rPr>
          <w:noProof/>
          <w:rtl/>
        </w:rPr>
        <w:t>דברי הרא"ה דאסרינן עד הזמן שודאי הייתה מותרת דהיינו עד י"ב חודש</w:t>
      </w:r>
    </w:p>
    <w:p w14:paraId="0B4822D4" w14:textId="77777777" w:rsidR="00FB0353" w:rsidRDefault="00FB0353" w:rsidP="005077A7">
      <w:pPr>
        <w:pStyle w:val="a"/>
        <w:rPr>
          <w:rFonts w:eastAsiaTheme="minorEastAsia" w:cstheme="minorBidi"/>
          <w:noProof/>
          <w:sz w:val="22"/>
          <w:szCs w:val="22"/>
          <w:rtl/>
        </w:rPr>
      </w:pPr>
      <w:r>
        <w:rPr>
          <w:noProof/>
          <w:rtl/>
        </w:rPr>
        <w:t>תירוץ הרשב"א במשה"ב דתלינן שנטרפה אחר השחיטה ולא סמוך לשחיטה מחיים</w:t>
      </w:r>
    </w:p>
    <w:p w14:paraId="696CDD94" w14:textId="77777777" w:rsidR="00FB0353" w:rsidRDefault="00FB0353" w:rsidP="005548CF">
      <w:pPr>
        <w:pStyle w:val="aff4"/>
        <w:rPr>
          <w:rFonts w:eastAsiaTheme="minorEastAsia" w:cstheme="minorBidi"/>
          <w:i/>
          <w:iCs/>
          <w:noProof/>
          <w:sz w:val="22"/>
          <w:szCs w:val="22"/>
          <w:rtl/>
        </w:rPr>
      </w:pPr>
      <w:bookmarkStart w:id="8418" w:name="_Toc19435603"/>
      <w:bookmarkStart w:id="8419" w:name="_Toc20080893"/>
      <w:r>
        <w:rPr>
          <w:noProof/>
          <w:rtl/>
        </w:rPr>
        <w:t>דברי האחרונים בדעת הרשב"א במשה"ב</w:t>
      </w:r>
      <w:bookmarkEnd w:id="8418"/>
      <w:bookmarkEnd w:id="8419"/>
    </w:p>
    <w:p w14:paraId="107D6A4F" w14:textId="77777777" w:rsidR="00FB0353" w:rsidRDefault="00FB0353" w:rsidP="005077A7">
      <w:pPr>
        <w:pStyle w:val="a"/>
        <w:rPr>
          <w:rFonts w:eastAsiaTheme="minorEastAsia" w:cstheme="minorBidi"/>
          <w:noProof/>
          <w:sz w:val="22"/>
          <w:szCs w:val="22"/>
          <w:rtl/>
        </w:rPr>
      </w:pPr>
      <w:r>
        <w:rPr>
          <w:noProof/>
          <w:rtl/>
        </w:rPr>
        <w:t>תמיהת הט"ז דע"י חזקה מכח רוב אפשר להעמיד שנטרפה מחיים סמוך לשחיטה</w:t>
      </w:r>
    </w:p>
    <w:p w14:paraId="36640F9F" w14:textId="77777777" w:rsidR="00FB0353" w:rsidRDefault="00FB0353" w:rsidP="005077A7">
      <w:pPr>
        <w:pStyle w:val="a"/>
        <w:rPr>
          <w:rFonts w:eastAsiaTheme="minorEastAsia" w:cstheme="minorBidi"/>
          <w:noProof/>
          <w:sz w:val="22"/>
          <w:szCs w:val="22"/>
          <w:rtl/>
        </w:rPr>
      </w:pPr>
      <w:r>
        <w:rPr>
          <w:noProof/>
          <w:rtl/>
        </w:rPr>
        <w:t>קושית הט"ז על הטור דהתיר ע"י חזקה מכח רוב ובהוגלד פי המכה אסר לפני ג' ימים</w:t>
      </w:r>
    </w:p>
    <w:p w14:paraId="37B82612" w14:textId="77777777" w:rsidR="00FB0353" w:rsidRDefault="00FB0353" w:rsidP="005077A7">
      <w:pPr>
        <w:pStyle w:val="a"/>
        <w:rPr>
          <w:rFonts w:eastAsiaTheme="minorEastAsia" w:cstheme="minorBidi"/>
          <w:noProof/>
          <w:sz w:val="22"/>
          <w:szCs w:val="22"/>
          <w:rtl/>
        </w:rPr>
      </w:pPr>
      <w:r>
        <w:rPr>
          <w:noProof/>
          <w:rtl/>
        </w:rPr>
        <w:t>ביאור הט"ז בטור דכל שיצאה זמן מסויים מחזקתה בטלה החזקה</w:t>
      </w:r>
    </w:p>
    <w:p w14:paraId="2E995C2E" w14:textId="77777777" w:rsidR="00FB0353" w:rsidRDefault="00FB0353" w:rsidP="005077A7">
      <w:pPr>
        <w:pStyle w:val="a"/>
        <w:rPr>
          <w:rFonts w:eastAsiaTheme="minorEastAsia" w:cstheme="minorBidi"/>
          <w:noProof/>
          <w:sz w:val="22"/>
          <w:szCs w:val="22"/>
          <w:rtl/>
        </w:rPr>
      </w:pPr>
      <w:r>
        <w:rPr>
          <w:noProof/>
          <w:rtl/>
        </w:rPr>
        <w:t>תירוץ הבכור שור בטור דיש חילוק בין טריפה דהוגלד פי המכה לבין סירכות בריאה</w:t>
      </w:r>
    </w:p>
    <w:p w14:paraId="4C7209CE" w14:textId="77777777" w:rsidR="00FB0353" w:rsidRDefault="00FB0353" w:rsidP="005077A7">
      <w:pPr>
        <w:pStyle w:val="a"/>
        <w:rPr>
          <w:rFonts w:eastAsiaTheme="minorEastAsia" w:cstheme="minorBidi"/>
          <w:noProof/>
          <w:sz w:val="22"/>
          <w:szCs w:val="22"/>
          <w:rtl/>
        </w:rPr>
      </w:pPr>
      <w:r>
        <w:rPr>
          <w:noProof/>
          <w:rtl/>
        </w:rPr>
        <w:t>הוכחת הבכור שור בדברי הרשב"א דיש חילוק בין הוגלד פי המכה לסירכא</w:t>
      </w:r>
    </w:p>
    <w:p w14:paraId="4DEF0D69" w14:textId="77777777" w:rsidR="00FB0353" w:rsidRDefault="00FB0353" w:rsidP="005548CF">
      <w:pPr>
        <w:pStyle w:val="aff4"/>
        <w:rPr>
          <w:rFonts w:eastAsiaTheme="minorEastAsia" w:cstheme="minorBidi"/>
          <w:i/>
          <w:iCs/>
          <w:noProof/>
          <w:sz w:val="22"/>
          <w:szCs w:val="22"/>
          <w:rtl/>
        </w:rPr>
      </w:pPr>
      <w:bookmarkStart w:id="8420" w:name="_Toc19435604"/>
      <w:bookmarkStart w:id="8421" w:name="_Toc20080894"/>
      <w:r>
        <w:rPr>
          <w:noProof/>
          <w:rtl/>
        </w:rPr>
        <w:t>דברי הט"ז בהוגלד פי המכה להלכה</w:t>
      </w:r>
      <w:bookmarkEnd w:id="8420"/>
      <w:bookmarkEnd w:id="8421"/>
    </w:p>
    <w:p w14:paraId="66E24C5C" w14:textId="77777777" w:rsidR="00FB0353" w:rsidRDefault="00FB0353" w:rsidP="005077A7">
      <w:pPr>
        <w:pStyle w:val="a"/>
        <w:rPr>
          <w:rFonts w:eastAsiaTheme="minorEastAsia" w:cstheme="minorBidi"/>
          <w:noProof/>
          <w:sz w:val="22"/>
          <w:szCs w:val="22"/>
          <w:rtl/>
        </w:rPr>
      </w:pPr>
      <w:r>
        <w:rPr>
          <w:noProof/>
          <w:rtl/>
        </w:rPr>
        <w:t>דברי הט"ז דהשו"ע פסק כרשב"א דבהוגלד פי המכה כל הגבינות אסורות למפרע לעולם</w:t>
      </w:r>
    </w:p>
    <w:p w14:paraId="12984FC0" w14:textId="77777777" w:rsidR="00FB0353" w:rsidRDefault="00FB0353" w:rsidP="005077A7">
      <w:pPr>
        <w:pStyle w:val="a"/>
        <w:rPr>
          <w:rFonts w:eastAsiaTheme="minorEastAsia" w:cstheme="minorBidi"/>
          <w:noProof/>
          <w:sz w:val="22"/>
          <w:szCs w:val="22"/>
          <w:rtl/>
        </w:rPr>
      </w:pPr>
      <w:r>
        <w:rPr>
          <w:noProof/>
          <w:rtl/>
        </w:rPr>
        <w:t>דברי הט"ז דהרמ"א שהתיר לפני ג' ימים פסק כרשב"ם דכל שאפשר להעמיד על החזקה מעמידים</w:t>
      </w:r>
    </w:p>
    <w:p w14:paraId="7838228F" w14:textId="77777777" w:rsidR="00FB0353" w:rsidRDefault="00FB0353" w:rsidP="005548CF">
      <w:pPr>
        <w:pStyle w:val="aff4"/>
        <w:rPr>
          <w:rFonts w:eastAsiaTheme="minorEastAsia" w:cstheme="minorBidi"/>
          <w:i/>
          <w:iCs/>
          <w:noProof/>
          <w:sz w:val="22"/>
          <w:szCs w:val="22"/>
          <w:rtl/>
        </w:rPr>
      </w:pPr>
      <w:bookmarkStart w:id="8422" w:name="_Toc19435605"/>
      <w:bookmarkStart w:id="8423" w:name="_Toc20080895"/>
      <w:r>
        <w:rPr>
          <w:noProof/>
          <w:rtl/>
        </w:rPr>
        <w:t>דעת ספר התרומה דבסירכא מותר ובהוגלד פי המכה הוא ספק</w:t>
      </w:r>
      <w:bookmarkEnd w:id="8422"/>
      <w:bookmarkEnd w:id="8423"/>
    </w:p>
    <w:p w14:paraId="1C92AF6D" w14:textId="77777777" w:rsidR="00FB0353" w:rsidRDefault="00FB0353" w:rsidP="005077A7">
      <w:pPr>
        <w:pStyle w:val="a"/>
        <w:rPr>
          <w:rFonts w:eastAsiaTheme="minorEastAsia" w:cstheme="minorBidi"/>
          <w:noProof/>
          <w:sz w:val="22"/>
          <w:szCs w:val="22"/>
          <w:rtl/>
        </w:rPr>
      </w:pPr>
      <w:r>
        <w:rPr>
          <w:noProof/>
          <w:rtl/>
        </w:rPr>
        <w:t>דברי התרומה בדעת הבה"ג דאפשר להתיר את הגבינות בסירכא</w:t>
      </w:r>
    </w:p>
    <w:p w14:paraId="4260BC98" w14:textId="77777777" w:rsidR="00FB0353" w:rsidRDefault="00FB0353" w:rsidP="005077A7">
      <w:pPr>
        <w:pStyle w:val="a"/>
        <w:rPr>
          <w:rFonts w:eastAsiaTheme="minorEastAsia" w:cstheme="minorBidi"/>
          <w:noProof/>
          <w:sz w:val="22"/>
          <w:szCs w:val="22"/>
          <w:rtl/>
        </w:rPr>
      </w:pPr>
      <w:r>
        <w:rPr>
          <w:noProof/>
          <w:rtl/>
        </w:rPr>
        <w:t>ספק התרומה בהוגלד פי המכה אי אפשר להתיר את הגבינות שקדמו ג' ימים לשחיטה</w:t>
      </w:r>
    </w:p>
    <w:p w14:paraId="142FDE73" w14:textId="77777777" w:rsidR="00FB0353" w:rsidRDefault="00FB0353" w:rsidP="005548CF">
      <w:pPr>
        <w:pStyle w:val="aff4"/>
        <w:rPr>
          <w:rFonts w:eastAsiaTheme="minorEastAsia" w:cstheme="minorBidi"/>
          <w:i/>
          <w:iCs/>
          <w:noProof/>
          <w:sz w:val="22"/>
          <w:szCs w:val="22"/>
          <w:rtl/>
        </w:rPr>
      </w:pPr>
      <w:bookmarkStart w:id="8424" w:name="_Toc19435606"/>
      <w:bookmarkStart w:id="8425" w:name="_Toc20080896"/>
      <w:r>
        <w:rPr>
          <w:noProof/>
          <w:rtl/>
        </w:rPr>
        <w:t>דברי הרוקח בשם ר"ת דמעמידים את הגוף בחזקת בריאותו</w:t>
      </w:r>
      <w:bookmarkEnd w:id="8424"/>
      <w:bookmarkEnd w:id="8425"/>
    </w:p>
    <w:p w14:paraId="0B75A358" w14:textId="77777777" w:rsidR="00FB0353" w:rsidRDefault="00FB0353" w:rsidP="005077A7">
      <w:pPr>
        <w:pStyle w:val="a"/>
        <w:rPr>
          <w:rFonts w:eastAsiaTheme="minorEastAsia" w:cstheme="minorBidi"/>
          <w:noProof/>
          <w:sz w:val="22"/>
          <w:szCs w:val="22"/>
          <w:rtl/>
        </w:rPr>
      </w:pPr>
      <w:r>
        <w:rPr>
          <w:noProof/>
          <w:rtl/>
        </w:rPr>
        <w:t>דברי הרוקח בשם ר"ת והבה"ג דלפני הג' ימים מעמידים את הגוף בחזקת בריאותו</w:t>
      </w:r>
    </w:p>
    <w:p w14:paraId="3B0817F9" w14:textId="77777777" w:rsidR="00FB0353" w:rsidRDefault="00FB0353" w:rsidP="005077A7">
      <w:pPr>
        <w:pStyle w:val="a"/>
        <w:rPr>
          <w:rFonts w:eastAsiaTheme="minorEastAsia" w:cstheme="minorBidi"/>
          <w:noProof/>
          <w:sz w:val="22"/>
          <w:szCs w:val="22"/>
          <w:rtl/>
        </w:rPr>
      </w:pPr>
      <w:r>
        <w:rPr>
          <w:noProof/>
          <w:rtl/>
        </w:rPr>
        <w:t>הוכחת הרוקח והשערי דורא מדין פתח פתוח דמעמידים את הגוף בחזקתו</w:t>
      </w:r>
    </w:p>
    <w:p w14:paraId="408C7D5B" w14:textId="77777777" w:rsidR="00FB0353" w:rsidRDefault="00FB0353" w:rsidP="005077A7">
      <w:pPr>
        <w:pStyle w:val="a"/>
        <w:rPr>
          <w:rFonts w:eastAsiaTheme="minorEastAsia" w:cstheme="minorBidi"/>
          <w:noProof/>
          <w:sz w:val="22"/>
          <w:szCs w:val="22"/>
          <w:rtl/>
        </w:rPr>
      </w:pPr>
      <w:r>
        <w:rPr>
          <w:noProof/>
          <w:rtl/>
        </w:rPr>
        <w:t>דחיית הרוקח דבדין פתח פתוח רק ע"י טענת ברי מעמידים על החזקה</w:t>
      </w:r>
    </w:p>
    <w:p w14:paraId="68B1D3FD" w14:textId="77777777" w:rsidR="00FB0353" w:rsidRDefault="00FB0353" w:rsidP="005077A7">
      <w:pPr>
        <w:pStyle w:val="a"/>
        <w:rPr>
          <w:rFonts w:eastAsiaTheme="minorEastAsia" w:cstheme="minorBidi"/>
          <w:noProof/>
          <w:sz w:val="22"/>
          <w:szCs w:val="22"/>
        </w:rPr>
      </w:pPr>
      <w:r>
        <w:rPr>
          <w:noProof/>
          <w:rtl/>
        </w:rPr>
        <w:t>דברי הרוקח בשם רבו דאסר בסירכא את הגבינות של כל הי"ב חודשים האחרונים</w:t>
      </w:r>
    </w:p>
    <w:p w14:paraId="091E7924" w14:textId="77777777" w:rsidR="00FB0353" w:rsidRDefault="00FB0353" w:rsidP="005548CF">
      <w:pPr>
        <w:pStyle w:val="2"/>
        <w:keepNext w:val="0"/>
        <w:keepLines w:val="0"/>
        <w:rPr>
          <w:rFonts w:eastAsiaTheme="minorEastAsia" w:cstheme="minorBidi"/>
          <w:i/>
          <w:iCs/>
          <w:noProof/>
          <w:sz w:val="22"/>
          <w:szCs w:val="22"/>
          <w:rtl/>
        </w:rPr>
      </w:pPr>
      <w:bookmarkStart w:id="8426" w:name="_Toc19435607"/>
      <w:r>
        <w:rPr>
          <w:noProof/>
          <w:rtl/>
        </w:rPr>
        <w:t>ביאורי ראשי הישיבות על הסוגיא</w:t>
      </w:r>
      <w:bookmarkEnd w:id="8426"/>
    </w:p>
    <w:p w14:paraId="711A0097" w14:textId="77777777" w:rsidR="00FB0353" w:rsidRDefault="00FB0353" w:rsidP="005548CF">
      <w:pPr>
        <w:pStyle w:val="aff4"/>
        <w:rPr>
          <w:rFonts w:eastAsiaTheme="minorEastAsia" w:cstheme="minorBidi"/>
          <w:i/>
          <w:iCs/>
          <w:noProof/>
          <w:sz w:val="22"/>
          <w:szCs w:val="22"/>
          <w:rtl/>
        </w:rPr>
      </w:pPr>
      <w:bookmarkStart w:id="8427" w:name="_Toc19435608"/>
      <w:bookmarkStart w:id="8428" w:name="_Toc20080897"/>
      <w:r>
        <w:rPr>
          <w:noProof/>
          <w:rtl/>
        </w:rPr>
        <w:t>ביאור השער"י בדעת התוס' בחזקה שלא נתבררה בשעתה</w:t>
      </w:r>
      <w:bookmarkEnd w:id="8427"/>
      <w:bookmarkEnd w:id="8428"/>
    </w:p>
    <w:p w14:paraId="0D9588A2" w14:textId="77777777" w:rsidR="00FB0353" w:rsidRDefault="00FB0353" w:rsidP="005077A7">
      <w:pPr>
        <w:pStyle w:val="a"/>
        <w:rPr>
          <w:rFonts w:eastAsiaTheme="minorEastAsia" w:cstheme="minorBidi"/>
          <w:noProof/>
          <w:sz w:val="22"/>
          <w:szCs w:val="22"/>
          <w:rtl/>
        </w:rPr>
      </w:pPr>
      <w:r>
        <w:rPr>
          <w:noProof/>
          <w:rtl/>
        </w:rPr>
        <w:t>ביאור השער"י בחזקה שלא נתבררה בשעתה דבדבר שלא הוחזק מצבו הקודם לא שייך דין חזקה</w:t>
      </w:r>
    </w:p>
    <w:p w14:paraId="3CA7785B" w14:textId="77777777" w:rsidR="00FB0353" w:rsidRDefault="00FB0353" w:rsidP="005077A7">
      <w:pPr>
        <w:pStyle w:val="a"/>
        <w:rPr>
          <w:rFonts w:eastAsiaTheme="minorEastAsia" w:cstheme="minorBidi"/>
          <w:noProof/>
          <w:sz w:val="22"/>
          <w:szCs w:val="22"/>
          <w:rtl/>
        </w:rPr>
      </w:pPr>
      <w:r>
        <w:rPr>
          <w:noProof/>
          <w:rtl/>
        </w:rPr>
        <w:t>דברי השער"י דבכל החזקה הוא דין לומר שהשינוי היה בזמן מאוחר ואינו סברא</w:t>
      </w:r>
    </w:p>
    <w:p w14:paraId="7FC11C29" w14:textId="77777777" w:rsidR="00FB0353" w:rsidRDefault="00FB0353" w:rsidP="005077A7">
      <w:pPr>
        <w:pStyle w:val="a"/>
        <w:rPr>
          <w:rFonts w:eastAsiaTheme="minorEastAsia" w:cstheme="minorBidi"/>
          <w:noProof/>
          <w:sz w:val="22"/>
          <w:szCs w:val="22"/>
          <w:rtl/>
        </w:rPr>
      </w:pPr>
      <w:r>
        <w:rPr>
          <w:noProof/>
          <w:rtl/>
        </w:rPr>
        <w:t>ביאור השער"י דבלא נתבררה בשעתה א"א לדון את זמן הספק ואין סברא לומר שעכשיו נשתנית</w:t>
      </w:r>
    </w:p>
    <w:p w14:paraId="2E6260AF" w14:textId="77777777" w:rsidR="00FB0353" w:rsidRDefault="00FB0353" w:rsidP="005077A7">
      <w:pPr>
        <w:pStyle w:val="a"/>
        <w:rPr>
          <w:rFonts w:eastAsiaTheme="minorEastAsia" w:cstheme="minorBidi"/>
          <w:noProof/>
          <w:sz w:val="22"/>
          <w:szCs w:val="22"/>
          <w:rtl/>
        </w:rPr>
      </w:pPr>
      <w:r>
        <w:rPr>
          <w:noProof/>
          <w:rtl/>
        </w:rPr>
        <w:t>קושית השער"י דכל חזקה דהשתא היא חזקה שלא נתבררה בשעתה</w:t>
      </w:r>
    </w:p>
    <w:p w14:paraId="0F23E2EF" w14:textId="77777777" w:rsidR="00FB0353" w:rsidRDefault="00FB0353" w:rsidP="005548CF">
      <w:pPr>
        <w:pStyle w:val="aff4"/>
        <w:rPr>
          <w:rFonts w:eastAsiaTheme="minorEastAsia" w:cstheme="minorBidi"/>
          <w:i/>
          <w:iCs/>
          <w:noProof/>
          <w:sz w:val="22"/>
          <w:szCs w:val="22"/>
          <w:rtl/>
        </w:rPr>
      </w:pPr>
      <w:bookmarkStart w:id="8429" w:name="_Toc19435609"/>
      <w:bookmarkStart w:id="8430" w:name="_Toc20080898"/>
      <w:r>
        <w:rPr>
          <w:noProof/>
          <w:rtl/>
        </w:rPr>
        <w:t>דברי השער"י דחזקת היתר מהני רק בדבר שהוחזק בפועל</w:t>
      </w:r>
      <w:bookmarkEnd w:id="8429"/>
      <w:bookmarkEnd w:id="8430"/>
    </w:p>
    <w:p w14:paraId="6EC597A1" w14:textId="77777777" w:rsidR="00FB0353" w:rsidRDefault="00FB0353" w:rsidP="005077A7">
      <w:pPr>
        <w:pStyle w:val="a"/>
        <w:rPr>
          <w:rFonts w:eastAsiaTheme="minorEastAsia" w:cstheme="minorBidi"/>
          <w:noProof/>
          <w:sz w:val="22"/>
          <w:szCs w:val="22"/>
          <w:rtl/>
        </w:rPr>
      </w:pPr>
      <w:r>
        <w:rPr>
          <w:noProof/>
          <w:rtl/>
        </w:rPr>
        <w:t>דברי השער"י דמדין רוב א"א להתיר בזאב ודרוסה דהוא ספק חיצוני ולא בגופה</w:t>
      </w:r>
    </w:p>
    <w:p w14:paraId="2D56ED28" w14:textId="77777777" w:rsidR="00FB0353" w:rsidRDefault="00FB0353" w:rsidP="005548CF">
      <w:pPr>
        <w:pStyle w:val="aff4"/>
        <w:rPr>
          <w:rFonts w:eastAsiaTheme="minorEastAsia" w:cstheme="minorBidi"/>
          <w:i/>
          <w:iCs/>
          <w:noProof/>
          <w:sz w:val="22"/>
          <w:szCs w:val="22"/>
          <w:rtl/>
        </w:rPr>
      </w:pPr>
      <w:bookmarkStart w:id="8431" w:name="_Toc19435610"/>
      <w:bookmarkStart w:id="8432" w:name="_Toc20080899"/>
      <w:r>
        <w:rPr>
          <w:noProof/>
          <w:rtl/>
        </w:rPr>
        <w:t>ביאור השער"י בפלוגתת התוס' ורבינו יונה בחזקה מכח רוב</w:t>
      </w:r>
      <w:bookmarkEnd w:id="8431"/>
      <w:bookmarkEnd w:id="8432"/>
    </w:p>
    <w:p w14:paraId="7AD4E022" w14:textId="77777777" w:rsidR="00FB0353" w:rsidRDefault="00FB0353" w:rsidP="005077A7">
      <w:pPr>
        <w:pStyle w:val="a"/>
        <w:rPr>
          <w:rFonts w:eastAsiaTheme="minorEastAsia" w:cstheme="minorBidi"/>
          <w:noProof/>
          <w:sz w:val="22"/>
          <w:szCs w:val="22"/>
          <w:rtl/>
        </w:rPr>
      </w:pPr>
      <w:r>
        <w:rPr>
          <w:noProof/>
          <w:rtl/>
        </w:rPr>
        <w:t>דברי השער"י דיש חילוק בין חזקה שלא היה שינוי לחזקה שהספק מתי היה השינוי דאינה אלימא</w:t>
      </w:r>
    </w:p>
    <w:p w14:paraId="53A778ED" w14:textId="77777777" w:rsidR="00FB0353" w:rsidRDefault="00FB0353" w:rsidP="005077A7">
      <w:pPr>
        <w:pStyle w:val="a"/>
        <w:rPr>
          <w:rFonts w:eastAsiaTheme="minorEastAsia" w:cstheme="minorBidi"/>
          <w:noProof/>
          <w:sz w:val="22"/>
          <w:szCs w:val="22"/>
          <w:rtl/>
        </w:rPr>
      </w:pPr>
      <w:r>
        <w:rPr>
          <w:noProof/>
          <w:rtl/>
        </w:rPr>
        <w:t>ביאור השער"י בתוס' דבגבינות שהיא ודאי טריפה אין לחזקה דמעיקרא עדיפות על החזקה דהשתא</w:t>
      </w:r>
    </w:p>
    <w:p w14:paraId="5AD7109C" w14:textId="77777777" w:rsidR="00FB0353" w:rsidRDefault="00FB0353" w:rsidP="005077A7">
      <w:pPr>
        <w:pStyle w:val="a"/>
        <w:rPr>
          <w:rFonts w:eastAsiaTheme="minorEastAsia" w:cstheme="minorBidi"/>
          <w:noProof/>
          <w:sz w:val="22"/>
          <w:szCs w:val="22"/>
          <w:rtl/>
        </w:rPr>
      </w:pPr>
      <w:r>
        <w:rPr>
          <w:noProof/>
          <w:rtl/>
        </w:rPr>
        <w:t>ביאור השער"י ברבינו יונה דאף בגבינות אפשר לתלות דנטרפה בשחיטה ואין חסרון בחזקה</w:t>
      </w:r>
    </w:p>
    <w:p w14:paraId="07A51BD3" w14:textId="77777777" w:rsidR="00FB0353" w:rsidRDefault="00FB0353" w:rsidP="005077A7">
      <w:pPr>
        <w:pStyle w:val="a"/>
        <w:rPr>
          <w:rFonts w:eastAsiaTheme="minorEastAsia" w:cstheme="minorBidi"/>
          <w:noProof/>
          <w:sz w:val="22"/>
          <w:szCs w:val="22"/>
          <w:rtl/>
        </w:rPr>
      </w:pPr>
      <w:r>
        <w:rPr>
          <w:noProof/>
          <w:rtl/>
        </w:rPr>
        <w:t>ביאור השער"י דלתוס' חזקה מכח רוב מהני רק שלא נחזיק ריעותא</w:t>
      </w:r>
    </w:p>
    <w:p w14:paraId="64291763" w14:textId="77777777" w:rsidR="00FB0353" w:rsidRDefault="00FB0353" w:rsidP="005548CF">
      <w:pPr>
        <w:pStyle w:val="aff4"/>
        <w:rPr>
          <w:rFonts w:eastAsiaTheme="minorEastAsia" w:cstheme="minorBidi"/>
          <w:i/>
          <w:iCs/>
          <w:noProof/>
          <w:sz w:val="22"/>
          <w:szCs w:val="22"/>
          <w:rtl/>
        </w:rPr>
      </w:pPr>
      <w:bookmarkStart w:id="8433" w:name="_Toc19435611"/>
      <w:bookmarkStart w:id="8434" w:name="_Toc20080900"/>
      <w:r>
        <w:rPr>
          <w:noProof/>
          <w:rtl/>
        </w:rPr>
        <w:t>ביאור השער"י בדין חזקה מכח רוב במקום ריעותא</w:t>
      </w:r>
      <w:bookmarkEnd w:id="8433"/>
      <w:bookmarkEnd w:id="8434"/>
    </w:p>
    <w:p w14:paraId="1773117A" w14:textId="77777777" w:rsidR="00FB0353" w:rsidRDefault="00FB0353" w:rsidP="005077A7">
      <w:pPr>
        <w:pStyle w:val="a"/>
        <w:rPr>
          <w:rFonts w:eastAsiaTheme="minorEastAsia" w:cstheme="minorBidi"/>
          <w:noProof/>
          <w:sz w:val="22"/>
          <w:szCs w:val="22"/>
          <w:rtl/>
        </w:rPr>
      </w:pPr>
      <w:r>
        <w:rPr>
          <w:noProof/>
          <w:rtl/>
        </w:rPr>
        <w:t>ביאור השער"י ברמ"א דכשהספק אם הריעותא עושה טריפה לא מהני חזקה מכח רוב</w:t>
      </w:r>
    </w:p>
    <w:p w14:paraId="34722700" w14:textId="77777777" w:rsidR="00FB0353" w:rsidRDefault="00FB0353" w:rsidP="005077A7">
      <w:pPr>
        <w:pStyle w:val="a"/>
        <w:rPr>
          <w:rFonts w:eastAsiaTheme="minorEastAsia" w:cstheme="minorBidi"/>
          <w:noProof/>
          <w:sz w:val="22"/>
          <w:szCs w:val="22"/>
          <w:rtl/>
        </w:rPr>
      </w:pPr>
      <w:r>
        <w:rPr>
          <w:noProof/>
          <w:rtl/>
        </w:rPr>
        <w:t>ביאור השער"י דבמקום ריעותא חשיב חזקה בטעות דדינה כרוב ואין רוב בבהמות עם ריעותא</w:t>
      </w:r>
    </w:p>
    <w:p w14:paraId="1A4EEEE3" w14:textId="77777777" w:rsidR="00FB0353" w:rsidRDefault="00FB0353" w:rsidP="005548CF">
      <w:pPr>
        <w:pStyle w:val="aff4"/>
        <w:rPr>
          <w:rFonts w:eastAsiaTheme="minorEastAsia" w:cstheme="minorBidi"/>
          <w:i/>
          <w:iCs/>
          <w:noProof/>
          <w:sz w:val="22"/>
          <w:szCs w:val="22"/>
          <w:rtl/>
        </w:rPr>
      </w:pPr>
      <w:bookmarkStart w:id="8435" w:name="_Toc19435612"/>
      <w:bookmarkStart w:id="8436" w:name="_Toc20080901"/>
      <w:r>
        <w:rPr>
          <w:noProof/>
          <w:rtl/>
        </w:rPr>
        <w:t>ביאור השער"י בדעת רבינו יונה בספק השקול וחזקה מכח רוב</w:t>
      </w:r>
      <w:bookmarkEnd w:id="8435"/>
      <w:bookmarkEnd w:id="8436"/>
    </w:p>
    <w:p w14:paraId="612F43AB" w14:textId="77777777" w:rsidR="00FB0353" w:rsidRDefault="00FB0353" w:rsidP="005077A7">
      <w:pPr>
        <w:pStyle w:val="a"/>
        <w:rPr>
          <w:rFonts w:eastAsiaTheme="minorEastAsia" w:cstheme="minorBidi"/>
          <w:noProof/>
          <w:sz w:val="22"/>
          <w:szCs w:val="22"/>
          <w:rtl/>
        </w:rPr>
      </w:pPr>
      <w:r>
        <w:rPr>
          <w:noProof/>
          <w:rtl/>
        </w:rPr>
        <w:t>קושית ה</w:t>
      </w:r>
      <w:r w:rsidR="00345400">
        <w:rPr>
          <w:noProof/>
          <w:rtl/>
        </w:rPr>
        <w:t>פלתי</w:t>
      </w:r>
      <w:r>
        <w:rPr>
          <w:noProof/>
          <w:rtl/>
        </w:rPr>
        <w:t xml:space="preserve"> בסתירת דברי הרשב"א דאסר בספק השקול והתיר בחזקה מכח רוב</w:t>
      </w:r>
    </w:p>
    <w:p w14:paraId="6D43E2B7" w14:textId="77777777" w:rsidR="00FB0353" w:rsidRDefault="00FB0353" w:rsidP="005077A7">
      <w:pPr>
        <w:pStyle w:val="a"/>
        <w:rPr>
          <w:rFonts w:eastAsiaTheme="minorEastAsia" w:cstheme="minorBidi"/>
          <w:noProof/>
          <w:sz w:val="22"/>
          <w:szCs w:val="22"/>
          <w:rtl/>
        </w:rPr>
      </w:pPr>
      <w:r>
        <w:rPr>
          <w:noProof/>
          <w:rtl/>
        </w:rPr>
        <w:t>קושית השער"י דאי בגבינות שיש ריעותא ברורה התיר הרשב"א כ"ש בספק השקול</w:t>
      </w:r>
    </w:p>
    <w:p w14:paraId="605D8063" w14:textId="77777777" w:rsidR="00FB0353" w:rsidRDefault="00FB0353" w:rsidP="005077A7">
      <w:pPr>
        <w:pStyle w:val="a"/>
        <w:rPr>
          <w:rFonts w:eastAsiaTheme="minorEastAsia" w:cstheme="minorBidi"/>
          <w:noProof/>
          <w:sz w:val="22"/>
          <w:szCs w:val="22"/>
          <w:rtl/>
        </w:rPr>
      </w:pPr>
      <w:r>
        <w:rPr>
          <w:noProof/>
          <w:rtl/>
        </w:rPr>
        <w:t>ביאור השער"י ברבינו יונה דכל שיצאה מהחזקה לשעה אחת א"א לומר דעכשיו נשתנה</w:t>
      </w:r>
    </w:p>
    <w:p w14:paraId="7E13442E" w14:textId="77777777" w:rsidR="00FB0353" w:rsidRDefault="00FB0353" w:rsidP="005077A7">
      <w:pPr>
        <w:pStyle w:val="a"/>
        <w:rPr>
          <w:rFonts w:eastAsiaTheme="minorEastAsia" w:cstheme="minorBidi"/>
          <w:noProof/>
          <w:sz w:val="22"/>
          <w:szCs w:val="22"/>
          <w:rtl/>
        </w:rPr>
      </w:pPr>
      <w:r>
        <w:rPr>
          <w:noProof/>
          <w:rtl/>
        </w:rPr>
        <w:t>דברי השער"י דבגבינות שיצאה מחזקתה א"א לחלק את החזקה ולומר שאחר השחיטה נעשה שינוי</w:t>
      </w:r>
    </w:p>
    <w:p w14:paraId="442BA055" w14:textId="77777777" w:rsidR="00FB0353" w:rsidRDefault="00FB0353" w:rsidP="005077A7">
      <w:pPr>
        <w:pStyle w:val="a"/>
        <w:rPr>
          <w:rFonts w:eastAsiaTheme="minorEastAsia" w:cstheme="minorBidi"/>
          <w:noProof/>
          <w:sz w:val="22"/>
          <w:szCs w:val="22"/>
          <w:rtl/>
        </w:rPr>
      </w:pPr>
      <w:r>
        <w:rPr>
          <w:noProof/>
          <w:rtl/>
        </w:rPr>
        <w:t>ביאור השער"י דהחזקה היא על כל העבר וכשיצאה מהחזקה בעבר א"א לחלק את הזמן</w:t>
      </w:r>
    </w:p>
    <w:p w14:paraId="58B2AE06" w14:textId="77777777" w:rsidR="00FB0353" w:rsidRDefault="00FB0353" w:rsidP="005077A7">
      <w:pPr>
        <w:pStyle w:val="a"/>
        <w:rPr>
          <w:rFonts w:eastAsiaTheme="minorEastAsia" w:cstheme="minorBidi"/>
          <w:noProof/>
          <w:sz w:val="22"/>
          <w:szCs w:val="22"/>
          <w:rtl/>
        </w:rPr>
      </w:pPr>
      <w:r>
        <w:rPr>
          <w:noProof/>
          <w:rtl/>
        </w:rPr>
        <w:t>דברי השער"י דלדעת רבינו יונה יש כח בריעותא לבטל חזקה וכשאפש"ל שאין ריעותא יש חזקה</w:t>
      </w:r>
    </w:p>
    <w:p w14:paraId="59CB1184" w14:textId="77777777" w:rsidR="00FB0353" w:rsidRDefault="00FB0353" w:rsidP="005548CF">
      <w:pPr>
        <w:pStyle w:val="aff4"/>
        <w:rPr>
          <w:rFonts w:eastAsiaTheme="minorEastAsia" w:cstheme="minorBidi"/>
          <w:i/>
          <w:iCs/>
          <w:noProof/>
          <w:sz w:val="22"/>
          <w:szCs w:val="22"/>
          <w:rtl/>
        </w:rPr>
      </w:pPr>
      <w:bookmarkStart w:id="8437" w:name="_Toc19435613"/>
      <w:bookmarkStart w:id="8438" w:name="_Toc20080902"/>
      <w:r>
        <w:rPr>
          <w:noProof/>
          <w:rtl/>
        </w:rPr>
        <w:t>הביאור הא' בקוה"ע בדעת הרשב"א דע"י הרוב יש לה חזקה</w:t>
      </w:r>
      <w:bookmarkEnd w:id="8437"/>
      <w:bookmarkEnd w:id="8438"/>
    </w:p>
    <w:p w14:paraId="5E6BE006" w14:textId="77777777" w:rsidR="00FB0353" w:rsidRDefault="00FB0353" w:rsidP="005077A7">
      <w:pPr>
        <w:pStyle w:val="a"/>
        <w:rPr>
          <w:rFonts w:eastAsiaTheme="minorEastAsia" w:cstheme="minorBidi"/>
          <w:noProof/>
          <w:sz w:val="22"/>
          <w:szCs w:val="22"/>
          <w:rtl/>
        </w:rPr>
      </w:pPr>
      <w:r>
        <w:rPr>
          <w:noProof/>
          <w:rtl/>
        </w:rPr>
        <w:t>הביאור הא' בקוה"ע ברשב"א דע"י הרוב חשיב שיש עדים שהבהמה כשרה ונתבררה החזקה</w:t>
      </w:r>
    </w:p>
    <w:p w14:paraId="6B7E35AC" w14:textId="77777777" w:rsidR="00FB0353" w:rsidRDefault="00FB0353" w:rsidP="005077A7">
      <w:pPr>
        <w:pStyle w:val="a"/>
        <w:rPr>
          <w:rFonts w:eastAsiaTheme="minorEastAsia" w:cstheme="minorBidi"/>
          <w:noProof/>
          <w:sz w:val="22"/>
          <w:szCs w:val="22"/>
          <w:rtl/>
        </w:rPr>
      </w:pPr>
      <w:r>
        <w:rPr>
          <w:noProof/>
          <w:rtl/>
        </w:rPr>
        <w:t>דברי הקוה"ע דלפי"ז הרשב"א התיר בגבינות רק בבהמה בת יותר מי"ב חודש</w:t>
      </w:r>
    </w:p>
    <w:p w14:paraId="63DDEC1C" w14:textId="77777777" w:rsidR="00FB0353" w:rsidRDefault="00FB0353" w:rsidP="005548CF">
      <w:pPr>
        <w:pStyle w:val="aff4"/>
        <w:rPr>
          <w:rFonts w:eastAsiaTheme="minorEastAsia" w:cstheme="minorBidi"/>
          <w:i/>
          <w:iCs/>
          <w:noProof/>
          <w:sz w:val="22"/>
          <w:szCs w:val="22"/>
          <w:rtl/>
        </w:rPr>
      </w:pPr>
      <w:bookmarkStart w:id="8439" w:name="_Toc19435614"/>
      <w:bookmarkStart w:id="8440" w:name="_Toc20080903"/>
      <w:r>
        <w:rPr>
          <w:noProof/>
          <w:rtl/>
        </w:rPr>
        <w:t>הביאור הב' בקוה"ע בדעת הרשב"א דמותרת מדין רוב</w:t>
      </w:r>
      <w:bookmarkEnd w:id="8439"/>
      <w:bookmarkEnd w:id="8440"/>
    </w:p>
    <w:p w14:paraId="53B7EC46" w14:textId="77777777" w:rsidR="00FB0353" w:rsidRDefault="00FB0353" w:rsidP="005077A7">
      <w:pPr>
        <w:pStyle w:val="a"/>
        <w:rPr>
          <w:rFonts w:eastAsiaTheme="minorEastAsia" w:cstheme="minorBidi"/>
          <w:noProof/>
          <w:sz w:val="22"/>
          <w:szCs w:val="22"/>
          <w:rtl/>
        </w:rPr>
      </w:pPr>
      <w:r>
        <w:rPr>
          <w:noProof/>
          <w:rtl/>
        </w:rPr>
        <w:t>הביאור הב' בקוה"ע דהרשב"א התיר בגבינות מדין רוב ומחזיקין שבשעת החליבה היה רוב</w:t>
      </w:r>
    </w:p>
    <w:p w14:paraId="51F02E2B" w14:textId="77777777" w:rsidR="00FB0353" w:rsidRDefault="00FB0353" w:rsidP="005077A7">
      <w:pPr>
        <w:pStyle w:val="a"/>
        <w:rPr>
          <w:rFonts w:eastAsiaTheme="minorEastAsia" w:cstheme="minorBidi"/>
          <w:noProof/>
          <w:sz w:val="22"/>
          <w:szCs w:val="22"/>
          <w:rtl/>
        </w:rPr>
      </w:pPr>
      <w:r>
        <w:rPr>
          <w:noProof/>
          <w:rtl/>
        </w:rPr>
        <w:t>דברי הקוה"ע דלביאור הב' אף בבהמה פחותה מי"ב חודש הגבינות מותרות</w:t>
      </w:r>
    </w:p>
    <w:p w14:paraId="06280150" w14:textId="77777777" w:rsidR="00FB0353" w:rsidRDefault="00FB0353" w:rsidP="005548CF">
      <w:pPr>
        <w:pStyle w:val="aff4"/>
        <w:rPr>
          <w:rFonts w:eastAsiaTheme="minorEastAsia" w:cstheme="minorBidi"/>
          <w:i/>
          <w:iCs/>
          <w:noProof/>
          <w:sz w:val="22"/>
          <w:szCs w:val="22"/>
          <w:rtl/>
        </w:rPr>
      </w:pPr>
      <w:bookmarkStart w:id="8441" w:name="_Toc19435615"/>
      <w:bookmarkStart w:id="8442" w:name="_Toc20080904"/>
      <w:r>
        <w:rPr>
          <w:noProof/>
          <w:rtl/>
        </w:rPr>
        <w:t>ביאור האבאה"ז בתוס' בחזקה בספק טריפה ובודאי טריפה</w:t>
      </w:r>
      <w:bookmarkEnd w:id="8441"/>
      <w:bookmarkEnd w:id="8442"/>
    </w:p>
    <w:p w14:paraId="47C71DCC" w14:textId="77777777" w:rsidR="00FB0353" w:rsidRDefault="00FB0353" w:rsidP="005077A7">
      <w:pPr>
        <w:pStyle w:val="a"/>
        <w:rPr>
          <w:rFonts w:eastAsiaTheme="minorEastAsia" w:cstheme="minorBidi"/>
          <w:noProof/>
          <w:sz w:val="22"/>
          <w:szCs w:val="22"/>
          <w:rtl/>
        </w:rPr>
      </w:pPr>
      <w:r>
        <w:rPr>
          <w:noProof/>
          <w:rtl/>
        </w:rPr>
        <w:t>דברי האבהא"ז דלתוס' בספק טריפה אף שיצאה מהרוב יש לה חזקה מכח הרוב שהוחזקה בו</w:t>
      </w:r>
    </w:p>
    <w:p w14:paraId="3CCEFCBE" w14:textId="77777777" w:rsidR="00FB0353" w:rsidRDefault="00FB0353" w:rsidP="005077A7">
      <w:pPr>
        <w:pStyle w:val="a"/>
        <w:rPr>
          <w:rFonts w:eastAsiaTheme="minorEastAsia" w:cstheme="minorBidi"/>
          <w:noProof/>
          <w:sz w:val="22"/>
          <w:szCs w:val="22"/>
          <w:rtl/>
        </w:rPr>
      </w:pPr>
      <w:r>
        <w:rPr>
          <w:noProof/>
          <w:rtl/>
        </w:rPr>
        <w:t>ביאור האבאה"ז דרק בודאי טריפה צריך שתתברר החזקה כיון שעכשיו אינה כפי שהוחזקה</w:t>
      </w:r>
    </w:p>
    <w:p w14:paraId="6BC2D27F" w14:textId="77777777" w:rsidR="00FB0353" w:rsidRDefault="00FB0353" w:rsidP="005548CF">
      <w:pPr>
        <w:pStyle w:val="aff4"/>
        <w:rPr>
          <w:rFonts w:eastAsiaTheme="minorEastAsia" w:cstheme="minorBidi"/>
          <w:i/>
          <w:iCs/>
          <w:noProof/>
          <w:sz w:val="22"/>
          <w:szCs w:val="22"/>
          <w:rtl/>
        </w:rPr>
      </w:pPr>
      <w:bookmarkStart w:id="8443" w:name="_Toc19435616"/>
      <w:bookmarkStart w:id="8444" w:name="_Toc20080905"/>
      <w:r>
        <w:rPr>
          <w:noProof/>
          <w:rtl/>
        </w:rPr>
        <w:t>ביאור המקדש דוד בדעת התוס' דלא אמרינן חזקה מכח רוב</w:t>
      </w:r>
      <w:bookmarkEnd w:id="8443"/>
      <w:bookmarkEnd w:id="8444"/>
    </w:p>
    <w:p w14:paraId="2C124B4C" w14:textId="77777777" w:rsidR="00FB0353" w:rsidRDefault="00FB0353" w:rsidP="005077A7">
      <w:pPr>
        <w:pStyle w:val="a"/>
        <w:rPr>
          <w:rFonts w:eastAsiaTheme="minorEastAsia" w:cstheme="minorBidi"/>
          <w:noProof/>
          <w:sz w:val="22"/>
          <w:szCs w:val="22"/>
          <w:rtl/>
        </w:rPr>
      </w:pPr>
      <w:r>
        <w:rPr>
          <w:noProof/>
          <w:rtl/>
        </w:rPr>
        <w:t>ביאור המקדש דוד דלתוס' אין כח בבירור של הרוב להעמיד חזקה מכחו דהא יש מיעוט כנגדו</w:t>
      </w:r>
    </w:p>
    <w:p w14:paraId="54DF7182" w14:textId="77777777" w:rsidR="00FB0353" w:rsidRDefault="00FB0353" w:rsidP="005077A7">
      <w:pPr>
        <w:pStyle w:val="a"/>
        <w:rPr>
          <w:rFonts w:eastAsiaTheme="minorEastAsia" w:cstheme="minorBidi"/>
          <w:noProof/>
          <w:sz w:val="22"/>
          <w:szCs w:val="22"/>
          <w:rtl/>
        </w:rPr>
      </w:pPr>
      <w:r>
        <w:rPr>
          <w:noProof/>
          <w:rtl/>
        </w:rPr>
        <w:t>קושית המקדש דוד דבש"ש מבאר דרוב הוא בירור גמור ומעמיד חזקה מכחו</w:t>
      </w:r>
    </w:p>
    <w:p w14:paraId="1B126C55" w14:textId="77777777" w:rsidR="00FB0353" w:rsidRDefault="00FB0353" w:rsidP="005077A7">
      <w:pPr>
        <w:pStyle w:val="a"/>
        <w:rPr>
          <w:rFonts w:eastAsiaTheme="minorEastAsia" w:cstheme="minorBidi"/>
          <w:noProof/>
          <w:sz w:val="22"/>
          <w:szCs w:val="22"/>
          <w:rtl/>
        </w:rPr>
      </w:pPr>
      <w:r>
        <w:rPr>
          <w:noProof/>
          <w:rtl/>
        </w:rPr>
        <w:t>דברי המקדש דוד דלתוס' בגבינות שיצאה מהרוב א"א להעמידה על חזקה מכח רוב</w:t>
      </w:r>
    </w:p>
    <w:p w14:paraId="2CD2C622" w14:textId="77777777" w:rsidR="00FB0353" w:rsidRDefault="00FB0353" w:rsidP="005077A7">
      <w:pPr>
        <w:pStyle w:val="a"/>
        <w:rPr>
          <w:rFonts w:eastAsiaTheme="minorEastAsia" w:cstheme="minorBidi"/>
          <w:noProof/>
          <w:sz w:val="22"/>
          <w:szCs w:val="22"/>
          <w:rtl/>
        </w:rPr>
      </w:pPr>
      <w:r>
        <w:rPr>
          <w:noProof/>
          <w:rtl/>
        </w:rPr>
        <w:t>הביאור הב' במקדש דוד דאין בכח הרוב לברר בירור גמור בספק היאך היייתה המציאות</w:t>
      </w:r>
    </w:p>
    <w:p w14:paraId="2D07C43E" w14:textId="77777777" w:rsidR="00FB0353" w:rsidRDefault="00FB0353" w:rsidP="005077A7">
      <w:pPr>
        <w:pStyle w:val="a"/>
        <w:rPr>
          <w:rFonts w:eastAsiaTheme="minorEastAsia" w:cstheme="minorBidi"/>
          <w:noProof/>
          <w:sz w:val="22"/>
          <w:szCs w:val="22"/>
          <w:rtl/>
        </w:rPr>
      </w:pPr>
      <w:r>
        <w:rPr>
          <w:noProof/>
          <w:rtl/>
        </w:rPr>
        <w:t>דברי המקדש דוד דיש כח לרוב להעמיד בחזקת דין כיון שעצם הדין היה מותר</w:t>
      </w:r>
    </w:p>
    <w:p w14:paraId="1E0059B7" w14:textId="77777777" w:rsidR="00FB0353" w:rsidRDefault="00FB0353" w:rsidP="005548CF">
      <w:pPr>
        <w:pStyle w:val="aff4"/>
        <w:rPr>
          <w:rFonts w:eastAsiaTheme="minorEastAsia" w:cstheme="minorBidi"/>
          <w:i/>
          <w:iCs/>
          <w:noProof/>
          <w:sz w:val="22"/>
          <w:szCs w:val="22"/>
          <w:rtl/>
        </w:rPr>
      </w:pPr>
      <w:bookmarkStart w:id="8445" w:name="_Toc19435617"/>
      <w:bookmarkStart w:id="8446" w:name="_Toc20080906"/>
      <w:r>
        <w:rPr>
          <w:noProof/>
          <w:rtl/>
        </w:rPr>
        <w:t>ביאור הגר"י מפונביז' דא"א להתיר את הגבינות מדין רוב</w:t>
      </w:r>
      <w:bookmarkEnd w:id="8445"/>
      <w:bookmarkEnd w:id="8446"/>
    </w:p>
    <w:p w14:paraId="0E7E7722" w14:textId="77777777" w:rsidR="00FB0353" w:rsidRDefault="00FB0353" w:rsidP="005077A7">
      <w:pPr>
        <w:pStyle w:val="a"/>
        <w:rPr>
          <w:rFonts w:eastAsiaTheme="minorEastAsia" w:cstheme="minorBidi"/>
          <w:noProof/>
          <w:sz w:val="22"/>
          <w:szCs w:val="22"/>
          <w:rtl/>
        </w:rPr>
      </w:pPr>
      <w:r>
        <w:rPr>
          <w:noProof/>
          <w:rtl/>
        </w:rPr>
        <w:t>קושית הגר"י מפונביז' אמאי א"א להתיר בגבינות ע"י הרוב דעד עכשיו הייתה בכלל הרוב</w:t>
      </w:r>
    </w:p>
    <w:p w14:paraId="24AD08ED" w14:textId="77777777" w:rsidR="00FB0353" w:rsidRDefault="00FB0353" w:rsidP="005077A7">
      <w:pPr>
        <w:pStyle w:val="a"/>
        <w:rPr>
          <w:rFonts w:eastAsiaTheme="minorEastAsia" w:cstheme="minorBidi"/>
          <w:noProof/>
          <w:sz w:val="22"/>
          <w:szCs w:val="22"/>
          <w:rtl/>
        </w:rPr>
      </w:pPr>
      <w:r>
        <w:rPr>
          <w:noProof/>
          <w:rtl/>
        </w:rPr>
        <w:t>ביאור הגר"י מפונביז" דבחזקה שהספק הוא בשינוי אפש"ל שהיה שינוי קטן שנשתנה בזמן מאוחר</w:t>
      </w:r>
    </w:p>
    <w:p w14:paraId="1D3C4112" w14:textId="77777777" w:rsidR="00FB0353" w:rsidRDefault="00FB0353" w:rsidP="005077A7">
      <w:pPr>
        <w:pStyle w:val="a"/>
        <w:rPr>
          <w:rFonts w:eastAsiaTheme="minorEastAsia" w:cstheme="minorBidi"/>
          <w:noProof/>
          <w:sz w:val="22"/>
          <w:szCs w:val="22"/>
          <w:rtl/>
        </w:rPr>
      </w:pPr>
      <w:r>
        <w:rPr>
          <w:noProof/>
          <w:rtl/>
        </w:rPr>
        <w:t>ביאור הגר"י מפונביז' דברוב הספק אם היה מעשה טריפה ובודאי טריפה א"א להעמיד בזמן מאוחר</w:t>
      </w:r>
    </w:p>
    <w:p w14:paraId="2B990244" w14:textId="77777777" w:rsidR="00FB0353" w:rsidRDefault="00FB0353" w:rsidP="005548CF">
      <w:pPr>
        <w:pStyle w:val="aff4"/>
        <w:rPr>
          <w:rFonts w:eastAsiaTheme="minorEastAsia" w:cstheme="minorBidi"/>
          <w:i/>
          <w:iCs/>
          <w:noProof/>
          <w:sz w:val="22"/>
          <w:szCs w:val="22"/>
          <w:rtl/>
        </w:rPr>
      </w:pPr>
      <w:bookmarkStart w:id="8447" w:name="_Toc19435618"/>
      <w:bookmarkStart w:id="8448" w:name="_Toc20080907"/>
      <w:r>
        <w:rPr>
          <w:noProof/>
          <w:rtl/>
        </w:rPr>
        <w:t>ביאור הקה"י בפלוגתת התוס' והרשב"א בחזקה מכח רוב</w:t>
      </w:r>
      <w:bookmarkEnd w:id="8447"/>
      <w:bookmarkEnd w:id="8448"/>
    </w:p>
    <w:p w14:paraId="27F8C36C" w14:textId="77777777" w:rsidR="00FB0353" w:rsidRDefault="00FB0353" w:rsidP="005077A7">
      <w:pPr>
        <w:pStyle w:val="a"/>
        <w:rPr>
          <w:rFonts w:eastAsiaTheme="minorEastAsia" w:cstheme="minorBidi"/>
          <w:noProof/>
          <w:sz w:val="22"/>
          <w:szCs w:val="22"/>
          <w:rtl/>
        </w:rPr>
      </w:pPr>
      <w:r>
        <w:rPr>
          <w:noProof/>
          <w:rtl/>
        </w:rPr>
        <w:t>דברי הקה"י דדוקא בודאי טריפה צריך שתתברר החזקה כיון שיצאה מהרוב</w:t>
      </w:r>
    </w:p>
    <w:p w14:paraId="0D6DBC1C" w14:textId="77777777" w:rsidR="00FB0353" w:rsidRDefault="00FB0353" w:rsidP="005077A7">
      <w:pPr>
        <w:pStyle w:val="a"/>
        <w:rPr>
          <w:rFonts w:eastAsiaTheme="minorEastAsia" w:cstheme="minorBidi"/>
          <w:noProof/>
          <w:sz w:val="22"/>
          <w:szCs w:val="22"/>
          <w:rtl/>
        </w:rPr>
      </w:pPr>
      <w:r>
        <w:rPr>
          <w:noProof/>
          <w:rtl/>
        </w:rPr>
        <w:t>דברי הקה"י בדעת הרשב"א דהבהמה הוחזקה ממילא ע"י הרוב</w:t>
      </w:r>
    </w:p>
    <w:p w14:paraId="45D648A7" w14:textId="77777777" w:rsidR="00FB0353" w:rsidRDefault="00FB0353" w:rsidP="005548CF">
      <w:pPr>
        <w:pStyle w:val="aff4"/>
        <w:rPr>
          <w:rtl/>
        </w:rPr>
        <w:sectPr w:rsidR="00FB0353" w:rsidSect="000F2D6C">
          <w:type w:val="continuous"/>
          <w:pgSz w:w="11906" w:h="16838"/>
          <w:pgMar w:top="720" w:right="720" w:bottom="720" w:left="720" w:header="283" w:footer="283" w:gutter="0"/>
          <w:cols w:num="2" w:space="113"/>
          <w:titlePg/>
          <w:bidi/>
          <w:rtlGutter/>
          <w:docGrid w:linePitch="299"/>
        </w:sectPr>
      </w:pPr>
      <w:r>
        <w:rPr>
          <w:rtl/>
        </w:rPr>
        <w:fldChar w:fldCharType="end"/>
      </w:r>
    </w:p>
    <w:p w14:paraId="48ADF746" w14:textId="77777777" w:rsidR="00FB0353" w:rsidRDefault="00FB0353" w:rsidP="005548CF">
      <w:pPr>
        <w:pStyle w:val="aff4"/>
        <w:rPr>
          <w:rtl/>
        </w:rPr>
        <w:sectPr w:rsidR="00FB0353" w:rsidSect="00FB0353">
          <w:footerReference w:type="default" r:id="rId65"/>
          <w:type w:val="continuous"/>
          <w:pgSz w:w="11906" w:h="16838"/>
          <w:pgMar w:top="720" w:right="720" w:bottom="720" w:left="720" w:header="283" w:footer="283" w:gutter="0"/>
          <w:pgNumType w:start="1"/>
          <w:cols w:space="567"/>
          <w:titlePg/>
          <w:bidi/>
          <w:rtlGutter/>
          <w:docGrid w:linePitch="299"/>
        </w:sectPr>
      </w:pPr>
    </w:p>
    <w:p w14:paraId="54F412A4" w14:textId="77777777" w:rsidR="00D95C52" w:rsidRDefault="00D95C52" w:rsidP="006D6D32">
      <w:pPr>
        <w:pStyle w:val="afe"/>
        <w:rPr>
          <w:rtl/>
        </w:rPr>
      </w:pPr>
      <w:bookmarkStart w:id="8449" w:name="_Toc529352347"/>
      <w:bookmarkStart w:id="8450" w:name="_Toc529444961"/>
      <w:bookmarkStart w:id="8451" w:name="_Toc529704473"/>
      <w:bookmarkStart w:id="8452" w:name="_Toc529738929"/>
      <w:bookmarkStart w:id="8453" w:name="_Toc19435619"/>
      <w:bookmarkStart w:id="8454" w:name="_Toc20080908"/>
      <w:r>
        <w:rPr>
          <w:rFonts w:hint="cs"/>
          <w:rtl/>
        </w:rPr>
        <w:t>מראי מקומות וביאורים על הסוגיא</w:t>
      </w:r>
      <w:bookmarkEnd w:id="8449"/>
      <w:bookmarkEnd w:id="8450"/>
      <w:bookmarkEnd w:id="8451"/>
      <w:bookmarkEnd w:id="8452"/>
      <w:bookmarkEnd w:id="8453"/>
      <w:bookmarkEnd w:id="8454"/>
    </w:p>
    <w:p w14:paraId="327C1218" w14:textId="77777777" w:rsidR="00D95C52" w:rsidRDefault="00D95C52" w:rsidP="006D6D32">
      <w:pPr>
        <w:pStyle w:val="afe"/>
        <w:rPr>
          <w:rtl/>
        </w:rPr>
        <w:sectPr w:rsidR="00D95C52" w:rsidSect="001D62F6">
          <w:footerReference w:type="first" r:id="rId66"/>
          <w:pgSz w:w="11906" w:h="16838"/>
          <w:pgMar w:top="720" w:right="720" w:bottom="720" w:left="720" w:header="283" w:footer="283" w:gutter="0"/>
          <w:pgNumType w:start="107"/>
          <w:cols w:space="567"/>
          <w:bidi/>
          <w:rtlGutter/>
          <w:docGrid w:linePitch="299"/>
        </w:sectPr>
      </w:pPr>
      <w:bookmarkStart w:id="8455" w:name="_Toc529352348"/>
    </w:p>
    <w:p w14:paraId="5CCEE780" w14:textId="77777777" w:rsidR="00D95C52" w:rsidRDefault="00D95C52" w:rsidP="006D6D32">
      <w:pPr>
        <w:pStyle w:val="afe"/>
        <w:rPr>
          <w:rtl/>
        </w:rPr>
      </w:pPr>
      <w:bookmarkStart w:id="8456" w:name="_Toc529444962"/>
      <w:bookmarkStart w:id="8457" w:name="_Toc529704474"/>
      <w:bookmarkStart w:id="8458" w:name="_Toc529738930"/>
      <w:bookmarkStart w:id="8459" w:name="_Toc19435620"/>
      <w:bookmarkStart w:id="8460" w:name="_Toc20080909"/>
      <w:r>
        <w:rPr>
          <w:rFonts w:hint="cs"/>
          <w:rtl/>
        </w:rPr>
        <w:t>בחזקה שלא נתבררה בשעתה</w:t>
      </w:r>
      <w:bookmarkEnd w:id="8455"/>
      <w:bookmarkEnd w:id="8456"/>
      <w:bookmarkEnd w:id="8457"/>
      <w:bookmarkEnd w:id="8458"/>
      <w:bookmarkEnd w:id="8459"/>
      <w:bookmarkEnd w:id="8460"/>
    </w:p>
    <w:p w14:paraId="08940FF7" w14:textId="77777777" w:rsidR="00D95C52" w:rsidRDefault="00D95C52" w:rsidP="00BF39B2">
      <w:pPr>
        <w:pStyle w:val="1"/>
        <w:rPr>
          <w:rtl/>
        </w:rPr>
      </w:pPr>
      <w:bookmarkStart w:id="8461" w:name="_Toc529352349"/>
      <w:bookmarkStart w:id="8462" w:name="_Toc529444963"/>
      <w:bookmarkStart w:id="8463" w:name="_Toc529704475"/>
      <w:bookmarkStart w:id="8464" w:name="_Toc529738931"/>
      <w:bookmarkStart w:id="8465" w:name="_Toc19390096"/>
      <w:bookmarkStart w:id="8466" w:name="_Toc19393593"/>
      <w:r>
        <w:rPr>
          <w:rFonts w:hint="cs"/>
          <w:rtl/>
        </w:rPr>
        <w:t>קושית התוס' דפרה ועדים זוממין הם מדין חזקה ולא מדין רוב</w:t>
      </w:r>
      <w:bookmarkEnd w:id="8461"/>
      <w:bookmarkEnd w:id="8462"/>
      <w:bookmarkEnd w:id="8463"/>
      <w:bookmarkEnd w:id="8464"/>
      <w:bookmarkEnd w:id="8465"/>
      <w:bookmarkEnd w:id="8466"/>
    </w:p>
    <w:p w14:paraId="333530E0" w14:textId="77777777" w:rsidR="00D95C52" w:rsidRPr="005829AB" w:rsidRDefault="00D95C52" w:rsidP="006D6D32">
      <w:pPr>
        <w:pStyle w:val="a3"/>
      </w:pPr>
      <w:bookmarkStart w:id="8467" w:name="_Toc529352350"/>
      <w:bookmarkStart w:id="8468" w:name="_Toc529444964"/>
      <w:bookmarkStart w:id="8469" w:name="_Toc529704476"/>
      <w:bookmarkStart w:id="8470" w:name="_Toc529738932"/>
      <w:bookmarkStart w:id="8471" w:name="_Toc19390097"/>
      <w:bookmarkStart w:id="8472" w:name="_Toc19393594"/>
      <w:r>
        <w:rPr>
          <w:rFonts w:hint="cs"/>
          <w:rtl/>
        </w:rPr>
        <w:t>קושית התוס' דבפרה ועדים זוממין לא חיישינן לטריפה דמעמידים על החזקה ואינו מדין רוב</w:t>
      </w:r>
      <w:bookmarkEnd w:id="8467"/>
      <w:bookmarkEnd w:id="8468"/>
      <w:bookmarkEnd w:id="8469"/>
      <w:bookmarkEnd w:id="8470"/>
      <w:bookmarkEnd w:id="8471"/>
      <w:bookmarkEnd w:id="8472"/>
    </w:p>
    <w:p w14:paraId="1AA0D96B" w14:textId="77777777" w:rsidR="00D95C52" w:rsidRDefault="00D95C52" w:rsidP="00E12979">
      <w:pPr>
        <w:pStyle w:val="a0"/>
        <w:numPr>
          <w:ilvl w:val="0"/>
          <w:numId w:val="11"/>
        </w:numPr>
        <w:rPr>
          <w:rtl/>
        </w:rPr>
      </w:pPr>
      <w:bookmarkStart w:id="8473" w:name="_Ref529204487"/>
      <w:r>
        <w:rPr>
          <w:rFonts w:hint="cs"/>
          <w:rtl/>
        </w:rPr>
        <w:t xml:space="preserve">הקשו </w:t>
      </w:r>
      <w:r w:rsidRPr="00282113">
        <w:rPr>
          <w:rStyle w:val="af9"/>
          <w:rFonts w:hint="cs"/>
          <w:rtl/>
        </w:rPr>
        <w:t>התוס'</w:t>
      </w:r>
      <w:r>
        <w:rPr>
          <w:rFonts w:hint="cs"/>
          <w:rtl/>
        </w:rPr>
        <w:t xml:space="preserve"> </w:t>
      </w:r>
      <w:r w:rsidRPr="00223668">
        <w:rPr>
          <w:rStyle w:val="af7"/>
          <w:rFonts w:eastAsia="Guttman Hodes" w:hint="cs"/>
          <w:rtl/>
        </w:rPr>
        <w:t xml:space="preserve">(ד"ה אתיא) </w:t>
      </w:r>
      <w:r>
        <w:rPr>
          <w:rFonts w:hint="cs"/>
          <w:rtl/>
        </w:rPr>
        <w:t xml:space="preserve">דהיאך אפשר ללמוד את דין רוב מפרה אדומה, הא כיון שהפרה היא בת שתי שנים, יש לה חזקה שאינה טריפה, למ"ד דטריפה אינה חיה יותר מי"ב חודש. וכתבו </w:t>
      </w:r>
      <w:r w:rsidRPr="00282113">
        <w:rPr>
          <w:rStyle w:val="af9"/>
          <w:rFonts w:hint="cs"/>
          <w:rtl/>
        </w:rPr>
        <w:t>התוס'</w:t>
      </w:r>
      <w:r>
        <w:rPr>
          <w:rFonts w:hint="cs"/>
          <w:rtl/>
        </w:rPr>
        <w:t xml:space="preserve"> דבפרה אדומה אפשר לדחות דא"א להעמידה על החזקה שאינה טריפה, כיון שיש כנגדה את חזקת הגברא שהוא טמא</w:t>
      </w:r>
      <w:r>
        <w:rPr>
          <w:rStyle w:val="af1"/>
          <w:rtl/>
        </w:rPr>
        <w:footnoteReference w:id="56"/>
      </w:r>
      <w:r>
        <w:rPr>
          <w:rFonts w:hint="cs"/>
          <w:rtl/>
        </w:rPr>
        <w:t xml:space="preserve">, אך כתבו </w:t>
      </w:r>
      <w:r w:rsidRPr="00282113">
        <w:rPr>
          <w:rStyle w:val="af9"/>
          <w:rFonts w:hint="cs"/>
          <w:rtl/>
        </w:rPr>
        <w:t>התוס'</w:t>
      </w:r>
      <w:r>
        <w:rPr>
          <w:rFonts w:hint="cs"/>
          <w:rtl/>
        </w:rPr>
        <w:t xml:space="preserve"> דעדיין קשה מהוכחת הגמ' מעדים זוממין </w:t>
      </w:r>
      <w:r w:rsidRPr="00223668">
        <w:rPr>
          <w:rStyle w:val="af7"/>
          <w:rFonts w:eastAsia="Guttman Hodes" w:hint="cs"/>
          <w:rtl/>
        </w:rPr>
        <w:t>(יא:)</w:t>
      </w:r>
      <w:r>
        <w:rPr>
          <w:rFonts w:hint="cs"/>
          <w:rtl/>
        </w:rPr>
        <w:t xml:space="preserve">, דאפש"ל דהא דלא חיישינן שמא הוא טריפה, אינו מדין רוב, אלא דמעמידים אותו על חזקתו שאינו טריפה, כיון שהוא חי יותר מי"ב חודש, ועי' במה שתירץ </w:t>
      </w:r>
      <w:r w:rsidRPr="001930AD">
        <w:rPr>
          <w:rStyle w:val="af9"/>
          <w:rFonts w:hint="cs"/>
          <w:rtl/>
        </w:rPr>
        <w:t xml:space="preserve">הרא"ש </w:t>
      </w:r>
      <w:r w:rsidRPr="00223668">
        <w:rPr>
          <w:rStyle w:val="af7"/>
          <w:rFonts w:eastAsia="Guttman Hodes" w:hint="cs"/>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Ref522611646 \r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טז)</w:t>
      </w:r>
      <w:r w:rsidRPr="00223668">
        <w:rPr>
          <w:rStyle w:val="af7"/>
          <w:rFonts w:eastAsia="Guttman Hodes"/>
          <w:rtl/>
        </w:rPr>
        <w:fldChar w:fldCharType="end"/>
      </w:r>
      <w:r>
        <w:rPr>
          <w:rFonts w:hint="cs"/>
          <w:rtl/>
        </w:rPr>
        <w:t xml:space="preserve"> </w:t>
      </w:r>
      <w:r w:rsidRPr="001930AD">
        <w:rPr>
          <w:rStyle w:val="af9"/>
          <w:rFonts w:hint="cs"/>
          <w:rtl/>
        </w:rPr>
        <w:t>והר"א משנץ</w:t>
      </w:r>
      <w:r>
        <w:rPr>
          <w:rFonts w:hint="cs"/>
          <w:rtl/>
        </w:rPr>
        <w:t xml:space="preserve"> </w:t>
      </w:r>
      <w:r w:rsidRPr="00223668">
        <w:rPr>
          <w:rStyle w:val="af7"/>
          <w:rFonts w:eastAsia="Guttman Hodes" w:hint="cs"/>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Ref529216262 \r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223668">
        <w:rPr>
          <w:rStyle w:val="af7"/>
          <w:rFonts w:eastAsia="Guttman Hodes"/>
          <w:rtl/>
        </w:rPr>
        <w:fldChar w:fldCharType="end"/>
      </w:r>
      <w:r w:rsidRPr="00223668">
        <w:rPr>
          <w:rStyle w:val="af7"/>
          <w:rFonts w:eastAsia="Guttman Hodes" w:hint="cs"/>
          <w:rtl/>
        </w:rPr>
        <w:t xml:space="preserve"> </w:t>
      </w:r>
      <w:r>
        <w:rPr>
          <w:rFonts w:hint="cs"/>
          <w:rtl/>
        </w:rPr>
        <w:t xml:space="preserve">על קושית </w:t>
      </w:r>
      <w:r w:rsidRPr="001930AD">
        <w:rPr>
          <w:rStyle w:val="af9"/>
          <w:rFonts w:hint="cs"/>
          <w:rtl/>
        </w:rPr>
        <w:t>התוס'</w:t>
      </w:r>
      <w:r>
        <w:rPr>
          <w:rFonts w:hint="cs"/>
          <w:rtl/>
        </w:rPr>
        <w:t>.</w:t>
      </w:r>
      <w:bookmarkEnd w:id="8473"/>
    </w:p>
    <w:p w14:paraId="27C1A1C2" w14:textId="77777777" w:rsidR="00D95C52" w:rsidRDefault="00D95C52" w:rsidP="006D6D32">
      <w:pPr>
        <w:pStyle w:val="a3"/>
        <w:rPr>
          <w:rtl/>
        </w:rPr>
      </w:pPr>
      <w:bookmarkStart w:id="8474" w:name="_Toc529352351"/>
      <w:bookmarkStart w:id="8475" w:name="_Toc529444965"/>
      <w:bookmarkStart w:id="8476" w:name="_Toc529704477"/>
      <w:bookmarkStart w:id="8477" w:name="_Toc529738933"/>
      <w:bookmarkStart w:id="8478" w:name="_Toc19390098"/>
      <w:bookmarkStart w:id="8479" w:name="_Toc19393595"/>
      <w:r>
        <w:rPr>
          <w:rFonts w:hint="cs"/>
          <w:rtl/>
        </w:rPr>
        <w:t>קושית הרמב"ן דבפרה מעמידים אותה על החזקה ועל הרוב ואין ראיה לרוב לבד וחזקה לבד</w:t>
      </w:r>
      <w:bookmarkEnd w:id="8474"/>
      <w:bookmarkEnd w:id="8475"/>
      <w:bookmarkEnd w:id="8476"/>
      <w:bookmarkEnd w:id="8477"/>
      <w:bookmarkEnd w:id="8478"/>
      <w:bookmarkEnd w:id="8479"/>
    </w:p>
    <w:p w14:paraId="4A6758AE" w14:textId="77777777" w:rsidR="00D95C52" w:rsidRDefault="00D95C52" w:rsidP="00223668">
      <w:pPr>
        <w:pStyle w:val="a0"/>
        <w:rPr>
          <w:rtl/>
        </w:rPr>
      </w:pPr>
      <w:r>
        <w:rPr>
          <w:rStyle w:val="af9"/>
          <w:rFonts w:hint="cs"/>
          <w:rtl/>
        </w:rPr>
        <w:t>ו</w:t>
      </w:r>
      <w:r w:rsidRPr="005A5C26">
        <w:rPr>
          <w:rStyle w:val="af9"/>
          <w:rFonts w:hint="cs"/>
          <w:rtl/>
        </w:rPr>
        <w:t>הרמב"ן</w:t>
      </w:r>
      <w:r>
        <w:rPr>
          <w:rFonts w:hint="cs"/>
          <w:rtl/>
        </w:rPr>
        <w:t xml:space="preserve"> </w:t>
      </w:r>
      <w:r w:rsidRPr="005A5C26">
        <w:rPr>
          <w:rStyle w:val="af7"/>
          <w:rFonts w:eastAsia="Guttman Hodes" w:hint="cs"/>
          <w:rtl/>
        </w:rPr>
        <w:t xml:space="preserve">(ד"ה וליחוש) </w:t>
      </w:r>
      <w:r>
        <w:rPr>
          <w:rFonts w:hint="cs"/>
          <w:rtl/>
        </w:rPr>
        <w:t xml:space="preserve">הקשה דכיון שיש לבהמה חזקת הגוף שאינה טריפה, א"כ נימא דמעמידים את הבהמה על החזקה ועל הרוב שאינה טריפה, וא"א להביא ראיה מפרה אדומה, דאזלינן בתר רוב בלא חזקה, ובתר חזקה בלא רוב, ועי' </w:t>
      </w:r>
      <w:r w:rsidRPr="00C42437">
        <w:rPr>
          <w:rStyle w:val="af9"/>
          <w:rFonts w:hint="cs"/>
          <w:rtl/>
        </w:rPr>
        <w:t>בנחל"ד</w:t>
      </w:r>
      <w:r>
        <w:rPr>
          <w:rFonts w:hint="cs"/>
          <w:rtl/>
        </w:rPr>
        <w:t xml:space="preserve"> </w:t>
      </w:r>
      <w:r w:rsidRPr="00C1147E">
        <w:rPr>
          <w:rStyle w:val="af7"/>
          <w:rFonts w:eastAsia="Guttman Hodes" w:hint="cs"/>
          <w:rtl/>
        </w:rPr>
        <w:t>(ד"ה אתיא)</w:t>
      </w:r>
      <w:r>
        <w:rPr>
          <w:rFonts w:hint="cs"/>
          <w:rtl/>
        </w:rPr>
        <w:t xml:space="preserve"> דביאר דזו כוונת </w:t>
      </w:r>
      <w:r w:rsidRPr="00C1147E">
        <w:rPr>
          <w:rStyle w:val="af9"/>
          <w:rFonts w:hint="cs"/>
          <w:rtl/>
        </w:rPr>
        <w:t>התוס'</w:t>
      </w:r>
      <w:r>
        <w:rPr>
          <w:rFonts w:hint="cs"/>
          <w:rtl/>
        </w:rPr>
        <w:t>.</w:t>
      </w:r>
    </w:p>
    <w:p w14:paraId="79C1F6CE" w14:textId="77777777" w:rsidR="00D95C52" w:rsidRDefault="00D95C52" w:rsidP="00BF39B2">
      <w:pPr>
        <w:pStyle w:val="1"/>
        <w:rPr>
          <w:rtl/>
        </w:rPr>
      </w:pPr>
      <w:bookmarkStart w:id="8480" w:name="_Toc529352352"/>
      <w:bookmarkStart w:id="8481" w:name="_Toc529444966"/>
      <w:bookmarkStart w:id="8482" w:name="_Toc529704478"/>
      <w:bookmarkStart w:id="8483" w:name="_Toc529738934"/>
      <w:bookmarkStart w:id="8484" w:name="_Toc19390099"/>
      <w:bookmarkStart w:id="8485" w:name="_Toc19393596"/>
      <w:r>
        <w:rPr>
          <w:rFonts w:hint="cs"/>
          <w:rtl/>
        </w:rPr>
        <w:t>דעת התוס' דחזקה שלא נתבררה בשעתה אינה חזקה</w:t>
      </w:r>
      <w:bookmarkEnd w:id="8480"/>
      <w:bookmarkEnd w:id="8481"/>
      <w:bookmarkEnd w:id="8482"/>
      <w:bookmarkEnd w:id="8483"/>
      <w:bookmarkEnd w:id="8484"/>
      <w:bookmarkEnd w:id="8485"/>
    </w:p>
    <w:p w14:paraId="212636BF" w14:textId="77777777" w:rsidR="00D95C52" w:rsidRDefault="00D95C52" w:rsidP="006D6D32">
      <w:pPr>
        <w:pStyle w:val="a3"/>
        <w:rPr>
          <w:rtl/>
        </w:rPr>
      </w:pPr>
      <w:bookmarkStart w:id="8486" w:name="_Toc529352353"/>
      <w:bookmarkStart w:id="8487" w:name="_Toc529444967"/>
      <w:bookmarkStart w:id="8488" w:name="_Toc529704479"/>
      <w:bookmarkStart w:id="8489" w:name="_Toc529738935"/>
      <w:bookmarkStart w:id="8490" w:name="_Toc19390100"/>
      <w:bookmarkStart w:id="8491" w:name="_Toc19393597"/>
      <w:r>
        <w:rPr>
          <w:rFonts w:hint="cs"/>
          <w:rtl/>
        </w:rPr>
        <w:t>תירוץ התוס' דחזקה שלא היה ידועה לנו בבירור בשעת החזקה לא אזלינן בתרה</w:t>
      </w:r>
      <w:bookmarkEnd w:id="8486"/>
      <w:bookmarkEnd w:id="8487"/>
      <w:bookmarkEnd w:id="8488"/>
      <w:bookmarkEnd w:id="8489"/>
      <w:bookmarkEnd w:id="8490"/>
      <w:bookmarkEnd w:id="8491"/>
    </w:p>
    <w:p w14:paraId="520F053E" w14:textId="77777777" w:rsidR="00D95C52" w:rsidRDefault="00D95C52" w:rsidP="00223668">
      <w:pPr>
        <w:pStyle w:val="a0"/>
        <w:rPr>
          <w:rtl/>
        </w:rPr>
      </w:pPr>
      <w:bookmarkStart w:id="8492" w:name="_Ref529090497"/>
      <w:r>
        <w:rPr>
          <w:rFonts w:hint="cs"/>
          <w:rtl/>
        </w:rPr>
        <w:t>ותירצו</w:t>
      </w:r>
      <w:r w:rsidRPr="00282113">
        <w:rPr>
          <w:rStyle w:val="af9"/>
          <w:rFonts w:hint="cs"/>
          <w:rtl/>
        </w:rPr>
        <w:t xml:space="preserve"> התוס'</w:t>
      </w:r>
      <w:r>
        <w:rPr>
          <w:rFonts w:hint="cs"/>
          <w:rtl/>
        </w:rPr>
        <w:t xml:space="preserve"> </w:t>
      </w:r>
      <w:r w:rsidRPr="00744C92">
        <w:rPr>
          <w:rStyle w:val="af9"/>
          <w:rFonts w:hint="cs"/>
          <w:rtl/>
        </w:rPr>
        <w:t>והתוס' הרא"ש</w:t>
      </w:r>
      <w:r>
        <w:rPr>
          <w:rFonts w:hint="cs"/>
          <w:rtl/>
        </w:rPr>
        <w:t xml:space="preserve"> </w:t>
      </w:r>
      <w:r w:rsidRPr="00282113">
        <w:rPr>
          <w:rStyle w:val="af7"/>
          <w:rFonts w:eastAsia="Guttman Hodes" w:hint="cs"/>
          <w:rtl/>
        </w:rPr>
        <w:t xml:space="preserve">(ד"ה אתיא) </w:t>
      </w:r>
      <w:r>
        <w:rPr>
          <w:rFonts w:hint="cs"/>
          <w:rtl/>
        </w:rPr>
        <w:t xml:space="preserve">דכל חזקה שלא נתבררה, ולא הייתה שעה אחת שהיה ידוע לנו בבירור שהמציאות היא כמו החזקה, אף שלאחר זמן נתברר לנו שכך הייתה החזקה, מ"מ כיון שבשעת החזקה לא הייתה לנו ידיעה ברורה שהמציאות היא כמו החזקה, לא אזלינן בתר חזקה זו, ועי' במה שביארו </w:t>
      </w:r>
      <w:r w:rsidRPr="00B1564F">
        <w:rPr>
          <w:rStyle w:val="af9"/>
          <w:rFonts w:hint="cs"/>
          <w:rtl/>
        </w:rPr>
        <w:t>השער"י</w:t>
      </w:r>
      <w:r>
        <w:rPr>
          <w:rFonts w:hint="cs"/>
          <w:rtl/>
        </w:rPr>
        <w:t xml:space="preserve"> </w:t>
      </w:r>
      <w:r w:rsidRPr="00B1564F">
        <w:rPr>
          <w:rStyle w:val="af7"/>
          <w:rFonts w:eastAsia="Guttman Hodes" w:hint="cs"/>
          <w:rtl/>
        </w:rPr>
        <w:t xml:space="preserve">(עי' אות </w:t>
      </w:r>
      <w:r w:rsidRPr="00B1564F">
        <w:rPr>
          <w:rStyle w:val="af7"/>
          <w:rFonts w:eastAsia="Guttman Hodes"/>
          <w:rtl/>
        </w:rPr>
        <w:fldChar w:fldCharType="begin"/>
      </w:r>
      <w:r w:rsidRPr="00B1564F">
        <w:rPr>
          <w:rStyle w:val="af7"/>
          <w:rFonts w:eastAsia="Guttman Hodes"/>
          <w:rtl/>
        </w:rPr>
        <w:instrText xml:space="preserve"> </w:instrText>
      </w:r>
      <w:r w:rsidRPr="00B1564F">
        <w:rPr>
          <w:rStyle w:val="af7"/>
          <w:rFonts w:eastAsia="Guttman Hodes" w:hint="cs"/>
        </w:rPr>
        <w:instrText>REF</w:instrText>
      </w:r>
      <w:r w:rsidRPr="00B1564F">
        <w:rPr>
          <w:rStyle w:val="af7"/>
          <w:rFonts w:eastAsia="Guttman Hodes" w:hint="cs"/>
          <w:rtl/>
        </w:rPr>
        <w:instrText xml:space="preserve"> _</w:instrText>
      </w:r>
      <w:r w:rsidRPr="00B1564F">
        <w:rPr>
          <w:rStyle w:val="af7"/>
          <w:rFonts w:eastAsia="Guttman Hodes" w:hint="cs"/>
        </w:rPr>
        <w:instrText>Ref529437210 \r \h</w:instrText>
      </w:r>
      <w:r w:rsidRPr="00B1564F">
        <w:rPr>
          <w:rStyle w:val="af7"/>
          <w:rFonts w:eastAsia="Guttman Hodes"/>
          <w:rtl/>
        </w:rPr>
        <w:instrText xml:space="preserve"> </w:instrText>
      </w:r>
      <w:r w:rsidRPr="00B1564F">
        <w:rPr>
          <w:rStyle w:val="af7"/>
          <w:rFonts w:eastAsia="Guttman Hodes"/>
          <w:rtl/>
        </w:rPr>
      </w:r>
      <w:r w:rsidRPr="00B1564F">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B1564F">
        <w:rPr>
          <w:rStyle w:val="af7"/>
          <w:rFonts w:eastAsia="Guttman Hodes"/>
          <w:rtl/>
        </w:rPr>
        <w:fldChar w:fldCharType="end"/>
      </w:r>
      <w:r>
        <w:rPr>
          <w:rFonts w:hint="cs"/>
          <w:rtl/>
        </w:rPr>
        <w:t xml:space="preserve">, </w:t>
      </w:r>
      <w:r w:rsidRPr="002379E3">
        <w:rPr>
          <w:rStyle w:val="af9"/>
          <w:rFonts w:hint="cs"/>
          <w:rtl/>
        </w:rPr>
        <w:t>והאבהא"ז</w:t>
      </w:r>
      <w:r>
        <w:rPr>
          <w:rFonts w:hint="cs"/>
          <w:rtl/>
        </w:rPr>
        <w:t xml:space="preserve"> </w:t>
      </w:r>
      <w:r w:rsidRPr="002379E3">
        <w:rPr>
          <w:rStyle w:val="af7"/>
          <w:rFonts w:eastAsia="Guttman Hodes" w:hint="cs"/>
          <w:rtl/>
        </w:rPr>
        <w:t xml:space="preserve">(עי' אות </w:t>
      </w:r>
      <w:r w:rsidRPr="002379E3">
        <w:rPr>
          <w:rStyle w:val="af7"/>
          <w:rFonts w:eastAsia="Guttman Hodes"/>
          <w:rtl/>
        </w:rPr>
        <w:fldChar w:fldCharType="begin"/>
      </w:r>
      <w:r w:rsidRPr="002379E3">
        <w:rPr>
          <w:rStyle w:val="af7"/>
          <w:rFonts w:eastAsia="Guttman Hodes"/>
          <w:rtl/>
        </w:rPr>
        <w:instrText xml:space="preserve"> </w:instrText>
      </w:r>
      <w:r w:rsidRPr="002379E3">
        <w:rPr>
          <w:rStyle w:val="af7"/>
          <w:rFonts w:eastAsia="Guttman Hodes" w:hint="cs"/>
        </w:rPr>
        <w:instrText>REF</w:instrText>
      </w:r>
      <w:r w:rsidRPr="002379E3">
        <w:rPr>
          <w:rStyle w:val="af7"/>
          <w:rFonts w:eastAsia="Guttman Hodes" w:hint="cs"/>
          <w:rtl/>
        </w:rPr>
        <w:instrText xml:space="preserve"> _</w:instrText>
      </w:r>
      <w:r w:rsidRPr="002379E3">
        <w:rPr>
          <w:rStyle w:val="af7"/>
          <w:rFonts w:eastAsia="Guttman Hodes" w:hint="cs"/>
        </w:rPr>
        <w:instrText>Ref523043679 \r \h</w:instrText>
      </w:r>
      <w:r w:rsidRPr="002379E3">
        <w:rPr>
          <w:rStyle w:val="af7"/>
          <w:rFonts w:eastAsia="Guttman Hodes"/>
          <w:rtl/>
        </w:rPr>
        <w:instrText xml:space="preserve"> </w:instrText>
      </w:r>
      <w:r w:rsidRPr="002379E3">
        <w:rPr>
          <w:rStyle w:val="af7"/>
          <w:rFonts w:eastAsia="Guttman Hodes"/>
          <w:rtl/>
        </w:rPr>
      </w:r>
      <w:r w:rsidRPr="002379E3">
        <w:rPr>
          <w:rStyle w:val="af7"/>
          <w:rFonts w:eastAsia="Guttman Hodes"/>
          <w:rtl/>
        </w:rPr>
        <w:fldChar w:fldCharType="separate"/>
      </w:r>
      <w:r w:rsidR="00345400">
        <w:rPr>
          <w:rStyle w:val="af7"/>
          <w:rFonts w:eastAsia="Guttman Hodes"/>
          <w:cs/>
        </w:rPr>
        <w:t>‎</w:t>
      </w:r>
      <w:r w:rsidR="00345400">
        <w:rPr>
          <w:rStyle w:val="af7"/>
          <w:rFonts w:eastAsia="Guttman Hodes"/>
          <w:rtl/>
        </w:rPr>
        <w:t>קיב)</w:t>
      </w:r>
      <w:r w:rsidRPr="002379E3">
        <w:rPr>
          <w:rStyle w:val="af7"/>
          <w:rFonts w:eastAsia="Guttman Hodes"/>
          <w:rtl/>
        </w:rPr>
        <w:fldChar w:fldCharType="end"/>
      </w:r>
      <w:r>
        <w:rPr>
          <w:rFonts w:hint="cs"/>
          <w:rtl/>
        </w:rPr>
        <w:t>.</w:t>
      </w:r>
      <w:bookmarkEnd w:id="8492"/>
    </w:p>
    <w:p w14:paraId="2548FCC8" w14:textId="77777777" w:rsidR="00D95C52" w:rsidRDefault="00D95C52" w:rsidP="006D6D32">
      <w:pPr>
        <w:pStyle w:val="a3"/>
        <w:rPr>
          <w:rtl/>
        </w:rPr>
      </w:pPr>
      <w:bookmarkStart w:id="8493" w:name="_Toc529352354"/>
      <w:bookmarkStart w:id="8494" w:name="_Toc529444968"/>
      <w:bookmarkStart w:id="8495" w:name="_Toc529704480"/>
      <w:bookmarkStart w:id="8496" w:name="_Toc529738936"/>
      <w:bookmarkStart w:id="8497" w:name="_Toc19390101"/>
      <w:bookmarkStart w:id="8498" w:name="_Toc19393598"/>
      <w:r>
        <w:rPr>
          <w:rFonts w:hint="cs"/>
          <w:rtl/>
        </w:rPr>
        <w:t>ביאור הרשב"א והר"ן בתוס' דאזלינן רק בתר חזקה שידועה בשעת החזקה כחזקת פנויה או נשואה</w:t>
      </w:r>
      <w:bookmarkEnd w:id="8493"/>
      <w:bookmarkEnd w:id="8494"/>
      <w:bookmarkEnd w:id="8495"/>
      <w:bookmarkEnd w:id="8496"/>
      <w:bookmarkEnd w:id="8497"/>
      <w:bookmarkEnd w:id="8498"/>
      <w:r>
        <w:rPr>
          <w:rFonts w:hint="cs"/>
          <w:rtl/>
        </w:rPr>
        <w:t xml:space="preserve"> </w:t>
      </w:r>
    </w:p>
    <w:p w14:paraId="7C1655A7" w14:textId="77777777" w:rsidR="00D95C52" w:rsidRDefault="00D95C52" w:rsidP="00223668">
      <w:pPr>
        <w:pStyle w:val="a0"/>
        <w:rPr>
          <w:rtl/>
        </w:rPr>
      </w:pPr>
      <w:bookmarkStart w:id="8499" w:name="_Ref528872420"/>
      <w:r>
        <w:rPr>
          <w:rFonts w:hint="cs"/>
          <w:rtl/>
        </w:rPr>
        <w:t xml:space="preserve">ובביאור תירוץ </w:t>
      </w:r>
      <w:r w:rsidRPr="00F8552A">
        <w:rPr>
          <w:rStyle w:val="af9"/>
          <w:rFonts w:hint="cs"/>
          <w:rtl/>
        </w:rPr>
        <w:t>התוס'</w:t>
      </w:r>
      <w:r>
        <w:rPr>
          <w:rFonts w:hint="cs"/>
          <w:rtl/>
        </w:rPr>
        <w:t xml:space="preserve"> כתבו </w:t>
      </w:r>
      <w:r w:rsidRPr="00F8552A">
        <w:rPr>
          <w:rStyle w:val="af9"/>
          <w:rFonts w:hint="cs"/>
          <w:rtl/>
        </w:rPr>
        <w:t>הרשב"א</w:t>
      </w:r>
      <w:r>
        <w:rPr>
          <w:rStyle w:val="af9"/>
          <w:rFonts w:hint="cs"/>
          <w:rtl/>
        </w:rPr>
        <w:t xml:space="preserve"> בחי'</w:t>
      </w:r>
      <w:r w:rsidRPr="00F8552A">
        <w:rPr>
          <w:rStyle w:val="af9"/>
          <w:rFonts w:hint="cs"/>
          <w:rtl/>
        </w:rPr>
        <w:t xml:space="preserve"> </w:t>
      </w:r>
      <w:r w:rsidRPr="007442FD">
        <w:rPr>
          <w:rStyle w:val="af7"/>
          <w:rFonts w:eastAsia="Guttman Hodes" w:hint="cs"/>
          <w:rtl/>
        </w:rPr>
        <w:t>(ד"ה אתיא)</w:t>
      </w:r>
      <w:r>
        <w:rPr>
          <w:rFonts w:hint="cs"/>
          <w:rtl/>
        </w:rPr>
        <w:t xml:space="preserve"> </w:t>
      </w:r>
      <w:r w:rsidRPr="00DF29FB">
        <w:rPr>
          <w:rStyle w:val="af9"/>
          <w:rFonts w:hint="cs"/>
          <w:rtl/>
        </w:rPr>
        <w:t>ובתוה"ב</w:t>
      </w:r>
      <w:r>
        <w:rPr>
          <w:rFonts w:hint="cs"/>
          <w:rtl/>
        </w:rPr>
        <w:t xml:space="preserve"> </w:t>
      </w:r>
      <w:r w:rsidRPr="007442FD">
        <w:rPr>
          <w:rStyle w:val="af7"/>
          <w:rFonts w:eastAsia="Guttman Hodes" w:hint="cs"/>
          <w:rtl/>
        </w:rPr>
        <w:t xml:space="preserve">(ב"ג ש"ו דף צא. מדה"ס ד"ה ולענין) </w:t>
      </w:r>
      <w:r w:rsidRPr="007442FD">
        <w:rPr>
          <w:rStyle w:val="af9"/>
          <w:rFonts w:hint="cs"/>
          <w:rtl/>
        </w:rPr>
        <w:t>והר"ן על הרי"ף</w:t>
      </w:r>
      <w:r w:rsidRPr="007442FD">
        <w:rPr>
          <w:rStyle w:val="af7"/>
          <w:rFonts w:eastAsia="Guttman Hodes" w:hint="cs"/>
          <w:rtl/>
        </w:rPr>
        <w:t xml:space="preserve"> (ג. מדפי הרי"ף ד"ה גרסי') </w:t>
      </w:r>
      <w:r>
        <w:rPr>
          <w:rFonts w:hint="cs"/>
          <w:rtl/>
        </w:rPr>
        <w:t>דהא דמעמידים על חזקה הוא כשהיה לה זמן מבורר, כחזקת פנויה שבשעה שנולדה ודאי הייתה פנויה, או חזקת נשואה דבשעת הנישואין הייתה בודאי בחזקת נשואה, אבל פרה בשעה שנולדה לא הייתה ידיעה אם היא כשירה או שהיא טריפה, אלא דלאחר שחייתה י"ב חודש התברר למפרע, שבשעה שנולדה הייתה כשירה, ובכה"ג לא אזלינן בתר חזקה, אף בבהמה שחייתה יותר מי"ב חודש.</w:t>
      </w:r>
      <w:bookmarkEnd w:id="8499"/>
    </w:p>
    <w:p w14:paraId="7FE0CF11" w14:textId="77777777" w:rsidR="00D95C52" w:rsidRDefault="00D95C52" w:rsidP="00BF39B2">
      <w:pPr>
        <w:pStyle w:val="1"/>
        <w:rPr>
          <w:rtl/>
        </w:rPr>
      </w:pPr>
      <w:bookmarkStart w:id="8500" w:name="_Toc529352355"/>
      <w:bookmarkStart w:id="8501" w:name="_Toc529444969"/>
      <w:bookmarkStart w:id="8502" w:name="_Toc529704481"/>
      <w:bookmarkStart w:id="8503" w:name="_Toc529738937"/>
      <w:bookmarkStart w:id="8504" w:name="_Toc19390102"/>
      <w:bookmarkStart w:id="8505" w:name="_Toc19393599"/>
      <w:r>
        <w:rPr>
          <w:rFonts w:hint="cs"/>
          <w:rtl/>
        </w:rPr>
        <w:t>תירוצי הרמב"ן והרשב"א על קושית התוס'</w:t>
      </w:r>
      <w:bookmarkEnd w:id="8500"/>
      <w:bookmarkEnd w:id="8501"/>
      <w:bookmarkEnd w:id="8502"/>
      <w:bookmarkEnd w:id="8503"/>
      <w:bookmarkEnd w:id="8504"/>
      <w:bookmarkEnd w:id="8505"/>
    </w:p>
    <w:p w14:paraId="6E74B27D" w14:textId="77777777" w:rsidR="00D95C52" w:rsidRPr="002C3F43" w:rsidRDefault="00D95C52" w:rsidP="006D6D32">
      <w:pPr>
        <w:pStyle w:val="a3"/>
        <w:rPr>
          <w:rtl/>
        </w:rPr>
      </w:pPr>
      <w:bookmarkStart w:id="8506" w:name="_Toc529352356"/>
      <w:bookmarkStart w:id="8507" w:name="_Toc529444970"/>
      <w:bookmarkStart w:id="8508" w:name="_Toc529704482"/>
      <w:bookmarkStart w:id="8509" w:name="_Toc529738938"/>
      <w:bookmarkStart w:id="8510" w:name="_Toc19390103"/>
      <w:bookmarkStart w:id="8511" w:name="_Toc19393600"/>
      <w:r>
        <w:rPr>
          <w:rFonts w:hint="cs"/>
          <w:rtl/>
        </w:rPr>
        <w:t>תירוץ הרמב"ן דראיית הגמ' מפרה היא רק למ"ד דטריפה חיה דלדידיה אין כל חזקה</w:t>
      </w:r>
      <w:bookmarkEnd w:id="8506"/>
      <w:bookmarkEnd w:id="8507"/>
      <w:bookmarkEnd w:id="8508"/>
      <w:bookmarkEnd w:id="8509"/>
      <w:bookmarkEnd w:id="8510"/>
      <w:bookmarkEnd w:id="8511"/>
    </w:p>
    <w:p w14:paraId="0DF0543C" w14:textId="77777777" w:rsidR="00D95C52" w:rsidRPr="00A57765" w:rsidRDefault="00D95C52" w:rsidP="00223668">
      <w:pPr>
        <w:pStyle w:val="a0"/>
        <w:rPr>
          <w:rStyle w:val="afb"/>
          <w:rtl/>
        </w:rPr>
      </w:pPr>
      <w:bookmarkStart w:id="8512" w:name="_Ref529736043"/>
      <w:r>
        <w:rPr>
          <w:rStyle w:val="af9"/>
          <w:rFonts w:hint="cs"/>
          <w:rtl/>
        </w:rPr>
        <w:t>וה</w:t>
      </w:r>
      <w:r w:rsidRPr="005A5C26">
        <w:rPr>
          <w:rStyle w:val="af9"/>
          <w:rFonts w:hint="cs"/>
          <w:rtl/>
        </w:rPr>
        <w:t>רמב"ן</w:t>
      </w:r>
      <w:r>
        <w:rPr>
          <w:rFonts w:hint="cs"/>
          <w:rtl/>
        </w:rPr>
        <w:t xml:space="preserve"> </w:t>
      </w:r>
      <w:r w:rsidRPr="005A5C26">
        <w:rPr>
          <w:rStyle w:val="af7"/>
          <w:rFonts w:eastAsia="Guttman Hodes" w:hint="cs"/>
          <w:rtl/>
        </w:rPr>
        <w:t xml:space="preserve">(ד"ה וליחוש) </w:t>
      </w:r>
      <w:r w:rsidRPr="005B228C">
        <w:rPr>
          <w:rFonts w:hint="cs"/>
          <w:rtl/>
        </w:rPr>
        <w:t>כתב דאפש</w:t>
      </w:r>
      <w:r>
        <w:rPr>
          <w:rFonts w:hint="cs"/>
          <w:rtl/>
        </w:rPr>
        <w:t xml:space="preserve">"ל דבאמת למ"ד טריפה אינה חיה, אין </w:t>
      </w:r>
      <w:r w:rsidRPr="00676348">
        <w:rPr>
          <w:rFonts w:hint="cs"/>
          <w:rtl/>
        </w:rPr>
        <w:t>ראיה מפרה אדומה, וכוונת הגמ' להביא ראיה למ"ד טריפה חיה</w:t>
      </w:r>
      <w:r>
        <w:rPr>
          <w:rFonts w:hint="cs"/>
          <w:rtl/>
        </w:rPr>
        <w:t xml:space="preserve">, דהא לדבריו אין כל חזקה שאינה טריפה, </w:t>
      </w:r>
      <w:r w:rsidRPr="003D09D1">
        <w:rPr>
          <w:rStyle w:val="afb"/>
          <w:rFonts w:hint="cs"/>
          <w:rtl/>
        </w:rPr>
        <w:t>[</w:t>
      </w:r>
      <w:r>
        <w:rPr>
          <w:rStyle w:val="afb"/>
          <w:rFonts w:hint="cs"/>
          <w:rtl/>
        </w:rPr>
        <w:t>ו</w:t>
      </w:r>
      <w:r w:rsidRPr="003D09D1">
        <w:rPr>
          <w:rStyle w:val="afb"/>
          <w:rFonts w:hint="cs"/>
          <w:rtl/>
        </w:rPr>
        <w:t>כדתיר</w:t>
      </w:r>
      <w:r>
        <w:rPr>
          <w:rStyle w:val="afb"/>
          <w:rFonts w:hint="cs"/>
          <w:rtl/>
        </w:rPr>
        <w:t>צו</w:t>
      </w:r>
      <w:r w:rsidRPr="003D09D1">
        <w:rPr>
          <w:rStyle w:val="afb"/>
          <w:rFonts w:hint="cs"/>
          <w:rtl/>
        </w:rPr>
        <w:t xml:space="preserve"> </w:t>
      </w:r>
      <w:r>
        <w:rPr>
          <w:rStyle w:val="affa"/>
          <w:rFonts w:hint="cs"/>
          <w:rtl/>
        </w:rPr>
        <w:t>התרומה</w:t>
      </w:r>
      <w:r w:rsidRPr="00782F0B">
        <w:rPr>
          <w:rStyle w:val="afb"/>
          <w:rFonts w:hint="cs"/>
          <w:rtl/>
        </w:rPr>
        <w:t xml:space="preserve"> בשם </w:t>
      </w:r>
      <w:r w:rsidRPr="00EA2682">
        <w:rPr>
          <w:rStyle w:val="affa"/>
          <w:rFonts w:hint="cs"/>
          <w:rtl/>
        </w:rPr>
        <w:t>הרשב"ם</w:t>
      </w:r>
      <w:r w:rsidRPr="003D09D1">
        <w:rPr>
          <w:rStyle w:val="afb"/>
          <w:rFonts w:hint="cs"/>
          <w:rtl/>
        </w:rPr>
        <w:t xml:space="preserve"> </w:t>
      </w:r>
      <w:r w:rsidRPr="00EA2682">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Ref529735525 \r \h</w:instrText>
      </w:r>
      <w:r>
        <w:rPr>
          <w:rStyle w:val="aff6"/>
          <w:rtl/>
        </w:rPr>
        <w:instrText xml:space="preserve"> </w:instrText>
      </w:r>
      <w:r>
        <w:rPr>
          <w:rStyle w:val="aff6"/>
          <w:rtl/>
        </w:rPr>
      </w:r>
      <w:r>
        <w:rPr>
          <w:rStyle w:val="aff6"/>
          <w:rtl/>
        </w:rPr>
        <w:fldChar w:fldCharType="separate"/>
      </w:r>
      <w:r w:rsidR="00345400">
        <w:rPr>
          <w:rStyle w:val="aff6"/>
          <w:cs/>
        </w:rPr>
        <w:t>‎</w:t>
      </w:r>
      <w:r w:rsidR="00345400">
        <w:rPr>
          <w:rStyle w:val="aff6"/>
          <w:rtl/>
        </w:rPr>
        <w:t>מו)</w:t>
      </w:r>
      <w:r>
        <w:rPr>
          <w:rStyle w:val="aff6"/>
          <w:rtl/>
        </w:rPr>
        <w:fldChar w:fldCharType="end"/>
      </w:r>
      <w:r>
        <w:rPr>
          <w:rStyle w:val="aff6"/>
          <w:rFonts w:hint="cs"/>
          <w:rtl/>
        </w:rPr>
        <w:t xml:space="preserve"> </w:t>
      </w:r>
      <w:r w:rsidRPr="00644F9B">
        <w:rPr>
          <w:rStyle w:val="affa"/>
          <w:rFonts w:hint="cs"/>
          <w:rtl/>
        </w:rPr>
        <w:t>והסמ"ג</w:t>
      </w:r>
      <w:r>
        <w:rPr>
          <w:rStyle w:val="afb"/>
          <w:rFonts w:hint="cs"/>
          <w:rtl/>
        </w:rPr>
        <w:t xml:space="preserve"> </w:t>
      </w:r>
      <w:r w:rsidRPr="00644F9B">
        <w:rPr>
          <w:rStyle w:val="aff6"/>
          <w:rFonts w:hint="cs"/>
          <w:rtl/>
        </w:rPr>
        <w:t>(עי' הערה</w:t>
      </w:r>
      <w:r w:rsidRPr="00644F9B">
        <w:rPr>
          <w:vertAlign w:val="superscript"/>
          <w:rtl/>
        </w:rPr>
        <w:fldChar w:fldCharType="begin"/>
      </w:r>
      <w:r w:rsidRPr="00644F9B">
        <w:rPr>
          <w:vertAlign w:val="superscript"/>
          <w:rtl/>
        </w:rPr>
        <w:instrText xml:space="preserve"> </w:instrText>
      </w:r>
      <w:r w:rsidRPr="00644F9B">
        <w:rPr>
          <w:rFonts w:hint="cs"/>
          <w:vertAlign w:val="superscript"/>
        </w:rPr>
        <w:instrText>NOTEREF</w:instrText>
      </w:r>
      <w:r w:rsidRPr="00644F9B">
        <w:rPr>
          <w:rFonts w:hint="cs"/>
          <w:vertAlign w:val="superscript"/>
          <w:rtl/>
        </w:rPr>
        <w:instrText xml:space="preserve"> _</w:instrText>
      </w:r>
      <w:r w:rsidRPr="00644F9B">
        <w:rPr>
          <w:rFonts w:hint="cs"/>
          <w:vertAlign w:val="superscript"/>
        </w:rPr>
        <w:instrText>Ref529702433 \h</w:instrText>
      </w:r>
      <w:r w:rsidRPr="00644F9B">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644F9B">
        <w:rPr>
          <w:vertAlign w:val="superscript"/>
          <w:rtl/>
        </w:rPr>
      </w:r>
      <w:r w:rsidRPr="00644F9B">
        <w:rPr>
          <w:vertAlign w:val="superscript"/>
          <w:rtl/>
        </w:rPr>
        <w:fldChar w:fldCharType="separate"/>
      </w:r>
      <w:r w:rsidR="00345400">
        <w:rPr>
          <w:vertAlign w:val="superscript"/>
          <w:rtl/>
        </w:rPr>
        <w:t>62</w:t>
      </w:r>
      <w:r w:rsidRPr="00644F9B">
        <w:rPr>
          <w:vertAlign w:val="superscript"/>
          <w:rtl/>
        </w:rPr>
        <w:fldChar w:fldCharType="end"/>
      </w:r>
      <w:r w:rsidRPr="00644F9B">
        <w:rPr>
          <w:rStyle w:val="af7"/>
          <w:rFonts w:eastAsia="Guttman Hodes" w:hint="cs"/>
          <w:rtl/>
        </w:rPr>
        <w:t>)</w:t>
      </w:r>
      <w:r w:rsidRPr="003D09D1">
        <w:rPr>
          <w:rStyle w:val="afb"/>
          <w:rFonts w:hint="cs"/>
          <w:rtl/>
        </w:rPr>
        <w:t>]</w:t>
      </w:r>
      <w:r w:rsidRPr="00676348">
        <w:rPr>
          <w:rFonts w:hint="cs"/>
          <w:rtl/>
        </w:rPr>
        <w:t xml:space="preserve">. והביא </w:t>
      </w:r>
      <w:r w:rsidRPr="00676348">
        <w:rPr>
          <w:rStyle w:val="af9"/>
          <w:rFonts w:hint="cs"/>
          <w:rtl/>
        </w:rPr>
        <w:t xml:space="preserve">הרמב"ן </w:t>
      </w:r>
      <w:r w:rsidRPr="00676348">
        <w:rPr>
          <w:rFonts w:hint="cs"/>
          <w:rtl/>
        </w:rPr>
        <w:t xml:space="preserve">את תירוץ </w:t>
      </w:r>
      <w:r w:rsidRPr="00676348">
        <w:rPr>
          <w:rStyle w:val="af9"/>
          <w:rFonts w:hint="cs"/>
          <w:rtl/>
        </w:rPr>
        <w:t xml:space="preserve">התוס' </w:t>
      </w:r>
      <w:r w:rsidRPr="00676348">
        <w:rPr>
          <w:rFonts w:hint="cs"/>
          <w:rtl/>
        </w:rPr>
        <w:t xml:space="preserve">דחזקה שלא נתבררה בשעתה, אי"ז נקרא "חזקת הגוף", והניח </w:t>
      </w:r>
      <w:r w:rsidRPr="00676348">
        <w:rPr>
          <w:rStyle w:val="af9"/>
          <w:rFonts w:hint="cs"/>
          <w:rtl/>
        </w:rPr>
        <w:t xml:space="preserve">הרמב"ן </w:t>
      </w:r>
      <w:r w:rsidRPr="00676348">
        <w:rPr>
          <w:rFonts w:hint="cs"/>
          <w:rtl/>
        </w:rPr>
        <w:t>בצ"ע.</w:t>
      </w:r>
      <w:bookmarkEnd w:id="8512"/>
      <w:r>
        <w:rPr>
          <w:rFonts w:hint="cs"/>
          <w:rtl/>
        </w:rPr>
        <w:t xml:space="preserve"> </w:t>
      </w:r>
      <w:r w:rsidRPr="00A57765">
        <w:rPr>
          <w:rStyle w:val="afb"/>
          <w:rFonts w:hint="cs"/>
          <w:rtl/>
        </w:rPr>
        <w:t xml:space="preserve">[ומבואר מדברי </w:t>
      </w:r>
      <w:r w:rsidRPr="00A57765">
        <w:rPr>
          <w:rStyle w:val="affa"/>
          <w:rFonts w:hint="cs"/>
          <w:rtl/>
        </w:rPr>
        <w:t>הרמב"ן</w:t>
      </w:r>
      <w:r w:rsidRPr="00A57765">
        <w:rPr>
          <w:rStyle w:val="afb"/>
          <w:rFonts w:hint="cs"/>
          <w:rtl/>
        </w:rPr>
        <w:t xml:space="preserve"> </w:t>
      </w:r>
      <w:r>
        <w:rPr>
          <w:rStyle w:val="afb"/>
          <w:rFonts w:hint="cs"/>
          <w:rtl/>
        </w:rPr>
        <w:t>דמספקא ליה אי</w:t>
      </w:r>
      <w:r w:rsidRPr="00A57765">
        <w:rPr>
          <w:rStyle w:val="afb"/>
          <w:rFonts w:hint="cs"/>
          <w:rtl/>
        </w:rPr>
        <w:t xml:space="preserve"> אזלינן בתר חזקה שלא נתבררה בשעתה, ו</w:t>
      </w:r>
      <w:r w:rsidRPr="00A57765">
        <w:rPr>
          <w:rStyle w:val="affa"/>
          <w:rFonts w:hint="cs"/>
          <w:rtl/>
        </w:rPr>
        <w:t>האחרונים</w:t>
      </w:r>
      <w:r w:rsidRPr="00A57765">
        <w:rPr>
          <w:rStyle w:val="afb"/>
          <w:rFonts w:hint="cs"/>
          <w:rtl/>
        </w:rPr>
        <w:t xml:space="preserve"> </w:t>
      </w:r>
      <w:r>
        <w:rPr>
          <w:rStyle w:val="afb"/>
          <w:rFonts w:hint="cs"/>
          <w:rtl/>
        </w:rPr>
        <w:t xml:space="preserve">זה </w:t>
      </w:r>
      <w:r w:rsidRPr="00A57765">
        <w:rPr>
          <w:rStyle w:val="afb"/>
          <w:rFonts w:hint="cs"/>
          <w:rtl/>
        </w:rPr>
        <w:t xml:space="preserve">לא ראו את דברי </w:t>
      </w:r>
      <w:r w:rsidRPr="00A57765">
        <w:rPr>
          <w:rStyle w:val="affa"/>
          <w:rFonts w:hint="cs"/>
          <w:rtl/>
        </w:rPr>
        <w:t>הרמב"ן</w:t>
      </w:r>
      <w:r w:rsidRPr="00A57765">
        <w:rPr>
          <w:rStyle w:val="afb"/>
          <w:rFonts w:hint="cs"/>
          <w:rtl/>
        </w:rPr>
        <w:t xml:space="preserve"> שאינו בדפו"י].</w:t>
      </w:r>
    </w:p>
    <w:p w14:paraId="57DC27C9" w14:textId="77777777" w:rsidR="00D95C52" w:rsidRPr="005B228C" w:rsidRDefault="00D95C52" w:rsidP="006D6D32">
      <w:pPr>
        <w:pStyle w:val="a3"/>
        <w:rPr>
          <w:rtl/>
        </w:rPr>
      </w:pPr>
      <w:bookmarkStart w:id="8513" w:name="_Toc529352357"/>
      <w:bookmarkStart w:id="8514" w:name="_Toc529444971"/>
      <w:bookmarkStart w:id="8515" w:name="_Toc529704483"/>
      <w:bookmarkStart w:id="8516" w:name="_Toc529738939"/>
      <w:bookmarkStart w:id="8517" w:name="_Toc19390104"/>
      <w:bookmarkStart w:id="8518" w:name="_Toc19393601"/>
      <w:r>
        <w:rPr>
          <w:rFonts w:hint="cs"/>
          <w:rtl/>
        </w:rPr>
        <w:t>דברי הרשב"א דלרב אחא שאין מקור לחזקה הביאה הגמ' ראיה מפרה דהא רוב עדיף מחזקה</w:t>
      </w:r>
      <w:bookmarkEnd w:id="8513"/>
      <w:bookmarkEnd w:id="8514"/>
      <w:bookmarkEnd w:id="8515"/>
      <w:bookmarkEnd w:id="8516"/>
      <w:bookmarkEnd w:id="8517"/>
      <w:bookmarkEnd w:id="8518"/>
    </w:p>
    <w:p w14:paraId="33EF2762" w14:textId="77777777" w:rsidR="00D95C52" w:rsidRDefault="00D95C52" w:rsidP="00223668">
      <w:pPr>
        <w:pStyle w:val="a0"/>
        <w:rPr>
          <w:rtl/>
        </w:rPr>
      </w:pPr>
      <w:r w:rsidRPr="00C91EB4">
        <w:rPr>
          <w:rStyle w:val="af9"/>
          <w:rFonts w:hint="cs"/>
          <w:rtl/>
        </w:rPr>
        <w:t>והרשב"א</w:t>
      </w:r>
      <w:r>
        <w:rPr>
          <w:rFonts w:hint="cs"/>
          <w:rtl/>
        </w:rPr>
        <w:t xml:space="preserve"> </w:t>
      </w:r>
      <w:r w:rsidRPr="00C91EB4">
        <w:rPr>
          <w:rStyle w:val="af7"/>
          <w:rFonts w:eastAsia="Guttman Hodes" w:hint="cs"/>
          <w:rtl/>
        </w:rPr>
        <w:t>(ד"ה אתיא)</w:t>
      </w:r>
      <w:r>
        <w:rPr>
          <w:rFonts w:hint="cs"/>
          <w:rtl/>
        </w:rPr>
        <w:t xml:space="preserve"> כתב דאי טעם ההיתר בפרה הוא מחמת חזקה, א"כ כיון שיש ילפותא דאזלינן בתר חזקה, כ"ש דאזלינן בתר רוב, דהא רובא וחזקה רובא עדיף, </w:t>
      </w:r>
      <w:r w:rsidRPr="000E17F6">
        <w:rPr>
          <w:rStyle w:val="afb"/>
          <w:rFonts w:hint="cs"/>
          <w:rtl/>
        </w:rPr>
        <w:t>[</w:t>
      </w:r>
      <w:r>
        <w:rPr>
          <w:rStyle w:val="afb"/>
          <w:rFonts w:hint="cs"/>
          <w:rtl/>
        </w:rPr>
        <w:t>כדהקשו</w:t>
      </w:r>
      <w:r>
        <w:rPr>
          <w:rStyle w:val="affa"/>
          <w:rFonts w:hint="cs"/>
          <w:rtl/>
        </w:rPr>
        <w:t xml:space="preserve"> </w:t>
      </w:r>
      <w:r w:rsidRPr="000E17F6">
        <w:rPr>
          <w:rStyle w:val="affa"/>
          <w:rFonts w:hint="cs"/>
          <w:rtl/>
        </w:rPr>
        <w:t>התוס'</w:t>
      </w:r>
      <w:r w:rsidRPr="000E17F6">
        <w:rPr>
          <w:rStyle w:val="afb"/>
          <w:rFonts w:hint="cs"/>
          <w:rtl/>
        </w:rPr>
        <w:t xml:space="preserve"> </w:t>
      </w:r>
      <w:r w:rsidRPr="000E17F6">
        <w:rPr>
          <w:rStyle w:val="aff6"/>
          <w:rFonts w:hint="cs"/>
          <w:rtl/>
        </w:rPr>
        <w:t>(ד"ה מנא)</w:t>
      </w:r>
      <w:r w:rsidRPr="000E17F6">
        <w:rPr>
          <w:rStyle w:val="afb"/>
          <w:rFonts w:hint="cs"/>
          <w:rtl/>
        </w:rPr>
        <w:t>],</w:t>
      </w:r>
      <w:r>
        <w:rPr>
          <w:rFonts w:hint="cs"/>
          <w:rtl/>
        </w:rPr>
        <w:t xml:space="preserve"> אלא דכיון שהגמ' לא פשטה מהו המקור לחזקה, </w:t>
      </w:r>
      <w:r w:rsidRPr="000E17F6">
        <w:rPr>
          <w:rStyle w:val="afb"/>
          <w:rFonts w:hint="cs"/>
          <w:rtl/>
        </w:rPr>
        <w:t>[כדדחה רב אחא בר"י]</w:t>
      </w:r>
      <w:r>
        <w:rPr>
          <w:rFonts w:hint="cs"/>
          <w:rtl/>
        </w:rPr>
        <w:t xml:space="preserve">, לכן רוצה להביא הגמ' ראיה לרוב מדין פרה אדומה, אך דחה </w:t>
      </w:r>
      <w:r w:rsidRPr="00C91EB4">
        <w:rPr>
          <w:rStyle w:val="af9"/>
          <w:rFonts w:hint="cs"/>
          <w:rtl/>
        </w:rPr>
        <w:t>הרשב"א</w:t>
      </w:r>
      <w:r>
        <w:rPr>
          <w:rFonts w:hint="cs"/>
          <w:rtl/>
        </w:rPr>
        <w:t xml:space="preserve"> בשם </w:t>
      </w:r>
      <w:r w:rsidRPr="00C91EB4">
        <w:rPr>
          <w:rStyle w:val="af9"/>
          <w:rFonts w:hint="cs"/>
          <w:rtl/>
        </w:rPr>
        <w:t>י"מ</w:t>
      </w:r>
      <w:r>
        <w:rPr>
          <w:rFonts w:hint="cs"/>
          <w:rtl/>
        </w:rPr>
        <w:t xml:space="preserve"> דהגמ' כבר פשטה דהמקור לחזקה הוא מבית המנוגע, וא"א ללמוד את רוב בק"ו מחזקה, עיי"ש בדבריו </w:t>
      </w:r>
      <w:r w:rsidRPr="00696756">
        <w:rPr>
          <w:rStyle w:val="af7"/>
          <w:rFonts w:eastAsia="Guttman Hodes" w:hint="cs"/>
          <w:rtl/>
        </w:rPr>
        <w:t>(הובא</w:t>
      </w:r>
      <w:r>
        <w:rPr>
          <w:rStyle w:val="af7"/>
          <w:rFonts w:eastAsia="Guttman Hodes" w:hint="cs"/>
          <w:rtl/>
        </w:rPr>
        <w:t>ו</w:t>
      </w:r>
      <w:r w:rsidRPr="00696756">
        <w:rPr>
          <w:rStyle w:val="af7"/>
          <w:rFonts w:eastAsia="Guttman Hodes" w:hint="cs"/>
          <w:rtl/>
        </w:rPr>
        <w:t xml:space="preserve"> לעיל סימן ח' אות ח')</w:t>
      </w:r>
      <w:r>
        <w:rPr>
          <w:rFonts w:hint="cs"/>
          <w:rtl/>
        </w:rPr>
        <w:t>.</w:t>
      </w:r>
    </w:p>
    <w:p w14:paraId="78C69A83" w14:textId="77777777" w:rsidR="00D95C52" w:rsidRDefault="00D95C52" w:rsidP="00BF39B2">
      <w:pPr>
        <w:pStyle w:val="1"/>
        <w:rPr>
          <w:rtl/>
        </w:rPr>
      </w:pPr>
      <w:bookmarkStart w:id="8519" w:name="_Toc529352358"/>
      <w:bookmarkStart w:id="8520" w:name="_Toc529444972"/>
      <w:bookmarkStart w:id="8521" w:name="_Toc529704484"/>
      <w:bookmarkStart w:id="8522" w:name="_Toc529738940"/>
      <w:bookmarkStart w:id="8523" w:name="_Toc19390105"/>
      <w:bookmarkStart w:id="8524" w:name="_Toc19393602"/>
      <w:r>
        <w:rPr>
          <w:rFonts w:hint="cs"/>
          <w:rtl/>
        </w:rPr>
        <w:t>דעת התוס' דבחזקה שלא נתבררה בשעתה</w:t>
      </w:r>
      <w:r w:rsidRPr="004A3EB2">
        <w:rPr>
          <w:rFonts w:hint="cs"/>
          <w:rtl/>
        </w:rPr>
        <w:t xml:space="preserve"> </w:t>
      </w:r>
      <w:r>
        <w:rPr>
          <w:rFonts w:hint="cs"/>
          <w:rtl/>
        </w:rPr>
        <w:t>הגבינות אסורות</w:t>
      </w:r>
      <w:bookmarkEnd w:id="8519"/>
      <w:bookmarkEnd w:id="8520"/>
      <w:bookmarkEnd w:id="8521"/>
      <w:bookmarkEnd w:id="8522"/>
      <w:bookmarkEnd w:id="8523"/>
      <w:bookmarkEnd w:id="8524"/>
    </w:p>
    <w:p w14:paraId="76229177" w14:textId="77777777" w:rsidR="00D95C52" w:rsidRDefault="00D95C52" w:rsidP="006D6D32">
      <w:pPr>
        <w:pStyle w:val="a3"/>
        <w:rPr>
          <w:rtl/>
        </w:rPr>
      </w:pPr>
      <w:bookmarkStart w:id="8525" w:name="_Toc529352359"/>
      <w:bookmarkStart w:id="8526" w:name="_Toc529444973"/>
      <w:bookmarkStart w:id="8527" w:name="_Toc529704485"/>
      <w:bookmarkStart w:id="8528" w:name="_Toc529738941"/>
      <w:bookmarkStart w:id="8529" w:name="_Toc19390106"/>
      <w:bookmarkStart w:id="8530" w:name="_Toc19393603"/>
      <w:r>
        <w:rPr>
          <w:rFonts w:hint="cs"/>
          <w:rtl/>
        </w:rPr>
        <w:t>דברי התוס' דכיון שחזקה שלא נתבררה בשעתה אינה חזקה לכן הגבינות שנחלבו ממנה אסורות</w:t>
      </w:r>
      <w:bookmarkEnd w:id="8525"/>
      <w:bookmarkEnd w:id="8526"/>
      <w:bookmarkEnd w:id="8527"/>
      <w:bookmarkEnd w:id="8528"/>
      <w:bookmarkEnd w:id="8529"/>
      <w:bookmarkEnd w:id="8530"/>
    </w:p>
    <w:p w14:paraId="2733886E" w14:textId="77777777" w:rsidR="00D95C52" w:rsidRDefault="00D95C52" w:rsidP="00223668">
      <w:pPr>
        <w:pStyle w:val="a0"/>
        <w:rPr>
          <w:rtl/>
        </w:rPr>
      </w:pPr>
      <w:bookmarkStart w:id="8531" w:name="_Ref529121640"/>
      <w:r>
        <w:rPr>
          <w:rFonts w:hint="cs"/>
          <w:rtl/>
        </w:rPr>
        <w:t xml:space="preserve">וכתבו </w:t>
      </w:r>
      <w:r w:rsidRPr="00DB130F">
        <w:rPr>
          <w:rStyle w:val="af9"/>
          <w:rFonts w:hint="cs"/>
          <w:rtl/>
        </w:rPr>
        <w:t>התוס'</w:t>
      </w:r>
      <w:r>
        <w:rPr>
          <w:rFonts w:hint="cs"/>
          <w:rtl/>
        </w:rPr>
        <w:t xml:space="preserve"> </w:t>
      </w:r>
      <w:r w:rsidRPr="00DB130F">
        <w:rPr>
          <w:rStyle w:val="af7"/>
          <w:rFonts w:eastAsia="Guttman Hodes" w:hint="cs"/>
          <w:rtl/>
        </w:rPr>
        <w:t>(ד"ה אתיא)</w:t>
      </w:r>
      <w:r>
        <w:rPr>
          <w:rFonts w:hint="cs"/>
          <w:rtl/>
        </w:rPr>
        <w:t xml:space="preserve"> דכיון דחזקה שלא נתבררה בשעתה אינה חזקה, לכן אם עשה גבינות מכמה בהמות, ואח"כ נשחטה אחת מהן ונמצאת טריפה, דכל הגבינות אסורות, כיון אא  להעמיד את הבהמה בחזקתה שאינה טריפה, ולומר שנטרפה סמוך לשחיטה אחר שנחלבה, דהוא חזקה שלא נתבררה בשעתה</w:t>
      </w:r>
      <w:r w:rsidRPr="00C97B52">
        <w:rPr>
          <w:rStyle w:val="af1"/>
          <w:rtl/>
        </w:rPr>
        <w:footnoteReference w:id="57"/>
      </w:r>
      <w:r w:rsidRPr="00C97B52">
        <w:rPr>
          <w:rFonts w:hint="cs"/>
          <w:rtl/>
        </w:rPr>
        <w:t xml:space="preserve">, ועי' </w:t>
      </w:r>
      <w:r w:rsidRPr="00C97B52">
        <w:rPr>
          <w:rStyle w:val="af9"/>
          <w:rFonts w:hint="cs"/>
          <w:rtl/>
        </w:rPr>
        <w:t>בתורת יקותיאל</w:t>
      </w:r>
      <w:r w:rsidRPr="00C97B52">
        <w:rPr>
          <w:rFonts w:hint="cs"/>
          <w:rtl/>
        </w:rPr>
        <w:t xml:space="preserve"> </w:t>
      </w:r>
      <w:r w:rsidRPr="00C97B52">
        <w:rPr>
          <w:rStyle w:val="af7"/>
          <w:rFonts w:eastAsia="Guttman Hodes" w:hint="cs"/>
          <w:rtl/>
        </w:rPr>
        <w:t>(סי' פ"א א')</w:t>
      </w:r>
      <w:r>
        <w:rPr>
          <w:rStyle w:val="af7"/>
          <w:rFonts w:eastAsia="Guttman Hodes" w:hint="cs"/>
          <w:rtl/>
        </w:rPr>
        <w:t xml:space="preserve"> </w:t>
      </w:r>
      <w:r w:rsidRPr="00C97B52">
        <w:rPr>
          <w:rFonts w:hint="cs"/>
          <w:rtl/>
        </w:rPr>
        <w:t>במה שהאריך בזה טובא</w:t>
      </w:r>
      <w:r>
        <w:rPr>
          <w:rFonts w:hint="cs"/>
          <w:rtl/>
        </w:rPr>
        <w:t xml:space="preserve">, ועי' במה שביארו </w:t>
      </w:r>
      <w:r>
        <w:rPr>
          <w:rStyle w:val="af9"/>
          <w:rFonts w:hint="cs"/>
          <w:rtl/>
        </w:rPr>
        <w:t>ב</w:t>
      </w:r>
      <w:r w:rsidRPr="00B1564F">
        <w:rPr>
          <w:rStyle w:val="af9"/>
          <w:rFonts w:hint="cs"/>
          <w:rtl/>
        </w:rPr>
        <w:t>שער"י</w:t>
      </w:r>
      <w:r>
        <w:rPr>
          <w:rFonts w:hint="cs"/>
          <w:rtl/>
        </w:rPr>
        <w:t xml:space="preserve"> </w:t>
      </w:r>
      <w:r w:rsidRPr="00B1564F">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Ref529479117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צה)</w:t>
      </w:r>
      <w:r>
        <w:rPr>
          <w:rStyle w:val="af7"/>
          <w:rFonts w:eastAsia="Guttman Hodes"/>
          <w:rtl/>
        </w:rPr>
        <w:fldChar w:fldCharType="end"/>
      </w:r>
      <w:r>
        <w:rPr>
          <w:rFonts w:hint="cs"/>
          <w:rtl/>
        </w:rPr>
        <w:t xml:space="preserve">, </w:t>
      </w:r>
      <w:r>
        <w:rPr>
          <w:rStyle w:val="af9"/>
          <w:rFonts w:hint="cs"/>
          <w:rtl/>
        </w:rPr>
        <w:t>ו</w:t>
      </w:r>
      <w:r w:rsidRPr="00625138">
        <w:rPr>
          <w:rStyle w:val="af9"/>
          <w:rFonts w:hint="cs"/>
          <w:rtl/>
        </w:rPr>
        <w:t>בשיעורי המקדש דוד</w:t>
      </w:r>
      <w:r>
        <w:rPr>
          <w:rFonts w:hint="cs"/>
          <w:rtl/>
        </w:rPr>
        <w:t xml:space="preserve"> </w:t>
      </w:r>
      <w:r w:rsidRPr="00154972">
        <w:rPr>
          <w:rStyle w:val="af7"/>
          <w:rFonts w:eastAsia="Guttman Hodes" w:hint="cs"/>
          <w:rtl/>
        </w:rPr>
        <w:t xml:space="preserve">(עי' אות </w:t>
      </w:r>
      <w:r w:rsidRPr="00154972">
        <w:rPr>
          <w:rStyle w:val="af7"/>
          <w:rFonts w:eastAsia="Guttman Hodes"/>
          <w:rtl/>
        </w:rPr>
        <w:fldChar w:fldCharType="begin"/>
      </w:r>
      <w:r w:rsidRPr="00154972">
        <w:rPr>
          <w:rStyle w:val="af7"/>
          <w:rFonts w:eastAsia="Guttman Hodes"/>
          <w:rtl/>
        </w:rPr>
        <w:instrText xml:space="preserve"> </w:instrText>
      </w:r>
      <w:r w:rsidRPr="00154972">
        <w:rPr>
          <w:rStyle w:val="af7"/>
          <w:rFonts w:eastAsia="Guttman Hodes" w:hint="cs"/>
        </w:rPr>
        <w:instrText>REF</w:instrText>
      </w:r>
      <w:r w:rsidRPr="00154972">
        <w:rPr>
          <w:rStyle w:val="af7"/>
          <w:rFonts w:eastAsia="Guttman Hodes" w:hint="cs"/>
          <w:rtl/>
        </w:rPr>
        <w:instrText xml:space="preserve"> _</w:instrText>
      </w:r>
      <w:r w:rsidRPr="00154972">
        <w:rPr>
          <w:rStyle w:val="af7"/>
          <w:rFonts w:eastAsia="Guttman Hodes" w:hint="cs"/>
        </w:rPr>
        <w:instrText>Ref529479461 \r \h</w:instrText>
      </w:r>
      <w:r w:rsidRPr="00154972">
        <w:rPr>
          <w:rStyle w:val="af7"/>
          <w:rFonts w:eastAsia="Guttman Hodes"/>
          <w:rtl/>
        </w:rPr>
        <w:instrText xml:space="preserve"> </w:instrText>
      </w:r>
      <w:r w:rsidRPr="00154972">
        <w:rPr>
          <w:rStyle w:val="af7"/>
          <w:rFonts w:eastAsia="Guttman Hodes"/>
          <w:rtl/>
        </w:rPr>
      </w:r>
      <w:r w:rsidRPr="00154972">
        <w:rPr>
          <w:rStyle w:val="af7"/>
          <w:rFonts w:eastAsia="Guttman Hodes"/>
          <w:rtl/>
        </w:rPr>
        <w:fldChar w:fldCharType="separate"/>
      </w:r>
      <w:r w:rsidR="00345400">
        <w:rPr>
          <w:rStyle w:val="af7"/>
          <w:rFonts w:eastAsia="Guttman Hodes"/>
          <w:cs/>
        </w:rPr>
        <w:t>‎</w:t>
      </w:r>
      <w:r w:rsidR="00345400">
        <w:rPr>
          <w:rStyle w:val="af7"/>
          <w:rFonts w:eastAsia="Guttman Hodes"/>
          <w:rtl/>
        </w:rPr>
        <w:t>קיד)</w:t>
      </w:r>
      <w:r w:rsidRPr="00154972">
        <w:rPr>
          <w:rStyle w:val="af7"/>
          <w:rFonts w:eastAsia="Guttman Hodes"/>
          <w:rtl/>
        </w:rPr>
        <w:fldChar w:fldCharType="end"/>
      </w:r>
      <w:r>
        <w:rPr>
          <w:rFonts w:hint="cs"/>
          <w:rtl/>
        </w:rPr>
        <w:t xml:space="preserve">, </w:t>
      </w:r>
      <w:r w:rsidRPr="00154972">
        <w:rPr>
          <w:rStyle w:val="af9"/>
          <w:rFonts w:hint="cs"/>
          <w:rtl/>
        </w:rPr>
        <w:t>ובקה"י</w:t>
      </w:r>
      <w:r>
        <w:rPr>
          <w:rFonts w:hint="cs"/>
          <w:rtl/>
        </w:rPr>
        <w:t xml:space="preserve"> </w:t>
      </w:r>
      <w:r w:rsidRPr="00154972">
        <w:rPr>
          <w:rStyle w:val="af7"/>
          <w:rFonts w:eastAsia="Guttman Hodes" w:hint="cs"/>
          <w:rtl/>
        </w:rPr>
        <w:t xml:space="preserve">(עי' אות </w:t>
      </w:r>
      <w:r w:rsidRPr="00154972">
        <w:rPr>
          <w:rStyle w:val="af7"/>
          <w:rFonts w:eastAsia="Guttman Hodes"/>
          <w:rtl/>
        </w:rPr>
        <w:fldChar w:fldCharType="begin"/>
      </w:r>
      <w:r w:rsidRPr="00154972">
        <w:rPr>
          <w:rStyle w:val="af7"/>
          <w:rFonts w:eastAsia="Guttman Hodes"/>
          <w:rtl/>
        </w:rPr>
        <w:instrText xml:space="preserve"> </w:instrText>
      </w:r>
      <w:r w:rsidRPr="00154972">
        <w:rPr>
          <w:rStyle w:val="af7"/>
          <w:rFonts w:eastAsia="Guttman Hodes" w:hint="cs"/>
        </w:rPr>
        <w:instrText>REF</w:instrText>
      </w:r>
      <w:r w:rsidRPr="00154972">
        <w:rPr>
          <w:rStyle w:val="af7"/>
          <w:rFonts w:eastAsia="Guttman Hodes" w:hint="cs"/>
          <w:rtl/>
        </w:rPr>
        <w:instrText xml:space="preserve"> _</w:instrText>
      </w:r>
      <w:r w:rsidRPr="00154972">
        <w:rPr>
          <w:rStyle w:val="af7"/>
          <w:rFonts w:eastAsia="Guttman Hodes" w:hint="cs"/>
        </w:rPr>
        <w:instrText>Ref529479642 \r \h</w:instrText>
      </w:r>
      <w:r w:rsidRPr="00154972">
        <w:rPr>
          <w:rStyle w:val="af7"/>
          <w:rFonts w:eastAsia="Guttman Hodes"/>
          <w:rtl/>
        </w:rPr>
        <w:instrText xml:space="preserve"> </w:instrText>
      </w:r>
      <w:r w:rsidRPr="00154972">
        <w:rPr>
          <w:rStyle w:val="af7"/>
          <w:rFonts w:eastAsia="Guttman Hodes"/>
          <w:rtl/>
        </w:rPr>
      </w:r>
      <w:r w:rsidRPr="00154972">
        <w:rPr>
          <w:rStyle w:val="af7"/>
          <w:rFonts w:eastAsia="Guttman Hodes"/>
          <w:rtl/>
        </w:rPr>
        <w:fldChar w:fldCharType="separate"/>
      </w:r>
      <w:r w:rsidR="00345400">
        <w:rPr>
          <w:rStyle w:val="af7"/>
          <w:rFonts w:eastAsia="Guttman Hodes"/>
          <w:cs/>
        </w:rPr>
        <w:t>‎</w:t>
      </w:r>
      <w:r w:rsidR="00345400">
        <w:rPr>
          <w:rStyle w:val="af7"/>
          <w:rFonts w:eastAsia="Guttman Hodes"/>
          <w:rtl/>
        </w:rPr>
        <w:t>קכב)</w:t>
      </w:r>
      <w:r w:rsidRPr="00154972">
        <w:rPr>
          <w:rStyle w:val="af7"/>
          <w:rFonts w:eastAsia="Guttman Hodes"/>
          <w:rtl/>
        </w:rPr>
        <w:fldChar w:fldCharType="end"/>
      </w:r>
      <w:r>
        <w:rPr>
          <w:rFonts w:hint="cs"/>
          <w:rtl/>
        </w:rPr>
        <w:t>.</w:t>
      </w:r>
      <w:bookmarkEnd w:id="8531"/>
    </w:p>
    <w:p w14:paraId="7F05A3B9" w14:textId="77777777" w:rsidR="00D95C52" w:rsidRDefault="00D95C52" w:rsidP="00BF39B2">
      <w:pPr>
        <w:pStyle w:val="1"/>
        <w:rPr>
          <w:rtl/>
        </w:rPr>
      </w:pPr>
      <w:bookmarkStart w:id="8532" w:name="_Toc529704486"/>
      <w:bookmarkStart w:id="8533" w:name="_Toc529738942"/>
      <w:bookmarkStart w:id="8534" w:name="_Toc19390107"/>
      <w:bookmarkStart w:id="8535" w:name="_Toc19393604"/>
      <w:bookmarkStart w:id="8536" w:name="_Toc529352360"/>
      <w:bookmarkStart w:id="8537" w:name="_Toc529444974"/>
      <w:r>
        <w:rPr>
          <w:rFonts w:hint="cs"/>
          <w:rtl/>
        </w:rPr>
        <w:t>דעת הרשב"ם דהגבינות מותרות מדין חזקה</w:t>
      </w:r>
      <w:bookmarkEnd w:id="8532"/>
      <w:bookmarkEnd w:id="8533"/>
      <w:bookmarkEnd w:id="8534"/>
      <w:bookmarkEnd w:id="8535"/>
    </w:p>
    <w:p w14:paraId="1666E027" w14:textId="77777777" w:rsidR="00D95C52" w:rsidRPr="005B228C" w:rsidRDefault="00D95C52" w:rsidP="006D6D32">
      <w:pPr>
        <w:pStyle w:val="a3"/>
        <w:rPr>
          <w:rtl/>
        </w:rPr>
      </w:pPr>
      <w:bookmarkStart w:id="8538" w:name="_Toc529704487"/>
      <w:bookmarkStart w:id="8539" w:name="_Toc529738943"/>
      <w:bookmarkStart w:id="8540" w:name="_Toc19390108"/>
      <w:bookmarkStart w:id="8541" w:name="_Toc19393605"/>
      <w:r>
        <w:rPr>
          <w:rFonts w:hint="cs"/>
          <w:rtl/>
        </w:rPr>
        <w:t>דברי ספר התרומה בשם הרשב"ם דאזלינן בתר חזקה שלא נתבררה בשעתה והגבינות מותרות</w:t>
      </w:r>
      <w:bookmarkEnd w:id="8538"/>
      <w:bookmarkEnd w:id="8539"/>
      <w:bookmarkEnd w:id="8540"/>
      <w:bookmarkEnd w:id="8541"/>
    </w:p>
    <w:p w14:paraId="03B1FA09" w14:textId="77777777" w:rsidR="00D95C52" w:rsidRDefault="00D95C52" w:rsidP="00223668">
      <w:pPr>
        <w:pStyle w:val="a0"/>
        <w:rPr>
          <w:rtl/>
        </w:rPr>
      </w:pPr>
      <w:r>
        <w:rPr>
          <w:rStyle w:val="af9"/>
          <w:rFonts w:hint="cs"/>
          <w:rtl/>
        </w:rPr>
        <w:t>ב</w:t>
      </w:r>
      <w:r w:rsidRPr="00C72DF4">
        <w:rPr>
          <w:rStyle w:val="af9"/>
          <w:rFonts w:hint="cs"/>
          <w:rtl/>
        </w:rPr>
        <w:t>ספר התרומה</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Ref529702488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מה)</w:t>
      </w:r>
      <w:r>
        <w:rPr>
          <w:rStyle w:val="af7"/>
          <w:rFonts w:eastAsia="Guttman Hodes"/>
          <w:rtl/>
        </w:rPr>
        <w:fldChar w:fldCharType="end"/>
      </w:r>
      <w:r>
        <w:rPr>
          <w:rStyle w:val="af7"/>
          <w:rFonts w:eastAsia="Guttman Hodes" w:hint="cs"/>
          <w:rtl/>
        </w:rPr>
        <w:t xml:space="preserve"> </w:t>
      </w:r>
      <w:r>
        <w:rPr>
          <w:rFonts w:hint="cs"/>
          <w:rtl/>
        </w:rPr>
        <w:t xml:space="preserve">הביא בשם </w:t>
      </w:r>
      <w:r w:rsidRPr="006B2D21">
        <w:rPr>
          <w:rStyle w:val="af9"/>
          <w:rFonts w:hint="cs"/>
          <w:rtl/>
        </w:rPr>
        <w:t>הרשב"ם</w:t>
      </w:r>
      <w:r>
        <w:rPr>
          <w:rStyle w:val="af9"/>
          <w:rFonts w:hint="cs"/>
          <w:rtl/>
        </w:rPr>
        <w:t xml:space="preserve"> </w:t>
      </w:r>
      <w:r>
        <w:rPr>
          <w:rFonts w:hint="cs"/>
          <w:rtl/>
        </w:rPr>
        <w:t xml:space="preserve">דאף שקצת נראה דחזקה שלא נתבררה בשעתה אינה חזקה, כדעת </w:t>
      </w:r>
      <w:r w:rsidRPr="00333E35">
        <w:rPr>
          <w:rStyle w:val="af9"/>
          <w:rFonts w:hint="cs"/>
          <w:rtl/>
        </w:rPr>
        <w:t xml:space="preserve">התוס' </w:t>
      </w:r>
      <w:r w:rsidRPr="00333E35">
        <w:rPr>
          <w:rStyle w:val="af7"/>
          <w:rFonts w:eastAsia="Guttman Hodes" w:hint="cs"/>
          <w:rtl/>
        </w:rPr>
        <w:t xml:space="preserve">(עי' אות </w:t>
      </w:r>
      <w:r w:rsidRPr="00333E35">
        <w:rPr>
          <w:rStyle w:val="af7"/>
          <w:rFonts w:eastAsia="Guttman Hodes"/>
          <w:rtl/>
        </w:rPr>
        <w:fldChar w:fldCharType="begin"/>
      </w:r>
      <w:r w:rsidRPr="00333E35">
        <w:rPr>
          <w:rStyle w:val="af7"/>
          <w:rFonts w:eastAsia="Guttman Hodes"/>
          <w:rtl/>
        </w:rPr>
        <w:instrText xml:space="preserve"> </w:instrText>
      </w:r>
      <w:r w:rsidRPr="00333E35">
        <w:rPr>
          <w:rStyle w:val="af7"/>
          <w:rFonts w:eastAsia="Guttman Hodes" w:hint="cs"/>
        </w:rPr>
        <w:instrText>REF</w:instrText>
      </w:r>
      <w:r w:rsidRPr="00333E35">
        <w:rPr>
          <w:rStyle w:val="af7"/>
          <w:rFonts w:eastAsia="Guttman Hodes" w:hint="cs"/>
          <w:rtl/>
        </w:rPr>
        <w:instrText xml:space="preserve"> _</w:instrText>
      </w:r>
      <w:r w:rsidRPr="00333E35">
        <w:rPr>
          <w:rStyle w:val="af7"/>
          <w:rFonts w:eastAsia="Guttman Hodes" w:hint="cs"/>
        </w:rPr>
        <w:instrText>Ref529121640 \r \h</w:instrText>
      </w:r>
      <w:r w:rsidRPr="00333E35">
        <w:rPr>
          <w:rStyle w:val="af7"/>
          <w:rFonts w:eastAsia="Guttman Hodes"/>
          <w:rtl/>
        </w:rPr>
        <w:instrText xml:space="preserve"> </w:instrText>
      </w:r>
      <w:r w:rsidRPr="00333E35">
        <w:rPr>
          <w:rStyle w:val="af7"/>
          <w:rFonts w:eastAsia="Guttman Hodes"/>
          <w:rtl/>
        </w:rPr>
      </w:r>
      <w:r w:rsidRPr="00333E35">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333E35">
        <w:rPr>
          <w:rStyle w:val="af7"/>
          <w:rFonts w:eastAsia="Guttman Hodes"/>
          <w:rtl/>
        </w:rPr>
        <w:fldChar w:fldCharType="end"/>
      </w:r>
      <w:r>
        <w:rPr>
          <w:rFonts w:hint="cs"/>
          <w:rtl/>
        </w:rPr>
        <w:t xml:space="preserve">, מ"מ ס"ל </w:t>
      </w:r>
      <w:r w:rsidRPr="00275BDE">
        <w:rPr>
          <w:rStyle w:val="af9"/>
          <w:rFonts w:hint="cs"/>
          <w:rtl/>
        </w:rPr>
        <w:t>להרשב"ם</w:t>
      </w:r>
      <w:r>
        <w:rPr>
          <w:rFonts w:hint="cs"/>
          <w:rtl/>
        </w:rPr>
        <w:t xml:space="preserve"> דיש לסמוך על החזקה ולהתיר, וכן מבואר </w:t>
      </w:r>
      <w:r w:rsidRPr="003A5BCB">
        <w:rPr>
          <w:rStyle w:val="af9"/>
          <w:rFonts w:hint="cs"/>
          <w:rtl/>
        </w:rPr>
        <w:t>במרדכי</w:t>
      </w:r>
      <w:r>
        <w:rPr>
          <w:rFonts w:hint="cs"/>
          <w:rtl/>
        </w:rPr>
        <w:t xml:space="preserve"> </w:t>
      </w:r>
      <w:r w:rsidRPr="00436225">
        <w:rPr>
          <w:rStyle w:val="af7"/>
          <w:rFonts w:eastAsia="Guttman Hodes" w:hint="cs"/>
          <w:rtl/>
        </w:rPr>
        <w:t xml:space="preserve">(עי' אות </w:t>
      </w:r>
      <w:r w:rsidRPr="00436225">
        <w:rPr>
          <w:rStyle w:val="af7"/>
          <w:rFonts w:eastAsia="Guttman Hodes"/>
          <w:rtl/>
        </w:rPr>
        <w:fldChar w:fldCharType="begin"/>
      </w:r>
      <w:r w:rsidRPr="00436225">
        <w:rPr>
          <w:rStyle w:val="af7"/>
          <w:rFonts w:eastAsia="Guttman Hodes"/>
          <w:rtl/>
        </w:rPr>
        <w:instrText xml:space="preserve"> </w:instrText>
      </w:r>
      <w:r w:rsidRPr="00436225">
        <w:rPr>
          <w:rStyle w:val="af7"/>
          <w:rFonts w:eastAsia="Guttman Hodes" w:hint="cs"/>
        </w:rPr>
        <w:instrText>REF</w:instrText>
      </w:r>
      <w:r w:rsidRPr="00436225">
        <w:rPr>
          <w:rStyle w:val="af7"/>
          <w:rFonts w:eastAsia="Guttman Hodes" w:hint="cs"/>
          <w:rtl/>
        </w:rPr>
        <w:instrText xml:space="preserve"> _</w:instrText>
      </w:r>
      <w:r w:rsidRPr="00436225">
        <w:rPr>
          <w:rStyle w:val="af7"/>
          <w:rFonts w:eastAsia="Guttman Hodes" w:hint="cs"/>
        </w:rPr>
        <w:instrText>Ref529702536 \r \h</w:instrText>
      </w:r>
      <w:r w:rsidRPr="00436225">
        <w:rPr>
          <w:rStyle w:val="af7"/>
          <w:rFonts w:eastAsia="Guttman Hodes"/>
          <w:rtl/>
        </w:rPr>
        <w:instrText xml:space="preserve"> </w:instrText>
      </w:r>
      <w:r w:rsidRPr="00436225">
        <w:rPr>
          <w:rStyle w:val="af7"/>
          <w:rFonts w:eastAsia="Guttman Hodes"/>
          <w:rtl/>
        </w:rPr>
      </w:r>
      <w:r w:rsidRPr="00436225">
        <w:rPr>
          <w:rStyle w:val="af7"/>
          <w:rFonts w:eastAsia="Guttman Hodes"/>
          <w:rtl/>
        </w:rPr>
        <w:fldChar w:fldCharType="separate"/>
      </w:r>
      <w:r w:rsidR="00345400">
        <w:rPr>
          <w:rStyle w:val="af7"/>
          <w:rFonts w:eastAsia="Guttman Hodes"/>
          <w:cs/>
        </w:rPr>
        <w:t>‎</w:t>
      </w:r>
      <w:r w:rsidR="00345400">
        <w:rPr>
          <w:rStyle w:val="af7"/>
          <w:rFonts w:eastAsia="Guttman Hodes"/>
          <w:rtl/>
        </w:rPr>
        <w:t>מז)</w:t>
      </w:r>
      <w:r w:rsidRPr="00436225">
        <w:rPr>
          <w:rStyle w:val="af7"/>
          <w:rFonts w:eastAsia="Guttman Hodes"/>
          <w:rtl/>
        </w:rPr>
        <w:fldChar w:fldCharType="end"/>
      </w:r>
      <w:r>
        <w:rPr>
          <w:rFonts w:hint="cs"/>
          <w:rtl/>
        </w:rPr>
        <w:t xml:space="preserve"> </w:t>
      </w:r>
      <w:r w:rsidRPr="003A5BCB">
        <w:rPr>
          <w:rStyle w:val="af9"/>
          <w:rFonts w:hint="cs"/>
          <w:rtl/>
        </w:rPr>
        <w:t>ובסמ"ג</w:t>
      </w:r>
      <w:r>
        <w:rPr>
          <w:rFonts w:hint="cs"/>
          <w:rtl/>
        </w:rPr>
        <w:t xml:space="preserve"> </w:t>
      </w:r>
      <w:r w:rsidRPr="003A5BCB">
        <w:rPr>
          <w:rStyle w:val="af9"/>
          <w:rFonts w:hint="cs"/>
          <w:rtl/>
        </w:rPr>
        <w:t>וברוקח</w:t>
      </w:r>
      <w:r>
        <w:rPr>
          <w:rFonts w:hint="cs"/>
          <w:rtl/>
        </w:rPr>
        <w:t xml:space="preserve"> </w:t>
      </w:r>
      <w:r w:rsidRPr="00436225">
        <w:rPr>
          <w:rStyle w:val="af7"/>
          <w:rFonts w:eastAsia="Guttman Hodes" w:hint="cs"/>
          <w:rtl/>
        </w:rPr>
        <w:t>(עי' הערה</w:t>
      </w:r>
      <w:r w:rsidRPr="00436225">
        <w:rPr>
          <w:vertAlign w:val="superscript"/>
          <w:rtl/>
        </w:rPr>
        <w:fldChar w:fldCharType="begin"/>
      </w:r>
      <w:r w:rsidRPr="00436225">
        <w:rPr>
          <w:vertAlign w:val="superscript"/>
          <w:rtl/>
        </w:rPr>
        <w:instrText xml:space="preserve"> </w:instrText>
      </w:r>
      <w:r w:rsidRPr="00436225">
        <w:rPr>
          <w:rFonts w:hint="cs"/>
          <w:vertAlign w:val="superscript"/>
        </w:rPr>
        <w:instrText>NOTEREF</w:instrText>
      </w:r>
      <w:r w:rsidRPr="00436225">
        <w:rPr>
          <w:rFonts w:hint="cs"/>
          <w:vertAlign w:val="superscript"/>
          <w:rtl/>
        </w:rPr>
        <w:instrText xml:space="preserve"> _</w:instrText>
      </w:r>
      <w:r w:rsidRPr="00436225">
        <w:rPr>
          <w:rFonts w:hint="cs"/>
          <w:vertAlign w:val="superscript"/>
        </w:rPr>
        <w:instrText>Ref529702433 \h</w:instrText>
      </w:r>
      <w:r w:rsidRPr="00436225">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36225">
        <w:rPr>
          <w:vertAlign w:val="superscript"/>
          <w:rtl/>
        </w:rPr>
      </w:r>
      <w:r w:rsidRPr="00436225">
        <w:rPr>
          <w:vertAlign w:val="superscript"/>
          <w:rtl/>
        </w:rPr>
        <w:fldChar w:fldCharType="separate"/>
      </w:r>
      <w:r w:rsidR="00345400">
        <w:rPr>
          <w:vertAlign w:val="superscript"/>
          <w:rtl/>
        </w:rPr>
        <w:t>62</w:t>
      </w:r>
      <w:r w:rsidRPr="00436225">
        <w:rPr>
          <w:vertAlign w:val="superscript"/>
          <w:rtl/>
        </w:rPr>
        <w:fldChar w:fldCharType="end"/>
      </w:r>
      <w:r w:rsidRPr="00436225">
        <w:rPr>
          <w:rStyle w:val="af7"/>
          <w:rFonts w:eastAsia="Guttman Hodes" w:hint="cs"/>
          <w:rtl/>
        </w:rPr>
        <w:t>)</w:t>
      </w:r>
      <w:r>
        <w:rPr>
          <w:rFonts w:hint="cs"/>
          <w:rtl/>
        </w:rPr>
        <w:t>.</w:t>
      </w:r>
    </w:p>
    <w:p w14:paraId="5DD1D1C8" w14:textId="77777777" w:rsidR="00D95C52" w:rsidRPr="003938A9" w:rsidRDefault="00D95C52" w:rsidP="006D6D32">
      <w:pPr>
        <w:pStyle w:val="a3"/>
      </w:pPr>
      <w:bookmarkStart w:id="8542" w:name="_Toc529738944"/>
      <w:bookmarkStart w:id="8543" w:name="_Toc19390109"/>
      <w:bookmarkStart w:id="8544" w:name="_Toc19393606"/>
      <w:r>
        <w:rPr>
          <w:rFonts w:hint="cs"/>
          <w:rtl/>
        </w:rPr>
        <w:t>דברי השערי דורא [ברשב"ם] דההיתר בגבינות הוא כיון שהרוב מברר את החזקה</w:t>
      </w:r>
      <w:bookmarkEnd w:id="8542"/>
      <w:bookmarkEnd w:id="8543"/>
      <w:bookmarkEnd w:id="8544"/>
    </w:p>
    <w:p w14:paraId="5569CD6E" w14:textId="77777777" w:rsidR="00D95C52" w:rsidRPr="00B666A9" w:rsidRDefault="00D95C52" w:rsidP="00223668">
      <w:pPr>
        <w:pStyle w:val="a0"/>
        <w:rPr>
          <w:rtl/>
        </w:rPr>
      </w:pPr>
      <w:r w:rsidRPr="00B666A9">
        <w:rPr>
          <w:rFonts w:hint="cs"/>
          <w:rtl/>
        </w:rPr>
        <w:t xml:space="preserve">אמנם </w:t>
      </w:r>
      <w:r w:rsidRPr="003A5BCB">
        <w:rPr>
          <w:rStyle w:val="af9"/>
          <w:rFonts w:hint="cs"/>
          <w:rtl/>
        </w:rPr>
        <w:t>בשערי דורא</w:t>
      </w:r>
      <w:r w:rsidRPr="00B666A9">
        <w:rPr>
          <w:rFonts w:hint="cs"/>
          <w:rtl/>
        </w:rPr>
        <w:t xml:space="preserve"> </w:t>
      </w:r>
      <w:r w:rsidRPr="00C63ACE">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Ref529379576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נ)</w:t>
      </w:r>
      <w:r>
        <w:rPr>
          <w:rStyle w:val="af7"/>
          <w:rFonts w:eastAsia="Guttman Hodes"/>
          <w:rtl/>
        </w:rPr>
        <w:fldChar w:fldCharType="end"/>
      </w:r>
      <w:r>
        <w:rPr>
          <w:rFonts w:hint="cs"/>
          <w:rtl/>
        </w:rPr>
        <w:t xml:space="preserve"> </w:t>
      </w:r>
      <w:r w:rsidRPr="00B666A9">
        <w:rPr>
          <w:rFonts w:hint="cs"/>
          <w:rtl/>
        </w:rPr>
        <w:t xml:space="preserve">הביא את דברי </w:t>
      </w:r>
      <w:r w:rsidRPr="003A5BCB">
        <w:rPr>
          <w:rStyle w:val="af9"/>
          <w:rFonts w:hint="cs"/>
          <w:rtl/>
        </w:rPr>
        <w:t>הרשב"ם</w:t>
      </w:r>
      <w:r w:rsidRPr="00B666A9">
        <w:rPr>
          <w:rFonts w:hint="cs"/>
          <w:rtl/>
        </w:rPr>
        <w:t xml:space="preserve">, ובהמשך דבריו </w:t>
      </w:r>
      <w:r>
        <w:rPr>
          <w:rFonts w:hint="cs"/>
          <w:rtl/>
        </w:rPr>
        <w:t>כתב</w:t>
      </w:r>
      <w:r w:rsidRPr="00B666A9">
        <w:rPr>
          <w:rFonts w:hint="cs"/>
          <w:rtl/>
        </w:rPr>
        <w:t xml:space="preserve"> </w:t>
      </w:r>
      <w:r>
        <w:rPr>
          <w:rStyle w:val="af9"/>
          <w:rFonts w:hint="cs"/>
          <w:rtl/>
        </w:rPr>
        <w:t>ה</w:t>
      </w:r>
      <w:r w:rsidRPr="003A5BCB">
        <w:rPr>
          <w:rStyle w:val="af9"/>
          <w:rFonts w:hint="cs"/>
          <w:rtl/>
        </w:rPr>
        <w:t>שערי דורא</w:t>
      </w:r>
      <w:r w:rsidRPr="00B666A9">
        <w:rPr>
          <w:rFonts w:hint="cs"/>
          <w:rtl/>
        </w:rPr>
        <w:t xml:space="preserve"> </w:t>
      </w:r>
      <w:r w:rsidRPr="00850A7B">
        <w:rPr>
          <w:rStyle w:val="af7"/>
          <w:rFonts w:eastAsia="Guttman Hodes" w:hint="cs"/>
          <w:rtl/>
        </w:rPr>
        <w:t xml:space="preserve">(עי' אות </w:t>
      </w:r>
      <w:r w:rsidRPr="00850A7B">
        <w:rPr>
          <w:rStyle w:val="af7"/>
          <w:rFonts w:eastAsia="Guttman Hodes"/>
          <w:rtl/>
        </w:rPr>
        <w:fldChar w:fldCharType="begin"/>
      </w:r>
      <w:r w:rsidRPr="00850A7B">
        <w:rPr>
          <w:rStyle w:val="af7"/>
          <w:rFonts w:eastAsia="Guttman Hodes"/>
          <w:rtl/>
        </w:rPr>
        <w:instrText xml:space="preserve"> </w:instrText>
      </w:r>
      <w:r w:rsidRPr="00850A7B">
        <w:rPr>
          <w:rStyle w:val="af7"/>
          <w:rFonts w:eastAsia="Guttman Hodes" w:hint="cs"/>
        </w:rPr>
        <w:instrText>REF</w:instrText>
      </w:r>
      <w:r w:rsidRPr="00850A7B">
        <w:rPr>
          <w:rStyle w:val="af7"/>
          <w:rFonts w:eastAsia="Guttman Hodes" w:hint="cs"/>
          <w:rtl/>
        </w:rPr>
        <w:instrText xml:space="preserve"> _</w:instrText>
      </w:r>
      <w:r w:rsidRPr="00850A7B">
        <w:rPr>
          <w:rStyle w:val="af7"/>
          <w:rFonts w:eastAsia="Guttman Hodes" w:hint="cs"/>
        </w:rPr>
        <w:instrText>Ref522618918 \r \h</w:instrText>
      </w:r>
      <w:r w:rsidRPr="00850A7B">
        <w:rPr>
          <w:rStyle w:val="af7"/>
          <w:rFonts w:eastAsia="Guttman Hodes"/>
          <w:rtl/>
        </w:rPr>
        <w:instrText xml:space="preserve"> </w:instrText>
      </w:r>
      <w:r w:rsidRPr="00850A7B">
        <w:rPr>
          <w:rStyle w:val="af7"/>
          <w:rFonts w:eastAsia="Guttman Hodes"/>
          <w:rtl/>
        </w:rPr>
      </w:r>
      <w:r w:rsidRPr="00850A7B">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850A7B">
        <w:rPr>
          <w:rStyle w:val="af7"/>
          <w:rFonts w:eastAsia="Guttman Hodes"/>
          <w:rtl/>
        </w:rPr>
        <w:fldChar w:fldCharType="end"/>
      </w:r>
      <w:r>
        <w:rPr>
          <w:rFonts w:hint="cs"/>
          <w:rtl/>
        </w:rPr>
        <w:t xml:space="preserve"> דאף דלא אזלינן בתר חזקה שלא נתבררה בשעתה, מ"מ הכא ע"י הרוב חשיב שהחזקה נתבררה בשעתה, וכתבו </w:t>
      </w:r>
      <w:r w:rsidRPr="003A5BCB">
        <w:rPr>
          <w:rStyle w:val="af9"/>
          <w:rFonts w:hint="cs"/>
          <w:rtl/>
        </w:rPr>
        <w:t>השערי תורה והתורת יקותיאל</w:t>
      </w:r>
      <w:r>
        <w:rPr>
          <w:rFonts w:hint="cs"/>
          <w:rtl/>
        </w:rPr>
        <w:t xml:space="preserve"> </w:t>
      </w:r>
      <w:r w:rsidRPr="00C63ACE">
        <w:rPr>
          <w:rStyle w:val="af7"/>
          <w:rFonts w:eastAsia="Guttman Hodes" w:hint="cs"/>
          <w:rtl/>
        </w:rPr>
        <w:t xml:space="preserve">(עי' אות </w:t>
      </w:r>
      <w:r w:rsidRPr="00C63ACE">
        <w:rPr>
          <w:rStyle w:val="af7"/>
          <w:rFonts w:eastAsia="Guttman Hodes"/>
          <w:rtl/>
        </w:rPr>
        <w:fldChar w:fldCharType="begin"/>
      </w:r>
      <w:r w:rsidRPr="00C63ACE">
        <w:rPr>
          <w:rStyle w:val="af7"/>
          <w:rFonts w:eastAsia="Guttman Hodes"/>
          <w:rtl/>
        </w:rPr>
        <w:instrText xml:space="preserve"> </w:instrText>
      </w:r>
      <w:r w:rsidRPr="00C63ACE">
        <w:rPr>
          <w:rStyle w:val="af7"/>
          <w:rFonts w:eastAsia="Guttman Hodes" w:hint="cs"/>
        </w:rPr>
        <w:instrText>REF</w:instrText>
      </w:r>
      <w:r w:rsidRPr="00C63ACE">
        <w:rPr>
          <w:rStyle w:val="af7"/>
          <w:rFonts w:eastAsia="Guttman Hodes" w:hint="cs"/>
          <w:rtl/>
        </w:rPr>
        <w:instrText xml:space="preserve"> _</w:instrText>
      </w:r>
      <w:r w:rsidRPr="00C63ACE">
        <w:rPr>
          <w:rStyle w:val="af7"/>
          <w:rFonts w:eastAsia="Guttman Hodes" w:hint="cs"/>
        </w:rPr>
        <w:instrText>Ref529702639 \r \h</w:instrText>
      </w:r>
      <w:r w:rsidRPr="00C63ACE">
        <w:rPr>
          <w:rStyle w:val="af7"/>
          <w:rFonts w:eastAsia="Guttman Hodes"/>
          <w:rtl/>
        </w:rPr>
        <w:instrText xml:space="preserve"> </w:instrText>
      </w:r>
      <w:r w:rsidRPr="00C63ACE">
        <w:rPr>
          <w:rStyle w:val="af7"/>
          <w:rFonts w:eastAsia="Guttman Hodes"/>
          <w:rtl/>
        </w:rPr>
      </w:r>
      <w:r w:rsidRPr="00C63ACE">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C63ACE">
        <w:rPr>
          <w:rStyle w:val="af7"/>
          <w:rFonts w:eastAsia="Guttman Hodes"/>
          <w:rtl/>
        </w:rPr>
        <w:fldChar w:fldCharType="end"/>
      </w:r>
      <w:r>
        <w:rPr>
          <w:rFonts w:hint="cs"/>
          <w:rtl/>
        </w:rPr>
        <w:t xml:space="preserve"> </w:t>
      </w:r>
      <w:r w:rsidRPr="003A5BCB">
        <w:rPr>
          <w:rStyle w:val="af9"/>
          <w:rFonts w:hint="cs"/>
          <w:rtl/>
        </w:rPr>
        <w:t>דהשערי דורא</w:t>
      </w:r>
      <w:r>
        <w:rPr>
          <w:rFonts w:hint="cs"/>
          <w:rtl/>
        </w:rPr>
        <w:t xml:space="preserve"> ביאר </w:t>
      </w:r>
      <w:r w:rsidRPr="003A5BCB">
        <w:rPr>
          <w:rStyle w:val="af9"/>
          <w:rFonts w:hint="cs"/>
          <w:rtl/>
        </w:rPr>
        <w:t>ברשב"ם</w:t>
      </w:r>
      <w:r>
        <w:rPr>
          <w:rFonts w:hint="cs"/>
          <w:rtl/>
        </w:rPr>
        <w:t xml:space="preserve"> דההיתר הוא מדין חזקה מכח רוב, וכדעת </w:t>
      </w:r>
      <w:r w:rsidRPr="003A5BCB">
        <w:rPr>
          <w:rStyle w:val="af9"/>
          <w:rFonts w:hint="cs"/>
          <w:rtl/>
        </w:rPr>
        <w:t>הרשב"א</w:t>
      </w:r>
      <w:r>
        <w:rPr>
          <w:rFonts w:hint="cs"/>
          <w:rtl/>
        </w:rPr>
        <w:t xml:space="preserve"> </w:t>
      </w:r>
      <w:r w:rsidRPr="00C63ACE">
        <w:rPr>
          <w:rStyle w:val="af7"/>
          <w:rFonts w:eastAsia="Guttman Hodes" w:hint="cs"/>
          <w:rtl/>
        </w:rPr>
        <w:t xml:space="preserve">(עי' אות </w:t>
      </w:r>
      <w:r w:rsidRPr="00C63ACE">
        <w:rPr>
          <w:rStyle w:val="af7"/>
          <w:rFonts w:eastAsia="Guttman Hodes"/>
          <w:rtl/>
        </w:rPr>
        <w:fldChar w:fldCharType="begin"/>
      </w:r>
      <w:r w:rsidRPr="00C63ACE">
        <w:rPr>
          <w:rStyle w:val="af7"/>
          <w:rFonts w:eastAsia="Guttman Hodes"/>
          <w:rtl/>
        </w:rPr>
        <w:instrText xml:space="preserve"> </w:instrText>
      </w:r>
      <w:r w:rsidRPr="00C63ACE">
        <w:rPr>
          <w:rStyle w:val="af7"/>
          <w:rFonts w:eastAsia="Guttman Hodes" w:hint="cs"/>
        </w:rPr>
        <w:instrText>REF</w:instrText>
      </w:r>
      <w:r w:rsidRPr="00C63ACE">
        <w:rPr>
          <w:rStyle w:val="af7"/>
          <w:rFonts w:eastAsia="Guttman Hodes" w:hint="cs"/>
          <w:rtl/>
        </w:rPr>
        <w:instrText xml:space="preserve"> _</w:instrText>
      </w:r>
      <w:r w:rsidRPr="00C63ACE">
        <w:rPr>
          <w:rStyle w:val="af7"/>
          <w:rFonts w:eastAsia="Guttman Hodes" w:hint="cs"/>
        </w:rPr>
        <w:instrText>Ref529129544 \r \h</w:instrText>
      </w:r>
      <w:r w:rsidRPr="00C63ACE">
        <w:rPr>
          <w:rStyle w:val="af7"/>
          <w:rFonts w:eastAsia="Guttman Hodes"/>
          <w:rtl/>
        </w:rPr>
        <w:instrText xml:space="preserve"> </w:instrText>
      </w:r>
      <w:r w:rsidRPr="00C63ACE">
        <w:rPr>
          <w:rStyle w:val="af7"/>
          <w:rFonts w:eastAsia="Guttman Hodes"/>
          <w:rtl/>
        </w:rPr>
      </w:r>
      <w:r w:rsidRPr="00C63ACE">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C63ACE">
        <w:rPr>
          <w:rStyle w:val="af7"/>
          <w:rFonts w:eastAsia="Guttman Hodes"/>
          <w:rtl/>
        </w:rPr>
        <w:fldChar w:fldCharType="end"/>
      </w:r>
      <w:r>
        <w:rPr>
          <w:rFonts w:hint="cs"/>
          <w:rtl/>
        </w:rPr>
        <w:t xml:space="preserve">, וכ"כ </w:t>
      </w:r>
      <w:r w:rsidRPr="003938A9">
        <w:rPr>
          <w:rStyle w:val="af9"/>
          <w:rFonts w:hint="cs"/>
          <w:rtl/>
        </w:rPr>
        <w:t>המהרי"ק</w:t>
      </w:r>
      <w:r>
        <w:rPr>
          <w:rFonts w:hint="cs"/>
          <w:rtl/>
        </w:rPr>
        <w:t xml:space="preserve"> </w:t>
      </w:r>
      <w:r w:rsidRPr="00436225">
        <w:rPr>
          <w:rStyle w:val="af7"/>
          <w:rFonts w:eastAsia="Guttman Hodes" w:hint="cs"/>
          <w:rtl/>
        </w:rPr>
        <w:t>(עי' הערה</w:t>
      </w:r>
      <w:r w:rsidRPr="00436225">
        <w:rPr>
          <w:vertAlign w:val="superscript"/>
          <w:rtl/>
        </w:rPr>
        <w:fldChar w:fldCharType="begin"/>
      </w:r>
      <w:r w:rsidRPr="00436225">
        <w:rPr>
          <w:vertAlign w:val="superscript"/>
          <w:rtl/>
        </w:rPr>
        <w:instrText xml:space="preserve"> </w:instrText>
      </w:r>
      <w:r w:rsidRPr="00436225">
        <w:rPr>
          <w:rFonts w:hint="cs"/>
          <w:vertAlign w:val="superscript"/>
        </w:rPr>
        <w:instrText>NOTEREF</w:instrText>
      </w:r>
      <w:r w:rsidRPr="00436225">
        <w:rPr>
          <w:rFonts w:hint="cs"/>
          <w:vertAlign w:val="superscript"/>
          <w:rtl/>
        </w:rPr>
        <w:instrText xml:space="preserve"> _</w:instrText>
      </w:r>
      <w:r w:rsidRPr="00436225">
        <w:rPr>
          <w:rFonts w:hint="cs"/>
          <w:vertAlign w:val="superscript"/>
        </w:rPr>
        <w:instrText>Ref529702433 \h</w:instrText>
      </w:r>
      <w:r w:rsidRPr="00436225">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36225">
        <w:rPr>
          <w:vertAlign w:val="superscript"/>
          <w:rtl/>
        </w:rPr>
      </w:r>
      <w:r w:rsidRPr="00436225">
        <w:rPr>
          <w:vertAlign w:val="superscript"/>
          <w:rtl/>
        </w:rPr>
        <w:fldChar w:fldCharType="separate"/>
      </w:r>
      <w:r w:rsidR="00345400">
        <w:rPr>
          <w:vertAlign w:val="superscript"/>
          <w:rtl/>
        </w:rPr>
        <w:t>62</w:t>
      </w:r>
      <w:r w:rsidRPr="00436225">
        <w:rPr>
          <w:vertAlign w:val="superscript"/>
          <w:rtl/>
        </w:rPr>
        <w:fldChar w:fldCharType="end"/>
      </w:r>
      <w:r w:rsidRPr="00436225">
        <w:rPr>
          <w:rStyle w:val="af7"/>
          <w:rFonts w:eastAsia="Guttman Hodes" w:hint="cs"/>
          <w:rtl/>
        </w:rPr>
        <w:t>)</w:t>
      </w:r>
      <w:r>
        <w:rPr>
          <w:rFonts w:hint="cs"/>
          <w:rtl/>
        </w:rPr>
        <w:t>.</w:t>
      </w:r>
      <w:r w:rsidRPr="0005716F">
        <w:rPr>
          <w:rFonts w:hint="cs"/>
          <w:rtl/>
        </w:rPr>
        <w:t xml:space="preserve"> </w:t>
      </w:r>
      <w:r>
        <w:rPr>
          <w:rFonts w:hint="cs"/>
          <w:rtl/>
        </w:rPr>
        <w:t xml:space="preserve">בדעת </w:t>
      </w:r>
      <w:r w:rsidRPr="003938A9">
        <w:rPr>
          <w:rStyle w:val="af9"/>
          <w:rFonts w:hint="cs"/>
          <w:rtl/>
        </w:rPr>
        <w:t>הסמ"ג</w:t>
      </w:r>
      <w:r w:rsidRPr="00C571EF">
        <w:rPr>
          <w:rStyle w:val="af1"/>
          <w:rtl/>
        </w:rPr>
        <w:footnoteReference w:id="58"/>
      </w:r>
      <w:r w:rsidRPr="00B666A9">
        <w:rPr>
          <w:rFonts w:hint="cs"/>
          <w:rtl/>
        </w:rPr>
        <w:t>.</w:t>
      </w:r>
    </w:p>
    <w:p w14:paraId="56FAE4C1" w14:textId="77777777" w:rsidR="00D95C52" w:rsidRDefault="00D95C52" w:rsidP="00BF39B2">
      <w:pPr>
        <w:pStyle w:val="1"/>
        <w:rPr>
          <w:rtl/>
        </w:rPr>
      </w:pPr>
      <w:bookmarkStart w:id="8545" w:name="_Toc529704488"/>
      <w:bookmarkStart w:id="8546" w:name="_Toc529738945"/>
      <w:bookmarkStart w:id="8547" w:name="_Toc19390110"/>
      <w:bookmarkStart w:id="8548" w:name="_Toc19393607"/>
      <w:r>
        <w:rPr>
          <w:rFonts w:hint="cs"/>
          <w:rtl/>
        </w:rPr>
        <w:t>פלוגתת המהרי"ט והנוב"י בגדר חזקה שלא נבררה בשעתה</w:t>
      </w:r>
      <w:bookmarkEnd w:id="8536"/>
      <w:bookmarkEnd w:id="8537"/>
      <w:bookmarkEnd w:id="8545"/>
      <w:bookmarkEnd w:id="8546"/>
      <w:bookmarkEnd w:id="8547"/>
      <w:bookmarkEnd w:id="8548"/>
    </w:p>
    <w:p w14:paraId="72269A40" w14:textId="77777777" w:rsidR="00D95C52" w:rsidRDefault="00D95C52" w:rsidP="006D6D32">
      <w:pPr>
        <w:pStyle w:val="a3"/>
        <w:rPr>
          <w:rtl/>
        </w:rPr>
      </w:pPr>
      <w:bookmarkStart w:id="8549" w:name="_Toc529352361"/>
      <w:bookmarkStart w:id="8550" w:name="_Toc529444975"/>
      <w:bookmarkStart w:id="8551" w:name="_Toc529704489"/>
      <w:bookmarkStart w:id="8552" w:name="_Toc529738946"/>
      <w:bookmarkStart w:id="8553" w:name="_Toc19390111"/>
      <w:bookmarkStart w:id="8554" w:name="_Toc19393608"/>
      <w:r>
        <w:rPr>
          <w:rFonts w:hint="cs"/>
          <w:rtl/>
        </w:rPr>
        <w:t>דברי המהרי"ט דבנגע בא' בלילה שלא ראינו שהיה חי מוכח דאין לו חזקת חי דלא נתבררה בשעתה</w:t>
      </w:r>
      <w:bookmarkEnd w:id="8549"/>
      <w:bookmarkEnd w:id="8550"/>
      <w:bookmarkEnd w:id="8551"/>
      <w:bookmarkEnd w:id="8552"/>
      <w:bookmarkEnd w:id="8553"/>
      <w:bookmarkEnd w:id="8554"/>
    </w:p>
    <w:p w14:paraId="4DF876CB" w14:textId="77777777" w:rsidR="00D95C52" w:rsidRDefault="00D95C52" w:rsidP="00223668">
      <w:pPr>
        <w:pStyle w:val="a0"/>
        <w:rPr>
          <w:rtl/>
        </w:rPr>
      </w:pPr>
      <w:r w:rsidRPr="00F253A1">
        <w:rPr>
          <w:rStyle w:val="af9"/>
          <w:rFonts w:hint="cs"/>
          <w:rtl/>
        </w:rPr>
        <w:t xml:space="preserve">המהרי"ט </w:t>
      </w:r>
      <w:r w:rsidRPr="00CB70CB">
        <w:rPr>
          <w:rStyle w:val="af7"/>
          <w:rFonts w:eastAsia="Guttman Hodes" w:hint="cs"/>
          <w:rtl/>
        </w:rPr>
        <w:t xml:space="preserve">(ח"א סי' ל"ז ד"ה וא"ת) </w:t>
      </w:r>
      <w:r w:rsidRPr="008A6119">
        <w:rPr>
          <w:rStyle w:val="af9"/>
          <w:rFonts w:hint="cs"/>
          <w:rtl/>
        </w:rPr>
        <w:t>והנודע ביהודה</w:t>
      </w:r>
      <w:r>
        <w:rPr>
          <w:rFonts w:hint="cs"/>
          <w:rtl/>
        </w:rPr>
        <w:t xml:space="preserve"> </w:t>
      </w:r>
      <w:r w:rsidRPr="008A6119">
        <w:rPr>
          <w:rStyle w:val="af7"/>
          <w:rFonts w:eastAsia="Guttman Hodes" w:hint="cs"/>
          <w:rtl/>
        </w:rPr>
        <w:t>(מהדו"ק אבהע"ז סי' ל"א ד"ה והנה הב"ש)</w:t>
      </w:r>
      <w:r>
        <w:rPr>
          <w:rFonts w:hint="cs"/>
          <w:rtl/>
        </w:rPr>
        <w:t xml:space="preserve"> הביאו ראיה לדברי </w:t>
      </w:r>
      <w:r w:rsidRPr="00F253A1">
        <w:rPr>
          <w:rStyle w:val="af9"/>
          <w:rFonts w:hint="cs"/>
          <w:rtl/>
        </w:rPr>
        <w:t xml:space="preserve">התוס' </w:t>
      </w:r>
      <w:r>
        <w:rPr>
          <w:rFonts w:hint="cs"/>
          <w:rtl/>
        </w:rPr>
        <w:t xml:space="preserve">דאין מעמידים על חזקה שלא נתבררה בשעתה, מהגמ' בנדה </w:t>
      </w:r>
      <w:r w:rsidRPr="00CB70CB">
        <w:rPr>
          <w:rStyle w:val="af7"/>
          <w:rFonts w:eastAsia="Guttman Hodes" w:hint="cs"/>
          <w:rtl/>
        </w:rPr>
        <w:t>(ד.</w:t>
      </w:r>
      <w:r>
        <w:rPr>
          <w:rStyle w:val="af7"/>
          <w:rFonts w:eastAsia="Guttman Hodes" w:hint="cs"/>
          <w:rtl/>
        </w:rPr>
        <w:t>, טהרות פ"ה מ"ז</w:t>
      </w:r>
      <w:r w:rsidRPr="00CB70CB">
        <w:rPr>
          <w:rStyle w:val="af7"/>
          <w:rFonts w:eastAsia="Guttman Hodes" w:hint="cs"/>
          <w:rtl/>
        </w:rPr>
        <w:t xml:space="preserve">) </w:t>
      </w:r>
      <w:r>
        <w:rPr>
          <w:rFonts w:hint="cs"/>
          <w:rtl/>
        </w:rPr>
        <w:t>בנגע בא' בלילה ולא ידע אם הוא חי או מת, ולמחר מצאו מת, דר"מ מטהר וחכמים מטמאים, ומודים חכמים לר"מ דאם ראוהו חי מבערב, דיש לו חזקת טהרה, ומבואר דכל שלא ראוהו חי מבערב, אין לו חזקת טהרה אף שודאי לנו שהיה חי לפני כן, והייתה לו חזקת חיים, מ"מ כיון שאנו לא ראינו אותו, לפני שנגע בו, ורק למפרע נתבררה החזקה, חשיב חזקה שלא נתבררה בשעתה, ואין לו חזקת טהרה, משא"כ היכא דראוהו חי מבערב, דמיד בשעה שנולד הספק כשנגע בו בלילה, מעמידים אותו בחזקת חי, ויש לו חזקת טהרה.</w:t>
      </w:r>
    </w:p>
    <w:p w14:paraId="4FF2392A" w14:textId="77777777" w:rsidR="00D95C52" w:rsidRPr="00C73B92" w:rsidRDefault="00D95C52" w:rsidP="006D6D32">
      <w:pPr>
        <w:pStyle w:val="a3"/>
        <w:rPr>
          <w:rtl/>
        </w:rPr>
      </w:pPr>
      <w:bookmarkStart w:id="8555" w:name="_Toc529352362"/>
      <w:bookmarkStart w:id="8556" w:name="_Toc529444976"/>
      <w:bookmarkStart w:id="8557" w:name="_Toc529704490"/>
      <w:bookmarkStart w:id="8558" w:name="_Toc529738947"/>
      <w:bookmarkStart w:id="8559" w:name="_Toc19390112"/>
      <w:bookmarkStart w:id="8560" w:name="_Toc19393609"/>
      <w:r>
        <w:rPr>
          <w:rFonts w:hint="cs"/>
          <w:rtl/>
        </w:rPr>
        <w:t>דחיית הנוב"י דמבקום שודאי הייתה לו חזקה אלא שלא ידענו ממנה חשיב נתבררה בשעתה</w:t>
      </w:r>
      <w:bookmarkEnd w:id="8555"/>
      <w:bookmarkEnd w:id="8556"/>
      <w:bookmarkEnd w:id="8557"/>
      <w:bookmarkEnd w:id="8558"/>
      <w:bookmarkEnd w:id="8559"/>
      <w:bookmarkEnd w:id="8560"/>
    </w:p>
    <w:p w14:paraId="1A87DDEC" w14:textId="77777777" w:rsidR="00D95C52" w:rsidRDefault="00D95C52" w:rsidP="00223668">
      <w:pPr>
        <w:pStyle w:val="a0"/>
        <w:rPr>
          <w:rtl/>
        </w:rPr>
      </w:pPr>
      <w:r>
        <w:rPr>
          <w:rFonts w:hint="cs"/>
          <w:rtl/>
        </w:rPr>
        <w:t xml:space="preserve">אך דחה </w:t>
      </w:r>
      <w:r w:rsidRPr="00CC4973">
        <w:rPr>
          <w:rStyle w:val="af9"/>
          <w:rFonts w:hint="cs"/>
          <w:rtl/>
        </w:rPr>
        <w:t>הנוב"י</w:t>
      </w:r>
      <w:r>
        <w:rPr>
          <w:rFonts w:hint="cs"/>
          <w:rtl/>
        </w:rPr>
        <w:t xml:space="preserve"> </w:t>
      </w:r>
      <w:r w:rsidRPr="00CC4973">
        <w:rPr>
          <w:rStyle w:val="af7"/>
          <w:rFonts w:eastAsia="Guttman Hodes" w:hint="cs"/>
          <w:rtl/>
        </w:rPr>
        <w:t xml:space="preserve">(מהדו"ק אבהע"ז סי' ל"א ד"ה </w:t>
      </w:r>
      <w:r>
        <w:rPr>
          <w:rStyle w:val="af7"/>
          <w:rFonts w:eastAsia="Guttman Hodes" w:hint="cs"/>
          <w:rtl/>
        </w:rPr>
        <w:t>ולפי"ז דברי הבית שמואל</w:t>
      </w:r>
      <w:r w:rsidRPr="00CC4973">
        <w:rPr>
          <w:rStyle w:val="af7"/>
          <w:rFonts w:eastAsia="Guttman Hodes" w:hint="cs"/>
          <w:rtl/>
        </w:rPr>
        <w:t>)</w:t>
      </w:r>
      <w:r>
        <w:rPr>
          <w:rFonts w:hint="cs"/>
          <w:rtl/>
        </w:rPr>
        <w:t xml:space="preserve"> דכיון שברור לנו בודאי שהיה חי פעם אחת לפני שמת, הוא חזקה שנתבררה בשעתה, ובשעה שהיה חי לא היה כל חסרון בחזקת חיים שלו, ומה שאנו לא ראינו שהוא חי, אינו חסרון בחזקתו, דהחזקה שלו אינה תלויה בראיה שלנו, וכתב </w:t>
      </w:r>
      <w:r w:rsidRPr="00CC4973">
        <w:rPr>
          <w:rStyle w:val="af9"/>
          <w:rFonts w:hint="cs"/>
          <w:rtl/>
        </w:rPr>
        <w:t>הנוב"י</w:t>
      </w:r>
      <w:r>
        <w:rPr>
          <w:rFonts w:hint="cs"/>
          <w:rtl/>
        </w:rPr>
        <w:t xml:space="preserve"> דלא דמי כלל לדברי </w:t>
      </w:r>
      <w:r w:rsidRPr="00CC4973">
        <w:rPr>
          <w:rStyle w:val="af9"/>
          <w:rFonts w:hint="cs"/>
          <w:rtl/>
        </w:rPr>
        <w:t xml:space="preserve">התוס' </w:t>
      </w:r>
      <w:r>
        <w:rPr>
          <w:rFonts w:hint="cs"/>
          <w:rtl/>
        </w:rPr>
        <w:t>בפרה שבשעתה לא היה אפשר לברר כלל, דבכל שעה חיישינן שמא עכשיו היא טריפה, ובזמן החזקה לא שייך לבררה כלל, רק למפרע אחר שעברו י"ב חודש נתברר למפרע שלא הייתה כשרה.</w:t>
      </w:r>
    </w:p>
    <w:p w14:paraId="69595C28" w14:textId="77777777" w:rsidR="00D95C52" w:rsidRDefault="00D95C52" w:rsidP="006D6D32">
      <w:pPr>
        <w:pStyle w:val="a3"/>
        <w:rPr>
          <w:rtl/>
        </w:rPr>
      </w:pPr>
      <w:bookmarkStart w:id="8561" w:name="_Toc529352363"/>
      <w:bookmarkStart w:id="8562" w:name="_Toc529444977"/>
      <w:bookmarkStart w:id="8563" w:name="_Toc529704491"/>
      <w:bookmarkStart w:id="8564" w:name="_Toc529738948"/>
      <w:bookmarkStart w:id="8565" w:name="_Toc19390113"/>
      <w:bookmarkStart w:id="8566" w:name="_Toc19393610"/>
      <w:r>
        <w:rPr>
          <w:rFonts w:hint="cs"/>
          <w:rtl/>
        </w:rPr>
        <w:t>ביאור הבית אפרים דדוקא במקום שהיה ספק שהתברר למפרע חשיב לא נתבררה בשעתה</w:t>
      </w:r>
      <w:bookmarkEnd w:id="8561"/>
      <w:bookmarkEnd w:id="8562"/>
      <w:bookmarkEnd w:id="8563"/>
      <w:bookmarkEnd w:id="8564"/>
      <w:bookmarkEnd w:id="8565"/>
      <w:bookmarkEnd w:id="8566"/>
    </w:p>
    <w:p w14:paraId="243157EE" w14:textId="77777777" w:rsidR="00D95C52" w:rsidRDefault="00D95C52" w:rsidP="00223668">
      <w:pPr>
        <w:pStyle w:val="a0"/>
        <w:rPr>
          <w:rtl/>
        </w:rPr>
      </w:pPr>
      <w:r w:rsidRPr="0059772B">
        <w:rPr>
          <w:rStyle w:val="af9"/>
          <w:rFonts w:hint="cs"/>
          <w:rtl/>
        </w:rPr>
        <w:t>והבית אפרים</w:t>
      </w:r>
      <w:r>
        <w:rPr>
          <w:rFonts w:hint="cs"/>
          <w:rtl/>
        </w:rPr>
        <w:t xml:space="preserve"> </w:t>
      </w:r>
      <w:r w:rsidRPr="0059772B">
        <w:rPr>
          <w:rStyle w:val="af7"/>
          <w:rFonts w:eastAsia="Guttman Hodes" w:hint="cs"/>
          <w:rtl/>
        </w:rPr>
        <w:t>(יו"ד ריש סי' כ"א)</w:t>
      </w:r>
      <w:r>
        <w:rPr>
          <w:rFonts w:hint="cs"/>
          <w:rtl/>
        </w:rPr>
        <w:t xml:space="preserve"> ביאר את דברי </w:t>
      </w:r>
      <w:r w:rsidRPr="0059772B">
        <w:rPr>
          <w:rStyle w:val="af9"/>
          <w:rFonts w:hint="cs"/>
          <w:rtl/>
        </w:rPr>
        <w:t>הנוב"י</w:t>
      </w:r>
      <w:r>
        <w:rPr>
          <w:rFonts w:hint="cs"/>
          <w:rtl/>
        </w:rPr>
        <w:t xml:space="preserve"> דחזקה שלא נתבררה בשעתה, היינו כשיש לפנינו ספק, ואותו ספק היה בזמן שבו אנו רוצים לומר שהייתה חזקה, ולא היה כל דבר שהיה יכול לברר את הספק באותו הזמן, אלא דעכשיו התברר למפרע לאחר י"ב חודש שבאותו הזמן הייתה הבהמה כשרה, זהו חזקה שלא נתבררה בשעתה, אבל במקום שהייתה חזקה אלא שאנו לא ידענו באותו הזמן שיש חזקה, ועכשיו נתברר לנו שכבר בזמן הספק הייתה סיבה שמבררת את הספק, זוהי חזקה מבוררת, עיי"ש שהאריך בזה.</w:t>
      </w:r>
    </w:p>
    <w:p w14:paraId="1407006F" w14:textId="77777777" w:rsidR="00D95C52" w:rsidRDefault="00D95C52" w:rsidP="006D6D32">
      <w:pPr>
        <w:pStyle w:val="a3"/>
        <w:rPr>
          <w:rtl/>
        </w:rPr>
      </w:pPr>
      <w:bookmarkStart w:id="8567" w:name="_Toc529352364"/>
      <w:bookmarkStart w:id="8568" w:name="_Toc529444978"/>
      <w:bookmarkStart w:id="8569" w:name="_Toc529704492"/>
      <w:bookmarkStart w:id="8570" w:name="_Toc529738949"/>
      <w:bookmarkStart w:id="8571" w:name="_Toc19390114"/>
      <w:bookmarkStart w:id="8572" w:name="_Toc19393611"/>
      <w:r>
        <w:rPr>
          <w:rFonts w:hint="cs"/>
          <w:rtl/>
        </w:rPr>
        <w:t>הוכחת הנוב"י מדברי הרשב"א דחזקת פנויה נתבררה בשעתה וא"צ שהחזקה תהיה ידועה לנו</w:t>
      </w:r>
      <w:bookmarkEnd w:id="8567"/>
      <w:bookmarkEnd w:id="8568"/>
      <w:bookmarkEnd w:id="8569"/>
      <w:bookmarkEnd w:id="8570"/>
      <w:bookmarkEnd w:id="8571"/>
      <w:bookmarkEnd w:id="8572"/>
    </w:p>
    <w:p w14:paraId="6BA853ED" w14:textId="77777777" w:rsidR="00D95C52" w:rsidRDefault="00D95C52" w:rsidP="00223668">
      <w:pPr>
        <w:pStyle w:val="a0"/>
        <w:rPr>
          <w:rtl/>
        </w:rPr>
      </w:pPr>
      <w:r>
        <w:rPr>
          <w:rFonts w:hint="cs"/>
          <w:rtl/>
        </w:rPr>
        <w:t xml:space="preserve">והביא </w:t>
      </w:r>
      <w:r w:rsidRPr="00CC4973">
        <w:rPr>
          <w:rStyle w:val="af9"/>
          <w:rFonts w:hint="cs"/>
          <w:rtl/>
        </w:rPr>
        <w:t>הנוב"י</w:t>
      </w:r>
      <w:r>
        <w:rPr>
          <w:rFonts w:hint="cs"/>
          <w:rtl/>
        </w:rPr>
        <w:t xml:space="preserve"> ראיה מדברי </w:t>
      </w:r>
      <w:r w:rsidRPr="00CC4973">
        <w:rPr>
          <w:rStyle w:val="af9"/>
          <w:rFonts w:hint="cs"/>
          <w:rtl/>
        </w:rPr>
        <w:t>הרשב"א</w:t>
      </w:r>
      <w:r>
        <w:rPr>
          <w:rFonts w:hint="cs"/>
          <w:rtl/>
        </w:rPr>
        <w:t xml:space="preserve"> </w:t>
      </w:r>
      <w:r w:rsidRPr="00163B21">
        <w:rPr>
          <w:rStyle w:val="af7"/>
          <w:rFonts w:eastAsia="Guttman Hodes" w:hint="cs"/>
          <w:rtl/>
        </w:rPr>
        <w:t xml:space="preserve">(עי' אות </w:t>
      </w:r>
      <w:r w:rsidRPr="00163B21">
        <w:rPr>
          <w:rStyle w:val="af7"/>
          <w:rFonts w:eastAsia="Guttman Hodes"/>
          <w:rtl/>
        </w:rPr>
        <w:fldChar w:fldCharType="begin"/>
      </w:r>
      <w:r w:rsidRPr="00163B21">
        <w:rPr>
          <w:rStyle w:val="af7"/>
          <w:rFonts w:eastAsia="Guttman Hodes"/>
          <w:rtl/>
        </w:rPr>
        <w:instrText xml:space="preserve"> </w:instrText>
      </w:r>
      <w:r w:rsidRPr="00163B21">
        <w:rPr>
          <w:rStyle w:val="af7"/>
          <w:rFonts w:eastAsia="Guttman Hodes" w:hint="cs"/>
        </w:rPr>
        <w:instrText>REF</w:instrText>
      </w:r>
      <w:r w:rsidRPr="00163B21">
        <w:rPr>
          <w:rStyle w:val="af7"/>
          <w:rFonts w:eastAsia="Guttman Hodes" w:hint="cs"/>
          <w:rtl/>
        </w:rPr>
        <w:instrText xml:space="preserve"> _</w:instrText>
      </w:r>
      <w:r w:rsidRPr="00163B21">
        <w:rPr>
          <w:rStyle w:val="af7"/>
          <w:rFonts w:eastAsia="Guttman Hodes" w:hint="cs"/>
        </w:rPr>
        <w:instrText>Ref528872420 \r \h</w:instrText>
      </w:r>
      <w:r w:rsidRPr="00163B21">
        <w:rPr>
          <w:rStyle w:val="af7"/>
          <w:rFonts w:eastAsia="Guttman Hodes"/>
          <w:rtl/>
        </w:rPr>
        <w:instrText xml:space="preserve"> </w:instrText>
      </w:r>
      <w:r w:rsidRPr="00163B21">
        <w:rPr>
          <w:rStyle w:val="af7"/>
          <w:rFonts w:eastAsia="Guttman Hodes"/>
          <w:rtl/>
        </w:rPr>
      </w:r>
      <w:r w:rsidRPr="00163B21">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163B21">
        <w:rPr>
          <w:rStyle w:val="af7"/>
          <w:rFonts w:eastAsia="Guttman Hodes"/>
          <w:rtl/>
        </w:rPr>
        <w:fldChar w:fldCharType="end"/>
      </w:r>
      <w:r>
        <w:rPr>
          <w:rFonts w:hint="cs"/>
          <w:rtl/>
        </w:rPr>
        <w:t xml:space="preserve"> דכתב דחזקה שנתבררה בשעתה היא כגון חזקת פנויה, שודאי הייתה פנויה משעה שנולדה, וכתב </w:t>
      </w:r>
      <w:r w:rsidRPr="00CC4973">
        <w:rPr>
          <w:rStyle w:val="af9"/>
          <w:rFonts w:hint="cs"/>
          <w:rtl/>
        </w:rPr>
        <w:t>הנוב"י</w:t>
      </w:r>
      <w:r>
        <w:rPr>
          <w:rFonts w:hint="cs"/>
          <w:rtl/>
        </w:rPr>
        <w:t xml:space="preserve"> דפשיטא דבתולה שנולדה ביער ומתה אמה, וגדלה ויש בה ספק קידושין, דמעמידים אותה בחזקת פנויה, ואף שחזקת פנויה היא משעת הלידה, דהא אחר שנולדה יכול אביה לקבל בה קידושין, ואי נימא דחזקה שלא ראינו אותה אינה חזקה מבוררת, אמאי יש לה חזקה, [</w:t>
      </w:r>
      <w:r w:rsidRPr="000403E0">
        <w:rPr>
          <w:rStyle w:val="afb"/>
          <w:rFonts w:hint="cs"/>
          <w:rtl/>
        </w:rPr>
        <w:t xml:space="preserve">והוסיף </w:t>
      </w:r>
      <w:r w:rsidRPr="000403E0">
        <w:rPr>
          <w:rStyle w:val="affa"/>
          <w:rFonts w:hint="cs"/>
          <w:rtl/>
        </w:rPr>
        <w:t>הנוב"י</w:t>
      </w:r>
      <w:r w:rsidRPr="000403E0">
        <w:rPr>
          <w:rStyle w:val="afb"/>
          <w:rFonts w:hint="cs"/>
          <w:rtl/>
        </w:rPr>
        <w:t xml:space="preserve"> דא"כ מי שמתו אביה ואמה, ולא היה שם אחר שראה שנולדה, תאסר לכל העולם שמא קיבל בה אביה קידושין, דא"א להעמידה בחזקת פנויה דלא נתבררה בשעתה, דפשיטא </w:t>
      </w:r>
      <w:r>
        <w:rPr>
          <w:rStyle w:val="afb"/>
          <w:rFonts w:hint="cs"/>
          <w:rtl/>
        </w:rPr>
        <w:t xml:space="preserve">אא </w:t>
      </w:r>
      <w:r w:rsidRPr="000403E0">
        <w:rPr>
          <w:rStyle w:val="afb"/>
          <w:rFonts w:hint="cs"/>
          <w:rtl/>
        </w:rPr>
        <w:t xml:space="preserve"> לומר כן], </w:t>
      </w:r>
      <w:r>
        <w:rPr>
          <w:rFonts w:hint="cs"/>
          <w:rtl/>
        </w:rPr>
        <w:t xml:space="preserve">אלא כתב </w:t>
      </w:r>
      <w:r w:rsidRPr="000403E0">
        <w:rPr>
          <w:rStyle w:val="af9"/>
          <w:rFonts w:hint="cs"/>
          <w:rtl/>
        </w:rPr>
        <w:t>הנוב"י</w:t>
      </w:r>
      <w:r>
        <w:rPr>
          <w:rFonts w:hint="cs"/>
          <w:rtl/>
        </w:rPr>
        <w:t xml:space="preserve"> דמבואר דכיון שבשעת לידתה היה ברור שהיא פנויה, אף שלא היה הדבר לפנינו, מ"מ חשיב כאילו אנו ראינו, משא"כ בבהמה דאף אם הבהמה לפנינו א"א לברר בשום זמן שאינה טריפה, אלא למפרע לאחר י"ב חודש.</w:t>
      </w:r>
    </w:p>
    <w:p w14:paraId="33A88E61" w14:textId="77777777" w:rsidR="00D95C52" w:rsidRPr="00F61612" w:rsidRDefault="00D95C52" w:rsidP="006D6D32">
      <w:pPr>
        <w:pStyle w:val="a3"/>
        <w:rPr>
          <w:rtl/>
        </w:rPr>
      </w:pPr>
      <w:bookmarkStart w:id="8573" w:name="_Toc529352365"/>
      <w:bookmarkStart w:id="8574" w:name="_Toc529444979"/>
      <w:bookmarkStart w:id="8575" w:name="_Toc529704493"/>
      <w:bookmarkStart w:id="8576" w:name="_Toc529738950"/>
      <w:bookmarkStart w:id="8577" w:name="_Toc19390115"/>
      <w:bookmarkStart w:id="8578" w:name="_Toc19393612"/>
      <w:r>
        <w:rPr>
          <w:rFonts w:hint="cs"/>
          <w:rtl/>
        </w:rPr>
        <w:t>הוכחת הפנ"י מתוס' דחזקהת בהמה של נכרי שלא ביכרה נתבררה בשעתה אף שאינה ידועה לנו</w:t>
      </w:r>
      <w:bookmarkEnd w:id="8573"/>
      <w:bookmarkEnd w:id="8574"/>
      <w:bookmarkEnd w:id="8575"/>
      <w:bookmarkEnd w:id="8576"/>
      <w:bookmarkEnd w:id="8577"/>
      <w:bookmarkEnd w:id="8578"/>
    </w:p>
    <w:p w14:paraId="646AECA3" w14:textId="77777777" w:rsidR="00D95C52" w:rsidRDefault="00D95C52" w:rsidP="00223668">
      <w:pPr>
        <w:pStyle w:val="a0"/>
        <w:rPr>
          <w:rtl/>
        </w:rPr>
      </w:pPr>
      <w:r>
        <w:rPr>
          <w:rFonts w:hint="cs"/>
          <w:rtl/>
        </w:rPr>
        <w:t xml:space="preserve">והוסיף </w:t>
      </w:r>
      <w:r w:rsidRPr="00F61612">
        <w:rPr>
          <w:rStyle w:val="af9"/>
          <w:rFonts w:hint="cs"/>
          <w:rtl/>
        </w:rPr>
        <w:t>הנוב"י</w:t>
      </w:r>
      <w:r>
        <w:rPr>
          <w:rFonts w:hint="cs"/>
          <w:rtl/>
        </w:rPr>
        <w:t xml:space="preserve"> דכן מוכח מדברי </w:t>
      </w:r>
      <w:r w:rsidRPr="00F61612">
        <w:rPr>
          <w:rStyle w:val="af9"/>
          <w:rFonts w:hint="cs"/>
          <w:rtl/>
        </w:rPr>
        <w:t>התוס'</w:t>
      </w:r>
      <w:r>
        <w:rPr>
          <w:rFonts w:hint="cs"/>
          <w:rtl/>
        </w:rPr>
        <w:t xml:space="preserve"> </w:t>
      </w:r>
      <w:r w:rsidRPr="00F61612">
        <w:rPr>
          <w:rStyle w:val="af7"/>
          <w:rFonts w:eastAsia="Guttman Hodes" w:hint="cs"/>
          <w:rtl/>
        </w:rPr>
        <w:t>(יא: ד"ה לר"מ)</w:t>
      </w:r>
      <w:r>
        <w:rPr>
          <w:rFonts w:hint="cs"/>
          <w:rtl/>
        </w:rPr>
        <w:t xml:space="preserve"> דכתבו דישראל שקנה בהמה מנכרי, היא ויש ספק אם ביכרה דנעמיד את הבהמה בחזקת שלא ילדה, עיי"ש בדבריהם, וכתב </w:t>
      </w:r>
      <w:r w:rsidRPr="00F61612">
        <w:rPr>
          <w:rStyle w:val="af9"/>
          <w:rFonts w:hint="cs"/>
          <w:rtl/>
        </w:rPr>
        <w:t>הנוב"י</w:t>
      </w:r>
      <w:r>
        <w:rPr>
          <w:rFonts w:hint="cs"/>
          <w:rtl/>
        </w:rPr>
        <w:t xml:space="preserve"> דמבואר דאף שאנו לא ראינו מעולם אם בהמה זו ילדה, דהא הייתה ברשות הנכרי, מ"מ לא אמרינן דהיא חזקה שלא  נתבררה בשעתה, ומבואר </w:t>
      </w:r>
      <w:r w:rsidRPr="001123B6">
        <w:rPr>
          <w:rStyle w:val="af9"/>
          <w:rFonts w:hint="cs"/>
          <w:rtl/>
        </w:rPr>
        <w:t xml:space="preserve">בתוס' </w:t>
      </w:r>
      <w:r>
        <w:rPr>
          <w:rFonts w:hint="cs"/>
          <w:rtl/>
        </w:rPr>
        <w:t>דהיא חזקה גמורה, עיי"ש בדבריו.</w:t>
      </w:r>
    </w:p>
    <w:p w14:paraId="75051B67" w14:textId="77777777" w:rsidR="00D95C52" w:rsidRDefault="00D95C52" w:rsidP="00BF39B2">
      <w:pPr>
        <w:pStyle w:val="1"/>
        <w:rPr>
          <w:rtl/>
        </w:rPr>
      </w:pPr>
      <w:bookmarkStart w:id="8579" w:name="_Toc529352366"/>
      <w:bookmarkStart w:id="8580" w:name="_Toc529444980"/>
      <w:bookmarkStart w:id="8581" w:name="_Toc529704494"/>
      <w:bookmarkStart w:id="8582" w:name="_Toc529738951"/>
      <w:bookmarkStart w:id="8583" w:name="_Toc19390116"/>
      <w:bookmarkStart w:id="8584" w:name="_Toc19393613"/>
      <w:r>
        <w:rPr>
          <w:rFonts w:hint="cs"/>
          <w:rtl/>
        </w:rPr>
        <w:t>דברי הש"ש דאף חזקה דהשתא צריך שתתברר בשעתה</w:t>
      </w:r>
      <w:bookmarkEnd w:id="8579"/>
      <w:bookmarkEnd w:id="8580"/>
      <w:bookmarkEnd w:id="8581"/>
      <w:bookmarkEnd w:id="8582"/>
      <w:bookmarkEnd w:id="8583"/>
      <w:bookmarkEnd w:id="8584"/>
    </w:p>
    <w:p w14:paraId="5FF937BA" w14:textId="77777777" w:rsidR="00D95C52" w:rsidRPr="00AE706B" w:rsidRDefault="00D95C52" w:rsidP="006D6D32">
      <w:pPr>
        <w:pStyle w:val="a3"/>
        <w:rPr>
          <w:rtl/>
        </w:rPr>
      </w:pPr>
      <w:bookmarkStart w:id="8585" w:name="_Toc529352367"/>
      <w:bookmarkStart w:id="8586" w:name="_Toc529444981"/>
      <w:bookmarkStart w:id="8587" w:name="_Toc529704495"/>
      <w:bookmarkStart w:id="8588" w:name="_Toc529738952"/>
      <w:bookmarkStart w:id="8589" w:name="_Toc19390117"/>
      <w:bookmarkStart w:id="8590" w:name="_Toc19393614"/>
      <w:r>
        <w:rPr>
          <w:rFonts w:hint="cs"/>
          <w:rtl/>
        </w:rPr>
        <w:t>דברי הש"ש דלדעת התוס' אף בחזקה דהשתא לא אזלינן בתרה כשלא נתבררה בשעתה</w:t>
      </w:r>
      <w:bookmarkEnd w:id="8585"/>
      <w:bookmarkEnd w:id="8586"/>
      <w:bookmarkEnd w:id="8587"/>
      <w:bookmarkEnd w:id="8588"/>
      <w:bookmarkEnd w:id="8589"/>
      <w:bookmarkEnd w:id="8590"/>
      <w:r>
        <w:rPr>
          <w:rFonts w:hint="cs"/>
          <w:rtl/>
        </w:rPr>
        <w:t xml:space="preserve"> </w:t>
      </w:r>
    </w:p>
    <w:p w14:paraId="76DBB767" w14:textId="77777777" w:rsidR="00D95C52" w:rsidRDefault="00D95C52" w:rsidP="00223668">
      <w:pPr>
        <w:pStyle w:val="a0"/>
        <w:rPr>
          <w:rtl/>
        </w:rPr>
      </w:pPr>
      <w:bookmarkStart w:id="8591" w:name="_Ref529090509"/>
      <w:r>
        <w:rPr>
          <w:rFonts w:hint="cs"/>
          <w:rtl/>
        </w:rPr>
        <w:t xml:space="preserve">כתב </w:t>
      </w:r>
      <w:r w:rsidRPr="00201793">
        <w:rPr>
          <w:rStyle w:val="af9"/>
          <w:rFonts w:hint="cs"/>
          <w:rtl/>
        </w:rPr>
        <w:t xml:space="preserve">הש"ש </w:t>
      </w:r>
      <w:r w:rsidRPr="00201793">
        <w:rPr>
          <w:rStyle w:val="af7"/>
          <w:rFonts w:eastAsia="Guttman Hodes" w:hint="cs"/>
          <w:rtl/>
        </w:rPr>
        <w:t>(ש"ב פי"ג ו</w:t>
      </w:r>
      <w:r>
        <w:rPr>
          <w:rStyle w:val="af7"/>
          <w:rFonts w:eastAsia="Guttman Hodes" w:hint="cs"/>
          <w:rtl/>
        </w:rPr>
        <w:t>ה</w:t>
      </w:r>
      <w:r w:rsidRPr="00201793">
        <w:rPr>
          <w:rStyle w:val="af7"/>
          <w:rFonts w:eastAsia="Guttman Hodes" w:hint="cs"/>
          <w:rtl/>
        </w:rPr>
        <w:t>נראה)</w:t>
      </w:r>
      <w:r>
        <w:rPr>
          <w:rFonts w:hint="cs"/>
          <w:rtl/>
        </w:rPr>
        <w:t xml:space="preserve"> דכיון דכתבו </w:t>
      </w:r>
      <w:r w:rsidRPr="00201793">
        <w:rPr>
          <w:rStyle w:val="af9"/>
          <w:rFonts w:hint="cs"/>
          <w:rtl/>
        </w:rPr>
        <w:t xml:space="preserve">התוס' </w:t>
      </w:r>
      <w:r>
        <w:rPr>
          <w:rFonts w:hint="cs"/>
          <w:rtl/>
        </w:rPr>
        <w:t xml:space="preserve">דחזקה שלא נתבררה בשעתה אינה חזקה, לכן אף בחזקה דהשתא לא אזלינן בתרה, ולכן היכא שנמצאו מומין באשה אחר הנישואין, דא"א לומר שנעמידנה על החזקה דהשתא שיש בה מומין ונימא דהיו בה כבר בשעת האירוסין, דכיון שבשעת האירוסין לא נתבררה החזקה, לא אזלינן בתרה, ודלא </w:t>
      </w:r>
      <w:r w:rsidRPr="00AE706B">
        <w:rPr>
          <w:rStyle w:val="af9"/>
          <w:rFonts w:hint="cs"/>
          <w:rtl/>
        </w:rPr>
        <w:t>כהשער"י</w:t>
      </w:r>
      <w:r>
        <w:rPr>
          <w:rFonts w:hint="cs"/>
          <w:rtl/>
        </w:rPr>
        <w:t xml:space="preserve"> </w:t>
      </w:r>
      <w:r w:rsidRPr="00AE706B">
        <w:rPr>
          <w:rStyle w:val="af7"/>
          <w:rFonts w:eastAsia="Guttman Hodes" w:hint="cs"/>
          <w:rtl/>
        </w:rPr>
        <w:t>(עי'</w:t>
      </w:r>
      <w:bookmarkEnd w:id="8591"/>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Ref529091899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צד)</w:t>
      </w:r>
      <w:r>
        <w:rPr>
          <w:rStyle w:val="af7"/>
          <w:rFonts w:eastAsia="Guttman Hodes"/>
          <w:rtl/>
        </w:rPr>
        <w:fldChar w:fldCharType="end"/>
      </w:r>
      <w:r>
        <w:rPr>
          <w:rFonts w:hint="cs"/>
          <w:rtl/>
        </w:rPr>
        <w:t>.</w:t>
      </w:r>
    </w:p>
    <w:p w14:paraId="6617ECA4" w14:textId="77777777" w:rsidR="00D95C52" w:rsidRDefault="00D95C52" w:rsidP="00BF39B2">
      <w:pPr>
        <w:pStyle w:val="1"/>
        <w:rPr>
          <w:rtl/>
        </w:rPr>
      </w:pPr>
      <w:bookmarkStart w:id="8592" w:name="_Toc529352368"/>
      <w:bookmarkStart w:id="8593" w:name="_Toc529444982"/>
      <w:bookmarkStart w:id="8594" w:name="_Toc529704496"/>
      <w:bookmarkStart w:id="8595" w:name="_Toc529738953"/>
      <w:bookmarkStart w:id="8596" w:name="_Toc19390118"/>
      <w:bookmarkStart w:id="8597" w:name="_Toc19393615"/>
      <w:r>
        <w:rPr>
          <w:rFonts w:hint="cs"/>
          <w:rtl/>
        </w:rPr>
        <w:t>דברי החת"ס דאי חזקה היא מהלמ"מ מהני חזקה שלא נתבררה</w:t>
      </w:r>
      <w:bookmarkEnd w:id="8592"/>
      <w:bookmarkEnd w:id="8593"/>
      <w:bookmarkEnd w:id="8594"/>
      <w:bookmarkEnd w:id="8595"/>
      <w:bookmarkEnd w:id="8596"/>
      <w:bookmarkEnd w:id="8597"/>
      <w:r>
        <w:rPr>
          <w:rFonts w:hint="cs"/>
          <w:rtl/>
        </w:rPr>
        <w:t xml:space="preserve"> </w:t>
      </w:r>
    </w:p>
    <w:p w14:paraId="3EDE4418" w14:textId="77777777" w:rsidR="00D95C52" w:rsidRPr="004B51DA" w:rsidRDefault="00D95C52" w:rsidP="006D6D32">
      <w:pPr>
        <w:pStyle w:val="a3"/>
        <w:rPr>
          <w:rtl/>
        </w:rPr>
      </w:pPr>
      <w:bookmarkStart w:id="8598" w:name="_Toc529352369"/>
      <w:bookmarkStart w:id="8599" w:name="_Toc529444983"/>
      <w:bookmarkStart w:id="8600" w:name="_Toc529704497"/>
      <w:bookmarkStart w:id="8601" w:name="_Toc529738954"/>
      <w:bookmarkStart w:id="8602" w:name="_Toc19390119"/>
      <w:bookmarkStart w:id="8603" w:name="_Toc19393616"/>
      <w:r>
        <w:rPr>
          <w:rFonts w:hint="cs"/>
          <w:rtl/>
        </w:rPr>
        <w:t>דברי החת"ס דרק למ"ד דחזקה נלמדת מבית המנוגע חזקה שאינה מבוררת אינה חזקה</w:t>
      </w:r>
      <w:bookmarkEnd w:id="8598"/>
      <w:bookmarkEnd w:id="8599"/>
      <w:bookmarkEnd w:id="8600"/>
      <w:bookmarkEnd w:id="8601"/>
      <w:bookmarkEnd w:id="8602"/>
      <w:bookmarkEnd w:id="8603"/>
    </w:p>
    <w:p w14:paraId="6FE71180" w14:textId="77777777" w:rsidR="00D95C52" w:rsidRDefault="00D95C52" w:rsidP="00223668">
      <w:pPr>
        <w:pStyle w:val="a0"/>
        <w:rPr>
          <w:rtl/>
        </w:rPr>
      </w:pPr>
      <w:r>
        <w:rPr>
          <w:rFonts w:hint="cs"/>
          <w:rtl/>
        </w:rPr>
        <w:t xml:space="preserve">כתב </w:t>
      </w:r>
      <w:r w:rsidRPr="00B433C2">
        <w:rPr>
          <w:rStyle w:val="af9"/>
          <w:rFonts w:hint="cs"/>
          <w:rtl/>
        </w:rPr>
        <w:t xml:space="preserve">החת"ס </w:t>
      </w:r>
      <w:r w:rsidRPr="00B433C2">
        <w:rPr>
          <w:rStyle w:val="af7"/>
          <w:rFonts w:eastAsia="Guttman Hodes" w:hint="cs"/>
          <w:rtl/>
        </w:rPr>
        <w:t xml:space="preserve">(ד"ה </w:t>
      </w:r>
      <w:r>
        <w:rPr>
          <w:rStyle w:val="af7"/>
          <w:rFonts w:eastAsia="Guttman Hodes" w:hint="cs"/>
          <w:rtl/>
        </w:rPr>
        <w:t>מנא לן</w:t>
      </w:r>
      <w:r w:rsidRPr="00B433C2">
        <w:rPr>
          <w:rStyle w:val="af7"/>
          <w:rFonts w:eastAsia="Guttman Hodes" w:hint="cs"/>
          <w:rtl/>
        </w:rPr>
        <w:t>)</w:t>
      </w:r>
      <w:r>
        <w:rPr>
          <w:rFonts w:hint="cs"/>
          <w:rtl/>
        </w:rPr>
        <w:t xml:space="preserve"> דכל דברי </w:t>
      </w:r>
      <w:r w:rsidRPr="00B433C2">
        <w:rPr>
          <w:rStyle w:val="af9"/>
          <w:rFonts w:hint="cs"/>
          <w:rtl/>
        </w:rPr>
        <w:t xml:space="preserve">התוס' </w:t>
      </w:r>
      <w:r>
        <w:rPr>
          <w:rFonts w:hint="cs"/>
          <w:rtl/>
        </w:rPr>
        <w:t xml:space="preserve">דחזקה שלא נתבררה בשעתה אינה חזקה, הם רק למאן דיליף חזקה  מבית המנוגע, דכיון דבבית המנוגע החזקה מבוררת, א"כ אין לך בו אלא חידושו וא"א ללמוד מזה דאף בחזקה שלא נתבררה בשעתה מעמידים על חזקה, אבל למאן דיליף חזקה מהלכה למשה מסיני, מודו </w:t>
      </w:r>
      <w:r w:rsidRPr="00B433C2">
        <w:rPr>
          <w:rStyle w:val="af9"/>
          <w:rFonts w:hint="cs"/>
          <w:rtl/>
        </w:rPr>
        <w:t xml:space="preserve">התוס' </w:t>
      </w:r>
      <w:r>
        <w:rPr>
          <w:rFonts w:hint="cs"/>
          <w:rtl/>
        </w:rPr>
        <w:t xml:space="preserve">דאף בחזקה שלא נתבררה בשעתה מעמידים על החזקה, כיון שההלכה נאמרה בסתמא, וא"א לחלק בין חזקה לחזקה, </w:t>
      </w:r>
      <w:r w:rsidRPr="00B433C2">
        <w:rPr>
          <w:rStyle w:val="afb"/>
          <w:rFonts w:hint="cs"/>
          <w:rtl/>
        </w:rPr>
        <w:t xml:space="preserve">[עיי"ש </w:t>
      </w:r>
      <w:r w:rsidRPr="00B433C2">
        <w:rPr>
          <w:rStyle w:val="affa"/>
          <w:rFonts w:hint="cs"/>
          <w:rtl/>
        </w:rPr>
        <w:t xml:space="preserve">בחת"ס </w:t>
      </w:r>
      <w:r w:rsidRPr="00B433C2">
        <w:rPr>
          <w:rStyle w:val="afb"/>
          <w:rFonts w:hint="cs"/>
          <w:rtl/>
        </w:rPr>
        <w:t xml:space="preserve">דביאר </w:t>
      </w:r>
      <w:r>
        <w:rPr>
          <w:rStyle w:val="afb"/>
          <w:rFonts w:hint="cs"/>
          <w:rtl/>
        </w:rPr>
        <w:t>ד</w:t>
      </w:r>
      <w:r w:rsidRPr="00B433C2">
        <w:rPr>
          <w:rStyle w:val="afb"/>
          <w:rFonts w:hint="cs"/>
          <w:rtl/>
        </w:rPr>
        <w:t>דעת ר"מ</w:t>
      </w:r>
      <w:r>
        <w:rPr>
          <w:rStyle w:val="afb"/>
          <w:rFonts w:hint="cs"/>
          <w:rtl/>
        </w:rPr>
        <w:t xml:space="preserve"> דחזקה היא הלמ"מ</w:t>
      </w:r>
      <w:r w:rsidRPr="00B433C2">
        <w:rPr>
          <w:rStyle w:val="afb"/>
          <w:rFonts w:hint="cs"/>
          <w:rtl/>
        </w:rPr>
        <w:t xml:space="preserve">, וע"ע </w:t>
      </w:r>
      <w:r w:rsidRPr="00B433C2">
        <w:rPr>
          <w:rStyle w:val="affa"/>
          <w:rFonts w:hint="cs"/>
          <w:rtl/>
        </w:rPr>
        <w:t xml:space="preserve">במהרש"א </w:t>
      </w:r>
      <w:r w:rsidRPr="00EC1794">
        <w:rPr>
          <w:rStyle w:val="aff6"/>
          <w:rFonts w:hint="cs"/>
          <w:rtl/>
        </w:rPr>
        <w:t>(על תוד"ה מנא)</w:t>
      </w:r>
      <w:r>
        <w:rPr>
          <w:rStyle w:val="affa"/>
          <w:rFonts w:hint="cs"/>
          <w:rtl/>
        </w:rPr>
        <w:t xml:space="preserve"> </w:t>
      </w:r>
      <w:r w:rsidRPr="00B433C2">
        <w:rPr>
          <w:rStyle w:val="afb"/>
          <w:rFonts w:hint="cs"/>
          <w:rtl/>
        </w:rPr>
        <w:t xml:space="preserve">דכתב בדעת </w:t>
      </w:r>
      <w:r w:rsidRPr="00B433C2">
        <w:rPr>
          <w:rStyle w:val="affa"/>
          <w:rFonts w:hint="cs"/>
          <w:rtl/>
        </w:rPr>
        <w:t xml:space="preserve">התוס' </w:t>
      </w:r>
      <w:r w:rsidRPr="00EC1794">
        <w:rPr>
          <w:rStyle w:val="aff6"/>
          <w:rFonts w:hint="cs"/>
          <w:rtl/>
        </w:rPr>
        <w:t>(ד"ה מנא)</w:t>
      </w:r>
      <w:r>
        <w:rPr>
          <w:rStyle w:val="afb"/>
          <w:rFonts w:hint="cs"/>
          <w:rtl/>
        </w:rPr>
        <w:t xml:space="preserve"> </w:t>
      </w:r>
      <w:r w:rsidRPr="00B433C2">
        <w:rPr>
          <w:rStyle w:val="afb"/>
          <w:rFonts w:hint="cs"/>
          <w:rtl/>
        </w:rPr>
        <w:t>דכן ס"ל לרב אחא בר"י]</w:t>
      </w:r>
      <w:r>
        <w:rPr>
          <w:rFonts w:hint="cs"/>
          <w:rtl/>
        </w:rPr>
        <w:t>.</w:t>
      </w:r>
    </w:p>
    <w:p w14:paraId="0E9751F7" w14:textId="77777777" w:rsidR="00D95C52" w:rsidRDefault="00D95C52" w:rsidP="00BF39B2">
      <w:pPr>
        <w:pStyle w:val="1"/>
        <w:rPr>
          <w:rtl/>
        </w:rPr>
      </w:pPr>
      <w:bookmarkStart w:id="8604" w:name="_Toc529704498"/>
      <w:bookmarkStart w:id="8605" w:name="_Toc529738955"/>
      <w:bookmarkStart w:id="8606" w:name="_Toc19390120"/>
      <w:bookmarkStart w:id="8607" w:name="_Toc19393617"/>
      <w:r>
        <w:rPr>
          <w:rFonts w:hint="cs"/>
          <w:rtl/>
        </w:rPr>
        <w:t>ביאור החמדת שלמה בתוס' בחזקה שלא נתבררה בשעתה</w:t>
      </w:r>
      <w:bookmarkEnd w:id="8604"/>
      <w:bookmarkEnd w:id="8605"/>
      <w:bookmarkEnd w:id="8606"/>
      <w:bookmarkEnd w:id="8607"/>
    </w:p>
    <w:p w14:paraId="5E302AF3" w14:textId="77777777" w:rsidR="00D95C52" w:rsidRPr="00B85EA4" w:rsidRDefault="00D95C52" w:rsidP="006D6D32">
      <w:pPr>
        <w:pStyle w:val="a3"/>
        <w:rPr>
          <w:rtl/>
        </w:rPr>
      </w:pPr>
      <w:bookmarkStart w:id="8608" w:name="_Toc529704499"/>
      <w:bookmarkStart w:id="8609" w:name="_Toc529738956"/>
      <w:bookmarkStart w:id="8610" w:name="_Toc19390121"/>
      <w:bookmarkStart w:id="8611" w:name="_Toc19393618"/>
      <w:r>
        <w:rPr>
          <w:rFonts w:hint="cs"/>
          <w:rtl/>
        </w:rPr>
        <w:t>קושית החמדת שלמה דאי חזקה הוא סברא כיון שברור שהייתה כשרה אמאי אין לה חזקה</w:t>
      </w:r>
      <w:bookmarkEnd w:id="8608"/>
      <w:bookmarkEnd w:id="8609"/>
      <w:bookmarkEnd w:id="8610"/>
      <w:bookmarkEnd w:id="8611"/>
    </w:p>
    <w:p w14:paraId="78EC8B49" w14:textId="77777777" w:rsidR="00D95C52" w:rsidRDefault="00D95C52" w:rsidP="00223668">
      <w:pPr>
        <w:pStyle w:val="a0"/>
        <w:rPr>
          <w:rtl/>
        </w:rPr>
      </w:pPr>
      <w:r>
        <w:rPr>
          <w:rFonts w:hint="cs"/>
          <w:rtl/>
        </w:rPr>
        <w:t xml:space="preserve">הקשה </w:t>
      </w:r>
      <w:r w:rsidRPr="000A37F3">
        <w:rPr>
          <w:rStyle w:val="af9"/>
          <w:rFonts w:hint="cs"/>
          <w:rtl/>
        </w:rPr>
        <w:t>החמדת שלמה</w:t>
      </w:r>
      <w:r>
        <w:rPr>
          <w:rFonts w:hint="cs"/>
          <w:rtl/>
        </w:rPr>
        <w:t xml:space="preserve"> </w:t>
      </w:r>
      <w:r w:rsidRPr="000A37F3">
        <w:rPr>
          <w:rStyle w:val="af7"/>
          <w:rFonts w:eastAsia="Guttman Hodes" w:hint="cs"/>
          <w:rtl/>
        </w:rPr>
        <w:t>(יו"ד סי' כ"ה אות ח' ד"ה אמנם מלבד)</w:t>
      </w:r>
      <w:r>
        <w:rPr>
          <w:rFonts w:hint="cs"/>
          <w:rtl/>
        </w:rPr>
        <w:t xml:space="preserve"> על דברי</w:t>
      </w:r>
      <w:r w:rsidRPr="000A37F3">
        <w:rPr>
          <w:rStyle w:val="af9"/>
          <w:rFonts w:hint="cs"/>
          <w:rtl/>
        </w:rPr>
        <w:t xml:space="preserve"> התוס'</w:t>
      </w:r>
      <w:r>
        <w:rPr>
          <w:rFonts w:hint="cs"/>
          <w:rtl/>
        </w:rPr>
        <w:t xml:space="preserve"> </w:t>
      </w:r>
      <w:r w:rsidRPr="000A37F3">
        <w:rPr>
          <w:rStyle w:val="af7"/>
          <w:rFonts w:eastAsia="Guttman Hodes" w:hint="cs"/>
          <w:rtl/>
        </w:rPr>
        <w:t xml:space="preserve">(עי' אות </w:t>
      </w:r>
      <w:r w:rsidRPr="000A37F3">
        <w:rPr>
          <w:rStyle w:val="af7"/>
          <w:rFonts w:eastAsia="Guttman Hodes"/>
          <w:rtl/>
        </w:rPr>
        <w:fldChar w:fldCharType="begin"/>
      </w:r>
      <w:r w:rsidRPr="000A37F3">
        <w:rPr>
          <w:rStyle w:val="af7"/>
          <w:rFonts w:eastAsia="Guttman Hodes"/>
          <w:rtl/>
        </w:rPr>
        <w:instrText xml:space="preserve"> </w:instrText>
      </w:r>
      <w:r w:rsidRPr="000A37F3">
        <w:rPr>
          <w:rStyle w:val="af7"/>
          <w:rFonts w:eastAsia="Guttman Hodes" w:hint="cs"/>
        </w:rPr>
        <w:instrText>REF</w:instrText>
      </w:r>
      <w:r w:rsidRPr="000A37F3">
        <w:rPr>
          <w:rStyle w:val="af7"/>
          <w:rFonts w:eastAsia="Guttman Hodes" w:hint="cs"/>
          <w:rtl/>
        </w:rPr>
        <w:instrText xml:space="preserve"> _</w:instrText>
      </w:r>
      <w:r w:rsidRPr="000A37F3">
        <w:rPr>
          <w:rStyle w:val="af7"/>
          <w:rFonts w:eastAsia="Guttman Hodes" w:hint="cs"/>
        </w:rPr>
        <w:instrText>Ref529090497 \r \h</w:instrText>
      </w:r>
      <w:r w:rsidRPr="000A37F3">
        <w:rPr>
          <w:rStyle w:val="af7"/>
          <w:rFonts w:eastAsia="Guttman Hodes"/>
          <w:rtl/>
        </w:rPr>
        <w:instrText xml:space="preserve"> </w:instrText>
      </w:r>
      <w:r w:rsidRPr="000A37F3">
        <w:rPr>
          <w:rStyle w:val="af7"/>
          <w:rFonts w:eastAsia="Guttman Hodes"/>
          <w:rtl/>
        </w:rPr>
      </w:r>
      <w:r w:rsidRPr="000A37F3">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0A37F3">
        <w:rPr>
          <w:rStyle w:val="af7"/>
          <w:rFonts w:eastAsia="Guttman Hodes"/>
          <w:rtl/>
        </w:rPr>
        <w:fldChar w:fldCharType="end"/>
      </w:r>
      <w:r>
        <w:rPr>
          <w:rFonts w:hint="cs"/>
          <w:rtl/>
        </w:rPr>
        <w:t xml:space="preserve"> דחזקה שלא נתבררה בשעתה אינה חזקה, דהרי כיון שחזקה הוא סברא דאו' להעמיד דבר בחזקתו, א"כ כיון שברור לנו שלפני י"ב חודש, הייתה הבהמה כשרה, אמאי אין מעמידים אותה בחזקתה.</w:t>
      </w:r>
    </w:p>
    <w:p w14:paraId="25A855A6" w14:textId="77777777" w:rsidR="00D95C52" w:rsidRDefault="00D95C52" w:rsidP="006D6D32">
      <w:pPr>
        <w:pStyle w:val="a3"/>
        <w:rPr>
          <w:rtl/>
        </w:rPr>
      </w:pPr>
      <w:bookmarkStart w:id="8612" w:name="_Toc529704500"/>
      <w:bookmarkStart w:id="8613" w:name="_Toc529738957"/>
      <w:bookmarkStart w:id="8614" w:name="_Toc19390122"/>
      <w:bookmarkStart w:id="8615" w:name="_Toc19393619"/>
      <w:r>
        <w:rPr>
          <w:rFonts w:hint="cs"/>
          <w:rtl/>
        </w:rPr>
        <w:t>דברי החמדת שלמה דמבואר בתוס' דטעם החזקה הוא מגזיה"כ שספק לאי יציא מדבר ברור</w:t>
      </w:r>
      <w:bookmarkEnd w:id="8612"/>
      <w:bookmarkEnd w:id="8613"/>
      <w:bookmarkEnd w:id="8614"/>
      <w:bookmarkEnd w:id="8615"/>
    </w:p>
    <w:p w14:paraId="45EA8AF6" w14:textId="77777777" w:rsidR="00D95C52" w:rsidRDefault="00D95C52" w:rsidP="00223668">
      <w:pPr>
        <w:pStyle w:val="a0"/>
        <w:rPr>
          <w:rStyle w:val="afb"/>
          <w:rtl/>
        </w:rPr>
      </w:pPr>
      <w:r>
        <w:rPr>
          <w:rFonts w:hint="cs"/>
          <w:rtl/>
        </w:rPr>
        <w:t xml:space="preserve">וכתב </w:t>
      </w:r>
      <w:r w:rsidRPr="00AA13D9">
        <w:rPr>
          <w:rStyle w:val="af9"/>
          <w:rFonts w:hint="cs"/>
          <w:rtl/>
        </w:rPr>
        <w:t>החמדת שלמה</w:t>
      </w:r>
      <w:r>
        <w:rPr>
          <w:rFonts w:hint="cs"/>
          <w:rtl/>
        </w:rPr>
        <w:t xml:space="preserve"> דמבואר מבדברי </w:t>
      </w:r>
      <w:r w:rsidRPr="00AA13D9">
        <w:rPr>
          <w:rStyle w:val="af9"/>
          <w:rFonts w:hint="cs"/>
          <w:rtl/>
        </w:rPr>
        <w:t>התוס'</w:t>
      </w:r>
      <w:r>
        <w:rPr>
          <w:rFonts w:hint="cs"/>
          <w:rtl/>
        </w:rPr>
        <w:t xml:space="preserve"> דחזקה אינה סברא, אלא היא גזיה"כ שלא להרבות בספיקות, וכדכתב </w:t>
      </w:r>
      <w:r w:rsidRPr="004366E8">
        <w:rPr>
          <w:rStyle w:val="af9"/>
          <w:rFonts w:hint="cs"/>
          <w:rtl/>
        </w:rPr>
        <w:t xml:space="preserve">הרמב"ם בפיהמ"ש </w:t>
      </w:r>
      <w:r w:rsidRPr="00614128">
        <w:rPr>
          <w:rStyle w:val="af7"/>
          <w:rFonts w:eastAsia="Guttman Hodes" w:hint="cs"/>
          <w:rtl/>
        </w:rPr>
        <w:t>(נזיר פ"ט ב'</w:t>
      </w:r>
      <w:r>
        <w:rPr>
          <w:rStyle w:val="af7"/>
          <w:rFonts w:eastAsia="Guttman Hodes" w:hint="cs"/>
          <w:rtl/>
        </w:rPr>
        <w:t xml:space="preserve">, </w:t>
      </w:r>
      <w:r w:rsidR="00AC7E32">
        <w:rPr>
          <w:rStyle w:val="af7"/>
          <w:rFonts w:eastAsia="Guttman Hodes" w:hint="cs"/>
          <w:rtl/>
        </w:rPr>
        <w:t>הובא בסימן</w:t>
      </w:r>
      <w:r>
        <w:rPr>
          <w:rStyle w:val="af7"/>
          <w:rFonts w:eastAsia="Guttman Hodes" w:hint="cs"/>
          <w:rtl/>
        </w:rPr>
        <w:t xml:space="preserve"> ז' אות מ"ג</w:t>
      </w:r>
      <w:r w:rsidRPr="00614128">
        <w:rPr>
          <w:rStyle w:val="af7"/>
          <w:rFonts w:eastAsia="Guttman Hodes" w:hint="cs"/>
          <w:rtl/>
        </w:rPr>
        <w:t xml:space="preserve">) </w:t>
      </w:r>
      <w:r>
        <w:rPr>
          <w:rFonts w:hint="cs"/>
          <w:rtl/>
        </w:rPr>
        <w:t xml:space="preserve">דהביאור בהא דמעמידים על החזקה, הוא שאם נחשוש לכל ספק הוא דבר שאין לו תכלית, ולכן כשיש מצב מסויים מניחים אותו בחזקתו, עד שיהיה דבר ברור שמוציאו מחזקתו, ובכל דבר שיש בו ספק אינו יוצא מחזקתו. </w:t>
      </w:r>
      <w:r w:rsidRPr="00BB4422">
        <w:rPr>
          <w:rStyle w:val="afb"/>
          <w:rFonts w:hint="cs"/>
          <w:rtl/>
        </w:rPr>
        <w:t xml:space="preserve">[ועי' במ"ש </w:t>
      </w:r>
      <w:r w:rsidRPr="00BB4422">
        <w:rPr>
          <w:rStyle w:val="affa"/>
          <w:rFonts w:hint="cs"/>
          <w:rtl/>
        </w:rPr>
        <w:t xml:space="preserve">התוי"ט </w:t>
      </w:r>
      <w:r w:rsidRPr="00BB4422">
        <w:rPr>
          <w:rStyle w:val="aff6"/>
          <w:rFonts w:hint="cs"/>
          <w:rtl/>
        </w:rPr>
        <w:t xml:space="preserve">(נזיר פ"ט ב', </w:t>
      </w:r>
      <w:r w:rsidR="00AC7E32">
        <w:rPr>
          <w:rStyle w:val="aff6"/>
          <w:rFonts w:hint="cs"/>
          <w:rtl/>
        </w:rPr>
        <w:t>הובא בסימן</w:t>
      </w:r>
      <w:r w:rsidRPr="00BB4422">
        <w:rPr>
          <w:rStyle w:val="aff6"/>
          <w:rFonts w:hint="cs"/>
          <w:rtl/>
        </w:rPr>
        <w:t xml:space="preserve"> ז' אות מ"ד)</w:t>
      </w:r>
      <w:r w:rsidRPr="00BB4422">
        <w:rPr>
          <w:rStyle w:val="afb"/>
          <w:rFonts w:hint="cs"/>
          <w:rtl/>
        </w:rPr>
        <w:t xml:space="preserve"> בביאור דברי </w:t>
      </w:r>
      <w:r w:rsidRPr="00BB4422">
        <w:rPr>
          <w:rStyle w:val="affa"/>
          <w:rFonts w:hint="cs"/>
          <w:rtl/>
        </w:rPr>
        <w:t>הרמב"ם בפיהמ"ש</w:t>
      </w:r>
      <w:r w:rsidRPr="00BB4422">
        <w:rPr>
          <w:rStyle w:val="afb"/>
          <w:rFonts w:hint="cs"/>
          <w:rtl/>
        </w:rPr>
        <w:t>].</w:t>
      </w:r>
    </w:p>
    <w:p w14:paraId="51E1C80C" w14:textId="77777777" w:rsidR="005548CF" w:rsidRPr="005548CF" w:rsidRDefault="005548CF" w:rsidP="006D6D32">
      <w:pPr>
        <w:pStyle w:val="a3"/>
        <w:rPr>
          <w:rtl/>
        </w:rPr>
      </w:pPr>
    </w:p>
    <w:p w14:paraId="5DC4558A" w14:textId="77777777" w:rsidR="00D95C52" w:rsidRPr="00711A83" w:rsidRDefault="00D95C52" w:rsidP="006D6D32">
      <w:pPr>
        <w:pStyle w:val="a3"/>
      </w:pPr>
      <w:bookmarkStart w:id="8616" w:name="_Toc529704501"/>
      <w:bookmarkStart w:id="8617" w:name="_Toc529738958"/>
      <w:bookmarkStart w:id="8618" w:name="_Toc19390123"/>
      <w:bookmarkStart w:id="8619" w:name="_Toc19393620"/>
      <w:r>
        <w:rPr>
          <w:rFonts w:hint="cs"/>
          <w:rtl/>
        </w:rPr>
        <w:t>דברי החמד"ש דבלא נתבררה בשעתה שלא היה דבר ברור לא נאמרה הגזיה"כ של חזקה</w:t>
      </w:r>
      <w:bookmarkEnd w:id="8616"/>
      <w:bookmarkEnd w:id="8617"/>
      <w:bookmarkEnd w:id="8618"/>
      <w:bookmarkEnd w:id="8619"/>
    </w:p>
    <w:p w14:paraId="50127F86" w14:textId="77777777" w:rsidR="00D95C52" w:rsidRDefault="00D95C52" w:rsidP="00223668">
      <w:pPr>
        <w:pStyle w:val="a0"/>
        <w:rPr>
          <w:rtl/>
        </w:rPr>
      </w:pPr>
      <w:r>
        <w:rPr>
          <w:rFonts w:hint="cs"/>
          <w:rtl/>
        </w:rPr>
        <w:t xml:space="preserve">וכתב </w:t>
      </w:r>
      <w:r w:rsidRPr="00242764">
        <w:rPr>
          <w:rStyle w:val="af9"/>
          <w:rFonts w:hint="cs"/>
          <w:rtl/>
        </w:rPr>
        <w:t>החמדת שלמה</w:t>
      </w:r>
      <w:r>
        <w:rPr>
          <w:rFonts w:hint="cs"/>
          <w:rtl/>
        </w:rPr>
        <w:t xml:space="preserve"> דא"כ בחזקה שלא נתבררה בשעתה שמתחילה היה ספק, ולא היה זמן ברור שהבהמה כשרה, אי"ז נחשב שמחדשים ספק, ולא נאמרה בכה"ג הגזיה"כ להעמיד על החזקה.</w:t>
      </w:r>
    </w:p>
    <w:p w14:paraId="70B32333" w14:textId="77777777" w:rsidR="00D95C52" w:rsidRPr="00711A83" w:rsidRDefault="00D95C52" w:rsidP="006D6D32">
      <w:pPr>
        <w:pStyle w:val="a3"/>
      </w:pPr>
      <w:bookmarkStart w:id="8620" w:name="_Toc529704502"/>
      <w:bookmarkStart w:id="8621" w:name="_Toc529738959"/>
      <w:bookmarkStart w:id="8622" w:name="_Toc19390124"/>
      <w:bookmarkStart w:id="8623" w:name="_Toc19393621"/>
      <w:r>
        <w:rPr>
          <w:rFonts w:hint="cs"/>
          <w:rtl/>
        </w:rPr>
        <w:t>דברי החמד"ש דמבואר בתוס' דאף כשאין ריעותא לא אזלינן בתר חזקה שלא נתבררה בשעתה</w:t>
      </w:r>
      <w:bookmarkEnd w:id="8620"/>
      <w:bookmarkEnd w:id="8621"/>
      <w:bookmarkEnd w:id="8622"/>
      <w:bookmarkEnd w:id="8623"/>
      <w:r>
        <w:rPr>
          <w:rFonts w:hint="cs"/>
          <w:rtl/>
        </w:rPr>
        <w:t xml:space="preserve"> </w:t>
      </w:r>
    </w:p>
    <w:p w14:paraId="235A4E78" w14:textId="77777777" w:rsidR="00D95C52" w:rsidRPr="00262FF2" w:rsidRDefault="00D95C52" w:rsidP="00223668">
      <w:pPr>
        <w:pStyle w:val="a0"/>
        <w:rPr>
          <w:rtl/>
        </w:rPr>
      </w:pPr>
      <w:r>
        <w:rPr>
          <w:rFonts w:hint="cs"/>
          <w:rtl/>
        </w:rPr>
        <w:t xml:space="preserve">והוסיף </w:t>
      </w:r>
      <w:r w:rsidRPr="00242764">
        <w:rPr>
          <w:rStyle w:val="af9"/>
          <w:rFonts w:hint="cs"/>
          <w:rtl/>
        </w:rPr>
        <w:t>החמדת שלמה</w:t>
      </w:r>
      <w:r>
        <w:rPr>
          <w:rFonts w:hint="cs"/>
          <w:rtl/>
        </w:rPr>
        <w:t xml:space="preserve"> </w:t>
      </w:r>
      <w:r w:rsidRPr="00711A83">
        <w:rPr>
          <w:rStyle w:val="af7"/>
          <w:rFonts w:eastAsia="Guttman Hodes" w:hint="cs"/>
          <w:rtl/>
        </w:rPr>
        <w:t>(יו"ד סי' כ"ה אות ט' ד"ה ועפ"י)</w:t>
      </w:r>
      <w:r>
        <w:rPr>
          <w:rFonts w:hint="cs"/>
          <w:rtl/>
        </w:rPr>
        <w:t xml:space="preserve"> דלפי"ז מבואר דאף במקום שאין ריעותא כלל, לא אזלינן בתר חזקה שלא נתבררה בשעתה, דאם לא כן עדיין קשה קושית </w:t>
      </w:r>
      <w:r w:rsidRPr="00BB77D0">
        <w:rPr>
          <w:rStyle w:val="af9"/>
          <w:rFonts w:hint="cs"/>
          <w:rtl/>
        </w:rPr>
        <w:t>התוס'</w:t>
      </w:r>
      <w:r>
        <w:rPr>
          <w:rFonts w:hint="cs"/>
          <w:rtl/>
        </w:rPr>
        <w:t xml:space="preserve"> </w:t>
      </w:r>
      <w:r w:rsidRPr="00711A83">
        <w:rPr>
          <w:rStyle w:val="af7"/>
          <w:rFonts w:eastAsia="Guttman Hodes" w:hint="cs"/>
          <w:rtl/>
        </w:rPr>
        <w:t xml:space="preserve">(עי' אות </w:t>
      </w:r>
      <w:r w:rsidRPr="00711A83">
        <w:rPr>
          <w:rStyle w:val="af7"/>
          <w:rFonts w:eastAsia="Guttman Hodes"/>
          <w:rtl/>
        </w:rPr>
        <w:fldChar w:fldCharType="begin"/>
      </w:r>
      <w:r w:rsidRPr="00711A83">
        <w:rPr>
          <w:rStyle w:val="af7"/>
          <w:rFonts w:eastAsia="Guttman Hodes"/>
          <w:rtl/>
        </w:rPr>
        <w:instrText xml:space="preserve"> </w:instrText>
      </w:r>
      <w:r w:rsidRPr="00711A83">
        <w:rPr>
          <w:rStyle w:val="af7"/>
          <w:rFonts w:eastAsia="Guttman Hodes" w:hint="cs"/>
        </w:rPr>
        <w:instrText>REF</w:instrText>
      </w:r>
      <w:r w:rsidRPr="00711A83">
        <w:rPr>
          <w:rStyle w:val="af7"/>
          <w:rFonts w:eastAsia="Guttman Hodes" w:hint="cs"/>
          <w:rtl/>
        </w:rPr>
        <w:instrText xml:space="preserve"> _</w:instrText>
      </w:r>
      <w:r w:rsidRPr="00711A83">
        <w:rPr>
          <w:rStyle w:val="af7"/>
          <w:rFonts w:eastAsia="Guttman Hodes" w:hint="cs"/>
        </w:rPr>
        <w:instrText>Ref529204487 \r \h</w:instrText>
      </w:r>
      <w:r w:rsidRPr="00711A83">
        <w:rPr>
          <w:rStyle w:val="af7"/>
          <w:rFonts w:eastAsia="Guttman Hodes"/>
          <w:rtl/>
        </w:rPr>
        <w:instrText xml:space="preserve"> </w:instrText>
      </w:r>
      <w:r w:rsidRPr="00711A83">
        <w:rPr>
          <w:rStyle w:val="af7"/>
          <w:rFonts w:eastAsia="Guttman Hodes"/>
          <w:rtl/>
        </w:rPr>
      </w:r>
      <w:r w:rsidRPr="00711A83">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711A83">
        <w:rPr>
          <w:rStyle w:val="af7"/>
          <w:rFonts w:eastAsia="Guttman Hodes"/>
          <w:rtl/>
        </w:rPr>
        <w:fldChar w:fldCharType="end"/>
      </w:r>
      <w:r>
        <w:rPr>
          <w:rFonts w:hint="cs"/>
          <w:rtl/>
        </w:rPr>
        <w:t xml:space="preserve"> דהא דלא חיישינן לספק טריפה בפרה אדומה, אינו מדין רוב אלא מדין חזקה, אלא מוכח דכיון שהיא חזקה שלא נתבררה בשעתה, לא אזלינן בתרה אף בפרה אדומה שאין בה כל ריעותא.</w:t>
      </w:r>
    </w:p>
    <w:p w14:paraId="5A811DA5" w14:textId="77777777" w:rsidR="00D95C52" w:rsidRDefault="00D95C52" w:rsidP="006D6D32">
      <w:pPr>
        <w:pStyle w:val="afe"/>
        <w:rPr>
          <w:rtl/>
        </w:rPr>
      </w:pPr>
      <w:bookmarkStart w:id="8624" w:name="_Toc529352376"/>
      <w:bookmarkStart w:id="8625" w:name="_Toc529444990"/>
      <w:bookmarkStart w:id="8626" w:name="_Toc529704503"/>
      <w:bookmarkStart w:id="8627" w:name="_Toc529738960"/>
      <w:bookmarkStart w:id="8628" w:name="_Toc19435621"/>
      <w:bookmarkStart w:id="8629" w:name="_Toc20080910"/>
      <w:r>
        <w:rPr>
          <w:rFonts w:hint="cs"/>
          <w:rtl/>
        </w:rPr>
        <w:t>בענין חזקה מכח רוב</w:t>
      </w:r>
      <w:bookmarkEnd w:id="8624"/>
      <w:bookmarkEnd w:id="8625"/>
      <w:bookmarkEnd w:id="8626"/>
      <w:bookmarkEnd w:id="8627"/>
      <w:bookmarkEnd w:id="8628"/>
      <w:bookmarkEnd w:id="8629"/>
    </w:p>
    <w:p w14:paraId="265B2ACB" w14:textId="77777777" w:rsidR="00D95C52" w:rsidRDefault="00D95C52" w:rsidP="00BF39B2">
      <w:pPr>
        <w:pStyle w:val="1"/>
        <w:rPr>
          <w:rtl/>
        </w:rPr>
      </w:pPr>
      <w:bookmarkStart w:id="8630" w:name="_Toc529352377"/>
      <w:bookmarkStart w:id="8631" w:name="_Toc529444991"/>
      <w:bookmarkStart w:id="8632" w:name="_Toc529704504"/>
      <w:bookmarkStart w:id="8633" w:name="_Toc529738961"/>
      <w:bookmarkStart w:id="8634" w:name="_Toc19390125"/>
      <w:bookmarkStart w:id="8635" w:name="_Toc19393622"/>
      <w:r>
        <w:rPr>
          <w:rFonts w:hint="cs"/>
          <w:rtl/>
        </w:rPr>
        <w:t>דעת הר"ש ורבינו יונה דאזלינן בתר חזקה מכח רוב</w:t>
      </w:r>
      <w:bookmarkEnd w:id="8630"/>
      <w:bookmarkEnd w:id="8631"/>
      <w:bookmarkEnd w:id="8632"/>
      <w:bookmarkEnd w:id="8633"/>
      <w:bookmarkEnd w:id="8634"/>
      <w:bookmarkEnd w:id="8635"/>
    </w:p>
    <w:p w14:paraId="12857E26" w14:textId="77777777" w:rsidR="00D95C52" w:rsidRDefault="00D95C52" w:rsidP="006D6D32">
      <w:pPr>
        <w:pStyle w:val="a3"/>
        <w:rPr>
          <w:rtl/>
        </w:rPr>
      </w:pPr>
      <w:bookmarkStart w:id="8636" w:name="_Toc529704505"/>
      <w:bookmarkStart w:id="8637" w:name="_Toc529738962"/>
      <w:bookmarkStart w:id="8638" w:name="_Toc19390126"/>
      <w:bookmarkStart w:id="8639" w:name="_Toc19393623"/>
      <w:r>
        <w:rPr>
          <w:rFonts w:hint="cs"/>
          <w:rtl/>
        </w:rPr>
        <w:t>דברי רבינו שמשון רבינו יונה דהגבינות מותרות ע"י חזקה מכח הרוב דרוב בהמות אינם טריפות</w:t>
      </w:r>
      <w:bookmarkEnd w:id="8636"/>
      <w:bookmarkEnd w:id="8637"/>
      <w:bookmarkEnd w:id="8638"/>
      <w:bookmarkEnd w:id="8639"/>
    </w:p>
    <w:p w14:paraId="26452776" w14:textId="77777777" w:rsidR="00D95C52" w:rsidRDefault="00D95C52" w:rsidP="00223668">
      <w:pPr>
        <w:pStyle w:val="a0"/>
        <w:rPr>
          <w:rtl/>
        </w:rPr>
      </w:pPr>
      <w:bookmarkStart w:id="8640" w:name="_Ref529129544"/>
      <w:r>
        <w:rPr>
          <w:rFonts w:hint="cs"/>
          <w:rtl/>
        </w:rPr>
        <w:t xml:space="preserve">כתבו </w:t>
      </w:r>
      <w:r>
        <w:rPr>
          <w:rStyle w:val="af9"/>
          <w:rFonts w:hint="cs"/>
          <w:rtl/>
        </w:rPr>
        <w:t>הרשב"א בחי'</w:t>
      </w:r>
      <w:r w:rsidRPr="00F8552A">
        <w:rPr>
          <w:rStyle w:val="af9"/>
          <w:rFonts w:hint="cs"/>
          <w:rtl/>
        </w:rPr>
        <w:t xml:space="preserve"> </w:t>
      </w:r>
      <w:r w:rsidRPr="007442FD">
        <w:rPr>
          <w:rStyle w:val="af7"/>
          <w:rFonts w:eastAsia="Guttman Hodes" w:hint="cs"/>
          <w:rtl/>
        </w:rPr>
        <w:t>(ד"ה אתיא)</w:t>
      </w:r>
      <w:r>
        <w:rPr>
          <w:rFonts w:hint="cs"/>
          <w:rtl/>
        </w:rPr>
        <w:t xml:space="preserve"> </w:t>
      </w:r>
      <w:r w:rsidRPr="00DF29FB">
        <w:rPr>
          <w:rStyle w:val="af9"/>
          <w:rFonts w:hint="cs"/>
          <w:rtl/>
        </w:rPr>
        <w:t>ובתוה"ב</w:t>
      </w:r>
      <w:r>
        <w:rPr>
          <w:rFonts w:hint="cs"/>
          <w:rtl/>
        </w:rPr>
        <w:t xml:space="preserve"> </w:t>
      </w:r>
      <w:r w:rsidRPr="007442FD">
        <w:rPr>
          <w:rStyle w:val="af7"/>
          <w:rFonts w:eastAsia="Guttman Hodes" w:hint="cs"/>
          <w:rtl/>
        </w:rPr>
        <w:t xml:space="preserve">(ב"ג ש"ו דף צא. מדה"ס ד"ה ולענין) </w:t>
      </w:r>
      <w:r w:rsidRPr="00E86CBF">
        <w:rPr>
          <w:rStyle w:val="af9"/>
          <w:rFonts w:hint="cs"/>
          <w:rtl/>
        </w:rPr>
        <w:t>והר"ן על הרי"ף</w:t>
      </w:r>
      <w:r>
        <w:rPr>
          <w:rFonts w:hint="cs"/>
          <w:rtl/>
        </w:rPr>
        <w:t xml:space="preserve"> </w:t>
      </w:r>
      <w:r w:rsidRPr="00E86CBF">
        <w:rPr>
          <w:rStyle w:val="af7"/>
          <w:rFonts w:eastAsia="Guttman Hodes" w:hint="cs"/>
          <w:rtl/>
        </w:rPr>
        <w:t>(ג. מדפי הרי"ף ד"ה גרסי')</w:t>
      </w:r>
      <w:r>
        <w:rPr>
          <w:rFonts w:hint="cs"/>
          <w:rtl/>
        </w:rPr>
        <w:t xml:space="preserve"> בשם </w:t>
      </w:r>
      <w:r w:rsidRPr="002B739B">
        <w:rPr>
          <w:rStyle w:val="af9"/>
          <w:rFonts w:hint="cs"/>
          <w:rtl/>
        </w:rPr>
        <w:t>רבינו שמשון</w:t>
      </w:r>
      <w:r>
        <w:rPr>
          <w:rFonts w:hint="cs"/>
          <w:rtl/>
        </w:rPr>
        <w:t xml:space="preserve"> </w:t>
      </w:r>
      <w:r>
        <w:rPr>
          <w:rStyle w:val="af9"/>
          <w:rFonts w:hint="cs"/>
          <w:rtl/>
        </w:rPr>
        <w:t>ו</w:t>
      </w:r>
      <w:r w:rsidRPr="001F2F7A">
        <w:rPr>
          <w:rStyle w:val="af9"/>
          <w:rFonts w:hint="cs"/>
          <w:rtl/>
        </w:rPr>
        <w:t>רב</w:t>
      </w:r>
      <w:r>
        <w:rPr>
          <w:rStyle w:val="af9"/>
          <w:rFonts w:hint="cs"/>
          <w:rtl/>
        </w:rPr>
        <w:t>ינו יונה</w:t>
      </w:r>
      <w:r>
        <w:rPr>
          <w:rFonts w:hint="cs"/>
          <w:rtl/>
        </w:rPr>
        <w:t xml:space="preserve"> דאף שא"א  להתיר את הגבינות ע"י החזקה, דהא לא נתבררה בשעתה, מ"מ הגבינות מותרותע"י חזקה מכח הרוב, דכיון שרוב בהמות כשרות, אמרינן דבהמה זו בחזקת כשרה מחמת הרוב, ועכשיו נטרפה, וכתב </w:t>
      </w:r>
      <w:r w:rsidRPr="002B739B">
        <w:rPr>
          <w:rStyle w:val="af9"/>
          <w:rFonts w:hint="cs"/>
          <w:rtl/>
        </w:rPr>
        <w:t>הרשב"א</w:t>
      </w:r>
      <w:r>
        <w:rPr>
          <w:rFonts w:hint="cs"/>
          <w:rtl/>
        </w:rPr>
        <w:t xml:space="preserve"> דכן מבואר</w:t>
      </w:r>
      <w:r w:rsidRPr="004136A1">
        <w:rPr>
          <w:rFonts w:hint="cs"/>
          <w:rtl/>
        </w:rPr>
        <w:t xml:space="preserve"> </w:t>
      </w:r>
      <w:r>
        <w:rPr>
          <w:rFonts w:hint="cs"/>
          <w:rtl/>
        </w:rPr>
        <w:t xml:space="preserve">בכתובות </w:t>
      </w:r>
      <w:r w:rsidRPr="001F2F7A">
        <w:rPr>
          <w:rStyle w:val="af7"/>
          <w:rFonts w:eastAsia="Guttman Hodes" w:hint="cs"/>
          <w:rtl/>
        </w:rPr>
        <w:t>(עה:)</w:t>
      </w:r>
      <w:r>
        <w:rPr>
          <w:rFonts w:hint="cs"/>
          <w:rtl/>
        </w:rPr>
        <w:t xml:space="preserve"> לענין מומין</w:t>
      </w:r>
      <w:r>
        <w:rPr>
          <w:rtl/>
        </w:rPr>
        <w:t xml:space="preserve">, </w:t>
      </w:r>
      <w:r>
        <w:rPr>
          <w:rFonts w:hint="cs"/>
          <w:rtl/>
        </w:rPr>
        <w:t xml:space="preserve">וכן בגמ' בגמ' בכתובות </w:t>
      </w:r>
      <w:r w:rsidRPr="001F2F7A">
        <w:rPr>
          <w:rStyle w:val="af7"/>
          <w:rFonts w:eastAsia="Guttman Hodes" w:hint="cs"/>
          <w:rtl/>
        </w:rPr>
        <w:t>(</w:t>
      </w:r>
      <w:r>
        <w:rPr>
          <w:rStyle w:val="af7"/>
          <w:rFonts w:eastAsia="Guttman Hodes" w:hint="cs"/>
          <w:rtl/>
        </w:rPr>
        <w:t>יב</w:t>
      </w:r>
      <w:r w:rsidRPr="001F2F7A">
        <w:rPr>
          <w:rStyle w:val="af7"/>
          <w:rFonts w:eastAsia="Guttman Hodes" w:hint="cs"/>
          <w:rtl/>
        </w:rPr>
        <w:t>:)</w:t>
      </w:r>
      <w:r>
        <w:rPr>
          <w:rFonts w:hint="cs"/>
          <w:rtl/>
        </w:rPr>
        <w:t xml:space="preserve"> בדין כונס את הבתולה ולא מצא לה בתולין, </w:t>
      </w:r>
      <w:r w:rsidRPr="00F276A3">
        <w:rPr>
          <w:rStyle w:val="afb"/>
          <w:rFonts w:hint="cs"/>
          <w:rtl/>
        </w:rPr>
        <w:t xml:space="preserve">[וכעי"ז כתבו </w:t>
      </w:r>
      <w:r w:rsidRPr="00F276A3">
        <w:rPr>
          <w:rStyle w:val="affa"/>
          <w:rFonts w:hint="cs"/>
          <w:rtl/>
        </w:rPr>
        <w:t xml:space="preserve">השערי דורא והרוקח </w:t>
      </w:r>
      <w:r w:rsidRPr="008417D8">
        <w:rPr>
          <w:rStyle w:val="aff6"/>
          <w:rFonts w:hint="cs"/>
          <w:rtl/>
        </w:rPr>
        <w:t xml:space="preserve">(עי' אות </w:t>
      </w:r>
      <w:r w:rsidRPr="008417D8">
        <w:rPr>
          <w:rStyle w:val="aff6"/>
          <w:rtl/>
        </w:rPr>
        <w:fldChar w:fldCharType="begin"/>
      </w:r>
      <w:r w:rsidRPr="008417D8">
        <w:rPr>
          <w:rStyle w:val="aff6"/>
          <w:rtl/>
        </w:rPr>
        <w:instrText xml:space="preserve"> </w:instrText>
      </w:r>
      <w:r w:rsidRPr="008417D8">
        <w:rPr>
          <w:rStyle w:val="aff6"/>
          <w:rFonts w:hint="cs"/>
        </w:rPr>
        <w:instrText>REF</w:instrText>
      </w:r>
      <w:r w:rsidRPr="008417D8">
        <w:rPr>
          <w:rStyle w:val="aff6"/>
          <w:rFonts w:hint="cs"/>
          <w:rtl/>
        </w:rPr>
        <w:instrText xml:space="preserve"> _</w:instrText>
      </w:r>
      <w:r w:rsidRPr="008417D8">
        <w:rPr>
          <w:rStyle w:val="aff6"/>
          <w:rFonts w:hint="cs"/>
        </w:rPr>
        <w:instrText>Ref529435712 \r \h</w:instrText>
      </w:r>
      <w:r w:rsidRPr="008417D8">
        <w:rPr>
          <w:rStyle w:val="aff6"/>
          <w:rtl/>
        </w:rPr>
        <w:instrText xml:space="preserve"> </w:instrText>
      </w:r>
      <w:r w:rsidRPr="008417D8">
        <w:rPr>
          <w:rStyle w:val="aff6"/>
          <w:rtl/>
        </w:rPr>
      </w:r>
      <w:r w:rsidRPr="008417D8">
        <w:rPr>
          <w:rStyle w:val="aff6"/>
          <w:rtl/>
        </w:rPr>
        <w:fldChar w:fldCharType="separate"/>
      </w:r>
      <w:r w:rsidR="00345400">
        <w:rPr>
          <w:rStyle w:val="aff6"/>
          <w:cs/>
        </w:rPr>
        <w:t>‎</w:t>
      </w:r>
      <w:r w:rsidR="00345400">
        <w:rPr>
          <w:rStyle w:val="aff6"/>
          <w:rtl/>
        </w:rPr>
        <w:t>פח)</w:t>
      </w:r>
      <w:r w:rsidRPr="008417D8">
        <w:rPr>
          <w:rStyle w:val="aff6"/>
          <w:rtl/>
        </w:rPr>
        <w:fldChar w:fldCharType="end"/>
      </w:r>
      <w:r w:rsidRPr="008417D8">
        <w:rPr>
          <w:rStyle w:val="aff6"/>
          <w:rFonts w:hint="cs"/>
          <w:rtl/>
        </w:rPr>
        <w:t>,</w:t>
      </w:r>
      <w:r w:rsidRPr="00F276A3">
        <w:rPr>
          <w:rStyle w:val="afb"/>
          <w:rFonts w:hint="cs"/>
          <w:rtl/>
        </w:rPr>
        <w:t xml:space="preserve"> וע"ע במה שדחה </w:t>
      </w:r>
      <w:r w:rsidRPr="00F276A3">
        <w:rPr>
          <w:rStyle w:val="affa"/>
          <w:rFonts w:hint="cs"/>
          <w:rtl/>
        </w:rPr>
        <w:t xml:space="preserve">הרוקח </w:t>
      </w:r>
      <w:r w:rsidRPr="008417D8">
        <w:rPr>
          <w:rStyle w:val="aff6"/>
          <w:rFonts w:hint="cs"/>
          <w:rtl/>
        </w:rPr>
        <w:t xml:space="preserve">(עי' אות </w:t>
      </w:r>
      <w:r w:rsidRPr="008417D8">
        <w:rPr>
          <w:rStyle w:val="aff6"/>
          <w:rtl/>
        </w:rPr>
        <w:fldChar w:fldCharType="begin"/>
      </w:r>
      <w:r w:rsidRPr="008417D8">
        <w:rPr>
          <w:rStyle w:val="aff6"/>
          <w:rtl/>
        </w:rPr>
        <w:instrText xml:space="preserve"> </w:instrText>
      </w:r>
      <w:r w:rsidRPr="008417D8">
        <w:rPr>
          <w:rStyle w:val="aff6"/>
          <w:rFonts w:hint="cs"/>
        </w:rPr>
        <w:instrText>REF</w:instrText>
      </w:r>
      <w:r w:rsidRPr="008417D8">
        <w:rPr>
          <w:rStyle w:val="aff6"/>
          <w:rFonts w:hint="cs"/>
          <w:rtl/>
        </w:rPr>
        <w:instrText xml:space="preserve"> _</w:instrText>
      </w:r>
      <w:r w:rsidRPr="008417D8">
        <w:rPr>
          <w:rStyle w:val="aff6"/>
          <w:rFonts w:hint="cs"/>
        </w:rPr>
        <w:instrText>Ref529376058 \r \h</w:instrText>
      </w:r>
      <w:r w:rsidRPr="008417D8">
        <w:rPr>
          <w:rStyle w:val="aff6"/>
          <w:rtl/>
        </w:rPr>
        <w:instrText xml:space="preserve"> </w:instrText>
      </w:r>
      <w:r w:rsidRPr="008417D8">
        <w:rPr>
          <w:rStyle w:val="aff6"/>
          <w:rtl/>
        </w:rPr>
      </w:r>
      <w:r w:rsidRPr="008417D8">
        <w:rPr>
          <w:rStyle w:val="aff6"/>
          <w:rtl/>
        </w:rPr>
        <w:fldChar w:fldCharType="separate"/>
      </w:r>
      <w:r w:rsidR="00345400">
        <w:rPr>
          <w:rStyle w:val="aff6"/>
          <w:cs/>
        </w:rPr>
        <w:t>‎</w:t>
      </w:r>
      <w:r w:rsidR="00345400">
        <w:rPr>
          <w:rStyle w:val="aff6"/>
          <w:rtl/>
        </w:rPr>
        <w:t>פט)</w:t>
      </w:r>
      <w:r w:rsidRPr="008417D8">
        <w:rPr>
          <w:rStyle w:val="aff6"/>
          <w:rtl/>
        </w:rPr>
        <w:fldChar w:fldCharType="end"/>
      </w:r>
      <w:r w:rsidRPr="00F276A3">
        <w:rPr>
          <w:rStyle w:val="afb"/>
          <w:rFonts w:hint="cs"/>
          <w:rtl/>
        </w:rPr>
        <w:t xml:space="preserve"> ראיה זו]</w:t>
      </w:r>
      <w:r>
        <w:rPr>
          <w:rStyle w:val="afb"/>
          <w:rFonts w:hint="cs"/>
          <w:rtl/>
        </w:rPr>
        <w:t>,</w:t>
      </w:r>
      <w:r>
        <w:rPr>
          <w:rFonts w:hint="cs"/>
          <w:rtl/>
        </w:rPr>
        <w:t xml:space="preserve"> </w:t>
      </w:r>
      <w:r>
        <w:rPr>
          <w:rtl/>
        </w:rPr>
        <w:t>ועי' במה שביאר</w:t>
      </w:r>
      <w:r>
        <w:rPr>
          <w:rFonts w:hint="cs"/>
          <w:rtl/>
        </w:rPr>
        <w:t>ו</w:t>
      </w:r>
      <w:r>
        <w:rPr>
          <w:rtl/>
        </w:rPr>
        <w:t xml:space="preserve"> </w:t>
      </w:r>
      <w:r>
        <w:rPr>
          <w:rStyle w:val="af9"/>
          <w:rtl/>
        </w:rPr>
        <w:t>השער"י</w:t>
      </w:r>
      <w:r>
        <w:rPr>
          <w:rtl/>
        </w:rPr>
        <w:t xml:space="preserve"> </w:t>
      </w:r>
      <w:r>
        <w:rPr>
          <w:rStyle w:val="af7"/>
          <w:rFonts w:eastAsiaTheme="minorHAnsi" w:hint="cs"/>
          <w:rtl/>
        </w:rPr>
        <w:t xml:space="preserve">(עי' אות </w:t>
      </w:r>
      <w:r>
        <w:rPr>
          <w:rStyle w:val="af7"/>
          <w:rFonts w:eastAsiaTheme="minorHAnsi"/>
          <w:rtl/>
        </w:rPr>
        <w:fldChar w:fldCharType="begin"/>
      </w:r>
      <w:r>
        <w:rPr>
          <w:rStyle w:val="af7"/>
          <w:rFonts w:eastAsiaTheme="minorHAnsi"/>
          <w:rtl/>
        </w:rPr>
        <w:instrText xml:space="preserve"> </w:instrText>
      </w:r>
      <w:r>
        <w:rPr>
          <w:rStyle w:val="af7"/>
          <w:rFonts w:eastAsiaTheme="minorHAnsi" w:hint="cs"/>
        </w:rPr>
        <w:instrText>REF</w:instrText>
      </w:r>
      <w:r>
        <w:rPr>
          <w:rStyle w:val="af7"/>
          <w:rFonts w:eastAsiaTheme="minorHAnsi" w:hint="cs"/>
          <w:rtl/>
        </w:rPr>
        <w:instrText xml:space="preserve"> _</w:instrText>
      </w:r>
      <w:r>
        <w:rPr>
          <w:rStyle w:val="af7"/>
          <w:rFonts w:eastAsiaTheme="minorHAnsi" w:hint="cs"/>
        </w:rPr>
        <w:instrText>Ref529479183 \r \h</w:instrText>
      </w:r>
      <w:r>
        <w:rPr>
          <w:rStyle w:val="af7"/>
          <w:rFonts w:eastAsiaTheme="minorHAnsi"/>
          <w:rtl/>
        </w:rPr>
        <w:instrText xml:space="preserve"> </w:instrText>
      </w:r>
      <w:r>
        <w:rPr>
          <w:rStyle w:val="af7"/>
          <w:rFonts w:eastAsiaTheme="minorHAnsi"/>
          <w:rtl/>
        </w:rPr>
      </w:r>
      <w:r>
        <w:rPr>
          <w:rStyle w:val="af7"/>
          <w:rFonts w:eastAsiaTheme="minorHAnsi"/>
          <w:rtl/>
        </w:rPr>
        <w:fldChar w:fldCharType="separate"/>
      </w:r>
      <w:r w:rsidR="00345400">
        <w:rPr>
          <w:rStyle w:val="af7"/>
          <w:rFonts w:eastAsiaTheme="minorHAnsi"/>
          <w:cs/>
        </w:rPr>
        <w:t>‎</w:t>
      </w:r>
      <w:r w:rsidR="00345400">
        <w:rPr>
          <w:rStyle w:val="af7"/>
          <w:rFonts w:eastAsiaTheme="minorHAnsi"/>
          <w:rtl/>
        </w:rPr>
        <w:t>צח)</w:t>
      </w:r>
      <w:r>
        <w:rPr>
          <w:rStyle w:val="af7"/>
          <w:rFonts w:eastAsiaTheme="minorHAnsi"/>
          <w:rtl/>
        </w:rPr>
        <w:fldChar w:fldCharType="end"/>
      </w:r>
      <w:r>
        <w:rPr>
          <w:rFonts w:hint="cs"/>
          <w:rtl/>
        </w:rPr>
        <w:t xml:space="preserve">, </w:t>
      </w:r>
      <w:r w:rsidRPr="002379E3">
        <w:rPr>
          <w:rStyle w:val="af9"/>
          <w:rFonts w:hint="cs"/>
          <w:rtl/>
        </w:rPr>
        <w:t>והקוה"ע</w:t>
      </w:r>
      <w:r>
        <w:rPr>
          <w:rFonts w:hint="cs"/>
          <w:rtl/>
        </w:rPr>
        <w:t xml:space="preserve"> </w:t>
      </w:r>
      <w:r w:rsidRPr="002379E3">
        <w:rPr>
          <w:rStyle w:val="af7"/>
          <w:rFonts w:eastAsia="Guttman Hodes" w:hint="cs"/>
          <w:rtl/>
        </w:rPr>
        <w:t xml:space="preserve">(עי' אות </w:t>
      </w:r>
      <w:r w:rsidRPr="002379E3">
        <w:rPr>
          <w:rStyle w:val="af7"/>
          <w:rFonts w:eastAsia="Guttman Hodes"/>
          <w:rtl/>
        </w:rPr>
        <w:fldChar w:fldCharType="begin"/>
      </w:r>
      <w:r w:rsidRPr="002379E3">
        <w:rPr>
          <w:rStyle w:val="af7"/>
          <w:rFonts w:eastAsia="Guttman Hodes"/>
          <w:rtl/>
        </w:rPr>
        <w:instrText xml:space="preserve"> </w:instrText>
      </w:r>
      <w:r w:rsidRPr="002379E3">
        <w:rPr>
          <w:rStyle w:val="af7"/>
          <w:rFonts w:eastAsia="Guttman Hodes" w:hint="cs"/>
        </w:rPr>
        <w:instrText>REF</w:instrText>
      </w:r>
      <w:r w:rsidRPr="002379E3">
        <w:rPr>
          <w:rStyle w:val="af7"/>
          <w:rFonts w:eastAsia="Guttman Hodes" w:hint="cs"/>
          <w:rtl/>
        </w:rPr>
        <w:instrText xml:space="preserve"> _</w:instrText>
      </w:r>
      <w:r w:rsidRPr="002379E3">
        <w:rPr>
          <w:rStyle w:val="af7"/>
          <w:rFonts w:eastAsia="Guttman Hodes" w:hint="cs"/>
        </w:rPr>
        <w:instrText>Ref523043313 \r \h</w:instrText>
      </w:r>
      <w:r w:rsidRPr="002379E3">
        <w:rPr>
          <w:rStyle w:val="af7"/>
          <w:rFonts w:eastAsia="Guttman Hodes"/>
          <w:rtl/>
        </w:rPr>
        <w:instrText xml:space="preserve"> </w:instrText>
      </w:r>
      <w:r w:rsidRPr="002379E3">
        <w:rPr>
          <w:rStyle w:val="af7"/>
          <w:rFonts w:eastAsia="Guttman Hodes"/>
          <w:rtl/>
        </w:rPr>
      </w:r>
      <w:r w:rsidRPr="002379E3">
        <w:rPr>
          <w:rStyle w:val="af7"/>
          <w:rFonts w:eastAsia="Guttman Hodes"/>
          <w:rtl/>
        </w:rPr>
        <w:fldChar w:fldCharType="separate"/>
      </w:r>
      <w:r w:rsidR="00345400">
        <w:rPr>
          <w:rStyle w:val="af7"/>
          <w:rFonts w:eastAsia="Guttman Hodes"/>
          <w:cs/>
        </w:rPr>
        <w:t>‎</w:t>
      </w:r>
      <w:r w:rsidR="00345400">
        <w:rPr>
          <w:rStyle w:val="af7"/>
          <w:rFonts w:eastAsia="Guttman Hodes"/>
          <w:rtl/>
        </w:rPr>
        <w:t>קח)</w:t>
      </w:r>
      <w:r w:rsidRPr="002379E3">
        <w:rPr>
          <w:rStyle w:val="af7"/>
          <w:rFonts w:eastAsia="Guttman Hodes"/>
          <w:rtl/>
        </w:rPr>
        <w:fldChar w:fldCharType="end"/>
      </w:r>
      <w:r>
        <w:rPr>
          <w:rFonts w:hint="cs"/>
          <w:rtl/>
        </w:rPr>
        <w:t xml:space="preserve"> </w:t>
      </w:r>
      <w:r w:rsidRPr="00154972">
        <w:rPr>
          <w:rStyle w:val="af9"/>
          <w:rFonts w:hint="cs"/>
          <w:rtl/>
        </w:rPr>
        <w:t>והקה"י</w:t>
      </w:r>
      <w:r>
        <w:rPr>
          <w:rFonts w:hint="cs"/>
          <w:rtl/>
        </w:rPr>
        <w:t xml:space="preserve"> </w:t>
      </w:r>
      <w:r w:rsidRPr="00154972">
        <w:rPr>
          <w:rStyle w:val="af7"/>
          <w:rFonts w:eastAsia="Guttman Hodes" w:hint="cs"/>
          <w:rtl/>
        </w:rPr>
        <w:t xml:space="preserve">(עי' אות </w:t>
      </w:r>
      <w:r w:rsidRPr="00154972">
        <w:rPr>
          <w:rStyle w:val="af7"/>
          <w:rFonts w:eastAsia="Guttman Hodes"/>
          <w:rtl/>
        </w:rPr>
        <w:fldChar w:fldCharType="begin"/>
      </w:r>
      <w:r w:rsidRPr="00154972">
        <w:rPr>
          <w:rStyle w:val="af7"/>
          <w:rFonts w:eastAsia="Guttman Hodes"/>
          <w:rtl/>
        </w:rPr>
        <w:instrText xml:space="preserve"> </w:instrText>
      </w:r>
      <w:r w:rsidRPr="00154972">
        <w:rPr>
          <w:rStyle w:val="af7"/>
          <w:rFonts w:eastAsia="Guttman Hodes" w:hint="cs"/>
        </w:rPr>
        <w:instrText>REF</w:instrText>
      </w:r>
      <w:r w:rsidRPr="00154972">
        <w:rPr>
          <w:rStyle w:val="af7"/>
          <w:rFonts w:eastAsia="Guttman Hodes" w:hint="cs"/>
          <w:rtl/>
        </w:rPr>
        <w:instrText xml:space="preserve"> _</w:instrText>
      </w:r>
      <w:r w:rsidRPr="00154972">
        <w:rPr>
          <w:rStyle w:val="af7"/>
          <w:rFonts w:eastAsia="Guttman Hodes" w:hint="cs"/>
        </w:rPr>
        <w:instrText>Ref529479671 \r \h</w:instrText>
      </w:r>
      <w:r w:rsidRPr="00154972">
        <w:rPr>
          <w:rStyle w:val="af7"/>
          <w:rFonts w:eastAsia="Guttman Hodes"/>
          <w:rtl/>
        </w:rPr>
        <w:instrText xml:space="preserve"> </w:instrText>
      </w:r>
      <w:r w:rsidRPr="00154972">
        <w:rPr>
          <w:rStyle w:val="af7"/>
          <w:rFonts w:eastAsia="Guttman Hodes"/>
          <w:rtl/>
        </w:rPr>
      </w:r>
      <w:r w:rsidRPr="00154972">
        <w:rPr>
          <w:rStyle w:val="af7"/>
          <w:rFonts w:eastAsia="Guttman Hodes"/>
          <w:rtl/>
        </w:rPr>
        <w:fldChar w:fldCharType="separate"/>
      </w:r>
      <w:r w:rsidR="00345400">
        <w:rPr>
          <w:rStyle w:val="af7"/>
          <w:rFonts w:eastAsia="Guttman Hodes"/>
          <w:cs/>
        </w:rPr>
        <w:t>‎</w:t>
      </w:r>
      <w:r w:rsidR="00345400">
        <w:rPr>
          <w:rStyle w:val="af7"/>
          <w:rFonts w:eastAsia="Guttman Hodes"/>
          <w:rtl/>
        </w:rPr>
        <w:t>קכג)</w:t>
      </w:r>
      <w:r w:rsidRPr="00154972">
        <w:rPr>
          <w:rStyle w:val="af7"/>
          <w:rFonts w:eastAsia="Guttman Hodes"/>
          <w:rtl/>
        </w:rPr>
        <w:fldChar w:fldCharType="end"/>
      </w:r>
      <w:r>
        <w:rPr>
          <w:rFonts w:hint="cs"/>
          <w:rtl/>
        </w:rPr>
        <w:t>.</w:t>
      </w:r>
      <w:bookmarkEnd w:id="8640"/>
    </w:p>
    <w:p w14:paraId="4607A16C" w14:textId="77777777" w:rsidR="00D95C52" w:rsidRDefault="00D95C52" w:rsidP="006D6D32">
      <w:pPr>
        <w:pStyle w:val="a3"/>
        <w:rPr>
          <w:rtl/>
        </w:rPr>
      </w:pPr>
      <w:bookmarkStart w:id="8641" w:name="_Toc529704506"/>
      <w:bookmarkStart w:id="8642" w:name="_Toc529738963"/>
      <w:bookmarkStart w:id="8643" w:name="_Toc19390127"/>
      <w:bookmarkStart w:id="8644" w:name="_Toc19393624"/>
      <w:r>
        <w:rPr>
          <w:rFonts w:hint="cs"/>
          <w:rtl/>
        </w:rPr>
        <w:t>פלוגתת הראשונים בביאור חזקה מכח רוב</w:t>
      </w:r>
      <w:bookmarkEnd w:id="8641"/>
      <w:bookmarkEnd w:id="8642"/>
      <w:bookmarkEnd w:id="8643"/>
      <w:bookmarkEnd w:id="8644"/>
    </w:p>
    <w:p w14:paraId="2DC897FC" w14:textId="77777777" w:rsidR="00D95C52" w:rsidRPr="00E623BA" w:rsidRDefault="00D95C52" w:rsidP="00223668">
      <w:pPr>
        <w:pStyle w:val="a0"/>
        <w:rPr>
          <w:rtl/>
        </w:rPr>
      </w:pPr>
      <w:r>
        <w:rPr>
          <w:rFonts w:hint="cs"/>
          <w:rtl/>
        </w:rPr>
        <w:t xml:space="preserve">ועי' בדברי </w:t>
      </w:r>
      <w:r w:rsidRPr="00E623BA">
        <w:rPr>
          <w:rStyle w:val="af9"/>
          <w:rFonts w:hint="cs"/>
          <w:rtl/>
        </w:rPr>
        <w:t>השערי דורא</w:t>
      </w:r>
      <w:r>
        <w:rPr>
          <w:rFonts w:hint="cs"/>
          <w:rtl/>
        </w:rPr>
        <w:t xml:space="preserve"> </w:t>
      </w:r>
      <w:r w:rsidRPr="00C63ACE">
        <w:rPr>
          <w:rStyle w:val="af7"/>
          <w:rFonts w:eastAsia="Guttman Hodes" w:hint="cs"/>
          <w:rtl/>
        </w:rPr>
        <w:t xml:space="preserve">(עי' אות </w:t>
      </w:r>
      <w:r w:rsidRPr="00C63ACE">
        <w:rPr>
          <w:rStyle w:val="af7"/>
          <w:rFonts w:eastAsia="Guttman Hodes"/>
          <w:rtl/>
        </w:rPr>
        <w:fldChar w:fldCharType="begin"/>
      </w:r>
      <w:r w:rsidRPr="00C63ACE">
        <w:rPr>
          <w:rStyle w:val="af7"/>
          <w:rFonts w:eastAsia="Guttman Hodes"/>
          <w:rtl/>
        </w:rPr>
        <w:instrText xml:space="preserve"> </w:instrText>
      </w:r>
      <w:r w:rsidRPr="00C63ACE">
        <w:rPr>
          <w:rStyle w:val="af7"/>
          <w:rFonts w:eastAsia="Guttman Hodes" w:hint="cs"/>
        </w:rPr>
        <w:instrText>REF</w:instrText>
      </w:r>
      <w:r w:rsidRPr="00C63ACE">
        <w:rPr>
          <w:rStyle w:val="af7"/>
          <w:rFonts w:eastAsia="Guttman Hodes" w:hint="cs"/>
          <w:rtl/>
        </w:rPr>
        <w:instrText xml:space="preserve"> _</w:instrText>
      </w:r>
      <w:r w:rsidRPr="00C63ACE">
        <w:rPr>
          <w:rStyle w:val="af7"/>
          <w:rFonts w:eastAsia="Guttman Hodes" w:hint="cs"/>
        </w:rPr>
        <w:instrText>Ref522618918 \r \h</w:instrText>
      </w:r>
      <w:r w:rsidRPr="00C63ACE">
        <w:rPr>
          <w:rStyle w:val="af7"/>
          <w:rFonts w:eastAsia="Guttman Hodes"/>
          <w:rtl/>
        </w:rPr>
        <w:instrText xml:space="preserve"> </w:instrText>
      </w:r>
      <w:r w:rsidRPr="00C63ACE">
        <w:rPr>
          <w:rStyle w:val="af7"/>
          <w:rFonts w:eastAsia="Guttman Hodes"/>
          <w:rtl/>
        </w:rPr>
      </w:r>
      <w:r w:rsidRPr="00C63ACE">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C63ACE">
        <w:rPr>
          <w:rStyle w:val="af7"/>
          <w:rFonts w:eastAsia="Guttman Hodes"/>
          <w:rtl/>
        </w:rPr>
        <w:fldChar w:fldCharType="end"/>
      </w:r>
      <w:r>
        <w:rPr>
          <w:rFonts w:hint="cs"/>
          <w:rtl/>
        </w:rPr>
        <w:t xml:space="preserve"> דביאר בחזקה מכח רוב, דע"י הרוב מתבררת החזקה, ועי' בדברי </w:t>
      </w:r>
      <w:r w:rsidRPr="00E623BA">
        <w:rPr>
          <w:rStyle w:val="af9"/>
          <w:rFonts w:hint="cs"/>
          <w:rtl/>
        </w:rPr>
        <w:t>השיטמ"ק</w:t>
      </w:r>
      <w:r>
        <w:rPr>
          <w:rFonts w:hint="cs"/>
          <w:rtl/>
        </w:rPr>
        <w:t xml:space="preserve"> בשם </w:t>
      </w:r>
      <w:r w:rsidRPr="00E623BA">
        <w:rPr>
          <w:rStyle w:val="af9"/>
          <w:rFonts w:hint="cs"/>
          <w:rtl/>
        </w:rPr>
        <w:t>הר"א משנץ</w:t>
      </w:r>
      <w:r>
        <w:rPr>
          <w:rFonts w:hint="cs"/>
          <w:rtl/>
        </w:rPr>
        <w:t xml:space="preserve"> </w:t>
      </w:r>
      <w:r w:rsidRPr="00C63ACE">
        <w:rPr>
          <w:rStyle w:val="af7"/>
          <w:rFonts w:eastAsia="Guttman Hodes" w:hint="cs"/>
          <w:rtl/>
        </w:rPr>
        <w:t xml:space="preserve">(עי' אות </w:t>
      </w:r>
      <w:r w:rsidRPr="00C63ACE">
        <w:rPr>
          <w:rStyle w:val="af7"/>
          <w:rFonts w:eastAsia="Guttman Hodes"/>
          <w:rtl/>
        </w:rPr>
        <w:fldChar w:fldCharType="begin"/>
      </w:r>
      <w:r w:rsidRPr="00C63ACE">
        <w:rPr>
          <w:rStyle w:val="af7"/>
          <w:rFonts w:eastAsia="Guttman Hodes"/>
          <w:rtl/>
        </w:rPr>
        <w:instrText xml:space="preserve"> </w:instrText>
      </w:r>
      <w:r w:rsidRPr="00C63ACE">
        <w:rPr>
          <w:rStyle w:val="af7"/>
          <w:rFonts w:eastAsia="Guttman Hodes" w:hint="cs"/>
        </w:rPr>
        <w:instrText>REF</w:instrText>
      </w:r>
      <w:r w:rsidRPr="00C63ACE">
        <w:rPr>
          <w:rStyle w:val="af7"/>
          <w:rFonts w:eastAsia="Guttman Hodes" w:hint="cs"/>
          <w:rtl/>
        </w:rPr>
        <w:instrText xml:space="preserve"> _</w:instrText>
      </w:r>
      <w:r w:rsidRPr="00C63ACE">
        <w:rPr>
          <w:rStyle w:val="af7"/>
          <w:rFonts w:eastAsia="Guttman Hodes" w:hint="cs"/>
        </w:rPr>
        <w:instrText>Ref529216262 \r \h</w:instrText>
      </w:r>
      <w:r w:rsidRPr="00C63ACE">
        <w:rPr>
          <w:rStyle w:val="af7"/>
          <w:rFonts w:eastAsia="Guttman Hodes"/>
          <w:rtl/>
        </w:rPr>
        <w:instrText xml:space="preserve"> </w:instrText>
      </w:r>
      <w:r w:rsidRPr="00C63ACE">
        <w:rPr>
          <w:rStyle w:val="af7"/>
          <w:rFonts w:eastAsia="Guttman Hodes"/>
          <w:rtl/>
        </w:rPr>
      </w:r>
      <w:r w:rsidRPr="00C63ACE">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C63ACE">
        <w:rPr>
          <w:rStyle w:val="af7"/>
          <w:rFonts w:eastAsia="Guttman Hodes"/>
          <w:rtl/>
        </w:rPr>
        <w:fldChar w:fldCharType="end"/>
      </w:r>
      <w:r w:rsidRPr="00C63ACE">
        <w:rPr>
          <w:rStyle w:val="af7"/>
          <w:rFonts w:eastAsia="Guttman Hodes" w:hint="cs"/>
          <w:rtl/>
        </w:rPr>
        <w:t xml:space="preserve"> </w:t>
      </w:r>
      <w:r w:rsidRPr="00E623BA">
        <w:rPr>
          <w:rStyle w:val="af9"/>
          <w:rFonts w:hint="cs"/>
          <w:rtl/>
        </w:rPr>
        <w:t>ורבינו פרץ</w:t>
      </w:r>
      <w:r>
        <w:rPr>
          <w:rFonts w:hint="cs"/>
          <w:rtl/>
        </w:rPr>
        <w:t xml:space="preserve"> </w:t>
      </w:r>
      <w:r w:rsidRPr="00C63ACE">
        <w:rPr>
          <w:rStyle w:val="af7"/>
          <w:rFonts w:eastAsia="Guttman Hodes" w:hint="cs"/>
          <w:rtl/>
        </w:rPr>
        <w:t xml:space="preserve">(עי' אות </w:t>
      </w:r>
      <w:r w:rsidRPr="00C63ACE">
        <w:rPr>
          <w:rStyle w:val="af7"/>
          <w:rFonts w:eastAsia="Guttman Hodes"/>
          <w:rtl/>
        </w:rPr>
        <w:fldChar w:fldCharType="begin"/>
      </w:r>
      <w:r w:rsidRPr="00C63ACE">
        <w:rPr>
          <w:rStyle w:val="af7"/>
          <w:rFonts w:eastAsia="Guttman Hodes"/>
          <w:rtl/>
        </w:rPr>
        <w:instrText xml:space="preserve"> </w:instrText>
      </w:r>
      <w:r w:rsidRPr="00C63ACE">
        <w:rPr>
          <w:rStyle w:val="af7"/>
          <w:rFonts w:eastAsia="Guttman Hodes" w:hint="cs"/>
        </w:rPr>
        <w:instrText>REF</w:instrText>
      </w:r>
      <w:r w:rsidRPr="00C63ACE">
        <w:rPr>
          <w:rStyle w:val="af7"/>
          <w:rFonts w:eastAsia="Guttman Hodes" w:hint="cs"/>
          <w:rtl/>
        </w:rPr>
        <w:instrText xml:space="preserve"> _</w:instrText>
      </w:r>
      <w:r w:rsidRPr="00C63ACE">
        <w:rPr>
          <w:rStyle w:val="af7"/>
          <w:rFonts w:eastAsia="Guttman Hodes" w:hint="cs"/>
        </w:rPr>
        <w:instrText>Ref529702799 \r \h</w:instrText>
      </w:r>
      <w:r w:rsidRPr="00C63ACE">
        <w:rPr>
          <w:rStyle w:val="af7"/>
          <w:rFonts w:eastAsia="Guttman Hodes"/>
          <w:rtl/>
        </w:rPr>
        <w:instrText xml:space="preserve"> </w:instrText>
      </w:r>
      <w:r w:rsidRPr="00C63ACE">
        <w:rPr>
          <w:rStyle w:val="af7"/>
          <w:rFonts w:eastAsia="Guttman Hodes"/>
          <w:rtl/>
        </w:rPr>
      </w:r>
      <w:r w:rsidRPr="00C63ACE">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C63ACE">
        <w:rPr>
          <w:rStyle w:val="af7"/>
          <w:rFonts w:eastAsia="Guttman Hodes"/>
          <w:rtl/>
        </w:rPr>
        <w:fldChar w:fldCharType="end"/>
      </w:r>
      <w:r>
        <w:rPr>
          <w:rFonts w:hint="cs"/>
          <w:rtl/>
        </w:rPr>
        <w:t xml:space="preserve"> דכתבו דההיתר הוא ע"י הרוב עצמו, דאמרינן דעד שעת השחיטה, הייתה בכלל הרוב, ורק סמוך לשחיטה יצאה מהרוב.</w:t>
      </w:r>
    </w:p>
    <w:p w14:paraId="037B59AB" w14:textId="77777777" w:rsidR="00D95C52" w:rsidRDefault="00D95C52" w:rsidP="006D6D32">
      <w:pPr>
        <w:pStyle w:val="a3"/>
        <w:rPr>
          <w:rtl/>
        </w:rPr>
      </w:pPr>
      <w:bookmarkStart w:id="8645" w:name="_Toc529738964"/>
      <w:bookmarkStart w:id="8646" w:name="_Toc19390128"/>
      <w:bookmarkStart w:id="8647" w:name="_Toc19393625"/>
      <w:r>
        <w:rPr>
          <w:rFonts w:hint="cs"/>
          <w:rtl/>
        </w:rPr>
        <w:t>הוכחת רבינו יונה דאזלינן בתר חזקה מכח רוב מדינא דשחטה בחזקת היתר</w:t>
      </w:r>
      <w:bookmarkEnd w:id="8645"/>
      <w:bookmarkEnd w:id="8646"/>
      <w:bookmarkEnd w:id="8647"/>
    </w:p>
    <w:p w14:paraId="2E2BB4A9" w14:textId="77777777" w:rsidR="00D95C52" w:rsidRDefault="00D95C52" w:rsidP="00223668">
      <w:pPr>
        <w:pStyle w:val="a0"/>
      </w:pPr>
      <w:bookmarkStart w:id="8648" w:name="_Ref529091668"/>
      <w:r>
        <w:rPr>
          <w:rFonts w:hint="cs"/>
          <w:rtl/>
        </w:rPr>
        <w:t xml:space="preserve">והביאו </w:t>
      </w:r>
      <w:r w:rsidRPr="00DB130F">
        <w:rPr>
          <w:rStyle w:val="af9"/>
          <w:rFonts w:hint="cs"/>
          <w:rtl/>
        </w:rPr>
        <w:t xml:space="preserve">הרשב"א </w:t>
      </w:r>
      <w:r w:rsidRPr="00E86CBF">
        <w:rPr>
          <w:rStyle w:val="af9"/>
          <w:rFonts w:hint="cs"/>
          <w:rtl/>
        </w:rPr>
        <w:t>והר"ן על הרי"ף</w:t>
      </w:r>
      <w:r>
        <w:rPr>
          <w:rFonts w:hint="cs"/>
          <w:rtl/>
        </w:rPr>
        <w:t xml:space="preserve"> את דברי </w:t>
      </w:r>
      <w:r w:rsidRPr="001F2F7A">
        <w:rPr>
          <w:rStyle w:val="af9"/>
          <w:rFonts w:hint="cs"/>
          <w:rtl/>
        </w:rPr>
        <w:t>רב</w:t>
      </w:r>
      <w:r>
        <w:rPr>
          <w:rStyle w:val="af9"/>
          <w:rFonts w:hint="cs"/>
          <w:rtl/>
        </w:rPr>
        <w:t>ינו יונה</w:t>
      </w:r>
      <w:r>
        <w:rPr>
          <w:rFonts w:hint="cs"/>
          <w:rtl/>
        </w:rPr>
        <w:t xml:space="preserve"> שהביא ראיה מדברי רב הונא לעיל </w:t>
      </w:r>
      <w:r w:rsidRPr="00AF57B7">
        <w:rPr>
          <w:rStyle w:val="af7"/>
          <w:rFonts w:eastAsia="Guttman Hodes" w:hint="cs"/>
          <w:rtl/>
        </w:rPr>
        <w:t>(ט.)</w:t>
      </w:r>
      <w:r>
        <w:rPr>
          <w:rFonts w:hint="cs"/>
          <w:rtl/>
        </w:rPr>
        <w:t xml:space="preserve"> דזאב שנטל בני מעיים והחזירם כשהם נקובין, דהבהמה בחזקת היתר, אף שנולדה בה ריעותא, ומבואר דיש לה חזקה מכח הרוב, דרוב בהמות אינם טריפות, וכתב </w:t>
      </w:r>
      <w:r w:rsidRPr="001F2F7A">
        <w:rPr>
          <w:rStyle w:val="af9"/>
          <w:rFonts w:hint="cs"/>
          <w:rtl/>
        </w:rPr>
        <w:t>הרשב"א</w:t>
      </w:r>
      <w:r>
        <w:rPr>
          <w:rFonts w:hint="cs"/>
          <w:rtl/>
        </w:rPr>
        <w:t xml:space="preserve"> דאף דהתם אפש"ל דהריעותא אינה בבהמה, דתלינן את הנקב בזאב, ואילו בבהמה שנמצאת טריפה, הריעותא היא בגופה, מ"מ מבואר שם דאזלינן בתר חזקה מכח רוב, ורק מכח החזקה תלינן בזאב.</w:t>
      </w:r>
      <w:bookmarkEnd w:id="8648"/>
      <w:r>
        <w:rPr>
          <w:rFonts w:hint="cs"/>
          <w:rtl/>
        </w:rPr>
        <w:t xml:space="preserve"> </w:t>
      </w:r>
    </w:p>
    <w:p w14:paraId="5DBE926E" w14:textId="77777777" w:rsidR="00D95C52" w:rsidRPr="00124643" w:rsidRDefault="00D95C52" w:rsidP="00BF39B2">
      <w:pPr>
        <w:pStyle w:val="1"/>
        <w:rPr>
          <w:rtl/>
        </w:rPr>
      </w:pPr>
      <w:bookmarkStart w:id="8649" w:name="_Toc529352378"/>
      <w:bookmarkStart w:id="8650" w:name="_Toc529444992"/>
      <w:bookmarkStart w:id="8651" w:name="_Toc529704507"/>
      <w:bookmarkStart w:id="8652" w:name="_Toc529738965"/>
      <w:bookmarkStart w:id="8653" w:name="_Toc19390129"/>
      <w:bookmarkStart w:id="8654" w:name="_Toc19393626"/>
      <w:r w:rsidRPr="00124643">
        <w:rPr>
          <w:rFonts w:hint="cs"/>
          <w:rtl/>
        </w:rPr>
        <w:t>דעת הרא"ש בהיתר הגבינות מדין רוב או מדין חזקה</w:t>
      </w:r>
      <w:bookmarkEnd w:id="8649"/>
      <w:bookmarkEnd w:id="8650"/>
      <w:bookmarkEnd w:id="8651"/>
      <w:bookmarkEnd w:id="8652"/>
      <w:bookmarkEnd w:id="8653"/>
      <w:bookmarkEnd w:id="8654"/>
    </w:p>
    <w:p w14:paraId="73047A66" w14:textId="77777777" w:rsidR="00D95C52" w:rsidRPr="00124643" w:rsidRDefault="00D95C52" w:rsidP="006D6D32">
      <w:pPr>
        <w:pStyle w:val="a3"/>
        <w:rPr>
          <w:rtl/>
        </w:rPr>
      </w:pPr>
      <w:bookmarkStart w:id="8655" w:name="_Toc529352379"/>
      <w:bookmarkStart w:id="8656" w:name="_Toc529444993"/>
      <w:bookmarkStart w:id="8657" w:name="_Toc529704508"/>
      <w:bookmarkStart w:id="8658" w:name="_Toc529738966"/>
      <w:bookmarkStart w:id="8659" w:name="_Toc19390130"/>
      <w:bookmarkStart w:id="8660" w:name="_Toc19393627"/>
      <w:r w:rsidRPr="00124643">
        <w:rPr>
          <w:rFonts w:hint="cs"/>
          <w:rtl/>
        </w:rPr>
        <w:t>דברי הרא"ש דהגבינות מותרת כיון שרוב בהמות כשרות ורוב עדיף מחזקה</w:t>
      </w:r>
      <w:bookmarkEnd w:id="8655"/>
      <w:bookmarkEnd w:id="8656"/>
      <w:bookmarkEnd w:id="8657"/>
      <w:bookmarkEnd w:id="8658"/>
      <w:bookmarkEnd w:id="8659"/>
      <w:bookmarkEnd w:id="8660"/>
    </w:p>
    <w:p w14:paraId="0DD87F3D" w14:textId="77777777" w:rsidR="00D95C52" w:rsidRDefault="00D95C52" w:rsidP="00223668">
      <w:pPr>
        <w:pStyle w:val="a0"/>
        <w:rPr>
          <w:rtl/>
        </w:rPr>
      </w:pPr>
      <w:r>
        <w:rPr>
          <w:rFonts w:hint="cs"/>
          <w:rtl/>
        </w:rPr>
        <w:t xml:space="preserve">בקושית </w:t>
      </w:r>
      <w:r w:rsidRPr="00D522BC">
        <w:rPr>
          <w:rStyle w:val="af9"/>
          <w:rFonts w:hint="cs"/>
          <w:rtl/>
        </w:rPr>
        <w:t xml:space="preserve">התוס' </w:t>
      </w:r>
      <w:r w:rsidRPr="00D522BC">
        <w:rPr>
          <w:rStyle w:val="af7"/>
          <w:rFonts w:eastAsia="Guttman Hodes" w:hint="cs"/>
          <w:rtl/>
        </w:rPr>
        <w:t xml:space="preserve">(עי' אות </w:t>
      </w:r>
      <w:r w:rsidRPr="00D522BC">
        <w:rPr>
          <w:rStyle w:val="af7"/>
          <w:rFonts w:eastAsia="Guttman Hodes"/>
          <w:rtl/>
        </w:rPr>
        <w:fldChar w:fldCharType="begin"/>
      </w:r>
      <w:r w:rsidRPr="00D522BC">
        <w:rPr>
          <w:rStyle w:val="af7"/>
          <w:rFonts w:eastAsia="Guttman Hodes"/>
          <w:rtl/>
        </w:rPr>
        <w:instrText xml:space="preserve"> </w:instrText>
      </w:r>
      <w:r w:rsidRPr="00D522BC">
        <w:rPr>
          <w:rStyle w:val="af7"/>
          <w:rFonts w:eastAsia="Guttman Hodes" w:hint="cs"/>
        </w:rPr>
        <w:instrText>REF</w:instrText>
      </w:r>
      <w:r w:rsidRPr="00D522BC">
        <w:rPr>
          <w:rStyle w:val="af7"/>
          <w:rFonts w:eastAsia="Guttman Hodes" w:hint="cs"/>
          <w:rtl/>
        </w:rPr>
        <w:instrText xml:space="preserve"> _</w:instrText>
      </w:r>
      <w:r w:rsidRPr="00D522BC">
        <w:rPr>
          <w:rStyle w:val="af7"/>
          <w:rFonts w:eastAsia="Guttman Hodes" w:hint="cs"/>
        </w:rPr>
        <w:instrText>Ref529204487 \r \h</w:instrText>
      </w:r>
      <w:r w:rsidRPr="00D522BC">
        <w:rPr>
          <w:rStyle w:val="af7"/>
          <w:rFonts w:eastAsia="Guttman Hodes"/>
          <w:rtl/>
        </w:rPr>
        <w:instrText xml:space="preserve"> </w:instrText>
      </w:r>
      <w:r w:rsidRPr="00D522BC">
        <w:rPr>
          <w:rStyle w:val="af7"/>
          <w:rFonts w:eastAsia="Guttman Hodes"/>
          <w:rtl/>
        </w:rPr>
      </w:r>
      <w:r w:rsidRPr="00D522BC">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D522BC">
        <w:rPr>
          <w:rStyle w:val="af7"/>
          <w:rFonts w:eastAsia="Guttman Hodes"/>
          <w:rtl/>
        </w:rPr>
        <w:fldChar w:fldCharType="end"/>
      </w:r>
      <w:r>
        <w:rPr>
          <w:rFonts w:hint="cs"/>
          <w:rtl/>
        </w:rPr>
        <w:t xml:space="preserve"> דהיאך ילפינן מפרה אדומה את דין רוב, תירץ</w:t>
      </w:r>
      <w:r w:rsidRPr="00124643">
        <w:rPr>
          <w:rFonts w:hint="cs"/>
          <w:rtl/>
        </w:rPr>
        <w:t xml:space="preserve"> </w:t>
      </w:r>
      <w:r w:rsidRPr="00124643">
        <w:rPr>
          <w:rStyle w:val="af9"/>
          <w:rFonts w:hint="cs"/>
          <w:rtl/>
        </w:rPr>
        <w:t>הרא"</w:t>
      </w:r>
      <w:r w:rsidRPr="00A15FDA">
        <w:rPr>
          <w:rStyle w:val="af9"/>
          <w:rFonts w:hint="cs"/>
          <w:rtl/>
        </w:rPr>
        <w:t>ש בפסקים</w:t>
      </w:r>
      <w:r w:rsidRPr="00124643">
        <w:rPr>
          <w:rFonts w:hint="cs"/>
          <w:rtl/>
        </w:rPr>
        <w:t xml:space="preserve"> </w:t>
      </w:r>
      <w:r w:rsidRPr="00124643">
        <w:rPr>
          <w:rStyle w:val="af7"/>
          <w:rFonts w:eastAsia="Guttman Hodes" w:hint="cs"/>
          <w:rtl/>
        </w:rPr>
        <w:t>(סי' ט"ז</w:t>
      </w:r>
      <w:r>
        <w:rPr>
          <w:rStyle w:val="af7"/>
          <w:rFonts w:eastAsia="Guttman Hodes" w:hint="cs"/>
          <w:rtl/>
        </w:rPr>
        <w:t>)</w:t>
      </w:r>
      <w:r w:rsidRPr="00124643">
        <w:rPr>
          <w:rStyle w:val="af7"/>
          <w:rFonts w:eastAsia="Guttman Hodes" w:hint="cs"/>
          <w:rtl/>
        </w:rPr>
        <w:t xml:space="preserve"> </w:t>
      </w:r>
      <w:r w:rsidRPr="00A15FDA">
        <w:rPr>
          <w:rStyle w:val="af9"/>
          <w:rFonts w:hint="cs"/>
          <w:rtl/>
        </w:rPr>
        <w:t>ובתוס' הרא"ש</w:t>
      </w:r>
      <w:r w:rsidRPr="00124643">
        <w:rPr>
          <w:rStyle w:val="af7"/>
          <w:rFonts w:eastAsia="Guttman Hodes" w:hint="cs"/>
          <w:rtl/>
        </w:rPr>
        <w:t xml:space="preserve"> </w:t>
      </w:r>
      <w:r>
        <w:rPr>
          <w:rStyle w:val="af7"/>
          <w:rFonts w:eastAsia="Guttman Hodes" w:hint="cs"/>
          <w:rtl/>
        </w:rPr>
        <w:t>(</w:t>
      </w:r>
      <w:r w:rsidRPr="00124643">
        <w:rPr>
          <w:rStyle w:val="af7"/>
          <w:rFonts w:eastAsia="Guttman Hodes" w:hint="cs"/>
          <w:rtl/>
        </w:rPr>
        <w:t>ד"ה אתיא מפרה)</w:t>
      </w:r>
      <w:r w:rsidRPr="00124643">
        <w:rPr>
          <w:rFonts w:hint="cs"/>
          <w:rtl/>
        </w:rPr>
        <w:t xml:space="preserve"> </w:t>
      </w:r>
      <w:r>
        <w:rPr>
          <w:rFonts w:hint="cs"/>
          <w:rtl/>
        </w:rPr>
        <w:t xml:space="preserve">דכיון </w:t>
      </w:r>
      <w:r w:rsidRPr="00124643">
        <w:rPr>
          <w:rFonts w:hint="cs"/>
          <w:rtl/>
        </w:rPr>
        <w:t xml:space="preserve">דלמסקנת הגמ' דאזלינן בתר רובא, א"כ כל בהמה היא בחזקת כשרות ואפילו בתוך שנתה הראשונה, כיון שרוב בהמות הם כשרות ורוב עדיף מחזקה. והוסיף  </w:t>
      </w:r>
      <w:r w:rsidRPr="00124643">
        <w:rPr>
          <w:rStyle w:val="af9"/>
          <w:rFonts w:hint="cs"/>
          <w:rtl/>
        </w:rPr>
        <w:t>התוס' הרא"ש בנדה</w:t>
      </w:r>
      <w:r w:rsidRPr="00124643">
        <w:rPr>
          <w:rFonts w:hint="cs"/>
          <w:rtl/>
        </w:rPr>
        <w:t xml:space="preserve"> </w:t>
      </w:r>
      <w:r w:rsidRPr="00124643">
        <w:rPr>
          <w:rStyle w:val="af7"/>
          <w:rFonts w:eastAsia="Guttman Hodes" w:hint="cs"/>
          <w:rtl/>
        </w:rPr>
        <w:t>(ב: ד"ה היכא)</w:t>
      </w:r>
      <w:r w:rsidRPr="00124643">
        <w:rPr>
          <w:rFonts w:hint="cs"/>
          <w:rtl/>
        </w:rPr>
        <w:t xml:space="preserve"> דלכן מעמידים את הבהמה בכלל הרוב, ואמרינן דעכשיו נטרפה</w:t>
      </w:r>
      <w:r>
        <w:rPr>
          <w:rFonts w:hint="cs"/>
          <w:rtl/>
        </w:rPr>
        <w:t xml:space="preserve">, ועי' במה שביאר </w:t>
      </w:r>
      <w:r w:rsidRPr="00476D7C">
        <w:rPr>
          <w:rStyle w:val="af9"/>
          <w:rFonts w:hint="cs"/>
          <w:rtl/>
        </w:rPr>
        <w:t>בשיעורי הגר"י מפונביז'</w:t>
      </w:r>
      <w:r>
        <w:rPr>
          <w:rFonts w:hint="cs"/>
          <w:rtl/>
        </w:rPr>
        <w:t xml:space="preserve"> </w:t>
      </w:r>
      <w:r w:rsidRPr="00154972">
        <w:rPr>
          <w:rStyle w:val="af7"/>
          <w:rFonts w:eastAsia="Guttman Hodes" w:hint="cs"/>
          <w:rtl/>
        </w:rPr>
        <w:t xml:space="preserve">(עי' אות </w:t>
      </w:r>
      <w:r w:rsidRPr="00154972">
        <w:rPr>
          <w:rStyle w:val="af7"/>
          <w:rFonts w:eastAsia="Guttman Hodes"/>
          <w:rtl/>
        </w:rPr>
        <w:fldChar w:fldCharType="begin"/>
      </w:r>
      <w:r w:rsidRPr="00154972">
        <w:rPr>
          <w:rStyle w:val="af7"/>
          <w:rFonts w:eastAsia="Guttman Hodes"/>
          <w:rtl/>
        </w:rPr>
        <w:instrText xml:space="preserve"> </w:instrText>
      </w:r>
      <w:r w:rsidRPr="00154972">
        <w:rPr>
          <w:rStyle w:val="af7"/>
          <w:rFonts w:eastAsia="Guttman Hodes" w:hint="cs"/>
        </w:rPr>
        <w:instrText>REF</w:instrText>
      </w:r>
      <w:r w:rsidRPr="00154972">
        <w:rPr>
          <w:rStyle w:val="af7"/>
          <w:rFonts w:eastAsia="Guttman Hodes" w:hint="cs"/>
          <w:rtl/>
        </w:rPr>
        <w:instrText xml:space="preserve"> _</w:instrText>
      </w:r>
      <w:r w:rsidRPr="00154972">
        <w:rPr>
          <w:rStyle w:val="af7"/>
          <w:rFonts w:eastAsia="Guttman Hodes" w:hint="cs"/>
        </w:rPr>
        <w:instrText>Ref529351967 \r \h</w:instrText>
      </w:r>
      <w:r w:rsidRPr="00154972">
        <w:rPr>
          <w:rStyle w:val="af7"/>
          <w:rFonts w:eastAsia="Guttman Hodes"/>
          <w:rtl/>
        </w:rPr>
        <w:instrText xml:space="preserve"> </w:instrText>
      </w:r>
      <w:r w:rsidRPr="00154972">
        <w:rPr>
          <w:rStyle w:val="af7"/>
          <w:rFonts w:eastAsia="Guttman Hodes"/>
          <w:rtl/>
        </w:rPr>
      </w:r>
      <w:r w:rsidRPr="00154972">
        <w:rPr>
          <w:rStyle w:val="af7"/>
          <w:rFonts w:eastAsia="Guttman Hodes"/>
          <w:rtl/>
        </w:rPr>
        <w:fldChar w:fldCharType="separate"/>
      </w:r>
      <w:r w:rsidR="00345400">
        <w:rPr>
          <w:rStyle w:val="af7"/>
          <w:rFonts w:eastAsia="Guttman Hodes"/>
          <w:cs/>
        </w:rPr>
        <w:t>‎</w:t>
      </w:r>
      <w:r w:rsidR="00345400">
        <w:rPr>
          <w:rStyle w:val="af7"/>
          <w:rFonts w:eastAsia="Guttman Hodes"/>
          <w:rtl/>
        </w:rPr>
        <w:t>קיט)</w:t>
      </w:r>
      <w:r w:rsidRPr="00154972">
        <w:rPr>
          <w:rStyle w:val="af7"/>
          <w:rFonts w:eastAsia="Guttman Hodes"/>
          <w:rtl/>
        </w:rPr>
        <w:fldChar w:fldCharType="end"/>
      </w:r>
      <w:r w:rsidRPr="00124643">
        <w:rPr>
          <w:rFonts w:hint="cs"/>
          <w:rtl/>
        </w:rPr>
        <w:t>.</w:t>
      </w:r>
    </w:p>
    <w:p w14:paraId="4595F517" w14:textId="77777777" w:rsidR="00D95C52" w:rsidRDefault="00D95C52" w:rsidP="006D6D32">
      <w:pPr>
        <w:pStyle w:val="a3"/>
        <w:rPr>
          <w:rtl/>
        </w:rPr>
      </w:pPr>
      <w:bookmarkStart w:id="8661" w:name="_Toc529738967"/>
      <w:bookmarkStart w:id="8662" w:name="_Toc19390131"/>
      <w:bookmarkStart w:id="8663" w:name="_Toc19393628"/>
      <w:r>
        <w:rPr>
          <w:rFonts w:hint="cs"/>
          <w:rtl/>
        </w:rPr>
        <w:t>ביאור השערי תורה בקושית הטור על הרא"ש דהיאך מהני הרוב כשטריפה לפנינו</w:t>
      </w:r>
      <w:bookmarkEnd w:id="8661"/>
      <w:bookmarkEnd w:id="8662"/>
      <w:bookmarkEnd w:id="8663"/>
    </w:p>
    <w:p w14:paraId="24E85A75" w14:textId="77777777" w:rsidR="00D95C52" w:rsidRPr="003B7095" w:rsidRDefault="00D95C52" w:rsidP="00223668">
      <w:pPr>
        <w:pStyle w:val="a0"/>
        <w:rPr>
          <w:rtl/>
        </w:rPr>
      </w:pPr>
      <w:bookmarkStart w:id="8664" w:name="_Toc529352380"/>
      <w:bookmarkStart w:id="8665" w:name="_Toc529444994"/>
      <w:r w:rsidRPr="00124643">
        <w:rPr>
          <w:rStyle w:val="af9"/>
          <w:rFonts w:hint="cs"/>
          <w:rtl/>
        </w:rPr>
        <w:t>בתשו'</w:t>
      </w:r>
      <w:r>
        <w:rPr>
          <w:rStyle w:val="af9"/>
          <w:rFonts w:hint="cs"/>
          <w:rtl/>
        </w:rPr>
        <w:t xml:space="preserve"> </w:t>
      </w:r>
      <w:r w:rsidRPr="00124643">
        <w:rPr>
          <w:rStyle w:val="af9"/>
          <w:rFonts w:hint="cs"/>
          <w:rtl/>
        </w:rPr>
        <w:t>הרא"ש</w:t>
      </w:r>
      <w:r w:rsidRPr="00124643">
        <w:rPr>
          <w:rFonts w:hint="cs"/>
          <w:rtl/>
        </w:rPr>
        <w:t xml:space="preserve"> </w:t>
      </w:r>
      <w:r w:rsidRPr="003F48B8">
        <w:rPr>
          <w:rStyle w:val="af7"/>
          <w:rFonts w:eastAsia="Guttman Hodes" w:hint="cs"/>
          <w:rtl/>
        </w:rPr>
        <w:t>(כלל כ' ט"ו)</w:t>
      </w:r>
      <w:r w:rsidRPr="00124643">
        <w:rPr>
          <w:rFonts w:hint="cs"/>
          <w:rtl/>
        </w:rPr>
        <w:t xml:space="preserve"> </w:t>
      </w:r>
      <w:r>
        <w:rPr>
          <w:rFonts w:hint="cs"/>
          <w:rtl/>
        </w:rPr>
        <w:t xml:space="preserve">הקשה </w:t>
      </w:r>
      <w:r w:rsidRPr="001B1192">
        <w:rPr>
          <w:rStyle w:val="af9"/>
          <w:rFonts w:hint="cs"/>
          <w:rtl/>
        </w:rPr>
        <w:t>הטור</w:t>
      </w:r>
      <w:r>
        <w:rPr>
          <w:rFonts w:hint="cs"/>
          <w:rtl/>
        </w:rPr>
        <w:t xml:space="preserve"> לאביו </w:t>
      </w:r>
      <w:r w:rsidRPr="001B1192">
        <w:rPr>
          <w:rStyle w:val="af9"/>
          <w:rFonts w:hint="cs"/>
          <w:rtl/>
        </w:rPr>
        <w:t>הרא"ש</w:t>
      </w:r>
      <w:r>
        <w:rPr>
          <w:rFonts w:hint="cs"/>
          <w:rtl/>
        </w:rPr>
        <w:t xml:space="preserve">, דהיאך כתב </w:t>
      </w:r>
      <w:r w:rsidRPr="001B1192">
        <w:rPr>
          <w:rStyle w:val="af9"/>
          <w:rFonts w:hint="cs"/>
          <w:rtl/>
        </w:rPr>
        <w:t>הרא"ש בפסקים</w:t>
      </w:r>
      <w:r>
        <w:rPr>
          <w:rFonts w:hint="cs"/>
          <w:rtl/>
        </w:rPr>
        <w:t xml:space="preserve"> דלמסקנת הגמ' דאזלינן בתר רובא, הגבינות שבתוך השנה מותרות מדין רוב, הרי כיון דטריפה לפנינו, ואין כאן חזקת היתר דהא לא נתבררה בשעתה, א"כ מה מהני הרוב, וביאר </w:t>
      </w:r>
      <w:r w:rsidRPr="001B1192">
        <w:rPr>
          <w:rStyle w:val="af9"/>
          <w:rFonts w:hint="cs"/>
          <w:rtl/>
        </w:rPr>
        <w:t>השערי תורה</w:t>
      </w:r>
      <w:r w:rsidRPr="003B7095">
        <w:rPr>
          <w:rFonts w:hint="cs"/>
          <w:rtl/>
        </w:rPr>
        <w:t xml:space="preserve"> </w:t>
      </w:r>
      <w:r w:rsidRPr="001B1192">
        <w:rPr>
          <w:rStyle w:val="af7"/>
          <w:rFonts w:eastAsia="Guttman Hodes" w:hint="cs"/>
          <w:rtl/>
        </w:rPr>
        <w:t>(ענייני חזקות ח"ב כלל ל"ז אות י"א ד"ה והמעיי</w:t>
      </w:r>
      <w:r w:rsidRPr="00C63ACE">
        <w:rPr>
          <w:rStyle w:val="af7"/>
          <w:rFonts w:eastAsia="Guttman Hodes" w:hint="cs"/>
          <w:rtl/>
        </w:rPr>
        <w:t>ן)</w:t>
      </w:r>
      <w:r>
        <w:rPr>
          <w:rFonts w:hint="cs"/>
          <w:rtl/>
        </w:rPr>
        <w:t xml:space="preserve"> דהבין </w:t>
      </w:r>
      <w:r w:rsidRPr="001B1192">
        <w:rPr>
          <w:rStyle w:val="af9"/>
          <w:rFonts w:hint="cs"/>
          <w:rtl/>
        </w:rPr>
        <w:t>הטור</w:t>
      </w:r>
      <w:r>
        <w:rPr>
          <w:rFonts w:hint="cs"/>
          <w:rtl/>
        </w:rPr>
        <w:t xml:space="preserve"> בדברי </w:t>
      </w:r>
      <w:r w:rsidRPr="001B1192">
        <w:rPr>
          <w:rStyle w:val="af9"/>
          <w:rFonts w:hint="cs"/>
          <w:rtl/>
        </w:rPr>
        <w:t>הרא"ש</w:t>
      </w:r>
      <w:r>
        <w:rPr>
          <w:rFonts w:hint="cs"/>
          <w:rtl/>
        </w:rPr>
        <w:t xml:space="preserve"> דכוונתו להתיר מדין רוב, וע"ז הקשה </w:t>
      </w:r>
      <w:r w:rsidRPr="001B1192">
        <w:rPr>
          <w:rStyle w:val="af9"/>
          <w:rFonts w:hint="cs"/>
          <w:rtl/>
        </w:rPr>
        <w:t>הטור</w:t>
      </w:r>
      <w:r>
        <w:rPr>
          <w:rFonts w:hint="cs"/>
          <w:rtl/>
        </w:rPr>
        <w:t xml:space="preserve"> את קושית </w:t>
      </w:r>
      <w:r w:rsidRPr="001B1192">
        <w:rPr>
          <w:rStyle w:val="af9"/>
          <w:rFonts w:hint="cs"/>
          <w:rtl/>
        </w:rPr>
        <w:t>היש"ש</w:t>
      </w:r>
      <w:r>
        <w:rPr>
          <w:rFonts w:hint="cs"/>
          <w:rtl/>
        </w:rPr>
        <w:t xml:space="preserve"> </w:t>
      </w:r>
      <w:r w:rsidRPr="001B1192">
        <w:rPr>
          <w:rStyle w:val="af7"/>
          <w:rFonts w:eastAsia="Guttman Hodes" w:hint="cs"/>
          <w:rtl/>
        </w:rPr>
        <w:t>(בפירקין סי' כ')</w:t>
      </w:r>
      <w:r>
        <w:rPr>
          <w:rFonts w:hint="cs"/>
          <w:rtl/>
        </w:rPr>
        <w:t xml:space="preserve"> על </w:t>
      </w:r>
      <w:r w:rsidRPr="001B1192">
        <w:rPr>
          <w:rStyle w:val="af9"/>
          <w:rFonts w:hint="cs"/>
          <w:rtl/>
        </w:rPr>
        <w:t>הרא"ש</w:t>
      </w:r>
      <w:r>
        <w:rPr>
          <w:rFonts w:hint="cs"/>
          <w:rtl/>
        </w:rPr>
        <w:t xml:space="preserve"> דהיאך אפשר להתיר את הגבינות מדין רוב, הא כיון דטריפה לפנינו מוכח שבהמה זו אינה מהרוב.</w:t>
      </w:r>
    </w:p>
    <w:p w14:paraId="00E311F3" w14:textId="77777777" w:rsidR="00D95C52" w:rsidRPr="00124643" w:rsidRDefault="00D95C52" w:rsidP="006D6D32">
      <w:pPr>
        <w:pStyle w:val="a3"/>
        <w:rPr>
          <w:rtl/>
        </w:rPr>
      </w:pPr>
      <w:bookmarkStart w:id="8666" w:name="_Toc529704509"/>
      <w:bookmarkStart w:id="8667" w:name="_Toc529738968"/>
      <w:bookmarkStart w:id="8668" w:name="_Toc19390132"/>
      <w:bookmarkStart w:id="8669" w:name="_Toc19393629"/>
      <w:r w:rsidRPr="00C528A4">
        <w:rPr>
          <w:rFonts w:hint="cs"/>
          <w:rtl/>
        </w:rPr>
        <w:t xml:space="preserve">ביאור הרא"ש בתשו' </w:t>
      </w:r>
      <w:bookmarkEnd w:id="8664"/>
      <w:bookmarkEnd w:id="8665"/>
      <w:bookmarkEnd w:id="8666"/>
      <w:r>
        <w:rPr>
          <w:rFonts w:hint="cs"/>
          <w:rtl/>
        </w:rPr>
        <w:t>דלמסקנת הגמ' כיון שיש רוב כל שעה מעמידים את הבהמה בחזקת כשרות</w:t>
      </w:r>
      <w:bookmarkEnd w:id="8667"/>
      <w:bookmarkEnd w:id="8668"/>
      <w:bookmarkEnd w:id="8669"/>
    </w:p>
    <w:p w14:paraId="223449C8" w14:textId="77777777" w:rsidR="00D95C52" w:rsidRPr="00166459" w:rsidRDefault="00D95C52" w:rsidP="00223668">
      <w:pPr>
        <w:pStyle w:val="a0"/>
        <w:rPr>
          <w:rStyle w:val="afb"/>
          <w:rtl/>
        </w:rPr>
      </w:pPr>
      <w:r>
        <w:rPr>
          <w:rFonts w:hint="cs"/>
          <w:rtl/>
        </w:rPr>
        <w:t xml:space="preserve">והשיב </w:t>
      </w:r>
      <w:r w:rsidRPr="00124643">
        <w:rPr>
          <w:rStyle w:val="af9"/>
          <w:rFonts w:hint="cs"/>
          <w:rtl/>
        </w:rPr>
        <w:t>הרא"ש בתשו'</w:t>
      </w:r>
      <w:r w:rsidRPr="00124643">
        <w:rPr>
          <w:rFonts w:hint="cs"/>
          <w:rtl/>
        </w:rPr>
        <w:t xml:space="preserve"> </w:t>
      </w:r>
      <w:r w:rsidRPr="00B73A4D">
        <w:rPr>
          <w:rStyle w:val="af7"/>
          <w:rFonts w:eastAsia="Guttman Hodes" w:hint="cs"/>
          <w:rtl/>
        </w:rPr>
        <w:t>(כלל כ' ט"ו)</w:t>
      </w:r>
      <w:r w:rsidRPr="00124643">
        <w:rPr>
          <w:rFonts w:hint="cs"/>
          <w:rtl/>
        </w:rPr>
        <w:t xml:space="preserve"> </w:t>
      </w:r>
      <w:r>
        <w:rPr>
          <w:rFonts w:hint="cs"/>
          <w:rtl/>
        </w:rPr>
        <w:t xml:space="preserve">לקושיית </w:t>
      </w:r>
      <w:r w:rsidRPr="00FA4BC4">
        <w:rPr>
          <w:rStyle w:val="af9"/>
          <w:rFonts w:hint="cs"/>
          <w:rtl/>
        </w:rPr>
        <w:t>הטור</w:t>
      </w:r>
      <w:r>
        <w:rPr>
          <w:rFonts w:hint="cs"/>
          <w:rtl/>
        </w:rPr>
        <w:t xml:space="preserve"> דכוונתו לומר </w:t>
      </w:r>
      <w:r w:rsidRPr="00124643">
        <w:rPr>
          <w:rFonts w:hint="cs"/>
          <w:rtl/>
        </w:rPr>
        <w:t xml:space="preserve">דלפי התירוץ של </w:t>
      </w:r>
      <w:r w:rsidRPr="00124643">
        <w:rPr>
          <w:rStyle w:val="af9"/>
          <w:rFonts w:hint="cs"/>
          <w:rtl/>
        </w:rPr>
        <w:t>התוס'</w:t>
      </w:r>
      <w:r w:rsidRPr="00124643">
        <w:rPr>
          <w:rFonts w:hint="cs"/>
          <w:rtl/>
        </w:rPr>
        <w:t xml:space="preserve"> </w:t>
      </w:r>
      <w:r w:rsidRPr="007F2D83">
        <w:rPr>
          <w:rStyle w:val="af7"/>
          <w:rFonts w:eastAsia="Guttman Hodes" w:hint="cs"/>
          <w:rtl/>
        </w:rPr>
        <w:t xml:space="preserve">(עי' אות </w:t>
      </w:r>
      <w:r w:rsidRPr="007F2D83">
        <w:rPr>
          <w:rStyle w:val="af7"/>
          <w:rFonts w:eastAsia="Guttman Hodes"/>
          <w:rtl/>
        </w:rPr>
        <w:fldChar w:fldCharType="begin"/>
      </w:r>
      <w:r w:rsidRPr="007F2D83">
        <w:rPr>
          <w:rStyle w:val="af7"/>
          <w:rFonts w:eastAsia="Guttman Hodes"/>
          <w:rtl/>
        </w:rPr>
        <w:instrText xml:space="preserve"> </w:instrText>
      </w:r>
      <w:r w:rsidRPr="007F2D83">
        <w:rPr>
          <w:rStyle w:val="af7"/>
          <w:rFonts w:eastAsia="Guttman Hodes" w:hint="cs"/>
        </w:rPr>
        <w:instrText>REF</w:instrText>
      </w:r>
      <w:r w:rsidRPr="007F2D83">
        <w:rPr>
          <w:rStyle w:val="af7"/>
          <w:rFonts w:eastAsia="Guttman Hodes" w:hint="cs"/>
          <w:rtl/>
        </w:rPr>
        <w:instrText xml:space="preserve"> _</w:instrText>
      </w:r>
      <w:r w:rsidRPr="007F2D83">
        <w:rPr>
          <w:rStyle w:val="af7"/>
          <w:rFonts w:eastAsia="Guttman Hodes" w:hint="cs"/>
        </w:rPr>
        <w:instrText>Ref529121640 \r \h</w:instrText>
      </w:r>
      <w:r w:rsidRPr="007F2D83">
        <w:rPr>
          <w:rStyle w:val="af7"/>
          <w:rFonts w:eastAsia="Guttman Hodes"/>
          <w:rtl/>
        </w:rPr>
        <w:instrText xml:space="preserve"> </w:instrText>
      </w:r>
      <w:r w:rsidRPr="007F2D83">
        <w:rPr>
          <w:rStyle w:val="af7"/>
          <w:rFonts w:eastAsia="Guttman Hodes"/>
          <w:rtl/>
        </w:rPr>
      </w:r>
      <w:r w:rsidRPr="007F2D83">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7F2D83">
        <w:rPr>
          <w:rStyle w:val="af7"/>
          <w:rFonts w:eastAsia="Guttman Hodes"/>
          <w:rtl/>
        </w:rPr>
        <w:fldChar w:fldCharType="end"/>
      </w:r>
      <w:r>
        <w:rPr>
          <w:rFonts w:hint="cs"/>
          <w:rtl/>
        </w:rPr>
        <w:t xml:space="preserve"> </w:t>
      </w:r>
      <w:r w:rsidRPr="00124643">
        <w:rPr>
          <w:rFonts w:hint="cs"/>
          <w:rtl/>
        </w:rPr>
        <w:t xml:space="preserve">דחזקה שלא נתבררה בשעתה אינה חזקה, א"כ הגבינות אסורות, </w:t>
      </w:r>
      <w:r>
        <w:rPr>
          <w:rFonts w:hint="cs"/>
          <w:rtl/>
        </w:rPr>
        <w:t>ו</w:t>
      </w:r>
      <w:r w:rsidRPr="00124643">
        <w:rPr>
          <w:rFonts w:hint="cs"/>
          <w:rtl/>
        </w:rPr>
        <w:t xml:space="preserve">כתב </w:t>
      </w:r>
      <w:r w:rsidRPr="00124643">
        <w:rPr>
          <w:rStyle w:val="af9"/>
          <w:rFonts w:hint="cs"/>
          <w:rtl/>
        </w:rPr>
        <w:t>הרא"ש בתשו'</w:t>
      </w:r>
      <w:r w:rsidRPr="00124643">
        <w:rPr>
          <w:rFonts w:hint="cs"/>
          <w:rtl/>
        </w:rPr>
        <w:t xml:space="preserve"> דכל תירוץ זה הוא לפי הגמ' בהו"א שעדיין לא ילפינן דאזלינן בתר רובא, אבל למסקנת הגמ' דאזלינן בתר רובא, הגבינות מותרות, דכיון שרוב עדיף מחזקה ובכל שעה ושעה אזלינן בתר רובא, והיא כשרה, וכיון שהרוב עדיף מהחזקה אפשר להעמיד את הבהמה על חזקתה ולומר שסמוך לשחיטתה נטרפה, ולכן הגבינות כשרות</w:t>
      </w:r>
      <w:r>
        <w:rPr>
          <w:rFonts w:hint="cs"/>
          <w:rtl/>
        </w:rPr>
        <w:t xml:space="preserve">. </w:t>
      </w:r>
      <w:r w:rsidRPr="00166459">
        <w:rPr>
          <w:rStyle w:val="afb"/>
          <w:rFonts w:hint="cs"/>
          <w:rtl/>
        </w:rPr>
        <w:t xml:space="preserve">[וכ"כ </w:t>
      </w:r>
      <w:r w:rsidRPr="00166459">
        <w:rPr>
          <w:rStyle w:val="affa"/>
          <w:rFonts w:hint="cs"/>
          <w:rtl/>
        </w:rPr>
        <w:t>הסמ"ג</w:t>
      </w:r>
      <w:r w:rsidRPr="00166459">
        <w:rPr>
          <w:rStyle w:val="afb"/>
          <w:rFonts w:hint="cs"/>
          <w:rtl/>
        </w:rPr>
        <w:t xml:space="preserve"> </w:t>
      </w:r>
      <w:r w:rsidRPr="00166459">
        <w:rPr>
          <w:rStyle w:val="aff6"/>
          <w:rFonts w:hint="cs"/>
          <w:rtl/>
        </w:rPr>
        <w:t>(לאוין סוף קמ"א,</w:t>
      </w:r>
      <w:r w:rsidRPr="00166459">
        <w:rPr>
          <w:rStyle w:val="aff6"/>
          <w:rtl/>
        </w:rPr>
        <w:t xml:space="preserve"> </w:t>
      </w:r>
      <w:r w:rsidRPr="00166459">
        <w:rPr>
          <w:rStyle w:val="aff6"/>
          <w:rFonts w:hint="cs"/>
          <w:rtl/>
        </w:rPr>
        <w:t>הועתק</w:t>
      </w:r>
      <w:r w:rsidRPr="00166459">
        <w:rPr>
          <w:rStyle w:val="aff6"/>
          <w:rtl/>
        </w:rPr>
        <w:t xml:space="preserve"> בקובץ שיטות קמאי חולין ח"א עמ' רכ"ט</w:t>
      </w:r>
      <w:r w:rsidRPr="00166459">
        <w:rPr>
          <w:rStyle w:val="aff6"/>
          <w:rFonts w:hint="cs"/>
          <w:rtl/>
        </w:rPr>
        <w:t>)</w:t>
      </w:r>
      <w:r w:rsidRPr="00166459">
        <w:rPr>
          <w:rStyle w:val="afb"/>
          <w:rFonts w:hint="cs"/>
          <w:rtl/>
        </w:rPr>
        <w:t xml:space="preserve"> </w:t>
      </w:r>
      <w:r w:rsidRPr="00166459">
        <w:rPr>
          <w:rStyle w:val="affa"/>
          <w:rFonts w:hint="cs"/>
          <w:rtl/>
        </w:rPr>
        <w:t>והאיסור והיתר הארוך</w:t>
      </w:r>
      <w:r w:rsidRPr="00166459">
        <w:rPr>
          <w:rStyle w:val="afb"/>
          <w:rFonts w:hint="cs"/>
          <w:rtl/>
        </w:rPr>
        <w:t xml:space="preserve"> </w:t>
      </w:r>
      <w:r w:rsidRPr="00166459">
        <w:rPr>
          <w:rStyle w:val="aff6"/>
          <w:rFonts w:hint="cs"/>
          <w:rtl/>
        </w:rPr>
        <w:t>(מ"ט ב')</w:t>
      </w:r>
      <w:r w:rsidRPr="00166459">
        <w:rPr>
          <w:rStyle w:val="afb"/>
          <w:rFonts w:hint="cs"/>
          <w:rtl/>
        </w:rPr>
        <w:t xml:space="preserve"> בשם </w:t>
      </w:r>
      <w:r w:rsidRPr="00166459">
        <w:rPr>
          <w:rStyle w:val="affa"/>
          <w:rFonts w:hint="cs"/>
          <w:rtl/>
        </w:rPr>
        <w:t>רבינו יוסף</w:t>
      </w:r>
      <w:r w:rsidRPr="00166459">
        <w:rPr>
          <w:rStyle w:val="afb"/>
          <w:rFonts w:hint="cs"/>
          <w:rtl/>
        </w:rPr>
        <w:t xml:space="preserve"> דלמסקנא פשיטא דהפרה מותרת ע"י חזקה מכח רוב, וביארו דע"י הרוב חשיבא החזקה כמבוררת</w:t>
      </w:r>
      <w:r>
        <w:rPr>
          <w:rStyle w:val="afb"/>
          <w:rFonts w:hint="cs"/>
          <w:rtl/>
        </w:rPr>
        <w:t xml:space="preserve">, וכתב </w:t>
      </w:r>
      <w:r w:rsidRPr="00166459">
        <w:rPr>
          <w:rStyle w:val="affa"/>
          <w:rFonts w:hint="cs"/>
          <w:rtl/>
        </w:rPr>
        <w:t>האיסור והיתר הארוך</w:t>
      </w:r>
      <w:r w:rsidRPr="00166459">
        <w:rPr>
          <w:rStyle w:val="afb"/>
          <w:rFonts w:hint="cs"/>
          <w:rtl/>
        </w:rPr>
        <w:t xml:space="preserve"> </w:t>
      </w:r>
      <w:r>
        <w:rPr>
          <w:rStyle w:val="afb"/>
          <w:rFonts w:hint="cs"/>
          <w:rtl/>
        </w:rPr>
        <w:t xml:space="preserve">דזו כוונת </w:t>
      </w:r>
      <w:r w:rsidRPr="00000604">
        <w:rPr>
          <w:rStyle w:val="affa"/>
          <w:rFonts w:hint="cs"/>
          <w:rtl/>
        </w:rPr>
        <w:t>הרא"ש בפסקים</w:t>
      </w:r>
      <w:r w:rsidRPr="00166459">
        <w:rPr>
          <w:rStyle w:val="afb"/>
          <w:rFonts w:hint="cs"/>
          <w:rtl/>
        </w:rPr>
        <w:t>].</w:t>
      </w:r>
    </w:p>
    <w:p w14:paraId="4AFF4178" w14:textId="77777777" w:rsidR="00D95C52" w:rsidRDefault="00D95C52" w:rsidP="006D6D32">
      <w:pPr>
        <w:pStyle w:val="a3"/>
        <w:rPr>
          <w:rtl/>
        </w:rPr>
      </w:pPr>
      <w:bookmarkStart w:id="8670" w:name="_Toc529738969"/>
      <w:bookmarkStart w:id="8671" w:name="_Toc19390133"/>
      <w:bookmarkStart w:id="8672" w:name="_Toc19393630"/>
      <w:r>
        <w:rPr>
          <w:rFonts w:hint="cs"/>
          <w:rtl/>
        </w:rPr>
        <w:t>דברי השערי תורה והתורת יקותיאל דהרא"ש ביאר דכוונתו לחזקה מכח רוב</w:t>
      </w:r>
      <w:bookmarkEnd w:id="8670"/>
      <w:bookmarkEnd w:id="8671"/>
      <w:bookmarkEnd w:id="8672"/>
    </w:p>
    <w:p w14:paraId="3D7F6655" w14:textId="77777777" w:rsidR="00D95C52" w:rsidRPr="001857A6" w:rsidRDefault="00D95C52" w:rsidP="00223668">
      <w:pPr>
        <w:pStyle w:val="a0"/>
        <w:rPr>
          <w:rtl/>
        </w:rPr>
      </w:pPr>
      <w:r>
        <w:rPr>
          <w:rFonts w:hint="cs"/>
          <w:rtl/>
        </w:rPr>
        <w:t>ו</w:t>
      </w:r>
      <w:r w:rsidRPr="001857A6">
        <w:rPr>
          <w:rFonts w:hint="cs"/>
          <w:rtl/>
        </w:rPr>
        <w:t xml:space="preserve">כתבו </w:t>
      </w:r>
      <w:r w:rsidRPr="001857A6">
        <w:rPr>
          <w:rStyle w:val="af9"/>
          <w:rFonts w:hint="cs"/>
          <w:rtl/>
        </w:rPr>
        <w:t>השערי תורה</w:t>
      </w:r>
      <w:r w:rsidRPr="001857A6">
        <w:rPr>
          <w:rFonts w:hint="cs"/>
          <w:rtl/>
        </w:rPr>
        <w:t xml:space="preserve"> </w:t>
      </w:r>
      <w:r w:rsidRPr="001857A6">
        <w:rPr>
          <w:rStyle w:val="af7"/>
          <w:rFonts w:eastAsia="Guttman Hodes" w:hint="cs"/>
          <w:rtl/>
        </w:rPr>
        <w:t xml:space="preserve">(ענייני חזקות ח"ב כלל ל"ז אות י"א ד"ה והמעיין) </w:t>
      </w:r>
      <w:r w:rsidRPr="001857A6">
        <w:rPr>
          <w:rStyle w:val="af9"/>
          <w:rFonts w:hint="cs"/>
          <w:rtl/>
        </w:rPr>
        <w:t>והתורת יקותיאל</w:t>
      </w:r>
      <w:r w:rsidRPr="001857A6">
        <w:rPr>
          <w:rFonts w:hint="cs"/>
          <w:rtl/>
        </w:rPr>
        <w:t xml:space="preserve"> </w:t>
      </w:r>
      <w:r w:rsidRPr="001857A6">
        <w:rPr>
          <w:rStyle w:val="af7"/>
          <w:rFonts w:eastAsia="Guttman Hodes" w:hint="cs"/>
          <w:rtl/>
        </w:rPr>
        <w:t>(סי' פ"א ד"ה הנה עינינו)</w:t>
      </w:r>
      <w:r w:rsidRPr="001857A6">
        <w:rPr>
          <w:rFonts w:hint="cs"/>
          <w:rtl/>
        </w:rPr>
        <w:t xml:space="preserve"> דאף דבדברי </w:t>
      </w:r>
      <w:r w:rsidRPr="001857A6">
        <w:rPr>
          <w:rStyle w:val="af9"/>
          <w:rFonts w:hint="cs"/>
          <w:rtl/>
        </w:rPr>
        <w:t>הרא"ש בפסקיו</w:t>
      </w:r>
      <w:r w:rsidRPr="001857A6">
        <w:rPr>
          <w:rFonts w:hint="cs"/>
          <w:rtl/>
        </w:rPr>
        <w:t xml:space="preserve"> יש להסתפק אם כוונתו להתיר ע"י הרוב, או ע"י חזקה מכח רוב, מ"מ בדברי</w:t>
      </w:r>
      <w:r w:rsidRPr="001857A6">
        <w:rPr>
          <w:rStyle w:val="af9"/>
          <w:rFonts w:hint="cs"/>
          <w:rtl/>
        </w:rPr>
        <w:t xml:space="preserve"> הרא"ש בתשו'</w:t>
      </w:r>
      <w:r w:rsidRPr="001857A6">
        <w:rPr>
          <w:rFonts w:hint="cs"/>
          <w:rtl/>
        </w:rPr>
        <w:t xml:space="preserve"> ביאר את דבריו בפסקים, דכוונתו לדין חזקה מכח רוב ולא לדין רוב, וס"ל כדעת </w:t>
      </w:r>
      <w:r w:rsidRPr="001857A6">
        <w:rPr>
          <w:rStyle w:val="af9"/>
          <w:rFonts w:hint="cs"/>
          <w:rtl/>
        </w:rPr>
        <w:t>הרשב"א</w:t>
      </w:r>
      <w:r w:rsidRPr="001857A6">
        <w:rPr>
          <w:rFonts w:hint="cs"/>
          <w:rtl/>
        </w:rPr>
        <w:t xml:space="preserve"> </w:t>
      </w:r>
      <w:r w:rsidRPr="001857A6">
        <w:rPr>
          <w:rStyle w:val="af7"/>
          <w:rFonts w:eastAsia="Guttman Hodes" w:hint="cs"/>
          <w:rtl/>
        </w:rPr>
        <w:t xml:space="preserve">(עי' אות </w:t>
      </w:r>
      <w:r w:rsidRPr="001857A6">
        <w:rPr>
          <w:rStyle w:val="af7"/>
          <w:rFonts w:eastAsia="Guttman Hodes"/>
          <w:rtl/>
        </w:rPr>
        <w:fldChar w:fldCharType="begin"/>
      </w:r>
      <w:r w:rsidRPr="001857A6">
        <w:rPr>
          <w:rStyle w:val="af7"/>
          <w:rFonts w:eastAsia="Guttman Hodes"/>
          <w:rtl/>
        </w:rPr>
        <w:instrText xml:space="preserve"> </w:instrText>
      </w:r>
      <w:r w:rsidRPr="001857A6">
        <w:rPr>
          <w:rStyle w:val="af7"/>
          <w:rFonts w:eastAsia="Guttman Hodes" w:hint="cs"/>
        </w:rPr>
        <w:instrText>REF</w:instrText>
      </w:r>
      <w:r w:rsidRPr="001857A6">
        <w:rPr>
          <w:rStyle w:val="af7"/>
          <w:rFonts w:eastAsia="Guttman Hodes" w:hint="cs"/>
          <w:rtl/>
        </w:rPr>
        <w:instrText xml:space="preserve"> _</w:instrText>
      </w:r>
      <w:r w:rsidRPr="001857A6">
        <w:rPr>
          <w:rStyle w:val="af7"/>
          <w:rFonts w:eastAsia="Guttman Hodes" w:hint="cs"/>
        </w:rPr>
        <w:instrText>Ref529129544 \r \h</w:instrText>
      </w:r>
      <w:r w:rsidRPr="001857A6">
        <w:rPr>
          <w:rStyle w:val="af7"/>
          <w:rFonts w:eastAsia="Guttman Hodes"/>
          <w:rtl/>
        </w:rPr>
        <w:instrText xml:space="preserve">  \* </w:instrText>
      </w:r>
      <w:r w:rsidRPr="001857A6">
        <w:rPr>
          <w:rStyle w:val="af7"/>
          <w:rFonts w:eastAsia="Guttman Hodes"/>
        </w:rPr>
        <w:instrText>MERGEFORMAT</w:instrText>
      </w:r>
      <w:r w:rsidRPr="001857A6">
        <w:rPr>
          <w:rStyle w:val="af7"/>
          <w:rFonts w:eastAsia="Guttman Hodes"/>
          <w:rtl/>
        </w:rPr>
        <w:instrText xml:space="preserve"> </w:instrText>
      </w:r>
      <w:r w:rsidRPr="001857A6">
        <w:rPr>
          <w:rStyle w:val="af7"/>
          <w:rFonts w:eastAsia="Guttman Hodes"/>
          <w:rtl/>
        </w:rPr>
      </w:r>
      <w:r w:rsidRPr="001857A6">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1857A6">
        <w:rPr>
          <w:rStyle w:val="af7"/>
          <w:rFonts w:eastAsia="Guttman Hodes"/>
          <w:rtl/>
        </w:rPr>
        <w:fldChar w:fldCharType="end"/>
      </w:r>
      <w:r w:rsidRPr="001857A6">
        <w:rPr>
          <w:rFonts w:hint="cs"/>
          <w:rtl/>
        </w:rPr>
        <w:t xml:space="preserve">, </w:t>
      </w:r>
      <w:r w:rsidRPr="001857A6">
        <w:rPr>
          <w:rtl/>
        </w:rPr>
        <w:t>ו</w:t>
      </w:r>
      <w:r w:rsidRPr="001857A6">
        <w:rPr>
          <w:rFonts w:hint="cs"/>
          <w:rtl/>
        </w:rPr>
        <w:t>עמ"ש בזה</w:t>
      </w:r>
      <w:r w:rsidRPr="001857A6">
        <w:rPr>
          <w:rtl/>
        </w:rPr>
        <w:t xml:space="preserve"> </w:t>
      </w:r>
      <w:r w:rsidRPr="001857A6">
        <w:rPr>
          <w:rStyle w:val="af9"/>
          <w:rtl/>
        </w:rPr>
        <w:t>בשיעורי הגר"י מפונביז'</w:t>
      </w:r>
      <w:r w:rsidRPr="001857A6">
        <w:rPr>
          <w:rFonts w:hint="cs"/>
          <w:rtl/>
        </w:rPr>
        <w:t xml:space="preserve"> </w:t>
      </w:r>
      <w:r w:rsidRPr="001857A6">
        <w:rPr>
          <w:rStyle w:val="af7"/>
          <w:rFonts w:eastAsia="Guttman Hodes" w:hint="cs"/>
          <w:rtl/>
        </w:rPr>
        <w:t xml:space="preserve">(עי' אות </w:t>
      </w:r>
      <w:r w:rsidRPr="001857A6">
        <w:rPr>
          <w:rStyle w:val="af7"/>
          <w:rFonts w:eastAsia="Guttman Hodes"/>
          <w:rtl/>
        </w:rPr>
        <w:fldChar w:fldCharType="begin"/>
      </w:r>
      <w:r w:rsidRPr="001857A6">
        <w:rPr>
          <w:rStyle w:val="af7"/>
          <w:rFonts w:eastAsia="Guttman Hodes"/>
          <w:rtl/>
        </w:rPr>
        <w:instrText xml:space="preserve"> </w:instrText>
      </w:r>
      <w:r w:rsidRPr="001857A6">
        <w:rPr>
          <w:rStyle w:val="af7"/>
          <w:rFonts w:eastAsia="Guttman Hodes" w:hint="cs"/>
        </w:rPr>
        <w:instrText>REF</w:instrText>
      </w:r>
      <w:r w:rsidRPr="001857A6">
        <w:rPr>
          <w:rStyle w:val="af7"/>
          <w:rFonts w:eastAsia="Guttman Hodes" w:hint="cs"/>
          <w:rtl/>
        </w:rPr>
        <w:instrText xml:space="preserve"> _</w:instrText>
      </w:r>
      <w:r w:rsidRPr="001857A6">
        <w:rPr>
          <w:rStyle w:val="af7"/>
          <w:rFonts w:eastAsia="Guttman Hodes" w:hint="cs"/>
        </w:rPr>
        <w:instrText>Ref529351967 \r \h</w:instrText>
      </w:r>
      <w:r w:rsidRPr="001857A6">
        <w:rPr>
          <w:rStyle w:val="af7"/>
          <w:rFonts w:eastAsia="Guttman Hodes"/>
          <w:rtl/>
        </w:rPr>
        <w:instrText xml:space="preserve">  \* </w:instrText>
      </w:r>
      <w:r w:rsidRPr="001857A6">
        <w:rPr>
          <w:rStyle w:val="af7"/>
          <w:rFonts w:eastAsia="Guttman Hodes"/>
        </w:rPr>
        <w:instrText>MERGEFORMAT</w:instrText>
      </w:r>
      <w:r w:rsidRPr="001857A6">
        <w:rPr>
          <w:rStyle w:val="af7"/>
          <w:rFonts w:eastAsia="Guttman Hodes"/>
          <w:rtl/>
        </w:rPr>
        <w:instrText xml:space="preserve"> </w:instrText>
      </w:r>
      <w:r w:rsidRPr="001857A6">
        <w:rPr>
          <w:rStyle w:val="af7"/>
          <w:rFonts w:eastAsia="Guttman Hodes"/>
          <w:rtl/>
        </w:rPr>
      </w:r>
      <w:r w:rsidRPr="001857A6">
        <w:rPr>
          <w:rStyle w:val="af7"/>
          <w:rFonts w:eastAsia="Guttman Hodes"/>
          <w:rtl/>
        </w:rPr>
        <w:fldChar w:fldCharType="separate"/>
      </w:r>
      <w:r w:rsidR="00345400">
        <w:rPr>
          <w:rStyle w:val="af7"/>
          <w:rFonts w:eastAsia="Guttman Hodes"/>
          <w:cs/>
        </w:rPr>
        <w:t>‎</w:t>
      </w:r>
      <w:r w:rsidR="00345400">
        <w:rPr>
          <w:rStyle w:val="af7"/>
          <w:rFonts w:eastAsia="Guttman Hodes"/>
          <w:rtl/>
        </w:rPr>
        <w:t>קיט)</w:t>
      </w:r>
      <w:r w:rsidRPr="001857A6">
        <w:rPr>
          <w:rStyle w:val="af7"/>
          <w:rFonts w:eastAsia="Guttman Hodes"/>
          <w:rtl/>
        </w:rPr>
        <w:fldChar w:fldCharType="end"/>
      </w:r>
      <w:r w:rsidRPr="001857A6">
        <w:rPr>
          <w:rFonts w:hint="cs"/>
          <w:rtl/>
        </w:rPr>
        <w:t>.</w:t>
      </w:r>
    </w:p>
    <w:p w14:paraId="5B85A2D8" w14:textId="77777777" w:rsidR="00D95C52" w:rsidRPr="00124643" w:rsidRDefault="00D95C52" w:rsidP="006D6D32">
      <w:pPr>
        <w:pStyle w:val="a3"/>
        <w:rPr>
          <w:rtl/>
        </w:rPr>
      </w:pPr>
      <w:bookmarkStart w:id="8673" w:name="_Toc529352381"/>
      <w:bookmarkStart w:id="8674" w:name="_Toc529444995"/>
      <w:bookmarkStart w:id="8675" w:name="_Toc529704510"/>
      <w:bookmarkStart w:id="8676" w:name="_Toc529738970"/>
      <w:bookmarkStart w:id="8677" w:name="_Toc19390134"/>
      <w:bookmarkStart w:id="8678" w:name="_Toc19393631"/>
      <w:r w:rsidRPr="00124643">
        <w:rPr>
          <w:rFonts w:hint="cs"/>
          <w:rtl/>
        </w:rPr>
        <w:t xml:space="preserve">ביאור </w:t>
      </w:r>
      <w:r>
        <w:rPr>
          <w:rFonts w:hint="cs"/>
          <w:rtl/>
        </w:rPr>
        <w:t>הב"י ו</w:t>
      </w:r>
      <w:r w:rsidRPr="00124643">
        <w:rPr>
          <w:rFonts w:hint="cs"/>
          <w:rtl/>
        </w:rPr>
        <w:t>הגר"א ברא"ש דהתיר ע"י חזקה מכח רוב וכדעת רבינו יונה</w:t>
      </w:r>
      <w:bookmarkEnd w:id="8673"/>
      <w:bookmarkEnd w:id="8674"/>
      <w:bookmarkEnd w:id="8675"/>
      <w:bookmarkEnd w:id="8676"/>
      <w:bookmarkEnd w:id="8677"/>
      <w:bookmarkEnd w:id="8678"/>
    </w:p>
    <w:p w14:paraId="30C51BC0" w14:textId="77777777" w:rsidR="00D95C52" w:rsidRPr="007560D5" w:rsidRDefault="00D95C52" w:rsidP="00223668">
      <w:pPr>
        <w:pStyle w:val="a0"/>
        <w:rPr>
          <w:rtl/>
        </w:rPr>
      </w:pPr>
      <w:r>
        <w:rPr>
          <w:rStyle w:val="af9"/>
          <w:rFonts w:hint="cs"/>
          <w:rtl/>
        </w:rPr>
        <w:t>ו</w:t>
      </w:r>
      <w:r w:rsidRPr="00C026B2">
        <w:rPr>
          <w:rStyle w:val="af9"/>
          <w:rFonts w:hint="cs"/>
          <w:rtl/>
        </w:rPr>
        <w:t>הב"י</w:t>
      </w:r>
      <w:r>
        <w:rPr>
          <w:rFonts w:hint="cs"/>
          <w:rtl/>
        </w:rPr>
        <w:t xml:space="preserve"> </w:t>
      </w:r>
      <w:r>
        <w:rPr>
          <w:rStyle w:val="af7"/>
          <w:rFonts w:eastAsia="Guttman Hodes" w:hint="cs"/>
          <w:rtl/>
        </w:rPr>
        <w:t>(סי</w:t>
      </w:r>
      <w:r>
        <w:rPr>
          <w:rStyle w:val="af7"/>
          <w:rFonts w:eastAsia="Guttman Hodes"/>
          <w:rtl/>
        </w:rPr>
        <w:t>'</w:t>
      </w:r>
      <w:r>
        <w:rPr>
          <w:rStyle w:val="af7"/>
          <w:rFonts w:eastAsia="Guttman Hodes" w:hint="cs"/>
          <w:rtl/>
        </w:rPr>
        <w:t xml:space="preserve"> פ</w:t>
      </w:r>
      <w:r>
        <w:rPr>
          <w:rStyle w:val="af7"/>
          <w:rFonts w:eastAsia="Guttman Hodes"/>
          <w:rtl/>
        </w:rPr>
        <w:t>"</w:t>
      </w:r>
      <w:r>
        <w:rPr>
          <w:rStyle w:val="af7"/>
          <w:rFonts w:eastAsia="Guttman Hodes" w:hint="cs"/>
          <w:rtl/>
        </w:rPr>
        <w:t xml:space="preserve">א </w:t>
      </w:r>
      <w:r w:rsidRPr="00C026B2">
        <w:rPr>
          <w:rStyle w:val="af7"/>
          <w:rFonts w:eastAsia="Guttman Hodes" w:hint="cs"/>
          <w:rtl/>
        </w:rPr>
        <w:t xml:space="preserve"> ב'</w:t>
      </w:r>
      <w:r>
        <w:rPr>
          <w:rStyle w:val="af7"/>
          <w:rFonts w:eastAsia="Guttman Hodes" w:hint="cs"/>
          <w:rtl/>
        </w:rPr>
        <w:t xml:space="preserve"> ד"ה וגבינות</w:t>
      </w:r>
      <w:r w:rsidRPr="00C026B2">
        <w:rPr>
          <w:rStyle w:val="af7"/>
          <w:rFonts w:eastAsia="Guttman Hodes" w:hint="cs"/>
          <w:rtl/>
        </w:rPr>
        <w:t>)</w:t>
      </w:r>
      <w:r>
        <w:rPr>
          <w:rFonts w:hint="cs"/>
          <w:rtl/>
        </w:rPr>
        <w:t xml:space="preserve"> ו</w:t>
      </w:r>
      <w:r w:rsidRPr="00124643">
        <w:rPr>
          <w:rStyle w:val="af9"/>
          <w:rFonts w:hint="cs"/>
          <w:rtl/>
        </w:rPr>
        <w:t>הגר"א</w:t>
      </w:r>
      <w:r w:rsidRPr="00124643">
        <w:rPr>
          <w:rFonts w:hint="cs"/>
          <w:rtl/>
        </w:rPr>
        <w:t xml:space="preserve"> </w:t>
      </w:r>
      <w:r>
        <w:rPr>
          <w:rStyle w:val="af7"/>
          <w:rFonts w:eastAsia="Guttman Hodes" w:hint="cs"/>
          <w:rtl/>
        </w:rPr>
        <w:t>(סי</w:t>
      </w:r>
      <w:r>
        <w:rPr>
          <w:rStyle w:val="af7"/>
          <w:rFonts w:eastAsia="Guttman Hodes"/>
          <w:rtl/>
        </w:rPr>
        <w:t>'</w:t>
      </w:r>
      <w:r>
        <w:rPr>
          <w:rStyle w:val="af7"/>
          <w:rFonts w:eastAsia="Guttman Hodes" w:hint="cs"/>
          <w:rtl/>
        </w:rPr>
        <w:t xml:space="preserve"> פ</w:t>
      </w:r>
      <w:r>
        <w:rPr>
          <w:rStyle w:val="af7"/>
          <w:rFonts w:eastAsia="Guttman Hodes"/>
          <w:rtl/>
        </w:rPr>
        <w:t>"</w:t>
      </w:r>
      <w:r>
        <w:rPr>
          <w:rStyle w:val="af7"/>
          <w:rFonts w:eastAsia="Guttman Hodes" w:hint="cs"/>
          <w:rtl/>
        </w:rPr>
        <w:t xml:space="preserve">א </w:t>
      </w:r>
      <w:r w:rsidRPr="00124643">
        <w:rPr>
          <w:rStyle w:val="af7"/>
          <w:rFonts w:eastAsia="Guttman Hodes" w:hint="cs"/>
          <w:rtl/>
        </w:rPr>
        <w:t xml:space="preserve"> ו')</w:t>
      </w:r>
      <w:r w:rsidRPr="00124643">
        <w:rPr>
          <w:rFonts w:hint="cs"/>
          <w:rtl/>
        </w:rPr>
        <w:t xml:space="preserve"> ביאר</w:t>
      </w:r>
      <w:r>
        <w:rPr>
          <w:rFonts w:hint="cs"/>
          <w:rtl/>
        </w:rPr>
        <w:t>ו</w:t>
      </w:r>
      <w:r w:rsidRPr="00124643">
        <w:rPr>
          <w:rFonts w:hint="cs"/>
          <w:rtl/>
        </w:rPr>
        <w:t xml:space="preserve"> דכוונת </w:t>
      </w:r>
      <w:r w:rsidRPr="00124643">
        <w:rPr>
          <w:rStyle w:val="af9"/>
          <w:rFonts w:hint="cs"/>
          <w:rtl/>
        </w:rPr>
        <w:t>הרא"ש</w:t>
      </w:r>
      <w:r w:rsidRPr="00124643">
        <w:rPr>
          <w:rFonts w:hint="cs"/>
          <w:rtl/>
        </w:rPr>
        <w:t xml:space="preserve"> דהגבינות מותרות ע"י חזקה מכח רוב</w:t>
      </w:r>
      <w:r w:rsidRPr="00C026B2">
        <w:rPr>
          <w:rFonts w:hint="cs"/>
          <w:rtl/>
        </w:rPr>
        <w:t xml:space="preserve"> </w:t>
      </w:r>
      <w:r>
        <w:rPr>
          <w:rFonts w:hint="cs"/>
          <w:rtl/>
        </w:rPr>
        <w:t xml:space="preserve">כדעת </w:t>
      </w:r>
      <w:r w:rsidRPr="00EF0BBC">
        <w:rPr>
          <w:rStyle w:val="af9"/>
          <w:rFonts w:hint="cs"/>
          <w:rtl/>
        </w:rPr>
        <w:t>הרשב"א</w:t>
      </w:r>
      <w:r>
        <w:rPr>
          <w:rFonts w:hint="cs"/>
          <w:rtl/>
        </w:rPr>
        <w:t xml:space="preserve"> </w:t>
      </w:r>
      <w:r w:rsidRPr="00EF0BBC">
        <w:rPr>
          <w:rStyle w:val="af7"/>
          <w:rFonts w:eastAsia="Guttman Hodes" w:hint="cs"/>
          <w:rtl/>
        </w:rPr>
        <w:t xml:space="preserve">(עי' אות </w:t>
      </w:r>
      <w:r w:rsidRPr="00EF0BBC">
        <w:rPr>
          <w:rStyle w:val="af7"/>
          <w:rFonts w:eastAsia="Guttman Hodes"/>
          <w:rtl/>
        </w:rPr>
        <w:fldChar w:fldCharType="begin"/>
      </w:r>
      <w:r w:rsidRPr="00EF0BBC">
        <w:rPr>
          <w:rStyle w:val="af7"/>
          <w:rFonts w:eastAsia="Guttman Hodes"/>
          <w:rtl/>
        </w:rPr>
        <w:instrText xml:space="preserve"> </w:instrText>
      </w:r>
      <w:r w:rsidRPr="00EF0BBC">
        <w:rPr>
          <w:rStyle w:val="af7"/>
          <w:rFonts w:eastAsia="Guttman Hodes" w:hint="cs"/>
        </w:rPr>
        <w:instrText>REF</w:instrText>
      </w:r>
      <w:r w:rsidRPr="00EF0BBC">
        <w:rPr>
          <w:rStyle w:val="af7"/>
          <w:rFonts w:eastAsia="Guttman Hodes" w:hint="cs"/>
          <w:rtl/>
        </w:rPr>
        <w:instrText xml:space="preserve"> _</w:instrText>
      </w:r>
      <w:r w:rsidRPr="00EF0BBC">
        <w:rPr>
          <w:rStyle w:val="af7"/>
          <w:rFonts w:eastAsia="Guttman Hodes" w:hint="cs"/>
        </w:rPr>
        <w:instrText>Ref529129544 \r \h</w:instrText>
      </w:r>
      <w:r w:rsidRPr="00EF0BBC">
        <w:rPr>
          <w:rStyle w:val="af7"/>
          <w:rFonts w:eastAsia="Guttman Hodes"/>
          <w:rtl/>
        </w:rPr>
        <w:instrText xml:space="preserve"> </w:instrText>
      </w:r>
      <w:r w:rsidRPr="00EF0BBC">
        <w:rPr>
          <w:rStyle w:val="af7"/>
          <w:rFonts w:eastAsia="Guttman Hodes"/>
          <w:rtl/>
        </w:rPr>
      </w:r>
      <w:r w:rsidRPr="00EF0BBC">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EF0BBC">
        <w:rPr>
          <w:rStyle w:val="af7"/>
          <w:rFonts w:eastAsia="Guttman Hodes"/>
          <w:rtl/>
        </w:rPr>
        <w:fldChar w:fldCharType="end"/>
      </w:r>
      <w:r w:rsidRPr="00124643">
        <w:rPr>
          <w:rFonts w:hint="cs"/>
          <w:rtl/>
        </w:rPr>
        <w:t xml:space="preserve">, והביא </w:t>
      </w:r>
      <w:r w:rsidRPr="00124643">
        <w:rPr>
          <w:rStyle w:val="af9"/>
          <w:rFonts w:hint="cs"/>
          <w:rtl/>
        </w:rPr>
        <w:t>הגר"א</w:t>
      </w:r>
      <w:r w:rsidRPr="00124643">
        <w:rPr>
          <w:rFonts w:hint="cs"/>
          <w:rtl/>
        </w:rPr>
        <w:t xml:space="preserve"> את דברי  </w:t>
      </w:r>
      <w:r w:rsidRPr="00124643">
        <w:rPr>
          <w:rStyle w:val="af9"/>
          <w:rFonts w:hint="cs"/>
          <w:rtl/>
        </w:rPr>
        <w:t>התוס' בנדה</w:t>
      </w:r>
      <w:r w:rsidRPr="00124643">
        <w:rPr>
          <w:rFonts w:hint="cs"/>
          <w:rtl/>
        </w:rPr>
        <w:t xml:space="preserve"> </w:t>
      </w:r>
      <w:r w:rsidRPr="00124643">
        <w:rPr>
          <w:rStyle w:val="af7"/>
          <w:rFonts w:eastAsia="Guttman Hodes" w:hint="cs"/>
          <w:rtl/>
        </w:rPr>
        <w:t>(ב: ד"ה דאיכא)</w:t>
      </w:r>
      <w:r w:rsidRPr="00124643">
        <w:rPr>
          <w:rFonts w:hint="cs"/>
          <w:rtl/>
        </w:rPr>
        <w:t xml:space="preserve"> דכתבו דבמקום </w:t>
      </w:r>
      <w:r w:rsidRPr="007560D5">
        <w:rPr>
          <w:rFonts w:hint="cs"/>
          <w:rtl/>
        </w:rPr>
        <w:t xml:space="preserve">שאין ריעותא אזלינן בתר חזקה, אבל בגבינות אין חזקה כיון שלא נתבררה בשעתה, </w:t>
      </w:r>
      <w:r w:rsidRPr="007560D5">
        <w:rPr>
          <w:rStyle w:val="afb"/>
          <w:rFonts w:hint="cs"/>
          <w:rtl/>
        </w:rPr>
        <w:t xml:space="preserve">[ואולי כוונתו </w:t>
      </w:r>
      <w:r w:rsidRPr="007560D5">
        <w:rPr>
          <w:rStyle w:val="affa"/>
          <w:rFonts w:hint="cs"/>
          <w:rtl/>
        </w:rPr>
        <w:t>דלהרא"ש</w:t>
      </w:r>
      <w:r w:rsidRPr="007560D5">
        <w:rPr>
          <w:rStyle w:val="afb"/>
          <w:rFonts w:hint="cs"/>
          <w:rtl/>
        </w:rPr>
        <w:t xml:space="preserve"> ע"י הרוב חשיב שהחזקה נתבררה, כיון שאין בה ריעותא].</w:t>
      </w:r>
      <w:r w:rsidRPr="007560D5">
        <w:rPr>
          <w:rFonts w:hint="cs"/>
          <w:rtl/>
        </w:rPr>
        <w:t xml:space="preserve"> וכתב </w:t>
      </w:r>
      <w:r w:rsidRPr="007560D5">
        <w:rPr>
          <w:rStyle w:val="af9"/>
          <w:rFonts w:hint="cs"/>
          <w:rtl/>
        </w:rPr>
        <w:t>הגר"א</w:t>
      </w:r>
      <w:r w:rsidRPr="007560D5">
        <w:rPr>
          <w:rFonts w:hint="cs"/>
          <w:rtl/>
        </w:rPr>
        <w:t xml:space="preserve"> דכן דעת </w:t>
      </w:r>
      <w:r w:rsidRPr="007560D5">
        <w:rPr>
          <w:rStyle w:val="af9"/>
          <w:rFonts w:hint="cs"/>
          <w:rtl/>
        </w:rPr>
        <w:t>רבינו יונה</w:t>
      </w:r>
      <w:r w:rsidRPr="007560D5">
        <w:rPr>
          <w:rFonts w:hint="cs"/>
          <w:rtl/>
        </w:rPr>
        <w:t xml:space="preserve"> </w:t>
      </w:r>
      <w:r w:rsidRPr="007560D5">
        <w:rPr>
          <w:rStyle w:val="af7"/>
          <w:rFonts w:eastAsia="Guttman Hodes" w:hint="cs"/>
          <w:rtl/>
        </w:rPr>
        <w:t xml:space="preserve">(עי' אות </w:t>
      </w:r>
      <w:r w:rsidRPr="007560D5">
        <w:rPr>
          <w:rStyle w:val="af7"/>
          <w:rFonts w:eastAsia="Guttman Hodes"/>
          <w:rtl/>
        </w:rPr>
        <w:fldChar w:fldCharType="begin"/>
      </w:r>
      <w:r w:rsidRPr="007560D5">
        <w:rPr>
          <w:rStyle w:val="af7"/>
          <w:rFonts w:eastAsia="Guttman Hodes"/>
          <w:rtl/>
        </w:rPr>
        <w:instrText xml:space="preserve"> </w:instrText>
      </w:r>
      <w:r w:rsidRPr="007560D5">
        <w:rPr>
          <w:rStyle w:val="af7"/>
          <w:rFonts w:eastAsia="Guttman Hodes" w:hint="cs"/>
        </w:rPr>
        <w:instrText>REF</w:instrText>
      </w:r>
      <w:r w:rsidRPr="007560D5">
        <w:rPr>
          <w:rStyle w:val="af7"/>
          <w:rFonts w:eastAsia="Guttman Hodes" w:hint="cs"/>
          <w:rtl/>
        </w:rPr>
        <w:instrText xml:space="preserve"> _</w:instrText>
      </w:r>
      <w:r w:rsidRPr="007560D5">
        <w:rPr>
          <w:rStyle w:val="af7"/>
          <w:rFonts w:eastAsia="Guttman Hodes" w:hint="cs"/>
        </w:rPr>
        <w:instrText>Ref529091668 \r \h</w:instrText>
      </w:r>
      <w:r w:rsidRPr="007560D5">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560D5">
        <w:rPr>
          <w:rStyle w:val="af7"/>
          <w:rFonts w:eastAsia="Guttman Hodes"/>
          <w:rtl/>
        </w:rPr>
      </w:r>
      <w:r w:rsidRPr="007560D5">
        <w:rPr>
          <w:rStyle w:val="af7"/>
          <w:rFonts w:eastAsia="Guttman Hodes"/>
          <w:rtl/>
        </w:rPr>
        <w:fldChar w:fldCharType="separate"/>
      </w:r>
      <w:r w:rsidR="00345400">
        <w:rPr>
          <w:rStyle w:val="af7"/>
          <w:rFonts w:eastAsia="Guttman Hodes"/>
          <w:cs/>
        </w:rPr>
        <w:t>‎</w:t>
      </w:r>
      <w:r w:rsidR="00345400">
        <w:rPr>
          <w:rStyle w:val="af7"/>
          <w:rFonts w:eastAsia="Guttman Hodes"/>
          <w:rtl/>
        </w:rPr>
        <w:t>כג)</w:t>
      </w:r>
      <w:r w:rsidRPr="007560D5">
        <w:rPr>
          <w:rStyle w:val="af7"/>
          <w:rFonts w:eastAsia="Guttman Hodes"/>
          <w:rtl/>
        </w:rPr>
        <w:fldChar w:fldCharType="end"/>
      </w:r>
      <w:r w:rsidRPr="007560D5">
        <w:rPr>
          <w:rFonts w:hint="cs"/>
          <w:rtl/>
        </w:rPr>
        <w:t xml:space="preserve"> דס"ל דמחיים הבהמה בחזקת שאינה טריפה, כמבואר מדברי רב הונא דנשחטה בחזקת היתר קיימא, וכ"כ </w:t>
      </w:r>
      <w:r w:rsidRPr="007560D5">
        <w:rPr>
          <w:rStyle w:val="af9"/>
          <w:rFonts w:hint="cs"/>
          <w:rtl/>
        </w:rPr>
        <w:t>הבית הלוי</w:t>
      </w:r>
      <w:r w:rsidRPr="007560D5">
        <w:rPr>
          <w:rFonts w:hint="cs"/>
          <w:rtl/>
        </w:rPr>
        <w:t xml:space="preserve"> </w:t>
      </w:r>
      <w:r w:rsidRPr="007560D5">
        <w:rPr>
          <w:rStyle w:val="af7"/>
          <w:rFonts w:eastAsia="Guttman Hodes" w:hint="cs"/>
          <w:rtl/>
        </w:rPr>
        <w:t>(ח"ב סי' כ"א י"ג)</w:t>
      </w:r>
      <w:r w:rsidRPr="007560D5">
        <w:rPr>
          <w:rFonts w:hint="cs"/>
          <w:rtl/>
        </w:rPr>
        <w:t xml:space="preserve"> בדעת </w:t>
      </w:r>
      <w:r w:rsidRPr="007560D5">
        <w:rPr>
          <w:rStyle w:val="af9"/>
          <w:rFonts w:hint="cs"/>
          <w:rtl/>
        </w:rPr>
        <w:t>הרא"ש</w:t>
      </w:r>
      <w:r w:rsidRPr="007560D5">
        <w:rPr>
          <w:rFonts w:hint="cs"/>
          <w:rtl/>
        </w:rPr>
        <w:t>.</w:t>
      </w:r>
    </w:p>
    <w:p w14:paraId="14C66214" w14:textId="77777777" w:rsidR="00D95C52" w:rsidRPr="00124643" w:rsidRDefault="00D95C52" w:rsidP="006D6D32">
      <w:pPr>
        <w:pStyle w:val="a3"/>
        <w:rPr>
          <w:rtl/>
        </w:rPr>
      </w:pPr>
      <w:bookmarkStart w:id="8679" w:name="_Toc529352382"/>
      <w:bookmarkStart w:id="8680" w:name="_Toc529444996"/>
      <w:bookmarkStart w:id="8681" w:name="_Toc529704511"/>
      <w:bookmarkStart w:id="8682" w:name="_Toc529738971"/>
      <w:bookmarkStart w:id="8683" w:name="_Toc19390135"/>
      <w:bookmarkStart w:id="8684" w:name="_Toc19393632"/>
      <w:r w:rsidRPr="007560D5">
        <w:rPr>
          <w:rFonts w:hint="cs"/>
          <w:rtl/>
        </w:rPr>
        <w:t xml:space="preserve">ביאור </w:t>
      </w:r>
      <w:r>
        <w:rPr>
          <w:rFonts w:hint="cs"/>
          <w:rtl/>
        </w:rPr>
        <w:t>ה</w:t>
      </w:r>
      <w:r w:rsidR="00345400">
        <w:rPr>
          <w:rFonts w:hint="cs"/>
          <w:rtl/>
        </w:rPr>
        <w:t>פלתי</w:t>
      </w:r>
      <w:r>
        <w:rPr>
          <w:rFonts w:hint="cs"/>
          <w:rtl/>
        </w:rPr>
        <w:t xml:space="preserve"> ו</w:t>
      </w:r>
      <w:r w:rsidRPr="007560D5">
        <w:rPr>
          <w:rFonts w:hint="cs"/>
          <w:rtl/>
        </w:rPr>
        <w:t>המעדני יו"ט ברא"ש דרוב מתיר אף שלא נתברר בשעת</w:t>
      </w:r>
      <w:r>
        <w:rPr>
          <w:rFonts w:hint="cs"/>
          <w:rtl/>
        </w:rPr>
        <w:t>ה</w:t>
      </w:r>
      <w:r w:rsidRPr="007560D5">
        <w:rPr>
          <w:rFonts w:hint="cs"/>
          <w:rtl/>
        </w:rPr>
        <w:t xml:space="preserve"> ועדיף מחזקה</w:t>
      </w:r>
      <w:bookmarkEnd w:id="8679"/>
      <w:bookmarkEnd w:id="8680"/>
      <w:bookmarkEnd w:id="8681"/>
      <w:bookmarkEnd w:id="8682"/>
      <w:bookmarkEnd w:id="8683"/>
      <w:bookmarkEnd w:id="8684"/>
    </w:p>
    <w:p w14:paraId="19AD5E21" w14:textId="77777777" w:rsidR="00D95C52" w:rsidRDefault="00D95C52" w:rsidP="00223668">
      <w:pPr>
        <w:pStyle w:val="a0"/>
        <w:rPr>
          <w:rStyle w:val="afb"/>
          <w:rtl/>
        </w:rPr>
      </w:pPr>
      <w:r w:rsidRPr="00124643">
        <w:rPr>
          <w:rFonts w:hint="cs"/>
          <w:rtl/>
        </w:rPr>
        <w:t>אבל</w:t>
      </w:r>
      <w:r w:rsidRPr="00C85C53">
        <w:rPr>
          <w:rStyle w:val="af9"/>
          <w:rFonts w:hint="cs"/>
          <w:rtl/>
        </w:rPr>
        <w:t xml:space="preserve"> </w:t>
      </w:r>
      <w:r w:rsidRPr="0001100A">
        <w:rPr>
          <w:rStyle w:val="af9"/>
          <w:rFonts w:hint="cs"/>
          <w:rtl/>
        </w:rPr>
        <w:t>ה</w:t>
      </w:r>
      <w:r w:rsidR="00345400">
        <w:rPr>
          <w:rStyle w:val="af9"/>
          <w:rFonts w:hint="cs"/>
          <w:rtl/>
        </w:rPr>
        <w:t>פלתי</w:t>
      </w:r>
      <w:r>
        <w:rPr>
          <w:rFonts w:hint="cs"/>
          <w:rtl/>
        </w:rPr>
        <w:t xml:space="preserve"> </w:t>
      </w:r>
      <w:r w:rsidRPr="00C85C53">
        <w:rPr>
          <w:rStyle w:val="af7"/>
          <w:rFonts w:eastAsia="Guttman Hodes" w:hint="cs"/>
          <w:rtl/>
        </w:rPr>
        <w:t xml:space="preserve">(סי' א' סק"ו) </w:t>
      </w:r>
      <w:r>
        <w:rPr>
          <w:rFonts w:hint="cs"/>
          <w:rtl/>
        </w:rPr>
        <w:t xml:space="preserve">כתב בדעת </w:t>
      </w:r>
      <w:r w:rsidRPr="0001100A">
        <w:rPr>
          <w:rStyle w:val="af9"/>
          <w:rFonts w:hint="cs"/>
          <w:rtl/>
        </w:rPr>
        <w:t>הרא"ש</w:t>
      </w:r>
      <w:r w:rsidRPr="00C85C53">
        <w:rPr>
          <w:rStyle w:val="af7"/>
          <w:rFonts w:eastAsia="Guttman Hodes" w:hint="cs"/>
          <w:rtl/>
        </w:rPr>
        <w:t xml:space="preserve"> </w:t>
      </w:r>
      <w:r>
        <w:rPr>
          <w:rFonts w:hint="cs"/>
          <w:rtl/>
        </w:rPr>
        <w:t xml:space="preserve">דס"ל דהרוב לבד מתיר בלא חזקה, אף דטריפה  לפנינו, וכן ביאר </w:t>
      </w:r>
      <w:r w:rsidRPr="00124643">
        <w:rPr>
          <w:rStyle w:val="af9"/>
          <w:rFonts w:hint="cs"/>
          <w:rtl/>
        </w:rPr>
        <w:t>המעדני יו"ט</w:t>
      </w:r>
      <w:r w:rsidRPr="00124643">
        <w:rPr>
          <w:rFonts w:hint="cs"/>
          <w:rtl/>
        </w:rPr>
        <w:t xml:space="preserve"> </w:t>
      </w:r>
      <w:r w:rsidRPr="00C85C53">
        <w:rPr>
          <w:rStyle w:val="af7"/>
          <w:rFonts w:eastAsia="Guttman Hodes" w:hint="cs"/>
          <w:rtl/>
        </w:rPr>
        <w:t>(על הרא"ש סי' ט"ז אותיות ב' ג')</w:t>
      </w:r>
      <w:r w:rsidRPr="00124643">
        <w:rPr>
          <w:rFonts w:hint="cs"/>
          <w:rtl/>
        </w:rPr>
        <w:t xml:space="preserve"> דס"ל </w:t>
      </w:r>
      <w:r w:rsidRPr="00124643">
        <w:rPr>
          <w:rStyle w:val="af9"/>
          <w:rFonts w:hint="cs"/>
          <w:rtl/>
        </w:rPr>
        <w:t>להרא"ש</w:t>
      </w:r>
      <w:r w:rsidRPr="00124643">
        <w:rPr>
          <w:rFonts w:hint="cs"/>
          <w:rtl/>
        </w:rPr>
        <w:t xml:space="preserve"> דאף שחזקה שלא נתבררה בשעתה אינה חזקה, מ"מ הגבינות מותרות מחמת הרוב, דרוב עדיף מחזקה, וברוב א"צ שיתברר בשעתו</w:t>
      </w:r>
      <w:bookmarkStart w:id="8685" w:name="_Ref529351767"/>
      <w:r>
        <w:rPr>
          <w:rStyle w:val="af1"/>
          <w:rtl/>
        </w:rPr>
        <w:footnoteReference w:id="59"/>
      </w:r>
      <w:bookmarkEnd w:id="8685"/>
      <w:r w:rsidRPr="00124643">
        <w:rPr>
          <w:rFonts w:hint="cs"/>
          <w:rtl/>
        </w:rPr>
        <w:t xml:space="preserve">. וכן מבואר </w:t>
      </w:r>
      <w:r w:rsidRPr="00124643">
        <w:rPr>
          <w:rStyle w:val="af9"/>
          <w:rFonts w:hint="cs"/>
          <w:rtl/>
        </w:rPr>
        <w:t>בקיצור פסקי הרא"ש</w:t>
      </w:r>
      <w:r w:rsidRPr="00124643">
        <w:rPr>
          <w:rFonts w:hint="cs"/>
          <w:rtl/>
        </w:rPr>
        <w:t xml:space="preserve"> דכתב דחזקה שלא נתבררה בשעתה אינה חזקה, אבל לענין הגבינות כתב דהם מותרות</w:t>
      </w:r>
      <w:r w:rsidRPr="00124643">
        <w:rPr>
          <w:rStyle w:val="afb"/>
          <w:rFonts w:hint="cs"/>
          <w:rtl/>
        </w:rPr>
        <w:t xml:space="preserve">, [ומבואר מדבריהם דלדעת </w:t>
      </w:r>
      <w:r w:rsidRPr="00124643">
        <w:rPr>
          <w:rStyle w:val="affa"/>
          <w:rFonts w:hint="cs"/>
          <w:rtl/>
        </w:rPr>
        <w:t>הרא"ש</w:t>
      </w:r>
      <w:r w:rsidRPr="00124643">
        <w:rPr>
          <w:rStyle w:val="afb"/>
          <w:rFonts w:hint="cs"/>
          <w:rtl/>
        </w:rPr>
        <w:t xml:space="preserve"> אי"ז חזקה מכח רוב כדכתב </w:t>
      </w:r>
      <w:r w:rsidRPr="00124643">
        <w:rPr>
          <w:rStyle w:val="affa"/>
          <w:rFonts w:hint="cs"/>
          <w:rtl/>
        </w:rPr>
        <w:t>הרשב"א</w:t>
      </w:r>
      <w:r w:rsidRPr="00124643">
        <w:rPr>
          <w:rStyle w:val="afb"/>
          <w:rFonts w:hint="cs"/>
          <w:rtl/>
        </w:rPr>
        <w:t xml:space="preserve"> </w:t>
      </w:r>
      <w:r w:rsidRPr="00124643">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Ref529129544 \r \h</w:instrText>
      </w:r>
      <w:r>
        <w:rPr>
          <w:rStyle w:val="aff6"/>
          <w:rtl/>
        </w:rPr>
        <w:instrText xml:space="preserve"> </w:instrText>
      </w:r>
      <w:r>
        <w:rPr>
          <w:rStyle w:val="aff6"/>
          <w:rtl/>
        </w:rPr>
      </w:r>
      <w:r>
        <w:rPr>
          <w:rStyle w:val="aff6"/>
          <w:rtl/>
        </w:rPr>
        <w:fldChar w:fldCharType="separate"/>
      </w:r>
      <w:r w:rsidR="00345400">
        <w:rPr>
          <w:rStyle w:val="aff6"/>
          <w:cs/>
        </w:rPr>
        <w:t>‎</w:t>
      </w:r>
      <w:r w:rsidR="00345400">
        <w:rPr>
          <w:rStyle w:val="aff6"/>
          <w:rtl/>
        </w:rPr>
        <w:t>כא)</w:t>
      </w:r>
      <w:r>
        <w:rPr>
          <w:rStyle w:val="aff6"/>
          <w:rtl/>
        </w:rPr>
        <w:fldChar w:fldCharType="end"/>
      </w:r>
      <w:r w:rsidRPr="00124643">
        <w:rPr>
          <w:rStyle w:val="afb"/>
          <w:rFonts w:hint="cs"/>
          <w:rtl/>
        </w:rPr>
        <w:t>, אלא ההיתר הוא מדין רוב ולא מדין חזקה].</w:t>
      </w:r>
    </w:p>
    <w:p w14:paraId="2B00C8B1" w14:textId="77777777" w:rsidR="00C27C5A" w:rsidRPr="00C27C5A" w:rsidRDefault="00C27C5A" w:rsidP="006D6D32">
      <w:pPr>
        <w:pStyle w:val="a3"/>
        <w:rPr>
          <w:rtl/>
        </w:rPr>
      </w:pPr>
    </w:p>
    <w:p w14:paraId="58200AB0" w14:textId="77777777" w:rsidR="00C27C5A" w:rsidRPr="00C27C5A" w:rsidRDefault="00C27C5A" w:rsidP="006D6D32">
      <w:pPr>
        <w:pStyle w:val="a3"/>
        <w:rPr>
          <w:rtl/>
        </w:rPr>
      </w:pPr>
    </w:p>
    <w:p w14:paraId="6046DA5A" w14:textId="77777777" w:rsidR="00D95C52" w:rsidRDefault="00D95C52" w:rsidP="006D6D32">
      <w:pPr>
        <w:pStyle w:val="a3"/>
        <w:rPr>
          <w:rtl/>
        </w:rPr>
      </w:pPr>
      <w:bookmarkStart w:id="8686" w:name="_Toc529738972"/>
      <w:bookmarkStart w:id="8687" w:name="_Toc19390136"/>
      <w:bookmarkStart w:id="8688" w:name="_Toc19393633"/>
      <w:bookmarkStart w:id="8689" w:name="_Toc529704512"/>
      <w:bookmarkStart w:id="8690" w:name="_Toc529352370"/>
      <w:bookmarkStart w:id="8691" w:name="_Toc529444984"/>
      <w:bookmarkStart w:id="8692" w:name="_Toc529352383"/>
      <w:bookmarkStart w:id="8693" w:name="_Toc529444997"/>
      <w:r>
        <w:rPr>
          <w:rFonts w:hint="cs"/>
          <w:rtl/>
        </w:rPr>
        <w:t>ביאור החזו"א ברא"ש דכיון שלפני הריעותא הייתה מוחזקת בכשרות הנדון בזה הוא מדין חזקה</w:t>
      </w:r>
      <w:bookmarkEnd w:id="8686"/>
      <w:bookmarkEnd w:id="8687"/>
      <w:bookmarkEnd w:id="8688"/>
    </w:p>
    <w:p w14:paraId="1933956D" w14:textId="77777777" w:rsidR="00D95C52" w:rsidRDefault="00D95C52" w:rsidP="00223668">
      <w:pPr>
        <w:pStyle w:val="a0"/>
        <w:rPr>
          <w:rtl/>
        </w:rPr>
      </w:pPr>
      <w:bookmarkStart w:id="8694" w:name="_Ref529723992"/>
      <w:r>
        <w:rPr>
          <w:rStyle w:val="af9"/>
          <w:rFonts w:hint="cs"/>
          <w:rtl/>
        </w:rPr>
        <w:t>ו</w:t>
      </w:r>
      <w:r w:rsidRPr="000102E4">
        <w:rPr>
          <w:rStyle w:val="af9"/>
          <w:rFonts w:hint="cs"/>
          <w:rtl/>
        </w:rPr>
        <w:t>החזו"א</w:t>
      </w:r>
      <w:r>
        <w:rPr>
          <w:rFonts w:hint="cs"/>
          <w:rtl/>
        </w:rPr>
        <w:t xml:space="preserve">  </w:t>
      </w:r>
      <w:r w:rsidRPr="004D5F32">
        <w:rPr>
          <w:rStyle w:val="af7"/>
          <w:rFonts w:eastAsia="Guttman Hodes" w:hint="cs"/>
          <w:rtl/>
        </w:rPr>
        <w:t>(אבהע"ז פ"א סק"ו)</w:t>
      </w:r>
      <w:r>
        <w:rPr>
          <w:rFonts w:hint="cs"/>
          <w:rtl/>
        </w:rPr>
        <w:t xml:space="preserve"> ביאר בדעת </w:t>
      </w:r>
      <w:r w:rsidRPr="000102E4">
        <w:rPr>
          <w:rStyle w:val="af9"/>
          <w:rFonts w:hint="cs"/>
          <w:rtl/>
        </w:rPr>
        <w:t>הרא"ש</w:t>
      </w:r>
      <w:r>
        <w:rPr>
          <w:rFonts w:hint="cs"/>
          <w:rtl/>
        </w:rPr>
        <w:t xml:space="preserve"> דכיון שלפני שיש ריעותא, מחזקינן לה בכשרות ע"י הרוב, ממילא הנדון על זמן הספק הוא מדין החזקה, ועי' במה שביאר </w:t>
      </w:r>
      <w:r w:rsidRPr="0030600D">
        <w:rPr>
          <w:rStyle w:val="af9"/>
          <w:rFonts w:hint="cs"/>
          <w:rtl/>
        </w:rPr>
        <w:t>החזו"א</w:t>
      </w:r>
      <w:r>
        <w:rPr>
          <w:rFonts w:hint="cs"/>
          <w:rtl/>
        </w:rPr>
        <w:t xml:space="preserve"> </w:t>
      </w:r>
      <w:r w:rsidRPr="0030600D">
        <w:rPr>
          <w:rStyle w:val="af7"/>
          <w:rFonts w:eastAsia="Guttman Hodes" w:hint="cs"/>
          <w:rtl/>
        </w:rPr>
        <w:t xml:space="preserve">(עי' אות </w:t>
      </w:r>
      <w:r w:rsidRPr="0030600D">
        <w:rPr>
          <w:rStyle w:val="af7"/>
          <w:rFonts w:eastAsia="Guttman Hodes"/>
          <w:rtl/>
        </w:rPr>
        <w:fldChar w:fldCharType="begin"/>
      </w:r>
      <w:r w:rsidRPr="0030600D">
        <w:rPr>
          <w:rStyle w:val="af7"/>
          <w:rFonts w:eastAsia="Guttman Hodes"/>
          <w:rtl/>
        </w:rPr>
        <w:instrText xml:space="preserve"> </w:instrText>
      </w:r>
      <w:r w:rsidRPr="0030600D">
        <w:rPr>
          <w:rStyle w:val="af7"/>
          <w:rFonts w:eastAsia="Guttman Hodes" w:hint="cs"/>
        </w:rPr>
        <w:instrText>REF</w:instrText>
      </w:r>
      <w:r w:rsidRPr="0030600D">
        <w:rPr>
          <w:rStyle w:val="af7"/>
          <w:rFonts w:eastAsia="Guttman Hodes" w:hint="cs"/>
          <w:rtl/>
        </w:rPr>
        <w:instrText xml:space="preserve"> _</w:instrText>
      </w:r>
      <w:r w:rsidRPr="0030600D">
        <w:rPr>
          <w:rStyle w:val="af7"/>
          <w:rFonts w:eastAsia="Guttman Hodes" w:hint="cs"/>
        </w:rPr>
        <w:instrText>Ref529723832 \r \h</w:instrText>
      </w:r>
      <w:r w:rsidRPr="0030600D">
        <w:rPr>
          <w:rStyle w:val="af7"/>
          <w:rFonts w:eastAsia="Guttman Hodes"/>
          <w:rtl/>
        </w:rPr>
        <w:instrText xml:space="preserve"> </w:instrText>
      </w:r>
      <w:r w:rsidRPr="0030600D">
        <w:rPr>
          <w:rStyle w:val="af7"/>
          <w:rFonts w:eastAsia="Guttman Hodes"/>
          <w:rtl/>
        </w:rPr>
      </w:r>
      <w:r w:rsidRPr="0030600D">
        <w:rPr>
          <w:rStyle w:val="af7"/>
          <w:rFonts w:eastAsia="Guttman Hodes"/>
          <w:rtl/>
        </w:rPr>
        <w:fldChar w:fldCharType="separate"/>
      </w:r>
      <w:r w:rsidR="00345400">
        <w:rPr>
          <w:rStyle w:val="af7"/>
          <w:rFonts w:eastAsia="Guttman Hodes"/>
          <w:cs/>
        </w:rPr>
        <w:t>‎</w:t>
      </w:r>
      <w:r w:rsidR="00345400">
        <w:rPr>
          <w:rStyle w:val="af7"/>
          <w:rFonts w:eastAsia="Guttman Hodes"/>
          <w:rtl/>
        </w:rPr>
        <w:t>מא)</w:t>
      </w:r>
      <w:r w:rsidRPr="0030600D">
        <w:rPr>
          <w:rStyle w:val="af7"/>
          <w:rFonts w:eastAsia="Guttman Hodes"/>
          <w:rtl/>
        </w:rPr>
        <w:fldChar w:fldCharType="end"/>
      </w:r>
      <w:r>
        <w:rPr>
          <w:rFonts w:hint="cs"/>
          <w:rtl/>
        </w:rPr>
        <w:t xml:space="preserve"> בדעת </w:t>
      </w:r>
      <w:r w:rsidRPr="0030600D">
        <w:rPr>
          <w:rStyle w:val="af9"/>
          <w:rFonts w:hint="cs"/>
          <w:rtl/>
        </w:rPr>
        <w:t>הרשב"א</w:t>
      </w:r>
      <w:r>
        <w:rPr>
          <w:rFonts w:hint="cs"/>
          <w:rtl/>
        </w:rPr>
        <w:t>.</w:t>
      </w:r>
      <w:bookmarkEnd w:id="8694"/>
    </w:p>
    <w:p w14:paraId="6AF82B32" w14:textId="77777777" w:rsidR="00D95C52" w:rsidRPr="009B43D4" w:rsidRDefault="00D95C52" w:rsidP="00BF39B2">
      <w:pPr>
        <w:pStyle w:val="1"/>
      </w:pPr>
      <w:bookmarkStart w:id="8695" w:name="_Toc529738973"/>
      <w:bookmarkStart w:id="8696" w:name="_Toc19390137"/>
      <w:bookmarkStart w:id="8697" w:name="_Toc19393634"/>
      <w:r>
        <w:rPr>
          <w:rFonts w:hint="cs"/>
          <w:rtl/>
        </w:rPr>
        <w:t>דעת האחרונים דלתוס' לא אמרינן חזקה מכח רוב כלל</w:t>
      </w:r>
      <w:bookmarkEnd w:id="8689"/>
      <w:bookmarkEnd w:id="8695"/>
      <w:bookmarkEnd w:id="8696"/>
      <w:bookmarkEnd w:id="8697"/>
    </w:p>
    <w:p w14:paraId="4D9E0AA2" w14:textId="77777777" w:rsidR="00D95C52" w:rsidRPr="00A7245B" w:rsidRDefault="00D95C52" w:rsidP="006D6D32">
      <w:pPr>
        <w:pStyle w:val="a3"/>
        <w:rPr>
          <w:rtl/>
        </w:rPr>
      </w:pPr>
      <w:bookmarkStart w:id="8698" w:name="_Toc529738974"/>
      <w:bookmarkStart w:id="8699" w:name="_Toc19390138"/>
      <w:bookmarkStart w:id="8700" w:name="_Toc19393635"/>
      <w:r>
        <w:rPr>
          <w:rFonts w:hint="cs"/>
          <w:rtl/>
        </w:rPr>
        <w:t>דברי הגר"א וה</w:t>
      </w:r>
      <w:r w:rsidR="00345400">
        <w:rPr>
          <w:rFonts w:hint="cs"/>
          <w:rtl/>
        </w:rPr>
        <w:t>פלתי</w:t>
      </w:r>
      <w:r>
        <w:rPr>
          <w:rFonts w:hint="cs"/>
          <w:rtl/>
        </w:rPr>
        <w:t xml:space="preserve"> דהתוס' ס"ל דלא אזלינן בתר חזקה מכח רוב</w:t>
      </w:r>
      <w:bookmarkEnd w:id="8698"/>
      <w:bookmarkEnd w:id="8699"/>
      <w:bookmarkEnd w:id="8700"/>
    </w:p>
    <w:p w14:paraId="430AD13A" w14:textId="77777777" w:rsidR="00D95C52" w:rsidRDefault="00D95C52" w:rsidP="00223668">
      <w:pPr>
        <w:pStyle w:val="a0"/>
        <w:rPr>
          <w:rtl/>
        </w:rPr>
      </w:pPr>
      <w:r>
        <w:rPr>
          <w:rFonts w:hint="cs"/>
          <w:rtl/>
        </w:rPr>
        <w:t xml:space="preserve">כתב </w:t>
      </w:r>
      <w:r w:rsidRPr="008B110F">
        <w:rPr>
          <w:rStyle w:val="af9"/>
          <w:rFonts w:hint="cs"/>
          <w:rtl/>
        </w:rPr>
        <w:t>הגר"א</w:t>
      </w:r>
      <w:r>
        <w:rPr>
          <w:rFonts w:hint="cs"/>
          <w:rtl/>
        </w:rPr>
        <w:t xml:space="preserve"> </w:t>
      </w:r>
      <w:r>
        <w:rPr>
          <w:rStyle w:val="af7"/>
          <w:rFonts w:eastAsia="Guttman Hodes" w:hint="cs"/>
          <w:rtl/>
        </w:rPr>
        <w:t>(סי</w:t>
      </w:r>
      <w:r>
        <w:rPr>
          <w:rStyle w:val="af7"/>
          <w:rFonts w:eastAsia="Guttman Hodes"/>
          <w:rtl/>
        </w:rPr>
        <w:t>'</w:t>
      </w:r>
      <w:r>
        <w:rPr>
          <w:rStyle w:val="af7"/>
          <w:rFonts w:eastAsia="Guttman Hodes" w:hint="cs"/>
          <w:rtl/>
        </w:rPr>
        <w:t xml:space="preserve"> פ</w:t>
      </w:r>
      <w:r>
        <w:rPr>
          <w:rStyle w:val="af7"/>
          <w:rFonts w:eastAsia="Guttman Hodes"/>
          <w:rtl/>
        </w:rPr>
        <w:t>"</w:t>
      </w:r>
      <w:r>
        <w:rPr>
          <w:rStyle w:val="af7"/>
          <w:rFonts w:eastAsia="Guttman Hodes" w:hint="cs"/>
          <w:rtl/>
        </w:rPr>
        <w:t xml:space="preserve">א </w:t>
      </w:r>
      <w:r w:rsidRPr="00DC2C80">
        <w:rPr>
          <w:rStyle w:val="af7"/>
          <w:rFonts w:eastAsia="Guttman Hodes" w:hint="cs"/>
          <w:rtl/>
        </w:rPr>
        <w:t xml:space="preserve"> ו') </w:t>
      </w:r>
      <w:r w:rsidRPr="008B110F">
        <w:rPr>
          <w:rStyle w:val="af9"/>
          <w:rFonts w:hint="cs"/>
          <w:rtl/>
        </w:rPr>
        <w:t>דהתוס'</w:t>
      </w:r>
      <w:r>
        <w:rPr>
          <w:rFonts w:hint="cs"/>
          <w:rtl/>
        </w:rPr>
        <w:t xml:space="preserve"> </w:t>
      </w:r>
      <w:r w:rsidRPr="003726BF">
        <w:rPr>
          <w:rStyle w:val="af7"/>
          <w:rFonts w:eastAsia="Guttman Hodes" w:hint="cs"/>
          <w:rtl/>
        </w:rPr>
        <w:t xml:space="preserve">(עי' אות </w:t>
      </w:r>
      <w:r w:rsidRPr="003726BF">
        <w:rPr>
          <w:rStyle w:val="af7"/>
          <w:rFonts w:eastAsia="Guttman Hodes"/>
          <w:rtl/>
        </w:rPr>
        <w:fldChar w:fldCharType="begin"/>
      </w:r>
      <w:r w:rsidRPr="003726BF">
        <w:rPr>
          <w:rStyle w:val="af7"/>
          <w:rFonts w:eastAsia="Guttman Hodes"/>
          <w:rtl/>
        </w:rPr>
        <w:instrText xml:space="preserve"> </w:instrText>
      </w:r>
      <w:r w:rsidRPr="003726BF">
        <w:rPr>
          <w:rStyle w:val="af7"/>
          <w:rFonts w:eastAsia="Guttman Hodes" w:hint="cs"/>
        </w:rPr>
        <w:instrText>REF</w:instrText>
      </w:r>
      <w:r w:rsidRPr="003726BF">
        <w:rPr>
          <w:rStyle w:val="af7"/>
          <w:rFonts w:eastAsia="Guttman Hodes" w:hint="cs"/>
          <w:rtl/>
        </w:rPr>
        <w:instrText xml:space="preserve"> _</w:instrText>
      </w:r>
      <w:r w:rsidRPr="003726BF">
        <w:rPr>
          <w:rStyle w:val="af7"/>
          <w:rFonts w:eastAsia="Guttman Hodes" w:hint="cs"/>
        </w:rPr>
        <w:instrText>Ref529121640 \r \h</w:instrText>
      </w:r>
      <w:r w:rsidRPr="003726BF">
        <w:rPr>
          <w:rStyle w:val="af7"/>
          <w:rFonts w:eastAsia="Guttman Hodes"/>
          <w:rtl/>
        </w:rPr>
        <w:instrText xml:space="preserve"> </w:instrText>
      </w:r>
      <w:r w:rsidRPr="003726BF">
        <w:rPr>
          <w:rStyle w:val="af7"/>
          <w:rFonts w:eastAsia="Guttman Hodes"/>
          <w:rtl/>
        </w:rPr>
      </w:r>
      <w:r w:rsidRPr="003726BF">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3726BF">
        <w:rPr>
          <w:rStyle w:val="af7"/>
          <w:rFonts w:eastAsia="Guttman Hodes"/>
          <w:rtl/>
        </w:rPr>
        <w:fldChar w:fldCharType="end"/>
      </w:r>
      <w:r>
        <w:rPr>
          <w:rFonts w:hint="cs"/>
          <w:rtl/>
        </w:rPr>
        <w:t xml:space="preserve"> שאוסרים את הגבינות, לא ס"ל כדעת </w:t>
      </w:r>
      <w:r w:rsidRPr="008B110F">
        <w:rPr>
          <w:rStyle w:val="af9"/>
          <w:rFonts w:hint="cs"/>
          <w:rtl/>
        </w:rPr>
        <w:t>הרא"ש</w:t>
      </w:r>
      <w:r>
        <w:rPr>
          <w:rFonts w:hint="cs"/>
          <w:rtl/>
        </w:rPr>
        <w:t xml:space="preserve"> דאזלינן בתר חזקה מכח רוב. וכ"כ </w:t>
      </w:r>
      <w:r w:rsidRPr="001123B6">
        <w:rPr>
          <w:rStyle w:val="af9"/>
          <w:rFonts w:hint="cs"/>
          <w:rtl/>
        </w:rPr>
        <w:t>ה</w:t>
      </w:r>
      <w:r w:rsidR="00345400">
        <w:rPr>
          <w:rStyle w:val="af9"/>
          <w:rFonts w:hint="cs"/>
          <w:rtl/>
        </w:rPr>
        <w:t>פלתי</w:t>
      </w:r>
      <w:r>
        <w:rPr>
          <w:rFonts w:hint="cs"/>
          <w:rtl/>
        </w:rPr>
        <w:t xml:space="preserve"> </w:t>
      </w:r>
      <w:r w:rsidRPr="001123B6">
        <w:rPr>
          <w:rStyle w:val="af7"/>
          <w:rFonts w:eastAsia="Guttman Hodes" w:hint="cs"/>
          <w:rtl/>
        </w:rPr>
        <w:t>(סי' נ' ס"ק א' ד"ה ולכן נראה</w:t>
      </w:r>
      <w:r>
        <w:rPr>
          <w:rStyle w:val="af7"/>
          <w:rFonts w:eastAsia="Guttman Hodes" w:hint="cs"/>
          <w:rtl/>
        </w:rPr>
        <w:t xml:space="preserve">, </w:t>
      </w:r>
      <w:r w:rsidRPr="000E5250">
        <w:rPr>
          <w:rStyle w:val="af7"/>
          <w:rFonts w:eastAsia="Guttman Hodes"/>
          <w:rtl/>
        </w:rPr>
        <w:t>סי' א' סק"ו</w:t>
      </w:r>
      <w:r w:rsidRPr="001123B6">
        <w:rPr>
          <w:rStyle w:val="af7"/>
          <w:rFonts w:eastAsia="Guttman Hodes" w:hint="cs"/>
          <w:rtl/>
        </w:rPr>
        <w:t>)</w:t>
      </w:r>
      <w:r>
        <w:rPr>
          <w:rFonts w:hint="cs"/>
          <w:rtl/>
        </w:rPr>
        <w:t xml:space="preserve"> </w:t>
      </w:r>
      <w:r w:rsidRPr="008B110F">
        <w:rPr>
          <w:rStyle w:val="af9"/>
          <w:rFonts w:hint="cs"/>
          <w:rtl/>
        </w:rPr>
        <w:t>דהתוס'</w:t>
      </w:r>
      <w:r>
        <w:rPr>
          <w:rFonts w:hint="cs"/>
          <w:rtl/>
        </w:rPr>
        <w:t xml:space="preserve"> </w:t>
      </w:r>
      <w:r w:rsidRPr="003726BF">
        <w:rPr>
          <w:rStyle w:val="af7"/>
          <w:rFonts w:eastAsia="Guttman Hodes" w:hint="cs"/>
          <w:rtl/>
        </w:rPr>
        <w:t xml:space="preserve">(עי' אות </w:t>
      </w:r>
      <w:r w:rsidRPr="003726BF">
        <w:rPr>
          <w:rStyle w:val="af7"/>
          <w:rFonts w:eastAsia="Guttman Hodes"/>
          <w:rtl/>
        </w:rPr>
        <w:fldChar w:fldCharType="begin"/>
      </w:r>
      <w:r w:rsidRPr="003726BF">
        <w:rPr>
          <w:rStyle w:val="af7"/>
          <w:rFonts w:eastAsia="Guttman Hodes"/>
          <w:rtl/>
        </w:rPr>
        <w:instrText xml:space="preserve"> </w:instrText>
      </w:r>
      <w:r w:rsidRPr="003726BF">
        <w:rPr>
          <w:rStyle w:val="af7"/>
          <w:rFonts w:eastAsia="Guttman Hodes" w:hint="cs"/>
        </w:rPr>
        <w:instrText>REF</w:instrText>
      </w:r>
      <w:r w:rsidRPr="003726BF">
        <w:rPr>
          <w:rStyle w:val="af7"/>
          <w:rFonts w:eastAsia="Guttman Hodes" w:hint="cs"/>
          <w:rtl/>
        </w:rPr>
        <w:instrText xml:space="preserve"> _</w:instrText>
      </w:r>
      <w:r w:rsidRPr="003726BF">
        <w:rPr>
          <w:rStyle w:val="af7"/>
          <w:rFonts w:eastAsia="Guttman Hodes" w:hint="cs"/>
        </w:rPr>
        <w:instrText>Ref529121640 \r \h</w:instrText>
      </w:r>
      <w:r w:rsidRPr="003726BF">
        <w:rPr>
          <w:rStyle w:val="af7"/>
          <w:rFonts w:eastAsia="Guttman Hodes"/>
          <w:rtl/>
        </w:rPr>
        <w:instrText xml:space="preserve"> </w:instrText>
      </w:r>
      <w:r w:rsidRPr="003726BF">
        <w:rPr>
          <w:rStyle w:val="af7"/>
          <w:rFonts w:eastAsia="Guttman Hodes"/>
          <w:rtl/>
        </w:rPr>
      </w:r>
      <w:r w:rsidRPr="003726BF">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3726BF">
        <w:rPr>
          <w:rStyle w:val="af7"/>
          <w:rFonts w:eastAsia="Guttman Hodes"/>
          <w:rtl/>
        </w:rPr>
        <w:fldChar w:fldCharType="end"/>
      </w:r>
      <w:r>
        <w:rPr>
          <w:rFonts w:hint="cs"/>
          <w:rtl/>
        </w:rPr>
        <w:t xml:space="preserve"> שאוסרים את הגבינות, פליגי על </w:t>
      </w:r>
      <w:r w:rsidRPr="001123B6">
        <w:rPr>
          <w:rStyle w:val="af9"/>
          <w:rFonts w:hint="cs"/>
          <w:rtl/>
        </w:rPr>
        <w:t>הרא"ש</w:t>
      </w:r>
      <w:r>
        <w:rPr>
          <w:rFonts w:hint="cs"/>
          <w:rtl/>
        </w:rPr>
        <w:t xml:space="preserve"> </w:t>
      </w:r>
      <w:r w:rsidRPr="001123B6">
        <w:rPr>
          <w:rStyle w:val="af7"/>
          <w:rFonts w:eastAsia="Guttman Hodes" w:hint="cs"/>
          <w:rtl/>
        </w:rPr>
        <w:t xml:space="preserve">(עי' </w:t>
      </w:r>
      <w:r w:rsidRPr="0075419C">
        <w:rPr>
          <w:rStyle w:val="af7"/>
          <w:rFonts w:eastAsia="Guttman Hodes" w:hint="cs"/>
          <w:rtl/>
        </w:rPr>
        <w:t xml:space="preserve">אות </w:t>
      </w:r>
      <w:r w:rsidRPr="0075419C">
        <w:rPr>
          <w:rStyle w:val="af7"/>
          <w:rFonts w:eastAsia="Guttman Hodes"/>
          <w:rtl/>
        </w:rPr>
        <w:fldChar w:fldCharType="begin"/>
      </w:r>
      <w:r w:rsidRPr="0075419C">
        <w:rPr>
          <w:rStyle w:val="af7"/>
          <w:rFonts w:eastAsia="Guttman Hodes"/>
          <w:rtl/>
        </w:rPr>
        <w:instrText xml:space="preserve"> </w:instrText>
      </w:r>
      <w:r w:rsidRPr="0075419C">
        <w:rPr>
          <w:rStyle w:val="af7"/>
          <w:rFonts w:eastAsia="Guttman Hodes" w:hint="cs"/>
        </w:rPr>
        <w:instrText>REF</w:instrText>
      </w:r>
      <w:r w:rsidRPr="0075419C">
        <w:rPr>
          <w:rStyle w:val="af7"/>
          <w:rFonts w:eastAsia="Guttman Hodes" w:hint="cs"/>
          <w:rtl/>
        </w:rPr>
        <w:instrText xml:space="preserve"> _</w:instrText>
      </w:r>
      <w:r w:rsidRPr="0075419C">
        <w:rPr>
          <w:rStyle w:val="af7"/>
          <w:rFonts w:eastAsia="Guttman Hodes" w:hint="cs"/>
        </w:rPr>
        <w:instrText>Ref522611646 \r \h</w:instrText>
      </w:r>
      <w:r w:rsidRPr="0075419C">
        <w:rPr>
          <w:rStyle w:val="af7"/>
          <w:rFonts w:eastAsia="Guttman Hodes"/>
          <w:rtl/>
        </w:rPr>
        <w:instrText xml:space="preserve"> </w:instrText>
      </w:r>
      <w:r w:rsidRPr="0075419C">
        <w:rPr>
          <w:rStyle w:val="af7"/>
          <w:rFonts w:eastAsia="Guttman Hodes"/>
          <w:rtl/>
        </w:rPr>
      </w:r>
      <w:r w:rsidRPr="0075419C">
        <w:rPr>
          <w:rStyle w:val="af7"/>
          <w:rFonts w:eastAsia="Guttman Hodes"/>
          <w:rtl/>
        </w:rPr>
        <w:fldChar w:fldCharType="separate"/>
      </w:r>
      <w:r w:rsidR="00345400">
        <w:rPr>
          <w:rStyle w:val="af7"/>
          <w:rFonts w:eastAsia="Guttman Hodes"/>
          <w:cs/>
        </w:rPr>
        <w:t>‎</w:t>
      </w:r>
      <w:r w:rsidR="00345400">
        <w:rPr>
          <w:rStyle w:val="af7"/>
          <w:rFonts w:eastAsia="Guttman Hodes"/>
          <w:rtl/>
        </w:rPr>
        <w:t>טז)</w:t>
      </w:r>
      <w:r w:rsidRPr="0075419C">
        <w:rPr>
          <w:rStyle w:val="af7"/>
          <w:rFonts w:eastAsia="Guttman Hodes"/>
          <w:rtl/>
        </w:rPr>
        <w:fldChar w:fldCharType="end"/>
      </w:r>
      <w:r>
        <w:rPr>
          <w:rFonts w:hint="cs"/>
          <w:rtl/>
        </w:rPr>
        <w:t xml:space="preserve"> וס"ל דלא אזלינן בתר רוב בכדי להתיר את הגבינות, וכדביאר </w:t>
      </w:r>
      <w:r w:rsidRPr="001123B6">
        <w:rPr>
          <w:rStyle w:val="af9"/>
          <w:rFonts w:hint="cs"/>
          <w:rtl/>
        </w:rPr>
        <w:t>היש"ש</w:t>
      </w:r>
      <w:r>
        <w:rPr>
          <w:rFonts w:hint="cs"/>
          <w:rtl/>
        </w:rPr>
        <w:t xml:space="preserve"> </w:t>
      </w:r>
      <w:r w:rsidRPr="001123B6">
        <w:rPr>
          <w:rStyle w:val="af7"/>
          <w:rFonts w:eastAsia="Guttman Hodes" w:hint="cs"/>
          <w:rtl/>
        </w:rPr>
        <w:t>(בפירקין סי' כ')</w:t>
      </w:r>
      <w:r>
        <w:rPr>
          <w:rFonts w:hint="cs"/>
          <w:rtl/>
        </w:rPr>
        <w:t xml:space="preserve"> דכיון שרוב בהמות אין להם ריעותא, ואילו בבהמה הזו יש ריעותא דהא נמצאת טריפה, לכן אינה בכלל הרוב כלל.</w:t>
      </w:r>
    </w:p>
    <w:p w14:paraId="110978E3" w14:textId="77777777" w:rsidR="00D95C52" w:rsidRPr="004D5F32" w:rsidRDefault="00D95C52" w:rsidP="006D6D32">
      <w:pPr>
        <w:pStyle w:val="a3"/>
        <w:rPr>
          <w:rtl/>
        </w:rPr>
      </w:pPr>
      <w:bookmarkStart w:id="8701" w:name="_Toc529738975"/>
      <w:bookmarkStart w:id="8702" w:name="_Toc19390139"/>
      <w:bookmarkStart w:id="8703" w:name="_Toc19393636"/>
      <w:r>
        <w:rPr>
          <w:rFonts w:hint="cs"/>
          <w:rtl/>
        </w:rPr>
        <w:t>ביאור החזו"א דכיון שיש ספק מתי אינה בכלל הרוב ואין בזה ידיעה ודאית א"א להעמיד על חזקה</w:t>
      </w:r>
      <w:bookmarkEnd w:id="8701"/>
      <w:bookmarkEnd w:id="8702"/>
      <w:bookmarkEnd w:id="8703"/>
    </w:p>
    <w:p w14:paraId="336F55A3" w14:textId="77777777" w:rsidR="00D95C52" w:rsidRDefault="00D95C52" w:rsidP="00223668">
      <w:pPr>
        <w:pStyle w:val="a0"/>
        <w:rPr>
          <w:rtl/>
        </w:rPr>
      </w:pPr>
      <w:bookmarkStart w:id="8704" w:name="_Ref529132726"/>
      <w:r>
        <w:rPr>
          <w:rFonts w:hint="cs"/>
          <w:rtl/>
        </w:rPr>
        <w:t xml:space="preserve">וביאר </w:t>
      </w:r>
      <w:r w:rsidRPr="000102E4">
        <w:rPr>
          <w:rStyle w:val="af9"/>
          <w:rFonts w:hint="cs"/>
          <w:rtl/>
        </w:rPr>
        <w:t>החזו"א</w:t>
      </w:r>
      <w:r>
        <w:rPr>
          <w:rFonts w:hint="cs"/>
          <w:rtl/>
        </w:rPr>
        <w:t xml:space="preserve"> </w:t>
      </w:r>
      <w:r w:rsidRPr="004D5F32">
        <w:rPr>
          <w:rStyle w:val="af7"/>
          <w:rFonts w:eastAsia="Guttman Hodes" w:hint="cs"/>
          <w:rtl/>
        </w:rPr>
        <w:t>(אבהע"ז פ"א סק"ו)</w:t>
      </w:r>
      <w:r>
        <w:rPr>
          <w:rFonts w:hint="cs"/>
          <w:rtl/>
        </w:rPr>
        <w:t xml:space="preserve"> את דברי </w:t>
      </w:r>
      <w:r w:rsidRPr="000102E4">
        <w:rPr>
          <w:rStyle w:val="af9"/>
          <w:rFonts w:hint="cs"/>
          <w:rtl/>
        </w:rPr>
        <w:t>הגר"א</w:t>
      </w:r>
      <w:r>
        <w:rPr>
          <w:rFonts w:hint="cs"/>
          <w:rtl/>
        </w:rPr>
        <w:t xml:space="preserve"> </w:t>
      </w:r>
      <w:r w:rsidRPr="000102E4">
        <w:rPr>
          <w:rStyle w:val="af9"/>
          <w:rFonts w:hint="cs"/>
          <w:rtl/>
        </w:rPr>
        <w:t>דהתוס'</w:t>
      </w:r>
      <w:r>
        <w:rPr>
          <w:rFonts w:hint="cs"/>
          <w:rtl/>
        </w:rPr>
        <w:t xml:space="preserve"> ס"ל דלא אמרינן שיש חזקה מכח רוב, דכיון שהבהמה שלפנינו היא מהמיעוט טריפות, ממילא הוא ספק השקול מאימתי יצאה מהרוב, האם לפני שנחלבה או לאחר שנחלבה, וס"ל </w:t>
      </w:r>
      <w:r w:rsidRPr="000102E4">
        <w:rPr>
          <w:rStyle w:val="af9"/>
          <w:rFonts w:hint="cs"/>
          <w:rtl/>
        </w:rPr>
        <w:t>להתוס'</w:t>
      </w:r>
      <w:r>
        <w:rPr>
          <w:rFonts w:hint="cs"/>
          <w:rtl/>
        </w:rPr>
        <w:t xml:space="preserve"> דידיעה ודאית לומר שיש חזקה, היינו דוקא אם אנו יודעים ע"י ראיה, ולא ע"י רוב.</w:t>
      </w:r>
      <w:bookmarkEnd w:id="8704"/>
    </w:p>
    <w:p w14:paraId="51351865" w14:textId="77777777" w:rsidR="00D95C52" w:rsidRDefault="00D95C52" w:rsidP="006D6D32">
      <w:pPr>
        <w:pStyle w:val="a3"/>
        <w:rPr>
          <w:rtl/>
        </w:rPr>
      </w:pPr>
      <w:bookmarkStart w:id="8705" w:name="_Toc529738976"/>
      <w:bookmarkStart w:id="8706" w:name="_Toc19390140"/>
      <w:bookmarkStart w:id="8707" w:name="_Toc19393637"/>
      <w:r>
        <w:rPr>
          <w:rFonts w:hint="cs"/>
          <w:rtl/>
        </w:rPr>
        <w:t>ביאור החזו"א דלתוס' דין רוב מכריע רק את הדין לאיסור והיתר אך אין ידיעה מכח הרוב</w:t>
      </w:r>
      <w:bookmarkEnd w:id="8705"/>
      <w:bookmarkEnd w:id="8706"/>
      <w:bookmarkEnd w:id="8707"/>
    </w:p>
    <w:p w14:paraId="7CF5ADC9" w14:textId="77777777" w:rsidR="00D95C52" w:rsidRDefault="00D95C52" w:rsidP="00223668">
      <w:pPr>
        <w:pStyle w:val="a0"/>
      </w:pPr>
      <w:r>
        <w:rPr>
          <w:rFonts w:hint="cs"/>
          <w:rtl/>
        </w:rPr>
        <w:t xml:space="preserve">וכתב </w:t>
      </w:r>
      <w:r w:rsidRPr="000102E4">
        <w:rPr>
          <w:rStyle w:val="af9"/>
          <w:rFonts w:hint="cs"/>
          <w:rtl/>
        </w:rPr>
        <w:t>החזו"א</w:t>
      </w:r>
      <w:r>
        <w:rPr>
          <w:rFonts w:hint="cs"/>
          <w:rtl/>
        </w:rPr>
        <w:t xml:space="preserve"> דלדעת </w:t>
      </w:r>
      <w:r w:rsidRPr="000102E4">
        <w:rPr>
          <w:rStyle w:val="af9"/>
          <w:rFonts w:hint="cs"/>
          <w:rtl/>
        </w:rPr>
        <w:t>התוס'</w:t>
      </w:r>
      <w:r>
        <w:rPr>
          <w:rFonts w:hint="cs"/>
          <w:rtl/>
        </w:rPr>
        <w:t xml:space="preserve"> דין רוב נאמר רק להכריע את הפסק לאיסור או להיתר, ולעשות מעשה עפ"י הרוב או להמנע ממעשה עפ"י הרוב, אך לא בכדי להחשיב ידיעה ע"י הרוב, ולדון מחמת זה חזקה, ועי' במ"ש בזה </w:t>
      </w:r>
      <w:r w:rsidRPr="005B1F55">
        <w:rPr>
          <w:rStyle w:val="af9"/>
          <w:rFonts w:hint="cs"/>
          <w:rtl/>
        </w:rPr>
        <w:t>בשיעורי המקדש דוד</w:t>
      </w:r>
      <w:r>
        <w:rPr>
          <w:rFonts w:hint="cs"/>
          <w:rtl/>
        </w:rPr>
        <w:t xml:space="preserve"> </w:t>
      </w:r>
      <w:r w:rsidRPr="005B1F55">
        <w:rPr>
          <w:rStyle w:val="af7"/>
          <w:rFonts w:eastAsia="Guttman Hodes" w:hint="cs"/>
          <w:rtl/>
        </w:rPr>
        <w:t xml:space="preserve">(עי' אות </w:t>
      </w:r>
      <w:r w:rsidRPr="005B1F55">
        <w:rPr>
          <w:rStyle w:val="af7"/>
          <w:rFonts w:eastAsia="Guttman Hodes"/>
          <w:rtl/>
        </w:rPr>
        <w:fldChar w:fldCharType="begin"/>
      </w:r>
      <w:r w:rsidRPr="005B1F55">
        <w:rPr>
          <w:rStyle w:val="af7"/>
          <w:rFonts w:eastAsia="Guttman Hodes"/>
          <w:rtl/>
        </w:rPr>
        <w:instrText xml:space="preserve"> </w:instrText>
      </w:r>
      <w:r w:rsidRPr="005B1F55">
        <w:rPr>
          <w:rStyle w:val="af7"/>
          <w:rFonts w:eastAsia="Guttman Hodes" w:hint="cs"/>
        </w:rPr>
        <w:instrText>REF</w:instrText>
      </w:r>
      <w:r w:rsidRPr="005B1F55">
        <w:rPr>
          <w:rStyle w:val="af7"/>
          <w:rFonts w:eastAsia="Guttman Hodes" w:hint="cs"/>
          <w:rtl/>
        </w:rPr>
        <w:instrText xml:space="preserve"> _</w:instrText>
      </w:r>
      <w:r w:rsidRPr="005B1F55">
        <w:rPr>
          <w:rStyle w:val="af7"/>
          <w:rFonts w:eastAsia="Guttman Hodes" w:hint="cs"/>
        </w:rPr>
        <w:instrText>Ref529479461 \r \h</w:instrText>
      </w:r>
      <w:r w:rsidRPr="005B1F55">
        <w:rPr>
          <w:rStyle w:val="af7"/>
          <w:rFonts w:eastAsia="Guttman Hodes"/>
          <w:rtl/>
        </w:rPr>
        <w:instrText xml:space="preserve"> </w:instrText>
      </w:r>
      <w:r w:rsidRPr="005B1F55">
        <w:rPr>
          <w:rStyle w:val="af7"/>
          <w:rFonts w:eastAsia="Guttman Hodes"/>
          <w:rtl/>
        </w:rPr>
      </w:r>
      <w:r w:rsidRPr="005B1F55">
        <w:rPr>
          <w:rStyle w:val="af7"/>
          <w:rFonts w:eastAsia="Guttman Hodes"/>
          <w:rtl/>
        </w:rPr>
        <w:fldChar w:fldCharType="separate"/>
      </w:r>
      <w:r w:rsidR="00345400">
        <w:rPr>
          <w:rStyle w:val="af7"/>
          <w:rFonts w:eastAsia="Guttman Hodes"/>
          <w:cs/>
        </w:rPr>
        <w:t>‎</w:t>
      </w:r>
      <w:r w:rsidR="00345400">
        <w:rPr>
          <w:rStyle w:val="af7"/>
          <w:rFonts w:eastAsia="Guttman Hodes"/>
          <w:rtl/>
        </w:rPr>
        <w:t>קיד)</w:t>
      </w:r>
      <w:r w:rsidRPr="005B1F55">
        <w:rPr>
          <w:rStyle w:val="af7"/>
          <w:rFonts w:eastAsia="Guttman Hodes"/>
          <w:rtl/>
        </w:rPr>
        <w:fldChar w:fldCharType="end"/>
      </w:r>
      <w:r>
        <w:rPr>
          <w:rFonts w:hint="cs"/>
          <w:rtl/>
        </w:rPr>
        <w:t>.</w:t>
      </w:r>
    </w:p>
    <w:p w14:paraId="7818E2B7" w14:textId="77777777" w:rsidR="00D95C52" w:rsidRDefault="00D95C52" w:rsidP="00BF39B2">
      <w:pPr>
        <w:pStyle w:val="1"/>
        <w:rPr>
          <w:rtl/>
        </w:rPr>
      </w:pPr>
      <w:bookmarkStart w:id="8708" w:name="_Toc529704513"/>
      <w:bookmarkStart w:id="8709" w:name="_Toc529738977"/>
      <w:bookmarkStart w:id="8710" w:name="_Toc19390141"/>
      <w:bookmarkStart w:id="8711" w:name="_Toc19393638"/>
      <w:r>
        <w:rPr>
          <w:rFonts w:hint="cs"/>
          <w:rtl/>
        </w:rPr>
        <w:t>דעת האחרונים דדדוקא כשיש ריעותא פליגי תוס' על הרשב"א</w:t>
      </w:r>
      <w:bookmarkEnd w:id="8708"/>
      <w:bookmarkEnd w:id="8709"/>
      <w:bookmarkEnd w:id="8710"/>
      <w:bookmarkEnd w:id="8711"/>
      <w:r>
        <w:rPr>
          <w:rFonts w:hint="cs"/>
          <w:rtl/>
        </w:rPr>
        <w:t xml:space="preserve"> </w:t>
      </w:r>
    </w:p>
    <w:p w14:paraId="6DBE797E" w14:textId="77777777" w:rsidR="00D95C52" w:rsidRPr="00FE4AC6" w:rsidRDefault="00D95C52" w:rsidP="006D6D32">
      <w:pPr>
        <w:pStyle w:val="a3"/>
        <w:rPr>
          <w:rtl/>
        </w:rPr>
      </w:pPr>
      <w:bookmarkStart w:id="8712" w:name="_Toc529738978"/>
      <w:bookmarkStart w:id="8713" w:name="_Toc19390142"/>
      <w:bookmarkStart w:id="8714" w:name="_Toc19393639"/>
      <w:r>
        <w:rPr>
          <w:rFonts w:hint="cs"/>
          <w:rtl/>
        </w:rPr>
        <w:t>דברי הפרמ"ג והתורת יקותיאל והבינ"א דדוקא במקום ריעותא ס"ל לתוס' דיצאה מכלל הרוב</w:t>
      </w:r>
      <w:bookmarkEnd w:id="8712"/>
      <w:bookmarkEnd w:id="8713"/>
      <w:bookmarkEnd w:id="8714"/>
    </w:p>
    <w:p w14:paraId="3F47D015" w14:textId="77777777" w:rsidR="00D95C52" w:rsidRDefault="00D95C52" w:rsidP="00223668">
      <w:pPr>
        <w:pStyle w:val="a0"/>
        <w:rPr>
          <w:rtl/>
        </w:rPr>
      </w:pPr>
      <w:r w:rsidRPr="00C63ACE">
        <w:rPr>
          <w:rFonts w:hint="cs"/>
          <w:rtl/>
        </w:rPr>
        <w:t xml:space="preserve">אבל </w:t>
      </w:r>
      <w:r w:rsidRPr="00C63ACE">
        <w:rPr>
          <w:rStyle w:val="af9"/>
          <w:rFonts w:hint="cs"/>
          <w:rtl/>
        </w:rPr>
        <w:t xml:space="preserve">הפרמ"ג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Ref529723395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סח)</w:t>
      </w:r>
      <w:r>
        <w:rPr>
          <w:rStyle w:val="af7"/>
          <w:rFonts w:eastAsia="Guttman Hodes"/>
          <w:rtl/>
        </w:rPr>
        <w:fldChar w:fldCharType="end"/>
      </w:r>
      <w:r>
        <w:rPr>
          <w:rStyle w:val="af7"/>
          <w:rFonts w:eastAsia="Guttman Hodes" w:hint="cs"/>
          <w:rtl/>
        </w:rPr>
        <w:t xml:space="preserve"> </w:t>
      </w:r>
      <w:r w:rsidRPr="00C63ACE">
        <w:rPr>
          <w:rStyle w:val="af9"/>
          <w:rFonts w:hint="cs"/>
          <w:rtl/>
        </w:rPr>
        <w:t>והתורת יקותיאל</w:t>
      </w:r>
      <w:r w:rsidRPr="00C63ACE">
        <w:rPr>
          <w:rFonts w:hint="cs"/>
          <w:rtl/>
        </w:rPr>
        <w:t xml:space="preserve"> </w:t>
      </w:r>
      <w:r w:rsidRPr="00C63ACE">
        <w:rPr>
          <w:rStyle w:val="af7"/>
          <w:rFonts w:eastAsia="Guttman Hodes" w:hint="cs"/>
          <w:rtl/>
        </w:rPr>
        <w:t>(סי' פ"א ב' ד"ה ועוד יש לומר)</w:t>
      </w:r>
      <w:r w:rsidRPr="00C63ACE">
        <w:rPr>
          <w:rFonts w:hint="cs"/>
          <w:rtl/>
        </w:rPr>
        <w:t xml:space="preserve"> </w:t>
      </w:r>
      <w:r w:rsidRPr="00C63ACE">
        <w:rPr>
          <w:rStyle w:val="af9"/>
          <w:rFonts w:hint="cs"/>
          <w:rtl/>
        </w:rPr>
        <w:t>והבינת אדם</w:t>
      </w:r>
      <w:r w:rsidRPr="00C63ACE">
        <w:rPr>
          <w:rFonts w:hint="cs"/>
          <w:rtl/>
        </w:rPr>
        <w:t xml:space="preserve"> </w:t>
      </w:r>
      <w:r w:rsidRPr="00C63ACE">
        <w:rPr>
          <w:rStyle w:val="af7"/>
          <w:rFonts w:eastAsia="Guttman Hodes" w:hint="cs"/>
          <w:rtl/>
        </w:rPr>
        <w:t xml:space="preserve">(רוב וחזקה י"ד ד"ה ונראה לי) </w:t>
      </w:r>
      <w:r w:rsidRPr="00C63ACE">
        <w:rPr>
          <w:rFonts w:hint="cs"/>
          <w:rtl/>
        </w:rPr>
        <w:t>כתבו דכ"מ דפליגי</w:t>
      </w:r>
      <w:r>
        <w:rPr>
          <w:rFonts w:hint="cs"/>
          <w:rtl/>
        </w:rPr>
        <w:t xml:space="preserve"> </w:t>
      </w:r>
      <w:r w:rsidRPr="008B110F">
        <w:rPr>
          <w:rStyle w:val="af9"/>
          <w:rFonts w:hint="cs"/>
          <w:rtl/>
        </w:rPr>
        <w:t>התוס'</w:t>
      </w:r>
      <w:r>
        <w:rPr>
          <w:rFonts w:hint="cs"/>
          <w:rtl/>
        </w:rPr>
        <w:t xml:space="preserve"> </w:t>
      </w:r>
      <w:r w:rsidRPr="003726BF">
        <w:rPr>
          <w:rStyle w:val="af7"/>
          <w:rFonts w:eastAsia="Guttman Hodes" w:hint="cs"/>
          <w:rtl/>
        </w:rPr>
        <w:t xml:space="preserve">(עי' אות </w:t>
      </w:r>
      <w:r w:rsidRPr="003726BF">
        <w:rPr>
          <w:rStyle w:val="af7"/>
          <w:rFonts w:eastAsia="Guttman Hodes"/>
          <w:rtl/>
        </w:rPr>
        <w:fldChar w:fldCharType="begin"/>
      </w:r>
      <w:r w:rsidRPr="003726BF">
        <w:rPr>
          <w:rStyle w:val="af7"/>
          <w:rFonts w:eastAsia="Guttman Hodes"/>
          <w:rtl/>
        </w:rPr>
        <w:instrText xml:space="preserve"> </w:instrText>
      </w:r>
      <w:r w:rsidRPr="003726BF">
        <w:rPr>
          <w:rStyle w:val="af7"/>
          <w:rFonts w:eastAsia="Guttman Hodes" w:hint="cs"/>
        </w:rPr>
        <w:instrText>REF</w:instrText>
      </w:r>
      <w:r w:rsidRPr="003726BF">
        <w:rPr>
          <w:rStyle w:val="af7"/>
          <w:rFonts w:eastAsia="Guttman Hodes" w:hint="cs"/>
          <w:rtl/>
        </w:rPr>
        <w:instrText xml:space="preserve"> _</w:instrText>
      </w:r>
      <w:r w:rsidRPr="003726BF">
        <w:rPr>
          <w:rStyle w:val="af7"/>
          <w:rFonts w:eastAsia="Guttman Hodes" w:hint="cs"/>
        </w:rPr>
        <w:instrText>Ref529121640 \r \h</w:instrText>
      </w:r>
      <w:r w:rsidRPr="003726BF">
        <w:rPr>
          <w:rStyle w:val="af7"/>
          <w:rFonts w:eastAsia="Guttman Hodes"/>
          <w:rtl/>
        </w:rPr>
        <w:instrText xml:space="preserve"> </w:instrText>
      </w:r>
      <w:r w:rsidRPr="003726BF">
        <w:rPr>
          <w:rStyle w:val="af7"/>
          <w:rFonts w:eastAsia="Guttman Hodes"/>
          <w:rtl/>
        </w:rPr>
      </w:r>
      <w:r w:rsidRPr="003726BF">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3726BF">
        <w:rPr>
          <w:rStyle w:val="af7"/>
          <w:rFonts w:eastAsia="Guttman Hodes"/>
          <w:rtl/>
        </w:rPr>
        <w:fldChar w:fldCharType="end"/>
      </w:r>
      <w:r>
        <w:rPr>
          <w:rFonts w:hint="cs"/>
          <w:rtl/>
        </w:rPr>
        <w:t xml:space="preserve"> על </w:t>
      </w:r>
      <w:r w:rsidRPr="0001100A">
        <w:rPr>
          <w:rStyle w:val="af9"/>
          <w:rFonts w:hint="cs"/>
          <w:rtl/>
        </w:rPr>
        <w:t xml:space="preserve">הרשב"א </w:t>
      </w:r>
      <w:r w:rsidRPr="0075419C">
        <w:rPr>
          <w:rStyle w:val="af7"/>
          <w:rFonts w:eastAsia="Guttman Hodes" w:hint="cs"/>
          <w:rtl/>
        </w:rPr>
        <w:t xml:space="preserve">(עי' אות </w:t>
      </w:r>
      <w:r w:rsidRPr="0075419C">
        <w:rPr>
          <w:rStyle w:val="af7"/>
          <w:rFonts w:eastAsia="Guttman Hodes"/>
          <w:rtl/>
        </w:rPr>
        <w:fldChar w:fldCharType="begin"/>
      </w:r>
      <w:r w:rsidRPr="0075419C">
        <w:rPr>
          <w:rStyle w:val="af7"/>
          <w:rFonts w:eastAsia="Guttman Hodes"/>
          <w:rtl/>
        </w:rPr>
        <w:instrText xml:space="preserve"> </w:instrText>
      </w:r>
      <w:r w:rsidRPr="0075419C">
        <w:rPr>
          <w:rStyle w:val="af7"/>
          <w:rFonts w:eastAsia="Guttman Hodes" w:hint="cs"/>
        </w:rPr>
        <w:instrText>REF</w:instrText>
      </w:r>
      <w:r w:rsidRPr="0075419C">
        <w:rPr>
          <w:rStyle w:val="af7"/>
          <w:rFonts w:eastAsia="Guttman Hodes" w:hint="cs"/>
          <w:rtl/>
        </w:rPr>
        <w:instrText xml:space="preserve"> _</w:instrText>
      </w:r>
      <w:r w:rsidRPr="0075419C">
        <w:rPr>
          <w:rStyle w:val="af7"/>
          <w:rFonts w:eastAsia="Guttman Hodes" w:hint="cs"/>
        </w:rPr>
        <w:instrText>Ref529129544 \r \h</w:instrText>
      </w:r>
      <w:r w:rsidRPr="0075419C">
        <w:rPr>
          <w:rStyle w:val="af7"/>
          <w:rFonts w:eastAsia="Guttman Hodes"/>
          <w:rtl/>
        </w:rPr>
        <w:instrText xml:space="preserve"> </w:instrText>
      </w:r>
      <w:r w:rsidRPr="0075419C">
        <w:rPr>
          <w:rStyle w:val="af7"/>
          <w:rFonts w:eastAsia="Guttman Hodes"/>
          <w:rtl/>
        </w:rPr>
      </w:r>
      <w:r w:rsidRPr="0075419C">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75419C">
        <w:rPr>
          <w:rStyle w:val="af7"/>
          <w:rFonts w:eastAsia="Guttman Hodes"/>
          <w:rtl/>
        </w:rPr>
        <w:fldChar w:fldCharType="end"/>
      </w:r>
      <w:r>
        <w:rPr>
          <w:rFonts w:hint="cs"/>
          <w:rtl/>
        </w:rPr>
        <w:t xml:space="preserve"> דלא אמרינן חזקה מכח רוב, היינו דוקא במקום שיש ריעותא ברוב, דעכשיו נתברר שהבהמה היא מהמיעוט, דהא נמצאת טריפה, </w:t>
      </w:r>
      <w:r w:rsidRPr="00C93D20">
        <w:rPr>
          <w:rStyle w:val="afb"/>
          <w:rFonts w:hint="cs"/>
          <w:rtl/>
        </w:rPr>
        <w:t xml:space="preserve">[כדביאר </w:t>
      </w:r>
      <w:r w:rsidRPr="00C93D20">
        <w:rPr>
          <w:rStyle w:val="affa"/>
          <w:rFonts w:hint="cs"/>
          <w:rtl/>
        </w:rPr>
        <w:t>היש"ש</w:t>
      </w:r>
      <w:r w:rsidRPr="00C93D20">
        <w:rPr>
          <w:rStyle w:val="afb"/>
          <w:rFonts w:hint="cs"/>
          <w:rtl/>
        </w:rPr>
        <w:t xml:space="preserve"> </w:t>
      </w:r>
      <w:r w:rsidRPr="00C93D20">
        <w:rPr>
          <w:rStyle w:val="aff6"/>
          <w:rFonts w:hint="cs"/>
          <w:rtl/>
        </w:rPr>
        <w:t>(בפירקין סי' כ'</w:t>
      </w:r>
      <w:r>
        <w:rPr>
          <w:rStyle w:val="aff6"/>
          <w:rFonts w:hint="cs"/>
          <w:rtl/>
        </w:rPr>
        <w:t>)</w:t>
      </w:r>
      <w:r w:rsidRPr="00C93D20">
        <w:rPr>
          <w:rStyle w:val="afb"/>
          <w:rFonts w:hint="cs"/>
          <w:rtl/>
        </w:rPr>
        <w:t>]</w:t>
      </w:r>
      <w:r>
        <w:rPr>
          <w:rFonts w:hint="cs"/>
          <w:rtl/>
        </w:rPr>
        <w:t xml:space="preserve">, ולכן א"א להעמידה על החזקה מכח הרוב כיון שכל החזקה לא הייתה חזקה ודאית, דהא הייתה רק מחמת הרוב, ועתה נתברר שהיא מהמיעוט, ולכן כתבו </w:t>
      </w:r>
      <w:r w:rsidRPr="00DE339A">
        <w:rPr>
          <w:rStyle w:val="af9"/>
          <w:rFonts w:hint="cs"/>
          <w:rtl/>
        </w:rPr>
        <w:t xml:space="preserve">התוס' </w:t>
      </w:r>
      <w:r>
        <w:rPr>
          <w:rFonts w:hint="cs"/>
          <w:rtl/>
        </w:rPr>
        <w:t>דבמקום שיש ריעותא בחזקה דנמצאת טריפה, אזלינן רק בתר חזקה שנתבררה בשעתה.</w:t>
      </w:r>
    </w:p>
    <w:p w14:paraId="41069277" w14:textId="77777777" w:rsidR="00D95C52" w:rsidRDefault="00D95C52" w:rsidP="006D6D32">
      <w:pPr>
        <w:pStyle w:val="a3"/>
        <w:rPr>
          <w:rtl/>
        </w:rPr>
      </w:pPr>
      <w:bookmarkStart w:id="8715" w:name="_Toc529738979"/>
      <w:bookmarkStart w:id="8716" w:name="_Toc19390143"/>
      <w:bookmarkStart w:id="8717" w:name="_Toc19393640"/>
      <w:r>
        <w:rPr>
          <w:rFonts w:hint="cs"/>
          <w:rtl/>
        </w:rPr>
        <w:t>דברי הפרמ"ג והתורת יקותיאל והבינ"א דבספק השקול אף לתוס' יש חזקה מכח רוב</w:t>
      </w:r>
      <w:bookmarkEnd w:id="8715"/>
      <w:bookmarkEnd w:id="8716"/>
      <w:bookmarkEnd w:id="8717"/>
    </w:p>
    <w:p w14:paraId="342DBB18" w14:textId="77777777" w:rsidR="00D95C52" w:rsidRPr="000C25D0" w:rsidRDefault="00D95C52" w:rsidP="00223668">
      <w:pPr>
        <w:pStyle w:val="a0"/>
        <w:rPr>
          <w:rtl/>
        </w:rPr>
      </w:pPr>
      <w:r>
        <w:rPr>
          <w:rFonts w:hint="cs"/>
          <w:rtl/>
        </w:rPr>
        <w:t xml:space="preserve">משא"כ במקום שעדיין יש ספק השקול, אם היא טריפה או כשרה, כתבו </w:t>
      </w:r>
      <w:r>
        <w:rPr>
          <w:rStyle w:val="af9"/>
          <w:rFonts w:hint="cs"/>
          <w:rtl/>
        </w:rPr>
        <w:t>ה</w:t>
      </w:r>
      <w:r w:rsidRPr="00124643">
        <w:rPr>
          <w:rStyle w:val="af9"/>
          <w:rFonts w:hint="cs"/>
          <w:rtl/>
        </w:rPr>
        <w:t>פ</w:t>
      </w:r>
      <w:r>
        <w:rPr>
          <w:rStyle w:val="af9"/>
          <w:rFonts w:hint="cs"/>
          <w:rtl/>
        </w:rPr>
        <w:t>ר</w:t>
      </w:r>
      <w:r w:rsidRPr="00124643">
        <w:rPr>
          <w:rStyle w:val="af9"/>
          <w:rFonts w:hint="cs"/>
          <w:rtl/>
        </w:rPr>
        <w:t xml:space="preserve">מ"ג </w:t>
      </w:r>
      <w:r>
        <w:rPr>
          <w:rStyle w:val="af9"/>
          <w:rFonts w:hint="cs"/>
          <w:rtl/>
        </w:rPr>
        <w:t>ו</w:t>
      </w:r>
      <w:r w:rsidRPr="004B16E7">
        <w:rPr>
          <w:rStyle w:val="af9"/>
          <w:rFonts w:hint="cs"/>
          <w:rtl/>
        </w:rPr>
        <w:t>התורת יקותיאל</w:t>
      </w:r>
      <w:r>
        <w:rPr>
          <w:rFonts w:hint="cs"/>
          <w:rtl/>
        </w:rPr>
        <w:t xml:space="preserve"> </w:t>
      </w:r>
      <w:r w:rsidRPr="00907D37">
        <w:rPr>
          <w:rStyle w:val="af9"/>
          <w:rFonts w:hint="cs"/>
          <w:rtl/>
        </w:rPr>
        <w:t>והבינת אדם</w:t>
      </w:r>
      <w:r>
        <w:rPr>
          <w:rFonts w:hint="cs"/>
          <w:rtl/>
        </w:rPr>
        <w:t xml:space="preserve"> דמודו </w:t>
      </w:r>
      <w:r w:rsidRPr="004B16E7">
        <w:rPr>
          <w:rStyle w:val="af9"/>
          <w:rFonts w:hint="cs"/>
          <w:rtl/>
        </w:rPr>
        <w:t>התוס' לרשב"א</w:t>
      </w:r>
      <w:r>
        <w:rPr>
          <w:rFonts w:hint="cs"/>
          <w:rtl/>
        </w:rPr>
        <w:t xml:space="preserve"> דיש לה חזקה מכח הרוב, דכיון שעד עתה הייתה בכלל הרוב, ואין כל ריעותא לומר שהיא מהמיעוט, אלא רק יש ספק בכה"ג אף </w:t>
      </w:r>
      <w:r w:rsidRPr="004B16E7">
        <w:rPr>
          <w:rStyle w:val="af9"/>
          <w:rFonts w:hint="cs"/>
          <w:rtl/>
        </w:rPr>
        <w:t>לתוס'</w:t>
      </w:r>
      <w:r>
        <w:rPr>
          <w:rFonts w:hint="cs"/>
          <w:rtl/>
        </w:rPr>
        <w:t xml:space="preserve"> מעמידים אותה בחזקתה שהיא כשרה.</w:t>
      </w:r>
    </w:p>
    <w:p w14:paraId="596F55B8" w14:textId="77777777" w:rsidR="00D95C52" w:rsidRDefault="00D95C52" w:rsidP="006D6D32">
      <w:pPr>
        <w:pStyle w:val="a3"/>
        <w:rPr>
          <w:rtl/>
        </w:rPr>
      </w:pPr>
      <w:bookmarkStart w:id="8718" w:name="_Toc529738980"/>
      <w:bookmarkStart w:id="8719" w:name="_Toc19390144"/>
      <w:bookmarkStart w:id="8720" w:name="_Toc19393641"/>
      <w:r>
        <w:rPr>
          <w:rFonts w:hint="cs"/>
          <w:rtl/>
        </w:rPr>
        <w:t>ביאור הגרעק"א דאף לתוס' בספק אם היא טריפה אפשר להעמידה על חזקת ההיתר מכח הרוב</w:t>
      </w:r>
      <w:bookmarkEnd w:id="8718"/>
      <w:bookmarkEnd w:id="8719"/>
      <w:bookmarkEnd w:id="8720"/>
    </w:p>
    <w:p w14:paraId="1F38510F" w14:textId="77777777" w:rsidR="00D95C52" w:rsidRDefault="00D95C52" w:rsidP="00223668">
      <w:pPr>
        <w:pStyle w:val="a0"/>
        <w:rPr>
          <w:rtl/>
        </w:rPr>
      </w:pPr>
      <w:r>
        <w:rPr>
          <w:rStyle w:val="af9"/>
          <w:rFonts w:hint="cs"/>
          <w:rtl/>
        </w:rPr>
        <w:t>ו</w:t>
      </w:r>
      <w:r w:rsidRPr="00F8229C">
        <w:rPr>
          <w:rStyle w:val="af9"/>
          <w:rFonts w:hint="cs"/>
          <w:rtl/>
        </w:rPr>
        <w:t>הגרעק"א</w:t>
      </w:r>
      <w:r w:rsidRPr="00F8229C">
        <w:rPr>
          <w:rFonts w:hint="cs"/>
          <w:rtl/>
        </w:rPr>
        <w:t xml:space="preserve"> </w:t>
      </w:r>
      <w:r w:rsidRPr="00F8229C">
        <w:rPr>
          <w:rStyle w:val="af7"/>
          <w:rFonts w:eastAsia="Guttman Hodes" w:hint="cs"/>
          <w:rtl/>
        </w:rPr>
        <w:t>(מג: ד"ה ולענ"ד לק"מ)</w:t>
      </w:r>
      <w:r w:rsidRPr="00F8229C">
        <w:rPr>
          <w:rFonts w:hint="cs"/>
          <w:rtl/>
        </w:rPr>
        <w:t xml:space="preserve"> </w:t>
      </w:r>
      <w:r>
        <w:rPr>
          <w:rFonts w:hint="cs"/>
          <w:rtl/>
        </w:rPr>
        <w:t>ביאר</w:t>
      </w:r>
      <w:r w:rsidRPr="00F8229C">
        <w:rPr>
          <w:rFonts w:hint="cs"/>
          <w:rtl/>
        </w:rPr>
        <w:t xml:space="preserve"> דאף  לדעת </w:t>
      </w:r>
      <w:r w:rsidRPr="00F8229C">
        <w:rPr>
          <w:rStyle w:val="af9"/>
          <w:rFonts w:hint="cs"/>
          <w:rtl/>
        </w:rPr>
        <w:t xml:space="preserve">התוס' </w:t>
      </w:r>
      <w:r w:rsidRPr="00F8229C">
        <w:rPr>
          <w:rFonts w:hint="cs"/>
          <w:rtl/>
        </w:rPr>
        <w:t>במקום שהיא ודאי טריפה, והספק לענין הגבינות הוא מתי נטרפה, בזה א"א להעמידה על חזקת הגוף ולומר שנטרפה עכשיו, כיון שמעיקרא לא הייתה לבהמה חזקת הגוף מבוררת שאינה טריפה, [</w:t>
      </w:r>
      <w:r w:rsidRPr="001B35C4">
        <w:rPr>
          <w:rStyle w:val="afb"/>
          <w:rFonts w:hint="cs"/>
          <w:rtl/>
        </w:rPr>
        <w:t xml:space="preserve">ודוקא לענין מומין שהיה מבורר לפנינו מעיקרא שלא היו בה מומין, שייכא חזקת הגוף], </w:t>
      </w:r>
      <w:r w:rsidRPr="00F8229C">
        <w:rPr>
          <w:rFonts w:hint="cs"/>
          <w:rtl/>
        </w:rPr>
        <w:t xml:space="preserve">אבל בספק האם היא טריפה, אף שאין לה חזקת הגוף מבוררת, מ"מ אפשר להעמידה על חזקת היתר מכח הרוב שאינה טריפה, דלענין היתר אכילה חשיב חזקה מבוררת, כיון שמדינא היה מותרת באכילה, וא"א לאוסרה באכילה ולהוציאה מחזקת היתר ע"י ספק, </w:t>
      </w:r>
      <w:r w:rsidRPr="001B35C4">
        <w:rPr>
          <w:rStyle w:val="afb"/>
          <w:rFonts w:hint="cs"/>
          <w:rtl/>
        </w:rPr>
        <w:t>[וכן בספק צרת ערוה שאין לה חזקת הגוף כלל, מ"מ כיון שלפני הספק גירושין בערוה הייתה בחזקת היתר לשוק, א"א לאוסרה מספק]</w:t>
      </w:r>
      <w:r w:rsidRPr="00F8229C">
        <w:rPr>
          <w:rFonts w:hint="cs"/>
          <w:rtl/>
        </w:rPr>
        <w:t>.</w:t>
      </w:r>
    </w:p>
    <w:p w14:paraId="4E8A5E6D" w14:textId="77777777" w:rsidR="00D95C52" w:rsidRDefault="00D95C52" w:rsidP="006D6D32">
      <w:pPr>
        <w:pStyle w:val="a3"/>
        <w:rPr>
          <w:rtl/>
        </w:rPr>
      </w:pPr>
      <w:bookmarkStart w:id="8721" w:name="_Toc529738981"/>
      <w:bookmarkStart w:id="8722" w:name="_Toc19390145"/>
      <w:bookmarkStart w:id="8723" w:name="_Toc19393642"/>
      <w:bookmarkStart w:id="8724" w:name="_Toc529352391"/>
      <w:bookmarkStart w:id="8725" w:name="_Toc529445004"/>
      <w:bookmarkStart w:id="8726" w:name="_Toc529704514"/>
      <w:r>
        <w:rPr>
          <w:rFonts w:hint="cs"/>
          <w:rtl/>
        </w:rPr>
        <w:t>דברי הנחל"ד דבחזקה מכח רוב שלא נתבררה אמרינן שלא הייתה מהרוב כלל</w:t>
      </w:r>
      <w:bookmarkEnd w:id="8721"/>
      <w:bookmarkEnd w:id="8722"/>
      <w:bookmarkEnd w:id="8723"/>
    </w:p>
    <w:p w14:paraId="2D555B5C" w14:textId="77777777" w:rsidR="00D95C52" w:rsidRDefault="00D95C52" w:rsidP="00223668">
      <w:pPr>
        <w:pStyle w:val="a0"/>
        <w:rPr>
          <w:rtl/>
        </w:rPr>
      </w:pPr>
      <w:r>
        <w:rPr>
          <w:rStyle w:val="af9"/>
          <w:rFonts w:hint="cs"/>
          <w:rtl/>
        </w:rPr>
        <w:t>ו</w:t>
      </w:r>
      <w:r w:rsidRPr="00DF58F6">
        <w:rPr>
          <w:rStyle w:val="af9"/>
          <w:rFonts w:hint="cs"/>
          <w:rtl/>
        </w:rPr>
        <w:t>הנחל"ד</w:t>
      </w:r>
      <w:r>
        <w:rPr>
          <w:rFonts w:hint="cs"/>
          <w:rtl/>
        </w:rPr>
        <w:t xml:space="preserve"> </w:t>
      </w:r>
      <w:r w:rsidRPr="00DF58F6">
        <w:rPr>
          <w:rStyle w:val="af7"/>
          <w:rFonts w:eastAsia="Guttman Hodes" w:hint="cs"/>
          <w:rtl/>
        </w:rPr>
        <w:t xml:space="preserve">(ד"ה ולענין דינא) </w:t>
      </w:r>
      <w:r>
        <w:rPr>
          <w:rFonts w:hint="cs"/>
          <w:rtl/>
        </w:rPr>
        <w:t>ביאר דס"ל</w:t>
      </w:r>
      <w:r w:rsidRPr="00DF58F6">
        <w:rPr>
          <w:rStyle w:val="af9"/>
          <w:rFonts w:hint="cs"/>
          <w:rtl/>
        </w:rPr>
        <w:t xml:space="preserve"> להתוס'</w:t>
      </w:r>
      <w:r>
        <w:rPr>
          <w:rFonts w:hint="cs"/>
          <w:rtl/>
        </w:rPr>
        <w:t xml:space="preserve"> דאף דאזלינן בתר רובא, מ"מ א"א לומר דעד עכשיו הייתה בכלל רוב כשרות והשתא נטרפה, דכל מה דאמרינן השתא הוא דנטרפה, זהו במקום שהייתה ידיעה ברורה שלא הייתה בה ריעותא מתחילה, ולכן אמרינן דאפשר להעמידה בחזקתה שאין בה ריעותא בכל זמן הספק והשתא הוא דאיתרע, אבל כיון שהחזקה בבהמה שהיא כשרה אינה חזקה מבוררת, אלא דמסתמא מחזקינן לה בכשרה מחמת הרוב, א"כ עכשיו דטריפה לפנינו היא יצאה מהרוב, דהא רוב בהמות אין בהם ריעותא, וא"כ א"א לומר דרק עכשיו יצאה מהרוב, דכמו שיצאה עכשיו מהרוב, יתכן שקודם לכן יצאה מהרוב.</w:t>
      </w:r>
    </w:p>
    <w:p w14:paraId="3E9E9125" w14:textId="77777777" w:rsidR="00D95C52" w:rsidRDefault="00D95C52" w:rsidP="00BF39B2">
      <w:pPr>
        <w:pStyle w:val="1"/>
        <w:rPr>
          <w:rtl/>
        </w:rPr>
      </w:pPr>
      <w:bookmarkStart w:id="8727" w:name="_Toc529738982"/>
      <w:bookmarkStart w:id="8728" w:name="_Toc19390146"/>
      <w:bookmarkStart w:id="8729" w:name="_Toc19393643"/>
      <w:r>
        <w:rPr>
          <w:rFonts w:hint="cs"/>
          <w:rtl/>
        </w:rPr>
        <w:t>דברי התבו"ש דדוקא כשאין ריעותא מחיים יש חזקה מכח רוב</w:t>
      </w:r>
      <w:bookmarkEnd w:id="8724"/>
      <w:bookmarkEnd w:id="8725"/>
      <w:bookmarkEnd w:id="8726"/>
      <w:bookmarkEnd w:id="8727"/>
      <w:bookmarkEnd w:id="8728"/>
      <w:bookmarkEnd w:id="8729"/>
    </w:p>
    <w:p w14:paraId="6432FF2C" w14:textId="77777777" w:rsidR="00D95C52" w:rsidRPr="00124643" w:rsidRDefault="00D95C52" w:rsidP="006D6D32">
      <w:pPr>
        <w:pStyle w:val="a3"/>
        <w:rPr>
          <w:rtl/>
        </w:rPr>
      </w:pPr>
      <w:bookmarkStart w:id="8730" w:name="_Toc529352392"/>
      <w:bookmarkStart w:id="8731" w:name="_Toc529445005"/>
      <w:bookmarkStart w:id="8732" w:name="_Toc529704515"/>
      <w:bookmarkStart w:id="8733" w:name="_Toc529738983"/>
      <w:bookmarkStart w:id="8734" w:name="_Toc19390147"/>
      <w:bookmarkStart w:id="8735" w:name="_Toc19393644"/>
      <w:r w:rsidRPr="00124643">
        <w:rPr>
          <w:rFonts w:hint="cs"/>
          <w:rtl/>
        </w:rPr>
        <w:t>דברי התבו"ש דבגבינות התיר הרשב"א כיון שבשעת החליבה לא הייתה ריעותא ברוב</w:t>
      </w:r>
      <w:bookmarkEnd w:id="8730"/>
      <w:bookmarkEnd w:id="8731"/>
      <w:bookmarkEnd w:id="8732"/>
      <w:bookmarkEnd w:id="8733"/>
      <w:bookmarkEnd w:id="8734"/>
      <w:bookmarkEnd w:id="8735"/>
    </w:p>
    <w:p w14:paraId="137426CF" w14:textId="77777777" w:rsidR="00D95C52" w:rsidRDefault="00D95C52" w:rsidP="00223668">
      <w:pPr>
        <w:pStyle w:val="a0"/>
        <w:rPr>
          <w:rtl/>
        </w:rPr>
      </w:pPr>
      <w:r w:rsidRPr="00124643">
        <w:rPr>
          <w:rFonts w:hint="cs"/>
          <w:rtl/>
        </w:rPr>
        <w:t xml:space="preserve">כתב </w:t>
      </w:r>
      <w:r w:rsidRPr="00124643">
        <w:rPr>
          <w:rStyle w:val="af9"/>
          <w:rFonts w:hint="cs"/>
          <w:rtl/>
        </w:rPr>
        <w:t>התבו"ש</w:t>
      </w:r>
      <w:r w:rsidRPr="00124643">
        <w:rPr>
          <w:rFonts w:hint="cs"/>
          <w:rtl/>
        </w:rPr>
        <w:t xml:space="preserve"> </w:t>
      </w:r>
      <w:r w:rsidRPr="00124643">
        <w:rPr>
          <w:rStyle w:val="af7"/>
          <w:rFonts w:eastAsia="Guttman Hodes" w:hint="cs"/>
          <w:rtl/>
        </w:rPr>
        <w:t>(כ"ט א' ד"ה כתב הדרכ"מ</w:t>
      </w:r>
      <w:r>
        <w:rPr>
          <w:rStyle w:val="af7"/>
          <w:rFonts w:eastAsia="Guttman Hodes" w:hint="cs"/>
          <w:rtl/>
        </w:rPr>
        <w:t xml:space="preserve"> בתו"ד</w:t>
      </w:r>
      <w:r w:rsidRPr="00124643">
        <w:rPr>
          <w:rStyle w:val="af7"/>
          <w:rFonts w:eastAsia="Guttman Hodes" w:hint="cs"/>
          <w:rtl/>
        </w:rPr>
        <w:t>)</w:t>
      </w:r>
      <w:r w:rsidRPr="00124643">
        <w:rPr>
          <w:rFonts w:hint="cs"/>
          <w:rtl/>
        </w:rPr>
        <w:t xml:space="preserve"> </w:t>
      </w:r>
      <w:r>
        <w:rPr>
          <w:rFonts w:hint="cs"/>
          <w:rtl/>
        </w:rPr>
        <w:t>דכל מה שהתיר</w:t>
      </w:r>
      <w:r w:rsidRPr="00124643">
        <w:rPr>
          <w:rFonts w:hint="cs"/>
          <w:rtl/>
        </w:rPr>
        <w:t xml:space="preserve"> </w:t>
      </w:r>
      <w:r w:rsidRPr="00124643">
        <w:rPr>
          <w:rStyle w:val="af9"/>
          <w:rFonts w:hint="cs"/>
          <w:rtl/>
        </w:rPr>
        <w:t>הרשב"א</w:t>
      </w:r>
      <w:r w:rsidRPr="00124643">
        <w:rPr>
          <w:rFonts w:hint="cs"/>
          <w:rtl/>
        </w:rPr>
        <w:t xml:space="preserve"> </w:t>
      </w:r>
      <w:r w:rsidRPr="00124643">
        <w:rPr>
          <w:rStyle w:val="af7"/>
          <w:rFonts w:eastAsia="Guttman Hodes" w:hint="cs"/>
          <w:rtl/>
        </w:rPr>
        <w:t>(</w:t>
      </w:r>
      <w:r w:rsidRPr="004D5F32">
        <w:rPr>
          <w:rStyle w:val="af7"/>
          <w:rFonts w:eastAsia="Guttman Hodes" w:hint="cs"/>
          <w:rtl/>
        </w:rPr>
        <w:t xml:space="preserve">(עי' אות </w:t>
      </w:r>
      <w:r w:rsidRPr="004D5F32">
        <w:rPr>
          <w:rStyle w:val="af7"/>
          <w:rFonts w:eastAsia="Guttman Hodes"/>
          <w:rtl/>
        </w:rPr>
        <w:fldChar w:fldCharType="begin"/>
      </w:r>
      <w:r w:rsidRPr="004D5F32">
        <w:rPr>
          <w:rStyle w:val="af7"/>
          <w:rFonts w:eastAsia="Guttman Hodes"/>
          <w:rtl/>
        </w:rPr>
        <w:instrText xml:space="preserve"> </w:instrText>
      </w:r>
      <w:r w:rsidRPr="004D5F32">
        <w:rPr>
          <w:rStyle w:val="af7"/>
          <w:rFonts w:eastAsia="Guttman Hodes" w:hint="cs"/>
        </w:rPr>
        <w:instrText>REF</w:instrText>
      </w:r>
      <w:r w:rsidRPr="004D5F32">
        <w:rPr>
          <w:rStyle w:val="af7"/>
          <w:rFonts w:eastAsia="Guttman Hodes" w:hint="cs"/>
          <w:rtl/>
        </w:rPr>
        <w:instrText xml:space="preserve"> _</w:instrText>
      </w:r>
      <w:r w:rsidRPr="004D5F32">
        <w:rPr>
          <w:rStyle w:val="af7"/>
          <w:rFonts w:eastAsia="Guttman Hodes" w:hint="cs"/>
        </w:rPr>
        <w:instrText>Ref529091668 \r \h</w:instrText>
      </w:r>
      <w:r w:rsidRPr="004D5F32">
        <w:rPr>
          <w:rStyle w:val="af7"/>
          <w:rFonts w:eastAsia="Guttman Hodes"/>
          <w:rtl/>
        </w:rPr>
        <w:instrText xml:space="preserve"> </w:instrText>
      </w:r>
      <w:r w:rsidRPr="004D5F32">
        <w:rPr>
          <w:rStyle w:val="af7"/>
          <w:rFonts w:eastAsia="Guttman Hodes"/>
          <w:rtl/>
        </w:rPr>
      </w:r>
      <w:r w:rsidRPr="004D5F32">
        <w:rPr>
          <w:rStyle w:val="af7"/>
          <w:rFonts w:eastAsia="Guttman Hodes"/>
          <w:rtl/>
        </w:rPr>
        <w:fldChar w:fldCharType="separate"/>
      </w:r>
      <w:r w:rsidR="00345400">
        <w:rPr>
          <w:rStyle w:val="af7"/>
          <w:rFonts w:eastAsia="Guttman Hodes"/>
          <w:cs/>
        </w:rPr>
        <w:t>‎</w:t>
      </w:r>
      <w:r w:rsidR="00345400">
        <w:rPr>
          <w:rStyle w:val="af7"/>
          <w:rFonts w:eastAsia="Guttman Hodes"/>
          <w:rtl/>
        </w:rPr>
        <w:t>כג)</w:t>
      </w:r>
      <w:r w:rsidRPr="004D5F32">
        <w:rPr>
          <w:rStyle w:val="af7"/>
          <w:rFonts w:eastAsia="Guttman Hodes"/>
          <w:rtl/>
        </w:rPr>
        <w:fldChar w:fldCharType="end"/>
      </w:r>
      <w:r>
        <w:rPr>
          <w:rFonts w:hint="cs"/>
          <w:rtl/>
        </w:rPr>
        <w:t xml:space="preserve"> </w:t>
      </w:r>
      <w:r w:rsidRPr="00124643">
        <w:rPr>
          <w:rFonts w:hint="cs"/>
          <w:rtl/>
        </w:rPr>
        <w:t xml:space="preserve">בגבינות </w:t>
      </w:r>
      <w:r>
        <w:rPr>
          <w:rFonts w:hint="cs"/>
          <w:rtl/>
        </w:rPr>
        <w:t>ע"י</w:t>
      </w:r>
      <w:r w:rsidRPr="00124643">
        <w:rPr>
          <w:rFonts w:hint="cs"/>
          <w:rtl/>
        </w:rPr>
        <w:t xml:space="preserve"> החזקה מכח הרוב, </w:t>
      </w:r>
      <w:r>
        <w:rPr>
          <w:rFonts w:hint="cs"/>
          <w:rtl/>
        </w:rPr>
        <w:t xml:space="preserve">היינו </w:t>
      </w:r>
      <w:r w:rsidRPr="00124643">
        <w:rPr>
          <w:rFonts w:hint="cs"/>
          <w:rtl/>
        </w:rPr>
        <w:t xml:space="preserve">כיון שהריעותא ברוב נולדה לאחר השחיטה, </w:t>
      </w:r>
      <w:r>
        <w:rPr>
          <w:rFonts w:hint="cs"/>
          <w:rtl/>
        </w:rPr>
        <w:t xml:space="preserve">דנמצאת טריפה, אבל </w:t>
      </w:r>
      <w:r w:rsidRPr="00124643">
        <w:rPr>
          <w:rFonts w:hint="cs"/>
          <w:rtl/>
        </w:rPr>
        <w:t>בשעת עשיית הגבינות לא נולדה כל ריעותא</w:t>
      </w:r>
      <w:r>
        <w:rPr>
          <w:rFonts w:hint="cs"/>
          <w:rtl/>
        </w:rPr>
        <w:t>,</w:t>
      </w:r>
      <w:r w:rsidRPr="00124643">
        <w:rPr>
          <w:rFonts w:hint="cs"/>
          <w:rtl/>
        </w:rPr>
        <w:t xml:space="preserve"> </w:t>
      </w:r>
      <w:r>
        <w:rPr>
          <w:rFonts w:hint="cs"/>
          <w:rtl/>
        </w:rPr>
        <w:t>ו</w:t>
      </w:r>
      <w:r w:rsidRPr="00124643">
        <w:rPr>
          <w:rFonts w:hint="cs"/>
          <w:rtl/>
        </w:rPr>
        <w:t xml:space="preserve">לכן הגבינות הם בכלל הרוב, </w:t>
      </w:r>
      <w:r>
        <w:rPr>
          <w:rFonts w:hint="cs"/>
          <w:rtl/>
        </w:rPr>
        <w:t xml:space="preserve">אבל במקום </w:t>
      </w:r>
      <w:r w:rsidRPr="00124643">
        <w:rPr>
          <w:rFonts w:hint="cs"/>
          <w:rtl/>
        </w:rPr>
        <w:t>שהנדון הוא על הבהמה עצמה, כגון כשנמצא מים במוח</w:t>
      </w:r>
      <w:r>
        <w:rPr>
          <w:rFonts w:hint="cs"/>
          <w:rtl/>
        </w:rPr>
        <w:t>, דנתברר דמחיים הייתה בה ריעותא</w:t>
      </w:r>
      <w:r w:rsidRPr="00124643">
        <w:rPr>
          <w:rFonts w:hint="cs"/>
          <w:rtl/>
        </w:rPr>
        <w:t xml:space="preserve">, </w:t>
      </w:r>
      <w:r>
        <w:rPr>
          <w:rFonts w:hint="cs"/>
          <w:rtl/>
        </w:rPr>
        <w:t xml:space="preserve">כיון </w:t>
      </w:r>
      <w:r w:rsidRPr="00124643">
        <w:rPr>
          <w:rFonts w:hint="cs"/>
          <w:rtl/>
        </w:rPr>
        <w:t xml:space="preserve">שהספק הוא על שעת הריעותא, </w:t>
      </w:r>
      <w:r>
        <w:rPr>
          <w:rFonts w:hint="cs"/>
          <w:rtl/>
        </w:rPr>
        <w:t>חשיב ש</w:t>
      </w:r>
      <w:r w:rsidRPr="00124643">
        <w:rPr>
          <w:rFonts w:hint="cs"/>
          <w:rtl/>
        </w:rPr>
        <w:t xml:space="preserve">יש ריעותא ברוב עצמו, </w:t>
      </w:r>
      <w:r>
        <w:rPr>
          <w:rFonts w:hint="cs"/>
          <w:rtl/>
        </w:rPr>
        <w:t>ו</w:t>
      </w:r>
      <w:r w:rsidRPr="00124643">
        <w:rPr>
          <w:rFonts w:hint="cs"/>
          <w:rtl/>
        </w:rPr>
        <w:t xml:space="preserve">אין הבהמה בכלל הרוב, </w:t>
      </w:r>
      <w:r>
        <w:rPr>
          <w:rFonts w:hint="cs"/>
          <w:rtl/>
        </w:rPr>
        <w:t>ואף לדעת הרשב"א</w:t>
      </w:r>
      <w:r w:rsidRPr="00124643">
        <w:rPr>
          <w:rFonts w:hint="cs"/>
          <w:rtl/>
        </w:rPr>
        <w:t xml:space="preserve"> אין לה לא רוב ולא חזקה, כיון שיצאה מכלל הרוב, ע"י הריעותא.</w:t>
      </w:r>
    </w:p>
    <w:p w14:paraId="6A019549" w14:textId="77777777" w:rsidR="00D95C52" w:rsidRDefault="00D95C52" w:rsidP="00BF39B2">
      <w:pPr>
        <w:pStyle w:val="1"/>
        <w:rPr>
          <w:rtl/>
        </w:rPr>
      </w:pPr>
      <w:bookmarkStart w:id="8736" w:name="_Toc529352389"/>
      <w:bookmarkStart w:id="8737" w:name="_Toc529445003"/>
      <w:bookmarkStart w:id="8738" w:name="_Toc529704517"/>
      <w:bookmarkStart w:id="8739" w:name="_Toc529738984"/>
      <w:bookmarkStart w:id="8740" w:name="_Toc19390148"/>
      <w:bookmarkStart w:id="8741" w:name="_Toc19393645"/>
      <w:bookmarkStart w:id="8742" w:name="_Toc529352393"/>
      <w:bookmarkStart w:id="8743" w:name="_Toc529445008"/>
      <w:r>
        <w:rPr>
          <w:rFonts w:hint="cs"/>
          <w:rtl/>
        </w:rPr>
        <w:t xml:space="preserve">דברי האחרונים בדעת הרשב"א </w:t>
      </w:r>
      <w:bookmarkEnd w:id="8736"/>
      <w:bookmarkEnd w:id="8737"/>
      <w:bookmarkEnd w:id="8738"/>
      <w:r>
        <w:rPr>
          <w:rFonts w:hint="cs"/>
          <w:rtl/>
        </w:rPr>
        <w:t>בחזקה מכח רוב</w:t>
      </w:r>
      <w:bookmarkEnd w:id="8739"/>
      <w:bookmarkEnd w:id="8740"/>
      <w:bookmarkEnd w:id="8741"/>
    </w:p>
    <w:p w14:paraId="59C8F34D" w14:textId="77777777" w:rsidR="00D95C52" w:rsidRDefault="00D95C52" w:rsidP="006D6D32">
      <w:pPr>
        <w:pStyle w:val="a3"/>
      </w:pPr>
      <w:bookmarkStart w:id="8744" w:name="_Toc529445007"/>
      <w:bookmarkStart w:id="8745" w:name="_Toc529738985"/>
      <w:bookmarkStart w:id="8746" w:name="_Toc19390149"/>
      <w:bookmarkStart w:id="8747" w:name="_Toc19393646"/>
      <w:r>
        <w:rPr>
          <w:rFonts w:hint="cs"/>
          <w:rtl/>
        </w:rPr>
        <w:t xml:space="preserve">ביאור הפרמ"ג דלהרשב"א </w:t>
      </w:r>
      <w:bookmarkEnd w:id="8744"/>
      <w:r>
        <w:rPr>
          <w:rFonts w:hint="cs"/>
          <w:rtl/>
        </w:rPr>
        <w:t>מכח הרוב חשיב שהחזקה היא חזקה מבוררת</w:t>
      </w:r>
      <w:bookmarkEnd w:id="8745"/>
      <w:bookmarkEnd w:id="8746"/>
      <w:bookmarkEnd w:id="8747"/>
    </w:p>
    <w:p w14:paraId="0D2AAC63" w14:textId="77777777" w:rsidR="00D95C52" w:rsidRPr="002E1FBC" w:rsidRDefault="00D95C52" w:rsidP="00223668">
      <w:pPr>
        <w:pStyle w:val="a0"/>
        <w:rPr>
          <w:rtl/>
        </w:rPr>
      </w:pPr>
      <w:r>
        <w:rPr>
          <w:rStyle w:val="af9"/>
          <w:rFonts w:hint="cs"/>
          <w:rtl/>
        </w:rPr>
        <w:t>וה</w:t>
      </w:r>
      <w:r w:rsidRPr="002E1FBC">
        <w:rPr>
          <w:rStyle w:val="af9"/>
          <w:rtl/>
        </w:rPr>
        <w:t xml:space="preserve">פרמ"ג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Ref529723395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סח)</w:t>
      </w:r>
      <w:r>
        <w:rPr>
          <w:rStyle w:val="af7"/>
          <w:rFonts w:eastAsia="Guttman Hodes"/>
          <w:rtl/>
        </w:rPr>
        <w:fldChar w:fldCharType="end"/>
      </w:r>
      <w:r>
        <w:rPr>
          <w:rStyle w:val="af7"/>
          <w:rFonts w:eastAsia="Guttman Hodes" w:hint="cs"/>
          <w:rtl/>
        </w:rPr>
        <w:t xml:space="preserve"> </w:t>
      </w:r>
      <w:r w:rsidRPr="002E1FBC">
        <w:rPr>
          <w:rFonts w:hint="cs"/>
          <w:rtl/>
        </w:rPr>
        <w:t xml:space="preserve">ביאר דדעת </w:t>
      </w:r>
      <w:r w:rsidRPr="002E1FBC">
        <w:rPr>
          <w:rStyle w:val="af9"/>
          <w:rtl/>
        </w:rPr>
        <w:t>הרשב"א</w:t>
      </w:r>
      <w:r w:rsidRPr="002E1FBC">
        <w:rPr>
          <w:rFonts w:hint="cs"/>
          <w:rtl/>
        </w:rPr>
        <w:t xml:space="preserve">  דחזקה מכח הרוב היא חזקה מבוררת, ולכן אמרינן שעד עכשיו הייתה מהרוב, ועי' בדברי </w:t>
      </w:r>
      <w:r w:rsidRPr="002E1FBC">
        <w:rPr>
          <w:rStyle w:val="af9"/>
          <w:rtl/>
        </w:rPr>
        <w:t>השערי דורא</w:t>
      </w:r>
      <w:r w:rsidRPr="002E1FBC">
        <w:rPr>
          <w:rFonts w:hint="cs"/>
          <w:rtl/>
        </w:rPr>
        <w:t xml:space="preserve"> </w:t>
      </w:r>
      <w:r w:rsidRPr="002E1FBC">
        <w:rPr>
          <w:rStyle w:val="af7"/>
          <w:rFonts w:eastAsia="Guttman Hodes" w:hint="cs"/>
          <w:rtl/>
        </w:rPr>
        <w:t xml:space="preserve">(עי' אות </w:t>
      </w:r>
      <w:r w:rsidRPr="002E1FBC">
        <w:rPr>
          <w:rStyle w:val="af7"/>
          <w:rFonts w:eastAsia="Guttman Hodes" w:hint="cs"/>
          <w:rtl/>
        </w:rPr>
        <w:fldChar w:fldCharType="begin"/>
      </w:r>
      <w:r w:rsidRPr="002E1FBC">
        <w:rPr>
          <w:rStyle w:val="af7"/>
          <w:rFonts w:eastAsia="Guttman Hodes" w:hint="cs"/>
          <w:rtl/>
        </w:rPr>
        <w:instrText xml:space="preserve"> </w:instrText>
      </w:r>
      <w:r w:rsidRPr="002E1FBC">
        <w:rPr>
          <w:rStyle w:val="af7"/>
          <w:rFonts w:eastAsia="Guttman Hodes"/>
        </w:rPr>
        <w:instrText>REF</w:instrText>
      </w:r>
      <w:r w:rsidRPr="002E1FBC">
        <w:rPr>
          <w:rStyle w:val="af7"/>
          <w:rFonts w:eastAsia="Guttman Hodes" w:hint="cs"/>
          <w:rtl/>
        </w:rPr>
        <w:instrText xml:space="preserve"> _</w:instrText>
      </w:r>
      <w:r w:rsidRPr="002E1FBC">
        <w:rPr>
          <w:rStyle w:val="af7"/>
          <w:rFonts w:eastAsia="Guttman Hodes"/>
        </w:rPr>
        <w:instrText>Ref522618918 \r \h</w:instrText>
      </w:r>
      <w:r w:rsidRPr="002E1FBC">
        <w:rPr>
          <w:rStyle w:val="af7"/>
          <w:rFonts w:eastAsia="Guttman Hodes" w:hint="cs"/>
          <w:rtl/>
        </w:rPr>
        <w:instrText xml:space="preserve">  \* </w:instrText>
      </w:r>
      <w:r w:rsidRPr="002E1FBC">
        <w:rPr>
          <w:rStyle w:val="af7"/>
          <w:rFonts w:eastAsia="Guttman Hodes"/>
        </w:rPr>
        <w:instrText>MERGEFORMAT</w:instrText>
      </w:r>
      <w:r w:rsidRPr="002E1FBC">
        <w:rPr>
          <w:rStyle w:val="af7"/>
          <w:rFonts w:eastAsia="Guttman Hodes" w:hint="cs"/>
          <w:rtl/>
        </w:rPr>
        <w:instrText xml:space="preserve"> </w:instrText>
      </w:r>
      <w:r w:rsidRPr="002E1FBC">
        <w:rPr>
          <w:rStyle w:val="af7"/>
          <w:rFonts w:eastAsia="Guttman Hodes" w:hint="cs"/>
          <w:rtl/>
        </w:rPr>
      </w:r>
      <w:r w:rsidRPr="002E1FBC">
        <w:rPr>
          <w:rStyle w:val="af7"/>
          <w:rFonts w:eastAsia="Guttman Hodes" w:hint="cs"/>
          <w:rtl/>
        </w:rPr>
        <w:fldChar w:fldCharType="separate"/>
      </w:r>
      <w:r w:rsidR="00345400">
        <w:rPr>
          <w:rStyle w:val="af7"/>
          <w:rFonts w:eastAsia="Guttman Hodes" w:hint="eastAsia"/>
          <w:cs/>
        </w:rPr>
        <w:t>‎</w:t>
      </w:r>
      <w:r w:rsidR="00345400">
        <w:rPr>
          <w:rStyle w:val="af7"/>
          <w:rFonts w:eastAsia="Guttman Hodes" w:hint="eastAsia"/>
          <w:rtl/>
        </w:rPr>
        <w:t>כא</w:t>
      </w:r>
      <w:r w:rsidR="00345400">
        <w:rPr>
          <w:rStyle w:val="af7"/>
          <w:rFonts w:eastAsia="Guttman Hodes"/>
          <w:rtl/>
        </w:rPr>
        <w:t>)</w:t>
      </w:r>
      <w:r w:rsidRPr="002E1FBC">
        <w:rPr>
          <w:rStyle w:val="af7"/>
          <w:rFonts w:eastAsia="Guttman Hodes" w:hint="cs"/>
          <w:rtl/>
        </w:rPr>
        <w:fldChar w:fldCharType="end"/>
      </w:r>
      <w:r w:rsidRPr="002E1FBC">
        <w:rPr>
          <w:rFonts w:hint="cs"/>
          <w:rtl/>
        </w:rPr>
        <w:t>.</w:t>
      </w:r>
    </w:p>
    <w:p w14:paraId="39241C85" w14:textId="77777777" w:rsidR="00D95C52" w:rsidRDefault="00D95C52" w:rsidP="006D6D32">
      <w:pPr>
        <w:pStyle w:val="a3"/>
        <w:rPr>
          <w:rtl/>
        </w:rPr>
      </w:pPr>
      <w:bookmarkStart w:id="8748" w:name="_Toc529738986"/>
      <w:bookmarkStart w:id="8749" w:name="_Toc19390150"/>
      <w:bookmarkStart w:id="8750" w:name="_Toc19393647"/>
      <w:r>
        <w:rPr>
          <w:rFonts w:hint="cs"/>
          <w:rtl/>
        </w:rPr>
        <w:t>דברי ה</w:t>
      </w:r>
      <w:r w:rsidR="00345400">
        <w:rPr>
          <w:rFonts w:hint="cs"/>
          <w:rtl/>
        </w:rPr>
        <w:t>פלתי</w:t>
      </w:r>
      <w:r>
        <w:rPr>
          <w:rFonts w:hint="cs"/>
          <w:rtl/>
        </w:rPr>
        <w:t xml:space="preserve"> דלהרשב"א ההיתר רק ע"י חזקה מכח רוב ודלא כרא"ש שהתיר מדין רוב</w:t>
      </w:r>
      <w:bookmarkEnd w:id="8748"/>
      <w:bookmarkEnd w:id="8749"/>
      <w:bookmarkEnd w:id="8750"/>
    </w:p>
    <w:p w14:paraId="3966E9E4" w14:textId="77777777" w:rsidR="00D95C52" w:rsidRDefault="00D95C52" w:rsidP="00223668">
      <w:pPr>
        <w:pStyle w:val="a0"/>
        <w:rPr>
          <w:rtl/>
        </w:rPr>
      </w:pPr>
      <w:r>
        <w:rPr>
          <w:rFonts w:hint="cs"/>
          <w:rtl/>
        </w:rPr>
        <w:t xml:space="preserve">כתב </w:t>
      </w:r>
      <w:r w:rsidRPr="0001100A">
        <w:rPr>
          <w:rStyle w:val="af9"/>
          <w:rFonts w:hint="cs"/>
          <w:rtl/>
        </w:rPr>
        <w:t>ה</w:t>
      </w:r>
      <w:r w:rsidR="00345400">
        <w:rPr>
          <w:rStyle w:val="af9"/>
          <w:rFonts w:hint="cs"/>
          <w:rtl/>
        </w:rPr>
        <w:t>פלתי</w:t>
      </w:r>
      <w:r>
        <w:rPr>
          <w:rFonts w:hint="cs"/>
          <w:rtl/>
        </w:rPr>
        <w:t xml:space="preserve"> </w:t>
      </w:r>
      <w:r w:rsidRPr="0075419C">
        <w:rPr>
          <w:rStyle w:val="af7"/>
          <w:rFonts w:eastAsia="Guttman Hodes" w:hint="cs"/>
          <w:rtl/>
        </w:rPr>
        <w:t xml:space="preserve">(סי' א' סק"ו) </w:t>
      </w:r>
      <w:r>
        <w:rPr>
          <w:rFonts w:hint="cs"/>
          <w:rtl/>
        </w:rPr>
        <w:t xml:space="preserve">דדעת </w:t>
      </w:r>
      <w:r w:rsidRPr="0001100A">
        <w:rPr>
          <w:rStyle w:val="af9"/>
          <w:rFonts w:hint="cs"/>
          <w:rtl/>
        </w:rPr>
        <w:t xml:space="preserve">הרשב"א </w:t>
      </w:r>
      <w:r w:rsidRPr="0075419C">
        <w:rPr>
          <w:rStyle w:val="af7"/>
          <w:rFonts w:eastAsia="Guttman Hodes" w:hint="cs"/>
          <w:rtl/>
        </w:rPr>
        <w:t xml:space="preserve">(עי' אות </w:t>
      </w:r>
      <w:r w:rsidRPr="0075419C">
        <w:rPr>
          <w:rStyle w:val="af7"/>
          <w:rFonts w:eastAsia="Guttman Hodes"/>
          <w:rtl/>
        </w:rPr>
        <w:fldChar w:fldCharType="begin"/>
      </w:r>
      <w:r w:rsidRPr="0075419C">
        <w:rPr>
          <w:rStyle w:val="af7"/>
          <w:rFonts w:eastAsia="Guttman Hodes"/>
          <w:rtl/>
        </w:rPr>
        <w:instrText xml:space="preserve"> </w:instrText>
      </w:r>
      <w:r w:rsidRPr="0075419C">
        <w:rPr>
          <w:rStyle w:val="af7"/>
          <w:rFonts w:eastAsia="Guttman Hodes" w:hint="cs"/>
        </w:rPr>
        <w:instrText>REF</w:instrText>
      </w:r>
      <w:r w:rsidRPr="0075419C">
        <w:rPr>
          <w:rStyle w:val="af7"/>
          <w:rFonts w:eastAsia="Guttman Hodes" w:hint="cs"/>
          <w:rtl/>
        </w:rPr>
        <w:instrText xml:space="preserve"> _</w:instrText>
      </w:r>
      <w:r w:rsidRPr="0075419C">
        <w:rPr>
          <w:rStyle w:val="af7"/>
          <w:rFonts w:eastAsia="Guttman Hodes" w:hint="cs"/>
        </w:rPr>
        <w:instrText>Ref529129544 \r \h</w:instrText>
      </w:r>
      <w:r w:rsidRPr="0075419C">
        <w:rPr>
          <w:rStyle w:val="af7"/>
          <w:rFonts w:eastAsia="Guttman Hodes"/>
          <w:rtl/>
        </w:rPr>
        <w:instrText xml:space="preserve"> </w:instrText>
      </w:r>
      <w:r w:rsidRPr="0075419C">
        <w:rPr>
          <w:rStyle w:val="af7"/>
          <w:rFonts w:eastAsia="Guttman Hodes"/>
          <w:rtl/>
        </w:rPr>
      </w:r>
      <w:r w:rsidRPr="0075419C">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75419C">
        <w:rPr>
          <w:rStyle w:val="af7"/>
          <w:rFonts w:eastAsia="Guttman Hodes"/>
          <w:rtl/>
        </w:rPr>
        <w:fldChar w:fldCharType="end"/>
      </w:r>
      <w:r>
        <w:rPr>
          <w:rFonts w:hint="cs"/>
          <w:rtl/>
        </w:rPr>
        <w:t xml:space="preserve"> כתב</w:t>
      </w:r>
      <w:r w:rsidRPr="0001100A">
        <w:rPr>
          <w:rStyle w:val="af9"/>
          <w:rFonts w:hint="cs"/>
          <w:rtl/>
        </w:rPr>
        <w:t xml:space="preserve"> ה</w:t>
      </w:r>
      <w:r w:rsidR="00345400">
        <w:rPr>
          <w:rStyle w:val="af9"/>
          <w:rFonts w:hint="cs"/>
          <w:rtl/>
        </w:rPr>
        <w:t>פלתי</w:t>
      </w:r>
      <w:r w:rsidRPr="0001100A">
        <w:rPr>
          <w:rStyle w:val="af9"/>
          <w:rFonts w:hint="cs"/>
          <w:rtl/>
        </w:rPr>
        <w:t xml:space="preserve"> </w:t>
      </w:r>
      <w:r>
        <w:rPr>
          <w:rFonts w:hint="cs"/>
          <w:rtl/>
        </w:rPr>
        <w:t>דההיתר הוא רק ע"י חזקה מכח רוב, אך ע"י רוב לבד ס"ל דא"א להתיר,</w:t>
      </w:r>
      <w:r w:rsidRPr="00A51478">
        <w:rPr>
          <w:rFonts w:hint="cs"/>
          <w:rtl/>
        </w:rPr>
        <w:t xml:space="preserve"> </w:t>
      </w:r>
      <w:r>
        <w:rPr>
          <w:rFonts w:hint="cs"/>
          <w:rtl/>
        </w:rPr>
        <w:t xml:space="preserve">ובדעת </w:t>
      </w:r>
      <w:r w:rsidRPr="0001100A">
        <w:rPr>
          <w:rStyle w:val="af9"/>
          <w:rFonts w:hint="cs"/>
          <w:rtl/>
        </w:rPr>
        <w:t xml:space="preserve">הרא"ש </w:t>
      </w:r>
      <w:r w:rsidRPr="0075419C">
        <w:rPr>
          <w:rStyle w:val="af7"/>
          <w:rFonts w:eastAsia="Guttman Hodes" w:hint="cs"/>
          <w:rtl/>
        </w:rPr>
        <w:t xml:space="preserve">(עי' אות </w:t>
      </w:r>
      <w:r w:rsidRPr="0075419C">
        <w:rPr>
          <w:rStyle w:val="af7"/>
          <w:rFonts w:eastAsia="Guttman Hodes"/>
          <w:rtl/>
        </w:rPr>
        <w:fldChar w:fldCharType="begin"/>
      </w:r>
      <w:r w:rsidRPr="0075419C">
        <w:rPr>
          <w:rStyle w:val="af7"/>
          <w:rFonts w:eastAsia="Guttman Hodes"/>
          <w:rtl/>
        </w:rPr>
        <w:instrText xml:space="preserve"> </w:instrText>
      </w:r>
      <w:r w:rsidRPr="0075419C">
        <w:rPr>
          <w:rStyle w:val="af7"/>
          <w:rFonts w:eastAsia="Guttman Hodes" w:hint="cs"/>
        </w:rPr>
        <w:instrText>REF</w:instrText>
      </w:r>
      <w:r w:rsidRPr="0075419C">
        <w:rPr>
          <w:rStyle w:val="af7"/>
          <w:rFonts w:eastAsia="Guttman Hodes" w:hint="cs"/>
          <w:rtl/>
        </w:rPr>
        <w:instrText xml:space="preserve"> _</w:instrText>
      </w:r>
      <w:r w:rsidRPr="0075419C">
        <w:rPr>
          <w:rStyle w:val="af7"/>
          <w:rFonts w:eastAsia="Guttman Hodes" w:hint="cs"/>
        </w:rPr>
        <w:instrText>Ref522611646 \r \h</w:instrText>
      </w:r>
      <w:r w:rsidRPr="0075419C">
        <w:rPr>
          <w:rStyle w:val="af7"/>
          <w:rFonts w:eastAsia="Guttman Hodes"/>
          <w:rtl/>
        </w:rPr>
        <w:instrText xml:space="preserve"> </w:instrText>
      </w:r>
      <w:r w:rsidRPr="0075419C">
        <w:rPr>
          <w:rStyle w:val="af7"/>
          <w:rFonts w:eastAsia="Guttman Hodes"/>
          <w:rtl/>
        </w:rPr>
      </w:r>
      <w:r w:rsidRPr="0075419C">
        <w:rPr>
          <w:rStyle w:val="af7"/>
          <w:rFonts w:eastAsia="Guttman Hodes"/>
          <w:rtl/>
        </w:rPr>
        <w:fldChar w:fldCharType="separate"/>
      </w:r>
      <w:r w:rsidR="00345400">
        <w:rPr>
          <w:rStyle w:val="af7"/>
          <w:rFonts w:eastAsia="Guttman Hodes"/>
          <w:cs/>
        </w:rPr>
        <w:t>‎</w:t>
      </w:r>
      <w:r w:rsidR="00345400">
        <w:rPr>
          <w:rStyle w:val="af7"/>
          <w:rFonts w:eastAsia="Guttman Hodes"/>
          <w:rtl/>
        </w:rPr>
        <w:t>טז)</w:t>
      </w:r>
      <w:r w:rsidRPr="0075419C">
        <w:rPr>
          <w:rStyle w:val="af7"/>
          <w:rFonts w:eastAsia="Guttman Hodes"/>
          <w:rtl/>
        </w:rPr>
        <w:fldChar w:fldCharType="end"/>
      </w:r>
      <w:r w:rsidRPr="0075419C">
        <w:rPr>
          <w:rStyle w:val="af7"/>
          <w:rFonts w:eastAsia="Guttman Hodes" w:hint="cs"/>
          <w:rtl/>
        </w:rPr>
        <w:t xml:space="preserve"> </w:t>
      </w:r>
      <w:r>
        <w:rPr>
          <w:rFonts w:hint="cs"/>
          <w:rtl/>
        </w:rPr>
        <w:t xml:space="preserve">כתב </w:t>
      </w:r>
      <w:r w:rsidRPr="0001100A">
        <w:rPr>
          <w:rStyle w:val="af9"/>
          <w:rFonts w:hint="cs"/>
          <w:rtl/>
        </w:rPr>
        <w:t>ה</w:t>
      </w:r>
      <w:r w:rsidR="00345400">
        <w:rPr>
          <w:rStyle w:val="af9"/>
          <w:rFonts w:hint="cs"/>
          <w:rtl/>
        </w:rPr>
        <w:t>פלתי</w:t>
      </w:r>
      <w:r>
        <w:rPr>
          <w:rFonts w:hint="cs"/>
          <w:rtl/>
        </w:rPr>
        <w:t xml:space="preserve"> דס"ל דהרוב לבד מתיר בלא חזקה, אף דטריפה  לפנינו.</w:t>
      </w:r>
    </w:p>
    <w:p w14:paraId="3C27A5EC" w14:textId="77777777" w:rsidR="00D95C52" w:rsidRDefault="00D95C52" w:rsidP="006D6D32">
      <w:pPr>
        <w:pStyle w:val="a3"/>
        <w:rPr>
          <w:rtl/>
        </w:rPr>
      </w:pPr>
      <w:bookmarkStart w:id="8751" w:name="_Toc529738987"/>
      <w:bookmarkStart w:id="8752" w:name="_Toc19390151"/>
      <w:bookmarkStart w:id="8753" w:name="_Toc19393648"/>
      <w:r>
        <w:rPr>
          <w:rFonts w:hint="cs"/>
          <w:rtl/>
        </w:rPr>
        <w:t>ביאור החזו"א בדעת הרשב"א דלענין החלב מתירין את זמן הספק ע"י הרוב כיון שהוחזקה בכשרות</w:t>
      </w:r>
      <w:bookmarkEnd w:id="8751"/>
      <w:bookmarkEnd w:id="8752"/>
      <w:bookmarkEnd w:id="8753"/>
    </w:p>
    <w:p w14:paraId="58151D42" w14:textId="77777777" w:rsidR="00D95C52" w:rsidRPr="001033F7" w:rsidRDefault="00D95C52" w:rsidP="00223668">
      <w:pPr>
        <w:pStyle w:val="a0"/>
        <w:rPr>
          <w:rStyle w:val="afb"/>
          <w:rtl/>
        </w:rPr>
      </w:pPr>
      <w:bookmarkStart w:id="8754" w:name="_Ref529723832"/>
      <w:r>
        <w:rPr>
          <w:rStyle w:val="af9"/>
          <w:rFonts w:hint="cs"/>
          <w:rtl/>
        </w:rPr>
        <w:t>ו</w:t>
      </w:r>
      <w:r w:rsidRPr="000102E4">
        <w:rPr>
          <w:rStyle w:val="af9"/>
          <w:rFonts w:hint="cs"/>
          <w:rtl/>
        </w:rPr>
        <w:t>החזו"א</w:t>
      </w:r>
      <w:r>
        <w:rPr>
          <w:rFonts w:hint="cs"/>
          <w:rtl/>
        </w:rPr>
        <w:t xml:space="preserve"> </w:t>
      </w:r>
      <w:r w:rsidRPr="004D5F32">
        <w:rPr>
          <w:rStyle w:val="af7"/>
          <w:rFonts w:eastAsia="Guttman Hodes" w:hint="cs"/>
          <w:rtl/>
        </w:rPr>
        <w:t>(אבהע"ז פ"א סק"ו)</w:t>
      </w:r>
      <w:r>
        <w:rPr>
          <w:rFonts w:hint="cs"/>
          <w:rtl/>
        </w:rPr>
        <w:t xml:space="preserve"> ביאר בדעת </w:t>
      </w:r>
      <w:r w:rsidRPr="000102E4">
        <w:rPr>
          <w:rStyle w:val="af9"/>
          <w:rFonts w:hint="cs"/>
          <w:rtl/>
        </w:rPr>
        <w:t xml:space="preserve">רבינו </w:t>
      </w:r>
      <w:r w:rsidRPr="00A7245B">
        <w:rPr>
          <w:rStyle w:val="af9"/>
          <w:rFonts w:hint="cs"/>
          <w:rtl/>
        </w:rPr>
        <w:t>יונה והרשב"א</w:t>
      </w:r>
      <w:r>
        <w:rPr>
          <w:rFonts w:hint="cs"/>
          <w:rtl/>
        </w:rPr>
        <w:t xml:space="preserve"> </w:t>
      </w:r>
      <w:r w:rsidRPr="004D5F32">
        <w:rPr>
          <w:rStyle w:val="af7"/>
          <w:rFonts w:eastAsia="Guttman Hodes" w:hint="cs"/>
          <w:rtl/>
        </w:rPr>
        <w:t xml:space="preserve">(עי' אות </w:t>
      </w:r>
      <w:r w:rsidRPr="004D5F32">
        <w:rPr>
          <w:rStyle w:val="af7"/>
          <w:rFonts w:eastAsia="Guttman Hodes"/>
          <w:rtl/>
        </w:rPr>
        <w:fldChar w:fldCharType="begin"/>
      </w:r>
      <w:r w:rsidRPr="004D5F32">
        <w:rPr>
          <w:rStyle w:val="af7"/>
          <w:rFonts w:eastAsia="Guttman Hodes"/>
          <w:rtl/>
        </w:rPr>
        <w:instrText xml:space="preserve"> </w:instrText>
      </w:r>
      <w:r w:rsidRPr="004D5F32">
        <w:rPr>
          <w:rStyle w:val="af7"/>
          <w:rFonts w:eastAsia="Guttman Hodes" w:hint="cs"/>
        </w:rPr>
        <w:instrText>REF</w:instrText>
      </w:r>
      <w:r w:rsidRPr="004D5F32">
        <w:rPr>
          <w:rStyle w:val="af7"/>
          <w:rFonts w:eastAsia="Guttman Hodes" w:hint="cs"/>
          <w:rtl/>
        </w:rPr>
        <w:instrText xml:space="preserve"> _</w:instrText>
      </w:r>
      <w:r w:rsidRPr="004D5F32">
        <w:rPr>
          <w:rStyle w:val="af7"/>
          <w:rFonts w:eastAsia="Guttman Hodes" w:hint="cs"/>
        </w:rPr>
        <w:instrText>Ref529091668 \r \h</w:instrText>
      </w:r>
      <w:r w:rsidRPr="004D5F32">
        <w:rPr>
          <w:rStyle w:val="af7"/>
          <w:rFonts w:eastAsia="Guttman Hodes"/>
          <w:rtl/>
        </w:rPr>
        <w:instrText xml:space="preserve"> </w:instrText>
      </w:r>
      <w:r w:rsidRPr="004D5F32">
        <w:rPr>
          <w:rStyle w:val="af7"/>
          <w:rFonts w:eastAsia="Guttman Hodes"/>
          <w:rtl/>
        </w:rPr>
      </w:r>
      <w:r w:rsidRPr="004D5F32">
        <w:rPr>
          <w:rStyle w:val="af7"/>
          <w:rFonts w:eastAsia="Guttman Hodes"/>
          <w:rtl/>
        </w:rPr>
        <w:fldChar w:fldCharType="separate"/>
      </w:r>
      <w:r w:rsidR="00345400">
        <w:rPr>
          <w:rStyle w:val="af7"/>
          <w:rFonts w:eastAsia="Guttman Hodes"/>
          <w:cs/>
        </w:rPr>
        <w:t>‎</w:t>
      </w:r>
      <w:r w:rsidR="00345400">
        <w:rPr>
          <w:rStyle w:val="af7"/>
          <w:rFonts w:eastAsia="Guttman Hodes"/>
          <w:rtl/>
        </w:rPr>
        <w:t>כג)</w:t>
      </w:r>
      <w:r w:rsidRPr="004D5F32">
        <w:rPr>
          <w:rStyle w:val="af7"/>
          <w:rFonts w:eastAsia="Guttman Hodes"/>
          <w:rtl/>
        </w:rPr>
        <w:fldChar w:fldCharType="end"/>
      </w:r>
      <w:r>
        <w:rPr>
          <w:rFonts w:hint="cs"/>
          <w:rtl/>
        </w:rPr>
        <w:t xml:space="preserve"> דא"א להחשיב את החזקה ע"י הרוב, אך מ"מ החלב מותר ע"י הרוב עצמו, דלענין החלב מהני הרוב על הזמן של הספק, דכל זמן שאין ריעותא לפנינו מהני הרוב להתיר, ולכן אף שעכשיו יש בה ריעותא והיא מהמיעוט, מ"מ על זמן הספק מחזקינן שהיא כשרה ע"י הרוב, ועיי"ש במה שביאר </w:t>
      </w:r>
      <w:r w:rsidRPr="000102E4">
        <w:rPr>
          <w:rStyle w:val="af9"/>
          <w:rFonts w:hint="cs"/>
          <w:rtl/>
        </w:rPr>
        <w:t>החזו"א</w:t>
      </w:r>
      <w:r>
        <w:rPr>
          <w:rFonts w:hint="cs"/>
          <w:rtl/>
        </w:rPr>
        <w:t xml:space="preserve"> לפי"ז בגמ' בכתובות </w:t>
      </w:r>
      <w:r w:rsidRPr="004D5F32">
        <w:rPr>
          <w:rStyle w:val="af7"/>
          <w:rFonts w:eastAsia="Guttman Hodes" w:hint="cs"/>
          <w:rtl/>
        </w:rPr>
        <w:t>(עו:)</w:t>
      </w:r>
      <w:r>
        <w:rPr>
          <w:rFonts w:hint="cs"/>
          <w:rtl/>
        </w:rPr>
        <w:t xml:space="preserve"> ובגמ' ביבמות </w:t>
      </w:r>
      <w:r w:rsidRPr="004D5F32">
        <w:rPr>
          <w:rStyle w:val="af7"/>
          <w:rFonts w:eastAsia="Guttman Hodes" w:hint="cs"/>
          <w:rtl/>
        </w:rPr>
        <w:t>(פ.)</w:t>
      </w:r>
      <w:r>
        <w:rPr>
          <w:rFonts w:hint="cs"/>
          <w:rtl/>
        </w:rPr>
        <w:t xml:space="preserve">, ועי' במה שביאר </w:t>
      </w:r>
      <w:r w:rsidRPr="001033F7">
        <w:rPr>
          <w:rStyle w:val="af9"/>
          <w:rFonts w:hint="cs"/>
          <w:rtl/>
        </w:rPr>
        <w:t>החזו"א</w:t>
      </w:r>
      <w:r>
        <w:rPr>
          <w:rFonts w:hint="cs"/>
          <w:rtl/>
        </w:rPr>
        <w:t xml:space="preserve"> </w:t>
      </w:r>
      <w:r w:rsidRPr="001033F7">
        <w:rPr>
          <w:rStyle w:val="af7"/>
          <w:rFonts w:eastAsia="Guttman Hodes" w:hint="cs"/>
          <w:rtl/>
        </w:rPr>
        <w:t xml:space="preserve">(עי' אות </w:t>
      </w:r>
      <w:r w:rsidRPr="001033F7">
        <w:rPr>
          <w:rStyle w:val="af7"/>
          <w:rFonts w:eastAsia="Guttman Hodes"/>
          <w:rtl/>
        </w:rPr>
        <w:fldChar w:fldCharType="begin"/>
      </w:r>
      <w:r w:rsidRPr="001033F7">
        <w:rPr>
          <w:rStyle w:val="af7"/>
          <w:rFonts w:eastAsia="Guttman Hodes"/>
          <w:rtl/>
        </w:rPr>
        <w:instrText xml:space="preserve"> </w:instrText>
      </w:r>
      <w:r w:rsidRPr="001033F7">
        <w:rPr>
          <w:rStyle w:val="af7"/>
          <w:rFonts w:eastAsia="Guttman Hodes" w:hint="cs"/>
        </w:rPr>
        <w:instrText>REF</w:instrText>
      </w:r>
      <w:r w:rsidRPr="001033F7">
        <w:rPr>
          <w:rStyle w:val="af7"/>
          <w:rFonts w:eastAsia="Guttman Hodes" w:hint="cs"/>
          <w:rtl/>
        </w:rPr>
        <w:instrText xml:space="preserve"> _</w:instrText>
      </w:r>
      <w:r w:rsidRPr="001033F7">
        <w:rPr>
          <w:rStyle w:val="af7"/>
          <w:rFonts w:eastAsia="Guttman Hodes" w:hint="cs"/>
        </w:rPr>
        <w:instrText>Ref529723992 \r \h</w:instrText>
      </w:r>
      <w:r w:rsidRPr="001033F7">
        <w:rPr>
          <w:rStyle w:val="af7"/>
          <w:rFonts w:eastAsia="Guttman Hodes"/>
          <w:rtl/>
        </w:rPr>
        <w:instrText xml:space="preserve"> </w:instrText>
      </w:r>
      <w:r w:rsidRPr="001033F7">
        <w:rPr>
          <w:rStyle w:val="af7"/>
          <w:rFonts w:eastAsia="Guttman Hodes"/>
          <w:rtl/>
        </w:rPr>
      </w:r>
      <w:r w:rsidRPr="001033F7">
        <w:rPr>
          <w:rStyle w:val="af7"/>
          <w:rFonts w:eastAsia="Guttman Hodes"/>
          <w:rtl/>
        </w:rPr>
        <w:fldChar w:fldCharType="separate"/>
      </w:r>
      <w:r w:rsidR="00345400">
        <w:rPr>
          <w:rStyle w:val="af7"/>
          <w:rFonts w:eastAsia="Guttman Hodes"/>
          <w:cs/>
        </w:rPr>
        <w:t>‎</w:t>
      </w:r>
      <w:r w:rsidR="00345400">
        <w:rPr>
          <w:rStyle w:val="af7"/>
          <w:rFonts w:eastAsia="Guttman Hodes"/>
          <w:rtl/>
        </w:rPr>
        <w:t>ל)</w:t>
      </w:r>
      <w:r w:rsidRPr="001033F7">
        <w:rPr>
          <w:rStyle w:val="af7"/>
          <w:rFonts w:eastAsia="Guttman Hodes"/>
          <w:rtl/>
        </w:rPr>
        <w:fldChar w:fldCharType="end"/>
      </w:r>
      <w:r w:rsidRPr="001033F7">
        <w:rPr>
          <w:rStyle w:val="af7"/>
          <w:rFonts w:eastAsia="Guttman Hodes" w:hint="cs"/>
          <w:rtl/>
        </w:rPr>
        <w:t xml:space="preserve"> </w:t>
      </w:r>
      <w:r>
        <w:rPr>
          <w:rFonts w:hint="cs"/>
          <w:rtl/>
        </w:rPr>
        <w:t xml:space="preserve">בדברי </w:t>
      </w:r>
      <w:r w:rsidRPr="001033F7">
        <w:rPr>
          <w:rStyle w:val="af9"/>
          <w:rFonts w:hint="cs"/>
          <w:rtl/>
        </w:rPr>
        <w:t>הרא"ש</w:t>
      </w:r>
      <w:r>
        <w:rPr>
          <w:rFonts w:hint="cs"/>
          <w:rtl/>
        </w:rPr>
        <w:t>.</w:t>
      </w:r>
      <w:bookmarkEnd w:id="8754"/>
      <w:r>
        <w:rPr>
          <w:rFonts w:hint="cs"/>
          <w:rtl/>
        </w:rPr>
        <w:t xml:space="preserve"> </w:t>
      </w:r>
      <w:r w:rsidRPr="001033F7">
        <w:rPr>
          <w:rStyle w:val="afb"/>
          <w:rFonts w:hint="cs"/>
          <w:rtl/>
        </w:rPr>
        <w:t>[וע"ע במ"ש</w:t>
      </w:r>
      <w:r>
        <w:rPr>
          <w:rFonts w:hint="cs"/>
          <w:rtl/>
        </w:rPr>
        <w:t xml:space="preserve"> </w:t>
      </w:r>
      <w:r w:rsidRPr="001033F7">
        <w:rPr>
          <w:rStyle w:val="affa"/>
          <w:rFonts w:hint="cs"/>
          <w:rtl/>
        </w:rPr>
        <w:t xml:space="preserve">השערי תורה והבכור שור </w:t>
      </w:r>
      <w:r w:rsidRPr="001033F7">
        <w:rPr>
          <w:rStyle w:val="aff6"/>
          <w:rFonts w:hint="cs"/>
          <w:rtl/>
        </w:rPr>
        <w:t xml:space="preserve">(עי' אות </w:t>
      </w:r>
      <w:r w:rsidRPr="001033F7">
        <w:rPr>
          <w:rStyle w:val="aff6"/>
          <w:rtl/>
        </w:rPr>
        <w:fldChar w:fldCharType="begin"/>
      </w:r>
      <w:r w:rsidRPr="001033F7">
        <w:rPr>
          <w:rStyle w:val="aff6"/>
          <w:rtl/>
        </w:rPr>
        <w:instrText xml:space="preserve"> </w:instrText>
      </w:r>
      <w:r w:rsidRPr="001033F7">
        <w:rPr>
          <w:rStyle w:val="aff6"/>
          <w:rFonts w:hint="cs"/>
        </w:rPr>
        <w:instrText>REF</w:instrText>
      </w:r>
      <w:r w:rsidRPr="001033F7">
        <w:rPr>
          <w:rStyle w:val="aff6"/>
          <w:rFonts w:hint="cs"/>
          <w:rtl/>
        </w:rPr>
        <w:instrText xml:space="preserve"> _</w:instrText>
      </w:r>
      <w:r w:rsidRPr="001033F7">
        <w:rPr>
          <w:rStyle w:val="aff6"/>
          <w:rFonts w:hint="cs"/>
        </w:rPr>
        <w:instrText>Ref529724007 \r \h</w:instrText>
      </w:r>
      <w:r w:rsidRPr="001033F7">
        <w:rPr>
          <w:rStyle w:val="aff6"/>
          <w:rtl/>
        </w:rPr>
        <w:instrText xml:space="preserve"> </w:instrText>
      </w:r>
      <w:r w:rsidRPr="001033F7">
        <w:rPr>
          <w:rStyle w:val="aff6"/>
          <w:rtl/>
        </w:rPr>
      </w:r>
      <w:r w:rsidRPr="001033F7">
        <w:rPr>
          <w:rStyle w:val="aff6"/>
          <w:rtl/>
        </w:rPr>
        <w:fldChar w:fldCharType="separate"/>
      </w:r>
      <w:r w:rsidR="00345400">
        <w:rPr>
          <w:rStyle w:val="aff6"/>
          <w:cs/>
        </w:rPr>
        <w:t>‎</w:t>
      </w:r>
      <w:r w:rsidR="00345400">
        <w:rPr>
          <w:rStyle w:val="aff6"/>
          <w:rtl/>
        </w:rPr>
        <w:t>נז)</w:t>
      </w:r>
      <w:r w:rsidRPr="001033F7">
        <w:rPr>
          <w:rStyle w:val="aff6"/>
          <w:rtl/>
        </w:rPr>
        <w:fldChar w:fldCharType="end"/>
      </w:r>
      <w:r w:rsidRPr="001033F7">
        <w:rPr>
          <w:rStyle w:val="afb"/>
          <w:rFonts w:hint="cs"/>
          <w:rtl/>
        </w:rPr>
        <w:t xml:space="preserve"> דלחלב יש חזקת היתר].</w:t>
      </w:r>
    </w:p>
    <w:p w14:paraId="3D10549A" w14:textId="77777777" w:rsidR="00D95C52" w:rsidRDefault="00D95C52" w:rsidP="00BF39B2">
      <w:pPr>
        <w:pStyle w:val="1"/>
        <w:rPr>
          <w:rtl/>
        </w:rPr>
      </w:pPr>
      <w:bookmarkStart w:id="8755" w:name="_Toc529704518"/>
      <w:bookmarkStart w:id="8756" w:name="_Toc529738988"/>
      <w:bookmarkStart w:id="8757" w:name="_Toc19390152"/>
      <w:bookmarkStart w:id="8758" w:name="_Toc19393649"/>
      <w:r>
        <w:rPr>
          <w:rFonts w:hint="cs"/>
          <w:rtl/>
        </w:rPr>
        <w:t>פלוגתת התפארת למשה והגרעק"א בנולדה ודאי כשרה</w:t>
      </w:r>
      <w:bookmarkEnd w:id="8742"/>
      <w:bookmarkEnd w:id="8743"/>
      <w:bookmarkEnd w:id="8755"/>
      <w:bookmarkEnd w:id="8756"/>
      <w:bookmarkEnd w:id="8757"/>
      <w:bookmarkEnd w:id="8758"/>
    </w:p>
    <w:p w14:paraId="368A79CD" w14:textId="77777777" w:rsidR="00D95C52" w:rsidRPr="00124643" w:rsidRDefault="00D95C52" w:rsidP="006D6D32">
      <w:pPr>
        <w:pStyle w:val="a3"/>
        <w:rPr>
          <w:rtl/>
        </w:rPr>
      </w:pPr>
      <w:bookmarkStart w:id="8759" w:name="_Toc529352394"/>
      <w:bookmarkStart w:id="8760" w:name="_Toc529445009"/>
      <w:bookmarkStart w:id="8761" w:name="_Toc529704519"/>
      <w:bookmarkStart w:id="8762" w:name="_Toc529738989"/>
      <w:bookmarkStart w:id="8763" w:name="_Toc19390153"/>
      <w:bookmarkStart w:id="8764" w:name="_Toc19393650"/>
      <w:r>
        <w:rPr>
          <w:rFonts w:hint="cs"/>
          <w:rtl/>
        </w:rPr>
        <w:t xml:space="preserve">דברי התפאל"מ </w:t>
      </w:r>
      <w:r w:rsidRPr="00124643">
        <w:rPr>
          <w:rFonts w:hint="cs"/>
          <w:rtl/>
        </w:rPr>
        <w:t xml:space="preserve">והתבו"ש </w:t>
      </w:r>
      <w:r>
        <w:rPr>
          <w:rFonts w:hint="cs"/>
          <w:rtl/>
        </w:rPr>
        <w:t xml:space="preserve">והפנ"י והביה"ל </w:t>
      </w:r>
      <w:bookmarkEnd w:id="8759"/>
      <w:r>
        <w:rPr>
          <w:rFonts w:hint="cs"/>
          <w:rtl/>
        </w:rPr>
        <w:t>דבודאי נולדה כשרה חשיב חזקה שנתבררה בשעתה</w:t>
      </w:r>
      <w:bookmarkEnd w:id="8760"/>
      <w:bookmarkEnd w:id="8761"/>
      <w:bookmarkEnd w:id="8762"/>
      <w:bookmarkEnd w:id="8763"/>
      <w:bookmarkEnd w:id="8764"/>
    </w:p>
    <w:p w14:paraId="796F8FDA" w14:textId="77777777" w:rsidR="00D95C52" w:rsidRPr="00124643" w:rsidRDefault="00D95C52" w:rsidP="00223668">
      <w:pPr>
        <w:pStyle w:val="a0"/>
        <w:rPr>
          <w:rtl/>
        </w:rPr>
      </w:pPr>
      <w:bookmarkStart w:id="8765" w:name="_Ref523152874"/>
      <w:r w:rsidRPr="00124643">
        <w:rPr>
          <w:rStyle w:val="af9"/>
          <w:rFonts w:hint="cs"/>
          <w:rtl/>
        </w:rPr>
        <w:t>הגערק"א</w:t>
      </w:r>
      <w:r w:rsidRPr="00124643">
        <w:rPr>
          <w:rFonts w:hint="cs"/>
          <w:rtl/>
        </w:rPr>
        <w:t xml:space="preserve"> </w:t>
      </w:r>
      <w:r w:rsidRPr="00A93207">
        <w:rPr>
          <w:rStyle w:val="af7"/>
          <w:rFonts w:eastAsia="Guttman Hodes" w:hint="cs"/>
          <w:rtl/>
        </w:rPr>
        <w:t>(מג: ד"ה והנה בתבו"ש)</w:t>
      </w:r>
      <w:r w:rsidRPr="00124643">
        <w:rPr>
          <w:rFonts w:hint="cs"/>
          <w:rtl/>
        </w:rPr>
        <w:t xml:space="preserve"> הביא בשם </w:t>
      </w:r>
      <w:r w:rsidRPr="00124643">
        <w:rPr>
          <w:rStyle w:val="af9"/>
          <w:rFonts w:hint="cs"/>
          <w:rtl/>
        </w:rPr>
        <w:t xml:space="preserve">התפארת למשה והתבו"ש </w:t>
      </w:r>
      <w:r>
        <w:rPr>
          <w:rFonts w:hint="cs"/>
          <w:rtl/>
        </w:rPr>
        <w:t>דכתבו בדעת</w:t>
      </w:r>
      <w:r w:rsidRPr="00124643">
        <w:rPr>
          <w:rFonts w:hint="cs"/>
          <w:rtl/>
        </w:rPr>
        <w:t xml:space="preserve"> </w:t>
      </w:r>
      <w:r w:rsidRPr="00124643">
        <w:rPr>
          <w:rStyle w:val="af9"/>
          <w:rFonts w:hint="cs"/>
          <w:rtl/>
        </w:rPr>
        <w:t>התוס'</w:t>
      </w:r>
      <w:r w:rsidRPr="00124643">
        <w:rPr>
          <w:rFonts w:hint="cs"/>
          <w:rtl/>
        </w:rPr>
        <w:t xml:space="preserve"> </w:t>
      </w:r>
      <w:r>
        <w:rPr>
          <w:rFonts w:hint="cs"/>
          <w:rtl/>
        </w:rPr>
        <w:t>דבהמה שהיא</w:t>
      </w:r>
      <w:r w:rsidRPr="00124643">
        <w:rPr>
          <w:rFonts w:hint="cs"/>
          <w:rtl/>
        </w:rPr>
        <w:t xml:space="preserve"> ספק דרוסה</w:t>
      </w:r>
      <w:r>
        <w:rPr>
          <w:rFonts w:hint="cs"/>
          <w:rtl/>
        </w:rPr>
        <w:t>,</w:t>
      </w:r>
      <w:r w:rsidRPr="00124643">
        <w:rPr>
          <w:rFonts w:hint="cs"/>
          <w:rtl/>
        </w:rPr>
        <w:t xml:space="preserve"> </w:t>
      </w:r>
      <w:r>
        <w:rPr>
          <w:rFonts w:hint="cs"/>
          <w:rtl/>
        </w:rPr>
        <w:t>או ב</w:t>
      </w:r>
      <w:r w:rsidRPr="00124643">
        <w:rPr>
          <w:rFonts w:hint="cs"/>
          <w:rtl/>
        </w:rPr>
        <w:t xml:space="preserve">ישב </w:t>
      </w:r>
      <w:r>
        <w:rPr>
          <w:rFonts w:hint="cs"/>
          <w:rtl/>
        </w:rPr>
        <w:t xml:space="preserve">לה </w:t>
      </w:r>
      <w:r w:rsidRPr="00124643">
        <w:rPr>
          <w:rFonts w:hint="cs"/>
          <w:rtl/>
        </w:rPr>
        <w:t>קוץ בושט</w:t>
      </w:r>
      <w:r>
        <w:rPr>
          <w:rFonts w:hint="cs"/>
          <w:rtl/>
        </w:rPr>
        <w:t xml:space="preserve"> שהיא ספק טריפה, דחשיב שיש לה חזקת היתר מבוררת שאינה טריפה, אף לדעת </w:t>
      </w:r>
      <w:r w:rsidRPr="00124643">
        <w:rPr>
          <w:rStyle w:val="af9"/>
          <w:rFonts w:hint="cs"/>
          <w:rtl/>
        </w:rPr>
        <w:t>התוס'</w:t>
      </w:r>
      <w:r w:rsidRPr="00124643">
        <w:rPr>
          <w:rFonts w:hint="cs"/>
          <w:rtl/>
        </w:rPr>
        <w:t xml:space="preserve"> </w:t>
      </w:r>
      <w:r w:rsidRPr="00A93207">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Ref529090497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ג)</w:t>
      </w:r>
      <w:r>
        <w:rPr>
          <w:rStyle w:val="af7"/>
          <w:rFonts w:eastAsia="Guttman Hodes"/>
          <w:rtl/>
        </w:rPr>
        <w:fldChar w:fldCharType="end"/>
      </w:r>
      <w:r w:rsidRPr="00124643">
        <w:rPr>
          <w:rFonts w:hint="cs"/>
          <w:rtl/>
        </w:rPr>
        <w:t xml:space="preserve"> דחזקה שלא נתבררה בשעתה אינה חזקה,</w:t>
      </w:r>
      <w:bookmarkEnd w:id="8765"/>
      <w:r>
        <w:rPr>
          <w:rFonts w:hint="cs"/>
          <w:rtl/>
        </w:rPr>
        <w:t xml:space="preserve"> </w:t>
      </w:r>
      <w:r w:rsidRPr="00124643">
        <w:rPr>
          <w:rFonts w:hint="cs"/>
          <w:rtl/>
        </w:rPr>
        <w:t>דכיון שודאי לא נולדה כך, א"כ יש לה חזקה מבוררת שלא נולדה טריפה, ו</w:t>
      </w:r>
      <w:r>
        <w:rPr>
          <w:rFonts w:hint="cs"/>
          <w:rtl/>
        </w:rPr>
        <w:t>הביא</w:t>
      </w:r>
      <w:r w:rsidRPr="00124643">
        <w:rPr>
          <w:rFonts w:hint="cs"/>
          <w:rtl/>
        </w:rPr>
        <w:t xml:space="preserve"> </w:t>
      </w:r>
      <w:r w:rsidRPr="00124643">
        <w:rPr>
          <w:rStyle w:val="af9"/>
          <w:rFonts w:hint="cs"/>
          <w:rtl/>
        </w:rPr>
        <w:t>הגרעק"א</w:t>
      </w:r>
      <w:r w:rsidRPr="00124643">
        <w:rPr>
          <w:rFonts w:hint="cs"/>
          <w:rtl/>
        </w:rPr>
        <w:t xml:space="preserve"> דכ"כ </w:t>
      </w:r>
      <w:r w:rsidRPr="00124643">
        <w:rPr>
          <w:rStyle w:val="af9"/>
          <w:rFonts w:hint="cs"/>
          <w:rtl/>
        </w:rPr>
        <w:t>הפנ"י</w:t>
      </w:r>
      <w:r w:rsidRPr="00124643">
        <w:rPr>
          <w:rFonts w:hint="cs"/>
          <w:rtl/>
        </w:rPr>
        <w:t xml:space="preserve"> </w:t>
      </w:r>
      <w:r w:rsidRPr="00A93207">
        <w:rPr>
          <w:rStyle w:val="af7"/>
          <w:rFonts w:eastAsia="Guttman Hodes" w:hint="cs"/>
          <w:rtl/>
        </w:rPr>
        <w:t>(כתובות עו: ד"ה מיתיבי)</w:t>
      </w:r>
      <w:r>
        <w:rPr>
          <w:rFonts w:hint="cs"/>
          <w:rtl/>
        </w:rPr>
        <w:t>,</w:t>
      </w:r>
      <w:r w:rsidRPr="00E5264D">
        <w:rPr>
          <w:rFonts w:hint="cs"/>
          <w:rtl/>
        </w:rPr>
        <w:t xml:space="preserve"> </w:t>
      </w:r>
      <w:r>
        <w:rPr>
          <w:rFonts w:hint="cs"/>
          <w:rtl/>
        </w:rPr>
        <w:t xml:space="preserve">וכ"כ </w:t>
      </w:r>
      <w:r w:rsidRPr="00E5264D">
        <w:rPr>
          <w:rStyle w:val="af9"/>
          <w:rFonts w:hint="cs"/>
          <w:rtl/>
        </w:rPr>
        <w:t>הבית הלוי</w:t>
      </w:r>
      <w:r>
        <w:rPr>
          <w:rFonts w:hint="cs"/>
          <w:rtl/>
        </w:rPr>
        <w:t xml:space="preserve"> </w:t>
      </w:r>
      <w:r w:rsidRPr="00E5264D">
        <w:rPr>
          <w:rStyle w:val="af7"/>
          <w:rFonts w:eastAsia="Guttman Hodes" w:hint="cs"/>
          <w:rtl/>
        </w:rPr>
        <w:t>(ח"ב סי' כ"א י"ג)</w:t>
      </w:r>
      <w:r w:rsidRPr="00124643">
        <w:rPr>
          <w:rFonts w:hint="cs"/>
          <w:rtl/>
        </w:rPr>
        <w:t>.</w:t>
      </w:r>
    </w:p>
    <w:p w14:paraId="47EE8AFE" w14:textId="77777777" w:rsidR="00D95C52" w:rsidRPr="00124643" w:rsidRDefault="00D95C52" w:rsidP="006D6D32">
      <w:pPr>
        <w:pStyle w:val="a3"/>
        <w:rPr>
          <w:rtl/>
        </w:rPr>
      </w:pPr>
      <w:bookmarkStart w:id="8766" w:name="_Toc529352395"/>
      <w:bookmarkStart w:id="8767" w:name="_Toc529445010"/>
      <w:bookmarkStart w:id="8768" w:name="_Toc529704520"/>
      <w:bookmarkStart w:id="8769" w:name="_Toc529738990"/>
      <w:bookmarkStart w:id="8770" w:name="_Toc19390154"/>
      <w:bookmarkStart w:id="8771" w:name="_Toc19393651"/>
      <w:r w:rsidRPr="00124643">
        <w:rPr>
          <w:rFonts w:hint="cs"/>
          <w:rtl/>
        </w:rPr>
        <w:t>הוכחת הגרעק"א מהרשב"א דאף בדבר שלא נולדה עמו הוי חזקה שלא נתבררה בשעתה</w:t>
      </w:r>
      <w:bookmarkEnd w:id="8766"/>
      <w:bookmarkEnd w:id="8767"/>
      <w:bookmarkEnd w:id="8768"/>
      <w:bookmarkEnd w:id="8769"/>
      <w:bookmarkEnd w:id="8770"/>
      <w:bookmarkEnd w:id="8771"/>
    </w:p>
    <w:p w14:paraId="25570239" w14:textId="77777777" w:rsidR="00D95C52" w:rsidRDefault="00D95C52" w:rsidP="00223668">
      <w:pPr>
        <w:pStyle w:val="a0"/>
        <w:rPr>
          <w:rtl/>
        </w:rPr>
      </w:pPr>
      <w:bookmarkStart w:id="8772" w:name="_Ref523152721"/>
      <w:r w:rsidRPr="00124643">
        <w:rPr>
          <w:rFonts w:hint="cs"/>
          <w:rtl/>
        </w:rPr>
        <w:t xml:space="preserve">אך דחה </w:t>
      </w:r>
      <w:r w:rsidRPr="00124643">
        <w:rPr>
          <w:rStyle w:val="af9"/>
          <w:rFonts w:hint="cs"/>
          <w:rtl/>
        </w:rPr>
        <w:t xml:space="preserve">הגרעק"א </w:t>
      </w:r>
      <w:r w:rsidRPr="00A93207">
        <w:rPr>
          <w:rStyle w:val="af7"/>
          <w:rFonts w:eastAsia="Guttman Hodes" w:hint="cs"/>
          <w:rtl/>
        </w:rPr>
        <w:t>(</w:t>
      </w:r>
      <w:r>
        <w:rPr>
          <w:rStyle w:val="af7"/>
          <w:rFonts w:eastAsia="Guttman Hodes" w:hint="cs"/>
          <w:rtl/>
        </w:rPr>
        <w:t xml:space="preserve">בסוגיין ד"ה בא"ד ויש ללמוד, ולעיל </w:t>
      </w:r>
      <w:r w:rsidRPr="00A93207">
        <w:rPr>
          <w:rStyle w:val="af7"/>
          <w:rFonts w:eastAsia="Guttman Hodes" w:hint="cs"/>
          <w:rtl/>
        </w:rPr>
        <w:t>מג: ד"ה והנה בתבו"ש)</w:t>
      </w:r>
      <w:r w:rsidRPr="00124643">
        <w:rPr>
          <w:rFonts w:hint="cs"/>
          <w:rtl/>
        </w:rPr>
        <w:t xml:space="preserve"> </w:t>
      </w:r>
      <w:r w:rsidRPr="00124643">
        <w:rPr>
          <w:rStyle w:val="af9"/>
          <w:rFonts w:hint="cs"/>
          <w:rtl/>
        </w:rPr>
        <w:t>דהרשב"א בתוה"ב הקצר</w:t>
      </w:r>
      <w:r w:rsidRPr="00124643">
        <w:rPr>
          <w:rFonts w:hint="cs"/>
          <w:rtl/>
        </w:rPr>
        <w:t xml:space="preserve"> </w:t>
      </w:r>
      <w:r w:rsidRPr="00124643">
        <w:rPr>
          <w:rStyle w:val="af7"/>
          <w:rFonts w:eastAsia="Guttman Hodes" w:hint="cs"/>
          <w:rtl/>
        </w:rPr>
        <w:t>(</w:t>
      </w:r>
      <w:r w:rsidRPr="00124643">
        <w:rPr>
          <w:rStyle w:val="af7"/>
          <w:rFonts w:eastAsia="Guttman Hodes"/>
          <w:rtl/>
        </w:rPr>
        <w:t>בית ג שער ו דף צ</w:t>
      </w:r>
      <w:r w:rsidRPr="00124643">
        <w:rPr>
          <w:rStyle w:val="af7"/>
          <w:rFonts w:eastAsia="Guttman Hodes" w:hint="cs"/>
          <w:rtl/>
        </w:rPr>
        <w:t xml:space="preserve">: ד"ה כבר) </w:t>
      </w:r>
      <w:r w:rsidRPr="00124643">
        <w:rPr>
          <w:rFonts w:hint="cs"/>
          <w:rtl/>
        </w:rPr>
        <w:t>כתב דמחט שנמצאת בבית הכוסות, הגבינות אסורות למפרע</w:t>
      </w:r>
      <w:r>
        <w:rPr>
          <w:rFonts w:hint="cs"/>
          <w:rtl/>
        </w:rPr>
        <w:t>,</w:t>
      </w:r>
      <w:r w:rsidRPr="00124643">
        <w:rPr>
          <w:rFonts w:hint="cs"/>
          <w:rtl/>
        </w:rPr>
        <w:t xml:space="preserve"> כיון שהוא חזקה שלא נתבררה בשעתה, ובמחט הרי ודאי שלא נולדה כך, ואפ"ה מבואר </w:t>
      </w:r>
      <w:r w:rsidRPr="00124643">
        <w:rPr>
          <w:rStyle w:val="af9"/>
          <w:rFonts w:hint="cs"/>
          <w:rtl/>
        </w:rPr>
        <w:t>ברשב"א</w:t>
      </w:r>
      <w:r w:rsidRPr="00124643">
        <w:rPr>
          <w:rFonts w:hint="cs"/>
          <w:rtl/>
        </w:rPr>
        <w:t xml:space="preserve"> דאין לה חזקת היתר</w:t>
      </w:r>
      <w:r>
        <w:rPr>
          <w:rStyle w:val="af1"/>
          <w:rtl/>
        </w:rPr>
        <w:footnoteReference w:id="60"/>
      </w:r>
      <w:r w:rsidRPr="00124643">
        <w:rPr>
          <w:rFonts w:hint="cs"/>
          <w:rtl/>
        </w:rPr>
        <w:t>.</w:t>
      </w:r>
      <w:bookmarkEnd w:id="8772"/>
    </w:p>
    <w:p w14:paraId="15FD1748" w14:textId="77777777" w:rsidR="00D95C52" w:rsidRDefault="00D95C52" w:rsidP="00BF39B2">
      <w:pPr>
        <w:pStyle w:val="1"/>
        <w:rPr>
          <w:rtl/>
        </w:rPr>
      </w:pPr>
      <w:bookmarkStart w:id="8773" w:name="_Toc529738991"/>
      <w:bookmarkStart w:id="8774" w:name="_Toc19390155"/>
      <w:bookmarkStart w:id="8775" w:name="_Toc19393652"/>
      <w:bookmarkStart w:id="8776" w:name="_Toc529704521"/>
      <w:r>
        <w:rPr>
          <w:rFonts w:hint="cs"/>
          <w:rtl/>
        </w:rPr>
        <w:t>דברי הגרעק"א דבהמה בת י"ב חודש היא ספק טריפה</w:t>
      </w:r>
      <w:bookmarkEnd w:id="8773"/>
      <w:bookmarkEnd w:id="8774"/>
      <w:bookmarkEnd w:id="8775"/>
    </w:p>
    <w:p w14:paraId="2972DF14" w14:textId="77777777" w:rsidR="00D95C52" w:rsidRPr="00A10A92" w:rsidRDefault="00D95C52" w:rsidP="006D6D32">
      <w:pPr>
        <w:pStyle w:val="a3"/>
        <w:rPr>
          <w:rtl/>
        </w:rPr>
      </w:pPr>
      <w:bookmarkStart w:id="8777" w:name="_Toc529738992"/>
      <w:bookmarkStart w:id="8778" w:name="_Toc19390156"/>
      <w:bookmarkStart w:id="8779" w:name="_Toc19393653"/>
      <w:r>
        <w:rPr>
          <w:rFonts w:hint="cs"/>
          <w:rtl/>
        </w:rPr>
        <w:t>דברי הגרעק"א דבהמה בת יב"ח דמוכח שנולדה כשרה היא ספק טריפה ובתוך שנתה ודאי טריפה</w:t>
      </w:r>
      <w:bookmarkEnd w:id="8777"/>
      <w:bookmarkEnd w:id="8778"/>
      <w:bookmarkEnd w:id="8779"/>
    </w:p>
    <w:p w14:paraId="36E4C567" w14:textId="77777777" w:rsidR="00D95C52" w:rsidRPr="00774651" w:rsidRDefault="00D95C52" w:rsidP="00223668">
      <w:pPr>
        <w:pStyle w:val="a0"/>
        <w:rPr>
          <w:rStyle w:val="afb"/>
          <w:rtl/>
        </w:rPr>
      </w:pPr>
      <w:r>
        <w:rPr>
          <w:rFonts w:hint="cs"/>
          <w:rtl/>
        </w:rPr>
        <w:t xml:space="preserve">עו"כ </w:t>
      </w:r>
      <w:r w:rsidRPr="00A10A92">
        <w:rPr>
          <w:rStyle w:val="af9"/>
          <w:rFonts w:hint="cs"/>
          <w:rtl/>
        </w:rPr>
        <w:t>הגרעק"א</w:t>
      </w:r>
      <w:r>
        <w:rPr>
          <w:rFonts w:hint="cs"/>
          <w:rtl/>
        </w:rPr>
        <w:t xml:space="preserve"> </w:t>
      </w:r>
      <w:r w:rsidRPr="00A10A92">
        <w:rPr>
          <w:rStyle w:val="af7"/>
          <w:rFonts w:eastAsia="Guttman Hodes" w:hint="cs"/>
          <w:rtl/>
        </w:rPr>
        <w:t>(ד"ה בההיא דגבינות)</w:t>
      </w:r>
      <w:r>
        <w:rPr>
          <w:rFonts w:hint="cs"/>
          <w:rtl/>
        </w:rPr>
        <w:t xml:space="preserve"> דלדעת </w:t>
      </w:r>
      <w:r w:rsidRPr="00A10A92">
        <w:rPr>
          <w:rStyle w:val="af9"/>
          <w:rFonts w:hint="cs"/>
          <w:rtl/>
        </w:rPr>
        <w:t xml:space="preserve">התוס' </w:t>
      </w:r>
      <w:r>
        <w:rPr>
          <w:rFonts w:hint="cs"/>
          <w:rtl/>
        </w:rPr>
        <w:t xml:space="preserve">דהגבינות אסורות למפרע, היכא דהבהמה היא בת יותר מי"ב חודש, היא ספק טריפה, דהא א"א לומר דמעיקרא נולדה טריפה דהא חייתה י"ב חודש,  ומוכח שהייתה כשרה ונטרפה, אבל בהמה בתוך שנתה שנמצאת טריפה, אמרינן דהיא ודאי טריפה, דכיון שאין לה חזקה דמעיקרא, אזלינן בתר חזקה דהשתא ואמרינן שנולדה טריפה כמו שהיא עכשיו. </w:t>
      </w:r>
      <w:r w:rsidRPr="00774651">
        <w:rPr>
          <w:rStyle w:val="afb"/>
          <w:rFonts w:hint="cs"/>
          <w:rtl/>
        </w:rPr>
        <w:t xml:space="preserve">[וע"ע בדברי </w:t>
      </w:r>
      <w:r w:rsidRPr="00D46FDA">
        <w:rPr>
          <w:rStyle w:val="affa"/>
          <w:rFonts w:hint="cs"/>
          <w:rtl/>
        </w:rPr>
        <w:t>הגרעק"א ביבמות</w:t>
      </w:r>
      <w:r w:rsidRPr="00774651">
        <w:rPr>
          <w:rStyle w:val="afb"/>
          <w:rFonts w:hint="cs"/>
          <w:rtl/>
        </w:rPr>
        <w:t xml:space="preserve"> </w:t>
      </w:r>
      <w:r w:rsidRPr="00D46FDA">
        <w:rPr>
          <w:rStyle w:val="aff6"/>
          <w:rFonts w:hint="cs"/>
          <w:rtl/>
        </w:rPr>
        <w:t>(פ: על תוד"ה עד)</w:t>
      </w:r>
      <w:r w:rsidRPr="00774651">
        <w:rPr>
          <w:rStyle w:val="afb"/>
          <w:rFonts w:hint="cs"/>
          <w:rtl/>
        </w:rPr>
        <w:t xml:space="preserve"> במ"ש </w:t>
      </w:r>
      <w:r>
        <w:rPr>
          <w:rStyle w:val="afb"/>
          <w:rFonts w:hint="cs"/>
          <w:rtl/>
        </w:rPr>
        <w:t>ב</w:t>
      </w:r>
      <w:r w:rsidRPr="00774651">
        <w:rPr>
          <w:rStyle w:val="afb"/>
          <w:rFonts w:hint="cs"/>
          <w:rtl/>
        </w:rPr>
        <w:t xml:space="preserve">ענין </w:t>
      </w:r>
      <w:r>
        <w:rPr>
          <w:rStyle w:val="afb"/>
          <w:rFonts w:hint="cs"/>
          <w:rtl/>
        </w:rPr>
        <w:t>חזקה מכח רוב ב</w:t>
      </w:r>
      <w:r w:rsidRPr="00774651">
        <w:rPr>
          <w:rStyle w:val="afb"/>
          <w:rFonts w:hint="cs"/>
          <w:rtl/>
        </w:rPr>
        <w:t>סריס].</w:t>
      </w:r>
    </w:p>
    <w:p w14:paraId="0175D0AC" w14:textId="77777777" w:rsidR="00D95C52" w:rsidRDefault="00D95C52" w:rsidP="006D6D32">
      <w:pPr>
        <w:pStyle w:val="afe"/>
        <w:rPr>
          <w:rtl/>
        </w:rPr>
      </w:pPr>
      <w:bookmarkStart w:id="8780" w:name="_Toc529738993"/>
      <w:bookmarkStart w:id="8781" w:name="_Toc19435622"/>
      <w:bookmarkStart w:id="8782" w:name="_Toc20080911"/>
      <w:r>
        <w:rPr>
          <w:rFonts w:hint="cs"/>
          <w:rtl/>
        </w:rPr>
        <w:t xml:space="preserve">בדעת הרשב"ם </w:t>
      </w:r>
      <w:bookmarkEnd w:id="8690"/>
      <w:bookmarkEnd w:id="8691"/>
      <w:r>
        <w:rPr>
          <w:rFonts w:hint="cs"/>
          <w:rtl/>
        </w:rPr>
        <w:t>דהתיר מדין חזקה</w:t>
      </w:r>
      <w:bookmarkEnd w:id="8776"/>
      <w:bookmarkEnd w:id="8780"/>
      <w:bookmarkEnd w:id="8781"/>
      <w:bookmarkEnd w:id="8782"/>
    </w:p>
    <w:p w14:paraId="1FD2F834" w14:textId="77777777" w:rsidR="00D95C52" w:rsidRPr="00782C4D" w:rsidRDefault="00D95C52" w:rsidP="00BF39B2">
      <w:pPr>
        <w:pStyle w:val="1"/>
        <w:rPr>
          <w:rtl/>
        </w:rPr>
      </w:pPr>
      <w:bookmarkStart w:id="8783" w:name="_Toc529704522"/>
      <w:bookmarkStart w:id="8784" w:name="_Toc529738994"/>
      <w:bookmarkStart w:id="8785" w:name="_Toc19390157"/>
      <w:bookmarkStart w:id="8786" w:name="_Toc19393654"/>
      <w:r>
        <w:rPr>
          <w:rFonts w:hint="cs"/>
          <w:rtl/>
        </w:rPr>
        <w:t>דעת הראשונים ברשב"ם דמהני חזקה שלא נתבררה בשעתה</w:t>
      </w:r>
      <w:bookmarkEnd w:id="8783"/>
      <w:bookmarkEnd w:id="8784"/>
      <w:bookmarkEnd w:id="8785"/>
      <w:bookmarkEnd w:id="8786"/>
    </w:p>
    <w:p w14:paraId="7B88B2B0" w14:textId="77777777" w:rsidR="00D95C52" w:rsidRPr="005B228C" w:rsidRDefault="00D95C52" w:rsidP="006D6D32">
      <w:pPr>
        <w:pStyle w:val="a3"/>
        <w:rPr>
          <w:rtl/>
        </w:rPr>
      </w:pPr>
      <w:bookmarkStart w:id="8787" w:name="_Toc529352371"/>
      <w:bookmarkStart w:id="8788" w:name="_Toc529444985"/>
      <w:bookmarkStart w:id="8789" w:name="_Toc529704523"/>
      <w:bookmarkStart w:id="8790" w:name="_Toc529738995"/>
      <w:bookmarkStart w:id="8791" w:name="_Toc19390158"/>
      <w:bookmarkStart w:id="8792" w:name="_Toc19393655"/>
      <w:r>
        <w:rPr>
          <w:rFonts w:hint="cs"/>
          <w:rtl/>
        </w:rPr>
        <w:t>דברי ספר התרומה בשם הרשב"ם דאזלינן בתר חזקה שלא נתבררה בשעתה והגבינות מותרות</w:t>
      </w:r>
      <w:bookmarkEnd w:id="8787"/>
      <w:bookmarkEnd w:id="8788"/>
      <w:bookmarkEnd w:id="8789"/>
      <w:bookmarkEnd w:id="8790"/>
      <w:bookmarkEnd w:id="8791"/>
      <w:bookmarkEnd w:id="8792"/>
    </w:p>
    <w:p w14:paraId="463C0070" w14:textId="77777777" w:rsidR="00D95C52" w:rsidRDefault="00D95C52" w:rsidP="00223668">
      <w:pPr>
        <w:pStyle w:val="a0"/>
        <w:rPr>
          <w:rtl/>
        </w:rPr>
      </w:pPr>
      <w:bookmarkStart w:id="8793" w:name="_Ref529702488"/>
      <w:bookmarkStart w:id="8794" w:name="_Ref529203013"/>
      <w:r>
        <w:rPr>
          <w:rStyle w:val="af9"/>
          <w:rFonts w:hint="cs"/>
          <w:rtl/>
        </w:rPr>
        <w:t>ב</w:t>
      </w:r>
      <w:r w:rsidRPr="00C72DF4">
        <w:rPr>
          <w:rStyle w:val="af9"/>
          <w:rFonts w:hint="cs"/>
          <w:rtl/>
        </w:rPr>
        <w:t>ספר התרומה</w:t>
      </w:r>
      <w:r>
        <w:rPr>
          <w:rFonts w:hint="cs"/>
          <w:rtl/>
        </w:rPr>
        <w:t xml:space="preserve"> </w:t>
      </w:r>
      <w:r w:rsidRPr="002C3F43">
        <w:rPr>
          <w:rStyle w:val="af7"/>
          <w:rFonts w:eastAsia="Guttman Hodes" w:hint="cs"/>
          <w:rtl/>
        </w:rPr>
        <w:t xml:space="preserve">(הל' איסור והיתר סימן ע"ג) </w:t>
      </w:r>
      <w:r>
        <w:rPr>
          <w:rFonts w:hint="cs"/>
          <w:rtl/>
        </w:rPr>
        <w:t xml:space="preserve">הביא בשם </w:t>
      </w:r>
      <w:r w:rsidRPr="006B2D21">
        <w:rPr>
          <w:rStyle w:val="af9"/>
          <w:rFonts w:hint="cs"/>
          <w:rtl/>
        </w:rPr>
        <w:t>הרשב"ם</w:t>
      </w:r>
      <w:r>
        <w:rPr>
          <w:rStyle w:val="af9"/>
          <w:rFonts w:hint="cs"/>
          <w:rtl/>
        </w:rPr>
        <w:t xml:space="preserve"> </w:t>
      </w:r>
      <w:r>
        <w:rPr>
          <w:rFonts w:hint="cs"/>
          <w:rtl/>
        </w:rPr>
        <w:t xml:space="preserve">דאף שקצת נראה דחזקה שלא נתבררה בשעתה אינה חזקה כדעת </w:t>
      </w:r>
      <w:r w:rsidRPr="00333E35">
        <w:rPr>
          <w:rStyle w:val="af9"/>
          <w:rFonts w:hint="cs"/>
          <w:rtl/>
        </w:rPr>
        <w:t xml:space="preserve">התוס' </w:t>
      </w:r>
      <w:r w:rsidRPr="00333E35">
        <w:rPr>
          <w:rStyle w:val="af7"/>
          <w:rFonts w:eastAsia="Guttman Hodes" w:hint="cs"/>
          <w:rtl/>
        </w:rPr>
        <w:t xml:space="preserve">(עי' אות </w:t>
      </w:r>
      <w:r w:rsidRPr="00333E35">
        <w:rPr>
          <w:rStyle w:val="af7"/>
          <w:rFonts w:eastAsia="Guttman Hodes"/>
          <w:rtl/>
        </w:rPr>
        <w:fldChar w:fldCharType="begin"/>
      </w:r>
      <w:r w:rsidRPr="00333E35">
        <w:rPr>
          <w:rStyle w:val="af7"/>
          <w:rFonts w:eastAsia="Guttman Hodes"/>
          <w:rtl/>
        </w:rPr>
        <w:instrText xml:space="preserve"> </w:instrText>
      </w:r>
      <w:r w:rsidRPr="00333E35">
        <w:rPr>
          <w:rStyle w:val="af7"/>
          <w:rFonts w:eastAsia="Guttman Hodes" w:hint="cs"/>
        </w:rPr>
        <w:instrText>REF</w:instrText>
      </w:r>
      <w:r w:rsidRPr="00333E35">
        <w:rPr>
          <w:rStyle w:val="af7"/>
          <w:rFonts w:eastAsia="Guttman Hodes" w:hint="cs"/>
          <w:rtl/>
        </w:rPr>
        <w:instrText xml:space="preserve"> _</w:instrText>
      </w:r>
      <w:r w:rsidRPr="00333E35">
        <w:rPr>
          <w:rStyle w:val="af7"/>
          <w:rFonts w:eastAsia="Guttman Hodes" w:hint="cs"/>
        </w:rPr>
        <w:instrText>Ref529121640 \r \h</w:instrText>
      </w:r>
      <w:r w:rsidRPr="00333E35">
        <w:rPr>
          <w:rStyle w:val="af7"/>
          <w:rFonts w:eastAsia="Guttman Hodes"/>
          <w:rtl/>
        </w:rPr>
        <w:instrText xml:space="preserve"> </w:instrText>
      </w:r>
      <w:r w:rsidRPr="00333E35">
        <w:rPr>
          <w:rStyle w:val="af7"/>
          <w:rFonts w:eastAsia="Guttman Hodes"/>
          <w:rtl/>
        </w:rPr>
      </w:r>
      <w:r w:rsidRPr="00333E35">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333E35">
        <w:rPr>
          <w:rStyle w:val="af7"/>
          <w:rFonts w:eastAsia="Guttman Hodes"/>
          <w:rtl/>
        </w:rPr>
        <w:fldChar w:fldCharType="end"/>
      </w:r>
      <w:r>
        <w:rPr>
          <w:rFonts w:hint="cs"/>
          <w:rtl/>
        </w:rPr>
        <w:t>, מ"מ יש לסמוך על החזקה ולהתיר, [</w:t>
      </w:r>
      <w:r>
        <w:rPr>
          <w:rStyle w:val="afb"/>
          <w:rFonts w:hint="cs"/>
          <w:rtl/>
        </w:rPr>
        <w:t xml:space="preserve">וע"ע בדברי </w:t>
      </w:r>
      <w:r w:rsidRPr="00EA2682">
        <w:rPr>
          <w:rStyle w:val="affa"/>
          <w:rFonts w:hint="cs"/>
          <w:rtl/>
        </w:rPr>
        <w:t>הר</w:t>
      </w:r>
      <w:r>
        <w:rPr>
          <w:rStyle w:val="affa"/>
          <w:rFonts w:hint="cs"/>
          <w:rtl/>
        </w:rPr>
        <w:t>מ</w:t>
      </w:r>
      <w:r w:rsidRPr="00EA2682">
        <w:rPr>
          <w:rStyle w:val="affa"/>
          <w:rFonts w:hint="cs"/>
          <w:rtl/>
        </w:rPr>
        <w:t>ב"</w:t>
      </w:r>
      <w:r>
        <w:rPr>
          <w:rStyle w:val="afb"/>
          <w:rFonts w:hint="cs"/>
          <w:rtl/>
        </w:rPr>
        <w:t>ן</w:t>
      </w:r>
      <w:r w:rsidRPr="003D09D1">
        <w:rPr>
          <w:rStyle w:val="afb"/>
          <w:rFonts w:hint="cs"/>
          <w:rtl/>
        </w:rPr>
        <w:t xml:space="preserve"> </w:t>
      </w:r>
      <w:r w:rsidRPr="00EA2682">
        <w:rPr>
          <w:rStyle w:val="aff6"/>
          <w:rFonts w:hint="cs"/>
          <w:rtl/>
        </w:rPr>
        <w:t>(עי' או</w:t>
      </w:r>
      <w:r>
        <w:rPr>
          <w:rStyle w:val="aff6"/>
          <w:rFonts w:hint="cs"/>
          <w:rtl/>
        </w:rPr>
        <w:t xml:space="preserve">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Ref529736043 \r \h</w:instrText>
      </w:r>
      <w:r>
        <w:rPr>
          <w:rStyle w:val="aff6"/>
          <w:rtl/>
        </w:rPr>
        <w:instrText xml:space="preserve"> </w:instrText>
      </w:r>
      <w:r>
        <w:rPr>
          <w:rStyle w:val="aff6"/>
          <w:rtl/>
        </w:rPr>
      </w:r>
      <w:r>
        <w:rPr>
          <w:rStyle w:val="aff6"/>
          <w:rtl/>
        </w:rPr>
        <w:fldChar w:fldCharType="separate"/>
      </w:r>
      <w:r w:rsidR="00345400">
        <w:rPr>
          <w:rStyle w:val="aff6"/>
          <w:cs/>
        </w:rPr>
        <w:t>‎</w:t>
      </w:r>
      <w:r w:rsidR="00345400">
        <w:rPr>
          <w:rStyle w:val="aff6"/>
          <w:rtl/>
        </w:rPr>
        <w:t>ה)</w:t>
      </w:r>
      <w:r>
        <w:rPr>
          <w:rStyle w:val="aff6"/>
          <w:rtl/>
        </w:rPr>
        <w:fldChar w:fldCharType="end"/>
      </w:r>
      <w:r>
        <w:rPr>
          <w:rStyle w:val="afb"/>
          <w:rFonts w:hint="cs"/>
          <w:rtl/>
        </w:rPr>
        <w:t xml:space="preserve"> דהביא את דברי </w:t>
      </w:r>
      <w:r w:rsidRPr="00DD3C7E">
        <w:rPr>
          <w:rStyle w:val="affa"/>
          <w:rFonts w:hint="cs"/>
          <w:rtl/>
        </w:rPr>
        <w:t xml:space="preserve">התוס' </w:t>
      </w:r>
      <w:r>
        <w:rPr>
          <w:rStyle w:val="afb"/>
          <w:rFonts w:hint="cs"/>
          <w:rtl/>
        </w:rPr>
        <w:t xml:space="preserve">דלא אזלינן בתר חזקה שלא נתבררה בשעתה, והניח בצ"ע] </w:t>
      </w:r>
      <w:r>
        <w:rPr>
          <w:rFonts w:hint="cs"/>
          <w:rtl/>
        </w:rPr>
        <w:t xml:space="preserve">והוסיף </w:t>
      </w:r>
      <w:r w:rsidRPr="00C32388">
        <w:rPr>
          <w:rStyle w:val="af9"/>
          <w:rFonts w:hint="cs"/>
          <w:rtl/>
        </w:rPr>
        <w:t>בספר התרומה</w:t>
      </w:r>
      <w:r>
        <w:rPr>
          <w:rFonts w:hint="cs"/>
          <w:rtl/>
        </w:rPr>
        <w:t xml:space="preserve"> דדוקא במקום שנמצאת טריפה ביותרת וכדו', שודאי היא טריפה משעה שנולדה, הגבינות אסורות, </w:t>
      </w:r>
      <w:r w:rsidRPr="0060642D">
        <w:rPr>
          <w:rStyle w:val="afb"/>
          <w:rFonts w:hint="cs"/>
          <w:rtl/>
        </w:rPr>
        <w:t>[עי' בהערה</w:t>
      </w:r>
      <w:bookmarkStart w:id="8795" w:name="_Ref529649243"/>
      <w:r>
        <w:rPr>
          <w:rStyle w:val="af1"/>
          <w:rtl/>
        </w:rPr>
        <w:footnoteReference w:id="61"/>
      </w:r>
      <w:bookmarkEnd w:id="8795"/>
      <w:r w:rsidRPr="0060642D">
        <w:rPr>
          <w:rStyle w:val="afb"/>
          <w:rFonts w:hint="cs"/>
          <w:rtl/>
        </w:rPr>
        <w:t>],</w:t>
      </w:r>
      <w:r>
        <w:rPr>
          <w:rStyle w:val="afb"/>
          <w:rFonts w:hint="cs"/>
          <w:rtl/>
        </w:rPr>
        <w:t xml:space="preserve"> </w:t>
      </w:r>
      <w:r>
        <w:rPr>
          <w:rFonts w:hint="cs"/>
          <w:rtl/>
        </w:rPr>
        <w:t xml:space="preserve">ועי' </w:t>
      </w:r>
      <w:r w:rsidRPr="00870FB0">
        <w:rPr>
          <w:rFonts w:hint="cs"/>
          <w:rtl/>
        </w:rPr>
        <w:t xml:space="preserve">במה שביאר </w:t>
      </w:r>
      <w:r w:rsidRPr="00870FB0">
        <w:rPr>
          <w:rStyle w:val="af9"/>
          <w:rFonts w:hint="cs"/>
          <w:rtl/>
        </w:rPr>
        <w:t>הט"ז</w:t>
      </w:r>
      <w:r w:rsidRPr="00870FB0">
        <w:rPr>
          <w:rFonts w:hint="cs"/>
          <w:rtl/>
        </w:rPr>
        <w:t xml:space="preserve"> </w:t>
      </w:r>
      <w:r w:rsidRPr="00870FB0">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Ref529478850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פד)</w:t>
      </w:r>
      <w:r>
        <w:rPr>
          <w:rStyle w:val="af7"/>
          <w:rFonts w:eastAsia="Guttman Hodes"/>
          <w:rtl/>
        </w:rPr>
        <w:fldChar w:fldCharType="end"/>
      </w:r>
      <w:r>
        <w:rPr>
          <w:rStyle w:val="af7"/>
          <w:rFonts w:eastAsia="Guttman Hodes" w:hint="cs"/>
          <w:rtl/>
        </w:rPr>
        <w:t xml:space="preserve"> </w:t>
      </w:r>
      <w:r w:rsidRPr="00870FB0">
        <w:rPr>
          <w:rFonts w:hint="cs"/>
          <w:rtl/>
        </w:rPr>
        <w:t xml:space="preserve">בדעת </w:t>
      </w:r>
      <w:r w:rsidRPr="00870FB0">
        <w:rPr>
          <w:rStyle w:val="af9"/>
          <w:rFonts w:hint="cs"/>
          <w:rtl/>
        </w:rPr>
        <w:t>הרשב"ם</w:t>
      </w:r>
      <w:r>
        <w:rPr>
          <w:rFonts w:hint="cs"/>
          <w:rtl/>
        </w:rPr>
        <w:t>.</w:t>
      </w:r>
      <w:bookmarkEnd w:id="8793"/>
    </w:p>
    <w:p w14:paraId="06E9998A" w14:textId="77777777" w:rsidR="00D95C52" w:rsidRPr="00D175CC" w:rsidRDefault="00D95C52" w:rsidP="006D6D32">
      <w:pPr>
        <w:pStyle w:val="a3"/>
      </w:pPr>
      <w:bookmarkStart w:id="8796" w:name="_Toc529738996"/>
      <w:bookmarkStart w:id="8797" w:name="_Toc19390159"/>
      <w:bookmarkStart w:id="8798" w:name="_Toc19393656"/>
      <w:r>
        <w:rPr>
          <w:rFonts w:hint="cs"/>
          <w:rtl/>
        </w:rPr>
        <w:t>דחיית התרומה להוכחת התוס' דחזקה שלא נתבררה אינה חזקה דאיירי למ"ד טריפה חיה</w:t>
      </w:r>
      <w:bookmarkEnd w:id="8796"/>
      <w:bookmarkEnd w:id="8797"/>
      <w:bookmarkEnd w:id="8798"/>
    </w:p>
    <w:p w14:paraId="4AB3F63C" w14:textId="77777777" w:rsidR="00D95C52" w:rsidRDefault="00D95C52" w:rsidP="00223668">
      <w:pPr>
        <w:pStyle w:val="a0"/>
        <w:rPr>
          <w:rtl/>
        </w:rPr>
      </w:pPr>
      <w:bookmarkStart w:id="8799" w:name="_Ref529735525"/>
      <w:r>
        <w:rPr>
          <w:rFonts w:hint="cs"/>
          <w:rtl/>
        </w:rPr>
        <w:t xml:space="preserve">והביא </w:t>
      </w:r>
      <w:r w:rsidRPr="00042566">
        <w:rPr>
          <w:rStyle w:val="af9"/>
          <w:rFonts w:hint="cs"/>
          <w:rtl/>
        </w:rPr>
        <w:t xml:space="preserve">בספר התרומה </w:t>
      </w:r>
      <w:r>
        <w:rPr>
          <w:rFonts w:hint="cs"/>
          <w:rtl/>
        </w:rPr>
        <w:t xml:space="preserve">את ראיית </w:t>
      </w:r>
      <w:r w:rsidRPr="009E1B83">
        <w:rPr>
          <w:rStyle w:val="af9"/>
          <w:rFonts w:hint="cs"/>
          <w:rtl/>
        </w:rPr>
        <w:t xml:space="preserve">התוס' </w:t>
      </w:r>
      <w:r w:rsidRPr="00D175CC">
        <w:rPr>
          <w:rStyle w:val="af7"/>
          <w:rFonts w:eastAsia="Guttman Hodes" w:hint="cs"/>
          <w:rtl/>
        </w:rPr>
        <w:t xml:space="preserve">(עי' אות </w:t>
      </w:r>
      <w:r w:rsidRPr="00D175CC">
        <w:rPr>
          <w:rStyle w:val="af7"/>
          <w:rFonts w:eastAsia="Guttman Hodes"/>
          <w:rtl/>
        </w:rPr>
        <w:fldChar w:fldCharType="begin"/>
      </w:r>
      <w:r w:rsidRPr="00D175CC">
        <w:rPr>
          <w:rStyle w:val="af7"/>
          <w:rFonts w:eastAsia="Guttman Hodes"/>
          <w:rtl/>
        </w:rPr>
        <w:instrText xml:space="preserve"> </w:instrText>
      </w:r>
      <w:r w:rsidRPr="00D175CC">
        <w:rPr>
          <w:rStyle w:val="af7"/>
          <w:rFonts w:eastAsia="Guttman Hodes" w:hint="cs"/>
        </w:rPr>
        <w:instrText>REF</w:instrText>
      </w:r>
      <w:r w:rsidRPr="00D175CC">
        <w:rPr>
          <w:rStyle w:val="af7"/>
          <w:rFonts w:eastAsia="Guttman Hodes" w:hint="cs"/>
          <w:rtl/>
        </w:rPr>
        <w:instrText xml:space="preserve"> _</w:instrText>
      </w:r>
      <w:r w:rsidRPr="00D175CC">
        <w:rPr>
          <w:rStyle w:val="af7"/>
          <w:rFonts w:eastAsia="Guttman Hodes" w:hint="cs"/>
        </w:rPr>
        <w:instrText>Ref529204487 \r \h</w:instrText>
      </w:r>
      <w:r w:rsidRPr="00D175CC">
        <w:rPr>
          <w:rStyle w:val="af7"/>
          <w:rFonts w:eastAsia="Guttman Hodes"/>
          <w:rtl/>
        </w:rPr>
        <w:instrText xml:space="preserve"> </w:instrText>
      </w:r>
      <w:r w:rsidRPr="00D175CC">
        <w:rPr>
          <w:rStyle w:val="af7"/>
          <w:rFonts w:eastAsia="Guttman Hodes"/>
          <w:rtl/>
        </w:rPr>
      </w:r>
      <w:r w:rsidRPr="00D175CC">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D175CC">
        <w:rPr>
          <w:rStyle w:val="af7"/>
          <w:rFonts w:eastAsia="Guttman Hodes"/>
          <w:rtl/>
        </w:rPr>
        <w:fldChar w:fldCharType="end"/>
      </w:r>
      <w:r>
        <w:rPr>
          <w:rFonts w:hint="cs"/>
          <w:rtl/>
        </w:rPr>
        <w:t xml:space="preserve"> דמהא דהביאה הגמ' ראיה מפרה אדומה דאזלינן בתר רוב, מדלא חיישינן בה לטריפה, ומוכח דכיון שהחזקה לא נתבררה בשעתה</w:t>
      </w:r>
      <w:r w:rsidRPr="009E1B83">
        <w:rPr>
          <w:rFonts w:hint="cs"/>
          <w:rtl/>
        </w:rPr>
        <w:t xml:space="preserve"> </w:t>
      </w:r>
      <w:r>
        <w:rPr>
          <w:rFonts w:hint="cs"/>
          <w:rtl/>
        </w:rPr>
        <w:t xml:space="preserve">לא הוי חזקה, דאי הוי חזקה אין כל ראיה מדין רוב, ודחה </w:t>
      </w:r>
      <w:r w:rsidRPr="009E1B83">
        <w:rPr>
          <w:rStyle w:val="af9"/>
          <w:rFonts w:hint="cs"/>
          <w:rtl/>
        </w:rPr>
        <w:t xml:space="preserve">בספר התרומות </w:t>
      </w:r>
      <w:r>
        <w:rPr>
          <w:rFonts w:hint="cs"/>
          <w:rtl/>
        </w:rPr>
        <w:t xml:space="preserve">דקושיית הגמ' היא למ"ד דטריפה חיה, דלדידיה אין כל ראיה שלא נולדה טריפה </w:t>
      </w:r>
      <w:r w:rsidRPr="003D09D1">
        <w:rPr>
          <w:rStyle w:val="afb"/>
          <w:rFonts w:hint="cs"/>
          <w:rtl/>
        </w:rPr>
        <w:t xml:space="preserve">[כדתירץ </w:t>
      </w:r>
      <w:r w:rsidRPr="00EA2682">
        <w:rPr>
          <w:rStyle w:val="affa"/>
          <w:rFonts w:hint="cs"/>
          <w:rtl/>
        </w:rPr>
        <w:t>הר</w:t>
      </w:r>
      <w:r>
        <w:rPr>
          <w:rStyle w:val="affa"/>
          <w:rFonts w:hint="cs"/>
          <w:rtl/>
        </w:rPr>
        <w:t>מ</w:t>
      </w:r>
      <w:r w:rsidRPr="00EA2682">
        <w:rPr>
          <w:rStyle w:val="affa"/>
          <w:rFonts w:hint="cs"/>
          <w:rtl/>
        </w:rPr>
        <w:t>ב"</w:t>
      </w:r>
      <w:r>
        <w:rPr>
          <w:rStyle w:val="afb"/>
          <w:rFonts w:hint="cs"/>
          <w:rtl/>
        </w:rPr>
        <w:t>ן</w:t>
      </w:r>
      <w:r w:rsidRPr="003D09D1">
        <w:rPr>
          <w:rStyle w:val="afb"/>
          <w:rFonts w:hint="cs"/>
          <w:rtl/>
        </w:rPr>
        <w:t xml:space="preserve"> </w:t>
      </w:r>
      <w:r w:rsidRPr="00EA2682">
        <w:rPr>
          <w:rStyle w:val="aff6"/>
          <w:rFonts w:hint="cs"/>
          <w:rtl/>
        </w:rPr>
        <w:t>(עי' או</w:t>
      </w:r>
      <w:r>
        <w:rPr>
          <w:rStyle w:val="aff6"/>
          <w:rFonts w:hint="cs"/>
          <w:rtl/>
        </w:rPr>
        <w:t xml:space="preserve">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Ref529736043 \r \h</w:instrText>
      </w:r>
      <w:r>
        <w:rPr>
          <w:rStyle w:val="aff6"/>
          <w:rtl/>
        </w:rPr>
        <w:instrText xml:space="preserve"> </w:instrText>
      </w:r>
      <w:r>
        <w:rPr>
          <w:rStyle w:val="aff6"/>
          <w:rtl/>
        </w:rPr>
      </w:r>
      <w:r>
        <w:rPr>
          <w:rStyle w:val="aff6"/>
          <w:rtl/>
        </w:rPr>
        <w:fldChar w:fldCharType="separate"/>
      </w:r>
      <w:r w:rsidR="00345400">
        <w:rPr>
          <w:rStyle w:val="aff6"/>
          <w:cs/>
        </w:rPr>
        <w:t>‎</w:t>
      </w:r>
      <w:r w:rsidR="00345400">
        <w:rPr>
          <w:rStyle w:val="aff6"/>
          <w:rtl/>
        </w:rPr>
        <w:t>ה)</w:t>
      </w:r>
      <w:r>
        <w:rPr>
          <w:rStyle w:val="aff6"/>
          <w:rtl/>
        </w:rPr>
        <w:fldChar w:fldCharType="end"/>
      </w:r>
      <w:r w:rsidRPr="003D09D1">
        <w:rPr>
          <w:rStyle w:val="afb"/>
          <w:rFonts w:hint="cs"/>
          <w:rtl/>
        </w:rPr>
        <w:t>]</w:t>
      </w:r>
      <w:bookmarkStart w:id="8800" w:name="_Ref529702433"/>
      <w:r>
        <w:rPr>
          <w:rStyle w:val="af1"/>
          <w:rtl/>
        </w:rPr>
        <w:footnoteReference w:id="62"/>
      </w:r>
      <w:bookmarkEnd w:id="8800"/>
      <w:r>
        <w:rPr>
          <w:rFonts w:hint="cs"/>
          <w:rtl/>
        </w:rPr>
        <w:t>.</w:t>
      </w:r>
      <w:bookmarkEnd w:id="8799"/>
    </w:p>
    <w:p w14:paraId="74FA30FD" w14:textId="77777777" w:rsidR="00C27C5A" w:rsidRDefault="00C27C5A" w:rsidP="006D6D32">
      <w:pPr>
        <w:pStyle w:val="a3"/>
        <w:rPr>
          <w:rtl/>
        </w:rPr>
      </w:pPr>
      <w:bookmarkStart w:id="8802" w:name="_Toc529704524"/>
      <w:bookmarkStart w:id="8803" w:name="_Toc529738997"/>
      <w:bookmarkStart w:id="8804" w:name="_Toc529352373"/>
      <w:bookmarkStart w:id="8805" w:name="_Toc529444987"/>
    </w:p>
    <w:p w14:paraId="3D3647E8" w14:textId="77777777" w:rsidR="00D95C52" w:rsidRDefault="00D95C52" w:rsidP="006D6D32">
      <w:pPr>
        <w:pStyle w:val="a3"/>
        <w:rPr>
          <w:rtl/>
        </w:rPr>
      </w:pPr>
      <w:bookmarkStart w:id="8806" w:name="_Toc19390160"/>
      <w:bookmarkStart w:id="8807" w:name="_Toc19393657"/>
      <w:r>
        <w:rPr>
          <w:rFonts w:hint="cs"/>
          <w:rtl/>
        </w:rPr>
        <w:t>דברי המרדכי בשם ר"י דמעמידים את הבהמה בחזקת היתר כיון שאין את סברת חסר ואתאי</w:t>
      </w:r>
      <w:bookmarkEnd w:id="8802"/>
      <w:bookmarkEnd w:id="8803"/>
      <w:bookmarkEnd w:id="8806"/>
      <w:bookmarkEnd w:id="8807"/>
    </w:p>
    <w:p w14:paraId="66715BA2" w14:textId="77777777" w:rsidR="00D95C52" w:rsidRPr="00224564" w:rsidRDefault="00D95C52" w:rsidP="00223668">
      <w:pPr>
        <w:pStyle w:val="a0"/>
        <w:rPr>
          <w:rtl/>
        </w:rPr>
      </w:pPr>
      <w:bookmarkStart w:id="8808" w:name="_Ref529518781"/>
      <w:bookmarkStart w:id="8809" w:name="_Ref529702536"/>
      <w:r>
        <w:rPr>
          <w:rStyle w:val="af9"/>
          <w:rFonts w:hint="cs"/>
          <w:rtl/>
        </w:rPr>
        <w:t>ו</w:t>
      </w:r>
      <w:r w:rsidRPr="00224564">
        <w:rPr>
          <w:rStyle w:val="af9"/>
          <w:rFonts w:hint="cs"/>
          <w:rtl/>
        </w:rPr>
        <w:t xml:space="preserve">המרדכי לקמן </w:t>
      </w:r>
      <w:r w:rsidRPr="00224564">
        <w:rPr>
          <w:rStyle w:val="af7"/>
          <w:rFonts w:eastAsia="Guttman Hodes" w:hint="cs"/>
          <w:rtl/>
        </w:rPr>
        <w:t>(פרק אלו טריפות רמז תרל"ה)</w:t>
      </w:r>
      <w:r>
        <w:rPr>
          <w:rFonts w:hint="cs"/>
          <w:rtl/>
        </w:rPr>
        <w:t xml:space="preserve"> הביא את דברי </w:t>
      </w:r>
      <w:r>
        <w:rPr>
          <w:rStyle w:val="af9"/>
          <w:rtl/>
        </w:rPr>
        <w:t xml:space="preserve">התוס' </w:t>
      </w:r>
      <w:r>
        <w:rPr>
          <w:rStyle w:val="af7"/>
          <w:rFonts w:eastAsiaTheme="minorHAnsi" w:hint="cs"/>
          <w:rtl/>
        </w:rPr>
        <w:t xml:space="preserve">(עי' אות </w:t>
      </w:r>
      <w:r>
        <w:rPr>
          <w:rStyle w:val="af7"/>
          <w:rFonts w:eastAsiaTheme="minorHAnsi" w:hint="cs"/>
          <w:rtl/>
        </w:rPr>
        <w:fldChar w:fldCharType="begin"/>
      </w:r>
      <w:r>
        <w:rPr>
          <w:rStyle w:val="af7"/>
          <w:rFonts w:eastAsiaTheme="minorHAnsi" w:hint="cs"/>
          <w:rtl/>
        </w:rPr>
        <w:instrText xml:space="preserve"> </w:instrText>
      </w:r>
      <w:r>
        <w:rPr>
          <w:rStyle w:val="af7"/>
          <w:rFonts w:eastAsiaTheme="minorHAnsi"/>
        </w:rPr>
        <w:instrText>REF</w:instrText>
      </w:r>
      <w:r>
        <w:rPr>
          <w:rStyle w:val="af7"/>
          <w:rFonts w:eastAsiaTheme="minorHAnsi" w:hint="cs"/>
          <w:rtl/>
        </w:rPr>
        <w:instrText xml:space="preserve"> _</w:instrText>
      </w:r>
      <w:r>
        <w:rPr>
          <w:rStyle w:val="af7"/>
          <w:rFonts w:eastAsiaTheme="minorHAnsi"/>
        </w:rPr>
        <w:instrText>Ref529121640 \r \h</w:instrText>
      </w:r>
      <w:r>
        <w:rPr>
          <w:rStyle w:val="af7"/>
          <w:rFonts w:eastAsiaTheme="minorHAnsi" w:hint="cs"/>
          <w:rtl/>
        </w:rPr>
        <w:instrText xml:space="preserve"> </w:instrText>
      </w:r>
      <w:r>
        <w:rPr>
          <w:rStyle w:val="af7"/>
          <w:rFonts w:eastAsiaTheme="minorHAnsi" w:hint="cs"/>
          <w:rtl/>
        </w:rPr>
      </w:r>
      <w:r>
        <w:rPr>
          <w:rStyle w:val="af7"/>
          <w:rFonts w:eastAsiaTheme="minorHAnsi" w:hint="cs"/>
          <w:rtl/>
        </w:rPr>
        <w:fldChar w:fldCharType="separate"/>
      </w:r>
      <w:r w:rsidR="00345400">
        <w:rPr>
          <w:rStyle w:val="af7"/>
          <w:rFonts w:eastAsiaTheme="minorHAnsi" w:hint="eastAsia"/>
          <w:cs/>
        </w:rPr>
        <w:t>‎</w:t>
      </w:r>
      <w:r w:rsidR="00345400">
        <w:rPr>
          <w:rStyle w:val="af7"/>
          <w:rFonts w:eastAsiaTheme="minorHAnsi" w:hint="eastAsia"/>
          <w:rtl/>
        </w:rPr>
        <w:t>ז</w:t>
      </w:r>
      <w:r w:rsidR="00345400">
        <w:rPr>
          <w:rStyle w:val="af7"/>
          <w:rFonts w:eastAsiaTheme="minorHAnsi"/>
          <w:rtl/>
        </w:rPr>
        <w:t>)</w:t>
      </w:r>
      <w:r>
        <w:rPr>
          <w:rStyle w:val="af7"/>
          <w:rFonts w:eastAsiaTheme="minorHAnsi" w:hint="cs"/>
          <w:rtl/>
        </w:rPr>
        <w:fldChar w:fldCharType="end"/>
      </w:r>
      <w:r>
        <w:rPr>
          <w:rFonts w:hint="cs"/>
          <w:rtl/>
        </w:rPr>
        <w:t xml:space="preserve"> דהגבינות אסורות כיון שחזקה שלא נתבררה בשעתה אינה חזקה, כדמוכח מפרה אדומה, ועוד הביא המרדכי בשם </w:t>
      </w:r>
      <w:r w:rsidRPr="00224564">
        <w:rPr>
          <w:rStyle w:val="af9"/>
          <w:rFonts w:hint="cs"/>
          <w:rtl/>
        </w:rPr>
        <w:t>ר"י</w:t>
      </w:r>
      <w:r>
        <w:rPr>
          <w:rFonts w:hint="cs"/>
          <w:rtl/>
        </w:rPr>
        <w:t xml:space="preserve"> דכתב דכיון דבהמה בחייה בחזקת היתר עומדת, מעמידים אותה בחזקתה שלא הייתה טריפה בזמן שנחלבו ממנה הגבינות, וביאר </w:t>
      </w:r>
      <w:r w:rsidRPr="00224564">
        <w:rPr>
          <w:rStyle w:val="af9"/>
          <w:rFonts w:hint="cs"/>
          <w:rtl/>
        </w:rPr>
        <w:t xml:space="preserve">המרדכי </w:t>
      </w:r>
      <w:r>
        <w:rPr>
          <w:rFonts w:hint="cs"/>
          <w:rtl/>
        </w:rPr>
        <w:t xml:space="preserve">דלא דמי למקוה שנמצא חסר דכיון שיש בו תרתי לריעותא, לכן אין מעמידים אותו בחזקתו. והוסיף </w:t>
      </w:r>
      <w:r w:rsidRPr="00224564">
        <w:rPr>
          <w:rStyle w:val="af9"/>
          <w:rFonts w:hint="cs"/>
          <w:rtl/>
        </w:rPr>
        <w:t xml:space="preserve">המרדכי </w:t>
      </w:r>
      <w:r>
        <w:rPr>
          <w:rFonts w:hint="cs"/>
          <w:rtl/>
        </w:rPr>
        <w:t xml:space="preserve">בשם </w:t>
      </w:r>
      <w:r w:rsidRPr="00224564">
        <w:rPr>
          <w:rStyle w:val="af9"/>
          <w:rFonts w:hint="cs"/>
          <w:rtl/>
        </w:rPr>
        <w:t xml:space="preserve">מהר"ם </w:t>
      </w:r>
      <w:r>
        <w:rPr>
          <w:rFonts w:hint="cs"/>
          <w:rtl/>
        </w:rPr>
        <w:t xml:space="preserve">דבבהמה לא שייך לומר "טריף ואתאי" כדאמרינן במקוה "חסר ואתאי", </w:t>
      </w:r>
      <w:bookmarkEnd w:id="8808"/>
      <w:r>
        <w:rPr>
          <w:rFonts w:hint="cs"/>
          <w:rtl/>
        </w:rPr>
        <w:t xml:space="preserve">ועי' במ"ש כעי"ז </w:t>
      </w:r>
      <w:r>
        <w:rPr>
          <w:rStyle w:val="af9"/>
          <w:rFonts w:hint="cs"/>
          <w:rtl/>
        </w:rPr>
        <w:t>ב</w:t>
      </w:r>
      <w:r w:rsidRPr="00AB0D54">
        <w:rPr>
          <w:rStyle w:val="af9"/>
          <w:rFonts w:hint="cs"/>
          <w:rtl/>
        </w:rPr>
        <w:t>שער"י</w:t>
      </w:r>
      <w:r>
        <w:rPr>
          <w:rFonts w:hint="cs"/>
          <w:rtl/>
        </w:rPr>
        <w:t xml:space="preserve"> </w:t>
      </w:r>
      <w:r w:rsidRPr="00AB0D54">
        <w:rPr>
          <w:rStyle w:val="af7"/>
          <w:rFonts w:eastAsia="Guttman Hodes" w:hint="cs"/>
          <w:rtl/>
        </w:rPr>
        <w:t xml:space="preserve">(עי' אות </w:t>
      </w:r>
      <w:r w:rsidRPr="00AB0D54">
        <w:rPr>
          <w:rStyle w:val="af7"/>
          <w:rFonts w:eastAsia="Guttman Hodes"/>
          <w:rtl/>
        </w:rPr>
        <w:fldChar w:fldCharType="begin"/>
      </w:r>
      <w:r w:rsidRPr="00AB0D54">
        <w:rPr>
          <w:rStyle w:val="af7"/>
          <w:rFonts w:eastAsia="Guttman Hodes"/>
          <w:rtl/>
        </w:rPr>
        <w:instrText xml:space="preserve"> </w:instrText>
      </w:r>
      <w:r w:rsidRPr="00AB0D54">
        <w:rPr>
          <w:rStyle w:val="af7"/>
          <w:rFonts w:eastAsia="Guttman Hodes" w:hint="cs"/>
        </w:rPr>
        <w:instrText>REF</w:instrText>
      </w:r>
      <w:r w:rsidRPr="00AB0D54">
        <w:rPr>
          <w:rStyle w:val="af7"/>
          <w:rFonts w:eastAsia="Guttman Hodes" w:hint="cs"/>
          <w:rtl/>
        </w:rPr>
        <w:instrText xml:space="preserve"> _</w:instrText>
      </w:r>
      <w:r w:rsidRPr="00AB0D54">
        <w:rPr>
          <w:rStyle w:val="af7"/>
          <w:rFonts w:eastAsia="Guttman Hodes" w:hint="cs"/>
        </w:rPr>
        <w:instrText>Ref529437210 \r \h</w:instrText>
      </w:r>
      <w:r w:rsidRPr="00AB0D54">
        <w:rPr>
          <w:rStyle w:val="af7"/>
          <w:rFonts w:eastAsia="Guttman Hodes"/>
          <w:rtl/>
        </w:rPr>
        <w:instrText xml:space="preserve"> </w:instrText>
      </w:r>
      <w:r w:rsidRPr="00AB0D54">
        <w:rPr>
          <w:rStyle w:val="af7"/>
          <w:rFonts w:eastAsia="Guttman Hodes"/>
          <w:rtl/>
        </w:rPr>
      </w:r>
      <w:r w:rsidRPr="00AB0D54">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AB0D54">
        <w:rPr>
          <w:rStyle w:val="af7"/>
          <w:rFonts w:eastAsia="Guttman Hodes"/>
          <w:rtl/>
        </w:rPr>
        <w:fldChar w:fldCharType="end"/>
      </w:r>
      <w:r>
        <w:rPr>
          <w:rFonts w:hint="cs"/>
          <w:rtl/>
        </w:rPr>
        <w:t>.</w:t>
      </w:r>
      <w:bookmarkEnd w:id="8809"/>
    </w:p>
    <w:p w14:paraId="25D53337" w14:textId="77777777" w:rsidR="00D95C52" w:rsidRDefault="00D95C52" w:rsidP="00BF39B2">
      <w:pPr>
        <w:pStyle w:val="1"/>
        <w:rPr>
          <w:rtl/>
        </w:rPr>
      </w:pPr>
      <w:bookmarkStart w:id="8810" w:name="_Toc529352374"/>
      <w:bookmarkStart w:id="8811" w:name="_Toc529444988"/>
      <w:bookmarkStart w:id="8812" w:name="_Toc529704525"/>
      <w:bookmarkStart w:id="8813" w:name="_Toc529738998"/>
      <w:bookmarkStart w:id="8814" w:name="_Toc19390161"/>
      <w:bookmarkStart w:id="8815" w:name="_Toc19393658"/>
      <w:bookmarkEnd w:id="8794"/>
      <w:bookmarkEnd w:id="8804"/>
      <w:bookmarkEnd w:id="8805"/>
      <w:r w:rsidRPr="003B73CF">
        <w:rPr>
          <w:rFonts w:hint="cs"/>
          <w:rtl/>
        </w:rPr>
        <w:t xml:space="preserve">בהא דאזלינן בתר חזקה </w:t>
      </w:r>
      <w:r>
        <w:rPr>
          <w:rFonts w:hint="cs"/>
          <w:rtl/>
        </w:rPr>
        <w:t>דמעיקרא במקום שהורעה החזקה</w:t>
      </w:r>
      <w:bookmarkEnd w:id="8810"/>
      <w:bookmarkEnd w:id="8811"/>
      <w:bookmarkEnd w:id="8812"/>
      <w:bookmarkEnd w:id="8813"/>
      <w:bookmarkEnd w:id="8814"/>
      <w:bookmarkEnd w:id="8815"/>
    </w:p>
    <w:p w14:paraId="7F1A84E4" w14:textId="77777777" w:rsidR="00D95C52" w:rsidRPr="00ED73AD" w:rsidRDefault="00D95C52" w:rsidP="006D6D32">
      <w:pPr>
        <w:pStyle w:val="a3"/>
        <w:rPr>
          <w:rtl/>
        </w:rPr>
      </w:pPr>
      <w:bookmarkStart w:id="8816" w:name="_Toc529704526"/>
      <w:bookmarkStart w:id="8817" w:name="_Toc529738999"/>
      <w:bookmarkStart w:id="8818" w:name="_Toc19390162"/>
      <w:bookmarkStart w:id="8819" w:name="_Toc19393659"/>
      <w:r>
        <w:rPr>
          <w:rFonts w:hint="cs"/>
          <w:rtl/>
        </w:rPr>
        <w:t>קושית התרומה והרוקח דהיאך מעמידים על החזקה שאינה קיימת עכשיו דהיא ודאי טריפה</w:t>
      </w:r>
      <w:bookmarkEnd w:id="8816"/>
      <w:bookmarkEnd w:id="8817"/>
      <w:bookmarkEnd w:id="8818"/>
      <w:bookmarkEnd w:id="8819"/>
    </w:p>
    <w:p w14:paraId="37691CB5" w14:textId="77777777" w:rsidR="00D95C52" w:rsidRDefault="00D95C52" w:rsidP="00223668">
      <w:pPr>
        <w:pStyle w:val="a0"/>
        <w:rPr>
          <w:rtl/>
        </w:rPr>
      </w:pPr>
      <w:r>
        <w:rPr>
          <w:rFonts w:hint="cs"/>
          <w:rtl/>
        </w:rPr>
        <w:t xml:space="preserve">הקשו </w:t>
      </w:r>
      <w:r>
        <w:rPr>
          <w:rStyle w:val="af9"/>
          <w:rFonts w:hint="cs"/>
          <w:rtl/>
        </w:rPr>
        <w:t>ב</w:t>
      </w:r>
      <w:r w:rsidRPr="00C72DF4">
        <w:rPr>
          <w:rStyle w:val="af9"/>
          <w:rFonts w:hint="cs"/>
          <w:rtl/>
        </w:rPr>
        <w:t>ספר התרומה</w:t>
      </w:r>
      <w:r>
        <w:rPr>
          <w:rFonts w:hint="cs"/>
          <w:rtl/>
        </w:rPr>
        <w:t xml:space="preserve"> </w:t>
      </w:r>
      <w:r w:rsidRPr="002C3F43">
        <w:rPr>
          <w:rStyle w:val="af7"/>
          <w:rFonts w:eastAsia="Guttman Hodes" w:hint="cs"/>
          <w:rtl/>
        </w:rPr>
        <w:t xml:space="preserve">(הל' איסור והיתר סימן ע"ג) </w:t>
      </w:r>
      <w:r>
        <w:rPr>
          <w:rFonts w:hint="cs"/>
          <w:rtl/>
        </w:rPr>
        <w:t xml:space="preserve"> </w:t>
      </w:r>
      <w:r>
        <w:rPr>
          <w:rStyle w:val="af9"/>
          <w:rFonts w:hint="cs"/>
          <w:rtl/>
        </w:rPr>
        <w:t>ו</w:t>
      </w:r>
      <w:r w:rsidRPr="00900D87">
        <w:rPr>
          <w:rStyle w:val="af9"/>
          <w:rFonts w:hint="cs"/>
          <w:rtl/>
        </w:rPr>
        <w:t>הרוקח</w:t>
      </w:r>
      <w:r>
        <w:rPr>
          <w:rFonts w:hint="cs"/>
          <w:rtl/>
        </w:rPr>
        <w:t xml:space="preserve"> </w:t>
      </w:r>
      <w:r>
        <w:rPr>
          <w:rStyle w:val="af7"/>
          <w:rFonts w:eastAsia="Guttman Hodes" w:hint="cs"/>
          <w:rtl/>
        </w:rPr>
        <w:t>(הל</w:t>
      </w:r>
      <w:r>
        <w:rPr>
          <w:rStyle w:val="af7"/>
          <w:rFonts w:eastAsia="Guttman Hodes"/>
          <w:rtl/>
        </w:rPr>
        <w:t>'</w:t>
      </w:r>
      <w:r>
        <w:rPr>
          <w:rStyle w:val="af7"/>
          <w:rFonts w:eastAsia="Guttman Hodes" w:hint="cs"/>
          <w:rtl/>
        </w:rPr>
        <w:t xml:space="preserve"> איסור</w:t>
      </w:r>
      <w:r w:rsidRPr="00900D87">
        <w:rPr>
          <w:rStyle w:val="af7"/>
          <w:rFonts w:eastAsia="Guttman Hodes" w:hint="cs"/>
          <w:rtl/>
        </w:rPr>
        <w:t xml:space="preserve"> והיתר תס"ד, הועתק בקובץ שיטות קמאי חולין ח"א </w:t>
      </w:r>
      <w:r w:rsidRPr="00822261">
        <w:rPr>
          <w:rStyle w:val="af7"/>
          <w:rFonts w:eastAsia="Guttman Hodes" w:hint="cs"/>
          <w:rtl/>
        </w:rPr>
        <w:t>עמ' רכ"ח)</w:t>
      </w:r>
      <w:r w:rsidRPr="00822261">
        <w:rPr>
          <w:rFonts w:hint="cs"/>
          <w:rtl/>
        </w:rPr>
        <w:t xml:space="preserve"> </w:t>
      </w:r>
      <w:r w:rsidRPr="00822261">
        <w:rPr>
          <w:rStyle w:val="afb"/>
          <w:rFonts w:hint="cs"/>
          <w:rtl/>
        </w:rPr>
        <w:t xml:space="preserve">[על </w:t>
      </w:r>
      <w:r w:rsidRPr="00822261">
        <w:rPr>
          <w:rStyle w:val="affa"/>
          <w:rFonts w:hint="cs"/>
          <w:rtl/>
        </w:rPr>
        <w:t>הרשב"ם</w:t>
      </w:r>
      <w:r w:rsidRPr="00822261">
        <w:rPr>
          <w:rStyle w:val="afb"/>
          <w:rFonts w:hint="cs"/>
          <w:rtl/>
        </w:rPr>
        <w:t xml:space="preserve"> שהתיר </w:t>
      </w:r>
      <w:r>
        <w:rPr>
          <w:rStyle w:val="afb"/>
          <w:rFonts w:hint="cs"/>
          <w:rtl/>
        </w:rPr>
        <w:t xml:space="preserve">את הגבינות מדין </w:t>
      </w:r>
      <w:r w:rsidRPr="00822261">
        <w:rPr>
          <w:rStyle w:val="afb"/>
          <w:rFonts w:hint="cs"/>
          <w:rtl/>
        </w:rPr>
        <w:t xml:space="preserve">חזקה] </w:t>
      </w:r>
      <w:r w:rsidRPr="00822261">
        <w:rPr>
          <w:rFonts w:hint="cs"/>
          <w:rtl/>
        </w:rPr>
        <w:t>דלא מצינו שמעמידים על החזקה, במקום שהחזקה אינה קיימת עכשיו, דהא השתא היא טריפה, ואילו בספק נגע</w:t>
      </w:r>
      <w:r>
        <w:rPr>
          <w:rFonts w:hint="cs"/>
          <w:rtl/>
        </w:rPr>
        <w:t xml:space="preserve"> בשרץ יתכן שהוא טהור עכשיו ולכן אפשר לטהר ברה"ר ע"י חזקה, וכן בדברי רב הונא לעיל </w:t>
      </w:r>
      <w:r w:rsidRPr="00900D87">
        <w:rPr>
          <w:rStyle w:val="af7"/>
          <w:rFonts w:eastAsia="Guttman Hodes" w:hint="cs"/>
          <w:rtl/>
        </w:rPr>
        <w:t>(ט.)</w:t>
      </w:r>
      <w:r>
        <w:rPr>
          <w:rFonts w:hint="cs"/>
          <w:rtl/>
        </w:rPr>
        <w:t xml:space="preserve"> דנשחטה בחזקת היתר, דאף עכשיו יתכן שאינה טריפה, וכן דברי רב הונא דבהמה בחייה בחזקת איסור עומדת, אף עכשיו יתכן שהיא אסורה.</w:t>
      </w:r>
    </w:p>
    <w:p w14:paraId="567F2B96" w14:textId="77777777" w:rsidR="00D95C52" w:rsidRDefault="00D95C52" w:rsidP="006D6D32">
      <w:pPr>
        <w:pStyle w:val="a3"/>
        <w:rPr>
          <w:rtl/>
        </w:rPr>
      </w:pPr>
      <w:bookmarkStart w:id="8820" w:name="_Toc529704527"/>
      <w:bookmarkStart w:id="8821" w:name="_Toc529739000"/>
      <w:bookmarkStart w:id="8822" w:name="_Toc19390163"/>
      <w:bookmarkStart w:id="8823" w:name="_Toc19393660"/>
      <w:r>
        <w:rPr>
          <w:rFonts w:hint="cs"/>
          <w:rtl/>
        </w:rPr>
        <w:t>תירוץ התרומה והרוקח דכן מצינו בחזקת מקוה ובחזקת נערה שמעמידים על החזקה במקום ריעותא</w:t>
      </w:r>
      <w:bookmarkEnd w:id="8820"/>
      <w:bookmarkEnd w:id="8821"/>
      <w:bookmarkEnd w:id="8822"/>
      <w:bookmarkEnd w:id="8823"/>
    </w:p>
    <w:p w14:paraId="67B7FF8B" w14:textId="77777777" w:rsidR="00D95C52" w:rsidRDefault="00D95C52" w:rsidP="00223668">
      <w:pPr>
        <w:pStyle w:val="a0"/>
        <w:rPr>
          <w:rStyle w:val="afb"/>
          <w:rtl/>
        </w:rPr>
      </w:pPr>
      <w:bookmarkStart w:id="8824" w:name="_Ref529216339"/>
      <w:r>
        <w:rPr>
          <w:rFonts w:hint="cs"/>
          <w:rtl/>
        </w:rPr>
        <w:t xml:space="preserve">ותירצו </w:t>
      </w:r>
      <w:r>
        <w:rPr>
          <w:rStyle w:val="af9"/>
          <w:rFonts w:hint="cs"/>
          <w:rtl/>
        </w:rPr>
        <w:t>ב</w:t>
      </w:r>
      <w:r w:rsidRPr="00C72DF4">
        <w:rPr>
          <w:rStyle w:val="af9"/>
          <w:rFonts w:hint="cs"/>
          <w:rtl/>
        </w:rPr>
        <w:t>ספר התרומה</w:t>
      </w:r>
      <w:r>
        <w:rPr>
          <w:rFonts w:hint="cs"/>
          <w:rtl/>
        </w:rPr>
        <w:t xml:space="preserve"> </w:t>
      </w:r>
      <w:r>
        <w:rPr>
          <w:rStyle w:val="af9"/>
          <w:rFonts w:hint="cs"/>
          <w:rtl/>
        </w:rPr>
        <w:t>ו</w:t>
      </w:r>
      <w:r w:rsidRPr="00900D87">
        <w:rPr>
          <w:rStyle w:val="af9"/>
          <w:rFonts w:hint="cs"/>
          <w:rtl/>
        </w:rPr>
        <w:t>הרוקח</w:t>
      </w:r>
      <w:r>
        <w:rPr>
          <w:rFonts w:hint="cs"/>
          <w:rtl/>
        </w:rPr>
        <w:t xml:space="preserve"> דכן מצינו במקוה שנמדד ונמצא חסר </w:t>
      </w:r>
      <w:r w:rsidRPr="00D214F4">
        <w:rPr>
          <w:rStyle w:val="af7"/>
          <w:rFonts w:eastAsia="Guttman Hodes" w:hint="cs"/>
          <w:rtl/>
        </w:rPr>
        <w:t>(נדה ב:)</w:t>
      </w:r>
      <w:r>
        <w:rPr>
          <w:rFonts w:hint="cs"/>
          <w:rtl/>
        </w:rPr>
        <w:t xml:space="preserve"> דהזכירה הגמ' דהעמד את המקוה בחזקת שלם, </w:t>
      </w:r>
      <w:r w:rsidRPr="00D214F4">
        <w:rPr>
          <w:rStyle w:val="afb"/>
          <w:rFonts w:hint="cs"/>
          <w:rtl/>
        </w:rPr>
        <w:t>[</w:t>
      </w:r>
      <w:r>
        <w:rPr>
          <w:rStyle w:val="afb"/>
          <w:rFonts w:hint="cs"/>
          <w:rtl/>
        </w:rPr>
        <w:t>לפני מסקנת הגמ' דע"י</w:t>
      </w:r>
      <w:r w:rsidRPr="00D214F4">
        <w:rPr>
          <w:rStyle w:val="afb"/>
          <w:rFonts w:hint="cs"/>
          <w:rtl/>
        </w:rPr>
        <w:t xml:space="preserve"> </w:t>
      </w:r>
      <w:r>
        <w:rPr>
          <w:rStyle w:val="afb"/>
          <w:rFonts w:hint="cs"/>
          <w:rtl/>
        </w:rPr>
        <w:t>ה</w:t>
      </w:r>
      <w:r w:rsidRPr="00D214F4">
        <w:rPr>
          <w:rStyle w:val="afb"/>
          <w:rFonts w:hint="cs"/>
          <w:rtl/>
        </w:rPr>
        <w:t xml:space="preserve">חזקת הטמא </w:t>
      </w:r>
      <w:r>
        <w:rPr>
          <w:rStyle w:val="afb"/>
          <w:rFonts w:hint="cs"/>
          <w:rtl/>
        </w:rPr>
        <w:t xml:space="preserve">יש </w:t>
      </w:r>
      <w:r w:rsidRPr="00D214F4">
        <w:rPr>
          <w:rStyle w:val="afb"/>
          <w:rFonts w:hint="cs"/>
          <w:rtl/>
        </w:rPr>
        <w:t>תרתי לריעותא],</w:t>
      </w:r>
      <w:r>
        <w:rPr>
          <w:rFonts w:hint="cs"/>
          <w:rtl/>
        </w:rPr>
        <w:t xml:space="preserve"> וכן בגמ' בקידושין </w:t>
      </w:r>
      <w:r w:rsidRPr="00D214F4">
        <w:rPr>
          <w:rStyle w:val="af7"/>
          <w:rFonts w:eastAsia="Guttman Hodes" w:hint="cs"/>
          <w:rtl/>
        </w:rPr>
        <w:t>(עט.)</w:t>
      </w:r>
      <w:r>
        <w:rPr>
          <w:rFonts w:hint="cs"/>
          <w:rtl/>
        </w:rPr>
        <w:t xml:space="preserve"> בבוגרת שמעמידים אותה בחזקת נערה,</w:t>
      </w:r>
      <w:r w:rsidRPr="00B47532">
        <w:rPr>
          <w:rFonts w:hint="cs"/>
          <w:rtl/>
        </w:rPr>
        <w:t xml:space="preserve"> </w:t>
      </w:r>
      <w:r w:rsidRPr="00B47532">
        <w:rPr>
          <w:rStyle w:val="afb"/>
          <w:rFonts w:hint="cs"/>
          <w:rtl/>
        </w:rPr>
        <w:t xml:space="preserve">[אף שעתה היא ודאי בוגרת], </w:t>
      </w:r>
      <w:r>
        <w:rPr>
          <w:rFonts w:hint="cs"/>
          <w:rtl/>
        </w:rPr>
        <w:t xml:space="preserve"> וכן בדברי שמאי </w:t>
      </w:r>
      <w:r w:rsidRPr="00D214F4">
        <w:rPr>
          <w:rStyle w:val="af7"/>
          <w:rFonts w:eastAsia="Guttman Hodes" w:hint="cs"/>
          <w:rtl/>
        </w:rPr>
        <w:t>(נדה ב.)</w:t>
      </w:r>
      <w:r>
        <w:rPr>
          <w:rFonts w:hint="cs"/>
          <w:rtl/>
        </w:rPr>
        <w:t xml:space="preserve"> דכל הנשים דיין שעתן שמעמידים אותה בחזקת שלא ראתה עד עכשיו, כיון שעד עכשיו הייתה טהורה עד שראתה, והלל פליג עליה רק בקדשים.</w:t>
      </w:r>
      <w:r w:rsidRPr="00D214F4">
        <w:rPr>
          <w:rStyle w:val="afb"/>
          <w:rFonts w:hint="cs"/>
          <w:rtl/>
        </w:rPr>
        <w:t xml:space="preserve"> [ומוכח שמעמידים על החזקה דמעיקרא, אף במקום שעכשיו ודאי שאין החזקה קיימת],</w:t>
      </w:r>
      <w:r>
        <w:rPr>
          <w:rFonts w:hint="cs"/>
          <w:rtl/>
        </w:rPr>
        <w:t xml:space="preserve"> ועיי"ש </w:t>
      </w:r>
      <w:r>
        <w:rPr>
          <w:rStyle w:val="af9"/>
          <w:rFonts w:hint="cs"/>
          <w:rtl/>
        </w:rPr>
        <w:t>ב</w:t>
      </w:r>
      <w:r w:rsidRPr="00900D87">
        <w:rPr>
          <w:rStyle w:val="af9"/>
          <w:rFonts w:hint="cs"/>
          <w:rtl/>
        </w:rPr>
        <w:t>רוקח</w:t>
      </w:r>
      <w:r>
        <w:rPr>
          <w:rFonts w:hint="cs"/>
          <w:rtl/>
        </w:rPr>
        <w:t xml:space="preserve"> שהביא עוד מקורות רבים לדין זה. </w:t>
      </w:r>
      <w:r w:rsidRPr="00C82DA4">
        <w:rPr>
          <w:rStyle w:val="afb"/>
          <w:rFonts w:hint="cs"/>
          <w:rtl/>
        </w:rPr>
        <w:t xml:space="preserve">[וע"ע בדברי </w:t>
      </w:r>
      <w:r w:rsidRPr="00C82DA4">
        <w:rPr>
          <w:rStyle w:val="affa"/>
          <w:rFonts w:hint="cs"/>
          <w:rtl/>
        </w:rPr>
        <w:t>הר"א משנץ</w:t>
      </w:r>
      <w:r w:rsidRPr="00C82DA4">
        <w:rPr>
          <w:rStyle w:val="afb"/>
          <w:rFonts w:hint="cs"/>
          <w:rtl/>
        </w:rPr>
        <w:t xml:space="preserve"> </w:t>
      </w:r>
      <w:r w:rsidRPr="00C82DA4">
        <w:rPr>
          <w:rStyle w:val="aff6"/>
          <w:rFonts w:hint="cs"/>
          <w:rtl/>
        </w:rPr>
        <w:t xml:space="preserve">(עי' אות </w:t>
      </w:r>
      <w:r w:rsidRPr="00C82DA4">
        <w:rPr>
          <w:rStyle w:val="aff6"/>
          <w:rtl/>
        </w:rPr>
        <w:fldChar w:fldCharType="begin"/>
      </w:r>
      <w:r w:rsidRPr="00C82DA4">
        <w:rPr>
          <w:rStyle w:val="aff6"/>
          <w:rtl/>
        </w:rPr>
        <w:instrText xml:space="preserve"> </w:instrText>
      </w:r>
      <w:r w:rsidRPr="00C82DA4">
        <w:rPr>
          <w:rStyle w:val="aff6"/>
          <w:rFonts w:hint="cs"/>
        </w:rPr>
        <w:instrText>REF</w:instrText>
      </w:r>
      <w:r w:rsidRPr="00C82DA4">
        <w:rPr>
          <w:rStyle w:val="aff6"/>
          <w:rFonts w:hint="cs"/>
          <w:rtl/>
        </w:rPr>
        <w:instrText xml:space="preserve"> _</w:instrText>
      </w:r>
      <w:r w:rsidRPr="00C82DA4">
        <w:rPr>
          <w:rStyle w:val="aff6"/>
          <w:rFonts w:hint="cs"/>
        </w:rPr>
        <w:instrText>Ref529216262 \r \h</w:instrText>
      </w:r>
      <w:r w:rsidRPr="00C82DA4">
        <w:rPr>
          <w:rStyle w:val="aff6"/>
          <w:rtl/>
        </w:rPr>
        <w:instrText xml:space="preserve"> </w:instrText>
      </w:r>
      <w:r w:rsidRPr="00C82DA4">
        <w:rPr>
          <w:rStyle w:val="aff6"/>
          <w:rtl/>
        </w:rPr>
      </w:r>
      <w:r w:rsidRPr="00C82DA4">
        <w:rPr>
          <w:rStyle w:val="aff6"/>
          <w:rtl/>
        </w:rPr>
        <w:fldChar w:fldCharType="separate"/>
      </w:r>
      <w:r w:rsidR="00345400">
        <w:rPr>
          <w:rStyle w:val="aff6"/>
          <w:cs/>
        </w:rPr>
        <w:t>‎</w:t>
      </w:r>
      <w:r w:rsidR="00345400">
        <w:rPr>
          <w:rStyle w:val="aff6"/>
          <w:rtl/>
        </w:rPr>
        <w:t>נג)</w:t>
      </w:r>
      <w:r w:rsidRPr="00C82DA4">
        <w:rPr>
          <w:rStyle w:val="aff6"/>
          <w:rtl/>
        </w:rPr>
        <w:fldChar w:fldCharType="end"/>
      </w:r>
      <w:r w:rsidRPr="00C82DA4">
        <w:rPr>
          <w:rStyle w:val="afb"/>
          <w:rFonts w:hint="cs"/>
          <w:rtl/>
        </w:rPr>
        <w:t xml:space="preserve"> דכתב </w:t>
      </w:r>
      <w:r>
        <w:rPr>
          <w:rStyle w:val="afb"/>
          <w:rFonts w:hint="cs"/>
          <w:rtl/>
        </w:rPr>
        <w:t>כסברא זו לענין</w:t>
      </w:r>
      <w:r w:rsidRPr="00C82DA4">
        <w:rPr>
          <w:rStyle w:val="afb"/>
          <w:rFonts w:hint="cs"/>
          <w:rtl/>
        </w:rPr>
        <w:t xml:space="preserve"> רוב].</w:t>
      </w:r>
      <w:bookmarkEnd w:id="8824"/>
    </w:p>
    <w:p w14:paraId="18D36079" w14:textId="77777777" w:rsidR="00D95C52" w:rsidRPr="00124643" w:rsidRDefault="00D95C52" w:rsidP="00BF39B2">
      <w:pPr>
        <w:pStyle w:val="1"/>
        <w:rPr>
          <w:rtl/>
        </w:rPr>
      </w:pPr>
      <w:bookmarkStart w:id="8825" w:name="_Toc529704528"/>
      <w:bookmarkStart w:id="8826" w:name="_Toc529739001"/>
      <w:bookmarkStart w:id="8827" w:name="_Toc19390164"/>
      <w:bookmarkStart w:id="8828" w:name="_Toc19393661"/>
      <w:r w:rsidRPr="00124643">
        <w:rPr>
          <w:rFonts w:hint="cs"/>
          <w:rtl/>
        </w:rPr>
        <w:t xml:space="preserve">דברי השערי דורא </w:t>
      </w:r>
      <w:r>
        <w:rPr>
          <w:rFonts w:hint="cs"/>
          <w:rtl/>
        </w:rPr>
        <w:t>דע"י הרוב מתבררת החזקה</w:t>
      </w:r>
      <w:bookmarkEnd w:id="8692"/>
      <w:bookmarkEnd w:id="8693"/>
      <w:bookmarkEnd w:id="8825"/>
      <w:bookmarkEnd w:id="8826"/>
      <w:bookmarkEnd w:id="8827"/>
      <w:bookmarkEnd w:id="8828"/>
    </w:p>
    <w:p w14:paraId="0028C7CB" w14:textId="77777777" w:rsidR="00D95C52" w:rsidRPr="00870FB0" w:rsidRDefault="00D95C52" w:rsidP="006D6D32">
      <w:pPr>
        <w:pStyle w:val="a3"/>
        <w:rPr>
          <w:rtl/>
        </w:rPr>
      </w:pPr>
      <w:bookmarkStart w:id="8829" w:name="_Toc529352372"/>
      <w:bookmarkStart w:id="8830" w:name="_Toc529444986"/>
      <w:bookmarkStart w:id="8831" w:name="_Toc529704529"/>
      <w:bookmarkStart w:id="8832" w:name="_Toc529739002"/>
      <w:bookmarkStart w:id="8833" w:name="_Toc19390165"/>
      <w:bookmarkStart w:id="8834" w:name="_Toc19393662"/>
      <w:bookmarkStart w:id="8835" w:name="_Toc529352384"/>
      <w:bookmarkStart w:id="8836" w:name="_Toc529444998"/>
      <w:r w:rsidRPr="00870FB0">
        <w:rPr>
          <w:rFonts w:hint="cs"/>
          <w:rtl/>
        </w:rPr>
        <w:t xml:space="preserve">דברי השערי דורא בשם הרשב"ם </w:t>
      </w:r>
      <w:r>
        <w:rPr>
          <w:rFonts w:hint="cs"/>
          <w:rtl/>
        </w:rPr>
        <w:t>דיש רק חדא לריעותא</w:t>
      </w:r>
      <w:r w:rsidRPr="00870FB0">
        <w:rPr>
          <w:rFonts w:hint="cs"/>
          <w:rtl/>
        </w:rPr>
        <w:t xml:space="preserve"> </w:t>
      </w:r>
      <w:r>
        <w:rPr>
          <w:rFonts w:hint="cs"/>
          <w:rtl/>
        </w:rPr>
        <w:t>ו</w:t>
      </w:r>
      <w:r w:rsidRPr="00870FB0">
        <w:rPr>
          <w:rFonts w:hint="cs"/>
          <w:rtl/>
        </w:rPr>
        <w:t>הבהמה בחזקת הגוף שאינה טריפה</w:t>
      </w:r>
      <w:bookmarkEnd w:id="8829"/>
      <w:bookmarkEnd w:id="8830"/>
      <w:bookmarkEnd w:id="8831"/>
      <w:bookmarkEnd w:id="8832"/>
      <w:bookmarkEnd w:id="8833"/>
      <w:bookmarkEnd w:id="8834"/>
      <w:r>
        <w:rPr>
          <w:rFonts w:hint="cs"/>
          <w:rtl/>
        </w:rPr>
        <w:t xml:space="preserve"> </w:t>
      </w:r>
    </w:p>
    <w:p w14:paraId="37857550" w14:textId="77777777" w:rsidR="00D95C52" w:rsidRDefault="00D95C52" w:rsidP="00223668">
      <w:pPr>
        <w:pStyle w:val="a0"/>
        <w:rPr>
          <w:rtl/>
        </w:rPr>
      </w:pPr>
      <w:bookmarkStart w:id="8837" w:name="_Ref529379576"/>
      <w:r w:rsidRPr="00162357">
        <w:rPr>
          <w:rStyle w:val="af9"/>
          <w:rFonts w:hint="cs"/>
          <w:rtl/>
        </w:rPr>
        <w:t>ובשערי דורא</w:t>
      </w:r>
      <w:r w:rsidRPr="00162357">
        <w:rPr>
          <w:rFonts w:hint="cs"/>
          <w:rtl/>
        </w:rPr>
        <w:t xml:space="preserve"> </w:t>
      </w:r>
      <w:r w:rsidRPr="00162357">
        <w:rPr>
          <w:rStyle w:val="af7"/>
          <w:rFonts w:eastAsia="Guttman Hodes" w:hint="cs"/>
          <w:rtl/>
        </w:rPr>
        <w:t>(סי' פ"ד, הועתק בקובץ שיטות קמאי חולין ח"א עמ' רל"ג)</w:t>
      </w:r>
      <w:r w:rsidRPr="00162357">
        <w:rPr>
          <w:rFonts w:hint="cs"/>
          <w:rtl/>
        </w:rPr>
        <w:t xml:space="preserve"> כתב בשם </w:t>
      </w:r>
      <w:r w:rsidRPr="00162357">
        <w:rPr>
          <w:rStyle w:val="af9"/>
          <w:rFonts w:hint="cs"/>
          <w:rtl/>
        </w:rPr>
        <w:t>הרשב"ם והבה"ג</w:t>
      </w:r>
      <w:r w:rsidRPr="00162357">
        <w:rPr>
          <w:rFonts w:hint="cs"/>
          <w:rtl/>
        </w:rPr>
        <w:t xml:space="preserve"> </w:t>
      </w:r>
      <w:r w:rsidRPr="00162357">
        <w:rPr>
          <w:rStyle w:val="af7"/>
          <w:rFonts w:eastAsia="Guttman Hodes" w:hint="cs"/>
          <w:rtl/>
        </w:rPr>
        <w:t>(סי' ס"ז עמ' תרנ"ג ד"ה והיכא)</w:t>
      </w:r>
      <w:r w:rsidRPr="00162357">
        <w:rPr>
          <w:rFonts w:hint="cs"/>
          <w:rtl/>
        </w:rPr>
        <w:t xml:space="preserve"> דהגבינות שנחלבו בתוך ג' ימים לשחיטה אסורות, והגבינות שנחלבו לפני יותר מג' ימים מותרות, דקודם ג' ימים מעמידים את הבהמה בחזקת בריאה ואמרינן דעכשיו נטרפה, וכדאיתא בגמ' בנדה </w:t>
      </w:r>
      <w:r w:rsidRPr="00162357">
        <w:rPr>
          <w:rStyle w:val="af7"/>
          <w:rFonts w:eastAsia="Guttman Hodes" w:hint="cs"/>
          <w:rtl/>
        </w:rPr>
        <w:t xml:space="preserve">(ב:) </w:t>
      </w:r>
      <w:r w:rsidRPr="00162357">
        <w:rPr>
          <w:rFonts w:hint="cs"/>
          <w:rtl/>
        </w:rPr>
        <w:t>דבמקום שיש רק חדא לריעותא מעמידים בחזקת הגוף, וכיון שיש לה רק ריעותא אחת דטריפה לפניך, לכן מעמידים אותה בחזקת הגוף שהיא כשרה, ויש לה חזקת כשרות כיון שהייתה חיה כמה שנים.</w:t>
      </w:r>
      <w:bookmarkEnd w:id="8837"/>
    </w:p>
    <w:p w14:paraId="15F24B3E" w14:textId="77777777" w:rsidR="00C27C5A" w:rsidRPr="00C27C5A" w:rsidRDefault="00C27C5A" w:rsidP="006D6D32">
      <w:pPr>
        <w:pStyle w:val="a3"/>
        <w:rPr>
          <w:rtl/>
        </w:rPr>
      </w:pPr>
    </w:p>
    <w:p w14:paraId="0B3D4ED6" w14:textId="77777777" w:rsidR="00D95C52" w:rsidRPr="00124643" w:rsidRDefault="00D95C52" w:rsidP="006D6D32">
      <w:pPr>
        <w:pStyle w:val="a3"/>
        <w:rPr>
          <w:rtl/>
        </w:rPr>
      </w:pPr>
      <w:bookmarkStart w:id="8838" w:name="_Toc529704530"/>
      <w:bookmarkStart w:id="8839" w:name="_Toc529739003"/>
      <w:bookmarkStart w:id="8840" w:name="_Toc19390166"/>
      <w:bookmarkStart w:id="8841" w:name="_Toc19393663"/>
      <w:r w:rsidRPr="00124643">
        <w:rPr>
          <w:rFonts w:hint="cs"/>
          <w:rtl/>
        </w:rPr>
        <w:t>דברי השערי דורא דע"י הרוב חשיב שהחזקה נתבררה בשעתה</w:t>
      </w:r>
      <w:bookmarkEnd w:id="8835"/>
      <w:bookmarkEnd w:id="8836"/>
      <w:bookmarkEnd w:id="8838"/>
      <w:bookmarkEnd w:id="8839"/>
      <w:bookmarkEnd w:id="8840"/>
      <w:bookmarkEnd w:id="8841"/>
    </w:p>
    <w:p w14:paraId="4A061BE4" w14:textId="77777777" w:rsidR="00D95C52" w:rsidRDefault="00D95C52" w:rsidP="00223668">
      <w:pPr>
        <w:pStyle w:val="a0"/>
        <w:rPr>
          <w:rtl/>
        </w:rPr>
      </w:pPr>
      <w:r>
        <w:rPr>
          <w:rFonts w:hint="cs"/>
          <w:rtl/>
        </w:rPr>
        <w:t>ו</w:t>
      </w:r>
      <w:r w:rsidRPr="00934ACE">
        <w:rPr>
          <w:rFonts w:hint="cs"/>
          <w:rtl/>
        </w:rPr>
        <w:t xml:space="preserve">כתב </w:t>
      </w:r>
      <w:r w:rsidRPr="00934ACE">
        <w:rPr>
          <w:rStyle w:val="af9"/>
          <w:rFonts w:hint="cs"/>
          <w:rtl/>
        </w:rPr>
        <w:t>בשערי דורא</w:t>
      </w:r>
      <w:r w:rsidRPr="00934ACE">
        <w:rPr>
          <w:rFonts w:hint="cs"/>
          <w:rtl/>
        </w:rPr>
        <w:t xml:space="preserve"> </w:t>
      </w:r>
      <w:r w:rsidRPr="00934ACE">
        <w:rPr>
          <w:rStyle w:val="af7"/>
          <w:rFonts w:eastAsia="Guttman Hodes" w:hint="cs"/>
          <w:rtl/>
        </w:rPr>
        <w:t>(סי' פ"ד, הועתק בקובץ שיטות קמאי חולין ח"א עמ' רל"ג)</w:t>
      </w:r>
      <w:r w:rsidRPr="00934ACE">
        <w:rPr>
          <w:rFonts w:hint="cs"/>
          <w:rtl/>
        </w:rPr>
        <w:t xml:space="preserve"> דאין לומר כדכתבו </w:t>
      </w:r>
      <w:r w:rsidRPr="00934ACE">
        <w:rPr>
          <w:rStyle w:val="af9"/>
          <w:rFonts w:hint="cs"/>
          <w:rtl/>
        </w:rPr>
        <w:t>התוס'</w:t>
      </w:r>
      <w:r w:rsidRPr="00934ACE">
        <w:rPr>
          <w:rFonts w:hint="cs"/>
          <w:rtl/>
        </w:rPr>
        <w:t xml:space="preserve"> </w:t>
      </w:r>
      <w:r w:rsidRPr="00934ACE">
        <w:rPr>
          <w:rStyle w:val="af7"/>
          <w:rFonts w:eastAsia="Guttman Hodes" w:hint="cs"/>
          <w:rtl/>
        </w:rPr>
        <w:t xml:space="preserve">(עי' אות </w:t>
      </w:r>
      <w:r w:rsidRPr="00934ACE">
        <w:rPr>
          <w:rStyle w:val="af7"/>
          <w:rFonts w:eastAsia="Guttman Hodes"/>
          <w:rtl/>
        </w:rPr>
        <w:fldChar w:fldCharType="begin"/>
      </w:r>
      <w:r w:rsidRPr="00934ACE">
        <w:rPr>
          <w:rStyle w:val="af7"/>
          <w:rFonts w:eastAsia="Guttman Hodes"/>
          <w:rtl/>
        </w:rPr>
        <w:instrText xml:space="preserve"> </w:instrText>
      </w:r>
      <w:r w:rsidRPr="00934ACE">
        <w:rPr>
          <w:rStyle w:val="af7"/>
          <w:rFonts w:eastAsia="Guttman Hodes" w:hint="cs"/>
        </w:rPr>
        <w:instrText>REF</w:instrText>
      </w:r>
      <w:r w:rsidRPr="00934ACE">
        <w:rPr>
          <w:rStyle w:val="af7"/>
          <w:rFonts w:eastAsia="Guttman Hodes" w:hint="cs"/>
          <w:rtl/>
        </w:rPr>
        <w:instrText xml:space="preserve"> _</w:instrText>
      </w:r>
      <w:r w:rsidRPr="00934ACE">
        <w:rPr>
          <w:rStyle w:val="af7"/>
          <w:rFonts w:eastAsia="Guttman Hodes" w:hint="cs"/>
        </w:rPr>
        <w:instrText>Ref529090497 \r \h</w:instrText>
      </w:r>
      <w:r w:rsidRPr="00934ACE">
        <w:rPr>
          <w:rStyle w:val="af7"/>
          <w:rFonts w:eastAsia="Guttman Hodes"/>
          <w:rtl/>
        </w:rPr>
        <w:instrText xml:space="preserve">  \* </w:instrText>
      </w:r>
      <w:r w:rsidRPr="00934ACE">
        <w:rPr>
          <w:rStyle w:val="af7"/>
          <w:rFonts w:eastAsia="Guttman Hodes"/>
        </w:rPr>
        <w:instrText>MERGEFORMAT</w:instrText>
      </w:r>
      <w:r w:rsidRPr="00934ACE">
        <w:rPr>
          <w:rStyle w:val="af7"/>
          <w:rFonts w:eastAsia="Guttman Hodes"/>
          <w:rtl/>
        </w:rPr>
        <w:instrText xml:space="preserve"> </w:instrText>
      </w:r>
      <w:r w:rsidRPr="00934ACE">
        <w:rPr>
          <w:rStyle w:val="af7"/>
          <w:rFonts w:eastAsia="Guttman Hodes"/>
          <w:rtl/>
        </w:rPr>
      </w:r>
      <w:r w:rsidRPr="00934ACE">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934ACE">
        <w:rPr>
          <w:rStyle w:val="af7"/>
          <w:rFonts w:eastAsia="Guttman Hodes"/>
          <w:rtl/>
        </w:rPr>
        <w:fldChar w:fldCharType="end"/>
      </w:r>
      <w:r w:rsidRPr="00934ACE">
        <w:rPr>
          <w:rStyle w:val="af7"/>
          <w:rFonts w:eastAsia="Guttman Hodes" w:hint="cs"/>
          <w:rtl/>
        </w:rPr>
        <w:t xml:space="preserve"> </w:t>
      </w:r>
      <w:r w:rsidRPr="00934ACE">
        <w:rPr>
          <w:rFonts w:hint="cs"/>
          <w:rtl/>
        </w:rPr>
        <w:t>דכיון חזקה שלא נתבררה בשעתה אינה חזקה, לכן אין לבהמה חזקה, דהא יש לה חזקה ע"י הרוב, דמשעה שנולדה עד שנמצאת טריפה, הייתה בחזקת כשרות דאזלינן בתר הרוב שאינה טריפה, ולכן אף שעכשיו נתברר שבהמה זו היא מהמיעוט ואינה מהרוב, מ"מ מחמת הרוב חשיב שהחזקה נתבררה בשעתה, ומעמידים אותה על החזקת כשרות שהייתה לה עד עכשיו, ואמרינן דעכשיו נטרפה,</w:t>
      </w:r>
      <w:r>
        <w:rPr>
          <w:rFonts w:hint="cs"/>
          <w:rtl/>
        </w:rPr>
        <w:t xml:space="preserve"> וכ"כ </w:t>
      </w:r>
      <w:r w:rsidRPr="00F4656D">
        <w:rPr>
          <w:rStyle w:val="af9"/>
          <w:rFonts w:hint="cs"/>
          <w:rtl/>
        </w:rPr>
        <w:t>הסמ"ג</w:t>
      </w:r>
      <w:r w:rsidRPr="00C97CE9">
        <w:rPr>
          <w:rStyle w:val="af9"/>
          <w:rFonts w:hint="cs"/>
          <w:rtl/>
        </w:rPr>
        <w:t xml:space="preserve"> </w:t>
      </w:r>
      <w:r w:rsidRPr="00F4656D">
        <w:rPr>
          <w:rStyle w:val="af7"/>
          <w:rFonts w:eastAsia="Guttman Rashi" w:hint="cs"/>
          <w:rtl/>
        </w:rPr>
        <w:t>(לאוין סוף קמ"א,</w:t>
      </w:r>
      <w:r w:rsidRPr="00F4656D">
        <w:rPr>
          <w:rStyle w:val="af7"/>
          <w:rFonts w:eastAsia="Guttman Rashi"/>
          <w:rtl/>
        </w:rPr>
        <w:t xml:space="preserve"> </w:t>
      </w:r>
      <w:r w:rsidRPr="00F4656D">
        <w:rPr>
          <w:rStyle w:val="af7"/>
          <w:rFonts w:eastAsia="Guttman Rashi" w:hint="cs"/>
          <w:rtl/>
        </w:rPr>
        <w:t>הועתק</w:t>
      </w:r>
      <w:r w:rsidRPr="00F4656D">
        <w:rPr>
          <w:rStyle w:val="af7"/>
          <w:rFonts w:eastAsia="Guttman Rashi"/>
          <w:rtl/>
        </w:rPr>
        <w:t xml:space="preserve"> בקובץ שיטות קמאי חולין ח"א עמ' רכ"ט</w:t>
      </w:r>
      <w:r w:rsidRPr="00F4656D">
        <w:rPr>
          <w:rStyle w:val="af7"/>
          <w:rFonts w:eastAsia="Guttman Rashi" w:hint="cs"/>
          <w:rtl/>
        </w:rPr>
        <w:t>)</w:t>
      </w:r>
      <w:r w:rsidRPr="00B665EB">
        <w:rPr>
          <w:rStyle w:val="aff6"/>
          <w:rFonts w:hint="cs"/>
          <w:rtl/>
        </w:rPr>
        <w:t xml:space="preserve"> </w:t>
      </w:r>
      <w:r>
        <w:rPr>
          <w:rStyle w:val="af9"/>
          <w:rFonts w:hint="cs"/>
          <w:rtl/>
        </w:rPr>
        <w:t>וה</w:t>
      </w:r>
      <w:r w:rsidRPr="00934ACE">
        <w:rPr>
          <w:rStyle w:val="af9"/>
          <w:rFonts w:hint="cs"/>
          <w:rtl/>
        </w:rPr>
        <w:t>איסור והיתר הארוך</w:t>
      </w:r>
      <w:r w:rsidRPr="00934ACE">
        <w:rPr>
          <w:rFonts w:hint="cs"/>
          <w:rtl/>
        </w:rPr>
        <w:t xml:space="preserve"> </w:t>
      </w:r>
      <w:r w:rsidRPr="00934ACE">
        <w:rPr>
          <w:rStyle w:val="af7"/>
          <w:rFonts w:eastAsia="Guttman Hodes" w:hint="cs"/>
          <w:rtl/>
        </w:rPr>
        <w:t>(מ"ט ב')</w:t>
      </w:r>
      <w:r w:rsidRPr="00934ACE">
        <w:rPr>
          <w:rFonts w:hint="cs"/>
          <w:rtl/>
        </w:rPr>
        <w:t xml:space="preserve"> </w:t>
      </w:r>
      <w:r>
        <w:rPr>
          <w:rFonts w:hint="cs"/>
          <w:rtl/>
        </w:rPr>
        <w:t xml:space="preserve">בשם </w:t>
      </w:r>
      <w:r w:rsidRPr="00F4656D">
        <w:rPr>
          <w:rStyle w:val="af9"/>
          <w:rFonts w:hint="cs"/>
          <w:rtl/>
        </w:rPr>
        <w:t>רבינו יוסף</w:t>
      </w:r>
      <w:r>
        <w:rPr>
          <w:rFonts w:hint="cs"/>
          <w:rtl/>
        </w:rPr>
        <w:t xml:space="preserve"> דע"י הרוב מתבררת החזקה, וכתב</w:t>
      </w:r>
      <w:r w:rsidRPr="00934ACE">
        <w:rPr>
          <w:rFonts w:hint="cs"/>
          <w:rtl/>
        </w:rPr>
        <w:t xml:space="preserve"> </w:t>
      </w:r>
      <w:r w:rsidRPr="00934ACE">
        <w:rPr>
          <w:rStyle w:val="af9"/>
          <w:rFonts w:hint="cs"/>
          <w:rtl/>
        </w:rPr>
        <w:t>באיסור והיתר הארוך</w:t>
      </w:r>
      <w:r w:rsidRPr="00934ACE">
        <w:rPr>
          <w:rFonts w:hint="cs"/>
          <w:rtl/>
        </w:rPr>
        <w:t xml:space="preserve"> </w:t>
      </w:r>
      <w:r w:rsidRPr="00934ACE">
        <w:rPr>
          <w:rStyle w:val="af7"/>
          <w:rFonts w:eastAsia="Guttman Hodes" w:hint="cs"/>
          <w:rtl/>
        </w:rPr>
        <w:t>(מ"ט ב')</w:t>
      </w:r>
      <w:r w:rsidRPr="00934ACE">
        <w:rPr>
          <w:rFonts w:hint="cs"/>
          <w:rtl/>
        </w:rPr>
        <w:t xml:space="preserve"> </w:t>
      </w:r>
      <w:r>
        <w:rPr>
          <w:rFonts w:hint="cs"/>
          <w:rtl/>
        </w:rPr>
        <w:t>דזהו הביאור ב</w:t>
      </w:r>
      <w:r w:rsidRPr="00934ACE">
        <w:rPr>
          <w:rFonts w:hint="cs"/>
          <w:rtl/>
        </w:rPr>
        <w:t xml:space="preserve">דעת </w:t>
      </w:r>
      <w:r w:rsidRPr="00934ACE">
        <w:rPr>
          <w:rStyle w:val="af9"/>
          <w:rFonts w:hint="cs"/>
          <w:rtl/>
        </w:rPr>
        <w:t>הרא"ש</w:t>
      </w:r>
      <w:r w:rsidRPr="00934ACE">
        <w:rPr>
          <w:rFonts w:hint="cs"/>
          <w:rtl/>
        </w:rPr>
        <w:t xml:space="preserve"> </w:t>
      </w:r>
      <w:r w:rsidRPr="00934ACE">
        <w:rPr>
          <w:rStyle w:val="af7"/>
          <w:rFonts w:eastAsia="Guttman Hodes" w:hint="cs"/>
          <w:rtl/>
        </w:rPr>
        <w:t xml:space="preserve">(עי' אות </w:t>
      </w:r>
      <w:r w:rsidRPr="00934ACE">
        <w:rPr>
          <w:rStyle w:val="af7"/>
          <w:rFonts w:eastAsia="Guttman Hodes"/>
          <w:rtl/>
        </w:rPr>
        <w:fldChar w:fldCharType="begin"/>
      </w:r>
      <w:r w:rsidRPr="00934ACE">
        <w:rPr>
          <w:rStyle w:val="af7"/>
          <w:rFonts w:eastAsia="Guttman Hodes"/>
          <w:rtl/>
        </w:rPr>
        <w:instrText xml:space="preserve"> </w:instrText>
      </w:r>
      <w:r w:rsidRPr="00934ACE">
        <w:rPr>
          <w:rStyle w:val="af7"/>
          <w:rFonts w:eastAsia="Guttman Hodes" w:hint="cs"/>
        </w:rPr>
        <w:instrText>REF</w:instrText>
      </w:r>
      <w:r w:rsidRPr="00934ACE">
        <w:rPr>
          <w:rStyle w:val="af7"/>
          <w:rFonts w:eastAsia="Guttman Hodes" w:hint="cs"/>
          <w:rtl/>
        </w:rPr>
        <w:instrText xml:space="preserve"> _</w:instrText>
      </w:r>
      <w:r w:rsidRPr="00934ACE">
        <w:rPr>
          <w:rStyle w:val="af7"/>
          <w:rFonts w:eastAsia="Guttman Hodes" w:hint="cs"/>
        </w:rPr>
        <w:instrText>Ref522611646 \r \h</w:instrText>
      </w:r>
      <w:r w:rsidRPr="00934ACE">
        <w:rPr>
          <w:rStyle w:val="af7"/>
          <w:rFonts w:eastAsia="Guttman Hodes"/>
          <w:rtl/>
        </w:rPr>
        <w:instrText xml:space="preserve">  \* </w:instrText>
      </w:r>
      <w:r w:rsidRPr="00934ACE">
        <w:rPr>
          <w:rStyle w:val="af7"/>
          <w:rFonts w:eastAsia="Guttman Hodes"/>
        </w:rPr>
        <w:instrText>MERGEFORMAT</w:instrText>
      </w:r>
      <w:r w:rsidRPr="00934ACE">
        <w:rPr>
          <w:rStyle w:val="af7"/>
          <w:rFonts w:eastAsia="Guttman Hodes"/>
          <w:rtl/>
        </w:rPr>
        <w:instrText xml:space="preserve"> </w:instrText>
      </w:r>
      <w:r w:rsidRPr="00934ACE">
        <w:rPr>
          <w:rStyle w:val="af7"/>
          <w:rFonts w:eastAsia="Guttman Hodes"/>
          <w:rtl/>
        </w:rPr>
      </w:r>
      <w:r w:rsidRPr="00934ACE">
        <w:rPr>
          <w:rStyle w:val="af7"/>
          <w:rFonts w:eastAsia="Guttman Hodes"/>
          <w:rtl/>
        </w:rPr>
        <w:fldChar w:fldCharType="separate"/>
      </w:r>
      <w:r w:rsidR="00345400">
        <w:rPr>
          <w:rStyle w:val="af7"/>
          <w:rFonts w:eastAsia="Guttman Hodes"/>
          <w:cs/>
        </w:rPr>
        <w:t>‎</w:t>
      </w:r>
      <w:r w:rsidR="00345400">
        <w:rPr>
          <w:rStyle w:val="af7"/>
          <w:rFonts w:eastAsia="Guttman Hodes"/>
          <w:rtl/>
        </w:rPr>
        <w:t>טז)</w:t>
      </w:r>
      <w:r w:rsidRPr="00934ACE">
        <w:rPr>
          <w:rStyle w:val="af7"/>
          <w:rFonts w:eastAsia="Guttman Hodes"/>
          <w:rtl/>
        </w:rPr>
        <w:fldChar w:fldCharType="end"/>
      </w:r>
      <w:r w:rsidRPr="00934ACE">
        <w:rPr>
          <w:rFonts w:hint="cs"/>
          <w:rtl/>
        </w:rPr>
        <w:t>.</w:t>
      </w:r>
    </w:p>
    <w:p w14:paraId="6768E3D9" w14:textId="77777777" w:rsidR="00D95C52" w:rsidRDefault="00D95C52" w:rsidP="006D6D32">
      <w:pPr>
        <w:pStyle w:val="a3"/>
        <w:rPr>
          <w:rtl/>
        </w:rPr>
      </w:pPr>
      <w:bookmarkStart w:id="8842" w:name="_Toc529739004"/>
      <w:bookmarkStart w:id="8843" w:name="_Toc19390167"/>
      <w:bookmarkStart w:id="8844" w:name="_Toc19393664"/>
      <w:r>
        <w:rPr>
          <w:rFonts w:hint="cs"/>
          <w:rtl/>
        </w:rPr>
        <w:t>דברי השערי תורה והתורת יקותיאל דהשערי דורא ביאר דהרשב"ם התיר ע"י חזקה מכח רוב</w:t>
      </w:r>
      <w:bookmarkEnd w:id="8842"/>
      <w:bookmarkEnd w:id="8843"/>
      <w:bookmarkEnd w:id="8844"/>
    </w:p>
    <w:p w14:paraId="3DF9FCDC" w14:textId="77777777" w:rsidR="00D95C52" w:rsidRPr="00075DA6" w:rsidRDefault="00D95C52" w:rsidP="00223668">
      <w:pPr>
        <w:pStyle w:val="a0"/>
        <w:rPr>
          <w:rStyle w:val="afb"/>
          <w:rtl/>
        </w:rPr>
      </w:pPr>
      <w:bookmarkStart w:id="8845" w:name="_Ref529702639"/>
      <w:r w:rsidRPr="0005716F">
        <w:rPr>
          <w:rFonts w:hint="cs"/>
          <w:rtl/>
        </w:rPr>
        <w:t xml:space="preserve">וכתבו </w:t>
      </w:r>
      <w:r w:rsidRPr="00436225">
        <w:rPr>
          <w:rStyle w:val="af9"/>
          <w:rFonts w:hint="cs"/>
          <w:rtl/>
        </w:rPr>
        <w:t>השערי תורה</w:t>
      </w:r>
      <w:r w:rsidRPr="0005716F">
        <w:rPr>
          <w:rFonts w:hint="cs"/>
          <w:rtl/>
        </w:rPr>
        <w:t xml:space="preserve"> </w:t>
      </w:r>
      <w:r w:rsidRPr="0005716F">
        <w:rPr>
          <w:rStyle w:val="af7"/>
          <w:rFonts w:eastAsia="Guttman Hodes" w:hint="cs"/>
          <w:rtl/>
        </w:rPr>
        <w:t xml:space="preserve">(ענייני חזקות ח"ב כלל ל"ז אות י"ג ד"ה הרי להדיא) </w:t>
      </w:r>
      <w:r>
        <w:rPr>
          <w:rStyle w:val="af9"/>
          <w:rFonts w:hint="cs"/>
          <w:rtl/>
        </w:rPr>
        <w:t>וה</w:t>
      </w:r>
      <w:r w:rsidRPr="004B16E7">
        <w:rPr>
          <w:rStyle w:val="af9"/>
          <w:rFonts w:hint="cs"/>
          <w:rtl/>
        </w:rPr>
        <w:t>תורת יקותיאל</w:t>
      </w:r>
      <w:r>
        <w:rPr>
          <w:rFonts w:hint="cs"/>
          <w:rtl/>
        </w:rPr>
        <w:t xml:space="preserve"> </w:t>
      </w:r>
      <w:r w:rsidRPr="004B16E7">
        <w:rPr>
          <w:rStyle w:val="af7"/>
          <w:rFonts w:eastAsia="Guttman Hodes" w:hint="cs"/>
          <w:rtl/>
        </w:rPr>
        <w:t>(</w:t>
      </w:r>
      <w:r>
        <w:rPr>
          <w:rStyle w:val="af7"/>
          <w:rFonts w:eastAsia="Guttman Hodes" w:hint="cs"/>
          <w:rtl/>
        </w:rPr>
        <w:t xml:space="preserve">סי' </w:t>
      </w:r>
      <w:r w:rsidRPr="004B16E7">
        <w:rPr>
          <w:rStyle w:val="af7"/>
          <w:rFonts w:eastAsia="Guttman Hodes" w:hint="cs"/>
          <w:rtl/>
        </w:rPr>
        <w:t>פ"א ב' ד"ה</w:t>
      </w:r>
      <w:r>
        <w:rPr>
          <w:rStyle w:val="af7"/>
          <w:rFonts w:eastAsia="Guttman Hodes" w:hint="cs"/>
          <w:rtl/>
        </w:rPr>
        <w:t xml:space="preserve"> ד"ה </w:t>
      </w:r>
      <w:r w:rsidRPr="00945741">
        <w:rPr>
          <w:rStyle w:val="af7"/>
          <w:rFonts w:eastAsia="Guttman Hodes"/>
          <w:rtl/>
        </w:rPr>
        <w:t>ד"ה הנה הג"ה</w:t>
      </w:r>
      <w:r>
        <w:rPr>
          <w:rStyle w:val="af7"/>
          <w:rFonts w:eastAsia="Guttman Hodes" w:hint="cs"/>
          <w:rtl/>
        </w:rPr>
        <w:t xml:space="preserve">) </w:t>
      </w:r>
      <w:r w:rsidRPr="00945741">
        <w:rPr>
          <w:rStyle w:val="af9"/>
          <w:rFonts w:hint="cs"/>
          <w:rtl/>
        </w:rPr>
        <w:t>דהשערי דורא</w:t>
      </w:r>
      <w:r w:rsidRPr="0005716F">
        <w:rPr>
          <w:rFonts w:hint="cs"/>
          <w:rtl/>
        </w:rPr>
        <w:t xml:space="preserve"> ביאר בדעת </w:t>
      </w:r>
      <w:r w:rsidRPr="00945741">
        <w:rPr>
          <w:rStyle w:val="af9"/>
          <w:rFonts w:hint="cs"/>
          <w:rtl/>
        </w:rPr>
        <w:t>הרשב"ם</w:t>
      </w:r>
      <w:r w:rsidRPr="0005716F">
        <w:rPr>
          <w:rFonts w:hint="cs"/>
          <w:rtl/>
        </w:rPr>
        <w:t xml:space="preserve"> דההיתר הוא מדין חזקה מכח רוב</w:t>
      </w:r>
      <w:r>
        <w:rPr>
          <w:rFonts w:hint="cs"/>
          <w:rtl/>
        </w:rPr>
        <w:t xml:space="preserve">, וכ"כ </w:t>
      </w:r>
      <w:r w:rsidRPr="00436225">
        <w:rPr>
          <w:rStyle w:val="af9"/>
          <w:rFonts w:hint="cs"/>
          <w:rtl/>
        </w:rPr>
        <w:t>המהרי"ק</w:t>
      </w:r>
      <w:r>
        <w:rPr>
          <w:rFonts w:hint="cs"/>
          <w:rtl/>
        </w:rPr>
        <w:t xml:space="preserve"> </w:t>
      </w:r>
      <w:r w:rsidRPr="00436225">
        <w:rPr>
          <w:rStyle w:val="af7"/>
          <w:rFonts w:eastAsia="Guttman Hodes" w:hint="cs"/>
          <w:rtl/>
        </w:rPr>
        <w:t>(שו"ת חדשות ריש סי' כ"ד)</w:t>
      </w:r>
      <w:r w:rsidRPr="00B665EB">
        <w:rPr>
          <w:rStyle w:val="aff6"/>
          <w:rFonts w:hint="cs"/>
          <w:rtl/>
        </w:rPr>
        <w:t xml:space="preserve"> </w:t>
      </w:r>
      <w:r>
        <w:rPr>
          <w:rFonts w:hint="cs"/>
          <w:rtl/>
        </w:rPr>
        <w:t xml:space="preserve">בדעת </w:t>
      </w:r>
      <w:r w:rsidRPr="00436225">
        <w:rPr>
          <w:rStyle w:val="af9"/>
          <w:rFonts w:hint="cs"/>
          <w:rtl/>
        </w:rPr>
        <w:t>הסמ"ג</w:t>
      </w:r>
      <w:r>
        <w:rPr>
          <w:rStyle w:val="af9"/>
          <w:rFonts w:hint="cs"/>
          <w:rtl/>
        </w:rPr>
        <w:t xml:space="preserve"> </w:t>
      </w:r>
      <w:r w:rsidRPr="00436225">
        <w:rPr>
          <w:rStyle w:val="af7"/>
          <w:rFonts w:eastAsia="Guttman Hodes" w:hint="cs"/>
          <w:rtl/>
        </w:rPr>
        <w:t>(עי' הערה</w:t>
      </w:r>
      <w:r w:rsidRPr="00436225">
        <w:rPr>
          <w:vertAlign w:val="superscript"/>
          <w:rtl/>
        </w:rPr>
        <w:fldChar w:fldCharType="begin"/>
      </w:r>
      <w:r w:rsidRPr="00436225">
        <w:rPr>
          <w:vertAlign w:val="superscript"/>
          <w:rtl/>
        </w:rPr>
        <w:instrText xml:space="preserve"> </w:instrText>
      </w:r>
      <w:r w:rsidRPr="00436225">
        <w:rPr>
          <w:rFonts w:hint="cs"/>
          <w:vertAlign w:val="superscript"/>
        </w:rPr>
        <w:instrText>NOTEREF</w:instrText>
      </w:r>
      <w:r w:rsidRPr="00436225">
        <w:rPr>
          <w:rFonts w:hint="cs"/>
          <w:vertAlign w:val="superscript"/>
          <w:rtl/>
        </w:rPr>
        <w:instrText xml:space="preserve"> _</w:instrText>
      </w:r>
      <w:r w:rsidRPr="00436225">
        <w:rPr>
          <w:rFonts w:hint="cs"/>
          <w:vertAlign w:val="superscript"/>
        </w:rPr>
        <w:instrText>Ref529702433 \h</w:instrText>
      </w:r>
      <w:r w:rsidRPr="00436225">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36225">
        <w:rPr>
          <w:vertAlign w:val="superscript"/>
          <w:rtl/>
        </w:rPr>
      </w:r>
      <w:r w:rsidRPr="00436225">
        <w:rPr>
          <w:vertAlign w:val="superscript"/>
          <w:rtl/>
        </w:rPr>
        <w:fldChar w:fldCharType="separate"/>
      </w:r>
      <w:r w:rsidR="00345400">
        <w:rPr>
          <w:vertAlign w:val="superscript"/>
          <w:rtl/>
        </w:rPr>
        <w:t>62</w:t>
      </w:r>
      <w:r w:rsidRPr="00436225">
        <w:rPr>
          <w:vertAlign w:val="superscript"/>
          <w:rtl/>
        </w:rPr>
        <w:fldChar w:fldCharType="end"/>
      </w:r>
      <w:r w:rsidRPr="00436225">
        <w:rPr>
          <w:rStyle w:val="af7"/>
          <w:rFonts w:eastAsia="Guttman Hodes" w:hint="cs"/>
          <w:rtl/>
        </w:rPr>
        <w:t>)</w:t>
      </w:r>
      <w:r>
        <w:rPr>
          <w:rFonts w:hint="cs"/>
          <w:rtl/>
        </w:rPr>
        <w:t>.</w:t>
      </w:r>
      <w:r w:rsidRPr="0005716F">
        <w:rPr>
          <w:rFonts w:hint="cs"/>
          <w:rtl/>
        </w:rPr>
        <w:t xml:space="preserve"> </w:t>
      </w:r>
      <w:r w:rsidRPr="00075DA6">
        <w:rPr>
          <w:rStyle w:val="afb"/>
          <w:rFonts w:hint="cs"/>
          <w:rtl/>
        </w:rPr>
        <w:t xml:space="preserve">[ולא כמבואר </w:t>
      </w:r>
      <w:r w:rsidRPr="00436225">
        <w:rPr>
          <w:rStyle w:val="affa"/>
          <w:rFonts w:hint="cs"/>
          <w:rtl/>
        </w:rPr>
        <w:t>בספר התרומה</w:t>
      </w:r>
      <w:r w:rsidRPr="00075DA6">
        <w:rPr>
          <w:rStyle w:val="afb"/>
          <w:rFonts w:hint="cs"/>
          <w:rtl/>
        </w:rPr>
        <w:t xml:space="preserve"> </w:t>
      </w:r>
      <w:r w:rsidRPr="00436225">
        <w:rPr>
          <w:rStyle w:val="aff6"/>
          <w:rFonts w:hint="cs"/>
          <w:rtl/>
        </w:rPr>
        <w:t xml:space="preserve">(עי' אות </w:t>
      </w:r>
      <w:r w:rsidRPr="00436225">
        <w:rPr>
          <w:rStyle w:val="aff6"/>
          <w:rtl/>
        </w:rPr>
        <w:fldChar w:fldCharType="begin"/>
      </w:r>
      <w:r w:rsidRPr="00436225">
        <w:rPr>
          <w:rStyle w:val="aff6"/>
          <w:rtl/>
        </w:rPr>
        <w:instrText xml:space="preserve"> </w:instrText>
      </w:r>
      <w:r w:rsidRPr="00436225">
        <w:rPr>
          <w:rStyle w:val="aff6"/>
          <w:rFonts w:hint="cs"/>
        </w:rPr>
        <w:instrText>REF</w:instrText>
      </w:r>
      <w:r w:rsidRPr="00436225">
        <w:rPr>
          <w:rStyle w:val="aff6"/>
          <w:rFonts w:hint="cs"/>
          <w:rtl/>
        </w:rPr>
        <w:instrText xml:space="preserve"> _</w:instrText>
      </w:r>
      <w:r w:rsidRPr="00436225">
        <w:rPr>
          <w:rStyle w:val="aff6"/>
          <w:rFonts w:hint="cs"/>
        </w:rPr>
        <w:instrText>Ref529702488 \r \h</w:instrText>
      </w:r>
      <w:r w:rsidRPr="00436225">
        <w:rPr>
          <w:rStyle w:val="aff6"/>
          <w:rtl/>
        </w:rPr>
        <w:instrText xml:space="preserve"> </w:instrText>
      </w:r>
      <w:r w:rsidRPr="00436225">
        <w:rPr>
          <w:rStyle w:val="aff6"/>
          <w:rtl/>
        </w:rPr>
      </w:r>
      <w:r w:rsidRPr="00436225">
        <w:rPr>
          <w:rStyle w:val="aff6"/>
          <w:rtl/>
        </w:rPr>
        <w:fldChar w:fldCharType="separate"/>
      </w:r>
      <w:r w:rsidR="00345400">
        <w:rPr>
          <w:rStyle w:val="aff6"/>
          <w:cs/>
        </w:rPr>
        <w:t>‎</w:t>
      </w:r>
      <w:r w:rsidR="00345400">
        <w:rPr>
          <w:rStyle w:val="aff6"/>
          <w:rtl/>
        </w:rPr>
        <w:t>מה)</w:t>
      </w:r>
      <w:r w:rsidRPr="00436225">
        <w:rPr>
          <w:rStyle w:val="aff6"/>
          <w:rtl/>
        </w:rPr>
        <w:fldChar w:fldCharType="end"/>
      </w:r>
      <w:r w:rsidRPr="00075DA6">
        <w:rPr>
          <w:rStyle w:val="afb"/>
          <w:rFonts w:hint="cs"/>
          <w:rtl/>
        </w:rPr>
        <w:t xml:space="preserve">, דס"ל </w:t>
      </w:r>
      <w:r w:rsidRPr="00436225">
        <w:rPr>
          <w:rStyle w:val="affa"/>
          <w:rFonts w:hint="cs"/>
          <w:rtl/>
        </w:rPr>
        <w:t>לרשב"ם</w:t>
      </w:r>
      <w:r w:rsidRPr="00075DA6">
        <w:rPr>
          <w:rStyle w:val="afb"/>
          <w:rFonts w:hint="cs"/>
          <w:rtl/>
        </w:rPr>
        <w:t xml:space="preserve"> דאזלינן בתר חזקה שלא נתבררה בשעתה].</w:t>
      </w:r>
      <w:bookmarkEnd w:id="8845"/>
    </w:p>
    <w:p w14:paraId="3A665585" w14:textId="77777777" w:rsidR="00D95C52" w:rsidRDefault="00D95C52" w:rsidP="00BF39B2">
      <w:pPr>
        <w:pStyle w:val="1"/>
        <w:rPr>
          <w:rtl/>
        </w:rPr>
      </w:pPr>
      <w:bookmarkStart w:id="8846" w:name="_Toc529352385"/>
      <w:bookmarkStart w:id="8847" w:name="_Toc529444999"/>
      <w:bookmarkStart w:id="8848" w:name="_Toc529704531"/>
      <w:bookmarkStart w:id="8849" w:name="_Toc529739005"/>
      <w:bookmarkStart w:id="8850" w:name="_Toc19390168"/>
      <w:bookmarkStart w:id="8851" w:name="_Toc19393665"/>
      <w:r>
        <w:rPr>
          <w:rFonts w:hint="cs"/>
          <w:rtl/>
        </w:rPr>
        <w:t>דעת הר"א משנץ והתור"פ דמעמידים את הרוב עד הריעותא</w:t>
      </w:r>
      <w:bookmarkEnd w:id="8846"/>
      <w:bookmarkEnd w:id="8847"/>
      <w:bookmarkEnd w:id="8848"/>
      <w:bookmarkEnd w:id="8849"/>
      <w:bookmarkEnd w:id="8850"/>
      <w:bookmarkEnd w:id="8851"/>
    </w:p>
    <w:p w14:paraId="02EBA1BE" w14:textId="77777777" w:rsidR="00D95C52" w:rsidRPr="00A22826" w:rsidRDefault="00D95C52" w:rsidP="006D6D32">
      <w:pPr>
        <w:pStyle w:val="a3"/>
        <w:rPr>
          <w:rtl/>
        </w:rPr>
      </w:pPr>
      <w:bookmarkStart w:id="8852" w:name="_Toc529739006"/>
      <w:bookmarkStart w:id="8853" w:name="_Toc19390169"/>
      <w:bookmarkStart w:id="8854" w:name="_Toc19393666"/>
      <w:r>
        <w:rPr>
          <w:rFonts w:hint="cs"/>
          <w:rtl/>
        </w:rPr>
        <w:t>דברי הר"א משנץ דע"י הרוב עצמו אמרינן דהייתה בכלל הרוב ורק עכשיו נטרפה</w:t>
      </w:r>
      <w:bookmarkEnd w:id="8852"/>
      <w:bookmarkEnd w:id="8853"/>
      <w:bookmarkEnd w:id="8854"/>
    </w:p>
    <w:p w14:paraId="24A8A202" w14:textId="77777777" w:rsidR="00D95C52" w:rsidRDefault="00D95C52" w:rsidP="00223668">
      <w:pPr>
        <w:pStyle w:val="a0"/>
        <w:rPr>
          <w:rtl/>
        </w:rPr>
      </w:pPr>
      <w:bookmarkStart w:id="8855" w:name="_Ref529216262"/>
      <w:r w:rsidRPr="007F69B4">
        <w:rPr>
          <w:rFonts w:hint="cs"/>
          <w:rtl/>
        </w:rPr>
        <w:t>כתב</w:t>
      </w:r>
      <w:r w:rsidRPr="007F69B4">
        <w:rPr>
          <w:rStyle w:val="af9"/>
          <w:rFonts w:hint="cs"/>
          <w:rtl/>
        </w:rPr>
        <w:t xml:space="preserve"> </w:t>
      </w:r>
      <w:r>
        <w:rPr>
          <w:rStyle w:val="af9"/>
          <w:rFonts w:hint="cs"/>
          <w:rtl/>
        </w:rPr>
        <w:t>ה</w:t>
      </w:r>
      <w:r w:rsidRPr="007F69B4">
        <w:rPr>
          <w:rStyle w:val="af9"/>
          <w:rFonts w:hint="cs"/>
          <w:rtl/>
        </w:rPr>
        <w:t>שיטמ"ק</w:t>
      </w:r>
      <w:r w:rsidRPr="007F69B4">
        <w:rPr>
          <w:rFonts w:hint="cs"/>
          <w:rtl/>
        </w:rPr>
        <w:t xml:space="preserve"> </w:t>
      </w:r>
      <w:r w:rsidRPr="007F69B4">
        <w:rPr>
          <w:rStyle w:val="af7"/>
          <w:rFonts w:eastAsia="Guttman Hodes" w:hint="cs"/>
          <w:rtl/>
        </w:rPr>
        <w:t xml:space="preserve">(ד"ה </w:t>
      </w:r>
      <w:r>
        <w:rPr>
          <w:rStyle w:val="af7"/>
          <w:rFonts w:eastAsia="Guttman Hodes" w:hint="cs"/>
          <w:rtl/>
        </w:rPr>
        <w:t>וה"ר אליעזר</w:t>
      </w:r>
      <w:r w:rsidRPr="007F69B4">
        <w:rPr>
          <w:rStyle w:val="af7"/>
          <w:rFonts w:eastAsia="Guttman Hodes" w:hint="cs"/>
          <w:rtl/>
        </w:rPr>
        <w:t xml:space="preserve">) </w:t>
      </w:r>
      <w:r w:rsidRPr="007F69B4">
        <w:rPr>
          <w:rFonts w:hint="cs"/>
          <w:rtl/>
        </w:rPr>
        <w:t xml:space="preserve">בשם </w:t>
      </w:r>
      <w:r>
        <w:rPr>
          <w:rStyle w:val="af9"/>
          <w:rFonts w:hint="cs"/>
          <w:rtl/>
        </w:rPr>
        <w:t>רבינו אליעזר</w:t>
      </w:r>
      <w:r w:rsidRPr="007F69B4">
        <w:rPr>
          <w:rStyle w:val="af9"/>
          <w:rFonts w:hint="cs"/>
          <w:rtl/>
        </w:rPr>
        <w:t xml:space="preserve"> משנץ</w:t>
      </w:r>
      <w:r w:rsidRPr="007F69B4">
        <w:rPr>
          <w:rFonts w:hint="cs"/>
          <w:rtl/>
        </w:rPr>
        <w:t xml:space="preserve"> ד</w:t>
      </w:r>
      <w:r>
        <w:rPr>
          <w:rFonts w:hint="cs"/>
          <w:rtl/>
        </w:rPr>
        <w:t xml:space="preserve">אף שהבהמה היא ודאי טריפה </w:t>
      </w:r>
      <w:r w:rsidRPr="007F69B4">
        <w:rPr>
          <w:rFonts w:hint="cs"/>
          <w:rtl/>
        </w:rPr>
        <w:t xml:space="preserve">הגבינות מותרות </w:t>
      </w:r>
      <w:r>
        <w:rPr>
          <w:rFonts w:hint="cs"/>
          <w:rtl/>
        </w:rPr>
        <w:t xml:space="preserve">דכיון שעד שנמצא טריפה הייתה מותרת מדין רוב, ועכשיו נולדה בה ריעותא שנמצאת טריפה, ודמי לגמ' בנדה </w:t>
      </w:r>
      <w:r w:rsidRPr="00E655AA">
        <w:rPr>
          <w:rStyle w:val="af7"/>
          <w:rFonts w:eastAsia="Guttman Hodes" w:hint="cs"/>
          <w:rtl/>
        </w:rPr>
        <w:t>(ב:)</w:t>
      </w:r>
      <w:r>
        <w:rPr>
          <w:rFonts w:hint="cs"/>
          <w:rtl/>
        </w:rPr>
        <w:t xml:space="preserve"> במקוה שנמדד ונמצא חסר, </w:t>
      </w:r>
      <w:r w:rsidRPr="00435388">
        <w:rPr>
          <w:rtl/>
        </w:rPr>
        <w:t>דהזכירה הגמ' דהעמד את המקוה בחזקת שלם,</w:t>
      </w:r>
      <w:r>
        <w:rPr>
          <w:rFonts w:hint="cs"/>
          <w:rtl/>
        </w:rPr>
        <w:t xml:space="preserve"> </w:t>
      </w:r>
      <w:r w:rsidRPr="00435388">
        <w:rPr>
          <w:rStyle w:val="afb"/>
          <w:rtl/>
        </w:rPr>
        <w:t>[לפני מסקנת הגמ' דע"י החזקת הטמא יש תרתי לריעותא],</w:t>
      </w:r>
      <w:r>
        <w:rPr>
          <w:rStyle w:val="afb"/>
          <w:rFonts w:hint="cs"/>
          <w:rtl/>
        </w:rPr>
        <w:t xml:space="preserve"> </w:t>
      </w:r>
      <w:r>
        <w:rPr>
          <w:rFonts w:hint="cs"/>
          <w:rtl/>
        </w:rPr>
        <w:t>ומכח החזקה דמעיקרא מטהרין את כל הטהרות שנעשו על גביו, ואף שעכשיו הוא חסר והורעה חזקתו, מ"מ מעמידים אותו על החזקה  שהייתה לו עד שנמצא חסר, וכן בנדה מעמידים אותה בחזקת טהרה עד השעה שראתה.</w:t>
      </w:r>
      <w:bookmarkEnd w:id="8855"/>
    </w:p>
    <w:p w14:paraId="745BF21B" w14:textId="77777777" w:rsidR="00D95C52" w:rsidRPr="00713CF5" w:rsidRDefault="00D95C52" w:rsidP="006D6D32">
      <w:pPr>
        <w:pStyle w:val="a3"/>
      </w:pPr>
      <w:bookmarkStart w:id="8856" w:name="_Toc529352386"/>
      <w:bookmarkStart w:id="8857" w:name="_Toc529445000"/>
      <w:bookmarkStart w:id="8858" w:name="_Toc529704532"/>
      <w:bookmarkStart w:id="8859" w:name="_Toc529739007"/>
      <w:bookmarkStart w:id="8860" w:name="_Toc19390170"/>
      <w:bookmarkStart w:id="8861" w:name="_Toc19393667"/>
      <w:r w:rsidRPr="00124643">
        <w:rPr>
          <w:rFonts w:hint="cs"/>
          <w:rtl/>
        </w:rPr>
        <w:t>דברי הר"א משנץ דכיון דבחזקה דמעיקרא אמרינן שעכשיו נעשית הריעותא כ"ש ברוב</w:t>
      </w:r>
      <w:bookmarkEnd w:id="8856"/>
      <w:bookmarkEnd w:id="8857"/>
      <w:bookmarkEnd w:id="8858"/>
      <w:bookmarkEnd w:id="8859"/>
      <w:bookmarkEnd w:id="8860"/>
      <w:bookmarkEnd w:id="8861"/>
    </w:p>
    <w:p w14:paraId="0663DC50" w14:textId="77777777" w:rsidR="00D95C52" w:rsidRPr="0056604D" w:rsidRDefault="00D95C52" w:rsidP="00223668">
      <w:pPr>
        <w:pStyle w:val="a0"/>
        <w:rPr>
          <w:rtl/>
        </w:rPr>
      </w:pPr>
      <w:bookmarkStart w:id="8862" w:name="_Ref529351743"/>
      <w:r>
        <w:rPr>
          <w:rFonts w:hint="cs"/>
          <w:rtl/>
        </w:rPr>
        <w:t xml:space="preserve">וכתב </w:t>
      </w:r>
      <w:r w:rsidRPr="00E655AA">
        <w:rPr>
          <w:rStyle w:val="af9"/>
          <w:rFonts w:hint="cs"/>
          <w:rtl/>
        </w:rPr>
        <w:t>השיטמ"ק</w:t>
      </w:r>
      <w:r>
        <w:rPr>
          <w:rFonts w:hint="cs"/>
          <w:rtl/>
        </w:rPr>
        <w:t xml:space="preserve"> בשם </w:t>
      </w:r>
      <w:r w:rsidRPr="00E655AA">
        <w:rPr>
          <w:rStyle w:val="af9"/>
          <w:rFonts w:hint="cs"/>
          <w:rtl/>
        </w:rPr>
        <w:t>הר"א משנץ</w:t>
      </w:r>
      <w:r>
        <w:rPr>
          <w:rFonts w:hint="cs"/>
          <w:rtl/>
        </w:rPr>
        <w:t xml:space="preserve"> דכיון דמצינו בחזקה דאף שיש בה ריעותא מעמידים על החזקה עד הזמן שנמצאת הריעותא, </w:t>
      </w:r>
      <w:r w:rsidRPr="007F69B4">
        <w:rPr>
          <w:rFonts w:hint="cs"/>
          <w:rtl/>
        </w:rPr>
        <w:t>א"כ כ"ש ברוב שעדיף מחזקה, דאמרינן דעד שנמצאת שהיא טריפה הייתה בכלל הרוב</w:t>
      </w:r>
      <w:r>
        <w:rPr>
          <w:rFonts w:hint="cs"/>
          <w:rtl/>
        </w:rPr>
        <w:t>, והשתא הוא דנטרפה</w:t>
      </w:r>
      <w:r w:rsidRPr="007F69B4">
        <w:rPr>
          <w:rFonts w:hint="cs"/>
          <w:rtl/>
        </w:rPr>
        <w:t>.</w:t>
      </w:r>
      <w:r>
        <w:rPr>
          <w:rFonts w:hint="cs"/>
          <w:rtl/>
        </w:rPr>
        <w:t xml:space="preserve"> </w:t>
      </w:r>
      <w:r w:rsidRPr="00C82DA4">
        <w:rPr>
          <w:rStyle w:val="afb"/>
          <w:rFonts w:hint="cs"/>
          <w:rtl/>
        </w:rPr>
        <w:t xml:space="preserve">[וע"ע בדברי </w:t>
      </w:r>
      <w:r w:rsidRPr="00C82DA4">
        <w:rPr>
          <w:rStyle w:val="affa"/>
          <w:rFonts w:hint="cs"/>
          <w:rtl/>
        </w:rPr>
        <w:t>התרומה והרוקח</w:t>
      </w:r>
      <w:r w:rsidRPr="00C82DA4">
        <w:rPr>
          <w:rStyle w:val="afb"/>
          <w:rFonts w:hint="cs"/>
          <w:rtl/>
        </w:rPr>
        <w:t xml:space="preserve"> </w:t>
      </w:r>
      <w:r w:rsidRPr="00C82DA4">
        <w:rPr>
          <w:rStyle w:val="aff6"/>
          <w:rFonts w:hint="cs"/>
          <w:rtl/>
        </w:rPr>
        <w:t xml:space="preserve">(עי' אות </w:t>
      </w:r>
      <w:r w:rsidRPr="00C82DA4">
        <w:rPr>
          <w:rStyle w:val="aff6"/>
          <w:rtl/>
        </w:rPr>
        <w:fldChar w:fldCharType="begin"/>
      </w:r>
      <w:r w:rsidRPr="00C82DA4">
        <w:rPr>
          <w:rStyle w:val="aff6"/>
          <w:rtl/>
        </w:rPr>
        <w:instrText xml:space="preserve"> </w:instrText>
      </w:r>
      <w:r w:rsidRPr="00C82DA4">
        <w:rPr>
          <w:rStyle w:val="aff6"/>
          <w:rFonts w:hint="cs"/>
        </w:rPr>
        <w:instrText>REF</w:instrText>
      </w:r>
      <w:r w:rsidRPr="00C82DA4">
        <w:rPr>
          <w:rStyle w:val="aff6"/>
          <w:rFonts w:hint="cs"/>
          <w:rtl/>
        </w:rPr>
        <w:instrText xml:space="preserve"> _</w:instrText>
      </w:r>
      <w:r w:rsidRPr="00C82DA4">
        <w:rPr>
          <w:rStyle w:val="aff6"/>
          <w:rFonts w:hint="cs"/>
        </w:rPr>
        <w:instrText>Ref529216339 \r \h</w:instrText>
      </w:r>
      <w:r w:rsidRPr="00C82DA4">
        <w:rPr>
          <w:rStyle w:val="aff6"/>
          <w:rtl/>
        </w:rPr>
        <w:instrText xml:space="preserve"> </w:instrText>
      </w:r>
      <w:r w:rsidRPr="00C82DA4">
        <w:rPr>
          <w:rStyle w:val="aff6"/>
          <w:rtl/>
        </w:rPr>
      </w:r>
      <w:r w:rsidRPr="00C82DA4">
        <w:rPr>
          <w:rStyle w:val="aff6"/>
          <w:rtl/>
        </w:rPr>
        <w:fldChar w:fldCharType="separate"/>
      </w:r>
      <w:r w:rsidR="00345400">
        <w:rPr>
          <w:rStyle w:val="aff6"/>
          <w:cs/>
        </w:rPr>
        <w:t>‎</w:t>
      </w:r>
      <w:r w:rsidR="00345400">
        <w:rPr>
          <w:rStyle w:val="aff6"/>
          <w:rtl/>
        </w:rPr>
        <w:t>מט)</w:t>
      </w:r>
      <w:r w:rsidRPr="00C82DA4">
        <w:rPr>
          <w:rStyle w:val="aff6"/>
          <w:rtl/>
        </w:rPr>
        <w:fldChar w:fldCharType="end"/>
      </w:r>
      <w:r w:rsidRPr="00C82DA4">
        <w:rPr>
          <w:rStyle w:val="afb"/>
          <w:rFonts w:hint="cs"/>
          <w:rtl/>
        </w:rPr>
        <w:t xml:space="preserve"> דכתבו </w:t>
      </w:r>
      <w:r>
        <w:rPr>
          <w:rStyle w:val="afb"/>
          <w:rFonts w:hint="cs"/>
          <w:rtl/>
        </w:rPr>
        <w:t>כסברא זו לענין</w:t>
      </w:r>
      <w:r w:rsidRPr="00C82DA4">
        <w:rPr>
          <w:rStyle w:val="afb"/>
          <w:rFonts w:hint="cs"/>
          <w:rtl/>
        </w:rPr>
        <w:t xml:space="preserve"> חזקה]</w:t>
      </w:r>
      <w:bookmarkEnd w:id="8862"/>
      <w:r>
        <w:rPr>
          <w:rFonts w:hint="cs"/>
          <w:rtl/>
        </w:rPr>
        <w:t xml:space="preserve">, </w:t>
      </w:r>
      <w:r w:rsidRPr="0056604D">
        <w:rPr>
          <w:rtl/>
        </w:rPr>
        <w:t>ו</w:t>
      </w:r>
      <w:r>
        <w:rPr>
          <w:rFonts w:hint="cs"/>
          <w:rtl/>
        </w:rPr>
        <w:t>עמ"ש בזה</w:t>
      </w:r>
      <w:r w:rsidRPr="0056604D">
        <w:rPr>
          <w:rtl/>
        </w:rPr>
        <w:t xml:space="preserve"> </w:t>
      </w:r>
      <w:r w:rsidRPr="0056604D">
        <w:rPr>
          <w:rStyle w:val="af9"/>
          <w:rtl/>
        </w:rPr>
        <w:t>בשיעורי הגר"י מפונביז'</w:t>
      </w:r>
      <w:r>
        <w:rPr>
          <w:rFonts w:hint="cs"/>
          <w:rtl/>
        </w:rPr>
        <w:t xml:space="preserve"> </w:t>
      </w:r>
      <w:r w:rsidRPr="0056604D">
        <w:rPr>
          <w:rStyle w:val="af7"/>
          <w:rFonts w:eastAsia="Guttman Hodes" w:hint="cs"/>
          <w:rtl/>
        </w:rPr>
        <w:t xml:space="preserve">(עי' אות </w:t>
      </w:r>
      <w:r w:rsidRPr="0056604D">
        <w:rPr>
          <w:rStyle w:val="af7"/>
          <w:rFonts w:eastAsia="Guttman Hodes"/>
          <w:rtl/>
        </w:rPr>
        <w:fldChar w:fldCharType="begin"/>
      </w:r>
      <w:r w:rsidRPr="0056604D">
        <w:rPr>
          <w:rStyle w:val="af7"/>
          <w:rFonts w:eastAsia="Guttman Hodes"/>
          <w:rtl/>
        </w:rPr>
        <w:instrText xml:space="preserve"> </w:instrText>
      </w:r>
      <w:r w:rsidRPr="0056604D">
        <w:rPr>
          <w:rStyle w:val="af7"/>
          <w:rFonts w:eastAsia="Guttman Hodes" w:hint="cs"/>
        </w:rPr>
        <w:instrText>REF</w:instrText>
      </w:r>
      <w:r w:rsidRPr="0056604D">
        <w:rPr>
          <w:rStyle w:val="af7"/>
          <w:rFonts w:eastAsia="Guttman Hodes" w:hint="cs"/>
          <w:rtl/>
        </w:rPr>
        <w:instrText xml:space="preserve"> _</w:instrText>
      </w:r>
      <w:r w:rsidRPr="0056604D">
        <w:rPr>
          <w:rStyle w:val="af7"/>
          <w:rFonts w:eastAsia="Guttman Hodes" w:hint="cs"/>
        </w:rPr>
        <w:instrText>Ref529351967 \r \h</w:instrText>
      </w:r>
      <w:r w:rsidRPr="0056604D">
        <w:rPr>
          <w:rStyle w:val="af7"/>
          <w:rFonts w:eastAsia="Guttman Hodes"/>
          <w:rtl/>
        </w:rPr>
        <w:instrText xml:space="preserve"> </w:instrText>
      </w:r>
      <w:r w:rsidRPr="0056604D">
        <w:rPr>
          <w:rStyle w:val="af7"/>
          <w:rFonts w:eastAsia="Guttman Hodes"/>
          <w:rtl/>
        </w:rPr>
      </w:r>
      <w:r w:rsidRPr="0056604D">
        <w:rPr>
          <w:rStyle w:val="af7"/>
          <w:rFonts w:eastAsia="Guttman Hodes"/>
          <w:rtl/>
        </w:rPr>
        <w:fldChar w:fldCharType="separate"/>
      </w:r>
      <w:r w:rsidR="00345400">
        <w:rPr>
          <w:rStyle w:val="af7"/>
          <w:rFonts w:eastAsia="Guttman Hodes"/>
          <w:cs/>
        </w:rPr>
        <w:t>‎</w:t>
      </w:r>
      <w:r w:rsidR="00345400">
        <w:rPr>
          <w:rStyle w:val="af7"/>
          <w:rFonts w:eastAsia="Guttman Hodes"/>
          <w:rtl/>
        </w:rPr>
        <w:t>קיט)</w:t>
      </w:r>
      <w:r w:rsidRPr="0056604D">
        <w:rPr>
          <w:rStyle w:val="af7"/>
          <w:rFonts w:eastAsia="Guttman Hodes"/>
          <w:rtl/>
        </w:rPr>
        <w:fldChar w:fldCharType="end"/>
      </w:r>
      <w:r>
        <w:rPr>
          <w:rFonts w:hint="cs"/>
          <w:rtl/>
        </w:rPr>
        <w:t>.</w:t>
      </w:r>
    </w:p>
    <w:p w14:paraId="4007AF1F" w14:textId="77777777" w:rsidR="00D95C52" w:rsidRPr="00275182" w:rsidRDefault="00D95C52" w:rsidP="006D6D32">
      <w:pPr>
        <w:pStyle w:val="a3"/>
        <w:rPr>
          <w:rtl/>
        </w:rPr>
      </w:pPr>
      <w:bookmarkStart w:id="8863" w:name="_Toc529352387"/>
      <w:bookmarkStart w:id="8864" w:name="_Toc529445001"/>
      <w:bookmarkStart w:id="8865" w:name="_Toc529704533"/>
      <w:bookmarkStart w:id="8866" w:name="_Toc529739008"/>
      <w:bookmarkStart w:id="8867" w:name="_Toc19390171"/>
      <w:bookmarkStart w:id="8868" w:name="_Toc19393668"/>
      <w:r w:rsidRPr="00275182">
        <w:rPr>
          <w:rFonts w:hint="cs"/>
          <w:rtl/>
        </w:rPr>
        <w:t>דברי רבינו פרץ דרוב דמי לחזקה המבוררת</w:t>
      </w:r>
      <w:r>
        <w:rPr>
          <w:rFonts w:hint="cs"/>
          <w:rtl/>
        </w:rPr>
        <w:t xml:space="preserve"> דמעמידים ברוב עד שעת הריעותא</w:t>
      </w:r>
      <w:bookmarkEnd w:id="8863"/>
      <w:bookmarkEnd w:id="8864"/>
      <w:bookmarkEnd w:id="8865"/>
      <w:bookmarkEnd w:id="8866"/>
      <w:bookmarkEnd w:id="8867"/>
      <w:bookmarkEnd w:id="8868"/>
    </w:p>
    <w:p w14:paraId="01D60BBC" w14:textId="77777777" w:rsidR="00D95C52" w:rsidRDefault="00D95C52" w:rsidP="00223668">
      <w:pPr>
        <w:pStyle w:val="a0"/>
        <w:rPr>
          <w:rtl/>
        </w:rPr>
      </w:pPr>
      <w:bookmarkStart w:id="8869" w:name="_Ref529351750"/>
      <w:bookmarkStart w:id="8870" w:name="_Ref529702799"/>
      <w:r>
        <w:rPr>
          <w:rFonts w:hint="cs"/>
          <w:rtl/>
        </w:rPr>
        <w:t>וכ</w:t>
      </w:r>
      <w:r w:rsidRPr="00575E95">
        <w:rPr>
          <w:rFonts w:hint="cs"/>
          <w:rtl/>
        </w:rPr>
        <w:t>"כ</w:t>
      </w:r>
      <w:r w:rsidRPr="00575E95">
        <w:rPr>
          <w:rStyle w:val="af9"/>
          <w:rFonts w:hint="cs"/>
          <w:rtl/>
        </w:rPr>
        <w:t xml:space="preserve"> בהג' שערי דורא</w:t>
      </w:r>
      <w:r w:rsidRPr="00575E95">
        <w:rPr>
          <w:rFonts w:hint="cs"/>
          <w:rtl/>
        </w:rPr>
        <w:t xml:space="preserve"> </w:t>
      </w:r>
      <w:r w:rsidRPr="00575E95">
        <w:rPr>
          <w:rStyle w:val="af7"/>
          <w:rFonts w:eastAsia="Guttman Hodes" w:hint="cs"/>
          <w:rtl/>
        </w:rPr>
        <w:t xml:space="preserve">(סי' פ"ד אות ה', </w:t>
      </w:r>
      <w:r>
        <w:rPr>
          <w:rStyle w:val="af7"/>
          <w:rFonts w:eastAsia="Guttman Hodes" w:hint="cs"/>
          <w:rtl/>
        </w:rPr>
        <w:t>הועתק</w:t>
      </w:r>
      <w:r w:rsidRPr="00575E95">
        <w:rPr>
          <w:rStyle w:val="af7"/>
          <w:rFonts w:eastAsia="Guttman Hodes" w:hint="cs"/>
          <w:rtl/>
        </w:rPr>
        <w:t xml:space="preserve"> בקובץ שיטות קמאי חולין ח"א עמ' רל"ד)</w:t>
      </w:r>
      <w:r w:rsidRPr="00575E95">
        <w:rPr>
          <w:rFonts w:hint="cs"/>
          <w:rtl/>
        </w:rPr>
        <w:t xml:space="preserve"> </w:t>
      </w:r>
      <w:r w:rsidRPr="00575E95">
        <w:rPr>
          <w:rStyle w:val="af9"/>
          <w:rFonts w:hint="cs"/>
          <w:rtl/>
        </w:rPr>
        <w:t>ובאיסור והיתר הארוך</w:t>
      </w:r>
      <w:r w:rsidRPr="00575E95">
        <w:rPr>
          <w:rFonts w:hint="cs"/>
          <w:rtl/>
        </w:rPr>
        <w:t xml:space="preserve"> </w:t>
      </w:r>
      <w:r w:rsidRPr="00575E95">
        <w:rPr>
          <w:rStyle w:val="af7"/>
          <w:rFonts w:eastAsia="Guttman Hodes" w:hint="cs"/>
          <w:rtl/>
        </w:rPr>
        <w:t>(שער מ"ט אות ב')</w:t>
      </w:r>
      <w:r w:rsidRPr="00575E95">
        <w:rPr>
          <w:rFonts w:hint="cs"/>
          <w:rtl/>
        </w:rPr>
        <w:t xml:space="preserve"> בשם </w:t>
      </w:r>
      <w:r w:rsidRPr="00575E95">
        <w:rPr>
          <w:rStyle w:val="af9"/>
          <w:rFonts w:hint="cs"/>
          <w:rtl/>
        </w:rPr>
        <w:t>רבינו פרץ</w:t>
      </w:r>
      <w:r w:rsidRPr="00575E95">
        <w:rPr>
          <w:rFonts w:hint="cs"/>
          <w:rtl/>
        </w:rPr>
        <w:t xml:space="preserve"> דביאר דאף שאחר שנמצאת הבהמה טריפה נתברר שבהמה זו היא מהמיעוט, מ"מ בספק</w:t>
      </w:r>
      <w:r>
        <w:rPr>
          <w:rFonts w:hint="cs"/>
          <w:rtl/>
        </w:rPr>
        <w:t xml:space="preserve"> שהיה עד עכשיו </w:t>
      </w:r>
      <w:r w:rsidRPr="00275182">
        <w:rPr>
          <w:rFonts w:hint="cs"/>
          <w:rtl/>
        </w:rPr>
        <w:t>אזלינן בתר רובא, דכמו שבחזקה שמבוררת אמרינן דעד עכשיו השתא בחזקתה, והשתא יצאה מחזקתה, ה"ה ברוב דאמרינן שעכשיו נטרפה ויצאה מכלל הרוב שאינם טריפות, ורק מעכשיו היא מהמיעוט הטריפות, אבל עד עכשיו הייתה בכלל הרוב</w:t>
      </w:r>
      <w:r>
        <w:rPr>
          <w:rFonts w:hint="cs"/>
          <w:rtl/>
        </w:rPr>
        <w:t xml:space="preserve">, דהא רובא וחזקה רובא </w:t>
      </w:r>
      <w:r w:rsidRPr="003D1E73">
        <w:rPr>
          <w:rFonts w:hint="cs"/>
          <w:rtl/>
        </w:rPr>
        <w:t>עדיף</w:t>
      </w:r>
      <w:r>
        <w:rPr>
          <w:rFonts w:hint="cs"/>
          <w:rtl/>
        </w:rPr>
        <w:t>,</w:t>
      </w:r>
      <w:r w:rsidRPr="000B6A1C">
        <w:rPr>
          <w:rFonts w:hint="cs"/>
          <w:rtl/>
        </w:rPr>
        <w:t xml:space="preserve"> </w:t>
      </w:r>
      <w:r>
        <w:rPr>
          <w:rFonts w:hint="cs"/>
          <w:rtl/>
        </w:rPr>
        <w:t>ועיי"ש במ"ש</w:t>
      </w:r>
      <w:r>
        <w:rPr>
          <w:rtl/>
        </w:rPr>
        <w:t xml:space="preserve"> </w:t>
      </w:r>
      <w:r w:rsidRPr="00175746">
        <w:rPr>
          <w:rStyle w:val="af9"/>
          <w:rtl/>
        </w:rPr>
        <w:t>באיסור והיתר הארוך</w:t>
      </w:r>
      <w:r>
        <w:rPr>
          <w:rtl/>
        </w:rPr>
        <w:t xml:space="preserve"> בשם </w:t>
      </w:r>
      <w:r w:rsidRPr="00175746">
        <w:rPr>
          <w:rStyle w:val="af9"/>
          <w:rtl/>
        </w:rPr>
        <w:t>המהר"</w:t>
      </w:r>
      <w:r>
        <w:rPr>
          <w:rStyle w:val="af9"/>
          <w:rFonts w:hint="cs"/>
          <w:rtl/>
        </w:rPr>
        <w:t>ם</w:t>
      </w:r>
      <w:r>
        <w:rPr>
          <w:rFonts w:hint="cs"/>
          <w:rtl/>
        </w:rPr>
        <w:t>,</w:t>
      </w:r>
      <w:r w:rsidRPr="003D1E73">
        <w:rPr>
          <w:rtl/>
        </w:rPr>
        <w:t xml:space="preserve"> </w:t>
      </w:r>
      <w:r>
        <w:rPr>
          <w:rFonts w:hint="cs"/>
          <w:rtl/>
        </w:rPr>
        <w:t>וע"ע במ"ש</w:t>
      </w:r>
      <w:r w:rsidRPr="0056604D">
        <w:rPr>
          <w:rtl/>
        </w:rPr>
        <w:t xml:space="preserve"> </w:t>
      </w:r>
      <w:r w:rsidRPr="0056604D">
        <w:rPr>
          <w:rStyle w:val="af9"/>
          <w:rtl/>
        </w:rPr>
        <w:t>בשיעורי הגר"י מפונביז'</w:t>
      </w:r>
      <w:r>
        <w:rPr>
          <w:rFonts w:hint="cs"/>
          <w:rtl/>
        </w:rPr>
        <w:t xml:space="preserve"> </w:t>
      </w:r>
      <w:r w:rsidRPr="0056604D">
        <w:rPr>
          <w:rStyle w:val="af7"/>
          <w:rFonts w:eastAsia="Guttman Hodes" w:hint="cs"/>
          <w:rtl/>
        </w:rPr>
        <w:t xml:space="preserve">(עי' אות </w:t>
      </w:r>
      <w:r w:rsidRPr="0056604D">
        <w:rPr>
          <w:rStyle w:val="af7"/>
          <w:rFonts w:eastAsia="Guttman Hodes"/>
          <w:rtl/>
        </w:rPr>
        <w:fldChar w:fldCharType="begin"/>
      </w:r>
      <w:r w:rsidRPr="0056604D">
        <w:rPr>
          <w:rStyle w:val="af7"/>
          <w:rFonts w:eastAsia="Guttman Hodes"/>
          <w:rtl/>
        </w:rPr>
        <w:instrText xml:space="preserve"> </w:instrText>
      </w:r>
      <w:r w:rsidRPr="0056604D">
        <w:rPr>
          <w:rStyle w:val="af7"/>
          <w:rFonts w:eastAsia="Guttman Hodes" w:hint="cs"/>
        </w:rPr>
        <w:instrText>REF</w:instrText>
      </w:r>
      <w:r w:rsidRPr="0056604D">
        <w:rPr>
          <w:rStyle w:val="af7"/>
          <w:rFonts w:eastAsia="Guttman Hodes" w:hint="cs"/>
          <w:rtl/>
        </w:rPr>
        <w:instrText xml:space="preserve"> _</w:instrText>
      </w:r>
      <w:r w:rsidRPr="0056604D">
        <w:rPr>
          <w:rStyle w:val="af7"/>
          <w:rFonts w:eastAsia="Guttman Hodes" w:hint="cs"/>
        </w:rPr>
        <w:instrText>Ref529351967 \r \h</w:instrText>
      </w:r>
      <w:r w:rsidRPr="0056604D">
        <w:rPr>
          <w:rStyle w:val="af7"/>
          <w:rFonts w:eastAsia="Guttman Hodes"/>
          <w:rtl/>
        </w:rPr>
        <w:instrText xml:space="preserve"> </w:instrText>
      </w:r>
      <w:r w:rsidRPr="0056604D">
        <w:rPr>
          <w:rStyle w:val="af7"/>
          <w:rFonts w:eastAsia="Guttman Hodes"/>
          <w:rtl/>
        </w:rPr>
      </w:r>
      <w:r w:rsidRPr="0056604D">
        <w:rPr>
          <w:rStyle w:val="af7"/>
          <w:rFonts w:eastAsia="Guttman Hodes"/>
          <w:rtl/>
        </w:rPr>
        <w:fldChar w:fldCharType="separate"/>
      </w:r>
      <w:r w:rsidR="00345400">
        <w:rPr>
          <w:rStyle w:val="af7"/>
          <w:rFonts w:eastAsia="Guttman Hodes"/>
          <w:cs/>
        </w:rPr>
        <w:t>‎</w:t>
      </w:r>
      <w:r w:rsidR="00345400">
        <w:rPr>
          <w:rStyle w:val="af7"/>
          <w:rFonts w:eastAsia="Guttman Hodes"/>
          <w:rtl/>
        </w:rPr>
        <w:t>קיט)</w:t>
      </w:r>
      <w:r w:rsidRPr="0056604D">
        <w:rPr>
          <w:rStyle w:val="af7"/>
          <w:rFonts w:eastAsia="Guttman Hodes"/>
          <w:rtl/>
        </w:rPr>
        <w:fldChar w:fldCharType="end"/>
      </w:r>
      <w:r>
        <w:rPr>
          <w:rFonts w:hint="cs"/>
          <w:rtl/>
        </w:rPr>
        <w:t>.</w:t>
      </w:r>
      <w:r w:rsidRPr="003C7759">
        <w:rPr>
          <w:rStyle w:val="afb"/>
          <w:rFonts w:hint="cs"/>
          <w:rtl/>
        </w:rPr>
        <w:t xml:space="preserve"> [</w:t>
      </w:r>
      <w:r w:rsidRPr="00454A2C">
        <w:rPr>
          <w:rStyle w:val="affa"/>
          <w:rFonts w:hint="cs"/>
          <w:rtl/>
        </w:rPr>
        <w:t>התורת יקותיאל</w:t>
      </w:r>
      <w:r w:rsidRPr="003C7759">
        <w:rPr>
          <w:rStyle w:val="afb"/>
          <w:rFonts w:hint="cs"/>
          <w:rtl/>
        </w:rPr>
        <w:t xml:space="preserve"> </w:t>
      </w:r>
      <w:r w:rsidRPr="00454A2C">
        <w:rPr>
          <w:rStyle w:val="aff6"/>
          <w:rFonts w:hint="cs"/>
          <w:rtl/>
        </w:rPr>
        <w:t>(סי' פ"א ב' ד"ה הנה הג"ה)</w:t>
      </w:r>
      <w:r w:rsidRPr="003C7759">
        <w:rPr>
          <w:rStyle w:val="afb"/>
          <w:rFonts w:hint="cs"/>
          <w:rtl/>
        </w:rPr>
        <w:t xml:space="preserve"> תמה על </w:t>
      </w:r>
      <w:r w:rsidRPr="00454A2C">
        <w:rPr>
          <w:rStyle w:val="affa"/>
          <w:rFonts w:hint="cs"/>
          <w:rtl/>
        </w:rPr>
        <w:t>ההג' שערי דורא</w:t>
      </w:r>
      <w:r w:rsidRPr="003C7759">
        <w:rPr>
          <w:rStyle w:val="afb"/>
          <w:rFonts w:hint="cs"/>
          <w:rtl/>
        </w:rPr>
        <w:t xml:space="preserve"> דכתב כן בפירוש דברי </w:t>
      </w:r>
      <w:r w:rsidRPr="00454A2C">
        <w:rPr>
          <w:rStyle w:val="affa"/>
          <w:rFonts w:hint="cs"/>
          <w:rtl/>
        </w:rPr>
        <w:t>השערי דורא</w:t>
      </w:r>
      <w:r w:rsidRPr="003C7759">
        <w:rPr>
          <w:rStyle w:val="afb"/>
          <w:rFonts w:hint="cs"/>
          <w:rtl/>
        </w:rPr>
        <w:t xml:space="preserve"> </w:t>
      </w:r>
      <w:r w:rsidRPr="00454A2C">
        <w:rPr>
          <w:rStyle w:val="aff6"/>
          <w:rFonts w:hint="cs"/>
          <w:rtl/>
        </w:rPr>
        <w:t xml:space="preserve">(עי' אות </w:t>
      </w:r>
      <w:r w:rsidRPr="00454A2C">
        <w:rPr>
          <w:rStyle w:val="aff6"/>
          <w:rtl/>
        </w:rPr>
        <w:fldChar w:fldCharType="begin"/>
      </w:r>
      <w:r w:rsidRPr="00454A2C">
        <w:rPr>
          <w:rStyle w:val="aff6"/>
          <w:rtl/>
        </w:rPr>
        <w:instrText xml:space="preserve"> </w:instrText>
      </w:r>
      <w:r w:rsidRPr="00454A2C">
        <w:rPr>
          <w:rStyle w:val="aff6"/>
          <w:rFonts w:hint="cs"/>
        </w:rPr>
        <w:instrText>REF</w:instrText>
      </w:r>
      <w:r w:rsidRPr="00454A2C">
        <w:rPr>
          <w:rStyle w:val="aff6"/>
          <w:rFonts w:hint="cs"/>
          <w:rtl/>
        </w:rPr>
        <w:instrText xml:space="preserve"> _</w:instrText>
      </w:r>
      <w:r w:rsidRPr="00454A2C">
        <w:rPr>
          <w:rStyle w:val="aff6"/>
          <w:rFonts w:hint="cs"/>
        </w:rPr>
        <w:instrText>Ref522618918 \r \h</w:instrText>
      </w:r>
      <w:r w:rsidRPr="00454A2C">
        <w:rPr>
          <w:rStyle w:val="aff6"/>
          <w:rtl/>
        </w:rPr>
        <w:instrText xml:space="preserve"> </w:instrText>
      </w:r>
      <w:r w:rsidRPr="00454A2C">
        <w:rPr>
          <w:rStyle w:val="aff6"/>
          <w:rtl/>
        </w:rPr>
      </w:r>
      <w:r w:rsidRPr="00454A2C">
        <w:rPr>
          <w:rStyle w:val="aff6"/>
          <w:rtl/>
        </w:rPr>
        <w:fldChar w:fldCharType="separate"/>
      </w:r>
      <w:r w:rsidR="00345400">
        <w:rPr>
          <w:rStyle w:val="aff6"/>
          <w:cs/>
        </w:rPr>
        <w:t>‎</w:t>
      </w:r>
      <w:r w:rsidR="00345400">
        <w:rPr>
          <w:rStyle w:val="aff6"/>
          <w:rtl/>
        </w:rPr>
        <w:t>כא)</w:t>
      </w:r>
      <w:r w:rsidRPr="00454A2C">
        <w:rPr>
          <w:rStyle w:val="aff6"/>
          <w:rtl/>
        </w:rPr>
        <w:fldChar w:fldCharType="end"/>
      </w:r>
      <w:r>
        <w:rPr>
          <w:rStyle w:val="afb"/>
          <w:rFonts w:hint="cs"/>
          <w:rtl/>
        </w:rPr>
        <w:t>,</w:t>
      </w:r>
      <w:r w:rsidRPr="003C7759">
        <w:rPr>
          <w:rStyle w:val="afb"/>
          <w:rFonts w:hint="cs"/>
          <w:rtl/>
        </w:rPr>
        <w:t xml:space="preserve"> והא  בדברי </w:t>
      </w:r>
      <w:r w:rsidRPr="00454A2C">
        <w:rPr>
          <w:rStyle w:val="affa"/>
          <w:rFonts w:hint="cs"/>
          <w:rtl/>
        </w:rPr>
        <w:t>התור"פ</w:t>
      </w:r>
      <w:r w:rsidRPr="003C7759">
        <w:rPr>
          <w:rStyle w:val="afb"/>
          <w:rFonts w:hint="cs"/>
          <w:rtl/>
        </w:rPr>
        <w:t xml:space="preserve"> מבואר דס"ל דההיתר הוא מדין רוב, ולא כד</w:t>
      </w:r>
      <w:r>
        <w:rPr>
          <w:rStyle w:val="afb"/>
          <w:rFonts w:hint="cs"/>
          <w:rtl/>
        </w:rPr>
        <w:t>ברי</w:t>
      </w:r>
      <w:r w:rsidRPr="003C7759">
        <w:rPr>
          <w:rStyle w:val="afb"/>
          <w:rFonts w:hint="cs"/>
          <w:rtl/>
        </w:rPr>
        <w:t xml:space="preserve"> </w:t>
      </w:r>
      <w:r w:rsidRPr="00454A2C">
        <w:rPr>
          <w:rStyle w:val="affa"/>
          <w:rFonts w:hint="cs"/>
          <w:rtl/>
        </w:rPr>
        <w:t>השערי דורא</w:t>
      </w:r>
      <w:r w:rsidRPr="003C7759">
        <w:rPr>
          <w:rStyle w:val="afb"/>
          <w:rFonts w:hint="cs"/>
          <w:rtl/>
        </w:rPr>
        <w:t xml:space="preserve"> דכתב דההיתר הוא ע"י חזקה מכח רוב</w:t>
      </w:r>
      <w:bookmarkEnd w:id="8869"/>
      <w:r w:rsidRPr="003C7759">
        <w:rPr>
          <w:rStyle w:val="afb"/>
          <w:rFonts w:hint="cs"/>
          <w:rtl/>
        </w:rPr>
        <w:t>, ולא מדין רוב לבד</w:t>
      </w:r>
      <w:r>
        <w:rPr>
          <w:rStyle w:val="afb"/>
          <w:rFonts w:hint="cs"/>
          <w:rtl/>
        </w:rPr>
        <w:t>].</w:t>
      </w:r>
      <w:bookmarkEnd w:id="8870"/>
      <w:r>
        <w:rPr>
          <w:rFonts w:hint="cs"/>
          <w:rtl/>
        </w:rPr>
        <w:t xml:space="preserve"> </w:t>
      </w:r>
    </w:p>
    <w:p w14:paraId="0B8CEC1D" w14:textId="77777777" w:rsidR="00D95C52" w:rsidRDefault="00D95C52" w:rsidP="00BF39B2">
      <w:pPr>
        <w:pStyle w:val="1"/>
        <w:rPr>
          <w:rtl/>
        </w:rPr>
      </w:pPr>
      <w:bookmarkStart w:id="8871" w:name="_Toc529352375"/>
      <w:bookmarkStart w:id="8872" w:name="_Toc529444989"/>
      <w:bookmarkStart w:id="8873" w:name="_Toc529704534"/>
      <w:bookmarkStart w:id="8874" w:name="_Toc529739009"/>
      <w:bookmarkStart w:id="8875" w:name="_Toc19390172"/>
      <w:bookmarkStart w:id="8876" w:name="_Toc19393669"/>
      <w:bookmarkStart w:id="8877" w:name="_Toc529352388"/>
      <w:bookmarkStart w:id="8878" w:name="_Toc529445002"/>
      <w:r>
        <w:rPr>
          <w:rFonts w:hint="cs"/>
          <w:rtl/>
        </w:rPr>
        <w:t>דברי הרוקח והבכור שור דבהמה איתרעי גבינות לא איתרעי</w:t>
      </w:r>
      <w:bookmarkEnd w:id="8871"/>
      <w:bookmarkEnd w:id="8872"/>
      <w:bookmarkEnd w:id="8873"/>
      <w:bookmarkEnd w:id="8874"/>
      <w:bookmarkEnd w:id="8875"/>
      <w:bookmarkEnd w:id="8876"/>
    </w:p>
    <w:p w14:paraId="384ACC96" w14:textId="77777777" w:rsidR="00D95C52" w:rsidRPr="005C0366" w:rsidRDefault="00D95C52" w:rsidP="006D6D32">
      <w:pPr>
        <w:pStyle w:val="a3"/>
        <w:rPr>
          <w:rtl/>
        </w:rPr>
      </w:pPr>
      <w:bookmarkStart w:id="8879" w:name="_Toc529704535"/>
      <w:bookmarkStart w:id="8880" w:name="_Toc529739010"/>
      <w:bookmarkStart w:id="8881" w:name="_Toc19390173"/>
      <w:bookmarkStart w:id="8882" w:name="_Toc19393670"/>
      <w:r>
        <w:rPr>
          <w:rFonts w:hint="cs"/>
          <w:rtl/>
        </w:rPr>
        <w:t>דברי הרוקח דהותר החלב לפני השחיטה והריעותא היא בבהמה ולא בחזקת היתר של החלב</w:t>
      </w:r>
      <w:bookmarkEnd w:id="8879"/>
      <w:bookmarkEnd w:id="8880"/>
      <w:bookmarkEnd w:id="8881"/>
      <w:bookmarkEnd w:id="8882"/>
      <w:r>
        <w:rPr>
          <w:rFonts w:hint="cs"/>
          <w:rtl/>
        </w:rPr>
        <w:t xml:space="preserve"> </w:t>
      </w:r>
    </w:p>
    <w:p w14:paraId="28975BDE" w14:textId="77777777" w:rsidR="00D95C52" w:rsidRDefault="00D95C52" w:rsidP="00223668">
      <w:pPr>
        <w:pStyle w:val="a0"/>
        <w:rPr>
          <w:rtl/>
        </w:rPr>
      </w:pPr>
      <w:r>
        <w:rPr>
          <w:rFonts w:hint="cs"/>
          <w:rtl/>
        </w:rPr>
        <w:t xml:space="preserve">עו"כ </w:t>
      </w:r>
      <w:r w:rsidRPr="00495974">
        <w:rPr>
          <w:rStyle w:val="af9"/>
          <w:rFonts w:hint="cs"/>
          <w:rtl/>
        </w:rPr>
        <w:t>הרוקח</w:t>
      </w:r>
      <w:r>
        <w:rPr>
          <w:rFonts w:hint="cs"/>
          <w:rtl/>
        </w:rPr>
        <w:t xml:space="preserve"> </w:t>
      </w:r>
      <w:r>
        <w:rPr>
          <w:rStyle w:val="af7"/>
          <w:rFonts w:eastAsia="Guttman Hodes" w:hint="cs"/>
          <w:rtl/>
        </w:rPr>
        <w:t>(הל</w:t>
      </w:r>
      <w:r>
        <w:rPr>
          <w:rStyle w:val="af7"/>
          <w:rFonts w:eastAsia="Guttman Hodes"/>
          <w:rtl/>
        </w:rPr>
        <w:t>'</w:t>
      </w:r>
      <w:r>
        <w:rPr>
          <w:rStyle w:val="af7"/>
          <w:rFonts w:eastAsia="Guttman Hodes" w:hint="cs"/>
          <w:rtl/>
        </w:rPr>
        <w:t xml:space="preserve"> טריפות</w:t>
      </w:r>
      <w:r w:rsidRPr="00413305">
        <w:rPr>
          <w:rStyle w:val="af7"/>
          <w:rFonts w:eastAsia="Guttman Hodes" w:hint="cs"/>
          <w:rtl/>
        </w:rPr>
        <w:t xml:space="preserve"> שפ"ו, הועתק </w:t>
      </w:r>
      <w:r w:rsidRPr="00495974">
        <w:rPr>
          <w:rStyle w:val="af7"/>
          <w:rFonts w:eastAsia="Guttman Hodes" w:hint="cs"/>
          <w:rtl/>
        </w:rPr>
        <w:t xml:space="preserve">בקובץ שיטות קמאי חולין ח"א עמ' רכ"ח) </w:t>
      </w:r>
      <w:r>
        <w:rPr>
          <w:rFonts w:hint="cs"/>
          <w:rtl/>
        </w:rPr>
        <w:t xml:space="preserve">בשם </w:t>
      </w:r>
      <w:r w:rsidRPr="00B24E0B">
        <w:rPr>
          <w:rFonts w:hint="cs"/>
          <w:rtl/>
        </w:rPr>
        <w:t>אביו</w:t>
      </w:r>
      <w:r w:rsidRPr="00495974">
        <w:rPr>
          <w:rStyle w:val="af9"/>
          <w:rFonts w:hint="cs"/>
          <w:rtl/>
        </w:rPr>
        <w:t xml:space="preserve"> </w:t>
      </w:r>
      <w:r>
        <w:rPr>
          <w:rStyle w:val="af9"/>
          <w:rFonts w:hint="cs"/>
          <w:rtl/>
        </w:rPr>
        <w:t>רבינו יב</w:t>
      </w:r>
      <w:r>
        <w:rPr>
          <w:rStyle w:val="af9"/>
          <w:rtl/>
        </w:rPr>
        <w:t>"</w:t>
      </w:r>
      <w:r>
        <w:rPr>
          <w:rStyle w:val="af9"/>
          <w:rFonts w:hint="cs"/>
          <w:rtl/>
        </w:rPr>
        <w:t>ק ב"ר משה</w:t>
      </w:r>
      <w:r w:rsidRPr="0081764C">
        <w:rPr>
          <w:rStyle w:val="af9"/>
          <w:rFonts w:hint="cs"/>
          <w:rtl/>
        </w:rPr>
        <w:t xml:space="preserve"> </w:t>
      </w:r>
      <w:r>
        <w:rPr>
          <w:rFonts w:hint="cs"/>
          <w:rtl/>
        </w:rPr>
        <w:t xml:space="preserve">דהגבינות מותרות כיון שבהמה בחייה בחזקת היתר לחלב עומדת, ולא דמי למקוה שנמצא חסר שיש בו תרתי לריעותא, אבל הכא דמי לסכין דאמרינן </w:t>
      </w:r>
      <w:r w:rsidRPr="00495974">
        <w:rPr>
          <w:rStyle w:val="af7"/>
          <w:rFonts w:eastAsia="Guttman Hodes" w:hint="cs"/>
          <w:rtl/>
        </w:rPr>
        <w:t xml:space="preserve">(י.) </w:t>
      </w:r>
      <w:r>
        <w:rPr>
          <w:rFonts w:hint="cs"/>
          <w:rtl/>
        </w:rPr>
        <w:t xml:space="preserve">סכין איתרעי בהמה לא איתרעי, ואף </w:t>
      </w:r>
      <w:r w:rsidRPr="005C0366">
        <w:rPr>
          <w:rFonts w:hint="cs"/>
          <w:rtl/>
        </w:rPr>
        <w:t xml:space="preserve">בגבינות הבהמה איתרעי אבל החלב לא איתרעי, וביאר </w:t>
      </w:r>
      <w:r w:rsidRPr="005C0366">
        <w:rPr>
          <w:rStyle w:val="af9"/>
          <w:rFonts w:hint="cs"/>
          <w:rtl/>
        </w:rPr>
        <w:t>הרוקח</w:t>
      </w:r>
      <w:r w:rsidRPr="005C0366">
        <w:rPr>
          <w:rFonts w:hint="cs"/>
          <w:rtl/>
        </w:rPr>
        <w:t xml:space="preserve"> דכיון ש</w:t>
      </w:r>
      <w:r>
        <w:rPr>
          <w:rFonts w:hint="cs"/>
          <w:rtl/>
        </w:rPr>
        <w:t xml:space="preserve">החלב הוא בחזקת היתר, לכן מעט קודם השחיטה נעשו כל הגבינות שנחלבו קודם לכן מותרות, </w:t>
      </w:r>
      <w:r w:rsidRPr="00495974">
        <w:rPr>
          <w:rStyle w:val="afb"/>
          <w:rFonts w:hint="cs"/>
          <w:rtl/>
        </w:rPr>
        <w:t>[ומשמע קצת בדבריו דהחזקת היתר מהני אף במקום שהוגלד פי המכה להתיר גם בג' ימים האחרונים</w:t>
      </w:r>
      <w:r>
        <w:rPr>
          <w:rStyle w:val="afb"/>
          <w:rFonts w:hint="cs"/>
          <w:rtl/>
        </w:rPr>
        <w:t xml:space="preserve"> ודלא כדבריו בשם </w:t>
      </w:r>
      <w:r w:rsidRPr="0018598C">
        <w:rPr>
          <w:rStyle w:val="affa"/>
          <w:rFonts w:hint="cs"/>
          <w:rtl/>
        </w:rPr>
        <w:t>ר"ת</w:t>
      </w:r>
      <w:r>
        <w:rPr>
          <w:rStyle w:val="afb"/>
          <w:rFonts w:hint="cs"/>
          <w:rtl/>
        </w:rPr>
        <w:t xml:space="preserve"> </w:t>
      </w:r>
      <w:r w:rsidRPr="00644F9B">
        <w:rPr>
          <w:rStyle w:val="aff6"/>
          <w:rFonts w:hint="cs"/>
          <w:rtl/>
        </w:rPr>
        <w:t>(עי' הערה</w:t>
      </w:r>
      <w:r w:rsidRPr="00644F9B">
        <w:rPr>
          <w:vertAlign w:val="superscript"/>
          <w:rtl/>
        </w:rPr>
        <w:fldChar w:fldCharType="begin"/>
      </w:r>
      <w:r w:rsidRPr="00644F9B">
        <w:rPr>
          <w:vertAlign w:val="superscript"/>
          <w:rtl/>
        </w:rPr>
        <w:instrText xml:space="preserve"> </w:instrText>
      </w:r>
      <w:r w:rsidRPr="00644F9B">
        <w:rPr>
          <w:rFonts w:hint="cs"/>
          <w:vertAlign w:val="superscript"/>
        </w:rPr>
        <w:instrText>NOTEREF</w:instrText>
      </w:r>
      <w:r w:rsidRPr="00644F9B">
        <w:rPr>
          <w:rFonts w:hint="cs"/>
          <w:vertAlign w:val="superscript"/>
          <w:rtl/>
        </w:rPr>
        <w:instrText xml:space="preserve"> _</w:instrText>
      </w:r>
      <w:r w:rsidRPr="00644F9B">
        <w:rPr>
          <w:rFonts w:hint="cs"/>
          <w:vertAlign w:val="superscript"/>
        </w:rPr>
        <w:instrText>Ref529702433 \h</w:instrText>
      </w:r>
      <w:r w:rsidRPr="00644F9B">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644F9B">
        <w:rPr>
          <w:vertAlign w:val="superscript"/>
          <w:rtl/>
        </w:rPr>
      </w:r>
      <w:r w:rsidRPr="00644F9B">
        <w:rPr>
          <w:vertAlign w:val="superscript"/>
          <w:rtl/>
        </w:rPr>
        <w:fldChar w:fldCharType="separate"/>
      </w:r>
      <w:r w:rsidR="00345400">
        <w:rPr>
          <w:vertAlign w:val="superscript"/>
          <w:rtl/>
        </w:rPr>
        <w:t>62</w:t>
      </w:r>
      <w:r w:rsidRPr="00644F9B">
        <w:rPr>
          <w:vertAlign w:val="superscript"/>
          <w:rtl/>
        </w:rPr>
        <w:fldChar w:fldCharType="end"/>
      </w:r>
      <w:r w:rsidRPr="00644F9B">
        <w:rPr>
          <w:rStyle w:val="af7"/>
          <w:rFonts w:eastAsia="Guttman Hodes" w:hint="cs"/>
          <w:rtl/>
        </w:rPr>
        <w:t>)</w:t>
      </w:r>
      <w:r w:rsidRPr="00495974">
        <w:rPr>
          <w:rStyle w:val="afb"/>
          <w:rFonts w:hint="cs"/>
          <w:rtl/>
        </w:rPr>
        <w:t>, עיי"ש בדבריו]</w:t>
      </w:r>
      <w:r>
        <w:rPr>
          <w:rFonts w:hint="cs"/>
          <w:rtl/>
        </w:rPr>
        <w:t>.</w:t>
      </w:r>
    </w:p>
    <w:p w14:paraId="51AC25D8" w14:textId="77777777" w:rsidR="00D95C52" w:rsidRDefault="00D95C52" w:rsidP="006D6D32">
      <w:pPr>
        <w:pStyle w:val="a3"/>
        <w:rPr>
          <w:rtl/>
        </w:rPr>
      </w:pPr>
      <w:bookmarkStart w:id="8883" w:name="_Toc529704536"/>
      <w:bookmarkStart w:id="8884" w:name="_Toc529739011"/>
      <w:bookmarkStart w:id="8885" w:name="_Toc19390174"/>
      <w:bookmarkStart w:id="8886" w:name="_Toc19393671"/>
      <w:r>
        <w:rPr>
          <w:rFonts w:hint="cs"/>
          <w:rtl/>
        </w:rPr>
        <w:t>ביאור הבכור שור והשערי תורה דמעמידים את החלב בחזקתו שנחלב בהיתר</w:t>
      </w:r>
      <w:bookmarkEnd w:id="8883"/>
      <w:bookmarkEnd w:id="8884"/>
      <w:bookmarkEnd w:id="8885"/>
      <w:bookmarkEnd w:id="8886"/>
    </w:p>
    <w:p w14:paraId="5434B346" w14:textId="77777777" w:rsidR="00D95C52" w:rsidRPr="008A0F06" w:rsidRDefault="00D95C52" w:rsidP="00223668">
      <w:pPr>
        <w:pStyle w:val="a0"/>
        <w:rPr>
          <w:rStyle w:val="afb"/>
          <w:rtl/>
        </w:rPr>
      </w:pPr>
      <w:bookmarkStart w:id="8887" w:name="_Ref529724007"/>
      <w:r w:rsidRPr="00F27059">
        <w:rPr>
          <w:rFonts w:hint="cs"/>
          <w:rtl/>
        </w:rPr>
        <w:t>ו</w:t>
      </w:r>
      <w:r>
        <w:rPr>
          <w:rFonts w:hint="cs"/>
          <w:rtl/>
        </w:rPr>
        <w:t>ביאר</w:t>
      </w:r>
      <w:r w:rsidRPr="00F27059">
        <w:rPr>
          <w:rFonts w:hint="cs"/>
          <w:rtl/>
        </w:rPr>
        <w:t xml:space="preserve"> </w:t>
      </w:r>
      <w:r w:rsidRPr="00436225">
        <w:rPr>
          <w:rStyle w:val="af9"/>
          <w:rFonts w:hint="cs"/>
          <w:rtl/>
        </w:rPr>
        <w:t>השערי תורה</w:t>
      </w:r>
      <w:r w:rsidRPr="0005716F">
        <w:rPr>
          <w:rFonts w:hint="cs"/>
          <w:rtl/>
        </w:rPr>
        <w:t xml:space="preserve"> </w:t>
      </w:r>
      <w:r w:rsidRPr="00E73615">
        <w:rPr>
          <w:rStyle w:val="af7"/>
          <w:rFonts w:eastAsia="Guttman Hodes" w:hint="cs"/>
          <w:rtl/>
        </w:rPr>
        <w:t xml:space="preserve">(ענייני חזקות ח"ב סוף כלל ל"ז אות ט"ו ד"ה ודע) </w:t>
      </w:r>
      <w:r w:rsidRPr="00F27059">
        <w:rPr>
          <w:rFonts w:hint="cs"/>
          <w:rtl/>
        </w:rPr>
        <w:t>דכוונת</w:t>
      </w:r>
      <w:r>
        <w:rPr>
          <w:rFonts w:hint="cs"/>
          <w:rtl/>
        </w:rPr>
        <w:t xml:space="preserve"> </w:t>
      </w:r>
      <w:r w:rsidRPr="008A0F06">
        <w:rPr>
          <w:rStyle w:val="af9"/>
          <w:rFonts w:hint="cs"/>
          <w:rtl/>
        </w:rPr>
        <w:t>הרוקח</w:t>
      </w:r>
      <w:r>
        <w:rPr>
          <w:rFonts w:hint="cs"/>
          <w:rtl/>
        </w:rPr>
        <w:t xml:space="preserve"> לומר דההיתר אינו מדין חזקה מכח רוב, אלא דכיון שהבהמה הייתה בחזקת היתר לחלב, והחלב עצמו היה בחזקת היתר, לכן מעמידים אותו בחזקתו, וכתב </w:t>
      </w:r>
      <w:r w:rsidRPr="008A0F06">
        <w:rPr>
          <w:rStyle w:val="af9"/>
          <w:rFonts w:hint="cs"/>
          <w:rtl/>
        </w:rPr>
        <w:t>השערי תורה</w:t>
      </w:r>
      <w:r>
        <w:rPr>
          <w:rFonts w:hint="cs"/>
          <w:rtl/>
        </w:rPr>
        <w:t xml:space="preserve"> דזו כוונת </w:t>
      </w:r>
      <w:r w:rsidRPr="008A0F06">
        <w:rPr>
          <w:rStyle w:val="af9"/>
          <w:rFonts w:hint="cs"/>
          <w:rtl/>
        </w:rPr>
        <w:t>הבכור שור</w:t>
      </w:r>
      <w:r>
        <w:rPr>
          <w:rFonts w:hint="cs"/>
          <w:rtl/>
        </w:rPr>
        <w:t xml:space="preserve"> </w:t>
      </w:r>
      <w:r w:rsidRPr="00E97F5B">
        <w:rPr>
          <w:rStyle w:val="af7"/>
          <w:rFonts w:eastAsia="Guttman Hodes" w:hint="cs"/>
          <w:rtl/>
        </w:rPr>
        <w:t>(ד"ה עוד כתב הפר"ח)</w:t>
      </w:r>
      <w:r>
        <w:rPr>
          <w:rFonts w:hint="cs"/>
          <w:rtl/>
        </w:rPr>
        <w:t xml:space="preserve"> דביאר בדעת </w:t>
      </w:r>
      <w:r w:rsidRPr="008A0F06">
        <w:rPr>
          <w:rStyle w:val="af9"/>
          <w:rFonts w:hint="cs"/>
          <w:rtl/>
        </w:rPr>
        <w:t>הבה"ג</w:t>
      </w:r>
      <w:r>
        <w:rPr>
          <w:rFonts w:hint="cs"/>
          <w:rtl/>
        </w:rPr>
        <w:t xml:space="preserve"> </w:t>
      </w:r>
      <w:r w:rsidRPr="00162357">
        <w:rPr>
          <w:rStyle w:val="af7"/>
          <w:rFonts w:eastAsia="Guttman Hodes" w:hint="cs"/>
          <w:rtl/>
        </w:rPr>
        <w:t>(סי' ס"ז עמ' תרנ"ג ד"ה והיכא)</w:t>
      </w:r>
      <w:r w:rsidRPr="00162357">
        <w:rPr>
          <w:rFonts w:hint="cs"/>
          <w:rtl/>
        </w:rPr>
        <w:t xml:space="preserve"> </w:t>
      </w:r>
      <w:r>
        <w:rPr>
          <w:rFonts w:hint="cs"/>
          <w:rtl/>
        </w:rPr>
        <w:t>דהחלב שנחלב בחזקת היתר הוא עומד בחזקתו</w:t>
      </w:r>
      <w:r w:rsidRPr="008A0F06">
        <w:rPr>
          <w:rStyle w:val="afb"/>
          <w:rFonts w:hint="cs"/>
          <w:rtl/>
        </w:rPr>
        <w:t xml:space="preserve">. </w:t>
      </w:r>
      <w:r w:rsidRPr="008A0F06">
        <w:rPr>
          <w:rStyle w:val="afb"/>
          <w:rtl/>
        </w:rPr>
        <w:t xml:space="preserve"> </w:t>
      </w:r>
      <w:r w:rsidRPr="008A0F06">
        <w:rPr>
          <w:rStyle w:val="afb"/>
          <w:rFonts w:hint="cs"/>
          <w:rtl/>
        </w:rPr>
        <w:t xml:space="preserve">[ועיי"ש בדברי </w:t>
      </w:r>
      <w:r w:rsidRPr="00E97F5B">
        <w:rPr>
          <w:rStyle w:val="affa"/>
          <w:rFonts w:hint="cs"/>
          <w:rtl/>
        </w:rPr>
        <w:t>הבכור שור</w:t>
      </w:r>
      <w:r w:rsidRPr="008A0F06">
        <w:rPr>
          <w:rStyle w:val="afb"/>
          <w:rFonts w:hint="cs"/>
          <w:rtl/>
        </w:rPr>
        <w:t xml:space="preserve"> דהביא את גירסת </w:t>
      </w:r>
      <w:r w:rsidRPr="00E97F5B">
        <w:rPr>
          <w:rStyle w:val="affa"/>
          <w:rFonts w:hint="cs"/>
          <w:rtl/>
        </w:rPr>
        <w:t>ספר התרומה והשערי דורא</w:t>
      </w:r>
      <w:r w:rsidRPr="008A0F06">
        <w:rPr>
          <w:rStyle w:val="afb"/>
          <w:rFonts w:hint="cs"/>
          <w:rtl/>
        </w:rPr>
        <w:t xml:space="preserve"> </w:t>
      </w:r>
      <w:r w:rsidRPr="00E97F5B">
        <w:rPr>
          <w:rStyle w:val="aff6"/>
          <w:rFonts w:hint="cs"/>
          <w:rtl/>
        </w:rPr>
        <w:t xml:space="preserve">(עי' אות </w:t>
      </w:r>
      <w:r w:rsidRPr="00E97F5B">
        <w:rPr>
          <w:rStyle w:val="aff6"/>
          <w:rtl/>
        </w:rPr>
        <w:fldChar w:fldCharType="begin"/>
      </w:r>
      <w:r w:rsidRPr="00E97F5B">
        <w:rPr>
          <w:rStyle w:val="aff6"/>
          <w:rtl/>
        </w:rPr>
        <w:instrText xml:space="preserve"> </w:instrText>
      </w:r>
      <w:r w:rsidRPr="00E97F5B">
        <w:rPr>
          <w:rStyle w:val="aff6"/>
          <w:rFonts w:hint="cs"/>
        </w:rPr>
        <w:instrText>REF</w:instrText>
      </w:r>
      <w:r w:rsidRPr="00E97F5B">
        <w:rPr>
          <w:rStyle w:val="aff6"/>
          <w:rFonts w:hint="cs"/>
          <w:rtl/>
        </w:rPr>
        <w:instrText xml:space="preserve"> _</w:instrText>
      </w:r>
      <w:r w:rsidRPr="00E97F5B">
        <w:rPr>
          <w:rStyle w:val="aff6"/>
          <w:rFonts w:hint="cs"/>
        </w:rPr>
        <w:instrText>Ref529379576 \r \h</w:instrText>
      </w:r>
      <w:r w:rsidRPr="00E97F5B">
        <w:rPr>
          <w:rStyle w:val="aff6"/>
          <w:rtl/>
        </w:rPr>
        <w:instrText xml:space="preserve"> </w:instrText>
      </w:r>
      <w:r w:rsidRPr="00E97F5B">
        <w:rPr>
          <w:rStyle w:val="aff6"/>
          <w:rtl/>
        </w:rPr>
      </w:r>
      <w:r w:rsidRPr="00E97F5B">
        <w:rPr>
          <w:rStyle w:val="aff6"/>
          <w:rtl/>
        </w:rPr>
        <w:fldChar w:fldCharType="separate"/>
      </w:r>
      <w:r w:rsidR="00345400">
        <w:rPr>
          <w:rStyle w:val="aff6"/>
          <w:cs/>
        </w:rPr>
        <w:t>‎</w:t>
      </w:r>
      <w:r w:rsidR="00345400">
        <w:rPr>
          <w:rStyle w:val="aff6"/>
          <w:rtl/>
        </w:rPr>
        <w:t>נ)</w:t>
      </w:r>
      <w:r w:rsidRPr="00E97F5B">
        <w:rPr>
          <w:rStyle w:val="aff6"/>
          <w:rtl/>
        </w:rPr>
        <w:fldChar w:fldCharType="end"/>
      </w:r>
      <w:r>
        <w:rPr>
          <w:rStyle w:val="afb"/>
          <w:rFonts w:hint="cs"/>
          <w:rtl/>
        </w:rPr>
        <w:t xml:space="preserve"> </w:t>
      </w:r>
      <w:r w:rsidRPr="00E97F5B">
        <w:rPr>
          <w:rStyle w:val="affa"/>
          <w:rFonts w:hint="cs"/>
          <w:rtl/>
        </w:rPr>
        <w:t xml:space="preserve">בבה"ג </w:t>
      </w:r>
      <w:r w:rsidRPr="008A0F06">
        <w:rPr>
          <w:rStyle w:val="afb"/>
          <w:rFonts w:hint="cs"/>
          <w:rtl/>
        </w:rPr>
        <w:t>דכתב לאסור את הגבינות בהגליד פי המכה, כיון</w:t>
      </w:r>
      <w:r w:rsidRPr="008A0F06">
        <w:rPr>
          <w:rStyle w:val="afb"/>
          <w:rtl/>
        </w:rPr>
        <w:t xml:space="preserve"> </w:t>
      </w:r>
      <w:r w:rsidRPr="008A0F06">
        <w:rPr>
          <w:rStyle w:val="afb"/>
          <w:rFonts w:hint="cs"/>
          <w:rtl/>
        </w:rPr>
        <w:t>ש</w:t>
      </w:r>
      <w:r w:rsidRPr="008A0F06">
        <w:rPr>
          <w:rStyle w:val="afb"/>
          <w:rtl/>
        </w:rPr>
        <w:t xml:space="preserve">ידוע דלפני שנשחטה הייתה טריפה, </w:t>
      </w:r>
      <w:r w:rsidRPr="008A0F06">
        <w:rPr>
          <w:rStyle w:val="afb"/>
          <w:rFonts w:hint="cs"/>
          <w:rtl/>
        </w:rPr>
        <w:t xml:space="preserve">אך כתב </w:t>
      </w:r>
      <w:r w:rsidRPr="00E97F5B">
        <w:rPr>
          <w:rStyle w:val="affa"/>
          <w:rFonts w:hint="cs"/>
          <w:rtl/>
        </w:rPr>
        <w:t>הבכור שור</w:t>
      </w:r>
      <w:r w:rsidRPr="00E97F5B">
        <w:rPr>
          <w:rStyle w:val="affa"/>
          <w:rtl/>
        </w:rPr>
        <w:t xml:space="preserve"> </w:t>
      </w:r>
      <w:r w:rsidRPr="00E97F5B">
        <w:rPr>
          <w:rStyle w:val="affa"/>
          <w:rFonts w:hint="cs"/>
          <w:rtl/>
        </w:rPr>
        <w:t>ד</w:t>
      </w:r>
      <w:r w:rsidRPr="00E97F5B">
        <w:rPr>
          <w:rStyle w:val="affa"/>
          <w:rtl/>
        </w:rPr>
        <w:t>בבה"ג</w:t>
      </w:r>
      <w:r w:rsidRPr="008A0F06">
        <w:rPr>
          <w:rStyle w:val="afb"/>
          <w:rtl/>
        </w:rPr>
        <w:t xml:space="preserve"> לפנינו הגירסא היא כיון שידוע שלפני שנחלב החלב הייתה טריפה,</w:t>
      </w:r>
      <w:r w:rsidRPr="008A0F06">
        <w:rPr>
          <w:rStyle w:val="afb"/>
          <w:rFonts w:hint="cs"/>
          <w:rtl/>
        </w:rPr>
        <w:t xml:space="preserve"> והיינו כביאורו דבמקום שנחלב החלב בחזקת היתר מעמידים אותו בחזקתו]</w:t>
      </w:r>
      <w:r w:rsidRPr="008A0F06">
        <w:rPr>
          <w:rStyle w:val="afb"/>
          <w:rtl/>
        </w:rPr>
        <w:t>.</w:t>
      </w:r>
      <w:bookmarkEnd w:id="8887"/>
    </w:p>
    <w:p w14:paraId="04CE5C2D" w14:textId="77777777" w:rsidR="00D95C52" w:rsidRDefault="00D95C52" w:rsidP="006D6D32">
      <w:pPr>
        <w:pStyle w:val="afe"/>
        <w:rPr>
          <w:rtl/>
        </w:rPr>
      </w:pPr>
      <w:bookmarkStart w:id="8888" w:name="_Toc529352396"/>
      <w:bookmarkStart w:id="8889" w:name="_Toc529445011"/>
      <w:bookmarkStart w:id="8890" w:name="_Toc529704537"/>
      <w:bookmarkStart w:id="8891" w:name="_Toc529739012"/>
      <w:bookmarkStart w:id="8892" w:name="_Toc19435623"/>
      <w:bookmarkStart w:id="8893" w:name="_Toc20080912"/>
      <w:bookmarkEnd w:id="8877"/>
      <w:bookmarkEnd w:id="8878"/>
      <w:r>
        <w:rPr>
          <w:rFonts w:hint="cs"/>
          <w:rtl/>
        </w:rPr>
        <w:t>דין הגבינות בטריפות ע"י סירכא</w:t>
      </w:r>
      <w:bookmarkEnd w:id="8888"/>
      <w:bookmarkEnd w:id="8889"/>
      <w:bookmarkEnd w:id="8890"/>
      <w:bookmarkEnd w:id="8891"/>
      <w:bookmarkEnd w:id="8892"/>
      <w:bookmarkEnd w:id="8893"/>
    </w:p>
    <w:p w14:paraId="7BB2D25B" w14:textId="77777777" w:rsidR="00D95C52" w:rsidRDefault="00D95C52" w:rsidP="00BF39B2">
      <w:pPr>
        <w:pStyle w:val="1"/>
        <w:rPr>
          <w:rtl/>
        </w:rPr>
      </w:pPr>
      <w:bookmarkStart w:id="8894" w:name="_Toc529352397"/>
      <w:bookmarkStart w:id="8895" w:name="_Toc529445012"/>
      <w:bookmarkStart w:id="8896" w:name="_Toc529704538"/>
      <w:bookmarkStart w:id="8897" w:name="_Toc529739013"/>
      <w:bookmarkStart w:id="8898" w:name="_Toc19390175"/>
      <w:bookmarkStart w:id="8899" w:name="_Toc19393672"/>
      <w:r>
        <w:rPr>
          <w:rFonts w:hint="cs"/>
          <w:rtl/>
        </w:rPr>
        <w:t>דעת התוס' דבסירכא בריאה אפשר להתיר מדין ספק ספיקא</w:t>
      </w:r>
      <w:bookmarkEnd w:id="8894"/>
      <w:bookmarkEnd w:id="8895"/>
      <w:bookmarkEnd w:id="8896"/>
      <w:bookmarkEnd w:id="8897"/>
      <w:bookmarkEnd w:id="8898"/>
      <w:bookmarkEnd w:id="8899"/>
    </w:p>
    <w:p w14:paraId="163CED1D" w14:textId="77777777" w:rsidR="00D95C52" w:rsidRPr="00967C72" w:rsidRDefault="00D95C52" w:rsidP="006D6D32">
      <w:pPr>
        <w:pStyle w:val="a3"/>
        <w:rPr>
          <w:rtl/>
        </w:rPr>
      </w:pPr>
      <w:bookmarkStart w:id="8900" w:name="_Toc529739014"/>
      <w:bookmarkStart w:id="8901" w:name="_Toc19390176"/>
      <w:bookmarkStart w:id="8902" w:name="_Toc19393673"/>
      <w:r>
        <w:rPr>
          <w:rFonts w:hint="cs"/>
          <w:rtl/>
        </w:rPr>
        <w:t>דברי התוס' דבטריפה בסירכא בריאה אפשר להתיר מדין ספק ספיקא</w:t>
      </w:r>
      <w:bookmarkEnd w:id="8900"/>
      <w:bookmarkEnd w:id="8901"/>
      <w:bookmarkEnd w:id="8902"/>
    </w:p>
    <w:p w14:paraId="3A613559" w14:textId="77777777" w:rsidR="00D95C52" w:rsidRDefault="00D95C52" w:rsidP="00223668">
      <w:pPr>
        <w:pStyle w:val="a0"/>
      </w:pPr>
      <w:bookmarkStart w:id="8903" w:name="_Ref529206459"/>
      <w:r>
        <w:rPr>
          <w:rFonts w:hint="cs"/>
          <w:rtl/>
        </w:rPr>
        <w:t xml:space="preserve">כתבו </w:t>
      </w:r>
      <w:r w:rsidRPr="002B739B">
        <w:rPr>
          <w:rStyle w:val="af9"/>
          <w:rFonts w:hint="cs"/>
          <w:rtl/>
        </w:rPr>
        <w:t xml:space="preserve">התוס' </w:t>
      </w:r>
      <w:r w:rsidRPr="00066C85">
        <w:rPr>
          <w:rStyle w:val="af7"/>
          <w:rFonts w:eastAsia="Guttman Hodes" w:hint="cs"/>
          <w:rtl/>
        </w:rPr>
        <w:t xml:space="preserve">(ד"ה אתיא) </w:t>
      </w:r>
      <w:r w:rsidRPr="00744C92">
        <w:rPr>
          <w:rStyle w:val="af9"/>
          <w:rFonts w:hint="cs"/>
          <w:rtl/>
        </w:rPr>
        <w:t>והתוס' הרא"ש</w:t>
      </w:r>
      <w:r>
        <w:rPr>
          <w:rFonts w:hint="cs"/>
          <w:rtl/>
        </w:rPr>
        <w:t xml:space="preserve"> </w:t>
      </w:r>
      <w:r w:rsidRPr="00066C85">
        <w:rPr>
          <w:rStyle w:val="af7"/>
          <w:rFonts w:eastAsia="Guttman Hodes" w:hint="cs"/>
          <w:rtl/>
        </w:rPr>
        <w:t xml:space="preserve">(ד"ה אתיא) </w:t>
      </w:r>
      <w:r>
        <w:rPr>
          <w:rFonts w:hint="cs"/>
          <w:rtl/>
        </w:rPr>
        <w:t>דאף דהגבינות אסורות כיון שהוא חזקה שלא נתבררה בשעתה, מ"מ בטריפות של סירכא בריאה</w:t>
      </w:r>
      <w:r w:rsidRPr="00C97B52">
        <w:rPr>
          <w:rFonts w:hint="cs"/>
          <w:rtl/>
        </w:rPr>
        <w:t xml:space="preserve">, </w:t>
      </w:r>
      <w:r>
        <w:rPr>
          <w:rFonts w:hint="cs"/>
          <w:rtl/>
        </w:rPr>
        <w:t>שהוא טריפה לחומרא דאם היינו בקיאין בבדיקת סירכות יתכן שהייתה מותרת ע"י בדיקה, ד</w:t>
      </w:r>
      <w:r w:rsidRPr="00C97B52">
        <w:rPr>
          <w:rFonts w:hint="cs"/>
          <w:rtl/>
        </w:rPr>
        <w:t>הגבינות מותרות מדין ספק ספיקא, ספק אינה טריפה ספק נטרפה אחר שנחלבה</w:t>
      </w:r>
      <w:r>
        <w:rPr>
          <w:rStyle w:val="af1"/>
          <w:rtl/>
        </w:rPr>
        <w:footnoteReference w:id="63"/>
      </w:r>
      <w:r>
        <w:rPr>
          <w:rFonts w:hint="cs"/>
          <w:rtl/>
        </w:rPr>
        <w:t>.</w:t>
      </w:r>
      <w:bookmarkEnd w:id="8903"/>
    </w:p>
    <w:p w14:paraId="3E485992" w14:textId="77777777" w:rsidR="00D95C52" w:rsidRDefault="00D95C52" w:rsidP="006D6D32">
      <w:pPr>
        <w:pStyle w:val="a3"/>
      </w:pPr>
      <w:bookmarkStart w:id="8904" w:name="_Toc529739015"/>
      <w:bookmarkStart w:id="8905" w:name="_Toc19390177"/>
      <w:bookmarkStart w:id="8906" w:name="_Toc19393674"/>
      <w:r>
        <w:rPr>
          <w:rFonts w:hint="cs"/>
          <w:rtl/>
        </w:rPr>
        <w:t>דברי השערי דורא דההיתר מדין ספק ספיקא הוא בגבינות שנחלבו לפני ג' ימים לשחיטה</w:t>
      </w:r>
      <w:bookmarkEnd w:id="8904"/>
      <w:bookmarkEnd w:id="8905"/>
      <w:bookmarkEnd w:id="8906"/>
    </w:p>
    <w:p w14:paraId="78A0FF64" w14:textId="77777777" w:rsidR="00D95C52" w:rsidRDefault="00D95C52" w:rsidP="00223668">
      <w:pPr>
        <w:pStyle w:val="a0"/>
        <w:rPr>
          <w:rtl/>
        </w:rPr>
      </w:pPr>
      <w:r>
        <w:rPr>
          <w:rFonts w:hint="cs"/>
          <w:rtl/>
        </w:rPr>
        <w:t xml:space="preserve">וכתב  </w:t>
      </w:r>
      <w:r w:rsidRPr="00F2419B">
        <w:rPr>
          <w:rStyle w:val="af9"/>
          <w:rFonts w:hint="cs"/>
          <w:rtl/>
        </w:rPr>
        <w:t xml:space="preserve">השערי </w:t>
      </w:r>
      <w:r w:rsidRPr="00124643">
        <w:rPr>
          <w:rStyle w:val="af9"/>
          <w:rFonts w:hint="cs"/>
          <w:rtl/>
        </w:rPr>
        <w:t>דורא</w:t>
      </w:r>
      <w:r w:rsidRPr="00124643">
        <w:rPr>
          <w:rFonts w:hint="cs"/>
          <w:rtl/>
        </w:rPr>
        <w:t xml:space="preserve"> </w:t>
      </w:r>
      <w:r w:rsidRPr="00066C85">
        <w:rPr>
          <w:rStyle w:val="af7"/>
          <w:rFonts w:eastAsia="Guttman Hodes" w:hint="cs"/>
          <w:rtl/>
        </w:rPr>
        <w:t>(סי' פ"ד, הועתק בקובץ שיטות קמאי חולין ח"א עמ' רל"ג)</w:t>
      </w:r>
      <w:r>
        <w:rPr>
          <w:rFonts w:hint="cs"/>
          <w:rtl/>
        </w:rPr>
        <w:t xml:space="preserve"> דההיתר בסירכות מדין ספק ספיקא, היינו בגבינות שנחלבו לפני ג' ימים לשחיטה.</w:t>
      </w:r>
    </w:p>
    <w:p w14:paraId="537298DC" w14:textId="77777777" w:rsidR="00D95C52" w:rsidRDefault="00D95C52" w:rsidP="006D6D32">
      <w:pPr>
        <w:pStyle w:val="a3"/>
        <w:rPr>
          <w:rtl/>
        </w:rPr>
      </w:pPr>
      <w:bookmarkStart w:id="8907" w:name="_Toc529739016"/>
      <w:bookmarkStart w:id="8908" w:name="_Toc19390178"/>
      <w:bookmarkStart w:id="8909" w:name="_Toc19393675"/>
      <w:bookmarkStart w:id="8910" w:name="_Toc529352398"/>
      <w:bookmarkStart w:id="8911" w:name="_Toc529445013"/>
      <w:bookmarkStart w:id="8912" w:name="_Toc529704539"/>
      <w:r>
        <w:rPr>
          <w:rFonts w:hint="cs"/>
          <w:rtl/>
        </w:rPr>
        <w:t>דברי הש"ך דפלוגתת התוס' והרשב"א היא רק בגבינות שנחלבו לפני ג' ימים לשחיטה</w:t>
      </w:r>
      <w:bookmarkEnd w:id="8907"/>
      <w:bookmarkEnd w:id="8908"/>
      <w:bookmarkEnd w:id="8909"/>
    </w:p>
    <w:p w14:paraId="6E5F21BC" w14:textId="77777777" w:rsidR="00D95C52" w:rsidRDefault="00D95C52" w:rsidP="00223668">
      <w:pPr>
        <w:pStyle w:val="a0"/>
        <w:rPr>
          <w:rtl/>
        </w:rPr>
      </w:pPr>
      <w:bookmarkStart w:id="8913" w:name="_Ref529206041"/>
      <w:r>
        <w:rPr>
          <w:rFonts w:hint="cs"/>
          <w:rtl/>
        </w:rPr>
        <w:t xml:space="preserve">וכ"כ </w:t>
      </w:r>
      <w:r w:rsidRPr="00FC6CEA">
        <w:rPr>
          <w:rStyle w:val="af9"/>
          <w:rFonts w:hint="cs"/>
          <w:rtl/>
        </w:rPr>
        <w:t xml:space="preserve">הש"ך </w:t>
      </w:r>
      <w:r w:rsidRPr="00FC6CEA">
        <w:rPr>
          <w:rStyle w:val="af7"/>
          <w:rFonts w:eastAsia="Guttman Hodes" w:hint="cs"/>
          <w:rtl/>
        </w:rPr>
        <w:t>(סי' פ"א ס"ק ט')</w:t>
      </w:r>
      <w:r>
        <w:rPr>
          <w:rFonts w:hint="cs"/>
          <w:rtl/>
        </w:rPr>
        <w:t xml:space="preserve"> דכל מה שהתירו </w:t>
      </w:r>
      <w:r w:rsidRPr="00FC6CEA">
        <w:rPr>
          <w:rStyle w:val="af9"/>
          <w:rFonts w:hint="cs"/>
          <w:rtl/>
        </w:rPr>
        <w:t>התוס'</w:t>
      </w:r>
      <w:r>
        <w:rPr>
          <w:rFonts w:hint="cs"/>
          <w:rtl/>
        </w:rPr>
        <w:t xml:space="preserve"> </w:t>
      </w:r>
      <w:r w:rsidRPr="00FC6CEA">
        <w:rPr>
          <w:rStyle w:val="af7"/>
          <w:rFonts w:eastAsia="Guttman Hodes" w:hint="cs"/>
          <w:rtl/>
        </w:rPr>
        <w:t xml:space="preserve">(עי' אות </w:t>
      </w:r>
      <w:r w:rsidRPr="00FC6CEA">
        <w:rPr>
          <w:rStyle w:val="af7"/>
          <w:rFonts w:eastAsia="Guttman Hodes"/>
          <w:rtl/>
        </w:rPr>
        <w:fldChar w:fldCharType="begin"/>
      </w:r>
      <w:r w:rsidRPr="00FC6CEA">
        <w:rPr>
          <w:rStyle w:val="af7"/>
          <w:rFonts w:eastAsia="Guttman Hodes"/>
          <w:rtl/>
        </w:rPr>
        <w:instrText xml:space="preserve"> </w:instrText>
      </w:r>
      <w:r w:rsidRPr="00FC6CEA">
        <w:rPr>
          <w:rStyle w:val="af7"/>
          <w:rFonts w:eastAsia="Guttman Hodes" w:hint="cs"/>
        </w:rPr>
        <w:instrText>REF</w:instrText>
      </w:r>
      <w:r w:rsidRPr="00FC6CEA">
        <w:rPr>
          <w:rStyle w:val="af7"/>
          <w:rFonts w:eastAsia="Guttman Hodes" w:hint="cs"/>
          <w:rtl/>
        </w:rPr>
        <w:instrText xml:space="preserve"> _</w:instrText>
      </w:r>
      <w:r w:rsidRPr="00FC6CEA">
        <w:rPr>
          <w:rStyle w:val="af7"/>
          <w:rFonts w:eastAsia="Guttman Hodes" w:hint="cs"/>
        </w:rPr>
        <w:instrText>Ref529206459 \r \h</w:instrText>
      </w:r>
      <w:r w:rsidRPr="00FC6CEA">
        <w:rPr>
          <w:rStyle w:val="af7"/>
          <w:rFonts w:eastAsia="Guttman Hodes"/>
          <w:rtl/>
        </w:rPr>
        <w:instrText xml:space="preserve"> </w:instrText>
      </w:r>
      <w:r w:rsidRPr="00FC6CEA">
        <w:rPr>
          <w:rStyle w:val="af7"/>
          <w:rFonts w:eastAsia="Guttman Hodes"/>
          <w:rtl/>
        </w:rPr>
      </w:r>
      <w:r w:rsidRPr="00FC6CEA">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FC6CEA">
        <w:rPr>
          <w:rStyle w:val="af7"/>
          <w:rFonts w:eastAsia="Guttman Hodes"/>
          <w:rtl/>
        </w:rPr>
        <w:fldChar w:fldCharType="end"/>
      </w:r>
      <w:r>
        <w:rPr>
          <w:rFonts w:hint="cs"/>
          <w:rtl/>
        </w:rPr>
        <w:t xml:space="preserve"> בסירכא</w:t>
      </w:r>
      <w:bookmarkEnd w:id="8913"/>
      <w:r>
        <w:rPr>
          <w:rFonts w:hint="cs"/>
          <w:rtl/>
        </w:rPr>
        <w:t xml:space="preserve"> מדין ספק ספיקא הוא רק בגבינות שנחלבו לפני ג' ימים קודם השחיטה, אבל הגבינות של הג' ימים האחרונים, אסורות לכו"ע כיון שלא יתכן שנעשית הסירכא פחות מג' ימים, </w:t>
      </w:r>
      <w:r w:rsidRPr="00FC6CEA">
        <w:rPr>
          <w:rStyle w:val="af9"/>
          <w:rFonts w:hint="cs"/>
          <w:rtl/>
        </w:rPr>
        <w:t>והרשב"א והר"ן על הרי"ף</w:t>
      </w:r>
      <w:r>
        <w:rPr>
          <w:rFonts w:hint="cs"/>
          <w:rtl/>
        </w:rPr>
        <w:t xml:space="preserve"> </w:t>
      </w:r>
      <w:r w:rsidRPr="00FC6CEA">
        <w:rPr>
          <w:rStyle w:val="af7"/>
          <w:rFonts w:eastAsia="Guttman Hodes" w:hint="cs"/>
          <w:rtl/>
        </w:rPr>
        <w:t xml:space="preserve">(עי' אות </w:t>
      </w:r>
      <w:r w:rsidRPr="00FC6CEA">
        <w:rPr>
          <w:rStyle w:val="af7"/>
          <w:rFonts w:eastAsia="Guttman Hodes"/>
          <w:rtl/>
        </w:rPr>
        <w:fldChar w:fldCharType="begin"/>
      </w:r>
      <w:r w:rsidRPr="00FC6CEA">
        <w:rPr>
          <w:rStyle w:val="af7"/>
          <w:rFonts w:eastAsia="Guttman Hodes"/>
          <w:rtl/>
        </w:rPr>
        <w:instrText xml:space="preserve"> </w:instrText>
      </w:r>
      <w:r w:rsidRPr="00FC6CEA">
        <w:rPr>
          <w:rStyle w:val="af7"/>
          <w:rFonts w:eastAsia="Guttman Hodes" w:hint="cs"/>
        </w:rPr>
        <w:instrText>REF</w:instrText>
      </w:r>
      <w:r w:rsidRPr="00FC6CEA">
        <w:rPr>
          <w:rStyle w:val="af7"/>
          <w:rFonts w:eastAsia="Guttman Hodes" w:hint="cs"/>
          <w:rtl/>
        </w:rPr>
        <w:instrText xml:space="preserve"> _</w:instrText>
      </w:r>
      <w:r w:rsidRPr="00FC6CEA">
        <w:rPr>
          <w:rStyle w:val="af7"/>
          <w:rFonts w:eastAsia="Guttman Hodes" w:hint="cs"/>
        </w:rPr>
        <w:instrText>Ref529206479 \r \h</w:instrText>
      </w:r>
      <w:r w:rsidRPr="00FC6CEA">
        <w:rPr>
          <w:rStyle w:val="af7"/>
          <w:rFonts w:eastAsia="Guttman Hodes"/>
          <w:rtl/>
        </w:rPr>
        <w:instrText xml:space="preserve"> </w:instrText>
      </w:r>
      <w:r w:rsidRPr="00FC6CEA">
        <w:rPr>
          <w:rStyle w:val="af7"/>
          <w:rFonts w:eastAsia="Guttman Hodes"/>
          <w:rtl/>
        </w:rPr>
      </w:r>
      <w:r w:rsidRPr="00FC6CEA">
        <w:rPr>
          <w:rStyle w:val="af7"/>
          <w:rFonts w:eastAsia="Guttman Hodes"/>
          <w:rtl/>
        </w:rPr>
        <w:fldChar w:fldCharType="separate"/>
      </w:r>
      <w:r w:rsidR="00345400">
        <w:rPr>
          <w:rStyle w:val="af7"/>
          <w:rFonts w:eastAsia="Guttman Hodes"/>
          <w:cs/>
        </w:rPr>
        <w:t>‎</w:t>
      </w:r>
      <w:r w:rsidR="00345400">
        <w:rPr>
          <w:rStyle w:val="af7"/>
          <w:rFonts w:eastAsia="Guttman Hodes"/>
          <w:rtl/>
        </w:rPr>
        <w:t>סב)</w:t>
      </w:r>
      <w:r w:rsidRPr="00FC6CEA">
        <w:rPr>
          <w:rStyle w:val="af7"/>
          <w:rFonts w:eastAsia="Guttman Hodes"/>
          <w:rtl/>
        </w:rPr>
        <w:fldChar w:fldCharType="end"/>
      </w:r>
      <w:r>
        <w:rPr>
          <w:rFonts w:hint="cs"/>
          <w:rtl/>
        </w:rPr>
        <w:t xml:space="preserve"> שאסרו בסירכא, היינו גם קודם ג' ימים, וכתב </w:t>
      </w:r>
      <w:r w:rsidRPr="00A21025">
        <w:rPr>
          <w:rStyle w:val="af9"/>
          <w:rFonts w:hint="cs"/>
          <w:rtl/>
        </w:rPr>
        <w:t xml:space="preserve">הש"ך </w:t>
      </w:r>
      <w:r>
        <w:rPr>
          <w:rFonts w:hint="cs"/>
          <w:rtl/>
        </w:rPr>
        <w:t xml:space="preserve">דכן מבואר מדברי </w:t>
      </w:r>
      <w:r w:rsidRPr="00A21025">
        <w:rPr>
          <w:rStyle w:val="af9"/>
          <w:rFonts w:hint="cs"/>
          <w:rtl/>
        </w:rPr>
        <w:t xml:space="preserve">הב"י </w:t>
      </w:r>
      <w:r w:rsidRPr="0018350E">
        <w:rPr>
          <w:rStyle w:val="af7"/>
          <w:rFonts w:eastAsia="Guttman Hodes" w:hint="cs"/>
          <w:rtl/>
        </w:rPr>
        <w:t>(סי' פ"א ב')</w:t>
      </w:r>
      <w:r>
        <w:rPr>
          <w:rFonts w:hint="cs"/>
          <w:rtl/>
        </w:rPr>
        <w:t>.</w:t>
      </w:r>
    </w:p>
    <w:p w14:paraId="529E2620" w14:textId="77777777" w:rsidR="00D95C52" w:rsidRDefault="00D95C52" w:rsidP="006D6D32">
      <w:pPr>
        <w:pStyle w:val="a3"/>
        <w:rPr>
          <w:rtl/>
        </w:rPr>
      </w:pPr>
      <w:bookmarkStart w:id="8914" w:name="_Toc529739017"/>
      <w:bookmarkStart w:id="8915" w:name="_Toc19390179"/>
      <w:bookmarkStart w:id="8916" w:name="_Toc19393676"/>
      <w:r>
        <w:rPr>
          <w:rFonts w:hint="cs"/>
          <w:rtl/>
        </w:rPr>
        <w:t>דברי הש"ך דברמ"א מבואר דהתוס' התיר אף בג' ימים האחרונים</w:t>
      </w:r>
      <w:bookmarkEnd w:id="8914"/>
      <w:bookmarkEnd w:id="8915"/>
      <w:bookmarkEnd w:id="8916"/>
    </w:p>
    <w:p w14:paraId="18298B25" w14:textId="77777777" w:rsidR="00D95C52" w:rsidRDefault="00D95C52" w:rsidP="00223668">
      <w:pPr>
        <w:pStyle w:val="a0"/>
        <w:rPr>
          <w:rtl/>
        </w:rPr>
      </w:pPr>
      <w:r>
        <w:rPr>
          <w:rFonts w:hint="cs"/>
          <w:rtl/>
        </w:rPr>
        <w:t xml:space="preserve">אך כתב </w:t>
      </w:r>
      <w:r w:rsidRPr="00A21025">
        <w:rPr>
          <w:rStyle w:val="af9"/>
          <w:rFonts w:hint="cs"/>
          <w:rtl/>
        </w:rPr>
        <w:t xml:space="preserve">הש"ך </w:t>
      </w:r>
      <w:r>
        <w:rPr>
          <w:rFonts w:hint="cs"/>
          <w:rtl/>
        </w:rPr>
        <w:t xml:space="preserve">דמדברי </w:t>
      </w:r>
      <w:r w:rsidRPr="00A21025">
        <w:rPr>
          <w:rStyle w:val="af9"/>
          <w:rFonts w:hint="cs"/>
          <w:rtl/>
        </w:rPr>
        <w:t xml:space="preserve">הרמ"א </w:t>
      </w:r>
      <w:r w:rsidRPr="0018350E">
        <w:rPr>
          <w:rStyle w:val="af7"/>
          <w:rFonts w:eastAsia="Guttman Hodes" w:hint="cs"/>
          <w:rtl/>
        </w:rPr>
        <w:t xml:space="preserve">(סי' פ"א ב') </w:t>
      </w:r>
      <w:r>
        <w:rPr>
          <w:rFonts w:hint="cs"/>
          <w:rtl/>
        </w:rPr>
        <w:t xml:space="preserve">משמע דלדעת </w:t>
      </w:r>
      <w:r>
        <w:rPr>
          <w:rStyle w:val="af9"/>
          <w:rFonts w:hint="cs"/>
          <w:rtl/>
        </w:rPr>
        <w:t>ה</w:t>
      </w:r>
      <w:r w:rsidRPr="00A21025">
        <w:rPr>
          <w:rStyle w:val="af9"/>
          <w:rFonts w:hint="cs"/>
          <w:rtl/>
        </w:rPr>
        <w:t xml:space="preserve">תוס' </w:t>
      </w:r>
      <w:r>
        <w:rPr>
          <w:rFonts w:hint="cs"/>
          <w:rtl/>
        </w:rPr>
        <w:t xml:space="preserve">מותר מדין ספק ספיקא אף בג' ימים האחרונים, ועיי"ש בדברי </w:t>
      </w:r>
      <w:r w:rsidRPr="00A21025">
        <w:rPr>
          <w:rStyle w:val="af9"/>
          <w:rFonts w:hint="cs"/>
          <w:rtl/>
        </w:rPr>
        <w:t xml:space="preserve">הש"ך </w:t>
      </w:r>
      <w:r>
        <w:rPr>
          <w:rFonts w:hint="cs"/>
          <w:rtl/>
        </w:rPr>
        <w:t xml:space="preserve">דהוכיח מדברי </w:t>
      </w:r>
      <w:r w:rsidRPr="00A21025">
        <w:rPr>
          <w:rStyle w:val="af9"/>
          <w:rFonts w:hint="cs"/>
          <w:rtl/>
        </w:rPr>
        <w:t xml:space="preserve">הראשונים </w:t>
      </w:r>
      <w:r>
        <w:rPr>
          <w:rFonts w:hint="cs"/>
          <w:rtl/>
        </w:rPr>
        <w:t>דהתירו רק לפני הג' ימים האחרונים.</w:t>
      </w:r>
    </w:p>
    <w:p w14:paraId="0CCBC50A" w14:textId="77777777" w:rsidR="00D95C52" w:rsidRDefault="00D95C52" w:rsidP="00BF39B2">
      <w:pPr>
        <w:pStyle w:val="1"/>
        <w:rPr>
          <w:rtl/>
        </w:rPr>
      </w:pPr>
      <w:bookmarkStart w:id="8917" w:name="_Toc529739018"/>
      <w:bookmarkStart w:id="8918" w:name="_Toc19390180"/>
      <w:bookmarkStart w:id="8919" w:name="_Toc19393677"/>
      <w:r>
        <w:rPr>
          <w:rFonts w:hint="cs"/>
          <w:rtl/>
        </w:rPr>
        <w:t>דעת רבינו יונה דבסירכא יצאה מחזקתה והגבינות אסורות</w:t>
      </w:r>
      <w:bookmarkEnd w:id="8910"/>
      <w:bookmarkEnd w:id="8911"/>
      <w:bookmarkEnd w:id="8912"/>
      <w:bookmarkEnd w:id="8917"/>
      <w:bookmarkEnd w:id="8918"/>
      <w:bookmarkEnd w:id="8919"/>
    </w:p>
    <w:p w14:paraId="0052C5C3" w14:textId="77777777" w:rsidR="00D95C52" w:rsidRPr="006736A2" w:rsidRDefault="00D95C52" w:rsidP="006D6D32">
      <w:pPr>
        <w:pStyle w:val="a3"/>
        <w:rPr>
          <w:rtl/>
        </w:rPr>
      </w:pPr>
      <w:bookmarkStart w:id="8920" w:name="_Toc529739019"/>
      <w:bookmarkStart w:id="8921" w:name="_Toc19390181"/>
      <w:bookmarkStart w:id="8922" w:name="_Toc19393678"/>
      <w:r>
        <w:rPr>
          <w:rFonts w:hint="cs"/>
          <w:rtl/>
        </w:rPr>
        <w:t>דברי רבינו יונה דבטריפה שודאי נטרפה מחיים ולא סמוך לשחיטה אין לבהמה כל חזקה</w:t>
      </w:r>
      <w:bookmarkEnd w:id="8920"/>
      <w:bookmarkEnd w:id="8921"/>
      <w:bookmarkEnd w:id="8922"/>
    </w:p>
    <w:p w14:paraId="02797501" w14:textId="77777777" w:rsidR="00D95C52" w:rsidRDefault="00D95C52" w:rsidP="00223668">
      <w:pPr>
        <w:pStyle w:val="a0"/>
        <w:rPr>
          <w:rtl/>
        </w:rPr>
      </w:pPr>
      <w:bookmarkStart w:id="8923" w:name="_Ref529206479"/>
      <w:r>
        <w:rPr>
          <w:rFonts w:hint="cs"/>
          <w:rtl/>
        </w:rPr>
        <w:t xml:space="preserve">אבל </w:t>
      </w:r>
      <w:r w:rsidRPr="001F2F7A">
        <w:rPr>
          <w:rStyle w:val="af9"/>
          <w:rFonts w:hint="cs"/>
          <w:rtl/>
        </w:rPr>
        <w:t>הרשב"א</w:t>
      </w:r>
      <w:r>
        <w:rPr>
          <w:rFonts w:hint="cs"/>
          <w:rtl/>
        </w:rPr>
        <w:t xml:space="preserve"> </w:t>
      </w:r>
      <w:r>
        <w:rPr>
          <w:rStyle w:val="af9"/>
          <w:rFonts w:hint="cs"/>
          <w:rtl/>
        </w:rPr>
        <w:t>בחי'</w:t>
      </w:r>
      <w:r w:rsidRPr="00F8552A">
        <w:rPr>
          <w:rStyle w:val="af9"/>
          <w:rFonts w:hint="cs"/>
          <w:rtl/>
        </w:rPr>
        <w:t xml:space="preserve"> </w:t>
      </w:r>
      <w:r w:rsidRPr="007442FD">
        <w:rPr>
          <w:rStyle w:val="af7"/>
          <w:rFonts w:eastAsia="Guttman Hodes" w:hint="cs"/>
          <w:rtl/>
        </w:rPr>
        <w:t>(ד"ה אתיא)</w:t>
      </w:r>
      <w:r>
        <w:rPr>
          <w:rFonts w:hint="cs"/>
          <w:rtl/>
        </w:rPr>
        <w:t xml:space="preserve"> </w:t>
      </w:r>
      <w:r w:rsidRPr="00DF29FB">
        <w:rPr>
          <w:rStyle w:val="af9"/>
          <w:rFonts w:hint="cs"/>
          <w:rtl/>
        </w:rPr>
        <w:t>ובתוה"ב</w:t>
      </w:r>
      <w:r>
        <w:rPr>
          <w:rFonts w:hint="cs"/>
          <w:rtl/>
        </w:rPr>
        <w:t xml:space="preserve"> </w:t>
      </w:r>
      <w:r w:rsidRPr="007442FD">
        <w:rPr>
          <w:rStyle w:val="af7"/>
          <w:rFonts w:eastAsia="Guttman Hodes" w:hint="cs"/>
          <w:rtl/>
        </w:rPr>
        <w:t xml:space="preserve">(ב"ג ש"ו דף צא. מדה"ס ד"ה ולענין) </w:t>
      </w:r>
      <w:r w:rsidRPr="00E86CBF">
        <w:rPr>
          <w:rStyle w:val="af9"/>
          <w:rFonts w:hint="cs"/>
          <w:rtl/>
        </w:rPr>
        <w:t>והר"ן על הרי"ף</w:t>
      </w:r>
      <w:r>
        <w:rPr>
          <w:rFonts w:hint="cs"/>
          <w:rtl/>
        </w:rPr>
        <w:t xml:space="preserve"> </w:t>
      </w:r>
      <w:r w:rsidRPr="00E86CBF">
        <w:rPr>
          <w:rStyle w:val="af7"/>
          <w:rFonts w:eastAsia="Guttman Hodes" w:hint="cs"/>
          <w:rtl/>
        </w:rPr>
        <w:t>(ג. מדפי הרי"ף ד"ה גרסי')</w:t>
      </w:r>
      <w:r>
        <w:rPr>
          <w:rFonts w:hint="cs"/>
          <w:rtl/>
        </w:rPr>
        <w:t xml:space="preserve"> כתבו בשם </w:t>
      </w:r>
      <w:r w:rsidRPr="00BB7A7C">
        <w:rPr>
          <w:rStyle w:val="af9"/>
          <w:rFonts w:hint="cs"/>
          <w:rtl/>
        </w:rPr>
        <w:t>רבינו יונה</w:t>
      </w:r>
      <w:r>
        <w:rPr>
          <w:rFonts w:hint="cs"/>
          <w:rtl/>
        </w:rPr>
        <w:t xml:space="preserve"> דאף דס"ל דהגבינות מותרות מדין חזקה מכח רוב, מ"מ זה דוקא היכא שאפש"ל דנטרפה סמוך לשחיטה ממש, אבל בטריפה של סירכא וכדו' שודאי נעשו מחיים וא"א לומר שנטרפה בשעת שחיטה, בכה"ג הגבינות אסורות, דא"א לומר שנעמידנה על חזקתה, שבשעה שנחלבה הייתה כשרה, דהא ודאי שיצאה מחזקתה, וא"א לברר מתי נטרפה ויצאה מחזקתה, וא"א לתלות בזמן ידוע, היא אסורה למפרע</w:t>
      </w:r>
      <w:r>
        <w:rPr>
          <w:rtl/>
        </w:rPr>
        <w:t xml:space="preserve">, ועי' במה שביאר </w:t>
      </w:r>
      <w:r>
        <w:rPr>
          <w:rStyle w:val="af9"/>
          <w:rtl/>
        </w:rPr>
        <w:t>השער"י</w:t>
      </w:r>
      <w:r>
        <w:rPr>
          <w:rtl/>
        </w:rPr>
        <w:t xml:space="preserve"> </w:t>
      </w:r>
      <w:r>
        <w:rPr>
          <w:rStyle w:val="af7"/>
          <w:rFonts w:eastAsiaTheme="minorHAnsi" w:hint="cs"/>
          <w:rtl/>
        </w:rPr>
        <w:t xml:space="preserve">(עי' אות </w:t>
      </w:r>
      <w:r>
        <w:rPr>
          <w:rStyle w:val="af7"/>
          <w:rFonts w:eastAsiaTheme="minorHAnsi"/>
          <w:rtl/>
        </w:rPr>
        <w:fldChar w:fldCharType="begin"/>
      </w:r>
      <w:r>
        <w:rPr>
          <w:rStyle w:val="af7"/>
          <w:rFonts w:eastAsiaTheme="minorHAnsi"/>
          <w:rtl/>
        </w:rPr>
        <w:instrText xml:space="preserve"> </w:instrText>
      </w:r>
      <w:r>
        <w:rPr>
          <w:rStyle w:val="af7"/>
          <w:rFonts w:eastAsiaTheme="minorHAnsi" w:hint="cs"/>
        </w:rPr>
        <w:instrText>REF</w:instrText>
      </w:r>
      <w:r>
        <w:rPr>
          <w:rStyle w:val="af7"/>
          <w:rFonts w:eastAsiaTheme="minorHAnsi" w:hint="cs"/>
          <w:rtl/>
        </w:rPr>
        <w:instrText xml:space="preserve"> _</w:instrText>
      </w:r>
      <w:r>
        <w:rPr>
          <w:rStyle w:val="af7"/>
          <w:rFonts w:eastAsiaTheme="minorHAnsi" w:hint="cs"/>
        </w:rPr>
        <w:instrText>Ref529479249 \r \h</w:instrText>
      </w:r>
      <w:r>
        <w:rPr>
          <w:rStyle w:val="af7"/>
          <w:rFonts w:eastAsiaTheme="minorHAnsi"/>
          <w:rtl/>
        </w:rPr>
        <w:instrText xml:space="preserve"> </w:instrText>
      </w:r>
      <w:r>
        <w:rPr>
          <w:rStyle w:val="af7"/>
          <w:rFonts w:eastAsiaTheme="minorHAnsi"/>
          <w:rtl/>
        </w:rPr>
      </w:r>
      <w:r>
        <w:rPr>
          <w:rStyle w:val="af7"/>
          <w:rFonts w:eastAsiaTheme="minorHAnsi"/>
          <w:rtl/>
        </w:rPr>
        <w:fldChar w:fldCharType="separate"/>
      </w:r>
      <w:r w:rsidR="00345400">
        <w:rPr>
          <w:rStyle w:val="af7"/>
          <w:rFonts w:eastAsiaTheme="minorHAnsi"/>
          <w:cs/>
        </w:rPr>
        <w:t>‎</w:t>
      </w:r>
      <w:r w:rsidR="00345400">
        <w:rPr>
          <w:rStyle w:val="af7"/>
          <w:rFonts w:eastAsiaTheme="minorHAnsi"/>
          <w:rtl/>
        </w:rPr>
        <w:t>קב)</w:t>
      </w:r>
      <w:r>
        <w:rPr>
          <w:rStyle w:val="af7"/>
          <w:rFonts w:eastAsiaTheme="minorHAnsi"/>
          <w:rtl/>
        </w:rPr>
        <w:fldChar w:fldCharType="end"/>
      </w:r>
      <w:r>
        <w:rPr>
          <w:rFonts w:hint="cs"/>
          <w:rtl/>
        </w:rPr>
        <w:t>.</w:t>
      </w:r>
      <w:bookmarkEnd w:id="8923"/>
    </w:p>
    <w:p w14:paraId="088A4C75" w14:textId="77777777" w:rsidR="00D95C52" w:rsidRDefault="00D95C52" w:rsidP="006D6D32">
      <w:pPr>
        <w:pStyle w:val="a3"/>
        <w:rPr>
          <w:rtl/>
        </w:rPr>
      </w:pPr>
      <w:bookmarkStart w:id="8924" w:name="_Toc529739020"/>
      <w:bookmarkStart w:id="8925" w:name="_Toc19390182"/>
      <w:bookmarkStart w:id="8926" w:name="_Toc19393679"/>
      <w:r>
        <w:rPr>
          <w:rFonts w:hint="cs"/>
          <w:rtl/>
        </w:rPr>
        <w:t>הוכחת הרשב"א והר"ן מדין כתמים דביצאה מחזקתה א"א להעמידה על החזקה כלל</w:t>
      </w:r>
      <w:bookmarkEnd w:id="8924"/>
      <w:bookmarkEnd w:id="8925"/>
      <w:bookmarkEnd w:id="8926"/>
    </w:p>
    <w:p w14:paraId="3CA3E2FC" w14:textId="77777777" w:rsidR="00D95C52" w:rsidRDefault="00D95C52" w:rsidP="00223668">
      <w:pPr>
        <w:pStyle w:val="a0"/>
        <w:rPr>
          <w:rtl/>
        </w:rPr>
      </w:pPr>
      <w:bookmarkStart w:id="8927" w:name="_Ref529726899"/>
      <w:r>
        <w:rPr>
          <w:rFonts w:hint="cs"/>
          <w:rtl/>
        </w:rPr>
        <w:t xml:space="preserve">וכתבו </w:t>
      </w:r>
      <w:r w:rsidRPr="001F2F7A">
        <w:rPr>
          <w:rStyle w:val="af9"/>
          <w:rFonts w:hint="cs"/>
          <w:rtl/>
        </w:rPr>
        <w:t>הרשב"א</w:t>
      </w:r>
      <w:r>
        <w:rPr>
          <w:rFonts w:hint="cs"/>
          <w:rtl/>
        </w:rPr>
        <w:t xml:space="preserve"> </w:t>
      </w:r>
      <w:r w:rsidRPr="00E86CBF">
        <w:rPr>
          <w:rStyle w:val="af9"/>
          <w:rFonts w:hint="cs"/>
          <w:rtl/>
        </w:rPr>
        <w:t>והר"ן על הרי"ף</w:t>
      </w:r>
      <w:r>
        <w:rPr>
          <w:rFonts w:hint="cs"/>
          <w:rtl/>
        </w:rPr>
        <w:t xml:space="preserve"> דכן מבואר בגמ' בנדה </w:t>
      </w:r>
      <w:r w:rsidRPr="00DB130F">
        <w:rPr>
          <w:rStyle w:val="af7"/>
          <w:rFonts w:eastAsia="Guttman Hodes" w:hint="cs"/>
          <w:rtl/>
        </w:rPr>
        <w:t>(נו.)</w:t>
      </w:r>
      <w:r>
        <w:rPr>
          <w:rFonts w:hint="cs"/>
          <w:rtl/>
        </w:rPr>
        <w:t xml:space="preserve"> לענין כתמים, דהאשה טמאה משעת כיבוס, דכיון שהכתם יבש וא"א לומר שעכשיו ראתה, א"א להעמידנה בחזקת טהרה, עד הזמן שבו ודאי היה הכתם היבש, אלא היא טמאה משעת הכיבוס של חלוקה, שאז ודאי לא היה הכתם.</w:t>
      </w:r>
      <w:bookmarkEnd w:id="8927"/>
    </w:p>
    <w:p w14:paraId="7647A3DD" w14:textId="77777777" w:rsidR="00D95C52" w:rsidRDefault="00D95C52" w:rsidP="006D6D32">
      <w:pPr>
        <w:pStyle w:val="a3"/>
        <w:rPr>
          <w:rtl/>
        </w:rPr>
      </w:pPr>
      <w:bookmarkStart w:id="8928" w:name="_Toc529739021"/>
      <w:bookmarkStart w:id="8929" w:name="_Toc19390183"/>
      <w:bookmarkStart w:id="8930" w:name="_Toc19393680"/>
      <w:r>
        <w:rPr>
          <w:rFonts w:hint="cs"/>
          <w:rtl/>
        </w:rPr>
        <w:t>דברי הרשב"א והר"ן דבדין מומין יש החזקה אף שיצאה ממנה מדין אין מחזיקין מרשות לרשות</w:t>
      </w:r>
      <w:bookmarkEnd w:id="8928"/>
      <w:bookmarkEnd w:id="8929"/>
      <w:bookmarkEnd w:id="8930"/>
    </w:p>
    <w:p w14:paraId="3566545D" w14:textId="77777777" w:rsidR="00D95C52" w:rsidRDefault="00D95C52" w:rsidP="00223668">
      <w:pPr>
        <w:pStyle w:val="a0"/>
        <w:rPr>
          <w:sz w:val="10"/>
          <w:szCs w:val="14"/>
          <w:rtl/>
        </w:rPr>
      </w:pPr>
      <w:bookmarkStart w:id="8931" w:name="_Ref529354097"/>
      <w:r>
        <w:rPr>
          <w:rFonts w:hint="cs"/>
          <w:rtl/>
        </w:rPr>
        <w:t xml:space="preserve">והוסיפו </w:t>
      </w:r>
      <w:r w:rsidRPr="00DB130F">
        <w:rPr>
          <w:rStyle w:val="af9"/>
          <w:rFonts w:hint="cs"/>
          <w:rtl/>
        </w:rPr>
        <w:t xml:space="preserve">הרשב"א </w:t>
      </w:r>
      <w:r w:rsidRPr="00E86CBF">
        <w:rPr>
          <w:rStyle w:val="af9"/>
          <w:rFonts w:hint="cs"/>
          <w:rtl/>
        </w:rPr>
        <w:t>והר"ן על הרי"ף</w:t>
      </w:r>
      <w:r>
        <w:rPr>
          <w:rFonts w:hint="cs"/>
          <w:rtl/>
        </w:rPr>
        <w:t xml:space="preserve"> בשם </w:t>
      </w:r>
      <w:r w:rsidRPr="001F2F7A">
        <w:rPr>
          <w:rStyle w:val="af9"/>
          <w:rFonts w:hint="cs"/>
          <w:rtl/>
        </w:rPr>
        <w:t>רב</w:t>
      </w:r>
      <w:r>
        <w:rPr>
          <w:rStyle w:val="af9"/>
          <w:rFonts w:hint="cs"/>
          <w:rtl/>
        </w:rPr>
        <w:t>ינו יונה</w:t>
      </w:r>
      <w:r w:rsidRPr="001F2F7A">
        <w:rPr>
          <w:rStyle w:val="af9"/>
          <w:rFonts w:hint="cs"/>
          <w:rtl/>
        </w:rPr>
        <w:t xml:space="preserve"> </w:t>
      </w:r>
      <w:r>
        <w:rPr>
          <w:rFonts w:hint="cs"/>
          <w:rtl/>
        </w:rPr>
        <w:t xml:space="preserve">דאף דבגמ' בכתובות </w:t>
      </w:r>
      <w:r w:rsidRPr="00A04034">
        <w:rPr>
          <w:rStyle w:val="af7"/>
          <w:rFonts w:eastAsia="Guttman Hodes" w:hint="cs"/>
          <w:rtl/>
        </w:rPr>
        <w:t>(עה:)</w:t>
      </w:r>
      <w:r>
        <w:rPr>
          <w:rFonts w:hint="cs"/>
          <w:rtl/>
        </w:rPr>
        <w:t xml:space="preserve"> אמרינן באשה שנמצאו בה מומין דהעמידנה בחזקת שלא היו בה מומין לפני שנתארסה, ואף במומין דא"א לומר שנולדו בה עכשיו, מ"מ אמרינן דכיון שנמצאו ברשות הבעל הם נולדו בה ברשות הבעל, דאין מחזיקין מרשות לרשות ואמרינן כאן נמצאו כאן היו, </w:t>
      </w:r>
      <w:r w:rsidRPr="00FA5A98">
        <w:rPr>
          <w:rFonts w:hint="cs"/>
          <w:rtl/>
        </w:rPr>
        <w:t xml:space="preserve">וכתב </w:t>
      </w:r>
      <w:r w:rsidRPr="00FA5A98">
        <w:rPr>
          <w:rStyle w:val="af9"/>
          <w:rFonts w:hint="cs"/>
          <w:rtl/>
        </w:rPr>
        <w:t>הרשב"א</w:t>
      </w:r>
      <w:r w:rsidRPr="00FA5A98">
        <w:rPr>
          <w:rFonts w:hint="cs"/>
          <w:rtl/>
        </w:rPr>
        <w:t xml:space="preserve"> דכן דעת </w:t>
      </w:r>
      <w:r w:rsidRPr="00FA5A98">
        <w:rPr>
          <w:rStyle w:val="af9"/>
          <w:rFonts w:hint="cs"/>
          <w:rtl/>
        </w:rPr>
        <w:t>הבה"ג וספר התרומה</w:t>
      </w:r>
      <w:r w:rsidRPr="00FA5A98">
        <w:rPr>
          <w:rFonts w:hint="cs"/>
          <w:rtl/>
        </w:rPr>
        <w:t xml:space="preserve"> </w:t>
      </w:r>
      <w:r w:rsidRPr="00FA5A98">
        <w:rPr>
          <w:rStyle w:val="af7"/>
          <w:rFonts w:eastAsia="Guttman Hodes" w:hint="cs"/>
          <w:rtl/>
        </w:rPr>
        <w:t xml:space="preserve">(עי' אות </w:t>
      </w:r>
      <w:r w:rsidRPr="00FA5A98">
        <w:rPr>
          <w:rStyle w:val="af7"/>
          <w:rFonts w:eastAsia="Guttman Hodes"/>
          <w:rtl/>
        </w:rPr>
        <w:fldChar w:fldCharType="begin"/>
      </w:r>
      <w:r w:rsidRPr="00FA5A98">
        <w:rPr>
          <w:rStyle w:val="af7"/>
          <w:rFonts w:eastAsia="Guttman Hodes"/>
          <w:rtl/>
        </w:rPr>
        <w:instrText xml:space="preserve"> </w:instrText>
      </w:r>
      <w:r w:rsidRPr="00FA5A98">
        <w:rPr>
          <w:rStyle w:val="af7"/>
          <w:rFonts w:eastAsia="Guttman Hodes" w:hint="cs"/>
        </w:rPr>
        <w:instrText>REF</w:instrText>
      </w:r>
      <w:r w:rsidRPr="00FA5A98">
        <w:rPr>
          <w:rStyle w:val="af7"/>
          <w:rFonts w:eastAsia="Guttman Hodes" w:hint="cs"/>
          <w:rtl/>
        </w:rPr>
        <w:instrText xml:space="preserve"> _</w:instrText>
      </w:r>
      <w:r w:rsidRPr="00FA5A98">
        <w:rPr>
          <w:rStyle w:val="af7"/>
          <w:rFonts w:eastAsia="Guttman Hodes" w:hint="cs"/>
        </w:rPr>
        <w:instrText>Ref529354075 \r \h</w:instrText>
      </w:r>
      <w:r w:rsidRPr="00FA5A98">
        <w:rPr>
          <w:rStyle w:val="af7"/>
          <w:rFonts w:eastAsia="Guttman Hodes"/>
          <w:rtl/>
        </w:rPr>
        <w:instrText xml:space="preserve"> </w:instrText>
      </w:r>
      <w:r w:rsidRPr="00FA5A98">
        <w:rPr>
          <w:rStyle w:val="af7"/>
          <w:rFonts w:eastAsia="Guttman Hodes"/>
          <w:rtl/>
        </w:rPr>
      </w:r>
      <w:r w:rsidRPr="00FA5A98">
        <w:rPr>
          <w:rStyle w:val="af7"/>
          <w:rFonts w:eastAsia="Guttman Hodes"/>
          <w:rtl/>
        </w:rPr>
        <w:fldChar w:fldCharType="separate"/>
      </w:r>
      <w:r w:rsidR="00345400">
        <w:rPr>
          <w:rStyle w:val="af7"/>
          <w:rFonts w:eastAsia="Guttman Hodes"/>
          <w:cs/>
        </w:rPr>
        <w:t>‎</w:t>
      </w:r>
      <w:r w:rsidR="00345400">
        <w:rPr>
          <w:rStyle w:val="af7"/>
          <w:rFonts w:eastAsia="Guttman Hodes"/>
          <w:rtl/>
        </w:rPr>
        <w:t>פו)</w:t>
      </w:r>
      <w:r w:rsidRPr="00FA5A98">
        <w:rPr>
          <w:rStyle w:val="af7"/>
          <w:rFonts w:eastAsia="Guttman Hodes"/>
          <w:rtl/>
        </w:rPr>
        <w:fldChar w:fldCharType="end"/>
      </w:r>
      <w:r>
        <w:rPr>
          <w:rFonts w:hint="cs"/>
          <w:rtl/>
        </w:rPr>
        <w:t xml:space="preserve"> </w:t>
      </w:r>
      <w:r w:rsidRPr="00FA5A98">
        <w:rPr>
          <w:rFonts w:hint="cs"/>
          <w:rtl/>
        </w:rPr>
        <w:t>דהגבינות אסורות</w:t>
      </w:r>
      <w:r>
        <w:rPr>
          <w:rFonts w:hint="cs"/>
          <w:rtl/>
        </w:rPr>
        <w:t>.</w:t>
      </w:r>
    </w:p>
    <w:p w14:paraId="31BF5006" w14:textId="77777777" w:rsidR="00D95C52" w:rsidRPr="00575A08" w:rsidRDefault="00D95C52" w:rsidP="006D6D32">
      <w:pPr>
        <w:pStyle w:val="a3"/>
      </w:pPr>
      <w:bookmarkStart w:id="8932" w:name="_Toc529739022"/>
      <w:bookmarkStart w:id="8933" w:name="_Toc19390184"/>
      <w:bookmarkStart w:id="8934" w:name="_Toc19393681"/>
      <w:r>
        <w:rPr>
          <w:rFonts w:hint="cs"/>
          <w:rtl/>
        </w:rPr>
        <w:t>ביאור הש"ש ברשב"א דבמומין אי"ז חזקת הגוף אלא דין אין מחזיקין ריעותא מרשות לרשות</w:t>
      </w:r>
      <w:bookmarkEnd w:id="8932"/>
      <w:bookmarkEnd w:id="8933"/>
      <w:bookmarkEnd w:id="8934"/>
    </w:p>
    <w:p w14:paraId="136DC0A9" w14:textId="77777777" w:rsidR="00D95C52" w:rsidRDefault="00D95C52" w:rsidP="00223668">
      <w:pPr>
        <w:pStyle w:val="a0"/>
        <w:rPr>
          <w:rStyle w:val="afb"/>
          <w:rtl/>
        </w:rPr>
      </w:pPr>
      <w:r>
        <w:rPr>
          <w:rFonts w:hint="cs"/>
          <w:rtl/>
        </w:rPr>
        <w:t xml:space="preserve">וביאר </w:t>
      </w:r>
      <w:r w:rsidRPr="00A04034">
        <w:rPr>
          <w:rStyle w:val="af9"/>
          <w:rFonts w:hint="cs"/>
          <w:rtl/>
        </w:rPr>
        <w:t>הש"ש</w:t>
      </w:r>
      <w:r>
        <w:rPr>
          <w:rFonts w:hint="cs"/>
          <w:rtl/>
        </w:rPr>
        <w:t xml:space="preserve"> </w:t>
      </w:r>
      <w:r w:rsidRPr="00A04034">
        <w:rPr>
          <w:rStyle w:val="af7"/>
          <w:rFonts w:eastAsia="Guttman Hodes" w:hint="cs"/>
          <w:rtl/>
        </w:rPr>
        <w:t>(ש"ב פ"ד ד"ה וכן נראה)</w:t>
      </w:r>
      <w:r>
        <w:rPr>
          <w:rFonts w:hint="cs"/>
          <w:rtl/>
        </w:rPr>
        <w:t xml:space="preserve"> את דברי </w:t>
      </w:r>
      <w:r w:rsidRPr="00A04034">
        <w:rPr>
          <w:rStyle w:val="af9"/>
          <w:rFonts w:hint="cs"/>
          <w:rtl/>
        </w:rPr>
        <w:t>הרשב"א</w:t>
      </w:r>
      <w:r>
        <w:rPr>
          <w:rFonts w:hint="cs"/>
          <w:rtl/>
        </w:rPr>
        <w:t xml:space="preserve"> דבמומין אי"ז חזקת </w:t>
      </w:r>
      <w:r w:rsidRPr="00B713DD">
        <w:rPr>
          <w:rFonts w:hint="cs"/>
          <w:rtl/>
        </w:rPr>
        <w:t xml:space="preserve">הגוף כלל, דכיון שודאי לא נולדו בה המומין עכשיו אין לה חזקה, אלא הוא דין אחר שאין מחזיקין ריעותא מרשות לרשות. </w:t>
      </w:r>
      <w:r w:rsidRPr="00B713DD">
        <w:rPr>
          <w:rStyle w:val="afb"/>
          <w:rFonts w:hint="cs"/>
          <w:rtl/>
        </w:rPr>
        <w:t xml:space="preserve">[ועי' במ"ש </w:t>
      </w:r>
      <w:r w:rsidRPr="00B713DD">
        <w:rPr>
          <w:rStyle w:val="affa"/>
          <w:rFonts w:hint="cs"/>
          <w:rtl/>
        </w:rPr>
        <w:t>השער"י</w:t>
      </w:r>
      <w:r w:rsidRPr="00B713DD">
        <w:rPr>
          <w:rStyle w:val="afb"/>
          <w:rFonts w:hint="cs"/>
          <w:rtl/>
        </w:rPr>
        <w:t xml:space="preserve"> </w:t>
      </w:r>
      <w:r w:rsidRPr="00B713DD">
        <w:rPr>
          <w:rStyle w:val="aff6"/>
          <w:rFonts w:hint="cs"/>
          <w:rtl/>
        </w:rPr>
        <w:t>(שער החזקות פי"ז ד"ה וכן נראה</w:t>
      </w:r>
      <w:r>
        <w:rPr>
          <w:rStyle w:val="aff6"/>
          <w:rFonts w:hint="cs"/>
          <w:rtl/>
        </w:rPr>
        <w:t>)</w:t>
      </w:r>
      <w:r w:rsidRPr="00B713DD">
        <w:rPr>
          <w:rStyle w:val="afb"/>
          <w:rFonts w:hint="cs"/>
          <w:rtl/>
        </w:rPr>
        <w:t>].</w:t>
      </w:r>
      <w:bookmarkEnd w:id="8931"/>
    </w:p>
    <w:p w14:paraId="7484DBFF" w14:textId="77777777" w:rsidR="00D95C52" w:rsidRPr="00DD5BF8" w:rsidRDefault="00D95C52" w:rsidP="00BF39B2">
      <w:pPr>
        <w:pStyle w:val="1"/>
        <w:rPr>
          <w:rtl/>
        </w:rPr>
      </w:pPr>
      <w:bookmarkStart w:id="8935" w:name="_Toc529739023"/>
      <w:bookmarkStart w:id="8936" w:name="_Toc19390185"/>
      <w:bookmarkStart w:id="8937" w:name="_Toc19393682"/>
      <w:r>
        <w:rPr>
          <w:rFonts w:hint="cs"/>
          <w:rtl/>
        </w:rPr>
        <w:t>דחיית הש"ך דבכתמים אין רוב כמו בטריפה</w:t>
      </w:r>
      <w:bookmarkEnd w:id="8935"/>
      <w:bookmarkEnd w:id="8936"/>
      <w:bookmarkEnd w:id="8937"/>
    </w:p>
    <w:p w14:paraId="27F8C637" w14:textId="77777777" w:rsidR="00D95C52" w:rsidRDefault="00D95C52" w:rsidP="006D6D32">
      <w:pPr>
        <w:pStyle w:val="a3"/>
        <w:rPr>
          <w:rtl/>
        </w:rPr>
      </w:pPr>
      <w:bookmarkStart w:id="8938" w:name="_Toc529739024"/>
      <w:bookmarkStart w:id="8939" w:name="_Toc19390186"/>
      <w:bookmarkStart w:id="8940" w:name="_Toc19393683"/>
      <w:r>
        <w:rPr>
          <w:rFonts w:hint="cs"/>
          <w:rtl/>
        </w:rPr>
        <w:t>דחיית הש"ך לראיית הרשב"א מכתמים דהתם יצאה מחזקתה למפרע כיון שאין רוב שהיא טהורה</w:t>
      </w:r>
      <w:bookmarkEnd w:id="8938"/>
      <w:bookmarkEnd w:id="8939"/>
      <w:bookmarkEnd w:id="8940"/>
    </w:p>
    <w:p w14:paraId="0DD8FA22" w14:textId="77777777" w:rsidR="00D95C52" w:rsidRDefault="00D95C52" w:rsidP="00223668">
      <w:pPr>
        <w:pStyle w:val="a0"/>
        <w:rPr>
          <w:rtl/>
        </w:rPr>
      </w:pPr>
      <w:bookmarkStart w:id="8941" w:name="_Toc529445006"/>
      <w:bookmarkStart w:id="8942" w:name="_Toc529352390"/>
      <w:bookmarkStart w:id="8943" w:name="_Toc529704516"/>
      <w:bookmarkStart w:id="8944" w:name="_Toc529704540"/>
      <w:bookmarkStart w:id="8945" w:name="_Toc529352399"/>
      <w:bookmarkStart w:id="8946" w:name="_Toc529445014"/>
      <w:r w:rsidRPr="00DD5BF8">
        <w:rPr>
          <w:rStyle w:val="af9"/>
          <w:rFonts w:hint="cs"/>
          <w:rtl/>
        </w:rPr>
        <w:t>והש"ך</w:t>
      </w:r>
      <w:r w:rsidRPr="00DD5BF8">
        <w:rPr>
          <w:rStyle w:val="af7"/>
          <w:rFonts w:eastAsia="Guttman Hodes" w:hint="cs"/>
          <w:rtl/>
        </w:rPr>
        <w:t xml:space="preserve"> (סי' פ"א סוס"ק ט') </w:t>
      </w:r>
      <w:r>
        <w:rPr>
          <w:rFonts w:hint="cs"/>
          <w:rtl/>
        </w:rPr>
        <w:t xml:space="preserve">דחה את ראיית </w:t>
      </w:r>
      <w:r w:rsidRPr="00DD5BF8">
        <w:rPr>
          <w:rStyle w:val="af9"/>
          <w:rFonts w:hint="cs"/>
          <w:rtl/>
        </w:rPr>
        <w:t>הרשב"א</w:t>
      </w:r>
      <w:r>
        <w:rPr>
          <w:rFonts w:hint="cs"/>
          <w:rtl/>
        </w:rPr>
        <w:t xml:space="preserve"> </w:t>
      </w:r>
      <w:r w:rsidRPr="00DD5BF8">
        <w:rPr>
          <w:rStyle w:val="af7"/>
          <w:rFonts w:eastAsia="Guttman Hodes" w:hint="cs"/>
          <w:rtl/>
        </w:rPr>
        <w:t xml:space="preserve">(עי' אות </w:t>
      </w:r>
      <w:r w:rsidRPr="00DD5BF8">
        <w:rPr>
          <w:rStyle w:val="af7"/>
          <w:rFonts w:eastAsia="Guttman Hodes"/>
          <w:rtl/>
        </w:rPr>
        <w:fldChar w:fldCharType="begin"/>
      </w:r>
      <w:r w:rsidRPr="00DD5BF8">
        <w:rPr>
          <w:rStyle w:val="af7"/>
          <w:rFonts w:eastAsia="Guttman Hodes"/>
          <w:rtl/>
        </w:rPr>
        <w:instrText xml:space="preserve"> </w:instrText>
      </w:r>
      <w:r w:rsidRPr="00DD5BF8">
        <w:rPr>
          <w:rStyle w:val="af7"/>
          <w:rFonts w:eastAsia="Guttman Hodes" w:hint="cs"/>
        </w:rPr>
        <w:instrText>REF</w:instrText>
      </w:r>
      <w:r w:rsidRPr="00DD5BF8">
        <w:rPr>
          <w:rStyle w:val="af7"/>
          <w:rFonts w:eastAsia="Guttman Hodes" w:hint="cs"/>
          <w:rtl/>
        </w:rPr>
        <w:instrText xml:space="preserve"> _</w:instrText>
      </w:r>
      <w:r w:rsidRPr="00DD5BF8">
        <w:rPr>
          <w:rStyle w:val="af7"/>
          <w:rFonts w:eastAsia="Guttman Hodes" w:hint="cs"/>
        </w:rPr>
        <w:instrText>Ref529726899 \r \h</w:instrText>
      </w:r>
      <w:r w:rsidRPr="00DD5BF8">
        <w:rPr>
          <w:rStyle w:val="af7"/>
          <w:rFonts w:eastAsia="Guttman Hodes"/>
          <w:rtl/>
        </w:rPr>
        <w:instrText xml:space="preserve"> </w:instrText>
      </w:r>
      <w:r w:rsidRPr="00DD5BF8">
        <w:rPr>
          <w:rStyle w:val="af7"/>
          <w:rFonts w:eastAsia="Guttman Hodes"/>
          <w:rtl/>
        </w:rPr>
      </w:r>
      <w:r w:rsidRPr="00DD5BF8">
        <w:rPr>
          <w:rStyle w:val="af7"/>
          <w:rFonts w:eastAsia="Guttman Hodes"/>
          <w:rtl/>
        </w:rPr>
        <w:fldChar w:fldCharType="separate"/>
      </w:r>
      <w:r w:rsidR="00345400">
        <w:rPr>
          <w:rStyle w:val="af7"/>
          <w:rFonts w:eastAsia="Guttman Hodes"/>
          <w:cs/>
        </w:rPr>
        <w:t>‎</w:t>
      </w:r>
      <w:r w:rsidR="00345400">
        <w:rPr>
          <w:rStyle w:val="af7"/>
          <w:rFonts w:eastAsia="Guttman Hodes"/>
          <w:rtl/>
        </w:rPr>
        <w:t>סג)</w:t>
      </w:r>
      <w:r w:rsidRPr="00DD5BF8">
        <w:rPr>
          <w:rStyle w:val="af7"/>
          <w:rFonts w:eastAsia="Guttman Hodes"/>
          <w:rtl/>
        </w:rPr>
        <w:fldChar w:fldCharType="end"/>
      </w:r>
      <w:r>
        <w:rPr>
          <w:rFonts w:hint="cs"/>
          <w:rtl/>
        </w:rPr>
        <w:t xml:space="preserve"> מכתמים, דהתם אין רוב שהאשה טהורה, אבל הכא יש רוב בהמות בחזקת כשרות, ולכן אף שנתברר שהיא טריפה, מ"מ אמרינן דהבהמה הייתה בכלל הרוב, ורק עכשיו נטרפה ויצאה מכלל הרוב, והוסיף </w:t>
      </w:r>
      <w:r w:rsidRPr="00DD5BF8">
        <w:rPr>
          <w:rStyle w:val="af9"/>
          <w:rFonts w:hint="cs"/>
          <w:rtl/>
        </w:rPr>
        <w:t>הש"ך</w:t>
      </w:r>
      <w:r>
        <w:rPr>
          <w:rFonts w:hint="cs"/>
          <w:rtl/>
        </w:rPr>
        <w:t xml:space="preserve"> דהרי </w:t>
      </w:r>
      <w:r w:rsidRPr="00DD5BF8">
        <w:rPr>
          <w:rStyle w:val="af9"/>
          <w:rFonts w:hint="cs"/>
          <w:rtl/>
        </w:rPr>
        <w:t>הרא"ש</w:t>
      </w:r>
      <w:r>
        <w:rPr>
          <w:rFonts w:hint="cs"/>
          <w:rtl/>
        </w:rPr>
        <w:t xml:space="preserve"> </w:t>
      </w:r>
      <w:r w:rsidRPr="00DD5BF8">
        <w:rPr>
          <w:rStyle w:val="af7"/>
          <w:rFonts w:eastAsia="Guttman Hodes" w:hint="cs"/>
          <w:rtl/>
        </w:rPr>
        <w:t xml:space="preserve">(עי' אות </w:t>
      </w:r>
      <w:r w:rsidRPr="00DD5BF8">
        <w:rPr>
          <w:rStyle w:val="af7"/>
          <w:rFonts w:eastAsia="Guttman Hodes"/>
          <w:rtl/>
        </w:rPr>
        <w:fldChar w:fldCharType="begin"/>
      </w:r>
      <w:r w:rsidRPr="00DD5BF8">
        <w:rPr>
          <w:rStyle w:val="af7"/>
          <w:rFonts w:eastAsia="Guttman Hodes"/>
          <w:rtl/>
        </w:rPr>
        <w:instrText xml:space="preserve"> </w:instrText>
      </w:r>
      <w:r w:rsidRPr="00DD5BF8">
        <w:rPr>
          <w:rStyle w:val="af7"/>
          <w:rFonts w:eastAsia="Guttman Hodes" w:hint="cs"/>
        </w:rPr>
        <w:instrText>REF</w:instrText>
      </w:r>
      <w:r w:rsidRPr="00DD5BF8">
        <w:rPr>
          <w:rStyle w:val="af7"/>
          <w:rFonts w:eastAsia="Guttman Hodes" w:hint="cs"/>
          <w:rtl/>
        </w:rPr>
        <w:instrText xml:space="preserve"> _</w:instrText>
      </w:r>
      <w:r w:rsidRPr="00DD5BF8">
        <w:rPr>
          <w:rStyle w:val="af7"/>
          <w:rFonts w:eastAsia="Guttman Hodes" w:hint="cs"/>
        </w:rPr>
        <w:instrText>Ref522611646 \r \h</w:instrText>
      </w:r>
      <w:r w:rsidRPr="00DD5BF8">
        <w:rPr>
          <w:rStyle w:val="af7"/>
          <w:rFonts w:eastAsia="Guttman Hodes"/>
          <w:rtl/>
        </w:rPr>
        <w:instrText xml:space="preserve"> </w:instrText>
      </w:r>
      <w:r w:rsidRPr="00DD5BF8">
        <w:rPr>
          <w:rStyle w:val="af7"/>
          <w:rFonts w:eastAsia="Guttman Hodes"/>
          <w:rtl/>
        </w:rPr>
      </w:r>
      <w:r w:rsidRPr="00DD5BF8">
        <w:rPr>
          <w:rStyle w:val="af7"/>
          <w:rFonts w:eastAsia="Guttman Hodes"/>
          <w:rtl/>
        </w:rPr>
        <w:fldChar w:fldCharType="separate"/>
      </w:r>
      <w:r w:rsidR="00345400">
        <w:rPr>
          <w:rStyle w:val="af7"/>
          <w:rFonts w:eastAsia="Guttman Hodes"/>
          <w:cs/>
        </w:rPr>
        <w:t>‎</w:t>
      </w:r>
      <w:r w:rsidR="00345400">
        <w:rPr>
          <w:rStyle w:val="af7"/>
          <w:rFonts w:eastAsia="Guttman Hodes"/>
          <w:rtl/>
        </w:rPr>
        <w:t>טז)</w:t>
      </w:r>
      <w:r w:rsidRPr="00DD5BF8">
        <w:rPr>
          <w:rStyle w:val="af7"/>
          <w:rFonts w:eastAsia="Guttman Hodes"/>
          <w:rtl/>
        </w:rPr>
        <w:fldChar w:fldCharType="end"/>
      </w:r>
      <w:r>
        <w:rPr>
          <w:rFonts w:hint="cs"/>
          <w:rtl/>
        </w:rPr>
        <w:t xml:space="preserve"> כתב דאף בבהמה בתוך שנתה היא מותרת מסברא זו, וע"ע במה שביאר </w:t>
      </w:r>
      <w:r w:rsidRPr="00D258B3">
        <w:rPr>
          <w:rStyle w:val="af9"/>
          <w:rFonts w:hint="cs"/>
          <w:rtl/>
        </w:rPr>
        <w:t>הנחל"ד</w:t>
      </w:r>
      <w:r>
        <w:rPr>
          <w:rFonts w:hint="cs"/>
          <w:rtl/>
        </w:rPr>
        <w:t xml:space="preserve"> </w:t>
      </w:r>
      <w:r w:rsidRPr="00D258B3">
        <w:rPr>
          <w:rStyle w:val="af7"/>
          <w:rFonts w:eastAsia="Guttman Hodes" w:hint="cs"/>
          <w:rtl/>
        </w:rPr>
        <w:t>(ד"ה ובעיקר)</w:t>
      </w:r>
      <w:r>
        <w:rPr>
          <w:rFonts w:hint="cs"/>
          <w:rtl/>
        </w:rPr>
        <w:t xml:space="preserve"> בדברי </w:t>
      </w:r>
      <w:r w:rsidRPr="00FB685F">
        <w:rPr>
          <w:rStyle w:val="af9"/>
          <w:rFonts w:hint="cs"/>
          <w:rtl/>
        </w:rPr>
        <w:t>הגר"א</w:t>
      </w:r>
      <w:r>
        <w:rPr>
          <w:rFonts w:hint="cs"/>
          <w:rtl/>
        </w:rPr>
        <w:t xml:space="preserve"> </w:t>
      </w:r>
      <w:r w:rsidRPr="00FB685F">
        <w:rPr>
          <w:rStyle w:val="af7"/>
          <w:rFonts w:eastAsia="Guttman Hodes" w:hint="cs"/>
          <w:rtl/>
        </w:rPr>
        <w:t>(סי' פ"א סק"ז)</w:t>
      </w:r>
      <w:r>
        <w:rPr>
          <w:rFonts w:hint="cs"/>
          <w:rtl/>
        </w:rPr>
        <w:t xml:space="preserve"> במה שדחה את ראיית </w:t>
      </w:r>
      <w:r w:rsidRPr="00FB685F">
        <w:rPr>
          <w:rStyle w:val="af9"/>
          <w:rFonts w:hint="cs"/>
          <w:rtl/>
        </w:rPr>
        <w:t>הרשב"א</w:t>
      </w:r>
      <w:r>
        <w:rPr>
          <w:rFonts w:hint="cs"/>
          <w:rtl/>
        </w:rPr>
        <w:t xml:space="preserve"> מכתמים.</w:t>
      </w:r>
    </w:p>
    <w:p w14:paraId="5800AF22" w14:textId="77777777" w:rsidR="00D95C52" w:rsidRDefault="00D95C52" w:rsidP="00BF39B2">
      <w:pPr>
        <w:pStyle w:val="1"/>
        <w:rPr>
          <w:rtl/>
        </w:rPr>
      </w:pPr>
      <w:bookmarkStart w:id="8947" w:name="_Toc529739025"/>
      <w:bookmarkStart w:id="8948" w:name="_Toc19390187"/>
      <w:bookmarkStart w:id="8949" w:name="_Toc19393684"/>
      <w:r>
        <w:rPr>
          <w:rFonts w:hint="cs"/>
          <w:rtl/>
        </w:rPr>
        <w:t>דברי הפרמ"ג בחזקה שלא נתבררה בשעתה וחזקה מכח רוב</w:t>
      </w:r>
      <w:bookmarkEnd w:id="8947"/>
      <w:bookmarkEnd w:id="8948"/>
      <w:bookmarkEnd w:id="8949"/>
    </w:p>
    <w:p w14:paraId="2D4BA1D1" w14:textId="77777777" w:rsidR="00D95C52" w:rsidRDefault="00D95C52" w:rsidP="006D6D32">
      <w:pPr>
        <w:pStyle w:val="a3"/>
        <w:rPr>
          <w:rtl/>
        </w:rPr>
      </w:pPr>
      <w:bookmarkStart w:id="8950" w:name="_Toc529739026"/>
      <w:bookmarkStart w:id="8951" w:name="_Toc19390188"/>
      <w:bookmarkStart w:id="8952" w:name="_Toc19393685"/>
      <w:r>
        <w:rPr>
          <w:rFonts w:hint="cs"/>
          <w:rtl/>
        </w:rPr>
        <w:t>דברי הפרמ"ג שיש ג' חזקות נתבררה ולא נתבררה וחזקה מכח רוב</w:t>
      </w:r>
      <w:bookmarkEnd w:id="8950"/>
      <w:bookmarkEnd w:id="8951"/>
      <w:bookmarkEnd w:id="8952"/>
    </w:p>
    <w:p w14:paraId="498B8912" w14:textId="77777777" w:rsidR="00D95C52" w:rsidRDefault="00D95C52" w:rsidP="00223668">
      <w:pPr>
        <w:pStyle w:val="a0"/>
        <w:rPr>
          <w:rtl/>
        </w:rPr>
      </w:pPr>
      <w:r>
        <w:rPr>
          <w:rFonts w:hint="cs"/>
          <w:rtl/>
        </w:rPr>
        <w:t xml:space="preserve">כתב </w:t>
      </w:r>
      <w:r w:rsidRPr="005E665C">
        <w:rPr>
          <w:rStyle w:val="af9"/>
          <w:rFonts w:hint="cs"/>
          <w:rtl/>
        </w:rPr>
        <w:t>הפרמ"ג</w:t>
      </w:r>
      <w:r>
        <w:rPr>
          <w:rFonts w:hint="cs"/>
          <w:rtl/>
        </w:rPr>
        <w:t xml:space="preserve"> </w:t>
      </w:r>
      <w:r w:rsidRPr="00306365">
        <w:rPr>
          <w:rStyle w:val="af7"/>
          <w:rFonts w:eastAsia="Guttman Hodes" w:hint="cs"/>
          <w:rtl/>
        </w:rPr>
        <w:t>(סי' פ"א משב"ז ג' ד"ה ודע)</w:t>
      </w:r>
      <w:r>
        <w:rPr>
          <w:rFonts w:hint="cs"/>
          <w:rtl/>
        </w:rPr>
        <w:t xml:space="preserve"> דיש ג' חזקות, הא' חזקה שלא נתבררה בשעתה, דכתבו </w:t>
      </w:r>
      <w:r w:rsidRPr="005E665C">
        <w:rPr>
          <w:rStyle w:val="af9"/>
          <w:rFonts w:hint="cs"/>
          <w:rtl/>
        </w:rPr>
        <w:t>התוס'</w:t>
      </w:r>
      <w:r>
        <w:rPr>
          <w:rFonts w:hint="cs"/>
          <w:rtl/>
        </w:rPr>
        <w:t xml:space="preserve"> </w:t>
      </w:r>
      <w:r w:rsidRPr="00306365">
        <w:rPr>
          <w:rStyle w:val="af7"/>
          <w:rFonts w:eastAsia="Guttman Hodes" w:hint="cs"/>
          <w:rtl/>
        </w:rPr>
        <w:t xml:space="preserve">(עי' אות </w:t>
      </w:r>
      <w:r w:rsidRPr="00306365">
        <w:rPr>
          <w:rStyle w:val="af7"/>
          <w:rFonts w:eastAsia="Guttman Hodes"/>
          <w:rtl/>
        </w:rPr>
        <w:fldChar w:fldCharType="begin"/>
      </w:r>
      <w:r w:rsidRPr="00306365">
        <w:rPr>
          <w:rStyle w:val="af7"/>
          <w:rFonts w:eastAsia="Guttman Hodes"/>
          <w:rtl/>
        </w:rPr>
        <w:instrText xml:space="preserve"> </w:instrText>
      </w:r>
      <w:r w:rsidRPr="00306365">
        <w:rPr>
          <w:rStyle w:val="af7"/>
          <w:rFonts w:eastAsia="Guttman Hodes" w:hint="cs"/>
        </w:rPr>
        <w:instrText>REF</w:instrText>
      </w:r>
      <w:r w:rsidRPr="00306365">
        <w:rPr>
          <w:rStyle w:val="af7"/>
          <w:rFonts w:eastAsia="Guttman Hodes" w:hint="cs"/>
          <w:rtl/>
        </w:rPr>
        <w:instrText xml:space="preserve"> _</w:instrText>
      </w:r>
      <w:r w:rsidRPr="00306365">
        <w:rPr>
          <w:rStyle w:val="af7"/>
          <w:rFonts w:eastAsia="Guttman Hodes" w:hint="cs"/>
        </w:rPr>
        <w:instrText>Ref529090497 \r \h</w:instrText>
      </w:r>
      <w:r w:rsidRPr="00306365">
        <w:rPr>
          <w:rStyle w:val="af7"/>
          <w:rFonts w:eastAsia="Guttman Hodes"/>
          <w:rtl/>
        </w:rPr>
        <w:instrText xml:space="preserve"> </w:instrText>
      </w:r>
      <w:r w:rsidRPr="00306365">
        <w:rPr>
          <w:rStyle w:val="af7"/>
          <w:rFonts w:eastAsia="Guttman Hodes"/>
          <w:rtl/>
        </w:rPr>
      </w:r>
      <w:r w:rsidRPr="00306365">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306365">
        <w:rPr>
          <w:rStyle w:val="af7"/>
          <w:rFonts w:eastAsia="Guttman Hodes"/>
          <w:rtl/>
        </w:rPr>
        <w:fldChar w:fldCharType="end"/>
      </w:r>
      <w:r>
        <w:rPr>
          <w:rFonts w:hint="cs"/>
          <w:rtl/>
        </w:rPr>
        <w:t xml:space="preserve"> דלא אזלינן בתרה וכן קיי"ל להלכה, דלא אמרינן דאחר י"ב חודש נתברר שהייתה מוחזקת בכשרות משעת לידתה, הב' חזקה מכח רוב והג' חזקה שנתבררה בשעתה דהיא חזקה אלימתא.</w:t>
      </w:r>
    </w:p>
    <w:p w14:paraId="09164F95" w14:textId="77777777" w:rsidR="00D95C52" w:rsidRPr="00124643" w:rsidRDefault="00D95C52" w:rsidP="006D6D32">
      <w:pPr>
        <w:pStyle w:val="a3"/>
        <w:rPr>
          <w:rtl/>
        </w:rPr>
      </w:pPr>
      <w:bookmarkStart w:id="8953" w:name="_Toc529739027"/>
      <w:bookmarkStart w:id="8954" w:name="_Toc19390189"/>
      <w:bookmarkStart w:id="8955" w:name="_Toc19393686"/>
      <w:r w:rsidRPr="00124643">
        <w:rPr>
          <w:rFonts w:hint="cs"/>
          <w:rtl/>
        </w:rPr>
        <w:t>ביאור הפמ"ג דלתוס' יצאה מכלל הרוב ולרשב"א ע"י הרוב חשיב שנתבררה חזקתה</w:t>
      </w:r>
      <w:bookmarkEnd w:id="8953"/>
      <w:bookmarkEnd w:id="8954"/>
      <w:bookmarkEnd w:id="8955"/>
    </w:p>
    <w:p w14:paraId="37F7CB04" w14:textId="77777777" w:rsidR="00D95C52" w:rsidRPr="00124643" w:rsidRDefault="00D95C52" w:rsidP="00223668">
      <w:pPr>
        <w:pStyle w:val="a0"/>
        <w:rPr>
          <w:rtl/>
        </w:rPr>
      </w:pPr>
      <w:bookmarkStart w:id="8956" w:name="_Ref529723395"/>
      <w:r w:rsidRPr="00124643">
        <w:rPr>
          <w:rFonts w:hint="cs"/>
          <w:rtl/>
        </w:rPr>
        <w:t xml:space="preserve">וביאר </w:t>
      </w:r>
      <w:r w:rsidRPr="00124643">
        <w:rPr>
          <w:rStyle w:val="af9"/>
          <w:rFonts w:hint="cs"/>
          <w:rtl/>
        </w:rPr>
        <w:t xml:space="preserve">בפמ"ג </w:t>
      </w:r>
      <w:r w:rsidRPr="00124643">
        <w:rPr>
          <w:rStyle w:val="af7"/>
          <w:rFonts w:eastAsia="Guttman Hodes" w:hint="cs"/>
          <w:rtl/>
        </w:rPr>
        <w:t>(משבצות זהב פ"א ג' ד"ה דע)</w:t>
      </w:r>
      <w:r w:rsidRPr="00124643">
        <w:rPr>
          <w:rFonts w:hint="cs"/>
          <w:rtl/>
        </w:rPr>
        <w:t xml:space="preserve"> דאף</w:t>
      </w:r>
      <w:r w:rsidRPr="005E665C">
        <w:rPr>
          <w:rStyle w:val="af9"/>
          <w:rFonts w:hint="cs"/>
          <w:rtl/>
        </w:rPr>
        <w:t xml:space="preserve"> התוס'</w:t>
      </w:r>
      <w:r>
        <w:rPr>
          <w:rFonts w:hint="cs"/>
          <w:rtl/>
        </w:rPr>
        <w:t xml:space="preserve"> </w:t>
      </w:r>
      <w:r w:rsidRPr="00D617D6">
        <w:rPr>
          <w:rStyle w:val="af7"/>
          <w:rFonts w:eastAsia="Guttman Hodes" w:hint="cs"/>
          <w:rtl/>
        </w:rPr>
        <w:t xml:space="preserve">(עי' אות </w:t>
      </w:r>
      <w:r w:rsidRPr="00D617D6">
        <w:rPr>
          <w:rStyle w:val="af7"/>
          <w:rFonts w:eastAsia="Guttman Hodes"/>
          <w:rtl/>
        </w:rPr>
        <w:fldChar w:fldCharType="begin"/>
      </w:r>
      <w:r w:rsidRPr="00D617D6">
        <w:rPr>
          <w:rStyle w:val="af7"/>
          <w:rFonts w:eastAsia="Guttman Hodes"/>
          <w:rtl/>
        </w:rPr>
        <w:instrText xml:space="preserve"> </w:instrText>
      </w:r>
      <w:r w:rsidRPr="00D617D6">
        <w:rPr>
          <w:rStyle w:val="af7"/>
          <w:rFonts w:eastAsia="Guttman Hodes" w:hint="cs"/>
        </w:rPr>
        <w:instrText>REF</w:instrText>
      </w:r>
      <w:r w:rsidRPr="00D617D6">
        <w:rPr>
          <w:rStyle w:val="af7"/>
          <w:rFonts w:eastAsia="Guttman Hodes" w:hint="cs"/>
          <w:rtl/>
        </w:rPr>
        <w:instrText xml:space="preserve"> _</w:instrText>
      </w:r>
      <w:r w:rsidRPr="00D617D6">
        <w:rPr>
          <w:rStyle w:val="af7"/>
          <w:rFonts w:eastAsia="Guttman Hodes" w:hint="cs"/>
        </w:rPr>
        <w:instrText>Ref529121640 \r \h</w:instrText>
      </w:r>
      <w:r w:rsidRPr="00D617D6">
        <w:rPr>
          <w:rStyle w:val="af7"/>
          <w:rFonts w:eastAsia="Guttman Hodes"/>
          <w:rtl/>
        </w:rPr>
        <w:instrText xml:space="preserve"> </w:instrText>
      </w:r>
      <w:r w:rsidRPr="00D617D6">
        <w:rPr>
          <w:rStyle w:val="af7"/>
          <w:rFonts w:eastAsia="Guttman Hodes"/>
          <w:rtl/>
        </w:rPr>
      </w:r>
      <w:r w:rsidRPr="00D617D6">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D617D6">
        <w:rPr>
          <w:rStyle w:val="af7"/>
          <w:rFonts w:eastAsia="Guttman Hodes"/>
          <w:rtl/>
        </w:rPr>
        <w:fldChar w:fldCharType="end"/>
      </w:r>
      <w:r>
        <w:rPr>
          <w:rFonts w:hint="cs"/>
          <w:rtl/>
        </w:rPr>
        <w:t xml:space="preserve"> </w:t>
      </w:r>
      <w:r w:rsidRPr="00124643">
        <w:rPr>
          <w:rFonts w:hint="cs"/>
          <w:rtl/>
        </w:rPr>
        <w:t>מודו דאזלינן בתר חזקה מכח רוב</w:t>
      </w:r>
      <w:r>
        <w:rPr>
          <w:rFonts w:hint="cs"/>
          <w:rtl/>
        </w:rPr>
        <w:t xml:space="preserve"> מ"מ הכא שהתברר שהבהמה זו היא מהמיעוט, היא יצאה מהחזקה שהייתה לה מכח הרוב, וב</w:t>
      </w:r>
      <w:r w:rsidRPr="000372DC">
        <w:rPr>
          <w:rFonts w:hint="cs"/>
          <w:rtl/>
        </w:rPr>
        <w:t xml:space="preserve">דעת </w:t>
      </w:r>
      <w:r w:rsidRPr="000372DC">
        <w:rPr>
          <w:rStyle w:val="af9"/>
          <w:rFonts w:hint="cs"/>
          <w:rtl/>
        </w:rPr>
        <w:t>הרשב"א</w:t>
      </w:r>
      <w:r w:rsidRPr="000372DC">
        <w:rPr>
          <w:rFonts w:hint="cs"/>
          <w:rtl/>
        </w:rPr>
        <w:t xml:space="preserve"> </w:t>
      </w:r>
      <w:r w:rsidRPr="000372DC">
        <w:rPr>
          <w:rStyle w:val="af7"/>
          <w:rFonts w:eastAsia="Guttman Hodes" w:hint="cs"/>
          <w:rtl/>
        </w:rPr>
        <w:t xml:space="preserve">(עי' אות </w:t>
      </w:r>
      <w:r w:rsidRPr="000372DC">
        <w:rPr>
          <w:rStyle w:val="af7"/>
          <w:rFonts w:eastAsia="Guttman Hodes"/>
          <w:rtl/>
        </w:rPr>
        <w:fldChar w:fldCharType="begin"/>
      </w:r>
      <w:r w:rsidRPr="000372DC">
        <w:rPr>
          <w:rStyle w:val="af7"/>
          <w:rFonts w:eastAsia="Guttman Hodes"/>
          <w:rtl/>
        </w:rPr>
        <w:instrText xml:space="preserve"> </w:instrText>
      </w:r>
      <w:r w:rsidRPr="000372DC">
        <w:rPr>
          <w:rStyle w:val="af7"/>
          <w:rFonts w:eastAsia="Guttman Hodes" w:hint="cs"/>
        </w:rPr>
        <w:instrText>REF</w:instrText>
      </w:r>
      <w:r w:rsidRPr="000372DC">
        <w:rPr>
          <w:rStyle w:val="af7"/>
          <w:rFonts w:eastAsia="Guttman Hodes" w:hint="cs"/>
          <w:rtl/>
        </w:rPr>
        <w:instrText xml:space="preserve"> _</w:instrText>
      </w:r>
      <w:r w:rsidRPr="000372DC">
        <w:rPr>
          <w:rStyle w:val="af7"/>
          <w:rFonts w:eastAsia="Guttman Hodes" w:hint="cs"/>
        </w:rPr>
        <w:instrText>Ref529091668 \r \h</w:instrText>
      </w:r>
      <w:r w:rsidRPr="000372DC">
        <w:rPr>
          <w:rStyle w:val="af7"/>
          <w:rFonts w:eastAsia="Guttman Hodes"/>
          <w:rtl/>
        </w:rPr>
        <w:instrText xml:space="preserve">  \* </w:instrText>
      </w:r>
      <w:r w:rsidRPr="000372DC">
        <w:rPr>
          <w:rStyle w:val="af7"/>
          <w:rFonts w:eastAsia="Guttman Hodes"/>
        </w:rPr>
        <w:instrText>MERGEFORMAT</w:instrText>
      </w:r>
      <w:r w:rsidRPr="000372DC">
        <w:rPr>
          <w:rStyle w:val="af7"/>
          <w:rFonts w:eastAsia="Guttman Hodes"/>
          <w:rtl/>
        </w:rPr>
        <w:instrText xml:space="preserve"> </w:instrText>
      </w:r>
      <w:r w:rsidRPr="000372DC">
        <w:rPr>
          <w:rStyle w:val="af7"/>
          <w:rFonts w:eastAsia="Guttman Hodes"/>
          <w:rtl/>
        </w:rPr>
      </w:r>
      <w:r w:rsidRPr="000372DC">
        <w:rPr>
          <w:rStyle w:val="af7"/>
          <w:rFonts w:eastAsia="Guttman Hodes"/>
          <w:rtl/>
        </w:rPr>
        <w:fldChar w:fldCharType="separate"/>
      </w:r>
      <w:r w:rsidR="00345400">
        <w:rPr>
          <w:rStyle w:val="af7"/>
          <w:rFonts w:eastAsia="Guttman Hodes"/>
          <w:cs/>
        </w:rPr>
        <w:t>‎</w:t>
      </w:r>
      <w:r w:rsidR="00345400">
        <w:rPr>
          <w:rStyle w:val="af7"/>
          <w:rFonts w:eastAsia="Guttman Hodes"/>
          <w:rtl/>
        </w:rPr>
        <w:t>כג)</w:t>
      </w:r>
      <w:r w:rsidRPr="000372DC">
        <w:rPr>
          <w:rStyle w:val="af7"/>
          <w:rFonts w:eastAsia="Guttman Hodes"/>
          <w:rtl/>
        </w:rPr>
        <w:fldChar w:fldCharType="end"/>
      </w:r>
      <w:r w:rsidRPr="000372DC">
        <w:rPr>
          <w:rFonts w:hint="cs"/>
          <w:rtl/>
        </w:rPr>
        <w:t xml:space="preserve"> ביאר </w:t>
      </w:r>
      <w:r w:rsidRPr="000372DC">
        <w:rPr>
          <w:rStyle w:val="af9"/>
          <w:rFonts w:hint="cs"/>
          <w:rtl/>
        </w:rPr>
        <w:t xml:space="preserve">בפרמ"ג </w:t>
      </w:r>
      <w:r w:rsidRPr="000372DC">
        <w:rPr>
          <w:rFonts w:hint="cs"/>
          <w:rtl/>
        </w:rPr>
        <w:t>דחזקה מכח הרוב היא חזקה מבוררת, ולכן אמרינן שעד עכשיו הייתה</w:t>
      </w:r>
      <w:r>
        <w:rPr>
          <w:rFonts w:hint="cs"/>
          <w:rtl/>
        </w:rPr>
        <w:t xml:space="preserve"> בכלל הרוב והוחזקה מכחו, וכן דעת </w:t>
      </w:r>
      <w:r w:rsidRPr="005E665C">
        <w:rPr>
          <w:rStyle w:val="af9"/>
          <w:rFonts w:hint="cs"/>
          <w:rtl/>
        </w:rPr>
        <w:t>השו"ע</w:t>
      </w:r>
      <w:r>
        <w:rPr>
          <w:rFonts w:hint="cs"/>
          <w:rtl/>
        </w:rPr>
        <w:t xml:space="preserve"> </w:t>
      </w:r>
      <w:r w:rsidRPr="00306365">
        <w:rPr>
          <w:rStyle w:val="af7"/>
          <w:rFonts w:eastAsia="Guttman Hodes" w:hint="cs"/>
          <w:rtl/>
        </w:rPr>
        <w:t>(סי</w:t>
      </w:r>
      <w:r>
        <w:rPr>
          <w:rStyle w:val="af7"/>
          <w:rFonts w:eastAsia="Guttman Hodes" w:hint="cs"/>
          <w:rtl/>
        </w:rPr>
        <w:t>'</w:t>
      </w:r>
      <w:r w:rsidRPr="00306365">
        <w:rPr>
          <w:rStyle w:val="af7"/>
          <w:rFonts w:eastAsia="Guttman Hodes" w:hint="cs"/>
          <w:rtl/>
        </w:rPr>
        <w:t xml:space="preserve"> פ"א ב'</w:t>
      </w:r>
      <w:r>
        <w:rPr>
          <w:rStyle w:val="af7"/>
          <w:rFonts w:eastAsia="Guttman Hodes" w:hint="cs"/>
          <w:rtl/>
        </w:rPr>
        <w:t>)</w:t>
      </w:r>
      <w:r w:rsidRPr="00124643">
        <w:rPr>
          <w:rFonts w:hint="cs"/>
          <w:rtl/>
        </w:rPr>
        <w:t xml:space="preserve">, ועי' בדברי </w:t>
      </w:r>
      <w:r w:rsidRPr="00124643">
        <w:rPr>
          <w:rStyle w:val="af9"/>
          <w:rFonts w:hint="cs"/>
          <w:rtl/>
        </w:rPr>
        <w:t>השערי דורא</w:t>
      </w:r>
      <w:r w:rsidRPr="00124643">
        <w:rPr>
          <w:rFonts w:hint="cs"/>
          <w:rtl/>
        </w:rPr>
        <w:t xml:space="preserve"> </w:t>
      </w:r>
      <w:r w:rsidRPr="00124643">
        <w:rPr>
          <w:rStyle w:val="af7"/>
          <w:rFonts w:eastAsia="Guttman Hodes" w:hint="cs"/>
          <w:rtl/>
        </w:rPr>
        <w:t xml:space="preserve">(עי' אות </w:t>
      </w:r>
      <w:r w:rsidRPr="00124643">
        <w:rPr>
          <w:rStyle w:val="af7"/>
          <w:rFonts w:eastAsia="Guttman Hodes"/>
          <w:rtl/>
        </w:rPr>
        <w:fldChar w:fldCharType="begin"/>
      </w:r>
      <w:r w:rsidRPr="00124643">
        <w:rPr>
          <w:rStyle w:val="af7"/>
          <w:rFonts w:eastAsia="Guttman Hodes"/>
          <w:rtl/>
        </w:rPr>
        <w:instrText xml:space="preserve"> </w:instrText>
      </w:r>
      <w:r w:rsidRPr="00124643">
        <w:rPr>
          <w:rStyle w:val="af7"/>
          <w:rFonts w:eastAsia="Guttman Hodes" w:hint="cs"/>
        </w:rPr>
        <w:instrText>REF</w:instrText>
      </w:r>
      <w:r w:rsidRPr="00124643">
        <w:rPr>
          <w:rStyle w:val="af7"/>
          <w:rFonts w:eastAsia="Guttman Hodes" w:hint="cs"/>
          <w:rtl/>
        </w:rPr>
        <w:instrText xml:space="preserve"> _</w:instrText>
      </w:r>
      <w:r w:rsidRPr="00124643">
        <w:rPr>
          <w:rStyle w:val="af7"/>
          <w:rFonts w:eastAsia="Guttman Hodes" w:hint="cs"/>
        </w:rPr>
        <w:instrText>Ref522618918 \r \h</w:instrText>
      </w:r>
      <w:r w:rsidRPr="00124643">
        <w:rPr>
          <w:rStyle w:val="af7"/>
          <w:rFonts w:eastAsia="Guttman Hodes"/>
          <w:rtl/>
        </w:rPr>
        <w:instrText xml:space="preserve">  \* </w:instrText>
      </w:r>
      <w:r w:rsidRPr="00124643">
        <w:rPr>
          <w:rStyle w:val="af7"/>
          <w:rFonts w:eastAsia="Guttman Hodes"/>
        </w:rPr>
        <w:instrText>MERGEFORMAT</w:instrText>
      </w:r>
      <w:r w:rsidRPr="00124643">
        <w:rPr>
          <w:rStyle w:val="af7"/>
          <w:rFonts w:eastAsia="Guttman Hodes"/>
          <w:rtl/>
        </w:rPr>
        <w:instrText xml:space="preserve"> </w:instrText>
      </w:r>
      <w:r w:rsidRPr="00124643">
        <w:rPr>
          <w:rStyle w:val="af7"/>
          <w:rFonts w:eastAsia="Guttman Hodes"/>
          <w:rtl/>
        </w:rPr>
      </w:r>
      <w:r w:rsidRPr="00124643">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124643">
        <w:rPr>
          <w:rStyle w:val="af7"/>
          <w:rFonts w:eastAsia="Guttman Hodes"/>
          <w:rtl/>
        </w:rPr>
        <w:fldChar w:fldCharType="end"/>
      </w:r>
      <w:r w:rsidRPr="00124643">
        <w:rPr>
          <w:rFonts w:hint="cs"/>
          <w:rtl/>
        </w:rPr>
        <w:t>.</w:t>
      </w:r>
      <w:bookmarkEnd w:id="8956"/>
    </w:p>
    <w:p w14:paraId="383421A9" w14:textId="77777777" w:rsidR="00D95C52" w:rsidRPr="000372DC" w:rsidRDefault="00D95C52" w:rsidP="006D6D32">
      <w:pPr>
        <w:pStyle w:val="a3"/>
        <w:rPr>
          <w:rtl/>
        </w:rPr>
      </w:pPr>
      <w:bookmarkStart w:id="8957" w:name="_Toc529739028"/>
      <w:bookmarkStart w:id="8958" w:name="_Toc19390190"/>
      <w:bookmarkStart w:id="8959" w:name="_Toc19393687"/>
      <w:r w:rsidRPr="000372DC">
        <w:rPr>
          <w:rFonts w:hint="cs"/>
          <w:rtl/>
        </w:rPr>
        <w:t>ביאור הפרמ"ג ברשב"א דעד שנתברר שהיא טריפה הוחזקה שהיא בכלל הרוב</w:t>
      </w:r>
      <w:bookmarkEnd w:id="8957"/>
      <w:bookmarkEnd w:id="8958"/>
      <w:bookmarkEnd w:id="8959"/>
    </w:p>
    <w:p w14:paraId="42FC15A1" w14:textId="77777777" w:rsidR="00D95C52" w:rsidRDefault="00D95C52" w:rsidP="00223668">
      <w:pPr>
        <w:pStyle w:val="a0"/>
        <w:rPr>
          <w:rtl/>
        </w:rPr>
      </w:pPr>
      <w:r>
        <w:rPr>
          <w:rFonts w:hint="cs"/>
          <w:rtl/>
        </w:rPr>
        <w:t xml:space="preserve">אך כתב </w:t>
      </w:r>
      <w:r w:rsidRPr="005E665C">
        <w:rPr>
          <w:rStyle w:val="af9"/>
          <w:rFonts w:hint="cs"/>
          <w:rtl/>
        </w:rPr>
        <w:t>הפרמ"ג</w:t>
      </w:r>
      <w:r>
        <w:rPr>
          <w:rFonts w:hint="cs"/>
          <w:rtl/>
        </w:rPr>
        <w:t xml:space="preserve"> דכל דברי </w:t>
      </w:r>
      <w:r w:rsidRPr="006E1D31">
        <w:rPr>
          <w:rStyle w:val="af9"/>
          <w:rFonts w:hint="cs"/>
          <w:rtl/>
        </w:rPr>
        <w:t>הרשב"א</w:t>
      </w:r>
      <w:r>
        <w:rPr>
          <w:rFonts w:hint="cs"/>
          <w:rtl/>
        </w:rPr>
        <w:t xml:space="preserve"> דאזלינן בתר חזקה מכח רוב, זהו דוקא אם אפש"ל שסמוך לשחיטתה רגע אחד נעשית טריפה, אבל בהגליד פי המכה שכבר יצאה מחזקתה ג' ימים א"א להעמידה על החזקה כדכתב </w:t>
      </w:r>
      <w:r w:rsidRPr="009B6BE2">
        <w:rPr>
          <w:rStyle w:val="af9"/>
          <w:rFonts w:hint="cs"/>
          <w:rtl/>
        </w:rPr>
        <w:t>הרשב"א</w:t>
      </w:r>
      <w:r>
        <w:rPr>
          <w:rFonts w:hint="cs"/>
          <w:rtl/>
        </w:rPr>
        <w:t xml:space="preserve"> </w:t>
      </w:r>
      <w:r w:rsidRPr="009B6BE2">
        <w:rPr>
          <w:rStyle w:val="af7"/>
          <w:rFonts w:eastAsia="Guttman Hodes" w:hint="cs"/>
          <w:rtl/>
        </w:rPr>
        <w:t xml:space="preserve">(עי' אות </w:t>
      </w:r>
      <w:r w:rsidRPr="009B6BE2">
        <w:rPr>
          <w:rStyle w:val="af7"/>
          <w:rFonts w:eastAsia="Guttman Hodes"/>
          <w:rtl/>
        </w:rPr>
        <w:fldChar w:fldCharType="begin"/>
      </w:r>
      <w:r w:rsidRPr="009B6BE2">
        <w:rPr>
          <w:rStyle w:val="af7"/>
          <w:rFonts w:eastAsia="Guttman Hodes"/>
          <w:rtl/>
        </w:rPr>
        <w:instrText xml:space="preserve"> </w:instrText>
      </w:r>
      <w:r w:rsidRPr="009B6BE2">
        <w:rPr>
          <w:rStyle w:val="af7"/>
          <w:rFonts w:eastAsia="Guttman Hodes" w:hint="cs"/>
        </w:rPr>
        <w:instrText>REF</w:instrText>
      </w:r>
      <w:r w:rsidRPr="009B6BE2">
        <w:rPr>
          <w:rStyle w:val="af7"/>
          <w:rFonts w:eastAsia="Guttman Hodes" w:hint="cs"/>
          <w:rtl/>
        </w:rPr>
        <w:instrText xml:space="preserve"> _</w:instrText>
      </w:r>
      <w:r w:rsidRPr="009B6BE2">
        <w:rPr>
          <w:rStyle w:val="af7"/>
          <w:rFonts w:eastAsia="Guttman Hodes" w:hint="cs"/>
        </w:rPr>
        <w:instrText>Ref529206479 \r \h</w:instrText>
      </w:r>
      <w:r w:rsidRPr="009B6BE2">
        <w:rPr>
          <w:rStyle w:val="af7"/>
          <w:rFonts w:eastAsia="Guttman Hodes"/>
          <w:rtl/>
        </w:rPr>
        <w:instrText xml:space="preserve"> </w:instrText>
      </w:r>
      <w:r w:rsidRPr="009B6BE2">
        <w:rPr>
          <w:rStyle w:val="af7"/>
          <w:rFonts w:eastAsia="Guttman Hodes"/>
          <w:rtl/>
        </w:rPr>
      </w:r>
      <w:r w:rsidRPr="009B6BE2">
        <w:rPr>
          <w:rStyle w:val="af7"/>
          <w:rFonts w:eastAsia="Guttman Hodes"/>
          <w:rtl/>
        </w:rPr>
        <w:fldChar w:fldCharType="separate"/>
      </w:r>
      <w:r w:rsidR="00345400">
        <w:rPr>
          <w:rStyle w:val="af7"/>
          <w:rFonts w:eastAsia="Guttman Hodes"/>
          <w:cs/>
        </w:rPr>
        <w:t>‎</w:t>
      </w:r>
      <w:r w:rsidR="00345400">
        <w:rPr>
          <w:rStyle w:val="af7"/>
          <w:rFonts w:eastAsia="Guttman Hodes"/>
          <w:rtl/>
        </w:rPr>
        <w:t>סב)</w:t>
      </w:r>
      <w:r w:rsidRPr="009B6BE2">
        <w:rPr>
          <w:rStyle w:val="af7"/>
          <w:rFonts w:eastAsia="Guttman Hodes"/>
          <w:rtl/>
        </w:rPr>
        <w:fldChar w:fldCharType="end"/>
      </w:r>
      <w:r>
        <w:rPr>
          <w:rFonts w:hint="cs"/>
          <w:rtl/>
        </w:rPr>
        <w:t xml:space="preserve">, וכן במקום שהייתה לה ריעותא מחיים </w:t>
      </w:r>
      <w:r w:rsidRPr="00306365">
        <w:rPr>
          <w:rStyle w:val="afb"/>
          <w:rFonts w:hint="cs"/>
          <w:rtl/>
        </w:rPr>
        <w:t>[כנמצאו מים במוח]</w:t>
      </w:r>
      <w:r>
        <w:rPr>
          <w:rFonts w:hint="cs"/>
          <w:rtl/>
        </w:rPr>
        <w:t xml:space="preserve">, כתב </w:t>
      </w:r>
      <w:r w:rsidRPr="005E665C">
        <w:rPr>
          <w:rStyle w:val="af9"/>
          <w:rFonts w:hint="cs"/>
          <w:rtl/>
        </w:rPr>
        <w:t>הפרמ"ג</w:t>
      </w:r>
      <w:r>
        <w:rPr>
          <w:rFonts w:hint="cs"/>
          <w:rtl/>
        </w:rPr>
        <w:t xml:space="preserve"> דכבר ביאר </w:t>
      </w:r>
      <w:r w:rsidRPr="005E665C">
        <w:rPr>
          <w:rStyle w:val="af9"/>
          <w:rFonts w:hint="cs"/>
          <w:rtl/>
        </w:rPr>
        <w:t>התבו"ש</w:t>
      </w:r>
      <w:r>
        <w:rPr>
          <w:rFonts w:hint="cs"/>
          <w:rtl/>
        </w:rPr>
        <w:t xml:space="preserve"> </w:t>
      </w:r>
      <w:r w:rsidRPr="00306365">
        <w:rPr>
          <w:rStyle w:val="af7"/>
          <w:rFonts w:eastAsia="Guttman Hodes" w:hint="cs"/>
          <w:rtl/>
        </w:rPr>
        <w:t xml:space="preserve">(עי' אות </w:t>
      </w:r>
      <w:r w:rsidRPr="00306365">
        <w:rPr>
          <w:rStyle w:val="af7"/>
          <w:rFonts w:eastAsia="Guttman Hodes"/>
          <w:rtl/>
        </w:rPr>
        <w:fldChar w:fldCharType="begin"/>
      </w:r>
      <w:r w:rsidRPr="00306365">
        <w:rPr>
          <w:rStyle w:val="af7"/>
          <w:rFonts w:eastAsia="Guttman Hodes"/>
          <w:rtl/>
        </w:rPr>
        <w:instrText xml:space="preserve"> </w:instrText>
      </w:r>
      <w:r w:rsidRPr="00306365">
        <w:rPr>
          <w:rStyle w:val="af7"/>
          <w:rFonts w:eastAsia="Guttman Hodes" w:hint="cs"/>
        </w:rPr>
        <w:instrText>REF</w:instrText>
      </w:r>
      <w:r w:rsidRPr="00306365">
        <w:rPr>
          <w:rStyle w:val="af7"/>
          <w:rFonts w:eastAsia="Guttman Hodes" w:hint="cs"/>
          <w:rtl/>
        </w:rPr>
        <w:instrText xml:space="preserve"> _</w:instrText>
      </w:r>
      <w:r w:rsidRPr="00306365">
        <w:rPr>
          <w:rStyle w:val="af7"/>
          <w:rFonts w:eastAsia="Guttman Hodes" w:hint="cs"/>
        </w:rPr>
        <w:instrText>Ref522554433 \r \h</w:instrText>
      </w:r>
      <w:r w:rsidRPr="00306365">
        <w:rPr>
          <w:rStyle w:val="af7"/>
          <w:rFonts w:eastAsia="Guttman Hodes"/>
          <w:rtl/>
        </w:rPr>
        <w:instrText xml:space="preserve"> </w:instrText>
      </w:r>
      <w:r w:rsidRPr="00306365">
        <w:rPr>
          <w:rStyle w:val="af7"/>
          <w:rFonts w:eastAsia="Guttman Hodes"/>
          <w:rtl/>
        </w:rPr>
      </w:r>
      <w:r w:rsidRPr="00306365">
        <w:rPr>
          <w:rStyle w:val="af7"/>
          <w:rFonts w:eastAsia="Guttman Hodes"/>
          <w:rtl/>
        </w:rPr>
        <w:fldChar w:fldCharType="separate"/>
      </w:r>
      <w:r w:rsidR="00345400">
        <w:rPr>
          <w:rStyle w:val="af7"/>
          <w:rFonts w:eastAsia="Guttman Hodes"/>
          <w:cs/>
        </w:rPr>
        <w:t>‎</w:t>
      </w:r>
      <w:r w:rsidR="00345400">
        <w:rPr>
          <w:rStyle w:val="af7"/>
          <w:rFonts w:eastAsia="Guttman Hodes"/>
          <w:rtl/>
        </w:rPr>
        <w:t>פד)</w:t>
      </w:r>
      <w:r w:rsidRPr="00306365">
        <w:rPr>
          <w:rStyle w:val="af7"/>
          <w:rFonts w:eastAsia="Guttman Hodes"/>
          <w:rtl/>
        </w:rPr>
        <w:fldChar w:fldCharType="end"/>
      </w:r>
      <w:r>
        <w:rPr>
          <w:rFonts w:hint="cs"/>
          <w:rtl/>
        </w:rPr>
        <w:t xml:space="preserve"> דהיא יצאה מהרוב.</w:t>
      </w:r>
    </w:p>
    <w:p w14:paraId="5BD69508" w14:textId="77777777" w:rsidR="00D95C52" w:rsidRPr="0015188E" w:rsidRDefault="00D95C52" w:rsidP="006D6D32">
      <w:pPr>
        <w:pStyle w:val="a3"/>
        <w:rPr>
          <w:rtl/>
        </w:rPr>
      </w:pPr>
      <w:bookmarkStart w:id="8960" w:name="_Toc529739029"/>
      <w:bookmarkStart w:id="8961" w:name="_Toc19390191"/>
      <w:bookmarkStart w:id="8962" w:name="_Toc19393688"/>
      <w:bookmarkEnd w:id="8941"/>
      <w:bookmarkEnd w:id="8942"/>
      <w:bookmarkEnd w:id="8943"/>
      <w:r>
        <w:rPr>
          <w:rFonts w:hint="cs"/>
          <w:rtl/>
        </w:rPr>
        <w:t>דברי הפרמ"ג דדברי הרשב"א דביצאה מהרוב מחיים אין לה חזקה</w:t>
      </w:r>
      <w:r w:rsidRPr="009646EF">
        <w:rPr>
          <w:rFonts w:hint="cs"/>
          <w:rtl/>
        </w:rPr>
        <w:t xml:space="preserve"> </w:t>
      </w:r>
      <w:r>
        <w:rPr>
          <w:rFonts w:hint="cs"/>
          <w:rtl/>
        </w:rPr>
        <w:t>הוא רק בחזקה מכח רוב</w:t>
      </w:r>
      <w:bookmarkEnd w:id="8960"/>
      <w:bookmarkEnd w:id="8961"/>
      <w:bookmarkEnd w:id="8962"/>
    </w:p>
    <w:p w14:paraId="5220420D" w14:textId="77777777" w:rsidR="00D95C52" w:rsidRDefault="00D95C52" w:rsidP="00223668">
      <w:pPr>
        <w:pStyle w:val="a0"/>
        <w:rPr>
          <w:rtl/>
        </w:rPr>
      </w:pPr>
      <w:r>
        <w:rPr>
          <w:rFonts w:hint="cs"/>
          <w:rtl/>
        </w:rPr>
        <w:t xml:space="preserve">וביאר </w:t>
      </w:r>
      <w:r w:rsidRPr="00306365">
        <w:rPr>
          <w:rStyle w:val="af9"/>
          <w:rFonts w:hint="cs"/>
          <w:rtl/>
        </w:rPr>
        <w:t>הפרמ"ג</w:t>
      </w:r>
      <w:r>
        <w:rPr>
          <w:rFonts w:hint="cs"/>
          <w:rtl/>
        </w:rPr>
        <w:t xml:space="preserve"> דכל החסרון במקום שיצאה מהחזקה לפני ג' ימים, הוא רק בחזקה מכח רוב, אבל בחזקה גמורה שנתבררה בשעתה, אף אם כבר יצאה מהחזקה לפני כמה ימים, עדיין בזמן שלא יצאה מהחזקה מעמידים עליה, </w:t>
      </w:r>
      <w:r w:rsidRPr="00306365">
        <w:rPr>
          <w:rStyle w:val="afb"/>
          <w:rFonts w:hint="cs"/>
          <w:rtl/>
        </w:rPr>
        <w:t>[כגון בשוחט שיש לו קבלה, דהיא חזקה ברורה, ושכח לאט לאט ויצא כמה ימים מחזקתו, מ"מ החזקה דמעיקרא עדיפא]</w:t>
      </w:r>
      <w:r>
        <w:rPr>
          <w:rFonts w:hint="cs"/>
          <w:rtl/>
        </w:rPr>
        <w:t>.</w:t>
      </w:r>
    </w:p>
    <w:p w14:paraId="3A92C703" w14:textId="77777777" w:rsidR="00D95C52" w:rsidRPr="00744085" w:rsidRDefault="00D95C52" w:rsidP="006D6D32">
      <w:pPr>
        <w:pStyle w:val="a3"/>
        <w:rPr>
          <w:rtl/>
        </w:rPr>
      </w:pPr>
      <w:bookmarkStart w:id="8963" w:name="_Toc529739030"/>
      <w:bookmarkStart w:id="8964" w:name="_Toc19390192"/>
      <w:bookmarkStart w:id="8965" w:name="_Toc19393689"/>
      <w:r>
        <w:rPr>
          <w:rFonts w:hint="cs"/>
          <w:rtl/>
        </w:rPr>
        <w:t>דברי הפר"ח דאף בחזקה שנתבררה בשעתה אם יצאה מהרוב מחיים אין לה חזקה</w:t>
      </w:r>
      <w:bookmarkEnd w:id="8963"/>
      <w:bookmarkEnd w:id="8964"/>
      <w:bookmarkEnd w:id="8965"/>
    </w:p>
    <w:p w14:paraId="2BE99336" w14:textId="77777777" w:rsidR="00D95C52" w:rsidRDefault="00D95C52" w:rsidP="00223668">
      <w:pPr>
        <w:pStyle w:val="a0"/>
        <w:rPr>
          <w:rtl/>
        </w:rPr>
      </w:pPr>
      <w:r>
        <w:rPr>
          <w:rFonts w:hint="cs"/>
          <w:rtl/>
        </w:rPr>
        <w:t xml:space="preserve">אך הביא </w:t>
      </w:r>
      <w:r w:rsidRPr="002F05C9">
        <w:rPr>
          <w:rStyle w:val="af9"/>
          <w:rFonts w:hint="cs"/>
          <w:rtl/>
        </w:rPr>
        <w:t>הפרמ"ג</w:t>
      </w:r>
      <w:r>
        <w:rPr>
          <w:rFonts w:hint="cs"/>
          <w:rtl/>
        </w:rPr>
        <w:t xml:space="preserve"> </w:t>
      </w:r>
      <w:r w:rsidRPr="00D258B3">
        <w:rPr>
          <w:rStyle w:val="af7"/>
          <w:rFonts w:eastAsia="Guttman Hodes" w:hint="cs"/>
          <w:rtl/>
        </w:rPr>
        <w:t>(משבצות זהב פ"א ג' ד"ה דע)</w:t>
      </w:r>
      <w:r w:rsidRPr="00124643">
        <w:rPr>
          <w:rFonts w:hint="cs"/>
          <w:rtl/>
        </w:rPr>
        <w:t xml:space="preserve"> </w:t>
      </w:r>
      <w:r>
        <w:rPr>
          <w:rFonts w:hint="cs"/>
          <w:rtl/>
        </w:rPr>
        <w:t xml:space="preserve">את דברי </w:t>
      </w:r>
      <w:r w:rsidRPr="00306365">
        <w:rPr>
          <w:rStyle w:val="af9"/>
          <w:rFonts w:hint="cs"/>
          <w:rtl/>
        </w:rPr>
        <w:t>הפר"ח</w:t>
      </w:r>
      <w:r>
        <w:rPr>
          <w:rFonts w:hint="cs"/>
          <w:rtl/>
        </w:rPr>
        <w:t xml:space="preserve"> </w:t>
      </w:r>
      <w:r w:rsidRPr="00D258B3">
        <w:rPr>
          <w:rStyle w:val="af7"/>
          <w:rFonts w:eastAsia="Guttman Hodes" w:hint="cs"/>
          <w:rtl/>
        </w:rPr>
        <w:t>(סי' פ"א ס"ק ג')</w:t>
      </w:r>
      <w:r>
        <w:rPr>
          <w:rFonts w:hint="cs"/>
          <w:rtl/>
        </w:rPr>
        <w:t xml:space="preserve"> דאף בחזקה שנתבררה, אם יצאה מהחזקה אין מעמידים עליה, וכתב </w:t>
      </w:r>
      <w:r w:rsidRPr="00306365">
        <w:rPr>
          <w:rStyle w:val="af9"/>
          <w:rFonts w:hint="cs"/>
          <w:rtl/>
        </w:rPr>
        <w:t>הפרמ"ג</w:t>
      </w:r>
      <w:r>
        <w:rPr>
          <w:rFonts w:hint="cs"/>
          <w:rtl/>
        </w:rPr>
        <w:t xml:space="preserve"> דכדברי </w:t>
      </w:r>
      <w:r w:rsidRPr="00306365">
        <w:rPr>
          <w:rStyle w:val="af9"/>
          <w:rFonts w:hint="cs"/>
          <w:rtl/>
        </w:rPr>
        <w:t>הפר"ח</w:t>
      </w:r>
      <w:r>
        <w:rPr>
          <w:rFonts w:hint="cs"/>
          <w:rtl/>
        </w:rPr>
        <w:t xml:space="preserve"> משמע מהגמ' בנדה </w:t>
      </w:r>
      <w:r w:rsidRPr="00D258B3">
        <w:rPr>
          <w:rStyle w:val="af7"/>
          <w:rFonts w:eastAsia="Guttman Hodes" w:hint="cs"/>
          <w:rtl/>
        </w:rPr>
        <w:t>(ב:)</w:t>
      </w:r>
      <w:r>
        <w:rPr>
          <w:rFonts w:hint="cs"/>
          <w:rtl/>
        </w:rPr>
        <w:t xml:space="preserve"> דבמקוה שנמצא חסר, אף שחסר ואתאי, מ"מ הוא טמא רק מחמת שיש תרתי לריעותא, ומבואר דאף שיצא מחזקתו אפשר להעמידו בחזקת שלם, אך כתב </w:t>
      </w:r>
      <w:r w:rsidRPr="00306365">
        <w:rPr>
          <w:rStyle w:val="af9"/>
          <w:rFonts w:hint="cs"/>
          <w:rtl/>
        </w:rPr>
        <w:t>הפרמ"ג</w:t>
      </w:r>
      <w:r>
        <w:rPr>
          <w:rFonts w:hint="cs"/>
          <w:rtl/>
        </w:rPr>
        <w:t xml:space="preserve"> דאפשר לדחות ראיה זו, וכ"כ </w:t>
      </w:r>
      <w:r w:rsidRPr="00D258B3">
        <w:rPr>
          <w:rStyle w:val="af9"/>
          <w:rFonts w:hint="cs"/>
          <w:rtl/>
        </w:rPr>
        <w:t>הנחל"ד</w:t>
      </w:r>
      <w:r>
        <w:rPr>
          <w:rFonts w:hint="cs"/>
          <w:rtl/>
        </w:rPr>
        <w:t xml:space="preserve"> </w:t>
      </w:r>
      <w:r w:rsidRPr="00D258B3">
        <w:rPr>
          <w:rStyle w:val="af7"/>
          <w:rFonts w:eastAsia="Guttman Hodes" w:hint="cs"/>
          <w:rtl/>
        </w:rPr>
        <w:t>(ד"ה ובעיקר)</w:t>
      </w:r>
      <w:r>
        <w:rPr>
          <w:rFonts w:hint="cs"/>
          <w:rtl/>
        </w:rPr>
        <w:t xml:space="preserve"> דמהא דהביא </w:t>
      </w:r>
      <w:r w:rsidRPr="00D258B3">
        <w:rPr>
          <w:rStyle w:val="af9"/>
          <w:rFonts w:hint="cs"/>
          <w:rtl/>
        </w:rPr>
        <w:t>הרשב"א</w:t>
      </w:r>
      <w:r>
        <w:rPr>
          <w:rStyle w:val="af9"/>
          <w:rFonts w:hint="cs"/>
          <w:rtl/>
        </w:rPr>
        <w:t xml:space="preserve"> </w:t>
      </w:r>
      <w:r w:rsidRPr="00FB685F">
        <w:rPr>
          <w:rFonts w:hint="cs"/>
          <w:rtl/>
        </w:rPr>
        <w:t>ראי</w:t>
      </w:r>
      <w:r>
        <w:rPr>
          <w:rFonts w:hint="cs"/>
          <w:rtl/>
        </w:rPr>
        <w:t xml:space="preserve">ה מכתמים, מוכח דלא כתב כן רק בחזקה מכח רוב, דהא החזקת טהרה של האשה היא חזקה גמורה, ואינה חזקה מכח רוב, וע"ע במה שהקשה </w:t>
      </w:r>
      <w:r w:rsidRPr="008709F7">
        <w:rPr>
          <w:rStyle w:val="af9"/>
          <w:rFonts w:hint="cs"/>
          <w:rtl/>
        </w:rPr>
        <w:t>הבכור שור</w:t>
      </w:r>
      <w:r>
        <w:rPr>
          <w:rFonts w:hint="cs"/>
          <w:rtl/>
        </w:rPr>
        <w:t xml:space="preserve"> </w:t>
      </w:r>
      <w:r w:rsidRPr="00D258B3">
        <w:rPr>
          <w:rStyle w:val="af7"/>
          <w:rFonts w:eastAsia="Guttman Hodes" w:hint="cs"/>
          <w:rtl/>
        </w:rPr>
        <w:t xml:space="preserve">(ד"ה עו"כ פר"ח) </w:t>
      </w:r>
      <w:r w:rsidRPr="008709F7">
        <w:rPr>
          <w:rFonts w:hint="cs"/>
          <w:rtl/>
        </w:rPr>
        <w:t xml:space="preserve">על </w:t>
      </w:r>
      <w:r>
        <w:rPr>
          <w:rFonts w:hint="cs"/>
          <w:rtl/>
        </w:rPr>
        <w:t xml:space="preserve">דברי </w:t>
      </w:r>
      <w:r w:rsidRPr="008709F7">
        <w:rPr>
          <w:rStyle w:val="af9"/>
          <w:rFonts w:hint="cs"/>
          <w:rtl/>
        </w:rPr>
        <w:t>הפר"ח</w:t>
      </w:r>
      <w:r>
        <w:rPr>
          <w:rFonts w:hint="cs"/>
          <w:rtl/>
        </w:rPr>
        <w:t>.</w:t>
      </w:r>
    </w:p>
    <w:p w14:paraId="3AC13F48" w14:textId="77777777" w:rsidR="00D95C52" w:rsidRPr="002077D1" w:rsidRDefault="00D95C52" w:rsidP="006D6D32">
      <w:pPr>
        <w:pStyle w:val="a3"/>
        <w:rPr>
          <w:rtl/>
        </w:rPr>
      </w:pPr>
      <w:bookmarkStart w:id="8966" w:name="_Toc529739031"/>
      <w:bookmarkStart w:id="8967" w:name="_Toc19390193"/>
      <w:bookmarkStart w:id="8968" w:name="_Toc19393690"/>
      <w:r w:rsidRPr="002077D1">
        <w:rPr>
          <w:rFonts w:hint="cs"/>
          <w:rtl/>
        </w:rPr>
        <w:t>ביאור הפרמ"ג דבדבר שא"א לומר שעכשיו יצאה מחזקתה א"א לתת לו גבול למפרע</w:t>
      </w:r>
      <w:bookmarkEnd w:id="8966"/>
      <w:bookmarkEnd w:id="8967"/>
      <w:bookmarkEnd w:id="8968"/>
    </w:p>
    <w:p w14:paraId="22A57DA2" w14:textId="77777777" w:rsidR="00D95C52" w:rsidRPr="00DD3D1F" w:rsidRDefault="00D95C52" w:rsidP="00223668">
      <w:pPr>
        <w:pStyle w:val="a0"/>
        <w:rPr>
          <w:rtl/>
        </w:rPr>
      </w:pPr>
      <w:r>
        <w:rPr>
          <w:rFonts w:hint="cs"/>
          <w:rtl/>
        </w:rPr>
        <w:t>עוד כתב</w:t>
      </w:r>
      <w:r w:rsidRPr="00DD3D1F">
        <w:rPr>
          <w:rFonts w:hint="cs"/>
          <w:rtl/>
        </w:rPr>
        <w:t xml:space="preserve"> </w:t>
      </w:r>
      <w:r w:rsidRPr="00DD3D1F">
        <w:rPr>
          <w:rStyle w:val="af9"/>
          <w:rFonts w:hint="cs"/>
          <w:rtl/>
        </w:rPr>
        <w:t>הפרמ"ג</w:t>
      </w:r>
      <w:r w:rsidRPr="00DD3D1F">
        <w:rPr>
          <w:rFonts w:hint="cs"/>
          <w:rtl/>
        </w:rPr>
        <w:t xml:space="preserve"> </w:t>
      </w:r>
      <w:r w:rsidRPr="00DD3D1F">
        <w:rPr>
          <w:rStyle w:val="af7"/>
          <w:rFonts w:eastAsia="Guttman Hodes" w:hint="cs"/>
          <w:rtl/>
        </w:rPr>
        <w:t xml:space="preserve">(סי' ק"ה משב"ז ס"ק ג') </w:t>
      </w:r>
      <w:r w:rsidRPr="00DD3D1F">
        <w:rPr>
          <w:rFonts w:hint="cs"/>
          <w:rtl/>
        </w:rPr>
        <w:t xml:space="preserve">דבדבר שאפש"ל דברגע זה ממש נעשית הריעותא בחזקה, כמו בנגע שהוא יכול להתחסר ברגע אחד, מעמידים על החזקה, אבל בהוגלד פי המכה שכבר ג' ימים יצאה הבהמה מחזקתה, א"א לתת לה גבול למפרע, ולהחזיקה בכשרות לפני הג' ימים, אך כתב </w:t>
      </w:r>
      <w:r w:rsidRPr="00DD3D1F">
        <w:rPr>
          <w:rStyle w:val="af9"/>
          <w:rFonts w:hint="cs"/>
          <w:rtl/>
        </w:rPr>
        <w:t>הפרמ"ג</w:t>
      </w:r>
      <w:r w:rsidRPr="00DD3D1F">
        <w:rPr>
          <w:rFonts w:hint="cs"/>
          <w:rtl/>
        </w:rPr>
        <w:t xml:space="preserve"> דהוא דלא כדברי </w:t>
      </w:r>
      <w:r w:rsidRPr="00DD3D1F">
        <w:rPr>
          <w:rStyle w:val="af9"/>
          <w:rFonts w:hint="cs"/>
          <w:rtl/>
        </w:rPr>
        <w:t>הרשב"א במשה"ב</w:t>
      </w:r>
      <w:r w:rsidRPr="00DD3D1F">
        <w:rPr>
          <w:rFonts w:hint="cs"/>
          <w:rtl/>
        </w:rPr>
        <w:t xml:space="preserve"> </w:t>
      </w:r>
      <w:r w:rsidRPr="00DD3D1F">
        <w:rPr>
          <w:rStyle w:val="af7"/>
          <w:rFonts w:eastAsia="Guttman Hodes" w:hint="cs"/>
          <w:rtl/>
        </w:rPr>
        <w:t xml:space="preserve">(עי' אות </w:t>
      </w:r>
      <w:r w:rsidRPr="00DD3D1F">
        <w:rPr>
          <w:rStyle w:val="af7"/>
          <w:rFonts w:eastAsia="Guttman Hodes"/>
          <w:rtl/>
        </w:rPr>
        <w:fldChar w:fldCharType="begin"/>
      </w:r>
      <w:r w:rsidRPr="00DD3D1F">
        <w:rPr>
          <w:rStyle w:val="af7"/>
          <w:rFonts w:eastAsia="Guttman Hodes"/>
          <w:rtl/>
        </w:rPr>
        <w:instrText xml:space="preserve"> </w:instrText>
      </w:r>
      <w:r w:rsidRPr="00DD3D1F">
        <w:rPr>
          <w:rStyle w:val="af7"/>
          <w:rFonts w:eastAsia="Guttman Hodes" w:hint="cs"/>
        </w:rPr>
        <w:instrText>REF</w:instrText>
      </w:r>
      <w:r w:rsidRPr="00DD3D1F">
        <w:rPr>
          <w:rStyle w:val="af7"/>
          <w:rFonts w:eastAsia="Guttman Hodes" w:hint="cs"/>
          <w:rtl/>
        </w:rPr>
        <w:instrText xml:space="preserve"> _</w:instrText>
      </w:r>
      <w:r w:rsidRPr="00DD3D1F">
        <w:rPr>
          <w:rStyle w:val="af7"/>
          <w:rFonts w:eastAsia="Guttman Hodes" w:hint="cs"/>
        </w:rPr>
        <w:instrText>Ref529292446 \r \h</w:instrText>
      </w:r>
      <w:r w:rsidRPr="00DD3D1F">
        <w:rPr>
          <w:rStyle w:val="af7"/>
          <w:rFonts w:eastAsia="Guttman Hodes"/>
          <w:rtl/>
        </w:rPr>
        <w:instrText xml:space="preserve">  \* </w:instrText>
      </w:r>
      <w:r w:rsidRPr="00DD3D1F">
        <w:rPr>
          <w:rStyle w:val="af7"/>
          <w:rFonts w:eastAsia="Guttman Hodes"/>
        </w:rPr>
        <w:instrText>MERGEFORMAT</w:instrText>
      </w:r>
      <w:r w:rsidRPr="00DD3D1F">
        <w:rPr>
          <w:rStyle w:val="af7"/>
          <w:rFonts w:eastAsia="Guttman Hodes"/>
          <w:rtl/>
        </w:rPr>
        <w:instrText xml:space="preserve"> </w:instrText>
      </w:r>
      <w:r w:rsidRPr="00DD3D1F">
        <w:rPr>
          <w:rStyle w:val="af7"/>
          <w:rFonts w:eastAsia="Guttman Hodes"/>
          <w:rtl/>
        </w:rPr>
      </w:r>
      <w:r w:rsidRPr="00DD3D1F">
        <w:rPr>
          <w:rStyle w:val="af7"/>
          <w:rFonts w:eastAsia="Guttman Hodes"/>
          <w:rtl/>
        </w:rPr>
        <w:fldChar w:fldCharType="separate"/>
      </w:r>
      <w:r w:rsidR="00345400">
        <w:rPr>
          <w:rStyle w:val="af7"/>
          <w:rFonts w:eastAsia="Guttman Hodes"/>
          <w:cs/>
        </w:rPr>
        <w:t>‎</w:t>
      </w:r>
      <w:r w:rsidR="00345400">
        <w:rPr>
          <w:rStyle w:val="af7"/>
          <w:rFonts w:eastAsia="Guttman Hodes"/>
          <w:rtl/>
        </w:rPr>
        <w:t>עז)</w:t>
      </w:r>
      <w:r w:rsidRPr="00DD3D1F">
        <w:rPr>
          <w:rStyle w:val="af7"/>
          <w:rFonts w:eastAsia="Guttman Hodes"/>
          <w:rtl/>
        </w:rPr>
        <w:fldChar w:fldCharType="end"/>
      </w:r>
      <w:r w:rsidRPr="00DD3D1F">
        <w:rPr>
          <w:rFonts w:hint="cs"/>
          <w:rtl/>
        </w:rPr>
        <w:t>.</w:t>
      </w:r>
    </w:p>
    <w:p w14:paraId="41D16679" w14:textId="77777777" w:rsidR="00D95C52" w:rsidRDefault="00D95C52" w:rsidP="00BF39B2">
      <w:pPr>
        <w:pStyle w:val="1"/>
        <w:rPr>
          <w:rtl/>
        </w:rPr>
      </w:pPr>
      <w:bookmarkStart w:id="8969" w:name="_Toc529739032"/>
      <w:bookmarkStart w:id="8970" w:name="_Toc19390194"/>
      <w:bookmarkStart w:id="8971" w:name="_Toc19393691"/>
      <w:r>
        <w:rPr>
          <w:rFonts w:hint="cs"/>
          <w:rtl/>
        </w:rPr>
        <w:t>ביאור התורת יקותיאל בפלוגתת הראשונים ביצאה מחזקתה</w:t>
      </w:r>
      <w:bookmarkEnd w:id="8944"/>
      <w:bookmarkEnd w:id="8969"/>
      <w:bookmarkEnd w:id="8970"/>
      <w:bookmarkEnd w:id="8971"/>
    </w:p>
    <w:p w14:paraId="195519C2" w14:textId="77777777" w:rsidR="00D95C52" w:rsidRPr="0006048C" w:rsidRDefault="00D95C52" w:rsidP="006D6D32">
      <w:pPr>
        <w:pStyle w:val="a3"/>
        <w:rPr>
          <w:rtl/>
        </w:rPr>
      </w:pPr>
      <w:bookmarkStart w:id="8972" w:name="_Toc529739033"/>
      <w:bookmarkStart w:id="8973" w:name="_Toc19390195"/>
      <w:bookmarkStart w:id="8974" w:name="_Toc19393692"/>
      <w:r>
        <w:rPr>
          <w:rFonts w:hint="cs"/>
          <w:rtl/>
        </w:rPr>
        <w:t>ביאור התורת יקותיאל דלרבינו יונה ביצאה מחזקתה חשיב חזקה בטעות דהא יש בה ריעותא</w:t>
      </w:r>
      <w:bookmarkEnd w:id="8972"/>
      <w:bookmarkEnd w:id="8973"/>
      <w:bookmarkEnd w:id="8974"/>
    </w:p>
    <w:p w14:paraId="70C9ED3B" w14:textId="77777777" w:rsidR="00D95C52" w:rsidRDefault="00D95C52" w:rsidP="00223668">
      <w:pPr>
        <w:pStyle w:val="a0"/>
        <w:rPr>
          <w:rtl/>
        </w:rPr>
      </w:pPr>
      <w:r>
        <w:rPr>
          <w:rFonts w:hint="cs"/>
          <w:rtl/>
        </w:rPr>
        <w:t xml:space="preserve">כתב </w:t>
      </w:r>
      <w:r>
        <w:rPr>
          <w:rStyle w:val="af9"/>
          <w:rFonts w:hint="cs"/>
          <w:rtl/>
        </w:rPr>
        <w:t>ה</w:t>
      </w:r>
      <w:r w:rsidRPr="004B16E7">
        <w:rPr>
          <w:rStyle w:val="af9"/>
          <w:rFonts w:hint="cs"/>
          <w:rtl/>
        </w:rPr>
        <w:t>תורת יקותיאל</w:t>
      </w:r>
      <w:r>
        <w:rPr>
          <w:rFonts w:hint="cs"/>
          <w:rtl/>
        </w:rPr>
        <w:t xml:space="preserve"> </w:t>
      </w:r>
      <w:r w:rsidRPr="004B16E7">
        <w:rPr>
          <w:rStyle w:val="af7"/>
          <w:rFonts w:eastAsia="Guttman Hodes" w:hint="cs"/>
          <w:rtl/>
        </w:rPr>
        <w:t>(</w:t>
      </w:r>
      <w:r>
        <w:rPr>
          <w:rStyle w:val="af7"/>
          <w:rFonts w:eastAsia="Guttman Hodes" w:hint="cs"/>
          <w:rtl/>
        </w:rPr>
        <w:t xml:space="preserve">סו"ס </w:t>
      </w:r>
      <w:r w:rsidRPr="004B16E7">
        <w:rPr>
          <w:rStyle w:val="af7"/>
          <w:rFonts w:eastAsia="Guttman Hodes" w:hint="cs"/>
          <w:rtl/>
        </w:rPr>
        <w:t>פ"א ב' ד"ה</w:t>
      </w:r>
      <w:r>
        <w:rPr>
          <w:rStyle w:val="af7"/>
          <w:rFonts w:eastAsia="Guttman Hodes" w:hint="cs"/>
          <w:rtl/>
        </w:rPr>
        <w:t xml:space="preserve"> ד"ה ועוד נלפע"ד) </w:t>
      </w:r>
      <w:r w:rsidRPr="00D2071C">
        <w:rPr>
          <w:rStyle w:val="af9"/>
          <w:rFonts w:hint="cs"/>
          <w:rtl/>
        </w:rPr>
        <w:t xml:space="preserve">דרבינו יונה והרשב"א </w:t>
      </w:r>
      <w:r w:rsidRPr="00D2071C">
        <w:rPr>
          <w:rStyle w:val="af7"/>
          <w:rFonts w:eastAsia="Guttman Hodes" w:hint="cs"/>
          <w:rtl/>
        </w:rPr>
        <w:t xml:space="preserve">(עי' אות </w:t>
      </w:r>
      <w:r w:rsidRPr="00D2071C">
        <w:rPr>
          <w:rStyle w:val="af7"/>
          <w:rFonts w:eastAsia="Guttman Hodes"/>
          <w:rtl/>
        </w:rPr>
        <w:fldChar w:fldCharType="begin"/>
      </w:r>
      <w:r w:rsidRPr="00D2071C">
        <w:rPr>
          <w:rStyle w:val="af7"/>
          <w:rFonts w:eastAsia="Guttman Hodes"/>
          <w:rtl/>
        </w:rPr>
        <w:instrText xml:space="preserve"> </w:instrText>
      </w:r>
      <w:r w:rsidRPr="00D2071C">
        <w:rPr>
          <w:rStyle w:val="af7"/>
          <w:rFonts w:eastAsia="Guttman Hodes" w:hint="cs"/>
        </w:rPr>
        <w:instrText>REF</w:instrText>
      </w:r>
      <w:r w:rsidRPr="00D2071C">
        <w:rPr>
          <w:rStyle w:val="af7"/>
          <w:rFonts w:eastAsia="Guttman Hodes" w:hint="cs"/>
          <w:rtl/>
        </w:rPr>
        <w:instrText xml:space="preserve"> _</w:instrText>
      </w:r>
      <w:r w:rsidRPr="00D2071C">
        <w:rPr>
          <w:rStyle w:val="af7"/>
          <w:rFonts w:eastAsia="Guttman Hodes" w:hint="cs"/>
        </w:rPr>
        <w:instrText>Ref529206479 \r \h</w:instrText>
      </w:r>
      <w:r w:rsidRPr="00D2071C">
        <w:rPr>
          <w:rStyle w:val="af7"/>
          <w:rFonts w:eastAsia="Guttman Hodes"/>
          <w:rtl/>
        </w:rPr>
        <w:instrText xml:space="preserve"> </w:instrText>
      </w:r>
      <w:r w:rsidRPr="00D2071C">
        <w:rPr>
          <w:rStyle w:val="af7"/>
          <w:rFonts w:eastAsia="Guttman Hodes"/>
          <w:rtl/>
        </w:rPr>
      </w:r>
      <w:r w:rsidRPr="00D2071C">
        <w:rPr>
          <w:rStyle w:val="af7"/>
          <w:rFonts w:eastAsia="Guttman Hodes"/>
          <w:rtl/>
        </w:rPr>
        <w:fldChar w:fldCharType="separate"/>
      </w:r>
      <w:r w:rsidR="00345400">
        <w:rPr>
          <w:rStyle w:val="af7"/>
          <w:rFonts w:eastAsia="Guttman Hodes"/>
          <w:cs/>
        </w:rPr>
        <w:t>‎</w:t>
      </w:r>
      <w:r w:rsidR="00345400">
        <w:rPr>
          <w:rStyle w:val="af7"/>
          <w:rFonts w:eastAsia="Guttman Hodes"/>
          <w:rtl/>
        </w:rPr>
        <w:t>סב)</w:t>
      </w:r>
      <w:r w:rsidRPr="00D2071C">
        <w:rPr>
          <w:rStyle w:val="af7"/>
          <w:rFonts w:eastAsia="Guttman Hodes"/>
          <w:rtl/>
        </w:rPr>
        <w:fldChar w:fldCharType="end"/>
      </w:r>
      <w:r>
        <w:rPr>
          <w:rFonts w:hint="cs"/>
          <w:rtl/>
        </w:rPr>
        <w:t xml:space="preserve"> ס"ל דהביאור בהא דמעמידים על החזקה אף כשיש ריעותא לפנינו, דכיון שלפני שנולדה הריעותא הוחזקה בחזקת כשרות </w:t>
      </w:r>
      <w:r w:rsidRPr="00D2071C">
        <w:rPr>
          <w:rStyle w:val="afb"/>
          <w:rFonts w:hint="cs"/>
          <w:rtl/>
        </w:rPr>
        <w:t>[מכח הרוב]</w:t>
      </w:r>
      <w:r>
        <w:rPr>
          <w:rFonts w:hint="cs"/>
          <w:rtl/>
        </w:rPr>
        <w:t>,</w:t>
      </w:r>
      <w:r w:rsidRPr="0088658C">
        <w:rPr>
          <w:rFonts w:hint="cs"/>
          <w:rtl/>
        </w:rPr>
        <w:t xml:space="preserve"> </w:t>
      </w:r>
      <w:r>
        <w:rPr>
          <w:rFonts w:hint="cs"/>
          <w:rtl/>
        </w:rPr>
        <w:t>דהא לא ידענו שיש לה ריעותא, ובאותה החזקה מעמידים אותה על הזמן שנודע בודאי שיש בה ריעותא והיא טריפה, ולכן בהוגלד פי המכה, דנתברר לנו שבזמן שהחזקנו אותה בכשרות כבר הייתה בה ריעותא, א"כ החזקה הייתה בטעות, וא"א עכשיו להעמידה על אותה חזקה שיש בה ריעותא.</w:t>
      </w:r>
    </w:p>
    <w:p w14:paraId="0D9EF4C3" w14:textId="77777777" w:rsidR="00D95C52" w:rsidRPr="00B002A7" w:rsidRDefault="00D95C52" w:rsidP="006D6D32">
      <w:pPr>
        <w:pStyle w:val="a3"/>
        <w:rPr>
          <w:rtl/>
        </w:rPr>
      </w:pPr>
      <w:bookmarkStart w:id="8975" w:name="_Toc529739034"/>
      <w:bookmarkStart w:id="8976" w:name="_Toc19390196"/>
      <w:bookmarkStart w:id="8977" w:name="_Toc19393693"/>
      <w:r>
        <w:rPr>
          <w:rFonts w:hint="cs"/>
          <w:rtl/>
        </w:rPr>
        <w:t>דברי התורת יקותיאל בדעת הסמ"ק דגדר חזקה הוא להעמיד על זמן אחד שהייתה בו כשרה</w:t>
      </w:r>
      <w:bookmarkEnd w:id="8975"/>
      <w:bookmarkEnd w:id="8976"/>
      <w:bookmarkEnd w:id="8977"/>
    </w:p>
    <w:p w14:paraId="262087ED" w14:textId="77777777" w:rsidR="00D95C52" w:rsidRPr="009A5F55" w:rsidRDefault="00D95C52" w:rsidP="00223668">
      <w:pPr>
        <w:pStyle w:val="a0"/>
        <w:rPr>
          <w:rtl/>
        </w:rPr>
      </w:pPr>
      <w:r>
        <w:rPr>
          <w:rFonts w:hint="cs"/>
          <w:rtl/>
        </w:rPr>
        <w:t xml:space="preserve">אך הביא </w:t>
      </w:r>
      <w:r>
        <w:rPr>
          <w:rStyle w:val="af9"/>
          <w:rFonts w:hint="cs"/>
          <w:rtl/>
        </w:rPr>
        <w:t>ה</w:t>
      </w:r>
      <w:r w:rsidRPr="004B16E7">
        <w:rPr>
          <w:rStyle w:val="af9"/>
          <w:rFonts w:hint="cs"/>
          <w:rtl/>
        </w:rPr>
        <w:t>תורת יקותיאל</w:t>
      </w:r>
      <w:r>
        <w:rPr>
          <w:rFonts w:hint="cs"/>
          <w:rtl/>
        </w:rPr>
        <w:t xml:space="preserve"> </w:t>
      </w:r>
      <w:r w:rsidRPr="009A5F55">
        <w:rPr>
          <w:rFonts w:hint="cs"/>
          <w:rtl/>
        </w:rPr>
        <w:t xml:space="preserve">את </w:t>
      </w:r>
      <w:r>
        <w:rPr>
          <w:rFonts w:hint="cs"/>
          <w:rtl/>
        </w:rPr>
        <w:t xml:space="preserve">דברי </w:t>
      </w:r>
      <w:r w:rsidRPr="00D2071C">
        <w:rPr>
          <w:rStyle w:val="af9"/>
          <w:rFonts w:hint="cs"/>
          <w:rtl/>
        </w:rPr>
        <w:t xml:space="preserve">הסמ"ק </w:t>
      </w:r>
      <w:r w:rsidRPr="00D2071C">
        <w:rPr>
          <w:rStyle w:val="af7"/>
          <w:rFonts w:eastAsia="Guttman Hodes" w:hint="cs"/>
          <w:rtl/>
        </w:rPr>
        <w:t>(סי' ר"א)</w:t>
      </w:r>
      <w:r>
        <w:rPr>
          <w:rFonts w:hint="cs"/>
          <w:rtl/>
        </w:rPr>
        <w:t xml:space="preserve"> דהתיר את הגבינות שנחלבו לפני ג' ימים, וביאר </w:t>
      </w:r>
      <w:r w:rsidRPr="00D2071C">
        <w:rPr>
          <w:rStyle w:val="af9"/>
          <w:rFonts w:hint="cs"/>
          <w:rtl/>
        </w:rPr>
        <w:t xml:space="preserve">התורת יקותיאל דהסמ"ק והראשונים </w:t>
      </w:r>
      <w:r>
        <w:rPr>
          <w:rFonts w:hint="cs"/>
          <w:rtl/>
        </w:rPr>
        <w:t>דס"ל שאפשר להתיר מכח החזקה, ס"ל דהא דמעמידים על החזקה במקום שיש ריעותא לפנינו, היינו דכיון שיש פעם אחת שהייתה הבהמה כשרה בודאי, ומכח אותה הפעם אנו מחזיקים את הבהמה בכשרות, עד הזמן שנודע שיש בה ריעותא והיא טריפה, ולכן אף שאתה התברר שכבר ג' ימים לפני שחיטתה יצאה מהחזקת כשרות, מ"מ כיון שקודם לכן יש חזקה מכח רוב, שהייתה כשרה פעם אחת, מחזקינן אותה בכשרות עד לפני הג' ימים שבהם התברר שיש ריעותא בחזקה.</w:t>
      </w:r>
    </w:p>
    <w:p w14:paraId="490B5395" w14:textId="77777777" w:rsidR="00D95C52" w:rsidRDefault="00D95C52" w:rsidP="00BF39B2">
      <w:pPr>
        <w:pStyle w:val="1"/>
        <w:rPr>
          <w:rtl/>
        </w:rPr>
      </w:pPr>
      <w:bookmarkStart w:id="8978" w:name="_Toc529704541"/>
      <w:bookmarkStart w:id="8979" w:name="_Toc529739035"/>
      <w:bookmarkStart w:id="8980" w:name="_Toc19390197"/>
      <w:bookmarkStart w:id="8981" w:name="_Toc19393694"/>
      <w:r w:rsidRPr="00B713DD">
        <w:rPr>
          <w:rFonts w:hint="cs"/>
          <w:rtl/>
        </w:rPr>
        <w:t>דברי הרא"ה דאין חילוק בחזקה</w:t>
      </w:r>
      <w:r>
        <w:rPr>
          <w:rFonts w:hint="cs"/>
          <w:rtl/>
        </w:rPr>
        <w:t xml:space="preserve"> בין סירכא לשאר טריפות</w:t>
      </w:r>
      <w:bookmarkEnd w:id="8945"/>
      <w:bookmarkEnd w:id="8946"/>
      <w:bookmarkEnd w:id="8978"/>
      <w:bookmarkEnd w:id="8979"/>
      <w:bookmarkEnd w:id="8980"/>
      <w:bookmarkEnd w:id="8981"/>
    </w:p>
    <w:p w14:paraId="529255B7" w14:textId="77777777" w:rsidR="00D95C52" w:rsidRPr="00DA044E" w:rsidRDefault="00D95C52" w:rsidP="006D6D32">
      <w:pPr>
        <w:pStyle w:val="a3"/>
        <w:rPr>
          <w:rtl/>
        </w:rPr>
      </w:pPr>
      <w:bookmarkStart w:id="8982" w:name="_Toc529739036"/>
      <w:bookmarkStart w:id="8983" w:name="_Toc19390198"/>
      <w:bookmarkStart w:id="8984" w:name="_Toc19393695"/>
      <w:r>
        <w:rPr>
          <w:rFonts w:hint="cs"/>
          <w:rtl/>
        </w:rPr>
        <w:t>קושית הרא"ה דכמו שמעמידים שנטרפה סמוך לשחיטה נעמיד שנטרפה לפני ג' ימים</w:t>
      </w:r>
      <w:bookmarkEnd w:id="8982"/>
      <w:bookmarkEnd w:id="8983"/>
      <w:bookmarkEnd w:id="8984"/>
    </w:p>
    <w:p w14:paraId="52EF3E79" w14:textId="77777777" w:rsidR="00D95C52" w:rsidRDefault="00D95C52" w:rsidP="00223668">
      <w:pPr>
        <w:pStyle w:val="a0"/>
        <w:rPr>
          <w:rtl/>
        </w:rPr>
      </w:pPr>
      <w:bookmarkStart w:id="8985" w:name="_Ref529379639"/>
      <w:r w:rsidRPr="00744647">
        <w:rPr>
          <w:rStyle w:val="af9"/>
          <w:rFonts w:hint="cs"/>
          <w:rtl/>
        </w:rPr>
        <w:t>הרא"ה בבד"ה</w:t>
      </w:r>
      <w:r>
        <w:rPr>
          <w:rFonts w:hint="cs"/>
          <w:rtl/>
        </w:rPr>
        <w:t xml:space="preserve"> </w:t>
      </w:r>
      <w:r>
        <w:rPr>
          <w:rStyle w:val="af7"/>
          <w:rFonts w:eastAsia="Guttman Hodes" w:hint="cs"/>
          <w:rtl/>
        </w:rPr>
        <w:t>(ב"ג ש"ו דף צא: מד</w:t>
      </w:r>
      <w:r w:rsidRPr="00744647">
        <w:rPr>
          <w:rStyle w:val="af7"/>
          <w:rFonts w:eastAsia="Guttman Hodes" w:hint="cs"/>
          <w:rtl/>
        </w:rPr>
        <w:t>ה</w:t>
      </w:r>
      <w:r>
        <w:rPr>
          <w:rStyle w:val="af7"/>
          <w:rFonts w:eastAsia="Guttman Hodes" w:hint="cs"/>
          <w:rtl/>
        </w:rPr>
        <w:t>"</w:t>
      </w:r>
      <w:r w:rsidRPr="00744647">
        <w:rPr>
          <w:rStyle w:val="af7"/>
          <w:rFonts w:eastAsia="Guttman Hodes" w:hint="cs"/>
          <w:rtl/>
        </w:rPr>
        <w:t>ס ד"ה עו"כ)</w:t>
      </w:r>
      <w:r>
        <w:rPr>
          <w:rFonts w:hint="cs"/>
          <w:rtl/>
        </w:rPr>
        <w:t xml:space="preserve"> הקשה על </w:t>
      </w:r>
      <w:r w:rsidRPr="00744647">
        <w:rPr>
          <w:rStyle w:val="af9"/>
          <w:rFonts w:hint="cs"/>
          <w:rtl/>
        </w:rPr>
        <w:t>הרשב"א</w:t>
      </w:r>
      <w:r>
        <w:rPr>
          <w:rFonts w:hint="cs"/>
          <w:rtl/>
        </w:rPr>
        <w:t xml:space="preserve"> </w:t>
      </w:r>
      <w:r w:rsidRPr="009546F6">
        <w:rPr>
          <w:rStyle w:val="af7"/>
          <w:rFonts w:eastAsia="Guttman Hodes" w:hint="cs"/>
          <w:rtl/>
        </w:rPr>
        <w:t xml:space="preserve">(עי' אות </w:t>
      </w:r>
      <w:r w:rsidRPr="009546F6">
        <w:rPr>
          <w:rStyle w:val="af7"/>
          <w:rFonts w:eastAsia="Guttman Hodes"/>
          <w:rtl/>
        </w:rPr>
        <w:fldChar w:fldCharType="begin"/>
      </w:r>
      <w:r w:rsidRPr="009546F6">
        <w:rPr>
          <w:rStyle w:val="af7"/>
          <w:rFonts w:eastAsia="Guttman Hodes"/>
          <w:rtl/>
        </w:rPr>
        <w:instrText xml:space="preserve"> </w:instrText>
      </w:r>
      <w:r w:rsidRPr="009546F6">
        <w:rPr>
          <w:rStyle w:val="af7"/>
          <w:rFonts w:eastAsia="Guttman Hodes" w:hint="cs"/>
        </w:rPr>
        <w:instrText>REF</w:instrText>
      </w:r>
      <w:r w:rsidRPr="009546F6">
        <w:rPr>
          <w:rStyle w:val="af7"/>
          <w:rFonts w:eastAsia="Guttman Hodes" w:hint="cs"/>
          <w:rtl/>
        </w:rPr>
        <w:instrText xml:space="preserve"> _</w:instrText>
      </w:r>
      <w:r w:rsidRPr="009546F6">
        <w:rPr>
          <w:rStyle w:val="af7"/>
          <w:rFonts w:eastAsia="Guttman Hodes" w:hint="cs"/>
        </w:rPr>
        <w:instrText>Ref529206479 \r \h</w:instrText>
      </w:r>
      <w:r w:rsidRPr="009546F6">
        <w:rPr>
          <w:rStyle w:val="af7"/>
          <w:rFonts w:eastAsia="Guttman Hodes"/>
          <w:rtl/>
        </w:rPr>
        <w:instrText xml:space="preserve"> </w:instrText>
      </w:r>
      <w:r w:rsidRPr="009546F6">
        <w:rPr>
          <w:rStyle w:val="af7"/>
          <w:rFonts w:eastAsia="Guttman Hodes"/>
          <w:rtl/>
        </w:rPr>
      </w:r>
      <w:r w:rsidRPr="009546F6">
        <w:rPr>
          <w:rStyle w:val="af7"/>
          <w:rFonts w:eastAsia="Guttman Hodes"/>
          <w:rtl/>
        </w:rPr>
        <w:fldChar w:fldCharType="separate"/>
      </w:r>
      <w:r w:rsidR="00345400">
        <w:rPr>
          <w:rStyle w:val="af7"/>
          <w:rFonts w:eastAsia="Guttman Hodes"/>
          <w:cs/>
        </w:rPr>
        <w:t>‎</w:t>
      </w:r>
      <w:r w:rsidR="00345400">
        <w:rPr>
          <w:rStyle w:val="af7"/>
          <w:rFonts w:eastAsia="Guttman Hodes"/>
          <w:rtl/>
        </w:rPr>
        <w:t>סב)</w:t>
      </w:r>
      <w:r w:rsidRPr="009546F6">
        <w:rPr>
          <w:rStyle w:val="af7"/>
          <w:rFonts w:eastAsia="Guttman Hodes"/>
          <w:rtl/>
        </w:rPr>
        <w:fldChar w:fldCharType="end"/>
      </w:r>
      <w:r w:rsidRPr="009546F6">
        <w:rPr>
          <w:rStyle w:val="af7"/>
          <w:rFonts w:eastAsia="Guttman Hodes" w:hint="cs"/>
          <w:rtl/>
        </w:rPr>
        <w:t xml:space="preserve"> </w:t>
      </w:r>
      <w:r>
        <w:rPr>
          <w:rFonts w:hint="cs"/>
          <w:rtl/>
        </w:rPr>
        <w:t>דאי תלינן להיתר ומעמידים אותה בחזקת כשרה, בכל מקום שאפשר לומר שנטרפה סמוך לשחיטה, אף שיתכן שנטרפה הרבה קודם, א"כ אף בסירכא בריאה צריך לתלות עד הזמן שלא יתכן שנהייתה הסיכרא אח"כ, ומה החילוק בין טריפה שאפש"ל שהייתה לפני זמן רב, או שהייתה לפני השחיטה דתלינן בלפני השחיטה, לבין סירכא דאפש"ל שהייתה לפני זמן רב, או שהייתה בזמן האחרון שיתכן לומר שנהייתה הסירכא, דלא תלינן בזמן זה אלא אסורה למפרע.</w:t>
      </w:r>
      <w:bookmarkEnd w:id="8985"/>
    </w:p>
    <w:p w14:paraId="3F3C7E80" w14:textId="77777777" w:rsidR="00D95C52" w:rsidRDefault="00D95C52" w:rsidP="006D6D32">
      <w:pPr>
        <w:pStyle w:val="a3"/>
        <w:rPr>
          <w:rtl/>
        </w:rPr>
      </w:pPr>
      <w:bookmarkStart w:id="8986" w:name="_Toc529739037"/>
      <w:bookmarkStart w:id="8987" w:name="_Toc19390199"/>
      <w:bookmarkStart w:id="8988" w:name="_Toc19393696"/>
      <w:r>
        <w:rPr>
          <w:rFonts w:hint="cs"/>
          <w:rtl/>
        </w:rPr>
        <w:t>דברי הרא"ה דאסרינן עד הזמן שודאי הייתה מותרת דהיינו עד י"ב חודש</w:t>
      </w:r>
      <w:bookmarkEnd w:id="8986"/>
      <w:bookmarkEnd w:id="8987"/>
      <w:bookmarkEnd w:id="8988"/>
    </w:p>
    <w:p w14:paraId="0ECDC67A" w14:textId="77777777" w:rsidR="00D95C52" w:rsidRDefault="00D95C52" w:rsidP="00223668">
      <w:pPr>
        <w:pStyle w:val="a0"/>
        <w:rPr>
          <w:rtl/>
        </w:rPr>
      </w:pPr>
      <w:bookmarkStart w:id="8989" w:name="_Ref529176103"/>
      <w:r>
        <w:rPr>
          <w:rFonts w:hint="cs"/>
          <w:rtl/>
        </w:rPr>
        <w:t xml:space="preserve">אלא כתב </w:t>
      </w:r>
      <w:r w:rsidRPr="00744647">
        <w:rPr>
          <w:rStyle w:val="af9"/>
          <w:rFonts w:hint="cs"/>
          <w:rtl/>
        </w:rPr>
        <w:t>הרא"ה בבד"ה</w:t>
      </w:r>
      <w:r>
        <w:rPr>
          <w:rFonts w:hint="cs"/>
          <w:rtl/>
        </w:rPr>
        <w:t xml:space="preserve"> דאין חילוק בין תליה ברגע אחד הסמוך לשחיטה, לבין תליה בזמן מרובה בזמן שיכולה להיות סירכא, דכיון שהבהמה יצאה מחזקת כשרה שנטרפה מחיים, אוסרין למפרע על הזמן שמתברר בודאי שהייתה מותרת, דהיינו עד י"ב חודש, </w:t>
      </w:r>
      <w:r w:rsidRPr="00744647">
        <w:rPr>
          <w:rStyle w:val="afb"/>
          <w:rFonts w:hint="cs"/>
          <w:rtl/>
        </w:rPr>
        <w:t>[דטריפה אינה חיה י"ב חודש]</w:t>
      </w:r>
      <w:r>
        <w:rPr>
          <w:rFonts w:hint="cs"/>
          <w:rtl/>
        </w:rPr>
        <w:t xml:space="preserve">, והוסיף </w:t>
      </w:r>
      <w:r w:rsidRPr="00744647">
        <w:rPr>
          <w:rStyle w:val="af9"/>
          <w:rFonts w:hint="cs"/>
          <w:rtl/>
        </w:rPr>
        <w:t>הרא"ה בבד"ה</w:t>
      </w:r>
      <w:r>
        <w:rPr>
          <w:rFonts w:hint="cs"/>
          <w:rtl/>
        </w:rPr>
        <w:t xml:space="preserve"> דכן מבואר בגמ' בנדה </w:t>
      </w:r>
      <w:r w:rsidRPr="00DB130F">
        <w:rPr>
          <w:rStyle w:val="af7"/>
          <w:rFonts w:eastAsia="Guttman Hodes" w:hint="cs"/>
          <w:rtl/>
        </w:rPr>
        <w:t>(נו.)</w:t>
      </w:r>
      <w:r>
        <w:rPr>
          <w:rFonts w:hint="cs"/>
          <w:rtl/>
        </w:rPr>
        <w:t>.</w:t>
      </w:r>
      <w:bookmarkEnd w:id="8989"/>
    </w:p>
    <w:p w14:paraId="0743DEDC" w14:textId="77777777" w:rsidR="00D95C52" w:rsidRDefault="00D95C52" w:rsidP="006D6D32">
      <w:pPr>
        <w:pStyle w:val="a3"/>
        <w:rPr>
          <w:rtl/>
        </w:rPr>
      </w:pPr>
      <w:bookmarkStart w:id="8990" w:name="_Toc529739038"/>
      <w:bookmarkStart w:id="8991" w:name="_Toc19390200"/>
      <w:bookmarkStart w:id="8992" w:name="_Toc19393697"/>
      <w:r>
        <w:rPr>
          <w:rFonts w:hint="cs"/>
          <w:rtl/>
        </w:rPr>
        <w:t>תירוץ הרשב"א במשה"ב דתלינן שנטרפה אחר השחיטה ולא סמוך לשחיטה מחיים</w:t>
      </w:r>
      <w:bookmarkEnd w:id="8990"/>
      <w:bookmarkEnd w:id="8991"/>
      <w:bookmarkEnd w:id="8992"/>
    </w:p>
    <w:p w14:paraId="51C95BA9" w14:textId="77777777" w:rsidR="00D95C52" w:rsidRDefault="00D95C52" w:rsidP="00223668">
      <w:pPr>
        <w:pStyle w:val="a0"/>
        <w:rPr>
          <w:rtl/>
        </w:rPr>
      </w:pPr>
      <w:bookmarkStart w:id="8993" w:name="_Ref529292446"/>
      <w:r>
        <w:rPr>
          <w:rFonts w:hint="cs"/>
          <w:rtl/>
        </w:rPr>
        <w:t xml:space="preserve">ותירץ </w:t>
      </w:r>
      <w:r w:rsidRPr="00B91FDC">
        <w:rPr>
          <w:rStyle w:val="af9"/>
          <w:rFonts w:hint="cs"/>
          <w:rtl/>
        </w:rPr>
        <w:t xml:space="preserve">הרשב"א במשה"ב </w:t>
      </w:r>
      <w:r w:rsidRPr="00B91FDC">
        <w:rPr>
          <w:rStyle w:val="af7"/>
          <w:rFonts w:eastAsia="Guttman Hodes" w:hint="cs"/>
          <w:rtl/>
        </w:rPr>
        <w:t xml:space="preserve">(ב"ג ש"ו דף צא: מדה"ס ד"ה ומ"מ) </w:t>
      </w:r>
      <w:r>
        <w:rPr>
          <w:rFonts w:hint="cs"/>
          <w:rtl/>
        </w:rPr>
        <w:t xml:space="preserve">דהא דמתירים את הגבינות בסירכא בריאה, אין הכוונה כדברי </w:t>
      </w:r>
      <w:r w:rsidRPr="00ED4995">
        <w:rPr>
          <w:rStyle w:val="af9"/>
          <w:rFonts w:hint="cs"/>
          <w:rtl/>
        </w:rPr>
        <w:t>הרא"ה בבד"ה</w:t>
      </w:r>
      <w:r>
        <w:rPr>
          <w:rFonts w:hint="cs"/>
          <w:rtl/>
        </w:rPr>
        <w:t xml:space="preserve"> דתולין שסמוך לשחיטה ממש נגמרה הסירכא, אלא דוקא בטריפות שיתכן שנטרפה סמוך לשחיטה ולאחר השחיטה, כגון מחט שניקבה במקום שמטריף אותה, ולא ידוע אם ניקבה מב' הצדדים מחיים, או לאחר השחיטה, אבל בסירכא שודאי היא מחיים ולא יתכן שנעשית לאחר השחיטה, בזה כתב </w:t>
      </w:r>
      <w:r w:rsidRPr="00B91FDC">
        <w:rPr>
          <w:rStyle w:val="af9"/>
          <w:rFonts w:hint="cs"/>
          <w:rtl/>
        </w:rPr>
        <w:t xml:space="preserve">הרשב"א במשה"ב </w:t>
      </w:r>
      <w:r>
        <w:rPr>
          <w:rFonts w:hint="cs"/>
          <w:rtl/>
        </w:rPr>
        <w:t xml:space="preserve">דדעת </w:t>
      </w:r>
      <w:r w:rsidRPr="00BB7A7C">
        <w:rPr>
          <w:rStyle w:val="af9"/>
          <w:rFonts w:hint="cs"/>
          <w:rtl/>
        </w:rPr>
        <w:t>רבינו יונה</w:t>
      </w:r>
      <w:r>
        <w:rPr>
          <w:rFonts w:hint="cs"/>
          <w:rtl/>
        </w:rPr>
        <w:t xml:space="preserve"> דכיון שיצאה הבהמה מחזקתה מחיים, דהא ודאי נטרפה וא"א לברר מתי נטרפה, לכן א"א להעמידה על חזקתה.</w:t>
      </w:r>
      <w:bookmarkEnd w:id="8993"/>
    </w:p>
    <w:p w14:paraId="34CE5603" w14:textId="77777777" w:rsidR="00D95C52" w:rsidRDefault="00D95C52" w:rsidP="00BF39B2">
      <w:pPr>
        <w:pStyle w:val="1"/>
        <w:rPr>
          <w:rtl/>
        </w:rPr>
      </w:pPr>
      <w:bookmarkStart w:id="8994" w:name="_Toc529445015"/>
      <w:bookmarkStart w:id="8995" w:name="_Toc529704542"/>
      <w:bookmarkStart w:id="8996" w:name="_Toc529739039"/>
      <w:bookmarkStart w:id="8997" w:name="_Toc19390201"/>
      <w:bookmarkStart w:id="8998" w:name="_Toc19393698"/>
      <w:r>
        <w:rPr>
          <w:rFonts w:hint="cs"/>
          <w:rtl/>
        </w:rPr>
        <w:t>דברי האחרונים בדעת הרשב"א במשה"ב</w:t>
      </w:r>
      <w:bookmarkEnd w:id="8994"/>
      <w:bookmarkEnd w:id="8995"/>
      <w:bookmarkEnd w:id="8996"/>
      <w:bookmarkEnd w:id="8997"/>
      <w:bookmarkEnd w:id="8998"/>
    </w:p>
    <w:p w14:paraId="6AC66EFA" w14:textId="77777777" w:rsidR="00D95C52" w:rsidRPr="0018350E" w:rsidRDefault="00D95C52" w:rsidP="006D6D32">
      <w:pPr>
        <w:pStyle w:val="a3"/>
        <w:rPr>
          <w:rtl/>
        </w:rPr>
      </w:pPr>
      <w:bookmarkStart w:id="8999" w:name="_Toc529739040"/>
      <w:bookmarkStart w:id="9000" w:name="_Toc19390202"/>
      <w:bookmarkStart w:id="9001" w:name="_Toc19393699"/>
      <w:r>
        <w:rPr>
          <w:rFonts w:hint="cs"/>
          <w:rtl/>
        </w:rPr>
        <w:t>תמיהת הט"ז דע"י חזקה מכח רוב אפשר להעמיד שנטרפה מחיים סמוך לשחיטה</w:t>
      </w:r>
      <w:bookmarkEnd w:id="8999"/>
      <w:bookmarkEnd w:id="9000"/>
      <w:bookmarkEnd w:id="9001"/>
    </w:p>
    <w:p w14:paraId="599C6E5F" w14:textId="77777777" w:rsidR="00D95C52" w:rsidRDefault="00D95C52" w:rsidP="00223668">
      <w:pPr>
        <w:pStyle w:val="a0"/>
        <w:rPr>
          <w:rtl/>
        </w:rPr>
      </w:pPr>
      <w:r w:rsidRPr="0013101E">
        <w:rPr>
          <w:rStyle w:val="af9"/>
          <w:rFonts w:hint="cs"/>
          <w:rtl/>
        </w:rPr>
        <w:t xml:space="preserve">והט"ז </w:t>
      </w:r>
      <w:r w:rsidRPr="004D172E">
        <w:rPr>
          <w:rStyle w:val="af7"/>
          <w:rFonts w:eastAsia="Guttman Hodes" w:hint="cs"/>
          <w:rtl/>
        </w:rPr>
        <w:t>(סי' פ"א ס"ק ג')</w:t>
      </w:r>
      <w:r>
        <w:rPr>
          <w:rFonts w:hint="cs"/>
          <w:rtl/>
        </w:rPr>
        <w:t xml:space="preserve"> תמה טובא על דברי </w:t>
      </w:r>
      <w:r w:rsidRPr="0013101E">
        <w:rPr>
          <w:rStyle w:val="af9"/>
          <w:rFonts w:hint="cs"/>
          <w:rtl/>
        </w:rPr>
        <w:t xml:space="preserve">הרשב"א במשה"ב </w:t>
      </w:r>
      <w:r>
        <w:rPr>
          <w:rFonts w:hint="cs"/>
          <w:rtl/>
        </w:rPr>
        <w:t xml:space="preserve">דהא כיון דכתב </w:t>
      </w:r>
      <w:r w:rsidRPr="0013101E">
        <w:rPr>
          <w:rStyle w:val="af9"/>
          <w:rFonts w:hint="cs"/>
          <w:rtl/>
        </w:rPr>
        <w:t xml:space="preserve">הרשב"א </w:t>
      </w:r>
      <w:r w:rsidRPr="004D172E">
        <w:rPr>
          <w:rStyle w:val="af7"/>
          <w:rFonts w:eastAsia="Guttman Hodes" w:hint="cs"/>
          <w:rtl/>
        </w:rPr>
        <w:t xml:space="preserve">(עי' אות </w:t>
      </w:r>
      <w:r w:rsidRPr="004D172E">
        <w:rPr>
          <w:rStyle w:val="af7"/>
          <w:rFonts w:eastAsia="Guttman Hodes"/>
          <w:rtl/>
        </w:rPr>
        <w:fldChar w:fldCharType="begin"/>
      </w:r>
      <w:r w:rsidRPr="004D172E">
        <w:rPr>
          <w:rStyle w:val="af7"/>
          <w:rFonts w:eastAsia="Guttman Hodes"/>
          <w:rtl/>
        </w:rPr>
        <w:instrText xml:space="preserve"> </w:instrText>
      </w:r>
      <w:r w:rsidRPr="004D172E">
        <w:rPr>
          <w:rStyle w:val="af7"/>
          <w:rFonts w:eastAsia="Guttman Hodes" w:hint="cs"/>
        </w:rPr>
        <w:instrText>REF</w:instrText>
      </w:r>
      <w:r w:rsidRPr="004D172E">
        <w:rPr>
          <w:rStyle w:val="af7"/>
          <w:rFonts w:eastAsia="Guttman Hodes" w:hint="cs"/>
          <w:rtl/>
        </w:rPr>
        <w:instrText xml:space="preserve"> _</w:instrText>
      </w:r>
      <w:r w:rsidRPr="004D172E">
        <w:rPr>
          <w:rStyle w:val="af7"/>
          <w:rFonts w:eastAsia="Guttman Hodes" w:hint="cs"/>
        </w:rPr>
        <w:instrText>Ref529129544 \r \h</w:instrText>
      </w:r>
      <w:r w:rsidRPr="004D172E">
        <w:rPr>
          <w:rStyle w:val="af7"/>
          <w:rFonts w:eastAsia="Guttman Hodes"/>
          <w:rtl/>
        </w:rPr>
        <w:instrText xml:space="preserve"> </w:instrText>
      </w:r>
      <w:r w:rsidRPr="004D172E">
        <w:rPr>
          <w:rStyle w:val="af7"/>
          <w:rFonts w:eastAsia="Guttman Hodes"/>
          <w:rtl/>
        </w:rPr>
      </w:r>
      <w:r w:rsidRPr="004D172E">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4D172E">
        <w:rPr>
          <w:rStyle w:val="af7"/>
          <w:rFonts w:eastAsia="Guttman Hodes"/>
          <w:rtl/>
        </w:rPr>
        <w:fldChar w:fldCharType="end"/>
      </w:r>
      <w:r>
        <w:rPr>
          <w:rFonts w:hint="cs"/>
          <w:rtl/>
        </w:rPr>
        <w:t xml:space="preserve"> בשם </w:t>
      </w:r>
      <w:r w:rsidRPr="0013101E">
        <w:rPr>
          <w:rStyle w:val="af9"/>
          <w:rFonts w:hint="cs"/>
          <w:rtl/>
        </w:rPr>
        <w:t xml:space="preserve">רבינו שמשון </w:t>
      </w:r>
      <w:r>
        <w:rPr>
          <w:rFonts w:hint="cs"/>
          <w:rtl/>
        </w:rPr>
        <w:t xml:space="preserve">דהגבינות מותרות ע"י חזקה מכח רוב, א"כ אף שיצאה מחזקתה מחיים אפשר להעמידה על חזקתה, אף בטריפה שנעשית בודאי לפני השחיטה, ועוד הקשה </w:t>
      </w:r>
      <w:r w:rsidRPr="0013101E">
        <w:rPr>
          <w:rStyle w:val="af9"/>
          <w:rFonts w:hint="cs"/>
          <w:rtl/>
        </w:rPr>
        <w:t xml:space="preserve">הט"ז </w:t>
      </w:r>
      <w:r>
        <w:rPr>
          <w:rFonts w:hint="cs"/>
          <w:rtl/>
        </w:rPr>
        <w:t>דאי יש צד שנטרפה אחר השחיטה, א"א אפשר להתירה מדין ספק ספיקא וא"צ להעמידה בחזקה מכח רוב.</w:t>
      </w:r>
    </w:p>
    <w:p w14:paraId="61430E99" w14:textId="77777777" w:rsidR="00D95C52" w:rsidRDefault="00D95C52" w:rsidP="006D6D32">
      <w:pPr>
        <w:pStyle w:val="a3"/>
        <w:rPr>
          <w:rtl/>
        </w:rPr>
      </w:pPr>
      <w:bookmarkStart w:id="9002" w:name="_Toc529739041"/>
      <w:bookmarkStart w:id="9003" w:name="_Toc19390203"/>
      <w:bookmarkStart w:id="9004" w:name="_Toc19393700"/>
      <w:r>
        <w:rPr>
          <w:rFonts w:hint="cs"/>
          <w:rtl/>
        </w:rPr>
        <w:t>קושית הט"ז על הטור דהתיר ע"י חזקה מכח רוב ובהוגלד פי המכה אסר לפני ג' ימים</w:t>
      </w:r>
      <w:bookmarkEnd w:id="9002"/>
      <w:bookmarkEnd w:id="9003"/>
      <w:bookmarkEnd w:id="9004"/>
    </w:p>
    <w:p w14:paraId="6493E67C" w14:textId="77777777" w:rsidR="00D95C52" w:rsidRDefault="00D95C52" w:rsidP="00223668">
      <w:pPr>
        <w:pStyle w:val="a0"/>
        <w:rPr>
          <w:rtl/>
        </w:rPr>
      </w:pPr>
      <w:r>
        <w:rPr>
          <w:rFonts w:hint="cs"/>
          <w:rtl/>
        </w:rPr>
        <w:t xml:space="preserve">ועוד הקשה </w:t>
      </w:r>
      <w:r w:rsidRPr="0013101E">
        <w:rPr>
          <w:rStyle w:val="af9"/>
          <w:rFonts w:hint="cs"/>
          <w:rtl/>
        </w:rPr>
        <w:t xml:space="preserve">הט"ז </w:t>
      </w:r>
      <w:r>
        <w:rPr>
          <w:rFonts w:hint="cs"/>
          <w:rtl/>
        </w:rPr>
        <w:t xml:space="preserve">על דברי </w:t>
      </w:r>
      <w:r w:rsidRPr="0013101E">
        <w:rPr>
          <w:rStyle w:val="af9"/>
          <w:rFonts w:hint="cs"/>
          <w:rtl/>
        </w:rPr>
        <w:t>הטור</w:t>
      </w:r>
      <w:r>
        <w:rPr>
          <w:rFonts w:hint="cs"/>
          <w:rtl/>
        </w:rPr>
        <w:t xml:space="preserve"> </w:t>
      </w:r>
      <w:r w:rsidRPr="004D172E">
        <w:rPr>
          <w:rStyle w:val="af7"/>
          <w:rFonts w:eastAsia="Guttman Hodes" w:hint="cs"/>
          <w:rtl/>
        </w:rPr>
        <w:t>(סי' פ"א ב')</w:t>
      </w:r>
      <w:r>
        <w:rPr>
          <w:rFonts w:hint="cs"/>
          <w:rtl/>
        </w:rPr>
        <w:t xml:space="preserve"> דמשמע בדבריו דהא דהתיר </w:t>
      </w:r>
      <w:r w:rsidRPr="0013101E">
        <w:rPr>
          <w:rStyle w:val="af9"/>
          <w:rFonts w:hint="cs"/>
          <w:rtl/>
        </w:rPr>
        <w:t xml:space="preserve">רבינו שמשון </w:t>
      </w:r>
      <w:r>
        <w:rPr>
          <w:rFonts w:hint="cs"/>
          <w:rtl/>
        </w:rPr>
        <w:t xml:space="preserve">בגבינות ע"י חזקה מכח רוב, היינו במקום שודאי נעשית הטריפה, [עיי"ש שהוכיח כן בדברי </w:t>
      </w:r>
      <w:r w:rsidRPr="0013101E">
        <w:rPr>
          <w:rStyle w:val="af9"/>
          <w:rFonts w:hint="cs"/>
          <w:rtl/>
        </w:rPr>
        <w:t>הטור</w:t>
      </w:r>
      <w:r>
        <w:rPr>
          <w:rFonts w:hint="cs"/>
          <w:rtl/>
        </w:rPr>
        <w:t>], ואח"כ כתב הטור דבהוגלד פי המכה הגבינות אסורות, ומשמע דאף קודם ג' ימים אסורות, כיון שיצאה מחזקתה מחיים.</w:t>
      </w:r>
    </w:p>
    <w:p w14:paraId="18FE1A43" w14:textId="77777777" w:rsidR="00D95C52" w:rsidRDefault="00D95C52" w:rsidP="006D6D32">
      <w:pPr>
        <w:pStyle w:val="a3"/>
        <w:rPr>
          <w:rtl/>
        </w:rPr>
      </w:pPr>
      <w:bookmarkStart w:id="9005" w:name="_Toc529739042"/>
      <w:bookmarkStart w:id="9006" w:name="_Toc19390204"/>
      <w:bookmarkStart w:id="9007" w:name="_Toc19393701"/>
      <w:r>
        <w:rPr>
          <w:rFonts w:hint="cs"/>
          <w:rtl/>
        </w:rPr>
        <w:t>ביאור הט"ז בטור דכל שיצאה זמן מסויים מחזקתה בטלה החזקה</w:t>
      </w:r>
      <w:bookmarkEnd w:id="9005"/>
      <w:bookmarkEnd w:id="9006"/>
      <w:bookmarkEnd w:id="9007"/>
    </w:p>
    <w:p w14:paraId="67422F70" w14:textId="77777777" w:rsidR="00D95C52" w:rsidRDefault="00D95C52" w:rsidP="00223668">
      <w:pPr>
        <w:pStyle w:val="a0"/>
        <w:rPr>
          <w:rtl/>
        </w:rPr>
      </w:pPr>
      <w:r>
        <w:rPr>
          <w:rFonts w:hint="cs"/>
          <w:rtl/>
        </w:rPr>
        <w:t xml:space="preserve">וכתב </w:t>
      </w:r>
      <w:r w:rsidRPr="0013101E">
        <w:rPr>
          <w:rStyle w:val="af9"/>
          <w:rFonts w:hint="cs"/>
          <w:rtl/>
        </w:rPr>
        <w:t xml:space="preserve">הט"ז </w:t>
      </w:r>
      <w:r>
        <w:rPr>
          <w:rFonts w:hint="cs"/>
          <w:rtl/>
        </w:rPr>
        <w:t xml:space="preserve">דצ"ל דס"ל </w:t>
      </w:r>
      <w:r w:rsidRPr="0013101E">
        <w:rPr>
          <w:rStyle w:val="af9"/>
          <w:rFonts w:hint="cs"/>
          <w:rtl/>
        </w:rPr>
        <w:t>להטור</w:t>
      </w:r>
      <w:r>
        <w:rPr>
          <w:rFonts w:hint="cs"/>
          <w:rtl/>
        </w:rPr>
        <w:t xml:space="preserve"> דחזקה מהני רק כשא"צ לתת זמן שבו נתבטלה החזקה, דהיינו כשאפש"ל דנטרפה רגע כמימרא לפני השחיטה, אבל אם צריך לבטל את החזקה בזמן מסויים, אף אם הוא זמן מועט נתבטלה החזקה לגמרי, אך כתב </w:t>
      </w:r>
      <w:r w:rsidRPr="0013101E">
        <w:rPr>
          <w:rStyle w:val="af9"/>
          <w:rFonts w:hint="cs"/>
          <w:rtl/>
        </w:rPr>
        <w:t xml:space="preserve">הט"ז </w:t>
      </w:r>
      <w:r>
        <w:rPr>
          <w:rFonts w:hint="cs"/>
          <w:rtl/>
        </w:rPr>
        <w:t xml:space="preserve">דבדין ספק ספיקא בסירכא, ס"ל </w:t>
      </w:r>
      <w:r w:rsidRPr="0013101E">
        <w:rPr>
          <w:rStyle w:val="af9"/>
          <w:rFonts w:hint="cs"/>
          <w:rtl/>
        </w:rPr>
        <w:t xml:space="preserve">להטור </w:t>
      </w:r>
      <w:r>
        <w:rPr>
          <w:rFonts w:hint="cs"/>
          <w:rtl/>
        </w:rPr>
        <w:t>דבמקום שיש זמן שאפשר לומר שבו נטרפה,</w:t>
      </w:r>
      <w:r w:rsidRPr="00C93AC3">
        <w:rPr>
          <w:rFonts w:hint="cs"/>
          <w:rtl/>
        </w:rPr>
        <w:t xml:space="preserve"> </w:t>
      </w:r>
      <w:r>
        <w:rPr>
          <w:rFonts w:hint="cs"/>
          <w:rtl/>
        </w:rPr>
        <w:t xml:space="preserve">אפשר להתיר עד לאותו הזמן, עיי"ש בדבריו, ועי' במ"ש בזה </w:t>
      </w:r>
      <w:r w:rsidRPr="00C302EF">
        <w:rPr>
          <w:rStyle w:val="af9"/>
          <w:rFonts w:hint="cs"/>
          <w:rtl/>
        </w:rPr>
        <w:t>בתורת יקותיאל</w:t>
      </w:r>
      <w:r>
        <w:rPr>
          <w:rFonts w:hint="cs"/>
          <w:rtl/>
        </w:rPr>
        <w:t xml:space="preserve"> </w:t>
      </w:r>
      <w:r w:rsidRPr="00C302EF">
        <w:rPr>
          <w:rStyle w:val="af7"/>
          <w:rFonts w:eastAsia="Guttman Hodes" w:hint="cs"/>
          <w:rtl/>
        </w:rPr>
        <w:t>(סי' פ"א ב' ד"ה מה שהקשה הט"ז</w:t>
      </w:r>
      <w:r>
        <w:rPr>
          <w:rStyle w:val="af7"/>
          <w:rFonts w:eastAsia="Guttman Hodes" w:hint="cs"/>
          <w:rtl/>
        </w:rPr>
        <w:t>)</w:t>
      </w:r>
      <w:r>
        <w:rPr>
          <w:rFonts w:hint="cs"/>
          <w:rtl/>
        </w:rPr>
        <w:t>.</w:t>
      </w:r>
    </w:p>
    <w:p w14:paraId="7122D73E" w14:textId="77777777" w:rsidR="00D95C52" w:rsidRPr="006B17B1" w:rsidRDefault="00D95C52" w:rsidP="006D6D32">
      <w:pPr>
        <w:pStyle w:val="a3"/>
        <w:rPr>
          <w:rtl/>
        </w:rPr>
      </w:pPr>
      <w:bookmarkStart w:id="9008" w:name="_Toc529739043"/>
      <w:bookmarkStart w:id="9009" w:name="_Toc19390205"/>
      <w:bookmarkStart w:id="9010" w:name="_Toc19393702"/>
      <w:r>
        <w:rPr>
          <w:rFonts w:hint="cs"/>
          <w:rtl/>
        </w:rPr>
        <w:t>תירוץ הבכור שור בטור דיש חילוק בין טריפה דהוגלד פי המכה לבין סירכות בריאה</w:t>
      </w:r>
      <w:bookmarkEnd w:id="9008"/>
      <w:bookmarkEnd w:id="9009"/>
      <w:bookmarkEnd w:id="9010"/>
    </w:p>
    <w:p w14:paraId="60A85384" w14:textId="77777777" w:rsidR="00D95C52" w:rsidRDefault="00D95C52" w:rsidP="00223668">
      <w:pPr>
        <w:pStyle w:val="a0"/>
        <w:rPr>
          <w:rtl/>
        </w:rPr>
      </w:pPr>
      <w:r>
        <w:rPr>
          <w:rStyle w:val="af9"/>
          <w:rFonts w:hint="cs"/>
          <w:rtl/>
        </w:rPr>
        <w:t>ו</w:t>
      </w:r>
      <w:r w:rsidRPr="0013101E">
        <w:rPr>
          <w:rStyle w:val="af9"/>
          <w:rFonts w:hint="cs"/>
          <w:rtl/>
        </w:rPr>
        <w:t xml:space="preserve">הבכור שור </w:t>
      </w:r>
      <w:r w:rsidRPr="004D172E">
        <w:rPr>
          <w:rStyle w:val="af7"/>
          <w:rFonts w:eastAsia="Guttman Hodes" w:hint="cs"/>
          <w:rtl/>
        </w:rPr>
        <w:t>(על תוד"ה אתיא)</w:t>
      </w:r>
      <w:r>
        <w:rPr>
          <w:rFonts w:hint="cs"/>
          <w:rtl/>
        </w:rPr>
        <w:t xml:space="preserve"> תירץ דהא דכתבו </w:t>
      </w:r>
      <w:r w:rsidRPr="0013101E">
        <w:rPr>
          <w:rStyle w:val="af9"/>
          <w:rFonts w:hint="cs"/>
          <w:rtl/>
        </w:rPr>
        <w:t xml:space="preserve">הטור והשו"ע </w:t>
      </w:r>
      <w:r w:rsidRPr="004D172E">
        <w:rPr>
          <w:rStyle w:val="af7"/>
          <w:rFonts w:eastAsia="Guttman Hodes" w:hint="cs"/>
          <w:rtl/>
        </w:rPr>
        <w:t>(סי' פ"א ב')</w:t>
      </w:r>
      <w:r>
        <w:rPr>
          <w:rFonts w:hint="cs"/>
          <w:rtl/>
        </w:rPr>
        <w:t xml:space="preserve"> דבהוגלד פי המכה הגבינות שלפני הג' ימים האחרונים מותרות, היינו דוקא בהוגלד פי המכה שיש לו שיעור ידוע של ג' ימים, ואי"ז סותר למ"ש</w:t>
      </w:r>
      <w:r w:rsidRPr="0013101E">
        <w:rPr>
          <w:rStyle w:val="af9"/>
          <w:rFonts w:hint="cs"/>
          <w:rtl/>
        </w:rPr>
        <w:t xml:space="preserve"> הטור </w:t>
      </w:r>
      <w:r>
        <w:rPr>
          <w:rFonts w:hint="cs"/>
          <w:rtl/>
        </w:rPr>
        <w:t>בשם</w:t>
      </w:r>
      <w:r w:rsidRPr="0013101E">
        <w:rPr>
          <w:rStyle w:val="af9"/>
          <w:rFonts w:hint="cs"/>
          <w:rtl/>
        </w:rPr>
        <w:t xml:space="preserve"> הרשב"א </w:t>
      </w:r>
      <w:r w:rsidRPr="004D172E">
        <w:rPr>
          <w:rStyle w:val="af7"/>
          <w:rFonts w:eastAsia="Guttman Hodes" w:hint="cs"/>
          <w:rtl/>
        </w:rPr>
        <w:t xml:space="preserve">(עי' אות </w:t>
      </w:r>
      <w:r w:rsidRPr="004D172E">
        <w:rPr>
          <w:rStyle w:val="af7"/>
          <w:rFonts w:eastAsia="Guttman Hodes"/>
          <w:rtl/>
        </w:rPr>
        <w:fldChar w:fldCharType="begin"/>
      </w:r>
      <w:r w:rsidRPr="004D172E">
        <w:rPr>
          <w:rStyle w:val="af7"/>
          <w:rFonts w:eastAsia="Guttman Hodes"/>
          <w:rtl/>
        </w:rPr>
        <w:instrText xml:space="preserve"> </w:instrText>
      </w:r>
      <w:r w:rsidRPr="004D172E">
        <w:rPr>
          <w:rStyle w:val="af7"/>
          <w:rFonts w:eastAsia="Guttman Hodes" w:hint="cs"/>
        </w:rPr>
        <w:instrText>REF</w:instrText>
      </w:r>
      <w:r w:rsidRPr="004D172E">
        <w:rPr>
          <w:rStyle w:val="af7"/>
          <w:rFonts w:eastAsia="Guttman Hodes" w:hint="cs"/>
          <w:rtl/>
        </w:rPr>
        <w:instrText xml:space="preserve"> _</w:instrText>
      </w:r>
      <w:r w:rsidRPr="004D172E">
        <w:rPr>
          <w:rStyle w:val="af7"/>
          <w:rFonts w:eastAsia="Guttman Hodes" w:hint="cs"/>
        </w:rPr>
        <w:instrText>Ref529206479 \r \h</w:instrText>
      </w:r>
      <w:r w:rsidRPr="004D172E">
        <w:rPr>
          <w:rStyle w:val="af7"/>
          <w:rFonts w:eastAsia="Guttman Hodes"/>
          <w:rtl/>
        </w:rPr>
        <w:instrText xml:space="preserve"> </w:instrText>
      </w:r>
      <w:r w:rsidRPr="004D172E">
        <w:rPr>
          <w:rStyle w:val="af7"/>
          <w:rFonts w:eastAsia="Guttman Hodes"/>
          <w:rtl/>
        </w:rPr>
      </w:r>
      <w:r w:rsidRPr="004D172E">
        <w:rPr>
          <w:rStyle w:val="af7"/>
          <w:rFonts w:eastAsia="Guttman Hodes"/>
          <w:rtl/>
        </w:rPr>
        <w:fldChar w:fldCharType="separate"/>
      </w:r>
      <w:r w:rsidR="00345400">
        <w:rPr>
          <w:rStyle w:val="af7"/>
          <w:rFonts w:eastAsia="Guttman Hodes"/>
          <w:cs/>
        </w:rPr>
        <w:t>‎</w:t>
      </w:r>
      <w:r w:rsidR="00345400">
        <w:rPr>
          <w:rStyle w:val="af7"/>
          <w:rFonts w:eastAsia="Guttman Hodes"/>
          <w:rtl/>
        </w:rPr>
        <w:t>סב)</w:t>
      </w:r>
      <w:r w:rsidRPr="004D172E">
        <w:rPr>
          <w:rStyle w:val="af7"/>
          <w:rFonts w:eastAsia="Guttman Hodes"/>
          <w:rtl/>
        </w:rPr>
        <w:fldChar w:fldCharType="end"/>
      </w:r>
      <w:r>
        <w:rPr>
          <w:rFonts w:hint="cs"/>
          <w:rtl/>
        </w:rPr>
        <w:t xml:space="preserve"> דבסירכא בריאה הגבינות אסורות, כיון שיצאה מחזקתה מחיים, כיון דבסירכא אין זמן ידוע מתי יכולה להיות הסירכא לפני השחיטה, דיש סירכא של ב' ימים ויש סירכא של ו' ימים, ולא נתנו בו חכמים שיעור, ולכן יצאה הבהמה מחזקתה לגמרי, אבל בהוגלד פי המכה, כיון שיש זמן ידוע שאפשר להעמיד שקודם לכן הייתה כשרה, לכן הגבינות שקודם לזמן זה שהוא ג' ימים מותרות.</w:t>
      </w:r>
    </w:p>
    <w:p w14:paraId="3498E1AB" w14:textId="77777777" w:rsidR="00D95C52" w:rsidRDefault="00D95C52" w:rsidP="006D6D32">
      <w:pPr>
        <w:pStyle w:val="a3"/>
        <w:rPr>
          <w:rtl/>
        </w:rPr>
      </w:pPr>
      <w:bookmarkStart w:id="9011" w:name="_Toc529739044"/>
      <w:bookmarkStart w:id="9012" w:name="_Toc19390206"/>
      <w:bookmarkStart w:id="9013" w:name="_Toc19393703"/>
      <w:r>
        <w:rPr>
          <w:rFonts w:hint="cs"/>
          <w:rtl/>
        </w:rPr>
        <w:t>הוכחת הבכור שור בדברי הרשב"א דיש חילוק בין הוגלד פי המכה לסירכא</w:t>
      </w:r>
      <w:bookmarkEnd w:id="9011"/>
      <w:bookmarkEnd w:id="9012"/>
      <w:bookmarkEnd w:id="9013"/>
    </w:p>
    <w:p w14:paraId="68163A7B" w14:textId="77777777" w:rsidR="00D95C52" w:rsidRDefault="00D95C52" w:rsidP="00223668">
      <w:pPr>
        <w:pStyle w:val="a0"/>
        <w:rPr>
          <w:rtl/>
        </w:rPr>
      </w:pPr>
      <w:r>
        <w:rPr>
          <w:rFonts w:hint="cs"/>
          <w:rtl/>
        </w:rPr>
        <w:t xml:space="preserve">וכתב </w:t>
      </w:r>
      <w:r w:rsidRPr="0013101E">
        <w:rPr>
          <w:rStyle w:val="af9"/>
          <w:rFonts w:hint="cs"/>
          <w:rtl/>
        </w:rPr>
        <w:t xml:space="preserve">הבכור שור </w:t>
      </w:r>
      <w:r>
        <w:rPr>
          <w:rFonts w:hint="cs"/>
          <w:rtl/>
        </w:rPr>
        <w:t xml:space="preserve">דכן מוכח מהא דמקור דברי </w:t>
      </w:r>
      <w:r w:rsidRPr="009570A8">
        <w:rPr>
          <w:rStyle w:val="af9"/>
          <w:rFonts w:hint="cs"/>
          <w:rtl/>
        </w:rPr>
        <w:t>הטור</w:t>
      </w:r>
      <w:r>
        <w:rPr>
          <w:rFonts w:hint="cs"/>
          <w:rtl/>
        </w:rPr>
        <w:t xml:space="preserve"> הם </w:t>
      </w:r>
      <w:r w:rsidRPr="0013101E">
        <w:rPr>
          <w:rStyle w:val="af9"/>
          <w:rFonts w:hint="cs"/>
          <w:rtl/>
        </w:rPr>
        <w:t xml:space="preserve">מהרשב"א בתוה"ב הקצר </w:t>
      </w:r>
      <w:r w:rsidRPr="00A04810">
        <w:rPr>
          <w:rStyle w:val="af7"/>
          <w:rFonts w:eastAsia="Guttman Hodes" w:hint="cs"/>
          <w:rtl/>
        </w:rPr>
        <w:t>(ב"ו ש"ג דף צא. מדה"ס)</w:t>
      </w:r>
      <w:r>
        <w:rPr>
          <w:rFonts w:hint="cs"/>
          <w:rtl/>
        </w:rPr>
        <w:t xml:space="preserve"> דכתב דבהוגלד פי המכה אפשר להתיר ע"י הרוב </w:t>
      </w:r>
      <w:r w:rsidRPr="00384970">
        <w:rPr>
          <w:rStyle w:val="afb"/>
          <w:rFonts w:hint="cs"/>
          <w:rtl/>
        </w:rPr>
        <w:t>[חזקה מכח רוב]</w:t>
      </w:r>
      <w:r>
        <w:rPr>
          <w:rFonts w:hint="cs"/>
          <w:rtl/>
        </w:rPr>
        <w:t xml:space="preserve">, ואח"כ כתב </w:t>
      </w:r>
      <w:r w:rsidRPr="00A04810">
        <w:rPr>
          <w:rStyle w:val="af9"/>
          <w:rFonts w:hint="cs"/>
          <w:rtl/>
        </w:rPr>
        <w:t>הרשב"א</w:t>
      </w:r>
      <w:r>
        <w:rPr>
          <w:rFonts w:hint="cs"/>
          <w:rtl/>
        </w:rPr>
        <w:t xml:space="preserve"> </w:t>
      </w:r>
      <w:r w:rsidRPr="0013101E">
        <w:rPr>
          <w:rStyle w:val="af9"/>
          <w:rFonts w:hint="cs"/>
          <w:rtl/>
        </w:rPr>
        <w:t xml:space="preserve">בתוה"ב הקצר </w:t>
      </w:r>
      <w:r>
        <w:rPr>
          <w:rFonts w:hint="cs"/>
          <w:rtl/>
        </w:rPr>
        <w:t xml:space="preserve">דבטריפות של סירכא שא"א לומר שעכשיו נטרפה הגבינות אסורות כיון שיצאה מחזקתה, וכתב הבכור שור דמדאיירי </w:t>
      </w:r>
      <w:r w:rsidRPr="0013101E">
        <w:rPr>
          <w:rStyle w:val="af9"/>
          <w:rFonts w:hint="cs"/>
          <w:rtl/>
        </w:rPr>
        <w:t xml:space="preserve">הרשב"א </w:t>
      </w:r>
      <w:r>
        <w:rPr>
          <w:rFonts w:hint="cs"/>
          <w:rtl/>
        </w:rPr>
        <w:t xml:space="preserve">בתחילה בהוגלד פי המכה, ואח"כ איירי בסירכא, מבואר דדוקא בסירכא שאין לה זמן ידוע, יצאה מחזקתה מחיים, אך כתב </w:t>
      </w:r>
      <w:r w:rsidRPr="0013101E">
        <w:rPr>
          <w:rStyle w:val="af9"/>
          <w:rFonts w:hint="cs"/>
          <w:rtl/>
        </w:rPr>
        <w:t xml:space="preserve">הבכור שור </w:t>
      </w:r>
      <w:r>
        <w:rPr>
          <w:rFonts w:hint="cs"/>
          <w:rtl/>
        </w:rPr>
        <w:t xml:space="preserve">דבדברי </w:t>
      </w:r>
      <w:r w:rsidRPr="0013101E">
        <w:rPr>
          <w:rStyle w:val="af9"/>
          <w:rFonts w:hint="cs"/>
          <w:rtl/>
        </w:rPr>
        <w:t xml:space="preserve">הרשב"א במשה"ב </w:t>
      </w:r>
      <w:r w:rsidRPr="009570A8">
        <w:rPr>
          <w:rStyle w:val="af7"/>
          <w:rFonts w:eastAsia="Guttman Hodes" w:hint="cs"/>
          <w:rtl/>
        </w:rPr>
        <w:t xml:space="preserve">(עי' אות </w:t>
      </w:r>
      <w:r w:rsidRPr="009570A8">
        <w:rPr>
          <w:rStyle w:val="af7"/>
          <w:rFonts w:eastAsia="Guttman Hodes"/>
          <w:rtl/>
        </w:rPr>
        <w:fldChar w:fldCharType="begin"/>
      </w:r>
      <w:r w:rsidRPr="009570A8">
        <w:rPr>
          <w:rStyle w:val="af7"/>
          <w:rFonts w:eastAsia="Guttman Hodes"/>
          <w:rtl/>
        </w:rPr>
        <w:instrText xml:space="preserve"> </w:instrText>
      </w:r>
      <w:r w:rsidRPr="009570A8">
        <w:rPr>
          <w:rStyle w:val="af7"/>
          <w:rFonts w:eastAsia="Guttman Hodes" w:hint="cs"/>
        </w:rPr>
        <w:instrText>REF</w:instrText>
      </w:r>
      <w:r w:rsidRPr="009570A8">
        <w:rPr>
          <w:rStyle w:val="af7"/>
          <w:rFonts w:eastAsia="Guttman Hodes" w:hint="cs"/>
          <w:rtl/>
        </w:rPr>
        <w:instrText xml:space="preserve"> _</w:instrText>
      </w:r>
      <w:r w:rsidRPr="009570A8">
        <w:rPr>
          <w:rStyle w:val="af7"/>
          <w:rFonts w:eastAsia="Guttman Hodes" w:hint="cs"/>
        </w:rPr>
        <w:instrText>Ref529292446 \r \h</w:instrText>
      </w:r>
      <w:r w:rsidRPr="009570A8">
        <w:rPr>
          <w:rStyle w:val="af7"/>
          <w:rFonts w:eastAsia="Guttman Hodes"/>
          <w:rtl/>
        </w:rPr>
        <w:instrText xml:space="preserve"> </w:instrText>
      </w:r>
      <w:r w:rsidRPr="009570A8">
        <w:rPr>
          <w:rStyle w:val="af7"/>
          <w:rFonts w:eastAsia="Guttman Hodes"/>
          <w:rtl/>
        </w:rPr>
      </w:r>
      <w:r w:rsidRPr="009570A8">
        <w:rPr>
          <w:rStyle w:val="af7"/>
          <w:rFonts w:eastAsia="Guttman Hodes"/>
          <w:rtl/>
        </w:rPr>
        <w:fldChar w:fldCharType="separate"/>
      </w:r>
      <w:r w:rsidR="00345400">
        <w:rPr>
          <w:rStyle w:val="af7"/>
          <w:rFonts w:eastAsia="Guttman Hodes"/>
          <w:cs/>
        </w:rPr>
        <w:t>‎</w:t>
      </w:r>
      <w:r w:rsidR="00345400">
        <w:rPr>
          <w:rStyle w:val="af7"/>
          <w:rFonts w:eastAsia="Guttman Hodes"/>
          <w:rtl/>
        </w:rPr>
        <w:t>עז)</w:t>
      </w:r>
      <w:r w:rsidRPr="009570A8">
        <w:rPr>
          <w:rStyle w:val="af7"/>
          <w:rFonts w:eastAsia="Guttman Hodes"/>
          <w:rtl/>
        </w:rPr>
        <w:fldChar w:fldCharType="end"/>
      </w:r>
      <w:r>
        <w:rPr>
          <w:rFonts w:hint="cs"/>
          <w:rtl/>
        </w:rPr>
        <w:t xml:space="preserve"> לא מבואר כן, וכן דעת </w:t>
      </w:r>
      <w:r w:rsidRPr="0013101E">
        <w:rPr>
          <w:rStyle w:val="af9"/>
          <w:rFonts w:hint="cs"/>
          <w:rtl/>
        </w:rPr>
        <w:t xml:space="preserve">הב"י </w:t>
      </w:r>
      <w:r w:rsidRPr="004D172E">
        <w:rPr>
          <w:rStyle w:val="af7"/>
          <w:rFonts w:eastAsia="Guttman Hodes" w:hint="cs"/>
          <w:rtl/>
        </w:rPr>
        <w:t xml:space="preserve">(סי' פ"א </w:t>
      </w:r>
      <w:r>
        <w:rPr>
          <w:rStyle w:val="af7"/>
          <w:rFonts w:eastAsia="Guttman Hodes" w:hint="cs"/>
          <w:rtl/>
        </w:rPr>
        <w:t>ב' ד"ה ואם)</w:t>
      </w:r>
      <w:r w:rsidRPr="0013101E">
        <w:rPr>
          <w:rStyle w:val="af9"/>
          <w:rFonts w:hint="cs"/>
          <w:rtl/>
        </w:rPr>
        <w:t xml:space="preserve"> והפר"ח</w:t>
      </w:r>
      <w:r>
        <w:rPr>
          <w:rFonts w:hint="cs"/>
          <w:rtl/>
        </w:rPr>
        <w:t xml:space="preserve"> </w:t>
      </w:r>
      <w:r w:rsidRPr="004D172E">
        <w:rPr>
          <w:rStyle w:val="af7"/>
          <w:rFonts w:eastAsia="Guttman Hodes" w:hint="cs"/>
          <w:rtl/>
        </w:rPr>
        <w:t>(סי' פ"א סק"ד)</w:t>
      </w:r>
      <w:r>
        <w:rPr>
          <w:rFonts w:hint="cs"/>
          <w:rtl/>
        </w:rPr>
        <w:t xml:space="preserve"> דאין חילוק בין סירכא להוגלד פי המכה, עיי"ש בדברי </w:t>
      </w:r>
      <w:r w:rsidRPr="0013101E">
        <w:rPr>
          <w:rStyle w:val="af9"/>
          <w:rFonts w:hint="cs"/>
          <w:rtl/>
        </w:rPr>
        <w:t>הבכור שור</w:t>
      </w:r>
      <w:r>
        <w:rPr>
          <w:rFonts w:hint="cs"/>
          <w:rtl/>
        </w:rPr>
        <w:t xml:space="preserve"> שהאריך בזה טובא, ועי' במ"ש בזה </w:t>
      </w:r>
      <w:r w:rsidRPr="00C302EF">
        <w:rPr>
          <w:rStyle w:val="af9"/>
          <w:rFonts w:hint="cs"/>
          <w:rtl/>
        </w:rPr>
        <w:t>בתורת יקותיאל</w:t>
      </w:r>
      <w:r>
        <w:rPr>
          <w:rFonts w:hint="cs"/>
          <w:rtl/>
        </w:rPr>
        <w:t xml:space="preserve"> </w:t>
      </w:r>
      <w:r w:rsidRPr="00C302EF">
        <w:rPr>
          <w:rStyle w:val="af7"/>
          <w:rFonts w:eastAsia="Guttman Hodes" w:hint="cs"/>
          <w:rtl/>
        </w:rPr>
        <w:t xml:space="preserve">(סי' פ"א ב' ד"ה </w:t>
      </w:r>
      <w:r>
        <w:rPr>
          <w:rStyle w:val="af7"/>
          <w:rFonts w:eastAsia="Guttman Hodes" w:hint="cs"/>
          <w:rtl/>
        </w:rPr>
        <w:t>וראיתי לבעל ת"ש)</w:t>
      </w:r>
      <w:r>
        <w:rPr>
          <w:rFonts w:hint="cs"/>
          <w:rtl/>
        </w:rPr>
        <w:t>.</w:t>
      </w:r>
    </w:p>
    <w:p w14:paraId="37CE66F6" w14:textId="77777777" w:rsidR="00D95C52" w:rsidRPr="00C03002" w:rsidRDefault="00D95C52" w:rsidP="00BF39B2">
      <w:pPr>
        <w:pStyle w:val="1"/>
        <w:rPr>
          <w:rtl/>
        </w:rPr>
      </w:pPr>
      <w:bookmarkStart w:id="9014" w:name="_Toc529739045"/>
      <w:bookmarkStart w:id="9015" w:name="_Toc19390207"/>
      <w:bookmarkStart w:id="9016" w:name="_Toc19393704"/>
      <w:r>
        <w:rPr>
          <w:rFonts w:hint="cs"/>
          <w:rtl/>
        </w:rPr>
        <w:t>דברי הט"ז בהוגלד פי המכה להלכה</w:t>
      </w:r>
      <w:bookmarkEnd w:id="9014"/>
      <w:bookmarkEnd w:id="9015"/>
      <w:bookmarkEnd w:id="9016"/>
    </w:p>
    <w:p w14:paraId="0450C2E3" w14:textId="77777777" w:rsidR="00D95C52" w:rsidRDefault="00D95C52" w:rsidP="006D6D32">
      <w:pPr>
        <w:pStyle w:val="a3"/>
        <w:rPr>
          <w:rtl/>
        </w:rPr>
      </w:pPr>
      <w:bookmarkStart w:id="9017" w:name="_Toc529739046"/>
      <w:bookmarkStart w:id="9018" w:name="_Toc19390208"/>
      <w:bookmarkStart w:id="9019" w:name="_Toc19393705"/>
      <w:r>
        <w:rPr>
          <w:rFonts w:hint="cs"/>
          <w:rtl/>
        </w:rPr>
        <w:t>דברי הט"ז דהשו"ע פסק כרשב"א דבהוגלד פי המכה כל הגבינות אסורות למפרע לעולם</w:t>
      </w:r>
      <w:bookmarkEnd w:id="9017"/>
      <w:bookmarkEnd w:id="9018"/>
      <w:bookmarkEnd w:id="9019"/>
    </w:p>
    <w:p w14:paraId="295137F0" w14:textId="77777777" w:rsidR="00D95C52" w:rsidRDefault="00D95C52" w:rsidP="00223668">
      <w:pPr>
        <w:pStyle w:val="a0"/>
      </w:pPr>
      <w:r>
        <w:rPr>
          <w:rFonts w:hint="cs"/>
          <w:rtl/>
        </w:rPr>
        <w:t xml:space="preserve">כתב </w:t>
      </w:r>
      <w:r w:rsidRPr="005077BA">
        <w:rPr>
          <w:rStyle w:val="af9"/>
          <w:rFonts w:hint="cs"/>
          <w:rtl/>
        </w:rPr>
        <w:t xml:space="preserve">הט"ז </w:t>
      </w:r>
      <w:r w:rsidRPr="005077BA">
        <w:rPr>
          <w:rStyle w:val="af7"/>
          <w:rFonts w:eastAsia="Guttman Hodes" w:hint="cs"/>
          <w:rtl/>
        </w:rPr>
        <w:t>(פ"א ס"ק ג')</w:t>
      </w:r>
      <w:r>
        <w:rPr>
          <w:rFonts w:hint="cs"/>
          <w:rtl/>
        </w:rPr>
        <w:t xml:space="preserve"> </w:t>
      </w:r>
      <w:r w:rsidRPr="005077BA">
        <w:rPr>
          <w:rStyle w:val="af9"/>
          <w:rFonts w:hint="cs"/>
          <w:rtl/>
        </w:rPr>
        <w:t xml:space="preserve">דהשו"ע </w:t>
      </w:r>
      <w:r w:rsidRPr="005077BA">
        <w:rPr>
          <w:rStyle w:val="af7"/>
          <w:rFonts w:eastAsia="Guttman Hodes" w:hint="cs"/>
          <w:rtl/>
        </w:rPr>
        <w:t>(סי' פ"א ב')</w:t>
      </w:r>
      <w:r>
        <w:rPr>
          <w:rFonts w:hint="cs"/>
          <w:rtl/>
        </w:rPr>
        <w:t xml:space="preserve"> פסק </w:t>
      </w:r>
      <w:r w:rsidRPr="005077BA">
        <w:rPr>
          <w:rStyle w:val="af9"/>
          <w:rFonts w:hint="cs"/>
          <w:rtl/>
        </w:rPr>
        <w:t xml:space="preserve">כהרשב"א </w:t>
      </w:r>
      <w:r w:rsidRPr="005077BA">
        <w:rPr>
          <w:rStyle w:val="af7"/>
          <w:rFonts w:eastAsia="Guttman Hodes" w:hint="cs"/>
          <w:rtl/>
        </w:rPr>
        <w:t xml:space="preserve">(עי' אות </w:t>
      </w:r>
      <w:r w:rsidRPr="005077BA">
        <w:rPr>
          <w:rStyle w:val="af7"/>
          <w:rFonts w:eastAsia="Guttman Hodes"/>
          <w:rtl/>
        </w:rPr>
        <w:fldChar w:fldCharType="begin"/>
      </w:r>
      <w:r w:rsidRPr="005077BA">
        <w:rPr>
          <w:rStyle w:val="af7"/>
          <w:rFonts w:eastAsia="Guttman Hodes"/>
          <w:rtl/>
        </w:rPr>
        <w:instrText xml:space="preserve"> </w:instrText>
      </w:r>
      <w:r w:rsidRPr="005077BA">
        <w:rPr>
          <w:rStyle w:val="af7"/>
          <w:rFonts w:eastAsia="Guttman Hodes" w:hint="cs"/>
        </w:rPr>
        <w:instrText>REF</w:instrText>
      </w:r>
      <w:r w:rsidRPr="005077BA">
        <w:rPr>
          <w:rStyle w:val="af7"/>
          <w:rFonts w:eastAsia="Guttman Hodes" w:hint="cs"/>
          <w:rtl/>
        </w:rPr>
        <w:instrText xml:space="preserve"> _</w:instrText>
      </w:r>
      <w:r w:rsidRPr="005077BA">
        <w:rPr>
          <w:rStyle w:val="af7"/>
          <w:rFonts w:eastAsia="Guttman Hodes" w:hint="cs"/>
        </w:rPr>
        <w:instrText>Ref529206479 \r \h</w:instrText>
      </w:r>
      <w:r w:rsidRPr="005077BA">
        <w:rPr>
          <w:rStyle w:val="af7"/>
          <w:rFonts w:eastAsia="Guttman Hodes"/>
          <w:rtl/>
        </w:rPr>
        <w:instrText xml:space="preserve"> </w:instrText>
      </w:r>
      <w:r w:rsidRPr="005077BA">
        <w:rPr>
          <w:rStyle w:val="af7"/>
          <w:rFonts w:eastAsia="Guttman Hodes"/>
          <w:rtl/>
        </w:rPr>
      </w:r>
      <w:r w:rsidRPr="005077BA">
        <w:rPr>
          <w:rStyle w:val="af7"/>
          <w:rFonts w:eastAsia="Guttman Hodes"/>
          <w:rtl/>
        </w:rPr>
        <w:fldChar w:fldCharType="separate"/>
      </w:r>
      <w:r w:rsidR="00345400">
        <w:rPr>
          <w:rStyle w:val="af7"/>
          <w:rFonts w:eastAsia="Guttman Hodes"/>
          <w:cs/>
        </w:rPr>
        <w:t>‎</w:t>
      </w:r>
      <w:r w:rsidR="00345400">
        <w:rPr>
          <w:rStyle w:val="af7"/>
          <w:rFonts w:eastAsia="Guttman Hodes"/>
          <w:rtl/>
        </w:rPr>
        <w:t>סב)</w:t>
      </w:r>
      <w:r w:rsidRPr="005077BA">
        <w:rPr>
          <w:rStyle w:val="af7"/>
          <w:rFonts w:eastAsia="Guttman Hodes"/>
          <w:rtl/>
        </w:rPr>
        <w:fldChar w:fldCharType="end"/>
      </w:r>
      <w:r>
        <w:rPr>
          <w:rFonts w:hint="cs"/>
          <w:rtl/>
        </w:rPr>
        <w:t xml:space="preserve"> דבהוגלד פי המכה כל הגבינות אסורות אף אלו שנחלבו לפני הג' ימים האחרונים, דכיון שיצאה מחזקתה מחיים, אסורה למפרע לעולם.</w:t>
      </w:r>
    </w:p>
    <w:p w14:paraId="2BDBB1E1" w14:textId="77777777" w:rsidR="00D95C52" w:rsidRDefault="00D95C52" w:rsidP="006D6D32">
      <w:pPr>
        <w:pStyle w:val="a3"/>
        <w:rPr>
          <w:rtl/>
        </w:rPr>
      </w:pPr>
      <w:bookmarkStart w:id="9020" w:name="_Toc529739047"/>
      <w:bookmarkStart w:id="9021" w:name="_Toc19390209"/>
      <w:bookmarkStart w:id="9022" w:name="_Toc19393706"/>
      <w:r>
        <w:rPr>
          <w:rFonts w:hint="cs"/>
          <w:rtl/>
        </w:rPr>
        <w:t>דברי הט"ז דהרמ"א שהתיר לפני ג' ימים פסק כרשב"ם דכל שאפשר להעמיד על החזקה מעמידים</w:t>
      </w:r>
      <w:bookmarkEnd w:id="9020"/>
      <w:bookmarkEnd w:id="9021"/>
      <w:bookmarkEnd w:id="9022"/>
      <w:r>
        <w:rPr>
          <w:rFonts w:hint="cs"/>
          <w:rtl/>
        </w:rPr>
        <w:t xml:space="preserve"> </w:t>
      </w:r>
    </w:p>
    <w:p w14:paraId="2643C75A" w14:textId="77777777" w:rsidR="00D95C52" w:rsidRDefault="00D95C52" w:rsidP="00223668">
      <w:pPr>
        <w:pStyle w:val="a0"/>
        <w:rPr>
          <w:rtl/>
        </w:rPr>
      </w:pPr>
      <w:bookmarkStart w:id="9023" w:name="_Ref529478850"/>
      <w:r>
        <w:rPr>
          <w:rFonts w:hint="cs"/>
          <w:rtl/>
        </w:rPr>
        <w:t xml:space="preserve">ובדעת </w:t>
      </w:r>
      <w:r w:rsidRPr="005077BA">
        <w:rPr>
          <w:rStyle w:val="af9"/>
          <w:rFonts w:hint="cs"/>
          <w:rtl/>
        </w:rPr>
        <w:t xml:space="preserve">הרמ"א </w:t>
      </w:r>
      <w:r w:rsidRPr="005077BA">
        <w:rPr>
          <w:rStyle w:val="af7"/>
          <w:rFonts w:eastAsia="Guttman Hodes" w:hint="cs"/>
          <w:rtl/>
        </w:rPr>
        <w:t>(סי' פ"א ב')</w:t>
      </w:r>
      <w:r>
        <w:rPr>
          <w:rFonts w:hint="cs"/>
          <w:rtl/>
        </w:rPr>
        <w:t xml:space="preserve"> שהתיר את הגבינות שנחלבו לפני הג' ימים האחרונים כתב </w:t>
      </w:r>
      <w:r w:rsidRPr="005077BA">
        <w:rPr>
          <w:rStyle w:val="af9"/>
          <w:rFonts w:hint="cs"/>
          <w:rtl/>
        </w:rPr>
        <w:t xml:space="preserve">הט"ז </w:t>
      </w:r>
      <w:r>
        <w:rPr>
          <w:rFonts w:hint="cs"/>
          <w:rtl/>
        </w:rPr>
        <w:t xml:space="preserve">דס"ל </w:t>
      </w:r>
      <w:r w:rsidRPr="005077BA">
        <w:rPr>
          <w:rStyle w:val="af9"/>
          <w:rFonts w:hint="cs"/>
          <w:rtl/>
        </w:rPr>
        <w:t xml:space="preserve">כשערי דורא </w:t>
      </w:r>
      <w:r>
        <w:rPr>
          <w:rFonts w:hint="cs"/>
          <w:rtl/>
        </w:rPr>
        <w:t xml:space="preserve">בשם </w:t>
      </w:r>
      <w:r w:rsidRPr="005077BA">
        <w:rPr>
          <w:rStyle w:val="af9"/>
          <w:rFonts w:hint="cs"/>
          <w:rtl/>
        </w:rPr>
        <w:t xml:space="preserve">הרשב"ם </w:t>
      </w:r>
      <w:r w:rsidRPr="005077BA">
        <w:rPr>
          <w:rStyle w:val="af7"/>
          <w:rFonts w:eastAsia="Guttman Hodes" w:hint="cs"/>
          <w:rtl/>
        </w:rPr>
        <w:t xml:space="preserve">(עי' אות </w:t>
      </w:r>
      <w:r w:rsidRPr="005077BA">
        <w:rPr>
          <w:rStyle w:val="af7"/>
          <w:rFonts w:eastAsia="Guttman Hodes"/>
          <w:rtl/>
        </w:rPr>
        <w:fldChar w:fldCharType="begin"/>
      </w:r>
      <w:r w:rsidRPr="005077BA">
        <w:rPr>
          <w:rStyle w:val="af7"/>
          <w:rFonts w:eastAsia="Guttman Hodes"/>
          <w:rtl/>
        </w:rPr>
        <w:instrText xml:space="preserve"> </w:instrText>
      </w:r>
      <w:r w:rsidRPr="005077BA">
        <w:rPr>
          <w:rStyle w:val="af7"/>
          <w:rFonts w:eastAsia="Guttman Hodes" w:hint="cs"/>
        </w:rPr>
        <w:instrText>REF</w:instrText>
      </w:r>
      <w:r w:rsidRPr="005077BA">
        <w:rPr>
          <w:rStyle w:val="af7"/>
          <w:rFonts w:eastAsia="Guttman Hodes" w:hint="cs"/>
          <w:rtl/>
        </w:rPr>
        <w:instrText xml:space="preserve"> _</w:instrText>
      </w:r>
      <w:r w:rsidRPr="005077BA">
        <w:rPr>
          <w:rStyle w:val="af7"/>
          <w:rFonts w:eastAsia="Guttman Hodes" w:hint="cs"/>
        </w:rPr>
        <w:instrText>Ref529379576 \r \h</w:instrText>
      </w:r>
      <w:r w:rsidRPr="005077BA">
        <w:rPr>
          <w:rStyle w:val="af7"/>
          <w:rFonts w:eastAsia="Guttman Hodes"/>
          <w:rtl/>
        </w:rPr>
        <w:instrText xml:space="preserve"> </w:instrText>
      </w:r>
      <w:r w:rsidRPr="005077BA">
        <w:rPr>
          <w:rStyle w:val="af7"/>
          <w:rFonts w:eastAsia="Guttman Hodes"/>
          <w:rtl/>
        </w:rPr>
      </w:r>
      <w:r w:rsidRPr="005077BA">
        <w:rPr>
          <w:rStyle w:val="af7"/>
          <w:rFonts w:eastAsia="Guttman Hodes"/>
          <w:rtl/>
        </w:rPr>
        <w:fldChar w:fldCharType="separate"/>
      </w:r>
      <w:r w:rsidR="00345400">
        <w:rPr>
          <w:rStyle w:val="af7"/>
          <w:rFonts w:eastAsia="Guttman Hodes"/>
          <w:cs/>
        </w:rPr>
        <w:t>‎</w:t>
      </w:r>
      <w:r w:rsidR="00345400">
        <w:rPr>
          <w:rStyle w:val="af7"/>
          <w:rFonts w:eastAsia="Guttman Hodes"/>
          <w:rtl/>
        </w:rPr>
        <w:t>נ)</w:t>
      </w:r>
      <w:r w:rsidRPr="005077BA">
        <w:rPr>
          <w:rStyle w:val="af7"/>
          <w:rFonts w:eastAsia="Guttman Hodes"/>
          <w:rtl/>
        </w:rPr>
        <w:fldChar w:fldCharType="end"/>
      </w:r>
      <w:r>
        <w:rPr>
          <w:rFonts w:hint="cs"/>
          <w:rtl/>
        </w:rPr>
        <w:t xml:space="preserve"> וביאר </w:t>
      </w:r>
      <w:r w:rsidRPr="005077BA">
        <w:rPr>
          <w:rStyle w:val="af9"/>
          <w:rFonts w:hint="cs"/>
          <w:rtl/>
        </w:rPr>
        <w:t xml:space="preserve">הט"ז </w:t>
      </w:r>
      <w:r>
        <w:rPr>
          <w:rFonts w:hint="cs"/>
          <w:rtl/>
        </w:rPr>
        <w:t xml:space="preserve">דס"ל </w:t>
      </w:r>
      <w:r w:rsidRPr="005077BA">
        <w:rPr>
          <w:rStyle w:val="af9"/>
          <w:rFonts w:hint="cs"/>
          <w:rtl/>
        </w:rPr>
        <w:t xml:space="preserve">לרשב"ם </w:t>
      </w:r>
      <w:r>
        <w:rPr>
          <w:rFonts w:hint="cs"/>
          <w:rtl/>
        </w:rPr>
        <w:t xml:space="preserve">דכל שאפשר להעמיד על החזקה מעמידים, ולכן בהוגלד פי המכה דודאי הייתה טריפה וא"א להעמיד על החזקה בג' ימים אחרונים, לכן תולים שנטרפה בזמן שיתכן לומר שלא הייתה טריפה קודם, שזהו כמו התליה שנטרפה סמוך לשחיטה, וכדביאר </w:t>
      </w:r>
      <w:r w:rsidRPr="00431340">
        <w:rPr>
          <w:rStyle w:val="af9"/>
          <w:rFonts w:hint="cs"/>
          <w:rtl/>
        </w:rPr>
        <w:t xml:space="preserve">הרא"ה בבד"ה </w:t>
      </w:r>
      <w:r w:rsidRPr="0018350E">
        <w:rPr>
          <w:rStyle w:val="af7"/>
          <w:rFonts w:eastAsia="Guttman Hodes" w:hint="cs"/>
          <w:rtl/>
        </w:rPr>
        <w:t>(עי'</w:t>
      </w:r>
      <w:r w:rsidRPr="00431340">
        <w:rPr>
          <w:rStyle w:val="af7"/>
          <w:rFonts w:eastAsia="Guttman Hodes" w:hint="cs"/>
          <w:rtl/>
        </w:rPr>
        <w:t xml:space="preserve"> אות </w:t>
      </w:r>
      <w:r w:rsidRPr="00431340">
        <w:rPr>
          <w:rStyle w:val="af7"/>
          <w:rFonts w:eastAsia="Guttman Hodes"/>
          <w:rtl/>
        </w:rPr>
        <w:fldChar w:fldCharType="begin"/>
      </w:r>
      <w:r w:rsidRPr="00431340">
        <w:rPr>
          <w:rStyle w:val="af7"/>
          <w:rFonts w:eastAsia="Guttman Hodes"/>
          <w:rtl/>
        </w:rPr>
        <w:instrText xml:space="preserve"> </w:instrText>
      </w:r>
      <w:r w:rsidRPr="00431340">
        <w:rPr>
          <w:rStyle w:val="af7"/>
          <w:rFonts w:eastAsia="Guttman Hodes" w:hint="cs"/>
        </w:rPr>
        <w:instrText>REF</w:instrText>
      </w:r>
      <w:r w:rsidRPr="00431340">
        <w:rPr>
          <w:rStyle w:val="af7"/>
          <w:rFonts w:eastAsia="Guttman Hodes" w:hint="cs"/>
          <w:rtl/>
        </w:rPr>
        <w:instrText xml:space="preserve"> _</w:instrText>
      </w:r>
      <w:r w:rsidRPr="00431340">
        <w:rPr>
          <w:rStyle w:val="af7"/>
          <w:rFonts w:eastAsia="Guttman Hodes" w:hint="cs"/>
        </w:rPr>
        <w:instrText>Ref529379639 \r \h</w:instrText>
      </w:r>
      <w:r w:rsidRPr="00431340">
        <w:rPr>
          <w:rStyle w:val="af7"/>
          <w:rFonts w:eastAsia="Guttman Hodes"/>
          <w:rtl/>
        </w:rPr>
        <w:instrText xml:space="preserve"> </w:instrText>
      </w:r>
      <w:r w:rsidRPr="00431340">
        <w:rPr>
          <w:rStyle w:val="af7"/>
          <w:rFonts w:eastAsia="Guttman Hodes"/>
          <w:rtl/>
        </w:rPr>
      </w:r>
      <w:r w:rsidRPr="00431340">
        <w:rPr>
          <w:rStyle w:val="af7"/>
          <w:rFonts w:eastAsia="Guttman Hodes"/>
          <w:rtl/>
        </w:rPr>
        <w:fldChar w:fldCharType="separate"/>
      </w:r>
      <w:r w:rsidR="00345400">
        <w:rPr>
          <w:rStyle w:val="af7"/>
          <w:rFonts w:eastAsia="Guttman Hodes"/>
          <w:cs/>
        </w:rPr>
        <w:t>‎</w:t>
      </w:r>
      <w:r w:rsidR="00345400">
        <w:rPr>
          <w:rStyle w:val="af7"/>
          <w:rFonts w:eastAsia="Guttman Hodes"/>
          <w:rtl/>
        </w:rPr>
        <w:t>עה)</w:t>
      </w:r>
      <w:r w:rsidRPr="00431340">
        <w:rPr>
          <w:rStyle w:val="af7"/>
          <w:rFonts w:eastAsia="Guttman Hodes"/>
          <w:rtl/>
        </w:rPr>
        <w:fldChar w:fldCharType="end"/>
      </w:r>
      <w:r>
        <w:rPr>
          <w:rFonts w:hint="cs"/>
          <w:rtl/>
        </w:rPr>
        <w:t>.</w:t>
      </w:r>
      <w:bookmarkEnd w:id="9023"/>
    </w:p>
    <w:p w14:paraId="11438D88" w14:textId="77777777" w:rsidR="00D95C52" w:rsidRPr="00A02C74" w:rsidRDefault="00D95C52" w:rsidP="00BF39B2">
      <w:pPr>
        <w:pStyle w:val="1"/>
        <w:rPr>
          <w:rtl/>
        </w:rPr>
      </w:pPr>
      <w:bookmarkStart w:id="9024" w:name="_Toc529445016"/>
      <w:bookmarkStart w:id="9025" w:name="_Toc529704543"/>
      <w:bookmarkStart w:id="9026" w:name="_Toc529739048"/>
      <w:bookmarkStart w:id="9027" w:name="_Toc19390210"/>
      <w:bookmarkStart w:id="9028" w:name="_Toc19393707"/>
      <w:bookmarkStart w:id="9029" w:name="_Toc529352400"/>
      <w:r w:rsidRPr="00A02C74">
        <w:rPr>
          <w:rFonts w:hint="cs"/>
          <w:rtl/>
        </w:rPr>
        <w:t xml:space="preserve">דעת </w:t>
      </w:r>
      <w:r>
        <w:rPr>
          <w:rFonts w:hint="cs"/>
          <w:rtl/>
        </w:rPr>
        <w:t xml:space="preserve">ספר </w:t>
      </w:r>
      <w:r w:rsidRPr="00A02C74">
        <w:rPr>
          <w:rFonts w:hint="cs"/>
          <w:rtl/>
        </w:rPr>
        <w:t>התרומה דבסירכא מותר ובהוגלד פי המכה הוא ספק</w:t>
      </w:r>
      <w:bookmarkEnd w:id="9024"/>
      <w:bookmarkEnd w:id="9025"/>
      <w:bookmarkEnd w:id="9026"/>
      <w:bookmarkEnd w:id="9027"/>
      <w:bookmarkEnd w:id="9028"/>
    </w:p>
    <w:p w14:paraId="679958F8" w14:textId="77777777" w:rsidR="00D95C52" w:rsidRPr="00984A15" w:rsidRDefault="00D95C52" w:rsidP="006D6D32">
      <w:pPr>
        <w:pStyle w:val="a3"/>
        <w:rPr>
          <w:rtl/>
        </w:rPr>
      </w:pPr>
      <w:bookmarkStart w:id="9030" w:name="_Toc529739049"/>
      <w:bookmarkStart w:id="9031" w:name="_Toc19390211"/>
      <w:bookmarkStart w:id="9032" w:name="_Toc19393708"/>
      <w:r>
        <w:rPr>
          <w:rFonts w:hint="cs"/>
          <w:rtl/>
        </w:rPr>
        <w:t>דברי התרומה בדעת הבה"ג דאפשר להתיר את הגבינות בסירכא</w:t>
      </w:r>
      <w:bookmarkEnd w:id="9030"/>
      <w:bookmarkEnd w:id="9031"/>
      <w:bookmarkEnd w:id="9032"/>
      <w:r>
        <w:rPr>
          <w:rFonts w:hint="cs"/>
          <w:rtl/>
        </w:rPr>
        <w:t xml:space="preserve"> </w:t>
      </w:r>
    </w:p>
    <w:p w14:paraId="00F715A3" w14:textId="77777777" w:rsidR="00D95C52" w:rsidRPr="00D229CE" w:rsidRDefault="00D95C52" w:rsidP="00223668">
      <w:pPr>
        <w:pStyle w:val="a0"/>
        <w:rPr>
          <w:rtl/>
        </w:rPr>
      </w:pPr>
      <w:r w:rsidRPr="00D229CE">
        <w:rPr>
          <w:rStyle w:val="af9"/>
          <w:rFonts w:hint="cs"/>
          <w:rtl/>
        </w:rPr>
        <w:t>בספר התרומה</w:t>
      </w:r>
      <w:r w:rsidRPr="00D229CE">
        <w:rPr>
          <w:rFonts w:hint="cs"/>
          <w:rtl/>
        </w:rPr>
        <w:t xml:space="preserve"> </w:t>
      </w:r>
      <w:r w:rsidRPr="00D229CE">
        <w:rPr>
          <w:rStyle w:val="af7"/>
          <w:rFonts w:eastAsia="Guttman Hodes" w:hint="cs"/>
          <w:rtl/>
        </w:rPr>
        <w:t xml:space="preserve">(הל' איסור והיתר סימן ע"ג) </w:t>
      </w:r>
      <w:r w:rsidRPr="00D229CE">
        <w:rPr>
          <w:rFonts w:hint="cs"/>
          <w:rtl/>
        </w:rPr>
        <w:t>הביא את דברי</w:t>
      </w:r>
      <w:r w:rsidRPr="00D229CE">
        <w:rPr>
          <w:rStyle w:val="af9"/>
          <w:rFonts w:hint="cs"/>
          <w:rtl/>
        </w:rPr>
        <w:t xml:space="preserve"> הבה"ג</w:t>
      </w:r>
      <w:r w:rsidRPr="00D229CE">
        <w:rPr>
          <w:rFonts w:hint="cs"/>
          <w:rtl/>
        </w:rPr>
        <w:t xml:space="preserve"> </w:t>
      </w:r>
      <w:r w:rsidRPr="00D229CE">
        <w:rPr>
          <w:rStyle w:val="af7"/>
          <w:rFonts w:eastAsia="Guttman Hodes" w:hint="cs"/>
          <w:rtl/>
        </w:rPr>
        <w:t>(סי' ס"ז עמ' תרנ"ג ד"ה והיכא)</w:t>
      </w:r>
      <w:r w:rsidRPr="00D229CE">
        <w:rPr>
          <w:rFonts w:hint="cs"/>
          <w:rtl/>
        </w:rPr>
        <w:t xml:space="preserve"> דכתב דבהוגלד פי המכה, הגבינות אסורות, כיון שבידוע דנטרפה ג' ימים קודם השחיטה, וכתב </w:t>
      </w:r>
      <w:r w:rsidRPr="00D229CE">
        <w:rPr>
          <w:rStyle w:val="af9"/>
          <w:rFonts w:hint="cs"/>
          <w:rtl/>
        </w:rPr>
        <w:t>בספר התרומה</w:t>
      </w:r>
      <w:r w:rsidRPr="00D229CE">
        <w:rPr>
          <w:rFonts w:hint="cs"/>
          <w:rtl/>
        </w:rPr>
        <w:t xml:space="preserve"> דמבואר מדברי </w:t>
      </w:r>
      <w:r w:rsidRPr="00D229CE">
        <w:rPr>
          <w:rStyle w:val="af9"/>
          <w:rFonts w:hint="cs"/>
          <w:rtl/>
        </w:rPr>
        <w:t>הבה"ג</w:t>
      </w:r>
      <w:r w:rsidRPr="00D229CE">
        <w:rPr>
          <w:rFonts w:hint="cs"/>
          <w:rtl/>
        </w:rPr>
        <w:t xml:space="preserve"> דהיכא שנמצאת סירכא, אפשר להתיר את הגבינות</w:t>
      </w:r>
      <w:r>
        <w:rPr>
          <w:rFonts w:hint="cs"/>
          <w:rtl/>
        </w:rPr>
        <w:t>,</w:t>
      </w:r>
      <w:r w:rsidRPr="00D229CE">
        <w:rPr>
          <w:rFonts w:hint="cs"/>
          <w:rtl/>
        </w:rPr>
        <w:t xml:space="preserve"> וכדעת </w:t>
      </w:r>
      <w:r w:rsidRPr="00D229CE">
        <w:rPr>
          <w:rStyle w:val="af9"/>
          <w:rFonts w:hint="cs"/>
          <w:rtl/>
        </w:rPr>
        <w:t>הרשב"ם</w:t>
      </w:r>
      <w:r w:rsidRPr="00D229CE">
        <w:rPr>
          <w:rFonts w:hint="cs"/>
          <w:rtl/>
        </w:rPr>
        <w:t xml:space="preserve"> </w:t>
      </w:r>
      <w:r w:rsidRPr="00540ECC">
        <w:rPr>
          <w:rStyle w:val="af7"/>
          <w:rFonts w:eastAsia="Guttman Hodes" w:hint="cs"/>
          <w:rtl/>
        </w:rPr>
        <w:t xml:space="preserve">(עי' אות </w:t>
      </w:r>
      <w:r w:rsidRPr="00540ECC">
        <w:rPr>
          <w:rStyle w:val="af7"/>
          <w:rFonts w:eastAsia="Guttman Hodes"/>
          <w:rtl/>
        </w:rPr>
        <w:fldChar w:fldCharType="begin"/>
      </w:r>
      <w:r w:rsidRPr="00540ECC">
        <w:rPr>
          <w:rStyle w:val="af7"/>
          <w:rFonts w:eastAsia="Guttman Hodes"/>
          <w:rtl/>
        </w:rPr>
        <w:instrText xml:space="preserve"> </w:instrText>
      </w:r>
      <w:r w:rsidRPr="00540ECC">
        <w:rPr>
          <w:rStyle w:val="af7"/>
          <w:rFonts w:eastAsia="Guttman Hodes" w:hint="cs"/>
        </w:rPr>
        <w:instrText>REF</w:instrText>
      </w:r>
      <w:r w:rsidRPr="00540ECC">
        <w:rPr>
          <w:rStyle w:val="af7"/>
          <w:rFonts w:eastAsia="Guttman Hodes" w:hint="cs"/>
          <w:rtl/>
        </w:rPr>
        <w:instrText xml:space="preserve"> _</w:instrText>
      </w:r>
      <w:r w:rsidRPr="00540ECC">
        <w:rPr>
          <w:rStyle w:val="af7"/>
          <w:rFonts w:eastAsia="Guttman Hodes" w:hint="cs"/>
        </w:rPr>
        <w:instrText>Ref529203013 \r \h</w:instrText>
      </w:r>
      <w:r w:rsidRPr="00540ECC">
        <w:rPr>
          <w:rStyle w:val="af7"/>
          <w:rFonts w:eastAsia="Guttman Hodes"/>
          <w:rtl/>
        </w:rPr>
        <w:instrText xml:space="preserve"> </w:instrText>
      </w:r>
      <w:r w:rsidRPr="00540ECC">
        <w:rPr>
          <w:rStyle w:val="af7"/>
          <w:rFonts w:eastAsia="Guttman Hodes"/>
          <w:rtl/>
        </w:rPr>
      </w:r>
      <w:r w:rsidRPr="00540ECC">
        <w:rPr>
          <w:rStyle w:val="af7"/>
          <w:rFonts w:eastAsia="Guttman Hodes"/>
          <w:rtl/>
        </w:rPr>
        <w:fldChar w:fldCharType="separate"/>
      </w:r>
      <w:r w:rsidR="00345400">
        <w:rPr>
          <w:rStyle w:val="af7"/>
          <w:rFonts w:eastAsia="Guttman Hodes"/>
          <w:cs/>
        </w:rPr>
        <w:t>‎</w:t>
      </w:r>
      <w:r w:rsidR="00345400">
        <w:rPr>
          <w:rStyle w:val="af7"/>
          <w:rFonts w:eastAsia="Guttman Hodes"/>
          <w:rtl/>
        </w:rPr>
        <w:t>מה)</w:t>
      </w:r>
      <w:r w:rsidRPr="00540ECC">
        <w:rPr>
          <w:rStyle w:val="af7"/>
          <w:rFonts w:eastAsia="Guttman Hodes"/>
          <w:rtl/>
        </w:rPr>
        <w:fldChar w:fldCharType="end"/>
      </w:r>
      <w:r w:rsidRPr="00D229CE">
        <w:rPr>
          <w:rFonts w:hint="cs"/>
          <w:rtl/>
        </w:rPr>
        <w:t>.</w:t>
      </w:r>
    </w:p>
    <w:p w14:paraId="2205C524" w14:textId="77777777" w:rsidR="00D95C52" w:rsidRPr="00D229CE" w:rsidRDefault="00D95C52" w:rsidP="006D6D32">
      <w:pPr>
        <w:pStyle w:val="a3"/>
        <w:rPr>
          <w:rtl/>
        </w:rPr>
      </w:pPr>
      <w:bookmarkStart w:id="9033" w:name="_Toc529739050"/>
      <w:bookmarkStart w:id="9034" w:name="_Toc19390212"/>
      <w:bookmarkStart w:id="9035" w:name="_Toc19393709"/>
      <w:r>
        <w:rPr>
          <w:rFonts w:hint="cs"/>
          <w:rtl/>
        </w:rPr>
        <w:t>ספק התרומה בהוגלד פי המכה אי אפשר להתיר את הגבינות שקדמו ג' ימים לשחיטה</w:t>
      </w:r>
      <w:bookmarkEnd w:id="9033"/>
      <w:bookmarkEnd w:id="9034"/>
      <w:bookmarkEnd w:id="9035"/>
    </w:p>
    <w:p w14:paraId="5268AF06" w14:textId="77777777" w:rsidR="008661E6" w:rsidRDefault="00D95C52" w:rsidP="00223668">
      <w:pPr>
        <w:pStyle w:val="a0"/>
        <w:rPr>
          <w:rtl/>
        </w:rPr>
      </w:pPr>
      <w:bookmarkStart w:id="9036" w:name="_Ref529354075"/>
      <w:r w:rsidRPr="00D229CE">
        <w:rPr>
          <w:rFonts w:hint="cs"/>
          <w:rtl/>
        </w:rPr>
        <w:t xml:space="preserve">אך כתב </w:t>
      </w:r>
      <w:r w:rsidRPr="00D229CE">
        <w:rPr>
          <w:rStyle w:val="af9"/>
          <w:rFonts w:hint="cs"/>
          <w:rtl/>
        </w:rPr>
        <w:t>בספר התרומה</w:t>
      </w:r>
      <w:r w:rsidRPr="00D229CE">
        <w:rPr>
          <w:rFonts w:hint="cs"/>
          <w:rtl/>
        </w:rPr>
        <w:t xml:space="preserve"> דקודם הג' ימים יש להסתפק האם כיון שאין לבהמה חזקה עד שעת השחיטה, א"כ יצאה מחזקתה, או דמ"מ יש לה חזקה עד ג' ימים שלפני השחיטה</w:t>
      </w:r>
      <w:r>
        <w:rPr>
          <w:rFonts w:hint="cs"/>
          <w:rtl/>
        </w:rPr>
        <w:t>,</w:t>
      </w:r>
      <w:r w:rsidRPr="009065CF">
        <w:rPr>
          <w:rFonts w:hint="cs"/>
          <w:rtl/>
        </w:rPr>
        <w:t xml:space="preserve"> </w:t>
      </w:r>
      <w:r>
        <w:rPr>
          <w:rFonts w:hint="cs"/>
          <w:rtl/>
        </w:rPr>
        <w:t xml:space="preserve">וכתב </w:t>
      </w:r>
      <w:r w:rsidRPr="009065CF">
        <w:rPr>
          <w:rStyle w:val="af9"/>
          <w:rFonts w:hint="cs"/>
          <w:rtl/>
        </w:rPr>
        <w:t>הכנה"ג</w:t>
      </w:r>
      <w:r>
        <w:rPr>
          <w:rFonts w:hint="cs"/>
          <w:rtl/>
        </w:rPr>
        <w:t xml:space="preserve"> </w:t>
      </w:r>
      <w:r w:rsidRPr="00FA5A98">
        <w:rPr>
          <w:rStyle w:val="af7"/>
          <w:rFonts w:eastAsia="Guttman Hodes" w:hint="cs"/>
          <w:rtl/>
        </w:rPr>
        <w:t xml:space="preserve">(סי' פ"א הג' ב"י ס"ט ט"ז) </w:t>
      </w:r>
      <w:r>
        <w:rPr>
          <w:rFonts w:hint="cs"/>
          <w:rtl/>
        </w:rPr>
        <w:t>דמשמע מדבריו דהוא נוטה להקל</w:t>
      </w:r>
      <w:bookmarkEnd w:id="9036"/>
      <w:r>
        <w:rPr>
          <w:rFonts w:hint="cs"/>
          <w:rtl/>
        </w:rPr>
        <w:t xml:space="preserve">. אך תמה </w:t>
      </w:r>
      <w:r w:rsidRPr="00540ECC">
        <w:rPr>
          <w:rStyle w:val="af9"/>
          <w:rFonts w:hint="cs"/>
          <w:rtl/>
        </w:rPr>
        <w:t xml:space="preserve">הכנה"ג </w:t>
      </w:r>
      <w:r>
        <w:rPr>
          <w:rFonts w:hint="cs"/>
          <w:rtl/>
        </w:rPr>
        <w:t xml:space="preserve">דהא </w:t>
      </w:r>
      <w:r w:rsidRPr="009065CF">
        <w:rPr>
          <w:rStyle w:val="af9"/>
          <w:rFonts w:hint="cs"/>
          <w:rtl/>
        </w:rPr>
        <w:t>הרשב"א</w:t>
      </w:r>
      <w:r w:rsidRPr="00FA5A98">
        <w:rPr>
          <w:rStyle w:val="af7"/>
          <w:rFonts w:eastAsia="Guttman Hodes" w:hint="cs"/>
          <w:rtl/>
        </w:rPr>
        <w:t xml:space="preserve"> (עי' אות </w:t>
      </w:r>
      <w:r w:rsidRPr="00FA5A98">
        <w:rPr>
          <w:rStyle w:val="af7"/>
          <w:rFonts w:eastAsia="Guttman Hodes"/>
          <w:rtl/>
        </w:rPr>
        <w:fldChar w:fldCharType="begin"/>
      </w:r>
      <w:r w:rsidRPr="00FA5A98">
        <w:rPr>
          <w:rStyle w:val="af7"/>
          <w:rFonts w:eastAsia="Guttman Hodes"/>
          <w:rtl/>
        </w:rPr>
        <w:instrText xml:space="preserve"> </w:instrText>
      </w:r>
      <w:r w:rsidRPr="00FA5A98">
        <w:rPr>
          <w:rStyle w:val="af7"/>
          <w:rFonts w:eastAsia="Guttman Hodes" w:hint="cs"/>
        </w:rPr>
        <w:instrText>REF</w:instrText>
      </w:r>
      <w:r w:rsidRPr="00FA5A98">
        <w:rPr>
          <w:rStyle w:val="af7"/>
          <w:rFonts w:eastAsia="Guttman Hodes" w:hint="cs"/>
          <w:rtl/>
        </w:rPr>
        <w:instrText xml:space="preserve"> _</w:instrText>
      </w:r>
      <w:r w:rsidRPr="00FA5A98">
        <w:rPr>
          <w:rStyle w:val="af7"/>
          <w:rFonts w:eastAsia="Guttman Hodes" w:hint="cs"/>
        </w:rPr>
        <w:instrText>Ref529354097 \r \h</w:instrText>
      </w:r>
      <w:r w:rsidRPr="00FA5A98">
        <w:rPr>
          <w:rStyle w:val="af7"/>
          <w:rFonts w:eastAsia="Guttman Hodes"/>
          <w:rtl/>
        </w:rPr>
        <w:instrText xml:space="preserve"> </w:instrText>
      </w:r>
      <w:r w:rsidRPr="00FA5A98">
        <w:rPr>
          <w:rStyle w:val="af7"/>
          <w:rFonts w:eastAsia="Guttman Hodes"/>
          <w:rtl/>
        </w:rPr>
      </w:r>
      <w:r w:rsidRPr="00FA5A98">
        <w:rPr>
          <w:rStyle w:val="af7"/>
          <w:rFonts w:eastAsia="Guttman Hodes"/>
          <w:rtl/>
        </w:rPr>
        <w:fldChar w:fldCharType="separate"/>
      </w:r>
      <w:r w:rsidR="00345400">
        <w:rPr>
          <w:rStyle w:val="af7"/>
          <w:rFonts w:eastAsia="Guttman Hodes"/>
          <w:cs/>
        </w:rPr>
        <w:t>‎</w:t>
      </w:r>
      <w:r w:rsidR="00345400">
        <w:rPr>
          <w:rStyle w:val="af7"/>
          <w:rFonts w:eastAsia="Guttman Hodes"/>
          <w:rtl/>
        </w:rPr>
        <w:t>סד)</w:t>
      </w:r>
      <w:r w:rsidRPr="00FA5A98">
        <w:rPr>
          <w:rStyle w:val="af7"/>
          <w:rFonts w:eastAsia="Guttman Hodes"/>
          <w:rtl/>
        </w:rPr>
        <w:fldChar w:fldCharType="end"/>
      </w:r>
      <w:r>
        <w:rPr>
          <w:rFonts w:hint="cs"/>
          <w:rtl/>
        </w:rPr>
        <w:t xml:space="preserve"> הביא בשם </w:t>
      </w:r>
      <w:r w:rsidRPr="009065CF">
        <w:rPr>
          <w:rStyle w:val="af9"/>
          <w:rFonts w:hint="cs"/>
          <w:rtl/>
        </w:rPr>
        <w:t>ספר התרומה</w:t>
      </w:r>
      <w:r>
        <w:rPr>
          <w:rFonts w:hint="cs"/>
          <w:rtl/>
        </w:rPr>
        <w:t xml:space="preserve"> דאסר, וכתב </w:t>
      </w:r>
      <w:r w:rsidRPr="00540ECC">
        <w:rPr>
          <w:rStyle w:val="af9"/>
          <w:rFonts w:hint="cs"/>
          <w:rtl/>
        </w:rPr>
        <w:t xml:space="preserve">הכנה"ג </w:t>
      </w:r>
      <w:r>
        <w:rPr>
          <w:rFonts w:hint="cs"/>
          <w:rtl/>
        </w:rPr>
        <w:t xml:space="preserve">דצ"ל דביאר </w:t>
      </w:r>
      <w:r w:rsidRPr="009065CF">
        <w:rPr>
          <w:rStyle w:val="af9"/>
          <w:rFonts w:hint="cs"/>
          <w:rtl/>
        </w:rPr>
        <w:t>הרשב"א</w:t>
      </w:r>
      <w:r>
        <w:rPr>
          <w:rFonts w:hint="cs"/>
          <w:rtl/>
        </w:rPr>
        <w:t xml:space="preserve"> בדעת </w:t>
      </w:r>
      <w:r w:rsidRPr="009065CF">
        <w:rPr>
          <w:rStyle w:val="af9"/>
          <w:rFonts w:hint="cs"/>
          <w:rtl/>
        </w:rPr>
        <w:t>ספר התרומה</w:t>
      </w:r>
      <w:r>
        <w:rPr>
          <w:rFonts w:hint="cs"/>
          <w:rtl/>
        </w:rPr>
        <w:t xml:space="preserve"> דכיון שהוא ספק צריך להחמיר.</w:t>
      </w:r>
      <w:bookmarkStart w:id="9037" w:name="_Toc529445017"/>
      <w:bookmarkStart w:id="9038" w:name="_Toc529704544"/>
      <w:bookmarkStart w:id="9039" w:name="_Toc529739051"/>
      <w:r w:rsidR="008661E6" w:rsidRPr="008661E6">
        <w:rPr>
          <w:rFonts w:hint="cs"/>
          <w:rtl/>
        </w:rPr>
        <w:t xml:space="preserve"> </w:t>
      </w:r>
    </w:p>
    <w:p w14:paraId="150F6052" w14:textId="77777777" w:rsidR="008661E6" w:rsidRPr="00D20B11" w:rsidRDefault="008661E6" w:rsidP="00BF39B2">
      <w:pPr>
        <w:pStyle w:val="1"/>
        <w:rPr>
          <w:rtl/>
        </w:rPr>
      </w:pPr>
      <w:bookmarkStart w:id="9040" w:name="_Toc19390213"/>
      <w:bookmarkStart w:id="9041" w:name="_Toc19393710"/>
      <w:r w:rsidRPr="00D20B11">
        <w:rPr>
          <w:rFonts w:hint="cs"/>
          <w:rtl/>
        </w:rPr>
        <w:t>דברי הרוקח</w:t>
      </w:r>
      <w:bookmarkEnd w:id="9037"/>
      <w:bookmarkEnd w:id="9038"/>
      <w:r>
        <w:rPr>
          <w:rFonts w:hint="cs"/>
          <w:rtl/>
        </w:rPr>
        <w:t xml:space="preserve"> בשם ר"ת דמעמידים את הגוף בחזקת בריאותו</w:t>
      </w:r>
      <w:bookmarkEnd w:id="9039"/>
      <w:bookmarkEnd w:id="9040"/>
      <w:bookmarkEnd w:id="9041"/>
    </w:p>
    <w:p w14:paraId="09EEF193" w14:textId="77777777" w:rsidR="008661E6" w:rsidRPr="00D20B11" w:rsidRDefault="008661E6" w:rsidP="006D6D32">
      <w:pPr>
        <w:pStyle w:val="a3"/>
        <w:rPr>
          <w:rtl/>
        </w:rPr>
      </w:pPr>
      <w:bookmarkStart w:id="9042" w:name="_Toc529739052"/>
      <w:bookmarkStart w:id="9043" w:name="_Toc19390214"/>
      <w:bookmarkStart w:id="9044" w:name="_Toc19393711"/>
      <w:r>
        <w:rPr>
          <w:rFonts w:hint="cs"/>
          <w:rtl/>
        </w:rPr>
        <w:t>דברי הרוקח בשם ר"ת והבה"ג דלפני הג' ימים מעמידים את הגוף בחזקת בריאותו</w:t>
      </w:r>
      <w:bookmarkEnd w:id="9042"/>
      <w:bookmarkEnd w:id="9043"/>
      <w:bookmarkEnd w:id="9044"/>
    </w:p>
    <w:p w14:paraId="2EB64854" w14:textId="77777777" w:rsidR="008661E6" w:rsidRPr="00D20B11" w:rsidRDefault="008661E6" w:rsidP="00223668">
      <w:pPr>
        <w:pStyle w:val="a0"/>
        <w:rPr>
          <w:rtl/>
        </w:rPr>
      </w:pPr>
      <w:r w:rsidRPr="00D20B11">
        <w:rPr>
          <w:rFonts w:hint="cs"/>
          <w:rtl/>
        </w:rPr>
        <w:t xml:space="preserve">כתב </w:t>
      </w:r>
      <w:r w:rsidRPr="00D20B11">
        <w:rPr>
          <w:rStyle w:val="af9"/>
          <w:rFonts w:hint="cs"/>
          <w:rtl/>
        </w:rPr>
        <w:t xml:space="preserve">הרוקח </w:t>
      </w:r>
      <w:r w:rsidRPr="00D20B11">
        <w:rPr>
          <w:rStyle w:val="af7"/>
          <w:rFonts w:eastAsia="Guttman Hodes" w:hint="cs"/>
          <w:rtl/>
        </w:rPr>
        <w:t>(הל</w:t>
      </w:r>
      <w:r w:rsidRPr="00D20B11">
        <w:rPr>
          <w:rStyle w:val="af7"/>
          <w:rFonts w:eastAsia="Guttman Hodes"/>
          <w:rtl/>
        </w:rPr>
        <w:t>'</w:t>
      </w:r>
      <w:r w:rsidRPr="00D20B11">
        <w:rPr>
          <w:rStyle w:val="af7"/>
          <w:rFonts w:eastAsia="Guttman Hodes" w:hint="cs"/>
          <w:rtl/>
        </w:rPr>
        <w:t xml:space="preserve"> טריפות שפ"ו, הועתק בקובץ שיטות קמאי חולין ח"א עמ' רכ"ח) </w:t>
      </w:r>
      <w:r w:rsidRPr="00D20B11">
        <w:rPr>
          <w:rFonts w:hint="cs"/>
          <w:rtl/>
        </w:rPr>
        <w:t xml:space="preserve">דדעת </w:t>
      </w:r>
      <w:r w:rsidRPr="00D20B11">
        <w:rPr>
          <w:rStyle w:val="af9"/>
          <w:rFonts w:hint="cs"/>
          <w:rtl/>
        </w:rPr>
        <w:t xml:space="preserve">ר"ת </w:t>
      </w:r>
      <w:r w:rsidRPr="00D20B11">
        <w:rPr>
          <w:rFonts w:hint="cs"/>
          <w:rtl/>
        </w:rPr>
        <w:t xml:space="preserve">דהגבינות של הג' ימים האחרונות אסורות, במקום שיש סירכא דודאי שהיא נעשית קודם ג' ימים, וכן דעת </w:t>
      </w:r>
      <w:r w:rsidRPr="00D229CE">
        <w:rPr>
          <w:rStyle w:val="af9"/>
          <w:rFonts w:hint="cs"/>
          <w:rtl/>
        </w:rPr>
        <w:t>הבה"ג</w:t>
      </w:r>
      <w:r w:rsidRPr="00D229CE">
        <w:rPr>
          <w:rFonts w:hint="cs"/>
          <w:rtl/>
        </w:rPr>
        <w:t xml:space="preserve"> </w:t>
      </w:r>
      <w:r w:rsidRPr="00D229CE">
        <w:rPr>
          <w:rStyle w:val="af7"/>
          <w:rFonts w:eastAsia="Guttman Hodes" w:hint="cs"/>
          <w:rtl/>
        </w:rPr>
        <w:t>(סי' ס"ז עמ' תרנ"ג ד"ה והיכא)</w:t>
      </w:r>
      <w:r w:rsidRPr="00D20B11">
        <w:rPr>
          <w:rFonts w:hint="cs"/>
          <w:rtl/>
        </w:rPr>
        <w:t>, אבל לפני ג' ימים מעמידים את הגוף בחזקת בריאותו.</w:t>
      </w:r>
    </w:p>
    <w:p w14:paraId="220193A3" w14:textId="77777777" w:rsidR="008661E6" w:rsidRPr="00D20B11" w:rsidRDefault="008661E6" w:rsidP="006D6D32">
      <w:pPr>
        <w:pStyle w:val="a3"/>
        <w:rPr>
          <w:rtl/>
        </w:rPr>
      </w:pPr>
      <w:bookmarkStart w:id="9045" w:name="_Toc529739053"/>
      <w:bookmarkStart w:id="9046" w:name="_Toc19390215"/>
      <w:bookmarkStart w:id="9047" w:name="_Toc19393712"/>
      <w:r>
        <w:rPr>
          <w:rFonts w:hint="cs"/>
          <w:rtl/>
        </w:rPr>
        <w:t>הוכחת הרוקח והשערי דורא מדין פתח פתוח דמעמידים את הגוף בחזקתו</w:t>
      </w:r>
      <w:bookmarkEnd w:id="9045"/>
      <w:bookmarkEnd w:id="9046"/>
      <w:bookmarkEnd w:id="9047"/>
    </w:p>
    <w:p w14:paraId="318994E1" w14:textId="77777777" w:rsidR="008661E6" w:rsidRDefault="008661E6" w:rsidP="00223668">
      <w:pPr>
        <w:pStyle w:val="a0"/>
        <w:rPr>
          <w:rtl/>
        </w:rPr>
      </w:pPr>
      <w:bookmarkStart w:id="9048" w:name="_Ref529435712"/>
      <w:r w:rsidRPr="00D20B11">
        <w:rPr>
          <w:rFonts w:hint="cs"/>
          <w:rtl/>
        </w:rPr>
        <w:t>ו</w:t>
      </w:r>
      <w:r>
        <w:rPr>
          <w:rFonts w:hint="cs"/>
          <w:rtl/>
        </w:rPr>
        <w:t xml:space="preserve">הביאו </w:t>
      </w:r>
      <w:r w:rsidRPr="00D20B11">
        <w:rPr>
          <w:rStyle w:val="af9"/>
          <w:rFonts w:hint="cs"/>
          <w:rtl/>
        </w:rPr>
        <w:t xml:space="preserve">הרוקח </w:t>
      </w:r>
      <w:r w:rsidRPr="00D20B11">
        <w:rPr>
          <w:rFonts w:hint="cs"/>
          <w:rtl/>
        </w:rPr>
        <w:t xml:space="preserve">בשם </w:t>
      </w:r>
      <w:r w:rsidRPr="00D20B11">
        <w:rPr>
          <w:rStyle w:val="af9"/>
          <w:rFonts w:hint="cs"/>
          <w:rtl/>
        </w:rPr>
        <w:t xml:space="preserve">ר"ת </w:t>
      </w:r>
      <w:r>
        <w:rPr>
          <w:rStyle w:val="af9"/>
          <w:rFonts w:hint="cs"/>
          <w:rtl/>
        </w:rPr>
        <w:t>וה</w:t>
      </w:r>
      <w:r w:rsidRPr="00870FB0">
        <w:rPr>
          <w:rStyle w:val="af9"/>
          <w:rFonts w:hint="cs"/>
          <w:rtl/>
        </w:rPr>
        <w:t>שערי דורא</w:t>
      </w:r>
      <w:r w:rsidRPr="007A3DF5">
        <w:rPr>
          <w:rFonts w:hint="cs"/>
          <w:rtl/>
        </w:rPr>
        <w:t xml:space="preserve"> </w:t>
      </w:r>
      <w:r w:rsidRPr="00870FB0">
        <w:rPr>
          <w:rStyle w:val="af7"/>
          <w:rFonts w:eastAsia="Guttman Hodes" w:hint="cs"/>
          <w:rtl/>
        </w:rPr>
        <w:t>(סי' פ"ד, הועתק בקובץ שיטות קמאי חולין ח"א עמ' רל"ג)</w:t>
      </w:r>
      <w:r w:rsidRPr="00870FB0">
        <w:rPr>
          <w:rFonts w:hint="cs"/>
          <w:rtl/>
        </w:rPr>
        <w:t xml:space="preserve"> </w:t>
      </w:r>
      <w:r w:rsidRPr="00D20B11">
        <w:rPr>
          <w:rFonts w:hint="cs"/>
          <w:rtl/>
        </w:rPr>
        <w:t xml:space="preserve">ראיה מהמשנה בכתובות </w:t>
      </w:r>
      <w:r w:rsidRPr="00D20B11">
        <w:rPr>
          <w:rStyle w:val="af7"/>
          <w:rFonts w:eastAsia="Guttman Hodes" w:hint="cs"/>
          <w:rtl/>
        </w:rPr>
        <w:t xml:space="preserve">(יב:) </w:t>
      </w:r>
      <w:r w:rsidRPr="00D20B11">
        <w:rPr>
          <w:rFonts w:hint="cs"/>
          <w:rtl/>
        </w:rPr>
        <w:t>דהנושא ולא מצא בתולים, והיא אומרת משארסתני נאנסתי, דמעמידים אותה בחזקת הגוף שנבעלה לאחר האירוסין, וה"ה בבהמה שמעמידים אותה בחזקת שהיא בריאה, ואף רבי יהושע דפליג התם הוא רק מחמת חזקת ממון, וכן לא דמי לספק בשחיטה או בסכין, דהבהמה בחייה בחזקת איסור אבר מן החי עומדת, אבל הכא החלב בחזקת היתר עומד עד שתמצא ודאי טריפה, ולכן סגי במה שאוסרים את הגבינות של הג' ימים האחרונים.</w:t>
      </w:r>
      <w:bookmarkEnd w:id="9048"/>
    </w:p>
    <w:p w14:paraId="06214C37" w14:textId="77777777" w:rsidR="008661E6" w:rsidRPr="00D511AF" w:rsidRDefault="008661E6" w:rsidP="006D6D32">
      <w:pPr>
        <w:pStyle w:val="a3"/>
        <w:rPr>
          <w:rtl/>
        </w:rPr>
      </w:pPr>
      <w:bookmarkStart w:id="9049" w:name="_Toc529739054"/>
      <w:bookmarkStart w:id="9050" w:name="_Toc19390216"/>
      <w:bookmarkStart w:id="9051" w:name="_Toc19393713"/>
      <w:r>
        <w:rPr>
          <w:rFonts w:hint="cs"/>
          <w:rtl/>
        </w:rPr>
        <w:t>דחיית הרוקח דבדין פתח פתוח רק ע"י טענת ברי מעמידים על החזקה</w:t>
      </w:r>
      <w:bookmarkEnd w:id="9049"/>
      <w:bookmarkEnd w:id="9050"/>
      <w:bookmarkEnd w:id="9051"/>
    </w:p>
    <w:p w14:paraId="4675909A" w14:textId="77777777" w:rsidR="008661E6" w:rsidRDefault="008661E6" w:rsidP="00223668">
      <w:pPr>
        <w:pStyle w:val="a0"/>
        <w:rPr>
          <w:rtl/>
        </w:rPr>
      </w:pPr>
      <w:bookmarkStart w:id="9052" w:name="_Ref529376058"/>
      <w:r>
        <w:rPr>
          <w:rFonts w:hint="cs"/>
          <w:rtl/>
        </w:rPr>
        <w:t xml:space="preserve">וכתב </w:t>
      </w:r>
      <w:r w:rsidRPr="0081764C">
        <w:rPr>
          <w:rStyle w:val="af9"/>
          <w:rFonts w:hint="cs"/>
          <w:rtl/>
        </w:rPr>
        <w:t xml:space="preserve">הרוקח </w:t>
      </w:r>
      <w:r w:rsidRPr="00B24E0B">
        <w:rPr>
          <w:rFonts w:hint="cs"/>
          <w:rtl/>
        </w:rPr>
        <w:t xml:space="preserve">דרבו </w:t>
      </w:r>
      <w:r>
        <w:rPr>
          <w:rStyle w:val="af9"/>
          <w:rFonts w:hint="cs"/>
          <w:rtl/>
        </w:rPr>
        <w:t>רבינו יב</w:t>
      </w:r>
      <w:r>
        <w:rPr>
          <w:rStyle w:val="af9"/>
          <w:rtl/>
        </w:rPr>
        <w:t>"</w:t>
      </w:r>
      <w:r>
        <w:rPr>
          <w:rStyle w:val="af9"/>
          <w:rFonts w:hint="cs"/>
          <w:rtl/>
        </w:rPr>
        <w:t>ק</w:t>
      </w:r>
      <w:r w:rsidRPr="0081764C">
        <w:rPr>
          <w:rStyle w:val="af9"/>
          <w:rFonts w:hint="cs"/>
          <w:rtl/>
        </w:rPr>
        <w:t xml:space="preserve"> ב"ר מאיר</w:t>
      </w:r>
      <w:r>
        <w:rPr>
          <w:rFonts w:hint="cs"/>
          <w:rtl/>
        </w:rPr>
        <w:t xml:space="preserve"> דחה את הראיה שהביא </w:t>
      </w:r>
      <w:r w:rsidRPr="00D511AF">
        <w:rPr>
          <w:rStyle w:val="af9"/>
          <w:rFonts w:hint="cs"/>
          <w:rtl/>
        </w:rPr>
        <w:t>ר"ת</w:t>
      </w:r>
      <w:r>
        <w:rPr>
          <w:rFonts w:hint="cs"/>
          <w:rtl/>
        </w:rPr>
        <w:t xml:space="preserve"> מהמשנה בכתובות </w:t>
      </w:r>
      <w:r w:rsidRPr="0081764C">
        <w:rPr>
          <w:rStyle w:val="af7"/>
          <w:rFonts w:eastAsia="Guttman Hodes" w:hint="cs"/>
          <w:rtl/>
        </w:rPr>
        <w:t>(יב:)</w:t>
      </w:r>
      <w:r>
        <w:rPr>
          <w:rFonts w:hint="cs"/>
          <w:rtl/>
        </w:rPr>
        <w:t xml:space="preserve"> דהא דמעמידים שנבעלה לאחר האירוסין, הוא כיון שטוענת ברי, וברי ושמא ברי עדיף, וכתב דבכל מקום שיש ריעותא, הורעה החזקה אף קודם ג' ימים, ודמי לסכין שנמצאת פגומה, דאמרינן שמא בעור נפגמה, עיי"ש בדבריו.</w:t>
      </w:r>
      <w:bookmarkEnd w:id="9052"/>
    </w:p>
    <w:p w14:paraId="27394DBF" w14:textId="77777777" w:rsidR="008661E6" w:rsidRDefault="008661E6" w:rsidP="006D6D32">
      <w:pPr>
        <w:pStyle w:val="a3"/>
        <w:rPr>
          <w:rtl/>
        </w:rPr>
      </w:pPr>
      <w:bookmarkStart w:id="9053" w:name="_Toc529739055"/>
      <w:bookmarkStart w:id="9054" w:name="_Toc19390217"/>
      <w:bookmarkStart w:id="9055" w:name="_Toc19393714"/>
      <w:r>
        <w:rPr>
          <w:rFonts w:hint="cs"/>
          <w:rtl/>
        </w:rPr>
        <w:t>דברי הרוקח בשם רבו דאסר בסירכא את הגבינות של כל הי"ב חודשים האחרונים</w:t>
      </w:r>
      <w:bookmarkEnd w:id="9053"/>
      <w:bookmarkEnd w:id="9054"/>
      <w:bookmarkEnd w:id="9055"/>
    </w:p>
    <w:p w14:paraId="5C685E25" w14:textId="77777777" w:rsidR="008661E6" w:rsidRDefault="008661E6" w:rsidP="00223668">
      <w:pPr>
        <w:pStyle w:val="a0"/>
        <w:rPr>
          <w:rtl/>
        </w:rPr>
      </w:pPr>
      <w:r>
        <w:rPr>
          <w:rFonts w:hint="cs"/>
          <w:rtl/>
        </w:rPr>
        <w:t xml:space="preserve">וכתב </w:t>
      </w:r>
      <w:r w:rsidRPr="0081764C">
        <w:rPr>
          <w:rStyle w:val="af9"/>
          <w:rFonts w:hint="cs"/>
          <w:rtl/>
        </w:rPr>
        <w:t xml:space="preserve">הרוקח </w:t>
      </w:r>
      <w:r w:rsidRPr="00B24E0B">
        <w:rPr>
          <w:rFonts w:hint="cs"/>
          <w:rtl/>
        </w:rPr>
        <w:t xml:space="preserve">דרבו </w:t>
      </w:r>
      <w:r>
        <w:rPr>
          <w:rStyle w:val="af9"/>
          <w:rFonts w:hint="cs"/>
          <w:rtl/>
        </w:rPr>
        <w:t>רבינו יב</w:t>
      </w:r>
      <w:r>
        <w:rPr>
          <w:rStyle w:val="af9"/>
          <w:rtl/>
        </w:rPr>
        <w:t>"</w:t>
      </w:r>
      <w:r>
        <w:rPr>
          <w:rStyle w:val="af9"/>
          <w:rFonts w:hint="cs"/>
          <w:rtl/>
        </w:rPr>
        <w:t>ק</w:t>
      </w:r>
      <w:r w:rsidRPr="0081764C">
        <w:rPr>
          <w:rStyle w:val="af9"/>
          <w:rFonts w:hint="cs"/>
          <w:rtl/>
        </w:rPr>
        <w:t xml:space="preserve"> ב"ר מאיר</w:t>
      </w:r>
      <w:r>
        <w:rPr>
          <w:rFonts w:hint="cs"/>
          <w:rtl/>
        </w:rPr>
        <w:t xml:space="preserve"> אסר בסירכא בריאה את כל הגבינות של הי"ב חודשים האחרונים, כיון שהבהמה בחזקת איסור, והריעותא לפנינו, וביאר דהסירכא  מתקשית להרבה ימים.</w:t>
      </w:r>
    </w:p>
    <w:p w14:paraId="2AF08F67" w14:textId="77777777" w:rsidR="00D95C52" w:rsidRDefault="00D95C52" w:rsidP="00223668">
      <w:pPr>
        <w:pStyle w:val="a0"/>
        <w:rPr>
          <w:rtl/>
        </w:rPr>
        <w:sectPr w:rsidR="00D95C52" w:rsidSect="001D62F6">
          <w:type w:val="continuous"/>
          <w:pgSz w:w="11906" w:h="16838"/>
          <w:pgMar w:top="720" w:right="720" w:bottom="720" w:left="720" w:header="283" w:footer="283" w:gutter="0"/>
          <w:cols w:num="2" w:space="567"/>
          <w:titlePg/>
          <w:bidi/>
          <w:rtlGutter/>
          <w:docGrid w:linePitch="299"/>
        </w:sectPr>
      </w:pPr>
    </w:p>
    <w:p w14:paraId="69BA33B7" w14:textId="77777777" w:rsidR="00D95C52" w:rsidRDefault="00D95C52" w:rsidP="00223668">
      <w:pPr>
        <w:pStyle w:val="a0"/>
        <w:numPr>
          <w:ilvl w:val="0"/>
          <w:numId w:val="0"/>
        </w:numPr>
        <w:rPr>
          <w:rtl/>
        </w:rPr>
      </w:pPr>
      <w:r>
        <w:rPr>
          <w:rtl/>
        </w:rPr>
        <w:br w:type="page"/>
      </w:r>
    </w:p>
    <w:bookmarkEnd w:id="9029"/>
    <w:p w14:paraId="275ED065" w14:textId="77777777" w:rsidR="00D95C52" w:rsidRPr="00E644CF" w:rsidRDefault="00D95C52" w:rsidP="006D6D32">
      <w:pPr>
        <w:pStyle w:val="a3"/>
        <w:rPr>
          <w:rtl/>
        </w:rPr>
        <w:sectPr w:rsidR="00D95C52" w:rsidRPr="00E644CF" w:rsidSect="005049E2">
          <w:type w:val="continuous"/>
          <w:pgSz w:w="11906" w:h="16838"/>
          <w:pgMar w:top="720" w:right="720" w:bottom="720" w:left="720" w:header="283" w:footer="283" w:gutter="0"/>
          <w:cols w:num="2" w:space="567"/>
          <w:titlePg/>
          <w:bidi/>
          <w:rtlGutter/>
          <w:docGrid w:linePitch="299"/>
        </w:sectPr>
      </w:pPr>
    </w:p>
    <w:p w14:paraId="7B6D6F28" w14:textId="77777777" w:rsidR="00D95C52" w:rsidRPr="0061208F" w:rsidRDefault="004B65FC" w:rsidP="005548CF">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239E5ED9">
          <v:shape id="_x0000_i1036" type="#_x0000_t75" style="width:409.4pt;height:4.45pt" o:hrpct="0" o:hralign="center" o:hr="t">
            <v:imagedata r:id="rId21" o:title="BD14845_"/>
          </v:shape>
        </w:pict>
      </w:r>
      <w:r w:rsidR="00D95C52" w:rsidRPr="0061208F">
        <w:rPr>
          <w:rFonts w:ascii="Guttman Hodes" w:eastAsia="Guttman Hodes" w:hAnsi="Guttman Hodes" w:cs="Guttman Hodes" w:hint="cs"/>
          <w:noProof/>
          <w:sz w:val="18"/>
          <w:szCs w:val="18"/>
          <w:rtl/>
        </w:rPr>
        <w:t xml:space="preserve"> </w:t>
      </w:r>
    </w:p>
    <w:p w14:paraId="304E41C6" w14:textId="77777777" w:rsidR="00D95C52" w:rsidRDefault="00D95C52" w:rsidP="006D6D32">
      <w:pPr>
        <w:pStyle w:val="afe"/>
        <w:rPr>
          <w:rtl/>
        </w:rPr>
      </w:pPr>
      <w:bookmarkStart w:id="9056" w:name="_Toc529352402"/>
      <w:bookmarkStart w:id="9057" w:name="_Toc529445018"/>
      <w:bookmarkStart w:id="9058" w:name="_Toc529704545"/>
      <w:bookmarkStart w:id="9059" w:name="_Toc529739056"/>
      <w:bookmarkStart w:id="9060" w:name="_Toc19435624"/>
      <w:bookmarkStart w:id="9061" w:name="_Toc20080913"/>
      <w:r>
        <w:rPr>
          <w:rFonts w:hint="cs"/>
          <w:rtl/>
        </w:rPr>
        <w:t>ביאורי ראשי הישיבות על הסוגיא</w:t>
      </w:r>
      <w:bookmarkEnd w:id="9056"/>
      <w:bookmarkEnd w:id="9057"/>
      <w:bookmarkEnd w:id="9058"/>
      <w:bookmarkEnd w:id="9059"/>
      <w:bookmarkEnd w:id="9060"/>
      <w:bookmarkEnd w:id="9061"/>
    </w:p>
    <w:p w14:paraId="453E26AA" w14:textId="77777777" w:rsidR="00D95C52" w:rsidRPr="00592BD5" w:rsidRDefault="00D95C52" w:rsidP="00BF39B2">
      <w:pPr>
        <w:pStyle w:val="1"/>
        <w:rPr>
          <w:rtl/>
        </w:rPr>
        <w:sectPr w:rsidR="00D95C52" w:rsidRPr="00592BD5" w:rsidSect="004069C6">
          <w:type w:val="continuous"/>
          <w:pgSz w:w="11906" w:h="16838"/>
          <w:pgMar w:top="720" w:right="720" w:bottom="720" w:left="720" w:header="283" w:footer="283" w:gutter="0"/>
          <w:cols w:space="567"/>
          <w:bidi/>
          <w:rtlGutter/>
        </w:sectPr>
      </w:pPr>
    </w:p>
    <w:p w14:paraId="7C5E2A83" w14:textId="77777777" w:rsidR="00D95C52" w:rsidRDefault="00D95C52" w:rsidP="00BF39B2">
      <w:pPr>
        <w:pStyle w:val="1"/>
        <w:rPr>
          <w:rtl/>
        </w:rPr>
      </w:pPr>
      <w:bookmarkStart w:id="9062" w:name="_Toc529445019"/>
      <w:bookmarkStart w:id="9063" w:name="_Toc529704546"/>
      <w:bookmarkStart w:id="9064" w:name="_Toc529739057"/>
      <w:bookmarkStart w:id="9065" w:name="_Toc19390218"/>
      <w:bookmarkStart w:id="9066" w:name="_Toc19393715"/>
      <w:r>
        <w:rPr>
          <w:rFonts w:hint="cs"/>
          <w:rtl/>
        </w:rPr>
        <w:t>ביאור השער"י בדעת התוס' בחזקה שלא נתבררה בשעתה</w:t>
      </w:r>
      <w:bookmarkEnd w:id="9062"/>
      <w:bookmarkEnd w:id="9063"/>
      <w:bookmarkEnd w:id="9064"/>
      <w:bookmarkEnd w:id="9065"/>
      <w:bookmarkEnd w:id="9066"/>
    </w:p>
    <w:p w14:paraId="4391CCDD" w14:textId="77777777" w:rsidR="00D95C52" w:rsidRDefault="00D95C52" w:rsidP="006D6D32">
      <w:pPr>
        <w:pStyle w:val="a3"/>
        <w:rPr>
          <w:rtl/>
        </w:rPr>
      </w:pPr>
      <w:bookmarkStart w:id="9067" w:name="_Toc529739058"/>
      <w:bookmarkStart w:id="9068" w:name="_Toc19390219"/>
      <w:bookmarkStart w:id="9069" w:name="_Toc19393716"/>
      <w:r>
        <w:rPr>
          <w:rFonts w:hint="cs"/>
          <w:rtl/>
        </w:rPr>
        <w:t>ביאור השער"י בחזקה שלא נתבררה בשעתה דבדבר שלא הוחזק מצבו הקודם לא שייך דין חזקה</w:t>
      </w:r>
      <w:bookmarkEnd w:id="9067"/>
      <w:bookmarkEnd w:id="9068"/>
      <w:bookmarkEnd w:id="9069"/>
    </w:p>
    <w:p w14:paraId="4B6D1C11" w14:textId="77777777" w:rsidR="00D95C52" w:rsidRPr="00112618" w:rsidRDefault="00D95C52" w:rsidP="00223668">
      <w:pPr>
        <w:pStyle w:val="a0"/>
        <w:rPr>
          <w:rStyle w:val="afb"/>
          <w:rtl/>
        </w:rPr>
      </w:pPr>
      <w:bookmarkStart w:id="9070" w:name="_Ref529437210"/>
      <w:r>
        <w:rPr>
          <w:rFonts w:hint="cs"/>
          <w:rtl/>
        </w:rPr>
        <w:t xml:space="preserve">כתב </w:t>
      </w:r>
      <w:r w:rsidRPr="00AB0D54">
        <w:rPr>
          <w:rStyle w:val="af9"/>
          <w:rFonts w:hint="cs"/>
          <w:rtl/>
        </w:rPr>
        <w:t>השער"י</w:t>
      </w:r>
      <w:r>
        <w:rPr>
          <w:rFonts w:hint="cs"/>
          <w:rtl/>
        </w:rPr>
        <w:t xml:space="preserve"> </w:t>
      </w:r>
      <w:r w:rsidRPr="00AB0D54">
        <w:rPr>
          <w:rStyle w:val="af7"/>
          <w:rFonts w:eastAsia="Guttman Hodes" w:hint="cs"/>
          <w:rtl/>
        </w:rPr>
        <w:t xml:space="preserve">(שער החזקות פ"ד ד"ה </w:t>
      </w:r>
      <w:r>
        <w:rPr>
          <w:rStyle w:val="af7"/>
          <w:rFonts w:eastAsia="Guttman Hodes" w:hint="cs"/>
          <w:rtl/>
        </w:rPr>
        <w:t>אמנם עדיין</w:t>
      </w:r>
      <w:r w:rsidRPr="00AB0D54">
        <w:rPr>
          <w:rStyle w:val="af7"/>
          <w:rFonts w:eastAsia="Guttman Hodes" w:hint="cs"/>
          <w:rtl/>
        </w:rPr>
        <w:t>)</w:t>
      </w:r>
      <w:r>
        <w:rPr>
          <w:rFonts w:hint="cs"/>
          <w:rtl/>
        </w:rPr>
        <w:t xml:space="preserve"> דהביאור </w:t>
      </w:r>
      <w:r w:rsidRPr="00AE706B">
        <w:rPr>
          <w:rFonts w:hint="cs"/>
          <w:rtl/>
        </w:rPr>
        <w:t xml:space="preserve">בדעת </w:t>
      </w:r>
      <w:r w:rsidRPr="00AE706B">
        <w:rPr>
          <w:rStyle w:val="af9"/>
          <w:rFonts w:hint="cs"/>
          <w:rtl/>
        </w:rPr>
        <w:t xml:space="preserve">התוס' </w:t>
      </w:r>
      <w:r w:rsidRPr="00146201">
        <w:rPr>
          <w:rStyle w:val="af7"/>
          <w:rFonts w:eastAsia="Guttman Hodes" w:hint="cs"/>
          <w:rtl/>
        </w:rPr>
        <w:t xml:space="preserve">(עי' אות </w:t>
      </w:r>
      <w:r w:rsidRPr="00146201">
        <w:rPr>
          <w:rStyle w:val="af7"/>
          <w:rFonts w:eastAsia="Guttman Hodes"/>
          <w:rtl/>
        </w:rPr>
        <w:fldChar w:fldCharType="begin"/>
      </w:r>
      <w:r w:rsidRPr="00146201">
        <w:rPr>
          <w:rStyle w:val="af7"/>
          <w:rFonts w:eastAsia="Guttman Hodes"/>
          <w:rtl/>
        </w:rPr>
        <w:instrText xml:space="preserve"> </w:instrText>
      </w:r>
      <w:r w:rsidRPr="00146201">
        <w:rPr>
          <w:rStyle w:val="af7"/>
          <w:rFonts w:eastAsia="Guttman Hodes" w:hint="cs"/>
        </w:rPr>
        <w:instrText>REF</w:instrText>
      </w:r>
      <w:r w:rsidRPr="00146201">
        <w:rPr>
          <w:rStyle w:val="af7"/>
          <w:rFonts w:eastAsia="Guttman Hodes" w:hint="cs"/>
          <w:rtl/>
        </w:rPr>
        <w:instrText xml:space="preserve"> _</w:instrText>
      </w:r>
      <w:r w:rsidRPr="00146201">
        <w:rPr>
          <w:rStyle w:val="af7"/>
          <w:rFonts w:eastAsia="Guttman Hodes" w:hint="cs"/>
        </w:rPr>
        <w:instrText>Ref529090497 \r \h</w:instrText>
      </w:r>
      <w:r w:rsidRPr="00146201">
        <w:rPr>
          <w:rStyle w:val="af7"/>
          <w:rFonts w:eastAsia="Guttman Hodes"/>
          <w:rtl/>
        </w:rPr>
        <w:instrText xml:space="preserve"> </w:instrText>
      </w:r>
      <w:r w:rsidRPr="00146201">
        <w:rPr>
          <w:rStyle w:val="af7"/>
          <w:rFonts w:eastAsia="Guttman Hodes"/>
          <w:rtl/>
        </w:rPr>
      </w:r>
      <w:r w:rsidRPr="00146201">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146201">
        <w:rPr>
          <w:rStyle w:val="af7"/>
          <w:rFonts w:eastAsia="Guttman Hodes"/>
          <w:rtl/>
        </w:rPr>
        <w:fldChar w:fldCharType="end"/>
      </w:r>
      <w:r w:rsidRPr="00146201">
        <w:rPr>
          <w:rStyle w:val="af7"/>
          <w:rFonts w:eastAsia="Guttman Hodes" w:hint="cs"/>
          <w:rtl/>
        </w:rPr>
        <w:t xml:space="preserve"> </w:t>
      </w:r>
      <w:r w:rsidRPr="00AE706B">
        <w:rPr>
          <w:rFonts w:hint="cs"/>
          <w:rtl/>
        </w:rPr>
        <w:t>דלא אזלינן בתר חזקה שלא נתבררה בשעתה, ו</w:t>
      </w:r>
      <w:r>
        <w:rPr>
          <w:rFonts w:hint="cs"/>
          <w:rtl/>
        </w:rPr>
        <w:t xml:space="preserve">א"א להתיר את הגבינות, הוא דכל היסוד של חזקה הוא להחזיק את הדבר לפי מצבו הקודם, אבל במקום שלא היינו מוחזקים כלל, אין את כל היסוד של דין חזקה. </w:t>
      </w:r>
      <w:r w:rsidRPr="00112618">
        <w:rPr>
          <w:rStyle w:val="afb"/>
          <w:rFonts w:hint="cs"/>
          <w:rtl/>
        </w:rPr>
        <w:t xml:space="preserve">[וכתב </w:t>
      </w:r>
      <w:r w:rsidRPr="00AB0D54">
        <w:rPr>
          <w:rStyle w:val="affa"/>
          <w:rFonts w:hint="cs"/>
          <w:rtl/>
        </w:rPr>
        <w:t>השער"י</w:t>
      </w:r>
      <w:r w:rsidRPr="00112618">
        <w:rPr>
          <w:rStyle w:val="afb"/>
          <w:rFonts w:hint="cs"/>
          <w:rtl/>
        </w:rPr>
        <w:t xml:space="preserve"> דמשו"ה ס"ל </w:t>
      </w:r>
      <w:r w:rsidRPr="00AB0D54">
        <w:rPr>
          <w:rStyle w:val="affa"/>
          <w:rFonts w:hint="cs"/>
          <w:rtl/>
        </w:rPr>
        <w:t>להתוס' לעיל</w:t>
      </w:r>
      <w:r w:rsidRPr="00112618">
        <w:rPr>
          <w:rStyle w:val="afb"/>
          <w:rFonts w:hint="cs"/>
          <w:rtl/>
        </w:rPr>
        <w:t xml:space="preserve"> </w:t>
      </w:r>
      <w:r w:rsidRPr="00AB0D54">
        <w:rPr>
          <w:rStyle w:val="aff6"/>
          <w:rFonts w:hint="cs"/>
          <w:rtl/>
        </w:rPr>
        <w:t>(י. ד"ה סכין)</w:t>
      </w:r>
      <w:r w:rsidRPr="00112618">
        <w:rPr>
          <w:rStyle w:val="afb"/>
          <w:rFonts w:hint="cs"/>
          <w:rtl/>
        </w:rPr>
        <w:t xml:space="preserve"> דבמקוה שנמצא חסר, כל מה שמצרפים את החזקה דהשתא לתרתי לריעותא, הוא רק כיון שיש את סברת חסר ואתאי, וביאר </w:t>
      </w:r>
      <w:r w:rsidRPr="00AB0D54">
        <w:rPr>
          <w:rStyle w:val="affa"/>
          <w:rFonts w:hint="cs"/>
          <w:rtl/>
        </w:rPr>
        <w:t>השער"י</w:t>
      </w:r>
      <w:r w:rsidRPr="00112618">
        <w:rPr>
          <w:rStyle w:val="afb"/>
          <w:rFonts w:hint="cs"/>
          <w:rtl/>
        </w:rPr>
        <w:t xml:space="preserve"> דבמקום שיש ריעותא במה שהוחזק לנו בחזקה דמעיקרא, ויתכן שמה שהוחזק לנו מתחילה היה בטעות, כיון שנמצא חסר ואמרינן חסר ואתאי, א"כ הוברר לנו שהיה שינוי בחזקה, ולכן חסר בזה את היסוד של החזקה דמעיקרא ואפשר לדון את החזקה דהשתא</w:t>
      </w:r>
      <w:r>
        <w:rPr>
          <w:rStyle w:val="afb"/>
          <w:rFonts w:hint="cs"/>
          <w:rtl/>
        </w:rPr>
        <w:t xml:space="preserve">, ועי' במ"ש </w:t>
      </w:r>
      <w:r>
        <w:rPr>
          <w:rStyle w:val="affa"/>
          <w:rFonts w:hint="cs"/>
          <w:rtl/>
        </w:rPr>
        <w:t xml:space="preserve">המרדכי </w:t>
      </w:r>
      <w:r w:rsidRPr="00921577">
        <w:rPr>
          <w:rStyle w:val="aff6"/>
          <w:rFonts w:hint="cs"/>
          <w:rtl/>
        </w:rPr>
        <w:t xml:space="preserve">(עי' אות </w:t>
      </w:r>
      <w:r w:rsidRPr="00921577">
        <w:rPr>
          <w:rStyle w:val="aff6"/>
          <w:rtl/>
        </w:rPr>
        <w:fldChar w:fldCharType="begin"/>
      </w:r>
      <w:r w:rsidRPr="00921577">
        <w:rPr>
          <w:rStyle w:val="aff6"/>
          <w:rtl/>
        </w:rPr>
        <w:instrText xml:space="preserve"> </w:instrText>
      </w:r>
      <w:r w:rsidRPr="00921577">
        <w:rPr>
          <w:rStyle w:val="aff6"/>
          <w:rFonts w:hint="cs"/>
        </w:rPr>
        <w:instrText>REF</w:instrText>
      </w:r>
      <w:r w:rsidRPr="00921577">
        <w:rPr>
          <w:rStyle w:val="aff6"/>
          <w:rFonts w:hint="cs"/>
          <w:rtl/>
        </w:rPr>
        <w:instrText xml:space="preserve"> _</w:instrText>
      </w:r>
      <w:r w:rsidRPr="00921577">
        <w:rPr>
          <w:rStyle w:val="aff6"/>
          <w:rFonts w:hint="cs"/>
        </w:rPr>
        <w:instrText>Ref529518781 \r \h</w:instrText>
      </w:r>
      <w:r w:rsidRPr="00921577">
        <w:rPr>
          <w:rStyle w:val="aff6"/>
          <w:rtl/>
        </w:rPr>
        <w:instrText xml:space="preserve"> </w:instrText>
      </w:r>
      <w:r w:rsidRPr="00921577">
        <w:rPr>
          <w:rStyle w:val="aff6"/>
          <w:rtl/>
        </w:rPr>
      </w:r>
      <w:r w:rsidRPr="00921577">
        <w:rPr>
          <w:rStyle w:val="aff6"/>
          <w:rtl/>
        </w:rPr>
        <w:fldChar w:fldCharType="separate"/>
      </w:r>
      <w:r w:rsidR="00345400">
        <w:rPr>
          <w:rStyle w:val="aff6"/>
          <w:cs/>
        </w:rPr>
        <w:t>‎</w:t>
      </w:r>
      <w:r w:rsidR="00345400">
        <w:rPr>
          <w:rStyle w:val="aff6"/>
          <w:rtl/>
        </w:rPr>
        <w:t>מז)</w:t>
      </w:r>
      <w:r w:rsidRPr="00921577">
        <w:rPr>
          <w:rStyle w:val="aff6"/>
          <w:rtl/>
        </w:rPr>
        <w:fldChar w:fldCharType="end"/>
      </w:r>
      <w:r>
        <w:rPr>
          <w:rStyle w:val="affa"/>
          <w:rFonts w:hint="cs"/>
          <w:rtl/>
        </w:rPr>
        <w:t xml:space="preserve"> </w:t>
      </w:r>
      <w:r>
        <w:rPr>
          <w:rStyle w:val="afb"/>
          <w:rFonts w:hint="cs"/>
          <w:rtl/>
        </w:rPr>
        <w:t xml:space="preserve">בשם </w:t>
      </w:r>
      <w:r w:rsidRPr="00AB0D54">
        <w:rPr>
          <w:rStyle w:val="affa"/>
          <w:rFonts w:hint="cs"/>
          <w:rtl/>
        </w:rPr>
        <w:t>המהר"ם</w:t>
      </w:r>
      <w:r w:rsidRPr="00112618">
        <w:rPr>
          <w:rStyle w:val="afb"/>
          <w:rFonts w:hint="cs"/>
          <w:rtl/>
        </w:rPr>
        <w:t>].</w:t>
      </w:r>
      <w:bookmarkEnd w:id="9070"/>
    </w:p>
    <w:p w14:paraId="33DA9397" w14:textId="77777777" w:rsidR="00D95C52" w:rsidRPr="00325622" w:rsidRDefault="00D95C52" w:rsidP="006D6D32">
      <w:pPr>
        <w:pStyle w:val="a3"/>
        <w:rPr>
          <w:rtl/>
        </w:rPr>
      </w:pPr>
      <w:bookmarkStart w:id="9071" w:name="_Toc529739059"/>
      <w:bookmarkStart w:id="9072" w:name="_Toc19390220"/>
      <w:bookmarkStart w:id="9073" w:name="_Toc19393717"/>
      <w:r>
        <w:rPr>
          <w:rFonts w:hint="cs"/>
          <w:rtl/>
        </w:rPr>
        <w:t>דברי השער"י דבכל החזקה הוא דין לומר שהשינוי היה בזמן מאוחר ואינו סברא</w:t>
      </w:r>
      <w:bookmarkEnd w:id="9071"/>
      <w:bookmarkEnd w:id="9072"/>
      <w:bookmarkEnd w:id="9073"/>
    </w:p>
    <w:p w14:paraId="635CD268" w14:textId="77777777" w:rsidR="00D95C52" w:rsidRDefault="00D95C52" w:rsidP="00223668">
      <w:pPr>
        <w:pStyle w:val="a0"/>
        <w:rPr>
          <w:rtl/>
        </w:rPr>
      </w:pPr>
      <w:r>
        <w:rPr>
          <w:rFonts w:hint="cs"/>
          <w:rtl/>
        </w:rPr>
        <w:t xml:space="preserve">וביאר </w:t>
      </w:r>
      <w:r w:rsidRPr="00592BD5">
        <w:rPr>
          <w:rStyle w:val="af9"/>
          <w:rFonts w:hint="cs"/>
          <w:rtl/>
        </w:rPr>
        <w:t xml:space="preserve">השער"י </w:t>
      </w:r>
      <w:r w:rsidRPr="00592BD5">
        <w:rPr>
          <w:rStyle w:val="af7"/>
          <w:rFonts w:eastAsia="Guttman Hodes" w:hint="cs"/>
          <w:rtl/>
        </w:rPr>
        <w:t>(שער החזקות פ"ד ד"ה ונראה לענ"ד)</w:t>
      </w:r>
      <w:r>
        <w:rPr>
          <w:rFonts w:hint="cs"/>
          <w:rtl/>
        </w:rPr>
        <w:t xml:space="preserve"> דהביאור בכל חזקה דמעיקרא, דאין סברא לומר שהשינוי בא בזמן מאוחר יותר, ולא בזמן הספק, אלא דאמרה תורה לדון את זמן הספק, כפי מה שידוע ומוחזק לנו, ולכן אף שעכשיו היה ודאי שינוי בחזקה, מ"מ על זמן הספק אנו דנים שעדיין לא היה שינוי, וכשיש חזקה דמעיקרא כנגד חזקה דהשתא אזלינן בתר החזקה דמעיקרא. </w:t>
      </w:r>
    </w:p>
    <w:p w14:paraId="7B00D5B7" w14:textId="77777777" w:rsidR="00D95C52" w:rsidRDefault="00D95C52" w:rsidP="006D6D32">
      <w:pPr>
        <w:pStyle w:val="a3"/>
        <w:rPr>
          <w:rtl/>
        </w:rPr>
      </w:pPr>
      <w:bookmarkStart w:id="9074" w:name="_Toc529739060"/>
      <w:bookmarkStart w:id="9075" w:name="_Toc19390221"/>
      <w:bookmarkStart w:id="9076" w:name="_Toc19393718"/>
      <w:r>
        <w:rPr>
          <w:rFonts w:hint="cs"/>
          <w:rtl/>
        </w:rPr>
        <w:t>ביאור השער"י דבלא נתבררה בשעתה א"א לדון את זמן הספק ואין סברא לומר שעכשיו נשתנית</w:t>
      </w:r>
      <w:bookmarkEnd w:id="9074"/>
      <w:bookmarkEnd w:id="9075"/>
      <w:bookmarkEnd w:id="9076"/>
    </w:p>
    <w:p w14:paraId="6A13C9EF" w14:textId="77777777" w:rsidR="00D95C52" w:rsidRDefault="00D95C52" w:rsidP="00223668">
      <w:pPr>
        <w:pStyle w:val="a0"/>
        <w:rPr>
          <w:rtl/>
        </w:rPr>
      </w:pPr>
      <w:bookmarkStart w:id="9077" w:name="_Ref529090455"/>
      <w:r>
        <w:rPr>
          <w:rFonts w:hint="cs"/>
          <w:rtl/>
        </w:rPr>
        <w:t>אבל בחזקה שלא נתבררה בשעתה,</w:t>
      </w:r>
      <w:r w:rsidRPr="000D13EF">
        <w:rPr>
          <w:rFonts w:hint="cs"/>
          <w:rtl/>
        </w:rPr>
        <w:t xml:space="preserve"> </w:t>
      </w:r>
      <w:r>
        <w:rPr>
          <w:rFonts w:hint="cs"/>
          <w:rtl/>
        </w:rPr>
        <w:t xml:space="preserve">כתב </w:t>
      </w:r>
      <w:r w:rsidRPr="00592BD5">
        <w:rPr>
          <w:rStyle w:val="af9"/>
          <w:rFonts w:hint="cs"/>
          <w:rtl/>
        </w:rPr>
        <w:t>השער"י</w:t>
      </w:r>
      <w:r>
        <w:rPr>
          <w:rFonts w:hint="cs"/>
          <w:rtl/>
        </w:rPr>
        <w:t xml:space="preserve"> כיון שבזמן הספק לא היה ידוע לנו אם הבהמה כשרה או טריפה ולא הוחזק לנו בזה דבר, לכן אין כל סברא לומר שהשינוי היה בזמן המאוחר דהיינו סמוך לשחיטתה, והגבינות מותרות,  ולא קודם לכן, דהא עכשיו אנו רואים שהיא טריפה, ולא הוחזק לנו חזקה שאפשר להעמיד עליה. </w:t>
      </w:r>
      <w:bookmarkEnd w:id="9077"/>
    </w:p>
    <w:p w14:paraId="1436CACA" w14:textId="77777777" w:rsidR="00D95C52" w:rsidRDefault="00D95C52" w:rsidP="006D6D32">
      <w:pPr>
        <w:pStyle w:val="a3"/>
        <w:rPr>
          <w:rtl/>
        </w:rPr>
      </w:pPr>
      <w:bookmarkStart w:id="9078" w:name="_Toc529739061"/>
      <w:bookmarkStart w:id="9079" w:name="_Toc19390222"/>
      <w:bookmarkStart w:id="9080" w:name="_Toc19393719"/>
      <w:r>
        <w:rPr>
          <w:rFonts w:hint="cs"/>
          <w:rtl/>
        </w:rPr>
        <w:t>קושית השער"י דכל חזקה דהשתא היא חזקה שלא נתבררה בשעתה</w:t>
      </w:r>
      <w:bookmarkEnd w:id="9078"/>
      <w:bookmarkEnd w:id="9079"/>
      <w:bookmarkEnd w:id="9080"/>
    </w:p>
    <w:p w14:paraId="150E6F9E" w14:textId="77777777" w:rsidR="00D95C52" w:rsidRDefault="00D95C52" w:rsidP="00223668">
      <w:pPr>
        <w:pStyle w:val="a0"/>
        <w:rPr>
          <w:rtl/>
        </w:rPr>
      </w:pPr>
      <w:bookmarkStart w:id="9081" w:name="_Ref529091899"/>
      <w:r>
        <w:rPr>
          <w:rFonts w:hint="cs"/>
          <w:rtl/>
        </w:rPr>
        <w:t xml:space="preserve">אך הקשה </w:t>
      </w:r>
      <w:r w:rsidRPr="00AE706B">
        <w:rPr>
          <w:rStyle w:val="af9"/>
          <w:rFonts w:hint="cs"/>
          <w:rtl/>
        </w:rPr>
        <w:t>השער"י</w:t>
      </w:r>
      <w:r>
        <w:rPr>
          <w:rFonts w:hint="cs"/>
          <w:rtl/>
        </w:rPr>
        <w:t xml:space="preserve"> </w:t>
      </w:r>
      <w:r w:rsidRPr="00AE706B">
        <w:rPr>
          <w:rStyle w:val="af7"/>
          <w:rFonts w:eastAsia="Guttman Hodes" w:hint="cs"/>
          <w:rtl/>
        </w:rPr>
        <w:t xml:space="preserve">(שער החזקות סופ"ד ד"ה ומ"מ) </w:t>
      </w:r>
      <w:r>
        <w:rPr>
          <w:rFonts w:hint="cs"/>
          <w:rtl/>
        </w:rPr>
        <w:t>דמ"ש חזקה דהשתא מחזקה שלא נתבררה בשעתה, דהא כל חזקה דהשתא בשעת הספק לא היה מוחזק לנו דבר, דהא רק עכשיו נתגלית החזקה דהשתא, ומוכח דהגדר בחזקה דהשתא אלא דמי לחזקה דמעיקרא וצ"ל דקיבלו חז"ל שהוא דין בפנ"ע,</w:t>
      </w:r>
      <w:r w:rsidRPr="000D13EF">
        <w:rPr>
          <w:rFonts w:hint="cs"/>
          <w:rtl/>
        </w:rPr>
        <w:t xml:space="preserve"> </w:t>
      </w:r>
      <w:r>
        <w:rPr>
          <w:rFonts w:hint="cs"/>
          <w:rtl/>
        </w:rPr>
        <w:t xml:space="preserve">ודלא </w:t>
      </w:r>
      <w:r w:rsidRPr="00AE706B">
        <w:rPr>
          <w:rStyle w:val="af9"/>
          <w:rFonts w:hint="cs"/>
          <w:rtl/>
        </w:rPr>
        <w:t>כהש"ש</w:t>
      </w:r>
      <w:r>
        <w:rPr>
          <w:rFonts w:hint="cs"/>
          <w:rtl/>
        </w:rPr>
        <w:t xml:space="preserve"> </w:t>
      </w:r>
      <w:r w:rsidRPr="00AE706B">
        <w:rPr>
          <w:rStyle w:val="af7"/>
          <w:rFonts w:eastAsia="Guttman Hodes" w:hint="cs"/>
          <w:rtl/>
        </w:rPr>
        <w:t xml:space="preserve">(עי' אות </w:t>
      </w:r>
      <w:r w:rsidRPr="00AE706B">
        <w:rPr>
          <w:rStyle w:val="af7"/>
          <w:rFonts w:eastAsia="Guttman Hodes"/>
          <w:rtl/>
        </w:rPr>
        <w:fldChar w:fldCharType="begin"/>
      </w:r>
      <w:r w:rsidRPr="00AE706B">
        <w:rPr>
          <w:rStyle w:val="af7"/>
          <w:rFonts w:eastAsia="Guttman Hodes"/>
          <w:rtl/>
        </w:rPr>
        <w:instrText xml:space="preserve"> </w:instrText>
      </w:r>
      <w:r w:rsidRPr="00AE706B">
        <w:rPr>
          <w:rStyle w:val="af7"/>
          <w:rFonts w:eastAsia="Guttman Hodes" w:hint="cs"/>
        </w:rPr>
        <w:instrText>REF</w:instrText>
      </w:r>
      <w:r w:rsidRPr="00AE706B">
        <w:rPr>
          <w:rStyle w:val="af7"/>
          <w:rFonts w:eastAsia="Guttman Hodes" w:hint="cs"/>
          <w:rtl/>
        </w:rPr>
        <w:instrText xml:space="preserve"> _</w:instrText>
      </w:r>
      <w:r w:rsidRPr="00AE706B">
        <w:rPr>
          <w:rStyle w:val="af7"/>
          <w:rFonts w:eastAsia="Guttman Hodes" w:hint="cs"/>
        </w:rPr>
        <w:instrText>Ref529090509 \r \h</w:instrText>
      </w:r>
      <w:r w:rsidRPr="00AE706B">
        <w:rPr>
          <w:rStyle w:val="af7"/>
          <w:rFonts w:eastAsia="Guttman Hodes"/>
          <w:rtl/>
        </w:rPr>
        <w:instrText xml:space="preserve"> </w:instrText>
      </w:r>
      <w:r w:rsidRPr="00AE706B">
        <w:rPr>
          <w:rStyle w:val="af7"/>
          <w:rFonts w:eastAsia="Guttman Hodes"/>
          <w:rtl/>
        </w:rPr>
      </w:r>
      <w:r w:rsidRPr="00AE706B">
        <w:rPr>
          <w:rStyle w:val="af7"/>
          <w:rFonts w:eastAsia="Guttman Hodes"/>
          <w:rtl/>
        </w:rPr>
        <w:fldChar w:fldCharType="separate"/>
      </w:r>
      <w:r w:rsidR="00345400">
        <w:rPr>
          <w:rStyle w:val="af7"/>
          <w:rFonts w:eastAsia="Guttman Hodes"/>
          <w:cs/>
        </w:rPr>
        <w:t>‎</w:t>
      </w:r>
      <w:r w:rsidR="00345400">
        <w:rPr>
          <w:rStyle w:val="af7"/>
          <w:rFonts w:eastAsia="Guttman Hodes"/>
          <w:rtl/>
        </w:rPr>
        <w:t>טו)</w:t>
      </w:r>
      <w:r w:rsidRPr="00AE706B">
        <w:rPr>
          <w:rStyle w:val="af7"/>
          <w:rFonts w:eastAsia="Guttman Hodes"/>
          <w:rtl/>
        </w:rPr>
        <w:fldChar w:fldCharType="end"/>
      </w:r>
      <w:r>
        <w:rPr>
          <w:rFonts w:hint="cs"/>
          <w:rtl/>
        </w:rPr>
        <w:t>.</w:t>
      </w:r>
      <w:bookmarkEnd w:id="9081"/>
    </w:p>
    <w:p w14:paraId="65DCB7C5" w14:textId="77777777" w:rsidR="00D95C52" w:rsidRPr="003A2E6A" w:rsidRDefault="00D95C52" w:rsidP="00BF39B2">
      <w:pPr>
        <w:pStyle w:val="1"/>
        <w:rPr>
          <w:rtl/>
        </w:rPr>
      </w:pPr>
      <w:bookmarkStart w:id="9082" w:name="_Toc529704547"/>
      <w:bookmarkStart w:id="9083" w:name="_Toc529739062"/>
      <w:bookmarkStart w:id="9084" w:name="_Toc19390223"/>
      <w:bookmarkStart w:id="9085" w:name="_Toc19393720"/>
      <w:r>
        <w:rPr>
          <w:rFonts w:hint="cs"/>
          <w:rtl/>
        </w:rPr>
        <w:t>דברי השער"י</w:t>
      </w:r>
      <w:bookmarkEnd w:id="9082"/>
      <w:r>
        <w:rPr>
          <w:rFonts w:hint="cs"/>
          <w:rtl/>
        </w:rPr>
        <w:t xml:space="preserve"> דחזקת היתר מהני רק בדבר שהוחזק בפועל</w:t>
      </w:r>
      <w:bookmarkEnd w:id="9083"/>
      <w:bookmarkEnd w:id="9084"/>
      <w:bookmarkEnd w:id="9085"/>
    </w:p>
    <w:p w14:paraId="5F82E352" w14:textId="77777777" w:rsidR="00D95C52" w:rsidRPr="00B41131" w:rsidRDefault="00D95C52" w:rsidP="006D6D32">
      <w:pPr>
        <w:pStyle w:val="a3"/>
        <w:rPr>
          <w:rtl/>
        </w:rPr>
      </w:pPr>
      <w:bookmarkStart w:id="9086" w:name="_Toc529352404"/>
      <w:bookmarkStart w:id="9087" w:name="_Toc529445021"/>
      <w:bookmarkStart w:id="9088" w:name="_Toc529704548"/>
      <w:bookmarkStart w:id="9089" w:name="_Toc529739063"/>
      <w:bookmarkStart w:id="9090" w:name="_Toc19390224"/>
      <w:bookmarkStart w:id="9091" w:name="_Toc19393721"/>
      <w:r w:rsidRPr="00B41131">
        <w:rPr>
          <w:rFonts w:hint="cs"/>
          <w:rtl/>
        </w:rPr>
        <w:t>דברי השער"י דמדין רוב א"א להתיר בזאב ודרוסה דהוא ספק חיצוני ולא בגופה</w:t>
      </w:r>
      <w:bookmarkEnd w:id="9086"/>
      <w:bookmarkEnd w:id="9087"/>
      <w:bookmarkEnd w:id="9088"/>
      <w:bookmarkEnd w:id="9089"/>
      <w:bookmarkEnd w:id="9090"/>
      <w:bookmarkEnd w:id="9091"/>
    </w:p>
    <w:p w14:paraId="3B57AA10" w14:textId="77777777" w:rsidR="00D95C52" w:rsidRPr="00B41131" w:rsidRDefault="00D95C52" w:rsidP="00223668">
      <w:pPr>
        <w:pStyle w:val="a0"/>
        <w:rPr>
          <w:rtl/>
        </w:rPr>
      </w:pPr>
      <w:bookmarkStart w:id="9092" w:name="_Ref529479117"/>
      <w:r w:rsidRPr="00B41131">
        <w:rPr>
          <w:rFonts w:hint="cs"/>
          <w:rtl/>
        </w:rPr>
        <w:t xml:space="preserve">כתב </w:t>
      </w:r>
      <w:r w:rsidRPr="00B41131">
        <w:rPr>
          <w:rStyle w:val="af9"/>
          <w:rFonts w:hint="cs"/>
          <w:rtl/>
        </w:rPr>
        <w:t>השער"י</w:t>
      </w:r>
      <w:r w:rsidRPr="00B41131">
        <w:rPr>
          <w:rFonts w:hint="cs"/>
          <w:rtl/>
        </w:rPr>
        <w:t xml:space="preserve"> </w:t>
      </w:r>
      <w:r w:rsidRPr="00663882">
        <w:rPr>
          <w:rStyle w:val="af7"/>
          <w:rFonts w:eastAsia="Guttman Hodes" w:hint="cs"/>
          <w:rtl/>
        </w:rPr>
        <w:t>(שער החזקות פט"ז ד"ה ונלענ"ד)</w:t>
      </w:r>
      <w:r w:rsidRPr="00B41131">
        <w:rPr>
          <w:rFonts w:hint="cs"/>
          <w:rtl/>
        </w:rPr>
        <w:t xml:space="preserve"> </w:t>
      </w:r>
      <w:r>
        <w:rPr>
          <w:rFonts w:hint="cs"/>
          <w:rtl/>
        </w:rPr>
        <w:t>דב</w:t>
      </w:r>
      <w:r w:rsidRPr="00B41131">
        <w:rPr>
          <w:rFonts w:hint="cs"/>
          <w:rtl/>
        </w:rPr>
        <w:t xml:space="preserve">גבינות </w:t>
      </w:r>
      <w:r>
        <w:rPr>
          <w:rFonts w:hint="cs"/>
          <w:rtl/>
        </w:rPr>
        <w:t>דמעמידים על החזקה מכח הרוב</w:t>
      </w:r>
      <w:r>
        <w:rPr>
          <w:rStyle w:val="af1"/>
          <w:rtl/>
        </w:rPr>
        <w:footnoteReference w:id="64"/>
      </w:r>
      <w:r>
        <w:rPr>
          <w:rFonts w:hint="cs"/>
          <w:rtl/>
        </w:rPr>
        <w:t xml:space="preserve">, היינו כיון שהגבינות </w:t>
      </w:r>
      <w:r w:rsidRPr="00B41131">
        <w:rPr>
          <w:rFonts w:hint="cs"/>
          <w:rtl/>
        </w:rPr>
        <w:t>הוחזקו בהיתר בפועל</w:t>
      </w:r>
      <w:r>
        <w:rPr>
          <w:rFonts w:hint="cs"/>
          <w:rtl/>
        </w:rPr>
        <w:t xml:space="preserve">, אבל בגמ' לעיל </w:t>
      </w:r>
      <w:r w:rsidRPr="00663882">
        <w:rPr>
          <w:rStyle w:val="af7"/>
          <w:rFonts w:eastAsia="Guttman Hodes" w:hint="cs"/>
          <w:rtl/>
        </w:rPr>
        <w:t xml:space="preserve">(ט.) </w:t>
      </w:r>
      <w:r>
        <w:rPr>
          <w:rFonts w:hint="cs"/>
          <w:rtl/>
        </w:rPr>
        <w:t>בנטל זאב בני מעיים דאמר רב הונא דבהמה ש</w:t>
      </w:r>
      <w:r w:rsidRPr="00B41131">
        <w:rPr>
          <w:rFonts w:hint="cs"/>
          <w:rtl/>
        </w:rPr>
        <w:t xml:space="preserve">נשחטה היא בחזקת היתר הוא מדין רוב, דהבהמה מותרת מכח חזקה דמעיקרא, דמעמידים אותה בחזקתה שאינה טריפה, דיש לה חזקה מכח רוב, </w:t>
      </w:r>
      <w:r>
        <w:rPr>
          <w:rFonts w:hint="cs"/>
          <w:rtl/>
        </w:rPr>
        <w:t xml:space="preserve">אך לא חשיב שיש לבהמה </w:t>
      </w:r>
      <w:r w:rsidRPr="00B41131">
        <w:rPr>
          <w:rFonts w:hint="cs"/>
          <w:rtl/>
        </w:rPr>
        <w:t>חזקת היתר מחיים, כיון דלא הייתה לבהמה חזקת היתר בפועל, ואף  לאחר שנשחטה אין על הבשר חזקת היתר, אלא דמהני החזקה להתיר ספק שנולד אחר השחיטה, כיון שמשעת השחיטה קודם שנולד הספק, היה היתר אכילה מחמת הרוב, ואין בכח הספק לשנות את דין ההיתר.</w:t>
      </w:r>
      <w:bookmarkEnd w:id="9092"/>
    </w:p>
    <w:p w14:paraId="2D240985" w14:textId="77777777" w:rsidR="00D95C52" w:rsidRPr="00A71131" w:rsidRDefault="00D95C52" w:rsidP="00BF39B2">
      <w:pPr>
        <w:pStyle w:val="1"/>
        <w:rPr>
          <w:rtl/>
        </w:rPr>
      </w:pPr>
      <w:bookmarkStart w:id="9093" w:name="_Toc529352408"/>
      <w:bookmarkStart w:id="9094" w:name="_Toc529445024"/>
      <w:bookmarkStart w:id="9095" w:name="_Toc529704549"/>
      <w:bookmarkStart w:id="9096" w:name="_Toc529739064"/>
      <w:bookmarkStart w:id="9097" w:name="_Toc19390225"/>
      <w:bookmarkStart w:id="9098" w:name="_Toc19393722"/>
      <w:r w:rsidRPr="00A71131">
        <w:rPr>
          <w:rFonts w:hint="cs"/>
          <w:rtl/>
        </w:rPr>
        <w:t xml:space="preserve">ביאור השער"י בפלוגתת התוס' ורבינו יונה </w:t>
      </w:r>
      <w:bookmarkEnd w:id="9093"/>
      <w:bookmarkEnd w:id="9094"/>
      <w:r>
        <w:rPr>
          <w:rFonts w:hint="cs"/>
          <w:rtl/>
        </w:rPr>
        <w:t>בחזקה מכח רוב</w:t>
      </w:r>
      <w:bookmarkEnd w:id="9095"/>
      <w:bookmarkEnd w:id="9096"/>
      <w:bookmarkEnd w:id="9097"/>
      <w:bookmarkEnd w:id="9098"/>
    </w:p>
    <w:p w14:paraId="5A8E07C2" w14:textId="77777777" w:rsidR="00D95C52" w:rsidRPr="00A71131" w:rsidRDefault="00D95C52" w:rsidP="006D6D32">
      <w:pPr>
        <w:pStyle w:val="a3"/>
        <w:rPr>
          <w:rtl/>
        </w:rPr>
      </w:pPr>
      <w:bookmarkStart w:id="9099" w:name="_Toc529352409"/>
      <w:bookmarkStart w:id="9100" w:name="_Toc529445025"/>
      <w:bookmarkStart w:id="9101" w:name="_Toc529704550"/>
      <w:bookmarkStart w:id="9102" w:name="_Toc529739065"/>
      <w:bookmarkStart w:id="9103" w:name="_Toc19390226"/>
      <w:bookmarkStart w:id="9104" w:name="_Toc19393723"/>
      <w:r w:rsidRPr="00A71131">
        <w:rPr>
          <w:rFonts w:hint="cs"/>
          <w:rtl/>
        </w:rPr>
        <w:t>דברי השער"י דיש חילוק בין חזקה שלא היה שינוי לחזקה שהספק מתי היה השינוי דאינה אלימא</w:t>
      </w:r>
      <w:bookmarkEnd w:id="9099"/>
      <w:bookmarkEnd w:id="9100"/>
      <w:bookmarkEnd w:id="9101"/>
      <w:bookmarkEnd w:id="9102"/>
      <w:bookmarkEnd w:id="9103"/>
      <w:bookmarkEnd w:id="9104"/>
    </w:p>
    <w:p w14:paraId="15CC9284" w14:textId="77777777" w:rsidR="00D95C52" w:rsidRPr="008224E8" w:rsidRDefault="00D95C52" w:rsidP="00223668">
      <w:pPr>
        <w:pStyle w:val="a0"/>
        <w:rPr>
          <w:rtl/>
        </w:rPr>
      </w:pPr>
      <w:bookmarkStart w:id="9105" w:name="_Ref523042717"/>
      <w:r w:rsidRPr="008224E8">
        <w:rPr>
          <w:rFonts w:hint="cs"/>
          <w:rtl/>
        </w:rPr>
        <w:t xml:space="preserve">בביאור פלוגתת </w:t>
      </w:r>
      <w:r w:rsidRPr="008224E8">
        <w:rPr>
          <w:rStyle w:val="af9"/>
          <w:rFonts w:hint="cs"/>
          <w:rtl/>
        </w:rPr>
        <w:t xml:space="preserve">התוס' </w:t>
      </w:r>
      <w:r w:rsidRPr="008224E8">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Ref529121640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ז)</w:t>
      </w:r>
      <w:r>
        <w:rPr>
          <w:rStyle w:val="af7"/>
          <w:rFonts w:eastAsia="Guttman Hodes"/>
          <w:rtl/>
        </w:rPr>
        <w:fldChar w:fldCharType="end"/>
      </w:r>
      <w:r w:rsidRPr="008224E8">
        <w:rPr>
          <w:rStyle w:val="af7"/>
          <w:rFonts w:eastAsia="Guttman Hodes" w:hint="cs"/>
          <w:rtl/>
        </w:rPr>
        <w:t xml:space="preserve"> </w:t>
      </w:r>
      <w:r w:rsidRPr="008224E8">
        <w:rPr>
          <w:rStyle w:val="af9"/>
          <w:rFonts w:hint="cs"/>
          <w:rtl/>
        </w:rPr>
        <w:t>ורבינו יונה</w:t>
      </w:r>
      <w:r w:rsidRPr="008224E8">
        <w:rPr>
          <w:rFonts w:hint="cs"/>
          <w:rtl/>
        </w:rPr>
        <w:t xml:space="preserve"> </w:t>
      </w:r>
      <w:r w:rsidRPr="008224E8">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Ref529129544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Pr>
          <w:rStyle w:val="af7"/>
          <w:rFonts w:eastAsia="Guttman Hodes"/>
          <w:rtl/>
        </w:rPr>
        <w:fldChar w:fldCharType="end"/>
      </w:r>
      <w:r>
        <w:rPr>
          <w:rStyle w:val="af7"/>
          <w:rFonts w:eastAsia="Guttman Hodes" w:hint="cs"/>
          <w:rtl/>
        </w:rPr>
        <w:t xml:space="preserve"> </w:t>
      </w:r>
      <w:r w:rsidRPr="008224E8">
        <w:rPr>
          <w:rFonts w:hint="cs"/>
          <w:rtl/>
        </w:rPr>
        <w:t xml:space="preserve">בגבינות, כתב </w:t>
      </w:r>
      <w:r w:rsidRPr="008224E8">
        <w:rPr>
          <w:rStyle w:val="af9"/>
          <w:rFonts w:hint="cs"/>
          <w:rtl/>
        </w:rPr>
        <w:t>השער"י</w:t>
      </w:r>
      <w:r w:rsidRPr="008224E8">
        <w:rPr>
          <w:rFonts w:hint="cs"/>
          <w:rtl/>
        </w:rPr>
        <w:t xml:space="preserve"> </w:t>
      </w:r>
      <w:r w:rsidRPr="008224E8">
        <w:rPr>
          <w:rStyle w:val="af7"/>
          <w:rFonts w:eastAsia="Guttman Hodes" w:hint="cs"/>
          <w:rtl/>
        </w:rPr>
        <w:t>(שער החזקות פט"ז ד"ה וראוי לבאר)</w:t>
      </w:r>
      <w:r w:rsidRPr="008224E8">
        <w:rPr>
          <w:rFonts w:hint="cs"/>
          <w:rtl/>
        </w:rPr>
        <w:t xml:space="preserve"> דחזקה מתחלקת לב' אופנים, הא' חזקה אלימא דיש ב' מקרים בחזקה, הא' במקום שלא ראינו כל שינוי, שהיא חזקה אלימתא, דמספק א"א לומר שנעשה שינוי, והב' במקום שנעשה שינוי והנדון מתי אירע השינוי.</w:t>
      </w:r>
      <w:bookmarkEnd w:id="9105"/>
    </w:p>
    <w:p w14:paraId="641DA127" w14:textId="77777777" w:rsidR="00D95C52" w:rsidRPr="00A71131" w:rsidRDefault="00D95C52" w:rsidP="006D6D32">
      <w:pPr>
        <w:pStyle w:val="a3"/>
        <w:rPr>
          <w:rtl/>
        </w:rPr>
      </w:pPr>
      <w:bookmarkStart w:id="9106" w:name="_Toc529352410"/>
      <w:bookmarkStart w:id="9107" w:name="_Toc529445026"/>
      <w:bookmarkStart w:id="9108" w:name="_Toc529704551"/>
      <w:bookmarkStart w:id="9109" w:name="_Toc529739066"/>
      <w:bookmarkStart w:id="9110" w:name="_Toc19390227"/>
      <w:bookmarkStart w:id="9111" w:name="_Toc19393724"/>
      <w:r w:rsidRPr="00A71131">
        <w:rPr>
          <w:rFonts w:hint="cs"/>
          <w:rtl/>
        </w:rPr>
        <w:t xml:space="preserve">ביאור השער"י בתוס' </w:t>
      </w:r>
      <w:r>
        <w:rPr>
          <w:rFonts w:hint="cs"/>
          <w:rtl/>
        </w:rPr>
        <w:t>ד</w:t>
      </w:r>
      <w:r w:rsidRPr="00A71131">
        <w:rPr>
          <w:rFonts w:hint="cs"/>
          <w:rtl/>
        </w:rPr>
        <w:t>בגבינות ש</w:t>
      </w:r>
      <w:r>
        <w:rPr>
          <w:rFonts w:hint="cs"/>
          <w:rtl/>
        </w:rPr>
        <w:t xml:space="preserve">היא </w:t>
      </w:r>
      <w:r w:rsidRPr="00A71131">
        <w:rPr>
          <w:rFonts w:hint="cs"/>
          <w:rtl/>
        </w:rPr>
        <w:t>ודאי טריפה</w:t>
      </w:r>
      <w:bookmarkEnd w:id="9106"/>
      <w:bookmarkEnd w:id="9107"/>
      <w:r>
        <w:rPr>
          <w:rFonts w:hint="cs"/>
          <w:rtl/>
        </w:rPr>
        <w:t xml:space="preserve"> אין לחזקה דמעיקרא עדיפות על החזקה דהשתא</w:t>
      </w:r>
      <w:bookmarkEnd w:id="9108"/>
      <w:bookmarkEnd w:id="9109"/>
      <w:bookmarkEnd w:id="9110"/>
      <w:bookmarkEnd w:id="9111"/>
    </w:p>
    <w:p w14:paraId="5FBC2EC8" w14:textId="77777777" w:rsidR="00D95C52" w:rsidRPr="008A0ADC" w:rsidRDefault="00D95C52" w:rsidP="00223668">
      <w:pPr>
        <w:pStyle w:val="a0"/>
        <w:rPr>
          <w:rtl/>
        </w:rPr>
      </w:pPr>
      <w:bookmarkStart w:id="9112" w:name="_Toc529352411"/>
      <w:bookmarkStart w:id="9113" w:name="_Toc529445027"/>
      <w:r w:rsidRPr="008A0ADC">
        <w:rPr>
          <w:rFonts w:hint="cs"/>
          <w:rtl/>
        </w:rPr>
        <w:t xml:space="preserve">וכתב </w:t>
      </w:r>
      <w:r w:rsidRPr="008A0ADC">
        <w:rPr>
          <w:rStyle w:val="af9"/>
          <w:rFonts w:hint="cs"/>
          <w:rtl/>
        </w:rPr>
        <w:t>השער"י</w:t>
      </w:r>
      <w:r>
        <w:rPr>
          <w:rStyle w:val="af9"/>
          <w:rFonts w:hint="cs"/>
          <w:rtl/>
        </w:rPr>
        <w:t xml:space="preserve"> </w:t>
      </w:r>
      <w:r w:rsidRPr="00CC5831">
        <w:rPr>
          <w:rFonts w:hint="cs"/>
          <w:rtl/>
        </w:rPr>
        <w:t xml:space="preserve">דדעת </w:t>
      </w:r>
      <w:r w:rsidRPr="008A0ADC">
        <w:rPr>
          <w:rStyle w:val="af9"/>
          <w:rFonts w:hint="cs"/>
          <w:rtl/>
        </w:rPr>
        <w:t xml:space="preserve">התוס' </w:t>
      </w:r>
      <w:r>
        <w:rPr>
          <w:rFonts w:hint="cs"/>
          <w:rtl/>
        </w:rPr>
        <w:t>ד</w:t>
      </w:r>
      <w:r w:rsidRPr="008A0ADC">
        <w:rPr>
          <w:rFonts w:hint="cs"/>
          <w:rtl/>
        </w:rPr>
        <w:t xml:space="preserve">בגבינות שיש שינוי לפנינו דהבהמה ודאי טריפה, דכיון שלא התבררה לנו החזקה, אלא רק </w:t>
      </w:r>
      <w:r>
        <w:rPr>
          <w:rFonts w:hint="cs"/>
          <w:rtl/>
        </w:rPr>
        <w:t>נהגנו ב</w:t>
      </w:r>
      <w:r w:rsidRPr="008A0ADC">
        <w:rPr>
          <w:rFonts w:hint="cs"/>
          <w:rtl/>
        </w:rPr>
        <w:t>חזקת דין שהבהמה כשרה</w:t>
      </w:r>
      <w:r>
        <w:rPr>
          <w:rFonts w:hint="cs"/>
          <w:rtl/>
        </w:rPr>
        <w:t>, וכיון שהחזקה דמעיקרא היא רק חזקת הנהגת הדין, אין אין לה עדיפות על החזקה דהשתא</w:t>
      </w:r>
      <w:r w:rsidRPr="008A0ADC">
        <w:rPr>
          <w:rFonts w:hint="cs"/>
          <w:rtl/>
        </w:rPr>
        <w:t xml:space="preserve">, </w:t>
      </w:r>
      <w:r>
        <w:rPr>
          <w:rFonts w:hint="cs"/>
          <w:rtl/>
        </w:rPr>
        <w:t xml:space="preserve">ולכן </w:t>
      </w:r>
      <w:r w:rsidRPr="008A0ADC">
        <w:rPr>
          <w:rFonts w:hint="cs"/>
          <w:rtl/>
        </w:rPr>
        <w:t>לא מהני חזקה זו במקום ריעותא</w:t>
      </w:r>
      <w:r>
        <w:rPr>
          <w:rFonts w:hint="cs"/>
          <w:rtl/>
        </w:rPr>
        <w:t xml:space="preserve"> שהיא החזקה דהשתא, ודוקא חזקה גמורה שנתבררה בשעתה, מהני אף במקום ריעותא, דילפינן מבית המנוגע דחזקה דמעיקרא עדיפא, על החזקה דהשתא שהיא כהריעותא.</w:t>
      </w:r>
    </w:p>
    <w:p w14:paraId="515B91C9" w14:textId="77777777" w:rsidR="00D95C52" w:rsidRPr="00442474" w:rsidRDefault="00D95C52" w:rsidP="006D6D32">
      <w:pPr>
        <w:pStyle w:val="a3"/>
        <w:rPr>
          <w:rtl/>
        </w:rPr>
      </w:pPr>
      <w:bookmarkStart w:id="9114" w:name="_Toc529704552"/>
      <w:bookmarkStart w:id="9115" w:name="_Toc529739067"/>
      <w:bookmarkStart w:id="9116" w:name="_Toc19390228"/>
      <w:bookmarkStart w:id="9117" w:name="_Toc19393725"/>
      <w:r w:rsidRPr="00442474">
        <w:rPr>
          <w:rFonts w:hint="cs"/>
          <w:rtl/>
        </w:rPr>
        <w:t>ביאור השער"י ברבינו יונה דאף בגבינות אפשר לתלות דנטרפה בשחיטה ואין חסרון בחזקה</w:t>
      </w:r>
      <w:bookmarkEnd w:id="9112"/>
      <w:bookmarkEnd w:id="9113"/>
      <w:bookmarkEnd w:id="9114"/>
      <w:bookmarkEnd w:id="9115"/>
      <w:bookmarkEnd w:id="9116"/>
      <w:bookmarkEnd w:id="9117"/>
    </w:p>
    <w:p w14:paraId="40F4B1C6" w14:textId="77777777" w:rsidR="00D95C52" w:rsidRDefault="00D95C52" w:rsidP="00223668">
      <w:pPr>
        <w:pStyle w:val="a0"/>
        <w:rPr>
          <w:rtl/>
        </w:rPr>
      </w:pPr>
      <w:bookmarkStart w:id="9118" w:name="_Ref529479183"/>
      <w:bookmarkStart w:id="9119" w:name="_Toc529352412"/>
      <w:bookmarkStart w:id="9120" w:name="_Toc529445028"/>
      <w:r w:rsidRPr="002D3EB9">
        <w:rPr>
          <w:rFonts w:hint="cs"/>
          <w:rtl/>
        </w:rPr>
        <w:t xml:space="preserve">ובדעת </w:t>
      </w:r>
      <w:r w:rsidRPr="002D3EB9">
        <w:rPr>
          <w:rStyle w:val="af9"/>
          <w:rFonts w:hint="cs"/>
          <w:rtl/>
        </w:rPr>
        <w:t>רבינו יונה</w:t>
      </w:r>
      <w:r w:rsidRPr="002D3EB9">
        <w:rPr>
          <w:rFonts w:hint="cs"/>
          <w:rtl/>
        </w:rPr>
        <w:t xml:space="preserve"> </w:t>
      </w:r>
      <w:r>
        <w:rPr>
          <w:rStyle w:val="af7"/>
          <w:rFonts w:eastAsia="Guttman Hodes" w:hint="cs"/>
          <w:rtl/>
        </w:rPr>
        <w:t>(</w:t>
      </w:r>
      <w:r w:rsidRPr="008224E8">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Ref529129544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Pr>
          <w:rStyle w:val="af7"/>
          <w:rFonts w:eastAsia="Guttman Hodes"/>
          <w:rtl/>
        </w:rPr>
        <w:fldChar w:fldCharType="end"/>
      </w:r>
      <w:r>
        <w:rPr>
          <w:rStyle w:val="af7"/>
          <w:rFonts w:eastAsia="Guttman Hodes" w:hint="cs"/>
          <w:rtl/>
        </w:rPr>
        <w:t xml:space="preserve"> </w:t>
      </w:r>
      <w:r w:rsidRPr="002D3EB9">
        <w:rPr>
          <w:rFonts w:hint="cs"/>
          <w:rtl/>
        </w:rPr>
        <w:t xml:space="preserve">ביאר </w:t>
      </w:r>
      <w:r w:rsidRPr="002D3EB9">
        <w:rPr>
          <w:rStyle w:val="af9"/>
          <w:rFonts w:hint="cs"/>
          <w:rtl/>
        </w:rPr>
        <w:t xml:space="preserve">השער"י </w:t>
      </w:r>
      <w:r w:rsidRPr="002D3EB9">
        <w:rPr>
          <w:rFonts w:hint="cs"/>
          <w:rtl/>
        </w:rPr>
        <w:t>ד</w:t>
      </w:r>
      <w:r>
        <w:rPr>
          <w:rFonts w:hint="cs"/>
          <w:rtl/>
        </w:rPr>
        <w:t xml:space="preserve">כיון דס"ל דדוקא </w:t>
      </w:r>
      <w:r w:rsidRPr="002D3EB9">
        <w:rPr>
          <w:rFonts w:hint="cs"/>
          <w:rtl/>
        </w:rPr>
        <w:t xml:space="preserve">במקום שאפשר לתלות, שנטרפה בשעת </w:t>
      </w:r>
      <w:r w:rsidRPr="000F02A3">
        <w:rPr>
          <w:rFonts w:hint="cs"/>
          <w:rtl/>
        </w:rPr>
        <w:t xml:space="preserve">השחיטה, </w:t>
      </w:r>
      <w:r>
        <w:rPr>
          <w:rFonts w:hint="cs"/>
          <w:rtl/>
        </w:rPr>
        <w:t xml:space="preserve">שלא יצאה מחזקתה מחיים, מהני החזקה דמעיקרא </w:t>
      </w:r>
      <w:r w:rsidRPr="00A814E3">
        <w:rPr>
          <w:rStyle w:val="afb"/>
          <w:rFonts w:hint="cs"/>
          <w:rtl/>
        </w:rPr>
        <w:t>[מכח הרוב]</w:t>
      </w:r>
      <w:r>
        <w:rPr>
          <w:rFonts w:hint="cs"/>
          <w:rtl/>
        </w:rPr>
        <w:t xml:space="preserve">, </w:t>
      </w:r>
      <w:r w:rsidRPr="000F02A3">
        <w:rPr>
          <w:rFonts w:hint="cs"/>
          <w:rtl/>
        </w:rPr>
        <w:t xml:space="preserve">אף שהחזקה דהשתא היא דהבהמה טריפה, מ"מ </w:t>
      </w:r>
      <w:r>
        <w:rPr>
          <w:rFonts w:hint="cs"/>
          <w:rtl/>
        </w:rPr>
        <w:t>כיון ש</w:t>
      </w:r>
      <w:r w:rsidRPr="002D3EB9">
        <w:rPr>
          <w:rFonts w:hint="cs"/>
          <w:rtl/>
        </w:rPr>
        <w:t xml:space="preserve">יתכן שאירע כן בשעת השחיטה, </w:t>
      </w:r>
      <w:r>
        <w:rPr>
          <w:rFonts w:hint="cs"/>
          <w:rtl/>
        </w:rPr>
        <w:t>א"כ החזקה דהשתא אינה עושה</w:t>
      </w:r>
      <w:r w:rsidRPr="002D3EB9">
        <w:rPr>
          <w:rFonts w:hint="cs"/>
          <w:rtl/>
        </w:rPr>
        <w:t xml:space="preserve"> ריעותא בחזקה</w:t>
      </w:r>
      <w:r>
        <w:rPr>
          <w:rFonts w:hint="cs"/>
          <w:rtl/>
        </w:rPr>
        <w:t xml:space="preserve"> דמעיקרא </w:t>
      </w:r>
      <w:r w:rsidRPr="00A814E3">
        <w:rPr>
          <w:rStyle w:val="afb"/>
          <w:rFonts w:hint="cs"/>
          <w:rtl/>
        </w:rPr>
        <w:t>[מכח הרוב]</w:t>
      </w:r>
      <w:r>
        <w:rPr>
          <w:rStyle w:val="afb"/>
          <w:rFonts w:hint="cs"/>
          <w:rtl/>
        </w:rPr>
        <w:t xml:space="preserve"> </w:t>
      </w:r>
      <w:r>
        <w:rPr>
          <w:rFonts w:hint="cs"/>
          <w:rtl/>
        </w:rPr>
        <w:t>כלל</w:t>
      </w:r>
      <w:r w:rsidRPr="002D3EB9">
        <w:rPr>
          <w:rFonts w:hint="cs"/>
          <w:rtl/>
        </w:rPr>
        <w:t>, ולכן מהני החזקה להתיר</w:t>
      </w:r>
      <w:r>
        <w:rPr>
          <w:rFonts w:hint="cs"/>
          <w:rtl/>
        </w:rPr>
        <w:t xml:space="preserve">, דאין לנו לשנות את הדין שהוחזק לנו </w:t>
      </w:r>
      <w:r w:rsidRPr="00A814E3">
        <w:rPr>
          <w:rStyle w:val="afb"/>
          <w:rFonts w:hint="cs"/>
          <w:rtl/>
        </w:rPr>
        <w:t>[מכח הרוב]</w:t>
      </w:r>
      <w:r>
        <w:rPr>
          <w:rFonts w:hint="cs"/>
          <w:rtl/>
        </w:rPr>
        <w:t>,</w:t>
      </w:r>
      <w:r w:rsidRPr="000F02A3">
        <w:rPr>
          <w:rFonts w:hint="cs"/>
          <w:rtl/>
        </w:rPr>
        <w:t xml:space="preserve"> </w:t>
      </w:r>
      <w:r>
        <w:rPr>
          <w:rFonts w:hint="cs"/>
          <w:rtl/>
        </w:rPr>
        <w:t>ורק</w:t>
      </w:r>
      <w:r w:rsidRPr="000F02A3">
        <w:rPr>
          <w:rFonts w:hint="cs"/>
          <w:rtl/>
        </w:rPr>
        <w:t xml:space="preserve"> </w:t>
      </w:r>
      <w:r>
        <w:rPr>
          <w:rFonts w:hint="cs"/>
          <w:rtl/>
        </w:rPr>
        <w:t>ב</w:t>
      </w:r>
      <w:r w:rsidRPr="000F02A3">
        <w:rPr>
          <w:rFonts w:hint="cs"/>
          <w:rtl/>
        </w:rPr>
        <w:t>סירכא שנעשית מחיים,</w:t>
      </w:r>
      <w:r>
        <w:rPr>
          <w:rFonts w:hint="cs"/>
          <w:rtl/>
        </w:rPr>
        <w:t xml:space="preserve"> שכבר יצאה מחזקתה, ס"ל </w:t>
      </w:r>
      <w:r w:rsidRPr="00B20BAB">
        <w:rPr>
          <w:rStyle w:val="af9"/>
          <w:rFonts w:hint="cs"/>
          <w:rtl/>
        </w:rPr>
        <w:t>לרבינו יונה</w:t>
      </w:r>
      <w:r>
        <w:rPr>
          <w:rFonts w:hint="cs"/>
          <w:rtl/>
        </w:rPr>
        <w:t xml:space="preserve"> דא"א להעמיד על החזקה.</w:t>
      </w:r>
      <w:bookmarkEnd w:id="9118"/>
    </w:p>
    <w:p w14:paraId="0654C609" w14:textId="77777777" w:rsidR="00D95C52" w:rsidRDefault="00D95C52" w:rsidP="006D6D32">
      <w:pPr>
        <w:pStyle w:val="a3"/>
        <w:rPr>
          <w:rtl/>
        </w:rPr>
      </w:pPr>
      <w:bookmarkStart w:id="9121" w:name="_Toc529739068"/>
      <w:bookmarkStart w:id="9122" w:name="_Toc19390229"/>
      <w:bookmarkStart w:id="9123" w:name="_Toc19393726"/>
      <w:r>
        <w:rPr>
          <w:rFonts w:hint="cs"/>
          <w:rtl/>
        </w:rPr>
        <w:t>ביאור השער"י דלתוס' חזקה מכח רוב מהני רק שלא נחזיק ריעותא</w:t>
      </w:r>
      <w:bookmarkEnd w:id="9121"/>
      <w:bookmarkEnd w:id="9122"/>
      <w:bookmarkEnd w:id="9123"/>
    </w:p>
    <w:p w14:paraId="7D3DF738" w14:textId="77777777" w:rsidR="00D95C52" w:rsidRDefault="00D95C52" w:rsidP="00223668">
      <w:pPr>
        <w:pStyle w:val="a0"/>
        <w:rPr>
          <w:rtl/>
        </w:rPr>
      </w:pPr>
      <w:bookmarkStart w:id="9124" w:name="_Ref529478745"/>
      <w:r>
        <w:rPr>
          <w:rFonts w:hint="cs"/>
          <w:rtl/>
        </w:rPr>
        <w:t xml:space="preserve">ובהא דס"ל </w:t>
      </w:r>
      <w:r w:rsidRPr="004C45CC">
        <w:rPr>
          <w:rStyle w:val="af9"/>
          <w:rFonts w:hint="cs"/>
          <w:rtl/>
        </w:rPr>
        <w:t xml:space="preserve">להתוס' </w:t>
      </w:r>
      <w:r w:rsidRPr="007F2D83">
        <w:rPr>
          <w:rStyle w:val="af7"/>
          <w:rFonts w:eastAsia="Guttman Hodes" w:hint="cs"/>
          <w:rtl/>
        </w:rPr>
        <w:t xml:space="preserve">(עי' אות </w:t>
      </w:r>
      <w:r w:rsidRPr="007F2D83">
        <w:rPr>
          <w:rStyle w:val="af7"/>
          <w:rFonts w:eastAsia="Guttman Hodes"/>
          <w:rtl/>
        </w:rPr>
        <w:fldChar w:fldCharType="begin"/>
      </w:r>
      <w:r w:rsidRPr="007F2D83">
        <w:rPr>
          <w:rStyle w:val="af7"/>
          <w:rFonts w:eastAsia="Guttman Hodes"/>
          <w:rtl/>
        </w:rPr>
        <w:instrText xml:space="preserve"> </w:instrText>
      </w:r>
      <w:r w:rsidRPr="007F2D83">
        <w:rPr>
          <w:rStyle w:val="af7"/>
          <w:rFonts w:eastAsia="Guttman Hodes" w:hint="cs"/>
        </w:rPr>
        <w:instrText>REF</w:instrText>
      </w:r>
      <w:r w:rsidRPr="007F2D83">
        <w:rPr>
          <w:rStyle w:val="af7"/>
          <w:rFonts w:eastAsia="Guttman Hodes" w:hint="cs"/>
          <w:rtl/>
        </w:rPr>
        <w:instrText xml:space="preserve"> _</w:instrText>
      </w:r>
      <w:r w:rsidRPr="007F2D83">
        <w:rPr>
          <w:rStyle w:val="af7"/>
          <w:rFonts w:eastAsia="Guttman Hodes" w:hint="cs"/>
        </w:rPr>
        <w:instrText>Ref529121640 \r \h</w:instrText>
      </w:r>
      <w:r w:rsidRPr="007F2D83">
        <w:rPr>
          <w:rStyle w:val="af7"/>
          <w:rFonts w:eastAsia="Guttman Hodes"/>
          <w:rtl/>
        </w:rPr>
        <w:instrText xml:space="preserve"> </w:instrText>
      </w:r>
      <w:r w:rsidRPr="007F2D83">
        <w:rPr>
          <w:rStyle w:val="af7"/>
          <w:rFonts w:eastAsia="Guttman Hodes"/>
          <w:rtl/>
        </w:rPr>
      </w:r>
      <w:r w:rsidRPr="007F2D83">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7F2D83">
        <w:rPr>
          <w:rStyle w:val="af7"/>
          <w:rFonts w:eastAsia="Guttman Hodes"/>
          <w:rtl/>
        </w:rPr>
        <w:fldChar w:fldCharType="end"/>
      </w:r>
      <w:r>
        <w:rPr>
          <w:rFonts w:hint="cs"/>
          <w:rtl/>
        </w:rPr>
        <w:t xml:space="preserve"> דלא אמרינן חזקה מכח רוב, ביאר </w:t>
      </w:r>
      <w:r w:rsidRPr="004C45CC">
        <w:rPr>
          <w:rStyle w:val="af9"/>
          <w:rFonts w:hint="cs"/>
          <w:rtl/>
        </w:rPr>
        <w:t xml:space="preserve">השער"י </w:t>
      </w:r>
      <w:r w:rsidRPr="004C45CC">
        <w:rPr>
          <w:rStyle w:val="af7"/>
          <w:rFonts w:eastAsia="Guttman Hodes" w:hint="cs"/>
          <w:rtl/>
        </w:rPr>
        <w:t>(שער החזקות פט"ז ד"ה והנה נתבאר)</w:t>
      </w:r>
      <w:r>
        <w:rPr>
          <w:rFonts w:hint="cs"/>
          <w:rtl/>
        </w:rPr>
        <w:t xml:space="preserve"> דדוקא במקום שאפשר לתלות שהריעותא נעשית לאחר השחיטה</w:t>
      </w:r>
      <w:r w:rsidRPr="004C45CC">
        <w:rPr>
          <w:rStyle w:val="afb"/>
          <w:rFonts w:hint="cs"/>
          <w:rtl/>
        </w:rPr>
        <w:t xml:space="preserve">, [כזאב שנטל בני מעיים, דתלינן שהזאב ניקבם ואין כל ריעותא], </w:t>
      </w:r>
      <w:r>
        <w:rPr>
          <w:rFonts w:hint="cs"/>
          <w:rtl/>
        </w:rPr>
        <w:t xml:space="preserve">אפשר להעמיד את הבהמה על החזקה מכח הרוב, אבל בנמצאת טריפה בודאי, והספק הוא האם נטרפה לפני שנחלבו ממנה הגבינות, או שנטרפה אחר שנחלבו ממנה הגבינות, בזה ס"ל </w:t>
      </w:r>
      <w:r w:rsidRPr="004C45CC">
        <w:rPr>
          <w:rStyle w:val="af9"/>
          <w:rFonts w:hint="cs"/>
          <w:rtl/>
        </w:rPr>
        <w:t>להתוס'</w:t>
      </w:r>
      <w:r>
        <w:rPr>
          <w:rFonts w:hint="cs"/>
          <w:rtl/>
        </w:rPr>
        <w:t xml:space="preserve"> דלא אמרינן חזקה מכח רוב, וביאר </w:t>
      </w:r>
      <w:r w:rsidRPr="00D52338">
        <w:rPr>
          <w:rStyle w:val="af9"/>
          <w:rFonts w:hint="cs"/>
          <w:rtl/>
        </w:rPr>
        <w:t>השער"י</w:t>
      </w:r>
      <w:r>
        <w:rPr>
          <w:rFonts w:hint="cs"/>
          <w:rtl/>
        </w:rPr>
        <w:t xml:space="preserve"> דחזקה מכח רוב אינה כשאר החזקות, אלא היא מהני שלא נחזיק ריעותא </w:t>
      </w:r>
      <w:r w:rsidRPr="007350BF">
        <w:rPr>
          <w:rStyle w:val="afb"/>
          <w:rFonts w:hint="cs"/>
          <w:rtl/>
        </w:rPr>
        <w:t>[מדין חזקה דהשתא]</w:t>
      </w:r>
      <w:r>
        <w:rPr>
          <w:rStyle w:val="af1"/>
          <w:rtl/>
        </w:rPr>
        <w:footnoteReference w:id="65"/>
      </w:r>
      <w:r>
        <w:rPr>
          <w:rFonts w:hint="cs"/>
          <w:rtl/>
        </w:rPr>
        <w:t>.</w:t>
      </w:r>
      <w:bookmarkEnd w:id="9124"/>
      <w:r>
        <w:rPr>
          <w:rFonts w:hint="cs"/>
          <w:rtl/>
        </w:rPr>
        <w:t xml:space="preserve"> </w:t>
      </w:r>
    </w:p>
    <w:p w14:paraId="4D422923" w14:textId="77777777" w:rsidR="00C27C5A" w:rsidRPr="00C27C5A" w:rsidRDefault="00C27C5A" w:rsidP="006D6D32">
      <w:pPr>
        <w:pStyle w:val="a3"/>
        <w:rPr>
          <w:rtl/>
        </w:rPr>
      </w:pPr>
    </w:p>
    <w:p w14:paraId="7E30FF0D" w14:textId="77777777" w:rsidR="00C27C5A" w:rsidRPr="00C27C5A" w:rsidRDefault="00C27C5A" w:rsidP="006D6D32">
      <w:pPr>
        <w:pStyle w:val="a3"/>
        <w:rPr>
          <w:rtl/>
        </w:rPr>
      </w:pPr>
    </w:p>
    <w:p w14:paraId="38B57FAC" w14:textId="77777777" w:rsidR="00D95C52" w:rsidRPr="00C945A6" w:rsidRDefault="00D95C52" w:rsidP="00BF39B2">
      <w:pPr>
        <w:pStyle w:val="1"/>
        <w:rPr>
          <w:rtl/>
        </w:rPr>
      </w:pPr>
      <w:bookmarkStart w:id="9125" w:name="_Toc529704553"/>
      <w:bookmarkStart w:id="9126" w:name="_Toc529739069"/>
      <w:bookmarkStart w:id="9127" w:name="_Toc19390230"/>
      <w:bookmarkStart w:id="9128" w:name="_Toc19393727"/>
      <w:r w:rsidRPr="00C945A6">
        <w:rPr>
          <w:rFonts w:hint="cs"/>
          <w:rtl/>
        </w:rPr>
        <w:t>ביאור השער"י בדין חזקה מכח רוב במקום ריעותא</w:t>
      </w:r>
      <w:bookmarkEnd w:id="9119"/>
      <w:bookmarkEnd w:id="9120"/>
      <w:bookmarkEnd w:id="9125"/>
      <w:bookmarkEnd w:id="9126"/>
      <w:bookmarkEnd w:id="9127"/>
      <w:bookmarkEnd w:id="9128"/>
    </w:p>
    <w:p w14:paraId="25EFBD55" w14:textId="77777777" w:rsidR="00D95C52" w:rsidRPr="00C945A6" w:rsidRDefault="00D95C52" w:rsidP="006D6D32">
      <w:pPr>
        <w:pStyle w:val="a3"/>
        <w:rPr>
          <w:rtl/>
        </w:rPr>
      </w:pPr>
      <w:bookmarkStart w:id="9129" w:name="_Toc529352413"/>
      <w:bookmarkStart w:id="9130" w:name="_Toc529445029"/>
      <w:bookmarkStart w:id="9131" w:name="_Toc529704554"/>
      <w:bookmarkStart w:id="9132" w:name="_Toc529739070"/>
      <w:bookmarkStart w:id="9133" w:name="_Toc19390231"/>
      <w:bookmarkStart w:id="9134" w:name="_Toc19393728"/>
      <w:r w:rsidRPr="00C945A6">
        <w:rPr>
          <w:rFonts w:hint="cs"/>
          <w:rtl/>
        </w:rPr>
        <w:t>ביאור השער"י ברמ"א דכשהספק אם הריעותא עושה טריפה לא מהני חזקה מכח רוב</w:t>
      </w:r>
      <w:bookmarkEnd w:id="9129"/>
      <w:bookmarkEnd w:id="9130"/>
      <w:bookmarkEnd w:id="9131"/>
      <w:bookmarkEnd w:id="9132"/>
      <w:bookmarkEnd w:id="9133"/>
      <w:bookmarkEnd w:id="9134"/>
    </w:p>
    <w:p w14:paraId="793F232B" w14:textId="77777777" w:rsidR="00D95C52" w:rsidRPr="00426950" w:rsidRDefault="00D95C52" w:rsidP="00223668">
      <w:pPr>
        <w:pStyle w:val="a0"/>
        <w:rPr>
          <w:rtl/>
        </w:rPr>
      </w:pPr>
      <w:bookmarkStart w:id="9135" w:name="_Toc529352414"/>
      <w:bookmarkStart w:id="9136" w:name="_Toc529445030"/>
      <w:r w:rsidRPr="00426950">
        <w:rPr>
          <w:rFonts w:hint="cs"/>
          <w:rtl/>
        </w:rPr>
        <w:t xml:space="preserve">וכתב </w:t>
      </w:r>
      <w:r w:rsidRPr="00426950">
        <w:rPr>
          <w:rStyle w:val="af9"/>
          <w:rFonts w:hint="cs"/>
          <w:rtl/>
        </w:rPr>
        <w:t>השער"י</w:t>
      </w:r>
      <w:r w:rsidRPr="00426950">
        <w:rPr>
          <w:rFonts w:hint="cs"/>
          <w:rtl/>
        </w:rPr>
        <w:t xml:space="preserve"> </w:t>
      </w:r>
      <w:r w:rsidRPr="00426950">
        <w:rPr>
          <w:rStyle w:val="af7"/>
          <w:rFonts w:eastAsia="Guttman Hodes" w:hint="cs"/>
          <w:rtl/>
        </w:rPr>
        <w:t xml:space="preserve">(שער החזקות פט"ז ד"ה והנה להלכה) </w:t>
      </w:r>
      <w:r w:rsidRPr="00426950">
        <w:rPr>
          <w:rFonts w:hint="cs"/>
          <w:rtl/>
        </w:rPr>
        <w:t xml:space="preserve">דמבואר </w:t>
      </w:r>
      <w:r w:rsidRPr="00426950">
        <w:rPr>
          <w:rStyle w:val="af9"/>
          <w:rFonts w:hint="cs"/>
          <w:rtl/>
        </w:rPr>
        <w:t>ברמ"א</w:t>
      </w:r>
      <w:r w:rsidRPr="00426950">
        <w:rPr>
          <w:rFonts w:hint="cs"/>
          <w:rtl/>
        </w:rPr>
        <w:t xml:space="preserve"> </w:t>
      </w:r>
      <w:r w:rsidRPr="00426950">
        <w:rPr>
          <w:rStyle w:val="af7"/>
          <w:rFonts w:eastAsia="Guttman Hodes" w:hint="cs"/>
          <w:rtl/>
        </w:rPr>
        <w:t>(סי' נ', סי' פ"א)</w:t>
      </w:r>
      <w:r w:rsidRPr="00426950">
        <w:rPr>
          <w:rFonts w:hint="cs"/>
          <w:rtl/>
        </w:rPr>
        <w:t xml:space="preserve"> דכמו שמהני חזקה מכח רוב לתלות בזאב, ולומר שלא הייתה כל ריעותא, וכן מהני</w:t>
      </w:r>
      <w:r>
        <w:rPr>
          <w:rFonts w:hint="cs"/>
          <w:rtl/>
        </w:rPr>
        <w:t xml:space="preserve"> בהוגלד פי המכה, להתיר את ה</w:t>
      </w:r>
      <w:r w:rsidRPr="00426950">
        <w:rPr>
          <w:rFonts w:hint="cs"/>
          <w:rtl/>
        </w:rPr>
        <w:t xml:space="preserve">גבינות </w:t>
      </w:r>
      <w:r>
        <w:rPr>
          <w:rFonts w:hint="cs"/>
          <w:rtl/>
        </w:rPr>
        <w:t xml:space="preserve">שנחלבו לפני הג' ימים האחרונים, [ודלא </w:t>
      </w:r>
      <w:r w:rsidRPr="000C7BE5">
        <w:rPr>
          <w:rStyle w:val="af9"/>
          <w:rFonts w:hint="cs"/>
          <w:rtl/>
        </w:rPr>
        <w:t>כתוס'</w:t>
      </w:r>
      <w:r>
        <w:rPr>
          <w:rFonts w:hint="cs"/>
          <w:rtl/>
        </w:rPr>
        <w:t xml:space="preserve">], דהיינו שיש כח בחזקה מכח רוב </w:t>
      </w:r>
      <w:r w:rsidRPr="00426950">
        <w:rPr>
          <w:rFonts w:hint="cs"/>
          <w:rtl/>
        </w:rPr>
        <w:t xml:space="preserve">לומר </w:t>
      </w:r>
      <w:r>
        <w:rPr>
          <w:rFonts w:hint="cs"/>
          <w:rtl/>
        </w:rPr>
        <w:t>ש</w:t>
      </w:r>
      <w:r w:rsidRPr="00426950">
        <w:rPr>
          <w:rFonts w:hint="cs"/>
          <w:rtl/>
        </w:rPr>
        <w:t>הריעותא</w:t>
      </w:r>
      <w:r>
        <w:rPr>
          <w:rFonts w:hint="cs"/>
          <w:rtl/>
        </w:rPr>
        <w:t xml:space="preserve"> הייתה לאחר שנחלבו הגבינות</w:t>
      </w:r>
      <w:r w:rsidRPr="00426950">
        <w:rPr>
          <w:rFonts w:hint="cs"/>
          <w:rtl/>
        </w:rPr>
        <w:t>, אבל במקום שהנדון הוא האם הריעותא נעשית באופן שמטריף את הבהמה או לא, דלא מהני חזקה מכח רוב להתיר, ולכן במקום שיש ריעותא מחיים, לא מהני החזקה</w:t>
      </w:r>
      <w:r>
        <w:rPr>
          <w:rFonts w:hint="cs"/>
          <w:rtl/>
        </w:rPr>
        <w:t xml:space="preserve"> מכח רוב</w:t>
      </w:r>
      <w:r w:rsidRPr="00426950">
        <w:rPr>
          <w:rFonts w:hint="cs"/>
          <w:rtl/>
        </w:rPr>
        <w:t xml:space="preserve"> לומר שאינה טריפה.</w:t>
      </w:r>
    </w:p>
    <w:p w14:paraId="063518CB" w14:textId="77777777" w:rsidR="00D95C52" w:rsidRPr="00C945A6" w:rsidRDefault="00D95C52" w:rsidP="006D6D32">
      <w:pPr>
        <w:pStyle w:val="a3"/>
        <w:rPr>
          <w:rtl/>
        </w:rPr>
      </w:pPr>
      <w:bookmarkStart w:id="9137" w:name="_Toc529704555"/>
      <w:bookmarkStart w:id="9138" w:name="_Toc529739071"/>
      <w:bookmarkStart w:id="9139" w:name="_Toc19390232"/>
      <w:bookmarkStart w:id="9140" w:name="_Toc19393729"/>
      <w:r w:rsidRPr="00C945A6">
        <w:rPr>
          <w:rFonts w:hint="cs"/>
          <w:rtl/>
        </w:rPr>
        <w:t>ביאור השער"י דבמקום ריעותא חשיב חזקה בטעות דדינה כרוב ואין רוב בבהמות עם ריעותא</w:t>
      </w:r>
      <w:bookmarkEnd w:id="9135"/>
      <w:bookmarkEnd w:id="9136"/>
      <w:bookmarkEnd w:id="9137"/>
      <w:bookmarkEnd w:id="9138"/>
      <w:bookmarkEnd w:id="9139"/>
      <w:bookmarkEnd w:id="9140"/>
    </w:p>
    <w:p w14:paraId="3E04D413" w14:textId="77777777" w:rsidR="00D95C52" w:rsidRPr="009A35DF" w:rsidRDefault="00D95C52" w:rsidP="00223668">
      <w:pPr>
        <w:pStyle w:val="a0"/>
      </w:pPr>
      <w:bookmarkStart w:id="9141" w:name="_Toc529445031"/>
      <w:bookmarkStart w:id="9142" w:name="_Toc529352415"/>
      <w:r w:rsidRPr="009A35DF">
        <w:rPr>
          <w:rFonts w:hint="cs"/>
          <w:rtl/>
        </w:rPr>
        <w:t xml:space="preserve">וביאר </w:t>
      </w:r>
      <w:r w:rsidRPr="009A35DF">
        <w:rPr>
          <w:rStyle w:val="af9"/>
          <w:rFonts w:hint="cs"/>
          <w:rtl/>
        </w:rPr>
        <w:t>השער"י</w:t>
      </w:r>
      <w:r w:rsidRPr="009A35DF">
        <w:rPr>
          <w:rFonts w:hint="cs"/>
          <w:rtl/>
        </w:rPr>
        <w:t xml:space="preserve"> דחזקה מכח רוב דינה  כרוב, וכיון שהגדר ברוב הוא שמצרפים את המציאות</w:t>
      </w:r>
      <w:r>
        <w:rPr>
          <w:rFonts w:hint="cs"/>
          <w:rtl/>
        </w:rPr>
        <w:t>,</w:t>
      </w:r>
      <w:r w:rsidRPr="009A35DF">
        <w:rPr>
          <w:rFonts w:hint="cs"/>
          <w:rtl/>
        </w:rPr>
        <w:t xml:space="preserve"> בטבע של הבהמות שאין בהם ריעותא, עם הבהמות שיש בהם ריעותא, אך אינם טריפות, דע"י כ</w:t>
      </w:r>
      <w:r>
        <w:rPr>
          <w:rFonts w:hint="cs"/>
          <w:rtl/>
        </w:rPr>
        <w:t>ל הבהמות הללו</w:t>
      </w:r>
      <w:r w:rsidRPr="009A35DF">
        <w:rPr>
          <w:rFonts w:hint="cs"/>
          <w:rtl/>
        </w:rPr>
        <w:t xml:space="preserve"> יש רוב כשרות, ולכן במקום שיש ריעותא לפנינו א"א לצרפה להרוב, דאינה בכלל הבהמות שאין בהם ריעותא, </w:t>
      </w:r>
      <w:r w:rsidRPr="009A35DF">
        <w:rPr>
          <w:rStyle w:val="afb"/>
          <w:rFonts w:hint="cs"/>
          <w:rtl/>
        </w:rPr>
        <w:t>[ובבהמות שיש ריעותא אין רוב],</w:t>
      </w:r>
      <w:r w:rsidRPr="009A35DF">
        <w:rPr>
          <w:rFonts w:hint="cs"/>
          <w:rtl/>
        </w:rPr>
        <w:t xml:space="preserve"> ולכן אין לה חזקת היתר, דהחזקה מכח הרוב הייתה בטעות. אבל במקום שאפש"ל שהריעותא היא לאחר השחיטה, לא יצאה הבהמה מהחזקה מכח הרוב, אף שהרוב עצמו אינו יכול להכריע אם הריעותא היא קודם השחיטה, או לאחריה, דמ"מ החזקה לא הייתה בטעות.</w:t>
      </w:r>
    </w:p>
    <w:p w14:paraId="5A48BCCF" w14:textId="77777777" w:rsidR="00D95C52" w:rsidRDefault="00D95C52" w:rsidP="00BF39B2">
      <w:pPr>
        <w:pStyle w:val="1"/>
        <w:rPr>
          <w:rtl/>
        </w:rPr>
      </w:pPr>
      <w:bookmarkStart w:id="9143" w:name="_Toc529704556"/>
      <w:bookmarkStart w:id="9144" w:name="_Toc529739072"/>
      <w:bookmarkStart w:id="9145" w:name="_Toc19390233"/>
      <w:bookmarkStart w:id="9146" w:name="_Toc19393730"/>
      <w:r>
        <w:rPr>
          <w:rFonts w:hint="cs"/>
          <w:rtl/>
        </w:rPr>
        <w:t>ביאור השער"י</w:t>
      </w:r>
      <w:bookmarkEnd w:id="9141"/>
      <w:bookmarkEnd w:id="9143"/>
      <w:r>
        <w:rPr>
          <w:rFonts w:hint="cs"/>
          <w:rtl/>
        </w:rPr>
        <w:t xml:space="preserve"> בדעת רבינו יונה בספק השקול וחזקה מכח רוב</w:t>
      </w:r>
      <w:bookmarkEnd w:id="9144"/>
      <w:bookmarkEnd w:id="9145"/>
      <w:bookmarkEnd w:id="9146"/>
    </w:p>
    <w:p w14:paraId="33803E39" w14:textId="77777777" w:rsidR="00D95C52" w:rsidRDefault="00D95C52" w:rsidP="006D6D32">
      <w:pPr>
        <w:pStyle w:val="a3"/>
        <w:rPr>
          <w:rtl/>
        </w:rPr>
      </w:pPr>
      <w:bookmarkStart w:id="9147" w:name="_Toc529739073"/>
      <w:bookmarkStart w:id="9148" w:name="_Toc19390234"/>
      <w:bookmarkStart w:id="9149" w:name="_Toc19393731"/>
      <w:r>
        <w:rPr>
          <w:rFonts w:hint="cs"/>
          <w:rtl/>
        </w:rPr>
        <w:t>קושית ה</w:t>
      </w:r>
      <w:r w:rsidR="00345400">
        <w:rPr>
          <w:rFonts w:hint="cs"/>
          <w:rtl/>
        </w:rPr>
        <w:t>פלתי</w:t>
      </w:r>
      <w:r>
        <w:rPr>
          <w:rFonts w:hint="cs"/>
          <w:rtl/>
        </w:rPr>
        <w:t xml:space="preserve"> בסתירת דברי הרשב"א דאסר בספק השקול והתיר בחזקה מכח רוב</w:t>
      </w:r>
      <w:bookmarkEnd w:id="9147"/>
      <w:bookmarkEnd w:id="9148"/>
      <w:bookmarkEnd w:id="9149"/>
    </w:p>
    <w:p w14:paraId="59DFCF32" w14:textId="77777777" w:rsidR="00D95C52" w:rsidRDefault="00D95C52" w:rsidP="00223668">
      <w:pPr>
        <w:pStyle w:val="a0"/>
        <w:rPr>
          <w:rtl/>
        </w:rPr>
      </w:pPr>
      <w:bookmarkStart w:id="9150" w:name="_Ref529479249"/>
      <w:r>
        <w:rPr>
          <w:rFonts w:hint="cs"/>
          <w:rtl/>
        </w:rPr>
        <w:t xml:space="preserve">הביא </w:t>
      </w:r>
      <w:r w:rsidRPr="00231A95">
        <w:rPr>
          <w:rStyle w:val="af9"/>
          <w:rFonts w:hint="cs"/>
          <w:rtl/>
        </w:rPr>
        <w:t>השער"י</w:t>
      </w:r>
      <w:r>
        <w:rPr>
          <w:rFonts w:hint="cs"/>
          <w:rtl/>
        </w:rPr>
        <w:t xml:space="preserve"> </w:t>
      </w:r>
      <w:r w:rsidRPr="00EA3A6D">
        <w:rPr>
          <w:rStyle w:val="af7"/>
          <w:rFonts w:eastAsia="Guttman Hodes" w:hint="cs"/>
          <w:rtl/>
        </w:rPr>
        <w:t>(שער החזקות פי"ז ד"ה והנה קשה)</w:t>
      </w:r>
      <w:r>
        <w:rPr>
          <w:rFonts w:hint="cs"/>
          <w:rtl/>
        </w:rPr>
        <w:t xml:space="preserve"> את קושית </w:t>
      </w:r>
      <w:r w:rsidRPr="00681E75">
        <w:rPr>
          <w:rStyle w:val="af9"/>
          <w:rFonts w:hint="cs"/>
          <w:rtl/>
        </w:rPr>
        <w:t>ה</w:t>
      </w:r>
      <w:r w:rsidR="00345400">
        <w:rPr>
          <w:rStyle w:val="af9"/>
          <w:rFonts w:hint="cs"/>
          <w:rtl/>
        </w:rPr>
        <w:t>פלתי</w:t>
      </w:r>
      <w:r w:rsidRPr="00681E75">
        <w:rPr>
          <w:rStyle w:val="af9"/>
          <w:rFonts w:hint="cs"/>
          <w:rtl/>
        </w:rPr>
        <w:t xml:space="preserve"> </w:t>
      </w:r>
      <w:r w:rsidRPr="00681E75">
        <w:rPr>
          <w:rStyle w:val="af7"/>
          <w:rFonts w:eastAsia="Guttman Hodes" w:hint="cs"/>
          <w:rtl/>
        </w:rPr>
        <w:t>(נ' א' ד"ה אבל הש"ך</w:t>
      </w:r>
      <w:r>
        <w:rPr>
          <w:rStyle w:val="af7"/>
          <w:rFonts w:eastAsia="Guttman Hodes" w:hint="cs"/>
          <w:rtl/>
        </w:rPr>
        <w:t>, הובאו דבריו לעיל סימן ג' אות ס"ד</w:t>
      </w:r>
      <w:r w:rsidRPr="00681E75">
        <w:rPr>
          <w:rStyle w:val="af7"/>
          <w:rFonts w:eastAsia="Guttman Hodes" w:hint="cs"/>
          <w:rtl/>
        </w:rPr>
        <w:t>)</w:t>
      </w:r>
      <w:r>
        <w:rPr>
          <w:rFonts w:hint="cs"/>
          <w:rtl/>
        </w:rPr>
        <w:t xml:space="preserve"> בסתירת דברי </w:t>
      </w:r>
      <w:r w:rsidRPr="00681E75">
        <w:rPr>
          <w:rStyle w:val="af9"/>
          <w:rFonts w:hint="cs"/>
          <w:rtl/>
        </w:rPr>
        <w:t>הרשב"א והר"ן</w:t>
      </w:r>
      <w:r>
        <w:rPr>
          <w:rFonts w:hint="cs"/>
          <w:rtl/>
        </w:rPr>
        <w:t xml:space="preserve"> בשם </w:t>
      </w:r>
      <w:r w:rsidRPr="00681E75">
        <w:rPr>
          <w:rStyle w:val="af9"/>
          <w:rFonts w:hint="cs"/>
          <w:rtl/>
        </w:rPr>
        <w:t>רבינו יונה</w:t>
      </w:r>
      <w:r>
        <w:rPr>
          <w:rFonts w:hint="cs"/>
          <w:rtl/>
        </w:rPr>
        <w:t xml:space="preserve"> </w:t>
      </w:r>
      <w:r w:rsidRPr="00EA3A6D">
        <w:rPr>
          <w:rStyle w:val="af7"/>
          <w:rFonts w:eastAsia="Guttman Hodes" w:hint="cs"/>
          <w:rtl/>
        </w:rPr>
        <w:t xml:space="preserve">(עי' אות </w:t>
      </w:r>
      <w:r w:rsidRPr="00EA3A6D">
        <w:rPr>
          <w:rStyle w:val="af7"/>
          <w:rFonts w:eastAsia="Guttman Hodes"/>
          <w:rtl/>
        </w:rPr>
        <w:fldChar w:fldCharType="begin"/>
      </w:r>
      <w:r w:rsidRPr="00EA3A6D">
        <w:rPr>
          <w:rStyle w:val="af7"/>
          <w:rFonts w:eastAsia="Guttman Hodes"/>
          <w:rtl/>
        </w:rPr>
        <w:instrText xml:space="preserve"> </w:instrText>
      </w:r>
      <w:r w:rsidRPr="00EA3A6D">
        <w:rPr>
          <w:rStyle w:val="af7"/>
          <w:rFonts w:eastAsia="Guttman Hodes" w:hint="cs"/>
        </w:rPr>
        <w:instrText>REF</w:instrText>
      </w:r>
      <w:r w:rsidRPr="00EA3A6D">
        <w:rPr>
          <w:rStyle w:val="af7"/>
          <w:rFonts w:eastAsia="Guttman Hodes" w:hint="cs"/>
          <w:rtl/>
        </w:rPr>
        <w:instrText xml:space="preserve"> _</w:instrText>
      </w:r>
      <w:r w:rsidRPr="00EA3A6D">
        <w:rPr>
          <w:rStyle w:val="af7"/>
          <w:rFonts w:eastAsia="Guttman Hodes" w:hint="cs"/>
        </w:rPr>
        <w:instrText>Ref529206479 \r \h</w:instrText>
      </w:r>
      <w:r w:rsidRPr="00EA3A6D">
        <w:rPr>
          <w:rStyle w:val="af7"/>
          <w:rFonts w:eastAsia="Guttman Hodes"/>
          <w:rtl/>
        </w:rPr>
        <w:instrText xml:space="preserve"> </w:instrText>
      </w:r>
      <w:r w:rsidRPr="00EA3A6D">
        <w:rPr>
          <w:rStyle w:val="af7"/>
          <w:rFonts w:eastAsia="Guttman Hodes"/>
          <w:rtl/>
        </w:rPr>
      </w:r>
      <w:r w:rsidRPr="00EA3A6D">
        <w:rPr>
          <w:rStyle w:val="af7"/>
          <w:rFonts w:eastAsia="Guttman Hodes"/>
          <w:rtl/>
        </w:rPr>
        <w:fldChar w:fldCharType="separate"/>
      </w:r>
      <w:r w:rsidR="00345400">
        <w:rPr>
          <w:rStyle w:val="af7"/>
          <w:rFonts w:eastAsia="Guttman Hodes"/>
          <w:cs/>
        </w:rPr>
        <w:t>‎</w:t>
      </w:r>
      <w:r w:rsidR="00345400">
        <w:rPr>
          <w:rStyle w:val="af7"/>
          <w:rFonts w:eastAsia="Guttman Hodes"/>
          <w:rtl/>
        </w:rPr>
        <w:t>סב)</w:t>
      </w:r>
      <w:r w:rsidRPr="00EA3A6D">
        <w:rPr>
          <w:rStyle w:val="af7"/>
          <w:rFonts w:eastAsia="Guttman Hodes"/>
          <w:rtl/>
        </w:rPr>
        <w:fldChar w:fldCharType="end"/>
      </w:r>
      <w:r>
        <w:rPr>
          <w:rFonts w:hint="cs"/>
          <w:rtl/>
        </w:rPr>
        <w:t xml:space="preserve"> דכתבו דדוקא במקום שאפש"ל דנטרפה הבהמה סמוך לשחיטה, הגבינות מותרות מדין חזקה מכח רוב, אבל בסירכא בריאה א"א להעמיד על חזקה מכח הרוב, כיון שמחיים יצאה מחזקתה, והא </w:t>
      </w:r>
      <w:r w:rsidRPr="004F5965">
        <w:rPr>
          <w:rStyle w:val="af9"/>
          <w:rFonts w:hint="cs"/>
          <w:rtl/>
        </w:rPr>
        <w:t>הרשב"א ל</w:t>
      </w:r>
      <w:r>
        <w:rPr>
          <w:rStyle w:val="af9"/>
          <w:rFonts w:hint="cs"/>
          <w:rtl/>
        </w:rPr>
        <w:t>עיל</w:t>
      </w:r>
      <w:r>
        <w:rPr>
          <w:rFonts w:hint="cs"/>
          <w:rtl/>
        </w:rPr>
        <w:t xml:space="preserve"> </w:t>
      </w:r>
      <w:r w:rsidRPr="004F5965">
        <w:rPr>
          <w:rStyle w:val="af7"/>
          <w:rFonts w:eastAsia="Guttman Hodes" w:hint="cs"/>
          <w:rtl/>
        </w:rPr>
        <w:t>(י. ד"ה ולענין)</w:t>
      </w:r>
      <w:r>
        <w:rPr>
          <w:rFonts w:hint="cs"/>
          <w:rtl/>
        </w:rPr>
        <w:t xml:space="preserve"> </w:t>
      </w:r>
      <w:r w:rsidRPr="004F5965">
        <w:rPr>
          <w:rStyle w:val="af9"/>
          <w:rFonts w:hint="cs"/>
          <w:rtl/>
        </w:rPr>
        <w:t>והר"ן</w:t>
      </w:r>
      <w:r w:rsidRPr="00DF3F85">
        <w:rPr>
          <w:rStyle w:val="af9"/>
          <w:rFonts w:hint="cs"/>
          <w:rtl/>
        </w:rPr>
        <w:t xml:space="preserve"> </w:t>
      </w:r>
      <w:r w:rsidRPr="00C85630">
        <w:rPr>
          <w:rStyle w:val="af9"/>
          <w:rFonts w:hint="cs"/>
          <w:rtl/>
        </w:rPr>
        <w:t>על הרי"ף</w:t>
      </w:r>
      <w:r>
        <w:rPr>
          <w:rFonts w:hint="cs"/>
          <w:rtl/>
        </w:rPr>
        <w:t xml:space="preserve"> </w:t>
      </w:r>
      <w:r w:rsidRPr="004F5965">
        <w:rPr>
          <w:rStyle w:val="af7"/>
          <w:rFonts w:eastAsia="Guttman Hodes" w:hint="cs"/>
          <w:rtl/>
        </w:rPr>
        <w:t>(ג. מדפי הרי"ף</w:t>
      </w:r>
      <w:r>
        <w:rPr>
          <w:rStyle w:val="af7"/>
          <w:rFonts w:eastAsia="Guttman Hodes" w:hint="cs"/>
          <w:rtl/>
        </w:rPr>
        <w:t xml:space="preserve"> ד"ה תניא</w:t>
      </w:r>
      <w:r w:rsidRPr="004F5965">
        <w:rPr>
          <w:rStyle w:val="af7"/>
          <w:rFonts w:eastAsia="Guttman Hodes" w:hint="cs"/>
          <w:rtl/>
        </w:rPr>
        <w:t>)</w:t>
      </w:r>
      <w:r>
        <w:rPr>
          <w:rFonts w:hint="cs"/>
          <w:rtl/>
        </w:rPr>
        <w:t xml:space="preserve"> כתבו בשם </w:t>
      </w:r>
      <w:r w:rsidRPr="004F5965">
        <w:rPr>
          <w:rStyle w:val="af9"/>
          <w:rFonts w:hint="cs"/>
          <w:rtl/>
        </w:rPr>
        <w:t>רבינו יונה</w:t>
      </w:r>
      <w:r>
        <w:rPr>
          <w:rFonts w:hint="cs"/>
          <w:rtl/>
        </w:rPr>
        <w:t xml:space="preserve"> דגף העוף שנשמט, ויש ספק אם נשמט קודם השחיטה או לאחריה, דאסור כיון שהוא ספק דאו' לחומרא, והרי גם בנשמט הגף אפש"ל דנטרפה סמוך לשחיטה ממה, ולא יצא העוף מחזקתו, ועיי"ש בדברי </w:t>
      </w:r>
      <w:r w:rsidRPr="00231A95">
        <w:rPr>
          <w:rStyle w:val="af9"/>
          <w:rFonts w:hint="cs"/>
          <w:rtl/>
        </w:rPr>
        <w:t>ה</w:t>
      </w:r>
      <w:r w:rsidR="00345400">
        <w:rPr>
          <w:rStyle w:val="af9"/>
          <w:rFonts w:hint="cs"/>
          <w:rtl/>
        </w:rPr>
        <w:t>פלתי</w:t>
      </w:r>
      <w:r>
        <w:rPr>
          <w:rFonts w:hint="cs"/>
          <w:rtl/>
        </w:rPr>
        <w:t xml:space="preserve"> </w:t>
      </w:r>
      <w:r>
        <w:rPr>
          <w:rStyle w:val="af7"/>
          <w:rFonts w:eastAsia="Guttman Hodes" w:hint="cs"/>
          <w:rtl/>
        </w:rPr>
        <w:t xml:space="preserve">(הובאו דבריו לעיל סימן ג' אות ס"ו) </w:t>
      </w:r>
      <w:r>
        <w:rPr>
          <w:rFonts w:hint="cs"/>
          <w:rtl/>
        </w:rPr>
        <w:t xml:space="preserve">במה שתירץ ובמה שתמה עליו </w:t>
      </w:r>
      <w:r w:rsidRPr="00231A95">
        <w:rPr>
          <w:rStyle w:val="af9"/>
          <w:rFonts w:hint="cs"/>
          <w:rtl/>
        </w:rPr>
        <w:t>בשער"י</w:t>
      </w:r>
      <w:r>
        <w:rPr>
          <w:rFonts w:hint="cs"/>
          <w:rtl/>
        </w:rPr>
        <w:t>.</w:t>
      </w:r>
      <w:bookmarkEnd w:id="9150"/>
    </w:p>
    <w:p w14:paraId="7A1C9DBB" w14:textId="77777777" w:rsidR="00D95C52" w:rsidRPr="00E7343D" w:rsidRDefault="00D95C52" w:rsidP="006D6D32">
      <w:pPr>
        <w:pStyle w:val="a3"/>
      </w:pPr>
      <w:bookmarkStart w:id="9151" w:name="_Toc529739074"/>
      <w:bookmarkStart w:id="9152" w:name="_Toc19390235"/>
      <w:bookmarkStart w:id="9153" w:name="_Toc19393732"/>
      <w:r>
        <w:rPr>
          <w:rFonts w:hint="cs"/>
          <w:rtl/>
        </w:rPr>
        <w:t>קושית השער"י דאי בגבינות שיש ריעותא ברורה התיר הרשב"א כ"ש בספק השקול</w:t>
      </w:r>
      <w:bookmarkEnd w:id="9151"/>
      <w:bookmarkEnd w:id="9152"/>
      <w:bookmarkEnd w:id="9153"/>
    </w:p>
    <w:p w14:paraId="36DC16B4" w14:textId="77777777" w:rsidR="00D95C52" w:rsidRDefault="00D95C52" w:rsidP="00223668">
      <w:pPr>
        <w:pStyle w:val="a0"/>
        <w:rPr>
          <w:rtl/>
        </w:rPr>
      </w:pPr>
      <w:r>
        <w:rPr>
          <w:rFonts w:hint="cs"/>
          <w:rtl/>
        </w:rPr>
        <w:t xml:space="preserve">והוסיף </w:t>
      </w:r>
      <w:r w:rsidRPr="00231A95">
        <w:rPr>
          <w:rStyle w:val="af9"/>
          <w:rFonts w:hint="cs"/>
          <w:rtl/>
        </w:rPr>
        <w:t>השער"י</w:t>
      </w:r>
      <w:r>
        <w:rPr>
          <w:rFonts w:hint="cs"/>
          <w:rtl/>
        </w:rPr>
        <w:t xml:space="preserve"> להקשות דבגבינות שהיא ריעותא ברורה דעכשיו היא ודאי טריפה, ואפ"ה מעמידים על החזקה מכח הרוב, וכ"ש בנשמט הגף דכתב </w:t>
      </w:r>
      <w:r w:rsidRPr="00231A95">
        <w:rPr>
          <w:rStyle w:val="af9"/>
          <w:rFonts w:hint="cs"/>
          <w:rtl/>
        </w:rPr>
        <w:t>הרשב"א</w:t>
      </w:r>
      <w:r>
        <w:rPr>
          <w:rFonts w:hint="cs"/>
          <w:rtl/>
        </w:rPr>
        <w:t xml:space="preserve"> להדיא דיתכן שאינה טריפה כלל דנשמט אחר השחיטה.</w:t>
      </w:r>
    </w:p>
    <w:p w14:paraId="345FD653" w14:textId="77777777" w:rsidR="00D95C52" w:rsidRDefault="00D95C52" w:rsidP="006D6D32">
      <w:pPr>
        <w:pStyle w:val="a3"/>
      </w:pPr>
      <w:bookmarkStart w:id="9154" w:name="_Toc529445032"/>
      <w:bookmarkStart w:id="9155" w:name="_Toc529704557"/>
      <w:bookmarkStart w:id="9156" w:name="_Toc529739075"/>
      <w:bookmarkStart w:id="9157" w:name="_Toc19390236"/>
      <w:bookmarkStart w:id="9158" w:name="_Toc19393733"/>
      <w:r>
        <w:rPr>
          <w:rFonts w:hint="cs"/>
          <w:rtl/>
        </w:rPr>
        <w:t>ביאור השער"י ברבינו יונה דכל שיצאה מהחזקה לשעה אחת א"א לומר דעכשיו נשתנה</w:t>
      </w:r>
      <w:bookmarkEnd w:id="9154"/>
      <w:bookmarkEnd w:id="9155"/>
      <w:bookmarkEnd w:id="9156"/>
      <w:bookmarkEnd w:id="9157"/>
      <w:bookmarkEnd w:id="9158"/>
    </w:p>
    <w:p w14:paraId="5BAE0D4F" w14:textId="77777777" w:rsidR="00D95C52" w:rsidRDefault="00D95C52" w:rsidP="00223668">
      <w:pPr>
        <w:pStyle w:val="a0"/>
        <w:rPr>
          <w:rtl/>
        </w:rPr>
      </w:pPr>
      <w:r>
        <w:rPr>
          <w:rFonts w:hint="cs"/>
          <w:rtl/>
        </w:rPr>
        <w:t xml:space="preserve">אלא ביאר </w:t>
      </w:r>
      <w:r w:rsidRPr="002C01FA">
        <w:rPr>
          <w:rStyle w:val="af9"/>
          <w:rFonts w:hint="cs"/>
          <w:rtl/>
        </w:rPr>
        <w:t>השער"י</w:t>
      </w:r>
      <w:r>
        <w:rPr>
          <w:rFonts w:hint="cs"/>
          <w:rtl/>
        </w:rPr>
        <w:t xml:space="preserve"> </w:t>
      </w:r>
      <w:r w:rsidRPr="002C01FA">
        <w:rPr>
          <w:rStyle w:val="af7"/>
          <w:rFonts w:eastAsia="Guttman Hodes" w:hint="cs"/>
          <w:rtl/>
        </w:rPr>
        <w:t>(שער החזקות פי"ז ד"ה ונלענ"ד בביאור)</w:t>
      </w:r>
      <w:r>
        <w:rPr>
          <w:rFonts w:hint="cs"/>
          <w:rtl/>
        </w:rPr>
        <w:t xml:space="preserve"> דכיון דס"ל </w:t>
      </w:r>
      <w:r>
        <w:rPr>
          <w:rStyle w:val="af9"/>
          <w:rFonts w:hint="cs"/>
          <w:rtl/>
        </w:rPr>
        <w:t>ל</w:t>
      </w:r>
      <w:r w:rsidRPr="002C01FA">
        <w:rPr>
          <w:rStyle w:val="af9"/>
          <w:rFonts w:hint="cs"/>
          <w:rtl/>
        </w:rPr>
        <w:t>רבינו יונה</w:t>
      </w:r>
      <w:r>
        <w:rPr>
          <w:rFonts w:hint="cs"/>
          <w:rtl/>
        </w:rPr>
        <w:t xml:space="preserve"> </w:t>
      </w:r>
      <w:r w:rsidRPr="00EA3A6D">
        <w:rPr>
          <w:rStyle w:val="af7"/>
          <w:rFonts w:eastAsia="Guttman Hodes" w:hint="cs"/>
          <w:rtl/>
        </w:rPr>
        <w:t xml:space="preserve">(עי' אות </w:t>
      </w:r>
      <w:r w:rsidRPr="00EA3A6D">
        <w:rPr>
          <w:rStyle w:val="af7"/>
          <w:rFonts w:eastAsia="Guttman Hodes"/>
          <w:rtl/>
        </w:rPr>
        <w:fldChar w:fldCharType="begin"/>
      </w:r>
      <w:r w:rsidRPr="00EA3A6D">
        <w:rPr>
          <w:rStyle w:val="af7"/>
          <w:rFonts w:eastAsia="Guttman Hodes"/>
          <w:rtl/>
        </w:rPr>
        <w:instrText xml:space="preserve"> </w:instrText>
      </w:r>
      <w:r w:rsidRPr="00EA3A6D">
        <w:rPr>
          <w:rStyle w:val="af7"/>
          <w:rFonts w:eastAsia="Guttman Hodes" w:hint="cs"/>
        </w:rPr>
        <w:instrText>REF</w:instrText>
      </w:r>
      <w:r w:rsidRPr="00EA3A6D">
        <w:rPr>
          <w:rStyle w:val="af7"/>
          <w:rFonts w:eastAsia="Guttman Hodes" w:hint="cs"/>
          <w:rtl/>
        </w:rPr>
        <w:instrText xml:space="preserve"> _</w:instrText>
      </w:r>
      <w:r w:rsidRPr="00EA3A6D">
        <w:rPr>
          <w:rStyle w:val="af7"/>
          <w:rFonts w:eastAsia="Guttman Hodes" w:hint="cs"/>
        </w:rPr>
        <w:instrText>Ref529206479 \r \h</w:instrText>
      </w:r>
      <w:r w:rsidRPr="00EA3A6D">
        <w:rPr>
          <w:rStyle w:val="af7"/>
          <w:rFonts w:eastAsia="Guttman Hodes"/>
          <w:rtl/>
        </w:rPr>
        <w:instrText xml:space="preserve"> </w:instrText>
      </w:r>
      <w:r w:rsidRPr="00EA3A6D">
        <w:rPr>
          <w:rStyle w:val="af7"/>
          <w:rFonts w:eastAsia="Guttman Hodes"/>
          <w:rtl/>
        </w:rPr>
      </w:r>
      <w:r w:rsidRPr="00EA3A6D">
        <w:rPr>
          <w:rStyle w:val="af7"/>
          <w:rFonts w:eastAsia="Guttman Hodes"/>
          <w:rtl/>
        </w:rPr>
        <w:fldChar w:fldCharType="separate"/>
      </w:r>
      <w:r w:rsidR="00345400">
        <w:rPr>
          <w:rStyle w:val="af7"/>
          <w:rFonts w:eastAsia="Guttman Hodes"/>
          <w:cs/>
        </w:rPr>
        <w:t>‎</w:t>
      </w:r>
      <w:r w:rsidR="00345400">
        <w:rPr>
          <w:rStyle w:val="af7"/>
          <w:rFonts w:eastAsia="Guttman Hodes"/>
          <w:rtl/>
        </w:rPr>
        <w:t>סב)</w:t>
      </w:r>
      <w:r w:rsidRPr="00EA3A6D">
        <w:rPr>
          <w:rStyle w:val="af7"/>
          <w:rFonts w:eastAsia="Guttman Hodes"/>
          <w:rtl/>
        </w:rPr>
        <w:fldChar w:fldCharType="end"/>
      </w:r>
      <w:r>
        <w:rPr>
          <w:rFonts w:hint="cs"/>
          <w:rtl/>
        </w:rPr>
        <w:t xml:space="preserve"> דבכל דבר שיצא מחזקתו מחיים א"א להעמידו על חזקתו הראשונה, לכן ס"ל דאף בדבר שיש בו קצת</w:t>
      </w:r>
      <w:r w:rsidRPr="009E55FF">
        <w:rPr>
          <w:rFonts w:hint="cs"/>
          <w:rtl/>
        </w:rPr>
        <w:t xml:space="preserve"> </w:t>
      </w:r>
      <w:r>
        <w:rPr>
          <w:rFonts w:hint="cs"/>
          <w:rtl/>
        </w:rPr>
        <w:t>שינוי, אף אם השינוי אינו מטריף את הבהמה, א"א להעמידו על חזקתו כיון שהיה בו שינוי ממה שהוחזק מעיקרא, ורק במקום שלא היה שינוי במצב שהחזקנו אותו, יכולה החזקה להכריע את הדין להעמידו כמו שהיה.</w:t>
      </w:r>
    </w:p>
    <w:p w14:paraId="3F4183C3" w14:textId="77777777" w:rsidR="00D95C52" w:rsidRPr="006C4B3D" w:rsidRDefault="00D95C52" w:rsidP="006D6D32">
      <w:pPr>
        <w:pStyle w:val="a3"/>
      </w:pPr>
      <w:bookmarkStart w:id="9159" w:name="_Toc529739076"/>
      <w:bookmarkStart w:id="9160" w:name="_Toc19390237"/>
      <w:bookmarkStart w:id="9161" w:name="_Toc19393734"/>
      <w:r>
        <w:rPr>
          <w:rFonts w:hint="cs"/>
          <w:rtl/>
        </w:rPr>
        <w:t>דברי השער"י דבגבינות שיצאה מחזקתה א"א לחלק את החזקה ולומר שאחר השחיטה נעשה שינוי</w:t>
      </w:r>
      <w:bookmarkEnd w:id="9159"/>
      <w:bookmarkEnd w:id="9160"/>
      <w:bookmarkEnd w:id="9161"/>
    </w:p>
    <w:p w14:paraId="4F68B78A" w14:textId="77777777" w:rsidR="00D95C52" w:rsidRDefault="00D95C52" w:rsidP="00223668">
      <w:pPr>
        <w:pStyle w:val="a0"/>
        <w:rPr>
          <w:rtl/>
        </w:rPr>
      </w:pPr>
      <w:r>
        <w:rPr>
          <w:rFonts w:hint="cs"/>
          <w:rtl/>
        </w:rPr>
        <w:t xml:space="preserve">וכן בגבינות בבהמה שנמצא בה סירכא בריאה, כתב </w:t>
      </w:r>
      <w:r w:rsidRPr="006C4B3D">
        <w:rPr>
          <w:rStyle w:val="af9"/>
          <w:rFonts w:hint="cs"/>
          <w:rtl/>
        </w:rPr>
        <w:t>השער"י</w:t>
      </w:r>
      <w:r>
        <w:rPr>
          <w:rFonts w:hint="cs"/>
          <w:rtl/>
        </w:rPr>
        <w:t xml:space="preserve"> דכיון  שיצאה הבהמה מחזקתה מחיים והספק הוא מתי נולדה הריעותא, ס"ל </w:t>
      </w:r>
      <w:r w:rsidRPr="00597018">
        <w:rPr>
          <w:rStyle w:val="af9"/>
          <w:rFonts w:hint="cs"/>
          <w:rtl/>
        </w:rPr>
        <w:t>לרבינו יונה</w:t>
      </w:r>
      <w:r>
        <w:rPr>
          <w:rFonts w:hint="cs"/>
          <w:rtl/>
        </w:rPr>
        <w:t xml:space="preserve"> דהגבינות אסורות, דכל שיצאה מחזקתה שעה אחת א"א לחלק את החזקה, ולומר שרק לאחר השחיטה נעשה השינוי, דכל מה שאפשר להעמיד את החזקה, הוא במקום שמעמידים דעכשיו נעשה השינוי.</w:t>
      </w:r>
    </w:p>
    <w:p w14:paraId="7F5611F4" w14:textId="77777777" w:rsidR="00D95C52" w:rsidRPr="00597018" w:rsidRDefault="00D95C52" w:rsidP="006D6D32">
      <w:pPr>
        <w:pStyle w:val="a3"/>
      </w:pPr>
      <w:bookmarkStart w:id="9162" w:name="_Toc529445033"/>
      <w:bookmarkStart w:id="9163" w:name="_Toc529704558"/>
      <w:bookmarkStart w:id="9164" w:name="_Toc529739077"/>
      <w:bookmarkStart w:id="9165" w:name="_Toc19390238"/>
      <w:bookmarkStart w:id="9166" w:name="_Toc19393735"/>
      <w:r>
        <w:rPr>
          <w:rFonts w:hint="cs"/>
          <w:rtl/>
        </w:rPr>
        <w:t>ביאור השער"י דהחזקה היא על כל העבר וכשיצאה מהחזקה בעבר א"א לחלק את הזמן</w:t>
      </w:r>
      <w:bookmarkEnd w:id="9162"/>
      <w:bookmarkEnd w:id="9163"/>
      <w:bookmarkEnd w:id="9164"/>
      <w:bookmarkEnd w:id="9165"/>
      <w:bookmarkEnd w:id="9166"/>
      <w:r>
        <w:rPr>
          <w:rFonts w:hint="cs"/>
          <w:rtl/>
        </w:rPr>
        <w:t xml:space="preserve"> </w:t>
      </w:r>
    </w:p>
    <w:p w14:paraId="23FBC244" w14:textId="77777777" w:rsidR="00D95C52" w:rsidRDefault="00D95C52" w:rsidP="00223668">
      <w:pPr>
        <w:pStyle w:val="a0"/>
        <w:rPr>
          <w:rtl/>
        </w:rPr>
      </w:pPr>
      <w:r>
        <w:rPr>
          <w:rFonts w:hint="cs"/>
          <w:rtl/>
        </w:rPr>
        <w:t xml:space="preserve">וביאר </w:t>
      </w:r>
      <w:r w:rsidRPr="00B269CA">
        <w:rPr>
          <w:rStyle w:val="af9"/>
          <w:rFonts w:hint="cs"/>
          <w:rtl/>
        </w:rPr>
        <w:t>השער"י</w:t>
      </w:r>
      <w:r>
        <w:rPr>
          <w:rFonts w:hint="cs"/>
          <w:rtl/>
        </w:rPr>
        <w:t xml:space="preserve"> דגדר חזקה אינה על העתיד אלא על זמן החזקה עכשיו, ובכל שעה מחזיקים שנשאר כמו שהיה קודם, וכשיש עכשיו ספק על הזמן שהיה אם השתנה, מעמידים על החזקה שלא השתנה, אבל במקום שודאי כבר היה שינוי, נתבטלה כל החזקה על הזמן שעבר, דא"א לחלק את הזמן שעבר, ולומר דבחלקו נשארה החזקה ובחלקו היה שינוי.</w:t>
      </w:r>
    </w:p>
    <w:p w14:paraId="0C5871AA" w14:textId="77777777" w:rsidR="00D95C52" w:rsidRDefault="00D95C52" w:rsidP="006D6D32">
      <w:pPr>
        <w:pStyle w:val="a3"/>
        <w:rPr>
          <w:rtl/>
        </w:rPr>
      </w:pPr>
      <w:bookmarkStart w:id="9167" w:name="_Toc529739078"/>
      <w:bookmarkStart w:id="9168" w:name="_Toc19390239"/>
      <w:bookmarkStart w:id="9169" w:name="_Toc19393736"/>
      <w:r>
        <w:rPr>
          <w:rFonts w:hint="cs"/>
          <w:rtl/>
        </w:rPr>
        <w:t>דברי השער"י דלדעת רבינו יונה יש כח בריעותא לבטל חזקה וכשאפש"ל שאין ריעותא יש חזקה</w:t>
      </w:r>
      <w:bookmarkEnd w:id="9167"/>
      <w:bookmarkEnd w:id="9168"/>
      <w:bookmarkEnd w:id="9169"/>
    </w:p>
    <w:p w14:paraId="380D3AC2" w14:textId="77777777" w:rsidR="00D95C52" w:rsidRPr="00172395" w:rsidRDefault="00D95C52" w:rsidP="00223668">
      <w:pPr>
        <w:pStyle w:val="a0"/>
        <w:rPr>
          <w:rtl/>
        </w:rPr>
      </w:pPr>
      <w:r>
        <w:rPr>
          <w:rFonts w:hint="cs"/>
          <w:rtl/>
        </w:rPr>
        <w:t xml:space="preserve">וכתב </w:t>
      </w:r>
      <w:r w:rsidRPr="00047F5F">
        <w:rPr>
          <w:rStyle w:val="af9"/>
          <w:rFonts w:hint="cs"/>
          <w:rtl/>
        </w:rPr>
        <w:t>השער"י</w:t>
      </w:r>
      <w:r>
        <w:rPr>
          <w:rFonts w:hint="cs"/>
          <w:rtl/>
        </w:rPr>
        <w:t xml:space="preserve"> דהיסוד של ב' הדינים </w:t>
      </w:r>
      <w:r w:rsidRPr="00047F5F">
        <w:rPr>
          <w:rStyle w:val="af9"/>
          <w:rFonts w:hint="cs"/>
          <w:rtl/>
        </w:rPr>
        <w:t>ברבינו יונה</w:t>
      </w:r>
      <w:r>
        <w:rPr>
          <w:rFonts w:hint="cs"/>
          <w:rtl/>
        </w:rPr>
        <w:t xml:space="preserve"> דאסר בנשמט הגף, ואסר את הגבינות בנמצאת סירכא בריאה, הוא יסוד אחד, דכל שנולדה ריעותא שיוצרת ספק בדין ומגרעת את מה שהוחזק לנו מעיקרא, יש בכח הריעותא לבטל את החזקה, דחשיב שיש ריעותא בכל הזמן שהוחזק לנו, כיון שכל הזמן שעבר חשיב כדבר אחד, וכן כשהיה שינוי במצב שהיה מעיקרא, א"א להעמיד על החזקה ולומר שהיה רק שינוי קטן </w:t>
      </w:r>
      <w:r w:rsidRPr="00047F5F">
        <w:rPr>
          <w:rStyle w:val="afb"/>
          <w:rFonts w:hint="cs"/>
          <w:rtl/>
        </w:rPr>
        <w:t>[שאינו מטריף]</w:t>
      </w:r>
      <w:r>
        <w:rPr>
          <w:rFonts w:hint="cs"/>
          <w:rtl/>
        </w:rPr>
        <w:t>, דהא המצב שהיה נשתנה לפנינו, ורק במקום שיתכן דעכשיו נעשית הריעותא, אבל לפני השחיטה לא היה שינוי ולא הייתה כל ריעותא, בכה"ג אי"ז ריעותא בחזקה עצמה, ומעמידים על החזקה.</w:t>
      </w:r>
    </w:p>
    <w:p w14:paraId="6E940090" w14:textId="77777777" w:rsidR="00D95C52" w:rsidRPr="00124643" w:rsidRDefault="00D95C52" w:rsidP="00BF39B2">
      <w:pPr>
        <w:pStyle w:val="1"/>
        <w:rPr>
          <w:rtl/>
        </w:rPr>
      </w:pPr>
      <w:bookmarkStart w:id="9170" w:name="_Toc529445034"/>
      <w:bookmarkStart w:id="9171" w:name="_Toc529704559"/>
      <w:bookmarkStart w:id="9172" w:name="_Toc529739079"/>
      <w:bookmarkStart w:id="9173" w:name="_Toc19390240"/>
      <w:bookmarkStart w:id="9174" w:name="_Toc19393737"/>
      <w:r w:rsidRPr="00124643">
        <w:rPr>
          <w:rFonts w:hint="cs"/>
          <w:rtl/>
        </w:rPr>
        <w:t>הביאור הא' בקוה"ע בדעת הרשב"א דע"י הרוב יש לה חזקה</w:t>
      </w:r>
      <w:bookmarkEnd w:id="9142"/>
      <w:bookmarkEnd w:id="9170"/>
      <w:bookmarkEnd w:id="9171"/>
      <w:bookmarkEnd w:id="9172"/>
      <w:bookmarkEnd w:id="9173"/>
      <w:bookmarkEnd w:id="9174"/>
    </w:p>
    <w:p w14:paraId="3EE67738" w14:textId="77777777" w:rsidR="00D95C52" w:rsidRPr="00124643" w:rsidRDefault="00D95C52" w:rsidP="006D6D32">
      <w:pPr>
        <w:pStyle w:val="a3"/>
        <w:rPr>
          <w:rtl/>
        </w:rPr>
      </w:pPr>
      <w:bookmarkStart w:id="9175" w:name="_Toc529352417"/>
      <w:bookmarkStart w:id="9176" w:name="_Toc529445036"/>
      <w:bookmarkStart w:id="9177" w:name="_Toc529704560"/>
      <w:bookmarkStart w:id="9178" w:name="_Toc529739080"/>
      <w:bookmarkStart w:id="9179" w:name="_Toc19390241"/>
      <w:bookmarkStart w:id="9180" w:name="_Toc19393738"/>
      <w:r w:rsidRPr="00124643">
        <w:rPr>
          <w:rFonts w:hint="cs"/>
          <w:rtl/>
        </w:rPr>
        <w:t>הביאור הא' בקוה"ע ברשב"א דע"י הרוב חשיב שיש עדים שהבהמה כשרה ונתבררה החזקה</w:t>
      </w:r>
      <w:bookmarkEnd w:id="9175"/>
      <w:bookmarkEnd w:id="9176"/>
      <w:bookmarkEnd w:id="9177"/>
      <w:bookmarkEnd w:id="9178"/>
      <w:bookmarkEnd w:id="9179"/>
      <w:bookmarkEnd w:id="9180"/>
    </w:p>
    <w:p w14:paraId="2A787031" w14:textId="77777777" w:rsidR="00D95C52" w:rsidRPr="00124643" w:rsidRDefault="00D95C52" w:rsidP="00223668">
      <w:pPr>
        <w:pStyle w:val="a0"/>
        <w:rPr>
          <w:rtl/>
        </w:rPr>
      </w:pPr>
      <w:bookmarkStart w:id="9181" w:name="_Ref523043313"/>
      <w:r>
        <w:rPr>
          <w:rFonts w:hint="cs"/>
          <w:rtl/>
        </w:rPr>
        <w:t>ב</w:t>
      </w:r>
      <w:r w:rsidRPr="00124643">
        <w:rPr>
          <w:rFonts w:hint="cs"/>
          <w:rtl/>
        </w:rPr>
        <w:t xml:space="preserve">דעת </w:t>
      </w:r>
      <w:r w:rsidRPr="00124643">
        <w:rPr>
          <w:rStyle w:val="af9"/>
          <w:rFonts w:hint="cs"/>
          <w:rtl/>
        </w:rPr>
        <w:t>הרשב"א</w:t>
      </w:r>
      <w:r>
        <w:rPr>
          <w:rFonts w:hint="cs"/>
          <w:rtl/>
        </w:rPr>
        <w:t xml:space="preserve"> </w:t>
      </w:r>
      <w:r w:rsidRPr="007F2D83">
        <w:rPr>
          <w:rStyle w:val="af7"/>
          <w:rFonts w:eastAsia="Guttman Hodes" w:hint="cs"/>
          <w:rtl/>
        </w:rPr>
        <w:t xml:space="preserve">(עי' אות </w:t>
      </w:r>
      <w:r w:rsidRPr="007F2D83">
        <w:rPr>
          <w:rStyle w:val="af7"/>
          <w:rFonts w:eastAsia="Guttman Hodes"/>
          <w:rtl/>
        </w:rPr>
        <w:fldChar w:fldCharType="begin"/>
      </w:r>
      <w:r w:rsidRPr="007F2D83">
        <w:rPr>
          <w:rStyle w:val="af7"/>
          <w:rFonts w:eastAsia="Guttman Hodes"/>
          <w:rtl/>
        </w:rPr>
        <w:instrText xml:space="preserve"> </w:instrText>
      </w:r>
      <w:r w:rsidRPr="007F2D83">
        <w:rPr>
          <w:rStyle w:val="af7"/>
          <w:rFonts w:eastAsia="Guttman Hodes" w:hint="cs"/>
        </w:rPr>
        <w:instrText>REF</w:instrText>
      </w:r>
      <w:r w:rsidRPr="007F2D83">
        <w:rPr>
          <w:rStyle w:val="af7"/>
          <w:rFonts w:eastAsia="Guttman Hodes" w:hint="cs"/>
          <w:rtl/>
        </w:rPr>
        <w:instrText xml:space="preserve"> _</w:instrText>
      </w:r>
      <w:r w:rsidRPr="007F2D83">
        <w:rPr>
          <w:rStyle w:val="af7"/>
          <w:rFonts w:eastAsia="Guttman Hodes" w:hint="cs"/>
        </w:rPr>
        <w:instrText>Ref529129544 \r \h</w:instrText>
      </w:r>
      <w:r w:rsidRPr="007F2D83">
        <w:rPr>
          <w:rStyle w:val="af7"/>
          <w:rFonts w:eastAsia="Guttman Hodes"/>
          <w:rtl/>
        </w:rPr>
        <w:instrText xml:space="preserve"> </w:instrText>
      </w:r>
      <w:r w:rsidRPr="007F2D83">
        <w:rPr>
          <w:rStyle w:val="af7"/>
          <w:rFonts w:eastAsia="Guttman Hodes"/>
          <w:rtl/>
        </w:rPr>
      </w:r>
      <w:r w:rsidRPr="007F2D83">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7F2D83">
        <w:rPr>
          <w:rStyle w:val="af7"/>
          <w:rFonts w:eastAsia="Guttman Hodes"/>
          <w:rtl/>
        </w:rPr>
        <w:fldChar w:fldCharType="end"/>
      </w:r>
      <w:r>
        <w:rPr>
          <w:rFonts w:hint="cs"/>
          <w:rtl/>
        </w:rPr>
        <w:t xml:space="preserve"> </w:t>
      </w:r>
      <w:r w:rsidRPr="00124643">
        <w:rPr>
          <w:rFonts w:hint="cs"/>
          <w:rtl/>
        </w:rPr>
        <w:t xml:space="preserve">דהתיר בגבינות מחמת חזקה מכח הרוב, כתב </w:t>
      </w:r>
      <w:r w:rsidRPr="00124643">
        <w:rPr>
          <w:rStyle w:val="af9"/>
          <w:rFonts w:hint="cs"/>
          <w:rtl/>
        </w:rPr>
        <w:t>הקוה"ע</w:t>
      </w:r>
      <w:r w:rsidRPr="00124643">
        <w:rPr>
          <w:rFonts w:hint="cs"/>
          <w:rtl/>
        </w:rPr>
        <w:t xml:space="preserve"> </w:t>
      </w:r>
      <w:r w:rsidRPr="00124643">
        <w:rPr>
          <w:rStyle w:val="af7"/>
          <w:rFonts w:eastAsia="Guttman Hodes" w:hint="cs"/>
          <w:rtl/>
        </w:rPr>
        <w:t>(כ"ח ד')</w:t>
      </w:r>
      <w:r w:rsidRPr="00124643">
        <w:rPr>
          <w:rFonts w:hint="cs"/>
          <w:rtl/>
        </w:rPr>
        <w:t xml:space="preserve"> </w:t>
      </w:r>
      <w:r>
        <w:rPr>
          <w:rFonts w:hint="cs"/>
          <w:rtl/>
        </w:rPr>
        <w:t>ד</w:t>
      </w:r>
      <w:r w:rsidRPr="00124643">
        <w:rPr>
          <w:rFonts w:hint="cs"/>
          <w:rtl/>
        </w:rPr>
        <w:t xml:space="preserve">אפשר לבאר בב' אופנים, והביאור הראשון הוא דכיון שעכשיו כבר עברו עליה י"ב חודש משעה שנולדה, היא בחזקת כשרה דודאי שלא נולדה טריפה, אלא דשבשעה שנולדה עדיין לא נתבררה החזקה, וע"ז אמר </w:t>
      </w:r>
      <w:r w:rsidRPr="00124643">
        <w:rPr>
          <w:rStyle w:val="af9"/>
          <w:rFonts w:hint="cs"/>
          <w:rtl/>
        </w:rPr>
        <w:t>הרשב"א</w:t>
      </w:r>
      <w:r w:rsidRPr="00124643">
        <w:rPr>
          <w:rFonts w:hint="cs"/>
          <w:rtl/>
        </w:rPr>
        <w:t xml:space="preserve"> דכיון שיש רוב בהמות כשרות ואין בה ריעותא, חשיב כאילו יש עדים שהעידו בשעת לידתה שהיא כשרה, וממילא החזקה נתבררה בשעתה ע"י הרוב, וא"כ ההיתר של הבהמה הוא מדין חזקה ולא מדין רוב.</w:t>
      </w:r>
      <w:bookmarkEnd w:id="9181"/>
    </w:p>
    <w:p w14:paraId="6974E143" w14:textId="77777777" w:rsidR="00D95C52" w:rsidRPr="00124643" w:rsidRDefault="00D95C52" w:rsidP="006D6D32">
      <w:pPr>
        <w:pStyle w:val="a3"/>
        <w:rPr>
          <w:rtl/>
        </w:rPr>
      </w:pPr>
      <w:bookmarkStart w:id="9182" w:name="_Toc529352418"/>
      <w:bookmarkStart w:id="9183" w:name="_Toc529445037"/>
      <w:bookmarkStart w:id="9184" w:name="_Toc529704561"/>
      <w:bookmarkStart w:id="9185" w:name="_Toc529739081"/>
      <w:bookmarkStart w:id="9186" w:name="_Toc19390242"/>
      <w:bookmarkStart w:id="9187" w:name="_Toc19393739"/>
      <w:r w:rsidRPr="00124643">
        <w:rPr>
          <w:rFonts w:hint="cs"/>
          <w:rtl/>
        </w:rPr>
        <w:t>דברי הקוה"ע דלפי"ז הרשב"א התיר בגבינות רק בבהמה בת יותר מי"ב חודש</w:t>
      </w:r>
      <w:bookmarkEnd w:id="9182"/>
      <w:bookmarkEnd w:id="9183"/>
      <w:bookmarkEnd w:id="9184"/>
      <w:bookmarkEnd w:id="9185"/>
      <w:bookmarkEnd w:id="9186"/>
      <w:bookmarkEnd w:id="9187"/>
    </w:p>
    <w:p w14:paraId="43F2C2E6" w14:textId="77777777" w:rsidR="00D95C52" w:rsidRPr="00124643" w:rsidRDefault="00D95C52" w:rsidP="00223668">
      <w:pPr>
        <w:pStyle w:val="a0"/>
        <w:rPr>
          <w:rStyle w:val="afb"/>
          <w:rtl/>
        </w:rPr>
      </w:pPr>
      <w:r w:rsidRPr="00124643">
        <w:rPr>
          <w:rFonts w:hint="cs"/>
          <w:rtl/>
        </w:rPr>
        <w:t xml:space="preserve">אך כתב </w:t>
      </w:r>
      <w:r w:rsidRPr="00124643">
        <w:rPr>
          <w:rStyle w:val="af9"/>
          <w:rFonts w:hint="cs"/>
          <w:rtl/>
        </w:rPr>
        <w:t>הקוה"ע</w:t>
      </w:r>
      <w:r w:rsidRPr="00124643">
        <w:rPr>
          <w:rFonts w:hint="cs"/>
          <w:rtl/>
        </w:rPr>
        <w:t xml:space="preserve"> דלפי ביאור זה בבהמה שהיא פחותה מבת י"ב חודש, דאין לה חזקה, א"א להתירה מדין רוב בלבד, דהרוב מתיר רק כשיש ספק טריפה, אבל בודאי טריפה והספק הוא מתי נטרפה לא מהני הרוב להתיר את הגבינות. </w:t>
      </w:r>
      <w:r w:rsidRPr="00124643">
        <w:rPr>
          <w:rStyle w:val="afb"/>
          <w:rFonts w:hint="cs"/>
          <w:rtl/>
        </w:rPr>
        <w:t xml:space="preserve">[ועי' </w:t>
      </w:r>
      <w:r w:rsidRPr="00124643">
        <w:rPr>
          <w:rStyle w:val="affa"/>
          <w:rFonts w:hint="cs"/>
          <w:rtl/>
        </w:rPr>
        <w:t>ברא"ש</w:t>
      </w:r>
      <w:r w:rsidRPr="00124643">
        <w:rPr>
          <w:rStyle w:val="afb"/>
          <w:rFonts w:hint="cs"/>
          <w:rtl/>
        </w:rPr>
        <w:t xml:space="preserve"> </w:t>
      </w:r>
      <w:r w:rsidRPr="00124643">
        <w:rPr>
          <w:rStyle w:val="aff6"/>
          <w:rFonts w:hint="cs"/>
          <w:rtl/>
        </w:rPr>
        <w:t xml:space="preserve">(עי' אות </w:t>
      </w:r>
      <w:r w:rsidRPr="00124643">
        <w:rPr>
          <w:rStyle w:val="aff6"/>
          <w:rtl/>
        </w:rPr>
        <w:fldChar w:fldCharType="begin"/>
      </w:r>
      <w:r w:rsidRPr="00124643">
        <w:rPr>
          <w:rStyle w:val="aff6"/>
          <w:rtl/>
        </w:rPr>
        <w:instrText xml:space="preserve"> </w:instrText>
      </w:r>
      <w:r w:rsidRPr="00124643">
        <w:rPr>
          <w:rStyle w:val="aff6"/>
          <w:rFonts w:hint="cs"/>
        </w:rPr>
        <w:instrText>REF</w:instrText>
      </w:r>
      <w:r w:rsidRPr="00124643">
        <w:rPr>
          <w:rStyle w:val="aff6"/>
          <w:rFonts w:hint="cs"/>
          <w:rtl/>
        </w:rPr>
        <w:instrText xml:space="preserve"> _</w:instrText>
      </w:r>
      <w:r w:rsidRPr="00124643">
        <w:rPr>
          <w:rStyle w:val="aff6"/>
          <w:rFonts w:hint="cs"/>
        </w:rPr>
        <w:instrText>Ref522611646 \r \h</w:instrText>
      </w:r>
      <w:r w:rsidRPr="00124643">
        <w:rPr>
          <w:rStyle w:val="aff6"/>
          <w:rtl/>
        </w:rPr>
        <w:instrText xml:space="preserve">  \* </w:instrText>
      </w:r>
      <w:r w:rsidRPr="00124643">
        <w:rPr>
          <w:rStyle w:val="aff6"/>
        </w:rPr>
        <w:instrText>MERGEFORMAT</w:instrText>
      </w:r>
      <w:r w:rsidRPr="00124643">
        <w:rPr>
          <w:rStyle w:val="aff6"/>
          <w:rtl/>
        </w:rPr>
        <w:instrText xml:space="preserve"> </w:instrText>
      </w:r>
      <w:r w:rsidRPr="00124643">
        <w:rPr>
          <w:rStyle w:val="aff6"/>
          <w:rtl/>
        </w:rPr>
      </w:r>
      <w:r w:rsidRPr="00124643">
        <w:rPr>
          <w:rStyle w:val="aff6"/>
          <w:rtl/>
        </w:rPr>
        <w:fldChar w:fldCharType="separate"/>
      </w:r>
      <w:r w:rsidR="00345400">
        <w:rPr>
          <w:rStyle w:val="aff6"/>
          <w:cs/>
        </w:rPr>
        <w:t>‎</w:t>
      </w:r>
      <w:r w:rsidR="00345400">
        <w:rPr>
          <w:rStyle w:val="aff6"/>
          <w:rtl/>
        </w:rPr>
        <w:t>טז)</w:t>
      </w:r>
      <w:r w:rsidRPr="00124643">
        <w:rPr>
          <w:rStyle w:val="aff6"/>
          <w:rtl/>
        </w:rPr>
        <w:fldChar w:fldCharType="end"/>
      </w:r>
      <w:r w:rsidRPr="00124643">
        <w:rPr>
          <w:rStyle w:val="afb"/>
          <w:rFonts w:hint="cs"/>
          <w:rtl/>
        </w:rPr>
        <w:t xml:space="preserve"> דכתב דאפילו בתוך שנתה מותרת].</w:t>
      </w:r>
    </w:p>
    <w:p w14:paraId="532BB92F" w14:textId="77777777" w:rsidR="00D95C52" w:rsidRPr="00124643" w:rsidRDefault="00D95C52" w:rsidP="00BF39B2">
      <w:pPr>
        <w:pStyle w:val="1"/>
        <w:rPr>
          <w:rtl/>
        </w:rPr>
      </w:pPr>
      <w:bookmarkStart w:id="9188" w:name="_Toc529352420"/>
      <w:bookmarkStart w:id="9189" w:name="_Toc529445039"/>
      <w:bookmarkStart w:id="9190" w:name="_Toc529704562"/>
      <w:bookmarkStart w:id="9191" w:name="_Toc529739082"/>
      <w:bookmarkStart w:id="9192" w:name="_Toc19390243"/>
      <w:bookmarkStart w:id="9193" w:name="_Toc19393740"/>
      <w:r w:rsidRPr="00124643">
        <w:rPr>
          <w:rFonts w:hint="cs"/>
          <w:rtl/>
        </w:rPr>
        <w:t>הביאור הב' בקוה"ע בדעת הרשב"א דמותרת מדין רוב</w:t>
      </w:r>
      <w:bookmarkEnd w:id="9188"/>
      <w:bookmarkEnd w:id="9189"/>
      <w:bookmarkEnd w:id="9190"/>
      <w:bookmarkEnd w:id="9191"/>
      <w:bookmarkEnd w:id="9192"/>
      <w:bookmarkEnd w:id="9193"/>
    </w:p>
    <w:p w14:paraId="4F6C32CA" w14:textId="77777777" w:rsidR="00D95C52" w:rsidRPr="00124643" w:rsidRDefault="00D95C52" w:rsidP="006D6D32">
      <w:pPr>
        <w:pStyle w:val="a3"/>
        <w:rPr>
          <w:rtl/>
        </w:rPr>
      </w:pPr>
      <w:bookmarkStart w:id="9194" w:name="_Toc529352421"/>
      <w:bookmarkStart w:id="9195" w:name="_Toc529445040"/>
      <w:bookmarkStart w:id="9196" w:name="_Toc529704563"/>
      <w:bookmarkStart w:id="9197" w:name="_Toc529739083"/>
      <w:bookmarkStart w:id="9198" w:name="_Toc19390244"/>
      <w:bookmarkStart w:id="9199" w:name="_Toc19393741"/>
      <w:r w:rsidRPr="00124643">
        <w:rPr>
          <w:rFonts w:hint="cs"/>
          <w:rtl/>
        </w:rPr>
        <w:t>הביאור הב' בקוה"ע דהרשב"א התיר בגבינות מדין רוב ומחזיקין שבשעת החליבה היה רוב</w:t>
      </w:r>
      <w:bookmarkEnd w:id="9194"/>
      <w:bookmarkEnd w:id="9195"/>
      <w:bookmarkEnd w:id="9196"/>
      <w:bookmarkEnd w:id="9197"/>
      <w:bookmarkEnd w:id="9198"/>
      <w:bookmarkEnd w:id="9199"/>
    </w:p>
    <w:p w14:paraId="04E54CBF" w14:textId="77777777" w:rsidR="00D95C52" w:rsidRPr="00124643" w:rsidRDefault="00D95C52" w:rsidP="00223668">
      <w:pPr>
        <w:pStyle w:val="a0"/>
        <w:rPr>
          <w:rtl/>
        </w:rPr>
      </w:pPr>
      <w:r w:rsidRPr="00124643">
        <w:rPr>
          <w:rFonts w:hint="cs"/>
          <w:rtl/>
        </w:rPr>
        <w:t xml:space="preserve">ובאופן השני ביאר </w:t>
      </w:r>
      <w:r w:rsidRPr="00124643">
        <w:rPr>
          <w:rStyle w:val="af9"/>
          <w:rFonts w:hint="cs"/>
          <w:rtl/>
        </w:rPr>
        <w:t>הקוה"ע</w:t>
      </w:r>
      <w:r w:rsidRPr="00124643">
        <w:rPr>
          <w:rFonts w:hint="cs"/>
          <w:rtl/>
        </w:rPr>
        <w:t xml:space="preserve"> בדעת </w:t>
      </w:r>
      <w:r w:rsidRPr="00124643">
        <w:rPr>
          <w:rStyle w:val="af9"/>
          <w:rFonts w:hint="cs"/>
          <w:rtl/>
        </w:rPr>
        <w:t xml:space="preserve">הרשב"א </w:t>
      </w:r>
      <w:r w:rsidRPr="00124643">
        <w:rPr>
          <w:rFonts w:hint="cs"/>
          <w:rtl/>
        </w:rPr>
        <w:t>דההיתר בגבינות הוא מדין רוב בלבד, דאף שעכשיו יצאה מכלל הרוב, מ"מ כיון שהנדון הוא על שעת עשיית הגבינות, לכן מחזיקין שהייתה בכלל הרוב.</w:t>
      </w:r>
    </w:p>
    <w:p w14:paraId="6BBDFB4C" w14:textId="77777777" w:rsidR="00D95C52" w:rsidRPr="00124643" w:rsidRDefault="00D95C52" w:rsidP="006D6D32">
      <w:pPr>
        <w:pStyle w:val="a3"/>
      </w:pPr>
      <w:bookmarkStart w:id="9200" w:name="_Toc529352422"/>
      <w:bookmarkStart w:id="9201" w:name="_Toc529445041"/>
      <w:bookmarkStart w:id="9202" w:name="_Toc529704564"/>
      <w:bookmarkStart w:id="9203" w:name="_Toc529739084"/>
      <w:bookmarkStart w:id="9204" w:name="_Toc19390245"/>
      <w:bookmarkStart w:id="9205" w:name="_Toc19393742"/>
      <w:r w:rsidRPr="00124643">
        <w:rPr>
          <w:rFonts w:hint="cs"/>
          <w:rtl/>
        </w:rPr>
        <w:t>דברי הקוה"ע דלביאור הב' אף בבהמה פחותה מי"ב חודש הגבינות מותרות</w:t>
      </w:r>
      <w:bookmarkEnd w:id="9200"/>
      <w:bookmarkEnd w:id="9201"/>
      <w:bookmarkEnd w:id="9202"/>
      <w:bookmarkEnd w:id="9203"/>
      <w:bookmarkEnd w:id="9204"/>
      <w:bookmarkEnd w:id="9205"/>
    </w:p>
    <w:p w14:paraId="725E907C" w14:textId="77777777" w:rsidR="00D95C52" w:rsidRPr="00124643" w:rsidRDefault="00D95C52" w:rsidP="00223668">
      <w:pPr>
        <w:pStyle w:val="a0"/>
        <w:rPr>
          <w:sz w:val="10"/>
          <w:szCs w:val="14"/>
          <w:rtl/>
        </w:rPr>
      </w:pPr>
      <w:r w:rsidRPr="00124643">
        <w:rPr>
          <w:rFonts w:hint="cs"/>
          <w:rtl/>
        </w:rPr>
        <w:t xml:space="preserve">וכתב </w:t>
      </w:r>
      <w:r w:rsidRPr="00124643">
        <w:rPr>
          <w:rStyle w:val="af9"/>
          <w:rFonts w:hint="cs"/>
          <w:rtl/>
        </w:rPr>
        <w:t>הקוה"ע</w:t>
      </w:r>
      <w:r w:rsidRPr="00124643">
        <w:rPr>
          <w:rFonts w:hint="cs"/>
          <w:rtl/>
        </w:rPr>
        <w:t xml:space="preserve"> דלפי ביאור זה אף בבהמה שהיא פחותה מבת י"ב חודש, הגבינות מותרות, דההיתר הוא מדין רוב ולא מדין חזקה. </w:t>
      </w:r>
      <w:r w:rsidRPr="00124643">
        <w:rPr>
          <w:rStyle w:val="afb"/>
          <w:rFonts w:hint="cs"/>
          <w:rtl/>
        </w:rPr>
        <w:t xml:space="preserve">[ועי' </w:t>
      </w:r>
      <w:r w:rsidRPr="00124643">
        <w:rPr>
          <w:rStyle w:val="affa"/>
          <w:rFonts w:hint="cs"/>
          <w:rtl/>
        </w:rPr>
        <w:t>ברא"ש</w:t>
      </w:r>
      <w:r w:rsidRPr="00124643">
        <w:rPr>
          <w:rStyle w:val="afb"/>
          <w:rFonts w:hint="cs"/>
          <w:rtl/>
        </w:rPr>
        <w:t xml:space="preserve"> </w:t>
      </w:r>
      <w:r w:rsidRPr="00124643">
        <w:rPr>
          <w:rStyle w:val="aff6"/>
          <w:rFonts w:hint="cs"/>
          <w:rtl/>
        </w:rPr>
        <w:t xml:space="preserve">(עי' אות </w:t>
      </w:r>
      <w:r w:rsidRPr="00124643">
        <w:rPr>
          <w:rStyle w:val="aff6"/>
          <w:rtl/>
        </w:rPr>
        <w:fldChar w:fldCharType="begin"/>
      </w:r>
      <w:r w:rsidRPr="00124643">
        <w:rPr>
          <w:rStyle w:val="aff6"/>
          <w:rtl/>
        </w:rPr>
        <w:instrText xml:space="preserve"> </w:instrText>
      </w:r>
      <w:r w:rsidRPr="00124643">
        <w:rPr>
          <w:rStyle w:val="aff6"/>
          <w:rFonts w:hint="cs"/>
        </w:rPr>
        <w:instrText>REF</w:instrText>
      </w:r>
      <w:r w:rsidRPr="00124643">
        <w:rPr>
          <w:rStyle w:val="aff6"/>
          <w:rFonts w:hint="cs"/>
          <w:rtl/>
        </w:rPr>
        <w:instrText xml:space="preserve"> _</w:instrText>
      </w:r>
      <w:r w:rsidRPr="00124643">
        <w:rPr>
          <w:rStyle w:val="aff6"/>
          <w:rFonts w:hint="cs"/>
        </w:rPr>
        <w:instrText>Ref522611646 \r \h</w:instrText>
      </w:r>
      <w:r w:rsidRPr="00124643">
        <w:rPr>
          <w:rStyle w:val="aff6"/>
          <w:rtl/>
        </w:rPr>
        <w:instrText xml:space="preserve">  \* </w:instrText>
      </w:r>
      <w:r w:rsidRPr="00124643">
        <w:rPr>
          <w:rStyle w:val="aff6"/>
        </w:rPr>
        <w:instrText>MERGEFORMAT</w:instrText>
      </w:r>
      <w:r w:rsidRPr="00124643">
        <w:rPr>
          <w:rStyle w:val="aff6"/>
          <w:rtl/>
        </w:rPr>
        <w:instrText xml:space="preserve"> </w:instrText>
      </w:r>
      <w:r w:rsidRPr="00124643">
        <w:rPr>
          <w:rStyle w:val="aff6"/>
          <w:rtl/>
        </w:rPr>
      </w:r>
      <w:r w:rsidRPr="00124643">
        <w:rPr>
          <w:rStyle w:val="aff6"/>
          <w:rtl/>
        </w:rPr>
        <w:fldChar w:fldCharType="separate"/>
      </w:r>
      <w:r w:rsidR="00345400">
        <w:rPr>
          <w:rStyle w:val="aff6"/>
          <w:cs/>
        </w:rPr>
        <w:t>‎</w:t>
      </w:r>
      <w:r w:rsidR="00345400">
        <w:rPr>
          <w:rStyle w:val="aff6"/>
          <w:rtl/>
        </w:rPr>
        <w:t>טז)</w:t>
      </w:r>
      <w:r w:rsidRPr="00124643">
        <w:rPr>
          <w:rStyle w:val="aff6"/>
          <w:rtl/>
        </w:rPr>
        <w:fldChar w:fldCharType="end"/>
      </w:r>
      <w:r w:rsidRPr="00124643">
        <w:rPr>
          <w:rStyle w:val="aff6"/>
          <w:rFonts w:hint="cs"/>
          <w:rtl/>
        </w:rPr>
        <w:t xml:space="preserve"> </w:t>
      </w:r>
      <w:r w:rsidRPr="00124643">
        <w:rPr>
          <w:rStyle w:val="afb"/>
          <w:rFonts w:hint="cs"/>
          <w:rtl/>
        </w:rPr>
        <w:t>דכתב דאפילו בתוך שנתה מותרת].</w:t>
      </w:r>
    </w:p>
    <w:p w14:paraId="30D9EB3F" w14:textId="77777777" w:rsidR="00D95C52" w:rsidRPr="00124643" w:rsidRDefault="00D95C52" w:rsidP="00BF39B2">
      <w:pPr>
        <w:pStyle w:val="1"/>
        <w:rPr>
          <w:rtl/>
        </w:rPr>
      </w:pPr>
      <w:bookmarkStart w:id="9206" w:name="_Toc529352426"/>
      <w:bookmarkStart w:id="9207" w:name="_Toc529445045"/>
      <w:bookmarkStart w:id="9208" w:name="_Toc529704565"/>
      <w:bookmarkStart w:id="9209" w:name="_Toc529739085"/>
      <w:bookmarkStart w:id="9210" w:name="_Toc19390246"/>
      <w:bookmarkStart w:id="9211" w:name="_Toc19393743"/>
      <w:r w:rsidRPr="00124643">
        <w:rPr>
          <w:rFonts w:hint="cs"/>
          <w:rtl/>
        </w:rPr>
        <w:t>ביאור האבאה"ז בתוס' בחזקה בספק טריפה ובודאי טריפה</w:t>
      </w:r>
      <w:bookmarkEnd w:id="9206"/>
      <w:bookmarkEnd w:id="9207"/>
      <w:bookmarkEnd w:id="9208"/>
      <w:bookmarkEnd w:id="9209"/>
      <w:bookmarkEnd w:id="9210"/>
      <w:bookmarkEnd w:id="9211"/>
    </w:p>
    <w:p w14:paraId="33228FA7" w14:textId="77777777" w:rsidR="00D95C52" w:rsidRPr="00124643" w:rsidRDefault="00D95C52" w:rsidP="006D6D32">
      <w:pPr>
        <w:pStyle w:val="a3"/>
        <w:rPr>
          <w:rtl/>
        </w:rPr>
      </w:pPr>
      <w:bookmarkStart w:id="9212" w:name="_Toc529352427"/>
      <w:bookmarkStart w:id="9213" w:name="_Toc529445046"/>
      <w:bookmarkStart w:id="9214" w:name="_Toc529704566"/>
      <w:bookmarkStart w:id="9215" w:name="_Toc529739086"/>
      <w:bookmarkStart w:id="9216" w:name="_Toc19390247"/>
      <w:bookmarkStart w:id="9217" w:name="_Toc19393744"/>
      <w:r w:rsidRPr="00124643">
        <w:rPr>
          <w:rFonts w:hint="cs"/>
          <w:rtl/>
        </w:rPr>
        <w:t>דברי האבהא"ז דלתוס' בספק טריפה אף שיצאה מהרוב יש לה חזקה מכח הרוב שהוחזקה בו</w:t>
      </w:r>
      <w:bookmarkEnd w:id="9212"/>
      <w:bookmarkEnd w:id="9213"/>
      <w:bookmarkEnd w:id="9214"/>
      <w:bookmarkEnd w:id="9215"/>
      <w:bookmarkEnd w:id="9216"/>
      <w:bookmarkEnd w:id="9217"/>
    </w:p>
    <w:p w14:paraId="4FEDC33F" w14:textId="77777777" w:rsidR="00D95C52" w:rsidRPr="00124643" w:rsidRDefault="00D95C52" w:rsidP="00223668">
      <w:pPr>
        <w:pStyle w:val="a0"/>
        <w:rPr>
          <w:rtl/>
        </w:rPr>
      </w:pPr>
      <w:bookmarkStart w:id="9218" w:name="_Ref523043679"/>
      <w:r>
        <w:rPr>
          <w:rFonts w:hint="cs"/>
          <w:rtl/>
        </w:rPr>
        <w:t xml:space="preserve">בביאור דברי </w:t>
      </w:r>
      <w:r w:rsidRPr="00154972">
        <w:rPr>
          <w:rStyle w:val="af9"/>
          <w:rFonts w:hint="cs"/>
          <w:rtl/>
        </w:rPr>
        <w:t>התוס'</w:t>
      </w:r>
      <w:r>
        <w:rPr>
          <w:rFonts w:hint="cs"/>
          <w:rtl/>
        </w:rPr>
        <w:t xml:space="preserve"> </w:t>
      </w:r>
      <w:r w:rsidRPr="00D52338">
        <w:rPr>
          <w:rStyle w:val="af7"/>
          <w:rFonts w:eastAsia="Guttman Hodes" w:hint="cs"/>
          <w:rtl/>
        </w:rPr>
        <w:t xml:space="preserve">(עי' אות </w:t>
      </w:r>
      <w:r w:rsidRPr="00D52338">
        <w:rPr>
          <w:rStyle w:val="af7"/>
          <w:rFonts w:eastAsia="Guttman Hodes"/>
          <w:rtl/>
        </w:rPr>
        <w:fldChar w:fldCharType="begin"/>
      </w:r>
      <w:r w:rsidRPr="00D52338">
        <w:rPr>
          <w:rStyle w:val="af7"/>
          <w:rFonts w:eastAsia="Guttman Hodes"/>
          <w:rtl/>
        </w:rPr>
        <w:instrText xml:space="preserve"> </w:instrText>
      </w:r>
      <w:r w:rsidRPr="00D52338">
        <w:rPr>
          <w:rStyle w:val="af7"/>
          <w:rFonts w:eastAsia="Guttman Hodes" w:hint="cs"/>
        </w:rPr>
        <w:instrText>REF</w:instrText>
      </w:r>
      <w:r w:rsidRPr="00D52338">
        <w:rPr>
          <w:rStyle w:val="af7"/>
          <w:rFonts w:eastAsia="Guttman Hodes" w:hint="cs"/>
          <w:rtl/>
        </w:rPr>
        <w:instrText xml:space="preserve"> _</w:instrText>
      </w:r>
      <w:r w:rsidRPr="00D52338">
        <w:rPr>
          <w:rStyle w:val="af7"/>
          <w:rFonts w:eastAsia="Guttman Hodes" w:hint="cs"/>
        </w:rPr>
        <w:instrText>Ref529090497 \r \h</w:instrText>
      </w:r>
      <w:r w:rsidRPr="00D52338">
        <w:rPr>
          <w:rStyle w:val="af7"/>
          <w:rFonts w:eastAsia="Guttman Hodes"/>
          <w:rtl/>
        </w:rPr>
        <w:instrText xml:space="preserve"> </w:instrText>
      </w:r>
      <w:r w:rsidRPr="00D52338">
        <w:rPr>
          <w:rStyle w:val="af7"/>
          <w:rFonts w:eastAsia="Guttman Hodes"/>
          <w:rtl/>
        </w:rPr>
      </w:r>
      <w:r w:rsidRPr="00D52338">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D52338">
        <w:rPr>
          <w:rStyle w:val="af7"/>
          <w:rFonts w:eastAsia="Guttman Hodes"/>
          <w:rtl/>
        </w:rPr>
        <w:fldChar w:fldCharType="end"/>
      </w:r>
      <w:r>
        <w:rPr>
          <w:rFonts w:hint="cs"/>
          <w:rtl/>
        </w:rPr>
        <w:t xml:space="preserve"> דבודאי טריפה לא בתר חזקה שלא נתבררה בשעתה, </w:t>
      </w:r>
      <w:r w:rsidRPr="00124643">
        <w:rPr>
          <w:rFonts w:hint="cs"/>
          <w:rtl/>
        </w:rPr>
        <w:t xml:space="preserve">כתב </w:t>
      </w:r>
      <w:r w:rsidRPr="00124643">
        <w:rPr>
          <w:rStyle w:val="af9"/>
          <w:rFonts w:hint="cs"/>
          <w:rtl/>
        </w:rPr>
        <w:t>האבאה"ז</w:t>
      </w:r>
      <w:r w:rsidRPr="00124643">
        <w:rPr>
          <w:rFonts w:hint="cs"/>
          <w:rtl/>
        </w:rPr>
        <w:t xml:space="preserve"> </w:t>
      </w:r>
      <w:r w:rsidRPr="00124643">
        <w:rPr>
          <w:rStyle w:val="af7"/>
          <w:rFonts w:eastAsia="Guttman Hodes" w:hint="cs"/>
          <w:rtl/>
        </w:rPr>
        <w:t xml:space="preserve">(שחיטה ג' י"ח אות ב' ד"ה </w:t>
      </w:r>
      <w:r>
        <w:rPr>
          <w:rStyle w:val="af7"/>
          <w:rFonts w:eastAsia="Guttman Hodes" w:hint="cs"/>
          <w:rtl/>
        </w:rPr>
        <w:t>ובאופן אחר</w:t>
      </w:r>
      <w:r w:rsidRPr="00124643">
        <w:rPr>
          <w:rStyle w:val="af7"/>
          <w:rFonts w:eastAsia="Guttman Hodes" w:hint="cs"/>
          <w:rtl/>
        </w:rPr>
        <w:t>)</w:t>
      </w:r>
      <w:r w:rsidRPr="00124643">
        <w:rPr>
          <w:rFonts w:hint="cs"/>
          <w:rtl/>
        </w:rPr>
        <w:t xml:space="preserve"> דיש </w:t>
      </w:r>
      <w:r>
        <w:rPr>
          <w:rFonts w:hint="cs"/>
          <w:rtl/>
        </w:rPr>
        <w:t xml:space="preserve">ב' דינים בחזקה, הא' </w:t>
      </w:r>
      <w:r w:rsidRPr="00124643">
        <w:rPr>
          <w:rFonts w:hint="cs"/>
          <w:rtl/>
        </w:rPr>
        <w:t xml:space="preserve">חזקה שלא היה שינוי ממה שהוחזק מעיקרא, </w:t>
      </w:r>
      <w:r>
        <w:rPr>
          <w:rFonts w:hint="cs"/>
          <w:rtl/>
        </w:rPr>
        <w:t xml:space="preserve">והב' </w:t>
      </w:r>
      <w:r w:rsidRPr="00124643">
        <w:rPr>
          <w:rFonts w:hint="cs"/>
          <w:rtl/>
        </w:rPr>
        <w:t xml:space="preserve">חזקה </w:t>
      </w:r>
      <w:r>
        <w:rPr>
          <w:rFonts w:hint="cs"/>
          <w:rtl/>
        </w:rPr>
        <w:t>שא"א</w:t>
      </w:r>
      <w:r w:rsidRPr="00124643">
        <w:rPr>
          <w:rFonts w:hint="cs"/>
          <w:rtl/>
        </w:rPr>
        <w:t xml:space="preserve"> להוציא ממה שהחוזק.</w:t>
      </w:r>
      <w:bookmarkEnd w:id="9218"/>
    </w:p>
    <w:p w14:paraId="6F682FF6" w14:textId="77777777" w:rsidR="00D95C52" w:rsidRPr="00124643" w:rsidRDefault="00D95C52" w:rsidP="006D6D32">
      <w:pPr>
        <w:pStyle w:val="a3"/>
        <w:rPr>
          <w:rtl/>
        </w:rPr>
      </w:pPr>
      <w:bookmarkStart w:id="9219" w:name="_Toc529352428"/>
      <w:bookmarkStart w:id="9220" w:name="_Toc529445047"/>
      <w:bookmarkStart w:id="9221" w:name="_Toc529704567"/>
      <w:bookmarkStart w:id="9222" w:name="_Toc529739087"/>
      <w:bookmarkStart w:id="9223" w:name="_Toc19390248"/>
      <w:bookmarkStart w:id="9224" w:name="_Toc19393745"/>
      <w:r w:rsidRPr="00124643">
        <w:rPr>
          <w:rFonts w:hint="cs"/>
          <w:rtl/>
        </w:rPr>
        <w:t>ביאור האבאה"ז דרק בודאי טריפה צריך שתתברר החזקה כיון שעכשיו אינה כפי שהוחזקה</w:t>
      </w:r>
      <w:bookmarkEnd w:id="9219"/>
      <w:bookmarkEnd w:id="9220"/>
      <w:bookmarkEnd w:id="9221"/>
      <w:bookmarkEnd w:id="9222"/>
      <w:bookmarkEnd w:id="9223"/>
      <w:bookmarkEnd w:id="9224"/>
    </w:p>
    <w:p w14:paraId="0B04D5AC" w14:textId="77777777" w:rsidR="00D95C52" w:rsidRDefault="00D95C52" w:rsidP="00223668">
      <w:pPr>
        <w:pStyle w:val="a0"/>
      </w:pPr>
      <w:r w:rsidRPr="00124643">
        <w:rPr>
          <w:rFonts w:hint="cs"/>
          <w:rtl/>
        </w:rPr>
        <w:t xml:space="preserve">וביאר </w:t>
      </w:r>
      <w:r w:rsidRPr="00124643">
        <w:rPr>
          <w:rStyle w:val="af9"/>
          <w:rFonts w:hint="cs"/>
          <w:rtl/>
        </w:rPr>
        <w:t>האבאה"ז</w:t>
      </w:r>
      <w:r w:rsidRPr="00124643">
        <w:rPr>
          <w:rFonts w:hint="cs"/>
          <w:rtl/>
        </w:rPr>
        <w:t xml:space="preserve"> דבנמצאת ודאי טריפה, א"א להעמידה </w:t>
      </w:r>
      <w:r>
        <w:rPr>
          <w:rFonts w:hint="cs"/>
          <w:rtl/>
        </w:rPr>
        <w:t xml:space="preserve">בדין </w:t>
      </w:r>
      <w:r w:rsidRPr="00124643">
        <w:rPr>
          <w:rFonts w:hint="cs"/>
          <w:rtl/>
        </w:rPr>
        <w:t xml:space="preserve">חזקה שהיא כמו שהייתה, דהא יש לה חזקה שעכשיו היא טריפה, </w:t>
      </w:r>
      <w:r>
        <w:rPr>
          <w:rFonts w:hint="cs"/>
          <w:rtl/>
        </w:rPr>
        <w:t>ובדין הב' שא"א</w:t>
      </w:r>
      <w:r w:rsidRPr="00124643">
        <w:rPr>
          <w:rFonts w:hint="cs"/>
          <w:rtl/>
        </w:rPr>
        <w:t xml:space="preserve"> להוציא אותה ממה שהייתה מוחזקת מעיקרא,</w:t>
      </w:r>
      <w:r>
        <w:rPr>
          <w:rFonts w:hint="cs"/>
          <w:rtl/>
        </w:rPr>
        <w:t xml:space="preserve"> בזה</w:t>
      </w:r>
      <w:r w:rsidRPr="00124643">
        <w:rPr>
          <w:rFonts w:hint="cs"/>
          <w:rtl/>
        </w:rPr>
        <w:t xml:space="preserve"> כתבו </w:t>
      </w:r>
      <w:r w:rsidRPr="00124643">
        <w:rPr>
          <w:rStyle w:val="af9"/>
          <w:rFonts w:hint="cs"/>
          <w:rtl/>
        </w:rPr>
        <w:t xml:space="preserve">התוס' </w:t>
      </w:r>
      <w:r w:rsidRPr="00124643">
        <w:rPr>
          <w:rFonts w:hint="cs"/>
          <w:rtl/>
        </w:rPr>
        <w:t>דמהני רק בחזקה שנתבררה בשעתה, ולכן בספק טריפה, מהני חזקה שלא נתבררה בשעתה, כיון שעכשיו אנו יודעים שלא הייתה טריפה מעיקרא.</w:t>
      </w:r>
    </w:p>
    <w:p w14:paraId="5385F123" w14:textId="77777777" w:rsidR="00D95C52" w:rsidRPr="00AC6F38" w:rsidRDefault="00D95C52" w:rsidP="00BF39B2">
      <w:pPr>
        <w:pStyle w:val="1"/>
        <w:rPr>
          <w:rtl/>
        </w:rPr>
      </w:pPr>
      <w:bookmarkStart w:id="9225" w:name="_Toc529352435"/>
      <w:bookmarkStart w:id="9226" w:name="_Toc529445054"/>
      <w:bookmarkStart w:id="9227" w:name="_Toc529704568"/>
      <w:bookmarkStart w:id="9228" w:name="_Toc529739088"/>
      <w:bookmarkStart w:id="9229" w:name="_Toc19390249"/>
      <w:bookmarkStart w:id="9230" w:name="_Toc19393746"/>
      <w:r w:rsidRPr="00AC6F38">
        <w:rPr>
          <w:rFonts w:hint="cs"/>
          <w:rtl/>
        </w:rPr>
        <w:t>ביאור המקדש דוד בדעת התוס' דלא אמרינן חזקה מכח רוב</w:t>
      </w:r>
      <w:bookmarkEnd w:id="9225"/>
      <w:bookmarkEnd w:id="9226"/>
      <w:bookmarkEnd w:id="9227"/>
      <w:bookmarkEnd w:id="9228"/>
      <w:bookmarkEnd w:id="9229"/>
      <w:bookmarkEnd w:id="9230"/>
    </w:p>
    <w:p w14:paraId="5480BAC2" w14:textId="77777777" w:rsidR="00D95C52" w:rsidRDefault="00D95C52" w:rsidP="006D6D32">
      <w:pPr>
        <w:pStyle w:val="a3"/>
        <w:rPr>
          <w:rtl/>
        </w:rPr>
      </w:pPr>
      <w:bookmarkStart w:id="9231" w:name="_Toc529739089"/>
      <w:bookmarkStart w:id="9232" w:name="_Toc19390250"/>
      <w:bookmarkStart w:id="9233" w:name="_Toc19393747"/>
      <w:r>
        <w:rPr>
          <w:rFonts w:hint="cs"/>
          <w:rtl/>
        </w:rPr>
        <w:t>ביאור המקדש דוד דלתוס' אין כח בבירור של הרוב להעמיד חזקה מכחו דהא יש מיעוט כנגדו</w:t>
      </w:r>
      <w:bookmarkEnd w:id="9231"/>
      <w:bookmarkEnd w:id="9232"/>
      <w:bookmarkEnd w:id="9233"/>
    </w:p>
    <w:p w14:paraId="698985A8" w14:textId="77777777" w:rsidR="00D95C52" w:rsidRDefault="00D95C52" w:rsidP="00223668">
      <w:pPr>
        <w:pStyle w:val="a0"/>
        <w:rPr>
          <w:rtl/>
        </w:rPr>
      </w:pPr>
      <w:bookmarkStart w:id="9234" w:name="_Ref529479461"/>
      <w:r w:rsidRPr="00625138">
        <w:rPr>
          <w:rStyle w:val="af9"/>
          <w:rFonts w:hint="cs"/>
          <w:rtl/>
        </w:rPr>
        <w:t>בשיעורי המקדש דוד</w:t>
      </w:r>
      <w:r>
        <w:rPr>
          <w:rFonts w:hint="cs"/>
          <w:rtl/>
        </w:rPr>
        <w:t xml:space="preserve"> </w:t>
      </w:r>
      <w:r w:rsidRPr="007E53E5">
        <w:rPr>
          <w:rStyle w:val="af7"/>
          <w:rFonts w:eastAsia="Guttman Hodes" w:hint="cs"/>
          <w:rtl/>
        </w:rPr>
        <w:t>(סי' ב' אות י' ד"ה והנה בגמ'</w:t>
      </w:r>
      <w:r>
        <w:rPr>
          <w:rStyle w:val="af1"/>
          <w:rtl/>
        </w:rPr>
        <w:footnoteReference w:id="66"/>
      </w:r>
      <w:r w:rsidRPr="007E53E5">
        <w:rPr>
          <w:rStyle w:val="af7"/>
          <w:rFonts w:eastAsia="Guttman Hodes" w:hint="cs"/>
          <w:rtl/>
        </w:rPr>
        <w:t>)</w:t>
      </w:r>
      <w:r>
        <w:rPr>
          <w:rFonts w:hint="cs"/>
          <w:rtl/>
        </w:rPr>
        <w:t xml:space="preserve"> כתב דהא דס"ל  </w:t>
      </w:r>
      <w:r>
        <w:rPr>
          <w:rStyle w:val="af9"/>
          <w:rFonts w:hint="cs"/>
          <w:rtl/>
        </w:rPr>
        <w:t>ל</w:t>
      </w:r>
      <w:r w:rsidRPr="00625138">
        <w:rPr>
          <w:rStyle w:val="af9"/>
          <w:rFonts w:hint="cs"/>
          <w:rtl/>
        </w:rPr>
        <w:t>התוס'</w:t>
      </w:r>
      <w:r>
        <w:rPr>
          <w:rFonts w:hint="cs"/>
          <w:rtl/>
        </w:rPr>
        <w:t xml:space="preserve"> </w:t>
      </w:r>
      <w:r w:rsidRPr="007E53E5">
        <w:rPr>
          <w:rStyle w:val="af7"/>
          <w:rFonts w:eastAsia="Guttman Hodes" w:hint="cs"/>
          <w:rtl/>
        </w:rPr>
        <w:t xml:space="preserve">(עי' אות </w:t>
      </w:r>
      <w:r w:rsidRPr="007E53E5">
        <w:rPr>
          <w:rStyle w:val="af7"/>
          <w:rFonts w:eastAsia="Guttman Hodes"/>
          <w:rtl/>
        </w:rPr>
        <w:fldChar w:fldCharType="begin"/>
      </w:r>
      <w:r w:rsidRPr="007E53E5">
        <w:rPr>
          <w:rStyle w:val="af7"/>
          <w:rFonts w:eastAsia="Guttman Hodes"/>
          <w:rtl/>
        </w:rPr>
        <w:instrText xml:space="preserve"> </w:instrText>
      </w:r>
      <w:r w:rsidRPr="007E53E5">
        <w:rPr>
          <w:rStyle w:val="af7"/>
          <w:rFonts w:eastAsia="Guttman Hodes" w:hint="cs"/>
        </w:rPr>
        <w:instrText>REF</w:instrText>
      </w:r>
      <w:r w:rsidRPr="007E53E5">
        <w:rPr>
          <w:rStyle w:val="af7"/>
          <w:rFonts w:eastAsia="Guttman Hodes" w:hint="cs"/>
          <w:rtl/>
        </w:rPr>
        <w:instrText xml:space="preserve"> _</w:instrText>
      </w:r>
      <w:r w:rsidRPr="007E53E5">
        <w:rPr>
          <w:rStyle w:val="af7"/>
          <w:rFonts w:eastAsia="Guttman Hodes" w:hint="cs"/>
        </w:rPr>
        <w:instrText>Ref529121640 \r \h</w:instrText>
      </w:r>
      <w:r w:rsidRPr="007E53E5">
        <w:rPr>
          <w:rStyle w:val="af7"/>
          <w:rFonts w:eastAsia="Guttman Hodes"/>
          <w:rtl/>
        </w:rPr>
        <w:instrText xml:space="preserve"> </w:instrText>
      </w:r>
      <w:r w:rsidRPr="007E53E5">
        <w:rPr>
          <w:rStyle w:val="af7"/>
          <w:rFonts w:eastAsia="Guttman Hodes"/>
          <w:rtl/>
        </w:rPr>
      </w:r>
      <w:r w:rsidRPr="007E53E5">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7E53E5">
        <w:rPr>
          <w:rStyle w:val="af7"/>
          <w:rFonts w:eastAsia="Guttman Hodes"/>
          <w:rtl/>
        </w:rPr>
        <w:fldChar w:fldCharType="end"/>
      </w:r>
      <w:r>
        <w:rPr>
          <w:rFonts w:hint="cs"/>
          <w:rtl/>
        </w:rPr>
        <w:t xml:space="preserve"> דלא אזלינן בתר חזקה מכח רוב, הוא כיון שאין בכח הרוב להעמיד חזקה מכחו, דהא יש מיעוט כנגדו, ואין הרוב נחשב כבירור גמור שבכחו להעמיד על החזקה.</w:t>
      </w:r>
      <w:bookmarkEnd w:id="9234"/>
    </w:p>
    <w:p w14:paraId="5BD96E6C" w14:textId="77777777" w:rsidR="00D95C52" w:rsidRPr="009B3CD5" w:rsidRDefault="00D95C52" w:rsidP="006D6D32">
      <w:pPr>
        <w:pStyle w:val="a3"/>
        <w:rPr>
          <w:rtl/>
        </w:rPr>
      </w:pPr>
      <w:bookmarkStart w:id="9235" w:name="_Toc529739090"/>
      <w:bookmarkStart w:id="9236" w:name="_Toc19390251"/>
      <w:bookmarkStart w:id="9237" w:name="_Toc19393748"/>
      <w:r>
        <w:rPr>
          <w:rFonts w:hint="cs"/>
          <w:rtl/>
        </w:rPr>
        <w:t>קושית המקדש דוד דבש"ש מבאר דרוב הוא בירור גמור ומעמיד חזקה מכחו</w:t>
      </w:r>
      <w:bookmarkEnd w:id="9235"/>
      <w:bookmarkEnd w:id="9236"/>
      <w:bookmarkEnd w:id="9237"/>
    </w:p>
    <w:p w14:paraId="3F6E10C2" w14:textId="77777777" w:rsidR="00D95C52" w:rsidRDefault="00D95C52" w:rsidP="00223668">
      <w:pPr>
        <w:pStyle w:val="a0"/>
        <w:rPr>
          <w:rtl/>
        </w:rPr>
      </w:pPr>
      <w:bookmarkStart w:id="9238" w:name="_Ref529393199"/>
      <w:r>
        <w:rPr>
          <w:rFonts w:hint="cs"/>
          <w:rtl/>
        </w:rPr>
        <w:t xml:space="preserve">אך כתב </w:t>
      </w:r>
      <w:r w:rsidRPr="00625138">
        <w:rPr>
          <w:rStyle w:val="af9"/>
          <w:rFonts w:hint="cs"/>
          <w:rtl/>
        </w:rPr>
        <w:t>בשיעורי המקדש דוד</w:t>
      </w:r>
      <w:r>
        <w:rPr>
          <w:rFonts w:hint="cs"/>
          <w:rtl/>
        </w:rPr>
        <w:t xml:space="preserve"> דבדברי </w:t>
      </w:r>
      <w:r w:rsidRPr="00625138">
        <w:rPr>
          <w:rStyle w:val="af9"/>
          <w:rFonts w:hint="cs"/>
          <w:rtl/>
        </w:rPr>
        <w:t>הש"ש</w:t>
      </w:r>
      <w:r>
        <w:rPr>
          <w:rFonts w:hint="cs"/>
          <w:rtl/>
        </w:rPr>
        <w:t xml:space="preserve"> </w:t>
      </w:r>
      <w:r w:rsidRPr="007E53E5">
        <w:rPr>
          <w:rStyle w:val="af7"/>
          <w:rFonts w:eastAsia="Guttman Hodes" w:hint="cs"/>
          <w:rtl/>
        </w:rPr>
        <w:t>(ש"ה פ"ט</w:t>
      </w:r>
      <w:r>
        <w:rPr>
          <w:rStyle w:val="af7"/>
          <w:rFonts w:eastAsia="Guttman Hodes" w:hint="cs"/>
          <w:rtl/>
        </w:rPr>
        <w:t xml:space="preserve"> ד"ה ובזה נראה</w:t>
      </w:r>
      <w:r w:rsidRPr="007E53E5">
        <w:rPr>
          <w:rStyle w:val="af7"/>
          <w:rFonts w:eastAsia="Guttman Hodes" w:hint="cs"/>
          <w:rtl/>
        </w:rPr>
        <w:t>)</w:t>
      </w:r>
      <w:r>
        <w:rPr>
          <w:rFonts w:hint="cs"/>
          <w:rtl/>
        </w:rPr>
        <w:t xml:space="preserve"> משמע שרוב הוא בירור גמור שאפשר להעמיד חזקה מכחו, </w:t>
      </w:r>
      <w:r w:rsidRPr="00BE6239">
        <w:rPr>
          <w:rStyle w:val="afb"/>
          <w:rFonts w:hint="cs"/>
          <w:rtl/>
        </w:rPr>
        <w:t xml:space="preserve">[דכתב </w:t>
      </w:r>
      <w:r w:rsidRPr="00BE6239">
        <w:rPr>
          <w:rStyle w:val="affa"/>
          <w:rFonts w:hint="cs"/>
          <w:rtl/>
        </w:rPr>
        <w:t>הש"ש</w:t>
      </w:r>
      <w:r w:rsidRPr="00BE6239">
        <w:rPr>
          <w:rStyle w:val="afb"/>
          <w:rFonts w:hint="cs"/>
          <w:rtl/>
        </w:rPr>
        <w:t xml:space="preserve"> דבאבדה הריאה</w:t>
      </w:r>
      <w:r>
        <w:rPr>
          <w:rStyle w:val="afb"/>
          <w:rFonts w:hint="cs"/>
          <w:rtl/>
        </w:rPr>
        <w:t>,</w:t>
      </w:r>
      <w:r w:rsidRPr="00BE6239">
        <w:rPr>
          <w:rStyle w:val="afb"/>
          <w:rFonts w:hint="cs"/>
          <w:rtl/>
        </w:rPr>
        <w:t xml:space="preserve"> בעגלים הרכים שלא מצויה בהם סירכא, מעמידים אותם על החזקה דכשנולדו לא היה בהם סירכא],</w:t>
      </w:r>
      <w:r>
        <w:rPr>
          <w:rFonts w:hint="cs"/>
          <w:rtl/>
        </w:rPr>
        <w:t xml:space="preserve"> עיי"ש בדבריו, וא"כ לדברי </w:t>
      </w:r>
      <w:r w:rsidRPr="00625138">
        <w:rPr>
          <w:rStyle w:val="af9"/>
          <w:rFonts w:hint="cs"/>
          <w:rtl/>
        </w:rPr>
        <w:t xml:space="preserve">הש"ש </w:t>
      </w:r>
      <w:r>
        <w:rPr>
          <w:rFonts w:hint="cs"/>
          <w:rtl/>
        </w:rPr>
        <w:t xml:space="preserve">קשה אמאי לא התירו </w:t>
      </w:r>
      <w:r w:rsidRPr="00625138">
        <w:rPr>
          <w:rStyle w:val="af9"/>
          <w:rFonts w:hint="cs"/>
          <w:rtl/>
        </w:rPr>
        <w:t>התוס'</w:t>
      </w:r>
      <w:r>
        <w:rPr>
          <w:rFonts w:hint="cs"/>
          <w:rtl/>
        </w:rPr>
        <w:t xml:space="preserve"> את הגבינות ע"י חזקה מכח רוב.</w:t>
      </w:r>
      <w:bookmarkEnd w:id="9238"/>
    </w:p>
    <w:p w14:paraId="7C85AF0D" w14:textId="77777777" w:rsidR="00D95C52" w:rsidRPr="006459B5" w:rsidRDefault="00D95C52" w:rsidP="006D6D32">
      <w:pPr>
        <w:pStyle w:val="a3"/>
        <w:rPr>
          <w:rtl/>
        </w:rPr>
      </w:pPr>
      <w:bookmarkStart w:id="9239" w:name="_Toc529739091"/>
      <w:bookmarkStart w:id="9240" w:name="_Toc19390252"/>
      <w:bookmarkStart w:id="9241" w:name="_Toc19393749"/>
      <w:r>
        <w:rPr>
          <w:rFonts w:hint="cs"/>
          <w:rtl/>
        </w:rPr>
        <w:t>דברי המקדש דוד דלתוס' בגבינות שיצאה מהרוב א"א להעמידה על חזקה מכח רוב</w:t>
      </w:r>
      <w:bookmarkEnd w:id="9239"/>
      <w:bookmarkEnd w:id="9240"/>
      <w:bookmarkEnd w:id="9241"/>
    </w:p>
    <w:p w14:paraId="2F9977FD" w14:textId="77777777" w:rsidR="00D95C52" w:rsidRDefault="00D95C52" w:rsidP="00223668">
      <w:pPr>
        <w:pStyle w:val="a0"/>
        <w:rPr>
          <w:rtl/>
        </w:rPr>
      </w:pPr>
      <w:r>
        <w:rPr>
          <w:rFonts w:hint="cs"/>
          <w:rtl/>
        </w:rPr>
        <w:t xml:space="preserve">אלא ביאר </w:t>
      </w:r>
      <w:r w:rsidRPr="00625138">
        <w:rPr>
          <w:rStyle w:val="af9"/>
          <w:rFonts w:hint="cs"/>
          <w:rtl/>
        </w:rPr>
        <w:t>בשיעורי המקדש דוד</w:t>
      </w:r>
      <w:r>
        <w:rPr>
          <w:rFonts w:hint="cs"/>
          <w:rtl/>
        </w:rPr>
        <w:t xml:space="preserve"> דרוב הוא בירור גמור שאפשר להעמיד מכחו את הבהמה בחזקת היתר, אף שיש מיעוט שמתנגד לרוב, אבל בגבינות כיון שיש ריעותא דטריפה לפנינו, א"כ נתברר שבהמה זו אינה מהרוב, וכיון שיצאה מהרוב א"א לסמוך על חזקתה שבתחילה הייתה בכלל הרוב ועכשיו נטרפה, דהא עתה אינה מהרוב.</w:t>
      </w:r>
    </w:p>
    <w:p w14:paraId="2D9CFEE7" w14:textId="77777777" w:rsidR="00D95C52" w:rsidRDefault="00D95C52" w:rsidP="006D6D32">
      <w:pPr>
        <w:pStyle w:val="a3"/>
        <w:rPr>
          <w:rtl/>
        </w:rPr>
      </w:pPr>
      <w:bookmarkStart w:id="9242" w:name="_Toc529739092"/>
      <w:bookmarkStart w:id="9243" w:name="_Toc19390253"/>
      <w:bookmarkStart w:id="9244" w:name="_Toc19393750"/>
      <w:r>
        <w:rPr>
          <w:rFonts w:hint="cs"/>
          <w:rtl/>
        </w:rPr>
        <w:t>הביאור הב' במקדש דוד דאין בכח הרוב לברר בירור גמור בספק היאך היייתה המציאות</w:t>
      </w:r>
      <w:bookmarkEnd w:id="9242"/>
      <w:bookmarkEnd w:id="9243"/>
      <w:bookmarkEnd w:id="9244"/>
    </w:p>
    <w:p w14:paraId="7AEB9D29" w14:textId="77777777" w:rsidR="00D95C52" w:rsidRDefault="00D95C52" w:rsidP="00223668">
      <w:pPr>
        <w:pStyle w:val="a0"/>
        <w:rPr>
          <w:rtl/>
        </w:rPr>
      </w:pPr>
      <w:r>
        <w:rPr>
          <w:rFonts w:hint="cs"/>
          <w:rtl/>
        </w:rPr>
        <w:t xml:space="preserve">ועוד ביאר </w:t>
      </w:r>
      <w:r w:rsidRPr="00625138">
        <w:rPr>
          <w:rStyle w:val="af9"/>
          <w:rFonts w:hint="cs"/>
          <w:rtl/>
        </w:rPr>
        <w:t>בשיעורי המקדש דוד</w:t>
      </w:r>
      <w:r>
        <w:rPr>
          <w:rFonts w:hint="cs"/>
          <w:rtl/>
        </w:rPr>
        <w:t xml:space="preserve"> דבאמת אין כח בבירור של הרוב להעמיד את הבהמה בחזקת היתר, אלא דכ"ז הוא בחזקה במציאות דכיון שכל מה שנתבררה לנו המציאות היא ע"י הרוב, א"א להעמיד מכח זה את הבהמה בחזקה שהייתה כשרה, דהמציאות מכח הרוב אינה בירור גמור.</w:t>
      </w:r>
    </w:p>
    <w:p w14:paraId="3BF92568" w14:textId="77777777" w:rsidR="00D95C52" w:rsidRPr="000C0DA4" w:rsidRDefault="00D95C52" w:rsidP="006D6D32">
      <w:pPr>
        <w:pStyle w:val="a3"/>
      </w:pPr>
      <w:bookmarkStart w:id="9245" w:name="_Toc529739093"/>
      <w:bookmarkStart w:id="9246" w:name="_Toc19390254"/>
      <w:bookmarkStart w:id="9247" w:name="_Toc19393751"/>
      <w:r>
        <w:rPr>
          <w:rFonts w:hint="cs"/>
          <w:rtl/>
        </w:rPr>
        <w:t>דברי המקדש דוד דיש כח לרוב להעמיד</w:t>
      </w:r>
      <w:r w:rsidRPr="006D3D53">
        <w:rPr>
          <w:rFonts w:hint="cs"/>
          <w:rtl/>
        </w:rPr>
        <w:t xml:space="preserve"> </w:t>
      </w:r>
      <w:r>
        <w:rPr>
          <w:rFonts w:hint="cs"/>
          <w:rtl/>
        </w:rPr>
        <w:t>בחזקת דין כיון שעצם הדין היה מותר</w:t>
      </w:r>
      <w:bookmarkEnd w:id="9245"/>
      <w:bookmarkEnd w:id="9246"/>
      <w:bookmarkEnd w:id="9247"/>
    </w:p>
    <w:p w14:paraId="601CD5D4" w14:textId="77777777" w:rsidR="00D95C52" w:rsidRDefault="00D95C52" w:rsidP="00223668">
      <w:pPr>
        <w:pStyle w:val="a0"/>
        <w:rPr>
          <w:rtl/>
        </w:rPr>
      </w:pPr>
      <w:r>
        <w:rPr>
          <w:rFonts w:hint="cs"/>
          <w:rtl/>
        </w:rPr>
        <w:t xml:space="preserve">אבל בחזקת דין [כנדון </w:t>
      </w:r>
      <w:r w:rsidRPr="00625138">
        <w:rPr>
          <w:rStyle w:val="af9"/>
          <w:rFonts w:hint="cs"/>
          <w:rtl/>
        </w:rPr>
        <w:t>הש"ש</w:t>
      </w:r>
      <w:r>
        <w:rPr>
          <w:rStyle w:val="af9"/>
          <w:rFonts w:hint="cs"/>
          <w:rtl/>
        </w:rPr>
        <w:t xml:space="preserve"> </w:t>
      </w:r>
      <w:r w:rsidRPr="00BD54FD">
        <w:rPr>
          <w:rStyle w:val="af7"/>
          <w:rFonts w:eastAsia="Guttman Hodes" w:hint="cs"/>
          <w:rtl/>
        </w:rPr>
        <w:t xml:space="preserve">(עי' אות </w:t>
      </w:r>
      <w:r w:rsidRPr="00BD54FD">
        <w:rPr>
          <w:rStyle w:val="af7"/>
          <w:rFonts w:eastAsia="Guttman Hodes"/>
          <w:rtl/>
        </w:rPr>
        <w:fldChar w:fldCharType="begin"/>
      </w:r>
      <w:r w:rsidRPr="00BD54FD">
        <w:rPr>
          <w:rStyle w:val="af7"/>
          <w:rFonts w:eastAsia="Guttman Hodes"/>
          <w:rtl/>
        </w:rPr>
        <w:instrText xml:space="preserve"> </w:instrText>
      </w:r>
      <w:r w:rsidRPr="00BD54FD">
        <w:rPr>
          <w:rStyle w:val="af7"/>
          <w:rFonts w:eastAsia="Guttman Hodes" w:hint="cs"/>
        </w:rPr>
        <w:instrText>REF</w:instrText>
      </w:r>
      <w:r w:rsidRPr="00BD54FD">
        <w:rPr>
          <w:rStyle w:val="af7"/>
          <w:rFonts w:eastAsia="Guttman Hodes" w:hint="cs"/>
          <w:rtl/>
        </w:rPr>
        <w:instrText xml:space="preserve"> _</w:instrText>
      </w:r>
      <w:r w:rsidRPr="00BD54FD">
        <w:rPr>
          <w:rStyle w:val="af7"/>
          <w:rFonts w:eastAsia="Guttman Hodes" w:hint="cs"/>
        </w:rPr>
        <w:instrText>Ref529393199 \r \h</w:instrText>
      </w:r>
      <w:r w:rsidRPr="00BD54FD">
        <w:rPr>
          <w:rStyle w:val="af7"/>
          <w:rFonts w:eastAsia="Guttman Hodes"/>
          <w:rtl/>
        </w:rPr>
        <w:instrText xml:space="preserve"> </w:instrText>
      </w:r>
      <w:r w:rsidRPr="00BD54FD">
        <w:rPr>
          <w:rStyle w:val="af7"/>
          <w:rFonts w:eastAsia="Guttman Hodes"/>
          <w:rtl/>
        </w:rPr>
      </w:r>
      <w:r w:rsidRPr="00BD54FD">
        <w:rPr>
          <w:rStyle w:val="af7"/>
          <w:rFonts w:eastAsia="Guttman Hodes"/>
          <w:rtl/>
        </w:rPr>
        <w:fldChar w:fldCharType="separate"/>
      </w:r>
      <w:r w:rsidR="00345400">
        <w:rPr>
          <w:rStyle w:val="af7"/>
          <w:rFonts w:eastAsia="Guttman Hodes"/>
          <w:cs/>
        </w:rPr>
        <w:t>‎</w:t>
      </w:r>
      <w:r w:rsidR="00345400">
        <w:rPr>
          <w:rStyle w:val="af7"/>
          <w:rFonts w:eastAsia="Guttman Hodes"/>
          <w:rtl/>
        </w:rPr>
        <w:t>קטו)</w:t>
      </w:r>
      <w:r w:rsidRPr="00BD54FD">
        <w:rPr>
          <w:rStyle w:val="af7"/>
          <w:rFonts w:eastAsia="Guttman Hodes"/>
          <w:rtl/>
        </w:rPr>
        <w:fldChar w:fldCharType="end"/>
      </w:r>
      <w:r>
        <w:rPr>
          <w:rFonts w:hint="cs"/>
          <w:rtl/>
        </w:rPr>
        <w:t xml:space="preserve">], כתב </w:t>
      </w:r>
      <w:r w:rsidRPr="00625138">
        <w:rPr>
          <w:rStyle w:val="af9"/>
          <w:rFonts w:hint="cs"/>
          <w:rtl/>
        </w:rPr>
        <w:t>בשיעורי המקדש דוד</w:t>
      </w:r>
      <w:r>
        <w:rPr>
          <w:rFonts w:hint="cs"/>
          <w:rtl/>
        </w:rPr>
        <w:t xml:space="preserve"> דבמקום שהיה היתר מחמת הרוב, אפשר להעמידו בחזקת דין שהוא מותר, ואף שכל ההיתר היה רק מחמת הרוב, מ"מ כיון שעצם הדין היה מותר הוא סיבה להחזיקו אף עכשיו בהיתר, והוי כחזקת ודאי.</w:t>
      </w:r>
    </w:p>
    <w:p w14:paraId="4D44180E" w14:textId="77777777" w:rsidR="00D95C52" w:rsidRPr="00F32AA5" w:rsidRDefault="00D95C52" w:rsidP="006D6D32">
      <w:pPr>
        <w:pStyle w:val="a3"/>
      </w:pPr>
    </w:p>
    <w:p w14:paraId="485BBC75" w14:textId="77777777" w:rsidR="00D95C52" w:rsidRDefault="00D95C52" w:rsidP="00BF39B2">
      <w:pPr>
        <w:pStyle w:val="1"/>
        <w:rPr>
          <w:rtl/>
        </w:rPr>
      </w:pPr>
      <w:bookmarkStart w:id="9248" w:name="_Toc529352436"/>
      <w:bookmarkStart w:id="9249" w:name="_Toc529445055"/>
      <w:bookmarkStart w:id="9250" w:name="_Toc529704569"/>
      <w:bookmarkStart w:id="9251" w:name="_Toc529739094"/>
      <w:bookmarkStart w:id="9252" w:name="_Toc19390255"/>
      <w:bookmarkStart w:id="9253" w:name="_Toc19393752"/>
      <w:r>
        <w:rPr>
          <w:rFonts w:hint="cs"/>
          <w:rtl/>
        </w:rPr>
        <w:t>ביאור הגר"י מפונביז' דא"א להתיר את הגבינות מדין רוב</w:t>
      </w:r>
      <w:bookmarkEnd w:id="9248"/>
      <w:bookmarkEnd w:id="9249"/>
      <w:bookmarkEnd w:id="9250"/>
      <w:bookmarkEnd w:id="9251"/>
      <w:bookmarkEnd w:id="9252"/>
      <w:bookmarkEnd w:id="9253"/>
    </w:p>
    <w:p w14:paraId="0259B983" w14:textId="77777777" w:rsidR="00D95C52" w:rsidRDefault="00D95C52" w:rsidP="006D6D32">
      <w:pPr>
        <w:pStyle w:val="a3"/>
        <w:rPr>
          <w:rtl/>
        </w:rPr>
      </w:pPr>
      <w:bookmarkStart w:id="9254" w:name="_Toc529445056"/>
      <w:bookmarkStart w:id="9255" w:name="_Toc529704570"/>
      <w:bookmarkStart w:id="9256" w:name="_Toc529739095"/>
      <w:bookmarkStart w:id="9257" w:name="_Toc19390256"/>
      <w:bookmarkStart w:id="9258" w:name="_Toc19393753"/>
      <w:r>
        <w:rPr>
          <w:rFonts w:hint="cs"/>
          <w:rtl/>
        </w:rPr>
        <w:t>קושית הגר"י מפונביז' אמאי א"א להתיר בגבינות ע"י הרוב דעד עכשיו הייתה בכלל הרוב</w:t>
      </w:r>
      <w:bookmarkEnd w:id="9254"/>
      <w:bookmarkEnd w:id="9255"/>
      <w:bookmarkEnd w:id="9256"/>
      <w:bookmarkEnd w:id="9257"/>
      <w:bookmarkEnd w:id="9258"/>
    </w:p>
    <w:p w14:paraId="472E845F" w14:textId="77777777" w:rsidR="00D95C52" w:rsidRDefault="00D95C52" w:rsidP="00223668">
      <w:pPr>
        <w:pStyle w:val="a0"/>
        <w:rPr>
          <w:rtl/>
        </w:rPr>
      </w:pPr>
      <w:bookmarkStart w:id="9259" w:name="_Ref529351967"/>
      <w:r w:rsidRPr="00476D7C">
        <w:rPr>
          <w:rStyle w:val="af9"/>
          <w:rFonts w:hint="cs"/>
          <w:rtl/>
        </w:rPr>
        <w:t>בשיעורי הגר"י מפונביז'</w:t>
      </w:r>
      <w:r>
        <w:rPr>
          <w:rFonts w:hint="cs"/>
          <w:rtl/>
        </w:rPr>
        <w:t xml:space="preserve"> </w:t>
      </w:r>
      <w:r w:rsidRPr="00324AF0">
        <w:rPr>
          <w:rStyle w:val="af7"/>
          <w:rFonts w:eastAsia="Guttman Hodes" w:hint="cs"/>
          <w:rtl/>
        </w:rPr>
        <w:t xml:space="preserve">(יבמות סי' ז' ד"ה והנה בחולין, נד' בספר שיעורי רבי יעקב יצחק רבינוביץ) </w:t>
      </w:r>
      <w:r>
        <w:rPr>
          <w:rFonts w:hint="cs"/>
          <w:rtl/>
        </w:rPr>
        <w:t xml:space="preserve">כתב בדעת </w:t>
      </w:r>
      <w:r w:rsidRPr="00476D7C">
        <w:rPr>
          <w:rStyle w:val="af9"/>
          <w:rFonts w:hint="cs"/>
          <w:rtl/>
        </w:rPr>
        <w:t>הרא"ש</w:t>
      </w:r>
      <w:r>
        <w:rPr>
          <w:rFonts w:hint="cs"/>
          <w:rtl/>
        </w:rPr>
        <w:t xml:space="preserve"> </w:t>
      </w:r>
      <w:r w:rsidRPr="00154972">
        <w:rPr>
          <w:rStyle w:val="af7"/>
          <w:rFonts w:eastAsia="Guttman Hodes" w:hint="cs"/>
          <w:rtl/>
        </w:rPr>
        <w:t xml:space="preserve">(עי' אות </w:t>
      </w:r>
      <w:r w:rsidRPr="00154972">
        <w:rPr>
          <w:rStyle w:val="af7"/>
          <w:rFonts w:eastAsia="Guttman Hodes"/>
          <w:rtl/>
        </w:rPr>
        <w:fldChar w:fldCharType="begin"/>
      </w:r>
      <w:r w:rsidRPr="00154972">
        <w:rPr>
          <w:rStyle w:val="af7"/>
          <w:rFonts w:eastAsia="Guttman Hodes"/>
          <w:rtl/>
        </w:rPr>
        <w:instrText xml:space="preserve"> </w:instrText>
      </w:r>
      <w:r w:rsidRPr="00154972">
        <w:rPr>
          <w:rStyle w:val="af7"/>
          <w:rFonts w:eastAsia="Guttman Hodes" w:hint="cs"/>
        </w:rPr>
        <w:instrText>REF</w:instrText>
      </w:r>
      <w:r w:rsidRPr="00154972">
        <w:rPr>
          <w:rStyle w:val="af7"/>
          <w:rFonts w:eastAsia="Guttman Hodes" w:hint="cs"/>
          <w:rtl/>
        </w:rPr>
        <w:instrText xml:space="preserve"> _</w:instrText>
      </w:r>
      <w:r w:rsidRPr="00154972">
        <w:rPr>
          <w:rStyle w:val="af7"/>
          <w:rFonts w:eastAsia="Guttman Hodes" w:hint="cs"/>
        </w:rPr>
        <w:instrText>Ref522611646 \r \h</w:instrText>
      </w:r>
      <w:r w:rsidRPr="00154972">
        <w:rPr>
          <w:rStyle w:val="af7"/>
          <w:rFonts w:eastAsia="Guttman Hodes"/>
          <w:rtl/>
        </w:rPr>
        <w:instrText xml:space="preserve"> </w:instrText>
      </w:r>
      <w:r w:rsidRPr="00154972">
        <w:rPr>
          <w:rStyle w:val="af7"/>
          <w:rFonts w:eastAsia="Guttman Hodes"/>
          <w:rtl/>
        </w:rPr>
      </w:r>
      <w:r w:rsidRPr="00154972">
        <w:rPr>
          <w:rStyle w:val="af7"/>
          <w:rFonts w:eastAsia="Guttman Hodes"/>
          <w:rtl/>
        </w:rPr>
        <w:fldChar w:fldCharType="separate"/>
      </w:r>
      <w:r w:rsidR="00345400">
        <w:rPr>
          <w:rStyle w:val="af7"/>
          <w:rFonts w:eastAsia="Guttman Hodes"/>
          <w:cs/>
        </w:rPr>
        <w:t>‎</w:t>
      </w:r>
      <w:r w:rsidR="00345400">
        <w:rPr>
          <w:rStyle w:val="af7"/>
          <w:rFonts w:eastAsia="Guttman Hodes"/>
          <w:rtl/>
        </w:rPr>
        <w:t>טז)</w:t>
      </w:r>
      <w:r w:rsidRPr="00154972">
        <w:rPr>
          <w:rStyle w:val="af7"/>
          <w:rFonts w:eastAsia="Guttman Hodes"/>
          <w:rtl/>
        </w:rPr>
        <w:fldChar w:fldCharType="end"/>
      </w:r>
      <w:r>
        <w:rPr>
          <w:rFonts w:hint="cs"/>
          <w:rtl/>
        </w:rPr>
        <w:t xml:space="preserve"> </w:t>
      </w:r>
      <w:r>
        <w:rPr>
          <w:rStyle w:val="afb"/>
          <w:rFonts w:hint="cs"/>
          <w:rtl/>
        </w:rPr>
        <w:t>[</w:t>
      </w:r>
      <w:r w:rsidRPr="00154972">
        <w:rPr>
          <w:rStyle w:val="afb"/>
          <w:rFonts w:hint="cs"/>
          <w:rtl/>
        </w:rPr>
        <w:t>עי' הערה</w:t>
      </w:r>
      <w:r w:rsidRPr="00324AF0">
        <w:rPr>
          <w:vertAlign w:val="superscript"/>
          <w:rtl/>
        </w:rPr>
        <w:fldChar w:fldCharType="begin"/>
      </w:r>
      <w:r w:rsidRPr="00324AF0">
        <w:rPr>
          <w:vertAlign w:val="superscript"/>
          <w:rtl/>
        </w:rPr>
        <w:instrText xml:space="preserve"> </w:instrText>
      </w:r>
      <w:r w:rsidRPr="00324AF0">
        <w:rPr>
          <w:rFonts w:hint="cs"/>
          <w:vertAlign w:val="superscript"/>
        </w:rPr>
        <w:instrText>NOTEREF</w:instrText>
      </w:r>
      <w:r w:rsidRPr="00324AF0">
        <w:rPr>
          <w:rFonts w:hint="cs"/>
          <w:vertAlign w:val="superscript"/>
          <w:rtl/>
        </w:rPr>
        <w:instrText xml:space="preserve"> _</w:instrText>
      </w:r>
      <w:r w:rsidRPr="00324AF0">
        <w:rPr>
          <w:rFonts w:hint="cs"/>
          <w:vertAlign w:val="superscript"/>
        </w:rPr>
        <w:instrText>Ref529351767 \h</w:instrText>
      </w:r>
      <w:r w:rsidRPr="00324AF0">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324AF0">
        <w:rPr>
          <w:vertAlign w:val="superscript"/>
          <w:rtl/>
        </w:rPr>
      </w:r>
      <w:r w:rsidRPr="00324AF0">
        <w:rPr>
          <w:vertAlign w:val="superscript"/>
          <w:rtl/>
        </w:rPr>
        <w:fldChar w:fldCharType="separate"/>
      </w:r>
      <w:r w:rsidR="00345400">
        <w:rPr>
          <w:vertAlign w:val="superscript"/>
          <w:rtl/>
        </w:rPr>
        <w:t>59</w:t>
      </w:r>
      <w:r w:rsidRPr="00324AF0">
        <w:rPr>
          <w:vertAlign w:val="superscript"/>
          <w:rtl/>
        </w:rPr>
        <w:fldChar w:fldCharType="end"/>
      </w:r>
      <w:r w:rsidRPr="00154972">
        <w:rPr>
          <w:rStyle w:val="afb"/>
          <w:rFonts w:hint="cs"/>
          <w:rtl/>
        </w:rPr>
        <w:t>]</w:t>
      </w:r>
      <w:r>
        <w:rPr>
          <w:rStyle w:val="af7"/>
          <w:rFonts w:eastAsia="Guttman Hodes" w:hint="cs"/>
          <w:rtl/>
        </w:rPr>
        <w:t xml:space="preserve"> </w:t>
      </w:r>
      <w:r>
        <w:rPr>
          <w:rFonts w:hint="cs"/>
          <w:rtl/>
        </w:rPr>
        <w:t xml:space="preserve">דההיתר בגבינות הוא ע"י חזקה מכח רוב, ולא ע"י הרוב, והקשה </w:t>
      </w:r>
      <w:r w:rsidRPr="00476D7C">
        <w:rPr>
          <w:rStyle w:val="af9"/>
          <w:rFonts w:hint="cs"/>
          <w:rtl/>
        </w:rPr>
        <w:t>בשיעורי הגר"י מפונביז'</w:t>
      </w:r>
      <w:r>
        <w:rPr>
          <w:rFonts w:hint="cs"/>
          <w:rtl/>
        </w:rPr>
        <w:t xml:space="preserve"> דאמאי א"א להתיר ע"י הרוב עצמו, דהרוב מברר שעד עכשיו לא הייתה טריפה ועכשיו נטרפה</w:t>
      </w:r>
      <w:r w:rsidRPr="0056604D">
        <w:rPr>
          <w:rStyle w:val="afb"/>
          <w:rFonts w:hint="cs"/>
          <w:rtl/>
        </w:rPr>
        <w:t>, [</w:t>
      </w:r>
      <w:r>
        <w:rPr>
          <w:rStyle w:val="afb"/>
          <w:rFonts w:hint="cs"/>
          <w:rtl/>
        </w:rPr>
        <w:t>ויעוי' בדברי</w:t>
      </w:r>
      <w:r w:rsidRPr="0056604D">
        <w:rPr>
          <w:rStyle w:val="afb"/>
          <w:rFonts w:hint="cs"/>
          <w:rtl/>
        </w:rPr>
        <w:t xml:space="preserve"> </w:t>
      </w:r>
      <w:r w:rsidRPr="0056604D">
        <w:rPr>
          <w:rStyle w:val="affa"/>
          <w:rFonts w:hint="cs"/>
          <w:rtl/>
        </w:rPr>
        <w:t>הר"א משנץ</w:t>
      </w:r>
      <w:r w:rsidRPr="0056604D">
        <w:rPr>
          <w:rStyle w:val="afb"/>
          <w:rFonts w:hint="cs"/>
          <w:rtl/>
        </w:rPr>
        <w:t xml:space="preserve"> </w:t>
      </w:r>
      <w:r w:rsidRPr="0056604D">
        <w:rPr>
          <w:rStyle w:val="aff6"/>
          <w:rFonts w:hint="cs"/>
          <w:rtl/>
        </w:rPr>
        <w:t xml:space="preserve">(עי' אות </w:t>
      </w:r>
      <w:r w:rsidRPr="0056604D">
        <w:rPr>
          <w:rStyle w:val="aff6"/>
          <w:rtl/>
        </w:rPr>
        <w:fldChar w:fldCharType="begin"/>
      </w:r>
      <w:r w:rsidRPr="0056604D">
        <w:rPr>
          <w:rStyle w:val="aff6"/>
          <w:rtl/>
        </w:rPr>
        <w:instrText xml:space="preserve"> </w:instrText>
      </w:r>
      <w:r w:rsidRPr="0056604D">
        <w:rPr>
          <w:rStyle w:val="aff6"/>
          <w:rFonts w:hint="cs"/>
        </w:rPr>
        <w:instrText>REF</w:instrText>
      </w:r>
      <w:r w:rsidRPr="0056604D">
        <w:rPr>
          <w:rStyle w:val="aff6"/>
          <w:rFonts w:hint="cs"/>
          <w:rtl/>
        </w:rPr>
        <w:instrText xml:space="preserve"> _</w:instrText>
      </w:r>
      <w:r w:rsidRPr="0056604D">
        <w:rPr>
          <w:rStyle w:val="aff6"/>
          <w:rFonts w:hint="cs"/>
        </w:rPr>
        <w:instrText>Ref529351743 \r \h</w:instrText>
      </w:r>
      <w:r w:rsidRPr="0056604D">
        <w:rPr>
          <w:rStyle w:val="aff6"/>
          <w:rtl/>
        </w:rPr>
        <w:instrText xml:space="preserve"> </w:instrText>
      </w:r>
      <w:r w:rsidRPr="0056604D">
        <w:rPr>
          <w:rStyle w:val="aff6"/>
          <w:rtl/>
        </w:rPr>
      </w:r>
      <w:r w:rsidRPr="0056604D">
        <w:rPr>
          <w:rStyle w:val="aff6"/>
          <w:rtl/>
        </w:rPr>
        <w:fldChar w:fldCharType="separate"/>
      </w:r>
      <w:r w:rsidR="00345400">
        <w:rPr>
          <w:rStyle w:val="aff6"/>
          <w:cs/>
        </w:rPr>
        <w:t>‎</w:t>
      </w:r>
      <w:r w:rsidR="00345400">
        <w:rPr>
          <w:rStyle w:val="aff6"/>
          <w:rtl/>
        </w:rPr>
        <w:t>נד)</w:t>
      </w:r>
      <w:r w:rsidRPr="0056604D">
        <w:rPr>
          <w:rStyle w:val="aff6"/>
          <w:rtl/>
        </w:rPr>
        <w:fldChar w:fldCharType="end"/>
      </w:r>
      <w:r w:rsidRPr="0056604D">
        <w:rPr>
          <w:rStyle w:val="afb"/>
          <w:rFonts w:hint="cs"/>
          <w:rtl/>
        </w:rPr>
        <w:t xml:space="preserve"> </w:t>
      </w:r>
      <w:r w:rsidRPr="0056604D">
        <w:rPr>
          <w:rStyle w:val="affa"/>
          <w:rFonts w:hint="cs"/>
          <w:rtl/>
        </w:rPr>
        <w:t>והתור"פ</w:t>
      </w:r>
      <w:r w:rsidRPr="0056604D">
        <w:rPr>
          <w:rStyle w:val="afb"/>
          <w:rFonts w:hint="cs"/>
          <w:rtl/>
        </w:rPr>
        <w:t xml:space="preserve"> </w:t>
      </w:r>
      <w:r w:rsidRPr="0056604D">
        <w:rPr>
          <w:rStyle w:val="aff6"/>
          <w:rFonts w:hint="cs"/>
          <w:rtl/>
        </w:rPr>
        <w:t xml:space="preserve">(עי' אות </w:t>
      </w:r>
      <w:r w:rsidRPr="0056604D">
        <w:rPr>
          <w:rStyle w:val="aff6"/>
          <w:rtl/>
        </w:rPr>
        <w:fldChar w:fldCharType="begin"/>
      </w:r>
      <w:r w:rsidRPr="0056604D">
        <w:rPr>
          <w:rStyle w:val="aff6"/>
          <w:rtl/>
        </w:rPr>
        <w:instrText xml:space="preserve"> </w:instrText>
      </w:r>
      <w:r w:rsidRPr="0056604D">
        <w:rPr>
          <w:rStyle w:val="aff6"/>
          <w:rFonts w:hint="cs"/>
        </w:rPr>
        <w:instrText>REF</w:instrText>
      </w:r>
      <w:r w:rsidRPr="0056604D">
        <w:rPr>
          <w:rStyle w:val="aff6"/>
          <w:rFonts w:hint="cs"/>
          <w:rtl/>
        </w:rPr>
        <w:instrText xml:space="preserve"> _</w:instrText>
      </w:r>
      <w:r w:rsidRPr="0056604D">
        <w:rPr>
          <w:rStyle w:val="aff6"/>
          <w:rFonts w:hint="cs"/>
        </w:rPr>
        <w:instrText>Ref529351750 \r \h</w:instrText>
      </w:r>
      <w:r w:rsidRPr="0056604D">
        <w:rPr>
          <w:rStyle w:val="aff6"/>
          <w:rtl/>
        </w:rPr>
        <w:instrText xml:space="preserve"> </w:instrText>
      </w:r>
      <w:r w:rsidRPr="0056604D">
        <w:rPr>
          <w:rStyle w:val="aff6"/>
          <w:rtl/>
        </w:rPr>
      </w:r>
      <w:r w:rsidRPr="0056604D">
        <w:rPr>
          <w:rStyle w:val="aff6"/>
          <w:rtl/>
        </w:rPr>
        <w:fldChar w:fldCharType="separate"/>
      </w:r>
      <w:r w:rsidR="00345400">
        <w:rPr>
          <w:rStyle w:val="aff6"/>
          <w:cs/>
        </w:rPr>
        <w:t>‎</w:t>
      </w:r>
      <w:r w:rsidR="00345400">
        <w:rPr>
          <w:rStyle w:val="aff6"/>
          <w:rtl/>
        </w:rPr>
        <w:t>נה)</w:t>
      </w:r>
      <w:r w:rsidRPr="0056604D">
        <w:rPr>
          <w:rStyle w:val="aff6"/>
          <w:rtl/>
        </w:rPr>
        <w:fldChar w:fldCharType="end"/>
      </w:r>
      <w:r>
        <w:rPr>
          <w:rStyle w:val="afb"/>
          <w:rFonts w:hint="cs"/>
          <w:rtl/>
        </w:rPr>
        <w:t xml:space="preserve"> דכתבו דמהני הרוב לומר שעכשיו נטרפה</w:t>
      </w:r>
      <w:r w:rsidRPr="0056604D">
        <w:rPr>
          <w:rStyle w:val="afb"/>
          <w:rFonts w:hint="cs"/>
          <w:rtl/>
        </w:rPr>
        <w:t>]</w:t>
      </w:r>
      <w:r>
        <w:rPr>
          <w:rFonts w:hint="cs"/>
          <w:rtl/>
        </w:rPr>
        <w:t>.</w:t>
      </w:r>
      <w:bookmarkEnd w:id="9259"/>
    </w:p>
    <w:p w14:paraId="5E9909AD" w14:textId="77777777" w:rsidR="00D95C52" w:rsidRDefault="00D95C52" w:rsidP="006D6D32">
      <w:pPr>
        <w:pStyle w:val="a3"/>
        <w:rPr>
          <w:rtl/>
        </w:rPr>
      </w:pPr>
      <w:bookmarkStart w:id="9260" w:name="_Toc529445057"/>
      <w:bookmarkStart w:id="9261" w:name="_Toc529704571"/>
      <w:bookmarkStart w:id="9262" w:name="_Toc529739096"/>
      <w:bookmarkStart w:id="9263" w:name="_Toc19390257"/>
      <w:bookmarkStart w:id="9264" w:name="_Toc19393754"/>
      <w:r>
        <w:rPr>
          <w:rFonts w:hint="cs"/>
          <w:rtl/>
        </w:rPr>
        <w:t>ביאור הגר"י מפונביז" דבחזקה שהספק הוא בשינוי אפש"ל שהיה שינוי קטן שנשתנה בזמן מאוחר</w:t>
      </w:r>
      <w:bookmarkEnd w:id="9260"/>
      <w:bookmarkEnd w:id="9261"/>
      <w:bookmarkEnd w:id="9262"/>
      <w:bookmarkEnd w:id="9263"/>
      <w:bookmarkEnd w:id="9264"/>
    </w:p>
    <w:p w14:paraId="30152889" w14:textId="77777777" w:rsidR="00D95C52" w:rsidRDefault="00D95C52" w:rsidP="00223668">
      <w:pPr>
        <w:pStyle w:val="a0"/>
        <w:rPr>
          <w:rtl/>
        </w:rPr>
      </w:pPr>
      <w:r>
        <w:rPr>
          <w:rFonts w:hint="cs"/>
          <w:rtl/>
        </w:rPr>
        <w:t xml:space="preserve">וביאר </w:t>
      </w:r>
      <w:r w:rsidRPr="00476D7C">
        <w:rPr>
          <w:rStyle w:val="af9"/>
          <w:rFonts w:hint="cs"/>
          <w:rtl/>
        </w:rPr>
        <w:t>בשיעורי הגר"י מפונביז'</w:t>
      </w:r>
      <w:r>
        <w:rPr>
          <w:rFonts w:hint="cs"/>
          <w:rtl/>
        </w:rPr>
        <w:t xml:space="preserve"> דבחזקה הספק הוא על הדבר עצמו האם היה בו שינוי או לא, ואין הספק על דין האיסור או ההיתר, אלא על עצם הדבר, ולכן במקום שיש ספק האם היה שינוי, מעמידים על החזקה שלא היה שינוי כלל, ובמקום שהספק האם היה יותר שינוי, דהיינו האם נשתנה לפני הרבה זמן, או שהשינוי היה בזמן המאוחר, מעמידים על החזקה שהיה פחות שינוי, דהיינו שנשתנה בזמן המאוחר.</w:t>
      </w:r>
    </w:p>
    <w:p w14:paraId="36C0DED2" w14:textId="77777777" w:rsidR="00D95C52" w:rsidRDefault="00D95C52" w:rsidP="006D6D32">
      <w:pPr>
        <w:pStyle w:val="a3"/>
        <w:rPr>
          <w:rtl/>
        </w:rPr>
      </w:pPr>
      <w:bookmarkStart w:id="9265" w:name="_Toc529445058"/>
      <w:bookmarkStart w:id="9266" w:name="_Toc529704572"/>
      <w:bookmarkStart w:id="9267" w:name="_Toc529739097"/>
      <w:bookmarkStart w:id="9268" w:name="_Toc19390258"/>
      <w:bookmarkStart w:id="9269" w:name="_Toc19393755"/>
      <w:r>
        <w:rPr>
          <w:rFonts w:hint="cs"/>
          <w:rtl/>
        </w:rPr>
        <w:t>ביאור הגר"י מפונביז' דברוב הספק אם היה מעשה טריפה ובודאי טריפה א"א להעמיד בזמן מאוחר</w:t>
      </w:r>
      <w:bookmarkEnd w:id="9265"/>
      <w:bookmarkEnd w:id="9266"/>
      <w:bookmarkEnd w:id="9267"/>
      <w:bookmarkEnd w:id="9268"/>
      <w:bookmarkEnd w:id="9269"/>
    </w:p>
    <w:p w14:paraId="2030E9F8" w14:textId="77777777" w:rsidR="00D95C52" w:rsidRPr="009E52E7" w:rsidRDefault="00D95C52" w:rsidP="00223668">
      <w:pPr>
        <w:pStyle w:val="a0"/>
        <w:rPr>
          <w:rtl/>
        </w:rPr>
      </w:pPr>
      <w:r>
        <w:rPr>
          <w:rFonts w:hint="cs"/>
          <w:rtl/>
        </w:rPr>
        <w:t xml:space="preserve">אבל ברוב ביאר </w:t>
      </w:r>
      <w:r w:rsidRPr="00476D7C">
        <w:rPr>
          <w:rStyle w:val="af9"/>
          <w:rFonts w:hint="cs"/>
          <w:rtl/>
        </w:rPr>
        <w:t>בשיעורי הגר"י מפונביז'</w:t>
      </w:r>
      <w:r>
        <w:rPr>
          <w:rFonts w:hint="cs"/>
          <w:rtl/>
        </w:rPr>
        <w:t xml:space="preserve"> דהספק הוא האם אירע מעשה טריפה בבהמה, וע"י רוב אמרינן שלא היה בה מעשה טריפה, דרוב בהמות לא יקרה בהם מעשה שמטריף אותם, אבל הכא דנמצאת טריפה, וידוע שאירע בה מעשה שמטריף אותה, והספק הוא מתי אירע המעשה, בזמן מוקדם או בזמן מאוחר, בזה אין דין הרוב אומר שאירע בזמן המאוחר.</w:t>
      </w:r>
    </w:p>
    <w:p w14:paraId="0F8C941B" w14:textId="77777777" w:rsidR="00D95C52" w:rsidRDefault="00D95C52" w:rsidP="00BF39B2">
      <w:pPr>
        <w:pStyle w:val="1"/>
        <w:rPr>
          <w:rtl/>
        </w:rPr>
      </w:pPr>
      <w:bookmarkStart w:id="9270" w:name="_Toc529352429"/>
      <w:bookmarkStart w:id="9271" w:name="_Toc529445048"/>
      <w:bookmarkStart w:id="9272" w:name="_Toc529704573"/>
      <w:bookmarkStart w:id="9273" w:name="_Toc529739098"/>
      <w:bookmarkStart w:id="9274" w:name="_Toc19390259"/>
      <w:bookmarkStart w:id="9275" w:name="_Toc19393756"/>
      <w:r>
        <w:rPr>
          <w:rFonts w:hint="cs"/>
          <w:rtl/>
        </w:rPr>
        <w:t>ביאור הקה</w:t>
      </w:r>
      <w:bookmarkEnd w:id="9270"/>
      <w:bookmarkEnd w:id="9271"/>
      <w:r>
        <w:rPr>
          <w:rFonts w:hint="cs"/>
          <w:rtl/>
        </w:rPr>
        <w:t>"י בפלוגתת התוס' והרשב"א בחזקה מכח רוב</w:t>
      </w:r>
      <w:bookmarkEnd w:id="9272"/>
      <w:bookmarkEnd w:id="9273"/>
      <w:bookmarkEnd w:id="9274"/>
      <w:bookmarkEnd w:id="9275"/>
    </w:p>
    <w:p w14:paraId="1F1A8E73" w14:textId="77777777" w:rsidR="00D95C52" w:rsidRDefault="00D95C52" w:rsidP="006D6D32">
      <w:pPr>
        <w:pStyle w:val="a3"/>
        <w:rPr>
          <w:rtl/>
        </w:rPr>
      </w:pPr>
      <w:bookmarkStart w:id="9276" w:name="_Toc529352432"/>
      <w:bookmarkStart w:id="9277" w:name="_Toc529445051"/>
      <w:bookmarkStart w:id="9278" w:name="_Toc529704574"/>
      <w:bookmarkStart w:id="9279" w:name="_Toc529739099"/>
      <w:bookmarkStart w:id="9280" w:name="_Toc19390260"/>
      <w:bookmarkStart w:id="9281" w:name="_Toc19393757"/>
      <w:r w:rsidRPr="00655ED6">
        <w:rPr>
          <w:rFonts w:hint="cs"/>
          <w:rtl/>
        </w:rPr>
        <w:t>דברי הקה"י דדוקא בודאי טריפה צריך שתתברר החזקה כיון שיצאה מהרוב</w:t>
      </w:r>
      <w:bookmarkEnd w:id="9276"/>
      <w:bookmarkEnd w:id="9277"/>
      <w:bookmarkEnd w:id="9278"/>
      <w:bookmarkEnd w:id="9279"/>
      <w:bookmarkEnd w:id="9280"/>
      <w:bookmarkEnd w:id="9281"/>
    </w:p>
    <w:p w14:paraId="58D7A5EC" w14:textId="77777777" w:rsidR="00D95C52" w:rsidRDefault="00D95C52" w:rsidP="00223668">
      <w:pPr>
        <w:pStyle w:val="a0"/>
        <w:rPr>
          <w:rtl/>
        </w:rPr>
      </w:pPr>
      <w:bookmarkStart w:id="9282" w:name="_Ref529479642"/>
      <w:r>
        <w:rPr>
          <w:rFonts w:hint="cs"/>
          <w:rtl/>
        </w:rPr>
        <w:t xml:space="preserve">כתב </w:t>
      </w:r>
      <w:r w:rsidRPr="00527A47">
        <w:rPr>
          <w:rStyle w:val="af9"/>
          <w:rFonts w:hint="cs"/>
          <w:rtl/>
        </w:rPr>
        <w:t xml:space="preserve">הקה"י </w:t>
      </w:r>
      <w:r w:rsidRPr="00D52338">
        <w:rPr>
          <w:rStyle w:val="af7"/>
          <w:rFonts w:eastAsia="Guttman Hodes" w:hint="cs"/>
          <w:rtl/>
        </w:rPr>
        <w:t xml:space="preserve">(סי' ו' א' ד"ה אמנם) </w:t>
      </w:r>
      <w:r>
        <w:rPr>
          <w:rFonts w:hint="cs"/>
          <w:rtl/>
        </w:rPr>
        <w:t xml:space="preserve">דאף לדעת </w:t>
      </w:r>
      <w:r w:rsidRPr="00527A47">
        <w:rPr>
          <w:rStyle w:val="af9"/>
          <w:rFonts w:hint="cs"/>
          <w:rtl/>
        </w:rPr>
        <w:t xml:space="preserve">התוס' </w:t>
      </w:r>
      <w:r w:rsidRPr="00D52338">
        <w:rPr>
          <w:rStyle w:val="af7"/>
          <w:rFonts w:eastAsia="Guttman Hodes" w:hint="cs"/>
          <w:rtl/>
        </w:rPr>
        <w:t xml:space="preserve">(עי' אות </w:t>
      </w:r>
      <w:r w:rsidRPr="00D52338">
        <w:rPr>
          <w:rStyle w:val="af7"/>
          <w:rFonts w:eastAsia="Guttman Hodes"/>
          <w:rtl/>
        </w:rPr>
        <w:fldChar w:fldCharType="begin"/>
      </w:r>
      <w:r w:rsidRPr="00D52338">
        <w:rPr>
          <w:rStyle w:val="af7"/>
          <w:rFonts w:eastAsia="Guttman Hodes"/>
          <w:rtl/>
        </w:rPr>
        <w:instrText xml:space="preserve"> </w:instrText>
      </w:r>
      <w:r w:rsidRPr="00D52338">
        <w:rPr>
          <w:rStyle w:val="af7"/>
          <w:rFonts w:eastAsia="Guttman Hodes" w:hint="cs"/>
        </w:rPr>
        <w:instrText>REF</w:instrText>
      </w:r>
      <w:r w:rsidRPr="00D52338">
        <w:rPr>
          <w:rStyle w:val="af7"/>
          <w:rFonts w:eastAsia="Guttman Hodes" w:hint="cs"/>
          <w:rtl/>
        </w:rPr>
        <w:instrText xml:space="preserve"> _</w:instrText>
      </w:r>
      <w:r w:rsidRPr="00D52338">
        <w:rPr>
          <w:rStyle w:val="af7"/>
          <w:rFonts w:eastAsia="Guttman Hodes" w:hint="cs"/>
        </w:rPr>
        <w:instrText>Ref529121640 \r \h</w:instrText>
      </w:r>
      <w:r w:rsidRPr="00D52338">
        <w:rPr>
          <w:rStyle w:val="af7"/>
          <w:rFonts w:eastAsia="Guttman Hodes"/>
          <w:rtl/>
        </w:rPr>
        <w:instrText xml:space="preserve"> </w:instrText>
      </w:r>
      <w:r w:rsidRPr="00D52338">
        <w:rPr>
          <w:rStyle w:val="af7"/>
          <w:rFonts w:eastAsia="Guttman Hodes"/>
          <w:rtl/>
        </w:rPr>
      </w:r>
      <w:r w:rsidRPr="00D52338">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D52338">
        <w:rPr>
          <w:rStyle w:val="af7"/>
          <w:rFonts w:eastAsia="Guttman Hodes"/>
          <w:rtl/>
        </w:rPr>
        <w:fldChar w:fldCharType="end"/>
      </w:r>
      <w:r>
        <w:rPr>
          <w:rStyle w:val="af9"/>
          <w:rFonts w:hint="cs"/>
          <w:rtl/>
        </w:rPr>
        <w:t xml:space="preserve"> </w:t>
      </w:r>
      <w:r>
        <w:rPr>
          <w:rFonts w:hint="cs"/>
          <w:rtl/>
        </w:rPr>
        <w:t xml:space="preserve">אזלינן בתר חזקה מכח רוב, אלא דבודאי טריפה התברר שיצאה מהרוב, והספק הוא אם יצאה מהרוב לפני שנחלבו ממנה הגבינות, או שנטרפה לאחר שנחלבו הגבינות, ובזה אין כח לרוב להכריע כלל, דכיון שהבהמה אינה כהרוב אין כל סיבה לומר שעכשיו יצאה מהרוב ולא קודם לכן, וכל מה שאפשר לומר שנטרפה עכשיו הוא מדין חזקה, ובזה כתבו </w:t>
      </w:r>
      <w:r w:rsidRPr="00527A47">
        <w:rPr>
          <w:rStyle w:val="af9"/>
          <w:rFonts w:hint="cs"/>
          <w:rtl/>
        </w:rPr>
        <w:t>התוס'</w:t>
      </w:r>
      <w:r>
        <w:rPr>
          <w:rFonts w:hint="cs"/>
          <w:rtl/>
        </w:rPr>
        <w:t xml:space="preserve"> דלא אזלינן בתר חזקה שלא נתבררה בשעתה.</w:t>
      </w:r>
      <w:bookmarkEnd w:id="9282"/>
    </w:p>
    <w:p w14:paraId="640527E6" w14:textId="77777777" w:rsidR="00D95C52" w:rsidRDefault="00D95C52" w:rsidP="006D6D32">
      <w:pPr>
        <w:pStyle w:val="a3"/>
        <w:rPr>
          <w:rtl/>
        </w:rPr>
      </w:pPr>
      <w:bookmarkStart w:id="9283" w:name="_Toc529739100"/>
      <w:bookmarkStart w:id="9284" w:name="_Toc19390261"/>
      <w:bookmarkStart w:id="9285" w:name="_Toc19393758"/>
      <w:r>
        <w:rPr>
          <w:rFonts w:hint="cs"/>
          <w:rtl/>
        </w:rPr>
        <w:t>דברי הקה"י בדעת הרשב"א דהבהמה הוחזקה ממילא ע"י הרוב</w:t>
      </w:r>
      <w:bookmarkEnd w:id="9283"/>
      <w:bookmarkEnd w:id="9284"/>
      <w:bookmarkEnd w:id="9285"/>
    </w:p>
    <w:p w14:paraId="34D8823D" w14:textId="77777777" w:rsidR="00C27C5A" w:rsidRDefault="00D95C52" w:rsidP="00223668">
      <w:pPr>
        <w:pStyle w:val="a0"/>
        <w:rPr>
          <w:rtl/>
        </w:rPr>
        <w:sectPr w:rsidR="00C27C5A" w:rsidSect="004069C6">
          <w:type w:val="continuous"/>
          <w:pgSz w:w="11906" w:h="16838"/>
          <w:pgMar w:top="720" w:right="720" w:bottom="720" w:left="720" w:header="283" w:footer="283" w:gutter="0"/>
          <w:cols w:num="2" w:space="567"/>
          <w:titlePg/>
          <w:bidi/>
          <w:rtlGutter/>
          <w:docGrid w:linePitch="299"/>
        </w:sectPr>
      </w:pPr>
      <w:bookmarkStart w:id="9286" w:name="_Ref529479671"/>
      <w:r>
        <w:rPr>
          <w:rFonts w:hint="cs"/>
          <w:rtl/>
        </w:rPr>
        <w:t xml:space="preserve">ובדעת </w:t>
      </w:r>
      <w:r w:rsidRPr="00527A47">
        <w:rPr>
          <w:rStyle w:val="af9"/>
          <w:rFonts w:hint="cs"/>
          <w:rtl/>
        </w:rPr>
        <w:t xml:space="preserve">הרשב"א </w:t>
      </w:r>
      <w:r w:rsidRPr="00D52338">
        <w:rPr>
          <w:rStyle w:val="af7"/>
          <w:rFonts w:eastAsia="Guttman Hodes" w:hint="cs"/>
          <w:rtl/>
        </w:rPr>
        <w:t xml:space="preserve">(עי' אות </w:t>
      </w:r>
      <w:r w:rsidRPr="00D52338">
        <w:rPr>
          <w:rStyle w:val="af7"/>
          <w:rFonts w:eastAsia="Guttman Hodes"/>
          <w:rtl/>
        </w:rPr>
        <w:fldChar w:fldCharType="begin"/>
      </w:r>
      <w:r w:rsidRPr="00D52338">
        <w:rPr>
          <w:rStyle w:val="af7"/>
          <w:rFonts w:eastAsia="Guttman Hodes"/>
          <w:rtl/>
        </w:rPr>
        <w:instrText xml:space="preserve"> </w:instrText>
      </w:r>
      <w:r w:rsidRPr="00D52338">
        <w:rPr>
          <w:rStyle w:val="af7"/>
          <w:rFonts w:eastAsia="Guttman Hodes" w:hint="cs"/>
        </w:rPr>
        <w:instrText>REF</w:instrText>
      </w:r>
      <w:r w:rsidRPr="00D52338">
        <w:rPr>
          <w:rStyle w:val="af7"/>
          <w:rFonts w:eastAsia="Guttman Hodes" w:hint="cs"/>
          <w:rtl/>
        </w:rPr>
        <w:instrText xml:space="preserve"> _</w:instrText>
      </w:r>
      <w:r w:rsidRPr="00D52338">
        <w:rPr>
          <w:rStyle w:val="af7"/>
          <w:rFonts w:eastAsia="Guttman Hodes" w:hint="cs"/>
        </w:rPr>
        <w:instrText>Ref529129544 \r \h</w:instrText>
      </w:r>
      <w:r w:rsidRPr="00D52338">
        <w:rPr>
          <w:rStyle w:val="af7"/>
          <w:rFonts w:eastAsia="Guttman Hodes"/>
          <w:rtl/>
        </w:rPr>
        <w:instrText xml:space="preserve"> </w:instrText>
      </w:r>
      <w:r w:rsidRPr="00D52338">
        <w:rPr>
          <w:rStyle w:val="af7"/>
          <w:rFonts w:eastAsia="Guttman Hodes"/>
          <w:rtl/>
        </w:rPr>
      </w:r>
      <w:r w:rsidRPr="00D52338">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D52338">
        <w:rPr>
          <w:rStyle w:val="af7"/>
          <w:rFonts w:eastAsia="Guttman Hodes"/>
          <w:rtl/>
        </w:rPr>
        <w:fldChar w:fldCharType="end"/>
      </w:r>
      <w:r>
        <w:rPr>
          <w:rFonts w:hint="cs"/>
          <w:rtl/>
        </w:rPr>
        <w:t xml:space="preserve"> דס"ל דאמרינן חזקה מכח רוב, ביאר </w:t>
      </w:r>
      <w:r w:rsidRPr="00527A47">
        <w:rPr>
          <w:rStyle w:val="af9"/>
          <w:rFonts w:hint="cs"/>
          <w:rtl/>
        </w:rPr>
        <w:t xml:space="preserve">הקה"י </w:t>
      </w:r>
      <w:r>
        <w:rPr>
          <w:rFonts w:hint="cs"/>
          <w:rtl/>
        </w:rPr>
        <w:t>דכיון שאזלינן בתר רוב, ממילא הוחזקה הבהמה בחזקת כשרות מכח הרוב, וכל שלא ידוע לנו שיצאה מהרוב, היא עדיין בחזקת הכשרות שלה</w:t>
      </w:r>
      <w:bookmarkEnd w:id="9286"/>
      <w:r>
        <w:rPr>
          <w:rFonts w:hint="cs"/>
          <w:rtl/>
        </w:rPr>
        <w:t>.</w:t>
      </w:r>
    </w:p>
    <w:p w14:paraId="71093646" w14:textId="77777777" w:rsidR="005801CA" w:rsidRDefault="005801CA" w:rsidP="00223668">
      <w:pPr>
        <w:pStyle w:val="a0"/>
        <w:rPr>
          <w:rtl/>
        </w:rPr>
        <w:sectPr w:rsidR="005801CA" w:rsidSect="008661E6">
          <w:type w:val="continuous"/>
          <w:pgSz w:w="11906" w:h="16838"/>
          <w:pgMar w:top="720" w:right="720" w:bottom="720" w:left="720" w:header="283" w:footer="283" w:gutter="0"/>
          <w:pgNumType w:fmt="hebrew1"/>
          <w:cols w:num="2" w:space="567"/>
          <w:titlePg/>
          <w:bidi/>
          <w:rtlGutter/>
          <w:docGrid w:linePitch="299"/>
        </w:sectPr>
      </w:pPr>
    </w:p>
    <w:p w14:paraId="09740CA6" w14:textId="77777777" w:rsidR="00832F30" w:rsidRDefault="00832F30" w:rsidP="006D6D32">
      <w:pPr>
        <w:pStyle w:val="afd"/>
      </w:pPr>
      <w:bookmarkStart w:id="9287" w:name="_Toc530521853"/>
      <w:bookmarkStart w:id="9288" w:name="_Toc530514332"/>
      <w:bookmarkStart w:id="9289" w:name="_Toc530504421"/>
      <w:bookmarkStart w:id="9290" w:name="_Toc530502970"/>
      <w:bookmarkStart w:id="9291" w:name="_Toc530411122"/>
      <w:bookmarkStart w:id="9292" w:name="_Toc530395846"/>
      <w:bookmarkStart w:id="9293" w:name="_Toc530348961"/>
      <w:bookmarkStart w:id="9294" w:name="_Toc530148021"/>
      <w:bookmarkStart w:id="9295" w:name="_Toc530147693"/>
      <w:bookmarkStart w:id="9296" w:name="_Toc530083932"/>
      <w:bookmarkStart w:id="9297" w:name="_Toc534142075"/>
      <w:bookmarkStart w:id="9298" w:name="_Toc16669742"/>
      <w:bookmarkStart w:id="9299" w:name="_Toc19435625"/>
      <w:bookmarkStart w:id="9300" w:name="_Toc20080914"/>
      <w:bookmarkStart w:id="9301" w:name="_Toc530524913"/>
      <w:bookmarkStart w:id="9302" w:name="_Toc530521857"/>
      <w:bookmarkStart w:id="9303" w:name="_Toc530514439"/>
      <w:bookmarkStart w:id="9304" w:name="_Toc530514336"/>
      <w:bookmarkStart w:id="9305" w:name="_Toc530504425"/>
      <w:r>
        <w:rPr>
          <w:rFonts w:hint="cs"/>
          <w:rtl/>
        </w:rPr>
        <w:t>סימן י'</w:t>
      </w:r>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p>
    <w:p w14:paraId="44160177" w14:textId="77777777" w:rsidR="00832F30" w:rsidRDefault="00832F30" w:rsidP="006D6D32">
      <w:pPr>
        <w:pStyle w:val="afd"/>
        <w:rPr>
          <w:rtl/>
        </w:rPr>
      </w:pPr>
      <w:bookmarkStart w:id="9306" w:name="_Toc530521854"/>
      <w:bookmarkStart w:id="9307" w:name="_Toc530514333"/>
      <w:bookmarkStart w:id="9308" w:name="_Toc530504422"/>
      <w:bookmarkStart w:id="9309" w:name="_Toc530502971"/>
      <w:bookmarkStart w:id="9310" w:name="_Toc530411123"/>
      <w:bookmarkStart w:id="9311" w:name="_Toc530395847"/>
      <w:bookmarkStart w:id="9312" w:name="_Toc530348962"/>
      <w:bookmarkStart w:id="9313" w:name="_Toc530148022"/>
      <w:bookmarkStart w:id="9314" w:name="_Toc530147694"/>
      <w:bookmarkStart w:id="9315" w:name="_Toc530083933"/>
      <w:bookmarkStart w:id="9316" w:name="_Toc534142076"/>
      <w:bookmarkStart w:id="9317" w:name="_Toc16669743"/>
      <w:bookmarkStart w:id="9318" w:name="_Toc19435626"/>
      <w:bookmarkStart w:id="9319" w:name="_Toc20080915"/>
      <w:r>
        <w:rPr>
          <w:rFonts w:hint="cs"/>
          <w:rtl/>
        </w:rPr>
        <w:t>בסוגיא דרוב (ג')</w:t>
      </w:r>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p>
    <w:p w14:paraId="1B42FECF" w14:textId="77777777" w:rsidR="00832F30" w:rsidRDefault="00832F30" w:rsidP="006D6D32">
      <w:pPr>
        <w:pStyle w:val="afd"/>
        <w:rPr>
          <w:rtl/>
        </w:rPr>
      </w:pPr>
      <w:bookmarkStart w:id="9320" w:name="_Toc530502972"/>
      <w:bookmarkStart w:id="9321" w:name="_Toc530411124"/>
      <w:bookmarkStart w:id="9322" w:name="_Toc530395848"/>
      <w:bookmarkStart w:id="9323" w:name="_Toc530348963"/>
      <w:bookmarkStart w:id="9324" w:name="_Toc530148023"/>
      <w:bookmarkStart w:id="9325" w:name="_Toc530147695"/>
      <w:bookmarkStart w:id="9326" w:name="_Toc530521855"/>
      <w:bookmarkStart w:id="9327" w:name="_Toc530514334"/>
      <w:bookmarkStart w:id="9328" w:name="_Toc530504423"/>
      <w:bookmarkStart w:id="9329" w:name="_Toc16669744"/>
      <w:bookmarkStart w:id="9330" w:name="_Toc19435627"/>
      <w:bookmarkStart w:id="9331" w:name="_Toc20080916"/>
      <w:r>
        <w:rPr>
          <w:rFonts w:hint="cs"/>
          <w:rtl/>
        </w:rPr>
        <w:t>בילפותא ממכה אביו</w:t>
      </w:r>
      <w:bookmarkEnd w:id="9320"/>
      <w:bookmarkEnd w:id="9321"/>
      <w:bookmarkEnd w:id="9322"/>
      <w:bookmarkEnd w:id="9323"/>
      <w:bookmarkEnd w:id="9324"/>
      <w:bookmarkEnd w:id="9325"/>
      <w:r>
        <w:rPr>
          <w:rFonts w:hint="cs"/>
          <w:rtl/>
        </w:rPr>
        <w:t xml:space="preserve"> ובענין רוב בדיני נפשות</w:t>
      </w:r>
      <w:bookmarkEnd w:id="9326"/>
      <w:bookmarkEnd w:id="9327"/>
      <w:bookmarkEnd w:id="9328"/>
      <w:bookmarkEnd w:id="9329"/>
      <w:bookmarkEnd w:id="9330"/>
      <w:bookmarkEnd w:id="9331"/>
    </w:p>
    <w:p w14:paraId="74361719" w14:textId="77777777" w:rsidR="00832F30" w:rsidRDefault="000A0C31" w:rsidP="00553A5C">
      <w:pPr>
        <w:pStyle w:val="2"/>
        <w:keepNext w:val="0"/>
        <w:keepLines w:val="0"/>
        <w:rPr>
          <w:rtl/>
        </w:rPr>
      </w:pPr>
      <w:r>
        <w:rPr>
          <w:rFonts w:hint="cs"/>
          <w:rtl/>
        </w:rPr>
        <w:t>מפתח הסוגיא</w:t>
      </w:r>
    </w:p>
    <w:p w14:paraId="5A211A5C" w14:textId="77777777" w:rsidR="00832F30" w:rsidRDefault="00832F30" w:rsidP="00553A5C">
      <w:pPr>
        <w:bidi w:val="0"/>
        <w:ind w:left="0"/>
        <w:jc w:val="left"/>
        <w:rPr>
          <w:rFonts w:ascii="Guttman Adii-Light" w:eastAsia="Guttman Adii-Light" w:hAnsi="Guttman Adii-Light" w:cs="Guttman Adii-Light"/>
          <w:sz w:val="24"/>
          <w:szCs w:val="24"/>
          <w:rtl/>
        </w:rPr>
        <w:sectPr w:rsidR="00832F30" w:rsidSect="00BA4348">
          <w:headerReference w:type="default" r:id="rId67"/>
          <w:headerReference w:type="first" r:id="rId68"/>
          <w:footerReference w:type="first" r:id="rId69"/>
          <w:pgSz w:w="11906" w:h="16838"/>
          <w:pgMar w:top="720" w:right="720" w:bottom="720" w:left="720" w:header="283" w:footer="113" w:gutter="0"/>
          <w:cols w:space="720"/>
          <w:bidi/>
          <w:rtlGutter/>
          <w:docGrid w:linePitch="299"/>
        </w:sectPr>
      </w:pPr>
    </w:p>
    <w:bookmarkEnd w:id="9301"/>
    <w:bookmarkEnd w:id="9302"/>
    <w:bookmarkEnd w:id="9303"/>
    <w:bookmarkEnd w:id="9304"/>
    <w:bookmarkEnd w:id="9305"/>
    <w:p w14:paraId="42FD1410" w14:textId="77777777" w:rsidR="00832F30" w:rsidRDefault="00832F30" w:rsidP="00553A5C">
      <w:pPr>
        <w:pStyle w:val="2"/>
        <w:keepNext w:val="0"/>
        <w:keepLines w:val="0"/>
        <w:rPr>
          <w:rFonts w:eastAsiaTheme="minorEastAsia" w:cstheme="minorBidi"/>
          <w:i/>
          <w:iCs/>
          <w:noProof/>
          <w:sz w:val="22"/>
          <w:szCs w:val="22"/>
          <w:rtl/>
        </w:rPr>
      </w:pPr>
      <w:r>
        <w:rPr>
          <w:rtl/>
        </w:rPr>
        <w:t xml:space="preserve"> </w:t>
      </w: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bookmarkStart w:id="9332" w:name="_Toc19435629"/>
      <w:r>
        <w:rPr>
          <w:noProof/>
          <w:rtl/>
        </w:rPr>
        <w:t>מראי מקומות וביאורים על הסוגיא</w:t>
      </w:r>
      <w:bookmarkEnd w:id="9332"/>
    </w:p>
    <w:p w14:paraId="01F77F16" w14:textId="77777777" w:rsidR="00832F30" w:rsidRDefault="00832F30" w:rsidP="00553A5C">
      <w:pPr>
        <w:pStyle w:val="2"/>
        <w:keepNext w:val="0"/>
        <w:keepLines w:val="0"/>
        <w:rPr>
          <w:rFonts w:eastAsiaTheme="minorEastAsia" w:cstheme="minorBidi"/>
          <w:i/>
          <w:iCs/>
          <w:noProof/>
          <w:sz w:val="22"/>
          <w:szCs w:val="22"/>
          <w:rtl/>
        </w:rPr>
      </w:pPr>
      <w:bookmarkStart w:id="9333" w:name="_Toc19435630"/>
      <w:r>
        <w:rPr>
          <w:noProof/>
          <w:rtl/>
        </w:rPr>
        <w:t>מכה אביו מדין רוב או מדין חזקה</w:t>
      </w:r>
      <w:bookmarkEnd w:id="9333"/>
    </w:p>
    <w:p w14:paraId="0ED3173B" w14:textId="77777777" w:rsidR="00832F30" w:rsidRDefault="00832F30" w:rsidP="00553A5C">
      <w:pPr>
        <w:pStyle w:val="aff4"/>
        <w:rPr>
          <w:rFonts w:eastAsiaTheme="minorEastAsia" w:cstheme="minorBidi"/>
          <w:i/>
          <w:iCs/>
          <w:noProof/>
          <w:sz w:val="22"/>
          <w:szCs w:val="22"/>
          <w:rtl/>
        </w:rPr>
      </w:pPr>
      <w:bookmarkStart w:id="9334" w:name="_Toc19435631"/>
      <w:bookmarkStart w:id="9335" w:name="_Toc20080917"/>
      <w:r>
        <w:rPr>
          <w:noProof/>
          <w:rtl/>
        </w:rPr>
        <w:t>דברי הרמב"ם דממכה אביו יש ראיה לדין סוקלין על החזקות</w:t>
      </w:r>
      <w:bookmarkEnd w:id="9334"/>
      <w:bookmarkEnd w:id="9335"/>
    </w:p>
    <w:p w14:paraId="532EFAAA" w14:textId="77777777" w:rsidR="004069C6" w:rsidRPr="005077A7" w:rsidRDefault="004069C6" w:rsidP="00E12979">
      <w:pPr>
        <w:pStyle w:val="a"/>
        <w:numPr>
          <w:ilvl w:val="0"/>
          <w:numId w:val="27"/>
        </w:numPr>
        <w:rPr>
          <w:rFonts w:eastAsiaTheme="minorEastAsia" w:cstheme="minorBidi"/>
          <w:noProof/>
          <w:sz w:val="22"/>
          <w:szCs w:val="22"/>
        </w:rPr>
      </w:pPr>
      <w:r w:rsidRPr="005E238E">
        <w:rPr>
          <w:noProof/>
          <w:rtl/>
        </w:rPr>
        <w:t>דברי הרמב"ם דמהא דמכה אביו שאין ראיה שהוא אביו חייב מיתה מוכח דסוקלין על החזקות</w:t>
      </w:r>
      <w:r>
        <w:rPr>
          <w:noProof/>
          <w:rtl/>
        </w:rPr>
        <w:t xml:space="preserve"> </w:t>
      </w:r>
    </w:p>
    <w:p w14:paraId="4C53407F" w14:textId="77777777" w:rsidR="00BA4348" w:rsidRDefault="00BA4348" w:rsidP="00BA4348">
      <w:pPr>
        <w:pStyle w:val="aff4"/>
        <w:rPr>
          <w:rFonts w:eastAsiaTheme="minorEastAsia" w:cstheme="minorBidi"/>
          <w:i/>
          <w:iCs/>
          <w:noProof/>
          <w:sz w:val="22"/>
          <w:szCs w:val="22"/>
          <w:rtl/>
        </w:rPr>
      </w:pPr>
      <w:bookmarkStart w:id="9336" w:name="_Toc19435632"/>
      <w:bookmarkStart w:id="9337" w:name="_Toc20080918"/>
      <w:r>
        <w:rPr>
          <w:noProof/>
          <w:rtl/>
        </w:rPr>
        <w:t>קושית הגרעק"א והבכור שור והנתיה"מ על הרמב"ם</w:t>
      </w:r>
      <w:bookmarkEnd w:id="9336"/>
      <w:bookmarkEnd w:id="9337"/>
    </w:p>
    <w:p w14:paraId="30DE21D4" w14:textId="77777777" w:rsidR="00832F30" w:rsidRDefault="00832F30" w:rsidP="005077A7">
      <w:pPr>
        <w:pStyle w:val="a"/>
        <w:rPr>
          <w:rFonts w:eastAsiaTheme="minorEastAsia" w:cstheme="minorBidi"/>
          <w:noProof/>
          <w:sz w:val="22"/>
          <w:szCs w:val="22"/>
          <w:rtl/>
        </w:rPr>
      </w:pPr>
      <w:r>
        <w:rPr>
          <w:noProof/>
          <w:rtl/>
        </w:rPr>
        <w:t>קושית הנתיה"מ בתשו' והגרעק"א דבסוגיין מבואר דממכה אביו ילפינן את דין רוב ולא חזקה</w:t>
      </w:r>
    </w:p>
    <w:p w14:paraId="54C485C0" w14:textId="77777777" w:rsidR="00832F30" w:rsidRDefault="00832F30" w:rsidP="005077A7">
      <w:pPr>
        <w:pStyle w:val="a"/>
        <w:rPr>
          <w:rFonts w:eastAsiaTheme="minorEastAsia" w:cstheme="minorBidi"/>
          <w:noProof/>
          <w:sz w:val="22"/>
          <w:szCs w:val="22"/>
          <w:rtl/>
        </w:rPr>
      </w:pPr>
      <w:r>
        <w:rPr>
          <w:noProof/>
          <w:rtl/>
        </w:rPr>
        <w:t>דברי המאירי דרוב בדיני נפשות היינו דינא דסוקלין על החזקות</w:t>
      </w:r>
    </w:p>
    <w:p w14:paraId="124BF862" w14:textId="77777777" w:rsidR="00832F30" w:rsidRDefault="00832F30" w:rsidP="00553A5C">
      <w:pPr>
        <w:pStyle w:val="2"/>
        <w:keepNext w:val="0"/>
        <w:keepLines w:val="0"/>
        <w:rPr>
          <w:rFonts w:eastAsiaTheme="minorEastAsia" w:cstheme="minorBidi"/>
          <w:i/>
          <w:iCs/>
          <w:noProof/>
          <w:sz w:val="22"/>
          <w:szCs w:val="22"/>
          <w:rtl/>
        </w:rPr>
      </w:pPr>
      <w:bookmarkStart w:id="9338" w:name="_Toc19435633"/>
      <w:r>
        <w:rPr>
          <w:noProof/>
          <w:rtl/>
        </w:rPr>
        <w:t>ביאורי האחרונים שיש גם רוב וגם חזקה</w:t>
      </w:r>
      <w:bookmarkEnd w:id="9338"/>
    </w:p>
    <w:p w14:paraId="07849515" w14:textId="77777777" w:rsidR="00832F30" w:rsidRDefault="00832F30" w:rsidP="00553A5C">
      <w:pPr>
        <w:pStyle w:val="aff4"/>
        <w:rPr>
          <w:rFonts w:eastAsiaTheme="minorEastAsia" w:cstheme="minorBidi"/>
          <w:i/>
          <w:iCs/>
          <w:noProof/>
          <w:sz w:val="22"/>
          <w:szCs w:val="22"/>
          <w:rtl/>
        </w:rPr>
      </w:pPr>
      <w:bookmarkStart w:id="9339" w:name="_Toc19435634"/>
      <w:bookmarkStart w:id="9340" w:name="_Toc20080919"/>
      <w:r>
        <w:rPr>
          <w:noProof/>
          <w:rtl/>
        </w:rPr>
        <w:t>ביאור הבכור שור דבלא רוב אין חזקה ובלא חזקה אין רוב</w:t>
      </w:r>
      <w:bookmarkEnd w:id="9339"/>
      <w:bookmarkEnd w:id="9340"/>
    </w:p>
    <w:p w14:paraId="0457F311" w14:textId="77777777" w:rsidR="00832F30" w:rsidRDefault="00832F30" w:rsidP="005077A7">
      <w:pPr>
        <w:pStyle w:val="a"/>
        <w:rPr>
          <w:rFonts w:eastAsiaTheme="minorEastAsia" w:cstheme="minorBidi"/>
          <w:noProof/>
          <w:sz w:val="22"/>
          <w:szCs w:val="22"/>
          <w:rtl/>
        </w:rPr>
      </w:pPr>
      <w:r>
        <w:rPr>
          <w:noProof/>
          <w:rtl/>
        </w:rPr>
        <w:t>דברי הבכור שור דע"י הרוב ידעינן שנולד לאביו וע"י החזקה ידעינן שלא נתחלף</w:t>
      </w:r>
    </w:p>
    <w:p w14:paraId="3D147BA3" w14:textId="77777777" w:rsidR="00832F30" w:rsidRDefault="00832F30" w:rsidP="005077A7">
      <w:pPr>
        <w:pStyle w:val="a"/>
        <w:rPr>
          <w:rFonts w:eastAsiaTheme="minorEastAsia" w:cstheme="minorBidi"/>
          <w:noProof/>
          <w:sz w:val="22"/>
          <w:szCs w:val="22"/>
          <w:rtl/>
        </w:rPr>
      </w:pPr>
      <w:r>
        <w:rPr>
          <w:noProof/>
          <w:rtl/>
        </w:rPr>
        <w:t>ביאור הדברי יחזקאל דכוונת הרמב"ם והירושלמי לחזקה מכח ראיה כאנן סהדי וצריך גם רוב</w:t>
      </w:r>
    </w:p>
    <w:p w14:paraId="55D7F95A" w14:textId="77777777" w:rsidR="00832F30" w:rsidRDefault="00832F30" w:rsidP="005077A7">
      <w:pPr>
        <w:pStyle w:val="a"/>
        <w:rPr>
          <w:rFonts w:eastAsiaTheme="minorEastAsia" w:cstheme="minorBidi"/>
          <w:noProof/>
          <w:sz w:val="22"/>
          <w:szCs w:val="22"/>
          <w:rtl/>
        </w:rPr>
      </w:pPr>
      <w:r>
        <w:rPr>
          <w:noProof/>
          <w:rtl/>
        </w:rPr>
        <w:t>דחיית החוט המשולש דאי החזקה היא לומר שלא נתחלף צריך ללמוד ממכה אמו ולא מכה אביו</w:t>
      </w:r>
    </w:p>
    <w:p w14:paraId="5985C311" w14:textId="77777777" w:rsidR="00832F30" w:rsidRDefault="00832F30" w:rsidP="00553A5C">
      <w:pPr>
        <w:pStyle w:val="2"/>
        <w:keepNext w:val="0"/>
        <w:keepLines w:val="0"/>
        <w:rPr>
          <w:rFonts w:eastAsiaTheme="minorEastAsia" w:cstheme="minorBidi"/>
          <w:i/>
          <w:iCs/>
          <w:noProof/>
          <w:sz w:val="22"/>
          <w:szCs w:val="22"/>
          <w:rtl/>
        </w:rPr>
      </w:pPr>
      <w:bookmarkStart w:id="9341" w:name="_Toc19435635"/>
      <w:r>
        <w:rPr>
          <w:noProof/>
          <w:rtl/>
        </w:rPr>
        <w:t>ביאורי האחרונים דהוא חזקה מכח רוב</w:t>
      </w:r>
      <w:bookmarkEnd w:id="9341"/>
    </w:p>
    <w:p w14:paraId="7B99470D" w14:textId="77777777" w:rsidR="00832F30" w:rsidRDefault="00832F30" w:rsidP="00553A5C">
      <w:pPr>
        <w:pStyle w:val="aff4"/>
        <w:rPr>
          <w:rFonts w:eastAsiaTheme="minorEastAsia" w:cstheme="minorBidi"/>
          <w:i/>
          <w:iCs/>
          <w:noProof/>
          <w:sz w:val="22"/>
          <w:szCs w:val="22"/>
          <w:rtl/>
        </w:rPr>
      </w:pPr>
      <w:bookmarkStart w:id="9342" w:name="_Toc19435636"/>
      <w:bookmarkStart w:id="9343" w:name="_Toc20080920"/>
      <w:r>
        <w:rPr>
          <w:noProof/>
          <w:rtl/>
        </w:rPr>
        <w:t>ביאור הגר"ח מוולוז'ין דהרוב הוא ע"י שיש חזקה</w:t>
      </w:r>
      <w:bookmarkEnd w:id="9342"/>
      <w:bookmarkEnd w:id="9343"/>
    </w:p>
    <w:p w14:paraId="4247C2CC" w14:textId="77777777" w:rsidR="00832F30" w:rsidRDefault="00832F30" w:rsidP="005077A7">
      <w:pPr>
        <w:pStyle w:val="a"/>
        <w:rPr>
          <w:rFonts w:eastAsiaTheme="minorEastAsia" w:cstheme="minorBidi"/>
          <w:noProof/>
          <w:sz w:val="22"/>
          <w:szCs w:val="22"/>
          <w:rtl/>
        </w:rPr>
      </w:pPr>
      <w:r>
        <w:rPr>
          <w:noProof/>
          <w:rtl/>
        </w:rPr>
        <w:t>ביאור החוט המשולש דהרוב עצמו נקרא חזקה כשהיא באה מכח הרוב</w:t>
      </w:r>
    </w:p>
    <w:p w14:paraId="5608D65D" w14:textId="77777777" w:rsidR="00832F30" w:rsidRDefault="00832F30" w:rsidP="00553A5C">
      <w:pPr>
        <w:pStyle w:val="aff4"/>
        <w:rPr>
          <w:rFonts w:eastAsiaTheme="minorEastAsia" w:cstheme="minorBidi"/>
          <w:i/>
          <w:iCs/>
          <w:noProof/>
          <w:sz w:val="22"/>
          <w:szCs w:val="22"/>
          <w:rtl/>
        </w:rPr>
      </w:pPr>
      <w:bookmarkStart w:id="9344" w:name="_Toc19435637"/>
      <w:bookmarkStart w:id="9345" w:name="_Toc20080921"/>
      <w:r>
        <w:rPr>
          <w:noProof/>
          <w:rtl/>
        </w:rPr>
        <w:t>ביאור הפרמ"ג דבדיני נפשות אזלינן רק בתר חזקה מכח רוב</w:t>
      </w:r>
      <w:bookmarkEnd w:id="9344"/>
      <w:bookmarkEnd w:id="9345"/>
    </w:p>
    <w:p w14:paraId="2C1487DA" w14:textId="77777777" w:rsidR="00832F30" w:rsidRDefault="00832F30" w:rsidP="005077A7">
      <w:pPr>
        <w:pStyle w:val="a"/>
        <w:rPr>
          <w:rFonts w:eastAsiaTheme="minorEastAsia" w:cstheme="minorBidi"/>
          <w:noProof/>
          <w:sz w:val="22"/>
          <w:szCs w:val="22"/>
          <w:rtl/>
        </w:rPr>
      </w:pPr>
      <w:r>
        <w:rPr>
          <w:noProof/>
          <w:rtl/>
        </w:rPr>
        <w:t>דברי הפרמ"ג בשם התרוה"ד דבדיני נפשות אזלינן בתר חזקה מכח רוב ולא בתר חזקה הפוסקת</w:t>
      </w:r>
    </w:p>
    <w:p w14:paraId="2AAC7669" w14:textId="77777777" w:rsidR="00832F30" w:rsidRDefault="00832F30" w:rsidP="005077A7">
      <w:pPr>
        <w:pStyle w:val="a"/>
        <w:rPr>
          <w:rFonts w:eastAsiaTheme="minorEastAsia" w:cstheme="minorBidi"/>
          <w:noProof/>
          <w:sz w:val="22"/>
          <w:szCs w:val="22"/>
          <w:rtl/>
        </w:rPr>
      </w:pPr>
      <w:r>
        <w:rPr>
          <w:noProof/>
          <w:rtl/>
        </w:rPr>
        <w:t>ביאור הפרמ"ג בדברי הרשב"א בתשו' דממכה אביו ילפינן דאזלינן בתר חזקה מכח רוב</w:t>
      </w:r>
    </w:p>
    <w:p w14:paraId="3547672C" w14:textId="77777777" w:rsidR="00832F30" w:rsidRDefault="00832F30" w:rsidP="005077A7">
      <w:pPr>
        <w:pStyle w:val="a"/>
        <w:rPr>
          <w:rFonts w:eastAsiaTheme="minorEastAsia" w:cstheme="minorBidi"/>
          <w:noProof/>
          <w:sz w:val="22"/>
          <w:szCs w:val="22"/>
          <w:rtl/>
        </w:rPr>
      </w:pPr>
      <w:r>
        <w:rPr>
          <w:noProof/>
          <w:rtl/>
        </w:rPr>
        <w:t>ביאור הפרמ"ג ברמב"ם דבנה מורכב על כתיפה הוא חזקה מכח הרוב שעושין כן בבניהם</w:t>
      </w:r>
    </w:p>
    <w:p w14:paraId="0F4DD256" w14:textId="77777777" w:rsidR="00832F30" w:rsidRDefault="00832F30" w:rsidP="00553A5C">
      <w:pPr>
        <w:pStyle w:val="aff4"/>
        <w:rPr>
          <w:rFonts w:eastAsiaTheme="minorEastAsia" w:cstheme="minorBidi"/>
          <w:i/>
          <w:iCs/>
          <w:noProof/>
          <w:sz w:val="22"/>
          <w:szCs w:val="22"/>
          <w:rtl/>
        </w:rPr>
      </w:pPr>
      <w:bookmarkStart w:id="9346" w:name="_Toc19435638"/>
      <w:bookmarkStart w:id="9347" w:name="_Toc20080922"/>
      <w:r>
        <w:rPr>
          <w:noProof/>
          <w:rtl/>
        </w:rPr>
        <w:t>ביאור הפרמ"ג בפלוגתת הראשונים באביו בחזקה מדין ודאי</w:t>
      </w:r>
      <w:bookmarkEnd w:id="9346"/>
      <w:bookmarkEnd w:id="9347"/>
    </w:p>
    <w:p w14:paraId="378AEE6E" w14:textId="77777777" w:rsidR="00832F30" w:rsidRDefault="00832F30" w:rsidP="005077A7">
      <w:pPr>
        <w:pStyle w:val="a"/>
        <w:rPr>
          <w:rFonts w:eastAsiaTheme="minorEastAsia" w:cstheme="minorBidi"/>
          <w:noProof/>
          <w:sz w:val="22"/>
          <w:szCs w:val="22"/>
          <w:rtl/>
        </w:rPr>
      </w:pPr>
      <w:r>
        <w:rPr>
          <w:noProof/>
          <w:rtl/>
        </w:rPr>
        <w:t>ביאור הפרמ"ג בדעת הר"י צרפתי דאביו ע"י חזקה אין לו דין ודאי אביו</w:t>
      </w:r>
    </w:p>
    <w:p w14:paraId="67E9CCD9" w14:textId="77777777" w:rsidR="00832F30" w:rsidRDefault="00832F30" w:rsidP="005077A7">
      <w:pPr>
        <w:pStyle w:val="a"/>
        <w:rPr>
          <w:rFonts w:eastAsiaTheme="minorEastAsia" w:cstheme="minorBidi"/>
          <w:noProof/>
          <w:sz w:val="22"/>
          <w:szCs w:val="22"/>
          <w:rtl/>
        </w:rPr>
      </w:pPr>
      <w:r>
        <w:rPr>
          <w:noProof/>
          <w:rtl/>
        </w:rPr>
        <w:t>ביאור הפרמ"ג ברשב"א בתשו' ובתרוה"ד דאף אביו ע"י חזקה הוא ודאי אביו בחזקה מכח רוב</w:t>
      </w:r>
    </w:p>
    <w:p w14:paraId="0F648756" w14:textId="77777777" w:rsidR="00832F30" w:rsidRDefault="00832F30" w:rsidP="00553A5C">
      <w:pPr>
        <w:pStyle w:val="2"/>
        <w:keepNext w:val="0"/>
        <w:keepLines w:val="0"/>
        <w:rPr>
          <w:rFonts w:eastAsiaTheme="minorEastAsia" w:cstheme="minorBidi"/>
          <w:i/>
          <w:iCs/>
          <w:noProof/>
          <w:sz w:val="22"/>
          <w:szCs w:val="22"/>
          <w:rtl/>
        </w:rPr>
      </w:pPr>
      <w:bookmarkStart w:id="9348" w:name="_Toc19435639"/>
      <w:r>
        <w:rPr>
          <w:noProof/>
          <w:rtl/>
        </w:rPr>
        <w:t>בענין רוב בעילות אחר הבעל</w:t>
      </w:r>
      <w:bookmarkEnd w:id="9348"/>
    </w:p>
    <w:p w14:paraId="1EA8B44D" w14:textId="77777777" w:rsidR="00832F30" w:rsidRDefault="00832F30" w:rsidP="00553A5C">
      <w:pPr>
        <w:pStyle w:val="aff4"/>
        <w:rPr>
          <w:rFonts w:eastAsiaTheme="minorEastAsia" w:cstheme="minorBidi"/>
          <w:i/>
          <w:iCs/>
          <w:noProof/>
          <w:sz w:val="22"/>
          <w:szCs w:val="22"/>
          <w:rtl/>
        </w:rPr>
      </w:pPr>
      <w:bookmarkStart w:id="9349" w:name="_Toc19435640"/>
      <w:bookmarkStart w:id="9350" w:name="_Toc20080923"/>
      <w:r>
        <w:rPr>
          <w:noProof/>
          <w:rtl/>
        </w:rPr>
        <w:t>ביאור החת"ס דרוב בעילות אחר הבעל הוא חזקה מכח רוב</w:t>
      </w:r>
      <w:bookmarkEnd w:id="9349"/>
      <w:bookmarkEnd w:id="9350"/>
    </w:p>
    <w:p w14:paraId="4919C171" w14:textId="77777777" w:rsidR="00832F30" w:rsidRDefault="00832F30" w:rsidP="005077A7">
      <w:pPr>
        <w:pStyle w:val="a"/>
        <w:rPr>
          <w:rFonts w:eastAsiaTheme="minorEastAsia" w:cstheme="minorBidi"/>
          <w:noProof/>
          <w:sz w:val="22"/>
          <w:szCs w:val="22"/>
          <w:rtl/>
        </w:rPr>
      </w:pPr>
      <w:r>
        <w:rPr>
          <w:noProof/>
          <w:rtl/>
        </w:rPr>
        <w:t>קושית החת"ס דאין לנו ידיעה ודאית ברוב בעילות הבעל והיאך אזלינן בתריה</w:t>
      </w:r>
    </w:p>
    <w:p w14:paraId="7C1EF339" w14:textId="77777777" w:rsidR="00832F30" w:rsidRDefault="00832F30" w:rsidP="005077A7">
      <w:pPr>
        <w:pStyle w:val="a"/>
        <w:rPr>
          <w:rFonts w:eastAsiaTheme="minorEastAsia" w:cstheme="minorBidi"/>
          <w:noProof/>
          <w:sz w:val="22"/>
          <w:szCs w:val="22"/>
          <w:rtl/>
        </w:rPr>
      </w:pPr>
      <w:r>
        <w:rPr>
          <w:noProof/>
          <w:rtl/>
        </w:rPr>
        <w:t>ביאור החת"ס דיש חזקה בבעל באשתו שבועל רוב בעילות והוא רובא דליתא קמן</w:t>
      </w:r>
    </w:p>
    <w:p w14:paraId="4A65D67B" w14:textId="77777777" w:rsidR="00832F30" w:rsidRDefault="00832F30" w:rsidP="005077A7">
      <w:pPr>
        <w:pStyle w:val="a"/>
        <w:rPr>
          <w:rFonts w:eastAsiaTheme="minorEastAsia" w:cstheme="minorBidi"/>
          <w:noProof/>
          <w:sz w:val="22"/>
          <w:szCs w:val="22"/>
          <w:rtl/>
        </w:rPr>
      </w:pPr>
      <w:r>
        <w:rPr>
          <w:noProof/>
          <w:rtl/>
        </w:rPr>
        <w:t>ביאור החת"ס בדברי הרמב"ם דממכה אביו ילפינן דאזלינן בתר רוב ובתר חזקה מכח רוב</w:t>
      </w:r>
    </w:p>
    <w:p w14:paraId="3FE2016E" w14:textId="77777777" w:rsidR="00832F30" w:rsidRDefault="00832F30" w:rsidP="005077A7">
      <w:pPr>
        <w:pStyle w:val="a"/>
        <w:rPr>
          <w:rFonts w:eastAsiaTheme="minorEastAsia" w:cstheme="minorBidi"/>
          <w:noProof/>
          <w:sz w:val="22"/>
          <w:szCs w:val="22"/>
          <w:rtl/>
        </w:rPr>
      </w:pPr>
      <w:r>
        <w:rPr>
          <w:noProof/>
          <w:rtl/>
        </w:rPr>
        <w:t>ביאור החת"ס בתשו' דא"א לומר דחזקה שבועל את אשתו הוא רוב דא"כ הוא תלוי במעשה</w:t>
      </w:r>
    </w:p>
    <w:p w14:paraId="5C5D9D25" w14:textId="77777777" w:rsidR="00832F30" w:rsidRDefault="00832F30" w:rsidP="00553A5C">
      <w:pPr>
        <w:pStyle w:val="aff4"/>
        <w:rPr>
          <w:rFonts w:eastAsiaTheme="minorEastAsia" w:cstheme="minorBidi"/>
          <w:i/>
          <w:iCs/>
          <w:noProof/>
          <w:sz w:val="22"/>
          <w:szCs w:val="22"/>
          <w:rtl/>
        </w:rPr>
      </w:pPr>
      <w:bookmarkStart w:id="9351" w:name="_Toc19435641"/>
      <w:bookmarkStart w:id="9352" w:name="_Toc20080924"/>
      <w:r>
        <w:rPr>
          <w:noProof/>
          <w:rtl/>
        </w:rPr>
        <w:t>דברי הרמב"ן והתוס' ברוב בעילות אי הוא רוב התלוי במעשה</w:t>
      </w:r>
      <w:bookmarkEnd w:id="9351"/>
      <w:bookmarkEnd w:id="9352"/>
    </w:p>
    <w:p w14:paraId="0E627986" w14:textId="77777777" w:rsidR="00832F30" w:rsidRDefault="00832F30" w:rsidP="005077A7">
      <w:pPr>
        <w:pStyle w:val="a"/>
        <w:rPr>
          <w:rFonts w:eastAsiaTheme="minorEastAsia" w:cstheme="minorBidi"/>
          <w:noProof/>
          <w:sz w:val="22"/>
          <w:szCs w:val="22"/>
          <w:rtl/>
        </w:rPr>
      </w:pPr>
      <w:r>
        <w:rPr>
          <w:noProof/>
          <w:rtl/>
        </w:rPr>
        <w:t>קושית הרמב"ן דרוב בעילות אחר הבעל הוא רוב התלוי במעשה</w:t>
      </w:r>
    </w:p>
    <w:p w14:paraId="72DCBE6D" w14:textId="77777777" w:rsidR="00832F30" w:rsidRDefault="00832F30" w:rsidP="005077A7">
      <w:pPr>
        <w:pStyle w:val="a"/>
        <w:rPr>
          <w:rFonts w:eastAsiaTheme="minorEastAsia" w:cstheme="minorBidi"/>
          <w:noProof/>
          <w:sz w:val="22"/>
          <w:szCs w:val="22"/>
          <w:rtl/>
        </w:rPr>
      </w:pPr>
      <w:r>
        <w:rPr>
          <w:noProof/>
          <w:rtl/>
        </w:rPr>
        <w:t>תירוץ הרמב"ן דהיכא שהמיעוט גם תלוי במעשה אזלינן אף בתר רוב התלוי במעשה</w:t>
      </w:r>
    </w:p>
    <w:p w14:paraId="19825702" w14:textId="77777777" w:rsidR="00832F30" w:rsidRDefault="00832F30" w:rsidP="005077A7">
      <w:pPr>
        <w:pStyle w:val="a"/>
        <w:rPr>
          <w:rFonts w:eastAsiaTheme="minorEastAsia" w:cstheme="minorBidi"/>
          <w:noProof/>
          <w:sz w:val="22"/>
          <w:szCs w:val="22"/>
          <w:rtl/>
        </w:rPr>
      </w:pPr>
      <w:r>
        <w:rPr>
          <w:noProof/>
          <w:rtl/>
        </w:rPr>
        <w:t>דעת התוס' דבעילות הבעל לא חשיב תלוי במעשה ובעילת זנות ורביעת בהמה תלוי במעשה</w:t>
      </w:r>
    </w:p>
    <w:p w14:paraId="3850A17F" w14:textId="77777777" w:rsidR="00832F30" w:rsidRDefault="00832F30" w:rsidP="005077A7">
      <w:pPr>
        <w:pStyle w:val="a"/>
        <w:rPr>
          <w:rFonts w:eastAsiaTheme="minorEastAsia" w:cstheme="minorBidi"/>
          <w:noProof/>
          <w:sz w:val="22"/>
          <w:szCs w:val="22"/>
          <w:rtl/>
        </w:rPr>
      </w:pPr>
      <w:r>
        <w:rPr>
          <w:noProof/>
          <w:rtl/>
        </w:rPr>
        <w:t>קושית המלא הרועים על תוס' היאך ילפינן ממכה אביו הא רק המיעוט הוא תלוי במעשה</w:t>
      </w:r>
    </w:p>
    <w:p w14:paraId="085060B4" w14:textId="77777777" w:rsidR="00832F30" w:rsidRDefault="00832F30" w:rsidP="00553A5C">
      <w:pPr>
        <w:pStyle w:val="2"/>
        <w:keepNext w:val="0"/>
        <w:keepLines w:val="0"/>
        <w:rPr>
          <w:rFonts w:eastAsiaTheme="minorEastAsia" w:cstheme="minorBidi"/>
          <w:i/>
          <w:iCs/>
          <w:noProof/>
          <w:sz w:val="22"/>
          <w:szCs w:val="22"/>
          <w:rtl/>
        </w:rPr>
      </w:pPr>
      <w:bookmarkStart w:id="9353" w:name="_Toc19435642"/>
      <w:r>
        <w:rPr>
          <w:noProof/>
          <w:rtl/>
        </w:rPr>
        <w:t>בביאור חזקת צדקת</w:t>
      </w:r>
      <w:bookmarkEnd w:id="9353"/>
    </w:p>
    <w:p w14:paraId="0E9A8B85" w14:textId="77777777" w:rsidR="00832F30" w:rsidRDefault="00832F30" w:rsidP="00553A5C">
      <w:pPr>
        <w:pStyle w:val="aff4"/>
        <w:rPr>
          <w:rtl/>
        </w:rPr>
      </w:pPr>
      <w:bookmarkStart w:id="9354" w:name="_Toc19435643"/>
      <w:bookmarkStart w:id="9355" w:name="_Toc20080925"/>
      <w:r>
        <w:rPr>
          <w:rFonts w:hint="cs"/>
          <w:rtl/>
        </w:rPr>
        <w:t>דברי התוס' והתוס' הרא"ש בחזקת צדקת</w:t>
      </w:r>
      <w:bookmarkEnd w:id="9354"/>
      <w:bookmarkEnd w:id="9355"/>
    </w:p>
    <w:p w14:paraId="59E734A6" w14:textId="77777777" w:rsidR="00832F30" w:rsidRDefault="00832F30" w:rsidP="005077A7">
      <w:pPr>
        <w:pStyle w:val="a"/>
        <w:rPr>
          <w:rFonts w:eastAsiaTheme="minorEastAsia" w:cstheme="minorBidi"/>
          <w:noProof/>
          <w:sz w:val="22"/>
          <w:szCs w:val="22"/>
          <w:rtl/>
        </w:rPr>
      </w:pPr>
      <w:r>
        <w:rPr>
          <w:noProof/>
          <w:rtl/>
        </w:rPr>
        <w:t>דברי התוס' דאפשר לדחות את הראיה ממכה אביו דאינו מדין רוב אלא מחמת חזקת צדקת</w:t>
      </w:r>
    </w:p>
    <w:p w14:paraId="15DB9B26" w14:textId="77777777" w:rsidR="00832F30" w:rsidRDefault="00832F30" w:rsidP="005077A7">
      <w:pPr>
        <w:pStyle w:val="a"/>
        <w:rPr>
          <w:rFonts w:eastAsiaTheme="minorEastAsia" w:cstheme="minorBidi"/>
          <w:noProof/>
          <w:sz w:val="22"/>
          <w:szCs w:val="22"/>
          <w:rtl/>
        </w:rPr>
      </w:pPr>
      <w:r>
        <w:rPr>
          <w:noProof/>
          <w:rtl/>
        </w:rPr>
        <w:t>תירוץ התוס' הרא"ש דכנגד חזקת צדקת של האם יש לבן חזקת צדיק שלא הכה את אביו</w:t>
      </w:r>
    </w:p>
    <w:p w14:paraId="24DBC84A" w14:textId="77777777" w:rsidR="00832F30" w:rsidRDefault="00832F30" w:rsidP="005077A7">
      <w:pPr>
        <w:pStyle w:val="a"/>
        <w:rPr>
          <w:rFonts w:eastAsiaTheme="minorEastAsia" w:cstheme="minorBidi"/>
          <w:noProof/>
          <w:sz w:val="22"/>
          <w:szCs w:val="22"/>
          <w:rtl/>
        </w:rPr>
      </w:pPr>
      <w:r>
        <w:rPr>
          <w:noProof/>
          <w:rtl/>
        </w:rPr>
        <w:t>קושית השיטמ"ק דכיון שהבן הכה הוא רשע ואינו בחזקת צדיק</w:t>
      </w:r>
    </w:p>
    <w:p w14:paraId="1E9F7D4D" w14:textId="77777777" w:rsidR="00BA4348" w:rsidRDefault="00BA4348" w:rsidP="00553A5C">
      <w:pPr>
        <w:pStyle w:val="aff4"/>
        <w:rPr>
          <w:rtl/>
        </w:rPr>
      </w:pPr>
    </w:p>
    <w:p w14:paraId="6796B236" w14:textId="77777777" w:rsidR="00832F30" w:rsidRPr="00794779" w:rsidRDefault="00832F30" w:rsidP="00553A5C">
      <w:pPr>
        <w:pStyle w:val="aff4"/>
        <w:rPr>
          <w:rtl/>
        </w:rPr>
      </w:pPr>
      <w:bookmarkStart w:id="9356" w:name="_Toc19435644"/>
      <w:bookmarkStart w:id="9357" w:name="_Toc20080926"/>
      <w:r>
        <w:rPr>
          <w:rFonts w:hint="cs"/>
          <w:rtl/>
        </w:rPr>
        <w:t>ביאורי האחרונים בדברי התוס' בחזקת צדקת</w:t>
      </w:r>
      <w:bookmarkEnd w:id="9356"/>
      <w:bookmarkEnd w:id="9357"/>
    </w:p>
    <w:p w14:paraId="1B3FA726" w14:textId="77777777" w:rsidR="00832F30" w:rsidRDefault="00832F30" w:rsidP="005077A7">
      <w:pPr>
        <w:pStyle w:val="a"/>
        <w:rPr>
          <w:rFonts w:eastAsiaTheme="minorEastAsia" w:cstheme="minorBidi"/>
          <w:noProof/>
          <w:sz w:val="22"/>
          <w:szCs w:val="22"/>
          <w:rtl/>
        </w:rPr>
      </w:pPr>
      <w:r>
        <w:rPr>
          <w:noProof/>
          <w:rtl/>
        </w:rPr>
        <w:t>דברי הפרמ"ג והפנ"י דחזקת צדקת היא חזקה מכח רוב</w:t>
      </w:r>
    </w:p>
    <w:p w14:paraId="73FC1500" w14:textId="77777777" w:rsidR="00832F30" w:rsidRDefault="00832F30" w:rsidP="005077A7">
      <w:pPr>
        <w:pStyle w:val="a"/>
        <w:rPr>
          <w:rFonts w:eastAsiaTheme="minorEastAsia" w:cstheme="minorBidi"/>
          <w:noProof/>
          <w:sz w:val="22"/>
          <w:szCs w:val="22"/>
          <w:rtl/>
        </w:rPr>
      </w:pPr>
      <w:r>
        <w:rPr>
          <w:noProof/>
          <w:rtl/>
        </w:rPr>
        <w:t>דברי המהרש"א דלמסקנא שאין אפוטרופוס לעריות חיישינן שנאנסה ולא מהני חזקת צדקת</w:t>
      </w:r>
    </w:p>
    <w:p w14:paraId="28BE83AF" w14:textId="77777777" w:rsidR="00832F30" w:rsidRDefault="00832F30" w:rsidP="005077A7">
      <w:pPr>
        <w:pStyle w:val="a"/>
        <w:rPr>
          <w:rFonts w:eastAsiaTheme="minorEastAsia" w:cstheme="minorBidi"/>
          <w:noProof/>
          <w:sz w:val="22"/>
          <w:szCs w:val="22"/>
          <w:rtl/>
        </w:rPr>
      </w:pPr>
      <w:r>
        <w:rPr>
          <w:noProof/>
          <w:rtl/>
        </w:rPr>
        <w:t>קושית הגרעק"א על המהרש"א דלהו"א נחשוש לאונס ומאשת כהן מוכח דלא חיישינן לאונס</w:t>
      </w:r>
    </w:p>
    <w:p w14:paraId="2FCE8C98" w14:textId="77777777" w:rsidR="00832F30" w:rsidRDefault="00832F30" w:rsidP="005077A7">
      <w:pPr>
        <w:pStyle w:val="a"/>
        <w:rPr>
          <w:rFonts w:eastAsiaTheme="minorEastAsia" w:cstheme="minorBidi"/>
          <w:noProof/>
          <w:sz w:val="22"/>
          <w:szCs w:val="22"/>
          <w:rtl/>
        </w:rPr>
      </w:pPr>
      <w:r>
        <w:rPr>
          <w:noProof/>
          <w:rtl/>
        </w:rPr>
        <w:t>ביאור הצל"ח דלמסקנא דחיישינן בחבושים בבית האסורים אף לאונס דאינו שכיח חיישינן</w:t>
      </w:r>
    </w:p>
    <w:p w14:paraId="21F469A7" w14:textId="77777777" w:rsidR="00832F30" w:rsidRDefault="00832F30" w:rsidP="00553A5C">
      <w:pPr>
        <w:pStyle w:val="2"/>
        <w:keepNext w:val="0"/>
        <w:keepLines w:val="0"/>
        <w:rPr>
          <w:rFonts w:eastAsiaTheme="minorEastAsia" w:cstheme="minorBidi"/>
          <w:i/>
          <w:iCs/>
          <w:noProof/>
          <w:sz w:val="22"/>
          <w:szCs w:val="22"/>
          <w:rtl/>
        </w:rPr>
      </w:pPr>
      <w:bookmarkStart w:id="9358" w:name="_Toc19435645"/>
      <w:r>
        <w:rPr>
          <w:noProof/>
          <w:rtl/>
        </w:rPr>
        <w:t>רוב בנפשות בסוגיין ובגמ' בסנהדרין</w:t>
      </w:r>
      <w:bookmarkEnd w:id="9358"/>
    </w:p>
    <w:p w14:paraId="3885FB9E" w14:textId="77777777" w:rsidR="00832F30" w:rsidRDefault="00832F30" w:rsidP="00553A5C">
      <w:pPr>
        <w:pStyle w:val="aff4"/>
        <w:rPr>
          <w:rFonts w:eastAsiaTheme="minorEastAsia" w:cstheme="minorBidi"/>
          <w:i/>
          <w:iCs/>
          <w:noProof/>
          <w:sz w:val="22"/>
          <w:szCs w:val="22"/>
          <w:rtl/>
        </w:rPr>
      </w:pPr>
      <w:bookmarkStart w:id="9359" w:name="_Toc19435646"/>
      <w:bookmarkStart w:id="9360" w:name="_Toc20080927"/>
      <w:r>
        <w:rPr>
          <w:noProof/>
          <w:rtl/>
        </w:rPr>
        <w:t>דברי הר"ן בחילוק בין הנדון בסוגיין לנדון בגמ' בסנהדרין</w:t>
      </w:r>
      <w:bookmarkEnd w:id="9359"/>
      <w:bookmarkEnd w:id="9360"/>
    </w:p>
    <w:p w14:paraId="0712AEF9" w14:textId="77777777" w:rsidR="00832F30" w:rsidRDefault="00832F30" w:rsidP="005077A7">
      <w:pPr>
        <w:pStyle w:val="a"/>
        <w:rPr>
          <w:rFonts w:eastAsiaTheme="minorEastAsia" w:cstheme="minorBidi"/>
          <w:noProof/>
          <w:sz w:val="22"/>
          <w:szCs w:val="22"/>
          <w:rtl/>
        </w:rPr>
      </w:pPr>
      <w:r>
        <w:rPr>
          <w:noProof/>
          <w:rtl/>
        </w:rPr>
        <w:t>קושית הר"ן דבסוגיין מוכח דאזלינן בדיני נפשות בתר רוב ומה הנדון בגמ' בסנהדרין</w:t>
      </w:r>
    </w:p>
    <w:p w14:paraId="72CF4060" w14:textId="77777777" w:rsidR="00832F30" w:rsidRDefault="00832F30" w:rsidP="005077A7">
      <w:pPr>
        <w:pStyle w:val="a"/>
        <w:rPr>
          <w:rFonts w:eastAsiaTheme="minorEastAsia" w:cstheme="minorBidi"/>
          <w:noProof/>
          <w:sz w:val="22"/>
          <w:szCs w:val="22"/>
          <w:rtl/>
        </w:rPr>
      </w:pPr>
      <w:r>
        <w:rPr>
          <w:noProof/>
          <w:rtl/>
        </w:rPr>
        <w:t>ביאור הר"ן דבסוגיין אזלינן בתר רוב כשא"א לבדוק ובסנהדרין אפשר לקיים את הדין בלי רוב</w:t>
      </w:r>
    </w:p>
    <w:p w14:paraId="13E58C61" w14:textId="77777777" w:rsidR="00832F30" w:rsidRDefault="00832F30" w:rsidP="00553A5C">
      <w:pPr>
        <w:pStyle w:val="aff4"/>
        <w:rPr>
          <w:rFonts w:eastAsiaTheme="minorEastAsia" w:cstheme="minorBidi"/>
          <w:i/>
          <w:iCs/>
          <w:noProof/>
          <w:sz w:val="22"/>
          <w:szCs w:val="22"/>
          <w:rtl/>
        </w:rPr>
      </w:pPr>
      <w:bookmarkStart w:id="9361" w:name="_Toc19435647"/>
      <w:bookmarkStart w:id="9362" w:name="_Toc20080928"/>
      <w:r>
        <w:rPr>
          <w:noProof/>
          <w:rtl/>
        </w:rPr>
        <w:t>דברי הגר"ש איגר בחילוק בין הנדון בסוגיין לנדון בסנהדרין</w:t>
      </w:r>
      <w:bookmarkEnd w:id="9361"/>
      <w:bookmarkEnd w:id="9362"/>
    </w:p>
    <w:p w14:paraId="68470F1F" w14:textId="77777777" w:rsidR="00832F30" w:rsidRDefault="00832F30" w:rsidP="005077A7">
      <w:pPr>
        <w:pStyle w:val="a"/>
        <w:rPr>
          <w:rFonts w:eastAsiaTheme="minorEastAsia" w:cstheme="minorBidi"/>
          <w:noProof/>
          <w:sz w:val="22"/>
          <w:szCs w:val="22"/>
          <w:rtl/>
        </w:rPr>
      </w:pPr>
      <w:r>
        <w:rPr>
          <w:noProof/>
          <w:rtl/>
        </w:rPr>
        <w:t>תירוץ הגר"ש איגר דבמכה אביו מפורש בתורה דהורגין בהכה את מי שעפ"י הרוב הוא אביו</w:t>
      </w:r>
    </w:p>
    <w:p w14:paraId="091C06B6" w14:textId="77777777" w:rsidR="00832F30" w:rsidRDefault="00832F30" w:rsidP="005077A7">
      <w:pPr>
        <w:pStyle w:val="a"/>
        <w:rPr>
          <w:rFonts w:eastAsiaTheme="minorEastAsia" w:cstheme="minorBidi"/>
          <w:noProof/>
          <w:sz w:val="22"/>
          <w:szCs w:val="22"/>
          <w:rtl/>
        </w:rPr>
      </w:pPr>
      <w:r>
        <w:rPr>
          <w:noProof/>
          <w:rtl/>
        </w:rPr>
        <w:t>ביאור הגר"ש איגר דהנדון בסנהדרין אינו לפוטרו מהעבירה ע"י רוב אלא ע"י רוב מן הצד</w:t>
      </w:r>
    </w:p>
    <w:p w14:paraId="133A1D8E" w14:textId="77777777" w:rsidR="00832F30" w:rsidRDefault="00832F30" w:rsidP="00553A5C">
      <w:pPr>
        <w:pStyle w:val="aff4"/>
        <w:rPr>
          <w:rFonts w:eastAsiaTheme="minorEastAsia" w:cstheme="minorBidi"/>
          <w:i/>
          <w:iCs/>
          <w:noProof/>
          <w:sz w:val="22"/>
          <w:szCs w:val="22"/>
          <w:rtl/>
        </w:rPr>
      </w:pPr>
      <w:bookmarkStart w:id="9363" w:name="_Toc19435648"/>
      <w:bookmarkStart w:id="9364" w:name="_Toc20080929"/>
      <w:r>
        <w:rPr>
          <w:noProof/>
          <w:rtl/>
        </w:rPr>
        <w:t>דברי המאירי דבנפשות אזלינן בתר רוב שיש עמו חזקה</w:t>
      </w:r>
      <w:bookmarkEnd w:id="9363"/>
      <w:bookmarkEnd w:id="9364"/>
    </w:p>
    <w:p w14:paraId="378C9539" w14:textId="77777777" w:rsidR="00832F30" w:rsidRDefault="00832F30" w:rsidP="005077A7">
      <w:pPr>
        <w:pStyle w:val="a"/>
        <w:rPr>
          <w:rFonts w:eastAsiaTheme="minorEastAsia" w:cstheme="minorBidi"/>
          <w:noProof/>
          <w:sz w:val="22"/>
          <w:szCs w:val="22"/>
          <w:rtl/>
        </w:rPr>
      </w:pPr>
      <w:r>
        <w:rPr>
          <w:noProof/>
          <w:rtl/>
        </w:rPr>
        <w:t>דברי המאירי דבמכה אביו אף שאפשר לבדוק אזלינן בתר רוב וכ"ש דאזלינן בתר רוב עם חזקה</w:t>
      </w:r>
    </w:p>
    <w:p w14:paraId="27456DDF" w14:textId="77777777" w:rsidR="00832F30" w:rsidRDefault="00832F30" w:rsidP="005077A7">
      <w:pPr>
        <w:pStyle w:val="a"/>
        <w:rPr>
          <w:rFonts w:eastAsiaTheme="minorEastAsia" w:cstheme="minorBidi"/>
          <w:noProof/>
          <w:sz w:val="22"/>
          <w:szCs w:val="22"/>
          <w:rtl/>
        </w:rPr>
      </w:pPr>
      <w:r>
        <w:rPr>
          <w:noProof/>
          <w:rtl/>
        </w:rPr>
        <w:t>דברי המאירי בסנהדרין דבנפשות אזלינן בתר רוב שיש עמו חזקה דסוקלין על החזקות</w:t>
      </w:r>
    </w:p>
    <w:p w14:paraId="2D94C666" w14:textId="77777777" w:rsidR="00832F30" w:rsidRDefault="00832F30" w:rsidP="005077A7">
      <w:pPr>
        <w:pStyle w:val="a"/>
        <w:rPr>
          <w:rFonts w:eastAsiaTheme="minorEastAsia" w:cstheme="minorBidi"/>
          <w:noProof/>
          <w:sz w:val="22"/>
          <w:szCs w:val="22"/>
          <w:rtl/>
        </w:rPr>
      </w:pPr>
      <w:r>
        <w:rPr>
          <w:noProof/>
          <w:rtl/>
        </w:rPr>
        <w:t>דברי הגרש"ר דמבואר במאירי דדין רוב בנפשות שייך לדין סוקלין על החזקות</w:t>
      </w:r>
    </w:p>
    <w:p w14:paraId="3F8C0E59" w14:textId="77777777" w:rsidR="00832F30" w:rsidRDefault="00832F30" w:rsidP="00553A5C">
      <w:pPr>
        <w:pStyle w:val="aff4"/>
        <w:rPr>
          <w:rFonts w:eastAsiaTheme="minorEastAsia" w:cstheme="minorBidi"/>
          <w:i/>
          <w:iCs/>
          <w:noProof/>
          <w:sz w:val="22"/>
          <w:szCs w:val="22"/>
          <w:rtl/>
        </w:rPr>
      </w:pPr>
      <w:bookmarkStart w:id="9365" w:name="_Toc19435649"/>
      <w:bookmarkStart w:id="9366" w:name="_Toc20080930"/>
      <w:r>
        <w:rPr>
          <w:noProof/>
          <w:rtl/>
        </w:rPr>
        <w:t>דעת הרשב"א בתשו' ברוב בדיני נפשות</w:t>
      </w:r>
      <w:bookmarkEnd w:id="9365"/>
      <w:bookmarkEnd w:id="9366"/>
    </w:p>
    <w:p w14:paraId="7B0F3742" w14:textId="77777777" w:rsidR="00832F30" w:rsidRDefault="00832F30" w:rsidP="005077A7">
      <w:pPr>
        <w:pStyle w:val="a"/>
        <w:rPr>
          <w:rFonts w:eastAsiaTheme="minorEastAsia" w:cstheme="minorBidi"/>
          <w:noProof/>
          <w:sz w:val="22"/>
          <w:szCs w:val="22"/>
          <w:rtl/>
        </w:rPr>
      </w:pPr>
      <w:r>
        <w:rPr>
          <w:noProof/>
          <w:rtl/>
        </w:rPr>
        <w:t>ספק הרשב"א בתשו' אי בדיני נפשות לא אזלינן בתר רוב כיון דכתיב והצילו העדה</w:t>
      </w:r>
    </w:p>
    <w:p w14:paraId="11C7D165" w14:textId="77777777" w:rsidR="00832F30" w:rsidRDefault="00832F30" w:rsidP="005077A7">
      <w:pPr>
        <w:pStyle w:val="a"/>
        <w:rPr>
          <w:rFonts w:eastAsiaTheme="minorEastAsia" w:cstheme="minorBidi"/>
          <w:noProof/>
          <w:sz w:val="22"/>
          <w:szCs w:val="22"/>
          <w:rtl/>
        </w:rPr>
      </w:pPr>
      <w:r>
        <w:rPr>
          <w:noProof/>
          <w:rtl/>
        </w:rPr>
        <w:t>מסקנת הרשב"א בתשו' דמבואר בזורק אבן לגו ובירושלמי בסנהדרין דאזלינן בנפשות בתר רובא</w:t>
      </w:r>
    </w:p>
    <w:p w14:paraId="39B8D141" w14:textId="77777777" w:rsidR="00832F30" w:rsidRDefault="00832F30" w:rsidP="005077A7">
      <w:pPr>
        <w:pStyle w:val="a"/>
        <w:rPr>
          <w:rFonts w:eastAsiaTheme="minorEastAsia" w:cstheme="minorBidi"/>
          <w:noProof/>
          <w:sz w:val="22"/>
          <w:szCs w:val="22"/>
          <w:rtl/>
        </w:rPr>
      </w:pPr>
      <w:r>
        <w:rPr>
          <w:noProof/>
          <w:rtl/>
        </w:rPr>
        <w:t>דברי החת"ס דהרשב"א ביאר דבסנהדרין איירי דוקא ברובא דליתא קמן שלא הוקבע המיעוט</w:t>
      </w:r>
    </w:p>
    <w:p w14:paraId="024081FC" w14:textId="77777777" w:rsidR="00832F30" w:rsidRDefault="00832F30" w:rsidP="005077A7">
      <w:pPr>
        <w:pStyle w:val="a"/>
        <w:rPr>
          <w:rFonts w:eastAsiaTheme="minorEastAsia" w:cstheme="minorBidi"/>
          <w:noProof/>
          <w:sz w:val="22"/>
          <w:szCs w:val="22"/>
          <w:rtl/>
        </w:rPr>
      </w:pPr>
      <w:r>
        <w:rPr>
          <w:noProof/>
          <w:rtl/>
        </w:rPr>
        <w:t>ביאור החת"ס דהנדון בדברי הרשב"א הוא ברובא דאיתא קמן שאינו מסברא</w:t>
      </w:r>
    </w:p>
    <w:p w14:paraId="7FC74C14" w14:textId="77777777" w:rsidR="00832F30" w:rsidRDefault="00832F30" w:rsidP="00553A5C">
      <w:pPr>
        <w:pStyle w:val="aff4"/>
        <w:rPr>
          <w:rFonts w:eastAsiaTheme="minorEastAsia" w:cstheme="minorBidi"/>
          <w:i/>
          <w:iCs/>
          <w:noProof/>
          <w:sz w:val="22"/>
          <w:szCs w:val="22"/>
          <w:rtl/>
        </w:rPr>
      </w:pPr>
      <w:bookmarkStart w:id="9367" w:name="_Toc19435650"/>
      <w:bookmarkStart w:id="9368" w:name="_Toc20080931"/>
      <w:r>
        <w:rPr>
          <w:noProof/>
          <w:rtl/>
        </w:rPr>
        <w:t>חילוק חי' רמ"ש ברוב בנפשות בין רוב אפשרויות לרוב בטבע</w:t>
      </w:r>
      <w:bookmarkEnd w:id="9367"/>
      <w:bookmarkEnd w:id="9368"/>
    </w:p>
    <w:p w14:paraId="1BBE8991" w14:textId="77777777" w:rsidR="00832F30" w:rsidRDefault="00832F30" w:rsidP="005077A7">
      <w:pPr>
        <w:pStyle w:val="a"/>
        <w:rPr>
          <w:rFonts w:eastAsiaTheme="minorEastAsia" w:cstheme="minorBidi"/>
          <w:noProof/>
          <w:sz w:val="22"/>
          <w:szCs w:val="22"/>
          <w:rtl/>
        </w:rPr>
      </w:pPr>
      <w:r>
        <w:rPr>
          <w:noProof/>
          <w:rtl/>
        </w:rPr>
        <w:t>דברי חי' רמ"ש דברוב של אפשרויות שאינו הכרח בטבע אזלינן בתריה</w:t>
      </w:r>
      <w:r>
        <w:rPr>
          <w:rFonts w:hint="cs"/>
          <w:noProof/>
          <w:rtl/>
        </w:rPr>
        <w:t xml:space="preserve"> </w:t>
      </w:r>
      <w:r>
        <w:rPr>
          <w:noProof/>
          <w:rtl/>
        </w:rPr>
        <w:t>אף בדיני נפשות</w:t>
      </w:r>
    </w:p>
    <w:p w14:paraId="77B03240" w14:textId="77777777" w:rsidR="00832F30" w:rsidRDefault="00832F30" w:rsidP="005077A7">
      <w:pPr>
        <w:pStyle w:val="a"/>
        <w:rPr>
          <w:rFonts w:eastAsiaTheme="minorEastAsia" w:cstheme="minorBidi"/>
          <w:noProof/>
          <w:sz w:val="22"/>
          <w:szCs w:val="22"/>
          <w:rtl/>
        </w:rPr>
      </w:pPr>
      <w:r>
        <w:rPr>
          <w:noProof/>
          <w:rtl/>
        </w:rPr>
        <w:t>דברי חי' רמ"ש דברוב שהוא בטבע לא אזלינן בתריה בדיני נפשות כיון שגם המיעוט הוא בטבע</w:t>
      </w:r>
    </w:p>
    <w:p w14:paraId="3D84B264" w14:textId="77777777" w:rsidR="00832F30" w:rsidRDefault="00832F30" w:rsidP="00553A5C">
      <w:pPr>
        <w:pStyle w:val="2"/>
        <w:keepNext w:val="0"/>
        <w:keepLines w:val="0"/>
        <w:rPr>
          <w:rFonts w:eastAsiaTheme="minorEastAsia" w:cstheme="minorBidi"/>
          <w:i/>
          <w:iCs/>
          <w:noProof/>
          <w:sz w:val="22"/>
          <w:szCs w:val="22"/>
          <w:rtl/>
        </w:rPr>
      </w:pPr>
      <w:bookmarkStart w:id="9369" w:name="_Toc19435651"/>
      <w:r>
        <w:rPr>
          <w:noProof/>
          <w:rtl/>
        </w:rPr>
        <w:t>בדעת התוס' ברוב בנפשות</w:t>
      </w:r>
      <w:bookmarkEnd w:id="9369"/>
    </w:p>
    <w:p w14:paraId="26BC8AF5" w14:textId="77777777" w:rsidR="00832F30" w:rsidRDefault="00832F30" w:rsidP="00553A5C">
      <w:pPr>
        <w:pStyle w:val="aff4"/>
        <w:rPr>
          <w:rFonts w:eastAsiaTheme="minorEastAsia" w:cstheme="minorBidi"/>
          <w:i/>
          <w:iCs/>
          <w:noProof/>
          <w:sz w:val="22"/>
          <w:szCs w:val="22"/>
          <w:rtl/>
        </w:rPr>
      </w:pPr>
      <w:bookmarkStart w:id="9370" w:name="_Toc19435652"/>
      <w:bookmarkStart w:id="9371" w:name="_Toc20080932"/>
      <w:r>
        <w:rPr>
          <w:noProof/>
          <w:rtl/>
        </w:rPr>
        <w:t>דברי התוס' בסנהדרין דבממונות ונפשות מהני רק רוב מעליא</w:t>
      </w:r>
      <w:bookmarkEnd w:id="9370"/>
      <w:bookmarkEnd w:id="9371"/>
    </w:p>
    <w:p w14:paraId="2A2BB0AC" w14:textId="77777777" w:rsidR="00832F30" w:rsidRDefault="00832F30" w:rsidP="005077A7">
      <w:pPr>
        <w:pStyle w:val="a"/>
        <w:rPr>
          <w:rFonts w:eastAsiaTheme="minorEastAsia" w:cstheme="minorBidi"/>
          <w:noProof/>
          <w:sz w:val="22"/>
          <w:szCs w:val="22"/>
          <w:rtl/>
        </w:rPr>
      </w:pPr>
      <w:r>
        <w:rPr>
          <w:noProof/>
          <w:rtl/>
        </w:rPr>
        <w:t>דברי התוס' בסנהדרין דיש חילוק בין רוב חשוב לאינו חשוב לענין ממונות [ונפשות]</w:t>
      </w:r>
    </w:p>
    <w:p w14:paraId="69257DE4" w14:textId="77777777" w:rsidR="00832F30" w:rsidRDefault="00832F30" w:rsidP="005077A7">
      <w:pPr>
        <w:pStyle w:val="a"/>
        <w:rPr>
          <w:rFonts w:eastAsiaTheme="minorEastAsia" w:cstheme="minorBidi"/>
          <w:noProof/>
          <w:sz w:val="22"/>
          <w:szCs w:val="22"/>
          <w:rtl/>
        </w:rPr>
      </w:pPr>
      <w:r>
        <w:rPr>
          <w:noProof/>
          <w:rtl/>
        </w:rPr>
        <w:t>ביאור הש"ש בתוס' בסנהדרין דבנפשות וממונות אזלינן בתר רוב בטבע ולא בתר רוב בדעת בנ"א</w:t>
      </w:r>
    </w:p>
    <w:p w14:paraId="5E5B71A3" w14:textId="77777777" w:rsidR="00832F30" w:rsidRDefault="00832F30" w:rsidP="00553A5C">
      <w:pPr>
        <w:pStyle w:val="aff4"/>
        <w:rPr>
          <w:rFonts w:eastAsiaTheme="minorEastAsia" w:cstheme="minorBidi"/>
          <w:i/>
          <w:iCs/>
          <w:noProof/>
          <w:sz w:val="22"/>
          <w:szCs w:val="22"/>
          <w:rtl/>
        </w:rPr>
      </w:pPr>
      <w:bookmarkStart w:id="9372" w:name="_Toc19435653"/>
      <w:bookmarkStart w:id="9373" w:name="_Toc20080933"/>
      <w:r>
        <w:rPr>
          <w:noProof/>
          <w:rtl/>
        </w:rPr>
        <w:t>דברי התוס' בב"ק דבממונות סמכינן את המיעוט למוחזקות</w:t>
      </w:r>
      <w:bookmarkEnd w:id="9372"/>
      <w:bookmarkEnd w:id="9373"/>
    </w:p>
    <w:p w14:paraId="752363F0" w14:textId="77777777" w:rsidR="00832F30" w:rsidRDefault="00832F30" w:rsidP="005077A7">
      <w:pPr>
        <w:pStyle w:val="a"/>
        <w:rPr>
          <w:rFonts w:eastAsiaTheme="minorEastAsia" w:cstheme="minorBidi"/>
          <w:noProof/>
          <w:sz w:val="22"/>
          <w:szCs w:val="22"/>
          <w:rtl/>
        </w:rPr>
      </w:pPr>
      <w:r>
        <w:rPr>
          <w:noProof/>
          <w:rtl/>
        </w:rPr>
        <w:t>דברי התוס' בב"ק דרק ברוב כדיינים שהמיעוט כמי שאינו ילפינן ממונות מנפשות</w:t>
      </w:r>
    </w:p>
    <w:p w14:paraId="69BDD357" w14:textId="77777777" w:rsidR="00832F30" w:rsidRDefault="00832F30" w:rsidP="005077A7">
      <w:pPr>
        <w:pStyle w:val="a"/>
        <w:rPr>
          <w:rFonts w:eastAsiaTheme="minorEastAsia" w:cstheme="minorBidi"/>
          <w:noProof/>
          <w:sz w:val="22"/>
          <w:szCs w:val="22"/>
          <w:rtl/>
        </w:rPr>
      </w:pPr>
      <w:r>
        <w:rPr>
          <w:noProof/>
          <w:rtl/>
        </w:rPr>
        <w:t>ביאור הש"ש דלתוס' בב"ק אף ברוב גמור לא אזלינן בממונות בתר רוב ורק בדיינים אזלינן</w:t>
      </w:r>
    </w:p>
    <w:p w14:paraId="326192D6" w14:textId="77777777" w:rsidR="00832F30" w:rsidRDefault="00832F30" w:rsidP="00553A5C">
      <w:pPr>
        <w:pStyle w:val="2"/>
        <w:keepNext w:val="0"/>
        <w:keepLines w:val="0"/>
        <w:rPr>
          <w:rFonts w:eastAsiaTheme="minorEastAsia" w:cstheme="minorBidi"/>
          <w:i/>
          <w:iCs/>
          <w:noProof/>
          <w:sz w:val="22"/>
          <w:szCs w:val="22"/>
          <w:rtl/>
        </w:rPr>
      </w:pPr>
      <w:bookmarkStart w:id="9374" w:name="_Toc19435654"/>
      <w:r>
        <w:rPr>
          <w:noProof/>
          <w:rtl/>
        </w:rPr>
        <w:t>הוקבע האיסור ע"י הרוב</w:t>
      </w:r>
      <w:bookmarkEnd w:id="9374"/>
    </w:p>
    <w:p w14:paraId="644AFA99" w14:textId="77777777" w:rsidR="00832F30" w:rsidRDefault="00832F30" w:rsidP="00553A5C">
      <w:pPr>
        <w:pStyle w:val="aff4"/>
        <w:rPr>
          <w:rFonts w:eastAsiaTheme="minorEastAsia" w:cstheme="minorBidi"/>
          <w:i/>
          <w:iCs/>
          <w:noProof/>
          <w:sz w:val="22"/>
          <w:szCs w:val="22"/>
          <w:rtl/>
        </w:rPr>
      </w:pPr>
      <w:bookmarkStart w:id="9375" w:name="_Toc19435655"/>
      <w:bookmarkStart w:id="9376" w:name="_Toc20080934"/>
      <w:r>
        <w:rPr>
          <w:noProof/>
          <w:rtl/>
        </w:rPr>
        <w:t>ביאור הש"ש דבמכה אביו הרוב החזיקו לאביו ולכן הורגין</w:t>
      </w:r>
      <w:bookmarkEnd w:id="9375"/>
      <w:bookmarkEnd w:id="9376"/>
    </w:p>
    <w:p w14:paraId="2B7CBE23" w14:textId="77777777" w:rsidR="00832F30" w:rsidRDefault="00832F30" w:rsidP="005077A7">
      <w:pPr>
        <w:pStyle w:val="a"/>
        <w:rPr>
          <w:rFonts w:eastAsiaTheme="minorEastAsia" w:cstheme="minorBidi"/>
          <w:noProof/>
          <w:sz w:val="22"/>
          <w:szCs w:val="22"/>
          <w:rtl/>
        </w:rPr>
      </w:pPr>
      <w:r>
        <w:rPr>
          <w:noProof/>
          <w:rtl/>
        </w:rPr>
        <w:t>קושית הקונה"ס דבנפשות נסמוך את המיעוט לחזקת גופו דהוא כ"ש ממוחזק בממון</w:t>
      </w:r>
    </w:p>
    <w:p w14:paraId="6B971689" w14:textId="77777777" w:rsidR="00832F30" w:rsidRDefault="00832F30" w:rsidP="005077A7">
      <w:pPr>
        <w:pStyle w:val="a"/>
        <w:rPr>
          <w:rFonts w:eastAsiaTheme="minorEastAsia" w:cstheme="minorBidi"/>
          <w:noProof/>
          <w:sz w:val="22"/>
          <w:szCs w:val="22"/>
          <w:rtl/>
        </w:rPr>
      </w:pPr>
      <w:r>
        <w:rPr>
          <w:noProof/>
          <w:rtl/>
        </w:rPr>
        <w:t>דברי הש"ש דרוב לא מהני בנפשות אלא שע"י הרוב הוחזק האיסור וע"י שהוחזק הורגין</w:t>
      </w:r>
    </w:p>
    <w:p w14:paraId="1E486D19" w14:textId="77777777" w:rsidR="00832F30" w:rsidRDefault="00832F30" w:rsidP="005077A7">
      <w:pPr>
        <w:pStyle w:val="a"/>
        <w:rPr>
          <w:rFonts w:eastAsiaTheme="minorEastAsia" w:cstheme="minorBidi"/>
          <w:noProof/>
          <w:sz w:val="22"/>
          <w:szCs w:val="22"/>
          <w:rtl/>
        </w:rPr>
      </w:pPr>
      <w:r>
        <w:rPr>
          <w:noProof/>
          <w:rtl/>
        </w:rPr>
        <w:t>דברי הש"ש דבמכה אביו הוחזק שהוא אביו לפני המעשה ואח"כ נהרג כיון שהוחזק לאביו</w:t>
      </w:r>
    </w:p>
    <w:p w14:paraId="5B8E1E23" w14:textId="77777777" w:rsidR="00832F30" w:rsidRDefault="00832F30" w:rsidP="005077A7">
      <w:pPr>
        <w:pStyle w:val="a"/>
        <w:rPr>
          <w:rFonts w:eastAsiaTheme="minorEastAsia" w:cstheme="minorBidi"/>
          <w:noProof/>
          <w:sz w:val="22"/>
          <w:szCs w:val="22"/>
          <w:rtl/>
        </w:rPr>
      </w:pPr>
      <w:r>
        <w:rPr>
          <w:noProof/>
          <w:rtl/>
        </w:rPr>
        <w:t>תירוץ הקונה"ס דבנפשות שהוא עצמו נידון א"א לסמוך את המיעוט לחזקת גופו</w:t>
      </w:r>
    </w:p>
    <w:p w14:paraId="76271E8C" w14:textId="77777777" w:rsidR="00832F30" w:rsidRDefault="00832F30" w:rsidP="00553A5C">
      <w:pPr>
        <w:pStyle w:val="aff4"/>
        <w:rPr>
          <w:rFonts w:eastAsiaTheme="minorEastAsia" w:cstheme="minorBidi"/>
          <w:i/>
          <w:iCs/>
          <w:noProof/>
          <w:sz w:val="22"/>
          <w:szCs w:val="22"/>
          <w:rtl/>
        </w:rPr>
      </w:pPr>
      <w:bookmarkStart w:id="9377" w:name="_Toc19435656"/>
      <w:bookmarkStart w:id="9378" w:name="_Toc20080935"/>
      <w:r>
        <w:rPr>
          <w:noProof/>
          <w:rtl/>
        </w:rPr>
        <w:t>דברי ההפלאה דרוב שנפסק הדין על פיו מהני אף לממונות</w:t>
      </w:r>
      <w:bookmarkEnd w:id="9377"/>
      <w:bookmarkEnd w:id="9378"/>
    </w:p>
    <w:p w14:paraId="55CBC809" w14:textId="77777777" w:rsidR="00832F30" w:rsidRDefault="00832F30" w:rsidP="005077A7">
      <w:pPr>
        <w:pStyle w:val="a"/>
        <w:rPr>
          <w:rFonts w:eastAsiaTheme="minorEastAsia" w:cstheme="minorBidi"/>
          <w:noProof/>
          <w:sz w:val="22"/>
          <w:szCs w:val="22"/>
          <w:rtl/>
        </w:rPr>
      </w:pPr>
      <w:r>
        <w:rPr>
          <w:noProof/>
          <w:rtl/>
        </w:rPr>
        <w:t>הוכחת ההפלאה דבנפסק דין עפ"י רוב מהני לממונות מהא דחייב לשלם לאב באונס ומפתה</w:t>
      </w:r>
    </w:p>
    <w:p w14:paraId="05C5DFC2" w14:textId="77777777" w:rsidR="00832F30" w:rsidRDefault="00832F30" w:rsidP="005077A7">
      <w:pPr>
        <w:pStyle w:val="a"/>
        <w:rPr>
          <w:rFonts w:eastAsiaTheme="minorEastAsia" w:cstheme="minorBidi"/>
          <w:noProof/>
          <w:sz w:val="22"/>
          <w:szCs w:val="22"/>
          <w:rtl/>
        </w:rPr>
      </w:pPr>
      <w:r>
        <w:rPr>
          <w:noProof/>
          <w:rtl/>
        </w:rPr>
        <w:t>משמעות הראשונים בכתובות דלא אזלינן בתר רובא בממונות אף כשנפסק דין עפ"י רוב</w:t>
      </w:r>
    </w:p>
    <w:p w14:paraId="1325CAD4" w14:textId="77777777" w:rsidR="00832F30" w:rsidRDefault="00832F30" w:rsidP="005077A7">
      <w:pPr>
        <w:pStyle w:val="a"/>
        <w:rPr>
          <w:rFonts w:eastAsiaTheme="minorEastAsia" w:cstheme="minorBidi"/>
          <w:noProof/>
          <w:sz w:val="22"/>
          <w:szCs w:val="22"/>
          <w:rtl/>
        </w:rPr>
      </w:pPr>
      <w:r>
        <w:rPr>
          <w:noProof/>
          <w:rtl/>
        </w:rPr>
        <w:t>דברי הגרעק"א דבתוס' בכתובות מבואר דלא אזלינן בממון בתר רוב אף שהוחזק הדין מכחו</w:t>
      </w:r>
    </w:p>
    <w:p w14:paraId="2BE2E715" w14:textId="77777777" w:rsidR="00BA4348" w:rsidRDefault="00BA4348" w:rsidP="00553A5C">
      <w:pPr>
        <w:pStyle w:val="aff4"/>
        <w:rPr>
          <w:noProof/>
          <w:rtl/>
        </w:rPr>
      </w:pPr>
    </w:p>
    <w:p w14:paraId="3AC7CFB8" w14:textId="77777777" w:rsidR="00832F30" w:rsidRDefault="00832F30" w:rsidP="00553A5C">
      <w:pPr>
        <w:pStyle w:val="aff4"/>
        <w:rPr>
          <w:rFonts w:eastAsiaTheme="minorEastAsia" w:cstheme="minorBidi"/>
          <w:noProof/>
          <w:sz w:val="22"/>
          <w:szCs w:val="22"/>
          <w:rtl/>
        </w:rPr>
      </w:pPr>
      <w:bookmarkStart w:id="9379" w:name="_Toc19435657"/>
      <w:bookmarkStart w:id="9380" w:name="_Toc20080936"/>
      <w:r w:rsidRPr="009E3826">
        <w:rPr>
          <w:noProof/>
          <w:rtl/>
        </w:rPr>
        <w:t>דברי הגרעק"א דבמכה אביו דנים ע"י הרוב שהוא אביו</w:t>
      </w:r>
      <w:r w:rsidRPr="00352B56">
        <w:rPr>
          <w:noProof/>
          <w:rtl/>
        </w:rPr>
        <w:t xml:space="preserve"> </w:t>
      </w:r>
      <w:r>
        <w:rPr>
          <w:rFonts w:hint="cs"/>
          <w:noProof/>
          <w:rtl/>
        </w:rPr>
        <w:t>כ</w:t>
      </w:r>
      <w:r w:rsidRPr="009E3826">
        <w:rPr>
          <w:noProof/>
          <w:rtl/>
        </w:rPr>
        <w:t>שנולד</w:t>
      </w:r>
      <w:bookmarkEnd w:id="9379"/>
      <w:bookmarkEnd w:id="9380"/>
    </w:p>
    <w:p w14:paraId="1E789D70" w14:textId="77777777" w:rsidR="00832F30" w:rsidRDefault="00832F30" w:rsidP="005077A7">
      <w:pPr>
        <w:pStyle w:val="a"/>
        <w:rPr>
          <w:rFonts w:eastAsiaTheme="minorEastAsia" w:cstheme="minorBidi"/>
          <w:noProof/>
          <w:sz w:val="22"/>
          <w:szCs w:val="22"/>
          <w:rtl/>
        </w:rPr>
      </w:pPr>
      <w:r>
        <w:rPr>
          <w:noProof/>
          <w:rtl/>
        </w:rPr>
        <w:t>דברי הגרעק"א דכשנולד דנים מכח הרוב שהוא אביו ולכן מהני אח"כ לממון ונפשות</w:t>
      </w:r>
    </w:p>
    <w:p w14:paraId="143C9221" w14:textId="77777777" w:rsidR="00832F30" w:rsidRDefault="00832F30" w:rsidP="005077A7">
      <w:pPr>
        <w:pStyle w:val="a"/>
        <w:rPr>
          <w:rFonts w:eastAsiaTheme="minorEastAsia" w:cstheme="minorBidi"/>
          <w:noProof/>
          <w:sz w:val="22"/>
          <w:szCs w:val="22"/>
          <w:rtl/>
        </w:rPr>
      </w:pPr>
      <w:r>
        <w:rPr>
          <w:noProof/>
          <w:rtl/>
        </w:rPr>
        <w:t>הוכחת הגרעק"א דהורגין ע"י רוב שדנו מכחו מהמ"ד דיליף רוב מפרה אדומה ומשחיטה</w:t>
      </w:r>
    </w:p>
    <w:p w14:paraId="72BEB78E" w14:textId="77777777" w:rsidR="00832F30" w:rsidRDefault="00832F30" w:rsidP="005077A7">
      <w:pPr>
        <w:pStyle w:val="a"/>
        <w:rPr>
          <w:rFonts w:eastAsiaTheme="minorEastAsia" w:cstheme="minorBidi"/>
          <w:noProof/>
          <w:sz w:val="22"/>
          <w:szCs w:val="22"/>
          <w:rtl/>
        </w:rPr>
      </w:pPr>
      <w:r>
        <w:rPr>
          <w:noProof/>
          <w:rtl/>
        </w:rPr>
        <w:t>דברי הגרעק"א דבדנו ע"י רוב שאשה היא א"א נהרגין עליה אף אי כלפי שמיא גליא שהיא פנויה</w:t>
      </w:r>
    </w:p>
    <w:p w14:paraId="1994ABF0" w14:textId="77777777" w:rsidR="00832F30" w:rsidRDefault="00832F30" w:rsidP="005077A7">
      <w:pPr>
        <w:pStyle w:val="a"/>
        <w:rPr>
          <w:rFonts w:eastAsiaTheme="minorEastAsia" w:cstheme="minorBidi"/>
          <w:noProof/>
          <w:sz w:val="22"/>
          <w:szCs w:val="22"/>
          <w:rtl/>
        </w:rPr>
      </w:pPr>
      <w:r>
        <w:rPr>
          <w:noProof/>
          <w:rtl/>
        </w:rPr>
        <w:t>דברי הגרעק"א דכשדנו עפ"י הרוב יש לו דין ודאי אף לדעת התורא"ש דרוב אינו ודאי</w:t>
      </w:r>
    </w:p>
    <w:p w14:paraId="7794D8A5" w14:textId="77777777" w:rsidR="00832F30" w:rsidRDefault="00832F30" w:rsidP="005077A7">
      <w:pPr>
        <w:pStyle w:val="a"/>
        <w:rPr>
          <w:rFonts w:eastAsiaTheme="minorEastAsia" w:cstheme="minorBidi"/>
          <w:noProof/>
          <w:sz w:val="22"/>
          <w:szCs w:val="22"/>
          <w:rtl/>
        </w:rPr>
      </w:pPr>
      <w:r>
        <w:rPr>
          <w:noProof/>
          <w:rtl/>
        </w:rPr>
        <w:t>הוכחת הגרעק"א מהא דבמעשר בהמה לא חיישינן לטריפה כיון שהותרה לאכילה עפ"י הרוב</w:t>
      </w:r>
    </w:p>
    <w:p w14:paraId="24483691" w14:textId="77777777" w:rsidR="00832F30" w:rsidRDefault="00832F30" w:rsidP="005077A7">
      <w:pPr>
        <w:pStyle w:val="a"/>
        <w:rPr>
          <w:rFonts w:eastAsiaTheme="minorEastAsia" w:cstheme="minorBidi"/>
          <w:noProof/>
          <w:sz w:val="22"/>
          <w:szCs w:val="22"/>
          <w:rtl/>
        </w:rPr>
      </w:pPr>
      <w:r>
        <w:rPr>
          <w:noProof/>
          <w:rtl/>
        </w:rPr>
        <w:t>ביאור הגרעק"א דכ"א שנולד דנים שהוא בנו של אביו ולכן מהני הרוב לדין "קהל ודאי"</w:t>
      </w:r>
    </w:p>
    <w:p w14:paraId="01621FA3" w14:textId="77777777" w:rsidR="00832F30" w:rsidRDefault="00832F30" w:rsidP="005077A7">
      <w:pPr>
        <w:pStyle w:val="a"/>
        <w:rPr>
          <w:rFonts w:eastAsiaTheme="minorEastAsia" w:cstheme="minorBidi"/>
          <w:noProof/>
          <w:sz w:val="22"/>
          <w:szCs w:val="22"/>
          <w:rtl/>
        </w:rPr>
      </w:pPr>
      <w:r>
        <w:rPr>
          <w:noProof/>
          <w:rtl/>
        </w:rPr>
        <w:t>ביאור הש"ש בתוס' הרא"ש דברובא יש דין ודאי ולכן מהני לדין עשירי ודאי וממזר ודאי</w:t>
      </w:r>
    </w:p>
    <w:p w14:paraId="2C646437" w14:textId="77777777" w:rsidR="00832F30" w:rsidRDefault="00832F30" w:rsidP="00553A5C">
      <w:pPr>
        <w:pStyle w:val="aff4"/>
        <w:rPr>
          <w:rFonts w:eastAsiaTheme="minorEastAsia" w:cstheme="minorBidi"/>
          <w:i/>
          <w:iCs/>
          <w:noProof/>
          <w:sz w:val="22"/>
          <w:szCs w:val="22"/>
          <w:rtl/>
        </w:rPr>
      </w:pPr>
      <w:bookmarkStart w:id="9381" w:name="_Toc19435658"/>
      <w:bookmarkStart w:id="9382" w:name="_Toc20080937"/>
      <w:r>
        <w:rPr>
          <w:noProof/>
          <w:rtl/>
        </w:rPr>
        <w:t>דברי הנתיה"מ בתשו' דרוב שהוחזק הוא כודאי גמור</w:t>
      </w:r>
      <w:bookmarkEnd w:id="9381"/>
      <w:bookmarkEnd w:id="9382"/>
    </w:p>
    <w:p w14:paraId="22656E12" w14:textId="77777777" w:rsidR="00832F30" w:rsidRDefault="00832F30" w:rsidP="005077A7">
      <w:pPr>
        <w:pStyle w:val="a"/>
        <w:rPr>
          <w:rFonts w:eastAsiaTheme="minorEastAsia" w:cstheme="minorBidi"/>
          <w:noProof/>
          <w:sz w:val="22"/>
          <w:szCs w:val="22"/>
          <w:rtl/>
        </w:rPr>
      </w:pPr>
      <w:r>
        <w:rPr>
          <w:noProof/>
          <w:rtl/>
        </w:rPr>
        <w:t>הוכחת הנתיה"מ דרוב שהוחזק מהני לממון מהא דאין בן ודאי דוחה בירושה בן ע"י רוב</w:t>
      </w:r>
    </w:p>
    <w:p w14:paraId="283C7096" w14:textId="77777777" w:rsidR="00832F30" w:rsidRDefault="00832F30" w:rsidP="005077A7">
      <w:pPr>
        <w:pStyle w:val="a"/>
        <w:rPr>
          <w:rFonts w:eastAsiaTheme="minorEastAsia" w:cstheme="minorBidi"/>
          <w:noProof/>
          <w:sz w:val="22"/>
          <w:szCs w:val="22"/>
          <w:rtl/>
        </w:rPr>
      </w:pPr>
      <w:r>
        <w:rPr>
          <w:noProof/>
          <w:rtl/>
        </w:rPr>
        <w:t>דברי הנתיה"מ דרוב שהוחזק לדברים אחרים מהני אף לדיני נפשות</w:t>
      </w:r>
    </w:p>
    <w:p w14:paraId="31B7E3A0" w14:textId="77777777" w:rsidR="00832F30" w:rsidRDefault="00832F30" w:rsidP="00553A5C">
      <w:pPr>
        <w:pStyle w:val="aff4"/>
        <w:rPr>
          <w:rFonts w:eastAsiaTheme="minorEastAsia" w:cstheme="minorBidi"/>
          <w:i/>
          <w:iCs/>
          <w:noProof/>
          <w:sz w:val="22"/>
          <w:szCs w:val="22"/>
          <w:rtl/>
        </w:rPr>
      </w:pPr>
      <w:bookmarkStart w:id="9383" w:name="_Toc19435659"/>
      <w:bookmarkStart w:id="9384" w:name="_Toc20080938"/>
      <w:r>
        <w:rPr>
          <w:noProof/>
          <w:rtl/>
        </w:rPr>
        <w:t>בקושית מהר"צ מהלברשטט האיך שורפין בת כהן ע"י רוב</w:t>
      </w:r>
      <w:bookmarkEnd w:id="9383"/>
      <w:bookmarkEnd w:id="9384"/>
    </w:p>
    <w:p w14:paraId="76A44B00" w14:textId="77777777" w:rsidR="00832F30" w:rsidRDefault="00832F30" w:rsidP="005077A7">
      <w:pPr>
        <w:pStyle w:val="a"/>
        <w:rPr>
          <w:rFonts w:eastAsiaTheme="minorEastAsia" w:cstheme="minorBidi"/>
          <w:noProof/>
          <w:sz w:val="22"/>
          <w:szCs w:val="22"/>
          <w:rtl/>
        </w:rPr>
      </w:pPr>
      <w:r>
        <w:rPr>
          <w:noProof/>
          <w:rtl/>
        </w:rPr>
        <w:t>קושית מהר"צ הלברשטט דבת כהן היא בתו של הכהן רק ע"י רוב ולא מהני רוב לדין שריפה</w:t>
      </w:r>
    </w:p>
    <w:p w14:paraId="17DE2757" w14:textId="77777777" w:rsidR="00832F30" w:rsidRDefault="00832F30" w:rsidP="005077A7">
      <w:pPr>
        <w:pStyle w:val="a"/>
        <w:rPr>
          <w:rFonts w:eastAsiaTheme="minorEastAsia" w:cstheme="minorBidi"/>
          <w:noProof/>
          <w:sz w:val="22"/>
          <w:szCs w:val="22"/>
          <w:rtl/>
        </w:rPr>
      </w:pPr>
      <w:r>
        <w:rPr>
          <w:noProof/>
          <w:rtl/>
        </w:rPr>
        <w:t>תירוץ הפרמ"ג דיש תרי רובי רוב בעילות אחר הבעל וחזקת צדקת ומהני אף לדין שריפה</w:t>
      </w:r>
    </w:p>
    <w:p w14:paraId="4097F8DE" w14:textId="77777777" w:rsidR="00832F30" w:rsidRDefault="00832F30" w:rsidP="005077A7">
      <w:pPr>
        <w:pStyle w:val="a"/>
        <w:rPr>
          <w:rFonts w:eastAsiaTheme="minorEastAsia" w:cstheme="minorBidi"/>
          <w:noProof/>
          <w:sz w:val="22"/>
          <w:szCs w:val="22"/>
          <w:rtl/>
        </w:rPr>
      </w:pPr>
      <w:r>
        <w:rPr>
          <w:noProof/>
          <w:rtl/>
        </w:rPr>
        <w:t>תירוץ הנתיה"מ דכיון שהוחזקה לבת כהן ע"י רוב לדברים אחרים מהני אף לדין שריפה</w:t>
      </w:r>
    </w:p>
    <w:p w14:paraId="21332255" w14:textId="77777777" w:rsidR="00832F30" w:rsidRDefault="00832F30" w:rsidP="00553A5C">
      <w:pPr>
        <w:pStyle w:val="2"/>
        <w:keepNext w:val="0"/>
        <w:keepLines w:val="0"/>
        <w:rPr>
          <w:noProof/>
          <w:rtl/>
        </w:rPr>
      </w:pPr>
    </w:p>
    <w:p w14:paraId="41B8EDDF" w14:textId="77777777" w:rsidR="00832F30" w:rsidRDefault="00832F30" w:rsidP="00553A5C">
      <w:pPr>
        <w:pStyle w:val="2"/>
        <w:keepNext w:val="0"/>
        <w:keepLines w:val="0"/>
        <w:rPr>
          <w:rFonts w:eastAsiaTheme="minorEastAsia" w:cstheme="minorBidi"/>
          <w:i/>
          <w:iCs/>
          <w:noProof/>
          <w:sz w:val="22"/>
          <w:szCs w:val="22"/>
          <w:rtl/>
        </w:rPr>
      </w:pPr>
      <w:bookmarkStart w:id="9385" w:name="_Toc19435660"/>
      <w:r>
        <w:rPr>
          <w:noProof/>
          <w:rtl/>
        </w:rPr>
        <w:t>ביאורי ראשי הישיבות על הסוגיא</w:t>
      </w:r>
      <w:bookmarkEnd w:id="9385"/>
    </w:p>
    <w:p w14:paraId="6E8A596D" w14:textId="77777777" w:rsidR="00832F30" w:rsidRDefault="00832F30" w:rsidP="00553A5C">
      <w:pPr>
        <w:pStyle w:val="2"/>
        <w:keepNext w:val="0"/>
        <w:keepLines w:val="0"/>
        <w:rPr>
          <w:rFonts w:eastAsiaTheme="minorEastAsia" w:cstheme="minorBidi"/>
          <w:i/>
          <w:iCs/>
          <w:noProof/>
          <w:sz w:val="22"/>
          <w:szCs w:val="22"/>
          <w:rtl/>
        </w:rPr>
      </w:pPr>
      <w:bookmarkStart w:id="9386" w:name="_Toc19435661"/>
      <w:r>
        <w:rPr>
          <w:noProof/>
          <w:rtl/>
        </w:rPr>
        <w:t>מכה אביו מדין רוב או מדין חזקה</w:t>
      </w:r>
      <w:bookmarkEnd w:id="9386"/>
    </w:p>
    <w:p w14:paraId="4C95AD7F" w14:textId="77777777" w:rsidR="00832F30" w:rsidRDefault="00832F30" w:rsidP="00553A5C">
      <w:pPr>
        <w:pStyle w:val="aff4"/>
        <w:rPr>
          <w:rFonts w:eastAsiaTheme="minorEastAsia" w:cstheme="minorBidi"/>
          <w:i/>
          <w:iCs/>
          <w:noProof/>
          <w:sz w:val="22"/>
          <w:szCs w:val="22"/>
          <w:rtl/>
        </w:rPr>
      </w:pPr>
      <w:bookmarkStart w:id="9387" w:name="_Toc19435662"/>
      <w:bookmarkStart w:id="9388" w:name="_Toc20080939"/>
      <w:r>
        <w:rPr>
          <w:noProof/>
          <w:rtl/>
        </w:rPr>
        <w:t>ביאור המשנת ר"א דע"י שהוחזק מכח הרוב יש דין ודאי למיתה</w:t>
      </w:r>
      <w:bookmarkEnd w:id="9387"/>
      <w:bookmarkEnd w:id="9388"/>
    </w:p>
    <w:p w14:paraId="252DC791" w14:textId="77777777" w:rsidR="00832F30" w:rsidRDefault="00832F30" w:rsidP="005077A7">
      <w:pPr>
        <w:pStyle w:val="a"/>
        <w:rPr>
          <w:rFonts w:eastAsiaTheme="minorEastAsia" w:cstheme="minorBidi"/>
          <w:noProof/>
          <w:sz w:val="22"/>
          <w:szCs w:val="22"/>
          <w:rtl/>
        </w:rPr>
      </w:pPr>
      <w:r>
        <w:rPr>
          <w:noProof/>
          <w:rtl/>
        </w:rPr>
        <w:t>קושית המשנת ר"א על הרמב"ם דאמאי בנמצא ברוב ישראל לא הורגין ע"י חזקה מכח רוב</w:t>
      </w:r>
    </w:p>
    <w:p w14:paraId="684DC4C3" w14:textId="77777777" w:rsidR="00832F30" w:rsidRDefault="00832F30" w:rsidP="005077A7">
      <w:pPr>
        <w:pStyle w:val="a"/>
        <w:rPr>
          <w:rFonts w:eastAsiaTheme="minorEastAsia" w:cstheme="minorBidi"/>
          <w:noProof/>
          <w:sz w:val="22"/>
          <w:szCs w:val="22"/>
          <w:rtl/>
        </w:rPr>
      </w:pPr>
      <w:r>
        <w:rPr>
          <w:noProof/>
          <w:rtl/>
        </w:rPr>
        <w:t>ביאור המשנת ר"א דאי לא אזלינן בתר רובא א"א להרוג ע"י שהוחזק לאביו דהוא מכח ספק</w:t>
      </w:r>
    </w:p>
    <w:p w14:paraId="0A826ACC" w14:textId="77777777" w:rsidR="00832F30" w:rsidRDefault="00832F30" w:rsidP="00553A5C">
      <w:pPr>
        <w:pStyle w:val="aff4"/>
        <w:rPr>
          <w:rFonts w:eastAsiaTheme="minorEastAsia" w:cstheme="minorBidi"/>
          <w:i/>
          <w:iCs/>
          <w:noProof/>
          <w:sz w:val="22"/>
          <w:szCs w:val="22"/>
          <w:rtl/>
        </w:rPr>
      </w:pPr>
      <w:bookmarkStart w:id="9389" w:name="_Toc19435663"/>
      <w:bookmarkStart w:id="9390" w:name="_Toc20080940"/>
      <w:r>
        <w:rPr>
          <w:noProof/>
          <w:rtl/>
        </w:rPr>
        <w:t>ביאור המשנת ר"א דרוב לבד ל"מ בנפשות כיון שמוחזק בגופו</w:t>
      </w:r>
      <w:bookmarkEnd w:id="9389"/>
      <w:bookmarkEnd w:id="9390"/>
    </w:p>
    <w:p w14:paraId="4847D48C" w14:textId="77777777" w:rsidR="00832F30" w:rsidRDefault="00832F30" w:rsidP="005077A7">
      <w:pPr>
        <w:pStyle w:val="a"/>
        <w:rPr>
          <w:rFonts w:eastAsiaTheme="minorEastAsia" w:cstheme="minorBidi"/>
          <w:noProof/>
          <w:sz w:val="22"/>
          <w:szCs w:val="22"/>
          <w:rtl/>
        </w:rPr>
      </w:pPr>
      <w:r>
        <w:rPr>
          <w:noProof/>
          <w:rtl/>
        </w:rPr>
        <w:t>דברי המשנת ר"א דחזקת גופו עושה ריעותא בהוחזק ובלא רוב א"א להרוג מכח החזקה</w:t>
      </w:r>
    </w:p>
    <w:p w14:paraId="06B1E0CB" w14:textId="77777777" w:rsidR="00832F30" w:rsidRDefault="00832F30" w:rsidP="005077A7">
      <w:pPr>
        <w:pStyle w:val="a"/>
        <w:rPr>
          <w:rFonts w:eastAsiaTheme="minorEastAsia" w:cstheme="minorBidi"/>
          <w:noProof/>
          <w:sz w:val="22"/>
          <w:szCs w:val="22"/>
          <w:rtl/>
        </w:rPr>
      </w:pPr>
      <w:r>
        <w:rPr>
          <w:noProof/>
          <w:rtl/>
        </w:rPr>
        <w:t>ביאור המשנת ר"א דע"י הרוב הוחזק לאביו ול"מ חזקת גופו ומזה מוכח דסוקלין על החזקות</w:t>
      </w:r>
    </w:p>
    <w:p w14:paraId="71098EBB" w14:textId="77777777" w:rsidR="00832F30" w:rsidRDefault="00832F30" w:rsidP="00553A5C">
      <w:pPr>
        <w:pStyle w:val="2"/>
        <w:keepNext w:val="0"/>
        <w:keepLines w:val="0"/>
        <w:rPr>
          <w:rFonts w:eastAsiaTheme="minorEastAsia" w:cstheme="minorBidi"/>
          <w:i/>
          <w:iCs/>
          <w:noProof/>
          <w:sz w:val="22"/>
          <w:szCs w:val="22"/>
          <w:rtl/>
        </w:rPr>
      </w:pPr>
      <w:bookmarkStart w:id="9391" w:name="_Toc19435664"/>
      <w:r>
        <w:rPr>
          <w:noProof/>
          <w:rtl/>
        </w:rPr>
        <w:t>בביאור הרוב במכה אביו</w:t>
      </w:r>
      <w:bookmarkEnd w:id="9391"/>
    </w:p>
    <w:p w14:paraId="16B5849C" w14:textId="77777777" w:rsidR="00832F30" w:rsidRDefault="00832F30" w:rsidP="00553A5C">
      <w:pPr>
        <w:pStyle w:val="aff4"/>
        <w:rPr>
          <w:rFonts w:eastAsiaTheme="minorEastAsia" w:cstheme="minorBidi"/>
          <w:i/>
          <w:iCs/>
          <w:noProof/>
          <w:sz w:val="22"/>
          <w:szCs w:val="22"/>
          <w:rtl/>
        </w:rPr>
      </w:pPr>
      <w:bookmarkStart w:id="9392" w:name="_Toc19435665"/>
      <w:bookmarkStart w:id="9393" w:name="_Toc20080941"/>
      <w:r>
        <w:rPr>
          <w:noProof/>
          <w:rtl/>
        </w:rPr>
        <w:t>דברי הקוב"ש בהא דבמכה אביו מעמידים אותו בחזקת בנו</w:t>
      </w:r>
      <w:bookmarkEnd w:id="9392"/>
      <w:bookmarkEnd w:id="9393"/>
    </w:p>
    <w:p w14:paraId="4CAD2512" w14:textId="77777777" w:rsidR="00832F30" w:rsidRDefault="00832F30" w:rsidP="005077A7">
      <w:pPr>
        <w:pStyle w:val="a"/>
        <w:rPr>
          <w:rFonts w:eastAsiaTheme="minorEastAsia" w:cstheme="minorBidi"/>
          <w:noProof/>
          <w:sz w:val="22"/>
          <w:szCs w:val="22"/>
          <w:rtl/>
        </w:rPr>
      </w:pPr>
      <w:r>
        <w:rPr>
          <w:noProof/>
          <w:rtl/>
        </w:rPr>
        <w:t>קושית הקוב"ש דרוב העולם אינם אביו של הבן ואף מי שהוחזק כאביו הוא בכלל רוב זה</w:t>
      </w:r>
    </w:p>
    <w:p w14:paraId="2973F98F" w14:textId="77777777" w:rsidR="00832F30" w:rsidRDefault="00832F30" w:rsidP="005077A7">
      <w:pPr>
        <w:pStyle w:val="a"/>
        <w:rPr>
          <w:rFonts w:eastAsiaTheme="minorEastAsia" w:cstheme="minorBidi"/>
          <w:noProof/>
          <w:sz w:val="22"/>
          <w:szCs w:val="22"/>
          <w:rtl/>
        </w:rPr>
      </w:pPr>
      <w:r>
        <w:rPr>
          <w:noProof/>
          <w:rtl/>
        </w:rPr>
        <w:t>תירוץ הקוב"ש דלרוב העולם יש רוב שהם אביהם של בניהם ומי שהוחזק לאביו בכלל רוב זה</w:t>
      </w:r>
    </w:p>
    <w:p w14:paraId="6139AA81" w14:textId="77777777" w:rsidR="00832F30" w:rsidRDefault="00832F30" w:rsidP="005077A7">
      <w:pPr>
        <w:pStyle w:val="a"/>
        <w:rPr>
          <w:rFonts w:eastAsiaTheme="minorEastAsia" w:cstheme="minorBidi"/>
          <w:noProof/>
          <w:sz w:val="22"/>
          <w:szCs w:val="22"/>
          <w:rtl/>
        </w:rPr>
      </w:pPr>
      <w:r>
        <w:rPr>
          <w:noProof/>
          <w:rtl/>
        </w:rPr>
        <w:t>קושית הקוב"ש דנעמיד את הבן בחזקתו שהוא פטור ממיתה</w:t>
      </w:r>
    </w:p>
    <w:p w14:paraId="7C4F029B" w14:textId="77777777" w:rsidR="00832F30" w:rsidRDefault="00832F30" w:rsidP="005077A7">
      <w:pPr>
        <w:pStyle w:val="a"/>
        <w:rPr>
          <w:rFonts w:eastAsiaTheme="minorEastAsia" w:cstheme="minorBidi"/>
          <w:noProof/>
          <w:sz w:val="22"/>
          <w:szCs w:val="22"/>
          <w:rtl/>
        </w:rPr>
      </w:pPr>
      <w:r>
        <w:rPr>
          <w:noProof/>
          <w:rtl/>
        </w:rPr>
        <w:t>ביאור הקוב"ש דכיון שודאי עשה מעשה הכאה והספק אם הוא אביו או לא הורעה חזקתו מדאו'</w:t>
      </w:r>
    </w:p>
    <w:p w14:paraId="7E23FC26" w14:textId="77777777" w:rsidR="00832F30" w:rsidRDefault="00832F30" w:rsidP="005077A7">
      <w:pPr>
        <w:pStyle w:val="a"/>
        <w:rPr>
          <w:rFonts w:eastAsiaTheme="minorEastAsia" w:cstheme="minorBidi"/>
          <w:noProof/>
          <w:sz w:val="22"/>
          <w:szCs w:val="22"/>
          <w:rtl/>
        </w:rPr>
      </w:pPr>
      <w:r>
        <w:rPr>
          <w:noProof/>
          <w:rtl/>
        </w:rPr>
        <w:t>דברי הקוב"ש דלא דמי לפרה אדומה שאם היא טריפה לא נעשה בה מעשה הזאה כלל</w:t>
      </w:r>
    </w:p>
    <w:p w14:paraId="458D4A25" w14:textId="77777777" w:rsidR="00832F30" w:rsidRDefault="00832F30" w:rsidP="00553A5C">
      <w:pPr>
        <w:pStyle w:val="2"/>
        <w:keepNext w:val="0"/>
        <w:keepLines w:val="0"/>
        <w:rPr>
          <w:rFonts w:eastAsiaTheme="minorEastAsia" w:cstheme="minorBidi"/>
          <w:i/>
          <w:iCs/>
          <w:noProof/>
          <w:sz w:val="22"/>
          <w:szCs w:val="22"/>
          <w:rtl/>
        </w:rPr>
      </w:pPr>
      <w:bookmarkStart w:id="9394" w:name="_Toc19435666"/>
      <w:r>
        <w:rPr>
          <w:noProof/>
          <w:rtl/>
        </w:rPr>
        <w:t>בגדר חזקת צדקת</w:t>
      </w:r>
      <w:bookmarkEnd w:id="9394"/>
    </w:p>
    <w:p w14:paraId="58624F85" w14:textId="77777777" w:rsidR="00832F30" w:rsidRDefault="00832F30" w:rsidP="00553A5C">
      <w:pPr>
        <w:pStyle w:val="aff4"/>
        <w:rPr>
          <w:rFonts w:eastAsiaTheme="minorEastAsia" w:cstheme="minorBidi"/>
          <w:i/>
          <w:iCs/>
          <w:noProof/>
          <w:sz w:val="22"/>
          <w:szCs w:val="22"/>
          <w:rtl/>
        </w:rPr>
      </w:pPr>
      <w:bookmarkStart w:id="9395" w:name="_Toc19435667"/>
      <w:bookmarkStart w:id="9396" w:name="_Toc20080942"/>
      <w:r>
        <w:rPr>
          <w:noProof/>
          <w:rtl/>
        </w:rPr>
        <w:t>דברי השער"י דחזקת צדקת מכריעה את עצם הספק</w:t>
      </w:r>
      <w:bookmarkEnd w:id="9395"/>
      <w:bookmarkEnd w:id="9396"/>
    </w:p>
    <w:p w14:paraId="4E91989A" w14:textId="77777777" w:rsidR="00832F30" w:rsidRDefault="00832F30" w:rsidP="005077A7">
      <w:pPr>
        <w:pStyle w:val="a"/>
        <w:rPr>
          <w:rFonts w:eastAsiaTheme="minorEastAsia" w:cstheme="minorBidi"/>
          <w:noProof/>
          <w:sz w:val="22"/>
          <w:szCs w:val="22"/>
          <w:rtl/>
        </w:rPr>
      </w:pPr>
      <w:r>
        <w:rPr>
          <w:noProof/>
          <w:rtl/>
        </w:rPr>
        <w:t>דברי השער"י דבתוס' משמע דחזקת צדקת מכריעה את המציאות ואינה חזקת דין</w:t>
      </w:r>
    </w:p>
    <w:p w14:paraId="42982C61" w14:textId="77777777" w:rsidR="00832F30" w:rsidRDefault="00832F30" w:rsidP="005077A7">
      <w:pPr>
        <w:pStyle w:val="a"/>
        <w:rPr>
          <w:rFonts w:eastAsiaTheme="minorEastAsia" w:cstheme="minorBidi"/>
          <w:noProof/>
          <w:sz w:val="22"/>
          <w:szCs w:val="22"/>
          <w:rtl/>
        </w:rPr>
      </w:pPr>
      <w:r>
        <w:rPr>
          <w:noProof/>
          <w:rtl/>
        </w:rPr>
        <w:t>דחיית השער"י דחזקת צדקת היא על עצם הספק שלא עשתה אמו מעשה זנות</w:t>
      </w:r>
    </w:p>
    <w:p w14:paraId="62EB564F" w14:textId="77777777" w:rsidR="00832F30" w:rsidRDefault="00832F30" w:rsidP="005077A7">
      <w:pPr>
        <w:pStyle w:val="a"/>
        <w:rPr>
          <w:rFonts w:eastAsiaTheme="minorEastAsia" w:cstheme="minorBidi"/>
          <w:noProof/>
          <w:sz w:val="22"/>
          <w:szCs w:val="22"/>
          <w:rtl/>
        </w:rPr>
      </w:pPr>
      <w:r>
        <w:rPr>
          <w:noProof/>
          <w:rtl/>
        </w:rPr>
        <w:t>דברי השער"י דחזקת צדקת עדיפא מחזקת הגוף כיון שהיא מכריעה את עצם מעשה הספק</w:t>
      </w:r>
    </w:p>
    <w:p w14:paraId="795B0311" w14:textId="77777777" w:rsidR="00832F30" w:rsidRDefault="00832F30" w:rsidP="00553A5C">
      <w:pPr>
        <w:pStyle w:val="aff4"/>
        <w:rPr>
          <w:rFonts w:eastAsiaTheme="minorEastAsia" w:cstheme="minorBidi"/>
          <w:i/>
          <w:iCs/>
          <w:noProof/>
          <w:sz w:val="22"/>
          <w:szCs w:val="22"/>
          <w:rtl/>
        </w:rPr>
      </w:pPr>
      <w:bookmarkStart w:id="9397" w:name="_Toc19435668"/>
      <w:bookmarkStart w:id="9398" w:name="_Toc20080943"/>
      <w:r>
        <w:rPr>
          <w:noProof/>
          <w:rtl/>
        </w:rPr>
        <w:t>חקירת הגרש"ר בגדר חזקת צדקת</w:t>
      </w:r>
      <w:bookmarkEnd w:id="9397"/>
      <w:bookmarkEnd w:id="9398"/>
    </w:p>
    <w:p w14:paraId="3391925F" w14:textId="77777777" w:rsidR="00832F30" w:rsidRDefault="00832F30" w:rsidP="005077A7">
      <w:pPr>
        <w:pStyle w:val="a"/>
        <w:rPr>
          <w:rFonts w:eastAsiaTheme="minorEastAsia" w:cstheme="minorBidi"/>
          <w:noProof/>
          <w:sz w:val="22"/>
          <w:szCs w:val="22"/>
          <w:rtl/>
        </w:rPr>
      </w:pPr>
      <w:r>
        <w:rPr>
          <w:noProof/>
          <w:rtl/>
        </w:rPr>
        <w:t>חקירת הגרש"ר אי חזקת צדקת היא חזקה דמעיקרא או חזקת סברא דרוב בנ"א כשרים</w:t>
      </w:r>
    </w:p>
    <w:p w14:paraId="72A90F44" w14:textId="77777777" w:rsidR="00832F30" w:rsidRDefault="00832F30" w:rsidP="005077A7">
      <w:pPr>
        <w:pStyle w:val="a"/>
        <w:rPr>
          <w:rFonts w:eastAsiaTheme="minorEastAsia" w:cstheme="minorBidi"/>
          <w:noProof/>
          <w:sz w:val="22"/>
          <w:szCs w:val="22"/>
          <w:rtl/>
        </w:rPr>
      </w:pPr>
      <w:r>
        <w:rPr>
          <w:noProof/>
          <w:rtl/>
        </w:rPr>
        <w:t>דברי הגרש"ר דמתוס' מבואר דחזקת צדקת היא חזקה דמעיקרא דהא חזקת סברא היא דין רוב</w:t>
      </w:r>
    </w:p>
    <w:p w14:paraId="5ABB8BDA" w14:textId="77777777" w:rsidR="00832F30" w:rsidRDefault="00832F30" w:rsidP="005077A7">
      <w:pPr>
        <w:pStyle w:val="a"/>
        <w:rPr>
          <w:rFonts w:eastAsiaTheme="minorEastAsia" w:cstheme="minorBidi"/>
          <w:noProof/>
          <w:sz w:val="22"/>
          <w:szCs w:val="22"/>
          <w:rtl/>
        </w:rPr>
      </w:pPr>
      <w:r>
        <w:rPr>
          <w:noProof/>
          <w:rtl/>
        </w:rPr>
        <w:t>דחיית הגרש"ר דאף אי חזקת צדקת היא מסברא מ"מ עדיפא מרוב כיון שיש בה סברת השכל</w:t>
      </w:r>
    </w:p>
    <w:p w14:paraId="67F1169D" w14:textId="77777777" w:rsidR="00832F30" w:rsidRDefault="00832F30" w:rsidP="00553A5C">
      <w:pPr>
        <w:pStyle w:val="2"/>
        <w:keepNext w:val="0"/>
        <w:keepLines w:val="0"/>
        <w:rPr>
          <w:rFonts w:eastAsiaTheme="minorEastAsia" w:cstheme="minorBidi"/>
          <w:i/>
          <w:iCs/>
          <w:noProof/>
          <w:sz w:val="22"/>
          <w:szCs w:val="22"/>
          <w:rtl/>
        </w:rPr>
      </w:pPr>
      <w:bookmarkStart w:id="9399" w:name="_Toc19435669"/>
      <w:r>
        <w:rPr>
          <w:noProof/>
          <w:rtl/>
        </w:rPr>
        <w:t>בדעת הרמב"ם ברוב בנפשות</w:t>
      </w:r>
      <w:bookmarkEnd w:id="9399"/>
    </w:p>
    <w:p w14:paraId="26FD7EDF" w14:textId="77777777" w:rsidR="00832F30" w:rsidRDefault="00832F30" w:rsidP="00553A5C">
      <w:pPr>
        <w:pStyle w:val="aff4"/>
        <w:rPr>
          <w:rFonts w:eastAsiaTheme="minorEastAsia" w:cstheme="minorBidi"/>
          <w:i/>
          <w:iCs/>
          <w:noProof/>
          <w:sz w:val="22"/>
          <w:szCs w:val="22"/>
          <w:rtl/>
        </w:rPr>
      </w:pPr>
      <w:bookmarkStart w:id="9400" w:name="_Toc19435670"/>
      <w:bookmarkStart w:id="9401" w:name="_Toc20080944"/>
      <w:r>
        <w:rPr>
          <w:noProof/>
          <w:rtl/>
        </w:rPr>
        <w:t>ביאור השער"י ברמב"ם דבנפשות לא מהני רובא דליתא קמן</w:t>
      </w:r>
      <w:bookmarkEnd w:id="9400"/>
      <w:bookmarkEnd w:id="9401"/>
    </w:p>
    <w:p w14:paraId="65F8F1D3" w14:textId="77777777" w:rsidR="00832F30" w:rsidRDefault="00832F30" w:rsidP="005077A7">
      <w:pPr>
        <w:pStyle w:val="a"/>
        <w:rPr>
          <w:rFonts w:eastAsiaTheme="minorEastAsia" w:cstheme="minorBidi"/>
          <w:noProof/>
          <w:sz w:val="22"/>
          <w:szCs w:val="22"/>
          <w:rtl/>
        </w:rPr>
      </w:pPr>
      <w:r>
        <w:rPr>
          <w:noProof/>
          <w:rtl/>
        </w:rPr>
        <w:t>דברי השער"י דלדעת הרמב"ם דלענין נפשות רובא דל"ק מהני ורובא דא"ק לא מהני</w:t>
      </w:r>
    </w:p>
    <w:p w14:paraId="1A620A11" w14:textId="77777777" w:rsidR="00832F30" w:rsidRDefault="00832F30" w:rsidP="005077A7">
      <w:pPr>
        <w:pStyle w:val="a"/>
        <w:rPr>
          <w:rFonts w:eastAsiaTheme="minorEastAsia" w:cstheme="minorBidi"/>
          <w:noProof/>
          <w:sz w:val="22"/>
          <w:szCs w:val="22"/>
          <w:rtl/>
        </w:rPr>
      </w:pPr>
      <w:r>
        <w:rPr>
          <w:noProof/>
          <w:rtl/>
        </w:rPr>
        <w:t>ביאור השער"י דברובא דל"ק נתברר הספק אף בנפשות וברובא דא"ק אינו דין ודאי לענין נפשות</w:t>
      </w:r>
    </w:p>
    <w:p w14:paraId="3E28DC8F" w14:textId="77777777" w:rsidR="00832F30" w:rsidRDefault="00832F30" w:rsidP="005077A7">
      <w:pPr>
        <w:pStyle w:val="a"/>
        <w:rPr>
          <w:rFonts w:eastAsiaTheme="minorEastAsia" w:cstheme="minorBidi"/>
          <w:noProof/>
          <w:sz w:val="22"/>
          <w:szCs w:val="22"/>
          <w:rtl/>
        </w:rPr>
      </w:pPr>
      <w:r>
        <w:rPr>
          <w:noProof/>
          <w:rtl/>
        </w:rPr>
        <w:t>דברי השער"י דאף שהספק על הנפשות הוא תולדה מספק שהוכרע ברובא דא"ק מ"מ אינו כודאי</w:t>
      </w:r>
    </w:p>
    <w:p w14:paraId="40A21E22" w14:textId="77777777" w:rsidR="00832F30" w:rsidRDefault="00832F30" w:rsidP="005077A7">
      <w:pPr>
        <w:pStyle w:val="a"/>
        <w:rPr>
          <w:rFonts w:eastAsiaTheme="minorEastAsia" w:cstheme="minorBidi"/>
          <w:noProof/>
          <w:sz w:val="22"/>
          <w:szCs w:val="22"/>
          <w:rtl/>
        </w:rPr>
      </w:pPr>
      <w:r>
        <w:rPr>
          <w:noProof/>
          <w:rtl/>
        </w:rPr>
        <w:t>דברי השער"י דרובא דל"ק הוא בירור ומהני לענין נפשות ויוחסין ורובא דא"ק לא מהני</w:t>
      </w:r>
    </w:p>
    <w:p w14:paraId="266AE36F" w14:textId="77777777" w:rsidR="00832F30" w:rsidRDefault="00832F30" w:rsidP="00553A5C">
      <w:pPr>
        <w:pStyle w:val="2"/>
        <w:keepNext w:val="0"/>
        <w:keepLines w:val="0"/>
        <w:rPr>
          <w:rFonts w:eastAsiaTheme="minorEastAsia" w:cstheme="minorBidi"/>
          <w:i/>
          <w:iCs/>
          <w:noProof/>
          <w:sz w:val="22"/>
          <w:szCs w:val="22"/>
          <w:rtl/>
        </w:rPr>
      </w:pPr>
      <w:bookmarkStart w:id="9402" w:name="_Toc19435671"/>
      <w:r>
        <w:rPr>
          <w:noProof/>
          <w:rtl/>
        </w:rPr>
        <w:t>בדעת התוס' ברוב בנפשות</w:t>
      </w:r>
      <w:bookmarkEnd w:id="9402"/>
    </w:p>
    <w:p w14:paraId="6DA3CE12" w14:textId="77777777" w:rsidR="00832F30" w:rsidRDefault="00832F30" w:rsidP="00553A5C">
      <w:pPr>
        <w:pStyle w:val="aff4"/>
        <w:rPr>
          <w:rFonts w:eastAsiaTheme="minorEastAsia" w:cstheme="minorBidi"/>
          <w:i/>
          <w:iCs/>
          <w:noProof/>
          <w:sz w:val="22"/>
          <w:szCs w:val="22"/>
          <w:rtl/>
        </w:rPr>
      </w:pPr>
      <w:bookmarkStart w:id="9403" w:name="_Toc19435672"/>
      <w:bookmarkStart w:id="9404" w:name="_Toc20080945"/>
      <w:r>
        <w:rPr>
          <w:noProof/>
          <w:rtl/>
        </w:rPr>
        <w:t>דברי השער"י דבנפשות מהני רוב שהוא ראיה עפ"י שכל</w:t>
      </w:r>
      <w:bookmarkEnd w:id="9403"/>
      <w:bookmarkEnd w:id="9404"/>
    </w:p>
    <w:p w14:paraId="402583F2" w14:textId="77777777" w:rsidR="00832F30" w:rsidRDefault="00832F30" w:rsidP="005077A7">
      <w:pPr>
        <w:pStyle w:val="a"/>
        <w:rPr>
          <w:rFonts w:eastAsiaTheme="minorEastAsia" w:cstheme="minorBidi"/>
          <w:noProof/>
          <w:sz w:val="22"/>
          <w:szCs w:val="22"/>
          <w:rtl/>
        </w:rPr>
      </w:pPr>
      <w:r>
        <w:rPr>
          <w:noProof/>
          <w:rtl/>
        </w:rPr>
        <w:t>ביאור השער"י דמסקנת הגמ' בסנהדרין דבנפשות להגדרת הדין א"צ ראיה עפ"י שכל וסגי ברוב</w:t>
      </w:r>
    </w:p>
    <w:p w14:paraId="7A43BB0B" w14:textId="77777777" w:rsidR="00832F30" w:rsidRDefault="00832F30" w:rsidP="005077A7">
      <w:pPr>
        <w:pStyle w:val="a"/>
        <w:rPr>
          <w:rFonts w:eastAsiaTheme="minorEastAsia" w:cstheme="minorBidi"/>
          <w:noProof/>
          <w:sz w:val="22"/>
          <w:szCs w:val="22"/>
          <w:rtl/>
        </w:rPr>
      </w:pPr>
      <w:r>
        <w:rPr>
          <w:noProof/>
          <w:rtl/>
        </w:rPr>
        <w:t>קושית השער"י על התוס' בסנהדרין מנא להו לחלק בין רוב טוב לרוב גרוע</w:t>
      </w:r>
    </w:p>
    <w:p w14:paraId="136B96ED" w14:textId="77777777" w:rsidR="00832F30" w:rsidRDefault="00832F30" w:rsidP="005077A7">
      <w:pPr>
        <w:pStyle w:val="a"/>
        <w:rPr>
          <w:rFonts w:eastAsiaTheme="minorEastAsia" w:cstheme="minorBidi"/>
          <w:noProof/>
          <w:sz w:val="22"/>
          <w:szCs w:val="22"/>
          <w:rtl/>
        </w:rPr>
      </w:pPr>
      <w:r>
        <w:rPr>
          <w:noProof/>
          <w:rtl/>
        </w:rPr>
        <w:t>ביאור השער"י בתוס' בסנהדרין דרוב שאין בו ראיה עפ"י שכל לא מהני בנפשות</w:t>
      </w:r>
    </w:p>
    <w:p w14:paraId="2189B460" w14:textId="77777777" w:rsidR="00832F30" w:rsidRDefault="00832F30" w:rsidP="005077A7">
      <w:pPr>
        <w:pStyle w:val="a"/>
        <w:rPr>
          <w:rFonts w:eastAsiaTheme="minorEastAsia" w:cstheme="minorBidi"/>
          <w:noProof/>
          <w:sz w:val="22"/>
          <w:szCs w:val="22"/>
          <w:rtl/>
        </w:rPr>
      </w:pPr>
      <w:r>
        <w:rPr>
          <w:noProof/>
          <w:rtl/>
        </w:rPr>
        <w:t>ביאור השער"י בתוס' בסנהדרין דמדאו' מהני רוב של מנהג לאיסור ובנפשות צריך רוב עפ"י שכל</w:t>
      </w:r>
    </w:p>
    <w:p w14:paraId="3AD99C25" w14:textId="77777777" w:rsidR="00832F30" w:rsidRDefault="00832F30" w:rsidP="005077A7">
      <w:pPr>
        <w:pStyle w:val="a"/>
        <w:rPr>
          <w:rFonts w:eastAsiaTheme="minorEastAsia" w:cstheme="minorBidi"/>
          <w:noProof/>
          <w:sz w:val="22"/>
          <w:szCs w:val="22"/>
          <w:rtl/>
        </w:rPr>
      </w:pPr>
      <w:r>
        <w:rPr>
          <w:noProof/>
          <w:rtl/>
        </w:rPr>
        <w:t>ביאור השער"י ברמב"ם דברובא דאיתא קמן אין דין ודאי בנפשות כיון שאין ראיה עפ"י שכל</w:t>
      </w:r>
    </w:p>
    <w:p w14:paraId="4948060A" w14:textId="77777777" w:rsidR="00832F30" w:rsidRDefault="00832F30" w:rsidP="00553A5C">
      <w:pPr>
        <w:pStyle w:val="aff4"/>
        <w:rPr>
          <w:rFonts w:eastAsiaTheme="minorEastAsia" w:cstheme="minorBidi"/>
          <w:i/>
          <w:iCs/>
          <w:noProof/>
          <w:sz w:val="22"/>
          <w:szCs w:val="22"/>
          <w:rtl/>
        </w:rPr>
      </w:pPr>
      <w:bookmarkStart w:id="9405" w:name="_Toc19435673"/>
      <w:bookmarkStart w:id="9406" w:name="_Toc20080946"/>
      <w:r>
        <w:rPr>
          <w:noProof/>
          <w:rtl/>
        </w:rPr>
        <w:t>ביאור השער"י בתוס' בב"ק דרוב בב"ד אינו הכרעה כנגד מוחזק</w:t>
      </w:r>
      <w:bookmarkEnd w:id="9405"/>
      <w:bookmarkEnd w:id="9406"/>
    </w:p>
    <w:p w14:paraId="6B1C9C3A" w14:textId="77777777" w:rsidR="00832F30" w:rsidRDefault="00832F30" w:rsidP="005077A7">
      <w:pPr>
        <w:pStyle w:val="a"/>
        <w:rPr>
          <w:rFonts w:eastAsiaTheme="minorEastAsia" w:cstheme="minorBidi"/>
          <w:noProof/>
          <w:sz w:val="22"/>
          <w:szCs w:val="22"/>
          <w:rtl/>
        </w:rPr>
      </w:pPr>
      <w:r>
        <w:rPr>
          <w:noProof/>
          <w:rtl/>
        </w:rPr>
        <w:t>ביאור השער"י בתוס' בב"ק דרוב בדיינים הנדון אינו בממון עצמו וא"צ ראיה עפ"י שכל</w:t>
      </w:r>
    </w:p>
    <w:p w14:paraId="43A23ACE" w14:textId="77777777" w:rsidR="00832F30" w:rsidRDefault="00832F30" w:rsidP="005077A7">
      <w:pPr>
        <w:pStyle w:val="a"/>
        <w:rPr>
          <w:rFonts w:eastAsiaTheme="minorEastAsia" w:cstheme="minorBidi"/>
          <w:noProof/>
          <w:sz w:val="22"/>
          <w:szCs w:val="22"/>
          <w:rtl/>
        </w:rPr>
      </w:pPr>
      <w:r>
        <w:rPr>
          <w:noProof/>
          <w:rtl/>
        </w:rPr>
        <w:t>ביאור השער"י דבדיינים אינו בירור האמת בהכרעת השכל אלא הוא פסק ב"ד ולכן מהני בממון</w:t>
      </w:r>
    </w:p>
    <w:p w14:paraId="41B6D3AB" w14:textId="77777777" w:rsidR="00832F30" w:rsidRDefault="00832F30" w:rsidP="00553A5C">
      <w:pPr>
        <w:pStyle w:val="2"/>
        <w:keepNext w:val="0"/>
        <w:keepLines w:val="0"/>
        <w:rPr>
          <w:rFonts w:eastAsiaTheme="minorEastAsia" w:cstheme="minorBidi"/>
          <w:i/>
          <w:iCs/>
          <w:noProof/>
          <w:sz w:val="22"/>
          <w:szCs w:val="22"/>
          <w:rtl/>
        </w:rPr>
      </w:pPr>
      <w:bookmarkStart w:id="9407" w:name="_Toc19435674"/>
      <w:r>
        <w:rPr>
          <w:noProof/>
          <w:rtl/>
        </w:rPr>
        <w:t>בדברי ההפלאה בהוקבע האיסור ע</w:t>
      </w:r>
      <w:r w:rsidRPr="009E3826">
        <w:rPr>
          <w:noProof/>
          <w:rtl/>
        </w:rPr>
        <w:t>"</w:t>
      </w:r>
      <w:r>
        <w:rPr>
          <w:noProof/>
          <w:rtl/>
        </w:rPr>
        <w:t>י הרוב</w:t>
      </w:r>
      <w:bookmarkEnd w:id="9407"/>
    </w:p>
    <w:p w14:paraId="1DE31101" w14:textId="77777777" w:rsidR="00832F30" w:rsidRDefault="00832F30" w:rsidP="00553A5C">
      <w:pPr>
        <w:pStyle w:val="aff4"/>
        <w:rPr>
          <w:rFonts w:eastAsiaTheme="minorEastAsia" w:cstheme="minorBidi"/>
          <w:i/>
          <w:iCs/>
          <w:noProof/>
          <w:sz w:val="22"/>
          <w:szCs w:val="22"/>
          <w:rtl/>
        </w:rPr>
      </w:pPr>
      <w:bookmarkStart w:id="9408" w:name="_Toc19435675"/>
      <w:bookmarkStart w:id="9409" w:name="_Toc20080947"/>
      <w:r>
        <w:rPr>
          <w:noProof/>
          <w:rtl/>
        </w:rPr>
        <w:t>דברי השער"י בישוב קושית ההפלאה לדעת התוס'</w:t>
      </w:r>
      <w:bookmarkEnd w:id="9408"/>
      <w:bookmarkEnd w:id="9409"/>
    </w:p>
    <w:p w14:paraId="2B100A96" w14:textId="77777777" w:rsidR="00832F30" w:rsidRDefault="00832F30" w:rsidP="005077A7">
      <w:pPr>
        <w:pStyle w:val="a"/>
        <w:rPr>
          <w:rFonts w:eastAsiaTheme="minorEastAsia" w:cstheme="minorBidi"/>
          <w:noProof/>
          <w:sz w:val="22"/>
          <w:szCs w:val="22"/>
          <w:rtl/>
        </w:rPr>
      </w:pPr>
      <w:r>
        <w:rPr>
          <w:noProof/>
          <w:rtl/>
        </w:rPr>
        <w:t>ביאור השער"י בהפלאה עפ"י ביאורו בתוס' בסנהדרין דרוב בטבע שהוא עפ"י שכל מהני בממון</w:t>
      </w:r>
    </w:p>
    <w:p w14:paraId="2172F150" w14:textId="77777777" w:rsidR="00832F30" w:rsidRDefault="00832F30" w:rsidP="005077A7">
      <w:pPr>
        <w:pStyle w:val="a"/>
        <w:rPr>
          <w:rFonts w:eastAsiaTheme="minorEastAsia" w:cstheme="minorBidi"/>
          <w:noProof/>
          <w:sz w:val="22"/>
          <w:szCs w:val="22"/>
          <w:rtl/>
        </w:rPr>
      </w:pPr>
      <w:r>
        <w:rPr>
          <w:noProof/>
          <w:rtl/>
        </w:rPr>
        <w:t>דברי השער"י דאף לתוס' בב"ק מהני רוב עפ"י שכל כחזקה אין אדם פורע בתוך זמנו</w:t>
      </w:r>
    </w:p>
    <w:p w14:paraId="51A05537" w14:textId="77777777" w:rsidR="00832F30" w:rsidRDefault="00832F30" w:rsidP="00553A5C">
      <w:pPr>
        <w:pStyle w:val="aff4"/>
        <w:rPr>
          <w:rFonts w:eastAsiaTheme="minorEastAsia" w:cstheme="minorBidi"/>
          <w:i/>
          <w:iCs/>
          <w:noProof/>
          <w:sz w:val="22"/>
          <w:szCs w:val="22"/>
          <w:rtl/>
        </w:rPr>
      </w:pPr>
      <w:bookmarkStart w:id="9410" w:name="_Toc19435676"/>
      <w:bookmarkStart w:id="9411" w:name="_Toc20080948"/>
      <w:r>
        <w:rPr>
          <w:noProof/>
          <w:rtl/>
        </w:rPr>
        <w:t>מסקנת השער"י דהתוס' בסנהדרין ובב"ק נחלקו רק בנפשות</w:t>
      </w:r>
      <w:bookmarkEnd w:id="9410"/>
      <w:bookmarkEnd w:id="9411"/>
    </w:p>
    <w:p w14:paraId="0EF1FFF1" w14:textId="77777777" w:rsidR="00832F30" w:rsidRDefault="00832F30" w:rsidP="005077A7">
      <w:pPr>
        <w:pStyle w:val="a"/>
        <w:rPr>
          <w:rFonts w:eastAsiaTheme="minorEastAsia" w:cstheme="minorBidi"/>
          <w:noProof/>
          <w:sz w:val="22"/>
          <w:szCs w:val="22"/>
          <w:rtl/>
        </w:rPr>
      </w:pPr>
      <w:r>
        <w:rPr>
          <w:noProof/>
          <w:rtl/>
        </w:rPr>
        <w:t>דברי השער"י דבממנות לכו"ע מהני רוב עפ"י שכל ונחלקו התוס' בדין והצילו העדה בנפשות</w:t>
      </w:r>
    </w:p>
    <w:p w14:paraId="74F475AC" w14:textId="77777777" w:rsidR="00832F30" w:rsidRDefault="00832F30" w:rsidP="00553A5C">
      <w:pPr>
        <w:pStyle w:val="aff4"/>
        <w:rPr>
          <w:rFonts w:eastAsiaTheme="minorEastAsia" w:cstheme="minorBidi"/>
          <w:i/>
          <w:iCs/>
          <w:noProof/>
          <w:sz w:val="22"/>
          <w:szCs w:val="22"/>
          <w:rtl/>
        </w:rPr>
      </w:pPr>
      <w:bookmarkStart w:id="9412" w:name="_Toc19435677"/>
      <w:bookmarkStart w:id="9413" w:name="_Toc20080949"/>
      <w:r>
        <w:rPr>
          <w:noProof/>
          <w:rtl/>
        </w:rPr>
        <w:t>ישוב השער"י דבממון ונפשות אזלינן בתר רוב עפ"י שכל</w:t>
      </w:r>
      <w:bookmarkEnd w:id="9412"/>
      <w:bookmarkEnd w:id="9413"/>
    </w:p>
    <w:p w14:paraId="61533F5E" w14:textId="77777777" w:rsidR="00832F30" w:rsidRDefault="00832F30" w:rsidP="005077A7">
      <w:pPr>
        <w:pStyle w:val="a"/>
        <w:rPr>
          <w:rFonts w:eastAsiaTheme="minorEastAsia" w:cstheme="minorBidi"/>
          <w:noProof/>
          <w:sz w:val="22"/>
          <w:szCs w:val="22"/>
          <w:rtl/>
        </w:rPr>
      </w:pPr>
      <w:r>
        <w:rPr>
          <w:noProof/>
          <w:rtl/>
        </w:rPr>
        <w:t>דברי השער"י דמוכח ברמב"ם ובריטב"א דבמקום שיש ראיה עפ"י שכל מהני רוב אף בנפשות</w:t>
      </w:r>
    </w:p>
    <w:p w14:paraId="51B2EAF7" w14:textId="77777777" w:rsidR="00832F30" w:rsidRDefault="00832F30" w:rsidP="00553A5C">
      <w:pPr>
        <w:pStyle w:val="2"/>
        <w:keepNext w:val="0"/>
        <w:keepLines w:val="0"/>
        <w:rPr>
          <w:rFonts w:eastAsiaTheme="minorEastAsia" w:cstheme="minorBidi"/>
          <w:i/>
          <w:iCs/>
          <w:noProof/>
          <w:sz w:val="22"/>
          <w:szCs w:val="22"/>
          <w:rtl/>
        </w:rPr>
      </w:pPr>
      <w:bookmarkStart w:id="9414" w:name="_Toc19435678"/>
      <w:r>
        <w:rPr>
          <w:noProof/>
          <w:rtl/>
        </w:rPr>
        <w:t>בדברי הש"ש דבנפשות לא אזלינן בתר רוב</w:t>
      </w:r>
      <w:bookmarkEnd w:id="9414"/>
    </w:p>
    <w:p w14:paraId="57ECDC32" w14:textId="77777777" w:rsidR="00832F30" w:rsidRDefault="00832F30" w:rsidP="00553A5C">
      <w:pPr>
        <w:pStyle w:val="aff4"/>
        <w:rPr>
          <w:rFonts w:eastAsiaTheme="minorEastAsia" w:cstheme="minorBidi"/>
          <w:i/>
          <w:iCs/>
          <w:noProof/>
          <w:sz w:val="22"/>
          <w:szCs w:val="22"/>
          <w:rtl/>
        </w:rPr>
      </w:pPr>
      <w:bookmarkStart w:id="9415" w:name="_Toc19435679"/>
      <w:bookmarkStart w:id="9416" w:name="_Toc20080950"/>
      <w:r>
        <w:rPr>
          <w:noProof/>
          <w:rtl/>
        </w:rPr>
        <w:t>ביאור השער"י בחילוק בין הוחזק לרוב ולסוקלין על החזקות</w:t>
      </w:r>
      <w:bookmarkEnd w:id="9415"/>
      <w:bookmarkEnd w:id="9416"/>
    </w:p>
    <w:p w14:paraId="34C85B88" w14:textId="77777777" w:rsidR="00832F30" w:rsidRDefault="00832F30" w:rsidP="005077A7">
      <w:pPr>
        <w:pStyle w:val="a"/>
        <w:rPr>
          <w:rFonts w:eastAsiaTheme="minorEastAsia" w:cstheme="minorBidi"/>
          <w:noProof/>
          <w:sz w:val="22"/>
          <w:szCs w:val="22"/>
          <w:rtl/>
        </w:rPr>
      </w:pPr>
      <w:r>
        <w:rPr>
          <w:noProof/>
          <w:rtl/>
        </w:rPr>
        <w:t>קושיות השער"י על הש"ש דבגמ' בסנהדרין וברמב"ם מבואר דלא מהני הוחזק עפ"י רוב בנפשות</w:t>
      </w:r>
    </w:p>
    <w:p w14:paraId="056C436E" w14:textId="77777777" w:rsidR="00832F30" w:rsidRDefault="00832F30" w:rsidP="005077A7">
      <w:pPr>
        <w:pStyle w:val="a"/>
        <w:rPr>
          <w:rFonts w:eastAsiaTheme="minorEastAsia" w:cstheme="minorBidi"/>
          <w:noProof/>
          <w:sz w:val="22"/>
          <w:szCs w:val="22"/>
          <w:rtl/>
        </w:rPr>
      </w:pPr>
      <w:r>
        <w:rPr>
          <w:noProof/>
          <w:rtl/>
        </w:rPr>
        <w:t>דברי השער"י דנאמנות של ע"א היא נאמנות גמורה וא"צ בירור נוסף לדיני נפשות</w:t>
      </w:r>
    </w:p>
    <w:p w14:paraId="25639054" w14:textId="77777777" w:rsidR="00832F30" w:rsidRDefault="00832F30" w:rsidP="005077A7">
      <w:pPr>
        <w:pStyle w:val="a"/>
        <w:rPr>
          <w:rFonts w:eastAsiaTheme="minorEastAsia" w:cstheme="minorBidi"/>
          <w:noProof/>
          <w:sz w:val="22"/>
          <w:szCs w:val="22"/>
          <w:rtl/>
        </w:rPr>
      </w:pPr>
      <w:r>
        <w:rPr>
          <w:noProof/>
          <w:rtl/>
        </w:rPr>
        <w:t>דברי השער"י דרוב אינו מברר לדבר שאין בו דין רוב אף בנפסק דבר עפ"י הרוב</w:t>
      </w:r>
    </w:p>
    <w:p w14:paraId="77A4B749" w14:textId="77777777" w:rsidR="00832F30" w:rsidRDefault="00832F30" w:rsidP="005077A7">
      <w:pPr>
        <w:pStyle w:val="a"/>
        <w:rPr>
          <w:rFonts w:eastAsiaTheme="minorEastAsia" w:cstheme="minorBidi"/>
          <w:noProof/>
          <w:sz w:val="22"/>
          <w:szCs w:val="22"/>
          <w:rtl/>
        </w:rPr>
      </w:pPr>
      <w:r>
        <w:rPr>
          <w:noProof/>
          <w:rtl/>
        </w:rPr>
        <w:t>דברי השער"י דדינא דסוקלין על החזקות הוא דין נאמנות ואינו שייך לדין רוב בנפשות</w:t>
      </w:r>
    </w:p>
    <w:p w14:paraId="05186462" w14:textId="77777777" w:rsidR="00832F30" w:rsidRDefault="00832F30" w:rsidP="00553A5C">
      <w:pPr>
        <w:pStyle w:val="aff4"/>
        <w:rPr>
          <w:rFonts w:eastAsiaTheme="minorEastAsia" w:cstheme="minorBidi"/>
          <w:i/>
          <w:iCs/>
          <w:noProof/>
          <w:sz w:val="22"/>
          <w:szCs w:val="22"/>
          <w:rtl/>
        </w:rPr>
      </w:pPr>
      <w:bookmarkStart w:id="9417" w:name="_Toc19435680"/>
      <w:bookmarkStart w:id="9418" w:name="_Toc20080951"/>
      <w:r>
        <w:rPr>
          <w:noProof/>
          <w:rtl/>
        </w:rPr>
        <w:t>ביאור האבי עזרי דלא אזלינן בתר רובא בדיני נפשות כלל</w:t>
      </w:r>
      <w:bookmarkEnd w:id="9417"/>
      <w:bookmarkEnd w:id="9418"/>
    </w:p>
    <w:p w14:paraId="13CFB6A1" w14:textId="77777777" w:rsidR="00832F30" w:rsidRDefault="00832F30" w:rsidP="005077A7">
      <w:pPr>
        <w:pStyle w:val="a"/>
        <w:rPr>
          <w:rFonts w:eastAsiaTheme="minorEastAsia" w:cstheme="minorBidi"/>
          <w:noProof/>
          <w:sz w:val="22"/>
          <w:szCs w:val="22"/>
          <w:rtl/>
        </w:rPr>
      </w:pPr>
      <w:r>
        <w:rPr>
          <w:noProof/>
          <w:rtl/>
        </w:rPr>
        <w:t>קושית האבי עזרי על הש"ש דברמב"ם מבואר דאף בהוקבע הדין עפ"י רוב לא מהני לנפשות</w:t>
      </w:r>
    </w:p>
    <w:p w14:paraId="229E0CB7" w14:textId="77777777" w:rsidR="00832F30" w:rsidRDefault="00832F30" w:rsidP="005077A7">
      <w:pPr>
        <w:pStyle w:val="a"/>
        <w:rPr>
          <w:rFonts w:eastAsiaTheme="minorEastAsia" w:cstheme="minorBidi"/>
          <w:noProof/>
          <w:sz w:val="22"/>
          <w:szCs w:val="22"/>
          <w:rtl/>
        </w:rPr>
      </w:pPr>
      <w:r>
        <w:rPr>
          <w:noProof/>
          <w:rtl/>
        </w:rPr>
        <w:t>ביאור האבי עזרי דבנפשות מהני רוב במקום דלא אפשר או בנדון במה דיברה תורה</w:t>
      </w:r>
    </w:p>
    <w:p w14:paraId="245A943C" w14:textId="77777777" w:rsidR="00832F30" w:rsidRDefault="00832F30" w:rsidP="005077A7">
      <w:pPr>
        <w:pStyle w:val="a"/>
        <w:rPr>
          <w:rFonts w:eastAsiaTheme="minorEastAsia" w:cstheme="minorBidi"/>
          <w:noProof/>
          <w:sz w:val="22"/>
          <w:szCs w:val="22"/>
          <w:rtl/>
        </w:rPr>
      </w:pPr>
      <w:r>
        <w:rPr>
          <w:noProof/>
          <w:rtl/>
        </w:rPr>
        <w:t>דברי האבי עזרי דאף אם בן סורר בא על אשה וניכר עוברה בפחות מג"ח חייב מדין רוב נשים</w:t>
      </w:r>
    </w:p>
    <w:p w14:paraId="41F58DC6" w14:textId="77777777" w:rsidR="00832F30" w:rsidRDefault="00832F30" w:rsidP="005077A7">
      <w:pPr>
        <w:pStyle w:val="a"/>
        <w:rPr>
          <w:rFonts w:eastAsiaTheme="minorEastAsia" w:cstheme="minorBidi"/>
          <w:noProof/>
          <w:sz w:val="22"/>
          <w:szCs w:val="22"/>
          <w:rtl/>
        </w:rPr>
      </w:pPr>
      <w:r>
        <w:rPr>
          <w:noProof/>
          <w:rtl/>
        </w:rPr>
        <w:t>ביאור האבי עזרי דהנדון בגמ' בסנהדרין אי מחמת דכתיב והצילו העדה דרשינן בתורה לקולא</w:t>
      </w:r>
    </w:p>
    <w:p w14:paraId="044CC5D1" w14:textId="77777777" w:rsidR="00832F30" w:rsidRDefault="00832F30" w:rsidP="00553A5C">
      <w:pPr>
        <w:pStyle w:val="aff4"/>
        <w:rPr>
          <w:rFonts w:eastAsiaTheme="minorEastAsia" w:cstheme="minorBidi"/>
          <w:i/>
          <w:iCs/>
          <w:noProof/>
          <w:sz w:val="22"/>
          <w:szCs w:val="22"/>
          <w:rtl/>
        </w:rPr>
      </w:pPr>
      <w:bookmarkStart w:id="9419" w:name="_Toc19435681"/>
      <w:bookmarkStart w:id="9420" w:name="_Toc20080952"/>
      <w:r>
        <w:rPr>
          <w:noProof/>
          <w:rtl/>
        </w:rPr>
        <w:t>ביאור הגרש"ר דבגמ' בסנהדרין מהני רוב לנדון בשם "ראוי"</w:t>
      </w:r>
      <w:bookmarkEnd w:id="9419"/>
      <w:bookmarkEnd w:id="9420"/>
    </w:p>
    <w:p w14:paraId="104D9116" w14:textId="77777777" w:rsidR="00832F30" w:rsidRDefault="00832F30" w:rsidP="005077A7">
      <w:pPr>
        <w:pStyle w:val="a"/>
        <w:rPr>
          <w:rFonts w:eastAsiaTheme="minorEastAsia" w:cstheme="minorBidi"/>
          <w:noProof/>
          <w:sz w:val="22"/>
          <w:szCs w:val="22"/>
          <w:rtl/>
        </w:rPr>
      </w:pPr>
      <w:r>
        <w:rPr>
          <w:noProof/>
          <w:rtl/>
        </w:rPr>
        <w:t>ביאור השער"י בגמ' בסנהדרין "</w:t>
      </w:r>
      <w:r>
        <w:rPr>
          <w:rFonts w:hint="cs"/>
          <w:noProof/>
          <w:rtl/>
        </w:rPr>
        <w:t>ד</w:t>
      </w:r>
      <w:r>
        <w:rPr>
          <w:noProof/>
          <w:rtl/>
        </w:rPr>
        <w:t>ראוי" לקרותו אב נקבע לפי רוב המקרים ואינו רוב בספיקות</w:t>
      </w:r>
    </w:p>
    <w:p w14:paraId="0AC3A847" w14:textId="77777777" w:rsidR="00832F30" w:rsidRDefault="00832F30" w:rsidP="005077A7">
      <w:pPr>
        <w:pStyle w:val="a"/>
        <w:rPr>
          <w:rFonts w:eastAsiaTheme="minorEastAsia" w:cstheme="minorBidi"/>
          <w:noProof/>
          <w:sz w:val="22"/>
          <w:szCs w:val="22"/>
          <w:rtl/>
        </w:rPr>
      </w:pPr>
      <w:r>
        <w:rPr>
          <w:noProof/>
          <w:rtl/>
        </w:rPr>
        <w:t>דברי השער"י דברוב בראוי לקרותו אב חשיב שאין מיעוט כלל דאינו נדון ברוב בפועל</w:t>
      </w:r>
    </w:p>
    <w:p w14:paraId="0F1B5083" w14:textId="77777777" w:rsidR="00832F30" w:rsidRDefault="00832F30" w:rsidP="005077A7">
      <w:pPr>
        <w:pStyle w:val="a"/>
        <w:rPr>
          <w:rFonts w:eastAsiaTheme="minorEastAsia" w:cstheme="minorBidi"/>
          <w:noProof/>
          <w:sz w:val="22"/>
          <w:szCs w:val="22"/>
        </w:rPr>
      </w:pPr>
      <w:r>
        <w:rPr>
          <w:noProof/>
          <w:rtl/>
        </w:rPr>
        <w:t>דברי הגרש"ר דדין הוחזק הוא רק בנאמנות ולא בבירור של רוב שלא בכל רוב יש בירור גמור</w:t>
      </w:r>
    </w:p>
    <w:p w14:paraId="25EC6538" w14:textId="77777777" w:rsidR="00832F30" w:rsidRDefault="00832F30" w:rsidP="00553A5C">
      <w:pPr>
        <w:pStyle w:val="aff4"/>
        <w:rPr>
          <w:rFonts w:eastAsiaTheme="minorEastAsia" w:cstheme="minorBidi"/>
          <w:i/>
          <w:iCs/>
          <w:noProof/>
          <w:sz w:val="22"/>
          <w:szCs w:val="22"/>
          <w:rtl/>
        </w:rPr>
      </w:pPr>
      <w:bookmarkStart w:id="9421" w:name="_Toc19435682"/>
      <w:bookmarkStart w:id="9422" w:name="_Toc20080953"/>
      <w:r>
        <w:rPr>
          <w:noProof/>
          <w:rtl/>
        </w:rPr>
        <w:t>בחילוק בין חזקת גופו למוחזק בממון</w:t>
      </w:r>
      <w:bookmarkEnd w:id="9421"/>
      <w:bookmarkEnd w:id="9422"/>
    </w:p>
    <w:p w14:paraId="78F3CE96" w14:textId="77777777" w:rsidR="00832F30" w:rsidRDefault="00832F30" w:rsidP="005077A7">
      <w:pPr>
        <w:pStyle w:val="a"/>
        <w:rPr>
          <w:rFonts w:eastAsiaTheme="minorEastAsia" w:cstheme="minorBidi"/>
          <w:noProof/>
          <w:sz w:val="22"/>
          <w:szCs w:val="22"/>
          <w:rtl/>
        </w:rPr>
      </w:pPr>
      <w:r>
        <w:rPr>
          <w:noProof/>
          <w:rtl/>
        </w:rPr>
        <w:t>דברי הקוב"ש דאדם מוחזק בגופו רק לדינו ממונות ולא כלפי שמיא</w:t>
      </w:r>
    </w:p>
    <w:p w14:paraId="3C494801" w14:textId="77777777" w:rsidR="00832F30" w:rsidRDefault="00832F30" w:rsidP="005077A7">
      <w:pPr>
        <w:pStyle w:val="a"/>
        <w:rPr>
          <w:rFonts w:eastAsiaTheme="minorEastAsia" w:cstheme="minorBidi"/>
          <w:noProof/>
          <w:sz w:val="22"/>
          <w:szCs w:val="22"/>
          <w:rtl/>
        </w:rPr>
      </w:pPr>
      <w:r>
        <w:rPr>
          <w:noProof/>
          <w:rtl/>
        </w:rPr>
        <w:t>דברי הגרש"ר דרוב לא מהני במוחזק מסברת המע"ה ואינו שייך כלל בדיני נפשות</w:t>
      </w:r>
    </w:p>
    <w:p w14:paraId="625C1D69" w14:textId="77777777" w:rsidR="00832F30" w:rsidRDefault="00832F30" w:rsidP="00553A5C">
      <w:pPr>
        <w:pStyle w:val="2"/>
        <w:keepNext w:val="0"/>
        <w:keepLines w:val="0"/>
        <w:rPr>
          <w:rFonts w:eastAsiaTheme="minorEastAsia" w:cstheme="minorBidi"/>
          <w:i/>
          <w:iCs/>
          <w:noProof/>
          <w:sz w:val="22"/>
          <w:szCs w:val="22"/>
          <w:rtl/>
        </w:rPr>
      </w:pPr>
      <w:bookmarkStart w:id="9423" w:name="_Toc19435683"/>
      <w:r>
        <w:rPr>
          <w:noProof/>
          <w:rtl/>
        </w:rPr>
        <w:t>בדברי הגרעק"א בהוקבע האיסור ע</w:t>
      </w:r>
      <w:r w:rsidRPr="009E3826">
        <w:rPr>
          <w:noProof/>
          <w:rtl/>
        </w:rPr>
        <w:t>"</w:t>
      </w:r>
      <w:r>
        <w:rPr>
          <w:noProof/>
          <w:rtl/>
        </w:rPr>
        <w:t>י הרוב</w:t>
      </w:r>
      <w:bookmarkEnd w:id="9423"/>
    </w:p>
    <w:p w14:paraId="02E13730" w14:textId="77777777" w:rsidR="00832F30" w:rsidRDefault="00832F30" w:rsidP="00553A5C">
      <w:pPr>
        <w:pStyle w:val="aff4"/>
        <w:rPr>
          <w:rFonts w:eastAsiaTheme="minorEastAsia" w:cstheme="minorBidi"/>
          <w:i/>
          <w:iCs/>
          <w:noProof/>
          <w:sz w:val="22"/>
          <w:szCs w:val="22"/>
          <w:rtl/>
        </w:rPr>
      </w:pPr>
      <w:bookmarkStart w:id="9424" w:name="_Toc19435684"/>
      <w:bookmarkStart w:id="9425" w:name="_Toc20080954"/>
      <w:r>
        <w:rPr>
          <w:noProof/>
          <w:rtl/>
        </w:rPr>
        <w:t>דברי הקוה"ע בדעת הגרעק"א בהוקבע האיסור ע"י הרוב</w:t>
      </w:r>
      <w:bookmarkEnd w:id="9424"/>
      <w:bookmarkEnd w:id="9425"/>
    </w:p>
    <w:p w14:paraId="150EF173" w14:textId="77777777" w:rsidR="00832F30" w:rsidRDefault="00832F30" w:rsidP="005077A7">
      <w:pPr>
        <w:pStyle w:val="a"/>
        <w:rPr>
          <w:rFonts w:eastAsiaTheme="minorEastAsia" w:cstheme="minorBidi"/>
          <w:noProof/>
          <w:sz w:val="22"/>
          <w:szCs w:val="22"/>
          <w:rtl/>
        </w:rPr>
      </w:pPr>
      <w:r>
        <w:rPr>
          <w:noProof/>
          <w:rtl/>
        </w:rPr>
        <w:t>קושית הקוה"ע על הגרעק"א דטריפה ממעשר בהמה לא שייך לדין אכילה והאיך הוקבע הרוב</w:t>
      </w:r>
    </w:p>
    <w:p w14:paraId="7951876B" w14:textId="77777777" w:rsidR="00832F30" w:rsidRDefault="00832F30" w:rsidP="005077A7">
      <w:pPr>
        <w:pStyle w:val="a"/>
        <w:rPr>
          <w:rFonts w:eastAsiaTheme="minorEastAsia" w:cstheme="minorBidi"/>
          <w:noProof/>
          <w:sz w:val="22"/>
          <w:szCs w:val="22"/>
          <w:rtl/>
        </w:rPr>
      </w:pPr>
      <w:r>
        <w:rPr>
          <w:noProof/>
          <w:rtl/>
        </w:rPr>
        <w:t>קושית הקוה"ע דרוב שהוא אביו לשאר דינים לא מהני לקהל ודאי שאינו בתולדה ממנו</w:t>
      </w:r>
    </w:p>
    <w:p w14:paraId="47C4FF05" w14:textId="77777777" w:rsidR="00832F30" w:rsidRDefault="00832F30" w:rsidP="005077A7">
      <w:pPr>
        <w:pStyle w:val="a"/>
        <w:rPr>
          <w:rFonts w:eastAsiaTheme="minorEastAsia" w:cstheme="minorBidi"/>
          <w:noProof/>
          <w:sz w:val="22"/>
          <w:szCs w:val="22"/>
          <w:rtl/>
        </w:rPr>
      </w:pPr>
      <w:r>
        <w:rPr>
          <w:noProof/>
          <w:rtl/>
        </w:rPr>
        <w:t>תירוץ הקוה"ע על קושית הגרעק"א דבקהל ודאי כיון שא"א בלא רוב אף לתורא"ש הוא דין ודאי</w:t>
      </w:r>
    </w:p>
    <w:p w14:paraId="6B783310" w14:textId="77777777" w:rsidR="00832F30" w:rsidRDefault="00832F30" w:rsidP="00553A5C">
      <w:pPr>
        <w:pStyle w:val="2"/>
        <w:keepNext w:val="0"/>
        <w:keepLines w:val="0"/>
        <w:rPr>
          <w:rFonts w:eastAsiaTheme="minorEastAsia" w:cstheme="minorBidi"/>
          <w:i/>
          <w:iCs/>
          <w:noProof/>
          <w:sz w:val="22"/>
          <w:szCs w:val="22"/>
          <w:rtl/>
        </w:rPr>
      </w:pPr>
      <w:bookmarkStart w:id="9426" w:name="_Toc19435685"/>
      <w:r>
        <w:rPr>
          <w:noProof/>
          <w:rtl/>
        </w:rPr>
        <w:t>בחילוק ביאורי האחרונים בהוקבע האיסור</w:t>
      </w:r>
      <w:bookmarkEnd w:id="9426"/>
    </w:p>
    <w:p w14:paraId="7D4BDB41" w14:textId="77777777" w:rsidR="00832F30" w:rsidRDefault="00832F30" w:rsidP="00553A5C">
      <w:pPr>
        <w:pStyle w:val="aff4"/>
        <w:rPr>
          <w:rFonts w:eastAsiaTheme="minorEastAsia" w:cstheme="minorBidi"/>
          <w:i/>
          <w:iCs/>
          <w:noProof/>
          <w:sz w:val="22"/>
          <w:szCs w:val="22"/>
          <w:rtl/>
        </w:rPr>
      </w:pPr>
      <w:bookmarkStart w:id="9427" w:name="_Toc19435686"/>
      <w:bookmarkStart w:id="9428" w:name="_Toc20080955"/>
      <w:r>
        <w:rPr>
          <w:noProof/>
          <w:rtl/>
        </w:rPr>
        <w:t>ביאור הגרש"ר בחילוק בין סברות ההפלאה והגרעק"א והש"ש</w:t>
      </w:r>
      <w:bookmarkEnd w:id="9427"/>
      <w:bookmarkEnd w:id="9428"/>
    </w:p>
    <w:p w14:paraId="622742EC" w14:textId="77777777" w:rsidR="00832F30" w:rsidRDefault="00832F30" w:rsidP="005077A7">
      <w:pPr>
        <w:pStyle w:val="a"/>
        <w:rPr>
          <w:rFonts w:eastAsiaTheme="minorEastAsia" w:cstheme="minorBidi"/>
          <w:noProof/>
          <w:sz w:val="22"/>
          <w:szCs w:val="22"/>
          <w:rtl/>
        </w:rPr>
      </w:pPr>
      <w:r>
        <w:rPr>
          <w:noProof/>
          <w:rtl/>
        </w:rPr>
        <w:t>דברי הגרש"ר דלהפלאה כשהנדון לדברים אחרים נולד בב"א עם ממון מהני הרוב ולגרעק"א ל"מ</w:t>
      </w:r>
    </w:p>
    <w:p w14:paraId="173F50BF" w14:textId="77777777" w:rsidR="00832F30" w:rsidRDefault="00832F30" w:rsidP="005077A7">
      <w:pPr>
        <w:pStyle w:val="a"/>
        <w:rPr>
          <w:rFonts w:eastAsiaTheme="minorEastAsia" w:cstheme="minorBidi"/>
          <w:noProof/>
          <w:sz w:val="22"/>
          <w:szCs w:val="22"/>
          <w:rtl/>
        </w:rPr>
      </w:pPr>
      <w:r>
        <w:rPr>
          <w:noProof/>
          <w:rtl/>
        </w:rPr>
        <w:t>דברי הגרש"ר דלדעת הש"ש הוקבע האיסור ע"י רוב מהני רק לתולדה מהאיסור שהוקבע</w:t>
      </w:r>
    </w:p>
    <w:p w14:paraId="73097046" w14:textId="77777777" w:rsidR="00832F30" w:rsidRDefault="00832F30" w:rsidP="005077A7">
      <w:pPr>
        <w:pStyle w:val="a"/>
        <w:rPr>
          <w:rFonts w:eastAsiaTheme="minorEastAsia" w:cstheme="minorBidi"/>
          <w:noProof/>
          <w:sz w:val="22"/>
          <w:szCs w:val="22"/>
          <w:rtl/>
        </w:rPr>
      </w:pPr>
      <w:r>
        <w:rPr>
          <w:noProof/>
          <w:rtl/>
        </w:rPr>
        <w:t>דברי הגרש"ר דלהפלאה ולגרעק"א הוקבע האיסור ברוב מהני לכל דבר אף שאינו בתולדה</w:t>
      </w:r>
    </w:p>
    <w:p w14:paraId="4C2512CF" w14:textId="77777777" w:rsidR="00832F30" w:rsidRDefault="00832F30" w:rsidP="00553A5C">
      <w:pPr>
        <w:pStyle w:val="2"/>
        <w:keepNext w:val="0"/>
        <w:keepLines w:val="0"/>
        <w:rPr>
          <w:rFonts w:eastAsiaTheme="minorEastAsia" w:cstheme="minorBidi"/>
          <w:i/>
          <w:iCs/>
          <w:noProof/>
          <w:sz w:val="22"/>
          <w:szCs w:val="22"/>
          <w:rtl/>
        </w:rPr>
      </w:pPr>
      <w:bookmarkStart w:id="9429" w:name="_Toc19435687"/>
      <w:r>
        <w:rPr>
          <w:noProof/>
          <w:rtl/>
        </w:rPr>
        <w:t>למסקנא מכה אביו א"צ לדין רוב כלל</w:t>
      </w:r>
      <w:bookmarkEnd w:id="9429"/>
    </w:p>
    <w:p w14:paraId="454F5FE6" w14:textId="77777777" w:rsidR="00832F30" w:rsidRDefault="00832F30" w:rsidP="00553A5C">
      <w:pPr>
        <w:pStyle w:val="aff4"/>
        <w:rPr>
          <w:rFonts w:eastAsiaTheme="minorEastAsia" w:cstheme="minorBidi"/>
          <w:i/>
          <w:iCs/>
          <w:noProof/>
          <w:sz w:val="22"/>
          <w:szCs w:val="22"/>
          <w:rtl/>
        </w:rPr>
      </w:pPr>
      <w:bookmarkStart w:id="9430" w:name="_Toc19435688"/>
      <w:bookmarkStart w:id="9431" w:name="_Toc20080956"/>
      <w:r>
        <w:rPr>
          <w:noProof/>
          <w:rtl/>
        </w:rPr>
        <w:t>דברי הקה"י</w:t>
      </w:r>
      <w:r>
        <w:rPr>
          <w:rFonts w:hint="cs"/>
          <w:noProof/>
          <w:rtl/>
        </w:rPr>
        <w:t xml:space="preserve"> דבמכה אביו הוא מיעוטא דמיעוטא ואינו מדין רוב</w:t>
      </w:r>
      <w:bookmarkEnd w:id="9430"/>
      <w:bookmarkEnd w:id="9431"/>
    </w:p>
    <w:p w14:paraId="111EC616" w14:textId="77777777" w:rsidR="00832F30" w:rsidRDefault="00832F30" w:rsidP="005077A7">
      <w:pPr>
        <w:pStyle w:val="a"/>
        <w:rPr>
          <w:rFonts w:eastAsiaTheme="minorEastAsia" w:cstheme="minorBidi"/>
          <w:noProof/>
          <w:sz w:val="22"/>
          <w:szCs w:val="22"/>
          <w:rtl/>
        </w:rPr>
      </w:pPr>
      <w:r>
        <w:rPr>
          <w:noProof/>
          <w:rtl/>
        </w:rPr>
        <w:t>קושית הקה"י היאך ילפינן את דין רובא דל"ק מרוב בחשש דדלמא לאו אביו דהוא חשש רחוק</w:t>
      </w:r>
    </w:p>
    <w:p w14:paraId="64A1F110" w14:textId="77777777" w:rsidR="00832F30" w:rsidRDefault="00832F30" w:rsidP="005077A7">
      <w:pPr>
        <w:pStyle w:val="a"/>
        <w:rPr>
          <w:rFonts w:eastAsiaTheme="minorEastAsia" w:cstheme="minorBidi"/>
          <w:noProof/>
          <w:sz w:val="22"/>
          <w:szCs w:val="22"/>
          <w:rtl/>
        </w:rPr>
      </w:pPr>
      <w:r>
        <w:rPr>
          <w:noProof/>
          <w:rtl/>
        </w:rPr>
        <w:t>דברי הקה"י דבראשונים בכתובות מבואר דלדין "ודאי" לא מהני הוחזק עפ"י הרוב</w:t>
      </w:r>
    </w:p>
    <w:p w14:paraId="33A9E00F" w14:textId="77777777" w:rsidR="00832F30" w:rsidRDefault="00832F30" w:rsidP="005077A7">
      <w:pPr>
        <w:pStyle w:val="a"/>
        <w:rPr>
          <w:rFonts w:eastAsiaTheme="minorEastAsia" w:cstheme="minorBidi"/>
          <w:noProof/>
          <w:sz w:val="22"/>
          <w:szCs w:val="22"/>
          <w:rtl/>
        </w:rPr>
      </w:pPr>
      <w:r>
        <w:rPr>
          <w:noProof/>
          <w:rtl/>
        </w:rPr>
        <w:t>דברי הקה"י דהחשש שאינו אביו הוא מיעוטא דמיעוט ומסברא א"צ לחוש לו כלל</w:t>
      </w:r>
    </w:p>
    <w:p w14:paraId="170572D9" w14:textId="77777777" w:rsidR="00832F30" w:rsidRDefault="00832F30" w:rsidP="005077A7">
      <w:pPr>
        <w:pStyle w:val="a"/>
        <w:rPr>
          <w:rFonts w:eastAsiaTheme="minorEastAsia" w:cstheme="minorBidi"/>
          <w:noProof/>
          <w:sz w:val="22"/>
          <w:szCs w:val="22"/>
          <w:rtl/>
        </w:rPr>
      </w:pPr>
      <w:r>
        <w:rPr>
          <w:noProof/>
          <w:rtl/>
        </w:rPr>
        <w:t>דברי הקה"י דהנדון בסוגיין הוא האם רובא דליתא קמן שלא נמנה הרוב לפנינו חשיב רוב ברור</w:t>
      </w:r>
    </w:p>
    <w:p w14:paraId="4713A8AD" w14:textId="77777777" w:rsidR="00832F30" w:rsidRDefault="00832F30" w:rsidP="005077A7">
      <w:pPr>
        <w:pStyle w:val="a"/>
        <w:rPr>
          <w:rFonts w:eastAsiaTheme="minorEastAsia" w:cstheme="minorBidi"/>
          <w:noProof/>
          <w:sz w:val="22"/>
          <w:szCs w:val="22"/>
          <w:rtl/>
        </w:rPr>
      </w:pPr>
      <w:r>
        <w:rPr>
          <w:noProof/>
          <w:rtl/>
        </w:rPr>
        <w:t>דברי הקה"י דהראיה ממכה אביו היא דאומדנא דרובא דליתא קמן חשיבא כרוב ברור</w:t>
      </w:r>
    </w:p>
    <w:p w14:paraId="583AD761" w14:textId="77777777" w:rsidR="00832F30" w:rsidRDefault="00832F30" w:rsidP="005077A7">
      <w:pPr>
        <w:pStyle w:val="a"/>
        <w:rPr>
          <w:rFonts w:eastAsiaTheme="minorEastAsia" w:cstheme="minorBidi"/>
          <w:noProof/>
          <w:sz w:val="22"/>
          <w:szCs w:val="22"/>
          <w:rtl/>
        </w:rPr>
      </w:pPr>
      <w:r>
        <w:rPr>
          <w:noProof/>
          <w:rtl/>
        </w:rPr>
        <w:t>דברי הקה"י דבחשש "דלמא לאו אביו הוא" אין כל ספק וא"צ להגיע לדין רוב</w:t>
      </w:r>
    </w:p>
    <w:p w14:paraId="6465789B" w14:textId="77777777" w:rsidR="00832F30" w:rsidRDefault="00832F30" w:rsidP="005077A7">
      <w:pPr>
        <w:pStyle w:val="a"/>
        <w:rPr>
          <w:rFonts w:eastAsiaTheme="minorEastAsia" w:cstheme="minorBidi"/>
          <w:noProof/>
          <w:sz w:val="22"/>
          <w:szCs w:val="22"/>
          <w:rtl/>
        </w:rPr>
      </w:pPr>
      <w:r>
        <w:rPr>
          <w:noProof/>
          <w:rtl/>
        </w:rPr>
        <w:t>דברי הקה"י דלביאורו במסקנא  מיושבות קושיות ההפלאה והמהר"צ הלברשש והגר"ש איגר</w:t>
      </w:r>
    </w:p>
    <w:p w14:paraId="23D0C061" w14:textId="77777777" w:rsidR="00832F30" w:rsidRDefault="00832F30" w:rsidP="00553A5C">
      <w:pPr>
        <w:pStyle w:val="aff4"/>
        <w:rPr>
          <w:rFonts w:eastAsiaTheme="minorEastAsia" w:cstheme="minorBidi"/>
          <w:i/>
          <w:iCs/>
          <w:noProof/>
          <w:sz w:val="22"/>
          <w:szCs w:val="22"/>
          <w:rtl/>
        </w:rPr>
      </w:pPr>
      <w:bookmarkStart w:id="9432" w:name="_Toc19435689"/>
      <w:bookmarkStart w:id="9433" w:name="_Toc20080957"/>
      <w:r>
        <w:rPr>
          <w:noProof/>
          <w:rtl/>
        </w:rPr>
        <w:t>הביאור הב' בקה"י דרוב בסדר העולם יש לו דין ודאי</w:t>
      </w:r>
      <w:bookmarkEnd w:id="9432"/>
      <w:bookmarkEnd w:id="9433"/>
    </w:p>
    <w:p w14:paraId="1A711C90" w14:textId="77777777" w:rsidR="00832F30" w:rsidRDefault="00832F30" w:rsidP="005077A7">
      <w:pPr>
        <w:pStyle w:val="a"/>
        <w:rPr>
          <w:rFonts w:eastAsiaTheme="minorEastAsia" w:cstheme="minorBidi"/>
          <w:noProof/>
          <w:sz w:val="22"/>
          <w:szCs w:val="22"/>
          <w:rtl/>
        </w:rPr>
      </w:pPr>
      <w:r>
        <w:rPr>
          <w:noProof/>
          <w:rtl/>
        </w:rPr>
        <w:t>הביאור הב' בקה"י דכוונת התורא"ש לומר דאין לרוב דין ודאי הוא דוקא במקום שיש ריעותא</w:t>
      </w:r>
    </w:p>
    <w:p w14:paraId="00617331" w14:textId="77777777" w:rsidR="00A4236B" w:rsidRDefault="00A4236B" w:rsidP="005077A7">
      <w:pPr>
        <w:pStyle w:val="a"/>
        <w:rPr>
          <w:noProof/>
          <w:rtl/>
        </w:rPr>
        <w:sectPr w:rsidR="00A4236B" w:rsidSect="00BA4348">
          <w:type w:val="continuous"/>
          <w:pgSz w:w="11906" w:h="16838"/>
          <w:pgMar w:top="720" w:right="720" w:bottom="720" w:left="720" w:header="283" w:footer="283" w:gutter="0"/>
          <w:cols w:num="2" w:space="170"/>
          <w:titlePg/>
          <w:bidi/>
          <w:rtlGutter/>
          <w:docGrid w:linePitch="299"/>
        </w:sectPr>
      </w:pPr>
    </w:p>
    <w:p w14:paraId="358CDF17" w14:textId="77777777" w:rsidR="00064C97" w:rsidRDefault="00832F30" w:rsidP="006D6D32">
      <w:pPr>
        <w:pStyle w:val="afe"/>
        <w:rPr>
          <w:rtl/>
        </w:rPr>
      </w:pPr>
      <w:r>
        <w:rPr>
          <w:rtl/>
        </w:rPr>
        <w:fldChar w:fldCharType="end"/>
      </w:r>
      <w:r w:rsidR="00D75E4B">
        <w:rPr>
          <w:rtl/>
        </w:rPr>
        <w:tab/>
      </w:r>
      <w:bookmarkStart w:id="9434" w:name="_Toc530411126"/>
      <w:bookmarkStart w:id="9435" w:name="_Toc530502974"/>
      <w:bookmarkStart w:id="9436" w:name="_Toc530504426"/>
      <w:bookmarkStart w:id="9437" w:name="_Toc530514337"/>
      <w:bookmarkStart w:id="9438" w:name="_Toc530514440"/>
      <w:bookmarkStart w:id="9439" w:name="_Toc530521858"/>
      <w:bookmarkStart w:id="9440" w:name="_Toc530524914"/>
      <w:bookmarkStart w:id="9441" w:name="_Toc530551056"/>
      <w:bookmarkStart w:id="9442" w:name="_Toc19435690"/>
      <w:bookmarkStart w:id="9443" w:name="_Toc20080958"/>
      <w:r w:rsidR="00064C97">
        <w:rPr>
          <w:rFonts w:hint="cs"/>
          <w:rtl/>
        </w:rPr>
        <w:t>מראי מקומות וביאורים על הסוגיא</w:t>
      </w:r>
      <w:bookmarkEnd w:id="9434"/>
      <w:bookmarkEnd w:id="9435"/>
      <w:bookmarkEnd w:id="9436"/>
      <w:bookmarkEnd w:id="9437"/>
      <w:bookmarkEnd w:id="9438"/>
      <w:bookmarkEnd w:id="9439"/>
      <w:bookmarkEnd w:id="9440"/>
      <w:bookmarkEnd w:id="9441"/>
      <w:bookmarkEnd w:id="9442"/>
      <w:bookmarkEnd w:id="9443"/>
    </w:p>
    <w:p w14:paraId="78574959" w14:textId="77777777" w:rsidR="00064C97" w:rsidRPr="0065105E" w:rsidRDefault="00064C97" w:rsidP="00064C97">
      <w:pPr>
        <w:pStyle w:val="2"/>
        <w:keepNext w:val="0"/>
        <w:keepLines w:val="0"/>
        <w:bidi w:val="0"/>
        <w:rPr>
          <w:rFonts w:asciiTheme="minorHAnsi" w:hAnsiTheme="minorHAnsi"/>
          <w:bCs/>
          <w:sz w:val="18"/>
          <w:szCs w:val="28"/>
          <w:rtl/>
        </w:rPr>
        <w:sectPr w:rsidR="00064C97" w:rsidRPr="0065105E" w:rsidSect="00BA4348">
          <w:headerReference w:type="first" r:id="rId70"/>
          <w:footerReference w:type="first" r:id="rId71"/>
          <w:pgSz w:w="11906" w:h="16838"/>
          <w:pgMar w:top="720" w:right="720" w:bottom="720" w:left="720" w:header="283" w:footer="283" w:gutter="0"/>
          <w:cols w:space="720"/>
          <w:bidi/>
          <w:rtlGutter/>
          <w:docGrid w:linePitch="299"/>
        </w:sectPr>
      </w:pPr>
    </w:p>
    <w:p w14:paraId="47A5DB4F" w14:textId="77777777" w:rsidR="00064C97" w:rsidRDefault="00064C97" w:rsidP="006D6D32">
      <w:pPr>
        <w:pStyle w:val="afe"/>
        <w:rPr>
          <w:rtl/>
        </w:rPr>
      </w:pPr>
      <w:bookmarkStart w:id="9444" w:name="_Toc530083902"/>
      <w:bookmarkStart w:id="9445" w:name="_Toc530083938"/>
      <w:bookmarkStart w:id="9446" w:name="_Toc530147698"/>
      <w:bookmarkStart w:id="9447" w:name="_Toc530148026"/>
      <w:bookmarkStart w:id="9448" w:name="_Toc530348966"/>
      <w:bookmarkStart w:id="9449" w:name="_Toc530395851"/>
      <w:bookmarkStart w:id="9450" w:name="_Toc530411127"/>
      <w:bookmarkStart w:id="9451" w:name="_Toc530502975"/>
      <w:bookmarkStart w:id="9452" w:name="_Toc530504427"/>
      <w:bookmarkStart w:id="9453" w:name="_Toc530514338"/>
      <w:bookmarkStart w:id="9454" w:name="_Toc530514441"/>
      <w:bookmarkStart w:id="9455" w:name="_Toc530521859"/>
      <w:bookmarkStart w:id="9456" w:name="_Toc530524915"/>
      <w:bookmarkStart w:id="9457" w:name="_Toc530551057"/>
      <w:bookmarkStart w:id="9458" w:name="_Toc19435691"/>
      <w:bookmarkStart w:id="9459" w:name="_Toc20080959"/>
      <w:r>
        <w:rPr>
          <w:rFonts w:hint="cs"/>
          <w:rtl/>
        </w:rPr>
        <w:t>מכה אביו מדין רוב או מדין חזקה</w:t>
      </w:r>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r>
        <w:rPr>
          <w:rFonts w:hint="cs"/>
          <w:rtl/>
        </w:rPr>
        <w:t xml:space="preserve"> </w:t>
      </w:r>
    </w:p>
    <w:p w14:paraId="40DB48D4" w14:textId="77777777" w:rsidR="00064C97" w:rsidRDefault="00064C97" w:rsidP="00BF39B2">
      <w:pPr>
        <w:pStyle w:val="1"/>
        <w:rPr>
          <w:rtl/>
        </w:rPr>
      </w:pPr>
      <w:bookmarkStart w:id="9460" w:name="_Toc530502976"/>
      <w:bookmarkStart w:id="9461" w:name="_Toc530504428"/>
      <w:bookmarkStart w:id="9462" w:name="_Toc530514339"/>
      <w:bookmarkStart w:id="9463" w:name="_Toc530514442"/>
      <w:bookmarkStart w:id="9464" w:name="_Toc530521860"/>
      <w:bookmarkStart w:id="9465" w:name="_Toc530524916"/>
      <w:bookmarkStart w:id="9466" w:name="_Toc530551058"/>
      <w:bookmarkStart w:id="9467" w:name="_Toc19390262"/>
      <w:bookmarkStart w:id="9468" w:name="_Toc19393759"/>
      <w:r>
        <w:rPr>
          <w:rFonts w:hint="cs"/>
          <w:rtl/>
        </w:rPr>
        <w:t>דברי הרמב"ם דממכה אביו יש ראיה לדין סוקלין על החזקות</w:t>
      </w:r>
      <w:bookmarkEnd w:id="9460"/>
      <w:bookmarkEnd w:id="9461"/>
      <w:bookmarkEnd w:id="9462"/>
      <w:bookmarkEnd w:id="9463"/>
      <w:bookmarkEnd w:id="9464"/>
      <w:bookmarkEnd w:id="9465"/>
      <w:bookmarkEnd w:id="9466"/>
      <w:bookmarkEnd w:id="9467"/>
      <w:bookmarkEnd w:id="9468"/>
    </w:p>
    <w:p w14:paraId="3785D2C5" w14:textId="77777777" w:rsidR="00064C97" w:rsidRDefault="00064C97" w:rsidP="006D6D32">
      <w:pPr>
        <w:pStyle w:val="a3"/>
        <w:rPr>
          <w:rtl/>
        </w:rPr>
      </w:pPr>
      <w:bookmarkStart w:id="9469" w:name="_Toc530502977"/>
      <w:bookmarkStart w:id="9470" w:name="_Toc530504429"/>
      <w:bookmarkStart w:id="9471" w:name="_Toc530514340"/>
      <w:bookmarkStart w:id="9472" w:name="_Toc530514443"/>
      <w:bookmarkStart w:id="9473" w:name="_Toc530521861"/>
      <w:bookmarkStart w:id="9474" w:name="_Toc530524917"/>
      <w:bookmarkStart w:id="9475" w:name="_Toc530551059"/>
      <w:bookmarkStart w:id="9476" w:name="_Toc19390263"/>
      <w:bookmarkStart w:id="9477" w:name="_Toc19393760"/>
      <w:r>
        <w:rPr>
          <w:rFonts w:hint="cs"/>
          <w:rtl/>
        </w:rPr>
        <w:t>דברי הרמב"ם דמהא דמכה אביו שאין ראיה שהוא אביו חייב מיתה מוכח דסוקלין על החזקות</w:t>
      </w:r>
      <w:bookmarkEnd w:id="9469"/>
      <w:bookmarkEnd w:id="9470"/>
      <w:bookmarkEnd w:id="9471"/>
      <w:bookmarkEnd w:id="9472"/>
      <w:bookmarkEnd w:id="9473"/>
      <w:bookmarkEnd w:id="9474"/>
      <w:bookmarkEnd w:id="9475"/>
      <w:bookmarkEnd w:id="9476"/>
      <w:bookmarkEnd w:id="9477"/>
    </w:p>
    <w:p w14:paraId="23F39CAB" w14:textId="77777777" w:rsidR="00064C97" w:rsidRDefault="00064C97" w:rsidP="00E12979">
      <w:pPr>
        <w:pStyle w:val="a0"/>
        <w:numPr>
          <w:ilvl w:val="0"/>
          <w:numId w:val="12"/>
        </w:numPr>
        <w:rPr>
          <w:rtl/>
        </w:rPr>
      </w:pPr>
      <w:bookmarkStart w:id="9478" w:name="_Ref530079799"/>
      <w:bookmarkStart w:id="9479" w:name="_Ref529872696"/>
      <w:bookmarkStart w:id="9480" w:name="_Ref530080634"/>
      <w:r>
        <w:rPr>
          <w:rFonts w:hint="cs"/>
          <w:rtl/>
        </w:rPr>
        <w:t xml:space="preserve">כתב </w:t>
      </w:r>
      <w:r w:rsidRPr="00A14881">
        <w:rPr>
          <w:rStyle w:val="af9"/>
          <w:rFonts w:hint="cs"/>
          <w:rtl/>
        </w:rPr>
        <w:t>הרמב"ם</w:t>
      </w:r>
      <w:r>
        <w:rPr>
          <w:rFonts w:hint="cs"/>
          <w:rtl/>
        </w:rPr>
        <w:t xml:space="preserve"> </w:t>
      </w:r>
      <w:r w:rsidRPr="00223668">
        <w:rPr>
          <w:rStyle w:val="af7"/>
          <w:rFonts w:eastAsia="Guttman Hodes" w:hint="cs"/>
          <w:rtl/>
        </w:rPr>
        <w:t>(איסו"ב א' כ')</w:t>
      </w:r>
      <w:r w:rsidRPr="007E6F1B">
        <w:rPr>
          <w:rFonts w:hint="cs"/>
          <w:rtl/>
        </w:rPr>
        <w:t xml:space="preserve"> דסוקלין על החזקות, ומי שהוחזק בקורבה דנים בו על פי החזקה, אף כשאין ראיה ברורה שהוא קרוב, ואם בא בעדים על מי שמוחזקת כאחותו וכו', דנים אותו למיתה אף שאין ראיה שזו אחותו, וכתב </w:t>
      </w:r>
      <w:r w:rsidRPr="007E6F1B">
        <w:rPr>
          <w:rStyle w:val="af9"/>
          <w:rFonts w:hint="cs"/>
          <w:rtl/>
        </w:rPr>
        <w:t>הרמב"ם</w:t>
      </w:r>
      <w:r w:rsidRPr="007E6F1B">
        <w:rPr>
          <w:rFonts w:hint="cs"/>
          <w:rtl/>
        </w:rPr>
        <w:t xml:space="preserve"> דהראיה לדין זה</w:t>
      </w:r>
      <w:r>
        <w:rPr>
          <w:rFonts w:hint="cs"/>
          <w:rtl/>
        </w:rPr>
        <w:t xml:space="preserve"> הוא ממכה ומקלל אביו, שאין ראיה ברורה שזהו אביו ואפ"ה דנים אותו,</w:t>
      </w:r>
      <w:bookmarkEnd w:id="9478"/>
      <w:r>
        <w:rPr>
          <w:rFonts w:hint="cs"/>
          <w:rtl/>
        </w:rPr>
        <w:t xml:space="preserve"> </w:t>
      </w:r>
      <w:bookmarkEnd w:id="9479"/>
      <w:r>
        <w:rPr>
          <w:rFonts w:hint="cs"/>
          <w:rtl/>
        </w:rPr>
        <w:t xml:space="preserve">וכתב </w:t>
      </w:r>
      <w:r w:rsidRPr="0013478D">
        <w:rPr>
          <w:rStyle w:val="af9"/>
          <w:rFonts w:hint="cs"/>
          <w:rtl/>
        </w:rPr>
        <w:t>המ"מ</w:t>
      </w:r>
      <w:r>
        <w:rPr>
          <w:rFonts w:hint="cs"/>
          <w:rtl/>
        </w:rPr>
        <w:t xml:space="preserve"> </w:t>
      </w:r>
      <w:r w:rsidRPr="00223668">
        <w:rPr>
          <w:rStyle w:val="af7"/>
          <w:rFonts w:eastAsia="Guttman Hodes" w:hint="cs"/>
          <w:rtl/>
        </w:rPr>
        <w:t>(איסו"ב א' כ')</w:t>
      </w:r>
      <w:r>
        <w:rPr>
          <w:rFonts w:hint="cs"/>
          <w:rtl/>
        </w:rPr>
        <w:t xml:space="preserve"> דמקור דברי </w:t>
      </w:r>
      <w:r w:rsidRPr="0013478D">
        <w:rPr>
          <w:rStyle w:val="af9"/>
          <w:rFonts w:hint="cs"/>
          <w:rtl/>
        </w:rPr>
        <w:t>הרמב"ם</w:t>
      </w:r>
      <w:r>
        <w:rPr>
          <w:rFonts w:hint="cs"/>
          <w:rtl/>
        </w:rPr>
        <w:t xml:space="preserve"> דממכה אביו יש ראיה לדין סוקלין על החזקות, הוא מדברי הירושלמי בקידושין </w:t>
      </w:r>
      <w:r w:rsidRPr="00223668">
        <w:rPr>
          <w:rStyle w:val="af7"/>
          <w:rFonts w:eastAsia="Guttman Hodes" w:hint="cs"/>
          <w:rtl/>
        </w:rPr>
        <w:t>(פ"ד ה"י דף מז.)</w:t>
      </w:r>
      <w:r>
        <w:rPr>
          <w:rStyle w:val="af1"/>
          <w:rtl/>
        </w:rPr>
        <w:footnoteReference w:id="67"/>
      </w:r>
      <w:r>
        <w:rPr>
          <w:rFonts w:hint="cs"/>
          <w:rtl/>
        </w:rPr>
        <w:t xml:space="preserve">. ועי' במה שביאר </w:t>
      </w:r>
      <w:r w:rsidRPr="000B2789">
        <w:rPr>
          <w:rStyle w:val="af9"/>
          <w:rFonts w:hint="cs"/>
          <w:rtl/>
        </w:rPr>
        <w:t>במשנת ר"א</w:t>
      </w:r>
      <w:r>
        <w:rPr>
          <w:rFonts w:hint="cs"/>
          <w:rtl/>
        </w:rPr>
        <w:t xml:space="preserve"> </w:t>
      </w:r>
      <w:r w:rsidRPr="00223668">
        <w:rPr>
          <w:rStyle w:val="af7"/>
          <w:rFonts w:eastAsia="Guttman Hodes" w:hint="cs"/>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Ref530079869 \r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סד)</w:t>
      </w:r>
      <w:r w:rsidRPr="00223668">
        <w:rPr>
          <w:rStyle w:val="af7"/>
          <w:rFonts w:eastAsia="Guttman Hodes"/>
          <w:rtl/>
        </w:rPr>
        <w:fldChar w:fldCharType="end"/>
      </w:r>
      <w:r>
        <w:rPr>
          <w:rFonts w:hint="cs"/>
          <w:rtl/>
        </w:rPr>
        <w:t xml:space="preserve">, וע"ע בדברי </w:t>
      </w:r>
      <w:r w:rsidRPr="00DC6943">
        <w:rPr>
          <w:rStyle w:val="af9"/>
          <w:rFonts w:hint="cs"/>
          <w:rtl/>
        </w:rPr>
        <w:t>השער"י</w:t>
      </w:r>
      <w:r>
        <w:rPr>
          <w:rFonts w:hint="cs"/>
          <w:rtl/>
        </w:rPr>
        <w:t xml:space="preserve"> </w:t>
      </w:r>
      <w:r w:rsidRPr="00223668">
        <w:rPr>
          <w:rStyle w:val="af7"/>
          <w:rFonts w:eastAsia="Guttman Hodes" w:hint="cs"/>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Ref530525067 \r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צג)</w:t>
      </w:r>
      <w:r w:rsidRPr="00223668">
        <w:rPr>
          <w:rStyle w:val="af7"/>
          <w:rFonts w:eastAsia="Guttman Hodes"/>
          <w:rtl/>
        </w:rPr>
        <w:fldChar w:fldCharType="end"/>
      </w:r>
      <w:r>
        <w:rPr>
          <w:rFonts w:hint="cs"/>
          <w:rtl/>
        </w:rPr>
        <w:t>.</w:t>
      </w:r>
      <w:bookmarkEnd w:id="9480"/>
    </w:p>
    <w:p w14:paraId="53CE2270" w14:textId="77777777" w:rsidR="00064C97" w:rsidRDefault="00064C97" w:rsidP="00BF39B2">
      <w:pPr>
        <w:pStyle w:val="1"/>
        <w:rPr>
          <w:rtl/>
        </w:rPr>
      </w:pPr>
      <w:bookmarkStart w:id="9481" w:name="_Toc530395852"/>
      <w:bookmarkStart w:id="9482" w:name="_Toc530411128"/>
      <w:bookmarkStart w:id="9483" w:name="_Toc530502979"/>
      <w:bookmarkStart w:id="9484" w:name="_Toc530504430"/>
      <w:bookmarkStart w:id="9485" w:name="_Toc530514341"/>
      <w:bookmarkStart w:id="9486" w:name="_Toc530514444"/>
      <w:bookmarkStart w:id="9487" w:name="_Toc530521862"/>
      <w:bookmarkStart w:id="9488" w:name="_Toc530524918"/>
      <w:bookmarkStart w:id="9489" w:name="_Toc530551060"/>
      <w:bookmarkStart w:id="9490" w:name="_Toc19390264"/>
      <w:bookmarkStart w:id="9491" w:name="_Toc19393761"/>
      <w:r>
        <w:rPr>
          <w:rFonts w:hint="cs"/>
          <w:rtl/>
        </w:rPr>
        <w:t>קושית הגרעק"א והבכור שור והנתיה"מ על הרמב"ם</w:t>
      </w:r>
      <w:bookmarkEnd w:id="9481"/>
      <w:bookmarkEnd w:id="9482"/>
      <w:bookmarkEnd w:id="9483"/>
      <w:bookmarkEnd w:id="9484"/>
      <w:bookmarkEnd w:id="9485"/>
      <w:bookmarkEnd w:id="9486"/>
      <w:bookmarkEnd w:id="9487"/>
      <w:bookmarkEnd w:id="9488"/>
      <w:bookmarkEnd w:id="9489"/>
      <w:bookmarkEnd w:id="9490"/>
      <w:bookmarkEnd w:id="9491"/>
    </w:p>
    <w:p w14:paraId="260C061F" w14:textId="77777777" w:rsidR="00064C97" w:rsidRDefault="00064C97" w:rsidP="006D6D32">
      <w:pPr>
        <w:pStyle w:val="a3"/>
        <w:rPr>
          <w:rtl/>
        </w:rPr>
      </w:pPr>
      <w:bookmarkStart w:id="9492" w:name="_Toc530502980"/>
      <w:bookmarkStart w:id="9493" w:name="_Toc530504431"/>
      <w:bookmarkStart w:id="9494" w:name="_Toc530514342"/>
      <w:bookmarkStart w:id="9495" w:name="_Toc530514445"/>
      <w:bookmarkStart w:id="9496" w:name="_Toc530521863"/>
      <w:bookmarkStart w:id="9497" w:name="_Toc530524919"/>
      <w:bookmarkStart w:id="9498" w:name="_Toc530551061"/>
      <w:bookmarkStart w:id="9499" w:name="_Toc19390265"/>
      <w:bookmarkStart w:id="9500" w:name="_Toc19393762"/>
      <w:r>
        <w:rPr>
          <w:rFonts w:hint="cs"/>
          <w:rtl/>
        </w:rPr>
        <w:t>קושית הנתיה"מ בתשו' והגרעק"א דבסוגיין מבואר דממכה אביו ילפינן את דין רוב ולא חזקה</w:t>
      </w:r>
      <w:bookmarkEnd w:id="9492"/>
      <w:bookmarkEnd w:id="9493"/>
      <w:bookmarkEnd w:id="9494"/>
      <w:bookmarkEnd w:id="9495"/>
      <w:bookmarkEnd w:id="9496"/>
      <w:bookmarkEnd w:id="9497"/>
      <w:bookmarkEnd w:id="9498"/>
      <w:bookmarkEnd w:id="9499"/>
      <w:bookmarkEnd w:id="9500"/>
    </w:p>
    <w:p w14:paraId="36538829" w14:textId="77777777" w:rsidR="00064C97" w:rsidRDefault="00064C97" w:rsidP="00223668">
      <w:pPr>
        <w:pStyle w:val="a0"/>
        <w:rPr>
          <w:rtl/>
        </w:rPr>
      </w:pPr>
      <w:r>
        <w:rPr>
          <w:rFonts w:hint="cs"/>
          <w:rtl/>
        </w:rPr>
        <w:t xml:space="preserve">והקשה </w:t>
      </w:r>
      <w:r w:rsidRPr="000B5774">
        <w:rPr>
          <w:rStyle w:val="af9"/>
          <w:rFonts w:hint="cs"/>
          <w:rtl/>
        </w:rPr>
        <w:t>הנתיה"מ בתשו'</w:t>
      </w:r>
      <w:r>
        <w:rPr>
          <w:rFonts w:hint="cs"/>
          <w:rtl/>
        </w:rPr>
        <w:t xml:space="preserve"> </w:t>
      </w:r>
      <w:r w:rsidRPr="000B5774">
        <w:rPr>
          <w:rStyle w:val="af7"/>
          <w:rFonts w:eastAsia="Guttman Hodes" w:hint="cs"/>
          <w:rtl/>
        </w:rPr>
        <w:t>(שו"ת חמדת שלמה אבהע"ז י"א א' ד"ה דהנה הרמב"ם</w:t>
      </w:r>
      <w:r>
        <w:rPr>
          <w:rStyle w:val="af7"/>
          <w:rFonts w:eastAsia="Guttman Hodes" w:hint="cs"/>
          <w:rtl/>
        </w:rPr>
        <w:t>,</w:t>
      </w:r>
      <w:r w:rsidRPr="000B5774">
        <w:rPr>
          <w:rStyle w:val="af7"/>
          <w:rFonts w:eastAsia="Guttman Hodes" w:hint="cs"/>
          <w:rtl/>
        </w:rPr>
        <w:t xml:space="preserve"> שו"ת רבינו יעקב מליסא אבהע"ז סי' כ"ט ד"ה ובאמת) </w:t>
      </w:r>
      <w:r>
        <w:rPr>
          <w:rFonts w:hint="cs"/>
          <w:rtl/>
        </w:rPr>
        <w:t xml:space="preserve">דהרי דין חזקה נלמד בגמ' לעיל </w:t>
      </w:r>
      <w:r w:rsidRPr="000B5774">
        <w:rPr>
          <w:rStyle w:val="af7"/>
          <w:rFonts w:eastAsia="Guttman Hodes" w:hint="cs"/>
          <w:rtl/>
        </w:rPr>
        <w:t xml:space="preserve">(ט.) </w:t>
      </w:r>
      <w:r>
        <w:rPr>
          <w:rFonts w:hint="cs"/>
          <w:rtl/>
        </w:rPr>
        <w:t>מבית המנוגע, וממכה אביו ילפינן בסוגיין דאזלינן בתר רובא, ולא את דין חזקה, ואמאי נקט הרמב"ם כ</w:t>
      </w:r>
      <w:r w:rsidRPr="00AC7444">
        <w:rPr>
          <w:rFonts w:hint="cs"/>
          <w:rtl/>
        </w:rPr>
        <w:t xml:space="preserve">ירושלמי </w:t>
      </w:r>
      <w:r>
        <w:rPr>
          <w:rFonts w:hint="cs"/>
          <w:rtl/>
        </w:rPr>
        <w:t xml:space="preserve">בקידושין </w:t>
      </w:r>
      <w:r w:rsidRPr="00AC7444">
        <w:rPr>
          <w:rStyle w:val="af7"/>
          <w:rFonts w:eastAsia="Guttman Hodes" w:hint="cs"/>
          <w:rtl/>
        </w:rPr>
        <w:t>(פ"ד ה"י דף מז.)</w:t>
      </w:r>
      <w:r>
        <w:rPr>
          <w:rFonts w:hint="cs"/>
          <w:rtl/>
        </w:rPr>
        <w:t xml:space="preserve"> דממכה אביו ילפינן דאזלינן בתר חזקה, ולא כבבלי דממכה אביו ילפינן דאזלינן בתר רוב. וכן ציין</w:t>
      </w:r>
      <w:r w:rsidRPr="00E241C4">
        <w:rPr>
          <w:rFonts w:hint="cs"/>
          <w:rtl/>
        </w:rPr>
        <w:t xml:space="preserve"> </w:t>
      </w:r>
      <w:r w:rsidRPr="00DE1517">
        <w:rPr>
          <w:rStyle w:val="af9"/>
          <w:rFonts w:hint="cs"/>
          <w:rtl/>
        </w:rPr>
        <w:t>הגרעק"א בגלהש"ס</w:t>
      </w:r>
      <w:r>
        <w:rPr>
          <w:rFonts w:hint="cs"/>
          <w:rtl/>
        </w:rPr>
        <w:t xml:space="preserve"> לדברי </w:t>
      </w:r>
      <w:r w:rsidRPr="00A14881">
        <w:rPr>
          <w:rStyle w:val="af9"/>
          <w:rFonts w:hint="cs"/>
          <w:rtl/>
        </w:rPr>
        <w:t>הרמב"ם</w:t>
      </w:r>
      <w:r>
        <w:rPr>
          <w:rFonts w:hint="cs"/>
          <w:rtl/>
        </w:rPr>
        <w:t xml:space="preserve"> וכוונתו להקשות דבסוגיין מבואר דמדין רוב אמרינן שהוא אביו, ואילו </w:t>
      </w:r>
      <w:r w:rsidRPr="00C22FA1">
        <w:rPr>
          <w:rStyle w:val="af9"/>
          <w:rFonts w:hint="cs"/>
          <w:rtl/>
        </w:rPr>
        <w:t>הרמב"ם</w:t>
      </w:r>
      <w:r>
        <w:rPr>
          <w:rFonts w:hint="cs"/>
          <w:rtl/>
        </w:rPr>
        <w:t xml:space="preserve"> כתב שהוא מדין חזקה</w:t>
      </w:r>
      <w:r>
        <w:rPr>
          <w:rStyle w:val="af1"/>
          <w:rtl/>
        </w:rPr>
        <w:footnoteReference w:id="68"/>
      </w:r>
      <w:r>
        <w:rPr>
          <w:rFonts w:hint="cs"/>
          <w:rtl/>
        </w:rPr>
        <w:t>.</w:t>
      </w:r>
    </w:p>
    <w:p w14:paraId="3D9B6FE0" w14:textId="77777777" w:rsidR="00064C97" w:rsidRDefault="00064C97" w:rsidP="006D6D32">
      <w:pPr>
        <w:pStyle w:val="a3"/>
        <w:rPr>
          <w:rtl/>
        </w:rPr>
      </w:pPr>
      <w:bookmarkStart w:id="9501" w:name="_Toc530514343"/>
      <w:bookmarkStart w:id="9502" w:name="_Toc530514446"/>
      <w:bookmarkStart w:id="9503" w:name="_Toc530521864"/>
      <w:bookmarkStart w:id="9504" w:name="_Toc530524920"/>
      <w:bookmarkStart w:id="9505" w:name="_Toc530551062"/>
      <w:bookmarkStart w:id="9506" w:name="_Toc19390266"/>
      <w:bookmarkStart w:id="9507" w:name="_Toc19393763"/>
      <w:r>
        <w:rPr>
          <w:rFonts w:hint="cs"/>
          <w:rtl/>
        </w:rPr>
        <w:t>דברי המאירי דרוב בדיני נפשות היינו דינא דסוקלין על החזקות</w:t>
      </w:r>
      <w:bookmarkEnd w:id="9501"/>
      <w:bookmarkEnd w:id="9502"/>
      <w:bookmarkEnd w:id="9503"/>
      <w:bookmarkEnd w:id="9504"/>
      <w:bookmarkEnd w:id="9505"/>
      <w:bookmarkEnd w:id="9506"/>
      <w:bookmarkEnd w:id="9507"/>
    </w:p>
    <w:p w14:paraId="0F1FBC32" w14:textId="77777777" w:rsidR="00064C97" w:rsidRPr="00023123" w:rsidRDefault="00064C97" w:rsidP="00223668">
      <w:pPr>
        <w:pStyle w:val="a0"/>
        <w:rPr>
          <w:rtl/>
        </w:rPr>
      </w:pPr>
      <w:r w:rsidRPr="00B41B80">
        <w:rPr>
          <w:rStyle w:val="af9"/>
          <w:rFonts w:hint="cs"/>
          <w:rtl/>
        </w:rPr>
        <w:t>ובמאירי בסנהדרין</w:t>
      </w:r>
      <w:r>
        <w:rPr>
          <w:rFonts w:hint="cs"/>
          <w:rtl/>
        </w:rPr>
        <w:t xml:space="preserve"> </w:t>
      </w:r>
      <w:r w:rsidRPr="00B41B80">
        <w:rPr>
          <w:rStyle w:val="af7"/>
          <w:rFonts w:eastAsia="Guttman Hodes" w:hint="cs"/>
          <w:rtl/>
        </w:rPr>
        <w:t xml:space="preserve">(עי' אות </w:t>
      </w:r>
      <w:r w:rsidRPr="00B41B80">
        <w:rPr>
          <w:rStyle w:val="af7"/>
          <w:rFonts w:eastAsia="Guttman Hodes"/>
          <w:rtl/>
        </w:rPr>
        <w:fldChar w:fldCharType="begin"/>
      </w:r>
      <w:r w:rsidRPr="00B41B80">
        <w:rPr>
          <w:rStyle w:val="af7"/>
          <w:rFonts w:eastAsia="Guttman Hodes"/>
          <w:rtl/>
        </w:rPr>
        <w:instrText xml:space="preserve"> </w:instrText>
      </w:r>
      <w:r w:rsidRPr="00B41B80">
        <w:rPr>
          <w:rStyle w:val="af7"/>
          <w:rFonts w:eastAsia="Guttman Hodes" w:hint="cs"/>
        </w:rPr>
        <w:instrText>REF</w:instrText>
      </w:r>
      <w:r w:rsidRPr="00B41B80">
        <w:rPr>
          <w:rStyle w:val="af7"/>
          <w:rFonts w:eastAsia="Guttman Hodes" w:hint="cs"/>
          <w:rtl/>
        </w:rPr>
        <w:instrText xml:space="preserve"> _</w:instrText>
      </w:r>
      <w:r w:rsidRPr="00B41B80">
        <w:rPr>
          <w:rStyle w:val="af7"/>
          <w:rFonts w:eastAsia="Guttman Hodes" w:hint="cs"/>
        </w:rPr>
        <w:instrText>Ref530513130 \r \h</w:instrText>
      </w:r>
      <w:r w:rsidRPr="00B41B80">
        <w:rPr>
          <w:rStyle w:val="af7"/>
          <w:rFonts w:eastAsia="Guttman Hodes"/>
          <w:rtl/>
        </w:rPr>
        <w:instrText xml:space="preserve"> </w:instrText>
      </w:r>
      <w:r w:rsidRPr="00B41B80">
        <w:rPr>
          <w:rStyle w:val="af7"/>
          <w:rFonts w:eastAsia="Guttman Hodes"/>
          <w:rtl/>
        </w:rPr>
      </w:r>
      <w:r w:rsidRPr="00B41B80">
        <w:rPr>
          <w:rStyle w:val="af7"/>
          <w:rFonts w:eastAsia="Guttman Hodes"/>
          <w:rtl/>
        </w:rPr>
        <w:fldChar w:fldCharType="separate"/>
      </w:r>
      <w:r w:rsidR="00345400">
        <w:rPr>
          <w:rStyle w:val="af7"/>
          <w:rFonts w:eastAsia="Guttman Hodes"/>
          <w:cs/>
        </w:rPr>
        <w:t>‎</w:t>
      </w:r>
      <w:r w:rsidR="00345400">
        <w:rPr>
          <w:rStyle w:val="af7"/>
          <w:rFonts w:eastAsia="Guttman Hodes"/>
          <w:rtl/>
        </w:rPr>
        <w:t>לג)</w:t>
      </w:r>
      <w:r w:rsidRPr="00B41B80">
        <w:rPr>
          <w:rStyle w:val="af7"/>
          <w:rFonts w:eastAsia="Guttman Hodes"/>
          <w:rtl/>
        </w:rPr>
        <w:fldChar w:fldCharType="end"/>
      </w:r>
      <w:r>
        <w:rPr>
          <w:rFonts w:hint="cs"/>
          <w:rtl/>
        </w:rPr>
        <w:t xml:space="preserve"> כתב להדיא דהא דאזלינן בתר רוב בדיני נפשות, זהו הדין דסוקלין על החזקות.</w:t>
      </w:r>
    </w:p>
    <w:p w14:paraId="4F837925" w14:textId="77777777" w:rsidR="00064C97" w:rsidRDefault="00064C97" w:rsidP="006D6D32">
      <w:pPr>
        <w:pStyle w:val="afe"/>
        <w:rPr>
          <w:rtl/>
        </w:rPr>
      </w:pPr>
      <w:bookmarkStart w:id="9508" w:name="_Toc530502981"/>
      <w:bookmarkStart w:id="9509" w:name="_Toc530504432"/>
      <w:bookmarkStart w:id="9510" w:name="_Toc530514344"/>
      <w:bookmarkStart w:id="9511" w:name="_Toc530514447"/>
      <w:bookmarkStart w:id="9512" w:name="_Toc530521865"/>
      <w:bookmarkStart w:id="9513" w:name="_Toc530524921"/>
      <w:bookmarkStart w:id="9514" w:name="_Toc530551063"/>
      <w:bookmarkStart w:id="9515" w:name="_Toc19435692"/>
      <w:bookmarkStart w:id="9516" w:name="_Toc20080960"/>
      <w:bookmarkStart w:id="9517" w:name="_Toc530395854"/>
      <w:bookmarkStart w:id="9518" w:name="_Toc530411130"/>
      <w:bookmarkStart w:id="9519" w:name="_Toc530395853"/>
      <w:bookmarkStart w:id="9520" w:name="_Toc530411129"/>
      <w:r>
        <w:rPr>
          <w:rFonts w:hint="cs"/>
          <w:rtl/>
        </w:rPr>
        <w:t>ביאורי האחרונים שיש גם רוב וגם חזקה</w:t>
      </w:r>
      <w:bookmarkEnd w:id="9508"/>
      <w:bookmarkEnd w:id="9509"/>
      <w:bookmarkEnd w:id="9510"/>
      <w:bookmarkEnd w:id="9511"/>
      <w:bookmarkEnd w:id="9512"/>
      <w:bookmarkEnd w:id="9513"/>
      <w:bookmarkEnd w:id="9514"/>
      <w:bookmarkEnd w:id="9515"/>
      <w:bookmarkEnd w:id="9516"/>
    </w:p>
    <w:p w14:paraId="01CB5603" w14:textId="77777777" w:rsidR="00064C97" w:rsidRDefault="00064C97" w:rsidP="00BF39B2">
      <w:pPr>
        <w:pStyle w:val="1"/>
        <w:rPr>
          <w:rtl/>
        </w:rPr>
      </w:pPr>
      <w:bookmarkStart w:id="9521" w:name="_Toc530502982"/>
      <w:bookmarkStart w:id="9522" w:name="_Toc530504433"/>
      <w:bookmarkStart w:id="9523" w:name="_Toc530514345"/>
      <w:bookmarkStart w:id="9524" w:name="_Toc530514448"/>
      <w:bookmarkStart w:id="9525" w:name="_Toc530521866"/>
      <w:bookmarkStart w:id="9526" w:name="_Toc530524922"/>
      <w:bookmarkStart w:id="9527" w:name="_Toc530551064"/>
      <w:bookmarkStart w:id="9528" w:name="_Toc19390267"/>
      <w:bookmarkStart w:id="9529" w:name="_Toc19393764"/>
      <w:r>
        <w:rPr>
          <w:rFonts w:hint="cs"/>
          <w:rtl/>
        </w:rPr>
        <w:t>ביאור הבכור שור דבלא רוב אין חזקה ובלא חזקה אין רוב</w:t>
      </w:r>
      <w:bookmarkEnd w:id="9517"/>
      <w:bookmarkEnd w:id="9518"/>
      <w:bookmarkEnd w:id="9521"/>
      <w:bookmarkEnd w:id="9522"/>
      <w:bookmarkEnd w:id="9523"/>
      <w:bookmarkEnd w:id="9524"/>
      <w:bookmarkEnd w:id="9525"/>
      <w:bookmarkEnd w:id="9526"/>
      <w:bookmarkEnd w:id="9527"/>
      <w:bookmarkEnd w:id="9528"/>
      <w:bookmarkEnd w:id="9529"/>
    </w:p>
    <w:p w14:paraId="70AF7532" w14:textId="77777777" w:rsidR="00064C97" w:rsidRDefault="00064C97" w:rsidP="006D6D32">
      <w:pPr>
        <w:pStyle w:val="a3"/>
        <w:rPr>
          <w:rtl/>
        </w:rPr>
      </w:pPr>
      <w:bookmarkStart w:id="9530" w:name="_Toc530514346"/>
      <w:bookmarkStart w:id="9531" w:name="_Toc530514449"/>
      <w:bookmarkStart w:id="9532" w:name="_Toc530521867"/>
      <w:bookmarkStart w:id="9533" w:name="_Toc530524923"/>
      <w:bookmarkStart w:id="9534" w:name="_Toc530551065"/>
      <w:bookmarkStart w:id="9535" w:name="_Toc19390268"/>
      <w:bookmarkStart w:id="9536" w:name="_Toc19393765"/>
      <w:bookmarkStart w:id="9537" w:name="_Toc530504434"/>
      <w:bookmarkStart w:id="9538" w:name="_Toc530502983"/>
      <w:r>
        <w:rPr>
          <w:rFonts w:hint="cs"/>
          <w:rtl/>
        </w:rPr>
        <w:t>דברי הבכור שור דע"י הרוב ידעינן שנולד לאביו וע"י החזקה ידעינן שלא נתחלף</w:t>
      </w:r>
      <w:bookmarkEnd w:id="9530"/>
      <w:bookmarkEnd w:id="9531"/>
      <w:bookmarkEnd w:id="9532"/>
      <w:bookmarkEnd w:id="9533"/>
      <w:bookmarkEnd w:id="9534"/>
      <w:bookmarkEnd w:id="9535"/>
      <w:bookmarkEnd w:id="9536"/>
      <w:r>
        <w:rPr>
          <w:rFonts w:hint="cs"/>
          <w:rtl/>
        </w:rPr>
        <w:t xml:space="preserve"> </w:t>
      </w:r>
      <w:bookmarkEnd w:id="9537"/>
    </w:p>
    <w:bookmarkEnd w:id="9538"/>
    <w:p w14:paraId="163003A4" w14:textId="77777777" w:rsidR="00064C97" w:rsidRDefault="00064C97" w:rsidP="00223668">
      <w:pPr>
        <w:pStyle w:val="a0"/>
        <w:rPr>
          <w:rtl/>
        </w:rPr>
      </w:pPr>
      <w:r>
        <w:rPr>
          <w:rFonts w:hint="cs"/>
          <w:rtl/>
        </w:rPr>
        <w:t xml:space="preserve">וציין </w:t>
      </w:r>
      <w:r w:rsidRPr="00C17363">
        <w:rPr>
          <w:rStyle w:val="af9"/>
          <w:rFonts w:hint="cs"/>
          <w:rtl/>
        </w:rPr>
        <w:t>הגרעק"א ב</w:t>
      </w:r>
      <w:r>
        <w:rPr>
          <w:rStyle w:val="af9"/>
          <w:rFonts w:hint="cs"/>
          <w:rtl/>
        </w:rPr>
        <w:t>ג</w:t>
      </w:r>
      <w:r w:rsidRPr="00C17363">
        <w:rPr>
          <w:rStyle w:val="af9"/>
          <w:rFonts w:hint="cs"/>
          <w:rtl/>
        </w:rPr>
        <w:t>להש"ס</w:t>
      </w:r>
      <w:r>
        <w:rPr>
          <w:rFonts w:hint="cs"/>
          <w:rtl/>
        </w:rPr>
        <w:t xml:space="preserve"> לדברי </w:t>
      </w:r>
      <w:r w:rsidRPr="00C17363">
        <w:rPr>
          <w:rStyle w:val="af9"/>
          <w:rFonts w:hint="cs"/>
          <w:rtl/>
        </w:rPr>
        <w:t>הבכור שור בקידושין</w:t>
      </w:r>
      <w:r>
        <w:rPr>
          <w:rFonts w:hint="cs"/>
          <w:rtl/>
        </w:rPr>
        <w:t xml:space="preserve"> </w:t>
      </w:r>
      <w:r w:rsidRPr="004122A2">
        <w:rPr>
          <w:rStyle w:val="af7"/>
          <w:rFonts w:eastAsia="Guttman Hodes" w:hint="cs"/>
          <w:rtl/>
        </w:rPr>
        <w:t xml:space="preserve">(פ. ד"ה מלקין, </w:t>
      </w:r>
      <w:r w:rsidRPr="004122A2">
        <w:rPr>
          <w:rStyle w:val="af7"/>
          <w:rFonts w:eastAsia="Guttman Hodes"/>
          <w:rtl/>
        </w:rPr>
        <w:t>נד' בסוף ספר תבואות שור</w:t>
      </w:r>
      <w:r w:rsidRPr="004122A2">
        <w:rPr>
          <w:rStyle w:val="af7"/>
          <w:rFonts w:eastAsia="Guttman Hodes" w:hint="cs"/>
          <w:rtl/>
        </w:rPr>
        <w:t xml:space="preserve">) </w:t>
      </w:r>
      <w:r>
        <w:rPr>
          <w:rFonts w:hint="cs"/>
          <w:rtl/>
        </w:rPr>
        <w:t xml:space="preserve">דתירץ דבכדי שלא נחשוש שאינו אביו, צריך גם את דין רוב וגם את דין חזקה, וכתב </w:t>
      </w:r>
      <w:r w:rsidRPr="00C17363">
        <w:rPr>
          <w:rStyle w:val="af9"/>
          <w:rFonts w:hint="cs"/>
          <w:rtl/>
        </w:rPr>
        <w:t xml:space="preserve">הבכור שור </w:t>
      </w:r>
      <w:r>
        <w:rPr>
          <w:rFonts w:hint="cs"/>
          <w:rtl/>
        </w:rPr>
        <w:t xml:space="preserve">דהא דאיתא בסוגיין דממכה אביו ילפינן דאזלינן בתר רובא, אינו סותר </w:t>
      </w:r>
      <w:r w:rsidRPr="005C71AD">
        <w:rPr>
          <w:rFonts w:hint="cs"/>
          <w:rtl/>
        </w:rPr>
        <w:t xml:space="preserve">להא דפסק </w:t>
      </w:r>
      <w:r w:rsidRPr="005C71AD">
        <w:rPr>
          <w:rStyle w:val="af9"/>
          <w:rFonts w:hint="cs"/>
          <w:rtl/>
        </w:rPr>
        <w:t>הרמב"ם</w:t>
      </w:r>
      <w:r w:rsidRPr="005C71AD">
        <w:rPr>
          <w:rFonts w:hint="cs"/>
          <w:rtl/>
        </w:rPr>
        <w:t xml:space="preserve"> את הירושלמי</w:t>
      </w:r>
      <w:r w:rsidRPr="00AC7444">
        <w:rPr>
          <w:rFonts w:hint="cs"/>
          <w:rtl/>
        </w:rPr>
        <w:t xml:space="preserve"> </w:t>
      </w:r>
      <w:r>
        <w:rPr>
          <w:rFonts w:hint="cs"/>
          <w:rtl/>
        </w:rPr>
        <w:t xml:space="preserve">בקידושין </w:t>
      </w:r>
      <w:r w:rsidRPr="004122A2">
        <w:rPr>
          <w:rStyle w:val="af7"/>
          <w:rFonts w:eastAsia="Guttman Hodes" w:hint="cs"/>
          <w:rtl/>
        </w:rPr>
        <w:t>(פ"ד ה"י דף מז.)</w:t>
      </w:r>
      <w:r w:rsidRPr="00AC7444">
        <w:rPr>
          <w:rFonts w:hint="cs"/>
          <w:rtl/>
        </w:rPr>
        <w:t xml:space="preserve"> דממכה אביו ילפינן דאזלינן בתר חזקה, מדין סוקלין על החזקות,</w:t>
      </w:r>
      <w:r>
        <w:rPr>
          <w:rFonts w:hint="cs"/>
          <w:rtl/>
        </w:rPr>
        <w:t xml:space="preserve"> דהא אף שראינו שהאב נהג עמו כבנו, מ"מ יתכן שהאב טועה שהוא בנו דאינו יודע שאשתו זינתה, אלא ודאי דלא חיישינן שאינו אביו כיון שרוב בעילות אחר הבעל. וכתב </w:t>
      </w:r>
      <w:r w:rsidRPr="00926A26">
        <w:rPr>
          <w:rStyle w:val="af9"/>
          <w:rFonts w:hint="cs"/>
          <w:rtl/>
        </w:rPr>
        <w:t>הבכור שור</w:t>
      </w:r>
      <w:r>
        <w:rPr>
          <w:rStyle w:val="af9"/>
          <w:rFonts w:hint="cs"/>
          <w:rtl/>
        </w:rPr>
        <w:t xml:space="preserve"> בקידושין</w:t>
      </w:r>
      <w:r>
        <w:rPr>
          <w:rFonts w:hint="cs"/>
          <w:rtl/>
        </w:rPr>
        <w:t xml:space="preserve"> דאף בדין רוב לא סגי, דהא יתכן שהוחלף הילד באחר, אלא דסמכינן על מה שהוחזק לאמו שלא הוחלף</w:t>
      </w:r>
      <w:r>
        <w:rPr>
          <w:rStyle w:val="af1"/>
          <w:rtl/>
        </w:rPr>
        <w:footnoteReference w:id="69"/>
      </w:r>
      <w:r>
        <w:rPr>
          <w:rFonts w:hint="cs"/>
          <w:rtl/>
        </w:rPr>
        <w:t>.</w:t>
      </w:r>
    </w:p>
    <w:p w14:paraId="4B087A87" w14:textId="77777777" w:rsidR="00064C97" w:rsidRDefault="00064C97" w:rsidP="006D6D32">
      <w:pPr>
        <w:pStyle w:val="a3"/>
        <w:rPr>
          <w:rtl/>
        </w:rPr>
      </w:pPr>
      <w:bookmarkStart w:id="9539" w:name="_Toc530395855"/>
      <w:bookmarkStart w:id="9540" w:name="_Toc530411131"/>
      <w:bookmarkStart w:id="9541" w:name="_Toc530502985"/>
      <w:bookmarkStart w:id="9542" w:name="_Toc530514347"/>
      <w:bookmarkStart w:id="9543" w:name="_Toc530514450"/>
      <w:bookmarkStart w:id="9544" w:name="_Toc530521868"/>
      <w:bookmarkStart w:id="9545" w:name="_Toc530524924"/>
      <w:bookmarkStart w:id="9546" w:name="_Toc530551066"/>
      <w:bookmarkStart w:id="9547" w:name="_Toc19390269"/>
      <w:bookmarkStart w:id="9548" w:name="_Toc19393766"/>
      <w:bookmarkStart w:id="9549" w:name="_Toc530504435"/>
      <w:r w:rsidRPr="00983F2C">
        <w:rPr>
          <w:rFonts w:hint="cs"/>
          <w:rtl/>
        </w:rPr>
        <w:t>ביאור הדברי יחזקאל</w:t>
      </w:r>
      <w:bookmarkEnd w:id="9539"/>
      <w:bookmarkEnd w:id="9540"/>
      <w:r>
        <w:rPr>
          <w:rFonts w:hint="cs"/>
          <w:rtl/>
        </w:rPr>
        <w:t xml:space="preserve"> דכוונת הרמב"ם והירושלמי לחזקה מכח ראיה כאנן סהדי וצריך גם רוב</w:t>
      </w:r>
      <w:bookmarkEnd w:id="9541"/>
      <w:bookmarkEnd w:id="9542"/>
      <w:bookmarkEnd w:id="9543"/>
      <w:bookmarkEnd w:id="9544"/>
      <w:bookmarkEnd w:id="9545"/>
      <w:bookmarkEnd w:id="9546"/>
      <w:bookmarkEnd w:id="9547"/>
      <w:bookmarkEnd w:id="9548"/>
      <w:r>
        <w:rPr>
          <w:rFonts w:hint="cs"/>
          <w:rtl/>
        </w:rPr>
        <w:t xml:space="preserve"> </w:t>
      </w:r>
      <w:bookmarkEnd w:id="9549"/>
    </w:p>
    <w:p w14:paraId="1F515F9E" w14:textId="77777777" w:rsidR="00064C97" w:rsidRDefault="00064C97" w:rsidP="00223668">
      <w:pPr>
        <w:pStyle w:val="a0"/>
        <w:rPr>
          <w:rtl/>
        </w:rPr>
      </w:pPr>
      <w:r>
        <w:rPr>
          <w:rFonts w:hint="cs"/>
          <w:rtl/>
        </w:rPr>
        <w:t xml:space="preserve">וכן תירץ </w:t>
      </w:r>
      <w:r w:rsidRPr="00016816">
        <w:rPr>
          <w:rStyle w:val="af9"/>
          <w:rFonts w:hint="cs"/>
          <w:rtl/>
        </w:rPr>
        <w:t>בדברי יחזקאל</w:t>
      </w:r>
      <w:r>
        <w:rPr>
          <w:rFonts w:hint="cs"/>
          <w:rtl/>
        </w:rPr>
        <w:t xml:space="preserve"> </w:t>
      </w:r>
      <w:r w:rsidRPr="000063EE">
        <w:rPr>
          <w:rStyle w:val="af7"/>
          <w:rFonts w:eastAsia="Guttman Hodes" w:hint="cs"/>
          <w:rtl/>
        </w:rPr>
        <w:t>(סי' כ"א א' בהגה"ה)</w:t>
      </w:r>
      <w:r>
        <w:rPr>
          <w:rFonts w:hint="cs"/>
          <w:rtl/>
        </w:rPr>
        <w:t xml:space="preserve"> דהא דאיתא בירושלמי בקידושין </w:t>
      </w:r>
      <w:r w:rsidRPr="00AC7444">
        <w:rPr>
          <w:rStyle w:val="af7"/>
          <w:rFonts w:eastAsia="Guttman Hodes" w:hint="cs"/>
          <w:rtl/>
        </w:rPr>
        <w:t>(פ"ד ה"י דף מז.)</w:t>
      </w:r>
      <w:r w:rsidRPr="00AC7444">
        <w:rPr>
          <w:rFonts w:hint="cs"/>
          <w:rtl/>
        </w:rPr>
        <w:t xml:space="preserve"> </w:t>
      </w:r>
      <w:r w:rsidRPr="00016816">
        <w:rPr>
          <w:rStyle w:val="af9"/>
          <w:rFonts w:hint="cs"/>
          <w:rtl/>
        </w:rPr>
        <w:t>וברמב"ם</w:t>
      </w:r>
      <w:r>
        <w:rPr>
          <w:rFonts w:hint="cs"/>
          <w:rtl/>
        </w:rPr>
        <w:t xml:space="preserve"> </w:t>
      </w:r>
      <w:r w:rsidRPr="000063EE">
        <w:rPr>
          <w:rStyle w:val="af7"/>
          <w:rFonts w:eastAsia="Guttman Hodes" w:hint="cs"/>
          <w:rtl/>
        </w:rPr>
        <w:t xml:space="preserve">(עי' אות </w:t>
      </w:r>
      <w:r w:rsidRPr="000063EE">
        <w:rPr>
          <w:rStyle w:val="af7"/>
          <w:rFonts w:eastAsia="Guttman Hodes"/>
          <w:rtl/>
        </w:rPr>
        <w:fldChar w:fldCharType="begin"/>
      </w:r>
      <w:r w:rsidRPr="000063EE">
        <w:rPr>
          <w:rStyle w:val="af7"/>
          <w:rFonts w:eastAsia="Guttman Hodes"/>
          <w:rtl/>
        </w:rPr>
        <w:instrText xml:space="preserve"> </w:instrText>
      </w:r>
      <w:r w:rsidRPr="000063EE">
        <w:rPr>
          <w:rStyle w:val="af7"/>
          <w:rFonts w:eastAsia="Guttman Hodes" w:hint="cs"/>
        </w:rPr>
        <w:instrText>REF</w:instrText>
      </w:r>
      <w:r w:rsidRPr="000063EE">
        <w:rPr>
          <w:rStyle w:val="af7"/>
          <w:rFonts w:eastAsia="Guttman Hodes" w:hint="cs"/>
          <w:rtl/>
        </w:rPr>
        <w:instrText xml:space="preserve"> _</w:instrText>
      </w:r>
      <w:r w:rsidRPr="000063EE">
        <w:rPr>
          <w:rStyle w:val="af7"/>
          <w:rFonts w:eastAsia="Guttman Hodes" w:hint="cs"/>
        </w:rPr>
        <w:instrText>Ref529872696 \r \h</w:instrText>
      </w:r>
      <w:r w:rsidRPr="000063EE">
        <w:rPr>
          <w:rStyle w:val="af7"/>
          <w:rFonts w:eastAsia="Guttman Hodes"/>
          <w:rtl/>
        </w:rPr>
        <w:instrText xml:space="preserve"> </w:instrText>
      </w:r>
      <w:r w:rsidRPr="000063EE">
        <w:rPr>
          <w:rStyle w:val="af7"/>
          <w:rFonts w:eastAsia="Guttman Hodes"/>
          <w:rtl/>
        </w:rPr>
      </w:r>
      <w:r w:rsidRPr="000063EE">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0063EE">
        <w:rPr>
          <w:rStyle w:val="af7"/>
          <w:rFonts w:eastAsia="Guttman Hodes"/>
          <w:rtl/>
        </w:rPr>
        <w:fldChar w:fldCharType="end"/>
      </w:r>
      <w:r>
        <w:rPr>
          <w:rFonts w:hint="cs"/>
          <w:rtl/>
        </w:rPr>
        <w:t xml:space="preserve"> דמכה אביו חזקה, היינו חזקה מכח ראיה ודמי לאנן סהדי, והנדון בגמ' לעיל </w:t>
      </w:r>
      <w:r w:rsidRPr="00B834C6">
        <w:rPr>
          <w:rStyle w:val="af7"/>
          <w:rFonts w:eastAsia="Guttman Hodes" w:hint="cs"/>
          <w:rtl/>
        </w:rPr>
        <w:t>(י:)</w:t>
      </w:r>
      <w:r>
        <w:rPr>
          <w:rFonts w:hint="cs"/>
          <w:rtl/>
        </w:rPr>
        <w:t xml:space="preserve"> הוא בדין חזקה דמעיקרא, והנדון בסוגיין הוא בדין רוב, ולא בדין חזקה דאנן סהדי, וביאר </w:t>
      </w:r>
      <w:r w:rsidRPr="00016816">
        <w:rPr>
          <w:rStyle w:val="af9"/>
          <w:rFonts w:hint="cs"/>
          <w:rtl/>
        </w:rPr>
        <w:t>הדברי יחזקאל</w:t>
      </w:r>
      <w:r>
        <w:rPr>
          <w:rFonts w:hint="cs"/>
          <w:rtl/>
        </w:rPr>
        <w:t xml:space="preserve"> דבמכה אביו לא סגי בחזקה בלא רוב, דאי לא אזלינן בתר רובא, עדיין יש ספק שמא אינו בנו, דהא יתכן שמשעה שנולד לא היה בנו </w:t>
      </w:r>
      <w:r w:rsidRPr="000063EE">
        <w:rPr>
          <w:rStyle w:val="afb"/>
          <w:rFonts w:hint="cs"/>
          <w:rtl/>
        </w:rPr>
        <w:t>[דזינתה אמו]</w:t>
      </w:r>
      <w:r>
        <w:rPr>
          <w:rFonts w:hint="cs"/>
          <w:rtl/>
        </w:rPr>
        <w:t>, אלא דע"י רוב בעילות אחר הבעל, אמרינן שנולד לאביו מאשתו, וכשגדל עדיין יש ספק שמא בנו שנולד אזל לעלמא והבן שכרוך אביו אחריו הוא אחר, וע"י דין חזקה אמרינן שכל שהוא כרוך אחריו, מוחזק לן שהוא בנו.</w:t>
      </w:r>
    </w:p>
    <w:p w14:paraId="0FCDEA52" w14:textId="77777777" w:rsidR="00064C97" w:rsidRDefault="00064C97" w:rsidP="006D6D32">
      <w:pPr>
        <w:pStyle w:val="a3"/>
        <w:rPr>
          <w:rtl/>
        </w:rPr>
      </w:pPr>
      <w:bookmarkStart w:id="9550" w:name="_Toc530502986"/>
      <w:bookmarkStart w:id="9551" w:name="_Toc530504436"/>
      <w:bookmarkStart w:id="9552" w:name="_Toc530514348"/>
      <w:bookmarkStart w:id="9553" w:name="_Toc530514451"/>
      <w:bookmarkStart w:id="9554" w:name="_Toc530521869"/>
      <w:bookmarkStart w:id="9555" w:name="_Toc530524925"/>
      <w:bookmarkStart w:id="9556" w:name="_Toc530551067"/>
      <w:bookmarkStart w:id="9557" w:name="_Toc19390270"/>
      <w:bookmarkStart w:id="9558" w:name="_Toc19393767"/>
      <w:bookmarkStart w:id="9559" w:name="_Toc530395856"/>
      <w:bookmarkStart w:id="9560" w:name="_Toc530411132"/>
      <w:r>
        <w:rPr>
          <w:rFonts w:hint="cs"/>
          <w:rtl/>
        </w:rPr>
        <w:t>דחיית החוט המשולש דאי החזקה היא לומר שלא נתחלף צריך ללמוד ממכה אמו ולא מכה אביו</w:t>
      </w:r>
      <w:bookmarkEnd w:id="9550"/>
      <w:bookmarkEnd w:id="9551"/>
      <w:bookmarkEnd w:id="9552"/>
      <w:bookmarkEnd w:id="9553"/>
      <w:bookmarkEnd w:id="9554"/>
      <w:bookmarkEnd w:id="9555"/>
      <w:bookmarkEnd w:id="9556"/>
      <w:bookmarkEnd w:id="9557"/>
      <w:bookmarkEnd w:id="9558"/>
    </w:p>
    <w:p w14:paraId="69A30EEC" w14:textId="77777777" w:rsidR="00064C97" w:rsidRDefault="00064C97" w:rsidP="00223668">
      <w:pPr>
        <w:pStyle w:val="a0"/>
        <w:rPr>
          <w:rtl/>
        </w:rPr>
      </w:pPr>
      <w:r w:rsidRPr="003D6337">
        <w:rPr>
          <w:rFonts w:hint="cs"/>
          <w:rtl/>
        </w:rPr>
        <w:t xml:space="preserve">אבל </w:t>
      </w:r>
      <w:r w:rsidRPr="00E62944">
        <w:rPr>
          <w:rStyle w:val="af9"/>
          <w:rFonts w:hint="cs"/>
          <w:rtl/>
        </w:rPr>
        <w:t>הגר"ח מוולאזין בחוט המשולש</w:t>
      </w:r>
      <w:r>
        <w:rPr>
          <w:rFonts w:hint="cs"/>
          <w:rtl/>
        </w:rPr>
        <w:t xml:space="preserve"> </w:t>
      </w:r>
      <w:r w:rsidRPr="003C672D">
        <w:rPr>
          <w:rStyle w:val="af7"/>
          <w:rFonts w:eastAsia="Guttman Hodes" w:hint="cs"/>
          <w:rtl/>
        </w:rPr>
        <w:t>(ח"א סי' ד"ה ולכאו')</w:t>
      </w:r>
      <w:r>
        <w:rPr>
          <w:rFonts w:hint="cs"/>
          <w:rtl/>
        </w:rPr>
        <w:t xml:space="preserve"> כתב דא"א לומר דבסוקלין על החזקות, צריך את דין רוב בכדי לומר שהוא נולד לאביו ע"י רוב בעילות אחר הבעל, ואת דין חזקה בכדי לומר שאותו התינוק שנולד הוא הבן שהכה בגדלותו, דא"כ היה לירושלמי </w:t>
      </w:r>
      <w:r w:rsidRPr="00E62944">
        <w:rPr>
          <w:rStyle w:val="af9"/>
          <w:rFonts w:hint="cs"/>
          <w:rtl/>
        </w:rPr>
        <w:t>ולרמב"ם</w:t>
      </w:r>
      <w:r>
        <w:rPr>
          <w:rFonts w:hint="cs"/>
          <w:rtl/>
        </w:rPr>
        <w:t xml:space="preserve"> ללמוד את דין חזקה, ממכה אמו ולא ממכה אביו.</w:t>
      </w:r>
    </w:p>
    <w:p w14:paraId="2F806A59" w14:textId="77777777" w:rsidR="00064C97" w:rsidRDefault="00064C97" w:rsidP="006D6D32">
      <w:pPr>
        <w:pStyle w:val="afe"/>
        <w:rPr>
          <w:rtl/>
        </w:rPr>
      </w:pPr>
      <w:bookmarkStart w:id="9561" w:name="_Toc530502988"/>
      <w:bookmarkStart w:id="9562" w:name="_Toc530504437"/>
      <w:bookmarkStart w:id="9563" w:name="_Toc530514349"/>
      <w:bookmarkStart w:id="9564" w:name="_Toc530514452"/>
      <w:bookmarkStart w:id="9565" w:name="_Toc530521870"/>
      <w:bookmarkStart w:id="9566" w:name="_Toc530524926"/>
      <w:bookmarkStart w:id="9567" w:name="_Toc530551068"/>
      <w:bookmarkStart w:id="9568" w:name="_Toc19435693"/>
      <w:bookmarkStart w:id="9569" w:name="_Toc20080961"/>
      <w:r>
        <w:rPr>
          <w:rFonts w:hint="cs"/>
          <w:rtl/>
        </w:rPr>
        <w:t>ביאורי האחרונים דהוא חזקה מכח רוב</w:t>
      </w:r>
      <w:bookmarkEnd w:id="9561"/>
      <w:bookmarkEnd w:id="9562"/>
      <w:bookmarkEnd w:id="9563"/>
      <w:bookmarkEnd w:id="9564"/>
      <w:bookmarkEnd w:id="9565"/>
      <w:bookmarkEnd w:id="9566"/>
      <w:bookmarkEnd w:id="9567"/>
      <w:bookmarkEnd w:id="9568"/>
      <w:bookmarkEnd w:id="9569"/>
    </w:p>
    <w:p w14:paraId="6C7CA069" w14:textId="77777777" w:rsidR="00064C97" w:rsidRDefault="00064C97" w:rsidP="00BF39B2">
      <w:pPr>
        <w:pStyle w:val="1"/>
        <w:rPr>
          <w:rtl/>
        </w:rPr>
      </w:pPr>
      <w:bookmarkStart w:id="9570" w:name="_Toc530502989"/>
      <w:bookmarkStart w:id="9571" w:name="_Toc530504438"/>
      <w:bookmarkStart w:id="9572" w:name="_Toc530514350"/>
      <w:bookmarkStart w:id="9573" w:name="_Toc530514453"/>
      <w:bookmarkStart w:id="9574" w:name="_Toc530521871"/>
      <w:bookmarkStart w:id="9575" w:name="_Toc530524927"/>
      <w:bookmarkStart w:id="9576" w:name="_Toc530551069"/>
      <w:bookmarkStart w:id="9577" w:name="_Toc19390271"/>
      <w:bookmarkStart w:id="9578" w:name="_Toc19393768"/>
      <w:r>
        <w:rPr>
          <w:rFonts w:hint="cs"/>
          <w:rtl/>
        </w:rPr>
        <w:t>ביאור הגר"ח מוולוז'ין דהרוב הוא ע"י שיש חזקה</w:t>
      </w:r>
      <w:bookmarkEnd w:id="9559"/>
      <w:bookmarkEnd w:id="9560"/>
      <w:bookmarkEnd w:id="9570"/>
      <w:bookmarkEnd w:id="9571"/>
      <w:bookmarkEnd w:id="9572"/>
      <w:bookmarkEnd w:id="9573"/>
      <w:bookmarkEnd w:id="9574"/>
      <w:bookmarkEnd w:id="9575"/>
      <w:bookmarkEnd w:id="9576"/>
      <w:bookmarkEnd w:id="9577"/>
      <w:bookmarkEnd w:id="9578"/>
    </w:p>
    <w:p w14:paraId="0422D24F" w14:textId="77777777" w:rsidR="00064C97" w:rsidRDefault="00064C97" w:rsidP="006D6D32">
      <w:pPr>
        <w:pStyle w:val="a3"/>
        <w:rPr>
          <w:rtl/>
        </w:rPr>
      </w:pPr>
      <w:bookmarkStart w:id="9579" w:name="_Toc530502990"/>
      <w:bookmarkStart w:id="9580" w:name="_Toc530504439"/>
      <w:bookmarkStart w:id="9581" w:name="_Toc530514351"/>
      <w:bookmarkStart w:id="9582" w:name="_Toc530514454"/>
      <w:bookmarkStart w:id="9583" w:name="_Toc530521872"/>
      <w:bookmarkStart w:id="9584" w:name="_Toc530524928"/>
      <w:bookmarkStart w:id="9585" w:name="_Toc530551070"/>
      <w:bookmarkStart w:id="9586" w:name="_Toc19390272"/>
      <w:bookmarkStart w:id="9587" w:name="_Toc19393769"/>
      <w:r>
        <w:rPr>
          <w:rFonts w:hint="cs"/>
          <w:rtl/>
        </w:rPr>
        <w:t>ביאור החוט המשולש דהרוב עצמו נקרא חזקה כשהיא באה מכח הרוב</w:t>
      </w:r>
      <w:bookmarkEnd w:id="9579"/>
      <w:bookmarkEnd w:id="9580"/>
      <w:bookmarkEnd w:id="9581"/>
      <w:bookmarkEnd w:id="9582"/>
      <w:bookmarkEnd w:id="9583"/>
      <w:bookmarkEnd w:id="9584"/>
      <w:bookmarkEnd w:id="9585"/>
      <w:bookmarkEnd w:id="9586"/>
      <w:bookmarkEnd w:id="9587"/>
    </w:p>
    <w:p w14:paraId="46EAE569" w14:textId="77777777" w:rsidR="00064C97" w:rsidRDefault="00064C97" w:rsidP="00223668">
      <w:pPr>
        <w:pStyle w:val="a0"/>
        <w:rPr>
          <w:rtl/>
        </w:rPr>
      </w:pPr>
      <w:r>
        <w:rPr>
          <w:rFonts w:hint="cs"/>
          <w:rtl/>
        </w:rPr>
        <w:t xml:space="preserve">אלא ביאר </w:t>
      </w:r>
      <w:r w:rsidRPr="00E62944">
        <w:rPr>
          <w:rStyle w:val="af9"/>
          <w:rFonts w:hint="cs"/>
          <w:rtl/>
        </w:rPr>
        <w:t>הגר"ח מוולאזין בחוט המשולש</w:t>
      </w:r>
      <w:r>
        <w:rPr>
          <w:rFonts w:hint="cs"/>
          <w:rtl/>
        </w:rPr>
        <w:t xml:space="preserve"> </w:t>
      </w:r>
      <w:r w:rsidRPr="003C672D">
        <w:rPr>
          <w:rStyle w:val="af7"/>
          <w:rFonts w:eastAsia="Guttman Hodes" w:hint="cs"/>
          <w:rtl/>
        </w:rPr>
        <w:t>(ח"א סי' ד"ה ולכאו')</w:t>
      </w:r>
      <w:r>
        <w:rPr>
          <w:rFonts w:hint="cs"/>
          <w:rtl/>
        </w:rPr>
        <w:t xml:space="preserve"> דאף הרוב דרוב בעילות אחר הבעל הוא ע"י חזקה, כיון שאין ע"ז עדים, , וביאר </w:t>
      </w:r>
      <w:r w:rsidRPr="00E62944">
        <w:rPr>
          <w:rStyle w:val="af9"/>
          <w:rFonts w:hint="cs"/>
          <w:rtl/>
        </w:rPr>
        <w:t>הגר"ח מוולאזין בחוט המשולש</w:t>
      </w:r>
      <w:r>
        <w:rPr>
          <w:rFonts w:hint="cs"/>
          <w:rtl/>
        </w:rPr>
        <w:t xml:space="preserve"> דאין כוונת הירושלמי להוסיף טעם על הבבלי ולומר שיש גם חזקה, אלא דהרוב עצמו קרינן ליה חזקה, דמחזקינן ליה באביו ע"י רוב בעילות, וכוונת הירושלמי לומר שהוא חזקה מכח רוב, עיי"ש שהאריך להביא ראיות דכן קרינן בגמ' לרוב חזקה</w:t>
      </w:r>
      <w:r>
        <w:rPr>
          <w:rStyle w:val="af1"/>
          <w:rtl/>
        </w:rPr>
        <w:footnoteReference w:id="70"/>
      </w:r>
      <w:r>
        <w:rPr>
          <w:rFonts w:hint="cs"/>
          <w:rtl/>
        </w:rPr>
        <w:t xml:space="preserve">,  וכעי"ז תירצו </w:t>
      </w:r>
      <w:r w:rsidRPr="00C8424C">
        <w:rPr>
          <w:rStyle w:val="af9"/>
          <w:rFonts w:hint="cs"/>
          <w:rtl/>
        </w:rPr>
        <w:t>החת"ס</w:t>
      </w:r>
      <w:r>
        <w:rPr>
          <w:rFonts w:hint="cs"/>
          <w:rtl/>
        </w:rPr>
        <w:t xml:space="preserve"> </w:t>
      </w:r>
      <w:r w:rsidRPr="00C8424C">
        <w:rPr>
          <w:rStyle w:val="af7"/>
          <w:rFonts w:eastAsia="Guttman Hodes" w:hint="cs"/>
          <w:rtl/>
        </w:rPr>
        <w:t xml:space="preserve">(עי' אות </w:t>
      </w:r>
      <w:r w:rsidRPr="00C8424C">
        <w:rPr>
          <w:rStyle w:val="af7"/>
          <w:rFonts w:eastAsia="Guttman Hodes"/>
          <w:rtl/>
        </w:rPr>
        <w:fldChar w:fldCharType="begin"/>
      </w:r>
      <w:r w:rsidRPr="00C8424C">
        <w:rPr>
          <w:rStyle w:val="af7"/>
          <w:rFonts w:eastAsia="Guttman Hodes"/>
          <w:rtl/>
        </w:rPr>
        <w:instrText xml:space="preserve"> </w:instrText>
      </w:r>
      <w:r w:rsidRPr="00C8424C">
        <w:rPr>
          <w:rStyle w:val="af7"/>
          <w:rFonts w:eastAsia="Guttman Hodes" w:hint="cs"/>
        </w:rPr>
        <w:instrText>REF</w:instrText>
      </w:r>
      <w:r w:rsidRPr="00C8424C">
        <w:rPr>
          <w:rStyle w:val="af7"/>
          <w:rFonts w:eastAsia="Guttman Hodes" w:hint="cs"/>
          <w:rtl/>
        </w:rPr>
        <w:instrText xml:space="preserve"> _</w:instrText>
      </w:r>
      <w:r w:rsidRPr="00C8424C">
        <w:rPr>
          <w:rStyle w:val="af7"/>
          <w:rFonts w:eastAsia="Guttman Hodes" w:hint="cs"/>
        </w:rPr>
        <w:instrText>Ref530512541 \r \h</w:instrText>
      </w:r>
      <w:r w:rsidRPr="00C8424C">
        <w:rPr>
          <w:rStyle w:val="af7"/>
          <w:rFonts w:eastAsia="Guttman Hodes"/>
          <w:rtl/>
        </w:rPr>
        <w:instrText xml:space="preserve"> </w:instrText>
      </w:r>
      <w:r w:rsidRPr="00C8424C">
        <w:rPr>
          <w:rStyle w:val="af7"/>
          <w:rFonts w:eastAsia="Guttman Hodes"/>
          <w:rtl/>
        </w:rPr>
      </w:r>
      <w:r w:rsidRPr="00C8424C">
        <w:rPr>
          <w:rStyle w:val="af7"/>
          <w:rFonts w:eastAsia="Guttman Hodes"/>
          <w:rtl/>
        </w:rPr>
        <w:fldChar w:fldCharType="separate"/>
      </w:r>
      <w:r w:rsidR="00345400">
        <w:rPr>
          <w:rStyle w:val="af7"/>
          <w:rFonts w:eastAsia="Guttman Hodes"/>
          <w:cs/>
        </w:rPr>
        <w:t>‎</w:t>
      </w:r>
      <w:r w:rsidR="00345400">
        <w:rPr>
          <w:rStyle w:val="af7"/>
          <w:rFonts w:eastAsia="Guttman Hodes"/>
          <w:rtl/>
        </w:rPr>
        <w:t>טו)</w:t>
      </w:r>
      <w:r w:rsidRPr="00C8424C">
        <w:rPr>
          <w:rStyle w:val="af7"/>
          <w:rFonts w:eastAsia="Guttman Hodes"/>
          <w:rtl/>
        </w:rPr>
        <w:fldChar w:fldCharType="end"/>
      </w:r>
      <w:r>
        <w:rPr>
          <w:rStyle w:val="af9"/>
          <w:rFonts w:hint="cs"/>
          <w:rtl/>
        </w:rPr>
        <w:t xml:space="preserve"> </w:t>
      </w:r>
      <w:r w:rsidRPr="00C8424C">
        <w:rPr>
          <w:rStyle w:val="af9"/>
          <w:rFonts w:hint="cs"/>
          <w:rtl/>
        </w:rPr>
        <w:t>והסדרי טהרה</w:t>
      </w:r>
      <w:r>
        <w:rPr>
          <w:rFonts w:hint="cs"/>
          <w:rtl/>
        </w:rPr>
        <w:t xml:space="preserve"> </w:t>
      </w:r>
      <w:r w:rsidRPr="00FC2259">
        <w:rPr>
          <w:rStyle w:val="af7"/>
          <w:rFonts w:eastAsia="Guttman Hodes" w:hint="cs"/>
          <w:rtl/>
        </w:rPr>
        <w:t>(קפ"ה סק"א)</w:t>
      </w:r>
      <w:r>
        <w:rPr>
          <w:rFonts w:hint="cs"/>
          <w:rtl/>
        </w:rPr>
        <w:t>,</w:t>
      </w:r>
      <w:r w:rsidRPr="00FC2259">
        <w:rPr>
          <w:rFonts w:hint="cs"/>
          <w:rtl/>
        </w:rPr>
        <w:t xml:space="preserve"> </w:t>
      </w:r>
      <w:r>
        <w:rPr>
          <w:rFonts w:hint="cs"/>
          <w:rtl/>
        </w:rPr>
        <w:t xml:space="preserve">וע"ע במ"ש </w:t>
      </w:r>
      <w:r w:rsidRPr="00D263CA">
        <w:rPr>
          <w:rStyle w:val="af9"/>
          <w:rFonts w:hint="cs"/>
          <w:rtl/>
        </w:rPr>
        <w:t>ב</w:t>
      </w:r>
      <w:r w:rsidRPr="00D263CA">
        <w:rPr>
          <w:rStyle w:val="af9"/>
          <w:rtl/>
        </w:rPr>
        <w:t>פרי יצחק</w:t>
      </w:r>
      <w:r>
        <w:rPr>
          <w:rtl/>
        </w:rPr>
        <w:t xml:space="preserve"> </w:t>
      </w:r>
      <w:r w:rsidRPr="00D263CA">
        <w:rPr>
          <w:rStyle w:val="af7"/>
          <w:rFonts w:eastAsia="Guttman Hodes" w:hint="cs"/>
          <w:rtl/>
        </w:rPr>
        <w:t>(</w:t>
      </w:r>
      <w:r w:rsidRPr="00D263CA">
        <w:rPr>
          <w:rStyle w:val="af7"/>
          <w:rFonts w:eastAsia="Guttman Hodes"/>
          <w:rtl/>
        </w:rPr>
        <w:t>ח</w:t>
      </w:r>
      <w:r w:rsidRPr="00D263CA">
        <w:rPr>
          <w:rStyle w:val="af7"/>
          <w:rFonts w:eastAsia="Guttman Hodes" w:hint="cs"/>
          <w:rtl/>
        </w:rPr>
        <w:t>"</w:t>
      </w:r>
      <w:r w:rsidRPr="00D263CA">
        <w:rPr>
          <w:rStyle w:val="af7"/>
          <w:rFonts w:eastAsia="Guttman Hodes"/>
          <w:rtl/>
        </w:rPr>
        <w:t>ב סי</w:t>
      </w:r>
      <w:r w:rsidRPr="00D263CA">
        <w:rPr>
          <w:rStyle w:val="af7"/>
          <w:rFonts w:eastAsia="Guttman Hodes" w:hint="cs"/>
          <w:rtl/>
        </w:rPr>
        <w:t xml:space="preserve">' </w:t>
      </w:r>
      <w:r w:rsidRPr="00D263CA">
        <w:rPr>
          <w:rStyle w:val="af7"/>
          <w:rFonts w:eastAsia="Guttman Hodes"/>
          <w:rtl/>
        </w:rPr>
        <w:t>י</w:t>
      </w:r>
      <w:r w:rsidRPr="00D263CA">
        <w:rPr>
          <w:rStyle w:val="af7"/>
          <w:rFonts w:eastAsia="Guttman Hodes" w:hint="cs"/>
          <w:rtl/>
        </w:rPr>
        <w:t>"</w:t>
      </w:r>
      <w:r w:rsidRPr="00D263CA">
        <w:rPr>
          <w:rStyle w:val="af7"/>
          <w:rFonts w:eastAsia="Guttman Hodes"/>
          <w:rtl/>
        </w:rPr>
        <w:t>ד</w:t>
      </w:r>
      <w:r w:rsidRPr="00D263CA">
        <w:rPr>
          <w:rStyle w:val="af7"/>
          <w:rFonts w:eastAsia="Guttman Hodes" w:hint="cs"/>
          <w:rtl/>
        </w:rPr>
        <w:t xml:space="preserve"> ד"ה הנה למעלה)</w:t>
      </w:r>
      <w:r>
        <w:rPr>
          <w:rFonts w:hint="cs"/>
          <w:rtl/>
        </w:rPr>
        <w:t>.</w:t>
      </w:r>
    </w:p>
    <w:p w14:paraId="3C6FB646" w14:textId="77777777" w:rsidR="00064C97" w:rsidRDefault="00064C97" w:rsidP="006D6D32">
      <w:pPr>
        <w:pStyle w:val="a3"/>
        <w:rPr>
          <w:rtl/>
        </w:rPr>
      </w:pPr>
    </w:p>
    <w:p w14:paraId="24B0800F" w14:textId="77777777" w:rsidR="00D37F3A" w:rsidRPr="00D37F3A" w:rsidRDefault="00D37F3A" w:rsidP="00223668">
      <w:pPr>
        <w:pStyle w:val="a0"/>
        <w:numPr>
          <w:ilvl w:val="0"/>
          <w:numId w:val="0"/>
        </w:numPr>
        <w:rPr>
          <w:rtl/>
        </w:rPr>
      </w:pPr>
    </w:p>
    <w:p w14:paraId="222D971E" w14:textId="77777777" w:rsidR="00064C97" w:rsidRDefault="00064C97" w:rsidP="00BF39B2">
      <w:pPr>
        <w:pStyle w:val="1"/>
        <w:rPr>
          <w:rtl/>
        </w:rPr>
      </w:pPr>
      <w:bookmarkStart w:id="9588" w:name="_Toc530395857"/>
      <w:bookmarkStart w:id="9589" w:name="_Toc530411133"/>
      <w:bookmarkStart w:id="9590" w:name="_Toc530502991"/>
      <w:bookmarkStart w:id="9591" w:name="_Toc530504440"/>
      <w:bookmarkStart w:id="9592" w:name="_Toc530514352"/>
      <w:bookmarkStart w:id="9593" w:name="_Toc530514455"/>
      <w:bookmarkStart w:id="9594" w:name="_Toc530521873"/>
      <w:bookmarkStart w:id="9595" w:name="_Toc530524929"/>
      <w:bookmarkStart w:id="9596" w:name="_Toc530551071"/>
      <w:bookmarkStart w:id="9597" w:name="_Toc19390273"/>
      <w:bookmarkStart w:id="9598" w:name="_Toc19393770"/>
      <w:bookmarkEnd w:id="9519"/>
      <w:bookmarkEnd w:id="9520"/>
      <w:r>
        <w:rPr>
          <w:rFonts w:hint="cs"/>
          <w:rtl/>
        </w:rPr>
        <w:t>ביאור הפרמ"ג דבדיני נפשות אזלינן רק בתר חזקה מכח רוב</w:t>
      </w:r>
      <w:bookmarkEnd w:id="9588"/>
      <w:bookmarkEnd w:id="9589"/>
      <w:bookmarkEnd w:id="9590"/>
      <w:bookmarkEnd w:id="9591"/>
      <w:bookmarkEnd w:id="9592"/>
      <w:bookmarkEnd w:id="9593"/>
      <w:bookmarkEnd w:id="9594"/>
      <w:bookmarkEnd w:id="9595"/>
      <w:bookmarkEnd w:id="9596"/>
      <w:bookmarkEnd w:id="9597"/>
      <w:bookmarkEnd w:id="9598"/>
    </w:p>
    <w:p w14:paraId="4A0B214E" w14:textId="77777777" w:rsidR="00064C97" w:rsidRDefault="00064C97" w:rsidP="006D6D32">
      <w:pPr>
        <w:pStyle w:val="a3"/>
        <w:rPr>
          <w:rtl/>
        </w:rPr>
      </w:pPr>
      <w:bookmarkStart w:id="9599" w:name="_Toc530514353"/>
      <w:bookmarkStart w:id="9600" w:name="_Toc530514456"/>
      <w:bookmarkStart w:id="9601" w:name="_Toc530521874"/>
      <w:bookmarkStart w:id="9602" w:name="_Toc530524930"/>
      <w:bookmarkStart w:id="9603" w:name="_Toc530551072"/>
      <w:bookmarkStart w:id="9604" w:name="_Toc19390274"/>
      <w:bookmarkStart w:id="9605" w:name="_Toc19393771"/>
      <w:r>
        <w:rPr>
          <w:rFonts w:hint="cs"/>
          <w:rtl/>
        </w:rPr>
        <w:t>דברי הפרמ"ג בשם התרוה"ד דבדיני נפשות אזלינן בתר חזקה מכח רוב ולא בתר חזקה הפוסקת</w:t>
      </w:r>
      <w:bookmarkEnd w:id="9599"/>
      <w:bookmarkEnd w:id="9600"/>
      <w:bookmarkEnd w:id="9601"/>
      <w:bookmarkEnd w:id="9602"/>
      <w:bookmarkEnd w:id="9603"/>
      <w:bookmarkEnd w:id="9604"/>
      <w:bookmarkEnd w:id="9605"/>
      <w:r>
        <w:rPr>
          <w:rFonts w:hint="cs"/>
          <w:rtl/>
        </w:rPr>
        <w:t xml:space="preserve"> </w:t>
      </w:r>
    </w:p>
    <w:p w14:paraId="28098B26" w14:textId="77777777" w:rsidR="00064C97" w:rsidRPr="0065453A" w:rsidRDefault="00064C97" w:rsidP="00223668">
      <w:pPr>
        <w:pStyle w:val="a0"/>
        <w:rPr>
          <w:rStyle w:val="afb"/>
          <w:rtl/>
        </w:rPr>
      </w:pPr>
      <w:bookmarkStart w:id="9606" w:name="_Ref529872837"/>
      <w:r w:rsidRPr="00D43AB2">
        <w:rPr>
          <w:rStyle w:val="af9"/>
          <w:rFonts w:hint="cs"/>
          <w:rtl/>
        </w:rPr>
        <w:t>הפרמ"ג בשושנת העמקים</w:t>
      </w:r>
      <w:r>
        <w:rPr>
          <w:rFonts w:hint="cs"/>
          <w:rtl/>
        </w:rPr>
        <w:t xml:space="preserve"> </w:t>
      </w:r>
      <w:r w:rsidRPr="00D43AB2">
        <w:rPr>
          <w:rStyle w:val="af7"/>
          <w:rFonts w:eastAsia="Guttman Hodes" w:hint="cs"/>
          <w:rtl/>
        </w:rPr>
        <w:t xml:space="preserve">(כלל י"ב ד"ה החלק הג') </w:t>
      </w:r>
      <w:r>
        <w:rPr>
          <w:rFonts w:hint="cs"/>
          <w:rtl/>
        </w:rPr>
        <w:t xml:space="preserve">דהדין דסוקלין על החזקות היינו חזקה מכח רוב, ולכן אף בנפשות אזלינן בתרה, וכתב </w:t>
      </w:r>
      <w:r w:rsidRPr="00D43AB2">
        <w:rPr>
          <w:rStyle w:val="af9"/>
          <w:rFonts w:hint="cs"/>
          <w:rtl/>
        </w:rPr>
        <w:t>הפרמ"ג בשושנת העמקים</w:t>
      </w:r>
      <w:r>
        <w:rPr>
          <w:rFonts w:hint="cs"/>
          <w:rtl/>
        </w:rPr>
        <w:t xml:space="preserve"> דכן מבואר בדברי </w:t>
      </w:r>
      <w:r w:rsidRPr="00D43AB2">
        <w:rPr>
          <w:rStyle w:val="af9"/>
          <w:rFonts w:hint="cs"/>
          <w:rtl/>
        </w:rPr>
        <w:t>התרוה"ד</w:t>
      </w:r>
      <w:r>
        <w:rPr>
          <w:rFonts w:hint="cs"/>
          <w:rtl/>
        </w:rPr>
        <w:t xml:space="preserve"> </w:t>
      </w:r>
      <w:r w:rsidRPr="00D43AB2">
        <w:rPr>
          <w:rStyle w:val="af7"/>
          <w:rFonts w:eastAsia="Guttman Hodes" w:hint="cs"/>
          <w:rtl/>
        </w:rPr>
        <w:t xml:space="preserve">(סי' ר"ז) </w:t>
      </w:r>
      <w:r>
        <w:rPr>
          <w:rFonts w:hint="cs"/>
          <w:rtl/>
        </w:rPr>
        <w:t xml:space="preserve">דכתב דבנפשות אזלינן בתר חזקה אין אדם פורע בתוך זמנו ואין אדם עושה בעילתו בעילת זנות, כיון שהיא חזקה מכח הרוב, דרוב בנ"א נוהגין כך, אבל בחזקה הפוסקת כחזקת אשת איש וחזקת פנויה, כתב </w:t>
      </w:r>
      <w:r w:rsidRPr="00D43AB2">
        <w:rPr>
          <w:rStyle w:val="af9"/>
          <w:rFonts w:hint="cs"/>
          <w:rtl/>
        </w:rPr>
        <w:t>התרוה"ד</w:t>
      </w:r>
      <w:r>
        <w:rPr>
          <w:rFonts w:hint="cs"/>
          <w:rtl/>
        </w:rPr>
        <w:t xml:space="preserve"> דלא אזלינן בתרה בדיני נפשות</w:t>
      </w:r>
      <w:r>
        <w:rPr>
          <w:rStyle w:val="af1"/>
          <w:rtl/>
        </w:rPr>
        <w:footnoteReference w:id="71"/>
      </w:r>
      <w:r>
        <w:rPr>
          <w:rFonts w:hint="cs"/>
          <w:rtl/>
        </w:rPr>
        <w:t xml:space="preserve">. </w:t>
      </w:r>
      <w:r>
        <w:rPr>
          <w:rStyle w:val="afb"/>
          <w:rFonts w:hint="cs"/>
          <w:rtl/>
        </w:rPr>
        <w:t>[</w:t>
      </w:r>
      <w:r w:rsidRPr="0065453A">
        <w:rPr>
          <w:rStyle w:val="afb"/>
          <w:rFonts w:hint="cs"/>
          <w:rtl/>
        </w:rPr>
        <w:t xml:space="preserve">וביאר </w:t>
      </w:r>
      <w:r w:rsidRPr="0065453A">
        <w:rPr>
          <w:rStyle w:val="affa"/>
          <w:rFonts w:hint="cs"/>
          <w:rtl/>
        </w:rPr>
        <w:t>הפרמ"ג בשושנת העמקים</w:t>
      </w:r>
      <w:r w:rsidRPr="0065453A">
        <w:rPr>
          <w:rStyle w:val="afb"/>
          <w:rFonts w:hint="cs"/>
          <w:rtl/>
        </w:rPr>
        <w:t xml:space="preserve"> דחזקה הפוסקת דילפינן לה מבית המנוגע, אזלינן בתרה באיסורין, ולא בנפשות דילפינן להו מאחרי רבים להטות</w:t>
      </w:r>
      <w:r>
        <w:rPr>
          <w:rStyle w:val="afb"/>
          <w:rFonts w:hint="cs"/>
          <w:rtl/>
        </w:rPr>
        <w:t>]</w:t>
      </w:r>
      <w:r w:rsidRPr="0065453A">
        <w:rPr>
          <w:rStyle w:val="afb"/>
          <w:rFonts w:hint="cs"/>
          <w:rtl/>
        </w:rPr>
        <w:t>.</w:t>
      </w:r>
      <w:bookmarkEnd w:id="9606"/>
    </w:p>
    <w:p w14:paraId="112BF42B" w14:textId="77777777" w:rsidR="00064C97" w:rsidRDefault="00064C97" w:rsidP="006D6D32">
      <w:pPr>
        <w:pStyle w:val="a3"/>
        <w:rPr>
          <w:rtl/>
        </w:rPr>
      </w:pPr>
      <w:bookmarkStart w:id="9607" w:name="_Toc530514354"/>
      <w:bookmarkStart w:id="9608" w:name="_Toc530514457"/>
      <w:bookmarkStart w:id="9609" w:name="_Toc530521875"/>
      <w:bookmarkStart w:id="9610" w:name="_Toc530524931"/>
      <w:bookmarkStart w:id="9611" w:name="_Toc530551073"/>
      <w:bookmarkStart w:id="9612" w:name="_Toc19390275"/>
      <w:bookmarkStart w:id="9613" w:name="_Toc19393772"/>
      <w:r>
        <w:rPr>
          <w:rFonts w:hint="cs"/>
          <w:rtl/>
        </w:rPr>
        <w:t>ביאור הפרמ"ג בדברי הרשב"א בתשו' דממכה אביו ילפינן דאזלינן בתר חזקה מכח רוב</w:t>
      </w:r>
      <w:bookmarkEnd w:id="9607"/>
      <w:bookmarkEnd w:id="9608"/>
      <w:bookmarkEnd w:id="9609"/>
      <w:bookmarkEnd w:id="9610"/>
      <w:bookmarkEnd w:id="9611"/>
      <w:bookmarkEnd w:id="9612"/>
      <w:bookmarkEnd w:id="9613"/>
    </w:p>
    <w:p w14:paraId="5E42D469" w14:textId="77777777" w:rsidR="00064C97" w:rsidRPr="00C4720B" w:rsidRDefault="00064C97" w:rsidP="00223668">
      <w:pPr>
        <w:pStyle w:val="a0"/>
        <w:rPr>
          <w:rtl/>
        </w:rPr>
      </w:pPr>
      <w:bookmarkStart w:id="9614" w:name="_Ref529896891"/>
      <w:r>
        <w:rPr>
          <w:rFonts w:hint="cs"/>
          <w:rtl/>
        </w:rPr>
        <w:t xml:space="preserve">והביא </w:t>
      </w:r>
      <w:r w:rsidRPr="00D43AB2">
        <w:rPr>
          <w:rStyle w:val="af9"/>
          <w:rFonts w:hint="cs"/>
          <w:rtl/>
        </w:rPr>
        <w:t>הפרמ"ג בשושנת העמקים</w:t>
      </w:r>
      <w:r>
        <w:rPr>
          <w:rFonts w:hint="cs"/>
          <w:rtl/>
        </w:rPr>
        <w:t xml:space="preserve"> דכן מבואר </w:t>
      </w:r>
      <w:r w:rsidRPr="00D43AB2">
        <w:rPr>
          <w:rStyle w:val="af9"/>
          <w:rFonts w:hint="cs"/>
          <w:rtl/>
        </w:rPr>
        <w:t>ברשב"א בתשו'</w:t>
      </w:r>
      <w:r>
        <w:rPr>
          <w:rFonts w:hint="cs"/>
          <w:rtl/>
        </w:rPr>
        <w:t xml:space="preserve"> </w:t>
      </w:r>
      <w:r w:rsidRPr="007D5A9E">
        <w:rPr>
          <w:rStyle w:val="af7"/>
          <w:rFonts w:eastAsia="Guttman Hodes" w:hint="cs"/>
          <w:rtl/>
        </w:rPr>
        <w:t>(עי</w:t>
      </w:r>
      <w:r>
        <w:rPr>
          <w:rStyle w:val="af7"/>
          <w:rFonts w:eastAsia="Guttman Hodes" w:hint="cs"/>
          <w:rtl/>
        </w:rPr>
        <w:t>'</w:t>
      </w:r>
      <w:r w:rsidRPr="007D5A9E">
        <w:rPr>
          <w:rStyle w:val="af7"/>
          <w:rFonts w:eastAsia="Guttman Hodes" w:hint="cs"/>
          <w:rtl/>
        </w:rPr>
        <w:t xml:space="preserve"> בהערה</w:t>
      </w:r>
      <w:bookmarkStart w:id="9615" w:name="_Ref529897002"/>
      <w:r>
        <w:rPr>
          <w:rStyle w:val="af1"/>
          <w:rtl/>
        </w:rPr>
        <w:footnoteReference w:id="72"/>
      </w:r>
      <w:bookmarkEnd w:id="9615"/>
      <w:r w:rsidRPr="007D5A9E">
        <w:rPr>
          <w:rStyle w:val="af7"/>
          <w:rFonts w:eastAsia="Guttman Hodes" w:hint="cs"/>
          <w:rtl/>
        </w:rPr>
        <w:t xml:space="preserve">) </w:t>
      </w:r>
      <w:r>
        <w:rPr>
          <w:rFonts w:hint="cs"/>
          <w:rtl/>
        </w:rPr>
        <w:t xml:space="preserve">דכתב דבסוגיין ילפינן ממכה אביו, דאזלינן בתר חזקה, וביאר </w:t>
      </w:r>
      <w:r w:rsidRPr="00D43AB2">
        <w:rPr>
          <w:rStyle w:val="af9"/>
          <w:rFonts w:hint="cs"/>
          <w:rtl/>
        </w:rPr>
        <w:t>הפרמ"ג</w:t>
      </w:r>
      <w:r>
        <w:rPr>
          <w:rFonts w:hint="cs"/>
          <w:rtl/>
        </w:rPr>
        <w:t xml:space="preserve"> </w:t>
      </w:r>
      <w:r w:rsidRPr="00D43AB2">
        <w:rPr>
          <w:rStyle w:val="af9"/>
          <w:rFonts w:hint="cs"/>
          <w:rtl/>
        </w:rPr>
        <w:t>בשושנת העמקים</w:t>
      </w:r>
      <w:r>
        <w:rPr>
          <w:rFonts w:hint="cs"/>
          <w:rtl/>
        </w:rPr>
        <w:t xml:space="preserve"> דכוונתו דמכח הרוב מעמידים את האב בחזקתו</w:t>
      </w:r>
      <w:r w:rsidRPr="00C4720B">
        <w:rPr>
          <w:rFonts w:hint="cs"/>
          <w:rtl/>
        </w:rPr>
        <w:t>.</w:t>
      </w:r>
      <w:bookmarkEnd w:id="9614"/>
    </w:p>
    <w:p w14:paraId="44DBA23A" w14:textId="77777777" w:rsidR="00064C97" w:rsidRDefault="00064C97" w:rsidP="006D6D32">
      <w:pPr>
        <w:pStyle w:val="a3"/>
        <w:rPr>
          <w:rtl/>
        </w:rPr>
      </w:pPr>
      <w:bookmarkStart w:id="9616" w:name="_Toc530514355"/>
      <w:bookmarkStart w:id="9617" w:name="_Toc530514458"/>
      <w:bookmarkStart w:id="9618" w:name="_Toc530521876"/>
      <w:bookmarkStart w:id="9619" w:name="_Toc530524932"/>
      <w:bookmarkStart w:id="9620" w:name="_Toc530551074"/>
      <w:bookmarkStart w:id="9621" w:name="_Toc19390276"/>
      <w:bookmarkStart w:id="9622" w:name="_Toc19393773"/>
      <w:r>
        <w:rPr>
          <w:rFonts w:hint="cs"/>
          <w:rtl/>
        </w:rPr>
        <w:t>ביאור הפרמ"ג ברמב"ם דבנה מורכב על כתיפה הוא חזקה מכח הרוב שעושין כן בבניהם</w:t>
      </w:r>
      <w:bookmarkEnd w:id="9616"/>
      <w:bookmarkEnd w:id="9617"/>
      <w:bookmarkEnd w:id="9618"/>
      <w:bookmarkEnd w:id="9619"/>
      <w:bookmarkEnd w:id="9620"/>
      <w:bookmarkEnd w:id="9621"/>
      <w:bookmarkEnd w:id="9622"/>
    </w:p>
    <w:p w14:paraId="38EB5BFE" w14:textId="77777777" w:rsidR="00064C97" w:rsidRDefault="00064C97" w:rsidP="00223668">
      <w:pPr>
        <w:pStyle w:val="a0"/>
        <w:rPr>
          <w:rtl/>
        </w:rPr>
      </w:pPr>
      <w:r>
        <w:rPr>
          <w:rFonts w:hint="cs"/>
          <w:rtl/>
        </w:rPr>
        <w:t xml:space="preserve">ובזה ביאר </w:t>
      </w:r>
      <w:r w:rsidRPr="00D86662">
        <w:rPr>
          <w:rStyle w:val="af9"/>
          <w:rFonts w:hint="cs"/>
          <w:rtl/>
        </w:rPr>
        <w:t>הפרמ"ג בשושנת העמקים</w:t>
      </w:r>
      <w:r>
        <w:rPr>
          <w:rFonts w:hint="cs"/>
          <w:rtl/>
        </w:rPr>
        <w:t xml:space="preserve"> </w:t>
      </w:r>
      <w:r w:rsidRPr="00D86662">
        <w:rPr>
          <w:rStyle w:val="af7"/>
          <w:rFonts w:eastAsia="Guttman Hodes" w:hint="cs"/>
          <w:rtl/>
        </w:rPr>
        <w:t>(כלל י"ב החלק הג' ד"ה ועי' בית שמואל)</w:t>
      </w:r>
      <w:r>
        <w:rPr>
          <w:rFonts w:hint="cs"/>
          <w:rtl/>
        </w:rPr>
        <w:t xml:space="preserve"> את דברי </w:t>
      </w:r>
      <w:r w:rsidRPr="00D86662">
        <w:rPr>
          <w:rStyle w:val="af9"/>
          <w:rFonts w:hint="cs"/>
          <w:rtl/>
        </w:rPr>
        <w:t>הרמב"ם</w:t>
      </w:r>
      <w:r>
        <w:rPr>
          <w:rFonts w:hint="cs"/>
          <w:rtl/>
        </w:rPr>
        <w:t xml:space="preserve"> </w:t>
      </w:r>
      <w:r w:rsidRPr="0093368B">
        <w:rPr>
          <w:rStyle w:val="af7"/>
          <w:rFonts w:eastAsia="Guttman Hodes" w:hint="cs"/>
          <w:rtl/>
        </w:rPr>
        <w:t xml:space="preserve">(עי' אות </w:t>
      </w:r>
      <w:r w:rsidRPr="0093368B">
        <w:rPr>
          <w:rStyle w:val="af7"/>
          <w:rFonts w:eastAsia="Guttman Hodes"/>
          <w:rtl/>
        </w:rPr>
        <w:fldChar w:fldCharType="begin"/>
      </w:r>
      <w:r w:rsidRPr="0093368B">
        <w:rPr>
          <w:rStyle w:val="af7"/>
          <w:rFonts w:eastAsia="Guttman Hodes"/>
          <w:rtl/>
        </w:rPr>
        <w:instrText xml:space="preserve"> </w:instrText>
      </w:r>
      <w:r w:rsidRPr="0093368B">
        <w:rPr>
          <w:rStyle w:val="af7"/>
          <w:rFonts w:eastAsia="Guttman Hodes" w:hint="cs"/>
        </w:rPr>
        <w:instrText>REF</w:instrText>
      </w:r>
      <w:r w:rsidRPr="0093368B">
        <w:rPr>
          <w:rStyle w:val="af7"/>
          <w:rFonts w:eastAsia="Guttman Hodes" w:hint="cs"/>
          <w:rtl/>
        </w:rPr>
        <w:instrText xml:space="preserve"> _</w:instrText>
      </w:r>
      <w:r w:rsidRPr="0093368B">
        <w:rPr>
          <w:rStyle w:val="af7"/>
          <w:rFonts w:eastAsia="Guttman Hodes" w:hint="cs"/>
        </w:rPr>
        <w:instrText>Ref529872696 \r \h</w:instrText>
      </w:r>
      <w:r w:rsidRPr="0093368B">
        <w:rPr>
          <w:rStyle w:val="af7"/>
          <w:rFonts w:eastAsia="Guttman Hodes"/>
          <w:rtl/>
        </w:rPr>
        <w:instrText xml:space="preserve"> </w:instrText>
      </w:r>
      <w:r w:rsidRPr="0093368B">
        <w:rPr>
          <w:rStyle w:val="af7"/>
          <w:rFonts w:eastAsia="Guttman Hodes"/>
          <w:rtl/>
        </w:rPr>
      </w:r>
      <w:r w:rsidRPr="0093368B">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93368B">
        <w:rPr>
          <w:rStyle w:val="af7"/>
          <w:rFonts w:eastAsia="Guttman Hodes"/>
          <w:rtl/>
        </w:rPr>
        <w:fldChar w:fldCharType="end"/>
      </w:r>
      <w:r>
        <w:rPr>
          <w:rStyle w:val="af7"/>
          <w:rFonts w:eastAsia="Guttman Hodes" w:hint="cs"/>
          <w:rtl/>
        </w:rPr>
        <w:t xml:space="preserve"> </w:t>
      </w:r>
      <w:r>
        <w:rPr>
          <w:rFonts w:hint="cs"/>
          <w:rtl/>
        </w:rPr>
        <w:t xml:space="preserve">דכתב דממכה אביו ילפינן דסוקלין על החזקות, דהיינו חזקה מכח רוב, דכיון שבנה מורכב על כתיפה, ויש רוב שאין עושין כן אלא עם בניהם, מחזקינן לה שהוא בנה, וכתב </w:t>
      </w:r>
      <w:r w:rsidRPr="00D86662">
        <w:rPr>
          <w:rStyle w:val="af9"/>
          <w:rFonts w:hint="cs"/>
          <w:rtl/>
        </w:rPr>
        <w:t>הפרמ"ג בשושנת העמקים</w:t>
      </w:r>
      <w:r>
        <w:rPr>
          <w:rFonts w:hint="cs"/>
          <w:rtl/>
        </w:rPr>
        <w:t xml:space="preserve"> דהוא כמבואר בדברי </w:t>
      </w:r>
      <w:r w:rsidRPr="00D86662">
        <w:rPr>
          <w:rStyle w:val="af9"/>
          <w:rFonts w:hint="cs"/>
          <w:rtl/>
        </w:rPr>
        <w:t>הרשב"א בתשו'</w:t>
      </w:r>
      <w:r>
        <w:rPr>
          <w:rFonts w:hint="cs"/>
          <w:rtl/>
        </w:rPr>
        <w:t xml:space="preserve"> </w:t>
      </w:r>
      <w:r w:rsidRPr="007D5A9E">
        <w:rPr>
          <w:rStyle w:val="af7"/>
          <w:rFonts w:eastAsia="Guttman Hodes" w:hint="cs"/>
          <w:rtl/>
        </w:rPr>
        <w:t>(עי</w:t>
      </w:r>
      <w:r>
        <w:rPr>
          <w:rStyle w:val="af7"/>
          <w:rFonts w:eastAsia="Guttman Hodes" w:hint="cs"/>
          <w:rtl/>
        </w:rPr>
        <w:t>'</w:t>
      </w:r>
      <w:r w:rsidRPr="007D5A9E">
        <w:rPr>
          <w:rStyle w:val="af7"/>
          <w:rFonts w:eastAsia="Guttman Hodes" w:hint="cs"/>
          <w:rtl/>
        </w:rPr>
        <w:t xml:space="preserve"> בהערה</w:t>
      </w:r>
      <w:r w:rsidRPr="007D5A9E">
        <w:rPr>
          <w:vertAlign w:val="superscript"/>
          <w:rtl/>
        </w:rPr>
        <w:fldChar w:fldCharType="begin"/>
      </w:r>
      <w:r w:rsidRPr="007D5A9E">
        <w:rPr>
          <w:vertAlign w:val="superscript"/>
          <w:rtl/>
        </w:rPr>
        <w:instrText xml:space="preserve"> </w:instrText>
      </w:r>
      <w:r w:rsidRPr="007D5A9E">
        <w:rPr>
          <w:rFonts w:hint="cs"/>
          <w:vertAlign w:val="superscript"/>
        </w:rPr>
        <w:instrText>NOTEREF</w:instrText>
      </w:r>
      <w:r w:rsidRPr="007D5A9E">
        <w:rPr>
          <w:rFonts w:hint="cs"/>
          <w:vertAlign w:val="superscript"/>
          <w:rtl/>
        </w:rPr>
        <w:instrText xml:space="preserve"> _</w:instrText>
      </w:r>
      <w:r w:rsidRPr="007D5A9E">
        <w:rPr>
          <w:rFonts w:hint="cs"/>
          <w:vertAlign w:val="superscript"/>
        </w:rPr>
        <w:instrText>Ref529897002 \h</w:instrText>
      </w:r>
      <w:r w:rsidRPr="007D5A9E">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7D5A9E">
        <w:rPr>
          <w:vertAlign w:val="superscript"/>
          <w:rtl/>
        </w:rPr>
      </w:r>
      <w:r w:rsidRPr="007D5A9E">
        <w:rPr>
          <w:vertAlign w:val="superscript"/>
          <w:rtl/>
        </w:rPr>
        <w:fldChar w:fldCharType="separate"/>
      </w:r>
      <w:r w:rsidR="00345400">
        <w:rPr>
          <w:vertAlign w:val="superscript"/>
          <w:rtl/>
        </w:rPr>
        <w:t>72</w:t>
      </w:r>
      <w:r w:rsidRPr="007D5A9E">
        <w:rPr>
          <w:vertAlign w:val="superscript"/>
          <w:rtl/>
        </w:rPr>
        <w:fldChar w:fldCharType="end"/>
      </w:r>
      <w:r w:rsidRPr="007D5A9E">
        <w:rPr>
          <w:rStyle w:val="af7"/>
          <w:rFonts w:eastAsia="Guttman Hodes" w:hint="cs"/>
          <w:rtl/>
        </w:rPr>
        <w:t xml:space="preserve">) </w:t>
      </w:r>
      <w:r>
        <w:rPr>
          <w:rFonts w:hint="cs"/>
          <w:rtl/>
        </w:rPr>
        <w:t>דזוהי הילפותא בסוגיין.</w:t>
      </w:r>
    </w:p>
    <w:p w14:paraId="3834FFB5" w14:textId="77777777" w:rsidR="00064C97" w:rsidRDefault="00064C97" w:rsidP="00BF39B2">
      <w:pPr>
        <w:pStyle w:val="1"/>
        <w:rPr>
          <w:rtl/>
        </w:rPr>
      </w:pPr>
      <w:bookmarkStart w:id="9623" w:name="_Toc530514356"/>
      <w:bookmarkStart w:id="9624" w:name="_Toc530514459"/>
      <w:bookmarkStart w:id="9625" w:name="_Toc530521877"/>
      <w:bookmarkStart w:id="9626" w:name="_Toc530524933"/>
      <w:bookmarkStart w:id="9627" w:name="_Toc530551075"/>
      <w:bookmarkStart w:id="9628" w:name="_Toc19390277"/>
      <w:bookmarkStart w:id="9629" w:name="_Toc19393774"/>
      <w:r>
        <w:rPr>
          <w:rFonts w:hint="cs"/>
          <w:rtl/>
        </w:rPr>
        <w:t>ביאור הפרמ"ג בפלוגתת הראשונים באביו בחזקה מדין ודאי</w:t>
      </w:r>
      <w:bookmarkEnd w:id="9623"/>
      <w:bookmarkEnd w:id="9624"/>
      <w:bookmarkEnd w:id="9625"/>
      <w:bookmarkEnd w:id="9626"/>
      <w:bookmarkEnd w:id="9627"/>
      <w:bookmarkEnd w:id="9628"/>
      <w:bookmarkEnd w:id="9629"/>
    </w:p>
    <w:p w14:paraId="644293D3" w14:textId="77777777" w:rsidR="00064C97" w:rsidRDefault="00064C97" w:rsidP="006D6D32">
      <w:pPr>
        <w:pStyle w:val="a3"/>
        <w:rPr>
          <w:rtl/>
        </w:rPr>
      </w:pPr>
      <w:bookmarkStart w:id="9630" w:name="_Toc530514357"/>
      <w:bookmarkStart w:id="9631" w:name="_Toc530514460"/>
      <w:bookmarkStart w:id="9632" w:name="_Toc530521878"/>
      <w:bookmarkStart w:id="9633" w:name="_Toc530524934"/>
      <w:bookmarkStart w:id="9634" w:name="_Toc530551076"/>
      <w:bookmarkStart w:id="9635" w:name="_Toc19390278"/>
      <w:bookmarkStart w:id="9636" w:name="_Toc19393775"/>
      <w:r>
        <w:rPr>
          <w:rFonts w:hint="cs"/>
          <w:rtl/>
        </w:rPr>
        <w:t>ביאור הפרמ"ג בדעת הר"י צרפתי דאביו ע"י חזקה אין לו דין ודאי אביו</w:t>
      </w:r>
      <w:bookmarkEnd w:id="9630"/>
      <w:bookmarkEnd w:id="9631"/>
      <w:bookmarkEnd w:id="9632"/>
      <w:bookmarkEnd w:id="9633"/>
      <w:bookmarkEnd w:id="9634"/>
      <w:bookmarkEnd w:id="9635"/>
      <w:bookmarkEnd w:id="9636"/>
    </w:p>
    <w:p w14:paraId="692DF405" w14:textId="77777777" w:rsidR="00064C97" w:rsidRDefault="00064C97" w:rsidP="00223668">
      <w:pPr>
        <w:pStyle w:val="a0"/>
        <w:rPr>
          <w:rtl/>
        </w:rPr>
      </w:pPr>
      <w:bookmarkStart w:id="9637" w:name="_Ref529895221"/>
      <w:r>
        <w:rPr>
          <w:rFonts w:hint="cs"/>
          <w:rtl/>
        </w:rPr>
        <w:t xml:space="preserve">כתב </w:t>
      </w:r>
      <w:r w:rsidRPr="000C1DE0">
        <w:rPr>
          <w:rStyle w:val="af9"/>
          <w:rFonts w:hint="cs"/>
          <w:rtl/>
        </w:rPr>
        <w:t>הפרמ"ג בתיבת גמא</w:t>
      </w:r>
      <w:r>
        <w:rPr>
          <w:rFonts w:hint="cs"/>
          <w:rtl/>
        </w:rPr>
        <w:t xml:space="preserve"> </w:t>
      </w:r>
      <w:r w:rsidRPr="00986AD1">
        <w:rPr>
          <w:rStyle w:val="af7"/>
          <w:rFonts w:eastAsia="Guttman Hodes" w:hint="cs"/>
          <w:rtl/>
        </w:rPr>
        <w:t>(ריש פרשת אמור)</w:t>
      </w:r>
      <w:r>
        <w:rPr>
          <w:rFonts w:hint="cs"/>
          <w:rtl/>
        </w:rPr>
        <w:t xml:space="preserve"> דדעת </w:t>
      </w:r>
      <w:r w:rsidRPr="000C1DE0">
        <w:rPr>
          <w:rStyle w:val="af9"/>
          <w:rFonts w:hint="cs"/>
          <w:rtl/>
        </w:rPr>
        <w:t>הר"י צרפתי</w:t>
      </w:r>
      <w:r>
        <w:rPr>
          <w:rFonts w:hint="cs"/>
          <w:rtl/>
        </w:rPr>
        <w:t xml:space="preserve"> </w:t>
      </w:r>
      <w:r w:rsidRPr="007D5A9E">
        <w:rPr>
          <w:rStyle w:val="af9"/>
          <w:rFonts w:hint="cs"/>
          <w:rtl/>
        </w:rPr>
        <w:t>בתשו' הרשב"א</w:t>
      </w:r>
      <w:r>
        <w:rPr>
          <w:rFonts w:hint="cs"/>
          <w:rtl/>
        </w:rPr>
        <w:t xml:space="preserve"> </w:t>
      </w:r>
      <w:r w:rsidRPr="007D5A9E">
        <w:rPr>
          <w:rStyle w:val="af7"/>
          <w:rFonts w:eastAsia="Guttman Hodes" w:hint="cs"/>
          <w:rtl/>
        </w:rPr>
        <w:t>(עי</w:t>
      </w:r>
      <w:r>
        <w:rPr>
          <w:rStyle w:val="af7"/>
          <w:rFonts w:eastAsia="Guttman Hodes" w:hint="cs"/>
          <w:rtl/>
        </w:rPr>
        <w:t>'</w:t>
      </w:r>
      <w:r w:rsidRPr="007D5A9E">
        <w:rPr>
          <w:rStyle w:val="af7"/>
          <w:rFonts w:eastAsia="Guttman Hodes" w:hint="cs"/>
          <w:rtl/>
        </w:rPr>
        <w:t xml:space="preserve"> בהערה</w:t>
      </w:r>
      <w:r w:rsidRPr="007D5A9E">
        <w:rPr>
          <w:vertAlign w:val="superscript"/>
          <w:rtl/>
        </w:rPr>
        <w:fldChar w:fldCharType="begin"/>
      </w:r>
      <w:r w:rsidRPr="007D5A9E">
        <w:rPr>
          <w:vertAlign w:val="superscript"/>
          <w:rtl/>
        </w:rPr>
        <w:instrText xml:space="preserve"> </w:instrText>
      </w:r>
      <w:r w:rsidRPr="007D5A9E">
        <w:rPr>
          <w:rFonts w:hint="cs"/>
          <w:vertAlign w:val="superscript"/>
        </w:rPr>
        <w:instrText>NOTEREF</w:instrText>
      </w:r>
      <w:r w:rsidRPr="007D5A9E">
        <w:rPr>
          <w:rFonts w:hint="cs"/>
          <w:vertAlign w:val="superscript"/>
          <w:rtl/>
        </w:rPr>
        <w:instrText xml:space="preserve"> _</w:instrText>
      </w:r>
      <w:r w:rsidRPr="007D5A9E">
        <w:rPr>
          <w:rFonts w:hint="cs"/>
          <w:vertAlign w:val="superscript"/>
        </w:rPr>
        <w:instrText>Ref529897002 \h</w:instrText>
      </w:r>
      <w:r w:rsidRPr="007D5A9E">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7D5A9E">
        <w:rPr>
          <w:vertAlign w:val="superscript"/>
          <w:rtl/>
        </w:rPr>
      </w:r>
      <w:r w:rsidRPr="007D5A9E">
        <w:rPr>
          <w:vertAlign w:val="superscript"/>
          <w:rtl/>
        </w:rPr>
        <w:fldChar w:fldCharType="separate"/>
      </w:r>
      <w:r w:rsidR="00345400">
        <w:rPr>
          <w:vertAlign w:val="superscript"/>
          <w:rtl/>
        </w:rPr>
        <w:t>72</w:t>
      </w:r>
      <w:r w:rsidRPr="007D5A9E">
        <w:rPr>
          <w:vertAlign w:val="superscript"/>
          <w:rtl/>
        </w:rPr>
        <w:fldChar w:fldCharType="end"/>
      </w:r>
      <w:r w:rsidRPr="007D5A9E">
        <w:rPr>
          <w:rStyle w:val="af7"/>
          <w:rFonts w:eastAsia="Guttman Hodes" w:hint="cs"/>
          <w:rtl/>
        </w:rPr>
        <w:t>)</w:t>
      </w:r>
      <w:r>
        <w:rPr>
          <w:rFonts w:hint="cs"/>
          <w:rtl/>
        </w:rPr>
        <w:t xml:space="preserve"> דדוקא במקום שידוע שהאם היא אשת אביו, חשיב ודאי אביו דאזלינן בתר רוב בעילות אחר הבעל,  אבל במקום שהוא אביו רק מחמת שהוחזקו בעיר שהם אב ובן, לא חשיב ודאי אביו, אלא שיש חזקה שהוא אביו.</w:t>
      </w:r>
      <w:bookmarkEnd w:id="9637"/>
    </w:p>
    <w:p w14:paraId="22F75303" w14:textId="77777777" w:rsidR="00064C97" w:rsidRDefault="00064C97" w:rsidP="006D6D32">
      <w:pPr>
        <w:pStyle w:val="a3"/>
        <w:rPr>
          <w:rtl/>
        </w:rPr>
      </w:pPr>
      <w:bookmarkStart w:id="9638" w:name="_Toc530514358"/>
      <w:bookmarkStart w:id="9639" w:name="_Toc530514461"/>
      <w:bookmarkStart w:id="9640" w:name="_Toc530521879"/>
      <w:bookmarkStart w:id="9641" w:name="_Toc530524935"/>
      <w:bookmarkStart w:id="9642" w:name="_Toc530551077"/>
      <w:bookmarkStart w:id="9643" w:name="_Toc19390279"/>
      <w:bookmarkStart w:id="9644" w:name="_Toc19393776"/>
      <w:r>
        <w:rPr>
          <w:rFonts w:hint="cs"/>
          <w:rtl/>
        </w:rPr>
        <w:t>ביאור הפרמ"ג ברשב"א בתשו' ובתרוה"ד דאף אביו ע"י חזקה הוא ודאי אביו בחזקה מכח רוב</w:t>
      </w:r>
      <w:bookmarkEnd w:id="9638"/>
      <w:bookmarkEnd w:id="9639"/>
      <w:bookmarkEnd w:id="9640"/>
      <w:bookmarkEnd w:id="9641"/>
      <w:bookmarkEnd w:id="9642"/>
      <w:bookmarkEnd w:id="9643"/>
      <w:bookmarkEnd w:id="9644"/>
    </w:p>
    <w:p w14:paraId="053862D9" w14:textId="77777777" w:rsidR="00064C97" w:rsidRDefault="00064C97" w:rsidP="00223668">
      <w:pPr>
        <w:pStyle w:val="a0"/>
        <w:rPr>
          <w:rtl/>
        </w:rPr>
      </w:pPr>
      <w:r>
        <w:rPr>
          <w:rFonts w:hint="cs"/>
          <w:rtl/>
        </w:rPr>
        <w:t xml:space="preserve">וכתב </w:t>
      </w:r>
      <w:r w:rsidRPr="000C1DE0">
        <w:rPr>
          <w:rStyle w:val="af9"/>
          <w:rFonts w:hint="cs"/>
          <w:rtl/>
        </w:rPr>
        <w:t>הפרמ"ג בתיבת גמא דהרשב"א בתשו'</w:t>
      </w:r>
      <w:r>
        <w:rPr>
          <w:rFonts w:hint="cs"/>
          <w:rtl/>
        </w:rPr>
        <w:t xml:space="preserve"> </w:t>
      </w:r>
      <w:r w:rsidRPr="007D5A9E">
        <w:rPr>
          <w:rStyle w:val="af7"/>
          <w:rFonts w:eastAsia="Guttman Hodes" w:hint="cs"/>
          <w:rtl/>
        </w:rPr>
        <w:t>(עי</w:t>
      </w:r>
      <w:r>
        <w:rPr>
          <w:rStyle w:val="af7"/>
          <w:rFonts w:eastAsia="Guttman Hodes" w:hint="cs"/>
          <w:rtl/>
        </w:rPr>
        <w:t>'</w:t>
      </w:r>
      <w:r w:rsidRPr="007D5A9E">
        <w:rPr>
          <w:rStyle w:val="af7"/>
          <w:rFonts w:eastAsia="Guttman Hodes" w:hint="cs"/>
          <w:rtl/>
        </w:rPr>
        <w:t xml:space="preserve"> בהערה</w:t>
      </w:r>
      <w:r w:rsidRPr="007D5A9E">
        <w:rPr>
          <w:vertAlign w:val="superscript"/>
          <w:rtl/>
        </w:rPr>
        <w:fldChar w:fldCharType="begin"/>
      </w:r>
      <w:r w:rsidRPr="007D5A9E">
        <w:rPr>
          <w:vertAlign w:val="superscript"/>
          <w:rtl/>
        </w:rPr>
        <w:instrText xml:space="preserve"> </w:instrText>
      </w:r>
      <w:r w:rsidRPr="007D5A9E">
        <w:rPr>
          <w:rFonts w:hint="cs"/>
          <w:vertAlign w:val="superscript"/>
        </w:rPr>
        <w:instrText>NOTEREF</w:instrText>
      </w:r>
      <w:r w:rsidRPr="007D5A9E">
        <w:rPr>
          <w:rFonts w:hint="cs"/>
          <w:vertAlign w:val="superscript"/>
          <w:rtl/>
        </w:rPr>
        <w:instrText xml:space="preserve"> _</w:instrText>
      </w:r>
      <w:r w:rsidRPr="007D5A9E">
        <w:rPr>
          <w:rFonts w:hint="cs"/>
          <w:vertAlign w:val="superscript"/>
        </w:rPr>
        <w:instrText>Ref529897002 \h</w:instrText>
      </w:r>
      <w:r w:rsidRPr="007D5A9E">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7D5A9E">
        <w:rPr>
          <w:vertAlign w:val="superscript"/>
          <w:rtl/>
        </w:rPr>
      </w:r>
      <w:r w:rsidRPr="007D5A9E">
        <w:rPr>
          <w:vertAlign w:val="superscript"/>
          <w:rtl/>
        </w:rPr>
        <w:fldChar w:fldCharType="separate"/>
      </w:r>
      <w:r w:rsidR="00345400">
        <w:rPr>
          <w:vertAlign w:val="superscript"/>
          <w:rtl/>
        </w:rPr>
        <w:t>72</w:t>
      </w:r>
      <w:r w:rsidRPr="007D5A9E">
        <w:rPr>
          <w:vertAlign w:val="superscript"/>
          <w:rtl/>
        </w:rPr>
        <w:fldChar w:fldCharType="end"/>
      </w:r>
      <w:r w:rsidRPr="007D5A9E">
        <w:rPr>
          <w:rStyle w:val="af7"/>
          <w:rFonts w:eastAsia="Guttman Hodes" w:hint="cs"/>
          <w:rtl/>
        </w:rPr>
        <w:t xml:space="preserve">) </w:t>
      </w:r>
      <w:r>
        <w:rPr>
          <w:rFonts w:hint="cs"/>
          <w:rtl/>
        </w:rPr>
        <w:t xml:space="preserve">פליג בזה על </w:t>
      </w:r>
      <w:r w:rsidRPr="000C1DE0">
        <w:rPr>
          <w:rStyle w:val="af9"/>
          <w:rFonts w:hint="cs"/>
          <w:rtl/>
        </w:rPr>
        <w:t>הר"י צרפתי</w:t>
      </w:r>
      <w:r>
        <w:rPr>
          <w:rFonts w:hint="cs"/>
          <w:rtl/>
        </w:rPr>
        <w:t xml:space="preserve"> וס"ל דאף במקום שהוא אביו מחמת שהוחזקו בעיר כאב ובן, הוא חזקה מכח רוב, כמבואר </w:t>
      </w:r>
      <w:r w:rsidRPr="000C1DE0">
        <w:rPr>
          <w:rStyle w:val="af9"/>
          <w:rFonts w:hint="cs"/>
          <w:rtl/>
        </w:rPr>
        <w:t>בתרוה"ד</w:t>
      </w:r>
      <w:r>
        <w:rPr>
          <w:rFonts w:hint="cs"/>
          <w:rtl/>
        </w:rPr>
        <w:t xml:space="preserve"> </w:t>
      </w:r>
      <w:r w:rsidRPr="00C37C09">
        <w:rPr>
          <w:rStyle w:val="af7"/>
          <w:rFonts w:eastAsia="Guttman Hodes" w:hint="cs"/>
          <w:rtl/>
        </w:rPr>
        <w:t>(סי' ר"ז)</w:t>
      </w:r>
      <w:r>
        <w:rPr>
          <w:rFonts w:hint="cs"/>
          <w:rtl/>
        </w:rPr>
        <w:t xml:space="preserve"> דהדין דסוקלין על החזקות הוא מדין חזקה מכח רוב </w:t>
      </w:r>
      <w:r w:rsidRPr="00986AD1">
        <w:rPr>
          <w:rStyle w:val="afb"/>
          <w:rFonts w:hint="cs"/>
          <w:rtl/>
        </w:rPr>
        <w:t xml:space="preserve">[כדביאר את דבריו </w:t>
      </w:r>
      <w:r w:rsidRPr="00986AD1">
        <w:rPr>
          <w:rStyle w:val="affa"/>
          <w:rFonts w:hint="cs"/>
          <w:rtl/>
        </w:rPr>
        <w:t>הפרמ"ג בשושנת העמקים</w:t>
      </w:r>
      <w:r w:rsidRPr="00986AD1">
        <w:rPr>
          <w:rStyle w:val="afb"/>
          <w:rFonts w:hint="cs"/>
          <w:rtl/>
        </w:rPr>
        <w:t xml:space="preserve"> </w:t>
      </w:r>
      <w:r w:rsidRPr="00986AD1">
        <w:rPr>
          <w:rStyle w:val="aff6"/>
          <w:rFonts w:hint="cs"/>
          <w:rtl/>
        </w:rPr>
        <w:t xml:space="preserve">(עי' אות </w:t>
      </w:r>
      <w:r w:rsidRPr="00986AD1">
        <w:rPr>
          <w:rStyle w:val="aff6"/>
          <w:rtl/>
        </w:rPr>
        <w:fldChar w:fldCharType="begin"/>
      </w:r>
      <w:r w:rsidRPr="00986AD1">
        <w:rPr>
          <w:rStyle w:val="aff6"/>
          <w:rtl/>
        </w:rPr>
        <w:instrText xml:space="preserve"> </w:instrText>
      </w:r>
      <w:r w:rsidRPr="00986AD1">
        <w:rPr>
          <w:rStyle w:val="aff6"/>
          <w:rFonts w:hint="cs"/>
        </w:rPr>
        <w:instrText>REF</w:instrText>
      </w:r>
      <w:r w:rsidRPr="00986AD1">
        <w:rPr>
          <w:rStyle w:val="aff6"/>
          <w:rFonts w:hint="cs"/>
          <w:rtl/>
        </w:rPr>
        <w:instrText xml:space="preserve"> _</w:instrText>
      </w:r>
      <w:r w:rsidRPr="00986AD1">
        <w:rPr>
          <w:rStyle w:val="aff6"/>
          <w:rFonts w:hint="cs"/>
        </w:rPr>
        <w:instrText>Ref529872837 \r \h</w:instrText>
      </w:r>
      <w:r w:rsidRPr="00986AD1">
        <w:rPr>
          <w:rStyle w:val="aff6"/>
          <w:rtl/>
        </w:rPr>
        <w:instrText xml:space="preserve"> </w:instrText>
      </w:r>
      <w:r w:rsidRPr="00986AD1">
        <w:rPr>
          <w:rStyle w:val="aff6"/>
          <w:rtl/>
        </w:rPr>
      </w:r>
      <w:r w:rsidRPr="00986AD1">
        <w:rPr>
          <w:rStyle w:val="aff6"/>
          <w:rtl/>
        </w:rPr>
        <w:fldChar w:fldCharType="separate"/>
      </w:r>
      <w:r w:rsidR="00345400">
        <w:rPr>
          <w:rStyle w:val="aff6"/>
          <w:cs/>
        </w:rPr>
        <w:t>‎</w:t>
      </w:r>
      <w:r w:rsidR="00345400">
        <w:rPr>
          <w:rStyle w:val="aff6"/>
          <w:rtl/>
        </w:rPr>
        <w:t>ח)</w:t>
      </w:r>
      <w:r w:rsidRPr="00986AD1">
        <w:rPr>
          <w:rStyle w:val="aff6"/>
          <w:rtl/>
        </w:rPr>
        <w:fldChar w:fldCharType="end"/>
      </w:r>
      <w:r w:rsidRPr="00986AD1">
        <w:rPr>
          <w:rStyle w:val="afb"/>
          <w:rFonts w:hint="cs"/>
          <w:rtl/>
        </w:rPr>
        <w:t>]</w:t>
      </w:r>
      <w:r>
        <w:rPr>
          <w:rFonts w:hint="cs"/>
          <w:rtl/>
        </w:rPr>
        <w:t xml:space="preserve">, וכתב </w:t>
      </w:r>
      <w:r w:rsidRPr="000C1DE0">
        <w:rPr>
          <w:rStyle w:val="af9"/>
          <w:rFonts w:hint="cs"/>
          <w:rtl/>
        </w:rPr>
        <w:t xml:space="preserve">הפרמ"ג בתיבת גמא </w:t>
      </w:r>
      <w:r>
        <w:rPr>
          <w:rFonts w:hint="cs"/>
          <w:rtl/>
        </w:rPr>
        <w:t xml:space="preserve">דלכן ס"ל </w:t>
      </w:r>
      <w:r w:rsidRPr="000C1DE0">
        <w:rPr>
          <w:rStyle w:val="af9"/>
          <w:rFonts w:hint="cs"/>
          <w:rtl/>
        </w:rPr>
        <w:t>להרשב"א</w:t>
      </w:r>
      <w:r>
        <w:rPr>
          <w:rFonts w:hint="cs"/>
          <w:rtl/>
        </w:rPr>
        <w:t xml:space="preserve"> </w:t>
      </w:r>
      <w:r w:rsidRPr="000C1DE0">
        <w:rPr>
          <w:rStyle w:val="af9"/>
          <w:rFonts w:hint="cs"/>
          <w:rtl/>
        </w:rPr>
        <w:t>בתשו'</w:t>
      </w:r>
      <w:r>
        <w:rPr>
          <w:rStyle w:val="af9"/>
          <w:rFonts w:hint="cs"/>
          <w:rtl/>
        </w:rPr>
        <w:t xml:space="preserve"> </w:t>
      </w:r>
      <w:r w:rsidRPr="00FA267D">
        <w:rPr>
          <w:rFonts w:hint="cs"/>
          <w:rtl/>
        </w:rPr>
        <w:t>דאין כל</w:t>
      </w:r>
      <w:r>
        <w:rPr>
          <w:rFonts w:hint="cs"/>
          <w:rtl/>
        </w:rPr>
        <w:t xml:space="preserve"> חילוק בין מקום שידוע שהיא אביו מדין רוב </w:t>
      </w:r>
      <w:r w:rsidRPr="00986AD1">
        <w:rPr>
          <w:rStyle w:val="afb"/>
          <w:rFonts w:hint="cs"/>
          <w:rtl/>
        </w:rPr>
        <w:t>[דרוב בעילות אחר הבעל]</w:t>
      </w:r>
      <w:r>
        <w:rPr>
          <w:rFonts w:hint="cs"/>
          <w:rtl/>
        </w:rPr>
        <w:t>, למקום שידוע שהוא אביו מחמת שהוחזק בעיר, דאף הוא מדין רוב, עיי"ש בדבריו.</w:t>
      </w:r>
    </w:p>
    <w:p w14:paraId="5F34E09E" w14:textId="77777777" w:rsidR="00064C97" w:rsidRPr="00621064" w:rsidRDefault="00064C97" w:rsidP="006D6D32">
      <w:pPr>
        <w:pStyle w:val="afe"/>
        <w:rPr>
          <w:rtl/>
        </w:rPr>
      </w:pPr>
      <w:bookmarkStart w:id="9645" w:name="_Toc530514359"/>
      <w:bookmarkStart w:id="9646" w:name="_Toc530514462"/>
      <w:bookmarkStart w:id="9647" w:name="_Toc530521880"/>
      <w:bookmarkStart w:id="9648" w:name="_Toc530524936"/>
      <w:bookmarkStart w:id="9649" w:name="_Toc530551078"/>
      <w:bookmarkStart w:id="9650" w:name="_Toc19435694"/>
      <w:bookmarkStart w:id="9651" w:name="_Toc20080962"/>
      <w:bookmarkStart w:id="9652" w:name="_Toc530083903"/>
      <w:bookmarkStart w:id="9653" w:name="_Toc530083939"/>
      <w:bookmarkStart w:id="9654" w:name="_Toc530147699"/>
      <w:bookmarkStart w:id="9655" w:name="_Toc530148027"/>
      <w:bookmarkStart w:id="9656" w:name="_Toc530348967"/>
      <w:bookmarkStart w:id="9657" w:name="_Toc530395858"/>
      <w:bookmarkStart w:id="9658" w:name="_Toc530411134"/>
      <w:bookmarkStart w:id="9659" w:name="_Toc530502992"/>
      <w:bookmarkStart w:id="9660" w:name="_Toc530504446"/>
      <w:r w:rsidRPr="00621064">
        <w:rPr>
          <w:rFonts w:hint="cs"/>
          <w:rtl/>
        </w:rPr>
        <w:t>בענין רוב בעילות אחר הבעל</w:t>
      </w:r>
      <w:bookmarkEnd w:id="9645"/>
      <w:bookmarkEnd w:id="9646"/>
      <w:bookmarkEnd w:id="9647"/>
      <w:bookmarkEnd w:id="9648"/>
      <w:bookmarkEnd w:id="9649"/>
      <w:bookmarkEnd w:id="9650"/>
      <w:bookmarkEnd w:id="9651"/>
    </w:p>
    <w:p w14:paraId="0A99F9AC" w14:textId="77777777" w:rsidR="00064C97" w:rsidRPr="00293C25" w:rsidRDefault="00064C97" w:rsidP="00BF39B2">
      <w:pPr>
        <w:pStyle w:val="1"/>
        <w:rPr>
          <w:rtl/>
        </w:rPr>
      </w:pPr>
      <w:bookmarkStart w:id="9661" w:name="_Toc530514360"/>
      <w:bookmarkStart w:id="9662" w:name="_Toc530514463"/>
      <w:bookmarkStart w:id="9663" w:name="_Toc530521881"/>
      <w:bookmarkStart w:id="9664" w:name="_Toc530524937"/>
      <w:bookmarkStart w:id="9665" w:name="_Toc530551079"/>
      <w:bookmarkStart w:id="9666" w:name="_Toc19390280"/>
      <w:bookmarkStart w:id="9667" w:name="_Toc19393777"/>
      <w:r w:rsidRPr="00621064">
        <w:rPr>
          <w:rFonts w:hint="cs"/>
          <w:rtl/>
        </w:rPr>
        <w:t>ביאור החת"ס</w:t>
      </w:r>
      <w:bookmarkEnd w:id="9652"/>
      <w:bookmarkEnd w:id="9653"/>
      <w:bookmarkEnd w:id="9654"/>
      <w:bookmarkEnd w:id="9655"/>
      <w:bookmarkEnd w:id="9656"/>
      <w:r w:rsidRPr="00621064">
        <w:rPr>
          <w:rFonts w:hint="cs"/>
          <w:rtl/>
        </w:rPr>
        <w:t xml:space="preserve"> ד</w:t>
      </w:r>
      <w:r>
        <w:rPr>
          <w:rFonts w:hint="cs"/>
          <w:rtl/>
        </w:rPr>
        <w:t xml:space="preserve">רוב בעילות אחר הבעל </w:t>
      </w:r>
      <w:r w:rsidRPr="00621064">
        <w:rPr>
          <w:rFonts w:hint="cs"/>
          <w:rtl/>
        </w:rPr>
        <w:t>הוא חזקה מכח רוב</w:t>
      </w:r>
      <w:bookmarkEnd w:id="9657"/>
      <w:bookmarkEnd w:id="9658"/>
      <w:bookmarkEnd w:id="9659"/>
      <w:bookmarkEnd w:id="9660"/>
      <w:bookmarkEnd w:id="9661"/>
      <w:bookmarkEnd w:id="9662"/>
      <w:bookmarkEnd w:id="9663"/>
      <w:bookmarkEnd w:id="9664"/>
      <w:bookmarkEnd w:id="9665"/>
      <w:bookmarkEnd w:id="9666"/>
      <w:bookmarkEnd w:id="9667"/>
    </w:p>
    <w:p w14:paraId="500C0104" w14:textId="77777777" w:rsidR="00064C97" w:rsidRDefault="00064C97" w:rsidP="006D6D32">
      <w:pPr>
        <w:pStyle w:val="a3"/>
        <w:rPr>
          <w:rtl/>
        </w:rPr>
      </w:pPr>
      <w:bookmarkStart w:id="9668" w:name="_Toc530514361"/>
      <w:bookmarkStart w:id="9669" w:name="_Toc530514464"/>
      <w:bookmarkStart w:id="9670" w:name="_Toc530521882"/>
      <w:bookmarkStart w:id="9671" w:name="_Toc530524938"/>
      <w:bookmarkStart w:id="9672" w:name="_Toc530551080"/>
      <w:bookmarkStart w:id="9673" w:name="_Toc19390281"/>
      <w:bookmarkStart w:id="9674" w:name="_Toc19393778"/>
      <w:r>
        <w:rPr>
          <w:rFonts w:hint="cs"/>
          <w:rtl/>
        </w:rPr>
        <w:t>קושית החת"ס דאין לנו ידיעה ודאית ברוב בעילות הבעל והיאך אזלינן בתריה</w:t>
      </w:r>
      <w:bookmarkEnd w:id="9668"/>
      <w:bookmarkEnd w:id="9669"/>
      <w:bookmarkEnd w:id="9670"/>
      <w:bookmarkEnd w:id="9671"/>
      <w:bookmarkEnd w:id="9672"/>
      <w:bookmarkEnd w:id="9673"/>
      <w:bookmarkEnd w:id="9674"/>
    </w:p>
    <w:p w14:paraId="778FE5DE" w14:textId="77777777" w:rsidR="00064C97" w:rsidRDefault="00064C97" w:rsidP="00223668">
      <w:pPr>
        <w:pStyle w:val="a0"/>
        <w:rPr>
          <w:rtl/>
        </w:rPr>
      </w:pPr>
      <w:r w:rsidRPr="00BC4EE9">
        <w:rPr>
          <w:rStyle w:val="af9"/>
          <w:rFonts w:hint="cs"/>
          <w:rtl/>
        </w:rPr>
        <w:t>החת"ס בב"ב</w:t>
      </w:r>
      <w:r>
        <w:rPr>
          <w:rFonts w:hint="cs"/>
          <w:rtl/>
        </w:rPr>
        <w:t xml:space="preserve"> </w:t>
      </w:r>
      <w:r w:rsidRPr="000B27DE">
        <w:rPr>
          <w:rStyle w:val="af7"/>
          <w:rFonts w:eastAsia="Guttman Hodes" w:hint="cs"/>
          <w:rtl/>
        </w:rPr>
        <w:t>(כג: סוד"ה אלא)</w:t>
      </w:r>
      <w:r>
        <w:rPr>
          <w:rFonts w:hint="cs"/>
          <w:rtl/>
        </w:rPr>
        <w:t xml:space="preserve"> הקשה האיך אזלינן אחר רוב בעילות אחר הבעל, הא לא ראינו שהבעל בעל את רוב הבעילות, עד שמכח זה אמרינן דהזרע שנתעברה ממנו, הוא מרוב הבעילות של הבעל, וחשיב שהולד פריש מרוב הבעילות.</w:t>
      </w:r>
      <w:r w:rsidRPr="00F251DB">
        <w:rPr>
          <w:rFonts w:hint="cs"/>
          <w:rtl/>
        </w:rPr>
        <w:t xml:space="preserve"> </w:t>
      </w:r>
      <w:r>
        <w:rPr>
          <w:rFonts w:hint="cs"/>
          <w:rtl/>
        </w:rPr>
        <w:t xml:space="preserve">וכן הקשה </w:t>
      </w:r>
      <w:r w:rsidRPr="00F251DB">
        <w:rPr>
          <w:rStyle w:val="af9"/>
          <w:rFonts w:hint="cs"/>
          <w:rtl/>
        </w:rPr>
        <w:t>החת"ס בתשו'</w:t>
      </w:r>
      <w:r>
        <w:rPr>
          <w:rFonts w:hint="cs"/>
          <w:rtl/>
        </w:rPr>
        <w:t xml:space="preserve"> </w:t>
      </w:r>
      <w:r w:rsidRPr="00F251DB">
        <w:rPr>
          <w:rStyle w:val="af7"/>
          <w:rFonts w:eastAsia="Guttman Hodes" w:hint="cs"/>
          <w:rtl/>
        </w:rPr>
        <w:t>(</w:t>
      </w:r>
      <w:r>
        <w:rPr>
          <w:rStyle w:val="af7"/>
          <w:rFonts w:eastAsia="Guttman Hodes" w:hint="cs"/>
          <w:rtl/>
        </w:rPr>
        <w:t>אבהע</w:t>
      </w:r>
      <w:r>
        <w:rPr>
          <w:rStyle w:val="af7"/>
          <w:rFonts w:eastAsia="Guttman Hodes"/>
          <w:rtl/>
        </w:rPr>
        <w:t>"</w:t>
      </w:r>
      <w:r>
        <w:rPr>
          <w:rStyle w:val="af7"/>
          <w:rFonts w:eastAsia="Guttman Hodes" w:hint="cs"/>
          <w:rtl/>
        </w:rPr>
        <w:t>ז ח</w:t>
      </w:r>
      <w:r>
        <w:rPr>
          <w:rStyle w:val="af7"/>
          <w:rFonts w:eastAsia="Guttman Hodes"/>
          <w:rtl/>
        </w:rPr>
        <w:t>"</w:t>
      </w:r>
      <w:r>
        <w:rPr>
          <w:rStyle w:val="af7"/>
          <w:rFonts w:eastAsia="Guttman Hodes" w:hint="cs"/>
          <w:rtl/>
        </w:rPr>
        <w:t>א סי</w:t>
      </w:r>
      <w:r>
        <w:rPr>
          <w:rStyle w:val="af7"/>
          <w:rFonts w:eastAsia="Guttman Hodes"/>
          <w:rtl/>
        </w:rPr>
        <w:t>'</w:t>
      </w:r>
      <w:r>
        <w:rPr>
          <w:rStyle w:val="af7"/>
          <w:rFonts w:eastAsia="Guttman Hodes" w:hint="cs"/>
          <w:rtl/>
        </w:rPr>
        <w:t xml:space="preserve"> ע</w:t>
      </w:r>
      <w:r>
        <w:rPr>
          <w:rStyle w:val="af7"/>
          <w:rFonts w:eastAsia="Guttman Hodes"/>
          <w:rtl/>
        </w:rPr>
        <w:t>"</w:t>
      </w:r>
      <w:r>
        <w:rPr>
          <w:rStyle w:val="af7"/>
          <w:rFonts w:eastAsia="Guttman Hodes" w:hint="cs"/>
          <w:rtl/>
        </w:rPr>
        <w:t xml:space="preserve">ו </w:t>
      </w:r>
      <w:r w:rsidRPr="00F251DB">
        <w:rPr>
          <w:rStyle w:val="af7"/>
          <w:rFonts w:eastAsia="Guttman Hodes" w:hint="cs"/>
          <w:rtl/>
        </w:rPr>
        <w:t>ד"ה א' ענין)</w:t>
      </w:r>
      <w:r>
        <w:rPr>
          <w:rFonts w:hint="cs"/>
          <w:rtl/>
        </w:rPr>
        <w:t xml:space="preserve"> דבבעל ונואף, כל מה שאפש"ל שרוב הבעילות הם מהבעל ומיעוט הם מהנואף, היינו דוקא במקום שראו עדים שהבעל בעל את רוב הבעילות, אך כיון שאין לנו כל עדות כזו, ויתכן שהבעל לא בא על אשתו כלל, או שבא עליה רק פעם אחת בשנה, היאך אמרינן דרוב בעילות אחר הבעל.</w:t>
      </w:r>
    </w:p>
    <w:p w14:paraId="667279AC" w14:textId="77777777" w:rsidR="00064C97" w:rsidRDefault="00064C97" w:rsidP="006D6D32">
      <w:pPr>
        <w:pStyle w:val="a3"/>
        <w:rPr>
          <w:rtl/>
        </w:rPr>
      </w:pPr>
      <w:bookmarkStart w:id="9675" w:name="_Toc530514362"/>
      <w:bookmarkStart w:id="9676" w:name="_Toc530514465"/>
      <w:bookmarkStart w:id="9677" w:name="_Toc530521883"/>
      <w:bookmarkStart w:id="9678" w:name="_Toc530524939"/>
      <w:bookmarkStart w:id="9679" w:name="_Toc530551081"/>
      <w:bookmarkStart w:id="9680" w:name="_Toc19390282"/>
      <w:bookmarkStart w:id="9681" w:name="_Toc19393779"/>
      <w:r>
        <w:rPr>
          <w:rFonts w:hint="cs"/>
          <w:rtl/>
        </w:rPr>
        <w:t>ביאור החת"ס דיש חזקה בבעל באשתו שבועל רוב בעילות והוא רובא דליתא קמן</w:t>
      </w:r>
      <w:bookmarkEnd w:id="9675"/>
      <w:bookmarkEnd w:id="9676"/>
      <w:bookmarkEnd w:id="9677"/>
      <w:bookmarkEnd w:id="9678"/>
      <w:bookmarkEnd w:id="9679"/>
      <w:bookmarkEnd w:id="9680"/>
      <w:bookmarkEnd w:id="9681"/>
    </w:p>
    <w:p w14:paraId="50B2976C" w14:textId="77777777" w:rsidR="00064C97" w:rsidRDefault="00064C97" w:rsidP="00223668">
      <w:pPr>
        <w:pStyle w:val="a0"/>
        <w:rPr>
          <w:rtl/>
        </w:rPr>
      </w:pPr>
      <w:bookmarkStart w:id="9682" w:name="_Ref530067723"/>
      <w:r>
        <w:rPr>
          <w:rFonts w:hint="cs"/>
          <w:rtl/>
        </w:rPr>
        <w:t xml:space="preserve">וביאר </w:t>
      </w:r>
      <w:r w:rsidRPr="00BC4EE9">
        <w:rPr>
          <w:rStyle w:val="af9"/>
          <w:rFonts w:hint="cs"/>
          <w:rtl/>
        </w:rPr>
        <w:t>החת"ס בב"ב</w:t>
      </w:r>
      <w:r>
        <w:rPr>
          <w:rFonts w:hint="cs"/>
          <w:rtl/>
        </w:rPr>
        <w:t xml:space="preserve"> שיש רובא דליתא קמן, דחזקה שאין אדם מעמיד את עצמו, ובאשתו המותרת לו בועל רוב בעילות, ממילא יש לפנינו רובא דאיתא קמן, שהולד פירש מרוב הבעילות שבעל אותה בעלה, והוסיף </w:t>
      </w:r>
      <w:r w:rsidRPr="00D10F18">
        <w:rPr>
          <w:rStyle w:val="af9"/>
          <w:rFonts w:hint="cs"/>
          <w:rtl/>
        </w:rPr>
        <w:t>החת"ס בתשו'</w:t>
      </w:r>
      <w:r>
        <w:rPr>
          <w:rFonts w:hint="cs"/>
          <w:rtl/>
        </w:rPr>
        <w:t xml:space="preserve"> </w:t>
      </w:r>
      <w:r w:rsidRPr="00D10F18">
        <w:rPr>
          <w:rStyle w:val="af7"/>
          <w:rFonts w:eastAsia="Guttman Hodes" w:hint="cs"/>
          <w:rtl/>
        </w:rPr>
        <w:t>(</w:t>
      </w:r>
      <w:r>
        <w:rPr>
          <w:rStyle w:val="af7"/>
          <w:rFonts w:eastAsia="Guttman Hodes" w:hint="cs"/>
          <w:rtl/>
        </w:rPr>
        <w:t>אבהע</w:t>
      </w:r>
      <w:r>
        <w:rPr>
          <w:rStyle w:val="af7"/>
          <w:rFonts w:eastAsia="Guttman Hodes"/>
          <w:rtl/>
        </w:rPr>
        <w:t>"</w:t>
      </w:r>
      <w:r>
        <w:rPr>
          <w:rStyle w:val="af7"/>
          <w:rFonts w:eastAsia="Guttman Hodes" w:hint="cs"/>
          <w:rtl/>
        </w:rPr>
        <w:t>ז ח</w:t>
      </w:r>
      <w:r>
        <w:rPr>
          <w:rStyle w:val="af7"/>
          <w:rFonts w:eastAsia="Guttman Hodes"/>
          <w:rtl/>
        </w:rPr>
        <w:t>"</w:t>
      </w:r>
      <w:r>
        <w:rPr>
          <w:rStyle w:val="af7"/>
          <w:rFonts w:eastAsia="Guttman Hodes" w:hint="cs"/>
          <w:rtl/>
        </w:rPr>
        <w:t>א סי</w:t>
      </w:r>
      <w:r>
        <w:rPr>
          <w:rStyle w:val="af7"/>
          <w:rFonts w:eastAsia="Guttman Hodes"/>
          <w:rtl/>
        </w:rPr>
        <w:t>'</w:t>
      </w:r>
      <w:r>
        <w:rPr>
          <w:rStyle w:val="af7"/>
          <w:rFonts w:eastAsia="Guttman Hodes" w:hint="cs"/>
          <w:rtl/>
        </w:rPr>
        <w:t xml:space="preserve"> ע</w:t>
      </w:r>
      <w:r>
        <w:rPr>
          <w:rStyle w:val="af7"/>
          <w:rFonts w:eastAsia="Guttman Hodes"/>
          <w:rtl/>
        </w:rPr>
        <w:t>"</w:t>
      </w:r>
      <w:r>
        <w:rPr>
          <w:rStyle w:val="af7"/>
          <w:rFonts w:eastAsia="Guttman Hodes" w:hint="cs"/>
          <w:rtl/>
        </w:rPr>
        <w:t>ו</w:t>
      </w:r>
      <w:r w:rsidRPr="00D10F18">
        <w:rPr>
          <w:rStyle w:val="af7"/>
          <w:rFonts w:eastAsia="Guttman Hodes" w:hint="cs"/>
          <w:rtl/>
        </w:rPr>
        <w:t xml:space="preserve"> ד"ה א' ענין)</w:t>
      </w:r>
      <w:r>
        <w:rPr>
          <w:rFonts w:hint="cs"/>
          <w:rtl/>
        </w:rPr>
        <w:t xml:space="preserve"> דמכח חזקה זו אמרינן שהבעל בועל כמה בעילות, ואילו נואף בועל במקרה, </w:t>
      </w:r>
      <w:r w:rsidRPr="0089587B">
        <w:rPr>
          <w:rStyle w:val="afb"/>
          <w:rFonts w:hint="cs"/>
          <w:rtl/>
        </w:rPr>
        <w:t>[וברוב מצוות התורה אזלינן בהו בתר חזקה כזו]</w:t>
      </w:r>
      <w:r>
        <w:rPr>
          <w:rStyle w:val="afb"/>
          <w:rFonts w:hint="cs"/>
          <w:rtl/>
        </w:rPr>
        <w:t>.</w:t>
      </w:r>
    </w:p>
    <w:p w14:paraId="6E67DF33" w14:textId="77777777" w:rsidR="00064C97" w:rsidRPr="00621064" w:rsidRDefault="00064C97" w:rsidP="006D6D32">
      <w:pPr>
        <w:pStyle w:val="a3"/>
      </w:pPr>
      <w:bookmarkStart w:id="9683" w:name="_Toc530514363"/>
      <w:bookmarkStart w:id="9684" w:name="_Toc530514466"/>
      <w:bookmarkStart w:id="9685" w:name="_Toc530521884"/>
      <w:bookmarkStart w:id="9686" w:name="_Toc530524940"/>
      <w:bookmarkStart w:id="9687" w:name="_Toc530551082"/>
      <w:bookmarkStart w:id="9688" w:name="_Toc19390283"/>
      <w:bookmarkStart w:id="9689" w:name="_Toc19393780"/>
      <w:r>
        <w:rPr>
          <w:rFonts w:hint="cs"/>
          <w:rtl/>
        </w:rPr>
        <w:t>ביאור החת"ס בדברי הרמב"ם דממכה אביו ילפינן דאזלינן בתר רוב ובתר חזקה מכח רוב</w:t>
      </w:r>
      <w:bookmarkEnd w:id="9683"/>
      <w:bookmarkEnd w:id="9684"/>
      <w:bookmarkEnd w:id="9685"/>
      <w:bookmarkEnd w:id="9686"/>
      <w:bookmarkEnd w:id="9687"/>
      <w:bookmarkEnd w:id="9688"/>
      <w:bookmarkEnd w:id="9689"/>
    </w:p>
    <w:p w14:paraId="21EAA6FC" w14:textId="77777777" w:rsidR="00064C97" w:rsidRPr="00FC2259" w:rsidRDefault="00064C97" w:rsidP="00223668">
      <w:pPr>
        <w:pStyle w:val="a0"/>
        <w:rPr>
          <w:rtl/>
        </w:rPr>
      </w:pPr>
      <w:bookmarkStart w:id="9690" w:name="_Ref530512541"/>
      <w:r>
        <w:rPr>
          <w:rFonts w:hint="cs"/>
          <w:rtl/>
        </w:rPr>
        <w:t xml:space="preserve">ובזה תירץ </w:t>
      </w:r>
      <w:r w:rsidRPr="00BC4EE9">
        <w:rPr>
          <w:rStyle w:val="af9"/>
          <w:rFonts w:hint="cs"/>
          <w:rtl/>
        </w:rPr>
        <w:t>החת"ס</w:t>
      </w:r>
      <w:r>
        <w:rPr>
          <w:rStyle w:val="af9"/>
          <w:rFonts w:hint="cs"/>
          <w:rtl/>
        </w:rPr>
        <w:t xml:space="preserve"> בב"ב </w:t>
      </w:r>
      <w:r>
        <w:rPr>
          <w:rFonts w:hint="cs"/>
          <w:rtl/>
        </w:rPr>
        <w:t xml:space="preserve">את דברי </w:t>
      </w:r>
      <w:r w:rsidRPr="00BC4EE9">
        <w:rPr>
          <w:rStyle w:val="af9"/>
          <w:rFonts w:hint="cs"/>
          <w:rtl/>
        </w:rPr>
        <w:t>הרמב"ם</w:t>
      </w:r>
      <w:r>
        <w:rPr>
          <w:rFonts w:hint="cs"/>
          <w:rtl/>
        </w:rPr>
        <w:t xml:space="preserve"> </w:t>
      </w:r>
      <w:r w:rsidRPr="00D10F18">
        <w:rPr>
          <w:rStyle w:val="af7"/>
          <w:rFonts w:eastAsia="Guttman Hodes" w:hint="cs"/>
          <w:rtl/>
        </w:rPr>
        <w:t xml:space="preserve">(עי' אות </w:t>
      </w:r>
      <w:r w:rsidRPr="00D10F18">
        <w:rPr>
          <w:rStyle w:val="af7"/>
          <w:rFonts w:eastAsia="Guttman Hodes"/>
          <w:rtl/>
        </w:rPr>
        <w:fldChar w:fldCharType="begin"/>
      </w:r>
      <w:r w:rsidRPr="00D10F18">
        <w:rPr>
          <w:rStyle w:val="af7"/>
          <w:rFonts w:eastAsia="Guttman Hodes"/>
          <w:rtl/>
        </w:rPr>
        <w:instrText xml:space="preserve"> </w:instrText>
      </w:r>
      <w:r w:rsidRPr="00D10F18">
        <w:rPr>
          <w:rStyle w:val="af7"/>
          <w:rFonts w:eastAsia="Guttman Hodes" w:hint="cs"/>
        </w:rPr>
        <w:instrText>REF</w:instrText>
      </w:r>
      <w:r w:rsidRPr="00D10F18">
        <w:rPr>
          <w:rStyle w:val="af7"/>
          <w:rFonts w:eastAsia="Guttman Hodes" w:hint="cs"/>
          <w:rtl/>
        </w:rPr>
        <w:instrText xml:space="preserve"> _</w:instrText>
      </w:r>
      <w:r w:rsidRPr="00D10F18">
        <w:rPr>
          <w:rStyle w:val="af7"/>
          <w:rFonts w:eastAsia="Guttman Hodes" w:hint="cs"/>
        </w:rPr>
        <w:instrText>Ref529872696 \r \h</w:instrText>
      </w:r>
      <w:r w:rsidRPr="00D10F18">
        <w:rPr>
          <w:rStyle w:val="af7"/>
          <w:rFonts w:eastAsia="Guttman Hodes"/>
          <w:rtl/>
        </w:rPr>
        <w:instrText xml:space="preserve"> </w:instrText>
      </w:r>
      <w:r w:rsidRPr="00D10F18">
        <w:rPr>
          <w:rStyle w:val="af7"/>
          <w:rFonts w:eastAsia="Guttman Hodes"/>
          <w:rtl/>
        </w:rPr>
      </w:r>
      <w:r w:rsidRPr="00D10F18">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D10F18">
        <w:rPr>
          <w:rStyle w:val="af7"/>
          <w:rFonts w:eastAsia="Guttman Hodes"/>
          <w:rtl/>
        </w:rPr>
        <w:fldChar w:fldCharType="end"/>
      </w:r>
      <w:r>
        <w:rPr>
          <w:rFonts w:hint="cs"/>
          <w:rtl/>
        </w:rPr>
        <w:t xml:space="preserve"> דכוונת הירושלמי בקידושין </w:t>
      </w:r>
      <w:r w:rsidRPr="00D10F18">
        <w:rPr>
          <w:rStyle w:val="af7"/>
          <w:rFonts w:eastAsia="Guttman Hodes" w:hint="cs"/>
          <w:rtl/>
        </w:rPr>
        <w:t>(פ"ד ה"י דף מז.)</w:t>
      </w:r>
      <w:r w:rsidRPr="00AC7444">
        <w:rPr>
          <w:rFonts w:hint="cs"/>
          <w:rtl/>
        </w:rPr>
        <w:t xml:space="preserve"> </w:t>
      </w:r>
      <w:r>
        <w:rPr>
          <w:rFonts w:hint="cs"/>
          <w:rtl/>
        </w:rPr>
        <w:t xml:space="preserve">לומר דממכה אביו ילפינן את דין חזקה, היינו לחזקה מכח הרוב דאין אדם מעמיד את עצמו, ובועל את רוב הבעילות, </w:t>
      </w:r>
      <w:bookmarkEnd w:id="9682"/>
      <w:r>
        <w:rPr>
          <w:rFonts w:hint="cs"/>
          <w:rtl/>
        </w:rPr>
        <w:t xml:space="preserve">והוסיף </w:t>
      </w:r>
      <w:r w:rsidRPr="0081685A">
        <w:rPr>
          <w:rStyle w:val="af9"/>
          <w:rFonts w:hint="cs"/>
          <w:rtl/>
        </w:rPr>
        <w:t>החת"ס בתשו'</w:t>
      </w:r>
      <w:r>
        <w:rPr>
          <w:rFonts w:hint="cs"/>
          <w:rtl/>
        </w:rPr>
        <w:t xml:space="preserve"> דממכה אביו מוכח דאזלינן גם בתר חזקת מנהג דאין הבעל מעמיד עצמו, וגם בתר הרוב, דאי לא אזלינן בתר חזקת המנהג, לא שייך לומר דרוב בעילות אחר הבעל, ואי לא אזלינן בתר רוב בעילות וחיישינן למיעוט, לא מהני החזקה כלל</w:t>
      </w:r>
      <w:r w:rsidRPr="00FC2259">
        <w:rPr>
          <w:rFonts w:hint="cs"/>
          <w:rtl/>
        </w:rPr>
        <w:t xml:space="preserve">, וכתב </w:t>
      </w:r>
      <w:r w:rsidRPr="00FC2259">
        <w:rPr>
          <w:rStyle w:val="af9"/>
          <w:rFonts w:hint="cs"/>
          <w:rtl/>
        </w:rPr>
        <w:t xml:space="preserve">החת"ס בתשו' </w:t>
      </w:r>
      <w:r w:rsidRPr="00FC2259">
        <w:rPr>
          <w:rFonts w:hint="cs"/>
          <w:rtl/>
        </w:rPr>
        <w:t xml:space="preserve">דא"כ דברי הגמ' בסוגיין ודברי הירושלמי הם דבר אחד. וכתב </w:t>
      </w:r>
      <w:r w:rsidRPr="00FC2259">
        <w:rPr>
          <w:rStyle w:val="af9"/>
          <w:rFonts w:hint="cs"/>
          <w:rtl/>
        </w:rPr>
        <w:t>החת"ס</w:t>
      </w:r>
      <w:r w:rsidRPr="00FC2259">
        <w:rPr>
          <w:rFonts w:hint="cs"/>
          <w:rtl/>
        </w:rPr>
        <w:t xml:space="preserve"> דכעי"ז תירץ </w:t>
      </w:r>
      <w:r w:rsidRPr="00FC2259">
        <w:rPr>
          <w:rStyle w:val="af9"/>
          <w:rFonts w:hint="cs"/>
          <w:rtl/>
        </w:rPr>
        <w:t>הסדרי טהרה</w:t>
      </w:r>
      <w:r w:rsidRPr="00FC2259">
        <w:rPr>
          <w:rFonts w:hint="cs"/>
          <w:rtl/>
        </w:rPr>
        <w:t xml:space="preserve"> </w:t>
      </w:r>
      <w:r w:rsidRPr="00FC2259">
        <w:rPr>
          <w:rStyle w:val="af7"/>
          <w:rFonts w:eastAsia="Guttman Hodes" w:hint="cs"/>
          <w:rtl/>
        </w:rPr>
        <w:t>(קפ"ה סק"א)</w:t>
      </w:r>
      <w:r w:rsidRPr="00FC2259">
        <w:rPr>
          <w:rFonts w:hint="cs"/>
          <w:rtl/>
        </w:rPr>
        <w:t xml:space="preserve"> עיי"ש בדבריו</w:t>
      </w:r>
      <w:r>
        <w:rPr>
          <w:rFonts w:hint="cs"/>
          <w:rtl/>
        </w:rPr>
        <w:t>.</w:t>
      </w:r>
      <w:bookmarkEnd w:id="9690"/>
    </w:p>
    <w:p w14:paraId="4214C3F9" w14:textId="77777777" w:rsidR="00064C97" w:rsidRDefault="00064C97" w:rsidP="006D6D32">
      <w:pPr>
        <w:pStyle w:val="a3"/>
        <w:rPr>
          <w:rtl/>
        </w:rPr>
      </w:pPr>
      <w:bookmarkStart w:id="9691" w:name="_Toc530514364"/>
      <w:bookmarkStart w:id="9692" w:name="_Toc530514467"/>
      <w:bookmarkStart w:id="9693" w:name="_Toc530521885"/>
      <w:bookmarkStart w:id="9694" w:name="_Toc530524941"/>
      <w:bookmarkStart w:id="9695" w:name="_Toc530551083"/>
      <w:bookmarkStart w:id="9696" w:name="_Toc19390284"/>
      <w:bookmarkStart w:id="9697" w:name="_Toc19393781"/>
      <w:r>
        <w:rPr>
          <w:rFonts w:hint="cs"/>
          <w:rtl/>
        </w:rPr>
        <w:t>ביאור החת"ס בתשו' דא"א לומר דחזקה שבועל את אשתו הוא רוב דא"כ הוא תלוי במעשה</w:t>
      </w:r>
      <w:bookmarkEnd w:id="9691"/>
      <w:bookmarkEnd w:id="9692"/>
      <w:bookmarkEnd w:id="9693"/>
      <w:bookmarkEnd w:id="9694"/>
      <w:bookmarkEnd w:id="9695"/>
      <w:bookmarkEnd w:id="9696"/>
      <w:bookmarkEnd w:id="9697"/>
    </w:p>
    <w:p w14:paraId="31AF0AAA" w14:textId="77777777" w:rsidR="00064C97" w:rsidRDefault="00064C97" w:rsidP="00223668">
      <w:pPr>
        <w:pStyle w:val="a0"/>
        <w:rPr>
          <w:rtl/>
        </w:rPr>
      </w:pPr>
      <w:r>
        <w:rPr>
          <w:rFonts w:hint="cs"/>
          <w:rtl/>
        </w:rPr>
        <w:t xml:space="preserve">וכתב </w:t>
      </w:r>
      <w:r w:rsidRPr="00293C25">
        <w:rPr>
          <w:rStyle w:val="af9"/>
          <w:rFonts w:hint="cs"/>
          <w:rtl/>
        </w:rPr>
        <w:t>החת"ס בתשו'</w:t>
      </w:r>
      <w:r>
        <w:rPr>
          <w:rFonts w:hint="cs"/>
          <w:rtl/>
        </w:rPr>
        <w:t xml:space="preserve"> דאין לדחות ולומר דהחזקה שאין אדם מעמיד את עצמו, היא גופא דין רוב שרובא דאינשי אינם מעמידים את עצמם, דהא מצד רוב א"א לומר דאזלינן בתר רוב כזה, דהוא רוב התלוי במעשה, ומוכח דהוא דין חזקה, וכדכתב </w:t>
      </w:r>
      <w:r w:rsidRPr="00293C25">
        <w:rPr>
          <w:rStyle w:val="af9"/>
          <w:rFonts w:hint="cs"/>
          <w:rtl/>
        </w:rPr>
        <w:t>הרמב"ם</w:t>
      </w:r>
      <w:r>
        <w:rPr>
          <w:rStyle w:val="af1"/>
          <w:rtl/>
        </w:rPr>
        <w:footnoteReference w:id="73"/>
      </w:r>
      <w:r>
        <w:rPr>
          <w:rFonts w:hint="cs"/>
          <w:rtl/>
        </w:rPr>
        <w:t>.</w:t>
      </w:r>
    </w:p>
    <w:p w14:paraId="2338E21E" w14:textId="77777777" w:rsidR="00D37F3A" w:rsidRPr="00D37F3A" w:rsidRDefault="00D37F3A" w:rsidP="006D6D32">
      <w:pPr>
        <w:pStyle w:val="a3"/>
        <w:rPr>
          <w:rtl/>
        </w:rPr>
      </w:pPr>
    </w:p>
    <w:p w14:paraId="584761E1" w14:textId="77777777" w:rsidR="00D37F3A" w:rsidRPr="00D37F3A" w:rsidRDefault="00D37F3A" w:rsidP="006D6D32">
      <w:pPr>
        <w:pStyle w:val="a3"/>
        <w:rPr>
          <w:rtl/>
        </w:rPr>
      </w:pPr>
    </w:p>
    <w:p w14:paraId="4582CB6E" w14:textId="77777777" w:rsidR="00064C97" w:rsidRDefault="00064C97" w:rsidP="00BF39B2">
      <w:pPr>
        <w:pStyle w:val="1"/>
        <w:rPr>
          <w:rtl/>
        </w:rPr>
      </w:pPr>
      <w:bookmarkStart w:id="9698" w:name="_Toc530348974"/>
      <w:bookmarkStart w:id="9699" w:name="_Toc530395865"/>
      <w:bookmarkStart w:id="9700" w:name="_Toc530411136"/>
      <w:bookmarkStart w:id="9701" w:name="_Toc530502994"/>
      <w:bookmarkStart w:id="9702" w:name="_Toc530504451"/>
      <w:bookmarkStart w:id="9703" w:name="_Toc530514365"/>
      <w:bookmarkStart w:id="9704" w:name="_Toc530514468"/>
      <w:bookmarkStart w:id="9705" w:name="_Toc530521886"/>
      <w:bookmarkStart w:id="9706" w:name="_Toc530524942"/>
      <w:bookmarkStart w:id="9707" w:name="_Toc530551084"/>
      <w:bookmarkStart w:id="9708" w:name="_Toc19390285"/>
      <w:bookmarkStart w:id="9709" w:name="_Toc19393782"/>
      <w:bookmarkStart w:id="9710" w:name="_Toc530083901"/>
      <w:bookmarkStart w:id="9711" w:name="_Toc530083937"/>
      <w:bookmarkStart w:id="9712" w:name="_Toc530147704"/>
      <w:bookmarkStart w:id="9713" w:name="_Toc530148032"/>
      <w:bookmarkStart w:id="9714" w:name="_Toc530083908"/>
      <w:bookmarkStart w:id="9715" w:name="_Toc530083944"/>
      <w:r>
        <w:rPr>
          <w:rFonts w:hint="cs"/>
          <w:rtl/>
        </w:rPr>
        <w:t>דברי הרמב"ן והתוס' ברוב בעילות אי הוא רוב התלוי במעשה</w:t>
      </w:r>
      <w:bookmarkEnd w:id="9698"/>
      <w:bookmarkEnd w:id="9699"/>
      <w:bookmarkEnd w:id="9700"/>
      <w:bookmarkEnd w:id="9701"/>
      <w:bookmarkEnd w:id="9702"/>
      <w:bookmarkEnd w:id="9703"/>
      <w:bookmarkEnd w:id="9704"/>
      <w:bookmarkEnd w:id="9705"/>
      <w:bookmarkEnd w:id="9706"/>
      <w:bookmarkEnd w:id="9707"/>
      <w:bookmarkEnd w:id="9708"/>
      <w:bookmarkEnd w:id="9709"/>
    </w:p>
    <w:p w14:paraId="45C31ADE" w14:textId="77777777" w:rsidR="00064C97" w:rsidRDefault="00064C97" w:rsidP="006D6D32">
      <w:pPr>
        <w:pStyle w:val="a3"/>
        <w:rPr>
          <w:rtl/>
        </w:rPr>
      </w:pPr>
      <w:bookmarkStart w:id="9716" w:name="_Toc530514366"/>
      <w:bookmarkStart w:id="9717" w:name="_Toc530514469"/>
      <w:bookmarkStart w:id="9718" w:name="_Toc530521887"/>
      <w:bookmarkStart w:id="9719" w:name="_Toc530524943"/>
      <w:bookmarkStart w:id="9720" w:name="_Toc530551085"/>
      <w:bookmarkStart w:id="9721" w:name="_Toc19390286"/>
      <w:bookmarkStart w:id="9722" w:name="_Toc19393783"/>
      <w:r>
        <w:rPr>
          <w:rFonts w:hint="cs"/>
          <w:rtl/>
        </w:rPr>
        <w:t>קושית הרמב"ן דרוב בעילות אחר הבעל הוא רוב התלוי במעשה</w:t>
      </w:r>
      <w:bookmarkEnd w:id="9716"/>
      <w:bookmarkEnd w:id="9717"/>
      <w:bookmarkEnd w:id="9718"/>
      <w:bookmarkEnd w:id="9719"/>
      <w:bookmarkEnd w:id="9720"/>
      <w:bookmarkEnd w:id="9721"/>
      <w:bookmarkEnd w:id="9722"/>
    </w:p>
    <w:p w14:paraId="68EAA3AB" w14:textId="77777777" w:rsidR="00064C97" w:rsidRDefault="00064C97" w:rsidP="00223668">
      <w:pPr>
        <w:pStyle w:val="a0"/>
        <w:rPr>
          <w:rtl/>
        </w:rPr>
      </w:pPr>
      <w:r>
        <w:rPr>
          <w:rFonts w:hint="cs"/>
          <w:rtl/>
        </w:rPr>
        <w:t xml:space="preserve">כתב </w:t>
      </w:r>
      <w:r w:rsidRPr="00604389">
        <w:rPr>
          <w:rStyle w:val="af9"/>
          <w:rFonts w:hint="cs"/>
          <w:rtl/>
        </w:rPr>
        <w:t>הרמב"ן</w:t>
      </w:r>
      <w:r>
        <w:rPr>
          <w:rFonts w:hint="cs"/>
          <w:rtl/>
        </w:rPr>
        <w:t xml:space="preserve"> </w:t>
      </w:r>
      <w:r w:rsidRPr="000D0BCE">
        <w:rPr>
          <w:rStyle w:val="af7"/>
          <w:rFonts w:eastAsia="Guttman Hodes" w:hint="cs"/>
          <w:rtl/>
        </w:rPr>
        <w:t>(ד"ה וליחוש)</w:t>
      </w:r>
      <w:r>
        <w:rPr>
          <w:rFonts w:hint="cs"/>
          <w:rtl/>
        </w:rPr>
        <w:t xml:space="preserve"> דהא דאמרינן דע"י רוב בעילות אחר הבעל, חשיב ודאי אביו, ה"ה לכל העריות שהם מחמת קורבת האב, והקשה </w:t>
      </w:r>
      <w:r w:rsidRPr="00604389">
        <w:rPr>
          <w:rStyle w:val="af9"/>
          <w:rFonts w:hint="cs"/>
          <w:rtl/>
        </w:rPr>
        <w:t>הרמב"ן</w:t>
      </w:r>
      <w:r>
        <w:rPr>
          <w:rFonts w:hint="cs"/>
          <w:rtl/>
        </w:rPr>
        <w:t xml:space="preserve"> דהא בגמ' בבכורות </w:t>
      </w:r>
      <w:r w:rsidRPr="000D0BCE">
        <w:rPr>
          <w:rStyle w:val="af7"/>
          <w:rFonts w:eastAsia="Guttman Hodes" w:hint="cs"/>
          <w:rtl/>
        </w:rPr>
        <w:t>(יט:)</w:t>
      </w:r>
      <w:r>
        <w:rPr>
          <w:rFonts w:hint="cs"/>
          <w:rtl/>
        </w:rPr>
        <w:t xml:space="preserve"> אמרינן דרוב בהמות מתעברות ויולדות הוא רוב התלוי במעשה, וא"כ אף ברוב בעילות אחר הבעל הוא רוב התלוי במעשה.</w:t>
      </w:r>
    </w:p>
    <w:p w14:paraId="0C95BBFA" w14:textId="77777777" w:rsidR="00064C97" w:rsidRPr="00FC3F27" w:rsidRDefault="00064C97" w:rsidP="006D6D32">
      <w:pPr>
        <w:pStyle w:val="a3"/>
      </w:pPr>
      <w:bookmarkStart w:id="9723" w:name="_Toc530514367"/>
      <w:bookmarkStart w:id="9724" w:name="_Toc530514470"/>
      <w:bookmarkStart w:id="9725" w:name="_Toc530521888"/>
      <w:bookmarkStart w:id="9726" w:name="_Toc530524944"/>
      <w:bookmarkStart w:id="9727" w:name="_Toc530551086"/>
      <w:bookmarkStart w:id="9728" w:name="_Toc19390287"/>
      <w:bookmarkStart w:id="9729" w:name="_Toc19393784"/>
      <w:r>
        <w:rPr>
          <w:rFonts w:hint="cs"/>
          <w:rtl/>
        </w:rPr>
        <w:t>תירוץ הרמב"ן דהיכא שהמיעוט גם תלוי במעשה אזלינן אף בתר רוב התלוי במעשה</w:t>
      </w:r>
      <w:bookmarkEnd w:id="9723"/>
      <w:bookmarkEnd w:id="9724"/>
      <w:bookmarkEnd w:id="9725"/>
      <w:bookmarkEnd w:id="9726"/>
      <w:bookmarkEnd w:id="9727"/>
      <w:bookmarkEnd w:id="9728"/>
      <w:bookmarkEnd w:id="9729"/>
    </w:p>
    <w:p w14:paraId="67592C07" w14:textId="77777777" w:rsidR="00064C97" w:rsidRDefault="00064C97" w:rsidP="00223668">
      <w:pPr>
        <w:pStyle w:val="a0"/>
        <w:rPr>
          <w:rtl/>
        </w:rPr>
      </w:pPr>
      <w:r>
        <w:rPr>
          <w:rFonts w:hint="cs"/>
          <w:rtl/>
        </w:rPr>
        <w:t xml:space="preserve">ותירץ </w:t>
      </w:r>
      <w:r w:rsidRPr="00604389">
        <w:rPr>
          <w:rStyle w:val="af9"/>
          <w:rFonts w:hint="cs"/>
          <w:rtl/>
        </w:rPr>
        <w:t>הרמב"ן</w:t>
      </w:r>
      <w:r>
        <w:rPr>
          <w:rFonts w:hint="cs"/>
          <w:rtl/>
        </w:rPr>
        <w:t xml:space="preserve"> דהא דלא אזלינן בתר רוב התלוי במעשה, היינו דוקא כשהמיעוט אינו  תלוי במעשה, דכיון שהמיעוט הוא ממילא הוא שכיח, אבל הכא שבין הרוב ובין המיעוט תלויים במעשה, ממילא הרוב מצוי יותר ואזלינן בתריה, כמו במקום שבין הרוב ובין המיעוט אינם תלויים במעשה.</w:t>
      </w:r>
    </w:p>
    <w:p w14:paraId="62FAE9F3" w14:textId="77777777" w:rsidR="00064C97" w:rsidRDefault="00064C97" w:rsidP="006D6D32">
      <w:pPr>
        <w:pStyle w:val="a3"/>
        <w:rPr>
          <w:rtl/>
        </w:rPr>
      </w:pPr>
      <w:bookmarkStart w:id="9730" w:name="_Toc530514368"/>
      <w:bookmarkStart w:id="9731" w:name="_Toc530514471"/>
      <w:bookmarkStart w:id="9732" w:name="_Toc530521889"/>
      <w:bookmarkStart w:id="9733" w:name="_Toc530524945"/>
      <w:bookmarkStart w:id="9734" w:name="_Toc530551087"/>
      <w:bookmarkStart w:id="9735" w:name="_Toc19390288"/>
      <w:bookmarkStart w:id="9736" w:name="_Toc19393785"/>
      <w:r>
        <w:rPr>
          <w:rFonts w:hint="cs"/>
          <w:rtl/>
        </w:rPr>
        <w:t>דעת התוס' דבעילות הבעל לא חשיב תלוי במעשה ובעילת זנות ורביעת בהמה תלוי במעשה</w:t>
      </w:r>
      <w:bookmarkEnd w:id="9730"/>
      <w:bookmarkEnd w:id="9731"/>
      <w:bookmarkEnd w:id="9732"/>
      <w:bookmarkEnd w:id="9733"/>
      <w:bookmarkEnd w:id="9734"/>
      <w:bookmarkEnd w:id="9735"/>
      <w:bookmarkEnd w:id="9736"/>
    </w:p>
    <w:p w14:paraId="4EEDEE36" w14:textId="77777777" w:rsidR="00064C97" w:rsidRDefault="00064C97" w:rsidP="00223668">
      <w:pPr>
        <w:pStyle w:val="a0"/>
        <w:rPr>
          <w:rtl/>
        </w:rPr>
      </w:pPr>
      <w:r w:rsidRPr="00D157AF">
        <w:rPr>
          <w:rStyle w:val="af9"/>
          <w:rFonts w:hint="cs"/>
          <w:rtl/>
        </w:rPr>
        <w:t>ובמלא הרועים</w:t>
      </w:r>
      <w:r>
        <w:rPr>
          <w:rFonts w:hint="cs"/>
          <w:rtl/>
        </w:rPr>
        <w:t xml:space="preserve"> </w:t>
      </w:r>
      <w:r w:rsidRPr="000D0BCE">
        <w:rPr>
          <w:rStyle w:val="af7"/>
          <w:rFonts w:eastAsia="Guttman Hodes" w:hint="cs"/>
          <w:rtl/>
        </w:rPr>
        <w:t>(ד"ה אלא לאו)</w:t>
      </w:r>
      <w:r>
        <w:rPr>
          <w:rFonts w:hint="cs"/>
          <w:rtl/>
        </w:rPr>
        <w:t xml:space="preserve"> הביא את דברי </w:t>
      </w:r>
      <w:r w:rsidRPr="00D157AF">
        <w:rPr>
          <w:rStyle w:val="af9"/>
          <w:rFonts w:hint="cs"/>
          <w:rtl/>
        </w:rPr>
        <w:t>התוס' ביבמות</w:t>
      </w:r>
      <w:r>
        <w:rPr>
          <w:rFonts w:hint="cs"/>
          <w:rtl/>
        </w:rPr>
        <w:t xml:space="preserve"> </w:t>
      </w:r>
      <w:r w:rsidRPr="000D0BCE">
        <w:rPr>
          <w:rStyle w:val="af7"/>
          <w:rFonts w:eastAsia="Guttman Hodes" w:hint="cs"/>
          <w:rtl/>
        </w:rPr>
        <w:t>(קיט. ד"ה ר"מ)</w:t>
      </w:r>
      <w:r>
        <w:rPr>
          <w:rFonts w:hint="cs"/>
          <w:rtl/>
        </w:rPr>
        <w:t xml:space="preserve"> </w:t>
      </w:r>
      <w:r w:rsidRPr="00D157AF">
        <w:rPr>
          <w:rStyle w:val="af9"/>
          <w:rFonts w:hint="cs"/>
          <w:rtl/>
        </w:rPr>
        <w:t>ובבכורות</w:t>
      </w:r>
      <w:r>
        <w:rPr>
          <w:rFonts w:hint="cs"/>
          <w:rtl/>
        </w:rPr>
        <w:t xml:space="preserve"> </w:t>
      </w:r>
      <w:r w:rsidRPr="000D0BCE">
        <w:rPr>
          <w:rStyle w:val="af7"/>
          <w:rFonts w:eastAsia="Guttman Hodes" w:hint="cs"/>
          <w:rtl/>
        </w:rPr>
        <w:t>(כ. ד"ה רבינא)</w:t>
      </w:r>
      <w:r>
        <w:rPr>
          <w:rFonts w:hint="cs"/>
          <w:rtl/>
        </w:rPr>
        <w:t xml:space="preserve"> דכתבו דדדוקא רביעה של בהמה חשיב רוב התלוי במעשה, דתשמיש של אדם לא חשיב מעשה, ואינו רוב התלוי במעשה, אבל תשמיש זנות חשיב מעשה.</w:t>
      </w:r>
    </w:p>
    <w:p w14:paraId="18D86CC7" w14:textId="77777777" w:rsidR="00064C97" w:rsidRDefault="00064C97" w:rsidP="006D6D32">
      <w:pPr>
        <w:pStyle w:val="a3"/>
        <w:rPr>
          <w:rtl/>
        </w:rPr>
      </w:pPr>
      <w:bookmarkStart w:id="9737" w:name="_Toc530514369"/>
      <w:bookmarkStart w:id="9738" w:name="_Toc530514472"/>
      <w:bookmarkStart w:id="9739" w:name="_Toc530521890"/>
      <w:bookmarkStart w:id="9740" w:name="_Toc530524946"/>
      <w:bookmarkStart w:id="9741" w:name="_Toc530551088"/>
      <w:bookmarkStart w:id="9742" w:name="_Toc19390289"/>
      <w:bookmarkStart w:id="9743" w:name="_Toc19393786"/>
      <w:r>
        <w:rPr>
          <w:rFonts w:hint="cs"/>
          <w:rtl/>
        </w:rPr>
        <w:t>קושית המלא הרועים על תוס' היאך ילפינן ממכה אביו הא רק המיעוט הוא תלוי במעשה</w:t>
      </w:r>
      <w:bookmarkEnd w:id="9737"/>
      <w:bookmarkEnd w:id="9738"/>
      <w:bookmarkEnd w:id="9739"/>
      <w:bookmarkEnd w:id="9740"/>
      <w:bookmarkEnd w:id="9741"/>
      <w:bookmarkEnd w:id="9742"/>
      <w:bookmarkEnd w:id="9743"/>
      <w:r>
        <w:rPr>
          <w:rFonts w:hint="cs"/>
          <w:rtl/>
        </w:rPr>
        <w:t xml:space="preserve"> </w:t>
      </w:r>
    </w:p>
    <w:p w14:paraId="41D1DBFE" w14:textId="77777777" w:rsidR="00064C97" w:rsidRPr="00EA50A8" w:rsidRDefault="00064C97" w:rsidP="00223668">
      <w:pPr>
        <w:pStyle w:val="a0"/>
        <w:rPr>
          <w:rtl/>
        </w:rPr>
      </w:pPr>
      <w:r>
        <w:rPr>
          <w:rFonts w:hint="cs"/>
          <w:rtl/>
        </w:rPr>
        <w:t xml:space="preserve">והקשה </w:t>
      </w:r>
      <w:r w:rsidRPr="00D157AF">
        <w:rPr>
          <w:rStyle w:val="af9"/>
          <w:rFonts w:hint="cs"/>
          <w:rtl/>
        </w:rPr>
        <w:t>המלא הרועים</w:t>
      </w:r>
      <w:r>
        <w:rPr>
          <w:rFonts w:hint="cs"/>
          <w:rtl/>
        </w:rPr>
        <w:t xml:space="preserve"> דא"כ לדעת </w:t>
      </w:r>
      <w:r w:rsidRPr="00635C94">
        <w:rPr>
          <w:rStyle w:val="af9"/>
          <w:rFonts w:hint="cs"/>
          <w:rtl/>
        </w:rPr>
        <w:t>התוס' ביבמות ובבכורות</w:t>
      </w:r>
      <w:r>
        <w:rPr>
          <w:rFonts w:hint="cs"/>
          <w:rtl/>
        </w:rPr>
        <w:t xml:space="preserve"> היאך אפשר ללמוד ממכה אביו דאזלינן בתר רובא, הא במכה אביו הרוב שנבעלה לבעלה אינו תלוי במעשה, והמיעוט דנבעלה בזנות לאחר הוא תלוי במעשה.</w:t>
      </w:r>
    </w:p>
    <w:p w14:paraId="2AF186FA" w14:textId="77777777" w:rsidR="00064C97" w:rsidRDefault="00064C97" w:rsidP="006D6D32">
      <w:pPr>
        <w:pStyle w:val="afe"/>
        <w:rPr>
          <w:rtl/>
        </w:rPr>
      </w:pPr>
      <w:bookmarkStart w:id="9744" w:name="_Toc530348975"/>
      <w:bookmarkStart w:id="9745" w:name="_Toc530395866"/>
      <w:bookmarkStart w:id="9746" w:name="_Toc530411138"/>
      <w:bookmarkStart w:id="9747" w:name="_Toc530502995"/>
      <w:bookmarkStart w:id="9748" w:name="_Toc530504456"/>
      <w:bookmarkStart w:id="9749" w:name="_Toc530514370"/>
      <w:bookmarkStart w:id="9750" w:name="_Toc530514473"/>
      <w:bookmarkStart w:id="9751" w:name="_Toc530521891"/>
      <w:bookmarkStart w:id="9752" w:name="_Toc530524947"/>
      <w:bookmarkStart w:id="9753" w:name="_Toc530551089"/>
      <w:bookmarkStart w:id="9754" w:name="_Toc19435695"/>
      <w:bookmarkStart w:id="9755" w:name="_Toc20080963"/>
      <w:r>
        <w:rPr>
          <w:rFonts w:hint="cs"/>
          <w:rtl/>
        </w:rPr>
        <w:t>בביאור חזקת צדקת</w:t>
      </w:r>
      <w:bookmarkEnd w:id="9710"/>
      <w:bookmarkEnd w:id="9711"/>
      <w:bookmarkEnd w:id="9712"/>
      <w:bookmarkEnd w:id="9713"/>
      <w:bookmarkEnd w:id="9744"/>
      <w:bookmarkEnd w:id="9745"/>
      <w:bookmarkEnd w:id="9746"/>
      <w:bookmarkEnd w:id="9747"/>
      <w:bookmarkEnd w:id="9748"/>
      <w:bookmarkEnd w:id="9749"/>
      <w:bookmarkEnd w:id="9750"/>
      <w:bookmarkEnd w:id="9751"/>
      <w:bookmarkEnd w:id="9752"/>
      <w:bookmarkEnd w:id="9753"/>
      <w:bookmarkEnd w:id="9754"/>
      <w:bookmarkEnd w:id="9755"/>
    </w:p>
    <w:p w14:paraId="0ED3E749" w14:textId="77777777" w:rsidR="00064C97" w:rsidRDefault="00064C97" w:rsidP="00BF39B2">
      <w:pPr>
        <w:pStyle w:val="1"/>
        <w:rPr>
          <w:rtl/>
        </w:rPr>
      </w:pPr>
      <w:bookmarkStart w:id="9756" w:name="_Toc19390290"/>
      <w:bookmarkStart w:id="9757" w:name="_Toc19393787"/>
      <w:bookmarkStart w:id="9758" w:name="_Toc530514371"/>
      <w:bookmarkStart w:id="9759" w:name="_Toc530514474"/>
      <w:bookmarkStart w:id="9760" w:name="_Toc530521892"/>
      <w:bookmarkStart w:id="9761" w:name="_Toc530524948"/>
      <w:bookmarkStart w:id="9762" w:name="_Toc530551090"/>
      <w:r>
        <w:rPr>
          <w:rFonts w:hint="cs"/>
          <w:rtl/>
        </w:rPr>
        <w:t>דברי התוס' והתוס' הרא"ש בחזקת צדקת</w:t>
      </w:r>
      <w:bookmarkEnd w:id="9756"/>
      <w:bookmarkEnd w:id="9757"/>
    </w:p>
    <w:p w14:paraId="725C936A" w14:textId="77777777" w:rsidR="00064C97" w:rsidRPr="007B7C0E" w:rsidRDefault="00064C97" w:rsidP="006D6D32">
      <w:pPr>
        <w:pStyle w:val="a3"/>
        <w:rPr>
          <w:rtl/>
        </w:rPr>
      </w:pPr>
      <w:bookmarkStart w:id="9763" w:name="_Toc19390291"/>
      <w:bookmarkStart w:id="9764" w:name="_Toc19393788"/>
      <w:r w:rsidRPr="007B7C0E">
        <w:rPr>
          <w:rFonts w:hint="cs"/>
          <w:rtl/>
        </w:rPr>
        <w:t xml:space="preserve">דברי התוס' </w:t>
      </w:r>
      <w:r>
        <w:rPr>
          <w:rFonts w:hint="cs"/>
          <w:rtl/>
        </w:rPr>
        <w:t>דאפשר לדחות את הראיה ממכה אביו דאינו מדין רוב אלא מחמת חזקת צדקת</w:t>
      </w:r>
      <w:bookmarkEnd w:id="9758"/>
      <w:bookmarkEnd w:id="9759"/>
      <w:bookmarkEnd w:id="9760"/>
      <w:bookmarkEnd w:id="9761"/>
      <w:bookmarkEnd w:id="9762"/>
      <w:bookmarkEnd w:id="9763"/>
      <w:bookmarkEnd w:id="9764"/>
    </w:p>
    <w:p w14:paraId="649036AD" w14:textId="77777777" w:rsidR="00064C97" w:rsidRDefault="00064C97" w:rsidP="00223668">
      <w:pPr>
        <w:pStyle w:val="a0"/>
        <w:rPr>
          <w:rtl/>
        </w:rPr>
      </w:pPr>
      <w:bookmarkStart w:id="9765" w:name="_Ref530068581"/>
      <w:r>
        <w:rPr>
          <w:rFonts w:hint="cs"/>
          <w:rtl/>
        </w:rPr>
        <w:t xml:space="preserve">כתבו </w:t>
      </w:r>
      <w:r w:rsidRPr="00C51299">
        <w:rPr>
          <w:rStyle w:val="af9"/>
          <w:rFonts w:hint="cs"/>
          <w:rtl/>
        </w:rPr>
        <w:t>התוס'</w:t>
      </w:r>
      <w:r>
        <w:rPr>
          <w:rFonts w:hint="cs"/>
          <w:rtl/>
        </w:rPr>
        <w:t xml:space="preserve"> </w:t>
      </w:r>
      <w:r w:rsidRPr="00C51299">
        <w:rPr>
          <w:rStyle w:val="af7"/>
          <w:rFonts w:eastAsia="Guttman Hodes" w:hint="cs"/>
          <w:rtl/>
        </w:rPr>
        <w:t>(ד"ה כגון)</w:t>
      </w:r>
      <w:r>
        <w:rPr>
          <w:rFonts w:hint="cs"/>
          <w:rtl/>
        </w:rPr>
        <w:t xml:space="preserve"> דהגמ' הייתה יכולה לדחות דממכה אביו אין ראיה דאזלינן בתר רובא, דאפש"ל דלא חיישינן שאינו אביו, כיון שמעמידים את אמו בחזקת צדקת, ועי' במה שביארו </w:t>
      </w:r>
      <w:r w:rsidRPr="00CC5734">
        <w:rPr>
          <w:rStyle w:val="af9"/>
          <w:rFonts w:hint="cs"/>
          <w:rtl/>
        </w:rPr>
        <w:t>השער"י</w:t>
      </w:r>
      <w:r>
        <w:rPr>
          <w:rFonts w:hint="cs"/>
          <w:rtl/>
        </w:rPr>
        <w:t xml:space="preserve"> </w:t>
      </w:r>
      <w:r w:rsidRPr="00CC5734">
        <w:rPr>
          <w:rStyle w:val="af7"/>
          <w:rFonts w:eastAsia="Guttman Hodes" w:hint="cs"/>
          <w:rtl/>
        </w:rPr>
        <w:t xml:space="preserve">(עי' אות </w:t>
      </w:r>
      <w:r w:rsidRPr="00CC5734">
        <w:rPr>
          <w:rStyle w:val="af7"/>
          <w:rFonts w:eastAsia="Guttman Hodes"/>
          <w:rtl/>
        </w:rPr>
        <w:fldChar w:fldCharType="begin"/>
      </w:r>
      <w:r w:rsidRPr="00CC5734">
        <w:rPr>
          <w:rStyle w:val="af7"/>
          <w:rFonts w:eastAsia="Guttman Hodes"/>
          <w:rtl/>
        </w:rPr>
        <w:instrText xml:space="preserve"> </w:instrText>
      </w:r>
      <w:r w:rsidRPr="00CC5734">
        <w:rPr>
          <w:rStyle w:val="af7"/>
          <w:rFonts w:eastAsia="Guttman Hodes" w:hint="cs"/>
        </w:rPr>
        <w:instrText>REF</w:instrText>
      </w:r>
      <w:r w:rsidRPr="00CC5734">
        <w:rPr>
          <w:rStyle w:val="af7"/>
          <w:rFonts w:eastAsia="Guttman Hodes" w:hint="cs"/>
          <w:rtl/>
        </w:rPr>
        <w:instrText xml:space="preserve"> _</w:instrText>
      </w:r>
      <w:r w:rsidRPr="00CC5734">
        <w:rPr>
          <w:rStyle w:val="af7"/>
          <w:rFonts w:eastAsia="Guttman Hodes" w:hint="cs"/>
        </w:rPr>
        <w:instrText>Ref530068665 \r \h</w:instrText>
      </w:r>
      <w:r w:rsidRPr="00CC5734">
        <w:rPr>
          <w:rStyle w:val="af7"/>
          <w:rFonts w:eastAsia="Guttman Hodes"/>
          <w:rtl/>
        </w:rPr>
        <w:instrText xml:space="preserve"> </w:instrText>
      </w:r>
      <w:r w:rsidRPr="00CC5734">
        <w:rPr>
          <w:rStyle w:val="af7"/>
          <w:rFonts w:eastAsia="Guttman Hodes"/>
          <w:rtl/>
        </w:rPr>
      </w:r>
      <w:r w:rsidRPr="00CC5734">
        <w:rPr>
          <w:rStyle w:val="af7"/>
          <w:rFonts w:eastAsia="Guttman Hodes"/>
          <w:rtl/>
        </w:rPr>
        <w:fldChar w:fldCharType="separate"/>
      </w:r>
      <w:r w:rsidR="00345400">
        <w:rPr>
          <w:rStyle w:val="af7"/>
          <w:rFonts w:eastAsia="Guttman Hodes"/>
          <w:cs/>
        </w:rPr>
        <w:t>‎</w:t>
      </w:r>
      <w:r w:rsidR="00345400">
        <w:rPr>
          <w:rStyle w:val="af7"/>
          <w:rFonts w:eastAsia="Guttman Hodes"/>
          <w:rtl/>
        </w:rPr>
        <w:t>עג)</w:t>
      </w:r>
      <w:r w:rsidRPr="00CC5734">
        <w:rPr>
          <w:rStyle w:val="af7"/>
          <w:rFonts w:eastAsia="Guttman Hodes"/>
          <w:rtl/>
        </w:rPr>
        <w:fldChar w:fldCharType="end"/>
      </w:r>
      <w:r>
        <w:rPr>
          <w:rFonts w:hint="cs"/>
          <w:rtl/>
        </w:rPr>
        <w:t xml:space="preserve"> </w:t>
      </w:r>
      <w:r w:rsidRPr="009A0E44">
        <w:rPr>
          <w:rStyle w:val="af9"/>
          <w:rFonts w:hint="cs"/>
          <w:rtl/>
        </w:rPr>
        <w:t>והגרש"ר</w:t>
      </w:r>
      <w:r>
        <w:rPr>
          <w:rFonts w:hint="cs"/>
          <w:rtl/>
        </w:rPr>
        <w:t xml:space="preserve"> </w:t>
      </w:r>
      <w:r w:rsidRPr="009A0E44">
        <w:rPr>
          <w:rStyle w:val="af7"/>
          <w:rFonts w:eastAsia="Guttman Hodes" w:hint="cs"/>
          <w:rtl/>
        </w:rPr>
        <w:t xml:space="preserve">(עי' אות </w:t>
      </w:r>
      <w:r w:rsidRPr="009A0E44">
        <w:rPr>
          <w:rStyle w:val="af7"/>
          <w:rFonts w:eastAsia="Guttman Hodes"/>
          <w:rtl/>
        </w:rPr>
        <w:fldChar w:fldCharType="begin"/>
      </w:r>
      <w:r w:rsidRPr="009A0E44">
        <w:rPr>
          <w:rStyle w:val="af7"/>
          <w:rFonts w:eastAsia="Guttman Hodes"/>
          <w:rtl/>
        </w:rPr>
        <w:instrText xml:space="preserve"> </w:instrText>
      </w:r>
      <w:r w:rsidRPr="009A0E44">
        <w:rPr>
          <w:rStyle w:val="af7"/>
          <w:rFonts w:eastAsia="Guttman Hodes" w:hint="cs"/>
        </w:rPr>
        <w:instrText>REF</w:instrText>
      </w:r>
      <w:r w:rsidRPr="009A0E44">
        <w:rPr>
          <w:rStyle w:val="af7"/>
          <w:rFonts w:eastAsia="Guttman Hodes" w:hint="cs"/>
          <w:rtl/>
        </w:rPr>
        <w:instrText xml:space="preserve"> _</w:instrText>
      </w:r>
      <w:r w:rsidRPr="009A0E44">
        <w:rPr>
          <w:rStyle w:val="af7"/>
          <w:rFonts w:eastAsia="Guttman Hodes" w:hint="cs"/>
        </w:rPr>
        <w:instrText>Ref530473966 \r \h</w:instrText>
      </w:r>
      <w:r w:rsidRPr="009A0E4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9A0E44">
        <w:rPr>
          <w:rStyle w:val="af7"/>
          <w:rFonts w:eastAsia="Guttman Hodes"/>
          <w:rtl/>
        </w:rPr>
      </w:r>
      <w:r w:rsidRPr="009A0E44">
        <w:rPr>
          <w:rStyle w:val="af7"/>
          <w:rFonts w:eastAsia="Guttman Hodes"/>
          <w:rtl/>
        </w:rPr>
        <w:fldChar w:fldCharType="separate"/>
      </w:r>
      <w:r w:rsidR="00345400">
        <w:rPr>
          <w:rStyle w:val="af7"/>
          <w:rFonts w:eastAsia="Guttman Hodes"/>
          <w:cs/>
        </w:rPr>
        <w:t>‎</w:t>
      </w:r>
      <w:r w:rsidR="00345400">
        <w:rPr>
          <w:rStyle w:val="af7"/>
          <w:rFonts w:eastAsia="Guttman Hodes"/>
          <w:rtl/>
        </w:rPr>
        <w:t>עו)</w:t>
      </w:r>
      <w:r w:rsidRPr="009A0E44">
        <w:rPr>
          <w:rStyle w:val="af7"/>
          <w:rFonts w:eastAsia="Guttman Hodes"/>
          <w:rtl/>
        </w:rPr>
        <w:fldChar w:fldCharType="end"/>
      </w:r>
      <w:r>
        <w:rPr>
          <w:rFonts w:hint="cs"/>
          <w:rtl/>
        </w:rPr>
        <w:t xml:space="preserve"> בגדר חזקה זו.</w:t>
      </w:r>
      <w:bookmarkEnd w:id="9765"/>
    </w:p>
    <w:p w14:paraId="0B8E7DB7" w14:textId="77777777" w:rsidR="00064C97" w:rsidRDefault="00064C97" w:rsidP="006D6D32">
      <w:pPr>
        <w:pStyle w:val="a3"/>
        <w:rPr>
          <w:rtl/>
        </w:rPr>
      </w:pPr>
      <w:bookmarkStart w:id="9766" w:name="_Toc530514372"/>
      <w:bookmarkStart w:id="9767" w:name="_Toc530514475"/>
      <w:bookmarkStart w:id="9768" w:name="_Toc530521893"/>
      <w:bookmarkStart w:id="9769" w:name="_Toc530524949"/>
      <w:bookmarkStart w:id="9770" w:name="_Toc530551091"/>
      <w:bookmarkStart w:id="9771" w:name="_Toc19390292"/>
      <w:bookmarkStart w:id="9772" w:name="_Toc19393789"/>
      <w:r>
        <w:rPr>
          <w:rFonts w:hint="cs"/>
          <w:rtl/>
        </w:rPr>
        <w:t>תירוץ התוס' הרא"ש דכנגד חזקת צדקת של האם יש לבן חזקת צדיק שלא הכה את אביו</w:t>
      </w:r>
      <w:bookmarkEnd w:id="9766"/>
      <w:bookmarkEnd w:id="9767"/>
      <w:bookmarkEnd w:id="9768"/>
      <w:bookmarkEnd w:id="9769"/>
      <w:bookmarkEnd w:id="9770"/>
      <w:bookmarkEnd w:id="9771"/>
      <w:bookmarkEnd w:id="9772"/>
    </w:p>
    <w:p w14:paraId="74799A69" w14:textId="77777777" w:rsidR="00064C97" w:rsidRDefault="00064C97" w:rsidP="00223668">
      <w:pPr>
        <w:pStyle w:val="a0"/>
        <w:rPr>
          <w:rtl/>
        </w:rPr>
      </w:pPr>
      <w:r>
        <w:rPr>
          <w:rFonts w:hint="cs"/>
          <w:rtl/>
        </w:rPr>
        <w:t xml:space="preserve">ותירץ </w:t>
      </w:r>
      <w:r w:rsidRPr="00C51299">
        <w:rPr>
          <w:rStyle w:val="af9"/>
          <w:rFonts w:hint="cs"/>
          <w:rtl/>
        </w:rPr>
        <w:t>התוס' הרא"ש</w:t>
      </w:r>
      <w:r>
        <w:rPr>
          <w:rFonts w:hint="cs"/>
          <w:rtl/>
        </w:rPr>
        <w:t xml:space="preserve"> </w:t>
      </w:r>
      <w:r w:rsidRPr="00236AF0">
        <w:rPr>
          <w:rStyle w:val="af7"/>
          <w:rFonts w:eastAsia="Guttman Hodes" w:hint="cs"/>
          <w:rtl/>
        </w:rPr>
        <w:t>(ד"ה כגון)</w:t>
      </w:r>
      <w:r>
        <w:rPr>
          <w:rFonts w:hint="cs"/>
          <w:rtl/>
        </w:rPr>
        <w:t xml:space="preserve"> דא"א לומר דבמכה אביו מעמידים את אמו בחזקת צדקת, דהא יש חזקה שמתנגדת לה, דנעמיד אותו בחזקת צדיק שלא הכה את אביו.</w:t>
      </w:r>
    </w:p>
    <w:p w14:paraId="7825B28A" w14:textId="77777777" w:rsidR="00064C97" w:rsidRPr="00023123" w:rsidRDefault="00064C97" w:rsidP="006D6D32">
      <w:pPr>
        <w:pStyle w:val="a3"/>
      </w:pPr>
      <w:bookmarkStart w:id="9773" w:name="_Toc530514373"/>
      <w:bookmarkStart w:id="9774" w:name="_Toc530514476"/>
      <w:bookmarkStart w:id="9775" w:name="_Toc530521894"/>
      <w:bookmarkStart w:id="9776" w:name="_Toc530524950"/>
      <w:bookmarkStart w:id="9777" w:name="_Toc530551092"/>
      <w:bookmarkStart w:id="9778" w:name="_Toc19390293"/>
      <w:bookmarkStart w:id="9779" w:name="_Toc19393790"/>
      <w:r>
        <w:rPr>
          <w:rFonts w:hint="cs"/>
          <w:rtl/>
        </w:rPr>
        <w:t>קושית השיטמ"ק דכיון שהבן הכה הוא רשע ואינו בחזקת צדיק</w:t>
      </w:r>
      <w:bookmarkEnd w:id="9773"/>
      <w:bookmarkEnd w:id="9774"/>
      <w:bookmarkEnd w:id="9775"/>
      <w:bookmarkEnd w:id="9776"/>
      <w:bookmarkEnd w:id="9777"/>
      <w:bookmarkEnd w:id="9778"/>
      <w:bookmarkEnd w:id="9779"/>
    </w:p>
    <w:p w14:paraId="593F56D6" w14:textId="77777777" w:rsidR="00064C97" w:rsidRPr="00FB097D" w:rsidRDefault="00064C97" w:rsidP="00223668">
      <w:pPr>
        <w:pStyle w:val="a0"/>
        <w:rPr>
          <w:rtl/>
        </w:rPr>
      </w:pPr>
      <w:r>
        <w:rPr>
          <w:rFonts w:hint="cs"/>
          <w:rtl/>
        </w:rPr>
        <w:t xml:space="preserve">אך </w:t>
      </w:r>
      <w:r w:rsidRPr="00FB097D">
        <w:rPr>
          <w:rFonts w:hint="cs"/>
          <w:rtl/>
        </w:rPr>
        <w:t>הקשה</w:t>
      </w:r>
      <w:r w:rsidRPr="00FB097D">
        <w:rPr>
          <w:rStyle w:val="af9"/>
          <w:rFonts w:hint="cs"/>
          <w:rtl/>
        </w:rPr>
        <w:t xml:space="preserve"> </w:t>
      </w:r>
      <w:r>
        <w:rPr>
          <w:rStyle w:val="af9"/>
          <w:rFonts w:hint="cs"/>
          <w:rtl/>
        </w:rPr>
        <w:t>ה</w:t>
      </w:r>
      <w:r w:rsidRPr="00FB097D">
        <w:rPr>
          <w:rStyle w:val="af9"/>
          <w:rFonts w:hint="cs"/>
          <w:rtl/>
        </w:rPr>
        <w:t>שיטמ"ק</w:t>
      </w:r>
      <w:r w:rsidRPr="00FB097D">
        <w:rPr>
          <w:rFonts w:hint="cs"/>
          <w:rtl/>
        </w:rPr>
        <w:t xml:space="preserve"> </w:t>
      </w:r>
      <w:r w:rsidRPr="00236AF0">
        <w:rPr>
          <w:rStyle w:val="af7"/>
          <w:rFonts w:eastAsia="Guttman Hodes" w:hint="cs"/>
          <w:rtl/>
        </w:rPr>
        <w:t>(ד"ה והרא"ש)</w:t>
      </w:r>
      <w:r>
        <w:rPr>
          <w:rFonts w:hint="cs"/>
          <w:rtl/>
        </w:rPr>
        <w:t xml:space="preserve"> על </w:t>
      </w:r>
      <w:r w:rsidRPr="00FB097D">
        <w:rPr>
          <w:rStyle w:val="af9"/>
          <w:rFonts w:hint="cs"/>
          <w:rtl/>
        </w:rPr>
        <w:t>התוס' הרא"ש</w:t>
      </w:r>
      <w:r>
        <w:rPr>
          <w:rFonts w:hint="cs"/>
          <w:rtl/>
        </w:rPr>
        <w:t xml:space="preserve"> דהיאך אפש"ל דהבן הוא בחזקת צדיק, הא כיון שהכה הוא רשע.</w:t>
      </w:r>
    </w:p>
    <w:p w14:paraId="6DF32F93" w14:textId="77777777" w:rsidR="00064C97" w:rsidRDefault="00064C97" w:rsidP="00BF39B2">
      <w:pPr>
        <w:pStyle w:val="1"/>
        <w:rPr>
          <w:rtl/>
        </w:rPr>
      </w:pPr>
      <w:bookmarkStart w:id="9780" w:name="_Toc19390294"/>
      <w:bookmarkStart w:id="9781" w:name="_Toc19393791"/>
      <w:bookmarkStart w:id="9782" w:name="_Toc530514374"/>
      <w:bookmarkStart w:id="9783" w:name="_Toc530514477"/>
      <w:bookmarkStart w:id="9784" w:name="_Toc530521895"/>
      <w:bookmarkStart w:id="9785" w:name="_Toc530524951"/>
      <w:bookmarkStart w:id="9786" w:name="_Toc530551093"/>
      <w:r>
        <w:rPr>
          <w:rFonts w:hint="cs"/>
          <w:rtl/>
        </w:rPr>
        <w:t>ביאורי האחרונים בדברי התוס' בחזקת צדקת</w:t>
      </w:r>
      <w:bookmarkEnd w:id="9780"/>
      <w:bookmarkEnd w:id="9781"/>
    </w:p>
    <w:p w14:paraId="25750075" w14:textId="77777777" w:rsidR="00064C97" w:rsidRDefault="00064C97" w:rsidP="006D6D32">
      <w:pPr>
        <w:pStyle w:val="a3"/>
        <w:rPr>
          <w:rtl/>
        </w:rPr>
      </w:pPr>
      <w:bookmarkStart w:id="9787" w:name="_Toc19390295"/>
      <w:bookmarkStart w:id="9788" w:name="_Toc19393792"/>
      <w:r>
        <w:rPr>
          <w:rFonts w:hint="cs"/>
          <w:rtl/>
        </w:rPr>
        <w:t>דברי הפרמ"ג והפנ"י דחזקת צדקת היא חזקה מכח רוב</w:t>
      </w:r>
      <w:bookmarkEnd w:id="9782"/>
      <w:bookmarkEnd w:id="9783"/>
      <w:bookmarkEnd w:id="9784"/>
      <w:bookmarkEnd w:id="9785"/>
      <w:bookmarkEnd w:id="9786"/>
      <w:bookmarkEnd w:id="9787"/>
      <w:bookmarkEnd w:id="9788"/>
    </w:p>
    <w:p w14:paraId="149F4B45" w14:textId="77777777" w:rsidR="00064C97" w:rsidRPr="007A4162" w:rsidRDefault="00064C97" w:rsidP="00223668">
      <w:pPr>
        <w:pStyle w:val="a0"/>
        <w:rPr>
          <w:rStyle w:val="afb"/>
          <w:rtl/>
        </w:rPr>
      </w:pPr>
      <w:r>
        <w:rPr>
          <w:rFonts w:hint="cs"/>
          <w:rtl/>
        </w:rPr>
        <w:t xml:space="preserve">כתב </w:t>
      </w:r>
      <w:r w:rsidRPr="00710E30">
        <w:rPr>
          <w:rStyle w:val="af9"/>
          <w:rFonts w:hint="cs"/>
          <w:rtl/>
        </w:rPr>
        <w:t>הפרמ"ג בשושנת העמקים</w:t>
      </w:r>
      <w:r w:rsidRPr="00024D06">
        <w:rPr>
          <w:rStyle w:val="af7"/>
          <w:rFonts w:eastAsia="Guttman Hodes" w:hint="cs"/>
          <w:rtl/>
        </w:rPr>
        <w:t xml:space="preserve"> (כלל י"ב ד"ה החלק הג') </w:t>
      </w:r>
      <w:r>
        <w:rPr>
          <w:rFonts w:hint="cs"/>
          <w:rtl/>
        </w:rPr>
        <w:t xml:space="preserve">דהא דכתבו </w:t>
      </w:r>
      <w:r w:rsidRPr="00710E30">
        <w:rPr>
          <w:rStyle w:val="af9"/>
          <w:rFonts w:hint="cs"/>
          <w:rtl/>
        </w:rPr>
        <w:t xml:space="preserve">התוס' </w:t>
      </w:r>
      <w:r>
        <w:rPr>
          <w:rFonts w:hint="cs"/>
          <w:rtl/>
        </w:rPr>
        <w:t>דמעמידים את האם בחזקת צדקת, היינו חזקה מכח רוב, ויש תרי רובי,</w:t>
      </w:r>
      <w:r w:rsidRPr="00780174">
        <w:rPr>
          <w:rFonts w:hint="cs"/>
          <w:rtl/>
        </w:rPr>
        <w:t xml:space="preserve"> </w:t>
      </w:r>
      <w:r w:rsidRPr="002B4702">
        <w:rPr>
          <w:rFonts w:hint="cs"/>
          <w:rtl/>
        </w:rPr>
        <w:t xml:space="preserve">עי' בדבריו </w:t>
      </w:r>
      <w:r w:rsidRPr="00024D06">
        <w:rPr>
          <w:rStyle w:val="af7"/>
          <w:rFonts w:eastAsia="Guttman Hodes" w:hint="cs"/>
          <w:rtl/>
        </w:rPr>
        <w:t xml:space="preserve">(עי' אות </w:t>
      </w:r>
      <w:r w:rsidRPr="00024D06">
        <w:rPr>
          <w:rStyle w:val="af7"/>
          <w:rFonts w:eastAsia="Guttman Hodes"/>
          <w:rtl/>
        </w:rPr>
        <w:fldChar w:fldCharType="begin"/>
      </w:r>
      <w:r w:rsidRPr="00024D06">
        <w:rPr>
          <w:rStyle w:val="af7"/>
          <w:rFonts w:eastAsia="Guttman Hodes"/>
          <w:rtl/>
        </w:rPr>
        <w:instrText xml:space="preserve"> </w:instrText>
      </w:r>
      <w:r w:rsidRPr="00024D06">
        <w:rPr>
          <w:rStyle w:val="af7"/>
          <w:rFonts w:eastAsia="Guttman Hodes"/>
        </w:rPr>
        <w:instrText>REF</w:instrText>
      </w:r>
      <w:r w:rsidRPr="00024D06">
        <w:rPr>
          <w:rStyle w:val="af7"/>
          <w:rFonts w:eastAsia="Guttman Hodes"/>
          <w:rtl/>
        </w:rPr>
        <w:instrText xml:space="preserve"> _</w:instrText>
      </w:r>
      <w:r w:rsidRPr="00024D06">
        <w:rPr>
          <w:rStyle w:val="af7"/>
          <w:rFonts w:eastAsia="Guttman Hodes"/>
        </w:rPr>
        <w:instrText>Ref529872837 \r \h</w:instrText>
      </w:r>
      <w:r w:rsidRPr="00024D06">
        <w:rPr>
          <w:rStyle w:val="af7"/>
          <w:rFonts w:eastAsia="Guttman Hodes"/>
          <w:rtl/>
        </w:rPr>
        <w:instrText xml:space="preserve"> </w:instrText>
      </w:r>
      <w:r w:rsidRPr="00024D06">
        <w:rPr>
          <w:rStyle w:val="af7"/>
          <w:rFonts w:eastAsia="Guttman Hodes"/>
          <w:rtl/>
        </w:rPr>
      </w:r>
      <w:r w:rsidRPr="00024D06">
        <w:rPr>
          <w:rStyle w:val="af7"/>
          <w:rFonts w:eastAsia="Guttman Hodes"/>
          <w:rtl/>
        </w:rPr>
        <w:fldChar w:fldCharType="separate"/>
      </w:r>
      <w:r w:rsidR="00345400">
        <w:rPr>
          <w:rStyle w:val="af7"/>
          <w:rFonts w:eastAsia="Guttman Hodes"/>
          <w:cs/>
        </w:rPr>
        <w:t>‎</w:t>
      </w:r>
      <w:r w:rsidR="00345400">
        <w:rPr>
          <w:rStyle w:val="af7"/>
          <w:rFonts w:eastAsia="Guttman Hodes"/>
          <w:rtl/>
        </w:rPr>
        <w:t>ח)</w:t>
      </w:r>
      <w:r w:rsidRPr="00024D06">
        <w:rPr>
          <w:rStyle w:val="af7"/>
          <w:rFonts w:eastAsia="Guttman Hodes"/>
          <w:rtl/>
        </w:rPr>
        <w:fldChar w:fldCharType="end"/>
      </w:r>
      <w:r>
        <w:rPr>
          <w:rFonts w:hint="cs"/>
          <w:rtl/>
        </w:rPr>
        <w:t xml:space="preserve">, </w:t>
      </w:r>
      <w:r w:rsidRPr="00710E30">
        <w:rPr>
          <w:rStyle w:val="afb"/>
          <w:rFonts w:hint="cs"/>
          <w:rtl/>
        </w:rPr>
        <w:t>[אולי כוונתו לומר ד</w:t>
      </w:r>
      <w:r>
        <w:rPr>
          <w:rStyle w:val="afb"/>
          <w:rFonts w:hint="cs"/>
          <w:rtl/>
        </w:rPr>
        <w:t>כוונת</w:t>
      </w:r>
      <w:r w:rsidRPr="00710E30">
        <w:rPr>
          <w:rStyle w:val="afb"/>
          <w:rFonts w:hint="cs"/>
          <w:rtl/>
        </w:rPr>
        <w:t xml:space="preserve"> </w:t>
      </w:r>
      <w:r w:rsidRPr="00710E30">
        <w:rPr>
          <w:rStyle w:val="affa"/>
          <w:rFonts w:hint="cs"/>
          <w:rtl/>
        </w:rPr>
        <w:t>התוס'</w:t>
      </w:r>
      <w:r w:rsidRPr="00710E30">
        <w:rPr>
          <w:rStyle w:val="afb"/>
          <w:rFonts w:hint="cs"/>
          <w:rtl/>
        </w:rPr>
        <w:t xml:space="preserve"> </w:t>
      </w:r>
      <w:r>
        <w:rPr>
          <w:rStyle w:val="afb"/>
          <w:rFonts w:hint="cs"/>
          <w:rtl/>
        </w:rPr>
        <w:t>להקשות ש</w:t>
      </w:r>
      <w:r w:rsidRPr="00710E30">
        <w:rPr>
          <w:rStyle w:val="afb"/>
          <w:rFonts w:hint="cs"/>
          <w:rtl/>
        </w:rPr>
        <w:t>יש רוב כנגד רוב</w:t>
      </w:r>
      <w:r w:rsidRPr="00780174">
        <w:rPr>
          <w:rStyle w:val="afb"/>
          <w:rFonts w:hint="cs"/>
          <w:rtl/>
        </w:rPr>
        <w:t>].</w:t>
      </w:r>
      <w:r w:rsidRPr="00780174">
        <w:rPr>
          <w:rStyle w:val="afb"/>
          <w:rtl/>
        </w:rPr>
        <w:t xml:space="preserve"> </w:t>
      </w:r>
      <w:r>
        <w:rPr>
          <w:rFonts w:hint="cs"/>
          <w:rtl/>
        </w:rPr>
        <w:t xml:space="preserve">וכעי"ז כתב </w:t>
      </w:r>
      <w:r w:rsidRPr="00B2769F">
        <w:rPr>
          <w:rStyle w:val="af9"/>
          <w:rtl/>
        </w:rPr>
        <w:t>בפנ"י בגיטין</w:t>
      </w:r>
      <w:r w:rsidRPr="007A4162">
        <w:rPr>
          <w:rStyle w:val="af7"/>
          <w:rFonts w:eastAsia="Guttman Hodes"/>
          <w:rtl/>
        </w:rPr>
        <w:t xml:space="preserve"> </w:t>
      </w:r>
      <w:r w:rsidRPr="007A4162">
        <w:rPr>
          <w:rStyle w:val="af7"/>
          <w:rFonts w:eastAsia="Guttman Rashi"/>
          <w:rtl/>
        </w:rPr>
        <w:t>(יז. ד"ה ועדיין)</w:t>
      </w:r>
      <w:r w:rsidRPr="007A4162">
        <w:rPr>
          <w:rStyle w:val="af7"/>
          <w:rFonts w:eastAsia="Guttman Hodes"/>
          <w:rtl/>
        </w:rPr>
        <w:t xml:space="preserve"> </w:t>
      </w:r>
      <w:r w:rsidRPr="00262F4F">
        <w:rPr>
          <w:rtl/>
        </w:rPr>
        <w:t>דחזקת כשרות</w:t>
      </w:r>
      <w:r>
        <w:rPr>
          <w:rFonts w:hint="cs"/>
          <w:rtl/>
        </w:rPr>
        <w:t xml:space="preserve"> באשה</w:t>
      </w:r>
      <w:r w:rsidRPr="00262F4F">
        <w:rPr>
          <w:rtl/>
        </w:rPr>
        <w:t xml:space="preserve"> </w:t>
      </w:r>
      <w:r w:rsidRPr="007A4162">
        <w:rPr>
          <w:rStyle w:val="afb"/>
          <w:rtl/>
        </w:rPr>
        <w:t>[</w:t>
      </w:r>
      <w:r w:rsidRPr="007A4162">
        <w:rPr>
          <w:rStyle w:val="afb"/>
          <w:rFonts w:hint="cs"/>
          <w:rtl/>
        </w:rPr>
        <w:t xml:space="preserve">חזקת </w:t>
      </w:r>
      <w:r w:rsidRPr="007A4162">
        <w:rPr>
          <w:rStyle w:val="afb"/>
          <w:rtl/>
        </w:rPr>
        <w:t>צדקת]</w:t>
      </w:r>
      <w:r w:rsidRPr="00262F4F">
        <w:rPr>
          <w:rtl/>
        </w:rPr>
        <w:t xml:space="preserve">, היא חזקה מכח רוב, דהא אין לנו כל ראיה שהאשה כשרה משעה שנולדה, אלא כיון דאזלינן בתר רובא, ורוב בנות ישראל הם כשרות, לכן יש לכל אשה חזקת כשרות, </w:t>
      </w:r>
      <w:r w:rsidRPr="007A4162">
        <w:rPr>
          <w:rStyle w:val="afb"/>
          <w:rtl/>
        </w:rPr>
        <w:t xml:space="preserve">[וכתב שם </w:t>
      </w:r>
      <w:r w:rsidRPr="007A4162">
        <w:rPr>
          <w:rStyle w:val="affa"/>
          <w:rtl/>
        </w:rPr>
        <w:t>הפנ"י</w:t>
      </w:r>
      <w:r w:rsidRPr="007A4162">
        <w:rPr>
          <w:rStyle w:val="afb"/>
          <w:rtl/>
        </w:rPr>
        <w:t xml:space="preserve"> דכיון שהוא רוב הוא עדיף מחזקת ממון].</w:t>
      </w:r>
    </w:p>
    <w:p w14:paraId="3E174379" w14:textId="77777777" w:rsidR="00064C97" w:rsidRDefault="00064C97" w:rsidP="006D6D32">
      <w:pPr>
        <w:pStyle w:val="a3"/>
        <w:rPr>
          <w:rtl/>
        </w:rPr>
      </w:pPr>
      <w:bookmarkStart w:id="9789" w:name="_Toc530514375"/>
      <w:bookmarkStart w:id="9790" w:name="_Toc530514478"/>
      <w:bookmarkStart w:id="9791" w:name="_Toc530521896"/>
      <w:bookmarkStart w:id="9792" w:name="_Toc530524952"/>
      <w:bookmarkStart w:id="9793" w:name="_Toc530551094"/>
      <w:bookmarkStart w:id="9794" w:name="_Toc19390296"/>
      <w:bookmarkStart w:id="9795" w:name="_Toc19393793"/>
      <w:r>
        <w:rPr>
          <w:rFonts w:hint="cs"/>
          <w:rtl/>
        </w:rPr>
        <w:t>דברי המהרש"א דלמסקנא שאין אפוטרופוס לעריות חיישינן שנאנסה ולא מהני חזקת צדקת</w:t>
      </w:r>
      <w:bookmarkEnd w:id="9789"/>
      <w:bookmarkEnd w:id="9790"/>
      <w:bookmarkEnd w:id="9791"/>
      <w:bookmarkEnd w:id="9792"/>
      <w:bookmarkEnd w:id="9793"/>
      <w:bookmarkEnd w:id="9794"/>
      <w:bookmarkEnd w:id="9795"/>
    </w:p>
    <w:p w14:paraId="1D8455A5" w14:textId="77777777" w:rsidR="00064C97" w:rsidRDefault="00064C97" w:rsidP="00223668">
      <w:pPr>
        <w:pStyle w:val="a0"/>
        <w:rPr>
          <w:rtl/>
        </w:rPr>
      </w:pPr>
      <w:r>
        <w:rPr>
          <w:rFonts w:hint="cs"/>
          <w:rtl/>
        </w:rPr>
        <w:t xml:space="preserve">כתב </w:t>
      </w:r>
      <w:r w:rsidRPr="00990606">
        <w:rPr>
          <w:rStyle w:val="af9"/>
          <w:rFonts w:hint="cs"/>
          <w:rtl/>
        </w:rPr>
        <w:t xml:space="preserve">המהרש"א </w:t>
      </w:r>
      <w:r w:rsidRPr="00BE12AD">
        <w:rPr>
          <w:rStyle w:val="af7"/>
          <w:rFonts w:eastAsia="Guttman Hodes" w:hint="cs"/>
          <w:rtl/>
        </w:rPr>
        <w:t>(על תוד"ה כגון)</w:t>
      </w:r>
      <w:r>
        <w:rPr>
          <w:rFonts w:hint="cs"/>
          <w:rtl/>
        </w:rPr>
        <w:t xml:space="preserve"> דכל קושית </w:t>
      </w:r>
      <w:r w:rsidRPr="00990606">
        <w:rPr>
          <w:rStyle w:val="af9"/>
          <w:rFonts w:hint="cs"/>
          <w:rtl/>
        </w:rPr>
        <w:t>התוס'</w:t>
      </w:r>
      <w:r>
        <w:rPr>
          <w:rFonts w:hint="cs"/>
          <w:rtl/>
        </w:rPr>
        <w:t xml:space="preserve"> היא רק להו"א, אבל למסקנת הגמ' דאין אפוטרופוס לעריות, א"א לומר דהא דלא חיישינן שאינו אביו, הוא מחמת שמעמידים את אמו בחזקת צדקת, וביאר </w:t>
      </w:r>
      <w:r w:rsidRPr="001C4A5E">
        <w:rPr>
          <w:rStyle w:val="af9"/>
          <w:rFonts w:hint="cs"/>
          <w:rtl/>
        </w:rPr>
        <w:t>המהרש"א</w:t>
      </w:r>
      <w:r>
        <w:rPr>
          <w:rFonts w:hint="cs"/>
          <w:rtl/>
        </w:rPr>
        <w:t xml:space="preserve"> דהא יתכן שנאנסה אמו, ואף שהיא בחזקת צדקת, מ"מ אינו אביו, ועי' בדברי </w:t>
      </w:r>
      <w:r>
        <w:rPr>
          <w:rStyle w:val="af9"/>
          <w:rFonts w:hint="cs"/>
          <w:rtl/>
        </w:rPr>
        <w:t>ה</w:t>
      </w:r>
      <w:r w:rsidRPr="00F36042">
        <w:rPr>
          <w:rStyle w:val="af9"/>
          <w:rFonts w:hint="cs"/>
          <w:rtl/>
        </w:rPr>
        <w:t>ראש יוסף</w:t>
      </w:r>
      <w:r>
        <w:rPr>
          <w:rFonts w:hint="cs"/>
          <w:rtl/>
        </w:rPr>
        <w:t xml:space="preserve"> </w:t>
      </w:r>
      <w:r w:rsidRPr="00F36042">
        <w:rPr>
          <w:rStyle w:val="af7"/>
          <w:rFonts w:eastAsia="Guttman Hodes" w:hint="cs"/>
          <w:rtl/>
        </w:rPr>
        <w:t>(ד"ה אתיא)</w:t>
      </w:r>
      <w:r>
        <w:rPr>
          <w:rFonts w:hint="cs"/>
          <w:rtl/>
        </w:rPr>
        <w:t xml:space="preserve"> </w:t>
      </w:r>
      <w:r w:rsidRPr="00B27EB3">
        <w:rPr>
          <w:rStyle w:val="af9"/>
          <w:rFonts w:hint="cs"/>
          <w:rtl/>
        </w:rPr>
        <w:t>ו</w:t>
      </w:r>
      <w:r>
        <w:rPr>
          <w:rStyle w:val="af9"/>
          <w:rFonts w:hint="cs"/>
          <w:rtl/>
        </w:rPr>
        <w:t>ה</w:t>
      </w:r>
      <w:r w:rsidRPr="00B27EB3">
        <w:rPr>
          <w:rStyle w:val="af9"/>
          <w:rFonts w:hint="cs"/>
          <w:rtl/>
        </w:rPr>
        <w:t>תפארת יעקב</w:t>
      </w:r>
      <w:r>
        <w:rPr>
          <w:rFonts w:hint="cs"/>
          <w:rtl/>
        </w:rPr>
        <w:t xml:space="preserve"> </w:t>
      </w:r>
      <w:r w:rsidRPr="00B27EB3">
        <w:rPr>
          <w:rStyle w:val="af7"/>
          <w:rFonts w:eastAsia="Guttman Hodes" w:hint="cs"/>
          <w:rtl/>
        </w:rPr>
        <w:t>(על תוד"ה אתיא)</w:t>
      </w:r>
      <w:r>
        <w:rPr>
          <w:rFonts w:hint="cs"/>
          <w:rtl/>
        </w:rPr>
        <w:t>.</w:t>
      </w:r>
    </w:p>
    <w:p w14:paraId="78D668DD" w14:textId="77777777" w:rsidR="00064C97" w:rsidRDefault="00064C97" w:rsidP="006D6D32">
      <w:pPr>
        <w:pStyle w:val="a3"/>
        <w:rPr>
          <w:rtl/>
        </w:rPr>
      </w:pPr>
      <w:bookmarkStart w:id="9796" w:name="_Toc530514376"/>
      <w:bookmarkStart w:id="9797" w:name="_Toc530514479"/>
      <w:bookmarkStart w:id="9798" w:name="_Toc530521897"/>
      <w:bookmarkStart w:id="9799" w:name="_Toc530524953"/>
      <w:bookmarkStart w:id="9800" w:name="_Toc530551095"/>
      <w:bookmarkStart w:id="9801" w:name="_Toc19390297"/>
      <w:bookmarkStart w:id="9802" w:name="_Toc19393794"/>
      <w:r>
        <w:rPr>
          <w:rFonts w:hint="cs"/>
          <w:rtl/>
        </w:rPr>
        <w:t>קושית הגרעק"א על המהרש"א דלהו"א נחשוש לאונס ומאשת כהן מוכח דלא חיישינן לאונס</w:t>
      </w:r>
      <w:bookmarkEnd w:id="9796"/>
      <w:bookmarkEnd w:id="9797"/>
      <w:bookmarkEnd w:id="9798"/>
      <w:bookmarkEnd w:id="9799"/>
      <w:bookmarkEnd w:id="9800"/>
      <w:bookmarkEnd w:id="9801"/>
      <w:bookmarkEnd w:id="9802"/>
    </w:p>
    <w:p w14:paraId="5481E2E4" w14:textId="77777777" w:rsidR="00064C97" w:rsidRDefault="00064C97" w:rsidP="00223668">
      <w:pPr>
        <w:pStyle w:val="a0"/>
        <w:rPr>
          <w:rtl/>
        </w:rPr>
      </w:pPr>
      <w:r>
        <w:rPr>
          <w:rFonts w:hint="cs"/>
          <w:rtl/>
        </w:rPr>
        <w:t>והקשה</w:t>
      </w:r>
      <w:r>
        <w:rPr>
          <w:rStyle w:val="af9"/>
          <w:rFonts w:hint="cs"/>
          <w:rtl/>
        </w:rPr>
        <w:t xml:space="preserve"> </w:t>
      </w:r>
      <w:r w:rsidRPr="0002794C">
        <w:rPr>
          <w:rStyle w:val="af9"/>
          <w:rFonts w:hint="cs"/>
          <w:rtl/>
        </w:rPr>
        <w:t>הגרעק"א בדרוש וחידוש מכת"י</w:t>
      </w:r>
      <w:r>
        <w:rPr>
          <w:rFonts w:hint="cs"/>
          <w:rtl/>
        </w:rPr>
        <w:t xml:space="preserve"> </w:t>
      </w:r>
      <w:r w:rsidRPr="0002794C">
        <w:rPr>
          <w:rStyle w:val="af7"/>
          <w:rFonts w:eastAsia="Guttman Hodes" w:hint="cs"/>
          <w:rtl/>
        </w:rPr>
        <w:t>(על תוד"ה כגון)</w:t>
      </w:r>
      <w:r>
        <w:rPr>
          <w:rFonts w:hint="cs"/>
          <w:rtl/>
        </w:rPr>
        <w:t xml:space="preserve"> על </w:t>
      </w:r>
      <w:r w:rsidRPr="0002794C">
        <w:rPr>
          <w:rStyle w:val="af9"/>
          <w:rFonts w:hint="cs"/>
          <w:rtl/>
        </w:rPr>
        <w:t>המהרש"א</w:t>
      </w:r>
      <w:r>
        <w:rPr>
          <w:rFonts w:hint="cs"/>
          <w:rtl/>
        </w:rPr>
        <w:t xml:space="preserve"> דאי חיישינן למסקנא לאונס, אף להו"א צריך לחשוש שמא נאנסה, ועוד הקשה</w:t>
      </w:r>
      <w:r w:rsidRPr="00A50088">
        <w:rPr>
          <w:rFonts w:hint="cs"/>
          <w:rtl/>
        </w:rPr>
        <w:t xml:space="preserve"> </w:t>
      </w:r>
      <w:r w:rsidRPr="0002794C">
        <w:rPr>
          <w:rStyle w:val="af9"/>
          <w:rFonts w:hint="cs"/>
          <w:rtl/>
        </w:rPr>
        <w:t>הגרעק"א</w:t>
      </w:r>
      <w:r>
        <w:rPr>
          <w:rFonts w:hint="cs"/>
          <w:rtl/>
        </w:rPr>
        <w:t xml:space="preserve"> דעדיין ראיה מאשת כהן שיש לה חזקת צדקת אף באונס, </w:t>
      </w:r>
      <w:r w:rsidRPr="0002794C">
        <w:rPr>
          <w:rStyle w:val="afb"/>
          <w:rFonts w:hint="cs"/>
          <w:rtl/>
        </w:rPr>
        <w:t>[היינו דלא הייתה נבעלת לבעלה באיסור אחר שנאנסה]</w:t>
      </w:r>
      <w:r>
        <w:rPr>
          <w:rFonts w:hint="cs"/>
          <w:rtl/>
        </w:rPr>
        <w:t>.</w:t>
      </w:r>
    </w:p>
    <w:p w14:paraId="15EA215E" w14:textId="77777777" w:rsidR="00064C97" w:rsidRDefault="00064C97" w:rsidP="006D6D32">
      <w:pPr>
        <w:pStyle w:val="a3"/>
        <w:rPr>
          <w:rtl/>
        </w:rPr>
      </w:pPr>
      <w:bookmarkStart w:id="9803" w:name="_Toc530514377"/>
      <w:bookmarkStart w:id="9804" w:name="_Toc530514480"/>
      <w:bookmarkStart w:id="9805" w:name="_Toc530521898"/>
      <w:bookmarkStart w:id="9806" w:name="_Toc530524954"/>
      <w:bookmarkStart w:id="9807" w:name="_Toc530551096"/>
      <w:bookmarkStart w:id="9808" w:name="_Toc19390298"/>
      <w:bookmarkStart w:id="9809" w:name="_Toc19393795"/>
      <w:r>
        <w:rPr>
          <w:rFonts w:hint="cs"/>
          <w:rtl/>
        </w:rPr>
        <w:t>ביאור הצל"ח דלמסקנא דחיישינן בחבושים בבית האסורים אף לאונס דאינו שכיח</w:t>
      </w:r>
      <w:r w:rsidRPr="00803D20">
        <w:rPr>
          <w:rFonts w:hint="cs"/>
          <w:rtl/>
        </w:rPr>
        <w:t xml:space="preserve"> </w:t>
      </w:r>
      <w:r>
        <w:rPr>
          <w:rFonts w:hint="cs"/>
          <w:rtl/>
        </w:rPr>
        <w:t>חיישינן</w:t>
      </w:r>
      <w:bookmarkEnd w:id="9803"/>
      <w:bookmarkEnd w:id="9804"/>
      <w:bookmarkEnd w:id="9805"/>
      <w:bookmarkEnd w:id="9806"/>
      <w:bookmarkEnd w:id="9807"/>
      <w:bookmarkEnd w:id="9808"/>
      <w:bookmarkEnd w:id="9809"/>
    </w:p>
    <w:p w14:paraId="520ED323" w14:textId="77777777" w:rsidR="00064C97" w:rsidRDefault="00064C97" w:rsidP="00223668">
      <w:pPr>
        <w:pStyle w:val="a0"/>
      </w:pPr>
      <w:r>
        <w:rPr>
          <w:rFonts w:hint="cs"/>
          <w:rtl/>
        </w:rPr>
        <w:t xml:space="preserve">וכתב </w:t>
      </w:r>
      <w:r w:rsidRPr="003C06A9">
        <w:rPr>
          <w:rStyle w:val="af9"/>
          <w:rFonts w:hint="cs"/>
          <w:rtl/>
        </w:rPr>
        <w:t>הצל"ח</w:t>
      </w:r>
      <w:r>
        <w:rPr>
          <w:rFonts w:hint="cs"/>
          <w:rtl/>
        </w:rPr>
        <w:t xml:space="preserve"> </w:t>
      </w:r>
      <w:r w:rsidRPr="007402D0">
        <w:rPr>
          <w:rStyle w:val="af7"/>
          <w:rFonts w:eastAsia="Guttman Hodes" w:hint="cs"/>
          <w:rtl/>
        </w:rPr>
        <w:t>(על תוד"ה כגון)</w:t>
      </w:r>
      <w:r>
        <w:rPr>
          <w:rFonts w:hint="cs"/>
          <w:rtl/>
        </w:rPr>
        <w:t xml:space="preserve"> דכוונת </w:t>
      </w:r>
      <w:r w:rsidRPr="003C06A9">
        <w:rPr>
          <w:rStyle w:val="af9"/>
          <w:rFonts w:hint="cs"/>
          <w:rtl/>
        </w:rPr>
        <w:t>המהרש"א</w:t>
      </w:r>
      <w:r>
        <w:rPr>
          <w:rFonts w:hint="cs"/>
          <w:rtl/>
        </w:rPr>
        <w:t xml:space="preserve"> לומר דלהו"א לא חיישינן לאונס דאינו שכיח, אבל למסקנא דאף כשבעלה חבוש עמה בבית האסורים חיישינן כיון שאין אפוטרופוס לעריות, א"כ מבואר דחיישינן שנאנסה בבית האסורים בפני בעלה, דא"א לבאר דכוונת הגמ' לתרץ דחיישינן שזינתה בבית האסורים, דודאי שאין אשה מזנה בפני בעלה, וכתב </w:t>
      </w:r>
      <w:r w:rsidRPr="003C06A9">
        <w:rPr>
          <w:rStyle w:val="af9"/>
          <w:rFonts w:hint="cs"/>
          <w:rtl/>
        </w:rPr>
        <w:t>הצל"ח</w:t>
      </w:r>
      <w:r>
        <w:rPr>
          <w:rFonts w:hint="cs"/>
          <w:rtl/>
        </w:rPr>
        <w:t xml:space="preserve"> דזו כוונת </w:t>
      </w:r>
      <w:r w:rsidRPr="003C06A9">
        <w:rPr>
          <w:rStyle w:val="af9"/>
          <w:rFonts w:hint="cs"/>
          <w:rtl/>
        </w:rPr>
        <w:t>המהרש"א</w:t>
      </w:r>
      <w:r>
        <w:rPr>
          <w:rFonts w:hint="cs"/>
          <w:rtl/>
        </w:rPr>
        <w:t xml:space="preserve"> במ"ש דלמסקנא לא מהני חזקת צדקת, דחיישינן לאונס.</w:t>
      </w:r>
      <w:bookmarkStart w:id="9810" w:name="_Toc530476206"/>
      <w:bookmarkStart w:id="9811" w:name="_Toc530477154"/>
      <w:bookmarkStart w:id="9812" w:name="_Toc530502996"/>
      <w:bookmarkStart w:id="9813" w:name="_Toc530083905"/>
      <w:bookmarkStart w:id="9814" w:name="_Toc530083941"/>
      <w:bookmarkStart w:id="9815" w:name="_Toc530147701"/>
      <w:bookmarkStart w:id="9816" w:name="_Toc530148029"/>
      <w:bookmarkStart w:id="9817" w:name="_Toc530348969"/>
      <w:bookmarkStart w:id="9818" w:name="_Toc530395860"/>
      <w:bookmarkStart w:id="9819" w:name="_Toc530411073"/>
      <w:bookmarkEnd w:id="9714"/>
      <w:bookmarkEnd w:id="9715"/>
    </w:p>
    <w:p w14:paraId="1DC6C434" w14:textId="77777777" w:rsidR="00064C97" w:rsidRDefault="00064C97" w:rsidP="006D6D32">
      <w:pPr>
        <w:pStyle w:val="afe"/>
        <w:rPr>
          <w:rtl/>
        </w:rPr>
      </w:pPr>
      <w:bookmarkStart w:id="9820" w:name="_Toc530514378"/>
      <w:bookmarkStart w:id="9821" w:name="_Toc530514481"/>
      <w:bookmarkStart w:id="9822" w:name="_Toc530521899"/>
      <w:bookmarkStart w:id="9823" w:name="_Toc530524955"/>
      <w:bookmarkStart w:id="9824" w:name="_Toc530551097"/>
      <w:bookmarkStart w:id="9825" w:name="_Toc19435696"/>
      <w:bookmarkStart w:id="9826" w:name="_Toc20080964"/>
      <w:bookmarkStart w:id="9827" w:name="_Toc530504463"/>
      <w:r>
        <w:rPr>
          <w:rFonts w:hint="cs"/>
          <w:rtl/>
        </w:rPr>
        <w:t>רוב בנפשות בסוגיין ובגמ' בסנהדרין</w:t>
      </w:r>
      <w:bookmarkEnd w:id="9820"/>
      <w:bookmarkEnd w:id="9821"/>
      <w:bookmarkEnd w:id="9822"/>
      <w:bookmarkEnd w:id="9823"/>
      <w:bookmarkEnd w:id="9824"/>
      <w:bookmarkEnd w:id="9825"/>
      <w:bookmarkEnd w:id="9826"/>
      <w:r>
        <w:rPr>
          <w:rFonts w:hint="cs"/>
          <w:rtl/>
        </w:rPr>
        <w:t xml:space="preserve"> </w:t>
      </w:r>
      <w:bookmarkEnd w:id="9827"/>
    </w:p>
    <w:p w14:paraId="6D61B43D" w14:textId="77777777" w:rsidR="00064C97" w:rsidRDefault="00064C97" w:rsidP="00BF39B2">
      <w:pPr>
        <w:pStyle w:val="1"/>
        <w:rPr>
          <w:rtl/>
        </w:rPr>
      </w:pPr>
      <w:bookmarkStart w:id="9828" w:name="_Toc530083909"/>
      <w:bookmarkStart w:id="9829" w:name="_Toc530083945"/>
      <w:bookmarkStart w:id="9830" w:name="_Toc530147706"/>
      <w:bookmarkStart w:id="9831" w:name="_Toc530148034"/>
      <w:bookmarkStart w:id="9832" w:name="_Toc530348977"/>
      <w:bookmarkStart w:id="9833" w:name="_Toc530395868"/>
      <w:bookmarkStart w:id="9834" w:name="_Toc530411079"/>
      <w:bookmarkStart w:id="9835" w:name="_Toc530476207"/>
      <w:bookmarkStart w:id="9836" w:name="_Toc530477155"/>
      <w:bookmarkStart w:id="9837" w:name="_Toc530502997"/>
      <w:bookmarkStart w:id="9838" w:name="_Toc530504464"/>
      <w:bookmarkStart w:id="9839" w:name="_Toc530514379"/>
      <w:bookmarkStart w:id="9840" w:name="_Toc530514482"/>
      <w:bookmarkStart w:id="9841" w:name="_Toc530521900"/>
      <w:bookmarkStart w:id="9842" w:name="_Toc530524956"/>
      <w:bookmarkStart w:id="9843" w:name="_Toc530551098"/>
      <w:bookmarkStart w:id="9844" w:name="_Toc19390299"/>
      <w:bookmarkStart w:id="9845" w:name="_Toc19393796"/>
      <w:bookmarkEnd w:id="9810"/>
      <w:bookmarkEnd w:id="9811"/>
      <w:bookmarkEnd w:id="9812"/>
      <w:r w:rsidRPr="008860F6">
        <w:rPr>
          <w:rFonts w:hint="cs"/>
          <w:rtl/>
        </w:rPr>
        <w:t>ד</w:t>
      </w:r>
      <w:r>
        <w:rPr>
          <w:rFonts w:hint="cs"/>
          <w:rtl/>
        </w:rPr>
        <w:t>ברי</w:t>
      </w:r>
      <w:r w:rsidRPr="008860F6">
        <w:rPr>
          <w:rFonts w:hint="cs"/>
          <w:rtl/>
        </w:rPr>
        <w:t xml:space="preserve"> הר"ן ב</w:t>
      </w:r>
      <w:r>
        <w:rPr>
          <w:rFonts w:hint="cs"/>
          <w:rtl/>
        </w:rPr>
        <w:t>חילוק בין הנדון בסוגיין לנדון בגמ' ב</w:t>
      </w:r>
      <w:r w:rsidRPr="008860F6">
        <w:rPr>
          <w:rFonts w:hint="cs"/>
          <w:rtl/>
        </w:rPr>
        <w:t>סנהדרין</w:t>
      </w:r>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p>
    <w:p w14:paraId="584C6E96" w14:textId="77777777" w:rsidR="00064C97" w:rsidRDefault="00064C97" w:rsidP="006D6D32">
      <w:pPr>
        <w:pStyle w:val="a3"/>
        <w:rPr>
          <w:rtl/>
        </w:rPr>
      </w:pPr>
      <w:bookmarkStart w:id="9846" w:name="_Toc530514380"/>
      <w:bookmarkStart w:id="9847" w:name="_Toc530514483"/>
      <w:bookmarkStart w:id="9848" w:name="_Toc530521901"/>
      <w:bookmarkStart w:id="9849" w:name="_Toc530524957"/>
      <w:bookmarkStart w:id="9850" w:name="_Toc530551099"/>
      <w:bookmarkStart w:id="9851" w:name="_Toc19390300"/>
      <w:bookmarkStart w:id="9852" w:name="_Toc19393797"/>
      <w:r>
        <w:rPr>
          <w:rFonts w:hint="cs"/>
          <w:rtl/>
        </w:rPr>
        <w:t>קושית הר"ן דבסוגיין מוכח דאזלינן בדיני נפשות בתר רוב ומה הנדון בגמ' בסנהדרין</w:t>
      </w:r>
      <w:bookmarkEnd w:id="9846"/>
      <w:bookmarkEnd w:id="9847"/>
      <w:bookmarkEnd w:id="9848"/>
      <w:bookmarkEnd w:id="9849"/>
      <w:bookmarkEnd w:id="9850"/>
      <w:bookmarkEnd w:id="9851"/>
      <w:bookmarkEnd w:id="9852"/>
    </w:p>
    <w:p w14:paraId="073B5606" w14:textId="77777777" w:rsidR="00064C97" w:rsidRDefault="00064C97" w:rsidP="00223668">
      <w:pPr>
        <w:pStyle w:val="a0"/>
        <w:rPr>
          <w:rtl/>
        </w:rPr>
      </w:pPr>
      <w:r>
        <w:rPr>
          <w:rFonts w:hint="cs"/>
          <w:rtl/>
        </w:rPr>
        <w:t xml:space="preserve">הקשה </w:t>
      </w:r>
      <w:r w:rsidRPr="001E5E53">
        <w:rPr>
          <w:rStyle w:val="af9"/>
          <w:rFonts w:hint="cs"/>
          <w:rtl/>
        </w:rPr>
        <w:t>הר"ן בחי' בסנהדרין</w:t>
      </w:r>
      <w:r>
        <w:rPr>
          <w:rFonts w:hint="cs"/>
          <w:rtl/>
        </w:rPr>
        <w:t xml:space="preserve"> </w:t>
      </w:r>
      <w:r w:rsidRPr="001E5E53">
        <w:rPr>
          <w:rStyle w:val="af7"/>
          <w:rFonts w:eastAsia="Guttman Hodes" w:hint="cs"/>
          <w:rtl/>
        </w:rPr>
        <w:t>(סט. ד"ה ובדיני)</w:t>
      </w:r>
      <w:r>
        <w:rPr>
          <w:rFonts w:hint="cs"/>
          <w:rtl/>
        </w:rPr>
        <w:t xml:space="preserve"> דמה הנדון בגמ' בסנהדרין </w:t>
      </w:r>
      <w:r w:rsidRPr="001E5E53">
        <w:rPr>
          <w:rStyle w:val="af7"/>
          <w:rFonts w:eastAsia="Guttman Hodes" w:hint="cs"/>
          <w:rtl/>
        </w:rPr>
        <w:t>(סט.)</w:t>
      </w:r>
      <w:r>
        <w:rPr>
          <w:rFonts w:hint="cs"/>
          <w:rtl/>
        </w:rPr>
        <w:t xml:space="preserve"> אי אזלינן בדיני נפשות בתר רובא, הא בסוגיין ילפינן מהא דלא חיישינן דהרג טריפה דאזלינן בתר רובא, ומוכח דאף בדיני נפשות אזלינן בתר רובא, ועי' בדברי </w:t>
      </w:r>
      <w:r w:rsidRPr="00A2139A">
        <w:rPr>
          <w:rStyle w:val="af9"/>
          <w:rFonts w:hint="cs"/>
          <w:rtl/>
        </w:rPr>
        <w:t>החת"ס</w:t>
      </w:r>
      <w:r>
        <w:rPr>
          <w:rFonts w:hint="cs"/>
          <w:rtl/>
        </w:rPr>
        <w:t xml:space="preserve"> </w:t>
      </w:r>
      <w:r w:rsidRPr="00A2139A">
        <w:rPr>
          <w:rStyle w:val="af7"/>
          <w:rFonts w:eastAsia="Guttman Hodes" w:hint="cs"/>
          <w:rtl/>
        </w:rPr>
        <w:t xml:space="preserve">(עי' אות </w:t>
      </w:r>
      <w:r w:rsidRPr="00A2139A">
        <w:rPr>
          <w:rStyle w:val="af7"/>
          <w:rFonts w:eastAsia="Guttman Hodes"/>
          <w:rtl/>
        </w:rPr>
        <w:fldChar w:fldCharType="begin"/>
      </w:r>
      <w:r w:rsidRPr="00A2139A">
        <w:rPr>
          <w:rStyle w:val="af7"/>
          <w:rFonts w:eastAsia="Guttman Hodes"/>
          <w:rtl/>
        </w:rPr>
        <w:instrText xml:space="preserve"> </w:instrText>
      </w:r>
      <w:r w:rsidRPr="00A2139A">
        <w:rPr>
          <w:rStyle w:val="af7"/>
          <w:rFonts w:eastAsia="Guttman Hodes" w:hint="cs"/>
        </w:rPr>
        <w:instrText>REF</w:instrText>
      </w:r>
      <w:r w:rsidRPr="00A2139A">
        <w:rPr>
          <w:rStyle w:val="af7"/>
          <w:rFonts w:eastAsia="Guttman Hodes" w:hint="cs"/>
          <w:rtl/>
        </w:rPr>
        <w:instrText xml:space="preserve"> _</w:instrText>
      </w:r>
      <w:r w:rsidRPr="00A2139A">
        <w:rPr>
          <w:rStyle w:val="af7"/>
          <w:rFonts w:eastAsia="Guttman Hodes" w:hint="cs"/>
        </w:rPr>
        <w:instrText>Ref530072741 \r \h</w:instrText>
      </w:r>
      <w:r w:rsidRPr="00A2139A">
        <w:rPr>
          <w:rStyle w:val="af7"/>
          <w:rFonts w:eastAsia="Guttman Hodes"/>
          <w:rtl/>
        </w:rPr>
        <w:instrText xml:space="preserve"> </w:instrText>
      </w:r>
      <w:r w:rsidRPr="00A2139A">
        <w:rPr>
          <w:rStyle w:val="af7"/>
          <w:rFonts w:eastAsia="Guttman Hodes"/>
          <w:rtl/>
        </w:rPr>
      </w:r>
      <w:r w:rsidRPr="00A2139A">
        <w:rPr>
          <w:rStyle w:val="af7"/>
          <w:rFonts w:eastAsia="Guttman Hodes"/>
          <w:rtl/>
        </w:rPr>
        <w:fldChar w:fldCharType="separate"/>
      </w:r>
      <w:r w:rsidR="00345400">
        <w:rPr>
          <w:rStyle w:val="af7"/>
          <w:rFonts w:eastAsia="Guttman Hodes"/>
          <w:cs/>
        </w:rPr>
        <w:t>‎</w:t>
      </w:r>
      <w:r w:rsidR="00345400">
        <w:rPr>
          <w:rStyle w:val="af7"/>
          <w:rFonts w:eastAsia="Guttman Hodes"/>
          <w:rtl/>
        </w:rPr>
        <w:t>לז)</w:t>
      </w:r>
      <w:r w:rsidRPr="00A2139A">
        <w:rPr>
          <w:rStyle w:val="af7"/>
          <w:rFonts w:eastAsia="Guttman Hodes"/>
          <w:rtl/>
        </w:rPr>
        <w:fldChar w:fldCharType="end"/>
      </w:r>
      <w:r>
        <w:rPr>
          <w:rStyle w:val="af1"/>
          <w:rtl/>
        </w:rPr>
        <w:footnoteReference w:id="74"/>
      </w:r>
      <w:r>
        <w:rPr>
          <w:rFonts w:hint="cs"/>
          <w:rtl/>
        </w:rPr>
        <w:t>.</w:t>
      </w:r>
    </w:p>
    <w:p w14:paraId="0A5FDC61" w14:textId="77777777" w:rsidR="00064C97" w:rsidRDefault="00064C97" w:rsidP="006D6D32">
      <w:pPr>
        <w:pStyle w:val="a3"/>
        <w:rPr>
          <w:rtl/>
        </w:rPr>
      </w:pPr>
      <w:bookmarkStart w:id="9853" w:name="_Toc530514381"/>
      <w:bookmarkStart w:id="9854" w:name="_Toc530514484"/>
      <w:bookmarkStart w:id="9855" w:name="_Toc530521902"/>
      <w:bookmarkStart w:id="9856" w:name="_Toc530524958"/>
      <w:bookmarkStart w:id="9857" w:name="_Toc530551100"/>
      <w:bookmarkStart w:id="9858" w:name="_Toc19390301"/>
      <w:bookmarkStart w:id="9859" w:name="_Toc19393798"/>
      <w:r>
        <w:rPr>
          <w:rFonts w:hint="cs"/>
          <w:rtl/>
        </w:rPr>
        <w:t>ביאור הר"ן דבסוגיין אזלינן בתר רוב כשא"א לבדוק ובסנהדרין אפשר לקיים את הדין בלי רוב</w:t>
      </w:r>
      <w:bookmarkEnd w:id="9853"/>
      <w:bookmarkEnd w:id="9854"/>
      <w:bookmarkEnd w:id="9855"/>
      <w:bookmarkEnd w:id="9856"/>
      <w:bookmarkEnd w:id="9857"/>
      <w:bookmarkEnd w:id="9858"/>
      <w:bookmarkEnd w:id="9859"/>
    </w:p>
    <w:p w14:paraId="1A96318F" w14:textId="77777777" w:rsidR="00064C97" w:rsidRPr="00FE1CFC" w:rsidRDefault="00064C97" w:rsidP="00223668">
      <w:pPr>
        <w:pStyle w:val="a0"/>
        <w:rPr>
          <w:rtl/>
        </w:rPr>
      </w:pPr>
      <w:bookmarkStart w:id="9860" w:name="_Ref530083079"/>
      <w:r>
        <w:rPr>
          <w:rFonts w:hint="cs"/>
          <w:rtl/>
        </w:rPr>
        <w:t xml:space="preserve">ותירץ </w:t>
      </w:r>
      <w:r w:rsidRPr="001E5E53">
        <w:rPr>
          <w:rStyle w:val="af9"/>
          <w:rFonts w:hint="cs"/>
          <w:rtl/>
        </w:rPr>
        <w:t>הר"ן בחי' בסנהדרין</w:t>
      </w:r>
      <w:r>
        <w:rPr>
          <w:rFonts w:hint="cs"/>
          <w:rtl/>
        </w:rPr>
        <w:t xml:space="preserve"> דבסוגיין איירי בכה"ג שא"א לבדוק את ההרוג שמא היה במקום נקב נקב, ומזה הוכיחה הגמ' דכיון דאמרה תורה שהרוצח חייב מיתה, מוכח דאזלינן בתר רובא שאינו טריפה, אבל הנדון בגמ' בסנהדרין הוא דדין התורה של בן סורר מתקיים, והנדון הוא לפטור בן סורר באופן מסוים, </w:t>
      </w:r>
      <w:r w:rsidRPr="00A11518">
        <w:rPr>
          <w:rStyle w:val="afb"/>
          <w:rFonts w:hint="cs"/>
          <w:rtl/>
        </w:rPr>
        <w:t>[כשמלאו לו ב' חודשים ושליש בגדלות, דעפ"י מיעוט נשים שיולדות לז' וניכר העובר בב' חודשים ושליש, הוא ראוי לקרותו אב ואין בו דין בן סורר],</w:t>
      </w:r>
      <w:r>
        <w:rPr>
          <w:rFonts w:hint="cs"/>
          <w:rtl/>
        </w:rPr>
        <w:t xml:space="preserve"> ובזה דנה הגמ' אי מדין והצילו העדה לא אזלינן בנפשות בתר </w:t>
      </w:r>
      <w:r w:rsidRPr="00FE1CFC">
        <w:rPr>
          <w:rFonts w:hint="cs"/>
          <w:rtl/>
        </w:rPr>
        <w:t xml:space="preserve">רובא, ועי' </w:t>
      </w:r>
      <w:r w:rsidRPr="00FE1CFC">
        <w:rPr>
          <w:rStyle w:val="af9"/>
          <w:rFonts w:hint="cs"/>
          <w:rtl/>
        </w:rPr>
        <w:t>בחי' רבי שלמה</w:t>
      </w:r>
      <w:r w:rsidRPr="00FE1CFC">
        <w:rPr>
          <w:rFonts w:hint="cs"/>
          <w:rtl/>
        </w:rPr>
        <w:t xml:space="preserve"> </w:t>
      </w:r>
      <w:r w:rsidRPr="00FE1CFC">
        <w:rPr>
          <w:rStyle w:val="af7"/>
          <w:rFonts w:eastAsia="Guttman Hodes" w:hint="cs"/>
          <w:rtl/>
        </w:rPr>
        <w:t xml:space="preserve">(ח"ב סי' נ"ו ד"ה </w:t>
      </w:r>
      <w:r>
        <w:rPr>
          <w:rStyle w:val="af7"/>
          <w:rFonts w:eastAsia="Guttman Hodes" w:hint="cs"/>
          <w:rtl/>
        </w:rPr>
        <w:t>הנה הר"ן</w:t>
      </w:r>
      <w:r w:rsidRPr="00FE1CFC">
        <w:rPr>
          <w:rStyle w:val="af7"/>
          <w:rFonts w:eastAsia="Guttman Hodes" w:hint="cs"/>
          <w:rtl/>
        </w:rPr>
        <w:t xml:space="preserve">) </w:t>
      </w:r>
      <w:r>
        <w:rPr>
          <w:rFonts w:hint="cs"/>
          <w:rtl/>
        </w:rPr>
        <w:t xml:space="preserve">במה שהאריך לבאר את תירוץ </w:t>
      </w:r>
      <w:r w:rsidRPr="00FE1CFC">
        <w:rPr>
          <w:rStyle w:val="af9"/>
          <w:rFonts w:hint="cs"/>
          <w:rtl/>
        </w:rPr>
        <w:t>הר"ן</w:t>
      </w:r>
      <w:r w:rsidRPr="00FE1CFC">
        <w:rPr>
          <w:rFonts w:hint="cs"/>
          <w:rtl/>
        </w:rPr>
        <w:t>.</w:t>
      </w:r>
      <w:bookmarkEnd w:id="9860"/>
    </w:p>
    <w:p w14:paraId="0EF7F6E5" w14:textId="77777777" w:rsidR="00064C97" w:rsidRDefault="00064C97" w:rsidP="00BF39B2">
      <w:pPr>
        <w:pStyle w:val="1"/>
        <w:rPr>
          <w:rtl/>
        </w:rPr>
      </w:pPr>
      <w:bookmarkStart w:id="9861" w:name="_Toc530514382"/>
      <w:bookmarkStart w:id="9862" w:name="_Toc530514485"/>
      <w:bookmarkStart w:id="9863" w:name="_Toc530521903"/>
      <w:bookmarkStart w:id="9864" w:name="_Toc530524959"/>
      <w:bookmarkStart w:id="9865" w:name="_Toc530551101"/>
      <w:bookmarkStart w:id="9866" w:name="_Toc19390302"/>
      <w:bookmarkStart w:id="9867" w:name="_Toc19393799"/>
      <w:r w:rsidRPr="008860F6">
        <w:rPr>
          <w:rFonts w:hint="cs"/>
          <w:rtl/>
        </w:rPr>
        <w:t>ד</w:t>
      </w:r>
      <w:r>
        <w:rPr>
          <w:rFonts w:hint="cs"/>
          <w:rtl/>
        </w:rPr>
        <w:t>ברי</w:t>
      </w:r>
      <w:r w:rsidRPr="008860F6">
        <w:rPr>
          <w:rFonts w:hint="cs"/>
          <w:rtl/>
        </w:rPr>
        <w:t xml:space="preserve"> </w:t>
      </w:r>
      <w:r>
        <w:rPr>
          <w:rFonts w:hint="cs"/>
          <w:rtl/>
        </w:rPr>
        <w:t>הגר"ש איגר</w:t>
      </w:r>
      <w:r w:rsidRPr="008860F6">
        <w:rPr>
          <w:rFonts w:hint="cs"/>
          <w:rtl/>
        </w:rPr>
        <w:t xml:space="preserve"> ב</w:t>
      </w:r>
      <w:r>
        <w:rPr>
          <w:rFonts w:hint="cs"/>
          <w:rtl/>
        </w:rPr>
        <w:t>חילוק בין הנדון בסוגיין לנדון ב</w:t>
      </w:r>
      <w:r w:rsidRPr="008860F6">
        <w:rPr>
          <w:rFonts w:hint="cs"/>
          <w:rtl/>
        </w:rPr>
        <w:t>סנהדרין</w:t>
      </w:r>
      <w:bookmarkEnd w:id="9861"/>
      <w:bookmarkEnd w:id="9862"/>
      <w:bookmarkEnd w:id="9863"/>
      <w:bookmarkEnd w:id="9864"/>
      <w:bookmarkEnd w:id="9865"/>
      <w:bookmarkEnd w:id="9866"/>
      <w:bookmarkEnd w:id="9867"/>
    </w:p>
    <w:p w14:paraId="59C76EA8" w14:textId="77777777" w:rsidR="00064C97" w:rsidRDefault="00064C97" w:rsidP="006D6D32">
      <w:pPr>
        <w:pStyle w:val="a3"/>
        <w:rPr>
          <w:rtl/>
        </w:rPr>
      </w:pPr>
      <w:bookmarkStart w:id="9868" w:name="_Toc530514383"/>
      <w:bookmarkStart w:id="9869" w:name="_Toc530514486"/>
      <w:bookmarkStart w:id="9870" w:name="_Toc530521904"/>
      <w:bookmarkStart w:id="9871" w:name="_Toc530524960"/>
      <w:bookmarkStart w:id="9872" w:name="_Toc530551102"/>
      <w:bookmarkStart w:id="9873" w:name="_Toc19390303"/>
      <w:bookmarkStart w:id="9874" w:name="_Toc19393800"/>
      <w:r>
        <w:rPr>
          <w:rFonts w:hint="cs"/>
          <w:rtl/>
        </w:rPr>
        <w:t>תירוץ הגר"ש איגר דבמכה אביו מפורש בתורה דהורגין בהכה את מי שעפ"י הרוב הוא אביו</w:t>
      </w:r>
      <w:bookmarkEnd w:id="9868"/>
      <w:bookmarkEnd w:id="9869"/>
      <w:bookmarkEnd w:id="9870"/>
      <w:bookmarkEnd w:id="9871"/>
      <w:bookmarkEnd w:id="9872"/>
      <w:bookmarkEnd w:id="9873"/>
      <w:bookmarkEnd w:id="9874"/>
      <w:r>
        <w:rPr>
          <w:rFonts w:hint="cs"/>
          <w:rtl/>
        </w:rPr>
        <w:t xml:space="preserve"> </w:t>
      </w:r>
    </w:p>
    <w:p w14:paraId="52ECF71A" w14:textId="77777777" w:rsidR="00064C97" w:rsidRDefault="00064C97" w:rsidP="00223668">
      <w:pPr>
        <w:pStyle w:val="a0"/>
        <w:rPr>
          <w:rtl/>
        </w:rPr>
      </w:pPr>
      <w:bookmarkStart w:id="9875" w:name="_Ref530308593"/>
      <w:r w:rsidRPr="00EC37ED">
        <w:rPr>
          <w:rStyle w:val="af9"/>
          <w:rFonts w:hint="cs"/>
          <w:rtl/>
        </w:rPr>
        <w:t>והגר"ש איגר</w:t>
      </w:r>
      <w:r>
        <w:rPr>
          <w:rFonts w:hint="cs"/>
          <w:rtl/>
        </w:rPr>
        <w:t xml:space="preserve"> </w:t>
      </w:r>
      <w:r w:rsidRPr="00EC37ED">
        <w:rPr>
          <w:rStyle w:val="af7"/>
          <w:rFonts w:eastAsia="Guttman Hodes" w:hint="cs"/>
          <w:rtl/>
        </w:rPr>
        <w:t xml:space="preserve">(שו"ת הגרעק"א מהדו"ק </w:t>
      </w:r>
      <w:r>
        <w:rPr>
          <w:rStyle w:val="af7"/>
          <w:rFonts w:eastAsia="Guttman Hodes" w:hint="cs"/>
          <w:rtl/>
        </w:rPr>
        <w:t xml:space="preserve">סו"ס </w:t>
      </w:r>
      <w:r w:rsidRPr="00EC37ED">
        <w:rPr>
          <w:rStyle w:val="af7"/>
          <w:rFonts w:eastAsia="Guttman Hodes" w:hint="cs"/>
          <w:rtl/>
        </w:rPr>
        <w:t>ק"ז ד"ה והנראה לפי)</w:t>
      </w:r>
      <w:r>
        <w:rPr>
          <w:rFonts w:hint="cs"/>
          <w:rtl/>
        </w:rPr>
        <w:t xml:space="preserve"> תירץ את קושית </w:t>
      </w:r>
      <w:r w:rsidRPr="00EC37ED">
        <w:rPr>
          <w:rStyle w:val="af9"/>
          <w:rFonts w:hint="cs"/>
          <w:rtl/>
        </w:rPr>
        <w:t>הר"ן</w:t>
      </w:r>
      <w:r>
        <w:rPr>
          <w:rFonts w:hint="cs"/>
          <w:rtl/>
        </w:rPr>
        <w:t xml:space="preserve"> דלא דמי הרוב במכה אביו, לנידון הגמ' בסנהדרין, דבמכה אביו כיון שאמרה תורה דהוא חייב מיתה, א"כ בזה גופא אמרה תורה דהורגין אותו ע"י רוב, דכיון שכל אב הוא ע"י רוב, ממילא חשיב דדיברה תורה במי שעפ"י רוב הוא אביו, ולכן לא שייך לומר שלא יהרגו אותו מדין והצילו העדה, דאף אי נימא דכלפי שמיא גליא שהוא מהמיעוט, מ"מ עבר על דין התורה שאסרה להכות את מי שהוא אביו ע"י הרוב.</w:t>
      </w:r>
      <w:bookmarkEnd w:id="9875"/>
    </w:p>
    <w:p w14:paraId="67D072A4" w14:textId="77777777" w:rsidR="00064C97" w:rsidRDefault="00064C97" w:rsidP="006D6D32">
      <w:pPr>
        <w:pStyle w:val="a3"/>
        <w:rPr>
          <w:rtl/>
        </w:rPr>
      </w:pPr>
      <w:bookmarkStart w:id="9876" w:name="_Toc530514384"/>
      <w:bookmarkStart w:id="9877" w:name="_Toc530514487"/>
      <w:bookmarkStart w:id="9878" w:name="_Toc530521905"/>
      <w:bookmarkStart w:id="9879" w:name="_Toc530524961"/>
      <w:bookmarkStart w:id="9880" w:name="_Toc530551103"/>
      <w:bookmarkStart w:id="9881" w:name="_Toc19390304"/>
      <w:bookmarkStart w:id="9882" w:name="_Toc19393801"/>
      <w:r>
        <w:rPr>
          <w:rFonts w:hint="cs"/>
          <w:rtl/>
        </w:rPr>
        <w:t>ביאור הגר"ש איגר דהנדון בסנהדרין אינו לפוטרו מהעבירה ע"י רוב אלא ע"י רוב מן הצד</w:t>
      </w:r>
      <w:bookmarkEnd w:id="9876"/>
      <w:bookmarkEnd w:id="9877"/>
      <w:bookmarkEnd w:id="9878"/>
      <w:bookmarkEnd w:id="9879"/>
      <w:bookmarkEnd w:id="9880"/>
      <w:bookmarkEnd w:id="9881"/>
      <w:bookmarkEnd w:id="9882"/>
    </w:p>
    <w:p w14:paraId="42CAE162" w14:textId="77777777" w:rsidR="00064C97" w:rsidRPr="00A478D7" w:rsidRDefault="00064C97" w:rsidP="00223668">
      <w:pPr>
        <w:pStyle w:val="a0"/>
        <w:rPr>
          <w:rtl/>
        </w:rPr>
      </w:pPr>
      <w:r>
        <w:rPr>
          <w:rFonts w:hint="cs"/>
          <w:rtl/>
        </w:rPr>
        <w:t>אבל בגמ' בסנהדרין ביאר</w:t>
      </w:r>
      <w:r w:rsidRPr="00EC37ED">
        <w:rPr>
          <w:rStyle w:val="af9"/>
          <w:rFonts w:hint="cs"/>
          <w:rtl/>
        </w:rPr>
        <w:t xml:space="preserve"> הגר"ש איגר</w:t>
      </w:r>
      <w:r>
        <w:rPr>
          <w:rFonts w:hint="cs"/>
          <w:rtl/>
        </w:rPr>
        <w:t xml:space="preserve"> דאין הנדון לפטור את הבן סורר מעצם העבירה, דודאי שעבר על עבירה שחייב עליה מיתה, אלא דהנדון לפוטרו ע"י רוב מן הצד ולא מעצם העבירה, שנאמר דראוי לקורותו אב מדין רוב, ובזה סברה הגמ' דאפשר לפוטרו</w:t>
      </w:r>
      <w:r w:rsidRPr="005B293F">
        <w:rPr>
          <w:rFonts w:hint="cs"/>
          <w:rtl/>
        </w:rPr>
        <w:t xml:space="preserve"> </w:t>
      </w:r>
      <w:r>
        <w:rPr>
          <w:rFonts w:hint="cs"/>
          <w:rtl/>
        </w:rPr>
        <w:t xml:space="preserve">מדין והצילו העדה, ודחתה הגמ' דאף ברוב בעדים דטעו בעיבורא דירחא שהוא רוב מן הצד, אזלינן בתריה בדיני נפשות. </w:t>
      </w:r>
      <w:r w:rsidRPr="001C3DC0">
        <w:rPr>
          <w:rStyle w:val="afb"/>
          <w:rFonts w:hint="cs"/>
          <w:rtl/>
        </w:rPr>
        <w:t xml:space="preserve">[ועיי"ש במה שביאר </w:t>
      </w:r>
      <w:r w:rsidRPr="001C3DC0">
        <w:rPr>
          <w:rStyle w:val="affa"/>
          <w:rFonts w:hint="cs"/>
          <w:rtl/>
        </w:rPr>
        <w:t>הגר"ש איגר</w:t>
      </w:r>
      <w:r w:rsidRPr="001C3DC0">
        <w:rPr>
          <w:rStyle w:val="afb"/>
          <w:rFonts w:hint="cs"/>
          <w:rtl/>
        </w:rPr>
        <w:t xml:space="preserve"> ברוב בגמ' בסנהדרין בדין איילונית]</w:t>
      </w:r>
      <w:r w:rsidRPr="00A478D7">
        <w:rPr>
          <w:rFonts w:hint="cs"/>
          <w:rtl/>
        </w:rPr>
        <w:t>,</w:t>
      </w:r>
      <w:r>
        <w:rPr>
          <w:rFonts w:hint="cs"/>
          <w:rtl/>
        </w:rPr>
        <w:t xml:space="preserve"> ועי' בדברי </w:t>
      </w:r>
      <w:r w:rsidRPr="00A478D7">
        <w:rPr>
          <w:rStyle w:val="af9"/>
          <w:rFonts w:hint="cs"/>
          <w:rtl/>
        </w:rPr>
        <w:t>הקה"י</w:t>
      </w:r>
      <w:r w:rsidRPr="00A478D7">
        <w:rPr>
          <w:rFonts w:hint="cs"/>
          <w:rtl/>
        </w:rPr>
        <w:t xml:space="preserve"> </w:t>
      </w:r>
      <w:r w:rsidRPr="00A478D7">
        <w:rPr>
          <w:rStyle w:val="af7"/>
          <w:rFonts w:eastAsia="Guttman Hodes" w:hint="cs"/>
          <w:rtl/>
        </w:rPr>
        <w:t xml:space="preserve">(עי' אות </w:t>
      </w:r>
      <w:r w:rsidRPr="00A478D7">
        <w:rPr>
          <w:rStyle w:val="af7"/>
          <w:rFonts w:eastAsia="Guttman Hodes"/>
          <w:rtl/>
        </w:rPr>
        <w:fldChar w:fldCharType="begin"/>
      </w:r>
      <w:r w:rsidRPr="00A478D7">
        <w:rPr>
          <w:rStyle w:val="af7"/>
          <w:rFonts w:eastAsia="Guttman Hodes"/>
          <w:rtl/>
        </w:rPr>
        <w:instrText xml:space="preserve"> </w:instrText>
      </w:r>
      <w:r w:rsidRPr="00A478D7">
        <w:rPr>
          <w:rStyle w:val="af7"/>
          <w:rFonts w:eastAsia="Guttman Hodes" w:hint="cs"/>
        </w:rPr>
        <w:instrText>REF</w:instrText>
      </w:r>
      <w:r w:rsidRPr="00A478D7">
        <w:rPr>
          <w:rStyle w:val="af7"/>
          <w:rFonts w:eastAsia="Guttman Hodes" w:hint="cs"/>
          <w:rtl/>
        </w:rPr>
        <w:instrText xml:space="preserve"> _</w:instrText>
      </w:r>
      <w:r w:rsidRPr="00A478D7">
        <w:rPr>
          <w:rStyle w:val="af7"/>
          <w:rFonts w:eastAsia="Guttman Hodes" w:hint="cs"/>
        </w:rPr>
        <w:instrText>Ref530308648 \r \h</w:instrText>
      </w:r>
      <w:r w:rsidRPr="00A478D7">
        <w:rPr>
          <w:rStyle w:val="af7"/>
          <w:rFonts w:eastAsia="Guttman Hodes"/>
          <w:rtl/>
        </w:rPr>
        <w:instrText xml:space="preserve"> </w:instrText>
      </w:r>
      <w:r w:rsidRPr="00A478D7">
        <w:rPr>
          <w:rStyle w:val="af7"/>
          <w:rFonts w:eastAsia="Guttman Hodes"/>
          <w:rtl/>
        </w:rPr>
      </w:r>
      <w:r w:rsidRPr="00A478D7">
        <w:rPr>
          <w:rStyle w:val="af7"/>
          <w:rFonts w:eastAsia="Guttman Hodes"/>
          <w:rtl/>
        </w:rPr>
        <w:fldChar w:fldCharType="separate"/>
      </w:r>
      <w:r w:rsidR="00345400">
        <w:rPr>
          <w:rStyle w:val="af7"/>
          <w:rFonts w:eastAsia="Guttman Hodes"/>
          <w:cs/>
        </w:rPr>
        <w:t>‎</w:t>
      </w:r>
      <w:r w:rsidR="00345400">
        <w:rPr>
          <w:rStyle w:val="af7"/>
          <w:rFonts w:eastAsia="Guttman Hodes"/>
          <w:rtl/>
        </w:rPr>
        <w:t>קיט)</w:t>
      </w:r>
      <w:r w:rsidRPr="00A478D7">
        <w:rPr>
          <w:rStyle w:val="af7"/>
          <w:rFonts w:eastAsia="Guttman Hodes"/>
          <w:rtl/>
        </w:rPr>
        <w:fldChar w:fldCharType="end"/>
      </w:r>
      <w:r>
        <w:rPr>
          <w:rFonts w:hint="cs"/>
          <w:rtl/>
        </w:rPr>
        <w:t>.</w:t>
      </w:r>
    </w:p>
    <w:p w14:paraId="7C354457" w14:textId="77777777" w:rsidR="00064C97" w:rsidRDefault="00064C97" w:rsidP="00BF39B2">
      <w:pPr>
        <w:pStyle w:val="1"/>
        <w:rPr>
          <w:rtl/>
        </w:rPr>
      </w:pPr>
      <w:bookmarkStart w:id="9883" w:name="_Toc530411080"/>
      <w:bookmarkStart w:id="9884" w:name="_Toc530476208"/>
      <w:bookmarkStart w:id="9885" w:name="_Toc530477156"/>
      <w:bookmarkStart w:id="9886" w:name="_Toc530502998"/>
      <w:bookmarkStart w:id="9887" w:name="_Toc530504469"/>
      <w:bookmarkStart w:id="9888" w:name="_Toc530514385"/>
      <w:bookmarkStart w:id="9889" w:name="_Toc530514488"/>
      <w:bookmarkStart w:id="9890" w:name="_Toc530521906"/>
      <w:bookmarkStart w:id="9891" w:name="_Toc530524962"/>
      <w:bookmarkStart w:id="9892" w:name="_Toc530551104"/>
      <w:bookmarkStart w:id="9893" w:name="_Toc19390305"/>
      <w:bookmarkStart w:id="9894" w:name="_Toc19393802"/>
      <w:r>
        <w:rPr>
          <w:rFonts w:hint="cs"/>
          <w:rtl/>
        </w:rPr>
        <w:t>דברי המאירי דבנפשות אזלינן בתר רוב שיש עמו חזקה</w:t>
      </w:r>
      <w:bookmarkEnd w:id="9883"/>
      <w:bookmarkEnd w:id="9884"/>
      <w:bookmarkEnd w:id="9885"/>
      <w:bookmarkEnd w:id="9886"/>
      <w:bookmarkEnd w:id="9887"/>
      <w:bookmarkEnd w:id="9888"/>
      <w:bookmarkEnd w:id="9889"/>
      <w:bookmarkEnd w:id="9890"/>
      <w:bookmarkEnd w:id="9891"/>
      <w:bookmarkEnd w:id="9892"/>
      <w:bookmarkEnd w:id="9893"/>
      <w:bookmarkEnd w:id="9894"/>
      <w:r>
        <w:rPr>
          <w:rFonts w:hint="cs"/>
          <w:rtl/>
        </w:rPr>
        <w:t xml:space="preserve"> </w:t>
      </w:r>
    </w:p>
    <w:p w14:paraId="228BB259" w14:textId="77777777" w:rsidR="00064C97" w:rsidRDefault="00064C97" w:rsidP="006D6D32">
      <w:pPr>
        <w:pStyle w:val="a3"/>
        <w:rPr>
          <w:rtl/>
        </w:rPr>
      </w:pPr>
      <w:bookmarkStart w:id="9895" w:name="_Toc530521907"/>
      <w:bookmarkStart w:id="9896" w:name="_Toc530524963"/>
      <w:bookmarkStart w:id="9897" w:name="_Toc530551105"/>
      <w:bookmarkStart w:id="9898" w:name="_Toc19390306"/>
      <w:bookmarkStart w:id="9899" w:name="_Toc19393803"/>
      <w:r>
        <w:rPr>
          <w:rFonts w:hint="cs"/>
          <w:rtl/>
        </w:rPr>
        <w:t>דברי המאירי דבמכה אביו אף שאפשר לבדוק אזלינן בתר רוב וכ"ש דאזלינן בתר רוב עם חזקה</w:t>
      </w:r>
      <w:bookmarkEnd w:id="9895"/>
      <w:bookmarkEnd w:id="9896"/>
      <w:bookmarkEnd w:id="9897"/>
      <w:bookmarkEnd w:id="9898"/>
      <w:bookmarkEnd w:id="9899"/>
    </w:p>
    <w:p w14:paraId="6445B3CE" w14:textId="77777777" w:rsidR="00064C97" w:rsidRDefault="00064C97" w:rsidP="00223668">
      <w:pPr>
        <w:pStyle w:val="a0"/>
        <w:rPr>
          <w:sz w:val="10"/>
          <w:szCs w:val="14"/>
          <w:rtl/>
        </w:rPr>
      </w:pPr>
      <w:bookmarkStart w:id="9900" w:name="_Toc530083910"/>
      <w:bookmarkStart w:id="9901" w:name="_Toc530083946"/>
      <w:bookmarkStart w:id="9902" w:name="_Toc530147708"/>
      <w:bookmarkStart w:id="9903" w:name="_Toc530148036"/>
      <w:r>
        <w:rPr>
          <w:rFonts w:hint="cs"/>
          <w:rtl/>
        </w:rPr>
        <w:t xml:space="preserve">כתב </w:t>
      </w:r>
      <w:r w:rsidRPr="009F427C">
        <w:rPr>
          <w:rStyle w:val="af9"/>
          <w:rFonts w:hint="cs"/>
          <w:rtl/>
        </w:rPr>
        <w:t>המאירי</w:t>
      </w:r>
      <w:r>
        <w:rPr>
          <w:rFonts w:hint="cs"/>
          <w:rtl/>
        </w:rPr>
        <w:t xml:space="preserve"> </w:t>
      </w:r>
      <w:r w:rsidRPr="009F427C">
        <w:rPr>
          <w:rStyle w:val="af7"/>
          <w:rFonts w:eastAsia="Guttman Hodes" w:hint="cs"/>
          <w:rtl/>
        </w:rPr>
        <w:t>(יא. ד"ה כבר)</w:t>
      </w:r>
      <w:r>
        <w:rPr>
          <w:rFonts w:hint="cs"/>
          <w:rtl/>
        </w:rPr>
        <w:t xml:space="preserve"> דהא דאזלינן במכה אביו בתר רובא, היינו דבדבר שאפשר לדון בו על פי הרוב המצוי אזלינן בתר רוב, ואף בדבר שאפשר לבדוק סומכין על הרוב, והוסיף </w:t>
      </w:r>
      <w:r w:rsidRPr="008526F5">
        <w:rPr>
          <w:rStyle w:val="af9"/>
          <w:rFonts w:hint="cs"/>
          <w:rtl/>
        </w:rPr>
        <w:t xml:space="preserve">המאירי </w:t>
      </w:r>
      <w:r>
        <w:rPr>
          <w:rFonts w:hint="cs"/>
          <w:rtl/>
        </w:rPr>
        <w:t>דכ"ש ברוב שיש עמו חזקה.</w:t>
      </w:r>
    </w:p>
    <w:p w14:paraId="610FDDDF" w14:textId="77777777" w:rsidR="00064C97" w:rsidRDefault="00064C97" w:rsidP="006D6D32">
      <w:pPr>
        <w:pStyle w:val="a3"/>
        <w:rPr>
          <w:rtl/>
        </w:rPr>
      </w:pPr>
      <w:bookmarkStart w:id="9904" w:name="_Toc530521908"/>
      <w:bookmarkStart w:id="9905" w:name="_Toc530524964"/>
      <w:bookmarkStart w:id="9906" w:name="_Toc530551106"/>
      <w:bookmarkStart w:id="9907" w:name="_Toc19390307"/>
      <w:bookmarkStart w:id="9908" w:name="_Toc19393804"/>
      <w:r>
        <w:rPr>
          <w:rFonts w:hint="cs"/>
          <w:rtl/>
        </w:rPr>
        <w:t>דברי המאירי בסנהדרין דבנפשות אזלינן בתר רוב שיש עמו חזקה דסוקלין על החזקות</w:t>
      </w:r>
      <w:bookmarkEnd w:id="9904"/>
      <w:bookmarkEnd w:id="9905"/>
      <w:bookmarkEnd w:id="9906"/>
      <w:bookmarkEnd w:id="9907"/>
      <w:bookmarkEnd w:id="9908"/>
    </w:p>
    <w:p w14:paraId="38BF8D67" w14:textId="77777777" w:rsidR="00064C97" w:rsidRDefault="00064C97" w:rsidP="00223668">
      <w:pPr>
        <w:pStyle w:val="a0"/>
        <w:rPr>
          <w:rtl/>
        </w:rPr>
      </w:pPr>
      <w:bookmarkStart w:id="9909" w:name="_Ref530513130"/>
      <w:r w:rsidRPr="00DF1E7F">
        <w:rPr>
          <w:rStyle w:val="af9"/>
          <w:rFonts w:hint="cs"/>
          <w:rtl/>
        </w:rPr>
        <w:t>ו</w:t>
      </w:r>
      <w:r>
        <w:rPr>
          <w:rStyle w:val="af9"/>
          <w:rFonts w:hint="cs"/>
          <w:rtl/>
        </w:rPr>
        <w:t>ב</w:t>
      </w:r>
      <w:r w:rsidRPr="00DF1E7F">
        <w:rPr>
          <w:rStyle w:val="af9"/>
          <w:rFonts w:hint="cs"/>
          <w:rtl/>
        </w:rPr>
        <w:t>מאירי בסנהדרין</w:t>
      </w:r>
      <w:r>
        <w:rPr>
          <w:rFonts w:hint="cs"/>
          <w:rtl/>
        </w:rPr>
        <w:t xml:space="preserve"> </w:t>
      </w:r>
      <w:r w:rsidRPr="00DF1E7F">
        <w:rPr>
          <w:rStyle w:val="af7"/>
          <w:rFonts w:eastAsia="Guttman Hodes" w:hint="cs"/>
          <w:rtl/>
        </w:rPr>
        <w:t>(סט. ד"ה ושמא)</w:t>
      </w:r>
      <w:r>
        <w:rPr>
          <w:rFonts w:hint="cs"/>
          <w:rtl/>
        </w:rPr>
        <w:t xml:space="preserve"> כתב דאף שספק נפשות להקל, מ"מ הולכין אחר רוב שיש עמו חזקה אף בדיני נפשות, ולכן בבן סורר אזלינן בתר רוב נשים יולדות לתשעה, וכן אזלינן בנפשות בתר רוב </w:t>
      </w:r>
      <w:r w:rsidRPr="009F427C">
        <w:rPr>
          <w:rFonts w:hint="cs"/>
          <w:rtl/>
        </w:rPr>
        <w:t>אינשי טעו בעיבורא דירחא, וכן בקטנה שנתקדשה, שע"י רוב נשים אינם איילוניות אמרינן דחלו הקידושין, והבא עליה במיתה</w:t>
      </w:r>
      <w:r>
        <w:rPr>
          <w:rFonts w:hint="cs"/>
          <w:rtl/>
        </w:rPr>
        <w:t>,</w:t>
      </w:r>
      <w:r w:rsidRPr="009F427C">
        <w:rPr>
          <w:rFonts w:hint="cs"/>
          <w:rtl/>
        </w:rPr>
        <w:t xml:space="preserve"> וציין </w:t>
      </w:r>
      <w:r>
        <w:rPr>
          <w:rStyle w:val="af9"/>
          <w:rFonts w:hint="cs"/>
          <w:rtl/>
        </w:rPr>
        <w:t>ה</w:t>
      </w:r>
      <w:r w:rsidRPr="00DF1E7F">
        <w:rPr>
          <w:rStyle w:val="af9"/>
          <w:rFonts w:hint="cs"/>
          <w:rtl/>
        </w:rPr>
        <w:t>מאירי בסנהדרין</w:t>
      </w:r>
      <w:r>
        <w:rPr>
          <w:rFonts w:hint="cs"/>
          <w:rtl/>
        </w:rPr>
        <w:t xml:space="preserve"> </w:t>
      </w:r>
      <w:r w:rsidRPr="009F427C">
        <w:rPr>
          <w:rFonts w:hint="cs"/>
          <w:rtl/>
        </w:rPr>
        <w:t>לדבריו בסוגיין</w:t>
      </w:r>
      <w:r>
        <w:rPr>
          <w:rFonts w:hint="cs"/>
          <w:rtl/>
        </w:rPr>
        <w:t>,</w:t>
      </w:r>
      <w:r w:rsidRPr="009F427C">
        <w:rPr>
          <w:rFonts w:hint="cs"/>
          <w:rtl/>
        </w:rPr>
        <w:t xml:space="preserve"> ו</w:t>
      </w:r>
      <w:r>
        <w:rPr>
          <w:rFonts w:hint="cs"/>
          <w:rtl/>
        </w:rPr>
        <w:t>הוסיף</w:t>
      </w:r>
      <w:r w:rsidRPr="009F427C">
        <w:rPr>
          <w:rFonts w:hint="cs"/>
          <w:rtl/>
        </w:rPr>
        <w:t xml:space="preserve"> </w:t>
      </w:r>
      <w:r w:rsidRPr="009F427C">
        <w:rPr>
          <w:rStyle w:val="af9"/>
          <w:rFonts w:hint="cs"/>
          <w:rtl/>
        </w:rPr>
        <w:t>המאירי בסנהדרין</w:t>
      </w:r>
      <w:r w:rsidRPr="009F427C">
        <w:rPr>
          <w:rFonts w:hint="cs"/>
          <w:rtl/>
        </w:rPr>
        <w:t xml:space="preserve"> דזהו הדין דסוקלין על החזקות</w:t>
      </w:r>
      <w:r>
        <w:rPr>
          <w:rFonts w:hint="cs"/>
          <w:rtl/>
        </w:rPr>
        <w:t xml:space="preserve">, וכתב </w:t>
      </w:r>
      <w:r w:rsidRPr="00A8025B">
        <w:rPr>
          <w:rStyle w:val="af9"/>
          <w:rFonts w:hint="cs"/>
          <w:rtl/>
        </w:rPr>
        <w:t xml:space="preserve">בשיעורי הגרש"ר </w:t>
      </w:r>
      <w:r w:rsidRPr="00545D70">
        <w:rPr>
          <w:rStyle w:val="af7"/>
          <w:rFonts w:eastAsia="Guttman Hodes" w:hint="cs"/>
          <w:rtl/>
        </w:rPr>
        <w:t>(סנהדרין סט. אות ע' ד"ה ויעוי')</w:t>
      </w:r>
      <w:r>
        <w:rPr>
          <w:rFonts w:hint="cs"/>
          <w:rtl/>
        </w:rPr>
        <w:t xml:space="preserve"> דיש לעיין בכוונת </w:t>
      </w:r>
      <w:r w:rsidRPr="00A8025B">
        <w:rPr>
          <w:rStyle w:val="af9"/>
          <w:rFonts w:hint="cs"/>
          <w:rtl/>
        </w:rPr>
        <w:t>המאירי</w:t>
      </w:r>
      <w:r w:rsidRPr="009F427C">
        <w:rPr>
          <w:rFonts w:hint="cs"/>
          <w:rtl/>
        </w:rPr>
        <w:t>.</w:t>
      </w:r>
      <w:bookmarkEnd w:id="9909"/>
    </w:p>
    <w:p w14:paraId="27A076A5" w14:textId="77777777" w:rsidR="00064C97" w:rsidRDefault="00064C97" w:rsidP="006D6D32">
      <w:pPr>
        <w:pStyle w:val="a3"/>
        <w:rPr>
          <w:rtl/>
        </w:rPr>
      </w:pPr>
      <w:bookmarkStart w:id="9910" w:name="_Toc530524965"/>
      <w:bookmarkStart w:id="9911" w:name="_Toc530551107"/>
      <w:bookmarkStart w:id="9912" w:name="_Toc19390308"/>
      <w:bookmarkStart w:id="9913" w:name="_Toc19393805"/>
      <w:r>
        <w:rPr>
          <w:noProof/>
          <w:rtl/>
        </w:rPr>
        <w:t>דברי הגרש"ר דמבואר במאירי דדין רוב</w:t>
      </w:r>
      <w:r>
        <w:rPr>
          <w:rFonts w:hint="cs"/>
          <w:noProof/>
          <w:rtl/>
        </w:rPr>
        <w:t xml:space="preserve"> ב</w:t>
      </w:r>
      <w:r>
        <w:rPr>
          <w:noProof/>
          <w:rtl/>
        </w:rPr>
        <w:t>נפשות שייך לדין סוקלין על החזקות</w:t>
      </w:r>
      <w:bookmarkEnd w:id="9910"/>
      <w:bookmarkEnd w:id="9911"/>
      <w:bookmarkEnd w:id="9912"/>
      <w:bookmarkEnd w:id="9913"/>
    </w:p>
    <w:p w14:paraId="51F463B1" w14:textId="77777777" w:rsidR="00064C97" w:rsidRDefault="00064C97" w:rsidP="00223668">
      <w:pPr>
        <w:pStyle w:val="a0"/>
        <w:rPr>
          <w:rStyle w:val="afb"/>
          <w:rtl/>
        </w:rPr>
      </w:pPr>
      <w:bookmarkStart w:id="9914" w:name="_Ref530412306"/>
      <w:bookmarkStart w:id="9915" w:name="_Toc530348979"/>
      <w:bookmarkStart w:id="9916" w:name="_Toc530395870"/>
      <w:bookmarkStart w:id="9917" w:name="_Toc530411081"/>
      <w:r>
        <w:rPr>
          <w:rFonts w:hint="cs"/>
          <w:rtl/>
        </w:rPr>
        <w:t xml:space="preserve">אך כתב </w:t>
      </w:r>
      <w:r w:rsidRPr="00A8025B">
        <w:rPr>
          <w:rStyle w:val="af9"/>
          <w:rFonts w:hint="cs"/>
          <w:rtl/>
        </w:rPr>
        <w:t>בשיעורי הגרש"</w:t>
      </w:r>
      <w:r>
        <w:rPr>
          <w:rFonts w:hint="cs"/>
          <w:rtl/>
        </w:rPr>
        <w:t xml:space="preserve">ר דמבואר בדברי </w:t>
      </w:r>
      <w:r w:rsidRPr="00A8025B">
        <w:rPr>
          <w:rStyle w:val="af9"/>
          <w:rFonts w:hint="cs"/>
          <w:rtl/>
        </w:rPr>
        <w:t xml:space="preserve">המאירי </w:t>
      </w:r>
      <w:r>
        <w:rPr>
          <w:rFonts w:hint="cs"/>
          <w:rtl/>
        </w:rPr>
        <w:t xml:space="preserve">בסנהדרין ובסוגיין דהא דאזלינן בנפשות בתר רובא, שייך לדין אין סוקלין על החזקות. </w:t>
      </w:r>
      <w:r w:rsidRPr="007946CE">
        <w:rPr>
          <w:rStyle w:val="afb"/>
          <w:rFonts w:hint="cs"/>
          <w:rtl/>
        </w:rPr>
        <w:t xml:space="preserve">[ודלא כדברי </w:t>
      </w:r>
      <w:r w:rsidRPr="007946CE">
        <w:rPr>
          <w:rStyle w:val="affa"/>
          <w:rFonts w:hint="cs"/>
          <w:rtl/>
        </w:rPr>
        <w:t xml:space="preserve">השער"י </w:t>
      </w:r>
      <w:r w:rsidRPr="007946CE">
        <w:rPr>
          <w:rStyle w:val="aff6"/>
          <w:rFonts w:hint="cs"/>
          <w:rtl/>
        </w:rPr>
        <w:t xml:space="preserve">(עי' אות </w:t>
      </w:r>
      <w:r w:rsidRPr="007946CE">
        <w:rPr>
          <w:rStyle w:val="aff6"/>
          <w:rtl/>
        </w:rPr>
        <w:fldChar w:fldCharType="begin"/>
      </w:r>
      <w:r w:rsidRPr="007946CE">
        <w:rPr>
          <w:rStyle w:val="aff6"/>
          <w:rtl/>
        </w:rPr>
        <w:instrText xml:space="preserve"> </w:instrText>
      </w:r>
      <w:r w:rsidRPr="007946CE">
        <w:rPr>
          <w:rStyle w:val="aff6"/>
          <w:rFonts w:hint="cs"/>
        </w:rPr>
        <w:instrText>REF</w:instrText>
      </w:r>
      <w:r w:rsidRPr="007946CE">
        <w:rPr>
          <w:rStyle w:val="aff6"/>
          <w:rFonts w:hint="cs"/>
          <w:rtl/>
        </w:rPr>
        <w:instrText xml:space="preserve"> _</w:instrText>
      </w:r>
      <w:r w:rsidRPr="007946CE">
        <w:rPr>
          <w:rStyle w:val="aff6"/>
          <w:rFonts w:hint="cs"/>
        </w:rPr>
        <w:instrText>Ref530412244 \r \h</w:instrText>
      </w:r>
      <w:r w:rsidRPr="007946CE">
        <w:rPr>
          <w:rStyle w:val="aff6"/>
          <w:rtl/>
        </w:rPr>
        <w:instrText xml:space="preserve"> </w:instrText>
      </w:r>
      <w:r w:rsidRPr="007946CE">
        <w:rPr>
          <w:rStyle w:val="aff6"/>
          <w:rtl/>
        </w:rPr>
      </w:r>
      <w:r w:rsidRPr="007946CE">
        <w:rPr>
          <w:rStyle w:val="aff6"/>
          <w:rtl/>
        </w:rPr>
        <w:fldChar w:fldCharType="separate"/>
      </w:r>
      <w:r w:rsidR="00345400">
        <w:rPr>
          <w:rStyle w:val="aff6"/>
          <w:cs/>
        </w:rPr>
        <w:t>‎</w:t>
      </w:r>
      <w:r w:rsidR="00345400">
        <w:rPr>
          <w:rStyle w:val="aff6"/>
          <w:rtl/>
        </w:rPr>
        <w:t>צד)</w:t>
      </w:r>
      <w:r w:rsidRPr="007946CE">
        <w:rPr>
          <w:rStyle w:val="aff6"/>
          <w:rtl/>
        </w:rPr>
        <w:fldChar w:fldCharType="end"/>
      </w:r>
      <w:r w:rsidRPr="007946CE">
        <w:rPr>
          <w:rStyle w:val="afb"/>
          <w:rFonts w:hint="cs"/>
          <w:rtl/>
        </w:rPr>
        <w:t xml:space="preserve"> דכתב לדחות את דברי </w:t>
      </w:r>
      <w:r w:rsidRPr="007946CE">
        <w:rPr>
          <w:rStyle w:val="affa"/>
          <w:rFonts w:hint="cs"/>
          <w:rtl/>
        </w:rPr>
        <w:t xml:space="preserve">הש"ש </w:t>
      </w:r>
      <w:r w:rsidRPr="007946CE">
        <w:rPr>
          <w:rStyle w:val="aff6"/>
          <w:rFonts w:hint="cs"/>
          <w:rtl/>
        </w:rPr>
        <w:t xml:space="preserve">(עי' אות </w:t>
      </w:r>
      <w:r w:rsidRPr="007946CE">
        <w:rPr>
          <w:rStyle w:val="aff6"/>
          <w:rtl/>
        </w:rPr>
        <w:fldChar w:fldCharType="begin"/>
      </w:r>
      <w:r w:rsidRPr="007946CE">
        <w:rPr>
          <w:rStyle w:val="aff6"/>
          <w:rtl/>
        </w:rPr>
        <w:instrText xml:space="preserve"> </w:instrText>
      </w:r>
      <w:r w:rsidRPr="007946CE">
        <w:rPr>
          <w:rStyle w:val="aff6"/>
          <w:rFonts w:hint="cs"/>
        </w:rPr>
        <w:instrText>REF</w:instrText>
      </w:r>
      <w:r w:rsidRPr="007946CE">
        <w:rPr>
          <w:rStyle w:val="aff6"/>
          <w:rFonts w:hint="cs"/>
          <w:rtl/>
        </w:rPr>
        <w:instrText xml:space="preserve"> _</w:instrText>
      </w:r>
      <w:r w:rsidRPr="007946CE">
        <w:rPr>
          <w:rStyle w:val="aff6"/>
          <w:rFonts w:hint="cs"/>
        </w:rPr>
        <w:instrText>Ref530083018 \r \h</w:instrText>
      </w:r>
      <w:r w:rsidRPr="007946CE">
        <w:rPr>
          <w:rStyle w:val="aff6"/>
          <w:rtl/>
        </w:rPr>
        <w:instrText xml:space="preserve"> </w:instrText>
      </w:r>
      <w:r w:rsidRPr="007946CE">
        <w:rPr>
          <w:rStyle w:val="aff6"/>
          <w:rtl/>
        </w:rPr>
      </w:r>
      <w:r w:rsidRPr="007946CE">
        <w:rPr>
          <w:rStyle w:val="aff6"/>
          <w:rtl/>
        </w:rPr>
        <w:fldChar w:fldCharType="separate"/>
      </w:r>
      <w:r w:rsidR="00345400">
        <w:rPr>
          <w:rStyle w:val="aff6"/>
          <w:cs/>
        </w:rPr>
        <w:t>‎</w:t>
      </w:r>
      <w:r w:rsidR="00345400">
        <w:rPr>
          <w:rStyle w:val="aff6"/>
          <w:rtl/>
        </w:rPr>
        <w:t>מו)</w:t>
      </w:r>
      <w:r w:rsidRPr="007946CE">
        <w:rPr>
          <w:rStyle w:val="aff6"/>
          <w:rtl/>
        </w:rPr>
        <w:fldChar w:fldCharType="end"/>
      </w:r>
      <w:r w:rsidRPr="007946CE">
        <w:rPr>
          <w:rStyle w:val="afb"/>
          <w:rFonts w:hint="cs"/>
          <w:rtl/>
        </w:rPr>
        <w:t xml:space="preserve"> דכתב דהא דאזלינן בנפשות בתר הרוב הוא כיון שע"י הרוב הוחזק האיסור כמו בע"א שמחזיק איסור על חלב, דמהא דהגמ' בסנהדרין לא הביאה את דברי ריו"ח דאין סוקלין על החזקות, מוכח שאינו מדין הוחזק, דהא כתב </w:t>
      </w:r>
      <w:r w:rsidRPr="007946CE">
        <w:rPr>
          <w:rStyle w:val="affa"/>
          <w:rFonts w:hint="cs"/>
          <w:rtl/>
        </w:rPr>
        <w:t>המאירי</w:t>
      </w:r>
      <w:r w:rsidRPr="007946CE">
        <w:rPr>
          <w:rStyle w:val="afb"/>
          <w:rFonts w:hint="cs"/>
          <w:rtl/>
        </w:rPr>
        <w:t xml:space="preserve"> בפירוש שהוא אותו הדין].</w:t>
      </w:r>
      <w:bookmarkEnd w:id="9914"/>
    </w:p>
    <w:p w14:paraId="27A16FA5" w14:textId="77777777" w:rsidR="00064C97" w:rsidRPr="00BA2D79" w:rsidRDefault="00064C97" w:rsidP="00BF39B2">
      <w:pPr>
        <w:pStyle w:val="1"/>
        <w:rPr>
          <w:rtl/>
        </w:rPr>
      </w:pPr>
      <w:bookmarkStart w:id="9918" w:name="_Toc530083913"/>
      <w:bookmarkStart w:id="9919" w:name="_Toc530083949"/>
      <w:bookmarkStart w:id="9920" w:name="_Toc530147711"/>
      <w:bookmarkStart w:id="9921" w:name="_Toc530148039"/>
      <w:bookmarkStart w:id="9922" w:name="_Toc530348982"/>
      <w:bookmarkStart w:id="9923" w:name="_Toc530395873"/>
      <w:bookmarkStart w:id="9924" w:name="_Toc530411084"/>
      <w:bookmarkStart w:id="9925" w:name="_Toc530476221"/>
      <w:bookmarkStart w:id="9926" w:name="_Toc530477169"/>
      <w:bookmarkStart w:id="9927" w:name="_Toc530503011"/>
      <w:bookmarkStart w:id="9928" w:name="_Toc530504508"/>
      <w:bookmarkStart w:id="9929" w:name="_Toc530514397"/>
      <w:bookmarkStart w:id="9930" w:name="_Toc530514500"/>
      <w:bookmarkStart w:id="9931" w:name="_Toc530521937"/>
      <w:bookmarkStart w:id="9932" w:name="_Toc530524993"/>
      <w:bookmarkStart w:id="9933" w:name="_Toc530551140"/>
      <w:bookmarkStart w:id="9934" w:name="_Toc19390309"/>
      <w:bookmarkStart w:id="9935" w:name="_Toc19393806"/>
      <w:r w:rsidRPr="00BA2D79">
        <w:rPr>
          <w:rFonts w:hint="cs"/>
          <w:rtl/>
        </w:rPr>
        <w:t>דעת הרשב"א בתשו'</w:t>
      </w:r>
      <w:bookmarkEnd w:id="9918"/>
      <w:bookmarkEnd w:id="9919"/>
      <w:bookmarkEnd w:id="9920"/>
      <w:bookmarkEnd w:id="9921"/>
      <w:bookmarkEnd w:id="9922"/>
      <w:bookmarkEnd w:id="9923"/>
      <w:bookmarkEnd w:id="9924"/>
      <w:r w:rsidRPr="00BA2D79">
        <w:rPr>
          <w:rFonts w:hint="cs"/>
          <w:rtl/>
        </w:rPr>
        <w:t xml:space="preserve"> ברוב בדיני נפשות</w:t>
      </w:r>
      <w:bookmarkEnd w:id="9925"/>
      <w:bookmarkEnd w:id="9926"/>
      <w:bookmarkEnd w:id="9927"/>
      <w:bookmarkEnd w:id="9928"/>
      <w:bookmarkEnd w:id="9929"/>
      <w:bookmarkEnd w:id="9930"/>
      <w:bookmarkEnd w:id="9931"/>
      <w:bookmarkEnd w:id="9932"/>
      <w:bookmarkEnd w:id="9933"/>
      <w:bookmarkEnd w:id="9934"/>
      <w:bookmarkEnd w:id="9935"/>
    </w:p>
    <w:p w14:paraId="7744C775" w14:textId="77777777" w:rsidR="00064C97" w:rsidRPr="00BA2D79" w:rsidRDefault="00064C97" w:rsidP="006D6D32">
      <w:pPr>
        <w:pStyle w:val="a3"/>
        <w:rPr>
          <w:rtl/>
        </w:rPr>
      </w:pPr>
      <w:bookmarkStart w:id="9936" w:name="_Toc530521938"/>
      <w:bookmarkStart w:id="9937" w:name="_Toc530524994"/>
      <w:bookmarkStart w:id="9938" w:name="_Toc530551141"/>
      <w:bookmarkStart w:id="9939" w:name="_Toc19390310"/>
      <w:bookmarkStart w:id="9940" w:name="_Toc19393807"/>
      <w:r w:rsidRPr="00BA2D79">
        <w:rPr>
          <w:rFonts w:hint="cs"/>
          <w:rtl/>
        </w:rPr>
        <w:t>ספק הרשב"א בתשו' אי בדיני נפשות לא אזלינן בתר רוב כיון דכתיב והצילו העדה</w:t>
      </w:r>
      <w:bookmarkEnd w:id="9936"/>
      <w:bookmarkEnd w:id="9937"/>
      <w:bookmarkEnd w:id="9938"/>
      <w:bookmarkEnd w:id="9939"/>
      <w:bookmarkEnd w:id="9940"/>
    </w:p>
    <w:p w14:paraId="24A4CE63" w14:textId="77777777" w:rsidR="00064C97" w:rsidRPr="00BA2D79" w:rsidRDefault="00064C97" w:rsidP="00223668">
      <w:pPr>
        <w:pStyle w:val="a0"/>
        <w:rPr>
          <w:rtl/>
        </w:rPr>
      </w:pPr>
      <w:r w:rsidRPr="00BA2D79">
        <w:rPr>
          <w:rFonts w:hint="cs"/>
          <w:rtl/>
        </w:rPr>
        <w:t xml:space="preserve">כתב </w:t>
      </w:r>
      <w:r w:rsidRPr="00BA2D79">
        <w:rPr>
          <w:rStyle w:val="af9"/>
          <w:rFonts w:hint="cs"/>
          <w:rtl/>
        </w:rPr>
        <w:t>הרשב"א בתשו'</w:t>
      </w:r>
      <w:r w:rsidRPr="00BA2D79">
        <w:rPr>
          <w:rFonts w:hint="cs"/>
          <w:rtl/>
        </w:rPr>
        <w:t xml:space="preserve"> </w:t>
      </w:r>
      <w:r w:rsidRPr="00BA2D79">
        <w:rPr>
          <w:rStyle w:val="af7"/>
          <w:rFonts w:eastAsia="Guttman Hodes" w:hint="cs"/>
          <w:rtl/>
        </w:rPr>
        <w:t xml:space="preserve">(ח"ג סי' שע"ח) </w:t>
      </w:r>
      <w:r w:rsidRPr="00BA2D79">
        <w:rPr>
          <w:rFonts w:hint="cs"/>
          <w:rtl/>
        </w:rPr>
        <w:t xml:space="preserve">דאזלינן בדיני נפשות בתר רובא, דכן מבואר בגמ' בכתובות </w:t>
      </w:r>
      <w:r w:rsidRPr="00BA2D79">
        <w:rPr>
          <w:rStyle w:val="af7"/>
          <w:rFonts w:eastAsia="Guttman Hodes" w:hint="cs"/>
          <w:rtl/>
        </w:rPr>
        <w:t xml:space="preserve">(טו.) </w:t>
      </w:r>
      <w:r w:rsidRPr="00BA2D79">
        <w:rPr>
          <w:rFonts w:hint="cs"/>
          <w:rtl/>
        </w:rPr>
        <w:t xml:space="preserve">דאיתא התם דבזורק אבן לגו ויש שם ט' ישראלים ועכו"ם אחד, דהוא פטור כיון שהם קבועים וכל קבוע כמחצה על מחצה דמי, ומבואר דאם לא היו קבועים, היה חייב מיתה כיון שיש שם רוב ישראלים, אך כתב </w:t>
      </w:r>
      <w:r w:rsidRPr="00BA2D79">
        <w:rPr>
          <w:rStyle w:val="af9"/>
          <w:rFonts w:hint="cs"/>
          <w:rtl/>
        </w:rPr>
        <w:t>הרשב"א</w:t>
      </w:r>
      <w:r w:rsidRPr="00BA2D79">
        <w:rPr>
          <w:rFonts w:hint="cs"/>
          <w:rtl/>
        </w:rPr>
        <w:t xml:space="preserve"> דיש להסתפק אמאי לא אמרינן והצילו העדה, דמצילין אותו אף בדבר ברור כרודף לחורבא ונמצא הרוג וסכינו מטפטף דם דכל שאין עדים שהרגו, הוא פטור מדין והצילו העדה.</w:t>
      </w:r>
    </w:p>
    <w:p w14:paraId="618E819B" w14:textId="77777777" w:rsidR="00064C97" w:rsidRPr="00BA2D79" w:rsidRDefault="00064C97" w:rsidP="006D6D32">
      <w:pPr>
        <w:pStyle w:val="a3"/>
        <w:rPr>
          <w:rtl/>
        </w:rPr>
      </w:pPr>
      <w:bookmarkStart w:id="9941" w:name="_Toc530521939"/>
      <w:bookmarkStart w:id="9942" w:name="_Toc530524995"/>
      <w:bookmarkStart w:id="9943" w:name="_Toc530551142"/>
      <w:bookmarkStart w:id="9944" w:name="_Toc19390311"/>
      <w:bookmarkStart w:id="9945" w:name="_Toc19393808"/>
      <w:r w:rsidRPr="00BA2D79">
        <w:rPr>
          <w:rFonts w:hint="cs"/>
          <w:rtl/>
        </w:rPr>
        <w:t>מסקנת הרשב"א בתשו' דמבואר בזורק אבן לגו ובירושלמי בסנהדרין דאזלינן בנפשות בתר רובא</w:t>
      </w:r>
      <w:bookmarkEnd w:id="9941"/>
      <w:bookmarkEnd w:id="9942"/>
      <w:bookmarkEnd w:id="9943"/>
      <w:bookmarkEnd w:id="9944"/>
      <w:bookmarkEnd w:id="9945"/>
    </w:p>
    <w:p w14:paraId="330F08C0" w14:textId="77777777" w:rsidR="00064C97" w:rsidRPr="00BA2D79" w:rsidRDefault="00064C97" w:rsidP="00223668">
      <w:pPr>
        <w:pStyle w:val="a0"/>
        <w:rPr>
          <w:rtl/>
        </w:rPr>
      </w:pPr>
      <w:r w:rsidRPr="00BA2D79">
        <w:rPr>
          <w:rFonts w:hint="cs"/>
          <w:rtl/>
        </w:rPr>
        <w:t xml:space="preserve">ומסיק </w:t>
      </w:r>
      <w:r w:rsidRPr="00BA2D79">
        <w:rPr>
          <w:rStyle w:val="af9"/>
          <w:rFonts w:hint="cs"/>
          <w:rtl/>
        </w:rPr>
        <w:t>הרשב"א בתשו'</w:t>
      </w:r>
      <w:r w:rsidRPr="00BA2D79">
        <w:rPr>
          <w:rFonts w:hint="cs"/>
          <w:rtl/>
        </w:rPr>
        <w:t xml:space="preserve"> דאף בנפשות אזלינן בתר רובא, כיון שכן מבואר בגמ' בכתובות, וכן מבואר בירושלמי בסנהדרין </w:t>
      </w:r>
      <w:r w:rsidRPr="00BA2D79">
        <w:rPr>
          <w:rStyle w:val="af7"/>
          <w:rFonts w:eastAsia="Guttman Hodes" w:hint="cs"/>
          <w:rtl/>
        </w:rPr>
        <w:t xml:space="preserve">(פ"ה ה"א דף כד.) </w:t>
      </w:r>
      <w:r w:rsidRPr="00BA2D79">
        <w:rPr>
          <w:rFonts w:hint="cs"/>
          <w:rtl/>
        </w:rPr>
        <w:t>דההורג אדם בין טבריא לציפורי חייב מיתה דחזקה שהרג ישראל.</w:t>
      </w:r>
    </w:p>
    <w:p w14:paraId="62CF87BD" w14:textId="77777777" w:rsidR="00064C97" w:rsidRPr="00BA2D79" w:rsidRDefault="00064C97" w:rsidP="006D6D32">
      <w:pPr>
        <w:pStyle w:val="a3"/>
        <w:rPr>
          <w:rtl/>
        </w:rPr>
      </w:pPr>
      <w:bookmarkStart w:id="9946" w:name="_Toc530521940"/>
      <w:bookmarkStart w:id="9947" w:name="_Toc530524996"/>
      <w:bookmarkStart w:id="9948" w:name="_Toc530551143"/>
      <w:bookmarkStart w:id="9949" w:name="_Toc19390312"/>
      <w:bookmarkStart w:id="9950" w:name="_Toc19393809"/>
      <w:r w:rsidRPr="00BA2D79">
        <w:rPr>
          <w:rFonts w:hint="cs"/>
          <w:rtl/>
        </w:rPr>
        <w:t>דברי החת"ס דהרשב"א ביאר דבסנהדרין איירי דוקא ברובא דליתא קמן שלא הוקבע המיעוט</w:t>
      </w:r>
      <w:bookmarkEnd w:id="9946"/>
      <w:bookmarkEnd w:id="9947"/>
      <w:bookmarkEnd w:id="9948"/>
      <w:bookmarkEnd w:id="9949"/>
      <w:bookmarkEnd w:id="9950"/>
    </w:p>
    <w:p w14:paraId="4E973D45" w14:textId="77777777" w:rsidR="00064C97" w:rsidRPr="00BA2D79" w:rsidRDefault="00064C97" w:rsidP="00223668">
      <w:pPr>
        <w:pStyle w:val="a0"/>
        <w:rPr>
          <w:rStyle w:val="afb"/>
          <w:rtl/>
        </w:rPr>
      </w:pPr>
      <w:bookmarkStart w:id="9951" w:name="_Ref530072741"/>
      <w:r w:rsidRPr="00BA2D79">
        <w:rPr>
          <w:rFonts w:hint="cs"/>
          <w:rtl/>
        </w:rPr>
        <w:t xml:space="preserve">והקשה </w:t>
      </w:r>
      <w:r w:rsidRPr="00BA2D79">
        <w:rPr>
          <w:rStyle w:val="af9"/>
          <w:rFonts w:hint="cs"/>
          <w:rtl/>
        </w:rPr>
        <w:t>החת"ס בתשו'</w:t>
      </w:r>
      <w:r w:rsidRPr="00BA2D79">
        <w:rPr>
          <w:rFonts w:hint="cs"/>
          <w:rtl/>
        </w:rPr>
        <w:t xml:space="preserve"> </w:t>
      </w:r>
      <w:r w:rsidRPr="00BA2D79">
        <w:rPr>
          <w:rStyle w:val="af7"/>
          <w:rFonts w:eastAsia="Guttman Hodes" w:hint="cs"/>
          <w:rtl/>
        </w:rPr>
        <w:t>(אבעה"ז ח"ב סי' קמ"ז ד"ה והנה דברי, אבהע"ז ח"ב סי' קס"א ד"ה ויש)</w:t>
      </w:r>
      <w:r w:rsidRPr="00BA2D79">
        <w:rPr>
          <w:rFonts w:hint="cs"/>
          <w:rtl/>
        </w:rPr>
        <w:t xml:space="preserve"> דאמאי לא הביא </w:t>
      </w:r>
      <w:r w:rsidRPr="00BA2D79">
        <w:rPr>
          <w:rStyle w:val="af9"/>
          <w:rFonts w:hint="cs"/>
          <w:rtl/>
        </w:rPr>
        <w:t>הרשב"א</w:t>
      </w:r>
      <w:r w:rsidRPr="00BA2D79">
        <w:rPr>
          <w:rFonts w:hint="cs"/>
          <w:rtl/>
        </w:rPr>
        <w:t xml:space="preserve"> דמפורש בגמ' בסנהדרין </w:t>
      </w:r>
      <w:r w:rsidRPr="00BA2D79">
        <w:rPr>
          <w:rStyle w:val="af7"/>
          <w:rFonts w:eastAsia="Guttman Hodes" w:hint="cs"/>
          <w:rtl/>
        </w:rPr>
        <w:t>(סט.)</w:t>
      </w:r>
      <w:r w:rsidRPr="00BA2D79">
        <w:rPr>
          <w:rFonts w:hint="cs"/>
          <w:rtl/>
        </w:rPr>
        <w:t xml:space="preserve"> דאזלינן בתר רובא בדיני נפשות, ולא אמרינן והצילו העדה, ותירץ </w:t>
      </w:r>
      <w:r w:rsidRPr="00BA2D79">
        <w:rPr>
          <w:rStyle w:val="af9"/>
          <w:rFonts w:hint="cs"/>
          <w:rtl/>
        </w:rPr>
        <w:t>החת"ס</w:t>
      </w:r>
      <w:r w:rsidRPr="00BA2D79">
        <w:rPr>
          <w:rFonts w:hint="cs"/>
          <w:rtl/>
        </w:rPr>
        <w:t xml:space="preserve"> דס"ל </w:t>
      </w:r>
      <w:r w:rsidRPr="00BA2D79">
        <w:rPr>
          <w:rStyle w:val="af9"/>
          <w:rFonts w:hint="cs"/>
          <w:rtl/>
        </w:rPr>
        <w:t>להרשב"א בתשו'</w:t>
      </w:r>
      <w:r w:rsidRPr="00BA2D79">
        <w:rPr>
          <w:rFonts w:hint="cs"/>
          <w:rtl/>
        </w:rPr>
        <w:t xml:space="preserve"> דהגמ' בסנהדרין איירי ברובא דליתא קמן, שלא הוקבע המיעוט בפנינו, ולכן אמרינן בגמ' דאף בנפשות אזלינן בתריה שהוא כודאי.</w:t>
      </w:r>
      <w:bookmarkEnd w:id="9951"/>
      <w:r w:rsidRPr="00BA2D79">
        <w:rPr>
          <w:rFonts w:hint="cs"/>
          <w:rtl/>
        </w:rPr>
        <w:t xml:space="preserve"> </w:t>
      </w:r>
      <w:r w:rsidRPr="00BA2D79">
        <w:rPr>
          <w:rStyle w:val="afb"/>
          <w:rFonts w:hint="cs"/>
          <w:rtl/>
        </w:rPr>
        <w:t xml:space="preserve">[וביאר </w:t>
      </w:r>
      <w:r w:rsidRPr="00BA2D79">
        <w:rPr>
          <w:rStyle w:val="affa"/>
          <w:rFonts w:hint="cs"/>
          <w:rtl/>
        </w:rPr>
        <w:t>החת"ס</w:t>
      </w:r>
      <w:r w:rsidRPr="00BA2D79">
        <w:rPr>
          <w:rStyle w:val="afb"/>
          <w:rFonts w:hint="cs"/>
          <w:rtl/>
        </w:rPr>
        <w:t xml:space="preserve"> דכיון דלמסקנת הגמ' [עי' </w:t>
      </w:r>
      <w:r w:rsidRPr="00BA2D79">
        <w:rPr>
          <w:rStyle w:val="affa"/>
          <w:rFonts w:hint="cs"/>
          <w:rtl/>
        </w:rPr>
        <w:t>רש"י</w:t>
      </w:r>
      <w:r w:rsidRPr="00BA2D79">
        <w:rPr>
          <w:rStyle w:val="afb"/>
          <w:rFonts w:hint="cs"/>
          <w:rtl/>
        </w:rPr>
        <w:t xml:space="preserve"> </w:t>
      </w:r>
      <w:r w:rsidRPr="00BA2D79">
        <w:rPr>
          <w:rStyle w:val="aff6"/>
          <w:rFonts w:hint="cs"/>
          <w:rtl/>
        </w:rPr>
        <w:t>(יב. ד"ה פסח)</w:t>
      </w:r>
      <w:r w:rsidRPr="00BA2D79">
        <w:rPr>
          <w:rStyle w:val="afb"/>
          <w:rFonts w:hint="cs"/>
          <w:rtl/>
        </w:rPr>
        <w:t xml:space="preserve">] רובא דליתא קמן נלמד מהלכה למשה מסיני, הוא עדיף מרובא דאיתא קמן, דאילו רובא דאיתא קמן אין בו סברא, ויתכן שיזדמן לפניו מהמיעוט, ואזלינן בתריה מגזיה"כ, ולכן אין לו דין ודאי כדכתב </w:t>
      </w:r>
      <w:r w:rsidRPr="00BA2D79">
        <w:rPr>
          <w:rStyle w:val="affa"/>
          <w:rFonts w:hint="cs"/>
          <w:rtl/>
        </w:rPr>
        <w:t>התוס' הרא"ש בב"מ</w:t>
      </w:r>
      <w:r w:rsidRPr="00BA2D79">
        <w:rPr>
          <w:rStyle w:val="afb"/>
          <w:rFonts w:hint="cs"/>
          <w:rtl/>
        </w:rPr>
        <w:t xml:space="preserve"> </w:t>
      </w:r>
      <w:r w:rsidRPr="00BA2D79">
        <w:rPr>
          <w:rStyle w:val="aff6"/>
          <w:rFonts w:hint="cs"/>
          <w:rtl/>
        </w:rPr>
        <w:t xml:space="preserve">(ו: ד"ה קפץ </w:t>
      </w:r>
      <w:r w:rsidR="00AC7E32">
        <w:rPr>
          <w:rStyle w:val="aff6"/>
          <w:rFonts w:hint="cs"/>
          <w:rtl/>
        </w:rPr>
        <w:t>הובא בסימן</w:t>
      </w:r>
      <w:r w:rsidRPr="00BA2D79">
        <w:rPr>
          <w:rStyle w:val="aff6"/>
          <w:rFonts w:hint="cs"/>
          <w:rtl/>
        </w:rPr>
        <w:t xml:space="preserve"> ח' אות מ"ד)</w:t>
      </w:r>
      <w:r w:rsidRPr="00BA2D79">
        <w:rPr>
          <w:rStyle w:val="afb"/>
          <w:rFonts w:hint="cs"/>
          <w:rtl/>
        </w:rPr>
        <w:t xml:space="preserve">, משא"כ רובא דליתא קמן דהוא מסברא, שהמיעוט אינו לפנינו ויתכן שבדור זה אין מיעוט כלל ויש לו דין רוב. יעויי"ש בדברי </w:t>
      </w:r>
      <w:r w:rsidRPr="00BA2D79">
        <w:rPr>
          <w:rStyle w:val="affa"/>
          <w:rFonts w:hint="cs"/>
          <w:rtl/>
        </w:rPr>
        <w:t>החת"ס</w:t>
      </w:r>
      <w:r w:rsidRPr="00BA2D79">
        <w:rPr>
          <w:rStyle w:val="afb"/>
          <w:rFonts w:hint="cs"/>
          <w:rtl/>
        </w:rPr>
        <w:t xml:space="preserve"> </w:t>
      </w:r>
      <w:r w:rsidRPr="00BA2D79">
        <w:rPr>
          <w:rStyle w:val="aff6"/>
          <w:rFonts w:hint="cs"/>
          <w:rtl/>
        </w:rPr>
        <w:t>(</w:t>
      </w:r>
      <w:r w:rsidR="00AC7E32">
        <w:rPr>
          <w:rStyle w:val="aff6"/>
          <w:rFonts w:hint="cs"/>
          <w:rtl/>
        </w:rPr>
        <w:t>הובא בסימן</w:t>
      </w:r>
      <w:r w:rsidRPr="00BA2D79">
        <w:rPr>
          <w:rStyle w:val="aff6"/>
          <w:rFonts w:hint="cs"/>
          <w:rtl/>
        </w:rPr>
        <w:t xml:space="preserve"> ח' אות נ"ה)</w:t>
      </w:r>
      <w:r w:rsidRPr="00BA2D79">
        <w:rPr>
          <w:rStyle w:val="afb"/>
          <w:rFonts w:hint="cs"/>
          <w:rtl/>
        </w:rPr>
        <w:t xml:space="preserve"> במ"ש בביאור סברא זו],</w:t>
      </w:r>
    </w:p>
    <w:p w14:paraId="1B165137" w14:textId="77777777" w:rsidR="00064C97" w:rsidRPr="00BA2D79" w:rsidRDefault="00064C97" w:rsidP="006D6D32">
      <w:pPr>
        <w:pStyle w:val="a3"/>
        <w:rPr>
          <w:rtl/>
        </w:rPr>
      </w:pPr>
      <w:bookmarkStart w:id="9952" w:name="_Toc530521941"/>
      <w:bookmarkStart w:id="9953" w:name="_Toc530524997"/>
      <w:bookmarkStart w:id="9954" w:name="_Toc530551144"/>
      <w:bookmarkStart w:id="9955" w:name="_Toc19390313"/>
      <w:bookmarkStart w:id="9956" w:name="_Toc19393810"/>
      <w:r w:rsidRPr="00BA2D79">
        <w:rPr>
          <w:rFonts w:hint="cs"/>
          <w:rtl/>
        </w:rPr>
        <w:t>ביאור החת"ס דהנדון בדברי הרשב"א הוא ברובא דאיתא קמן שאינו מסברא</w:t>
      </w:r>
      <w:bookmarkEnd w:id="9952"/>
      <w:bookmarkEnd w:id="9953"/>
      <w:bookmarkEnd w:id="9954"/>
      <w:bookmarkEnd w:id="9955"/>
      <w:bookmarkEnd w:id="9956"/>
    </w:p>
    <w:p w14:paraId="423679F5" w14:textId="77777777" w:rsidR="00064C97" w:rsidRPr="00BA2D79" w:rsidRDefault="00064C97" w:rsidP="00223668">
      <w:pPr>
        <w:pStyle w:val="a0"/>
        <w:rPr>
          <w:rtl/>
        </w:rPr>
      </w:pPr>
      <w:r w:rsidRPr="00BA2D79">
        <w:rPr>
          <w:rFonts w:hint="cs"/>
          <w:rtl/>
        </w:rPr>
        <w:t xml:space="preserve">אבל ברובא דאיתא קמן שאינו כודאי, ביאר </w:t>
      </w:r>
      <w:r w:rsidRPr="00BA2D79">
        <w:rPr>
          <w:rStyle w:val="af9"/>
          <w:rFonts w:hint="cs"/>
          <w:rtl/>
        </w:rPr>
        <w:t>החת"ס</w:t>
      </w:r>
      <w:r w:rsidRPr="00BA2D79">
        <w:rPr>
          <w:rFonts w:hint="cs"/>
          <w:rtl/>
        </w:rPr>
        <w:t xml:space="preserve"> דבזה הסתפק </w:t>
      </w:r>
      <w:r w:rsidRPr="00BA2D79">
        <w:rPr>
          <w:rStyle w:val="af9"/>
          <w:rFonts w:hint="cs"/>
          <w:rtl/>
        </w:rPr>
        <w:t>הרשב"א</w:t>
      </w:r>
      <w:r w:rsidRPr="00BA2D79">
        <w:rPr>
          <w:rFonts w:hint="cs"/>
          <w:rtl/>
        </w:rPr>
        <w:t xml:space="preserve"> אי אזלינן בתריה בדיני נפשות, או כיון שהוקבע המיעוט של גוים לפנינו, ויתכן שהזדמן לרוצח אחד מהמיעוט גויים, וכתיב והצילו העדה, לכן לא אזלינן בתר רוב. וכתב </w:t>
      </w:r>
      <w:r w:rsidRPr="00BA2D79">
        <w:rPr>
          <w:rStyle w:val="af9"/>
          <w:rFonts w:hint="cs"/>
          <w:rtl/>
        </w:rPr>
        <w:t>החת"ס</w:t>
      </w:r>
      <w:r w:rsidRPr="00BA2D79">
        <w:rPr>
          <w:rFonts w:hint="cs"/>
          <w:rtl/>
        </w:rPr>
        <w:t xml:space="preserve"> דזה הוכיח</w:t>
      </w:r>
      <w:r w:rsidRPr="00BA2D79">
        <w:rPr>
          <w:rStyle w:val="af9"/>
          <w:rFonts w:hint="cs"/>
          <w:rtl/>
        </w:rPr>
        <w:t xml:space="preserve"> הרשב"א</w:t>
      </w:r>
      <w:r w:rsidRPr="00BA2D79">
        <w:rPr>
          <w:rFonts w:hint="cs"/>
          <w:rtl/>
        </w:rPr>
        <w:t xml:space="preserve"> מזורק אבן לגו, דהוא רובא דאיתא קמן, ומבואר בגמ' בכתובות דאף בנפשות אזלינן ביה בתר רובא, וכן מדברי הירושלמי בהורג בין טבריא לציפורי, דהוא רובא דאיתא קמן, וע"ע </w:t>
      </w:r>
      <w:r w:rsidRPr="00BA2D79">
        <w:rPr>
          <w:rStyle w:val="af9"/>
          <w:rFonts w:hint="cs"/>
          <w:rtl/>
        </w:rPr>
        <w:t>בשיעורי הגרש"ר</w:t>
      </w:r>
      <w:r w:rsidRPr="00BA2D79">
        <w:rPr>
          <w:rFonts w:hint="cs"/>
          <w:rtl/>
        </w:rPr>
        <w:t xml:space="preserve"> </w:t>
      </w:r>
      <w:r w:rsidRPr="00BA2D79">
        <w:rPr>
          <w:rStyle w:val="af7"/>
          <w:rFonts w:eastAsia="Guttman Hodes" w:hint="cs"/>
          <w:rtl/>
        </w:rPr>
        <w:t>(סנהדרין סט. אות ס"ז)</w:t>
      </w:r>
      <w:r w:rsidRPr="00BA2D79">
        <w:rPr>
          <w:rFonts w:hint="cs"/>
          <w:rtl/>
        </w:rPr>
        <w:t xml:space="preserve"> דג"כ כתב דהגמ' בסנהדרין איירי ברובא דאיתא קמן, ובסוגיין איירי ברובא דליתא קמן, ועיי"ש במה שביאר בגדר החילוק </w:t>
      </w:r>
      <w:r w:rsidRPr="00BA2D79">
        <w:rPr>
          <w:rStyle w:val="af7"/>
          <w:rFonts w:eastAsia="Guttman Hodes" w:hint="cs"/>
          <w:rtl/>
        </w:rPr>
        <w:t>(</w:t>
      </w:r>
      <w:r w:rsidR="00AC7E32">
        <w:rPr>
          <w:rStyle w:val="af7"/>
          <w:rFonts w:eastAsia="Guttman Hodes" w:hint="cs"/>
          <w:rtl/>
        </w:rPr>
        <w:t>הובא בסימן</w:t>
      </w:r>
      <w:r w:rsidRPr="00BA2D79">
        <w:rPr>
          <w:rStyle w:val="af7"/>
          <w:rFonts w:eastAsia="Guttman Hodes" w:hint="cs"/>
          <w:rtl/>
        </w:rPr>
        <w:t xml:space="preserve"> ח' אות ק"ו)</w:t>
      </w:r>
      <w:r w:rsidRPr="00BA2D79">
        <w:rPr>
          <w:rFonts w:hint="cs"/>
          <w:rtl/>
        </w:rPr>
        <w:t>.</w:t>
      </w:r>
    </w:p>
    <w:p w14:paraId="3EF170B7" w14:textId="77777777" w:rsidR="00064C97" w:rsidRPr="00BA2D79" w:rsidRDefault="00064C97" w:rsidP="00BF39B2">
      <w:pPr>
        <w:pStyle w:val="1"/>
        <w:rPr>
          <w:rtl/>
        </w:rPr>
      </w:pPr>
      <w:bookmarkStart w:id="9957" w:name="_Toc530521942"/>
      <w:bookmarkStart w:id="9958" w:name="_Toc530524998"/>
      <w:bookmarkStart w:id="9959" w:name="_Toc530551145"/>
      <w:bookmarkStart w:id="9960" w:name="_Toc19390314"/>
      <w:bookmarkStart w:id="9961" w:name="_Toc19393811"/>
      <w:r w:rsidRPr="00BA2D79">
        <w:rPr>
          <w:rFonts w:hint="cs"/>
          <w:rtl/>
        </w:rPr>
        <w:t>חילוק חי' רמ"ש ברוב בנפשות בין רוב אפשרויות לרוב בטבע</w:t>
      </w:r>
      <w:bookmarkEnd w:id="9957"/>
      <w:bookmarkEnd w:id="9958"/>
      <w:bookmarkEnd w:id="9959"/>
      <w:bookmarkEnd w:id="9960"/>
      <w:bookmarkEnd w:id="9961"/>
    </w:p>
    <w:p w14:paraId="4F7DE59C" w14:textId="77777777" w:rsidR="00064C97" w:rsidRPr="00BA2D79" w:rsidRDefault="00064C97" w:rsidP="006D6D32">
      <w:pPr>
        <w:pStyle w:val="a3"/>
        <w:rPr>
          <w:rtl/>
        </w:rPr>
      </w:pPr>
      <w:bookmarkStart w:id="9962" w:name="_Toc530521943"/>
      <w:bookmarkStart w:id="9963" w:name="_Toc530524999"/>
      <w:bookmarkStart w:id="9964" w:name="_Toc530551146"/>
      <w:bookmarkStart w:id="9965" w:name="_Toc19390315"/>
      <w:bookmarkStart w:id="9966" w:name="_Toc19393812"/>
      <w:r w:rsidRPr="00BA2D79">
        <w:rPr>
          <w:rFonts w:hint="cs"/>
          <w:rtl/>
        </w:rPr>
        <w:t>דברי חי' רמ"ש דברוב של אפשרויות שאינו הכרח בטבע אזלינן בתרי האף בדיני נפשות</w:t>
      </w:r>
      <w:bookmarkEnd w:id="9962"/>
      <w:bookmarkEnd w:id="9963"/>
      <w:bookmarkEnd w:id="9964"/>
      <w:bookmarkEnd w:id="9965"/>
      <w:bookmarkEnd w:id="9966"/>
    </w:p>
    <w:p w14:paraId="2BDE764D" w14:textId="77777777" w:rsidR="00064C97" w:rsidRDefault="00064C97" w:rsidP="00223668">
      <w:pPr>
        <w:pStyle w:val="a0"/>
        <w:rPr>
          <w:rtl/>
        </w:rPr>
      </w:pPr>
      <w:r w:rsidRPr="00BA2D79">
        <w:rPr>
          <w:rFonts w:hint="cs"/>
          <w:rtl/>
        </w:rPr>
        <w:t xml:space="preserve">כתב </w:t>
      </w:r>
      <w:r w:rsidRPr="00BA2D79">
        <w:rPr>
          <w:rStyle w:val="af9"/>
          <w:rFonts w:hint="cs"/>
          <w:rtl/>
        </w:rPr>
        <w:t>בחי' רמ"ש לקמן</w:t>
      </w:r>
      <w:r w:rsidRPr="00BA2D79">
        <w:rPr>
          <w:rFonts w:hint="cs"/>
          <w:rtl/>
        </w:rPr>
        <w:t xml:space="preserve"> </w:t>
      </w:r>
      <w:r w:rsidRPr="00BA2D79">
        <w:rPr>
          <w:rStyle w:val="af7"/>
          <w:rFonts w:eastAsia="Guttman Hodes" w:hint="cs"/>
          <w:rtl/>
        </w:rPr>
        <w:t xml:space="preserve">(צו. ד"ה והנראה לדעתי) </w:t>
      </w:r>
      <w:r w:rsidRPr="00BA2D79">
        <w:rPr>
          <w:rFonts w:hint="cs"/>
          <w:rtl/>
        </w:rPr>
        <w:t xml:space="preserve">דיש ב' דינים ברוב, האחד ברוב של אפשרויות כמו רוב בהמות אינם טריפות, שיש יותר אפשרויות מצויות שלא תהיה הבהמה טריפה, ויש מיעוט אפשרויות שתהיה טריפה, אך אין הכרח בטבע שיהיה כמו הרוב, וכן ברובא דאינשי טעו בעיבורא דירחא דאין כל טבע לזה, אלא רוב האפשרויות שכך יהיה, עיי"ש בדבריו. ובזה כתב </w:t>
      </w:r>
      <w:r w:rsidRPr="00BA2D79">
        <w:rPr>
          <w:rStyle w:val="af9"/>
          <w:rFonts w:hint="cs"/>
          <w:rtl/>
        </w:rPr>
        <w:t xml:space="preserve">בחי' רמ"ש </w:t>
      </w:r>
      <w:r w:rsidRPr="00BA2D79">
        <w:rPr>
          <w:rFonts w:hint="cs"/>
          <w:rtl/>
        </w:rPr>
        <w:t>דאזלינן בתר</w:t>
      </w:r>
      <w:r>
        <w:rPr>
          <w:rFonts w:hint="cs"/>
          <w:rtl/>
        </w:rPr>
        <w:t xml:space="preserve"> רובא אף בדיני נפשות, דהמיעוט אינו נחשב כלל.</w:t>
      </w:r>
      <w:r w:rsidRPr="0085586A">
        <w:rPr>
          <w:rFonts w:hint="cs"/>
          <w:rtl/>
        </w:rPr>
        <w:t xml:space="preserve"> </w:t>
      </w:r>
      <w:r>
        <w:rPr>
          <w:rFonts w:hint="cs"/>
          <w:rtl/>
        </w:rPr>
        <w:t xml:space="preserve">והוסיף </w:t>
      </w:r>
      <w:r w:rsidRPr="00744190">
        <w:rPr>
          <w:rStyle w:val="af9"/>
          <w:rFonts w:hint="cs"/>
          <w:rtl/>
        </w:rPr>
        <w:t>בחי' רמ"ש</w:t>
      </w:r>
      <w:r>
        <w:rPr>
          <w:rFonts w:hint="cs"/>
          <w:rtl/>
        </w:rPr>
        <w:t xml:space="preserve"> </w:t>
      </w:r>
      <w:r w:rsidRPr="00AB4F8F">
        <w:rPr>
          <w:rStyle w:val="af7"/>
          <w:rFonts w:eastAsia="Guttman Hodes" w:hint="cs"/>
          <w:rtl/>
        </w:rPr>
        <w:t>(צ</w:t>
      </w:r>
      <w:r w:rsidRPr="0085586A">
        <w:rPr>
          <w:rStyle w:val="af7"/>
          <w:rFonts w:eastAsia="Guttman Hodes" w:hint="cs"/>
          <w:rtl/>
        </w:rPr>
        <w:t>ו. ד"ה והנה סברתי)</w:t>
      </w:r>
      <w:r>
        <w:rPr>
          <w:rFonts w:hint="cs"/>
          <w:rtl/>
        </w:rPr>
        <w:t xml:space="preserve"> דסברתו שונה מסברת </w:t>
      </w:r>
      <w:r w:rsidRPr="00744190">
        <w:rPr>
          <w:rStyle w:val="af9"/>
          <w:rFonts w:hint="cs"/>
          <w:rtl/>
        </w:rPr>
        <w:t>התוס' בסנהדרין</w:t>
      </w:r>
      <w:r>
        <w:rPr>
          <w:rFonts w:hint="cs"/>
          <w:rtl/>
        </w:rPr>
        <w:t xml:space="preserve"> </w:t>
      </w:r>
      <w:r w:rsidRPr="009C7014">
        <w:rPr>
          <w:rStyle w:val="af7"/>
          <w:rFonts w:eastAsia="Guttman Hodes" w:hint="cs"/>
          <w:rtl/>
        </w:rPr>
        <w:t xml:space="preserve">(עי' אות </w:t>
      </w:r>
      <w:r w:rsidRPr="009C7014">
        <w:rPr>
          <w:rStyle w:val="af7"/>
          <w:rFonts w:eastAsia="Guttman Hodes"/>
          <w:rtl/>
        </w:rPr>
        <w:fldChar w:fldCharType="begin"/>
      </w:r>
      <w:r w:rsidRPr="009C7014">
        <w:rPr>
          <w:rStyle w:val="af7"/>
          <w:rFonts w:eastAsia="Guttman Hodes"/>
          <w:rtl/>
        </w:rPr>
        <w:instrText xml:space="preserve"> </w:instrText>
      </w:r>
      <w:r w:rsidRPr="009C7014">
        <w:rPr>
          <w:rStyle w:val="af7"/>
          <w:rFonts w:eastAsia="Guttman Hodes" w:hint="cs"/>
        </w:rPr>
        <w:instrText>REF</w:instrText>
      </w:r>
      <w:r w:rsidRPr="009C7014">
        <w:rPr>
          <w:rStyle w:val="af7"/>
          <w:rFonts w:eastAsia="Guttman Hodes" w:hint="cs"/>
          <w:rtl/>
        </w:rPr>
        <w:instrText xml:space="preserve"> _</w:instrText>
      </w:r>
      <w:r w:rsidRPr="009C7014">
        <w:rPr>
          <w:rStyle w:val="af7"/>
          <w:rFonts w:eastAsia="Guttman Hodes" w:hint="cs"/>
        </w:rPr>
        <w:instrText>Ref530042782 \r \h</w:instrText>
      </w:r>
      <w:r w:rsidRPr="009C7014">
        <w:rPr>
          <w:rStyle w:val="af7"/>
          <w:rFonts w:eastAsia="Guttman Hodes"/>
          <w:rtl/>
        </w:rPr>
        <w:instrText xml:space="preserve"> </w:instrText>
      </w:r>
      <w:r w:rsidRPr="009C7014">
        <w:rPr>
          <w:rStyle w:val="af7"/>
          <w:rFonts w:eastAsia="Guttman Hodes"/>
          <w:rtl/>
        </w:rPr>
      </w:r>
      <w:r w:rsidRPr="009C7014">
        <w:rPr>
          <w:rStyle w:val="af7"/>
          <w:rFonts w:eastAsia="Guttman Hodes"/>
          <w:rtl/>
        </w:rPr>
        <w:fldChar w:fldCharType="separate"/>
      </w:r>
      <w:r w:rsidR="00345400">
        <w:rPr>
          <w:rStyle w:val="af7"/>
          <w:rFonts w:eastAsia="Guttman Hodes"/>
          <w:cs/>
        </w:rPr>
        <w:t>‎</w:t>
      </w:r>
      <w:r w:rsidR="00345400">
        <w:rPr>
          <w:rStyle w:val="af7"/>
          <w:rFonts w:eastAsia="Guttman Hodes"/>
          <w:rtl/>
        </w:rPr>
        <w:t>מא)</w:t>
      </w:r>
      <w:r w:rsidRPr="009C7014">
        <w:rPr>
          <w:rStyle w:val="af7"/>
          <w:rFonts w:eastAsia="Guttman Hodes"/>
          <w:rtl/>
        </w:rPr>
        <w:fldChar w:fldCharType="end"/>
      </w:r>
      <w:r>
        <w:rPr>
          <w:rFonts w:hint="cs"/>
          <w:rtl/>
        </w:rPr>
        <w:t xml:space="preserve"> דלדעת </w:t>
      </w:r>
      <w:r w:rsidRPr="00744190">
        <w:rPr>
          <w:rStyle w:val="af9"/>
          <w:rFonts w:hint="cs"/>
          <w:rtl/>
        </w:rPr>
        <w:t>התוס' בסנהדרין</w:t>
      </w:r>
      <w:r>
        <w:rPr>
          <w:rFonts w:hint="cs"/>
          <w:rtl/>
        </w:rPr>
        <w:t xml:space="preserve"> אמרינן שהרוב הוא רוב גרוע, ואילו לביאורו אין חסרון ברוב אלא שיש כח במיעוט, עיי"ש במה שביאר באריכות.</w:t>
      </w:r>
    </w:p>
    <w:p w14:paraId="106D3FA4" w14:textId="77777777" w:rsidR="00064C97" w:rsidRDefault="00064C97" w:rsidP="006D6D32">
      <w:pPr>
        <w:pStyle w:val="a3"/>
        <w:rPr>
          <w:rtl/>
        </w:rPr>
      </w:pPr>
      <w:bookmarkStart w:id="9967" w:name="_Toc530521944"/>
      <w:bookmarkStart w:id="9968" w:name="_Toc530525000"/>
      <w:bookmarkStart w:id="9969" w:name="_Toc530551147"/>
      <w:bookmarkStart w:id="9970" w:name="_Toc19390316"/>
      <w:bookmarkStart w:id="9971" w:name="_Toc19393813"/>
      <w:r>
        <w:rPr>
          <w:rFonts w:hint="cs"/>
          <w:rtl/>
        </w:rPr>
        <w:t>דברי חי' רמ"ש דברוב שהוא בטבע לא אזלינן בתריה בדיני נפשות כיון שגם המיעוט הוא בטבע</w:t>
      </w:r>
      <w:bookmarkEnd w:id="9967"/>
      <w:bookmarkEnd w:id="9968"/>
      <w:bookmarkEnd w:id="9969"/>
      <w:bookmarkEnd w:id="9970"/>
      <w:bookmarkEnd w:id="9971"/>
    </w:p>
    <w:p w14:paraId="4A2F3DFC" w14:textId="77777777" w:rsidR="00064C97" w:rsidRDefault="00064C97" w:rsidP="00223668">
      <w:pPr>
        <w:pStyle w:val="a0"/>
        <w:rPr>
          <w:rtl/>
        </w:rPr>
      </w:pPr>
      <w:r>
        <w:rPr>
          <w:rFonts w:hint="cs"/>
          <w:rtl/>
        </w:rPr>
        <w:t xml:space="preserve">וכתב </w:t>
      </w:r>
      <w:r w:rsidRPr="00712D95">
        <w:rPr>
          <w:rStyle w:val="af9"/>
          <w:rFonts w:hint="cs"/>
          <w:rtl/>
        </w:rPr>
        <w:t>בחי' רמ"ש</w:t>
      </w:r>
      <w:r>
        <w:rPr>
          <w:rFonts w:hint="cs"/>
          <w:rtl/>
        </w:rPr>
        <w:t xml:space="preserve"> </w:t>
      </w:r>
      <w:r w:rsidRPr="00EA33DF">
        <w:rPr>
          <w:rStyle w:val="af7"/>
          <w:rFonts w:eastAsia="Guttman Hodes" w:hint="cs"/>
          <w:rtl/>
        </w:rPr>
        <w:t xml:space="preserve">(צו. ד"ה והנראה לדעתי) </w:t>
      </w:r>
      <w:r>
        <w:rPr>
          <w:rFonts w:hint="cs"/>
          <w:rtl/>
        </w:rPr>
        <w:t xml:space="preserve">דהדין השני הוא רוב שמונח כך בטבע, ואין סיבה שיתבטל בהמשך הזמן כמו רובא זבני לרדיא, ורוב בתולות נישאות, דהטבע הוא שישה מיעוט אלמנות, כיון שמיתה הוא חלק מהבריאה בטבע העולם, וכן רוב יולדות ומיעוט מפילות. ובדין זה כתב </w:t>
      </w:r>
      <w:r w:rsidRPr="00712D95">
        <w:rPr>
          <w:rStyle w:val="af9"/>
          <w:rFonts w:hint="cs"/>
          <w:rtl/>
        </w:rPr>
        <w:t>בחי' רמ"ש</w:t>
      </w:r>
      <w:r>
        <w:rPr>
          <w:rFonts w:hint="cs"/>
          <w:rtl/>
        </w:rPr>
        <w:t xml:space="preserve"> דלא אזלינן בתריה בדיני ממונות וכ"ש בדיני נפשות, דכיון שהמיעוט הוא ג"כ מטבע העולם, מצטרף המיעוט לחזקת ממון, ובדיני נפשות מטרף המיעוט לחזקת הגוף של ישראל, שהיא חזקה אלימא יותר מחזקת ממון, וכתב </w:t>
      </w:r>
      <w:r w:rsidRPr="00712D95">
        <w:rPr>
          <w:rStyle w:val="af9"/>
          <w:rFonts w:hint="cs"/>
          <w:rtl/>
        </w:rPr>
        <w:t>בחי' רמ"ש</w:t>
      </w:r>
      <w:r>
        <w:rPr>
          <w:rFonts w:hint="cs"/>
          <w:rtl/>
        </w:rPr>
        <w:t xml:space="preserve"> דיסוד דבריו הם מדברי </w:t>
      </w:r>
      <w:r w:rsidRPr="00712D95">
        <w:rPr>
          <w:rStyle w:val="af9"/>
          <w:rFonts w:hint="cs"/>
          <w:rtl/>
        </w:rPr>
        <w:t>הריב"ש</w:t>
      </w:r>
      <w:r>
        <w:rPr>
          <w:rFonts w:hint="cs"/>
          <w:rtl/>
        </w:rPr>
        <w:t xml:space="preserve"> </w:t>
      </w:r>
      <w:r w:rsidRPr="00EA33DF">
        <w:rPr>
          <w:rStyle w:val="af7"/>
          <w:rFonts w:eastAsia="Guttman Hodes" w:hint="cs"/>
          <w:rtl/>
        </w:rPr>
        <w:t>(שע"א</w:t>
      </w:r>
      <w:r>
        <w:rPr>
          <w:rStyle w:val="af7"/>
          <w:rFonts w:eastAsia="Guttman Hodes" w:hint="cs"/>
          <w:rtl/>
        </w:rPr>
        <w:t>)</w:t>
      </w:r>
      <w:r>
        <w:rPr>
          <w:rFonts w:hint="cs"/>
          <w:rtl/>
        </w:rPr>
        <w:t>.</w:t>
      </w:r>
    </w:p>
    <w:p w14:paraId="1169CA5C" w14:textId="77777777" w:rsidR="00D37F3A" w:rsidRPr="00D37F3A" w:rsidRDefault="00D37F3A" w:rsidP="006D6D32">
      <w:pPr>
        <w:pStyle w:val="a3"/>
        <w:rPr>
          <w:rtl/>
        </w:rPr>
      </w:pPr>
    </w:p>
    <w:p w14:paraId="2284EEC9" w14:textId="77777777" w:rsidR="00D37F3A" w:rsidRPr="00D37F3A" w:rsidRDefault="00D37F3A" w:rsidP="006D6D32">
      <w:pPr>
        <w:pStyle w:val="a3"/>
        <w:rPr>
          <w:rtl/>
        </w:rPr>
      </w:pPr>
    </w:p>
    <w:p w14:paraId="60C953CF" w14:textId="77777777" w:rsidR="00064C97" w:rsidRDefault="00064C97" w:rsidP="006D6D32">
      <w:pPr>
        <w:pStyle w:val="afe"/>
        <w:rPr>
          <w:rtl/>
        </w:rPr>
      </w:pPr>
      <w:bookmarkStart w:id="9972" w:name="_Toc530476209"/>
      <w:bookmarkStart w:id="9973" w:name="_Toc530477157"/>
      <w:bookmarkStart w:id="9974" w:name="_Toc530502999"/>
      <w:bookmarkStart w:id="9975" w:name="_Toc530504473"/>
      <w:bookmarkStart w:id="9976" w:name="_Toc530514386"/>
      <w:bookmarkStart w:id="9977" w:name="_Toc530514489"/>
      <w:bookmarkStart w:id="9978" w:name="_Toc530521910"/>
      <w:bookmarkStart w:id="9979" w:name="_Toc530524966"/>
      <w:bookmarkStart w:id="9980" w:name="_Toc530551108"/>
      <w:bookmarkStart w:id="9981" w:name="_Toc19435697"/>
      <w:bookmarkStart w:id="9982" w:name="_Toc20080965"/>
      <w:r>
        <w:rPr>
          <w:rFonts w:hint="cs"/>
          <w:rtl/>
        </w:rPr>
        <w:t>בדעת התוס' ברוב בנפשות</w:t>
      </w:r>
      <w:bookmarkEnd w:id="9972"/>
      <w:bookmarkEnd w:id="9973"/>
      <w:bookmarkEnd w:id="9974"/>
      <w:bookmarkEnd w:id="9975"/>
      <w:bookmarkEnd w:id="9976"/>
      <w:bookmarkEnd w:id="9977"/>
      <w:bookmarkEnd w:id="9978"/>
      <w:bookmarkEnd w:id="9979"/>
      <w:bookmarkEnd w:id="9980"/>
      <w:bookmarkEnd w:id="9981"/>
      <w:bookmarkEnd w:id="9982"/>
    </w:p>
    <w:p w14:paraId="26A10E48" w14:textId="77777777" w:rsidR="00064C97" w:rsidRPr="00490AD8" w:rsidRDefault="00064C97" w:rsidP="00BF39B2">
      <w:pPr>
        <w:pStyle w:val="1"/>
        <w:rPr>
          <w:rtl/>
        </w:rPr>
      </w:pPr>
      <w:bookmarkStart w:id="9983" w:name="_Toc530476210"/>
      <w:bookmarkStart w:id="9984" w:name="_Toc530477158"/>
      <w:bookmarkStart w:id="9985" w:name="_Toc530503000"/>
      <w:bookmarkStart w:id="9986" w:name="_Toc530504474"/>
      <w:bookmarkStart w:id="9987" w:name="_Toc530514387"/>
      <w:bookmarkStart w:id="9988" w:name="_Toc530514490"/>
      <w:bookmarkStart w:id="9989" w:name="_Toc530521911"/>
      <w:bookmarkStart w:id="9990" w:name="_Toc530524967"/>
      <w:bookmarkStart w:id="9991" w:name="_Toc530551109"/>
      <w:bookmarkStart w:id="9992" w:name="_Toc19390317"/>
      <w:bookmarkStart w:id="9993" w:name="_Toc19393814"/>
      <w:r>
        <w:rPr>
          <w:rFonts w:hint="cs"/>
          <w:rtl/>
        </w:rPr>
        <w:t>דברי התוס' בסנהדרין</w:t>
      </w:r>
      <w:bookmarkEnd w:id="9900"/>
      <w:bookmarkEnd w:id="9901"/>
      <w:bookmarkEnd w:id="9902"/>
      <w:bookmarkEnd w:id="9903"/>
      <w:bookmarkEnd w:id="9915"/>
      <w:bookmarkEnd w:id="9916"/>
      <w:bookmarkEnd w:id="9917"/>
      <w:bookmarkEnd w:id="9983"/>
      <w:bookmarkEnd w:id="9984"/>
      <w:bookmarkEnd w:id="9985"/>
      <w:bookmarkEnd w:id="9986"/>
      <w:bookmarkEnd w:id="9987"/>
      <w:bookmarkEnd w:id="9988"/>
      <w:r>
        <w:rPr>
          <w:rFonts w:hint="cs"/>
          <w:rtl/>
        </w:rPr>
        <w:t xml:space="preserve"> דבממונות ונפשות מהני רק רוב מעליא</w:t>
      </w:r>
      <w:bookmarkEnd w:id="9989"/>
      <w:bookmarkEnd w:id="9990"/>
      <w:bookmarkEnd w:id="9991"/>
      <w:bookmarkEnd w:id="9992"/>
      <w:bookmarkEnd w:id="9993"/>
    </w:p>
    <w:p w14:paraId="0BADB115" w14:textId="77777777" w:rsidR="00064C97" w:rsidRDefault="00064C97" w:rsidP="006D6D32">
      <w:pPr>
        <w:pStyle w:val="a3"/>
        <w:rPr>
          <w:rtl/>
        </w:rPr>
      </w:pPr>
      <w:bookmarkStart w:id="9994" w:name="_Toc530521912"/>
      <w:bookmarkStart w:id="9995" w:name="_Toc530524968"/>
      <w:bookmarkStart w:id="9996" w:name="_Toc530551110"/>
      <w:bookmarkStart w:id="9997" w:name="_Toc19390318"/>
      <w:bookmarkStart w:id="9998" w:name="_Toc19393815"/>
      <w:r>
        <w:rPr>
          <w:rFonts w:hint="cs"/>
          <w:rtl/>
        </w:rPr>
        <w:t>דברי התוס' בסנהדרין דיש חילוק בין רוב חשוב לאינו חשוב לענין ממונות [ונפשות]</w:t>
      </w:r>
      <w:bookmarkEnd w:id="9994"/>
      <w:bookmarkEnd w:id="9995"/>
      <w:bookmarkEnd w:id="9996"/>
      <w:bookmarkEnd w:id="9997"/>
      <w:bookmarkEnd w:id="9998"/>
    </w:p>
    <w:p w14:paraId="216F2CB3" w14:textId="77777777" w:rsidR="00064C97" w:rsidRDefault="00064C97" w:rsidP="00223668">
      <w:pPr>
        <w:pStyle w:val="a0"/>
        <w:rPr>
          <w:rtl/>
        </w:rPr>
      </w:pPr>
      <w:bookmarkStart w:id="9999" w:name="_Ref530042782"/>
      <w:r>
        <w:rPr>
          <w:rFonts w:hint="cs"/>
          <w:rtl/>
        </w:rPr>
        <w:t xml:space="preserve">כתבו </w:t>
      </w:r>
      <w:r w:rsidRPr="00411637">
        <w:rPr>
          <w:rStyle w:val="af9"/>
          <w:rFonts w:hint="cs"/>
          <w:rtl/>
        </w:rPr>
        <w:t>התוס' בסנהדרין</w:t>
      </w:r>
      <w:r>
        <w:rPr>
          <w:rFonts w:hint="cs"/>
          <w:rtl/>
        </w:rPr>
        <w:t xml:space="preserve"> </w:t>
      </w:r>
      <w:r w:rsidRPr="00411637">
        <w:rPr>
          <w:rStyle w:val="af7"/>
          <w:rFonts w:eastAsia="Guttman Hodes" w:hint="cs"/>
          <w:rtl/>
        </w:rPr>
        <w:t>(ג: ד"ה דיני)</w:t>
      </w:r>
      <w:r>
        <w:rPr>
          <w:rFonts w:hint="cs"/>
          <w:rtl/>
        </w:rPr>
        <w:t xml:space="preserve"> דבגמ' בסנהדרין </w:t>
      </w:r>
      <w:r w:rsidRPr="00411637">
        <w:rPr>
          <w:rStyle w:val="af7"/>
          <w:rFonts w:eastAsia="Guttman Hodes" w:hint="cs"/>
          <w:rtl/>
        </w:rPr>
        <w:t>(סט.)</w:t>
      </w:r>
      <w:r>
        <w:rPr>
          <w:rFonts w:hint="cs"/>
          <w:rtl/>
        </w:rPr>
        <w:t xml:space="preserve"> מבואר דאזלינן בדיני נפשות בתר רובא, בין ברובא דאיתא קמן ובין ברובא דליתא קמן, </w:t>
      </w:r>
      <w:r w:rsidRPr="00411637">
        <w:rPr>
          <w:rStyle w:val="afb"/>
          <w:rFonts w:hint="cs"/>
          <w:rtl/>
        </w:rPr>
        <w:t>[כגון רוב נשים יולדות לתשעה, ורובא דאינשי טעו בעיבורא דירחא],</w:t>
      </w:r>
      <w:r>
        <w:rPr>
          <w:rFonts w:hint="cs"/>
          <w:rtl/>
        </w:rPr>
        <w:t xml:space="preserve"> ומדיני נפשות אפשר ללמוד דכ"ש דבדיני ממונות אזלינן בתר רובא, והא דאמר שמואל בגמ' בב"ב </w:t>
      </w:r>
      <w:r w:rsidRPr="00411637">
        <w:rPr>
          <w:rStyle w:val="af7"/>
          <w:rFonts w:eastAsia="Guttman Hodes" w:hint="cs"/>
          <w:rtl/>
        </w:rPr>
        <w:t>(צב</w:t>
      </w:r>
      <w:r>
        <w:rPr>
          <w:rStyle w:val="af7"/>
          <w:rFonts w:eastAsia="Guttman Hodes" w:hint="cs"/>
          <w:rtl/>
        </w:rPr>
        <w:t>.)</w:t>
      </w:r>
      <w:r>
        <w:rPr>
          <w:rFonts w:hint="cs"/>
          <w:rtl/>
        </w:rPr>
        <w:t xml:space="preserve"> דלא אזלינן בדיני ממונות בתר רובא, היינו ברובא לרדיא </w:t>
      </w:r>
      <w:r w:rsidRPr="00D300E3">
        <w:rPr>
          <w:rStyle w:val="afb"/>
          <w:rFonts w:hint="cs"/>
          <w:rtl/>
        </w:rPr>
        <w:t>[</w:t>
      </w:r>
      <w:r>
        <w:rPr>
          <w:rStyle w:val="afb"/>
          <w:rFonts w:hint="cs"/>
          <w:rtl/>
        </w:rPr>
        <w:t>ב</w:t>
      </w:r>
      <w:r w:rsidRPr="00D300E3">
        <w:rPr>
          <w:rStyle w:val="afb"/>
          <w:rFonts w:hint="cs"/>
          <w:rtl/>
        </w:rPr>
        <w:t>המוכר שור לחבירו ונמצא נגחן, דרובא זבני לרדיא, ומיעוט זבני לשחיטה, וא"ל לשחיטה</w:t>
      </w:r>
      <w:r w:rsidRPr="00D17DC6">
        <w:rPr>
          <w:rStyle w:val="afb"/>
          <w:rFonts w:hint="cs"/>
          <w:rtl/>
        </w:rPr>
        <w:t xml:space="preserve"> </w:t>
      </w:r>
      <w:r w:rsidRPr="00D300E3">
        <w:rPr>
          <w:rStyle w:val="afb"/>
          <w:rFonts w:hint="cs"/>
          <w:rtl/>
        </w:rPr>
        <w:t>מכרתיו]</w:t>
      </w:r>
      <w:r>
        <w:rPr>
          <w:rStyle w:val="afb"/>
          <w:rFonts w:hint="cs"/>
          <w:rtl/>
        </w:rPr>
        <w:t>,</w:t>
      </w:r>
      <w:r>
        <w:rPr>
          <w:rFonts w:hint="cs"/>
          <w:rtl/>
        </w:rPr>
        <w:t xml:space="preserve"> דאינו רוב חשוב כמו הרוב בגמ' בסנהדרין.</w:t>
      </w:r>
      <w:bookmarkEnd w:id="9999"/>
    </w:p>
    <w:p w14:paraId="4112A01A" w14:textId="77777777" w:rsidR="00064C97" w:rsidRDefault="00064C97" w:rsidP="006D6D32">
      <w:pPr>
        <w:pStyle w:val="a3"/>
        <w:rPr>
          <w:rtl/>
        </w:rPr>
      </w:pPr>
      <w:bookmarkStart w:id="10000" w:name="_Toc530521913"/>
      <w:bookmarkStart w:id="10001" w:name="_Toc530524969"/>
      <w:bookmarkStart w:id="10002" w:name="_Toc530551111"/>
      <w:bookmarkStart w:id="10003" w:name="_Toc19390319"/>
      <w:bookmarkStart w:id="10004" w:name="_Toc19393816"/>
      <w:r>
        <w:rPr>
          <w:rFonts w:hint="cs"/>
          <w:rtl/>
        </w:rPr>
        <w:t>ביאור הש"ש בתוס' בסנהדרין דבנפשות וממונות אזלינן בתר רוב בטבע ולא בתר רוב בדעת בנ"א</w:t>
      </w:r>
      <w:bookmarkEnd w:id="10000"/>
      <w:bookmarkEnd w:id="10001"/>
      <w:bookmarkEnd w:id="10002"/>
      <w:bookmarkEnd w:id="10003"/>
      <w:bookmarkEnd w:id="10004"/>
    </w:p>
    <w:p w14:paraId="0294CD75" w14:textId="77777777" w:rsidR="00064C97" w:rsidRDefault="00064C97" w:rsidP="00223668">
      <w:pPr>
        <w:pStyle w:val="a0"/>
        <w:rPr>
          <w:rtl/>
        </w:rPr>
      </w:pPr>
      <w:r>
        <w:rPr>
          <w:rFonts w:hint="cs"/>
          <w:rtl/>
        </w:rPr>
        <w:t xml:space="preserve">וביאר </w:t>
      </w:r>
      <w:r w:rsidRPr="00CE6326">
        <w:rPr>
          <w:rStyle w:val="af9"/>
          <w:rFonts w:hint="cs"/>
          <w:rtl/>
        </w:rPr>
        <w:t>הש"ש</w:t>
      </w:r>
      <w:r>
        <w:rPr>
          <w:rFonts w:hint="cs"/>
          <w:rtl/>
        </w:rPr>
        <w:t xml:space="preserve"> </w:t>
      </w:r>
      <w:r w:rsidRPr="00CE6326">
        <w:rPr>
          <w:rStyle w:val="af7"/>
          <w:rFonts w:eastAsia="Guttman Hodes" w:hint="cs"/>
          <w:rtl/>
        </w:rPr>
        <w:t>(ש"ד פ"ו ד"ה ובריטב"א)</w:t>
      </w:r>
      <w:r>
        <w:rPr>
          <w:rFonts w:hint="cs"/>
          <w:rtl/>
        </w:rPr>
        <w:t xml:space="preserve"> דכוונת </w:t>
      </w:r>
      <w:r w:rsidRPr="00CE6326">
        <w:rPr>
          <w:rStyle w:val="af9"/>
          <w:rFonts w:hint="cs"/>
          <w:rtl/>
        </w:rPr>
        <w:t>התוס' בסנהדרין</w:t>
      </w:r>
      <w:r>
        <w:rPr>
          <w:rFonts w:hint="cs"/>
          <w:rtl/>
        </w:rPr>
        <w:t xml:space="preserve"> לומר הרוב דאזלינן בתריה בדיני נפשות, וכ"ש בדיני ממונות, היינו רוב שהוא בחיוב ובטבע העולם, אבל הרוב ברובא דאינשי זבני לרדיא, הוא רוב שתלוי בדעת ורצון בנ"א, דהא לפעמים אדם קונה שור לשחיטה, ולכן אף שהוא רוב טוב, מ"מ ס"ל לשמואל דמהני רק לאיסור, ולא לדיני ממונות.</w:t>
      </w:r>
    </w:p>
    <w:p w14:paraId="219AA3F9" w14:textId="77777777" w:rsidR="00064C97" w:rsidRPr="00490AD8" w:rsidRDefault="00064C97" w:rsidP="00BF39B2">
      <w:pPr>
        <w:pStyle w:val="1"/>
        <w:rPr>
          <w:rtl/>
        </w:rPr>
      </w:pPr>
      <w:bookmarkStart w:id="10005" w:name="_Toc530083911"/>
      <w:bookmarkStart w:id="10006" w:name="_Toc530083947"/>
      <w:bookmarkStart w:id="10007" w:name="_Toc530147709"/>
      <w:bookmarkStart w:id="10008" w:name="_Toc530148037"/>
      <w:bookmarkStart w:id="10009" w:name="_Toc530348980"/>
      <w:bookmarkStart w:id="10010" w:name="_Toc530395871"/>
      <w:bookmarkStart w:id="10011" w:name="_Toc530411082"/>
      <w:bookmarkStart w:id="10012" w:name="_Toc530476211"/>
      <w:bookmarkStart w:id="10013" w:name="_Toc530477159"/>
      <w:bookmarkStart w:id="10014" w:name="_Toc530503001"/>
      <w:bookmarkStart w:id="10015" w:name="_Toc530504477"/>
      <w:bookmarkStart w:id="10016" w:name="_Toc530514388"/>
      <w:bookmarkStart w:id="10017" w:name="_Toc530514491"/>
      <w:bookmarkStart w:id="10018" w:name="_Toc530521914"/>
      <w:bookmarkStart w:id="10019" w:name="_Toc530524970"/>
      <w:bookmarkStart w:id="10020" w:name="_Toc530551112"/>
      <w:bookmarkStart w:id="10021" w:name="_Toc19390320"/>
      <w:bookmarkStart w:id="10022" w:name="_Toc19393817"/>
      <w:r>
        <w:rPr>
          <w:rFonts w:hint="cs"/>
          <w:rtl/>
        </w:rPr>
        <w:t>דברי התוס' בב"ק</w:t>
      </w:r>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r>
        <w:rPr>
          <w:rFonts w:hint="cs"/>
          <w:rtl/>
        </w:rPr>
        <w:t xml:space="preserve"> דבממונות סמכינן את המיעוט למוחזקות</w:t>
      </w:r>
      <w:bookmarkEnd w:id="10018"/>
      <w:bookmarkEnd w:id="10019"/>
      <w:bookmarkEnd w:id="10020"/>
      <w:bookmarkEnd w:id="10021"/>
      <w:bookmarkEnd w:id="10022"/>
    </w:p>
    <w:p w14:paraId="44915037" w14:textId="77777777" w:rsidR="00064C97" w:rsidRDefault="00064C97" w:rsidP="006D6D32">
      <w:pPr>
        <w:pStyle w:val="a3"/>
        <w:rPr>
          <w:rtl/>
        </w:rPr>
      </w:pPr>
      <w:bookmarkStart w:id="10023" w:name="_Toc530521915"/>
      <w:bookmarkStart w:id="10024" w:name="_Toc530524971"/>
      <w:bookmarkStart w:id="10025" w:name="_Toc530551113"/>
      <w:bookmarkStart w:id="10026" w:name="_Toc19390321"/>
      <w:bookmarkStart w:id="10027" w:name="_Toc19393818"/>
      <w:r>
        <w:rPr>
          <w:rFonts w:hint="cs"/>
          <w:rtl/>
        </w:rPr>
        <w:t>דברי התוס' בב"ק דרק ברוב כדיינים שהמיעוט כמי שאינו ילפינן ממונות מנפשות</w:t>
      </w:r>
      <w:bookmarkEnd w:id="10023"/>
      <w:bookmarkEnd w:id="10024"/>
      <w:bookmarkEnd w:id="10025"/>
      <w:bookmarkEnd w:id="10026"/>
      <w:bookmarkEnd w:id="10027"/>
    </w:p>
    <w:p w14:paraId="15BF26C6" w14:textId="77777777" w:rsidR="00064C97" w:rsidRDefault="00064C97" w:rsidP="00223668">
      <w:pPr>
        <w:pStyle w:val="a0"/>
        <w:rPr>
          <w:rtl/>
        </w:rPr>
      </w:pPr>
      <w:bookmarkStart w:id="10028" w:name="_Ref530326988"/>
      <w:r w:rsidRPr="00A03CC4">
        <w:rPr>
          <w:rStyle w:val="af9"/>
          <w:rFonts w:hint="cs"/>
          <w:rtl/>
        </w:rPr>
        <w:t>והתוס' בב"ק</w:t>
      </w:r>
      <w:r>
        <w:rPr>
          <w:rFonts w:hint="cs"/>
          <w:rtl/>
        </w:rPr>
        <w:t xml:space="preserve"> </w:t>
      </w:r>
      <w:r w:rsidRPr="00A03CC4">
        <w:rPr>
          <w:rStyle w:val="af7"/>
          <w:rFonts w:eastAsia="Guttman Hodes" w:hint="cs"/>
          <w:rtl/>
        </w:rPr>
        <w:t>(כז: ד"ה קמ"ל)</w:t>
      </w:r>
      <w:r>
        <w:rPr>
          <w:rFonts w:hint="cs"/>
          <w:rtl/>
        </w:rPr>
        <w:t xml:space="preserve"> כתבו דרובא דאיתא קמן דאזלינן בתריה בדיני נפשות, היינו ברוב דיינים שהמיעוט הוא כמי שאינו, וברוב כזה אפשר ללמוד בק"ו דאזלינן בתריה בדיני ממונות, כיון שא"א לומר אוקי ממונא בחזקת מריה, דהב"ד מוציאין ממנו, אבל בכל דיני ממונות שיש כנגד הרוב מיעוט וחזקת ממון, א"א ללומדו בכ"ש מדיני נפשות, ולכן לא אזלינן בממון בתר רובא, ועי' במה שביאר </w:t>
      </w:r>
      <w:r w:rsidRPr="004D0207">
        <w:rPr>
          <w:rStyle w:val="af9"/>
          <w:rFonts w:hint="cs"/>
          <w:rtl/>
        </w:rPr>
        <w:t>השער"י</w:t>
      </w:r>
      <w:r>
        <w:rPr>
          <w:rFonts w:hint="cs"/>
          <w:rtl/>
        </w:rPr>
        <w:t xml:space="preserve"> </w:t>
      </w:r>
      <w:r w:rsidRPr="004D0207">
        <w:rPr>
          <w:rStyle w:val="af7"/>
          <w:rFonts w:eastAsia="Guttman Hodes" w:hint="cs"/>
          <w:rtl/>
        </w:rPr>
        <w:t xml:space="preserve">(עי' אות </w:t>
      </w:r>
      <w:r w:rsidRPr="004D0207">
        <w:rPr>
          <w:rStyle w:val="af7"/>
          <w:rFonts w:eastAsia="Guttman Hodes"/>
          <w:rtl/>
        </w:rPr>
        <w:fldChar w:fldCharType="begin"/>
      </w:r>
      <w:r w:rsidRPr="004D0207">
        <w:rPr>
          <w:rStyle w:val="af7"/>
          <w:rFonts w:eastAsia="Guttman Hodes"/>
          <w:rtl/>
        </w:rPr>
        <w:instrText xml:space="preserve"> </w:instrText>
      </w:r>
      <w:r w:rsidRPr="004D0207">
        <w:rPr>
          <w:rStyle w:val="af7"/>
          <w:rFonts w:eastAsia="Guttman Hodes" w:hint="cs"/>
        </w:rPr>
        <w:instrText>REF</w:instrText>
      </w:r>
      <w:r w:rsidRPr="004D0207">
        <w:rPr>
          <w:rStyle w:val="af7"/>
          <w:rFonts w:eastAsia="Guttman Hodes" w:hint="cs"/>
          <w:rtl/>
        </w:rPr>
        <w:instrText xml:space="preserve"> _</w:instrText>
      </w:r>
      <w:r w:rsidRPr="004D0207">
        <w:rPr>
          <w:rStyle w:val="af7"/>
          <w:rFonts w:eastAsia="Guttman Hodes" w:hint="cs"/>
        </w:rPr>
        <w:instrText>Ref530327039 \r \h</w:instrText>
      </w:r>
      <w:r w:rsidRPr="004D0207">
        <w:rPr>
          <w:rStyle w:val="af7"/>
          <w:rFonts w:eastAsia="Guttman Hodes"/>
          <w:rtl/>
        </w:rPr>
        <w:instrText xml:space="preserve"> </w:instrText>
      </w:r>
      <w:r w:rsidRPr="004D0207">
        <w:rPr>
          <w:rStyle w:val="af7"/>
          <w:rFonts w:eastAsia="Guttman Hodes"/>
          <w:rtl/>
        </w:rPr>
      </w:r>
      <w:r w:rsidRPr="004D0207">
        <w:rPr>
          <w:rStyle w:val="af7"/>
          <w:rFonts w:eastAsia="Guttman Hodes"/>
          <w:rtl/>
        </w:rPr>
        <w:fldChar w:fldCharType="separate"/>
      </w:r>
      <w:r w:rsidR="00345400">
        <w:rPr>
          <w:rStyle w:val="af7"/>
          <w:rFonts w:eastAsia="Guttman Hodes"/>
          <w:cs/>
        </w:rPr>
        <w:t>‎</w:t>
      </w:r>
      <w:r w:rsidR="00345400">
        <w:rPr>
          <w:rStyle w:val="af7"/>
          <w:rFonts w:eastAsia="Guttman Hodes"/>
          <w:rtl/>
        </w:rPr>
        <w:t>פח)</w:t>
      </w:r>
      <w:r w:rsidRPr="004D0207">
        <w:rPr>
          <w:rStyle w:val="af7"/>
          <w:rFonts w:eastAsia="Guttman Hodes"/>
          <w:rtl/>
        </w:rPr>
        <w:fldChar w:fldCharType="end"/>
      </w:r>
      <w:r>
        <w:rPr>
          <w:rFonts w:hint="cs"/>
          <w:rtl/>
        </w:rPr>
        <w:t>.</w:t>
      </w:r>
      <w:bookmarkEnd w:id="10028"/>
    </w:p>
    <w:p w14:paraId="613F36C5" w14:textId="77777777" w:rsidR="00064C97" w:rsidRDefault="00064C97" w:rsidP="006D6D32">
      <w:pPr>
        <w:pStyle w:val="a3"/>
        <w:rPr>
          <w:rtl/>
        </w:rPr>
      </w:pPr>
      <w:bookmarkStart w:id="10029" w:name="_Toc530521916"/>
      <w:bookmarkStart w:id="10030" w:name="_Toc530524972"/>
      <w:bookmarkStart w:id="10031" w:name="_Toc530551114"/>
      <w:bookmarkStart w:id="10032" w:name="_Toc19390322"/>
      <w:bookmarkStart w:id="10033" w:name="_Toc19393819"/>
      <w:r>
        <w:rPr>
          <w:rFonts w:hint="cs"/>
          <w:rtl/>
        </w:rPr>
        <w:t>ביאור הש"ש דלתוס' בב"ק אף ברוב גמור לא אזלינן בממונות בתר רוב ורק בדיינים אזלינן</w:t>
      </w:r>
      <w:bookmarkEnd w:id="10029"/>
      <w:bookmarkEnd w:id="10030"/>
      <w:bookmarkEnd w:id="10031"/>
      <w:bookmarkEnd w:id="10032"/>
      <w:bookmarkEnd w:id="10033"/>
    </w:p>
    <w:p w14:paraId="51251049" w14:textId="77777777" w:rsidR="00064C97" w:rsidRDefault="00064C97" w:rsidP="00223668">
      <w:pPr>
        <w:pStyle w:val="a0"/>
        <w:rPr>
          <w:rtl/>
        </w:rPr>
      </w:pPr>
      <w:r>
        <w:rPr>
          <w:rFonts w:hint="cs"/>
          <w:rtl/>
        </w:rPr>
        <w:t xml:space="preserve">וכתב </w:t>
      </w:r>
      <w:r w:rsidRPr="007C2A36">
        <w:rPr>
          <w:rStyle w:val="af9"/>
          <w:rFonts w:hint="cs"/>
          <w:rtl/>
        </w:rPr>
        <w:t xml:space="preserve">הש"ש </w:t>
      </w:r>
      <w:r w:rsidRPr="007C2A36">
        <w:rPr>
          <w:rStyle w:val="af7"/>
          <w:rFonts w:eastAsia="Guttman Hodes" w:hint="cs"/>
          <w:rtl/>
        </w:rPr>
        <w:t>(ש"ד פ"ח ד"ה איברא)</w:t>
      </w:r>
      <w:r>
        <w:rPr>
          <w:rFonts w:hint="cs"/>
          <w:rtl/>
        </w:rPr>
        <w:t xml:space="preserve"> </w:t>
      </w:r>
      <w:r w:rsidRPr="007C2A36">
        <w:rPr>
          <w:rStyle w:val="af9"/>
          <w:rFonts w:hint="cs"/>
          <w:rtl/>
        </w:rPr>
        <w:t xml:space="preserve">דהתוס' בב"ב </w:t>
      </w:r>
      <w:r>
        <w:rPr>
          <w:rFonts w:hint="cs"/>
          <w:rtl/>
        </w:rPr>
        <w:t xml:space="preserve">פליגי על </w:t>
      </w:r>
      <w:r w:rsidRPr="007C2A36">
        <w:rPr>
          <w:rStyle w:val="af9"/>
          <w:rFonts w:hint="cs"/>
          <w:rtl/>
        </w:rPr>
        <w:t xml:space="preserve">התוס' בסנהדרין </w:t>
      </w:r>
      <w:r w:rsidRPr="007C2A36">
        <w:rPr>
          <w:rStyle w:val="af7"/>
          <w:rFonts w:eastAsia="Guttman Hodes" w:hint="cs"/>
          <w:rtl/>
        </w:rPr>
        <w:t xml:space="preserve">(עי' אות </w:t>
      </w:r>
      <w:r w:rsidRPr="007C2A36">
        <w:rPr>
          <w:rStyle w:val="af7"/>
          <w:rFonts w:eastAsia="Guttman Hodes"/>
          <w:rtl/>
        </w:rPr>
        <w:fldChar w:fldCharType="begin"/>
      </w:r>
      <w:r w:rsidRPr="007C2A36">
        <w:rPr>
          <w:rStyle w:val="af7"/>
          <w:rFonts w:eastAsia="Guttman Hodes"/>
          <w:rtl/>
        </w:rPr>
        <w:instrText xml:space="preserve"> </w:instrText>
      </w:r>
      <w:r w:rsidRPr="007C2A36">
        <w:rPr>
          <w:rStyle w:val="af7"/>
          <w:rFonts w:eastAsia="Guttman Hodes" w:hint="cs"/>
        </w:rPr>
        <w:instrText>REF</w:instrText>
      </w:r>
      <w:r w:rsidRPr="007C2A36">
        <w:rPr>
          <w:rStyle w:val="af7"/>
          <w:rFonts w:eastAsia="Guttman Hodes" w:hint="cs"/>
          <w:rtl/>
        </w:rPr>
        <w:instrText xml:space="preserve"> _</w:instrText>
      </w:r>
      <w:r w:rsidRPr="007C2A36">
        <w:rPr>
          <w:rStyle w:val="af7"/>
          <w:rFonts w:eastAsia="Guttman Hodes" w:hint="cs"/>
        </w:rPr>
        <w:instrText>Ref530042782 \r \h</w:instrText>
      </w:r>
      <w:r w:rsidRPr="007C2A36">
        <w:rPr>
          <w:rStyle w:val="af7"/>
          <w:rFonts w:eastAsia="Guttman Hodes"/>
          <w:rtl/>
        </w:rPr>
        <w:instrText xml:space="preserve"> </w:instrText>
      </w:r>
      <w:r w:rsidRPr="007C2A36">
        <w:rPr>
          <w:rStyle w:val="af7"/>
          <w:rFonts w:eastAsia="Guttman Hodes"/>
          <w:rtl/>
        </w:rPr>
      </w:r>
      <w:r w:rsidRPr="007C2A36">
        <w:rPr>
          <w:rStyle w:val="af7"/>
          <w:rFonts w:eastAsia="Guttman Hodes"/>
          <w:rtl/>
        </w:rPr>
        <w:fldChar w:fldCharType="separate"/>
      </w:r>
      <w:r w:rsidR="00345400">
        <w:rPr>
          <w:rStyle w:val="af7"/>
          <w:rFonts w:eastAsia="Guttman Hodes"/>
          <w:cs/>
        </w:rPr>
        <w:t>‎</w:t>
      </w:r>
      <w:r w:rsidR="00345400">
        <w:rPr>
          <w:rStyle w:val="af7"/>
          <w:rFonts w:eastAsia="Guttman Hodes"/>
          <w:rtl/>
        </w:rPr>
        <w:t>מא)</w:t>
      </w:r>
      <w:r w:rsidRPr="007C2A36">
        <w:rPr>
          <w:rStyle w:val="af7"/>
          <w:rFonts w:eastAsia="Guttman Hodes"/>
          <w:rtl/>
        </w:rPr>
        <w:fldChar w:fldCharType="end"/>
      </w:r>
      <w:r>
        <w:rPr>
          <w:rFonts w:hint="cs"/>
          <w:rtl/>
        </w:rPr>
        <w:t xml:space="preserve">, וס"ל דבדיני ממונות לא אזלינן לשמואל בתר רובא, אף ברוב גמור, וכ"מ דבדיינים אזלינן בתר רובא הוא כיון שיש סברא מיוחדת שהמיעוט כמי שאינו, דב"ד עצמם מוציאין את הממון, אבל בלא סברא זו, לא אזלינן בתר רובא בדיני ממונות אף ברוב דיינים, ועי' במה שהאריך בזה </w:t>
      </w:r>
      <w:r w:rsidRPr="00142EFF">
        <w:rPr>
          <w:rStyle w:val="af9"/>
          <w:rFonts w:hint="cs"/>
          <w:rtl/>
        </w:rPr>
        <w:t>הקונה"ס</w:t>
      </w:r>
      <w:r>
        <w:rPr>
          <w:rFonts w:hint="cs"/>
          <w:rtl/>
        </w:rPr>
        <w:t xml:space="preserve"> </w:t>
      </w:r>
      <w:r w:rsidRPr="00142EFF">
        <w:rPr>
          <w:rStyle w:val="af7"/>
          <w:rFonts w:eastAsia="Guttman Hodes" w:hint="cs"/>
          <w:rtl/>
        </w:rPr>
        <w:t>(כלל ו' אות ג')</w:t>
      </w:r>
      <w:r>
        <w:rPr>
          <w:rFonts w:hint="cs"/>
          <w:rtl/>
        </w:rPr>
        <w:t>.</w:t>
      </w:r>
    </w:p>
    <w:p w14:paraId="15EEAFDE" w14:textId="77777777" w:rsidR="00064C97" w:rsidRDefault="00064C97" w:rsidP="006D6D32">
      <w:pPr>
        <w:pStyle w:val="afe"/>
        <w:rPr>
          <w:rtl/>
        </w:rPr>
      </w:pPr>
      <w:bookmarkStart w:id="10034" w:name="_Toc530476212"/>
      <w:bookmarkStart w:id="10035" w:name="_Toc530477160"/>
      <w:bookmarkStart w:id="10036" w:name="_Toc530503002"/>
      <w:bookmarkStart w:id="10037" w:name="_Toc530504480"/>
      <w:bookmarkStart w:id="10038" w:name="_Toc530514389"/>
      <w:bookmarkStart w:id="10039" w:name="_Toc530514492"/>
      <w:bookmarkStart w:id="10040" w:name="_Toc530521917"/>
      <w:bookmarkStart w:id="10041" w:name="_Toc530524973"/>
      <w:bookmarkStart w:id="10042" w:name="_Toc530551115"/>
      <w:bookmarkStart w:id="10043" w:name="_Toc19435698"/>
      <w:bookmarkStart w:id="10044" w:name="_Toc20080966"/>
      <w:bookmarkStart w:id="10045" w:name="_Toc530083912"/>
      <w:bookmarkStart w:id="10046" w:name="_Toc530083948"/>
      <w:bookmarkStart w:id="10047" w:name="_Toc530147710"/>
      <w:bookmarkStart w:id="10048" w:name="_Toc530148038"/>
      <w:bookmarkStart w:id="10049" w:name="_Toc530348981"/>
      <w:bookmarkStart w:id="10050" w:name="_Toc530395872"/>
      <w:bookmarkStart w:id="10051" w:name="_Toc530411083"/>
      <w:r>
        <w:rPr>
          <w:rFonts w:hint="cs"/>
          <w:rtl/>
        </w:rPr>
        <w:t>הוקבע האיסור ע"י הרוב</w:t>
      </w:r>
      <w:bookmarkEnd w:id="10034"/>
      <w:bookmarkEnd w:id="10035"/>
      <w:bookmarkEnd w:id="10036"/>
      <w:bookmarkEnd w:id="10037"/>
      <w:bookmarkEnd w:id="10038"/>
      <w:bookmarkEnd w:id="10039"/>
      <w:bookmarkEnd w:id="10040"/>
      <w:bookmarkEnd w:id="10041"/>
      <w:bookmarkEnd w:id="10042"/>
      <w:bookmarkEnd w:id="10043"/>
      <w:bookmarkEnd w:id="10044"/>
    </w:p>
    <w:p w14:paraId="00DD87FB" w14:textId="77777777" w:rsidR="00064C97" w:rsidRPr="00490AD8" w:rsidRDefault="00064C97" w:rsidP="00BF39B2">
      <w:pPr>
        <w:pStyle w:val="1"/>
        <w:rPr>
          <w:rtl/>
        </w:rPr>
      </w:pPr>
      <w:bookmarkStart w:id="10052" w:name="_Toc530476213"/>
      <w:bookmarkStart w:id="10053" w:name="_Toc530477161"/>
      <w:bookmarkStart w:id="10054" w:name="_Toc530503003"/>
      <w:bookmarkStart w:id="10055" w:name="_Toc530504481"/>
      <w:bookmarkStart w:id="10056" w:name="_Toc530514390"/>
      <w:bookmarkStart w:id="10057" w:name="_Toc530514493"/>
      <w:bookmarkStart w:id="10058" w:name="_Toc530521918"/>
      <w:bookmarkStart w:id="10059" w:name="_Toc530524974"/>
      <w:bookmarkStart w:id="10060" w:name="_Toc530551116"/>
      <w:bookmarkStart w:id="10061" w:name="_Toc19390323"/>
      <w:bookmarkStart w:id="10062" w:name="_Toc19393820"/>
      <w:r>
        <w:rPr>
          <w:rFonts w:hint="cs"/>
          <w:rtl/>
        </w:rPr>
        <w:t xml:space="preserve">ביאור הש"ש דבמכה אביו </w:t>
      </w:r>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r>
        <w:rPr>
          <w:rFonts w:hint="cs"/>
          <w:rtl/>
        </w:rPr>
        <w:t>הרוב החזיקו לאביו ולכן הורגין</w:t>
      </w:r>
      <w:bookmarkEnd w:id="10058"/>
      <w:bookmarkEnd w:id="10059"/>
      <w:bookmarkEnd w:id="10060"/>
      <w:bookmarkEnd w:id="10061"/>
      <w:bookmarkEnd w:id="10062"/>
    </w:p>
    <w:p w14:paraId="4DB661BA" w14:textId="77777777" w:rsidR="00064C97" w:rsidRDefault="00064C97" w:rsidP="006D6D32">
      <w:pPr>
        <w:pStyle w:val="a3"/>
        <w:rPr>
          <w:rtl/>
        </w:rPr>
      </w:pPr>
      <w:bookmarkStart w:id="10063" w:name="_Toc530521919"/>
      <w:bookmarkStart w:id="10064" w:name="_Toc530524975"/>
      <w:bookmarkStart w:id="10065" w:name="_Toc530551117"/>
      <w:bookmarkStart w:id="10066" w:name="_Toc19390324"/>
      <w:bookmarkStart w:id="10067" w:name="_Toc19393821"/>
      <w:r>
        <w:rPr>
          <w:rFonts w:hint="cs"/>
          <w:rtl/>
        </w:rPr>
        <w:t>קושית הקונה"ס דבנפשות נסמוך את המיעוט לחזקת גופו דהוא כ"ש ממוחזק בממון</w:t>
      </w:r>
      <w:bookmarkEnd w:id="10063"/>
      <w:bookmarkEnd w:id="10064"/>
      <w:bookmarkEnd w:id="10065"/>
      <w:bookmarkEnd w:id="10066"/>
      <w:bookmarkEnd w:id="10067"/>
    </w:p>
    <w:p w14:paraId="68D00997" w14:textId="77777777" w:rsidR="00064C97" w:rsidRDefault="00064C97" w:rsidP="00223668">
      <w:pPr>
        <w:pStyle w:val="a0"/>
        <w:rPr>
          <w:rtl/>
        </w:rPr>
      </w:pPr>
      <w:bookmarkStart w:id="10068" w:name="_Ref530072426"/>
      <w:r>
        <w:rPr>
          <w:rFonts w:hint="cs"/>
          <w:rtl/>
        </w:rPr>
        <w:t xml:space="preserve">והביא </w:t>
      </w:r>
      <w:r w:rsidRPr="004160E2">
        <w:rPr>
          <w:rStyle w:val="af9"/>
          <w:rFonts w:hint="cs"/>
          <w:rtl/>
        </w:rPr>
        <w:t>הש"ש</w:t>
      </w:r>
      <w:r>
        <w:rPr>
          <w:rFonts w:hint="cs"/>
          <w:rtl/>
        </w:rPr>
        <w:t xml:space="preserve"> </w:t>
      </w:r>
      <w:r w:rsidRPr="007C2A36">
        <w:rPr>
          <w:rStyle w:val="af7"/>
          <w:rFonts w:eastAsia="Guttman Hodes" w:hint="cs"/>
          <w:rtl/>
        </w:rPr>
        <w:t>(ש"ד פ"ח ד"ה</w:t>
      </w:r>
      <w:r>
        <w:rPr>
          <w:rStyle w:val="af7"/>
          <w:rFonts w:eastAsia="Guttman Hodes" w:hint="cs"/>
          <w:rtl/>
        </w:rPr>
        <w:t xml:space="preserve"> ואחי)</w:t>
      </w:r>
      <w:r w:rsidRPr="007C2A36">
        <w:rPr>
          <w:rStyle w:val="af7"/>
          <w:rFonts w:eastAsia="Guttman Hodes" w:hint="cs"/>
          <w:rtl/>
        </w:rPr>
        <w:t xml:space="preserve"> </w:t>
      </w:r>
      <w:r>
        <w:rPr>
          <w:rFonts w:hint="cs"/>
          <w:rtl/>
        </w:rPr>
        <w:t xml:space="preserve">בשם אחיו </w:t>
      </w:r>
      <w:r>
        <w:rPr>
          <w:rStyle w:val="af9"/>
          <w:rFonts w:hint="cs"/>
          <w:rtl/>
        </w:rPr>
        <w:t>בעל הקונה</w:t>
      </w:r>
      <w:r>
        <w:rPr>
          <w:rStyle w:val="af9"/>
          <w:rtl/>
        </w:rPr>
        <w:t>"</w:t>
      </w:r>
      <w:r>
        <w:rPr>
          <w:rStyle w:val="af9"/>
          <w:rFonts w:hint="cs"/>
          <w:rtl/>
        </w:rPr>
        <w:t xml:space="preserve">ס </w:t>
      </w:r>
      <w:r>
        <w:rPr>
          <w:rFonts w:hint="cs"/>
          <w:rtl/>
        </w:rPr>
        <w:t xml:space="preserve">שהקשה דכיון דבדיני נפשות אזלינן בתר רובא, כדכתבו </w:t>
      </w:r>
      <w:r w:rsidRPr="004160E2">
        <w:rPr>
          <w:rStyle w:val="af9"/>
          <w:rFonts w:hint="cs"/>
          <w:rtl/>
        </w:rPr>
        <w:t>התוס' בב"</w:t>
      </w:r>
      <w:r>
        <w:rPr>
          <w:rStyle w:val="af9"/>
          <w:rFonts w:hint="cs"/>
          <w:rtl/>
        </w:rPr>
        <w:t>ק</w:t>
      </w:r>
      <w:r>
        <w:rPr>
          <w:rFonts w:hint="cs"/>
          <w:rtl/>
        </w:rPr>
        <w:t xml:space="preserve">, א"כ ה"ה בדיני ממונות, דכ"מ דבממון לא אזלינן בתר רובא, הוא כיון שהמיעוט מסייע לחזקת ממון, והרי בדיני נפשות אזלינן בתר רובא אף שהמיעוט מסייע לחזקת גופו, ואם בגופו דנים אותו למיתה ע"י רוב, כ"ש בממונו, ועי' במה שתירץ </w:t>
      </w:r>
      <w:r w:rsidRPr="003C76F5">
        <w:rPr>
          <w:rStyle w:val="af9"/>
          <w:rFonts w:hint="cs"/>
          <w:rtl/>
        </w:rPr>
        <w:t>הקוב"ש</w:t>
      </w:r>
      <w:r>
        <w:rPr>
          <w:rFonts w:hint="cs"/>
          <w:rtl/>
        </w:rPr>
        <w:t xml:space="preserve"> </w:t>
      </w:r>
      <w:r w:rsidRPr="003C76F5">
        <w:rPr>
          <w:rStyle w:val="af7"/>
          <w:rFonts w:eastAsia="Guttman Hodes" w:hint="cs"/>
          <w:rtl/>
        </w:rPr>
        <w:t xml:space="preserve">(עי' אות </w:t>
      </w:r>
      <w:r w:rsidRPr="003C76F5">
        <w:rPr>
          <w:rStyle w:val="af7"/>
          <w:rFonts w:eastAsia="Guttman Hodes"/>
          <w:rtl/>
        </w:rPr>
        <w:fldChar w:fldCharType="begin"/>
      </w:r>
      <w:r w:rsidRPr="003C76F5">
        <w:rPr>
          <w:rStyle w:val="af7"/>
          <w:rFonts w:eastAsia="Guttman Hodes"/>
          <w:rtl/>
        </w:rPr>
        <w:instrText xml:space="preserve"> </w:instrText>
      </w:r>
      <w:r w:rsidRPr="003C76F5">
        <w:rPr>
          <w:rStyle w:val="af7"/>
          <w:rFonts w:eastAsia="Guttman Hodes" w:hint="cs"/>
        </w:rPr>
        <w:instrText>REF</w:instrText>
      </w:r>
      <w:r w:rsidRPr="003C76F5">
        <w:rPr>
          <w:rStyle w:val="af7"/>
          <w:rFonts w:eastAsia="Guttman Hodes" w:hint="cs"/>
          <w:rtl/>
        </w:rPr>
        <w:instrText xml:space="preserve"> _</w:instrText>
      </w:r>
      <w:r w:rsidRPr="003C76F5">
        <w:rPr>
          <w:rStyle w:val="af7"/>
          <w:rFonts w:eastAsia="Guttman Hodes" w:hint="cs"/>
        </w:rPr>
        <w:instrText>Ref530072462 \r \h</w:instrText>
      </w:r>
      <w:r w:rsidRPr="003C76F5">
        <w:rPr>
          <w:rStyle w:val="af7"/>
          <w:rFonts w:eastAsia="Guttman Hodes"/>
          <w:rtl/>
        </w:rPr>
        <w:instrText xml:space="preserve"> </w:instrText>
      </w:r>
      <w:r w:rsidRPr="003C76F5">
        <w:rPr>
          <w:rStyle w:val="af7"/>
          <w:rFonts w:eastAsia="Guttman Hodes"/>
          <w:rtl/>
        </w:rPr>
      </w:r>
      <w:r w:rsidRPr="003C76F5">
        <w:rPr>
          <w:rStyle w:val="af7"/>
          <w:rFonts w:eastAsia="Guttman Hodes"/>
          <w:rtl/>
        </w:rPr>
        <w:fldChar w:fldCharType="separate"/>
      </w:r>
      <w:r w:rsidR="00345400">
        <w:rPr>
          <w:rStyle w:val="af7"/>
          <w:rFonts w:eastAsia="Guttman Hodes"/>
          <w:cs/>
        </w:rPr>
        <w:t>‎</w:t>
      </w:r>
      <w:r w:rsidR="00345400">
        <w:rPr>
          <w:rStyle w:val="af7"/>
          <w:rFonts w:eastAsia="Guttman Hodes"/>
          <w:rtl/>
        </w:rPr>
        <w:t>קה)</w:t>
      </w:r>
      <w:r w:rsidRPr="003C76F5">
        <w:rPr>
          <w:rStyle w:val="af7"/>
          <w:rFonts w:eastAsia="Guttman Hodes"/>
          <w:rtl/>
        </w:rPr>
        <w:fldChar w:fldCharType="end"/>
      </w:r>
      <w:r>
        <w:rPr>
          <w:rFonts w:hint="cs"/>
          <w:rtl/>
        </w:rPr>
        <w:t xml:space="preserve">, וע"ע בדברי </w:t>
      </w:r>
      <w:r>
        <w:rPr>
          <w:rStyle w:val="af9"/>
          <w:rFonts w:hint="cs"/>
          <w:rtl/>
        </w:rPr>
        <w:t>ה</w:t>
      </w:r>
      <w:r>
        <w:rPr>
          <w:rStyle w:val="af9"/>
          <w:rtl/>
        </w:rPr>
        <w:t>משנת ר"א</w:t>
      </w:r>
      <w:r>
        <w:rPr>
          <w:rFonts w:hint="cs"/>
          <w:rtl/>
        </w:rPr>
        <w:t xml:space="preserve"> </w:t>
      </w:r>
      <w:r w:rsidRPr="0039124F">
        <w:rPr>
          <w:rStyle w:val="af7"/>
          <w:rFonts w:eastAsia="Guttman Hodes" w:hint="cs"/>
          <w:rtl/>
        </w:rPr>
        <w:t xml:space="preserve">(עי' אות </w:t>
      </w:r>
      <w:r w:rsidRPr="0039124F">
        <w:rPr>
          <w:rStyle w:val="af7"/>
          <w:rFonts w:eastAsia="Guttman Hodes"/>
          <w:rtl/>
        </w:rPr>
        <w:fldChar w:fldCharType="begin"/>
      </w:r>
      <w:r w:rsidRPr="0039124F">
        <w:rPr>
          <w:rStyle w:val="af7"/>
          <w:rFonts w:eastAsia="Guttman Hodes"/>
          <w:rtl/>
        </w:rPr>
        <w:instrText xml:space="preserve"> </w:instrText>
      </w:r>
      <w:r w:rsidRPr="0039124F">
        <w:rPr>
          <w:rStyle w:val="af7"/>
          <w:rFonts w:eastAsia="Guttman Hodes" w:hint="cs"/>
        </w:rPr>
        <w:instrText>REF</w:instrText>
      </w:r>
      <w:r w:rsidRPr="0039124F">
        <w:rPr>
          <w:rStyle w:val="af7"/>
          <w:rFonts w:eastAsia="Guttman Hodes" w:hint="cs"/>
          <w:rtl/>
        </w:rPr>
        <w:instrText xml:space="preserve"> _</w:instrText>
      </w:r>
      <w:r w:rsidRPr="0039124F">
        <w:rPr>
          <w:rStyle w:val="af7"/>
          <w:rFonts w:eastAsia="Guttman Hodes" w:hint="cs"/>
        </w:rPr>
        <w:instrText>Ref530080745 \r \h</w:instrText>
      </w:r>
      <w:r w:rsidRPr="0039124F">
        <w:rPr>
          <w:rStyle w:val="af7"/>
          <w:rFonts w:eastAsia="Guttman Hodes"/>
          <w:rtl/>
        </w:rPr>
        <w:instrText xml:space="preserve"> </w:instrText>
      </w:r>
      <w:r w:rsidRPr="0039124F">
        <w:rPr>
          <w:rStyle w:val="af7"/>
          <w:rFonts w:eastAsia="Guttman Hodes"/>
          <w:rtl/>
        </w:rPr>
      </w:r>
      <w:r w:rsidRPr="0039124F">
        <w:rPr>
          <w:rStyle w:val="af7"/>
          <w:rFonts w:eastAsia="Guttman Hodes"/>
          <w:rtl/>
        </w:rPr>
        <w:fldChar w:fldCharType="separate"/>
      </w:r>
      <w:r w:rsidR="00345400">
        <w:rPr>
          <w:rStyle w:val="af7"/>
          <w:rFonts w:eastAsia="Guttman Hodes"/>
          <w:cs/>
        </w:rPr>
        <w:t>‎</w:t>
      </w:r>
      <w:r w:rsidR="00345400">
        <w:rPr>
          <w:rStyle w:val="af7"/>
          <w:rFonts w:eastAsia="Guttman Hodes"/>
          <w:rtl/>
        </w:rPr>
        <w:t>סו)</w:t>
      </w:r>
      <w:r w:rsidRPr="0039124F">
        <w:rPr>
          <w:rStyle w:val="af7"/>
          <w:rFonts w:eastAsia="Guttman Hodes"/>
          <w:rtl/>
        </w:rPr>
        <w:fldChar w:fldCharType="end"/>
      </w:r>
      <w:r>
        <w:rPr>
          <w:rFonts w:hint="cs"/>
          <w:rtl/>
        </w:rPr>
        <w:t>.</w:t>
      </w:r>
      <w:bookmarkEnd w:id="10068"/>
    </w:p>
    <w:p w14:paraId="100CD62D" w14:textId="77777777" w:rsidR="00064C97" w:rsidRDefault="00064C97" w:rsidP="006D6D32">
      <w:pPr>
        <w:pStyle w:val="a3"/>
        <w:rPr>
          <w:rtl/>
        </w:rPr>
      </w:pPr>
      <w:bookmarkStart w:id="10069" w:name="_Toc530521920"/>
      <w:bookmarkStart w:id="10070" w:name="_Toc530524976"/>
      <w:bookmarkStart w:id="10071" w:name="_Toc530551118"/>
      <w:bookmarkStart w:id="10072" w:name="_Toc19390325"/>
      <w:bookmarkStart w:id="10073" w:name="_Toc19393822"/>
      <w:r>
        <w:rPr>
          <w:rFonts w:hint="cs"/>
          <w:rtl/>
        </w:rPr>
        <w:t>דברי הש"ש דרוב לא מהני בנפשות אלא שע"י הרוב הוחזק האיסור וע"י שהוחזק הורגין</w:t>
      </w:r>
      <w:bookmarkEnd w:id="10069"/>
      <w:bookmarkEnd w:id="10070"/>
      <w:bookmarkEnd w:id="10071"/>
      <w:bookmarkEnd w:id="10072"/>
      <w:bookmarkEnd w:id="10073"/>
    </w:p>
    <w:p w14:paraId="57813A89" w14:textId="77777777" w:rsidR="00064C97" w:rsidRDefault="00064C97" w:rsidP="00223668">
      <w:pPr>
        <w:pStyle w:val="a0"/>
        <w:rPr>
          <w:rtl/>
        </w:rPr>
      </w:pPr>
      <w:bookmarkStart w:id="10074" w:name="_Ref530083018"/>
      <w:r>
        <w:rPr>
          <w:rFonts w:hint="cs"/>
          <w:rtl/>
        </w:rPr>
        <w:t xml:space="preserve">אלא ביאר </w:t>
      </w:r>
      <w:r w:rsidRPr="00017FB0">
        <w:rPr>
          <w:rStyle w:val="af9"/>
          <w:rFonts w:hint="cs"/>
          <w:rtl/>
        </w:rPr>
        <w:t>הש"ש</w:t>
      </w:r>
      <w:r>
        <w:rPr>
          <w:rFonts w:hint="cs"/>
          <w:rtl/>
        </w:rPr>
        <w:t xml:space="preserve"> </w:t>
      </w:r>
      <w:r w:rsidRPr="00F93CD3">
        <w:rPr>
          <w:rStyle w:val="af7"/>
          <w:rFonts w:eastAsia="Guttman Hodes" w:hint="cs"/>
          <w:rtl/>
        </w:rPr>
        <w:t xml:space="preserve">(ש"ד פ"ח ד"ה </w:t>
      </w:r>
      <w:r>
        <w:rPr>
          <w:rStyle w:val="af7"/>
          <w:rFonts w:eastAsia="Guttman Hodes" w:hint="cs"/>
          <w:rtl/>
        </w:rPr>
        <w:t>אמנם</w:t>
      </w:r>
      <w:r w:rsidRPr="00F93CD3">
        <w:rPr>
          <w:rStyle w:val="af7"/>
          <w:rFonts w:eastAsia="Guttman Hodes" w:hint="cs"/>
          <w:rtl/>
        </w:rPr>
        <w:t xml:space="preserve">) </w:t>
      </w:r>
      <w:r>
        <w:rPr>
          <w:rFonts w:hint="cs"/>
          <w:rtl/>
        </w:rPr>
        <w:t>דבאמת אין כח ברוב לדון בעצמו דיני נפשות, דדוקא עפ"י עדים יקום דבר בדיני נפשות, ולא ע"י רוב וחזקה</w:t>
      </w:r>
      <w:r>
        <w:rPr>
          <w:rStyle w:val="af1"/>
          <w:rtl/>
        </w:rPr>
        <w:footnoteReference w:id="75"/>
      </w:r>
      <w:r>
        <w:rPr>
          <w:rFonts w:hint="cs"/>
          <w:rtl/>
        </w:rPr>
        <w:t xml:space="preserve">, והא דאיתא בגמ' בקידושין </w:t>
      </w:r>
      <w:r w:rsidRPr="00137684">
        <w:rPr>
          <w:rStyle w:val="af7"/>
          <w:rFonts w:eastAsia="Guttman Hodes" w:hint="cs"/>
          <w:rtl/>
        </w:rPr>
        <w:t>(פ.)</w:t>
      </w:r>
      <w:r>
        <w:rPr>
          <w:rFonts w:hint="cs"/>
          <w:rtl/>
        </w:rPr>
        <w:t xml:space="preserve"> דסוקלין על החזקות, היינו כיון שהאיסור הוחזק, וכדכתב </w:t>
      </w:r>
      <w:r w:rsidRPr="00137684">
        <w:rPr>
          <w:rStyle w:val="af9"/>
          <w:rFonts w:hint="cs"/>
          <w:rtl/>
        </w:rPr>
        <w:t>הרמב"ם</w:t>
      </w:r>
      <w:r>
        <w:rPr>
          <w:rFonts w:hint="cs"/>
          <w:rtl/>
        </w:rPr>
        <w:t xml:space="preserve"> </w:t>
      </w:r>
      <w:r w:rsidRPr="00137684">
        <w:rPr>
          <w:rStyle w:val="af7"/>
          <w:rFonts w:eastAsia="Guttman Hodes" w:hint="cs"/>
          <w:rtl/>
        </w:rPr>
        <w:t>(סנהדרין פט"ז ה"ו)</w:t>
      </w:r>
      <w:r>
        <w:rPr>
          <w:rFonts w:hint="cs"/>
          <w:rtl/>
        </w:rPr>
        <w:t xml:space="preserve"> דע"א יכול להחזיק חלב באיסור, והאוכלו לוקה, כיון דהוקבע איסורא שהוא חלב, וה"ה בבנה כרוך אחריה, שהוחזק שהוא בנה, ומכח שהוחזק כן סוקלין אותו, ולא ע"י החזקה עצמה. וכתב </w:t>
      </w:r>
      <w:r w:rsidRPr="00A25785">
        <w:rPr>
          <w:rStyle w:val="af9"/>
          <w:rFonts w:hint="cs"/>
          <w:rtl/>
        </w:rPr>
        <w:t>הש"ש</w:t>
      </w:r>
      <w:r>
        <w:rPr>
          <w:rFonts w:hint="cs"/>
          <w:rtl/>
        </w:rPr>
        <w:t xml:space="preserve"> דה"ה ברוב דאף שאין כח ברוב עצמו לדון בדיני נפשות, מ"מ במקום שהרוב בא לפני המעשה</w:t>
      </w:r>
      <w:r w:rsidRPr="00C50734">
        <w:rPr>
          <w:rFonts w:hint="cs"/>
          <w:rtl/>
        </w:rPr>
        <w:t xml:space="preserve"> </w:t>
      </w:r>
      <w:r>
        <w:rPr>
          <w:rFonts w:hint="cs"/>
          <w:rtl/>
        </w:rPr>
        <w:t xml:space="preserve">וע"י הרוב הוחזק האיסור,  מהני הרוב אף לדיני נפשות, ובזה איירי בגמ' בסנהדרין </w:t>
      </w:r>
      <w:r>
        <w:rPr>
          <w:rStyle w:val="af7"/>
          <w:rFonts w:eastAsia="Guttman Hodes" w:hint="cs"/>
          <w:rtl/>
        </w:rPr>
        <w:t>(סט.)</w:t>
      </w:r>
      <w:r>
        <w:rPr>
          <w:rFonts w:hint="cs"/>
          <w:rtl/>
        </w:rPr>
        <w:t>, ועי' במה שהקשו</w:t>
      </w:r>
      <w:r>
        <w:rPr>
          <w:rStyle w:val="af9"/>
          <w:rFonts w:hint="cs"/>
          <w:rtl/>
        </w:rPr>
        <w:t xml:space="preserve"> </w:t>
      </w:r>
      <w:r w:rsidRPr="00461760">
        <w:rPr>
          <w:rStyle w:val="af9"/>
          <w:rFonts w:hint="cs"/>
          <w:rtl/>
        </w:rPr>
        <w:t>השער"י</w:t>
      </w:r>
      <w:r>
        <w:rPr>
          <w:rFonts w:hint="cs"/>
          <w:rtl/>
        </w:rPr>
        <w:t xml:space="preserve"> </w:t>
      </w:r>
      <w:r w:rsidRPr="00461760">
        <w:rPr>
          <w:rStyle w:val="af7"/>
          <w:rFonts w:eastAsia="Guttman Hodes" w:hint="cs"/>
          <w:rtl/>
        </w:rPr>
        <w:t xml:space="preserve">(עי' אות </w:t>
      </w:r>
      <w:r w:rsidRPr="00461760">
        <w:rPr>
          <w:rStyle w:val="af7"/>
          <w:rFonts w:eastAsia="Guttman Hodes"/>
          <w:rtl/>
        </w:rPr>
        <w:fldChar w:fldCharType="begin"/>
      </w:r>
      <w:r w:rsidRPr="00461760">
        <w:rPr>
          <w:rStyle w:val="af7"/>
          <w:rFonts w:eastAsia="Guttman Hodes"/>
          <w:rtl/>
        </w:rPr>
        <w:instrText xml:space="preserve"> </w:instrText>
      </w:r>
      <w:r w:rsidRPr="00461760">
        <w:rPr>
          <w:rStyle w:val="af7"/>
          <w:rFonts w:eastAsia="Guttman Hodes" w:hint="cs"/>
        </w:rPr>
        <w:instrText>REF</w:instrText>
      </w:r>
      <w:r w:rsidRPr="00461760">
        <w:rPr>
          <w:rStyle w:val="af7"/>
          <w:rFonts w:eastAsia="Guttman Hodes" w:hint="cs"/>
          <w:rtl/>
        </w:rPr>
        <w:instrText xml:space="preserve"> _</w:instrText>
      </w:r>
      <w:r w:rsidRPr="00461760">
        <w:rPr>
          <w:rStyle w:val="af7"/>
          <w:rFonts w:eastAsia="Guttman Hodes" w:hint="cs"/>
        </w:rPr>
        <w:instrText>Ref530128427 \r \h</w:instrText>
      </w:r>
      <w:r w:rsidRPr="00461760">
        <w:rPr>
          <w:rStyle w:val="af7"/>
          <w:rFonts w:eastAsia="Guttman Hodes"/>
          <w:rtl/>
        </w:rPr>
        <w:instrText xml:space="preserve"> </w:instrText>
      </w:r>
      <w:r w:rsidRPr="00461760">
        <w:rPr>
          <w:rStyle w:val="af7"/>
          <w:rFonts w:eastAsia="Guttman Hodes"/>
          <w:rtl/>
        </w:rPr>
      </w:r>
      <w:r w:rsidRPr="00461760">
        <w:rPr>
          <w:rStyle w:val="af7"/>
          <w:rFonts w:eastAsia="Guttman Hodes"/>
          <w:rtl/>
        </w:rPr>
        <w:fldChar w:fldCharType="separate"/>
      </w:r>
      <w:r w:rsidR="00345400">
        <w:rPr>
          <w:rStyle w:val="af7"/>
          <w:rFonts w:eastAsia="Guttman Hodes"/>
          <w:cs/>
        </w:rPr>
        <w:t>‎</w:t>
      </w:r>
      <w:r w:rsidR="00345400">
        <w:rPr>
          <w:rStyle w:val="af7"/>
          <w:rFonts w:eastAsia="Guttman Hodes"/>
          <w:rtl/>
        </w:rPr>
        <w:t>צד)</w:t>
      </w:r>
      <w:r w:rsidRPr="00461760">
        <w:rPr>
          <w:rStyle w:val="af7"/>
          <w:rFonts w:eastAsia="Guttman Hodes"/>
          <w:rtl/>
        </w:rPr>
        <w:fldChar w:fldCharType="end"/>
      </w:r>
      <w:r>
        <w:rPr>
          <w:rFonts w:hint="cs"/>
          <w:rtl/>
        </w:rPr>
        <w:t xml:space="preserve"> </w:t>
      </w:r>
      <w:r w:rsidRPr="00751D0C">
        <w:rPr>
          <w:rStyle w:val="af9"/>
          <w:rFonts w:hint="cs"/>
          <w:rtl/>
        </w:rPr>
        <w:t>והגרש"ר</w:t>
      </w:r>
      <w:r>
        <w:rPr>
          <w:rFonts w:hint="cs"/>
          <w:rtl/>
        </w:rPr>
        <w:t xml:space="preserve"> </w:t>
      </w:r>
      <w:r w:rsidRPr="00751D0C">
        <w:rPr>
          <w:rStyle w:val="af7"/>
          <w:rFonts w:eastAsia="Guttman Hodes" w:hint="cs"/>
          <w:rtl/>
        </w:rPr>
        <w:t xml:space="preserve">(עי' אות </w:t>
      </w:r>
      <w:r w:rsidRPr="00751D0C">
        <w:rPr>
          <w:rStyle w:val="af7"/>
          <w:rFonts w:eastAsia="Guttman Hodes"/>
          <w:rtl/>
        </w:rPr>
        <w:fldChar w:fldCharType="begin"/>
      </w:r>
      <w:r w:rsidRPr="00751D0C">
        <w:rPr>
          <w:rStyle w:val="af7"/>
          <w:rFonts w:eastAsia="Guttman Hodes"/>
          <w:rtl/>
        </w:rPr>
        <w:instrText xml:space="preserve"> </w:instrText>
      </w:r>
      <w:r w:rsidRPr="00751D0C">
        <w:rPr>
          <w:rStyle w:val="af7"/>
          <w:rFonts w:eastAsia="Guttman Hodes" w:hint="cs"/>
        </w:rPr>
        <w:instrText>REF</w:instrText>
      </w:r>
      <w:r w:rsidRPr="00751D0C">
        <w:rPr>
          <w:rStyle w:val="af7"/>
          <w:rFonts w:eastAsia="Guttman Hodes" w:hint="cs"/>
          <w:rtl/>
        </w:rPr>
        <w:instrText xml:space="preserve"> _</w:instrText>
      </w:r>
      <w:r w:rsidRPr="00751D0C">
        <w:rPr>
          <w:rStyle w:val="af7"/>
          <w:rFonts w:eastAsia="Guttman Hodes" w:hint="cs"/>
        </w:rPr>
        <w:instrText>Ref530341560 \r \h</w:instrText>
      </w:r>
      <w:r w:rsidRPr="00751D0C">
        <w:rPr>
          <w:rStyle w:val="af7"/>
          <w:rFonts w:eastAsia="Guttman Hodes"/>
          <w:rtl/>
        </w:rPr>
        <w:instrText xml:space="preserve"> </w:instrText>
      </w:r>
      <w:r w:rsidRPr="00751D0C">
        <w:rPr>
          <w:rStyle w:val="af7"/>
          <w:rFonts w:eastAsia="Guttman Hodes"/>
          <w:rtl/>
        </w:rPr>
      </w:r>
      <w:r w:rsidRPr="00751D0C">
        <w:rPr>
          <w:rStyle w:val="af7"/>
          <w:rFonts w:eastAsia="Guttman Hodes"/>
          <w:rtl/>
        </w:rPr>
        <w:fldChar w:fldCharType="separate"/>
      </w:r>
      <w:r w:rsidR="00345400">
        <w:rPr>
          <w:rStyle w:val="af7"/>
          <w:rFonts w:eastAsia="Guttman Hodes"/>
          <w:cs/>
        </w:rPr>
        <w:t>‎</w:t>
      </w:r>
      <w:r w:rsidR="00345400">
        <w:rPr>
          <w:rStyle w:val="af7"/>
          <w:rFonts w:eastAsia="Guttman Hodes"/>
          <w:rtl/>
        </w:rPr>
        <w:t>קד)</w:t>
      </w:r>
      <w:r w:rsidRPr="00751D0C">
        <w:rPr>
          <w:rStyle w:val="af7"/>
          <w:rFonts w:eastAsia="Guttman Hodes"/>
          <w:rtl/>
        </w:rPr>
        <w:fldChar w:fldCharType="end"/>
      </w:r>
      <w:r>
        <w:rPr>
          <w:rStyle w:val="af7"/>
          <w:rFonts w:eastAsia="Guttman Hodes" w:hint="cs"/>
          <w:rtl/>
        </w:rPr>
        <w:t xml:space="preserve"> </w:t>
      </w:r>
      <w:r w:rsidRPr="00461760">
        <w:rPr>
          <w:rStyle w:val="af9"/>
          <w:rFonts w:hint="cs"/>
          <w:rtl/>
        </w:rPr>
        <w:t>והאבי עזרי</w:t>
      </w:r>
      <w:r>
        <w:rPr>
          <w:rFonts w:hint="cs"/>
          <w:rtl/>
        </w:rPr>
        <w:t xml:space="preserve"> </w:t>
      </w:r>
      <w:r w:rsidRPr="00461760">
        <w:rPr>
          <w:rStyle w:val="af7"/>
          <w:rFonts w:eastAsia="Guttman Hodes" w:hint="cs"/>
          <w:rtl/>
        </w:rPr>
        <w:t xml:space="preserve">(עי' אות </w:t>
      </w:r>
      <w:r w:rsidRPr="00461760">
        <w:rPr>
          <w:rStyle w:val="af7"/>
          <w:rFonts w:eastAsia="Guttman Hodes"/>
          <w:rtl/>
        </w:rPr>
        <w:fldChar w:fldCharType="begin"/>
      </w:r>
      <w:r w:rsidRPr="00461760">
        <w:rPr>
          <w:rStyle w:val="af7"/>
          <w:rFonts w:eastAsia="Guttman Hodes"/>
          <w:rtl/>
        </w:rPr>
        <w:instrText xml:space="preserve"> </w:instrText>
      </w:r>
      <w:r w:rsidRPr="00461760">
        <w:rPr>
          <w:rStyle w:val="af7"/>
          <w:rFonts w:eastAsia="Guttman Hodes" w:hint="cs"/>
        </w:rPr>
        <w:instrText>REF</w:instrText>
      </w:r>
      <w:r w:rsidRPr="00461760">
        <w:rPr>
          <w:rStyle w:val="af7"/>
          <w:rFonts w:eastAsia="Guttman Hodes" w:hint="cs"/>
          <w:rtl/>
        </w:rPr>
        <w:instrText xml:space="preserve"> _</w:instrText>
      </w:r>
      <w:r w:rsidRPr="00461760">
        <w:rPr>
          <w:rStyle w:val="af7"/>
          <w:rFonts w:eastAsia="Guttman Hodes" w:hint="cs"/>
        </w:rPr>
        <w:instrText>Ref530128452 \r \h</w:instrText>
      </w:r>
      <w:r w:rsidRPr="00461760">
        <w:rPr>
          <w:rStyle w:val="af7"/>
          <w:rFonts w:eastAsia="Guttman Hodes"/>
          <w:rtl/>
        </w:rPr>
        <w:instrText xml:space="preserve"> </w:instrText>
      </w:r>
      <w:r w:rsidRPr="00461760">
        <w:rPr>
          <w:rStyle w:val="af7"/>
          <w:rFonts w:eastAsia="Guttman Hodes"/>
          <w:rtl/>
        </w:rPr>
      </w:r>
      <w:r w:rsidRPr="00461760">
        <w:rPr>
          <w:rStyle w:val="af7"/>
          <w:rFonts w:eastAsia="Guttman Hodes"/>
          <w:rtl/>
        </w:rPr>
        <w:fldChar w:fldCharType="separate"/>
      </w:r>
      <w:r w:rsidR="00345400">
        <w:rPr>
          <w:rStyle w:val="af7"/>
          <w:rFonts w:eastAsia="Guttman Hodes"/>
          <w:cs/>
        </w:rPr>
        <w:t>‎</w:t>
      </w:r>
      <w:r w:rsidR="00345400">
        <w:rPr>
          <w:rStyle w:val="af7"/>
          <w:rFonts w:eastAsia="Guttman Hodes"/>
          <w:rtl/>
        </w:rPr>
        <w:t>צח)</w:t>
      </w:r>
      <w:r w:rsidRPr="00461760">
        <w:rPr>
          <w:rStyle w:val="af7"/>
          <w:rFonts w:eastAsia="Guttman Hodes"/>
          <w:rtl/>
        </w:rPr>
        <w:fldChar w:fldCharType="end"/>
      </w:r>
      <w:r>
        <w:rPr>
          <w:rFonts w:hint="cs"/>
          <w:rtl/>
        </w:rPr>
        <w:t>.</w:t>
      </w:r>
      <w:bookmarkEnd w:id="10074"/>
    </w:p>
    <w:p w14:paraId="13AF90D5" w14:textId="77777777" w:rsidR="00064C97" w:rsidRDefault="00064C97" w:rsidP="006D6D32">
      <w:pPr>
        <w:pStyle w:val="a3"/>
        <w:rPr>
          <w:rtl/>
        </w:rPr>
      </w:pPr>
      <w:bookmarkStart w:id="10075" w:name="_Toc530521921"/>
      <w:bookmarkStart w:id="10076" w:name="_Toc530524977"/>
      <w:bookmarkStart w:id="10077" w:name="_Toc530551119"/>
      <w:bookmarkStart w:id="10078" w:name="_Toc19390326"/>
      <w:bookmarkStart w:id="10079" w:name="_Toc19393823"/>
      <w:r>
        <w:rPr>
          <w:rFonts w:hint="cs"/>
          <w:rtl/>
        </w:rPr>
        <w:t>דברי הש"ש דבמכה אביו הוחזק שהוא אביו לפני המעשה ואח"כ נהרג כיון שהוחזק לאביו</w:t>
      </w:r>
      <w:bookmarkEnd w:id="10075"/>
      <w:bookmarkEnd w:id="10076"/>
      <w:bookmarkEnd w:id="10077"/>
      <w:bookmarkEnd w:id="10078"/>
      <w:bookmarkEnd w:id="10079"/>
    </w:p>
    <w:p w14:paraId="515406E8" w14:textId="77777777" w:rsidR="00064C97" w:rsidRDefault="00064C97" w:rsidP="00223668">
      <w:pPr>
        <w:pStyle w:val="a0"/>
        <w:rPr>
          <w:rtl/>
        </w:rPr>
      </w:pPr>
      <w:r>
        <w:rPr>
          <w:rFonts w:hint="cs"/>
          <w:rtl/>
        </w:rPr>
        <w:t xml:space="preserve">וכתב </w:t>
      </w:r>
      <w:r w:rsidRPr="00137684">
        <w:rPr>
          <w:rStyle w:val="af9"/>
          <w:rFonts w:hint="cs"/>
          <w:rtl/>
        </w:rPr>
        <w:t>הש"ש</w:t>
      </w:r>
      <w:r>
        <w:rPr>
          <w:rFonts w:hint="cs"/>
          <w:rtl/>
        </w:rPr>
        <w:t xml:space="preserve"> דזהו הביאור בסוגיין בדין מכה אביו, דאף שאין כח ברוב עצמו לדון בדיני נפשות, מ"מ ע"י הרוב הוחזק שהוא אביו, כיון שהרוב בא לפני המעשה, ואח"כ הוא נהרג על מכתו דהא הוחזק שהוא אביו, אך אין הורגין אותו מכח הרוב עצמו.</w:t>
      </w:r>
    </w:p>
    <w:p w14:paraId="1F99CFB8" w14:textId="77777777" w:rsidR="00064C97" w:rsidRDefault="00064C97" w:rsidP="006D6D32">
      <w:pPr>
        <w:pStyle w:val="a3"/>
        <w:rPr>
          <w:rtl/>
        </w:rPr>
      </w:pPr>
      <w:bookmarkStart w:id="10080" w:name="_Toc530521922"/>
      <w:bookmarkStart w:id="10081" w:name="_Toc530524978"/>
      <w:bookmarkStart w:id="10082" w:name="_Toc530551120"/>
      <w:bookmarkStart w:id="10083" w:name="_Toc19390327"/>
      <w:bookmarkStart w:id="10084" w:name="_Toc19393824"/>
      <w:r>
        <w:rPr>
          <w:rFonts w:hint="cs"/>
          <w:rtl/>
        </w:rPr>
        <w:t>תירוץ הקונה"ס דבנפשות שהוא עצמו נידון א"א לסמוך את המיעוט לחזקת גופו</w:t>
      </w:r>
      <w:bookmarkEnd w:id="10080"/>
      <w:bookmarkEnd w:id="10081"/>
      <w:bookmarkEnd w:id="10082"/>
      <w:bookmarkEnd w:id="10083"/>
      <w:bookmarkEnd w:id="10084"/>
    </w:p>
    <w:p w14:paraId="6AC28CB9" w14:textId="77777777" w:rsidR="00064C97" w:rsidRDefault="00064C97" w:rsidP="00223668">
      <w:pPr>
        <w:pStyle w:val="a0"/>
        <w:rPr>
          <w:rtl/>
        </w:rPr>
      </w:pPr>
      <w:r w:rsidRPr="00703ADF">
        <w:rPr>
          <w:rStyle w:val="af9"/>
          <w:rFonts w:hint="cs"/>
          <w:rtl/>
        </w:rPr>
        <w:t>והקונה"ס</w:t>
      </w:r>
      <w:r>
        <w:rPr>
          <w:rFonts w:hint="cs"/>
          <w:rtl/>
        </w:rPr>
        <w:t xml:space="preserve"> </w:t>
      </w:r>
      <w:r w:rsidRPr="00703ADF">
        <w:rPr>
          <w:rStyle w:val="af7"/>
          <w:rFonts w:eastAsia="Guttman Hodes" w:hint="cs"/>
          <w:rtl/>
        </w:rPr>
        <w:t>(כלל ו' אות ג' ד"ה על כן)</w:t>
      </w:r>
      <w:r>
        <w:rPr>
          <w:rFonts w:hint="cs"/>
          <w:rtl/>
        </w:rPr>
        <w:t xml:space="preserve"> תירץ </w:t>
      </w:r>
      <w:r w:rsidRPr="00703ADF">
        <w:rPr>
          <w:rStyle w:val="af9"/>
          <w:rFonts w:hint="cs"/>
          <w:rtl/>
        </w:rPr>
        <w:t>דהתוס' בב"ק</w:t>
      </w:r>
      <w:r>
        <w:rPr>
          <w:rFonts w:hint="cs"/>
          <w:rtl/>
        </w:rPr>
        <w:t xml:space="preserve"> ס"ל שא"א ללמוד את דיני ממונות מדיני נפשות, דדוקא בממונות אפש"ל שהרוב אינו יכול להוציא מהמוחזק, אבל בנפשות כיון שהוא עצמו נידון, מהני הרוב </w:t>
      </w:r>
      <w:r w:rsidRPr="00703ADF">
        <w:rPr>
          <w:rStyle w:val="afb"/>
          <w:rFonts w:hint="cs"/>
          <w:rtl/>
        </w:rPr>
        <w:t>[אף להוציא מחזקת גופו]</w:t>
      </w:r>
      <w:r>
        <w:rPr>
          <w:rFonts w:hint="cs"/>
          <w:rtl/>
        </w:rPr>
        <w:t xml:space="preserve">, ועיי"ש במה שביאר </w:t>
      </w:r>
      <w:r w:rsidRPr="00703ADF">
        <w:rPr>
          <w:rStyle w:val="af9"/>
          <w:rFonts w:hint="cs"/>
          <w:rtl/>
        </w:rPr>
        <w:t>הקונה"ס</w:t>
      </w:r>
      <w:r>
        <w:rPr>
          <w:rFonts w:hint="cs"/>
          <w:rtl/>
        </w:rPr>
        <w:t xml:space="preserve"> בדעת </w:t>
      </w:r>
      <w:r w:rsidRPr="00703ADF">
        <w:rPr>
          <w:rStyle w:val="af9"/>
          <w:rFonts w:hint="cs"/>
          <w:rtl/>
        </w:rPr>
        <w:t>התוס' בב"ק</w:t>
      </w:r>
      <w:r>
        <w:rPr>
          <w:rFonts w:hint="cs"/>
          <w:rtl/>
        </w:rPr>
        <w:t xml:space="preserve"> ובדעת </w:t>
      </w:r>
      <w:r w:rsidRPr="00703ADF">
        <w:rPr>
          <w:rStyle w:val="af9"/>
          <w:rFonts w:hint="cs"/>
          <w:rtl/>
        </w:rPr>
        <w:t>התוס' בסנהדרין</w:t>
      </w:r>
      <w:r>
        <w:rPr>
          <w:rFonts w:hint="cs"/>
          <w:rtl/>
        </w:rPr>
        <w:t>.</w:t>
      </w:r>
    </w:p>
    <w:p w14:paraId="449D8EF7" w14:textId="77777777" w:rsidR="00064C97" w:rsidRDefault="00064C97" w:rsidP="00BF39B2">
      <w:pPr>
        <w:pStyle w:val="1"/>
        <w:rPr>
          <w:rtl/>
        </w:rPr>
      </w:pPr>
      <w:bookmarkStart w:id="10085" w:name="_Toc530476214"/>
      <w:bookmarkStart w:id="10086" w:name="_Toc530477162"/>
      <w:bookmarkStart w:id="10087" w:name="_Toc530503004"/>
      <w:bookmarkStart w:id="10088" w:name="_Toc530504486"/>
      <w:bookmarkStart w:id="10089" w:name="_Toc530514391"/>
      <w:bookmarkStart w:id="10090" w:name="_Toc530514494"/>
      <w:bookmarkStart w:id="10091" w:name="_Toc530521923"/>
      <w:bookmarkStart w:id="10092" w:name="_Toc530524979"/>
      <w:bookmarkStart w:id="10093" w:name="_Toc530551121"/>
      <w:bookmarkStart w:id="10094" w:name="_Toc19390328"/>
      <w:bookmarkStart w:id="10095" w:name="_Toc19393825"/>
      <w:r>
        <w:rPr>
          <w:rFonts w:hint="cs"/>
          <w:rtl/>
        </w:rPr>
        <w:t>דברי ההפלאה</w:t>
      </w:r>
      <w:bookmarkEnd w:id="10085"/>
      <w:bookmarkEnd w:id="10086"/>
      <w:bookmarkEnd w:id="10087"/>
      <w:bookmarkEnd w:id="10088"/>
      <w:bookmarkEnd w:id="10089"/>
      <w:bookmarkEnd w:id="10090"/>
      <w:r>
        <w:rPr>
          <w:rFonts w:hint="cs"/>
          <w:rtl/>
        </w:rPr>
        <w:t xml:space="preserve"> דרוב שנפסק הדין על פיו מהני אף לממונות</w:t>
      </w:r>
      <w:bookmarkEnd w:id="10091"/>
      <w:bookmarkEnd w:id="10092"/>
      <w:bookmarkEnd w:id="10093"/>
      <w:bookmarkEnd w:id="10094"/>
      <w:bookmarkEnd w:id="10095"/>
    </w:p>
    <w:p w14:paraId="6B8279F0" w14:textId="77777777" w:rsidR="00064C97" w:rsidRDefault="00064C97" w:rsidP="006D6D32">
      <w:pPr>
        <w:pStyle w:val="a3"/>
        <w:rPr>
          <w:rtl/>
        </w:rPr>
      </w:pPr>
      <w:bookmarkStart w:id="10096" w:name="_Toc530521924"/>
      <w:bookmarkStart w:id="10097" w:name="_Toc530524980"/>
      <w:bookmarkStart w:id="10098" w:name="_Toc530551122"/>
      <w:bookmarkStart w:id="10099" w:name="_Toc19390329"/>
      <w:bookmarkStart w:id="10100" w:name="_Toc19393826"/>
      <w:r>
        <w:rPr>
          <w:rFonts w:hint="cs"/>
          <w:rtl/>
        </w:rPr>
        <w:t>הוכחת ההפלאה דבנפסק דין עפ"י רוב מהני לממונות מהא דחייב לשלם לאב באונס ומפתה</w:t>
      </w:r>
      <w:bookmarkEnd w:id="10096"/>
      <w:bookmarkEnd w:id="10097"/>
      <w:bookmarkEnd w:id="10098"/>
      <w:bookmarkEnd w:id="10099"/>
      <w:bookmarkEnd w:id="10100"/>
    </w:p>
    <w:p w14:paraId="078CCEB9" w14:textId="77777777" w:rsidR="00064C97" w:rsidRPr="00FC541E" w:rsidRDefault="00064C97" w:rsidP="00223668">
      <w:pPr>
        <w:pStyle w:val="a0"/>
        <w:rPr>
          <w:rStyle w:val="afb"/>
          <w:rtl/>
        </w:rPr>
      </w:pPr>
      <w:bookmarkStart w:id="10101" w:name="_Ref530304434"/>
      <w:r>
        <w:rPr>
          <w:rFonts w:hint="cs"/>
          <w:rtl/>
        </w:rPr>
        <w:t xml:space="preserve">כתב </w:t>
      </w:r>
      <w:r>
        <w:rPr>
          <w:rStyle w:val="af9"/>
          <w:rFonts w:hint="cs"/>
          <w:rtl/>
        </w:rPr>
        <w:t>ה</w:t>
      </w:r>
      <w:r w:rsidRPr="00A854E8">
        <w:rPr>
          <w:rStyle w:val="af9"/>
          <w:rFonts w:hint="cs"/>
          <w:rtl/>
        </w:rPr>
        <w:t>הפלאה בכתובות</w:t>
      </w:r>
      <w:r>
        <w:rPr>
          <w:rFonts w:hint="cs"/>
          <w:rtl/>
        </w:rPr>
        <w:t xml:space="preserve"> </w:t>
      </w:r>
      <w:r w:rsidRPr="00A854E8">
        <w:rPr>
          <w:rStyle w:val="af7"/>
          <w:rFonts w:eastAsia="Guttman Hodes" w:hint="cs"/>
          <w:rtl/>
        </w:rPr>
        <w:t>(טו: על תוד"ה ל"צ)</w:t>
      </w:r>
      <w:r>
        <w:rPr>
          <w:rFonts w:hint="cs"/>
          <w:rtl/>
        </w:rPr>
        <w:t xml:space="preserve"> דכיון שהעמידה התורה את דין הרוב לשאר דברים, מהני אף לממון, דאי נימא דאף אחר שנפסק דין הרוב לא אזלינן בממון בתר רובא, א"כ במוציא שם רע אמאי משלם לאביה מאה כסף, הא מבואר בסוגיין דרק מדין רוב אמרינן שהוא אביה, וכן בדמי וולדות נחוש דלמא לאו אביהם הוא, וכן בשור שנגח שור, או שומר שחייב על שור, נחוש שהיה טריפה, ועוד הביא </w:t>
      </w:r>
      <w:r w:rsidRPr="00A854E8">
        <w:rPr>
          <w:rStyle w:val="af9"/>
          <w:rFonts w:hint="cs"/>
          <w:rtl/>
        </w:rPr>
        <w:t>בהפלאה</w:t>
      </w:r>
      <w:r>
        <w:rPr>
          <w:rFonts w:hint="cs"/>
          <w:rtl/>
        </w:rPr>
        <w:t xml:space="preserve"> בשם </w:t>
      </w:r>
      <w:r w:rsidRPr="00A854E8">
        <w:rPr>
          <w:rStyle w:val="af9"/>
          <w:rFonts w:hint="cs"/>
          <w:rtl/>
        </w:rPr>
        <w:t>השער המלך</w:t>
      </w:r>
      <w:r>
        <w:rPr>
          <w:rFonts w:hint="cs"/>
          <w:rtl/>
        </w:rPr>
        <w:t xml:space="preserve"> </w:t>
      </w:r>
      <w:r w:rsidRPr="0077287A">
        <w:rPr>
          <w:rStyle w:val="af7"/>
          <w:rFonts w:eastAsia="Guttman Hodes" w:hint="cs"/>
          <w:rtl/>
        </w:rPr>
        <w:t>(טומאת מת פ"ט הי"ב)</w:t>
      </w:r>
      <w:r>
        <w:rPr>
          <w:rFonts w:hint="cs"/>
          <w:rtl/>
        </w:rPr>
        <w:t xml:space="preserve"> שהקשה בדין פדיון הבן אמאי חייב לשלם לאחר שלושים, ונחשוש שמא הבן טריפה, אלא כתב </w:t>
      </w:r>
      <w:r w:rsidRPr="005355C0">
        <w:rPr>
          <w:rStyle w:val="af9"/>
          <w:rFonts w:hint="cs"/>
          <w:rtl/>
        </w:rPr>
        <w:t xml:space="preserve">ההפלאה </w:t>
      </w:r>
      <w:r>
        <w:rPr>
          <w:rFonts w:hint="cs"/>
          <w:rtl/>
        </w:rPr>
        <w:t xml:space="preserve">דמוכח דאחר שנפסק דין הרוב שאינו טריפה, מהני אף לממון. </w:t>
      </w:r>
      <w:r w:rsidRPr="00FC541E">
        <w:rPr>
          <w:rStyle w:val="afb"/>
          <w:rFonts w:hint="cs"/>
          <w:rtl/>
        </w:rPr>
        <w:t xml:space="preserve">[ועי' </w:t>
      </w:r>
      <w:r w:rsidRPr="00FC541E">
        <w:rPr>
          <w:rStyle w:val="affa"/>
          <w:rFonts w:hint="cs"/>
          <w:rtl/>
        </w:rPr>
        <w:t xml:space="preserve">בשיעורי הגרש"ר </w:t>
      </w:r>
      <w:r w:rsidRPr="00FC541E">
        <w:rPr>
          <w:rStyle w:val="aff6"/>
          <w:rFonts w:hint="cs"/>
          <w:rtl/>
        </w:rPr>
        <w:t>(סנהדרין סט. אות ע"ד ד"ה ועפי"ז)</w:t>
      </w:r>
      <w:r w:rsidRPr="00FC541E">
        <w:rPr>
          <w:rStyle w:val="afb"/>
          <w:rFonts w:hint="cs"/>
          <w:rtl/>
        </w:rPr>
        <w:t xml:space="preserve"> במה שדחה את ראיית </w:t>
      </w:r>
      <w:r w:rsidRPr="00FC541E">
        <w:rPr>
          <w:rStyle w:val="affa"/>
          <w:rFonts w:hint="cs"/>
          <w:rtl/>
        </w:rPr>
        <w:t>ההפלאה</w:t>
      </w:r>
      <w:r w:rsidRPr="00FC541E">
        <w:rPr>
          <w:rStyle w:val="afb"/>
          <w:rFonts w:hint="cs"/>
          <w:rtl/>
        </w:rPr>
        <w:t xml:space="preserve"> משור המזיק].</w:t>
      </w:r>
      <w:bookmarkEnd w:id="10101"/>
    </w:p>
    <w:p w14:paraId="3FE33D4A" w14:textId="77777777" w:rsidR="00064C97" w:rsidRDefault="00064C97" w:rsidP="006D6D32">
      <w:pPr>
        <w:pStyle w:val="a3"/>
        <w:rPr>
          <w:rtl/>
        </w:rPr>
      </w:pPr>
      <w:bookmarkStart w:id="10102" w:name="_Toc530521925"/>
      <w:bookmarkStart w:id="10103" w:name="_Toc530524981"/>
      <w:bookmarkStart w:id="10104" w:name="_Toc530551123"/>
      <w:bookmarkStart w:id="10105" w:name="_Toc19390330"/>
      <w:bookmarkStart w:id="10106" w:name="_Toc19393827"/>
      <w:r>
        <w:rPr>
          <w:rFonts w:hint="cs"/>
          <w:rtl/>
        </w:rPr>
        <w:t>משמעות הראשונים בכתובות דלא אזלינן בתר רובא בממונות אף כשנפסק דין עפ"י רוב</w:t>
      </w:r>
      <w:bookmarkEnd w:id="10102"/>
      <w:bookmarkEnd w:id="10103"/>
      <w:bookmarkEnd w:id="10104"/>
      <w:bookmarkEnd w:id="10105"/>
      <w:bookmarkEnd w:id="10106"/>
    </w:p>
    <w:p w14:paraId="0BB30E90" w14:textId="77777777" w:rsidR="00064C97" w:rsidRDefault="00064C97" w:rsidP="00223668">
      <w:pPr>
        <w:pStyle w:val="a0"/>
        <w:rPr>
          <w:rtl/>
        </w:rPr>
      </w:pPr>
      <w:bookmarkStart w:id="10107" w:name="_Ref530503577"/>
      <w:r>
        <w:rPr>
          <w:rFonts w:hint="cs"/>
          <w:rtl/>
        </w:rPr>
        <w:t xml:space="preserve">אמנם כתב </w:t>
      </w:r>
      <w:r w:rsidRPr="00552516">
        <w:rPr>
          <w:rStyle w:val="af9"/>
          <w:rFonts w:hint="cs"/>
          <w:rtl/>
        </w:rPr>
        <w:t xml:space="preserve">ההפלאה </w:t>
      </w:r>
      <w:r>
        <w:rPr>
          <w:rFonts w:hint="cs"/>
          <w:rtl/>
        </w:rPr>
        <w:t xml:space="preserve">דמפשטות דברי </w:t>
      </w:r>
      <w:r w:rsidRPr="00552516">
        <w:rPr>
          <w:rStyle w:val="af9"/>
          <w:rFonts w:hint="cs"/>
          <w:rtl/>
        </w:rPr>
        <w:t>הראשונים</w:t>
      </w:r>
      <w:r>
        <w:rPr>
          <w:rFonts w:hint="cs"/>
          <w:rtl/>
        </w:rPr>
        <w:t xml:space="preserve"> לא משמע כן, וביארו </w:t>
      </w:r>
      <w:r w:rsidRPr="00A8025B">
        <w:rPr>
          <w:rStyle w:val="af9"/>
          <w:rFonts w:hint="cs"/>
          <w:rtl/>
        </w:rPr>
        <w:t>בשיעורי הגרש"</w:t>
      </w:r>
      <w:r>
        <w:rPr>
          <w:rFonts w:hint="cs"/>
          <w:rtl/>
        </w:rPr>
        <w:t xml:space="preserve">ר </w:t>
      </w:r>
      <w:r w:rsidRPr="00545D70">
        <w:rPr>
          <w:rStyle w:val="af7"/>
          <w:rFonts w:eastAsia="Guttman Hodes" w:hint="cs"/>
          <w:rtl/>
        </w:rPr>
        <w:t xml:space="preserve">(סנהדרין סט. אות </w:t>
      </w:r>
      <w:r>
        <w:rPr>
          <w:rStyle w:val="af7"/>
          <w:rFonts w:eastAsia="Guttman Hodes" w:hint="cs"/>
          <w:rtl/>
        </w:rPr>
        <w:t>ע"ד</w:t>
      </w:r>
      <w:r w:rsidRPr="00545D70">
        <w:rPr>
          <w:rStyle w:val="af7"/>
          <w:rFonts w:eastAsia="Guttman Hodes" w:hint="cs"/>
          <w:rtl/>
        </w:rPr>
        <w:t>)</w:t>
      </w:r>
      <w:r>
        <w:rPr>
          <w:rFonts w:hint="cs"/>
          <w:rtl/>
        </w:rPr>
        <w:t xml:space="preserve"> </w:t>
      </w:r>
      <w:r>
        <w:rPr>
          <w:rStyle w:val="af9"/>
          <w:rFonts w:hint="cs"/>
          <w:rtl/>
        </w:rPr>
        <w:t>וב</w:t>
      </w:r>
      <w:r w:rsidRPr="006F529A">
        <w:rPr>
          <w:rStyle w:val="af9"/>
          <w:rFonts w:hint="cs"/>
          <w:rtl/>
        </w:rPr>
        <w:t>קה"י</w:t>
      </w:r>
      <w:r>
        <w:rPr>
          <w:rFonts w:hint="cs"/>
          <w:rtl/>
        </w:rPr>
        <w:t xml:space="preserve"> </w:t>
      </w:r>
      <w:r w:rsidRPr="00C9713C">
        <w:rPr>
          <w:rStyle w:val="af7"/>
          <w:rFonts w:eastAsia="Guttman Hodes"/>
          <w:rtl/>
        </w:rPr>
        <w:t xml:space="preserve">(סי' ז' אות </w:t>
      </w:r>
      <w:r w:rsidRPr="00C9713C">
        <w:rPr>
          <w:rStyle w:val="af7"/>
          <w:rFonts w:eastAsia="Guttman Hodes" w:hint="cs"/>
          <w:rtl/>
        </w:rPr>
        <w:t>ב</w:t>
      </w:r>
      <w:r w:rsidRPr="00C9713C">
        <w:rPr>
          <w:rStyle w:val="af7"/>
          <w:rFonts w:eastAsia="Guttman Hodes"/>
          <w:rtl/>
        </w:rPr>
        <w:t xml:space="preserve">', קידושין </w:t>
      </w:r>
      <w:r w:rsidRPr="00C9713C">
        <w:rPr>
          <w:rStyle w:val="af7"/>
          <w:rFonts w:eastAsia="Guttman Hodes" w:hint="cs"/>
          <w:rtl/>
        </w:rPr>
        <w:t>סי' ל"ו</w:t>
      </w:r>
      <w:r w:rsidRPr="00C9713C">
        <w:rPr>
          <w:rStyle w:val="af7"/>
          <w:rFonts w:eastAsia="Guttman Hodes"/>
          <w:rtl/>
        </w:rPr>
        <w:t xml:space="preserve"> </w:t>
      </w:r>
      <w:r w:rsidRPr="00C9713C">
        <w:rPr>
          <w:rStyle w:val="af7"/>
          <w:rFonts w:eastAsia="Guttman Hodes" w:hint="cs"/>
          <w:rtl/>
        </w:rPr>
        <w:t>ב</w:t>
      </w:r>
      <w:r w:rsidRPr="00C9713C">
        <w:rPr>
          <w:rStyle w:val="af7"/>
          <w:rFonts w:eastAsia="Guttman Hodes"/>
          <w:rtl/>
        </w:rPr>
        <w:t>')</w:t>
      </w:r>
      <w:r>
        <w:rPr>
          <w:rFonts w:hint="cs"/>
          <w:rtl/>
        </w:rPr>
        <w:t xml:space="preserve"> דכוונתו לדברי </w:t>
      </w:r>
      <w:r>
        <w:rPr>
          <w:rStyle w:val="af9"/>
          <w:rFonts w:hint="cs"/>
          <w:rtl/>
        </w:rPr>
        <w:t>ה</w:t>
      </w:r>
      <w:r w:rsidRPr="006F529A">
        <w:rPr>
          <w:rStyle w:val="af9"/>
          <w:rFonts w:hint="cs"/>
          <w:rtl/>
        </w:rPr>
        <w:t>תוס' בכתובות</w:t>
      </w:r>
      <w:r>
        <w:rPr>
          <w:rFonts w:hint="cs"/>
          <w:rtl/>
        </w:rPr>
        <w:t xml:space="preserve"> </w:t>
      </w:r>
      <w:r w:rsidRPr="00C9713C">
        <w:rPr>
          <w:rStyle w:val="af7"/>
          <w:rFonts w:eastAsia="Guttman Hodes" w:hint="cs"/>
          <w:rtl/>
        </w:rPr>
        <w:t>(טו: ד"ה להחזיר)</w:t>
      </w:r>
      <w:r>
        <w:rPr>
          <w:rFonts w:hint="cs"/>
          <w:rtl/>
        </w:rPr>
        <w:t xml:space="preserve"> דהקשו האיך מחזירים אבידה לתינוק שנמצא בעיר שרובה ישראל, הא אין הולכין בממון אחר הרוב, ומבואר דאף שכבר הוחזק עפ"י הרוב לישראל, לא אמרינן שהוחזק לישראל גמור, וכן לדברי </w:t>
      </w:r>
      <w:r w:rsidRPr="006F529A">
        <w:rPr>
          <w:rStyle w:val="af9"/>
          <w:rFonts w:hint="cs"/>
          <w:rtl/>
        </w:rPr>
        <w:t>השיטמ"ק</w:t>
      </w:r>
      <w:r>
        <w:rPr>
          <w:rFonts w:hint="cs"/>
          <w:rtl/>
        </w:rPr>
        <w:t xml:space="preserve"> בכתובות דהביא את דעת </w:t>
      </w:r>
      <w:r w:rsidRPr="006F529A">
        <w:rPr>
          <w:rStyle w:val="af9"/>
          <w:rFonts w:hint="cs"/>
          <w:rtl/>
        </w:rPr>
        <w:t>הראשונים</w:t>
      </w:r>
      <w:r>
        <w:rPr>
          <w:rFonts w:hint="cs"/>
          <w:rtl/>
        </w:rPr>
        <w:t xml:space="preserve"> [</w:t>
      </w:r>
      <w:r w:rsidRPr="006F529A">
        <w:rPr>
          <w:rStyle w:val="af9"/>
          <w:rFonts w:hint="cs"/>
          <w:rtl/>
        </w:rPr>
        <w:t>הרמב"ן</w:t>
      </w:r>
      <w:r>
        <w:rPr>
          <w:rFonts w:hint="cs"/>
          <w:rtl/>
        </w:rPr>
        <w:t xml:space="preserve"> </w:t>
      </w:r>
      <w:r w:rsidRPr="00C9713C">
        <w:rPr>
          <w:rStyle w:val="af7"/>
          <w:rFonts w:eastAsia="Guttman Hodes" w:hint="cs"/>
          <w:rtl/>
        </w:rPr>
        <w:t>(כתובות טו: ד"ה אם)</w:t>
      </w:r>
      <w:r>
        <w:rPr>
          <w:rFonts w:hint="cs"/>
          <w:rtl/>
        </w:rPr>
        <w:t xml:space="preserve"> </w:t>
      </w:r>
      <w:r>
        <w:rPr>
          <w:rStyle w:val="af9"/>
          <w:rFonts w:hint="cs"/>
          <w:rtl/>
        </w:rPr>
        <w:t>ו</w:t>
      </w:r>
      <w:r w:rsidRPr="006F529A">
        <w:rPr>
          <w:rStyle w:val="af9"/>
          <w:rFonts w:hint="cs"/>
          <w:rtl/>
        </w:rPr>
        <w:t>הרשב"א</w:t>
      </w:r>
      <w:r>
        <w:rPr>
          <w:rFonts w:hint="cs"/>
          <w:rtl/>
        </w:rPr>
        <w:t xml:space="preserve"> </w:t>
      </w:r>
      <w:r w:rsidRPr="00C9713C">
        <w:rPr>
          <w:rStyle w:val="af7"/>
          <w:rFonts w:eastAsia="Guttman Hodes" w:hint="cs"/>
          <w:rtl/>
        </w:rPr>
        <w:t>(כתובות טו: ד"ה אם)</w:t>
      </w:r>
      <w:r>
        <w:rPr>
          <w:rFonts w:hint="cs"/>
          <w:rtl/>
        </w:rPr>
        <w:t xml:space="preserve">] דכתבו לדון בדין תינוק שנמצא דהא לא אזלינן בממון אחר הרוב, אף כשכבר הוחזק דינו עפ"י הרוב, עיי"ש בדבריהם. </w:t>
      </w:r>
      <w:bookmarkEnd w:id="10107"/>
    </w:p>
    <w:p w14:paraId="6F425325" w14:textId="77777777" w:rsidR="00D37F3A" w:rsidRPr="00D37F3A" w:rsidRDefault="00D37F3A" w:rsidP="006D6D32">
      <w:pPr>
        <w:pStyle w:val="a3"/>
        <w:rPr>
          <w:rtl/>
        </w:rPr>
      </w:pPr>
    </w:p>
    <w:p w14:paraId="5E7CB26B" w14:textId="77777777" w:rsidR="00064C97" w:rsidRDefault="00064C97" w:rsidP="006D6D32">
      <w:pPr>
        <w:pStyle w:val="a3"/>
        <w:rPr>
          <w:rtl/>
        </w:rPr>
      </w:pPr>
      <w:bookmarkStart w:id="10108" w:name="_Toc530521926"/>
      <w:bookmarkStart w:id="10109" w:name="_Toc530524982"/>
      <w:bookmarkStart w:id="10110" w:name="_Toc530551124"/>
      <w:bookmarkStart w:id="10111" w:name="_Toc19390331"/>
      <w:bookmarkStart w:id="10112" w:name="_Toc19393828"/>
      <w:r>
        <w:rPr>
          <w:rFonts w:hint="cs"/>
          <w:rtl/>
        </w:rPr>
        <w:t>דברי הגרעק"א דבתוס' בכתובות מבואר דלא אזלינן בממון בתר רוב אף שהוחזק הדין מכחו</w:t>
      </w:r>
      <w:bookmarkEnd w:id="10108"/>
      <w:bookmarkEnd w:id="10109"/>
      <w:bookmarkEnd w:id="10110"/>
      <w:bookmarkEnd w:id="10111"/>
      <w:bookmarkEnd w:id="10112"/>
    </w:p>
    <w:p w14:paraId="70D59600" w14:textId="77777777" w:rsidR="00064C97" w:rsidRDefault="00064C97" w:rsidP="00223668">
      <w:pPr>
        <w:pStyle w:val="a0"/>
        <w:rPr>
          <w:rtl/>
        </w:rPr>
      </w:pPr>
      <w:r w:rsidRPr="00C1148D">
        <w:rPr>
          <w:rFonts w:hint="cs"/>
          <w:rtl/>
        </w:rPr>
        <w:t xml:space="preserve">וכן </w:t>
      </w:r>
      <w:r w:rsidRPr="009607C2">
        <w:rPr>
          <w:rStyle w:val="af9"/>
          <w:rFonts w:hint="cs"/>
          <w:rtl/>
        </w:rPr>
        <w:t>בחי' הגרעק"א בכתובות</w:t>
      </w:r>
      <w:r w:rsidRPr="00764F15">
        <w:rPr>
          <w:rStyle w:val="af7"/>
          <w:rFonts w:eastAsia="Guttman Hodes" w:hint="cs"/>
          <w:rtl/>
        </w:rPr>
        <w:t xml:space="preserve"> (החדש טו. אות ד') </w:t>
      </w:r>
      <w:r>
        <w:rPr>
          <w:rFonts w:hint="cs"/>
          <w:rtl/>
        </w:rPr>
        <w:t xml:space="preserve">הובא מספר </w:t>
      </w:r>
      <w:r w:rsidRPr="002A171D">
        <w:rPr>
          <w:rStyle w:val="af9"/>
          <w:rtl/>
        </w:rPr>
        <w:t>הכתב והקבלה</w:t>
      </w:r>
      <w:r w:rsidRPr="00E76576">
        <w:rPr>
          <w:rtl/>
        </w:rPr>
        <w:t xml:space="preserve"> </w:t>
      </w:r>
      <w:r w:rsidRPr="002A171D">
        <w:rPr>
          <w:rStyle w:val="af7"/>
          <w:rFonts w:eastAsia="Guttman Hodes"/>
          <w:rtl/>
        </w:rPr>
        <w:t xml:space="preserve">(פרשת בחקותי ויקרא כ"ז ל"ב) </w:t>
      </w:r>
      <w:r>
        <w:rPr>
          <w:rFonts w:hint="cs"/>
          <w:rtl/>
        </w:rPr>
        <w:t>דהביא בשם</w:t>
      </w:r>
      <w:r w:rsidRPr="00E76576">
        <w:rPr>
          <w:rtl/>
        </w:rPr>
        <w:t xml:space="preserve"> </w:t>
      </w:r>
      <w:r w:rsidRPr="002A171D">
        <w:rPr>
          <w:rStyle w:val="af9"/>
          <w:rtl/>
        </w:rPr>
        <w:t>הגרעק"א</w:t>
      </w:r>
      <w:r>
        <w:rPr>
          <w:rFonts w:hint="cs"/>
          <w:rtl/>
        </w:rPr>
        <w:t xml:space="preserve"> דכתב </w:t>
      </w:r>
      <w:r w:rsidRPr="002A171D">
        <w:rPr>
          <w:rStyle w:val="af9"/>
          <w:rFonts w:hint="cs"/>
          <w:rtl/>
        </w:rPr>
        <w:t>דבתוס' בכתובות</w:t>
      </w:r>
      <w:r>
        <w:rPr>
          <w:rFonts w:hint="cs"/>
          <w:rtl/>
        </w:rPr>
        <w:t xml:space="preserve"> </w:t>
      </w:r>
      <w:r w:rsidRPr="002A171D">
        <w:rPr>
          <w:rStyle w:val="af7"/>
          <w:rFonts w:eastAsia="Guttman Hodes" w:hint="cs"/>
          <w:rtl/>
        </w:rPr>
        <w:t xml:space="preserve">(טו: ד"ה להחזיר) </w:t>
      </w:r>
      <w:r>
        <w:rPr>
          <w:rFonts w:hint="cs"/>
          <w:rtl/>
        </w:rPr>
        <w:t xml:space="preserve">מבואר דאף במקום שדנו כבר את דין הרוב והחזקנו מכחו, מ"מ לא מהני רוב לדיני ממונות, דהא הקשו </w:t>
      </w:r>
      <w:r w:rsidRPr="00FC541E">
        <w:rPr>
          <w:rStyle w:val="af9"/>
          <w:rFonts w:hint="cs"/>
          <w:rtl/>
        </w:rPr>
        <w:t>התוס'</w:t>
      </w:r>
      <w:r>
        <w:rPr>
          <w:rFonts w:hint="cs"/>
          <w:rtl/>
        </w:rPr>
        <w:t xml:space="preserve"> היאך מחזירין אבידה לתינוק שנמצא בעיר שרובה ישראל, הא לא אזלינן בממון בתר רובא, וכתבו שיש חילוק בין החזרת אבידה למוכר שור לחבירו ונמצא נגחן, ומשמע דס"ל </w:t>
      </w:r>
      <w:r w:rsidRPr="002A171D">
        <w:rPr>
          <w:rStyle w:val="af9"/>
          <w:rFonts w:hint="cs"/>
          <w:rtl/>
        </w:rPr>
        <w:t>להתוס' בכתובות</w:t>
      </w:r>
      <w:r>
        <w:rPr>
          <w:rFonts w:hint="cs"/>
          <w:rtl/>
        </w:rPr>
        <w:t xml:space="preserve"> דאף שהחזקנו מכח הרוב, מ"מ לא מהני לדיני ממונות.</w:t>
      </w:r>
    </w:p>
    <w:p w14:paraId="4CE863C1" w14:textId="77777777" w:rsidR="00064C97" w:rsidRDefault="00064C97" w:rsidP="006D6D32">
      <w:pPr>
        <w:pStyle w:val="a3"/>
        <w:rPr>
          <w:rtl/>
        </w:rPr>
      </w:pPr>
      <w:bookmarkStart w:id="10113" w:name="_Toc530083907"/>
      <w:bookmarkStart w:id="10114" w:name="_Toc530083943"/>
      <w:bookmarkStart w:id="10115" w:name="_Toc530147703"/>
      <w:bookmarkStart w:id="10116" w:name="_Toc530148031"/>
      <w:bookmarkStart w:id="10117" w:name="_Toc530348971"/>
      <w:bookmarkStart w:id="10118" w:name="_Toc530395862"/>
      <w:bookmarkStart w:id="10119" w:name="_Toc530411075"/>
      <w:bookmarkStart w:id="10120" w:name="_Toc530476215"/>
      <w:bookmarkStart w:id="10121" w:name="_Toc530477163"/>
      <w:bookmarkStart w:id="10122" w:name="_Toc530503005"/>
      <w:bookmarkStart w:id="10123" w:name="_Toc530504490"/>
      <w:bookmarkStart w:id="10124" w:name="_Toc530514392"/>
      <w:bookmarkStart w:id="10125" w:name="_Toc530514495"/>
      <w:bookmarkStart w:id="10126" w:name="_Toc530521927"/>
      <w:bookmarkStart w:id="10127" w:name="_Toc530524983"/>
      <w:bookmarkStart w:id="10128" w:name="_Toc530551125"/>
      <w:bookmarkStart w:id="10129" w:name="_Toc19390332"/>
      <w:bookmarkStart w:id="10130" w:name="_Toc19393829"/>
      <w:r>
        <w:rPr>
          <w:rStyle w:val="af9"/>
          <w:rFonts w:hint="cs"/>
          <w:rtl/>
        </w:rPr>
        <w:t>דברי הגרעק"א</w:t>
      </w:r>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r>
        <w:rPr>
          <w:rStyle w:val="af9"/>
          <w:rFonts w:hint="cs"/>
          <w:rtl/>
        </w:rPr>
        <w:t xml:space="preserve"> דבמכה אביו דנים ע"י הרוב שהוא אביו</w:t>
      </w:r>
      <w:bookmarkEnd w:id="10126"/>
      <w:bookmarkEnd w:id="10127"/>
      <w:bookmarkEnd w:id="10128"/>
      <w:r w:rsidRPr="00352B56">
        <w:rPr>
          <w:rStyle w:val="af9"/>
          <w:rFonts w:hint="cs"/>
          <w:rtl/>
        </w:rPr>
        <w:t xml:space="preserve"> </w:t>
      </w:r>
      <w:r>
        <w:rPr>
          <w:rStyle w:val="af9"/>
          <w:rFonts w:hint="cs"/>
          <w:rtl/>
        </w:rPr>
        <w:t>כשנולד</w:t>
      </w:r>
      <w:bookmarkEnd w:id="10129"/>
      <w:bookmarkEnd w:id="10130"/>
    </w:p>
    <w:p w14:paraId="0A47B05E" w14:textId="77777777" w:rsidR="00064C97" w:rsidRDefault="00064C97" w:rsidP="006D6D32">
      <w:pPr>
        <w:pStyle w:val="a3"/>
        <w:rPr>
          <w:rtl/>
        </w:rPr>
      </w:pPr>
      <w:bookmarkStart w:id="10131" w:name="_Toc530521928"/>
      <w:bookmarkStart w:id="10132" w:name="_Toc530524984"/>
      <w:bookmarkStart w:id="10133" w:name="_Toc530551126"/>
      <w:bookmarkStart w:id="10134" w:name="_Toc19390333"/>
      <w:bookmarkStart w:id="10135" w:name="_Toc19393830"/>
      <w:r>
        <w:rPr>
          <w:rFonts w:hint="cs"/>
          <w:rtl/>
        </w:rPr>
        <w:t>דברי הגרעק"א דכשנולד דנים מכח הרוב שהוא אביו ולכן מהני אח"כ לממון ונפשות</w:t>
      </w:r>
      <w:bookmarkEnd w:id="10131"/>
      <w:bookmarkEnd w:id="10132"/>
      <w:bookmarkEnd w:id="10133"/>
      <w:bookmarkEnd w:id="10134"/>
      <w:bookmarkEnd w:id="10135"/>
    </w:p>
    <w:p w14:paraId="7B45C409" w14:textId="77777777" w:rsidR="00064C97" w:rsidRPr="009135DD" w:rsidRDefault="00064C97" w:rsidP="00223668">
      <w:pPr>
        <w:pStyle w:val="a0"/>
        <w:rPr>
          <w:rtl/>
        </w:rPr>
      </w:pPr>
      <w:bookmarkStart w:id="10136" w:name="_Ref530418898"/>
      <w:r>
        <w:rPr>
          <w:rFonts w:hint="cs"/>
          <w:rtl/>
        </w:rPr>
        <w:t xml:space="preserve">כתב </w:t>
      </w:r>
      <w:r w:rsidRPr="009135DD">
        <w:rPr>
          <w:rStyle w:val="af9"/>
          <w:rFonts w:hint="cs"/>
          <w:rtl/>
        </w:rPr>
        <w:t>הגרעק"א</w:t>
      </w:r>
      <w:r>
        <w:rPr>
          <w:rFonts w:hint="cs"/>
          <w:rtl/>
        </w:rPr>
        <w:t xml:space="preserve"> </w:t>
      </w:r>
      <w:r w:rsidRPr="009135DD">
        <w:rPr>
          <w:rStyle w:val="af7"/>
          <w:rFonts w:eastAsia="Guttman Hodes" w:hint="cs"/>
          <w:rtl/>
        </w:rPr>
        <w:t>(ד"</w:t>
      </w:r>
      <w:r>
        <w:rPr>
          <w:rStyle w:val="af7"/>
          <w:rFonts w:eastAsia="Guttman Hodes" w:hint="cs"/>
          <w:rtl/>
        </w:rPr>
        <w:t xml:space="preserve">ה </w:t>
      </w:r>
      <w:r w:rsidRPr="009135DD">
        <w:rPr>
          <w:rStyle w:val="af7"/>
          <w:rFonts w:eastAsia="Guttman Hodes" w:hint="cs"/>
          <w:rtl/>
        </w:rPr>
        <w:t>נ"ל</w:t>
      </w:r>
      <w:r>
        <w:rPr>
          <w:rStyle w:val="af7"/>
          <w:rFonts w:eastAsia="Guttman Hodes" w:hint="cs"/>
          <w:rtl/>
        </w:rPr>
        <w:t xml:space="preserve"> ליישב, שו"ת מהדו"ת קכ"ט, סנהדרין פד:</w:t>
      </w:r>
      <w:r w:rsidRPr="009135DD">
        <w:rPr>
          <w:rStyle w:val="af7"/>
          <w:rFonts w:eastAsia="Guttman Hodes" w:hint="cs"/>
          <w:rtl/>
        </w:rPr>
        <w:t>)</w:t>
      </w:r>
      <w:r>
        <w:rPr>
          <w:rFonts w:hint="cs"/>
          <w:rtl/>
        </w:rPr>
        <w:t xml:space="preserve"> דהא דמהני רוב במכה אביו, הוא כיון דמיד כשנולד אנו דנים מכח הרוב שהוא אביו, לכמה עניינים, וממילא כשיש נדון לנפשות מהני מה שדנו שהוא אביו, וכתב </w:t>
      </w:r>
      <w:r w:rsidRPr="000E1479">
        <w:rPr>
          <w:rStyle w:val="af9"/>
          <w:rFonts w:hint="cs"/>
          <w:rtl/>
        </w:rPr>
        <w:t>הגרעק"א</w:t>
      </w:r>
      <w:r>
        <w:rPr>
          <w:rFonts w:hint="cs"/>
          <w:rtl/>
        </w:rPr>
        <w:t xml:space="preserve"> דכן מוכח מהא דאב חייב לפדות את בנו ולא חיישינן שאינו אביו, וכן לא חיישינן שהבן טריפה,</w:t>
      </w:r>
      <w:r w:rsidRPr="0025580A">
        <w:rPr>
          <w:rFonts w:hint="cs"/>
          <w:rtl/>
        </w:rPr>
        <w:t xml:space="preserve"> </w:t>
      </w:r>
      <w:r>
        <w:rPr>
          <w:rFonts w:hint="cs"/>
          <w:rtl/>
        </w:rPr>
        <w:t>אף דלא אזלינן בממון אחר הרוב, ומוכח דכיון שמהני הרוב לענין אחד, וע"י הרוב דנו שהוא אביו, מהני הרוב אף לממון ונפשות</w:t>
      </w:r>
      <w:r>
        <w:rPr>
          <w:rStyle w:val="af1"/>
          <w:rtl/>
        </w:rPr>
        <w:footnoteReference w:id="76"/>
      </w:r>
      <w:r>
        <w:rPr>
          <w:rFonts w:hint="cs"/>
          <w:rtl/>
        </w:rPr>
        <w:t>.</w:t>
      </w:r>
      <w:bookmarkEnd w:id="10136"/>
    </w:p>
    <w:p w14:paraId="3E7E8ED2" w14:textId="77777777" w:rsidR="00064C97" w:rsidRDefault="00064C97" w:rsidP="006D6D32">
      <w:pPr>
        <w:pStyle w:val="a3"/>
        <w:rPr>
          <w:rtl/>
        </w:rPr>
      </w:pPr>
      <w:bookmarkStart w:id="10137" w:name="_Toc530521929"/>
      <w:bookmarkStart w:id="10138" w:name="_Toc530524985"/>
      <w:bookmarkStart w:id="10139" w:name="_Toc530551127"/>
      <w:bookmarkStart w:id="10140" w:name="_Toc19390334"/>
      <w:bookmarkStart w:id="10141" w:name="_Toc19393831"/>
      <w:r>
        <w:rPr>
          <w:rFonts w:hint="cs"/>
          <w:rtl/>
        </w:rPr>
        <w:t>הוכחת הגרעק"א דהורגין ע"י רוב שדנו מכחו מהמ"ד דיליף רוב מפרה אדומה ומשחיטה</w:t>
      </w:r>
      <w:bookmarkEnd w:id="10137"/>
      <w:bookmarkEnd w:id="10138"/>
      <w:bookmarkEnd w:id="10139"/>
      <w:bookmarkEnd w:id="10140"/>
      <w:bookmarkEnd w:id="10141"/>
      <w:r>
        <w:rPr>
          <w:rFonts w:hint="cs"/>
          <w:rtl/>
        </w:rPr>
        <w:t xml:space="preserve"> </w:t>
      </w:r>
    </w:p>
    <w:p w14:paraId="1839EA61" w14:textId="77777777" w:rsidR="00064C97" w:rsidRDefault="00064C97" w:rsidP="00223668">
      <w:pPr>
        <w:pStyle w:val="a0"/>
        <w:rPr>
          <w:rtl/>
        </w:rPr>
      </w:pPr>
      <w:bookmarkStart w:id="10142" w:name="_Toc530348972"/>
      <w:r>
        <w:rPr>
          <w:rFonts w:hint="cs"/>
          <w:rtl/>
        </w:rPr>
        <w:t xml:space="preserve">עו"כ </w:t>
      </w:r>
      <w:r w:rsidRPr="0034789D">
        <w:rPr>
          <w:rStyle w:val="af9"/>
          <w:rFonts w:hint="cs"/>
          <w:rtl/>
        </w:rPr>
        <w:t>הגרעק"א</w:t>
      </w:r>
      <w:r>
        <w:rPr>
          <w:rFonts w:hint="cs"/>
          <w:rtl/>
        </w:rPr>
        <w:t xml:space="preserve"> </w:t>
      </w:r>
      <w:r w:rsidRPr="0034789D">
        <w:rPr>
          <w:rStyle w:val="af7"/>
          <w:rFonts w:eastAsia="Guttman Hodes" w:hint="cs"/>
          <w:rtl/>
        </w:rPr>
        <w:t>(מהדו"ק סו"ס ק"ז ד"ה ותדע, לקמן צו.)</w:t>
      </w:r>
      <w:r>
        <w:rPr>
          <w:rFonts w:hint="cs"/>
          <w:rtl/>
        </w:rPr>
        <w:t xml:space="preserve"> דמהא דהורגין את הבא על הקטנה שדנו אותה שהיא אשת איש, מדין רוב נשים אינם איילוניות, מוכח דכשנפסק הדין עפ"י הרוב מהני אח"כ לדיני נפשות, דאי לא מהני הרוב בכה"ג, א"כ למ"ד דס"ל בסוגיין דהמקור לדין רוב הוא מפרה אדומה או משחיטה, מנא להו דברובא דליתא קמן, אזלינן בדיני נפשות בתר רובא, הא אפש"ל דמפרה אדומה ושחיטה מוכח דאזלינן בתר רובא</w:t>
      </w:r>
      <w:r w:rsidRPr="002002B7">
        <w:rPr>
          <w:rFonts w:hint="cs"/>
          <w:rtl/>
        </w:rPr>
        <w:t xml:space="preserve"> </w:t>
      </w:r>
      <w:r>
        <w:rPr>
          <w:rFonts w:hint="cs"/>
          <w:rtl/>
        </w:rPr>
        <w:t>רק באיסורים, ודוחק לומר דס"ל דלא אזלינן בדיני נפשות בתר רובא.</w:t>
      </w:r>
    </w:p>
    <w:p w14:paraId="00E147C9" w14:textId="77777777" w:rsidR="00064C97" w:rsidRDefault="00064C97" w:rsidP="006D6D32">
      <w:pPr>
        <w:pStyle w:val="a3"/>
        <w:rPr>
          <w:rtl/>
        </w:rPr>
      </w:pPr>
      <w:bookmarkStart w:id="10143" w:name="_Toc530521930"/>
      <w:bookmarkStart w:id="10144" w:name="_Toc530524986"/>
      <w:bookmarkStart w:id="10145" w:name="_Toc530551128"/>
      <w:bookmarkStart w:id="10146" w:name="_Toc19390335"/>
      <w:bookmarkStart w:id="10147" w:name="_Toc19393832"/>
      <w:r>
        <w:rPr>
          <w:rFonts w:hint="cs"/>
          <w:rtl/>
        </w:rPr>
        <w:t>דברי הגרעק"א דבדנו ע"י רוב שאשה היא א"א נהרגין עליה אף אי כלפי שמיא גליא שהיא פנויה</w:t>
      </w:r>
      <w:bookmarkEnd w:id="10143"/>
      <w:bookmarkEnd w:id="10144"/>
      <w:bookmarkEnd w:id="10145"/>
      <w:bookmarkEnd w:id="10146"/>
      <w:bookmarkEnd w:id="10147"/>
    </w:p>
    <w:p w14:paraId="5D8B9481" w14:textId="77777777" w:rsidR="00064C97" w:rsidRPr="00A47803" w:rsidRDefault="00064C97" w:rsidP="00223668">
      <w:pPr>
        <w:pStyle w:val="a0"/>
        <w:rPr>
          <w:rtl/>
        </w:rPr>
      </w:pPr>
      <w:r>
        <w:rPr>
          <w:rFonts w:hint="cs"/>
          <w:rtl/>
        </w:rPr>
        <w:t xml:space="preserve">אלא כתב </w:t>
      </w:r>
      <w:r w:rsidRPr="00315FF8">
        <w:rPr>
          <w:rStyle w:val="af9"/>
          <w:rFonts w:hint="cs"/>
          <w:rtl/>
        </w:rPr>
        <w:t>הגרעק"א</w:t>
      </w:r>
      <w:r>
        <w:rPr>
          <w:rFonts w:hint="cs"/>
          <w:rtl/>
        </w:rPr>
        <w:t xml:space="preserve"> דכיון שאנו דנים אותה מכח הרוב שהיא אשת איש, והעדים מעידים בשלימות על המעשה שבא עליה, הוא חייב מיתה, דבא על אשת איש, ודמי לע"א שהעיד על חתיכה שהיא חלב דלוקין על ידו,</w:t>
      </w:r>
      <w:r w:rsidRPr="00CE0796">
        <w:rPr>
          <w:rFonts w:hint="cs"/>
          <w:rtl/>
        </w:rPr>
        <w:t xml:space="preserve"> </w:t>
      </w:r>
      <w:r>
        <w:rPr>
          <w:rFonts w:hint="cs"/>
          <w:rtl/>
        </w:rPr>
        <w:t xml:space="preserve">והוסיף </w:t>
      </w:r>
      <w:r w:rsidRPr="00CE0796">
        <w:rPr>
          <w:rStyle w:val="af9"/>
          <w:rFonts w:hint="cs"/>
          <w:rtl/>
        </w:rPr>
        <w:t>הגרעק"א</w:t>
      </w:r>
      <w:r>
        <w:rPr>
          <w:rFonts w:hint="cs"/>
          <w:rtl/>
        </w:rPr>
        <w:t xml:space="preserve"> דאף אם כלפי שמיא גליא שאינה אשת איש, מ"מ צוותה תורה שלא לבא על אשה שהיא מוחזקת לאשת איש, והבא עליה חייב מיתה, וכדין ע"א שהעיד על חלב שלוקין על ידו, כיון שהוחזק שהוא חלב, ועי' במ"ש </w:t>
      </w:r>
      <w:r w:rsidRPr="00FD3B14">
        <w:rPr>
          <w:rStyle w:val="af9"/>
          <w:rtl/>
        </w:rPr>
        <w:t>בשע</w:t>
      </w:r>
      <w:r w:rsidRPr="00FD3B14">
        <w:rPr>
          <w:rStyle w:val="af9"/>
          <w:rFonts w:hint="cs"/>
          <w:rtl/>
        </w:rPr>
        <w:t>ר</w:t>
      </w:r>
      <w:r w:rsidRPr="00FD3B14">
        <w:rPr>
          <w:rStyle w:val="af9"/>
          <w:rtl/>
        </w:rPr>
        <w:t>"י</w:t>
      </w:r>
      <w:r>
        <w:rPr>
          <w:rtl/>
        </w:rPr>
        <w:t xml:space="preserve"> </w:t>
      </w:r>
      <w:r w:rsidRPr="00FD3B14">
        <w:rPr>
          <w:rStyle w:val="af7"/>
          <w:rFonts w:eastAsia="Guttman Hodes" w:hint="cs"/>
          <w:rtl/>
        </w:rPr>
        <w:t>(</w:t>
      </w:r>
      <w:r w:rsidRPr="00FD3B14">
        <w:rPr>
          <w:rStyle w:val="af7"/>
          <w:rFonts w:eastAsia="Guttman Hodes"/>
          <w:rtl/>
        </w:rPr>
        <w:t>ש"ג פ"ב ד"ה ובתשו' הגרע"א)</w:t>
      </w:r>
      <w:r>
        <w:rPr>
          <w:rtl/>
        </w:rPr>
        <w:t xml:space="preserve"> </w:t>
      </w:r>
      <w:r>
        <w:rPr>
          <w:rStyle w:val="af9"/>
          <w:rFonts w:hint="cs"/>
          <w:rtl/>
        </w:rPr>
        <w:t>ו</w:t>
      </w:r>
      <w:r w:rsidRPr="0007255A">
        <w:rPr>
          <w:rStyle w:val="af9"/>
          <w:rFonts w:hint="cs"/>
          <w:rtl/>
        </w:rPr>
        <w:t>בשיעורי הגרש"ר</w:t>
      </w:r>
      <w:r>
        <w:rPr>
          <w:rFonts w:hint="cs"/>
          <w:rtl/>
        </w:rPr>
        <w:t xml:space="preserve"> </w:t>
      </w:r>
      <w:r w:rsidRPr="0007255A">
        <w:rPr>
          <w:rStyle w:val="af7"/>
          <w:rFonts w:eastAsia="Guttman Hodes" w:hint="cs"/>
          <w:rtl/>
        </w:rPr>
        <w:t>(סנהדרין סט. אות ע"ב)</w:t>
      </w:r>
      <w:r>
        <w:rPr>
          <w:rFonts w:hint="cs"/>
          <w:rtl/>
        </w:rPr>
        <w:t xml:space="preserve"> בדברי </w:t>
      </w:r>
      <w:r w:rsidRPr="0007255A">
        <w:rPr>
          <w:rStyle w:val="af9"/>
          <w:rFonts w:hint="cs"/>
          <w:rtl/>
        </w:rPr>
        <w:t>הגרעק"א</w:t>
      </w:r>
      <w:r>
        <w:rPr>
          <w:rFonts w:hint="cs"/>
          <w:rtl/>
        </w:rPr>
        <w:t>.</w:t>
      </w:r>
    </w:p>
    <w:p w14:paraId="4ECCF254" w14:textId="77777777" w:rsidR="00064C97" w:rsidRPr="00BA3142" w:rsidRDefault="00064C97" w:rsidP="006D6D32">
      <w:pPr>
        <w:pStyle w:val="a3"/>
        <w:rPr>
          <w:rtl/>
        </w:rPr>
      </w:pPr>
      <w:bookmarkStart w:id="10148" w:name="_Toc530521931"/>
      <w:bookmarkStart w:id="10149" w:name="_Toc530524987"/>
      <w:bookmarkStart w:id="10150" w:name="_Toc530551129"/>
      <w:bookmarkStart w:id="10151" w:name="_Toc19390336"/>
      <w:bookmarkStart w:id="10152" w:name="_Toc19393833"/>
      <w:bookmarkEnd w:id="10142"/>
      <w:r>
        <w:rPr>
          <w:rFonts w:hint="cs"/>
          <w:rtl/>
        </w:rPr>
        <w:t xml:space="preserve">דברי </w:t>
      </w:r>
      <w:r w:rsidRPr="00BA3142">
        <w:rPr>
          <w:rFonts w:hint="cs"/>
          <w:rtl/>
        </w:rPr>
        <w:t xml:space="preserve">הגרעק"א </w:t>
      </w:r>
      <w:r>
        <w:rPr>
          <w:rFonts w:hint="cs"/>
          <w:rtl/>
        </w:rPr>
        <w:t>דכשדנו עפ"י הרוב יש לו דין ודאי אף לדעת התורא"ש דרוב אינו ודאי</w:t>
      </w:r>
      <w:bookmarkEnd w:id="10148"/>
      <w:bookmarkEnd w:id="10149"/>
      <w:bookmarkEnd w:id="10150"/>
      <w:bookmarkEnd w:id="10151"/>
      <w:bookmarkEnd w:id="10152"/>
    </w:p>
    <w:p w14:paraId="2779612D" w14:textId="77777777" w:rsidR="00064C97" w:rsidRDefault="00064C97" w:rsidP="00223668">
      <w:pPr>
        <w:pStyle w:val="a0"/>
        <w:rPr>
          <w:rtl/>
        </w:rPr>
      </w:pPr>
      <w:bookmarkStart w:id="10153" w:name="_Ref530300982"/>
      <w:bookmarkStart w:id="10154" w:name="_Ref530521163"/>
      <w:r>
        <w:rPr>
          <w:rFonts w:hint="cs"/>
          <w:rtl/>
        </w:rPr>
        <w:t xml:space="preserve">הביא </w:t>
      </w:r>
      <w:r w:rsidRPr="00A7527F">
        <w:rPr>
          <w:rStyle w:val="af9"/>
          <w:rFonts w:hint="cs"/>
          <w:rtl/>
        </w:rPr>
        <w:t>הגרעק"א</w:t>
      </w:r>
      <w:r>
        <w:rPr>
          <w:rFonts w:hint="cs"/>
          <w:rtl/>
        </w:rPr>
        <w:t xml:space="preserve"> </w:t>
      </w:r>
      <w:r w:rsidRPr="00AE30A2">
        <w:rPr>
          <w:rStyle w:val="af7"/>
          <w:rFonts w:eastAsia="Guttman Hodes" w:hint="cs"/>
          <w:rtl/>
        </w:rPr>
        <w:t xml:space="preserve">(שו"ת תנינא ק"ו ד"ה ובזה) </w:t>
      </w:r>
      <w:r>
        <w:rPr>
          <w:rFonts w:hint="cs"/>
          <w:rtl/>
        </w:rPr>
        <w:t xml:space="preserve">את דעת </w:t>
      </w:r>
      <w:r w:rsidRPr="007D358C">
        <w:rPr>
          <w:rStyle w:val="af9"/>
          <w:rFonts w:hint="cs"/>
          <w:rtl/>
        </w:rPr>
        <w:t>התוס' הרא"ש בב"מ</w:t>
      </w:r>
      <w:r>
        <w:rPr>
          <w:rFonts w:hint="cs"/>
          <w:rtl/>
        </w:rPr>
        <w:t xml:space="preserve"> </w:t>
      </w:r>
      <w:r w:rsidRPr="007D358C">
        <w:rPr>
          <w:rStyle w:val="af7"/>
          <w:rFonts w:eastAsia="Guttman Hodes" w:hint="cs"/>
          <w:rtl/>
        </w:rPr>
        <w:t xml:space="preserve">(ו: </w:t>
      </w:r>
      <w:r>
        <w:rPr>
          <w:rStyle w:val="af7"/>
          <w:rFonts w:eastAsia="Guttman Hodes" w:hint="cs"/>
          <w:rtl/>
        </w:rPr>
        <w:t>סו</w:t>
      </w:r>
      <w:r w:rsidRPr="007D358C">
        <w:rPr>
          <w:rStyle w:val="af7"/>
          <w:rFonts w:eastAsia="Guttman Hodes" w:hint="cs"/>
          <w:rtl/>
        </w:rPr>
        <w:t>ד"ה קפץ</w:t>
      </w:r>
      <w:r>
        <w:rPr>
          <w:rStyle w:val="af7"/>
          <w:rFonts w:eastAsia="Guttman Hodes" w:hint="cs"/>
          <w:rtl/>
        </w:rPr>
        <w:t>, הובא בסימן ח' אות מ"ד</w:t>
      </w:r>
      <w:r w:rsidRPr="007D358C">
        <w:rPr>
          <w:rStyle w:val="af7"/>
          <w:rFonts w:eastAsia="Guttman Hodes" w:hint="cs"/>
          <w:rtl/>
        </w:rPr>
        <w:t>)</w:t>
      </w:r>
      <w:r>
        <w:rPr>
          <w:rFonts w:hint="cs"/>
          <w:rtl/>
        </w:rPr>
        <w:t xml:space="preserve"> דברובא דאיתא קמן אין הרוב נקרא ודאי, ולכן בדין "עשירי ודאי ולא עשירי ספק" אף במקום שיש רוב עדיין הוא בכלל ספק עשירי, והקשה </w:t>
      </w:r>
      <w:r w:rsidRPr="00A7527F">
        <w:rPr>
          <w:rStyle w:val="af9"/>
          <w:rFonts w:hint="cs"/>
          <w:rtl/>
        </w:rPr>
        <w:t>הגרעק"א</w:t>
      </w:r>
      <w:r>
        <w:rPr>
          <w:rFonts w:hint="cs"/>
          <w:rtl/>
        </w:rPr>
        <w:t xml:space="preserve"> דא"כ היאך שייך דין "קהל ודאי" דאסור לממזר, הא כל הדין כשרות בקהל הוא מכח רוב בעילות אחר הבעל, דלכן לא חיישינן על כל אחד שאמו זינתה והוא ממזר.</w:t>
      </w:r>
      <w:bookmarkStart w:id="10155" w:name="_Ref529986287"/>
      <w:bookmarkEnd w:id="10153"/>
      <w:r>
        <w:rPr>
          <w:rFonts w:hint="cs"/>
          <w:rtl/>
        </w:rPr>
        <w:t xml:space="preserve"> ותירץ </w:t>
      </w:r>
      <w:r w:rsidRPr="00A7527F">
        <w:rPr>
          <w:rStyle w:val="af9"/>
          <w:rFonts w:hint="cs"/>
          <w:rtl/>
        </w:rPr>
        <w:t>הגרעק"א</w:t>
      </w:r>
      <w:r>
        <w:rPr>
          <w:rFonts w:hint="cs"/>
          <w:rtl/>
        </w:rPr>
        <w:t xml:space="preserve"> דכ"מ דכתב </w:t>
      </w:r>
      <w:r w:rsidRPr="00AE515F">
        <w:rPr>
          <w:rStyle w:val="af9"/>
          <w:rFonts w:hint="cs"/>
          <w:rtl/>
        </w:rPr>
        <w:t xml:space="preserve">התוס' הרא"ש בב"מ </w:t>
      </w:r>
      <w:r>
        <w:rPr>
          <w:rFonts w:hint="cs"/>
          <w:rtl/>
        </w:rPr>
        <w:t xml:space="preserve">דע"י הרוב אין דין ודאי, היינו במקום שזהו הנדון, דבעשירי ודאי דהנדון ברוב הוא לענין מעשר בהמה, לכן אין לו דין "עשירי ודאי", אבל במקום שהנדון הוא בדבר אחר, ודנו אותו עפ"י הרוב, יש לו דין ודאי אף לענין מעשר, ובעיקר קושית </w:t>
      </w:r>
      <w:r w:rsidRPr="00BA3142">
        <w:rPr>
          <w:rStyle w:val="af9"/>
          <w:rFonts w:hint="cs"/>
          <w:rtl/>
        </w:rPr>
        <w:t>הגרעק"א</w:t>
      </w:r>
      <w:r>
        <w:rPr>
          <w:rFonts w:hint="cs"/>
          <w:rtl/>
        </w:rPr>
        <w:t xml:space="preserve"> עי' במה שתירץ </w:t>
      </w:r>
      <w:r w:rsidRPr="003E099B">
        <w:rPr>
          <w:rStyle w:val="af9"/>
          <w:rFonts w:hint="cs"/>
          <w:rtl/>
        </w:rPr>
        <w:t>הקוה"ע</w:t>
      </w:r>
      <w:r w:rsidRPr="003E099B">
        <w:rPr>
          <w:rStyle w:val="af7"/>
          <w:rFonts w:eastAsia="Guttman Hodes" w:hint="cs"/>
          <w:rtl/>
        </w:rPr>
        <w:t xml:space="preserve"> (עי' אות </w:t>
      </w:r>
      <w:r w:rsidRPr="003E099B">
        <w:rPr>
          <w:rStyle w:val="af7"/>
          <w:rFonts w:eastAsia="Guttman Hodes"/>
          <w:rtl/>
        </w:rPr>
        <w:fldChar w:fldCharType="begin"/>
      </w:r>
      <w:r w:rsidRPr="003E099B">
        <w:rPr>
          <w:rStyle w:val="af7"/>
          <w:rFonts w:eastAsia="Guttman Hodes"/>
          <w:rtl/>
        </w:rPr>
        <w:instrText xml:space="preserve"> </w:instrText>
      </w:r>
      <w:r w:rsidRPr="003E099B">
        <w:rPr>
          <w:rStyle w:val="af7"/>
          <w:rFonts w:eastAsia="Guttman Hodes" w:hint="cs"/>
        </w:rPr>
        <w:instrText>REF</w:instrText>
      </w:r>
      <w:r w:rsidRPr="003E099B">
        <w:rPr>
          <w:rStyle w:val="af7"/>
          <w:rFonts w:eastAsia="Guttman Hodes" w:hint="cs"/>
          <w:rtl/>
        </w:rPr>
        <w:instrText xml:space="preserve"> _</w:instrText>
      </w:r>
      <w:r w:rsidRPr="003E099B">
        <w:rPr>
          <w:rStyle w:val="af7"/>
          <w:rFonts w:eastAsia="Guttman Hodes" w:hint="cs"/>
        </w:rPr>
        <w:instrText>Ref530476185 \r \h</w:instrText>
      </w:r>
      <w:r w:rsidRPr="003E099B">
        <w:rPr>
          <w:rStyle w:val="af7"/>
          <w:rFonts w:eastAsia="Guttman Hodes"/>
          <w:rtl/>
        </w:rPr>
        <w:instrText xml:space="preserve"> </w:instrText>
      </w:r>
      <w:r w:rsidRPr="003E099B">
        <w:rPr>
          <w:rStyle w:val="af7"/>
          <w:rFonts w:eastAsia="Guttman Hodes"/>
          <w:rtl/>
        </w:rPr>
      </w:r>
      <w:r w:rsidRPr="003E099B">
        <w:rPr>
          <w:rStyle w:val="af7"/>
          <w:rFonts w:eastAsia="Guttman Hodes"/>
          <w:rtl/>
        </w:rPr>
        <w:fldChar w:fldCharType="separate"/>
      </w:r>
      <w:r w:rsidR="00345400">
        <w:rPr>
          <w:rStyle w:val="af7"/>
          <w:rFonts w:eastAsia="Guttman Hodes"/>
          <w:cs/>
        </w:rPr>
        <w:t>‎</w:t>
      </w:r>
      <w:r w:rsidR="00345400">
        <w:rPr>
          <w:rStyle w:val="af7"/>
          <w:rFonts w:eastAsia="Guttman Hodes"/>
          <w:rtl/>
        </w:rPr>
        <w:t>קט)</w:t>
      </w:r>
      <w:r w:rsidRPr="003E099B">
        <w:rPr>
          <w:rStyle w:val="af7"/>
          <w:rFonts w:eastAsia="Guttman Hodes"/>
          <w:rtl/>
        </w:rPr>
        <w:fldChar w:fldCharType="end"/>
      </w:r>
      <w:r>
        <w:rPr>
          <w:rFonts w:hint="cs"/>
          <w:rtl/>
        </w:rPr>
        <w:t>.</w:t>
      </w:r>
      <w:bookmarkEnd w:id="10154"/>
      <w:bookmarkEnd w:id="10155"/>
    </w:p>
    <w:p w14:paraId="7691BAF5" w14:textId="77777777" w:rsidR="00064C97" w:rsidRDefault="00064C97" w:rsidP="006D6D32">
      <w:pPr>
        <w:pStyle w:val="a3"/>
        <w:rPr>
          <w:rtl/>
        </w:rPr>
      </w:pPr>
      <w:bookmarkStart w:id="10156" w:name="_Toc530521932"/>
      <w:bookmarkStart w:id="10157" w:name="_Toc530524988"/>
      <w:bookmarkStart w:id="10158" w:name="_Toc530551130"/>
      <w:bookmarkStart w:id="10159" w:name="_Toc19390337"/>
      <w:bookmarkStart w:id="10160" w:name="_Toc19393834"/>
      <w:r>
        <w:rPr>
          <w:rFonts w:hint="cs"/>
          <w:rtl/>
        </w:rPr>
        <w:t>הוכחת הגרעק"א מהא דבמעשר בהמה לא חיישינן לטריפה כיון שהותרה לאכילה עפ"י הרוב</w:t>
      </w:r>
      <w:bookmarkEnd w:id="10156"/>
      <w:bookmarkEnd w:id="10157"/>
      <w:bookmarkEnd w:id="10158"/>
      <w:bookmarkEnd w:id="10159"/>
      <w:bookmarkEnd w:id="10160"/>
    </w:p>
    <w:p w14:paraId="4FBE515F" w14:textId="77777777" w:rsidR="00064C97" w:rsidRDefault="00064C97" w:rsidP="00223668">
      <w:pPr>
        <w:pStyle w:val="a0"/>
        <w:rPr>
          <w:rtl/>
        </w:rPr>
      </w:pPr>
      <w:r>
        <w:rPr>
          <w:rFonts w:hint="cs"/>
          <w:rtl/>
        </w:rPr>
        <w:t xml:space="preserve">וכתב </w:t>
      </w:r>
      <w:r w:rsidRPr="00377A31">
        <w:rPr>
          <w:rStyle w:val="af9"/>
          <w:rFonts w:hint="cs"/>
          <w:rtl/>
        </w:rPr>
        <w:t>הגרעק"א</w:t>
      </w:r>
      <w:r>
        <w:rPr>
          <w:rFonts w:hint="cs"/>
          <w:rtl/>
        </w:rPr>
        <w:t xml:space="preserve"> דכן מוכח מהא דטריפה פטורה ממעשר בהמה, וא"כ לא שייך לעולם שיהיה "עשירי ודאי" דנחשוש שמא היא טריפה, ולדברי </w:t>
      </w:r>
      <w:r w:rsidRPr="00377A31">
        <w:rPr>
          <w:rStyle w:val="af9"/>
          <w:rFonts w:hint="cs"/>
          <w:rtl/>
        </w:rPr>
        <w:t>התוס' הרא"ש</w:t>
      </w:r>
      <w:r>
        <w:rPr>
          <w:rFonts w:hint="cs"/>
          <w:rtl/>
        </w:rPr>
        <w:t xml:space="preserve"> הרי לא מהני רוב בהמות אינם טריפות לדין "עשירי ודאי", אלא מוכח דכיון דלענין כל דבר דנים שבהמה זו אינה טריפה מכח הרוב, ממילא אמרינן דודאי שאינה טריפה, ומהני אף לדין "עשירי ודאי".</w:t>
      </w:r>
    </w:p>
    <w:p w14:paraId="534499D4" w14:textId="77777777" w:rsidR="00064C97" w:rsidRDefault="00064C97" w:rsidP="006D6D32">
      <w:pPr>
        <w:pStyle w:val="a3"/>
        <w:rPr>
          <w:rtl/>
        </w:rPr>
      </w:pPr>
      <w:bookmarkStart w:id="10161" w:name="_Toc530521933"/>
      <w:bookmarkStart w:id="10162" w:name="_Toc530524989"/>
      <w:bookmarkStart w:id="10163" w:name="_Toc530551131"/>
      <w:bookmarkStart w:id="10164" w:name="_Toc19390338"/>
      <w:bookmarkStart w:id="10165" w:name="_Toc19393835"/>
      <w:r>
        <w:rPr>
          <w:rFonts w:hint="cs"/>
          <w:rtl/>
        </w:rPr>
        <w:t>ביאור הגרעק"א דכ"א שנולד דנים שהוא בנו של אביו ולכן מהני הרוב לדין "קהל ודאי"</w:t>
      </w:r>
      <w:bookmarkEnd w:id="10161"/>
      <w:bookmarkEnd w:id="10162"/>
      <w:bookmarkEnd w:id="10163"/>
      <w:bookmarkEnd w:id="10164"/>
      <w:bookmarkEnd w:id="10165"/>
    </w:p>
    <w:p w14:paraId="09CE3E93" w14:textId="77777777" w:rsidR="00064C97" w:rsidRDefault="00064C97" w:rsidP="00223668">
      <w:pPr>
        <w:pStyle w:val="a0"/>
        <w:rPr>
          <w:rtl/>
        </w:rPr>
      </w:pPr>
      <w:r>
        <w:rPr>
          <w:rFonts w:hint="cs"/>
          <w:rtl/>
        </w:rPr>
        <w:t xml:space="preserve">ובזה ביאר </w:t>
      </w:r>
      <w:r w:rsidRPr="00AE515F">
        <w:rPr>
          <w:rStyle w:val="af9"/>
          <w:rFonts w:hint="cs"/>
          <w:rtl/>
        </w:rPr>
        <w:t>הגרעק"א</w:t>
      </w:r>
      <w:r>
        <w:rPr>
          <w:rFonts w:hint="cs"/>
          <w:rtl/>
        </w:rPr>
        <w:t xml:space="preserve"> את דין "קהל ודאי" דכיון דכל אחד שנולד דנים עליו שהוא בנו של בעל אמו, לענין כמה דברים, וע"י הרוב אנו מחזיקים שהוא בנו, לכן ממילא יש לו דין ודאי, ונקרא "קהל ודאי", והביא </w:t>
      </w:r>
      <w:r w:rsidRPr="00A7527F">
        <w:rPr>
          <w:rStyle w:val="af9"/>
          <w:rFonts w:hint="cs"/>
          <w:rtl/>
        </w:rPr>
        <w:t>הגרעק"א</w:t>
      </w:r>
      <w:r>
        <w:rPr>
          <w:rFonts w:hint="cs"/>
          <w:rtl/>
        </w:rPr>
        <w:t xml:space="preserve"> את דברי </w:t>
      </w:r>
      <w:r w:rsidRPr="00A7527F">
        <w:rPr>
          <w:rStyle w:val="af9"/>
          <w:rFonts w:hint="cs"/>
          <w:rtl/>
        </w:rPr>
        <w:t>הפנ"י בקידושין</w:t>
      </w:r>
      <w:r>
        <w:rPr>
          <w:rFonts w:hint="cs"/>
          <w:rtl/>
        </w:rPr>
        <w:t xml:space="preserve"> </w:t>
      </w:r>
      <w:r w:rsidRPr="00AE515F">
        <w:rPr>
          <w:rStyle w:val="af7"/>
          <w:rFonts w:eastAsia="Guttman Hodes" w:hint="cs"/>
          <w:rtl/>
        </w:rPr>
        <w:t xml:space="preserve">(עג. ד"ה ולולי) </w:t>
      </w:r>
      <w:r>
        <w:rPr>
          <w:rFonts w:hint="cs"/>
          <w:rtl/>
        </w:rPr>
        <w:t xml:space="preserve">דכתב בהא דשתוקי כשר מדאו', כיון שיש רוב כשרים, דאינו בכלל "קהל ודאי", וכתב </w:t>
      </w:r>
      <w:r w:rsidRPr="00A7527F">
        <w:rPr>
          <w:rStyle w:val="af9"/>
          <w:rFonts w:hint="cs"/>
          <w:rtl/>
        </w:rPr>
        <w:t>הגרעק"א</w:t>
      </w:r>
      <w:r>
        <w:rPr>
          <w:rFonts w:hint="cs"/>
          <w:rtl/>
        </w:rPr>
        <w:t xml:space="preserve"> דכיון דלענין השתוקי מיד כשנולד הנדון הוא האם הוא מרוב כשרים או מרוב פסולים, והנ"מ מנדון זה היא האם מותר לו לבא בקהל, לכן א"א לומר שיש לו דין "קהל ודאי" מכח הרוב</w:t>
      </w:r>
      <w:r>
        <w:rPr>
          <w:rStyle w:val="af1"/>
          <w:rtl/>
        </w:rPr>
        <w:footnoteReference w:id="77"/>
      </w:r>
      <w:r>
        <w:rPr>
          <w:rFonts w:hint="cs"/>
          <w:rtl/>
        </w:rPr>
        <w:t xml:space="preserve">, ועי' במ"ש </w:t>
      </w:r>
      <w:r w:rsidRPr="00E27410">
        <w:rPr>
          <w:rStyle w:val="af9"/>
          <w:rFonts w:hint="cs"/>
          <w:rtl/>
        </w:rPr>
        <w:t>הקוה"ע</w:t>
      </w:r>
      <w:r>
        <w:rPr>
          <w:rFonts w:hint="cs"/>
          <w:rtl/>
        </w:rPr>
        <w:t xml:space="preserve"> </w:t>
      </w:r>
      <w:r w:rsidRPr="00E27410">
        <w:rPr>
          <w:rStyle w:val="af7"/>
          <w:rFonts w:eastAsia="Guttman Hodes" w:hint="cs"/>
          <w:rtl/>
        </w:rPr>
        <w:t xml:space="preserve">(עי' אות </w:t>
      </w:r>
      <w:r w:rsidRPr="00E27410">
        <w:rPr>
          <w:rStyle w:val="af7"/>
          <w:rFonts w:eastAsia="Guttman Hodes"/>
          <w:rtl/>
        </w:rPr>
        <w:fldChar w:fldCharType="begin"/>
      </w:r>
      <w:r w:rsidRPr="00E27410">
        <w:rPr>
          <w:rStyle w:val="af7"/>
          <w:rFonts w:eastAsia="Guttman Hodes"/>
          <w:rtl/>
        </w:rPr>
        <w:instrText xml:space="preserve"> </w:instrText>
      </w:r>
      <w:r w:rsidRPr="00E27410">
        <w:rPr>
          <w:rStyle w:val="af7"/>
          <w:rFonts w:eastAsia="Guttman Hodes" w:hint="cs"/>
        </w:rPr>
        <w:instrText>REF</w:instrText>
      </w:r>
      <w:r w:rsidRPr="00E27410">
        <w:rPr>
          <w:rStyle w:val="af7"/>
          <w:rFonts w:eastAsia="Guttman Hodes" w:hint="cs"/>
          <w:rtl/>
        </w:rPr>
        <w:instrText xml:space="preserve"> _</w:instrText>
      </w:r>
      <w:r w:rsidRPr="00E27410">
        <w:rPr>
          <w:rStyle w:val="af7"/>
          <w:rFonts w:eastAsia="Guttman Hodes" w:hint="cs"/>
        </w:rPr>
        <w:instrText>Ref529986381 \r \h</w:instrText>
      </w:r>
      <w:r w:rsidRPr="00E27410">
        <w:rPr>
          <w:rStyle w:val="af7"/>
          <w:rFonts w:eastAsia="Guttman Hodes"/>
          <w:rtl/>
        </w:rPr>
        <w:instrText xml:space="preserve"> </w:instrText>
      </w:r>
      <w:r w:rsidRPr="00E27410">
        <w:rPr>
          <w:rStyle w:val="af7"/>
          <w:rFonts w:eastAsia="Guttman Hodes"/>
          <w:rtl/>
        </w:rPr>
      </w:r>
      <w:r w:rsidRPr="00E27410">
        <w:rPr>
          <w:rStyle w:val="af7"/>
          <w:rFonts w:eastAsia="Guttman Hodes"/>
          <w:rtl/>
        </w:rPr>
        <w:fldChar w:fldCharType="separate"/>
      </w:r>
      <w:r w:rsidR="00345400">
        <w:rPr>
          <w:rStyle w:val="af7"/>
          <w:rFonts w:eastAsia="Guttman Hodes"/>
          <w:cs/>
        </w:rPr>
        <w:t>‎</w:t>
      </w:r>
      <w:r w:rsidR="00345400">
        <w:rPr>
          <w:rStyle w:val="af7"/>
          <w:rFonts w:eastAsia="Guttman Hodes"/>
          <w:rtl/>
        </w:rPr>
        <w:t>קז)</w:t>
      </w:r>
      <w:r w:rsidRPr="00E27410">
        <w:rPr>
          <w:rStyle w:val="af7"/>
          <w:rFonts w:eastAsia="Guttman Hodes"/>
          <w:rtl/>
        </w:rPr>
        <w:fldChar w:fldCharType="end"/>
      </w:r>
      <w:r>
        <w:rPr>
          <w:rFonts w:hint="cs"/>
          <w:rtl/>
        </w:rPr>
        <w:t xml:space="preserve"> בזה.</w:t>
      </w:r>
    </w:p>
    <w:p w14:paraId="484337BD" w14:textId="77777777" w:rsidR="00064C97" w:rsidRPr="008247FF" w:rsidRDefault="00064C97" w:rsidP="006D6D32">
      <w:pPr>
        <w:pStyle w:val="a3"/>
        <w:rPr>
          <w:rtl/>
        </w:rPr>
      </w:pPr>
      <w:bookmarkStart w:id="10166" w:name="_Toc530395863"/>
      <w:bookmarkStart w:id="10167" w:name="_Toc530411076"/>
      <w:bookmarkStart w:id="10168" w:name="_Toc530476216"/>
      <w:bookmarkStart w:id="10169" w:name="_Toc530477164"/>
      <w:bookmarkStart w:id="10170" w:name="_Toc530503006"/>
      <w:bookmarkStart w:id="10171" w:name="_Toc530504497"/>
      <w:bookmarkStart w:id="10172" w:name="_Toc530514393"/>
      <w:bookmarkStart w:id="10173" w:name="_Toc530514496"/>
      <w:bookmarkStart w:id="10174" w:name="_Toc530521934"/>
      <w:bookmarkStart w:id="10175" w:name="_Toc530524990"/>
      <w:bookmarkStart w:id="10176" w:name="_Toc530551132"/>
      <w:bookmarkStart w:id="10177" w:name="_Toc19390339"/>
      <w:bookmarkStart w:id="10178" w:name="_Toc19393836"/>
      <w:r w:rsidRPr="008247FF">
        <w:rPr>
          <w:rFonts w:hint="cs"/>
          <w:rtl/>
        </w:rPr>
        <w:t>ביאור הש"ש בתוס' הרא"ש ד</w:t>
      </w:r>
      <w:r>
        <w:rPr>
          <w:rFonts w:hint="cs"/>
          <w:rtl/>
        </w:rPr>
        <w:t>ב</w:t>
      </w:r>
      <w:r w:rsidRPr="008247FF">
        <w:rPr>
          <w:rFonts w:hint="cs"/>
          <w:rtl/>
        </w:rPr>
        <w:t xml:space="preserve">רובא </w:t>
      </w:r>
      <w:r>
        <w:rPr>
          <w:rFonts w:hint="cs"/>
          <w:rtl/>
        </w:rPr>
        <w:t>יש</w:t>
      </w:r>
      <w:r w:rsidRPr="008247FF">
        <w:rPr>
          <w:rFonts w:hint="cs"/>
          <w:rtl/>
        </w:rPr>
        <w:t xml:space="preserve"> דין ודאי</w:t>
      </w:r>
      <w:bookmarkEnd w:id="10166"/>
      <w:bookmarkEnd w:id="10167"/>
      <w:bookmarkEnd w:id="10168"/>
      <w:bookmarkEnd w:id="10169"/>
      <w:bookmarkEnd w:id="10170"/>
      <w:bookmarkEnd w:id="10171"/>
      <w:bookmarkEnd w:id="10172"/>
      <w:bookmarkEnd w:id="10173"/>
      <w:r>
        <w:rPr>
          <w:rFonts w:hint="cs"/>
          <w:rtl/>
        </w:rPr>
        <w:t xml:space="preserve"> ולכן מהני לדין עשירי ודאי וממזר ודאי</w:t>
      </w:r>
      <w:bookmarkEnd w:id="10174"/>
      <w:bookmarkEnd w:id="10175"/>
      <w:bookmarkEnd w:id="10176"/>
      <w:bookmarkEnd w:id="10177"/>
      <w:bookmarkEnd w:id="10178"/>
    </w:p>
    <w:p w14:paraId="55BE1930" w14:textId="77777777" w:rsidR="00064C97" w:rsidRPr="008247FF" w:rsidRDefault="00064C97" w:rsidP="00223668">
      <w:pPr>
        <w:pStyle w:val="a0"/>
        <w:rPr>
          <w:rtl/>
        </w:rPr>
      </w:pPr>
      <w:bookmarkStart w:id="10179" w:name="_Ref530304408"/>
      <w:r w:rsidRPr="008247FF">
        <w:rPr>
          <w:rFonts w:hint="cs"/>
          <w:rtl/>
        </w:rPr>
        <w:t xml:space="preserve">אבל </w:t>
      </w:r>
      <w:r w:rsidRPr="008247FF">
        <w:rPr>
          <w:rStyle w:val="af9"/>
          <w:rFonts w:hint="cs"/>
          <w:rtl/>
        </w:rPr>
        <w:t>הש"ש</w:t>
      </w:r>
      <w:r w:rsidRPr="008247FF">
        <w:rPr>
          <w:rStyle w:val="af7"/>
          <w:rFonts w:eastAsia="Guttman Hodes" w:hint="cs"/>
          <w:rtl/>
        </w:rPr>
        <w:t xml:space="preserve"> (ש"ב פט"ו ד"ה ולכן, הובאו דבריו באריכות בסימן ח' אות מ"ז)</w:t>
      </w:r>
      <w:r w:rsidRPr="008247FF">
        <w:rPr>
          <w:rFonts w:hint="cs"/>
          <w:rtl/>
        </w:rPr>
        <w:t xml:space="preserve"> ביאר את דברי </w:t>
      </w:r>
      <w:r w:rsidRPr="008247FF">
        <w:rPr>
          <w:rStyle w:val="af9"/>
          <w:rFonts w:hint="cs"/>
          <w:rtl/>
        </w:rPr>
        <w:t>התוס' הרא"ש</w:t>
      </w:r>
      <w:r w:rsidRPr="008247FF">
        <w:rPr>
          <w:rFonts w:hint="cs"/>
          <w:rtl/>
        </w:rPr>
        <w:t xml:space="preserve"> </w:t>
      </w:r>
      <w:r w:rsidRPr="008247FF">
        <w:rPr>
          <w:rStyle w:val="af7"/>
          <w:rFonts w:eastAsia="Guttman Hodes" w:hint="cs"/>
          <w:rtl/>
        </w:rPr>
        <w:t xml:space="preserve">(עי' אות </w:t>
      </w:r>
      <w:r w:rsidRPr="008247FF">
        <w:rPr>
          <w:rStyle w:val="af7"/>
          <w:rFonts w:eastAsia="Guttman Hodes"/>
          <w:rtl/>
        </w:rPr>
        <w:fldChar w:fldCharType="begin"/>
      </w:r>
      <w:r w:rsidRPr="008247FF">
        <w:rPr>
          <w:rStyle w:val="af7"/>
          <w:rFonts w:eastAsia="Guttman Hodes"/>
          <w:rtl/>
        </w:rPr>
        <w:instrText xml:space="preserve"> </w:instrText>
      </w:r>
      <w:r w:rsidRPr="008247FF">
        <w:rPr>
          <w:rStyle w:val="af7"/>
          <w:rFonts w:eastAsia="Guttman Hodes" w:hint="cs"/>
        </w:rPr>
        <w:instrText>REF</w:instrText>
      </w:r>
      <w:r w:rsidRPr="008247FF">
        <w:rPr>
          <w:rStyle w:val="af7"/>
          <w:rFonts w:eastAsia="Guttman Hodes" w:hint="cs"/>
          <w:rtl/>
        </w:rPr>
        <w:instrText xml:space="preserve"> _</w:instrText>
      </w:r>
      <w:r w:rsidRPr="008247FF">
        <w:rPr>
          <w:rStyle w:val="af7"/>
          <w:rFonts w:eastAsia="Guttman Hodes" w:hint="cs"/>
        </w:rPr>
        <w:instrText>Ref530300982 \r \h</w:instrText>
      </w:r>
      <w:r w:rsidRPr="008247FF">
        <w:rPr>
          <w:rStyle w:val="af7"/>
          <w:rFonts w:eastAsia="Guttman Hodes"/>
          <w:rtl/>
        </w:rPr>
        <w:instrText xml:space="preserve">  \* </w:instrText>
      </w:r>
      <w:r w:rsidRPr="008247FF">
        <w:rPr>
          <w:rStyle w:val="af7"/>
          <w:rFonts w:eastAsia="Guttman Hodes"/>
        </w:rPr>
        <w:instrText>MERGEFORMAT</w:instrText>
      </w:r>
      <w:r w:rsidRPr="008247FF">
        <w:rPr>
          <w:rStyle w:val="af7"/>
          <w:rFonts w:eastAsia="Guttman Hodes"/>
          <w:rtl/>
        </w:rPr>
        <w:instrText xml:space="preserve"> </w:instrText>
      </w:r>
      <w:r w:rsidRPr="008247FF">
        <w:rPr>
          <w:rStyle w:val="af7"/>
          <w:rFonts w:eastAsia="Guttman Hodes"/>
          <w:rtl/>
        </w:rPr>
      </w:r>
      <w:r w:rsidRPr="008247FF">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8247FF">
        <w:rPr>
          <w:rStyle w:val="af7"/>
          <w:rFonts w:eastAsia="Guttman Hodes"/>
          <w:rtl/>
        </w:rPr>
        <w:fldChar w:fldCharType="end"/>
      </w:r>
      <w:r w:rsidRPr="008247FF">
        <w:rPr>
          <w:rFonts w:hint="cs"/>
          <w:rtl/>
        </w:rPr>
        <w:t xml:space="preserve"> דברובא דאיתא קמן אין הרוב מברר את הדין בודאי, דמסברא יכול להיות שפרש מהרוב כמו שפרש מהמיעוט, והוא גזירת הכתוב דאזלינן בתר רובא, ולכן לענין דין "עשירי ודאי ולא עשירי ספק", חשיב שהתירתו תורה מדין רוב, אך עדיין הוא נשאר בספק</w:t>
      </w:r>
      <w:r>
        <w:rPr>
          <w:rFonts w:hint="cs"/>
          <w:rtl/>
        </w:rPr>
        <w:t>,</w:t>
      </w:r>
      <w:r w:rsidRPr="008247FF">
        <w:rPr>
          <w:rFonts w:hint="cs"/>
          <w:rtl/>
        </w:rPr>
        <w:t xml:space="preserve"> אבל ברובא דליתא קמן כתב </w:t>
      </w:r>
      <w:r w:rsidRPr="008247FF">
        <w:rPr>
          <w:rStyle w:val="af9"/>
          <w:rFonts w:hint="cs"/>
          <w:rtl/>
        </w:rPr>
        <w:t>הש"ש</w:t>
      </w:r>
      <w:r w:rsidRPr="008247FF">
        <w:rPr>
          <w:rFonts w:hint="cs"/>
          <w:rtl/>
        </w:rPr>
        <w:t xml:space="preserve"> </w:t>
      </w:r>
      <w:r w:rsidRPr="008247FF">
        <w:rPr>
          <w:rStyle w:val="af7"/>
          <w:rFonts w:eastAsia="Guttman Hodes" w:hint="cs"/>
          <w:rtl/>
        </w:rPr>
        <w:t>(ש"ב פט"ו ד"ה והא)</w:t>
      </w:r>
      <w:r w:rsidRPr="008247FF">
        <w:rPr>
          <w:rFonts w:hint="cs"/>
          <w:rtl/>
        </w:rPr>
        <w:t xml:space="preserve"> דחשיב דין ודאי, ולכן בדין "ממזר ודאי ולא ממזר ספק" שהוא רובא דליתא קמן, חשיב שנפשט הספק לגמרי.</w:t>
      </w:r>
      <w:bookmarkEnd w:id="10179"/>
      <w:r w:rsidRPr="008247FF">
        <w:rPr>
          <w:rFonts w:hint="cs"/>
          <w:rtl/>
        </w:rPr>
        <w:t xml:space="preserve"> </w:t>
      </w:r>
    </w:p>
    <w:p w14:paraId="78D923DF" w14:textId="77777777" w:rsidR="00064C97" w:rsidRDefault="00064C97" w:rsidP="00BF39B2">
      <w:pPr>
        <w:pStyle w:val="1"/>
        <w:rPr>
          <w:rtl/>
        </w:rPr>
      </w:pPr>
      <w:bookmarkStart w:id="10180" w:name="_Toc530476218"/>
      <w:bookmarkStart w:id="10181" w:name="_Toc530477166"/>
      <w:bookmarkStart w:id="10182" w:name="_Toc530503008"/>
      <w:bookmarkStart w:id="10183" w:name="_Toc530504499"/>
      <w:bookmarkStart w:id="10184" w:name="_Toc530514395"/>
      <w:bookmarkStart w:id="10185" w:name="_Toc530514498"/>
      <w:bookmarkStart w:id="10186" w:name="_Toc530521935"/>
      <w:bookmarkStart w:id="10187" w:name="_Toc530524991"/>
      <w:bookmarkStart w:id="10188" w:name="_Toc530551133"/>
      <w:bookmarkStart w:id="10189" w:name="_Toc19390340"/>
      <w:bookmarkStart w:id="10190" w:name="_Toc19393837"/>
      <w:r>
        <w:rPr>
          <w:rFonts w:hint="cs"/>
          <w:rtl/>
        </w:rPr>
        <w:t>דברי הנתיה"מ בתשו'</w:t>
      </w:r>
      <w:bookmarkEnd w:id="10180"/>
      <w:bookmarkEnd w:id="10181"/>
      <w:bookmarkEnd w:id="10182"/>
      <w:bookmarkEnd w:id="10183"/>
      <w:bookmarkEnd w:id="10184"/>
      <w:bookmarkEnd w:id="10185"/>
      <w:bookmarkEnd w:id="10186"/>
      <w:bookmarkEnd w:id="10187"/>
      <w:r>
        <w:rPr>
          <w:rFonts w:hint="cs"/>
          <w:rtl/>
        </w:rPr>
        <w:t xml:space="preserve"> דרוב שהוחזק הוא כודאי גמור</w:t>
      </w:r>
      <w:bookmarkEnd w:id="10188"/>
      <w:bookmarkEnd w:id="10189"/>
      <w:bookmarkEnd w:id="10190"/>
    </w:p>
    <w:p w14:paraId="3D420F42" w14:textId="77777777" w:rsidR="00064C97" w:rsidRDefault="00064C97" w:rsidP="006D6D32">
      <w:pPr>
        <w:pStyle w:val="a3"/>
        <w:rPr>
          <w:rtl/>
        </w:rPr>
      </w:pPr>
      <w:bookmarkStart w:id="10191" w:name="_Toc530551134"/>
      <w:bookmarkStart w:id="10192" w:name="_Toc19390341"/>
      <w:bookmarkStart w:id="10193" w:name="_Toc19393838"/>
      <w:r>
        <w:rPr>
          <w:rFonts w:hint="cs"/>
          <w:rtl/>
        </w:rPr>
        <w:t>הוכחת הנתיה"מ דרוב שהוחזק מהני לממון מהא דאין בן ודאי דוחה בירושה בן ע"י רוב</w:t>
      </w:r>
      <w:bookmarkEnd w:id="10191"/>
      <w:bookmarkEnd w:id="10192"/>
      <w:bookmarkEnd w:id="10193"/>
      <w:r>
        <w:rPr>
          <w:rFonts w:hint="cs"/>
          <w:rtl/>
        </w:rPr>
        <w:t xml:space="preserve"> </w:t>
      </w:r>
    </w:p>
    <w:p w14:paraId="2A502A86" w14:textId="77777777" w:rsidR="00064C97" w:rsidRPr="00C87C61" w:rsidRDefault="00064C97" w:rsidP="00223668">
      <w:pPr>
        <w:pStyle w:val="a0"/>
        <w:rPr>
          <w:rtl/>
        </w:rPr>
      </w:pPr>
      <w:bookmarkStart w:id="10194" w:name="_Ref530474427"/>
      <w:r w:rsidRPr="00C87C61">
        <w:rPr>
          <w:rStyle w:val="af9"/>
          <w:rFonts w:hint="cs"/>
          <w:rtl/>
        </w:rPr>
        <w:t>והנתיה"מ בתשו'</w:t>
      </w:r>
      <w:r w:rsidRPr="00C87C61">
        <w:rPr>
          <w:rFonts w:hint="cs"/>
          <w:rtl/>
        </w:rPr>
        <w:t xml:space="preserve"> </w:t>
      </w:r>
      <w:r w:rsidRPr="002D5556">
        <w:rPr>
          <w:rStyle w:val="af7"/>
          <w:rFonts w:eastAsia="Guttman Hodes" w:hint="cs"/>
          <w:rtl/>
        </w:rPr>
        <w:t xml:space="preserve">(שו"ת חמדת שלמה </w:t>
      </w:r>
      <w:r w:rsidRPr="002D5556">
        <w:rPr>
          <w:rStyle w:val="af7"/>
          <w:rFonts w:eastAsia="Guttman Hodes"/>
          <w:rtl/>
        </w:rPr>
        <w:t>א</w:t>
      </w:r>
      <w:r w:rsidRPr="002D5556">
        <w:rPr>
          <w:rStyle w:val="af7"/>
          <w:rFonts w:eastAsia="Guttman Hodes" w:hint="cs"/>
          <w:rtl/>
        </w:rPr>
        <w:t>ב</w:t>
      </w:r>
      <w:r w:rsidRPr="002D5556">
        <w:rPr>
          <w:rStyle w:val="af7"/>
          <w:rFonts w:eastAsia="Guttman Hodes"/>
          <w:rtl/>
        </w:rPr>
        <w:t>הע"</w:t>
      </w:r>
      <w:r w:rsidRPr="002D5556">
        <w:rPr>
          <w:rStyle w:val="af7"/>
          <w:rFonts w:eastAsia="Guttman Hodes" w:hint="cs"/>
          <w:rtl/>
        </w:rPr>
        <w:t>ז</w:t>
      </w:r>
      <w:r w:rsidRPr="002D5556">
        <w:rPr>
          <w:rStyle w:val="af7"/>
          <w:rFonts w:eastAsia="Guttman Hodes"/>
          <w:rtl/>
        </w:rPr>
        <w:t xml:space="preserve"> סי</w:t>
      </w:r>
      <w:r w:rsidRPr="002D5556">
        <w:rPr>
          <w:rStyle w:val="af7"/>
          <w:rFonts w:eastAsia="Guttman Hodes" w:hint="cs"/>
          <w:rtl/>
        </w:rPr>
        <w:t>'</w:t>
      </w:r>
      <w:r w:rsidRPr="002D5556">
        <w:rPr>
          <w:rStyle w:val="af7"/>
          <w:rFonts w:eastAsia="Guttman Hodes"/>
          <w:rtl/>
        </w:rPr>
        <w:t xml:space="preserve"> כ</w:t>
      </w:r>
      <w:r w:rsidRPr="002D5556">
        <w:rPr>
          <w:rStyle w:val="af7"/>
          <w:rFonts w:eastAsia="Guttman Hodes" w:hint="cs"/>
          <w:rtl/>
        </w:rPr>
        <w:t>"</w:t>
      </w:r>
      <w:r w:rsidRPr="002D5556">
        <w:rPr>
          <w:rStyle w:val="af7"/>
          <w:rFonts w:eastAsia="Guttman Hodes"/>
          <w:rtl/>
        </w:rPr>
        <w:t>ד ה</w:t>
      </w:r>
      <w:r w:rsidRPr="002D5556">
        <w:rPr>
          <w:rStyle w:val="af7"/>
          <w:rFonts w:eastAsia="Guttman Hodes" w:hint="cs"/>
          <w:rtl/>
        </w:rPr>
        <w:t>', שו"ת רבינו יעקב מליסא אבהע"ז ל"ז ד"ה וגם)</w:t>
      </w:r>
      <w:r w:rsidRPr="00C87C61">
        <w:rPr>
          <w:rFonts w:hint="cs"/>
          <w:rtl/>
        </w:rPr>
        <w:t xml:space="preserve"> ביאר דהא דלא אזלינן בממון בתר רובא, היינו דוקא במקום שבשעה </w:t>
      </w:r>
      <w:r>
        <w:rPr>
          <w:rFonts w:hint="cs"/>
          <w:rtl/>
        </w:rPr>
        <w:t>ש</w:t>
      </w:r>
      <w:r w:rsidRPr="00C87C61">
        <w:rPr>
          <w:rFonts w:hint="cs"/>
          <w:rtl/>
        </w:rPr>
        <w:t>הספק נולד</w:t>
      </w:r>
      <w:r>
        <w:rPr>
          <w:rFonts w:hint="cs"/>
          <w:rtl/>
        </w:rPr>
        <w:t xml:space="preserve"> רק לענין ממון, ובזה</w:t>
      </w:r>
      <w:r w:rsidRPr="00C87C61">
        <w:rPr>
          <w:rFonts w:hint="cs"/>
          <w:rtl/>
        </w:rPr>
        <w:t xml:space="preserve"> דנים לומר שיש רוב, דלא מהני הרוב נגד מוחזק, </w:t>
      </w:r>
      <w:r w:rsidRPr="00C87C61">
        <w:rPr>
          <w:rStyle w:val="afb"/>
          <w:rFonts w:hint="cs"/>
          <w:rtl/>
        </w:rPr>
        <w:t xml:space="preserve">[כגון רובא לרדיא דהנדון ברוב הוא לענין ממון, וכן בספק אי נשאת בתולה, דהנדון ברוב הוא לענין הכתובה], </w:t>
      </w:r>
      <w:r w:rsidRPr="00C87C61">
        <w:rPr>
          <w:rFonts w:hint="cs"/>
          <w:rtl/>
        </w:rPr>
        <w:t>אבל במקום שהספק נולד לענין שאר דברים, והוחזק הדין ע"י הרוב, דנשאר הדין שנפסק ע"י הרוב אף כשנולד ספק לענין ממון.</w:t>
      </w:r>
      <w:bookmarkEnd w:id="10194"/>
      <w:r>
        <w:rPr>
          <w:rFonts w:hint="cs"/>
          <w:rtl/>
        </w:rPr>
        <w:t xml:space="preserve"> </w:t>
      </w:r>
      <w:r w:rsidRPr="00C87C61">
        <w:rPr>
          <w:rFonts w:hint="cs"/>
          <w:rtl/>
        </w:rPr>
        <w:t xml:space="preserve">וכתב </w:t>
      </w:r>
      <w:r w:rsidRPr="00C87C61">
        <w:rPr>
          <w:rStyle w:val="af9"/>
          <w:rFonts w:hint="cs"/>
          <w:rtl/>
        </w:rPr>
        <w:t>הנתיה"מ בתשו'</w:t>
      </w:r>
      <w:r w:rsidRPr="00C87C61">
        <w:rPr>
          <w:rFonts w:hint="cs"/>
          <w:rtl/>
        </w:rPr>
        <w:t xml:space="preserve"> דכן מוכח מהא דאי נימא דבן שנולד כשהיו אביו ואמו חבושים בבית האסורים שהוא ודאי בנו, ואילו שאר האחין הם בניו מדין רוב, וא"כ לענין ממון ידחה הבן הודאי את שאר האחין, דהוא ודאי יורש והם יורשים מדין רוב, אלא מוכח דכיון דהנדון על כל האחים שהם בניו היה לשאר דברים, ונפסק מכח הרוב שהוא אביהם, נשאר הפסק מכח הרוב, אף לענין נחלה שהוא דין ממון.</w:t>
      </w:r>
    </w:p>
    <w:p w14:paraId="607C1E76" w14:textId="77777777" w:rsidR="00064C97" w:rsidRPr="00C87C61" w:rsidRDefault="00064C97" w:rsidP="006D6D32">
      <w:pPr>
        <w:pStyle w:val="a3"/>
        <w:rPr>
          <w:rtl/>
        </w:rPr>
      </w:pPr>
      <w:bookmarkStart w:id="10195" w:name="_Toc530551135"/>
      <w:bookmarkStart w:id="10196" w:name="_Toc19390342"/>
      <w:bookmarkStart w:id="10197" w:name="_Toc19393839"/>
      <w:r>
        <w:rPr>
          <w:rFonts w:hint="cs"/>
          <w:rtl/>
        </w:rPr>
        <w:t>דברי הנתיה"מ דרוב שהוחזק לדברים אחרים מהני אף לדיני נפשות</w:t>
      </w:r>
      <w:bookmarkEnd w:id="10195"/>
      <w:bookmarkEnd w:id="10196"/>
      <w:bookmarkEnd w:id="10197"/>
    </w:p>
    <w:p w14:paraId="14A96F29" w14:textId="77777777" w:rsidR="00064C97" w:rsidRPr="00BA2D79" w:rsidRDefault="00064C97" w:rsidP="00223668">
      <w:pPr>
        <w:pStyle w:val="a0"/>
        <w:rPr>
          <w:rtl/>
        </w:rPr>
      </w:pPr>
      <w:r w:rsidRPr="00C87C61">
        <w:rPr>
          <w:rFonts w:hint="cs"/>
          <w:rtl/>
        </w:rPr>
        <w:t xml:space="preserve">וכתב </w:t>
      </w:r>
      <w:r w:rsidRPr="00C87C61">
        <w:rPr>
          <w:rStyle w:val="af9"/>
          <w:rFonts w:hint="cs"/>
          <w:rtl/>
        </w:rPr>
        <w:t>הנתיה"מ בתשו'</w:t>
      </w:r>
      <w:r w:rsidRPr="00C87C61">
        <w:rPr>
          <w:rFonts w:hint="cs"/>
          <w:rtl/>
        </w:rPr>
        <w:t xml:space="preserve"> דה"ה לענין נפשות, דבמקום שהרוב נדון בספק לענין דיני נפשות, כגון אדם שהתערב בין חייבי מיתות דכולם נפטרים וכן כשנתערבו נסקלין בנשרפין, דע"ז כתבו </w:t>
      </w:r>
      <w:r w:rsidRPr="00C87C61">
        <w:rPr>
          <w:rStyle w:val="af9"/>
          <w:rFonts w:hint="cs"/>
          <w:rtl/>
        </w:rPr>
        <w:t xml:space="preserve">התוס' </w:t>
      </w:r>
      <w:r w:rsidRPr="00325C68">
        <w:rPr>
          <w:rStyle w:val="af7"/>
          <w:rFonts w:eastAsia="Guttman Hodes" w:hint="cs"/>
          <w:rtl/>
        </w:rPr>
        <w:t xml:space="preserve">(ד"ה ליחוש) </w:t>
      </w:r>
      <w:r w:rsidRPr="00C87C61">
        <w:rPr>
          <w:rFonts w:hint="cs"/>
          <w:rtl/>
        </w:rPr>
        <w:t xml:space="preserve">דמקולא לחומרא לא אזלינן בתר רובא, אבל כשהנדון של הרוב הוא לדברים אחרים, מהני אף לדיני </w:t>
      </w:r>
      <w:r w:rsidRPr="00BA2D79">
        <w:rPr>
          <w:rFonts w:hint="cs"/>
          <w:rtl/>
        </w:rPr>
        <w:t>נפשות.</w:t>
      </w:r>
    </w:p>
    <w:p w14:paraId="431A26A6" w14:textId="77777777" w:rsidR="00064C97" w:rsidRPr="00BA2D79" w:rsidRDefault="00064C97" w:rsidP="00BF39B2">
      <w:pPr>
        <w:pStyle w:val="1"/>
        <w:rPr>
          <w:rtl/>
        </w:rPr>
      </w:pPr>
      <w:bookmarkStart w:id="10198" w:name="_Toc530476219"/>
      <w:bookmarkStart w:id="10199" w:name="_Toc530477167"/>
      <w:bookmarkStart w:id="10200" w:name="_Toc530503009"/>
      <w:bookmarkStart w:id="10201" w:name="_Toc530504503"/>
      <w:bookmarkStart w:id="10202" w:name="_Toc530514396"/>
      <w:bookmarkStart w:id="10203" w:name="_Toc530514499"/>
      <w:bookmarkStart w:id="10204" w:name="_Toc530521936"/>
      <w:bookmarkStart w:id="10205" w:name="_Toc530524992"/>
      <w:bookmarkStart w:id="10206" w:name="_Toc530551136"/>
      <w:bookmarkStart w:id="10207" w:name="_Toc19390343"/>
      <w:bookmarkStart w:id="10208" w:name="_Toc19393840"/>
      <w:r>
        <w:rPr>
          <w:rFonts w:hint="cs"/>
          <w:rtl/>
        </w:rPr>
        <w:t>ב</w:t>
      </w:r>
      <w:r w:rsidRPr="00BA2D79">
        <w:rPr>
          <w:rFonts w:hint="cs"/>
          <w:rtl/>
        </w:rPr>
        <w:t xml:space="preserve">קושית </w:t>
      </w:r>
      <w:r w:rsidRPr="00BA2D79">
        <w:rPr>
          <w:rtl/>
        </w:rPr>
        <w:t xml:space="preserve">מהר"צ מהלברשטט </w:t>
      </w:r>
      <w:r w:rsidRPr="00BA2D79">
        <w:rPr>
          <w:rFonts w:hint="cs"/>
          <w:rtl/>
        </w:rPr>
        <w:t>האיך שורפין בת כהן ע"י רוב</w:t>
      </w:r>
      <w:bookmarkEnd w:id="9813"/>
      <w:bookmarkEnd w:id="9814"/>
      <w:bookmarkEnd w:id="9815"/>
      <w:bookmarkEnd w:id="9816"/>
      <w:bookmarkEnd w:id="9817"/>
      <w:bookmarkEnd w:id="9818"/>
      <w:bookmarkEnd w:id="9819"/>
      <w:bookmarkEnd w:id="10198"/>
      <w:bookmarkEnd w:id="10199"/>
      <w:bookmarkEnd w:id="10200"/>
      <w:bookmarkEnd w:id="10201"/>
      <w:bookmarkEnd w:id="10202"/>
      <w:bookmarkEnd w:id="10203"/>
      <w:bookmarkEnd w:id="10204"/>
      <w:bookmarkEnd w:id="10205"/>
      <w:bookmarkEnd w:id="10206"/>
      <w:bookmarkEnd w:id="10207"/>
      <w:bookmarkEnd w:id="10208"/>
    </w:p>
    <w:p w14:paraId="5D499554" w14:textId="77777777" w:rsidR="00064C97" w:rsidRPr="00BA2D79" w:rsidRDefault="00064C97" w:rsidP="006D6D32">
      <w:pPr>
        <w:pStyle w:val="a3"/>
        <w:rPr>
          <w:rtl/>
        </w:rPr>
      </w:pPr>
      <w:bookmarkStart w:id="10209" w:name="_Toc530551137"/>
      <w:bookmarkStart w:id="10210" w:name="_Toc19390344"/>
      <w:bookmarkStart w:id="10211" w:name="_Toc19393841"/>
      <w:r>
        <w:rPr>
          <w:rFonts w:hint="cs"/>
          <w:rtl/>
        </w:rPr>
        <w:t>קושית מהר"צ הלברשטט דבת כהן היא בתו של הכהן רק ע"י רוב ולא מהני רוב לדין שריפה</w:t>
      </w:r>
      <w:bookmarkEnd w:id="10209"/>
      <w:bookmarkEnd w:id="10210"/>
      <w:bookmarkEnd w:id="10211"/>
    </w:p>
    <w:p w14:paraId="6AF2AE59" w14:textId="77777777" w:rsidR="00064C97" w:rsidRPr="00BA2D79" w:rsidRDefault="00064C97" w:rsidP="00223668">
      <w:pPr>
        <w:pStyle w:val="a0"/>
        <w:rPr>
          <w:rtl/>
        </w:rPr>
      </w:pPr>
      <w:bookmarkStart w:id="10212" w:name="_Ref530306095"/>
      <w:r w:rsidRPr="00BA2D79">
        <w:rPr>
          <w:rFonts w:hint="cs"/>
          <w:rtl/>
        </w:rPr>
        <w:t xml:space="preserve">הביא </w:t>
      </w:r>
      <w:r w:rsidRPr="00BA2D79">
        <w:rPr>
          <w:rStyle w:val="af9"/>
          <w:rFonts w:hint="cs"/>
          <w:rtl/>
        </w:rPr>
        <w:t>הפרמ"ג בשושנת העמקים</w:t>
      </w:r>
      <w:r w:rsidRPr="00BA2D79">
        <w:rPr>
          <w:rFonts w:hint="cs"/>
          <w:rtl/>
        </w:rPr>
        <w:t xml:space="preserve"> </w:t>
      </w:r>
      <w:r w:rsidRPr="00BA2D79">
        <w:rPr>
          <w:rStyle w:val="af7"/>
          <w:rFonts w:eastAsia="Guttman Hodes" w:hint="cs"/>
          <w:rtl/>
        </w:rPr>
        <w:t xml:space="preserve">(כלל י"ב החלק הג' ד"ה ואגב גררא) </w:t>
      </w:r>
      <w:r w:rsidRPr="00BA2D79">
        <w:rPr>
          <w:rFonts w:hint="cs"/>
          <w:rtl/>
        </w:rPr>
        <w:t xml:space="preserve">את קושית </w:t>
      </w:r>
      <w:r w:rsidRPr="00BA2D79">
        <w:rPr>
          <w:rStyle w:val="af9"/>
          <w:rFonts w:hint="cs"/>
          <w:rtl/>
        </w:rPr>
        <w:t>מהר"צ מהלברשטט</w:t>
      </w:r>
      <w:r w:rsidRPr="00BA2D79">
        <w:rPr>
          <w:rFonts w:hint="cs"/>
          <w:rtl/>
        </w:rPr>
        <w:t xml:space="preserve"> היאך דנים בת כהן לשריפה, </w:t>
      </w:r>
      <w:r>
        <w:rPr>
          <w:rFonts w:hint="cs"/>
          <w:rtl/>
        </w:rPr>
        <w:t>והרי מבואר בסוגיין דרק מכח הרוב היא</w:t>
      </w:r>
      <w:r w:rsidRPr="00BA2D79">
        <w:rPr>
          <w:rFonts w:hint="cs"/>
          <w:rtl/>
        </w:rPr>
        <w:t xml:space="preserve"> בתו</w:t>
      </w:r>
      <w:r>
        <w:rPr>
          <w:rFonts w:hint="cs"/>
          <w:rtl/>
        </w:rPr>
        <w:t xml:space="preserve"> של אביה הכהן</w:t>
      </w:r>
      <w:r w:rsidRPr="00BA2D79">
        <w:rPr>
          <w:rFonts w:hint="cs"/>
          <w:rtl/>
        </w:rPr>
        <w:t>, וה</w:t>
      </w:r>
      <w:r>
        <w:rPr>
          <w:rFonts w:hint="cs"/>
          <w:rtl/>
        </w:rPr>
        <w:t xml:space="preserve">א </w:t>
      </w:r>
      <w:r w:rsidRPr="00BA2D79">
        <w:rPr>
          <w:rFonts w:hint="cs"/>
          <w:rtl/>
        </w:rPr>
        <w:t xml:space="preserve">כתבו </w:t>
      </w:r>
      <w:r w:rsidRPr="00BA2D79">
        <w:rPr>
          <w:rStyle w:val="af9"/>
          <w:rFonts w:hint="cs"/>
          <w:rtl/>
        </w:rPr>
        <w:t xml:space="preserve">התוס' </w:t>
      </w:r>
      <w:r w:rsidRPr="00BA2D79">
        <w:rPr>
          <w:rStyle w:val="af7"/>
          <w:rFonts w:eastAsia="Guttman Hodes" w:hint="cs"/>
          <w:rtl/>
        </w:rPr>
        <w:t xml:space="preserve">(ד"ה ליחוש) </w:t>
      </w:r>
      <w:r w:rsidRPr="00BA2D79">
        <w:rPr>
          <w:rStyle w:val="af9"/>
          <w:rFonts w:hint="cs"/>
          <w:rtl/>
        </w:rPr>
        <w:t>והתוס' בזבחים</w:t>
      </w:r>
      <w:r w:rsidRPr="00BA2D79">
        <w:rPr>
          <w:rFonts w:hint="cs"/>
          <w:rtl/>
        </w:rPr>
        <w:t xml:space="preserve"> </w:t>
      </w:r>
      <w:r w:rsidRPr="00BA2D79">
        <w:rPr>
          <w:rStyle w:val="af7"/>
          <w:rFonts w:eastAsia="Guttman Hodes" w:hint="cs"/>
          <w:rtl/>
        </w:rPr>
        <w:t xml:space="preserve">(עא. ד"ה אפילו) </w:t>
      </w:r>
      <w:r w:rsidRPr="00BA2D79">
        <w:rPr>
          <w:rFonts w:hint="cs"/>
          <w:rtl/>
        </w:rPr>
        <w:t>דלא אזלינן בתר רובא לדון ממיתה קלה למיתה חמורה.</w:t>
      </w:r>
      <w:bookmarkEnd w:id="10212"/>
    </w:p>
    <w:p w14:paraId="7B178FAE" w14:textId="77777777" w:rsidR="00064C97" w:rsidRPr="00BA2D79" w:rsidRDefault="00064C97" w:rsidP="006D6D32">
      <w:pPr>
        <w:pStyle w:val="a3"/>
      </w:pPr>
      <w:bookmarkStart w:id="10213" w:name="_Toc530551138"/>
      <w:bookmarkStart w:id="10214" w:name="_Toc19390345"/>
      <w:bookmarkStart w:id="10215" w:name="_Toc19393842"/>
      <w:r>
        <w:rPr>
          <w:rFonts w:hint="cs"/>
          <w:rtl/>
        </w:rPr>
        <w:t>תירוץ הפרמ"ג דיש תרי רובי רוב בעילות אחר הבעל וחזקת צדקת ומהני אף לדין שריפה</w:t>
      </w:r>
      <w:bookmarkEnd w:id="10213"/>
      <w:bookmarkEnd w:id="10214"/>
      <w:bookmarkEnd w:id="10215"/>
    </w:p>
    <w:p w14:paraId="51EFF015" w14:textId="77777777" w:rsidR="00064C97" w:rsidRPr="00BA2D79" w:rsidRDefault="00064C97" w:rsidP="00223668">
      <w:pPr>
        <w:pStyle w:val="a0"/>
        <w:rPr>
          <w:rtl/>
        </w:rPr>
      </w:pPr>
      <w:r w:rsidRPr="00BA2D79">
        <w:rPr>
          <w:rFonts w:hint="cs"/>
          <w:rtl/>
        </w:rPr>
        <w:t xml:space="preserve">ותירץ </w:t>
      </w:r>
      <w:r w:rsidRPr="00BA2D79">
        <w:rPr>
          <w:rStyle w:val="af9"/>
          <w:rFonts w:hint="cs"/>
          <w:rtl/>
        </w:rPr>
        <w:t>הפרמ"ג בשושנת העמקים</w:t>
      </w:r>
      <w:r w:rsidRPr="00BA2D79">
        <w:rPr>
          <w:rFonts w:hint="cs"/>
          <w:rtl/>
        </w:rPr>
        <w:t xml:space="preserve"> דיש תרי רובי, רוב בעילות אחר הבעל, וחזקת צדקת של האם דהיא חזקה מכח רוב, ובתרי רובי דנים ממיתה קלה למיתה חמורה, עיי"ש בדבריו, </w:t>
      </w:r>
      <w:r>
        <w:rPr>
          <w:rFonts w:hint="cs"/>
          <w:rtl/>
        </w:rPr>
        <w:t>[</w:t>
      </w:r>
      <w:r w:rsidRPr="00BA2D79">
        <w:rPr>
          <w:rFonts w:hint="cs"/>
          <w:rtl/>
        </w:rPr>
        <w:t>וע</w:t>
      </w:r>
      <w:r>
        <w:rPr>
          <w:rFonts w:hint="cs"/>
          <w:rtl/>
        </w:rPr>
        <w:t>י'</w:t>
      </w:r>
      <w:r w:rsidRPr="00BA2D79">
        <w:rPr>
          <w:rFonts w:hint="cs"/>
          <w:rtl/>
        </w:rPr>
        <w:t xml:space="preserve"> במ"ש </w:t>
      </w:r>
      <w:r w:rsidRPr="00BA2D79">
        <w:rPr>
          <w:rStyle w:val="af9"/>
          <w:rFonts w:hint="cs"/>
          <w:rtl/>
        </w:rPr>
        <w:t xml:space="preserve">הפרמ"ג </w:t>
      </w:r>
      <w:r w:rsidRPr="00BA2D79">
        <w:rPr>
          <w:rFonts w:hint="cs"/>
          <w:rtl/>
        </w:rPr>
        <w:t xml:space="preserve">בביאור דברי </w:t>
      </w:r>
      <w:r w:rsidRPr="00BA2D79">
        <w:rPr>
          <w:rStyle w:val="af9"/>
          <w:rFonts w:hint="cs"/>
          <w:rtl/>
        </w:rPr>
        <w:t xml:space="preserve">התוס' </w:t>
      </w:r>
      <w:r w:rsidRPr="00BA2D79">
        <w:rPr>
          <w:rStyle w:val="af7"/>
          <w:rFonts w:eastAsia="Guttman Hodes" w:hint="cs"/>
          <w:rtl/>
        </w:rPr>
        <w:t xml:space="preserve">(עי' אות </w:t>
      </w:r>
      <w:r w:rsidRPr="00BA2D79">
        <w:rPr>
          <w:rStyle w:val="af7"/>
          <w:rFonts w:eastAsia="Guttman Hodes"/>
          <w:rtl/>
        </w:rPr>
        <w:fldChar w:fldCharType="begin"/>
      </w:r>
      <w:r w:rsidRPr="00BA2D79">
        <w:rPr>
          <w:rStyle w:val="af7"/>
          <w:rFonts w:eastAsia="Guttman Hodes"/>
          <w:rtl/>
        </w:rPr>
        <w:instrText xml:space="preserve"> </w:instrText>
      </w:r>
      <w:r w:rsidRPr="00BA2D79">
        <w:rPr>
          <w:rStyle w:val="af7"/>
          <w:rFonts w:eastAsia="Guttman Hodes"/>
        </w:rPr>
        <w:instrText>REF</w:instrText>
      </w:r>
      <w:r w:rsidRPr="00BA2D79">
        <w:rPr>
          <w:rStyle w:val="af7"/>
          <w:rFonts w:eastAsia="Guttman Hodes"/>
          <w:rtl/>
        </w:rPr>
        <w:instrText xml:space="preserve"> _</w:instrText>
      </w:r>
      <w:r w:rsidRPr="00BA2D79">
        <w:rPr>
          <w:rStyle w:val="af7"/>
          <w:rFonts w:eastAsia="Guttman Hodes"/>
        </w:rPr>
        <w:instrText>Ref529872837 \r \h</w:instrText>
      </w:r>
      <w:r w:rsidRPr="00BA2D79">
        <w:rPr>
          <w:rStyle w:val="af7"/>
          <w:rFonts w:eastAsia="Guttman Hodes"/>
          <w:rtl/>
        </w:rPr>
        <w:instrText xml:space="preserve">  \* </w:instrText>
      </w:r>
      <w:r w:rsidRPr="00BA2D79">
        <w:rPr>
          <w:rStyle w:val="af7"/>
          <w:rFonts w:eastAsia="Guttman Hodes"/>
        </w:rPr>
        <w:instrText>MERGEFORMAT</w:instrText>
      </w:r>
      <w:r w:rsidRPr="00BA2D79">
        <w:rPr>
          <w:rStyle w:val="af7"/>
          <w:rFonts w:eastAsia="Guttman Hodes"/>
          <w:rtl/>
        </w:rPr>
        <w:instrText xml:space="preserve"> </w:instrText>
      </w:r>
      <w:r w:rsidRPr="00BA2D79">
        <w:rPr>
          <w:rStyle w:val="af7"/>
          <w:rFonts w:eastAsia="Guttman Hodes"/>
          <w:rtl/>
        </w:rPr>
      </w:r>
      <w:r w:rsidRPr="00BA2D79">
        <w:rPr>
          <w:rStyle w:val="af7"/>
          <w:rFonts w:eastAsia="Guttman Hodes"/>
          <w:rtl/>
        </w:rPr>
        <w:fldChar w:fldCharType="separate"/>
      </w:r>
      <w:r w:rsidR="00345400">
        <w:rPr>
          <w:rStyle w:val="af7"/>
          <w:rFonts w:eastAsia="Guttman Hodes"/>
          <w:cs/>
        </w:rPr>
        <w:t>‎</w:t>
      </w:r>
      <w:r w:rsidR="00345400">
        <w:rPr>
          <w:rStyle w:val="af7"/>
          <w:rFonts w:eastAsia="Guttman Hodes"/>
          <w:rtl/>
        </w:rPr>
        <w:t>ח)</w:t>
      </w:r>
      <w:r w:rsidRPr="00BA2D79">
        <w:rPr>
          <w:rStyle w:val="af7"/>
          <w:rFonts w:eastAsia="Guttman Hodes"/>
          <w:rtl/>
        </w:rPr>
        <w:fldChar w:fldCharType="end"/>
      </w:r>
      <w:r>
        <w:rPr>
          <w:rFonts w:hint="cs"/>
          <w:rtl/>
        </w:rPr>
        <w:t xml:space="preserve"> בחזקת צדקת]</w:t>
      </w:r>
      <w:r w:rsidRPr="00BA2D79">
        <w:rPr>
          <w:rFonts w:hint="cs"/>
          <w:rtl/>
        </w:rPr>
        <w:t xml:space="preserve">, ועי' במה שתירץ </w:t>
      </w:r>
      <w:r w:rsidRPr="00BA2D79">
        <w:rPr>
          <w:rStyle w:val="af9"/>
          <w:rFonts w:hint="cs"/>
          <w:rtl/>
        </w:rPr>
        <w:t>הקה"י</w:t>
      </w:r>
      <w:r w:rsidRPr="00BA2D79">
        <w:rPr>
          <w:rFonts w:hint="cs"/>
          <w:rtl/>
        </w:rPr>
        <w:t xml:space="preserve"> </w:t>
      </w:r>
      <w:r w:rsidRPr="00BA2D79">
        <w:rPr>
          <w:rStyle w:val="af7"/>
          <w:rFonts w:eastAsia="Guttman Hodes" w:hint="cs"/>
          <w:rtl/>
        </w:rPr>
        <w:t xml:space="preserve">(עי' אות </w:t>
      </w:r>
      <w:r w:rsidRPr="00BA2D79">
        <w:rPr>
          <w:rStyle w:val="af7"/>
          <w:rFonts w:eastAsia="Guttman Hodes"/>
          <w:rtl/>
        </w:rPr>
        <w:fldChar w:fldCharType="begin"/>
      </w:r>
      <w:r w:rsidRPr="00BA2D79">
        <w:rPr>
          <w:rStyle w:val="af7"/>
          <w:rFonts w:eastAsia="Guttman Hodes"/>
          <w:rtl/>
        </w:rPr>
        <w:instrText xml:space="preserve"> </w:instrText>
      </w:r>
      <w:r w:rsidRPr="00BA2D79">
        <w:rPr>
          <w:rStyle w:val="af7"/>
          <w:rFonts w:eastAsia="Guttman Hodes" w:hint="cs"/>
        </w:rPr>
        <w:instrText>REF</w:instrText>
      </w:r>
      <w:r w:rsidRPr="00BA2D79">
        <w:rPr>
          <w:rStyle w:val="af7"/>
          <w:rFonts w:eastAsia="Guttman Hodes" w:hint="cs"/>
          <w:rtl/>
        </w:rPr>
        <w:instrText xml:space="preserve"> _</w:instrText>
      </w:r>
      <w:r w:rsidRPr="00BA2D79">
        <w:rPr>
          <w:rStyle w:val="af7"/>
          <w:rFonts w:eastAsia="Guttman Hodes" w:hint="cs"/>
        </w:rPr>
        <w:instrText>Ref530306170 \r \h</w:instrText>
      </w:r>
      <w:r w:rsidRPr="00BA2D79">
        <w:rPr>
          <w:rStyle w:val="af7"/>
          <w:rFonts w:eastAsia="Guttman Hodes"/>
          <w:rtl/>
        </w:rPr>
        <w:instrText xml:space="preserve">  \* </w:instrText>
      </w:r>
      <w:r w:rsidRPr="00BA2D79">
        <w:rPr>
          <w:rStyle w:val="af7"/>
          <w:rFonts w:eastAsia="Guttman Hodes"/>
        </w:rPr>
        <w:instrText>MERGEFORMAT</w:instrText>
      </w:r>
      <w:r w:rsidRPr="00BA2D79">
        <w:rPr>
          <w:rStyle w:val="af7"/>
          <w:rFonts w:eastAsia="Guttman Hodes"/>
          <w:rtl/>
        </w:rPr>
        <w:instrText xml:space="preserve"> </w:instrText>
      </w:r>
      <w:r w:rsidRPr="00BA2D79">
        <w:rPr>
          <w:rStyle w:val="af7"/>
          <w:rFonts w:eastAsia="Guttman Hodes"/>
          <w:rtl/>
        </w:rPr>
      </w:r>
      <w:r w:rsidRPr="00BA2D79">
        <w:rPr>
          <w:rStyle w:val="af7"/>
          <w:rFonts w:eastAsia="Guttman Hodes"/>
          <w:rtl/>
        </w:rPr>
        <w:fldChar w:fldCharType="separate"/>
      </w:r>
      <w:r w:rsidR="00345400">
        <w:rPr>
          <w:rStyle w:val="af7"/>
          <w:rFonts w:eastAsia="Guttman Hodes"/>
          <w:cs/>
        </w:rPr>
        <w:t>‎</w:t>
      </w:r>
      <w:r w:rsidR="00345400">
        <w:rPr>
          <w:rStyle w:val="af7"/>
          <w:rFonts w:eastAsia="Guttman Hodes"/>
          <w:rtl/>
        </w:rPr>
        <w:t>קיט)</w:t>
      </w:r>
      <w:r w:rsidRPr="00BA2D79">
        <w:rPr>
          <w:rStyle w:val="af7"/>
          <w:rFonts w:eastAsia="Guttman Hodes"/>
          <w:rtl/>
        </w:rPr>
        <w:fldChar w:fldCharType="end"/>
      </w:r>
      <w:r w:rsidRPr="00BA2D79">
        <w:rPr>
          <w:rStyle w:val="af1"/>
          <w:rtl/>
        </w:rPr>
        <w:footnoteReference w:id="78"/>
      </w:r>
      <w:r w:rsidRPr="00BA2D79">
        <w:rPr>
          <w:rFonts w:hint="cs"/>
          <w:rtl/>
        </w:rPr>
        <w:t>.</w:t>
      </w:r>
    </w:p>
    <w:p w14:paraId="7CDA48CA" w14:textId="77777777" w:rsidR="00064C97" w:rsidRPr="00BA2D79" w:rsidRDefault="00064C97" w:rsidP="006D6D32">
      <w:pPr>
        <w:pStyle w:val="a3"/>
        <w:rPr>
          <w:rtl/>
        </w:rPr>
      </w:pPr>
      <w:bookmarkStart w:id="10216" w:name="_Toc530551139"/>
      <w:bookmarkStart w:id="10217" w:name="_Toc19390346"/>
      <w:bookmarkStart w:id="10218" w:name="_Toc19393843"/>
      <w:r>
        <w:rPr>
          <w:rFonts w:hint="cs"/>
          <w:rtl/>
        </w:rPr>
        <w:t>תירוץ הנתיה"מ דכיון שהוחזקה לבת כהן ע"י רוב לדברים אחרים מהני אף לדין שריפה</w:t>
      </w:r>
      <w:bookmarkEnd w:id="10216"/>
      <w:bookmarkEnd w:id="10217"/>
      <w:bookmarkEnd w:id="10218"/>
    </w:p>
    <w:p w14:paraId="5D27748D" w14:textId="77777777" w:rsidR="00064C97" w:rsidRDefault="00064C97" w:rsidP="00223668">
      <w:pPr>
        <w:pStyle w:val="a0"/>
        <w:rPr>
          <w:rtl/>
        </w:rPr>
        <w:sectPr w:rsidR="00064C97" w:rsidSect="00BA4348">
          <w:headerReference w:type="first" r:id="rId72"/>
          <w:type w:val="continuous"/>
          <w:pgSz w:w="11906" w:h="16838"/>
          <w:pgMar w:top="720" w:right="720" w:bottom="720" w:left="720" w:header="283" w:footer="283" w:gutter="0"/>
          <w:cols w:num="2" w:space="567"/>
          <w:titlePg/>
          <w:bidi/>
          <w:rtlGutter/>
          <w:docGrid w:linePitch="299"/>
        </w:sectPr>
      </w:pPr>
      <w:r w:rsidRPr="00BA2D79">
        <w:rPr>
          <w:rStyle w:val="af9"/>
          <w:rFonts w:hint="cs"/>
          <w:rtl/>
        </w:rPr>
        <w:t>והנתיה"מ בתשו'</w:t>
      </w:r>
      <w:r w:rsidRPr="00BA2D79">
        <w:rPr>
          <w:rFonts w:hint="cs"/>
          <w:rtl/>
        </w:rPr>
        <w:t xml:space="preserve"> </w:t>
      </w:r>
      <w:r w:rsidRPr="00BA2D79">
        <w:rPr>
          <w:rStyle w:val="af7"/>
          <w:rFonts w:eastAsia="Guttman Hodes" w:hint="cs"/>
          <w:rtl/>
        </w:rPr>
        <w:t>(שו"ת חמדת שלמה אבהע"ז י"א ג' ד"ה ולפי"ז מיושב,</w:t>
      </w:r>
      <w:r w:rsidRPr="00BA2D79">
        <w:rPr>
          <w:rFonts w:hint="cs"/>
          <w:rtl/>
        </w:rPr>
        <w:t xml:space="preserve"> </w:t>
      </w:r>
      <w:r w:rsidRPr="00BA2D79">
        <w:rPr>
          <w:rStyle w:val="af7"/>
          <w:rFonts w:eastAsia="Guttman Hodes" w:hint="cs"/>
          <w:rtl/>
        </w:rPr>
        <w:t xml:space="preserve">שו"ת רבינו יעקב מליסא אבהע"ז סי' כ"ט ד"ה ולפי"ז מיושב) </w:t>
      </w:r>
      <w:r w:rsidRPr="00BA2D79">
        <w:rPr>
          <w:rFonts w:hint="cs"/>
          <w:rtl/>
        </w:rPr>
        <w:t xml:space="preserve">תירץ דהא דדיינינן לבת כהן בשריפה, אינו ע"י הרוב עצמו דמכח הרוב היא בת כהן וחייבת מיתה, אלא דע"י הרוב הוחזקה שהיא בתו, ושורפין על החזקה. </w:t>
      </w:r>
      <w:r>
        <w:rPr>
          <w:rFonts w:hint="cs"/>
          <w:rtl/>
        </w:rPr>
        <w:t>[</w:t>
      </w:r>
      <w:r w:rsidRPr="00BA2D79">
        <w:rPr>
          <w:rFonts w:hint="cs"/>
          <w:rtl/>
        </w:rPr>
        <w:t xml:space="preserve">כדכתב </w:t>
      </w:r>
      <w:r w:rsidRPr="00BA2D79">
        <w:rPr>
          <w:rStyle w:val="af9"/>
          <w:rFonts w:hint="cs"/>
          <w:rtl/>
        </w:rPr>
        <w:t>הנתיה"מ בתשו'</w:t>
      </w:r>
      <w:r w:rsidRPr="00BA2D79">
        <w:rPr>
          <w:rFonts w:hint="cs"/>
          <w:rtl/>
        </w:rPr>
        <w:t xml:space="preserve"> </w:t>
      </w:r>
      <w:r w:rsidRPr="00BA2D79">
        <w:rPr>
          <w:rStyle w:val="af7"/>
          <w:rFonts w:eastAsia="Guttman Hodes" w:hint="cs"/>
          <w:rtl/>
        </w:rPr>
        <w:t xml:space="preserve">(עי' אות </w:t>
      </w:r>
      <w:r w:rsidRPr="00BA2D79">
        <w:rPr>
          <w:rStyle w:val="af7"/>
          <w:rFonts w:eastAsia="Guttman Hodes"/>
          <w:rtl/>
        </w:rPr>
        <w:fldChar w:fldCharType="begin"/>
      </w:r>
      <w:r w:rsidRPr="00BA2D79">
        <w:rPr>
          <w:rStyle w:val="af7"/>
          <w:rFonts w:eastAsia="Guttman Hodes"/>
          <w:rtl/>
        </w:rPr>
        <w:instrText xml:space="preserve"> </w:instrText>
      </w:r>
      <w:r w:rsidRPr="00BA2D79">
        <w:rPr>
          <w:rStyle w:val="af7"/>
          <w:rFonts w:eastAsia="Guttman Hodes" w:hint="cs"/>
        </w:rPr>
        <w:instrText>REF</w:instrText>
      </w:r>
      <w:r w:rsidRPr="00BA2D79">
        <w:rPr>
          <w:rStyle w:val="af7"/>
          <w:rFonts w:eastAsia="Guttman Hodes" w:hint="cs"/>
          <w:rtl/>
        </w:rPr>
        <w:instrText xml:space="preserve"> _</w:instrText>
      </w:r>
      <w:r w:rsidRPr="00BA2D79">
        <w:rPr>
          <w:rStyle w:val="af7"/>
          <w:rFonts w:eastAsia="Guttman Hodes" w:hint="cs"/>
        </w:rPr>
        <w:instrText>Ref530474427 \r \h</w:instrText>
      </w:r>
      <w:r w:rsidRPr="00BA2D79">
        <w:rPr>
          <w:rStyle w:val="af7"/>
          <w:rFonts w:eastAsia="Guttman Hodes"/>
          <w:rtl/>
        </w:rPr>
        <w:instrText xml:space="preserve">  \* </w:instrText>
      </w:r>
      <w:r w:rsidRPr="00BA2D79">
        <w:rPr>
          <w:rStyle w:val="af7"/>
          <w:rFonts w:eastAsia="Guttman Hodes"/>
        </w:rPr>
        <w:instrText>MERGEFORMAT</w:instrText>
      </w:r>
      <w:r w:rsidRPr="00BA2D79">
        <w:rPr>
          <w:rStyle w:val="af7"/>
          <w:rFonts w:eastAsia="Guttman Hodes"/>
          <w:rtl/>
        </w:rPr>
        <w:instrText xml:space="preserve"> </w:instrText>
      </w:r>
      <w:r w:rsidRPr="00BA2D79">
        <w:rPr>
          <w:rStyle w:val="af7"/>
          <w:rFonts w:eastAsia="Guttman Hodes"/>
          <w:rtl/>
        </w:rPr>
      </w:r>
      <w:r w:rsidRPr="00BA2D79">
        <w:rPr>
          <w:rStyle w:val="af7"/>
          <w:rFonts w:eastAsia="Guttman Hodes"/>
          <w:rtl/>
        </w:rPr>
        <w:fldChar w:fldCharType="separate"/>
      </w:r>
      <w:r w:rsidR="00345400">
        <w:rPr>
          <w:rStyle w:val="af7"/>
          <w:rFonts w:eastAsia="Guttman Hodes"/>
          <w:cs/>
        </w:rPr>
        <w:t>‎</w:t>
      </w:r>
      <w:r w:rsidR="00345400">
        <w:rPr>
          <w:rStyle w:val="af7"/>
          <w:rFonts w:eastAsia="Guttman Hodes"/>
          <w:rtl/>
        </w:rPr>
        <w:t>נט)</w:t>
      </w:r>
      <w:r w:rsidRPr="00BA2D79">
        <w:rPr>
          <w:rStyle w:val="af7"/>
          <w:rFonts w:eastAsia="Guttman Hodes"/>
          <w:rtl/>
        </w:rPr>
        <w:fldChar w:fldCharType="end"/>
      </w:r>
      <w:r w:rsidRPr="00BA2D79">
        <w:rPr>
          <w:rFonts w:hint="cs"/>
          <w:rtl/>
        </w:rPr>
        <w:t>.</w:t>
      </w:r>
    </w:p>
    <w:p w14:paraId="4DAF3923" w14:textId="77777777" w:rsidR="00064C97" w:rsidRPr="002158A0" w:rsidRDefault="00064C97" w:rsidP="00223668">
      <w:pPr>
        <w:pStyle w:val="a0"/>
        <w:rPr>
          <w:rtl/>
        </w:rPr>
        <w:sectPr w:rsidR="00064C97" w:rsidRPr="002158A0" w:rsidSect="00064C97">
          <w:type w:val="continuous"/>
          <w:pgSz w:w="11906" w:h="16838"/>
          <w:pgMar w:top="720" w:right="720" w:bottom="720" w:left="720" w:header="283" w:footer="283" w:gutter="0"/>
          <w:cols w:num="2" w:space="567"/>
          <w:titlePg/>
          <w:bidi/>
          <w:rtlGutter/>
          <w:docGrid w:linePitch="299"/>
        </w:sectPr>
      </w:pPr>
    </w:p>
    <w:p w14:paraId="562FCD7A" w14:textId="77777777" w:rsidR="00064C97" w:rsidRPr="0061208F" w:rsidRDefault="004B65FC" w:rsidP="00064C97">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0DA97CE2">
          <v:shape id="_x0000_i1037" type="#_x0000_t75" style="width:404.55pt;height:6.8pt" o:hrpct="0" o:hralign="center" o:hr="t">
            <v:imagedata r:id="rId21" o:title="BD14845_"/>
          </v:shape>
        </w:pict>
      </w:r>
      <w:r w:rsidR="00064C97" w:rsidRPr="0061208F">
        <w:rPr>
          <w:rFonts w:ascii="Guttman Hodes" w:eastAsia="Guttman Hodes" w:hAnsi="Guttman Hodes" w:cs="Guttman Hodes" w:hint="cs"/>
          <w:noProof/>
          <w:sz w:val="18"/>
          <w:szCs w:val="18"/>
          <w:rtl/>
        </w:rPr>
        <w:t xml:space="preserve"> </w:t>
      </w:r>
    </w:p>
    <w:p w14:paraId="02EAB264" w14:textId="77777777" w:rsidR="00FF73EE" w:rsidRDefault="00064C97" w:rsidP="006D6D32">
      <w:pPr>
        <w:pStyle w:val="afe"/>
        <w:rPr>
          <w:rtl/>
        </w:rPr>
        <w:sectPr w:rsidR="00FF73EE" w:rsidSect="003658B8">
          <w:pgSz w:w="11906" w:h="16838"/>
          <w:pgMar w:top="720" w:right="720" w:bottom="720" w:left="720" w:header="283" w:footer="283" w:gutter="0"/>
          <w:cols w:space="567"/>
          <w:bidi/>
          <w:rtlGutter/>
          <w:docGrid w:linePitch="299"/>
        </w:sectPr>
      </w:pPr>
      <w:bookmarkStart w:id="10219" w:name="_Toc530411086"/>
      <w:bookmarkStart w:id="10220" w:name="_Toc530476223"/>
      <w:bookmarkStart w:id="10221" w:name="_Toc530477171"/>
      <w:bookmarkStart w:id="10222" w:name="_Toc530503013"/>
      <w:bookmarkStart w:id="10223" w:name="_Toc530504519"/>
      <w:bookmarkStart w:id="10224" w:name="_Toc530514400"/>
      <w:bookmarkStart w:id="10225" w:name="_Toc530514503"/>
      <w:bookmarkStart w:id="10226" w:name="_Toc530521945"/>
      <w:bookmarkStart w:id="10227" w:name="_Toc530525001"/>
      <w:bookmarkStart w:id="10228" w:name="_Toc530551148"/>
      <w:bookmarkStart w:id="10229" w:name="_Toc19435699"/>
      <w:bookmarkStart w:id="10230" w:name="_Toc20080967"/>
      <w:r>
        <w:rPr>
          <w:rFonts w:hint="cs"/>
          <w:rtl/>
        </w:rPr>
        <w:t>ביאורי ראשי הישיבות על הסוגיא</w:t>
      </w:r>
      <w:bookmarkEnd w:id="10219"/>
      <w:bookmarkEnd w:id="10220"/>
      <w:bookmarkEnd w:id="10221"/>
      <w:bookmarkEnd w:id="10222"/>
      <w:bookmarkEnd w:id="10223"/>
      <w:bookmarkEnd w:id="10224"/>
      <w:bookmarkEnd w:id="10225"/>
      <w:bookmarkEnd w:id="10226"/>
      <w:bookmarkEnd w:id="10227"/>
      <w:bookmarkEnd w:id="10228"/>
      <w:bookmarkEnd w:id="10229"/>
      <w:bookmarkEnd w:id="10230"/>
    </w:p>
    <w:p w14:paraId="00CA5D7B" w14:textId="77777777" w:rsidR="00FF73EE" w:rsidRDefault="00FF73EE" w:rsidP="006D6D32">
      <w:pPr>
        <w:pStyle w:val="afe"/>
        <w:rPr>
          <w:rFonts w:eastAsiaTheme="minorEastAsia" w:cstheme="minorBidi"/>
          <w:i/>
          <w:iCs/>
          <w:szCs w:val="22"/>
          <w:rtl/>
        </w:rPr>
      </w:pPr>
      <w:bookmarkStart w:id="10231" w:name="_Toc530395877"/>
      <w:bookmarkStart w:id="10232" w:name="_Toc530411141"/>
      <w:bookmarkStart w:id="10233" w:name="_Toc530503014"/>
      <w:bookmarkStart w:id="10234" w:name="_Toc530504520"/>
      <w:bookmarkStart w:id="10235" w:name="_Toc530514401"/>
      <w:bookmarkStart w:id="10236" w:name="_Toc530514504"/>
      <w:bookmarkStart w:id="10237" w:name="_Toc530521946"/>
      <w:bookmarkStart w:id="10238" w:name="_Toc530525002"/>
      <w:bookmarkStart w:id="10239" w:name="_Toc530551149"/>
      <w:bookmarkStart w:id="10240" w:name="_Toc19435700"/>
      <w:bookmarkStart w:id="10241" w:name="_Toc20080968"/>
      <w:bookmarkStart w:id="10242" w:name="_Toc530083921"/>
      <w:bookmarkStart w:id="10243" w:name="_Toc530083957"/>
      <w:bookmarkStart w:id="10244" w:name="_Toc530147719"/>
      <w:bookmarkStart w:id="10245" w:name="_Toc530148047"/>
      <w:bookmarkStart w:id="10246" w:name="_Toc530348991"/>
      <w:bookmarkStart w:id="10247" w:name="_Toc530395882"/>
      <w:bookmarkStart w:id="10248" w:name="_Toc530411087"/>
      <w:bookmarkStart w:id="10249" w:name="_Toc530476224"/>
      <w:bookmarkStart w:id="10250" w:name="_Toc530477172"/>
      <w:r>
        <w:rPr>
          <w:rtl/>
        </w:rPr>
        <w:t>מכה אביו מדין רוב או מדין חזקה</w:t>
      </w:r>
      <w:bookmarkEnd w:id="10231"/>
      <w:bookmarkEnd w:id="10232"/>
      <w:bookmarkEnd w:id="10233"/>
      <w:bookmarkEnd w:id="10234"/>
      <w:bookmarkEnd w:id="10235"/>
      <w:bookmarkEnd w:id="10236"/>
      <w:bookmarkEnd w:id="10237"/>
      <w:bookmarkEnd w:id="10238"/>
      <w:bookmarkEnd w:id="10239"/>
      <w:bookmarkEnd w:id="10240"/>
      <w:bookmarkEnd w:id="10241"/>
    </w:p>
    <w:p w14:paraId="6E70DF2C" w14:textId="77777777" w:rsidR="00FF73EE" w:rsidRDefault="00FF73EE" w:rsidP="00BF39B2">
      <w:pPr>
        <w:pStyle w:val="1"/>
        <w:rPr>
          <w:rtl/>
        </w:rPr>
      </w:pPr>
      <w:bookmarkStart w:id="10251" w:name="_Toc530083917"/>
      <w:bookmarkStart w:id="10252" w:name="_Toc530083953"/>
      <w:bookmarkStart w:id="10253" w:name="_Toc530147715"/>
      <w:bookmarkStart w:id="10254" w:name="_Toc530148043"/>
      <w:bookmarkStart w:id="10255" w:name="_Toc530348987"/>
      <w:bookmarkStart w:id="10256" w:name="_Toc530395878"/>
      <w:bookmarkStart w:id="10257" w:name="_Toc530411142"/>
      <w:bookmarkStart w:id="10258" w:name="_Toc530503015"/>
      <w:bookmarkStart w:id="10259" w:name="_Toc530504521"/>
      <w:bookmarkStart w:id="10260" w:name="_Toc530514402"/>
      <w:bookmarkStart w:id="10261" w:name="_Toc530514505"/>
      <w:bookmarkStart w:id="10262" w:name="_Toc530521947"/>
      <w:bookmarkStart w:id="10263" w:name="_Toc530525003"/>
      <w:bookmarkStart w:id="10264" w:name="_Toc530551150"/>
      <w:bookmarkStart w:id="10265" w:name="_Toc19390347"/>
      <w:bookmarkStart w:id="10266" w:name="_Toc19393844"/>
      <w:r>
        <w:rPr>
          <w:rFonts w:hint="cs"/>
          <w:rtl/>
        </w:rPr>
        <w:t>ביאור המשנת ר"א דע"י שהוחזק מכח הרוב יש דין ודאי למיתה</w:t>
      </w:r>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p>
    <w:p w14:paraId="7B2E8141" w14:textId="77777777" w:rsidR="00FF73EE" w:rsidRDefault="00FF73EE" w:rsidP="006D6D32">
      <w:pPr>
        <w:pStyle w:val="a3"/>
        <w:rPr>
          <w:rtl/>
        </w:rPr>
      </w:pPr>
      <w:bookmarkStart w:id="10267" w:name="_Toc530521948"/>
      <w:bookmarkStart w:id="10268" w:name="_Toc530525004"/>
      <w:bookmarkStart w:id="10269" w:name="_Toc530551151"/>
      <w:bookmarkStart w:id="10270" w:name="_Toc19390348"/>
      <w:bookmarkStart w:id="10271" w:name="_Toc19393845"/>
      <w:r>
        <w:rPr>
          <w:rFonts w:hint="cs"/>
          <w:rtl/>
        </w:rPr>
        <w:t>קושית המשנת ר"א על הרמב"ם דאמאי בנמצא ברוב ישראל לא הורגין ע"י חזקה מכח רוב</w:t>
      </w:r>
      <w:bookmarkEnd w:id="10267"/>
      <w:bookmarkEnd w:id="10268"/>
      <w:bookmarkEnd w:id="10269"/>
      <w:bookmarkEnd w:id="10270"/>
      <w:bookmarkEnd w:id="10271"/>
    </w:p>
    <w:p w14:paraId="42218563" w14:textId="77777777" w:rsidR="00FF73EE" w:rsidRDefault="00FF73EE" w:rsidP="00223668">
      <w:pPr>
        <w:pStyle w:val="a0"/>
        <w:rPr>
          <w:rtl/>
        </w:rPr>
      </w:pPr>
      <w:bookmarkStart w:id="10272" w:name="_Ref530079869"/>
      <w:r>
        <w:rPr>
          <w:rFonts w:hint="cs"/>
          <w:rtl/>
        </w:rPr>
        <w:t xml:space="preserve">בדברי </w:t>
      </w:r>
      <w:r w:rsidRPr="00996D8D">
        <w:rPr>
          <w:rStyle w:val="af9"/>
          <w:rFonts w:hint="cs"/>
          <w:rtl/>
        </w:rPr>
        <w:t>הרמב"ם</w:t>
      </w:r>
      <w:r>
        <w:rPr>
          <w:rFonts w:hint="cs"/>
          <w:rtl/>
        </w:rPr>
        <w:t xml:space="preserve"> </w:t>
      </w:r>
      <w:r w:rsidRPr="00996D8D">
        <w:rPr>
          <w:rStyle w:val="af7"/>
          <w:rFonts w:eastAsia="Guttman Hodes" w:hint="cs"/>
          <w:rtl/>
        </w:rPr>
        <w:t xml:space="preserve">(עי' אות </w:t>
      </w:r>
      <w:r w:rsidRPr="00996D8D">
        <w:rPr>
          <w:rStyle w:val="af7"/>
          <w:rFonts w:eastAsia="Guttman Hodes"/>
          <w:rtl/>
        </w:rPr>
        <w:fldChar w:fldCharType="begin"/>
      </w:r>
      <w:r w:rsidRPr="00996D8D">
        <w:rPr>
          <w:rStyle w:val="af7"/>
          <w:rFonts w:eastAsia="Guttman Hodes"/>
          <w:rtl/>
        </w:rPr>
        <w:instrText xml:space="preserve"> </w:instrText>
      </w:r>
      <w:r w:rsidRPr="00996D8D">
        <w:rPr>
          <w:rStyle w:val="af7"/>
          <w:rFonts w:eastAsia="Guttman Hodes" w:hint="cs"/>
        </w:rPr>
        <w:instrText>REF</w:instrText>
      </w:r>
      <w:r w:rsidRPr="00996D8D">
        <w:rPr>
          <w:rStyle w:val="af7"/>
          <w:rFonts w:eastAsia="Guttman Hodes" w:hint="cs"/>
          <w:rtl/>
        </w:rPr>
        <w:instrText xml:space="preserve"> _</w:instrText>
      </w:r>
      <w:r w:rsidRPr="00996D8D">
        <w:rPr>
          <w:rStyle w:val="af7"/>
          <w:rFonts w:eastAsia="Guttman Hodes" w:hint="cs"/>
        </w:rPr>
        <w:instrText>Ref530079799 \r \h</w:instrText>
      </w:r>
      <w:r w:rsidRPr="00996D8D">
        <w:rPr>
          <w:rStyle w:val="af7"/>
          <w:rFonts w:eastAsia="Guttman Hodes"/>
          <w:rtl/>
        </w:rPr>
        <w:instrText xml:space="preserve"> </w:instrText>
      </w:r>
      <w:r w:rsidRPr="00996D8D">
        <w:rPr>
          <w:rStyle w:val="af7"/>
          <w:rFonts w:eastAsia="Guttman Hodes"/>
          <w:rtl/>
        </w:rPr>
      </w:r>
      <w:r w:rsidRPr="00996D8D">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996D8D">
        <w:rPr>
          <w:rStyle w:val="af7"/>
          <w:rFonts w:eastAsia="Guttman Hodes"/>
          <w:rtl/>
        </w:rPr>
        <w:fldChar w:fldCharType="end"/>
      </w:r>
      <w:r>
        <w:rPr>
          <w:rFonts w:hint="cs"/>
          <w:rtl/>
        </w:rPr>
        <w:t xml:space="preserve"> </w:t>
      </w:r>
      <w:r w:rsidRPr="00571B29">
        <w:rPr>
          <w:rFonts w:hint="cs"/>
          <w:rtl/>
        </w:rPr>
        <w:t xml:space="preserve">דממכה אביו יש ראיה לסוקלין על החזקות </w:t>
      </w:r>
      <w:r>
        <w:rPr>
          <w:rFonts w:hint="cs"/>
          <w:rtl/>
        </w:rPr>
        <w:t>הביא</w:t>
      </w:r>
      <w:r w:rsidRPr="00571B29">
        <w:rPr>
          <w:rFonts w:hint="cs"/>
          <w:rtl/>
        </w:rPr>
        <w:t xml:space="preserve"> </w:t>
      </w:r>
      <w:r w:rsidRPr="000B2789">
        <w:rPr>
          <w:rStyle w:val="af9"/>
          <w:rFonts w:hint="cs"/>
          <w:rtl/>
        </w:rPr>
        <w:t>במשנת ר"א</w:t>
      </w:r>
      <w:r>
        <w:rPr>
          <w:rFonts w:hint="cs"/>
          <w:rtl/>
        </w:rPr>
        <w:t xml:space="preserve"> </w:t>
      </w:r>
      <w:r w:rsidRPr="00996D8D">
        <w:rPr>
          <w:rStyle w:val="af7"/>
          <w:rFonts w:eastAsia="Guttman Hodes" w:hint="cs"/>
          <w:rtl/>
        </w:rPr>
        <w:t>(קידושין סי' ל"א ז' ד"ה ונראה בדעת הרמב"ם)</w:t>
      </w:r>
      <w:r>
        <w:rPr>
          <w:rFonts w:hint="cs"/>
          <w:rtl/>
        </w:rPr>
        <w:t xml:space="preserve"> את דברי </w:t>
      </w:r>
      <w:r w:rsidRPr="00996D8D">
        <w:rPr>
          <w:rStyle w:val="af9"/>
          <w:rFonts w:hint="cs"/>
          <w:rtl/>
        </w:rPr>
        <w:t>הרמב"ם</w:t>
      </w:r>
      <w:r>
        <w:rPr>
          <w:rFonts w:hint="cs"/>
          <w:rtl/>
        </w:rPr>
        <w:t xml:space="preserve"> </w:t>
      </w:r>
      <w:r w:rsidRPr="00996D8D">
        <w:rPr>
          <w:rStyle w:val="af7"/>
          <w:rFonts w:eastAsia="Guttman Hodes" w:hint="cs"/>
          <w:rtl/>
        </w:rPr>
        <w:t>(איסו"ב פט"ו הכ"ז)</w:t>
      </w:r>
      <w:r>
        <w:rPr>
          <w:rFonts w:hint="cs"/>
          <w:rtl/>
        </w:rPr>
        <w:t xml:space="preserve"> דכתב דאסופי שנמצא בעיר שרובא ישראל, ונשא אשה הרי היא ספק אשת איש, והבא עליה פטור, וביארו </w:t>
      </w:r>
      <w:r w:rsidRPr="00996D8D">
        <w:rPr>
          <w:rStyle w:val="af9"/>
          <w:rFonts w:hint="cs"/>
          <w:rtl/>
        </w:rPr>
        <w:t>האחרונים</w:t>
      </w:r>
      <w:r>
        <w:rPr>
          <w:rFonts w:hint="cs"/>
          <w:rtl/>
        </w:rPr>
        <w:t xml:space="preserve"> </w:t>
      </w:r>
      <w:r w:rsidRPr="00886617">
        <w:rPr>
          <w:rStyle w:val="af7"/>
          <w:rFonts w:eastAsia="Guttman Hodes" w:hint="cs"/>
          <w:rtl/>
        </w:rPr>
        <w:t xml:space="preserve">(עי' אות </w:t>
      </w:r>
      <w:r w:rsidRPr="00886617">
        <w:rPr>
          <w:rStyle w:val="af7"/>
          <w:rFonts w:eastAsia="Guttman Hodes"/>
          <w:rtl/>
        </w:rPr>
        <w:fldChar w:fldCharType="begin"/>
      </w:r>
      <w:r w:rsidRPr="00886617">
        <w:rPr>
          <w:rStyle w:val="af7"/>
          <w:rFonts w:eastAsia="Guttman Hodes"/>
          <w:rtl/>
        </w:rPr>
        <w:instrText xml:space="preserve"> </w:instrText>
      </w:r>
      <w:r w:rsidRPr="00886617">
        <w:rPr>
          <w:rStyle w:val="af7"/>
          <w:rFonts w:eastAsia="Guttman Hodes" w:hint="cs"/>
        </w:rPr>
        <w:instrText>REF</w:instrText>
      </w:r>
      <w:r w:rsidRPr="00886617">
        <w:rPr>
          <w:rStyle w:val="af7"/>
          <w:rFonts w:eastAsia="Guttman Hodes" w:hint="cs"/>
          <w:rtl/>
        </w:rPr>
        <w:instrText xml:space="preserve"> _</w:instrText>
      </w:r>
      <w:r w:rsidRPr="00886617">
        <w:rPr>
          <w:rStyle w:val="af7"/>
          <w:rFonts w:eastAsia="Guttman Hodes" w:hint="cs"/>
        </w:rPr>
        <w:instrText>Ref530521163 \r \h</w:instrText>
      </w:r>
      <w:r w:rsidRPr="00886617">
        <w:rPr>
          <w:rStyle w:val="af7"/>
          <w:rFonts w:eastAsia="Guttman Hodes"/>
          <w:rtl/>
        </w:rPr>
        <w:instrText xml:space="preserve"> </w:instrText>
      </w:r>
      <w:r w:rsidRPr="00886617">
        <w:rPr>
          <w:rStyle w:val="af7"/>
          <w:rFonts w:eastAsia="Guttman Hodes"/>
          <w:rtl/>
        </w:rPr>
      </w:r>
      <w:r w:rsidRPr="00886617">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886617">
        <w:rPr>
          <w:rStyle w:val="af7"/>
          <w:rFonts w:eastAsia="Guttman Hodes"/>
          <w:rtl/>
        </w:rPr>
        <w:fldChar w:fldCharType="end"/>
      </w:r>
      <w:r>
        <w:rPr>
          <w:rFonts w:hint="cs"/>
          <w:rtl/>
        </w:rPr>
        <w:t xml:space="preserve"> דכיון שהוא רובא דאיתא קמן, אין לו דין ודאי, ולכן א"א להרוג עפ"י הרוב, והקשה </w:t>
      </w:r>
      <w:r w:rsidRPr="00996D8D">
        <w:rPr>
          <w:rStyle w:val="af9"/>
          <w:rFonts w:hint="cs"/>
          <w:rtl/>
        </w:rPr>
        <w:t xml:space="preserve">המשנת ר"א </w:t>
      </w:r>
      <w:r>
        <w:rPr>
          <w:rFonts w:hint="cs"/>
          <w:rtl/>
        </w:rPr>
        <w:t>דאף שע"י הרוב עצמו א"א להרוג, מ"מ כיון שהוחזק ע"י הרוב שהוא ישראל, יש לו דין ודאי אף לנפשות, מדין סוקלין על החזקות.</w:t>
      </w:r>
      <w:bookmarkEnd w:id="10272"/>
    </w:p>
    <w:p w14:paraId="1B06FAAA" w14:textId="77777777" w:rsidR="00FF73EE" w:rsidRPr="00443B3D" w:rsidRDefault="00FF73EE" w:rsidP="006D6D32">
      <w:pPr>
        <w:pStyle w:val="a3"/>
        <w:rPr>
          <w:rtl/>
        </w:rPr>
      </w:pPr>
      <w:bookmarkStart w:id="10273" w:name="_Toc530521949"/>
      <w:bookmarkStart w:id="10274" w:name="_Toc530525005"/>
      <w:bookmarkStart w:id="10275" w:name="_Toc530551152"/>
      <w:bookmarkStart w:id="10276" w:name="_Toc19390349"/>
      <w:bookmarkStart w:id="10277" w:name="_Toc19393846"/>
      <w:r>
        <w:rPr>
          <w:rFonts w:hint="cs"/>
          <w:rtl/>
        </w:rPr>
        <w:t>ביאור המשנת ר"א דאי לא אזלינן בתר רובא א"א להרוג ע"י שהוחזק לאביו דהוא מכח ספק</w:t>
      </w:r>
      <w:bookmarkEnd w:id="10273"/>
      <w:bookmarkEnd w:id="10274"/>
      <w:bookmarkEnd w:id="10275"/>
      <w:bookmarkEnd w:id="10276"/>
      <w:bookmarkEnd w:id="10277"/>
    </w:p>
    <w:p w14:paraId="75CAFB1C" w14:textId="77777777" w:rsidR="00FF73EE" w:rsidRDefault="00FF73EE" w:rsidP="00223668">
      <w:pPr>
        <w:pStyle w:val="a0"/>
        <w:rPr>
          <w:rtl/>
        </w:rPr>
      </w:pPr>
      <w:r>
        <w:rPr>
          <w:rFonts w:hint="cs"/>
          <w:rtl/>
        </w:rPr>
        <w:t xml:space="preserve">וכתב </w:t>
      </w:r>
      <w:r w:rsidRPr="00996D8D">
        <w:rPr>
          <w:rStyle w:val="af9"/>
          <w:rFonts w:hint="cs"/>
          <w:rtl/>
        </w:rPr>
        <w:t>המשנת ר"א</w:t>
      </w:r>
      <w:r>
        <w:rPr>
          <w:rFonts w:hint="cs"/>
          <w:rtl/>
        </w:rPr>
        <w:t xml:space="preserve"> דמוכח דכיון שרובא דאיתא קמן אין לו דין ודאי, א"א לומר שהוא הוחזק, דהחזקה שלו לא עדיפא מהרוב שהוחזק על פיו שאינו ודאי. ובזה ביאר </w:t>
      </w:r>
      <w:r w:rsidRPr="00996D8D">
        <w:rPr>
          <w:rStyle w:val="af9"/>
          <w:rFonts w:hint="cs"/>
          <w:rtl/>
        </w:rPr>
        <w:t>המשנת ר"א</w:t>
      </w:r>
      <w:r>
        <w:rPr>
          <w:rFonts w:hint="cs"/>
          <w:rtl/>
        </w:rPr>
        <w:t xml:space="preserve"> את הוכחת הגמ' בסוגיין ממכה אביו דאזלינן בתר רובא, דאי לא אזלינן במכה אביו בתר רובא דליתא קמן, א"כ אף שהוחזק שהוא אביו, אינו אלא מוחזקות בספק, וא"א להרוג ע"י מוחזקות זו, ומהא דקטלינן ליה מוכח דאזלינן בתר רובא ברובא דליתא קמן ויש לו דין ודאי, ולכן ע"י שהוחזק מכח הרוב קטלינן ליה מדין סוקלין על החזקות.</w:t>
      </w:r>
    </w:p>
    <w:p w14:paraId="07105996" w14:textId="77777777" w:rsidR="00FF73EE" w:rsidRDefault="00FF73EE" w:rsidP="00BF39B2">
      <w:pPr>
        <w:pStyle w:val="1"/>
        <w:rPr>
          <w:rtl/>
        </w:rPr>
      </w:pPr>
      <w:bookmarkStart w:id="10278" w:name="_Toc530083918"/>
      <w:bookmarkStart w:id="10279" w:name="_Toc530083954"/>
      <w:bookmarkStart w:id="10280" w:name="_Toc530147716"/>
      <w:bookmarkStart w:id="10281" w:name="_Toc530148044"/>
      <w:bookmarkStart w:id="10282" w:name="_Toc530348988"/>
      <w:bookmarkStart w:id="10283" w:name="_Toc530395879"/>
      <w:bookmarkStart w:id="10284" w:name="_Toc530411143"/>
      <w:bookmarkStart w:id="10285" w:name="_Toc530503016"/>
      <w:bookmarkStart w:id="10286" w:name="_Toc530504524"/>
      <w:bookmarkStart w:id="10287" w:name="_Toc530514403"/>
      <w:bookmarkStart w:id="10288" w:name="_Toc530514506"/>
      <w:bookmarkStart w:id="10289" w:name="_Toc530521950"/>
      <w:bookmarkStart w:id="10290" w:name="_Toc530525006"/>
      <w:bookmarkStart w:id="10291" w:name="_Toc530551153"/>
      <w:bookmarkStart w:id="10292" w:name="_Toc19390350"/>
      <w:bookmarkStart w:id="10293" w:name="_Toc19393847"/>
      <w:r>
        <w:rPr>
          <w:rFonts w:hint="cs"/>
          <w:rtl/>
        </w:rPr>
        <w:t>ביאור המשנת ר"א דרוב לבד ל"מ בנפשות כיון שמוחזק בגופו</w:t>
      </w:r>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p>
    <w:p w14:paraId="19497F13" w14:textId="77777777" w:rsidR="00FF73EE" w:rsidRDefault="00FF73EE" w:rsidP="006D6D32">
      <w:pPr>
        <w:pStyle w:val="a3"/>
        <w:rPr>
          <w:rtl/>
        </w:rPr>
      </w:pPr>
      <w:bookmarkStart w:id="10294" w:name="_Toc530521951"/>
      <w:bookmarkStart w:id="10295" w:name="_Toc530525007"/>
      <w:bookmarkStart w:id="10296" w:name="_Toc530551154"/>
      <w:bookmarkStart w:id="10297" w:name="_Toc19390351"/>
      <w:bookmarkStart w:id="10298" w:name="_Toc19393848"/>
      <w:r>
        <w:rPr>
          <w:rFonts w:hint="cs"/>
          <w:rtl/>
        </w:rPr>
        <w:t>דברי המשנת ר"א דחזקת גופו עושה ריעותא בהוחזק ובלא רוב א"א להרוג מכח החזקה</w:t>
      </w:r>
      <w:bookmarkEnd w:id="10294"/>
      <w:bookmarkEnd w:id="10295"/>
      <w:bookmarkEnd w:id="10296"/>
      <w:bookmarkEnd w:id="10297"/>
      <w:bookmarkEnd w:id="10298"/>
    </w:p>
    <w:p w14:paraId="339CBC7E" w14:textId="77777777" w:rsidR="00FF73EE" w:rsidRDefault="00FF73EE" w:rsidP="00223668">
      <w:pPr>
        <w:pStyle w:val="a0"/>
        <w:rPr>
          <w:rtl/>
        </w:rPr>
      </w:pPr>
      <w:bookmarkStart w:id="10299" w:name="_Ref530080745"/>
      <w:r>
        <w:rPr>
          <w:rFonts w:hint="cs"/>
          <w:rtl/>
        </w:rPr>
        <w:t xml:space="preserve">ועוד ביאר </w:t>
      </w:r>
      <w:r w:rsidRPr="0039124F">
        <w:rPr>
          <w:rStyle w:val="af9"/>
          <w:rFonts w:hint="cs"/>
          <w:rtl/>
        </w:rPr>
        <w:t>במשנת ר"א</w:t>
      </w:r>
      <w:r>
        <w:rPr>
          <w:rFonts w:hint="cs"/>
          <w:rtl/>
        </w:rPr>
        <w:t xml:space="preserve"> </w:t>
      </w:r>
      <w:r w:rsidRPr="0039124F">
        <w:rPr>
          <w:rStyle w:val="af7"/>
          <w:rFonts w:eastAsia="Guttman Hodes" w:hint="cs"/>
          <w:rtl/>
        </w:rPr>
        <w:t>(קידושין סי' ל"א ז' ד"ה ומעתה נראה)</w:t>
      </w:r>
      <w:r>
        <w:rPr>
          <w:rFonts w:hint="cs"/>
          <w:rtl/>
        </w:rPr>
        <w:t xml:space="preserve"> דמדין סוקלין על החזקות א"א להרוג כיון שיש כנגדו חזקת חיים שמוחזק בגופו, </w:t>
      </w:r>
      <w:r w:rsidRPr="00A32260">
        <w:rPr>
          <w:rStyle w:val="afb"/>
          <w:rFonts w:hint="cs"/>
          <w:rtl/>
        </w:rPr>
        <w:t xml:space="preserve">[עי' </w:t>
      </w:r>
      <w:r w:rsidRPr="00A32260">
        <w:rPr>
          <w:rStyle w:val="affa"/>
          <w:rFonts w:hint="cs"/>
          <w:rtl/>
        </w:rPr>
        <w:t>בש"ש</w:t>
      </w:r>
      <w:r w:rsidRPr="00A32260">
        <w:rPr>
          <w:rStyle w:val="afb"/>
          <w:rFonts w:hint="cs"/>
          <w:rtl/>
        </w:rPr>
        <w:t xml:space="preserve"> </w:t>
      </w:r>
      <w:r w:rsidRPr="0039124F">
        <w:rPr>
          <w:rStyle w:val="af7"/>
          <w:rFonts w:eastAsia="Guttman Hodes" w:hint="cs"/>
          <w:rtl/>
        </w:rPr>
        <w:t xml:space="preserve">(עי' אות </w:t>
      </w:r>
      <w:r w:rsidRPr="0039124F">
        <w:rPr>
          <w:rStyle w:val="af7"/>
          <w:rFonts w:eastAsia="Guttman Hodes"/>
          <w:rtl/>
        </w:rPr>
        <w:fldChar w:fldCharType="begin"/>
      </w:r>
      <w:r w:rsidRPr="0039124F">
        <w:rPr>
          <w:rStyle w:val="af7"/>
          <w:rFonts w:eastAsia="Guttman Hodes"/>
          <w:rtl/>
        </w:rPr>
        <w:instrText xml:space="preserve"> </w:instrText>
      </w:r>
      <w:r w:rsidRPr="0039124F">
        <w:rPr>
          <w:rStyle w:val="af7"/>
          <w:rFonts w:eastAsia="Guttman Hodes" w:hint="cs"/>
        </w:rPr>
        <w:instrText>REF</w:instrText>
      </w:r>
      <w:r w:rsidRPr="0039124F">
        <w:rPr>
          <w:rStyle w:val="af7"/>
          <w:rFonts w:eastAsia="Guttman Hodes" w:hint="cs"/>
          <w:rtl/>
        </w:rPr>
        <w:instrText xml:space="preserve"> _</w:instrText>
      </w:r>
      <w:r w:rsidRPr="0039124F">
        <w:rPr>
          <w:rStyle w:val="af7"/>
          <w:rFonts w:eastAsia="Guttman Hodes" w:hint="cs"/>
        </w:rPr>
        <w:instrText>Ref530072426 \r \h</w:instrText>
      </w:r>
      <w:r w:rsidRPr="0039124F">
        <w:rPr>
          <w:rStyle w:val="af7"/>
          <w:rFonts w:eastAsia="Guttman Hodes"/>
          <w:rtl/>
        </w:rPr>
        <w:instrText xml:space="preserve"> </w:instrText>
      </w:r>
      <w:r w:rsidRPr="0039124F">
        <w:rPr>
          <w:rStyle w:val="af7"/>
          <w:rFonts w:eastAsia="Guttman Hodes"/>
          <w:rtl/>
        </w:rPr>
      </w:r>
      <w:r w:rsidRPr="0039124F">
        <w:rPr>
          <w:rStyle w:val="af7"/>
          <w:rFonts w:eastAsia="Guttman Hodes"/>
          <w:rtl/>
        </w:rPr>
        <w:fldChar w:fldCharType="separate"/>
      </w:r>
      <w:r w:rsidR="00345400">
        <w:rPr>
          <w:rStyle w:val="af7"/>
          <w:rFonts w:eastAsia="Guttman Hodes"/>
          <w:cs/>
        </w:rPr>
        <w:t>‎</w:t>
      </w:r>
      <w:r w:rsidR="00345400">
        <w:rPr>
          <w:rStyle w:val="af7"/>
          <w:rFonts w:eastAsia="Guttman Hodes"/>
          <w:rtl/>
        </w:rPr>
        <w:t>מה)</w:t>
      </w:r>
      <w:r w:rsidRPr="0039124F">
        <w:rPr>
          <w:rStyle w:val="af7"/>
          <w:rFonts w:eastAsia="Guttman Hodes"/>
          <w:rtl/>
        </w:rPr>
        <w:fldChar w:fldCharType="end"/>
      </w:r>
      <w:r w:rsidRPr="00A32260">
        <w:rPr>
          <w:rStyle w:val="afb"/>
          <w:rFonts w:hint="cs"/>
          <w:rtl/>
        </w:rPr>
        <w:t xml:space="preserve"> ובמה שדחה </w:t>
      </w:r>
      <w:r w:rsidRPr="00A32260">
        <w:rPr>
          <w:rStyle w:val="affa"/>
          <w:rFonts w:hint="cs"/>
          <w:rtl/>
        </w:rPr>
        <w:t>הקוב"ש</w:t>
      </w:r>
      <w:r w:rsidRPr="00A32260">
        <w:rPr>
          <w:rStyle w:val="afb"/>
          <w:rFonts w:hint="cs"/>
          <w:rtl/>
        </w:rPr>
        <w:t xml:space="preserve"> </w:t>
      </w:r>
      <w:r w:rsidRPr="0039124F">
        <w:rPr>
          <w:rStyle w:val="af7"/>
          <w:rFonts w:eastAsia="Guttman Hodes" w:hint="cs"/>
          <w:rtl/>
        </w:rPr>
        <w:t xml:space="preserve">(עי' אות </w:t>
      </w:r>
      <w:r w:rsidRPr="0039124F">
        <w:rPr>
          <w:rStyle w:val="af7"/>
          <w:rFonts w:eastAsia="Guttman Hodes"/>
          <w:rtl/>
        </w:rPr>
        <w:fldChar w:fldCharType="begin"/>
      </w:r>
      <w:r w:rsidRPr="0039124F">
        <w:rPr>
          <w:rStyle w:val="af7"/>
          <w:rFonts w:eastAsia="Guttman Hodes"/>
          <w:rtl/>
        </w:rPr>
        <w:instrText xml:space="preserve"> </w:instrText>
      </w:r>
      <w:r w:rsidRPr="0039124F">
        <w:rPr>
          <w:rStyle w:val="af7"/>
          <w:rFonts w:eastAsia="Guttman Hodes" w:hint="cs"/>
        </w:rPr>
        <w:instrText>REF</w:instrText>
      </w:r>
      <w:r w:rsidRPr="0039124F">
        <w:rPr>
          <w:rStyle w:val="af7"/>
          <w:rFonts w:eastAsia="Guttman Hodes" w:hint="cs"/>
          <w:rtl/>
        </w:rPr>
        <w:instrText xml:space="preserve"> _</w:instrText>
      </w:r>
      <w:r w:rsidRPr="0039124F">
        <w:rPr>
          <w:rStyle w:val="af7"/>
          <w:rFonts w:eastAsia="Guttman Hodes" w:hint="cs"/>
        </w:rPr>
        <w:instrText>Ref530072462 \r \h</w:instrText>
      </w:r>
      <w:r w:rsidRPr="0039124F">
        <w:rPr>
          <w:rStyle w:val="af7"/>
          <w:rFonts w:eastAsia="Guttman Hodes"/>
          <w:rtl/>
        </w:rPr>
        <w:instrText xml:space="preserve"> </w:instrText>
      </w:r>
      <w:r w:rsidRPr="0039124F">
        <w:rPr>
          <w:rStyle w:val="af7"/>
          <w:rFonts w:eastAsia="Guttman Hodes"/>
          <w:rtl/>
        </w:rPr>
      </w:r>
      <w:r w:rsidRPr="0039124F">
        <w:rPr>
          <w:rStyle w:val="af7"/>
          <w:rFonts w:eastAsia="Guttman Hodes"/>
          <w:rtl/>
        </w:rPr>
        <w:fldChar w:fldCharType="separate"/>
      </w:r>
      <w:r w:rsidR="00345400">
        <w:rPr>
          <w:rStyle w:val="af7"/>
          <w:rFonts w:eastAsia="Guttman Hodes"/>
          <w:cs/>
        </w:rPr>
        <w:t>‎</w:t>
      </w:r>
      <w:r w:rsidR="00345400">
        <w:rPr>
          <w:rStyle w:val="af7"/>
          <w:rFonts w:eastAsia="Guttman Hodes"/>
          <w:rtl/>
        </w:rPr>
        <w:t>קה)</w:t>
      </w:r>
      <w:r w:rsidRPr="0039124F">
        <w:rPr>
          <w:rStyle w:val="af7"/>
          <w:rFonts w:eastAsia="Guttman Hodes"/>
          <w:rtl/>
        </w:rPr>
        <w:fldChar w:fldCharType="end"/>
      </w:r>
      <w:r w:rsidRPr="00A32260">
        <w:rPr>
          <w:rStyle w:val="afb"/>
          <w:rFonts w:hint="cs"/>
          <w:rtl/>
        </w:rPr>
        <w:t>],</w:t>
      </w:r>
      <w:r>
        <w:rPr>
          <w:rFonts w:hint="cs"/>
          <w:rtl/>
        </w:rPr>
        <w:t xml:space="preserve"> ואף שרובא עדיף מחזקה, מ"מ יש בכח החזקה לעשות ריעותא ברוב, כמבואר </w:t>
      </w:r>
      <w:r w:rsidRPr="00A32260">
        <w:rPr>
          <w:rStyle w:val="af9"/>
          <w:rFonts w:hint="cs"/>
          <w:rtl/>
        </w:rPr>
        <w:t>ברש"י בנדה</w:t>
      </w:r>
      <w:r>
        <w:rPr>
          <w:rFonts w:hint="cs"/>
          <w:rtl/>
        </w:rPr>
        <w:t xml:space="preserve"> </w:t>
      </w:r>
      <w:r w:rsidRPr="0039124F">
        <w:rPr>
          <w:rStyle w:val="af7"/>
          <w:rFonts w:eastAsia="Guttman Hodes" w:hint="cs"/>
          <w:rtl/>
        </w:rPr>
        <w:t>(יח. ד"ה דמרעא)</w:t>
      </w:r>
      <w:r>
        <w:rPr>
          <w:rFonts w:hint="cs"/>
          <w:rtl/>
        </w:rPr>
        <w:t xml:space="preserve"> וכן בדברי </w:t>
      </w:r>
      <w:r w:rsidRPr="00A32260">
        <w:rPr>
          <w:rStyle w:val="af9"/>
          <w:rFonts w:hint="cs"/>
          <w:rtl/>
        </w:rPr>
        <w:t>הרמב"ן במלחמות</w:t>
      </w:r>
      <w:r w:rsidRPr="0039124F">
        <w:rPr>
          <w:rStyle w:val="af7"/>
          <w:rFonts w:eastAsia="Guttman Hodes" w:hint="cs"/>
          <w:rtl/>
        </w:rPr>
        <w:t xml:space="preserve"> (דף ג: מדפי הרי"ף)</w:t>
      </w:r>
      <w:r>
        <w:rPr>
          <w:rFonts w:hint="cs"/>
          <w:rtl/>
        </w:rPr>
        <w:t xml:space="preserve"> בדין בדיקת ריאה דכיון שיש חזקת איסור, צריך לבדוק את הריאה אף שיש רוב שאינה טריפה, וכיון שיש ריעותא ברוב אין לו דין ודאי ולא קטלינן ליה כמבואר </w:t>
      </w:r>
      <w:r w:rsidRPr="00A32260">
        <w:rPr>
          <w:rStyle w:val="af9"/>
          <w:rFonts w:hint="cs"/>
          <w:rtl/>
        </w:rPr>
        <w:t>ברמב"ם</w:t>
      </w:r>
      <w:r>
        <w:rPr>
          <w:rFonts w:hint="cs"/>
          <w:rtl/>
        </w:rPr>
        <w:t xml:space="preserve"> </w:t>
      </w:r>
      <w:r w:rsidRPr="0039124F">
        <w:rPr>
          <w:rStyle w:val="af7"/>
          <w:rFonts w:eastAsia="Guttman Hodes" w:hint="cs"/>
          <w:rtl/>
        </w:rPr>
        <w:t xml:space="preserve">(עי' אות </w:t>
      </w:r>
      <w:r w:rsidRPr="0039124F">
        <w:rPr>
          <w:rStyle w:val="af7"/>
          <w:rFonts w:eastAsia="Guttman Hodes"/>
          <w:rtl/>
        </w:rPr>
        <w:fldChar w:fldCharType="begin"/>
      </w:r>
      <w:r w:rsidRPr="0039124F">
        <w:rPr>
          <w:rStyle w:val="af7"/>
          <w:rFonts w:eastAsia="Guttman Hodes"/>
          <w:rtl/>
        </w:rPr>
        <w:instrText xml:space="preserve"> </w:instrText>
      </w:r>
      <w:r w:rsidRPr="0039124F">
        <w:rPr>
          <w:rStyle w:val="af7"/>
          <w:rFonts w:eastAsia="Guttman Hodes" w:hint="cs"/>
        </w:rPr>
        <w:instrText>REF</w:instrText>
      </w:r>
      <w:r w:rsidRPr="0039124F">
        <w:rPr>
          <w:rStyle w:val="af7"/>
          <w:rFonts w:eastAsia="Guttman Hodes" w:hint="cs"/>
          <w:rtl/>
        </w:rPr>
        <w:instrText xml:space="preserve"> _</w:instrText>
      </w:r>
      <w:r w:rsidRPr="0039124F">
        <w:rPr>
          <w:rStyle w:val="af7"/>
          <w:rFonts w:eastAsia="Guttman Hodes" w:hint="cs"/>
        </w:rPr>
        <w:instrText>Ref530079869 \r \h</w:instrText>
      </w:r>
      <w:r w:rsidRPr="0039124F">
        <w:rPr>
          <w:rStyle w:val="af7"/>
          <w:rFonts w:eastAsia="Guttman Hodes"/>
          <w:rtl/>
        </w:rPr>
        <w:instrText xml:space="preserve"> </w:instrText>
      </w:r>
      <w:r w:rsidRPr="0039124F">
        <w:rPr>
          <w:rStyle w:val="af7"/>
          <w:rFonts w:eastAsia="Guttman Hodes"/>
          <w:rtl/>
        </w:rPr>
      </w:r>
      <w:r w:rsidRPr="0039124F">
        <w:rPr>
          <w:rStyle w:val="af7"/>
          <w:rFonts w:eastAsia="Guttman Hodes"/>
          <w:rtl/>
        </w:rPr>
        <w:fldChar w:fldCharType="separate"/>
      </w:r>
      <w:r w:rsidR="00345400">
        <w:rPr>
          <w:rStyle w:val="af7"/>
          <w:rFonts w:eastAsia="Guttman Hodes"/>
          <w:cs/>
        </w:rPr>
        <w:t>‎</w:t>
      </w:r>
      <w:r w:rsidR="00345400">
        <w:rPr>
          <w:rStyle w:val="af7"/>
          <w:rFonts w:eastAsia="Guttman Hodes"/>
          <w:rtl/>
        </w:rPr>
        <w:t>סד)</w:t>
      </w:r>
      <w:r w:rsidRPr="0039124F">
        <w:rPr>
          <w:rStyle w:val="af7"/>
          <w:rFonts w:eastAsia="Guttman Hodes"/>
          <w:rtl/>
        </w:rPr>
        <w:fldChar w:fldCharType="end"/>
      </w:r>
      <w:r>
        <w:rPr>
          <w:rFonts w:hint="cs"/>
          <w:rtl/>
        </w:rPr>
        <w:t xml:space="preserve"> בדינא דרובא דאיתא קמן.</w:t>
      </w:r>
      <w:bookmarkEnd w:id="10299"/>
    </w:p>
    <w:p w14:paraId="1EF7F748" w14:textId="77777777" w:rsidR="00FF73EE" w:rsidRDefault="00FF73EE" w:rsidP="006D6D32">
      <w:pPr>
        <w:pStyle w:val="a3"/>
        <w:rPr>
          <w:rtl/>
        </w:rPr>
      </w:pPr>
      <w:bookmarkStart w:id="10300" w:name="_Toc530521952"/>
      <w:bookmarkStart w:id="10301" w:name="_Toc530525008"/>
      <w:bookmarkStart w:id="10302" w:name="_Toc530551155"/>
      <w:bookmarkStart w:id="10303" w:name="_Toc19390352"/>
      <w:bookmarkStart w:id="10304" w:name="_Toc19393849"/>
      <w:r>
        <w:rPr>
          <w:rFonts w:hint="cs"/>
          <w:rtl/>
        </w:rPr>
        <w:t>ביאור המשנת ר"א דע"י הרוב הוחזק לאביו ול"מ חזקת גופו ומזה מוכח דסוקלין על החזקות</w:t>
      </w:r>
      <w:bookmarkEnd w:id="10300"/>
      <w:bookmarkEnd w:id="10301"/>
      <w:bookmarkEnd w:id="10302"/>
      <w:bookmarkEnd w:id="10303"/>
      <w:bookmarkEnd w:id="10304"/>
    </w:p>
    <w:p w14:paraId="29D63FE7" w14:textId="77777777" w:rsidR="00FF73EE" w:rsidRDefault="00FF73EE" w:rsidP="00223668">
      <w:pPr>
        <w:pStyle w:val="a0"/>
        <w:rPr>
          <w:rtl/>
        </w:rPr>
      </w:pPr>
      <w:r>
        <w:rPr>
          <w:rFonts w:hint="cs"/>
          <w:rtl/>
        </w:rPr>
        <w:t xml:space="preserve">וכתב </w:t>
      </w:r>
      <w:r w:rsidRPr="0039124F">
        <w:rPr>
          <w:rStyle w:val="af9"/>
          <w:rFonts w:hint="cs"/>
          <w:rtl/>
        </w:rPr>
        <w:t>במשנת ר"א</w:t>
      </w:r>
      <w:r>
        <w:rPr>
          <w:rFonts w:hint="cs"/>
          <w:rtl/>
        </w:rPr>
        <w:t xml:space="preserve"> דמזה הוכיח </w:t>
      </w:r>
      <w:r w:rsidRPr="0039124F">
        <w:rPr>
          <w:rStyle w:val="af9"/>
          <w:rFonts w:hint="cs"/>
          <w:rtl/>
        </w:rPr>
        <w:t>הרמב"ם</w:t>
      </w:r>
      <w:r>
        <w:rPr>
          <w:rFonts w:hint="cs"/>
          <w:rtl/>
        </w:rPr>
        <w:t xml:space="preserve"> </w:t>
      </w:r>
      <w:r w:rsidRPr="00322D39">
        <w:rPr>
          <w:rStyle w:val="af7"/>
          <w:rFonts w:eastAsia="Guttman Hodes" w:hint="cs"/>
          <w:rtl/>
        </w:rPr>
        <w:t xml:space="preserve">(עי' אות </w:t>
      </w:r>
      <w:r w:rsidRPr="00322D39">
        <w:rPr>
          <w:rStyle w:val="af7"/>
          <w:rFonts w:eastAsia="Guttman Hodes"/>
          <w:rtl/>
        </w:rPr>
        <w:fldChar w:fldCharType="begin"/>
      </w:r>
      <w:r w:rsidRPr="00322D39">
        <w:rPr>
          <w:rStyle w:val="af7"/>
          <w:rFonts w:eastAsia="Guttman Hodes"/>
          <w:rtl/>
        </w:rPr>
        <w:instrText xml:space="preserve"> </w:instrText>
      </w:r>
      <w:r w:rsidRPr="00322D39">
        <w:rPr>
          <w:rStyle w:val="af7"/>
          <w:rFonts w:eastAsia="Guttman Hodes" w:hint="cs"/>
        </w:rPr>
        <w:instrText>REF</w:instrText>
      </w:r>
      <w:r w:rsidRPr="00322D39">
        <w:rPr>
          <w:rStyle w:val="af7"/>
          <w:rFonts w:eastAsia="Guttman Hodes" w:hint="cs"/>
          <w:rtl/>
        </w:rPr>
        <w:instrText xml:space="preserve"> _</w:instrText>
      </w:r>
      <w:r w:rsidRPr="00322D39">
        <w:rPr>
          <w:rStyle w:val="af7"/>
          <w:rFonts w:eastAsia="Guttman Hodes" w:hint="cs"/>
        </w:rPr>
        <w:instrText>Ref530080634 \r \h</w:instrText>
      </w:r>
      <w:r w:rsidRPr="00322D39">
        <w:rPr>
          <w:rStyle w:val="af7"/>
          <w:rFonts w:eastAsia="Guttman Hodes"/>
          <w:rtl/>
        </w:rPr>
        <w:instrText xml:space="preserve"> </w:instrText>
      </w:r>
      <w:r w:rsidRPr="00322D39">
        <w:rPr>
          <w:rStyle w:val="af7"/>
          <w:rFonts w:eastAsia="Guttman Hodes"/>
          <w:rtl/>
        </w:rPr>
      </w:r>
      <w:r w:rsidRPr="00322D39">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322D39">
        <w:rPr>
          <w:rStyle w:val="af7"/>
          <w:rFonts w:eastAsia="Guttman Hodes"/>
          <w:rtl/>
        </w:rPr>
        <w:fldChar w:fldCharType="end"/>
      </w:r>
      <w:r>
        <w:rPr>
          <w:rFonts w:hint="cs"/>
          <w:rtl/>
        </w:rPr>
        <w:t xml:space="preserve"> ממכה אביו את דינא דסוקלין על החזקות, דאף שיש חזקה כנגד הרוב, מ"מ כיון שהוחזק לגבי שאר דינים שהוא אביו, יש כח ברוב להחשיבו כאביו</w:t>
      </w:r>
      <w:r w:rsidRPr="00D06E0F">
        <w:rPr>
          <w:rFonts w:hint="cs"/>
          <w:rtl/>
        </w:rPr>
        <w:t xml:space="preserve"> </w:t>
      </w:r>
      <w:r>
        <w:rPr>
          <w:rFonts w:hint="cs"/>
          <w:rtl/>
        </w:rPr>
        <w:t xml:space="preserve">בודאי, דאי"ז חשיב כרוב נגד חזקה, דהא כבר הוחזק שהוא ודאי אביו. וכתב </w:t>
      </w:r>
      <w:r w:rsidRPr="0039124F">
        <w:rPr>
          <w:rStyle w:val="af9"/>
          <w:rFonts w:hint="cs"/>
          <w:rtl/>
        </w:rPr>
        <w:t>המשנת ר"א</w:t>
      </w:r>
      <w:r>
        <w:rPr>
          <w:rFonts w:hint="cs"/>
          <w:rtl/>
        </w:rPr>
        <w:t xml:space="preserve"> דא"כ מבואר דמדין מכה אביו מוכח גם דאזלינן בתר רובא כדאיתא בסוגיין, דאי לא היה רוב לא היה אפשר להחזיקו מתחילה כאביו לשאר דינים, וכן מוכח דסוקלין על החזקות, כדברי הירושלמי </w:t>
      </w:r>
      <w:r w:rsidRPr="0039124F">
        <w:rPr>
          <w:rStyle w:val="af9"/>
          <w:rFonts w:hint="cs"/>
          <w:rtl/>
        </w:rPr>
        <w:t>והרמב"ם</w:t>
      </w:r>
      <w:r>
        <w:rPr>
          <w:rFonts w:hint="cs"/>
          <w:rtl/>
        </w:rPr>
        <w:t>, דמדין רוב לבד בלא החזקה, א"א להורגו, כיון שהרוב נגד חזקתו שהוא מוחזק בגופו, אלא מוכח דע"י הרוב הוחזק לאביו ודאי, והורגין אותו מדין סוקלין על החזקות, ולא מדין הרוב.</w:t>
      </w:r>
    </w:p>
    <w:p w14:paraId="1B5E43FB" w14:textId="77777777" w:rsidR="00FF73EE" w:rsidRDefault="00FF73EE" w:rsidP="006D6D32">
      <w:pPr>
        <w:pStyle w:val="afe"/>
        <w:rPr>
          <w:rtl/>
        </w:rPr>
      </w:pPr>
      <w:bookmarkStart w:id="10305" w:name="_Toc530503018"/>
      <w:bookmarkStart w:id="10306" w:name="_Toc530504527"/>
      <w:bookmarkStart w:id="10307" w:name="_Toc530514404"/>
      <w:bookmarkStart w:id="10308" w:name="_Toc530514507"/>
      <w:bookmarkStart w:id="10309" w:name="_Toc530521953"/>
      <w:bookmarkStart w:id="10310" w:name="_Toc530525009"/>
      <w:bookmarkStart w:id="10311" w:name="_Toc530551156"/>
      <w:bookmarkStart w:id="10312" w:name="_Toc19435701"/>
      <w:bookmarkStart w:id="10313" w:name="_Toc20080969"/>
      <w:bookmarkStart w:id="10314" w:name="_Toc530083915"/>
      <w:bookmarkStart w:id="10315" w:name="_Toc530083951"/>
      <w:bookmarkStart w:id="10316" w:name="_Toc530147713"/>
      <w:bookmarkStart w:id="10317" w:name="_Toc530148041"/>
      <w:bookmarkStart w:id="10318" w:name="_Toc530348985"/>
      <w:bookmarkStart w:id="10319" w:name="_Toc530395876"/>
      <w:bookmarkStart w:id="10320" w:name="_Toc530411140"/>
      <w:bookmarkStart w:id="10321" w:name="_Toc530083919"/>
      <w:bookmarkStart w:id="10322" w:name="_Toc530083955"/>
      <w:bookmarkStart w:id="10323" w:name="_Toc530147717"/>
      <w:bookmarkStart w:id="10324" w:name="_Toc530148045"/>
      <w:bookmarkStart w:id="10325" w:name="_Toc530348989"/>
      <w:bookmarkStart w:id="10326" w:name="_Toc530395880"/>
      <w:bookmarkStart w:id="10327" w:name="_Toc530411144"/>
      <w:r>
        <w:rPr>
          <w:rFonts w:hint="cs"/>
          <w:rtl/>
        </w:rPr>
        <w:t>בביאור הרוב במכה אביו</w:t>
      </w:r>
      <w:bookmarkEnd w:id="10305"/>
      <w:bookmarkEnd w:id="10306"/>
      <w:bookmarkEnd w:id="10307"/>
      <w:bookmarkEnd w:id="10308"/>
      <w:bookmarkEnd w:id="10309"/>
      <w:bookmarkEnd w:id="10310"/>
      <w:bookmarkEnd w:id="10311"/>
      <w:bookmarkEnd w:id="10312"/>
      <w:bookmarkEnd w:id="10313"/>
    </w:p>
    <w:p w14:paraId="0A62BD78" w14:textId="77777777" w:rsidR="00FF73EE" w:rsidRDefault="00FF73EE" w:rsidP="00BF39B2">
      <w:pPr>
        <w:pStyle w:val="1"/>
        <w:rPr>
          <w:rtl/>
        </w:rPr>
      </w:pPr>
      <w:bookmarkStart w:id="10328" w:name="_Toc530503019"/>
      <w:bookmarkStart w:id="10329" w:name="_Toc530504528"/>
      <w:bookmarkStart w:id="10330" w:name="_Toc530514405"/>
      <w:bookmarkStart w:id="10331" w:name="_Toc530514508"/>
      <w:bookmarkStart w:id="10332" w:name="_Toc530521954"/>
      <w:bookmarkStart w:id="10333" w:name="_Toc530525010"/>
      <w:bookmarkStart w:id="10334" w:name="_Toc530551157"/>
      <w:bookmarkStart w:id="10335" w:name="_Toc19390353"/>
      <w:bookmarkStart w:id="10336" w:name="_Toc19393850"/>
      <w:r>
        <w:rPr>
          <w:rFonts w:hint="cs"/>
          <w:rtl/>
        </w:rPr>
        <w:t>דברי הקוב"ש בהא דבמכה אביו מעמידים אותו בחזקת בנו</w:t>
      </w:r>
      <w:bookmarkEnd w:id="10314"/>
      <w:bookmarkEnd w:id="10315"/>
      <w:bookmarkEnd w:id="10316"/>
      <w:bookmarkEnd w:id="10317"/>
      <w:bookmarkEnd w:id="10318"/>
      <w:bookmarkEnd w:id="10319"/>
      <w:bookmarkEnd w:id="10320"/>
      <w:bookmarkEnd w:id="10328"/>
      <w:bookmarkEnd w:id="10329"/>
      <w:bookmarkEnd w:id="10330"/>
      <w:bookmarkEnd w:id="10331"/>
      <w:bookmarkEnd w:id="10332"/>
      <w:bookmarkEnd w:id="10333"/>
      <w:bookmarkEnd w:id="10334"/>
      <w:bookmarkEnd w:id="10335"/>
      <w:bookmarkEnd w:id="10336"/>
    </w:p>
    <w:p w14:paraId="090B4A70" w14:textId="77777777" w:rsidR="00FF73EE" w:rsidRDefault="00FF73EE" w:rsidP="006D6D32">
      <w:pPr>
        <w:pStyle w:val="a3"/>
        <w:rPr>
          <w:rtl/>
        </w:rPr>
      </w:pPr>
      <w:bookmarkStart w:id="10337" w:name="_Toc530521955"/>
      <w:bookmarkStart w:id="10338" w:name="_Toc530525011"/>
      <w:bookmarkStart w:id="10339" w:name="_Toc530551158"/>
      <w:bookmarkStart w:id="10340" w:name="_Toc19390354"/>
      <w:bookmarkStart w:id="10341" w:name="_Toc19393851"/>
      <w:r>
        <w:rPr>
          <w:rFonts w:hint="cs"/>
          <w:rtl/>
        </w:rPr>
        <w:t>קושית הקוב"ש דרוב העולם אינם אביו של הבן ואף מי שהוחזק כאביו הוא בכלל רוב זה</w:t>
      </w:r>
      <w:bookmarkEnd w:id="10337"/>
      <w:bookmarkEnd w:id="10338"/>
      <w:bookmarkEnd w:id="10339"/>
      <w:bookmarkEnd w:id="10340"/>
      <w:bookmarkEnd w:id="10341"/>
    </w:p>
    <w:p w14:paraId="113353C0" w14:textId="77777777" w:rsidR="00FF73EE" w:rsidRDefault="00FF73EE" w:rsidP="00223668">
      <w:pPr>
        <w:pStyle w:val="a0"/>
        <w:rPr>
          <w:rtl/>
        </w:rPr>
      </w:pPr>
      <w:r>
        <w:rPr>
          <w:rFonts w:hint="cs"/>
          <w:rtl/>
        </w:rPr>
        <w:t xml:space="preserve">הקשה </w:t>
      </w:r>
      <w:r w:rsidRPr="00560E0A">
        <w:rPr>
          <w:rStyle w:val="af9"/>
          <w:rFonts w:hint="cs"/>
          <w:rtl/>
        </w:rPr>
        <w:t>הקוב"ש</w:t>
      </w:r>
      <w:r w:rsidRPr="00560E0A">
        <w:rPr>
          <w:rStyle w:val="af7"/>
          <w:rFonts w:eastAsia="Guttman Hodes" w:hint="cs"/>
          <w:rtl/>
        </w:rPr>
        <w:t xml:space="preserve"> (ח"ב על הש"ש אות ו' ד"ה אחר כתבי) </w:t>
      </w:r>
      <w:r>
        <w:rPr>
          <w:rFonts w:hint="cs"/>
          <w:rtl/>
        </w:rPr>
        <w:t>היאך במכה אביו אמרינן דמחמת רוב בעילות אחר הבעל, דהוא ודאי בנו, הא כיון שיש ספק האם מי שמוחזק כאביו, הוא אביו או לא, וכיון שרוב העולם אין להם דין אב לגבי הבן הזה, א"כ נאמר שאף מי שמוחזק כאביו הוא בכלל הרוב שאין להם דין אב, ויהיה רוב שאינו אביו, כנגד הרוב דרוב בעילות אחר הבעל.</w:t>
      </w:r>
    </w:p>
    <w:p w14:paraId="7920B4E7" w14:textId="77777777" w:rsidR="00FF73EE" w:rsidRDefault="00FF73EE" w:rsidP="006D6D32">
      <w:pPr>
        <w:pStyle w:val="a3"/>
        <w:rPr>
          <w:rtl/>
        </w:rPr>
      </w:pPr>
      <w:bookmarkStart w:id="10342" w:name="_Toc530521956"/>
      <w:bookmarkStart w:id="10343" w:name="_Toc530525012"/>
      <w:bookmarkStart w:id="10344" w:name="_Toc530551159"/>
      <w:bookmarkStart w:id="10345" w:name="_Toc19390355"/>
      <w:bookmarkStart w:id="10346" w:name="_Toc19393852"/>
      <w:r>
        <w:rPr>
          <w:rFonts w:hint="cs"/>
          <w:rtl/>
        </w:rPr>
        <w:t>תירוץ הקוב"ש דלרוב העולם יש רוב שהם אביהם של בניהם ומי שהוחזק לאביו בכלל רוב זה</w:t>
      </w:r>
      <w:bookmarkEnd w:id="10342"/>
      <w:bookmarkEnd w:id="10343"/>
      <w:bookmarkEnd w:id="10344"/>
      <w:bookmarkEnd w:id="10345"/>
      <w:bookmarkEnd w:id="10346"/>
    </w:p>
    <w:p w14:paraId="76C8FF0C" w14:textId="77777777" w:rsidR="00FF73EE" w:rsidRDefault="00FF73EE" w:rsidP="00223668">
      <w:pPr>
        <w:pStyle w:val="a0"/>
        <w:rPr>
          <w:rtl/>
        </w:rPr>
      </w:pPr>
      <w:r>
        <w:rPr>
          <w:rFonts w:hint="cs"/>
          <w:rtl/>
        </w:rPr>
        <w:t xml:space="preserve">ותירץ </w:t>
      </w:r>
      <w:r w:rsidRPr="00F85489">
        <w:rPr>
          <w:rStyle w:val="af9"/>
          <w:rFonts w:hint="cs"/>
          <w:rtl/>
        </w:rPr>
        <w:t>הקוב"ש</w:t>
      </w:r>
      <w:r>
        <w:rPr>
          <w:rFonts w:hint="cs"/>
          <w:rtl/>
        </w:rPr>
        <w:t xml:space="preserve"> </w:t>
      </w:r>
      <w:r w:rsidRPr="00F85489">
        <w:rPr>
          <w:rStyle w:val="af7"/>
          <w:rFonts w:eastAsia="Guttman Hodes" w:hint="cs"/>
          <w:rtl/>
        </w:rPr>
        <w:t>(ח"ב על הש"ש אות ו' ד"ה ועל)</w:t>
      </w:r>
      <w:r>
        <w:rPr>
          <w:rFonts w:hint="cs"/>
          <w:rtl/>
        </w:rPr>
        <w:t xml:space="preserve"> דלרוב העולם יש לכ"א דין רוב על בנו שהוא אביו, וכן במי שמוחזק לאביו של המכה, אנו רוצים לומר שיש לו דין אב על בנו, וממילא אין כל חילוק בין האב הזה לרוב בעולם, ואדרבה הוא כרוב העולם שיש להם דין אב על בניהם.</w:t>
      </w:r>
    </w:p>
    <w:p w14:paraId="17ED5663" w14:textId="77777777" w:rsidR="00FF73EE" w:rsidRDefault="00FF73EE" w:rsidP="006D6D32">
      <w:pPr>
        <w:pStyle w:val="a3"/>
        <w:rPr>
          <w:rtl/>
        </w:rPr>
      </w:pPr>
      <w:bookmarkStart w:id="10347" w:name="_Toc530521957"/>
      <w:bookmarkStart w:id="10348" w:name="_Toc530525013"/>
      <w:bookmarkStart w:id="10349" w:name="_Toc530551160"/>
      <w:bookmarkStart w:id="10350" w:name="_Toc19390356"/>
      <w:bookmarkStart w:id="10351" w:name="_Toc19393853"/>
      <w:r>
        <w:rPr>
          <w:rFonts w:hint="cs"/>
          <w:rtl/>
        </w:rPr>
        <w:t>קושית הקוב"ש דנעמיד את הבן בחזקתו שהוא פטור ממיתה</w:t>
      </w:r>
      <w:bookmarkEnd w:id="10347"/>
      <w:bookmarkEnd w:id="10348"/>
      <w:bookmarkEnd w:id="10349"/>
      <w:bookmarkEnd w:id="10350"/>
      <w:bookmarkEnd w:id="10351"/>
    </w:p>
    <w:p w14:paraId="0717E484" w14:textId="77777777" w:rsidR="00FF73EE" w:rsidRDefault="00FF73EE" w:rsidP="00223668">
      <w:pPr>
        <w:pStyle w:val="a0"/>
        <w:rPr>
          <w:rtl/>
        </w:rPr>
      </w:pPr>
      <w:r>
        <w:rPr>
          <w:rFonts w:hint="cs"/>
          <w:rtl/>
        </w:rPr>
        <w:t xml:space="preserve">עוד הקשה </w:t>
      </w:r>
      <w:r w:rsidRPr="00560E0A">
        <w:rPr>
          <w:rStyle w:val="af9"/>
          <w:rFonts w:hint="cs"/>
          <w:rtl/>
        </w:rPr>
        <w:t>הקוב"ש</w:t>
      </w:r>
      <w:r>
        <w:rPr>
          <w:rFonts w:hint="cs"/>
          <w:rtl/>
        </w:rPr>
        <w:t xml:space="preserve"> </w:t>
      </w:r>
      <w:r w:rsidRPr="00560E0A">
        <w:rPr>
          <w:rStyle w:val="af7"/>
          <w:rFonts w:eastAsia="Guttman Hodes" w:hint="cs"/>
          <w:rtl/>
        </w:rPr>
        <w:t>(ח"ב על הש"ש אות ו' ד"ה ובר)</w:t>
      </w:r>
      <w:r>
        <w:rPr>
          <w:rFonts w:hint="cs"/>
          <w:rtl/>
        </w:rPr>
        <w:t xml:space="preserve"> דכיון שבמכה אביו יש ספק האם חייב מיתה מחמת המכה, א"כ נעמיד את הבן בחזקתו שפטור ממיתה, ואין לומר דרובא עדיף מחזקה, דא"כ לר"מ היאך מכה אביו חייב מיתה, הא לדעת הרבה </w:t>
      </w:r>
      <w:r w:rsidRPr="00560E0A">
        <w:rPr>
          <w:rStyle w:val="af9"/>
          <w:rFonts w:hint="cs"/>
          <w:rtl/>
        </w:rPr>
        <w:t>ראשונים</w:t>
      </w:r>
      <w:r>
        <w:rPr>
          <w:rFonts w:hint="cs"/>
          <w:rtl/>
        </w:rPr>
        <w:t xml:space="preserve"> לפי ר"מ אמרינן סמוך מיעוטא לחזקה מדאו', אפילו לקולא.</w:t>
      </w:r>
    </w:p>
    <w:p w14:paraId="3AA6598B" w14:textId="77777777" w:rsidR="00FF73EE" w:rsidRDefault="00FF73EE" w:rsidP="006D6D32">
      <w:pPr>
        <w:pStyle w:val="a3"/>
        <w:rPr>
          <w:rtl/>
        </w:rPr>
      </w:pPr>
      <w:bookmarkStart w:id="10352" w:name="_Toc530525014"/>
      <w:bookmarkStart w:id="10353" w:name="_Toc530551161"/>
      <w:bookmarkStart w:id="10354" w:name="_Toc19390357"/>
      <w:bookmarkStart w:id="10355" w:name="_Toc19393854"/>
      <w:r>
        <w:rPr>
          <w:rFonts w:hint="cs"/>
          <w:rtl/>
        </w:rPr>
        <w:t>ביאור הקוב"ש דכיון שודאי עשה מעשה הכאה והספק אם הוא אביו או לא הורעה חזקתו מדאו'</w:t>
      </w:r>
      <w:bookmarkEnd w:id="10352"/>
      <w:bookmarkEnd w:id="10353"/>
      <w:bookmarkEnd w:id="10354"/>
      <w:bookmarkEnd w:id="10355"/>
    </w:p>
    <w:p w14:paraId="1AC60F2D" w14:textId="77777777" w:rsidR="00FF73EE" w:rsidRDefault="00FF73EE" w:rsidP="00223668">
      <w:pPr>
        <w:pStyle w:val="a0"/>
        <w:rPr>
          <w:rtl/>
        </w:rPr>
      </w:pPr>
      <w:r>
        <w:rPr>
          <w:rFonts w:hint="cs"/>
          <w:rtl/>
        </w:rPr>
        <w:t xml:space="preserve">וכתב </w:t>
      </w:r>
      <w:r w:rsidRPr="00560E0A">
        <w:rPr>
          <w:rStyle w:val="af9"/>
          <w:rFonts w:hint="cs"/>
          <w:rtl/>
        </w:rPr>
        <w:t xml:space="preserve">הקוב"ש </w:t>
      </w:r>
      <w:r>
        <w:rPr>
          <w:rFonts w:hint="cs"/>
          <w:rtl/>
        </w:rPr>
        <w:t xml:space="preserve">דא"א לתרץ דכיון שודאי הכה, יש ריעותא בחזקתו שפטור ממיתה, דהא בספק גט קרוב לו ספק קרוב לה, מדאו' מעמידים בחזקת א"א אף שיש ריעותא, אך תירץ </w:t>
      </w:r>
      <w:r w:rsidRPr="00560E0A">
        <w:rPr>
          <w:rStyle w:val="af9"/>
          <w:rFonts w:hint="cs"/>
          <w:rtl/>
        </w:rPr>
        <w:t xml:space="preserve">הקוב"ש </w:t>
      </w:r>
      <w:r>
        <w:rPr>
          <w:rFonts w:hint="cs"/>
          <w:rtl/>
        </w:rPr>
        <w:t>דאפש"ל דמעשה ההכאה חשיב ריעותא גמורה בחזקה, כיון שודאי נעשה מעשה, משא"כ בספק קרוב לה, דאם לא נפל הגט קרוב לאשה לא היה מעשה כלל, ולכן מדאו' מעמידים אותה בחזקתה, אבל במכה אביו שמעשה ההכאה ודאי היה, והספק הוא האם הוא אביו או לא, אף מדאו' אפש"ל דלא מעמידים על החזקה.</w:t>
      </w:r>
    </w:p>
    <w:p w14:paraId="3B40F77B" w14:textId="77777777" w:rsidR="00FF73EE" w:rsidRDefault="00FF73EE" w:rsidP="006D6D32">
      <w:pPr>
        <w:pStyle w:val="a3"/>
        <w:rPr>
          <w:rtl/>
        </w:rPr>
      </w:pPr>
      <w:bookmarkStart w:id="10356" w:name="_Toc530525015"/>
      <w:bookmarkStart w:id="10357" w:name="_Toc530551162"/>
      <w:bookmarkStart w:id="10358" w:name="_Toc19390358"/>
      <w:bookmarkStart w:id="10359" w:name="_Toc19393855"/>
      <w:r>
        <w:rPr>
          <w:rFonts w:hint="cs"/>
          <w:rtl/>
        </w:rPr>
        <w:t>דברי הקוב"ש דלא דמי לפרה אדומה שאם היא טריפה לא נעשה בה מעשה הזאה כלל</w:t>
      </w:r>
      <w:bookmarkEnd w:id="10356"/>
      <w:bookmarkEnd w:id="10357"/>
      <w:bookmarkEnd w:id="10358"/>
      <w:bookmarkEnd w:id="10359"/>
    </w:p>
    <w:p w14:paraId="4663041F" w14:textId="77777777" w:rsidR="00FF73EE" w:rsidRDefault="00FF73EE" w:rsidP="00223668">
      <w:pPr>
        <w:pStyle w:val="a0"/>
        <w:rPr>
          <w:rtl/>
        </w:rPr>
      </w:pPr>
      <w:r>
        <w:rPr>
          <w:rFonts w:hint="cs"/>
          <w:rtl/>
        </w:rPr>
        <w:t xml:space="preserve">אך דחה </w:t>
      </w:r>
      <w:r w:rsidRPr="00E515AE">
        <w:rPr>
          <w:rStyle w:val="af9"/>
          <w:rFonts w:hint="cs"/>
          <w:rtl/>
        </w:rPr>
        <w:t>הקוב"ש</w:t>
      </w:r>
      <w:r>
        <w:rPr>
          <w:rFonts w:hint="cs"/>
          <w:rtl/>
        </w:rPr>
        <w:t xml:space="preserve"> </w:t>
      </w:r>
      <w:r w:rsidRPr="00E515AE">
        <w:rPr>
          <w:rStyle w:val="af7"/>
          <w:rFonts w:eastAsia="Guttman Hodes" w:hint="cs"/>
          <w:rtl/>
        </w:rPr>
        <w:t>(ח"ב על הש"ש אות ו' ד"ה שוב)</w:t>
      </w:r>
      <w:r>
        <w:rPr>
          <w:rFonts w:hint="cs"/>
          <w:rtl/>
        </w:rPr>
        <w:t xml:space="preserve"> דא"א לומר שכיון שנעשה מעשה, חשיב שיש מדאו' ריעותא בחזקה, דהא כתב </w:t>
      </w:r>
      <w:r w:rsidRPr="00E515AE">
        <w:rPr>
          <w:rStyle w:val="af9"/>
          <w:rFonts w:hint="cs"/>
          <w:rtl/>
        </w:rPr>
        <w:t>רבינו חיים בתוס'</w:t>
      </w:r>
      <w:r>
        <w:rPr>
          <w:rFonts w:hint="cs"/>
          <w:rtl/>
        </w:rPr>
        <w:t xml:space="preserve"> </w:t>
      </w:r>
      <w:r w:rsidRPr="00E515AE">
        <w:rPr>
          <w:rStyle w:val="af7"/>
          <w:rFonts w:eastAsia="Guttman Hodes" w:hint="cs"/>
          <w:rtl/>
        </w:rPr>
        <w:t>(יא. ד"ה אתיא)</w:t>
      </w:r>
      <w:r>
        <w:rPr>
          <w:rFonts w:hint="cs"/>
          <w:rtl/>
        </w:rPr>
        <w:t xml:space="preserve"> דבפרה אדומה יש לגברא שהוזה עליו מי חטאת, חזקת טהרה, ואף שודאי נעשה בו מעשה הזאה, ואפ"ה חשיב חזקה גמורה, וכתב </w:t>
      </w:r>
      <w:r w:rsidRPr="00E515AE">
        <w:rPr>
          <w:rStyle w:val="af9"/>
          <w:rFonts w:hint="cs"/>
          <w:rtl/>
        </w:rPr>
        <w:t>הקוב"ש</w:t>
      </w:r>
      <w:r>
        <w:rPr>
          <w:rFonts w:hint="cs"/>
          <w:rtl/>
        </w:rPr>
        <w:t xml:space="preserve"> דאפשר לחלק דבפרה אדומה אי נימא שהיא טריפה, א"כ לא היה מעשה הזאה כלל, דאי"ז הזאת מי חטאת אלא שפיכת מים בעלמא, משא"כ במכה אביו, שודאי היה מעשה הכאה, והספק הוא במקום ההכאה, האם היה בגופו של אביו או בגוף אחר, וכתב </w:t>
      </w:r>
      <w:r w:rsidRPr="00E515AE">
        <w:rPr>
          <w:rStyle w:val="af9"/>
          <w:rFonts w:hint="cs"/>
          <w:rtl/>
        </w:rPr>
        <w:t>הקוב"ש</w:t>
      </w:r>
      <w:r>
        <w:rPr>
          <w:rFonts w:hint="cs"/>
          <w:rtl/>
        </w:rPr>
        <w:t xml:space="preserve"> דהוא דוחק.</w:t>
      </w:r>
    </w:p>
    <w:p w14:paraId="5FA1FC51" w14:textId="77777777" w:rsidR="00FF73EE" w:rsidRPr="009D1F8D" w:rsidRDefault="00FF73EE" w:rsidP="006D6D32">
      <w:pPr>
        <w:pStyle w:val="a3"/>
        <w:rPr>
          <w:rtl/>
        </w:rPr>
      </w:pPr>
    </w:p>
    <w:p w14:paraId="64598E35" w14:textId="77777777" w:rsidR="00FF73EE" w:rsidRPr="009D1F8D" w:rsidRDefault="00FF73EE" w:rsidP="006D6D32">
      <w:pPr>
        <w:pStyle w:val="a3"/>
        <w:rPr>
          <w:rtl/>
        </w:rPr>
      </w:pPr>
    </w:p>
    <w:p w14:paraId="5AB17ED7" w14:textId="77777777" w:rsidR="00FF73EE" w:rsidRPr="009D1F8D" w:rsidRDefault="00FF73EE" w:rsidP="006D6D32">
      <w:pPr>
        <w:pStyle w:val="a3"/>
        <w:rPr>
          <w:rtl/>
        </w:rPr>
      </w:pPr>
    </w:p>
    <w:p w14:paraId="665BD40C" w14:textId="77777777" w:rsidR="00FF73EE" w:rsidRDefault="00FF73EE" w:rsidP="006D6D32">
      <w:pPr>
        <w:pStyle w:val="afe"/>
        <w:rPr>
          <w:rtl/>
        </w:rPr>
      </w:pPr>
      <w:bookmarkStart w:id="10360" w:name="_Toc530503020"/>
      <w:bookmarkStart w:id="10361" w:name="_Toc530504534"/>
      <w:bookmarkStart w:id="10362" w:name="_Toc530514406"/>
      <w:bookmarkStart w:id="10363" w:name="_Toc530514509"/>
      <w:bookmarkStart w:id="10364" w:name="_Toc530521958"/>
      <w:bookmarkStart w:id="10365" w:name="_Toc530525016"/>
      <w:bookmarkStart w:id="10366" w:name="_Toc530551163"/>
      <w:bookmarkStart w:id="10367" w:name="_Toc19435702"/>
      <w:bookmarkStart w:id="10368" w:name="_Toc20080970"/>
      <w:r>
        <w:rPr>
          <w:rFonts w:hint="cs"/>
          <w:rtl/>
        </w:rPr>
        <w:t>בגדר חזקת צדקת</w:t>
      </w:r>
      <w:bookmarkEnd w:id="10321"/>
      <w:bookmarkEnd w:id="10322"/>
      <w:bookmarkEnd w:id="10323"/>
      <w:bookmarkEnd w:id="10324"/>
      <w:bookmarkEnd w:id="10325"/>
      <w:bookmarkEnd w:id="10326"/>
      <w:bookmarkEnd w:id="10327"/>
      <w:bookmarkEnd w:id="10360"/>
      <w:bookmarkEnd w:id="10361"/>
      <w:bookmarkEnd w:id="10362"/>
      <w:bookmarkEnd w:id="10363"/>
      <w:bookmarkEnd w:id="10364"/>
      <w:bookmarkEnd w:id="10365"/>
      <w:bookmarkEnd w:id="10366"/>
      <w:bookmarkEnd w:id="10367"/>
      <w:bookmarkEnd w:id="10368"/>
    </w:p>
    <w:p w14:paraId="6BE2B74F" w14:textId="77777777" w:rsidR="00FF73EE" w:rsidRDefault="00FF73EE" w:rsidP="00BF39B2">
      <w:pPr>
        <w:pStyle w:val="1"/>
        <w:rPr>
          <w:rtl/>
        </w:rPr>
      </w:pPr>
      <w:bookmarkStart w:id="10369" w:name="_Toc530083920"/>
      <w:bookmarkStart w:id="10370" w:name="_Toc530083956"/>
      <w:bookmarkStart w:id="10371" w:name="_Toc530147718"/>
      <w:bookmarkStart w:id="10372" w:name="_Toc530148046"/>
      <w:bookmarkStart w:id="10373" w:name="_Toc530348990"/>
      <w:bookmarkStart w:id="10374" w:name="_Toc530395881"/>
      <w:bookmarkStart w:id="10375" w:name="_Toc530411145"/>
      <w:bookmarkStart w:id="10376" w:name="_Toc530503021"/>
      <w:bookmarkStart w:id="10377" w:name="_Toc530504535"/>
      <w:bookmarkStart w:id="10378" w:name="_Toc530514407"/>
      <w:bookmarkStart w:id="10379" w:name="_Toc530514510"/>
      <w:bookmarkStart w:id="10380" w:name="_Toc530521959"/>
      <w:bookmarkStart w:id="10381" w:name="_Toc530525017"/>
      <w:bookmarkStart w:id="10382" w:name="_Toc530551164"/>
      <w:bookmarkStart w:id="10383" w:name="_Toc19390359"/>
      <w:bookmarkStart w:id="10384" w:name="_Toc19393856"/>
      <w:r w:rsidRPr="00C61B8C">
        <w:rPr>
          <w:rFonts w:hint="cs"/>
          <w:rtl/>
        </w:rPr>
        <w:t>דברי השער"י</w:t>
      </w:r>
      <w:bookmarkEnd w:id="10369"/>
      <w:bookmarkEnd w:id="10370"/>
      <w:bookmarkEnd w:id="10371"/>
      <w:bookmarkEnd w:id="10372"/>
      <w:bookmarkEnd w:id="10373"/>
      <w:bookmarkEnd w:id="10374"/>
      <w:bookmarkEnd w:id="10375"/>
      <w:bookmarkEnd w:id="10376"/>
      <w:bookmarkEnd w:id="10377"/>
      <w:bookmarkEnd w:id="10378"/>
      <w:bookmarkEnd w:id="10379"/>
      <w:bookmarkEnd w:id="10380"/>
      <w:r>
        <w:rPr>
          <w:rFonts w:hint="cs"/>
          <w:rtl/>
        </w:rPr>
        <w:t xml:space="preserve"> דחזקת צדקת מכריעה את עצם הספק</w:t>
      </w:r>
      <w:bookmarkEnd w:id="10381"/>
      <w:bookmarkEnd w:id="10382"/>
      <w:bookmarkEnd w:id="10383"/>
      <w:bookmarkEnd w:id="10384"/>
      <w:r>
        <w:rPr>
          <w:rFonts w:hint="cs"/>
          <w:rtl/>
        </w:rPr>
        <w:t xml:space="preserve"> </w:t>
      </w:r>
    </w:p>
    <w:p w14:paraId="739F4190" w14:textId="77777777" w:rsidR="00FF73EE" w:rsidRDefault="00FF73EE" w:rsidP="006D6D32">
      <w:pPr>
        <w:pStyle w:val="a3"/>
        <w:rPr>
          <w:rtl/>
        </w:rPr>
      </w:pPr>
      <w:bookmarkStart w:id="10385" w:name="_Toc530525018"/>
      <w:bookmarkStart w:id="10386" w:name="_Toc530551165"/>
      <w:bookmarkStart w:id="10387" w:name="_Toc19390360"/>
      <w:bookmarkStart w:id="10388" w:name="_Toc19393857"/>
      <w:r>
        <w:rPr>
          <w:rFonts w:hint="cs"/>
          <w:rtl/>
        </w:rPr>
        <w:t>דברי השער"י דבתוס' משמע דחזקת צדקת מכריעה את המציאות ואינה חזקת דין</w:t>
      </w:r>
      <w:bookmarkEnd w:id="10385"/>
      <w:bookmarkEnd w:id="10386"/>
      <w:bookmarkEnd w:id="10387"/>
      <w:bookmarkEnd w:id="10388"/>
    </w:p>
    <w:p w14:paraId="3FA338DC" w14:textId="77777777" w:rsidR="00FF73EE" w:rsidRDefault="00FF73EE" w:rsidP="00223668">
      <w:pPr>
        <w:pStyle w:val="a0"/>
        <w:rPr>
          <w:rtl/>
        </w:rPr>
      </w:pPr>
      <w:bookmarkStart w:id="10389" w:name="_Ref530068665"/>
      <w:r>
        <w:rPr>
          <w:rFonts w:hint="cs"/>
          <w:rtl/>
        </w:rPr>
        <w:t xml:space="preserve">הביא </w:t>
      </w:r>
      <w:r w:rsidRPr="001F006F">
        <w:rPr>
          <w:rStyle w:val="af9"/>
          <w:rFonts w:hint="cs"/>
          <w:rtl/>
        </w:rPr>
        <w:t>השער"י</w:t>
      </w:r>
      <w:r>
        <w:rPr>
          <w:rFonts w:hint="cs"/>
          <w:rtl/>
        </w:rPr>
        <w:t xml:space="preserve"> </w:t>
      </w:r>
      <w:r w:rsidRPr="001F006F">
        <w:rPr>
          <w:rStyle w:val="af7"/>
          <w:rFonts w:eastAsia="Guttman Hodes" w:hint="cs"/>
          <w:rtl/>
        </w:rPr>
        <w:t>(שער החזקות פ"ז ד"ה ובתוס' פ"ק דחולין)</w:t>
      </w:r>
      <w:r>
        <w:rPr>
          <w:rFonts w:hint="cs"/>
          <w:rtl/>
        </w:rPr>
        <w:t xml:space="preserve"> את דברי </w:t>
      </w:r>
      <w:r w:rsidRPr="001F006F">
        <w:rPr>
          <w:rStyle w:val="af9"/>
          <w:rFonts w:hint="cs"/>
          <w:rtl/>
        </w:rPr>
        <w:t>התוס'</w:t>
      </w:r>
      <w:r>
        <w:rPr>
          <w:rFonts w:hint="cs"/>
          <w:rtl/>
        </w:rPr>
        <w:t xml:space="preserve"> </w:t>
      </w:r>
      <w:r w:rsidRPr="001F006F">
        <w:rPr>
          <w:rStyle w:val="af7"/>
          <w:rFonts w:eastAsia="Guttman Hodes" w:hint="cs"/>
          <w:rtl/>
        </w:rPr>
        <w:t xml:space="preserve">(עי' אות </w:t>
      </w:r>
      <w:r w:rsidRPr="001F006F">
        <w:rPr>
          <w:rStyle w:val="af7"/>
          <w:rFonts w:eastAsia="Guttman Hodes"/>
          <w:rtl/>
        </w:rPr>
        <w:fldChar w:fldCharType="begin"/>
      </w:r>
      <w:r w:rsidRPr="001F006F">
        <w:rPr>
          <w:rStyle w:val="af7"/>
          <w:rFonts w:eastAsia="Guttman Hodes"/>
          <w:rtl/>
        </w:rPr>
        <w:instrText xml:space="preserve"> </w:instrText>
      </w:r>
      <w:r w:rsidRPr="001F006F">
        <w:rPr>
          <w:rStyle w:val="af7"/>
          <w:rFonts w:eastAsia="Guttman Hodes" w:hint="cs"/>
        </w:rPr>
        <w:instrText>REF</w:instrText>
      </w:r>
      <w:r w:rsidRPr="001F006F">
        <w:rPr>
          <w:rStyle w:val="af7"/>
          <w:rFonts w:eastAsia="Guttman Hodes" w:hint="cs"/>
          <w:rtl/>
        </w:rPr>
        <w:instrText xml:space="preserve"> _</w:instrText>
      </w:r>
      <w:r w:rsidRPr="001F006F">
        <w:rPr>
          <w:rStyle w:val="af7"/>
          <w:rFonts w:eastAsia="Guttman Hodes" w:hint="cs"/>
        </w:rPr>
        <w:instrText>Ref530068581 \r \h</w:instrText>
      </w:r>
      <w:r w:rsidRPr="001F006F">
        <w:rPr>
          <w:rStyle w:val="af7"/>
          <w:rFonts w:eastAsia="Guttman Hodes"/>
          <w:rtl/>
        </w:rPr>
        <w:instrText xml:space="preserve"> </w:instrText>
      </w:r>
      <w:r w:rsidRPr="001F006F">
        <w:rPr>
          <w:rStyle w:val="af7"/>
          <w:rFonts w:eastAsia="Guttman Hodes"/>
          <w:rtl/>
        </w:rPr>
      </w:r>
      <w:r w:rsidRPr="001F006F">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1F006F">
        <w:rPr>
          <w:rStyle w:val="af7"/>
          <w:rFonts w:eastAsia="Guttman Hodes"/>
          <w:rtl/>
        </w:rPr>
        <w:fldChar w:fldCharType="end"/>
      </w:r>
      <w:r>
        <w:rPr>
          <w:rFonts w:hint="cs"/>
          <w:rtl/>
        </w:rPr>
        <w:t xml:space="preserve"> דחזקת צדקת מהני לומר שהוא בנו של אביו, וכתב </w:t>
      </w:r>
      <w:r w:rsidRPr="001F006F">
        <w:rPr>
          <w:rStyle w:val="af9"/>
          <w:rFonts w:hint="cs"/>
          <w:rtl/>
        </w:rPr>
        <w:t>השער"י</w:t>
      </w:r>
      <w:r>
        <w:rPr>
          <w:rFonts w:hint="cs"/>
          <w:rtl/>
        </w:rPr>
        <w:t xml:space="preserve"> דמשמע מדברי </w:t>
      </w:r>
      <w:r w:rsidRPr="001F006F">
        <w:rPr>
          <w:rStyle w:val="af9"/>
          <w:rFonts w:hint="cs"/>
          <w:rtl/>
        </w:rPr>
        <w:t>התוס'</w:t>
      </w:r>
      <w:r>
        <w:rPr>
          <w:rFonts w:hint="cs"/>
          <w:rtl/>
        </w:rPr>
        <w:t xml:space="preserve"> דחזקה היא מכריעה את המציאות, דאי אינה מכריעה את המציאות, והיא רק חזקת דין, היאך יש כח בחזקה של האם להכריע על הבן.</w:t>
      </w:r>
      <w:bookmarkEnd w:id="10389"/>
    </w:p>
    <w:p w14:paraId="73C91A06" w14:textId="77777777" w:rsidR="00FF73EE" w:rsidRDefault="00FF73EE" w:rsidP="006D6D32">
      <w:pPr>
        <w:pStyle w:val="a3"/>
        <w:rPr>
          <w:rtl/>
        </w:rPr>
      </w:pPr>
      <w:bookmarkStart w:id="10390" w:name="_Toc530525019"/>
      <w:bookmarkStart w:id="10391" w:name="_Toc530551166"/>
      <w:bookmarkStart w:id="10392" w:name="_Toc19390361"/>
      <w:bookmarkStart w:id="10393" w:name="_Toc19393858"/>
      <w:r>
        <w:rPr>
          <w:rFonts w:hint="cs"/>
          <w:rtl/>
        </w:rPr>
        <w:t>דחיית השער"י דחזקת צדקת היא על עצם הספק שלא עשתה אמו מעשה זנות</w:t>
      </w:r>
      <w:bookmarkEnd w:id="10390"/>
      <w:bookmarkEnd w:id="10391"/>
      <w:bookmarkEnd w:id="10392"/>
      <w:bookmarkEnd w:id="10393"/>
    </w:p>
    <w:p w14:paraId="04F84AAD" w14:textId="77777777" w:rsidR="00FF73EE" w:rsidRDefault="00FF73EE" w:rsidP="00223668">
      <w:pPr>
        <w:pStyle w:val="a0"/>
        <w:rPr>
          <w:rtl/>
        </w:rPr>
      </w:pPr>
      <w:r>
        <w:rPr>
          <w:rFonts w:hint="cs"/>
          <w:rtl/>
        </w:rPr>
        <w:t xml:space="preserve">אך דחה </w:t>
      </w:r>
      <w:r w:rsidRPr="001F006F">
        <w:rPr>
          <w:rStyle w:val="af9"/>
          <w:rFonts w:hint="cs"/>
          <w:rtl/>
        </w:rPr>
        <w:t>השער"י</w:t>
      </w:r>
      <w:r>
        <w:rPr>
          <w:rFonts w:hint="cs"/>
          <w:rtl/>
        </w:rPr>
        <w:t xml:space="preserve"> דחזקת צדקת לא דמי לחזקת איסור או לחזקת היתר, שהיא מכריעה את דין הספק או את מציאות הספק, אלא היא חזקה על הספק עצמו, האם הוא בנו של אביו או שזינתה אמו ואינו בנו, דכיון שמעמידים את האם בחזקת צדקת שלא זינתה, ממילא אין כל ספק שהבן הוא בנו של אביו.</w:t>
      </w:r>
    </w:p>
    <w:p w14:paraId="445570F1" w14:textId="77777777" w:rsidR="00FF73EE" w:rsidRDefault="00FF73EE" w:rsidP="006D6D32">
      <w:pPr>
        <w:pStyle w:val="a3"/>
        <w:rPr>
          <w:rtl/>
        </w:rPr>
      </w:pPr>
      <w:bookmarkStart w:id="10394" w:name="_Toc530525020"/>
      <w:bookmarkStart w:id="10395" w:name="_Toc530551167"/>
      <w:bookmarkStart w:id="10396" w:name="_Toc19390362"/>
      <w:bookmarkStart w:id="10397" w:name="_Toc19393859"/>
      <w:r>
        <w:rPr>
          <w:rFonts w:hint="cs"/>
          <w:rtl/>
        </w:rPr>
        <w:t>דברי השער"י דחזקת צדקת עדיפא מחזקת הגוף כיון שהיא מכריעה את עצם מעשה הספק</w:t>
      </w:r>
      <w:bookmarkEnd w:id="10394"/>
      <w:bookmarkEnd w:id="10395"/>
      <w:bookmarkEnd w:id="10396"/>
      <w:bookmarkEnd w:id="10397"/>
    </w:p>
    <w:p w14:paraId="1CDA99D5" w14:textId="77777777" w:rsidR="00FF73EE" w:rsidRDefault="00FF73EE" w:rsidP="00223668">
      <w:pPr>
        <w:pStyle w:val="a0"/>
        <w:rPr>
          <w:rtl/>
        </w:rPr>
      </w:pPr>
      <w:r>
        <w:rPr>
          <w:rFonts w:hint="cs"/>
          <w:rtl/>
        </w:rPr>
        <w:t xml:space="preserve">והוסיף </w:t>
      </w:r>
      <w:r w:rsidRPr="001F006F">
        <w:rPr>
          <w:rStyle w:val="af9"/>
          <w:rFonts w:hint="cs"/>
          <w:rtl/>
        </w:rPr>
        <w:t>השער"י</w:t>
      </w:r>
      <w:r>
        <w:rPr>
          <w:rFonts w:hint="cs"/>
          <w:rtl/>
        </w:rPr>
        <w:t xml:space="preserve"> דחזקה זו עדיפא מחזקת הגוף, דחזקת הגוף מהני רק לדבר שבו הספק עצמו, או לדבר שנולד ממנו, אבל חזקת צדקת מהני לדין הבן, אעפ"י שהדין של הבן אינו תלוי כלל בדין של אמו, כיון שחזקת הגוף אינה מכריע את עצם מעשה הספק, אלא דמעמידים את הגוף כמו שהיה מוחזק לנו בתחילה, ולכן מהני רק לדבר שבו הספק, אבל חזקת צדקת היא מכריע את עיקר הספק, שלא זינתה כלל, ולכן מהני החזקה לכל דין שנוגע הספק האם זינתה האם.</w:t>
      </w:r>
    </w:p>
    <w:p w14:paraId="094C3069" w14:textId="77777777" w:rsidR="00FF73EE" w:rsidRDefault="00FF73EE" w:rsidP="00BF39B2">
      <w:pPr>
        <w:pStyle w:val="1"/>
        <w:rPr>
          <w:rtl/>
        </w:rPr>
      </w:pPr>
      <w:bookmarkStart w:id="10398" w:name="_Toc530525021"/>
      <w:bookmarkStart w:id="10399" w:name="_Toc530551168"/>
      <w:bookmarkStart w:id="10400" w:name="_Toc19390363"/>
      <w:bookmarkStart w:id="10401" w:name="_Toc19393860"/>
      <w:r>
        <w:rPr>
          <w:rFonts w:hint="cs"/>
          <w:rtl/>
        </w:rPr>
        <w:t>חקירת הגרש"ר בגדר חזקת צדקת</w:t>
      </w:r>
      <w:bookmarkEnd w:id="10398"/>
      <w:bookmarkEnd w:id="10399"/>
      <w:bookmarkEnd w:id="10400"/>
      <w:bookmarkEnd w:id="10401"/>
    </w:p>
    <w:p w14:paraId="4AE9F02E" w14:textId="77777777" w:rsidR="00FF73EE" w:rsidRDefault="00FF73EE" w:rsidP="006D6D32">
      <w:pPr>
        <w:pStyle w:val="a3"/>
        <w:rPr>
          <w:rtl/>
        </w:rPr>
      </w:pPr>
      <w:bookmarkStart w:id="10402" w:name="_Toc530525022"/>
      <w:bookmarkStart w:id="10403" w:name="_Toc530551169"/>
      <w:bookmarkStart w:id="10404" w:name="_Toc19390364"/>
      <w:bookmarkStart w:id="10405" w:name="_Toc19393861"/>
      <w:r>
        <w:rPr>
          <w:rFonts w:hint="cs"/>
          <w:rtl/>
        </w:rPr>
        <w:t>חקירת הגרש"ר אי חזקת צדקת היא חזקה דמעיקרא או חזקת סברא דרוב בנ"א כשרים</w:t>
      </w:r>
      <w:bookmarkEnd w:id="10402"/>
      <w:bookmarkEnd w:id="10403"/>
      <w:bookmarkEnd w:id="10404"/>
      <w:bookmarkEnd w:id="10405"/>
    </w:p>
    <w:p w14:paraId="0BAFEBDB" w14:textId="77777777" w:rsidR="00FF73EE" w:rsidRDefault="00FF73EE" w:rsidP="00223668">
      <w:pPr>
        <w:pStyle w:val="a0"/>
        <w:rPr>
          <w:rtl/>
        </w:rPr>
      </w:pPr>
      <w:bookmarkStart w:id="10406" w:name="_Ref530473966"/>
      <w:r>
        <w:rPr>
          <w:rFonts w:hint="cs"/>
          <w:rtl/>
        </w:rPr>
        <w:t xml:space="preserve">בגדר חזקת צדקת חקר </w:t>
      </w:r>
      <w:r w:rsidRPr="00B07B5F">
        <w:rPr>
          <w:rStyle w:val="af9"/>
          <w:rFonts w:hint="cs"/>
          <w:rtl/>
        </w:rPr>
        <w:t>בשיעורי הגרש"ר</w:t>
      </w:r>
      <w:r>
        <w:rPr>
          <w:rFonts w:hint="cs"/>
          <w:rtl/>
        </w:rPr>
        <w:t xml:space="preserve"> </w:t>
      </w:r>
      <w:r w:rsidRPr="00B07B5F">
        <w:rPr>
          <w:rStyle w:val="af7"/>
          <w:rFonts w:eastAsia="Guttman Hodes" w:hint="cs"/>
          <w:rtl/>
        </w:rPr>
        <w:t>(סנהדרין סט. אות ע"ח)</w:t>
      </w:r>
      <w:r>
        <w:rPr>
          <w:rFonts w:hint="cs"/>
          <w:rtl/>
        </w:rPr>
        <w:t xml:space="preserve"> האם היא חזקה קמייתא, שכמו שהייתה בחזקת כשרות, אף עתה היא בחזקת כשרות ולא זינתה, או שהוא חזקה של סברא דרוב בנ"א אינם רשעים, ומסתמא לא עשתה מעשה רשע של זנות.</w:t>
      </w:r>
      <w:bookmarkEnd w:id="10406"/>
    </w:p>
    <w:p w14:paraId="76F7ED8C" w14:textId="77777777" w:rsidR="00FF73EE" w:rsidRDefault="00FF73EE" w:rsidP="006D6D32">
      <w:pPr>
        <w:pStyle w:val="a3"/>
        <w:rPr>
          <w:rtl/>
        </w:rPr>
      </w:pPr>
      <w:bookmarkStart w:id="10407" w:name="_Toc530525023"/>
      <w:bookmarkStart w:id="10408" w:name="_Toc530551170"/>
      <w:bookmarkStart w:id="10409" w:name="_Toc19390365"/>
      <w:bookmarkStart w:id="10410" w:name="_Toc19393862"/>
      <w:r>
        <w:rPr>
          <w:rFonts w:hint="cs"/>
          <w:rtl/>
        </w:rPr>
        <w:t>דברי הגרש"ר דמתוס' מבואר דחזקת צדקת היא חזקה דמעיקרא דהא חזקת סברא היא דין רוב</w:t>
      </w:r>
      <w:bookmarkEnd w:id="10407"/>
      <w:bookmarkEnd w:id="10408"/>
      <w:bookmarkEnd w:id="10409"/>
      <w:bookmarkEnd w:id="10410"/>
    </w:p>
    <w:p w14:paraId="20610E85" w14:textId="77777777" w:rsidR="00FF73EE" w:rsidRDefault="00FF73EE" w:rsidP="00223668">
      <w:pPr>
        <w:pStyle w:val="a0"/>
        <w:rPr>
          <w:rtl/>
        </w:rPr>
      </w:pPr>
      <w:r>
        <w:rPr>
          <w:rFonts w:hint="cs"/>
          <w:rtl/>
        </w:rPr>
        <w:t xml:space="preserve">וכתב </w:t>
      </w:r>
      <w:r w:rsidRPr="00B07B5F">
        <w:rPr>
          <w:rStyle w:val="af9"/>
          <w:rFonts w:hint="cs"/>
          <w:rtl/>
        </w:rPr>
        <w:t>בשיעורי הגרש"ר</w:t>
      </w:r>
      <w:r>
        <w:rPr>
          <w:rFonts w:hint="cs"/>
          <w:rtl/>
        </w:rPr>
        <w:t xml:space="preserve"> דמדברי </w:t>
      </w:r>
      <w:r w:rsidRPr="001F006F">
        <w:rPr>
          <w:rStyle w:val="af9"/>
          <w:rFonts w:hint="cs"/>
          <w:rtl/>
        </w:rPr>
        <w:t>התוס'</w:t>
      </w:r>
      <w:r>
        <w:rPr>
          <w:rFonts w:hint="cs"/>
          <w:rtl/>
        </w:rPr>
        <w:t xml:space="preserve"> </w:t>
      </w:r>
      <w:r w:rsidRPr="000401E8">
        <w:rPr>
          <w:rStyle w:val="af7"/>
          <w:rFonts w:eastAsia="Guttman Hodes" w:hint="cs"/>
          <w:rtl/>
        </w:rPr>
        <w:t xml:space="preserve">(עי' אות </w:t>
      </w:r>
      <w:r w:rsidRPr="000401E8">
        <w:rPr>
          <w:rStyle w:val="af7"/>
          <w:rFonts w:eastAsia="Guttman Hodes"/>
          <w:rtl/>
        </w:rPr>
        <w:fldChar w:fldCharType="begin"/>
      </w:r>
      <w:r w:rsidRPr="000401E8">
        <w:rPr>
          <w:rStyle w:val="af7"/>
          <w:rFonts w:eastAsia="Guttman Hodes"/>
          <w:rtl/>
        </w:rPr>
        <w:instrText xml:space="preserve"> </w:instrText>
      </w:r>
      <w:r w:rsidRPr="000401E8">
        <w:rPr>
          <w:rStyle w:val="af7"/>
          <w:rFonts w:eastAsia="Guttman Hodes" w:hint="cs"/>
        </w:rPr>
        <w:instrText>REF</w:instrText>
      </w:r>
      <w:r w:rsidRPr="000401E8">
        <w:rPr>
          <w:rStyle w:val="af7"/>
          <w:rFonts w:eastAsia="Guttman Hodes" w:hint="cs"/>
          <w:rtl/>
        </w:rPr>
        <w:instrText xml:space="preserve"> _</w:instrText>
      </w:r>
      <w:r w:rsidRPr="000401E8">
        <w:rPr>
          <w:rStyle w:val="af7"/>
          <w:rFonts w:eastAsia="Guttman Hodes" w:hint="cs"/>
        </w:rPr>
        <w:instrText>Ref530068581 \r \h</w:instrText>
      </w:r>
      <w:r w:rsidRPr="000401E8">
        <w:rPr>
          <w:rStyle w:val="af7"/>
          <w:rFonts w:eastAsia="Guttman Hodes"/>
          <w:rtl/>
        </w:rPr>
        <w:instrText xml:space="preserve"> </w:instrText>
      </w:r>
      <w:r w:rsidRPr="000401E8">
        <w:rPr>
          <w:rStyle w:val="af7"/>
          <w:rFonts w:eastAsia="Guttman Hodes"/>
          <w:rtl/>
        </w:rPr>
      </w:r>
      <w:r w:rsidRPr="000401E8">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0401E8">
        <w:rPr>
          <w:rStyle w:val="af7"/>
          <w:rFonts w:eastAsia="Guttman Hodes"/>
          <w:rtl/>
        </w:rPr>
        <w:fldChar w:fldCharType="end"/>
      </w:r>
      <w:r>
        <w:rPr>
          <w:rFonts w:hint="cs"/>
          <w:rtl/>
        </w:rPr>
        <w:t xml:space="preserve"> משמע דהיא חזקה קמייתא, דאי היא חזקת סברא, א"כ מה הקשו </w:t>
      </w:r>
      <w:r w:rsidRPr="000401E8">
        <w:rPr>
          <w:rStyle w:val="af9"/>
          <w:rFonts w:hint="cs"/>
          <w:rtl/>
        </w:rPr>
        <w:t>התוס'</w:t>
      </w:r>
      <w:r>
        <w:rPr>
          <w:rFonts w:hint="cs"/>
          <w:rtl/>
        </w:rPr>
        <w:t xml:space="preserve"> דאין מקור לרוב ממכה אביו, דיתכן שחשיב ודאי אביו מכח חזקת צדקת, הא אף חזקה זו היא מדין רוב, שרוב בנ"א אינם רשעים, וא"כ עדיין אפשר ללמוד ממכה אביו את דין רוב, אלא כתב </w:t>
      </w:r>
      <w:r w:rsidRPr="000401E8">
        <w:rPr>
          <w:rStyle w:val="af9"/>
          <w:rFonts w:hint="cs"/>
          <w:rtl/>
        </w:rPr>
        <w:t xml:space="preserve">בשיעורי הגרש"ר </w:t>
      </w:r>
      <w:r>
        <w:rPr>
          <w:rFonts w:hint="cs"/>
          <w:rtl/>
        </w:rPr>
        <w:t xml:space="preserve">דמוכח מדברי </w:t>
      </w:r>
      <w:r w:rsidRPr="000401E8">
        <w:rPr>
          <w:rStyle w:val="af9"/>
          <w:rFonts w:hint="cs"/>
          <w:rtl/>
        </w:rPr>
        <w:t>התוס'</w:t>
      </w:r>
      <w:r>
        <w:rPr>
          <w:rFonts w:hint="cs"/>
          <w:rtl/>
        </w:rPr>
        <w:t xml:space="preserve"> דחזקת צדקת אינה חזקת סברא, אלא היא חזקה קמייתא, ולכן הקשו התוס' דאין מקור ממכה אביו לדין רוב.</w:t>
      </w:r>
    </w:p>
    <w:p w14:paraId="4676C521" w14:textId="77777777" w:rsidR="00FF73EE" w:rsidRDefault="00FF73EE" w:rsidP="006D6D32">
      <w:pPr>
        <w:pStyle w:val="a3"/>
        <w:rPr>
          <w:rtl/>
        </w:rPr>
      </w:pPr>
      <w:bookmarkStart w:id="10411" w:name="_Toc530525024"/>
      <w:bookmarkStart w:id="10412" w:name="_Toc530551171"/>
      <w:bookmarkStart w:id="10413" w:name="_Toc19390366"/>
      <w:bookmarkStart w:id="10414" w:name="_Toc19393863"/>
      <w:r>
        <w:rPr>
          <w:rFonts w:hint="cs"/>
          <w:rtl/>
        </w:rPr>
        <w:t>דחיית הגרש"ר דאף אי חזקת צדקת היא מסברא מ"מ עדיפא מרוב כיון שיש בה סברת השכל</w:t>
      </w:r>
      <w:bookmarkEnd w:id="10411"/>
      <w:bookmarkEnd w:id="10412"/>
      <w:bookmarkEnd w:id="10413"/>
      <w:bookmarkEnd w:id="10414"/>
    </w:p>
    <w:p w14:paraId="55756166" w14:textId="77777777" w:rsidR="00FF73EE" w:rsidRPr="008E621A" w:rsidRDefault="00FF73EE" w:rsidP="00223668">
      <w:pPr>
        <w:pStyle w:val="a0"/>
        <w:rPr>
          <w:rtl/>
        </w:rPr>
      </w:pPr>
      <w:r>
        <w:rPr>
          <w:rFonts w:hint="cs"/>
          <w:rtl/>
        </w:rPr>
        <w:t xml:space="preserve">אך כתב </w:t>
      </w:r>
      <w:r w:rsidRPr="000401E8">
        <w:rPr>
          <w:rStyle w:val="af9"/>
          <w:rFonts w:hint="cs"/>
          <w:rtl/>
        </w:rPr>
        <w:t xml:space="preserve">בשיעורי הגרש"ר </w:t>
      </w:r>
      <w:r>
        <w:rPr>
          <w:rFonts w:hint="cs"/>
          <w:rtl/>
        </w:rPr>
        <w:t xml:space="preserve">דאפשר לבאר דלעולם חזקת צדקת היא חזקת סברא, ואף שהיא חזקה מכח רוב, מ"מ היא אלימא מרוב, כביאר </w:t>
      </w:r>
      <w:r w:rsidRPr="000401E8">
        <w:rPr>
          <w:rStyle w:val="af9"/>
          <w:rFonts w:hint="cs"/>
          <w:rtl/>
        </w:rPr>
        <w:t xml:space="preserve">השער"י </w:t>
      </w:r>
      <w:r w:rsidRPr="000401E8">
        <w:rPr>
          <w:rStyle w:val="af7"/>
          <w:rFonts w:eastAsia="Guttman Hodes" w:hint="cs"/>
          <w:rtl/>
        </w:rPr>
        <w:t>(ש"ג פ"ג)</w:t>
      </w:r>
      <w:r>
        <w:rPr>
          <w:rFonts w:hint="cs"/>
          <w:rtl/>
        </w:rPr>
        <w:t xml:space="preserve"> דכיון שחזקה מכח רוב, היא מחמת סברת השכל, היא אלימא משאר חזקות, וא"כ אפשר לבאר דכוונת </w:t>
      </w:r>
      <w:r w:rsidRPr="000401E8">
        <w:rPr>
          <w:rStyle w:val="af9"/>
          <w:rFonts w:hint="cs"/>
          <w:rtl/>
        </w:rPr>
        <w:t xml:space="preserve">התוס' </w:t>
      </w:r>
      <w:r>
        <w:rPr>
          <w:rFonts w:hint="cs"/>
          <w:rtl/>
        </w:rPr>
        <w:t>להקשות, דממכה אביו א"א ללמוד לרוב בלא חזקה, דאפש"ל דחשיב ודאי אביו מחמת חזקת צדקת שהיא חזקה מכח רוב.</w:t>
      </w:r>
    </w:p>
    <w:p w14:paraId="13265ACD" w14:textId="77777777" w:rsidR="00FF73EE" w:rsidRDefault="00FF73EE" w:rsidP="006D6D32">
      <w:pPr>
        <w:pStyle w:val="afe"/>
        <w:rPr>
          <w:rtl/>
        </w:rPr>
      </w:pPr>
      <w:bookmarkStart w:id="10415" w:name="_Toc530503023"/>
      <w:bookmarkStart w:id="10416" w:name="_Toc530504543"/>
      <w:bookmarkStart w:id="10417" w:name="_Toc530514409"/>
      <w:bookmarkStart w:id="10418" w:name="_Toc530514512"/>
      <w:bookmarkStart w:id="10419" w:name="_Toc530521961"/>
      <w:bookmarkStart w:id="10420" w:name="_Toc530525025"/>
      <w:bookmarkStart w:id="10421" w:name="_Toc530551172"/>
      <w:bookmarkStart w:id="10422" w:name="_Toc19435703"/>
      <w:bookmarkStart w:id="10423" w:name="_Toc20080971"/>
      <w:r>
        <w:rPr>
          <w:rFonts w:hint="cs"/>
          <w:rtl/>
        </w:rPr>
        <w:t xml:space="preserve">בדעת הרמב"ם </w:t>
      </w:r>
      <w:r w:rsidRPr="000F4147">
        <w:rPr>
          <w:rFonts w:hint="cs"/>
          <w:rtl/>
        </w:rPr>
        <w:t>ברוב בנפשות</w:t>
      </w:r>
      <w:bookmarkEnd w:id="10242"/>
      <w:bookmarkEnd w:id="10243"/>
      <w:bookmarkEnd w:id="10244"/>
      <w:bookmarkEnd w:id="10245"/>
      <w:bookmarkEnd w:id="10246"/>
      <w:bookmarkEnd w:id="10247"/>
      <w:bookmarkEnd w:id="10248"/>
      <w:bookmarkEnd w:id="10249"/>
      <w:bookmarkEnd w:id="10250"/>
      <w:bookmarkEnd w:id="10415"/>
      <w:bookmarkEnd w:id="10416"/>
      <w:bookmarkEnd w:id="10417"/>
      <w:bookmarkEnd w:id="10418"/>
      <w:bookmarkEnd w:id="10419"/>
      <w:bookmarkEnd w:id="10420"/>
      <w:bookmarkEnd w:id="10421"/>
      <w:bookmarkEnd w:id="10422"/>
      <w:bookmarkEnd w:id="10423"/>
    </w:p>
    <w:p w14:paraId="41762EA8" w14:textId="77777777" w:rsidR="00FF73EE" w:rsidRDefault="00FF73EE" w:rsidP="00BF39B2">
      <w:pPr>
        <w:pStyle w:val="1"/>
        <w:rPr>
          <w:rtl/>
        </w:rPr>
      </w:pPr>
      <w:bookmarkStart w:id="10424" w:name="_Toc530083922"/>
      <w:bookmarkStart w:id="10425" w:name="_Toc530083958"/>
      <w:bookmarkStart w:id="10426" w:name="_Toc530147720"/>
      <w:bookmarkStart w:id="10427" w:name="_Toc530148048"/>
      <w:bookmarkStart w:id="10428" w:name="_Toc530348992"/>
      <w:bookmarkStart w:id="10429" w:name="_Toc530395883"/>
      <w:bookmarkStart w:id="10430" w:name="_Toc530411088"/>
      <w:bookmarkStart w:id="10431" w:name="_Toc530476225"/>
      <w:bookmarkStart w:id="10432" w:name="_Toc530477173"/>
      <w:bookmarkStart w:id="10433" w:name="_Toc530503024"/>
      <w:bookmarkStart w:id="10434" w:name="_Toc530504544"/>
      <w:bookmarkStart w:id="10435" w:name="_Toc530514410"/>
      <w:bookmarkStart w:id="10436" w:name="_Toc530514513"/>
      <w:bookmarkStart w:id="10437" w:name="_Toc530521962"/>
      <w:bookmarkStart w:id="10438" w:name="_Toc530525026"/>
      <w:bookmarkStart w:id="10439" w:name="_Toc530551173"/>
      <w:bookmarkStart w:id="10440" w:name="_Toc19390367"/>
      <w:bookmarkStart w:id="10441" w:name="_Toc19393864"/>
      <w:r>
        <w:rPr>
          <w:rFonts w:hint="cs"/>
          <w:rtl/>
        </w:rPr>
        <w:t>ביאור השער"י ברמב"ם דבנפשות לא מהני רובא דליתא קמן</w:t>
      </w:r>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p>
    <w:p w14:paraId="6DE8C81B" w14:textId="77777777" w:rsidR="00FF73EE" w:rsidRDefault="00FF73EE" w:rsidP="006D6D32">
      <w:pPr>
        <w:pStyle w:val="a3"/>
        <w:rPr>
          <w:rtl/>
        </w:rPr>
      </w:pPr>
      <w:bookmarkStart w:id="10442" w:name="_Toc530083923"/>
      <w:bookmarkStart w:id="10443" w:name="_Toc530083959"/>
      <w:bookmarkStart w:id="10444" w:name="_Toc530147721"/>
      <w:bookmarkStart w:id="10445" w:name="_Toc530148049"/>
      <w:bookmarkStart w:id="10446" w:name="_Toc530348993"/>
      <w:bookmarkStart w:id="10447" w:name="_Toc530395884"/>
      <w:bookmarkStart w:id="10448" w:name="_Toc530411089"/>
      <w:bookmarkStart w:id="10449" w:name="_Toc530476226"/>
      <w:bookmarkStart w:id="10450" w:name="_Toc530477174"/>
      <w:bookmarkStart w:id="10451" w:name="_Toc530503025"/>
      <w:bookmarkStart w:id="10452" w:name="_Toc530504545"/>
      <w:bookmarkStart w:id="10453" w:name="_Toc530514411"/>
      <w:bookmarkStart w:id="10454" w:name="_Toc530514514"/>
      <w:bookmarkStart w:id="10455" w:name="_Toc530521963"/>
      <w:bookmarkStart w:id="10456" w:name="_Toc530525027"/>
      <w:bookmarkStart w:id="10457" w:name="_Toc530551174"/>
      <w:bookmarkStart w:id="10458" w:name="_Toc19390368"/>
      <w:bookmarkStart w:id="10459" w:name="_Toc19393865"/>
      <w:r>
        <w:rPr>
          <w:rFonts w:hint="cs"/>
          <w:rtl/>
        </w:rPr>
        <w:t>דברי השער"י דלדעת הרמב"ם דלענין נפשות רובא דל"ק מהני ורובא דא"ק לא מהני</w:t>
      </w:r>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p>
    <w:p w14:paraId="1651B54A" w14:textId="77777777" w:rsidR="00FF73EE" w:rsidRDefault="00FF73EE" w:rsidP="00223668">
      <w:pPr>
        <w:pStyle w:val="a0"/>
        <w:rPr>
          <w:rtl/>
        </w:rPr>
      </w:pPr>
      <w:bookmarkStart w:id="10460" w:name="_Ref530125498"/>
      <w:r>
        <w:rPr>
          <w:rFonts w:hint="cs"/>
          <w:rtl/>
        </w:rPr>
        <w:t xml:space="preserve">כתב </w:t>
      </w:r>
      <w:r w:rsidRPr="00AD5824">
        <w:rPr>
          <w:rStyle w:val="af9"/>
          <w:rFonts w:hint="cs"/>
          <w:rtl/>
        </w:rPr>
        <w:t>השער"י</w:t>
      </w:r>
      <w:r>
        <w:rPr>
          <w:rFonts w:hint="cs"/>
          <w:rtl/>
        </w:rPr>
        <w:t xml:space="preserve"> </w:t>
      </w:r>
      <w:r w:rsidRPr="00AD5824">
        <w:rPr>
          <w:rStyle w:val="af7"/>
          <w:rFonts w:eastAsia="Guttman Hodes" w:hint="cs"/>
          <w:rtl/>
        </w:rPr>
        <w:t>(ש"ג פ"א ד"ה והנה באמת)</w:t>
      </w:r>
      <w:r>
        <w:rPr>
          <w:rFonts w:hint="cs"/>
          <w:rtl/>
        </w:rPr>
        <w:t xml:space="preserve"> דמדברי </w:t>
      </w:r>
      <w:r w:rsidRPr="00AD5824">
        <w:rPr>
          <w:rStyle w:val="af9"/>
          <w:rFonts w:hint="cs"/>
          <w:rtl/>
        </w:rPr>
        <w:t>הרמב"ם</w:t>
      </w:r>
      <w:r>
        <w:rPr>
          <w:rFonts w:hint="cs"/>
          <w:rtl/>
        </w:rPr>
        <w:t xml:space="preserve"> מוכח דרובא דליתא קמן מהני לדיני נפשות, אבל רובא דאיתא קמן לא מהני לדיני נפשות, דהא כתב </w:t>
      </w:r>
      <w:r w:rsidRPr="00AD5824">
        <w:rPr>
          <w:rStyle w:val="af9"/>
          <w:rFonts w:hint="cs"/>
          <w:rtl/>
        </w:rPr>
        <w:t>הרמב"ם</w:t>
      </w:r>
      <w:r>
        <w:rPr>
          <w:rFonts w:hint="cs"/>
          <w:rtl/>
        </w:rPr>
        <w:t xml:space="preserve"> </w:t>
      </w:r>
      <w:r w:rsidRPr="00AD5824">
        <w:rPr>
          <w:rStyle w:val="af7"/>
          <w:rFonts w:eastAsia="Guttman Hodes" w:hint="cs"/>
          <w:rtl/>
        </w:rPr>
        <w:t>(איסו"ב ט"ו כ"ז)</w:t>
      </w:r>
      <w:r>
        <w:rPr>
          <w:rFonts w:hint="cs"/>
          <w:rtl/>
        </w:rPr>
        <w:t xml:space="preserve"> דאסופי שנמצא במקום שיש שם עכו"ם שראוי לילד, דהוא ספק עכו"ם ואם נשא אשה </w:t>
      </w:r>
      <w:r w:rsidRPr="00403861">
        <w:rPr>
          <w:rStyle w:val="afb"/>
          <w:rFonts w:hint="cs"/>
          <w:rtl/>
        </w:rPr>
        <w:t>[גיורת]</w:t>
      </w:r>
      <w:r>
        <w:rPr>
          <w:rFonts w:hint="cs"/>
          <w:rtl/>
        </w:rPr>
        <w:t xml:space="preserve">, היא ספק אשת איש והבא עליה פטור, שאין הורגין מספק, והשיג עליו </w:t>
      </w:r>
      <w:r w:rsidRPr="00AD5824">
        <w:rPr>
          <w:rStyle w:val="af9"/>
          <w:rFonts w:hint="cs"/>
          <w:rtl/>
        </w:rPr>
        <w:t>הראב"ד</w:t>
      </w:r>
      <w:r>
        <w:rPr>
          <w:rFonts w:hint="cs"/>
          <w:rtl/>
        </w:rPr>
        <w:t xml:space="preserve"> דקיי"ל דאף בדיני נפשות אזלינן בתר רובא</w:t>
      </w:r>
      <w:r>
        <w:rPr>
          <w:rStyle w:val="af1"/>
          <w:rtl/>
        </w:rPr>
        <w:footnoteReference w:id="79"/>
      </w:r>
      <w:r>
        <w:rPr>
          <w:rFonts w:hint="cs"/>
          <w:rtl/>
        </w:rPr>
        <w:t xml:space="preserve">, והביא </w:t>
      </w:r>
      <w:r w:rsidRPr="00AD5824">
        <w:rPr>
          <w:rStyle w:val="af9"/>
          <w:rFonts w:hint="cs"/>
          <w:rtl/>
        </w:rPr>
        <w:t>השער"י</w:t>
      </w:r>
      <w:r>
        <w:rPr>
          <w:rFonts w:hint="cs"/>
          <w:rtl/>
        </w:rPr>
        <w:t xml:space="preserve"> את דברי </w:t>
      </w:r>
      <w:r w:rsidRPr="00AD5824">
        <w:rPr>
          <w:rStyle w:val="af9"/>
          <w:rFonts w:hint="cs"/>
          <w:rtl/>
        </w:rPr>
        <w:t>הרמב"ם</w:t>
      </w:r>
      <w:r>
        <w:rPr>
          <w:rFonts w:hint="cs"/>
          <w:rtl/>
        </w:rPr>
        <w:t xml:space="preserve"> </w:t>
      </w:r>
      <w:r w:rsidRPr="00AD5824">
        <w:rPr>
          <w:rStyle w:val="af7"/>
          <w:rFonts w:eastAsia="Guttman Hodes" w:hint="cs"/>
          <w:rtl/>
        </w:rPr>
        <w:t>(</w:t>
      </w:r>
      <w:r w:rsidRPr="001855BF">
        <w:rPr>
          <w:rStyle w:val="af7"/>
          <w:rFonts w:eastAsia="Guttman Hodes" w:hint="cs"/>
          <w:rtl/>
        </w:rPr>
        <w:t xml:space="preserve">איסו"ב </w:t>
      </w:r>
      <w:r>
        <w:rPr>
          <w:rStyle w:val="af7"/>
          <w:rFonts w:eastAsia="Guttman Hodes" w:hint="cs"/>
          <w:rtl/>
        </w:rPr>
        <w:t>פ"ג</w:t>
      </w:r>
      <w:r w:rsidRPr="001855BF">
        <w:rPr>
          <w:rStyle w:val="af7"/>
          <w:rFonts w:eastAsia="Guttman Hodes" w:hint="cs"/>
          <w:rtl/>
        </w:rPr>
        <w:t xml:space="preserve"> </w:t>
      </w:r>
      <w:r>
        <w:rPr>
          <w:rStyle w:val="af7"/>
          <w:rFonts w:eastAsia="Guttman Hodes" w:hint="cs"/>
          <w:rtl/>
        </w:rPr>
        <w:t>ה"ב</w:t>
      </w:r>
      <w:r w:rsidRPr="001855BF">
        <w:rPr>
          <w:rStyle w:val="af7"/>
          <w:rFonts w:eastAsia="Guttman Hodes" w:hint="cs"/>
          <w:rtl/>
        </w:rPr>
        <w:t>)</w:t>
      </w:r>
      <w:r w:rsidRPr="001855BF">
        <w:rPr>
          <w:rFonts w:hint="cs"/>
          <w:rtl/>
        </w:rPr>
        <w:t xml:space="preserve"> לגבי קטנה שקידשה אביה, דהבא עליה בחנק, ומבואר</w:t>
      </w:r>
      <w:r>
        <w:rPr>
          <w:rFonts w:hint="cs"/>
          <w:rtl/>
        </w:rPr>
        <w:t xml:space="preserve"> דאף שהיא מקודשת רק מכח הרוב שאינה איילונית, מ"מ היא ודאי אשת איש.</w:t>
      </w:r>
      <w:bookmarkEnd w:id="10460"/>
    </w:p>
    <w:p w14:paraId="57A48690" w14:textId="77777777" w:rsidR="00FF73EE" w:rsidRDefault="00FF73EE" w:rsidP="006D6D32">
      <w:pPr>
        <w:pStyle w:val="a3"/>
        <w:rPr>
          <w:rtl/>
        </w:rPr>
      </w:pPr>
      <w:bookmarkStart w:id="10461" w:name="_Toc530083924"/>
      <w:bookmarkStart w:id="10462" w:name="_Toc530083960"/>
      <w:bookmarkStart w:id="10463" w:name="_Toc530147722"/>
      <w:bookmarkStart w:id="10464" w:name="_Toc530148050"/>
      <w:bookmarkStart w:id="10465" w:name="_Toc530348994"/>
      <w:bookmarkStart w:id="10466" w:name="_Toc530395885"/>
      <w:bookmarkStart w:id="10467" w:name="_Toc530411090"/>
      <w:bookmarkStart w:id="10468" w:name="_Toc530476227"/>
      <w:bookmarkStart w:id="10469" w:name="_Toc530477175"/>
      <w:bookmarkStart w:id="10470" w:name="_Toc530503026"/>
      <w:bookmarkStart w:id="10471" w:name="_Toc530504546"/>
      <w:bookmarkStart w:id="10472" w:name="_Toc530514412"/>
      <w:bookmarkStart w:id="10473" w:name="_Toc530514515"/>
      <w:bookmarkStart w:id="10474" w:name="_Toc530521964"/>
      <w:bookmarkStart w:id="10475" w:name="_Toc530525028"/>
      <w:bookmarkStart w:id="10476" w:name="_Toc530551175"/>
      <w:bookmarkStart w:id="10477" w:name="_Toc19390369"/>
      <w:bookmarkStart w:id="10478" w:name="_Toc19393866"/>
      <w:r>
        <w:rPr>
          <w:rFonts w:hint="cs"/>
          <w:rtl/>
        </w:rPr>
        <w:t>ביאור השער"י דברובא דל"ק נתברר הספק אף בנפשות וברובא דא"ק אינו דין ודאי לענין נפשות</w:t>
      </w:r>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p>
    <w:p w14:paraId="5DCB225E" w14:textId="77777777" w:rsidR="00FF73EE" w:rsidRDefault="00FF73EE" w:rsidP="00223668">
      <w:pPr>
        <w:pStyle w:val="a0"/>
        <w:rPr>
          <w:rtl/>
        </w:rPr>
      </w:pPr>
      <w:r>
        <w:rPr>
          <w:rFonts w:hint="cs"/>
          <w:rtl/>
        </w:rPr>
        <w:t xml:space="preserve">וכתב </w:t>
      </w:r>
      <w:r w:rsidRPr="007B5E99">
        <w:rPr>
          <w:rStyle w:val="af9"/>
          <w:rFonts w:hint="cs"/>
          <w:rtl/>
        </w:rPr>
        <w:t>השער"י</w:t>
      </w:r>
      <w:r w:rsidRPr="007B5E99">
        <w:rPr>
          <w:rStyle w:val="af7"/>
          <w:rFonts w:eastAsia="Guttman Hodes" w:hint="cs"/>
          <w:rtl/>
        </w:rPr>
        <w:t xml:space="preserve"> (ש"ג פ"א ד"ה ובזה נלענ"ד) </w:t>
      </w:r>
      <w:r>
        <w:rPr>
          <w:rFonts w:hint="cs"/>
          <w:rtl/>
        </w:rPr>
        <w:t xml:space="preserve">דהביאור בדברי </w:t>
      </w:r>
      <w:r w:rsidRPr="00925187">
        <w:rPr>
          <w:rStyle w:val="af9"/>
          <w:rFonts w:hint="cs"/>
          <w:rtl/>
        </w:rPr>
        <w:t>הרמב"ם</w:t>
      </w:r>
      <w:r>
        <w:rPr>
          <w:rFonts w:hint="cs"/>
          <w:rtl/>
        </w:rPr>
        <w:t xml:space="preserve"> הוא דכיון שרובא דליתא קמן הוא בירור על המציאות של הספק, ובזה אמרינן בגמ' בסנהדרין </w:t>
      </w:r>
      <w:r w:rsidRPr="000F7842">
        <w:rPr>
          <w:rStyle w:val="af7"/>
          <w:rFonts w:eastAsia="Guttman Hodes" w:hint="cs"/>
          <w:rtl/>
        </w:rPr>
        <w:t>(סט.)</w:t>
      </w:r>
      <w:r>
        <w:rPr>
          <w:rFonts w:hint="cs"/>
          <w:rtl/>
        </w:rPr>
        <w:t xml:space="preserve"> דאזלינן בדיני נפשות בתר רובא, אבל ברובא דאיתא קמן כתינוק שנמצא בעיר של רוב ישראל, שאין כל הכרעה ובירור על המציאות של הספק, אלא דכל בית מהעיר עושה צד ספק אם הוא ישראל או עכו"ם,</w:t>
      </w:r>
      <w:r w:rsidRPr="00B073B3">
        <w:rPr>
          <w:rFonts w:hint="cs"/>
          <w:rtl/>
        </w:rPr>
        <w:t xml:space="preserve"> </w:t>
      </w:r>
      <w:r>
        <w:rPr>
          <w:rFonts w:hint="cs"/>
          <w:rtl/>
        </w:rPr>
        <w:t>וילפינן מסנהדרין דיש דין לילך אחר רוב הצדדים, ולכן לענין הדינים של התינוק עצמו הוכרע שהוא ישראל, אבל ליהרג עליו,</w:t>
      </w:r>
      <w:r w:rsidRPr="00B77A7E">
        <w:rPr>
          <w:rStyle w:val="afb"/>
          <w:rFonts w:hint="cs"/>
          <w:rtl/>
        </w:rPr>
        <w:t xml:space="preserve"> [אם אחר הרגו</w:t>
      </w:r>
      <w:r>
        <w:rPr>
          <w:rStyle w:val="afb"/>
          <w:rFonts w:hint="cs"/>
          <w:rtl/>
        </w:rPr>
        <w:t>,</w:t>
      </w:r>
      <w:r w:rsidRPr="00B77A7E">
        <w:rPr>
          <w:rStyle w:val="afb"/>
          <w:rFonts w:hint="cs"/>
          <w:rtl/>
        </w:rPr>
        <w:t xml:space="preserve"> או בא על </w:t>
      </w:r>
      <w:r w:rsidRPr="00CF7617">
        <w:rPr>
          <w:rStyle w:val="afb"/>
          <w:rFonts w:hint="cs"/>
          <w:rtl/>
        </w:rPr>
        <w:t>אשתו],</w:t>
      </w:r>
      <w:r>
        <w:rPr>
          <w:rFonts w:hint="cs"/>
          <w:rtl/>
        </w:rPr>
        <w:t xml:space="preserve"> לא מהני מה שדינו כישראל דהא אין ידוע בודאי שהוא מישראל, [וע"ע במה שביאר </w:t>
      </w:r>
      <w:r w:rsidRPr="0085012C">
        <w:rPr>
          <w:rStyle w:val="af9"/>
          <w:rFonts w:hint="cs"/>
          <w:rtl/>
        </w:rPr>
        <w:t>השער"י</w:t>
      </w:r>
      <w:r>
        <w:rPr>
          <w:rFonts w:hint="cs"/>
          <w:rtl/>
        </w:rPr>
        <w:t xml:space="preserve"> </w:t>
      </w:r>
      <w:r w:rsidRPr="0085012C">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Ref530525172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פז)</w:t>
      </w:r>
      <w:r>
        <w:rPr>
          <w:rStyle w:val="af7"/>
          <w:rFonts w:eastAsia="Guttman Hodes"/>
          <w:rtl/>
        </w:rPr>
        <w:fldChar w:fldCharType="end"/>
      </w:r>
      <w:r w:rsidRPr="0085012C">
        <w:rPr>
          <w:rStyle w:val="af7"/>
          <w:rFonts w:eastAsia="Guttman Hodes" w:hint="cs"/>
          <w:rtl/>
        </w:rPr>
        <w:t xml:space="preserve"> </w:t>
      </w:r>
      <w:r>
        <w:rPr>
          <w:rFonts w:hint="cs"/>
          <w:rtl/>
        </w:rPr>
        <w:t xml:space="preserve">ביאור נוסף בדעת </w:t>
      </w:r>
      <w:r w:rsidRPr="0085012C">
        <w:rPr>
          <w:rStyle w:val="af9"/>
          <w:rFonts w:hint="cs"/>
          <w:rtl/>
        </w:rPr>
        <w:t>הרמב"ם</w:t>
      </w:r>
      <w:r>
        <w:rPr>
          <w:rFonts w:hint="cs"/>
          <w:rtl/>
        </w:rPr>
        <w:t>].</w:t>
      </w:r>
    </w:p>
    <w:p w14:paraId="54F26B1B" w14:textId="77777777" w:rsidR="00FF73EE" w:rsidRDefault="00FF73EE" w:rsidP="006D6D32">
      <w:pPr>
        <w:pStyle w:val="a3"/>
        <w:rPr>
          <w:rtl/>
        </w:rPr>
      </w:pPr>
      <w:bookmarkStart w:id="10479" w:name="_Toc530083925"/>
      <w:bookmarkStart w:id="10480" w:name="_Toc530083961"/>
      <w:bookmarkStart w:id="10481" w:name="_Toc530147723"/>
      <w:bookmarkStart w:id="10482" w:name="_Toc530148051"/>
      <w:bookmarkStart w:id="10483" w:name="_Toc530348995"/>
      <w:bookmarkStart w:id="10484" w:name="_Toc530395886"/>
      <w:bookmarkStart w:id="10485" w:name="_Toc530411091"/>
      <w:bookmarkStart w:id="10486" w:name="_Toc530476228"/>
      <w:bookmarkStart w:id="10487" w:name="_Toc530477176"/>
      <w:bookmarkStart w:id="10488" w:name="_Toc530503027"/>
      <w:bookmarkStart w:id="10489" w:name="_Toc530504547"/>
      <w:bookmarkStart w:id="10490" w:name="_Toc530514413"/>
      <w:bookmarkStart w:id="10491" w:name="_Toc530514516"/>
      <w:bookmarkStart w:id="10492" w:name="_Toc530521965"/>
      <w:bookmarkStart w:id="10493" w:name="_Toc530525029"/>
      <w:bookmarkStart w:id="10494" w:name="_Toc530551176"/>
      <w:bookmarkStart w:id="10495" w:name="_Toc19390370"/>
      <w:bookmarkStart w:id="10496" w:name="_Toc19393867"/>
      <w:r>
        <w:rPr>
          <w:rFonts w:hint="cs"/>
          <w:rtl/>
        </w:rPr>
        <w:t>דברי השער"י דאף שהספק על הנפשות הוא תולדה מספק שהוכרע ברובא דא"ק מ"מ אינו כודאי</w:t>
      </w:r>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p>
    <w:p w14:paraId="7303C76B" w14:textId="77777777" w:rsidR="00FF73EE" w:rsidRDefault="00FF73EE" w:rsidP="00223668">
      <w:pPr>
        <w:pStyle w:val="a0"/>
        <w:rPr>
          <w:rtl/>
        </w:rPr>
      </w:pPr>
      <w:r>
        <w:rPr>
          <w:rFonts w:hint="cs"/>
          <w:rtl/>
        </w:rPr>
        <w:t xml:space="preserve">והוסיף </w:t>
      </w:r>
      <w:r w:rsidRPr="007B5E99">
        <w:rPr>
          <w:rStyle w:val="af9"/>
          <w:rFonts w:hint="cs"/>
          <w:rtl/>
        </w:rPr>
        <w:t>השער"י</w:t>
      </w:r>
      <w:r>
        <w:rPr>
          <w:rFonts w:hint="cs"/>
          <w:rtl/>
        </w:rPr>
        <w:t xml:space="preserve"> דאף שהוכרע על התינוק שהוא ישראל, וא"כ הספק על רציחתו, הוא תולדה מהספק שכבר הוכרע עליו, מ"מ על עצם מעשה הרציחה אין רובא דאיתא קמן, שיש רוב צדדים שהוא מעשה רציחה, ודין תולדה לא מצינו ברובא דאיתא קמן, ורק על עצם הספק איתא דאזלינן בתר רוב צדדים.</w:t>
      </w:r>
    </w:p>
    <w:p w14:paraId="73064130" w14:textId="77777777" w:rsidR="00FF73EE" w:rsidRDefault="00FF73EE" w:rsidP="006D6D32">
      <w:pPr>
        <w:pStyle w:val="a3"/>
        <w:rPr>
          <w:rtl/>
        </w:rPr>
      </w:pPr>
      <w:bookmarkStart w:id="10497" w:name="_Toc530147724"/>
      <w:bookmarkStart w:id="10498" w:name="_Toc530148052"/>
      <w:bookmarkStart w:id="10499" w:name="_Toc530348996"/>
      <w:bookmarkStart w:id="10500" w:name="_Toc530395887"/>
      <w:bookmarkStart w:id="10501" w:name="_Toc530411092"/>
      <w:bookmarkStart w:id="10502" w:name="_Toc530476229"/>
      <w:bookmarkStart w:id="10503" w:name="_Toc530477177"/>
      <w:bookmarkStart w:id="10504" w:name="_Toc530503028"/>
      <w:bookmarkStart w:id="10505" w:name="_Toc530504548"/>
      <w:bookmarkStart w:id="10506" w:name="_Toc530514414"/>
      <w:bookmarkStart w:id="10507" w:name="_Toc530514517"/>
      <w:bookmarkStart w:id="10508" w:name="_Toc530521966"/>
      <w:bookmarkStart w:id="10509" w:name="_Toc530525030"/>
      <w:bookmarkStart w:id="10510" w:name="_Toc530551177"/>
      <w:bookmarkStart w:id="10511" w:name="_Toc19390371"/>
      <w:bookmarkStart w:id="10512" w:name="_Toc19393868"/>
      <w:r>
        <w:rPr>
          <w:rFonts w:hint="cs"/>
          <w:rtl/>
        </w:rPr>
        <w:t>דברי השער"י דרובא דל"ק הוא בירור ומהני לענין נפשות ויוחסין ורובא דא"ק לא מהני</w:t>
      </w:r>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p>
    <w:p w14:paraId="51FFCF3D" w14:textId="77777777" w:rsidR="00FF73EE" w:rsidRDefault="00FF73EE" w:rsidP="00223668">
      <w:pPr>
        <w:pStyle w:val="a0"/>
        <w:rPr>
          <w:rtl/>
        </w:rPr>
      </w:pPr>
      <w:r>
        <w:rPr>
          <w:rFonts w:hint="cs"/>
          <w:rtl/>
        </w:rPr>
        <w:t xml:space="preserve">ולפי"ז ביאר </w:t>
      </w:r>
      <w:r>
        <w:rPr>
          <w:rStyle w:val="af9"/>
          <w:rFonts w:hint="cs"/>
          <w:rtl/>
        </w:rPr>
        <w:t>ה</w:t>
      </w:r>
      <w:r w:rsidRPr="009E10A1">
        <w:rPr>
          <w:rStyle w:val="af9"/>
          <w:rFonts w:hint="cs"/>
          <w:rtl/>
        </w:rPr>
        <w:t>שער"י</w:t>
      </w:r>
      <w:r>
        <w:rPr>
          <w:rFonts w:hint="cs"/>
          <w:rtl/>
        </w:rPr>
        <w:t xml:space="preserve"> </w:t>
      </w:r>
      <w:r w:rsidRPr="00343946">
        <w:rPr>
          <w:rStyle w:val="af7"/>
          <w:rFonts w:eastAsia="Guttman Hodes" w:hint="cs"/>
          <w:rtl/>
        </w:rPr>
        <w:t>(ש"ג פ"א ד"ה וראיה)</w:t>
      </w:r>
      <w:r>
        <w:rPr>
          <w:rFonts w:hint="cs"/>
          <w:rtl/>
        </w:rPr>
        <w:t xml:space="preserve"> את הגמ' בקידושין </w:t>
      </w:r>
      <w:r w:rsidRPr="00343946">
        <w:rPr>
          <w:rStyle w:val="af7"/>
          <w:rFonts w:eastAsia="Guttman Hodes" w:hint="cs"/>
          <w:rtl/>
        </w:rPr>
        <w:t>(פ.)</w:t>
      </w:r>
      <w:r>
        <w:rPr>
          <w:rFonts w:hint="cs"/>
          <w:rtl/>
        </w:rPr>
        <w:t xml:space="preserve"> דמבואר דרובא דליתא קמן מהני לדיני נפשות, אך לא מהני לשרוף עליו תרומה, ואילו רובא דאיתא קמן מהני לשרוף את התרומה, ולא מהני לדיני נפשות, כמבואר </w:t>
      </w:r>
      <w:r w:rsidRPr="009E10A1">
        <w:rPr>
          <w:rStyle w:val="af9"/>
          <w:rFonts w:hint="cs"/>
          <w:rtl/>
        </w:rPr>
        <w:t>ברמב"ם</w:t>
      </w:r>
      <w:r>
        <w:rPr>
          <w:rFonts w:hint="cs"/>
          <w:rtl/>
        </w:rPr>
        <w:t xml:space="preserve"> </w:t>
      </w:r>
      <w:r w:rsidRPr="00343946">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Ref530125498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עט)</w:t>
      </w:r>
      <w:r>
        <w:rPr>
          <w:rStyle w:val="af7"/>
          <w:rFonts w:eastAsia="Guttman Hodes"/>
          <w:rtl/>
        </w:rPr>
        <w:fldChar w:fldCharType="end"/>
      </w:r>
      <w:r>
        <w:rPr>
          <w:rFonts w:hint="cs"/>
          <w:rtl/>
        </w:rPr>
        <w:t xml:space="preserve">, וכן לענין יוחסין דמבואר דמהני רובא דליתא קמן, ולא מהני רובא דאיתא קמן, וביאר </w:t>
      </w:r>
      <w:r w:rsidRPr="00343946">
        <w:rPr>
          <w:rStyle w:val="af9"/>
          <w:rFonts w:hint="cs"/>
          <w:rtl/>
        </w:rPr>
        <w:t>השער"י</w:t>
      </w:r>
      <w:r>
        <w:rPr>
          <w:rFonts w:hint="cs"/>
          <w:rtl/>
        </w:rPr>
        <w:t xml:space="preserve"> דכיון דרובא דליתא קמן הוא בירור גמור, ולכן מהני לנפשות וליוחסין, דבדינים אלו סגי בבירור של רוב, ואילו רובא דאיתא קמן אף שאינו בירור גמור, מ"מ יש בכחו לפסוק  דין ודאי, ולכן מהני לשרוף את התרומה.</w:t>
      </w:r>
    </w:p>
    <w:p w14:paraId="5DBE3A4A" w14:textId="77777777" w:rsidR="00FF73EE" w:rsidRPr="000F4147" w:rsidRDefault="00FF73EE" w:rsidP="006D6D32">
      <w:pPr>
        <w:pStyle w:val="afe"/>
        <w:rPr>
          <w:rtl/>
        </w:rPr>
      </w:pPr>
      <w:bookmarkStart w:id="10513" w:name="_Toc530476230"/>
      <w:bookmarkStart w:id="10514" w:name="_Toc530477178"/>
      <w:bookmarkStart w:id="10515" w:name="_Toc530503029"/>
      <w:bookmarkStart w:id="10516" w:name="_Toc530504549"/>
      <w:bookmarkStart w:id="10517" w:name="_Toc530514415"/>
      <w:bookmarkStart w:id="10518" w:name="_Toc530514518"/>
      <w:bookmarkStart w:id="10519" w:name="_Toc530521967"/>
      <w:bookmarkStart w:id="10520" w:name="_Toc530525031"/>
      <w:bookmarkStart w:id="10521" w:name="_Toc530551178"/>
      <w:bookmarkStart w:id="10522" w:name="_Toc19435704"/>
      <w:bookmarkStart w:id="10523" w:name="_Toc20080972"/>
      <w:bookmarkStart w:id="10524" w:name="_Toc530348999"/>
      <w:bookmarkStart w:id="10525" w:name="_Toc530395890"/>
      <w:bookmarkStart w:id="10526" w:name="_Toc530411095"/>
      <w:r w:rsidRPr="000F4147">
        <w:rPr>
          <w:rFonts w:hint="cs"/>
          <w:rtl/>
        </w:rPr>
        <w:t>בדעת התוס' ברוב בנפשות</w:t>
      </w:r>
      <w:bookmarkEnd w:id="10513"/>
      <w:bookmarkEnd w:id="10514"/>
      <w:bookmarkEnd w:id="10515"/>
      <w:bookmarkEnd w:id="10516"/>
      <w:bookmarkEnd w:id="10517"/>
      <w:bookmarkEnd w:id="10518"/>
      <w:bookmarkEnd w:id="10519"/>
      <w:bookmarkEnd w:id="10520"/>
      <w:bookmarkEnd w:id="10521"/>
      <w:bookmarkEnd w:id="10522"/>
      <w:bookmarkEnd w:id="10523"/>
    </w:p>
    <w:p w14:paraId="65CF0EA2" w14:textId="77777777" w:rsidR="00FF73EE" w:rsidRDefault="00FF73EE" w:rsidP="00BF39B2">
      <w:pPr>
        <w:pStyle w:val="1"/>
        <w:rPr>
          <w:rtl/>
        </w:rPr>
      </w:pPr>
      <w:bookmarkStart w:id="10527" w:name="_Toc530525032"/>
      <w:bookmarkStart w:id="10528" w:name="_Toc530551179"/>
      <w:bookmarkStart w:id="10529" w:name="_Toc19390372"/>
      <w:bookmarkStart w:id="10530" w:name="_Toc19393869"/>
      <w:bookmarkEnd w:id="10524"/>
      <w:bookmarkEnd w:id="10525"/>
      <w:bookmarkEnd w:id="10526"/>
      <w:r>
        <w:rPr>
          <w:rFonts w:hint="cs"/>
          <w:rtl/>
        </w:rPr>
        <w:t>דברי השער"י דבנפשות מהני רוב שהוא ראיה עפ"י שכל</w:t>
      </w:r>
      <w:bookmarkEnd w:id="10527"/>
      <w:bookmarkEnd w:id="10528"/>
      <w:bookmarkEnd w:id="10529"/>
      <w:bookmarkEnd w:id="10530"/>
    </w:p>
    <w:p w14:paraId="53715051" w14:textId="77777777" w:rsidR="00FF73EE" w:rsidRDefault="00FF73EE" w:rsidP="006D6D32">
      <w:pPr>
        <w:pStyle w:val="a3"/>
        <w:rPr>
          <w:rtl/>
        </w:rPr>
      </w:pPr>
      <w:bookmarkStart w:id="10531" w:name="_Toc530525033"/>
      <w:bookmarkStart w:id="10532" w:name="_Toc530551180"/>
      <w:bookmarkStart w:id="10533" w:name="_Toc19390373"/>
      <w:bookmarkStart w:id="10534" w:name="_Toc19393870"/>
      <w:r>
        <w:rPr>
          <w:rFonts w:hint="cs"/>
          <w:rtl/>
        </w:rPr>
        <w:t>ביאור השער"י דמסקנת הגמ' בסנהדרין דבנפשות להגדרת הדין א"צ ראיה עפ"י שכל וסגי ברוב</w:t>
      </w:r>
      <w:bookmarkEnd w:id="10531"/>
      <w:bookmarkEnd w:id="10532"/>
      <w:bookmarkEnd w:id="10533"/>
      <w:bookmarkEnd w:id="10534"/>
    </w:p>
    <w:p w14:paraId="3D2309BE" w14:textId="77777777" w:rsidR="00FF73EE" w:rsidRDefault="00FF73EE" w:rsidP="00223668">
      <w:pPr>
        <w:pStyle w:val="a0"/>
        <w:rPr>
          <w:rtl/>
        </w:rPr>
      </w:pPr>
      <w:bookmarkStart w:id="10535" w:name="_Ref530331673"/>
      <w:bookmarkStart w:id="10536" w:name="_Toc530147727"/>
      <w:bookmarkStart w:id="10537" w:name="_Toc530148055"/>
      <w:r w:rsidRPr="009E20A5">
        <w:rPr>
          <w:rStyle w:val="af9"/>
          <w:rFonts w:hint="cs"/>
          <w:rtl/>
        </w:rPr>
        <w:t>השער"י</w:t>
      </w:r>
      <w:r>
        <w:rPr>
          <w:rFonts w:hint="cs"/>
          <w:rtl/>
        </w:rPr>
        <w:t xml:space="preserve"> </w:t>
      </w:r>
      <w:r w:rsidRPr="00562340">
        <w:rPr>
          <w:rStyle w:val="af7"/>
          <w:rFonts w:eastAsia="Guttman Hodes" w:hint="cs"/>
          <w:rtl/>
        </w:rPr>
        <w:t>(ש"ג פ"ג)</w:t>
      </w:r>
      <w:r>
        <w:rPr>
          <w:rFonts w:hint="cs"/>
          <w:rtl/>
        </w:rPr>
        <w:t xml:space="preserve"> האריך לבאר דהא דלא אזלינן בדיני ממונות בתר רוב, הוא כיון דבמקום שיש מוחזק, צריך ראיה מבוררת עפ"י שכל, וא"א להוציא ממוחזק עפ"י הכללים שאמרה תורה בדיני איסורים. וכתב </w:t>
      </w:r>
      <w:r w:rsidRPr="009E20A5">
        <w:rPr>
          <w:rStyle w:val="af9"/>
          <w:rFonts w:hint="cs"/>
          <w:rtl/>
        </w:rPr>
        <w:t>השער"י</w:t>
      </w:r>
      <w:r>
        <w:rPr>
          <w:rFonts w:hint="cs"/>
          <w:rtl/>
        </w:rPr>
        <w:t xml:space="preserve"> </w:t>
      </w:r>
      <w:r w:rsidRPr="00562340">
        <w:rPr>
          <w:rStyle w:val="af7"/>
          <w:rFonts w:eastAsia="Guttman Hodes" w:hint="cs"/>
          <w:rtl/>
        </w:rPr>
        <w:t>(ש"ג פ"ג ד"ה ולפי"ז י"ל הא)</w:t>
      </w:r>
      <w:r>
        <w:rPr>
          <w:rFonts w:hint="cs"/>
          <w:rtl/>
        </w:rPr>
        <w:t xml:space="preserve"> דבדיני נפשות הוקשה לגמ' בסנהדרין </w:t>
      </w:r>
      <w:r w:rsidRPr="00562340">
        <w:rPr>
          <w:rStyle w:val="af7"/>
          <w:rFonts w:eastAsia="Guttman Hodes" w:hint="cs"/>
          <w:rtl/>
        </w:rPr>
        <w:t>(סט.)</w:t>
      </w:r>
      <w:r>
        <w:rPr>
          <w:rFonts w:hint="cs"/>
          <w:rtl/>
        </w:rPr>
        <w:t>, דכיון שיש דין ושפטו העדה והצילו העדה, א"כ צריך ראיות מבוררות עפ"י שכל, והיאך אזלינן בתר רוב שאינו בירור שכלי, ותירצה הגמ' דדין והצילו העדה הוא על עצם המעשה המחייב בדיני נפשות, דהיינו דבכדי להוכיח שעשה מעשה המחייב מיתה צריך ראיה ברורה, אבל לענין הגדרת הדין של האדם, דהיינו להחליט על האשה אם היא א"א, או בנדון הגדת העדים כרובא דאינשי טעו בעיבורא דירחא, וכן בהכרעת הדיינים, בכה"ג אף בדיני נפשות אזלינן בתר רובא, וא"צ הכרעה של עדים, או ראיה עפ"י שכל.</w:t>
      </w:r>
      <w:bookmarkEnd w:id="10535"/>
    </w:p>
    <w:p w14:paraId="0439A175" w14:textId="77777777" w:rsidR="00FF73EE" w:rsidRDefault="00FF73EE" w:rsidP="006D6D32">
      <w:pPr>
        <w:pStyle w:val="a3"/>
        <w:rPr>
          <w:rtl/>
        </w:rPr>
      </w:pPr>
      <w:bookmarkStart w:id="10538" w:name="_Toc530525034"/>
      <w:bookmarkStart w:id="10539" w:name="_Toc530551181"/>
      <w:bookmarkStart w:id="10540" w:name="_Toc19390374"/>
      <w:bookmarkStart w:id="10541" w:name="_Toc19393871"/>
      <w:r>
        <w:rPr>
          <w:rFonts w:hint="cs"/>
          <w:rtl/>
        </w:rPr>
        <w:t>קושית השער"י על התוס' בסנהדרין מנא להו לחלק בין רוב טוב לרוב גרוע</w:t>
      </w:r>
      <w:bookmarkEnd w:id="10538"/>
      <w:bookmarkEnd w:id="10539"/>
      <w:bookmarkEnd w:id="10540"/>
      <w:bookmarkEnd w:id="10541"/>
    </w:p>
    <w:p w14:paraId="31F3BA68" w14:textId="77777777" w:rsidR="00FF73EE" w:rsidRDefault="00FF73EE" w:rsidP="00223668">
      <w:pPr>
        <w:pStyle w:val="a0"/>
        <w:rPr>
          <w:rtl/>
        </w:rPr>
      </w:pPr>
      <w:r>
        <w:rPr>
          <w:rFonts w:hint="cs"/>
          <w:rtl/>
        </w:rPr>
        <w:t xml:space="preserve">אך כתב </w:t>
      </w:r>
      <w:r w:rsidRPr="009E20A5">
        <w:rPr>
          <w:rStyle w:val="af9"/>
          <w:rFonts w:hint="cs"/>
          <w:rtl/>
        </w:rPr>
        <w:t>השער"י</w:t>
      </w:r>
      <w:r>
        <w:rPr>
          <w:rFonts w:hint="cs"/>
          <w:rtl/>
        </w:rPr>
        <w:t xml:space="preserve"> </w:t>
      </w:r>
      <w:r w:rsidRPr="009E20A5">
        <w:rPr>
          <w:rStyle w:val="af7"/>
          <w:rFonts w:eastAsia="Guttman Hodes" w:hint="cs"/>
          <w:rtl/>
        </w:rPr>
        <w:t>(ש"ג פ"</w:t>
      </w:r>
      <w:r>
        <w:rPr>
          <w:rStyle w:val="af7"/>
          <w:rFonts w:eastAsia="Guttman Hodes" w:hint="cs"/>
          <w:rtl/>
        </w:rPr>
        <w:t>ג</w:t>
      </w:r>
      <w:r w:rsidRPr="009E20A5">
        <w:rPr>
          <w:rStyle w:val="af7"/>
          <w:rFonts w:eastAsia="Guttman Hodes" w:hint="cs"/>
          <w:rtl/>
        </w:rPr>
        <w:t xml:space="preserve"> ד"ה ולפי"ז י"ל דגם)</w:t>
      </w:r>
      <w:r>
        <w:rPr>
          <w:rFonts w:hint="cs"/>
          <w:rtl/>
        </w:rPr>
        <w:t xml:space="preserve"> </w:t>
      </w:r>
      <w:r w:rsidRPr="009E20A5">
        <w:rPr>
          <w:rStyle w:val="af9"/>
          <w:rFonts w:hint="cs"/>
          <w:rtl/>
        </w:rPr>
        <w:t>דבתוס' בסנהדרין</w:t>
      </w:r>
      <w:r>
        <w:rPr>
          <w:rFonts w:hint="cs"/>
          <w:rtl/>
        </w:rPr>
        <w:t xml:space="preserve"> </w:t>
      </w:r>
      <w:r w:rsidRPr="009E20A5">
        <w:rPr>
          <w:rStyle w:val="af7"/>
          <w:rFonts w:eastAsia="Guttman Hodes" w:hint="cs"/>
          <w:rtl/>
        </w:rPr>
        <w:t xml:space="preserve">(עי' אות </w:t>
      </w:r>
      <w:r w:rsidRPr="009E20A5">
        <w:rPr>
          <w:rStyle w:val="af7"/>
          <w:rFonts w:eastAsia="Guttman Hodes"/>
          <w:rtl/>
        </w:rPr>
        <w:fldChar w:fldCharType="begin"/>
      </w:r>
      <w:r w:rsidRPr="009E20A5">
        <w:rPr>
          <w:rStyle w:val="af7"/>
          <w:rFonts w:eastAsia="Guttman Hodes"/>
          <w:rtl/>
        </w:rPr>
        <w:instrText xml:space="preserve"> </w:instrText>
      </w:r>
      <w:r w:rsidRPr="009E20A5">
        <w:rPr>
          <w:rStyle w:val="af7"/>
          <w:rFonts w:eastAsia="Guttman Hodes" w:hint="cs"/>
        </w:rPr>
        <w:instrText>REF</w:instrText>
      </w:r>
      <w:r w:rsidRPr="009E20A5">
        <w:rPr>
          <w:rStyle w:val="af7"/>
          <w:rFonts w:eastAsia="Guttman Hodes" w:hint="cs"/>
          <w:rtl/>
        </w:rPr>
        <w:instrText xml:space="preserve"> _</w:instrText>
      </w:r>
      <w:r w:rsidRPr="009E20A5">
        <w:rPr>
          <w:rStyle w:val="af7"/>
          <w:rFonts w:eastAsia="Guttman Hodes" w:hint="cs"/>
        </w:rPr>
        <w:instrText>Ref530042782 \r \h</w:instrText>
      </w:r>
      <w:r w:rsidRPr="009E20A5">
        <w:rPr>
          <w:rStyle w:val="af7"/>
          <w:rFonts w:eastAsia="Guttman Hodes"/>
          <w:rtl/>
        </w:rPr>
        <w:instrText xml:space="preserve"> </w:instrText>
      </w:r>
      <w:r w:rsidRPr="009E20A5">
        <w:rPr>
          <w:rStyle w:val="af7"/>
          <w:rFonts w:eastAsia="Guttman Hodes"/>
          <w:rtl/>
        </w:rPr>
      </w:r>
      <w:r w:rsidRPr="009E20A5">
        <w:rPr>
          <w:rStyle w:val="af7"/>
          <w:rFonts w:eastAsia="Guttman Hodes"/>
          <w:rtl/>
        </w:rPr>
        <w:fldChar w:fldCharType="separate"/>
      </w:r>
      <w:r w:rsidR="00345400">
        <w:rPr>
          <w:rStyle w:val="af7"/>
          <w:rFonts w:eastAsia="Guttman Hodes"/>
          <w:cs/>
        </w:rPr>
        <w:t>‎</w:t>
      </w:r>
      <w:r w:rsidR="00345400">
        <w:rPr>
          <w:rStyle w:val="af7"/>
          <w:rFonts w:eastAsia="Guttman Hodes"/>
          <w:rtl/>
        </w:rPr>
        <w:t>מא)</w:t>
      </w:r>
      <w:r w:rsidRPr="009E20A5">
        <w:rPr>
          <w:rStyle w:val="af7"/>
          <w:rFonts w:eastAsia="Guttman Hodes"/>
          <w:rtl/>
        </w:rPr>
        <w:fldChar w:fldCharType="end"/>
      </w:r>
      <w:r>
        <w:rPr>
          <w:rFonts w:hint="cs"/>
          <w:rtl/>
        </w:rPr>
        <w:t xml:space="preserve"> מבואר דלא ס"ל כן דכיון דכתבו דהא דלא אזלינן בדיני ממונות בתר רובא הוא רק ברוב גרוע, א"כ מבואר דאף בדיני נפשות לא אזלינן בתר רוב גרוע, </w:t>
      </w:r>
      <w:r w:rsidRPr="005B19C4">
        <w:rPr>
          <w:rtl/>
        </w:rPr>
        <w:t xml:space="preserve">והקשה </w:t>
      </w:r>
      <w:r w:rsidRPr="009E20A5">
        <w:rPr>
          <w:rStyle w:val="af9"/>
          <w:rtl/>
        </w:rPr>
        <w:t>השער"י</w:t>
      </w:r>
      <w:r w:rsidRPr="005B19C4">
        <w:rPr>
          <w:rtl/>
        </w:rPr>
        <w:t xml:space="preserve"> </w:t>
      </w:r>
      <w:r w:rsidRPr="009E20A5">
        <w:rPr>
          <w:rStyle w:val="af7"/>
          <w:rFonts w:eastAsia="Guttman Hodes"/>
          <w:rtl/>
        </w:rPr>
        <w:t xml:space="preserve">(ש"ג פ"ג </w:t>
      </w:r>
      <w:r w:rsidRPr="009E20A5">
        <w:rPr>
          <w:rStyle w:val="af7"/>
          <w:rFonts w:eastAsia="Guttman Hodes" w:hint="cs"/>
          <w:rtl/>
        </w:rPr>
        <w:t>ד"ה אמנם שיטת, ו</w:t>
      </w:r>
      <w:r w:rsidRPr="009E20A5">
        <w:rPr>
          <w:rStyle w:val="af7"/>
          <w:rFonts w:eastAsia="Guttman Hodes"/>
          <w:rtl/>
        </w:rPr>
        <w:t>ד"ה ובתוס' פ"ק)</w:t>
      </w:r>
      <w:r w:rsidRPr="005B19C4">
        <w:rPr>
          <w:rtl/>
        </w:rPr>
        <w:t xml:space="preserve"> על דברי </w:t>
      </w:r>
      <w:r w:rsidRPr="009E20A5">
        <w:rPr>
          <w:rStyle w:val="af9"/>
          <w:rtl/>
        </w:rPr>
        <w:t>התוס' בסנהדרין</w:t>
      </w:r>
      <w:r w:rsidRPr="005B19C4">
        <w:rPr>
          <w:rtl/>
        </w:rPr>
        <w:t xml:space="preserve"> דא"כ היה לשמואל לומר דהא דאזלינן בתר רוב גרוע, הוא רק באיסורים ולא בנפשות</w:t>
      </w:r>
      <w:r>
        <w:rPr>
          <w:rFonts w:hint="cs"/>
          <w:rtl/>
        </w:rPr>
        <w:t xml:space="preserve">. </w:t>
      </w:r>
      <w:r w:rsidRPr="005B19C4">
        <w:rPr>
          <w:rtl/>
        </w:rPr>
        <w:t xml:space="preserve">ועוד הקשה </w:t>
      </w:r>
      <w:r w:rsidRPr="00562C0E">
        <w:rPr>
          <w:rStyle w:val="af9"/>
          <w:rtl/>
        </w:rPr>
        <w:t>השער"י</w:t>
      </w:r>
      <w:r w:rsidRPr="005B19C4">
        <w:rPr>
          <w:rtl/>
        </w:rPr>
        <w:t xml:space="preserve"> דלדעת </w:t>
      </w:r>
      <w:r w:rsidRPr="009E20A5">
        <w:rPr>
          <w:rStyle w:val="af9"/>
          <w:rtl/>
        </w:rPr>
        <w:t>התוס' בסנהדרין</w:t>
      </w:r>
      <w:r w:rsidRPr="005B19C4">
        <w:rPr>
          <w:rtl/>
        </w:rPr>
        <w:t xml:space="preserve"> ילפינן את דיני ממונות בק"ו מנפשות</w:t>
      </w:r>
      <w:r>
        <w:rPr>
          <w:rFonts w:hint="cs"/>
          <w:rtl/>
        </w:rPr>
        <w:t>,</w:t>
      </w:r>
      <w:r w:rsidRPr="005B19C4">
        <w:rPr>
          <w:rtl/>
        </w:rPr>
        <w:t xml:space="preserve"> </w:t>
      </w:r>
      <w:r>
        <w:rPr>
          <w:rFonts w:hint="cs"/>
          <w:rtl/>
        </w:rPr>
        <w:t xml:space="preserve">לענין </w:t>
      </w:r>
      <w:r w:rsidRPr="005B19C4">
        <w:rPr>
          <w:rtl/>
        </w:rPr>
        <w:t>הא דאזלינן בתר רוב טוב, וא"כ מבואר דהא דברוב גרוע לא אזלינן בדיני ממונות, אינו מחמת דאין כח ברוב להוציא מהמוחזק, דהא לרוב טוב יש כח להוציא אף ממוחזק, וא"כ מנלן לחלק בין רוב גרוע לרוב טוב בין איסורים לנפשות, דכל החילוק בין נפשות לממונות הוא רק מחמת דין מוחזק.</w:t>
      </w:r>
    </w:p>
    <w:p w14:paraId="6E42E465" w14:textId="77777777" w:rsidR="00FF73EE" w:rsidRDefault="00FF73EE" w:rsidP="006D6D32">
      <w:pPr>
        <w:pStyle w:val="a3"/>
        <w:rPr>
          <w:rtl/>
        </w:rPr>
      </w:pPr>
      <w:bookmarkStart w:id="10542" w:name="_Toc530525035"/>
      <w:bookmarkStart w:id="10543" w:name="_Toc530551182"/>
      <w:bookmarkStart w:id="10544" w:name="_Toc19390375"/>
      <w:bookmarkStart w:id="10545" w:name="_Toc19393872"/>
      <w:r>
        <w:rPr>
          <w:rFonts w:hint="cs"/>
          <w:rtl/>
        </w:rPr>
        <w:t>ביאור השער"י בתוס' בסנהדרין דרוב שאין בו ראיה עפ"י שכל לא מהני בנפשות</w:t>
      </w:r>
      <w:bookmarkEnd w:id="10542"/>
      <w:bookmarkEnd w:id="10543"/>
      <w:bookmarkEnd w:id="10544"/>
      <w:bookmarkEnd w:id="10545"/>
    </w:p>
    <w:p w14:paraId="1740F4E0" w14:textId="77777777" w:rsidR="00FF73EE" w:rsidRDefault="00FF73EE" w:rsidP="00223668">
      <w:pPr>
        <w:pStyle w:val="a0"/>
        <w:rPr>
          <w:rtl/>
        </w:rPr>
      </w:pPr>
      <w:bookmarkStart w:id="10546" w:name="_Ref530325329"/>
      <w:r>
        <w:rPr>
          <w:rFonts w:hint="cs"/>
          <w:rtl/>
        </w:rPr>
        <w:t xml:space="preserve">וביאר </w:t>
      </w:r>
      <w:r w:rsidRPr="009E20A5">
        <w:rPr>
          <w:rStyle w:val="af9"/>
          <w:rtl/>
        </w:rPr>
        <w:t>השער"י</w:t>
      </w:r>
      <w:r w:rsidRPr="005B19C4">
        <w:rPr>
          <w:rtl/>
        </w:rPr>
        <w:t xml:space="preserve"> </w:t>
      </w:r>
      <w:r w:rsidRPr="009E20A5">
        <w:rPr>
          <w:rStyle w:val="af7"/>
          <w:rFonts w:eastAsia="Guttman Hodes"/>
          <w:rtl/>
        </w:rPr>
        <w:t xml:space="preserve">(ש"ג פ"ג </w:t>
      </w:r>
      <w:r w:rsidRPr="009E20A5">
        <w:rPr>
          <w:rStyle w:val="af7"/>
          <w:rFonts w:eastAsia="Guttman Hodes" w:hint="cs"/>
          <w:rtl/>
        </w:rPr>
        <w:t>ד"ה אמנם שיטת)</w:t>
      </w:r>
      <w:r>
        <w:rPr>
          <w:rFonts w:hint="cs"/>
          <w:rtl/>
        </w:rPr>
        <w:t xml:space="preserve"> דדעת </w:t>
      </w:r>
      <w:r w:rsidRPr="00AF6E78">
        <w:rPr>
          <w:rStyle w:val="af9"/>
          <w:rFonts w:hint="cs"/>
          <w:rtl/>
        </w:rPr>
        <w:t>התוס' בסנהדרין</w:t>
      </w:r>
      <w:r>
        <w:rPr>
          <w:rFonts w:hint="cs"/>
          <w:rtl/>
        </w:rPr>
        <w:t xml:space="preserve"> היא דכיון דבדיני נפשות יש דין והצילו העדה, ילפינן דבדיני נפשות לא אזלינן בתר דין תורה של רוב סתם, אלא צריך רוב שיש בו גם ראיה והוכחה לפי דעת האדם שהוא רוב שכלי, אבל רוב כרובא דזבני לרדיא, דהוא רוב רק מדין התורה ואינו סברא, בזה אין כח להוציא ממון וכן בנפשות לא אזלינן בתריה.</w:t>
      </w:r>
      <w:bookmarkEnd w:id="10546"/>
    </w:p>
    <w:p w14:paraId="31FEE45B" w14:textId="77777777" w:rsidR="00FF73EE" w:rsidRDefault="00FF73EE" w:rsidP="006D6D32">
      <w:pPr>
        <w:pStyle w:val="a3"/>
        <w:rPr>
          <w:rtl/>
        </w:rPr>
      </w:pPr>
      <w:bookmarkStart w:id="10547" w:name="_Toc530525036"/>
      <w:bookmarkStart w:id="10548" w:name="_Toc530551183"/>
      <w:bookmarkStart w:id="10549" w:name="_Toc19390376"/>
      <w:bookmarkStart w:id="10550" w:name="_Toc19393873"/>
      <w:r>
        <w:rPr>
          <w:rFonts w:hint="cs"/>
          <w:rtl/>
        </w:rPr>
        <w:t>ביאור השער"י בתוס' בסנהדרין דמדאו' מהני רוב של מנהג לאיסור ובנפשות צריך רוב עפ"י שכל</w:t>
      </w:r>
      <w:bookmarkEnd w:id="10547"/>
      <w:bookmarkEnd w:id="10548"/>
      <w:bookmarkEnd w:id="10549"/>
      <w:bookmarkEnd w:id="10550"/>
    </w:p>
    <w:p w14:paraId="1A8B4CA1" w14:textId="77777777" w:rsidR="00FF73EE" w:rsidRDefault="00FF73EE" w:rsidP="00223668">
      <w:pPr>
        <w:pStyle w:val="a0"/>
        <w:rPr>
          <w:rtl/>
        </w:rPr>
      </w:pPr>
      <w:r>
        <w:rPr>
          <w:rFonts w:hint="cs"/>
          <w:rtl/>
        </w:rPr>
        <w:t xml:space="preserve">והביא </w:t>
      </w:r>
      <w:r w:rsidRPr="00AF6E78">
        <w:rPr>
          <w:rStyle w:val="af9"/>
          <w:rtl/>
        </w:rPr>
        <w:t>השער"י</w:t>
      </w:r>
      <w:r w:rsidRPr="005B19C4">
        <w:rPr>
          <w:rtl/>
        </w:rPr>
        <w:t xml:space="preserve"> </w:t>
      </w:r>
      <w:r w:rsidRPr="001528C9">
        <w:rPr>
          <w:rStyle w:val="af7"/>
          <w:rFonts w:eastAsia="Guttman Hodes"/>
          <w:rtl/>
        </w:rPr>
        <w:t xml:space="preserve">(ש"ג פ"ג </w:t>
      </w:r>
      <w:r w:rsidRPr="001528C9">
        <w:rPr>
          <w:rStyle w:val="af7"/>
          <w:rFonts w:eastAsia="Guttman Hodes" w:hint="cs"/>
          <w:rtl/>
        </w:rPr>
        <w:t>ד"ה וי"ל שהטעם)</w:t>
      </w:r>
      <w:r>
        <w:rPr>
          <w:rFonts w:hint="cs"/>
          <w:rtl/>
        </w:rPr>
        <w:t xml:space="preserve"> את דברי </w:t>
      </w:r>
      <w:r w:rsidRPr="00AF6E78">
        <w:rPr>
          <w:rStyle w:val="af9"/>
          <w:rFonts w:hint="cs"/>
          <w:rtl/>
        </w:rPr>
        <w:t>הרמב"ן במלחמות בקידושין</w:t>
      </w:r>
      <w:r>
        <w:rPr>
          <w:rFonts w:hint="cs"/>
          <w:rtl/>
        </w:rPr>
        <w:t xml:space="preserve"> </w:t>
      </w:r>
      <w:r w:rsidRPr="001528C9">
        <w:rPr>
          <w:rStyle w:val="af7"/>
          <w:rFonts w:eastAsia="Guttman Hodes" w:hint="cs"/>
          <w:rtl/>
        </w:rPr>
        <w:t xml:space="preserve">(דף כב. מדפי הרי"ף ד"ה ומה שכתב עוד) </w:t>
      </w:r>
      <w:r>
        <w:rPr>
          <w:rFonts w:hint="cs"/>
          <w:rtl/>
        </w:rPr>
        <w:t>דכתב לחלק בין רוב בטבע שבו נחלקו ר"מ ורבנן אי חיישינן למיעוטא, לרוב במנהג שבמקום איסור אשת איש החמירו בו רבנן לחוש</w:t>
      </w:r>
      <w:r w:rsidRPr="0089787D">
        <w:rPr>
          <w:rtl/>
        </w:rPr>
        <w:t xml:space="preserve"> </w:t>
      </w:r>
      <w:r>
        <w:rPr>
          <w:rtl/>
        </w:rPr>
        <w:t xml:space="preserve">למיעוט, </w:t>
      </w:r>
      <w:r w:rsidRPr="001528C9">
        <w:rPr>
          <w:rStyle w:val="afb"/>
          <w:rFonts w:hint="cs"/>
          <w:rtl/>
        </w:rPr>
        <w:t xml:space="preserve">[בדין סבלונות, דהרוב שולחין סבלונות לפני הקידושין, והמיעוט שולחין לאחר הקידושין, שהוא רוב במנהג, ולפעמים אדם נוהג כמנהג המיעוט, ולכן </w:t>
      </w:r>
      <w:r w:rsidRPr="001528C9">
        <w:rPr>
          <w:rStyle w:val="afb"/>
          <w:rtl/>
        </w:rPr>
        <w:t>שמא שלח סבלונות</w:t>
      </w:r>
      <w:r w:rsidRPr="001528C9">
        <w:rPr>
          <w:rStyle w:val="afb"/>
          <w:rFonts w:hint="cs"/>
          <w:rtl/>
        </w:rPr>
        <w:t xml:space="preserve"> לפני הקידושין, והיא מקודשת כבר],</w:t>
      </w:r>
      <w:r>
        <w:rPr>
          <w:rFonts w:hint="cs"/>
          <w:rtl/>
        </w:rPr>
        <w:t xml:space="preserve"> וכתב </w:t>
      </w:r>
      <w:r w:rsidRPr="00AF6E78">
        <w:rPr>
          <w:rStyle w:val="af9"/>
          <w:rFonts w:hint="cs"/>
          <w:rtl/>
        </w:rPr>
        <w:t>השער"י</w:t>
      </w:r>
      <w:r>
        <w:rPr>
          <w:rFonts w:hint="cs"/>
          <w:rtl/>
        </w:rPr>
        <w:t xml:space="preserve"> דמבואר מדברי </w:t>
      </w:r>
      <w:r w:rsidRPr="00AF6E78">
        <w:rPr>
          <w:rStyle w:val="af9"/>
          <w:rFonts w:hint="cs"/>
          <w:rtl/>
        </w:rPr>
        <w:t>הרמב"ן</w:t>
      </w:r>
      <w:r>
        <w:rPr>
          <w:rFonts w:hint="cs"/>
          <w:rtl/>
        </w:rPr>
        <w:t xml:space="preserve"> דמדאו' אף רוב התלוי במנהג מהני אף באיסור אשת איש, ורק מדרבנן החמירו בו.</w:t>
      </w:r>
      <w:bookmarkStart w:id="10551" w:name="_Ref530331686"/>
      <w:r>
        <w:rPr>
          <w:rFonts w:hint="cs"/>
          <w:rtl/>
        </w:rPr>
        <w:t xml:space="preserve"> ובזה ביאר </w:t>
      </w:r>
      <w:r w:rsidRPr="00AF6E78">
        <w:rPr>
          <w:rStyle w:val="af9"/>
          <w:rFonts w:hint="cs"/>
          <w:rtl/>
        </w:rPr>
        <w:t>השער"י</w:t>
      </w:r>
      <w:r>
        <w:rPr>
          <w:rFonts w:hint="cs"/>
          <w:rtl/>
        </w:rPr>
        <w:t xml:space="preserve"> את דברי </w:t>
      </w:r>
      <w:r w:rsidRPr="00AF6E78">
        <w:rPr>
          <w:rStyle w:val="af9"/>
          <w:rFonts w:hint="cs"/>
          <w:rtl/>
        </w:rPr>
        <w:t>התוס' בסנהדרין</w:t>
      </w:r>
      <w:r>
        <w:rPr>
          <w:rFonts w:hint="cs"/>
          <w:rtl/>
        </w:rPr>
        <w:t>, דרובא דזבני לרדיא, שאינו רוב על פי סברת השכל, והוא רוב התלוי במנהג שאף אדם שקונה לרדיא, אם הוא צריך שור לשחיטה יקנה לשחיטה, ואינו נגד חוקי הטבע, ולכן מהני הרוב הזה מדאו' רק לאיסורים, אבל בדיני ממונות ובדיני נפשות צריך רוב שמהני</w:t>
      </w:r>
      <w:r w:rsidRPr="004F61C4">
        <w:rPr>
          <w:rFonts w:hint="cs"/>
          <w:rtl/>
        </w:rPr>
        <w:t xml:space="preserve"> </w:t>
      </w:r>
      <w:r>
        <w:rPr>
          <w:rFonts w:hint="cs"/>
          <w:rtl/>
        </w:rPr>
        <w:t xml:space="preserve">על פי השכל, דבדיני ממונות א"א להוציא בלא סברא ממוחזק, ובדיני נפשות כיון דכתיב ושפטו העדה והצילו העדה, ועי' במסקנת </w:t>
      </w:r>
      <w:r w:rsidRPr="00E33DA3">
        <w:rPr>
          <w:rStyle w:val="af9"/>
          <w:rFonts w:hint="cs"/>
          <w:rtl/>
        </w:rPr>
        <w:t>השער"י</w:t>
      </w:r>
      <w:r>
        <w:rPr>
          <w:rFonts w:hint="cs"/>
          <w:rtl/>
        </w:rPr>
        <w:t xml:space="preserve"> </w:t>
      </w:r>
      <w:r w:rsidRPr="00A23D19">
        <w:rPr>
          <w:rStyle w:val="af7"/>
          <w:rFonts w:eastAsia="Guttman Hodes" w:hint="cs"/>
          <w:rtl/>
        </w:rPr>
        <w:t xml:space="preserve">(עי' אות </w:t>
      </w:r>
      <w:r w:rsidRPr="00A23D19">
        <w:rPr>
          <w:rStyle w:val="af7"/>
          <w:rFonts w:eastAsia="Guttman Hodes"/>
          <w:rtl/>
        </w:rPr>
        <w:fldChar w:fldCharType="begin"/>
      </w:r>
      <w:r w:rsidRPr="00A23D19">
        <w:rPr>
          <w:rStyle w:val="af7"/>
          <w:rFonts w:eastAsia="Guttman Hodes"/>
          <w:rtl/>
        </w:rPr>
        <w:instrText xml:space="preserve"> </w:instrText>
      </w:r>
      <w:r w:rsidRPr="00A23D19">
        <w:rPr>
          <w:rStyle w:val="af7"/>
          <w:rFonts w:eastAsia="Guttman Hodes" w:hint="cs"/>
        </w:rPr>
        <w:instrText>REF</w:instrText>
      </w:r>
      <w:r w:rsidRPr="00A23D19">
        <w:rPr>
          <w:rStyle w:val="af7"/>
          <w:rFonts w:eastAsia="Guttman Hodes" w:hint="cs"/>
          <w:rtl/>
        </w:rPr>
        <w:instrText xml:space="preserve"> _</w:instrText>
      </w:r>
      <w:r w:rsidRPr="00A23D19">
        <w:rPr>
          <w:rStyle w:val="af7"/>
          <w:rFonts w:eastAsia="Guttman Hodes" w:hint="cs"/>
        </w:rPr>
        <w:instrText>Ref530476817 \r \h</w:instrText>
      </w:r>
      <w:r w:rsidRPr="00A23D19">
        <w:rPr>
          <w:rStyle w:val="af7"/>
          <w:rFonts w:eastAsia="Guttman Hodes"/>
          <w:rtl/>
        </w:rPr>
        <w:instrText xml:space="preserve"> </w:instrText>
      </w:r>
      <w:r w:rsidRPr="00A23D19">
        <w:rPr>
          <w:rStyle w:val="af7"/>
          <w:rFonts w:eastAsia="Guttman Hodes"/>
          <w:rtl/>
        </w:rPr>
      </w:r>
      <w:r w:rsidRPr="00A23D19">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A23D19">
        <w:rPr>
          <w:rStyle w:val="af7"/>
          <w:rFonts w:eastAsia="Guttman Hodes"/>
          <w:rtl/>
        </w:rPr>
        <w:fldChar w:fldCharType="end"/>
      </w:r>
      <w:r w:rsidRPr="00A23D19">
        <w:rPr>
          <w:rStyle w:val="af7"/>
          <w:rFonts w:eastAsia="Guttman Hodes" w:hint="cs"/>
          <w:rtl/>
        </w:rPr>
        <w:t xml:space="preserve"> </w:t>
      </w:r>
      <w:r>
        <w:rPr>
          <w:rFonts w:hint="cs"/>
          <w:rtl/>
        </w:rPr>
        <w:t xml:space="preserve">בדברי </w:t>
      </w:r>
      <w:r w:rsidRPr="00E33DA3">
        <w:rPr>
          <w:rStyle w:val="af9"/>
          <w:rFonts w:hint="cs"/>
          <w:rtl/>
        </w:rPr>
        <w:t>התוס' בסנהדרין</w:t>
      </w:r>
      <w:r>
        <w:rPr>
          <w:rFonts w:hint="cs"/>
          <w:rtl/>
        </w:rPr>
        <w:t>.</w:t>
      </w:r>
      <w:bookmarkEnd w:id="10551"/>
    </w:p>
    <w:p w14:paraId="6D078098" w14:textId="77777777" w:rsidR="00FF73EE" w:rsidRDefault="00FF73EE" w:rsidP="006D6D32">
      <w:pPr>
        <w:pStyle w:val="a3"/>
        <w:rPr>
          <w:rtl/>
        </w:rPr>
      </w:pPr>
      <w:bookmarkStart w:id="10552" w:name="_Toc530525037"/>
      <w:bookmarkStart w:id="10553" w:name="_Toc530551184"/>
      <w:bookmarkStart w:id="10554" w:name="_Toc19390377"/>
      <w:bookmarkStart w:id="10555" w:name="_Toc19393874"/>
      <w:bookmarkEnd w:id="10536"/>
      <w:bookmarkEnd w:id="10537"/>
      <w:r>
        <w:rPr>
          <w:rFonts w:hint="cs"/>
          <w:rtl/>
        </w:rPr>
        <w:t>ביאור השער"י ברמב"ם דברובא דאיתא קמן אין דין ודאי בנפשות כיון שאין ראיה עפ"י שכל</w:t>
      </w:r>
      <w:bookmarkEnd w:id="10552"/>
      <w:bookmarkEnd w:id="10553"/>
      <w:bookmarkEnd w:id="10554"/>
      <w:bookmarkEnd w:id="10555"/>
    </w:p>
    <w:p w14:paraId="53DD4BB1" w14:textId="77777777" w:rsidR="00FF73EE" w:rsidRDefault="00FF73EE" w:rsidP="00223668">
      <w:pPr>
        <w:pStyle w:val="a0"/>
        <w:rPr>
          <w:rtl/>
        </w:rPr>
      </w:pPr>
      <w:bookmarkStart w:id="10556" w:name="_Ref530525172"/>
      <w:r>
        <w:rPr>
          <w:rFonts w:hint="cs"/>
          <w:rtl/>
        </w:rPr>
        <w:t xml:space="preserve">וכתב </w:t>
      </w:r>
      <w:r w:rsidRPr="0085012C">
        <w:rPr>
          <w:rStyle w:val="af9"/>
          <w:rFonts w:hint="cs"/>
          <w:rtl/>
        </w:rPr>
        <w:t>השער"י</w:t>
      </w:r>
      <w:r>
        <w:rPr>
          <w:rFonts w:hint="cs"/>
          <w:rtl/>
        </w:rPr>
        <w:t xml:space="preserve"> </w:t>
      </w:r>
      <w:r w:rsidRPr="0085012C">
        <w:rPr>
          <w:rStyle w:val="af7"/>
          <w:rFonts w:eastAsia="Guttman Hodes" w:hint="cs"/>
          <w:rtl/>
        </w:rPr>
        <w:t>(ש"ג פ"</w:t>
      </w:r>
      <w:r>
        <w:rPr>
          <w:rStyle w:val="af7"/>
          <w:rFonts w:eastAsia="Guttman Hodes" w:hint="cs"/>
          <w:rtl/>
        </w:rPr>
        <w:t>ג</w:t>
      </w:r>
      <w:r w:rsidRPr="0085012C">
        <w:rPr>
          <w:rStyle w:val="af7"/>
          <w:rFonts w:eastAsia="Guttman Hodes" w:hint="cs"/>
          <w:rtl/>
        </w:rPr>
        <w:t xml:space="preserve"> ד"ה ועפ"י מה)</w:t>
      </w:r>
      <w:r>
        <w:rPr>
          <w:rFonts w:hint="cs"/>
          <w:rtl/>
        </w:rPr>
        <w:t xml:space="preserve"> דלפי ביאורו </w:t>
      </w:r>
      <w:r w:rsidRPr="0085012C">
        <w:rPr>
          <w:rStyle w:val="af7"/>
          <w:rFonts w:eastAsia="Guttman Hodes" w:hint="cs"/>
          <w:rtl/>
        </w:rPr>
        <w:t xml:space="preserve">(עי' אות </w:t>
      </w:r>
      <w:r w:rsidRPr="0085012C">
        <w:rPr>
          <w:rStyle w:val="af7"/>
          <w:rFonts w:eastAsia="Guttman Hodes"/>
          <w:rtl/>
        </w:rPr>
        <w:fldChar w:fldCharType="begin"/>
      </w:r>
      <w:r w:rsidRPr="0085012C">
        <w:rPr>
          <w:rStyle w:val="af7"/>
          <w:rFonts w:eastAsia="Guttman Hodes"/>
          <w:rtl/>
        </w:rPr>
        <w:instrText xml:space="preserve"> </w:instrText>
      </w:r>
      <w:r w:rsidRPr="0085012C">
        <w:rPr>
          <w:rStyle w:val="af7"/>
          <w:rFonts w:eastAsia="Guttman Hodes" w:hint="cs"/>
        </w:rPr>
        <w:instrText>REF</w:instrText>
      </w:r>
      <w:r w:rsidRPr="0085012C">
        <w:rPr>
          <w:rStyle w:val="af7"/>
          <w:rFonts w:eastAsia="Guttman Hodes" w:hint="cs"/>
          <w:rtl/>
        </w:rPr>
        <w:instrText xml:space="preserve"> _</w:instrText>
      </w:r>
      <w:r w:rsidRPr="0085012C">
        <w:rPr>
          <w:rStyle w:val="af7"/>
          <w:rFonts w:eastAsia="Guttman Hodes" w:hint="cs"/>
        </w:rPr>
        <w:instrText>Ref530325329 \r \h</w:instrText>
      </w:r>
      <w:r w:rsidRPr="0085012C">
        <w:rPr>
          <w:rStyle w:val="af7"/>
          <w:rFonts w:eastAsia="Guttman Hodes"/>
          <w:rtl/>
        </w:rPr>
        <w:instrText xml:space="preserve"> </w:instrText>
      </w:r>
      <w:r w:rsidRPr="0085012C">
        <w:rPr>
          <w:rStyle w:val="af7"/>
          <w:rFonts w:eastAsia="Guttman Hodes"/>
          <w:rtl/>
        </w:rPr>
      </w:r>
      <w:r w:rsidRPr="0085012C">
        <w:rPr>
          <w:rStyle w:val="af7"/>
          <w:rFonts w:eastAsia="Guttman Hodes"/>
          <w:rtl/>
        </w:rPr>
        <w:fldChar w:fldCharType="separate"/>
      </w:r>
      <w:r w:rsidR="00345400">
        <w:rPr>
          <w:rStyle w:val="af7"/>
          <w:rFonts w:eastAsia="Guttman Hodes"/>
          <w:cs/>
        </w:rPr>
        <w:t>‎</w:t>
      </w:r>
      <w:r w:rsidR="00345400">
        <w:rPr>
          <w:rStyle w:val="af7"/>
          <w:rFonts w:eastAsia="Guttman Hodes"/>
          <w:rtl/>
        </w:rPr>
        <w:t>פה)</w:t>
      </w:r>
      <w:r w:rsidRPr="0085012C">
        <w:rPr>
          <w:rStyle w:val="af7"/>
          <w:rFonts w:eastAsia="Guttman Hodes"/>
          <w:rtl/>
        </w:rPr>
        <w:fldChar w:fldCharType="end"/>
      </w:r>
      <w:r>
        <w:rPr>
          <w:rFonts w:hint="cs"/>
          <w:rtl/>
        </w:rPr>
        <w:t xml:space="preserve"> בדברי </w:t>
      </w:r>
      <w:r w:rsidRPr="0085012C">
        <w:rPr>
          <w:rStyle w:val="af9"/>
          <w:rFonts w:hint="cs"/>
          <w:rtl/>
        </w:rPr>
        <w:t>התוס' בסנהדרין</w:t>
      </w:r>
      <w:r>
        <w:rPr>
          <w:rFonts w:hint="cs"/>
          <w:rtl/>
        </w:rPr>
        <w:t xml:space="preserve">, מבוארים </w:t>
      </w:r>
      <w:r w:rsidRPr="005E67F5">
        <w:rPr>
          <w:rFonts w:hint="cs"/>
          <w:rtl/>
        </w:rPr>
        <w:t xml:space="preserve">דברי </w:t>
      </w:r>
      <w:r w:rsidRPr="005E67F5">
        <w:rPr>
          <w:rStyle w:val="af9"/>
          <w:rtl/>
        </w:rPr>
        <w:t>הרמב"ם</w:t>
      </w:r>
      <w:r w:rsidRPr="005E67F5">
        <w:rPr>
          <w:rtl/>
        </w:rPr>
        <w:t xml:space="preserve"> </w:t>
      </w:r>
      <w:r w:rsidRPr="005E67F5">
        <w:rPr>
          <w:rStyle w:val="af7"/>
          <w:rFonts w:eastAsia="Guttman Hodes" w:hint="cs"/>
          <w:rtl/>
        </w:rPr>
        <w:t xml:space="preserve">(עי' אות </w:t>
      </w:r>
      <w:r w:rsidRPr="005E67F5">
        <w:rPr>
          <w:rStyle w:val="af7"/>
          <w:rFonts w:eastAsia="Guttman Hodes"/>
          <w:rtl/>
        </w:rPr>
        <w:fldChar w:fldCharType="begin"/>
      </w:r>
      <w:r w:rsidRPr="005E67F5">
        <w:rPr>
          <w:rStyle w:val="af7"/>
          <w:rFonts w:eastAsia="Guttman Hodes"/>
          <w:rtl/>
        </w:rPr>
        <w:instrText xml:space="preserve"> </w:instrText>
      </w:r>
      <w:r w:rsidRPr="005E67F5">
        <w:rPr>
          <w:rStyle w:val="af7"/>
          <w:rFonts w:eastAsia="Guttman Hodes" w:hint="cs"/>
        </w:rPr>
        <w:instrText>REF</w:instrText>
      </w:r>
      <w:r w:rsidRPr="005E67F5">
        <w:rPr>
          <w:rStyle w:val="af7"/>
          <w:rFonts w:eastAsia="Guttman Hodes" w:hint="cs"/>
          <w:rtl/>
        </w:rPr>
        <w:instrText xml:space="preserve"> _</w:instrText>
      </w:r>
      <w:r w:rsidRPr="005E67F5">
        <w:rPr>
          <w:rStyle w:val="af7"/>
          <w:rFonts w:eastAsia="Guttman Hodes" w:hint="cs"/>
        </w:rPr>
        <w:instrText>Ref530125498 \r \h</w:instrText>
      </w:r>
      <w:r w:rsidRPr="005E67F5">
        <w:rPr>
          <w:rStyle w:val="af7"/>
          <w:rFonts w:eastAsia="Guttman Hodes"/>
          <w:rtl/>
        </w:rPr>
        <w:instrText xml:space="preserve">  \* </w:instrText>
      </w:r>
      <w:r w:rsidRPr="005E67F5">
        <w:rPr>
          <w:rStyle w:val="af7"/>
          <w:rFonts w:eastAsia="Guttman Hodes"/>
        </w:rPr>
        <w:instrText>MERGEFORMAT</w:instrText>
      </w:r>
      <w:r w:rsidRPr="005E67F5">
        <w:rPr>
          <w:rStyle w:val="af7"/>
          <w:rFonts w:eastAsia="Guttman Hodes"/>
          <w:rtl/>
        </w:rPr>
        <w:instrText xml:space="preserve"> </w:instrText>
      </w:r>
      <w:r w:rsidRPr="005E67F5">
        <w:rPr>
          <w:rStyle w:val="af7"/>
          <w:rFonts w:eastAsia="Guttman Hodes"/>
          <w:rtl/>
        </w:rPr>
      </w:r>
      <w:r w:rsidRPr="005E67F5">
        <w:rPr>
          <w:rStyle w:val="af7"/>
          <w:rFonts w:eastAsia="Guttman Hodes"/>
          <w:rtl/>
        </w:rPr>
        <w:fldChar w:fldCharType="separate"/>
      </w:r>
      <w:r w:rsidR="00345400">
        <w:rPr>
          <w:rStyle w:val="af7"/>
          <w:rFonts w:eastAsia="Guttman Hodes"/>
          <w:cs/>
        </w:rPr>
        <w:t>‎</w:t>
      </w:r>
      <w:r w:rsidR="00345400">
        <w:rPr>
          <w:rStyle w:val="af7"/>
          <w:rFonts w:eastAsia="Guttman Hodes"/>
          <w:rtl/>
        </w:rPr>
        <w:t>עט)</w:t>
      </w:r>
      <w:r w:rsidRPr="005E67F5">
        <w:rPr>
          <w:rStyle w:val="af7"/>
          <w:rFonts w:eastAsia="Guttman Hodes"/>
          <w:rtl/>
        </w:rPr>
        <w:fldChar w:fldCharType="end"/>
      </w:r>
      <w:r w:rsidRPr="005E67F5">
        <w:rPr>
          <w:rFonts w:hint="cs"/>
          <w:rtl/>
        </w:rPr>
        <w:t xml:space="preserve"> דכתב </w:t>
      </w:r>
      <w:r w:rsidRPr="005E67F5">
        <w:rPr>
          <w:rtl/>
        </w:rPr>
        <w:t xml:space="preserve">דאסופי שנמצא </w:t>
      </w:r>
      <w:r>
        <w:rPr>
          <w:rFonts w:hint="cs"/>
          <w:rtl/>
        </w:rPr>
        <w:t xml:space="preserve">ברוב ישראל אין לו דין ודאי ישראל לדיני נפשות, </w:t>
      </w:r>
      <w:r w:rsidRPr="005E67F5">
        <w:rPr>
          <w:rFonts w:hint="cs"/>
          <w:rtl/>
        </w:rPr>
        <w:t xml:space="preserve">ותמה </w:t>
      </w:r>
      <w:r w:rsidRPr="005E67F5">
        <w:rPr>
          <w:rStyle w:val="af9"/>
          <w:rFonts w:hint="cs"/>
          <w:rtl/>
        </w:rPr>
        <w:t>השער"י</w:t>
      </w:r>
      <w:r w:rsidRPr="005E67F5">
        <w:rPr>
          <w:rFonts w:hint="cs"/>
          <w:rtl/>
        </w:rPr>
        <w:t xml:space="preserve"> דהרי אזלינן בנפשות בתר רובא, </w:t>
      </w:r>
      <w:r>
        <w:rPr>
          <w:rFonts w:hint="cs"/>
          <w:rtl/>
        </w:rPr>
        <w:t xml:space="preserve">אלא ביאר </w:t>
      </w:r>
      <w:r w:rsidRPr="00FB3158">
        <w:rPr>
          <w:rStyle w:val="af9"/>
          <w:rFonts w:hint="cs"/>
          <w:rtl/>
        </w:rPr>
        <w:t>השער"י</w:t>
      </w:r>
      <w:r>
        <w:rPr>
          <w:rFonts w:hint="cs"/>
          <w:rtl/>
        </w:rPr>
        <w:t xml:space="preserve"> דכיון שהוא רובא דאיתא קמן שאינו רוב מסברא, הוא בגדר ספק כדברי </w:t>
      </w:r>
      <w:r w:rsidRPr="0085012C">
        <w:rPr>
          <w:rStyle w:val="af9"/>
          <w:rFonts w:hint="cs"/>
          <w:rtl/>
        </w:rPr>
        <w:t>התוס' הרא"ש בב"מ</w:t>
      </w:r>
      <w:r>
        <w:rPr>
          <w:rStyle w:val="af9"/>
          <w:rFonts w:hint="cs"/>
          <w:rtl/>
        </w:rPr>
        <w:t xml:space="preserve"> </w:t>
      </w:r>
      <w:r w:rsidRPr="00FB3158">
        <w:rPr>
          <w:rStyle w:val="af7"/>
          <w:rFonts w:eastAsia="Guttman Hodes" w:hint="cs"/>
          <w:rtl/>
        </w:rPr>
        <w:t xml:space="preserve">(עי' אות </w:t>
      </w:r>
      <w:r w:rsidRPr="00FB3158">
        <w:rPr>
          <w:rStyle w:val="af7"/>
          <w:rFonts w:eastAsia="Guttman Hodes"/>
          <w:rtl/>
        </w:rPr>
        <w:fldChar w:fldCharType="begin"/>
      </w:r>
      <w:r w:rsidRPr="00FB3158">
        <w:rPr>
          <w:rStyle w:val="af7"/>
          <w:rFonts w:eastAsia="Guttman Hodes"/>
          <w:rtl/>
        </w:rPr>
        <w:instrText xml:space="preserve"> </w:instrText>
      </w:r>
      <w:r w:rsidRPr="00FB3158">
        <w:rPr>
          <w:rStyle w:val="af7"/>
          <w:rFonts w:eastAsia="Guttman Hodes" w:hint="cs"/>
        </w:rPr>
        <w:instrText>REF</w:instrText>
      </w:r>
      <w:r w:rsidRPr="00FB3158">
        <w:rPr>
          <w:rStyle w:val="af7"/>
          <w:rFonts w:eastAsia="Guttman Hodes" w:hint="cs"/>
          <w:rtl/>
        </w:rPr>
        <w:instrText xml:space="preserve"> _</w:instrText>
      </w:r>
      <w:r w:rsidRPr="00FB3158">
        <w:rPr>
          <w:rStyle w:val="af7"/>
          <w:rFonts w:eastAsia="Guttman Hodes" w:hint="cs"/>
        </w:rPr>
        <w:instrText>Ref530521163 \r \h</w:instrText>
      </w:r>
      <w:r w:rsidRPr="00FB3158">
        <w:rPr>
          <w:rStyle w:val="af7"/>
          <w:rFonts w:eastAsia="Guttman Hodes"/>
          <w:rtl/>
        </w:rPr>
        <w:instrText xml:space="preserve"> </w:instrText>
      </w:r>
      <w:r w:rsidRPr="00FB3158">
        <w:rPr>
          <w:rStyle w:val="af7"/>
          <w:rFonts w:eastAsia="Guttman Hodes"/>
          <w:rtl/>
        </w:rPr>
      </w:r>
      <w:r w:rsidRPr="00FB3158">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FB3158">
        <w:rPr>
          <w:rStyle w:val="af7"/>
          <w:rFonts w:eastAsia="Guttman Hodes"/>
          <w:rtl/>
        </w:rPr>
        <w:fldChar w:fldCharType="end"/>
      </w:r>
      <w:r>
        <w:rPr>
          <w:rFonts w:hint="cs"/>
          <w:rtl/>
        </w:rPr>
        <w:t>, ויש גזיה"כ לנהוג עמו הרוב, וא"כ בדיני נפשות דכתיב ושפטו העדה, צריך רוב שכלי, ולכן א"א להרוג לפי רוב העיר.</w:t>
      </w:r>
      <w:bookmarkEnd w:id="10556"/>
    </w:p>
    <w:p w14:paraId="6BADA488" w14:textId="77777777" w:rsidR="00FF73EE" w:rsidRDefault="00FF73EE" w:rsidP="00BF39B2">
      <w:pPr>
        <w:pStyle w:val="1"/>
        <w:rPr>
          <w:rtl/>
        </w:rPr>
      </w:pPr>
      <w:bookmarkStart w:id="10557" w:name="_Toc530349000"/>
      <w:bookmarkStart w:id="10558" w:name="_Toc530395891"/>
      <w:bookmarkStart w:id="10559" w:name="_Toc530411096"/>
      <w:bookmarkStart w:id="10560" w:name="_Toc530476232"/>
      <w:bookmarkStart w:id="10561" w:name="_Toc530477180"/>
      <w:bookmarkStart w:id="10562" w:name="_Toc530503031"/>
      <w:bookmarkStart w:id="10563" w:name="_Toc530504559"/>
      <w:bookmarkStart w:id="10564" w:name="_Toc530514417"/>
      <w:bookmarkStart w:id="10565" w:name="_Toc530514520"/>
      <w:bookmarkStart w:id="10566" w:name="_Toc530521969"/>
      <w:bookmarkStart w:id="10567" w:name="_Toc530525038"/>
      <w:bookmarkStart w:id="10568" w:name="_Toc530551185"/>
      <w:bookmarkStart w:id="10569" w:name="_Toc19390378"/>
      <w:bookmarkStart w:id="10570" w:name="_Toc19393875"/>
      <w:r>
        <w:rPr>
          <w:rFonts w:hint="cs"/>
          <w:rtl/>
        </w:rPr>
        <w:t>ביאור השער"י בתוס' בב"ק דרוב בב"ד אינו הכרעה כנגד מוחזק</w:t>
      </w:r>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p>
    <w:p w14:paraId="7F8DF06F" w14:textId="77777777" w:rsidR="00FF73EE" w:rsidRDefault="00FF73EE" w:rsidP="006D6D32">
      <w:pPr>
        <w:pStyle w:val="a3"/>
        <w:rPr>
          <w:rtl/>
        </w:rPr>
      </w:pPr>
      <w:bookmarkStart w:id="10571" w:name="_Toc530525039"/>
      <w:bookmarkStart w:id="10572" w:name="_Toc530551186"/>
      <w:bookmarkStart w:id="10573" w:name="_Toc19390379"/>
      <w:bookmarkStart w:id="10574" w:name="_Toc19393876"/>
      <w:r>
        <w:rPr>
          <w:rFonts w:hint="cs"/>
          <w:rtl/>
        </w:rPr>
        <w:t>ביאור השער"י בתוס' בב"ק דרוב בדיינים הנדון אינו בממון עצמו וא"צ ראיה עפ"י שכל</w:t>
      </w:r>
      <w:bookmarkEnd w:id="10571"/>
      <w:bookmarkEnd w:id="10572"/>
      <w:bookmarkEnd w:id="10573"/>
      <w:bookmarkEnd w:id="10574"/>
    </w:p>
    <w:p w14:paraId="034DDC6C" w14:textId="77777777" w:rsidR="00FF73EE" w:rsidRDefault="00FF73EE" w:rsidP="00223668">
      <w:pPr>
        <w:pStyle w:val="a0"/>
        <w:rPr>
          <w:rtl/>
        </w:rPr>
      </w:pPr>
      <w:bookmarkStart w:id="10575" w:name="_Ref530327039"/>
      <w:r>
        <w:rPr>
          <w:rFonts w:hint="cs"/>
          <w:rtl/>
        </w:rPr>
        <w:t xml:space="preserve">ובדברי </w:t>
      </w:r>
      <w:r w:rsidRPr="004D0207">
        <w:rPr>
          <w:rStyle w:val="af9"/>
          <w:rFonts w:hint="cs"/>
          <w:rtl/>
        </w:rPr>
        <w:t>התוס' בב"ק</w:t>
      </w:r>
      <w:r>
        <w:rPr>
          <w:rFonts w:hint="cs"/>
          <w:rtl/>
        </w:rPr>
        <w:t xml:space="preserve"> </w:t>
      </w:r>
      <w:r w:rsidRPr="004D0207">
        <w:rPr>
          <w:rStyle w:val="af7"/>
          <w:rFonts w:eastAsia="Guttman Hodes" w:hint="cs"/>
          <w:rtl/>
        </w:rPr>
        <w:t xml:space="preserve">(עי' אות </w:t>
      </w:r>
      <w:r w:rsidRPr="004D0207">
        <w:rPr>
          <w:rStyle w:val="af7"/>
          <w:rFonts w:eastAsia="Guttman Hodes"/>
          <w:rtl/>
        </w:rPr>
        <w:fldChar w:fldCharType="begin"/>
      </w:r>
      <w:r w:rsidRPr="004D0207">
        <w:rPr>
          <w:rStyle w:val="af7"/>
          <w:rFonts w:eastAsia="Guttman Hodes"/>
          <w:rtl/>
        </w:rPr>
        <w:instrText xml:space="preserve"> </w:instrText>
      </w:r>
      <w:r w:rsidRPr="004D0207">
        <w:rPr>
          <w:rStyle w:val="af7"/>
          <w:rFonts w:eastAsia="Guttman Hodes" w:hint="cs"/>
        </w:rPr>
        <w:instrText>REF</w:instrText>
      </w:r>
      <w:r w:rsidRPr="004D0207">
        <w:rPr>
          <w:rStyle w:val="af7"/>
          <w:rFonts w:eastAsia="Guttman Hodes" w:hint="cs"/>
          <w:rtl/>
        </w:rPr>
        <w:instrText xml:space="preserve"> _</w:instrText>
      </w:r>
      <w:r w:rsidRPr="004D0207">
        <w:rPr>
          <w:rStyle w:val="af7"/>
          <w:rFonts w:eastAsia="Guttman Hodes" w:hint="cs"/>
        </w:rPr>
        <w:instrText>Ref530326988 \r \h</w:instrText>
      </w:r>
      <w:r w:rsidRPr="004D0207">
        <w:rPr>
          <w:rStyle w:val="af7"/>
          <w:rFonts w:eastAsia="Guttman Hodes"/>
          <w:rtl/>
        </w:rPr>
        <w:instrText xml:space="preserve"> </w:instrText>
      </w:r>
      <w:r w:rsidRPr="004D0207">
        <w:rPr>
          <w:rStyle w:val="af7"/>
          <w:rFonts w:eastAsia="Guttman Hodes"/>
          <w:rtl/>
        </w:rPr>
      </w:r>
      <w:r w:rsidRPr="004D0207">
        <w:rPr>
          <w:rStyle w:val="af7"/>
          <w:rFonts w:eastAsia="Guttman Hodes"/>
          <w:rtl/>
        </w:rPr>
        <w:fldChar w:fldCharType="separate"/>
      </w:r>
      <w:r w:rsidR="00345400">
        <w:rPr>
          <w:rStyle w:val="af7"/>
          <w:rFonts w:eastAsia="Guttman Hodes"/>
          <w:cs/>
        </w:rPr>
        <w:t>‎</w:t>
      </w:r>
      <w:r w:rsidR="00345400">
        <w:rPr>
          <w:rStyle w:val="af7"/>
          <w:rFonts w:eastAsia="Guttman Hodes"/>
          <w:rtl/>
        </w:rPr>
        <w:t>מג)</w:t>
      </w:r>
      <w:r w:rsidRPr="004D0207">
        <w:rPr>
          <w:rStyle w:val="af7"/>
          <w:rFonts w:eastAsia="Guttman Hodes"/>
          <w:rtl/>
        </w:rPr>
        <w:fldChar w:fldCharType="end"/>
      </w:r>
      <w:r>
        <w:rPr>
          <w:rFonts w:hint="cs"/>
          <w:rtl/>
        </w:rPr>
        <w:t xml:space="preserve"> דכתבו דרק במיעוט דיינים לא אזילנן בתריה, דהמיעוט כמי שאינו וא"א לומר שנעמידנו בחזקתו, כיון שהדיינים מוציאים ממנו, ביאר </w:t>
      </w:r>
      <w:r w:rsidRPr="004D0207">
        <w:rPr>
          <w:rStyle w:val="af9"/>
          <w:rFonts w:hint="cs"/>
          <w:rtl/>
        </w:rPr>
        <w:t>השער"י</w:t>
      </w:r>
      <w:r>
        <w:rPr>
          <w:rFonts w:hint="cs"/>
          <w:rtl/>
        </w:rPr>
        <w:t xml:space="preserve"> </w:t>
      </w:r>
      <w:r w:rsidRPr="004D0207">
        <w:rPr>
          <w:rStyle w:val="af7"/>
          <w:rFonts w:eastAsia="Guttman Hodes" w:hint="cs"/>
          <w:rtl/>
        </w:rPr>
        <w:t>(ש"ג פ"</w:t>
      </w:r>
      <w:r>
        <w:rPr>
          <w:rStyle w:val="af7"/>
          <w:rFonts w:eastAsia="Guttman Hodes" w:hint="cs"/>
          <w:rtl/>
        </w:rPr>
        <w:t>ג</w:t>
      </w:r>
      <w:r w:rsidRPr="004D0207">
        <w:rPr>
          <w:rStyle w:val="af7"/>
          <w:rFonts w:eastAsia="Guttman Hodes" w:hint="cs"/>
          <w:rtl/>
        </w:rPr>
        <w:t xml:space="preserve"> ד"ה ובתוס' ריש המניח)</w:t>
      </w:r>
      <w:r>
        <w:rPr>
          <w:rFonts w:hint="cs"/>
          <w:rtl/>
        </w:rPr>
        <w:t xml:space="preserve"> דכוונתם לומר דהא דבממון א"א להוציא מהמוחזק היינו דמסברא אמרינן שהממון ביד המוחזק, עד שיביא חבירו ראיות שכליות שיפקיע את כח המוחזק מהממון, אבל בב"ד ההכרעה של הרוב אינה בדין הממון, אלא שיש דין בתורה דהדין כמו הרוב ומיעוט הדיינים בטל, וכיון שהנדון אינו בממון עצמו מהני אף בממון.</w:t>
      </w:r>
      <w:bookmarkEnd w:id="10575"/>
    </w:p>
    <w:p w14:paraId="5D0DC5B8" w14:textId="77777777" w:rsidR="00FF73EE" w:rsidRDefault="00FF73EE" w:rsidP="006D6D32">
      <w:pPr>
        <w:pStyle w:val="a3"/>
        <w:rPr>
          <w:rtl/>
        </w:rPr>
      </w:pPr>
      <w:bookmarkStart w:id="10576" w:name="_Toc530525040"/>
      <w:bookmarkStart w:id="10577" w:name="_Toc530551187"/>
      <w:bookmarkStart w:id="10578" w:name="_Toc19390380"/>
      <w:bookmarkStart w:id="10579" w:name="_Toc19393877"/>
      <w:r>
        <w:rPr>
          <w:rFonts w:hint="cs"/>
          <w:rtl/>
        </w:rPr>
        <w:t>ביאור השער"י דבדיינים אינו בירור האמת בהכרעת השכל אלא הוא פסק ב"ד ולכן מהני בממון</w:t>
      </w:r>
      <w:bookmarkEnd w:id="10576"/>
      <w:bookmarkEnd w:id="10577"/>
      <w:bookmarkEnd w:id="10578"/>
      <w:bookmarkEnd w:id="10579"/>
    </w:p>
    <w:p w14:paraId="7466FD4F" w14:textId="77777777" w:rsidR="00FF73EE" w:rsidRDefault="00FF73EE" w:rsidP="00223668">
      <w:pPr>
        <w:pStyle w:val="a0"/>
        <w:rPr>
          <w:rtl/>
        </w:rPr>
      </w:pPr>
      <w:r>
        <w:rPr>
          <w:rFonts w:hint="cs"/>
          <w:rtl/>
        </w:rPr>
        <w:t xml:space="preserve">וביאר </w:t>
      </w:r>
      <w:r w:rsidRPr="004D0207">
        <w:rPr>
          <w:rStyle w:val="af9"/>
          <w:rFonts w:hint="cs"/>
          <w:rtl/>
        </w:rPr>
        <w:t>השער"י</w:t>
      </w:r>
      <w:r>
        <w:rPr>
          <w:rFonts w:hint="cs"/>
          <w:rtl/>
        </w:rPr>
        <w:t xml:space="preserve"> דאף שאין כח ברוב להכריע בממון כנגד מוחזק, מ"מ הדין דאחרי רבים להטות הוא דין תורה לדון כמו רוב הדיינים, והמיעוט בטל, אך אינו בירור האמת של מי הממון, דהספק מהי האמת בדין הממון לא הוכרע כלל, ולכן אף שבממון אפשר להוציא ממוחזק רק בראיות עפ"י הכרעת השכל, מ"מ יש כח לב"ד להוציא ממוחזק עפ"י פסק ב"ד, והם פוסקים להוציא ממנו שלא לפי הכרעת השכל, וזו כוונת </w:t>
      </w:r>
      <w:r w:rsidRPr="004D0207">
        <w:rPr>
          <w:rStyle w:val="af9"/>
          <w:rFonts w:hint="cs"/>
          <w:rtl/>
        </w:rPr>
        <w:t>התוס' בב"ק</w:t>
      </w:r>
      <w:r>
        <w:rPr>
          <w:rFonts w:hint="cs"/>
          <w:rtl/>
        </w:rPr>
        <w:t xml:space="preserve"> דכתבו דבדיינים המיעוט כמאן דליתא, דבכח של הב"ד המיעוט אינו יכול לסייע למוחזק, דבטל כח המוחזק לגמרי. וכתב </w:t>
      </w:r>
      <w:r w:rsidRPr="004615AF">
        <w:rPr>
          <w:rStyle w:val="af9"/>
          <w:rFonts w:hint="cs"/>
          <w:rtl/>
        </w:rPr>
        <w:t>השער"י</w:t>
      </w:r>
      <w:r>
        <w:rPr>
          <w:rFonts w:hint="cs"/>
          <w:rtl/>
        </w:rPr>
        <w:t xml:space="preserve"> </w:t>
      </w:r>
      <w:r w:rsidRPr="00DE5308">
        <w:rPr>
          <w:rStyle w:val="af7"/>
          <w:rFonts w:eastAsia="Guttman Hodes" w:hint="cs"/>
          <w:rtl/>
        </w:rPr>
        <w:t>(ש"ג פ"ג ד"ה ולשיטת)</w:t>
      </w:r>
      <w:r>
        <w:rPr>
          <w:rFonts w:hint="cs"/>
          <w:rtl/>
        </w:rPr>
        <w:t xml:space="preserve"> דלפי"ז לדעת </w:t>
      </w:r>
      <w:r w:rsidRPr="004615AF">
        <w:rPr>
          <w:rStyle w:val="af9"/>
          <w:rFonts w:hint="cs"/>
          <w:rtl/>
        </w:rPr>
        <w:t>התוס' בב"ק</w:t>
      </w:r>
      <w:r>
        <w:rPr>
          <w:rFonts w:hint="cs"/>
          <w:rtl/>
        </w:rPr>
        <w:t xml:space="preserve"> כל רוב שמהני באיסורים מהני בדיני נפשות, אבל בדיני ממונות לא מהני רוב כנגד חזקת ממון, ורק רוב דיינים מהני בממונות, ורק בזה אמרינן בגמ' שאין חילוק בין ממונות לנפשות, ועיי"ש דכתב </w:t>
      </w:r>
      <w:r w:rsidRPr="004615AF">
        <w:rPr>
          <w:rStyle w:val="af9"/>
          <w:rFonts w:hint="cs"/>
          <w:rtl/>
        </w:rPr>
        <w:t>השער"י</w:t>
      </w:r>
      <w:r>
        <w:rPr>
          <w:rFonts w:hint="cs"/>
          <w:rtl/>
        </w:rPr>
        <w:t xml:space="preserve"> דכן משמע בלשון הגמ' בב"ק, ועי' במסקנת </w:t>
      </w:r>
      <w:r w:rsidRPr="00E33DA3">
        <w:rPr>
          <w:rStyle w:val="af9"/>
          <w:rFonts w:hint="cs"/>
          <w:rtl/>
        </w:rPr>
        <w:t>השער"י</w:t>
      </w:r>
      <w:r>
        <w:rPr>
          <w:rFonts w:hint="cs"/>
          <w:rtl/>
        </w:rPr>
        <w:t xml:space="preserve"> </w:t>
      </w:r>
      <w:r w:rsidRPr="00DE5308">
        <w:rPr>
          <w:rStyle w:val="af7"/>
          <w:rFonts w:eastAsia="Guttman Hodes" w:hint="cs"/>
          <w:rtl/>
        </w:rPr>
        <w:t xml:space="preserve">(עי' אות </w:t>
      </w:r>
      <w:r w:rsidRPr="00DE5308">
        <w:rPr>
          <w:rStyle w:val="af7"/>
          <w:rFonts w:eastAsia="Guttman Hodes"/>
          <w:rtl/>
        </w:rPr>
        <w:fldChar w:fldCharType="begin"/>
      </w:r>
      <w:r w:rsidRPr="00DE5308">
        <w:rPr>
          <w:rStyle w:val="af7"/>
          <w:rFonts w:eastAsia="Guttman Hodes"/>
          <w:rtl/>
        </w:rPr>
        <w:instrText xml:space="preserve"> </w:instrText>
      </w:r>
      <w:r w:rsidRPr="00DE5308">
        <w:rPr>
          <w:rStyle w:val="af7"/>
          <w:rFonts w:eastAsia="Guttman Hodes" w:hint="cs"/>
        </w:rPr>
        <w:instrText>REF</w:instrText>
      </w:r>
      <w:r w:rsidRPr="00DE5308">
        <w:rPr>
          <w:rStyle w:val="af7"/>
          <w:rFonts w:eastAsia="Guttman Hodes" w:hint="cs"/>
          <w:rtl/>
        </w:rPr>
        <w:instrText xml:space="preserve"> _</w:instrText>
      </w:r>
      <w:r w:rsidRPr="00DE5308">
        <w:rPr>
          <w:rStyle w:val="af7"/>
          <w:rFonts w:eastAsia="Guttman Hodes" w:hint="cs"/>
        </w:rPr>
        <w:instrText>Ref530476817 \r \h</w:instrText>
      </w:r>
      <w:r w:rsidRPr="00DE5308">
        <w:rPr>
          <w:rStyle w:val="af7"/>
          <w:rFonts w:eastAsia="Guttman Hodes"/>
          <w:rtl/>
        </w:rPr>
        <w:instrText xml:space="preserve"> </w:instrText>
      </w:r>
      <w:r w:rsidRPr="00DE5308">
        <w:rPr>
          <w:rStyle w:val="af7"/>
          <w:rFonts w:eastAsia="Guttman Hodes"/>
          <w:rtl/>
        </w:rPr>
      </w:r>
      <w:r w:rsidRPr="00DE5308">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DE5308">
        <w:rPr>
          <w:rStyle w:val="af7"/>
          <w:rFonts w:eastAsia="Guttman Hodes"/>
          <w:rtl/>
        </w:rPr>
        <w:fldChar w:fldCharType="end"/>
      </w:r>
      <w:r w:rsidRPr="00DE5308">
        <w:rPr>
          <w:rStyle w:val="af7"/>
          <w:rFonts w:eastAsia="Guttman Hodes" w:hint="cs"/>
          <w:rtl/>
        </w:rPr>
        <w:t xml:space="preserve"> </w:t>
      </w:r>
      <w:r>
        <w:rPr>
          <w:rFonts w:hint="cs"/>
          <w:rtl/>
        </w:rPr>
        <w:t xml:space="preserve">בדברי </w:t>
      </w:r>
      <w:r w:rsidRPr="00E33DA3">
        <w:rPr>
          <w:rStyle w:val="af9"/>
          <w:rFonts w:hint="cs"/>
          <w:rtl/>
        </w:rPr>
        <w:t>התוס' ב</w:t>
      </w:r>
      <w:r>
        <w:rPr>
          <w:rStyle w:val="af9"/>
          <w:rFonts w:hint="cs"/>
          <w:rtl/>
        </w:rPr>
        <w:t>ב"ק</w:t>
      </w:r>
      <w:r>
        <w:rPr>
          <w:rFonts w:hint="cs"/>
          <w:rtl/>
        </w:rPr>
        <w:t>.</w:t>
      </w:r>
    </w:p>
    <w:p w14:paraId="2E10ABE6" w14:textId="77777777" w:rsidR="00FF73EE" w:rsidRDefault="00FF73EE" w:rsidP="006D6D32">
      <w:pPr>
        <w:pStyle w:val="afe"/>
        <w:rPr>
          <w:rtl/>
        </w:rPr>
      </w:pPr>
      <w:bookmarkStart w:id="10580" w:name="_Toc530476233"/>
      <w:bookmarkStart w:id="10581" w:name="_Toc530477181"/>
      <w:bookmarkStart w:id="10582" w:name="_Toc530503032"/>
      <w:bookmarkStart w:id="10583" w:name="_Toc530504563"/>
      <w:bookmarkStart w:id="10584" w:name="_Toc530514418"/>
      <w:bookmarkStart w:id="10585" w:name="_Toc530514521"/>
      <w:bookmarkStart w:id="10586" w:name="_Toc530521970"/>
      <w:bookmarkStart w:id="10587" w:name="_Toc530525041"/>
      <w:bookmarkStart w:id="10588" w:name="_Toc530551188"/>
      <w:bookmarkStart w:id="10589" w:name="_Toc19435705"/>
      <w:bookmarkStart w:id="10590" w:name="_Toc20080973"/>
      <w:bookmarkStart w:id="10591" w:name="_Toc530349001"/>
      <w:bookmarkStart w:id="10592" w:name="_Toc530395892"/>
      <w:bookmarkStart w:id="10593" w:name="_Toc530411097"/>
      <w:r>
        <w:rPr>
          <w:rFonts w:hint="cs"/>
          <w:rtl/>
        </w:rPr>
        <w:t>בדברי ההפלאה בהוקבע האיסור ע</w:t>
      </w:r>
      <w:r>
        <w:rPr>
          <w:rFonts w:cs="Guttman Hodes" w:hint="cs"/>
          <w:rtl/>
        </w:rPr>
        <w:t>"</w:t>
      </w:r>
      <w:r>
        <w:rPr>
          <w:rFonts w:hint="cs"/>
          <w:rtl/>
        </w:rPr>
        <w:t>י הרוב</w:t>
      </w:r>
      <w:bookmarkEnd w:id="10580"/>
      <w:bookmarkEnd w:id="10581"/>
      <w:bookmarkEnd w:id="10582"/>
      <w:bookmarkEnd w:id="10583"/>
      <w:bookmarkEnd w:id="10584"/>
      <w:bookmarkEnd w:id="10585"/>
      <w:bookmarkEnd w:id="10586"/>
      <w:bookmarkEnd w:id="10587"/>
      <w:bookmarkEnd w:id="10588"/>
      <w:bookmarkEnd w:id="10589"/>
      <w:bookmarkEnd w:id="10590"/>
    </w:p>
    <w:p w14:paraId="509F551E" w14:textId="77777777" w:rsidR="00FF73EE" w:rsidRDefault="00FF73EE" w:rsidP="00BF39B2">
      <w:pPr>
        <w:pStyle w:val="1"/>
        <w:rPr>
          <w:rtl/>
        </w:rPr>
      </w:pPr>
      <w:bookmarkStart w:id="10594" w:name="_Toc530476234"/>
      <w:bookmarkStart w:id="10595" w:name="_Toc530477182"/>
      <w:bookmarkStart w:id="10596" w:name="_Toc530503033"/>
      <w:bookmarkStart w:id="10597" w:name="_Toc530504564"/>
      <w:bookmarkStart w:id="10598" w:name="_Toc530514419"/>
      <w:bookmarkStart w:id="10599" w:name="_Toc530514522"/>
      <w:bookmarkStart w:id="10600" w:name="_Toc530521971"/>
      <w:bookmarkStart w:id="10601" w:name="_Toc530525042"/>
      <w:bookmarkStart w:id="10602" w:name="_Toc530551189"/>
      <w:bookmarkStart w:id="10603" w:name="_Toc19390381"/>
      <w:bookmarkStart w:id="10604" w:name="_Toc19393878"/>
      <w:r>
        <w:rPr>
          <w:rFonts w:hint="cs"/>
          <w:rtl/>
        </w:rPr>
        <w:t>דברי השער"י בישוב קושית ההפלאה לדעת התוס'</w:t>
      </w:r>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p>
    <w:p w14:paraId="0B915371" w14:textId="77777777" w:rsidR="00FF73EE" w:rsidRDefault="00FF73EE" w:rsidP="006D6D32">
      <w:pPr>
        <w:pStyle w:val="a3"/>
        <w:rPr>
          <w:rtl/>
        </w:rPr>
      </w:pPr>
      <w:bookmarkStart w:id="10605" w:name="_Toc530525043"/>
      <w:bookmarkStart w:id="10606" w:name="_Toc530551190"/>
      <w:bookmarkStart w:id="10607" w:name="_Toc19390382"/>
      <w:bookmarkStart w:id="10608" w:name="_Toc19393879"/>
      <w:r>
        <w:rPr>
          <w:rFonts w:hint="cs"/>
          <w:rtl/>
        </w:rPr>
        <w:t>ביאור השער"י בהפלאה עפ"י ביאורו בתוס' בסנהדרין דרוב בטבע שהוא עפ"י שכל מהני בממון</w:t>
      </w:r>
      <w:bookmarkEnd w:id="10605"/>
      <w:bookmarkEnd w:id="10606"/>
      <w:bookmarkEnd w:id="10607"/>
      <w:bookmarkEnd w:id="10608"/>
    </w:p>
    <w:p w14:paraId="613ACCF9" w14:textId="77777777" w:rsidR="00FF73EE" w:rsidRDefault="00FF73EE" w:rsidP="00223668">
      <w:pPr>
        <w:pStyle w:val="a0"/>
        <w:rPr>
          <w:rtl/>
        </w:rPr>
      </w:pPr>
      <w:r>
        <w:rPr>
          <w:rFonts w:hint="cs"/>
          <w:rtl/>
        </w:rPr>
        <w:t xml:space="preserve">הביא </w:t>
      </w:r>
      <w:r w:rsidRPr="006649C1">
        <w:rPr>
          <w:rStyle w:val="af9"/>
          <w:rFonts w:hint="cs"/>
          <w:rtl/>
        </w:rPr>
        <w:t xml:space="preserve">השער"י </w:t>
      </w:r>
      <w:r w:rsidRPr="007450B6">
        <w:rPr>
          <w:rStyle w:val="af7"/>
          <w:rFonts w:eastAsia="Guttman Hodes" w:hint="cs"/>
          <w:rtl/>
        </w:rPr>
        <w:t xml:space="preserve">(ש"ג פ"ג ד"ה והנה בספרי האחרונים) </w:t>
      </w:r>
      <w:r>
        <w:rPr>
          <w:rFonts w:hint="cs"/>
          <w:rtl/>
        </w:rPr>
        <w:t xml:space="preserve">את קושית </w:t>
      </w:r>
      <w:r w:rsidRPr="006649C1">
        <w:rPr>
          <w:rStyle w:val="af9"/>
          <w:rFonts w:hint="cs"/>
          <w:rtl/>
        </w:rPr>
        <w:t>ההפלאה</w:t>
      </w:r>
      <w:r>
        <w:rPr>
          <w:rFonts w:hint="cs"/>
          <w:rtl/>
        </w:rPr>
        <w:t xml:space="preserve"> </w:t>
      </w:r>
      <w:r w:rsidRPr="007450B6">
        <w:rPr>
          <w:rStyle w:val="af7"/>
          <w:rFonts w:eastAsia="Guttman Hodes" w:hint="cs"/>
          <w:rtl/>
        </w:rPr>
        <w:t xml:space="preserve">(עי' אות </w:t>
      </w:r>
      <w:r w:rsidRPr="007450B6">
        <w:rPr>
          <w:rStyle w:val="af7"/>
          <w:rFonts w:eastAsia="Guttman Hodes"/>
          <w:rtl/>
        </w:rPr>
        <w:fldChar w:fldCharType="begin"/>
      </w:r>
      <w:r w:rsidRPr="007450B6">
        <w:rPr>
          <w:rStyle w:val="af7"/>
          <w:rFonts w:eastAsia="Guttman Hodes"/>
          <w:rtl/>
        </w:rPr>
        <w:instrText xml:space="preserve"> </w:instrText>
      </w:r>
      <w:r w:rsidRPr="007450B6">
        <w:rPr>
          <w:rStyle w:val="af7"/>
          <w:rFonts w:eastAsia="Guttman Hodes" w:hint="cs"/>
        </w:rPr>
        <w:instrText>REF</w:instrText>
      </w:r>
      <w:r w:rsidRPr="007450B6">
        <w:rPr>
          <w:rStyle w:val="af7"/>
          <w:rFonts w:eastAsia="Guttman Hodes" w:hint="cs"/>
          <w:rtl/>
        </w:rPr>
        <w:instrText xml:space="preserve"> _</w:instrText>
      </w:r>
      <w:r w:rsidRPr="007450B6">
        <w:rPr>
          <w:rStyle w:val="af7"/>
          <w:rFonts w:eastAsia="Guttman Hodes" w:hint="cs"/>
        </w:rPr>
        <w:instrText>Ref530304434 \r \h</w:instrText>
      </w:r>
      <w:r w:rsidRPr="007450B6">
        <w:rPr>
          <w:rStyle w:val="af7"/>
          <w:rFonts w:eastAsia="Guttman Hodes"/>
          <w:rtl/>
        </w:rPr>
        <w:instrText xml:space="preserve"> </w:instrText>
      </w:r>
      <w:r w:rsidRPr="007450B6">
        <w:rPr>
          <w:rStyle w:val="af7"/>
          <w:rFonts w:eastAsia="Guttman Hodes"/>
          <w:rtl/>
        </w:rPr>
      </w:r>
      <w:r w:rsidRPr="007450B6">
        <w:rPr>
          <w:rStyle w:val="af7"/>
          <w:rFonts w:eastAsia="Guttman Hodes"/>
          <w:rtl/>
        </w:rPr>
        <w:fldChar w:fldCharType="separate"/>
      </w:r>
      <w:r w:rsidR="00345400">
        <w:rPr>
          <w:rStyle w:val="af7"/>
          <w:rFonts w:eastAsia="Guttman Hodes"/>
          <w:cs/>
        </w:rPr>
        <w:t>‎</w:t>
      </w:r>
      <w:r w:rsidR="00345400">
        <w:rPr>
          <w:rStyle w:val="af7"/>
          <w:rFonts w:eastAsia="Guttman Hodes"/>
          <w:rtl/>
        </w:rPr>
        <w:t>מט)</w:t>
      </w:r>
      <w:r w:rsidRPr="007450B6">
        <w:rPr>
          <w:rStyle w:val="af7"/>
          <w:rFonts w:eastAsia="Guttman Hodes"/>
          <w:rtl/>
        </w:rPr>
        <w:fldChar w:fldCharType="end"/>
      </w:r>
      <w:r w:rsidRPr="007450B6">
        <w:rPr>
          <w:rStyle w:val="af7"/>
          <w:rFonts w:eastAsia="Guttman Hodes" w:hint="cs"/>
          <w:rtl/>
        </w:rPr>
        <w:t xml:space="preserve"> </w:t>
      </w:r>
      <w:r>
        <w:rPr>
          <w:rFonts w:hint="cs"/>
          <w:rtl/>
        </w:rPr>
        <w:t xml:space="preserve">דכיון דמבואר בסוגיין דכ"א הוא ודאי אביו של בנו רק מכח רוב, א"כ היאך אזלינן בתר רוב בדיני ממונות, באונס וכדו', ותירץ </w:t>
      </w:r>
      <w:r w:rsidRPr="006649C1">
        <w:rPr>
          <w:rStyle w:val="af9"/>
          <w:rFonts w:hint="cs"/>
          <w:rtl/>
        </w:rPr>
        <w:t>ההפלאה</w:t>
      </w:r>
      <w:r>
        <w:rPr>
          <w:rFonts w:hint="cs"/>
          <w:rtl/>
        </w:rPr>
        <w:t xml:space="preserve"> דע"י שהוחזק לאביו מדין הרוב לשאר דברים, הוא מוחזק כודאי אביו אף לדיני ממונות, וכתב </w:t>
      </w:r>
      <w:r w:rsidRPr="006649C1">
        <w:rPr>
          <w:rStyle w:val="af9"/>
          <w:rFonts w:hint="cs"/>
          <w:rtl/>
        </w:rPr>
        <w:t xml:space="preserve">השער"י </w:t>
      </w:r>
      <w:r>
        <w:rPr>
          <w:rFonts w:hint="cs"/>
          <w:rtl/>
        </w:rPr>
        <w:t xml:space="preserve">דלפי מה שביאר </w:t>
      </w:r>
      <w:r w:rsidRPr="007450B6">
        <w:rPr>
          <w:rStyle w:val="af7"/>
          <w:rFonts w:eastAsia="Guttman Hodes" w:hint="cs"/>
          <w:rtl/>
        </w:rPr>
        <w:t xml:space="preserve">(עי' אות </w:t>
      </w:r>
      <w:r w:rsidRPr="007450B6">
        <w:rPr>
          <w:rStyle w:val="af7"/>
          <w:rFonts w:eastAsia="Guttman Hodes"/>
          <w:rtl/>
        </w:rPr>
        <w:fldChar w:fldCharType="begin"/>
      </w:r>
      <w:r w:rsidRPr="007450B6">
        <w:rPr>
          <w:rStyle w:val="af7"/>
          <w:rFonts w:eastAsia="Guttman Hodes"/>
          <w:rtl/>
        </w:rPr>
        <w:instrText xml:space="preserve"> </w:instrText>
      </w:r>
      <w:r w:rsidRPr="007450B6">
        <w:rPr>
          <w:rStyle w:val="af7"/>
          <w:rFonts w:eastAsia="Guttman Hodes" w:hint="cs"/>
        </w:rPr>
        <w:instrText>REF</w:instrText>
      </w:r>
      <w:r w:rsidRPr="007450B6">
        <w:rPr>
          <w:rStyle w:val="af7"/>
          <w:rFonts w:eastAsia="Guttman Hodes" w:hint="cs"/>
          <w:rtl/>
        </w:rPr>
        <w:instrText xml:space="preserve"> _</w:instrText>
      </w:r>
      <w:r w:rsidRPr="007450B6">
        <w:rPr>
          <w:rStyle w:val="af7"/>
          <w:rFonts w:eastAsia="Guttman Hodes" w:hint="cs"/>
        </w:rPr>
        <w:instrText>Ref530331673 \r \h</w:instrText>
      </w:r>
      <w:r w:rsidRPr="007450B6">
        <w:rPr>
          <w:rStyle w:val="af7"/>
          <w:rFonts w:eastAsia="Guttman Hodes"/>
          <w:rtl/>
        </w:rPr>
        <w:instrText xml:space="preserve"> </w:instrText>
      </w:r>
      <w:r w:rsidRPr="007450B6">
        <w:rPr>
          <w:rStyle w:val="af7"/>
          <w:rFonts w:eastAsia="Guttman Hodes"/>
          <w:rtl/>
        </w:rPr>
      </w:r>
      <w:r w:rsidRPr="007450B6">
        <w:rPr>
          <w:rStyle w:val="af7"/>
          <w:rFonts w:eastAsia="Guttman Hodes"/>
          <w:rtl/>
        </w:rPr>
        <w:fldChar w:fldCharType="separate"/>
      </w:r>
      <w:r w:rsidR="00345400">
        <w:rPr>
          <w:rStyle w:val="af7"/>
          <w:rFonts w:eastAsia="Guttman Hodes"/>
          <w:cs/>
        </w:rPr>
        <w:t>‎</w:t>
      </w:r>
      <w:r w:rsidR="00345400">
        <w:rPr>
          <w:rStyle w:val="af7"/>
          <w:rFonts w:eastAsia="Guttman Hodes"/>
          <w:rtl/>
        </w:rPr>
        <w:t>פג)</w:t>
      </w:r>
      <w:r w:rsidRPr="007450B6">
        <w:rPr>
          <w:rStyle w:val="af7"/>
          <w:rFonts w:eastAsia="Guttman Hodes"/>
          <w:rtl/>
        </w:rPr>
        <w:fldChar w:fldCharType="end"/>
      </w:r>
      <w:r w:rsidRPr="007450B6">
        <w:rPr>
          <w:rStyle w:val="af7"/>
          <w:rFonts w:eastAsia="Guttman Hodes" w:hint="cs"/>
          <w:rtl/>
        </w:rPr>
        <w:t xml:space="preserve"> </w:t>
      </w:r>
      <w:r>
        <w:rPr>
          <w:rFonts w:hint="cs"/>
          <w:rtl/>
        </w:rPr>
        <w:t xml:space="preserve">דא"א להחזיק ברוב לדיני ממונות, כיון שבדיני ממונות צריך הכרעה עפ"י סברת השכל, א"כ נדחה תירוץ </w:t>
      </w:r>
      <w:r w:rsidRPr="006649C1">
        <w:rPr>
          <w:rStyle w:val="af9"/>
          <w:rFonts w:hint="cs"/>
          <w:rtl/>
        </w:rPr>
        <w:t>ההפלאה</w:t>
      </w:r>
      <w:r>
        <w:rPr>
          <w:rFonts w:hint="cs"/>
          <w:rtl/>
        </w:rPr>
        <w:t xml:space="preserve">, אך כתב </w:t>
      </w:r>
      <w:r w:rsidRPr="006649C1">
        <w:rPr>
          <w:rStyle w:val="af9"/>
          <w:rFonts w:hint="cs"/>
          <w:rtl/>
        </w:rPr>
        <w:t xml:space="preserve">השער"י </w:t>
      </w:r>
      <w:r>
        <w:rPr>
          <w:rFonts w:hint="cs"/>
          <w:rtl/>
        </w:rPr>
        <w:t xml:space="preserve">דמ"מ לפי מה שביאר בדברי </w:t>
      </w:r>
      <w:r>
        <w:rPr>
          <w:rStyle w:val="af9"/>
          <w:rFonts w:hint="cs"/>
          <w:rtl/>
        </w:rPr>
        <w:t>ה</w:t>
      </w:r>
      <w:r w:rsidRPr="006649C1">
        <w:rPr>
          <w:rStyle w:val="af9"/>
          <w:rFonts w:hint="cs"/>
          <w:rtl/>
        </w:rPr>
        <w:t xml:space="preserve">תוס' בסנהדרין </w:t>
      </w:r>
      <w:r w:rsidRPr="007450B6">
        <w:rPr>
          <w:rStyle w:val="af7"/>
          <w:rFonts w:eastAsia="Guttman Hodes" w:hint="cs"/>
          <w:rtl/>
        </w:rPr>
        <w:t xml:space="preserve">(עי' אות </w:t>
      </w:r>
      <w:r w:rsidRPr="007450B6">
        <w:rPr>
          <w:rStyle w:val="af7"/>
          <w:rFonts w:eastAsia="Guttman Hodes"/>
          <w:rtl/>
        </w:rPr>
        <w:fldChar w:fldCharType="begin"/>
      </w:r>
      <w:r w:rsidRPr="007450B6">
        <w:rPr>
          <w:rStyle w:val="af7"/>
          <w:rFonts w:eastAsia="Guttman Hodes"/>
          <w:rtl/>
        </w:rPr>
        <w:instrText xml:space="preserve"> </w:instrText>
      </w:r>
      <w:r w:rsidRPr="007450B6">
        <w:rPr>
          <w:rStyle w:val="af7"/>
          <w:rFonts w:eastAsia="Guttman Hodes" w:hint="cs"/>
        </w:rPr>
        <w:instrText>REF</w:instrText>
      </w:r>
      <w:r w:rsidRPr="007450B6">
        <w:rPr>
          <w:rStyle w:val="af7"/>
          <w:rFonts w:eastAsia="Guttman Hodes" w:hint="cs"/>
          <w:rtl/>
        </w:rPr>
        <w:instrText xml:space="preserve"> _</w:instrText>
      </w:r>
      <w:r w:rsidRPr="007450B6">
        <w:rPr>
          <w:rStyle w:val="af7"/>
          <w:rFonts w:eastAsia="Guttman Hodes" w:hint="cs"/>
        </w:rPr>
        <w:instrText>Ref530331686 \r \h</w:instrText>
      </w:r>
      <w:r w:rsidRPr="007450B6">
        <w:rPr>
          <w:rStyle w:val="af7"/>
          <w:rFonts w:eastAsia="Guttman Hodes"/>
          <w:rtl/>
        </w:rPr>
        <w:instrText xml:space="preserve"> </w:instrText>
      </w:r>
      <w:r w:rsidRPr="007450B6">
        <w:rPr>
          <w:rStyle w:val="af7"/>
          <w:rFonts w:eastAsia="Guttman Hodes"/>
          <w:rtl/>
        </w:rPr>
      </w:r>
      <w:r w:rsidRPr="007450B6">
        <w:rPr>
          <w:rStyle w:val="af7"/>
          <w:rFonts w:eastAsia="Guttman Hodes"/>
          <w:rtl/>
        </w:rPr>
        <w:fldChar w:fldCharType="separate"/>
      </w:r>
      <w:r w:rsidR="00345400">
        <w:rPr>
          <w:rStyle w:val="af7"/>
          <w:rFonts w:eastAsia="Guttman Hodes"/>
          <w:cs/>
        </w:rPr>
        <w:t>‎</w:t>
      </w:r>
      <w:r w:rsidR="00345400">
        <w:rPr>
          <w:rStyle w:val="af7"/>
          <w:rFonts w:eastAsia="Guttman Hodes"/>
          <w:rtl/>
        </w:rPr>
        <w:t>פו)</w:t>
      </w:r>
      <w:r w:rsidRPr="007450B6">
        <w:rPr>
          <w:rStyle w:val="af7"/>
          <w:rFonts w:eastAsia="Guttman Hodes"/>
          <w:rtl/>
        </w:rPr>
        <w:fldChar w:fldCharType="end"/>
      </w:r>
      <w:r w:rsidRPr="007450B6">
        <w:rPr>
          <w:rStyle w:val="af7"/>
          <w:rFonts w:eastAsia="Guttman Hodes" w:hint="cs"/>
          <w:rtl/>
        </w:rPr>
        <w:t xml:space="preserve"> </w:t>
      </w:r>
      <w:r>
        <w:rPr>
          <w:rFonts w:hint="cs"/>
          <w:rtl/>
        </w:rPr>
        <w:t xml:space="preserve">שרוב בטבע שהוא רוב טוב מהני אף לדיני ממונות, א"כ אפש"ל כדברי </w:t>
      </w:r>
      <w:r w:rsidRPr="006649C1">
        <w:rPr>
          <w:rStyle w:val="af9"/>
          <w:rFonts w:hint="cs"/>
          <w:rtl/>
        </w:rPr>
        <w:t>ההפלאה</w:t>
      </w:r>
      <w:r>
        <w:rPr>
          <w:rFonts w:hint="cs"/>
          <w:rtl/>
        </w:rPr>
        <w:t>.</w:t>
      </w:r>
    </w:p>
    <w:p w14:paraId="27D64BC5" w14:textId="77777777" w:rsidR="00FF73EE" w:rsidRDefault="00FF73EE" w:rsidP="006D6D32">
      <w:pPr>
        <w:pStyle w:val="a3"/>
        <w:rPr>
          <w:rtl/>
        </w:rPr>
      </w:pPr>
      <w:bookmarkStart w:id="10609" w:name="_Toc530525044"/>
      <w:bookmarkStart w:id="10610" w:name="_Toc530551191"/>
      <w:bookmarkStart w:id="10611" w:name="_Toc19390383"/>
      <w:bookmarkStart w:id="10612" w:name="_Toc19393880"/>
      <w:r>
        <w:rPr>
          <w:rFonts w:hint="cs"/>
          <w:rtl/>
        </w:rPr>
        <w:t>דברי השער"י דאף לתוס' בב"ק מהני רוב עפ"י שכל כחזקה אין אדם פורע בתוך זמנו</w:t>
      </w:r>
      <w:bookmarkEnd w:id="10609"/>
      <w:bookmarkEnd w:id="10610"/>
      <w:bookmarkEnd w:id="10611"/>
      <w:bookmarkEnd w:id="10612"/>
    </w:p>
    <w:p w14:paraId="632579D7" w14:textId="77777777" w:rsidR="00FF73EE" w:rsidRDefault="00FF73EE" w:rsidP="00223668">
      <w:pPr>
        <w:pStyle w:val="a0"/>
        <w:rPr>
          <w:rtl/>
        </w:rPr>
      </w:pPr>
      <w:r>
        <w:rPr>
          <w:rFonts w:hint="cs"/>
          <w:rtl/>
        </w:rPr>
        <w:t xml:space="preserve">אבל לפי ביאורו </w:t>
      </w:r>
      <w:r w:rsidRPr="00634DEB">
        <w:rPr>
          <w:rStyle w:val="af9"/>
          <w:rFonts w:hint="cs"/>
          <w:rtl/>
        </w:rPr>
        <w:t>בתוס' בב"ק</w:t>
      </w:r>
      <w:r w:rsidRPr="006649C1">
        <w:rPr>
          <w:rStyle w:val="af9"/>
          <w:rFonts w:hint="cs"/>
          <w:rtl/>
        </w:rPr>
        <w:t xml:space="preserve"> </w:t>
      </w:r>
      <w:r>
        <w:rPr>
          <w:rFonts w:hint="cs"/>
          <w:rtl/>
        </w:rPr>
        <w:t xml:space="preserve">כתב </w:t>
      </w:r>
      <w:r w:rsidRPr="006649C1">
        <w:rPr>
          <w:rStyle w:val="af9"/>
          <w:rFonts w:hint="cs"/>
          <w:rtl/>
        </w:rPr>
        <w:t xml:space="preserve">השער"י </w:t>
      </w:r>
      <w:r>
        <w:rPr>
          <w:rFonts w:hint="cs"/>
          <w:rtl/>
        </w:rPr>
        <w:t xml:space="preserve">דעדיין קשה קושית </w:t>
      </w:r>
      <w:r w:rsidRPr="006649C1">
        <w:rPr>
          <w:rStyle w:val="af9"/>
          <w:rFonts w:hint="cs"/>
          <w:rtl/>
        </w:rPr>
        <w:t>ההפלאה</w:t>
      </w:r>
      <w:r>
        <w:rPr>
          <w:rFonts w:hint="cs"/>
          <w:rtl/>
        </w:rPr>
        <w:t xml:space="preserve">, דהא ס"ל דלא אזלינן בתר רובא בדיני ממונות כלל, וא"כ היאך אזלינן בדיני ממונות בתר רובא באונס ומפתה וכדו', אך כתב </w:t>
      </w:r>
      <w:r w:rsidRPr="006649C1">
        <w:rPr>
          <w:rStyle w:val="af9"/>
          <w:rFonts w:hint="cs"/>
          <w:rtl/>
        </w:rPr>
        <w:t xml:space="preserve">השער"י </w:t>
      </w:r>
      <w:r>
        <w:rPr>
          <w:rFonts w:hint="cs"/>
          <w:rtl/>
        </w:rPr>
        <w:t xml:space="preserve">דאף לדעת </w:t>
      </w:r>
      <w:r w:rsidRPr="006649C1">
        <w:rPr>
          <w:rStyle w:val="af9"/>
          <w:rFonts w:hint="cs"/>
          <w:rtl/>
        </w:rPr>
        <w:t xml:space="preserve">התוס' בב"ק </w:t>
      </w:r>
      <w:r>
        <w:rPr>
          <w:rFonts w:hint="cs"/>
          <w:rtl/>
        </w:rPr>
        <w:t>מצינו מקומות דאף בממון אזלינן בתר רובא, כחזקה דאין אדם פורע תוך זמנו, שמוציאין מכח זה ממוחזק, אף שיש מיעוט בעולם שפורעים בתוך הזמן.</w:t>
      </w:r>
    </w:p>
    <w:p w14:paraId="2FC00C91" w14:textId="77777777" w:rsidR="003658B8" w:rsidRPr="003658B8" w:rsidRDefault="003658B8" w:rsidP="003658B8">
      <w:pPr>
        <w:pStyle w:val="a3"/>
        <w:rPr>
          <w:rtl/>
        </w:rPr>
      </w:pPr>
    </w:p>
    <w:p w14:paraId="75AED9E2" w14:textId="77777777" w:rsidR="003658B8" w:rsidRPr="003658B8" w:rsidRDefault="003658B8" w:rsidP="003658B8">
      <w:pPr>
        <w:pStyle w:val="a3"/>
        <w:rPr>
          <w:rtl/>
        </w:rPr>
      </w:pPr>
    </w:p>
    <w:p w14:paraId="4FE9B0AE" w14:textId="77777777" w:rsidR="003658B8" w:rsidRPr="003658B8" w:rsidRDefault="003658B8" w:rsidP="003658B8">
      <w:pPr>
        <w:pStyle w:val="a3"/>
        <w:rPr>
          <w:rtl/>
        </w:rPr>
      </w:pPr>
    </w:p>
    <w:p w14:paraId="532BED89" w14:textId="77777777" w:rsidR="00FF73EE" w:rsidRPr="006649C1" w:rsidRDefault="00FF73EE" w:rsidP="00BF39B2">
      <w:pPr>
        <w:pStyle w:val="1"/>
        <w:rPr>
          <w:rtl/>
        </w:rPr>
      </w:pPr>
      <w:bookmarkStart w:id="10613" w:name="_Toc530349002"/>
      <w:bookmarkStart w:id="10614" w:name="_Toc530395893"/>
      <w:bookmarkStart w:id="10615" w:name="_Toc530411098"/>
      <w:bookmarkStart w:id="10616" w:name="_Toc530476235"/>
      <w:bookmarkStart w:id="10617" w:name="_Toc530477183"/>
      <w:bookmarkStart w:id="10618" w:name="_Toc530503034"/>
      <w:bookmarkStart w:id="10619" w:name="_Toc530504567"/>
      <w:bookmarkStart w:id="10620" w:name="_Toc530514420"/>
      <w:bookmarkStart w:id="10621" w:name="_Toc530514523"/>
      <w:bookmarkStart w:id="10622" w:name="_Toc530521972"/>
      <w:bookmarkStart w:id="10623" w:name="_Toc530525045"/>
      <w:bookmarkStart w:id="10624" w:name="_Toc530551192"/>
      <w:bookmarkStart w:id="10625" w:name="_Toc19390384"/>
      <w:bookmarkStart w:id="10626" w:name="_Toc19393881"/>
      <w:r>
        <w:rPr>
          <w:rFonts w:hint="cs"/>
          <w:rtl/>
        </w:rPr>
        <w:t>מסקנת השער"י דהתוס' בסנהדרין ובב"ק נחלקו רק בנפשות</w:t>
      </w:r>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p>
    <w:p w14:paraId="574470F1" w14:textId="77777777" w:rsidR="00FF73EE" w:rsidRDefault="00FF73EE" w:rsidP="006D6D32">
      <w:pPr>
        <w:pStyle w:val="a3"/>
        <w:rPr>
          <w:rtl/>
        </w:rPr>
      </w:pPr>
      <w:bookmarkStart w:id="10627" w:name="_Toc530525046"/>
      <w:bookmarkStart w:id="10628" w:name="_Toc530551193"/>
      <w:bookmarkStart w:id="10629" w:name="_Toc19390385"/>
      <w:bookmarkStart w:id="10630" w:name="_Toc19393882"/>
      <w:r>
        <w:rPr>
          <w:rFonts w:hint="cs"/>
          <w:rtl/>
        </w:rPr>
        <w:t>דברי השער"י דבממנות לכו"ע מהני רוב עפ"י שכל ונחלקו התוס' בדין והצילו העדה בנפשות</w:t>
      </w:r>
      <w:bookmarkEnd w:id="10627"/>
      <w:bookmarkEnd w:id="10628"/>
      <w:bookmarkEnd w:id="10629"/>
      <w:bookmarkEnd w:id="10630"/>
    </w:p>
    <w:p w14:paraId="77ADB506" w14:textId="77777777" w:rsidR="00FF73EE" w:rsidRDefault="00FF73EE" w:rsidP="00223668">
      <w:pPr>
        <w:pStyle w:val="a0"/>
        <w:rPr>
          <w:rtl/>
        </w:rPr>
      </w:pPr>
      <w:bookmarkStart w:id="10631" w:name="_Ref530476817"/>
      <w:r>
        <w:rPr>
          <w:rFonts w:hint="cs"/>
          <w:rtl/>
        </w:rPr>
        <w:t xml:space="preserve">אלא ביאר </w:t>
      </w:r>
      <w:r w:rsidRPr="006649C1">
        <w:rPr>
          <w:rStyle w:val="af9"/>
          <w:rFonts w:hint="cs"/>
          <w:rtl/>
        </w:rPr>
        <w:t xml:space="preserve">השער"י </w:t>
      </w:r>
      <w:r w:rsidRPr="007450B6">
        <w:rPr>
          <w:rStyle w:val="af7"/>
          <w:rFonts w:eastAsia="Guttman Hodes" w:hint="cs"/>
          <w:rtl/>
        </w:rPr>
        <w:t xml:space="preserve">(ש"ג פ"ג ד"ה וע"כ נלענ"ד) </w:t>
      </w:r>
      <w:r>
        <w:rPr>
          <w:rFonts w:hint="cs"/>
          <w:rtl/>
        </w:rPr>
        <w:t xml:space="preserve">דלענין דיני ממונות </w:t>
      </w:r>
      <w:r w:rsidRPr="006649C1">
        <w:rPr>
          <w:rStyle w:val="af9"/>
          <w:rFonts w:hint="cs"/>
          <w:rtl/>
        </w:rPr>
        <w:t xml:space="preserve">התוס' בב"ק </w:t>
      </w:r>
      <w:r>
        <w:rPr>
          <w:rFonts w:hint="cs"/>
          <w:rtl/>
        </w:rPr>
        <w:t xml:space="preserve">מודו </w:t>
      </w:r>
      <w:r w:rsidRPr="006649C1">
        <w:rPr>
          <w:rStyle w:val="af9"/>
          <w:rFonts w:hint="cs"/>
          <w:rtl/>
        </w:rPr>
        <w:t>לתוס' בסנהדרין</w:t>
      </w:r>
      <w:r>
        <w:rPr>
          <w:rFonts w:hint="cs"/>
          <w:rtl/>
        </w:rPr>
        <w:t xml:space="preserve">, דבמקום שיש רוב שהוא מכריע עפ"י סברת השכל, הוא מהני אף לדיני ממונות, וכל מה דפליגי </w:t>
      </w:r>
      <w:r w:rsidRPr="006649C1">
        <w:rPr>
          <w:rStyle w:val="af9"/>
          <w:rFonts w:hint="cs"/>
          <w:rtl/>
        </w:rPr>
        <w:t xml:space="preserve">התוס' בב"ק </w:t>
      </w:r>
      <w:r>
        <w:rPr>
          <w:rFonts w:hint="cs"/>
          <w:rtl/>
        </w:rPr>
        <w:t xml:space="preserve">על </w:t>
      </w:r>
      <w:r w:rsidRPr="006649C1">
        <w:rPr>
          <w:rStyle w:val="af9"/>
          <w:rFonts w:hint="cs"/>
          <w:rtl/>
        </w:rPr>
        <w:t xml:space="preserve">התוס' בסנהדרין </w:t>
      </w:r>
      <w:r>
        <w:rPr>
          <w:rFonts w:hint="cs"/>
          <w:rtl/>
        </w:rPr>
        <w:t xml:space="preserve">הוא לענין דיני נפשות, דלדעת </w:t>
      </w:r>
      <w:r w:rsidRPr="006649C1">
        <w:rPr>
          <w:rStyle w:val="af9"/>
          <w:rFonts w:hint="cs"/>
          <w:rtl/>
        </w:rPr>
        <w:t xml:space="preserve">התוס' בב"ק </w:t>
      </w:r>
      <w:r>
        <w:rPr>
          <w:rFonts w:hint="cs"/>
          <w:rtl/>
        </w:rPr>
        <w:t xml:space="preserve">כל רוב שמהני בממונות מהני בנפשות, ולכן הוקשה להם דנלמד את דיני ממונות בק"ו מנפשות, ותירצו דבממונות לא אזלינן בתר רוב שאינו הכרעת השכל, </w:t>
      </w:r>
      <w:r w:rsidRPr="006649C1">
        <w:rPr>
          <w:rStyle w:val="af9"/>
          <w:rFonts w:hint="cs"/>
          <w:rtl/>
        </w:rPr>
        <w:t xml:space="preserve">והתוס' בסהנדרין </w:t>
      </w:r>
      <w:r>
        <w:rPr>
          <w:rFonts w:hint="cs"/>
          <w:rtl/>
        </w:rPr>
        <w:t>ס"ל דאף בנפשות צריך הכרעה עפ"י השכל, מדינא דשפטו העדה והצילו העדה.</w:t>
      </w:r>
      <w:bookmarkEnd w:id="10631"/>
    </w:p>
    <w:p w14:paraId="5E06A176" w14:textId="77777777" w:rsidR="00FF73EE" w:rsidRPr="009D4C6E" w:rsidRDefault="00FF73EE" w:rsidP="00BF39B2">
      <w:pPr>
        <w:pStyle w:val="1"/>
        <w:rPr>
          <w:rtl/>
        </w:rPr>
      </w:pPr>
      <w:bookmarkStart w:id="10632" w:name="_Toc530349003"/>
      <w:bookmarkStart w:id="10633" w:name="_Toc530395894"/>
      <w:bookmarkStart w:id="10634" w:name="_Toc530411099"/>
      <w:bookmarkStart w:id="10635" w:name="_Toc530476236"/>
      <w:bookmarkStart w:id="10636" w:name="_Toc530477184"/>
      <w:bookmarkStart w:id="10637" w:name="_Toc530503035"/>
      <w:bookmarkStart w:id="10638" w:name="_Toc530504569"/>
      <w:bookmarkStart w:id="10639" w:name="_Toc530514421"/>
      <w:bookmarkStart w:id="10640" w:name="_Toc530514524"/>
      <w:bookmarkStart w:id="10641" w:name="_Toc530521973"/>
      <w:bookmarkStart w:id="10642" w:name="_Toc530525047"/>
      <w:bookmarkStart w:id="10643" w:name="_Toc530551194"/>
      <w:bookmarkStart w:id="10644" w:name="_Toc19390386"/>
      <w:bookmarkStart w:id="10645" w:name="_Toc19393883"/>
      <w:r>
        <w:rPr>
          <w:rFonts w:hint="cs"/>
          <w:rtl/>
        </w:rPr>
        <w:t xml:space="preserve">ישוב השער"י </w:t>
      </w:r>
      <w:bookmarkEnd w:id="10632"/>
      <w:bookmarkEnd w:id="10633"/>
      <w:bookmarkEnd w:id="10634"/>
      <w:bookmarkEnd w:id="10635"/>
      <w:bookmarkEnd w:id="10636"/>
      <w:bookmarkEnd w:id="10637"/>
      <w:bookmarkEnd w:id="10638"/>
      <w:bookmarkEnd w:id="10639"/>
      <w:bookmarkEnd w:id="10640"/>
      <w:bookmarkEnd w:id="10641"/>
      <w:r>
        <w:rPr>
          <w:rFonts w:hint="cs"/>
          <w:rtl/>
        </w:rPr>
        <w:t>דבממון ונפשות אזלינן בתר רוב עפ"י שכל</w:t>
      </w:r>
      <w:bookmarkEnd w:id="10642"/>
      <w:bookmarkEnd w:id="10643"/>
      <w:bookmarkEnd w:id="10644"/>
      <w:bookmarkEnd w:id="10645"/>
      <w:r>
        <w:rPr>
          <w:rFonts w:hint="cs"/>
          <w:rtl/>
        </w:rPr>
        <w:t xml:space="preserve"> </w:t>
      </w:r>
    </w:p>
    <w:p w14:paraId="3F6D167E" w14:textId="77777777" w:rsidR="00FF73EE" w:rsidRDefault="00FF73EE" w:rsidP="006D6D32">
      <w:pPr>
        <w:pStyle w:val="a3"/>
        <w:rPr>
          <w:rtl/>
        </w:rPr>
      </w:pPr>
      <w:bookmarkStart w:id="10646" w:name="_Toc530525048"/>
      <w:bookmarkStart w:id="10647" w:name="_Toc530551195"/>
      <w:bookmarkStart w:id="10648" w:name="_Toc19390387"/>
      <w:bookmarkStart w:id="10649" w:name="_Toc19393884"/>
      <w:r>
        <w:rPr>
          <w:rFonts w:hint="cs"/>
          <w:rtl/>
        </w:rPr>
        <w:t>דברי השער"י דמוכח ברמב"ם ובריטב"א דבמקום שיש ראיה עפ"י שכל מהני רוב אף בנפשות</w:t>
      </w:r>
      <w:bookmarkEnd w:id="10646"/>
      <w:bookmarkEnd w:id="10647"/>
      <w:bookmarkEnd w:id="10648"/>
      <w:bookmarkEnd w:id="10649"/>
    </w:p>
    <w:p w14:paraId="5704A575" w14:textId="77777777" w:rsidR="00FF73EE" w:rsidRDefault="00FF73EE" w:rsidP="00223668">
      <w:pPr>
        <w:pStyle w:val="a0"/>
        <w:rPr>
          <w:rtl/>
        </w:rPr>
      </w:pPr>
      <w:bookmarkStart w:id="10650" w:name="_Ref530525067"/>
      <w:r>
        <w:rPr>
          <w:rFonts w:hint="cs"/>
          <w:rtl/>
        </w:rPr>
        <w:t xml:space="preserve">ובזה ישב </w:t>
      </w:r>
      <w:r w:rsidRPr="00DC6943">
        <w:rPr>
          <w:rStyle w:val="af9"/>
          <w:rFonts w:hint="cs"/>
          <w:rtl/>
        </w:rPr>
        <w:t>השער"י</w:t>
      </w:r>
      <w:r>
        <w:rPr>
          <w:rFonts w:hint="cs"/>
          <w:rtl/>
        </w:rPr>
        <w:t xml:space="preserve"> </w:t>
      </w:r>
      <w:r w:rsidRPr="00562340">
        <w:rPr>
          <w:rStyle w:val="af7"/>
          <w:rFonts w:eastAsia="Guttman Hodes" w:hint="cs"/>
          <w:rtl/>
        </w:rPr>
        <w:t>(ש"ג פ"ג ד"ה וענין זה)</w:t>
      </w:r>
      <w:r>
        <w:rPr>
          <w:rFonts w:hint="cs"/>
          <w:rtl/>
        </w:rPr>
        <w:t xml:space="preserve"> את קושית </w:t>
      </w:r>
      <w:r w:rsidRPr="00DC6943">
        <w:rPr>
          <w:rStyle w:val="af9"/>
          <w:rFonts w:hint="cs"/>
          <w:rtl/>
        </w:rPr>
        <w:t>ההפלאה</w:t>
      </w:r>
      <w:r>
        <w:rPr>
          <w:rFonts w:hint="cs"/>
          <w:rtl/>
        </w:rPr>
        <w:t xml:space="preserve">, דהא דאמרינן דע"י הרוב הוא ודאי אביו, אי"ז רק דין רוב מהתורה, אלא יש בו חזקה וראיה שכלית, וכן רוב בהמות כשרות הם, וכן כל רוב שמוכרע לפי הטבע, דאם נחוש למיעוט אין לדבר סוף, וכדכתב </w:t>
      </w:r>
      <w:r w:rsidRPr="00A14881">
        <w:rPr>
          <w:rStyle w:val="af9"/>
          <w:rFonts w:hint="cs"/>
          <w:rtl/>
        </w:rPr>
        <w:t>הרמב"ם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Ref530080634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א)</w:t>
      </w:r>
      <w:r>
        <w:rPr>
          <w:rStyle w:val="af7"/>
          <w:rFonts w:eastAsia="Guttman Hodes"/>
          <w:rtl/>
        </w:rPr>
        <w:fldChar w:fldCharType="end"/>
      </w:r>
      <w:r>
        <w:rPr>
          <w:rStyle w:val="af7"/>
          <w:rFonts w:eastAsia="Guttman Hodes" w:hint="cs"/>
          <w:rtl/>
        </w:rPr>
        <w:t xml:space="preserve"> </w:t>
      </w:r>
      <w:r>
        <w:rPr>
          <w:rFonts w:hint="cs"/>
          <w:rtl/>
        </w:rPr>
        <w:t xml:space="preserve">את דברי הירושלמי בקידושין </w:t>
      </w:r>
      <w:r w:rsidRPr="00562340">
        <w:rPr>
          <w:rStyle w:val="af7"/>
          <w:rFonts w:eastAsia="Guttman Hodes" w:hint="cs"/>
          <w:rtl/>
        </w:rPr>
        <w:t>(פ"ד ה"י דף מז.)</w:t>
      </w:r>
      <w:r>
        <w:rPr>
          <w:rFonts w:hint="cs"/>
          <w:rtl/>
        </w:rPr>
        <w:t xml:space="preserve">, דממכה אביו ילפינן דסוקלין על החזקות, ועוד הביא </w:t>
      </w:r>
      <w:r w:rsidRPr="00DC6943">
        <w:rPr>
          <w:rStyle w:val="af9"/>
          <w:rFonts w:hint="cs"/>
          <w:rtl/>
        </w:rPr>
        <w:t>השער"י</w:t>
      </w:r>
      <w:r>
        <w:rPr>
          <w:rFonts w:hint="cs"/>
          <w:rtl/>
        </w:rPr>
        <w:t xml:space="preserve"> את דברי </w:t>
      </w:r>
      <w:r w:rsidRPr="00DC6943">
        <w:rPr>
          <w:rStyle w:val="af9"/>
          <w:rFonts w:hint="cs"/>
          <w:rtl/>
        </w:rPr>
        <w:t>הריטב"א בקידושין</w:t>
      </w:r>
      <w:r>
        <w:rPr>
          <w:rFonts w:hint="cs"/>
          <w:rtl/>
        </w:rPr>
        <w:t xml:space="preserve"> </w:t>
      </w:r>
      <w:r w:rsidRPr="00562340">
        <w:rPr>
          <w:rStyle w:val="af7"/>
          <w:rFonts w:eastAsia="Guttman Hodes" w:hint="cs"/>
          <w:rtl/>
        </w:rPr>
        <w:t>(פ. ד"ה מלקין)</w:t>
      </w:r>
      <w:r>
        <w:rPr>
          <w:rFonts w:hint="cs"/>
          <w:rtl/>
        </w:rPr>
        <w:t xml:space="preserve"> דכתב דכיון דסוקלין על החזקות, א"כ כ"ש דלענין דין ירושה ושאר דברים סגי בחזקה שהם בניו, וא"צ להביא ראיה ע"ז. וכתב </w:t>
      </w:r>
      <w:r w:rsidRPr="00DC6943">
        <w:rPr>
          <w:rStyle w:val="af9"/>
          <w:rFonts w:hint="cs"/>
          <w:rtl/>
        </w:rPr>
        <w:t>השער"י</w:t>
      </w:r>
      <w:r>
        <w:rPr>
          <w:rFonts w:hint="cs"/>
          <w:rtl/>
        </w:rPr>
        <w:t xml:space="preserve"> דמוכח מדברי </w:t>
      </w:r>
      <w:r w:rsidRPr="00DC6943">
        <w:rPr>
          <w:rStyle w:val="af9"/>
          <w:rFonts w:hint="cs"/>
          <w:rtl/>
        </w:rPr>
        <w:t>הרמב"ם והריטב"א</w:t>
      </w:r>
      <w:r>
        <w:rPr>
          <w:rFonts w:hint="cs"/>
          <w:rtl/>
        </w:rPr>
        <w:t xml:space="preserve"> דבמקום שיש רוב וראיה אזלינן בתר רובא אף בדיני ממונות ובדיני נפשות, ורק בחזקה שאינה הכרעה עפ"י שכל, אלא חזקה על פי דיני התורה לא מהני בממונות ובנפשות.</w:t>
      </w:r>
      <w:bookmarkEnd w:id="10650"/>
    </w:p>
    <w:p w14:paraId="684C507E" w14:textId="77777777" w:rsidR="00FF73EE" w:rsidRDefault="00FF73EE" w:rsidP="006D6D32">
      <w:pPr>
        <w:pStyle w:val="afe"/>
        <w:rPr>
          <w:rtl/>
        </w:rPr>
      </w:pPr>
      <w:bookmarkStart w:id="10651" w:name="_Toc530476237"/>
      <w:bookmarkStart w:id="10652" w:name="_Toc530477185"/>
      <w:bookmarkStart w:id="10653" w:name="_Toc530503036"/>
      <w:bookmarkStart w:id="10654" w:name="_Toc530504571"/>
      <w:bookmarkStart w:id="10655" w:name="_Toc530514422"/>
      <w:bookmarkStart w:id="10656" w:name="_Toc530514525"/>
      <w:bookmarkStart w:id="10657" w:name="_Toc530521974"/>
      <w:bookmarkStart w:id="10658" w:name="_Toc530525049"/>
      <w:bookmarkStart w:id="10659" w:name="_Toc530551196"/>
      <w:bookmarkStart w:id="10660" w:name="_Toc19435706"/>
      <w:bookmarkStart w:id="10661" w:name="_Toc20080974"/>
      <w:bookmarkStart w:id="10662" w:name="_Toc530147725"/>
      <w:bookmarkStart w:id="10663" w:name="_Toc530148053"/>
      <w:bookmarkStart w:id="10664" w:name="_Toc530348997"/>
      <w:bookmarkStart w:id="10665" w:name="_Toc530395888"/>
      <w:bookmarkStart w:id="10666" w:name="_Toc530411093"/>
      <w:bookmarkStart w:id="10667" w:name="_Toc530083926"/>
      <w:bookmarkStart w:id="10668" w:name="_Toc530083962"/>
      <w:r>
        <w:rPr>
          <w:rFonts w:hint="cs"/>
          <w:rtl/>
        </w:rPr>
        <w:t>בדברי הש"ש דבנפשות לא אזלינן בתר רוב</w:t>
      </w:r>
      <w:bookmarkEnd w:id="10651"/>
      <w:bookmarkEnd w:id="10652"/>
      <w:bookmarkEnd w:id="10653"/>
      <w:bookmarkEnd w:id="10654"/>
      <w:bookmarkEnd w:id="10655"/>
      <w:bookmarkEnd w:id="10656"/>
      <w:bookmarkEnd w:id="10657"/>
      <w:bookmarkEnd w:id="10658"/>
      <w:bookmarkEnd w:id="10659"/>
      <w:bookmarkEnd w:id="10660"/>
      <w:bookmarkEnd w:id="10661"/>
    </w:p>
    <w:p w14:paraId="52B8ED8E" w14:textId="77777777" w:rsidR="00FF73EE" w:rsidRDefault="00FF73EE" w:rsidP="00BF39B2">
      <w:pPr>
        <w:pStyle w:val="1"/>
        <w:rPr>
          <w:rtl/>
        </w:rPr>
      </w:pPr>
      <w:bookmarkStart w:id="10669" w:name="_Toc530525050"/>
      <w:bookmarkStart w:id="10670" w:name="_Toc530476238"/>
      <w:bookmarkStart w:id="10671" w:name="_Toc530477186"/>
      <w:bookmarkStart w:id="10672" w:name="_Toc530503037"/>
      <w:bookmarkStart w:id="10673" w:name="_Toc530504572"/>
      <w:bookmarkStart w:id="10674" w:name="_Toc530514423"/>
      <w:bookmarkStart w:id="10675" w:name="_Toc530514526"/>
      <w:bookmarkStart w:id="10676" w:name="_Toc530521975"/>
      <w:bookmarkStart w:id="10677" w:name="_Toc530551197"/>
      <w:bookmarkStart w:id="10678" w:name="_Toc19390388"/>
      <w:bookmarkStart w:id="10679" w:name="_Toc19393885"/>
      <w:r>
        <w:rPr>
          <w:rFonts w:hint="cs"/>
          <w:rtl/>
        </w:rPr>
        <w:t>ביאור</w:t>
      </w:r>
      <w:r w:rsidRPr="008E275B">
        <w:rPr>
          <w:rFonts w:hint="cs"/>
          <w:rtl/>
        </w:rPr>
        <w:t xml:space="preserve"> השער"י</w:t>
      </w:r>
      <w:bookmarkEnd w:id="10669"/>
      <w:r w:rsidRPr="008E275B">
        <w:rPr>
          <w:rFonts w:hint="cs"/>
          <w:rtl/>
        </w:rPr>
        <w:t xml:space="preserve"> </w:t>
      </w:r>
      <w:bookmarkEnd w:id="10662"/>
      <w:bookmarkEnd w:id="10663"/>
      <w:bookmarkEnd w:id="10664"/>
      <w:bookmarkEnd w:id="10665"/>
      <w:bookmarkEnd w:id="10666"/>
      <w:bookmarkEnd w:id="10670"/>
      <w:bookmarkEnd w:id="10671"/>
      <w:bookmarkEnd w:id="10672"/>
      <w:bookmarkEnd w:id="10673"/>
      <w:bookmarkEnd w:id="10674"/>
      <w:bookmarkEnd w:id="10675"/>
      <w:bookmarkEnd w:id="10676"/>
      <w:r>
        <w:rPr>
          <w:rFonts w:hint="cs"/>
          <w:rtl/>
        </w:rPr>
        <w:t>בחילוק בין הוחזק לרוב ולסוקלין על החזקות</w:t>
      </w:r>
      <w:bookmarkEnd w:id="10677"/>
      <w:bookmarkEnd w:id="10678"/>
      <w:bookmarkEnd w:id="10679"/>
    </w:p>
    <w:p w14:paraId="1B7E3D20" w14:textId="77777777" w:rsidR="00FF73EE" w:rsidRDefault="00FF73EE" w:rsidP="006D6D32">
      <w:pPr>
        <w:pStyle w:val="a3"/>
        <w:rPr>
          <w:rtl/>
        </w:rPr>
      </w:pPr>
      <w:bookmarkStart w:id="10680" w:name="_Toc530525051"/>
      <w:bookmarkStart w:id="10681" w:name="_Toc530551198"/>
      <w:bookmarkStart w:id="10682" w:name="_Toc19390389"/>
      <w:bookmarkStart w:id="10683" w:name="_Toc19393886"/>
      <w:r>
        <w:rPr>
          <w:rFonts w:hint="cs"/>
          <w:rtl/>
        </w:rPr>
        <w:t>קושיות השער"י על הש"ש דבגמ' בסנהדרין וברמב"ם מבואר דלא מהני הוחזק עפ"י רוב בנפשות</w:t>
      </w:r>
      <w:bookmarkEnd w:id="10680"/>
      <w:bookmarkEnd w:id="10681"/>
      <w:bookmarkEnd w:id="10682"/>
      <w:bookmarkEnd w:id="10683"/>
    </w:p>
    <w:p w14:paraId="54FBB49D" w14:textId="77777777" w:rsidR="00FF73EE" w:rsidRDefault="00FF73EE" w:rsidP="00223668">
      <w:pPr>
        <w:pStyle w:val="a0"/>
        <w:rPr>
          <w:rtl/>
        </w:rPr>
      </w:pPr>
      <w:bookmarkStart w:id="10684" w:name="_Ref530128427"/>
      <w:r>
        <w:rPr>
          <w:rFonts w:hint="cs"/>
          <w:rtl/>
        </w:rPr>
        <w:t xml:space="preserve">הביא </w:t>
      </w:r>
      <w:r w:rsidRPr="00461760">
        <w:rPr>
          <w:rStyle w:val="af9"/>
          <w:rFonts w:hint="cs"/>
          <w:rtl/>
        </w:rPr>
        <w:t>השער"י</w:t>
      </w:r>
      <w:r>
        <w:rPr>
          <w:rFonts w:hint="cs"/>
          <w:rtl/>
        </w:rPr>
        <w:t xml:space="preserve"> </w:t>
      </w:r>
      <w:r w:rsidRPr="00461760">
        <w:rPr>
          <w:rStyle w:val="af7"/>
          <w:rFonts w:eastAsia="Guttman Hodes" w:hint="cs"/>
          <w:rtl/>
        </w:rPr>
        <w:t>(ש"ג פ"א ד"ה ובספר ש"ש)</w:t>
      </w:r>
      <w:r>
        <w:rPr>
          <w:rFonts w:hint="cs"/>
          <w:rtl/>
        </w:rPr>
        <w:t xml:space="preserve"> את דברי </w:t>
      </w:r>
      <w:r w:rsidRPr="00461760">
        <w:rPr>
          <w:rStyle w:val="af9"/>
          <w:rFonts w:hint="cs"/>
          <w:rtl/>
        </w:rPr>
        <w:t>הש"ש</w:t>
      </w:r>
      <w:r>
        <w:rPr>
          <w:rFonts w:hint="cs"/>
          <w:rtl/>
        </w:rPr>
        <w:t xml:space="preserve"> </w:t>
      </w:r>
      <w:r w:rsidRPr="00461760">
        <w:rPr>
          <w:rStyle w:val="af7"/>
          <w:rFonts w:eastAsia="Guttman Hodes" w:hint="cs"/>
          <w:rtl/>
        </w:rPr>
        <w:t xml:space="preserve">(עי' אות </w:t>
      </w:r>
      <w:r w:rsidRPr="00461760">
        <w:rPr>
          <w:rStyle w:val="af7"/>
          <w:rFonts w:eastAsia="Guttman Hodes"/>
          <w:rtl/>
        </w:rPr>
        <w:fldChar w:fldCharType="begin"/>
      </w:r>
      <w:r w:rsidRPr="00461760">
        <w:rPr>
          <w:rStyle w:val="af7"/>
          <w:rFonts w:eastAsia="Guttman Hodes"/>
          <w:rtl/>
        </w:rPr>
        <w:instrText xml:space="preserve"> </w:instrText>
      </w:r>
      <w:r w:rsidRPr="00461760">
        <w:rPr>
          <w:rStyle w:val="af7"/>
          <w:rFonts w:eastAsia="Guttman Hodes" w:hint="cs"/>
        </w:rPr>
        <w:instrText>REF</w:instrText>
      </w:r>
      <w:r w:rsidRPr="00461760">
        <w:rPr>
          <w:rStyle w:val="af7"/>
          <w:rFonts w:eastAsia="Guttman Hodes" w:hint="cs"/>
          <w:rtl/>
        </w:rPr>
        <w:instrText xml:space="preserve"> _</w:instrText>
      </w:r>
      <w:r w:rsidRPr="00461760">
        <w:rPr>
          <w:rStyle w:val="af7"/>
          <w:rFonts w:eastAsia="Guttman Hodes" w:hint="cs"/>
        </w:rPr>
        <w:instrText>Ref530083018 \r \h</w:instrText>
      </w:r>
      <w:r w:rsidRPr="00461760">
        <w:rPr>
          <w:rStyle w:val="af7"/>
          <w:rFonts w:eastAsia="Guttman Hodes"/>
          <w:rtl/>
        </w:rPr>
        <w:instrText xml:space="preserve"> </w:instrText>
      </w:r>
      <w:r w:rsidRPr="00461760">
        <w:rPr>
          <w:rStyle w:val="af7"/>
          <w:rFonts w:eastAsia="Guttman Hodes"/>
          <w:rtl/>
        </w:rPr>
      </w:r>
      <w:r w:rsidRPr="00461760">
        <w:rPr>
          <w:rStyle w:val="af7"/>
          <w:rFonts w:eastAsia="Guttman Hodes"/>
          <w:rtl/>
        </w:rPr>
        <w:fldChar w:fldCharType="separate"/>
      </w:r>
      <w:r w:rsidR="00345400">
        <w:rPr>
          <w:rStyle w:val="af7"/>
          <w:rFonts w:eastAsia="Guttman Hodes"/>
          <w:cs/>
        </w:rPr>
        <w:t>‎</w:t>
      </w:r>
      <w:r w:rsidR="00345400">
        <w:rPr>
          <w:rStyle w:val="af7"/>
          <w:rFonts w:eastAsia="Guttman Hodes"/>
          <w:rtl/>
        </w:rPr>
        <w:t>מו)</w:t>
      </w:r>
      <w:r w:rsidRPr="00461760">
        <w:rPr>
          <w:rStyle w:val="af7"/>
          <w:rFonts w:eastAsia="Guttman Hodes"/>
          <w:rtl/>
        </w:rPr>
        <w:fldChar w:fldCharType="end"/>
      </w:r>
      <w:r>
        <w:rPr>
          <w:rFonts w:hint="cs"/>
          <w:rtl/>
        </w:rPr>
        <w:t xml:space="preserve"> דכתב דבנפשות לא אזלינן בתר רובא כלל, וע"י הרוב הוקבע האיסור כמו בע"א דמחזיק איסור חלב, והאוכלו לוקה, וכן ברוב הוא מדין סוקלין על החזקות אחר שהוחזק  ע"י הרוב, והקשה  </w:t>
      </w:r>
      <w:r w:rsidRPr="00461760">
        <w:rPr>
          <w:rStyle w:val="af9"/>
          <w:rFonts w:hint="cs"/>
          <w:rtl/>
        </w:rPr>
        <w:t>השער"י</w:t>
      </w:r>
      <w:r>
        <w:rPr>
          <w:rFonts w:hint="cs"/>
          <w:rtl/>
        </w:rPr>
        <w:t xml:space="preserve"> דא"כ היאך פסק </w:t>
      </w:r>
      <w:r w:rsidRPr="00461760">
        <w:rPr>
          <w:rStyle w:val="af9"/>
          <w:rFonts w:hint="cs"/>
          <w:rtl/>
        </w:rPr>
        <w:t>הרמב"ם</w:t>
      </w:r>
      <w:r>
        <w:rPr>
          <w:rFonts w:hint="cs"/>
          <w:rtl/>
        </w:rPr>
        <w:t xml:space="preserve"> </w:t>
      </w:r>
      <w:r w:rsidRPr="00461760">
        <w:rPr>
          <w:rStyle w:val="af7"/>
          <w:rFonts w:eastAsia="Guttman Hodes" w:hint="cs"/>
          <w:rtl/>
        </w:rPr>
        <w:t xml:space="preserve">(עי' אות </w:t>
      </w:r>
      <w:r w:rsidRPr="00461760">
        <w:rPr>
          <w:rStyle w:val="af7"/>
          <w:rFonts w:eastAsia="Guttman Hodes"/>
          <w:rtl/>
        </w:rPr>
        <w:fldChar w:fldCharType="begin"/>
      </w:r>
      <w:r w:rsidRPr="00461760">
        <w:rPr>
          <w:rStyle w:val="af7"/>
          <w:rFonts w:eastAsia="Guttman Hodes"/>
          <w:rtl/>
        </w:rPr>
        <w:instrText xml:space="preserve"> </w:instrText>
      </w:r>
      <w:r w:rsidRPr="00461760">
        <w:rPr>
          <w:rStyle w:val="af7"/>
          <w:rFonts w:eastAsia="Guttman Hodes" w:hint="cs"/>
        </w:rPr>
        <w:instrText>REF</w:instrText>
      </w:r>
      <w:r w:rsidRPr="00461760">
        <w:rPr>
          <w:rStyle w:val="af7"/>
          <w:rFonts w:eastAsia="Guttman Hodes" w:hint="cs"/>
          <w:rtl/>
        </w:rPr>
        <w:instrText xml:space="preserve"> _</w:instrText>
      </w:r>
      <w:r w:rsidRPr="00461760">
        <w:rPr>
          <w:rStyle w:val="af7"/>
          <w:rFonts w:eastAsia="Guttman Hodes" w:hint="cs"/>
        </w:rPr>
        <w:instrText>Ref530125498 \r \h</w:instrText>
      </w:r>
      <w:r w:rsidRPr="00461760">
        <w:rPr>
          <w:rStyle w:val="af7"/>
          <w:rFonts w:eastAsia="Guttman Hodes"/>
          <w:rtl/>
        </w:rPr>
        <w:instrText xml:space="preserve"> </w:instrText>
      </w:r>
      <w:r w:rsidRPr="00461760">
        <w:rPr>
          <w:rStyle w:val="af7"/>
          <w:rFonts w:eastAsia="Guttman Hodes"/>
          <w:rtl/>
        </w:rPr>
      </w:r>
      <w:r w:rsidRPr="00461760">
        <w:rPr>
          <w:rStyle w:val="af7"/>
          <w:rFonts w:eastAsia="Guttman Hodes"/>
          <w:rtl/>
        </w:rPr>
        <w:fldChar w:fldCharType="separate"/>
      </w:r>
      <w:r w:rsidR="00345400">
        <w:rPr>
          <w:rStyle w:val="af7"/>
          <w:rFonts w:eastAsia="Guttman Hodes"/>
          <w:cs/>
        </w:rPr>
        <w:t>‎</w:t>
      </w:r>
      <w:r w:rsidR="00345400">
        <w:rPr>
          <w:rStyle w:val="af7"/>
          <w:rFonts w:eastAsia="Guttman Hodes"/>
          <w:rtl/>
        </w:rPr>
        <w:t>עט)</w:t>
      </w:r>
      <w:r w:rsidRPr="00461760">
        <w:rPr>
          <w:rStyle w:val="af7"/>
          <w:rFonts w:eastAsia="Guttman Hodes"/>
          <w:rtl/>
        </w:rPr>
        <w:fldChar w:fldCharType="end"/>
      </w:r>
      <w:r>
        <w:rPr>
          <w:rFonts w:hint="cs"/>
          <w:rtl/>
        </w:rPr>
        <w:t xml:space="preserve"> דבתינוק שנמצא ברוב ישראל, דאשתו היא ספק א"א, והבא עליה אינו נהרג, הרי כבר הוחזק האיסור ע"י הרוב.</w:t>
      </w:r>
      <w:bookmarkStart w:id="10685" w:name="_Ref530412244"/>
      <w:bookmarkEnd w:id="10684"/>
      <w:r>
        <w:rPr>
          <w:rFonts w:hint="cs"/>
          <w:rtl/>
        </w:rPr>
        <w:t xml:space="preserve"> ועוד הקשה </w:t>
      </w:r>
      <w:r w:rsidRPr="00461760">
        <w:rPr>
          <w:rStyle w:val="af9"/>
          <w:rFonts w:hint="cs"/>
          <w:rtl/>
        </w:rPr>
        <w:t>השער"י</w:t>
      </w:r>
      <w:r>
        <w:rPr>
          <w:rFonts w:hint="cs"/>
          <w:rtl/>
        </w:rPr>
        <w:t xml:space="preserve"> על </w:t>
      </w:r>
      <w:r w:rsidRPr="00461760">
        <w:rPr>
          <w:rStyle w:val="af9"/>
          <w:rFonts w:hint="cs"/>
          <w:rtl/>
        </w:rPr>
        <w:t>הש"ש</w:t>
      </w:r>
      <w:r>
        <w:rPr>
          <w:rFonts w:hint="cs"/>
          <w:rtl/>
        </w:rPr>
        <w:t xml:space="preserve"> דאי הרוב בדיני נפשות מהני מדין הוחזק, דא"כ הגמ' בסנהדרין </w:t>
      </w:r>
      <w:r w:rsidRPr="00461760">
        <w:rPr>
          <w:rStyle w:val="af7"/>
          <w:rFonts w:eastAsia="Guttman Hodes" w:hint="cs"/>
          <w:rtl/>
        </w:rPr>
        <w:t>(סט.)</w:t>
      </w:r>
      <w:r>
        <w:rPr>
          <w:rFonts w:hint="cs"/>
          <w:rtl/>
        </w:rPr>
        <w:t xml:space="preserve"> שדנה האם אזלינן בתר רובא בדיני נפשות, והיה לגמ' להביא את דברי רבי יוחנן דסוקלין על החזקות, דרק מחמת דין זה מהני הרוב, וכן בגמ' בקידושין </w:t>
      </w:r>
      <w:r w:rsidRPr="00461760">
        <w:rPr>
          <w:rStyle w:val="af7"/>
          <w:rFonts w:eastAsia="Guttman Hodes" w:hint="cs"/>
          <w:rtl/>
        </w:rPr>
        <w:t>(י.)</w:t>
      </w:r>
      <w:r>
        <w:rPr>
          <w:rFonts w:hint="cs"/>
          <w:rtl/>
        </w:rPr>
        <w:t xml:space="preserve"> בדין קטנה שנתקדשה דאזלינן בתר רובא שאינה איילונית וחייבין עליה מיתה מדין אשת איש, היה לה להביא את דין סוקלין על החזקות, ועי' במ"ש </w:t>
      </w:r>
      <w:r w:rsidRPr="00545D70">
        <w:rPr>
          <w:rStyle w:val="af9"/>
          <w:rFonts w:hint="cs"/>
          <w:rtl/>
        </w:rPr>
        <w:t>בשיעורי הגרש"ר</w:t>
      </w:r>
      <w:r>
        <w:rPr>
          <w:rFonts w:hint="cs"/>
          <w:rtl/>
        </w:rPr>
        <w:t xml:space="preserve"> </w:t>
      </w:r>
      <w:r w:rsidRPr="00545D70">
        <w:rPr>
          <w:rStyle w:val="af7"/>
          <w:rFonts w:eastAsia="Guttman Hodes" w:hint="cs"/>
          <w:rtl/>
        </w:rPr>
        <w:t xml:space="preserve">(עי' אות </w:t>
      </w:r>
      <w:r w:rsidRPr="00545D70">
        <w:rPr>
          <w:rStyle w:val="af7"/>
          <w:rFonts w:eastAsia="Guttman Hodes"/>
          <w:rtl/>
        </w:rPr>
        <w:fldChar w:fldCharType="begin"/>
      </w:r>
      <w:r w:rsidRPr="00545D70">
        <w:rPr>
          <w:rStyle w:val="af7"/>
          <w:rFonts w:eastAsia="Guttman Hodes"/>
          <w:rtl/>
        </w:rPr>
        <w:instrText xml:space="preserve"> </w:instrText>
      </w:r>
      <w:r w:rsidRPr="00545D70">
        <w:rPr>
          <w:rStyle w:val="af7"/>
          <w:rFonts w:eastAsia="Guttman Hodes" w:hint="cs"/>
        </w:rPr>
        <w:instrText>REF</w:instrText>
      </w:r>
      <w:r w:rsidRPr="00545D70">
        <w:rPr>
          <w:rStyle w:val="af7"/>
          <w:rFonts w:eastAsia="Guttman Hodes" w:hint="cs"/>
          <w:rtl/>
        </w:rPr>
        <w:instrText xml:space="preserve"> _</w:instrText>
      </w:r>
      <w:r w:rsidRPr="00545D70">
        <w:rPr>
          <w:rStyle w:val="af7"/>
          <w:rFonts w:eastAsia="Guttman Hodes" w:hint="cs"/>
        </w:rPr>
        <w:instrText>Ref530412306 \r \h</w:instrText>
      </w:r>
      <w:r w:rsidRPr="00545D70">
        <w:rPr>
          <w:rStyle w:val="af7"/>
          <w:rFonts w:eastAsia="Guttman Hodes"/>
          <w:rtl/>
        </w:rPr>
        <w:instrText xml:space="preserve"> </w:instrText>
      </w:r>
      <w:r w:rsidRPr="00545D70">
        <w:rPr>
          <w:rStyle w:val="af7"/>
          <w:rFonts w:eastAsia="Guttman Hodes"/>
          <w:rtl/>
        </w:rPr>
      </w:r>
      <w:r w:rsidRPr="00545D70">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sidRPr="00545D70">
        <w:rPr>
          <w:rStyle w:val="af7"/>
          <w:rFonts w:eastAsia="Guttman Hodes"/>
          <w:rtl/>
        </w:rPr>
        <w:fldChar w:fldCharType="end"/>
      </w:r>
      <w:r>
        <w:rPr>
          <w:rFonts w:hint="cs"/>
          <w:rtl/>
        </w:rPr>
        <w:t xml:space="preserve"> </w:t>
      </w:r>
      <w:r w:rsidRPr="00545D70">
        <w:rPr>
          <w:rStyle w:val="af9"/>
          <w:rFonts w:hint="cs"/>
          <w:rtl/>
        </w:rPr>
        <w:t>דבמאירי</w:t>
      </w:r>
      <w:r>
        <w:rPr>
          <w:rFonts w:hint="cs"/>
          <w:rtl/>
        </w:rPr>
        <w:t xml:space="preserve"> מבואר דלא </w:t>
      </w:r>
      <w:r w:rsidRPr="00545D70">
        <w:rPr>
          <w:rStyle w:val="af9"/>
          <w:rFonts w:hint="cs"/>
          <w:rtl/>
        </w:rPr>
        <w:t>כהשער"י</w:t>
      </w:r>
      <w:r>
        <w:rPr>
          <w:rFonts w:hint="cs"/>
          <w:rtl/>
        </w:rPr>
        <w:t>.</w:t>
      </w:r>
      <w:bookmarkEnd w:id="10685"/>
    </w:p>
    <w:p w14:paraId="574CC985" w14:textId="77777777" w:rsidR="00FF73EE" w:rsidRDefault="00FF73EE" w:rsidP="006D6D32">
      <w:pPr>
        <w:pStyle w:val="a3"/>
        <w:rPr>
          <w:rtl/>
        </w:rPr>
      </w:pPr>
      <w:bookmarkStart w:id="10686" w:name="_Toc530551199"/>
      <w:bookmarkStart w:id="10687" w:name="_Toc19390390"/>
      <w:bookmarkStart w:id="10688" w:name="_Toc19393887"/>
      <w:r>
        <w:rPr>
          <w:rFonts w:hint="cs"/>
          <w:rtl/>
        </w:rPr>
        <w:t>דברי השער"י דנאמנות של ע"א היא נאמנות גמורה וא"צ בירור נוסף לדיני נפשות</w:t>
      </w:r>
      <w:bookmarkEnd w:id="10686"/>
      <w:bookmarkEnd w:id="10687"/>
      <w:bookmarkEnd w:id="10688"/>
    </w:p>
    <w:p w14:paraId="37DBCF08" w14:textId="77777777" w:rsidR="00FF73EE" w:rsidRDefault="00FF73EE" w:rsidP="00223668">
      <w:pPr>
        <w:pStyle w:val="a0"/>
        <w:rPr>
          <w:rtl/>
        </w:rPr>
      </w:pPr>
      <w:r>
        <w:rPr>
          <w:rFonts w:hint="cs"/>
          <w:rtl/>
        </w:rPr>
        <w:t xml:space="preserve">אלא כתב </w:t>
      </w:r>
      <w:r w:rsidRPr="00207325">
        <w:rPr>
          <w:rStyle w:val="af9"/>
          <w:rFonts w:hint="cs"/>
          <w:rtl/>
        </w:rPr>
        <w:t xml:space="preserve">השער"י </w:t>
      </w:r>
      <w:r w:rsidRPr="00207325">
        <w:rPr>
          <w:rStyle w:val="af7"/>
          <w:rFonts w:eastAsia="Guttman Hodes" w:hint="cs"/>
          <w:rtl/>
        </w:rPr>
        <w:t>(ש"ג פ"א ד"ה ולענ"ד נראה ברור)</w:t>
      </w:r>
      <w:r>
        <w:rPr>
          <w:rFonts w:hint="cs"/>
          <w:rtl/>
        </w:rPr>
        <w:t xml:space="preserve"> דיש ג' דינים שונים, הא' הוחזק האיסור עפ"י ע"א, הב' סוקלין על החזקות, הג' דאזלינן בדיני נפשות בתר רוב. וביאר </w:t>
      </w:r>
      <w:r w:rsidRPr="001D3F1C">
        <w:rPr>
          <w:rStyle w:val="af9"/>
          <w:rFonts w:hint="cs"/>
          <w:rtl/>
        </w:rPr>
        <w:t>השער"י</w:t>
      </w:r>
      <w:r>
        <w:rPr>
          <w:rFonts w:hint="cs"/>
          <w:rtl/>
        </w:rPr>
        <w:t xml:space="preserve"> דהנאמנות של ע"א לאיסור היא נאמנות גמורה, ולכן לוקין ונהרגין על ידו, דכיון שיש עדות ברורה שזהו איסור, אם אח"כ יש מחמת איסור זה דיני נפשות, א"צ בירור נוסף וסגי בעדות שהעיד מתחילה, אלא שהוא נאמן רק על האיסור להבא, ואינו נאמן להלקות את מי שאכל חלב, כיון שהעדות שלו היא רק להחזיק איסור, ולא מהני לאיסור שנאכל כבר.</w:t>
      </w:r>
    </w:p>
    <w:p w14:paraId="06A225F9" w14:textId="77777777" w:rsidR="00FF73EE" w:rsidRDefault="00FF73EE" w:rsidP="006D6D32">
      <w:pPr>
        <w:pStyle w:val="a3"/>
        <w:rPr>
          <w:rtl/>
        </w:rPr>
      </w:pPr>
      <w:bookmarkStart w:id="10689" w:name="_Toc530551200"/>
      <w:bookmarkStart w:id="10690" w:name="_Toc19390391"/>
      <w:bookmarkStart w:id="10691" w:name="_Toc19393888"/>
      <w:r>
        <w:rPr>
          <w:rFonts w:hint="cs"/>
          <w:rtl/>
        </w:rPr>
        <w:t>דברי השער"י דרוב אינו מברר לדבר שאין בו דין רוב אף בנפסק דבר עפ"י הרוב</w:t>
      </w:r>
      <w:bookmarkEnd w:id="10689"/>
      <w:bookmarkEnd w:id="10690"/>
      <w:bookmarkEnd w:id="10691"/>
    </w:p>
    <w:p w14:paraId="1597808D" w14:textId="77777777" w:rsidR="00FF73EE" w:rsidRDefault="00FF73EE" w:rsidP="00223668">
      <w:pPr>
        <w:pStyle w:val="a0"/>
        <w:rPr>
          <w:rtl/>
        </w:rPr>
      </w:pPr>
      <w:r>
        <w:rPr>
          <w:rFonts w:hint="cs"/>
          <w:rtl/>
        </w:rPr>
        <w:t xml:space="preserve">אבל ברוב ביאר </w:t>
      </w:r>
      <w:r w:rsidRPr="00207325">
        <w:rPr>
          <w:rStyle w:val="af9"/>
          <w:rFonts w:hint="cs"/>
          <w:rtl/>
        </w:rPr>
        <w:t xml:space="preserve">השער"י </w:t>
      </w:r>
      <w:r>
        <w:rPr>
          <w:rFonts w:hint="cs"/>
          <w:rtl/>
        </w:rPr>
        <w:t>דלא שייך לומר שיש בירור גמור בדבר עפ"י הרוב, דגדר דין רוב הוא שאמרה תורה לנהוג כפי הרוב ולא לחוש למיעוט, אך דבר שהוחזק עפ"י רוב לא אמרה תורה שיהיה ברור כדין ודאי, ולכן בקטנה שנתקדשה, שיש מיעוט איילוניות שלא חל בהם קידושין, ואח"כ בא עליה אחר, שהוא נדון לענין נפשות, א"א לומר דכיון שנתברר מתחילה ע"י הרוב</w:t>
      </w:r>
      <w:r w:rsidRPr="00B53221">
        <w:rPr>
          <w:rFonts w:hint="cs"/>
          <w:rtl/>
        </w:rPr>
        <w:t xml:space="preserve"> </w:t>
      </w:r>
      <w:r>
        <w:rPr>
          <w:rFonts w:hint="cs"/>
          <w:rtl/>
        </w:rPr>
        <w:t xml:space="preserve">שהיא מקודשת, אף לדיני נפשות יש לה דין א"א, דכמו שמתחילה סמכנו על דין רוב, אף בנדון בנפשות צריך לסמוך על דין רוב, ואי לא מהני רוב לדיני נפשות, א"א לסמוך על הרוב בזה. ורק במקום שהייתה עדות שהיא א"א, כתב </w:t>
      </w:r>
      <w:r w:rsidRPr="0005327A">
        <w:rPr>
          <w:rStyle w:val="af9"/>
          <w:rFonts w:hint="cs"/>
          <w:rtl/>
        </w:rPr>
        <w:t>השער"י</w:t>
      </w:r>
      <w:r>
        <w:rPr>
          <w:rFonts w:hint="cs"/>
          <w:rtl/>
        </w:rPr>
        <w:t xml:space="preserve"> דכיון שע"י העדות הזו הוחזקה בודאי א"א, א"כ כשאח"כ בא עליה אחר מהני העדות לדיני נפשות, </w:t>
      </w:r>
      <w:r w:rsidRPr="0040208D">
        <w:rPr>
          <w:rStyle w:val="afb"/>
          <w:rFonts w:hint="cs"/>
          <w:rtl/>
        </w:rPr>
        <w:t>[כגון בעדות שלא היה בה דרישה וחקירה, דמהני להחזיק איסור א"א, ולא מהני לדיני נפשות],</w:t>
      </w:r>
      <w:r>
        <w:rPr>
          <w:rFonts w:hint="cs"/>
          <w:rtl/>
        </w:rPr>
        <w:t xml:space="preserve"> דכיון שהוחזקה א"א א"צ לקבל עדות נוספת לענין דיני נפשות, אבל רוב שאינו בתורת נאמנות, אלא דאמרה תורה לסמוך על הרוב לא שייך לומר שהוחזק הדין מכח הרוב.</w:t>
      </w:r>
    </w:p>
    <w:p w14:paraId="702B5273" w14:textId="77777777" w:rsidR="00FF73EE" w:rsidRDefault="00FF73EE" w:rsidP="006D6D32">
      <w:pPr>
        <w:pStyle w:val="a3"/>
        <w:rPr>
          <w:rtl/>
        </w:rPr>
      </w:pPr>
      <w:bookmarkStart w:id="10692" w:name="_Toc530551201"/>
      <w:bookmarkStart w:id="10693" w:name="_Toc19390392"/>
      <w:bookmarkStart w:id="10694" w:name="_Toc19393889"/>
      <w:r>
        <w:rPr>
          <w:rFonts w:hint="cs"/>
          <w:rtl/>
        </w:rPr>
        <w:t>דברי השער"י דדינא דסוקלין על החזקות הוא דין נאמנות ואינו שייך לדין רוב בנפשות</w:t>
      </w:r>
      <w:bookmarkEnd w:id="10692"/>
      <w:bookmarkEnd w:id="10693"/>
      <w:bookmarkEnd w:id="10694"/>
    </w:p>
    <w:p w14:paraId="4906EC94" w14:textId="77777777" w:rsidR="00FF73EE" w:rsidRDefault="00FF73EE" w:rsidP="00223668">
      <w:pPr>
        <w:pStyle w:val="a0"/>
        <w:rPr>
          <w:rtl/>
        </w:rPr>
      </w:pPr>
      <w:r>
        <w:rPr>
          <w:rFonts w:hint="cs"/>
          <w:rtl/>
        </w:rPr>
        <w:t xml:space="preserve">ובדין סוקלין על החזקות כתב </w:t>
      </w:r>
      <w:r w:rsidRPr="00C96840">
        <w:rPr>
          <w:rStyle w:val="af9"/>
          <w:rFonts w:hint="cs"/>
          <w:rtl/>
        </w:rPr>
        <w:t>השער"י</w:t>
      </w:r>
      <w:r>
        <w:rPr>
          <w:rFonts w:hint="cs"/>
          <w:rtl/>
        </w:rPr>
        <w:t xml:space="preserve"> דאינו שייך כלל לדין רובא דליתא קמן, דדינא דסוקלין על החזקות, הוא בדבר שנהגו כך, כתינוק ותינוקת שהגדילו כאח ואחות, וכהוחזקה נדה בשכנותיה, שאין חשד שמא עשו כן ברמאות ובשקר, ובזה אמרה תורה דסמכינן שהוחזקו כך בתורת ודאי, והוא כמו הנאמנות שנתנה תורה לעדים, דאף שיתכן שישקרו בעדות, מ"מ יש להם דין נאמנות. וכתב </w:t>
      </w:r>
      <w:r w:rsidRPr="00F02C49">
        <w:rPr>
          <w:rStyle w:val="af9"/>
          <w:rFonts w:hint="cs"/>
          <w:rtl/>
        </w:rPr>
        <w:t>השער"י</w:t>
      </w:r>
      <w:r>
        <w:rPr>
          <w:rFonts w:hint="cs"/>
          <w:rtl/>
        </w:rPr>
        <w:t xml:space="preserve"> דלפי"ז דינא דאין סוקלין על החזקות אינו שייך כלל לדין רוב בדיני נפשות, ברובא דליתא קמן, כקטנה שנתקדשה שלא חיישינן שהיא איילונית, דזהו רוב עפ"י דרכי הטבע, שרוב נשים אינם איילוניות, וכן רובא דאינשי דטעו בעיבורא דירחא דהביאה הגמ' בסנהדרין </w:t>
      </w:r>
      <w:r w:rsidRPr="00F02C49">
        <w:rPr>
          <w:rStyle w:val="af7"/>
          <w:rFonts w:eastAsia="Guttman Hodes" w:hint="cs"/>
          <w:rtl/>
        </w:rPr>
        <w:t>(סט.)</w:t>
      </w:r>
      <w:r>
        <w:rPr>
          <w:rFonts w:hint="cs"/>
          <w:rtl/>
        </w:rPr>
        <w:t xml:space="preserve"> לענין רוב בדיני נפשות, שהוא טבע האדם לטעות בזה, משא"כ בדין סוקלין על החזקות כהוחזקה נדה, דאינו טבע האדם, אלא היא עשתה כן ברצונה ובכוונתה, ובזה האמינתה תורה.</w:t>
      </w:r>
    </w:p>
    <w:p w14:paraId="29AECBB3" w14:textId="77777777" w:rsidR="00FF73EE" w:rsidRPr="005F1037" w:rsidRDefault="00FF73EE" w:rsidP="006D6D32">
      <w:pPr>
        <w:pStyle w:val="a3"/>
        <w:rPr>
          <w:rtl/>
        </w:rPr>
      </w:pPr>
    </w:p>
    <w:p w14:paraId="31C95504" w14:textId="77777777" w:rsidR="00FF73EE" w:rsidRPr="00B10421" w:rsidRDefault="00FF73EE" w:rsidP="00BF39B2">
      <w:pPr>
        <w:pStyle w:val="1"/>
        <w:rPr>
          <w:rtl/>
        </w:rPr>
      </w:pPr>
      <w:bookmarkStart w:id="10695" w:name="_Toc530147729"/>
      <w:bookmarkStart w:id="10696" w:name="_Toc530148057"/>
      <w:bookmarkStart w:id="10697" w:name="_Toc530349004"/>
      <w:bookmarkStart w:id="10698" w:name="_Toc530395895"/>
      <w:bookmarkStart w:id="10699" w:name="_Toc530411100"/>
      <w:bookmarkStart w:id="10700" w:name="_Toc530476240"/>
      <w:bookmarkStart w:id="10701" w:name="_Toc530477188"/>
      <w:bookmarkStart w:id="10702" w:name="_Toc530503039"/>
      <w:bookmarkStart w:id="10703" w:name="_Toc530504581"/>
      <w:bookmarkStart w:id="10704" w:name="_Toc530514425"/>
      <w:bookmarkStart w:id="10705" w:name="_Toc530514528"/>
      <w:bookmarkStart w:id="10706" w:name="_Toc530521977"/>
      <w:bookmarkStart w:id="10707" w:name="_Toc530525052"/>
      <w:bookmarkStart w:id="10708" w:name="_Toc530551202"/>
      <w:bookmarkStart w:id="10709" w:name="_Toc19390393"/>
      <w:bookmarkStart w:id="10710" w:name="_Toc19393890"/>
      <w:r>
        <w:rPr>
          <w:rFonts w:hint="cs"/>
          <w:rtl/>
        </w:rPr>
        <w:t>ביאור האבי עזרי דלא אזלינן בתר רובא בדיני נפשות כלל</w:t>
      </w:r>
      <w:bookmarkEnd w:id="10667"/>
      <w:bookmarkEnd w:id="10668"/>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p>
    <w:p w14:paraId="13CF3CC5" w14:textId="77777777" w:rsidR="00FF73EE" w:rsidRDefault="00FF73EE" w:rsidP="006D6D32">
      <w:pPr>
        <w:pStyle w:val="a3"/>
        <w:rPr>
          <w:rtl/>
        </w:rPr>
      </w:pPr>
      <w:bookmarkStart w:id="10711" w:name="_Toc530551203"/>
      <w:bookmarkStart w:id="10712" w:name="_Toc19390394"/>
      <w:bookmarkStart w:id="10713" w:name="_Toc19393891"/>
      <w:r>
        <w:rPr>
          <w:rFonts w:hint="cs"/>
          <w:rtl/>
        </w:rPr>
        <w:t>קושית האבי עזרי על הש"ש דברמב"ם מבואר דאף בהוקבע הדין עפ"י רוב לא מהני לנפשות</w:t>
      </w:r>
      <w:bookmarkEnd w:id="10711"/>
      <w:bookmarkEnd w:id="10712"/>
      <w:bookmarkEnd w:id="10713"/>
    </w:p>
    <w:p w14:paraId="105AFB88" w14:textId="77777777" w:rsidR="00FF73EE" w:rsidRDefault="00FF73EE" w:rsidP="00223668">
      <w:pPr>
        <w:pStyle w:val="a0"/>
        <w:rPr>
          <w:rtl/>
        </w:rPr>
      </w:pPr>
      <w:bookmarkStart w:id="10714" w:name="_Ref530128452"/>
      <w:r w:rsidRPr="00E22011">
        <w:rPr>
          <w:rStyle w:val="af9"/>
          <w:rFonts w:hint="cs"/>
          <w:rtl/>
        </w:rPr>
        <w:t>באבי עזרי</w:t>
      </w:r>
      <w:r>
        <w:rPr>
          <w:rFonts w:hint="cs"/>
          <w:rtl/>
        </w:rPr>
        <w:t xml:space="preserve"> </w:t>
      </w:r>
      <w:r w:rsidRPr="002705B5">
        <w:rPr>
          <w:rStyle w:val="af7"/>
          <w:rFonts w:eastAsia="Guttman Hodes" w:hint="cs"/>
          <w:rtl/>
        </w:rPr>
        <w:t xml:space="preserve">(איסו"ב פט"ו הכ"ז ד"ה והנה הש"ש) </w:t>
      </w:r>
      <w:r>
        <w:rPr>
          <w:rFonts w:hint="cs"/>
          <w:rtl/>
        </w:rPr>
        <w:t xml:space="preserve">הקשה על </w:t>
      </w:r>
      <w:r w:rsidRPr="00E22011">
        <w:rPr>
          <w:rStyle w:val="af9"/>
          <w:rFonts w:hint="cs"/>
          <w:rtl/>
        </w:rPr>
        <w:t>הש"ש</w:t>
      </w:r>
      <w:r>
        <w:rPr>
          <w:rFonts w:hint="cs"/>
          <w:rtl/>
        </w:rPr>
        <w:t xml:space="preserve"> </w:t>
      </w:r>
      <w:r w:rsidRPr="002705B5">
        <w:rPr>
          <w:rStyle w:val="af7"/>
          <w:rFonts w:eastAsia="Guttman Hodes" w:hint="cs"/>
          <w:rtl/>
        </w:rPr>
        <w:t xml:space="preserve">(עי' אות </w:t>
      </w:r>
      <w:r w:rsidRPr="002705B5">
        <w:rPr>
          <w:rStyle w:val="af7"/>
          <w:rFonts w:eastAsia="Guttman Hodes"/>
          <w:rtl/>
        </w:rPr>
        <w:fldChar w:fldCharType="begin"/>
      </w:r>
      <w:r w:rsidRPr="002705B5">
        <w:rPr>
          <w:rStyle w:val="af7"/>
          <w:rFonts w:eastAsia="Guttman Hodes"/>
          <w:rtl/>
        </w:rPr>
        <w:instrText xml:space="preserve"> </w:instrText>
      </w:r>
      <w:r w:rsidRPr="002705B5">
        <w:rPr>
          <w:rStyle w:val="af7"/>
          <w:rFonts w:eastAsia="Guttman Hodes" w:hint="cs"/>
        </w:rPr>
        <w:instrText>REF</w:instrText>
      </w:r>
      <w:r w:rsidRPr="002705B5">
        <w:rPr>
          <w:rStyle w:val="af7"/>
          <w:rFonts w:eastAsia="Guttman Hodes" w:hint="cs"/>
          <w:rtl/>
        </w:rPr>
        <w:instrText xml:space="preserve"> _</w:instrText>
      </w:r>
      <w:r w:rsidRPr="002705B5">
        <w:rPr>
          <w:rStyle w:val="af7"/>
          <w:rFonts w:eastAsia="Guttman Hodes" w:hint="cs"/>
        </w:rPr>
        <w:instrText>Ref530083018 \r \h</w:instrText>
      </w:r>
      <w:r w:rsidRPr="002705B5">
        <w:rPr>
          <w:rStyle w:val="af7"/>
          <w:rFonts w:eastAsia="Guttman Hodes"/>
          <w:rtl/>
        </w:rPr>
        <w:instrText xml:space="preserve"> </w:instrText>
      </w:r>
      <w:r w:rsidRPr="002705B5">
        <w:rPr>
          <w:rStyle w:val="af7"/>
          <w:rFonts w:eastAsia="Guttman Hodes"/>
          <w:rtl/>
        </w:rPr>
      </w:r>
      <w:r w:rsidRPr="002705B5">
        <w:rPr>
          <w:rStyle w:val="af7"/>
          <w:rFonts w:eastAsia="Guttman Hodes"/>
          <w:rtl/>
        </w:rPr>
        <w:fldChar w:fldCharType="separate"/>
      </w:r>
      <w:r w:rsidR="00345400">
        <w:rPr>
          <w:rStyle w:val="af7"/>
          <w:rFonts w:eastAsia="Guttman Hodes"/>
          <w:cs/>
        </w:rPr>
        <w:t>‎</w:t>
      </w:r>
      <w:r w:rsidR="00345400">
        <w:rPr>
          <w:rStyle w:val="af7"/>
          <w:rFonts w:eastAsia="Guttman Hodes"/>
          <w:rtl/>
        </w:rPr>
        <w:t>מו)</w:t>
      </w:r>
      <w:r w:rsidRPr="002705B5">
        <w:rPr>
          <w:rStyle w:val="af7"/>
          <w:rFonts w:eastAsia="Guttman Hodes"/>
          <w:rtl/>
        </w:rPr>
        <w:fldChar w:fldCharType="end"/>
      </w:r>
      <w:r>
        <w:rPr>
          <w:rFonts w:hint="cs"/>
          <w:rtl/>
        </w:rPr>
        <w:t xml:space="preserve"> דכתב דבדיני נפשות אין כח ברוב עצמו להרוג, אלא דע"י שהוקבע האיסור מכח הרוב הורגין, דהא </w:t>
      </w:r>
      <w:r w:rsidRPr="00E22011">
        <w:rPr>
          <w:rStyle w:val="af9"/>
          <w:rFonts w:hint="cs"/>
          <w:rtl/>
        </w:rPr>
        <w:t>ברמב"ם</w:t>
      </w:r>
      <w:r>
        <w:rPr>
          <w:rFonts w:hint="cs"/>
          <w:rtl/>
        </w:rPr>
        <w:t xml:space="preserve"> מבואר דאף במקום שהרוב בא לפני המעשה, והוקבע הדין עפ"י הרוב לשאר דברים, אפ"ה אין הורגין עפ"י הרוב, עיי"ש בדבריו.</w:t>
      </w:r>
      <w:bookmarkEnd w:id="10714"/>
      <w:r>
        <w:rPr>
          <w:rFonts w:hint="cs"/>
          <w:rtl/>
        </w:rPr>
        <w:t xml:space="preserve"> ועוד הקשה </w:t>
      </w:r>
      <w:r w:rsidRPr="00E22011">
        <w:rPr>
          <w:rStyle w:val="af9"/>
          <w:rFonts w:hint="cs"/>
          <w:rtl/>
        </w:rPr>
        <w:t>האבי עזרי</w:t>
      </w:r>
      <w:r>
        <w:rPr>
          <w:rFonts w:hint="cs"/>
          <w:rtl/>
        </w:rPr>
        <w:t xml:space="preserve"> </w:t>
      </w:r>
      <w:r w:rsidRPr="002705B5">
        <w:rPr>
          <w:rStyle w:val="af7"/>
          <w:rFonts w:eastAsia="Guttman Hodes" w:hint="cs"/>
          <w:rtl/>
        </w:rPr>
        <w:t xml:space="preserve">(איסו"ב פט"ו הכ"ז ד"ה והנה בספר) </w:t>
      </w:r>
      <w:r>
        <w:rPr>
          <w:rFonts w:hint="cs"/>
          <w:rtl/>
        </w:rPr>
        <w:t xml:space="preserve">על </w:t>
      </w:r>
      <w:r w:rsidRPr="003A0E16">
        <w:rPr>
          <w:rStyle w:val="af9"/>
          <w:rFonts w:hint="cs"/>
          <w:rtl/>
        </w:rPr>
        <w:t>הש"ש</w:t>
      </w:r>
      <w:r>
        <w:rPr>
          <w:rFonts w:hint="cs"/>
          <w:rtl/>
        </w:rPr>
        <w:t xml:space="preserve"> דבדין דהוחזק בע"א אין הכוונה שאין נאמנות לע"א לענין מלקות, ונאמן רק לאיסורים, ואחר שהוחזק האיסור ממילא לוקה, אלא דבעדות על איסור יש נאמנות לע"א אף למלקות, משא"כ ברוב דאין לו כח לענין נפשות כלל, וכעי"ז כתב </w:t>
      </w:r>
      <w:r w:rsidRPr="00974D8E">
        <w:rPr>
          <w:rStyle w:val="af9"/>
          <w:rFonts w:hint="cs"/>
          <w:rtl/>
        </w:rPr>
        <w:t>בשיעורי הגרש"ר</w:t>
      </w:r>
      <w:r>
        <w:rPr>
          <w:rFonts w:hint="cs"/>
          <w:rtl/>
        </w:rPr>
        <w:t xml:space="preserve"> </w:t>
      </w:r>
      <w:r w:rsidRPr="002705B5">
        <w:rPr>
          <w:rStyle w:val="af7"/>
          <w:rFonts w:eastAsia="Guttman Hodes" w:hint="cs"/>
          <w:rtl/>
        </w:rPr>
        <w:t xml:space="preserve">(עי' אות </w:t>
      </w:r>
      <w:r w:rsidRPr="002705B5">
        <w:rPr>
          <w:rStyle w:val="af7"/>
          <w:rFonts w:eastAsia="Guttman Hodes"/>
          <w:rtl/>
        </w:rPr>
        <w:fldChar w:fldCharType="begin"/>
      </w:r>
      <w:r w:rsidRPr="002705B5">
        <w:rPr>
          <w:rStyle w:val="af7"/>
          <w:rFonts w:eastAsia="Guttman Hodes"/>
          <w:rtl/>
        </w:rPr>
        <w:instrText xml:space="preserve"> </w:instrText>
      </w:r>
      <w:r w:rsidRPr="002705B5">
        <w:rPr>
          <w:rStyle w:val="af7"/>
          <w:rFonts w:eastAsia="Guttman Hodes" w:hint="cs"/>
        </w:rPr>
        <w:instrText>REF</w:instrText>
      </w:r>
      <w:r w:rsidRPr="002705B5">
        <w:rPr>
          <w:rStyle w:val="af7"/>
          <w:rFonts w:eastAsia="Guttman Hodes" w:hint="cs"/>
          <w:rtl/>
        </w:rPr>
        <w:instrText xml:space="preserve"> _</w:instrText>
      </w:r>
      <w:r w:rsidRPr="002705B5">
        <w:rPr>
          <w:rStyle w:val="af7"/>
          <w:rFonts w:eastAsia="Guttman Hodes" w:hint="cs"/>
        </w:rPr>
        <w:instrText>Ref530341560 \r \h</w:instrText>
      </w:r>
      <w:r w:rsidRPr="002705B5">
        <w:rPr>
          <w:rStyle w:val="af7"/>
          <w:rFonts w:eastAsia="Guttman Hodes"/>
          <w:rtl/>
        </w:rPr>
        <w:instrText xml:space="preserve"> </w:instrText>
      </w:r>
      <w:r w:rsidRPr="002705B5">
        <w:rPr>
          <w:rStyle w:val="af7"/>
          <w:rFonts w:eastAsia="Guttman Hodes"/>
          <w:rtl/>
        </w:rPr>
      </w:r>
      <w:r w:rsidRPr="002705B5">
        <w:rPr>
          <w:rStyle w:val="af7"/>
          <w:rFonts w:eastAsia="Guttman Hodes"/>
          <w:rtl/>
        </w:rPr>
        <w:fldChar w:fldCharType="separate"/>
      </w:r>
      <w:r w:rsidR="00345400">
        <w:rPr>
          <w:rStyle w:val="af7"/>
          <w:rFonts w:eastAsia="Guttman Hodes"/>
          <w:cs/>
        </w:rPr>
        <w:t>‎</w:t>
      </w:r>
      <w:r w:rsidR="00345400">
        <w:rPr>
          <w:rStyle w:val="af7"/>
          <w:rFonts w:eastAsia="Guttman Hodes"/>
          <w:rtl/>
        </w:rPr>
        <w:t>קד)</w:t>
      </w:r>
      <w:r w:rsidRPr="002705B5">
        <w:rPr>
          <w:rStyle w:val="af7"/>
          <w:rFonts w:eastAsia="Guttman Hodes"/>
          <w:rtl/>
        </w:rPr>
        <w:fldChar w:fldCharType="end"/>
      </w:r>
      <w:r>
        <w:rPr>
          <w:rFonts w:hint="cs"/>
          <w:rtl/>
        </w:rPr>
        <w:t>.</w:t>
      </w:r>
    </w:p>
    <w:p w14:paraId="0D703919" w14:textId="77777777" w:rsidR="00FF73EE" w:rsidRDefault="00FF73EE" w:rsidP="006D6D32">
      <w:pPr>
        <w:pStyle w:val="a3"/>
        <w:rPr>
          <w:rtl/>
        </w:rPr>
      </w:pPr>
      <w:bookmarkStart w:id="10715" w:name="_Toc530551204"/>
      <w:bookmarkStart w:id="10716" w:name="_Toc19390395"/>
      <w:bookmarkStart w:id="10717" w:name="_Toc19393892"/>
      <w:r>
        <w:rPr>
          <w:rFonts w:hint="cs"/>
          <w:rtl/>
        </w:rPr>
        <w:t>ביאור האבי עזרי דבנפשות מהני רוב במקום דלא אפשר או בנדון במה דיברה תורה</w:t>
      </w:r>
      <w:bookmarkEnd w:id="10715"/>
      <w:bookmarkEnd w:id="10716"/>
      <w:bookmarkEnd w:id="10717"/>
    </w:p>
    <w:p w14:paraId="254B1966" w14:textId="77777777" w:rsidR="00FF73EE" w:rsidRDefault="00FF73EE" w:rsidP="00223668">
      <w:pPr>
        <w:pStyle w:val="a0"/>
        <w:rPr>
          <w:rtl/>
        </w:rPr>
      </w:pPr>
      <w:r>
        <w:rPr>
          <w:rFonts w:hint="cs"/>
          <w:rtl/>
        </w:rPr>
        <w:t xml:space="preserve">ובהא דאיתא בסוגיין דבדיני נפשות אזלינן בתר רובא ביאר </w:t>
      </w:r>
      <w:r w:rsidRPr="00E22011">
        <w:rPr>
          <w:rStyle w:val="af9"/>
          <w:rFonts w:hint="cs"/>
          <w:rtl/>
        </w:rPr>
        <w:t>האבי עזרי</w:t>
      </w:r>
      <w:r>
        <w:rPr>
          <w:rFonts w:hint="cs"/>
          <w:rtl/>
        </w:rPr>
        <w:t xml:space="preserve"> </w:t>
      </w:r>
      <w:r w:rsidRPr="003A0E16">
        <w:rPr>
          <w:rStyle w:val="af7"/>
          <w:rFonts w:eastAsia="Guttman Hodes" w:hint="cs"/>
          <w:rtl/>
        </w:rPr>
        <w:t xml:space="preserve">(איסו"ב פט"ו הכ"ז ד"ה אולם) </w:t>
      </w:r>
      <w:r>
        <w:rPr>
          <w:rFonts w:hint="cs"/>
          <w:rtl/>
        </w:rPr>
        <w:t xml:space="preserve">דהיינו דוקא כיון דלא אפשר, וכדכתב </w:t>
      </w:r>
      <w:r w:rsidRPr="00E22011">
        <w:rPr>
          <w:rStyle w:val="af9"/>
          <w:rFonts w:hint="cs"/>
          <w:rtl/>
        </w:rPr>
        <w:t>הר"ן בסנהדרין</w:t>
      </w:r>
      <w:r>
        <w:rPr>
          <w:rFonts w:hint="cs"/>
          <w:rtl/>
        </w:rPr>
        <w:t xml:space="preserve"> </w:t>
      </w:r>
      <w:r w:rsidRPr="003A0E16">
        <w:rPr>
          <w:rStyle w:val="af7"/>
          <w:rFonts w:eastAsia="Guttman Hodes" w:hint="cs"/>
          <w:rtl/>
        </w:rPr>
        <w:t xml:space="preserve">(עי' אות </w:t>
      </w:r>
      <w:r w:rsidRPr="003A0E16">
        <w:rPr>
          <w:rStyle w:val="af7"/>
          <w:rFonts w:eastAsia="Guttman Hodes"/>
          <w:rtl/>
        </w:rPr>
        <w:fldChar w:fldCharType="begin"/>
      </w:r>
      <w:r w:rsidRPr="003A0E16">
        <w:rPr>
          <w:rStyle w:val="af7"/>
          <w:rFonts w:eastAsia="Guttman Hodes"/>
          <w:rtl/>
        </w:rPr>
        <w:instrText xml:space="preserve"> </w:instrText>
      </w:r>
      <w:r w:rsidRPr="003A0E16">
        <w:rPr>
          <w:rStyle w:val="af7"/>
          <w:rFonts w:eastAsia="Guttman Hodes" w:hint="cs"/>
        </w:rPr>
        <w:instrText>REF</w:instrText>
      </w:r>
      <w:r w:rsidRPr="003A0E16">
        <w:rPr>
          <w:rStyle w:val="af7"/>
          <w:rFonts w:eastAsia="Guttman Hodes" w:hint="cs"/>
          <w:rtl/>
        </w:rPr>
        <w:instrText xml:space="preserve"> _</w:instrText>
      </w:r>
      <w:r w:rsidRPr="003A0E16">
        <w:rPr>
          <w:rStyle w:val="af7"/>
          <w:rFonts w:eastAsia="Guttman Hodes" w:hint="cs"/>
        </w:rPr>
        <w:instrText>Ref530083079 \r \h</w:instrText>
      </w:r>
      <w:r w:rsidRPr="003A0E16">
        <w:rPr>
          <w:rStyle w:val="af7"/>
          <w:rFonts w:eastAsia="Guttman Hodes"/>
          <w:rtl/>
        </w:rPr>
        <w:instrText xml:space="preserve"> </w:instrText>
      </w:r>
      <w:r w:rsidRPr="003A0E16">
        <w:rPr>
          <w:rStyle w:val="af7"/>
          <w:rFonts w:eastAsia="Guttman Hodes"/>
          <w:rtl/>
        </w:rPr>
      </w:r>
      <w:r w:rsidRPr="003A0E16">
        <w:rPr>
          <w:rStyle w:val="af7"/>
          <w:rFonts w:eastAsia="Guttman Hodes"/>
          <w:rtl/>
        </w:rPr>
        <w:fldChar w:fldCharType="separate"/>
      </w:r>
      <w:r w:rsidR="00345400">
        <w:rPr>
          <w:rStyle w:val="af7"/>
          <w:rFonts w:eastAsia="Guttman Hodes"/>
          <w:cs/>
        </w:rPr>
        <w:t>‎</w:t>
      </w:r>
      <w:r w:rsidR="00345400">
        <w:rPr>
          <w:rStyle w:val="af7"/>
          <w:rFonts w:eastAsia="Guttman Hodes"/>
          <w:rtl/>
        </w:rPr>
        <w:t>כט)</w:t>
      </w:r>
      <w:r w:rsidRPr="003A0E16">
        <w:rPr>
          <w:rStyle w:val="af7"/>
          <w:rFonts w:eastAsia="Guttman Hodes"/>
          <w:rtl/>
        </w:rPr>
        <w:fldChar w:fldCharType="end"/>
      </w:r>
      <w:r>
        <w:rPr>
          <w:rFonts w:hint="cs"/>
          <w:rtl/>
        </w:rPr>
        <w:t xml:space="preserve">, ובהא דאיתא בגמ' בסנהדרין </w:t>
      </w:r>
      <w:r w:rsidRPr="003A0E16">
        <w:rPr>
          <w:rStyle w:val="af7"/>
          <w:rFonts w:eastAsia="Guttman Hodes" w:hint="cs"/>
          <w:rtl/>
        </w:rPr>
        <w:t xml:space="preserve">(סט.) </w:t>
      </w:r>
      <w:r>
        <w:rPr>
          <w:rFonts w:hint="cs"/>
          <w:rtl/>
        </w:rPr>
        <w:t xml:space="preserve">דבנפשות אזלינן בתר רובא, ביאר </w:t>
      </w:r>
      <w:r w:rsidRPr="001A74A6">
        <w:rPr>
          <w:rStyle w:val="af9"/>
          <w:rFonts w:hint="cs"/>
          <w:rtl/>
        </w:rPr>
        <w:t>האבי עזרי</w:t>
      </w:r>
      <w:r>
        <w:rPr>
          <w:rFonts w:hint="cs"/>
          <w:rtl/>
        </w:rPr>
        <w:t xml:space="preserve"> דאין נדון על הבן סורר הזה האם הוא ראוי לילד ע"י שתלד לשבעה, דאי"ז ספק שהרי יתכן שכן יהיה והוא ראוי לקרותו אב, אלא הנדון בגמ' על דין התורה דבראוי לקרותו אב הוא פטור, באיזה אב דיברה תורה, ובזה אמרינן בגמ' דכיון שרוב יולדות לתשעה, א"כ דיברה תורה לפי רוב הנשים.</w:t>
      </w:r>
    </w:p>
    <w:p w14:paraId="4D1A2310" w14:textId="77777777" w:rsidR="00FF73EE" w:rsidRDefault="00FF73EE" w:rsidP="006D6D32">
      <w:pPr>
        <w:pStyle w:val="a3"/>
        <w:rPr>
          <w:rtl/>
        </w:rPr>
      </w:pPr>
      <w:bookmarkStart w:id="10718" w:name="_Toc530551205"/>
      <w:bookmarkStart w:id="10719" w:name="_Toc19390396"/>
      <w:bookmarkStart w:id="10720" w:name="_Toc19393893"/>
      <w:r>
        <w:rPr>
          <w:rFonts w:hint="cs"/>
          <w:rtl/>
        </w:rPr>
        <w:t>דברי האבי עזרי דאף אם בן סורר בא על אשה וניכר עוברה בפחות מג"ח חייב מדין רוב נשים</w:t>
      </w:r>
      <w:bookmarkEnd w:id="10718"/>
      <w:bookmarkEnd w:id="10719"/>
      <w:bookmarkEnd w:id="10720"/>
    </w:p>
    <w:p w14:paraId="7EC001D0" w14:textId="77777777" w:rsidR="00FF73EE" w:rsidRPr="009164E2" w:rsidRDefault="00FF73EE" w:rsidP="00223668">
      <w:pPr>
        <w:pStyle w:val="a0"/>
        <w:rPr>
          <w:rtl/>
        </w:rPr>
      </w:pPr>
      <w:r>
        <w:rPr>
          <w:rFonts w:hint="cs"/>
          <w:rtl/>
        </w:rPr>
        <w:t xml:space="preserve">וכתב </w:t>
      </w:r>
      <w:r w:rsidRPr="00E22011">
        <w:rPr>
          <w:rStyle w:val="af9"/>
          <w:rFonts w:hint="cs"/>
          <w:rtl/>
        </w:rPr>
        <w:t>האבי עזרי</w:t>
      </w:r>
      <w:r>
        <w:rPr>
          <w:rFonts w:hint="cs"/>
          <w:rtl/>
        </w:rPr>
        <w:t xml:space="preserve"> דלפי"ז אפש"ל דאם באמת בא הבן סורר על אשה, וניכר עוברה לפחות מג' חודשים כיון שהוא עיבור של שבעה חודשים, וא"כ הוא נקרא אב, מ"מ יש לו דין בן סורר, כיון שדין התורה שראוי לקרותו אב פטור, הוא רק לפי רוב נשים, דהיינו עד ג' חודשים.</w:t>
      </w:r>
    </w:p>
    <w:p w14:paraId="27128312" w14:textId="77777777" w:rsidR="00FF73EE" w:rsidRDefault="00FF73EE" w:rsidP="006D6D32">
      <w:pPr>
        <w:pStyle w:val="a3"/>
        <w:rPr>
          <w:rtl/>
        </w:rPr>
      </w:pPr>
      <w:bookmarkStart w:id="10721" w:name="_Toc530551206"/>
      <w:bookmarkStart w:id="10722" w:name="_Toc19390397"/>
      <w:bookmarkStart w:id="10723" w:name="_Toc19393894"/>
      <w:r>
        <w:rPr>
          <w:rFonts w:hint="cs"/>
          <w:rtl/>
        </w:rPr>
        <w:t>ביאור האבי עזרי דהנדון בגמ' בסנהדרין אי מחמת דכתיב והצילו העדה דרשינן בתורה לקולא</w:t>
      </w:r>
      <w:bookmarkEnd w:id="10721"/>
      <w:bookmarkEnd w:id="10722"/>
      <w:bookmarkEnd w:id="10723"/>
    </w:p>
    <w:p w14:paraId="0C3B22C8" w14:textId="77777777" w:rsidR="00FF73EE" w:rsidRDefault="00FF73EE" w:rsidP="00223668">
      <w:pPr>
        <w:pStyle w:val="a0"/>
        <w:rPr>
          <w:rtl/>
        </w:rPr>
      </w:pPr>
      <w:r>
        <w:rPr>
          <w:rFonts w:hint="cs"/>
          <w:rtl/>
        </w:rPr>
        <w:t xml:space="preserve">וביאר </w:t>
      </w:r>
      <w:r w:rsidRPr="00E22011">
        <w:rPr>
          <w:rStyle w:val="af9"/>
          <w:rFonts w:hint="cs"/>
          <w:rtl/>
        </w:rPr>
        <w:t>האבי עזרי</w:t>
      </w:r>
      <w:r>
        <w:rPr>
          <w:rFonts w:hint="cs"/>
          <w:rtl/>
        </w:rPr>
        <w:t xml:space="preserve"> דע"ז אמרינן בגמ' בסנהדרין דכיון שיש דין והצילו העדה, לא אזלינן בדיני נפשות בתר רובא, דהיינו שבדיני נפשות צריך לדרוש את כוונת התורה לקולא, ולומר שאף בפחות מג' חודשים, כוונת התורה לפוטרו דהוא ראוי לקרותו אב, במיעוט נשים שיולדות לשבעה, ולכן הוצרכה הגמ' להביא את הפסוק דוהצילו העדה, ולא מקשה הגמ' בסתמא דלא אזלינן בנפשות בתר רובא, ועיי"ש במה שביאר </w:t>
      </w:r>
      <w:r w:rsidRPr="00E22011">
        <w:rPr>
          <w:rStyle w:val="af9"/>
          <w:rFonts w:hint="cs"/>
          <w:rtl/>
        </w:rPr>
        <w:t>האבי עזרי</w:t>
      </w:r>
      <w:r>
        <w:rPr>
          <w:rFonts w:hint="cs"/>
          <w:rtl/>
        </w:rPr>
        <w:t xml:space="preserve"> בהוכחת הגמ' בסנהדרין מרובא דאינשי טעו בעיבורא דירחי, ומאיילונית, דמחמת דינא דוהצילו העדה לא מפרשינן את דין התורה לקולא.</w:t>
      </w:r>
    </w:p>
    <w:p w14:paraId="53B212F2" w14:textId="77777777" w:rsidR="00FF73EE" w:rsidRDefault="00FF73EE" w:rsidP="00BF39B2">
      <w:pPr>
        <w:pStyle w:val="1"/>
        <w:rPr>
          <w:rtl/>
        </w:rPr>
      </w:pPr>
      <w:bookmarkStart w:id="10724" w:name="_Toc530349005"/>
      <w:bookmarkStart w:id="10725" w:name="_Toc530395896"/>
      <w:bookmarkStart w:id="10726" w:name="_Toc530411101"/>
      <w:bookmarkStart w:id="10727" w:name="_Toc530476241"/>
      <w:bookmarkStart w:id="10728" w:name="_Toc530477189"/>
      <w:bookmarkStart w:id="10729" w:name="_Toc530503040"/>
      <w:bookmarkStart w:id="10730" w:name="_Toc530504586"/>
      <w:bookmarkStart w:id="10731" w:name="_Toc530514426"/>
      <w:bookmarkStart w:id="10732" w:name="_Toc530514529"/>
      <w:bookmarkStart w:id="10733" w:name="_Toc530521978"/>
      <w:bookmarkStart w:id="10734" w:name="_Toc530525053"/>
      <w:bookmarkStart w:id="10735" w:name="_Toc530551207"/>
      <w:bookmarkStart w:id="10736" w:name="_Toc19390398"/>
      <w:bookmarkStart w:id="10737" w:name="_Toc19393895"/>
      <w:r w:rsidRPr="00EB09CB">
        <w:rPr>
          <w:rFonts w:hint="cs"/>
          <w:rtl/>
        </w:rPr>
        <w:t xml:space="preserve">ביאור הגרש"ר </w:t>
      </w:r>
      <w:r>
        <w:rPr>
          <w:rFonts w:hint="cs"/>
          <w:rtl/>
        </w:rPr>
        <w:t>ד</w:t>
      </w:r>
      <w:r w:rsidRPr="00EB09CB">
        <w:rPr>
          <w:rFonts w:hint="cs"/>
          <w:rtl/>
        </w:rPr>
        <w:t>בגמ' בסנהדרין</w:t>
      </w:r>
      <w:bookmarkEnd w:id="10724"/>
      <w:bookmarkEnd w:id="10725"/>
      <w:bookmarkEnd w:id="10726"/>
      <w:bookmarkEnd w:id="10727"/>
      <w:bookmarkEnd w:id="10728"/>
      <w:bookmarkEnd w:id="10729"/>
      <w:bookmarkEnd w:id="10730"/>
      <w:bookmarkEnd w:id="10731"/>
      <w:bookmarkEnd w:id="10732"/>
      <w:bookmarkEnd w:id="10733"/>
      <w:bookmarkEnd w:id="10734"/>
      <w:r>
        <w:rPr>
          <w:rFonts w:hint="cs"/>
          <w:rtl/>
        </w:rPr>
        <w:t xml:space="preserve"> מהני רוב לנדון בשם "ראוי"</w:t>
      </w:r>
      <w:bookmarkEnd w:id="10735"/>
      <w:bookmarkEnd w:id="10736"/>
      <w:bookmarkEnd w:id="10737"/>
    </w:p>
    <w:p w14:paraId="718DA1E8" w14:textId="77777777" w:rsidR="00FF73EE" w:rsidRDefault="00FF73EE" w:rsidP="006D6D32">
      <w:pPr>
        <w:pStyle w:val="a3"/>
        <w:rPr>
          <w:rtl/>
        </w:rPr>
      </w:pPr>
      <w:bookmarkStart w:id="10738" w:name="_Toc530551208"/>
      <w:bookmarkStart w:id="10739" w:name="_Toc19390399"/>
      <w:bookmarkStart w:id="10740" w:name="_Toc19393896"/>
      <w:r>
        <w:rPr>
          <w:rFonts w:hint="cs"/>
          <w:rtl/>
        </w:rPr>
        <w:t>ביאור השער"י בגמ' בסנהדרין דהשם "ראוי" לקרותו אב נקבע לפי רוב המקרים ואינו רוב בספיקות</w:t>
      </w:r>
      <w:bookmarkEnd w:id="10738"/>
      <w:bookmarkEnd w:id="10739"/>
      <w:bookmarkEnd w:id="10740"/>
    </w:p>
    <w:p w14:paraId="618932DF" w14:textId="77777777" w:rsidR="00FF73EE" w:rsidRDefault="00FF73EE" w:rsidP="00223668">
      <w:pPr>
        <w:pStyle w:val="a0"/>
        <w:rPr>
          <w:rtl/>
        </w:rPr>
      </w:pPr>
      <w:r>
        <w:rPr>
          <w:rFonts w:hint="cs"/>
          <w:rtl/>
        </w:rPr>
        <w:t xml:space="preserve">וכעי"ז כתב </w:t>
      </w:r>
      <w:r>
        <w:rPr>
          <w:rStyle w:val="af9"/>
          <w:rtl/>
        </w:rPr>
        <w:t>בשיעורי הגרש"ר</w:t>
      </w:r>
      <w:r>
        <w:rPr>
          <w:rtl/>
        </w:rPr>
        <w:t xml:space="preserve"> </w:t>
      </w:r>
      <w:r>
        <w:rPr>
          <w:rStyle w:val="af7"/>
          <w:rFonts w:eastAsia="Guttman Hodes" w:hint="cs"/>
          <w:rtl/>
        </w:rPr>
        <w:t>(סנהדרין סט. אות ס"ט)</w:t>
      </w:r>
      <w:r>
        <w:rPr>
          <w:rFonts w:hint="cs"/>
          <w:rtl/>
        </w:rPr>
        <w:t xml:space="preserve"> דהביאור בגמ' בסנהדרין </w:t>
      </w:r>
      <w:r w:rsidRPr="008C03D3">
        <w:rPr>
          <w:rStyle w:val="af7"/>
          <w:rFonts w:eastAsia="Guttman Hodes" w:hint="cs"/>
          <w:rtl/>
        </w:rPr>
        <w:t>(סט.)</w:t>
      </w:r>
      <w:r>
        <w:rPr>
          <w:rFonts w:hint="cs"/>
          <w:rtl/>
        </w:rPr>
        <w:t xml:space="preserve"> דהא דאזלינן בבן סורר בתר רוב נשים יולדות לתשעה, אין הכוונה שצריך שהבן סורר יהיה אב בפועל, ע"י שיהיה לו בן ע"י המיעוט שיולדות לשבעה, אלא כיון דיש מיעוט כזה, ממילא הוא ראוי לקרותו אב, ובזה אמרינן בגמ' דהדין "ראוי" נקבע לפי רוב המקרים ולא לפי מיעוט המקרים, ואי"ז שייך לדין רוב בכל התורה שהוא דין בספיקות.</w:t>
      </w:r>
    </w:p>
    <w:p w14:paraId="67717CEF" w14:textId="77777777" w:rsidR="00FF73EE" w:rsidRDefault="00FF73EE" w:rsidP="006D6D32">
      <w:pPr>
        <w:pStyle w:val="a3"/>
        <w:rPr>
          <w:rtl/>
        </w:rPr>
      </w:pPr>
      <w:bookmarkStart w:id="10741" w:name="_Toc530551209"/>
      <w:bookmarkStart w:id="10742" w:name="_Toc19390400"/>
      <w:bookmarkStart w:id="10743" w:name="_Toc19393897"/>
      <w:r>
        <w:rPr>
          <w:rFonts w:hint="cs"/>
          <w:rtl/>
        </w:rPr>
        <w:t>דברי השער"י דברוב בראוי לקרותו אב חשיב שאין מיעוט כלל דאינו נדון ברוב בפועל</w:t>
      </w:r>
      <w:bookmarkEnd w:id="10741"/>
      <w:bookmarkEnd w:id="10742"/>
      <w:bookmarkEnd w:id="10743"/>
    </w:p>
    <w:p w14:paraId="07D2DA8F" w14:textId="77777777" w:rsidR="00FF73EE" w:rsidRDefault="00FF73EE" w:rsidP="00223668">
      <w:pPr>
        <w:pStyle w:val="a0"/>
        <w:rPr>
          <w:rtl/>
        </w:rPr>
      </w:pPr>
      <w:r>
        <w:rPr>
          <w:rFonts w:hint="cs"/>
          <w:rtl/>
        </w:rPr>
        <w:t xml:space="preserve">וכתב </w:t>
      </w:r>
      <w:r w:rsidRPr="008C03D3">
        <w:rPr>
          <w:rStyle w:val="af9"/>
          <w:rFonts w:hint="cs"/>
          <w:rtl/>
        </w:rPr>
        <w:t>בשיעורי הגרש"ר</w:t>
      </w:r>
      <w:r>
        <w:rPr>
          <w:rFonts w:hint="cs"/>
          <w:rtl/>
        </w:rPr>
        <w:t xml:space="preserve"> דלפי"ז אחר שנקבע דבבן סורר אזלינן בתר רוב, א"כ אין כאן מיעוט כלל, דהנדון אינו על מקרה מסויים, אלא על השם שלו אם הוא ראוי להקרא אב, וכיון דאמרינן דהשם נקבע לפי הרוב ויש לו שם בן סורר, ממילא אין כאן צד מיעוט ואין כל ספק. אלא ביאר</w:t>
      </w:r>
      <w:r w:rsidRPr="008C03D3">
        <w:rPr>
          <w:rStyle w:val="af9"/>
          <w:rFonts w:hint="cs"/>
          <w:rtl/>
        </w:rPr>
        <w:t xml:space="preserve"> בשיעורי הגרש"ר</w:t>
      </w:r>
      <w:r>
        <w:rPr>
          <w:rFonts w:hint="cs"/>
          <w:rtl/>
        </w:rPr>
        <w:t xml:space="preserve"> דהנדון בגמ' בסנהדרין הוא דמחמת דכתיב והצילו העדה, צריך לומר דמעיקרא לא יקבע השם בן סורר לפי הרוב, וע"ז הביאה הגמ' ראיה מרובא דטעו בעיבורא דירחא, דגם שם לא סמכינן על הרוב בפועל, אלא אמרינן שיסוד הדין הוא כמו הרוב, עיי"ש במה שביאר </w:t>
      </w:r>
      <w:r w:rsidRPr="004009CF">
        <w:rPr>
          <w:rStyle w:val="af9"/>
          <w:rFonts w:hint="cs"/>
          <w:rtl/>
        </w:rPr>
        <w:t>בשיעורי הגרש"</w:t>
      </w:r>
      <w:r>
        <w:rPr>
          <w:rFonts w:hint="cs"/>
          <w:rtl/>
        </w:rPr>
        <w:t>ר בזה, וברוב נשים אינם איילוניות.</w:t>
      </w:r>
    </w:p>
    <w:p w14:paraId="3F174B7C" w14:textId="77777777" w:rsidR="00FF73EE" w:rsidRPr="005F1037" w:rsidRDefault="00FF73EE" w:rsidP="006D6D32">
      <w:pPr>
        <w:pStyle w:val="a3"/>
        <w:rPr>
          <w:rtl/>
        </w:rPr>
      </w:pPr>
    </w:p>
    <w:p w14:paraId="7BB79BFA" w14:textId="77777777" w:rsidR="00FF73EE" w:rsidRDefault="00FF73EE" w:rsidP="006D6D32">
      <w:pPr>
        <w:pStyle w:val="a3"/>
        <w:rPr>
          <w:rtl/>
        </w:rPr>
      </w:pPr>
      <w:bookmarkStart w:id="10744" w:name="_Toc530551210"/>
      <w:bookmarkStart w:id="10745" w:name="_Toc19390401"/>
      <w:bookmarkStart w:id="10746" w:name="_Toc19393898"/>
      <w:r>
        <w:rPr>
          <w:rFonts w:hint="cs"/>
          <w:rtl/>
        </w:rPr>
        <w:t>דברי הגרש"ר דדין הוחזק הוא רק בנאמנות ולא בבירור של רוב שלא בכל רוב יש בירור גמור</w:t>
      </w:r>
      <w:bookmarkEnd w:id="10744"/>
      <w:bookmarkEnd w:id="10745"/>
      <w:bookmarkEnd w:id="10746"/>
    </w:p>
    <w:p w14:paraId="4DE7AE0C" w14:textId="77777777" w:rsidR="00FF73EE" w:rsidRPr="000111A4" w:rsidRDefault="00FF73EE" w:rsidP="00223668">
      <w:pPr>
        <w:pStyle w:val="a0"/>
        <w:rPr>
          <w:rtl/>
        </w:rPr>
      </w:pPr>
      <w:bookmarkStart w:id="10747" w:name="_Ref530341560"/>
      <w:r>
        <w:rPr>
          <w:rFonts w:hint="cs"/>
          <w:rtl/>
        </w:rPr>
        <w:t xml:space="preserve">ובמ"ש </w:t>
      </w:r>
      <w:r w:rsidRPr="00E22011">
        <w:rPr>
          <w:rStyle w:val="af9"/>
          <w:rFonts w:hint="cs"/>
          <w:rtl/>
        </w:rPr>
        <w:t>הש"ש</w:t>
      </w:r>
      <w:r>
        <w:rPr>
          <w:rFonts w:hint="cs"/>
          <w:rtl/>
        </w:rPr>
        <w:t xml:space="preserve"> </w:t>
      </w:r>
      <w:r w:rsidRPr="003A0E16">
        <w:rPr>
          <w:rStyle w:val="af7"/>
          <w:rFonts w:eastAsia="Guttman Hodes" w:hint="cs"/>
          <w:rtl/>
        </w:rPr>
        <w:t xml:space="preserve">(עי' אות </w:t>
      </w:r>
      <w:r w:rsidRPr="003A0E16">
        <w:rPr>
          <w:rStyle w:val="af7"/>
          <w:rFonts w:eastAsia="Guttman Hodes"/>
          <w:rtl/>
        </w:rPr>
        <w:fldChar w:fldCharType="begin"/>
      </w:r>
      <w:r w:rsidRPr="003A0E16">
        <w:rPr>
          <w:rStyle w:val="af7"/>
          <w:rFonts w:eastAsia="Guttman Hodes"/>
          <w:rtl/>
        </w:rPr>
        <w:instrText xml:space="preserve"> </w:instrText>
      </w:r>
      <w:r w:rsidRPr="003A0E16">
        <w:rPr>
          <w:rStyle w:val="af7"/>
          <w:rFonts w:eastAsia="Guttman Hodes" w:hint="cs"/>
        </w:rPr>
        <w:instrText>REF</w:instrText>
      </w:r>
      <w:r w:rsidRPr="003A0E16">
        <w:rPr>
          <w:rStyle w:val="af7"/>
          <w:rFonts w:eastAsia="Guttman Hodes" w:hint="cs"/>
          <w:rtl/>
        </w:rPr>
        <w:instrText xml:space="preserve"> _</w:instrText>
      </w:r>
      <w:r w:rsidRPr="003A0E16">
        <w:rPr>
          <w:rStyle w:val="af7"/>
          <w:rFonts w:eastAsia="Guttman Hodes" w:hint="cs"/>
        </w:rPr>
        <w:instrText>Ref530083018 \r \h</w:instrText>
      </w:r>
      <w:r w:rsidRPr="003A0E16">
        <w:rPr>
          <w:rStyle w:val="af7"/>
          <w:rFonts w:eastAsia="Guttman Hodes"/>
          <w:rtl/>
        </w:rPr>
        <w:instrText xml:space="preserve"> </w:instrText>
      </w:r>
      <w:r w:rsidRPr="003A0E16">
        <w:rPr>
          <w:rStyle w:val="af7"/>
          <w:rFonts w:eastAsia="Guttman Hodes"/>
          <w:rtl/>
        </w:rPr>
      </w:r>
      <w:r w:rsidRPr="003A0E16">
        <w:rPr>
          <w:rStyle w:val="af7"/>
          <w:rFonts w:eastAsia="Guttman Hodes"/>
          <w:rtl/>
        </w:rPr>
        <w:fldChar w:fldCharType="separate"/>
      </w:r>
      <w:r w:rsidR="00345400">
        <w:rPr>
          <w:rStyle w:val="af7"/>
          <w:rFonts w:eastAsia="Guttman Hodes"/>
          <w:cs/>
        </w:rPr>
        <w:t>‎</w:t>
      </w:r>
      <w:r w:rsidR="00345400">
        <w:rPr>
          <w:rStyle w:val="af7"/>
          <w:rFonts w:eastAsia="Guttman Hodes"/>
          <w:rtl/>
        </w:rPr>
        <w:t>מו)</w:t>
      </w:r>
      <w:r w:rsidRPr="003A0E16">
        <w:rPr>
          <w:rStyle w:val="af7"/>
          <w:rFonts w:eastAsia="Guttman Hodes"/>
          <w:rtl/>
        </w:rPr>
        <w:fldChar w:fldCharType="end"/>
      </w:r>
      <w:r>
        <w:rPr>
          <w:rFonts w:hint="cs"/>
          <w:rtl/>
        </w:rPr>
        <w:t xml:space="preserve"> דע"י הרוב הוחזק האיסור כמו בע"א שמחזיק איסור על חלב, דחה </w:t>
      </w:r>
      <w:r w:rsidRPr="000111A4">
        <w:rPr>
          <w:rStyle w:val="af9"/>
          <w:rFonts w:hint="cs"/>
          <w:rtl/>
        </w:rPr>
        <w:t>בשיעורי הגרש"ר</w:t>
      </w:r>
      <w:r>
        <w:rPr>
          <w:rFonts w:hint="cs"/>
          <w:rtl/>
        </w:rPr>
        <w:t xml:space="preserve"> </w:t>
      </w:r>
      <w:r w:rsidRPr="000111A4">
        <w:rPr>
          <w:rStyle w:val="af7"/>
          <w:rFonts w:eastAsia="Guttman Hodes" w:hint="cs"/>
          <w:rtl/>
        </w:rPr>
        <w:t xml:space="preserve">(סנהדרין סט. אות ע') </w:t>
      </w:r>
      <w:r>
        <w:rPr>
          <w:rFonts w:hint="cs"/>
          <w:rtl/>
        </w:rPr>
        <w:t xml:space="preserve">דדין הוחזק שייך רק בדיני נאמנות, דע"א אינו נאמן מחמת סברא, אלא הוא גזיה"כ דנאמן, ולכן שייך לומר דאחר שנאמן לאיסורים מהני עדותו אף למלקות, דא"א לחלק את הנאמנות לחצאין, אבל רוב שהוא בירור והוכחה, אפש"ל דיש בירור גמור שהוא כאנן סהדי, וכיש בירור שאינו גמור, כרוב שמהני לאיסורים ולא לממון ונפשות, ולכן לא מהני מה שיקבע הרוב לענין איסורים, לדיני ממונות ונפשות, עיי"ש במה שהאריך בזה, וכעי"ז כתב </w:t>
      </w:r>
      <w:r w:rsidRPr="00974D8E">
        <w:rPr>
          <w:rStyle w:val="af9"/>
          <w:rFonts w:hint="cs"/>
          <w:rtl/>
        </w:rPr>
        <w:t>האבי עזרי</w:t>
      </w:r>
      <w:r>
        <w:rPr>
          <w:rFonts w:hint="cs"/>
          <w:rtl/>
        </w:rPr>
        <w:t xml:space="preserve"> </w:t>
      </w:r>
      <w:r w:rsidRPr="00974D8E">
        <w:rPr>
          <w:rStyle w:val="af7"/>
          <w:rFonts w:eastAsia="Guttman Hodes" w:hint="cs"/>
          <w:rtl/>
        </w:rPr>
        <w:t xml:space="preserve">(עי' אות </w:t>
      </w:r>
      <w:r w:rsidRPr="00974D8E">
        <w:rPr>
          <w:rStyle w:val="af7"/>
          <w:rFonts w:eastAsia="Guttman Hodes"/>
          <w:rtl/>
        </w:rPr>
        <w:fldChar w:fldCharType="begin"/>
      </w:r>
      <w:r w:rsidRPr="00974D8E">
        <w:rPr>
          <w:rStyle w:val="af7"/>
          <w:rFonts w:eastAsia="Guttman Hodes"/>
          <w:rtl/>
        </w:rPr>
        <w:instrText xml:space="preserve"> </w:instrText>
      </w:r>
      <w:r w:rsidRPr="00974D8E">
        <w:rPr>
          <w:rStyle w:val="af7"/>
          <w:rFonts w:eastAsia="Guttman Hodes" w:hint="cs"/>
        </w:rPr>
        <w:instrText>REF</w:instrText>
      </w:r>
      <w:r w:rsidRPr="00974D8E">
        <w:rPr>
          <w:rStyle w:val="af7"/>
          <w:rFonts w:eastAsia="Guttman Hodes" w:hint="cs"/>
          <w:rtl/>
        </w:rPr>
        <w:instrText xml:space="preserve"> _</w:instrText>
      </w:r>
      <w:r w:rsidRPr="00974D8E">
        <w:rPr>
          <w:rStyle w:val="af7"/>
          <w:rFonts w:eastAsia="Guttman Hodes" w:hint="cs"/>
        </w:rPr>
        <w:instrText>Ref530128452 \r \h</w:instrText>
      </w:r>
      <w:r w:rsidRPr="00974D8E">
        <w:rPr>
          <w:rStyle w:val="af7"/>
          <w:rFonts w:eastAsia="Guttman Hodes"/>
          <w:rtl/>
        </w:rPr>
        <w:instrText xml:space="preserve"> </w:instrText>
      </w:r>
      <w:r w:rsidRPr="00974D8E">
        <w:rPr>
          <w:rStyle w:val="af7"/>
          <w:rFonts w:eastAsia="Guttman Hodes"/>
          <w:rtl/>
        </w:rPr>
      </w:r>
      <w:r w:rsidRPr="00974D8E">
        <w:rPr>
          <w:rStyle w:val="af7"/>
          <w:rFonts w:eastAsia="Guttman Hodes"/>
          <w:rtl/>
        </w:rPr>
        <w:fldChar w:fldCharType="separate"/>
      </w:r>
      <w:r w:rsidR="00345400">
        <w:rPr>
          <w:rStyle w:val="af7"/>
          <w:rFonts w:eastAsia="Guttman Hodes"/>
          <w:cs/>
        </w:rPr>
        <w:t>‎</w:t>
      </w:r>
      <w:r w:rsidR="00345400">
        <w:rPr>
          <w:rStyle w:val="af7"/>
          <w:rFonts w:eastAsia="Guttman Hodes"/>
          <w:rtl/>
        </w:rPr>
        <w:t>צח)</w:t>
      </w:r>
      <w:r w:rsidRPr="00974D8E">
        <w:rPr>
          <w:rStyle w:val="af7"/>
          <w:rFonts w:eastAsia="Guttman Hodes"/>
          <w:rtl/>
        </w:rPr>
        <w:fldChar w:fldCharType="end"/>
      </w:r>
      <w:r>
        <w:rPr>
          <w:rFonts w:hint="cs"/>
          <w:rtl/>
        </w:rPr>
        <w:t xml:space="preserve">, וע"ע במה שחילק כעי"ז </w:t>
      </w:r>
      <w:r w:rsidRPr="00C8279B">
        <w:rPr>
          <w:rStyle w:val="af9"/>
          <w:rFonts w:hint="cs"/>
          <w:rtl/>
        </w:rPr>
        <w:t>בחי' רבי שלמה</w:t>
      </w:r>
      <w:r>
        <w:rPr>
          <w:rFonts w:hint="cs"/>
          <w:rtl/>
        </w:rPr>
        <w:t xml:space="preserve"> </w:t>
      </w:r>
      <w:r w:rsidRPr="00C8279B">
        <w:rPr>
          <w:rStyle w:val="af7"/>
          <w:rFonts w:eastAsia="Guttman Hodes" w:hint="cs"/>
          <w:rtl/>
        </w:rPr>
        <w:t>(ח"ב סי' נ"ו ד"ה ולכאו')</w:t>
      </w:r>
      <w:r>
        <w:rPr>
          <w:rFonts w:hint="cs"/>
          <w:rtl/>
        </w:rPr>
        <w:t xml:space="preserve"> בין הוחזק בע"א להוחזק ע"י רוב, ובמה שהקשה שם </w:t>
      </w:r>
      <w:r w:rsidRPr="00C8279B">
        <w:rPr>
          <w:rStyle w:val="af7"/>
          <w:rFonts w:eastAsia="Guttman Hodes" w:hint="cs"/>
          <w:rtl/>
        </w:rPr>
        <w:t>(בד"ה והנה)</w:t>
      </w:r>
      <w:r>
        <w:rPr>
          <w:rFonts w:hint="cs"/>
          <w:rtl/>
        </w:rPr>
        <w:t xml:space="preserve"> על הגמ' בסנהדרין, ובמה שתירץ </w:t>
      </w:r>
      <w:r w:rsidRPr="00C8279B">
        <w:rPr>
          <w:rStyle w:val="af7"/>
          <w:rFonts w:eastAsia="Guttman Hodes" w:hint="cs"/>
          <w:rtl/>
        </w:rPr>
        <w:t>(בד"ה ולפי"ז יש ליישב)</w:t>
      </w:r>
      <w:r>
        <w:rPr>
          <w:rFonts w:hint="cs"/>
          <w:rtl/>
        </w:rPr>
        <w:t xml:space="preserve"> עפ"י דברי </w:t>
      </w:r>
      <w:r w:rsidRPr="00B9789A">
        <w:rPr>
          <w:rStyle w:val="af9"/>
          <w:rFonts w:hint="cs"/>
          <w:rtl/>
        </w:rPr>
        <w:t>הר"ן</w:t>
      </w:r>
      <w:r>
        <w:rPr>
          <w:rFonts w:hint="cs"/>
          <w:rtl/>
        </w:rPr>
        <w:t xml:space="preserve"> בסנהדרין.</w:t>
      </w:r>
      <w:bookmarkEnd w:id="10747"/>
    </w:p>
    <w:p w14:paraId="4C0CCF4F" w14:textId="77777777" w:rsidR="00FF73EE" w:rsidRDefault="00FF73EE" w:rsidP="00BF39B2">
      <w:pPr>
        <w:pStyle w:val="1"/>
        <w:rPr>
          <w:rtl/>
        </w:rPr>
      </w:pPr>
      <w:bookmarkStart w:id="10748" w:name="_Toc530476254"/>
      <w:bookmarkStart w:id="10749" w:name="_Toc530477202"/>
      <w:bookmarkStart w:id="10750" w:name="_Toc530503053"/>
      <w:bookmarkStart w:id="10751" w:name="_Toc530504614"/>
      <w:bookmarkStart w:id="10752" w:name="_Toc530514438"/>
      <w:bookmarkStart w:id="10753" w:name="_Toc530514541"/>
      <w:bookmarkStart w:id="10754" w:name="_Toc530521990"/>
      <w:bookmarkStart w:id="10755" w:name="_Toc530525065"/>
      <w:bookmarkStart w:id="10756" w:name="_Toc530551232"/>
      <w:bookmarkStart w:id="10757" w:name="_Toc19390402"/>
      <w:bookmarkStart w:id="10758" w:name="_Toc19393899"/>
      <w:bookmarkStart w:id="10759" w:name="_Toc530476242"/>
      <w:bookmarkStart w:id="10760" w:name="_Toc530477190"/>
      <w:bookmarkStart w:id="10761" w:name="_Toc530503041"/>
      <w:bookmarkStart w:id="10762" w:name="_Toc530504591"/>
      <w:bookmarkStart w:id="10763" w:name="_Toc530514427"/>
      <w:bookmarkStart w:id="10764" w:name="_Toc530514530"/>
      <w:bookmarkStart w:id="10765" w:name="_Toc530521979"/>
      <w:bookmarkStart w:id="10766" w:name="_Toc530525054"/>
      <w:bookmarkStart w:id="10767" w:name="_Toc530551211"/>
      <w:bookmarkStart w:id="10768" w:name="_Toc530349006"/>
      <w:bookmarkStart w:id="10769" w:name="_Toc530395897"/>
      <w:bookmarkStart w:id="10770" w:name="_Toc530411102"/>
      <w:r>
        <w:rPr>
          <w:rFonts w:hint="cs"/>
          <w:rtl/>
        </w:rPr>
        <w:t>בחילוק בין חזקת גופו למוחזק</w:t>
      </w:r>
      <w:bookmarkEnd w:id="10748"/>
      <w:r>
        <w:rPr>
          <w:rFonts w:hint="cs"/>
          <w:rtl/>
        </w:rPr>
        <w:t xml:space="preserve"> בממון</w:t>
      </w:r>
      <w:bookmarkEnd w:id="10749"/>
      <w:bookmarkEnd w:id="10750"/>
      <w:bookmarkEnd w:id="10751"/>
      <w:bookmarkEnd w:id="10752"/>
      <w:bookmarkEnd w:id="10753"/>
      <w:bookmarkEnd w:id="10754"/>
      <w:bookmarkEnd w:id="10755"/>
      <w:bookmarkEnd w:id="10756"/>
      <w:bookmarkEnd w:id="10757"/>
      <w:bookmarkEnd w:id="10758"/>
    </w:p>
    <w:p w14:paraId="2279F872" w14:textId="77777777" w:rsidR="00FF73EE" w:rsidRDefault="00FF73EE" w:rsidP="006D6D32">
      <w:pPr>
        <w:pStyle w:val="a3"/>
        <w:rPr>
          <w:rtl/>
        </w:rPr>
      </w:pPr>
      <w:bookmarkStart w:id="10771" w:name="_Toc530551233"/>
      <w:bookmarkStart w:id="10772" w:name="_Toc19390403"/>
      <w:bookmarkStart w:id="10773" w:name="_Toc19393900"/>
      <w:r>
        <w:rPr>
          <w:rFonts w:hint="cs"/>
          <w:rtl/>
        </w:rPr>
        <w:t>דברי הקוב"ש דאדם מוחזק בגופו רק לדינו ממונות ולא כלפי שמיא</w:t>
      </w:r>
      <w:bookmarkEnd w:id="10771"/>
      <w:bookmarkEnd w:id="10772"/>
      <w:bookmarkEnd w:id="10773"/>
    </w:p>
    <w:p w14:paraId="3C3CF2B9" w14:textId="77777777" w:rsidR="00FF73EE" w:rsidRPr="00F36F1B" w:rsidRDefault="00FF73EE" w:rsidP="00223668">
      <w:pPr>
        <w:pStyle w:val="a0"/>
        <w:rPr>
          <w:rStyle w:val="afb"/>
          <w:rtl/>
        </w:rPr>
      </w:pPr>
      <w:bookmarkStart w:id="10774" w:name="_Ref530072462"/>
      <w:r>
        <w:rPr>
          <w:rFonts w:hint="cs"/>
          <w:rtl/>
        </w:rPr>
        <w:t xml:space="preserve">במה שהביא </w:t>
      </w:r>
      <w:r w:rsidRPr="009B34EE">
        <w:rPr>
          <w:rStyle w:val="af9"/>
          <w:rFonts w:hint="cs"/>
          <w:rtl/>
        </w:rPr>
        <w:t>הש"ש</w:t>
      </w:r>
      <w:r>
        <w:rPr>
          <w:rFonts w:hint="cs"/>
          <w:rtl/>
        </w:rPr>
        <w:t xml:space="preserve"> את קושית אחיו </w:t>
      </w:r>
      <w:r>
        <w:rPr>
          <w:rStyle w:val="af9"/>
          <w:rFonts w:hint="cs"/>
          <w:rtl/>
        </w:rPr>
        <w:t>בעל הקונה</w:t>
      </w:r>
      <w:r>
        <w:rPr>
          <w:rStyle w:val="af9"/>
          <w:rtl/>
        </w:rPr>
        <w:t>"</w:t>
      </w:r>
      <w:r>
        <w:rPr>
          <w:rStyle w:val="af9"/>
          <w:rFonts w:hint="cs"/>
          <w:rtl/>
        </w:rPr>
        <w:t xml:space="preserve">ס </w:t>
      </w:r>
      <w:r w:rsidRPr="003C76F5">
        <w:rPr>
          <w:rStyle w:val="af7"/>
          <w:rFonts w:eastAsia="Guttman Hodes" w:hint="cs"/>
          <w:rtl/>
        </w:rPr>
        <w:t xml:space="preserve">(עי' אות </w:t>
      </w:r>
      <w:r w:rsidRPr="003C76F5">
        <w:rPr>
          <w:rStyle w:val="af7"/>
          <w:rFonts w:eastAsia="Guttman Hodes"/>
          <w:rtl/>
        </w:rPr>
        <w:fldChar w:fldCharType="begin"/>
      </w:r>
      <w:r w:rsidRPr="003C76F5">
        <w:rPr>
          <w:rStyle w:val="af7"/>
          <w:rFonts w:eastAsia="Guttman Hodes"/>
          <w:rtl/>
        </w:rPr>
        <w:instrText xml:space="preserve"> </w:instrText>
      </w:r>
      <w:r w:rsidRPr="003C76F5">
        <w:rPr>
          <w:rStyle w:val="af7"/>
          <w:rFonts w:eastAsia="Guttman Hodes" w:hint="cs"/>
        </w:rPr>
        <w:instrText>REF</w:instrText>
      </w:r>
      <w:r w:rsidRPr="003C76F5">
        <w:rPr>
          <w:rStyle w:val="af7"/>
          <w:rFonts w:eastAsia="Guttman Hodes" w:hint="cs"/>
          <w:rtl/>
        </w:rPr>
        <w:instrText xml:space="preserve"> _</w:instrText>
      </w:r>
      <w:r w:rsidRPr="003C76F5">
        <w:rPr>
          <w:rStyle w:val="af7"/>
          <w:rFonts w:eastAsia="Guttman Hodes" w:hint="cs"/>
        </w:rPr>
        <w:instrText>Ref530072426 \r \h</w:instrText>
      </w:r>
      <w:r w:rsidRPr="003C76F5">
        <w:rPr>
          <w:rStyle w:val="af7"/>
          <w:rFonts w:eastAsia="Guttman Hodes"/>
          <w:rtl/>
        </w:rPr>
        <w:instrText xml:space="preserve"> </w:instrText>
      </w:r>
      <w:r w:rsidRPr="003C76F5">
        <w:rPr>
          <w:rStyle w:val="af7"/>
          <w:rFonts w:eastAsia="Guttman Hodes"/>
          <w:rtl/>
        </w:rPr>
      </w:r>
      <w:r w:rsidRPr="003C76F5">
        <w:rPr>
          <w:rStyle w:val="af7"/>
          <w:rFonts w:eastAsia="Guttman Hodes"/>
          <w:rtl/>
        </w:rPr>
        <w:fldChar w:fldCharType="separate"/>
      </w:r>
      <w:r w:rsidR="00345400">
        <w:rPr>
          <w:rStyle w:val="af7"/>
          <w:rFonts w:eastAsia="Guttman Hodes"/>
          <w:cs/>
        </w:rPr>
        <w:t>‎</w:t>
      </w:r>
      <w:r w:rsidR="00345400">
        <w:rPr>
          <w:rStyle w:val="af7"/>
          <w:rFonts w:eastAsia="Guttman Hodes"/>
          <w:rtl/>
        </w:rPr>
        <w:t>מה)</w:t>
      </w:r>
      <w:r w:rsidRPr="003C76F5">
        <w:rPr>
          <w:rStyle w:val="af7"/>
          <w:rFonts w:eastAsia="Guttman Hodes"/>
          <w:rtl/>
        </w:rPr>
        <w:fldChar w:fldCharType="end"/>
      </w:r>
      <w:r>
        <w:rPr>
          <w:rFonts w:hint="cs"/>
          <w:rtl/>
        </w:rPr>
        <w:t xml:space="preserve"> היאך אזלינן בנפשות בתר רובא, ולא אמרינן דסמוך מיעוטא לחזקת גופו, כמו דבממון אמרינן סמוך מיעוטא לחזקת הממון, תירץ </w:t>
      </w:r>
      <w:r w:rsidRPr="009B34EE">
        <w:rPr>
          <w:rStyle w:val="af9"/>
          <w:rFonts w:hint="cs"/>
          <w:rtl/>
        </w:rPr>
        <w:t>הקוב"ש</w:t>
      </w:r>
      <w:r>
        <w:rPr>
          <w:rFonts w:hint="cs"/>
          <w:rtl/>
        </w:rPr>
        <w:t xml:space="preserve"> </w:t>
      </w:r>
      <w:r w:rsidRPr="003C76F5">
        <w:rPr>
          <w:rStyle w:val="af7"/>
          <w:rFonts w:eastAsia="Guttman Hodes" w:hint="cs"/>
          <w:rtl/>
        </w:rPr>
        <w:t>(ח"ב על הש"ש אות כ"ד)</w:t>
      </w:r>
      <w:r>
        <w:rPr>
          <w:rFonts w:hint="cs"/>
          <w:rtl/>
        </w:rPr>
        <w:t xml:space="preserve"> דכל דין מוחזק הוא בדיני בין אדם לחבירו, אבל בבין אדם למקום לא שייך לומר שהאדם מוחזק בעצמו, דהא הקב"ה מוחזק באדם יותר ממה שהוא מוחזק בעצמו, והרי כתב </w:t>
      </w:r>
      <w:r w:rsidRPr="00A37374">
        <w:rPr>
          <w:rStyle w:val="af9"/>
          <w:rFonts w:hint="cs"/>
          <w:rtl/>
        </w:rPr>
        <w:t>הקצוה"ח</w:t>
      </w:r>
      <w:r>
        <w:rPr>
          <w:rFonts w:hint="cs"/>
          <w:rtl/>
        </w:rPr>
        <w:t xml:space="preserve"> דעבד אינו נחשב כמוחזק כלפי האדון וכ"ש שאדם אינו מוחזק כלפי הקב"ה שהוא ברשותו בכל רגע.</w:t>
      </w:r>
      <w:bookmarkEnd w:id="10774"/>
      <w:r>
        <w:rPr>
          <w:rFonts w:hint="cs"/>
          <w:rtl/>
        </w:rPr>
        <w:t xml:space="preserve"> </w:t>
      </w:r>
      <w:r w:rsidRPr="00F36F1B">
        <w:rPr>
          <w:rStyle w:val="afb"/>
          <w:rFonts w:hint="cs"/>
          <w:rtl/>
        </w:rPr>
        <w:t xml:space="preserve">[והוסיף </w:t>
      </w:r>
      <w:r w:rsidRPr="00F36F1B">
        <w:rPr>
          <w:rStyle w:val="affa"/>
          <w:rFonts w:hint="cs"/>
          <w:rtl/>
        </w:rPr>
        <w:t>הקוב"ש</w:t>
      </w:r>
      <w:r w:rsidRPr="00F36F1B">
        <w:rPr>
          <w:rStyle w:val="afb"/>
          <w:rFonts w:hint="cs"/>
          <w:rtl/>
        </w:rPr>
        <w:t xml:space="preserve"> </w:t>
      </w:r>
      <w:r w:rsidRPr="00F36F1B">
        <w:rPr>
          <w:rStyle w:val="aff6"/>
          <w:rFonts w:hint="cs"/>
          <w:rtl/>
        </w:rPr>
        <w:t>(ח"ב דברי סופרים סי' אות ב')</w:t>
      </w:r>
      <w:r w:rsidRPr="00F36F1B">
        <w:rPr>
          <w:rStyle w:val="afb"/>
          <w:rFonts w:hint="cs"/>
          <w:rtl/>
        </w:rPr>
        <w:t xml:space="preserve"> דהא דב</w:t>
      </w:r>
      <w:r>
        <w:rPr>
          <w:rStyle w:val="afb"/>
          <w:rFonts w:hint="cs"/>
          <w:rtl/>
        </w:rPr>
        <w:t>עבד ב</w:t>
      </w:r>
      <w:r w:rsidRPr="00F36F1B">
        <w:rPr>
          <w:rStyle w:val="afb"/>
          <w:rFonts w:hint="cs"/>
          <w:rtl/>
        </w:rPr>
        <w:t>ספק שחרור מהני הטענה שהוא מוחזק בגופו, היינו רק לענין דיני ממונות, אך לא מהני להתירו בבת חורין].</w:t>
      </w:r>
    </w:p>
    <w:p w14:paraId="09387DB9" w14:textId="77777777" w:rsidR="00FF73EE" w:rsidRDefault="00FF73EE" w:rsidP="006D6D32">
      <w:pPr>
        <w:pStyle w:val="a3"/>
        <w:rPr>
          <w:rtl/>
        </w:rPr>
      </w:pPr>
      <w:bookmarkStart w:id="10775" w:name="_Toc530551234"/>
      <w:bookmarkStart w:id="10776" w:name="_Toc19390404"/>
      <w:bookmarkStart w:id="10777" w:name="_Toc19393901"/>
      <w:r>
        <w:rPr>
          <w:rFonts w:hint="cs"/>
          <w:rtl/>
        </w:rPr>
        <w:t>דברי הגרש"ר דרוב לא מהני במוחזק מסברת המע"ה ואינו שייך כלל בדיני נפשות</w:t>
      </w:r>
      <w:bookmarkEnd w:id="10775"/>
      <w:bookmarkEnd w:id="10776"/>
      <w:bookmarkEnd w:id="10777"/>
    </w:p>
    <w:p w14:paraId="573BE5DE" w14:textId="77777777" w:rsidR="00FF73EE" w:rsidRDefault="00FF73EE" w:rsidP="00223668">
      <w:pPr>
        <w:pStyle w:val="a0"/>
      </w:pPr>
      <w:r>
        <w:rPr>
          <w:rStyle w:val="af9"/>
          <w:rFonts w:hint="cs"/>
          <w:rtl/>
        </w:rPr>
        <w:t>ו</w:t>
      </w:r>
      <w:r w:rsidRPr="009A54BD">
        <w:rPr>
          <w:rStyle w:val="af9"/>
          <w:rFonts w:hint="cs"/>
          <w:rtl/>
        </w:rPr>
        <w:t>בשיעורי הגרש"ר</w:t>
      </w:r>
      <w:r w:rsidRPr="009A54BD">
        <w:rPr>
          <w:rFonts w:hint="cs"/>
          <w:rtl/>
        </w:rPr>
        <w:t xml:space="preserve"> </w:t>
      </w:r>
      <w:r w:rsidRPr="005F1037">
        <w:rPr>
          <w:rStyle w:val="af7"/>
          <w:rFonts w:eastAsia="Guttman Hodes" w:hint="cs"/>
          <w:rtl/>
        </w:rPr>
        <w:t>(סנהדרין סט. סוף אות ס"ח)</w:t>
      </w:r>
      <w:r>
        <w:rPr>
          <w:rFonts w:hint="cs"/>
          <w:rtl/>
        </w:rPr>
        <w:t xml:space="preserve"> תירץ את קושית </w:t>
      </w:r>
      <w:r w:rsidRPr="009B34EE">
        <w:rPr>
          <w:rStyle w:val="af9"/>
          <w:rFonts w:hint="cs"/>
          <w:rtl/>
        </w:rPr>
        <w:t>הש"ש</w:t>
      </w:r>
      <w:r>
        <w:rPr>
          <w:rFonts w:hint="cs"/>
          <w:rtl/>
        </w:rPr>
        <w:t xml:space="preserve"> בשם אחיו </w:t>
      </w:r>
      <w:r>
        <w:rPr>
          <w:rStyle w:val="af9"/>
          <w:rFonts w:hint="cs"/>
          <w:rtl/>
        </w:rPr>
        <w:t>בעל הקונה</w:t>
      </w:r>
      <w:r>
        <w:rPr>
          <w:rStyle w:val="af9"/>
          <w:rtl/>
        </w:rPr>
        <w:t>"</w:t>
      </w:r>
      <w:r>
        <w:rPr>
          <w:rStyle w:val="af9"/>
          <w:rFonts w:hint="cs"/>
          <w:rtl/>
        </w:rPr>
        <w:t xml:space="preserve">ס </w:t>
      </w:r>
      <w:r w:rsidRPr="005F1037">
        <w:rPr>
          <w:rStyle w:val="af7"/>
          <w:rFonts w:eastAsia="Guttman Hodes" w:hint="cs"/>
          <w:rtl/>
        </w:rPr>
        <w:t xml:space="preserve">(עי' אות </w:t>
      </w:r>
      <w:r w:rsidRPr="005F1037">
        <w:rPr>
          <w:rStyle w:val="af7"/>
          <w:rFonts w:eastAsia="Guttman Hodes"/>
          <w:rtl/>
        </w:rPr>
        <w:fldChar w:fldCharType="begin"/>
      </w:r>
      <w:r w:rsidRPr="005F1037">
        <w:rPr>
          <w:rStyle w:val="af7"/>
          <w:rFonts w:eastAsia="Guttman Hodes"/>
          <w:rtl/>
        </w:rPr>
        <w:instrText xml:space="preserve"> </w:instrText>
      </w:r>
      <w:r w:rsidRPr="005F1037">
        <w:rPr>
          <w:rStyle w:val="af7"/>
          <w:rFonts w:eastAsia="Guttman Hodes" w:hint="cs"/>
        </w:rPr>
        <w:instrText>REF</w:instrText>
      </w:r>
      <w:r w:rsidRPr="005F1037">
        <w:rPr>
          <w:rStyle w:val="af7"/>
          <w:rFonts w:eastAsia="Guttman Hodes" w:hint="cs"/>
          <w:rtl/>
        </w:rPr>
        <w:instrText xml:space="preserve"> _</w:instrText>
      </w:r>
      <w:r w:rsidRPr="005F1037">
        <w:rPr>
          <w:rStyle w:val="af7"/>
          <w:rFonts w:eastAsia="Guttman Hodes" w:hint="cs"/>
        </w:rPr>
        <w:instrText>Ref530072426 \r \h</w:instrText>
      </w:r>
      <w:r w:rsidRPr="005F1037">
        <w:rPr>
          <w:rStyle w:val="af7"/>
          <w:rFonts w:eastAsia="Guttman Hodes"/>
          <w:rtl/>
        </w:rPr>
        <w:instrText xml:space="preserve"> </w:instrText>
      </w:r>
      <w:r w:rsidRPr="005F1037">
        <w:rPr>
          <w:rStyle w:val="af7"/>
          <w:rFonts w:eastAsia="Guttman Hodes"/>
          <w:rtl/>
        </w:rPr>
      </w:r>
      <w:r w:rsidRPr="005F1037">
        <w:rPr>
          <w:rStyle w:val="af7"/>
          <w:rFonts w:eastAsia="Guttman Hodes"/>
          <w:rtl/>
        </w:rPr>
        <w:fldChar w:fldCharType="separate"/>
      </w:r>
      <w:r w:rsidR="00345400">
        <w:rPr>
          <w:rStyle w:val="af7"/>
          <w:rFonts w:eastAsia="Guttman Hodes"/>
          <w:cs/>
        </w:rPr>
        <w:t>‎</w:t>
      </w:r>
      <w:r w:rsidR="00345400">
        <w:rPr>
          <w:rStyle w:val="af7"/>
          <w:rFonts w:eastAsia="Guttman Hodes"/>
          <w:rtl/>
        </w:rPr>
        <w:t>מה)</w:t>
      </w:r>
      <w:r w:rsidRPr="005F1037">
        <w:rPr>
          <w:rStyle w:val="af7"/>
          <w:rFonts w:eastAsia="Guttman Hodes"/>
          <w:rtl/>
        </w:rPr>
        <w:fldChar w:fldCharType="end"/>
      </w:r>
      <w:r>
        <w:rPr>
          <w:rFonts w:hint="cs"/>
          <w:rtl/>
        </w:rPr>
        <w:t xml:space="preserve"> דהא דבממון א"א להוציא מהמחוחזק אינו מחמת שהוא דבר חמור, וא"כ כ"ש בדיני נפשות דחמירי טפי, אלא דבממון יש דין דאזלינן בתר משפטי הממון, [כדביאר </w:t>
      </w:r>
      <w:r w:rsidRPr="00523DBA">
        <w:rPr>
          <w:rStyle w:val="af9"/>
          <w:rFonts w:hint="cs"/>
          <w:rtl/>
        </w:rPr>
        <w:t>בשער"י</w:t>
      </w:r>
      <w:r>
        <w:rPr>
          <w:rFonts w:hint="cs"/>
          <w:rtl/>
        </w:rPr>
        <w:t xml:space="preserve"> </w:t>
      </w:r>
      <w:r w:rsidRPr="005F1037">
        <w:rPr>
          <w:rStyle w:val="af7"/>
          <w:rFonts w:eastAsia="Guttman Hodes" w:hint="cs"/>
          <w:rtl/>
        </w:rPr>
        <w:t xml:space="preserve">(עי' אות </w:t>
      </w:r>
      <w:r w:rsidRPr="005F1037">
        <w:rPr>
          <w:rStyle w:val="af7"/>
          <w:rFonts w:eastAsia="Guttman Hodes"/>
          <w:rtl/>
        </w:rPr>
        <w:fldChar w:fldCharType="begin"/>
      </w:r>
      <w:r w:rsidRPr="005F1037">
        <w:rPr>
          <w:rStyle w:val="af7"/>
          <w:rFonts w:eastAsia="Guttman Hodes"/>
          <w:rtl/>
        </w:rPr>
        <w:instrText xml:space="preserve"> </w:instrText>
      </w:r>
      <w:r w:rsidRPr="005F1037">
        <w:rPr>
          <w:rStyle w:val="af7"/>
          <w:rFonts w:eastAsia="Guttman Hodes" w:hint="cs"/>
        </w:rPr>
        <w:instrText>REF</w:instrText>
      </w:r>
      <w:r w:rsidRPr="005F1037">
        <w:rPr>
          <w:rStyle w:val="af7"/>
          <w:rFonts w:eastAsia="Guttman Hodes" w:hint="cs"/>
          <w:rtl/>
        </w:rPr>
        <w:instrText xml:space="preserve"> _</w:instrText>
      </w:r>
      <w:r w:rsidRPr="005F1037">
        <w:rPr>
          <w:rStyle w:val="af7"/>
          <w:rFonts w:eastAsia="Guttman Hodes" w:hint="cs"/>
        </w:rPr>
        <w:instrText>Ref530331673 \r \h</w:instrText>
      </w:r>
      <w:r w:rsidRPr="005F1037">
        <w:rPr>
          <w:rStyle w:val="af7"/>
          <w:rFonts w:eastAsia="Guttman Hodes"/>
          <w:rtl/>
        </w:rPr>
        <w:instrText xml:space="preserve"> </w:instrText>
      </w:r>
      <w:r w:rsidRPr="005F1037">
        <w:rPr>
          <w:rStyle w:val="af7"/>
          <w:rFonts w:eastAsia="Guttman Hodes"/>
          <w:rtl/>
        </w:rPr>
      </w:r>
      <w:r w:rsidRPr="005F1037">
        <w:rPr>
          <w:rStyle w:val="af7"/>
          <w:rFonts w:eastAsia="Guttman Hodes"/>
          <w:rtl/>
        </w:rPr>
        <w:fldChar w:fldCharType="separate"/>
      </w:r>
      <w:r w:rsidR="00345400">
        <w:rPr>
          <w:rStyle w:val="af7"/>
          <w:rFonts w:eastAsia="Guttman Hodes"/>
          <w:cs/>
        </w:rPr>
        <w:t>‎</w:t>
      </w:r>
      <w:r w:rsidR="00345400">
        <w:rPr>
          <w:rStyle w:val="af7"/>
          <w:rFonts w:eastAsia="Guttman Hodes"/>
          <w:rtl/>
        </w:rPr>
        <w:t>פג)</w:t>
      </w:r>
      <w:r w:rsidRPr="005F1037">
        <w:rPr>
          <w:rStyle w:val="af7"/>
          <w:rFonts w:eastAsia="Guttman Hodes"/>
          <w:rtl/>
        </w:rPr>
        <w:fldChar w:fldCharType="end"/>
      </w:r>
      <w:r>
        <w:rPr>
          <w:rFonts w:hint="cs"/>
          <w:rtl/>
        </w:rPr>
        <w:t xml:space="preserve">], ולכן אמרינן דהמוציא מחבירו עליו הראיה, וכדאיתא בגמ' בב"ק </w:t>
      </w:r>
      <w:r w:rsidRPr="005F1037">
        <w:rPr>
          <w:rStyle w:val="af7"/>
          <w:rFonts w:eastAsia="Guttman Hodes" w:hint="cs"/>
          <w:rtl/>
        </w:rPr>
        <w:t>(מו:)</w:t>
      </w:r>
      <w:r>
        <w:rPr>
          <w:rFonts w:hint="cs"/>
          <w:rtl/>
        </w:rPr>
        <w:t xml:space="preserve"> דהוא סברא דמאן דכאיב ליה כאיבא אזיל לבי אסיא, וזוהי סברא בבין אדם לחבירו, ולא שייך לומר כן בדיני נפשות כלל, ולכן אזלינן בדיני נפשות בתר רוב כשאר דיני התורה.</w:t>
      </w:r>
    </w:p>
    <w:p w14:paraId="2FEE5050" w14:textId="77777777" w:rsidR="00FF73EE" w:rsidRDefault="00FF73EE" w:rsidP="006D6D32">
      <w:pPr>
        <w:pStyle w:val="afe"/>
        <w:rPr>
          <w:rtl/>
        </w:rPr>
      </w:pPr>
      <w:bookmarkStart w:id="10778" w:name="_Toc19435707"/>
      <w:bookmarkStart w:id="10779" w:name="_Toc20080975"/>
      <w:r>
        <w:rPr>
          <w:rFonts w:hint="cs"/>
          <w:rtl/>
        </w:rPr>
        <w:t>בדברי הגרעק"א בהוקבע האיסור ע</w:t>
      </w:r>
      <w:r w:rsidRPr="005F1037">
        <w:rPr>
          <w:rFonts w:cs="Guttman Hodes" w:hint="cs"/>
          <w:rtl/>
        </w:rPr>
        <w:t>"</w:t>
      </w:r>
      <w:r>
        <w:rPr>
          <w:rFonts w:hint="cs"/>
          <w:rtl/>
        </w:rPr>
        <w:t>י הרוב</w:t>
      </w:r>
      <w:bookmarkEnd w:id="10759"/>
      <w:bookmarkEnd w:id="10760"/>
      <w:bookmarkEnd w:id="10761"/>
      <w:bookmarkEnd w:id="10762"/>
      <w:bookmarkEnd w:id="10763"/>
      <w:bookmarkEnd w:id="10764"/>
      <w:bookmarkEnd w:id="10765"/>
      <w:bookmarkEnd w:id="10766"/>
      <w:bookmarkEnd w:id="10767"/>
      <w:bookmarkEnd w:id="10778"/>
      <w:bookmarkEnd w:id="10779"/>
    </w:p>
    <w:p w14:paraId="648BDEA8" w14:textId="77777777" w:rsidR="00FF73EE" w:rsidRDefault="00FF73EE" w:rsidP="00BF39B2">
      <w:pPr>
        <w:pStyle w:val="1"/>
        <w:rPr>
          <w:rtl/>
        </w:rPr>
      </w:pPr>
      <w:bookmarkStart w:id="10780" w:name="_Toc530476243"/>
      <w:bookmarkStart w:id="10781" w:name="_Toc530477191"/>
      <w:bookmarkStart w:id="10782" w:name="_Toc530503042"/>
      <w:bookmarkStart w:id="10783" w:name="_Toc530504592"/>
      <w:bookmarkStart w:id="10784" w:name="_Toc530514428"/>
      <w:bookmarkStart w:id="10785" w:name="_Toc530514531"/>
      <w:bookmarkStart w:id="10786" w:name="_Toc530521980"/>
      <w:bookmarkStart w:id="10787" w:name="_Toc530525055"/>
      <w:bookmarkStart w:id="10788" w:name="_Toc530551212"/>
      <w:bookmarkStart w:id="10789" w:name="_Toc19390405"/>
      <w:bookmarkStart w:id="10790" w:name="_Toc19393902"/>
      <w:r>
        <w:rPr>
          <w:rFonts w:hint="cs"/>
          <w:rtl/>
        </w:rPr>
        <w:t>דברי הקוה"ע בדעת הגרעק"א בהוקבע האיסור ע"י הרוב</w:t>
      </w:r>
      <w:bookmarkEnd w:id="10780"/>
      <w:bookmarkEnd w:id="10781"/>
      <w:bookmarkEnd w:id="10782"/>
      <w:bookmarkEnd w:id="10783"/>
      <w:bookmarkEnd w:id="10784"/>
      <w:bookmarkEnd w:id="10785"/>
      <w:bookmarkEnd w:id="10786"/>
      <w:bookmarkEnd w:id="10787"/>
      <w:bookmarkEnd w:id="10788"/>
      <w:bookmarkEnd w:id="10789"/>
      <w:bookmarkEnd w:id="10790"/>
    </w:p>
    <w:p w14:paraId="64E9CBD0" w14:textId="77777777" w:rsidR="00FF73EE" w:rsidRDefault="00FF73EE" w:rsidP="006D6D32">
      <w:pPr>
        <w:pStyle w:val="a3"/>
        <w:rPr>
          <w:rtl/>
        </w:rPr>
      </w:pPr>
      <w:bookmarkStart w:id="10791" w:name="_Toc530551213"/>
      <w:bookmarkStart w:id="10792" w:name="_Toc19390406"/>
      <w:bookmarkStart w:id="10793" w:name="_Toc19393903"/>
      <w:r>
        <w:rPr>
          <w:rFonts w:hint="cs"/>
          <w:rtl/>
        </w:rPr>
        <w:t>קושית הקוה"ע על הגרעק"א דטריפה ממעשר בהמה לא שייך לדין אכילה והאיך הוקבע הרוב</w:t>
      </w:r>
      <w:bookmarkEnd w:id="10791"/>
      <w:bookmarkEnd w:id="10792"/>
      <w:bookmarkEnd w:id="10793"/>
    </w:p>
    <w:p w14:paraId="783CE345" w14:textId="77777777" w:rsidR="00FF73EE" w:rsidRDefault="00FF73EE" w:rsidP="00223668">
      <w:pPr>
        <w:pStyle w:val="a0"/>
        <w:rPr>
          <w:rtl/>
        </w:rPr>
      </w:pPr>
      <w:bookmarkStart w:id="10794" w:name="_Ref529986381"/>
      <w:r>
        <w:rPr>
          <w:rFonts w:hint="cs"/>
          <w:rtl/>
        </w:rPr>
        <w:t xml:space="preserve">בדברי </w:t>
      </w:r>
      <w:r w:rsidRPr="007A6DCC">
        <w:rPr>
          <w:rStyle w:val="af9"/>
          <w:rFonts w:hint="cs"/>
          <w:rtl/>
        </w:rPr>
        <w:t>הגרעק"א</w:t>
      </w:r>
      <w:r>
        <w:rPr>
          <w:rFonts w:hint="cs"/>
          <w:rtl/>
        </w:rPr>
        <w:t xml:space="preserve"> </w:t>
      </w:r>
      <w:r w:rsidRPr="00983D84">
        <w:rPr>
          <w:rStyle w:val="af7"/>
          <w:rFonts w:eastAsia="Guttman Hodes" w:hint="cs"/>
          <w:rtl/>
        </w:rPr>
        <w:t xml:space="preserve">(עי' אות </w:t>
      </w:r>
      <w:r w:rsidRPr="00983D84">
        <w:rPr>
          <w:rStyle w:val="af7"/>
          <w:rFonts w:eastAsia="Guttman Hodes"/>
          <w:rtl/>
        </w:rPr>
        <w:fldChar w:fldCharType="begin"/>
      </w:r>
      <w:r w:rsidRPr="00983D84">
        <w:rPr>
          <w:rStyle w:val="af7"/>
          <w:rFonts w:eastAsia="Guttman Hodes"/>
          <w:rtl/>
        </w:rPr>
        <w:instrText xml:space="preserve"> </w:instrText>
      </w:r>
      <w:r w:rsidRPr="00983D84">
        <w:rPr>
          <w:rStyle w:val="af7"/>
          <w:rFonts w:eastAsia="Guttman Hodes" w:hint="cs"/>
        </w:rPr>
        <w:instrText>REF</w:instrText>
      </w:r>
      <w:r w:rsidRPr="00983D84">
        <w:rPr>
          <w:rStyle w:val="af7"/>
          <w:rFonts w:eastAsia="Guttman Hodes" w:hint="cs"/>
          <w:rtl/>
        </w:rPr>
        <w:instrText xml:space="preserve"> _</w:instrText>
      </w:r>
      <w:r w:rsidRPr="00983D84">
        <w:rPr>
          <w:rStyle w:val="af7"/>
          <w:rFonts w:eastAsia="Guttman Hodes" w:hint="cs"/>
        </w:rPr>
        <w:instrText>Ref529986287 \r \h</w:instrText>
      </w:r>
      <w:r w:rsidRPr="00983D84">
        <w:rPr>
          <w:rStyle w:val="af7"/>
          <w:rFonts w:eastAsia="Guttman Hodes"/>
          <w:rtl/>
        </w:rPr>
        <w:instrText xml:space="preserve"> </w:instrText>
      </w:r>
      <w:r w:rsidRPr="00983D84">
        <w:rPr>
          <w:rStyle w:val="af7"/>
          <w:rFonts w:eastAsia="Guttman Hodes"/>
          <w:rtl/>
        </w:rPr>
      </w:r>
      <w:r w:rsidRPr="00983D84">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983D84">
        <w:rPr>
          <w:rStyle w:val="af7"/>
          <w:rFonts w:eastAsia="Guttman Hodes"/>
          <w:rtl/>
        </w:rPr>
        <w:fldChar w:fldCharType="end"/>
      </w:r>
      <w:r>
        <w:rPr>
          <w:rFonts w:hint="cs"/>
          <w:rtl/>
        </w:rPr>
        <w:t xml:space="preserve"> דהא דרוב לא הוי כודאי, לענין דין "עשירי ודאי" ולענין "קהל ודאי" היינו דוקא אם הנדון ברוב הוא בזה, אבל כשהנדון ברוב היה על דברים אחרים, חשיב כודאי, הקשה </w:t>
      </w:r>
      <w:r w:rsidRPr="007A6DCC">
        <w:rPr>
          <w:rStyle w:val="af9"/>
          <w:rFonts w:hint="cs"/>
          <w:rtl/>
        </w:rPr>
        <w:t>הקוה"ע</w:t>
      </w:r>
      <w:r>
        <w:rPr>
          <w:rFonts w:hint="cs"/>
          <w:rtl/>
        </w:rPr>
        <w:t xml:space="preserve"> </w:t>
      </w:r>
      <w:r w:rsidRPr="00983D84">
        <w:rPr>
          <w:rStyle w:val="af7"/>
          <w:rFonts w:eastAsia="Guttman Hodes" w:hint="cs"/>
          <w:rtl/>
        </w:rPr>
        <w:t>(סי' כ"א י')</w:t>
      </w:r>
      <w:r>
        <w:rPr>
          <w:rFonts w:hint="cs"/>
          <w:rtl/>
        </w:rPr>
        <w:t xml:space="preserve"> דבשלמא אם דין מעשר בהמה היה תלוי באיסור טריפה, היה אפש"ל דכיון שע"י הרוב הבהמה מותרת באכילה, ממילא אף לענין מעשר בהמה דנים שאינה טריפה, וחייבת במעשר בהמה, דהוי כע"א שמחזיק איסור חלב דנאמן אף למלקות, כיון שהמלקות הם בתולדה מהאיסור שהע"א נאמן בו. אך כתב </w:t>
      </w:r>
      <w:r w:rsidRPr="007A6DCC">
        <w:rPr>
          <w:rStyle w:val="af9"/>
          <w:rFonts w:hint="cs"/>
          <w:rtl/>
        </w:rPr>
        <w:t>הקוה"ע</w:t>
      </w:r>
      <w:r>
        <w:rPr>
          <w:rFonts w:hint="cs"/>
          <w:rtl/>
        </w:rPr>
        <w:t xml:space="preserve"> דכיון שהפטור של טריפה ממעשר בהמה, אינו שייך כלל לאיסור אכילת טריפה, וא"כ מה שעפ"י הרוב אמרינן דאינה טריפה ומותרת באכילה, לא מהני לענין המעשר בהמה, דעליו יש נדון בפנ"ע אם היא טריפה ופטורה ממעשר, ודמי לע"א אומר מת בעלה, דנאמן להתירה ולא נאמן לנחלה, דאף דאם מת בעלה אין חילוק בין היתר האשה למחלה, מ"מ הנאמנות שלו היא רק להתירה, וה"ה ברוב בטריפה.</w:t>
      </w:r>
    </w:p>
    <w:p w14:paraId="52E7BFCF" w14:textId="77777777" w:rsidR="00FF73EE" w:rsidRDefault="00FF73EE" w:rsidP="006D6D32">
      <w:pPr>
        <w:pStyle w:val="a3"/>
        <w:rPr>
          <w:rtl/>
        </w:rPr>
      </w:pPr>
      <w:bookmarkStart w:id="10795" w:name="_Toc530551214"/>
      <w:bookmarkStart w:id="10796" w:name="_Toc19390407"/>
      <w:bookmarkStart w:id="10797" w:name="_Toc19393904"/>
      <w:r>
        <w:rPr>
          <w:rFonts w:hint="cs"/>
          <w:rtl/>
        </w:rPr>
        <w:t>קושית הקוה"ע דרוב שהוא אביו לשאר דינים לא מהני לקהל ודאי שאינו בתולדה ממנו</w:t>
      </w:r>
      <w:bookmarkEnd w:id="10795"/>
      <w:bookmarkEnd w:id="10796"/>
      <w:bookmarkEnd w:id="10797"/>
    </w:p>
    <w:p w14:paraId="1FB637DA" w14:textId="77777777" w:rsidR="00FF73EE" w:rsidRDefault="00FF73EE" w:rsidP="00223668">
      <w:pPr>
        <w:pStyle w:val="a0"/>
        <w:rPr>
          <w:rtl/>
        </w:rPr>
      </w:pPr>
      <w:r>
        <w:rPr>
          <w:rFonts w:hint="cs"/>
          <w:rtl/>
        </w:rPr>
        <w:t xml:space="preserve">וא"כ הקשה </w:t>
      </w:r>
      <w:r w:rsidRPr="007A6DCC">
        <w:rPr>
          <w:rStyle w:val="af9"/>
          <w:rFonts w:hint="cs"/>
          <w:rtl/>
        </w:rPr>
        <w:t>הקוה"ע</w:t>
      </w:r>
      <w:r>
        <w:rPr>
          <w:rFonts w:hint="cs"/>
          <w:rtl/>
        </w:rPr>
        <w:t xml:space="preserve">  דאף דמהני הרוב לומר שמותרת באכילה בודאי, מ"מ לא מהני לדין "עשירי ודאי", וכן לענין דין "קהל ודאי", אף דמהני הרוב לומר שהוא אביו, לענין שאר דברים כמכה אביו, מ"מ לא מהני לענין דין "קהל ודאי" כיון שאינו בתולדה משאר הדינים דמחזקינן שהוא אביו.</w:t>
      </w:r>
      <w:bookmarkEnd w:id="10794"/>
    </w:p>
    <w:p w14:paraId="2C895CE5" w14:textId="77777777" w:rsidR="00FF73EE" w:rsidRDefault="00FF73EE" w:rsidP="006D6D32">
      <w:pPr>
        <w:pStyle w:val="a3"/>
        <w:rPr>
          <w:rtl/>
        </w:rPr>
      </w:pPr>
      <w:bookmarkStart w:id="10798" w:name="_Toc530551215"/>
      <w:bookmarkStart w:id="10799" w:name="_Toc19390408"/>
      <w:bookmarkStart w:id="10800" w:name="_Toc19393905"/>
      <w:r>
        <w:rPr>
          <w:rFonts w:hint="cs"/>
          <w:rtl/>
        </w:rPr>
        <w:t>תירוץ הקוה"ע על קושית הגרעק"א דבקהל ודאי כיון שא"א בלא רוב אף לתורא"ש הוא דין ודאי</w:t>
      </w:r>
      <w:bookmarkEnd w:id="10798"/>
      <w:bookmarkEnd w:id="10799"/>
      <w:bookmarkEnd w:id="10800"/>
    </w:p>
    <w:p w14:paraId="2CBD8799" w14:textId="77777777" w:rsidR="00FF73EE" w:rsidRDefault="00FF73EE" w:rsidP="00223668">
      <w:pPr>
        <w:pStyle w:val="a0"/>
        <w:rPr>
          <w:rtl/>
        </w:rPr>
      </w:pPr>
      <w:bookmarkStart w:id="10801" w:name="_Ref530476185"/>
      <w:r>
        <w:rPr>
          <w:rFonts w:hint="cs"/>
          <w:rtl/>
        </w:rPr>
        <w:t xml:space="preserve">ובעיקר קושית </w:t>
      </w:r>
      <w:r w:rsidRPr="007A6DCC">
        <w:rPr>
          <w:rStyle w:val="af9"/>
          <w:rFonts w:hint="cs"/>
          <w:rtl/>
        </w:rPr>
        <w:t>הגרעק"א</w:t>
      </w:r>
      <w:r>
        <w:rPr>
          <w:rFonts w:hint="cs"/>
          <w:rtl/>
        </w:rPr>
        <w:t xml:space="preserve"> </w:t>
      </w:r>
      <w:r w:rsidRPr="002705B5">
        <w:rPr>
          <w:rStyle w:val="af7"/>
          <w:rFonts w:eastAsia="Guttman Hodes" w:hint="cs"/>
          <w:rtl/>
        </w:rPr>
        <w:t>(ע</w:t>
      </w:r>
      <w:r w:rsidRPr="003E099B">
        <w:rPr>
          <w:rStyle w:val="af7"/>
          <w:rFonts w:eastAsia="Guttman Hodes" w:hint="cs"/>
          <w:rtl/>
        </w:rPr>
        <w:t xml:space="preserve">י' אות </w:t>
      </w:r>
      <w:r w:rsidRPr="003E099B">
        <w:rPr>
          <w:rStyle w:val="af7"/>
          <w:rFonts w:eastAsia="Guttman Hodes"/>
          <w:rtl/>
        </w:rPr>
        <w:fldChar w:fldCharType="begin"/>
      </w:r>
      <w:r w:rsidRPr="003E099B">
        <w:rPr>
          <w:rStyle w:val="af7"/>
          <w:rFonts w:eastAsia="Guttman Hodes"/>
          <w:rtl/>
        </w:rPr>
        <w:instrText xml:space="preserve"> </w:instrText>
      </w:r>
      <w:r w:rsidRPr="003E099B">
        <w:rPr>
          <w:rStyle w:val="af7"/>
          <w:rFonts w:eastAsia="Guttman Hodes" w:hint="cs"/>
        </w:rPr>
        <w:instrText>REF</w:instrText>
      </w:r>
      <w:r w:rsidRPr="003E099B">
        <w:rPr>
          <w:rStyle w:val="af7"/>
          <w:rFonts w:eastAsia="Guttman Hodes" w:hint="cs"/>
          <w:rtl/>
        </w:rPr>
        <w:instrText xml:space="preserve"> _</w:instrText>
      </w:r>
      <w:r w:rsidRPr="003E099B">
        <w:rPr>
          <w:rStyle w:val="af7"/>
          <w:rFonts w:eastAsia="Guttman Hodes" w:hint="cs"/>
        </w:rPr>
        <w:instrText>Ref530300982 \r \h</w:instrText>
      </w:r>
      <w:r w:rsidRPr="003E099B">
        <w:rPr>
          <w:rStyle w:val="af7"/>
          <w:rFonts w:eastAsia="Guttman Hodes"/>
          <w:rtl/>
        </w:rPr>
        <w:instrText xml:space="preserve"> </w:instrText>
      </w:r>
      <w:r w:rsidRPr="003E099B">
        <w:rPr>
          <w:rStyle w:val="af7"/>
          <w:rFonts w:eastAsia="Guttman Hodes"/>
          <w:rtl/>
        </w:rPr>
      </w:r>
      <w:r w:rsidRPr="003E099B">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3E099B">
        <w:rPr>
          <w:rStyle w:val="af7"/>
          <w:rFonts w:eastAsia="Guttman Hodes"/>
          <w:rtl/>
        </w:rPr>
        <w:fldChar w:fldCharType="end"/>
      </w:r>
      <w:r>
        <w:rPr>
          <w:rFonts w:hint="cs"/>
          <w:rtl/>
        </w:rPr>
        <w:t xml:space="preserve"> דלדברי </w:t>
      </w:r>
      <w:r w:rsidRPr="007A6DCC">
        <w:rPr>
          <w:rStyle w:val="af9"/>
          <w:rFonts w:hint="cs"/>
          <w:rtl/>
        </w:rPr>
        <w:t>התוס' הרא"ש בב"מ</w:t>
      </w:r>
      <w:r>
        <w:rPr>
          <w:rFonts w:hint="cs"/>
          <w:rtl/>
        </w:rPr>
        <w:t xml:space="preserve"> לא שייך דין "קהל ודאי", תירץ </w:t>
      </w:r>
      <w:r w:rsidRPr="007A6DCC">
        <w:rPr>
          <w:rStyle w:val="af9"/>
          <w:rFonts w:hint="cs"/>
          <w:rtl/>
        </w:rPr>
        <w:t>הקוה"ע</w:t>
      </w:r>
      <w:r>
        <w:rPr>
          <w:rFonts w:hint="cs"/>
          <w:rtl/>
        </w:rPr>
        <w:t xml:space="preserve"> דאפש"ל דכל דברי </w:t>
      </w:r>
      <w:r w:rsidRPr="007A6DCC">
        <w:rPr>
          <w:rStyle w:val="af9"/>
          <w:rFonts w:hint="cs"/>
          <w:rtl/>
        </w:rPr>
        <w:t>התוס' הרא"ש</w:t>
      </w:r>
      <w:r>
        <w:rPr>
          <w:rFonts w:hint="cs"/>
          <w:rtl/>
        </w:rPr>
        <w:t xml:space="preserve"> שאין לו דין ודאי הוא במקום שאפשר, ולא בדין קהל שאי אפשר שיהיה "קהל ודאי" בלא דין רוב, כדאיתא במסקנת סוגיין.</w:t>
      </w:r>
      <w:bookmarkEnd w:id="10801"/>
    </w:p>
    <w:p w14:paraId="7E07BA37" w14:textId="77777777" w:rsidR="00B606D4" w:rsidRPr="00B606D4" w:rsidRDefault="00B606D4" w:rsidP="00B606D4">
      <w:pPr>
        <w:pStyle w:val="a3"/>
        <w:rPr>
          <w:rtl/>
        </w:rPr>
      </w:pPr>
    </w:p>
    <w:p w14:paraId="097FD4AF" w14:textId="77777777" w:rsidR="00B606D4" w:rsidRPr="00B606D4" w:rsidRDefault="00B606D4" w:rsidP="00B606D4">
      <w:pPr>
        <w:pStyle w:val="a3"/>
        <w:rPr>
          <w:rtl/>
        </w:rPr>
      </w:pPr>
    </w:p>
    <w:p w14:paraId="080EE511" w14:textId="77777777" w:rsidR="00B606D4" w:rsidRPr="00B606D4" w:rsidRDefault="00B606D4" w:rsidP="00B606D4">
      <w:pPr>
        <w:pStyle w:val="a3"/>
        <w:rPr>
          <w:rtl/>
        </w:rPr>
      </w:pPr>
    </w:p>
    <w:p w14:paraId="3E766616" w14:textId="77777777" w:rsidR="00FF73EE" w:rsidRDefault="00FF73EE" w:rsidP="006D6D32">
      <w:pPr>
        <w:pStyle w:val="afe"/>
        <w:rPr>
          <w:rtl/>
        </w:rPr>
      </w:pPr>
      <w:bookmarkStart w:id="10802" w:name="_Toc530476244"/>
      <w:bookmarkStart w:id="10803" w:name="_Toc530477192"/>
      <w:bookmarkStart w:id="10804" w:name="_Toc530503043"/>
      <w:bookmarkStart w:id="10805" w:name="_Toc530504597"/>
      <w:bookmarkStart w:id="10806" w:name="_Toc530514429"/>
      <w:bookmarkStart w:id="10807" w:name="_Toc530514532"/>
      <w:bookmarkStart w:id="10808" w:name="_Toc530521981"/>
      <w:bookmarkStart w:id="10809" w:name="_Toc530525056"/>
      <w:bookmarkStart w:id="10810" w:name="_Toc530551216"/>
      <w:bookmarkStart w:id="10811" w:name="_Toc19435708"/>
      <w:bookmarkStart w:id="10812" w:name="_Toc20080976"/>
      <w:r>
        <w:rPr>
          <w:rFonts w:hint="cs"/>
          <w:rtl/>
        </w:rPr>
        <w:t>בחילוק ביאורי האחרונים בהוקבע האיסור</w:t>
      </w:r>
      <w:bookmarkEnd w:id="10802"/>
      <w:bookmarkEnd w:id="10803"/>
      <w:bookmarkEnd w:id="10804"/>
      <w:bookmarkEnd w:id="10805"/>
      <w:bookmarkEnd w:id="10806"/>
      <w:bookmarkEnd w:id="10807"/>
      <w:bookmarkEnd w:id="10808"/>
      <w:bookmarkEnd w:id="10809"/>
      <w:bookmarkEnd w:id="10810"/>
      <w:bookmarkEnd w:id="10811"/>
      <w:bookmarkEnd w:id="10812"/>
    </w:p>
    <w:p w14:paraId="5F373A93" w14:textId="77777777" w:rsidR="00FF73EE" w:rsidRDefault="00FF73EE" w:rsidP="00BF39B2">
      <w:pPr>
        <w:pStyle w:val="1"/>
        <w:rPr>
          <w:rtl/>
        </w:rPr>
      </w:pPr>
      <w:bookmarkStart w:id="10813" w:name="_Toc530476245"/>
      <w:bookmarkStart w:id="10814" w:name="_Toc530477193"/>
      <w:bookmarkStart w:id="10815" w:name="_Toc530503044"/>
      <w:bookmarkStart w:id="10816" w:name="_Toc530504598"/>
      <w:bookmarkStart w:id="10817" w:name="_Toc530514430"/>
      <w:bookmarkStart w:id="10818" w:name="_Toc530514533"/>
      <w:bookmarkStart w:id="10819" w:name="_Toc530521982"/>
      <w:bookmarkStart w:id="10820" w:name="_Toc530525057"/>
      <w:bookmarkStart w:id="10821" w:name="_Toc530551217"/>
      <w:bookmarkStart w:id="10822" w:name="_Toc19390409"/>
      <w:bookmarkStart w:id="10823" w:name="_Toc19393906"/>
      <w:r>
        <w:rPr>
          <w:rFonts w:hint="cs"/>
          <w:rtl/>
        </w:rPr>
        <w:t>ביאור הגרש"ר בחילוק בין סברות ההפלאה והגרעק"א והש"ש</w:t>
      </w:r>
      <w:bookmarkEnd w:id="10813"/>
      <w:bookmarkEnd w:id="10814"/>
      <w:bookmarkEnd w:id="10815"/>
      <w:bookmarkEnd w:id="10816"/>
      <w:bookmarkEnd w:id="10817"/>
      <w:bookmarkEnd w:id="10818"/>
      <w:bookmarkEnd w:id="10819"/>
      <w:bookmarkEnd w:id="10820"/>
      <w:bookmarkEnd w:id="10821"/>
      <w:bookmarkEnd w:id="10822"/>
      <w:bookmarkEnd w:id="10823"/>
    </w:p>
    <w:p w14:paraId="64CEF869" w14:textId="77777777" w:rsidR="00FF73EE" w:rsidRDefault="00FF73EE" w:rsidP="006D6D32">
      <w:pPr>
        <w:pStyle w:val="a3"/>
        <w:rPr>
          <w:rtl/>
        </w:rPr>
      </w:pPr>
      <w:bookmarkStart w:id="10824" w:name="_Toc530551218"/>
      <w:bookmarkStart w:id="10825" w:name="_Toc19390410"/>
      <w:bookmarkStart w:id="10826" w:name="_Toc19393907"/>
      <w:r>
        <w:rPr>
          <w:rFonts w:hint="cs"/>
          <w:rtl/>
        </w:rPr>
        <w:t>דברי הגרש"ר דלהפלאה כשהנדון לדברים אחרים נולד בב"א עם הממון מהני הרוב ולגרעק"א ל"מ</w:t>
      </w:r>
      <w:bookmarkEnd w:id="10824"/>
      <w:bookmarkEnd w:id="10825"/>
      <w:bookmarkEnd w:id="10826"/>
    </w:p>
    <w:p w14:paraId="731CBA45" w14:textId="77777777" w:rsidR="00FF73EE" w:rsidRDefault="00FF73EE" w:rsidP="00223668">
      <w:pPr>
        <w:pStyle w:val="a0"/>
        <w:rPr>
          <w:rtl/>
        </w:rPr>
      </w:pPr>
      <w:r>
        <w:rPr>
          <w:rFonts w:hint="cs"/>
          <w:rtl/>
        </w:rPr>
        <w:t xml:space="preserve">כתב </w:t>
      </w:r>
      <w:r w:rsidRPr="00523F6D">
        <w:rPr>
          <w:rStyle w:val="af9"/>
          <w:rFonts w:hint="cs"/>
          <w:rtl/>
        </w:rPr>
        <w:t xml:space="preserve">בשיעורי הגרש"ר </w:t>
      </w:r>
      <w:r w:rsidRPr="00523F6D">
        <w:rPr>
          <w:rStyle w:val="af7"/>
          <w:rFonts w:eastAsia="Guttman Hodes" w:hint="cs"/>
          <w:rtl/>
        </w:rPr>
        <w:t xml:space="preserve">(סנהדרין סט. אות ע"ד ד"ה ותי') </w:t>
      </w:r>
      <w:r>
        <w:rPr>
          <w:rFonts w:hint="cs"/>
          <w:rtl/>
        </w:rPr>
        <w:t xml:space="preserve">דיש חילוק בין ביאור </w:t>
      </w:r>
      <w:r w:rsidRPr="00523F6D">
        <w:rPr>
          <w:rStyle w:val="af9"/>
          <w:rFonts w:hint="cs"/>
          <w:rtl/>
        </w:rPr>
        <w:t xml:space="preserve">הגרעק"א </w:t>
      </w:r>
      <w:r w:rsidRPr="00183424">
        <w:rPr>
          <w:rStyle w:val="af7"/>
          <w:rFonts w:eastAsia="Guttman Hodes" w:hint="cs"/>
          <w:rtl/>
        </w:rPr>
        <w:t xml:space="preserve">(עי' אות </w:t>
      </w:r>
      <w:r w:rsidRPr="00183424">
        <w:rPr>
          <w:rStyle w:val="af7"/>
          <w:rFonts w:eastAsia="Guttman Hodes"/>
          <w:rtl/>
        </w:rPr>
        <w:fldChar w:fldCharType="begin"/>
      </w:r>
      <w:r w:rsidRPr="00183424">
        <w:rPr>
          <w:rStyle w:val="af7"/>
          <w:rFonts w:eastAsia="Guttman Hodes"/>
          <w:rtl/>
        </w:rPr>
        <w:instrText xml:space="preserve"> </w:instrText>
      </w:r>
      <w:r w:rsidRPr="00183424">
        <w:rPr>
          <w:rStyle w:val="af7"/>
          <w:rFonts w:eastAsia="Guttman Hodes" w:hint="cs"/>
        </w:rPr>
        <w:instrText>REF</w:instrText>
      </w:r>
      <w:r w:rsidRPr="00183424">
        <w:rPr>
          <w:rStyle w:val="af7"/>
          <w:rFonts w:eastAsia="Guttman Hodes" w:hint="cs"/>
          <w:rtl/>
        </w:rPr>
        <w:instrText xml:space="preserve"> _</w:instrText>
      </w:r>
      <w:r w:rsidRPr="00183424">
        <w:rPr>
          <w:rStyle w:val="af7"/>
          <w:rFonts w:eastAsia="Guttman Hodes" w:hint="cs"/>
        </w:rPr>
        <w:instrText>Ref530418898 \r \h</w:instrText>
      </w:r>
      <w:r w:rsidRPr="00183424">
        <w:rPr>
          <w:rStyle w:val="af7"/>
          <w:rFonts w:eastAsia="Guttman Hodes"/>
          <w:rtl/>
        </w:rPr>
        <w:instrText xml:space="preserve"> </w:instrText>
      </w:r>
      <w:r w:rsidRPr="00183424">
        <w:rPr>
          <w:rStyle w:val="af7"/>
          <w:rFonts w:eastAsia="Guttman Hodes"/>
          <w:rtl/>
        </w:rPr>
      </w:r>
      <w:r w:rsidRPr="00183424">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183424">
        <w:rPr>
          <w:rStyle w:val="af7"/>
          <w:rFonts w:eastAsia="Guttman Hodes"/>
          <w:rtl/>
        </w:rPr>
        <w:fldChar w:fldCharType="end"/>
      </w:r>
      <w:r>
        <w:rPr>
          <w:rFonts w:hint="cs"/>
          <w:rtl/>
        </w:rPr>
        <w:t xml:space="preserve"> לביאור ה</w:t>
      </w:r>
      <w:r w:rsidRPr="00523F6D">
        <w:rPr>
          <w:rStyle w:val="af9"/>
          <w:rFonts w:hint="cs"/>
          <w:rtl/>
        </w:rPr>
        <w:t>הפלאה</w:t>
      </w:r>
      <w:r>
        <w:rPr>
          <w:rFonts w:hint="cs"/>
          <w:rtl/>
        </w:rPr>
        <w:t xml:space="preserve"> </w:t>
      </w:r>
      <w:r w:rsidRPr="00183424">
        <w:rPr>
          <w:rStyle w:val="af7"/>
          <w:rFonts w:eastAsia="Guttman Hodes" w:hint="cs"/>
          <w:rtl/>
        </w:rPr>
        <w:t xml:space="preserve">(עי' אות </w:t>
      </w:r>
      <w:r w:rsidRPr="00183424">
        <w:rPr>
          <w:rStyle w:val="af7"/>
          <w:rFonts w:eastAsia="Guttman Hodes"/>
          <w:rtl/>
        </w:rPr>
        <w:fldChar w:fldCharType="begin"/>
      </w:r>
      <w:r w:rsidRPr="00183424">
        <w:rPr>
          <w:rStyle w:val="af7"/>
          <w:rFonts w:eastAsia="Guttman Hodes"/>
          <w:rtl/>
        </w:rPr>
        <w:instrText xml:space="preserve"> </w:instrText>
      </w:r>
      <w:r w:rsidRPr="00183424">
        <w:rPr>
          <w:rStyle w:val="af7"/>
          <w:rFonts w:eastAsia="Guttman Hodes" w:hint="cs"/>
        </w:rPr>
        <w:instrText>REF</w:instrText>
      </w:r>
      <w:r w:rsidRPr="00183424">
        <w:rPr>
          <w:rStyle w:val="af7"/>
          <w:rFonts w:eastAsia="Guttman Hodes" w:hint="cs"/>
          <w:rtl/>
        </w:rPr>
        <w:instrText xml:space="preserve"> _</w:instrText>
      </w:r>
      <w:r w:rsidRPr="00183424">
        <w:rPr>
          <w:rStyle w:val="af7"/>
          <w:rFonts w:eastAsia="Guttman Hodes" w:hint="cs"/>
        </w:rPr>
        <w:instrText>Ref530304434 \r \h</w:instrText>
      </w:r>
      <w:r w:rsidRPr="00183424">
        <w:rPr>
          <w:rStyle w:val="af7"/>
          <w:rFonts w:eastAsia="Guttman Hodes"/>
          <w:rtl/>
        </w:rPr>
        <w:instrText xml:space="preserve"> </w:instrText>
      </w:r>
      <w:r w:rsidRPr="00183424">
        <w:rPr>
          <w:rStyle w:val="af7"/>
          <w:rFonts w:eastAsia="Guttman Hodes"/>
          <w:rtl/>
        </w:rPr>
      </w:r>
      <w:r w:rsidRPr="00183424">
        <w:rPr>
          <w:rStyle w:val="af7"/>
          <w:rFonts w:eastAsia="Guttman Hodes"/>
          <w:rtl/>
        </w:rPr>
        <w:fldChar w:fldCharType="separate"/>
      </w:r>
      <w:r w:rsidR="00345400">
        <w:rPr>
          <w:rStyle w:val="af7"/>
          <w:rFonts w:eastAsia="Guttman Hodes"/>
          <w:cs/>
        </w:rPr>
        <w:t>‎</w:t>
      </w:r>
      <w:r w:rsidR="00345400">
        <w:rPr>
          <w:rStyle w:val="af7"/>
          <w:rFonts w:eastAsia="Guttman Hodes"/>
          <w:rtl/>
        </w:rPr>
        <w:t>מט)</w:t>
      </w:r>
      <w:r w:rsidRPr="00183424">
        <w:rPr>
          <w:rStyle w:val="af7"/>
          <w:rFonts w:eastAsia="Guttman Hodes"/>
          <w:rtl/>
        </w:rPr>
        <w:fldChar w:fldCharType="end"/>
      </w:r>
      <w:r>
        <w:rPr>
          <w:rFonts w:hint="cs"/>
          <w:rtl/>
        </w:rPr>
        <w:t xml:space="preserve">, דלדברי </w:t>
      </w:r>
      <w:r w:rsidRPr="00523F6D">
        <w:rPr>
          <w:rStyle w:val="af9"/>
          <w:rFonts w:hint="cs"/>
          <w:rtl/>
        </w:rPr>
        <w:t xml:space="preserve">הגרעק"א </w:t>
      </w:r>
      <w:r>
        <w:rPr>
          <w:rFonts w:hint="cs"/>
          <w:rtl/>
        </w:rPr>
        <w:t xml:space="preserve">הא דהוחזק הרוב, הוא כיון שדנו מחמתו מתחילה לענין דברים אחרים, ומשמע דלדעת </w:t>
      </w:r>
      <w:r w:rsidRPr="00523F6D">
        <w:rPr>
          <w:rStyle w:val="af9"/>
          <w:rFonts w:hint="cs"/>
          <w:rtl/>
        </w:rPr>
        <w:t xml:space="preserve">הגרעק"א </w:t>
      </w:r>
      <w:r>
        <w:rPr>
          <w:rFonts w:hint="cs"/>
          <w:rtl/>
        </w:rPr>
        <w:t xml:space="preserve">אם לא היה  נדון לדברים אחרים לא מהני הרוב לממון. אבל </w:t>
      </w:r>
      <w:r w:rsidRPr="00523F6D">
        <w:rPr>
          <w:rStyle w:val="af9"/>
          <w:rFonts w:hint="cs"/>
          <w:rtl/>
        </w:rPr>
        <w:t xml:space="preserve">בהפלאה </w:t>
      </w:r>
      <w:r>
        <w:rPr>
          <w:rFonts w:hint="cs"/>
          <w:rtl/>
        </w:rPr>
        <w:t>משמע דאף אם הנדון של הרוב נולד בבת אחת לענין איסור ולענין ממון, כיון דלאיסור אזלינן בתריה, ה"ה לענין ממון, והא דבממון לא אזלינן בתר רובא, הוא דוקא במקום שכל הנ"מ מהרוב, היא רק לענין ממון.</w:t>
      </w:r>
    </w:p>
    <w:p w14:paraId="3022D903" w14:textId="77777777" w:rsidR="00FF73EE" w:rsidRDefault="00FF73EE" w:rsidP="006D6D32">
      <w:pPr>
        <w:pStyle w:val="a3"/>
        <w:rPr>
          <w:rtl/>
        </w:rPr>
      </w:pPr>
      <w:bookmarkStart w:id="10827" w:name="_Toc530551219"/>
      <w:bookmarkStart w:id="10828" w:name="_Toc19390411"/>
      <w:bookmarkStart w:id="10829" w:name="_Toc19393908"/>
      <w:r>
        <w:rPr>
          <w:rFonts w:hint="cs"/>
          <w:rtl/>
        </w:rPr>
        <w:t>דברי הגרש"ר דלדעת הש"ש הוקבע האיסור ע"י רוב מהני רק לתולדה מהאיסור שהוקבע</w:t>
      </w:r>
      <w:bookmarkEnd w:id="10827"/>
      <w:bookmarkEnd w:id="10828"/>
      <w:bookmarkEnd w:id="10829"/>
    </w:p>
    <w:p w14:paraId="43EC09F4" w14:textId="77777777" w:rsidR="00FF73EE" w:rsidRDefault="00FF73EE" w:rsidP="00223668">
      <w:pPr>
        <w:pStyle w:val="a0"/>
        <w:rPr>
          <w:rtl/>
        </w:rPr>
      </w:pPr>
      <w:r>
        <w:rPr>
          <w:rFonts w:hint="cs"/>
          <w:rtl/>
        </w:rPr>
        <w:t xml:space="preserve">ובדעת </w:t>
      </w:r>
      <w:r w:rsidRPr="003D6758">
        <w:rPr>
          <w:rStyle w:val="af9"/>
          <w:rFonts w:hint="cs"/>
          <w:rtl/>
        </w:rPr>
        <w:t>הש"ש</w:t>
      </w:r>
      <w:r>
        <w:rPr>
          <w:rFonts w:hint="cs"/>
          <w:rtl/>
        </w:rPr>
        <w:t xml:space="preserve"> </w:t>
      </w:r>
      <w:r w:rsidRPr="00183424">
        <w:rPr>
          <w:rStyle w:val="af7"/>
          <w:rFonts w:eastAsia="Guttman Hodes" w:hint="cs"/>
          <w:rtl/>
        </w:rPr>
        <w:t xml:space="preserve">(עי' אות </w:t>
      </w:r>
      <w:r w:rsidRPr="00183424">
        <w:rPr>
          <w:rStyle w:val="af7"/>
          <w:rFonts w:eastAsia="Guttman Hodes"/>
          <w:rtl/>
        </w:rPr>
        <w:fldChar w:fldCharType="begin"/>
      </w:r>
      <w:r w:rsidRPr="00183424">
        <w:rPr>
          <w:rStyle w:val="af7"/>
          <w:rFonts w:eastAsia="Guttman Hodes"/>
          <w:rtl/>
        </w:rPr>
        <w:instrText xml:space="preserve"> </w:instrText>
      </w:r>
      <w:r w:rsidRPr="00183424">
        <w:rPr>
          <w:rStyle w:val="af7"/>
          <w:rFonts w:eastAsia="Guttman Hodes" w:hint="cs"/>
        </w:rPr>
        <w:instrText>REF</w:instrText>
      </w:r>
      <w:r w:rsidRPr="00183424">
        <w:rPr>
          <w:rStyle w:val="af7"/>
          <w:rFonts w:eastAsia="Guttman Hodes" w:hint="cs"/>
          <w:rtl/>
        </w:rPr>
        <w:instrText xml:space="preserve"> _</w:instrText>
      </w:r>
      <w:r w:rsidRPr="00183424">
        <w:rPr>
          <w:rStyle w:val="af7"/>
          <w:rFonts w:eastAsia="Guttman Hodes" w:hint="cs"/>
        </w:rPr>
        <w:instrText>Ref530304408 \r \h</w:instrText>
      </w:r>
      <w:r w:rsidRPr="00183424">
        <w:rPr>
          <w:rStyle w:val="af7"/>
          <w:rFonts w:eastAsia="Guttman Hodes"/>
          <w:rtl/>
        </w:rPr>
        <w:instrText xml:space="preserve"> </w:instrText>
      </w:r>
      <w:r w:rsidRPr="00183424">
        <w:rPr>
          <w:rStyle w:val="af7"/>
          <w:rFonts w:eastAsia="Guttman Hodes"/>
          <w:rtl/>
        </w:rPr>
      </w:r>
      <w:r w:rsidRPr="00183424">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183424">
        <w:rPr>
          <w:rStyle w:val="af7"/>
          <w:rFonts w:eastAsia="Guttman Hodes"/>
          <w:rtl/>
        </w:rPr>
        <w:fldChar w:fldCharType="end"/>
      </w:r>
      <w:r>
        <w:rPr>
          <w:rFonts w:hint="cs"/>
          <w:rtl/>
        </w:rPr>
        <w:t xml:space="preserve"> כתב </w:t>
      </w:r>
      <w:r w:rsidRPr="0007255A">
        <w:rPr>
          <w:rStyle w:val="af9"/>
          <w:rFonts w:hint="cs"/>
          <w:rtl/>
        </w:rPr>
        <w:t>בשיעורי הגרש"ר</w:t>
      </w:r>
      <w:r>
        <w:rPr>
          <w:rFonts w:hint="cs"/>
          <w:rtl/>
        </w:rPr>
        <w:t xml:space="preserve"> </w:t>
      </w:r>
      <w:r w:rsidRPr="0007255A">
        <w:rPr>
          <w:rStyle w:val="af7"/>
          <w:rFonts w:eastAsia="Guttman Hodes" w:hint="cs"/>
          <w:rtl/>
        </w:rPr>
        <w:t>(סנהדרין סט. אות ע"</w:t>
      </w:r>
      <w:r>
        <w:rPr>
          <w:rStyle w:val="af7"/>
          <w:rFonts w:eastAsia="Guttman Hodes" w:hint="cs"/>
          <w:rtl/>
        </w:rPr>
        <w:t>ד ד"ה והנה בש"ש)</w:t>
      </w:r>
      <w:r>
        <w:rPr>
          <w:rFonts w:hint="cs"/>
          <w:rtl/>
        </w:rPr>
        <w:t xml:space="preserve"> דכל מה שהוקבע ע"י הרוב, הוא רק לדברים שבאים בתולדה מהדין של האיסור שבו מהני הרוב, דהיינו בע"א שמעיד על החלב, דהמלקות הם תולדה מהאיסור חלב, וכן ברוב שהאשה אסורה באיסור אשת איש, דהמיתה היא תולדה של האיסור, אבל במקום שהממון אינו תולדה מהאיסור, כתינוק שנמצא בעיר שרובה ישראל, דאף שלענין איסור הוקבע דינו ע"י הרוב שהוא ישראל, מ"מ לא מהני הרוב להחשיבו כישראל בדיני ממונות במקום שנגחו את שורו.</w:t>
      </w:r>
    </w:p>
    <w:p w14:paraId="5146A284" w14:textId="77777777" w:rsidR="00FF73EE" w:rsidRDefault="00FF73EE" w:rsidP="006D6D32">
      <w:pPr>
        <w:pStyle w:val="a3"/>
        <w:rPr>
          <w:rtl/>
        </w:rPr>
      </w:pPr>
      <w:bookmarkStart w:id="10830" w:name="_Toc530551220"/>
      <w:bookmarkStart w:id="10831" w:name="_Toc19390412"/>
      <w:bookmarkStart w:id="10832" w:name="_Toc19393909"/>
      <w:r>
        <w:rPr>
          <w:rFonts w:hint="cs"/>
          <w:rtl/>
        </w:rPr>
        <w:t>דברי הגרש"ר דלהפלאה ולגרעק"א הוקבע האיסור ברוב מהני לכל דבר אף שאינו בתולדה</w:t>
      </w:r>
      <w:bookmarkEnd w:id="10830"/>
      <w:bookmarkEnd w:id="10831"/>
      <w:bookmarkEnd w:id="10832"/>
    </w:p>
    <w:p w14:paraId="1DD589BB" w14:textId="77777777" w:rsidR="00FF73EE" w:rsidRDefault="00FF73EE" w:rsidP="00223668">
      <w:pPr>
        <w:pStyle w:val="a0"/>
        <w:rPr>
          <w:rtl/>
        </w:rPr>
      </w:pPr>
      <w:r>
        <w:rPr>
          <w:rFonts w:hint="cs"/>
          <w:rtl/>
        </w:rPr>
        <w:t xml:space="preserve">וכתב </w:t>
      </w:r>
      <w:r w:rsidRPr="0007255A">
        <w:rPr>
          <w:rStyle w:val="af9"/>
          <w:rFonts w:hint="cs"/>
          <w:rtl/>
        </w:rPr>
        <w:t>בשיעורי הגרש"ר</w:t>
      </w:r>
      <w:r>
        <w:rPr>
          <w:rFonts w:hint="cs"/>
          <w:rtl/>
        </w:rPr>
        <w:t xml:space="preserve"> </w:t>
      </w:r>
      <w:r w:rsidRPr="0007255A">
        <w:rPr>
          <w:rStyle w:val="af7"/>
          <w:rFonts w:eastAsia="Guttman Hodes" w:hint="cs"/>
          <w:rtl/>
        </w:rPr>
        <w:t>(סנהדרין סט. אות ע"</w:t>
      </w:r>
      <w:r>
        <w:rPr>
          <w:rStyle w:val="af7"/>
          <w:rFonts w:eastAsia="Guttman Hodes" w:hint="cs"/>
          <w:rtl/>
        </w:rPr>
        <w:t>ד ד"ה ומבואר)</w:t>
      </w:r>
      <w:r>
        <w:rPr>
          <w:rFonts w:hint="cs"/>
          <w:rtl/>
        </w:rPr>
        <w:t xml:space="preserve"> </w:t>
      </w:r>
      <w:r w:rsidRPr="003D6758">
        <w:rPr>
          <w:rStyle w:val="af9"/>
          <w:rFonts w:hint="cs"/>
          <w:rtl/>
        </w:rPr>
        <w:t xml:space="preserve">דההפלאה והגרעק"א </w:t>
      </w:r>
      <w:r>
        <w:rPr>
          <w:rFonts w:hint="cs"/>
          <w:rtl/>
        </w:rPr>
        <w:t xml:space="preserve">פליגי בזה על </w:t>
      </w:r>
      <w:r w:rsidRPr="003D6758">
        <w:rPr>
          <w:rStyle w:val="af9"/>
          <w:rFonts w:hint="cs"/>
          <w:rtl/>
        </w:rPr>
        <w:t>הש"ש</w:t>
      </w:r>
      <w:r>
        <w:rPr>
          <w:rFonts w:hint="cs"/>
          <w:rtl/>
        </w:rPr>
        <w:t>, וס"ל דכל שהוקבע ע"י הרוב</w:t>
      </w:r>
      <w:r w:rsidRPr="000669B4">
        <w:rPr>
          <w:rFonts w:hint="cs"/>
          <w:rtl/>
        </w:rPr>
        <w:t xml:space="preserve"> </w:t>
      </w:r>
      <w:r>
        <w:rPr>
          <w:rFonts w:hint="cs"/>
          <w:rtl/>
        </w:rPr>
        <w:t>דין האיסור, מהני הרוב אף לדברים שאינם בתולדה מהאיסור, כנגיחת שורו.</w:t>
      </w:r>
    </w:p>
    <w:p w14:paraId="2411945E" w14:textId="77777777" w:rsidR="00FF73EE" w:rsidRDefault="00FF73EE" w:rsidP="006D6D32">
      <w:pPr>
        <w:pStyle w:val="afe"/>
        <w:rPr>
          <w:rtl/>
        </w:rPr>
      </w:pPr>
      <w:bookmarkStart w:id="10833" w:name="_Toc530476246"/>
      <w:bookmarkStart w:id="10834" w:name="_Toc530477194"/>
      <w:bookmarkStart w:id="10835" w:name="_Toc530503045"/>
      <w:bookmarkStart w:id="10836" w:name="_Toc530504602"/>
      <w:bookmarkStart w:id="10837" w:name="_Toc530514431"/>
      <w:bookmarkStart w:id="10838" w:name="_Toc530514534"/>
      <w:bookmarkStart w:id="10839" w:name="_Toc530521983"/>
      <w:bookmarkStart w:id="10840" w:name="_Toc530525058"/>
      <w:bookmarkStart w:id="10841" w:name="_Toc530551221"/>
      <w:bookmarkStart w:id="10842" w:name="_Toc19435709"/>
      <w:bookmarkStart w:id="10843" w:name="_Toc20080977"/>
      <w:r>
        <w:rPr>
          <w:rFonts w:hint="cs"/>
          <w:rtl/>
        </w:rPr>
        <w:t>למסקנא מכה אביו א"צ לדין רוב</w:t>
      </w:r>
      <w:bookmarkEnd w:id="10833"/>
      <w:r>
        <w:rPr>
          <w:rFonts w:hint="cs"/>
          <w:rtl/>
        </w:rPr>
        <w:t xml:space="preserve"> כלל</w:t>
      </w:r>
      <w:bookmarkEnd w:id="10834"/>
      <w:bookmarkEnd w:id="10835"/>
      <w:bookmarkEnd w:id="10836"/>
      <w:bookmarkEnd w:id="10837"/>
      <w:bookmarkEnd w:id="10838"/>
      <w:bookmarkEnd w:id="10839"/>
      <w:bookmarkEnd w:id="10840"/>
      <w:bookmarkEnd w:id="10841"/>
      <w:bookmarkEnd w:id="10842"/>
      <w:bookmarkEnd w:id="10843"/>
    </w:p>
    <w:p w14:paraId="51758DEC" w14:textId="77777777" w:rsidR="00FF73EE" w:rsidRDefault="00FF73EE" w:rsidP="00BF39B2">
      <w:pPr>
        <w:pStyle w:val="1"/>
        <w:rPr>
          <w:rtl/>
        </w:rPr>
      </w:pPr>
      <w:bookmarkStart w:id="10844" w:name="_Toc530476247"/>
      <w:bookmarkStart w:id="10845" w:name="_Toc530477195"/>
      <w:bookmarkStart w:id="10846" w:name="_Toc530503046"/>
      <w:bookmarkStart w:id="10847" w:name="_Toc530504603"/>
      <w:bookmarkStart w:id="10848" w:name="_Toc530514432"/>
      <w:bookmarkStart w:id="10849" w:name="_Toc530514535"/>
      <w:bookmarkStart w:id="10850" w:name="_Toc530521984"/>
      <w:bookmarkStart w:id="10851" w:name="_Toc530525059"/>
      <w:bookmarkStart w:id="10852" w:name="_Toc530551222"/>
      <w:bookmarkStart w:id="10853" w:name="_Toc19390413"/>
      <w:bookmarkStart w:id="10854" w:name="_Toc19393910"/>
      <w:r>
        <w:rPr>
          <w:rFonts w:hint="cs"/>
          <w:rtl/>
        </w:rPr>
        <w:t>דברי הקה"י</w:t>
      </w:r>
      <w:bookmarkEnd w:id="10768"/>
      <w:bookmarkEnd w:id="10769"/>
      <w:bookmarkEnd w:id="10770"/>
      <w:bookmarkEnd w:id="10844"/>
      <w:bookmarkEnd w:id="10845"/>
      <w:bookmarkEnd w:id="10846"/>
      <w:bookmarkEnd w:id="10847"/>
      <w:bookmarkEnd w:id="10848"/>
      <w:bookmarkEnd w:id="10849"/>
      <w:bookmarkEnd w:id="10850"/>
      <w:bookmarkEnd w:id="10851"/>
      <w:bookmarkEnd w:id="10852"/>
      <w:r w:rsidRPr="00527AC0">
        <w:rPr>
          <w:rFonts w:hint="cs"/>
          <w:rtl/>
        </w:rPr>
        <w:t xml:space="preserve"> </w:t>
      </w:r>
      <w:r>
        <w:rPr>
          <w:rFonts w:hint="cs"/>
          <w:rtl/>
        </w:rPr>
        <w:t>דבמכה אביו הוא מיעוטא דמיעוטא ואינו מדין רוב</w:t>
      </w:r>
      <w:bookmarkEnd w:id="10853"/>
      <w:bookmarkEnd w:id="10854"/>
      <w:r>
        <w:rPr>
          <w:rFonts w:hint="cs"/>
          <w:rtl/>
        </w:rPr>
        <w:t xml:space="preserve"> </w:t>
      </w:r>
    </w:p>
    <w:p w14:paraId="25D28448" w14:textId="77777777" w:rsidR="00FF73EE" w:rsidRDefault="00FF73EE" w:rsidP="006D6D32">
      <w:pPr>
        <w:pStyle w:val="a3"/>
        <w:rPr>
          <w:rtl/>
        </w:rPr>
      </w:pPr>
      <w:bookmarkStart w:id="10855" w:name="_Toc530349007"/>
      <w:bookmarkStart w:id="10856" w:name="_Toc530395898"/>
      <w:bookmarkStart w:id="10857" w:name="_Toc530411103"/>
      <w:bookmarkStart w:id="10858" w:name="_Toc530476248"/>
      <w:bookmarkStart w:id="10859" w:name="_Toc530477196"/>
      <w:bookmarkStart w:id="10860" w:name="_Toc530503047"/>
      <w:bookmarkStart w:id="10861" w:name="_Toc530504604"/>
      <w:bookmarkStart w:id="10862" w:name="_Toc530514433"/>
      <w:bookmarkStart w:id="10863" w:name="_Toc530514536"/>
      <w:bookmarkStart w:id="10864" w:name="_Toc530521985"/>
      <w:bookmarkStart w:id="10865" w:name="_Toc530525060"/>
      <w:bookmarkStart w:id="10866" w:name="_Toc530551223"/>
      <w:bookmarkStart w:id="10867" w:name="_Toc19390414"/>
      <w:bookmarkStart w:id="10868" w:name="_Toc19393911"/>
      <w:r w:rsidRPr="005264DB">
        <w:rPr>
          <w:rFonts w:hint="cs"/>
          <w:rtl/>
        </w:rPr>
        <w:t>קושית הקה"י היאך ילפינן את דין רובא דל"ק מרוב בחשש דדלמא לאו אביו דהוא חשש רחוק</w:t>
      </w:r>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p>
    <w:p w14:paraId="18298710" w14:textId="77777777" w:rsidR="00FF73EE" w:rsidRDefault="00FF73EE" w:rsidP="00223668">
      <w:pPr>
        <w:pStyle w:val="a0"/>
      </w:pPr>
      <w:bookmarkStart w:id="10869" w:name="_Toc530147730"/>
      <w:bookmarkStart w:id="10870" w:name="_Toc530148058"/>
      <w:r>
        <w:rPr>
          <w:rFonts w:hint="cs"/>
          <w:rtl/>
        </w:rPr>
        <w:t xml:space="preserve">הביא </w:t>
      </w:r>
      <w:r w:rsidRPr="006F529A">
        <w:rPr>
          <w:rStyle w:val="af9"/>
          <w:rFonts w:hint="cs"/>
          <w:rtl/>
        </w:rPr>
        <w:t>הקה"י</w:t>
      </w:r>
      <w:r>
        <w:rPr>
          <w:rFonts w:hint="cs"/>
          <w:rtl/>
        </w:rPr>
        <w:t xml:space="preserve"> </w:t>
      </w:r>
      <w:r w:rsidRPr="007446B6">
        <w:rPr>
          <w:rStyle w:val="af7"/>
          <w:rFonts w:eastAsia="Guttman Hodes" w:hint="cs"/>
          <w:rtl/>
        </w:rPr>
        <w:t>(סי' ז' א', קידושין סי' ל"ו ב')</w:t>
      </w:r>
      <w:r>
        <w:rPr>
          <w:rFonts w:hint="cs"/>
          <w:rtl/>
        </w:rPr>
        <w:t xml:space="preserve"> את קושית </w:t>
      </w:r>
      <w:r w:rsidRPr="006F529A">
        <w:rPr>
          <w:rStyle w:val="af9"/>
          <w:rFonts w:hint="cs"/>
          <w:rtl/>
        </w:rPr>
        <w:t>הגרעק"א</w:t>
      </w:r>
      <w:r>
        <w:rPr>
          <w:rFonts w:hint="cs"/>
          <w:rtl/>
        </w:rPr>
        <w:t xml:space="preserve"> </w:t>
      </w:r>
      <w:r w:rsidRPr="007446B6">
        <w:rPr>
          <w:rStyle w:val="af7"/>
          <w:rFonts w:eastAsia="Guttman Hodes" w:hint="cs"/>
          <w:rtl/>
        </w:rPr>
        <w:t xml:space="preserve">(עי' אות </w:t>
      </w:r>
      <w:r w:rsidRPr="007446B6">
        <w:rPr>
          <w:rStyle w:val="af7"/>
          <w:rFonts w:eastAsia="Guttman Hodes"/>
          <w:rtl/>
        </w:rPr>
        <w:fldChar w:fldCharType="begin"/>
      </w:r>
      <w:r w:rsidRPr="007446B6">
        <w:rPr>
          <w:rStyle w:val="af7"/>
          <w:rFonts w:eastAsia="Guttman Hodes"/>
          <w:rtl/>
        </w:rPr>
        <w:instrText xml:space="preserve"> </w:instrText>
      </w:r>
      <w:r w:rsidRPr="007446B6">
        <w:rPr>
          <w:rStyle w:val="af7"/>
          <w:rFonts w:eastAsia="Guttman Hodes" w:hint="cs"/>
        </w:rPr>
        <w:instrText>REF</w:instrText>
      </w:r>
      <w:r w:rsidRPr="007446B6">
        <w:rPr>
          <w:rStyle w:val="af7"/>
          <w:rFonts w:eastAsia="Guttman Hodes" w:hint="cs"/>
          <w:rtl/>
        </w:rPr>
        <w:instrText xml:space="preserve"> _</w:instrText>
      </w:r>
      <w:r w:rsidRPr="007446B6">
        <w:rPr>
          <w:rStyle w:val="af7"/>
          <w:rFonts w:eastAsia="Guttman Hodes" w:hint="cs"/>
        </w:rPr>
        <w:instrText>Ref530300982 \r \h</w:instrText>
      </w:r>
      <w:r w:rsidRPr="007446B6">
        <w:rPr>
          <w:rStyle w:val="af7"/>
          <w:rFonts w:eastAsia="Guttman Hodes"/>
          <w:rtl/>
        </w:rPr>
        <w:instrText xml:space="preserve"> </w:instrText>
      </w:r>
      <w:r w:rsidRPr="007446B6">
        <w:rPr>
          <w:rStyle w:val="af7"/>
          <w:rFonts w:eastAsia="Guttman Hodes"/>
          <w:rtl/>
        </w:rPr>
      </w:r>
      <w:r w:rsidRPr="007446B6">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7446B6">
        <w:rPr>
          <w:rStyle w:val="af7"/>
          <w:rFonts w:eastAsia="Guttman Hodes"/>
          <w:rtl/>
        </w:rPr>
        <w:fldChar w:fldCharType="end"/>
      </w:r>
      <w:r>
        <w:rPr>
          <w:rFonts w:hint="cs"/>
          <w:rtl/>
        </w:rPr>
        <w:t xml:space="preserve"> </w:t>
      </w:r>
      <w:r w:rsidRPr="006F529A">
        <w:rPr>
          <w:rStyle w:val="af9"/>
          <w:rFonts w:hint="cs"/>
          <w:rtl/>
        </w:rPr>
        <w:t>והש"ש</w:t>
      </w:r>
      <w:r>
        <w:rPr>
          <w:rFonts w:hint="cs"/>
          <w:rtl/>
        </w:rPr>
        <w:t xml:space="preserve"> </w:t>
      </w:r>
      <w:r w:rsidRPr="007446B6">
        <w:rPr>
          <w:rStyle w:val="af7"/>
          <w:rFonts w:eastAsia="Guttman Hodes" w:hint="cs"/>
          <w:rtl/>
        </w:rPr>
        <w:t xml:space="preserve">(עי' אות </w:t>
      </w:r>
      <w:r w:rsidRPr="007446B6">
        <w:rPr>
          <w:rStyle w:val="af7"/>
          <w:rFonts w:eastAsia="Guttman Hodes"/>
          <w:rtl/>
        </w:rPr>
        <w:fldChar w:fldCharType="begin"/>
      </w:r>
      <w:r w:rsidRPr="007446B6">
        <w:rPr>
          <w:rStyle w:val="af7"/>
          <w:rFonts w:eastAsia="Guttman Hodes"/>
          <w:rtl/>
        </w:rPr>
        <w:instrText xml:space="preserve"> </w:instrText>
      </w:r>
      <w:r w:rsidRPr="007446B6">
        <w:rPr>
          <w:rStyle w:val="af7"/>
          <w:rFonts w:eastAsia="Guttman Hodes" w:hint="cs"/>
        </w:rPr>
        <w:instrText>REF</w:instrText>
      </w:r>
      <w:r w:rsidRPr="007446B6">
        <w:rPr>
          <w:rStyle w:val="af7"/>
          <w:rFonts w:eastAsia="Guttman Hodes" w:hint="cs"/>
          <w:rtl/>
        </w:rPr>
        <w:instrText xml:space="preserve"> _</w:instrText>
      </w:r>
      <w:r w:rsidRPr="007446B6">
        <w:rPr>
          <w:rStyle w:val="af7"/>
          <w:rFonts w:eastAsia="Guttman Hodes" w:hint="cs"/>
        </w:rPr>
        <w:instrText>Ref530304408 \r \h</w:instrText>
      </w:r>
      <w:r w:rsidRPr="007446B6">
        <w:rPr>
          <w:rStyle w:val="af7"/>
          <w:rFonts w:eastAsia="Guttman Hodes"/>
          <w:rtl/>
        </w:rPr>
        <w:instrText xml:space="preserve"> </w:instrText>
      </w:r>
      <w:r w:rsidRPr="007446B6">
        <w:rPr>
          <w:rStyle w:val="af7"/>
          <w:rFonts w:eastAsia="Guttman Hodes"/>
          <w:rtl/>
        </w:rPr>
      </w:r>
      <w:r w:rsidRPr="007446B6">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7446B6">
        <w:rPr>
          <w:rStyle w:val="af7"/>
          <w:rFonts w:eastAsia="Guttman Hodes"/>
          <w:rtl/>
        </w:rPr>
        <w:fldChar w:fldCharType="end"/>
      </w:r>
      <w:r>
        <w:rPr>
          <w:rFonts w:hint="cs"/>
          <w:rtl/>
        </w:rPr>
        <w:t xml:space="preserve"> על דברי </w:t>
      </w:r>
      <w:r w:rsidRPr="006F529A">
        <w:rPr>
          <w:rStyle w:val="af9"/>
          <w:rFonts w:hint="cs"/>
          <w:rtl/>
        </w:rPr>
        <w:t>התוס' הרא"ש בב"מ</w:t>
      </w:r>
      <w:r>
        <w:rPr>
          <w:rFonts w:hint="cs"/>
          <w:rtl/>
        </w:rPr>
        <w:t xml:space="preserve"> דכתב דרוב אינו דין ודאי, דא"כ היאך שייך "ודאי קהל" הא בסוגיין מבואר דעל כאו"א יש חשש דילמא אינו בנו של אביו, ורק ע"י הרוב אמרינן דהוא בנו, וא"כ כל </w:t>
      </w:r>
      <w:r w:rsidRPr="00C24541">
        <w:rPr>
          <w:rFonts w:hint="cs"/>
          <w:rtl/>
        </w:rPr>
        <w:t>הקהל אינו בדין ודאי</w:t>
      </w:r>
      <w:r>
        <w:rPr>
          <w:rFonts w:hint="cs"/>
          <w:rtl/>
        </w:rPr>
        <w:t xml:space="preserve">. </w:t>
      </w:r>
      <w:r w:rsidRPr="007446B6">
        <w:rPr>
          <w:rStyle w:val="afb"/>
          <w:rFonts w:hint="cs"/>
          <w:rtl/>
        </w:rPr>
        <w:t xml:space="preserve">[והביא </w:t>
      </w:r>
      <w:bookmarkEnd w:id="10869"/>
      <w:bookmarkEnd w:id="10870"/>
      <w:r w:rsidRPr="002705B5">
        <w:rPr>
          <w:rStyle w:val="affa"/>
          <w:rFonts w:hint="cs"/>
          <w:rtl/>
        </w:rPr>
        <w:t>הקה"י</w:t>
      </w:r>
      <w:r w:rsidRPr="007446B6">
        <w:rPr>
          <w:rStyle w:val="afb"/>
          <w:rFonts w:hint="cs"/>
          <w:rtl/>
        </w:rPr>
        <w:t xml:space="preserve"> את דברי </w:t>
      </w:r>
      <w:r w:rsidRPr="002705B5">
        <w:rPr>
          <w:rStyle w:val="affa"/>
          <w:rFonts w:hint="cs"/>
          <w:rtl/>
        </w:rPr>
        <w:t>הש"ש</w:t>
      </w:r>
      <w:r w:rsidRPr="007446B6">
        <w:rPr>
          <w:rStyle w:val="afb"/>
          <w:rFonts w:hint="cs"/>
          <w:rtl/>
        </w:rPr>
        <w:t xml:space="preserve"> </w:t>
      </w:r>
      <w:r w:rsidRPr="002705B5">
        <w:rPr>
          <w:rStyle w:val="aff6"/>
          <w:rFonts w:hint="cs"/>
          <w:rtl/>
        </w:rPr>
        <w:t xml:space="preserve">(עי' אות </w:t>
      </w:r>
      <w:r w:rsidRPr="002705B5">
        <w:rPr>
          <w:rStyle w:val="aff6"/>
          <w:rtl/>
        </w:rPr>
        <w:fldChar w:fldCharType="begin"/>
      </w:r>
      <w:r w:rsidRPr="002705B5">
        <w:rPr>
          <w:rStyle w:val="aff6"/>
          <w:rtl/>
        </w:rPr>
        <w:instrText xml:space="preserve"> </w:instrText>
      </w:r>
      <w:r w:rsidRPr="002705B5">
        <w:rPr>
          <w:rStyle w:val="aff6"/>
          <w:rFonts w:hint="cs"/>
        </w:rPr>
        <w:instrText>REF</w:instrText>
      </w:r>
      <w:r w:rsidRPr="002705B5">
        <w:rPr>
          <w:rStyle w:val="aff6"/>
          <w:rFonts w:hint="cs"/>
          <w:rtl/>
        </w:rPr>
        <w:instrText xml:space="preserve"> _</w:instrText>
      </w:r>
      <w:r w:rsidRPr="002705B5">
        <w:rPr>
          <w:rStyle w:val="aff6"/>
          <w:rFonts w:hint="cs"/>
        </w:rPr>
        <w:instrText>Ref530304408 \r \h</w:instrText>
      </w:r>
      <w:r w:rsidRPr="002705B5">
        <w:rPr>
          <w:rStyle w:val="aff6"/>
          <w:rtl/>
        </w:rPr>
        <w:instrText xml:space="preserve"> </w:instrText>
      </w:r>
      <w:r w:rsidRPr="002705B5">
        <w:rPr>
          <w:rStyle w:val="aff6"/>
          <w:rtl/>
        </w:rPr>
      </w:r>
      <w:r w:rsidRPr="002705B5">
        <w:rPr>
          <w:rStyle w:val="aff6"/>
          <w:rtl/>
        </w:rPr>
        <w:fldChar w:fldCharType="separate"/>
      </w:r>
      <w:r w:rsidR="00345400">
        <w:rPr>
          <w:rStyle w:val="aff6"/>
          <w:cs/>
        </w:rPr>
        <w:t>‎</w:t>
      </w:r>
      <w:r w:rsidR="00345400">
        <w:rPr>
          <w:rStyle w:val="aff6"/>
          <w:rtl/>
        </w:rPr>
        <w:t>נח)</w:t>
      </w:r>
      <w:r w:rsidRPr="002705B5">
        <w:rPr>
          <w:rStyle w:val="aff6"/>
          <w:rtl/>
        </w:rPr>
        <w:fldChar w:fldCharType="end"/>
      </w:r>
      <w:r w:rsidRPr="007446B6">
        <w:rPr>
          <w:rStyle w:val="afb"/>
          <w:rFonts w:hint="cs"/>
          <w:rtl/>
        </w:rPr>
        <w:t xml:space="preserve"> דחילק בין רובא דאיתא קמן שאין לו דין ודאי לרובא דליתא קמן דהוא רוב מסברא, ויש לו דין ודאי, ועיי"ש במה שהקשה </w:t>
      </w:r>
      <w:r w:rsidRPr="002705B5">
        <w:rPr>
          <w:rStyle w:val="affa"/>
          <w:rFonts w:hint="cs"/>
          <w:rtl/>
        </w:rPr>
        <w:t>הקה"י</w:t>
      </w:r>
      <w:r w:rsidRPr="007446B6">
        <w:rPr>
          <w:rStyle w:val="afb"/>
          <w:rFonts w:hint="cs"/>
          <w:rtl/>
        </w:rPr>
        <w:t xml:space="preserve"> </w:t>
      </w:r>
      <w:r w:rsidRPr="002705B5">
        <w:rPr>
          <w:rStyle w:val="aff6"/>
          <w:rFonts w:hint="cs"/>
          <w:rtl/>
        </w:rPr>
        <w:t>(הובאו דבריו באריכות בסימן ח' אות קי"ד)</w:t>
      </w:r>
      <w:r w:rsidRPr="007446B6">
        <w:rPr>
          <w:rStyle w:val="afb"/>
          <w:rFonts w:hint="cs"/>
          <w:rtl/>
        </w:rPr>
        <w:t xml:space="preserve"> על ביאור </w:t>
      </w:r>
      <w:r w:rsidRPr="002705B5">
        <w:rPr>
          <w:rStyle w:val="affa"/>
          <w:rFonts w:hint="cs"/>
          <w:rtl/>
        </w:rPr>
        <w:t>הש"ש</w:t>
      </w:r>
      <w:r w:rsidRPr="007446B6">
        <w:rPr>
          <w:rStyle w:val="afb"/>
          <w:rFonts w:hint="cs"/>
          <w:rtl/>
        </w:rPr>
        <w:t>].</w:t>
      </w:r>
      <w:r>
        <w:rPr>
          <w:rFonts w:hint="cs"/>
          <w:rtl/>
        </w:rPr>
        <w:t xml:space="preserve"> </w:t>
      </w:r>
      <w:r w:rsidRPr="005264DB">
        <w:rPr>
          <w:rFonts w:hint="cs"/>
          <w:rtl/>
        </w:rPr>
        <w:t>ו</w:t>
      </w:r>
      <w:r>
        <w:rPr>
          <w:rFonts w:hint="cs"/>
          <w:rtl/>
        </w:rPr>
        <w:t>ביאר</w:t>
      </w:r>
      <w:r w:rsidRPr="005264DB">
        <w:rPr>
          <w:rFonts w:hint="cs"/>
          <w:rtl/>
        </w:rPr>
        <w:t xml:space="preserve"> </w:t>
      </w:r>
      <w:r w:rsidRPr="005264DB">
        <w:rPr>
          <w:rStyle w:val="af9"/>
          <w:rFonts w:hint="cs"/>
          <w:rtl/>
        </w:rPr>
        <w:t>הקה"י</w:t>
      </w:r>
      <w:r w:rsidRPr="005264DB">
        <w:rPr>
          <w:rFonts w:hint="cs"/>
          <w:rtl/>
        </w:rPr>
        <w:t xml:space="preserve"> דאפש"ל דהחשש דדלמא לאו אביו הוא, זהו חשש רחוק ובסתמא לא חיישינן לזה כלל, אך הקשה </w:t>
      </w:r>
      <w:r w:rsidRPr="005264DB">
        <w:rPr>
          <w:rStyle w:val="af9"/>
          <w:rFonts w:hint="cs"/>
          <w:rtl/>
        </w:rPr>
        <w:t>הקה"י</w:t>
      </w:r>
      <w:r w:rsidRPr="005264DB">
        <w:rPr>
          <w:rFonts w:hint="cs"/>
          <w:rtl/>
        </w:rPr>
        <w:t xml:space="preserve"> דא"כ היאך הגמ' רוצה ללמוד מזה את דין רובא דליתא קמן בכל ספק אף בספק שהוא מצוי יותר</w:t>
      </w:r>
      <w:r>
        <w:rPr>
          <w:rFonts w:hint="cs"/>
          <w:rtl/>
        </w:rPr>
        <w:t>.</w:t>
      </w:r>
    </w:p>
    <w:p w14:paraId="0C2F408A" w14:textId="77777777" w:rsidR="00FF73EE" w:rsidRDefault="00FF73EE" w:rsidP="006D6D32">
      <w:pPr>
        <w:pStyle w:val="a3"/>
        <w:rPr>
          <w:rtl/>
        </w:rPr>
      </w:pPr>
      <w:bookmarkStart w:id="10871" w:name="_Toc530551224"/>
      <w:bookmarkStart w:id="10872" w:name="_Toc19390415"/>
      <w:bookmarkStart w:id="10873" w:name="_Toc19393912"/>
      <w:r>
        <w:rPr>
          <w:rFonts w:hint="cs"/>
          <w:rtl/>
        </w:rPr>
        <w:t>דברי הקה"י דבראשונים בכתובות מבואר דלדין "ודאי" לא מהני הוחזק עפ"י הרוב</w:t>
      </w:r>
      <w:bookmarkEnd w:id="10871"/>
      <w:bookmarkEnd w:id="10872"/>
      <w:bookmarkEnd w:id="10873"/>
    </w:p>
    <w:p w14:paraId="0BCBABCD" w14:textId="77777777" w:rsidR="00FF73EE" w:rsidRPr="00382C39" w:rsidRDefault="00FF73EE" w:rsidP="00223668">
      <w:pPr>
        <w:pStyle w:val="a0"/>
        <w:rPr>
          <w:rtl/>
        </w:rPr>
      </w:pPr>
      <w:bookmarkStart w:id="10874" w:name="_Toc530147732"/>
      <w:bookmarkStart w:id="10875" w:name="_Toc530148060"/>
      <w:r>
        <w:rPr>
          <w:rFonts w:hint="cs"/>
          <w:rtl/>
        </w:rPr>
        <w:t xml:space="preserve">והביא </w:t>
      </w:r>
      <w:r w:rsidRPr="006F529A">
        <w:rPr>
          <w:rStyle w:val="af9"/>
          <w:rFonts w:hint="cs"/>
          <w:rtl/>
        </w:rPr>
        <w:t>הקה"י</w:t>
      </w:r>
      <w:r>
        <w:rPr>
          <w:rFonts w:hint="cs"/>
          <w:rtl/>
        </w:rPr>
        <w:t xml:space="preserve"> </w:t>
      </w:r>
      <w:r w:rsidRPr="00382C39">
        <w:rPr>
          <w:rStyle w:val="af7"/>
          <w:rFonts w:eastAsia="Guttman Hodes"/>
          <w:rtl/>
        </w:rPr>
        <w:t xml:space="preserve">(סי' ז' אות </w:t>
      </w:r>
      <w:r w:rsidRPr="00382C39">
        <w:rPr>
          <w:rStyle w:val="af7"/>
          <w:rFonts w:eastAsia="Guttman Hodes" w:hint="cs"/>
          <w:rtl/>
        </w:rPr>
        <w:t>ב</w:t>
      </w:r>
      <w:r w:rsidRPr="00382C39">
        <w:rPr>
          <w:rStyle w:val="af7"/>
          <w:rFonts w:eastAsia="Guttman Hodes"/>
          <w:rtl/>
        </w:rPr>
        <w:t xml:space="preserve">', קידושין </w:t>
      </w:r>
      <w:r w:rsidRPr="00382C39">
        <w:rPr>
          <w:rStyle w:val="af7"/>
          <w:rFonts w:eastAsia="Guttman Hodes" w:hint="cs"/>
          <w:rtl/>
        </w:rPr>
        <w:t>סי' ל"ו</w:t>
      </w:r>
      <w:r w:rsidRPr="00382C39">
        <w:rPr>
          <w:rStyle w:val="af7"/>
          <w:rFonts w:eastAsia="Guttman Hodes"/>
          <w:rtl/>
        </w:rPr>
        <w:t xml:space="preserve"> </w:t>
      </w:r>
      <w:r w:rsidRPr="00382C39">
        <w:rPr>
          <w:rStyle w:val="af7"/>
          <w:rFonts w:eastAsia="Guttman Hodes" w:hint="cs"/>
          <w:rtl/>
        </w:rPr>
        <w:t>ב</w:t>
      </w:r>
      <w:r w:rsidRPr="00382C39">
        <w:rPr>
          <w:rStyle w:val="af7"/>
          <w:rFonts w:eastAsia="Guttman Hodes"/>
          <w:rtl/>
        </w:rPr>
        <w:t>')</w:t>
      </w:r>
      <w:r>
        <w:rPr>
          <w:rFonts w:hint="cs"/>
          <w:rtl/>
        </w:rPr>
        <w:t xml:space="preserve"> את ביאור </w:t>
      </w:r>
      <w:r w:rsidRPr="006F529A">
        <w:rPr>
          <w:rStyle w:val="af9"/>
          <w:rFonts w:hint="cs"/>
          <w:rtl/>
        </w:rPr>
        <w:t>הגרעק"א</w:t>
      </w:r>
      <w:r>
        <w:rPr>
          <w:rFonts w:hint="cs"/>
          <w:rtl/>
        </w:rPr>
        <w:t xml:space="preserve"> </w:t>
      </w:r>
      <w:r w:rsidRPr="00382C39">
        <w:rPr>
          <w:rStyle w:val="af7"/>
          <w:rFonts w:eastAsia="Guttman Hodes" w:hint="cs"/>
          <w:rtl/>
        </w:rPr>
        <w:t xml:space="preserve">(עי' אות </w:t>
      </w:r>
      <w:r w:rsidRPr="00382C39">
        <w:rPr>
          <w:rStyle w:val="af7"/>
          <w:rFonts w:eastAsia="Guttman Hodes"/>
          <w:rtl/>
        </w:rPr>
        <w:fldChar w:fldCharType="begin"/>
      </w:r>
      <w:r w:rsidRPr="00382C39">
        <w:rPr>
          <w:rStyle w:val="af7"/>
          <w:rFonts w:eastAsia="Guttman Hodes"/>
          <w:rtl/>
        </w:rPr>
        <w:instrText xml:space="preserve"> </w:instrText>
      </w:r>
      <w:r w:rsidRPr="00382C39">
        <w:rPr>
          <w:rStyle w:val="af7"/>
          <w:rFonts w:eastAsia="Guttman Hodes" w:hint="cs"/>
        </w:rPr>
        <w:instrText>REF</w:instrText>
      </w:r>
      <w:r w:rsidRPr="00382C39">
        <w:rPr>
          <w:rStyle w:val="af7"/>
          <w:rFonts w:eastAsia="Guttman Hodes" w:hint="cs"/>
          <w:rtl/>
        </w:rPr>
        <w:instrText xml:space="preserve"> _</w:instrText>
      </w:r>
      <w:r w:rsidRPr="00382C39">
        <w:rPr>
          <w:rStyle w:val="af7"/>
          <w:rFonts w:eastAsia="Guttman Hodes" w:hint="cs"/>
        </w:rPr>
        <w:instrText>Ref529986287 \r \h</w:instrText>
      </w:r>
      <w:r w:rsidRPr="00382C39">
        <w:rPr>
          <w:rStyle w:val="af7"/>
          <w:rFonts w:eastAsia="Guttman Hodes"/>
          <w:rtl/>
        </w:rPr>
        <w:instrText xml:space="preserve"> </w:instrText>
      </w:r>
      <w:r w:rsidRPr="00382C39">
        <w:rPr>
          <w:rStyle w:val="af7"/>
          <w:rFonts w:eastAsia="Guttman Hodes"/>
          <w:rtl/>
        </w:rPr>
      </w:r>
      <w:r w:rsidRPr="00382C39">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382C39">
        <w:rPr>
          <w:rStyle w:val="af7"/>
          <w:rFonts w:eastAsia="Guttman Hodes"/>
          <w:rtl/>
        </w:rPr>
        <w:fldChar w:fldCharType="end"/>
      </w:r>
      <w:r>
        <w:rPr>
          <w:rFonts w:hint="cs"/>
          <w:rtl/>
        </w:rPr>
        <w:t xml:space="preserve"> דברוב שנפסק כבר לדברים אחרים, שהוא ודאי אביו לענין פדיון הבן וכיבוד אב ומילה ועוד דברים, הוחזק הרוב לדין ודאי, ואף לדין "קהל ודאי" חשיב שהוא ודאי אביו. והביא </w:t>
      </w:r>
      <w:r w:rsidRPr="006F529A">
        <w:rPr>
          <w:rStyle w:val="af9"/>
          <w:rFonts w:hint="cs"/>
          <w:rtl/>
        </w:rPr>
        <w:t>הקה"י</w:t>
      </w:r>
      <w:r>
        <w:rPr>
          <w:rFonts w:hint="cs"/>
          <w:rtl/>
        </w:rPr>
        <w:t xml:space="preserve"> דכעי"ז הוכיח </w:t>
      </w:r>
      <w:r w:rsidRPr="006F529A">
        <w:rPr>
          <w:rStyle w:val="af9"/>
          <w:rFonts w:hint="cs"/>
          <w:rtl/>
        </w:rPr>
        <w:t>ההפלאה</w:t>
      </w:r>
      <w:r>
        <w:rPr>
          <w:rFonts w:hint="cs"/>
          <w:rtl/>
        </w:rPr>
        <w:t xml:space="preserve"> </w:t>
      </w:r>
      <w:r w:rsidRPr="00382C39">
        <w:rPr>
          <w:rStyle w:val="af7"/>
          <w:rFonts w:eastAsia="Guttman Hodes" w:hint="cs"/>
          <w:rtl/>
        </w:rPr>
        <w:t xml:space="preserve">(עי' אות </w:t>
      </w:r>
      <w:r w:rsidRPr="00382C39">
        <w:rPr>
          <w:rStyle w:val="af7"/>
          <w:rFonts w:eastAsia="Guttman Hodes"/>
          <w:rtl/>
        </w:rPr>
        <w:fldChar w:fldCharType="begin"/>
      </w:r>
      <w:r w:rsidRPr="00382C39">
        <w:rPr>
          <w:rStyle w:val="af7"/>
          <w:rFonts w:eastAsia="Guttman Hodes"/>
          <w:rtl/>
        </w:rPr>
        <w:instrText xml:space="preserve"> </w:instrText>
      </w:r>
      <w:r w:rsidRPr="00382C39">
        <w:rPr>
          <w:rStyle w:val="af7"/>
          <w:rFonts w:eastAsia="Guttman Hodes" w:hint="cs"/>
        </w:rPr>
        <w:instrText>REF</w:instrText>
      </w:r>
      <w:r w:rsidRPr="00382C39">
        <w:rPr>
          <w:rStyle w:val="af7"/>
          <w:rFonts w:eastAsia="Guttman Hodes" w:hint="cs"/>
          <w:rtl/>
        </w:rPr>
        <w:instrText xml:space="preserve"> _</w:instrText>
      </w:r>
      <w:r w:rsidRPr="00382C39">
        <w:rPr>
          <w:rStyle w:val="af7"/>
          <w:rFonts w:eastAsia="Guttman Hodes" w:hint="cs"/>
        </w:rPr>
        <w:instrText>Ref530304434 \r \h</w:instrText>
      </w:r>
      <w:r w:rsidRPr="00382C39">
        <w:rPr>
          <w:rStyle w:val="af7"/>
          <w:rFonts w:eastAsia="Guttman Hodes"/>
          <w:rtl/>
        </w:rPr>
        <w:instrText xml:space="preserve"> </w:instrText>
      </w:r>
      <w:r w:rsidRPr="00382C39">
        <w:rPr>
          <w:rStyle w:val="af7"/>
          <w:rFonts w:eastAsia="Guttman Hodes"/>
          <w:rtl/>
        </w:rPr>
      </w:r>
      <w:r w:rsidRPr="00382C39">
        <w:rPr>
          <w:rStyle w:val="af7"/>
          <w:rFonts w:eastAsia="Guttman Hodes"/>
          <w:rtl/>
        </w:rPr>
        <w:fldChar w:fldCharType="separate"/>
      </w:r>
      <w:r w:rsidR="00345400">
        <w:rPr>
          <w:rStyle w:val="af7"/>
          <w:rFonts w:eastAsia="Guttman Hodes"/>
          <w:cs/>
        </w:rPr>
        <w:t>‎</w:t>
      </w:r>
      <w:r w:rsidR="00345400">
        <w:rPr>
          <w:rStyle w:val="af7"/>
          <w:rFonts w:eastAsia="Guttman Hodes"/>
          <w:rtl/>
        </w:rPr>
        <w:t>מט)</w:t>
      </w:r>
      <w:r w:rsidRPr="00382C39">
        <w:rPr>
          <w:rStyle w:val="af7"/>
          <w:rFonts w:eastAsia="Guttman Hodes"/>
          <w:rtl/>
        </w:rPr>
        <w:fldChar w:fldCharType="end"/>
      </w:r>
      <w:r>
        <w:rPr>
          <w:rFonts w:hint="cs"/>
          <w:rtl/>
        </w:rPr>
        <w:t xml:space="preserve">. </w:t>
      </w:r>
      <w:r w:rsidRPr="00382C39">
        <w:rPr>
          <w:rFonts w:hint="cs"/>
          <w:rtl/>
        </w:rPr>
        <w:t xml:space="preserve">אך כתב </w:t>
      </w:r>
      <w:r w:rsidRPr="00382C39">
        <w:rPr>
          <w:rStyle w:val="af9"/>
          <w:rFonts w:hint="cs"/>
          <w:rtl/>
        </w:rPr>
        <w:t>הקה"י</w:t>
      </w:r>
      <w:r w:rsidRPr="00382C39">
        <w:rPr>
          <w:rFonts w:hint="cs"/>
          <w:rtl/>
        </w:rPr>
        <w:t xml:space="preserve"> דאף דמסברא מוכח כדברי </w:t>
      </w:r>
      <w:r w:rsidRPr="00382C39">
        <w:rPr>
          <w:rStyle w:val="af9"/>
          <w:rFonts w:hint="cs"/>
          <w:rtl/>
        </w:rPr>
        <w:t>הגרעק"א וההפלאה</w:t>
      </w:r>
      <w:r w:rsidRPr="00382C39">
        <w:rPr>
          <w:rFonts w:hint="cs"/>
          <w:rtl/>
        </w:rPr>
        <w:t xml:space="preserve">, </w:t>
      </w:r>
      <w:r>
        <w:rPr>
          <w:rFonts w:hint="cs"/>
          <w:rtl/>
        </w:rPr>
        <w:t xml:space="preserve">הרי כבר כתב </w:t>
      </w:r>
      <w:r w:rsidRPr="00382C39">
        <w:rPr>
          <w:rStyle w:val="af9"/>
          <w:rFonts w:hint="cs"/>
          <w:rtl/>
        </w:rPr>
        <w:t>ההפלאה</w:t>
      </w:r>
      <w:r>
        <w:rPr>
          <w:rFonts w:hint="cs"/>
          <w:rtl/>
        </w:rPr>
        <w:t xml:space="preserve"> </w:t>
      </w:r>
      <w:r w:rsidRPr="00382C39">
        <w:rPr>
          <w:rStyle w:val="af7"/>
          <w:rFonts w:eastAsia="Guttman Hodes" w:hint="cs"/>
          <w:rtl/>
        </w:rPr>
        <w:t xml:space="preserve">(עי' אות </w:t>
      </w:r>
      <w:r w:rsidRPr="00382C39">
        <w:rPr>
          <w:rStyle w:val="af7"/>
          <w:rFonts w:eastAsia="Guttman Hodes"/>
          <w:rtl/>
        </w:rPr>
        <w:fldChar w:fldCharType="begin"/>
      </w:r>
      <w:r w:rsidRPr="00382C39">
        <w:rPr>
          <w:rStyle w:val="af7"/>
          <w:rFonts w:eastAsia="Guttman Hodes"/>
          <w:rtl/>
        </w:rPr>
        <w:instrText xml:space="preserve"> </w:instrText>
      </w:r>
      <w:r w:rsidRPr="00382C39">
        <w:rPr>
          <w:rStyle w:val="af7"/>
          <w:rFonts w:eastAsia="Guttman Hodes" w:hint="cs"/>
        </w:rPr>
        <w:instrText>REF</w:instrText>
      </w:r>
      <w:r w:rsidRPr="00382C39">
        <w:rPr>
          <w:rStyle w:val="af7"/>
          <w:rFonts w:eastAsia="Guttman Hodes" w:hint="cs"/>
          <w:rtl/>
        </w:rPr>
        <w:instrText xml:space="preserve"> _</w:instrText>
      </w:r>
      <w:r w:rsidRPr="00382C39">
        <w:rPr>
          <w:rStyle w:val="af7"/>
          <w:rFonts w:eastAsia="Guttman Hodes" w:hint="cs"/>
        </w:rPr>
        <w:instrText>Ref530503577 \r \h</w:instrText>
      </w:r>
      <w:r w:rsidRPr="00382C39">
        <w:rPr>
          <w:rStyle w:val="af7"/>
          <w:rFonts w:eastAsia="Guttman Hodes"/>
          <w:rtl/>
        </w:rPr>
        <w:instrText xml:space="preserve"> </w:instrText>
      </w:r>
      <w:r w:rsidRPr="00382C39">
        <w:rPr>
          <w:rStyle w:val="af7"/>
          <w:rFonts w:eastAsia="Guttman Hodes"/>
          <w:rtl/>
        </w:rPr>
      </w:r>
      <w:r w:rsidRPr="00382C39">
        <w:rPr>
          <w:rStyle w:val="af7"/>
          <w:rFonts w:eastAsia="Guttman Hodes"/>
          <w:rtl/>
        </w:rPr>
        <w:fldChar w:fldCharType="separate"/>
      </w:r>
      <w:r w:rsidR="00345400">
        <w:rPr>
          <w:rStyle w:val="af7"/>
          <w:rFonts w:eastAsia="Guttman Hodes"/>
          <w:cs/>
        </w:rPr>
        <w:t>‎</w:t>
      </w:r>
      <w:r w:rsidR="00345400">
        <w:rPr>
          <w:rStyle w:val="af7"/>
          <w:rFonts w:eastAsia="Guttman Hodes"/>
          <w:rtl/>
        </w:rPr>
        <w:t>נ)</w:t>
      </w:r>
      <w:r w:rsidRPr="00382C39">
        <w:rPr>
          <w:rStyle w:val="af7"/>
          <w:rFonts w:eastAsia="Guttman Hodes"/>
          <w:rtl/>
        </w:rPr>
        <w:fldChar w:fldCharType="end"/>
      </w:r>
      <w:r>
        <w:rPr>
          <w:rFonts w:hint="cs"/>
          <w:rtl/>
        </w:rPr>
        <w:t xml:space="preserve"> ד</w:t>
      </w:r>
      <w:r w:rsidRPr="00382C39">
        <w:rPr>
          <w:rFonts w:hint="cs"/>
          <w:rtl/>
        </w:rPr>
        <w:t xml:space="preserve">מדברי </w:t>
      </w:r>
      <w:r w:rsidRPr="00382C39">
        <w:rPr>
          <w:rStyle w:val="af9"/>
          <w:rFonts w:hint="cs"/>
          <w:rtl/>
        </w:rPr>
        <w:t>הראשונים בכתובות</w:t>
      </w:r>
      <w:r w:rsidRPr="00382C39">
        <w:rPr>
          <w:rFonts w:hint="cs"/>
          <w:rtl/>
        </w:rPr>
        <w:t xml:space="preserve"> לא משמע כן</w:t>
      </w:r>
      <w:r>
        <w:rPr>
          <w:rFonts w:hint="cs"/>
          <w:rtl/>
        </w:rPr>
        <w:t>,</w:t>
      </w:r>
      <w:r w:rsidRPr="00F331C5">
        <w:rPr>
          <w:rFonts w:hint="cs"/>
          <w:rtl/>
        </w:rPr>
        <w:t xml:space="preserve"> </w:t>
      </w:r>
      <w:r>
        <w:rPr>
          <w:rFonts w:hint="cs"/>
          <w:rtl/>
        </w:rPr>
        <w:t xml:space="preserve">וכתב </w:t>
      </w:r>
      <w:r w:rsidRPr="006F529A">
        <w:rPr>
          <w:rStyle w:val="af9"/>
          <w:rFonts w:hint="cs"/>
          <w:rtl/>
        </w:rPr>
        <w:t>הקה"י</w:t>
      </w:r>
      <w:r>
        <w:rPr>
          <w:rFonts w:hint="cs"/>
          <w:rtl/>
        </w:rPr>
        <w:t xml:space="preserve"> דמוכח מזה דבמקום שיש דין "ודאי", לא מהני מה שהוחזק מעיקרא עפ"י הרוב.</w:t>
      </w:r>
    </w:p>
    <w:p w14:paraId="1F8A9DC2" w14:textId="77777777" w:rsidR="00FF73EE" w:rsidRDefault="00FF73EE" w:rsidP="006D6D32">
      <w:pPr>
        <w:pStyle w:val="a3"/>
        <w:rPr>
          <w:rtl/>
        </w:rPr>
      </w:pPr>
      <w:bookmarkStart w:id="10876" w:name="_Toc530551225"/>
      <w:bookmarkStart w:id="10877" w:name="_Toc19390416"/>
      <w:bookmarkStart w:id="10878" w:name="_Toc19393913"/>
      <w:bookmarkStart w:id="10879" w:name="_Toc530147733"/>
      <w:bookmarkStart w:id="10880" w:name="_Toc530148061"/>
      <w:bookmarkEnd w:id="10874"/>
      <w:bookmarkEnd w:id="10875"/>
      <w:r>
        <w:rPr>
          <w:rFonts w:hint="cs"/>
          <w:rtl/>
        </w:rPr>
        <w:t>דברי הקה"י דהחשש שאינו אביו הוא מיעוטא דמיעוט ומסברא א"צ לחוש לו כלל</w:t>
      </w:r>
      <w:bookmarkEnd w:id="10876"/>
      <w:bookmarkEnd w:id="10877"/>
      <w:bookmarkEnd w:id="10878"/>
    </w:p>
    <w:p w14:paraId="23D2DD7E" w14:textId="77777777" w:rsidR="00FF73EE" w:rsidRPr="005264DB" w:rsidRDefault="00FF73EE" w:rsidP="00223668">
      <w:pPr>
        <w:pStyle w:val="a0"/>
        <w:rPr>
          <w:rtl/>
        </w:rPr>
      </w:pPr>
      <w:r>
        <w:rPr>
          <w:rFonts w:hint="cs"/>
          <w:rtl/>
        </w:rPr>
        <w:t>אלא ביאר</w:t>
      </w:r>
      <w:r w:rsidRPr="005264DB">
        <w:rPr>
          <w:rFonts w:hint="cs"/>
          <w:rtl/>
        </w:rPr>
        <w:t xml:space="preserve"> </w:t>
      </w:r>
      <w:r w:rsidRPr="005264DB">
        <w:rPr>
          <w:rStyle w:val="af9"/>
          <w:rFonts w:hint="cs"/>
          <w:rtl/>
        </w:rPr>
        <w:t>הקה"י</w:t>
      </w:r>
      <w:r w:rsidRPr="005264DB">
        <w:rPr>
          <w:rFonts w:hint="cs"/>
          <w:rtl/>
        </w:rPr>
        <w:t xml:space="preserve"> </w:t>
      </w:r>
      <w:r w:rsidRPr="003B6E9A">
        <w:rPr>
          <w:rStyle w:val="af7"/>
          <w:rFonts w:eastAsia="Guttman Hodes" w:hint="cs"/>
          <w:rtl/>
        </w:rPr>
        <w:t xml:space="preserve">(סי' ו' אות ג', </w:t>
      </w:r>
      <w:r w:rsidRPr="003B6E9A">
        <w:rPr>
          <w:rStyle w:val="af7"/>
          <w:rFonts w:eastAsia="Guttman Hodes"/>
          <w:rtl/>
        </w:rPr>
        <w:t xml:space="preserve">קידושין סי' ל"ו </w:t>
      </w:r>
      <w:r w:rsidRPr="003B6E9A">
        <w:rPr>
          <w:rStyle w:val="af7"/>
          <w:rFonts w:eastAsia="Guttman Hodes" w:hint="cs"/>
          <w:rtl/>
        </w:rPr>
        <w:t>ג')</w:t>
      </w:r>
      <w:r w:rsidRPr="005264DB">
        <w:rPr>
          <w:rFonts w:hint="cs"/>
          <w:rtl/>
        </w:rPr>
        <w:t xml:space="preserve"> דאפש"ל דהחשש דדלמא לאו אביו הוא, זהו מיעוטא דמיעוטא, דהרי אף אם ידעינן שזינתה לפני ט' חודשים, עדיין הולד כשר כיון שרוב בעילות אחר הבעל, וכ"ש כשלא ידוע שזנתה כלל, ורוב נשים אינם מזנות, ומסתמא לא חיישינן לזנות,</w:t>
      </w:r>
      <w:r>
        <w:rPr>
          <w:rFonts w:hint="cs"/>
          <w:rtl/>
        </w:rPr>
        <w:t xml:space="preserve"> וכיון שהוא מיעוטא דמיעוטא לא חיישינן ליה כלל, דהא אף ר"מ דחייש למיעוטא, מודה דלמיעוטא דמיעוטא לא חיישינן, וא"כ החשש שאינו בנו </w:t>
      </w:r>
      <w:r w:rsidRPr="005264DB">
        <w:rPr>
          <w:rFonts w:hint="cs"/>
          <w:rtl/>
        </w:rPr>
        <w:t>אי"ז נחשב בגדר ספק כלל, ואף לענין ממון ודאי דחשיב בנו</w:t>
      </w:r>
      <w:r>
        <w:rPr>
          <w:rFonts w:hint="cs"/>
          <w:rtl/>
        </w:rPr>
        <w:t xml:space="preserve">, וכן במקום שאמרה תורה שיש דין "ודאי" כקהל חשיב בנו גמור. </w:t>
      </w:r>
      <w:r w:rsidRPr="005264DB">
        <w:rPr>
          <w:rFonts w:hint="cs"/>
          <w:rtl/>
        </w:rPr>
        <w:t xml:space="preserve">אך הקשה </w:t>
      </w:r>
      <w:r w:rsidRPr="005264DB">
        <w:rPr>
          <w:rStyle w:val="af9"/>
          <w:rFonts w:hint="cs"/>
          <w:rtl/>
        </w:rPr>
        <w:t>הקה"י</w:t>
      </w:r>
      <w:r w:rsidRPr="005264DB">
        <w:rPr>
          <w:rFonts w:hint="cs"/>
          <w:rtl/>
        </w:rPr>
        <w:t xml:space="preserve"> דא"כ מה הביאה הגמ' בסוגיין מקור לרובא דליתא קמן ממכה אביו, "דדלמא לאו אביו הוא", הרי הוא מיעוטא דמיעוטא.</w:t>
      </w:r>
    </w:p>
    <w:p w14:paraId="6B87DF39" w14:textId="77777777" w:rsidR="00FF73EE" w:rsidRDefault="00FF73EE" w:rsidP="006D6D32">
      <w:pPr>
        <w:pStyle w:val="a3"/>
        <w:rPr>
          <w:rtl/>
        </w:rPr>
      </w:pPr>
      <w:bookmarkStart w:id="10881" w:name="_Toc530551226"/>
      <w:bookmarkStart w:id="10882" w:name="_Toc19390417"/>
      <w:bookmarkStart w:id="10883" w:name="_Toc19393914"/>
      <w:bookmarkEnd w:id="10879"/>
      <w:bookmarkEnd w:id="10880"/>
      <w:r>
        <w:rPr>
          <w:rFonts w:hint="cs"/>
          <w:rtl/>
        </w:rPr>
        <w:t>דברי הקה"י דהנדון בסוגיין הוא האם רובא דליתא קמן שלא נמנה הרוב לפנינו חשיב רוב ברור</w:t>
      </w:r>
      <w:bookmarkEnd w:id="10881"/>
      <w:bookmarkEnd w:id="10882"/>
      <w:bookmarkEnd w:id="10883"/>
    </w:p>
    <w:p w14:paraId="568B6D3D" w14:textId="77777777" w:rsidR="00FF73EE" w:rsidRPr="00D0203B" w:rsidRDefault="00FF73EE" w:rsidP="00223668">
      <w:pPr>
        <w:pStyle w:val="a0"/>
        <w:rPr>
          <w:rtl/>
        </w:rPr>
      </w:pPr>
      <w:r w:rsidRPr="00D0203B">
        <w:rPr>
          <w:rFonts w:hint="cs"/>
          <w:rtl/>
        </w:rPr>
        <w:t>ו</w:t>
      </w:r>
      <w:r>
        <w:rPr>
          <w:rFonts w:hint="cs"/>
          <w:rtl/>
        </w:rPr>
        <w:t>כתב</w:t>
      </w:r>
      <w:r w:rsidRPr="00D0203B">
        <w:rPr>
          <w:rFonts w:hint="cs"/>
          <w:rtl/>
        </w:rPr>
        <w:t xml:space="preserve"> </w:t>
      </w:r>
      <w:r w:rsidRPr="00D0203B">
        <w:rPr>
          <w:rStyle w:val="af9"/>
          <w:rFonts w:hint="cs"/>
          <w:rtl/>
        </w:rPr>
        <w:t>הקה"י</w:t>
      </w:r>
      <w:r w:rsidRPr="00D0203B">
        <w:rPr>
          <w:rFonts w:hint="cs"/>
          <w:rtl/>
        </w:rPr>
        <w:t xml:space="preserve"> </w:t>
      </w:r>
      <w:r>
        <w:rPr>
          <w:rFonts w:hint="cs"/>
          <w:rtl/>
        </w:rPr>
        <w:t xml:space="preserve">דיש להקשות </w:t>
      </w:r>
      <w:r w:rsidRPr="00D0203B">
        <w:rPr>
          <w:rFonts w:hint="cs"/>
          <w:rtl/>
        </w:rPr>
        <w:t xml:space="preserve">על עיקר קושיית הגמ' דא"א ללמוד את רובא דליתא קמן, מהילפותא דאחרי רבים להטות דאזלינן בתר רובא דאיתא קמן, דמהו החסרון ברובא דליתא קמן, דאף שאין אנו רואים את הרוב בעינינו כמו ברובא דאיתא קמן, מ"מ הרי המציאות ידועה בבירור, והידיעה היא כמו רובא דאיתא קמן. אלא כתב </w:t>
      </w:r>
      <w:r w:rsidRPr="00D0203B">
        <w:rPr>
          <w:rStyle w:val="af9"/>
          <w:rFonts w:hint="cs"/>
          <w:rtl/>
        </w:rPr>
        <w:t>הקה"י</w:t>
      </w:r>
      <w:r w:rsidRPr="00D0203B">
        <w:rPr>
          <w:rFonts w:hint="cs"/>
          <w:rtl/>
        </w:rPr>
        <w:t xml:space="preserve"> </w:t>
      </w:r>
      <w:r w:rsidRPr="00D0203B">
        <w:rPr>
          <w:rStyle w:val="af7"/>
          <w:rFonts w:eastAsia="Guttman Hodes" w:hint="cs"/>
          <w:rtl/>
        </w:rPr>
        <w:t xml:space="preserve">(סי' ו' אות ג ד"ה ומשמע, </w:t>
      </w:r>
      <w:r w:rsidRPr="009A3534">
        <w:rPr>
          <w:rStyle w:val="af7"/>
          <w:rFonts w:eastAsia="Guttman Hodes" w:hint="cs"/>
          <w:rtl/>
        </w:rPr>
        <w:t xml:space="preserve">קידושין </w:t>
      </w:r>
      <w:r>
        <w:rPr>
          <w:rStyle w:val="af7"/>
          <w:rFonts w:eastAsia="Guttman Hodes" w:hint="cs"/>
          <w:rtl/>
        </w:rPr>
        <w:t>סי' ל"ו</w:t>
      </w:r>
      <w:r w:rsidRPr="009A3534">
        <w:rPr>
          <w:rStyle w:val="af7"/>
          <w:rFonts w:eastAsia="Guttman Hodes" w:hint="cs"/>
          <w:rtl/>
        </w:rPr>
        <w:t xml:space="preserve"> </w:t>
      </w:r>
      <w:r w:rsidRPr="00D0203B">
        <w:rPr>
          <w:rStyle w:val="af7"/>
          <w:rFonts w:eastAsia="Guttman Hodes" w:hint="cs"/>
          <w:rtl/>
        </w:rPr>
        <w:t>ג')</w:t>
      </w:r>
      <w:r w:rsidRPr="00D0203B">
        <w:rPr>
          <w:rFonts w:hint="cs"/>
          <w:rtl/>
        </w:rPr>
        <w:t xml:space="preserve"> דמבואר בקושיית הגמ' דכל רובא דליתא קמן אינו רוב ברור, כיון שמעולם לא נמנה הרוב והמיעוט, ורק שאנו משערים דכן הוא המציאות בעולם, אך כיון שאינו רוב בורר ומוחלט, לכן אף שהוא פשוט מסברא והכרעת השכל, מ"מ אין לו דין ודאי ואינו בירור, ורק רוב שאנו רואים אותו במציאות ובודאות, הוא בירור בודאי.</w:t>
      </w:r>
    </w:p>
    <w:p w14:paraId="3DEAADC7" w14:textId="77777777" w:rsidR="00FF73EE" w:rsidRDefault="00FF73EE" w:rsidP="006D6D32">
      <w:pPr>
        <w:pStyle w:val="a3"/>
        <w:rPr>
          <w:rtl/>
        </w:rPr>
      </w:pPr>
      <w:bookmarkStart w:id="10884" w:name="_Toc530147736"/>
      <w:bookmarkStart w:id="10885" w:name="_Toc530148064"/>
      <w:bookmarkStart w:id="10886" w:name="_Toc530349008"/>
      <w:bookmarkStart w:id="10887" w:name="_Toc530395899"/>
      <w:bookmarkStart w:id="10888" w:name="_Toc530411104"/>
      <w:bookmarkStart w:id="10889" w:name="_Toc530476249"/>
      <w:bookmarkStart w:id="10890" w:name="_Toc530477197"/>
      <w:bookmarkStart w:id="10891" w:name="_Toc530503048"/>
      <w:bookmarkStart w:id="10892" w:name="_Toc530504608"/>
      <w:bookmarkStart w:id="10893" w:name="_Toc530514434"/>
      <w:bookmarkStart w:id="10894" w:name="_Toc530514537"/>
      <w:bookmarkStart w:id="10895" w:name="_Toc530521986"/>
      <w:bookmarkStart w:id="10896" w:name="_Toc530525061"/>
      <w:bookmarkStart w:id="10897" w:name="_Toc530551227"/>
      <w:bookmarkStart w:id="10898" w:name="_Toc19390418"/>
      <w:bookmarkStart w:id="10899" w:name="_Toc19393915"/>
      <w:r w:rsidRPr="0050578D">
        <w:rPr>
          <w:rFonts w:hint="cs"/>
          <w:rtl/>
        </w:rPr>
        <w:t xml:space="preserve">דברי הקה"י דהראיה </w:t>
      </w:r>
      <w:r>
        <w:rPr>
          <w:rFonts w:hint="cs"/>
          <w:rtl/>
        </w:rPr>
        <w:t>ממכה אביו היא</w:t>
      </w:r>
      <w:r w:rsidRPr="0050578D">
        <w:rPr>
          <w:rFonts w:hint="cs"/>
          <w:rtl/>
        </w:rPr>
        <w:t xml:space="preserve"> דאומדנא דרובא </w:t>
      </w:r>
      <w:r>
        <w:rPr>
          <w:rFonts w:hint="cs"/>
          <w:rtl/>
        </w:rPr>
        <w:t>דליתא קמן</w:t>
      </w:r>
      <w:r w:rsidRPr="0050578D">
        <w:rPr>
          <w:rFonts w:hint="cs"/>
          <w:rtl/>
        </w:rPr>
        <w:t xml:space="preserve"> חשיב</w:t>
      </w:r>
      <w:r>
        <w:rPr>
          <w:rFonts w:hint="cs"/>
          <w:rtl/>
        </w:rPr>
        <w:t>א</w:t>
      </w:r>
      <w:r w:rsidRPr="0050578D">
        <w:rPr>
          <w:rFonts w:hint="cs"/>
          <w:rtl/>
        </w:rPr>
        <w:t xml:space="preserve"> כרוב ברור</w:t>
      </w:r>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p>
    <w:p w14:paraId="6F19855B" w14:textId="77777777" w:rsidR="00FF73EE" w:rsidRPr="009A3534" w:rsidRDefault="00FF73EE" w:rsidP="00223668">
      <w:pPr>
        <w:pStyle w:val="a0"/>
        <w:rPr>
          <w:rtl/>
        </w:rPr>
      </w:pPr>
      <w:r w:rsidRPr="0050578D">
        <w:rPr>
          <w:rFonts w:hint="cs"/>
          <w:rtl/>
        </w:rPr>
        <w:t xml:space="preserve">וביאר </w:t>
      </w:r>
      <w:r w:rsidRPr="0050578D">
        <w:rPr>
          <w:rStyle w:val="af9"/>
          <w:rFonts w:hint="cs"/>
          <w:rtl/>
        </w:rPr>
        <w:t>הקה"י</w:t>
      </w:r>
      <w:r w:rsidRPr="0050578D">
        <w:rPr>
          <w:rFonts w:hint="cs"/>
          <w:rtl/>
        </w:rPr>
        <w:t xml:space="preserve"> דע"ז הביאה הגמ' ראיה ממכה אביו דאזלינן בתר רוב בעילות אחר הבעל, ואין לדחות דהוא מיעוטא דמיעוט דמסברא אין כל ספק, דהוא אומדנא ברורה שהוא אביו, דא"כ ממילא מוכח דכל רובא דליתא קמן חשיב רוב, דהרי מסברא ברובא דליתא קמן יש רוב, וכל הנדון הוא האם צריך שיהיה ודאי  לפנינו, וכיון דבחשש דדלמא לאו אביו חזינן דסגי במה שמסתברא שהוא אביו, ויש לו דין אביו </w:t>
      </w:r>
      <w:r w:rsidRPr="009A3534">
        <w:rPr>
          <w:rFonts w:hint="cs"/>
          <w:rtl/>
        </w:rPr>
        <w:t>בודאי, א"כ מוכח דאף ברובא דליתא קמן יש לו דין ודאי.</w:t>
      </w:r>
    </w:p>
    <w:p w14:paraId="411DDAA3" w14:textId="77777777" w:rsidR="00FF73EE" w:rsidRDefault="00FF73EE" w:rsidP="006D6D32">
      <w:pPr>
        <w:pStyle w:val="a3"/>
        <w:rPr>
          <w:rtl/>
        </w:rPr>
      </w:pPr>
      <w:bookmarkStart w:id="10900" w:name="_Toc530147737"/>
      <w:bookmarkStart w:id="10901" w:name="_Toc530148065"/>
      <w:bookmarkStart w:id="10902" w:name="_Toc530349009"/>
      <w:bookmarkStart w:id="10903" w:name="_Toc530395900"/>
      <w:bookmarkStart w:id="10904" w:name="_Toc530411105"/>
      <w:bookmarkStart w:id="10905" w:name="_Toc530476250"/>
      <w:bookmarkStart w:id="10906" w:name="_Toc530477198"/>
      <w:bookmarkStart w:id="10907" w:name="_Toc530503049"/>
      <w:bookmarkStart w:id="10908" w:name="_Toc530147738"/>
      <w:bookmarkStart w:id="10909" w:name="_Toc530148066"/>
      <w:bookmarkStart w:id="10910" w:name="_Toc530349010"/>
      <w:bookmarkStart w:id="10911" w:name="_Toc530395901"/>
      <w:bookmarkStart w:id="10912" w:name="_Toc530411106"/>
      <w:bookmarkStart w:id="10913" w:name="_Toc530476251"/>
      <w:bookmarkStart w:id="10914" w:name="_Toc530477199"/>
      <w:bookmarkStart w:id="10915" w:name="_Toc530503050"/>
      <w:bookmarkStart w:id="10916" w:name="_Toc530504609"/>
      <w:bookmarkStart w:id="10917" w:name="_Toc530514435"/>
      <w:bookmarkStart w:id="10918" w:name="_Toc530514538"/>
      <w:bookmarkStart w:id="10919" w:name="_Toc530521987"/>
      <w:bookmarkStart w:id="10920" w:name="_Toc530525062"/>
      <w:bookmarkStart w:id="10921" w:name="_Toc530551228"/>
      <w:bookmarkStart w:id="10922" w:name="_Toc19390419"/>
      <w:bookmarkStart w:id="10923" w:name="_Toc19393916"/>
      <w:r w:rsidRPr="00545EBB">
        <w:rPr>
          <w:rFonts w:hint="cs"/>
          <w:rtl/>
        </w:rPr>
        <w:t>דברי הקה"י דבחשש "דלמא לאו אביו הוא" אין כל ספק וא"צ להגיע לדין רוב</w:t>
      </w:r>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p>
    <w:p w14:paraId="31596C51" w14:textId="77777777" w:rsidR="00FF73EE" w:rsidRDefault="00FF73EE" w:rsidP="00223668">
      <w:pPr>
        <w:pStyle w:val="a0"/>
        <w:rPr>
          <w:rtl/>
        </w:rPr>
      </w:pPr>
      <w:r w:rsidRPr="009A3534">
        <w:rPr>
          <w:rFonts w:hint="cs"/>
          <w:rtl/>
        </w:rPr>
        <w:t xml:space="preserve">וכתב </w:t>
      </w:r>
      <w:r w:rsidRPr="009A3534">
        <w:rPr>
          <w:rStyle w:val="af9"/>
          <w:rFonts w:hint="cs"/>
          <w:rtl/>
        </w:rPr>
        <w:t>הקה"י</w:t>
      </w:r>
      <w:r w:rsidRPr="009A3534">
        <w:rPr>
          <w:rFonts w:hint="cs"/>
          <w:rtl/>
        </w:rPr>
        <w:t xml:space="preserve"> </w:t>
      </w:r>
      <w:r w:rsidRPr="00204C34">
        <w:rPr>
          <w:rStyle w:val="af7"/>
          <w:rFonts w:eastAsia="Guttman Hodes" w:hint="cs"/>
          <w:rtl/>
        </w:rPr>
        <w:t>(סי' ו' אות ג' ד"ה וכל, קידושין סי' ל"ו ג')</w:t>
      </w:r>
      <w:r w:rsidRPr="009A3534">
        <w:rPr>
          <w:rFonts w:hint="cs"/>
          <w:rtl/>
        </w:rPr>
        <w:t xml:space="preserve"> דכל הנדון שרובא דליתא קמן אינו רוב גמור, הוא רק להו"א אבל למסקנת הגמ' דכתב </w:t>
      </w:r>
      <w:r w:rsidRPr="009A3534">
        <w:rPr>
          <w:rStyle w:val="af9"/>
          <w:rFonts w:hint="cs"/>
          <w:rtl/>
        </w:rPr>
        <w:t>רש"י</w:t>
      </w:r>
      <w:r w:rsidRPr="009A3534">
        <w:rPr>
          <w:rFonts w:hint="cs"/>
          <w:rtl/>
        </w:rPr>
        <w:t xml:space="preserve"> </w:t>
      </w:r>
      <w:r w:rsidRPr="00204C34">
        <w:rPr>
          <w:rStyle w:val="af7"/>
          <w:rFonts w:eastAsia="Guttman Hodes" w:hint="cs"/>
          <w:rtl/>
        </w:rPr>
        <w:t>(יב: ד"ה פסח)</w:t>
      </w:r>
      <w:r w:rsidRPr="009A3534">
        <w:rPr>
          <w:rFonts w:hint="cs"/>
          <w:rtl/>
        </w:rPr>
        <w:t xml:space="preserve"> דרובא דליתא קמן הוא מהלכה למשה מסיני, או דילפינן ליה מאחרי רבים להטות, ואין חילוק בין רובא דאיתא קמן לרובא דליתא קמן, א"כ מבואר דאין חילוק בין אם הרוב ברור לעינינו, או דע"י הסברא ידעינן שיש רוב, דאף בסברא הרוב הוא כודאי.</w:t>
      </w:r>
      <w:r>
        <w:rPr>
          <w:rFonts w:hint="cs"/>
          <w:rtl/>
        </w:rPr>
        <w:t xml:space="preserve"> </w:t>
      </w:r>
      <w:r w:rsidRPr="00545EBB">
        <w:rPr>
          <w:rFonts w:hint="cs"/>
          <w:rtl/>
        </w:rPr>
        <w:t xml:space="preserve">וכתב </w:t>
      </w:r>
      <w:r w:rsidRPr="00545EBB">
        <w:rPr>
          <w:rStyle w:val="af9"/>
          <w:rFonts w:hint="cs"/>
          <w:rtl/>
        </w:rPr>
        <w:t>הקה"י</w:t>
      </w:r>
      <w:r w:rsidRPr="00545EBB">
        <w:rPr>
          <w:rFonts w:hint="cs"/>
          <w:rtl/>
        </w:rPr>
        <w:t xml:space="preserve"> דא"כ מבואר דלמסקנת הגמ' החשש "דדלמא לאו אביו" אינו נחשב לחשש כלל, דמסברא אין כל ספק, וא"צ להגיע לדין רוב.</w:t>
      </w:r>
    </w:p>
    <w:p w14:paraId="4E9D35BE" w14:textId="77777777" w:rsidR="00FF73EE" w:rsidRDefault="00FF73EE" w:rsidP="006D6D32">
      <w:pPr>
        <w:pStyle w:val="a3"/>
        <w:rPr>
          <w:rtl/>
        </w:rPr>
      </w:pPr>
      <w:bookmarkStart w:id="10924" w:name="_Toc530476252"/>
      <w:bookmarkStart w:id="10925" w:name="_Toc530477200"/>
      <w:bookmarkStart w:id="10926" w:name="_Toc530503051"/>
      <w:bookmarkStart w:id="10927" w:name="_Toc530504610"/>
      <w:bookmarkStart w:id="10928" w:name="_Toc530514436"/>
      <w:bookmarkStart w:id="10929" w:name="_Toc530514539"/>
      <w:bookmarkStart w:id="10930" w:name="_Toc530521988"/>
      <w:bookmarkStart w:id="10931" w:name="_Toc530525063"/>
      <w:bookmarkStart w:id="10932" w:name="_Toc530551229"/>
      <w:bookmarkStart w:id="10933" w:name="_Toc19390420"/>
      <w:bookmarkStart w:id="10934" w:name="_Toc19393917"/>
      <w:r>
        <w:rPr>
          <w:rFonts w:hint="cs"/>
          <w:rtl/>
        </w:rPr>
        <w:t xml:space="preserve">דברי </w:t>
      </w:r>
      <w:r w:rsidRPr="00352112">
        <w:rPr>
          <w:rFonts w:hint="cs"/>
          <w:rtl/>
        </w:rPr>
        <w:t xml:space="preserve">הקה"י </w:t>
      </w:r>
      <w:r>
        <w:rPr>
          <w:rFonts w:hint="cs"/>
          <w:rtl/>
        </w:rPr>
        <w:t>דלביאורו במסקנא  מיושבות</w:t>
      </w:r>
      <w:r w:rsidRPr="00352112">
        <w:rPr>
          <w:rFonts w:hint="cs"/>
          <w:rtl/>
        </w:rPr>
        <w:t xml:space="preserve"> קושיות </w:t>
      </w:r>
      <w:r>
        <w:rPr>
          <w:rFonts w:hint="cs"/>
          <w:rtl/>
        </w:rPr>
        <w:t>ההפלאה והמהר"צ הלברשש והגר"ש איגר</w:t>
      </w:r>
      <w:bookmarkEnd w:id="10924"/>
      <w:bookmarkEnd w:id="10925"/>
      <w:bookmarkEnd w:id="10926"/>
      <w:bookmarkEnd w:id="10927"/>
      <w:bookmarkEnd w:id="10928"/>
      <w:bookmarkEnd w:id="10929"/>
      <w:bookmarkEnd w:id="10930"/>
      <w:bookmarkEnd w:id="10931"/>
      <w:bookmarkEnd w:id="10932"/>
      <w:bookmarkEnd w:id="10933"/>
      <w:bookmarkEnd w:id="10934"/>
    </w:p>
    <w:p w14:paraId="00239D75" w14:textId="77777777" w:rsidR="00FF73EE" w:rsidRDefault="00FF73EE" w:rsidP="00223668">
      <w:pPr>
        <w:pStyle w:val="a0"/>
        <w:rPr>
          <w:rtl/>
        </w:rPr>
      </w:pPr>
      <w:r w:rsidRPr="009A3534">
        <w:rPr>
          <w:rFonts w:hint="cs"/>
          <w:rtl/>
        </w:rPr>
        <w:t>ו</w:t>
      </w:r>
      <w:r>
        <w:rPr>
          <w:rFonts w:hint="cs"/>
          <w:rtl/>
        </w:rPr>
        <w:t>בזה תירץ</w:t>
      </w:r>
      <w:r w:rsidRPr="009A3534">
        <w:rPr>
          <w:rFonts w:hint="cs"/>
          <w:rtl/>
        </w:rPr>
        <w:t xml:space="preserve"> </w:t>
      </w:r>
      <w:r w:rsidRPr="009A3534">
        <w:rPr>
          <w:rStyle w:val="af9"/>
          <w:rFonts w:hint="cs"/>
          <w:rtl/>
        </w:rPr>
        <w:t>הקה"י</w:t>
      </w:r>
      <w:r w:rsidRPr="009A3534">
        <w:rPr>
          <w:rFonts w:hint="cs"/>
          <w:rtl/>
        </w:rPr>
        <w:t xml:space="preserve"> </w:t>
      </w:r>
      <w:r w:rsidRPr="00382C39">
        <w:rPr>
          <w:rStyle w:val="af7"/>
          <w:rFonts w:eastAsia="Guttman Hodes" w:hint="cs"/>
          <w:rtl/>
        </w:rPr>
        <w:t>(סי' ו' אות ג' ד"ה ועפ"ז, קידושין סי' ל"ו ג')</w:t>
      </w:r>
      <w:r>
        <w:rPr>
          <w:rFonts w:hint="cs"/>
          <w:rtl/>
        </w:rPr>
        <w:t xml:space="preserve"> את קושית </w:t>
      </w:r>
      <w:r w:rsidRPr="002B194A">
        <w:rPr>
          <w:rStyle w:val="af9"/>
          <w:rFonts w:hint="cs"/>
          <w:rtl/>
        </w:rPr>
        <w:t>ההפלאה</w:t>
      </w:r>
      <w:r>
        <w:rPr>
          <w:rFonts w:hint="cs"/>
          <w:rtl/>
        </w:rPr>
        <w:t xml:space="preserve"> </w:t>
      </w:r>
      <w:r w:rsidRPr="00382C39">
        <w:rPr>
          <w:rStyle w:val="af7"/>
          <w:rFonts w:eastAsia="Guttman Hodes" w:hint="cs"/>
          <w:rtl/>
        </w:rPr>
        <w:t xml:space="preserve">(עי' אות </w:t>
      </w:r>
      <w:r w:rsidRPr="00382C39">
        <w:rPr>
          <w:rStyle w:val="af7"/>
          <w:rFonts w:eastAsia="Guttman Hodes"/>
          <w:rtl/>
        </w:rPr>
        <w:fldChar w:fldCharType="begin"/>
      </w:r>
      <w:r w:rsidRPr="00382C39">
        <w:rPr>
          <w:rStyle w:val="af7"/>
          <w:rFonts w:eastAsia="Guttman Hodes"/>
          <w:rtl/>
        </w:rPr>
        <w:instrText xml:space="preserve"> </w:instrText>
      </w:r>
      <w:r w:rsidRPr="00382C39">
        <w:rPr>
          <w:rStyle w:val="af7"/>
          <w:rFonts w:eastAsia="Guttman Hodes" w:hint="cs"/>
        </w:rPr>
        <w:instrText>REF</w:instrText>
      </w:r>
      <w:r w:rsidRPr="00382C39">
        <w:rPr>
          <w:rStyle w:val="af7"/>
          <w:rFonts w:eastAsia="Guttman Hodes" w:hint="cs"/>
          <w:rtl/>
        </w:rPr>
        <w:instrText xml:space="preserve"> _</w:instrText>
      </w:r>
      <w:r w:rsidRPr="00382C39">
        <w:rPr>
          <w:rStyle w:val="af7"/>
          <w:rFonts w:eastAsia="Guttman Hodes" w:hint="cs"/>
        </w:rPr>
        <w:instrText>Ref530304434 \r \h</w:instrText>
      </w:r>
      <w:r w:rsidRPr="00382C39">
        <w:rPr>
          <w:rStyle w:val="af7"/>
          <w:rFonts w:eastAsia="Guttman Hodes"/>
          <w:rtl/>
        </w:rPr>
        <w:instrText xml:space="preserve"> </w:instrText>
      </w:r>
      <w:r w:rsidRPr="00382C39">
        <w:rPr>
          <w:rStyle w:val="af7"/>
          <w:rFonts w:eastAsia="Guttman Hodes"/>
          <w:rtl/>
        </w:rPr>
      </w:r>
      <w:r w:rsidRPr="00382C39">
        <w:rPr>
          <w:rStyle w:val="af7"/>
          <w:rFonts w:eastAsia="Guttman Hodes"/>
          <w:rtl/>
        </w:rPr>
        <w:fldChar w:fldCharType="separate"/>
      </w:r>
      <w:r w:rsidR="00345400">
        <w:rPr>
          <w:rStyle w:val="af7"/>
          <w:rFonts w:eastAsia="Guttman Hodes"/>
          <w:cs/>
        </w:rPr>
        <w:t>‎</w:t>
      </w:r>
      <w:r w:rsidR="00345400">
        <w:rPr>
          <w:rStyle w:val="af7"/>
          <w:rFonts w:eastAsia="Guttman Hodes"/>
          <w:rtl/>
        </w:rPr>
        <w:t>מט)</w:t>
      </w:r>
      <w:r w:rsidRPr="00382C39">
        <w:rPr>
          <w:rStyle w:val="af7"/>
          <w:rFonts w:eastAsia="Guttman Hodes"/>
          <w:rtl/>
        </w:rPr>
        <w:fldChar w:fldCharType="end"/>
      </w:r>
      <w:r>
        <w:rPr>
          <w:rFonts w:hint="cs"/>
          <w:rtl/>
        </w:rPr>
        <w:t xml:space="preserve"> היאך אפשר לחייב מדיני ממונות לשלם לאב את חיוב קנס ומוציא שם רע ודמי ולדות, וכן אמאי חייב האב בפדיון הבן, אף שהוא ודאי אב רק מדין רוב, ובדיני ממונות לא אזלינן בתר רובא, דלמסקנא בחשש שאינו אביו, א"צ לדין רוב כלל, ובלא דין רוב הוא אביו בודאי, וכתב </w:t>
      </w:r>
      <w:r w:rsidRPr="002B194A">
        <w:rPr>
          <w:rStyle w:val="af9"/>
          <w:rFonts w:hint="cs"/>
          <w:rtl/>
        </w:rPr>
        <w:t xml:space="preserve">הקה"י </w:t>
      </w:r>
      <w:r>
        <w:rPr>
          <w:rFonts w:hint="cs"/>
          <w:rtl/>
        </w:rPr>
        <w:t xml:space="preserve">כן מיושבת לפי"ז קושית </w:t>
      </w:r>
      <w:r w:rsidRPr="002B194A">
        <w:rPr>
          <w:rStyle w:val="af9"/>
          <w:rFonts w:hint="cs"/>
          <w:rtl/>
        </w:rPr>
        <w:t xml:space="preserve">הגרעק"א </w:t>
      </w:r>
      <w:r w:rsidRPr="00382C39">
        <w:rPr>
          <w:rStyle w:val="af7"/>
          <w:rFonts w:eastAsia="Guttman Hodes" w:hint="cs"/>
          <w:rtl/>
        </w:rPr>
        <w:t xml:space="preserve">(עי' אות </w:t>
      </w:r>
      <w:r w:rsidRPr="00382C39">
        <w:rPr>
          <w:rStyle w:val="af7"/>
          <w:rFonts w:eastAsia="Guttman Hodes"/>
          <w:rtl/>
        </w:rPr>
        <w:fldChar w:fldCharType="begin"/>
      </w:r>
      <w:r w:rsidRPr="00382C39">
        <w:rPr>
          <w:rStyle w:val="af7"/>
          <w:rFonts w:eastAsia="Guttman Hodes"/>
          <w:rtl/>
        </w:rPr>
        <w:instrText xml:space="preserve"> </w:instrText>
      </w:r>
      <w:r w:rsidRPr="00382C39">
        <w:rPr>
          <w:rStyle w:val="af7"/>
          <w:rFonts w:eastAsia="Guttman Hodes" w:hint="cs"/>
        </w:rPr>
        <w:instrText>REF</w:instrText>
      </w:r>
      <w:r w:rsidRPr="00382C39">
        <w:rPr>
          <w:rStyle w:val="af7"/>
          <w:rFonts w:eastAsia="Guttman Hodes" w:hint="cs"/>
          <w:rtl/>
        </w:rPr>
        <w:instrText xml:space="preserve"> _</w:instrText>
      </w:r>
      <w:r w:rsidRPr="00382C39">
        <w:rPr>
          <w:rStyle w:val="af7"/>
          <w:rFonts w:eastAsia="Guttman Hodes" w:hint="cs"/>
        </w:rPr>
        <w:instrText>Ref530300982 \r \h</w:instrText>
      </w:r>
      <w:r w:rsidRPr="00382C39">
        <w:rPr>
          <w:rStyle w:val="af7"/>
          <w:rFonts w:eastAsia="Guttman Hodes"/>
          <w:rtl/>
        </w:rPr>
        <w:instrText xml:space="preserve"> </w:instrText>
      </w:r>
      <w:r w:rsidRPr="00382C39">
        <w:rPr>
          <w:rStyle w:val="af7"/>
          <w:rFonts w:eastAsia="Guttman Hodes"/>
          <w:rtl/>
        </w:rPr>
      </w:r>
      <w:r w:rsidRPr="00382C39">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382C39">
        <w:rPr>
          <w:rStyle w:val="af7"/>
          <w:rFonts w:eastAsia="Guttman Hodes"/>
          <w:rtl/>
        </w:rPr>
        <w:fldChar w:fldCharType="end"/>
      </w:r>
      <w:r>
        <w:rPr>
          <w:rFonts w:hint="cs"/>
          <w:rtl/>
        </w:rPr>
        <w:t xml:space="preserve"> </w:t>
      </w:r>
      <w:r w:rsidRPr="002B194A">
        <w:rPr>
          <w:rStyle w:val="af9"/>
          <w:rFonts w:hint="cs"/>
          <w:rtl/>
        </w:rPr>
        <w:t xml:space="preserve">והש"ש </w:t>
      </w:r>
      <w:r w:rsidRPr="00382C39">
        <w:rPr>
          <w:rStyle w:val="af7"/>
          <w:rFonts w:eastAsia="Guttman Hodes" w:hint="cs"/>
          <w:rtl/>
        </w:rPr>
        <w:t xml:space="preserve">(עי' אות </w:t>
      </w:r>
      <w:r w:rsidRPr="00382C39">
        <w:rPr>
          <w:rStyle w:val="af7"/>
          <w:rFonts w:eastAsia="Guttman Hodes"/>
          <w:rtl/>
        </w:rPr>
        <w:fldChar w:fldCharType="begin"/>
      </w:r>
      <w:r w:rsidRPr="00382C39">
        <w:rPr>
          <w:rStyle w:val="af7"/>
          <w:rFonts w:eastAsia="Guttman Hodes"/>
          <w:rtl/>
        </w:rPr>
        <w:instrText xml:space="preserve"> </w:instrText>
      </w:r>
      <w:r w:rsidRPr="00382C39">
        <w:rPr>
          <w:rStyle w:val="af7"/>
          <w:rFonts w:eastAsia="Guttman Hodes" w:hint="cs"/>
        </w:rPr>
        <w:instrText>REF</w:instrText>
      </w:r>
      <w:r w:rsidRPr="00382C39">
        <w:rPr>
          <w:rStyle w:val="af7"/>
          <w:rFonts w:eastAsia="Guttman Hodes" w:hint="cs"/>
          <w:rtl/>
        </w:rPr>
        <w:instrText xml:space="preserve"> _</w:instrText>
      </w:r>
      <w:r w:rsidRPr="00382C39">
        <w:rPr>
          <w:rStyle w:val="af7"/>
          <w:rFonts w:eastAsia="Guttman Hodes" w:hint="cs"/>
        </w:rPr>
        <w:instrText>Ref530304408 \r \h</w:instrText>
      </w:r>
      <w:r w:rsidRPr="00382C39">
        <w:rPr>
          <w:rStyle w:val="af7"/>
          <w:rFonts w:eastAsia="Guttman Hodes"/>
          <w:rtl/>
        </w:rPr>
        <w:instrText xml:space="preserve"> </w:instrText>
      </w:r>
      <w:r w:rsidRPr="00382C39">
        <w:rPr>
          <w:rStyle w:val="af7"/>
          <w:rFonts w:eastAsia="Guttman Hodes"/>
          <w:rtl/>
        </w:rPr>
      </w:r>
      <w:r w:rsidRPr="00382C39">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382C39">
        <w:rPr>
          <w:rStyle w:val="af7"/>
          <w:rFonts w:eastAsia="Guttman Hodes"/>
          <w:rtl/>
        </w:rPr>
        <w:fldChar w:fldCharType="end"/>
      </w:r>
      <w:r>
        <w:rPr>
          <w:rStyle w:val="af9"/>
          <w:rFonts w:hint="cs"/>
          <w:rtl/>
        </w:rPr>
        <w:t xml:space="preserve"> </w:t>
      </w:r>
      <w:r>
        <w:rPr>
          <w:rFonts w:hint="cs"/>
          <w:rtl/>
        </w:rPr>
        <w:t xml:space="preserve">על </w:t>
      </w:r>
      <w:r w:rsidRPr="002B194A">
        <w:rPr>
          <w:rStyle w:val="af9"/>
          <w:rFonts w:hint="cs"/>
          <w:rtl/>
        </w:rPr>
        <w:t xml:space="preserve">התוס' הרא"ש בב"מ </w:t>
      </w:r>
      <w:r>
        <w:rPr>
          <w:rFonts w:hint="cs"/>
          <w:rtl/>
        </w:rPr>
        <w:t xml:space="preserve">דכתב דלרוב אין דין ודאי, דא"כ היאך שייך "קהל ודאי", דלמסקנא הוא ודאי אביו בלא דין רוב. </w:t>
      </w:r>
      <w:bookmarkStart w:id="10935" w:name="_Ref530306170"/>
      <w:r w:rsidRPr="009A3534">
        <w:rPr>
          <w:rFonts w:hint="cs"/>
          <w:rtl/>
        </w:rPr>
        <w:t>ו</w:t>
      </w:r>
      <w:r>
        <w:rPr>
          <w:rFonts w:hint="cs"/>
          <w:rtl/>
        </w:rPr>
        <w:t>כן תירץ</w:t>
      </w:r>
      <w:r w:rsidRPr="009A3534">
        <w:rPr>
          <w:rFonts w:hint="cs"/>
          <w:rtl/>
        </w:rPr>
        <w:t xml:space="preserve"> </w:t>
      </w:r>
      <w:r>
        <w:rPr>
          <w:rFonts w:hint="cs"/>
          <w:rtl/>
        </w:rPr>
        <w:t xml:space="preserve">בזה </w:t>
      </w:r>
      <w:r w:rsidRPr="009A3534">
        <w:rPr>
          <w:rStyle w:val="af9"/>
          <w:rFonts w:hint="cs"/>
          <w:rtl/>
        </w:rPr>
        <w:t>הקה"י</w:t>
      </w:r>
      <w:r w:rsidRPr="009A3534">
        <w:rPr>
          <w:rFonts w:hint="cs"/>
          <w:rtl/>
        </w:rPr>
        <w:t xml:space="preserve"> </w:t>
      </w:r>
      <w:r w:rsidRPr="00382C39">
        <w:rPr>
          <w:rStyle w:val="af7"/>
          <w:rFonts w:eastAsia="Guttman Hodes" w:hint="cs"/>
          <w:rtl/>
        </w:rPr>
        <w:t>(סי' ו' אות ג' ד"ה וניחא בהכי, קידושין סי' ל"ו ג')</w:t>
      </w:r>
      <w:r>
        <w:rPr>
          <w:rFonts w:hint="cs"/>
          <w:rtl/>
        </w:rPr>
        <w:t xml:space="preserve"> את קושית </w:t>
      </w:r>
      <w:r w:rsidRPr="004D118C">
        <w:rPr>
          <w:rStyle w:val="af9"/>
          <w:rFonts w:hint="cs"/>
          <w:rtl/>
        </w:rPr>
        <w:t>מהר"צ הלברשטט</w:t>
      </w:r>
      <w:r>
        <w:rPr>
          <w:rFonts w:hint="cs"/>
          <w:rtl/>
        </w:rPr>
        <w:t xml:space="preserve"> </w:t>
      </w:r>
      <w:r w:rsidRPr="00382C39">
        <w:rPr>
          <w:rStyle w:val="af7"/>
          <w:rFonts w:eastAsia="Guttman Hodes" w:hint="cs"/>
          <w:rtl/>
        </w:rPr>
        <w:t xml:space="preserve">(עי' אות </w:t>
      </w:r>
      <w:r w:rsidRPr="00382C39">
        <w:rPr>
          <w:rStyle w:val="af7"/>
          <w:rFonts w:eastAsia="Guttman Hodes"/>
          <w:rtl/>
        </w:rPr>
        <w:fldChar w:fldCharType="begin"/>
      </w:r>
      <w:r w:rsidRPr="00382C39">
        <w:rPr>
          <w:rStyle w:val="af7"/>
          <w:rFonts w:eastAsia="Guttman Hodes"/>
          <w:rtl/>
        </w:rPr>
        <w:instrText xml:space="preserve"> </w:instrText>
      </w:r>
      <w:r w:rsidRPr="00382C39">
        <w:rPr>
          <w:rStyle w:val="af7"/>
          <w:rFonts w:eastAsia="Guttman Hodes" w:hint="cs"/>
        </w:rPr>
        <w:instrText>REF</w:instrText>
      </w:r>
      <w:r w:rsidRPr="00382C39">
        <w:rPr>
          <w:rStyle w:val="af7"/>
          <w:rFonts w:eastAsia="Guttman Hodes" w:hint="cs"/>
          <w:rtl/>
        </w:rPr>
        <w:instrText xml:space="preserve"> _</w:instrText>
      </w:r>
      <w:r w:rsidRPr="00382C39">
        <w:rPr>
          <w:rStyle w:val="af7"/>
          <w:rFonts w:eastAsia="Guttman Hodes" w:hint="cs"/>
        </w:rPr>
        <w:instrText>Ref530306095 \r \h</w:instrText>
      </w:r>
      <w:r w:rsidRPr="00382C39">
        <w:rPr>
          <w:rStyle w:val="af7"/>
          <w:rFonts w:eastAsia="Guttman Hodes"/>
          <w:rtl/>
        </w:rPr>
        <w:instrText xml:space="preserve"> </w:instrText>
      </w:r>
      <w:r w:rsidRPr="00382C39">
        <w:rPr>
          <w:rStyle w:val="af7"/>
          <w:rFonts w:eastAsia="Guttman Hodes"/>
          <w:rtl/>
        </w:rPr>
      </w:r>
      <w:r w:rsidRPr="00382C39">
        <w:rPr>
          <w:rStyle w:val="af7"/>
          <w:rFonts w:eastAsia="Guttman Hodes"/>
          <w:rtl/>
        </w:rPr>
        <w:fldChar w:fldCharType="separate"/>
      </w:r>
      <w:r w:rsidR="00345400">
        <w:rPr>
          <w:rStyle w:val="af7"/>
          <w:rFonts w:eastAsia="Guttman Hodes"/>
          <w:cs/>
        </w:rPr>
        <w:t>‎</w:t>
      </w:r>
      <w:r w:rsidR="00345400">
        <w:rPr>
          <w:rStyle w:val="af7"/>
          <w:rFonts w:eastAsia="Guttman Hodes"/>
          <w:rtl/>
        </w:rPr>
        <w:t>סא)</w:t>
      </w:r>
      <w:r w:rsidRPr="00382C39">
        <w:rPr>
          <w:rStyle w:val="af7"/>
          <w:rFonts w:eastAsia="Guttman Hodes"/>
          <w:rtl/>
        </w:rPr>
        <w:fldChar w:fldCharType="end"/>
      </w:r>
      <w:r>
        <w:rPr>
          <w:rFonts w:hint="cs"/>
          <w:rtl/>
        </w:rPr>
        <w:t xml:space="preserve"> דהיאך דנים בת כהן בשריפה, הרי יתכן שאינה בת כהן, וע"י רוב אין דנים ממיתה קלה למיתה חמורה, וכתב </w:t>
      </w:r>
      <w:r w:rsidRPr="00EA6727">
        <w:rPr>
          <w:rStyle w:val="af9"/>
          <w:rFonts w:hint="cs"/>
          <w:rtl/>
        </w:rPr>
        <w:t>הקה"י</w:t>
      </w:r>
      <w:r>
        <w:rPr>
          <w:rFonts w:hint="cs"/>
          <w:rtl/>
        </w:rPr>
        <w:t xml:space="preserve"> דלמסקנת הגמ' הוא אביה בודאי, אף בלא דין רוב.</w:t>
      </w:r>
      <w:bookmarkEnd w:id="10935"/>
      <w:r>
        <w:rPr>
          <w:rFonts w:hint="cs"/>
          <w:rtl/>
        </w:rPr>
        <w:t xml:space="preserve"> </w:t>
      </w:r>
      <w:bookmarkStart w:id="10936" w:name="_Ref530308648"/>
      <w:r>
        <w:rPr>
          <w:rFonts w:hint="cs"/>
          <w:rtl/>
        </w:rPr>
        <w:t xml:space="preserve">וכן תירץ </w:t>
      </w:r>
      <w:r w:rsidRPr="00A478D7">
        <w:rPr>
          <w:rStyle w:val="af9"/>
          <w:rFonts w:hint="cs"/>
          <w:rtl/>
        </w:rPr>
        <w:t>הקה"י</w:t>
      </w:r>
      <w:r>
        <w:rPr>
          <w:rFonts w:hint="cs"/>
          <w:rtl/>
        </w:rPr>
        <w:t xml:space="preserve"> לפי"ז את קושית </w:t>
      </w:r>
      <w:r w:rsidRPr="00A478D7">
        <w:rPr>
          <w:rStyle w:val="af9"/>
          <w:rFonts w:hint="cs"/>
          <w:rtl/>
        </w:rPr>
        <w:t>הגר"ש איגר</w:t>
      </w:r>
      <w:r>
        <w:rPr>
          <w:rFonts w:hint="cs"/>
          <w:rtl/>
        </w:rPr>
        <w:t xml:space="preserve"> </w:t>
      </w:r>
      <w:r w:rsidRPr="00382C39">
        <w:rPr>
          <w:rStyle w:val="af7"/>
          <w:rFonts w:eastAsia="Guttman Hodes" w:hint="cs"/>
          <w:rtl/>
        </w:rPr>
        <w:t xml:space="preserve">(עי' אות </w:t>
      </w:r>
      <w:r w:rsidRPr="00382C39">
        <w:rPr>
          <w:rStyle w:val="af7"/>
          <w:rFonts w:eastAsia="Guttman Hodes"/>
          <w:rtl/>
        </w:rPr>
        <w:fldChar w:fldCharType="begin"/>
      </w:r>
      <w:r w:rsidRPr="00382C39">
        <w:rPr>
          <w:rStyle w:val="af7"/>
          <w:rFonts w:eastAsia="Guttman Hodes"/>
          <w:rtl/>
        </w:rPr>
        <w:instrText xml:space="preserve"> </w:instrText>
      </w:r>
      <w:r w:rsidRPr="00382C39">
        <w:rPr>
          <w:rStyle w:val="af7"/>
          <w:rFonts w:eastAsia="Guttman Hodes" w:hint="cs"/>
        </w:rPr>
        <w:instrText>REF</w:instrText>
      </w:r>
      <w:r w:rsidRPr="00382C39">
        <w:rPr>
          <w:rStyle w:val="af7"/>
          <w:rFonts w:eastAsia="Guttman Hodes" w:hint="cs"/>
          <w:rtl/>
        </w:rPr>
        <w:instrText xml:space="preserve"> _</w:instrText>
      </w:r>
      <w:r w:rsidRPr="00382C39">
        <w:rPr>
          <w:rStyle w:val="af7"/>
          <w:rFonts w:eastAsia="Guttman Hodes" w:hint="cs"/>
        </w:rPr>
        <w:instrText>Ref530308593 \r \h</w:instrText>
      </w:r>
      <w:r w:rsidRPr="00382C39">
        <w:rPr>
          <w:rStyle w:val="af7"/>
          <w:rFonts w:eastAsia="Guttman Hodes"/>
          <w:rtl/>
        </w:rPr>
        <w:instrText xml:space="preserve"> </w:instrText>
      </w:r>
      <w:r w:rsidRPr="00382C39">
        <w:rPr>
          <w:rStyle w:val="af7"/>
          <w:rFonts w:eastAsia="Guttman Hodes"/>
          <w:rtl/>
        </w:rPr>
      </w:r>
      <w:r w:rsidRPr="00382C39">
        <w:rPr>
          <w:rStyle w:val="af7"/>
          <w:rFonts w:eastAsia="Guttman Hodes"/>
          <w:rtl/>
        </w:rPr>
        <w:fldChar w:fldCharType="separate"/>
      </w:r>
      <w:r w:rsidR="00345400">
        <w:rPr>
          <w:rStyle w:val="af7"/>
          <w:rFonts w:eastAsia="Guttman Hodes"/>
          <w:cs/>
        </w:rPr>
        <w:t>‎</w:t>
      </w:r>
      <w:r w:rsidR="00345400">
        <w:rPr>
          <w:rStyle w:val="af7"/>
          <w:rFonts w:eastAsia="Guttman Hodes"/>
          <w:rtl/>
        </w:rPr>
        <w:t>ל)</w:t>
      </w:r>
      <w:r w:rsidRPr="00382C39">
        <w:rPr>
          <w:rStyle w:val="af7"/>
          <w:rFonts w:eastAsia="Guttman Hodes"/>
          <w:rtl/>
        </w:rPr>
        <w:fldChar w:fldCharType="end"/>
      </w:r>
      <w:r>
        <w:rPr>
          <w:rFonts w:hint="cs"/>
          <w:rtl/>
        </w:rPr>
        <w:t xml:space="preserve"> על הגמ' בסנהדרין </w:t>
      </w:r>
      <w:r w:rsidRPr="00382C39">
        <w:rPr>
          <w:rStyle w:val="af7"/>
          <w:rFonts w:eastAsia="Guttman Hodes" w:hint="cs"/>
          <w:rtl/>
        </w:rPr>
        <w:t xml:space="preserve">(סט.) </w:t>
      </w:r>
      <w:r>
        <w:rPr>
          <w:rFonts w:hint="cs"/>
          <w:rtl/>
        </w:rPr>
        <w:t>דדנה האם אזלינן בנפשות בתר רוב, ולא הביאה הגמ' ראיה מסוגיין דילפינן את דין רוב ממכה אביו, דלמסקנת הגמ' הא דלא חיישינן שהוא אביו, אינו מדין רוב כלל, ואף במקום שלא אזלינן בתר רובא יש לו דין אביו בודאי.</w:t>
      </w:r>
      <w:bookmarkEnd w:id="10936"/>
    </w:p>
    <w:p w14:paraId="715C4667" w14:textId="77777777" w:rsidR="00FF73EE" w:rsidRPr="00A50F11" w:rsidRDefault="00FF73EE" w:rsidP="00BF39B2">
      <w:pPr>
        <w:pStyle w:val="1"/>
        <w:rPr>
          <w:rtl/>
        </w:rPr>
      </w:pPr>
      <w:bookmarkStart w:id="10937" w:name="_Toc530477201"/>
      <w:bookmarkStart w:id="10938" w:name="_Toc530503052"/>
      <w:bookmarkStart w:id="10939" w:name="_Toc530504611"/>
      <w:bookmarkStart w:id="10940" w:name="_Toc530514437"/>
      <w:bookmarkStart w:id="10941" w:name="_Toc530514540"/>
      <w:bookmarkStart w:id="10942" w:name="_Toc530521989"/>
      <w:bookmarkStart w:id="10943" w:name="_Toc530525064"/>
      <w:bookmarkStart w:id="10944" w:name="_Toc530551230"/>
      <w:bookmarkStart w:id="10945" w:name="_Toc19390421"/>
      <w:bookmarkStart w:id="10946" w:name="_Toc19393918"/>
      <w:r>
        <w:rPr>
          <w:rFonts w:hint="cs"/>
          <w:rtl/>
        </w:rPr>
        <w:t>הביאור הב' בקה"י דרוב בסדר העולם יש לו דין ודאי</w:t>
      </w:r>
      <w:bookmarkEnd w:id="10937"/>
      <w:bookmarkEnd w:id="10938"/>
      <w:bookmarkEnd w:id="10939"/>
      <w:bookmarkEnd w:id="10940"/>
      <w:bookmarkEnd w:id="10941"/>
      <w:bookmarkEnd w:id="10942"/>
      <w:bookmarkEnd w:id="10943"/>
      <w:bookmarkEnd w:id="10944"/>
      <w:bookmarkEnd w:id="10945"/>
      <w:bookmarkEnd w:id="10946"/>
    </w:p>
    <w:p w14:paraId="7C05C065" w14:textId="77777777" w:rsidR="00FF73EE" w:rsidRDefault="00FF73EE" w:rsidP="006D6D32">
      <w:pPr>
        <w:pStyle w:val="a3"/>
        <w:rPr>
          <w:rtl/>
        </w:rPr>
      </w:pPr>
      <w:bookmarkStart w:id="10947" w:name="_Toc530551231"/>
      <w:bookmarkStart w:id="10948" w:name="_Toc19390422"/>
      <w:bookmarkStart w:id="10949" w:name="_Toc19393919"/>
      <w:r>
        <w:rPr>
          <w:rFonts w:hint="cs"/>
          <w:rtl/>
        </w:rPr>
        <w:t>הביאור הב' בקה"י דכוונת התורא"ש לומר דהא דאין לרוב דין ודאי הוא דוקא במקום שיש ריעותא</w:t>
      </w:r>
      <w:bookmarkEnd w:id="10947"/>
      <w:bookmarkEnd w:id="10948"/>
      <w:bookmarkEnd w:id="10949"/>
      <w:r>
        <w:rPr>
          <w:rFonts w:hint="cs"/>
          <w:rtl/>
        </w:rPr>
        <w:t xml:space="preserve"> </w:t>
      </w:r>
    </w:p>
    <w:p w14:paraId="03B2EF56" w14:textId="77777777" w:rsidR="00916CBE" w:rsidRDefault="00FF73EE" w:rsidP="00223668">
      <w:pPr>
        <w:pStyle w:val="a0"/>
        <w:rPr>
          <w:rtl/>
        </w:rPr>
        <w:sectPr w:rsidR="00916CBE" w:rsidSect="003658B8">
          <w:type w:val="continuous"/>
          <w:pgSz w:w="11906" w:h="16838"/>
          <w:pgMar w:top="720" w:right="720" w:bottom="720" w:left="720" w:header="283" w:footer="283" w:gutter="0"/>
          <w:cols w:num="2" w:space="567"/>
          <w:bidi/>
          <w:rtlGutter/>
          <w:docGrid w:linePitch="299"/>
        </w:sectPr>
      </w:pPr>
      <w:r>
        <w:rPr>
          <w:rFonts w:hint="cs"/>
          <w:rtl/>
        </w:rPr>
        <w:t xml:space="preserve">ועוד ביאר </w:t>
      </w:r>
      <w:r w:rsidRPr="00A50F11">
        <w:rPr>
          <w:rStyle w:val="af9"/>
          <w:rFonts w:hint="cs"/>
          <w:rtl/>
        </w:rPr>
        <w:t>הקה"י</w:t>
      </w:r>
      <w:r>
        <w:rPr>
          <w:rFonts w:hint="cs"/>
          <w:rtl/>
        </w:rPr>
        <w:t xml:space="preserve"> </w:t>
      </w:r>
      <w:r w:rsidRPr="003B6E9A">
        <w:rPr>
          <w:rStyle w:val="af7"/>
          <w:rFonts w:eastAsia="Guttman Hodes" w:hint="cs"/>
          <w:rtl/>
        </w:rPr>
        <w:t>(סי' ו' אות ד' ד"ה אלא, קידושין סי' ל"ו ד')</w:t>
      </w:r>
      <w:r>
        <w:rPr>
          <w:rFonts w:hint="cs"/>
          <w:rtl/>
        </w:rPr>
        <w:t xml:space="preserve"> דאף לדברי </w:t>
      </w:r>
      <w:r w:rsidRPr="00717997">
        <w:rPr>
          <w:rStyle w:val="af9"/>
          <w:rFonts w:hint="cs"/>
          <w:rtl/>
        </w:rPr>
        <w:t>התוס' הרא"ש בב"מ</w:t>
      </w:r>
      <w:r>
        <w:rPr>
          <w:rFonts w:hint="cs"/>
          <w:rtl/>
        </w:rPr>
        <w:t xml:space="preserve"> </w:t>
      </w:r>
      <w:r w:rsidRPr="003B6E9A">
        <w:rPr>
          <w:rStyle w:val="af7"/>
          <w:rFonts w:eastAsia="Guttman Hodes" w:hint="cs"/>
          <w:rtl/>
        </w:rPr>
        <w:t xml:space="preserve">(עי' אות </w:t>
      </w:r>
      <w:r w:rsidRPr="003B6E9A">
        <w:rPr>
          <w:rStyle w:val="af7"/>
          <w:rFonts w:eastAsia="Guttman Hodes"/>
          <w:rtl/>
        </w:rPr>
        <w:fldChar w:fldCharType="begin"/>
      </w:r>
      <w:r w:rsidRPr="003B6E9A">
        <w:rPr>
          <w:rStyle w:val="af7"/>
          <w:rFonts w:eastAsia="Guttman Hodes"/>
          <w:rtl/>
        </w:rPr>
        <w:instrText xml:space="preserve"> </w:instrText>
      </w:r>
      <w:r w:rsidRPr="003B6E9A">
        <w:rPr>
          <w:rStyle w:val="af7"/>
          <w:rFonts w:eastAsia="Guttman Hodes" w:hint="cs"/>
        </w:rPr>
        <w:instrText>REF</w:instrText>
      </w:r>
      <w:r w:rsidRPr="003B6E9A">
        <w:rPr>
          <w:rStyle w:val="af7"/>
          <w:rFonts w:eastAsia="Guttman Hodes" w:hint="cs"/>
          <w:rtl/>
        </w:rPr>
        <w:instrText xml:space="preserve"> _</w:instrText>
      </w:r>
      <w:r w:rsidRPr="003B6E9A">
        <w:rPr>
          <w:rStyle w:val="af7"/>
          <w:rFonts w:eastAsia="Guttman Hodes" w:hint="cs"/>
        </w:rPr>
        <w:instrText>Ref530300982 \r \h</w:instrText>
      </w:r>
      <w:r w:rsidRPr="003B6E9A">
        <w:rPr>
          <w:rStyle w:val="af7"/>
          <w:rFonts w:eastAsia="Guttman Hodes"/>
          <w:rtl/>
        </w:rPr>
        <w:instrText xml:space="preserve"> </w:instrText>
      </w:r>
      <w:r w:rsidRPr="003B6E9A">
        <w:rPr>
          <w:rStyle w:val="af7"/>
          <w:rFonts w:eastAsia="Guttman Hodes"/>
          <w:rtl/>
        </w:rPr>
      </w:r>
      <w:r w:rsidRPr="003B6E9A">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3B6E9A">
        <w:rPr>
          <w:rStyle w:val="af7"/>
          <w:rFonts w:eastAsia="Guttman Hodes"/>
          <w:rtl/>
        </w:rPr>
        <w:fldChar w:fldCharType="end"/>
      </w:r>
      <w:r>
        <w:rPr>
          <w:rFonts w:hint="cs"/>
          <w:rtl/>
        </w:rPr>
        <w:t xml:space="preserve"> דאין לרוב דין ודאי, היינו דוקא במקום שיש ריעותא לפנינו, כגון במעשר בהמה שקפץ אחד מהמנויין לתוך הדיר, דיש ספק ואזלינן בתר רובא, וכן בשתוקי דאזלינן בתר רוב העיר, אבל בדבר שהוא כסדר העולם, ואין בו כל ריעותא, אף לדעת </w:t>
      </w:r>
      <w:r w:rsidRPr="00717997">
        <w:rPr>
          <w:rStyle w:val="af9"/>
          <w:rFonts w:hint="cs"/>
          <w:rtl/>
        </w:rPr>
        <w:t>התוס' הרא"ש בב"מ</w:t>
      </w:r>
      <w:r>
        <w:rPr>
          <w:rFonts w:hint="cs"/>
          <w:rtl/>
        </w:rPr>
        <w:t xml:space="preserve"> יש לו דין ודאי.</w:t>
      </w:r>
      <w:r w:rsidRPr="0029552F">
        <w:rPr>
          <w:rFonts w:hint="cs"/>
          <w:rtl/>
        </w:rPr>
        <w:t xml:space="preserve"> </w:t>
      </w:r>
      <w:r>
        <w:rPr>
          <w:rFonts w:hint="cs"/>
          <w:rtl/>
        </w:rPr>
        <w:t xml:space="preserve">והוסיף </w:t>
      </w:r>
      <w:r w:rsidRPr="0029552F">
        <w:rPr>
          <w:rStyle w:val="af9"/>
          <w:rFonts w:hint="cs"/>
          <w:rtl/>
        </w:rPr>
        <w:t>הקה"י</w:t>
      </w:r>
      <w:r>
        <w:rPr>
          <w:rFonts w:hint="cs"/>
          <w:rtl/>
        </w:rPr>
        <w:t xml:space="preserve"> דיתכן שזו כוונת </w:t>
      </w:r>
      <w:r w:rsidRPr="0029552F">
        <w:rPr>
          <w:rStyle w:val="af9"/>
          <w:rFonts w:hint="cs"/>
          <w:rtl/>
        </w:rPr>
        <w:t>הש"ש</w:t>
      </w:r>
      <w:r>
        <w:rPr>
          <w:rFonts w:hint="cs"/>
          <w:rtl/>
        </w:rPr>
        <w:t xml:space="preserve"> </w:t>
      </w:r>
      <w:r w:rsidRPr="003B6E9A">
        <w:rPr>
          <w:rStyle w:val="af7"/>
          <w:rFonts w:eastAsia="Guttman Hodes" w:hint="cs"/>
          <w:rtl/>
        </w:rPr>
        <w:t xml:space="preserve">(עי' אות </w:t>
      </w:r>
      <w:r w:rsidRPr="003B6E9A">
        <w:rPr>
          <w:rStyle w:val="af7"/>
          <w:rFonts w:eastAsia="Guttman Hodes"/>
          <w:rtl/>
        </w:rPr>
        <w:fldChar w:fldCharType="begin"/>
      </w:r>
      <w:r w:rsidRPr="003B6E9A">
        <w:rPr>
          <w:rStyle w:val="af7"/>
          <w:rFonts w:eastAsia="Guttman Hodes"/>
          <w:rtl/>
        </w:rPr>
        <w:instrText xml:space="preserve"> </w:instrText>
      </w:r>
      <w:r w:rsidRPr="003B6E9A">
        <w:rPr>
          <w:rStyle w:val="af7"/>
          <w:rFonts w:eastAsia="Guttman Hodes" w:hint="cs"/>
        </w:rPr>
        <w:instrText>REF</w:instrText>
      </w:r>
      <w:r w:rsidRPr="003B6E9A">
        <w:rPr>
          <w:rStyle w:val="af7"/>
          <w:rFonts w:eastAsia="Guttman Hodes" w:hint="cs"/>
          <w:rtl/>
        </w:rPr>
        <w:instrText xml:space="preserve"> _</w:instrText>
      </w:r>
      <w:r w:rsidRPr="003B6E9A">
        <w:rPr>
          <w:rStyle w:val="af7"/>
          <w:rFonts w:eastAsia="Guttman Hodes" w:hint="cs"/>
        </w:rPr>
        <w:instrText>Ref528785445 \r \h</w:instrText>
      </w:r>
      <w:r w:rsidRPr="003B6E9A">
        <w:rPr>
          <w:rStyle w:val="af7"/>
          <w:rFonts w:eastAsia="Guttman Hodes"/>
          <w:rtl/>
        </w:rPr>
        <w:instrText xml:space="preserve"> </w:instrText>
      </w:r>
      <w:r w:rsidRPr="003B6E9A">
        <w:rPr>
          <w:rStyle w:val="af7"/>
          <w:rFonts w:eastAsia="Guttman Hodes"/>
          <w:rtl/>
        </w:rPr>
      </w:r>
      <w:r w:rsidRPr="003B6E9A">
        <w:rPr>
          <w:rStyle w:val="af7"/>
          <w:rFonts w:eastAsia="Guttman Hodes"/>
          <w:rtl/>
        </w:rPr>
        <w:fldChar w:fldCharType="separate"/>
      </w:r>
      <w:r w:rsidR="00345400">
        <w:rPr>
          <w:rStyle w:val="af7"/>
          <w:rFonts w:eastAsia="Guttman Hodes"/>
          <w:cs/>
        </w:rPr>
        <w:t>‎</w:t>
      </w:r>
      <w:r w:rsidR="00345400">
        <w:rPr>
          <w:rStyle w:val="af7"/>
          <w:rFonts w:eastAsia="Guttman Hodes"/>
          <w:rtl/>
        </w:rPr>
        <w:t>מז)</w:t>
      </w:r>
      <w:r w:rsidRPr="003B6E9A">
        <w:rPr>
          <w:rStyle w:val="af7"/>
          <w:rFonts w:eastAsia="Guttman Hodes"/>
          <w:rtl/>
        </w:rPr>
        <w:fldChar w:fldCharType="end"/>
      </w:r>
      <w:r>
        <w:rPr>
          <w:rFonts w:hint="cs"/>
          <w:rtl/>
        </w:rPr>
        <w:t xml:space="preserve"> אלא דבמקום שאין ריעותא לפנינו כתב </w:t>
      </w:r>
      <w:r w:rsidRPr="0029552F">
        <w:rPr>
          <w:rStyle w:val="af9"/>
          <w:rFonts w:hint="cs"/>
          <w:rtl/>
        </w:rPr>
        <w:t>הש"ש</w:t>
      </w:r>
      <w:r>
        <w:rPr>
          <w:rFonts w:hint="cs"/>
          <w:rtl/>
        </w:rPr>
        <w:t xml:space="preserve"> דהוא רובא דליתא קמן. וכתב </w:t>
      </w:r>
      <w:r w:rsidRPr="00717997">
        <w:rPr>
          <w:rStyle w:val="af9"/>
          <w:rFonts w:hint="cs"/>
          <w:rtl/>
        </w:rPr>
        <w:t>הקה"י</w:t>
      </w:r>
      <w:r>
        <w:rPr>
          <w:rFonts w:hint="cs"/>
          <w:rtl/>
        </w:rPr>
        <w:t xml:space="preserve"> דלפי"ז מיושבת קושית </w:t>
      </w:r>
      <w:r w:rsidRPr="00717997">
        <w:rPr>
          <w:rStyle w:val="af9"/>
          <w:rFonts w:hint="cs"/>
          <w:rtl/>
        </w:rPr>
        <w:t>הגרעק"א</w:t>
      </w:r>
      <w:r>
        <w:rPr>
          <w:rFonts w:hint="cs"/>
          <w:rtl/>
        </w:rPr>
        <w:t xml:space="preserve"> </w:t>
      </w:r>
      <w:r w:rsidRPr="003B6E9A">
        <w:rPr>
          <w:rStyle w:val="af7"/>
          <w:rFonts w:eastAsia="Guttman Hodes" w:hint="cs"/>
          <w:rtl/>
        </w:rPr>
        <w:t xml:space="preserve">(עי' אות </w:t>
      </w:r>
      <w:r w:rsidRPr="003B6E9A">
        <w:rPr>
          <w:rStyle w:val="af7"/>
          <w:rFonts w:eastAsia="Guttman Hodes"/>
          <w:rtl/>
        </w:rPr>
        <w:fldChar w:fldCharType="begin"/>
      </w:r>
      <w:r w:rsidRPr="003B6E9A">
        <w:rPr>
          <w:rStyle w:val="af7"/>
          <w:rFonts w:eastAsia="Guttman Hodes"/>
          <w:rtl/>
        </w:rPr>
        <w:instrText xml:space="preserve"> </w:instrText>
      </w:r>
      <w:r w:rsidRPr="003B6E9A">
        <w:rPr>
          <w:rStyle w:val="af7"/>
          <w:rFonts w:eastAsia="Guttman Hodes" w:hint="cs"/>
        </w:rPr>
        <w:instrText>REF</w:instrText>
      </w:r>
      <w:r w:rsidRPr="003B6E9A">
        <w:rPr>
          <w:rStyle w:val="af7"/>
          <w:rFonts w:eastAsia="Guttman Hodes" w:hint="cs"/>
          <w:rtl/>
        </w:rPr>
        <w:instrText xml:space="preserve"> _</w:instrText>
      </w:r>
      <w:r w:rsidRPr="003B6E9A">
        <w:rPr>
          <w:rStyle w:val="af7"/>
          <w:rFonts w:eastAsia="Guttman Hodes" w:hint="cs"/>
        </w:rPr>
        <w:instrText>Ref530300982 \r \h</w:instrText>
      </w:r>
      <w:r w:rsidRPr="003B6E9A">
        <w:rPr>
          <w:rStyle w:val="af7"/>
          <w:rFonts w:eastAsia="Guttman Hodes"/>
          <w:rtl/>
        </w:rPr>
        <w:instrText xml:space="preserve"> </w:instrText>
      </w:r>
      <w:r w:rsidRPr="003B6E9A">
        <w:rPr>
          <w:rStyle w:val="af7"/>
          <w:rFonts w:eastAsia="Guttman Hodes"/>
          <w:rtl/>
        </w:rPr>
      </w:r>
      <w:r w:rsidRPr="003B6E9A">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3B6E9A">
        <w:rPr>
          <w:rStyle w:val="af7"/>
          <w:rFonts w:eastAsia="Guttman Hodes"/>
          <w:rtl/>
        </w:rPr>
        <w:fldChar w:fldCharType="end"/>
      </w:r>
      <w:r>
        <w:rPr>
          <w:rFonts w:hint="cs"/>
          <w:rtl/>
        </w:rPr>
        <w:t xml:space="preserve"> על </w:t>
      </w:r>
      <w:r w:rsidRPr="00717997">
        <w:rPr>
          <w:rStyle w:val="af9"/>
          <w:rFonts w:hint="cs"/>
          <w:rtl/>
        </w:rPr>
        <w:t>התוס' רא"ש בב"מ</w:t>
      </w:r>
      <w:r>
        <w:rPr>
          <w:rFonts w:hint="cs"/>
          <w:rtl/>
        </w:rPr>
        <w:t xml:space="preserve">, היאך שייך דין "קהל ודאי", דכיון שאין כל ריעותא בקהל, אף לדעת </w:t>
      </w:r>
      <w:r w:rsidRPr="00717997">
        <w:rPr>
          <w:rStyle w:val="af9"/>
          <w:rFonts w:hint="cs"/>
          <w:rtl/>
        </w:rPr>
        <w:t>התוס' הרא"ש בב"מ</w:t>
      </w:r>
      <w:r>
        <w:rPr>
          <w:rFonts w:hint="cs"/>
          <w:rtl/>
        </w:rPr>
        <w:t xml:space="preserve"> יש לכ"א דין ודאי שהוא אביו של בנו.</w:t>
      </w:r>
    </w:p>
    <w:p w14:paraId="02946779" w14:textId="77777777" w:rsidR="00916CBE" w:rsidRDefault="00916CBE" w:rsidP="00223668">
      <w:pPr>
        <w:pStyle w:val="a0"/>
        <w:numPr>
          <w:ilvl w:val="0"/>
          <w:numId w:val="0"/>
        </w:numPr>
        <w:rPr>
          <w:rtl/>
        </w:rPr>
        <w:sectPr w:rsidR="00916CBE" w:rsidSect="00FF73EE">
          <w:type w:val="continuous"/>
          <w:pgSz w:w="11906" w:h="16838"/>
          <w:pgMar w:top="720" w:right="720" w:bottom="720" w:left="720" w:header="283" w:footer="283" w:gutter="0"/>
          <w:pgNumType w:fmt="hebrew1"/>
          <w:cols w:num="2" w:space="567"/>
          <w:bidi/>
          <w:rtlGutter/>
          <w:docGrid w:linePitch="299"/>
        </w:sectPr>
      </w:pPr>
    </w:p>
    <w:p w14:paraId="12524D66" w14:textId="77777777" w:rsidR="00916CBE" w:rsidRDefault="00916CBE" w:rsidP="006D6D32">
      <w:pPr>
        <w:pStyle w:val="afd"/>
        <w:rPr>
          <w:rtl/>
        </w:rPr>
      </w:pPr>
      <w:bookmarkStart w:id="10950" w:name="_Toc531023250"/>
      <w:bookmarkStart w:id="10951" w:name="_Toc531106290"/>
      <w:bookmarkStart w:id="10952" w:name="_Toc531111203"/>
      <w:bookmarkStart w:id="10953" w:name="_Toc531158303"/>
      <w:bookmarkStart w:id="10954" w:name="_Toc531182414"/>
      <w:bookmarkStart w:id="10955" w:name="_Toc534142077"/>
      <w:bookmarkStart w:id="10956" w:name="_Toc16669745"/>
      <w:bookmarkStart w:id="10957" w:name="_Toc19435710"/>
      <w:bookmarkStart w:id="10958" w:name="_Toc20080978"/>
      <w:r>
        <w:rPr>
          <w:rFonts w:hint="cs"/>
          <w:rtl/>
        </w:rPr>
        <w:t>סימן י"א</w:t>
      </w:r>
      <w:bookmarkEnd w:id="10950"/>
      <w:bookmarkEnd w:id="10951"/>
      <w:bookmarkEnd w:id="10952"/>
      <w:bookmarkEnd w:id="10953"/>
      <w:bookmarkEnd w:id="10954"/>
      <w:bookmarkEnd w:id="10955"/>
      <w:bookmarkEnd w:id="10956"/>
      <w:bookmarkEnd w:id="10957"/>
      <w:bookmarkEnd w:id="10958"/>
    </w:p>
    <w:p w14:paraId="7A6FFD9F" w14:textId="77777777" w:rsidR="00916CBE" w:rsidRDefault="00916CBE" w:rsidP="006D6D32">
      <w:pPr>
        <w:pStyle w:val="afd"/>
        <w:rPr>
          <w:rtl/>
        </w:rPr>
      </w:pPr>
      <w:bookmarkStart w:id="10959" w:name="_Toc531023251"/>
      <w:bookmarkStart w:id="10960" w:name="_Toc531106291"/>
      <w:bookmarkStart w:id="10961" w:name="_Toc531111204"/>
      <w:bookmarkStart w:id="10962" w:name="_Toc531158304"/>
      <w:bookmarkStart w:id="10963" w:name="_Toc531182415"/>
      <w:bookmarkStart w:id="10964" w:name="_Toc534142078"/>
      <w:bookmarkStart w:id="10965" w:name="_Toc16669746"/>
      <w:bookmarkStart w:id="10966" w:name="_Toc19435711"/>
      <w:bookmarkStart w:id="10967" w:name="_Toc20080979"/>
      <w:r>
        <w:rPr>
          <w:rFonts w:hint="cs"/>
          <w:rtl/>
        </w:rPr>
        <w:t>בסוגיא ד</w:t>
      </w:r>
      <w:r w:rsidRPr="009D697A">
        <w:rPr>
          <w:rFonts w:hint="cs"/>
          <w:rtl/>
        </w:rPr>
        <w:t>רוב (</w:t>
      </w:r>
      <w:r>
        <w:rPr>
          <w:rFonts w:hint="cs"/>
          <w:rtl/>
        </w:rPr>
        <w:t>ד'</w:t>
      </w:r>
      <w:r w:rsidRPr="009D697A">
        <w:rPr>
          <w:rFonts w:hint="cs"/>
          <w:rtl/>
        </w:rPr>
        <w:t>)</w:t>
      </w:r>
      <w:bookmarkEnd w:id="10959"/>
      <w:bookmarkEnd w:id="10960"/>
      <w:bookmarkEnd w:id="10961"/>
      <w:bookmarkEnd w:id="10962"/>
      <w:bookmarkEnd w:id="10963"/>
      <w:bookmarkEnd w:id="10964"/>
      <w:bookmarkEnd w:id="10965"/>
      <w:bookmarkEnd w:id="10966"/>
      <w:bookmarkEnd w:id="10967"/>
    </w:p>
    <w:p w14:paraId="3561BD1D" w14:textId="77777777" w:rsidR="00916CBE" w:rsidRPr="006E4372" w:rsidRDefault="00916CBE" w:rsidP="006D6D32">
      <w:pPr>
        <w:pStyle w:val="afd"/>
        <w:rPr>
          <w:rtl/>
        </w:rPr>
      </w:pPr>
      <w:bookmarkStart w:id="10968" w:name="_Toc531023252"/>
      <w:bookmarkStart w:id="10969" w:name="_Toc531106292"/>
      <w:bookmarkStart w:id="10970" w:name="_Toc531111205"/>
      <w:bookmarkStart w:id="10971" w:name="_Toc531158305"/>
      <w:bookmarkStart w:id="10972" w:name="_Toc531182416"/>
      <w:bookmarkStart w:id="10973" w:name="_Toc16669747"/>
      <w:bookmarkStart w:id="10974" w:name="_Toc19435712"/>
      <w:bookmarkStart w:id="10975" w:name="_Toc20080980"/>
      <w:r>
        <w:rPr>
          <w:rFonts w:hint="cs"/>
          <w:rtl/>
        </w:rPr>
        <w:t>בפלוגתת ר"מ ורבנן אי חיישינן למיעוטא ובסמוך מיעוטא לחזקה</w:t>
      </w:r>
      <w:bookmarkEnd w:id="10968"/>
      <w:bookmarkEnd w:id="10969"/>
      <w:bookmarkEnd w:id="10970"/>
      <w:bookmarkEnd w:id="10971"/>
      <w:bookmarkEnd w:id="10972"/>
      <w:bookmarkEnd w:id="10973"/>
      <w:bookmarkEnd w:id="10974"/>
      <w:bookmarkEnd w:id="10975"/>
      <w:r>
        <w:rPr>
          <w:rFonts w:hint="cs"/>
          <w:rtl/>
        </w:rPr>
        <w:t xml:space="preserve"> </w:t>
      </w:r>
    </w:p>
    <w:p w14:paraId="01A0E139" w14:textId="77777777" w:rsidR="00916CBE" w:rsidRDefault="000A0C31" w:rsidP="00F31B7C">
      <w:pPr>
        <w:pStyle w:val="2"/>
        <w:keepNext w:val="0"/>
        <w:keepLines w:val="0"/>
        <w:rPr>
          <w:rtl/>
        </w:rPr>
      </w:pPr>
      <w:r>
        <w:rPr>
          <w:rFonts w:hint="cs"/>
          <w:rtl/>
        </w:rPr>
        <w:t>מפתח הסוגיא</w:t>
      </w:r>
    </w:p>
    <w:p w14:paraId="13ECF976" w14:textId="77777777" w:rsidR="00916CBE" w:rsidRDefault="00916CBE" w:rsidP="00F31B7C">
      <w:pPr>
        <w:pStyle w:val="2"/>
        <w:keepNext w:val="0"/>
        <w:keepLines w:val="0"/>
        <w:rPr>
          <w:rtl/>
        </w:rPr>
        <w:sectPr w:rsidR="00916CBE" w:rsidSect="00463352">
          <w:headerReference w:type="default" r:id="rId73"/>
          <w:footerReference w:type="default" r:id="rId74"/>
          <w:headerReference w:type="first" r:id="rId75"/>
          <w:footerReference w:type="first" r:id="rId76"/>
          <w:pgSz w:w="11906" w:h="16838"/>
          <w:pgMar w:top="720" w:right="720" w:bottom="720" w:left="720" w:header="283" w:footer="283" w:gutter="0"/>
          <w:cols w:space="720"/>
          <w:bidi/>
          <w:rtlGutter/>
          <w:docGrid w:linePitch="299"/>
        </w:sectPr>
      </w:pPr>
    </w:p>
    <w:p w14:paraId="052AEEBA" w14:textId="77777777" w:rsidR="00916CBE" w:rsidRDefault="00916CBE" w:rsidP="00F31B7C">
      <w:pPr>
        <w:pStyle w:val="2"/>
        <w:keepNext w:val="0"/>
        <w:keepLines w:val="0"/>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bookmarkStart w:id="10976" w:name="_Toc19435714"/>
      <w:r>
        <w:rPr>
          <w:noProof/>
          <w:rtl/>
        </w:rPr>
        <w:t>מראי מקומות וביאורים על הסוגיא</w:t>
      </w:r>
      <w:bookmarkEnd w:id="10976"/>
    </w:p>
    <w:p w14:paraId="5B14FFCB" w14:textId="77777777" w:rsidR="00916CBE" w:rsidRDefault="00916CBE" w:rsidP="00F31B7C">
      <w:pPr>
        <w:pStyle w:val="2"/>
        <w:keepNext w:val="0"/>
        <w:keepLines w:val="0"/>
        <w:rPr>
          <w:rFonts w:eastAsiaTheme="minorEastAsia" w:cstheme="minorBidi"/>
          <w:i/>
          <w:iCs/>
          <w:noProof/>
          <w:sz w:val="22"/>
          <w:szCs w:val="22"/>
          <w:rtl/>
        </w:rPr>
      </w:pPr>
      <w:bookmarkStart w:id="10977" w:name="_Toc19435715"/>
      <w:r>
        <w:rPr>
          <w:noProof/>
          <w:rtl/>
        </w:rPr>
        <w:t>ר"מ חייש למיעוטא מדאו' או מדרבנן</w:t>
      </w:r>
      <w:bookmarkEnd w:id="10977"/>
    </w:p>
    <w:p w14:paraId="4FA5E301" w14:textId="77777777" w:rsidR="00916CBE" w:rsidRDefault="00916CBE" w:rsidP="00F31B7C">
      <w:pPr>
        <w:pStyle w:val="aff4"/>
        <w:rPr>
          <w:rFonts w:eastAsiaTheme="minorEastAsia" w:cstheme="minorBidi"/>
          <w:i/>
          <w:iCs/>
          <w:noProof/>
          <w:sz w:val="22"/>
          <w:szCs w:val="22"/>
          <w:rtl/>
        </w:rPr>
      </w:pPr>
      <w:bookmarkStart w:id="10978" w:name="_Toc19435716"/>
      <w:bookmarkStart w:id="10979" w:name="_Toc20080981"/>
      <w:r>
        <w:rPr>
          <w:noProof/>
          <w:rtl/>
        </w:rPr>
        <w:t>דעת התוס' דחייש ר"מ למיעוטא רק מדרבנן</w:t>
      </w:r>
      <w:bookmarkEnd w:id="10978"/>
      <w:bookmarkEnd w:id="10979"/>
    </w:p>
    <w:p w14:paraId="2A026DD7" w14:textId="77777777" w:rsidR="00B606D4" w:rsidRPr="005077A7" w:rsidRDefault="00B606D4" w:rsidP="00E12979">
      <w:pPr>
        <w:pStyle w:val="a"/>
        <w:numPr>
          <w:ilvl w:val="0"/>
          <w:numId w:val="28"/>
        </w:numPr>
        <w:rPr>
          <w:rFonts w:eastAsiaTheme="minorEastAsia" w:cstheme="minorBidi"/>
          <w:noProof/>
          <w:sz w:val="22"/>
          <w:szCs w:val="22"/>
        </w:rPr>
      </w:pPr>
      <w:r w:rsidRPr="00FB3ECF">
        <w:rPr>
          <w:noProof/>
          <w:rtl/>
        </w:rPr>
        <w:t>קושית הראשונים האיך מותר לאכול בשר תאוה לר"מ</w:t>
      </w:r>
      <w:r>
        <w:rPr>
          <w:noProof/>
          <w:rtl/>
        </w:rPr>
        <w:t xml:space="preserve"> </w:t>
      </w:r>
    </w:p>
    <w:p w14:paraId="3A3C87BB" w14:textId="77777777" w:rsidR="00916CBE" w:rsidRDefault="00916CBE" w:rsidP="005077A7">
      <w:pPr>
        <w:pStyle w:val="a"/>
        <w:rPr>
          <w:rFonts w:eastAsiaTheme="minorEastAsia" w:cstheme="minorBidi"/>
          <w:noProof/>
          <w:sz w:val="22"/>
          <w:szCs w:val="22"/>
          <w:rtl/>
        </w:rPr>
      </w:pPr>
      <w:r>
        <w:rPr>
          <w:noProof/>
          <w:rtl/>
        </w:rPr>
        <w:t>תירוץ התוס' דאף לר"מ מדאו' לא חיישינן למיעוט ואפש"ל דמדרבנן אסור לאכול בשר תאוה</w:t>
      </w:r>
    </w:p>
    <w:p w14:paraId="3F2FD45F" w14:textId="77777777" w:rsidR="00916CBE" w:rsidRDefault="00916CBE" w:rsidP="005077A7">
      <w:pPr>
        <w:pStyle w:val="a"/>
        <w:rPr>
          <w:rFonts w:eastAsiaTheme="minorEastAsia" w:cstheme="minorBidi"/>
          <w:noProof/>
          <w:sz w:val="22"/>
          <w:szCs w:val="22"/>
          <w:rtl/>
        </w:rPr>
      </w:pPr>
      <w:r>
        <w:rPr>
          <w:noProof/>
          <w:rtl/>
        </w:rPr>
        <w:t>דברי התוס' בבכורות דר"מ חייש למיעוטא רק מדרבנן</w:t>
      </w:r>
    </w:p>
    <w:p w14:paraId="28F30646" w14:textId="77777777" w:rsidR="00916CBE" w:rsidRDefault="00916CBE" w:rsidP="005077A7">
      <w:pPr>
        <w:pStyle w:val="a"/>
        <w:rPr>
          <w:rFonts w:eastAsiaTheme="minorEastAsia" w:cstheme="minorBidi"/>
          <w:noProof/>
          <w:sz w:val="22"/>
          <w:szCs w:val="22"/>
          <w:rtl/>
        </w:rPr>
      </w:pPr>
      <w:r>
        <w:rPr>
          <w:noProof/>
          <w:rtl/>
        </w:rPr>
        <w:t>דברי התוס' בבכורות דמדגזר ר"מ בגבינות בית אונייקי מוכח דמדאו' לא חיישינן למיעוטא</w:t>
      </w:r>
    </w:p>
    <w:p w14:paraId="0E446308" w14:textId="77777777" w:rsidR="00916CBE" w:rsidRDefault="00916CBE" w:rsidP="00F31B7C">
      <w:pPr>
        <w:pStyle w:val="aff4"/>
        <w:rPr>
          <w:rFonts w:eastAsiaTheme="minorEastAsia" w:cstheme="minorBidi"/>
          <w:i/>
          <w:iCs/>
          <w:noProof/>
          <w:sz w:val="22"/>
          <w:szCs w:val="22"/>
          <w:rtl/>
        </w:rPr>
      </w:pPr>
      <w:bookmarkStart w:id="10980" w:name="_Toc19435717"/>
      <w:bookmarkStart w:id="10981" w:name="_Toc20080982"/>
      <w:r>
        <w:rPr>
          <w:noProof/>
          <w:rtl/>
        </w:rPr>
        <w:t>דעת הראשונים דר"מ חייש למיעוטא מדאו'</w:t>
      </w:r>
      <w:bookmarkEnd w:id="10980"/>
      <w:bookmarkEnd w:id="10981"/>
    </w:p>
    <w:p w14:paraId="7097D4D6" w14:textId="77777777" w:rsidR="00916CBE" w:rsidRDefault="00916CBE" w:rsidP="005077A7">
      <w:pPr>
        <w:pStyle w:val="a"/>
        <w:rPr>
          <w:rFonts w:eastAsiaTheme="minorEastAsia" w:cstheme="minorBidi"/>
          <w:noProof/>
          <w:sz w:val="22"/>
          <w:szCs w:val="22"/>
          <w:rtl/>
        </w:rPr>
      </w:pPr>
      <w:r>
        <w:rPr>
          <w:noProof/>
          <w:rtl/>
        </w:rPr>
        <w:t>תירוץ הרמב"ן והרשב"א והר"ן דבשר תאוה הוא היתר כנגד יצר הרע ולכן קשה רק מקדשים</w:t>
      </w:r>
    </w:p>
    <w:p w14:paraId="0BCD1905" w14:textId="77777777" w:rsidR="00916CBE" w:rsidRDefault="00916CBE" w:rsidP="005077A7">
      <w:pPr>
        <w:pStyle w:val="a"/>
        <w:rPr>
          <w:rFonts w:eastAsiaTheme="minorEastAsia" w:cstheme="minorBidi"/>
          <w:noProof/>
          <w:sz w:val="22"/>
          <w:szCs w:val="22"/>
          <w:rtl/>
        </w:rPr>
      </w:pPr>
      <w:r>
        <w:rPr>
          <w:noProof/>
          <w:rtl/>
        </w:rPr>
        <w:t>דברי הראש יוסף וה</w:t>
      </w:r>
      <w:r w:rsidR="00345400">
        <w:rPr>
          <w:noProof/>
          <w:rtl/>
        </w:rPr>
        <w:t>פלתי</w:t>
      </w:r>
      <w:r>
        <w:rPr>
          <w:noProof/>
          <w:rtl/>
        </w:rPr>
        <w:t xml:space="preserve"> דמבואר ברמב"ן וברשב"א ובר"ן דר"מ חייש למיעוטא מדאו'</w:t>
      </w:r>
    </w:p>
    <w:p w14:paraId="56459148" w14:textId="77777777" w:rsidR="00916CBE" w:rsidRDefault="00916CBE" w:rsidP="005077A7">
      <w:pPr>
        <w:pStyle w:val="a"/>
        <w:rPr>
          <w:rFonts w:eastAsiaTheme="minorEastAsia" w:cstheme="minorBidi"/>
          <w:noProof/>
          <w:sz w:val="22"/>
          <w:szCs w:val="22"/>
          <w:rtl/>
        </w:rPr>
      </w:pPr>
      <w:r>
        <w:rPr>
          <w:noProof/>
          <w:rtl/>
        </w:rPr>
        <w:t>דברי המרדכי דמוכח דר"מ חייש למיעוטא מדאו' מדלא תירצה הגמ' דבקדשים לא גזר ר"מ</w:t>
      </w:r>
    </w:p>
    <w:p w14:paraId="45E36766" w14:textId="77777777" w:rsidR="00916CBE" w:rsidRDefault="00916CBE" w:rsidP="005077A7">
      <w:pPr>
        <w:pStyle w:val="a"/>
        <w:rPr>
          <w:rFonts w:eastAsiaTheme="minorEastAsia" w:cstheme="minorBidi"/>
          <w:noProof/>
          <w:sz w:val="22"/>
          <w:szCs w:val="22"/>
          <w:rtl/>
        </w:rPr>
      </w:pPr>
      <w:r>
        <w:rPr>
          <w:noProof/>
          <w:rtl/>
        </w:rPr>
        <w:t>דברי הרמב"ן והרשב"א דכיון שיש היתר מדאו' לסמוך על הרוב בקדשים אף בחולין מותר</w:t>
      </w:r>
    </w:p>
    <w:p w14:paraId="400291A4" w14:textId="77777777" w:rsidR="00916CBE" w:rsidRDefault="00916CBE" w:rsidP="005077A7">
      <w:pPr>
        <w:pStyle w:val="a"/>
        <w:rPr>
          <w:rFonts w:eastAsiaTheme="minorEastAsia" w:cstheme="minorBidi"/>
          <w:noProof/>
          <w:sz w:val="22"/>
          <w:szCs w:val="22"/>
          <w:rtl/>
        </w:rPr>
      </w:pPr>
      <w:r>
        <w:rPr>
          <w:noProof/>
          <w:rtl/>
        </w:rPr>
        <w:t>דיוק השיטמ"ק ברש"י דס"ל דר"מ לא חייש לרובא כלל אף מדאו'</w:t>
      </w:r>
    </w:p>
    <w:p w14:paraId="3D9A1566" w14:textId="77777777" w:rsidR="00916CBE" w:rsidRDefault="00916CBE" w:rsidP="005077A7">
      <w:pPr>
        <w:pStyle w:val="a"/>
        <w:rPr>
          <w:rFonts w:eastAsiaTheme="minorEastAsia" w:cstheme="minorBidi"/>
          <w:noProof/>
          <w:sz w:val="22"/>
          <w:szCs w:val="22"/>
          <w:rtl/>
        </w:rPr>
      </w:pPr>
      <w:r>
        <w:rPr>
          <w:noProof/>
          <w:rtl/>
        </w:rPr>
        <w:t>דעת התוס' לקמן והתוס' בנדה והתוס' בשבת דר"מ חייש למיעוטא מדאו'</w:t>
      </w:r>
    </w:p>
    <w:p w14:paraId="5B33B535" w14:textId="77777777" w:rsidR="00916CBE" w:rsidRDefault="00916CBE" w:rsidP="00F31B7C">
      <w:pPr>
        <w:pStyle w:val="aff4"/>
        <w:rPr>
          <w:rFonts w:eastAsiaTheme="minorEastAsia" w:cstheme="minorBidi"/>
          <w:i/>
          <w:iCs/>
          <w:noProof/>
          <w:sz w:val="22"/>
          <w:szCs w:val="22"/>
          <w:rtl/>
        </w:rPr>
      </w:pPr>
      <w:bookmarkStart w:id="10982" w:name="_Toc19435718"/>
      <w:bookmarkStart w:id="10983" w:name="_Toc20080983"/>
      <w:r>
        <w:rPr>
          <w:noProof/>
          <w:rtl/>
        </w:rPr>
        <w:t>ביאור רש"י והר"ן בפלוגתת ר"מ ורבנן אי חיישינן למיעוטא</w:t>
      </w:r>
      <w:bookmarkEnd w:id="10982"/>
      <w:bookmarkEnd w:id="10983"/>
    </w:p>
    <w:p w14:paraId="69BB9335" w14:textId="77777777" w:rsidR="00916CBE" w:rsidRDefault="00916CBE" w:rsidP="005077A7">
      <w:pPr>
        <w:pStyle w:val="a"/>
        <w:rPr>
          <w:rFonts w:eastAsiaTheme="minorEastAsia" w:cstheme="minorBidi"/>
          <w:noProof/>
          <w:sz w:val="22"/>
          <w:szCs w:val="22"/>
          <w:rtl/>
        </w:rPr>
      </w:pPr>
      <w:r>
        <w:rPr>
          <w:noProof/>
          <w:rtl/>
        </w:rPr>
        <w:t>דברי רש"י והר"ן דלר"מ הרוב אינו מבטל את המיעוט ולכן חיישינן למיעוטא</w:t>
      </w:r>
    </w:p>
    <w:p w14:paraId="5C0B5A1A" w14:textId="77777777" w:rsidR="00916CBE" w:rsidRDefault="00916CBE" w:rsidP="005077A7">
      <w:pPr>
        <w:pStyle w:val="a"/>
        <w:rPr>
          <w:rFonts w:eastAsiaTheme="minorEastAsia" w:cstheme="minorBidi"/>
          <w:noProof/>
          <w:sz w:val="22"/>
          <w:szCs w:val="22"/>
          <w:rtl/>
        </w:rPr>
      </w:pPr>
      <w:r>
        <w:rPr>
          <w:noProof/>
          <w:rtl/>
        </w:rPr>
        <w:t>דברי רש"י והר"ן דלרבנן המיעוט חשיב כמאן דליתיה ולכן לא חיישינן למיעוטא</w:t>
      </w:r>
    </w:p>
    <w:p w14:paraId="3A8C8F55" w14:textId="77777777" w:rsidR="00916CBE" w:rsidRDefault="00916CBE" w:rsidP="00F31B7C">
      <w:pPr>
        <w:pStyle w:val="2"/>
        <w:keepNext w:val="0"/>
        <w:keepLines w:val="0"/>
        <w:rPr>
          <w:rFonts w:eastAsiaTheme="minorEastAsia" w:cstheme="minorBidi"/>
          <w:i/>
          <w:iCs/>
          <w:noProof/>
          <w:sz w:val="22"/>
          <w:szCs w:val="22"/>
          <w:rtl/>
        </w:rPr>
      </w:pPr>
      <w:bookmarkStart w:id="10984" w:name="_Toc19435719"/>
      <w:r>
        <w:rPr>
          <w:noProof/>
          <w:rtl/>
        </w:rPr>
        <w:t>בענין מיעוטא דמיעוטא</w:t>
      </w:r>
      <w:bookmarkEnd w:id="10984"/>
    </w:p>
    <w:p w14:paraId="3D637B55" w14:textId="77777777" w:rsidR="00916CBE" w:rsidRDefault="00916CBE" w:rsidP="00F31B7C">
      <w:pPr>
        <w:pStyle w:val="aff4"/>
        <w:rPr>
          <w:rFonts w:eastAsiaTheme="minorEastAsia" w:cstheme="minorBidi"/>
          <w:i/>
          <w:iCs/>
          <w:noProof/>
          <w:sz w:val="22"/>
          <w:szCs w:val="22"/>
          <w:rtl/>
        </w:rPr>
      </w:pPr>
      <w:bookmarkStart w:id="10985" w:name="_Toc19435720"/>
      <w:bookmarkStart w:id="10986" w:name="_Toc20080984"/>
      <w:r>
        <w:rPr>
          <w:noProof/>
          <w:rtl/>
        </w:rPr>
        <w:t>דעת הראשונים דמודה ר"מ רק כשיש רוב בב' ספיקות שונים</w:t>
      </w:r>
      <w:bookmarkEnd w:id="10985"/>
      <w:bookmarkEnd w:id="10986"/>
    </w:p>
    <w:p w14:paraId="2C7F4259" w14:textId="77777777" w:rsidR="00916CBE" w:rsidRDefault="00916CBE" w:rsidP="005077A7">
      <w:pPr>
        <w:pStyle w:val="a"/>
        <w:rPr>
          <w:rFonts w:eastAsiaTheme="minorEastAsia" w:cstheme="minorBidi"/>
          <w:noProof/>
          <w:sz w:val="22"/>
          <w:szCs w:val="22"/>
          <w:rtl/>
        </w:rPr>
      </w:pPr>
      <w:r>
        <w:rPr>
          <w:noProof/>
          <w:rtl/>
        </w:rPr>
        <w:t>קושית רבינו משולם במרדכי דבמיעוט קטן מאוד ס"ל לר"מ דלא חיישינן למיעוטא</w:t>
      </w:r>
    </w:p>
    <w:p w14:paraId="29211B56" w14:textId="77777777" w:rsidR="00916CBE" w:rsidRDefault="00916CBE" w:rsidP="005077A7">
      <w:pPr>
        <w:pStyle w:val="a"/>
        <w:rPr>
          <w:rFonts w:eastAsiaTheme="minorEastAsia" w:cstheme="minorBidi"/>
          <w:noProof/>
          <w:sz w:val="22"/>
          <w:szCs w:val="22"/>
          <w:rtl/>
        </w:rPr>
      </w:pPr>
      <w:r>
        <w:rPr>
          <w:noProof/>
          <w:rtl/>
        </w:rPr>
        <w:t>תירוץ רבינו ברוך במרדכי דמיעוטא דמיעוטא היינו דוקא בב' ספיקות שבכ"א יש רוב ומיעוט</w:t>
      </w:r>
    </w:p>
    <w:p w14:paraId="76228542" w14:textId="77777777" w:rsidR="00916CBE" w:rsidRDefault="00916CBE" w:rsidP="005077A7">
      <w:pPr>
        <w:pStyle w:val="a"/>
        <w:rPr>
          <w:rFonts w:eastAsiaTheme="minorEastAsia" w:cstheme="minorBidi"/>
          <w:noProof/>
          <w:sz w:val="22"/>
          <w:szCs w:val="22"/>
          <w:rtl/>
        </w:rPr>
      </w:pPr>
      <w:r>
        <w:rPr>
          <w:noProof/>
          <w:rtl/>
        </w:rPr>
        <w:t>דברי רבינו ברוך במרדכי דבספק אחד שיש בו מיעוט חייש ר"מ למיעוט אף באחד מאלף</w:t>
      </w:r>
    </w:p>
    <w:p w14:paraId="255F3F12" w14:textId="77777777" w:rsidR="00916CBE" w:rsidRDefault="00916CBE" w:rsidP="005077A7">
      <w:pPr>
        <w:pStyle w:val="a"/>
        <w:rPr>
          <w:rFonts w:eastAsiaTheme="minorEastAsia" w:cstheme="minorBidi"/>
          <w:noProof/>
          <w:sz w:val="22"/>
          <w:szCs w:val="22"/>
          <w:rtl/>
        </w:rPr>
      </w:pPr>
      <w:r>
        <w:rPr>
          <w:noProof/>
          <w:rtl/>
        </w:rPr>
        <w:t>דברי הריטב"א דבמיעוט שקטן מאוד במספרו חייש ר"מ ורק בב' מיעוטים שונים לא חייש ר"מ</w:t>
      </w:r>
    </w:p>
    <w:p w14:paraId="52036663" w14:textId="77777777" w:rsidR="00916CBE" w:rsidRDefault="00916CBE" w:rsidP="00F31B7C">
      <w:pPr>
        <w:pStyle w:val="aff4"/>
        <w:rPr>
          <w:rFonts w:eastAsiaTheme="minorEastAsia" w:cstheme="minorBidi"/>
          <w:i/>
          <w:iCs/>
          <w:noProof/>
          <w:sz w:val="22"/>
          <w:szCs w:val="22"/>
          <w:rtl/>
        </w:rPr>
      </w:pPr>
      <w:bookmarkStart w:id="10987" w:name="_Toc19435721"/>
      <w:bookmarkStart w:id="10988" w:name="_Toc20080985"/>
      <w:r>
        <w:rPr>
          <w:noProof/>
          <w:rtl/>
        </w:rPr>
        <w:t>דעת הראשונים דאף ברוב אחד שהמיעוט אינו שכיח מודה ר"מ</w:t>
      </w:r>
      <w:bookmarkEnd w:id="10987"/>
      <w:bookmarkEnd w:id="10988"/>
    </w:p>
    <w:p w14:paraId="677BBD6D" w14:textId="77777777" w:rsidR="00916CBE" w:rsidRDefault="00916CBE" w:rsidP="005077A7">
      <w:pPr>
        <w:pStyle w:val="a"/>
        <w:rPr>
          <w:rFonts w:eastAsiaTheme="minorEastAsia" w:cstheme="minorBidi"/>
          <w:noProof/>
          <w:sz w:val="22"/>
          <w:szCs w:val="22"/>
          <w:rtl/>
        </w:rPr>
      </w:pPr>
      <w:r>
        <w:rPr>
          <w:noProof/>
          <w:rtl/>
        </w:rPr>
        <w:t>דברי התוס' בגיטין דמיעוט דלא שכיח הוי מיעוטא דמיעוטא ולא חייש ליה ר"מ</w:t>
      </w:r>
    </w:p>
    <w:p w14:paraId="111EFA28" w14:textId="77777777" w:rsidR="00916CBE" w:rsidRDefault="00916CBE" w:rsidP="005077A7">
      <w:pPr>
        <w:pStyle w:val="a"/>
        <w:rPr>
          <w:rFonts w:eastAsiaTheme="minorEastAsia" w:cstheme="minorBidi"/>
          <w:noProof/>
          <w:sz w:val="22"/>
          <w:szCs w:val="22"/>
          <w:rtl/>
        </w:rPr>
      </w:pPr>
      <w:r>
        <w:rPr>
          <w:noProof/>
          <w:rtl/>
        </w:rPr>
        <w:t>דעת התוס' בנדה והתוס' בשבת דכשיש חזקה שמסייעת לרוב חשיב המיעוט כמיעוטא דמיעוטא</w:t>
      </w:r>
    </w:p>
    <w:p w14:paraId="6C6F9829" w14:textId="77777777" w:rsidR="00916CBE" w:rsidRDefault="00916CBE" w:rsidP="005077A7">
      <w:pPr>
        <w:pStyle w:val="a"/>
        <w:rPr>
          <w:rFonts w:eastAsiaTheme="minorEastAsia" w:cstheme="minorBidi"/>
          <w:noProof/>
          <w:sz w:val="22"/>
          <w:szCs w:val="22"/>
          <w:rtl/>
        </w:rPr>
      </w:pPr>
      <w:r>
        <w:rPr>
          <w:noProof/>
          <w:rtl/>
        </w:rPr>
        <w:t>דברי הרא"ש בשם ר"ת דבמיעוט דלא שכיח מודה ר"מ דלא חיישינן ליה</w:t>
      </w:r>
    </w:p>
    <w:p w14:paraId="102D4F9D" w14:textId="77777777" w:rsidR="00916CBE" w:rsidRDefault="00916CBE" w:rsidP="005077A7">
      <w:pPr>
        <w:pStyle w:val="a"/>
        <w:rPr>
          <w:rFonts w:eastAsiaTheme="minorEastAsia" w:cstheme="minorBidi"/>
          <w:noProof/>
          <w:sz w:val="22"/>
          <w:szCs w:val="22"/>
          <w:rtl/>
        </w:rPr>
      </w:pPr>
      <w:r>
        <w:rPr>
          <w:noProof/>
          <w:rtl/>
        </w:rPr>
        <w:t>דברי הרא"ש בשם ר"ת דכן מוכח מדין ספרי דדייני ומדין מים שאין להם סוף דהוא מיעוט דלא שכיח</w:t>
      </w:r>
    </w:p>
    <w:p w14:paraId="3553F11C" w14:textId="77777777" w:rsidR="00916CBE" w:rsidRDefault="00916CBE" w:rsidP="00F31B7C">
      <w:pPr>
        <w:pStyle w:val="2"/>
        <w:keepNext w:val="0"/>
        <w:keepLines w:val="0"/>
        <w:rPr>
          <w:rFonts w:eastAsiaTheme="minorEastAsia" w:cstheme="minorBidi"/>
          <w:i/>
          <w:iCs/>
          <w:noProof/>
          <w:sz w:val="22"/>
          <w:szCs w:val="22"/>
          <w:rtl/>
        </w:rPr>
      </w:pPr>
      <w:bookmarkStart w:id="10989" w:name="_Toc19435722"/>
      <w:r>
        <w:rPr>
          <w:noProof/>
          <w:rtl/>
        </w:rPr>
        <w:t>מיעוטא דמיעוטא בסמוך רובא לחזקה</w:t>
      </w:r>
      <w:bookmarkEnd w:id="10989"/>
    </w:p>
    <w:p w14:paraId="7055860D" w14:textId="77777777" w:rsidR="00916CBE" w:rsidRDefault="00916CBE" w:rsidP="005077A7">
      <w:pPr>
        <w:pStyle w:val="a"/>
        <w:rPr>
          <w:rFonts w:eastAsiaTheme="minorEastAsia" w:cstheme="minorBidi"/>
          <w:noProof/>
          <w:sz w:val="22"/>
          <w:szCs w:val="22"/>
          <w:rtl/>
        </w:rPr>
      </w:pPr>
      <w:r>
        <w:rPr>
          <w:noProof/>
          <w:rtl/>
        </w:rPr>
        <w:t>דברי התוס' לקמן ובנדה ובשבת דכשיש חזקה שמסייעת לרוב חייש ר"מ למיעוט רק מדרבנן</w:t>
      </w:r>
    </w:p>
    <w:p w14:paraId="1C049A7C" w14:textId="77777777" w:rsidR="00916CBE" w:rsidRDefault="00916CBE" w:rsidP="005077A7">
      <w:pPr>
        <w:pStyle w:val="a"/>
        <w:rPr>
          <w:rFonts w:eastAsiaTheme="minorEastAsia" w:cstheme="minorBidi"/>
          <w:noProof/>
          <w:sz w:val="22"/>
          <w:szCs w:val="22"/>
          <w:rtl/>
        </w:rPr>
      </w:pPr>
      <w:r>
        <w:rPr>
          <w:noProof/>
          <w:rtl/>
        </w:rPr>
        <w:t>דברי התוס' לקמן דכחזקה מסייעת לרוב אין לוקין לר"מ ע"י המיעוט</w:t>
      </w:r>
    </w:p>
    <w:p w14:paraId="77A740F7" w14:textId="77777777" w:rsidR="00916CBE" w:rsidRDefault="00916CBE" w:rsidP="005077A7">
      <w:pPr>
        <w:pStyle w:val="a"/>
        <w:rPr>
          <w:rFonts w:eastAsiaTheme="minorEastAsia" w:cstheme="minorBidi"/>
          <w:noProof/>
          <w:sz w:val="22"/>
          <w:szCs w:val="22"/>
          <w:rtl/>
        </w:rPr>
      </w:pPr>
      <w:r>
        <w:rPr>
          <w:noProof/>
          <w:rtl/>
        </w:rPr>
        <w:t>התירוץ הא' בתוס' לקמן דכשיש חזקה שמסייעת לרוב הוי מיעוטא דמיעוטא</w:t>
      </w:r>
    </w:p>
    <w:p w14:paraId="66742D3A" w14:textId="77777777" w:rsidR="00916CBE" w:rsidRDefault="00916CBE" w:rsidP="005077A7">
      <w:pPr>
        <w:pStyle w:val="a"/>
        <w:rPr>
          <w:rFonts w:eastAsiaTheme="minorEastAsia" w:cstheme="minorBidi"/>
          <w:noProof/>
          <w:sz w:val="22"/>
          <w:szCs w:val="22"/>
          <w:rtl/>
        </w:rPr>
      </w:pPr>
      <w:r>
        <w:rPr>
          <w:noProof/>
          <w:rtl/>
        </w:rPr>
        <w:t>משמעות התוס' הרא"ש דרק כשיש חזקה שמסייעת לרוב לא חייש ר"מ למיעוט דלא שכיח</w:t>
      </w:r>
    </w:p>
    <w:p w14:paraId="11F800AF" w14:textId="77777777" w:rsidR="00916CBE" w:rsidRDefault="00916CBE" w:rsidP="005077A7">
      <w:pPr>
        <w:pStyle w:val="a"/>
        <w:rPr>
          <w:rFonts w:eastAsiaTheme="minorEastAsia" w:cstheme="minorBidi"/>
          <w:noProof/>
          <w:sz w:val="22"/>
          <w:szCs w:val="22"/>
          <w:rtl/>
        </w:rPr>
      </w:pPr>
      <w:r>
        <w:rPr>
          <w:noProof/>
          <w:rtl/>
        </w:rPr>
        <w:t>דברי המרדכי דדוקא חזקה בדבר עצמו מצטרפת לרוב כנגד המיעוט</w:t>
      </w:r>
    </w:p>
    <w:p w14:paraId="723F01A7" w14:textId="77777777" w:rsidR="00916CBE" w:rsidRDefault="00916CBE" w:rsidP="00F31B7C">
      <w:pPr>
        <w:pStyle w:val="2"/>
        <w:keepNext w:val="0"/>
        <w:keepLines w:val="0"/>
        <w:rPr>
          <w:rFonts w:eastAsiaTheme="minorEastAsia" w:cstheme="minorBidi"/>
          <w:i/>
          <w:iCs/>
          <w:noProof/>
          <w:sz w:val="22"/>
          <w:szCs w:val="22"/>
          <w:rtl/>
        </w:rPr>
      </w:pPr>
      <w:bookmarkStart w:id="10990" w:name="_Toc19435723"/>
      <w:r>
        <w:rPr>
          <w:noProof/>
          <w:rtl/>
        </w:rPr>
        <w:t>בפלוגתת ר"מ ורבנן בסמוך מיעוטא לחזקה</w:t>
      </w:r>
      <w:bookmarkEnd w:id="10990"/>
    </w:p>
    <w:p w14:paraId="762F59D4" w14:textId="77777777" w:rsidR="00916CBE" w:rsidRDefault="00916CBE" w:rsidP="00F31B7C">
      <w:pPr>
        <w:pStyle w:val="aff4"/>
        <w:rPr>
          <w:rFonts w:eastAsiaTheme="minorEastAsia" w:cstheme="minorBidi"/>
          <w:i/>
          <w:iCs/>
          <w:noProof/>
          <w:sz w:val="22"/>
          <w:szCs w:val="22"/>
          <w:rtl/>
        </w:rPr>
      </w:pPr>
      <w:bookmarkStart w:id="10991" w:name="_Toc19435724"/>
      <w:bookmarkStart w:id="10992" w:name="_Toc20080986"/>
      <w:r>
        <w:rPr>
          <w:noProof/>
          <w:rtl/>
        </w:rPr>
        <w:t>דברי רש"י והריטב"א במח' ר"מ ורבנן בסמוך מיעוטא לחזקה</w:t>
      </w:r>
      <w:bookmarkEnd w:id="10991"/>
      <w:bookmarkEnd w:id="10992"/>
    </w:p>
    <w:p w14:paraId="11960517" w14:textId="77777777" w:rsidR="00916CBE" w:rsidRDefault="00916CBE" w:rsidP="005077A7">
      <w:pPr>
        <w:pStyle w:val="a"/>
        <w:rPr>
          <w:rFonts w:eastAsiaTheme="minorEastAsia" w:cstheme="minorBidi"/>
          <w:noProof/>
          <w:sz w:val="22"/>
          <w:szCs w:val="22"/>
          <w:rtl/>
        </w:rPr>
      </w:pPr>
      <w:r>
        <w:rPr>
          <w:noProof/>
          <w:rtl/>
        </w:rPr>
        <w:t>דברי רש"י דכיון דר"מ חייש למיעוטא והמיעוט אינו בטל לכן אמרינן סמוך מיעוטא לחזקה</w:t>
      </w:r>
    </w:p>
    <w:p w14:paraId="434E0C8F" w14:textId="77777777" w:rsidR="00916CBE" w:rsidRDefault="00916CBE" w:rsidP="005077A7">
      <w:pPr>
        <w:pStyle w:val="a"/>
        <w:rPr>
          <w:rFonts w:eastAsiaTheme="minorEastAsia" w:cstheme="minorBidi"/>
          <w:noProof/>
          <w:sz w:val="22"/>
          <w:szCs w:val="22"/>
          <w:rtl/>
        </w:rPr>
      </w:pPr>
      <w:r>
        <w:rPr>
          <w:noProof/>
          <w:rtl/>
        </w:rPr>
        <w:t>דברי רש"י דלרבנן הרוב מבטל את המיעוט לגמרי ולכן לא אמרינן סמוך מיעוטא לחזקה</w:t>
      </w:r>
    </w:p>
    <w:p w14:paraId="2444B58C" w14:textId="77777777" w:rsidR="00916CBE" w:rsidRDefault="00916CBE" w:rsidP="005077A7">
      <w:pPr>
        <w:pStyle w:val="a"/>
        <w:rPr>
          <w:rFonts w:eastAsiaTheme="minorEastAsia" w:cstheme="minorBidi"/>
          <w:noProof/>
          <w:sz w:val="22"/>
          <w:szCs w:val="22"/>
          <w:rtl/>
        </w:rPr>
      </w:pPr>
      <w:r>
        <w:rPr>
          <w:noProof/>
          <w:rtl/>
        </w:rPr>
        <w:t>קושית הריטב"א בנדה אי לרבנן המיעוט כמאן דליתיה או דאמרינן סמוך מיעוטא לחזקה</w:t>
      </w:r>
    </w:p>
    <w:p w14:paraId="7AF58F67" w14:textId="77777777" w:rsidR="00916CBE" w:rsidRDefault="00916CBE" w:rsidP="005077A7">
      <w:pPr>
        <w:pStyle w:val="a"/>
        <w:rPr>
          <w:rFonts w:eastAsiaTheme="minorEastAsia" w:cstheme="minorBidi"/>
          <w:noProof/>
          <w:sz w:val="22"/>
          <w:szCs w:val="22"/>
          <w:rtl/>
        </w:rPr>
      </w:pPr>
      <w:r>
        <w:rPr>
          <w:noProof/>
          <w:rtl/>
        </w:rPr>
        <w:t>ביאור הריטב"א בנדה דלר"מ חזקה עדיפא כרוב ולרבנן רוב עדיף מחזקה ובסמוך הוי פלגא ופלגא</w:t>
      </w:r>
    </w:p>
    <w:p w14:paraId="398B5090" w14:textId="77777777" w:rsidR="00916CBE" w:rsidRDefault="00916CBE" w:rsidP="00F31B7C">
      <w:pPr>
        <w:pStyle w:val="aff4"/>
        <w:rPr>
          <w:rFonts w:eastAsiaTheme="minorEastAsia" w:cstheme="minorBidi"/>
          <w:i/>
          <w:iCs/>
          <w:noProof/>
          <w:sz w:val="22"/>
          <w:szCs w:val="22"/>
          <w:rtl/>
        </w:rPr>
      </w:pPr>
      <w:bookmarkStart w:id="10993" w:name="_Toc19435725"/>
      <w:bookmarkStart w:id="10994" w:name="_Toc20080987"/>
      <w:r>
        <w:rPr>
          <w:noProof/>
          <w:rtl/>
        </w:rPr>
        <w:t>ביאור הבית הלוי והראש יוסף בדברי רש"י ותוס'</w:t>
      </w:r>
      <w:bookmarkEnd w:id="10993"/>
      <w:bookmarkEnd w:id="10994"/>
    </w:p>
    <w:p w14:paraId="309E7EC1" w14:textId="77777777" w:rsidR="00916CBE" w:rsidRDefault="00916CBE" w:rsidP="005077A7">
      <w:pPr>
        <w:pStyle w:val="a"/>
        <w:rPr>
          <w:rFonts w:eastAsiaTheme="minorEastAsia" w:cstheme="minorBidi"/>
          <w:noProof/>
          <w:sz w:val="22"/>
          <w:szCs w:val="22"/>
          <w:rtl/>
        </w:rPr>
      </w:pPr>
      <w:r>
        <w:rPr>
          <w:noProof/>
          <w:rtl/>
        </w:rPr>
        <w:t>דברי הביה"ל דמפורש בגמ' לקמן כרש"י דדין סמוך מיעוטא לחזקה תלוי אי חיישינן למיעוטא</w:t>
      </w:r>
    </w:p>
    <w:p w14:paraId="4B716ECE" w14:textId="77777777" w:rsidR="00916CBE" w:rsidRDefault="00916CBE" w:rsidP="005077A7">
      <w:pPr>
        <w:pStyle w:val="a"/>
        <w:rPr>
          <w:rFonts w:eastAsiaTheme="minorEastAsia" w:cstheme="minorBidi"/>
          <w:noProof/>
          <w:sz w:val="22"/>
          <w:szCs w:val="22"/>
          <w:rtl/>
        </w:rPr>
      </w:pPr>
      <w:r>
        <w:rPr>
          <w:noProof/>
          <w:rtl/>
        </w:rPr>
        <w:t>קושיית הביה"ל דהא ר"מ חייש למיעוטא מדרבנן ודין סמוך מיעוטא לחזקה הוא מדאו'</w:t>
      </w:r>
    </w:p>
    <w:p w14:paraId="59B4B39E" w14:textId="77777777" w:rsidR="00916CBE" w:rsidRPr="0039340A" w:rsidRDefault="00916CBE" w:rsidP="005077A7">
      <w:pPr>
        <w:pStyle w:val="a"/>
        <w:rPr>
          <w:rFonts w:eastAsiaTheme="minorEastAsia" w:cstheme="minorBidi"/>
          <w:noProof/>
          <w:sz w:val="22"/>
          <w:szCs w:val="22"/>
        </w:rPr>
      </w:pPr>
      <w:r>
        <w:rPr>
          <w:noProof/>
          <w:rtl/>
        </w:rPr>
        <w:t>ביאור הביה"ל דמדאו' המיעוט אינו מתבטל ומצטרף לחזקה ומדרבנן חיישינן למיעוט לבדו</w:t>
      </w:r>
    </w:p>
    <w:p w14:paraId="045BABFD" w14:textId="77777777" w:rsidR="00916CBE" w:rsidRDefault="00916CBE" w:rsidP="005077A7">
      <w:pPr>
        <w:pStyle w:val="a"/>
        <w:rPr>
          <w:rFonts w:eastAsiaTheme="minorEastAsia" w:cstheme="minorBidi"/>
          <w:noProof/>
          <w:sz w:val="22"/>
          <w:szCs w:val="22"/>
          <w:rtl/>
        </w:rPr>
      </w:pPr>
      <w:r>
        <w:rPr>
          <w:noProof/>
          <w:rtl/>
        </w:rPr>
        <w:t>ביאור הביה"ל דלרבנן מדאו' המיעוט בטל ולא א"א לצרפו לחזקה ואף מדרבנן לא חיישינן ליה</w:t>
      </w:r>
    </w:p>
    <w:p w14:paraId="4BE1B87D" w14:textId="77777777" w:rsidR="00916CBE" w:rsidRDefault="00916CBE" w:rsidP="005077A7">
      <w:pPr>
        <w:pStyle w:val="a"/>
        <w:rPr>
          <w:rFonts w:eastAsiaTheme="minorEastAsia" w:cstheme="minorBidi"/>
          <w:noProof/>
          <w:sz w:val="22"/>
          <w:szCs w:val="22"/>
          <w:rtl/>
        </w:rPr>
      </w:pPr>
      <w:r>
        <w:rPr>
          <w:noProof/>
          <w:rtl/>
        </w:rPr>
        <w:t>דברי הראש יוסף דכן מסקנת הגמ' ביבמות דלרבנן המיעוט כמאן דליתיה וכן מוכח בתוס' לקמן</w:t>
      </w:r>
    </w:p>
    <w:p w14:paraId="2D6F7A5D" w14:textId="77777777" w:rsidR="00916CBE" w:rsidRDefault="00916CBE" w:rsidP="005077A7">
      <w:pPr>
        <w:pStyle w:val="a"/>
        <w:rPr>
          <w:rFonts w:eastAsiaTheme="minorEastAsia" w:cstheme="minorBidi"/>
          <w:noProof/>
          <w:sz w:val="22"/>
          <w:szCs w:val="22"/>
          <w:rtl/>
        </w:rPr>
      </w:pPr>
      <w:r>
        <w:rPr>
          <w:noProof/>
          <w:rtl/>
        </w:rPr>
        <w:t>דברי הראש יוסף דבתוס' ביבמות משמע דאף סמוך מיעוטא לחזקה הוא רק מדרבנן</w:t>
      </w:r>
    </w:p>
    <w:p w14:paraId="28B60B4B" w14:textId="77777777" w:rsidR="00916CBE" w:rsidRDefault="00916CBE" w:rsidP="00F31B7C">
      <w:pPr>
        <w:pStyle w:val="2"/>
        <w:keepNext w:val="0"/>
        <w:keepLines w:val="0"/>
        <w:rPr>
          <w:rFonts w:eastAsiaTheme="minorEastAsia" w:cstheme="minorBidi"/>
          <w:i/>
          <w:iCs/>
          <w:noProof/>
          <w:sz w:val="22"/>
          <w:szCs w:val="22"/>
          <w:rtl/>
        </w:rPr>
      </w:pPr>
      <w:bookmarkStart w:id="10995" w:name="_Toc19435726"/>
      <w:r>
        <w:rPr>
          <w:noProof/>
          <w:rtl/>
        </w:rPr>
        <w:t>בדעת רבנן בסמוך מיעוטא לחזקה</w:t>
      </w:r>
      <w:bookmarkEnd w:id="10995"/>
    </w:p>
    <w:p w14:paraId="6ADBF6FD" w14:textId="77777777" w:rsidR="00916CBE" w:rsidRDefault="00916CBE" w:rsidP="00F31B7C">
      <w:pPr>
        <w:pStyle w:val="aff4"/>
        <w:rPr>
          <w:rFonts w:eastAsiaTheme="minorEastAsia" w:cstheme="minorBidi"/>
          <w:i/>
          <w:iCs/>
          <w:noProof/>
          <w:sz w:val="22"/>
          <w:szCs w:val="22"/>
          <w:rtl/>
        </w:rPr>
      </w:pPr>
      <w:bookmarkStart w:id="10996" w:name="_Toc19435727"/>
      <w:bookmarkStart w:id="10997" w:name="_Toc20080988"/>
      <w:r>
        <w:rPr>
          <w:noProof/>
          <w:rtl/>
        </w:rPr>
        <w:t>דעת רש"י ותוס' דלרבנן לא אמרינן סמוך מיעוטא לחזקה</w:t>
      </w:r>
      <w:bookmarkEnd w:id="10996"/>
      <w:bookmarkEnd w:id="10997"/>
    </w:p>
    <w:p w14:paraId="139F3156" w14:textId="77777777" w:rsidR="00916CBE" w:rsidRDefault="00916CBE" w:rsidP="005077A7">
      <w:pPr>
        <w:pStyle w:val="a"/>
        <w:rPr>
          <w:rFonts w:eastAsiaTheme="minorEastAsia" w:cstheme="minorBidi"/>
          <w:noProof/>
          <w:sz w:val="22"/>
          <w:szCs w:val="22"/>
          <w:rtl/>
        </w:rPr>
      </w:pPr>
      <w:r>
        <w:rPr>
          <w:noProof/>
          <w:rtl/>
        </w:rPr>
        <w:t>דברי רש"י ותוס' דהגמ' ביבמות דסמוך מיעוטא לחזקה היא לר"מ ולא לרבנן</w:t>
      </w:r>
    </w:p>
    <w:p w14:paraId="5D347998" w14:textId="77777777" w:rsidR="00916CBE" w:rsidRDefault="00916CBE" w:rsidP="005077A7">
      <w:pPr>
        <w:pStyle w:val="a"/>
        <w:rPr>
          <w:rFonts w:eastAsiaTheme="minorEastAsia" w:cstheme="minorBidi"/>
          <w:noProof/>
          <w:sz w:val="22"/>
          <w:szCs w:val="22"/>
          <w:rtl/>
        </w:rPr>
      </w:pPr>
      <w:r>
        <w:rPr>
          <w:noProof/>
          <w:rtl/>
        </w:rPr>
        <w:t>דברי התוס' לקמן דרק ברוב גרוע אמרינן סמוך מיעוטא לחזקה לדעת רבנן</w:t>
      </w:r>
    </w:p>
    <w:p w14:paraId="4129B5C1" w14:textId="77777777" w:rsidR="00916CBE" w:rsidRDefault="00916CBE" w:rsidP="005077A7">
      <w:pPr>
        <w:pStyle w:val="a"/>
        <w:rPr>
          <w:rFonts w:eastAsiaTheme="minorEastAsia" w:cstheme="minorBidi"/>
          <w:noProof/>
          <w:sz w:val="22"/>
          <w:szCs w:val="22"/>
          <w:rtl/>
        </w:rPr>
      </w:pPr>
      <w:r>
        <w:rPr>
          <w:noProof/>
          <w:rtl/>
        </w:rPr>
        <w:t>דברי הגרעק"א דמוכח מדברי התוס' לקמן דלא אמרינן סמוך מיעוטא לחזקה לדעת רבנן</w:t>
      </w:r>
    </w:p>
    <w:p w14:paraId="782E786A" w14:textId="77777777" w:rsidR="00B0283A" w:rsidRPr="0088436E" w:rsidRDefault="00B0283A" w:rsidP="00B0283A">
      <w:pPr>
        <w:pStyle w:val="aff4"/>
      </w:pPr>
      <w:bookmarkStart w:id="10998" w:name="_Toc19435728"/>
      <w:bookmarkStart w:id="10999" w:name="_Toc20080989"/>
      <w:r>
        <w:rPr>
          <w:rFonts w:hint="cs"/>
          <w:rtl/>
        </w:rPr>
        <w:t xml:space="preserve">ביאור המהרש"א והראש יוסף דלתוס' </w:t>
      </w:r>
      <w:r w:rsidR="00BF5B3E">
        <w:rPr>
          <w:rFonts w:hint="cs"/>
          <w:rtl/>
        </w:rPr>
        <w:t>ד</w:t>
      </w:r>
      <w:r w:rsidR="003E37B3">
        <w:rPr>
          <w:rFonts w:hint="cs"/>
          <w:rtl/>
        </w:rPr>
        <w:t>לרבנן אמרינן סמל</w:t>
      </w:r>
      <w:r w:rsidR="003E37B3">
        <w:rPr>
          <w:rtl/>
        </w:rPr>
        <w:t>"</w:t>
      </w:r>
      <w:r w:rsidR="003E37B3">
        <w:rPr>
          <w:rFonts w:hint="cs"/>
          <w:rtl/>
        </w:rPr>
        <w:t>ח</w:t>
      </w:r>
      <w:bookmarkEnd w:id="10998"/>
      <w:bookmarkEnd w:id="10999"/>
    </w:p>
    <w:p w14:paraId="29CE6967" w14:textId="77777777" w:rsidR="00B0283A" w:rsidRDefault="00B0283A" w:rsidP="005077A7">
      <w:pPr>
        <w:pStyle w:val="a"/>
        <w:rPr>
          <w:rFonts w:eastAsiaTheme="minorEastAsia" w:cstheme="minorBidi"/>
          <w:noProof/>
          <w:sz w:val="22"/>
          <w:szCs w:val="22"/>
          <w:rtl/>
        </w:rPr>
      </w:pPr>
      <w:r>
        <w:rPr>
          <w:noProof/>
          <w:rtl/>
        </w:rPr>
        <w:t>דברי המהרש"א והראש יוסף דהתוס' בסוגיין ס"ל דלרבנן אמרינן סמוך מיעוטא לחזקה</w:t>
      </w:r>
    </w:p>
    <w:p w14:paraId="6EAE67A9" w14:textId="77777777" w:rsidR="00B0283A" w:rsidRDefault="00B0283A" w:rsidP="00B0283A">
      <w:pPr>
        <w:pStyle w:val="aff4"/>
        <w:rPr>
          <w:rFonts w:eastAsiaTheme="minorEastAsia" w:cstheme="minorBidi"/>
          <w:i/>
          <w:iCs/>
          <w:noProof/>
          <w:sz w:val="22"/>
          <w:szCs w:val="22"/>
          <w:rtl/>
        </w:rPr>
      </w:pPr>
      <w:bookmarkStart w:id="11000" w:name="_Toc19435729"/>
      <w:bookmarkStart w:id="11001" w:name="_Toc20080990"/>
      <w:r>
        <w:rPr>
          <w:noProof/>
          <w:rtl/>
        </w:rPr>
        <w:t>דעת הרמב"ן והרשב"א דלרבנן אמרינן סמוך מיעוטא לחזקה</w:t>
      </w:r>
      <w:bookmarkEnd w:id="11000"/>
      <w:bookmarkEnd w:id="11001"/>
    </w:p>
    <w:p w14:paraId="33CBB708" w14:textId="77777777" w:rsidR="00B0283A" w:rsidRDefault="00B0283A" w:rsidP="005077A7">
      <w:pPr>
        <w:pStyle w:val="a"/>
        <w:rPr>
          <w:rFonts w:eastAsiaTheme="minorEastAsia" w:cstheme="minorBidi"/>
          <w:noProof/>
          <w:sz w:val="22"/>
          <w:szCs w:val="22"/>
          <w:rtl/>
        </w:rPr>
      </w:pPr>
      <w:r>
        <w:rPr>
          <w:noProof/>
          <w:rtl/>
        </w:rPr>
        <w:t>ביאור הרמב"ן ברש"י דר"מ טיהר בתינוק כיון דאפושי טומאה לא מפשינן</w:t>
      </w:r>
    </w:p>
    <w:p w14:paraId="29397278" w14:textId="77777777" w:rsidR="00916CBE" w:rsidRDefault="00916CBE" w:rsidP="005077A7">
      <w:pPr>
        <w:pStyle w:val="a"/>
        <w:rPr>
          <w:rFonts w:eastAsiaTheme="minorEastAsia" w:cstheme="minorBidi"/>
          <w:noProof/>
          <w:sz w:val="22"/>
          <w:szCs w:val="22"/>
          <w:rtl/>
        </w:rPr>
      </w:pPr>
      <w:r>
        <w:rPr>
          <w:noProof/>
          <w:rtl/>
        </w:rPr>
        <w:t>דברי הרמב"ן והרשב"א דדעת הרי"ף והרמב"ם דלהלכה קיי"ל דמתני' ביבמות היא לרבנן</w:t>
      </w:r>
    </w:p>
    <w:p w14:paraId="1BE920CA" w14:textId="77777777" w:rsidR="00916CBE" w:rsidRDefault="00916CBE" w:rsidP="005077A7">
      <w:pPr>
        <w:pStyle w:val="a"/>
        <w:rPr>
          <w:rFonts w:eastAsiaTheme="minorEastAsia" w:cstheme="minorBidi"/>
          <w:noProof/>
          <w:sz w:val="22"/>
          <w:szCs w:val="22"/>
          <w:rtl/>
        </w:rPr>
      </w:pPr>
      <w:r>
        <w:rPr>
          <w:noProof/>
          <w:rtl/>
        </w:rPr>
        <w:t>דברי הרשב"א דאף לדעת רש"י מסקנת הגמ' ביבמות דהמשנה היא אף לרבנן</w:t>
      </w:r>
    </w:p>
    <w:p w14:paraId="599BABE4" w14:textId="77777777" w:rsidR="00916CBE" w:rsidRDefault="00916CBE" w:rsidP="005077A7">
      <w:pPr>
        <w:pStyle w:val="a"/>
        <w:rPr>
          <w:rFonts w:eastAsiaTheme="minorEastAsia" w:cstheme="minorBidi"/>
          <w:noProof/>
          <w:sz w:val="22"/>
          <w:szCs w:val="22"/>
          <w:rtl/>
        </w:rPr>
      </w:pPr>
      <w:r>
        <w:rPr>
          <w:noProof/>
          <w:rtl/>
        </w:rPr>
        <w:t>דעת רה"ג דאף לרבנן אמרינן סמוך מיעוטא לחזקה</w:t>
      </w:r>
    </w:p>
    <w:p w14:paraId="441E20BF" w14:textId="77777777" w:rsidR="00916CBE" w:rsidRDefault="00916CBE" w:rsidP="005077A7">
      <w:pPr>
        <w:pStyle w:val="a"/>
        <w:rPr>
          <w:rFonts w:eastAsiaTheme="minorEastAsia" w:cstheme="minorBidi"/>
          <w:noProof/>
          <w:sz w:val="22"/>
          <w:szCs w:val="22"/>
          <w:rtl/>
        </w:rPr>
      </w:pPr>
      <w:r>
        <w:rPr>
          <w:noProof/>
          <w:rtl/>
        </w:rPr>
        <w:t>ביאור הרמב"ן דלרבנן אין המיעוט כמאן דליתיה אלא שאין בו כח להצטרף לחזקה</w:t>
      </w:r>
    </w:p>
    <w:p w14:paraId="52DB0DD6" w14:textId="77777777" w:rsidR="00916CBE" w:rsidRDefault="00916CBE" w:rsidP="005077A7">
      <w:pPr>
        <w:pStyle w:val="a"/>
        <w:rPr>
          <w:rFonts w:eastAsiaTheme="minorEastAsia" w:cstheme="minorBidi"/>
          <w:noProof/>
          <w:sz w:val="22"/>
          <w:szCs w:val="22"/>
          <w:rtl/>
        </w:rPr>
      </w:pPr>
      <w:r>
        <w:rPr>
          <w:noProof/>
          <w:rtl/>
        </w:rPr>
        <w:t>ביאורי הראשונים דיש מקומות שלא אמרינן סמוך מיעוטא לחזקה אף לרבנן</w:t>
      </w:r>
    </w:p>
    <w:p w14:paraId="38AEAB67" w14:textId="77777777" w:rsidR="00916CBE" w:rsidRDefault="00916CBE" w:rsidP="00F31B7C">
      <w:pPr>
        <w:pStyle w:val="aff4"/>
        <w:rPr>
          <w:rFonts w:eastAsiaTheme="minorEastAsia" w:cstheme="minorBidi"/>
          <w:i/>
          <w:iCs/>
          <w:noProof/>
          <w:sz w:val="22"/>
          <w:szCs w:val="22"/>
          <w:rtl/>
        </w:rPr>
      </w:pPr>
      <w:bookmarkStart w:id="11002" w:name="_Toc19435730"/>
      <w:bookmarkStart w:id="11003" w:name="_Toc20080991"/>
      <w:r>
        <w:rPr>
          <w:noProof/>
          <w:rtl/>
        </w:rPr>
        <w:t>דעת ר"ת דקיי"ל דלחומרא אמרינן סמוך מיעוטא לחזקה</w:t>
      </w:r>
      <w:bookmarkEnd w:id="11002"/>
      <w:bookmarkEnd w:id="11003"/>
    </w:p>
    <w:p w14:paraId="1FF24E09" w14:textId="77777777" w:rsidR="00916CBE" w:rsidRDefault="00916CBE" w:rsidP="005077A7">
      <w:pPr>
        <w:pStyle w:val="a"/>
        <w:rPr>
          <w:rFonts w:eastAsiaTheme="minorEastAsia" w:cstheme="minorBidi"/>
          <w:noProof/>
          <w:sz w:val="22"/>
          <w:szCs w:val="22"/>
          <w:rtl/>
        </w:rPr>
      </w:pPr>
      <w:r>
        <w:rPr>
          <w:noProof/>
          <w:rtl/>
        </w:rPr>
        <w:t>דברי ר"ת דלדידן להחמיר אמרינן סמוך מיעוטא לחזקה</w:t>
      </w:r>
    </w:p>
    <w:p w14:paraId="2DA86AEA" w14:textId="77777777" w:rsidR="00916CBE" w:rsidRDefault="00916CBE" w:rsidP="005077A7">
      <w:pPr>
        <w:pStyle w:val="a"/>
        <w:rPr>
          <w:rFonts w:eastAsiaTheme="minorEastAsia" w:cstheme="minorBidi"/>
          <w:noProof/>
          <w:sz w:val="22"/>
          <w:szCs w:val="22"/>
          <w:rtl/>
        </w:rPr>
      </w:pPr>
      <w:r>
        <w:rPr>
          <w:noProof/>
          <w:rtl/>
        </w:rPr>
        <w:t>דברי ר"ת דברוב שלא שכיח לא חיישינן למיעוט אף להחמיר</w:t>
      </w:r>
    </w:p>
    <w:p w14:paraId="311A5CF7" w14:textId="77777777" w:rsidR="00916CBE" w:rsidRDefault="00916CBE" w:rsidP="00F31B7C">
      <w:pPr>
        <w:pStyle w:val="aff4"/>
        <w:rPr>
          <w:rFonts w:eastAsiaTheme="minorEastAsia" w:cstheme="minorBidi"/>
          <w:i/>
          <w:iCs/>
          <w:noProof/>
          <w:sz w:val="22"/>
          <w:szCs w:val="22"/>
          <w:rtl/>
        </w:rPr>
      </w:pPr>
      <w:bookmarkStart w:id="11004" w:name="_Toc19435731"/>
      <w:bookmarkStart w:id="11005" w:name="_Toc20080992"/>
      <w:r>
        <w:rPr>
          <w:noProof/>
          <w:rtl/>
        </w:rPr>
        <w:t>דעות האחרונים דלרבנן אמרינן סמוך מיעוט לחזקה רק מדרבנן</w:t>
      </w:r>
      <w:bookmarkEnd w:id="11004"/>
      <w:bookmarkEnd w:id="11005"/>
    </w:p>
    <w:p w14:paraId="5B6D2DEB" w14:textId="77777777" w:rsidR="00916CBE" w:rsidRDefault="00916CBE" w:rsidP="005077A7">
      <w:pPr>
        <w:pStyle w:val="a"/>
        <w:rPr>
          <w:rFonts w:eastAsiaTheme="minorEastAsia" w:cstheme="minorBidi"/>
          <w:noProof/>
          <w:sz w:val="22"/>
          <w:szCs w:val="22"/>
          <w:rtl/>
        </w:rPr>
      </w:pPr>
      <w:r>
        <w:rPr>
          <w:noProof/>
          <w:rtl/>
        </w:rPr>
        <w:t>דברי התוס' לעיל בשם רבינו חיים דילפינן מפרה אדומה דרוב עדיף מחזקה</w:t>
      </w:r>
    </w:p>
    <w:p w14:paraId="06878770" w14:textId="77777777" w:rsidR="00916CBE" w:rsidRDefault="00916CBE" w:rsidP="005077A7">
      <w:pPr>
        <w:pStyle w:val="a"/>
        <w:rPr>
          <w:rFonts w:eastAsiaTheme="minorEastAsia" w:cstheme="minorBidi"/>
          <w:noProof/>
          <w:sz w:val="22"/>
          <w:szCs w:val="22"/>
          <w:rtl/>
        </w:rPr>
      </w:pPr>
      <w:r>
        <w:rPr>
          <w:noProof/>
          <w:rtl/>
        </w:rPr>
        <w:t>קושית המהרש"א דבפרה נסמוך את מיעוט טריפות לחזקת טהרה של הגברא ולא מהני הרוב</w:t>
      </w:r>
    </w:p>
    <w:p w14:paraId="186378DB" w14:textId="77777777" w:rsidR="00916CBE" w:rsidRDefault="00916CBE" w:rsidP="005077A7">
      <w:pPr>
        <w:pStyle w:val="a"/>
        <w:rPr>
          <w:rFonts w:eastAsiaTheme="minorEastAsia" w:cstheme="minorBidi"/>
          <w:noProof/>
          <w:sz w:val="22"/>
          <w:szCs w:val="22"/>
          <w:rtl/>
        </w:rPr>
      </w:pPr>
      <w:r>
        <w:rPr>
          <w:noProof/>
          <w:rtl/>
        </w:rPr>
        <w:t>תירוץ המהרש"א דדעת  התוס' דרק מדרבנן אמרינן לדעת רבנן סמוך מיעוטא לחזקה ולא מדאו'</w:t>
      </w:r>
    </w:p>
    <w:p w14:paraId="3B2020A2" w14:textId="77777777" w:rsidR="00916CBE" w:rsidRDefault="00916CBE" w:rsidP="005077A7">
      <w:pPr>
        <w:pStyle w:val="a"/>
        <w:rPr>
          <w:rFonts w:eastAsiaTheme="minorEastAsia" w:cstheme="minorBidi"/>
          <w:noProof/>
          <w:sz w:val="22"/>
          <w:szCs w:val="22"/>
          <w:rtl/>
        </w:rPr>
      </w:pPr>
      <w:r>
        <w:rPr>
          <w:noProof/>
          <w:rtl/>
        </w:rPr>
        <w:t>דברי הגרעק"א דדעת התוס' והרמב"ן דלדעת רבנן דמדאו' לא אמרינן סמוך מיעוטא לחזקה</w:t>
      </w:r>
    </w:p>
    <w:p w14:paraId="5A90ADBC" w14:textId="77777777" w:rsidR="00916CBE" w:rsidRDefault="00916CBE" w:rsidP="005077A7">
      <w:pPr>
        <w:pStyle w:val="a"/>
        <w:rPr>
          <w:rFonts w:eastAsiaTheme="minorEastAsia" w:cstheme="minorBidi"/>
          <w:noProof/>
          <w:sz w:val="22"/>
          <w:szCs w:val="22"/>
          <w:rtl/>
        </w:rPr>
      </w:pPr>
      <w:r>
        <w:rPr>
          <w:noProof/>
          <w:rtl/>
        </w:rPr>
        <w:t>דברי הפנ"י והש"ש דדעת התוס' והרשב"א דלדעת רבנן דמדאו' לא אמרינן סמוך מיעוטא לחזקה</w:t>
      </w:r>
    </w:p>
    <w:p w14:paraId="7B65D8B0" w14:textId="77777777" w:rsidR="00916CBE" w:rsidRDefault="00916CBE" w:rsidP="00F31B7C">
      <w:pPr>
        <w:pStyle w:val="aff4"/>
        <w:rPr>
          <w:rFonts w:eastAsiaTheme="minorEastAsia" w:cstheme="minorBidi"/>
          <w:i/>
          <w:iCs/>
          <w:noProof/>
          <w:sz w:val="22"/>
          <w:szCs w:val="22"/>
          <w:rtl/>
        </w:rPr>
      </w:pPr>
      <w:bookmarkStart w:id="11006" w:name="_Toc19435732"/>
      <w:bookmarkStart w:id="11007" w:name="_Toc20080993"/>
      <w:r>
        <w:rPr>
          <w:noProof/>
          <w:rtl/>
        </w:rPr>
        <w:t>דעות האחרונים דלרבנן מדאו' אמרינן סמוך מיעוט לחזקה</w:t>
      </w:r>
      <w:bookmarkEnd w:id="11006"/>
      <w:bookmarkEnd w:id="11007"/>
    </w:p>
    <w:p w14:paraId="0D36DE83" w14:textId="77777777" w:rsidR="00916CBE" w:rsidRDefault="00916CBE" w:rsidP="005077A7">
      <w:pPr>
        <w:pStyle w:val="a"/>
        <w:rPr>
          <w:rFonts w:eastAsiaTheme="minorEastAsia" w:cstheme="minorBidi"/>
          <w:noProof/>
          <w:sz w:val="22"/>
          <w:szCs w:val="22"/>
          <w:rtl/>
        </w:rPr>
      </w:pPr>
      <w:r>
        <w:rPr>
          <w:noProof/>
          <w:rtl/>
        </w:rPr>
        <w:t>דברי השעה"מ דבדברי הרשב"א במשה"ב מוכח דמדאו' אמרינן סמוך מיעוטא לחזקה</w:t>
      </w:r>
    </w:p>
    <w:p w14:paraId="0D0303C3" w14:textId="77777777" w:rsidR="00916CBE" w:rsidRDefault="00916CBE" w:rsidP="005077A7">
      <w:pPr>
        <w:pStyle w:val="a"/>
        <w:rPr>
          <w:rFonts w:eastAsiaTheme="minorEastAsia" w:cstheme="minorBidi"/>
          <w:noProof/>
          <w:sz w:val="22"/>
          <w:szCs w:val="22"/>
          <w:rtl/>
        </w:rPr>
      </w:pPr>
      <w:r>
        <w:rPr>
          <w:noProof/>
          <w:rtl/>
        </w:rPr>
        <w:t>קושית המהרי"ט אלגאזי על הרמב"ן דבפרה אדומה מוכח דלא אמרינן סמוך מיעוטא לחזקה</w:t>
      </w:r>
    </w:p>
    <w:p w14:paraId="47B3FDD8" w14:textId="77777777" w:rsidR="00916CBE" w:rsidRDefault="00916CBE" w:rsidP="005077A7">
      <w:pPr>
        <w:pStyle w:val="a"/>
        <w:rPr>
          <w:rFonts w:eastAsiaTheme="minorEastAsia" w:cstheme="minorBidi"/>
          <w:noProof/>
          <w:sz w:val="22"/>
          <w:szCs w:val="22"/>
          <w:rtl/>
        </w:rPr>
      </w:pPr>
      <w:r>
        <w:rPr>
          <w:noProof/>
          <w:rtl/>
        </w:rPr>
        <w:t>קושית המחנ"א על התוס' והרא"ש דבפרה אדומה מוכח דלא אמרינן סמוך מיעוטא לחזקה</w:t>
      </w:r>
    </w:p>
    <w:p w14:paraId="5F1E3589" w14:textId="77777777" w:rsidR="00916CBE" w:rsidRDefault="00916CBE" w:rsidP="005077A7">
      <w:pPr>
        <w:pStyle w:val="a"/>
        <w:rPr>
          <w:rFonts w:eastAsiaTheme="minorEastAsia" w:cstheme="minorBidi"/>
          <w:noProof/>
          <w:sz w:val="22"/>
          <w:szCs w:val="22"/>
          <w:rtl/>
        </w:rPr>
      </w:pPr>
      <w:r>
        <w:rPr>
          <w:noProof/>
          <w:rtl/>
        </w:rPr>
        <w:t>תירוץ המחנ"א דרק כשהחזקה והמיעוט בגוף אחד אמרינן סמוך מיעוטא לחזקה</w:t>
      </w:r>
    </w:p>
    <w:p w14:paraId="24F8C274" w14:textId="77777777" w:rsidR="00916CBE" w:rsidRDefault="00916CBE" w:rsidP="005077A7">
      <w:pPr>
        <w:pStyle w:val="a"/>
        <w:rPr>
          <w:rFonts w:eastAsiaTheme="minorEastAsia" w:cstheme="minorBidi"/>
          <w:noProof/>
          <w:sz w:val="22"/>
          <w:szCs w:val="22"/>
          <w:rtl/>
        </w:rPr>
      </w:pPr>
      <w:r>
        <w:rPr>
          <w:noProof/>
          <w:rtl/>
        </w:rPr>
        <w:t>תירוץ השעה"מ דבתוס' בבכורות מוכח דרק מדרבנן אמרינן סמוך מיעוטא לחזקה</w:t>
      </w:r>
    </w:p>
    <w:p w14:paraId="7648B561" w14:textId="77777777" w:rsidR="00916CBE" w:rsidRDefault="00916CBE" w:rsidP="00F31B7C">
      <w:pPr>
        <w:pStyle w:val="aff4"/>
        <w:rPr>
          <w:rFonts w:eastAsiaTheme="minorEastAsia" w:cstheme="minorBidi"/>
          <w:i/>
          <w:iCs/>
          <w:noProof/>
          <w:sz w:val="22"/>
          <w:szCs w:val="22"/>
          <w:rtl/>
        </w:rPr>
      </w:pPr>
      <w:bookmarkStart w:id="11008" w:name="_Toc19435733"/>
      <w:bookmarkStart w:id="11009" w:name="_Toc20080994"/>
      <w:r>
        <w:rPr>
          <w:noProof/>
          <w:rtl/>
        </w:rPr>
        <w:t>דברי המהרש"א והגרע"א אי במיעוט דלא שכיח אמרינן סמל"ח</w:t>
      </w:r>
      <w:bookmarkEnd w:id="11008"/>
      <w:bookmarkEnd w:id="11009"/>
    </w:p>
    <w:p w14:paraId="5E6330E3" w14:textId="77777777" w:rsidR="00916CBE" w:rsidRDefault="00916CBE" w:rsidP="005077A7">
      <w:pPr>
        <w:pStyle w:val="a"/>
        <w:rPr>
          <w:rFonts w:eastAsiaTheme="minorEastAsia" w:cstheme="minorBidi"/>
          <w:noProof/>
          <w:sz w:val="22"/>
          <w:szCs w:val="22"/>
          <w:rtl/>
        </w:rPr>
      </w:pPr>
      <w:r>
        <w:rPr>
          <w:noProof/>
          <w:rtl/>
        </w:rPr>
        <w:t>התירוץ הב' במהרש"א דבמיעוט דלא שכיח לא אמרינן סמוך מיעוטא לחזקה</w:t>
      </w:r>
    </w:p>
    <w:p w14:paraId="1E576EFA" w14:textId="77777777" w:rsidR="00916CBE" w:rsidRDefault="00916CBE" w:rsidP="005077A7">
      <w:pPr>
        <w:pStyle w:val="a"/>
        <w:rPr>
          <w:rFonts w:eastAsiaTheme="minorEastAsia" w:cstheme="minorBidi"/>
          <w:noProof/>
          <w:sz w:val="22"/>
          <w:szCs w:val="22"/>
          <w:rtl/>
        </w:rPr>
      </w:pPr>
      <w:r>
        <w:rPr>
          <w:noProof/>
          <w:rtl/>
        </w:rPr>
        <w:t>דחיית הגרעק"א והשעה"מ דבקושית הגמ' על ר"מ מוכח דאף במיעוט דלא שכיח אמרינן סמל"ח</w:t>
      </w:r>
    </w:p>
    <w:p w14:paraId="1B491FA0" w14:textId="77777777" w:rsidR="00916CBE" w:rsidRDefault="00916CBE" w:rsidP="005077A7">
      <w:pPr>
        <w:pStyle w:val="a"/>
        <w:rPr>
          <w:rFonts w:eastAsiaTheme="minorEastAsia" w:cstheme="minorBidi"/>
          <w:noProof/>
          <w:sz w:val="22"/>
          <w:szCs w:val="22"/>
          <w:rtl/>
        </w:rPr>
      </w:pPr>
      <w:r>
        <w:rPr>
          <w:noProof/>
          <w:rtl/>
        </w:rPr>
        <w:t>קושית הגרעק"א דאפשר להוכיח מכל שחיטה דאזלינן בתר רוב כנגד חזקת אינו זבוח</w:t>
      </w:r>
    </w:p>
    <w:p w14:paraId="5F4EF672" w14:textId="77777777" w:rsidR="00916CBE" w:rsidRDefault="00916CBE" w:rsidP="005077A7">
      <w:pPr>
        <w:pStyle w:val="a"/>
        <w:rPr>
          <w:rFonts w:eastAsiaTheme="minorEastAsia" w:cstheme="minorBidi"/>
          <w:noProof/>
          <w:sz w:val="22"/>
          <w:szCs w:val="22"/>
          <w:rtl/>
        </w:rPr>
      </w:pPr>
      <w:r>
        <w:rPr>
          <w:noProof/>
          <w:rtl/>
        </w:rPr>
        <w:t>דברי הגרעק"א דהחשש שמא היא טריפה רק באבר אחד הוא מיעוט דלא שכיח</w:t>
      </w:r>
    </w:p>
    <w:p w14:paraId="73514B87" w14:textId="77777777" w:rsidR="00916CBE" w:rsidRDefault="00916CBE" w:rsidP="005077A7">
      <w:pPr>
        <w:pStyle w:val="a"/>
        <w:rPr>
          <w:rFonts w:eastAsiaTheme="minorEastAsia" w:cstheme="minorBidi"/>
          <w:noProof/>
          <w:sz w:val="22"/>
          <w:szCs w:val="22"/>
          <w:rtl/>
        </w:rPr>
      </w:pPr>
      <w:r>
        <w:rPr>
          <w:noProof/>
          <w:rtl/>
        </w:rPr>
        <w:t>תירוץ הגרעק"א דא"א להוכיח מכל שחיטה דהמיעוט שניקב הושט לא שכיח ולא חיישינן ליה</w:t>
      </w:r>
    </w:p>
    <w:p w14:paraId="10CB6B43" w14:textId="77777777" w:rsidR="00916CBE" w:rsidRDefault="00916CBE" w:rsidP="005077A7">
      <w:pPr>
        <w:pStyle w:val="a"/>
        <w:rPr>
          <w:rFonts w:eastAsiaTheme="minorEastAsia" w:cstheme="minorBidi"/>
          <w:noProof/>
          <w:sz w:val="22"/>
          <w:szCs w:val="22"/>
          <w:rtl/>
        </w:rPr>
      </w:pPr>
      <w:r>
        <w:rPr>
          <w:noProof/>
          <w:rtl/>
        </w:rPr>
        <w:t>דברי הגרעק"א דלדבריו דאף במיעוט דלא שכיח אמרינן סמוך הדרא הקושיה לדוכתא</w:t>
      </w:r>
    </w:p>
    <w:p w14:paraId="66DEAE7F" w14:textId="77777777" w:rsidR="00916CBE" w:rsidRDefault="00916CBE" w:rsidP="00F31B7C">
      <w:pPr>
        <w:pStyle w:val="2"/>
        <w:keepNext w:val="0"/>
        <w:keepLines w:val="0"/>
        <w:rPr>
          <w:rFonts w:eastAsiaTheme="minorEastAsia" w:cstheme="minorBidi"/>
          <w:i/>
          <w:iCs/>
          <w:noProof/>
          <w:sz w:val="22"/>
          <w:szCs w:val="22"/>
          <w:rtl/>
        </w:rPr>
      </w:pPr>
      <w:bookmarkStart w:id="11010" w:name="_Toc19435734"/>
      <w:r>
        <w:rPr>
          <w:noProof/>
          <w:rtl/>
        </w:rPr>
        <w:t>בדעת ר"מ בסמוך מיעוטא לחזקה</w:t>
      </w:r>
      <w:bookmarkEnd w:id="11010"/>
    </w:p>
    <w:p w14:paraId="07D93115" w14:textId="77777777" w:rsidR="00916CBE" w:rsidRDefault="00916CBE" w:rsidP="00F31B7C">
      <w:pPr>
        <w:pStyle w:val="aff4"/>
        <w:rPr>
          <w:rFonts w:eastAsiaTheme="minorEastAsia" w:cstheme="minorBidi"/>
          <w:i/>
          <w:iCs/>
          <w:noProof/>
          <w:sz w:val="22"/>
          <w:szCs w:val="22"/>
          <w:rtl/>
        </w:rPr>
      </w:pPr>
      <w:bookmarkStart w:id="11011" w:name="_Toc19435735"/>
      <w:bookmarkStart w:id="11012" w:name="_Toc20080995"/>
      <w:r>
        <w:rPr>
          <w:noProof/>
          <w:rtl/>
        </w:rPr>
        <w:t>דברי רש"י והרמב"ן בביאור סמוך מיעוטא לחזקה</w:t>
      </w:r>
      <w:bookmarkEnd w:id="11011"/>
      <w:bookmarkEnd w:id="11012"/>
    </w:p>
    <w:p w14:paraId="323C982B" w14:textId="77777777" w:rsidR="00916CBE" w:rsidRDefault="00916CBE" w:rsidP="005077A7">
      <w:pPr>
        <w:pStyle w:val="a"/>
        <w:rPr>
          <w:rFonts w:eastAsiaTheme="minorEastAsia" w:cstheme="minorBidi"/>
          <w:noProof/>
          <w:sz w:val="22"/>
          <w:szCs w:val="22"/>
          <w:rtl/>
        </w:rPr>
      </w:pPr>
      <w:r>
        <w:rPr>
          <w:noProof/>
          <w:rtl/>
        </w:rPr>
        <w:t>דברי רש"י דבסמוך מיעוטא לחזקה הם תרי כנגד הרוב דהוא חדא</w:t>
      </w:r>
    </w:p>
    <w:p w14:paraId="59A68389" w14:textId="77777777" w:rsidR="00916CBE" w:rsidRDefault="00916CBE" w:rsidP="005077A7">
      <w:pPr>
        <w:pStyle w:val="a"/>
        <w:rPr>
          <w:rFonts w:eastAsiaTheme="minorEastAsia" w:cstheme="minorBidi"/>
          <w:noProof/>
          <w:sz w:val="22"/>
          <w:szCs w:val="22"/>
          <w:rtl/>
        </w:rPr>
      </w:pPr>
      <w:r>
        <w:rPr>
          <w:noProof/>
          <w:rtl/>
        </w:rPr>
        <w:t>דברי הרמב"ן דבסמוך מיעוטא לחזקה טיהר ר"מ כיון דאפושי טומאה לא מפשינן</w:t>
      </w:r>
    </w:p>
    <w:p w14:paraId="6410F768" w14:textId="77777777" w:rsidR="00572AF5" w:rsidRDefault="00572AF5" w:rsidP="00F31B7C">
      <w:pPr>
        <w:pStyle w:val="aff4"/>
        <w:rPr>
          <w:noProof/>
          <w:rtl/>
        </w:rPr>
      </w:pPr>
    </w:p>
    <w:p w14:paraId="79F04C69" w14:textId="77777777" w:rsidR="00916CBE" w:rsidRDefault="00916CBE" w:rsidP="00F31B7C">
      <w:pPr>
        <w:pStyle w:val="aff4"/>
        <w:rPr>
          <w:rFonts w:eastAsiaTheme="minorEastAsia" w:cstheme="minorBidi"/>
          <w:i/>
          <w:iCs/>
          <w:noProof/>
          <w:sz w:val="22"/>
          <w:szCs w:val="22"/>
          <w:rtl/>
        </w:rPr>
      </w:pPr>
      <w:bookmarkStart w:id="11013" w:name="_Toc19435736"/>
      <w:bookmarkStart w:id="11014" w:name="_Toc20080996"/>
      <w:r>
        <w:rPr>
          <w:noProof/>
          <w:rtl/>
        </w:rPr>
        <w:t>דברי התוס' דסמוך מיעוטא לחזקה הו"ל כפלגא ופלגא</w:t>
      </w:r>
      <w:bookmarkEnd w:id="11013"/>
      <w:bookmarkEnd w:id="11014"/>
    </w:p>
    <w:p w14:paraId="12B04D1C" w14:textId="77777777" w:rsidR="00916CBE" w:rsidRDefault="00916CBE" w:rsidP="005077A7">
      <w:pPr>
        <w:pStyle w:val="a"/>
        <w:rPr>
          <w:rFonts w:eastAsiaTheme="minorEastAsia" w:cstheme="minorBidi"/>
          <w:noProof/>
          <w:sz w:val="22"/>
          <w:szCs w:val="22"/>
          <w:rtl/>
        </w:rPr>
      </w:pPr>
      <w:r>
        <w:rPr>
          <w:noProof/>
          <w:rtl/>
        </w:rPr>
        <w:t>דברי התוס' דבסמוך מיעוטא לחזקה דאיתרע הרוב היינו דהוה כפלגא ופלגא</w:t>
      </w:r>
    </w:p>
    <w:p w14:paraId="108AF37B" w14:textId="77777777" w:rsidR="00916CBE" w:rsidRDefault="00916CBE" w:rsidP="005077A7">
      <w:pPr>
        <w:pStyle w:val="a"/>
        <w:rPr>
          <w:rFonts w:eastAsiaTheme="minorEastAsia" w:cstheme="minorBidi"/>
          <w:noProof/>
          <w:sz w:val="22"/>
          <w:szCs w:val="22"/>
          <w:rtl/>
        </w:rPr>
      </w:pPr>
      <w:r>
        <w:rPr>
          <w:noProof/>
          <w:rtl/>
        </w:rPr>
        <w:t>קושית התוס' בקידושין ובנדה אי בסמוך מיעוטא לחזקה הרוב כמאן דליתיה או דהוה כפלגא ופלגא</w:t>
      </w:r>
    </w:p>
    <w:p w14:paraId="3DAB7406" w14:textId="77777777" w:rsidR="00916CBE" w:rsidRDefault="00916CBE" w:rsidP="005077A7">
      <w:pPr>
        <w:pStyle w:val="a"/>
        <w:rPr>
          <w:rFonts w:eastAsiaTheme="minorEastAsia" w:cstheme="minorBidi"/>
          <w:noProof/>
          <w:sz w:val="22"/>
          <w:szCs w:val="22"/>
          <w:rtl/>
        </w:rPr>
      </w:pPr>
      <w:r>
        <w:rPr>
          <w:noProof/>
          <w:rtl/>
        </w:rPr>
        <w:t>תירוצי התוס' בקידושין ובנדה דבתינוק טיהר ר"מ דהוה דבר שאבד"ל או דהרוב גרוע וכמאן דליתיה</w:t>
      </w:r>
    </w:p>
    <w:p w14:paraId="758EE8D0" w14:textId="77777777" w:rsidR="00916CBE" w:rsidRDefault="00916CBE" w:rsidP="005077A7">
      <w:pPr>
        <w:pStyle w:val="a"/>
        <w:rPr>
          <w:rFonts w:eastAsiaTheme="minorEastAsia" w:cstheme="minorBidi"/>
          <w:noProof/>
          <w:sz w:val="22"/>
          <w:szCs w:val="22"/>
          <w:rtl/>
        </w:rPr>
      </w:pPr>
      <w:r>
        <w:rPr>
          <w:noProof/>
          <w:rtl/>
        </w:rPr>
        <w:t>ביאור הרא"ש בטהרות דהמיעוט והחזקה הם פלגא והרוב הוא פלגא אחר</w:t>
      </w:r>
    </w:p>
    <w:p w14:paraId="06865D37" w14:textId="77777777" w:rsidR="00916CBE" w:rsidRDefault="00916CBE" w:rsidP="00F31B7C">
      <w:pPr>
        <w:pStyle w:val="aff4"/>
        <w:rPr>
          <w:rFonts w:eastAsiaTheme="minorEastAsia" w:cstheme="minorBidi"/>
          <w:i/>
          <w:iCs/>
          <w:noProof/>
          <w:sz w:val="22"/>
          <w:szCs w:val="22"/>
          <w:rtl/>
        </w:rPr>
      </w:pPr>
      <w:bookmarkStart w:id="11015" w:name="_Toc19435737"/>
      <w:bookmarkStart w:id="11016" w:name="_Toc20080997"/>
      <w:r>
        <w:rPr>
          <w:noProof/>
          <w:rtl/>
        </w:rPr>
        <w:t>דברי התוס' אי לר"מ סמוך מיעוטא לחזקה מדאו' או מדרבנן</w:t>
      </w:r>
      <w:bookmarkEnd w:id="11015"/>
      <w:bookmarkEnd w:id="11016"/>
    </w:p>
    <w:p w14:paraId="6BB2BEF3" w14:textId="77777777" w:rsidR="00916CBE" w:rsidRDefault="00916CBE" w:rsidP="005077A7">
      <w:pPr>
        <w:pStyle w:val="a"/>
        <w:rPr>
          <w:rFonts w:eastAsiaTheme="minorEastAsia" w:cstheme="minorBidi"/>
          <w:noProof/>
          <w:sz w:val="22"/>
          <w:szCs w:val="22"/>
          <w:rtl/>
        </w:rPr>
      </w:pPr>
      <w:r>
        <w:rPr>
          <w:noProof/>
          <w:rtl/>
        </w:rPr>
        <w:t>קושית התוס' לקמן דר"מ צריך לטהר בתינוק בלא חזקה דחייש למיעוטא ואין בו דעת לישאל</w:t>
      </w:r>
    </w:p>
    <w:p w14:paraId="4354646B" w14:textId="77777777" w:rsidR="00916CBE" w:rsidRDefault="00916CBE" w:rsidP="005077A7">
      <w:pPr>
        <w:pStyle w:val="a"/>
        <w:rPr>
          <w:rFonts w:eastAsiaTheme="minorEastAsia" w:cstheme="minorBidi"/>
          <w:noProof/>
          <w:sz w:val="22"/>
          <w:szCs w:val="22"/>
          <w:rtl/>
        </w:rPr>
      </w:pPr>
      <w:r>
        <w:rPr>
          <w:noProof/>
          <w:rtl/>
        </w:rPr>
        <w:t>התירוץ הא' בתוס' לקמן דכוונת הגמ' לומר שאין חזקה שמסייעת לרוב ואינו מיעוטא דמיעוטא</w:t>
      </w:r>
    </w:p>
    <w:p w14:paraId="179D2554" w14:textId="77777777" w:rsidR="00916CBE" w:rsidRDefault="00916CBE" w:rsidP="005077A7">
      <w:pPr>
        <w:pStyle w:val="a"/>
        <w:rPr>
          <w:rFonts w:eastAsiaTheme="minorEastAsia" w:cstheme="minorBidi"/>
          <w:noProof/>
          <w:sz w:val="22"/>
          <w:szCs w:val="22"/>
          <w:rtl/>
        </w:rPr>
      </w:pPr>
      <w:r>
        <w:rPr>
          <w:noProof/>
          <w:rtl/>
        </w:rPr>
        <w:t>התירוץ הב' בתוס' לקמן דרק בסמוך מיעוטא לחזקה חייש ר"מ למיעוט מדאו' ומטהר</w:t>
      </w:r>
    </w:p>
    <w:p w14:paraId="02ADD3CC" w14:textId="77777777" w:rsidR="00916CBE" w:rsidRDefault="00916CBE" w:rsidP="005077A7">
      <w:pPr>
        <w:pStyle w:val="a"/>
        <w:rPr>
          <w:rFonts w:eastAsiaTheme="minorEastAsia" w:cstheme="minorBidi"/>
          <w:noProof/>
          <w:sz w:val="22"/>
          <w:szCs w:val="22"/>
          <w:rtl/>
        </w:rPr>
      </w:pPr>
      <w:r>
        <w:rPr>
          <w:noProof/>
          <w:rtl/>
        </w:rPr>
        <w:t>הוכחת התוס' בבכורות מהגמ' בתינוק ומהגמ' לקמן דרק בסמוך מיעוטא לחזקה חייש ר"מ מדאו'</w:t>
      </w:r>
    </w:p>
    <w:p w14:paraId="61A2E923" w14:textId="77777777" w:rsidR="00916CBE" w:rsidRDefault="00916CBE" w:rsidP="005077A7">
      <w:pPr>
        <w:pStyle w:val="a"/>
        <w:rPr>
          <w:rFonts w:eastAsiaTheme="minorEastAsia" w:cstheme="minorBidi"/>
          <w:noProof/>
          <w:sz w:val="22"/>
          <w:szCs w:val="22"/>
          <w:rtl/>
        </w:rPr>
      </w:pPr>
      <w:r>
        <w:rPr>
          <w:noProof/>
          <w:rtl/>
        </w:rPr>
        <w:t>קושיית התוס' ביבמות אמאי בדמאי אין איסור ודאי לר"מ דחייש למיעוטא ויש חזקת איסור</w:t>
      </w:r>
    </w:p>
    <w:p w14:paraId="41D6CE1E" w14:textId="77777777" w:rsidR="00916CBE" w:rsidRDefault="00916CBE" w:rsidP="005077A7">
      <w:pPr>
        <w:pStyle w:val="a"/>
        <w:rPr>
          <w:rFonts w:eastAsiaTheme="minorEastAsia" w:cstheme="minorBidi"/>
          <w:noProof/>
          <w:sz w:val="22"/>
          <w:szCs w:val="22"/>
          <w:rtl/>
        </w:rPr>
      </w:pPr>
      <w:r>
        <w:rPr>
          <w:noProof/>
          <w:rtl/>
        </w:rPr>
        <w:t>ספק התוס' ביבמות אי בסמוך מיעוטא לחזקה חייש ר"מ למיעוט מדאו'</w:t>
      </w:r>
    </w:p>
    <w:p w14:paraId="68AE1CAD" w14:textId="77777777" w:rsidR="00916CBE" w:rsidRDefault="00916CBE" w:rsidP="00F31B7C">
      <w:pPr>
        <w:pStyle w:val="aff4"/>
        <w:rPr>
          <w:rFonts w:eastAsiaTheme="minorEastAsia" w:cstheme="minorBidi"/>
          <w:i/>
          <w:iCs/>
          <w:noProof/>
          <w:sz w:val="22"/>
          <w:szCs w:val="22"/>
          <w:rtl/>
        </w:rPr>
      </w:pPr>
      <w:bookmarkStart w:id="11017" w:name="_Toc19435738"/>
      <w:bookmarkStart w:id="11018" w:name="_Toc20080998"/>
      <w:r>
        <w:rPr>
          <w:noProof/>
          <w:rtl/>
        </w:rPr>
        <w:t>דברי הגרעק"א דבגמ' בקידושין מוכח דר"מ חייש מדאו'</w:t>
      </w:r>
      <w:bookmarkEnd w:id="11017"/>
      <w:bookmarkEnd w:id="11018"/>
    </w:p>
    <w:p w14:paraId="7A8F197F" w14:textId="77777777" w:rsidR="00916CBE" w:rsidRDefault="00916CBE" w:rsidP="005077A7">
      <w:pPr>
        <w:pStyle w:val="a"/>
        <w:rPr>
          <w:rFonts w:eastAsiaTheme="minorEastAsia" w:cstheme="minorBidi"/>
          <w:noProof/>
          <w:sz w:val="22"/>
          <w:szCs w:val="22"/>
          <w:rtl/>
        </w:rPr>
      </w:pPr>
      <w:r>
        <w:rPr>
          <w:noProof/>
          <w:rtl/>
        </w:rPr>
        <w:t>קושית הגרעק"א דמפורש בגמ' בקידושין דבסמוך מיעוטא לחזקה מדאו' חייש ר"מ למיעוט</w:t>
      </w:r>
    </w:p>
    <w:p w14:paraId="5ED2189E" w14:textId="77777777" w:rsidR="00916CBE" w:rsidRDefault="00916CBE" w:rsidP="00F31B7C">
      <w:pPr>
        <w:pStyle w:val="2"/>
        <w:keepNext w:val="0"/>
        <w:keepLines w:val="0"/>
        <w:rPr>
          <w:rFonts w:eastAsiaTheme="minorEastAsia" w:cstheme="minorBidi"/>
          <w:i/>
          <w:iCs/>
          <w:noProof/>
          <w:sz w:val="22"/>
          <w:szCs w:val="22"/>
          <w:rtl/>
        </w:rPr>
      </w:pPr>
      <w:bookmarkStart w:id="11019" w:name="_Toc19435739"/>
      <w:r>
        <w:rPr>
          <w:noProof/>
          <w:rtl/>
        </w:rPr>
        <w:t>פלוגתת הרשב"א והרא"ה בגדר סמל"ח</w:t>
      </w:r>
      <w:bookmarkEnd w:id="11019"/>
    </w:p>
    <w:p w14:paraId="3D074C6D" w14:textId="77777777" w:rsidR="00916CBE" w:rsidRDefault="00916CBE" w:rsidP="00F31B7C">
      <w:pPr>
        <w:pStyle w:val="aff4"/>
        <w:rPr>
          <w:rFonts w:eastAsiaTheme="minorEastAsia" w:cstheme="minorBidi"/>
          <w:i/>
          <w:iCs/>
          <w:noProof/>
          <w:sz w:val="22"/>
          <w:szCs w:val="22"/>
          <w:rtl/>
        </w:rPr>
      </w:pPr>
      <w:bookmarkStart w:id="11020" w:name="_Toc19435740"/>
      <w:bookmarkStart w:id="11021" w:name="_Toc20080999"/>
      <w:r>
        <w:rPr>
          <w:noProof/>
          <w:rtl/>
        </w:rPr>
        <w:t>פלוגתת הרשב"א והרא"ה ברוב מצויין אצל שחיטה מומחין הן</w:t>
      </w:r>
      <w:bookmarkEnd w:id="11020"/>
      <w:bookmarkEnd w:id="11021"/>
    </w:p>
    <w:p w14:paraId="5C0BC212" w14:textId="77777777" w:rsidR="00916CBE" w:rsidRDefault="00916CBE" w:rsidP="005077A7">
      <w:pPr>
        <w:pStyle w:val="a"/>
        <w:rPr>
          <w:rFonts w:eastAsiaTheme="minorEastAsia" w:cstheme="minorBidi"/>
          <w:noProof/>
          <w:sz w:val="22"/>
          <w:szCs w:val="22"/>
          <w:rtl/>
        </w:rPr>
      </w:pPr>
      <w:r>
        <w:rPr>
          <w:noProof/>
          <w:rtl/>
        </w:rPr>
        <w:t>דברי הרא"ה דרוב מצויין אצל שחיטה היינו "כל" ולכן לא אמרינן סמוך מיעוטא לחזקת איסור</w:t>
      </w:r>
    </w:p>
    <w:p w14:paraId="4A210986" w14:textId="77777777" w:rsidR="00916CBE" w:rsidRDefault="00916CBE" w:rsidP="005077A7">
      <w:pPr>
        <w:pStyle w:val="a"/>
        <w:rPr>
          <w:rFonts w:eastAsiaTheme="minorEastAsia" w:cstheme="minorBidi"/>
          <w:noProof/>
          <w:sz w:val="22"/>
          <w:szCs w:val="22"/>
          <w:rtl/>
        </w:rPr>
      </w:pPr>
      <w:r>
        <w:rPr>
          <w:noProof/>
          <w:rtl/>
        </w:rPr>
        <w:t>דברי הרא"ה בבד"ה דביבמות איתא דהוי פלגא ופלגא ולקמן מבואר דסמוך עדיף מרוב</w:t>
      </w:r>
    </w:p>
    <w:p w14:paraId="7077437A" w14:textId="77777777" w:rsidR="00916CBE" w:rsidRDefault="00916CBE" w:rsidP="005077A7">
      <w:pPr>
        <w:pStyle w:val="a"/>
        <w:rPr>
          <w:rFonts w:eastAsiaTheme="minorEastAsia" w:cstheme="minorBidi"/>
          <w:noProof/>
          <w:sz w:val="22"/>
          <w:szCs w:val="22"/>
          <w:rtl/>
        </w:rPr>
      </w:pPr>
      <w:r>
        <w:rPr>
          <w:noProof/>
          <w:rtl/>
        </w:rPr>
        <w:t>דחיית הרשב"א דכיון שחלק משאינם מומחין שוחטין כדין חשיב המיעוט כמיעוטא דמיעוטא</w:t>
      </w:r>
    </w:p>
    <w:p w14:paraId="2A648B72" w14:textId="77777777" w:rsidR="00916CBE" w:rsidRDefault="00916CBE" w:rsidP="005077A7">
      <w:pPr>
        <w:pStyle w:val="a"/>
        <w:rPr>
          <w:rFonts w:eastAsiaTheme="minorEastAsia" w:cstheme="minorBidi"/>
          <w:noProof/>
          <w:sz w:val="22"/>
          <w:szCs w:val="22"/>
          <w:rtl/>
        </w:rPr>
      </w:pPr>
      <w:r>
        <w:rPr>
          <w:noProof/>
          <w:rtl/>
        </w:rPr>
        <w:t>דחיית הגרעק"א דבתינוק הוא רובא דא"ק ולא אמרינן ביה סמוך מיעוטא לחזקה</w:t>
      </w:r>
    </w:p>
    <w:p w14:paraId="6E464C15" w14:textId="77777777" w:rsidR="00916CBE" w:rsidRDefault="00916CBE" w:rsidP="005077A7">
      <w:pPr>
        <w:pStyle w:val="a"/>
        <w:rPr>
          <w:rFonts w:eastAsiaTheme="minorEastAsia" w:cstheme="minorBidi"/>
          <w:noProof/>
          <w:sz w:val="22"/>
          <w:szCs w:val="22"/>
          <w:rtl/>
        </w:rPr>
      </w:pPr>
      <w:r>
        <w:rPr>
          <w:noProof/>
          <w:rtl/>
        </w:rPr>
        <w:t>קושיות הרשב"א דבסוגיין מוכח דלא אמרינן סמוך מיעוטא לחזקה</w:t>
      </w:r>
    </w:p>
    <w:p w14:paraId="19E1C043" w14:textId="77777777" w:rsidR="00916CBE" w:rsidRDefault="00916CBE" w:rsidP="005077A7">
      <w:pPr>
        <w:pStyle w:val="a"/>
        <w:rPr>
          <w:rFonts w:eastAsiaTheme="minorEastAsia" w:cstheme="minorBidi"/>
          <w:noProof/>
          <w:sz w:val="22"/>
          <w:szCs w:val="22"/>
          <w:rtl/>
        </w:rPr>
      </w:pPr>
      <w:r>
        <w:rPr>
          <w:noProof/>
          <w:rtl/>
        </w:rPr>
        <w:t>התי' הא' ברשב"א במשה"ב דהגמ' ביבמות דאמרינן סמוך מיעוטא לחזקה היא לדעת ר"מ</w:t>
      </w:r>
    </w:p>
    <w:p w14:paraId="04997CEC" w14:textId="77777777" w:rsidR="00916CBE" w:rsidRDefault="00916CBE" w:rsidP="00F31B7C">
      <w:pPr>
        <w:pStyle w:val="aff4"/>
        <w:rPr>
          <w:rFonts w:eastAsiaTheme="minorEastAsia" w:cstheme="minorBidi"/>
          <w:i/>
          <w:iCs/>
          <w:noProof/>
          <w:sz w:val="22"/>
          <w:szCs w:val="22"/>
          <w:rtl/>
        </w:rPr>
      </w:pPr>
      <w:bookmarkStart w:id="11022" w:name="_Toc19435741"/>
      <w:bookmarkStart w:id="11023" w:name="_Toc20081000"/>
      <w:r>
        <w:rPr>
          <w:noProof/>
          <w:rtl/>
        </w:rPr>
        <w:t>ביאור הרשב"א דדוקא במיעוט שמגרע את הרוב אמרינן סמל"ח</w:t>
      </w:r>
      <w:bookmarkEnd w:id="11022"/>
      <w:bookmarkEnd w:id="11023"/>
    </w:p>
    <w:p w14:paraId="0F5A0E27" w14:textId="77777777" w:rsidR="00916CBE" w:rsidRDefault="00916CBE" w:rsidP="005077A7">
      <w:pPr>
        <w:pStyle w:val="a"/>
        <w:rPr>
          <w:rFonts w:eastAsiaTheme="minorEastAsia" w:cstheme="minorBidi"/>
          <w:noProof/>
          <w:sz w:val="22"/>
          <w:szCs w:val="22"/>
          <w:rtl/>
        </w:rPr>
      </w:pPr>
      <w:r>
        <w:rPr>
          <w:noProof/>
          <w:rtl/>
        </w:rPr>
        <w:t>התי' הב' ברשב"א דדוקא במקום שהמיעוט עושה ריעותא ברוב עצמו אמרינן סמל"ח</w:t>
      </w:r>
    </w:p>
    <w:p w14:paraId="0CDDAC49" w14:textId="77777777" w:rsidR="00916CBE" w:rsidRDefault="00916CBE" w:rsidP="005077A7">
      <w:pPr>
        <w:pStyle w:val="a"/>
        <w:rPr>
          <w:rFonts w:eastAsiaTheme="minorEastAsia" w:cstheme="minorBidi"/>
          <w:noProof/>
          <w:sz w:val="22"/>
          <w:szCs w:val="22"/>
          <w:rtl/>
        </w:rPr>
      </w:pPr>
      <w:r>
        <w:rPr>
          <w:noProof/>
          <w:rtl/>
        </w:rPr>
        <w:t>ביאור הרשב"א דברוב שרצים בבית המיעוט אינו מגרע את הרוב ולא אמרינן ביה סמל"ח</w:t>
      </w:r>
    </w:p>
    <w:p w14:paraId="2F273640" w14:textId="77777777" w:rsidR="00916CBE" w:rsidRDefault="00916CBE" w:rsidP="00F31B7C">
      <w:pPr>
        <w:pStyle w:val="aff4"/>
        <w:rPr>
          <w:rFonts w:eastAsiaTheme="minorEastAsia" w:cstheme="minorBidi"/>
          <w:i/>
          <w:iCs/>
          <w:noProof/>
          <w:sz w:val="22"/>
          <w:szCs w:val="22"/>
          <w:rtl/>
        </w:rPr>
      </w:pPr>
      <w:bookmarkStart w:id="11024" w:name="_Toc19435742"/>
      <w:bookmarkStart w:id="11025" w:name="_Toc20081001"/>
      <w:r>
        <w:rPr>
          <w:noProof/>
          <w:rtl/>
        </w:rPr>
        <w:t>באורי הבית הלוי בגדר המיעוט שמגרע את הרוב</w:t>
      </w:r>
      <w:bookmarkEnd w:id="11024"/>
      <w:bookmarkEnd w:id="11025"/>
    </w:p>
    <w:p w14:paraId="0E5904E7" w14:textId="77777777" w:rsidR="00916CBE" w:rsidRDefault="00916CBE" w:rsidP="005077A7">
      <w:pPr>
        <w:pStyle w:val="a"/>
        <w:rPr>
          <w:rFonts w:eastAsiaTheme="minorEastAsia" w:cstheme="minorBidi"/>
          <w:noProof/>
          <w:sz w:val="22"/>
          <w:szCs w:val="22"/>
          <w:rtl/>
        </w:rPr>
      </w:pPr>
      <w:r>
        <w:rPr>
          <w:noProof/>
          <w:rtl/>
        </w:rPr>
        <w:t>דברי הביה"ל דדוקא לרבנן שרוב עדיף מחזקה אמרינן סמל"ח רק במיעוט שמגרע את הרוב</w:t>
      </w:r>
    </w:p>
    <w:p w14:paraId="081DC89F" w14:textId="77777777" w:rsidR="00916CBE" w:rsidRDefault="00916CBE" w:rsidP="005077A7">
      <w:pPr>
        <w:pStyle w:val="a"/>
        <w:rPr>
          <w:rFonts w:eastAsiaTheme="minorEastAsia" w:cstheme="minorBidi"/>
          <w:noProof/>
          <w:sz w:val="22"/>
          <w:szCs w:val="22"/>
          <w:rtl/>
        </w:rPr>
      </w:pPr>
      <w:r>
        <w:rPr>
          <w:noProof/>
          <w:rtl/>
        </w:rPr>
        <w:t>דברי הביה"ל דלר"מ דרוב וחזקה הוא ספק השקול אף במיעוט שאינו מגרע את הרוב אמרינן סמל"ח</w:t>
      </w:r>
    </w:p>
    <w:p w14:paraId="79A61FCD" w14:textId="77777777" w:rsidR="00916CBE" w:rsidRDefault="00916CBE" w:rsidP="00F31B7C">
      <w:pPr>
        <w:pStyle w:val="aff4"/>
        <w:rPr>
          <w:rFonts w:eastAsiaTheme="minorEastAsia" w:cstheme="minorBidi"/>
          <w:i/>
          <w:iCs/>
          <w:noProof/>
          <w:sz w:val="22"/>
          <w:szCs w:val="22"/>
          <w:rtl/>
        </w:rPr>
      </w:pPr>
      <w:bookmarkStart w:id="11026" w:name="_Toc19435743"/>
      <w:bookmarkStart w:id="11027" w:name="_Toc20081002"/>
      <w:r>
        <w:rPr>
          <w:noProof/>
          <w:rtl/>
        </w:rPr>
        <w:t>דברי הגרעק"א בסמוך מיעוטא דסריסים להרשב"א והרא"ה</w:t>
      </w:r>
      <w:bookmarkEnd w:id="11026"/>
      <w:bookmarkEnd w:id="11027"/>
    </w:p>
    <w:p w14:paraId="751EE378" w14:textId="77777777" w:rsidR="00916CBE" w:rsidRDefault="00916CBE" w:rsidP="005077A7">
      <w:pPr>
        <w:pStyle w:val="a"/>
        <w:rPr>
          <w:rFonts w:eastAsiaTheme="minorEastAsia" w:cstheme="minorBidi"/>
          <w:noProof/>
          <w:sz w:val="22"/>
          <w:szCs w:val="22"/>
          <w:rtl/>
        </w:rPr>
      </w:pPr>
      <w:r>
        <w:rPr>
          <w:noProof/>
          <w:rtl/>
        </w:rPr>
        <w:t>קושיית הגרעק"א דלדעת הראשונים דלרבנן אמרינן סמל"ח נסמוך מיעוט קטנים לחזקת אשת אח</w:t>
      </w:r>
    </w:p>
    <w:p w14:paraId="3D09774B" w14:textId="77777777" w:rsidR="00916CBE" w:rsidRDefault="00916CBE" w:rsidP="005077A7">
      <w:pPr>
        <w:pStyle w:val="a"/>
        <w:rPr>
          <w:rFonts w:eastAsiaTheme="minorEastAsia" w:cstheme="minorBidi"/>
          <w:noProof/>
          <w:sz w:val="22"/>
          <w:szCs w:val="22"/>
          <w:rtl/>
        </w:rPr>
      </w:pPr>
      <w:r>
        <w:rPr>
          <w:noProof/>
          <w:rtl/>
        </w:rPr>
        <w:t>תירוץ הגר"ש איגר דהמיעוט סריסים אינו מכח הרוב ולהרשב"א לא אמרינן ביה סמל"ח</w:t>
      </w:r>
    </w:p>
    <w:p w14:paraId="2F324619" w14:textId="77777777" w:rsidR="00916CBE" w:rsidRDefault="00916CBE" w:rsidP="005077A7">
      <w:pPr>
        <w:pStyle w:val="a"/>
        <w:rPr>
          <w:rFonts w:eastAsiaTheme="minorEastAsia" w:cstheme="minorBidi"/>
          <w:noProof/>
          <w:sz w:val="22"/>
          <w:szCs w:val="22"/>
        </w:rPr>
      </w:pPr>
      <w:r>
        <w:rPr>
          <w:noProof/>
          <w:rtl/>
        </w:rPr>
        <w:t>קושיית הגרעק"א דלדברי הרא"ה אף במיעוט שאינו מתוך הרוב אמרינן סמוך מיעוטא לחזקה</w:t>
      </w:r>
    </w:p>
    <w:p w14:paraId="36B7FC5B" w14:textId="77777777" w:rsidR="00916CBE" w:rsidRDefault="00916CBE" w:rsidP="00F31B7C">
      <w:pPr>
        <w:pStyle w:val="2"/>
        <w:keepNext w:val="0"/>
        <w:keepLines w:val="0"/>
        <w:rPr>
          <w:rFonts w:eastAsiaTheme="minorEastAsia" w:cstheme="minorBidi"/>
          <w:i/>
          <w:iCs/>
          <w:noProof/>
          <w:sz w:val="22"/>
          <w:szCs w:val="22"/>
          <w:rtl/>
        </w:rPr>
      </w:pPr>
      <w:bookmarkStart w:id="11028" w:name="_Toc19435744"/>
      <w:r>
        <w:rPr>
          <w:noProof/>
          <w:rtl/>
        </w:rPr>
        <w:t>בגדר סמוך מיעוטא לחזקה</w:t>
      </w:r>
      <w:bookmarkEnd w:id="11028"/>
    </w:p>
    <w:p w14:paraId="4B590FA4" w14:textId="77777777" w:rsidR="00916CBE" w:rsidRDefault="00916CBE" w:rsidP="00F31B7C">
      <w:pPr>
        <w:pStyle w:val="aff4"/>
        <w:rPr>
          <w:rFonts w:eastAsiaTheme="minorEastAsia" w:cstheme="minorBidi"/>
          <w:i/>
          <w:iCs/>
          <w:noProof/>
          <w:sz w:val="22"/>
          <w:szCs w:val="22"/>
          <w:rtl/>
        </w:rPr>
      </w:pPr>
      <w:bookmarkStart w:id="11029" w:name="_Toc19435745"/>
      <w:bookmarkStart w:id="11030" w:name="_Toc20081003"/>
      <w:r>
        <w:rPr>
          <w:noProof/>
          <w:rtl/>
        </w:rPr>
        <w:t>ביאור המהרש"א והגרעק"א בדברי רש"י בדעת ר"מ לקמן</w:t>
      </w:r>
      <w:bookmarkEnd w:id="11029"/>
      <w:bookmarkEnd w:id="11030"/>
    </w:p>
    <w:p w14:paraId="32B9E597" w14:textId="77777777" w:rsidR="00916CBE" w:rsidRDefault="00916CBE" w:rsidP="005077A7">
      <w:pPr>
        <w:pStyle w:val="a"/>
        <w:rPr>
          <w:rFonts w:eastAsiaTheme="minorEastAsia" w:cstheme="minorBidi"/>
          <w:noProof/>
          <w:sz w:val="22"/>
          <w:szCs w:val="22"/>
          <w:rtl/>
        </w:rPr>
      </w:pPr>
      <w:r>
        <w:rPr>
          <w:noProof/>
          <w:rtl/>
        </w:rPr>
        <w:t>דברי רש"י דר"מ התיר באותו ואת בנו רק ע"י רוב וחזקה ולא ע"י המיעוט לבד דחייש למיעוטא</w:t>
      </w:r>
    </w:p>
    <w:p w14:paraId="20A9919F" w14:textId="77777777" w:rsidR="00916CBE" w:rsidRDefault="00916CBE" w:rsidP="005077A7">
      <w:pPr>
        <w:pStyle w:val="a"/>
        <w:rPr>
          <w:rFonts w:eastAsiaTheme="minorEastAsia" w:cstheme="minorBidi"/>
          <w:noProof/>
          <w:sz w:val="22"/>
          <w:szCs w:val="22"/>
          <w:rtl/>
        </w:rPr>
      </w:pPr>
      <w:r>
        <w:rPr>
          <w:noProof/>
          <w:rtl/>
        </w:rPr>
        <w:t>ביאור הגרעק"א דקושיית הגמ' לרש"י דהמיעוט והחזקה עדיפי מהרוב דחשיב כמיעוט</w:t>
      </w:r>
    </w:p>
    <w:p w14:paraId="24444A58" w14:textId="77777777" w:rsidR="00916CBE" w:rsidRDefault="00916CBE" w:rsidP="005077A7">
      <w:pPr>
        <w:pStyle w:val="a"/>
        <w:rPr>
          <w:rFonts w:eastAsiaTheme="minorEastAsia" w:cstheme="minorBidi"/>
          <w:noProof/>
          <w:sz w:val="22"/>
          <w:szCs w:val="22"/>
          <w:rtl/>
        </w:rPr>
      </w:pPr>
      <w:r>
        <w:rPr>
          <w:noProof/>
          <w:rtl/>
        </w:rPr>
        <w:t>ביאור הגרעק"א בתירוץ הגמ' לרש"י דאף שהרוב כמיעוט מ"מ ר"מ חייש למיעוטא</w:t>
      </w:r>
    </w:p>
    <w:p w14:paraId="6AE4D3AE" w14:textId="77777777" w:rsidR="00916CBE" w:rsidRDefault="00916CBE" w:rsidP="005077A7">
      <w:pPr>
        <w:pStyle w:val="a"/>
        <w:rPr>
          <w:rFonts w:eastAsiaTheme="minorEastAsia" w:cstheme="minorBidi"/>
          <w:noProof/>
          <w:sz w:val="22"/>
          <w:szCs w:val="22"/>
          <w:rtl/>
        </w:rPr>
      </w:pPr>
      <w:r>
        <w:rPr>
          <w:noProof/>
          <w:rtl/>
        </w:rPr>
        <w:t>ביאור המהרש"א ברש"י דדוקא כשיש רוב וחזקה לא חייש ר"מ למיעוט שהוא כמיעוטא דמיעוטא</w:t>
      </w:r>
    </w:p>
    <w:p w14:paraId="67999F83" w14:textId="77777777" w:rsidR="00916CBE" w:rsidRDefault="00916CBE" w:rsidP="00F31B7C">
      <w:pPr>
        <w:pStyle w:val="aff4"/>
        <w:rPr>
          <w:rFonts w:eastAsiaTheme="minorEastAsia" w:cstheme="minorBidi"/>
          <w:i/>
          <w:iCs/>
          <w:noProof/>
          <w:sz w:val="22"/>
          <w:szCs w:val="22"/>
          <w:rtl/>
        </w:rPr>
      </w:pPr>
      <w:bookmarkStart w:id="11031" w:name="_Toc19435746"/>
      <w:bookmarkStart w:id="11032" w:name="_Toc20081004"/>
      <w:r>
        <w:rPr>
          <w:noProof/>
          <w:rtl/>
        </w:rPr>
        <w:t>ביאור המהרש"א והגרעק"א בדברי תוס' בדעת רבנן לקמן</w:t>
      </w:r>
      <w:bookmarkEnd w:id="11031"/>
      <w:bookmarkEnd w:id="11032"/>
    </w:p>
    <w:p w14:paraId="0B89549C" w14:textId="77777777" w:rsidR="00916CBE" w:rsidRDefault="00916CBE" w:rsidP="005077A7">
      <w:pPr>
        <w:pStyle w:val="a"/>
        <w:rPr>
          <w:rFonts w:eastAsiaTheme="minorEastAsia" w:cstheme="minorBidi"/>
          <w:noProof/>
          <w:sz w:val="22"/>
          <w:szCs w:val="22"/>
          <w:rtl/>
        </w:rPr>
      </w:pPr>
      <w:r>
        <w:rPr>
          <w:noProof/>
          <w:rtl/>
        </w:rPr>
        <w:t>קושית התוס' אמאי לרבנן אסור לאכול משחיטת חש"ו ואין לוקין עליהם מדין אותו ואת בנו</w:t>
      </w:r>
    </w:p>
    <w:p w14:paraId="2E7FAD5B" w14:textId="77777777" w:rsidR="00916CBE" w:rsidRDefault="00916CBE" w:rsidP="005077A7">
      <w:pPr>
        <w:pStyle w:val="a"/>
        <w:rPr>
          <w:rFonts w:eastAsiaTheme="minorEastAsia" w:cstheme="minorBidi"/>
          <w:noProof/>
          <w:sz w:val="22"/>
          <w:szCs w:val="22"/>
          <w:rtl/>
        </w:rPr>
      </w:pPr>
      <w:r>
        <w:rPr>
          <w:noProof/>
          <w:rtl/>
        </w:rPr>
        <w:t>דברי המהרש"א דהסתפקו רבנן אי סמוך מיעוטא לחזקה הוי כפלגא ופלגא או דעדיף מהרוב</w:t>
      </w:r>
    </w:p>
    <w:p w14:paraId="732A36E0" w14:textId="77777777" w:rsidR="00916CBE" w:rsidRDefault="00916CBE" w:rsidP="005077A7">
      <w:pPr>
        <w:pStyle w:val="a"/>
        <w:rPr>
          <w:rFonts w:eastAsiaTheme="minorEastAsia" w:cstheme="minorBidi"/>
          <w:noProof/>
          <w:sz w:val="22"/>
          <w:szCs w:val="22"/>
          <w:rtl/>
        </w:rPr>
      </w:pPr>
      <w:r>
        <w:rPr>
          <w:noProof/>
          <w:rtl/>
        </w:rPr>
        <w:t>דברי הגרעק"א בדעת הרשב"א דלרבנן סמוך מיעוטא לחזקה הוי כפלגא ופלגא וא"א להתיר מספק</w:t>
      </w:r>
    </w:p>
    <w:p w14:paraId="35881FC5" w14:textId="77777777" w:rsidR="00916CBE" w:rsidRDefault="00916CBE" w:rsidP="005077A7">
      <w:pPr>
        <w:pStyle w:val="a"/>
        <w:rPr>
          <w:rFonts w:eastAsiaTheme="minorEastAsia" w:cstheme="minorBidi"/>
          <w:noProof/>
          <w:sz w:val="22"/>
          <w:szCs w:val="22"/>
          <w:rtl/>
        </w:rPr>
      </w:pPr>
      <w:r>
        <w:rPr>
          <w:noProof/>
          <w:rtl/>
        </w:rPr>
        <w:t>דברי הגרעק"א דלר"מ בסמוך מיעוטא לחזקה המיעוט עדיף מהרוב</w:t>
      </w:r>
    </w:p>
    <w:p w14:paraId="42378DBA" w14:textId="77777777" w:rsidR="00916CBE" w:rsidRDefault="00916CBE" w:rsidP="005077A7">
      <w:pPr>
        <w:pStyle w:val="a"/>
        <w:rPr>
          <w:rFonts w:eastAsiaTheme="minorEastAsia" w:cstheme="minorBidi"/>
          <w:noProof/>
          <w:sz w:val="22"/>
          <w:szCs w:val="22"/>
          <w:rtl/>
        </w:rPr>
      </w:pPr>
      <w:r>
        <w:rPr>
          <w:noProof/>
          <w:rtl/>
        </w:rPr>
        <w:t>דברי הגרעק"א דמבואר בתוס' לקמן דלרבנן לא אמרינן סמוך מיעוטא לחזקה כלל</w:t>
      </w:r>
    </w:p>
    <w:p w14:paraId="6844E525" w14:textId="77777777" w:rsidR="00916CBE" w:rsidRDefault="00916CBE" w:rsidP="00F31B7C">
      <w:pPr>
        <w:pStyle w:val="2"/>
        <w:keepNext w:val="0"/>
        <w:keepLines w:val="0"/>
        <w:rPr>
          <w:rFonts w:eastAsiaTheme="minorEastAsia" w:cstheme="minorBidi"/>
          <w:i/>
          <w:iCs/>
          <w:noProof/>
          <w:sz w:val="22"/>
          <w:szCs w:val="22"/>
          <w:rtl/>
        </w:rPr>
      </w:pPr>
      <w:bookmarkStart w:id="11033" w:name="_Toc19435747"/>
      <w:r>
        <w:rPr>
          <w:noProof/>
          <w:rtl/>
        </w:rPr>
        <w:t>בגדר המיעוט ברובא דא"ק ורובא דל"ק</w:t>
      </w:r>
      <w:bookmarkEnd w:id="11033"/>
    </w:p>
    <w:p w14:paraId="3617AEB5" w14:textId="77777777" w:rsidR="00916CBE" w:rsidRDefault="00916CBE" w:rsidP="005077A7">
      <w:pPr>
        <w:pStyle w:val="a"/>
        <w:rPr>
          <w:rFonts w:eastAsiaTheme="minorEastAsia" w:cstheme="minorBidi"/>
          <w:noProof/>
          <w:sz w:val="22"/>
          <w:szCs w:val="22"/>
          <w:rtl/>
        </w:rPr>
      </w:pPr>
      <w:r>
        <w:rPr>
          <w:noProof/>
          <w:rtl/>
        </w:rPr>
        <w:t>דברי החוו"ד דברובא דאיתא קמן א"א לסמוך את המיעוט לחזקה דהוא כמאן דליתא</w:t>
      </w:r>
    </w:p>
    <w:p w14:paraId="45962FAB" w14:textId="77777777" w:rsidR="00916CBE" w:rsidRDefault="00916CBE" w:rsidP="005077A7">
      <w:pPr>
        <w:pStyle w:val="a"/>
        <w:rPr>
          <w:rFonts w:eastAsiaTheme="minorEastAsia" w:cstheme="minorBidi"/>
          <w:noProof/>
          <w:sz w:val="22"/>
          <w:szCs w:val="22"/>
          <w:rtl/>
        </w:rPr>
      </w:pPr>
      <w:r>
        <w:rPr>
          <w:noProof/>
          <w:rtl/>
        </w:rPr>
        <w:t>ביאור האבאה"ז דהרמב"ן מסתפק אי ברובא דאיתא קמן אמרינן סמוך מיעוטא לחזקה</w:t>
      </w:r>
    </w:p>
    <w:p w14:paraId="2DAF8BC3" w14:textId="77777777" w:rsidR="00916CBE" w:rsidRDefault="00916CBE" w:rsidP="00F31B7C">
      <w:pPr>
        <w:pStyle w:val="aff4"/>
        <w:rPr>
          <w:rFonts w:eastAsiaTheme="minorEastAsia" w:cstheme="minorBidi"/>
          <w:i/>
          <w:iCs/>
          <w:noProof/>
          <w:sz w:val="22"/>
          <w:szCs w:val="22"/>
          <w:rtl/>
        </w:rPr>
      </w:pPr>
      <w:bookmarkStart w:id="11034" w:name="_Toc19435748"/>
      <w:bookmarkStart w:id="11035" w:name="_Toc20081005"/>
      <w:r>
        <w:rPr>
          <w:noProof/>
          <w:rtl/>
        </w:rPr>
        <w:t>ספק הגרעק"א בדעת הר"ן בסמוך מיעוטא לפלגא ברובא דא"ק</w:t>
      </w:r>
      <w:bookmarkEnd w:id="11034"/>
      <w:bookmarkEnd w:id="11035"/>
    </w:p>
    <w:p w14:paraId="42918D1C" w14:textId="77777777" w:rsidR="00916CBE" w:rsidRDefault="00916CBE" w:rsidP="005077A7">
      <w:pPr>
        <w:pStyle w:val="a"/>
        <w:rPr>
          <w:rFonts w:eastAsiaTheme="minorEastAsia" w:cstheme="minorBidi"/>
          <w:noProof/>
          <w:sz w:val="22"/>
          <w:szCs w:val="22"/>
          <w:rtl/>
        </w:rPr>
      </w:pPr>
      <w:r>
        <w:rPr>
          <w:noProof/>
          <w:rtl/>
        </w:rPr>
        <w:t>דברי הגרעק"א דכיון דברובא דאיתא קמן המיעוט כמי שאינו משמע דא"א לסומכו לפלגא</w:t>
      </w:r>
    </w:p>
    <w:p w14:paraId="64DF39C5" w14:textId="77777777" w:rsidR="00916CBE" w:rsidRDefault="00916CBE" w:rsidP="005077A7">
      <w:pPr>
        <w:pStyle w:val="a"/>
        <w:rPr>
          <w:rFonts w:eastAsiaTheme="minorEastAsia" w:cstheme="minorBidi"/>
          <w:noProof/>
          <w:sz w:val="22"/>
          <w:szCs w:val="22"/>
          <w:rtl/>
        </w:rPr>
      </w:pPr>
      <w:r>
        <w:rPr>
          <w:noProof/>
          <w:rtl/>
        </w:rPr>
        <w:t>דחיית הגרעק"א דכל דברי הר"ן הם לדעת ר"מ אבל סמוך מיעוטא לפלגא לרבנן סמכינן</w:t>
      </w:r>
    </w:p>
    <w:p w14:paraId="62B82929" w14:textId="77777777" w:rsidR="00916CBE" w:rsidRDefault="00916CBE" w:rsidP="005077A7">
      <w:pPr>
        <w:pStyle w:val="a"/>
        <w:rPr>
          <w:rFonts w:eastAsiaTheme="minorEastAsia" w:cstheme="minorBidi"/>
          <w:noProof/>
          <w:sz w:val="22"/>
          <w:szCs w:val="22"/>
          <w:rtl/>
        </w:rPr>
      </w:pPr>
      <w:r>
        <w:rPr>
          <w:noProof/>
          <w:rtl/>
        </w:rPr>
        <w:t>ספק הגרעק"א דהא אף לרבנן המיעוט כמי שאינו ולא סמכינן מיעוט לחזקה לחומרא</w:t>
      </w:r>
    </w:p>
    <w:p w14:paraId="4E0FE7A1" w14:textId="77777777" w:rsidR="00916CBE" w:rsidRDefault="00916CBE" w:rsidP="005077A7">
      <w:pPr>
        <w:pStyle w:val="a"/>
        <w:rPr>
          <w:rFonts w:eastAsiaTheme="minorEastAsia" w:cstheme="minorBidi"/>
          <w:noProof/>
          <w:sz w:val="22"/>
          <w:szCs w:val="22"/>
          <w:rtl/>
        </w:rPr>
      </w:pPr>
      <w:r>
        <w:rPr>
          <w:noProof/>
          <w:rtl/>
        </w:rPr>
        <w:t>ביאור הגרעק"א דכיון דהמיעוט ברובא דא"ק כמי שאינו א"א לומר בממון סמוך מיעוטא למוחזק</w:t>
      </w:r>
    </w:p>
    <w:p w14:paraId="5335EE3E" w14:textId="77777777" w:rsidR="00916CBE" w:rsidRDefault="00916CBE" w:rsidP="00F31B7C">
      <w:pPr>
        <w:pStyle w:val="aff4"/>
        <w:rPr>
          <w:rFonts w:eastAsiaTheme="minorEastAsia" w:cstheme="minorBidi"/>
          <w:i/>
          <w:iCs/>
          <w:noProof/>
          <w:sz w:val="22"/>
          <w:szCs w:val="22"/>
          <w:rtl/>
        </w:rPr>
      </w:pPr>
      <w:bookmarkStart w:id="11036" w:name="_Toc19435749"/>
      <w:bookmarkStart w:id="11037" w:name="_Toc20081006"/>
      <w:r>
        <w:rPr>
          <w:noProof/>
          <w:rtl/>
        </w:rPr>
        <w:t>דעת התוס' והר"ן דברובא דא"ק לכו"ע לא חיישינן למיעוטא</w:t>
      </w:r>
      <w:bookmarkEnd w:id="11036"/>
      <w:bookmarkEnd w:id="11037"/>
    </w:p>
    <w:p w14:paraId="5701A9CC" w14:textId="77777777" w:rsidR="00916CBE" w:rsidRDefault="00916CBE" w:rsidP="005077A7">
      <w:pPr>
        <w:pStyle w:val="a"/>
        <w:rPr>
          <w:rFonts w:eastAsiaTheme="minorEastAsia" w:cstheme="minorBidi"/>
          <w:noProof/>
          <w:sz w:val="22"/>
          <w:szCs w:val="22"/>
          <w:rtl/>
        </w:rPr>
      </w:pPr>
      <w:r>
        <w:rPr>
          <w:noProof/>
          <w:rtl/>
        </w:rPr>
        <w:t>דברי הר"ן דמהא דא"א ללמוד רובא דליתא קמן מדיינים מוכח דלא חיישינן בו למיעוט</w:t>
      </w:r>
    </w:p>
    <w:p w14:paraId="75DBD8D0" w14:textId="77777777" w:rsidR="00916CBE" w:rsidRDefault="00916CBE" w:rsidP="005077A7">
      <w:pPr>
        <w:pStyle w:val="a"/>
        <w:rPr>
          <w:rFonts w:eastAsiaTheme="minorEastAsia" w:cstheme="minorBidi"/>
          <w:noProof/>
          <w:sz w:val="22"/>
          <w:szCs w:val="22"/>
          <w:rtl/>
        </w:rPr>
      </w:pPr>
      <w:r>
        <w:rPr>
          <w:noProof/>
          <w:rtl/>
        </w:rPr>
        <w:t>ביאור הר"ן דברובא דא"ק הרוב שלפנינו מבטל את המיעוט לגמרי וברובא דל"ק המיעוט לא בטל</w:t>
      </w:r>
    </w:p>
    <w:p w14:paraId="0E199E60" w14:textId="77777777" w:rsidR="00916CBE" w:rsidRDefault="00916CBE" w:rsidP="005077A7">
      <w:pPr>
        <w:pStyle w:val="a"/>
        <w:rPr>
          <w:rFonts w:eastAsiaTheme="minorEastAsia" w:cstheme="minorBidi"/>
          <w:noProof/>
          <w:sz w:val="22"/>
          <w:szCs w:val="22"/>
          <w:rtl/>
        </w:rPr>
      </w:pPr>
      <w:r>
        <w:rPr>
          <w:noProof/>
          <w:rtl/>
        </w:rPr>
        <w:t>דברי התוס' ביבמות ובבכורות והמרדכי דברובא דאיתא קמן אף ר"מ לא חייש למיעוטא</w:t>
      </w:r>
    </w:p>
    <w:p w14:paraId="07DD7144" w14:textId="77777777" w:rsidR="00916CBE" w:rsidRDefault="00916CBE" w:rsidP="00F31B7C">
      <w:pPr>
        <w:pStyle w:val="aff4"/>
        <w:rPr>
          <w:rFonts w:eastAsiaTheme="minorEastAsia" w:cstheme="minorBidi"/>
          <w:i/>
          <w:iCs/>
          <w:noProof/>
          <w:sz w:val="22"/>
          <w:szCs w:val="22"/>
          <w:rtl/>
        </w:rPr>
      </w:pPr>
      <w:bookmarkStart w:id="11038" w:name="_Toc19435750"/>
      <w:bookmarkStart w:id="11039" w:name="_Toc20081007"/>
      <w:r>
        <w:rPr>
          <w:noProof/>
          <w:rtl/>
        </w:rPr>
        <w:t>משמעות הר"ש והרשב"א דברובא דא"ק סמכינן מיעוטא לחזקה</w:t>
      </w:r>
      <w:bookmarkEnd w:id="11038"/>
      <w:bookmarkEnd w:id="11039"/>
    </w:p>
    <w:p w14:paraId="554EED82" w14:textId="77777777" w:rsidR="00916CBE" w:rsidRDefault="00916CBE" w:rsidP="005077A7">
      <w:pPr>
        <w:pStyle w:val="a"/>
        <w:rPr>
          <w:rFonts w:eastAsiaTheme="minorEastAsia" w:cstheme="minorBidi"/>
          <w:noProof/>
          <w:sz w:val="22"/>
          <w:szCs w:val="22"/>
          <w:rtl/>
        </w:rPr>
      </w:pPr>
      <w:r>
        <w:rPr>
          <w:noProof/>
          <w:rtl/>
        </w:rPr>
        <w:t>קושית האו"ש דבר"ש משמע דאף ברובא דאיתא קמן שייך לומר סמוך מיעוטא לחזקה לר"מ</w:t>
      </w:r>
    </w:p>
    <w:p w14:paraId="4FFA69B8" w14:textId="77777777" w:rsidR="00916CBE" w:rsidRDefault="00916CBE" w:rsidP="005077A7">
      <w:pPr>
        <w:pStyle w:val="a"/>
        <w:rPr>
          <w:rFonts w:eastAsiaTheme="minorEastAsia" w:cstheme="minorBidi"/>
          <w:noProof/>
          <w:sz w:val="22"/>
          <w:szCs w:val="22"/>
          <w:rtl/>
        </w:rPr>
      </w:pPr>
      <w:r>
        <w:rPr>
          <w:noProof/>
          <w:rtl/>
        </w:rPr>
        <w:t>משמעות הרשב"א דאף ברובא דאיתא קמן שייך לומר סמוך מיעוטא לחזקה</w:t>
      </w:r>
    </w:p>
    <w:p w14:paraId="54B69B59" w14:textId="77777777" w:rsidR="00916CBE" w:rsidRDefault="00916CBE" w:rsidP="00F31B7C">
      <w:pPr>
        <w:pStyle w:val="aff4"/>
        <w:rPr>
          <w:rFonts w:eastAsiaTheme="minorEastAsia" w:cstheme="minorBidi"/>
          <w:i/>
          <w:iCs/>
          <w:noProof/>
          <w:sz w:val="22"/>
          <w:szCs w:val="22"/>
          <w:rtl/>
        </w:rPr>
      </w:pPr>
      <w:bookmarkStart w:id="11040" w:name="_Toc19435751"/>
      <w:bookmarkStart w:id="11041" w:name="_Toc20081008"/>
      <w:r>
        <w:rPr>
          <w:noProof/>
          <w:rtl/>
        </w:rPr>
        <w:t>דעת רש"י דברובא דא"ק לא אמרינן סמוך מיעוטא לחזקה</w:t>
      </w:r>
      <w:bookmarkEnd w:id="11040"/>
      <w:bookmarkEnd w:id="11041"/>
    </w:p>
    <w:p w14:paraId="7C72878F" w14:textId="77777777" w:rsidR="00916CBE" w:rsidRDefault="00916CBE" w:rsidP="005077A7">
      <w:pPr>
        <w:pStyle w:val="a"/>
        <w:rPr>
          <w:rFonts w:eastAsiaTheme="minorEastAsia" w:cstheme="minorBidi"/>
          <w:noProof/>
          <w:sz w:val="22"/>
          <w:szCs w:val="22"/>
          <w:rtl/>
        </w:rPr>
      </w:pPr>
      <w:r>
        <w:rPr>
          <w:noProof/>
          <w:rtl/>
        </w:rPr>
        <w:t>דחיית הגרעק"א דדעת רש"י דבתינוק הוא רובא דא"ק ולא אמרינן ביה סמוך מיעוטא לחזקה</w:t>
      </w:r>
    </w:p>
    <w:p w14:paraId="50C77E2C" w14:textId="77777777" w:rsidR="00916CBE" w:rsidRDefault="00916CBE" w:rsidP="00F31B7C">
      <w:pPr>
        <w:pStyle w:val="aff4"/>
        <w:rPr>
          <w:rtl/>
        </w:rPr>
        <w:sectPr w:rsidR="00916CBE" w:rsidSect="00463352">
          <w:type w:val="continuous"/>
          <w:pgSz w:w="11906" w:h="16838"/>
          <w:pgMar w:top="720" w:right="720" w:bottom="720" w:left="720" w:header="283" w:footer="283" w:gutter="0"/>
          <w:cols w:num="2" w:space="113"/>
          <w:bidi/>
          <w:rtlGutter/>
          <w:docGrid w:linePitch="299"/>
        </w:sectPr>
      </w:pPr>
      <w:r>
        <w:rPr>
          <w:rtl/>
        </w:rPr>
        <w:fldChar w:fldCharType="end"/>
      </w:r>
    </w:p>
    <w:p w14:paraId="10403654" w14:textId="77777777" w:rsidR="00F31B7C" w:rsidRDefault="00F31B7C" w:rsidP="00916CBE">
      <w:pPr>
        <w:tabs>
          <w:tab w:val="center" w:pos="5658"/>
        </w:tabs>
        <w:rPr>
          <w:rtl/>
        </w:rPr>
        <w:sectPr w:rsidR="00F31B7C" w:rsidSect="00DE671B">
          <w:footerReference w:type="default" r:id="rId77"/>
          <w:type w:val="continuous"/>
          <w:pgSz w:w="11906" w:h="16838"/>
          <w:pgMar w:top="720" w:right="720" w:bottom="720" w:left="720" w:header="283" w:footer="283" w:gutter="0"/>
          <w:pgNumType w:start="1"/>
          <w:cols w:space="720"/>
          <w:bidi/>
          <w:rtlGutter/>
          <w:docGrid w:linePitch="299"/>
        </w:sectPr>
      </w:pPr>
    </w:p>
    <w:p w14:paraId="0A70EDEA" w14:textId="77777777" w:rsidR="005E1F6B" w:rsidRDefault="006027E4" w:rsidP="006D6D32">
      <w:pPr>
        <w:pStyle w:val="afe"/>
        <w:rPr>
          <w:rtl/>
        </w:rPr>
        <w:sectPr w:rsidR="005E1F6B" w:rsidSect="00463352">
          <w:pgSz w:w="11906" w:h="16838"/>
          <w:pgMar w:top="720" w:right="720" w:bottom="720" w:left="720" w:header="283" w:footer="283" w:gutter="0"/>
          <w:pgNumType w:start="137"/>
          <w:cols w:space="720"/>
          <w:bidi/>
          <w:rtlGutter/>
          <w:docGrid w:linePitch="299"/>
        </w:sectPr>
      </w:pPr>
      <w:bookmarkStart w:id="11042" w:name="_Toc531023254"/>
      <w:bookmarkStart w:id="11043" w:name="_Toc531106294"/>
      <w:bookmarkStart w:id="11044" w:name="_Toc531111207"/>
      <w:bookmarkStart w:id="11045" w:name="_Toc531158307"/>
      <w:bookmarkStart w:id="11046" w:name="_Toc531182418"/>
      <w:bookmarkStart w:id="11047" w:name="_Toc19435752"/>
      <w:bookmarkStart w:id="11048" w:name="_Toc20081009"/>
      <w:r>
        <w:rPr>
          <w:rFonts w:hint="cs"/>
          <w:rtl/>
        </w:rPr>
        <w:t>מראי מקומות וביאורים על הסוגיא</w:t>
      </w:r>
      <w:bookmarkEnd w:id="11042"/>
      <w:bookmarkEnd w:id="11043"/>
      <w:bookmarkEnd w:id="11044"/>
      <w:bookmarkEnd w:id="11045"/>
      <w:bookmarkEnd w:id="11046"/>
      <w:bookmarkEnd w:id="11047"/>
      <w:bookmarkEnd w:id="11048"/>
    </w:p>
    <w:p w14:paraId="2963E2BB" w14:textId="77777777" w:rsidR="005E1F6B" w:rsidRDefault="0008550B" w:rsidP="006D6D32">
      <w:pPr>
        <w:pStyle w:val="afe"/>
        <w:rPr>
          <w:rtl/>
        </w:rPr>
      </w:pPr>
      <w:bookmarkStart w:id="11049" w:name="_Toc19435753"/>
      <w:bookmarkStart w:id="11050" w:name="_Toc20081010"/>
      <w:r>
        <w:rPr>
          <w:rFonts w:hint="cs"/>
          <w:rtl/>
        </w:rPr>
        <w:t>ר</w:t>
      </w:r>
      <w:r w:rsidR="005E1F6B">
        <w:rPr>
          <w:rFonts w:hint="cs"/>
          <w:rtl/>
        </w:rPr>
        <w:t>"מ חייש למיעוטא מדאו' או מדרבנן</w:t>
      </w:r>
      <w:bookmarkEnd w:id="11049"/>
      <w:bookmarkEnd w:id="11050"/>
    </w:p>
    <w:p w14:paraId="77FDE6AA" w14:textId="77777777" w:rsidR="005E1F6B" w:rsidRPr="003B2E9D" w:rsidRDefault="005E1F6B" w:rsidP="00BF39B2">
      <w:pPr>
        <w:pStyle w:val="1"/>
        <w:rPr>
          <w:rtl/>
        </w:rPr>
      </w:pPr>
      <w:bookmarkStart w:id="11051" w:name="_Toc530583082"/>
      <w:bookmarkStart w:id="11052" w:name="_Toc530647760"/>
      <w:bookmarkStart w:id="11053" w:name="_Toc531023256"/>
      <w:bookmarkStart w:id="11054" w:name="_Toc531106296"/>
      <w:bookmarkStart w:id="11055" w:name="_Toc531111209"/>
      <w:bookmarkStart w:id="11056" w:name="_Toc531158309"/>
      <w:bookmarkStart w:id="11057" w:name="_Toc531182420"/>
      <w:bookmarkStart w:id="11058" w:name="_Toc19390423"/>
      <w:bookmarkStart w:id="11059" w:name="_Toc19393920"/>
      <w:r w:rsidRPr="003B2E9D">
        <w:rPr>
          <w:rFonts w:hint="cs"/>
          <w:rtl/>
        </w:rPr>
        <w:t>דעת התוס' דחייש ר"מ למיעוטא</w:t>
      </w:r>
      <w:bookmarkEnd w:id="11051"/>
      <w:bookmarkEnd w:id="11052"/>
      <w:r w:rsidRPr="00B36D51">
        <w:rPr>
          <w:rFonts w:hint="cs"/>
          <w:rtl/>
        </w:rPr>
        <w:t xml:space="preserve"> </w:t>
      </w:r>
      <w:r>
        <w:rPr>
          <w:rFonts w:hint="cs"/>
          <w:rtl/>
        </w:rPr>
        <w:t>רק מדרבנן</w:t>
      </w:r>
      <w:bookmarkEnd w:id="11053"/>
      <w:bookmarkEnd w:id="11054"/>
      <w:bookmarkEnd w:id="11055"/>
      <w:bookmarkEnd w:id="11056"/>
      <w:bookmarkEnd w:id="11057"/>
      <w:bookmarkEnd w:id="11058"/>
      <w:bookmarkEnd w:id="11059"/>
    </w:p>
    <w:p w14:paraId="6286F394" w14:textId="77777777" w:rsidR="005E1F6B" w:rsidRPr="003B2E9D" w:rsidRDefault="005E1F6B" w:rsidP="006D6D32">
      <w:pPr>
        <w:pStyle w:val="a3"/>
        <w:rPr>
          <w:rtl/>
        </w:rPr>
      </w:pPr>
      <w:bookmarkStart w:id="11060" w:name="_Toc531111210"/>
      <w:bookmarkStart w:id="11061" w:name="_Toc531158310"/>
      <w:bookmarkStart w:id="11062" w:name="_Toc531182421"/>
      <w:bookmarkStart w:id="11063" w:name="_Toc19390424"/>
      <w:bookmarkStart w:id="11064" w:name="_Toc19393921"/>
      <w:r>
        <w:rPr>
          <w:rFonts w:hint="cs"/>
          <w:rtl/>
        </w:rPr>
        <w:t>קושית הראשונים האיך מותר לאכול בשר תאוה לר"מ</w:t>
      </w:r>
      <w:bookmarkEnd w:id="11060"/>
      <w:bookmarkEnd w:id="11061"/>
      <w:bookmarkEnd w:id="11062"/>
      <w:bookmarkEnd w:id="11063"/>
      <w:bookmarkEnd w:id="11064"/>
    </w:p>
    <w:p w14:paraId="6E3B5D4A" w14:textId="77777777" w:rsidR="005E1F6B" w:rsidRPr="00720C4E" w:rsidRDefault="005E1F6B" w:rsidP="00E12979">
      <w:pPr>
        <w:pStyle w:val="a0"/>
        <w:numPr>
          <w:ilvl w:val="0"/>
          <w:numId w:val="13"/>
        </w:numPr>
        <w:rPr>
          <w:rtl/>
        </w:rPr>
      </w:pPr>
      <w:bookmarkStart w:id="11065" w:name="_Ref531018863"/>
      <w:r>
        <w:rPr>
          <w:rFonts w:hint="cs"/>
          <w:rtl/>
        </w:rPr>
        <w:t xml:space="preserve">הקשו </w:t>
      </w:r>
      <w:r w:rsidRPr="003B2E9D">
        <w:rPr>
          <w:rStyle w:val="af9"/>
          <w:rFonts w:hint="cs"/>
          <w:rtl/>
        </w:rPr>
        <w:t>התוס'</w:t>
      </w:r>
      <w:r>
        <w:rPr>
          <w:rFonts w:hint="cs"/>
          <w:rtl/>
        </w:rPr>
        <w:t xml:space="preserve"> </w:t>
      </w:r>
      <w:r w:rsidRPr="00223668">
        <w:rPr>
          <w:rStyle w:val="af7"/>
          <w:rFonts w:eastAsia="Guttman Hodes" w:hint="cs"/>
          <w:rtl/>
        </w:rPr>
        <w:t>(יב. ד"ה פסח)</w:t>
      </w:r>
      <w:r w:rsidRPr="003B2E9D">
        <w:rPr>
          <w:rStyle w:val="af9"/>
          <w:rFonts w:hint="cs"/>
          <w:rtl/>
        </w:rPr>
        <w:t xml:space="preserve"> והתוס' הרא"ש </w:t>
      </w:r>
      <w:r w:rsidRPr="00223668">
        <w:rPr>
          <w:rStyle w:val="af7"/>
          <w:rFonts w:eastAsia="Guttman Hodes" w:hint="cs"/>
          <w:rtl/>
        </w:rPr>
        <w:t>(יב. ד"ה פסח)</w:t>
      </w:r>
      <w:r w:rsidRPr="00720C4E">
        <w:rPr>
          <w:rFonts w:hint="cs"/>
          <w:rtl/>
        </w:rPr>
        <w:t xml:space="preserve"> אמאי לא מקשה הגמ' היאך ר"מ אכל בשר תאוה, שהתירתו תורה דכתיב "כי ירחק וגו' וזבחת ואכלת", וכן הקשו </w:t>
      </w:r>
      <w:r w:rsidRPr="00720C4E">
        <w:rPr>
          <w:rStyle w:val="af9"/>
          <w:rFonts w:hint="cs"/>
          <w:rtl/>
        </w:rPr>
        <w:t>הרמב"ן</w:t>
      </w:r>
      <w:r w:rsidRPr="00720C4E">
        <w:rPr>
          <w:rFonts w:hint="cs"/>
          <w:rtl/>
        </w:rPr>
        <w:t xml:space="preserve"> </w:t>
      </w:r>
      <w:r w:rsidRPr="00223668">
        <w:rPr>
          <w:rStyle w:val="af7"/>
          <w:rFonts w:eastAsia="Guttman Hodes" w:hint="cs"/>
          <w:rtl/>
        </w:rPr>
        <w:t xml:space="preserve">(יא: ד"ה וכ"ת) </w:t>
      </w:r>
      <w:r w:rsidRPr="00720C4E">
        <w:rPr>
          <w:rStyle w:val="af9"/>
          <w:rFonts w:hint="cs"/>
          <w:rtl/>
        </w:rPr>
        <w:t>והרשב"א</w:t>
      </w:r>
      <w:r w:rsidRPr="00720C4E">
        <w:rPr>
          <w:rFonts w:hint="cs"/>
          <w:rtl/>
        </w:rPr>
        <w:t xml:space="preserve"> </w:t>
      </w:r>
      <w:r w:rsidRPr="00223668">
        <w:rPr>
          <w:rStyle w:val="af7"/>
          <w:rFonts w:eastAsia="Guttman Hodes" w:hint="cs"/>
          <w:rtl/>
        </w:rPr>
        <w:t xml:space="preserve">(יא: ד"ה וכ"ת) </w:t>
      </w:r>
      <w:r w:rsidRPr="00720C4E">
        <w:rPr>
          <w:rStyle w:val="af9"/>
          <w:rFonts w:hint="cs"/>
          <w:rtl/>
        </w:rPr>
        <w:t>והר"ן בחי'</w:t>
      </w:r>
      <w:r w:rsidRPr="00720C4E">
        <w:rPr>
          <w:rFonts w:hint="cs"/>
          <w:rtl/>
        </w:rPr>
        <w:t xml:space="preserve"> </w:t>
      </w:r>
      <w:r w:rsidRPr="00223668">
        <w:rPr>
          <w:rStyle w:val="af7"/>
          <w:rFonts w:eastAsia="Guttman Hodes" w:hint="cs"/>
          <w:rtl/>
        </w:rPr>
        <w:t>(יא: ד"ה וכ"ת)</w:t>
      </w:r>
      <w:r w:rsidRPr="00720C4E">
        <w:rPr>
          <w:rFonts w:hint="cs"/>
          <w:rtl/>
        </w:rPr>
        <w:t>.</w:t>
      </w:r>
      <w:bookmarkEnd w:id="11065"/>
    </w:p>
    <w:p w14:paraId="7676C8A1" w14:textId="77777777" w:rsidR="005E1F6B" w:rsidRDefault="005E1F6B" w:rsidP="006D6D32">
      <w:pPr>
        <w:pStyle w:val="a3"/>
        <w:rPr>
          <w:rtl/>
        </w:rPr>
      </w:pPr>
      <w:bookmarkStart w:id="11066" w:name="_Toc531111211"/>
      <w:bookmarkStart w:id="11067" w:name="_Toc531158311"/>
      <w:bookmarkStart w:id="11068" w:name="_Toc531182422"/>
      <w:bookmarkStart w:id="11069" w:name="_Toc19390425"/>
      <w:bookmarkStart w:id="11070" w:name="_Toc19393922"/>
      <w:r>
        <w:rPr>
          <w:rFonts w:hint="cs"/>
          <w:rtl/>
        </w:rPr>
        <w:t>תירוץ התוס' דאף לר"מ מדאו' לא חיישינן למיעוט ואפש"ל דמדרבנן אסור לאכול בשר תאוה</w:t>
      </w:r>
      <w:bookmarkEnd w:id="11066"/>
      <w:bookmarkEnd w:id="11067"/>
      <w:bookmarkEnd w:id="11068"/>
      <w:bookmarkEnd w:id="11069"/>
      <w:bookmarkEnd w:id="11070"/>
    </w:p>
    <w:p w14:paraId="45FBC64B" w14:textId="77777777" w:rsidR="005E1F6B" w:rsidRDefault="005E1F6B" w:rsidP="00223668">
      <w:pPr>
        <w:pStyle w:val="a0"/>
        <w:rPr>
          <w:rStyle w:val="afb"/>
          <w:rtl/>
        </w:rPr>
      </w:pPr>
      <w:bookmarkStart w:id="11071" w:name="_Ref530582402"/>
      <w:bookmarkStart w:id="11072" w:name="_Ref530936362"/>
      <w:r>
        <w:rPr>
          <w:rFonts w:hint="cs"/>
          <w:rtl/>
        </w:rPr>
        <w:t xml:space="preserve">ותירצו </w:t>
      </w:r>
      <w:r w:rsidRPr="003B2E9D">
        <w:rPr>
          <w:rStyle w:val="af9"/>
          <w:rFonts w:hint="cs"/>
          <w:rtl/>
        </w:rPr>
        <w:t xml:space="preserve">התוס' והתוס' הרא"ש </w:t>
      </w:r>
      <w:r>
        <w:rPr>
          <w:rFonts w:hint="cs"/>
          <w:rtl/>
        </w:rPr>
        <w:t xml:space="preserve">דמדאו' אף לר"מ לא חיישינן למיעוטא, ורק מדרבנן חיישינן, ולכן מקשה הגמ' דאף אם נאמר דהחמיר ר"מ דמדרבנן אסור לאכול בשר תאוה כלל, מ"מ אינו יכול להחמיר שלא לאכול פסח וקדשים, ועי' בדברי </w:t>
      </w:r>
      <w:r w:rsidRPr="00B949AF">
        <w:rPr>
          <w:rStyle w:val="af9"/>
          <w:rFonts w:hint="cs"/>
          <w:rtl/>
        </w:rPr>
        <w:t>השיטמ"ק</w:t>
      </w:r>
      <w:r>
        <w:rPr>
          <w:rFonts w:hint="cs"/>
          <w:rtl/>
        </w:rPr>
        <w:t xml:space="preserve"> </w:t>
      </w:r>
      <w:r w:rsidRPr="00B949AF">
        <w:rPr>
          <w:rStyle w:val="af7"/>
          <w:rFonts w:eastAsia="Guttman Hodes" w:hint="cs"/>
          <w:rtl/>
        </w:rPr>
        <w:t>(</w:t>
      </w:r>
      <w:r>
        <w:rPr>
          <w:rStyle w:val="af7"/>
          <w:rFonts w:eastAsia="Guttman Hodes" w:hint="cs"/>
          <w:rtl/>
        </w:rPr>
        <w:t xml:space="preserve">יא: </w:t>
      </w:r>
      <w:r w:rsidRPr="00B949AF">
        <w:rPr>
          <w:rStyle w:val="af7"/>
          <w:rFonts w:eastAsia="Guttman Hodes" w:hint="cs"/>
          <w:rtl/>
        </w:rPr>
        <w:t xml:space="preserve">ד"ה אבל התוס') </w:t>
      </w:r>
      <w:r>
        <w:rPr>
          <w:rFonts w:hint="cs"/>
          <w:rtl/>
        </w:rPr>
        <w:t xml:space="preserve">במה שביאר את קושיית הגמ' על ר"מ לדעת </w:t>
      </w:r>
      <w:r w:rsidRPr="00B949AF">
        <w:rPr>
          <w:rStyle w:val="af9"/>
          <w:rFonts w:hint="cs"/>
          <w:rtl/>
        </w:rPr>
        <w:t>התוס'</w:t>
      </w:r>
      <w:r>
        <w:rPr>
          <w:rFonts w:hint="cs"/>
          <w:rtl/>
        </w:rPr>
        <w:t>.</w:t>
      </w:r>
      <w:bookmarkEnd w:id="11071"/>
      <w:bookmarkEnd w:id="11072"/>
    </w:p>
    <w:p w14:paraId="66F3042F" w14:textId="77777777" w:rsidR="005E1F6B" w:rsidRDefault="005E1F6B" w:rsidP="006D6D32">
      <w:pPr>
        <w:pStyle w:val="a3"/>
        <w:rPr>
          <w:rtl/>
        </w:rPr>
      </w:pPr>
      <w:bookmarkStart w:id="11073" w:name="_Toc531111212"/>
      <w:bookmarkStart w:id="11074" w:name="_Toc531158312"/>
      <w:bookmarkStart w:id="11075" w:name="_Toc531182423"/>
      <w:bookmarkStart w:id="11076" w:name="_Toc19390426"/>
      <w:bookmarkStart w:id="11077" w:name="_Toc19393923"/>
      <w:r>
        <w:rPr>
          <w:rFonts w:hint="cs"/>
          <w:rtl/>
        </w:rPr>
        <w:t>דברי התוס' בבכורות דר"מ חייש למיעוטא רק מדרבנן</w:t>
      </w:r>
      <w:bookmarkEnd w:id="11073"/>
      <w:bookmarkEnd w:id="11074"/>
      <w:bookmarkEnd w:id="11075"/>
      <w:bookmarkEnd w:id="11076"/>
      <w:bookmarkEnd w:id="11077"/>
      <w:r>
        <w:rPr>
          <w:rFonts w:hint="cs"/>
          <w:rtl/>
        </w:rPr>
        <w:t xml:space="preserve"> </w:t>
      </w:r>
    </w:p>
    <w:p w14:paraId="13F47038" w14:textId="77777777" w:rsidR="005E1F6B" w:rsidRDefault="005E1F6B" w:rsidP="00223668">
      <w:pPr>
        <w:pStyle w:val="a0"/>
        <w:rPr>
          <w:rtl/>
        </w:rPr>
      </w:pPr>
      <w:bookmarkStart w:id="11078" w:name="_Toc530583083"/>
      <w:bookmarkStart w:id="11079" w:name="_Toc530647761"/>
      <w:r w:rsidRPr="00880F3A">
        <w:rPr>
          <w:rStyle w:val="af9"/>
          <w:rFonts w:hint="cs"/>
          <w:rtl/>
        </w:rPr>
        <w:t>ובתוס' בבכורות</w:t>
      </w:r>
      <w:r>
        <w:rPr>
          <w:rFonts w:hint="cs"/>
          <w:rtl/>
        </w:rPr>
        <w:t xml:space="preserve"> </w:t>
      </w:r>
      <w:r w:rsidRPr="00880F3A">
        <w:rPr>
          <w:rStyle w:val="af7"/>
          <w:rFonts w:eastAsia="Guttman Hodes" w:hint="cs"/>
          <w:rtl/>
        </w:rPr>
        <w:t>(כ. ד"ה ואב"א)</w:t>
      </w:r>
      <w:r>
        <w:rPr>
          <w:rFonts w:hint="cs"/>
          <w:rtl/>
        </w:rPr>
        <w:t xml:space="preserve"> כתבו דאף דאיתא בגמ' בבכורות </w:t>
      </w:r>
      <w:r w:rsidRPr="00880F3A">
        <w:rPr>
          <w:rStyle w:val="af7"/>
          <w:rFonts w:eastAsia="Guttman Hodes" w:hint="cs"/>
          <w:rtl/>
        </w:rPr>
        <w:t>(כ.)</w:t>
      </w:r>
      <w:r>
        <w:rPr>
          <w:rFonts w:hint="cs"/>
          <w:rtl/>
        </w:rPr>
        <w:t xml:space="preserve"> דר"מ חייש למיעוטא אף לקולא, מ"מ א"א להוכיח מזה דמדאו' חייש ר"מ למיעוטא, דכוונת הגמ' שם לענין דיני ממונות, דר"מ חייש למיעוטא להקל שאין לבהמה דין בכור ואינו חייב לתתו לכהן, כיון דבממון לא אזלינן בתר רובא, ועוד תירצו </w:t>
      </w:r>
      <w:r w:rsidRPr="00880F3A">
        <w:rPr>
          <w:rStyle w:val="af9"/>
          <w:rFonts w:hint="cs"/>
          <w:rtl/>
        </w:rPr>
        <w:t>התוס' בבכורות</w:t>
      </w:r>
      <w:r>
        <w:rPr>
          <w:rFonts w:hint="cs"/>
          <w:rtl/>
        </w:rPr>
        <w:t xml:space="preserve"> ששם יש </w:t>
      </w:r>
      <w:r w:rsidRPr="002213B8">
        <w:rPr>
          <w:rFonts w:hint="cs"/>
          <w:rtl/>
        </w:rPr>
        <w:t>רוב אחר</w:t>
      </w:r>
      <w:r>
        <w:rPr>
          <w:rFonts w:hint="cs"/>
          <w:rtl/>
        </w:rPr>
        <w:t xml:space="preserve"> שמסייע למיעוט </w:t>
      </w:r>
      <w:r w:rsidRPr="00880F3A">
        <w:rPr>
          <w:rStyle w:val="afb"/>
          <w:rFonts w:hint="cs"/>
          <w:rtl/>
        </w:rPr>
        <w:t>[דרוב בהמות מתעברות כשמגיע זמנם להתעבר]</w:t>
      </w:r>
      <w:r>
        <w:rPr>
          <w:rFonts w:hint="cs"/>
          <w:rtl/>
        </w:rPr>
        <w:t>, ובמקום שיש רוב שמסייע למיעוט חייש ר"מ למיעוטא אף מדאו'.</w:t>
      </w:r>
    </w:p>
    <w:p w14:paraId="2381D276" w14:textId="77777777" w:rsidR="005E1F6B" w:rsidRDefault="005E1F6B" w:rsidP="006D6D32">
      <w:pPr>
        <w:pStyle w:val="a3"/>
        <w:rPr>
          <w:rtl/>
        </w:rPr>
      </w:pPr>
      <w:bookmarkStart w:id="11080" w:name="_Toc531111213"/>
      <w:bookmarkStart w:id="11081" w:name="_Toc531158313"/>
      <w:bookmarkStart w:id="11082" w:name="_Toc531182424"/>
      <w:bookmarkStart w:id="11083" w:name="_Toc19390427"/>
      <w:bookmarkStart w:id="11084" w:name="_Toc19393924"/>
      <w:r>
        <w:rPr>
          <w:rFonts w:hint="cs"/>
          <w:rtl/>
        </w:rPr>
        <w:t>דברי התוס' בבכורות דמדגזר ר"מ בגבינות בית אונייקי מוכח דמדאו' לא חיישינן למיעוטא</w:t>
      </w:r>
      <w:bookmarkEnd w:id="11080"/>
      <w:bookmarkEnd w:id="11081"/>
      <w:bookmarkEnd w:id="11082"/>
      <w:bookmarkEnd w:id="11083"/>
      <w:bookmarkEnd w:id="11084"/>
    </w:p>
    <w:p w14:paraId="4673C299" w14:textId="77777777" w:rsidR="005E1F6B" w:rsidRPr="00A41A1D" w:rsidRDefault="005E1F6B" w:rsidP="00223668">
      <w:pPr>
        <w:pStyle w:val="a0"/>
        <w:rPr>
          <w:rtl/>
        </w:rPr>
      </w:pPr>
      <w:r>
        <w:rPr>
          <w:rFonts w:hint="cs"/>
          <w:rtl/>
        </w:rPr>
        <w:t xml:space="preserve">והביאו </w:t>
      </w:r>
      <w:r w:rsidRPr="00A41A1D">
        <w:rPr>
          <w:rStyle w:val="af9"/>
          <w:rFonts w:hint="cs"/>
          <w:rtl/>
        </w:rPr>
        <w:t>התוס' בבכורות</w:t>
      </w:r>
      <w:r>
        <w:rPr>
          <w:rFonts w:hint="cs"/>
          <w:rtl/>
        </w:rPr>
        <w:t xml:space="preserve"> ראיה דמדאו' ר"מ לא חייש למיעוטא, מהגמ' בע"ז </w:t>
      </w:r>
      <w:r w:rsidRPr="00A41A1D">
        <w:rPr>
          <w:rStyle w:val="af7"/>
          <w:rFonts w:eastAsia="Guttman Hodes" w:hint="cs"/>
          <w:rtl/>
        </w:rPr>
        <w:t>(לד:)</w:t>
      </w:r>
      <w:r>
        <w:rPr>
          <w:rFonts w:hint="cs"/>
          <w:rtl/>
        </w:rPr>
        <w:t xml:space="preserve"> דבגבינות בית אונייקי, חייש ר"מ למיעוטא, וגזר דהגבינות יהיו אסורות ברוב המקומות, אטו מיעוט מקומות שהם אסורות מדינא, ומשמע דרק מגזירה דרבנן אסר ר"מ את הרוב, ולא מחמת דחייש למיעוטא מדאו'.</w:t>
      </w:r>
    </w:p>
    <w:p w14:paraId="61FD373B" w14:textId="77777777" w:rsidR="005E1F6B" w:rsidRDefault="005E1F6B" w:rsidP="00BF39B2">
      <w:pPr>
        <w:pStyle w:val="1"/>
        <w:rPr>
          <w:rtl/>
        </w:rPr>
      </w:pPr>
      <w:bookmarkStart w:id="11085" w:name="_Toc531023257"/>
      <w:bookmarkStart w:id="11086" w:name="_Toc531106297"/>
      <w:bookmarkStart w:id="11087" w:name="_Toc531111214"/>
      <w:bookmarkStart w:id="11088" w:name="_Toc531158314"/>
      <w:bookmarkStart w:id="11089" w:name="_Toc531182425"/>
      <w:bookmarkStart w:id="11090" w:name="_Toc19390428"/>
      <w:bookmarkStart w:id="11091" w:name="_Toc19393925"/>
      <w:r>
        <w:rPr>
          <w:rFonts w:hint="cs"/>
          <w:rtl/>
        </w:rPr>
        <w:t>דעת הראשונים דר"מ חייש למיעוטא</w:t>
      </w:r>
      <w:bookmarkEnd w:id="11078"/>
      <w:bookmarkEnd w:id="11079"/>
      <w:r w:rsidRPr="00B36D51">
        <w:rPr>
          <w:rFonts w:hint="cs"/>
          <w:rtl/>
        </w:rPr>
        <w:t xml:space="preserve"> </w:t>
      </w:r>
      <w:r>
        <w:rPr>
          <w:rFonts w:hint="cs"/>
          <w:rtl/>
        </w:rPr>
        <w:t>מדאו'</w:t>
      </w:r>
      <w:bookmarkEnd w:id="11085"/>
      <w:bookmarkEnd w:id="11086"/>
      <w:bookmarkEnd w:id="11087"/>
      <w:bookmarkEnd w:id="11088"/>
      <w:bookmarkEnd w:id="11089"/>
      <w:bookmarkEnd w:id="11090"/>
      <w:bookmarkEnd w:id="11091"/>
    </w:p>
    <w:p w14:paraId="4A3CAF7F" w14:textId="77777777" w:rsidR="005E1F6B" w:rsidRDefault="005E1F6B" w:rsidP="006D6D32">
      <w:pPr>
        <w:pStyle w:val="a3"/>
        <w:rPr>
          <w:rtl/>
        </w:rPr>
      </w:pPr>
      <w:bookmarkStart w:id="11092" w:name="_Toc531111215"/>
      <w:bookmarkStart w:id="11093" w:name="_Toc531158315"/>
      <w:bookmarkStart w:id="11094" w:name="_Toc531182426"/>
      <w:bookmarkStart w:id="11095" w:name="_Toc19390429"/>
      <w:bookmarkStart w:id="11096" w:name="_Toc19393926"/>
      <w:r>
        <w:rPr>
          <w:rFonts w:hint="cs"/>
          <w:rtl/>
        </w:rPr>
        <w:t>תירוץ הרמב"ן והרשב"א והר"ן דבשר תאוה הוא היתר כנגד יצר הרע ולכן קשה רק מקדשים</w:t>
      </w:r>
      <w:bookmarkEnd w:id="11092"/>
      <w:bookmarkEnd w:id="11093"/>
      <w:bookmarkEnd w:id="11094"/>
      <w:bookmarkEnd w:id="11095"/>
      <w:bookmarkEnd w:id="11096"/>
    </w:p>
    <w:p w14:paraId="1525658B" w14:textId="77777777" w:rsidR="005E1F6B" w:rsidRDefault="005E1F6B" w:rsidP="00223668">
      <w:pPr>
        <w:pStyle w:val="a0"/>
        <w:rPr>
          <w:rtl/>
        </w:rPr>
      </w:pPr>
      <w:r>
        <w:rPr>
          <w:rFonts w:hint="cs"/>
          <w:rtl/>
        </w:rPr>
        <w:t xml:space="preserve">אבל </w:t>
      </w:r>
      <w:r w:rsidRPr="00397FCB">
        <w:rPr>
          <w:rStyle w:val="af9"/>
          <w:rFonts w:hint="cs"/>
          <w:rtl/>
        </w:rPr>
        <w:t>הרמב"ן</w:t>
      </w:r>
      <w:r>
        <w:rPr>
          <w:rFonts w:hint="cs"/>
          <w:rtl/>
        </w:rPr>
        <w:t xml:space="preserve"> </w:t>
      </w:r>
      <w:r w:rsidRPr="00397FCB">
        <w:rPr>
          <w:rStyle w:val="af7"/>
          <w:rFonts w:eastAsia="Guttman Hodes" w:hint="cs"/>
          <w:rtl/>
        </w:rPr>
        <w:t>(</w:t>
      </w:r>
      <w:r>
        <w:rPr>
          <w:rStyle w:val="af7"/>
          <w:rFonts w:eastAsia="Guttman Hodes" w:hint="cs"/>
          <w:rtl/>
        </w:rPr>
        <w:t xml:space="preserve">יא: </w:t>
      </w:r>
      <w:r w:rsidRPr="00397FCB">
        <w:rPr>
          <w:rStyle w:val="af7"/>
          <w:rFonts w:eastAsia="Guttman Hodes" w:hint="cs"/>
          <w:rtl/>
        </w:rPr>
        <w:t xml:space="preserve">ד"ה וכ"ת) </w:t>
      </w:r>
      <w:r w:rsidRPr="00397FCB">
        <w:rPr>
          <w:rStyle w:val="af9"/>
          <w:rFonts w:hint="cs"/>
          <w:rtl/>
        </w:rPr>
        <w:t>והרשב"א</w:t>
      </w:r>
      <w:r>
        <w:rPr>
          <w:rFonts w:hint="cs"/>
          <w:rtl/>
        </w:rPr>
        <w:t xml:space="preserve"> </w:t>
      </w:r>
      <w:r w:rsidRPr="00397FCB">
        <w:rPr>
          <w:rStyle w:val="af7"/>
          <w:rFonts w:eastAsia="Guttman Hodes" w:hint="cs"/>
          <w:rtl/>
        </w:rPr>
        <w:t>(</w:t>
      </w:r>
      <w:r>
        <w:rPr>
          <w:rStyle w:val="af7"/>
          <w:rFonts w:eastAsia="Guttman Hodes" w:hint="cs"/>
          <w:rtl/>
        </w:rPr>
        <w:t xml:space="preserve">יא: </w:t>
      </w:r>
      <w:r w:rsidRPr="00397FCB">
        <w:rPr>
          <w:rStyle w:val="af7"/>
          <w:rFonts w:eastAsia="Guttman Hodes" w:hint="cs"/>
          <w:rtl/>
        </w:rPr>
        <w:t xml:space="preserve">ד"ה וכ"ת) </w:t>
      </w:r>
      <w:r w:rsidRPr="00397FCB">
        <w:rPr>
          <w:rStyle w:val="af9"/>
          <w:rFonts w:hint="cs"/>
          <w:rtl/>
        </w:rPr>
        <w:t>והר</w:t>
      </w:r>
      <w:r w:rsidRPr="008F47C6">
        <w:rPr>
          <w:rStyle w:val="af9"/>
          <w:rFonts w:hint="cs"/>
          <w:rtl/>
        </w:rPr>
        <w:t>"ן בחי'</w:t>
      </w:r>
      <w:r>
        <w:rPr>
          <w:rFonts w:hint="cs"/>
          <w:rtl/>
        </w:rPr>
        <w:t xml:space="preserve"> </w:t>
      </w:r>
      <w:r w:rsidRPr="00397FCB">
        <w:rPr>
          <w:rStyle w:val="af7"/>
          <w:rFonts w:eastAsia="Guttman Hodes" w:hint="cs"/>
          <w:rtl/>
        </w:rPr>
        <w:t>(</w:t>
      </w:r>
      <w:r>
        <w:rPr>
          <w:rStyle w:val="af7"/>
          <w:rFonts w:eastAsia="Guttman Hodes" w:hint="cs"/>
          <w:rtl/>
        </w:rPr>
        <w:t xml:space="preserve">יא: </w:t>
      </w:r>
      <w:r w:rsidRPr="00397FCB">
        <w:rPr>
          <w:rStyle w:val="af7"/>
          <w:rFonts w:eastAsia="Guttman Hodes" w:hint="cs"/>
          <w:rtl/>
        </w:rPr>
        <w:t xml:space="preserve">ד"ה וכ"ת) </w:t>
      </w:r>
      <w:r>
        <w:rPr>
          <w:rFonts w:hint="cs"/>
          <w:rtl/>
        </w:rPr>
        <w:t xml:space="preserve">תירצו את קושית </w:t>
      </w:r>
      <w:r w:rsidRPr="00C06188">
        <w:rPr>
          <w:rStyle w:val="af9"/>
          <w:rFonts w:hint="cs"/>
          <w:rtl/>
        </w:rPr>
        <w:t xml:space="preserve">התוס' </w:t>
      </w:r>
      <w:r w:rsidRPr="00C06188">
        <w:rPr>
          <w:rStyle w:val="af7"/>
          <w:rFonts w:eastAsia="Guttman Hodes" w:hint="cs"/>
          <w:rtl/>
        </w:rPr>
        <w:t xml:space="preserve">(עי' אות </w:t>
      </w:r>
      <w:r w:rsidRPr="00C06188">
        <w:rPr>
          <w:rStyle w:val="af7"/>
          <w:rFonts w:eastAsia="Guttman Hodes"/>
          <w:rtl/>
        </w:rPr>
        <w:fldChar w:fldCharType="begin"/>
      </w:r>
      <w:r w:rsidRPr="00C06188">
        <w:rPr>
          <w:rStyle w:val="af7"/>
          <w:rFonts w:eastAsia="Guttman Hodes"/>
          <w:rtl/>
        </w:rPr>
        <w:instrText xml:space="preserve"> </w:instrText>
      </w:r>
      <w:r w:rsidRPr="00C06188">
        <w:rPr>
          <w:rStyle w:val="af7"/>
          <w:rFonts w:eastAsia="Guttman Hodes" w:hint="cs"/>
        </w:rPr>
        <w:instrText>REF</w:instrText>
      </w:r>
      <w:r w:rsidRPr="00C06188">
        <w:rPr>
          <w:rStyle w:val="af7"/>
          <w:rFonts w:eastAsia="Guttman Hodes" w:hint="cs"/>
          <w:rtl/>
        </w:rPr>
        <w:instrText xml:space="preserve"> _</w:instrText>
      </w:r>
      <w:r w:rsidRPr="00C06188">
        <w:rPr>
          <w:rStyle w:val="af7"/>
          <w:rFonts w:eastAsia="Guttman Hodes" w:hint="cs"/>
        </w:rPr>
        <w:instrText>Ref531018863 \r \h</w:instrText>
      </w:r>
      <w:r w:rsidRPr="00C06188">
        <w:rPr>
          <w:rStyle w:val="af7"/>
          <w:rFonts w:eastAsia="Guttman Hodes"/>
          <w:rtl/>
        </w:rPr>
        <w:instrText xml:space="preserve"> </w:instrText>
      </w:r>
      <w:r w:rsidRPr="00C06188">
        <w:rPr>
          <w:rStyle w:val="af7"/>
          <w:rFonts w:eastAsia="Guttman Hodes"/>
          <w:rtl/>
        </w:rPr>
      </w:r>
      <w:r w:rsidRPr="00C06188">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C06188">
        <w:rPr>
          <w:rStyle w:val="af7"/>
          <w:rFonts w:eastAsia="Guttman Hodes"/>
          <w:rtl/>
        </w:rPr>
        <w:fldChar w:fldCharType="end"/>
      </w:r>
      <w:r w:rsidRPr="00C06188">
        <w:rPr>
          <w:rStyle w:val="af7"/>
          <w:rFonts w:eastAsia="Guttman Hodes" w:hint="cs"/>
          <w:rtl/>
        </w:rPr>
        <w:t xml:space="preserve"> </w:t>
      </w:r>
      <w:r>
        <w:rPr>
          <w:rFonts w:hint="cs"/>
          <w:rtl/>
        </w:rPr>
        <w:t xml:space="preserve">דמבשר תאוה לא קשה לר"מ דהא יתכן לומר דהא דהתירה בשר תאוה היינו רק כנגד יצר הרע, וכהיתר דיפת תואר, דמוטב יאכלו בשר שחוטות מבשר נבילות, </w:t>
      </w:r>
      <w:r w:rsidRPr="00585186">
        <w:rPr>
          <w:rFonts w:hint="cs"/>
          <w:rtl/>
        </w:rPr>
        <w:t>ולכן מקשה הגמ' מפסח וקדשים, דאם היה צד איסור באכילתן דחיישינן למיעוט טריפות, לא היה דין לאוכלן כשהוא קרוב לתקלה.</w:t>
      </w:r>
    </w:p>
    <w:p w14:paraId="56B54722" w14:textId="77777777" w:rsidR="005E1F6B" w:rsidRPr="006C05B0" w:rsidRDefault="005E1F6B" w:rsidP="006D6D32">
      <w:pPr>
        <w:pStyle w:val="a3"/>
      </w:pPr>
      <w:bookmarkStart w:id="11097" w:name="_Toc531111216"/>
      <w:bookmarkStart w:id="11098" w:name="_Toc531158316"/>
      <w:bookmarkStart w:id="11099" w:name="_Toc531182427"/>
      <w:bookmarkStart w:id="11100" w:name="_Toc19390430"/>
      <w:bookmarkStart w:id="11101" w:name="_Toc19393927"/>
      <w:r>
        <w:rPr>
          <w:rFonts w:hint="cs"/>
          <w:rtl/>
        </w:rPr>
        <w:t>דברי הראש יוסף וה</w:t>
      </w:r>
      <w:r w:rsidR="00345400">
        <w:rPr>
          <w:rFonts w:hint="cs"/>
          <w:rtl/>
        </w:rPr>
        <w:t>פלתי</w:t>
      </w:r>
      <w:r>
        <w:rPr>
          <w:rFonts w:hint="cs"/>
          <w:rtl/>
        </w:rPr>
        <w:t xml:space="preserve"> דמבואר ברמב"ן וברשב"א ובר"ן דר"מ חייש למיעוטא מדאו'</w:t>
      </w:r>
      <w:bookmarkEnd w:id="11097"/>
      <w:bookmarkEnd w:id="11098"/>
      <w:bookmarkEnd w:id="11099"/>
      <w:bookmarkEnd w:id="11100"/>
      <w:bookmarkEnd w:id="11101"/>
    </w:p>
    <w:p w14:paraId="0376C1B1" w14:textId="77777777" w:rsidR="005E1F6B" w:rsidRDefault="005E1F6B" w:rsidP="00223668">
      <w:pPr>
        <w:pStyle w:val="a0"/>
        <w:rPr>
          <w:rtl/>
        </w:rPr>
      </w:pPr>
      <w:r w:rsidRPr="00041227">
        <w:rPr>
          <w:rFonts w:hint="cs"/>
          <w:rtl/>
        </w:rPr>
        <w:t>וכתב</w:t>
      </w:r>
      <w:r>
        <w:rPr>
          <w:rFonts w:hint="cs"/>
          <w:rtl/>
        </w:rPr>
        <w:t xml:space="preserve">ו </w:t>
      </w:r>
      <w:r w:rsidRPr="00F03DDD">
        <w:rPr>
          <w:rStyle w:val="af9"/>
          <w:rFonts w:hint="cs"/>
          <w:rtl/>
        </w:rPr>
        <w:t>הראש יוסף</w:t>
      </w:r>
      <w:r>
        <w:rPr>
          <w:rFonts w:hint="cs"/>
          <w:rtl/>
        </w:rPr>
        <w:t xml:space="preserve"> </w:t>
      </w:r>
      <w:r w:rsidRPr="00F03DDD">
        <w:rPr>
          <w:rStyle w:val="af7"/>
          <w:rFonts w:eastAsia="Guttman Hodes" w:hint="cs"/>
          <w:rtl/>
        </w:rPr>
        <w:t>(יב. ד"ה הלא כבר)</w:t>
      </w:r>
      <w:r w:rsidRPr="00041227">
        <w:rPr>
          <w:rFonts w:hint="cs"/>
          <w:rtl/>
        </w:rPr>
        <w:t xml:space="preserve"> </w:t>
      </w:r>
      <w:r>
        <w:rPr>
          <w:rStyle w:val="af9"/>
          <w:rFonts w:hint="cs"/>
          <w:rtl/>
        </w:rPr>
        <w:t>ו</w:t>
      </w:r>
      <w:r w:rsidRPr="000E2F75">
        <w:rPr>
          <w:rStyle w:val="af9"/>
          <w:rFonts w:hint="cs"/>
          <w:rtl/>
        </w:rPr>
        <w:t>ה</w:t>
      </w:r>
      <w:r w:rsidR="00345400">
        <w:rPr>
          <w:rStyle w:val="af9"/>
          <w:rFonts w:hint="cs"/>
          <w:rtl/>
        </w:rPr>
        <w:t>פלתי</w:t>
      </w:r>
      <w:r w:rsidRPr="00041227">
        <w:rPr>
          <w:rFonts w:hint="cs"/>
          <w:rtl/>
        </w:rPr>
        <w:t xml:space="preserve"> </w:t>
      </w:r>
      <w:r w:rsidRPr="000E2F75">
        <w:rPr>
          <w:rStyle w:val="af7"/>
          <w:rFonts w:eastAsia="Guttman Hodes" w:hint="cs"/>
          <w:rtl/>
        </w:rPr>
        <w:t xml:space="preserve">(סי' צ"ו סק"ב) </w:t>
      </w:r>
      <w:r w:rsidRPr="00041227">
        <w:rPr>
          <w:rFonts w:hint="cs"/>
          <w:rtl/>
        </w:rPr>
        <w:t xml:space="preserve">דמבואר מדברי </w:t>
      </w:r>
      <w:r w:rsidRPr="00041227">
        <w:rPr>
          <w:rStyle w:val="af9"/>
          <w:rFonts w:hint="cs"/>
          <w:rtl/>
        </w:rPr>
        <w:t>הרמב"ן והרשב"א והר"ן בחי'</w:t>
      </w:r>
      <w:r w:rsidRPr="00041227">
        <w:rPr>
          <w:rFonts w:hint="cs"/>
          <w:rtl/>
        </w:rPr>
        <w:t xml:space="preserve"> </w:t>
      </w:r>
      <w:r>
        <w:rPr>
          <w:rFonts w:hint="cs"/>
          <w:rtl/>
        </w:rPr>
        <w:t>ד</w:t>
      </w:r>
      <w:r w:rsidRPr="00041227">
        <w:rPr>
          <w:rFonts w:hint="cs"/>
          <w:rtl/>
        </w:rPr>
        <w:t>ר"מ חייש למיעוטא</w:t>
      </w:r>
      <w:r w:rsidRPr="00213F88">
        <w:rPr>
          <w:rFonts w:hint="cs"/>
          <w:rtl/>
        </w:rPr>
        <w:t xml:space="preserve"> </w:t>
      </w:r>
      <w:r>
        <w:rPr>
          <w:rFonts w:hint="cs"/>
          <w:rtl/>
        </w:rPr>
        <w:t xml:space="preserve">מדאו', ופליגי על </w:t>
      </w:r>
      <w:r w:rsidRPr="00041227">
        <w:rPr>
          <w:rFonts w:hint="cs"/>
          <w:rtl/>
        </w:rPr>
        <w:t xml:space="preserve"> </w:t>
      </w:r>
      <w:r>
        <w:rPr>
          <w:rStyle w:val="af9"/>
          <w:rFonts w:hint="cs"/>
          <w:rtl/>
        </w:rPr>
        <w:t>ה</w:t>
      </w:r>
      <w:r w:rsidRPr="00041227">
        <w:rPr>
          <w:rStyle w:val="af9"/>
          <w:rFonts w:hint="cs"/>
          <w:rtl/>
        </w:rPr>
        <w:t xml:space="preserve">תוס' </w:t>
      </w:r>
      <w:r w:rsidRPr="000E2F75">
        <w:rPr>
          <w:rStyle w:val="af7"/>
          <w:rFonts w:eastAsia="Guttman Hodes" w:hint="cs"/>
          <w:rtl/>
        </w:rPr>
        <w:t xml:space="preserve">(עי' אות </w:t>
      </w:r>
      <w:r w:rsidRPr="000E2F75">
        <w:rPr>
          <w:rStyle w:val="af7"/>
          <w:rFonts w:eastAsia="Guttman Hodes"/>
          <w:rtl/>
        </w:rPr>
        <w:fldChar w:fldCharType="begin"/>
      </w:r>
      <w:r w:rsidRPr="000E2F75">
        <w:rPr>
          <w:rStyle w:val="af7"/>
          <w:rFonts w:eastAsia="Guttman Hodes"/>
          <w:rtl/>
        </w:rPr>
        <w:instrText xml:space="preserve"> </w:instrText>
      </w:r>
      <w:r w:rsidRPr="000E2F75">
        <w:rPr>
          <w:rStyle w:val="af7"/>
          <w:rFonts w:eastAsia="Guttman Hodes" w:hint="cs"/>
        </w:rPr>
        <w:instrText>REF</w:instrText>
      </w:r>
      <w:r w:rsidRPr="000E2F75">
        <w:rPr>
          <w:rStyle w:val="af7"/>
          <w:rFonts w:eastAsia="Guttman Hodes" w:hint="cs"/>
          <w:rtl/>
        </w:rPr>
        <w:instrText xml:space="preserve"> _</w:instrText>
      </w:r>
      <w:r w:rsidRPr="000E2F75">
        <w:rPr>
          <w:rStyle w:val="af7"/>
          <w:rFonts w:eastAsia="Guttman Hodes" w:hint="cs"/>
        </w:rPr>
        <w:instrText>Ref530582402 \r \h</w:instrText>
      </w:r>
      <w:r w:rsidRPr="000E2F75">
        <w:rPr>
          <w:rStyle w:val="af7"/>
          <w:rFonts w:eastAsia="Guttman Hodes"/>
          <w:rtl/>
        </w:rPr>
        <w:instrText xml:space="preserve"> </w:instrText>
      </w:r>
      <w:r w:rsidRPr="000E2F75">
        <w:rPr>
          <w:rStyle w:val="af7"/>
          <w:rFonts w:eastAsia="Guttman Hodes"/>
          <w:rtl/>
        </w:rPr>
      </w:r>
      <w:r w:rsidRPr="000E2F75">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0E2F75">
        <w:rPr>
          <w:rStyle w:val="af7"/>
          <w:rFonts w:eastAsia="Guttman Hodes"/>
          <w:rtl/>
        </w:rPr>
        <w:fldChar w:fldCharType="end"/>
      </w:r>
      <w:r w:rsidRPr="000E2F75">
        <w:rPr>
          <w:rStyle w:val="af7"/>
          <w:rFonts w:eastAsia="Guttman Hodes" w:hint="cs"/>
          <w:rtl/>
        </w:rPr>
        <w:t xml:space="preserve"> </w:t>
      </w:r>
      <w:r w:rsidRPr="00041227">
        <w:rPr>
          <w:rFonts w:hint="cs"/>
          <w:rtl/>
        </w:rPr>
        <w:t>דכתב</w:t>
      </w:r>
      <w:r>
        <w:rPr>
          <w:rFonts w:hint="cs"/>
          <w:rtl/>
        </w:rPr>
        <w:t xml:space="preserve">ו דרק </w:t>
      </w:r>
      <w:r w:rsidRPr="00041227">
        <w:rPr>
          <w:rFonts w:hint="cs"/>
          <w:rtl/>
        </w:rPr>
        <w:t>מדרבנן</w:t>
      </w:r>
      <w:r w:rsidRPr="00213F88">
        <w:rPr>
          <w:rFonts w:hint="cs"/>
          <w:rtl/>
        </w:rPr>
        <w:t xml:space="preserve"> </w:t>
      </w:r>
      <w:r>
        <w:rPr>
          <w:rFonts w:hint="cs"/>
          <w:rtl/>
        </w:rPr>
        <w:t>חייש ר"מ למיעוטא</w:t>
      </w:r>
      <w:r w:rsidRPr="00041227">
        <w:rPr>
          <w:rFonts w:hint="cs"/>
          <w:rtl/>
        </w:rPr>
        <w:t>.</w:t>
      </w:r>
    </w:p>
    <w:p w14:paraId="7DF14AB6" w14:textId="77777777" w:rsidR="005E1F6B" w:rsidRDefault="005E1F6B" w:rsidP="006D6D32">
      <w:pPr>
        <w:pStyle w:val="a3"/>
        <w:rPr>
          <w:rtl/>
        </w:rPr>
      </w:pPr>
      <w:bookmarkStart w:id="11102" w:name="_Toc531111217"/>
      <w:bookmarkStart w:id="11103" w:name="_Toc531158317"/>
      <w:bookmarkStart w:id="11104" w:name="_Toc531182428"/>
      <w:bookmarkStart w:id="11105" w:name="_Toc19390431"/>
      <w:bookmarkStart w:id="11106" w:name="_Toc19393928"/>
      <w:r>
        <w:rPr>
          <w:rFonts w:hint="cs"/>
          <w:rtl/>
        </w:rPr>
        <w:t>דברי המרדכי דמוכח דר"מ חייש למיעוטא מדאו' מדלא תירצה הגמ' דבקדשים לא גזר ר"מ</w:t>
      </w:r>
      <w:bookmarkEnd w:id="11102"/>
      <w:bookmarkEnd w:id="11103"/>
      <w:bookmarkEnd w:id="11104"/>
      <w:bookmarkEnd w:id="11105"/>
      <w:bookmarkEnd w:id="11106"/>
    </w:p>
    <w:p w14:paraId="2CCC16CA" w14:textId="77777777" w:rsidR="005E1F6B" w:rsidRDefault="005E1F6B" w:rsidP="00223668">
      <w:pPr>
        <w:pStyle w:val="a0"/>
        <w:rPr>
          <w:rtl/>
        </w:rPr>
      </w:pPr>
      <w:r>
        <w:rPr>
          <w:rFonts w:hint="cs"/>
          <w:rtl/>
        </w:rPr>
        <w:t xml:space="preserve">וכ"כ להדיא </w:t>
      </w:r>
      <w:r w:rsidRPr="006903AF">
        <w:rPr>
          <w:rStyle w:val="af9"/>
          <w:rFonts w:hint="cs"/>
          <w:rtl/>
        </w:rPr>
        <w:t>במרדכי לקמן</w:t>
      </w:r>
      <w:r>
        <w:rPr>
          <w:rFonts w:hint="cs"/>
          <w:rtl/>
        </w:rPr>
        <w:t xml:space="preserve"> </w:t>
      </w:r>
      <w:r w:rsidRPr="006903AF">
        <w:rPr>
          <w:rStyle w:val="af7"/>
          <w:rFonts w:eastAsia="Guttman Hodes" w:hint="cs"/>
          <w:rtl/>
        </w:rPr>
        <w:t>(רמז תשל"ז)</w:t>
      </w:r>
      <w:r>
        <w:rPr>
          <w:rFonts w:hint="cs"/>
          <w:rtl/>
        </w:rPr>
        <w:t xml:space="preserve"> דמהא דמקשה הגמ' על ר"מ היאך אכיל פסח וקדשים, מבואר דמדאו' חייש ר"מ למיעוטא, דאי מדאו' לא חיישינן למיעוטא, היה לגמ' לתרץ דכיון דרק מדרבנן חיישינן למיעוטא, במצוה דאו' דאכילת קדשים העמיד ר"מ את דינו על דברי תורה, דלא חיישינן למיעוטא.</w:t>
      </w:r>
    </w:p>
    <w:p w14:paraId="2C9301CD" w14:textId="77777777" w:rsidR="005E1F6B" w:rsidRPr="00C658E7" w:rsidRDefault="005E1F6B" w:rsidP="006D6D32">
      <w:pPr>
        <w:pStyle w:val="a3"/>
        <w:rPr>
          <w:rtl/>
        </w:rPr>
      </w:pPr>
      <w:bookmarkStart w:id="11107" w:name="_Toc531111218"/>
      <w:bookmarkStart w:id="11108" w:name="_Toc531158318"/>
      <w:bookmarkStart w:id="11109" w:name="_Toc531182429"/>
      <w:bookmarkStart w:id="11110" w:name="_Toc19390432"/>
      <w:bookmarkStart w:id="11111" w:name="_Toc19393929"/>
      <w:r>
        <w:rPr>
          <w:rFonts w:hint="cs"/>
          <w:rtl/>
        </w:rPr>
        <w:t>דברי הרמב"ן והרשב"א דכיון שיש היתר מדאו' לסמוך על הרוב בקדשים אף בחולין מותר</w:t>
      </w:r>
      <w:bookmarkEnd w:id="11107"/>
      <w:bookmarkEnd w:id="11108"/>
      <w:bookmarkEnd w:id="11109"/>
      <w:bookmarkEnd w:id="11110"/>
      <w:bookmarkEnd w:id="11111"/>
    </w:p>
    <w:p w14:paraId="1EB8D4B7" w14:textId="77777777" w:rsidR="005E1F6B" w:rsidRDefault="005E1F6B" w:rsidP="00223668">
      <w:pPr>
        <w:pStyle w:val="a0"/>
        <w:rPr>
          <w:rStyle w:val="afb"/>
          <w:rtl/>
        </w:rPr>
      </w:pPr>
      <w:r w:rsidRPr="0029548B">
        <w:rPr>
          <w:rFonts w:hint="cs"/>
          <w:rtl/>
        </w:rPr>
        <w:t xml:space="preserve">ועו"כ </w:t>
      </w:r>
      <w:r w:rsidRPr="003E5BFC">
        <w:rPr>
          <w:rStyle w:val="af9"/>
          <w:rFonts w:hint="cs"/>
          <w:rtl/>
        </w:rPr>
        <w:t>הרמב"ן</w:t>
      </w:r>
      <w:r w:rsidRPr="0029548B">
        <w:rPr>
          <w:rFonts w:hint="cs"/>
          <w:rtl/>
        </w:rPr>
        <w:t xml:space="preserve"> </w:t>
      </w:r>
      <w:r w:rsidRPr="003E5BFC">
        <w:rPr>
          <w:rStyle w:val="af7"/>
          <w:rFonts w:eastAsia="Guttman Hodes" w:hint="cs"/>
          <w:rtl/>
        </w:rPr>
        <w:t>(יב. ד"ה אלא)</w:t>
      </w:r>
      <w:r w:rsidRPr="0029548B">
        <w:rPr>
          <w:rFonts w:hint="cs"/>
          <w:rtl/>
        </w:rPr>
        <w:t xml:space="preserve"> דהא דלר"מ א"צ לבדוק י"ח טריפות בחולין אף שאפשר לבדוק, הוא כיון דבקדשים דלא אפשר מותר לאכול בלא בדיקה, א"כ מוכח דסמכה תורה על רב בהמות אינם טריפות, ולכן אף בחולין סמכינן על הרוב, אעפ"י שאפשר</w:t>
      </w:r>
      <w:r>
        <w:rPr>
          <w:rFonts w:hint="cs"/>
          <w:rtl/>
        </w:rPr>
        <w:t xml:space="preserve"> לבדוק, </w:t>
      </w:r>
      <w:r w:rsidRPr="007109FD">
        <w:rPr>
          <w:rtl/>
        </w:rPr>
        <w:t xml:space="preserve">וכ"כ </w:t>
      </w:r>
      <w:r w:rsidRPr="007109FD">
        <w:rPr>
          <w:rStyle w:val="af9"/>
          <w:rtl/>
        </w:rPr>
        <w:t xml:space="preserve">הרשב"א </w:t>
      </w:r>
      <w:r w:rsidRPr="007109FD">
        <w:rPr>
          <w:rStyle w:val="af7"/>
          <w:rFonts w:eastAsia="Guttman Hodes"/>
          <w:rtl/>
        </w:rPr>
        <w:t>(ט. ד"ה ואפילו ר"מ)</w:t>
      </w:r>
      <w:r w:rsidRPr="007109FD">
        <w:rPr>
          <w:rtl/>
        </w:rPr>
        <w:t xml:space="preserve"> דכיון שהתירה תורה בקדשים, אף בחולין סומכין על הרוב, דלא התירה תורה לחצאין.</w:t>
      </w:r>
      <w:r>
        <w:rPr>
          <w:rFonts w:hint="cs"/>
          <w:rtl/>
        </w:rPr>
        <w:t xml:space="preserve"> </w:t>
      </w:r>
      <w:r w:rsidRPr="003E5BFC">
        <w:rPr>
          <w:rStyle w:val="afb"/>
          <w:rFonts w:hint="cs"/>
          <w:rtl/>
        </w:rPr>
        <w:t>[ומדכתב</w:t>
      </w:r>
      <w:r>
        <w:rPr>
          <w:rStyle w:val="afb"/>
          <w:rFonts w:hint="cs"/>
          <w:rtl/>
        </w:rPr>
        <w:t>ו</w:t>
      </w:r>
      <w:r w:rsidRPr="003E5BFC">
        <w:rPr>
          <w:rStyle w:val="afb"/>
          <w:rFonts w:hint="cs"/>
          <w:rtl/>
        </w:rPr>
        <w:t xml:space="preserve"> </w:t>
      </w:r>
      <w:r w:rsidRPr="003E5BFC">
        <w:rPr>
          <w:rStyle w:val="affa"/>
          <w:rFonts w:hint="cs"/>
          <w:rtl/>
        </w:rPr>
        <w:t>הרמב"ן</w:t>
      </w:r>
      <w:r>
        <w:rPr>
          <w:rStyle w:val="affa"/>
          <w:rFonts w:hint="cs"/>
          <w:rtl/>
        </w:rPr>
        <w:t xml:space="preserve"> והרשב"א</w:t>
      </w:r>
      <w:r w:rsidRPr="003E5BFC">
        <w:rPr>
          <w:rStyle w:val="afb"/>
          <w:rFonts w:hint="cs"/>
          <w:rtl/>
        </w:rPr>
        <w:t xml:space="preserve"> דלר"מ דבקדשים יש היתר מדאו' ללא חיישינן למיעוטא, א"כ מבואר מדברי</w:t>
      </w:r>
      <w:r>
        <w:rPr>
          <w:rStyle w:val="afb"/>
          <w:rFonts w:hint="cs"/>
          <w:rtl/>
        </w:rPr>
        <w:t>הם</w:t>
      </w:r>
      <w:r w:rsidRPr="003E5BFC">
        <w:rPr>
          <w:rStyle w:val="afb"/>
          <w:rFonts w:hint="cs"/>
          <w:rtl/>
        </w:rPr>
        <w:t xml:space="preserve"> דהא דר"מ חייש למיעוטא היינו מדאו'].</w:t>
      </w:r>
    </w:p>
    <w:p w14:paraId="33C52FA5" w14:textId="77777777" w:rsidR="005E1F6B" w:rsidRDefault="005E1F6B" w:rsidP="006D6D32">
      <w:pPr>
        <w:pStyle w:val="a3"/>
        <w:rPr>
          <w:rtl/>
        </w:rPr>
      </w:pPr>
      <w:bookmarkStart w:id="11112" w:name="_Toc531158319"/>
      <w:bookmarkStart w:id="11113" w:name="_Toc531182430"/>
      <w:bookmarkStart w:id="11114" w:name="_Toc19390433"/>
      <w:bookmarkStart w:id="11115" w:name="_Toc19393930"/>
      <w:r>
        <w:rPr>
          <w:rFonts w:hint="cs"/>
          <w:rtl/>
        </w:rPr>
        <w:t>דיוק השיטמ"ק ברש"י דס"ל דר"מ לא חייש לרובא כלל אף מדאו'</w:t>
      </w:r>
      <w:bookmarkEnd w:id="11112"/>
      <w:bookmarkEnd w:id="11113"/>
      <w:bookmarkEnd w:id="11114"/>
      <w:bookmarkEnd w:id="11115"/>
    </w:p>
    <w:p w14:paraId="2EC1AB81" w14:textId="77777777" w:rsidR="005E1F6B" w:rsidRPr="00AE3FF6" w:rsidRDefault="005E1F6B" w:rsidP="00223668">
      <w:pPr>
        <w:pStyle w:val="a0"/>
        <w:rPr>
          <w:rtl/>
        </w:rPr>
      </w:pPr>
      <w:bookmarkStart w:id="11116" w:name="_Ref531116730"/>
      <w:r>
        <w:rPr>
          <w:rFonts w:hint="cs"/>
          <w:rtl/>
        </w:rPr>
        <w:t xml:space="preserve">כתב </w:t>
      </w:r>
      <w:r w:rsidRPr="00B949AF">
        <w:rPr>
          <w:rStyle w:val="af9"/>
          <w:rFonts w:hint="cs"/>
          <w:rtl/>
        </w:rPr>
        <w:t>השיטמ"ק</w:t>
      </w:r>
      <w:r>
        <w:rPr>
          <w:rFonts w:hint="cs"/>
          <w:rtl/>
        </w:rPr>
        <w:t xml:space="preserve"> </w:t>
      </w:r>
      <w:r w:rsidRPr="00B949AF">
        <w:rPr>
          <w:rStyle w:val="af7"/>
          <w:rFonts w:eastAsia="Guttman Hodes" w:hint="cs"/>
          <w:rtl/>
        </w:rPr>
        <w:t>(</w:t>
      </w:r>
      <w:r>
        <w:rPr>
          <w:rStyle w:val="af7"/>
          <w:rFonts w:eastAsia="Guttman Hodes" w:hint="cs"/>
          <w:rtl/>
        </w:rPr>
        <w:t xml:space="preserve">יא: </w:t>
      </w:r>
      <w:r w:rsidRPr="00B949AF">
        <w:rPr>
          <w:rStyle w:val="af7"/>
          <w:rFonts w:eastAsia="Guttman Hodes" w:hint="cs"/>
          <w:rtl/>
        </w:rPr>
        <w:t xml:space="preserve">ד"ה וקשה דהכא) </w:t>
      </w:r>
      <w:r>
        <w:rPr>
          <w:rFonts w:hint="cs"/>
          <w:rtl/>
        </w:rPr>
        <w:t xml:space="preserve">דמדברי </w:t>
      </w:r>
      <w:r w:rsidRPr="00B949AF">
        <w:rPr>
          <w:rStyle w:val="af9"/>
          <w:rFonts w:hint="cs"/>
          <w:rtl/>
        </w:rPr>
        <w:t>רש"י</w:t>
      </w:r>
      <w:r>
        <w:rPr>
          <w:rFonts w:hint="cs"/>
          <w:rtl/>
        </w:rPr>
        <w:t xml:space="preserve"> </w:t>
      </w:r>
      <w:r w:rsidRPr="00B949AF">
        <w:rPr>
          <w:rStyle w:val="af7"/>
          <w:rFonts w:eastAsia="Guttman Hodes" w:hint="cs"/>
          <w:rtl/>
        </w:rPr>
        <w:t xml:space="preserve">(יא: ד"ה לר"מ) </w:t>
      </w:r>
      <w:r>
        <w:rPr>
          <w:rFonts w:hint="cs"/>
          <w:rtl/>
        </w:rPr>
        <w:t xml:space="preserve">דבקושיית הגמ' לר"מ היאך אכיל בישרא, שינה מלשון הגמ' דמקשה לר"מ דחייש למיעוטא, וכתב </w:t>
      </w:r>
      <w:r w:rsidRPr="00B949AF">
        <w:rPr>
          <w:rStyle w:val="af9"/>
          <w:rFonts w:hint="cs"/>
          <w:rtl/>
        </w:rPr>
        <w:t>רש"י</w:t>
      </w:r>
      <w:r>
        <w:rPr>
          <w:rFonts w:hint="cs"/>
          <w:rtl/>
        </w:rPr>
        <w:t xml:space="preserve"> לר"מ דלא חייש לרובא, מבואר דס"ל דר"מ לא חייש לרובא כלל, וכוונתו לומר דמדאו'  חייש ר"מ למיעוטא, עיי"ש בדבריו.</w:t>
      </w:r>
      <w:bookmarkEnd w:id="11116"/>
      <w:r>
        <w:rPr>
          <w:rFonts w:hint="cs"/>
          <w:rtl/>
        </w:rPr>
        <w:t xml:space="preserve"> </w:t>
      </w:r>
    </w:p>
    <w:p w14:paraId="56DD302E" w14:textId="77777777" w:rsidR="005E1F6B" w:rsidRDefault="005E1F6B" w:rsidP="006D6D32">
      <w:pPr>
        <w:pStyle w:val="a3"/>
        <w:rPr>
          <w:rtl/>
        </w:rPr>
      </w:pPr>
      <w:bookmarkStart w:id="11117" w:name="_Toc531023258"/>
      <w:bookmarkStart w:id="11118" w:name="_Toc531106298"/>
      <w:bookmarkStart w:id="11119" w:name="_Toc531111219"/>
      <w:bookmarkStart w:id="11120" w:name="_Toc531158320"/>
      <w:bookmarkStart w:id="11121" w:name="_Toc531182431"/>
      <w:bookmarkStart w:id="11122" w:name="_Toc19390434"/>
      <w:bookmarkStart w:id="11123" w:name="_Toc19393931"/>
      <w:r>
        <w:rPr>
          <w:rFonts w:hint="cs"/>
          <w:rtl/>
        </w:rPr>
        <w:t>דעת התוס' לקמן והתוס' בנדה והתוס' בשבת דר"מ חייש למיעוטא מדאו'</w:t>
      </w:r>
      <w:bookmarkEnd w:id="11117"/>
      <w:bookmarkEnd w:id="11118"/>
      <w:bookmarkEnd w:id="11119"/>
      <w:bookmarkEnd w:id="11120"/>
      <w:bookmarkEnd w:id="11121"/>
      <w:bookmarkEnd w:id="11122"/>
      <w:bookmarkEnd w:id="11123"/>
    </w:p>
    <w:p w14:paraId="7E8E3703" w14:textId="77777777" w:rsidR="005E1F6B" w:rsidRPr="00E20614" w:rsidRDefault="005E1F6B" w:rsidP="00223668">
      <w:pPr>
        <w:pStyle w:val="a0"/>
      </w:pPr>
      <w:bookmarkStart w:id="11124" w:name="_Ref530908701"/>
      <w:bookmarkStart w:id="11125" w:name="_Toc530647762"/>
      <w:r w:rsidRPr="00EB3E86">
        <w:rPr>
          <w:rFonts w:hint="cs"/>
          <w:rtl/>
        </w:rPr>
        <w:t>ועי' בדברי</w:t>
      </w:r>
      <w:r>
        <w:rPr>
          <w:rFonts w:hint="cs"/>
          <w:rtl/>
        </w:rPr>
        <w:t xml:space="preserve"> </w:t>
      </w:r>
      <w:r w:rsidRPr="00BF14DE">
        <w:rPr>
          <w:rStyle w:val="af9"/>
          <w:rFonts w:hint="cs"/>
          <w:rtl/>
        </w:rPr>
        <w:t xml:space="preserve">התוס' בנדה </w:t>
      </w:r>
      <w:r w:rsidRPr="00200634">
        <w:rPr>
          <w:rStyle w:val="af9"/>
          <w:rtl/>
        </w:rPr>
        <w:t>והתוס' בשבת</w:t>
      </w:r>
      <w:r w:rsidRPr="002B42C2">
        <w:rPr>
          <w:rStyle w:val="af7"/>
          <w:rFonts w:eastAsia="Guttman Hodes" w:hint="cs"/>
          <w:rtl/>
        </w:rPr>
        <w:t xml:space="preserve"> </w:t>
      </w:r>
      <w:r w:rsidRPr="00EB3E86">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Ref531118700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Pr>
          <w:rStyle w:val="af7"/>
          <w:rFonts w:eastAsia="Guttman Hodes"/>
          <w:rtl/>
        </w:rPr>
        <w:fldChar w:fldCharType="end"/>
      </w:r>
      <w:r w:rsidRPr="002B42C2">
        <w:rPr>
          <w:rStyle w:val="af7"/>
          <w:rFonts w:eastAsia="Guttman Hodes" w:hint="cs"/>
          <w:rtl/>
        </w:rPr>
        <w:t xml:space="preserve">  </w:t>
      </w:r>
      <w:r>
        <w:rPr>
          <w:rStyle w:val="af9"/>
          <w:rFonts w:hint="cs"/>
          <w:rtl/>
        </w:rPr>
        <w:t>ו</w:t>
      </w:r>
      <w:r w:rsidRPr="00E54B72">
        <w:rPr>
          <w:rStyle w:val="af9"/>
          <w:rFonts w:hint="cs"/>
          <w:rtl/>
        </w:rPr>
        <w:t>התוס' לקמן</w:t>
      </w:r>
      <w:r>
        <w:rPr>
          <w:rFonts w:hint="cs"/>
          <w:rtl/>
        </w:rPr>
        <w:t xml:space="preserve"> </w:t>
      </w:r>
      <w:r w:rsidRPr="00E54B72">
        <w:rPr>
          <w:rStyle w:val="af7"/>
          <w:rFonts w:eastAsia="Guttman Hodes" w:hint="cs"/>
          <w:rtl/>
        </w:rPr>
        <w:t>(פו. ד"ה מ"ט)</w:t>
      </w:r>
      <w:r>
        <w:rPr>
          <w:rFonts w:hint="cs"/>
          <w:rtl/>
        </w:rPr>
        <w:t xml:space="preserve"> </w:t>
      </w:r>
      <w:r w:rsidRPr="00EB3E86">
        <w:rPr>
          <w:rFonts w:hint="cs"/>
          <w:rtl/>
        </w:rPr>
        <w:t>דמבואר מדבריהם דר"מ חייש</w:t>
      </w:r>
      <w:r w:rsidRPr="00E20614">
        <w:rPr>
          <w:rFonts w:hint="cs"/>
          <w:rtl/>
        </w:rPr>
        <w:t xml:space="preserve"> למי</w:t>
      </w:r>
      <w:r>
        <w:rPr>
          <w:rFonts w:hint="cs"/>
          <w:rtl/>
        </w:rPr>
        <w:t xml:space="preserve">עוטא מדאו' </w:t>
      </w:r>
      <w:r w:rsidRPr="009A4924">
        <w:rPr>
          <w:rStyle w:val="af7"/>
          <w:rFonts w:eastAsia="Guttman Hodes" w:hint="cs"/>
          <w:rtl/>
        </w:rPr>
        <w:t xml:space="preserve">(עי' אות </w:t>
      </w:r>
      <w:r w:rsidRPr="009A4924">
        <w:rPr>
          <w:rStyle w:val="af7"/>
          <w:rFonts w:eastAsia="Guttman Hodes"/>
          <w:rtl/>
        </w:rPr>
        <w:fldChar w:fldCharType="begin"/>
      </w:r>
      <w:r w:rsidRPr="009A4924">
        <w:rPr>
          <w:rStyle w:val="af7"/>
          <w:rFonts w:eastAsia="Guttman Hodes"/>
          <w:rtl/>
        </w:rPr>
        <w:instrText xml:space="preserve"> </w:instrText>
      </w:r>
      <w:r w:rsidRPr="009A4924">
        <w:rPr>
          <w:rStyle w:val="af7"/>
          <w:rFonts w:eastAsia="Guttman Hodes" w:hint="cs"/>
        </w:rPr>
        <w:instrText>REF</w:instrText>
      </w:r>
      <w:r w:rsidRPr="009A4924">
        <w:rPr>
          <w:rStyle w:val="af7"/>
          <w:rFonts w:eastAsia="Guttman Hodes" w:hint="cs"/>
          <w:rtl/>
        </w:rPr>
        <w:instrText xml:space="preserve"> _</w:instrText>
      </w:r>
      <w:r w:rsidRPr="009A4924">
        <w:rPr>
          <w:rStyle w:val="af7"/>
          <w:rFonts w:eastAsia="Guttman Hodes" w:hint="cs"/>
        </w:rPr>
        <w:instrText>Ref531119348 \r \h</w:instrText>
      </w:r>
      <w:r w:rsidRPr="009A4924">
        <w:rPr>
          <w:rStyle w:val="af7"/>
          <w:rFonts w:eastAsia="Guttman Hodes"/>
          <w:rtl/>
        </w:rPr>
        <w:instrText xml:space="preserve"> </w:instrText>
      </w:r>
      <w:r w:rsidRPr="009A4924">
        <w:rPr>
          <w:rStyle w:val="af7"/>
          <w:rFonts w:eastAsia="Guttman Hodes"/>
          <w:rtl/>
        </w:rPr>
      </w:r>
      <w:r w:rsidRPr="009A4924">
        <w:rPr>
          <w:rStyle w:val="af7"/>
          <w:rFonts w:eastAsia="Guttman Hodes"/>
          <w:rtl/>
        </w:rPr>
        <w:fldChar w:fldCharType="separate"/>
      </w:r>
      <w:r w:rsidR="00345400">
        <w:rPr>
          <w:rStyle w:val="af7"/>
          <w:rFonts w:eastAsia="Guttman Hodes"/>
          <w:cs/>
        </w:rPr>
        <w:t>‎</w:t>
      </w:r>
      <w:r w:rsidR="00345400">
        <w:rPr>
          <w:rStyle w:val="af7"/>
          <w:rFonts w:eastAsia="Guttman Hodes"/>
          <w:rtl/>
        </w:rPr>
        <w:t>כב)</w:t>
      </w:r>
      <w:r w:rsidRPr="009A4924">
        <w:rPr>
          <w:rStyle w:val="af7"/>
          <w:rFonts w:eastAsia="Guttman Hodes"/>
          <w:rtl/>
        </w:rPr>
        <w:fldChar w:fldCharType="end"/>
      </w:r>
      <w:r>
        <w:rPr>
          <w:rFonts w:hint="cs"/>
          <w:rtl/>
        </w:rPr>
        <w:t>,</w:t>
      </w:r>
      <w:r w:rsidRPr="00B10CAF">
        <w:rPr>
          <w:rStyle w:val="af9"/>
          <w:rFonts w:hint="cs"/>
          <w:rtl/>
        </w:rPr>
        <w:t xml:space="preserve"> </w:t>
      </w:r>
      <w:r>
        <w:rPr>
          <w:rFonts w:hint="cs"/>
          <w:rtl/>
        </w:rPr>
        <w:t xml:space="preserve">וע"ע </w:t>
      </w:r>
      <w:r w:rsidRPr="009A4924">
        <w:rPr>
          <w:rFonts w:hint="cs"/>
          <w:rtl/>
        </w:rPr>
        <w:t xml:space="preserve">בדברי </w:t>
      </w:r>
      <w:r>
        <w:rPr>
          <w:rStyle w:val="af9"/>
          <w:rFonts w:hint="cs"/>
          <w:rtl/>
        </w:rPr>
        <w:t>ה</w:t>
      </w:r>
      <w:r w:rsidRPr="002B42C2">
        <w:rPr>
          <w:rStyle w:val="af9"/>
          <w:rFonts w:hint="cs"/>
          <w:rtl/>
        </w:rPr>
        <w:t>תוס' לקמן</w:t>
      </w:r>
      <w:r>
        <w:rPr>
          <w:rFonts w:hint="cs"/>
          <w:rtl/>
        </w:rPr>
        <w:t xml:space="preserve"> </w:t>
      </w:r>
      <w:r w:rsidRPr="002B4BF7">
        <w:rPr>
          <w:rStyle w:val="af7"/>
          <w:rFonts w:eastAsia="Guttman Hodes" w:hint="cs"/>
          <w:rtl/>
        </w:rPr>
        <w:t>(פו: ד"ה סמוך)</w:t>
      </w:r>
      <w:r w:rsidRPr="002B4BF7">
        <w:rPr>
          <w:rFonts w:hint="cs"/>
          <w:rtl/>
        </w:rPr>
        <w:t xml:space="preserve"> </w:t>
      </w:r>
      <w:r>
        <w:rPr>
          <w:rFonts w:hint="cs"/>
          <w:rtl/>
        </w:rPr>
        <w:t xml:space="preserve">דמשמע מדבריהם דנחלקו ב' התירוצים </w:t>
      </w:r>
      <w:r>
        <w:rPr>
          <w:rStyle w:val="af9"/>
          <w:rFonts w:hint="cs"/>
          <w:rtl/>
        </w:rPr>
        <w:t>ב</w:t>
      </w:r>
      <w:r w:rsidRPr="002B42C2">
        <w:rPr>
          <w:rStyle w:val="af9"/>
          <w:rFonts w:hint="cs"/>
          <w:rtl/>
        </w:rPr>
        <w:t xml:space="preserve">תוס' </w:t>
      </w:r>
      <w:r w:rsidRPr="009A4924">
        <w:rPr>
          <w:rStyle w:val="af7"/>
          <w:rFonts w:eastAsia="Guttman Hodes" w:hint="cs"/>
          <w:rtl/>
        </w:rPr>
        <w:t xml:space="preserve">(עי' אות </w:t>
      </w:r>
      <w:r w:rsidRPr="009A4924">
        <w:rPr>
          <w:rStyle w:val="af7"/>
          <w:rFonts w:eastAsia="Guttman Hodes"/>
          <w:rtl/>
        </w:rPr>
        <w:fldChar w:fldCharType="begin"/>
      </w:r>
      <w:r w:rsidRPr="009A4924">
        <w:rPr>
          <w:rStyle w:val="af7"/>
          <w:rFonts w:eastAsia="Guttman Hodes"/>
          <w:rtl/>
        </w:rPr>
        <w:instrText xml:space="preserve"> </w:instrText>
      </w:r>
      <w:r w:rsidRPr="009A4924">
        <w:rPr>
          <w:rStyle w:val="af7"/>
          <w:rFonts w:eastAsia="Guttman Hodes" w:hint="cs"/>
        </w:rPr>
        <w:instrText>REF</w:instrText>
      </w:r>
      <w:r w:rsidRPr="009A4924">
        <w:rPr>
          <w:rStyle w:val="af7"/>
          <w:rFonts w:eastAsia="Guttman Hodes" w:hint="cs"/>
          <w:rtl/>
        </w:rPr>
        <w:instrText xml:space="preserve"> _</w:instrText>
      </w:r>
      <w:r w:rsidRPr="009A4924">
        <w:rPr>
          <w:rStyle w:val="af7"/>
          <w:rFonts w:eastAsia="Guttman Hodes" w:hint="cs"/>
        </w:rPr>
        <w:instrText>Ref530672733 \r \h</w:instrText>
      </w:r>
      <w:r w:rsidRPr="009A4924">
        <w:rPr>
          <w:rStyle w:val="af7"/>
          <w:rFonts w:eastAsia="Guttman Hodes"/>
          <w:rtl/>
        </w:rPr>
        <w:instrText xml:space="preserve"> </w:instrText>
      </w:r>
      <w:r w:rsidRPr="009A4924">
        <w:rPr>
          <w:rStyle w:val="af7"/>
          <w:rFonts w:eastAsia="Guttman Hodes"/>
          <w:rtl/>
        </w:rPr>
      </w:r>
      <w:r w:rsidRPr="009A4924">
        <w:rPr>
          <w:rStyle w:val="af7"/>
          <w:rFonts w:eastAsia="Guttman Hodes"/>
          <w:rtl/>
        </w:rPr>
        <w:fldChar w:fldCharType="separate"/>
      </w:r>
      <w:r w:rsidR="00345400">
        <w:rPr>
          <w:rStyle w:val="af7"/>
          <w:rFonts w:eastAsia="Guttman Hodes"/>
          <w:cs/>
        </w:rPr>
        <w:t>‎</w:t>
      </w:r>
      <w:r w:rsidR="00345400">
        <w:rPr>
          <w:rStyle w:val="af7"/>
          <w:rFonts w:eastAsia="Guttman Hodes"/>
          <w:rtl/>
        </w:rPr>
        <w:t>עב)</w:t>
      </w:r>
      <w:r w:rsidRPr="009A4924">
        <w:rPr>
          <w:rStyle w:val="af7"/>
          <w:rFonts w:eastAsia="Guttman Hodes"/>
          <w:rtl/>
        </w:rPr>
        <w:fldChar w:fldCharType="end"/>
      </w:r>
      <w:r>
        <w:rPr>
          <w:rFonts w:hint="cs"/>
          <w:rtl/>
        </w:rPr>
        <w:t>, אי ר"מ חייש למיעוטא מדאו' או מדרבנן.</w:t>
      </w:r>
    </w:p>
    <w:p w14:paraId="30E17A48" w14:textId="77777777" w:rsidR="005E1F6B" w:rsidRDefault="005E1F6B" w:rsidP="00BF39B2">
      <w:pPr>
        <w:pStyle w:val="1"/>
        <w:rPr>
          <w:rtl/>
        </w:rPr>
      </w:pPr>
      <w:bookmarkStart w:id="11126" w:name="_Toc531023259"/>
      <w:bookmarkStart w:id="11127" w:name="_Toc531106299"/>
      <w:bookmarkStart w:id="11128" w:name="_Toc531111220"/>
      <w:bookmarkStart w:id="11129" w:name="_Toc531158321"/>
      <w:bookmarkStart w:id="11130" w:name="_Toc531182432"/>
      <w:bookmarkStart w:id="11131" w:name="_Toc19390435"/>
      <w:bookmarkStart w:id="11132" w:name="_Toc19393932"/>
      <w:bookmarkEnd w:id="11124"/>
      <w:r>
        <w:rPr>
          <w:rFonts w:hint="cs"/>
          <w:rtl/>
        </w:rPr>
        <w:t>ביאור רש"י והר"ן בפלוגתת ר"מ ורבנן אי חיישינן למיעוטא</w:t>
      </w:r>
      <w:bookmarkEnd w:id="11125"/>
      <w:bookmarkEnd w:id="11126"/>
      <w:bookmarkEnd w:id="11127"/>
      <w:bookmarkEnd w:id="11128"/>
      <w:bookmarkEnd w:id="11129"/>
      <w:bookmarkEnd w:id="11130"/>
      <w:bookmarkEnd w:id="11131"/>
      <w:bookmarkEnd w:id="11132"/>
    </w:p>
    <w:p w14:paraId="551CF04D" w14:textId="77777777" w:rsidR="005E1F6B" w:rsidRPr="00E128B8" w:rsidRDefault="005E1F6B" w:rsidP="006D6D32">
      <w:pPr>
        <w:pStyle w:val="a3"/>
        <w:rPr>
          <w:rtl/>
        </w:rPr>
      </w:pPr>
      <w:bookmarkStart w:id="11133" w:name="_Toc531111221"/>
      <w:bookmarkStart w:id="11134" w:name="_Toc531158322"/>
      <w:bookmarkStart w:id="11135" w:name="_Toc531182433"/>
      <w:bookmarkStart w:id="11136" w:name="_Toc19390436"/>
      <w:bookmarkStart w:id="11137" w:name="_Toc19393933"/>
      <w:r>
        <w:rPr>
          <w:rFonts w:hint="cs"/>
          <w:rtl/>
        </w:rPr>
        <w:t>דברי רש"י והר"ן דלר"מ הרוב אינו מבטל את המיעוט ולכן חיישינן למיעוטא</w:t>
      </w:r>
      <w:bookmarkEnd w:id="11133"/>
      <w:bookmarkEnd w:id="11134"/>
      <w:bookmarkEnd w:id="11135"/>
      <w:bookmarkEnd w:id="11136"/>
      <w:bookmarkEnd w:id="11137"/>
    </w:p>
    <w:p w14:paraId="523B9323" w14:textId="77777777" w:rsidR="005E1F6B" w:rsidRDefault="005E1F6B" w:rsidP="00223668">
      <w:pPr>
        <w:pStyle w:val="a0"/>
        <w:rPr>
          <w:rtl/>
        </w:rPr>
      </w:pPr>
      <w:r>
        <w:rPr>
          <w:rFonts w:hint="cs"/>
          <w:rtl/>
        </w:rPr>
        <w:t xml:space="preserve">כתב </w:t>
      </w:r>
      <w:r w:rsidRPr="00E128B8">
        <w:rPr>
          <w:rStyle w:val="af9"/>
          <w:rFonts w:hint="cs"/>
          <w:rtl/>
        </w:rPr>
        <w:t>רש"י בקידושין</w:t>
      </w:r>
      <w:r>
        <w:rPr>
          <w:rFonts w:hint="cs"/>
          <w:rtl/>
        </w:rPr>
        <w:t xml:space="preserve"> </w:t>
      </w:r>
      <w:r w:rsidRPr="008702C1">
        <w:rPr>
          <w:rStyle w:val="af7"/>
          <w:rFonts w:eastAsia="Guttman Hodes" w:hint="cs"/>
          <w:rtl/>
        </w:rPr>
        <w:t>(פ. ד"ה סמוך)</w:t>
      </w:r>
      <w:r>
        <w:rPr>
          <w:rFonts w:hint="cs"/>
          <w:rtl/>
        </w:rPr>
        <w:t xml:space="preserve"> דהא דר"מ חייש למיעוטא, היינו כיון דס"ל דהרוב אינו מבטל את המיעוט לגמרי, והמיעוט במקומו עומד. וכ"כ </w:t>
      </w:r>
      <w:r w:rsidRPr="003E0EC7">
        <w:rPr>
          <w:rStyle w:val="af9"/>
          <w:rFonts w:hint="cs"/>
          <w:rtl/>
        </w:rPr>
        <w:t>הר"ן על הרי"ף בע"ז</w:t>
      </w:r>
      <w:r>
        <w:rPr>
          <w:rFonts w:hint="cs"/>
          <w:rtl/>
        </w:rPr>
        <w:t xml:space="preserve"> </w:t>
      </w:r>
      <w:r w:rsidRPr="008702C1">
        <w:rPr>
          <w:rStyle w:val="af7"/>
          <w:rFonts w:eastAsia="Guttman Hodes" w:hint="cs"/>
          <w:rtl/>
        </w:rPr>
        <w:t>(פ"ג דף יז: מדפי הרי"ף ד"ה גרסינן)</w:t>
      </w:r>
      <w:r>
        <w:rPr>
          <w:rFonts w:hint="cs"/>
          <w:rtl/>
        </w:rPr>
        <w:t xml:space="preserve"> דר"מ ס"ל דהמיעוט לא נחשב כמי שאינו, ולכן חייש ר"מ למיעוטא.</w:t>
      </w:r>
    </w:p>
    <w:p w14:paraId="52888566" w14:textId="77777777" w:rsidR="005E1F6B" w:rsidRPr="00137090" w:rsidRDefault="005E1F6B" w:rsidP="006D6D32">
      <w:pPr>
        <w:pStyle w:val="a3"/>
        <w:rPr>
          <w:rtl/>
        </w:rPr>
      </w:pPr>
      <w:bookmarkStart w:id="11138" w:name="_Toc531111222"/>
      <w:bookmarkStart w:id="11139" w:name="_Toc531158323"/>
      <w:bookmarkStart w:id="11140" w:name="_Toc531182434"/>
      <w:bookmarkStart w:id="11141" w:name="_Toc19390437"/>
      <w:bookmarkStart w:id="11142" w:name="_Toc19393934"/>
      <w:r>
        <w:rPr>
          <w:rFonts w:hint="cs"/>
          <w:rtl/>
        </w:rPr>
        <w:t>דברי רש"י והר"ן דלרבנן המיעוט חשיב כמאן דליתיה ולכן לא חיישינן למיעוטא</w:t>
      </w:r>
      <w:bookmarkEnd w:id="11138"/>
      <w:bookmarkEnd w:id="11139"/>
      <w:bookmarkEnd w:id="11140"/>
      <w:bookmarkEnd w:id="11141"/>
      <w:bookmarkEnd w:id="11142"/>
    </w:p>
    <w:p w14:paraId="5A72722B" w14:textId="77777777" w:rsidR="005E1F6B" w:rsidRPr="00EC556D" w:rsidRDefault="005E1F6B" w:rsidP="00223668">
      <w:pPr>
        <w:pStyle w:val="a0"/>
        <w:rPr>
          <w:rtl/>
        </w:rPr>
      </w:pPr>
      <w:r>
        <w:rPr>
          <w:rFonts w:hint="cs"/>
          <w:rtl/>
        </w:rPr>
        <w:t xml:space="preserve">ובדעת רבנן כתב </w:t>
      </w:r>
      <w:r w:rsidRPr="00E128B8">
        <w:rPr>
          <w:rStyle w:val="af9"/>
          <w:rFonts w:hint="cs"/>
          <w:rtl/>
        </w:rPr>
        <w:t>רש"י בקידושין</w:t>
      </w:r>
      <w:r>
        <w:rPr>
          <w:rFonts w:hint="cs"/>
          <w:rtl/>
        </w:rPr>
        <w:t xml:space="preserve"> </w:t>
      </w:r>
      <w:r w:rsidRPr="008702C1">
        <w:rPr>
          <w:rStyle w:val="af7"/>
          <w:rFonts w:eastAsia="Guttman Hodes" w:hint="cs"/>
          <w:rtl/>
        </w:rPr>
        <w:t>(פ. ד"ה מיעוטא)</w:t>
      </w:r>
      <w:r>
        <w:rPr>
          <w:rFonts w:hint="cs"/>
          <w:rtl/>
        </w:rPr>
        <w:t xml:space="preserve"> דס"ל דהמיעוט מתבטל לגמרי ע"י הרוב, וכמאן דליתיה דמי, ולכן לא חיישי רבנן למיעוט. וכ"כ </w:t>
      </w:r>
      <w:r w:rsidRPr="003E0EC7">
        <w:rPr>
          <w:rStyle w:val="af9"/>
          <w:rFonts w:hint="cs"/>
          <w:rtl/>
        </w:rPr>
        <w:t>הר"ן על הרי"ף בע"ז</w:t>
      </w:r>
      <w:r>
        <w:rPr>
          <w:rFonts w:hint="cs"/>
          <w:rtl/>
        </w:rPr>
        <w:t xml:space="preserve"> </w:t>
      </w:r>
      <w:r w:rsidRPr="008702C1">
        <w:rPr>
          <w:rStyle w:val="af7"/>
          <w:rFonts w:eastAsia="Guttman Hodes" w:hint="cs"/>
          <w:rtl/>
        </w:rPr>
        <w:t>(פ"ג דף יז: מדפי הרי"ף ד"ה גרסינן)</w:t>
      </w:r>
      <w:r>
        <w:rPr>
          <w:rFonts w:hint="cs"/>
          <w:rtl/>
        </w:rPr>
        <w:t xml:space="preserve"> בדעת רבנן דס"ל דהמיעוט נחשב כמי שאינו, ולכן לא חיישי למיעוטא, וכדאמרינן בגמ' בקידושין </w:t>
      </w:r>
      <w:r w:rsidRPr="008702C1">
        <w:rPr>
          <w:rStyle w:val="af7"/>
          <w:rFonts w:eastAsia="Guttman Hodes" w:hint="cs"/>
          <w:rtl/>
        </w:rPr>
        <w:t>(פ.)</w:t>
      </w:r>
      <w:r>
        <w:rPr>
          <w:rFonts w:hint="cs"/>
          <w:rtl/>
        </w:rPr>
        <w:t xml:space="preserve"> ובנדה </w:t>
      </w:r>
      <w:r w:rsidRPr="008702C1">
        <w:rPr>
          <w:rStyle w:val="af7"/>
          <w:rFonts w:eastAsia="Guttman Hodes" w:hint="cs"/>
          <w:rtl/>
        </w:rPr>
        <w:t>(יח:)</w:t>
      </w:r>
      <w:r>
        <w:rPr>
          <w:rFonts w:hint="cs"/>
          <w:rtl/>
        </w:rPr>
        <w:t xml:space="preserve"> דלרבנן מיעוטא כמאן דליתיה דמי.</w:t>
      </w:r>
    </w:p>
    <w:p w14:paraId="7392CCD6" w14:textId="77777777" w:rsidR="005E1F6B" w:rsidRDefault="005E1F6B" w:rsidP="006D6D32">
      <w:pPr>
        <w:pStyle w:val="afe"/>
        <w:rPr>
          <w:rtl/>
        </w:rPr>
      </w:pPr>
      <w:bookmarkStart w:id="11143" w:name="_Toc531023270"/>
      <w:bookmarkStart w:id="11144" w:name="_Toc531106310"/>
      <w:bookmarkStart w:id="11145" w:name="_Toc531111231"/>
      <w:bookmarkStart w:id="11146" w:name="_Toc531158332"/>
      <w:bookmarkStart w:id="11147" w:name="_Toc531182435"/>
      <w:bookmarkStart w:id="11148" w:name="_Toc19435754"/>
      <w:bookmarkStart w:id="11149" w:name="_Toc20081011"/>
      <w:r>
        <w:rPr>
          <w:rFonts w:hint="cs"/>
          <w:rtl/>
        </w:rPr>
        <w:t>בענין מיעוטא דמיעוטא</w:t>
      </w:r>
      <w:bookmarkEnd w:id="11143"/>
      <w:bookmarkEnd w:id="11144"/>
      <w:bookmarkEnd w:id="11145"/>
      <w:bookmarkEnd w:id="11146"/>
      <w:bookmarkEnd w:id="11147"/>
      <w:bookmarkEnd w:id="11148"/>
      <w:bookmarkEnd w:id="11149"/>
    </w:p>
    <w:p w14:paraId="61C91930" w14:textId="77777777" w:rsidR="005E1F6B" w:rsidRDefault="005E1F6B" w:rsidP="00BF39B2">
      <w:pPr>
        <w:pStyle w:val="1"/>
        <w:rPr>
          <w:rtl/>
        </w:rPr>
      </w:pPr>
      <w:bookmarkStart w:id="11150" w:name="_Toc531023271"/>
      <w:bookmarkStart w:id="11151" w:name="_Toc531106311"/>
      <w:bookmarkStart w:id="11152" w:name="_Toc531111232"/>
      <w:bookmarkStart w:id="11153" w:name="_Toc531158333"/>
      <w:bookmarkStart w:id="11154" w:name="_Toc531182436"/>
      <w:bookmarkStart w:id="11155" w:name="_Toc19390438"/>
      <w:bookmarkStart w:id="11156" w:name="_Toc19393935"/>
      <w:r>
        <w:rPr>
          <w:rFonts w:hint="cs"/>
          <w:rtl/>
        </w:rPr>
        <w:t>דעת הראשונים דמודה ר"מ רק כשיש רוב בב' ספיקות שונים</w:t>
      </w:r>
      <w:bookmarkEnd w:id="11150"/>
      <w:bookmarkEnd w:id="11151"/>
      <w:bookmarkEnd w:id="11152"/>
      <w:bookmarkEnd w:id="11153"/>
      <w:bookmarkEnd w:id="11154"/>
      <w:bookmarkEnd w:id="11155"/>
      <w:bookmarkEnd w:id="11156"/>
    </w:p>
    <w:p w14:paraId="7AD8328E" w14:textId="77777777" w:rsidR="005E1F6B" w:rsidRDefault="005E1F6B" w:rsidP="006D6D32">
      <w:pPr>
        <w:pStyle w:val="a3"/>
        <w:rPr>
          <w:rtl/>
        </w:rPr>
      </w:pPr>
      <w:bookmarkStart w:id="11157" w:name="_Toc531111233"/>
      <w:bookmarkStart w:id="11158" w:name="_Toc531158334"/>
      <w:bookmarkStart w:id="11159" w:name="_Toc531182437"/>
      <w:bookmarkStart w:id="11160" w:name="_Toc19390439"/>
      <w:bookmarkStart w:id="11161" w:name="_Toc19393936"/>
      <w:r>
        <w:rPr>
          <w:rFonts w:hint="cs"/>
          <w:rtl/>
        </w:rPr>
        <w:t>קושית רבינו משולם במרדכי דבמיעוט קטן מאוד ס"ל לר"מ דלא חיישינן למיעוטא</w:t>
      </w:r>
      <w:bookmarkEnd w:id="11157"/>
      <w:bookmarkEnd w:id="11158"/>
      <w:bookmarkEnd w:id="11159"/>
      <w:bookmarkEnd w:id="11160"/>
      <w:bookmarkEnd w:id="11161"/>
      <w:r>
        <w:rPr>
          <w:rFonts w:hint="cs"/>
          <w:rtl/>
        </w:rPr>
        <w:t xml:space="preserve"> </w:t>
      </w:r>
    </w:p>
    <w:p w14:paraId="531875E9" w14:textId="77777777" w:rsidR="005E1F6B" w:rsidRDefault="005E1F6B" w:rsidP="00223668">
      <w:pPr>
        <w:pStyle w:val="a0"/>
        <w:rPr>
          <w:rtl/>
        </w:rPr>
      </w:pPr>
      <w:r>
        <w:rPr>
          <w:rFonts w:hint="cs"/>
          <w:rtl/>
        </w:rPr>
        <w:t xml:space="preserve">הביא </w:t>
      </w:r>
      <w:r w:rsidRPr="00630C47">
        <w:rPr>
          <w:rStyle w:val="af9"/>
          <w:rFonts w:hint="cs"/>
          <w:rtl/>
        </w:rPr>
        <w:t xml:space="preserve">המרדכי לקמן </w:t>
      </w:r>
      <w:r w:rsidRPr="00630C47">
        <w:rPr>
          <w:rStyle w:val="af7"/>
          <w:rFonts w:eastAsia="Guttman Hodes" w:hint="cs"/>
          <w:rtl/>
        </w:rPr>
        <w:t>(רמז תשל"ז)</w:t>
      </w:r>
      <w:r>
        <w:rPr>
          <w:rFonts w:hint="cs"/>
          <w:rtl/>
        </w:rPr>
        <w:t xml:space="preserve"> דהקשה </w:t>
      </w:r>
      <w:r w:rsidRPr="00630C47">
        <w:rPr>
          <w:rStyle w:val="af9"/>
          <w:rFonts w:hint="cs"/>
          <w:rtl/>
        </w:rPr>
        <w:t>רבינו משולם לרבינו ברוך</w:t>
      </w:r>
      <w:r>
        <w:rPr>
          <w:rFonts w:hint="cs"/>
          <w:rtl/>
        </w:rPr>
        <w:t xml:space="preserve"> על הגמ' לקמן </w:t>
      </w:r>
      <w:r w:rsidRPr="00630C47">
        <w:rPr>
          <w:rStyle w:val="af7"/>
          <w:rFonts w:eastAsia="Guttman Hodes" w:hint="cs"/>
          <w:rtl/>
        </w:rPr>
        <w:t>(קלד.)</w:t>
      </w:r>
      <w:r>
        <w:rPr>
          <w:rFonts w:hint="cs"/>
          <w:rtl/>
        </w:rPr>
        <w:t xml:space="preserve"> דאמר ר"מ דתבואה שנמצאת בחורי הנמלים דהכל שייך לעניים, כיון דספק לקט לקט, דהרי רוב התבואה היא של בעה"ב, ואף לדעת ר"מ אזלינן בזה בתר רובא, דאנן סהדי דהלקט הוא מיעוטא דמיעוטא, ומבואר בגמ' בע"ז </w:t>
      </w:r>
      <w:r w:rsidRPr="00454C97">
        <w:rPr>
          <w:rStyle w:val="af7"/>
          <w:rFonts w:eastAsia="Guttman Hodes" w:hint="cs"/>
          <w:rtl/>
        </w:rPr>
        <w:t>(לד:)</w:t>
      </w:r>
      <w:r w:rsidRPr="002236DA">
        <w:rPr>
          <w:rFonts w:hint="cs"/>
          <w:rtl/>
        </w:rPr>
        <w:t xml:space="preserve"> </w:t>
      </w:r>
      <w:r>
        <w:rPr>
          <w:rFonts w:hint="cs"/>
          <w:rtl/>
        </w:rPr>
        <w:t>דר"מ לא חייש למיעוטא בכה"ג.</w:t>
      </w:r>
    </w:p>
    <w:p w14:paraId="6C703D17" w14:textId="77777777" w:rsidR="005E1F6B" w:rsidRDefault="005E1F6B" w:rsidP="006D6D32">
      <w:pPr>
        <w:pStyle w:val="a3"/>
        <w:rPr>
          <w:rtl/>
        </w:rPr>
      </w:pPr>
      <w:bookmarkStart w:id="11162" w:name="_Toc531111234"/>
      <w:bookmarkStart w:id="11163" w:name="_Toc531158335"/>
      <w:bookmarkStart w:id="11164" w:name="_Toc531182438"/>
      <w:bookmarkStart w:id="11165" w:name="_Toc19390440"/>
      <w:bookmarkStart w:id="11166" w:name="_Toc19393937"/>
      <w:r>
        <w:rPr>
          <w:rFonts w:hint="cs"/>
          <w:rtl/>
        </w:rPr>
        <w:t>תירוץ רבינו ברוך במרדכי דמיעוטא דמיעוטא היינו דוקא בב' ספיקות שבכ"א יש רוב ומיעוט</w:t>
      </w:r>
      <w:bookmarkEnd w:id="11162"/>
      <w:bookmarkEnd w:id="11163"/>
      <w:bookmarkEnd w:id="11164"/>
      <w:bookmarkEnd w:id="11165"/>
      <w:bookmarkEnd w:id="11166"/>
    </w:p>
    <w:p w14:paraId="28E48634" w14:textId="77777777" w:rsidR="005E1F6B" w:rsidRDefault="005E1F6B" w:rsidP="00223668">
      <w:pPr>
        <w:pStyle w:val="a0"/>
        <w:rPr>
          <w:rtl/>
        </w:rPr>
      </w:pPr>
      <w:bookmarkStart w:id="11167" w:name="_Ref530907738"/>
      <w:r>
        <w:rPr>
          <w:rFonts w:hint="cs"/>
          <w:rtl/>
        </w:rPr>
        <w:t xml:space="preserve">והביא </w:t>
      </w:r>
      <w:r w:rsidRPr="005130A6">
        <w:rPr>
          <w:rStyle w:val="af9"/>
          <w:rFonts w:hint="cs"/>
          <w:rtl/>
        </w:rPr>
        <w:t>המרדכי לקמן</w:t>
      </w:r>
      <w:r>
        <w:rPr>
          <w:rFonts w:hint="cs"/>
          <w:rtl/>
        </w:rPr>
        <w:t xml:space="preserve"> </w:t>
      </w:r>
      <w:r w:rsidRPr="005130A6">
        <w:rPr>
          <w:rStyle w:val="af7"/>
          <w:rFonts w:eastAsia="Guttman Hodes" w:hint="cs"/>
          <w:rtl/>
        </w:rPr>
        <w:t>(רמ"ז תשל"ז ד"ה ומה שכתב)</w:t>
      </w:r>
      <w:r>
        <w:rPr>
          <w:rFonts w:hint="cs"/>
          <w:rtl/>
        </w:rPr>
        <w:t xml:space="preserve"> </w:t>
      </w:r>
      <w:r w:rsidRPr="005130A6">
        <w:rPr>
          <w:rStyle w:val="af9"/>
          <w:rFonts w:hint="cs"/>
          <w:rtl/>
        </w:rPr>
        <w:t>דרבינו ברוך</w:t>
      </w:r>
      <w:r>
        <w:rPr>
          <w:rFonts w:hint="cs"/>
          <w:rtl/>
        </w:rPr>
        <w:t xml:space="preserve"> השיב דכל מה שמצינו דמודה ר"מ במיעוטא דמיעוטא, היינו כשיש ב' ספיקות שונים שיש בהם רוב, כגמ' בע"ז </w:t>
      </w:r>
      <w:r w:rsidRPr="005130A6">
        <w:rPr>
          <w:rStyle w:val="af7"/>
          <w:rFonts w:eastAsia="Guttman Hodes" w:hint="cs"/>
          <w:rtl/>
        </w:rPr>
        <w:t>(לד:)</w:t>
      </w:r>
      <w:r>
        <w:rPr>
          <w:rFonts w:hint="cs"/>
          <w:rtl/>
        </w:rPr>
        <w:t xml:space="preserve"> בגבינות בית אונייקי שיש רוב עגלים שאינם נשחטים לע"ז, ויש רוב אחר שבהמות אינם נשחטות לע"ז כלל, ורק עגלים נשחטים, ולכן בכה"ג הגבינות שנשעשו מקיבות של עגלים שנשחטו לע"ז הם מיעוטא דמיעוטא.</w:t>
      </w:r>
      <w:bookmarkEnd w:id="11167"/>
    </w:p>
    <w:p w14:paraId="61FD53A1" w14:textId="77777777" w:rsidR="005E1F6B" w:rsidRPr="005130A6" w:rsidRDefault="005E1F6B" w:rsidP="006D6D32">
      <w:pPr>
        <w:pStyle w:val="a3"/>
      </w:pPr>
      <w:bookmarkStart w:id="11168" w:name="_Toc531111235"/>
      <w:bookmarkStart w:id="11169" w:name="_Toc531158336"/>
      <w:bookmarkStart w:id="11170" w:name="_Toc531182439"/>
      <w:bookmarkStart w:id="11171" w:name="_Toc19390441"/>
      <w:bookmarkStart w:id="11172" w:name="_Toc19393938"/>
      <w:r>
        <w:rPr>
          <w:rFonts w:hint="cs"/>
          <w:rtl/>
        </w:rPr>
        <w:t>דברי רבינו ברוך במרדכי דבספק אחד שיש בו מיעוט חייש ר"מ למיעוט אף באחד מאלף</w:t>
      </w:r>
      <w:bookmarkEnd w:id="11168"/>
      <w:bookmarkEnd w:id="11169"/>
      <w:bookmarkEnd w:id="11170"/>
      <w:bookmarkEnd w:id="11171"/>
      <w:bookmarkEnd w:id="11172"/>
    </w:p>
    <w:p w14:paraId="4E7E200E" w14:textId="77777777" w:rsidR="005E1F6B" w:rsidRPr="002236DA" w:rsidRDefault="005E1F6B" w:rsidP="00223668">
      <w:pPr>
        <w:pStyle w:val="a0"/>
        <w:rPr>
          <w:rtl/>
        </w:rPr>
      </w:pPr>
      <w:r>
        <w:rPr>
          <w:rFonts w:hint="cs"/>
          <w:rtl/>
        </w:rPr>
        <w:t xml:space="preserve">אך כתב </w:t>
      </w:r>
      <w:r w:rsidRPr="005130A6">
        <w:rPr>
          <w:rStyle w:val="af9"/>
          <w:rFonts w:hint="cs"/>
          <w:rtl/>
        </w:rPr>
        <w:t>המרדכי לקמן</w:t>
      </w:r>
      <w:r>
        <w:rPr>
          <w:rFonts w:hint="cs"/>
          <w:rtl/>
        </w:rPr>
        <w:t xml:space="preserve"> בשם </w:t>
      </w:r>
      <w:r w:rsidRPr="005130A6">
        <w:rPr>
          <w:rStyle w:val="af9"/>
          <w:rFonts w:hint="cs"/>
          <w:rtl/>
        </w:rPr>
        <w:t>רבינו ברוך</w:t>
      </w:r>
      <w:r>
        <w:rPr>
          <w:rFonts w:hint="cs"/>
          <w:rtl/>
        </w:rPr>
        <w:t xml:space="preserve"> דאם הייתה אפילו בהמה אחת מאלף שהייתה נשחטת לע"ז, לא היה חשיב מיעוטא דמיעוטא, דאף שהמיעוט אינו שכיח כלל, מ"מ הוא רק מיעוט אחד, ובזה ס"ל לר"מ דחיישינן למיעוטא. ולכן כתב </w:t>
      </w:r>
      <w:r w:rsidRPr="005130A6">
        <w:rPr>
          <w:rStyle w:val="af9"/>
          <w:rFonts w:hint="cs"/>
          <w:rtl/>
        </w:rPr>
        <w:t>המרדכי לקמן</w:t>
      </w:r>
      <w:r>
        <w:rPr>
          <w:rFonts w:hint="cs"/>
          <w:rtl/>
        </w:rPr>
        <w:t xml:space="preserve"> בשם </w:t>
      </w:r>
      <w:r w:rsidRPr="005130A6">
        <w:rPr>
          <w:rStyle w:val="af9"/>
          <w:rFonts w:hint="cs"/>
          <w:rtl/>
        </w:rPr>
        <w:t>רבינו ברוך</w:t>
      </w:r>
      <w:r>
        <w:rPr>
          <w:rFonts w:hint="cs"/>
          <w:rtl/>
        </w:rPr>
        <w:t xml:space="preserve"> דבחורי הנמלים אף שאנן סהדי המיעוט אינו שכיח מ"מ אי"ז חשיב מיעוטא דמיעוטא, דאין ב' ספיקות שונים שיש בהם רוב, ואי נימא דאף ברוב אחד מודה ר"מ מחמת דאנן סהדי דהמיעוט אינו שכיח, א"כ אף ברוב קטנים אינם סריסים, היה לר"מ להודות דלא חיישינן למיעוט שאינו שכיח</w:t>
      </w:r>
      <w:r>
        <w:rPr>
          <w:rStyle w:val="af1"/>
          <w:rtl/>
        </w:rPr>
        <w:footnoteReference w:id="80"/>
      </w:r>
      <w:r>
        <w:rPr>
          <w:rFonts w:hint="cs"/>
          <w:rtl/>
        </w:rPr>
        <w:t>.</w:t>
      </w:r>
    </w:p>
    <w:p w14:paraId="57A08763" w14:textId="77777777" w:rsidR="005E1F6B" w:rsidRDefault="005E1F6B" w:rsidP="006D6D32">
      <w:pPr>
        <w:pStyle w:val="a3"/>
        <w:rPr>
          <w:rtl/>
        </w:rPr>
      </w:pPr>
      <w:bookmarkStart w:id="11173" w:name="_Toc531111236"/>
      <w:bookmarkStart w:id="11174" w:name="_Toc531158337"/>
      <w:bookmarkStart w:id="11175" w:name="_Toc531182440"/>
      <w:bookmarkStart w:id="11176" w:name="_Toc19390442"/>
      <w:bookmarkStart w:id="11177" w:name="_Toc19393939"/>
      <w:r>
        <w:rPr>
          <w:rFonts w:hint="cs"/>
          <w:rtl/>
        </w:rPr>
        <w:t>דברי הריטב"א דבמיעוט שקטן מאוד במספרו חייש ר"מ ורק בב' מיעוטים שונים לא חייש ר"מ</w:t>
      </w:r>
      <w:bookmarkEnd w:id="11173"/>
      <w:bookmarkEnd w:id="11174"/>
      <w:bookmarkEnd w:id="11175"/>
      <w:bookmarkEnd w:id="11176"/>
      <w:bookmarkEnd w:id="11177"/>
    </w:p>
    <w:p w14:paraId="4476B3B0" w14:textId="77777777" w:rsidR="005E1F6B" w:rsidRDefault="005E1F6B" w:rsidP="00223668">
      <w:pPr>
        <w:pStyle w:val="a0"/>
        <w:rPr>
          <w:rtl/>
        </w:rPr>
      </w:pPr>
      <w:bookmarkStart w:id="11178" w:name="_Ref530907750"/>
      <w:r>
        <w:rPr>
          <w:rFonts w:hint="cs"/>
          <w:rtl/>
        </w:rPr>
        <w:t xml:space="preserve">וכ"כ </w:t>
      </w:r>
      <w:r w:rsidRPr="00605F08">
        <w:rPr>
          <w:rStyle w:val="af9"/>
          <w:rFonts w:hint="cs"/>
          <w:rtl/>
        </w:rPr>
        <w:t>הריטב"א בע"ז</w:t>
      </w:r>
      <w:r>
        <w:rPr>
          <w:rFonts w:hint="cs"/>
          <w:rtl/>
        </w:rPr>
        <w:t xml:space="preserve"> </w:t>
      </w:r>
      <w:r w:rsidRPr="00605F08">
        <w:rPr>
          <w:rStyle w:val="af7"/>
          <w:rFonts w:eastAsia="Guttman Hodes" w:hint="cs"/>
          <w:rtl/>
        </w:rPr>
        <w:t>(לד: ד"ה כיון)</w:t>
      </w:r>
      <w:r>
        <w:rPr>
          <w:rFonts w:hint="cs"/>
          <w:rtl/>
        </w:rPr>
        <w:t xml:space="preserve"> דמבואר בגמ' שם דבמיעוט בספק אחד, אף אם הוא מיעוט קטן מאוד במספרו כלפי הרוב, מ"מ ס"ל לר"מ דחיישינן למיעוטא, והא דלא חייש ר"מ למיעוטא דמיעוטא, היינו במקום שיש ב' ספיקות שונים, שהמיעוט משניהם חשיב מיעוטא דמיעוטא, וכתב </w:t>
      </w:r>
      <w:r w:rsidRPr="00605F08">
        <w:rPr>
          <w:rStyle w:val="af9"/>
          <w:rFonts w:hint="cs"/>
          <w:rtl/>
        </w:rPr>
        <w:t>הריטב"א בע"ז</w:t>
      </w:r>
      <w:r>
        <w:rPr>
          <w:rFonts w:hint="cs"/>
          <w:rtl/>
        </w:rPr>
        <w:t xml:space="preserve"> דזו כוונת הגמ' בלשון מיעוטא דמיעוטא, [</w:t>
      </w:r>
      <w:r w:rsidRPr="00605F08">
        <w:rPr>
          <w:rStyle w:val="afb"/>
          <w:rFonts w:hint="cs"/>
          <w:rtl/>
        </w:rPr>
        <w:t>דהיינו ב' מיעוטים שונים ולא מיעוט קטן]</w:t>
      </w:r>
      <w:r>
        <w:rPr>
          <w:rFonts w:hint="cs"/>
          <w:rtl/>
        </w:rPr>
        <w:t>.</w:t>
      </w:r>
      <w:bookmarkEnd w:id="11178"/>
    </w:p>
    <w:p w14:paraId="18D82ECC" w14:textId="77777777" w:rsidR="005E1F6B" w:rsidRDefault="005E1F6B" w:rsidP="00BF39B2">
      <w:pPr>
        <w:pStyle w:val="1"/>
        <w:rPr>
          <w:rtl/>
        </w:rPr>
      </w:pPr>
      <w:bookmarkStart w:id="11179" w:name="_Toc531023272"/>
      <w:bookmarkStart w:id="11180" w:name="_Toc531106312"/>
      <w:bookmarkStart w:id="11181" w:name="_Toc531111237"/>
      <w:bookmarkStart w:id="11182" w:name="_Toc531158338"/>
      <w:bookmarkStart w:id="11183" w:name="_Toc531182441"/>
      <w:bookmarkStart w:id="11184" w:name="_Toc19390443"/>
      <w:bookmarkStart w:id="11185" w:name="_Toc19393940"/>
      <w:r>
        <w:rPr>
          <w:rFonts w:hint="cs"/>
          <w:rtl/>
        </w:rPr>
        <w:t>דעת הראשונים דאף ברוב אחד שהמיעוט אינו שכיח מודה ר"מ</w:t>
      </w:r>
      <w:bookmarkEnd w:id="11179"/>
      <w:bookmarkEnd w:id="11180"/>
      <w:bookmarkEnd w:id="11181"/>
      <w:bookmarkEnd w:id="11182"/>
      <w:bookmarkEnd w:id="11183"/>
      <w:bookmarkEnd w:id="11184"/>
      <w:bookmarkEnd w:id="11185"/>
    </w:p>
    <w:p w14:paraId="38880301" w14:textId="77777777" w:rsidR="005E1F6B" w:rsidRPr="00264F34" w:rsidRDefault="005E1F6B" w:rsidP="006D6D32">
      <w:pPr>
        <w:pStyle w:val="a3"/>
        <w:rPr>
          <w:rtl/>
        </w:rPr>
      </w:pPr>
      <w:bookmarkStart w:id="11186" w:name="_Toc531111238"/>
      <w:bookmarkStart w:id="11187" w:name="_Toc531158339"/>
      <w:bookmarkStart w:id="11188" w:name="_Toc531182442"/>
      <w:bookmarkStart w:id="11189" w:name="_Toc19390444"/>
      <w:bookmarkStart w:id="11190" w:name="_Toc19393941"/>
      <w:r>
        <w:rPr>
          <w:rFonts w:hint="cs"/>
          <w:rtl/>
        </w:rPr>
        <w:t>דברי התוס' בגיטין דמיעוט דלא שכיח הוי מיעוטא דמיעוטא ולא חייש ליה ר"מ</w:t>
      </w:r>
      <w:bookmarkEnd w:id="11186"/>
      <w:bookmarkEnd w:id="11187"/>
      <w:bookmarkEnd w:id="11188"/>
      <w:bookmarkEnd w:id="11189"/>
      <w:bookmarkEnd w:id="11190"/>
    </w:p>
    <w:p w14:paraId="54E80E5C" w14:textId="77777777" w:rsidR="005E1F6B" w:rsidRDefault="005E1F6B" w:rsidP="00223668">
      <w:pPr>
        <w:pStyle w:val="a0"/>
        <w:rPr>
          <w:rtl/>
        </w:rPr>
      </w:pPr>
      <w:r>
        <w:rPr>
          <w:rFonts w:hint="cs"/>
          <w:rtl/>
        </w:rPr>
        <w:t xml:space="preserve">אבל </w:t>
      </w:r>
      <w:r>
        <w:rPr>
          <w:rStyle w:val="afb"/>
          <w:rFonts w:hint="cs"/>
          <w:rtl/>
        </w:rPr>
        <w:t xml:space="preserve"> </w:t>
      </w:r>
      <w:r w:rsidRPr="00264F34">
        <w:rPr>
          <w:rStyle w:val="af9"/>
          <w:rFonts w:hint="cs"/>
          <w:rtl/>
        </w:rPr>
        <w:t>התוס' בגיטין</w:t>
      </w:r>
      <w:r>
        <w:rPr>
          <w:rStyle w:val="affa"/>
          <w:rFonts w:hint="cs"/>
          <w:rtl/>
        </w:rPr>
        <w:t xml:space="preserve"> </w:t>
      </w:r>
      <w:r w:rsidRPr="00264F34">
        <w:rPr>
          <w:rStyle w:val="af7"/>
          <w:rFonts w:eastAsia="Guttman Rashi" w:hint="cs"/>
          <w:rtl/>
        </w:rPr>
        <w:t>(ב: ד"ה סתם)</w:t>
      </w:r>
      <w:r>
        <w:rPr>
          <w:rStyle w:val="aff6"/>
          <w:rFonts w:hint="cs"/>
          <w:rtl/>
        </w:rPr>
        <w:t xml:space="preserve"> </w:t>
      </w:r>
      <w:r>
        <w:rPr>
          <w:rStyle w:val="af9"/>
          <w:rFonts w:hint="cs"/>
          <w:rtl/>
        </w:rPr>
        <w:t>ו</w:t>
      </w:r>
      <w:r w:rsidRPr="00264F34">
        <w:rPr>
          <w:rStyle w:val="af9"/>
          <w:rFonts w:hint="cs"/>
          <w:rtl/>
        </w:rPr>
        <w:t>התוס'</w:t>
      </w:r>
      <w:r>
        <w:rPr>
          <w:rStyle w:val="af9"/>
          <w:rFonts w:hint="cs"/>
          <w:rtl/>
        </w:rPr>
        <w:t xml:space="preserve"> הרא"ש</w:t>
      </w:r>
      <w:r w:rsidRPr="00264F34">
        <w:rPr>
          <w:rStyle w:val="af9"/>
          <w:rFonts w:hint="cs"/>
          <w:rtl/>
        </w:rPr>
        <w:t xml:space="preserve"> בגיטין</w:t>
      </w:r>
      <w:r>
        <w:rPr>
          <w:rStyle w:val="affa"/>
          <w:rFonts w:hint="cs"/>
          <w:rtl/>
        </w:rPr>
        <w:t xml:space="preserve"> </w:t>
      </w:r>
      <w:r w:rsidRPr="00264F34">
        <w:rPr>
          <w:rStyle w:val="af7"/>
          <w:rFonts w:eastAsia="Guttman Rashi" w:hint="cs"/>
          <w:rtl/>
        </w:rPr>
        <w:t>(ב: ד"ה סתם)</w:t>
      </w:r>
      <w:r>
        <w:rPr>
          <w:rStyle w:val="aff6"/>
          <w:rFonts w:hint="cs"/>
          <w:rtl/>
        </w:rPr>
        <w:t xml:space="preserve"> </w:t>
      </w:r>
      <w:r w:rsidRPr="00264F34">
        <w:rPr>
          <w:rFonts w:hint="cs"/>
          <w:rtl/>
        </w:rPr>
        <w:t>כתבו לגבי סתם ספרי דדייני מיגמר גימירי לכתוב לשמה, דהמיעוט חשיב כמיעוטא דמיעוטא לר"מ</w:t>
      </w:r>
      <w:r>
        <w:rPr>
          <w:rFonts w:hint="cs"/>
          <w:rtl/>
        </w:rPr>
        <w:t xml:space="preserve">, ומשמע דאף ברוב אחד חשיב מיעוטא דמיעוטא לר"מ ולא חייש ליה. </w:t>
      </w:r>
    </w:p>
    <w:p w14:paraId="657BC6D2" w14:textId="77777777" w:rsidR="005E1F6B" w:rsidRDefault="005E1F6B" w:rsidP="006D6D32">
      <w:pPr>
        <w:pStyle w:val="a3"/>
        <w:rPr>
          <w:rtl/>
        </w:rPr>
      </w:pPr>
      <w:bookmarkStart w:id="11191" w:name="_Toc531023273"/>
      <w:bookmarkStart w:id="11192" w:name="_Toc531106313"/>
      <w:bookmarkStart w:id="11193" w:name="_Toc531111239"/>
      <w:bookmarkStart w:id="11194" w:name="_Toc531158340"/>
      <w:bookmarkStart w:id="11195" w:name="_Toc531182443"/>
      <w:bookmarkStart w:id="11196" w:name="_Toc19390445"/>
      <w:bookmarkStart w:id="11197" w:name="_Toc19393942"/>
      <w:r>
        <w:rPr>
          <w:rFonts w:hint="cs"/>
          <w:rtl/>
        </w:rPr>
        <w:t>דעת התוס' בנדה והתוס' בשבת דכשיש חזקה שמסייעת לרוב חשיב המיעוט כמיעוטא דמיעוטא</w:t>
      </w:r>
      <w:bookmarkEnd w:id="11191"/>
      <w:bookmarkEnd w:id="11192"/>
      <w:bookmarkEnd w:id="11193"/>
      <w:bookmarkEnd w:id="11194"/>
      <w:bookmarkEnd w:id="11195"/>
      <w:bookmarkEnd w:id="11196"/>
      <w:bookmarkEnd w:id="11197"/>
    </w:p>
    <w:p w14:paraId="5887599A" w14:textId="77777777" w:rsidR="005E1F6B" w:rsidRDefault="005E1F6B" w:rsidP="00223668">
      <w:pPr>
        <w:pStyle w:val="a0"/>
        <w:rPr>
          <w:sz w:val="10"/>
          <w:szCs w:val="14"/>
          <w:rtl/>
        </w:rPr>
      </w:pPr>
      <w:r>
        <w:rPr>
          <w:rFonts w:hint="cs"/>
          <w:rtl/>
        </w:rPr>
        <w:t xml:space="preserve">וע"ע בדברי  </w:t>
      </w:r>
      <w:r w:rsidRPr="00BF14DE">
        <w:rPr>
          <w:rStyle w:val="af9"/>
          <w:rFonts w:hint="cs"/>
          <w:rtl/>
        </w:rPr>
        <w:t xml:space="preserve">התוס' בנדה </w:t>
      </w:r>
      <w:r w:rsidRPr="00200634">
        <w:rPr>
          <w:rStyle w:val="af9"/>
          <w:rtl/>
        </w:rPr>
        <w:t>והתוס' בשבת</w:t>
      </w:r>
      <w:r w:rsidRPr="00200634">
        <w:rPr>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Ref530908701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י)</w:t>
      </w:r>
      <w:r>
        <w:rPr>
          <w:rStyle w:val="af7"/>
          <w:rFonts w:eastAsia="Guttman Hodes"/>
          <w:rtl/>
        </w:rPr>
        <w:fldChar w:fldCharType="end"/>
      </w:r>
      <w:r>
        <w:rPr>
          <w:rStyle w:val="af7"/>
          <w:rFonts w:eastAsia="Guttman Hodes" w:hint="cs"/>
          <w:rtl/>
        </w:rPr>
        <w:t xml:space="preserve"> </w:t>
      </w:r>
      <w:r>
        <w:rPr>
          <w:rFonts w:hint="cs"/>
          <w:rtl/>
        </w:rPr>
        <w:t>דכתבו דבמקום שיש חזקה שמסייעת לרוב אמרינן סמוך רובא לחזקה, ואיתרע ליה מיעוטא, והו"ל מיעוטא דמיעוטא דלא חייש ליה ר"מ.</w:t>
      </w:r>
    </w:p>
    <w:p w14:paraId="5B8557B0" w14:textId="77777777" w:rsidR="005E1F6B" w:rsidRPr="00D76241" w:rsidRDefault="005E1F6B" w:rsidP="006D6D32">
      <w:pPr>
        <w:pStyle w:val="a3"/>
      </w:pPr>
      <w:bookmarkStart w:id="11198" w:name="_Toc531111241"/>
      <w:bookmarkStart w:id="11199" w:name="_Toc531158341"/>
      <w:bookmarkStart w:id="11200" w:name="_Toc531182444"/>
      <w:bookmarkStart w:id="11201" w:name="_Toc19390446"/>
      <w:bookmarkStart w:id="11202" w:name="_Toc19393943"/>
      <w:r>
        <w:rPr>
          <w:rFonts w:hint="cs"/>
          <w:rtl/>
        </w:rPr>
        <w:t>דברי הרא"ש בשם ר"ת דבמיעוט דלא שכיח מודה ר"מ דלא חיישינן ליה</w:t>
      </w:r>
      <w:bookmarkEnd w:id="11198"/>
      <w:bookmarkEnd w:id="11199"/>
      <w:bookmarkEnd w:id="11200"/>
      <w:bookmarkEnd w:id="11201"/>
      <w:bookmarkEnd w:id="11202"/>
    </w:p>
    <w:p w14:paraId="2581E69D" w14:textId="77777777" w:rsidR="005E1F6B" w:rsidRDefault="005E1F6B" w:rsidP="00223668">
      <w:pPr>
        <w:pStyle w:val="a0"/>
        <w:rPr>
          <w:sz w:val="10"/>
          <w:szCs w:val="14"/>
          <w:rtl/>
        </w:rPr>
      </w:pPr>
      <w:bookmarkStart w:id="11203" w:name="_Ref530932654"/>
      <w:r>
        <w:rPr>
          <w:rFonts w:hint="cs"/>
          <w:rtl/>
        </w:rPr>
        <w:t xml:space="preserve">הביא </w:t>
      </w:r>
      <w:r w:rsidRPr="00D76241">
        <w:rPr>
          <w:rStyle w:val="af9"/>
          <w:rFonts w:hint="cs"/>
          <w:rtl/>
        </w:rPr>
        <w:t>הרא"ש</w:t>
      </w:r>
      <w:r>
        <w:rPr>
          <w:rFonts w:hint="cs"/>
          <w:rtl/>
        </w:rPr>
        <w:t xml:space="preserve"> </w:t>
      </w:r>
      <w:r w:rsidRPr="00D76241">
        <w:rPr>
          <w:rStyle w:val="af7"/>
          <w:rFonts w:eastAsia="Guttman Hodes" w:hint="cs"/>
          <w:rtl/>
        </w:rPr>
        <w:t>(סי' ט"ז)</w:t>
      </w:r>
      <w:r>
        <w:rPr>
          <w:rFonts w:hint="cs"/>
          <w:rtl/>
        </w:rPr>
        <w:t xml:space="preserve"> בשם </w:t>
      </w:r>
      <w:r w:rsidRPr="00D76241">
        <w:rPr>
          <w:rStyle w:val="af9"/>
          <w:rFonts w:hint="cs"/>
          <w:rtl/>
        </w:rPr>
        <w:t>ר"ת</w:t>
      </w:r>
      <w:r>
        <w:rPr>
          <w:rFonts w:hint="cs"/>
          <w:rtl/>
        </w:rPr>
        <w:t xml:space="preserve"> דהא דקיי"ל בסוגיין </w:t>
      </w:r>
      <w:r w:rsidRPr="00D76241">
        <w:rPr>
          <w:rStyle w:val="af7"/>
          <w:rFonts w:eastAsia="Guttman Hodes" w:hint="cs"/>
          <w:rtl/>
        </w:rPr>
        <w:t>(יב.)</w:t>
      </w:r>
      <w:r>
        <w:rPr>
          <w:rFonts w:hint="cs"/>
          <w:rtl/>
        </w:rPr>
        <w:t xml:space="preserve"> דרוב מצויין אצל שחיטה מומחין הן ולא אמרינן סמוך מיעוטא דאינם מומחין, לחזקה דבהמה בחייה בחזקת איסור עומדת</w:t>
      </w:r>
      <w:r w:rsidRPr="00D723A0">
        <w:rPr>
          <w:rStyle w:val="afb"/>
          <w:rFonts w:hint="cs"/>
          <w:rtl/>
        </w:rPr>
        <w:t xml:space="preserve">, [כדכתב </w:t>
      </w:r>
      <w:r w:rsidRPr="00392B92">
        <w:rPr>
          <w:rStyle w:val="affa"/>
          <w:rFonts w:hint="cs"/>
          <w:rtl/>
        </w:rPr>
        <w:t>הרא"ש</w:t>
      </w:r>
      <w:r w:rsidRPr="00D723A0">
        <w:rPr>
          <w:rStyle w:val="afb"/>
          <w:rFonts w:hint="cs"/>
          <w:rtl/>
        </w:rPr>
        <w:t xml:space="preserve"> ב</w:t>
      </w:r>
      <w:r>
        <w:rPr>
          <w:rStyle w:val="afb"/>
          <w:rFonts w:hint="cs"/>
          <w:rtl/>
        </w:rPr>
        <w:t>ש</w:t>
      </w:r>
      <w:r w:rsidRPr="00D723A0">
        <w:rPr>
          <w:rStyle w:val="afb"/>
          <w:rFonts w:hint="cs"/>
          <w:rtl/>
        </w:rPr>
        <w:t xml:space="preserve">ם </w:t>
      </w:r>
      <w:r w:rsidRPr="00392B92">
        <w:rPr>
          <w:rStyle w:val="affa"/>
          <w:rFonts w:hint="cs"/>
          <w:rtl/>
        </w:rPr>
        <w:t>ר"ת</w:t>
      </w:r>
      <w:r w:rsidRPr="00D723A0">
        <w:rPr>
          <w:rStyle w:val="afb"/>
          <w:rFonts w:hint="cs"/>
          <w:rtl/>
        </w:rPr>
        <w:t xml:space="preserve"> </w:t>
      </w:r>
      <w:r w:rsidRPr="00D723A0">
        <w:rPr>
          <w:rStyle w:val="af7"/>
          <w:rFonts w:eastAsia="Guttman Hodes" w:hint="cs"/>
          <w:rtl/>
        </w:rPr>
        <w:t xml:space="preserve">(עי' אות </w:t>
      </w:r>
      <w:r w:rsidRPr="00D723A0">
        <w:rPr>
          <w:rStyle w:val="af7"/>
          <w:rFonts w:eastAsia="Guttman Hodes"/>
          <w:rtl/>
        </w:rPr>
        <w:fldChar w:fldCharType="begin"/>
      </w:r>
      <w:r w:rsidRPr="00D723A0">
        <w:rPr>
          <w:rStyle w:val="af7"/>
          <w:rFonts w:eastAsia="Guttman Hodes"/>
          <w:rtl/>
        </w:rPr>
        <w:instrText xml:space="preserve"> </w:instrText>
      </w:r>
      <w:r w:rsidRPr="00D723A0">
        <w:rPr>
          <w:rStyle w:val="af7"/>
          <w:rFonts w:eastAsia="Guttman Hodes" w:hint="cs"/>
        </w:rPr>
        <w:instrText>REF</w:instrText>
      </w:r>
      <w:r w:rsidRPr="00D723A0">
        <w:rPr>
          <w:rStyle w:val="af7"/>
          <w:rFonts w:eastAsia="Guttman Hodes" w:hint="cs"/>
          <w:rtl/>
        </w:rPr>
        <w:instrText xml:space="preserve"> _</w:instrText>
      </w:r>
      <w:r w:rsidRPr="00D723A0">
        <w:rPr>
          <w:rStyle w:val="af7"/>
          <w:rFonts w:eastAsia="Guttman Hodes" w:hint="cs"/>
        </w:rPr>
        <w:instrText>Ref530908088 \r \h</w:instrText>
      </w:r>
      <w:r w:rsidRPr="00D723A0">
        <w:rPr>
          <w:rStyle w:val="af7"/>
          <w:rFonts w:eastAsia="Guttman Hodes"/>
          <w:rtl/>
        </w:rPr>
        <w:instrText xml:space="preserve"> </w:instrText>
      </w:r>
      <w:r w:rsidRPr="00D723A0">
        <w:rPr>
          <w:rStyle w:val="af7"/>
          <w:rFonts w:eastAsia="Guttman Hodes"/>
          <w:rtl/>
        </w:rPr>
      </w:r>
      <w:r w:rsidRPr="00D723A0">
        <w:rPr>
          <w:rStyle w:val="af7"/>
          <w:rFonts w:eastAsia="Guttman Hodes"/>
          <w:rtl/>
        </w:rPr>
        <w:fldChar w:fldCharType="separate"/>
      </w:r>
      <w:r w:rsidR="00345400">
        <w:rPr>
          <w:rStyle w:val="af7"/>
          <w:rFonts w:eastAsia="Guttman Hodes"/>
          <w:cs/>
        </w:rPr>
        <w:t>‎</w:t>
      </w:r>
      <w:r w:rsidR="00345400">
        <w:rPr>
          <w:rStyle w:val="af7"/>
          <w:rFonts w:eastAsia="Guttman Hodes"/>
          <w:rtl/>
        </w:rPr>
        <w:t>מז)</w:t>
      </w:r>
      <w:r w:rsidRPr="00D723A0">
        <w:rPr>
          <w:rStyle w:val="af7"/>
          <w:rFonts w:eastAsia="Guttman Hodes"/>
          <w:rtl/>
        </w:rPr>
        <w:fldChar w:fldCharType="end"/>
      </w:r>
      <w:r w:rsidRPr="00D723A0">
        <w:rPr>
          <w:rStyle w:val="afb"/>
          <w:rFonts w:hint="cs"/>
          <w:rtl/>
        </w:rPr>
        <w:t xml:space="preserve"> דכשיש חזקה אף לדידן חיישינן למיעוט לחומרא]</w:t>
      </w:r>
      <w:r>
        <w:rPr>
          <w:rStyle w:val="afb"/>
          <w:rFonts w:hint="cs"/>
          <w:rtl/>
        </w:rPr>
        <w:t>,</w:t>
      </w:r>
      <w:r w:rsidRPr="00D723A0">
        <w:rPr>
          <w:rStyle w:val="afb"/>
          <w:rFonts w:hint="cs"/>
          <w:rtl/>
        </w:rPr>
        <w:t xml:space="preserve"> </w:t>
      </w:r>
      <w:r>
        <w:rPr>
          <w:rFonts w:hint="cs"/>
          <w:rtl/>
        </w:rPr>
        <w:t>היינו כיון שהמיעוט שאינן מומחין הוא לא שכיח, ואף ר"מ מודה דלא חיישינן למיעוטא שלא שכיח.</w:t>
      </w:r>
      <w:r w:rsidRPr="00624EB5">
        <w:rPr>
          <w:rFonts w:hint="cs"/>
          <w:rtl/>
        </w:rPr>
        <w:t xml:space="preserve"> </w:t>
      </w:r>
      <w:r w:rsidRPr="001A5C64">
        <w:rPr>
          <w:rStyle w:val="afb"/>
          <w:rFonts w:hint="cs"/>
          <w:rtl/>
        </w:rPr>
        <w:t xml:space="preserve">[ומבואר מדברי </w:t>
      </w:r>
      <w:r w:rsidRPr="001A5C64">
        <w:rPr>
          <w:rStyle w:val="affa"/>
          <w:rFonts w:hint="cs"/>
          <w:rtl/>
        </w:rPr>
        <w:t>הרא"ש</w:t>
      </w:r>
      <w:r w:rsidRPr="001A5C64">
        <w:rPr>
          <w:rStyle w:val="afb"/>
          <w:rFonts w:hint="cs"/>
          <w:rtl/>
        </w:rPr>
        <w:t xml:space="preserve"> דאף במיעוט אחד שאינו שכיח לא חייש ליה ר"מ, ודלא </w:t>
      </w:r>
      <w:r w:rsidRPr="001A5C64">
        <w:rPr>
          <w:rStyle w:val="affa"/>
          <w:rFonts w:hint="cs"/>
          <w:rtl/>
        </w:rPr>
        <w:t>כהמרדכי</w:t>
      </w:r>
      <w:r w:rsidRPr="001A5C64">
        <w:rPr>
          <w:rStyle w:val="afb"/>
          <w:rFonts w:hint="cs"/>
          <w:rtl/>
        </w:rPr>
        <w:t xml:space="preserve"> </w:t>
      </w:r>
      <w:r w:rsidRPr="001A5C64">
        <w:rPr>
          <w:rStyle w:val="aff6"/>
          <w:rFonts w:hint="cs"/>
          <w:rtl/>
        </w:rPr>
        <w:t xml:space="preserve">(עי' אות </w:t>
      </w:r>
      <w:r w:rsidRPr="001A5C64">
        <w:rPr>
          <w:rStyle w:val="aff6"/>
          <w:rtl/>
        </w:rPr>
        <w:fldChar w:fldCharType="begin"/>
      </w:r>
      <w:r w:rsidRPr="001A5C64">
        <w:rPr>
          <w:rStyle w:val="aff6"/>
          <w:rtl/>
        </w:rPr>
        <w:instrText xml:space="preserve"> </w:instrText>
      </w:r>
      <w:r w:rsidRPr="001A5C64">
        <w:rPr>
          <w:rStyle w:val="aff6"/>
          <w:rFonts w:hint="cs"/>
        </w:rPr>
        <w:instrText>REF</w:instrText>
      </w:r>
      <w:r w:rsidRPr="001A5C64">
        <w:rPr>
          <w:rStyle w:val="aff6"/>
          <w:rFonts w:hint="cs"/>
          <w:rtl/>
        </w:rPr>
        <w:instrText xml:space="preserve"> _</w:instrText>
      </w:r>
      <w:r w:rsidRPr="001A5C64">
        <w:rPr>
          <w:rStyle w:val="aff6"/>
          <w:rFonts w:hint="cs"/>
        </w:rPr>
        <w:instrText>Ref530907738 \r \h</w:instrText>
      </w:r>
      <w:r w:rsidRPr="001A5C64">
        <w:rPr>
          <w:rStyle w:val="aff6"/>
          <w:rtl/>
        </w:rPr>
        <w:instrText xml:space="preserve"> </w:instrText>
      </w:r>
      <w:r w:rsidRPr="001A5C64">
        <w:rPr>
          <w:rStyle w:val="aff6"/>
          <w:rtl/>
        </w:rPr>
      </w:r>
      <w:r w:rsidRPr="001A5C64">
        <w:rPr>
          <w:rStyle w:val="aff6"/>
          <w:rtl/>
        </w:rPr>
        <w:fldChar w:fldCharType="separate"/>
      </w:r>
      <w:r w:rsidR="00345400">
        <w:rPr>
          <w:rStyle w:val="aff6"/>
          <w:cs/>
        </w:rPr>
        <w:t>‎</w:t>
      </w:r>
      <w:r w:rsidR="00345400">
        <w:rPr>
          <w:rStyle w:val="aff6"/>
          <w:rtl/>
        </w:rPr>
        <w:t>יד)</w:t>
      </w:r>
      <w:r w:rsidRPr="001A5C64">
        <w:rPr>
          <w:rStyle w:val="aff6"/>
          <w:rtl/>
        </w:rPr>
        <w:fldChar w:fldCharType="end"/>
      </w:r>
      <w:r w:rsidRPr="001A5C64">
        <w:rPr>
          <w:rStyle w:val="afb"/>
          <w:rFonts w:hint="cs"/>
          <w:rtl/>
        </w:rPr>
        <w:t xml:space="preserve"> </w:t>
      </w:r>
      <w:r w:rsidRPr="001A5C64">
        <w:rPr>
          <w:rStyle w:val="affa"/>
          <w:rFonts w:hint="cs"/>
          <w:rtl/>
        </w:rPr>
        <w:t>והריטב"א בע"ז</w:t>
      </w:r>
      <w:r w:rsidRPr="001A5C64">
        <w:rPr>
          <w:rStyle w:val="afb"/>
          <w:rFonts w:hint="cs"/>
          <w:rtl/>
        </w:rPr>
        <w:t xml:space="preserve"> </w:t>
      </w:r>
      <w:r w:rsidRPr="001A5C64">
        <w:rPr>
          <w:rStyle w:val="aff6"/>
          <w:rFonts w:hint="cs"/>
          <w:rtl/>
        </w:rPr>
        <w:t xml:space="preserve">(עי' אות </w:t>
      </w:r>
      <w:r w:rsidRPr="001A5C64">
        <w:rPr>
          <w:rStyle w:val="aff6"/>
          <w:rtl/>
        </w:rPr>
        <w:fldChar w:fldCharType="begin"/>
      </w:r>
      <w:r w:rsidRPr="001A5C64">
        <w:rPr>
          <w:rStyle w:val="aff6"/>
          <w:rtl/>
        </w:rPr>
        <w:instrText xml:space="preserve"> </w:instrText>
      </w:r>
      <w:r w:rsidRPr="001A5C64">
        <w:rPr>
          <w:rStyle w:val="aff6"/>
          <w:rFonts w:hint="cs"/>
        </w:rPr>
        <w:instrText>REF</w:instrText>
      </w:r>
      <w:r w:rsidRPr="001A5C64">
        <w:rPr>
          <w:rStyle w:val="aff6"/>
          <w:rFonts w:hint="cs"/>
          <w:rtl/>
        </w:rPr>
        <w:instrText xml:space="preserve"> _</w:instrText>
      </w:r>
      <w:r w:rsidRPr="001A5C64">
        <w:rPr>
          <w:rStyle w:val="aff6"/>
          <w:rFonts w:hint="cs"/>
        </w:rPr>
        <w:instrText>Ref530907750 \r \h</w:instrText>
      </w:r>
      <w:r w:rsidRPr="001A5C64">
        <w:rPr>
          <w:rStyle w:val="aff6"/>
          <w:rtl/>
        </w:rPr>
        <w:instrText xml:space="preserve"> </w:instrText>
      </w:r>
      <w:r w:rsidRPr="001A5C64">
        <w:rPr>
          <w:rStyle w:val="aff6"/>
          <w:rtl/>
        </w:rPr>
      </w:r>
      <w:r w:rsidRPr="001A5C64">
        <w:rPr>
          <w:rStyle w:val="aff6"/>
          <w:rtl/>
        </w:rPr>
        <w:fldChar w:fldCharType="separate"/>
      </w:r>
      <w:r w:rsidR="00345400">
        <w:rPr>
          <w:rStyle w:val="aff6"/>
          <w:cs/>
        </w:rPr>
        <w:t>‎</w:t>
      </w:r>
      <w:r w:rsidR="00345400">
        <w:rPr>
          <w:rStyle w:val="aff6"/>
          <w:rtl/>
        </w:rPr>
        <w:t>טז)</w:t>
      </w:r>
      <w:r w:rsidRPr="001A5C64">
        <w:rPr>
          <w:rStyle w:val="aff6"/>
          <w:rtl/>
        </w:rPr>
        <w:fldChar w:fldCharType="end"/>
      </w:r>
      <w:r w:rsidRPr="001A5C64">
        <w:rPr>
          <w:rStyle w:val="afb"/>
          <w:rFonts w:hint="cs"/>
          <w:rtl/>
        </w:rPr>
        <w:t>].</w:t>
      </w:r>
      <w:bookmarkEnd w:id="11203"/>
    </w:p>
    <w:p w14:paraId="0378C930" w14:textId="77777777" w:rsidR="005E1F6B" w:rsidRPr="00624EB5" w:rsidRDefault="005E1F6B" w:rsidP="006D6D32">
      <w:pPr>
        <w:pStyle w:val="a3"/>
      </w:pPr>
      <w:bookmarkStart w:id="11204" w:name="_Toc531111242"/>
      <w:bookmarkStart w:id="11205" w:name="_Toc531158342"/>
      <w:bookmarkStart w:id="11206" w:name="_Toc531182445"/>
      <w:bookmarkStart w:id="11207" w:name="_Toc19390447"/>
      <w:bookmarkStart w:id="11208" w:name="_Toc19393944"/>
      <w:r>
        <w:rPr>
          <w:rFonts w:hint="cs"/>
          <w:rtl/>
        </w:rPr>
        <w:t>דברי הרא"ש בשם ר"ת דכן מוכח מדין ספרי דדייני ומדין מים שאין להם סוף דהוא מיעוט דלא שכיח</w:t>
      </w:r>
      <w:bookmarkEnd w:id="11204"/>
      <w:bookmarkEnd w:id="11205"/>
      <w:bookmarkEnd w:id="11206"/>
      <w:bookmarkEnd w:id="11207"/>
      <w:bookmarkEnd w:id="11208"/>
    </w:p>
    <w:p w14:paraId="4BCAFA19" w14:textId="77777777" w:rsidR="005E1F6B" w:rsidRDefault="005E1F6B" w:rsidP="00223668">
      <w:pPr>
        <w:pStyle w:val="a0"/>
        <w:rPr>
          <w:rStyle w:val="afb"/>
          <w:rtl/>
        </w:rPr>
      </w:pPr>
      <w:bookmarkStart w:id="11209" w:name="_Ref530932614"/>
      <w:r>
        <w:rPr>
          <w:rFonts w:hint="cs"/>
          <w:rtl/>
        </w:rPr>
        <w:t xml:space="preserve">וכתב </w:t>
      </w:r>
      <w:r w:rsidRPr="00D76241">
        <w:rPr>
          <w:rStyle w:val="af9"/>
          <w:rFonts w:hint="cs"/>
          <w:rtl/>
        </w:rPr>
        <w:t>הרא"ש</w:t>
      </w:r>
      <w:r>
        <w:rPr>
          <w:rFonts w:hint="cs"/>
          <w:rtl/>
        </w:rPr>
        <w:t xml:space="preserve"> בשם </w:t>
      </w:r>
      <w:r w:rsidRPr="00D76241">
        <w:rPr>
          <w:rStyle w:val="af9"/>
          <w:rFonts w:hint="cs"/>
          <w:rtl/>
        </w:rPr>
        <w:t>ר"ת</w:t>
      </w:r>
      <w:r>
        <w:rPr>
          <w:rFonts w:hint="cs"/>
          <w:rtl/>
        </w:rPr>
        <w:t xml:space="preserve"> דכן מבואר בגמ' בנדה </w:t>
      </w:r>
      <w:r w:rsidRPr="00D76241">
        <w:rPr>
          <w:rStyle w:val="af7"/>
          <w:rFonts w:eastAsia="Guttman Hodes" w:hint="cs"/>
          <w:rtl/>
        </w:rPr>
        <w:t>(לב.)</w:t>
      </w:r>
      <w:r>
        <w:rPr>
          <w:rFonts w:hint="cs"/>
          <w:rtl/>
        </w:rPr>
        <w:t xml:space="preserve"> ובגמ' בגיטין </w:t>
      </w:r>
      <w:r w:rsidRPr="00D76241">
        <w:rPr>
          <w:rStyle w:val="af7"/>
          <w:rFonts w:eastAsia="Guttman Hodes" w:hint="cs"/>
          <w:rtl/>
        </w:rPr>
        <w:t>(ב:)</w:t>
      </w:r>
      <w:r>
        <w:rPr>
          <w:rFonts w:hint="cs"/>
          <w:rtl/>
        </w:rPr>
        <w:t xml:space="preserve"> דבסתם ספרי דדייני מיגמר גמירי שצריך לכתוב גט לשמה, ואף לר"מ לא חיישינן למיעוט דלא גמירי, וכן בגמ' ביבמות </w:t>
      </w:r>
      <w:r w:rsidRPr="00D76241">
        <w:rPr>
          <w:rStyle w:val="af7"/>
          <w:rFonts w:eastAsia="Guttman Hodes" w:hint="cs"/>
          <w:rtl/>
        </w:rPr>
        <w:t>(קכא.)</w:t>
      </w:r>
      <w:r>
        <w:rPr>
          <w:rFonts w:hint="cs"/>
          <w:rtl/>
        </w:rPr>
        <w:t xml:space="preserve"> דהנופל למים שאין להם סוף, ונשאת אשתו אין מוציאין אותה מבעלה ולא אמרינן סמוך מיעוטא שיצא מהמים לחזקת אשת איש, כיון שהמיעוט שיצא אינו שכיח, וע"ע בדברי </w:t>
      </w:r>
      <w:r w:rsidRPr="007F1160">
        <w:rPr>
          <w:rStyle w:val="af9"/>
          <w:rFonts w:hint="cs"/>
          <w:rtl/>
        </w:rPr>
        <w:t>הרא"ש</w:t>
      </w:r>
      <w:r>
        <w:rPr>
          <w:rFonts w:hint="cs"/>
          <w:rtl/>
        </w:rPr>
        <w:t xml:space="preserve"> </w:t>
      </w:r>
      <w:r w:rsidRPr="00AD3A2D">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Ref530932685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מו)</w:t>
      </w:r>
      <w:r>
        <w:rPr>
          <w:rStyle w:val="af7"/>
          <w:rFonts w:eastAsia="Guttman Hodes"/>
          <w:rtl/>
        </w:rPr>
        <w:fldChar w:fldCharType="end"/>
      </w:r>
      <w:r>
        <w:rPr>
          <w:rFonts w:hint="cs"/>
          <w:rtl/>
        </w:rPr>
        <w:t>.</w:t>
      </w:r>
      <w:bookmarkEnd w:id="11209"/>
    </w:p>
    <w:p w14:paraId="44E96BBF" w14:textId="77777777" w:rsidR="005E1F6B" w:rsidRDefault="005E1F6B" w:rsidP="006D6D32">
      <w:pPr>
        <w:pStyle w:val="afe"/>
        <w:rPr>
          <w:rtl/>
        </w:rPr>
      </w:pPr>
      <w:bookmarkStart w:id="11210" w:name="_Toc531023286"/>
      <w:bookmarkStart w:id="11211" w:name="_Toc531106329"/>
      <w:bookmarkStart w:id="11212" w:name="_Toc531111276"/>
      <w:bookmarkStart w:id="11213" w:name="_Toc531158343"/>
      <w:bookmarkStart w:id="11214" w:name="_Toc531182446"/>
      <w:bookmarkStart w:id="11215" w:name="_Toc19435755"/>
      <w:bookmarkStart w:id="11216" w:name="_Toc20081012"/>
      <w:bookmarkStart w:id="11217" w:name="_Toc531023274"/>
      <w:bookmarkStart w:id="11218" w:name="_Toc531106314"/>
      <w:bookmarkStart w:id="11219" w:name="_Toc531111243"/>
      <w:r>
        <w:rPr>
          <w:rFonts w:hint="cs"/>
          <w:rtl/>
        </w:rPr>
        <w:t>מיעוטא דמיעוטא בסמוך רובא לחזקה</w:t>
      </w:r>
      <w:bookmarkEnd w:id="11210"/>
      <w:bookmarkEnd w:id="11211"/>
      <w:bookmarkEnd w:id="11212"/>
      <w:bookmarkEnd w:id="11213"/>
      <w:bookmarkEnd w:id="11214"/>
      <w:bookmarkEnd w:id="11215"/>
      <w:bookmarkEnd w:id="11216"/>
      <w:r>
        <w:rPr>
          <w:rFonts w:hint="cs"/>
          <w:rtl/>
        </w:rPr>
        <w:t xml:space="preserve"> </w:t>
      </w:r>
    </w:p>
    <w:p w14:paraId="49D74FFC" w14:textId="77777777" w:rsidR="005E1F6B" w:rsidRDefault="005E1F6B" w:rsidP="006D6D32">
      <w:pPr>
        <w:pStyle w:val="a3"/>
        <w:rPr>
          <w:rtl/>
        </w:rPr>
      </w:pPr>
      <w:bookmarkStart w:id="11220" w:name="_Toc531158344"/>
      <w:bookmarkStart w:id="11221" w:name="_Toc531182447"/>
      <w:bookmarkStart w:id="11222" w:name="_Toc19390448"/>
      <w:bookmarkStart w:id="11223" w:name="_Toc19393945"/>
      <w:r>
        <w:rPr>
          <w:rFonts w:hint="cs"/>
          <w:rtl/>
        </w:rPr>
        <w:t>דברי התוס' לקמן ובנדה ובשבת דכשיש חזקה שמסייעת לרוב חייש ר"מ למיעוט רק מדרבנן</w:t>
      </w:r>
      <w:bookmarkEnd w:id="11220"/>
      <w:bookmarkEnd w:id="11221"/>
      <w:bookmarkEnd w:id="11222"/>
      <w:bookmarkEnd w:id="11223"/>
      <w:r>
        <w:rPr>
          <w:rFonts w:hint="cs"/>
          <w:rtl/>
        </w:rPr>
        <w:t xml:space="preserve"> </w:t>
      </w:r>
    </w:p>
    <w:p w14:paraId="642448F7" w14:textId="77777777" w:rsidR="005E1F6B" w:rsidRDefault="005E1F6B" w:rsidP="00223668">
      <w:pPr>
        <w:pStyle w:val="a0"/>
        <w:rPr>
          <w:rStyle w:val="afb"/>
          <w:rtl/>
        </w:rPr>
      </w:pPr>
      <w:bookmarkStart w:id="11224" w:name="_Ref531118700"/>
      <w:r>
        <w:rPr>
          <w:rFonts w:hint="cs"/>
          <w:rtl/>
        </w:rPr>
        <w:t xml:space="preserve">הקשו </w:t>
      </w:r>
      <w:r w:rsidRPr="00BF14DE">
        <w:rPr>
          <w:rStyle w:val="af9"/>
          <w:rFonts w:hint="cs"/>
          <w:rtl/>
        </w:rPr>
        <w:t xml:space="preserve">התוס' בנדה </w:t>
      </w:r>
      <w:r w:rsidRPr="00B966F4">
        <w:rPr>
          <w:rStyle w:val="af7"/>
          <w:rFonts w:eastAsia="Guttman Hodes" w:hint="cs"/>
          <w:rtl/>
        </w:rPr>
        <w:t>(לב. ד"ה ר"מ)</w:t>
      </w:r>
      <w:r>
        <w:rPr>
          <w:rFonts w:hint="cs"/>
          <w:rtl/>
        </w:rPr>
        <w:t xml:space="preserve"> </w:t>
      </w:r>
      <w:r w:rsidRPr="00200634">
        <w:rPr>
          <w:rStyle w:val="af9"/>
          <w:rtl/>
        </w:rPr>
        <w:t>והתוס' בשבת</w:t>
      </w:r>
      <w:r w:rsidRPr="00200634">
        <w:rPr>
          <w:rtl/>
        </w:rPr>
        <w:t xml:space="preserve"> </w:t>
      </w:r>
      <w:r w:rsidRPr="00200634">
        <w:rPr>
          <w:rStyle w:val="af7"/>
          <w:rFonts w:eastAsia="Guttman Hodes"/>
          <w:rtl/>
        </w:rPr>
        <w:t>(טז: ד"ה אף)</w:t>
      </w:r>
      <w:r>
        <w:rPr>
          <w:rFonts w:hint="cs"/>
          <w:rtl/>
        </w:rPr>
        <w:t xml:space="preserve"> על ר"מ דגזר על בנות כותים שיהיו נדות מעריסתן כיון שיש מיעוט תינוקות שרואות דם, דאמאי הוא גזירה דרבנן, ולא חיישינן למיעוט מדאו', ותירצו </w:t>
      </w:r>
      <w:r w:rsidRPr="00BF14DE">
        <w:rPr>
          <w:rStyle w:val="af9"/>
          <w:rFonts w:hint="cs"/>
          <w:rtl/>
        </w:rPr>
        <w:t xml:space="preserve">התוס' בנדה </w:t>
      </w:r>
      <w:r w:rsidRPr="00200634">
        <w:rPr>
          <w:rStyle w:val="af9"/>
          <w:rtl/>
        </w:rPr>
        <w:t>והתוס' בשבת</w:t>
      </w:r>
      <w:r w:rsidRPr="00200634">
        <w:rPr>
          <w:rtl/>
        </w:rPr>
        <w:t xml:space="preserve"> </w:t>
      </w:r>
      <w:r>
        <w:rPr>
          <w:rFonts w:hint="cs"/>
          <w:rtl/>
        </w:rPr>
        <w:t>דיש לתינוקות חזקת טהרה שברגע שנולדו מסתמא לא ראו, ואמרינן סמוך רובא שאינם רואות לחזקת טהרה, והמיעוט שרואות הם מיעוטא דמיעוטא ולא חיישינן להוא מדאו', ורק רבנן גזרו עליהם, [</w:t>
      </w:r>
      <w:r w:rsidRPr="00E54B72">
        <w:rPr>
          <w:rStyle w:val="afb"/>
          <w:rFonts w:hint="cs"/>
          <w:rtl/>
        </w:rPr>
        <w:t xml:space="preserve">ומבואר מדברי </w:t>
      </w:r>
      <w:r w:rsidRPr="00E54B72">
        <w:rPr>
          <w:rStyle w:val="affa"/>
          <w:rFonts w:hint="cs"/>
          <w:rtl/>
        </w:rPr>
        <w:t>התוס' בנדה</w:t>
      </w:r>
      <w:r w:rsidRPr="00E54B72">
        <w:rPr>
          <w:rStyle w:val="affa"/>
          <w:rtl/>
        </w:rPr>
        <w:t xml:space="preserve"> והתוס' בשבת</w:t>
      </w:r>
      <w:r w:rsidRPr="00E54B72">
        <w:rPr>
          <w:rStyle w:val="afb"/>
          <w:rFonts w:hint="cs"/>
          <w:rtl/>
        </w:rPr>
        <w:t xml:space="preserve"> ד</w:t>
      </w:r>
      <w:r>
        <w:rPr>
          <w:rStyle w:val="afb"/>
          <w:rFonts w:hint="cs"/>
          <w:rtl/>
        </w:rPr>
        <w:t xml:space="preserve">כשאין חזקה שמסייעת לרוב, </w:t>
      </w:r>
      <w:r w:rsidRPr="00E54B72">
        <w:rPr>
          <w:rStyle w:val="afb"/>
          <w:rFonts w:hint="cs"/>
          <w:rtl/>
        </w:rPr>
        <w:t>חייש ר"מ למיעוטא מדאו'</w:t>
      </w:r>
      <w:r>
        <w:rPr>
          <w:rStyle w:val="afb"/>
          <w:rFonts w:hint="cs"/>
          <w:rtl/>
        </w:rPr>
        <w:t>]</w:t>
      </w:r>
      <w:r w:rsidRPr="00E54B72">
        <w:rPr>
          <w:rStyle w:val="afb"/>
          <w:rFonts w:hint="cs"/>
          <w:rtl/>
        </w:rPr>
        <w:t>.</w:t>
      </w:r>
      <w:bookmarkEnd w:id="11224"/>
    </w:p>
    <w:p w14:paraId="5F102470" w14:textId="77777777" w:rsidR="005E1F6B" w:rsidRDefault="005E1F6B" w:rsidP="006D6D32">
      <w:pPr>
        <w:pStyle w:val="a3"/>
        <w:rPr>
          <w:rtl/>
        </w:rPr>
      </w:pPr>
      <w:bookmarkStart w:id="11225" w:name="_Toc531158345"/>
      <w:bookmarkStart w:id="11226" w:name="_Toc531182448"/>
      <w:bookmarkStart w:id="11227" w:name="_Toc19390449"/>
      <w:bookmarkStart w:id="11228" w:name="_Toc19393946"/>
      <w:r>
        <w:rPr>
          <w:rFonts w:hint="cs"/>
          <w:rtl/>
        </w:rPr>
        <w:t>דברי התוס' לקמן דכחזקה מסייעת לרוב אין לוקין לר"מ ע"י המיעוט</w:t>
      </w:r>
      <w:bookmarkEnd w:id="11225"/>
      <w:bookmarkEnd w:id="11226"/>
      <w:bookmarkEnd w:id="11227"/>
      <w:bookmarkEnd w:id="11228"/>
    </w:p>
    <w:p w14:paraId="0952CE6F" w14:textId="77777777" w:rsidR="005E1F6B" w:rsidRPr="00E275A7" w:rsidRDefault="005E1F6B" w:rsidP="00223668">
      <w:pPr>
        <w:pStyle w:val="a0"/>
        <w:rPr>
          <w:sz w:val="10"/>
          <w:szCs w:val="14"/>
          <w:rtl/>
        </w:rPr>
      </w:pPr>
      <w:bookmarkStart w:id="11229" w:name="_Ref531119348"/>
      <w:r>
        <w:rPr>
          <w:rFonts w:hint="cs"/>
          <w:rtl/>
        </w:rPr>
        <w:t xml:space="preserve">כתבו </w:t>
      </w:r>
      <w:r w:rsidRPr="00E54B72">
        <w:rPr>
          <w:rStyle w:val="af9"/>
          <w:rFonts w:hint="cs"/>
          <w:rtl/>
        </w:rPr>
        <w:t>התוס' לקמן</w:t>
      </w:r>
      <w:r>
        <w:rPr>
          <w:rFonts w:hint="cs"/>
          <w:rtl/>
        </w:rPr>
        <w:t xml:space="preserve"> </w:t>
      </w:r>
      <w:r w:rsidRPr="00E54B72">
        <w:rPr>
          <w:rStyle w:val="af7"/>
          <w:rFonts w:eastAsia="Guttman Hodes" w:hint="cs"/>
          <w:rtl/>
        </w:rPr>
        <w:t>(פו. ד"ה מ"ט)</w:t>
      </w:r>
      <w:r>
        <w:rPr>
          <w:rFonts w:hint="cs"/>
          <w:rtl/>
        </w:rPr>
        <w:t xml:space="preserve"> דחש"ו ששחטו פרה, השוחט אחריהם את בנה אינו לוקה מדין אותו ואת בנו לדעת ר"מ, דאף דחייש ר"מ למיעוט חש"ו ששחיטתם כשרה, מ"מ כיון דסמכינן את הרוב שלא שחטו כראוי, לחזקה שהבהמה לא נשחטה, והצד ששחטו כראוי הוא מיעוטא דמיעוטא דלא חייש ליה ר"מ. </w:t>
      </w:r>
      <w:r w:rsidRPr="00E54B72">
        <w:rPr>
          <w:rStyle w:val="afb"/>
          <w:rFonts w:hint="cs"/>
          <w:rtl/>
        </w:rPr>
        <w:t>[ומבואר מדברי</w:t>
      </w:r>
      <w:r>
        <w:rPr>
          <w:rStyle w:val="afb"/>
          <w:rFonts w:hint="cs"/>
          <w:rtl/>
        </w:rPr>
        <w:t xml:space="preserve"> </w:t>
      </w:r>
      <w:r w:rsidRPr="00E54B72">
        <w:rPr>
          <w:rStyle w:val="affa"/>
          <w:rFonts w:hint="cs"/>
          <w:rtl/>
        </w:rPr>
        <w:t>התוס' לקמן</w:t>
      </w:r>
      <w:r w:rsidRPr="00E54B72">
        <w:rPr>
          <w:rStyle w:val="afb"/>
          <w:rFonts w:hint="cs"/>
          <w:rtl/>
        </w:rPr>
        <w:t xml:space="preserve"> דאם לא היה מיעוטא דמיעוטא היו לוקין מדאו', וא"כ ר"מ חייש למיעוטא מדאו'].</w:t>
      </w:r>
      <w:bookmarkEnd w:id="11229"/>
      <w:r w:rsidRPr="00E54B72">
        <w:rPr>
          <w:rStyle w:val="afb"/>
          <w:rFonts w:hint="cs"/>
          <w:rtl/>
        </w:rPr>
        <w:t xml:space="preserve"> </w:t>
      </w:r>
    </w:p>
    <w:p w14:paraId="48C62176" w14:textId="77777777" w:rsidR="005E1F6B" w:rsidRDefault="005E1F6B" w:rsidP="006D6D32">
      <w:pPr>
        <w:pStyle w:val="a3"/>
        <w:rPr>
          <w:rtl/>
        </w:rPr>
      </w:pPr>
      <w:bookmarkStart w:id="11230" w:name="_Toc531158346"/>
      <w:bookmarkStart w:id="11231" w:name="_Toc531182449"/>
      <w:bookmarkStart w:id="11232" w:name="_Toc19390450"/>
      <w:bookmarkStart w:id="11233" w:name="_Toc19393947"/>
      <w:r>
        <w:rPr>
          <w:rFonts w:hint="cs"/>
          <w:rtl/>
        </w:rPr>
        <w:t>התירוץ הא' בתוס' לקמן דכשיש חזקה שמסייעת לרוב הוי מיעוטא דמיעוטא</w:t>
      </w:r>
      <w:bookmarkEnd w:id="11230"/>
      <w:bookmarkEnd w:id="11231"/>
      <w:bookmarkEnd w:id="11232"/>
      <w:bookmarkEnd w:id="11233"/>
    </w:p>
    <w:p w14:paraId="73FE7AFD" w14:textId="77777777" w:rsidR="005E1F6B" w:rsidRDefault="005E1F6B" w:rsidP="00223668">
      <w:pPr>
        <w:pStyle w:val="a0"/>
        <w:rPr>
          <w:rtl/>
        </w:rPr>
      </w:pPr>
      <w:r>
        <w:rPr>
          <w:rFonts w:hint="cs"/>
          <w:rtl/>
        </w:rPr>
        <w:t>וכ"כ</w:t>
      </w:r>
      <w:r w:rsidRPr="00EB3E86">
        <w:rPr>
          <w:rFonts w:hint="cs"/>
          <w:rtl/>
        </w:rPr>
        <w:t xml:space="preserve"> </w:t>
      </w:r>
      <w:r>
        <w:rPr>
          <w:rStyle w:val="af9"/>
          <w:rFonts w:hint="cs"/>
          <w:rtl/>
        </w:rPr>
        <w:t>ה</w:t>
      </w:r>
      <w:r w:rsidRPr="00563268">
        <w:rPr>
          <w:rStyle w:val="af9"/>
          <w:rFonts w:hint="cs"/>
          <w:rtl/>
        </w:rPr>
        <w:t>תוס'</w:t>
      </w:r>
      <w:r w:rsidRPr="002B4BF7">
        <w:rPr>
          <w:rStyle w:val="af9"/>
          <w:rFonts w:hint="cs"/>
          <w:rtl/>
        </w:rPr>
        <w:t xml:space="preserve"> לקמן</w:t>
      </w:r>
      <w:r>
        <w:rPr>
          <w:rStyle w:val="af7"/>
          <w:rFonts w:eastAsia="Guttman Hodes" w:hint="cs"/>
          <w:rtl/>
        </w:rPr>
        <w:t xml:space="preserve"> </w:t>
      </w:r>
      <w:r w:rsidRPr="002B4BF7">
        <w:rPr>
          <w:rStyle w:val="af7"/>
          <w:rFonts w:eastAsia="Guttman Hodes" w:hint="cs"/>
          <w:rtl/>
        </w:rPr>
        <w:t>(פו: ד"ה סמוך)</w:t>
      </w:r>
      <w:r w:rsidRPr="002B4BF7">
        <w:rPr>
          <w:rFonts w:hint="cs"/>
          <w:rtl/>
        </w:rPr>
        <w:t xml:space="preserve"> </w:t>
      </w:r>
      <w:r w:rsidRPr="002B4BF7">
        <w:rPr>
          <w:rStyle w:val="af9"/>
          <w:rFonts w:hint="cs"/>
          <w:rtl/>
        </w:rPr>
        <w:t>ו</w:t>
      </w:r>
      <w:r>
        <w:rPr>
          <w:rStyle w:val="af9"/>
          <w:rFonts w:hint="cs"/>
          <w:rtl/>
        </w:rPr>
        <w:t>ה</w:t>
      </w:r>
      <w:r w:rsidRPr="002B4BF7">
        <w:rPr>
          <w:rStyle w:val="af9"/>
          <w:rFonts w:hint="cs"/>
          <w:rtl/>
        </w:rPr>
        <w:t>תוס' בנדה</w:t>
      </w:r>
      <w:r w:rsidRPr="002B4BF7">
        <w:rPr>
          <w:rFonts w:hint="cs"/>
          <w:rtl/>
        </w:rPr>
        <w:t xml:space="preserve"> </w:t>
      </w:r>
      <w:r>
        <w:rPr>
          <w:rStyle w:val="af7"/>
          <w:rFonts w:eastAsia="Guttman Hodes" w:hint="cs"/>
          <w:rtl/>
        </w:rPr>
        <w:t xml:space="preserve"> </w:t>
      </w:r>
      <w:r w:rsidRPr="002B4BF7">
        <w:rPr>
          <w:rStyle w:val="af7"/>
          <w:rFonts w:eastAsia="Guttman Hodes" w:hint="cs"/>
          <w:rtl/>
        </w:rPr>
        <w:t>(יח: סוד"ה מיעוטא)</w:t>
      </w:r>
      <w:r w:rsidRPr="002B4BF7">
        <w:rPr>
          <w:rFonts w:hint="cs"/>
          <w:rtl/>
        </w:rPr>
        <w:t xml:space="preserve"> </w:t>
      </w:r>
      <w:r w:rsidRPr="00563268">
        <w:rPr>
          <w:rStyle w:val="af9"/>
          <w:rFonts w:hint="cs"/>
          <w:rtl/>
        </w:rPr>
        <w:t xml:space="preserve">בתירוץ הא'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Ref531118135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עא)</w:t>
      </w:r>
      <w:r>
        <w:rPr>
          <w:rStyle w:val="af7"/>
          <w:rFonts w:eastAsia="Guttman Hodes"/>
          <w:rtl/>
        </w:rPr>
        <w:fldChar w:fldCharType="end"/>
      </w:r>
      <w:r>
        <w:rPr>
          <w:rFonts w:hint="cs"/>
          <w:rtl/>
        </w:rPr>
        <w:t xml:space="preserve"> דלר"מ במקום שהחזקה הייתה מסייעת לרוב, חשיב המיעוט כמיעוטא דמיעוטא ומודה ר"מ דלא אזלינן בתריה.</w:t>
      </w:r>
    </w:p>
    <w:p w14:paraId="04C134EC" w14:textId="77777777" w:rsidR="005E1F6B" w:rsidRDefault="005E1F6B" w:rsidP="006D6D32">
      <w:pPr>
        <w:pStyle w:val="a3"/>
        <w:rPr>
          <w:rtl/>
        </w:rPr>
      </w:pPr>
      <w:bookmarkStart w:id="11234" w:name="_Toc531111240"/>
      <w:bookmarkStart w:id="11235" w:name="_Toc531158347"/>
      <w:bookmarkStart w:id="11236" w:name="_Toc531182450"/>
      <w:bookmarkStart w:id="11237" w:name="_Toc19390451"/>
      <w:bookmarkStart w:id="11238" w:name="_Toc19393948"/>
      <w:r>
        <w:rPr>
          <w:rFonts w:hint="cs"/>
          <w:rtl/>
        </w:rPr>
        <w:t>משמעות התוס' הרא"ש דרק כשיש חזקה שמסייעת לרוב לא חייש ר"מ למיעוט דלא שכיח</w:t>
      </w:r>
      <w:bookmarkEnd w:id="11234"/>
      <w:bookmarkEnd w:id="11235"/>
      <w:bookmarkEnd w:id="11236"/>
      <w:bookmarkEnd w:id="11237"/>
      <w:bookmarkEnd w:id="11238"/>
    </w:p>
    <w:p w14:paraId="031802B4" w14:textId="77777777" w:rsidR="005E1F6B" w:rsidRPr="009F47E5" w:rsidRDefault="005E1F6B" w:rsidP="00223668">
      <w:pPr>
        <w:pStyle w:val="a0"/>
        <w:rPr>
          <w:rtl/>
        </w:rPr>
      </w:pPr>
      <w:r w:rsidRPr="00866474">
        <w:rPr>
          <w:rStyle w:val="af9"/>
          <w:rFonts w:hint="cs"/>
          <w:rtl/>
        </w:rPr>
        <w:t>ובתוס' הרא"ש בשבת</w:t>
      </w:r>
      <w:r>
        <w:rPr>
          <w:rFonts w:hint="cs"/>
          <w:rtl/>
        </w:rPr>
        <w:t xml:space="preserve"> </w:t>
      </w:r>
      <w:r w:rsidRPr="00866474">
        <w:rPr>
          <w:rStyle w:val="af7"/>
          <w:rFonts w:eastAsia="Guttman Hodes" w:hint="cs"/>
          <w:rtl/>
        </w:rPr>
        <w:t>(טז: ד"ה אף)</w:t>
      </w:r>
      <w:r>
        <w:rPr>
          <w:rFonts w:hint="cs"/>
          <w:rtl/>
        </w:rPr>
        <w:t xml:space="preserve"> כתב דאף שיש מיעוט תינוקות שרואות דם ביום לידתן, מ"מ החשש שראו מיד בשעת הלידה הוא מיעוטא דלא שכיח כלל, והתינוקת בחזקת טהרה משעת לידתה, ויש רוב תינוקות שאינם רואות בשעת הלידה, וחשיב כעין רובא וחזקה, ואיתרע ליה רובא, ולא חייש ליה ר"מ כלל</w:t>
      </w:r>
      <w:r>
        <w:rPr>
          <w:rStyle w:val="af1"/>
          <w:rtl/>
        </w:rPr>
        <w:footnoteReference w:id="81"/>
      </w:r>
      <w:r w:rsidRPr="009F47E5">
        <w:rPr>
          <w:rFonts w:hint="cs"/>
          <w:rtl/>
        </w:rPr>
        <w:t>.</w:t>
      </w:r>
    </w:p>
    <w:p w14:paraId="4B2C5303" w14:textId="77777777" w:rsidR="005E1F6B" w:rsidRDefault="005E1F6B" w:rsidP="006D6D32">
      <w:pPr>
        <w:pStyle w:val="a3"/>
        <w:rPr>
          <w:rtl/>
        </w:rPr>
      </w:pPr>
      <w:bookmarkStart w:id="11239" w:name="_Toc531158348"/>
      <w:bookmarkStart w:id="11240" w:name="_Toc531182451"/>
      <w:bookmarkStart w:id="11241" w:name="_Toc19390452"/>
      <w:bookmarkStart w:id="11242" w:name="_Toc19393949"/>
      <w:r>
        <w:rPr>
          <w:rFonts w:hint="cs"/>
          <w:rtl/>
        </w:rPr>
        <w:t>דברי המרדכי דדוקא חזקה בדבר עצמו מצטרפת לרוב כנגד המיעוט</w:t>
      </w:r>
      <w:bookmarkEnd w:id="11239"/>
      <w:bookmarkEnd w:id="11240"/>
      <w:bookmarkEnd w:id="11241"/>
      <w:bookmarkEnd w:id="11242"/>
    </w:p>
    <w:p w14:paraId="7E796697" w14:textId="77777777" w:rsidR="00727D56" w:rsidRPr="00E04311" w:rsidRDefault="00727D56" w:rsidP="00223668">
      <w:pPr>
        <w:pStyle w:val="a0"/>
        <w:rPr>
          <w:rtl/>
        </w:rPr>
      </w:pPr>
      <w:r w:rsidRPr="00E04311">
        <w:rPr>
          <w:rFonts w:hint="cs"/>
          <w:rtl/>
        </w:rPr>
        <w:t xml:space="preserve">הקשה </w:t>
      </w:r>
      <w:r w:rsidRPr="00E04311">
        <w:rPr>
          <w:rStyle w:val="af9"/>
          <w:rFonts w:hint="cs"/>
          <w:rtl/>
        </w:rPr>
        <w:t>המרדכי לקמן</w:t>
      </w:r>
      <w:r w:rsidRPr="00E04311">
        <w:rPr>
          <w:rFonts w:hint="cs"/>
          <w:rtl/>
        </w:rPr>
        <w:t xml:space="preserve"> </w:t>
      </w:r>
      <w:r w:rsidRPr="00E04311">
        <w:rPr>
          <w:rStyle w:val="af7"/>
          <w:rFonts w:eastAsia="Guttman Hodes" w:hint="cs"/>
          <w:rtl/>
        </w:rPr>
        <w:t>(רמ"ז תשל"ז ד"ה ואע"ג דבפרק)</w:t>
      </w:r>
      <w:r w:rsidRPr="00E04311">
        <w:rPr>
          <w:rFonts w:hint="cs"/>
          <w:rtl/>
        </w:rPr>
        <w:t xml:space="preserve"> דבגמ' לקמן </w:t>
      </w:r>
      <w:r w:rsidRPr="00E04311">
        <w:rPr>
          <w:rStyle w:val="af7"/>
          <w:rFonts w:eastAsia="Guttman Hodes" w:hint="cs"/>
          <w:rtl/>
        </w:rPr>
        <w:t>(פו:)</w:t>
      </w:r>
      <w:r w:rsidRPr="00E04311">
        <w:rPr>
          <w:rFonts w:hint="cs"/>
          <w:rtl/>
        </w:rPr>
        <w:t xml:space="preserve"> מבואר דבמקום שיש חזקה שמסייעת לרוב לא חייש ר"מ למיעוטא, גבי חש"ו ששחטו דרוב מעשיהם מקולקלים, והבהמה בחזקת איסור עומדת, ואפ"ה</w:t>
      </w:r>
      <w:r>
        <w:rPr>
          <w:rFonts w:hint="cs"/>
          <w:rtl/>
        </w:rPr>
        <w:t xml:space="preserve"> לא</w:t>
      </w:r>
      <w:r w:rsidRPr="00E04311">
        <w:rPr>
          <w:rFonts w:hint="cs"/>
          <w:rtl/>
        </w:rPr>
        <w:t xml:space="preserve"> חייש ר"מ למיעוט ששוחטים כראוי ו</w:t>
      </w:r>
      <w:r>
        <w:rPr>
          <w:rFonts w:hint="cs"/>
          <w:rtl/>
        </w:rPr>
        <w:t>התיר</w:t>
      </w:r>
      <w:r w:rsidRPr="00E04311">
        <w:rPr>
          <w:rFonts w:hint="cs"/>
          <w:rtl/>
        </w:rPr>
        <w:t xml:space="preserve"> לשחוט את בנה של הפרה מדין אותו ואת בנו, ואילו בגמ' בע"ז </w:t>
      </w:r>
      <w:r w:rsidRPr="00E04311">
        <w:rPr>
          <w:rStyle w:val="af7"/>
          <w:rFonts w:eastAsia="Guttman Hodes" w:hint="cs"/>
          <w:rtl/>
        </w:rPr>
        <w:t>(לד:)</w:t>
      </w:r>
      <w:r w:rsidRPr="00E04311">
        <w:rPr>
          <w:rFonts w:hint="cs"/>
          <w:rtl/>
        </w:rPr>
        <w:t xml:space="preserve"> חייש ר"מ למיעוטא אף שיש חזקה שמסייעת לרוב, גבי גבינות בית אונייקי, דיש רבו בהמות שאינם נשחטות לע"ז, ויש חזקה שמסייעת לה, דכל בהמה בחזקת היתר. ותירץ </w:t>
      </w:r>
      <w:r w:rsidRPr="00E04311">
        <w:rPr>
          <w:rStyle w:val="af9"/>
          <w:rFonts w:hint="cs"/>
          <w:rtl/>
        </w:rPr>
        <w:t>המרדכי לקמן</w:t>
      </w:r>
      <w:r w:rsidRPr="00E04311">
        <w:rPr>
          <w:rFonts w:hint="cs"/>
          <w:rtl/>
        </w:rPr>
        <w:t xml:space="preserve"> דלגבינות עצמן אין חזקת היתר, והחזקה של הבהמה לא מסייעת להם, ולכן לא אמרינן סמוך חזקה לרובא.</w:t>
      </w:r>
    </w:p>
    <w:p w14:paraId="1261B129" w14:textId="77777777" w:rsidR="00CC0626" w:rsidRPr="00CC0626" w:rsidRDefault="00CC0626" w:rsidP="006D6D32">
      <w:pPr>
        <w:pStyle w:val="a3"/>
        <w:rPr>
          <w:rtl/>
        </w:rPr>
      </w:pPr>
    </w:p>
    <w:p w14:paraId="48D62093" w14:textId="77777777" w:rsidR="005E1F6B" w:rsidRDefault="005E1F6B" w:rsidP="006D6D32">
      <w:pPr>
        <w:pStyle w:val="afe"/>
        <w:rPr>
          <w:rtl/>
        </w:rPr>
      </w:pPr>
      <w:bookmarkStart w:id="11243" w:name="_Toc531158349"/>
      <w:bookmarkStart w:id="11244" w:name="_Toc531182452"/>
      <w:bookmarkStart w:id="11245" w:name="_Toc19435756"/>
      <w:bookmarkStart w:id="11246" w:name="_Toc20081013"/>
      <w:r>
        <w:rPr>
          <w:rFonts w:hint="cs"/>
          <w:rtl/>
        </w:rPr>
        <w:t>בפלוגתת ר"מ ורבנן בסמוך מיעוטא לחזקה</w:t>
      </w:r>
      <w:bookmarkEnd w:id="11217"/>
      <w:bookmarkEnd w:id="11218"/>
      <w:bookmarkEnd w:id="11219"/>
      <w:bookmarkEnd w:id="11243"/>
      <w:bookmarkEnd w:id="11244"/>
      <w:bookmarkEnd w:id="11245"/>
      <w:bookmarkEnd w:id="11246"/>
    </w:p>
    <w:p w14:paraId="59AC8776" w14:textId="77777777" w:rsidR="005E1F6B" w:rsidRDefault="005E1F6B" w:rsidP="00BF39B2">
      <w:pPr>
        <w:pStyle w:val="1"/>
        <w:rPr>
          <w:rtl/>
        </w:rPr>
      </w:pPr>
      <w:bookmarkStart w:id="11247" w:name="_Toc530647763"/>
      <w:bookmarkStart w:id="11248" w:name="_Toc531023275"/>
      <w:bookmarkStart w:id="11249" w:name="_Toc531106315"/>
      <w:bookmarkStart w:id="11250" w:name="_Toc531111244"/>
      <w:bookmarkStart w:id="11251" w:name="_Toc531158350"/>
      <w:bookmarkStart w:id="11252" w:name="_Toc531182453"/>
      <w:bookmarkStart w:id="11253" w:name="_Toc19390453"/>
      <w:bookmarkStart w:id="11254" w:name="_Toc19393950"/>
      <w:r>
        <w:rPr>
          <w:rFonts w:hint="cs"/>
          <w:rtl/>
        </w:rPr>
        <w:t>דברי רש"י והריטב"א במח' ר"מ ורבנן בסמוך מיעוטא לחזקה</w:t>
      </w:r>
      <w:bookmarkEnd w:id="11247"/>
      <w:bookmarkEnd w:id="11248"/>
      <w:bookmarkEnd w:id="11249"/>
      <w:bookmarkEnd w:id="11250"/>
      <w:bookmarkEnd w:id="11251"/>
      <w:bookmarkEnd w:id="11252"/>
      <w:bookmarkEnd w:id="11253"/>
      <w:bookmarkEnd w:id="11254"/>
    </w:p>
    <w:p w14:paraId="4AD58E76" w14:textId="77777777" w:rsidR="005E1F6B" w:rsidRPr="00CA5C83" w:rsidRDefault="005E1F6B" w:rsidP="006D6D32">
      <w:pPr>
        <w:pStyle w:val="a3"/>
        <w:rPr>
          <w:rtl/>
        </w:rPr>
      </w:pPr>
      <w:bookmarkStart w:id="11255" w:name="_Toc531111245"/>
      <w:bookmarkStart w:id="11256" w:name="_Toc531158351"/>
      <w:bookmarkStart w:id="11257" w:name="_Toc531182454"/>
      <w:bookmarkStart w:id="11258" w:name="_Toc19390454"/>
      <w:bookmarkStart w:id="11259" w:name="_Toc19393951"/>
      <w:r>
        <w:rPr>
          <w:rFonts w:hint="cs"/>
          <w:rtl/>
        </w:rPr>
        <w:t>דברי רש"י דכיון דר"מ חייש למיעוטא והמיעוט אינו בטל לכן אמרינן סמוך מיעוטא לחזקה</w:t>
      </w:r>
      <w:bookmarkEnd w:id="11255"/>
      <w:bookmarkEnd w:id="11256"/>
      <w:bookmarkEnd w:id="11257"/>
      <w:bookmarkEnd w:id="11258"/>
      <w:bookmarkEnd w:id="11259"/>
    </w:p>
    <w:p w14:paraId="7DC7217A" w14:textId="77777777" w:rsidR="005E1F6B" w:rsidRDefault="005E1F6B" w:rsidP="00223668">
      <w:pPr>
        <w:pStyle w:val="a0"/>
        <w:rPr>
          <w:rtl/>
        </w:rPr>
      </w:pPr>
      <w:bookmarkStart w:id="11260" w:name="_Ref531081932"/>
      <w:r>
        <w:rPr>
          <w:rFonts w:hint="cs"/>
          <w:rtl/>
        </w:rPr>
        <w:t xml:space="preserve">כתב </w:t>
      </w:r>
      <w:r w:rsidRPr="00E128B8">
        <w:rPr>
          <w:rStyle w:val="af9"/>
          <w:rFonts w:hint="cs"/>
          <w:rtl/>
        </w:rPr>
        <w:t>רש"י בקידושין</w:t>
      </w:r>
      <w:r>
        <w:rPr>
          <w:rFonts w:hint="cs"/>
          <w:rtl/>
        </w:rPr>
        <w:t xml:space="preserve"> </w:t>
      </w:r>
      <w:r w:rsidRPr="00E128B8">
        <w:rPr>
          <w:rStyle w:val="af7"/>
          <w:rFonts w:eastAsia="Guttman Hodes" w:hint="cs"/>
          <w:rtl/>
        </w:rPr>
        <w:t xml:space="preserve">(פ. ד"ה סמוך) </w:t>
      </w:r>
      <w:r>
        <w:rPr>
          <w:rFonts w:hint="cs"/>
          <w:rtl/>
        </w:rPr>
        <w:t>דהא דלר"מ אמרינן סמוך מיעוטא לחזקה, היינו כיון דלר"מ הרוב אינו מבטל את המיעוט לגמרי, והמיעוט במקומו עומד, כדמוכח מהא דחייש ר"מ למיעוטא, ולכן כשמוצא המיעוט את החזקה הוא מצטרף אליה.</w:t>
      </w:r>
      <w:bookmarkEnd w:id="11260"/>
    </w:p>
    <w:p w14:paraId="5B5C32A4" w14:textId="77777777" w:rsidR="005E1F6B" w:rsidRPr="00137090" w:rsidRDefault="005E1F6B" w:rsidP="006D6D32">
      <w:pPr>
        <w:pStyle w:val="a3"/>
        <w:rPr>
          <w:rtl/>
        </w:rPr>
      </w:pPr>
      <w:bookmarkStart w:id="11261" w:name="_Toc531111246"/>
      <w:bookmarkStart w:id="11262" w:name="_Toc531158352"/>
      <w:bookmarkStart w:id="11263" w:name="_Toc531182455"/>
      <w:bookmarkStart w:id="11264" w:name="_Toc19390455"/>
      <w:bookmarkStart w:id="11265" w:name="_Toc19393952"/>
      <w:r>
        <w:rPr>
          <w:rFonts w:hint="cs"/>
          <w:rtl/>
        </w:rPr>
        <w:t>דברי רש"י דלרבנן הרוב מבטל את המיעוט לגמרי ולכן לא אמרינן סמוך מיעוטא לחזקה</w:t>
      </w:r>
      <w:bookmarkEnd w:id="11261"/>
      <w:bookmarkEnd w:id="11262"/>
      <w:bookmarkEnd w:id="11263"/>
      <w:bookmarkEnd w:id="11264"/>
      <w:bookmarkEnd w:id="11265"/>
    </w:p>
    <w:p w14:paraId="7B0F9803" w14:textId="77777777" w:rsidR="005E1F6B" w:rsidRDefault="005E1F6B" w:rsidP="00223668">
      <w:pPr>
        <w:pStyle w:val="a0"/>
        <w:rPr>
          <w:rtl/>
        </w:rPr>
      </w:pPr>
      <w:r>
        <w:rPr>
          <w:rFonts w:hint="cs"/>
          <w:rtl/>
        </w:rPr>
        <w:t xml:space="preserve">ובדעת רבנן כתב </w:t>
      </w:r>
      <w:r w:rsidRPr="00E128B8">
        <w:rPr>
          <w:rStyle w:val="af9"/>
          <w:rFonts w:hint="cs"/>
          <w:rtl/>
        </w:rPr>
        <w:t>רש"י בקידושין</w:t>
      </w:r>
      <w:r w:rsidRPr="00E128B8">
        <w:rPr>
          <w:rStyle w:val="af7"/>
          <w:rFonts w:eastAsia="Guttman Hodes" w:hint="cs"/>
          <w:rtl/>
        </w:rPr>
        <w:t xml:space="preserve"> (פ. ד"ה מיעוטא)</w:t>
      </w:r>
      <w:r>
        <w:rPr>
          <w:rFonts w:hint="cs"/>
          <w:rtl/>
        </w:rPr>
        <w:t xml:space="preserve"> דס"ל דהמיעוט מתבטל לגברי הרוב, כדמוכח מהא דלא חיישי רבנן למיעוט, וכיון שהמיעוט כמאן דליתיה, אינו יכול להצטרף לחזקה.</w:t>
      </w:r>
    </w:p>
    <w:p w14:paraId="2047B483" w14:textId="77777777" w:rsidR="005E1F6B" w:rsidRDefault="005E1F6B" w:rsidP="006D6D32">
      <w:pPr>
        <w:pStyle w:val="a3"/>
        <w:rPr>
          <w:rtl/>
        </w:rPr>
      </w:pPr>
      <w:bookmarkStart w:id="11266" w:name="_Toc531182456"/>
      <w:bookmarkStart w:id="11267" w:name="_Toc19390456"/>
      <w:bookmarkStart w:id="11268" w:name="_Toc19393953"/>
      <w:r>
        <w:rPr>
          <w:rFonts w:hint="cs"/>
          <w:rtl/>
        </w:rPr>
        <w:t>קושית הריטב"א בנדה אי לרבנן המיעוט כמאן דליתיה או דאמרינן סמוך מיעוטא לחזקה</w:t>
      </w:r>
      <w:bookmarkEnd w:id="11266"/>
      <w:bookmarkEnd w:id="11267"/>
      <w:bookmarkEnd w:id="11268"/>
    </w:p>
    <w:p w14:paraId="79E4BE28" w14:textId="77777777" w:rsidR="005E1F6B" w:rsidRDefault="005E1F6B" w:rsidP="00223668">
      <w:pPr>
        <w:pStyle w:val="a0"/>
        <w:rPr>
          <w:rtl/>
        </w:rPr>
      </w:pPr>
      <w:r>
        <w:rPr>
          <w:rFonts w:hint="cs"/>
          <w:rtl/>
        </w:rPr>
        <w:t xml:space="preserve">בהא דאיתא בגמ' בנדה </w:t>
      </w:r>
      <w:r w:rsidRPr="00B35BF7">
        <w:rPr>
          <w:rStyle w:val="af7"/>
          <w:rFonts w:eastAsia="Guttman Hodes" w:hint="cs"/>
          <w:rtl/>
        </w:rPr>
        <w:t>(יח:)</w:t>
      </w:r>
      <w:r>
        <w:rPr>
          <w:rFonts w:hint="cs"/>
          <w:rtl/>
        </w:rPr>
        <w:t xml:space="preserve"> דלדעת רבנן המיעוט הוא כמאן דליתיה, הקשה </w:t>
      </w:r>
      <w:r w:rsidRPr="00B35BF7">
        <w:rPr>
          <w:rStyle w:val="af9"/>
          <w:rFonts w:hint="cs"/>
          <w:rtl/>
        </w:rPr>
        <w:t>הריטב"א בנדה</w:t>
      </w:r>
      <w:r>
        <w:rPr>
          <w:rFonts w:hint="cs"/>
          <w:rtl/>
        </w:rPr>
        <w:t xml:space="preserve"> </w:t>
      </w:r>
      <w:r w:rsidRPr="00B35BF7">
        <w:rPr>
          <w:rStyle w:val="af7"/>
          <w:rFonts w:eastAsia="Guttman Hodes" w:hint="cs"/>
          <w:rtl/>
        </w:rPr>
        <w:t>(יח: ד"ה ורבנן)</w:t>
      </w:r>
      <w:r>
        <w:rPr>
          <w:rFonts w:hint="cs"/>
          <w:rtl/>
        </w:rPr>
        <w:t xml:space="preserve"> דהא בגמ' ביבמות </w:t>
      </w:r>
      <w:r w:rsidRPr="00B35BF7">
        <w:rPr>
          <w:rStyle w:val="af7"/>
          <w:rFonts w:eastAsia="Guttman Hodes" w:hint="cs"/>
          <w:rtl/>
        </w:rPr>
        <w:t>(קיט:)</w:t>
      </w:r>
      <w:r>
        <w:rPr>
          <w:rFonts w:hint="cs"/>
          <w:rtl/>
        </w:rPr>
        <w:t xml:space="preserve"> אמרינן דסמוך מיעוטא לחזקה והו"ל כפלגא ופלגא.</w:t>
      </w:r>
      <w:r w:rsidRPr="00031306">
        <w:rPr>
          <w:rStyle w:val="afb"/>
          <w:rFonts w:hint="cs"/>
          <w:rtl/>
        </w:rPr>
        <w:t xml:space="preserve"> [כדעת </w:t>
      </w:r>
      <w:r w:rsidRPr="00031306">
        <w:rPr>
          <w:rStyle w:val="affa"/>
          <w:rFonts w:hint="cs"/>
          <w:rtl/>
        </w:rPr>
        <w:t>הראשונים ביבמות</w:t>
      </w:r>
      <w:r w:rsidRPr="00031306">
        <w:rPr>
          <w:rStyle w:val="afb"/>
          <w:rFonts w:hint="cs"/>
          <w:rtl/>
        </w:rPr>
        <w:t xml:space="preserve"> </w:t>
      </w:r>
      <w:r w:rsidRPr="00031306">
        <w:rPr>
          <w:rStyle w:val="aff6"/>
          <w:rFonts w:hint="cs"/>
          <w:rtl/>
        </w:rPr>
        <w:t xml:space="preserve">(עי' אות </w:t>
      </w:r>
      <w:r w:rsidRPr="00031306">
        <w:rPr>
          <w:rStyle w:val="aff6"/>
          <w:rtl/>
        </w:rPr>
        <w:fldChar w:fldCharType="begin"/>
      </w:r>
      <w:r w:rsidRPr="00031306">
        <w:rPr>
          <w:rStyle w:val="aff6"/>
          <w:rtl/>
        </w:rPr>
        <w:instrText xml:space="preserve"> </w:instrText>
      </w:r>
      <w:r w:rsidRPr="00031306">
        <w:rPr>
          <w:rStyle w:val="aff6"/>
          <w:rFonts w:hint="cs"/>
        </w:rPr>
        <w:instrText>REF</w:instrText>
      </w:r>
      <w:r w:rsidRPr="00031306">
        <w:rPr>
          <w:rStyle w:val="aff6"/>
          <w:rFonts w:hint="cs"/>
          <w:rtl/>
        </w:rPr>
        <w:instrText xml:space="preserve"> _</w:instrText>
      </w:r>
      <w:r w:rsidRPr="00031306">
        <w:rPr>
          <w:rStyle w:val="aff6"/>
          <w:rFonts w:hint="cs"/>
        </w:rPr>
        <w:instrText>Ref531173450 \r \h</w:instrText>
      </w:r>
      <w:r w:rsidRPr="00031306">
        <w:rPr>
          <w:rStyle w:val="aff6"/>
          <w:rtl/>
        </w:rPr>
        <w:instrText xml:space="preserve"> </w:instrText>
      </w:r>
      <w:r w:rsidRPr="00031306">
        <w:rPr>
          <w:rStyle w:val="aff6"/>
          <w:rtl/>
        </w:rPr>
      </w:r>
      <w:r w:rsidRPr="00031306">
        <w:rPr>
          <w:rStyle w:val="aff6"/>
          <w:rtl/>
        </w:rPr>
        <w:fldChar w:fldCharType="separate"/>
      </w:r>
      <w:r w:rsidR="00345400">
        <w:rPr>
          <w:rStyle w:val="aff6"/>
          <w:cs/>
        </w:rPr>
        <w:t>‎</w:t>
      </w:r>
      <w:r w:rsidR="00345400">
        <w:rPr>
          <w:rStyle w:val="aff6"/>
          <w:rtl/>
        </w:rPr>
        <w:t>מא)</w:t>
      </w:r>
      <w:r w:rsidRPr="00031306">
        <w:rPr>
          <w:rStyle w:val="aff6"/>
          <w:rtl/>
        </w:rPr>
        <w:fldChar w:fldCharType="end"/>
      </w:r>
      <w:r w:rsidRPr="00031306">
        <w:rPr>
          <w:rStyle w:val="afb"/>
          <w:rFonts w:hint="cs"/>
          <w:rtl/>
        </w:rPr>
        <w:t xml:space="preserve"> דאף לרבנן אמרינן סמוך מיעוטא לחזקה]</w:t>
      </w:r>
      <w:r>
        <w:rPr>
          <w:rFonts w:hint="cs"/>
          <w:rtl/>
        </w:rPr>
        <w:t>.</w:t>
      </w:r>
    </w:p>
    <w:p w14:paraId="57600A0D" w14:textId="77777777" w:rsidR="005E1F6B" w:rsidRDefault="005E1F6B" w:rsidP="006D6D32">
      <w:pPr>
        <w:pStyle w:val="a3"/>
        <w:rPr>
          <w:rtl/>
        </w:rPr>
      </w:pPr>
      <w:bookmarkStart w:id="11269" w:name="_Toc531182457"/>
      <w:bookmarkStart w:id="11270" w:name="_Toc19390457"/>
      <w:bookmarkStart w:id="11271" w:name="_Toc19393954"/>
      <w:r>
        <w:rPr>
          <w:rFonts w:hint="cs"/>
          <w:rtl/>
        </w:rPr>
        <w:t>ביאור הריטב"א בנדה דלר"מ חזקה עדיפא כרוב ולרבנן רוב עדיף מחזקה ובסמוך הוי פלגא ופלגא</w:t>
      </w:r>
      <w:bookmarkEnd w:id="11269"/>
      <w:bookmarkEnd w:id="11270"/>
      <w:bookmarkEnd w:id="11271"/>
    </w:p>
    <w:p w14:paraId="1A6E88F0" w14:textId="77777777" w:rsidR="005E1F6B" w:rsidRPr="008208FE" w:rsidRDefault="005E1F6B" w:rsidP="00223668">
      <w:pPr>
        <w:pStyle w:val="a0"/>
        <w:rPr>
          <w:rtl/>
        </w:rPr>
      </w:pPr>
      <w:bookmarkStart w:id="11272" w:name="_Ref531173604"/>
      <w:r>
        <w:rPr>
          <w:rFonts w:hint="cs"/>
          <w:rtl/>
        </w:rPr>
        <w:t xml:space="preserve">ותירץ </w:t>
      </w:r>
      <w:r w:rsidRPr="00B35BF7">
        <w:rPr>
          <w:rStyle w:val="af9"/>
          <w:rFonts w:hint="cs"/>
          <w:rtl/>
        </w:rPr>
        <w:t>הריטב"א בנדה</w:t>
      </w:r>
      <w:r>
        <w:rPr>
          <w:rFonts w:hint="cs"/>
          <w:rtl/>
        </w:rPr>
        <w:t xml:space="preserve"> דכוונת הגמ' בנדה לומר דהמיעוט שסומך עליו ר"מ לטהר לגמרי, לדעת רבנן הוא כמאן דליתיה, דהא לר"מ חזקה היא כרוב, ולכן כשיש מיעוט שמסייע לחזקה, יש בכחם להכריע לטהר. אבל רבנן ס"ל דכיון דרוב עדיף מחזקה, לכן בסמוך מיעוטא לחזקה הו"ל כפלגא ופלגא, ולכן ס"ל לרבנן דאין שורפין תרומה ע"י סמוך מיעוטא לחזקה, ועי' בדברי </w:t>
      </w:r>
      <w:r w:rsidRPr="00031306">
        <w:rPr>
          <w:rStyle w:val="af9"/>
          <w:rFonts w:hint="cs"/>
          <w:rtl/>
        </w:rPr>
        <w:t>הרמב"ן ביבמות</w:t>
      </w:r>
      <w:r>
        <w:rPr>
          <w:rFonts w:hint="cs"/>
          <w:rtl/>
        </w:rPr>
        <w:t xml:space="preserve"> </w:t>
      </w:r>
      <w:r w:rsidRPr="00031306">
        <w:rPr>
          <w:rStyle w:val="af7"/>
          <w:rFonts w:eastAsia="Guttman Hodes" w:hint="cs"/>
          <w:rtl/>
        </w:rPr>
        <w:t xml:space="preserve">(עי' אות </w:t>
      </w:r>
      <w:r w:rsidRPr="00031306">
        <w:rPr>
          <w:rStyle w:val="af7"/>
          <w:rFonts w:eastAsia="Guttman Hodes"/>
          <w:rtl/>
        </w:rPr>
        <w:fldChar w:fldCharType="begin"/>
      </w:r>
      <w:r w:rsidRPr="00031306">
        <w:rPr>
          <w:rStyle w:val="af7"/>
          <w:rFonts w:eastAsia="Guttman Hodes"/>
          <w:rtl/>
        </w:rPr>
        <w:instrText xml:space="preserve"> </w:instrText>
      </w:r>
      <w:r w:rsidRPr="00031306">
        <w:rPr>
          <w:rStyle w:val="af7"/>
          <w:rFonts w:eastAsia="Guttman Hodes" w:hint="cs"/>
        </w:rPr>
        <w:instrText>REF</w:instrText>
      </w:r>
      <w:r w:rsidRPr="00031306">
        <w:rPr>
          <w:rStyle w:val="af7"/>
          <w:rFonts w:eastAsia="Guttman Hodes" w:hint="cs"/>
          <w:rtl/>
        </w:rPr>
        <w:instrText xml:space="preserve"> _</w:instrText>
      </w:r>
      <w:r w:rsidRPr="00031306">
        <w:rPr>
          <w:rStyle w:val="af7"/>
          <w:rFonts w:eastAsia="Guttman Hodes" w:hint="cs"/>
        </w:rPr>
        <w:instrText>Ref531173645 \r \h</w:instrText>
      </w:r>
      <w:r w:rsidRPr="00031306">
        <w:rPr>
          <w:rStyle w:val="af7"/>
          <w:rFonts w:eastAsia="Guttman Hodes"/>
          <w:rtl/>
        </w:rPr>
        <w:instrText xml:space="preserve"> </w:instrText>
      </w:r>
      <w:r w:rsidRPr="00031306">
        <w:rPr>
          <w:rStyle w:val="af7"/>
          <w:rFonts w:eastAsia="Guttman Hodes"/>
          <w:rtl/>
        </w:rPr>
      </w:r>
      <w:r w:rsidRPr="00031306">
        <w:rPr>
          <w:rStyle w:val="af7"/>
          <w:rFonts w:eastAsia="Guttman Hodes"/>
          <w:rtl/>
        </w:rPr>
        <w:fldChar w:fldCharType="separate"/>
      </w:r>
      <w:r w:rsidR="00345400">
        <w:rPr>
          <w:rStyle w:val="af7"/>
          <w:rFonts w:eastAsia="Guttman Hodes"/>
          <w:cs/>
        </w:rPr>
        <w:t>‎</w:t>
      </w:r>
      <w:r w:rsidR="00345400">
        <w:rPr>
          <w:rStyle w:val="af7"/>
          <w:rFonts w:eastAsia="Guttman Hodes"/>
          <w:rtl/>
        </w:rPr>
        <w:t>סה)</w:t>
      </w:r>
      <w:r w:rsidRPr="00031306">
        <w:rPr>
          <w:rStyle w:val="af7"/>
          <w:rFonts w:eastAsia="Guttman Hodes"/>
          <w:rtl/>
        </w:rPr>
        <w:fldChar w:fldCharType="end"/>
      </w:r>
      <w:r>
        <w:rPr>
          <w:rFonts w:hint="cs"/>
          <w:rtl/>
        </w:rPr>
        <w:t xml:space="preserve">, וע"ע בדברי </w:t>
      </w:r>
      <w:r w:rsidRPr="00F07037">
        <w:rPr>
          <w:rStyle w:val="af9"/>
          <w:rFonts w:hint="cs"/>
          <w:rtl/>
        </w:rPr>
        <w:t>הרא"ה בבד"ה</w:t>
      </w:r>
      <w:r>
        <w:rPr>
          <w:rFonts w:hint="cs"/>
          <w:rtl/>
        </w:rPr>
        <w:t xml:space="preserve"> </w:t>
      </w:r>
      <w:r w:rsidRPr="00015939">
        <w:rPr>
          <w:rStyle w:val="af7"/>
          <w:rFonts w:eastAsia="Guttman Hodes" w:hint="cs"/>
          <w:rtl/>
        </w:rPr>
        <w:t xml:space="preserve">(עי' </w:t>
      </w:r>
      <w:r>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Ref531173983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עח)</w:t>
      </w:r>
      <w:r>
        <w:rPr>
          <w:rStyle w:val="af7"/>
          <w:rFonts w:eastAsia="Guttman Hodes"/>
          <w:rtl/>
        </w:rPr>
        <w:fldChar w:fldCharType="end"/>
      </w:r>
      <w:r>
        <w:rPr>
          <w:rFonts w:hint="cs"/>
          <w:rtl/>
        </w:rPr>
        <w:t>.</w:t>
      </w:r>
      <w:bookmarkEnd w:id="11272"/>
    </w:p>
    <w:p w14:paraId="1D882E77" w14:textId="77777777" w:rsidR="005E1F6B" w:rsidRPr="008943DE" w:rsidRDefault="005E1F6B" w:rsidP="00BF39B2">
      <w:pPr>
        <w:pStyle w:val="1"/>
        <w:rPr>
          <w:rtl/>
        </w:rPr>
      </w:pPr>
      <w:bookmarkStart w:id="11273" w:name="_Toc531106316"/>
      <w:bookmarkStart w:id="11274" w:name="_Toc531111247"/>
      <w:bookmarkStart w:id="11275" w:name="_Toc531158353"/>
      <w:bookmarkStart w:id="11276" w:name="_Toc531182458"/>
      <w:bookmarkStart w:id="11277" w:name="_Toc19390458"/>
      <w:bookmarkStart w:id="11278" w:name="_Toc19393955"/>
      <w:r>
        <w:rPr>
          <w:rFonts w:hint="cs"/>
          <w:rtl/>
        </w:rPr>
        <w:t xml:space="preserve">ביאור הבית הלוי והראש יוסף </w:t>
      </w:r>
      <w:bookmarkEnd w:id="11273"/>
      <w:r>
        <w:rPr>
          <w:rFonts w:hint="cs"/>
          <w:rtl/>
        </w:rPr>
        <w:t>בדברי רש"י ותוס'</w:t>
      </w:r>
      <w:bookmarkEnd w:id="11274"/>
      <w:bookmarkEnd w:id="11275"/>
      <w:bookmarkEnd w:id="11276"/>
      <w:bookmarkEnd w:id="11277"/>
      <w:bookmarkEnd w:id="11278"/>
    </w:p>
    <w:p w14:paraId="0C6B4574" w14:textId="77777777" w:rsidR="005E1F6B" w:rsidRDefault="005E1F6B" w:rsidP="006D6D32">
      <w:pPr>
        <w:pStyle w:val="a3"/>
        <w:rPr>
          <w:rtl/>
        </w:rPr>
      </w:pPr>
      <w:bookmarkStart w:id="11279" w:name="_Toc531111248"/>
      <w:bookmarkStart w:id="11280" w:name="_Toc531158354"/>
      <w:bookmarkStart w:id="11281" w:name="_Toc531182459"/>
      <w:bookmarkStart w:id="11282" w:name="_Toc19390459"/>
      <w:bookmarkStart w:id="11283" w:name="_Toc19393956"/>
      <w:r>
        <w:rPr>
          <w:rFonts w:hint="cs"/>
          <w:rtl/>
        </w:rPr>
        <w:t>דברי הביה"ל דמפורש בגמ' לקמן כרש"י דדין סמוך מיעוטא לחזקה תלוי אי חיישינן למיעוטא</w:t>
      </w:r>
      <w:bookmarkEnd w:id="11279"/>
      <w:bookmarkEnd w:id="11280"/>
      <w:bookmarkEnd w:id="11281"/>
      <w:bookmarkEnd w:id="11282"/>
      <w:bookmarkEnd w:id="11283"/>
    </w:p>
    <w:p w14:paraId="0A542BCA" w14:textId="77777777" w:rsidR="005E1F6B" w:rsidRDefault="005E1F6B" w:rsidP="00223668">
      <w:pPr>
        <w:pStyle w:val="a0"/>
        <w:rPr>
          <w:rtl/>
        </w:rPr>
      </w:pPr>
      <w:r>
        <w:rPr>
          <w:rFonts w:hint="cs"/>
          <w:rtl/>
        </w:rPr>
        <w:t xml:space="preserve">כתב </w:t>
      </w:r>
      <w:r w:rsidRPr="00704F6F">
        <w:rPr>
          <w:rStyle w:val="af9"/>
          <w:rFonts w:hint="cs"/>
          <w:rtl/>
        </w:rPr>
        <w:t>הבית הלוי</w:t>
      </w:r>
      <w:r>
        <w:rPr>
          <w:rFonts w:hint="cs"/>
          <w:rtl/>
        </w:rPr>
        <w:t xml:space="preserve"> </w:t>
      </w:r>
      <w:r w:rsidRPr="00704F6F">
        <w:rPr>
          <w:rStyle w:val="af7"/>
          <w:rFonts w:eastAsia="Guttman Hodes" w:hint="cs"/>
          <w:rtl/>
        </w:rPr>
        <w:t>(ח"ב סי' כ"ג אות ב' בתו"ד)</w:t>
      </w:r>
      <w:r>
        <w:rPr>
          <w:rFonts w:hint="cs"/>
          <w:rtl/>
        </w:rPr>
        <w:t xml:space="preserve"> דדברי </w:t>
      </w:r>
      <w:r w:rsidRPr="00704F6F">
        <w:rPr>
          <w:rStyle w:val="af9"/>
          <w:rFonts w:hint="cs"/>
          <w:rtl/>
        </w:rPr>
        <w:t xml:space="preserve">רש"י בקידושין </w:t>
      </w:r>
      <w:r w:rsidRPr="008943DE">
        <w:rPr>
          <w:rStyle w:val="af7"/>
          <w:rFonts w:eastAsia="Guttman Hodes" w:hint="cs"/>
          <w:rtl/>
        </w:rPr>
        <w:t xml:space="preserve">(עי' אות </w:t>
      </w:r>
      <w:r w:rsidRPr="008943DE">
        <w:rPr>
          <w:rStyle w:val="af7"/>
          <w:rFonts w:eastAsia="Guttman Hodes"/>
          <w:rtl/>
        </w:rPr>
        <w:fldChar w:fldCharType="begin"/>
      </w:r>
      <w:r w:rsidRPr="008943DE">
        <w:rPr>
          <w:rStyle w:val="af7"/>
          <w:rFonts w:eastAsia="Guttman Hodes"/>
          <w:rtl/>
        </w:rPr>
        <w:instrText xml:space="preserve"> </w:instrText>
      </w:r>
      <w:r w:rsidRPr="008943DE">
        <w:rPr>
          <w:rStyle w:val="af7"/>
          <w:rFonts w:eastAsia="Guttman Hodes" w:hint="cs"/>
        </w:rPr>
        <w:instrText>REF</w:instrText>
      </w:r>
      <w:r w:rsidRPr="008943DE">
        <w:rPr>
          <w:rStyle w:val="af7"/>
          <w:rFonts w:eastAsia="Guttman Hodes" w:hint="cs"/>
          <w:rtl/>
        </w:rPr>
        <w:instrText xml:space="preserve"> _</w:instrText>
      </w:r>
      <w:r w:rsidRPr="008943DE">
        <w:rPr>
          <w:rStyle w:val="af7"/>
          <w:rFonts w:eastAsia="Guttman Hodes" w:hint="cs"/>
        </w:rPr>
        <w:instrText>Ref531081932 \r \h</w:instrText>
      </w:r>
      <w:r w:rsidRPr="008943DE">
        <w:rPr>
          <w:rStyle w:val="af7"/>
          <w:rFonts w:eastAsia="Guttman Hodes"/>
          <w:rtl/>
        </w:rPr>
        <w:instrText xml:space="preserve"> </w:instrText>
      </w:r>
      <w:r w:rsidRPr="008943DE">
        <w:rPr>
          <w:rStyle w:val="af7"/>
          <w:rFonts w:eastAsia="Guttman Hodes"/>
          <w:rtl/>
        </w:rPr>
      </w:r>
      <w:r w:rsidRPr="008943DE">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8943DE">
        <w:rPr>
          <w:rStyle w:val="af7"/>
          <w:rFonts w:eastAsia="Guttman Hodes"/>
          <w:rtl/>
        </w:rPr>
        <w:fldChar w:fldCharType="end"/>
      </w:r>
      <w:r w:rsidRPr="008943DE">
        <w:rPr>
          <w:rStyle w:val="af7"/>
          <w:rFonts w:eastAsia="Guttman Hodes" w:hint="cs"/>
          <w:rtl/>
        </w:rPr>
        <w:t xml:space="preserve"> </w:t>
      </w:r>
      <w:r>
        <w:rPr>
          <w:rFonts w:hint="cs"/>
          <w:rtl/>
        </w:rPr>
        <w:t xml:space="preserve">דפלוגתת ר"מ ורבנן בסמוך מיעוטא לחזקה, תלויה בפלוגתתם אי חיישינן למיעוטא, כן מפורש בגמ' לקמן </w:t>
      </w:r>
      <w:r w:rsidRPr="00704F6F">
        <w:rPr>
          <w:rStyle w:val="af7"/>
          <w:rFonts w:eastAsia="Guttman Hodes" w:hint="cs"/>
          <w:rtl/>
        </w:rPr>
        <w:t>(פו.)</w:t>
      </w:r>
      <w:r>
        <w:rPr>
          <w:rFonts w:hint="cs"/>
          <w:rtl/>
        </w:rPr>
        <w:t xml:space="preserve"> בדברי ר"מ שהתיר לשחוט אותו ואת בנו אחר שחיטת חש"ו, כיון שרוב מעשיהם מקולקלים, ומקשה הגמ' דאמאי התיר ר"מ רק מחמת רוב, הא אף אם רק מיעוט מעשיהם מקולקלים היה לר"מ להתיר, דכיון דחייש למיעוטא, נימא סמוך מיעוטא דמעשיהם מקולקלים לחזקת איסור של הבהמה, וא"כ אין שחיטתם שחיטה, ומבואר דהא דאמרינן סמוך מיעוטא לחזקה לדעת ר"מ, הוא כיון דחייש למיעוטא.</w:t>
      </w:r>
    </w:p>
    <w:p w14:paraId="5A20A425" w14:textId="77777777" w:rsidR="005E1F6B" w:rsidRDefault="005E1F6B" w:rsidP="006D6D32">
      <w:pPr>
        <w:pStyle w:val="a3"/>
        <w:rPr>
          <w:rtl/>
        </w:rPr>
      </w:pPr>
      <w:bookmarkStart w:id="11284" w:name="_Toc531111249"/>
      <w:bookmarkStart w:id="11285" w:name="_Toc531158355"/>
      <w:bookmarkStart w:id="11286" w:name="_Toc531182460"/>
      <w:bookmarkStart w:id="11287" w:name="_Toc19390460"/>
      <w:bookmarkStart w:id="11288" w:name="_Toc19393957"/>
      <w:r>
        <w:rPr>
          <w:rFonts w:hint="cs"/>
          <w:rtl/>
        </w:rPr>
        <w:t>קושיית הביה"ל דהא ר"מ חייש למיעוטא מדרבנן ודין סמוך מיעוטא לחזקה הוא מדאו'</w:t>
      </w:r>
      <w:bookmarkEnd w:id="11284"/>
      <w:bookmarkEnd w:id="11285"/>
      <w:bookmarkEnd w:id="11286"/>
      <w:bookmarkEnd w:id="11287"/>
      <w:bookmarkEnd w:id="11288"/>
    </w:p>
    <w:p w14:paraId="31460F63" w14:textId="77777777" w:rsidR="005E1F6B" w:rsidRPr="000577ED" w:rsidRDefault="005E1F6B" w:rsidP="00223668">
      <w:pPr>
        <w:pStyle w:val="a0"/>
        <w:rPr>
          <w:rtl/>
        </w:rPr>
      </w:pPr>
      <w:r>
        <w:rPr>
          <w:rFonts w:hint="cs"/>
          <w:rtl/>
        </w:rPr>
        <w:t xml:space="preserve">אך הקשה </w:t>
      </w:r>
      <w:r w:rsidRPr="00704F6F">
        <w:rPr>
          <w:rStyle w:val="af9"/>
          <w:rFonts w:hint="cs"/>
          <w:rtl/>
        </w:rPr>
        <w:t xml:space="preserve">הבית הלוי </w:t>
      </w:r>
      <w:r>
        <w:rPr>
          <w:rFonts w:hint="cs"/>
          <w:rtl/>
        </w:rPr>
        <w:t xml:space="preserve">דהא כתבו </w:t>
      </w:r>
      <w:r w:rsidRPr="00704F6F">
        <w:rPr>
          <w:rStyle w:val="af9"/>
          <w:rFonts w:hint="cs"/>
          <w:rtl/>
        </w:rPr>
        <w:t xml:space="preserve">התוס' </w:t>
      </w:r>
      <w:r w:rsidRPr="007853A7">
        <w:rPr>
          <w:rStyle w:val="af7"/>
          <w:rFonts w:eastAsia="Guttman Hodes" w:hint="cs"/>
          <w:rtl/>
        </w:rPr>
        <w:t xml:space="preserve">(עי' אות </w:t>
      </w:r>
      <w:r w:rsidRPr="007853A7">
        <w:rPr>
          <w:rStyle w:val="af7"/>
          <w:rFonts w:eastAsia="Guttman Hodes"/>
          <w:rtl/>
        </w:rPr>
        <w:fldChar w:fldCharType="begin"/>
      </w:r>
      <w:r w:rsidRPr="007853A7">
        <w:rPr>
          <w:rStyle w:val="af7"/>
          <w:rFonts w:eastAsia="Guttman Hodes"/>
          <w:rtl/>
        </w:rPr>
        <w:instrText xml:space="preserve"> </w:instrText>
      </w:r>
      <w:r w:rsidRPr="007853A7">
        <w:rPr>
          <w:rStyle w:val="af7"/>
          <w:rFonts w:eastAsia="Guttman Hodes" w:hint="cs"/>
        </w:rPr>
        <w:instrText>REF</w:instrText>
      </w:r>
      <w:r w:rsidRPr="007853A7">
        <w:rPr>
          <w:rStyle w:val="af7"/>
          <w:rFonts w:eastAsia="Guttman Hodes" w:hint="cs"/>
          <w:rtl/>
        </w:rPr>
        <w:instrText xml:space="preserve"> _</w:instrText>
      </w:r>
      <w:r w:rsidRPr="007853A7">
        <w:rPr>
          <w:rStyle w:val="af7"/>
          <w:rFonts w:eastAsia="Guttman Hodes" w:hint="cs"/>
        </w:rPr>
        <w:instrText>Ref530582402 \r \h</w:instrText>
      </w:r>
      <w:r w:rsidRPr="007853A7">
        <w:rPr>
          <w:rStyle w:val="af7"/>
          <w:rFonts w:eastAsia="Guttman Hodes"/>
          <w:rtl/>
        </w:rPr>
        <w:instrText xml:space="preserve"> </w:instrText>
      </w:r>
      <w:r w:rsidRPr="007853A7">
        <w:rPr>
          <w:rStyle w:val="af7"/>
          <w:rFonts w:eastAsia="Guttman Hodes"/>
          <w:rtl/>
        </w:rPr>
      </w:r>
      <w:r w:rsidRPr="007853A7">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7853A7">
        <w:rPr>
          <w:rStyle w:val="af7"/>
          <w:rFonts w:eastAsia="Guttman Hodes"/>
          <w:rtl/>
        </w:rPr>
        <w:fldChar w:fldCharType="end"/>
      </w:r>
      <w:r>
        <w:rPr>
          <w:rFonts w:hint="cs"/>
          <w:rtl/>
        </w:rPr>
        <w:t xml:space="preserve"> דהא ר"מ חייש למיעוטא רק מדרבנן, ואילו בדין סמוך מיעוטא לחזקה מבואר בגמ' בקידושין </w:t>
      </w:r>
      <w:r w:rsidRPr="007853A7">
        <w:rPr>
          <w:rStyle w:val="af7"/>
          <w:rFonts w:eastAsia="Guttman Hodes" w:hint="cs"/>
          <w:rtl/>
        </w:rPr>
        <w:t>(פ.)</w:t>
      </w:r>
      <w:r>
        <w:rPr>
          <w:rFonts w:hint="cs"/>
          <w:rtl/>
        </w:rPr>
        <w:t xml:space="preserve"> דס"ל ר"מ דהוא מדאו', דהא טיהר ר"מ בתינוק אף מדאו' ע"י סמוך מיעוטא לחזקה, וא"כ היאך אפש"ל דפלוגתת ר"מ ורבנן אי אמרינן סמוך מיעוטא לחזקה מדאו', תלויה בפלוגתתם אי מדרבנן חיישינן למיעוטא, אך כתב </w:t>
      </w:r>
      <w:r w:rsidRPr="00704F6F">
        <w:rPr>
          <w:rStyle w:val="af9"/>
          <w:rFonts w:hint="cs"/>
          <w:rtl/>
        </w:rPr>
        <w:t xml:space="preserve">הבית הלוי </w:t>
      </w:r>
      <w:r>
        <w:rPr>
          <w:rFonts w:hint="cs"/>
          <w:rtl/>
        </w:rPr>
        <w:t>דמ"מ בגמ' לקמן מבואר להדיא דהא דאמר ר"מ סמוך מיעוטא לחזקה, הוא כיון דחייש למיעוטא. [אמנם לדברי</w:t>
      </w:r>
      <w:r w:rsidRPr="000577ED">
        <w:rPr>
          <w:rFonts w:hint="cs"/>
          <w:rtl/>
        </w:rPr>
        <w:t xml:space="preserve"> </w:t>
      </w:r>
      <w:r w:rsidRPr="000577ED">
        <w:rPr>
          <w:rStyle w:val="af9"/>
          <w:rFonts w:hint="cs"/>
          <w:rtl/>
        </w:rPr>
        <w:t>השיטמ"ק</w:t>
      </w:r>
      <w:r w:rsidRPr="000577ED">
        <w:rPr>
          <w:rFonts w:hint="cs"/>
          <w:rtl/>
        </w:rPr>
        <w:t xml:space="preserve"> </w:t>
      </w:r>
      <w:r w:rsidRPr="000577ED">
        <w:rPr>
          <w:rStyle w:val="af7"/>
          <w:rFonts w:eastAsia="Guttman Hodes" w:hint="cs"/>
          <w:rtl/>
        </w:rPr>
        <w:t xml:space="preserve">(עי' אות </w:t>
      </w:r>
      <w:r w:rsidRPr="000577ED">
        <w:rPr>
          <w:rStyle w:val="af7"/>
          <w:rFonts w:eastAsia="Guttman Hodes"/>
          <w:rtl/>
        </w:rPr>
        <w:fldChar w:fldCharType="begin"/>
      </w:r>
      <w:r w:rsidRPr="000577ED">
        <w:rPr>
          <w:rStyle w:val="af7"/>
          <w:rFonts w:eastAsia="Guttman Hodes"/>
          <w:rtl/>
        </w:rPr>
        <w:instrText xml:space="preserve"> </w:instrText>
      </w:r>
      <w:r w:rsidRPr="000577ED">
        <w:rPr>
          <w:rStyle w:val="af7"/>
          <w:rFonts w:eastAsia="Guttman Hodes" w:hint="cs"/>
        </w:rPr>
        <w:instrText>REF</w:instrText>
      </w:r>
      <w:r w:rsidRPr="000577ED">
        <w:rPr>
          <w:rStyle w:val="af7"/>
          <w:rFonts w:eastAsia="Guttman Hodes" w:hint="cs"/>
          <w:rtl/>
        </w:rPr>
        <w:instrText xml:space="preserve"> _</w:instrText>
      </w:r>
      <w:r w:rsidRPr="000577ED">
        <w:rPr>
          <w:rStyle w:val="af7"/>
          <w:rFonts w:eastAsia="Guttman Hodes" w:hint="cs"/>
        </w:rPr>
        <w:instrText>Ref531116730 \r \h</w:instrText>
      </w:r>
      <w:r w:rsidRPr="000577ED">
        <w:rPr>
          <w:rStyle w:val="af7"/>
          <w:rFonts w:eastAsia="Guttman Hodes"/>
          <w:rtl/>
        </w:rPr>
        <w:instrText xml:space="preserve"> </w:instrText>
      </w:r>
      <w:r w:rsidRPr="000577ED">
        <w:rPr>
          <w:rStyle w:val="af7"/>
          <w:rFonts w:eastAsia="Guttman Hodes"/>
          <w:rtl/>
        </w:rPr>
      </w:r>
      <w:r w:rsidRPr="000577ED">
        <w:rPr>
          <w:rStyle w:val="af7"/>
          <w:rFonts w:eastAsia="Guttman Hodes"/>
          <w:rtl/>
        </w:rPr>
        <w:fldChar w:fldCharType="separate"/>
      </w:r>
      <w:r w:rsidR="00345400">
        <w:rPr>
          <w:rStyle w:val="af7"/>
          <w:rFonts w:eastAsia="Guttman Hodes"/>
          <w:cs/>
        </w:rPr>
        <w:t>‎</w:t>
      </w:r>
      <w:r w:rsidR="00345400">
        <w:rPr>
          <w:rStyle w:val="af7"/>
          <w:rFonts w:eastAsia="Guttman Hodes"/>
          <w:rtl/>
        </w:rPr>
        <w:t>ט)</w:t>
      </w:r>
      <w:r w:rsidRPr="000577ED">
        <w:rPr>
          <w:rStyle w:val="af7"/>
          <w:rFonts w:eastAsia="Guttman Hodes"/>
          <w:rtl/>
        </w:rPr>
        <w:fldChar w:fldCharType="end"/>
      </w:r>
      <w:r>
        <w:rPr>
          <w:rFonts w:hint="cs"/>
          <w:rtl/>
        </w:rPr>
        <w:t xml:space="preserve"> </w:t>
      </w:r>
      <w:r w:rsidRPr="000577ED">
        <w:rPr>
          <w:rStyle w:val="af9"/>
          <w:rFonts w:hint="cs"/>
          <w:rtl/>
        </w:rPr>
        <w:t>דרש"י</w:t>
      </w:r>
      <w:r>
        <w:rPr>
          <w:rFonts w:hint="cs"/>
          <w:rtl/>
        </w:rPr>
        <w:t xml:space="preserve"> ס"ל דר"מ חייש למיעוטא מדאו' לק"מ].</w:t>
      </w:r>
    </w:p>
    <w:p w14:paraId="67C90AAD" w14:textId="77777777" w:rsidR="005E1F6B" w:rsidRPr="000577ED" w:rsidRDefault="005E1F6B" w:rsidP="006D6D32">
      <w:pPr>
        <w:pStyle w:val="a3"/>
        <w:rPr>
          <w:rtl/>
        </w:rPr>
      </w:pPr>
      <w:bookmarkStart w:id="11289" w:name="_Toc531111250"/>
      <w:bookmarkStart w:id="11290" w:name="_Toc531158356"/>
      <w:bookmarkStart w:id="11291" w:name="_Toc531182461"/>
      <w:bookmarkStart w:id="11292" w:name="_Toc19390461"/>
      <w:bookmarkStart w:id="11293" w:name="_Toc19393958"/>
      <w:r w:rsidRPr="000577ED">
        <w:rPr>
          <w:rFonts w:hint="cs"/>
          <w:rtl/>
        </w:rPr>
        <w:t>ביאור הביה"ל דמדאו' המיעוט אינו מתבטל ומצטרף לחזקה ומדרבנן חיישינן למיעוט לבדו</w:t>
      </w:r>
      <w:bookmarkEnd w:id="11289"/>
      <w:bookmarkEnd w:id="11290"/>
      <w:bookmarkEnd w:id="11291"/>
      <w:bookmarkEnd w:id="11292"/>
      <w:bookmarkEnd w:id="11293"/>
    </w:p>
    <w:p w14:paraId="26AB7427" w14:textId="77777777" w:rsidR="005E1F6B" w:rsidRDefault="005E1F6B" w:rsidP="00223668">
      <w:pPr>
        <w:pStyle w:val="a0"/>
        <w:rPr>
          <w:rtl/>
        </w:rPr>
      </w:pPr>
      <w:r w:rsidRPr="000577ED">
        <w:rPr>
          <w:rFonts w:hint="cs"/>
          <w:rtl/>
        </w:rPr>
        <w:t xml:space="preserve">וביאר </w:t>
      </w:r>
      <w:r w:rsidRPr="000577ED">
        <w:rPr>
          <w:rStyle w:val="af9"/>
          <w:rFonts w:hint="cs"/>
          <w:rtl/>
        </w:rPr>
        <w:t>הבית הלוי</w:t>
      </w:r>
      <w:r w:rsidRPr="000577ED">
        <w:rPr>
          <w:rFonts w:hint="cs"/>
          <w:rtl/>
        </w:rPr>
        <w:t xml:space="preserve"> דכיון דר"מ חייש למיעוטא מדרבנן</w:t>
      </w:r>
      <w:r>
        <w:rPr>
          <w:rFonts w:hint="cs"/>
          <w:rtl/>
        </w:rPr>
        <w:t>, א"כ מבואר דס"ל דאף מדאו' ס"ל דהמיעוט אינו כמאן דליתיה, אלא דדין רוב מדאו' הוא דאף שיש  מיעוט, מ"מ אזלינן בתר רובא, וכיון שהמיעוט אינו כמאן דליתיה, מדרבנן חיישינן למיעוטא, ולכן במקום שיש חזקה שמצטרפת למיעוט, ס"ל לר"מ דמדאו' יש בכח המיעוט והחזקה לעשות ספק כנגד הרוב.</w:t>
      </w:r>
    </w:p>
    <w:p w14:paraId="1A93C5D3" w14:textId="77777777" w:rsidR="005E1F6B" w:rsidRPr="00FF0B6E" w:rsidRDefault="005E1F6B" w:rsidP="006D6D32">
      <w:pPr>
        <w:pStyle w:val="a3"/>
        <w:rPr>
          <w:rtl/>
        </w:rPr>
      </w:pPr>
      <w:bookmarkStart w:id="11294" w:name="_Toc531111251"/>
      <w:bookmarkStart w:id="11295" w:name="_Toc531158357"/>
      <w:bookmarkStart w:id="11296" w:name="_Toc531182462"/>
      <w:bookmarkStart w:id="11297" w:name="_Toc19390462"/>
      <w:bookmarkStart w:id="11298" w:name="_Toc19393959"/>
      <w:r>
        <w:rPr>
          <w:rFonts w:hint="cs"/>
          <w:rtl/>
        </w:rPr>
        <w:t>ביאור הביה"ל דלרבנן מדאו' המיעוט בטל ולא א"א לצרפו לחזקה ואף מדרבנן לא חיישינן ליה</w:t>
      </w:r>
      <w:bookmarkEnd w:id="11294"/>
      <w:bookmarkEnd w:id="11295"/>
      <w:bookmarkEnd w:id="11296"/>
      <w:bookmarkEnd w:id="11297"/>
      <w:bookmarkEnd w:id="11298"/>
    </w:p>
    <w:p w14:paraId="3218F855" w14:textId="77777777" w:rsidR="005E1F6B" w:rsidRDefault="005E1F6B" w:rsidP="00223668">
      <w:pPr>
        <w:pStyle w:val="a0"/>
        <w:rPr>
          <w:rtl/>
        </w:rPr>
      </w:pPr>
      <w:r>
        <w:rPr>
          <w:rFonts w:hint="cs"/>
          <w:rtl/>
        </w:rPr>
        <w:t xml:space="preserve">ובדעת רבנן ביאר </w:t>
      </w:r>
      <w:r w:rsidRPr="00C57877">
        <w:rPr>
          <w:rStyle w:val="af9"/>
          <w:rFonts w:hint="cs"/>
          <w:rtl/>
        </w:rPr>
        <w:t>הבית הלוי</w:t>
      </w:r>
      <w:r>
        <w:rPr>
          <w:rFonts w:hint="cs"/>
          <w:rtl/>
        </w:rPr>
        <w:t xml:space="preserve"> דס"ל דמדאו' המיעוט כמאן דליתיה, וממילא אף מדרבנן לא חיישינן למיעוט כלל, ולכן גם כשיש חזקה שמצטרפת למיעוט, לא שייך לומר דמדאו' אמרינן סמוך מיעוטא לחזקה, דהא מדאו' המיעוט הוא כמאן דליתיה, ולכן ס"ל לרבנן בתינוק דהעיסה טמאה, מכח רוב תינוקות מטפחין בעיסה, דעדיף מהחזקת טהרה של העיסה, וכ"כ </w:t>
      </w:r>
      <w:r w:rsidRPr="009B462C">
        <w:rPr>
          <w:rStyle w:val="af9"/>
          <w:rFonts w:hint="cs"/>
          <w:rtl/>
        </w:rPr>
        <w:t>הקוה"ע</w:t>
      </w:r>
      <w:r>
        <w:rPr>
          <w:rFonts w:hint="cs"/>
          <w:rtl/>
        </w:rPr>
        <w:t xml:space="preserve"> </w:t>
      </w:r>
      <w:r w:rsidRPr="009B462C">
        <w:rPr>
          <w:rStyle w:val="af7"/>
          <w:rFonts w:eastAsia="Guttman Hodes" w:hint="cs"/>
          <w:rtl/>
        </w:rPr>
        <w:t>(סי' ס"ו אות י')</w:t>
      </w:r>
      <w:r>
        <w:rPr>
          <w:rFonts w:hint="cs"/>
          <w:rtl/>
        </w:rPr>
        <w:t>.</w:t>
      </w:r>
    </w:p>
    <w:p w14:paraId="02FBB611" w14:textId="77777777" w:rsidR="005E1F6B" w:rsidRDefault="005E1F6B" w:rsidP="006D6D32">
      <w:pPr>
        <w:pStyle w:val="a3"/>
        <w:rPr>
          <w:rtl/>
        </w:rPr>
      </w:pPr>
      <w:bookmarkStart w:id="11299" w:name="_Toc531111252"/>
      <w:bookmarkStart w:id="11300" w:name="_Toc531158358"/>
      <w:bookmarkStart w:id="11301" w:name="_Toc531182463"/>
      <w:bookmarkStart w:id="11302" w:name="_Toc19390463"/>
      <w:bookmarkStart w:id="11303" w:name="_Toc19393960"/>
      <w:r>
        <w:rPr>
          <w:rFonts w:hint="cs"/>
          <w:rtl/>
        </w:rPr>
        <w:t>דברי הראש יוסף דכן מסקנת הגמ' ביבמות דלרבנן המיעוט כמאן דליתיה וכן מוכח בתוס' לקמן</w:t>
      </w:r>
      <w:bookmarkEnd w:id="11299"/>
      <w:bookmarkEnd w:id="11300"/>
      <w:bookmarkEnd w:id="11301"/>
      <w:bookmarkEnd w:id="11302"/>
      <w:bookmarkEnd w:id="11303"/>
    </w:p>
    <w:p w14:paraId="0D844DD8" w14:textId="77777777" w:rsidR="005E1F6B" w:rsidRDefault="005E1F6B" w:rsidP="00223668">
      <w:pPr>
        <w:pStyle w:val="a0"/>
        <w:rPr>
          <w:rtl/>
        </w:rPr>
      </w:pPr>
      <w:r>
        <w:rPr>
          <w:rFonts w:hint="cs"/>
          <w:rtl/>
        </w:rPr>
        <w:t xml:space="preserve">וכן ביאר </w:t>
      </w:r>
      <w:r w:rsidRPr="002D6B14">
        <w:rPr>
          <w:rStyle w:val="af9"/>
          <w:rFonts w:hint="cs"/>
          <w:rtl/>
        </w:rPr>
        <w:t>הראש יוסף</w:t>
      </w:r>
      <w:r>
        <w:rPr>
          <w:rFonts w:hint="cs"/>
          <w:rtl/>
        </w:rPr>
        <w:t xml:space="preserve"> </w:t>
      </w:r>
      <w:r w:rsidRPr="00946371">
        <w:rPr>
          <w:rStyle w:val="af7"/>
          <w:rFonts w:eastAsia="Guttman Hodes" w:hint="cs"/>
          <w:rtl/>
        </w:rPr>
        <w:t>(יב. ד"ה ודרך השני)</w:t>
      </w:r>
      <w:r>
        <w:rPr>
          <w:rFonts w:hint="cs"/>
          <w:rtl/>
        </w:rPr>
        <w:t xml:space="preserve"> בדעת </w:t>
      </w:r>
      <w:r w:rsidRPr="002D6B14">
        <w:rPr>
          <w:rStyle w:val="af9"/>
          <w:rFonts w:hint="cs"/>
          <w:rtl/>
        </w:rPr>
        <w:t>התוס'</w:t>
      </w:r>
      <w:r>
        <w:rPr>
          <w:rFonts w:hint="cs"/>
          <w:rtl/>
        </w:rPr>
        <w:t xml:space="preserve"> </w:t>
      </w:r>
      <w:r w:rsidRPr="00946371">
        <w:rPr>
          <w:rStyle w:val="af7"/>
          <w:rFonts w:eastAsia="Guttman Hodes" w:hint="cs"/>
          <w:rtl/>
        </w:rPr>
        <w:t xml:space="preserve">(עי' אות </w:t>
      </w:r>
      <w:r w:rsidRPr="00946371">
        <w:rPr>
          <w:rStyle w:val="af7"/>
          <w:rFonts w:eastAsia="Guttman Hodes"/>
          <w:rtl/>
        </w:rPr>
        <w:fldChar w:fldCharType="begin"/>
      </w:r>
      <w:r w:rsidRPr="00946371">
        <w:rPr>
          <w:rStyle w:val="af7"/>
          <w:rFonts w:eastAsia="Guttman Hodes"/>
          <w:rtl/>
        </w:rPr>
        <w:instrText xml:space="preserve"> </w:instrText>
      </w:r>
      <w:r w:rsidRPr="00946371">
        <w:rPr>
          <w:rStyle w:val="af7"/>
          <w:rFonts w:eastAsia="Guttman Hodes" w:hint="cs"/>
        </w:rPr>
        <w:instrText>REF</w:instrText>
      </w:r>
      <w:r w:rsidRPr="00946371">
        <w:rPr>
          <w:rStyle w:val="af7"/>
          <w:rFonts w:eastAsia="Guttman Hodes" w:hint="cs"/>
          <w:rtl/>
        </w:rPr>
        <w:instrText xml:space="preserve"> _</w:instrText>
      </w:r>
      <w:r w:rsidRPr="00946371">
        <w:rPr>
          <w:rStyle w:val="af7"/>
          <w:rFonts w:eastAsia="Guttman Hodes" w:hint="cs"/>
        </w:rPr>
        <w:instrText>Ref530582402 \r \h</w:instrText>
      </w:r>
      <w:r w:rsidRPr="00946371">
        <w:rPr>
          <w:rStyle w:val="af7"/>
          <w:rFonts w:eastAsia="Guttman Hodes"/>
          <w:rtl/>
        </w:rPr>
        <w:instrText xml:space="preserve"> </w:instrText>
      </w:r>
      <w:r w:rsidRPr="00946371">
        <w:rPr>
          <w:rStyle w:val="af7"/>
          <w:rFonts w:eastAsia="Guttman Hodes"/>
          <w:rtl/>
        </w:rPr>
      </w:r>
      <w:r w:rsidRPr="00946371">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946371">
        <w:rPr>
          <w:rStyle w:val="af7"/>
          <w:rFonts w:eastAsia="Guttman Hodes"/>
          <w:rtl/>
        </w:rPr>
        <w:fldChar w:fldCharType="end"/>
      </w:r>
      <w:r>
        <w:rPr>
          <w:rFonts w:hint="cs"/>
          <w:rtl/>
        </w:rPr>
        <w:t xml:space="preserve"> דס"ל דר"מ חייש למיעוטא מדרבנן, דבמקום שיש חזקה שמסייעת לרוב, ס"ל לר"מ דחיישינן למיעוט מדאו', כיון שהמיעוט אינו כמאן דליתיה, והוא ספק השקול, ולרבנן המיעוט כמאן דליתיה ורובא עדיף מחזקה, </w:t>
      </w:r>
      <w:r w:rsidRPr="002466AE">
        <w:rPr>
          <w:rFonts w:hint="cs"/>
          <w:rtl/>
        </w:rPr>
        <w:t xml:space="preserve">והוסיף </w:t>
      </w:r>
      <w:r w:rsidRPr="002466AE">
        <w:rPr>
          <w:rStyle w:val="af9"/>
          <w:rFonts w:hint="cs"/>
          <w:rtl/>
        </w:rPr>
        <w:t>הראש יוסף</w:t>
      </w:r>
      <w:r w:rsidRPr="002466AE">
        <w:rPr>
          <w:rFonts w:hint="cs"/>
          <w:rtl/>
        </w:rPr>
        <w:t xml:space="preserve"> דכן מסקנת הגמ' ביבמות </w:t>
      </w:r>
      <w:r w:rsidRPr="002466AE">
        <w:rPr>
          <w:rStyle w:val="af7"/>
          <w:rFonts w:eastAsia="Guttman Hodes" w:hint="cs"/>
          <w:rtl/>
        </w:rPr>
        <w:t>(קיט:)</w:t>
      </w:r>
      <w:r w:rsidRPr="002466AE">
        <w:rPr>
          <w:rFonts w:hint="cs"/>
          <w:rtl/>
        </w:rPr>
        <w:t xml:space="preserve"> דבסמוך מיעוטא לחזקה הו"ל פלגא ופלגא, ושכן מבואר </w:t>
      </w:r>
      <w:r w:rsidRPr="002466AE">
        <w:rPr>
          <w:rStyle w:val="af9"/>
          <w:rFonts w:hint="cs"/>
          <w:rtl/>
        </w:rPr>
        <w:t>בתוס' לקמן</w:t>
      </w:r>
      <w:r w:rsidRPr="002466AE">
        <w:rPr>
          <w:rFonts w:hint="cs"/>
          <w:rtl/>
        </w:rPr>
        <w:t xml:space="preserve"> </w:t>
      </w:r>
      <w:r w:rsidRPr="008038B7">
        <w:rPr>
          <w:rStyle w:val="af7"/>
          <w:rFonts w:eastAsia="Guttman Hodes" w:hint="cs"/>
          <w:rtl/>
        </w:rPr>
        <w:t>(פו: ד"ה סמוך)</w:t>
      </w:r>
      <w:r w:rsidRPr="002466AE">
        <w:rPr>
          <w:rFonts w:hint="cs"/>
          <w:rtl/>
        </w:rPr>
        <w:t>.</w:t>
      </w:r>
    </w:p>
    <w:p w14:paraId="27AB1CA2" w14:textId="77777777" w:rsidR="005E1F6B" w:rsidRPr="008038B7" w:rsidRDefault="005E1F6B" w:rsidP="006D6D32">
      <w:pPr>
        <w:pStyle w:val="a3"/>
      </w:pPr>
      <w:bookmarkStart w:id="11304" w:name="_Toc531111253"/>
      <w:bookmarkStart w:id="11305" w:name="_Toc531158359"/>
      <w:bookmarkStart w:id="11306" w:name="_Toc531182464"/>
      <w:bookmarkStart w:id="11307" w:name="_Toc19390464"/>
      <w:bookmarkStart w:id="11308" w:name="_Toc19393961"/>
      <w:r>
        <w:rPr>
          <w:rFonts w:hint="cs"/>
          <w:rtl/>
        </w:rPr>
        <w:t>דברי הראש יוסף דבתוס' ביבמות משמע דאף סמוך מיעוטא לחזקה הוא רק מדרבנן</w:t>
      </w:r>
      <w:bookmarkEnd w:id="11304"/>
      <w:bookmarkEnd w:id="11305"/>
      <w:bookmarkEnd w:id="11306"/>
      <w:bookmarkEnd w:id="11307"/>
      <w:bookmarkEnd w:id="11308"/>
    </w:p>
    <w:p w14:paraId="6A763011" w14:textId="77777777" w:rsidR="005E1F6B" w:rsidRPr="002D6B14" w:rsidRDefault="005E1F6B" w:rsidP="00223668">
      <w:pPr>
        <w:pStyle w:val="a0"/>
        <w:rPr>
          <w:rtl/>
        </w:rPr>
      </w:pPr>
      <w:r w:rsidRPr="002466AE">
        <w:rPr>
          <w:rFonts w:hint="cs"/>
          <w:rtl/>
        </w:rPr>
        <w:t xml:space="preserve">אך כתב </w:t>
      </w:r>
      <w:r w:rsidRPr="002466AE">
        <w:rPr>
          <w:rStyle w:val="af9"/>
          <w:rFonts w:hint="cs"/>
          <w:rtl/>
        </w:rPr>
        <w:t xml:space="preserve">הראש יוסף דבתוס' </w:t>
      </w:r>
      <w:r w:rsidRPr="004B53E4">
        <w:rPr>
          <w:rStyle w:val="af9"/>
          <w:rFonts w:hint="cs"/>
          <w:rtl/>
        </w:rPr>
        <w:t>ביבמות</w:t>
      </w:r>
      <w:r>
        <w:rPr>
          <w:rFonts w:hint="cs"/>
          <w:rtl/>
        </w:rPr>
        <w:t xml:space="preserve"> </w:t>
      </w:r>
      <w:r w:rsidRPr="00ED34FA">
        <w:rPr>
          <w:rStyle w:val="af7"/>
          <w:rFonts w:eastAsia="Guttman Hodes" w:hint="cs"/>
          <w:rtl/>
        </w:rPr>
        <w:t xml:space="preserve">(עי' אות </w:t>
      </w:r>
      <w:r w:rsidRPr="00ED34FA">
        <w:rPr>
          <w:rStyle w:val="af7"/>
          <w:rFonts w:eastAsia="Guttman Hodes"/>
          <w:rtl/>
        </w:rPr>
        <w:fldChar w:fldCharType="begin"/>
      </w:r>
      <w:r w:rsidRPr="00ED34FA">
        <w:rPr>
          <w:rStyle w:val="af7"/>
          <w:rFonts w:eastAsia="Guttman Hodes"/>
          <w:rtl/>
        </w:rPr>
        <w:instrText xml:space="preserve"> </w:instrText>
      </w:r>
      <w:r w:rsidRPr="00ED34FA">
        <w:rPr>
          <w:rStyle w:val="af7"/>
          <w:rFonts w:eastAsia="Guttman Hodes" w:hint="cs"/>
        </w:rPr>
        <w:instrText>REF</w:instrText>
      </w:r>
      <w:r w:rsidRPr="00ED34FA">
        <w:rPr>
          <w:rStyle w:val="af7"/>
          <w:rFonts w:eastAsia="Guttman Hodes" w:hint="cs"/>
          <w:rtl/>
        </w:rPr>
        <w:instrText xml:space="preserve"> _</w:instrText>
      </w:r>
      <w:r w:rsidRPr="00ED34FA">
        <w:rPr>
          <w:rStyle w:val="af7"/>
          <w:rFonts w:eastAsia="Guttman Hodes" w:hint="cs"/>
        </w:rPr>
        <w:instrText>Ref531155601 \r \h</w:instrText>
      </w:r>
      <w:r w:rsidRPr="00ED34FA">
        <w:rPr>
          <w:rStyle w:val="af7"/>
          <w:rFonts w:eastAsia="Guttman Hodes"/>
          <w:rtl/>
        </w:rPr>
        <w:instrText xml:space="preserve"> </w:instrText>
      </w:r>
      <w:r w:rsidRPr="00ED34FA">
        <w:rPr>
          <w:rStyle w:val="af7"/>
          <w:rFonts w:eastAsia="Guttman Hodes"/>
          <w:rtl/>
        </w:rPr>
      </w:r>
      <w:r w:rsidRPr="00ED34FA">
        <w:rPr>
          <w:rStyle w:val="af7"/>
          <w:rFonts w:eastAsia="Guttman Hodes"/>
          <w:rtl/>
        </w:rPr>
        <w:fldChar w:fldCharType="separate"/>
      </w:r>
      <w:r w:rsidR="00345400">
        <w:rPr>
          <w:rStyle w:val="af7"/>
          <w:rFonts w:eastAsia="Guttman Hodes"/>
          <w:cs/>
        </w:rPr>
        <w:t>‎</w:t>
      </w:r>
      <w:r w:rsidR="00345400">
        <w:rPr>
          <w:rStyle w:val="af7"/>
          <w:rFonts w:eastAsia="Guttman Hodes"/>
          <w:rtl/>
        </w:rPr>
        <w:t>עה)</w:t>
      </w:r>
      <w:r w:rsidRPr="00ED34FA">
        <w:rPr>
          <w:rStyle w:val="af7"/>
          <w:rFonts w:eastAsia="Guttman Hodes"/>
          <w:rtl/>
        </w:rPr>
        <w:fldChar w:fldCharType="end"/>
      </w:r>
      <w:r w:rsidRPr="002466AE">
        <w:rPr>
          <w:rFonts w:hint="cs"/>
          <w:rtl/>
        </w:rPr>
        <w:t xml:space="preserve"> משמע דאף כשהחזקה מסייעת למיעוט, ס"ל לר"מ דרק מדרבנן חיישינן</w:t>
      </w:r>
      <w:r>
        <w:rPr>
          <w:rFonts w:hint="cs"/>
          <w:rtl/>
        </w:rPr>
        <w:t xml:space="preserve"> למיעוט.</w:t>
      </w:r>
    </w:p>
    <w:p w14:paraId="531EE560" w14:textId="77777777" w:rsidR="005E1F6B" w:rsidRDefault="005E1F6B" w:rsidP="006D6D32">
      <w:pPr>
        <w:pStyle w:val="afe"/>
        <w:rPr>
          <w:rtl/>
        </w:rPr>
      </w:pPr>
      <w:bookmarkStart w:id="11309" w:name="_Toc531106317"/>
      <w:bookmarkStart w:id="11310" w:name="_Toc531111254"/>
      <w:bookmarkStart w:id="11311" w:name="_Toc531158360"/>
      <w:bookmarkStart w:id="11312" w:name="_Toc531182465"/>
      <w:bookmarkStart w:id="11313" w:name="_Toc19435757"/>
      <w:bookmarkStart w:id="11314" w:name="_Toc20081014"/>
      <w:r>
        <w:rPr>
          <w:rFonts w:hint="cs"/>
          <w:rtl/>
        </w:rPr>
        <w:t>בדעת רבנן בסמוך מיעוטא לחזקה</w:t>
      </w:r>
      <w:bookmarkEnd w:id="11309"/>
      <w:bookmarkEnd w:id="11310"/>
      <w:bookmarkEnd w:id="11311"/>
      <w:bookmarkEnd w:id="11312"/>
      <w:bookmarkEnd w:id="11313"/>
      <w:bookmarkEnd w:id="11314"/>
    </w:p>
    <w:p w14:paraId="63526E9D" w14:textId="77777777" w:rsidR="005E1F6B" w:rsidRDefault="005E1F6B" w:rsidP="00BF39B2">
      <w:pPr>
        <w:pStyle w:val="1"/>
        <w:rPr>
          <w:rtl/>
        </w:rPr>
      </w:pPr>
      <w:bookmarkStart w:id="11315" w:name="_Toc531111255"/>
      <w:bookmarkStart w:id="11316" w:name="_Toc531158361"/>
      <w:bookmarkStart w:id="11317" w:name="_Toc531182466"/>
      <w:bookmarkStart w:id="11318" w:name="_Toc19390465"/>
      <w:bookmarkStart w:id="11319" w:name="_Toc19393962"/>
      <w:r>
        <w:rPr>
          <w:rFonts w:hint="cs"/>
          <w:rtl/>
        </w:rPr>
        <w:t>דעת רש"י ותוס' דלרבנן לא אמרינן סמוך מיעוטא לחזקה</w:t>
      </w:r>
      <w:bookmarkEnd w:id="11315"/>
      <w:bookmarkEnd w:id="11316"/>
      <w:bookmarkEnd w:id="11317"/>
      <w:bookmarkEnd w:id="11318"/>
      <w:bookmarkEnd w:id="11319"/>
    </w:p>
    <w:p w14:paraId="6C6A5599" w14:textId="77777777" w:rsidR="005E1F6B" w:rsidRPr="003144FE" w:rsidRDefault="005E1F6B" w:rsidP="006D6D32">
      <w:pPr>
        <w:pStyle w:val="a3"/>
        <w:rPr>
          <w:rtl/>
        </w:rPr>
      </w:pPr>
      <w:bookmarkStart w:id="11320" w:name="_Toc531111256"/>
      <w:bookmarkStart w:id="11321" w:name="_Toc531158362"/>
      <w:bookmarkStart w:id="11322" w:name="_Toc531182467"/>
      <w:bookmarkStart w:id="11323" w:name="_Toc19390466"/>
      <w:bookmarkStart w:id="11324" w:name="_Toc19393963"/>
      <w:r>
        <w:rPr>
          <w:rFonts w:hint="cs"/>
          <w:rtl/>
        </w:rPr>
        <w:t>דברי רש"י ותוס' דהגמ' ביבמות דסמוך מיעוטא לחזקה היא לר"מ ולא לרבנן</w:t>
      </w:r>
      <w:bookmarkEnd w:id="11320"/>
      <w:bookmarkEnd w:id="11321"/>
      <w:bookmarkEnd w:id="11322"/>
      <w:bookmarkEnd w:id="11323"/>
      <w:bookmarkEnd w:id="11324"/>
    </w:p>
    <w:p w14:paraId="4662C33F" w14:textId="77777777" w:rsidR="005E1F6B" w:rsidRDefault="005E1F6B" w:rsidP="00223668">
      <w:pPr>
        <w:pStyle w:val="a0"/>
        <w:rPr>
          <w:rtl/>
        </w:rPr>
      </w:pPr>
      <w:bookmarkStart w:id="11325" w:name="_Ref531110963"/>
      <w:r>
        <w:rPr>
          <w:rFonts w:hint="cs"/>
          <w:rtl/>
        </w:rPr>
        <w:t xml:space="preserve">כתב </w:t>
      </w:r>
      <w:r w:rsidRPr="00D24ED2">
        <w:rPr>
          <w:rStyle w:val="af9"/>
          <w:rFonts w:hint="cs"/>
          <w:rtl/>
        </w:rPr>
        <w:t>רש"י ביבמות</w:t>
      </w:r>
      <w:r>
        <w:rPr>
          <w:rFonts w:hint="cs"/>
          <w:rtl/>
        </w:rPr>
        <w:t xml:space="preserve"> </w:t>
      </w:r>
      <w:r w:rsidRPr="00D24ED2">
        <w:rPr>
          <w:rStyle w:val="af7"/>
          <w:rFonts w:eastAsia="Guttman Hodes" w:hint="cs"/>
          <w:rtl/>
        </w:rPr>
        <w:t>(קיט: ד"ה רישא)</w:t>
      </w:r>
      <w:r>
        <w:rPr>
          <w:rFonts w:hint="cs"/>
          <w:rtl/>
        </w:rPr>
        <w:t xml:space="preserve"> דהא דאמרינן בגמ' ביבמות </w:t>
      </w:r>
      <w:r w:rsidRPr="00D24ED2">
        <w:rPr>
          <w:rStyle w:val="af7"/>
          <w:rFonts w:eastAsia="Guttman Hodes" w:hint="cs"/>
          <w:rtl/>
        </w:rPr>
        <w:t>(קיט:)</w:t>
      </w:r>
      <w:r>
        <w:rPr>
          <w:rFonts w:hint="cs"/>
          <w:rtl/>
        </w:rPr>
        <w:t xml:space="preserve"> דבסמוך חזקה למיעוטא הו"ל כפלגא ופלגא, היינו לדעת ר"מ דחייש למיעוטא, ולא אזלינן בתר רובא, וא"א ללכת אחר החזקה, כיון שלא עדיפא כמו הרוב, , וכתב </w:t>
      </w:r>
      <w:r w:rsidRPr="00BB7A2C">
        <w:rPr>
          <w:rStyle w:val="af9"/>
          <w:rFonts w:hint="cs"/>
          <w:rtl/>
        </w:rPr>
        <w:t>הקרן אורה ביבמות</w:t>
      </w:r>
      <w:r>
        <w:rPr>
          <w:rFonts w:hint="cs"/>
          <w:rtl/>
        </w:rPr>
        <w:t xml:space="preserve"> </w:t>
      </w:r>
      <w:r w:rsidRPr="00BB7A2C">
        <w:rPr>
          <w:rStyle w:val="af7"/>
          <w:rFonts w:eastAsia="Guttman Hodes" w:hint="cs"/>
          <w:rtl/>
        </w:rPr>
        <w:t>(קיט. ד</w:t>
      </w:r>
      <w:r>
        <w:rPr>
          <w:rStyle w:val="af7"/>
          <w:rFonts w:eastAsia="Guttman Hodes" w:hint="cs"/>
          <w:rtl/>
        </w:rPr>
        <w:t>"</w:t>
      </w:r>
      <w:r w:rsidRPr="00BB7A2C">
        <w:rPr>
          <w:rStyle w:val="af7"/>
          <w:rFonts w:eastAsia="Guttman Hodes" w:hint="cs"/>
          <w:rtl/>
        </w:rPr>
        <w:t xml:space="preserve">ה ומלשון רש"י) </w:t>
      </w:r>
      <w:r>
        <w:rPr>
          <w:rFonts w:hint="cs"/>
          <w:rtl/>
        </w:rPr>
        <w:t xml:space="preserve">דמשמע </w:t>
      </w:r>
      <w:r w:rsidRPr="00BB7A2C">
        <w:rPr>
          <w:rStyle w:val="af9"/>
          <w:rFonts w:hint="cs"/>
          <w:rtl/>
        </w:rPr>
        <w:t>מרש"י</w:t>
      </w:r>
      <w:r>
        <w:rPr>
          <w:rFonts w:hint="cs"/>
          <w:rtl/>
        </w:rPr>
        <w:t xml:space="preserve"> דלדעת רבנן לא אמרינן סמוך מיעוטא לחזקה.</w:t>
      </w:r>
      <w:r w:rsidRPr="0051794D">
        <w:rPr>
          <w:rFonts w:hint="cs"/>
          <w:rtl/>
        </w:rPr>
        <w:t xml:space="preserve"> </w:t>
      </w:r>
      <w:r>
        <w:rPr>
          <w:rFonts w:hint="cs"/>
          <w:rtl/>
        </w:rPr>
        <w:t xml:space="preserve">[אמנם יעוי' בדברי </w:t>
      </w:r>
      <w:r w:rsidRPr="00F263E7">
        <w:rPr>
          <w:rStyle w:val="af9"/>
          <w:rFonts w:hint="cs"/>
          <w:rtl/>
        </w:rPr>
        <w:t>הרשב"א</w:t>
      </w:r>
      <w:r>
        <w:rPr>
          <w:rFonts w:hint="cs"/>
          <w:rtl/>
        </w:rPr>
        <w:t xml:space="preserve"> </w:t>
      </w:r>
      <w:r w:rsidRPr="00F263E7">
        <w:rPr>
          <w:rStyle w:val="af7"/>
          <w:rFonts w:eastAsia="Guttman Hodes" w:hint="cs"/>
          <w:rtl/>
        </w:rPr>
        <w:t xml:space="preserve">(עי' אות </w:t>
      </w:r>
      <w:r w:rsidRPr="00F263E7">
        <w:rPr>
          <w:rStyle w:val="af7"/>
          <w:rFonts w:eastAsia="Guttman Hodes"/>
          <w:rtl/>
        </w:rPr>
        <w:fldChar w:fldCharType="begin"/>
      </w:r>
      <w:r w:rsidRPr="00F263E7">
        <w:rPr>
          <w:rStyle w:val="af7"/>
          <w:rFonts w:eastAsia="Guttman Hodes"/>
          <w:rtl/>
        </w:rPr>
        <w:instrText xml:space="preserve"> </w:instrText>
      </w:r>
      <w:r w:rsidRPr="00F263E7">
        <w:rPr>
          <w:rStyle w:val="af7"/>
          <w:rFonts w:eastAsia="Guttman Hodes" w:hint="cs"/>
        </w:rPr>
        <w:instrText>REF</w:instrText>
      </w:r>
      <w:r w:rsidRPr="00F263E7">
        <w:rPr>
          <w:rStyle w:val="af7"/>
          <w:rFonts w:eastAsia="Guttman Hodes" w:hint="cs"/>
          <w:rtl/>
        </w:rPr>
        <w:instrText xml:space="preserve"> _</w:instrText>
      </w:r>
      <w:r w:rsidRPr="00F263E7">
        <w:rPr>
          <w:rStyle w:val="af7"/>
          <w:rFonts w:eastAsia="Guttman Hodes" w:hint="cs"/>
        </w:rPr>
        <w:instrText>Ref531110916 \r \h</w:instrText>
      </w:r>
      <w:r w:rsidRPr="00F263E7">
        <w:rPr>
          <w:rStyle w:val="af7"/>
          <w:rFonts w:eastAsia="Guttman Hodes"/>
          <w:rtl/>
        </w:rPr>
        <w:instrText xml:space="preserve"> </w:instrText>
      </w:r>
      <w:r w:rsidRPr="00F263E7">
        <w:rPr>
          <w:rStyle w:val="af7"/>
          <w:rFonts w:eastAsia="Guttman Hodes"/>
          <w:rtl/>
        </w:rPr>
      </w:r>
      <w:r w:rsidRPr="00F263E7">
        <w:rPr>
          <w:rStyle w:val="af7"/>
          <w:rFonts w:eastAsia="Guttman Hodes"/>
          <w:rtl/>
        </w:rPr>
        <w:fldChar w:fldCharType="separate"/>
      </w:r>
      <w:r w:rsidR="00345400">
        <w:rPr>
          <w:rStyle w:val="af7"/>
          <w:rFonts w:eastAsia="Guttman Hodes"/>
          <w:cs/>
        </w:rPr>
        <w:t>‎</w:t>
      </w:r>
      <w:r w:rsidR="00345400">
        <w:rPr>
          <w:rStyle w:val="af7"/>
          <w:rFonts w:eastAsia="Guttman Hodes"/>
          <w:rtl/>
        </w:rPr>
        <w:t>מב)</w:t>
      </w:r>
      <w:r w:rsidRPr="00F263E7">
        <w:rPr>
          <w:rStyle w:val="af7"/>
          <w:rFonts w:eastAsia="Guttman Hodes"/>
          <w:rtl/>
        </w:rPr>
        <w:fldChar w:fldCharType="end"/>
      </w:r>
      <w:r>
        <w:rPr>
          <w:rFonts w:hint="cs"/>
          <w:rtl/>
        </w:rPr>
        <w:t xml:space="preserve"> במה שפירש בדעת </w:t>
      </w:r>
      <w:r w:rsidRPr="00F263E7">
        <w:rPr>
          <w:rStyle w:val="af9"/>
          <w:rFonts w:hint="cs"/>
          <w:rtl/>
        </w:rPr>
        <w:t>רש"י</w:t>
      </w:r>
      <w:r>
        <w:rPr>
          <w:rFonts w:hint="cs"/>
          <w:rtl/>
        </w:rPr>
        <w:t xml:space="preserve">]. וכן מבואר בדברי </w:t>
      </w:r>
      <w:r w:rsidRPr="008E6AA2">
        <w:rPr>
          <w:rStyle w:val="af9"/>
          <w:rFonts w:hint="cs"/>
          <w:rtl/>
        </w:rPr>
        <w:t xml:space="preserve">התוס' </w:t>
      </w:r>
      <w:r w:rsidRPr="00D24ED2">
        <w:rPr>
          <w:rStyle w:val="af9"/>
          <w:rFonts w:hint="cs"/>
          <w:rtl/>
        </w:rPr>
        <w:t>ביבמות</w:t>
      </w:r>
      <w:r>
        <w:rPr>
          <w:rFonts w:hint="cs"/>
          <w:rtl/>
        </w:rPr>
        <w:t xml:space="preserve"> </w:t>
      </w:r>
      <w:r w:rsidRPr="00D24ED2">
        <w:rPr>
          <w:rStyle w:val="af7"/>
          <w:rFonts w:eastAsia="Guttman Hodes" w:hint="cs"/>
          <w:rtl/>
        </w:rPr>
        <w:t xml:space="preserve">(קיט: ד"ה </w:t>
      </w:r>
      <w:r w:rsidRPr="008E6AA2">
        <w:rPr>
          <w:rStyle w:val="af7"/>
          <w:rFonts w:eastAsia="Guttman Hodes" w:hint="cs"/>
          <w:rtl/>
        </w:rPr>
        <w:t>וחזקה)</w:t>
      </w:r>
      <w:r>
        <w:rPr>
          <w:rFonts w:hint="cs"/>
          <w:rtl/>
        </w:rPr>
        <w:t xml:space="preserve"> דהמשנה היא אליבא דר"מ, וע"ע במ"ש</w:t>
      </w:r>
      <w:r w:rsidRPr="008648BA">
        <w:rPr>
          <w:rFonts w:hint="cs"/>
          <w:rtl/>
        </w:rPr>
        <w:t xml:space="preserve"> </w:t>
      </w:r>
      <w:r w:rsidRPr="003D5E64">
        <w:rPr>
          <w:rStyle w:val="af9"/>
          <w:rFonts w:hint="cs"/>
          <w:rtl/>
        </w:rPr>
        <w:t xml:space="preserve">המהרי"ט אלגאזי </w:t>
      </w:r>
      <w:r w:rsidRPr="003D5E64">
        <w:rPr>
          <w:rStyle w:val="af7"/>
          <w:rFonts w:eastAsia="Guttman Hodes" w:hint="cs"/>
          <w:rtl/>
        </w:rPr>
        <w:t>(בכורות פ"ג סי' מ' [הראשון] ס"ק א')</w:t>
      </w:r>
      <w:r>
        <w:rPr>
          <w:rFonts w:hint="cs"/>
          <w:rtl/>
        </w:rPr>
        <w:t xml:space="preserve"> בדברי </w:t>
      </w:r>
      <w:r w:rsidRPr="000C386C">
        <w:rPr>
          <w:rStyle w:val="af9"/>
          <w:rFonts w:hint="cs"/>
          <w:rtl/>
        </w:rPr>
        <w:t>התוס' והרא"ש ביבמות ובבכורות</w:t>
      </w:r>
      <w:r>
        <w:rPr>
          <w:rFonts w:hint="cs"/>
          <w:rtl/>
        </w:rPr>
        <w:t xml:space="preserve">. </w:t>
      </w:r>
      <w:bookmarkEnd w:id="11325"/>
    </w:p>
    <w:p w14:paraId="55E91AAE" w14:textId="77777777" w:rsidR="005E1F6B" w:rsidRPr="005C4684" w:rsidRDefault="005E1F6B" w:rsidP="006D6D32">
      <w:pPr>
        <w:pStyle w:val="a3"/>
        <w:rPr>
          <w:rtl/>
        </w:rPr>
      </w:pPr>
      <w:bookmarkStart w:id="11326" w:name="_Toc531111257"/>
      <w:bookmarkStart w:id="11327" w:name="_Toc531158363"/>
      <w:bookmarkStart w:id="11328" w:name="_Toc531182468"/>
      <w:bookmarkStart w:id="11329" w:name="_Toc19390467"/>
      <w:bookmarkStart w:id="11330" w:name="_Toc19393964"/>
      <w:r>
        <w:rPr>
          <w:rFonts w:hint="cs"/>
          <w:rtl/>
        </w:rPr>
        <w:t>דברי התוס' לקמן דרק ברוב גרוע אמרינן סמוך מיעוטא לחזקה לדעת רבנן</w:t>
      </w:r>
      <w:bookmarkEnd w:id="11326"/>
      <w:bookmarkEnd w:id="11327"/>
      <w:bookmarkEnd w:id="11328"/>
      <w:bookmarkEnd w:id="11329"/>
      <w:bookmarkEnd w:id="11330"/>
    </w:p>
    <w:p w14:paraId="6AB17A66" w14:textId="77777777" w:rsidR="005E1F6B" w:rsidRDefault="005E1F6B" w:rsidP="00223668">
      <w:pPr>
        <w:pStyle w:val="a0"/>
        <w:rPr>
          <w:rtl/>
        </w:rPr>
      </w:pPr>
      <w:r>
        <w:rPr>
          <w:rFonts w:hint="cs"/>
          <w:rtl/>
        </w:rPr>
        <w:t xml:space="preserve">הקשו </w:t>
      </w:r>
      <w:r w:rsidRPr="00B41B61">
        <w:rPr>
          <w:rStyle w:val="af9"/>
          <w:rFonts w:hint="cs"/>
          <w:rtl/>
        </w:rPr>
        <w:t>התוס' לקמן</w:t>
      </w:r>
      <w:r>
        <w:rPr>
          <w:rFonts w:hint="cs"/>
          <w:rtl/>
        </w:rPr>
        <w:t xml:space="preserve"> </w:t>
      </w:r>
      <w:r w:rsidRPr="002E5EBA">
        <w:rPr>
          <w:rStyle w:val="af7"/>
          <w:rFonts w:eastAsia="Guttman Hodes" w:hint="cs"/>
          <w:rtl/>
        </w:rPr>
        <w:t>(פו: ד"ה סמוך)</w:t>
      </w:r>
      <w:r>
        <w:rPr>
          <w:rFonts w:hint="cs"/>
          <w:rtl/>
        </w:rPr>
        <w:t xml:space="preserve"> בהא דאיתא בגמ' בקידושין </w:t>
      </w:r>
      <w:r w:rsidRPr="002E5EBA">
        <w:rPr>
          <w:rStyle w:val="af7"/>
          <w:rFonts w:eastAsia="Guttman Hodes" w:hint="cs"/>
          <w:rtl/>
        </w:rPr>
        <w:t>(פ.)</w:t>
      </w:r>
      <w:r>
        <w:rPr>
          <w:rFonts w:hint="cs"/>
          <w:rtl/>
        </w:rPr>
        <w:t xml:space="preserve"> דבתינוק שנמצא בצד העיסה לרבנן עשאוהו כמי שיש בו דעת לישאל ולכן טימאו את העיסה, ואמאי לא טימאוהו מחמת דרוב תינוקות מטפחין בעיסה, וכיון דרבנן לא חיישי למיעוט, א"כ א"א לסמוך את המיעוט לחזקת טהרה של העיסה, ורובא וחזקה רובא עדיף, ותירצו </w:t>
      </w:r>
      <w:r w:rsidRPr="00B41B61">
        <w:rPr>
          <w:rStyle w:val="af9"/>
          <w:rFonts w:hint="cs"/>
          <w:rtl/>
        </w:rPr>
        <w:t>התוס' לקמן</w:t>
      </w:r>
      <w:r>
        <w:rPr>
          <w:rFonts w:hint="cs"/>
          <w:rtl/>
        </w:rPr>
        <w:t xml:space="preserve"> דרוב תינוקות מטפחין בעיסה אינו רוב גמור, ולא מהני כנגד החזקת טהרה של העיסה, ומבואר מדברי </w:t>
      </w:r>
      <w:r w:rsidRPr="00B41B61">
        <w:rPr>
          <w:rStyle w:val="af9"/>
          <w:rFonts w:hint="cs"/>
          <w:rtl/>
        </w:rPr>
        <w:t>התוס' לקמן</w:t>
      </w:r>
      <w:r>
        <w:rPr>
          <w:rFonts w:hint="cs"/>
          <w:rtl/>
        </w:rPr>
        <w:t xml:space="preserve"> </w:t>
      </w:r>
      <w:r w:rsidRPr="002E5EBA">
        <w:rPr>
          <w:rStyle w:val="af7"/>
          <w:rFonts w:eastAsia="Guttman Hodes" w:hint="cs"/>
          <w:rtl/>
        </w:rPr>
        <w:t>(פו: ד"ה סמוך)</w:t>
      </w:r>
      <w:r>
        <w:rPr>
          <w:rFonts w:hint="cs"/>
          <w:rtl/>
        </w:rPr>
        <w:t xml:space="preserve"> דברוב גמור לא אמרינן לרבנן סמוך מיעוטא לחזקה.</w:t>
      </w:r>
    </w:p>
    <w:p w14:paraId="35B17831" w14:textId="77777777" w:rsidR="005E1F6B" w:rsidRDefault="005E1F6B" w:rsidP="006D6D32">
      <w:pPr>
        <w:pStyle w:val="a3"/>
        <w:rPr>
          <w:rtl/>
        </w:rPr>
      </w:pPr>
      <w:bookmarkStart w:id="11331" w:name="_Toc531111258"/>
      <w:bookmarkStart w:id="11332" w:name="_Toc531158364"/>
      <w:bookmarkStart w:id="11333" w:name="_Toc531182469"/>
      <w:bookmarkStart w:id="11334" w:name="_Toc19390468"/>
      <w:bookmarkStart w:id="11335" w:name="_Toc19393965"/>
      <w:r>
        <w:rPr>
          <w:rFonts w:hint="cs"/>
          <w:rtl/>
        </w:rPr>
        <w:t>דברי הגרעק"א דמוכח מדברי התוס' לקמן דלא אמרינן סמוך מיעוטא לחזקה לדעת רבנן</w:t>
      </w:r>
      <w:bookmarkEnd w:id="11331"/>
      <w:bookmarkEnd w:id="11332"/>
      <w:bookmarkEnd w:id="11333"/>
      <w:bookmarkEnd w:id="11334"/>
      <w:bookmarkEnd w:id="11335"/>
    </w:p>
    <w:p w14:paraId="745CC12C" w14:textId="77777777" w:rsidR="005E1F6B" w:rsidRDefault="005E1F6B" w:rsidP="00223668">
      <w:pPr>
        <w:pStyle w:val="a0"/>
        <w:rPr>
          <w:rtl/>
        </w:rPr>
      </w:pPr>
      <w:r>
        <w:rPr>
          <w:rFonts w:hint="cs"/>
          <w:rtl/>
        </w:rPr>
        <w:t xml:space="preserve">וע"ע בדברי </w:t>
      </w:r>
      <w:r w:rsidRPr="0050010A">
        <w:rPr>
          <w:rStyle w:val="af9"/>
          <w:rFonts w:hint="cs"/>
          <w:rtl/>
        </w:rPr>
        <w:t>הגרעק"א</w:t>
      </w:r>
      <w:r>
        <w:rPr>
          <w:rFonts w:hint="cs"/>
          <w:rtl/>
        </w:rPr>
        <w:t xml:space="preserve"> </w:t>
      </w:r>
      <w:r w:rsidRPr="008F1303">
        <w:rPr>
          <w:rStyle w:val="af7"/>
          <w:rFonts w:eastAsia="Guttman Hodes" w:hint="cs"/>
          <w:rtl/>
        </w:rPr>
        <w:t xml:space="preserve">(עי' אות </w:t>
      </w:r>
      <w:r w:rsidRPr="008F1303">
        <w:rPr>
          <w:rStyle w:val="af7"/>
          <w:rFonts w:eastAsia="Guttman Hodes"/>
          <w:rtl/>
        </w:rPr>
        <w:fldChar w:fldCharType="begin"/>
      </w:r>
      <w:r w:rsidRPr="008F1303">
        <w:rPr>
          <w:rStyle w:val="af7"/>
          <w:rFonts w:eastAsia="Guttman Hodes"/>
          <w:rtl/>
        </w:rPr>
        <w:instrText xml:space="preserve"> </w:instrText>
      </w:r>
      <w:r w:rsidRPr="008F1303">
        <w:rPr>
          <w:rStyle w:val="af7"/>
          <w:rFonts w:eastAsia="Guttman Hodes" w:hint="cs"/>
        </w:rPr>
        <w:instrText>REF</w:instrText>
      </w:r>
      <w:r w:rsidRPr="008F1303">
        <w:rPr>
          <w:rStyle w:val="af7"/>
          <w:rFonts w:eastAsia="Guttman Hodes" w:hint="cs"/>
          <w:rtl/>
        </w:rPr>
        <w:instrText xml:space="preserve"> _</w:instrText>
      </w:r>
      <w:r w:rsidRPr="008F1303">
        <w:rPr>
          <w:rStyle w:val="af7"/>
          <w:rFonts w:eastAsia="Guttman Hodes" w:hint="cs"/>
        </w:rPr>
        <w:instrText>Ref531163029 \r \h</w:instrText>
      </w:r>
      <w:r w:rsidRPr="008F1303">
        <w:rPr>
          <w:rStyle w:val="af7"/>
          <w:rFonts w:eastAsia="Guttman Hodes"/>
          <w:rtl/>
        </w:rPr>
        <w:instrText xml:space="preserve"> </w:instrText>
      </w:r>
      <w:r w:rsidRPr="008F1303">
        <w:rPr>
          <w:rStyle w:val="af7"/>
          <w:rFonts w:eastAsia="Guttman Hodes"/>
          <w:rtl/>
        </w:rPr>
      </w:r>
      <w:r w:rsidRPr="008F1303">
        <w:rPr>
          <w:rStyle w:val="af7"/>
          <w:rFonts w:eastAsia="Guttman Hodes"/>
          <w:rtl/>
        </w:rPr>
        <w:fldChar w:fldCharType="separate"/>
      </w:r>
      <w:r w:rsidR="00345400">
        <w:rPr>
          <w:rStyle w:val="af7"/>
          <w:rFonts w:eastAsia="Guttman Hodes"/>
          <w:cs/>
        </w:rPr>
        <w:t>‎</w:t>
      </w:r>
      <w:r w:rsidR="00345400">
        <w:rPr>
          <w:rStyle w:val="af7"/>
          <w:rFonts w:eastAsia="Guttman Hodes"/>
          <w:rtl/>
        </w:rPr>
        <w:t>צח)</w:t>
      </w:r>
      <w:r w:rsidRPr="008F1303">
        <w:rPr>
          <w:rStyle w:val="af7"/>
          <w:rFonts w:eastAsia="Guttman Hodes"/>
          <w:rtl/>
        </w:rPr>
        <w:fldChar w:fldCharType="end"/>
      </w:r>
      <w:r>
        <w:rPr>
          <w:rFonts w:hint="cs"/>
          <w:rtl/>
        </w:rPr>
        <w:t xml:space="preserve"> דהוכיח מדברי </w:t>
      </w:r>
      <w:r w:rsidRPr="001D3A5B">
        <w:rPr>
          <w:rStyle w:val="af9"/>
          <w:rFonts w:hint="cs"/>
          <w:rtl/>
        </w:rPr>
        <w:t>התוס' לקמן</w:t>
      </w:r>
      <w:r>
        <w:rPr>
          <w:rFonts w:hint="cs"/>
          <w:rtl/>
        </w:rPr>
        <w:t xml:space="preserve"> </w:t>
      </w:r>
      <w:r w:rsidRPr="001D3A5B">
        <w:rPr>
          <w:rStyle w:val="af7"/>
          <w:rFonts w:eastAsia="Guttman Hodes" w:hint="cs"/>
          <w:rtl/>
        </w:rPr>
        <w:t>(פו. ד"ה מ"ט)</w:t>
      </w:r>
      <w:r>
        <w:rPr>
          <w:rFonts w:hint="cs"/>
          <w:rtl/>
        </w:rPr>
        <w:t xml:space="preserve"> דס"ל דלדעת רבנן לא אמרינן סמוך מיעוטא לחזקה.</w:t>
      </w:r>
    </w:p>
    <w:p w14:paraId="256B98DE" w14:textId="77777777" w:rsidR="00463352" w:rsidRPr="00463352" w:rsidRDefault="00463352" w:rsidP="00463352">
      <w:pPr>
        <w:pStyle w:val="a3"/>
        <w:rPr>
          <w:rtl/>
        </w:rPr>
      </w:pPr>
    </w:p>
    <w:p w14:paraId="2BD43512" w14:textId="77777777" w:rsidR="00727D56" w:rsidRDefault="00727D56" w:rsidP="00BF39B2">
      <w:pPr>
        <w:pStyle w:val="1"/>
        <w:rPr>
          <w:rtl/>
        </w:rPr>
      </w:pPr>
      <w:bookmarkStart w:id="11336" w:name="_Toc19390469"/>
      <w:bookmarkStart w:id="11337" w:name="_Toc19393966"/>
      <w:bookmarkStart w:id="11338" w:name="_Toc531182470"/>
      <w:bookmarkStart w:id="11339" w:name="_Toc531111262"/>
      <w:bookmarkStart w:id="11340" w:name="_Toc531158368"/>
      <w:bookmarkStart w:id="11341" w:name="_Toc531182474"/>
      <w:r>
        <w:rPr>
          <w:rFonts w:hint="cs"/>
          <w:rtl/>
        </w:rPr>
        <w:t xml:space="preserve">ביאור המהרש"א והראש יוסף דלתוס' </w:t>
      </w:r>
      <w:r w:rsidR="00BF5B3E">
        <w:rPr>
          <w:rFonts w:hint="cs"/>
          <w:rtl/>
        </w:rPr>
        <w:t>ד</w:t>
      </w:r>
      <w:r w:rsidR="003E37B3">
        <w:rPr>
          <w:rFonts w:hint="cs"/>
          <w:rtl/>
        </w:rPr>
        <w:t>לרבנן אמרינן סמל</w:t>
      </w:r>
      <w:r w:rsidR="003E37B3">
        <w:rPr>
          <w:rtl/>
        </w:rPr>
        <w:t>"</w:t>
      </w:r>
      <w:r w:rsidR="003E37B3">
        <w:rPr>
          <w:rFonts w:hint="cs"/>
          <w:rtl/>
        </w:rPr>
        <w:t>ח</w:t>
      </w:r>
      <w:bookmarkEnd w:id="11336"/>
      <w:bookmarkEnd w:id="11337"/>
    </w:p>
    <w:p w14:paraId="0704C4C4" w14:textId="77777777" w:rsidR="00727D56" w:rsidRDefault="00727D56" w:rsidP="006D6D32">
      <w:pPr>
        <w:pStyle w:val="a3"/>
        <w:rPr>
          <w:rtl/>
        </w:rPr>
      </w:pPr>
      <w:bookmarkStart w:id="11342" w:name="_Toc19390470"/>
      <w:bookmarkStart w:id="11343" w:name="_Toc19393967"/>
      <w:r>
        <w:rPr>
          <w:rFonts w:hint="cs"/>
          <w:rtl/>
        </w:rPr>
        <w:t>דברי המהרש"א והראש יוסף דהתוס' בסוגיין ס"ל דלרבנן אמרינן סמוך מיעוטא לחזקה</w:t>
      </w:r>
      <w:bookmarkEnd w:id="11338"/>
      <w:bookmarkEnd w:id="11342"/>
      <w:bookmarkEnd w:id="11343"/>
    </w:p>
    <w:p w14:paraId="5CFD42C8" w14:textId="77777777" w:rsidR="00727D56" w:rsidRPr="00D33FE7" w:rsidRDefault="00727D56" w:rsidP="00223668">
      <w:pPr>
        <w:pStyle w:val="a0"/>
        <w:rPr>
          <w:rtl/>
        </w:rPr>
      </w:pPr>
      <w:bookmarkStart w:id="11344" w:name="_Ref531165484"/>
      <w:r>
        <w:rPr>
          <w:rFonts w:hint="cs"/>
          <w:rtl/>
        </w:rPr>
        <w:t xml:space="preserve">אבל </w:t>
      </w:r>
      <w:r w:rsidRPr="00C33A36">
        <w:rPr>
          <w:rStyle w:val="af9"/>
          <w:rFonts w:hint="cs"/>
          <w:rtl/>
        </w:rPr>
        <w:t>המהרש"א</w:t>
      </w:r>
      <w:r w:rsidRPr="002A542D">
        <w:rPr>
          <w:rStyle w:val="af7"/>
          <w:rFonts w:eastAsia="Guttman Hodes" w:hint="cs"/>
          <w:rtl/>
        </w:rPr>
        <w:t xml:space="preserve"> (</w:t>
      </w:r>
      <w:r>
        <w:rPr>
          <w:rStyle w:val="af7"/>
          <w:rFonts w:eastAsia="Guttman Hodes" w:hint="cs"/>
          <w:rtl/>
        </w:rPr>
        <w:t xml:space="preserve">יא. </w:t>
      </w:r>
      <w:r w:rsidRPr="002A542D">
        <w:rPr>
          <w:rStyle w:val="af7"/>
          <w:rFonts w:eastAsia="Guttman Hodes" w:hint="cs"/>
          <w:rtl/>
        </w:rPr>
        <w:t xml:space="preserve">ד"ה בא"ד אלא) </w:t>
      </w:r>
      <w:r>
        <w:rPr>
          <w:rFonts w:hint="cs"/>
          <w:rtl/>
        </w:rPr>
        <w:t xml:space="preserve">כתב דמדברי </w:t>
      </w:r>
      <w:r w:rsidRPr="00D84957">
        <w:rPr>
          <w:rStyle w:val="af9"/>
          <w:rFonts w:hint="cs"/>
          <w:rtl/>
        </w:rPr>
        <w:t>התוס'</w:t>
      </w:r>
      <w:r>
        <w:rPr>
          <w:rStyle w:val="af9"/>
          <w:rFonts w:hint="cs"/>
          <w:rtl/>
        </w:rPr>
        <w:t xml:space="preserve"> בסוגיין</w:t>
      </w:r>
      <w:r>
        <w:rPr>
          <w:rFonts w:hint="cs"/>
          <w:rtl/>
        </w:rPr>
        <w:t xml:space="preserve"> </w:t>
      </w:r>
      <w:r w:rsidRPr="00D84957">
        <w:rPr>
          <w:rStyle w:val="af7"/>
          <w:rFonts w:eastAsia="Guttman Hodes" w:hint="cs"/>
          <w:rtl/>
        </w:rPr>
        <w:t>(יא: ד"ה לר"מ)</w:t>
      </w:r>
      <w:r>
        <w:rPr>
          <w:rFonts w:hint="cs"/>
          <w:rtl/>
        </w:rPr>
        <w:t xml:space="preserve"> מבואר דלדעת רבנן במקום שיש חזקה כנגד הרוב, אמרינן סמוך מיעוטא לחזקה, וחיישינן למיעוט ולא אזלינן בתר רובא,</w:t>
      </w:r>
      <w:r w:rsidRPr="0042164B">
        <w:rPr>
          <w:rFonts w:hint="cs"/>
          <w:rtl/>
        </w:rPr>
        <w:t xml:space="preserve"> </w:t>
      </w:r>
      <w:r>
        <w:rPr>
          <w:rFonts w:hint="cs"/>
          <w:rtl/>
        </w:rPr>
        <w:t xml:space="preserve">וביאר </w:t>
      </w:r>
      <w:r w:rsidRPr="006002BE">
        <w:rPr>
          <w:rStyle w:val="af9"/>
          <w:rFonts w:hint="cs"/>
          <w:rtl/>
        </w:rPr>
        <w:t>הראש יוסף</w:t>
      </w:r>
      <w:r>
        <w:rPr>
          <w:rFonts w:hint="cs"/>
          <w:rtl/>
        </w:rPr>
        <w:t xml:space="preserve"> </w:t>
      </w:r>
      <w:r w:rsidRPr="00263DD5">
        <w:rPr>
          <w:rStyle w:val="af7"/>
          <w:rFonts w:eastAsia="Guttman Hodes" w:hint="cs"/>
          <w:rtl/>
        </w:rPr>
        <w:t>(יא. ד"ה בא"ד דאיכא)</w:t>
      </w:r>
      <w:r>
        <w:rPr>
          <w:rFonts w:hint="cs"/>
          <w:rtl/>
        </w:rPr>
        <w:t xml:space="preserve"> דכוונת </w:t>
      </w:r>
      <w:r w:rsidRPr="006002BE">
        <w:rPr>
          <w:rStyle w:val="af9"/>
          <w:rFonts w:hint="cs"/>
          <w:rtl/>
        </w:rPr>
        <w:t>המהרש"א</w:t>
      </w:r>
      <w:r>
        <w:rPr>
          <w:rFonts w:hint="cs"/>
          <w:rtl/>
        </w:rPr>
        <w:t xml:space="preserve"> לדייק מדכתבו </w:t>
      </w:r>
      <w:r w:rsidRPr="00D84957">
        <w:rPr>
          <w:rStyle w:val="af9"/>
          <w:rFonts w:hint="cs"/>
          <w:rtl/>
        </w:rPr>
        <w:t>התוס'</w:t>
      </w:r>
      <w:r>
        <w:rPr>
          <w:rFonts w:hint="cs"/>
          <w:rtl/>
        </w:rPr>
        <w:t xml:space="preserve"> </w:t>
      </w:r>
      <w:r w:rsidRPr="00D84957">
        <w:rPr>
          <w:rStyle w:val="af7"/>
          <w:rFonts w:eastAsia="Guttman Hodes" w:hint="cs"/>
          <w:rtl/>
        </w:rPr>
        <w:t>(יא: ד"ה לר"מ)</w:t>
      </w:r>
      <w:r>
        <w:rPr>
          <w:rFonts w:hint="cs"/>
          <w:rtl/>
        </w:rPr>
        <w:t xml:space="preserve"> דריו"ח ס"ל כר"מ דחיישינן למיעוטא אף במקום שאין חזקה יחד עם המיעוט, מדפסק </w:t>
      </w:r>
      <w:r w:rsidRPr="00D33FE7">
        <w:rPr>
          <w:rFonts w:hint="cs"/>
          <w:rtl/>
        </w:rPr>
        <w:t>כרשב"ג דבהמה חולבת אינה פטורה מבכורה, דחיישינן למיעוט בהמות שחולבות אף שלא ילדו, וא"א לומר העמד בהמה בחזקת שלא ילדה, דיש חזקה כנגדה דהוולד בחזקת שאינו קדוש בבכורה, דהיה חולין במעי עמו, ו</w:t>
      </w:r>
      <w:r>
        <w:rPr>
          <w:rFonts w:hint="cs"/>
          <w:rtl/>
        </w:rPr>
        <w:t xml:space="preserve">כתב </w:t>
      </w:r>
      <w:r w:rsidRPr="006002BE">
        <w:rPr>
          <w:rStyle w:val="af9"/>
          <w:rFonts w:hint="cs"/>
          <w:rtl/>
        </w:rPr>
        <w:t>הראש יוסף</w:t>
      </w:r>
      <w:r>
        <w:rPr>
          <w:rFonts w:hint="cs"/>
          <w:rtl/>
        </w:rPr>
        <w:t xml:space="preserve"> דמבואר מדברי </w:t>
      </w:r>
      <w:r w:rsidRPr="006002BE">
        <w:rPr>
          <w:rStyle w:val="af9"/>
          <w:rFonts w:hint="cs"/>
          <w:rtl/>
        </w:rPr>
        <w:t>התוס'</w:t>
      </w:r>
      <w:r>
        <w:rPr>
          <w:rFonts w:hint="cs"/>
          <w:rtl/>
        </w:rPr>
        <w:t xml:space="preserve"> שאם הייתה חזקה שמסייעת למיעוט, אף לרבנן חיישינן למיעוטא, וע"ע בדברי </w:t>
      </w:r>
      <w:r w:rsidRPr="009656A7">
        <w:rPr>
          <w:rStyle w:val="af9"/>
          <w:rFonts w:hint="cs"/>
          <w:rtl/>
        </w:rPr>
        <w:t>התוס' ביבמות</w:t>
      </w:r>
      <w:r>
        <w:rPr>
          <w:rFonts w:hint="cs"/>
          <w:rtl/>
        </w:rPr>
        <w:t xml:space="preserve"> </w:t>
      </w:r>
      <w:r w:rsidRPr="0095451C">
        <w:rPr>
          <w:rStyle w:val="af7"/>
          <w:rFonts w:eastAsia="Guttman Hodes" w:hint="cs"/>
          <w:rtl/>
        </w:rPr>
        <w:t xml:space="preserve">(קיט. ד"ה מחוורתא) </w:t>
      </w:r>
      <w:r>
        <w:rPr>
          <w:rFonts w:hint="cs"/>
          <w:rtl/>
        </w:rPr>
        <w:t xml:space="preserve">במ"ש בריש דבריהם, </w:t>
      </w:r>
      <w:r w:rsidRPr="009656A7">
        <w:rPr>
          <w:rStyle w:val="afb"/>
          <w:rFonts w:hint="cs"/>
          <w:rtl/>
        </w:rPr>
        <w:t xml:space="preserve">[ובדברי </w:t>
      </w:r>
      <w:r w:rsidRPr="0095451C">
        <w:rPr>
          <w:rStyle w:val="affa"/>
          <w:rFonts w:hint="cs"/>
          <w:rtl/>
        </w:rPr>
        <w:t>הראש יוסף</w:t>
      </w:r>
      <w:r w:rsidRPr="009656A7">
        <w:rPr>
          <w:rStyle w:val="afb"/>
          <w:rFonts w:hint="cs"/>
          <w:rtl/>
        </w:rPr>
        <w:t xml:space="preserve"> </w:t>
      </w:r>
      <w:r w:rsidRPr="0095451C">
        <w:rPr>
          <w:rStyle w:val="aff6"/>
          <w:rFonts w:hint="cs"/>
          <w:rtl/>
        </w:rPr>
        <w:t xml:space="preserve">(עי' אות </w:t>
      </w:r>
      <w:r w:rsidRPr="0095451C">
        <w:rPr>
          <w:rStyle w:val="aff6"/>
          <w:rtl/>
        </w:rPr>
        <w:fldChar w:fldCharType="begin"/>
      </w:r>
      <w:r w:rsidRPr="0095451C">
        <w:rPr>
          <w:rStyle w:val="aff6"/>
          <w:rtl/>
        </w:rPr>
        <w:instrText xml:space="preserve"> </w:instrText>
      </w:r>
      <w:r w:rsidRPr="0095451C">
        <w:rPr>
          <w:rStyle w:val="aff6"/>
          <w:rFonts w:hint="cs"/>
        </w:rPr>
        <w:instrText>REF</w:instrText>
      </w:r>
      <w:r w:rsidRPr="0095451C">
        <w:rPr>
          <w:rStyle w:val="aff6"/>
          <w:rFonts w:hint="cs"/>
          <w:rtl/>
        </w:rPr>
        <w:instrText xml:space="preserve"> _</w:instrText>
      </w:r>
      <w:r w:rsidRPr="0095451C">
        <w:rPr>
          <w:rStyle w:val="aff6"/>
          <w:rFonts w:hint="cs"/>
        </w:rPr>
        <w:instrText>Ref532116781 \r \h</w:instrText>
      </w:r>
      <w:r w:rsidRPr="0095451C">
        <w:rPr>
          <w:rStyle w:val="aff6"/>
          <w:rtl/>
        </w:rPr>
        <w:instrText xml:space="preserve"> </w:instrText>
      </w:r>
      <w:r w:rsidRPr="0095451C">
        <w:rPr>
          <w:rStyle w:val="aff6"/>
          <w:rtl/>
        </w:rPr>
      </w:r>
      <w:r w:rsidRPr="0095451C">
        <w:rPr>
          <w:rStyle w:val="aff6"/>
          <w:rtl/>
        </w:rPr>
        <w:fldChar w:fldCharType="separate"/>
      </w:r>
      <w:r w:rsidR="00345400">
        <w:rPr>
          <w:rStyle w:val="aff6"/>
          <w:rFonts w:hint="cs"/>
          <w:b/>
          <w:bCs/>
          <w:rtl/>
        </w:rPr>
        <w:t>שגיאה! מקור ההפניה לא נמצא.</w:t>
      </w:r>
      <w:r w:rsidRPr="0095451C">
        <w:rPr>
          <w:rStyle w:val="aff6"/>
          <w:rtl/>
        </w:rPr>
        <w:fldChar w:fldCharType="end"/>
      </w:r>
      <w:r w:rsidRPr="009656A7">
        <w:rPr>
          <w:rStyle w:val="afb"/>
          <w:rFonts w:hint="cs"/>
          <w:rtl/>
        </w:rPr>
        <w:t xml:space="preserve"> במ"ש בסו"ד </w:t>
      </w:r>
      <w:r w:rsidRPr="0095451C">
        <w:rPr>
          <w:rStyle w:val="affa"/>
          <w:rFonts w:hint="cs"/>
          <w:rtl/>
        </w:rPr>
        <w:t>התוס' ביבמות</w:t>
      </w:r>
      <w:r w:rsidRPr="009656A7">
        <w:rPr>
          <w:rStyle w:val="afb"/>
          <w:rFonts w:hint="cs"/>
          <w:rtl/>
        </w:rPr>
        <w:t xml:space="preserve">], </w:t>
      </w:r>
      <w:r>
        <w:rPr>
          <w:rFonts w:hint="cs"/>
          <w:rtl/>
        </w:rPr>
        <w:t xml:space="preserve">וע"ע בדברי </w:t>
      </w:r>
      <w:r w:rsidRPr="00094E56">
        <w:rPr>
          <w:rStyle w:val="af9"/>
          <w:rFonts w:hint="cs"/>
          <w:rtl/>
        </w:rPr>
        <w:t>ר"ת בתוס' בבכורות</w:t>
      </w:r>
      <w:r>
        <w:rPr>
          <w:rFonts w:hint="cs"/>
          <w:rtl/>
        </w:rPr>
        <w:t xml:space="preserve"> </w:t>
      </w:r>
      <w:r w:rsidRPr="00094E56">
        <w:rPr>
          <w:rStyle w:val="af7"/>
          <w:rFonts w:eastAsia="Guttman Hodes" w:hint="cs"/>
          <w:rtl/>
        </w:rPr>
        <w:t xml:space="preserve">(עי' אות </w:t>
      </w:r>
      <w:r w:rsidRPr="00094E56">
        <w:rPr>
          <w:rStyle w:val="af7"/>
          <w:rFonts w:eastAsia="Guttman Hodes"/>
          <w:rtl/>
        </w:rPr>
        <w:fldChar w:fldCharType="begin"/>
      </w:r>
      <w:r w:rsidRPr="00094E56">
        <w:rPr>
          <w:rStyle w:val="af7"/>
          <w:rFonts w:eastAsia="Guttman Hodes"/>
          <w:rtl/>
        </w:rPr>
        <w:instrText xml:space="preserve"> </w:instrText>
      </w:r>
      <w:r w:rsidRPr="00094E56">
        <w:rPr>
          <w:rStyle w:val="af7"/>
          <w:rFonts w:eastAsia="Guttman Hodes" w:hint="cs"/>
        </w:rPr>
        <w:instrText>REF</w:instrText>
      </w:r>
      <w:r w:rsidRPr="00094E56">
        <w:rPr>
          <w:rStyle w:val="af7"/>
          <w:rFonts w:eastAsia="Guttman Hodes" w:hint="cs"/>
          <w:rtl/>
        </w:rPr>
        <w:instrText xml:space="preserve"> _</w:instrText>
      </w:r>
      <w:r w:rsidRPr="00094E56">
        <w:rPr>
          <w:rStyle w:val="af7"/>
          <w:rFonts w:eastAsia="Guttman Hodes" w:hint="cs"/>
        </w:rPr>
        <w:instrText>Ref531121179 \r \h</w:instrText>
      </w:r>
      <w:r w:rsidRPr="00094E56">
        <w:rPr>
          <w:rStyle w:val="af7"/>
          <w:rFonts w:eastAsia="Guttman Hodes"/>
          <w:rtl/>
        </w:rPr>
        <w:instrText xml:space="preserve"> </w:instrText>
      </w:r>
      <w:r w:rsidRPr="00094E56">
        <w:rPr>
          <w:rStyle w:val="af7"/>
          <w:rFonts w:eastAsia="Guttman Hodes"/>
          <w:rtl/>
        </w:rPr>
      </w:r>
      <w:r w:rsidRPr="00094E56">
        <w:rPr>
          <w:rStyle w:val="af7"/>
          <w:rFonts w:eastAsia="Guttman Hodes"/>
          <w:rtl/>
        </w:rPr>
        <w:fldChar w:fldCharType="separate"/>
      </w:r>
      <w:r w:rsidR="00345400">
        <w:rPr>
          <w:rStyle w:val="af7"/>
          <w:rFonts w:eastAsia="Guttman Hodes"/>
          <w:cs/>
        </w:rPr>
        <w:t>‎</w:t>
      </w:r>
      <w:r w:rsidR="00345400">
        <w:rPr>
          <w:rStyle w:val="af7"/>
          <w:rFonts w:eastAsia="Guttman Hodes"/>
          <w:rtl/>
        </w:rPr>
        <w:t>מו)</w:t>
      </w:r>
      <w:r w:rsidRPr="00094E56">
        <w:rPr>
          <w:rStyle w:val="af7"/>
          <w:rFonts w:eastAsia="Guttman Hodes"/>
          <w:rtl/>
        </w:rPr>
        <w:fldChar w:fldCharType="end"/>
      </w:r>
      <w:r>
        <w:rPr>
          <w:rFonts w:hint="cs"/>
          <w:rtl/>
        </w:rPr>
        <w:t>.</w:t>
      </w:r>
      <w:bookmarkEnd w:id="11344"/>
    </w:p>
    <w:p w14:paraId="7AF7D99B" w14:textId="77777777" w:rsidR="00727D56" w:rsidRDefault="00727D56" w:rsidP="00BF39B2">
      <w:pPr>
        <w:pStyle w:val="1"/>
        <w:rPr>
          <w:rtl/>
        </w:rPr>
      </w:pPr>
      <w:bookmarkStart w:id="11345" w:name="_Toc531111260"/>
      <w:bookmarkStart w:id="11346" w:name="_Toc531158366"/>
      <w:bookmarkStart w:id="11347" w:name="_Toc531182472"/>
      <w:bookmarkStart w:id="11348" w:name="_Toc19390471"/>
      <w:bookmarkStart w:id="11349" w:name="_Toc19393968"/>
      <w:bookmarkStart w:id="11350" w:name="_Toc531111259"/>
      <w:bookmarkStart w:id="11351" w:name="_Toc531158365"/>
      <w:bookmarkStart w:id="11352" w:name="_Toc531182471"/>
      <w:r>
        <w:rPr>
          <w:rFonts w:hint="cs"/>
          <w:rtl/>
        </w:rPr>
        <w:t>דעת הרמב"ן והרשב"א דלרבנן אמרינן סמוך מיעוטא לחזקה</w:t>
      </w:r>
      <w:bookmarkEnd w:id="11345"/>
      <w:bookmarkEnd w:id="11346"/>
      <w:bookmarkEnd w:id="11347"/>
      <w:bookmarkEnd w:id="11348"/>
      <w:bookmarkEnd w:id="11349"/>
    </w:p>
    <w:p w14:paraId="1163FF2E" w14:textId="77777777" w:rsidR="00727D56" w:rsidRPr="0098005C" w:rsidRDefault="00727D56" w:rsidP="006D6D32">
      <w:pPr>
        <w:pStyle w:val="a3"/>
        <w:rPr>
          <w:rtl/>
        </w:rPr>
      </w:pPr>
      <w:bookmarkStart w:id="11353" w:name="_Toc19390472"/>
      <w:bookmarkStart w:id="11354" w:name="_Toc19393969"/>
      <w:r>
        <w:rPr>
          <w:rFonts w:hint="cs"/>
          <w:rtl/>
        </w:rPr>
        <w:t>ביאור הרמב"ן ברש"י דר"מ טיהר בתינוק כיון דאפושי טומאה לא מפשינן</w:t>
      </w:r>
      <w:bookmarkEnd w:id="11350"/>
      <w:bookmarkEnd w:id="11351"/>
      <w:bookmarkEnd w:id="11352"/>
      <w:bookmarkEnd w:id="11353"/>
      <w:bookmarkEnd w:id="11354"/>
    </w:p>
    <w:p w14:paraId="44414288" w14:textId="77777777" w:rsidR="00727D56" w:rsidRDefault="00727D56" w:rsidP="00223668">
      <w:pPr>
        <w:pStyle w:val="a0"/>
        <w:rPr>
          <w:rtl/>
        </w:rPr>
      </w:pPr>
      <w:r>
        <w:rPr>
          <w:rFonts w:hint="cs"/>
          <w:rtl/>
        </w:rPr>
        <w:t xml:space="preserve">הקשה </w:t>
      </w:r>
      <w:r w:rsidRPr="00A075D5">
        <w:rPr>
          <w:rStyle w:val="af9"/>
          <w:rFonts w:hint="cs"/>
          <w:rtl/>
        </w:rPr>
        <w:t>הרמב"ן ביבמות</w:t>
      </w:r>
      <w:r>
        <w:rPr>
          <w:rFonts w:hint="cs"/>
          <w:rtl/>
        </w:rPr>
        <w:t xml:space="preserve"> </w:t>
      </w:r>
      <w:r w:rsidRPr="00A075D5">
        <w:rPr>
          <w:rStyle w:val="af7"/>
          <w:rFonts w:eastAsia="Guttman Hodes" w:hint="cs"/>
          <w:rtl/>
        </w:rPr>
        <w:t>(קיט. ד"ה אלא)</w:t>
      </w:r>
      <w:r>
        <w:rPr>
          <w:rFonts w:hint="cs"/>
          <w:rtl/>
        </w:rPr>
        <w:t xml:space="preserve"> על </w:t>
      </w:r>
      <w:r w:rsidRPr="00A075D5">
        <w:rPr>
          <w:rStyle w:val="af9"/>
          <w:rFonts w:hint="cs"/>
          <w:rtl/>
        </w:rPr>
        <w:t>רש"י ביבמות</w:t>
      </w:r>
      <w:r>
        <w:rPr>
          <w:rFonts w:hint="cs"/>
          <w:rtl/>
        </w:rPr>
        <w:t xml:space="preserve"> </w:t>
      </w:r>
      <w:r w:rsidRPr="00F509A1">
        <w:rPr>
          <w:rStyle w:val="af7"/>
          <w:rFonts w:eastAsia="Guttman Hodes" w:hint="cs"/>
          <w:rtl/>
        </w:rPr>
        <w:t xml:space="preserve">(עי' אות </w:t>
      </w:r>
      <w:r w:rsidRPr="00F509A1">
        <w:rPr>
          <w:rStyle w:val="af7"/>
          <w:rFonts w:eastAsia="Guttman Hodes"/>
          <w:rtl/>
        </w:rPr>
        <w:fldChar w:fldCharType="begin"/>
      </w:r>
      <w:r w:rsidRPr="00F509A1">
        <w:rPr>
          <w:rStyle w:val="af7"/>
          <w:rFonts w:eastAsia="Guttman Hodes"/>
          <w:rtl/>
        </w:rPr>
        <w:instrText xml:space="preserve"> </w:instrText>
      </w:r>
      <w:r w:rsidRPr="00F509A1">
        <w:rPr>
          <w:rStyle w:val="af7"/>
          <w:rFonts w:eastAsia="Guttman Hodes" w:hint="cs"/>
        </w:rPr>
        <w:instrText>REF</w:instrText>
      </w:r>
      <w:r w:rsidRPr="00F509A1">
        <w:rPr>
          <w:rStyle w:val="af7"/>
          <w:rFonts w:eastAsia="Guttman Hodes" w:hint="cs"/>
          <w:rtl/>
        </w:rPr>
        <w:instrText xml:space="preserve"> _</w:instrText>
      </w:r>
      <w:r w:rsidRPr="00F509A1">
        <w:rPr>
          <w:rStyle w:val="af7"/>
          <w:rFonts w:eastAsia="Guttman Hodes" w:hint="cs"/>
        </w:rPr>
        <w:instrText>Ref531110963 \r \h</w:instrText>
      </w:r>
      <w:r w:rsidRPr="00F509A1">
        <w:rPr>
          <w:rStyle w:val="af7"/>
          <w:rFonts w:eastAsia="Guttman Hodes"/>
          <w:rtl/>
        </w:rPr>
        <w:instrText xml:space="preserve"> </w:instrText>
      </w:r>
      <w:r w:rsidRPr="00F509A1">
        <w:rPr>
          <w:rStyle w:val="af7"/>
          <w:rFonts w:eastAsia="Guttman Hodes"/>
          <w:rtl/>
        </w:rPr>
      </w:r>
      <w:r w:rsidRPr="00F509A1">
        <w:rPr>
          <w:rStyle w:val="af7"/>
          <w:rFonts w:eastAsia="Guttman Hodes"/>
          <w:rtl/>
        </w:rPr>
        <w:fldChar w:fldCharType="separate"/>
      </w:r>
      <w:r w:rsidR="00345400">
        <w:rPr>
          <w:rStyle w:val="af7"/>
          <w:rFonts w:eastAsia="Guttman Hodes"/>
          <w:cs/>
        </w:rPr>
        <w:t>‎</w:t>
      </w:r>
      <w:r w:rsidR="00345400">
        <w:rPr>
          <w:rStyle w:val="af7"/>
          <w:rFonts w:eastAsia="Guttman Hodes"/>
          <w:rtl/>
        </w:rPr>
        <w:t>לו)</w:t>
      </w:r>
      <w:r w:rsidRPr="00F509A1">
        <w:rPr>
          <w:rStyle w:val="af7"/>
          <w:rFonts w:eastAsia="Guttman Hodes"/>
          <w:rtl/>
        </w:rPr>
        <w:fldChar w:fldCharType="end"/>
      </w:r>
      <w:r>
        <w:rPr>
          <w:rFonts w:hint="cs"/>
          <w:rtl/>
        </w:rPr>
        <w:t xml:space="preserve"> דביאר דהמשנה שם היא לר"מ, דהא בגמ' בקידושין </w:t>
      </w:r>
      <w:r w:rsidRPr="00A075D5">
        <w:rPr>
          <w:rStyle w:val="af7"/>
          <w:rFonts w:eastAsia="Guttman Hodes" w:hint="cs"/>
          <w:rtl/>
        </w:rPr>
        <w:t>(פ.)</w:t>
      </w:r>
      <w:r>
        <w:rPr>
          <w:rFonts w:hint="cs"/>
          <w:rtl/>
        </w:rPr>
        <w:t xml:space="preserve"> טיהר ר"מ בתינוק כיון דבסמוך מיעוטא לחזקה, איתרע הרוב, ותירץ </w:t>
      </w:r>
      <w:r w:rsidRPr="00A075D5">
        <w:rPr>
          <w:rStyle w:val="af9"/>
          <w:rFonts w:hint="cs"/>
          <w:rtl/>
        </w:rPr>
        <w:t>הרמב"ן ביבמות</w:t>
      </w:r>
      <w:r>
        <w:rPr>
          <w:rFonts w:hint="cs"/>
          <w:rtl/>
        </w:rPr>
        <w:t xml:space="preserve"> דאין הכוונה שהחזקה והמיעוטא עדיפי מהרוב, אלא דכיון שהוא פלגא ופלגא והוא ספק השקול, ס"ל לר"מ דאפושי טומאה לא מפשינן.</w:t>
      </w:r>
    </w:p>
    <w:p w14:paraId="16A22570" w14:textId="77777777" w:rsidR="00727D56" w:rsidRDefault="00727D56" w:rsidP="006D6D32">
      <w:pPr>
        <w:pStyle w:val="a3"/>
        <w:rPr>
          <w:rtl/>
        </w:rPr>
      </w:pPr>
      <w:bookmarkStart w:id="11355" w:name="_Toc531111261"/>
      <w:bookmarkStart w:id="11356" w:name="_Toc531158367"/>
      <w:bookmarkStart w:id="11357" w:name="_Toc531182473"/>
      <w:bookmarkStart w:id="11358" w:name="_Toc19390473"/>
      <w:bookmarkStart w:id="11359" w:name="_Toc19393970"/>
      <w:r>
        <w:rPr>
          <w:rFonts w:hint="cs"/>
          <w:rtl/>
        </w:rPr>
        <w:t>דברי הרמב"ן והרשב"א דדעת הרי"ף והרמב"ם דלהלכה קיי"ל דמתני' ביבמות היא לרבנן</w:t>
      </w:r>
      <w:bookmarkEnd w:id="11355"/>
      <w:bookmarkEnd w:id="11356"/>
      <w:bookmarkEnd w:id="11357"/>
      <w:bookmarkEnd w:id="11358"/>
      <w:bookmarkEnd w:id="11359"/>
    </w:p>
    <w:p w14:paraId="6582FED8" w14:textId="77777777" w:rsidR="00727D56" w:rsidRDefault="00727D56" w:rsidP="00223668">
      <w:pPr>
        <w:pStyle w:val="a0"/>
        <w:rPr>
          <w:rtl/>
        </w:rPr>
      </w:pPr>
      <w:bookmarkStart w:id="11360" w:name="_Ref531173450"/>
      <w:r>
        <w:rPr>
          <w:rFonts w:hint="cs"/>
          <w:rtl/>
        </w:rPr>
        <w:t xml:space="preserve">כתבו </w:t>
      </w:r>
      <w:r w:rsidRPr="00A075D5">
        <w:rPr>
          <w:rStyle w:val="af9"/>
          <w:rFonts w:hint="cs"/>
          <w:rtl/>
        </w:rPr>
        <w:t>הרמב"ן ביבמות</w:t>
      </w:r>
      <w:r>
        <w:rPr>
          <w:rFonts w:hint="cs"/>
          <w:rtl/>
        </w:rPr>
        <w:t xml:space="preserve"> </w:t>
      </w:r>
      <w:r w:rsidRPr="00A075D5">
        <w:rPr>
          <w:rStyle w:val="af7"/>
          <w:rFonts w:eastAsia="Guttman Hodes" w:hint="cs"/>
          <w:rtl/>
        </w:rPr>
        <w:t>(קיט. ד"ה אלא)</w:t>
      </w:r>
      <w:r>
        <w:rPr>
          <w:rFonts w:hint="cs"/>
          <w:rtl/>
        </w:rPr>
        <w:t xml:space="preserve"> </w:t>
      </w:r>
      <w:r>
        <w:rPr>
          <w:rStyle w:val="af9"/>
          <w:rFonts w:hint="cs"/>
          <w:rtl/>
        </w:rPr>
        <w:t>ו</w:t>
      </w:r>
      <w:r w:rsidRPr="00A075D5">
        <w:rPr>
          <w:rStyle w:val="af9"/>
          <w:rFonts w:hint="cs"/>
          <w:rtl/>
        </w:rPr>
        <w:t>הר</w:t>
      </w:r>
      <w:r>
        <w:rPr>
          <w:rStyle w:val="af9"/>
          <w:rFonts w:hint="cs"/>
          <w:rtl/>
        </w:rPr>
        <w:t>ש</w:t>
      </w:r>
      <w:r w:rsidRPr="00A075D5">
        <w:rPr>
          <w:rStyle w:val="af9"/>
          <w:rFonts w:hint="cs"/>
          <w:rtl/>
        </w:rPr>
        <w:t>ב"</w:t>
      </w:r>
      <w:r>
        <w:rPr>
          <w:rStyle w:val="af9"/>
          <w:rFonts w:hint="cs"/>
          <w:rtl/>
        </w:rPr>
        <w:t>א</w:t>
      </w:r>
      <w:r w:rsidRPr="00A075D5">
        <w:rPr>
          <w:rStyle w:val="af9"/>
          <w:rFonts w:hint="cs"/>
          <w:rtl/>
        </w:rPr>
        <w:t xml:space="preserve"> ביבמות</w:t>
      </w:r>
      <w:r>
        <w:rPr>
          <w:rFonts w:hint="cs"/>
          <w:rtl/>
        </w:rPr>
        <w:t xml:space="preserve"> </w:t>
      </w:r>
      <w:r w:rsidRPr="00537964">
        <w:rPr>
          <w:rStyle w:val="af7"/>
          <w:rFonts w:eastAsia="Guttman Hodes" w:hint="cs"/>
          <w:rtl/>
        </w:rPr>
        <w:t>(קיט. ד"ה והאי)</w:t>
      </w:r>
      <w:r>
        <w:rPr>
          <w:rFonts w:hint="cs"/>
          <w:rtl/>
        </w:rPr>
        <w:t xml:space="preserve"> דלדברי </w:t>
      </w:r>
      <w:r w:rsidRPr="00950FEF">
        <w:rPr>
          <w:rStyle w:val="af9"/>
          <w:rFonts w:hint="cs"/>
          <w:rtl/>
        </w:rPr>
        <w:t>רש"י ביבמות</w:t>
      </w:r>
      <w:r>
        <w:rPr>
          <w:rFonts w:hint="cs"/>
          <w:rtl/>
        </w:rPr>
        <w:t xml:space="preserve"> המשנה שם היא דלא כהלכתא, ואילו </w:t>
      </w:r>
      <w:r w:rsidRPr="009D1288">
        <w:rPr>
          <w:rStyle w:val="af9"/>
          <w:rFonts w:hint="cs"/>
          <w:rtl/>
        </w:rPr>
        <w:t>הרי"ף ביבמות</w:t>
      </w:r>
      <w:r>
        <w:rPr>
          <w:rFonts w:hint="cs"/>
          <w:rtl/>
        </w:rPr>
        <w:t xml:space="preserve"> </w:t>
      </w:r>
      <w:r w:rsidRPr="009D1288">
        <w:rPr>
          <w:rStyle w:val="af7"/>
          <w:rFonts w:eastAsia="Guttman Hodes" w:hint="cs"/>
          <w:rtl/>
        </w:rPr>
        <w:t>(מד: מדפי הרי"ף)</w:t>
      </w:r>
      <w:r>
        <w:rPr>
          <w:rFonts w:hint="cs"/>
          <w:rtl/>
        </w:rPr>
        <w:t xml:space="preserve"> </w:t>
      </w:r>
      <w:r w:rsidRPr="009D1288">
        <w:rPr>
          <w:rStyle w:val="af9"/>
          <w:rFonts w:hint="cs"/>
          <w:rtl/>
        </w:rPr>
        <w:t>והרמב"ם</w:t>
      </w:r>
      <w:r>
        <w:rPr>
          <w:rFonts w:hint="cs"/>
          <w:rtl/>
        </w:rPr>
        <w:t xml:space="preserve"> </w:t>
      </w:r>
      <w:r w:rsidRPr="009D1288">
        <w:rPr>
          <w:rStyle w:val="af7"/>
          <w:rFonts w:eastAsia="Guttman Hodes" w:hint="cs"/>
          <w:rtl/>
        </w:rPr>
        <w:t>(יבום וחליצה פ"ג הט"ז)</w:t>
      </w:r>
      <w:r>
        <w:rPr>
          <w:rFonts w:hint="cs"/>
          <w:rtl/>
        </w:rPr>
        <w:t xml:space="preserve"> פסקו את המשנה, ומבואר דס"ל דהיא לרבנן ולא לר"מ. וביאר </w:t>
      </w:r>
      <w:r w:rsidRPr="00A075D5">
        <w:rPr>
          <w:rStyle w:val="af9"/>
          <w:rFonts w:hint="cs"/>
          <w:rtl/>
        </w:rPr>
        <w:t>הרמב"ן ביבמות</w:t>
      </w:r>
      <w:r>
        <w:rPr>
          <w:rFonts w:hint="cs"/>
          <w:rtl/>
        </w:rPr>
        <w:t xml:space="preserve"> דאף דמסקנת הגמ' ביבמות, דהמשנה היא כר"מ, מ"מ בגמ' בבכורות </w:t>
      </w:r>
      <w:r w:rsidRPr="00A075D5">
        <w:rPr>
          <w:rStyle w:val="af7"/>
          <w:rFonts w:eastAsia="Guttman Hodes" w:hint="cs"/>
          <w:rtl/>
        </w:rPr>
        <w:t>(יט:)</w:t>
      </w:r>
      <w:r>
        <w:rPr>
          <w:rFonts w:hint="cs"/>
          <w:rtl/>
        </w:rPr>
        <w:t xml:space="preserve"> מבואר דהמשנה היא אף לרבנן.</w:t>
      </w:r>
      <w:bookmarkEnd w:id="11360"/>
    </w:p>
    <w:p w14:paraId="6D779768" w14:textId="77777777" w:rsidR="005E1F6B" w:rsidRDefault="005E1F6B" w:rsidP="006D6D32">
      <w:pPr>
        <w:pStyle w:val="a3"/>
        <w:rPr>
          <w:rtl/>
        </w:rPr>
      </w:pPr>
      <w:bookmarkStart w:id="11361" w:name="_Toc19390474"/>
      <w:bookmarkStart w:id="11362" w:name="_Toc19393971"/>
      <w:r>
        <w:rPr>
          <w:rFonts w:hint="cs"/>
          <w:rtl/>
        </w:rPr>
        <w:t>דברי הרשב"א דאף לדעת רש"י מסקנת הגמ' ביבמות דהמשנה היא אף לרבנן</w:t>
      </w:r>
      <w:bookmarkEnd w:id="11339"/>
      <w:bookmarkEnd w:id="11340"/>
      <w:bookmarkEnd w:id="11341"/>
      <w:bookmarkEnd w:id="11361"/>
      <w:bookmarkEnd w:id="11362"/>
    </w:p>
    <w:p w14:paraId="1FF8630D" w14:textId="77777777" w:rsidR="005E1F6B" w:rsidRPr="007D16A1" w:rsidRDefault="005E1F6B" w:rsidP="00223668">
      <w:pPr>
        <w:pStyle w:val="a0"/>
        <w:rPr>
          <w:rtl/>
        </w:rPr>
      </w:pPr>
      <w:bookmarkStart w:id="11363" w:name="_Ref531110916"/>
      <w:r w:rsidRPr="007D16A1">
        <w:rPr>
          <w:rStyle w:val="af9"/>
          <w:rFonts w:hint="cs"/>
          <w:rtl/>
        </w:rPr>
        <w:t xml:space="preserve">והרשב"א ביבמות </w:t>
      </w:r>
      <w:r>
        <w:rPr>
          <w:rFonts w:hint="cs"/>
          <w:rtl/>
        </w:rPr>
        <w:t xml:space="preserve">כתב דאף לדעת </w:t>
      </w:r>
      <w:r w:rsidRPr="007D16A1">
        <w:rPr>
          <w:rStyle w:val="af9"/>
          <w:rFonts w:hint="cs"/>
          <w:rtl/>
        </w:rPr>
        <w:t xml:space="preserve">רש"י ביבמות </w:t>
      </w:r>
      <w:r>
        <w:rPr>
          <w:rFonts w:hint="cs"/>
          <w:rtl/>
        </w:rPr>
        <w:t xml:space="preserve">מסקנת הגמ' ביבמות דהמשנה היא אף לרבנן, והא דכתב </w:t>
      </w:r>
      <w:r w:rsidRPr="007D16A1">
        <w:rPr>
          <w:rStyle w:val="af9"/>
          <w:rFonts w:hint="cs"/>
          <w:rtl/>
        </w:rPr>
        <w:t xml:space="preserve">רש"י ביבמות </w:t>
      </w:r>
      <w:r>
        <w:rPr>
          <w:rFonts w:hint="cs"/>
          <w:rtl/>
        </w:rPr>
        <w:t>דהיא אליבא דר"מ, כוונתו דאף ר"מ מודה בסיפא של המשנה שם דהוא מיעוטא דמיעוטא ולא חייש ליה.</w:t>
      </w:r>
      <w:bookmarkEnd w:id="11363"/>
    </w:p>
    <w:p w14:paraId="16FC9D5A" w14:textId="77777777" w:rsidR="005E1F6B" w:rsidRDefault="005E1F6B" w:rsidP="006D6D32">
      <w:pPr>
        <w:pStyle w:val="a3"/>
        <w:rPr>
          <w:rtl/>
        </w:rPr>
      </w:pPr>
      <w:bookmarkStart w:id="11364" w:name="_Toc531111263"/>
      <w:bookmarkStart w:id="11365" w:name="_Toc531158369"/>
      <w:bookmarkStart w:id="11366" w:name="_Toc531182475"/>
      <w:bookmarkStart w:id="11367" w:name="_Toc19390475"/>
      <w:bookmarkStart w:id="11368" w:name="_Toc19393972"/>
      <w:r>
        <w:rPr>
          <w:rFonts w:hint="cs"/>
          <w:rtl/>
        </w:rPr>
        <w:t>דעת רה"ג דאף לרבנן אמרינן סמוך מיעוטא לחזקה</w:t>
      </w:r>
      <w:bookmarkEnd w:id="11364"/>
      <w:bookmarkEnd w:id="11365"/>
      <w:bookmarkEnd w:id="11366"/>
      <w:bookmarkEnd w:id="11367"/>
      <w:bookmarkEnd w:id="11368"/>
    </w:p>
    <w:p w14:paraId="742D3EF0" w14:textId="77777777" w:rsidR="005E1F6B" w:rsidRDefault="005E1F6B" w:rsidP="00223668">
      <w:pPr>
        <w:pStyle w:val="a0"/>
        <w:rPr>
          <w:rtl/>
        </w:rPr>
      </w:pPr>
      <w:bookmarkStart w:id="11369" w:name="_Ref531170841"/>
      <w:bookmarkStart w:id="11370" w:name="_Ref531104629"/>
      <w:r>
        <w:rPr>
          <w:rFonts w:hint="cs"/>
          <w:rtl/>
        </w:rPr>
        <w:t xml:space="preserve">ועוד הביאו </w:t>
      </w:r>
      <w:r w:rsidRPr="00700845">
        <w:rPr>
          <w:rStyle w:val="af9"/>
          <w:rFonts w:hint="cs"/>
          <w:rtl/>
        </w:rPr>
        <w:t>הרמב"ן ביבמות</w:t>
      </w:r>
      <w:r>
        <w:rPr>
          <w:rFonts w:hint="cs"/>
          <w:rtl/>
        </w:rPr>
        <w:t xml:space="preserve"> </w:t>
      </w:r>
      <w:r w:rsidRPr="00700845">
        <w:rPr>
          <w:rStyle w:val="af7"/>
          <w:rFonts w:eastAsia="Guttman Hodes" w:hint="cs"/>
          <w:rtl/>
        </w:rPr>
        <w:t xml:space="preserve">(קיט. ד"ה כך) </w:t>
      </w:r>
      <w:r w:rsidRPr="007D16A1">
        <w:rPr>
          <w:rStyle w:val="af9"/>
          <w:rFonts w:hint="cs"/>
          <w:rtl/>
        </w:rPr>
        <w:t xml:space="preserve">והרשב"א ביבמות </w:t>
      </w:r>
      <w:r>
        <w:rPr>
          <w:rStyle w:val="af7"/>
          <w:rFonts w:eastAsia="Guttman Hodes" w:hint="cs"/>
          <w:rtl/>
        </w:rPr>
        <w:t>(קיט. ד"ה ומקצת</w:t>
      </w:r>
      <w:r w:rsidRPr="00700845">
        <w:rPr>
          <w:rStyle w:val="af7"/>
          <w:rFonts w:eastAsia="Guttman Hodes" w:hint="cs"/>
          <w:rtl/>
        </w:rPr>
        <w:t xml:space="preserve">) </w:t>
      </w:r>
      <w:r>
        <w:rPr>
          <w:rFonts w:hint="cs"/>
          <w:rtl/>
        </w:rPr>
        <w:t xml:space="preserve">בשם </w:t>
      </w:r>
      <w:r w:rsidRPr="00700845">
        <w:rPr>
          <w:rStyle w:val="af9"/>
          <w:rFonts w:hint="cs"/>
          <w:rtl/>
        </w:rPr>
        <w:t>רבינו האי גאון</w:t>
      </w:r>
      <w:r>
        <w:rPr>
          <w:rFonts w:hint="cs"/>
          <w:rtl/>
        </w:rPr>
        <w:t xml:space="preserve"> דגרסינן במסקנת הגמ' ביבמות דהמשנה היא אף לרבנן, דמודו רבנן דבסמוך מיעוטא לחזקה, לא אזלינן בתר רובא, והו"ל כפלגא ופלגא</w:t>
      </w:r>
      <w:r w:rsidRPr="00A925D5">
        <w:rPr>
          <w:rFonts w:hint="cs"/>
          <w:rtl/>
        </w:rPr>
        <w:t>, ועי'</w:t>
      </w:r>
      <w:r>
        <w:rPr>
          <w:rFonts w:hint="cs"/>
          <w:rtl/>
        </w:rPr>
        <w:t xml:space="preserve"> במה שביאר </w:t>
      </w:r>
      <w:r w:rsidRPr="009B4B56">
        <w:rPr>
          <w:rStyle w:val="af9"/>
          <w:rFonts w:hint="cs"/>
          <w:rtl/>
        </w:rPr>
        <w:t>הגרעק"א</w:t>
      </w:r>
      <w:r>
        <w:rPr>
          <w:rFonts w:hint="cs"/>
          <w:rtl/>
        </w:rPr>
        <w:t xml:space="preserve"> </w:t>
      </w:r>
      <w:r w:rsidRPr="00E66FBE">
        <w:rPr>
          <w:rStyle w:val="af7"/>
          <w:rFonts w:eastAsia="Guttman Hodes" w:hint="cs"/>
          <w:rtl/>
        </w:rPr>
        <w:t xml:space="preserve">(עי' אות </w:t>
      </w:r>
      <w:r w:rsidRPr="00E66FBE">
        <w:rPr>
          <w:rStyle w:val="af7"/>
          <w:rFonts w:eastAsia="Guttman Hodes"/>
          <w:rtl/>
        </w:rPr>
        <w:fldChar w:fldCharType="begin"/>
      </w:r>
      <w:r w:rsidRPr="00E66FBE">
        <w:rPr>
          <w:rStyle w:val="af7"/>
          <w:rFonts w:eastAsia="Guttman Hodes"/>
          <w:rtl/>
        </w:rPr>
        <w:instrText xml:space="preserve"> </w:instrText>
      </w:r>
      <w:r w:rsidRPr="00E66FBE">
        <w:rPr>
          <w:rStyle w:val="af7"/>
          <w:rFonts w:eastAsia="Guttman Hodes" w:hint="cs"/>
        </w:rPr>
        <w:instrText>REF</w:instrText>
      </w:r>
      <w:r w:rsidRPr="00E66FBE">
        <w:rPr>
          <w:rStyle w:val="af7"/>
          <w:rFonts w:eastAsia="Guttman Hodes" w:hint="cs"/>
          <w:rtl/>
        </w:rPr>
        <w:instrText xml:space="preserve"> _</w:instrText>
      </w:r>
      <w:r w:rsidRPr="00E66FBE">
        <w:rPr>
          <w:rStyle w:val="af7"/>
          <w:rFonts w:eastAsia="Guttman Hodes" w:hint="cs"/>
        </w:rPr>
        <w:instrText>Ref531120765 \r \h</w:instrText>
      </w:r>
      <w:r w:rsidRPr="00E66FBE">
        <w:rPr>
          <w:rStyle w:val="af7"/>
          <w:rFonts w:eastAsia="Guttman Hodes"/>
          <w:rtl/>
        </w:rPr>
        <w:instrText xml:space="preserve"> </w:instrText>
      </w:r>
      <w:r w:rsidRPr="00E66FBE">
        <w:rPr>
          <w:rStyle w:val="af7"/>
          <w:rFonts w:eastAsia="Guttman Hodes"/>
          <w:rtl/>
        </w:rPr>
      </w:r>
      <w:r w:rsidRPr="00E66FBE">
        <w:rPr>
          <w:rStyle w:val="af7"/>
          <w:rFonts w:eastAsia="Guttman Hodes"/>
          <w:rtl/>
        </w:rPr>
        <w:fldChar w:fldCharType="separate"/>
      </w:r>
      <w:r w:rsidR="00345400">
        <w:rPr>
          <w:rStyle w:val="af7"/>
          <w:rFonts w:eastAsia="Guttman Hodes"/>
          <w:cs/>
        </w:rPr>
        <w:t>‎</w:t>
      </w:r>
      <w:r w:rsidR="00345400">
        <w:rPr>
          <w:rStyle w:val="af7"/>
          <w:rFonts w:eastAsia="Guttman Hodes"/>
          <w:rtl/>
        </w:rPr>
        <w:t>צו)</w:t>
      </w:r>
      <w:r w:rsidRPr="00E66FBE">
        <w:rPr>
          <w:rStyle w:val="af7"/>
          <w:rFonts w:eastAsia="Guttman Hodes"/>
          <w:rtl/>
        </w:rPr>
        <w:fldChar w:fldCharType="end"/>
      </w:r>
      <w:r>
        <w:rPr>
          <w:rFonts w:hint="cs"/>
          <w:rtl/>
        </w:rPr>
        <w:t xml:space="preserve"> בדעת </w:t>
      </w:r>
      <w:r w:rsidRPr="009B4B56">
        <w:rPr>
          <w:rStyle w:val="af9"/>
          <w:rFonts w:hint="cs"/>
          <w:rtl/>
        </w:rPr>
        <w:t>הרשב"א</w:t>
      </w:r>
      <w:r>
        <w:rPr>
          <w:rFonts w:hint="cs"/>
          <w:rtl/>
        </w:rPr>
        <w:t xml:space="preserve">, וע"ע בדברי </w:t>
      </w:r>
      <w:r w:rsidRPr="00E66FBE">
        <w:rPr>
          <w:rStyle w:val="af9"/>
          <w:rFonts w:hint="cs"/>
          <w:rtl/>
        </w:rPr>
        <w:t>המהרש"א</w:t>
      </w:r>
      <w:r>
        <w:rPr>
          <w:rFonts w:hint="cs"/>
          <w:rtl/>
        </w:rPr>
        <w:t xml:space="preserve"> </w:t>
      </w:r>
      <w:r w:rsidRPr="00E66FBE">
        <w:rPr>
          <w:rStyle w:val="af7"/>
          <w:rFonts w:eastAsia="Guttman Hodes" w:hint="cs"/>
          <w:rtl/>
        </w:rPr>
        <w:t xml:space="preserve">(עי' אות </w:t>
      </w:r>
      <w:r w:rsidRPr="00E66FBE">
        <w:rPr>
          <w:rStyle w:val="af7"/>
          <w:rFonts w:eastAsia="Guttman Hodes"/>
          <w:rtl/>
        </w:rPr>
        <w:fldChar w:fldCharType="begin"/>
      </w:r>
      <w:r w:rsidRPr="00E66FBE">
        <w:rPr>
          <w:rStyle w:val="af7"/>
          <w:rFonts w:eastAsia="Guttman Hodes"/>
          <w:rtl/>
        </w:rPr>
        <w:instrText xml:space="preserve"> </w:instrText>
      </w:r>
      <w:r w:rsidRPr="00E66FBE">
        <w:rPr>
          <w:rStyle w:val="af7"/>
          <w:rFonts w:eastAsia="Guttman Hodes" w:hint="cs"/>
        </w:rPr>
        <w:instrText>REF</w:instrText>
      </w:r>
      <w:r w:rsidRPr="00E66FBE">
        <w:rPr>
          <w:rStyle w:val="af7"/>
          <w:rFonts w:eastAsia="Guttman Hodes" w:hint="cs"/>
          <w:rtl/>
        </w:rPr>
        <w:instrText xml:space="preserve"> _</w:instrText>
      </w:r>
      <w:r w:rsidRPr="00E66FBE">
        <w:rPr>
          <w:rStyle w:val="af7"/>
          <w:rFonts w:eastAsia="Guttman Hodes" w:hint="cs"/>
        </w:rPr>
        <w:instrText>Ref531120782 \r \h</w:instrText>
      </w:r>
      <w:r w:rsidRPr="00E66FBE">
        <w:rPr>
          <w:rStyle w:val="af7"/>
          <w:rFonts w:eastAsia="Guttman Hodes"/>
          <w:rtl/>
        </w:rPr>
        <w:instrText xml:space="preserve"> </w:instrText>
      </w:r>
      <w:r w:rsidRPr="00E66FBE">
        <w:rPr>
          <w:rStyle w:val="af7"/>
          <w:rFonts w:eastAsia="Guttman Hodes"/>
          <w:rtl/>
        </w:rPr>
      </w:r>
      <w:r w:rsidRPr="00E66FBE">
        <w:rPr>
          <w:rStyle w:val="af7"/>
          <w:rFonts w:eastAsia="Guttman Hodes"/>
          <w:rtl/>
        </w:rPr>
        <w:fldChar w:fldCharType="separate"/>
      </w:r>
      <w:r w:rsidR="00345400">
        <w:rPr>
          <w:rStyle w:val="af7"/>
          <w:rFonts w:eastAsia="Guttman Hodes"/>
          <w:cs/>
        </w:rPr>
        <w:t>‎</w:t>
      </w:r>
      <w:r w:rsidR="00345400">
        <w:rPr>
          <w:rStyle w:val="af7"/>
          <w:rFonts w:eastAsia="Guttman Hodes"/>
          <w:rtl/>
        </w:rPr>
        <w:t>צה)</w:t>
      </w:r>
      <w:r w:rsidRPr="00E66FBE">
        <w:rPr>
          <w:rStyle w:val="af7"/>
          <w:rFonts w:eastAsia="Guttman Hodes"/>
          <w:rtl/>
        </w:rPr>
        <w:fldChar w:fldCharType="end"/>
      </w:r>
      <w:r>
        <w:rPr>
          <w:rFonts w:hint="cs"/>
          <w:rtl/>
        </w:rPr>
        <w:t>.</w:t>
      </w:r>
      <w:bookmarkEnd w:id="11369"/>
    </w:p>
    <w:p w14:paraId="06D474B4" w14:textId="77777777" w:rsidR="005E1F6B" w:rsidRPr="00E66FBE" w:rsidRDefault="005E1F6B" w:rsidP="006D6D32">
      <w:pPr>
        <w:pStyle w:val="a3"/>
      </w:pPr>
      <w:bookmarkStart w:id="11371" w:name="_Toc531182476"/>
      <w:bookmarkStart w:id="11372" w:name="_Toc19390476"/>
      <w:bookmarkStart w:id="11373" w:name="_Toc19393973"/>
      <w:r>
        <w:rPr>
          <w:rFonts w:hint="cs"/>
          <w:rtl/>
        </w:rPr>
        <w:t>ביאור הרמב"ן דלרבנן אין המיעוט כמאן דליתיה אלא שאין בו כח להצטרף לחזקה</w:t>
      </w:r>
      <w:bookmarkEnd w:id="11371"/>
      <w:bookmarkEnd w:id="11372"/>
      <w:bookmarkEnd w:id="11373"/>
    </w:p>
    <w:p w14:paraId="1F8DC614" w14:textId="77777777" w:rsidR="005E1F6B" w:rsidRDefault="005E1F6B" w:rsidP="00223668">
      <w:pPr>
        <w:pStyle w:val="a0"/>
        <w:rPr>
          <w:rtl/>
        </w:rPr>
      </w:pPr>
      <w:r>
        <w:rPr>
          <w:rFonts w:hint="cs"/>
          <w:rtl/>
        </w:rPr>
        <w:t xml:space="preserve">וכתב </w:t>
      </w:r>
      <w:r w:rsidRPr="00700845">
        <w:rPr>
          <w:rStyle w:val="af9"/>
          <w:rFonts w:hint="cs"/>
          <w:rtl/>
        </w:rPr>
        <w:t>הרמב"ן ביבמות</w:t>
      </w:r>
      <w:r>
        <w:rPr>
          <w:rFonts w:hint="cs"/>
          <w:rtl/>
        </w:rPr>
        <w:t xml:space="preserve"> דהא דאיתא בגמ' בקידושין</w:t>
      </w:r>
      <w:r w:rsidRPr="00700845">
        <w:rPr>
          <w:rStyle w:val="af7"/>
          <w:rFonts w:eastAsia="Guttman Hodes" w:hint="cs"/>
          <w:rtl/>
        </w:rPr>
        <w:t xml:space="preserve"> (פ.) </w:t>
      </w:r>
      <w:r>
        <w:rPr>
          <w:rFonts w:hint="cs"/>
          <w:rtl/>
        </w:rPr>
        <w:t xml:space="preserve">דלרבנן המיעוט הוא כמאן דליתיה, והרוב עדיף מהחזקה, אין הכוונה דלרבנן לא אמרינן סמוך מיעוטא לחזקה, אלא דאין כח במיעוט להצטרף לחזקה לטהר, והרוב מכריע לטומאה, אך חוששין למיעוט ואין עושים מעשה, ולכן לא שורפין בכה"ג תרומה שנטמאת מכח הרוב, וכתב </w:t>
      </w:r>
      <w:r w:rsidRPr="00700845">
        <w:rPr>
          <w:rStyle w:val="af9"/>
          <w:rFonts w:hint="cs"/>
          <w:rtl/>
        </w:rPr>
        <w:t>הרמב"ן ביבמות</w:t>
      </w:r>
      <w:r>
        <w:rPr>
          <w:rFonts w:hint="cs"/>
          <w:rtl/>
        </w:rPr>
        <w:t xml:space="preserve"> דכן מבואר בגמ' בנדה </w:t>
      </w:r>
      <w:r w:rsidRPr="00592567">
        <w:rPr>
          <w:rStyle w:val="af7"/>
          <w:rFonts w:eastAsia="Guttman Hodes" w:hint="cs"/>
          <w:rtl/>
        </w:rPr>
        <w:t>(יח.)</w:t>
      </w:r>
      <w:r>
        <w:rPr>
          <w:rFonts w:hint="cs"/>
          <w:rtl/>
        </w:rPr>
        <w:t>, דבסמוך מיעוטא לחזקה חשיב ספק לדעת רבנן, ואין שורפין תרומה בכה"ג.</w:t>
      </w:r>
    </w:p>
    <w:p w14:paraId="1CF4B8F2" w14:textId="77777777" w:rsidR="005E1F6B" w:rsidRDefault="005E1F6B" w:rsidP="006D6D32">
      <w:pPr>
        <w:pStyle w:val="a3"/>
        <w:rPr>
          <w:rtl/>
        </w:rPr>
      </w:pPr>
      <w:bookmarkStart w:id="11374" w:name="_Toc531111264"/>
      <w:bookmarkStart w:id="11375" w:name="_Toc531158370"/>
      <w:bookmarkStart w:id="11376" w:name="_Toc531182477"/>
      <w:bookmarkStart w:id="11377" w:name="_Toc19390477"/>
      <w:bookmarkStart w:id="11378" w:name="_Toc19393974"/>
      <w:bookmarkEnd w:id="11370"/>
      <w:r>
        <w:rPr>
          <w:rFonts w:hint="cs"/>
          <w:rtl/>
        </w:rPr>
        <w:t>ביאורי הראשונים דיש מקומות שלא אמרינן סמוך מיעוטא לחזקה אף לרבנן</w:t>
      </w:r>
      <w:bookmarkEnd w:id="11374"/>
      <w:bookmarkEnd w:id="11375"/>
      <w:bookmarkEnd w:id="11376"/>
      <w:bookmarkEnd w:id="11377"/>
      <w:bookmarkEnd w:id="11378"/>
    </w:p>
    <w:p w14:paraId="7367E0EC" w14:textId="77777777" w:rsidR="005E1F6B" w:rsidRDefault="005E1F6B" w:rsidP="00223668">
      <w:pPr>
        <w:pStyle w:val="a0"/>
        <w:rPr>
          <w:rtl/>
        </w:rPr>
      </w:pPr>
      <w:r>
        <w:rPr>
          <w:rFonts w:hint="cs"/>
          <w:rtl/>
        </w:rPr>
        <w:t xml:space="preserve">אך הקשה </w:t>
      </w:r>
      <w:r w:rsidRPr="00700845">
        <w:rPr>
          <w:rStyle w:val="af9"/>
          <w:rFonts w:hint="cs"/>
          <w:rtl/>
        </w:rPr>
        <w:t>הרמב"ן ביבמות</w:t>
      </w:r>
      <w:r>
        <w:rPr>
          <w:rFonts w:hint="cs"/>
          <w:rtl/>
        </w:rPr>
        <w:t xml:space="preserve"> דהא בגמ' בקידושין </w:t>
      </w:r>
      <w:r w:rsidRPr="00700845">
        <w:rPr>
          <w:rStyle w:val="af7"/>
          <w:rFonts w:eastAsia="Guttman Hodes" w:hint="cs"/>
          <w:rtl/>
        </w:rPr>
        <w:t xml:space="preserve">(פ.) </w:t>
      </w:r>
      <w:r>
        <w:rPr>
          <w:rFonts w:hint="cs"/>
          <w:rtl/>
        </w:rPr>
        <w:t xml:space="preserve">איתא דבעיסה שנמצאו בה אברים מנופלים, אזלינן בתר רוב שרצים בבית, וטמאה בודאי ושורפין עליה תרומה, ותירץ </w:t>
      </w:r>
      <w:r w:rsidRPr="00700845">
        <w:rPr>
          <w:rStyle w:val="af9"/>
          <w:rFonts w:hint="cs"/>
          <w:rtl/>
        </w:rPr>
        <w:t>הרמב"ן ביבמות</w:t>
      </w:r>
      <w:r>
        <w:rPr>
          <w:rFonts w:hint="cs"/>
          <w:rtl/>
        </w:rPr>
        <w:t xml:space="preserve"> דברובא </w:t>
      </w:r>
      <w:r w:rsidRPr="00974A28">
        <w:rPr>
          <w:rFonts w:hint="cs"/>
          <w:rtl/>
        </w:rPr>
        <w:t xml:space="preserve">דאיתא קמן לא אמרינן סמוך מיעוטא לחזקה כדביאר </w:t>
      </w:r>
      <w:r w:rsidRPr="00974A28">
        <w:rPr>
          <w:rStyle w:val="af9"/>
          <w:rFonts w:hint="cs"/>
          <w:rtl/>
        </w:rPr>
        <w:t>רש"י בקידושין</w:t>
      </w:r>
      <w:r w:rsidRPr="00974A28">
        <w:rPr>
          <w:rFonts w:hint="cs"/>
          <w:rtl/>
        </w:rPr>
        <w:t xml:space="preserve"> </w:t>
      </w:r>
      <w:r w:rsidRPr="00974A28">
        <w:rPr>
          <w:rStyle w:val="af7"/>
          <w:rFonts w:eastAsia="Guttman Hodes" w:hint="cs"/>
          <w:rtl/>
        </w:rPr>
        <w:t xml:space="preserve">(עי' אות </w:t>
      </w:r>
      <w:r w:rsidRPr="00974A28">
        <w:rPr>
          <w:rStyle w:val="af7"/>
          <w:rFonts w:eastAsia="Guttman Hodes"/>
          <w:rtl/>
        </w:rPr>
        <w:fldChar w:fldCharType="begin"/>
      </w:r>
      <w:r w:rsidRPr="00974A28">
        <w:rPr>
          <w:rStyle w:val="af7"/>
          <w:rFonts w:eastAsia="Guttman Hodes"/>
          <w:rtl/>
        </w:rPr>
        <w:instrText xml:space="preserve"> </w:instrText>
      </w:r>
      <w:r w:rsidRPr="00974A28">
        <w:rPr>
          <w:rStyle w:val="af7"/>
          <w:rFonts w:eastAsia="Guttman Hodes" w:hint="cs"/>
        </w:rPr>
        <w:instrText>REF</w:instrText>
      </w:r>
      <w:r w:rsidRPr="00974A28">
        <w:rPr>
          <w:rStyle w:val="af7"/>
          <w:rFonts w:eastAsia="Guttman Hodes" w:hint="cs"/>
          <w:rtl/>
        </w:rPr>
        <w:instrText xml:space="preserve"> _</w:instrText>
      </w:r>
      <w:r w:rsidRPr="00974A28">
        <w:rPr>
          <w:rStyle w:val="af7"/>
          <w:rFonts w:eastAsia="Guttman Hodes" w:hint="cs"/>
        </w:rPr>
        <w:instrText>Ref531166511 \r \h</w:instrText>
      </w:r>
      <w:r w:rsidRPr="00974A28">
        <w:rPr>
          <w:rStyle w:val="af7"/>
          <w:rFonts w:eastAsia="Guttman Hodes"/>
          <w:rtl/>
        </w:rPr>
        <w:instrText xml:space="preserve"> </w:instrText>
      </w:r>
      <w:r w:rsidRPr="00974A28">
        <w:rPr>
          <w:rStyle w:val="af7"/>
          <w:rFonts w:eastAsia="Guttman Hodes"/>
          <w:rtl/>
        </w:rPr>
      </w:r>
      <w:r w:rsidRPr="00974A28">
        <w:rPr>
          <w:rStyle w:val="af7"/>
          <w:rFonts w:eastAsia="Guttman Hodes"/>
          <w:rtl/>
        </w:rPr>
        <w:fldChar w:fldCharType="separate"/>
      </w:r>
      <w:r w:rsidR="00345400">
        <w:rPr>
          <w:rStyle w:val="af7"/>
          <w:rFonts w:eastAsia="Guttman Hodes"/>
          <w:cs/>
        </w:rPr>
        <w:t>‎</w:t>
      </w:r>
      <w:r w:rsidR="00345400">
        <w:rPr>
          <w:rStyle w:val="af7"/>
          <w:rFonts w:eastAsia="Guttman Hodes"/>
          <w:rtl/>
        </w:rPr>
        <w:t>קי)</w:t>
      </w:r>
      <w:r w:rsidRPr="00974A28">
        <w:rPr>
          <w:rStyle w:val="af7"/>
          <w:rFonts w:eastAsia="Guttman Hodes"/>
          <w:rtl/>
        </w:rPr>
        <w:fldChar w:fldCharType="end"/>
      </w:r>
      <w:r w:rsidRPr="00974A28">
        <w:rPr>
          <w:rFonts w:hint="cs"/>
          <w:rtl/>
        </w:rPr>
        <w:t>, ועוד</w:t>
      </w:r>
      <w:r>
        <w:rPr>
          <w:rFonts w:hint="cs"/>
          <w:rtl/>
        </w:rPr>
        <w:t xml:space="preserve"> תירץ </w:t>
      </w:r>
      <w:r w:rsidRPr="00700845">
        <w:rPr>
          <w:rStyle w:val="af9"/>
          <w:rFonts w:hint="cs"/>
          <w:rtl/>
        </w:rPr>
        <w:t>הרמב"ן ביבמות</w:t>
      </w:r>
      <w:r>
        <w:rPr>
          <w:rFonts w:hint="cs"/>
          <w:rtl/>
        </w:rPr>
        <w:t xml:space="preserve"> דבעיסה אין חזקה כיון דודאי נגע, עיי"ש בדבריו. ועוד תירץ </w:t>
      </w:r>
      <w:r w:rsidRPr="007D16A1">
        <w:rPr>
          <w:rStyle w:val="af9"/>
          <w:rFonts w:hint="cs"/>
          <w:rtl/>
        </w:rPr>
        <w:t xml:space="preserve">הרשב"א ביבמות </w:t>
      </w:r>
      <w:r>
        <w:rPr>
          <w:rStyle w:val="af7"/>
          <w:rFonts w:eastAsia="Guttman Hodes" w:hint="cs"/>
          <w:rtl/>
        </w:rPr>
        <w:t>(קיט. ד"ה ומקצת</w:t>
      </w:r>
      <w:r w:rsidRPr="00700845">
        <w:rPr>
          <w:rStyle w:val="af7"/>
          <w:rFonts w:eastAsia="Guttman Hodes" w:hint="cs"/>
          <w:rtl/>
        </w:rPr>
        <w:t xml:space="preserve">) </w:t>
      </w:r>
      <w:r>
        <w:rPr>
          <w:rFonts w:hint="cs"/>
          <w:rtl/>
        </w:rPr>
        <w:t xml:space="preserve"> </w:t>
      </w:r>
      <w:r w:rsidRPr="002B592A">
        <w:rPr>
          <w:rFonts w:hint="cs"/>
          <w:rtl/>
        </w:rPr>
        <w:t xml:space="preserve">כתירוצו </w:t>
      </w:r>
      <w:r w:rsidRPr="001A2890">
        <w:rPr>
          <w:rStyle w:val="af9"/>
          <w:rFonts w:hint="cs"/>
          <w:rtl/>
        </w:rPr>
        <w:t>במשה"ב</w:t>
      </w:r>
      <w:r w:rsidRPr="002B592A">
        <w:rPr>
          <w:rFonts w:hint="cs"/>
          <w:rtl/>
        </w:rPr>
        <w:t xml:space="preserve"> </w:t>
      </w:r>
      <w:r w:rsidRPr="001A2890">
        <w:rPr>
          <w:rStyle w:val="af7"/>
          <w:rFonts w:eastAsia="Guttman Hodes" w:hint="cs"/>
          <w:rtl/>
        </w:rPr>
        <w:t xml:space="preserve">(עי' אות </w:t>
      </w:r>
      <w:r w:rsidRPr="001A2890">
        <w:rPr>
          <w:rStyle w:val="af7"/>
          <w:rFonts w:eastAsia="Guttman Hodes"/>
          <w:rtl/>
        </w:rPr>
        <w:fldChar w:fldCharType="begin"/>
      </w:r>
      <w:r w:rsidRPr="001A2890">
        <w:rPr>
          <w:rStyle w:val="af7"/>
          <w:rFonts w:eastAsia="Guttman Hodes"/>
          <w:rtl/>
        </w:rPr>
        <w:instrText xml:space="preserve"> </w:instrText>
      </w:r>
      <w:r w:rsidRPr="001A2890">
        <w:rPr>
          <w:rStyle w:val="af7"/>
          <w:rFonts w:eastAsia="Guttman Hodes" w:hint="cs"/>
        </w:rPr>
        <w:instrText>REF</w:instrText>
      </w:r>
      <w:r w:rsidRPr="001A2890">
        <w:rPr>
          <w:rStyle w:val="af7"/>
          <w:rFonts w:eastAsia="Guttman Hodes" w:hint="cs"/>
          <w:rtl/>
        </w:rPr>
        <w:instrText xml:space="preserve"> _</w:instrText>
      </w:r>
      <w:r w:rsidRPr="001A2890">
        <w:rPr>
          <w:rStyle w:val="af7"/>
          <w:rFonts w:eastAsia="Guttman Hodes" w:hint="cs"/>
        </w:rPr>
        <w:instrText>Ref531034250 \r \h</w:instrText>
      </w:r>
      <w:r w:rsidRPr="001A2890">
        <w:rPr>
          <w:rStyle w:val="af7"/>
          <w:rFonts w:eastAsia="Guttman Hodes"/>
          <w:rtl/>
        </w:rPr>
        <w:instrText xml:space="preserve"> </w:instrText>
      </w:r>
      <w:r w:rsidRPr="001A2890">
        <w:rPr>
          <w:rStyle w:val="af7"/>
          <w:rFonts w:eastAsia="Guttman Hodes"/>
          <w:rtl/>
        </w:rPr>
      </w:r>
      <w:r w:rsidRPr="001A2890">
        <w:rPr>
          <w:rStyle w:val="af7"/>
          <w:rFonts w:eastAsia="Guttman Hodes"/>
          <w:rtl/>
        </w:rPr>
        <w:fldChar w:fldCharType="separate"/>
      </w:r>
      <w:r w:rsidR="00345400">
        <w:rPr>
          <w:rStyle w:val="af7"/>
          <w:rFonts w:eastAsia="Guttman Hodes"/>
          <w:cs/>
        </w:rPr>
        <w:t>‎</w:t>
      </w:r>
      <w:r w:rsidR="00345400">
        <w:rPr>
          <w:rStyle w:val="af7"/>
          <w:rFonts w:eastAsia="Guttman Hodes"/>
          <w:rtl/>
        </w:rPr>
        <w:t>פג)</w:t>
      </w:r>
      <w:r w:rsidRPr="001A2890">
        <w:rPr>
          <w:rStyle w:val="af7"/>
          <w:rFonts w:eastAsia="Guttman Hodes"/>
          <w:rtl/>
        </w:rPr>
        <w:fldChar w:fldCharType="end"/>
      </w:r>
      <w:r>
        <w:rPr>
          <w:rFonts w:hint="cs"/>
          <w:rtl/>
        </w:rPr>
        <w:t xml:space="preserve"> </w:t>
      </w:r>
      <w:r w:rsidRPr="002B592A">
        <w:rPr>
          <w:rFonts w:hint="cs"/>
          <w:rtl/>
        </w:rPr>
        <w:t xml:space="preserve">וכ"כ </w:t>
      </w:r>
      <w:r w:rsidRPr="007D16A1">
        <w:rPr>
          <w:rStyle w:val="af9"/>
          <w:rFonts w:hint="cs"/>
          <w:rtl/>
        </w:rPr>
        <w:t xml:space="preserve">הרשב"א ביבמות </w:t>
      </w:r>
      <w:r w:rsidRPr="002B592A">
        <w:rPr>
          <w:rFonts w:hint="cs"/>
          <w:rtl/>
        </w:rPr>
        <w:t xml:space="preserve">בסו"ד </w:t>
      </w:r>
      <w:r w:rsidRPr="001A2890">
        <w:rPr>
          <w:rStyle w:val="af7"/>
          <w:rFonts w:eastAsia="Guttman Hodes" w:hint="cs"/>
          <w:rtl/>
        </w:rPr>
        <w:t>(ד"ה אלא אמר רבא רישא)</w:t>
      </w:r>
      <w:r>
        <w:rPr>
          <w:rFonts w:hint="cs"/>
          <w:rtl/>
        </w:rPr>
        <w:t>.</w:t>
      </w:r>
    </w:p>
    <w:p w14:paraId="732CA2BC" w14:textId="77777777" w:rsidR="005E1F6B" w:rsidRDefault="005E1F6B" w:rsidP="00BF39B2">
      <w:pPr>
        <w:pStyle w:val="1"/>
        <w:rPr>
          <w:rtl/>
        </w:rPr>
      </w:pPr>
      <w:bookmarkStart w:id="11379" w:name="_Toc531106318"/>
      <w:bookmarkStart w:id="11380" w:name="_Toc531111265"/>
      <w:bookmarkStart w:id="11381" w:name="_Toc531158371"/>
      <w:bookmarkStart w:id="11382" w:name="_Toc531182478"/>
      <w:bookmarkStart w:id="11383" w:name="_Toc19390478"/>
      <w:bookmarkStart w:id="11384" w:name="_Toc19393975"/>
      <w:r>
        <w:rPr>
          <w:rFonts w:hint="cs"/>
          <w:rtl/>
        </w:rPr>
        <w:t>דעת ר"ת דקיי"ל דלחומרא אמרינן סמוך מיעוטא לחזקה</w:t>
      </w:r>
      <w:bookmarkEnd w:id="11379"/>
      <w:bookmarkEnd w:id="11380"/>
      <w:bookmarkEnd w:id="11381"/>
      <w:bookmarkEnd w:id="11382"/>
      <w:bookmarkEnd w:id="11383"/>
      <w:bookmarkEnd w:id="11384"/>
    </w:p>
    <w:p w14:paraId="126C00CF" w14:textId="77777777" w:rsidR="005E1F6B" w:rsidRDefault="005E1F6B" w:rsidP="006D6D32">
      <w:pPr>
        <w:pStyle w:val="a3"/>
        <w:rPr>
          <w:rtl/>
        </w:rPr>
      </w:pPr>
      <w:bookmarkStart w:id="11385" w:name="_Toc531158372"/>
      <w:bookmarkStart w:id="11386" w:name="_Toc531182479"/>
      <w:bookmarkStart w:id="11387" w:name="_Toc19390479"/>
      <w:bookmarkStart w:id="11388" w:name="_Toc19393976"/>
      <w:r>
        <w:rPr>
          <w:rFonts w:hint="cs"/>
          <w:rtl/>
        </w:rPr>
        <w:t>דברי ר"ת דלדידן להחמיר אמרינן סמוך מיעוטא לחזקה</w:t>
      </w:r>
      <w:bookmarkEnd w:id="11385"/>
      <w:bookmarkEnd w:id="11386"/>
      <w:bookmarkEnd w:id="11387"/>
      <w:bookmarkEnd w:id="11388"/>
      <w:r>
        <w:rPr>
          <w:rFonts w:hint="cs"/>
          <w:rtl/>
        </w:rPr>
        <w:t xml:space="preserve"> </w:t>
      </w:r>
    </w:p>
    <w:p w14:paraId="5467B813" w14:textId="77777777" w:rsidR="005E1F6B" w:rsidRDefault="005E1F6B" w:rsidP="00223668">
      <w:pPr>
        <w:pStyle w:val="a0"/>
        <w:rPr>
          <w:rtl/>
        </w:rPr>
      </w:pPr>
      <w:bookmarkStart w:id="11389" w:name="_Ref531121179"/>
      <w:bookmarkStart w:id="11390" w:name="_Ref530932685"/>
      <w:r>
        <w:rPr>
          <w:rFonts w:hint="cs"/>
          <w:rtl/>
        </w:rPr>
        <w:t xml:space="preserve">כתב </w:t>
      </w:r>
      <w:r w:rsidRPr="004D7BAA">
        <w:rPr>
          <w:rStyle w:val="af9"/>
          <w:rFonts w:hint="cs"/>
          <w:rtl/>
        </w:rPr>
        <w:t>ר"ת בתוס' בבכורות</w:t>
      </w:r>
      <w:r>
        <w:rPr>
          <w:rFonts w:hint="cs"/>
          <w:rtl/>
        </w:rPr>
        <w:t xml:space="preserve"> </w:t>
      </w:r>
      <w:r w:rsidRPr="004D7BAA">
        <w:rPr>
          <w:rStyle w:val="af7"/>
          <w:rFonts w:eastAsia="Guttman Hodes" w:hint="cs"/>
          <w:rtl/>
        </w:rPr>
        <w:t xml:space="preserve">(כ: ד"ה חלב) </w:t>
      </w:r>
      <w:r>
        <w:rPr>
          <w:rStyle w:val="af9"/>
          <w:rFonts w:hint="cs"/>
          <w:rtl/>
        </w:rPr>
        <w:t>ו</w:t>
      </w:r>
      <w:r w:rsidRPr="00D76241">
        <w:rPr>
          <w:rStyle w:val="af9"/>
          <w:rFonts w:hint="cs"/>
          <w:rtl/>
        </w:rPr>
        <w:t>הרא"ש</w:t>
      </w:r>
      <w:r>
        <w:rPr>
          <w:rFonts w:hint="cs"/>
          <w:rtl/>
        </w:rPr>
        <w:t xml:space="preserve"> </w:t>
      </w:r>
      <w:r w:rsidRPr="00D76241">
        <w:rPr>
          <w:rStyle w:val="af7"/>
          <w:rFonts w:eastAsia="Guttman Hodes" w:hint="cs"/>
          <w:rtl/>
        </w:rPr>
        <w:t>(סי' ט"ז)</w:t>
      </w:r>
      <w:r>
        <w:rPr>
          <w:rFonts w:hint="cs"/>
          <w:rtl/>
        </w:rPr>
        <w:t xml:space="preserve"> בשם </w:t>
      </w:r>
      <w:r w:rsidRPr="00D76241">
        <w:rPr>
          <w:rStyle w:val="af9"/>
          <w:rFonts w:hint="cs"/>
          <w:rtl/>
        </w:rPr>
        <w:t>ר"ת</w:t>
      </w:r>
      <w:r>
        <w:rPr>
          <w:rFonts w:hint="cs"/>
          <w:rtl/>
        </w:rPr>
        <w:t xml:space="preserve"> דקיי"ל כרשב"ג דבהמה חולבת אינה פטורה מבכורה, כיון דקיי"ל דבמקום שיש חזקה שמסייעת למיעוט, חייישינן למיעוט מדרבנן לחומרא, ולכן אף שיש רוב בהמות שחולבות רק אם ילדו, חיישינן למיעוט שחולבות אעפ"י שלא ילדו, כיון שהבהמה בחזקת שלא ילדה, ואמרינן סמוך מיעוטא לחזקה להחמיר, ואף דמבואר בסוגיין דלא קיי"ל כר"מ, מדמקשה הגמ' על ר"מ היאך אכיל בישרא, מ"מ במקום שיש חזקה שמסייעת לרוב, חיישינן לחומרא, וע"ע בדברי </w:t>
      </w:r>
      <w:r w:rsidRPr="00FE53E9">
        <w:rPr>
          <w:rStyle w:val="af9"/>
          <w:rFonts w:hint="cs"/>
          <w:rtl/>
        </w:rPr>
        <w:t>הגרעק"א</w:t>
      </w:r>
      <w:r>
        <w:rPr>
          <w:rFonts w:hint="cs"/>
          <w:rtl/>
        </w:rPr>
        <w:t xml:space="preserve"> </w:t>
      </w:r>
      <w:r w:rsidRPr="00FE53E9">
        <w:rPr>
          <w:rStyle w:val="af7"/>
          <w:rFonts w:eastAsia="Guttman Hodes" w:hint="cs"/>
          <w:rtl/>
        </w:rPr>
        <w:t xml:space="preserve">(עי' אות </w:t>
      </w:r>
      <w:r w:rsidRPr="00FE53E9">
        <w:rPr>
          <w:rStyle w:val="af7"/>
          <w:rFonts w:eastAsia="Guttman Hodes"/>
          <w:rtl/>
        </w:rPr>
        <w:fldChar w:fldCharType="begin"/>
      </w:r>
      <w:r w:rsidRPr="00FE53E9">
        <w:rPr>
          <w:rStyle w:val="af7"/>
          <w:rFonts w:eastAsia="Guttman Hodes"/>
          <w:rtl/>
        </w:rPr>
        <w:instrText xml:space="preserve"> </w:instrText>
      </w:r>
      <w:r w:rsidRPr="00FE53E9">
        <w:rPr>
          <w:rStyle w:val="af7"/>
          <w:rFonts w:eastAsia="Guttman Hodes" w:hint="cs"/>
        </w:rPr>
        <w:instrText>REF</w:instrText>
      </w:r>
      <w:r w:rsidRPr="00FE53E9">
        <w:rPr>
          <w:rStyle w:val="af7"/>
          <w:rFonts w:eastAsia="Guttman Hodes" w:hint="cs"/>
          <w:rtl/>
        </w:rPr>
        <w:instrText xml:space="preserve"> _</w:instrText>
      </w:r>
      <w:r w:rsidRPr="00FE53E9">
        <w:rPr>
          <w:rStyle w:val="af7"/>
          <w:rFonts w:eastAsia="Guttman Hodes" w:hint="cs"/>
        </w:rPr>
        <w:instrText>Ref531121233 \r \h</w:instrText>
      </w:r>
      <w:r w:rsidRPr="00FE53E9">
        <w:rPr>
          <w:rStyle w:val="af7"/>
          <w:rFonts w:eastAsia="Guttman Hodes"/>
          <w:rtl/>
        </w:rPr>
        <w:instrText xml:space="preserve"> </w:instrText>
      </w:r>
      <w:r w:rsidRPr="00FE53E9">
        <w:rPr>
          <w:rStyle w:val="af7"/>
          <w:rFonts w:eastAsia="Guttman Hodes"/>
          <w:rtl/>
        </w:rPr>
      </w:r>
      <w:r w:rsidRPr="00FE53E9">
        <w:rPr>
          <w:rStyle w:val="af7"/>
          <w:rFonts w:eastAsia="Guttman Hodes"/>
          <w:rtl/>
        </w:rPr>
        <w:fldChar w:fldCharType="separate"/>
      </w:r>
      <w:r w:rsidR="00345400">
        <w:rPr>
          <w:rStyle w:val="af7"/>
          <w:rFonts w:eastAsia="Guttman Hodes"/>
          <w:cs/>
        </w:rPr>
        <w:t>‎</w:t>
      </w:r>
      <w:r w:rsidR="00345400">
        <w:rPr>
          <w:rStyle w:val="af7"/>
          <w:rFonts w:eastAsia="Guttman Hodes"/>
          <w:rtl/>
        </w:rPr>
        <w:t>קג)</w:t>
      </w:r>
      <w:r w:rsidRPr="00FE53E9">
        <w:rPr>
          <w:rStyle w:val="af7"/>
          <w:rFonts w:eastAsia="Guttman Hodes"/>
          <w:rtl/>
        </w:rPr>
        <w:fldChar w:fldCharType="end"/>
      </w:r>
      <w:r>
        <w:rPr>
          <w:rFonts w:hint="cs"/>
          <w:rtl/>
        </w:rPr>
        <w:t>.</w:t>
      </w:r>
      <w:bookmarkEnd w:id="11389"/>
    </w:p>
    <w:p w14:paraId="2A0D978E" w14:textId="77777777" w:rsidR="005E1F6B" w:rsidRPr="000E488F" w:rsidRDefault="005E1F6B" w:rsidP="006D6D32">
      <w:pPr>
        <w:pStyle w:val="a3"/>
        <w:rPr>
          <w:rtl/>
        </w:rPr>
      </w:pPr>
      <w:bookmarkStart w:id="11391" w:name="_Toc531158373"/>
      <w:bookmarkStart w:id="11392" w:name="_Toc531182480"/>
      <w:bookmarkStart w:id="11393" w:name="_Toc19390480"/>
      <w:bookmarkStart w:id="11394" w:name="_Toc19393977"/>
      <w:r>
        <w:rPr>
          <w:rFonts w:hint="cs"/>
          <w:rtl/>
        </w:rPr>
        <w:t>דברי ר"ת דברוב שלא שכיח לא חיישינן למיעוט אף להחמיר</w:t>
      </w:r>
      <w:bookmarkEnd w:id="11391"/>
      <w:bookmarkEnd w:id="11392"/>
      <w:bookmarkEnd w:id="11393"/>
      <w:bookmarkEnd w:id="11394"/>
    </w:p>
    <w:p w14:paraId="667BF694" w14:textId="77777777" w:rsidR="005E1F6B" w:rsidRDefault="005E1F6B" w:rsidP="00223668">
      <w:pPr>
        <w:pStyle w:val="a0"/>
        <w:rPr>
          <w:rtl/>
        </w:rPr>
      </w:pPr>
      <w:r>
        <w:rPr>
          <w:rFonts w:hint="cs"/>
          <w:rtl/>
        </w:rPr>
        <w:t>והקשה ר</w:t>
      </w:r>
      <w:r w:rsidRPr="004D7BAA">
        <w:rPr>
          <w:rStyle w:val="af9"/>
          <w:rFonts w:hint="cs"/>
          <w:rtl/>
        </w:rPr>
        <w:t>"ת בתוס' בבכורות</w:t>
      </w:r>
      <w:r>
        <w:rPr>
          <w:rFonts w:hint="cs"/>
          <w:rtl/>
        </w:rPr>
        <w:t xml:space="preserve"> דהא ברוב מצויין אצל שחיטה מומחין הן, וכן בגמ' בגיטין </w:t>
      </w:r>
      <w:r w:rsidRPr="004D7BAA">
        <w:rPr>
          <w:rStyle w:val="af7"/>
          <w:rFonts w:eastAsia="Guttman Hodes" w:hint="cs"/>
          <w:rtl/>
        </w:rPr>
        <w:t xml:space="preserve">(ב:) </w:t>
      </w:r>
      <w:r>
        <w:rPr>
          <w:rFonts w:hint="cs"/>
          <w:rtl/>
        </w:rPr>
        <w:t xml:space="preserve">דסתם ספרי דדייני גמירי שצריך לכתוב גט לשמה, ולא חיישינן בהו למיעוט אף להחמיר, ותירץ </w:t>
      </w:r>
      <w:r w:rsidRPr="004D7BAA">
        <w:rPr>
          <w:rStyle w:val="af9"/>
          <w:rFonts w:hint="cs"/>
          <w:rtl/>
        </w:rPr>
        <w:t xml:space="preserve">ר"ת בתוס' </w:t>
      </w:r>
      <w:r w:rsidRPr="00D75D00">
        <w:rPr>
          <w:rStyle w:val="af9"/>
          <w:rFonts w:hint="cs"/>
          <w:rtl/>
        </w:rPr>
        <w:t>בבכורות</w:t>
      </w:r>
      <w:r w:rsidRPr="00D75D00">
        <w:rPr>
          <w:rFonts w:hint="cs"/>
          <w:rtl/>
        </w:rPr>
        <w:t xml:space="preserve"> דהתם המיעוט לא שכיח, ולא חייש ר"מ למיעוט שלא שכיח כדאיתא בגמ' בנדה </w:t>
      </w:r>
      <w:r w:rsidRPr="00D75D00">
        <w:rPr>
          <w:rStyle w:val="af7"/>
          <w:rFonts w:eastAsia="Guttman Hodes" w:hint="cs"/>
          <w:rtl/>
        </w:rPr>
        <w:t>(לב.)</w:t>
      </w:r>
      <w:r w:rsidRPr="00D75D00">
        <w:rPr>
          <w:rFonts w:hint="cs"/>
          <w:rtl/>
        </w:rPr>
        <w:t xml:space="preserve">, עיי"ש בדברי </w:t>
      </w:r>
      <w:r w:rsidRPr="00D75D00">
        <w:rPr>
          <w:rStyle w:val="af9"/>
          <w:rFonts w:hint="cs"/>
          <w:rtl/>
        </w:rPr>
        <w:t>ר"ת</w:t>
      </w:r>
      <w:bookmarkStart w:id="11395" w:name="_Ref530908088"/>
      <w:bookmarkEnd w:id="11390"/>
      <w:r w:rsidRPr="00D75D00">
        <w:rPr>
          <w:rFonts w:hint="cs"/>
          <w:rtl/>
        </w:rPr>
        <w:t xml:space="preserve">, וע"ע בדברי </w:t>
      </w:r>
      <w:r w:rsidRPr="00D75D00">
        <w:rPr>
          <w:rStyle w:val="af9"/>
          <w:rFonts w:hint="cs"/>
          <w:rtl/>
        </w:rPr>
        <w:t>הרא"ש</w:t>
      </w:r>
      <w:r w:rsidRPr="00D75D00">
        <w:rPr>
          <w:rFonts w:hint="cs"/>
          <w:rtl/>
        </w:rPr>
        <w:t xml:space="preserve"> </w:t>
      </w:r>
      <w:r w:rsidRPr="00D75D00">
        <w:rPr>
          <w:rStyle w:val="af7"/>
          <w:rFonts w:eastAsia="Guttman Hodes" w:hint="cs"/>
          <w:rtl/>
        </w:rPr>
        <w:t xml:space="preserve">(עי' אות </w:t>
      </w:r>
      <w:r w:rsidRPr="00D75D00">
        <w:rPr>
          <w:rStyle w:val="af7"/>
          <w:rFonts w:eastAsia="Guttman Hodes"/>
          <w:rtl/>
        </w:rPr>
        <w:fldChar w:fldCharType="begin"/>
      </w:r>
      <w:r w:rsidRPr="00D75D00">
        <w:rPr>
          <w:rStyle w:val="af7"/>
          <w:rFonts w:eastAsia="Guttman Hodes"/>
          <w:rtl/>
        </w:rPr>
        <w:instrText xml:space="preserve"> </w:instrText>
      </w:r>
      <w:r w:rsidRPr="00D75D00">
        <w:rPr>
          <w:rStyle w:val="af7"/>
          <w:rFonts w:eastAsia="Guttman Hodes" w:hint="cs"/>
        </w:rPr>
        <w:instrText>REF</w:instrText>
      </w:r>
      <w:r w:rsidRPr="00D75D00">
        <w:rPr>
          <w:rStyle w:val="af7"/>
          <w:rFonts w:eastAsia="Guttman Hodes" w:hint="cs"/>
          <w:rtl/>
        </w:rPr>
        <w:instrText xml:space="preserve"> _</w:instrText>
      </w:r>
      <w:r w:rsidRPr="00D75D00">
        <w:rPr>
          <w:rStyle w:val="af7"/>
          <w:rFonts w:eastAsia="Guttman Hodes" w:hint="cs"/>
        </w:rPr>
        <w:instrText>Ref530932654 \r \h</w:instrText>
      </w:r>
      <w:r w:rsidRPr="00D75D00">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D75D00">
        <w:rPr>
          <w:rStyle w:val="af7"/>
          <w:rFonts w:eastAsia="Guttman Hodes"/>
          <w:rtl/>
        </w:rPr>
      </w:r>
      <w:r w:rsidRPr="00D75D00">
        <w:rPr>
          <w:rStyle w:val="af7"/>
          <w:rFonts w:eastAsia="Guttman Hodes"/>
          <w:rtl/>
        </w:rPr>
        <w:fldChar w:fldCharType="separate"/>
      </w:r>
      <w:r w:rsidR="00345400">
        <w:rPr>
          <w:rStyle w:val="af7"/>
          <w:rFonts w:eastAsia="Guttman Hodes"/>
          <w:cs/>
        </w:rPr>
        <w:t>‎</w:t>
      </w:r>
      <w:r w:rsidR="00345400">
        <w:rPr>
          <w:rStyle w:val="af7"/>
          <w:rFonts w:eastAsia="Guttman Hodes"/>
          <w:rtl/>
        </w:rPr>
        <w:t>יט)</w:t>
      </w:r>
      <w:r w:rsidRPr="00D75D00">
        <w:rPr>
          <w:rStyle w:val="af7"/>
          <w:rFonts w:eastAsia="Guttman Hodes"/>
          <w:rtl/>
        </w:rPr>
        <w:fldChar w:fldCharType="end"/>
      </w:r>
      <w:r w:rsidRPr="00D75D00">
        <w:rPr>
          <w:rFonts w:hint="cs"/>
          <w:rtl/>
        </w:rPr>
        <w:t xml:space="preserve">, וע"ע במ"ש </w:t>
      </w:r>
      <w:r w:rsidRPr="00D75D00">
        <w:rPr>
          <w:rStyle w:val="af9"/>
          <w:rFonts w:hint="cs"/>
          <w:rtl/>
        </w:rPr>
        <w:t xml:space="preserve">המהרי"ט אלגאזי </w:t>
      </w:r>
      <w:r w:rsidRPr="00D75D00">
        <w:rPr>
          <w:rStyle w:val="af7"/>
          <w:rFonts w:eastAsia="Guttman Hodes" w:hint="cs"/>
          <w:rtl/>
        </w:rPr>
        <w:t>(בכורות פ"ג סי' מ' [הראשון] ס"ק א')</w:t>
      </w:r>
      <w:r w:rsidRPr="00D75D00">
        <w:rPr>
          <w:rFonts w:hint="cs"/>
          <w:rtl/>
        </w:rPr>
        <w:t xml:space="preserve"> בדברי</w:t>
      </w:r>
      <w:r>
        <w:rPr>
          <w:rFonts w:hint="cs"/>
          <w:rtl/>
        </w:rPr>
        <w:t xml:space="preserve"> </w:t>
      </w:r>
      <w:r>
        <w:rPr>
          <w:rStyle w:val="af9"/>
          <w:rFonts w:hint="cs"/>
          <w:rtl/>
        </w:rPr>
        <w:t>ר"ת ב</w:t>
      </w:r>
      <w:r w:rsidRPr="000C386C">
        <w:rPr>
          <w:rStyle w:val="af9"/>
          <w:rFonts w:hint="cs"/>
          <w:rtl/>
        </w:rPr>
        <w:t>תוס' בבכורות</w:t>
      </w:r>
      <w:r>
        <w:rPr>
          <w:rFonts w:hint="cs"/>
          <w:rtl/>
        </w:rPr>
        <w:t xml:space="preserve">, ועי' במ"ש </w:t>
      </w:r>
      <w:r w:rsidRPr="0030597F">
        <w:rPr>
          <w:rStyle w:val="af9"/>
          <w:rFonts w:hint="cs"/>
          <w:rtl/>
        </w:rPr>
        <w:t>הגר"א</w:t>
      </w:r>
      <w:r>
        <w:rPr>
          <w:rFonts w:hint="cs"/>
          <w:rtl/>
        </w:rPr>
        <w:t xml:space="preserve"> </w:t>
      </w:r>
      <w:r w:rsidRPr="0030597F">
        <w:rPr>
          <w:rStyle w:val="af7"/>
          <w:rFonts w:eastAsia="Guttman Hodes" w:hint="cs"/>
          <w:rtl/>
        </w:rPr>
        <w:t>(סי' שט"ז ס"ק ה')</w:t>
      </w:r>
      <w:r>
        <w:rPr>
          <w:rFonts w:hint="cs"/>
          <w:rtl/>
        </w:rPr>
        <w:t xml:space="preserve"> בדעת </w:t>
      </w:r>
      <w:r w:rsidRPr="0030597F">
        <w:rPr>
          <w:rStyle w:val="af9"/>
          <w:rFonts w:hint="cs"/>
          <w:rtl/>
        </w:rPr>
        <w:t>ר"ת</w:t>
      </w:r>
      <w:r>
        <w:rPr>
          <w:rFonts w:hint="cs"/>
          <w:rtl/>
        </w:rPr>
        <w:t xml:space="preserve"> ובדעת </w:t>
      </w:r>
      <w:r w:rsidRPr="0030597F">
        <w:rPr>
          <w:rStyle w:val="af9"/>
          <w:rFonts w:hint="cs"/>
          <w:rtl/>
        </w:rPr>
        <w:t>הראשונים ביבמות</w:t>
      </w:r>
      <w:r>
        <w:rPr>
          <w:rFonts w:hint="cs"/>
          <w:rtl/>
        </w:rPr>
        <w:t xml:space="preserve"> </w:t>
      </w:r>
      <w:r w:rsidRPr="0030597F">
        <w:rPr>
          <w:rStyle w:val="af7"/>
          <w:rFonts w:eastAsia="Guttman Hodes" w:hint="cs"/>
          <w:rtl/>
        </w:rPr>
        <w:t xml:space="preserve">(עי' אות </w:t>
      </w:r>
      <w:r w:rsidRPr="0030597F">
        <w:rPr>
          <w:rStyle w:val="af7"/>
          <w:rFonts w:eastAsia="Guttman Hodes"/>
          <w:rtl/>
        </w:rPr>
        <w:fldChar w:fldCharType="begin"/>
      </w:r>
      <w:r w:rsidRPr="0030597F">
        <w:rPr>
          <w:rStyle w:val="af7"/>
          <w:rFonts w:eastAsia="Guttman Hodes"/>
          <w:rtl/>
        </w:rPr>
        <w:instrText xml:space="preserve"> </w:instrText>
      </w:r>
      <w:r w:rsidRPr="0030597F">
        <w:rPr>
          <w:rStyle w:val="af7"/>
          <w:rFonts w:eastAsia="Guttman Hodes" w:hint="cs"/>
        </w:rPr>
        <w:instrText>REF</w:instrText>
      </w:r>
      <w:r w:rsidRPr="0030597F">
        <w:rPr>
          <w:rStyle w:val="af7"/>
          <w:rFonts w:eastAsia="Guttman Hodes" w:hint="cs"/>
          <w:rtl/>
        </w:rPr>
        <w:instrText xml:space="preserve"> _</w:instrText>
      </w:r>
      <w:r w:rsidRPr="0030597F">
        <w:rPr>
          <w:rStyle w:val="af7"/>
          <w:rFonts w:eastAsia="Guttman Hodes" w:hint="cs"/>
        </w:rPr>
        <w:instrText>Ref531104629 \r \h</w:instrText>
      </w:r>
      <w:r w:rsidRPr="0030597F">
        <w:rPr>
          <w:rStyle w:val="af7"/>
          <w:rFonts w:eastAsia="Guttman Hodes"/>
          <w:rtl/>
        </w:rPr>
        <w:instrText xml:space="preserve"> </w:instrText>
      </w:r>
      <w:r w:rsidRPr="0030597F">
        <w:rPr>
          <w:rStyle w:val="af7"/>
          <w:rFonts w:eastAsia="Guttman Hodes"/>
          <w:rtl/>
        </w:rPr>
      </w:r>
      <w:r w:rsidRPr="0030597F">
        <w:rPr>
          <w:rStyle w:val="af7"/>
          <w:rFonts w:eastAsia="Guttman Hodes"/>
          <w:rtl/>
        </w:rPr>
        <w:fldChar w:fldCharType="separate"/>
      </w:r>
      <w:r w:rsidR="00345400">
        <w:rPr>
          <w:rStyle w:val="af7"/>
          <w:rFonts w:eastAsia="Guttman Hodes"/>
          <w:cs/>
        </w:rPr>
        <w:t>‎</w:t>
      </w:r>
      <w:r w:rsidR="00345400">
        <w:rPr>
          <w:rStyle w:val="af7"/>
          <w:rFonts w:eastAsia="Guttman Hodes"/>
          <w:rtl/>
        </w:rPr>
        <w:t>מג)</w:t>
      </w:r>
      <w:r w:rsidRPr="0030597F">
        <w:rPr>
          <w:rStyle w:val="af7"/>
          <w:rFonts w:eastAsia="Guttman Hodes"/>
          <w:rtl/>
        </w:rPr>
        <w:fldChar w:fldCharType="end"/>
      </w:r>
      <w:r>
        <w:rPr>
          <w:rFonts w:hint="cs"/>
          <w:rtl/>
        </w:rPr>
        <w:t>.</w:t>
      </w:r>
      <w:bookmarkEnd w:id="11395"/>
    </w:p>
    <w:p w14:paraId="3CAF7D5C" w14:textId="77777777" w:rsidR="005E1F6B" w:rsidRPr="00002D49" w:rsidRDefault="005E1F6B" w:rsidP="00BF39B2">
      <w:pPr>
        <w:pStyle w:val="1"/>
        <w:rPr>
          <w:rtl/>
        </w:rPr>
      </w:pPr>
      <w:bookmarkStart w:id="11396" w:name="_Toc531182481"/>
      <w:bookmarkStart w:id="11397" w:name="_Toc19390481"/>
      <w:bookmarkStart w:id="11398" w:name="_Toc19393978"/>
      <w:bookmarkStart w:id="11399" w:name="_Toc531158374"/>
      <w:bookmarkStart w:id="11400" w:name="_Toc531106319"/>
      <w:bookmarkStart w:id="11401" w:name="_Toc531111266"/>
      <w:r>
        <w:rPr>
          <w:rFonts w:hint="cs"/>
          <w:rtl/>
        </w:rPr>
        <w:t>דעות האחרונים דלרבנן אמרינן סמוך מיעוט לחזקה רק מדרבנן</w:t>
      </w:r>
      <w:bookmarkEnd w:id="11396"/>
      <w:bookmarkEnd w:id="11397"/>
      <w:bookmarkEnd w:id="11398"/>
    </w:p>
    <w:p w14:paraId="3368F3FC" w14:textId="77777777" w:rsidR="005E1F6B" w:rsidRDefault="005E1F6B" w:rsidP="006D6D32">
      <w:pPr>
        <w:pStyle w:val="a3"/>
        <w:rPr>
          <w:rtl/>
        </w:rPr>
      </w:pPr>
      <w:bookmarkStart w:id="11402" w:name="_Toc531158404"/>
      <w:bookmarkStart w:id="11403" w:name="_Toc531182482"/>
      <w:bookmarkStart w:id="11404" w:name="_Toc19390482"/>
      <w:bookmarkStart w:id="11405" w:name="_Toc19393979"/>
      <w:bookmarkStart w:id="11406" w:name="_Toc531023280"/>
      <w:bookmarkStart w:id="11407" w:name="_Toc531106323"/>
      <w:bookmarkStart w:id="11408" w:name="_Toc531111270"/>
      <w:r>
        <w:rPr>
          <w:rFonts w:hint="cs"/>
          <w:rtl/>
        </w:rPr>
        <w:t>דברי התוס' לעיל בשם רבינו חיים דילפינן מפרה אדומה</w:t>
      </w:r>
      <w:r w:rsidRPr="00F40345">
        <w:rPr>
          <w:rFonts w:hint="cs"/>
          <w:rtl/>
        </w:rPr>
        <w:t xml:space="preserve"> </w:t>
      </w:r>
      <w:r>
        <w:rPr>
          <w:rFonts w:hint="cs"/>
          <w:rtl/>
        </w:rPr>
        <w:t>דרוב עדיף מחזקה</w:t>
      </w:r>
      <w:bookmarkEnd w:id="11402"/>
      <w:bookmarkEnd w:id="11403"/>
      <w:bookmarkEnd w:id="11404"/>
      <w:bookmarkEnd w:id="11405"/>
    </w:p>
    <w:p w14:paraId="5C64E1E9" w14:textId="77777777" w:rsidR="005E1F6B" w:rsidRDefault="005E1F6B" w:rsidP="00223668">
      <w:pPr>
        <w:pStyle w:val="a0"/>
        <w:rPr>
          <w:rStyle w:val="12"/>
          <w:sz w:val="18"/>
          <w:szCs w:val="18"/>
          <w:rtl/>
        </w:rPr>
      </w:pPr>
      <w:r>
        <w:rPr>
          <w:rFonts w:hint="cs"/>
          <w:rtl/>
        </w:rPr>
        <w:t xml:space="preserve">כתבו </w:t>
      </w:r>
      <w:r w:rsidRPr="00797161">
        <w:rPr>
          <w:rStyle w:val="af9"/>
          <w:rFonts w:hint="cs"/>
          <w:rtl/>
        </w:rPr>
        <w:t>התוס'</w:t>
      </w:r>
      <w:r>
        <w:rPr>
          <w:rStyle w:val="af9"/>
          <w:rFonts w:hint="cs"/>
          <w:rtl/>
        </w:rPr>
        <w:t xml:space="preserve"> לעיל</w:t>
      </w:r>
      <w:r w:rsidRPr="00797161">
        <w:rPr>
          <w:rStyle w:val="af9"/>
          <w:rFonts w:hint="cs"/>
          <w:rtl/>
        </w:rPr>
        <w:t xml:space="preserve"> </w:t>
      </w:r>
      <w:r w:rsidRPr="005049E2">
        <w:rPr>
          <w:rStyle w:val="af7"/>
          <w:rFonts w:eastAsia="Guttman Hodes" w:hint="cs"/>
          <w:rtl/>
        </w:rPr>
        <w:t>(</w:t>
      </w:r>
      <w:r>
        <w:rPr>
          <w:rStyle w:val="af7"/>
          <w:rFonts w:eastAsia="Guttman Hodes" w:hint="cs"/>
          <w:rtl/>
        </w:rPr>
        <w:t xml:space="preserve">יא. </w:t>
      </w:r>
      <w:r w:rsidRPr="005049E2">
        <w:rPr>
          <w:rStyle w:val="af7"/>
          <w:rFonts w:eastAsia="Guttman Hodes" w:hint="cs"/>
          <w:rtl/>
        </w:rPr>
        <w:t>ד"ה מנא)</w:t>
      </w:r>
      <w:r>
        <w:rPr>
          <w:rFonts w:hint="cs"/>
          <w:rtl/>
        </w:rPr>
        <w:t xml:space="preserve"> </w:t>
      </w:r>
      <w:r w:rsidRPr="00797161">
        <w:rPr>
          <w:rFonts w:hint="cs"/>
          <w:rtl/>
        </w:rPr>
        <w:t xml:space="preserve">בשם </w:t>
      </w:r>
      <w:r w:rsidRPr="00797161">
        <w:rPr>
          <w:rStyle w:val="af9"/>
          <w:rFonts w:hint="cs"/>
          <w:rtl/>
        </w:rPr>
        <w:t>רבינו חיים</w:t>
      </w:r>
      <w:r w:rsidRPr="00797161">
        <w:rPr>
          <w:rFonts w:hint="cs"/>
          <w:rtl/>
        </w:rPr>
        <w:t xml:space="preserve"> ד</w:t>
      </w:r>
      <w:r>
        <w:rPr>
          <w:rFonts w:hint="cs"/>
          <w:rtl/>
        </w:rPr>
        <w:t>הא ד</w:t>
      </w:r>
      <w:r w:rsidRPr="00797161">
        <w:rPr>
          <w:rFonts w:hint="cs"/>
          <w:rtl/>
        </w:rPr>
        <w:t>רוב עדיף מחזקה,</w:t>
      </w:r>
      <w:r>
        <w:rPr>
          <w:rStyle w:val="12"/>
          <w:rFonts w:hint="cs"/>
          <w:sz w:val="18"/>
          <w:szCs w:val="18"/>
          <w:rtl/>
        </w:rPr>
        <w:t xml:space="preserve"> </w:t>
      </w:r>
      <w:r w:rsidRPr="00797161">
        <w:rPr>
          <w:rStyle w:val="12"/>
          <w:rFonts w:hint="cs"/>
          <w:sz w:val="18"/>
          <w:szCs w:val="18"/>
          <w:rtl/>
        </w:rPr>
        <w:t xml:space="preserve">ילפינן </w:t>
      </w:r>
      <w:r>
        <w:rPr>
          <w:rStyle w:val="12"/>
          <w:rFonts w:hint="cs"/>
          <w:sz w:val="18"/>
          <w:szCs w:val="18"/>
          <w:rtl/>
        </w:rPr>
        <w:t xml:space="preserve">לה </w:t>
      </w:r>
      <w:r w:rsidRPr="00797161">
        <w:rPr>
          <w:rStyle w:val="12"/>
          <w:rFonts w:hint="cs"/>
          <w:sz w:val="18"/>
          <w:szCs w:val="18"/>
          <w:rtl/>
        </w:rPr>
        <w:t xml:space="preserve">מפרה אדומה, דאף שהגברא שמזין עליו הוא בחזקת טמא, מ"מ לא חיישינן שמא הפרה היא טריפה, ואזלינן בתר רובא דרוב בהמות אינם טריפות, ומוציאין ע"י הרוב את הגברא מחזקתו דהוא טמא, </w:t>
      </w:r>
      <w:r>
        <w:rPr>
          <w:rStyle w:val="12"/>
          <w:rFonts w:hint="cs"/>
          <w:sz w:val="18"/>
          <w:szCs w:val="18"/>
          <w:rtl/>
        </w:rPr>
        <w:t>ומוכח</w:t>
      </w:r>
      <w:r w:rsidRPr="00797161">
        <w:rPr>
          <w:rStyle w:val="12"/>
          <w:rFonts w:hint="cs"/>
          <w:sz w:val="18"/>
          <w:szCs w:val="18"/>
          <w:rtl/>
        </w:rPr>
        <w:t xml:space="preserve"> דרוב עדיף מחזקה.</w:t>
      </w:r>
    </w:p>
    <w:p w14:paraId="253B9FE8" w14:textId="77777777" w:rsidR="005E1F6B" w:rsidRDefault="005E1F6B" w:rsidP="006D6D32">
      <w:pPr>
        <w:pStyle w:val="a3"/>
        <w:rPr>
          <w:rtl/>
        </w:rPr>
      </w:pPr>
      <w:bookmarkStart w:id="11409" w:name="_Toc531182483"/>
      <w:bookmarkStart w:id="11410" w:name="_Toc19390483"/>
      <w:bookmarkStart w:id="11411" w:name="_Toc19393980"/>
      <w:bookmarkEnd w:id="11406"/>
      <w:bookmarkEnd w:id="11407"/>
      <w:bookmarkEnd w:id="11408"/>
      <w:r>
        <w:rPr>
          <w:rFonts w:hint="cs"/>
          <w:rtl/>
        </w:rPr>
        <w:t>קושית המהרש"א דבפרה נסמוך את מיעוט טריפות לחזקת טהרה של הגברא ולא מהני הרוב</w:t>
      </w:r>
      <w:bookmarkEnd w:id="11409"/>
      <w:bookmarkEnd w:id="11410"/>
      <w:bookmarkEnd w:id="11411"/>
    </w:p>
    <w:p w14:paraId="7B724F36" w14:textId="77777777" w:rsidR="005E1F6B" w:rsidRDefault="005E1F6B" w:rsidP="00223668">
      <w:pPr>
        <w:pStyle w:val="a0"/>
        <w:rPr>
          <w:rtl/>
        </w:rPr>
      </w:pPr>
      <w:bookmarkStart w:id="11412" w:name="_Ref531166673"/>
      <w:r>
        <w:rPr>
          <w:rFonts w:hint="cs"/>
          <w:rtl/>
        </w:rPr>
        <w:t xml:space="preserve">והקשה </w:t>
      </w:r>
      <w:r w:rsidRPr="00C33A36">
        <w:rPr>
          <w:rStyle w:val="af9"/>
          <w:rFonts w:hint="cs"/>
          <w:rtl/>
        </w:rPr>
        <w:t>המהרש"א</w:t>
      </w:r>
      <w:r w:rsidRPr="002A542D">
        <w:rPr>
          <w:rStyle w:val="af7"/>
          <w:rFonts w:eastAsia="Guttman Hodes" w:hint="cs"/>
          <w:rtl/>
        </w:rPr>
        <w:t xml:space="preserve"> (</w:t>
      </w:r>
      <w:r>
        <w:rPr>
          <w:rStyle w:val="af7"/>
          <w:rFonts w:eastAsia="Guttman Hodes" w:hint="cs"/>
          <w:rtl/>
        </w:rPr>
        <w:t xml:space="preserve">יא. </w:t>
      </w:r>
      <w:r w:rsidRPr="002A542D">
        <w:rPr>
          <w:rStyle w:val="af7"/>
          <w:rFonts w:eastAsia="Guttman Hodes" w:hint="cs"/>
          <w:rtl/>
        </w:rPr>
        <w:t xml:space="preserve">ד"ה בא"ד אלא) </w:t>
      </w:r>
      <w:r>
        <w:rPr>
          <w:rFonts w:hint="cs"/>
          <w:rtl/>
        </w:rPr>
        <w:t xml:space="preserve">דכיון דמבואר </w:t>
      </w:r>
      <w:r w:rsidRPr="007F7ED1">
        <w:rPr>
          <w:rStyle w:val="af9"/>
          <w:rFonts w:hint="cs"/>
          <w:rtl/>
        </w:rPr>
        <w:t>ב</w:t>
      </w:r>
      <w:r w:rsidRPr="00D84957">
        <w:rPr>
          <w:rStyle w:val="af9"/>
          <w:rFonts w:hint="cs"/>
          <w:rtl/>
        </w:rPr>
        <w:t>תוס'</w:t>
      </w:r>
      <w:r>
        <w:rPr>
          <w:rStyle w:val="af9"/>
          <w:rFonts w:hint="cs"/>
          <w:rtl/>
        </w:rPr>
        <w:t xml:space="preserve"> בסוגיין</w:t>
      </w:r>
      <w:r>
        <w:rPr>
          <w:rFonts w:hint="cs"/>
          <w:rtl/>
        </w:rPr>
        <w:t xml:space="preserve"> </w:t>
      </w:r>
      <w:r w:rsidRPr="009733D1">
        <w:rPr>
          <w:rStyle w:val="af7"/>
          <w:rFonts w:eastAsia="Guttman Hodes" w:hint="cs"/>
          <w:rtl/>
        </w:rPr>
        <w:t xml:space="preserve">(עי' אות </w:t>
      </w:r>
      <w:r w:rsidRPr="009733D1">
        <w:rPr>
          <w:rStyle w:val="af7"/>
          <w:rFonts w:eastAsia="Guttman Hodes"/>
          <w:rtl/>
        </w:rPr>
        <w:fldChar w:fldCharType="begin"/>
      </w:r>
      <w:r w:rsidRPr="009733D1">
        <w:rPr>
          <w:rStyle w:val="af7"/>
          <w:rFonts w:eastAsia="Guttman Hodes"/>
          <w:rtl/>
        </w:rPr>
        <w:instrText xml:space="preserve"> </w:instrText>
      </w:r>
      <w:r w:rsidRPr="009733D1">
        <w:rPr>
          <w:rStyle w:val="af7"/>
          <w:rFonts w:eastAsia="Guttman Hodes" w:hint="cs"/>
        </w:rPr>
        <w:instrText>REF</w:instrText>
      </w:r>
      <w:r w:rsidRPr="009733D1">
        <w:rPr>
          <w:rStyle w:val="af7"/>
          <w:rFonts w:eastAsia="Guttman Hodes" w:hint="cs"/>
          <w:rtl/>
        </w:rPr>
        <w:instrText xml:space="preserve"> _</w:instrText>
      </w:r>
      <w:r w:rsidRPr="009733D1">
        <w:rPr>
          <w:rStyle w:val="af7"/>
          <w:rFonts w:eastAsia="Guttman Hodes" w:hint="cs"/>
        </w:rPr>
        <w:instrText>Ref531165484 \r \h</w:instrText>
      </w:r>
      <w:r w:rsidRPr="009733D1">
        <w:rPr>
          <w:rStyle w:val="af7"/>
          <w:rFonts w:eastAsia="Guttman Hodes"/>
          <w:rtl/>
        </w:rPr>
        <w:instrText xml:space="preserve"> </w:instrText>
      </w:r>
      <w:r w:rsidRPr="009733D1">
        <w:rPr>
          <w:rStyle w:val="af7"/>
          <w:rFonts w:eastAsia="Guttman Hodes"/>
          <w:rtl/>
        </w:rPr>
      </w:r>
      <w:r w:rsidRPr="009733D1">
        <w:rPr>
          <w:rStyle w:val="af7"/>
          <w:rFonts w:eastAsia="Guttman Hodes"/>
          <w:rtl/>
        </w:rPr>
        <w:fldChar w:fldCharType="separate"/>
      </w:r>
      <w:r w:rsidR="00345400">
        <w:rPr>
          <w:rStyle w:val="af7"/>
          <w:rFonts w:eastAsia="Guttman Hodes"/>
          <w:cs/>
        </w:rPr>
        <w:t>‎</w:t>
      </w:r>
      <w:r w:rsidR="00345400">
        <w:rPr>
          <w:rStyle w:val="af7"/>
          <w:rFonts w:eastAsia="Guttman Hodes"/>
          <w:rtl/>
        </w:rPr>
        <w:t>לט)</w:t>
      </w:r>
      <w:r w:rsidRPr="009733D1">
        <w:rPr>
          <w:rStyle w:val="af7"/>
          <w:rFonts w:eastAsia="Guttman Hodes"/>
          <w:rtl/>
        </w:rPr>
        <w:fldChar w:fldCharType="end"/>
      </w:r>
      <w:r w:rsidRPr="007F7ED1">
        <w:rPr>
          <w:rStyle w:val="af9"/>
          <w:rFonts w:hint="cs"/>
          <w:rtl/>
        </w:rPr>
        <w:t xml:space="preserve"> </w:t>
      </w:r>
      <w:r>
        <w:rPr>
          <w:rFonts w:hint="cs"/>
          <w:rtl/>
        </w:rPr>
        <w:t xml:space="preserve">דאף לדעת רבנן אמרינן סמוך מיעוטא לחזקה, א"כ היאך כתבו </w:t>
      </w:r>
      <w:r w:rsidRPr="00797161">
        <w:rPr>
          <w:rStyle w:val="af9"/>
          <w:rFonts w:hint="cs"/>
          <w:rtl/>
        </w:rPr>
        <w:t xml:space="preserve">התוס' </w:t>
      </w:r>
      <w:r w:rsidRPr="005049E2">
        <w:rPr>
          <w:rStyle w:val="af7"/>
          <w:rFonts w:eastAsia="Guttman Hodes" w:hint="cs"/>
          <w:rtl/>
        </w:rPr>
        <w:t>(</w:t>
      </w:r>
      <w:r>
        <w:rPr>
          <w:rStyle w:val="af7"/>
          <w:rFonts w:eastAsia="Guttman Hodes" w:hint="cs"/>
          <w:rtl/>
        </w:rPr>
        <w:t xml:space="preserve">יא. </w:t>
      </w:r>
      <w:r w:rsidRPr="005049E2">
        <w:rPr>
          <w:rStyle w:val="af7"/>
          <w:rFonts w:eastAsia="Guttman Hodes" w:hint="cs"/>
          <w:rtl/>
        </w:rPr>
        <w:t>ד"ה מנא)</w:t>
      </w:r>
      <w:r>
        <w:rPr>
          <w:rFonts w:hint="cs"/>
          <w:rtl/>
        </w:rPr>
        <w:t xml:space="preserve"> </w:t>
      </w:r>
      <w:r w:rsidRPr="00797161">
        <w:rPr>
          <w:rFonts w:hint="cs"/>
          <w:rtl/>
        </w:rPr>
        <w:t xml:space="preserve">בשם </w:t>
      </w:r>
      <w:r w:rsidRPr="00797161">
        <w:rPr>
          <w:rStyle w:val="af9"/>
          <w:rFonts w:hint="cs"/>
          <w:rtl/>
        </w:rPr>
        <w:t>רבינו חיים</w:t>
      </w:r>
      <w:r w:rsidRPr="00797161">
        <w:rPr>
          <w:rFonts w:hint="cs"/>
          <w:rtl/>
        </w:rPr>
        <w:t xml:space="preserve"> </w:t>
      </w:r>
      <w:r>
        <w:rPr>
          <w:rFonts w:hint="cs"/>
          <w:rtl/>
        </w:rPr>
        <w:t>ד</w:t>
      </w:r>
      <w:r w:rsidRPr="002A542D">
        <w:rPr>
          <w:rFonts w:hint="cs"/>
          <w:rtl/>
        </w:rPr>
        <w:t>ילפינן</w:t>
      </w:r>
      <w:r>
        <w:rPr>
          <w:rFonts w:hint="cs"/>
          <w:rtl/>
        </w:rPr>
        <w:t xml:space="preserve"> </w:t>
      </w:r>
      <w:r w:rsidRPr="002A542D">
        <w:rPr>
          <w:rFonts w:hint="cs"/>
          <w:rtl/>
        </w:rPr>
        <w:t>מפרה אדומה</w:t>
      </w:r>
      <w:r w:rsidRPr="00797161">
        <w:rPr>
          <w:rFonts w:hint="cs"/>
          <w:rtl/>
        </w:rPr>
        <w:t xml:space="preserve"> </w:t>
      </w:r>
      <w:r>
        <w:rPr>
          <w:rFonts w:hint="cs"/>
          <w:rtl/>
        </w:rPr>
        <w:t>ד</w:t>
      </w:r>
      <w:r w:rsidRPr="00797161">
        <w:rPr>
          <w:rFonts w:hint="cs"/>
          <w:rtl/>
        </w:rPr>
        <w:t xml:space="preserve">רוב עדיף </w:t>
      </w:r>
      <w:r w:rsidRPr="002A542D">
        <w:rPr>
          <w:rFonts w:hint="cs"/>
          <w:rtl/>
        </w:rPr>
        <w:t xml:space="preserve">מחזקה, </w:t>
      </w:r>
      <w:r>
        <w:rPr>
          <w:rFonts w:hint="cs"/>
          <w:rtl/>
        </w:rPr>
        <w:t>ד</w:t>
      </w:r>
      <w:r w:rsidRPr="002A542D">
        <w:rPr>
          <w:rFonts w:hint="cs"/>
          <w:rtl/>
        </w:rPr>
        <w:t>אזל</w:t>
      </w:r>
      <w:r>
        <w:rPr>
          <w:rFonts w:hint="cs"/>
          <w:rtl/>
        </w:rPr>
        <w:t>ינן בתר רוב בהמות אינם טריפות, ו</w:t>
      </w:r>
      <w:r w:rsidRPr="002A542D">
        <w:rPr>
          <w:rFonts w:hint="cs"/>
          <w:rtl/>
        </w:rPr>
        <w:t>ע"י הרוב מוציאין את הגברא</w:t>
      </w:r>
      <w:r>
        <w:rPr>
          <w:rFonts w:hint="cs"/>
          <w:rtl/>
        </w:rPr>
        <w:t xml:space="preserve"> שמזין עליו</w:t>
      </w:r>
      <w:r w:rsidRPr="002A542D">
        <w:rPr>
          <w:rFonts w:hint="cs"/>
          <w:rtl/>
        </w:rPr>
        <w:t xml:space="preserve"> מחזקת</w:t>
      </w:r>
      <w:r>
        <w:rPr>
          <w:rFonts w:hint="cs"/>
          <w:rtl/>
        </w:rPr>
        <w:t xml:space="preserve"> טומאה, ואמאי לא אמרינן סמוך מיעוט טריפות, לחזקת טומאה של הגברא, ובכה"ג לא אזלינן בתר רוב בהמות אינם טריפות.</w:t>
      </w:r>
      <w:bookmarkEnd w:id="11412"/>
    </w:p>
    <w:p w14:paraId="6B55B2D7" w14:textId="77777777" w:rsidR="005E1F6B" w:rsidRPr="00C33A36" w:rsidRDefault="005E1F6B" w:rsidP="006D6D32">
      <w:pPr>
        <w:pStyle w:val="a3"/>
      </w:pPr>
      <w:bookmarkStart w:id="11413" w:name="_Toc531023281"/>
      <w:bookmarkStart w:id="11414" w:name="_Toc531106324"/>
      <w:bookmarkStart w:id="11415" w:name="_Toc531111271"/>
      <w:bookmarkStart w:id="11416" w:name="_Toc531158406"/>
      <w:bookmarkStart w:id="11417" w:name="_Toc531182484"/>
      <w:bookmarkStart w:id="11418" w:name="_Toc19390484"/>
      <w:bookmarkStart w:id="11419" w:name="_Toc19393981"/>
      <w:r>
        <w:rPr>
          <w:rFonts w:hint="cs"/>
          <w:rtl/>
        </w:rPr>
        <w:t xml:space="preserve">תירוץ המהרש"א דדעת  התוס' דרק מדרבנן אמרינן לדעת רבנן סמוך מיעוטא לחזקה </w:t>
      </w:r>
      <w:bookmarkEnd w:id="11413"/>
      <w:bookmarkEnd w:id="11414"/>
      <w:bookmarkEnd w:id="11415"/>
      <w:bookmarkEnd w:id="11416"/>
      <w:r>
        <w:rPr>
          <w:rFonts w:hint="cs"/>
          <w:rtl/>
        </w:rPr>
        <w:t>ולא מדאו'</w:t>
      </w:r>
      <w:bookmarkEnd w:id="11417"/>
      <w:bookmarkEnd w:id="11418"/>
      <w:bookmarkEnd w:id="11419"/>
    </w:p>
    <w:p w14:paraId="51BAD56B" w14:textId="77777777" w:rsidR="005E1F6B" w:rsidRDefault="005E1F6B" w:rsidP="00223668">
      <w:pPr>
        <w:pStyle w:val="a0"/>
      </w:pPr>
      <w:bookmarkStart w:id="11420" w:name="_Ref530932514"/>
      <w:r>
        <w:rPr>
          <w:rFonts w:hint="cs"/>
          <w:rtl/>
        </w:rPr>
        <w:t xml:space="preserve">ותירץ </w:t>
      </w:r>
      <w:r w:rsidRPr="00C33A36">
        <w:rPr>
          <w:rStyle w:val="af9"/>
          <w:rFonts w:hint="cs"/>
          <w:rtl/>
        </w:rPr>
        <w:t>המהרש"א</w:t>
      </w:r>
      <w:r>
        <w:rPr>
          <w:rStyle w:val="af9"/>
          <w:rFonts w:hint="cs"/>
          <w:rtl/>
        </w:rPr>
        <w:t xml:space="preserve"> </w:t>
      </w:r>
      <w:r>
        <w:rPr>
          <w:rFonts w:hint="cs"/>
          <w:rtl/>
        </w:rPr>
        <w:t xml:space="preserve">דמדאו' לעולם אזלינן בתר רובא לדעת רבנן, ולא חיישינן למיעוט אף כשיש עמו חזקה, ורק מדרבנן אמרינן סמוך מיעוטא לחזקה כנגד הרוב, וכתב </w:t>
      </w:r>
      <w:r w:rsidRPr="00EA381E">
        <w:rPr>
          <w:rStyle w:val="af9"/>
          <w:rFonts w:hint="cs"/>
          <w:rtl/>
        </w:rPr>
        <w:t>הראש יוסף</w:t>
      </w:r>
      <w:r>
        <w:rPr>
          <w:rFonts w:hint="cs"/>
          <w:rtl/>
        </w:rPr>
        <w:t xml:space="preserve"> </w:t>
      </w:r>
      <w:r w:rsidRPr="00263DD5">
        <w:rPr>
          <w:rStyle w:val="af7"/>
          <w:rFonts w:eastAsia="Guttman Hodes" w:hint="cs"/>
          <w:rtl/>
        </w:rPr>
        <w:t>(יא. ד"ה בא"ד דאיכא)</w:t>
      </w:r>
      <w:r>
        <w:rPr>
          <w:rFonts w:hint="cs"/>
          <w:rtl/>
        </w:rPr>
        <w:t xml:space="preserve"> </w:t>
      </w:r>
      <w:r w:rsidRPr="00EA381E">
        <w:rPr>
          <w:rStyle w:val="af9"/>
          <w:rFonts w:hint="cs"/>
          <w:rtl/>
        </w:rPr>
        <w:t xml:space="preserve">דהמהרש"א </w:t>
      </w:r>
      <w:r>
        <w:rPr>
          <w:rFonts w:hint="cs"/>
          <w:rtl/>
        </w:rPr>
        <w:t xml:space="preserve">ביאר דכוונת </w:t>
      </w:r>
      <w:r w:rsidRPr="00EA381E">
        <w:rPr>
          <w:rStyle w:val="af9"/>
          <w:rFonts w:hint="cs"/>
          <w:rtl/>
        </w:rPr>
        <w:t xml:space="preserve">התוס' </w:t>
      </w:r>
      <w:r w:rsidRPr="00D84957">
        <w:rPr>
          <w:rStyle w:val="af7"/>
          <w:rFonts w:eastAsia="Guttman Hodes" w:hint="cs"/>
          <w:rtl/>
        </w:rPr>
        <w:t>(יא: ד"ה לר"מ)</w:t>
      </w:r>
      <w:r>
        <w:rPr>
          <w:rFonts w:hint="cs"/>
          <w:rtl/>
        </w:rPr>
        <w:t xml:space="preserve"> לומר דמדרבנן אמרינן סמוך מיעוטא לחזקה, דמדאו' ודאי דלא חיישינן למיעוטא לדעת רבנן, וכתב </w:t>
      </w:r>
      <w:r w:rsidRPr="006D7824">
        <w:rPr>
          <w:rStyle w:val="af9"/>
          <w:rFonts w:hint="cs"/>
          <w:rtl/>
        </w:rPr>
        <w:t xml:space="preserve">השעה"מ </w:t>
      </w:r>
      <w:r w:rsidRPr="006D7824">
        <w:rPr>
          <w:rStyle w:val="af7"/>
          <w:rFonts w:eastAsia="Guttman Hodes" w:hint="cs"/>
          <w:rtl/>
        </w:rPr>
        <w:t xml:space="preserve">(יבום וחליצה פ"ג הט"ז </w:t>
      </w:r>
      <w:r>
        <w:rPr>
          <w:rStyle w:val="af7"/>
          <w:rFonts w:eastAsia="Guttman Hodes" w:hint="cs"/>
          <w:rtl/>
        </w:rPr>
        <w:t>ד</w:t>
      </w:r>
      <w:r>
        <w:rPr>
          <w:rStyle w:val="af7"/>
          <w:rFonts w:eastAsia="Guttman Hodes"/>
          <w:rtl/>
        </w:rPr>
        <w:t>"</w:t>
      </w:r>
      <w:r>
        <w:rPr>
          <w:rStyle w:val="af7"/>
          <w:rFonts w:eastAsia="Guttman Hodes" w:hint="cs"/>
          <w:rtl/>
        </w:rPr>
        <w:t>ה האמנם הדבר הקשה</w:t>
      </w:r>
      <w:r w:rsidRPr="006D7824">
        <w:rPr>
          <w:rStyle w:val="af7"/>
          <w:rFonts w:eastAsia="Guttman Hodes" w:hint="cs"/>
          <w:rtl/>
        </w:rPr>
        <w:t>)</w:t>
      </w:r>
      <w:r>
        <w:rPr>
          <w:rFonts w:hint="cs"/>
          <w:rtl/>
        </w:rPr>
        <w:t xml:space="preserve"> דכדברי </w:t>
      </w:r>
      <w:r w:rsidRPr="006D7824">
        <w:rPr>
          <w:rStyle w:val="af9"/>
          <w:rFonts w:hint="cs"/>
          <w:rtl/>
        </w:rPr>
        <w:t xml:space="preserve">המהרש"א </w:t>
      </w:r>
      <w:r>
        <w:rPr>
          <w:rFonts w:hint="cs"/>
          <w:rtl/>
        </w:rPr>
        <w:t xml:space="preserve">מבואר להדיא </w:t>
      </w:r>
      <w:r w:rsidRPr="006D7824">
        <w:rPr>
          <w:rStyle w:val="af9"/>
          <w:rFonts w:hint="cs"/>
          <w:rtl/>
        </w:rPr>
        <w:t>בתוס' בבכורות</w:t>
      </w:r>
      <w:r>
        <w:rPr>
          <w:rFonts w:hint="cs"/>
          <w:rtl/>
        </w:rPr>
        <w:t xml:space="preserve"> </w:t>
      </w:r>
      <w:r w:rsidRPr="006D7824">
        <w:rPr>
          <w:rStyle w:val="af7"/>
          <w:rFonts w:eastAsia="Guttman Hodes" w:hint="cs"/>
          <w:rtl/>
        </w:rPr>
        <w:t xml:space="preserve">(עי' אות </w:t>
      </w:r>
      <w:r w:rsidRPr="006D7824">
        <w:rPr>
          <w:rStyle w:val="af7"/>
          <w:rFonts w:eastAsia="Guttman Hodes"/>
          <w:rtl/>
        </w:rPr>
        <w:fldChar w:fldCharType="begin"/>
      </w:r>
      <w:r w:rsidRPr="006D7824">
        <w:rPr>
          <w:rStyle w:val="af7"/>
          <w:rFonts w:eastAsia="Guttman Hodes"/>
          <w:rtl/>
        </w:rPr>
        <w:instrText xml:space="preserve"> </w:instrText>
      </w:r>
      <w:r w:rsidRPr="006D7824">
        <w:rPr>
          <w:rStyle w:val="af7"/>
          <w:rFonts w:eastAsia="Guttman Hodes" w:hint="cs"/>
        </w:rPr>
        <w:instrText>REF</w:instrText>
      </w:r>
      <w:r w:rsidRPr="006D7824">
        <w:rPr>
          <w:rStyle w:val="af7"/>
          <w:rFonts w:eastAsia="Guttman Hodes" w:hint="cs"/>
          <w:rtl/>
        </w:rPr>
        <w:instrText xml:space="preserve"> _</w:instrText>
      </w:r>
      <w:r w:rsidRPr="006D7824">
        <w:rPr>
          <w:rStyle w:val="af7"/>
          <w:rFonts w:eastAsia="Guttman Hodes" w:hint="cs"/>
        </w:rPr>
        <w:instrText>Ref531121179 \r \h</w:instrText>
      </w:r>
      <w:r w:rsidRPr="006D7824">
        <w:rPr>
          <w:rStyle w:val="af7"/>
          <w:rFonts w:eastAsia="Guttman Hodes"/>
          <w:rtl/>
        </w:rPr>
        <w:instrText xml:space="preserve"> </w:instrText>
      </w:r>
      <w:r w:rsidRPr="006D7824">
        <w:rPr>
          <w:rStyle w:val="af7"/>
          <w:rFonts w:eastAsia="Guttman Hodes"/>
          <w:rtl/>
        </w:rPr>
      </w:r>
      <w:r w:rsidRPr="006D7824">
        <w:rPr>
          <w:rStyle w:val="af7"/>
          <w:rFonts w:eastAsia="Guttman Hodes"/>
          <w:rtl/>
        </w:rPr>
        <w:fldChar w:fldCharType="separate"/>
      </w:r>
      <w:r w:rsidR="00345400">
        <w:rPr>
          <w:rStyle w:val="af7"/>
          <w:rFonts w:eastAsia="Guttman Hodes"/>
          <w:cs/>
        </w:rPr>
        <w:t>‎</w:t>
      </w:r>
      <w:r w:rsidR="00345400">
        <w:rPr>
          <w:rStyle w:val="af7"/>
          <w:rFonts w:eastAsia="Guttman Hodes"/>
          <w:rtl/>
        </w:rPr>
        <w:t>מו)</w:t>
      </w:r>
      <w:r w:rsidRPr="006D7824">
        <w:rPr>
          <w:rStyle w:val="af7"/>
          <w:rFonts w:eastAsia="Guttman Hodes"/>
          <w:rtl/>
        </w:rPr>
        <w:fldChar w:fldCharType="end"/>
      </w:r>
      <w:r>
        <w:rPr>
          <w:rFonts w:hint="cs"/>
          <w:rtl/>
        </w:rPr>
        <w:t xml:space="preserve"> דרק מדרבנן אמרינן סמוך מיעוטא לחזקה</w:t>
      </w:r>
      <w:r w:rsidRPr="00DA6935">
        <w:rPr>
          <w:rFonts w:hint="cs"/>
          <w:rtl/>
        </w:rPr>
        <w:t xml:space="preserve"> </w:t>
      </w:r>
      <w:r>
        <w:rPr>
          <w:rFonts w:hint="cs"/>
          <w:rtl/>
        </w:rPr>
        <w:t>לחומרא.</w:t>
      </w:r>
      <w:bookmarkEnd w:id="11420"/>
      <w:r w:rsidRPr="00DB452E">
        <w:rPr>
          <w:rFonts w:hint="cs"/>
          <w:rtl/>
        </w:rPr>
        <w:t xml:space="preserve"> </w:t>
      </w:r>
      <w:r>
        <w:rPr>
          <w:rFonts w:hint="cs"/>
          <w:rtl/>
        </w:rPr>
        <w:t xml:space="preserve">[אמנם </w:t>
      </w:r>
      <w:r w:rsidRPr="00AB0862">
        <w:rPr>
          <w:rStyle w:val="af9"/>
          <w:rFonts w:hint="cs"/>
          <w:rtl/>
        </w:rPr>
        <w:t>מהתירוץ הב' במהרש"א</w:t>
      </w:r>
      <w:r>
        <w:rPr>
          <w:rFonts w:hint="cs"/>
          <w:rtl/>
        </w:rPr>
        <w:t xml:space="preserve"> </w:t>
      </w:r>
      <w:r w:rsidRPr="00AB0862">
        <w:rPr>
          <w:rStyle w:val="af7"/>
          <w:rFonts w:eastAsia="Guttman Hodes" w:hint="cs"/>
          <w:rtl/>
        </w:rPr>
        <w:t xml:space="preserve">(עי' אות </w:t>
      </w:r>
      <w:r w:rsidRPr="00AB0862">
        <w:rPr>
          <w:rStyle w:val="af7"/>
          <w:rFonts w:eastAsia="Guttman Hodes"/>
          <w:rtl/>
        </w:rPr>
        <w:fldChar w:fldCharType="begin"/>
      </w:r>
      <w:r w:rsidRPr="00AB0862">
        <w:rPr>
          <w:rStyle w:val="af7"/>
          <w:rFonts w:eastAsia="Guttman Hodes"/>
          <w:rtl/>
        </w:rPr>
        <w:instrText xml:space="preserve"> </w:instrText>
      </w:r>
      <w:r w:rsidRPr="00AB0862">
        <w:rPr>
          <w:rStyle w:val="af7"/>
          <w:rFonts w:eastAsia="Guttman Hodes" w:hint="cs"/>
        </w:rPr>
        <w:instrText>REF</w:instrText>
      </w:r>
      <w:r w:rsidRPr="00AB0862">
        <w:rPr>
          <w:rStyle w:val="af7"/>
          <w:rFonts w:eastAsia="Guttman Hodes" w:hint="cs"/>
          <w:rtl/>
        </w:rPr>
        <w:instrText xml:space="preserve"> _</w:instrText>
      </w:r>
      <w:r w:rsidRPr="00AB0862">
        <w:rPr>
          <w:rStyle w:val="af7"/>
          <w:rFonts w:eastAsia="Guttman Hodes" w:hint="cs"/>
        </w:rPr>
        <w:instrText>Ref530932471 \r \h</w:instrText>
      </w:r>
      <w:r w:rsidRPr="00AB0862">
        <w:rPr>
          <w:rStyle w:val="af7"/>
          <w:rFonts w:eastAsia="Guttman Hodes"/>
          <w:rtl/>
        </w:rPr>
        <w:instrText xml:space="preserve"> </w:instrText>
      </w:r>
      <w:r w:rsidRPr="00AB0862">
        <w:rPr>
          <w:rStyle w:val="af7"/>
          <w:rFonts w:eastAsia="Guttman Hodes"/>
          <w:rtl/>
        </w:rPr>
      </w:r>
      <w:r w:rsidRPr="00AB0862">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AB0862">
        <w:rPr>
          <w:rStyle w:val="af7"/>
          <w:rFonts w:eastAsia="Guttman Hodes"/>
          <w:rtl/>
        </w:rPr>
        <w:fldChar w:fldCharType="end"/>
      </w:r>
      <w:r>
        <w:rPr>
          <w:rFonts w:hint="cs"/>
          <w:rtl/>
        </w:rPr>
        <w:t xml:space="preserve"> מבואר </w:t>
      </w:r>
      <w:r w:rsidRPr="00AB0862">
        <w:rPr>
          <w:rStyle w:val="af9"/>
          <w:rFonts w:hint="cs"/>
          <w:rtl/>
        </w:rPr>
        <w:t>דלתוס'</w:t>
      </w:r>
      <w:r>
        <w:rPr>
          <w:rFonts w:hint="cs"/>
          <w:rtl/>
        </w:rPr>
        <w:t xml:space="preserve"> מדאו' אמרינן לרבנן סמוך מיעוטא לחזקה].</w:t>
      </w:r>
    </w:p>
    <w:p w14:paraId="079A58B2" w14:textId="77777777" w:rsidR="005E1F6B" w:rsidRDefault="005E1F6B" w:rsidP="006D6D32">
      <w:pPr>
        <w:pStyle w:val="a3"/>
        <w:rPr>
          <w:rtl/>
        </w:rPr>
      </w:pPr>
      <w:bookmarkStart w:id="11421" w:name="_Toc531182485"/>
      <w:bookmarkStart w:id="11422" w:name="_Toc19390485"/>
      <w:bookmarkStart w:id="11423" w:name="_Toc19393982"/>
      <w:r>
        <w:rPr>
          <w:rFonts w:hint="cs"/>
          <w:rtl/>
        </w:rPr>
        <w:t>דברי הגרעק"א דדעת התוס' והרמב"ן דלדעת רבנן דמדאו' לא אמרינן סמוך מיעוטא לחזקה</w:t>
      </w:r>
      <w:bookmarkEnd w:id="11421"/>
      <w:bookmarkEnd w:id="11422"/>
      <w:bookmarkEnd w:id="11423"/>
    </w:p>
    <w:p w14:paraId="47494A94" w14:textId="77777777" w:rsidR="005E1F6B" w:rsidRDefault="005E1F6B" w:rsidP="00223668">
      <w:pPr>
        <w:pStyle w:val="a0"/>
        <w:rPr>
          <w:rtl/>
        </w:rPr>
      </w:pPr>
      <w:r w:rsidRPr="008A2581">
        <w:rPr>
          <w:rFonts w:hint="cs"/>
          <w:rtl/>
        </w:rPr>
        <w:t>וכ"כ</w:t>
      </w:r>
      <w:r w:rsidRPr="00C33A36">
        <w:rPr>
          <w:rStyle w:val="af9"/>
          <w:rFonts w:hint="cs"/>
          <w:rtl/>
        </w:rPr>
        <w:t xml:space="preserve"> </w:t>
      </w:r>
      <w:r w:rsidRPr="007F1160">
        <w:rPr>
          <w:rStyle w:val="af9"/>
          <w:rFonts w:hint="cs"/>
          <w:rtl/>
        </w:rPr>
        <w:t>הגרעק"א</w:t>
      </w:r>
      <w:r>
        <w:rPr>
          <w:rFonts w:hint="cs"/>
          <w:rtl/>
        </w:rPr>
        <w:t xml:space="preserve"> </w:t>
      </w:r>
      <w:r w:rsidRPr="00A84833">
        <w:rPr>
          <w:rStyle w:val="af7"/>
          <w:rFonts w:eastAsia="Guttman Hodes" w:hint="cs"/>
          <w:rtl/>
        </w:rPr>
        <w:t>(יא. ד"ה אמנם)</w:t>
      </w:r>
      <w:r>
        <w:rPr>
          <w:rFonts w:hint="cs"/>
          <w:rtl/>
        </w:rPr>
        <w:t xml:space="preserve"> דהביאור בדברי </w:t>
      </w:r>
      <w:r w:rsidRPr="007F1160">
        <w:rPr>
          <w:rStyle w:val="af9"/>
          <w:rFonts w:hint="cs"/>
          <w:rtl/>
        </w:rPr>
        <w:t>רבינו חיים</w:t>
      </w:r>
      <w:r>
        <w:rPr>
          <w:rFonts w:hint="cs"/>
          <w:rtl/>
        </w:rPr>
        <w:t xml:space="preserve"> הוא דרק מדרבנן אמרינן סמוך מיעוטא לחזקה, וכתב </w:t>
      </w:r>
      <w:r w:rsidRPr="007F1160">
        <w:rPr>
          <w:rStyle w:val="af9"/>
          <w:rFonts w:hint="cs"/>
          <w:rtl/>
        </w:rPr>
        <w:t>הגרעק"א</w:t>
      </w:r>
      <w:r>
        <w:rPr>
          <w:rFonts w:hint="cs"/>
          <w:rtl/>
        </w:rPr>
        <w:t xml:space="preserve"> דכן מבואר בדברי </w:t>
      </w:r>
      <w:r w:rsidRPr="007F1160">
        <w:rPr>
          <w:rStyle w:val="af9"/>
          <w:rFonts w:hint="cs"/>
          <w:rtl/>
        </w:rPr>
        <w:t>הרמב"ן</w:t>
      </w:r>
      <w:r>
        <w:rPr>
          <w:rFonts w:hint="cs"/>
          <w:rtl/>
        </w:rPr>
        <w:t xml:space="preserve"> </w:t>
      </w:r>
      <w:r w:rsidRPr="007F1160">
        <w:rPr>
          <w:rStyle w:val="af9"/>
          <w:rFonts w:hint="cs"/>
          <w:rtl/>
        </w:rPr>
        <w:t>במלחמת בקידושין</w:t>
      </w:r>
      <w:r>
        <w:rPr>
          <w:rFonts w:hint="cs"/>
          <w:rtl/>
        </w:rPr>
        <w:t xml:space="preserve"> </w:t>
      </w:r>
      <w:r w:rsidRPr="008A2581">
        <w:rPr>
          <w:rStyle w:val="af7"/>
          <w:rFonts w:eastAsia="Guttman Hodes" w:hint="cs"/>
          <w:rtl/>
        </w:rPr>
        <w:t>(</w:t>
      </w:r>
      <w:r>
        <w:rPr>
          <w:rStyle w:val="af7"/>
          <w:rFonts w:eastAsia="Guttman Hodes" w:hint="cs"/>
          <w:rtl/>
        </w:rPr>
        <w:t>דף כא: מדפי הרי"ף)</w:t>
      </w:r>
      <w:r>
        <w:rPr>
          <w:rFonts w:hint="cs"/>
          <w:rtl/>
        </w:rPr>
        <w:t>.</w:t>
      </w:r>
    </w:p>
    <w:p w14:paraId="61BEE628" w14:textId="77777777" w:rsidR="00DD7EB6" w:rsidRPr="00DD7EB6" w:rsidRDefault="00DD7EB6" w:rsidP="006D6D32">
      <w:pPr>
        <w:pStyle w:val="a3"/>
        <w:rPr>
          <w:rtl/>
        </w:rPr>
      </w:pPr>
    </w:p>
    <w:p w14:paraId="739076ED" w14:textId="77777777" w:rsidR="005E1F6B" w:rsidRDefault="005E1F6B" w:rsidP="006D6D32">
      <w:pPr>
        <w:pStyle w:val="a3"/>
        <w:rPr>
          <w:rtl/>
        </w:rPr>
      </w:pPr>
      <w:bookmarkStart w:id="11424" w:name="_Toc531182486"/>
      <w:bookmarkStart w:id="11425" w:name="_Toc19390486"/>
      <w:bookmarkStart w:id="11426" w:name="_Toc19393983"/>
      <w:bookmarkStart w:id="11427" w:name="_Toc531023282"/>
      <w:bookmarkStart w:id="11428" w:name="_Toc531106325"/>
      <w:bookmarkStart w:id="11429" w:name="_Toc531111272"/>
      <w:bookmarkStart w:id="11430" w:name="_Toc531158407"/>
      <w:r>
        <w:rPr>
          <w:rFonts w:hint="cs"/>
          <w:rtl/>
        </w:rPr>
        <w:t>דברי הפנ"י והש"ש דדעת התוס' והרשב"א דלדעת רבנן דמדאו' לא אמרינן סמוך מיעוטא לחזקה</w:t>
      </w:r>
      <w:bookmarkEnd w:id="11424"/>
      <w:bookmarkEnd w:id="11425"/>
      <w:bookmarkEnd w:id="11426"/>
    </w:p>
    <w:p w14:paraId="082F5F9B" w14:textId="77777777" w:rsidR="005E1F6B" w:rsidRDefault="005E1F6B" w:rsidP="00223668">
      <w:pPr>
        <w:pStyle w:val="a0"/>
        <w:rPr>
          <w:rtl/>
        </w:rPr>
      </w:pPr>
      <w:r>
        <w:rPr>
          <w:rFonts w:hint="cs"/>
          <w:rtl/>
        </w:rPr>
        <w:t xml:space="preserve">וכ"כ </w:t>
      </w:r>
      <w:r>
        <w:rPr>
          <w:rStyle w:val="af9"/>
          <w:rtl/>
        </w:rPr>
        <w:t>הפנ"י בכתובות</w:t>
      </w:r>
      <w:r>
        <w:rPr>
          <w:rFonts w:hint="cs"/>
          <w:rtl/>
        </w:rPr>
        <w:t xml:space="preserve"> </w:t>
      </w:r>
      <w:r>
        <w:rPr>
          <w:rStyle w:val="af7"/>
          <w:rFonts w:eastAsia="Guttman Hodes" w:hint="cs"/>
          <w:rtl/>
        </w:rPr>
        <w:t>(י"ד. ד"ה ועל ארבעה)</w:t>
      </w:r>
      <w:r>
        <w:rPr>
          <w:rFonts w:hint="cs"/>
          <w:rtl/>
        </w:rPr>
        <w:t xml:space="preserve"> </w:t>
      </w:r>
      <w:r>
        <w:rPr>
          <w:rStyle w:val="af9"/>
          <w:rtl/>
        </w:rPr>
        <w:t>והש"ש</w:t>
      </w:r>
      <w:r>
        <w:rPr>
          <w:rFonts w:hint="cs"/>
          <w:rtl/>
        </w:rPr>
        <w:t xml:space="preserve"> </w:t>
      </w:r>
      <w:r>
        <w:rPr>
          <w:rStyle w:val="af7"/>
          <w:rFonts w:eastAsia="Guttman Hodes" w:hint="cs"/>
          <w:rtl/>
        </w:rPr>
        <w:t xml:space="preserve">(ש"ד פ"ב ד"ה ועוד קשה) </w:t>
      </w:r>
      <w:r>
        <w:rPr>
          <w:rFonts w:hint="cs"/>
          <w:rtl/>
        </w:rPr>
        <w:t xml:space="preserve">בדעת </w:t>
      </w:r>
      <w:r>
        <w:rPr>
          <w:rStyle w:val="af9"/>
          <w:rtl/>
        </w:rPr>
        <w:t>הרמב"ן והרשב"א</w:t>
      </w:r>
      <w:r>
        <w:rPr>
          <w:rFonts w:hint="cs"/>
          <w:rtl/>
        </w:rPr>
        <w:t xml:space="preserve"> </w:t>
      </w:r>
      <w:r w:rsidRPr="007A6B7A">
        <w:rPr>
          <w:rStyle w:val="af7"/>
          <w:rFonts w:eastAsia="Guttman Hodes" w:hint="cs"/>
          <w:rtl/>
        </w:rPr>
        <w:t xml:space="preserve">(עי' אות </w:t>
      </w:r>
      <w:r w:rsidRPr="007A6B7A">
        <w:rPr>
          <w:rStyle w:val="af7"/>
          <w:rFonts w:eastAsia="Guttman Hodes"/>
          <w:rtl/>
        </w:rPr>
        <w:fldChar w:fldCharType="begin"/>
      </w:r>
      <w:r w:rsidRPr="007A6B7A">
        <w:rPr>
          <w:rStyle w:val="af7"/>
          <w:rFonts w:eastAsia="Guttman Hodes"/>
          <w:rtl/>
        </w:rPr>
        <w:instrText xml:space="preserve"> </w:instrText>
      </w:r>
      <w:r w:rsidRPr="007A6B7A">
        <w:rPr>
          <w:rStyle w:val="af7"/>
          <w:rFonts w:eastAsia="Guttman Hodes" w:hint="cs"/>
        </w:rPr>
        <w:instrText>REF</w:instrText>
      </w:r>
      <w:r w:rsidRPr="007A6B7A">
        <w:rPr>
          <w:rStyle w:val="af7"/>
          <w:rFonts w:eastAsia="Guttman Hodes" w:hint="cs"/>
          <w:rtl/>
        </w:rPr>
        <w:instrText xml:space="preserve"> _</w:instrText>
      </w:r>
      <w:r w:rsidRPr="007A6B7A">
        <w:rPr>
          <w:rStyle w:val="af7"/>
          <w:rFonts w:eastAsia="Guttman Hodes" w:hint="cs"/>
        </w:rPr>
        <w:instrText>Ref531170841 \r \h</w:instrText>
      </w:r>
      <w:r w:rsidRPr="007A6B7A">
        <w:rPr>
          <w:rStyle w:val="af7"/>
          <w:rFonts w:eastAsia="Guttman Hodes"/>
          <w:rtl/>
        </w:rPr>
        <w:instrText xml:space="preserve"> </w:instrText>
      </w:r>
      <w:r w:rsidRPr="007A6B7A">
        <w:rPr>
          <w:rStyle w:val="af7"/>
          <w:rFonts w:eastAsia="Guttman Hodes"/>
          <w:rtl/>
        </w:rPr>
      </w:r>
      <w:r w:rsidRPr="007A6B7A">
        <w:rPr>
          <w:rStyle w:val="af7"/>
          <w:rFonts w:eastAsia="Guttman Hodes"/>
          <w:rtl/>
        </w:rPr>
        <w:fldChar w:fldCharType="separate"/>
      </w:r>
      <w:r w:rsidR="00345400">
        <w:rPr>
          <w:rStyle w:val="af7"/>
          <w:rFonts w:eastAsia="Guttman Hodes"/>
          <w:cs/>
        </w:rPr>
        <w:t>‎</w:t>
      </w:r>
      <w:r w:rsidR="00345400">
        <w:rPr>
          <w:rStyle w:val="af7"/>
          <w:rFonts w:eastAsia="Guttman Hodes"/>
          <w:rtl/>
        </w:rPr>
        <w:t>מג)</w:t>
      </w:r>
      <w:r w:rsidRPr="007A6B7A">
        <w:rPr>
          <w:rStyle w:val="af7"/>
          <w:rFonts w:eastAsia="Guttman Hodes"/>
          <w:rtl/>
        </w:rPr>
        <w:fldChar w:fldCharType="end"/>
      </w:r>
      <w:r>
        <w:rPr>
          <w:rFonts w:hint="cs"/>
          <w:rtl/>
        </w:rPr>
        <w:t xml:space="preserve"> דלדעת רבנן אף דמדאו' אזלינן בתר רובא לגמרי, מ"מ מדרבנן אמרינן סמוך מיעוטא לחזקה.</w:t>
      </w:r>
      <w:r>
        <w:rPr>
          <w:rFonts w:hint="cs"/>
          <w:highlight w:val="yellow"/>
          <w:rtl/>
        </w:rPr>
        <w:t xml:space="preserve"> </w:t>
      </w:r>
    </w:p>
    <w:p w14:paraId="1C737A61" w14:textId="77777777" w:rsidR="005E1F6B" w:rsidRPr="00002D49" w:rsidRDefault="005E1F6B" w:rsidP="00BF39B2">
      <w:pPr>
        <w:pStyle w:val="1"/>
        <w:rPr>
          <w:rtl/>
        </w:rPr>
      </w:pPr>
      <w:bookmarkStart w:id="11431" w:name="_Toc531182487"/>
      <w:bookmarkStart w:id="11432" w:name="_Toc19390487"/>
      <w:bookmarkStart w:id="11433" w:name="_Toc19393984"/>
      <w:r>
        <w:rPr>
          <w:rFonts w:hint="cs"/>
          <w:rtl/>
        </w:rPr>
        <w:t>דעות האחרונים דלרבנן מדאו' אמרינן סמוך מיעוט לחזקה</w:t>
      </w:r>
      <w:bookmarkEnd w:id="11431"/>
      <w:bookmarkEnd w:id="11432"/>
      <w:bookmarkEnd w:id="11433"/>
      <w:r>
        <w:rPr>
          <w:rFonts w:hint="cs"/>
          <w:rtl/>
        </w:rPr>
        <w:t xml:space="preserve"> </w:t>
      </w:r>
    </w:p>
    <w:p w14:paraId="152A9024" w14:textId="77777777" w:rsidR="005E1F6B" w:rsidRPr="00DB452E" w:rsidRDefault="005E1F6B" w:rsidP="006D6D32">
      <w:pPr>
        <w:pStyle w:val="a3"/>
        <w:rPr>
          <w:rtl/>
        </w:rPr>
      </w:pPr>
      <w:bookmarkStart w:id="11434" w:name="_Toc531182488"/>
      <w:bookmarkStart w:id="11435" w:name="_Toc19390488"/>
      <w:bookmarkStart w:id="11436" w:name="_Toc19393985"/>
      <w:r>
        <w:rPr>
          <w:rFonts w:hint="cs"/>
          <w:rtl/>
        </w:rPr>
        <w:t>דברי השעה"מ דבדברי הרשב"א במשה"ב מוכח דמדאו' אמרינן סמוך מיעוטא לחזקה</w:t>
      </w:r>
      <w:bookmarkEnd w:id="11434"/>
      <w:bookmarkEnd w:id="11435"/>
      <w:bookmarkEnd w:id="11436"/>
    </w:p>
    <w:p w14:paraId="1CE871B3" w14:textId="77777777" w:rsidR="005E1F6B" w:rsidRPr="00A8612F" w:rsidRDefault="005E1F6B" w:rsidP="00223668">
      <w:pPr>
        <w:pStyle w:val="a0"/>
        <w:rPr>
          <w:rtl/>
        </w:rPr>
      </w:pPr>
      <w:r>
        <w:rPr>
          <w:rFonts w:hint="cs"/>
          <w:rtl/>
        </w:rPr>
        <w:t xml:space="preserve">כתב </w:t>
      </w:r>
      <w:r w:rsidRPr="00D150A6">
        <w:rPr>
          <w:rStyle w:val="af9"/>
          <w:rFonts w:hint="cs"/>
          <w:rtl/>
        </w:rPr>
        <w:t xml:space="preserve">השעה"מ </w:t>
      </w:r>
      <w:r w:rsidRPr="00D150A6">
        <w:rPr>
          <w:rStyle w:val="af7"/>
          <w:rFonts w:eastAsia="Guttman Hodes" w:hint="cs"/>
          <w:rtl/>
        </w:rPr>
        <w:t>(יבום וחליצה פ"ג הט"ז ד"ה האמנם הדבר הקשה)</w:t>
      </w:r>
      <w:r>
        <w:rPr>
          <w:rFonts w:hint="cs"/>
          <w:rtl/>
        </w:rPr>
        <w:t xml:space="preserve"> דמדברי </w:t>
      </w:r>
      <w:r w:rsidRPr="00D150A6">
        <w:rPr>
          <w:rStyle w:val="af9"/>
          <w:rFonts w:hint="cs"/>
          <w:rtl/>
        </w:rPr>
        <w:t>הרשב"א במשה"ב</w:t>
      </w:r>
      <w:r>
        <w:rPr>
          <w:rFonts w:hint="cs"/>
          <w:rtl/>
        </w:rPr>
        <w:t xml:space="preserve"> </w:t>
      </w:r>
      <w:r w:rsidRPr="00D150A6">
        <w:rPr>
          <w:rStyle w:val="af7"/>
          <w:rFonts w:eastAsia="Guttman Hodes" w:hint="cs"/>
          <w:rtl/>
        </w:rPr>
        <w:t xml:space="preserve">(עי' אות </w:t>
      </w:r>
      <w:r w:rsidRPr="00D150A6">
        <w:rPr>
          <w:rStyle w:val="af7"/>
          <w:rFonts w:eastAsia="Guttman Hodes"/>
          <w:rtl/>
        </w:rPr>
        <w:fldChar w:fldCharType="begin"/>
      </w:r>
      <w:r w:rsidRPr="00D150A6">
        <w:rPr>
          <w:rStyle w:val="af7"/>
          <w:rFonts w:eastAsia="Guttman Hodes"/>
          <w:rtl/>
        </w:rPr>
        <w:instrText xml:space="preserve"> </w:instrText>
      </w:r>
      <w:r w:rsidRPr="00D150A6">
        <w:rPr>
          <w:rStyle w:val="af7"/>
          <w:rFonts w:eastAsia="Guttman Hodes" w:hint="cs"/>
        </w:rPr>
        <w:instrText>REF</w:instrText>
      </w:r>
      <w:r w:rsidRPr="00D150A6">
        <w:rPr>
          <w:rStyle w:val="af7"/>
          <w:rFonts w:eastAsia="Guttman Hodes" w:hint="cs"/>
          <w:rtl/>
        </w:rPr>
        <w:instrText xml:space="preserve"> _</w:instrText>
      </w:r>
      <w:r w:rsidRPr="00D150A6">
        <w:rPr>
          <w:rStyle w:val="af7"/>
          <w:rFonts w:eastAsia="Guttman Hodes" w:hint="cs"/>
        </w:rPr>
        <w:instrText>Ref531171081 \r \h</w:instrText>
      </w:r>
      <w:r w:rsidRPr="00D150A6">
        <w:rPr>
          <w:rStyle w:val="af7"/>
          <w:rFonts w:eastAsia="Guttman Hodes"/>
          <w:rtl/>
        </w:rPr>
        <w:instrText xml:space="preserve"> </w:instrText>
      </w:r>
      <w:r w:rsidRPr="00D150A6">
        <w:rPr>
          <w:rStyle w:val="af7"/>
          <w:rFonts w:eastAsia="Guttman Hodes"/>
          <w:rtl/>
        </w:rPr>
      </w:r>
      <w:r w:rsidRPr="00D150A6">
        <w:rPr>
          <w:rStyle w:val="af7"/>
          <w:rFonts w:eastAsia="Guttman Hodes"/>
          <w:rtl/>
        </w:rPr>
        <w:fldChar w:fldCharType="separate"/>
      </w:r>
      <w:r w:rsidR="00345400">
        <w:rPr>
          <w:rStyle w:val="af7"/>
          <w:rFonts w:eastAsia="Guttman Hodes"/>
          <w:cs/>
        </w:rPr>
        <w:t>‎</w:t>
      </w:r>
      <w:r w:rsidR="00345400">
        <w:rPr>
          <w:rStyle w:val="af7"/>
          <w:rFonts w:eastAsia="Guttman Hodes"/>
          <w:rtl/>
        </w:rPr>
        <w:t>פא)</w:t>
      </w:r>
      <w:r w:rsidRPr="00D150A6">
        <w:rPr>
          <w:rStyle w:val="af7"/>
          <w:rFonts w:eastAsia="Guttman Hodes"/>
          <w:rtl/>
        </w:rPr>
        <w:fldChar w:fldCharType="end"/>
      </w:r>
      <w:r>
        <w:rPr>
          <w:rFonts w:hint="cs"/>
          <w:rtl/>
        </w:rPr>
        <w:t xml:space="preserve"> מבואר דלדעת רבנן דמדאו' אמרינן סמוך מיעוטא לחזקה, מדדחה את דברי </w:t>
      </w:r>
      <w:r w:rsidRPr="00D150A6">
        <w:rPr>
          <w:rStyle w:val="af9"/>
          <w:rFonts w:hint="cs"/>
          <w:rtl/>
        </w:rPr>
        <w:t xml:space="preserve">הרא"ה בבד"ה </w:t>
      </w:r>
      <w:r>
        <w:rPr>
          <w:rFonts w:hint="cs"/>
          <w:rtl/>
        </w:rPr>
        <w:t xml:space="preserve">מכח קושיית הגמ' לר"מ היאך אכיל בישרא, וכן מהילפותא מפרה אדומה, ומבואר דס"ל </w:t>
      </w:r>
      <w:r>
        <w:rPr>
          <w:rStyle w:val="af9"/>
          <w:rFonts w:hint="cs"/>
          <w:rtl/>
        </w:rPr>
        <w:t>ל</w:t>
      </w:r>
      <w:r w:rsidRPr="00D150A6">
        <w:rPr>
          <w:rStyle w:val="af9"/>
          <w:rFonts w:hint="cs"/>
          <w:rtl/>
        </w:rPr>
        <w:t>הרשב"א במשה"ב</w:t>
      </w:r>
      <w:r>
        <w:rPr>
          <w:rFonts w:hint="cs"/>
          <w:rtl/>
        </w:rPr>
        <w:t xml:space="preserve"> דבמקום דאמרינן סמוך מיעוטא לחזקה, היינו מדאו'.</w:t>
      </w:r>
    </w:p>
    <w:p w14:paraId="1C5E917C" w14:textId="77777777" w:rsidR="005E1F6B" w:rsidRDefault="005E1F6B" w:rsidP="006D6D32">
      <w:pPr>
        <w:pStyle w:val="a3"/>
      </w:pPr>
      <w:bookmarkStart w:id="11437" w:name="_Toc531182489"/>
      <w:bookmarkStart w:id="11438" w:name="_Toc19390489"/>
      <w:bookmarkStart w:id="11439" w:name="_Toc19393986"/>
      <w:r>
        <w:rPr>
          <w:rFonts w:hint="cs"/>
          <w:rtl/>
        </w:rPr>
        <w:t>קושית המהרי"ט אלגאזי על הרמב"ן דבפרה אדומה מוכח דלא אמרינן סמוך מיעוטא לחזקה</w:t>
      </w:r>
      <w:bookmarkEnd w:id="11437"/>
      <w:bookmarkEnd w:id="11438"/>
      <w:bookmarkEnd w:id="11439"/>
    </w:p>
    <w:p w14:paraId="72FFF106" w14:textId="77777777" w:rsidR="005E1F6B" w:rsidRDefault="005E1F6B" w:rsidP="00223668">
      <w:pPr>
        <w:pStyle w:val="a0"/>
        <w:rPr>
          <w:rtl/>
        </w:rPr>
      </w:pPr>
      <w:r>
        <w:rPr>
          <w:rFonts w:hint="cs"/>
          <w:rtl/>
        </w:rPr>
        <w:t>כתב</w:t>
      </w:r>
      <w:r w:rsidRPr="00E85280">
        <w:rPr>
          <w:rFonts w:hint="cs"/>
          <w:rtl/>
        </w:rPr>
        <w:t xml:space="preserve"> </w:t>
      </w:r>
      <w:r w:rsidRPr="00E85280">
        <w:rPr>
          <w:rStyle w:val="af9"/>
          <w:rtl/>
        </w:rPr>
        <w:t xml:space="preserve">המהרי"ט אלגאזי </w:t>
      </w:r>
      <w:r w:rsidRPr="00DB452E">
        <w:rPr>
          <w:rStyle w:val="af7"/>
          <w:rFonts w:eastAsia="Guttman Hodes" w:hint="cs"/>
          <w:rtl/>
        </w:rPr>
        <w:t>(בכורות פ"ג סי' מ' [הראשון] ס"ק א')</w:t>
      </w:r>
      <w:r w:rsidRPr="00E85280">
        <w:rPr>
          <w:rFonts w:hint="cs"/>
          <w:rtl/>
        </w:rPr>
        <w:t xml:space="preserve"> </w:t>
      </w:r>
      <w:r>
        <w:rPr>
          <w:rFonts w:hint="cs"/>
          <w:rtl/>
        </w:rPr>
        <w:t xml:space="preserve">דדעת </w:t>
      </w:r>
      <w:r w:rsidRPr="007A6B7A">
        <w:rPr>
          <w:rStyle w:val="af9"/>
          <w:rFonts w:hint="cs"/>
          <w:rtl/>
        </w:rPr>
        <w:t>הרמב"ן</w:t>
      </w:r>
      <w:r>
        <w:rPr>
          <w:rFonts w:hint="cs"/>
          <w:rtl/>
        </w:rPr>
        <w:t xml:space="preserve"> בשם </w:t>
      </w:r>
      <w:r w:rsidRPr="007A6B7A">
        <w:rPr>
          <w:rStyle w:val="af9"/>
          <w:rFonts w:hint="cs"/>
          <w:rtl/>
        </w:rPr>
        <w:t>רבינו האי גאון</w:t>
      </w:r>
      <w:r>
        <w:rPr>
          <w:rFonts w:hint="cs"/>
          <w:rtl/>
        </w:rPr>
        <w:t xml:space="preserve"> </w:t>
      </w:r>
      <w:r w:rsidRPr="007A6B7A">
        <w:rPr>
          <w:rStyle w:val="af7"/>
          <w:rFonts w:eastAsia="Guttman Hodes" w:hint="cs"/>
          <w:rtl/>
        </w:rPr>
        <w:t xml:space="preserve">(עי' אות </w:t>
      </w:r>
      <w:r w:rsidRPr="007A6B7A">
        <w:rPr>
          <w:rStyle w:val="af7"/>
          <w:rFonts w:eastAsia="Guttman Hodes"/>
          <w:rtl/>
        </w:rPr>
        <w:fldChar w:fldCharType="begin"/>
      </w:r>
      <w:r w:rsidRPr="007A6B7A">
        <w:rPr>
          <w:rStyle w:val="af7"/>
          <w:rFonts w:eastAsia="Guttman Hodes"/>
          <w:rtl/>
        </w:rPr>
        <w:instrText xml:space="preserve"> </w:instrText>
      </w:r>
      <w:r w:rsidRPr="007A6B7A">
        <w:rPr>
          <w:rStyle w:val="af7"/>
          <w:rFonts w:eastAsia="Guttman Hodes" w:hint="cs"/>
        </w:rPr>
        <w:instrText>REF</w:instrText>
      </w:r>
      <w:r w:rsidRPr="007A6B7A">
        <w:rPr>
          <w:rStyle w:val="af7"/>
          <w:rFonts w:eastAsia="Guttman Hodes" w:hint="cs"/>
          <w:rtl/>
        </w:rPr>
        <w:instrText xml:space="preserve"> _</w:instrText>
      </w:r>
      <w:r w:rsidRPr="007A6B7A">
        <w:rPr>
          <w:rStyle w:val="af7"/>
          <w:rFonts w:eastAsia="Guttman Hodes" w:hint="cs"/>
        </w:rPr>
        <w:instrText>Ref531170841 \r \h</w:instrText>
      </w:r>
      <w:r w:rsidRPr="007A6B7A">
        <w:rPr>
          <w:rStyle w:val="af7"/>
          <w:rFonts w:eastAsia="Guttman Hodes"/>
          <w:rtl/>
        </w:rPr>
        <w:instrText xml:space="preserve"> </w:instrText>
      </w:r>
      <w:r w:rsidRPr="007A6B7A">
        <w:rPr>
          <w:rStyle w:val="af7"/>
          <w:rFonts w:eastAsia="Guttman Hodes"/>
          <w:rtl/>
        </w:rPr>
      </w:r>
      <w:r w:rsidRPr="007A6B7A">
        <w:rPr>
          <w:rStyle w:val="af7"/>
          <w:rFonts w:eastAsia="Guttman Hodes"/>
          <w:rtl/>
        </w:rPr>
        <w:fldChar w:fldCharType="separate"/>
      </w:r>
      <w:r w:rsidR="00345400">
        <w:rPr>
          <w:rStyle w:val="af7"/>
          <w:rFonts w:eastAsia="Guttman Hodes"/>
          <w:cs/>
        </w:rPr>
        <w:t>‎</w:t>
      </w:r>
      <w:r w:rsidR="00345400">
        <w:rPr>
          <w:rStyle w:val="af7"/>
          <w:rFonts w:eastAsia="Guttman Hodes"/>
          <w:rtl/>
        </w:rPr>
        <w:t>מג)</w:t>
      </w:r>
      <w:r w:rsidRPr="007A6B7A">
        <w:rPr>
          <w:rStyle w:val="af7"/>
          <w:rFonts w:eastAsia="Guttman Hodes"/>
          <w:rtl/>
        </w:rPr>
        <w:fldChar w:fldCharType="end"/>
      </w:r>
      <w:r>
        <w:rPr>
          <w:rFonts w:hint="cs"/>
          <w:rtl/>
        </w:rPr>
        <w:t xml:space="preserve"> דמדאו' אמרינן לרבנן סמוך מיעוטא לחזקה, והקשה</w:t>
      </w:r>
      <w:r w:rsidRPr="00E85280">
        <w:rPr>
          <w:rStyle w:val="af9"/>
          <w:rtl/>
        </w:rPr>
        <w:t xml:space="preserve"> המהרי"ט אלגאזי</w:t>
      </w:r>
      <w:r>
        <w:rPr>
          <w:rFonts w:hint="cs"/>
          <w:rtl/>
        </w:rPr>
        <w:t xml:space="preserve"> דהא הוכיח </w:t>
      </w:r>
      <w:r w:rsidRPr="003C5A63">
        <w:rPr>
          <w:rStyle w:val="af9"/>
          <w:rFonts w:hint="cs"/>
          <w:rtl/>
        </w:rPr>
        <w:t>רבינו חיים בתוס'</w:t>
      </w:r>
      <w:r>
        <w:rPr>
          <w:rFonts w:hint="cs"/>
          <w:rtl/>
        </w:rPr>
        <w:t xml:space="preserve"> </w:t>
      </w:r>
      <w:r w:rsidRPr="00D150A6">
        <w:rPr>
          <w:rStyle w:val="af7"/>
          <w:rFonts w:eastAsia="Guttman Hodes" w:hint="cs"/>
          <w:rtl/>
        </w:rPr>
        <w:t xml:space="preserve">(עי' אות </w:t>
      </w:r>
      <w:r w:rsidRPr="00D150A6">
        <w:rPr>
          <w:rStyle w:val="af7"/>
          <w:rFonts w:eastAsia="Guttman Hodes"/>
          <w:rtl/>
        </w:rPr>
        <w:fldChar w:fldCharType="begin"/>
      </w:r>
      <w:r w:rsidRPr="00D150A6">
        <w:rPr>
          <w:rStyle w:val="af7"/>
          <w:rFonts w:eastAsia="Guttman Hodes"/>
          <w:rtl/>
        </w:rPr>
        <w:instrText xml:space="preserve"> </w:instrText>
      </w:r>
      <w:r w:rsidRPr="00D150A6">
        <w:rPr>
          <w:rStyle w:val="af7"/>
          <w:rFonts w:eastAsia="Guttman Hodes" w:hint="cs"/>
        </w:rPr>
        <w:instrText>REF</w:instrText>
      </w:r>
      <w:r w:rsidRPr="00D150A6">
        <w:rPr>
          <w:rStyle w:val="af7"/>
          <w:rFonts w:eastAsia="Guttman Hodes" w:hint="cs"/>
          <w:rtl/>
        </w:rPr>
        <w:instrText xml:space="preserve"> _</w:instrText>
      </w:r>
      <w:r w:rsidRPr="00D150A6">
        <w:rPr>
          <w:rStyle w:val="af7"/>
          <w:rFonts w:eastAsia="Guttman Hodes" w:hint="cs"/>
        </w:rPr>
        <w:instrText>Ref528171682 \r \h</w:instrText>
      </w:r>
      <w:r w:rsidRPr="00D150A6">
        <w:rPr>
          <w:rStyle w:val="af7"/>
          <w:rFonts w:eastAsia="Guttman Hodes"/>
          <w:rtl/>
        </w:rPr>
        <w:instrText xml:space="preserve"> </w:instrText>
      </w:r>
      <w:r w:rsidRPr="00D150A6">
        <w:rPr>
          <w:rStyle w:val="af7"/>
          <w:rFonts w:eastAsia="Guttman Hodes"/>
          <w:rtl/>
        </w:rPr>
      </w:r>
      <w:r w:rsidRPr="00D150A6">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D150A6">
        <w:rPr>
          <w:rStyle w:val="af7"/>
          <w:rFonts w:eastAsia="Guttman Hodes"/>
          <w:rtl/>
        </w:rPr>
        <w:fldChar w:fldCharType="end"/>
      </w:r>
      <w:r>
        <w:rPr>
          <w:rFonts w:hint="cs"/>
          <w:rtl/>
        </w:rPr>
        <w:t xml:space="preserve"> מפרה אדומה דרוב עדיף מחזקה, ומבואר דלא אמרינן סמוך מיעוטא לחזקה כנגד הרוב, עיי"ש במה שהאריך בזה.</w:t>
      </w:r>
    </w:p>
    <w:p w14:paraId="5FCE6F1C" w14:textId="77777777" w:rsidR="005E1F6B" w:rsidRPr="00A8612F" w:rsidRDefault="005E1F6B" w:rsidP="006D6D32">
      <w:pPr>
        <w:pStyle w:val="a3"/>
        <w:rPr>
          <w:rtl/>
        </w:rPr>
      </w:pPr>
      <w:bookmarkStart w:id="11440" w:name="_Toc531182490"/>
      <w:bookmarkStart w:id="11441" w:name="_Toc19390490"/>
      <w:bookmarkStart w:id="11442" w:name="_Toc19393987"/>
      <w:r>
        <w:rPr>
          <w:rFonts w:hint="cs"/>
          <w:rtl/>
        </w:rPr>
        <w:t>קושית המחנ"א על התוס' והרא"ש דבפרה אדומה מוכח דלא אמרינן סמוך מיעוטא לחזקה</w:t>
      </w:r>
      <w:bookmarkEnd w:id="11440"/>
      <w:bookmarkEnd w:id="11441"/>
      <w:bookmarkEnd w:id="11442"/>
    </w:p>
    <w:p w14:paraId="0D896FCC" w14:textId="77777777" w:rsidR="005E1F6B" w:rsidRDefault="005E1F6B" w:rsidP="00223668">
      <w:pPr>
        <w:pStyle w:val="a0"/>
        <w:rPr>
          <w:rtl/>
        </w:rPr>
      </w:pPr>
      <w:bookmarkStart w:id="11443" w:name="_Ref531170813"/>
      <w:r>
        <w:rPr>
          <w:rFonts w:hint="cs"/>
          <w:rtl/>
        </w:rPr>
        <w:t xml:space="preserve">וכן הקשה </w:t>
      </w:r>
      <w:r w:rsidRPr="00DA6935">
        <w:rPr>
          <w:rStyle w:val="af9"/>
          <w:rFonts w:hint="cs"/>
          <w:rtl/>
        </w:rPr>
        <w:t>המחנ"א</w:t>
      </w:r>
      <w:r>
        <w:rPr>
          <w:rFonts w:hint="cs"/>
          <w:rtl/>
        </w:rPr>
        <w:t xml:space="preserve"> </w:t>
      </w:r>
      <w:r w:rsidRPr="00D150A6">
        <w:rPr>
          <w:rStyle w:val="af7"/>
          <w:rFonts w:eastAsia="Guttman Hodes" w:hint="cs"/>
          <w:rtl/>
        </w:rPr>
        <w:t>(על הרמב"ם יבום וחליצה פ"ג הט"ז, נד' בסוף המחנ"א)</w:t>
      </w:r>
      <w:r>
        <w:rPr>
          <w:rFonts w:hint="cs"/>
          <w:rtl/>
        </w:rPr>
        <w:t xml:space="preserve"> על דברי </w:t>
      </w:r>
      <w:r w:rsidRPr="00DA6935">
        <w:rPr>
          <w:rStyle w:val="af9"/>
          <w:rFonts w:hint="cs"/>
          <w:rtl/>
        </w:rPr>
        <w:t>התוס' והרא"ש</w:t>
      </w:r>
      <w:r>
        <w:rPr>
          <w:rFonts w:hint="cs"/>
          <w:rtl/>
        </w:rPr>
        <w:t xml:space="preserve"> </w:t>
      </w:r>
      <w:r w:rsidRPr="00D150A6">
        <w:rPr>
          <w:rStyle w:val="af7"/>
          <w:rFonts w:eastAsia="Guttman Hodes" w:hint="cs"/>
          <w:rtl/>
        </w:rPr>
        <w:t xml:space="preserve">(עי' אות </w:t>
      </w:r>
      <w:r w:rsidRPr="00D150A6">
        <w:rPr>
          <w:rStyle w:val="af7"/>
          <w:rFonts w:eastAsia="Guttman Hodes"/>
          <w:rtl/>
        </w:rPr>
        <w:fldChar w:fldCharType="begin"/>
      </w:r>
      <w:r w:rsidRPr="00D150A6">
        <w:rPr>
          <w:rStyle w:val="af7"/>
          <w:rFonts w:eastAsia="Guttman Hodes"/>
          <w:rtl/>
        </w:rPr>
        <w:instrText xml:space="preserve"> </w:instrText>
      </w:r>
      <w:r w:rsidRPr="00D150A6">
        <w:rPr>
          <w:rStyle w:val="af7"/>
          <w:rFonts w:eastAsia="Guttman Hodes" w:hint="cs"/>
        </w:rPr>
        <w:instrText>REF</w:instrText>
      </w:r>
      <w:r w:rsidRPr="00D150A6">
        <w:rPr>
          <w:rStyle w:val="af7"/>
          <w:rFonts w:eastAsia="Guttman Hodes" w:hint="cs"/>
          <w:rtl/>
        </w:rPr>
        <w:instrText xml:space="preserve"> _</w:instrText>
      </w:r>
      <w:r w:rsidRPr="00D150A6">
        <w:rPr>
          <w:rStyle w:val="af7"/>
          <w:rFonts w:eastAsia="Guttman Hodes" w:hint="cs"/>
        </w:rPr>
        <w:instrText>Ref531121179 \r \h</w:instrText>
      </w:r>
      <w:r w:rsidRPr="00D150A6">
        <w:rPr>
          <w:rStyle w:val="af7"/>
          <w:rFonts w:eastAsia="Guttman Hodes"/>
          <w:rtl/>
        </w:rPr>
        <w:instrText xml:space="preserve"> </w:instrText>
      </w:r>
      <w:r w:rsidRPr="00D150A6">
        <w:rPr>
          <w:rStyle w:val="af7"/>
          <w:rFonts w:eastAsia="Guttman Hodes"/>
          <w:rtl/>
        </w:rPr>
      </w:r>
      <w:r w:rsidRPr="00D150A6">
        <w:rPr>
          <w:rStyle w:val="af7"/>
          <w:rFonts w:eastAsia="Guttman Hodes"/>
          <w:rtl/>
        </w:rPr>
        <w:fldChar w:fldCharType="separate"/>
      </w:r>
      <w:r w:rsidR="00345400">
        <w:rPr>
          <w:rStyle w:val="af7"/>
          <w:rFonts w:eastAsia="Guttman Hodes"/>
          <w:cs/>
        </w:rPr>
        <w:t>‎</w:t>
      </w:r>
      <w:r w:rsidR="00345400">
        <w:rPr>
          <w:rStyle w:val="af7"/>
          <w:rFonts w:eastAsia="Guttman Hodes"/>
          <w:rtl/>
        </w:rPr>
        <w:t>מו)</w:t>
      </w:r>
      <w:r w:rsidRPr="00D150A6">
        <w:rPr>
          <w:rStyle w:val="af7"/>
          <w:rFonts w:eastAsia="Guttman Hodes"/>
          <w:rtl/>
        </w:rPr>
        <w:fldChar w:fldCharType="end"/>
      </w:r>
      <w:r>
        <w:rPr>
          <w:rFonts w:hint="cs"/>
          <w:rtl/>
        </w:rPr>
        <w:t xml:space="preserve"> דלדעת רבנן חיישינן למיעוטא כשהחזקה מסייעת למיעוט, דבפרה אדומה מוכח דאזלינן בתר רובא, אף כשיש חזקה שמסייעת למיעוט [כדברי </w:t>
      </w:r>
      <w:r w:rsidRPr="00DA6935">
        <w:rPr>
          <w:rStyle w:val="af9"/>
          <w:rFonts w:hint="cs"/>
          <w:rtl/>
        </w:rPr>
        <w:t>רבינו חיים</w:t>
      </w:r>
      <w:r>
        <w:rPr>
          <w:rFonts w:hint="cs"/>
          <w:rtl/>
        </w:rPr>
        <w:t xml:space="preserve"> </w:t>
      </w:r>
      <w:r w:rsidRPr="00DA6935">
        <w:rPr>
          <w:rStyle w:val="af9"/>
          <w:rFonts w:hint="cs"/>
          <w:rtl/>
        </w:rPr>
        <w:t>בתוס'</w:t>
      </w:r>
      <w:r>
        <w:rPr>
          <w:rFonts w:hint="cs"/>
          <w:rtl/>
        </w:rPr>
        <w:t xml:space="preserve"> </w:t>
      </w:r>
      <w:r w:rsidRPr="00D150A6">
        <w:rPr>
          <w:rStyle w:val="af7"/>
          <w:rFonts w:eastAsia="Guttman Hodes" w:hint="cs"/>
          <w:rtl/>
        </w:rPr>
        <w:t xml:space="preserve">(עי' אות </w:t>
      </w:r>
      <w:r w:rsidRPr="00D150A6">
        <w:rPr>
          <w:rStyle w:val="af7"/>
          <w:rFonts w:eastAsia="Guttman Hodes"/>
          <w:rtl/>
        </w:rPr>
        <w:fldChar w:fldCharType="begin"/>
      </w:r>
      <w:r w:rsidRPr="00D150A6">
        <w:rPr>
          <w:rStyle w:val="af7"/>
          <w:rFonts w:eastAsia="Guttman Hodes"/>
          <w:rtl/>
        </w:rPr>
        <w:instrText xml:space="preserve"> </w:instrText>
      </w:r>
      <w:r w:rsidRPr="00D150A6">
        <w:rPr>
          <w:rStyle w:val="af7"/>
          <w:rFonts w:eastAsia="Guttman Hodes" w:hint="cs"/>
        </w:rPr>
        <w:instrText>REF</w:instrText>
      </w:r>
      <w:r w:rsidRPr="00D150A6">
        <w:rPr>
          <w:rStyle w:val="af7"/>
          <w:rFonts w:eastAsia="Guttman Hodes" w:hint="cs"/>
          <w:rtl/>
        </w:rPr>
        <w:instrText xml:space="preserve"> _</w:instrText>
      </w:r>
      <w:r w:rsidRPr="00D150A6">
        <w:rPr>
          <w:rStyle w:val="af7"/>
          <w:rFonts w:eastAsia="Guttman Hodes" w:hint="cs"/>
        </w:rPr>
        <w:instrText>Ref528171682 \r \h</w:instrText>
      </w:r>
      <w:r w:rsidRPr="00D150A6">
        <w:rPr>
          <w:rStyle w:val="af7"/>
          <w:rFonts w:eastAsia="Guttman Hodes"/>
          <w:rtl/>
        </w:rPr>
        <w:instrText xml:space="preserve"> </w:instrText>
      </w:r>
      <w:r w:rsidRPr="00D150A6">
        <w:rPr>
          <w:rStyle w:val="af7"/>
          <w:rFonts w:eastAsia="Guttman Hodes"/>
          <w:rtl/>
        </w:rPr>
      </w:r>
      <w:r w:rsidRPr="00D150A6">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D150A6">
        <w:rPr>
          <w:rStyle w:val="af7"/>
          <w:rFonts w:eastAsia="Guttman Hodes"/>
          <w:rtl/>
        </w:rPr>
        <w:fldChar w:fldCharType="end"/>
      </w:r>
      <w:r>
        <w:rPr>
          <w:rFonts w:hint="cs"/>
          <w:rtl/>
        </w:rPr>
        <w:t xml:space="preserve">], וכן מוכח מרוב מצויין אצל שחיטה מומחין הן [עי' </w:t>
      </w:r>
      <w:r w:rsidRPr="00DA6935">
        <w:rPr>
          <w:rStyle w:val="af9"/>
          <w:rFonts w:hint="cs"/>
          <w:rtl/>
        </w:rPr>
        <w:t>ברא"ה בבד"ה</w:t>
      </w:r>
      <w:r>
        <w:rPr>
          <w:rFonts w:hint="cs"/>
          <w:rtl/>
        </w:rPr>
        <w:t xml:space="preserve"> </w:t>
      </w:r>
      <w:r w:rsidRPr="00D150A6">
        <w:rPr>
          <w:rStyle w:val="af7"/>
          <w:rFonts w:eastAsia="Guttman Hodes" w:hint="cs"/>
          <w:rtl/>
        </w:rPr>
        <w:t xml:space="preserve">(עי' אות </w:t>
      </w:r>
      <w:r w:rsidRPr="00D150A6">
        <w:rPr>
          <w:rStyle w:val="af7"/>
          <w:rFonts w:eastAsia="Guttman Hodes"/>
          <w:rtl/>
        </w:rPr>
        <w:fldChar w:fldCharType="begin"/>
      </w:r>
      <w:r w:rsidRPr="00D150A6">
        <w:rPr>
          <w:rStyle w:val="af7"/>
          <w:rFonts w:eastAsia="Guttman Hodes"/>
          <w:rtl/>
        </w:rPr>
        <w:instrText xml:space="preserve"> </w:instrText>
      </w:r>
      <w:r w:rsidRPr="00D150A6">
        <w:rPr>
          <w:rStyle w:val="af7"/>
          <w:rFonts w:eastAsia="Guttman Hodes" w:hint="cs"/>
        </w:rPr>
        <w:instrText>REF</w:instrText>
      </w:r>
      <w:r w:rsidRPr="00D150A6">
        <w:rPr>
          <w:rStyle w:val="af7"/>
          <w:rFonts w:eastAsia="Guttman Hodes" w:hint="cs"/>
          <w:rtl/>
        </w:rPr>
        <w:instrText xml:space="preserve"> _</w:instrText>
      </w:r>
      <w:r w:rsidRPr="00D150A6">
        <w:rPr>
          <w:rStyle w:val="af7"/>
          <w:rFonts w:eastAsia="Guttman Hodes" w:hint="cs"/>
        </w:rPr>
        <w:instrText>Ref531034260 \r \h</w:instrText>
      </w:r>
      <w:r w:rsidRPr="00D150A6">
        <w:rPr>
          <w:rStyle w:val="af7"/>
          <w:rFonts w:eastAsia="Guttman Hodes"/>
          <w:rtl/>
        </w:rPr>
        <w:instrText xml:space="preserve"> </w:instrText>
      </w:r>
      <w:r w:rsidRPr="00D150A6">
        <w:rPr>
          <w:rStyle w:val="af7"/>
          <w:rFonts w:eastAsia="Guttman Hodes"/>
          <w:rtl/>
        </w:rPr>
      </w:r>
      <w:r w:rsidRPr="00D150A6">
        <w:rPr>
          <w:rStyle w:val="af7"/>
          <w:rFonts w:eastAsia="Guttman Hodes"/>
          <w:rtl/>
        </w:rPr>
        <w:fldChar w:fldCharType="separate"/>
      </w:r>
      <w:r w:rsidR="00345400">
        <w:rPr>
          <w:rStyle w:val="af7"/>
          <w:rFonts w:eastAsia="Guttman Hodes"/>
          <w:cs/>
        </w:rPr>
        <w:t>‎</w:t>
      </w:r>
      <w:r w:rsidR="00345400">
        <w:rPr>
          <w:rStyle w:val="af7"/>
          <w:rFonts w:eastAsia="Guttman Hodes"/>
          <w:rtl/>
        </w:rPr>
        <w:t>עז)</w:t>
      </w:r>
      <w:r w:rsidRPr="00D150A6">
        <w:rPr>
          <w:rStyle w:val="af7"/>
          <w:rFonts w:eastAsia="Guttman Hodes"/>
          <w:rtl/>
        </w:rPr>
        <w:fldChar w:fldCharType="end"/>
      </w:r>
      <w:r>
        <w:rPr>
          <w:rFonts w:hint="cs"/>
          <w:rtl/>
        </w:rPr>
        <w:t xml:space="preserve"> </w:t>
      </w:r>
      <w:r w:rsidRPr="00DA6935">
        <w:rPr>
          <w:rStyle w:val="af9"/>
          <w:rFonts w:hint="cs"/>
          <w:rtl/>
        </w:rPr>
        <w:t>וברשב"א במשה"ב</w:t>
      </w:r>
      <w:r>
        <w:rPr>
          <w:rFonts w:hint="cs"/>
          <w:rtl/>
        </w:rPr>
        <w:t xml:space="preserve"> </w:t>
      </w:r>
      <w:r w:rsidRPr="00D150A6">
        <w:rPr>
          <w:rStyle w:val="af7"/>
          <w:rFonts w:eastAsia="Guttman Hodes" w:hint="cs"/>
          <w:rtl/>
        </w:rPr>
        <w:t xml:space="preserve">(עי' אות </w:t>
      </w:r>
      <w:r w:rsidRPr="00D150A6">
        <w:rPr>
          <w:rStyle w:val="af7"/>
          <w:rFonts w:eastAsia="Guttman Hodes"/>
          <w:rtl/>
        </w:rPr>
        <w:fldChar w:fldCharType="begin"/>
      </w:r>
      <w:r w:rsidRPr="00D150A6">
        <w:rPr>
          <w:rStyle w:val="af7"/>
          <w:rFonts w:eastAsia="Guttman Hodes"/>
          <w:rtl/>
        </w:rPr>
        <w:instrText xml:space="preserve"> </w:instrText>
      </w:r>
      <w:r w:rsidRPr="00D150A6">
        <w:rPr>
          <w:rStyle w:val="af7"/>
          <w:rFonts w:eastAsia="Guttman Hodes" w:hint="cs"/>
        </w:rPr>
        <w:instrText>REF</w:instrText>
      </w:r>
      <w:r w:rsidRPr="00D150A6">
        <w:rPr>
          <w:rStyle w:val="af7"/>
          <w:rFonts w:eastAsia="Guttman Hodes" w:hint="cs"/>
          <w:rtl/>
        </w:rPr>
        <w:instrText xml:space="preserve"> _</w:instrText>
      </w:r>
      <w:r w:rsidRPr="00D150A6">
        <w:rPr>
          <w:rStyle w:val="af7"/>
          <w:rFonts w:eastAsia="Guttman Hodes" w:hint="cs"/>
        </w:rPr>
        <w:instrText>Ref531171830 \r \h</w:instrText>
      </w:r>
      <w:r w:rsidRPr="00D150A6">
        <w:rPr>
          <w:rStyle w:val="af7"/>
          <w:rFonts w:eastAsia="Guttman Hodes"/>
          <w:rtl/>
        </w:rPr>
        <w:instrText xml:space="preserve"> </w:instrText>
      </w:r>
      <w:r w:rsidRPr="00D150A6">
        <w:rPr>
          <w:rStyle w:val="af7"/>
          <w:rFonts w:eastAsia="Guttman Hodes"/>
          <w:rtl/>
        </w:rPr>
      </w:r>
      <w:r w:rsidRPr="00D150A6">
        <w:rPr>
          <w:rStyle w:val="af7"/>
          <w:rFonts w:eastAsia="Guttman Hodes"/>
          <w:rtl/>
        </w:rPr>
        <w:fldChar w:fldCharType="separate"/>
      </w:r>
      <w:r w:rsidR="00345400">
        <w:rPr>
          <w:rStyle w:val="af7"/>
          <w:rFonts w:eastAsia="Guttman Hodes"/>
          <w:cs/>
        </w:rPr>
        <w:t>‎</w:t>
      </w:r>
      <w:r w:rsidR="00345400">
        <w:rPr>
          <w:rStyle w:val="af7"/>
          <w:rFonts w:eastAsia="Guttman Hodes"/>
          <w:rtl/>
        </w:rPr>
        <w:t>עט)</w:t>
      </w:r>
      <w:r w:rsidRPr="00D150A6">
        <w:rPr>
          <w:rStyle w:val="af7"/>
          <w:rFonts w:eastAsia="Guttman Hodes"/>
          <w:rtl/>
        </w:rPr>
        <w:fldChar w:fldCharType="end"/>
      </w:r>
      <w:r>
        <w:rPr>
          <w:rFonts w:hint="cs"/>
          <w:rtl/>
        </w:rPr>
        <w:t>].</w:t>
      </w:r>
      <w:bookmarkEnd w:id="11443"/>
    </w:p>
    <w:p w14:paraId="6C92AACA" w14:textId="77777777" w:rsidR="005E1F6B" w:rsidRDefault="005E1F6B" w:rsidP="006D6D32">
      <w:pPr>
        <w:pStyle w:val="a3"/>
        <w:rPr>
          <w:rtl/>
        </w:rPr>
      </w:pPr>
      <w:bookmarkStart w:id="11444" w:name="_Toc531182491"/>
      <w:bookmarkStart w:id="11445" w:name="_Toc19390491"/>
      <w:bookmarkStart w:id="11446" w:name="_Toc19393988"/>
      <w:r>
        <w:rPr>
          <w:rFonts w:hint="cs"/>
          <w:rtl/>
        </w:rPr>
        <w:t>תירוץ המחנ"א דרק כשהחזקה והמיעוט בגוף אחד אמרינן סמוך מיעוטא לחזקה</w:t>
      </w:r>
      <w:bookmarkEnd w:id="11444"/>
      <w:bookmarkEnd w:id="11445"/>
      <w:bookmarkEnd w:id="11446"/>
    </w:p>
    <w:p w14:paraId="51AF04BD" w14:textId="77777777" w:rsidR="005E1F6B" w:rsidRDefault="005E1F6B" w:rsidP="00223668">
      <w:pPr>
        <w:pStyle w:val="a0"/>
        <w:rPr>
          <w:rtl/>
        </w:rPr>
      </w:pPr>
      <w:r>
        <w:rPr>
          <w:rFonts w:hint="cs"/>
          <w:rtl/>
        </w:rPr>
        <w:t xml:space="preserve">ותירץ </w:t>
      </w:r>
      <w:r w:rsidRPr="00DA6935">
        <w:rPr>
          <w:rStyle w:val="af9"/>
          <w:rFonts w:hint="cs"/>
          <w:rtl/>
        </w:rPr>
        <w:t>המחנ"א</w:t>
      </w:r>
      <w:r>
        <w:rPr>
          <w:rFonts w:hint="cs"/>
          <w:rtl/>
        </w:rPr>
        <w:t xml:space="preserve"> דאמרינן סמוך מיעוטא לחזקה לדעת רבנן היינו כשהמיעוט והחזקה הם בגוף אחד, כמו בגמ' ביבמות </w:t>
      </w:r>
      <w:r w:rsidRPr="00D150A6">
        <w:rPr>
          <w:rStyle w:val="af7"/>
          <w:rFonts w:eastAsia="Guttman Hodes" w:hint="cs"/>
          <w:rtl/>
        </w:rPr>
        <w:t>(קיט.)</w:t>
      </w:r>
      <w:r>
        <w:rPr>
          <w:rFonts w:hint="cs"/>
          <w:rtl/>
        </w:rPr>
        <w:t xml:space="preserve"> דהחזקה סותרת את הרוב לגמרי, אבל בפרה אדומה וברוב מצויים אצל שחיטה, הרוב אינו סותר את עצם החזקה, דהוא בגוף אחר, ולא לא אמרינן ביה סמוך מיעוטא לחזקה.</w:t>
      </w:r>
    </w:p>
    <w:p w14:paraId="42559C27" w14:textId="77777777" w:rsidR="005E1F6B" w:rsidRPr="006D7824" w:rsidRDefault="005E1F6B" w:rsidP="006D6D32">
      <w:pPr>
        <w:pStyle w:val="a3"/>
        <w:rPr>
          <w:rtl/>
        </w:rPr>
      </w:pPr>
      <w:bookmarkStart w:id="11447" w:name="_Toc531182492"/>
      <w:bookmarkStart w:id="11448" w:name="_Toc19390492"/>
      <w:bookmarkStart w:id="11449" w:name="_Toc19393989"/>
      <w:r>
        <w:rPr>
          <w:rFonts w:hint="cs"/>
          <w:rtl/>
        </w:rPr>
        <w:t>תירוץ השעה"מ דבתוס' בבכורות מוכח דרק מדרבנן אמרינן סמוך מיעוטא לחזקה</w:t>
      </w:r>
      <w:bookmarkEnd w:id="11447"/>
      <w:bookmarkEnd w:id="11448"/>
      <w:bookmarkEnd w:id="11449"/>
    </w:p>
    <w:p w14:paraId="695467AC" w14:textId="77777777" w:rsidR="00937771" w:rsidRDefault="005E1F6B" w:rsidP="00223668">
      <w:pPr>
        <w:pStyle w:val="a0"/>
        <w:rPr>
          <w:rtl/>
        </w:rPr>
      </w:pPr>
      <w:r>
        <w:rPr>
          <w:rStyle w:val="af9"/>
          <w:rFonts w:hint="cs"/>
          <w:rtl/>
        </w:rPr>
        <w:t>ו</w:t>
      </w:r>
      <w:r w:rsidRPr="006D7824">
        <w:rPr>
          <w:rStyle w:val="af9"/>
          <w:rFonts w:hint="cs"/>
          <w:rtl/>
        </w:rPr>
        <w:t xml:space="preserve">השעה"מ </w:t>
      </w:r>
      <w:r w:rsidRPr="00907CF6">
        <w:rPr>
          <w:rStyle w:val="af7"/>
          <w:rFonts w:eastAsia="Guttman Hodes" w:hint="cs"/>
          <w:rtl/>
        </w:rPr>
        <w:t>(יבום וחליצה פ"ג הט"ז ד</w:t>
      </w:r>
      <w:r w:rsidRPr="00907CF6">
        <w:rPr>
          <w:rStyle w:val="af7"/>
          <w:rFonts w:eastAsia="Guttman Hodes"/>
          <w:rtl/>
        </w:rPr>
        <w:t>"</w:t>
      </w:r>
      <w:r w:rsidRPr="00907CF6">
        <w:rPr>
          <w:rStyle w:val="af7"/>
          <w:rFonts w:eastAsia="Guttman Hodes" w:hint="cs"/>
          <w:rtl/>
        </w:rPr>
        <w:t>ה האמנם הדבר הקשה)</w:t>
      </w:r>
      <w:r>
        <w:rPr>
          <w:rFonts w:hint="cs"/>
          <w:rtl/>
        </w:rPr>
        <w:t xml:space="preserve"> תירץ דמבואר להדיא </w:t>
      </w:r>
      <w:r w:rsidRPr="006D7824">
        <w:rPr>
          <w:rStyle w:val="af9"/>
          <w:rFonts w:hint="cs"/>
          <w:rtl/>
        </w:rPr>
        <w:t>בתוס' בבכורות</w:t>
      </w:r>
      <w:r>
        <w:rPr>
          <w:rFonts w:hint="cs"/>
          <w:rtl/>
        </w:rPr>
        <w:t xml:space="preserve"> </w:t>
      </w:r>
      <w:r w:rsidRPr="00907CF6">
        <w:rPr>
          <w:rStyle w:val="af7"/>
          <w:rFonts w:eastAsia="Guttman Hodes" w:hint="cs"/>
          <w:rtl/>
        </w:rPr>
        <w:t xml:space="preserve">(עי' אות </w:t>
      </w:r>
      <w:r w:rsidRPr="00907CF6">
        <w:rPr>
          <w:rStyle w:val="af7"/>
          <w:rFonts w:eastAsia="Guttman Hodes"/>
          <w:rtl/>
        </w:rPr>
        <w:fldChar w:fldCharType="begin"/>
      </w:r>
      <w:r w:rsidRPr="00907CF6">
        <w:rPr>
          <w:rStyle w:val="af7"/>
          <w:rFonts w:eastAsia="Guttman Hodes"/>
          <w:rtl/>
        </w:rPr>
        <w:instrText xml:space="preserve"> </w:instrText>
      </w:r>
      <w:r w:rsidRPr="00907CF6">
        <w:rPr>
          <w:rStyle w:val="af7"/>
          <w:rFonts w:eastAsia="Guttman Hodes" w:hint="cs"/>
        </w:rPr>
        <w:instrText>REF</w:instrText>
      </w:r>
      <w:r w:rsidRPr="00907CF6">
        <w:rPr>
          <w:rStyle w:val="af7"/>
          <w:rFonts w:eastAsia="Guttman Hodes" w:hint="cs"/>
          <w:rtl/>
        </w:rPr>
        <w:instrText xml:space="preserve"> _</w:instrText>
      </w:r>
      <w:r w:rsidRPr="00907CF6">
        <w:rPr>
          <w:rStyle w:val="af7"/>
          <w:rFonts w:eastAsia="Guttman Hodes" w:hint="cs"/>
        </w:rPr>
        <w:instrText>Ref531121179 \r \h</w:instrText>
      </w:r>
      <w:r w:rsidRPr="00907CF6">
        <w:rPr>
          <w:rStyle w:val="af7"/>
          <w:rFonts w:eastAsia="Guttman Hodes"/>
          <w:rtl/>
        </w:rPr>
        <w:instrText xml:space="preserve"> </w:instrText>
      </w:r>
      <w:r w:rsidRPr="00907CF6">
        <w:rPr>
          <w:rStyle w:val="af7"/>
          <w:rFonts w:eastAsia="Guttman Hodes"/>
          <w:rtl/>
        </w:rPr>
      </w:r>
      <w:r w:rsidRPr="00907CF6">
        <w:rPr>
          <w:rStyle w:val="af7"/>
          <w:rFonts w:eastAsia="Guttman Hodes"/>
          <w:rtl/>
        </w:rPr>
        <w:fldChar w:fldCharType="separate"/>
      </w:r>
      <w:r w:rsidR="00345400">
        <w:rPr>
          <w:rStyle w:val="af7"/>
          <w:rFonts w:eastAsia="Guttman Hodes"/>
          <w:cs/>
        </w:rPr>
        <w:t>‎</w:t>
      </w:r>
      <w:r w:rsidR="00345400">
        <w:rPr>
          <w:rStyle w:val="af7"/>
          <w:rFonts w:eastAsia="Guttman Hodes"/>
          <w:rtl/>
        </w:rPr>
        <w:t>מו)</w:t>
      </w:r>
      <w:r w:rsidRPr="00907CF6">
        <w:rPr>
          <w:rStyle w:val="af7"/>
          <w:rFonts w:eastAsia="Guttman Hodes"/>
          <w:rtl/>
        </w:rPr>
        <w:fldChar w:fldCharType="end"/>
      </w:r>
      <w:r>
        <w:rPr>
          <w:rFonts w:hint="cs"/>
          <w:rtl/>
        </w:rPr>
        <w:t xml:space="preserve"> דרק מדרבנן אמרינן סמוך מיעוטא לחזקה</w:t>
      </w:r>
      <w:r w:rsidRPr="00DA6935">
        <w:rPr>
          <w:rFonts w:hint="cs"/>
          <w:rtl/>
        </w:rPr>
        <w:t xml:space="preserve"> </w:t>
      </w:r>
      <w:r>
        <w:rPr>
          <w:rFonts w:hint="cs"/>
          <w:rtl/>
        </w:rPr>
        <w:t>לחומרא, וא"א להקשות מפרה אדומה דמדאו' אזלינן בתר רובא לגמרי</w:t>
      </w:r>
      <w:r>
        <w:rPr>
          <w:rStyle w:val="af1"/>
          <w:rtl/>
        </w:rPr>
        <w:footnoteReference w:id="82"/>
      </w:r>
      <w:r>
        <w:rPr>
          <w:rFonts w:hint="cs"/>
          <w:rtl/>
        </w:rPr>
        <w:t>.</w:t>
      </w:r>
    </w:p>
    <w:p w14:paraId="661A13B7" w14:textId="77777777" w:rsidR="00721BEC" w:rsidRPr="00721BEC" w:rsidRDefault="00721BEC" w:rsidP="00721BEC">
      <w:pPr>
        <w:pStyle w:val="a3"/>
        <w:rPr>
          <w:rtl/>
        </w:rPr>
      </w:pPr>
    </w:p>
    <w:p w14:paraId="11733258" w14:textId="77777777" w:rsidR="00721BEC" w:rsidRPr="00721BEC" w:rsidRDefault="00721BEC" w:rsidP="00721BEC">
      <w:pPr>
        <w:pStyle w:val="a3"/>
        <w:rPr>
          <w:rtl/>
        </w:rPr>
      </w:pPr>
    </w:p>
    <w:p w14:paraId="0B5F0BCD" w14:textId="77777777" w:rsidR="005E1F6B" w:rsidRDefault="005E1F6B" w:rsidP="00BF39B2">
      <w:pPr>
        <w:pStyle w:val="1"/>
        <w:rPr>
          <w:rtl/>
        </w:rPr>
      </w:pPr>
      <w:bookmarkStart w:id="11450" w:name="_Toc531182493"/>
      <w:bookmarkStart w:id="11451" w:name="_Toc19390493"/>
      <w:bookmarkStart w:id="11452" w:name="_Toc19393990"/>
      <w:r>
        <w:rPr>
          <w:rFonts w:hint="cs"/>
          <w:rtl/>
        </w:rPr>
        <w:t>דברי המהרש"א והגרע"א אי במיעוט דלא שכיח אמרינן סמל"ח</w:t>
      </w:r>
      <w:bookmarkEnd w:id="11450"/>
      <w:bookmarkEnd w:id="11451"/>
      <w:bookmarkEnd w:id="11452"/>
    </w:p>
    <w:p w14:paraId="585462EE" w14:textId="77777777" w:rsidR="005E1F6B" w:rsidRPr="00C33A36" w:rsidRDefault="005E1F6B" w:rsidP="006D6D32">
      <w:pPr>
        <w:pStyle w:val="a3"/>
      </w:pPr>
      <w:bookmarkStart w:id="11453" w:name="_Toc531182494"/>
      <w:bookmarkStart w:id="11454" w:name="_Toc19390494"/>
      <w:bookmarkStart w:id="11455" w:name="_Toc19393991"/>
      <w:r>
        <w:rPr>
          <w:rFonts w:hint="cs"/>
          <w:rtl/>
        </w:rPr>
        <w:t>התירוץ הב' במהרש"א דבמיעוט דלא שכיח</w:t>
      </w:r>
      <w:bookmarkEnd w:id="11427"/>
      <w:bookmarkEnd w:id="11428"/>
      <w:bookmarkEnd w:id="11429"/>
      <w:bookmarkEnd w:id="11430"/>
      <w:r>
        <w:rPr>
          <w:rFonts w:hint="cs"/>
          <w:rtl/>
        </w:rPr>
        <w:t xml:space="preserve"> לא אמרינן סמוך מיעוטא לחזקה</w:t>
      </w:r>
      <w:bookmarkEnd w:id="11453"/>
      <w:bookmarkEnd w:id="11454"/>
      <w:bookmarkEnd w:id="11455"/>
    </w:p>
    <w:p w14:paraId="38642BCA" w14:textId="77777777" w:rsidR="005E1F6B" w:rsidRDefault="005E1F6B" w:rsidP="00223668">
      <w:pPr>
        <w:pStyle w:val="a0"/>
        <w:rPr>
          <w:rtl/>
        </w:rPr>
      </w:pPr>
      <w:bookmarkStart w:id="11456" w:name="_Ref530932471"/>
      <w:r w:rsidRPr="00093DA6">
        <w:rPr>
          <w:rFonts w:hint="cs"/>
          <w:rtl/>
        </w:rPr>
        <w:t xml:space="preserve">עוד תירץ </w:t>
      </w:r>
      <w:r w:rsidRPr="00093DA6">
        <w:rPr>
          <w:rStyle w:val="af9"/>
          <w:rFonts w:hint="cs"/>
          <w:rtl/>
        </w:rPr>
        <w:t xml:space="preserve">המהרש"א </w:t>
      </w:r>
      <w:r w:rsidRPr="002A542D">
        <w:rPr>
          <w:rStyle w:val="af7"/>
          <w:rFonts w:eastAsia="Guttman Hodes" w:hint="cs"/>
          <w:rtl/>
        </w:rPr>
        <w:t>(</w:t>
      </w:r>
      <w:r>
        <w:rPr>
          <w:rStyle w:val="af7"/>
          <w:rFonts w:eastAsia="Guttman Hodes" w:hint="cs"/>
          <w:rtl/>
        </w:rPr>
        <w:t xml:space="preserve">יא. </w:t>
      </w:r>
      <w:r w:rsidRPr="002A542D">
        <w:rPr>
          <w:rStyle w:val="af7"/>
          <w:rFonts w:eastAsia="Guttman Hodes" w:hint="cs"/>
          <w:rtl/>
        </w:rPr>
        <w:t xml:space="preserve">ד"ה בא"ד אלא) </w:t>
      </w:r>
      <w:r>
        <w:rPr>
          <w:rFonts w:hint="cs"/>
          <w:rtl/>
        </w:rPr>
        <w:t xml:space="preserve">את קושייתו </w:t>
      </w:r>
      <w:r w:rsidRPr="001D3647">
        <w:rPr>
          <w:rStyle w:val="af7"/>
          <w:rFonts w:eastAsia="Guttman Hodes" w:hint="cs"/>
          <w:rtl/>
        </w:rPr>
        <w:t xml:space="preserve">(עי' אות </w:t>
      </w:r>
      <w:r w:rsidRPr="001D3647">
        <w:rPr>
          <w:rStyle w:val="af7"/>
          <w:rFonts w:eastAsia="Guttman Hodes"/>
          <w:rtl/>
        </w:rPr>
        <w:fldChar w:fldCharType="begin"/>
      </w:r>
      <w:r w:rsidRPr="001D3647">
        <w:rPr>
          <w:rStyle w:val="af7"/>
          <w:rFonts w:eastAsia="Guttman Hodes"/>
          <w:rtl/>
        </w:rPr>
        <w:instrText xml:space="preserve"> </w:instrText>
      </w:r>
      <w:r w:rsidRPr="001D3647">
        <w:rPr>
          <w:rStyle w:val="af7"/>
          <w:rFonts w:eastAsia="Guttman Hodes" w:hint="cs"/>
        </w:rPr>
        <w:instrText>REF</w:instrText>
      </w:r>
      <w:r w:rsidRPr="001D3647">
        <w:rPr>
          <w:rStyle w:val="af7"/>
          <w:rFonts w:eastAsia="Guttman Hodes" w:hint="cs"/>
          <w:rtl/>
        </w:rPr>
        <w:instrText xml:space="preserve"> _</w:instrText>
      </w:r>
      <w:r w:rsidRPr="001D3647">
        <w:rPr>
          <w:rStyle w:val="af7"/>
          <w:rFonts w:eastAsia="Guttman Hodes" w:hint="cs"/>
        </w:rPr>
        <w:instrText>Ref531166673 \r \h</w:instrText>
      </w:r>
      <w:r w:rsidRPr="001D3647">
        <w:rPr>
          <w:rStyle w:val="af7"/>
          <w:rFonts w:eastAsia="Guttman Hodes"/>
          <w:rtl/>
        </w:rPr>
        <w:instrText xml:space="preserve"> </w:instrText>
      </w:r>
      <w:r w:rsidRPr="001D3647">
        <w:rPr>
          <w:rStyle w:val="af7"/>
          <w:rFonts w:eastAsia="Guttman Hodes"/>
          <w:rtl/>
        </w:rPr>
      </w:r>
      <w:r w:rsidRPr="001D3647">
        <w:rPr>
          <w:rStyle w:val="af7"/>
          <w:rFonts w:eastAsia="Guttman Hodes"/>
          <w:rtl/>
        </w:rPr>
        <w:fldChar w:fldCharType="separate"/>
      </w:r>
      <w:r w:rsidR="00345400">
        <w:rPr>
          <w:rStyle w:val="af7"/>
          <w:rFonts w:eastAsia="Guttman Hodes"/>
          <w:cs/>
        </w:rPr>
        <w:t>‎</w:t>
      </w:r>
      <w:r w:rsidR="00345400">
        <w:rPr>
          <w:rStyle w:val="af7"/>
          <w:rFonts w:eastAsia="Guttman Hodes"/>
          <w:rtl/>
        </w:rPr>
        <w:t>מט)</w:t>
      </w:r>
      <w:r w:rsidRPr="001D3647">
        <w:rPr>
          <w:rStyle w:val="af7"/>
          <w:rFonts w:eastAsia="Guttman Hodes"/>
          <w:rtl/>
        </w:rPr>
        <w:fldChar w:fldCharType="end"/>
      </w:r>
      <w:r>
        <w:rPr>
          <w:rFonts w:hint="cs"/>
          <w:rtl/>
        </w:rPr>
        <w:t xml:space="preserve"> על דברי </w:t>
      </w:r>
      <w:r w:rsidRPr="00925000">
        <w:rPr>
          <w:rStyle w:val="af9"/>
          <w:rFonts w:hint="cs"/>
          <w:rtl/>
        </w:rPr>
        <w:t>רבינו חיים</w:t>
      </w:r>
      <w:r>
        <w:rPr>
          <w:rFonts w:hint="cs"/>
          <w:rtl/>
        </w:rPr>
        <w:t xml:space="preserve"> דהא דאמרינן סמוך מיעוטא לחזקה היינו דוקא במיעוט שהוא שכיח, אבל במיעוט שלא שכיח לא חיישינן ליה כלל כמ"ש </w:t>
      </w:r>
      <w:r w:rsidRPr="00C33A36">
        <w:rPr>
          <w:rStyle w:val="af9"/>
          <w:rFonts w:hint="cs"/>
          <w:rtl/>
        </w:rPr>
        <w:t>הרא"</w:t>
      </w:r>
      <w:r w:rsidRPr="00093DA6">
        <w:rPr>
          <w:rStyle w:val="af9"/>
          <w:rFonts w:hint="cs"/>
          <w:rtl/>
        </w:rPr>
        <w:t xml:space="preserve">ש </w:t>
      </w:r>
      <w:r>
        <w:rPr>
          <w:rStyle w:val="af7"/>
          <w:rFonts w:eastAsia="Guttman Hodes" w:hint="cs"/>
          <w:rtl/>
        </w:rPr>
        <w:t xml:space="preserve">(עי' </w:t>
      </w:r>
      <w:r w:rsidRPr="0002016E">
        <w:rPr>
          <w:rStyle w:val="af7"/>
          <w:rFonts w:eastAsia="Guttman Hodes" w:hint="cs"/>
          <w:rtl/>
        </w:rPr>
        <w:t xml:space="preserve">אות </w:t>
      </w:r>
      <w:r w:rsidRPr="0002016E">
        <w:rPr>
          <w:rStyle w:val="af7"/>
          <w:rFonts w:eastAsia="Guttman Hodes"/>
          <w:rtl/>
        </w:rPr>
        <w:fldChar w:fldCharType="begin"/>
      </w:r>
      <w:r w:rsidRPr="0002016E">
        <w:rPr>
          <w:rStyle w:val="af7"/>
          <w:rFonts w:eastAsia="Guttman Hodes"/>
          <w:rtl/>
        </w:rPr>
        <w:instrText xml:space="preserve"> </w:instrText>
      </w:r>
      <w:r w:rsidRPr="0002016E">
        <w:rPr>
          <w:rStyle w:val="af7"/>
          <w:rFonts w:eastAsia="Guttman Hodes" w:hint="cs"/>
        </w:rPr>
        <w:instrText>REF</w:instrText>
      </w:r>
      <w:r w:rsidRPr="0002016E">
        <w:rPr>
          <w:rStyle w:val="af7"/>
          <w:rFonts w:eastAsia="Guttman Hodes" w:hint="cs"/>
          <w:rtl/>
        </w:rPr>
        <w:instrText xml:space="preserve"> _</w:instrText>
      </w:r>
      <w:r w:rsidRPr="0002016E">
        <w:rPr>
          <w:rStyle w:val="af7"/>
          <w:rFonts w:eastAsia="Guttman Hodes" w:hint="cs"/>
        </w:rPr>
        <w:instrText>Ref530908088 \r \h</w:instrText>
      </w:r>
      <w:r w:rsidRPr="0002016E">
        <w:rPr>
          <w:rStyle w:val="af7"/>
          <w:rFonts w:eastAsia="Guttman Hodes"/>
          <w:rtl/>
        </w:rPr>
        <w:instrText xml:space="preserve"> </w:instrText>
      </w:r>
      <w:r w:rsidRPr="0002016E">
        <w:rPr>
          <w:rStyle w:val="af7"/>
          <w:rFonts w:eastAsia="Guttman Hodes"/>
          <w:rtl/>
        </w:rPr>
      </w:r>
      <w:r w:rsidRPr="0002016E">
        <w:rPr>
          <w:rStyle w:val="af7"/>
          <w:rFonts w:eastAsia="Guttman Hodes"/>
          <w:rtl/>
        </w:rPr>
        <w:fldChar w:fldCharType="separate"/>
      </w:r>
      <w:r w:rsidR="00345400">
        <w:rPr>
          <w:rStyle w:val="af7"/>
          <w:rFonts w:eastAsia="Guttman Hodes"/>
          <w:cs/>
        </w:rPr>
        <w:t>‎</w:t>
      </w:r>
      <w:r w:rsidR="00345400">
        <w:rPr>
          <w:rStyle w:val="af7"/>
          <w:rFonts w:eastAsia="Guttman Hodes"/>
          <w:rtl/>
        </w:rPr>
        <w:t>מז)</w:t>
      </w:r>
      <w:r w:rsidRPr="0002016E">
        <w:rPr>
          <w:rStyle w:val="af7"/>
          <w:rFonts w:eastAsia="Guttman Hodes"/>
          <w:rtl/>
        </w:rPr>
        <w:fldChar w:fldCharType="end"/>
      </w:r>
      <w:r>
        <w:rPr>
          <w:rFonts w:hint="cs"/>
          <w:rtl/>
        </w:rPr>
        <w:t>, ו</w:t>
      </w:r>
      <w:r w:rsidRPr="00093DA6">
        <w:rPr>
          <w:rFonts w:hint="cs"/>
          <w:rtl/>
        </w:rPr>
        <w:t xml:space="preserve">כיון דמיעוט טריפות </w:t>
      </w:r>
      <w:r>
        <w:rPr>
          <w:rFonts w:hint="cs"/>
          <w:rtl/>
        </w:rPr>
        <w:t xml:space="preserve">לא </w:t>
      </w:r>
      <w:r w:rsidRPr="00093DA6">
        <w:rPr>
          <w:rFonts w:hint="cs"/>
          <w:rtl/>
        </w:rPr>
        <w:t xml:space="preserve">שכיח, לכן </w:t>
      </w:r>
      <w:r>
        <w:rPr>
          <w:rFonts w:hint="cs"/>
          <w:rtl/>
        </w:rPr>
        <w:t>בפרה אדומה א"א לסמוך את המיעוט לחזקה.</w:t>
      </w:r>
      <w:bookmarkEnd w:id="11456"/>
      <w:r>
        <w:rPr>
          <w:rFonts w:hint="cs"/>
          <w:rtl/>
        </w:rPr>
        <w:t xml:space="preserve"> [ומשמע מדברי </w:t>
      </w:r>
      <w:r w:rsidRPr="00AB0862">
        <w:rPr>
          <w:rStyle w:val="af9"/>
          <w:rFonts w:hint="cs"/>
          <w:rtl/>
        </w:rPr>
        <w:t>התירוץ הב' במהרש"א</w:t>
      </w:r>
      <w:r>
        <w:rPr>
          <w:rFonts w:hint="cs"/>
          <w:rtl/>
        </w:rPr>
        <w:t xml:space="preserve"> דבמיעוט דשכיח ס"ל </w:t>
      </w:r>
      <w:r w:rsidRPr="00AB0862">
        <w:rPr>
          <w:rStyle w:val="af9"/>
          <w:rFonts w:hint="cs"/>
          <w:rtl/>
        </w:rPr>
        <w:t>להתוס'</w:t>
      </w:r>
      <w:r>
        <w:rPr>
          <w:rFonts w:hint="cs"/>
          <w:rtl/>
        </w:rPr>
        <w:t xml:space="preserve"> דמדאו' אמרינן לרבנן סמוך מיעוטא לחזקה].</w:t>
      </w:r>
    </w:p>
    <w:p w14:paraId="75F0AA5D" w14:textId="77777777" w:rsidR="005E1F6B" w:rsidRDefault="005E1F6B" w:rsidP="006D6D32">
      <w:pPr>
        <w:pStyle w:val="a3"/>
        <w:rPr>
          <w:rtl/>
        </w:rPr>
      </w:pPr>
      <w:bookmarkStart w:id="11457" w:name="_Toc531182495"/>
      <w:bookmarkStart w:id="11458" w:name="_Toc19390495"/>
      <w:bookmarkStart w:id="11459" w:name="_Toc19393992"/>
      <w:bookmarkStart w:id="11460" w:name="_Toc531023283"/>
      <w:bookmarkStart w:id="11461" w:name="_Toc531106326"/>
      <w:bookmarkStart w:id="11462" w:name="_Toc531111273"/>
      <w:bookmarkStart w:id="11463" w:name="_Toc531158408"/>
      <w:r>
        <w:rPr>
          <w:rFonts w:hint="cs"/>
          <w:rtl/>
        </w:rPr>
        <w:t>דחיית הגרעק"א והשעה"מ דבקושית הגמ' על ר"מ מוכח דאף במיעוט דלא שכיח אמרינן סמל"ח</w:t>
      </w:r>
      <w:bookmarkEnd w:id="11457"/>
      <w:bookmarkEnd w:id="11458"/>
      <w:bookmarkEnd w:id="11459"/>
    </w:p>
    <w:p w14:paraId="2CC4A4A7" w14:textId="77777777" w:rsidR="005E1F6B" w:rsidRDefault="005E1F6B" w:rsidP="00223668">
      <w:pPr>
        <w:pStyle w:val="a0"/>
        <w:rPr>
          <w:rtl/>
        </w:rPr>
      </w:pPr>
      <w:bookmarkStart w:id="11464" w:name="_Ref531166216"/>
      <w:r>
        <w:rPr>
          <w:rStyle w:val="af9"/>
          <w:rFonts w:hint="cs"/>
          <w:rtl/>
        </w:rPr>
        <w:t>ו</w:t>
      </w:r>
      <w:r w:rsidRPr="007F1160">
        <w:rPr>
          <w:rStyle w:val="af9"/>
          <w:rFonts w:hint="cs"/>
          <w:rtl/>
        </w:rPr>
        <w:t>הגרעק"א</w:t>
      </w:r>
      <w:r>
        <w:rPr>
          <w:rFonts w:hint="cs"/>
          <w:rtl/>
        </w:rPr>
        <w:t xml:space="preserve"> </w:t>
      </w:r>
      <w:r w:rsidRPr="008A2581">
        <w:rPr>
          <w:rStyle w:val="af7"/>
          <w:rFonts w:eastAsia="Guttman Hodes" w:hint="cs"/>
          <w:rtl/>
        </w:rPr>
        <w:t>(יא. ד"ה אמנם)</w:t>
      </w:r>
      <w:r>
        <w:rPr>
          <w:rFonts w:hint="cs"/>
          <w:rtl/>
        </w:rPr>
        <w:t xml:space="preserve"> </w:t>
      </w:r>
      <w:r>
        <w:rPr>
          <w:rStyle w:val="af9"/>
          <w:rFonts w:hint="cs"/>
          <w:rtl/>
        </w:rPr>
        <w:t>ו</w:t>
      </w:r>
      <w:r w:rsidRPr="006D7824">
        <w:rPr>
          <w:rStyle w:val="af9"/>
          <w:rFonts w:hint="cs"/>
          <w:rtl/>
        </w:rPr>
        <w:t xml:space="preserve">השעה"מ </w:t>
      </w:r>
      <w:r w:rsidRPr="006D7824">
        <w:rPr>
          <w:rStyle w:val="af7"/>
          <w:rFonts w:eastAsia="Guttman Hodes" w:hint="cs"/>
          <w:rtl/>
        </w:rPr>
        <w:t xml:space="preserve">(יבום וחליצה פ"ג הט"ז </w:t>
      </w:r>
      <w:r>
        <w:rPr>
          <w:rStyle w:val="af7"/>
          <w:rFonts w:eastAsia="Guttman Hodes" w:hint="cs"/>
          <w:rtl/>
        </w:rPr>
        <w:t>ד</w:t>
      </w:r>
      <w:r>
        <w:rPr>
          <w:rStyle w:val="af7"/>
          <w:rFonts w:eastAsia="Guttman Hodes"/>
          <w:rtl/>
        </w:rPr>
        <w:t>"</w:t>
      </w:r>
      <w:r>
        <w:rPr>
          <w:rStyle w:val="af7"/>
          <w:rFonts w:eastAsia="Guttman Hodes" w:hint="cs"/>
          <w:rtl/>
        </w:rPr>
        <w:t>ה האמנם הדבר הקשה</w:t>
      </w:r>
      <w:r w:rsidRPr="006D7824">
        <w:rPr>
          <w:rStyle w:val="af7"/>
          <w:rFonts w:eastAsia="Guttman Hodes" w:hint="cs"/>
          <w:rtl/>
        </w:rPr>
        <w:t>)</w:t>
      </w:r>
      <w:r>
        <w:rPr>
          <w:rFonts w:hint="cs"/>
          <w:rtl/>
        </w:rPr>
        <w:t xml:space="preserve"> דחו את </w:t>
      </w:r>
      <w:r w:rsidRPr="007F1160">
        <w:rPr>
          <w:rStyle w:val="af9"/>
          <w:rFonts w:hint="cs"/>
          <w:rtl/>
        </w:rPr>
        <w:t>התירוץ הב' במהרש"א</w:t>
      </w:r>
      <w:r>
        <w:rPr>
          <w:rFonts w:hint="cs"/>
          <w:rtl/>
        </w:rPr>
        <w:t xml:space="preserve">  דאי במיעוט דלא שכיח, לא אמרינן ביה סמוך מיעוטא לחזקה, א"כ מה מקשה הגמ' בסוגיין לר"מ היאך אכיל בישרא, הרי מודה ר"מ במיעוט שלא שכיח כמ"ש </w:t>
      </w:r>
      <w:r w:rsidRPr="007F1160">
        <w:rPr>
          <w:rStyle w:val="af9"/>
          <w:rFonts w:hint="cs"/>
          <w:rtl/>
        </w:rPr>
        <w:t>הרא"ש</w:t>
      </w:r>
      <w:r>
        <w:rPr>
          <w:rFonts w:hint="cs"/>
          <w:rtl/>
        </w:rPr>
        <w:t xml:space="preserve"> </w:t>
      </w:r>
      <w:r w:rsidRPr="008A2581">
        <w:rPr>
          <w:rStyle w:val="af7"/>
          <w:rFonts w:eastAsia="Guttman Hodes" w:hint="cs"/>
          <w:rtl/>
        </w:rPr>
        <w:t xml:space="preserve">(עי' אות </w:t>
      </w:r>
      <w:r w:rsidRPr="008A2581">
        <w:rPr>
          <w:rStyle w:val="af7"/>
          <w:rFonts w:eastAsia="Guttman Hodes"/>
          <w:rtl/>
        </w:rPr>
        <w:fldChar w:fldCharType="begin"/>
      </w:r>
      <w:r w:rsidRPr="008A2581">
        <w:rPr>
          <w:rStyle w:val="af7"/>
          <w:rFonts w:eastAsia="Guttman Hodes"/>
          <w:rtl/>
        </w:rPr>
        <w:instrText xml:space="preserve"> </w:instrText>
      </w:r>
      <w:r w:rsidRPr="008A2581">
        <w:rPr>
          <w:rStyle w:val="af7"/>
          <w:rFonts w:eastAsia="Guttman Hodes" w:hint="cs"/>
        </w:rPr>
        <w:instrText>REF</w:instrText>
      </w:r>
      <w:r w:rsidRPr="008A2581">
        <w:rPr>
          <w:rStyle w:val="af7"/>
          <w:rFonts w:eastAsia="Guttman Hodes" w:hint="cs"/>
          <w:rtl/>
        </w:rPr>
        <w:instrText xml:space="preserve"> _</w:instrText>
      </w:r>
      <w:r w:rsidRPr="008A2581">
        <w:rPr>
          <w:rStyle w:val="af7"/>
          <w:rFonts w:eastAsia="Guttman Hodes" w:hint="cs"/>
        </w:rPr>
        <w:instrText>Ref530932614 \r \h</w:instrText>
      </w:r>
      <w:r w:rsidRPr="008A2581">
        <w:rPr>
          <w:rStyle w:val="af7"/>
          <w:rFonts w:eastAsia="Guttman Hodes"/>
          <w:rtl/>
        </w:rPr>
        <w:instrText xml:space="preserve"> </w:instrText>
      </w:r>
      <w:r w:rsidRPr="008A2581">
        <w:rPr>
          <w:rStyle w:val="af7"/>
          <w:rFonts w:eastAsia="Guttman Hodes"/>
          <w:rtl/>
        </w:rPr>
      </w:r>
      <w:r w:rsidRPr="008A2581">
        <w:rPr>
          <w:rStyle w:val="af7"/>
          <w:rFonts w:eastAsia="Guttman Hodes"/>
          <w:rtl/>
        </w:rPr>
        <w:fldChar w:fldCharType="separate"/>
      </w:r>
      <w:r w:rsidR="00345400">
        <w:rPr>
          <w:rStyle w:val="af7"/>
          <w:rFonts w:eastAsia="Guttman Hodes"/>
          <w:cs/>
        </w:rPr>
        <w:t>‎</w:t>
      </w:r>
      <w:r w:rsidR="00345400">
        <w:rPr>
          <w:rStyle w:val="af7"/>
          <w:rFonts w:eastAsia="Guttman Hodes"/>
          <w:rtl/>
        </w:rPr>
        <w:t>כ)</w:t>
      </w:r>
      <w:r w:rsidRPr="008A2581">
        <w:rPr>
          <w:rStyle w:val="af7"/>
          <w:rFonts w:eastAsia="Guttman Hodes"/>
          <w:rtl/>
        </w:rPr>
        <w:fldChar w:fldCharType="end"/>
      </w:r>
      <w:r>
        <w:rPr>
          <w:rFonts w:hint="cs"/>
          <w:rtl/>
        </w:rPr>
        <w:t xml:space="preserve"> דכן מוכח מהגמ' בנדה </w:t>
      </w:r>
      <w:r w:rsidRPr="008A2581">
        <w:rPr>
          <w:rStyle w:val="af7"/>
          <w:rFonts w:eastAsia="Guttman Hodes" w:hint="cs"/>
          <w:rtl/>
        </w:rPr>
        <w:t>(לב.)</w:t>
      </w:r>
      <w:r>
        <w:rPr>
          <w:rFonts w:hint="cs"/>
          <w:rtl/>
        </w:rPr>
        <w:t>.</w:t>
      </w:r>
      <w:bookmarkEnd w:id="11464"/>
    </w:p>
    <w:p w14:paraId="0EED5FAE" w14:textId="77777777" w:rsidR="005E1F6B" w:rsidRDefault="005E1F6B" w:rsidP="006D6D32">
      <w:pPr>
        <w:pStyle w:val="a3"/>
        <w:rPr>
          <w:rtl/>
        </w:rPr>
      </w:pPr>
      <w:bookmarkStart w:id="11465" w:name="_Toc531182496"/>
      <w:bookmarkStart w:id="11466" w:name="_Toc19390496"/>
      <w:bookmarkStart w:id="11467" w:name="_Toc19393993"/>
      <w:r>
        <w:rPr>
          <w:rFonts w:hint="cs"/>
          <w:rtl/>
        </w:rPr>
        <w:t>קושית הגרעק"א דאפשר להוכיח מכל שחיטה דאזלינן בתר רוב כנגד חזקת אינו זבוח</w:t>
      </w:r>
      <w:bookmarkEnd w:id="11460"/>
      <w:bookmarkEnd w:id="11461"/>
      <w:bookmarkEnd w:id="11462"/>
      <w:bookmarkEnd w:id="11463"/>
      <w:bookmarkEnd w:id="11465"/>
      <w:bookmarkEnd w:id="11466"/>
      <w:bookmarkEnd w:id="11467"/>
    </w:p>
    <w:p w14:paraId="437C54DA" w14:textId="77777777" w:rsidR="005E1F6B" w:rsidRDefault="005E1F6B" w:rsidP="00223668">
      <w:pPr>
        <w:pStyle w:val="a0"/>
        <w:rPr>
          <w:rtl/>
        </w:rPr>
      </w:pPr>
      <w:r>
        <w:rPr>
          <w:rFonts w:hint="cs"/>
          <w:rtl/>
        </w:rPr>
        <w:t xml:space="preserve">ובעיקר דברי </w:t>
      </w:r>
      <w:r w:rsidRPr="00797161">
        <w:rPr>
          <w:rStyle w:val="af9"/>
          <w:rFonts w:hint="cs"/>
          <w:rtl/>
        </w:rPr>
        <w:t xml:space="preserve">התוס' </w:t>
      </w:r>
      <w:r>
        <w:rPr>
          <w:rFonts w:hint="cs"/>
          <w:rtl/>
        </w:rPr>
        <w:t xml:space="preserve">בשם </w:t>
      </w:r>
      <w:r w:rsidRPr="00C77253">
        <w:rPr>
          <w:rStyle w:val="af9"/>
          <w:rFonts w:hint="cs"/>
          <w:rtl/>
        </w:rPr>
        <w:t xml:space="preserve">רבינו </w:t>
      </w:r>
      <w:r w:rsidRPr="00797161">
        <w:rPr>
          <w:rStyle w:val="af9"/>
          <w:rFonts w:hint="cs"/>
          <w:rtl/>
        </w:rPr>
        <w:t>חיים</w:t>
      </w:r>
      <w:r>
        <w:rPr>
          <w:rFonts w:hint="cs"/>
          <w:rtl/>
        </w:rPr>
        <w:t xml:space="preserve"> </w:t>
      </w:r>
      <w:r w:rsidRPr="001C39A1">
        <w:rPr>
          <w:rStyle w:val="af7"/>
          <w:rFonts w:eastAsia="Guttman Hodes" w:hint="cs"/>
          <w:rtl/>
        </w:rPr>
        <w:t xml:space="preserve">(עי' אות </w:t>
      </w:r>
      <w:r w:rsidRPr="001C39A1">
        <w:rPr>
          <w:rStyle w:val="af7"/>
          <w:rFonts w:eastAsia="Guttman Hodes"/>
          <w:rtl/>
        </w:rPr>
        <w:fldChar w:fldCharType="begin"/>
      </w:r>
      <w:r w:rsidRPr="001C39A1">
        <w:rPr>
          <w:rStyle w:val="af7"/>
          <w:rFonts w:eastAsia="Guttman Hodes"/>
          <w:rtl/>
        </w:rPr>
        <w:instrText xml:space="preserve"> </w:instrText>
      </w:r>
      <w:r w:rsidRPr="001C39A1">
        <w:rPr>
          <w:rStyle w:val="af7"/>
          <w:rFonts w:eastAsia="Guttman Hodes" w:hint="cs"/>
        </w:rPr>
        <w:instrText>REF</w:instrText>
      </w:r>
      <w:r w:rsidRPr="001C39A1">
        <w:rPr>
          <w:rStyle w:val="af7"/>
          <w:rFonts w:eastAsia="Guttman Hodes" w:hint="cs"/>
          <w:rtl/>
        </w:rPr>
        <w:instrText xml:space="preserve"> _</w:instrText>
      </w:r>
      <w:r w:rsidRPr="001C39A1">
        <w:rPr>
          <w:rStyle w:val="af7"/>
          <w:rFonts w:eastAsia="Guttman Hodes" w:hint="cs"/>
        </w:rPr>
        <w:instrText>Ref528171682 \r \h</w:instrText>
      </w:r>
      <w:r w:rsidRPr="001C39A1">
        <w:rPr>
          <w:rStyle w:val="af7"/>
          <w:rFonts w:eastAsia="Guttman Hodes"/>
          <w:rtl/>
        </w:rPr>
        <w:instrText xml:space="preserve"> </w:instrText>
      </w:r>
      <w:r w:rsidRPr="001C39A1">
        <w:rPr>
          <w:rStyle w:val="af7"/>
          <w:rFonts w:eastAsia="Guttman Hodes"/>
          <w:rtl/>
        </w:rPr>
      </w:r>
      <w:r w:rsidRPr="001C39A1">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1C39A1">
        <w:rPr>
          <w:rStyle w:val="af7"/>
          <w:rFonts w:eastAsia="Guttman Hodes"/>
          <w:rtl/>
        </w:rPr>
        <w:fldChar w:fldCharType="end"/>
      </w:r>
      <w:r>
        <w:rPr>
          <w:rFonts w:hint="cs"/>
          <w:rtl/>
        </w:rPr>
        <w:t xml:space="preserve"> </w:t>
      </w:r>
      <w:r w:rsidRPr="002822E5">
        <w:rPr>
          <w:rFonts w:hint="cs"/>
          <w:rtl/>
        </w:rPr>
        <w:t xml:space="preserve">דמפרה אדומה ילפינן דרוב עדיף מחזקה, </w:t>
      </w:r>
      <w:r>
        <w:rPr>
          <w:rFonts w:hint="cs"/>
          <w:rtl/>
        </w:rPr>
        <w:t xml:space="preserve">הקשה </w:t>
      </w:r>
      <w:r w:rsidRPr="00C77253">
        <w:rPr>
          <w:rStyle w:val="af9"/>
          <w:rFonts w:hint="cs"/>
          <w:rtl/>
        </w:rPr>
        <w:t>הגרעק"א</w:t>
      </w:r>
      <w:r>
        <w:rPr>
          <w:rFonts w:hint="cs"/>
          <w:rtl/>
        </w:rPr>
        <w:t xml:space="preserve"> </w:t>
      </w:r>
      <w:r w:rsidRPr="00C77253">
        <w:rPr>
          <w:rStyle w:val="af7"/>
          <w:rFonts w:eastAsia="Guttman Hodes" w:hint="cs"/>
          <w:rtl/>
        </w:rPr>
        <w:t>(</w:t>
      </w:r>
      <w:r>
        <w:rPr>
          <w:rStyle w:val="af7"/>
          <w:rFonts w:eastAsia="Guttman Hodes" w:hint="cs"/>
          <w:rtl/>
        </w:rPr>
        <w:t xml:space="preserve">יא. </w:t>
      </w:r>
      <w:r w:rsidRPr="00C77253">
        <w:rPr>
          <w:rStyle w:val="af7"/>
          <w:rFonts w:eastAsia="Guttman Hodes" w:hint="cs"/>
          <w:rtl/>
        </w:rPr>
        <w:t>ד"ה בא"ד ולמאי)</w:t>
      </w:r>
      <w:r>
        <w:rPr>
          <w:rFonts w:hint="cs"/>
          <w:rtl/>
        </w:rPr>
        <w:t xml:space="preserve"> </w:t>
      </w:r>
      <w:r w:rsidRPr="002822E5">
        <w:rPr>
          <w:rFonts w:hint="cs"/>
          <w:rtl/>
        </w:rPr>
        <w:t>דהא</w:t>
      </w:r>
      <w:r>
        <w:rPr>
          <w:rStyle w:val="af9"/>
          <w:rFonts w:hint="cs"/>
          <w:rtl/>
        </w:rPr>
        <w:t xml:space="preserve"> </w:t>
      </w:r>
      <w:r w:rsidRPr="00C77253">
        <w:rPr>
          <w:rStyle w:val="af9"/>
          <w:rFonts w:hint="cs"/>
          <w:rtl/>
        </w:rPr>
        <w:t>התוס'</w:t>
      </w:r>
      <w:r>
        <w:rPr>
          <w:rFonts w:hint="cs"/>
          <w:rtl/>
        </w:rPr>
        <w:t xml:space="preserve"> יכולים להוכיח כן מכל שחיטה, דלא חיישינן שמא היה נקב בושט במקום השחיטה, ואזלינן בתר רוב בהמות אינם טריפות, כנגד החזקת אינו זבוח של הבהמה, ומוכח דרוב עדיף מחזקה.</w:t>
      </w:r>
    </w:p>
    <w:p w14:paraId="13D00358" w14:textId="77777777" w:rsidR="005E1F6B" w:rsidRDefault="005E1F6B" w:rsidP="006D6D32">
      <w:pPr>
        <w:pStyle w:val="a3"/>
        <w:rPr>
          <w:rtl/>
        </w:rPr>
      </w:pPr>
      <w:bookmarkStart w:id="11468" w:name="_Toc531182497"/>
      <w:bookmarkStart w:id="11469" w:name="_Toc19390497"/>
      <w:bookmarkStart w:id="11470" w:name="_Toc19393994"/>
      <w:r>
        <w:rPr>
          <w:rFonts w:hint="cs"/>
          <w:rtl/>
        </w:rPr>
        <w:t>דברי הגרעק"א דהחשש שמא היא טריפה רק באבר אחד הוא מיעוט דלא שכיח</w:t>
      </w:r>
      <w:bookmarkEnd w:id="11468"/>
      <w:bookmarkEnd w:id="11469"/>
      <w:bookmarkEnd w:id="11470"/>
    </w:p>
    <w:p w14:paraId="2E1CF9C6" w14:textId="77777777" w:rsidR="005E1F6B" w:rsidRDefault="005E1F6B" w:rsidP="00223668">
      <w:pPr>
        <w:pStyle w:val="a0"/>
        <w:rPr>
          <w:rtl/>
        </w:rPr>
      </w:pPr>
      <w:r>
        <w:rPr>
          <w:rFonts w:hint="cs"/>
          <w:rtl/>
        </w:rPr>
        <w:t xml:space="preserve">וכתב </w:t>
      </w:r>
      <w:r w:rsidRPr="0092332E">
        <w:rPr>
          <w:rStyle w:val="af9"/>
          <w:rFonts w:hint="cs"/>
          <w:rtl/>
        </w:rPr>
        <w:t>הגרעק"</w:t>
      </w:r>
      <w:r w:rsidRPr="001C39A1">
        <w:rPr>
          <w:rStyle w:val="af9"/>
          <w:rFonts w:hint="cs"/>
          <w:rtl/>
        </w:rPr>
        <w:t>א</w:t>
      </w:r>
      <w:r w:rsidRPr="001C39A1">
        <w:rPr>
          <w:rFonts w:hint="cs"/>
          <w:rtl/>
        </w:rPr>
        <w:t xml:space="preserve"> לתרץ עפ"י </w:t>
      </w:r>
      <w:r w:rsidRPr="001C39A1">
        <w:rPr>
          <w:rStyle w:val="af9"/>
          <w:rFonts w:hint="cs"/>
          <w:rtl/>
        </w:rPr>
        <w:t>התירוץ הב' במהרש"א</w:t>
      </w:r>
      <w:r w:rsidRPr="001C39A1">
        <w:rPr>
          <w:rFonts w:hint="cs"/>
          <w:rtl/>
        </w:rPr>
        <w:t xml:space="preserve"> </w:t>
      </w:r>
      <w:r w:rsidRPr="001C39A1">
        <w:rPr>
          <w:rStyle w:val="af7"/>
          <w:rFonts w:eastAsia="Guttman Hodes" w:hint="cs"/>
          <w:rtl/>
        </w:rPr>
        <w:t xml:space="preserve">(עי' אות </w:t>
      </w:r>
      <w:r w:rsidRPr="001C39A1">
        <w:rPr>
          <w:rStyle w:val="af7"/>
          <w:rFonts w:eastAsia="Guttman Hodes"/>
          <w:rtl/>
        </w:rPr>
        <w:fldChar w:fldCharType="begin"/>
      </w:r>
      <w:r w:rsidRPr="001C39A1">
        <w:rPr>
          <w:rStyle w:val="af7"/>
          <w:rFonts w:eastAsia="Guttman Hodes"/>
          <w:rtl/>
        </w:rPr>
        <w:instrText xml:space="preserve"> </w:instrText>
      </w:r>
      <w:r w:rsidRPr="001C39A1">
        <w:rPr>
          <w:rStyle w:val="af7"/>
          <w:rFonts w:eastAsia="Guttman Hodes" w:hint="cs"/>
        </w:rPr>
        <w:instrText>REF</w:instrText>
      </w:r>
      <w:r w:rsidRPr="001C39A1">
        <w:rPr>
          <w:rStyle w:val="af7"/>
          <w:rFonts w:eastAsia="Guttman Hodes" w:hint="cs"/>
          <w:rtl/>
        </w:rPr>
        <w:instrText xml:space="preserve"> _</w:instrText>
      </w:r>
      <w:r w:rsidRPr="001C39A1">
        <w:rPr>
          <w:rStyle w:val="af7"/>
          <w:rFonts w:eastAsia="Guttman Hodes" w:hint="cs"/>
        </w:rPr>
        <w:instrText>Ref530932471 \r \h</w:instrText>
      </w:r>
      <w:r w:rsidRPr="001C39A1">
        <w:rPr>
          <w:rStyle w:val="af7"/>
          <w:rFonts w:eastAsia="Guttman Hodes"/>
          <w:rtl/>
        </w:rPr>
        <w:instrText xml:space="preserve"> </w:instrText>
      </w:r>
      <w:r w:rsidRPr="001C39A1">
        <w:rPr>
          <w:rStyle w:val="af7"/>
          <w:rFonts w:eastAsia="Guttman Hodes"/>
          <w:rtl/>
        </w:rPr>
      </w:r>
      <w:r w:rsidRPr="001C39A1">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1C39A1">
        <w:rPr>
          <w:rStyle w:val="af7"/>
          <w:rFonts w:eastAsia="Guttman Hodes"/>
          <w:rtl/>
        </w:rPr>
        <w:fldChar w:fldCharType="end"/>
      </w:r>
      <w:r>
        <w:rPr>
          <w:rFonts w:hint="cs"/>
          <w:rtl/>
        </w:rPr>
        <w:t xml:space="preserve"> </w:t>
      </w:r>
      <w:r w:rsidRPr="001C39A1">
        <w:rPr>
          <w:rFonts w:hint="cs"/>
          <w:rtl/>
        </w:rPr>
        <w:t>דבמיעוט דלא שכיח לא אמרינן</w:t>
      </w:r>
      <w:r>
        <w:rPr>
          <w:rFonts w:hint="cs"/>
          <w:rtl/>
        </w:rPr>
        <w:t xml:space="preserve"> סמוך מיעוטא לחזקה, וביאר </w:t>
      </w:r>
      <w:r w:rsidRPr="001C39A1">
        <w:rPr>
          <w:rStyle w:val="af9"/>
          <w:rFonts w:hint="cs"/>
          <w:rtl/>
        </w:rPr>
        <w:t>הגרעק"א</w:t>
      </w:r>
      <w:r>
        <w:rPr>
          <w:rFonts w:hint="cs"/>
          <w:rtl/>
        </w:rPr>
        <w:t xml:space="preserve"> דס"ל </w:t>
      </w:r>
      <w:r w:rsidRPr="0092332E">
        <w:rPr>
          <w:rStyle w:val="af9"/>
          <w:rFonts w:hint="cs"/>
          <w:rtl/>
        </w:rPr>
        <w:t>לרבינו חיים</w:t>
      </w:r>
      <w:r>
        <w:rPr>
          <w:rFonts w:hint="cs"/>
          <w:rtl/>
        </w:rPr>
        <w:t xml:space="preserve"> דבאמת מיעוט טריפות שאחד מהי"ח טריפות יהיה בבהמה הוא מיעוט שכיח, אבל אם נבדקה הבהמה בכל אבריה חוץ מאבר אחד, ויכול להיות שנטרפה שם, זהו מיעוט דלא שכיח, שתהיה טריפה דוקא באבר שלא נבדק.</w:t>
      </w:r>
    </w:p>
    <w:p w14:paraId="28A6DA40" w14:textId="77777777" w:rsidR="005E1F6B" w:rsidRPr="0092332E" w:rsidRDefault="005E1F6B" w:rsidP="006D6D32">
      <w:pPr>
        <w:pStyle w:val="a3"/>
      </w:pPr>
      <w:bookmarkStart w:id="11471" w:name="_Toc531182498"/>
      <w:bookmarkStart w:id="11472" w:name="_Toc19390498"/>
      <w:bookmarkStart w:id="11473" w:name="_Toc19393995"/>
      <w:r>
        <w:rPr>
          <w:rFonts w:hint="cs"/>
          <w:rtl/>
        </w:rPr>
        <w:t>תירוץ הגרעק"א דא"א להוכיח מכל שחיטה דהמיעוט שניקב הושט לא שכיח ולא חיישינן ליה</w:t>
      </w:r>
      <w:bookmarkEnd w:id="11471"/>
      <w:bookmarkEnd w:id="11472"/>
      <w:bookmarkEnd w:id="11473"/>
    </w:p>
    <w:p w14:paraId="240FA15E" w14:textId="77777777" w:rsidR="005E1F6B" w:rsidRDefault="005E1F6B" w:rsidP="00223668">
      <w:pPr>
        <w:pStyle w:val="a0"/>
        <w:rPr>
          <w:rStyle w:val="afb"/>
          <w:rtl/>
        </w:rPr>
      </w:pPr>
      <w:r>
        <w:rPr>
          <w:rFonts w:hint="cs"/>
          <w:rtl/>
        </w:rPr>
        <w:t xml:space="preserve">וביאר </w:t>
      </w:r>
      <w:r w:rsidRPr="0092332E">
        <w:rPr>
          <w:rStyle w:val="af9"/>
          <w:rFonts w:hint="cs"/>
          <w:rtl/>
        </w:rPr>
        <w:t>הגרעק"א</w:t>
      </w:r>
      <w:r>
        <w:rPr>
          <w:rFonts w:hint="cs"/>
          <w:rtl/>
        </w:rPr>
        <w:t xml:space="preserve"> דלכן ס"ל </w:t>
      </w:r>
      <w:r w:rsidRPr="0092332E">
        <w:rPr>
          <w:rStyle w:val="af9"/>
          <w:rFonts w:hint="cs"/>
          <w:rtl/>
        </w:rPr>
        <w:t>לרבינו חיים</w:t>
      </w:r>
      <w:r>
        <w:rPr>
          <w:rFonts w:hint="cs"/>
          <w:rtl/>
        </w:rPr>
        <w:t xml:space="preserve"> דא"א להוכיח מכל שחיטה דרובא עדיף מחזקה, דהא המיעוט שניקב הושט במקום השחיטה, הוא מיעוט דלא שכיח ולא אמרינן ביה סמוך מיעוטא לחזקה כלל, אבל מפרה אדומה שלא נבדקה כלל בכל הי"ח טריפות, המיעוט טריפות הוא מיעוט שכיח, ולכן הוכיח </w:t>
      </w:r>
      <w:r w:rsidRPr="004A5E39">
        <w:rPr>
          <w:rStyle w:val="af9"/>
          <w:rFonts w:hint="cs"/>
          <w:rtl/>
        </w:rPr>
        <w:t>רבינו חיים</w:t>
      </w:r>
      <w:r>
        <w:rPr>
          <w:rFonts w:hint="cs"/>
          <w:rtl/>
        </w:rPr>
        <w:t xml:space="preserve"> מפרה אדומה דרוב עדיף מחזקה, ולא אמרינן סמוך מיעוטא לחזקה. </w:t>
      </w:r>
      <w:r w:rsidRPr="0092332E">
        <w:rPr>
          <w:rStyle w:val="afb"/>
          <w:rFonts w:hint="cs"/>
          <w:rtl/>
        </w:rPr>
        <w:t xml:space="preserve">[ועו"כ </w:t>
      </w:r>
      <w:r w:rsidRPr="0092332E">
        <w:rPr>
          <w:rStyle w:val="affa"/>
          <w:rFonts w:hint="cs"/>
          <w:rtl/>
        </w:rPr>
        <w:t>הגרעק"א</w:t>
      </w:r>
      <w:r w:rsidRPr="0092332E">
        <w:rPr>
          <w:rStyle w:val="afb"/>
          <w:rFonts w:hint="cs"/>
          <w:rtl/>
        </w:rPr>
        <w:t xml:space="preserve"> דאפש"ל דכל הטריפות הם מיעוטא דמיעוטא ולא חיישינן להו, ורק טריפה בריאה הוא מיעוט דשכיח, ולכן אפשר להוכיח רק מפרה אדומה שלא נבדקה הריאה שלה]. </w:t>
      </w:r>
    </w:p>
    <w:p w14:paraId="06AE5E01" w14:textId="77777777" w:rsidR="005E1F6B" w:rsidRPr="00A17C35" w:rsidRDefault="005E1F6B" w:rsidP="006D6D32">
      <w:pPr>
        <w:pStyle w:val="a3"/>
        <w:rPr>
          <w:rtl/>
        </w:rPr>
      </w:pPr>
      <w:bookmarkStart w:id="11474" w:name="_Toc531182499"/>
      <w:bookmarkStart w:id="11475" w:name="_Toc19390499"/>
      <w:bookmarkStart w:id="11476" w:name="_Toc19393996"/>
      <w:r>
        <w:rPr>
          <w:rFonts w:hint="cs"/>
          <w:rtl/>
        </w:rPr>
        <w:t>דברי הגרעק"א דלדבריו דאף במיעוט דלא שכיח אמרינן סמוך הדרא הקושיה לדוכתא</w:t>
      </w:r>
      <w:bookmarkEnd w:id="11474"/>
      <w:bookmarkEnd w:id="11475"/>
      <w:bookmarkEnd w:id="11476"/>
    </w:p>
    <w:p w14:paraId="6A591172" w14:textId="77777777" w:rsidR="005E1F6B" w:rsidRDefault="005E1F6B" w:rsidP="00223668">
      <w:pPr>
        <w:pStyle w:val="a0"/>
        <w:rPr>
          <w:rStyle w:val="afb"/>
          <w:rtl/>
        </w:rPr>
      </w:pPr>
      <w:r>
        <w:rPr>
          <w:rFonts w:hint="cs"/>
          <w:rtl/>
        </w:rPr>
        <w:t xml:space="preserve">אך כתב </w:t>
      </w:r>
      <w:r w:rsidRPr="007F1160">
        <w:rPr>
          <w:rStyle w:val="af9"/>
          <w:rFonts w:hint="cs"/>
          <w:rtl/>
        </w:rPr>
        <w:t>הגרעק"א</w:t>
      </w:r>
      <w:r>
        <w:rPr>
          <w:rFonts w:hint="cs"/>
          <w:rtl/>
        </w:rPr>
        <w:t xml:space="preserve"> דלדבריו</w:t>
      </w:r>
      <w:r w:rsidRPr="00E06CE6">
        <w:rPr>
          <w:rStyle w:val="af7"/>
          <w:rFonts w:eastAsia="Guttman Hodes" w:hint="cs"/>
          <w:rtl/>
        </w:rPr>
        <w:t xml:space="preserve"> (עי' אות </w:t>
      </w:r>
      <w:r w:rsidRPr="00E06CE6">
        <w:rPr>
          <w:rStyle w:val="af7"/>
          <w:rFonts w:eastAsia="Guttman Hodes"/>
          <w:rtl/>
        </w:rPr>
        <w:fldChar w:fldCharType="begin"/>
      </w:r>
      <w:r w:rsidRPr="00E06CE6">
        <w:rPr>
          <w:rStyle w:val="af7"/>
          <w:rFonts w:eastAsia="Guttman Hodes"/>
          <w:rtl/>
        </w:rPr>
        <w:instrText xml:space="preserve"> </w:instrText>
      </w:r>
      <w:r w:rsidRPr="00E06CE6">
        <w:rPr>
          <w:rStyle w:val="af7"/>
          <w:rFonts w:eastAsia="Guttman Hodes" w:hint="cs"/>
        </w:rPr>
        <w:instrText>REF</w:instrText>
      </w:r>
      <w:r w:rsidRPr="00E06CE6">
        <w:rPr>
          <w:rStyle w:val="af7"/>
          <w:rFonts w:eastAsia="Guttman Hodes" w:hint="cs"/>
          <w:rtl/>
        </w:rPr>
        <w:instrText xml:space="preserve"> _</w:instrText>
      </w:r>
      <w:r w:rsidRPr="00E06CE6">
        <w:rPr>
          <w:rStyle w:val="af7"/>
          <w:rFonts w:eastAsia="Guttman Hodes" w:hint="cs"/>
        </w:rPr>
        <w:instrText>Ref531166216 \r \h</w:instrText>
      </w:r>
      <w:r w:rsidRPr="00E06CE6">
        <w:rPr>
          <w:rStyle w:val="af7"/>
          <w:rFonts w:eastAsia="Guttman Hodes"/>
          <w:rtl/>
        </w:rPr>
        <w:instrText xml:space="preserve"> </w:instrText>
      </w:r>
      <w:r w:rsidRPr="00E06CE6">
        <w:rPr>
          <w:rStyle w:val="af7"/>
          <w:rFonts w:eastAsia="Guttman Hodes"/>
          <w:rtl/>
        </w:rPr>
      </w:r>
      <w:r w:rsidRPr="00E06CE6">
        <w:rPr>
          <w:rStyle w:val="af7"/>
          <w:rFonts w:eastAsia="Guttman Hodes"/>
          <w:rtl/>
        </w:rPr>
        <w:fldChar w:fldCharType="separate"/>
      </w:r>
      <w:r w:rsidR="00345400">
        <w:rPr>
          <w:rStyle w:val="af7"/>
          <w:rFonts w:eastAsia="Guttman Hodes"/>
          <w:cs/>
        </w:rPr>
        <w:t>‎</w:t>
      </w:r>
      <w:r w:rsidR="00345400">
        <w:rPr>
          <w:rStyle w:val="af7"/>
          <w:rFonts w:eastAsia="Guttman Hodes"/>
          <w:rtl/>
        </w:rPr>
        <w:t>נט)</w:t>
      </w:r>
      <w:r w:rsidRPr="00E06CE6">
        <w:rPr>
          <w:rStyle w:val="af7"/>
          <w:rFonts w:eastAsia="Guttman Hodes"/>
          <w:rtl/>
        </w:rPr>
        <w:fldChar w:fldCharType="end"/>
      </w:r>
      <w:r>
        <w:rPr>
          <w:rFonts w:hint="cs"/>
          <w:rtl/>
        </w:rPr>
        <w:t xml:space="preserve"> דדחה את </w:t>
      </w:r>
      <w:r w:rsidRPr="001C39A1">
        <w:rPr>
          <w:rStyle w:val="af9"/>
          <w:rFonts w:hint="cs"/>
          <w:rtl/>
        </w:rPr>
        <w:t>התירוץ הב' במהרש"א</w:t>
      </w:r>
      <w:r>
        <w:rPr>
          <w:rFonts w:hint="cs"/>
          <w:rtl/>
        </w:rPr>
        <w:t xml:space="preserve"> א"כ חוזרת הקושיה דאמאי לא הוכיח </w:t>
      </w:r>
      <w:r w:rsidRPr="007F1160">
        <w:rPr>
          <w:rStyle w:val="af9"/>
          <w:rFonts w:hint="cs"/>
          <w:rtl/>
        </w:rPr>
        <w:t>רבינו חיים</w:t>
      </w:r>
      <w:r>
        <w:rPr>
          <w:rFonts w:hint="cs"/>
          <w:rtl/>
        </w:rPr>
        <w:t xml:space="preserve"> מכל שחיטה </w:t>
      </w:r>
      <w:r w:rsidRPr="00F84872">
        <w:rPr>
          <w:rFonts w:hint="cs"/>
          <w:rtl/>
        </w:rPr>
        <w:t xml:space="preserve">דרוב עדיף מחזקה, דהא מוכח  אף טריפה דנקובת הושט לא חשיב מיעוטא דלא שכיח, מדמקשה הגמ' לר"מ היאך אכיל בישרא. </w:t>
      </w:r>
      <w:r w:rsidRPr="00F84872">
        <w:rPr>
          <w:rStyle w:val="afb"/>
          <w:rFonts w:hint="cs"/>
          <w:rtl/>
        </w:rPr>
        <w:t xml:space="preserve">[ועיי"ש </w:t>
      </w:r>
      <w:r w:rsidRPr="00F84872">
        <w:rPr>
          <w:rStyle w:val="affa"/>
          <w:rFonts w:hint="cs"/>
          <w:rtl/>
        </w:rPr>
        <w:t>בגרעק"א</w:t>
      </w:r>
      <w:r w:rsidRPr="00F84872">
        <w:rPr>
          <w:rStyle w:val="afb"/>
          <w:rFonts w:hint="cs"/>
          <w:rtl/>
        </w:rPr>
        <w:t xml:space="preserve"> במה ש</w:t>
      </w:r>
      <w:r>
        <w:rPr>
          <w:rStyle w:val="afb"/>
          <w:rFonts w:hint="cs"/>
          <w:rtl/>
        </w:rPr>
        <w:t xml:space="preserve">ביאר בדברי </w:t>
      </w:r>
      <w:r w:rsidRPr="00F84872">
        <w:rPr>
          <w:rStyle w:val="affa"/>
          <w:rFonts w:hint="cs"/>
          <w:rtl/>
        </w:rPr>
        <w:t>רבינו חיים בתוס'</w:t>
      </w:r>
      <w:r w:rsidRPr="00F84872">
        <w:rPr>
          <w:rStyle w:val="afb"/>
          <w:rFonts w:hint="cs"/>
          <w:rtl/>
        </w:rPr>
        <w:t>].</w:t>
      </w:r>
    </w:p>
    <w:p w14:paraId="75FF2E62" w14:textId="77777777" w:rsidR="00061351" w:rsidRPr="00061351" w:rsidRDefault="00061351" w:rsidP="006D6D32">
      <w:pPr>
        <w:pStyle w:val="a3"/>
        <w:rPr>
          <w:rtl/>
        </w:rPr>
      </w:pPr>
    </w:p>
    <w:p w14:paraId="59A35BFD" w14:textId="77777777" w:rsidR="00061351" w:rsidRDefault="00061351" w:rsidP="006D6D32">
      <w:pPr>
        <w:pStyle w:val="afe"/>
        <w:rPr>
          <w:rtl/>
        </w:rPr>
      </w:pPr>
      <w:bookmarkStart w:id="11477" w:name="_Toc531182500"/>
    </w:p>
    <w:p w14:paraId="6B0CD272" w14:textId="77777777" w:rsidR="005E1F6B" w:rsidRDefault="00061351" w:rsidP="006D6D32">
      <w:pPr>
        <w:pStyle w:val="afe"/>
        <w:rPr>
          <w:rtl/>
        </w:rPr>
      </w:pPr>
      <w:bookmarkStart w:id="11478" w:name="_Toc19435758"/>
      <w:bookmarkStart w:id="11479" w:name="_Toc20081015"/>
      <w:r>
        <w:rPr>
          <w:rFonts w:hint="cs"/>
          <w:rtl/>
        </w:rPr>
        <w:t>ב</w:t>
      </w:r>
      <w:r w:rsidR="005E1F6B">
        <w:rPr>
          <w:rFonts w:hint="cs"/>
          <w:rtl/>
        </w:rPr>
        <w:t>דעת ר"מ בסמוך מיעוטא לחזקה</w:t>
      </w:r>
      <w:bookmarkEnd w:id="11399"/>
      <w:bookmarkEnd w:id="11477"/>
      <w:bookmarkEnd w:id="11478"/>
      <w:bookmarkEnd w:id="11479"/>
    </w:p>
    <w:p w14:paraId="65F261F0" w14:textId="77777777" w:rsidR="005E1F6B" w:rsidRPr="00D22A81" w:rsidRDefault="005E1F6B" w:rsidP="00BF39B2">
      <w:pPr>
        <w:pStyle w:val="1"/>
        <w:rPr>
          <w:rtl/>
        </w:rPr>
      </w:pPr>
      <w:bookmarkStart w:id="11480" w:name="_Toc531158375"/>
      <w:bookmarkStart w:id="11481" w:name="_Toc531182501"/>
      <w:bookmarkStart w:id="11482" w:name="_Toc19390500"/>
      <w:bookmarkStart w:id="11483" w:name="_Toc19393997"/>
      <w:r>
        <w:rPr>
          <w:rFonts w:hint="cs"/>
          <w:rtl/>
        </w:rPr>
        <w:t>דברי רש"י והרמב"ן בביאור סמוך מיעוטא לחזקה</w:t>
      </w:r>
      <w:bookmarkEnd w:id="11400"/>
      <w:bookmarkEnd w:id="11401"/>
      <w:bookmarkEnd w:id="11480"/>
      <w:bookmarkEnd w:id="11481"/>
      <w:bookmarkEnd w:id="11482"/>
      <w:bookmarkEnd w:id="11483"/>
    </w:p>
    <w:p w14:paraId="1EA41E37" w14:textId="77777777" w:rsidR="005E1F6B" w:rsidRDefault="005E1F6B" w:rsidP="006D6D32">
      <w:pPr>
        <w:pStyle w:val="a3"/>
        <w:rPr>
          <w:rtl/>
        </w:rPr>
      </w:pPr>
      <w:bookmarkStart w:id="11484" w:name="_Toc531158376"/>
      <w:bookmarkStart w:id="11485" w:name="_Toc531182502"/>
      <w:bookmarkStart w:id="11486" w:name="_Toc19390501"/>
      <w:bookmarkStart w:id="11487" w:name="_Toc19393998"/>
      <w:r>
        <w:rPr>
          <w:rFonts w:hint="cs"/>
          <w:rtl/>
        </w:rPr>
        <w:t>דברי רש"י דבסמוך מיעוטא לחזקה הם תרי כנגד הרוב דהוא חדא</w:t>
      </w:r>
      <w:bookmarkEnd w:id="11484"/>
      <w:bookmarkEnd w:id="11485"/>
      <w:bookmarkEnd w:id="11486"/>
      <w:bookmarkEnd w:id="11487"/>
    </w:p>
    <w:p w14:paraId="1927D848" w14:textId="77777777" w:rsidR="005E1F6B" w:rsidRDefault="005E1F6B" w:rsidP="00223668">
      <w:pPr>
        <w:pStyle w:val="a0"/>
        <w:rPr>
          <w:rtl/>
        </w:rPr>
      </w:pPr>
      <w:r>
        <w:rPr>
          <w:rFonts w:hint="cs"/>
          <w:rtl/>
        </w:rPr>
        <w:t xml:space="preserve">בדעת ר"מ דטיהר בתינוק שנמצא בצד עיסה טהורה, כתב </w:t>
      </w:r>
      <w:r w:rsidRPr="008943DE">
        <w:rPr>
          <w:rStyle w:val="af9"/>
          <w:rFonts w:hint="cs"/>
          <w:rtl/>
        </w:rPr>
        <w:t>רש"י בנדה</w:t>
      </w:r>
      <w:r>
        <w:rPr>
          <w:rFonts w:hint="cs"/>
          <w:rtl/>
        </w:rPr>
        <w:t xml:space="preserve"> </w:t>
      </w:r>
      <w:r w:rsidRPr="008943DE">
        <w:rPr>
          <w:rStyle w:val="af7"/>
          <w:rFonts w:eastAsia="Guttman Hodes" w:hint="cs"/>
          <w:rtl/>
        </w:rPr>
        <w:t>(יח: ד"ה סמוך)</w:t>
      </w:r>
      <w:r>
        <w:rPr>
          <w:rFonts w:hint="cs"/>
          <w:rtl/>
        </w:rPr>
        <w:t xml:space="preserve"> דאמרינן בסמוך מיעוטא דתינוקות שאינם מטפחים, לחזקת טהרה של העיסה ואיתרע ליה רובא, דרוב תינוקות מטפחין בעיסה, כיון דהמיעוט והחזקה הם תרי לטהר, ואילו הרוב לטמא הוא חדא, ואין אחד עומד במקום שנים.</w:t>
      </w:r>
    </w:p>
    <w:p w14:paraId="28A113C1" w14:textId="77777777" w:rsidR="005E1F6B" w:rsidRDefault="005E1F6B" w:rsidP="006D6D32">
      <w:pPr>
        <w:pStyle w:val="a3"/>
      </w:pPr>
      <w:bookmarkStart w:id="11488" w:name="_Toc531158377"/>
      <w:bookmarkStart w:id="11489" w:name="_Toc531182503"/>
      <w:bookmarkStart w:id="11490" w:name="_Toc19390502"/>
      <w:bookmarkStart w:id="11491" w:name="_Toc19393999"/>
      <w:r>
        <w:rPr>
          <w:rFonts w:hint="cs"/>
          <w:rtl/>
        </w:rPr>
        <w:t>דברי הרמב"ן דבסמוך מיעוטא לחזקה טיהר ר"מ כיון דאפושי טומאה לא מפשינן</w:t>
      </w:r>
      <w:bookmarkEnd w:id="11488"/>
      <w:bookmarkEnd w:id="11489"/>
      <w:bookmarkEnd w:id="11490"/>
      <w:bookmarkEnd w:id="11491"/>
    </w:p>
    <w:p w14:paraId="467FA589" w14:textId="77777777" w:rsidR="005E1F6B" w:rsidRDefault="005E1F6B" w:rsidP="00223668">
      <w:pPr>
        <w:pStyle w:val="a0"/>
        <w:rPr>
          <w:rtl/>
        </w:rPr>
      </w:pPr>
      <w:bookmarkStart w:id="11492" w:name="_Ref531173645"/>
      <w:r w:rsidRPr="003A4433">
        <w:rPr>
          <w:rFonts w:hint="cs"/>
          <w:rtl/>
        </w:rPr>
        <w:t>אבל</w:t>
      </w:r>
      <w:r>
        <w:rPr>
          <w:rStyle w:val="af9"/>
          <w:rFonts w:hint="cs"/>
          <w:rtl/>
        </w:rPr>
        <w:t xml:space="preserve"> </w:t>
      </w:r>
      <w:r>
        <w:rPr>
          <w:rStyle w:val="af9"/>
          <w:rtl/>
        </w:rPr>
        <w:t>הרמב"ן ביבמות</w:t>
      </w:r>
      <w:r>
        <w:rPr>
          <w:rFonts w:hint="cs"/>
          <w:rtl/>
        </w:rPr>
        <w:t xml:space="preserve"> </w:t>
      </w:r>
      <w:r>
        <w:rPr>
          <w:rStyle w:val="af7"/>
          <w:rFonts w:eastAsia="Guttman Hodes" w:hint="cs"/>
          <w:rtl/>
        </w:rPr>
        <w:t>(קיט. ד"ה כך)</w:t>
      </w:r>
      <w:r>
        <w:rPr>
          <w:rFonts w:hint="cs"/>
          <w:rtl/>
        </w:rPr>
        <w:t xml:space="preserve"> כתב בדעת ר"מ דבסמוך מיעוטא לחזקה, יש כח להכריע לטהר, כיון דאפושי טומאה לא מפשינן, וע"ע בדברי </w:t>
      </w:r>
      <w:r w:rsidRPr="00714C31">
        <w:rPr>
          <w:rStyle w:val="af9"/>
          <w:rFonts w:hint="cs"/>
          <w:rtl/>
        </w:rPr>
        <w:t>הרמב"ן בנדה</w:t>
      </w:r>
      <w:r>
        <w:rPr>
          <w:rFonts w:hint="cs"/>
          <w:rtl/>
        </w:rPr>
        <w:t xml:space="preserve"> </w:t>
      </w:r>
      <w:r w:rsidRPr="00714C31">
        <w:rPr>
          <w:rStyle w:val="af7"/>
          <w:rFonts w:eastAsia="Guttman Hodes" w:hint="cs"/>
          <w:rtl/>
        </w:rPr>
        <w:t>(יח: ד"ה תינוק)</w:t>
      </w:r>
      <w:r>
        <w:rPr>
          <w:rFonts w:hint="cs"/>
          <w:rtl/>
        </w:rPr>
        <w:t xml:space="preserve"> ועי' בדברי </w:t>
      </w:r>
      <w:r w:rsidRPr="00031306">
        <w:rPr>
          <w:rStyle w:val="af9"/>
          <w:rFonts w:hint="cs"/>
          <w:rtl/>
        </w:rPr>
        <w:t>הריטב"א בנדה</w:t>
      </w:r>
      <w:r>
        <w:rPr>
          <w:rFonts w:hint="cs"/>
          <w:rtl/>
        </w:rPr>
        <w:t xml:space="preserve"> </w:t>
      </w:r>
      <w:r w:rsidRPr="00031306">
        <w:rPr>
          <w:rStyle w:val="af7"/>
          <w:rFonts w:eastAsia="Guttman Hodes" w:hint="cs"/>
          <w:rtl/>
        </w:rPr>
        <w:t xml:space="preserve">(עי' אות </w:t>
      </w:r>
      <w:r w:rsidRPr="00031306">
        <w:rPr>
          <w:rStyle w:val="af7"/>
          <w:rFonts w:eastAsia="Guttman Hodes"/>
          <w:rtl/>
        </w:rPr>
        <w:fldChar w:fldCharType="begin"/>
      </w:r>
      <w:r w:rsidRPr="00031306">
        <w:rPr>
          <w:rStyle w:val="af7"/>
          <w:rFonts w:eastAsia="Guttman Hodes"/>
          <w:rtl/>
        </w:rPr>
        <w:instrText xml:space="preserve"> </w:instrText>
      </w:r>
      <w:r w:rsidRPr="00031306">
        <w:rPr>
          <w:rStyle w:val="af7"/>
          <w:rFonts w:eastAsia="Guttman Hodes" w:hint="cs"/>
        </w:rPr>
        <w:instrText>REF</w:instrText>
      </w:r>
      <w:r w:rsidRPr="00031306">
        <w:rPr>
          <w:rStyle w:val="af7"/>
          <w:rFonts w:eastAsia="Guttman Hodes" w:hint="cs"/>
          <w:rtl/>
        </w:rPr>
        <w:instrText xml:space="preserve"> _</w:instrText>
      </w:r>
      <w:r w:rsidRPr="00031306">
        <w:rPr>
          <w:rStyle w:val="af7"/>
          <w:rFonts w:eastAsia="Guttman Hodes" w:hint="cs"/>
        </w:rPr>
        <w:instrText>Ref531173604 \r \h</w:instrText>
      </w:r>
      <w:r w:rsidRPr="00031306">
        <w:rPr>
          <w:rStyle w:val="af7"/>
          <w:rFonts w:eastAsia="Guttman Hodes"/>
          <w:rtl/>
        </w:rPr>
        <w:instrText xml:space="preserve"> </w:instrText>
      </w:r>
      <w:r w:rsidRPr="00031306">
        <w:rPr>
          <w:rStyle w:val="af7"/>
          <w:rFonts w:eastAsia="Guttman Hodes"/>
          <w:rtl/>
        </w:rPr>
      </w:r>
      <w:r w:rsidRPr="00031306">
        <w:rPr>
          <w:rStyle w:val="af7"/>
          <w:rFonts w:eastAsia="Guttman Hodes"/>
          <w:rtl/>
        </w:rPr>
        <w:fldChar w:fldCharType="separate"/>
      </w:r>
      <w:r w:rsidR="00345400">
        <w:rPr>
          <w:rStyle w:val="af7"/>
          <w:rFonts w:eastAsia="Guttman Hodes"/>
          <w:cs/>
        </w:rPr>
        <w:t>‎</w:t>
      </w:r>
      <w:r w:rsidR="00345400">
        <w:rPr>
          <w:rStyle w:val="af7"/>
          <w:rFonts w:eastAsia="Guttman Hodes"/>
          <w:rtl/>
        </w:rPr>
        <w:t>כט)</w:t>
      </w:r>
      <w:r w:rsidRPr="00031306">
        <w:rPr>
          <w:rStyle w:val="af7"/>
          <w:rFonts w:eastAsia="Guttman Hodes"/>
          <w:rtl/>
        </w:rPr>
        <w:fldChar w:fldCharType="end"/>
      </w:r>
      <w:r>
        <w:rPr>
          <w:rFonts w:hint="cs"/>
          <w:rtl/>
        </w:rPr>
        <w:t>.</w:t>
      </w:r>
      <w:bookmarkEnd w:id="11492"/>
    </w:p>
    <w:p w14:paraId="29FE4B1E" w14:textId="77777777" w:rsidR="005E1F6B" w:rsidRPr="00F40815" w:rsidRDefault="005E1F6B" w:rsidP="00BF39B2">
      <w:pPr>
        <w:pStyle w:val="1"/>
        <w:rPr>
          <w:rtl/>
        </w:rPr>
      </w:pPr>
      <w:bookmarkStart w:id="11493" w:name="_Toc531106320"/>
      <w:bookmarkStart w:id="11494" w:name="_Toc531111267"/>
      <w:bookmarkStart w:id="11495" w:name="_Toc531158378"/>
      <w:bookmarkStart w:id="11496" w:name="_Toc531182504"/>
      <w:bookmarkStart w:id="11497" w:name="_Toc19390503"/>
      <w:bookmarkStart w:id="11498" w:name="_Toc19394000"/>
      <w:r w:rsidRPr="0050010A">
        <w:rPr>
          <w:rFonts w:hint="cs"/>
          <w:rtl/>
        </w:rPr>
        <w:t>דברי התוס' דסמוך מיעוטא</w:t>
      </w:r>
      <w:r>
        <w:rPr>
          <w:rFonts w:hint="cs"/>
          <w:rtl/>
        </w:rPr>
        <w:t xml:space="preserve"> לחזקה הו"ל כפלגא ופלגא</w:t>
      </w:r>
      <w:bookmarkEnd w:id="11493"/>
      <w:bookmarkEnd w:id="11494"/>
      <w:bookmarkEnd w:id="11495"/>
      <w:bookmarkEnd w:id="11496"/>
      <w:bookmarkEnd w:id="11497"/>
      <w:bookmarkEnd w:id="11498"/>
    </w:p>
    <w:p w14:paraId="1B948947" w14:textId="77777777" w:rsidR="005E1F6B" w:rsidRPr="0058025E" w:rsidRDefault="005E1F6B" w:rsidP="006D6D32">
      <w:pPr>
        <w:pStyle w:val="a3"/>
        <w:rPr>
          <w:rtl/>
        </w:rPr>
      </w:pPr>
      <w:bookmarkStart w:id="11499" w:name="_Toc531158379"/>
      <w:bookmarkStart w:id="11500" w:name="_Toc531182505"/>
      <w:bookmarkStart w:id="11501" w:name="_Toc19390504"/>
      <w:bookmarkStart w:id="11502" w:name="_Toc19394001"/>
      <w:r>
        <w:rPr>
          <w:rFonts w:hint="cs"/>
          <w:rtl/>
        </w:rPr>
        <w:t>דברי התוס' דבסמוך מיעוטא לחזקה דאיתרע הרוב היינו דהוה כפלגא ופלגא</w:t>
      </w:r>
      <w:bookmarkEnd w:id="11499"/>
      <w:bookmarkEnd w:id="11500"/>
      <w:bookmarkEnd w:id="11501"/>
      <w:bookmarkEnd w:id="11502"/>
    </w:p>
    <w:p w14:paraId="2C63384B" w14:textId="77777777" w:rsidR="005E1F6B" w:rsidRDefault="005E1F6B" w:rsidP="00223668">
      <w:pPr>
        <w:pStyle w:val="a0"/>
        <w:rPr>
          <w:rtl/>
        </w:rPr>
      </w:pPr>
      <w:r w:rsidRPr="000A1F4A">
        <w:rPr>
          <w:rFonts w:hint="cs"/>
          <w:rtl/>
        </w:rPr>
        <w:t xml:space="preserve">בהא דאיתא בגמ' לקמן </w:t>
      </w:r>
      <w:r w:rsidRPr="000A1F4A">
        <w:rPr>
          <w:rStyle w:val="af7"/>
          <w:rFonts w:eastAsia="Guttman Hodes" w:hint="cs"/>
          <w:rtl/>
        </w:rPr>
        <w:t>(פו:)</w:t>
      </w:r>
      <w:r w:rsidRPr="000A1F4A">
        <w:rPr>
          <w:rFonts w:hint="cs"/>
          <w:rtl/>
        </w:rPr>
        <w:t xml:space="preserve"> דבסמוך מיעוטא לחזקה, לא אזלינן בתר רובא כיון דאיתרע, כתבו </w:t>
      </w:r>
      <w:r w:rsidRPr="000A1F4A">
        <w:rPr>
          <w:rStyle w:val="af9"/>
          <w:rFonts w:hint="cs"/>
          <w:rtl/>
        </w:rPr>
        <w:t>התוס' לקמן</w:t>
      </w:r>
      <w:r w:rsidRPr="000A1F4A">
        <w:rPr>
          <w:rFonts w:hint="cs"/>
          <w:rtl/>
        </w:rPr>
        <w:t xml:space="preserve"> </w:t>
      </w:r>
      <w:r w:rsidRPr="000A1F4A">
        <w:rPr>
          <w:rStyle w:val="af7"/>
          <w:rFonts w:eastAsia="Guttman Hodes" w:hint="cs"/>
          <w:rtl/>
        </w:rPr>
        <w:t>(פו: ד"ה סמוך)</w:t>
      </w:r>
      <w:r w:rsidRPr="000A1F4A">
        <w:rPr>
          <w:rFonts w:hint="cs"/>
          <w:rtl/>
        </w:rPr>
        <w:t xml:space="preserve"> דבגמ' ביבמות </w:t>
      </w:r>
      <w:r w:rsidRPr="000A1F4A">
        <w:rPr>
          <w:rStyle w:val="af7"/>
          <w:rFonts w:eastAsia="Guttman Hodes" w:hint="cs"/>
          <w:rtl/>
        </w:rPr>
        <w:t>(קיט.)</w:t>
      </w:r>
      <w:r w:rsidRPr="000A1F4A">
        <w:rPr>
          <w:rFonts w:hint="cs"/>
          <w:rtl/>
        </w:rPr>
        <w:t xml:space="preserve"> מבואר דחשיב כפלגא ופלגא. </w:t>
      </w:r>
      <w:r w:rsidRPr="000A1F4A">
        <w:rPr>
          <w:rStyle w:val="af9"/>
          <w:rFonts w:hint="cs"/>
          <w:rtl/>
        </w:rPr>
        <w:t>והתוס' הרא"ש לקמן</w:t>
      </w:r>
      <w:r w:rsidRPr="000A1F4A">
        <w:rPr>
          <w:rFonts w:hint="cs"/>
          <w:rtl/>
        </w:rPr>
        <w:t xml:space="preserve"> </w:t>
      </w:r>
      <w:r w:rsidRPr="000A1F4A">
        <w:rPr>
          <w:rStyle w:val="af7"/>
          <w:rFonts w:eastAsia="Guttman Hodes" w:hint="cs"/>
          <w:rtl/>
        </w:rPr>
        <w:t>(פו: ד"ה סמוך)</w:t>
      </w:r>
      <w:r w:rsidRPr="000A1F4A">
        <w:rPr>
          <w:rFonts w:hint="cs"/>
          <w:rtl/>
        </w:rPr>
        <w:t xml:space="preserve"> כתב דכוונת הגמ' לקמן דאיתרע הרוב והו"ל כפלגא ופלגא.</w:t>
      </w:r>
    </w:p>
    <w:p w14:paraId="7573645E" w14:textId="77777777" w:rsidR="005E1F6B" w:rsidRPr="00B56966" w:rsidRDefault="005E1F6B" w:rsidP="006D6D32">
      <w:pPr>
        <w:pStyle w:val="a3"/>
      </w:pPr>
      <w:bookmarkStart w:id="11503" w:name="_Toc531158380"/>
      <w:bookmarkStart w:id="11504" w:name="_Toc531182506"/>
      <w:bookmarkStart w:id="11505" w:name="_Toc19390505"/>
      <w:bookmarkStart w:id="11506" w:name="_Toc19394002"/>
      <w:r>
        <w:rPr>
          <w:rFonts w:hint="cs"/>
          <w:rtl/>
        </w:rPr>
        <w:t>קושית התוס' בקידושין ובנדה אי בסמוך מיעוטא לחזקה הרוב כמאן דליתיה או דהוה כפלגא ופלגא</w:t>
      </w:r>
      <w:bookmarkEnd w:id="11503"/>
      <w:bookmarkEnd w:id="11504"/>
      <w:bookmarkEnd w:id="11505"/>
      <w:bookmarkEnd w:id="11506"/>
    </w:p>
    <w:p w14:paraId="66DE6328" w14:textId="77777777" w:rsidR="005E1F6B" w:rsidRPr="0058025E" w:rsidRDefault="005E1F6B" w:rsidP="00223668">
      <w:pPr>
        <w:pStyle w:val="a0"/>
        <w:rPr>
          <w:rtl/>
        </w:rPr>
      </w:pPr>
      <w:r>
        <w:rPr>
          <w:rFonts w:hint="cs"/>
          <w:rtl/>
        </w:rPr>
        <w:t>וכן ה</w:t>
      </w:r>
      <w:r w:rsidRPr="0058025E">
        <w:rPr>
          <w:rFonts w:hint="cs"/>
          <w:rtl/>
        </w:rPr>
        <w:t xml:space="preserve">קשו </w:t>
      </w:r>
      <w:r w:rsidRPr="0058025E">
        <w:rPr>
          <w:rStyle w:val="af9"/>
          <w:rFonts w:hint="cs"/>
          <w:rtl/>
        </w:rPr>
        <w:t xml:space="preserve">התוס' </w:t>
      </w:r>
      <w:r>
        <w:rPr>
          <w:rStyle w:val="af9"/>
          <w:rFonts w:hint="cs"/>
          <w:rtl/>
        </w:rPr>
        <w:t>בקידושין</w:t>
      </w:r>
      <w:r w:rsidRPr="000A1F4A">
        <w:rPr>
          <w:rStyle w:val="af7"/>
          <w:rFonts w:eastAsia="Guttman Hodes" w:hint="cs"/>
          <w:rtl/>
        </w:rPr>
        <w:t xml:space="preserve"> (פ. ד"ה סמוך) </w:t>
      </w:r>
      <w:r w:rsidRPr="0058025E">
        <w:rPr>
          <w:rFonts w:hint="cs"/>
          <w:rtl/>
        </w:rPr>
        <w:t xml:space="preserve">דבגמ' </w:t>
      </w:r>
      <w:r>
        <w:rPr>
          <w:rFonts w:hint="cs"/>
          <w:rtl/>
        </w:rPr>
        <w:t>בקידושין</w:t>
      </w:r>
      <w:r w:rsidRPr="000A1F4A">
        <w:rPr>
          <w:rStyle w:val="af7"/>
          <w:rFonts w:eastAsia="Guttman Hodes" w:hint="cs"/>
          <w:rtl/>
        </w:rPr>
        <w:t xml:space="preserve"> (פ.) </w:t>
      </w:r>
      <w:r w:rsidRPr="0058025E">
        <w:rPr>
          <w:rFonts w:hint="cs"/>
          <w:rtl/>
        </w:rPr>
        <w:t xml:space="preserve">איתא לגבי תינוק שנמצא בצד העיסה, דבסמוך מיעוטא לחזקה איתרע הרוב, </w:t>
      </w:r>
      <w:r>
        <w:rPr>
          <w:rFonts w:hint="cs"/>
          <w:rtl/>
        </w:rPr>
        <w:t xml:space="preserve">והיינו דהרוב כמאן דליתיה, </w:t>
      </w:r>
      <w:r w:rsidRPr="0058025E">
        <w:rPr>
          <w:rFonts w:hint="cs"/>
          <w:rtl/>
        </w:rPr>
        <w:t xml:space="preserve">ואילו בגמ' ביבמות </w:t>
      </w:r>
      <w:r w:rsidRPr="000A1F4A">
        <w:rPr>
          <w:rStyle w:val="af7"/>
          <w:rFonts w:eastAsia="Guttman Hodes" w:hint="cs"/>
          <w:rtl/>
        </w:rPr>
        <w:t>(קיט:)</w:t>
      </w:r>
      <w:r w:rsidRPr="0058025E">
        <w:rPr>
          <w:rFonts w:hint="cs"/>
          <w:rtl/>
        </w:rPr>
        <w:t xml:space="preserve"> איתא דהו"ל כפלגא ופלגא</w:t>
      </w:r>
      <w:r>
        <w:rPr>
          <w:rFonts w:hint="cs"/>
          <w:rtl/>
        </w:rPr>
        <w:t xml:space="preserve">, דהיינו שהמיעוט והחזקה חשובים לעמוד כנגד הרוב ולעשות ספק, וכן הקשו </w:t>
      </w:r>
      <w:r>
        <w:rPr>
          <w:rStyle w:val="af9"/>
          <w:rFonts w:hint="cs"/>
          <w:rtl/>
        </w:rPr>
        <w:t xml:space="preserve">התוס' </w:t>
      </w:r>
      <w:r w:rsidRPr="0058025E">
        <w:rPr>
          <w:rStyle w:val="af9"/>
          <w:rFonts w:hint="cs"/>
          <w:rtl/>
        </w:rPr>
        <w:t>בנדה</w:t>
      </w:r>
      <w:r w:rsidRPr="0058025E">
        <w:rPr>
          <w:rFonts w:hint="cs"/>
          <w:rtl/>
        </w:rPr>
        <w:t xml:space="preserve"> </w:t>
      </w:r>
      <w:r w:rsidRPr="000A1F4A">
        <w:rPr>
          <w:rStyle w:val="af7"/>
          <w:rFonts w:eastAsia="Guttman Hodes" w:hint="cs"/>
          <w:rtl/>
        </w:rPr>
        <w:t>(יח: ד"ה סמוך)</w:t>
      </w:r>
      <w:r>
        <w:rPr>
          <w:rFonts w:hint="cs"/>
          <w:rtl/>
        </w:rPr>
        <w:t xml:space="preserve">, וע"ע בדברי </w:t>
      </w:r>
      <w:r w:rsidRPr="00F07037">
        <w:rPr>
          <w:rStyle w:val="af9"/>
          <w:rFonts w:hint="cs"/>
          <w:rtl/>
        </w:rPr>
        <w:t>הרא"ה בבד"ה</w:t>
      </w:r>
      <w:r>
        <w:rPr>
          <w:rFonts w:hint="cs"/>
          <w:rtl/>
        </w:rPr>
        <w:t xml:space="preserve"> </w:t>
      </w:r>
      <w:r w:rsidRPr="00015939">
        <w:rPr>
          <w:rStyle w:val="af7"/>
          <w:rFonts w:eastAsia="Guttman Hodes" w:hint="cs"/>
          <w:rtl/>
        </w:rPr>
        <w:t xml:space="preserve">(עי' </w:t>
      </w:r>
      <w:r>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Ref531173983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עח)</w:t>
      </w:r>
      <w:r>
        <w:rPr>
          <w:rStyle w:val="af7"/>
          <w:rFonts w:eastAsia="Guttman Hodes"/>
          <w:rtl/>
        </w:rPr>
        <w:fldChar w:fldCharType="end"/>
      </w:r>
      <w:r>
        <w:rPr>
          <w:rFonts w:hint="cs"/>
          <w:rtl/>
        </w:rPr>
        <w:t>.</w:t>
      </w:r>
    </w:p>
    <w:p w14:paraId="7C8EDCDB" w14:textId="77777777" w:rsidR="005E1F6B" w:rsidRPr="0058025E" w:rsidRDefault="005E1F6B" w:rsidP="006D6D32">
      <w:pPr>
        <w:pStyle w:val="a3"/>
        <w:rPr>
          <w:rtl/>
        </w:rPr>
      </w:pPr>
      <w:bookmarkStart w:id="11507" w:name="_Toc531158381"/>
      <w:bookmarkStart w:id="11508" w:name="_Toc531182507"/>
      <w:bookmarkStart w:id="11509" w:name="_Toc19390506"/>
      <w:bookmarkStart w:id="11510" w:name="_Toc19394003"/>
      <w:r>
        <w:rPr>
          <w:rFonts w:hint="cs"/>
          <w:rtl/>
        </w:rPr>
        <w:t>תירוצי התוס' בקידושין ובנדה דבתינוק טיהר ר"מ דהוה דבר שאבד"ל או דהרוב גרוע וכמאן דליתיה</w:t>
      </w:r>
      <w:bookmarkEnd w:id="11507"/>
      <w:bookmarkEnd w:id="11508"/>
      <w:bookmarkEnd w:id="11509"/>
      <w:bookmarkEnd w:id="11510"/>
    </w:p>
    <w:p w14:paraId="0FBBA9E8" w14:textId="77777777" w:rsidR="005E1F6B" w:rsidRDefault="005E1F6B" w:rsidP="00223668">
      <w:pPr>
        <w:pStyle w:val="a0"/>
        <w:rPr>
          <w:rtl/>
        </w:rPr>
      </w:pPr>
      <w:r w:rsidRPr="0058025E">
        <w:rPr>
          <w:rFonts w:hint="cs"/>
          <w:rtl/>
        </w:rPr>
        <w:t xml:space="preserve">ותירצו </w:t>
      </w:r>
      <w:r w:rsidRPr="0058025E">
        <w:rPr>
          <w:rStyle w:val="af9"/>
          <w:rFonts w:hint="cs"/>
          <w:rtl/>
        </w:rPr>
        <w:t>התוס' בנדה</w:t>
      </w:r>
      <w:r w:rsidRPr="0058025E">
        <w:rPr>
          <w:rFonts w:hint="cs"/>
          <w:rtl/>
        </w:rPr>
        <w:t xml:space="preserve"> דבתינוק </w:t>
      </w:r>
      <w:r>
        <w:rPr>
          <w:rFonts w:hint="cs"/>
          <w:rtl/>
        </w:rPr>
        <w:t xml:space="preserve">טיהר ר"מ </w:t>
      </w:r>
      <w:r w:rsidRPr="0058025E">
        <w:rPr>
          <w:rFonts w:hint="cs"/>
          <w:rtl/>
        </w:rPr>
        <w:t>כיון שהוא דבר שאין בו דעת לישאל</w:t>
      </w:r>
      <w:r>
        <w:rPr>
          <w:rFonts w:hint="cs"/>
          <w:rtl/>
        </w:rPr>
        <w:t xml:space="preserve">, אך </w:t>
      </w:r>
      <w:r w:rsidRPr="001143B9">
        <w:rPr>
          <w:rStyle w:val="af9"/>
          <w:rFonts w:hint="cs"/>
          <w:rtl/>
        </w:rPr>
        <w:t>התוס' בקידושין</w:t>
      </w:r>
      <w:r>
        <w:rPr>
          <w:rFonts w:hint="cs"/>
          <w:rtl/>
        </w:rPr>
        <w:t xml:space="preserve"> דחו דהא עשאוהו חכמים כדבר שיש בו דעת לישאל, אלא תירצו </w:t>
      </w:r>
      <w:r w:rsidRPr="001143B9">
        <w:rPr>
          <w:rStyle w:val="af9"/>
          <w:rFonts w:hint="cs"/>
          <w:rtl/>
        </w:rPr>
        <w:t>התוס' בקידושין</w:t>
      </w:r>
      <w:r>
        <w:rPr>
          <w:rFonts w:hint="cs"/>
          <w:rtl/>
        </w:rPr>
        <w:t xml:space="preserve"> דהרוב בתינוק הוא רוב גרוע, ולכן יש כח במיעוט ובחזקה לעשות ריעותא ברוב, והוא כמאן דליתיה, וכדמוכח מהא דאין שורפין תרומה מכח הרוב בתינוק.</w:t>
      </w:r>
    </w:p>
    <w:p w14:paraId="2D71F5EF" w14:textId="77777777" w:rsidR="005E1F6B" w:rsidRPr="000A1F4A" w:rsidRDefault="005E1F6B" w:rsidP="006D6D32">
      <w:pPr>
        <w:pStyle w:val="a3"/>
        <w:rPr>
          <w:rtl/>
        </w:rPr>
      </w:pPr>
      <w:bookmarkStart w:id="11511" w:name="_Toc531158382"/>
      <w:bookmarkStart w:id="11512" w:name="_Toc531182508"/>
      <w:bookmarkStart w:id="11513" w:name="_Toc19390507"/>
      <w:bookmarkStart w:id="11514" w:name="_Toc19394004"/>
      <w:r>
        <w:rPr>
          <w:rFonts w:hint="cs"/>
          <w:rtl/>
        </w:rPr>
        <w:t>ביאור הרא"ש בטהרות דהמיעוט והחזקה הם פלגא והרוב הוא פלגא אחר</w:t>
      </w:r>
      <w:bookmarkEnd w:id="11511"/>
      <w:bookmarkEnd w:id="11512"/>
      <w:bookmarkEnd w:id="11513"/>
      <w:bookmarkEnd w:id="11514"/>
    </w:p>
    <w:p w14:paraId="07F4A4B3" w14:textId="77777777" w:rsidR="005E1F6B" w:rsidRDefault="005E1F6B" w:rsidP="00223668">
      <w:pPr>
        <w:pStyle w:val="a0"/>
        <w:rPr>
          <w:rtl/>
        </w:rPr>
      </w:pPr>
      <w:r w:rsidRPr="00BD0BB9">
        <w:rPr>
          <w:rStyle w:val="af9"/>
          <w:rFonts w:hint="cs"/>
          <w:rtl/>
        </w:rPr>
        <w:t>ובפירוש הרא"ש בטהרות</w:t>
      </w:r>
      <w:r>
        <w:rPr>
          <w:rFonts w:hint="cs"/>
          <w:rtl/>
        </w:rPr>
        <w:t xml:space="preserve"> </w:t>
      </w:r>
      <w:r w:rsidRPr="00BD0BB9">
        <w:rPr>
          <w:rStyle w:val="af7"/>
          <w:rFonts w:eastAsia="Guttman Hodes" w:hint="cs"/>
          <w:rtl/>
        </w:rPr>
        <w:t>(פ"ג מ"ח ד"ה ר"מ)</w:t>
      </w:r>
      <w:r>
        <w:rPr>
          <w:rFonts w:hint="cs"/>
          <w:rtl/>
        </w:rPr>
        <w:t xml:space="preserve"> כתב דלר"מ הוא פלגא, והמיעוט והחזקה הם פלגא אחר, ובתינוק טיהר ר"מ כיון שהוא דבר שאין בו דעת לישאל.</w:t>
      </w:r>
    </w:p>
    <w:p w14:paraId="4F5F1675" w14:textId="77777777" w:rsidR="005E1F6B" w:rsidRDefault="005E1F6B" w:rsidP="00BF39B2">
      <w:pPr>
        <w:pStyle w:val="1"/>
        <w:rPr>
          <w:rtl/>
        </w:rPr>
      </w:pPr>
      <w:bookmarkStart w:id="11515" w:name="_Toc531106321"/>
      <w:bookmarkStart w:id="11516" w:name="_Toc531111268"/>
      <w:bookmarkStart w:id="11517" w:name="_Toc531158383"/>
      <w:bookmarkStart w:id="11518" w:name="_Toc531182509"/>
      <w:bookmarkStart w:id="11519" w:name="_Toc19390508"/>
      <w:bookmarkStart w:id="11520" w:name="_Toc19394005"/>
      <w:r>
        <w:rPr>
          <w:rFonts w:hint="cs"/>
          <w:rtl/>
        </w:rPr>
        <w:t>דברי התוס' אי לר"מ סמוך מיעוטא לחזקה מדאו'</w:t>
      </w:r>
      <w:bookmarkEnd w:id="11515"/>
      <w:bookmarkEnd w:id="11516"/>
      <w:r>
        <w:rPr>
          <w:rFonts w:hint="cs"/>
          <w:rtl/>
        </w:rPr>
        <w:t xml:space="preserve"> או מדרבנן</w:t>
      </w:r>
      <w:bookmarkEnd w:id="11517"/>
      <w:bookmarkEnd w:id="11518"/>
      <w:bookmarkEnd w:id="11519"/>
      <w:bookmarkEnd w:id="11520"/>
    </w:p>
    <w:p w14:paraId="0DED5F86" w14:textId="77777777" w:rsidR="005E1F6B" w:rsidRPr="00C01239" w:rsidRDefault="005E1F6B" w:rsidP="006D6D32">
      <w:pPr>
        <w:pStyle w:val="a3"/>
        <w:rPr>
          <w:rtl/>
        </w:rPr>
      </w:pPr>
      <w:bookmarkStart w:id="11521" w:name="_Toc531158384"/>
      <w:bookmarkStart w:id="11522" w:name="_Toc531182510"/>
      <w:bookmarkStart w:id="11523" w:name="_Toc19390509"/>
      <w:bookmarkStart w:id="11524" w:name="_Toc19394006"/>
      <w:r>
        <w:rPr>
          <w:rFonts w:hint="cs"/>
          <w:rtl/>
        </w:rPr>
        <w:t>קושית התוס' לקמן דר"מ צריך לטהר בתינוק בלא חזקה דחייש למיעוטא ואין בו דעת לישאל</w:t>
      </w:r>
      <w:bookmarkEnd w:id="11521"/>
      <w:bookmarkEnd w:id="11522"/>
      <w:bookmarkEnd w:id="11523"/>
      <w:bookmarkEnd w:id="11524"/>
    </w:p>
    <w:p w14:paraId="66764310" w14:textId="77777777" w:rsidR="005E1F6B" w:rsidRPr="00885F93" w:rsidRDefault="005E1F6B" w:rsidP="00223668">
      <w:pPr>
        <w:pStyle w:val="a0"/>
        <w:rPr>
          <w:rtl/>
        </w:rPr>
      </w:pPr>
      <w:r w:rsidRPr="002B4BF7">
        <w:rPr>
          <w:rFonts w:hint="cs"/>
          <w:rtl/>
        </w:rPr>
        <w:t xml:space="preserve">בהא דאיתא בגמ' לקמן </w:t>
      </w:r>
      <w:r w:rsidRPr="002B4BF7">
        <w:rPr>
          <w:rStyle w:val="af7"/>
          <w:rFonts w:eastAsia="Guttman Hodes" w:hint="cs"/>
          <w:rtl/>
        </w:rPr>
        <w:t>(פו:)</w:t>
      </w:r>
      <w:r w:rsidRPr="002B4BF7">
        <w:rPr>
          <w:rFonts w:hint="cs"/>
          <w:rtl/>
        </w:rPr>
        <w:t xml:space="preserve"> דלר"מ דחייש למיעוטא אמרינן סמוך מיעוטא לחזקה, ואיתרע ליה רובא, ברוב תינוקות מטפחין בעיסה,  דר"מ מטהר, הקשו </w:t>
      </w:r>
      <w:r w:rsidRPr="002B4BF7">
        <w:rPr>
          <w:rStyle w:val="af9"/>
          <w:rFonts w:hint="cs"/>
          <w:rtl/>
        </w:rPr>
        <w:t>התוס' לקמן</w:t>
      </w:r>
      <w:r w:rsidRPr="002B4BF7">
        <w:rPr>
          <w:rFonts w:hint="cs"/>
          <w:rtl/>
        </w:rPr>
        <w:t xml:space="preserve"> </w:t>
      </w:r>
      <w:r w:rsidRPr="002B4BF7">
        <w:rPr>
          <w:rStyle w:val="af7"/>
          <w:rFonts w:eastAsia="Guttman Hodes" w:hint="cs"/>
          <w:rtl/>
        </w:rPr>
        <w:t>(פו: ד"ה סמוך)</w:t>
      </w:r>
      <w:r w:rsidRPr="002B4BF7">
        <w:rPr>
          <w:rFonts w:hint="cs"/>
          <w:rtl/>
        </w:rPr>
        <w:t xml:space="preserve"> </w:t>
      </w:r>
      <w:r w:rsidRPr="002B4BF7">
        <w:rPr>
          <w:rStyle w:val="af9"/>
          <w:rFonts w:hint="cs"/>
          <w:rtl/>
        </w:rPr>
        <w:t>והתוס' בנדה</w:t>
      </w:r>
      <w:r w:rsidRPr="002B4BF7">
        <w:rPr>
          <w:rFonts w:hint="cs"/>
          <w:rtl/>
        </w:rPr>
        <w:t xml:space="preserve"> </w:t>
      </w:r>
      <w:r w:rsidRPr="002B4BF7">
        <w:rPr>
          <w:rStyle w:val="af7"/>
          <w:rFonts w:eastAsia="Guttman Hodes" w:hint="cs"/>
          <w:rtl/>
        </w:rPr>
        <w:t>(יח: סוד"ה מיעוטא)</w:t>
      </w:r>
      <w:r w:rsidRPr="002B4BF7">
        <w:rPr>
          <w:rFonts w:hint="cs"/>
          <w:rtl/>
        </w:rPr>
        <w:t xml:space="preserve"> דאף בלא החזקה היה לר"מ לטהר כיון דחייש למיעוטא והתינוק הוא</w:t>
      </w:r>
      <w:r w:rsidRPr="00885F93">
        <w:rPr>
          <w:rFonts w:hint="cs"/>
          <w:rtl/>
        </w:rPr>
        <w:t xml:space="preserve"> דבר שאין בו דעת לישאל.</w:t>
      </w:r>
    </w:p>
    <w:p w14:paraId="61F79D2B" w14:textId="77777777" w:rsidR="005E1F6B" w:rsidRDefault="005E1F6B" w:rsidP="006D6D32">
      <w:pPr>
        <w:pStyle w:val="a3"/>
        <w:rPr>
          <w:rtl/>
        </w:rPr>
      </w:pPr>
      <w:bookmarkStart w:id="11525" w:name="_Toc531158385"/>
      <w:bookmarkStart w:id="11526" w:name="_Toc531182511"/>
      <w:bookmarkStart w:id="11527" w:name="_Toc19390510"/>
      <w:bookmarkStart w:id="11528" w:name="_Toc19394007"/>
      <w:r>
        <w:rPr>
          <w:rFonts w:hint="cs"/>
          <w:rtl/>
        </w:rPr>
        <w:t>התירוץ הא' בתוס' לקמן דכוונת הגמ' לומר שאין חזקה שמסייעת לרוב ואינו מיעוטא דמיעוטא</w:t>
      </w:r>
      <w:bookmarkEnd w:id="11525"/>
      <w:bookmarkEnd w:id="11526"/>
      <w:bookmarkEnd w:id="11527"/>
      <w:bookmarkEnd w:id="11528"/>
    </w:p>
    <w:p w14:paraId="73556B16" w14:textId="77777777" w:rsidR="005E1F6B" w:rsidRDefault="005E1F6B" w:rsidP="00223668">
      <w:pPr>
        <w:pStyle w:val="a0"/>
        <w:rPr>
          <w:rtl/>
        </w:rPr>
      </w:pPr>
      <w:bookmarkStart w:id="11529" w:name="_Ref531118135"/>
      <w:r>
        <w:rPr>
          <w:rFonts w:hint="cs"/>
          <w:rtl/>
        </w:rPr>
        <w:t xml:space="preserve">ותירצו </w:t>
      </w:r>
      <w:r w:rsidRPr="00B41B61">
        <w:rPr>
          <w:rStyle w:val="af9"/>
          <w:rFonts w:hint="cs"/>
          <w:rtl/>
        </w:rPr>
        <w:t>התוס' לקמן</w:t>
      </w:r>
      <w:r w:rsidRPr="00885F93">
        <w:rPr>
          <w:rStyle w:val="af9"/>
          <w:rFonts w:hint="cs"/>
          <w:rtl/>
        </w:rPr>
        <w:t xml:space="preserve"> והתוס' בנדה</w:t>
      </w:r>
      <w:r>
        <w:rPr>
          <w:rFonts w:hint="cs"/>
          <w:rtl/>
        </w:rPr>
        <w:t xml:space="preserve"> דר"מ מטהר אף בלא החזקה, כיון דחייש למיעוטא, דהגמ' נקטה סמוך מיעוטא לחזקה, בכדי לומר שהחזקה היא מסייעת למיעוט ואינה מסייעת לרוב, דאם החזקה הייתה מסייעת לרוב, חשיב המיעוט כמיעוטא דמיעוטא ומודה ר"מ דלא אזלינן בתריה.</w:t>
      </w:r>
      <w:bookmarkEnd w:id="11529"/>
    </w:p>
    <w:p w14:paraId="2EFA1D7C" w14:textId="77777777" w:rsidR="005E1F6B" w:rsidRDefault="005E1F6B" w:rsidP="006D6D32">
      <w:pPr>
        <w:pStyle w:val="a3"/>
        <w:rPr>
          <w:rtl/>
        </w:rPr>
      </w:pPr>
      <w:bookmarkStart w:id="11530" w:name="_Toc531158386"/>
      <w:bookmarkStart w:id="11531" w:name="_Toc531182512"/>
      <w:bookmarkStart w:id="11532" w:name="_Toc19390511"/>
      <w:bookmarkStart w:id="11533" w:name="_Toc19394008"/>
      <w:r>
        <w:rPr>
          <w:rFonts w:hint="cs"/>
          <w:rtl/>
        </w:rPr>
        <w:t>התירוץ הב' בתוס' לקמן דרק בסמוך מיעוטא לחזקה חייש ר"מ למיעוט מדאו' ומטהר</w:t>
      </w:r>
      <w:bookmarkEnd w:id="11530"/>
      <w:bookmarkEnd w:id="11531"/>
      <w:bookmarkEnd w:id="11532"/>
      <w:bookmarkEnd w:id="11533"/>
    </w:p>
    <w:p w14:paraId="4C49E681" w14:textId="77777777" w:rsidR="005E1F6B" w:rsidRPr="00BD15CB" w:rsidRDefault="005E1F6B" w:rsidP="00223668">
      <w:pPr>
        <w:pStyle w:val="a0"/>
        <w:rPr>
          <w:rtl/>
        </w:rPr>
      </w:pPr>
      <w:bookmarkStart w:id="11534" w:name="_Ref530672733"/>
      <w:r>
        <w:rPr>
          <w:rFonts w:hint="cs"/>
          <w:rtl/>
        </w:rPr>
        <w:t xml:space="preserve">ועוד תירצו </w:t>
      </w:r>
      <w:r w:rsidRPr="00B41B61">
        <w:rPr>
          <w:rStyle w:val="af9"/>
          <w:rFonts w:hint="cs"/>
          <w:rtl/>
        </w:rPr>
        <w:t>התוס' לקמן</w:t>
      </w:r>
      <w:r>
        <w:rPr>
          <w:rFonts w:hint="cs"/>
          <w:rtl/>
        </w:rPr>
        <w:t xml:space="preserve"> דלקושית הגמ' בסוגיין דר"מ חייש למיעוטא מדרבנן להחמיר, א"כ מבוארת הגמ' לקמן, דמדאו' לא חייש ר"מ למיעוטא וא"א לטהר ע"י המיעוט, ורק במקום שיש חזקה חייש ר"מ למיעוטא מדאו', ולכן טיהר ר"מ. </w:t>
      </w:r>
      <w:r w:rsidRPr="00B41B61">
        <w:rPr>
          <w:rStyle w:val="afb"/>
          <w:rFonts w:hint="cs"/>
          <w:rtl/>
        </w:rPr>
        <w:t>[ומ</w:t>
      </w:r>
      <w:r>
        <w:rPr>
          <w:rStyle w:val="afb"/>
          <w:rFonts w:hint="cs"/>
          <w:rtl/>
        </w:rPr>
        <w:t>בואר</w:t>
      </w:r>
      <w:r w:rsidRPr="00B41B61">
        <w:rPr>
          <w:rStyle w:val="afb"/>
          <w:rFonts w:hint="cs"/>
          <w:rtl/>
        </w:rPr>
        <w:t xml:space="preserve"> דלתירו</w:t>
      </w:r>
      <w:r>
        <w:rPr>
          <w:rStyle w:val="afb"/>
          <w:rFonts w:hint="cs"/>
          <w:rtl/>
        </w:rPr>
        <w:t>ץ הב' בתוס' ר"מ חייש למיעוטא מדרבנן, אבל לתירץ הא'</w:t>
      </w:r>
      <w:r w:rsidRPr="00B41B61">
        <w:rPr>
          <w:rStyle w:val="afb"/>
          <w:rFonts w:hint="cs"/>
          <w:rtl/>
        </w:rPr>
        <w:t xml:space="preserve"> ר"מ חייש למיעוטא מדאו'].</w:t>
      </w:r>
      <w:bookmarkEnd w:id="11534"/>
    </w:p>
    <w:p w14:paraId="4A1CAF24" w14:textId="77777777" w:rsidR="005E1F6B" w:rsidRPr="00171822" w:rsidRDefault="005E1F6B" w:rsidP="006D6D32">
      <w:pPr>
        <w:pStyle w:val="a3"/>
        <w:rPr>
          <w:rtl/>
        </w:rPr>
      </w:pPr>
      <w:bookmarkStart w:id="11535" w:name="_Toc531158387"/>
      <w:bookmarkStart w:id="11536" w:name="_Toc531182513"/>
      <w:bookmarkStart w:id="11537" w:name="_Toc19390512"/>
      <w:bookmarkStart w:id="11538" w:name="_Toc19394009"/>
      <w:r w:rsidRPr="00171822">
        <w:rPr>
          <w:rFonts w:hint="cs"/>
          <w:rtl/>
        </w:rPr>
        <w:t>הוכחת התוס' בבכורות מהגמ' בתינוק ומהגמ' לקמן דרק בסמוך מיעוטא לחזקה חייש ר"מ מדאו'</w:t>
      </w:r>
      <w:bookmarkEnd w:id="11535"/>
      <w:bookmarkEnd w:id="11536"/>
      <w:bookmarkEnd w:id="11537"/>
      <w:bookmarkEnd w:id="11538"/>
    </w:p>
    <w:p w14:paraId="4977CE78" w14:textId="77777777" w:rsidR="005E1F6B" w:rsidRPr="001860AA" w:rsidRDefault="005E1F6B" w:rsidP="00223668">
      <w:pPr>
        <w:pStyle w:val="a0"/>
        <w:rPr>
          <w:rtl/>
        </w:rPr>
      </w:pPr>
      <w:r>
        <w:rPr>
          <w:rFonts w:hint="cs"/>
          <w:rtl/>
        </w:rPr>
        <w:t xml:space="preserve">וכ"כ </w:t>
      </w:r>
      <w:r w:rsidRPr="001F450F">
        <w:rPr>
          <w:rStyle w:val="af9"/>
          <w:rFonts w:hint="cs"/>
          <w:rtl/>
        </w:rPr>
        <w:t>התוס' בבכורות</w:t>
      </w:r>
      <w:r>
        <w:rPr>
          <w:rFonts w:hint="cs"/>
          <w:rtl/>
        </w:rPr>
        <w:t xml:space="preserve"> </w:t>
      </w:r>
      <w:r w:rsidRPr="001F450F">
        <w:rPr>
          <w:rStyle w:val="af7"/>
          <w:rFonts w:eastAsia="Guttman Hodes" w:hint="cs"/>
          <w:rtl/>
        </w:rPr>
        <w:t>(כ. ד"ה ואב"א)</w:t>
      </w:r>
      <w:r>
        <w:rPr>
          <w:rFonts w:hint="cs"/>
          <w:rtl/>
        </w:rPr>
        <w:t xml:space="preserve"> דבמקום שיש חזקה שמסייעת למיעוט, מדאו' חייש ר"מ למיעוטא, כמבואר מהא דמטהר ר"מ בתינוק שנמצא בצד </w:t>
      </w:r>
      <w:r w:rsidRPr="001860AA">
        <w:rPr>
          <w:rFonts w:hint="cs"/>
          <w:rtl/>
        </w:rPr>
        <w:t>העיסה, וכ</w:t>
      </w:r>
      <w:r>
        <w:rPr>
          <w:rFonts w:hint="cs"/>
          <w:rtl/>
        </w:rPr>
        <w:t xml:space="preserve">מבואר </w:t>
      </w:r>
      <w:r w:rsidRPr="001860AA">
        <w:rPr>
          <w:rFonts w:hint="cs"/>
          <w:rtl/>
        </w:rPr>
        <w:t xml:space="preserve">מקושית הגמ' לקמן </w:t>
      </w:r>
      <w:r w:rsidRPr="001860AA">
        <w:rPr>
          <w:rStyle w:val="af7"/>
          <w:rFonts w:eastAsia="Guttman Hodes" w:hint="cs"/>
          <w:rtl/>
        </w:rPr>
        <w:t>(פו:)</w:t>
      </w:r>
      <w:r w:rsidRPr="001860AA">
        <w:rPr>
          <w:rFonts w:hint="cs"/>
          <w:rtl/>
        </w:rPr>
        <w:t xml:space="preserve"> דר"מ יתיר לשחוט אותו ואת בנו אחר שחיטת חש"ו</w:t>
      </w:r>
      <w:r>
        <w:rPr>
          <w:rFonts w:hint="cs"/>
          <w:rtl/>
        </w:rPr>
        <w:t>,</w:t>
      </w:r>
      <w:r w:rsidRPr="001860AA">
        <w:rPr>
          <w:rFonts w:hint="cs"/>
          <w:rtl/>
        </w:rPr>
        <w:t xml:space="preserve"> אף שאין רוב מעשיהם מקולקלין.</w:t>
      </w:r>
    </w:p>
    <w:p w14:paraId="1438BBFF" w14:textId="77777777" w:rsidR="005E1F6B" w:rsidRDefault="005E1F6B" w:rsidP="006D6D32">
      <w:pPr>
        <w:pStyle w:val="a3"/>
        <w:rPr>
          <w:rtl/>
        </w:rPr>
      </w:pPr>
      <w:bookmarkStart w:id="11539" w:name="_Toc531158388"/>
      <w:bookmarkStart w:id="11540" w:name="_Toc531182514"/>
      <w:bookmarkStart w:id="11541" w:name="_Toc19390513"/>
      <w:bookmarkStart w:id="11542" w:name="_Toc19394010"/>
      <w:r>
        <w:rPr>
          <w:rFonts w:hint="cs"/>
          <w:rtl/>
        </w:rPr>
        <w:t>קושיית התוס' ביבמות אמאי בדמאי אין איסור ודאי לר"מ דחייש למיעוטא ויש חזקת איסור</w:t>
      </w:r>
      <w:bookmarkEnd w:id="11539"/>
      <w:bookmarkEnd w:id="11540"/>
      <w:bookmarkEnd w:id="11541"/>
      <w:bookmarkEnd w:id="11542"/>
    </w:p>
    <w:p w14:paraId="5F90D66A" w14:textId="77777777" w:rsidR="005E1F6B" w:rsidRDefault="005E1F6B" w:rsidP="00223668">
      <w:pPr>
        <w:pStyle w:val="a0"/>
        <w:rPr>
          <w:rtl/>
        </w:rPr>
      </w:pPr>
      <w:r>
        <w:rPr>
          <w:rFonts w:hint="cs"/>
          <w:rtl/>
        </w:rPr>
        <w:t xml:space="preserve">הקשו </w:t>
      </w:r>
      <w:r w:rsidRPr="004B53E4">
        <w:rPr>
          <w:rStyle w:val="af9"/>
          <w:rFonts w:hint="cs"/>
          <w:rtl/>
        </w:rPr>
        <w:t>התוס' ביבמות</w:t>
      </w:r>
      <w:r>
        <w:rPr>
          <w:rFonts w:hint="cs"/>
          <w:rtl/>
        </w:rPr>
        <w:t xml:space="preserve"> </w:t>
      </w:r>
      <w:r w:rsidRPr="004B53E4">
        <w:rPr>
          <w:rStyle w:val="af7"/>
          <w:rFonts w:eastAsia="Guttman Hodes" w:hint="cs"/>
          <w:rtl/>
        </w:rPr>
        <w:t>(קיט. סוד"ה מחוורתא)</w:t>
      </w:r>
      <w:r>
        <w:rPr>
          <w:rFonts w:hint="cs"/>
          <w:rtl/>
        </w:rPr>
        <w:t xml:space="preserve"> דלר"מ היאך שייך דין דמאי, הא כיון שיש מיעוט עמי הארץ שאינם מעשרים, א"כ אינו רק ספק וצריך לאוסרו מדין ודאי, ועוד הקשו דהא יש לדמאי חזקת טבל.</w:t>
      </w:r>
    </w:p>
    <w:p w14:paraId="527E83DD" w14:textId="77777777" w:rsidR="005E1F6B" w:rsidRPr="00C106A4" w:rsidRDefault="005E1F6B" w:rsidP="006D6D32">
      <w:pPr>
        <w:pStyle w:val="a3"/>
      </w:pPr>
      <w:bookmarkStart w:id="11543" w:name="_Toc531158389"/>
      <w:bookmarkStart w:id="11544" w:name="_Toc531182515"/>
      <w:bookmarkStart w:id="11545" w:name="_Toc19390514"/>
      <w:bookmarkStart w:id="11546" w:name="_Toc19394011"/>
      <w:r>
        <w:rPr>
          <w:rFonts w:hint="cs"/>
          <w:rtl/>
        </w:rPr>
        <w:t>ספק התוס' ביבמות אי בסמוך מיעוטא לחזקה חייש ר"מ למיעוט מדאו'</w:t>
      </w:r>
      <w:bookmarkEnd w:id="11543"/>
      <w:bookmarkEnd w:id="11544"/>
      <w:bookmarkEnd w:id="11545"/>
      <w:bookmarkEnd w:id="11546"/>
    </w:p>
    <w:p w14:paraId="5A958994" w14:textId="77777777" w:rsidR="005E1F6B" w:rsidRDefault="005E1F6B" w:rsidP="00223668">
      <w:pPr>
        <w:pStyle w:val="a0"/>
        <w:rPr>
          <w:rtl/>
        </w:rPr>
      </w:pPr>
      <w:bookmarkStart w:id="11547" w:name="_Ref531155601"/>
      <w:r>
        <w:rPr>
          <w:rFonts w:hint="cs"/>
          <w:rtl/>
        </w:rPr>
        <w:t xml:space="preserve">ותירצו </w:t>
      </w:r>
      <w:r w:rsidRPr="004B53E4">
        <w:rPr>
          <w:rStyle w:val="af9"/>
          <w:rFonts w:hint="cs"/>
          <w:rtl/>
        </w:rPr>
        <w:t>התוס' ביבמות</w:t>
      </w:r>
      <w:r>
        <w:rPr>
          <w:rFonts w:hint="cs"/>
          <w:rtl/>
        </w:rPr>
        <w:t xml:space="preserve"> דאי נימא דאף במקום חזקה מדאו' לא חייש ר"מ למיעוטא מיושב, דרק מדרבנן חששו למיעוט שאינם מעשרים וגזרו עליו דמאי. ועוד תירצו </w:t>
      </w:r>
      <w:r w:rsidRPr="00831531">
        <w:rPr>
          <w:rStyle w:val="af9"/>
          <w:rFonts w:hint="cs"/>
          <w:rtl/>
        </w:rPr>
        <w:t>התוס' ביבמות</w:t>
      </w:r>
      <w:r>
        <w:rPr>
          <w:rFonts w:hint="cs"/>
          <w:rtl/>
        </w:rPr>
        <w:t xml:space="preserve"> דאף שיש מיעוט שאין מעשרין, מ"מ לא חיישינן ליה, דרק המיעוט הוחזק שאינו מעשר, וכל ישראל לא הוחזקו.</w:t>
      </w:r>
      <w:bookmarkEnd w:id="11547"/>
      <w:r w:rsidRPr="00A72162">
        <w:rPr>
          <w:rFonts w:hint="cs"/>
          <w:rtl/>
        </w:rPr>
        <w:t xml:space="preserve"> </w:t>
      </w:r>
      <w:r>
        <w:rPr>
          <w:rFonts w:hint="cs"/>
          <w:rtl/>
        </w:rPr>
        <w:t>ו</w:t>
      </w:r>
      <w:r w:rsidRPr="002466AE">
        <w:rPr>
          <w:rFonts w:hint="cs"/>
          <w:rtl/>
        </w:rPr>
        <w:t xml:space="preserve">כתב </w:t>
      </w:r>
      <w:r w:rsidRPr="002D6B14">
        <w:rPr>
          <w:rStyle w:val="af9"/>
          <w:rFonts w:hint="cs"/>
          <w:rtl/>
        </w:rPr>
        <w:t>הראש יוסף</w:t>
      </w:r>
      <w:r>
        <w:rPr>
          <w:rFonts w:hint="cs"/>
          <w:rtl/>
        </w:rPr>
        <w:t xml:space="preserve"> </w:t>
      </w:r>
      <w:r w:rsidRPr="00A72162">
        <w:rPr>
          <w:rStyle w:val="af7"/>
          <w:rFonts w:eastAsia="Guttman Hodes" w:hint="cs"/>
          <w:rtl/>
        </w:rPr>
        <w:t>(יב. ד"ה ודרך השני)</w:t>
      </w:r>
      <w:r>
        <w:rPr>
          <w:rFonts w:hint="cs"/>
          <w:rtl/>
        </w:rPr>
        <w:t xml:space="preserve"> ד</w:t>
      </w:r>
      <w:r w:rsidRPr="002466AE">
        <w:rPr>
          <w:rFonts w:hint="cs"/>
          <w:rtl/>
        </w:rPr>
        <w:t>משמע</w:t>
      </w:r>
      <w:r>
        <w:rPr>
          <w:rFonts w:hint="cs"/>
          <w:rtl/>
        </w:rPr>
        <w:t xml:space="preserve"> מדברי </w:t>
      </w:r>
      <w:r>
        <w:rPr>
          <w:rStyle w:val="af9"/>
          <w:rFonts w:hint="cs"/>
          <w:rtl/>
        </w:rPr>
        <w:t>ה</w:t>
      </w:r>
      <w:r w:rsidRPr="002466AE">
        <w:rPr>
          <w:rStyle w:val="af9"/>
          <w:rFonts w:hint="cs"/>
          <w:rtl/>
        </w:rPr>
        <w:t xml:space="preserve">תוס' </w:t>
      </w:r>
      <w:r w:rsidRPr="004B53E4">
        <w:rPr>
          <w:rStyle w:val="af9"/>
          <w:rFonts w:hint="cs"/>
          <w:rtl/>
        </w:rPr>
        <w:t>ביבמות</w:t>
      </w:r>
      <w:r>
        <w:rPr>
          <w:rFonts w:hint="cs"/>
          <w:rtl/>
        </w:rPr>
        <w:t xml:space="preserve"> </w:t>
      </w:r>
      <w:r w:rsidRPr="002466AE">
        <w:rPr>
          <w:rFonts w:hint="cs"/>
          <w:rtl/>
        </w:rPr>
        <w:t>דאף כשהחזקה מסייעת למיעוט, ס"ל לר"מ דרק מדרבנן חיישינן</w:t>
      </w:r>
      <w:r>
        <w:rPr>
          <w:rFonts w:hint="cs"/>
          <w:rtl/>
        </w:rPr>
        <w:t xml:space="preserve"> למיעוט. </w:t>
      </w:r>
      <w:r w:rsidRPr="00831531">
        <w:rPr>
          <w:rFonts w:hint="cs"/>
          <w:rtl/>
        </w:rPr>
        <w:t xml:space="preserve"> </w:t>
      </w:r>
    </w:p>
    <w:p w14:paraId="35CBD9DE" w14:textId="77777777" w:rsidR="005E1F6B" w:rsidRPr="006122B0" w:rsidRDefault="005E1F6B" w:rsidP="00BF39B2">
      <w:pPr>
        <w:pStyle w:val="1"/>
        <w:rPr>
          <w:rtl/>
        </w:rPr>
      </w:pPr>
      <w:bookmarkStart w:id="11548" w:name="_Toc531158390"/>
      <w:bookmarkStart w:id="11549" w:name="_Toc531182516"/>
      <w:bookmarkStart w:id="11550" w:name="_Toc19390515"/>
      <w:bookmarkStart w:id="11551" w:name="_Toc19394012"/>
      <w:r>
        <w:rPr>
          <w:rFonts w:hint="cs"/>
          <w:rtl/>
        </w:rPr>
        <w:t>דברי הגרעק"א דבגמ' בקידושין מוכח דר"מ חייש מדאו'</w:t>
      </w:r>
      <w:bookmarkEnd w:id="11548"/>
      <w:bookmarkEnd w:id="11549"/>
      <w:bookmarkEnd w:id="11550"/>
      <w:bookmarkEnd w:id="11551"/>
    </w:p>
    <w:p w14:paraId="6871F116" w14:textId="77777777" w:rsidR="005E1F6B" w:rsidRDefault="005E1F6B" w:rsidP="006D6D32">
      <w:pPr>
        <w:pStyle w:val="a3"/>
        <w:rPr>
          <w:rtl/>
        </w:rPr>
      </w:pPr>
      <w:bookmarkStart w:id="11552" w:name="_Toc531158391"/>
      <w:bookmarkStart w:id="11553" w:name="_Toc531182517"/>
      <w:bookmarkStart w:id="11554" w:name="_Toc19390516"/>
      <w:bookmarkStart w:id="11555" w:name="_Toc19394013"/>
      <w:r>
        <w:rPr>
          <w:rFonts w:hint="cs"/>
          <w:rtl/>
        </w:rPr>
        <w:t>קושית הגרעק"א דמפורש בגמ' בקידושין דבסמוך מיעוטא לחזקה מדאו' חייש ר"מ למיעוט</w:t>
      </w:r>
      <w:bookmarkEnd w:id="11552"/>
      <w:bookmarkEnd w:id="11553"/>
      <w:bookmarkEnd w:id="11554"/>
      <w:bookmarkEnd w:id="11555"/>
      <w:r>
        <w:rPr>
          <w:rFonts w:hint="cs"/>
          <w:rtl/>
        </w:rPr>
        <w:t xml:space="preserve"> </w:t>
      </w:r>
    </w:p>
    <w:p w14:paraId="763AD838" w14:textId="77777777" w:rsidR="005E1F6B" w:rsidRDefault="005E1F6B" w:rsidP="00223668">
      <w:pPr>
        <w:pStyle w:val="a0"/>
        <w:rPr>
          <w:rtl/>
        </w:rPr>
      </w:pPr>
      <w:r>
        <w:rPr>
          <w:rFonts w:hint="cs"/>
          <w:rtl/>
        </w:rPr>
        <w:t xml:space="preserve">הקשה </w:t>
      </w:r>
      <w:r w:rsidRPr="004B53E4">
        <w:rPr>
          <w:rStyle w:val="af9"/>
          <w:rFonts w:hint="cs"/>
          <w:rtl/>
        </w:rPr>
        <w:t>הגרעק"א ביבמות</w:t>
      </w:r>
      <w:r>
        <w:rPr>
          <w:rFonts w:hint="cs"/>
          <w:rtl/>
        </w:rPr>
        <w:t xml:space="preserve"> </w:t>
      </w:r>
      <w:r w:rsidRPr="004B53E4">
        <w:rPr>
          <w:rStyle w:val="af7"/>
          <w:rFonts w:eastAsia="Guttman Hodes" w:hint="cs"/>
          <w:rtl/>
        </w:rPr>
        <w:t>(קיט. על תוד"ה מחוורתא)</w:t>
      </w:r>
      <w:r>
        <w:rPr>
          <w:rFonts w:hint="cs"/>
          <w:rtl/>
        </w:rPr>
        <w:t xml:space="preserve"> דמהא דטיהר ר"מ בגמ' בקידושין </w:t>
      </w:r>
      <w:r w:rsidRPr="004B53E4">
        <w:rPr>
          <w:rStyle w:val="af7"/>
          <w:rFonts w:eastAsia="Guttman Hodes" w:hint="cs"/>
          <w:rtl/>
        </w:rPr>
        <w:t>(פ.)</w:t>
      </w:r>
      <w:r>
        <w:rPr>
          <w:rFonts w:hint="cs"/>
          <w:rtl/>
        </w:rPr>
        <w:t xml:space="preserve"> בתינוק שנמצא בצד העיסה, כיון שיש לעיסה חזקת טהרה, ומוכח דהדין סמוך מיעוטא לחזקה לר"מ הוא מדאו', דאף לקולא אמרינן סמוך. והקשה </w:t>
      </w:r>
      <w:r w:rsidRPr="004B53E4">
        <w:rPr>
          <w:rStyle w:val="af9"/>
          <w:rFonts w:hint="cs"/>
          <w:rtl/>
        </w:rPr>
        <w:t>הגרעק"א</w:t>
      </w:r>
      <w:r>
        <w:rPr>
          <w:rFonts w:hint="cs"/>
          <w:rtl/>
        </w:rPr>
        <w:t xml:space="preserve"> </w:t>
      </w:r>
      <w:r w:rsidRPr="004B53E4">
        <w:rPr>
          <w:rStyle w:val="af9"/>
          <w:rFonts w:hint="cs"/>
          <w:rtl/>
        </w:rPr>
        <w:t>ביבמות</w:t>
      </w:r>
      <w:r>
        <w:rPr>
          <w:rFonts w:hint="cs"/>
          <w:rtl/>
        </w:rPr>
        <w:t xml:space="preserve"> דכיון דמבואר בגמ' בקידושין, דלר"מ מדאו' אמרינן סמוך מיעוטא לחזקה, א"כ כל דמאי יהיה אסור מדינא דסמוך מיעוטא לחזקת טבל, ועי' בדברי </w:t>
      </w:r>
      <w:r w:rsidRPr="0049658F">
        <w:rPr>
          <w:rStyle w:val="af9"/>
          <w:rFonts w:hint="cs"/>
          <w:rtl/>
        </w:rPr>
        <w:t>הבית הלוי</w:t>
      </w:r>
      <w:r>
        <w:rPr>
          <w:rFonts w:hint="cs"/>
          <w:rtl/>
        </w:rPr>
        <w:t xml:space="preserve"> </w:t>
      </w:r>
      <w:r w:rsidRPr="0049658F">
        <w:rPr>
          <w:rStyle w:val="af7"/>
          <w:rFonts w:eastAsia="Guttman Hodes" w:hint="cs"/>
          <w:rtl/>
        </w:rPr>
        <w:t>(ח"ב סי' ז' אות ז')</w:t>
      </w:r>
      <w:r>
        <w:rPr>
          <w:rFonts w:hint="cs"/>
          <w:rtl/>
        </w:rPr>
        <w:t xml:space="preserve"> במה שתירץ.</w:t>
      </w:r>
    </w:p>
    <w:p w14:paraId="4A85C684" w14:textId="77777777" w:rsidR="005E1F6B" w:rsidRDefault="005E1F6B" w:rsidP="006D6D32">
      <w:pPr>
        <w:pStyle w:val="afe"/>
        <w:rPr>
          <w:rtl/>
        </w:rPr>
      </w:pPr>
      <w:bookmarkStart w:id="11556" w:name="_Toc531182518"/>
      <w:bookmarkStart w:id="11557" w:name="_Toc19435759"/>
      <w:bookmarkStart w:id="11558" w:name="_Toc20081016"/>
      <w:bookmarkStart w:id="11559" w:name="_Toc531023284"/>
      <w:bookmarkStart w:id="11560" w:name="_Toc531106327"/>
      <w:bookmarkStart w:id="11561" w:name="_Toc531111274"/>
      <w:bookmarkStart w:id="11562" w:name="_Toc531158409"/>
      <w:bookmarkStart w:id="11563" w:name="_Toc531158392"/>
      <w:bookmarkStart w:id="11564" w:name="_Toc531106322"/>
      <w:bookmarkStart w:id="11565" w:name="_Toc531111269"/>
      <w:r w:rsidRPr="00F84872">
        <w:rPr>
          <w:rFonts w:hint="cs"/>
          <w:rtl/>
        </w:rPr>
        <w:t>פלוגתת הרשב"א והרא</w:t>
      </w:r>
      <w:r>
        <w:rPr>
          <w:rFonts w:hint="cs"/>
          <w:rtl/>
        </w:rPr>
        <w:t>"ה בגדר סמל"ח</w:t>
      </w:r>
      <w:bookmarkEnd w:id="11556"/>
      <w:bookmarkEnd w:id="11557"/>
      <w:bookmarkEnd w:id="11558"/>
    </w:p>
    <w:p w14:paraId="091D9EA2" w14:textId="77777777" w:rsidR="005E1F6B" w:rsidRDefault="005E1F6B" w:rsidP="00BF39B2">
      <w:pPr>
        <w:pStyle w:val="1"/>
        <w:rPr>
          <w:rtl/>
        </w:rPr>
      </w:pPr>
      <w:bookmarkStart w:id="11566" w:name="_Toc531182519"/>
      <w:bookmarkStart w:id="11567" w:name="_Toc19390517"/>
      <w:bookmarkStart w:id="11568" w:name="_Toc19394014"/>
      <w:r w:rsidRPr="00F84872">
        <w:rPr>
          <w:rFonts w:hint="cs"/>
          <w:rtl/>
        </w:rPr>
        <w:t>פלוגתת הרשב"א והרא</w:t>
      </w:r>
      <w:r>
        <w:rPr>
          <w:rFonts w:hint="cs"/>
          <w:rtl/>
        </w:rPr>
        <w:t>"ה ברוב מצויין אצל שחיטה מומחין הן</w:t>
      </w:r>
      <w:bookmarkEnd w:id="11559"/>
      <w:bookmarkEnd w:id="11560"/>
      <w:bookmarkEnd w:id="11561"/>
      <w:bookmarkEnd w:id="11562"/>
      <w:bookmarkEnd w:id="11566"/>
      <w:bookmarkEnd w:id="11567"/>
      <w:bookmarkEnd w:id="11568"/>
    </w:p>
    <w:p w14:paraId="505B56D0" w14:textId="77777777" w:rsidR="005E1F6B" w:rsidRPr="00F07037" w:rsidRDefault="005E1F6B" w:rsidP="006D6D32">
      <w:pPr>
        <w:pStyle w:val="a3"/>
        <w:rPr>
          <w:rtl/>
        </w:rPr>
      </w:pPr>
      <w:bookmarkStart w:id="11569" w:name="_Toc531182520"/>
      <w:bookmarkStart w:id="11570" w:name="_Toc19390518"/>
      <w:bookmarkStart w:id="11571" w:name="_Toc19394015"/>
      <w:r>
        <w:rPr>
          <w:rFonts w:hint="cs"/>
          <w:rtl/>
        </w:rPr>
        <w:t>דברי הרא"ה דרוב מצויין אצל שחיטה היינו "כל" ולכן לא אמרינן סמוך מיעוטא לחזקת איסור</w:t>
      </w:r>
      <w:bookmarkEnd w:id="11569"/>
      <w:bookmarkEnd w:id="11570"/>
      <w:bookmarkEnd w:id="11571"/>
    </w:p>
    <w:p w14:paraId="5B1E389C" w14:textId="77777777" w:rsidR="005E1F6B" w:rsidRDefault="005E1F6B" w:rsidP="00223668">
      <w:pPr>
        <w:pStyle w:val="a0"/>
        <w:rPr>
          <w:rtl/>
        </w:rPr>
      </w:pPr>
      <w:bookmarkStart w:id="11572" w:name="_Ref531034260"/>
      <w:r>
        <w:rPr>
          <w:rFonts w:hint="cs"/>
          <w:rtl/>
        </w:rPr>
        <w:t xml:space="preserve">כתב </w:t>
      </w:r>
      <w:r w:rsidRPr="00F07037">
        <w:rPr>
          <w:rStyle w:val="af9"/>
          <w:rFonts w:hint="cs"/>
          <w:rtl/>
        </w:rPr>
        <w:t>הרא"ה בבד"ה</w:t>
      </w:r>
      <w:r>
        <w:rPr>
          <w:rFonts w:hint="cs"/>
          <w:rtl/>
        </w:rPr>
        <w:t xml:space="preserve"> </w:t>
      </w:r>
      <w:r w:rsidRPr="00F07037">
        <w:rPr>
          <w:rStyle w:val="af7"/>
          <w:rFonts w:eastAsia="Guttman Hodes" w:hint="cs"/>
          <w:rtl/>
        </w:rPr>
        <w:t>(ב"א ש"א דף ו: מדה"ס ד"ה עו"כ)</w:t>
      </w:r>
      <w:r>
        <w:rPr>
          <w:rFonts w:hint="cs"/>
          <w:rtl/>
        </w:rPr>
        <w:t xml:space="preserve"> דהא דאיתא בגמ' דרוב מצויין אצל שחיטה מומחין הן, לאו דוקא רוב אלא כל, ואין מיעוט שאינם מצויין, דאי הוא רק רוב, א"כ א"א להתיר את הבהמה מכח רוב זה, דכיון שהבהמה בחזקת איסור, א"כ אמרינן סמוך מיעוטא שאינם מומחין לחזקה ותאסר.</w:t>
      </w:r>
    </w:p>
    <w:p w14:paraId="316EAAB7" w14:textId="77777777" w:rsidR="005E1F6B" w:rsidRPr="00015939" w:rsidRDefault="005E1F6B" w:rsidP="006D6D32">
      <w:pPr>
        <w:pStyle w:val="a3"/>
      </w:pPr>
      <w:bookmarkStart w:id="11573" w:name="_Toc531182521"/>
      <w:bookmarkStart w:id="11574" w:name="_Toc19390519"/>
      <w:bookmarkStart w:id="11575" w:name="_Toc19394016"/>
      <w:r>
        <w:rPr>
          <w:rFonts w:hint="cs"/>
          <w:rtl/>
        </w:rPr>
        <w:t>דברי הרא"ה בבד"ה דביבמות איתא דהוי פלגא ופלגא ולקמן מבואר דסמוך עדיף מרוב</w:t>
      </w:r>
      <w:bookmarkEnd w:id="11573"/>
      <w:bookmarkEnd w:id="11574"/>
      <w:bookmarkEnd w:id="11575"/>
    </w:p>
    <w:p w14:paraId="7D97F37C" w14:textId="77777777" w:rsidR="005E1F6B" w:rsidRDefault="005E1F6B" w:rsidP="00223668">
      <w:pPr>
        <w:pStyle w:val="a0"/>
        <w:rPr>
          <w:rtl/>
        </w:rPr>
      </w:pPr>
      <w:bookmarkStart w:id="11576" w:name="_Ref531173983"/>
      <w:r>
        <w:rPr>
          <w:rFonts w:hint="cs"/>
          <w:rtl/>
        </w:rPr>
        <w:t xml:space="preserve">והוסיף </w:t>
      </w:r>
      <w:r w:rsidRPr="00F07037">
        <w:rPr>
          <w:rStyle w:val="af9"/>
          <w:rFonts w:hint="cs"/>
          <w:rtl/>
        </w:rPr>
        <w:t>הרא"ה בבד"ה</w:t>
      </w:r>
      <w:r>
        <w:rPr>
          <w:rFonts w:hint="cs"/>
          <w:rtl/>
        </w:rPr>
        <w:t xml:space="preserve"> דבגמ' ביבמות </w:t>
      </w:r>
      <w:r w:rsidRPr="00F07037">
        <w:rPr>
          <w:rStyle w:val="af7"/>
          <w:rFonts w:eastAsia="Guttman Hodes" w:hint="cs"/>
          <w:rtl/>
        </w:rPr>
        <w:t>(קיט.)</w:t>
      </w:r>
      <w:r>
        <w:rPr>
          <w:rFonts w:hint="cs"/>
          <w:rtl/>
        </w:rPr>
        <w:t xml:space="preserve"> מבואר דסמוך מיעוטא לחזקה הוי כפלגא ופלגא, ובגמ' לקמן </w:t>
      </w:r>
      <w:r w:rsidRPr="00F07037">
        <w:rPr>
          <w:rStyle w:val="af7"/>
          <w:rFonts w:eastAsia="Guttman Hodes" w:hint="cs"/>
          <w:rtl/>
        </w:rPr>
        <w:t>(פו:)</w:t>
      </w:r>
      <w:r>
        <w:rPr>
          <w:rFonts w:hint="cs"/>
          <w:rtl/>
        </w:rPr>
        <w:t xml:space="preserve"> מבואר דיש כח למיעוט ולחזקה יותר מהרוב.</w:t>
      </w:r>
      <w:bookmarkEnd w:id="11572"/>
      <w:bookmarkEnd w:id="11576"/>
    </w:p>
    <w:p w14:paraId="4964E76A" w14:textId="77777777" w:rsidR="005E1F6B" w:rsidRDefault="005E1F6B" w:rsidP="006D6D32">
      <w:pPr>
        <w:pStyle w:val="a3"/>
        <w:rPr>
          <w:rtl/>
        </w:rPr>
      </w:pPr>
      <w:bookmarkStart w:id="11577" w:name="_Toc531182522"/>
      <w:bookmarkStart w:id="11578" w:name="_Toc19390520"/>
      <w:bookmarkStart w:id="11579" w:name="_Toc19394017"/>
      <w:r>
        <w:rPr>
          <w:rFonts w:hint="cs"/>
          <w:rtl/>
        </w:rPr>
        <w:t>דחיית הרשב"א דכיון שחלק משאינם מומחין שוחטין כדין חשיב המיעוט כמיעוטא דמיעוטא</w:t>
      </w:r>
      <w:bookmarkEnd w:id="11577"/>
      <w:bookmarkEnd w:id="11578"/>
      <w:bookmarkEnd w:id="11579"/>
      <w:r>
        <w:rPr>
          <w:rFonts w:hint="cs"/>
          <w:rtl/>
        </w:rPr>
        <w:t xml:space="preserve"> </w:t>
      </w:r>
    </w:p>
    <w:p w14:paraId="3F0EA1A7" w14:textId="77777777" w:rsidR="005E1F6B" w:rsidRDefault="005E1F6B" w:rsidP="00223668">
      <w:pPr>
        <w:pStyle w:val="a0"/>
      </w:pPr>
      <w:bookmarkStart w:id="11580" w:name="_Ref531171830"/>
      <w:r w:rsidRPr="00412D5C">
        <w:rPr>
          <w:rStyle w:val="af9"/>
          <w:rFonts w:hint="cs"/>
          <w:rtl/>
        </w:rPr>
        <w:t>והרשב"א במשה"ב</w:t>
      </w:r>
      <w:r>
        <w:rPr>
          <w:rFonts w:hint="cs"/>
          <w:rtl/>
        </w:rPr>
        <w:t xml:space="preserve"> </w:t>
      </w:r>
      <w:r w:rsidRPr="00412D5C">
        <w:rPr>
          <w:rStyle w:val="af7"/>
          <w:rFonts w:eastAsia="Guttman Hodes" w:hint="cs"/>
          <w:rtl/>
        </w:rPr>
        <w:t>(ב"א ש"א דף ז</w:t>
      </w:r>
      <w:r>
        <w:rPr>
          <w:rStyle w:val="af7"/>
          <w:rFonts w:eastAsia="Guttman Hodes" w:hint="cs"/>
          <w:rtl/>
        </w:rPr>
        <w:t>:</w:t>
      </w:r>
      <w:r w:rsidRPr="00412D5C">
        <w:rPr>
          <w:rStyle w:val="af7"/>
          <w:rFonts w:eastAsia="Guttman Hodes" w:hint="cs"/>
          <w:rtl/>
        </w:rPr>
        <w:t xml:space="preserve"> מדה"ס ד"ה גם במה שתפס)</w:t>
      </w:r>
      <w:r>
        <w:rPr>
          <w:rFonts w:hint="cs"/>
          <w:rtl/>
        </w:rPr>
        <w:t xml:space="preserve"> דחה את דברי </w:t>
      </w:r>
      <w:r w:rsidRPr="00412D5C">
        <w:rPr>
          <w:rStyle w:val="af9"/>
          <w:rFonts w:hint="cs"/>
          <w:rtl/>
        </w:rPr>
        <w:t>הרא"ה בבד"ה</w:t>
      </w:r>
      <w:r>
        <w:rPr>
          <w:rFonts w:hint="cs"/>
          <w:rtl/>
        </w:rPr>
        <w:t xml:space="preserve"> דהוי מיעוטא דמיעוטא, כיון שגם מתוך המיעוט שאינן מומחין, חלק שוחטין כדין, ואפילו ר"מ לא חייש למיעוטא דמיעוטא. ועוד דחה </w:t>
      </w:r>
      <w:r w:rsidRPr="00412D5C">
        <w:rPr>
          <w:rStyle w:val="af9"/>
          <w:rFonts w:hint="cs"/>
          <w:rtl/>
        </w:rPr>
        <w:t>הרשב"א במשה"ב</w:t>
      </w:r>
      <w:r>
        <w:rPr>
          <w:rFonts w:hint="cs"/>
          <w:rtl/>
        </w:rPr>
        <w:t xml:space="preserve"> דהא קיי"ל כרבנן, ומבואר בגמ' בקידושין </w:t>
      </w:r>
      <w:r w:rsidRPr="00412D5C">
        <w:rPr>
          <w:rStyle w:val="af7"/>
          <w:rFonts w:eastAsia="Guttman Hodes" w:hint="cs"/>
          <w:rtl/>
        </w:rPr>
        <w:t>(פ.)</w:t>
      </w:r>
      <w:r>
        <w:rPr>
          <w:rFonts w:hint="cs"/>
          <w:rtl/>
        </w:rPr>
        <w:t xml:space="preserve"> דס"ל לרבנן דלא חיישינן למיעוטא כלל, ולא אמרינן סמוך מיעוטא לחזקה.</w:t>
      </w:r>
      <w:bookmarkEnd w:id="11580"/>
    </w:p>
    <w:p w14:paraId="2F5C5CD5" w14:textId="77777777" w:rsidR="005E1F6B" w:rsidRPr="003007D4" w:rsidRDefault="005E1F6B" w:rsidP="006D6D32">
      <w:pPr>
        <w:pStyle w:val="a3"/>
      </w:pPr>
      <w:bookmarkStart w:id="11581" w:name="_Toc531106328"/>
      <w:bookmarkStart w:id="11582" w:name="_Toc531111275"/>
      <w:bookmarkStart w:id="11583" w:name="_Toc531158410"/>
      <w:bookmarkStart w:id="11584" w:name="_Toc531182523"/>
      <w:bookmarkStart w:id="11585" w:name="_Toc19390521"/>
      <w:bookmarkStart w:id="11586" w:name="_Toc19394018"/>
      <w:r>
        <w:rPr>
          <w:rFonts w:hint="cs"/>
          <w:rtl/>
        </w:rPr>
        <w:t>דחיית הגרעק"א דבתינוק הוא רובא דא"ק ולא אמרינן ביה סמוך מיעוטא לחזקה</w:t>
      </w:r>
      <w:bookmarkEnd w:id="11581"/>
      <w:bookmarkEnd w:id="11582"/>
      <w:bookmarkEnd w:id="11583"/>
      <w:bookmarkEnd w:id="11584"/>
      <w:bookmarkEnd w:id="11585"/>
      <w:bookmarkEnd w:id="11586"/>
    </w:p>
    <w:p w14:paraId="05623711" w14:textId="77777777" w:rsidR="005E1F6B" w:rsidRPr="004E3831" w:rsidRDefault="005E1F6B" w:rsidP="00223668">
      <w:pPr>
        <w:pStyle w:val="a0"/>
        <w:rPr>
          <w:rtl/>
        </w:rPr>
      </w:pPr>
      <w:r>
        <w:rPr>
          <w:rFonts w:hint="cs"/>
          <w:rtl/>
        </w:rPr>
        <w:t xml:space="preserve">אך </w:t>
      </w:r>
      <w:r w:rsidRPr="00317B7E">
        <w:rPr>
          <w:rFonts w:hint="cs"/>
          <w:rtl/>
        </w:rPr>
        <w:t xml:space="preserve">כתב </w:t>
      </w:r>
      <w:r w:rsidRPr="00317B7E">
        <w:rPr>
          <w:rStyle w:val="af9"/>
          <w:rFonts w:hint="cs"/>
          <w:rtl/>
        </w:rPr>
        <w:t>הגרעק"א</w:t>
      </w:r>
      <w:r w:rsidRPr="00317B7E">
        <w:rPr>
          <w:rFonts w:hint="cs"/>
          <w:rtl/>
        </w:rPr>
        <w:t xml:space="preserve"> </w:t>
      </w:r>
      <w:r w:rsidRPr="00317B7E">
        <w:rPr>
          <w:rStyle w:val="af7"/>
          <w:rFonts w:eastAsia="Guttman Hodes" w:hint="cs"/>
          <w:rtl/>
        </w:rPr>
        <w:t>(שו"ת מהדו"ת סי' ק"ג ה')</w:t>
      </w:r>
      <w:r w:rsidRPr="00317B7E">
        <w:rPr>
          <w:rFonts w:hint="cs"/>
          <w:rtl/>
        </w:rPr>
        <w:t xml:space="preserve"> דאפשר דלדחות את דברי </w:t>
      </w:r>
      <w:r w:rsidRPr="00317B7E">
        <w:rPr>
          <w:rStyle w:val="af9"/>
          <w:rFonts w:hint="cs"/>
          <w:rtl/>
        </w:rPr>
        <w:t>הרשב"א במשה"ב</w:t>
      </w:r>
      <w:r w:rsidRPr="00317B7E">
        <w:rPr>
          <w:rFonts w:hint="cs"/>
          <w:rtl/>
        </w:rPr>
        <w:t xml:space="preserve">, דהא דבתינוק לא אמרינן סמוך מיעוטא לחזקה הוא כיון דהוא רובא דאיתא קמן כדכתב </w:t>
      </w:r>
      <w:r w:rsidRPr="00317B7E">
        <w:rPr>
          <w:rStyle w:val="af9"/>
          <w:rFonts w:hint="cs"/>
          <w:rtl/>
        </w:rPr>
        <w:t xml:space="preserve">רש"י בקידושין </w:t>
      </w:r>
      <w:r w:rsidRPr="00317B7E">
        <w:rPr>
          <w:rStyle w:val="af7"/>
          <w:rFonts w:eastAsia="Guttman Hodes" w:hint="cs"/>
          <w:rtl/>
        </w:rPr>
        <w:t>(פ. ד"ה אם)</w:t>
      </w:r>
      <w:r w:rsidRPr="00317B7E">
        <w:rPr>
          <w:rFonts w:hint="cs"/>
          <w:rtl/>
        </w:rPr>
        <w:t>, וברובא דאיתא</w:t>
      </w:r>
      <w:r w:rsidRPr="004E3831">
        <w:rPr>
          <w:rFonts w:hint="cs"/>
          <w:rtl/>
        </w:rPr>
        <w:t xml:space="preserve"> קמן לא סמכינן את המיעוט לחזקה</w:t>
      </w:r>
      <w:r>
        <w:rPr>
          <w:rFonts w:hint="cs"/>
          <w:rtl/>
        </w:rPr>
        <w:t>.</w:t>
      </w:r>
    </w:p>
    <w:p w14:paraId="23E738EE" w14:textId="77777777" w:rsidR="005E1F6B" w:rsidRDefault="005E1F6B" w:rsidP="006D6D32">
      <w:pPr>
        <w:pStyle w:val="a3"/>
        <w:rPr>
          <w:rtl/>
        </w:rPr>
      </w:pPr>
      <w:bookmarkStart w:id="11587" w:name="_Toc531182524"/>
      <w:bookmarkStart w:id="11588" w:name="_Toc19390522"/>
      <w:bookmarkStart w:id="11589" w:name="_Toc19394019"/>
      <w:r>
        <w:rPr>
          <w:rFonts w:hint="cs"/>
          <w:rtl/>
        </w:rPr>
        <w:t>קושיות הרשב"א דבסוגיין מוכח דלא אמרינן סמוך מיעוטא לחזקה</w:t>
      </w:r>
      <w:bookmarkEnd w:id="11587"/>
      <w:bookmarkEnd w:id="11588"/>
      <w:bookmarkEnd w:id="11589"/>
    </w:p>
    <w:p w14:paraId="787FCD50" w14:textId="77777777" w:rsidR="005E1F6B" w:rsidRDefault="005E1F6B" w:rsidP="00223668">
      <w:pPr>
        <w:pStyle w:val="a0"/>
        <w:rPr>
          <w:rStyle w:val="afb"/>
          <w:rtl/>
        </w:rPr>
      </w:pPr>
      <w:bookmarkStart w:id="11590" w:name="_Ref531171081"/>
      <w:r>
        <w:rPr>
          <w:rFonts w:hint="cs"/>
          <w:rtl/>
        </w:rPr>
        <w:t xml:space="preserve">עוד הקשה </w:t>
      </w:r>
      <w:r w:rsidRPr="00412D5C">
        <w:rPr>
          <w:rStyle w:val="af9"/>
          <w:rFonts w:hint="cs"/>
          <w:rtl/>
        </w:rPr>
        <w:t>הרשב"א במשה"ב</w:t>
      </w:r>
      <w:r>
        <w:rPr>
          <w:rFonts w:hint="cs"/>
          <w:rtl/>
        </w:rPr>
        <w:t xml:space="preserve"> דאי בשחיטה אמרינן סמוך מיעוטא לחזקה ולא אזלינן בתר רובא, א"כ היכי אכלינן בישרא ולא חיישינן למיעוט טריפות, כדמקשה הגמ' בסוגיין לר"מ, ומוכח דקיי"ל דאזלינן בתר רובא, ואף דרב כהנא דחה דדוקא בלא אפשר אזלינן בתר רובא, מ"מ רב אשי שלא חילק בין אפשר ללא אפשר, ס"ל דהמיעוט כמאן דליתיה והרוב עדיף מהחזקה, וכן רבה בר שילא שהביא ראיה מפרה אדומה לא חילק בין אפשר ללא אפשר, וכן בילפותא מפסח, ועוד הקשה </w:t>
      </w:r>
      <w:r w:rsidRPr="00412D5C">
        <w:rPr>
          <w:rStyle w:val="af9"/>
          <w:rFonts w:hint="cs"/>
          <w:rtl/>
        </w:rPr>
        <w:t>הרשב"א במשה"ב</w:t>
      </w:r>
      <w:r>
        <w:rPr>
          <w:rFonts w:hint="cs"/>
          <w:rtl/>
        </w:rPr>
        <w:t xml:space="preserve"> דרב כהנא שדחה דרק בלא אפשר אזלינן בתר רובא, למה הקשה היאך ר"מ אכל בשר, הא אף לרבנן דלא חיישי למיעוטא קשה, דנימא סמוך מיעוטא לחזקת איסור והו"ל פלגא ופלגא</w:t>
      </w:r>
      <w:r>
        <w:rPr>
          <w:rStyle w:val="af1"/>
          <w:rtl/>
        </w:rPr>
        <w:footnoteReference w:id="83"/>
      </w:r>
      <w:r>
        <w:rPr>
          <w:rFonts w:hint="cs"/>
          <w:rtl/>
        </w:rPr>
        <w:t xml:space="preserve">. </w:t>
      </w:r>
      <w:r w:rsidRPr="002D2E5A">
        <w:rPr>
          <w:rStyle w:val="afb"/>
          <w:rFonts w:hint="cs"/>
          <w:rtl/>
        </w:rPr>
        <w:t xml:space="preserve">[ועיי"ש במה שתירץ </w:t>
      </w:r>
      <w:r w:rsidRPr="002D2E5A">
        <w:rPr>
          <w:rStyle w:val="affa"/>
          <w:rFonts w:hint="cs"/>
          <w:rtl/>
        </w:rPr>
        <w:t>הרשב"א במשה"ב</w:t>
      </w:r>
      <w:r w:rsidRPr="002D2E5A">
        <w:rPr>
          <w:rStyle w:val="afb"/>
          <w:rFonts w:hint="cs"/>
          <w:rtl/>
        </w:rPr>
        <w:t xml:space="preserve"> בסברת "ודאי נגע" ואכמ"ל].</w:t>
      </w:r>
      <w:bookmarkEnd w:id="11590"/>
    </w:p>
    <w:p w14:paraId="59F46182" w14:textId="77777777" w:rsidR="005E1F6B" w:rsidRPr="00793455" w:rsidRDefault="005E1F6B" w:rsidP="006D6D32">
      <w:pPr>
        <w:pStyle w:val="a3"/>
        <w:rPr>
          <w:rtl/>
        </w:rPr>
      </w:pPr>
      <w:bookmarkStart w:id="11591" w:name="_Toc531182525"/>
      <w:bookmarkStart w:id="11592" w:name="_Toc19390523"/>
      <w:bookmarkStart w:id="11593" w:name="_Toc19394020"/>
      <w:r>
        <w:rPr>
          <w:rFonts w:hint="cs"/>
          <w:rtl/>
        </w:rPr>
        <w:t>התי' הא' ברשב"א במשה"ב דהגמ' ביבמות דאמרינן סמוך מיעוטא לחזקה היא לדעת ר"מ</w:t>
      </w:r>
      <w:bookmarkEnd w:id="11591"/>
      <w:bookmarkEnd w:id="11592"/>
      <w:bookmarkEnd w:id="11593"/>
    </w:p>
    <w:p w14:paraId="0F4DA45A" w14:textId="77777777" w:rsidR="005E1F6B" w:rsidRDefault="005E1F6B" w:rsidP="00223668">
      <w:pPr>
        <w:pStyle w:val="a0"/>
        <w:rPr>
          <w:rStyle w:val="af7"/>
          <w:rFonts w:eastAsia="Guttman Hodes"/>
          <w:rtl/>
        </w:rPr>
      </w:pPr>
      <w:r>
        <w:rPr>
          <w:rFonts w:hint="cs"/>
          <w:rtl/>
        </w:rPr>
        <w:t xml:space="preserve">והא דאיתא בגמ' ביבמות </w:t>
      </w:r>
      <w:r w:rsidRPr="00412D5C">
        <w:rPr>
          <w:rStyle w:val="af7"/>
          <w:rFonts w:eastAsia="Guttman Hodes" w:hint="cs"/>
          <w:rtl/>
        </w:rPr>
        <w:t>(קיט.)</w:t>
      </w:r>
      <w:r>
        <w:rPr>
          <w:rFonts w:hint="cs"/>
          <w:rtl/>
        </w:rPr>
        <w:t xml:space="preserve"> דאמרינן סמוך מיעוטא לחזקה, ביאר </w:t>
      </w:r>
      <w:r w:rsidRPr="00412D5C">
        <w:rPr>
          <w:rStyle w:val="af9"/>
          <w:rFonts w:hint="cs"/>
          <w:rtl/>
        </w:rPr>
        <w:t>הרשב"א במשה"ב</w:t>
      </w:r>
      <w:r>
        <w:rPr>
          <w:rFonts w:hint="cs"/>
          <w:rtl/>
        </w:rPr>
        <w:t xml:space="preserve"> </w:t>
      </w:r>
      <w:r w:rsidRPr="00412D5C">
        <w:rPr>
          <w:rStyle w:val="af7"/>
          <w:rFonts w:eastAsia="Guttman Hodes" w:hint="cs"/>
          <w:rtl/>
        </w:rPr>
        <w:t>(ב"א ש"א דף ז</w:t>
      </w:r>
      <w:r>
        <w:rPr>
          <w:rStyle w:val="af7"/>
          <w:rFonts w:eastAsia="Guttman Hodes" w:hint="cs"/>
          <w:rtl/>
        </w:rPr>
        <w:t>:</w:t>
      </w:r>
      <w:r w:rsidRPr="00412D5C">
        <w:rPr>
          <w:rStyle w:val="af7"/>
          <w:rFonts w:eastAsia="Guttman Hodes" w:hint="cs"/>
          <w:rtl/>
        </w:rPr>
        <w:t xml:space="preserve">מדה"ס ד"ה </w:t>
      </w:r>
      <w:r>
        <w:rPr>
          <w:rStyle w:val="af7"/>
          <w:rFonts w:eastAsia="Guttman Hodes" w:hint="cs"/>
          <w:rtl/>
        </w:rPr>
        <w:t>וההיא דיבמות</w:t>
      </w:r>
      <w:r w:rsidRPr="00412D5C">
        <w:rPr>
          <w:rStyle w:val="af7"/>
          <w:rFonts w:eastAsia="Guttman Hodes" w:hint="cs"/>
          <w:rtl/>
        </w:rPr>
        <w:t>)</w:t>
      </w:r>
      <w:r>
        <w:rPr>
          <w:rFonts w:hint="cs"/>
          <w:rtl/>
        </w:rPr>
        <w:t xml:space="preserve"> דהוא לדעת ר"מ דחייש למיעוטא, עיי"ש בדבריו.</w:t>
      </w:r>
    </w:p>
    <w:p w14:paraId="30A6C84B" w14:textId="77777777" w:rsidR="005E1F6B" w:rsidRDefault="005E1F6B" w:rsidP="00BF39B2">
      <w:pPr>
        <w:pStyle w:val="1"/>
        <w:rPr>
          <w:rtl/>
        </w:rPr>
      </w:pPr>
      <w:bookmarkStart w:id="11594" w:name="_Toc531182526"/>
      <w:bookmarkStart w:id="11595" w:name="_Toc19390524"/>
      <w:bookmarkStart w:id="11596" w:name="_Toc19394021"/>
      <w:r>
        <w:rPr>
          <w:rFonts w:hint="cs"/>
          <w:rtl/>
        </w:rPr>
        <w:t>ביאור הרשב"א דדוקא במיעוט שמגרע את הרוב אמרינן סמל"ח</w:t>
      </w:r>
      <w:bookmarkEnd w:id="11594"/>
      <w:bookmarkEnd w:id="11595"/>
      <w:bookmarkEnd w:id="11596"/>
    </w:p>
    <w:p w14:paraId="095EB68C" w14:textId="77777777" w:rsidR="005E1F6B" w:rsidRPr="00A67376" w:rsidRDefault="005E1F6B" w:rsidP="006D6D32">
      <w:pPr>
        <w:pStyle w:val="a3"/>
      </w:pPr>
      <w:bookmarkStart w:id="11597" w:name="_Toc531182527"/>
      <w:bookmarkStart w:id="11598" w:name="_Toc19390525"/>
      <w:bookmarkStart w:id="11599" w:name="_Toc19394022"/>
      <w:r>
        <w:rPr>
          <w:rFonts w:hint="cs"/>
          <w:rtl/>
        </w:rPr>
        <w:t>התי' הב' ברשב"א דדוקא במקום שהמיעוט עושה ריעותא ברוב עצמו אמרינן סמל"ח</w:t>
      </w:r>
      <w:bookmarkEnd w:id="11597"/>
      <w:bookmarkEnd w:id="11598"/>
      <w:bookmarkEnd w:id="11599"/>
    </w:p>
    <w:p w14:paraId="118DCF69" w14:textId="77777777" w:rsidR="005E1F6B" w:rsidRDefault="005E1F6B" w:rsidP="00223668">
      <w:pPr>
        <w:pStyle w:val="a0"/>
        <w:rPr>
          <w:rtl/>
        </w:rPr>
      </w:pPr>
      <w:bookmarkStart w:id="11600" w:name="_Ref531034250"/>
      <w:r w:rsidRPr="00F179E2">
        <w:rPr>
          <w:rFonts w:hint="cs"/>
          <w:rtl/>
        </w:rPr>
        <w:t xml:space="preserve">ועוד </w:t>
      </w:r>
      <w:r>
        <w:rPr>
          <w:rFonts w:hint="cs"/>
          <w:rtl/>
        </w:rPr>
        <w:t>תירץ</w:t>
      </w:r>
      <w:r>
        <w:rPr>
          <w:rStyle w:val="af9"/>
          <w:rFonts w:hint="cs"/>
          <w:rtl/>
        </w:rPr>
        <w:t xml:space="preserve"> </w:t>
      </w:r>
      <w:r w:rsidRPr="00412D5C">
        <w:rPr>
          <w:rStyle w:val="af9"/>
          <w:rFonts w:hint="cs"/>
          <w:rtl/>
        </w:rPr>
        <w:t>הרשב"א במשה"ב</w:t>
      </w:r>
      <w:r>
        <w:rPr>
          <w:rFonts w:hint="cs"/>
          <w:rtl/>
        </w:rPr>
        <w:t xml:space="preserve"> </w:t>
      </w:r>
      <w:r w:rsidRPr="00412D5C">
        <w:rPr>
          <w:rStyle w:val="af7"/>
          <w:rFonts w:eastAsia="Guttman Hodes" w:hint="cs"/>
          <w:rtl/>
        </w:rPr>
        <w:t xml:space="preserve">(ב"א ש"א דף </w:t>
      </w:r>
      <w:r>
        <w:rPr>
          <w:rStyle w:val="af7"/>
          <w:rFonts w:eastAsia="Guttman Hodes" w:hint="cs"/>
          <w:rtl/>
        </w:rPr>
        <w:t>ח.</w:t>
      </w:r>
      <w:r w:rsidRPr="00412D5C">
        <w:rPr>
          <w:rStyle w:val="af7"/>
          <w:rFonts w:eastAsia="Guttman Hodes" w:hint="cs"/>
          <w:rtl/>
        </w:rPr>
        <w:t xml:space="preserve"> מדה"ס ד"ה</w:t>
      </w:r>
      <w:r>
        <w:rPr>
          <w:rStyle w:val="af7"/>
          <w:rFonts w:eastAsiaTheme="minorEastAsia" w:hint="cs"/>
          <w:rtl/>
        </w:rPr>
        <w:t xml:space="preserve"> עוד אני)</w:t>
      </w:r>
      <w:r>
        <w:rPr>
          <w:rFonts w:hint="cs"/>
          <w:rtl/>
        </w:rPr>
        <w:t xml:space="preserve"> דבגמ' ביבמות איירי ברוב נשים מתעברות ויולדות, דהמיעוט שם עושה ריעותא ברוב עצמו, ומתוך הרוב יוצא המיעוט, וביאר </w:t>
      </w:r>
      <w:r w:rsidRPr="00EE50C6">
        <w:rPr>
          <w:rStyle w:val="af9"/>
          <w:rFonts w:hint="cs"/>
          <w:rtl/>
        </w:rPr>
        <w:t>הרשב"א במשה"ב</w:t>
      </w:r>
      <w:r>
        <w:rPr>
          <w:rFonts w:hint="cs"/>
          <w:rtl/>
        </w:rPr>
        <w:t xml:space="preserve"> דאין כל הנשים מתעברות, דהא יש מיעוט עקרות ואיילוניות, ואף מתוך לא כולם יולדות, דהא  יש מיעוט שמפילות, וא"כ מלבד המיעוט שלא מתעברות כלל, גם מתוך הרוב שמתעברות יש מיעוט שמגרע את הרוב עצמו, דאינם יולדות אלא מפילות, ולכן יש כח במיעוט מפילות להצטרף לחזקה כנגד הרוב, כיון שהמיעוט מפילות עושה ריעותא ברוב עצמו דמתעברות ויולדות, וכ"כ </w:t>
      </w:r>
      <w:r w:rsidRPr="007D16A1">
        <w:rPr>
          <w:rStyle w:val="af9"/>
          <w:rFonts w:hint="cs"/>
          <w:rtl/>
        </w:rPr>
        <w:t xml:space="preserve">הרשב"א ביבמות </w:t>
      </w:r>
      <w:r w:rsidRPr="001A2890">
        <w:rPr>
          <w:rStyle w:val="af7"/>
          <w:rFonts w:eastAsia="Guttman Hodes" w:hint="cs"/>
          <w:rtl/>
        </w:rPr>
        <w:t>(</w:t>
      </w:r>
      <w:r>
        <w:rPr>
          <w:rStyle w:val="af7"/>
          <w:rFonts w:eastAsia="Guttman Hodes" w:hint="cs"/>
          <w:rtl/>
        </w:rPr>
        <w:t>קיט. ד"ה ומקצת,</w:t>
      </w:r>
      <w:r w:rsidRPr="001A2890">
        <w:rPr>
          <w:rStyle w:val="af7"/>
          <w:rFonts w:eastAsia="Guttman Hodes" w:hint="cs"/>
          <w:rtl/>
        </w:rPr>
        <w:t xml:space="preserve"> ד"ה אלא אמר רבא רישא)</w:t>
      </w:r>
      <w:r>
        <w:rPr>
          <w:rFonts w:hint="cs"/>
          <w:rtl/>
        </w:rPr>
        <w:t>.</w:t>
      </w:r>
      <w:bookmarkEnd w:id="11600"/>
    </w:p>
    <w:p w14:paraId="085AAB9E" w14:textId="77777777" w:rsidR="005E1F6B" w:rsidRPr="000822A3" w:rsidRDefault="005E1F6B" w:rsidP="006D6D32">
      <w:pPr>
        <w:pStyle w:val="a3"/>
      </w:pPr>
      <w:bookmarkStart w:id="11601" w:name="_Toc531182528"/>
      <w:bookmarkStart w:id="11602" w:name="_Toc19390526"/>
      <w:bookmarkStart w:id="11603" w:name="_Toc19394023"/>
      <w:r>
        <w:rPr>
          <w:rFonts w:hint="cs"/>
          <w:rtl/>
        </w:rPr>
        <w:t>ביאור הרשב"א דברוב שרצים בבית המיעוט אינו מגרע את הרוב ולא אמרינן ביה סמל"ח</w:t>
      </w:r>
      <w:bookmarkEnd w:id="11601"/>
      <w:bookmarkEnd w:id="11602"/>
      <w:bookmarkEnd w:id="11603"/>
    </w:p>
    <w:p w14:paraId="19766FEB" w14:textId="77777777" w:rsidR="005E1F6B" w:rsidRDefault="005E1F6B" w:rsidP="00223668">
      <w:pPr>
        <w:pStyle w:val="a0"/>
        <w:rPr>
          <w:rtl/>
        </w:rPr>
      </w:pPr>
      <w:r>
        <w:rPr>
          <w:rFonts w:hint="cs"/>
          <w:rtl/>
        </w:rPr>
        <w:t xml:space="preserve">משא"כ בגמ' בקידושין </w:t>
      </w:r>
      <w:r w:rsidRPr="000822A3">
        <w:rPr>
          <w:rStyle w:val="af7"/>
          <w:rFonts w:eastAsia="Guttman Hodes" w:hint="cs"/>
          <w:rtl/>
        </w:rPr>
        <w:t xml:space="preserve">(פ.) </w:t>
      </w:r>
      <w:r>
        <w:rPr>
          <w:rFonts w:hint="cs"/>
          <w:rtl/>
        </w:rPr>
        <w:t xml:space="preserve">בעיסה טהורה שנמצאו בה אברים מנופלים, </w:t>
      </w:r>
      <w:r>
        <w:rPr>
          <w:rStyle w:val="a8"/>
          <w:rFonts w:hint="cs"/>
          <w:rtl/>
        </w:rPr>
        <w:t xml:space="preserve">ביאר </w:t>
      </w:r>
      <w:r w:rsidRPr="00EE50C6">
        <w:rPr>
          <w:rStyle w:val="af9"/>
          <w:rFonts w:hint="cs"/>
          <w:rtl/>
        </w:rPr>
        <w:t>הרשב"א במשה"ב</w:t>
      </w:r>
      <w:r>
        <w:rPr>
          <w:rStyle w:val="a8"/>
          <w:rFonts w:hint="cs"/>
          <w:rtl/>
        </w:rPr>
        <w:t xml:space="preserve"> </w:t>
      </w:r>
      <w:r>
        <w:rPr>
          <w:rFonts w:hint="cs"/>
          <w:rtl/>
        </w:rPr>
        <w:t xml:space="preserve">דהמיעוט צפרדעים בתוך הבית, אינו מגרע את רוב השרצים בתוך הבית, אלא הוא מיעוט שעומד כנגדו, </w:t>
      </w:r>
      <w:r w:rsidRPr="000822A3">
        <w:rPr>
          <w:rStyle w:val="afb"/>
          <w:rFonts w:hint="cs"/>
          <w:rtl/>
        </w:rPr>
        <w:t xml:space="preserve">[וכמיעוט שאינם מתעברות שאינו בא מתוך הרוב שמתעברות], </w:t>
      </w:r>
      <w:r>
        <w:rPr>
          <w:rFonts w:hint="cs"/>
          <w:rtl/>
        </w:rPr>
        <w:t>ולכן אין כח במיעוט לעמוד כנגד הרוב כלל, ולא אמרינן בו סמוך מיעוטא לחזקה.</w:t>
      </w:r>
    </w:p>
    <w:p w14:paraId="6FB04197" w14:textId="77777777" w:rsidR="005E1F6B" w:rsidRDefault="005E1F6B" w:rsidP="00BF39B2">
      <w:pPr>
        <w:pStyle w:val="1"/>
        <w:rPr>
          <w:rtl/>
        </w:rPr>
      </w:pPr>
      <w:bookmarkStart w:id="11604" w:name="_Toc531182529"/>
      <w:bookmarkStart w:id="11605" w:name="_Toc19390527"/>
      <w:bookmarkStart w:id="11606" w:name="_Toc19394024"/>
      <w:r>
        <w:rPr>
          <w:rFonts w:hint="cs"/>
          <w:rtl/>
        </w:rPr>
        <w:t>באורי הבית הלוי בגדר המיעוט שמגרע את הרוב</w:t>
      </w:r>
      <w:bookmarkEnd w:id="11604"/>
      <w:bookmarkEnd w:id="11605"/>
      <w:bookmarkEnd w:id="11606"/>
    </w:p>
    <w:p w14:paraId="57D13909" w14:textId="77777777" w:rsidR="005E1F6B" w:rsidRPr="00FE23BD" w:rsidRDefault="005E1F6B" w:rsidP="006D6D32">
      <w:pPr>
        <w:pStyle w:val="a3"/>
        <w:rPr>
          <w:rtl/>
        </w:rPr>
      </w:pPr>
      <w:bookmarkStart w:id="11607" w:name="_Toc531182530"/>
      <w:bookmarkStart w:id="11608" w:name="_Toc19390528"/>
      <w:bookmarkStart w:id="11609" w:name="_Toc19394025"/>
      <w:r>
        <w:rPr>
          <w:rFonts w:hint="cs"/>
          <w:rtl/>
        </w:rPr>
        <w:t>דברי הביה"ל דדוקא לרבנן שרוב עדיף מחזקה אמרינן סמל"ח רק במיעוט שמגרע את הרוב</w:t>
      </w:r>
      <w:bookmarkEnd w:id="11607"/>
      <w:bookmarkEnd w:id="11608"/>
      <w:bookmarkEnd w:id="11609"/>
      <w:r>
        <w:rPr>
          <w:rFonts w:hint="cs"/>
          <w:rtl/>
        </w:rPr>
        <w:t xml:space="preserve"> </w:t>
      </w:r>
    </w:p>
    <w:p w14:paraId="1085FFCA" w14:textId="77777777" w:rsidR="005E1F6B" w:rsidRDefault="005E1F6B" w:rsidP="00223668">
      <w:pPr>
        <w:pStyle w:val="a0"/>
        <w:rPr>
          <w:rtl/>
        </w:rPr>
      </w:pPr>
      <w:r>
        <w:rPr>
          <w:rFonts w:hint="cs"/>
          <w:rtl/>
        </w:rPr>
        <w:t xml:space="preserve">כתב </w:t>
      </w:r>
      <w:r w:rsidRPr="00AD51BD">
        <w:rPr>
          <w:rStyle w:val="af9"/>
          <w:rFonts w:hint="cs"/>
          <w:rtl/>
        </w:rPr>
        <w:t>הבית הלוי</w:t>
      </w:r>
      <w:r>
        <w:rPr>
          <w:rFonts w:hint="cs"/>
          <w:rtl/>
        </w:rPr>
        <w:t xml:space="preserve"> </w:t>
      </w:r>
      <w:r w:rsidRPr="001B560B">
        <w:rPr>
          <w:rStyle w:val="af7"/>
          <w:rFonts w:eastAsia="Guttman Hodes" w:hint="cs"/>
          <w:rtl/>
        </w:rPr>
        <w:t>(ח"ב סי' ז' אות ח')</w:t>
      </w:r>
      <w:r>
        <w:rPr>
          <w:rFonts w:hint="cs"/>
          <w:rtl/>
        </w:rPr>
        <w:t xml:space="preserve"> דכל דברי </w:t>
      </w:r>
      <w:r w:rsidRPr="00AD51BD">
        <w:rPr>
          <w:rStyle w:val="af9"/>
          <w:rFonts w:hint="cs"/>
          <w:rtl/>
        </w:rPr>
        <w:t>הרשב"א במשה"ב</w:t>
      </w:r>
      <w:r>
        <w:rPr>
          <w:rFonts w:hint="cs"/>
          <w:rtl/>
        </w:rPr>
        <w:t xml:space="preserve"> דמיעוט שלא בא מתוך הרוב אין בכחו להצטרף לחזקה, היינו לדעת רבנן דלחומרא אמרינן מדרבנן דסמוך מיעוטא לחזקה, וכיון דלדידן רוב עדיף מחזקה, א"כ רק במקום שהמיעוט בא מתוך הרוב, והוא מגרע את הרוב, יש בכחו להצטרף לחזקה כנגד הרוב, אבל מיעוט שאינו מגרע את הרוב, הרוב עדיף מהחזקה ולא אמרינן ביה סמוך מיעוטא לחזקה.</w:t>
      </w:r>
    </w:p>
    <w:p w14:paraId="7FB2A2F9" w14:textId="77777777" w:rsidR="005E1F6B" w:rsidRPr="00AD58F9" w:rsidRDefault="005E1F6B" w:rsidP="006D6D32">
      <w:pPr>
        <w:pStyle w:val="a3"/>
        <w:rPr>
          <w:rtl/>
        </w:rPr>
      </w:pPr>
      <w:bookmarkStart w:id="11610" w:name="_Toc531182531"/>
      <w:bookmarkStart w:id="11611" w:name="_Toc19390529"/>
      <w:bookmarkStart w:id="11612" w:name="_Toc19394026"/>
      <w:r>
        <w:rPr>
          <w:rFonts w:hint="cs"/>
          <w:rtl/>
        </w:rPr>
        <w:t>דברי הביה"ל דלר"מ דרוב וחזקה הוא ספק השקול אף במיעוט שאינו מגרע את הרוב אמרינן סמל"ח</w:t>
      </w:r>
      <w:bookmarkEnd w:id="11610"/>
      <w:bookmarkEnd w:id="11611"/>
      <w:bookmarkEnd w:id="11612"/>
    </w:p>
    <w:p w14:paraId="03232C50" w14:textId="77777777" w:rsidR="005E1F6B" w:rsidRDefault="005E1F6B" w:rsidP="00223668">
      <w:pPr>
        <w:pStyle w:val="a0"/>
        <w:rPr>
          <w:rtl/>
        </w:rPr>
      </w:pPr>
      <w:r>
        <w:rPr>
          <w:rFonts w:hint="cs"/>
          <w:rtl/>
        </w:rPr>
        <w:t xml:space="preserve">אבל לדעת ר"מ כתב </w:t>
      </w:r>
      <w:r w:rsidRPr="00AD51BD">
        <w:rPr>
          <w:rStyle w:val="af9"/>
          <w:rFonts w:hint="cs"/>
          <w:rtl/>
        </w:rPr>
        <w:t>הבית הלוי</w:t>
      </w:r>
      <w:r>
        <w:rPr>
          <w:rFonts w:hint="cs"/>
          <w:rtl/>
        </w:rPr>
        <w:t xml:space="preserve"> דכיון דס"ל דחיישינן למיעוטא, וא"כ אין הרוב עדיף מהחזקה, ומדאו' הוא ספק השקול, אף כשהמיעוט אינו בא מתוך הרוב ואינו מגרע את הרוב, ג"כ יש בכחו להצטרף לחזקה, [אך כתב </w:t>
      </w:r>
      <w:r w:rsidRPr="008C1012">
        <w:rPr>
          <w:rStyle w:val="af9"/>
          <w:rFonts w:hint="cs"/>
          <w:rtl/>
        </w:rPr>
        <w:t>הבית הלוי</w:t>
      </w:r>
      <w:r>
        <w:rPr>
          <w:rFonts w:hint="cs"/>
          <w:rtl/>
        </w:rPr>
        <w:t xml:space="preserve"> דלביאור </w:t>
      </w:r>
      <w:r w:rsidRPr="008C1012">
        <w:rPr>
          <w:rStyle w:val="af9"/>
          <w:rFonts w:hint="cs"/>
          <w:rtl/>
        </w:rPr>
        <w:t>הבעה"מ בקידושין</w:t>
      </w:r>
      <w:r>
        <w:rPr>
          <w:rFonts w:hint="cs"/>
          <w:rtl/>
        </w:rPr>
        <w:t xml:space="preserve"> </w:t>
      </w:r>
      <w:r w:rsidRPr="008C1012">
        <w:rPr>
          <w:rStyle w:val="af7"/>
          <w:rFonts w:eastAsia="Guttman Hodes" w:hint="cs"/>
          <w:rtl/>
        </w:rPr>
        <w:t>(דף לב. מדפי הרי"ף)</w:t>
      </w:r>
      <w:r>
        <w:rPr>
          <w:rFonts w:hint="cs"/>
          <w:rtl/>
        </w:rPr>
        <w:t xml:space="preserve"> בדין תינוק, צ"ל דאף לר"מ מדאו' רק במיעוט שמגרע את הכח של הרוב אמרינן סמוך מיעוטא לחזקה, ובמיעוט שמתנגד לרוב, רק מדרבנן אמרינן סמוך מיעוטא לחזקה, עיי"ש בדבריו].</w:t>
      </w:r>
    </w:p>
    <w:p w14:paraId="7767A44B" w14:textId="77777777" w:rsidR="005E1F6B" w:rsidRPr="00BE44C4" w:rsidRDefault="005E1F6B" w:rsidP="00BF39B2">
      <w:pPr>
        <w:pStyle w:val="1"/>
        <w:rPr>
          <w:rtl/>
        </w:rPr>
      </w:pPr>
      <w:bookmarkStart w:id="11613" w:name="_Toc531182532"/>
      <w:bookmarkStart w:id="11614" w:name="_Toc19390530"/>
      <w:bookmarkStart w:id="11615" w:name="_Toc19394027"/>
      <w:r>
        <w:rPr>
          <w:rFonts w:hint="cs"/>
          <w:rtl/>
        </w:rPr>
        <w:t>דברי הגרעק"א בסמוך מיעוטא דסריסים להרשב"א והרא"ה</w:t>
      </w:r>
      <w:bookmarkEnd w:id="11613"/>
      <w:bookmarkEnd w:id="11614"/>
      <w:bookmarkEnd w:id="11615"/>
    </w:p>
    <w:p w14:paraId="5E16CA08" w14:textId="77777777" w:rsidR="005E1F6B" w:rsidRDefault="005E1F6B" w:rsidP="006D6D32">
      <w:pPr>
        <w:pStyle w:val="a3"/>
        <w:rPr>
          <w:rtl/>
        </w:rPr>
      </w:pPr>
      <w:bookmarkStart w:id="11616" w:name="_Toc531182533"/>
      <w:bookmarkStart w:id="11617" w:name="_Toc19390531"/>
      <w:bookmarkStart w:id="11618" w:name="_Toc19394028"/>
      <w:r>
        <w:rPr>
          <w:rFonts w:hint="cs"/>
          <w:rtl/>
        </w:rPr>
        <w:t>קושיית הגרעק"א דלדעת הראשונים דלרבנן אמרינן סמל"ח נסמוך מיעוט קטנים לחזקת אשת אח</w:t>
      </w:r>
      <w:bookmarkEnd w:id="11616"/>
      <w:bookmarkEnd w:id="11617"/>
      <w:bookmarkEnd w:id="11618"/>
    </w:p>
    <w:p w14:paraId="2B517E55" w14:textId="77777777" w:rsidR="005E1F6B" w:rsidRDefault="005E1F6B" w:rsidP="00223668">
      <w:pPr>
        <w:pStyle w:val="a0"/>
        <w:rPr>
          <w:rtl/>
        </w:rPr>
      </w:pPr>
      <w:r>
        <w:rPr>
          <w:rFonts w:hint="cs"/>
          <w:rtl/>
        </w:rPr>
        <w:t xml:space="preserve">הקשה </w:t>
      </w:r>
      <w:r w:rsidRPr="00711807">
        <w:rPr>
          <w:rStyle w:val="af9"/>
          <w:rFonts w:hint="cs"/>
          <w:rtl/>
        </w:rPr>
        <w:t>הגרעק"א ביבמות</w:t>
      </w:r>
      <w:r>
        <w:rPr>
          <w:rFonts w:hint="cs"/>
          <w:rtl/>
        </w:rPr>
        <w:t xml:space="preserve"> </w:t>
      </w:r>
      <w:r w:rsidRPr="00363E17">
        <w:rPr>
          <w:rStyle w:val="af7"/>
          <w:rFonts w:eastAsia="Guttman Hodes" w:hint="cs"/>
          <w:rtl/>
        </w:rPr>
        <w:t>(קיט. ד"ה מה טעם)</w:t>
      </w:r>
      <w:r>
        <w:rPr>
          <w:rFonts w:hint="cs"/>
          <w:rtl/>
        </w:rPr>
        <w:t xml:space="preserve"> </w:t>
      </w:r>
      <w:r w:rsidRPr="008F0065">
        <w:rPr>
          <w:rFonts w:hint="cs"/>
          <w:rtl/>
        </w:rPr>
        <w:t>דלדעת</w:t>
      </w:r>
      <w:r>
        <w:rPr>
          <w:rFonts w:hint="cs"/>
          <w:rtl/>
        </w:rPr>
        <w:t xml:space="preserve"> </w:t>
      </w:r>
      <w:r w:rsidRPr="00AA076C">
        <w:rPr>
          <w:rStyle w:val="af9"/>
          <w:rFonts w:hint="cs"/>
          <w:rtl/>
        </w:rPr>
        <w:t>הראשונים</w:t>
      </w:r>
      <w:r w:rsidRPr="008F0065">
        <w:rPr>
          <w:rFonts w:hint="cs"/>
          <w:rtl/>
        </w:rPr>
        <w:t xml:space="preserve"> </w:t>
      </w:r>
      <w:r w:rsidRPr="00AA076C">
        <w:rPr>
          <w:rStyle w:val="afb"/>
          <w:rFonts w:hint="cs"/>
          <w:rtl/>
        </w:rPr>
        <w:t>[</w:t>
      </w:r>
      <w:r w:rsidRPr="00AA076C">
        <w:rPr>
          <w:rStyle w:val="affa"/>
          <w:rFonts w:hint="cs"/>
          <w:rtl/>
        </w:rPr>
        <w:t>ר"ת</w:t>
      </w:r>
      <w:r w:rsidRPr="00AA076C">
        <w:rPr>
          <w:rStyle w:val="afb"/>
          <w:rFonts w:hint="cs"/>
          <w:rtl/>
        </w:rPr>
        <w:t xml:space="preserve"> </w:t>
      </w:r>
      <w:r w:rsidRPr="00AA076C">
        <w:rPr>
          <w:rStyle w:val="aff6"/>
          <w:rFonts w:hint="cs"/>
          <w:rtl/>
        </w:rPr>
        <w:t xml:space="preserve">(עי' אות </w:t>
      </w:r>
      <w:r w:rsidRPr="00AA076C">
        <w:rPr>
          <w:rStyle w:val="aff6"/>
          <w:rtl/>
        </w:rPr>
        <w:fldChar w:fldCharType="begin"/>
      </w:r>
      <w:r w:rsidRPr="00AA076C">
        <w:rPr>
          <w:rStyle w:val="aff6"/>
          <w:rtl/>
        </w:rPr>
        <w:instrText xml:space="preserve"> </w:instrText>
      </w:r>
      <w:r w:rsidRPr="00AA076C">
        <w:rPr>
          <w:rStyle w:val="aff6"/>
          <w:rFonts w:hint="cs"/>
        </w:rPr>
        <w:instrText>REF</w:instrText>
      </w:r>
      <w:r w:rsidRPr="00AA076C">
        <w:rPr>
          <w:rStyle w:val="aff6"/>
          <w:rFonts w:hint="cs"/>
          <w:rtl/>
        </w:rPr>
        <w:instrText xml:space="preserve"> _</w:instrText>
      </w:r>
      <w:r w:rsidRPr="00AA076C">
        <w:rPr>
          <w:rStyle w:val="aff6"/>
          <w:rFonts w:hint="cs"/>
        </w:rPr>
        <w:instrText>Ref531121179 \r \h</w:instrText>
      </w:r>
      <w:r w:rsidRPr="00AA076C">
        <w:rPr>
          <w:rStyle w:val="aff6"/>
          <w:rtl/>
        </w:rPr>
        <w:instrText xml:space="preserve"> </w:instrText>
      </w:r>
      <w:r w:rsidRPr="00AA076C">
        <w:rPr>
          <w:rStyle w:val="aff6"/>
          <w:rtl/>
        </w:rPr>
      </w:r>
      <w:r w:rsidRPr="00AA076C">
        <w:rPr>
          <w:rStyle w:val="aff6"/>
          <w:rtl/>
        </w:rPr>
        <w:fldChar w:fldCharType="separate"/>
      </w:r>
      <w:r w:rsidR="00345400">
        <w:rPr>
          <w:rStyle w:val="aff6"/>
          <w:cs/>
        </w:rPr>
        <w:t>‎</w:t>
      </w:r>
      <w:r w:rsidR="00345400">
        <w:rPr>
          <w:rStyle w:val="aff6"/>
          <w:rtl/>
        </w:rPr>
        <w:t>מו)</w:t>
      </w:r>
      <w:r w:rsidRPr="00AA076C">
        <w:rPr>
          <w:rStyle w:val="aff6"/>
          <w:rtl/>
        </w:rPr>
        <w:fldChar w:fldCharType="end"/>
      </w:r>
      <w:r w:rsidRPr="00AA076C">
        <w:rPr>
          <w:rStyle w:val="afb"/>
          <w:rFonts w:hint="cs"/>
          <w:rtl/>
        </w:rPr>
        <w:t>]</w:t>
      </w:r>
      <w:r>
        <w:rPr>
          <w:rFonts w:hint="cs"/>
          <w:rtl/>
        </w:rPr>
        <w:t xml:space="preserve"> </w:t>
      </w:r>
      <w:r w:rsidRPr="008F0065">
        <w:rPr>
          <w:rFonts w:hint="cs"/>
          <w:rtl/>
        </w:rPr>
        <w:t>דקיי"ל דמדרבנן אמרינן סמוך מיעוטא לחזקה לחומרא, א"כ היאך ס"ל לרבנן דקטן וקטנה מתייבמין מכח הרוב</w:t>
      </w:r>
      <w:r>
        <w:rPr>
          <w:rFonts w:hint="cs"/>
          <w:rtl/>
        </w:rPr>
        <w:t xml:space="preserve"> שאינם סריסים ואיילוניות, הא נימא סמוך מיעוטא לחזקת אשת אח.</w:t>
      </w:r>
    </w:p>
    <w:p w14:paraId="70684C28" w14:textId="77777777" w:rsidR="005E1F6B" w:rsidRDefault="005E1F6B" w:rsidP="006D6D32">
      <w:pPr>
        <w:pStyle w:val="a3"/>
        <w:rPr>
          <w:rtl/>
        </w:rPr>
      </w:pPr>
      <w:bookmarkStart w:id="11619" w:name="_Toc531182534"/>
      <w:bookmarkStart w:id="11620" w:name="_Toc19390532"/>
      <w:bookmarkStart w:id="11621" w:name="_Toc19394029"/>
      <w:r>
        <w:rPr>
          <w:rFonts w:hint="cs"/>
          <w:rtl/>
        </w:rPr>
        <w:t>תירוץ הגר"ש איגר דהמיעוט סריסים אינו מכח הרוב ולהרשב"א לא אמרינן ביה סמל"ח</w:t>
      </w:r>
      <w:bookmarkEnd w:id="11619"/>
      <w:bookmarkEnd w:id="11620"/>
      <w:bookmarkEnd w:id="11621"/>
    </w:p>
    <w:p w14:paraId="6C3E8D18" w14:textId="77777777" w:rsidR="005E1F6B" w:rsidRDefault="005E1F6B" w:rsidP="00223668">
      <w:pPr>
        <w:pStyle w:val="a0"/>
        <w:rPr>
          <w:rtl/>
        </w:rPr>
      </w:pPr>
      <w:r w:rsidRPr="001F3322">
        <w:rPr>
          <w:rFonts w:hint="cs"/>
          <w:rtl/>
        </w:rPr>
        <w:t xml:space="preserve">ותירץ </w:t>
      </w:r>
      <w:r w:rsidRPr="00711807">
        <w:rPr>
          <w:rStyle w:val="af9"/>
          <w:rFonts w:hint="cs"/>
          <w:rtl/>
        </w:rPr>
        <w:t>הגרעק"א</w:t>
      </w:r>
      <w:r>
        <w:rPr>
          <w:rFonts w:hint="cs"/>
          <w:rtl/>
        </w:rPr>
        <w:t xml:space="preserve"> </w:t>
      </w:r>
      <w:r w:rsidRPr="00363E17">
        <w:rPr>
          <w:rStyle w:val="af7"/>
          <w:rFonts w:eastAsia="Guttman Hodes" w:hint="cs"/>
          <w:rtl/>
        </w:rPr>
        <w:t xml:space="preserve">(קיט. ד"ה </w:t>
      </w:r>
      <w:r>
        <w:rPr>
          <w:rStyle w:val="af7"/>
          <w:rFonts w:eastAsia="Guttman Hodes" w:hint="cs"/>
          <w:rtl/>
        </w:rPr>
        <w:t xml:space="preserve">מה שכתב, שו"ת </w:t>
      </w:r>
      <w:r w:rsidRPr="00363E17">
        <w:rPr>
          <w:rStyle w:val="af7"/>
          <w:rFonts w:eastAsia="Guttman Hodes" w:hint="cs"/>
          <w:rtl/>
        </w:rPr>
        <w:t>מהדו"ת ק"ג)</w:t>
      </w:r>
      <w:r>
        <w:rPr>
          <w:rFonts w:hint="cs"/>
          <w:rtl/>
        </w:rPr>
        <w:t xml:space="preserve"> הביא בשם בנו </w:t>
      </w:r>
      <w:r w:rsidRPr="00A95178">
        <w:rPr>
          <w:rStyle w:val="af9"/>
          <w:rFonts w:hint="cs"/>
          <w:rtl/>
        </w:rPr>
        <w:t>הגר"ש איגר</w:t>
      </w:r>
      <w:r>
        <w:rPr>
          <w:rFonts w:hint="cs"/>
          <w:rtl/>
        </w:rPr>
        <w:t xml:space="preserve"> דתירץ עפי"ד </w:t>
      </w:r>
      <w:r w:rsidRPr="00711807">
        <w:rPr>
          <w:rStyle w:val="af9"/>
          <w:rFonts w:hint="cs"/>
          <w:rtl/>
        </w:rPr>
        <w:t>הרשב"א במשה"ב</w:t>
      </w:r>
      <w:r>
        <w:rPr>
          <w:rFonts w:hint="cs"/>
          <w:rtl/>
        </w:rPr>
        <w:t xml:space="preserve"> </w:t>
      </w:r>
      <w:r w:rsidRPr="00363E17">
        <w:rPr>
          <w:rStyle w:val="af7"/>
          <w:rFonts w:eastAsia="Guttman Hodes" w:hint="cs"/>
          <w:rtl/>
        </w:rPr>
        <w:t xml:space="preserve">(עי' אות </w:t>
      </w:r>
      <w:r w:rsidRPr="00363E17">
        <w:rPr>
          <w:rStyle w:val="af7"/>
          <w:rFonts w:eastAsia="Guttman Hodes"/>
          <w:rtl/>
        </w:rPr>
        <w:fldChar w:fldCharType="begin"/>
      </w:r>
      <w:r w:rsidRPr="00363E17">
        <w:rPr>
          <w:rStyle w:val="af7"/>
          <w:rFonts w:eastAsia="Guttman Hodes"/>
          <w:rtl/>
        </w:rPr>
        <w:instrText xml:space="preserve"> </w:instrText>
      </w:r>
      <w:r w:rsidRPr="00363E17">
        <w:rPr>
          <w:rStyle w:val="af7"/>
          <w:rFonts w:eastAsia="Guttman Hodes" w:hint="cs"/>
        </w:rPr>
        <w:instrText>REF</w:instrText>
      </w:r>
      <w:r w:rsidRPr="00363E17">
        <w:rPr>
          <w:rStyle w:val="af7"/>
          <w:rFonts w:eastAsia="Guttman Hodes" w:hint="cs"/>
          <w:rtl/>
        </w:rPr>
        <w:instrText xml:space="preserve"> _</w:instrText>
      </w:r>
      <w:r w:rsidRPr="00363E17">
        <w:rPr>
          <w:rStyle w:val="af7"/>
          <w:rFonts w:eastAsia="Guttman Hodes" w:hint="cs"/>
        </w:rPr>
        <w:instrText>Ref531034250 \r \h</w:instrText>
      </w:r>
      <w:r w:rsidRPr="00363E17">
        <w:rPr>
          <w:rStyle w:val="af7"/>
          <w:rFonts w:eastAsia="Guttman Hodes"/>
          <w:rtl/>
        </w:rPr>
        <w:instrText xml:space="preserve"> </w:instrText>
      </w:r>
      <w:r w:rsidRPr="00363E17">
        <w:rPr>
          <w:rStyle w:val="af7"/>
          <w:rFonts w:eastAsia="Guttman Hodes"/>
          <w:rtl/>
        </w:rPr>
      </w:r>
      <w:r w:rsidRPr="00363E17">
        <w:rPr>
          <w:rStyle w:val="af7"/>
          <w:rFonts w:eastAsia="Guttman Hodes"/>
          <w:rtl/>
        </w:rPr>
        <w:fldChar w:fldCharType="separate"/>
      </w:r>
      <w:r w:rsidR="00345400">
        <w:rPr>
          <w:rStyle w:val="af7"/>
          <w:rFonts w:eastAsia="Guttman Hodes"/>
          <w:cs/>
        </w:rPr>
        <w:t>‎</w:t>
      </w:r>
      <w:r w:rsidR="00345400">
        <w:rPr>
          <w:rStyle w:val="af7"/>
          <w:rFonts w:eastAsia="Guttman Hodes"/>
          <w:rtl/>
        </w:rPr>
        <w:t>פג)</w:t>
      </w:r>
      <w:r w:rsidRPr="00363E17">
        <w:rPr>
          <w:rStyle w:val="af7"/>
          <w:rFonts w:eastAsia="Guttman Hodes"/>
          <w:rtl/>
        </w:rPr>
        <w:fldChar w:fldCharType="end"/>
      </w:r>
      <w:r>
        <w:rPr>
          <w:rFonts w:hint="cs"/>
          <w:rtl/>
        </w:rPr>
        <w:t xml:space="preserve"> דדוקא במיעוט שבא מתוך הרוב אמרינן סמוך מיעוטא לחזקה, וא"כ המיעוט דסריסים ואיילוניות אינו בא מתוך הרוב, ולכן לא אמרינן ביה סמוך מיעוטא לחזקה.</w:t>
      </w:r>
    </w:p>
    <w:p w14:paraId="36B7C795" w14:textId="77777777" w:rsidR="005E1F6B" w:rsidRPr="00827877" w:rsidRDefault="005E1F6B" w:rsidP="006D6D32">
      <w:pPr>
        <w:pStyle w:val="a3"/>
        <w:rPr>
          <w:rtl/>
        </w:rPr>
      </w:pPr>
      <w:bookmarkStart w:id="11622" w:name="_Toc531182535"/>
      <w:bookmarkStart w:id="11623" w:name="_Toc19390533"/>
      <w:bookmarkStart w:id="11624" w:name="_Toc19394030"/>
      <w:r>
        <w:rPr>
          <w:rFonts w:hint="cs"/>
          <w:rtl/>
        </w:rPr>
        <w:t>קושיית הגרעק"א דלדברי הרא"ה אף במיעוט שאינו מתוך הרוב אמרינן סמוך מיעוטא לחזקה</w:t>
      </w:r>
      <w:bookmarkEnd w:id="11622"/>
      <w:bookmarkEnd w:id="11623"/>
      <w:bookmarkEnd w:id="11624"/>
    </w:p>
    <w:p w14:paraId="43706E54" w14:textId="77777777" w:rsidR="005E1F6B" w:rsidRDefault="005E1F6B" w:rsidP="00223668">
      <w:pPr>
        <w:pStyle w:val="a0"/>
        <w:rPr>
          <w:rtl/>
        </w:rPr>
      </w:pPr>
      <w:r>
        <w:rPr>
          <w:rFonts w:hint="cs"/>
          <w:rtl/>
        </w:rPr>
        <w:t xml:space="preserve">אך כתב </w:t>
      </w:r>
      <w:r w:rsidRPr="00711807">
        <w:rPr>
          <w:rStyle w:val="af9"/>
          <w:rFonts w:hint="cs"/>
          <w:rtl/>
        </w:rPr>
        <w:t>הגרעק"א</w:t>
      </w:r>
      <w:r>
        <w:rPr>
          <w:rFonts w:hint="cs"/>
          <w:rtl/>
        </w:rPr>
        <w:t xml:space="preserve"> </w:t>
      </w:r>
      <w:r w:rsidRPr="00711807">
        <w:rPr>
          <w:rStyle w:val="af9"/>
          <w:rFonts w:hint="cs"/>
          <w:rtl/>
        </w:rPr>
        <w:t>בתשו'</w:t>
      </w:r>
      <w:r>
        <w:rPr>
          <w:rStyle w:val="af9"/>
          <w:rFonts w:hint="cs"/>
          <w:rtl/>
        </w:rPr>
        <w:t xml:space="preserve"> </w:t>
      </w:r>
      <w:r>
        <w:rPr>
          <w:rFonts w:hint="cs"/>
          <w:rtl/>
        </w:rPr>
        <w:t xml:space="preserve">דעדיין קשה לדעת </w:t>
      </w:r>
      <w:r w:rsidRPr="00711807">
        <w:rPr>
          <w:rStyle w:val="af9"/>
          <w:rFonts w:hint="cs"/>
          <w:rtl/>
        </w:rPr>
        <w:t>הרא"ה בבד"ה</w:t>
      </w:r>
      <w:r>
        <w:rPr>
          <w:rFonts w:hint="cs"/>
          <w:rtl/>
        </w:rPr>
        <w:t xml:space="preserve"> </w:t>
      </w:r>
      <w:r w:rsidRPr="00363E17">
        <w:rPr>
          <w:rStyle w:val="af7"/>
          <w:rFonts w:eastAsia="Guttman Hodes" w:hint="cs"/>
          <w:rtl/>
        </w:rPr>
        <w:t xml:space="preserve">(עי' אות </w:t>
      </w:r>
      <w:r w:rsidRPr="00363E17">
        <w:rPr>
          <w:rStyle w:val="af7"/>
          <w:rFonts w:eastAsia="Guttman Hodes"/>
          <w:rtl/>
        </w:rPr>
        <w:fldChar w:fldCharType="begin"/>
      </w:r>
      <w:r w:rsidRPr="00363E17">
        <w:rPr>
          <w:rStyle w:val="af7"/>
          <w:rFonts w:eastAsia="Guttman Hodes"/>
          <w:rtl/>
        </w:rPr>
        <w:instrText xml:space="preserve"> </w:instrText>
      </w:r>
      <w:r w:rsidRPr="00363E17">
        <w:rPr>
          <w:rStyle w:val="af7"/>
          <w:rFonts w:eastAsia="Guttman Hodes" w:hint="cs"/>
        </w:rPr>
        <w:instrText>REF</w:instrText>
      </w:r>
      <w:r w:rsidRPr="00363E17">
        <w:rPr>
          <w:rStyle w:val="af7"/>
          <w:rFonts w:eastAsia="Guttman Hodes" w:hint="cs"/>
          <w:rtl/>
        </w:rPr>
        <w:instrText xml:space="preserve"> _</w:instrText>
      </w:r>
      <w:r w:rsidRPr="00363E17">
        <w:rPr>
          <w:rStyle w:val="af7"/>
          <w:rFonts w:eastAsia="Guttman Hodes" w:hint="cs"/>
        </w:rPr>
        <w:instrText>Ref531034260 \r \h</w:instrText>
      </w:r>
      <w:r w:rsidRPr="00363E17">
        <w:rPr>
          <w:rStyle w:val="af7"/>
          <w:rFonts w:eastAsia="Guttman Hodes"/>
          <w:rtl/>
        </w:rPr>
        <w:instrText xml:space="preserve"> </w:instrText>
      </w:r>
      <w:r w:rsidRPr="00363E17">
        <w:rPr>
          <w:rStyle w:val="af7"/>
          <w:rFonts w:eastAsia="Guttman Hodes"/>
          <w:rtl/>
        </w:rPr>
      </w:r>
      <w:r w:rsidRPr="00363E17">
        <w:rPr>
          <w:rStyle w:val="af7"/>
          <w:rFonts w:eastAsia="Guttman Hodes"/>
          <w:rtl/>
        </w:rPr>
        <w:fldChar w:fldCharType="separate"/>
      </w:r>
      <w:r w:rsidR="00345400">
        <w:rPr>
          <w:rStyle w:val="af7"/>
          <w:rFonts w:eastAsia="Guttman Hodes"/>
          <w:cs/>
        </w:rPr>
        <w:t>‎</w:t>
      </w:r>
      <w:r w:rsidR="00345400">
        <w:rPr>
          <w:rStyle w:val="af7"/>
          <w:rFonts w:eastAsia="Guttman Hodes"/>
          <w:rtl/>
        </w:rPr>
        <w:t>עז)</w:t>
      </w:r>
      <w:r w:rsidRPr="00363E17">
        <w:rPr>
          <w:rStyle w:val="af7"/>
          <w:rFonts w:eastAsia="Guttman Hodes"/>
          <w:rtl/>
        </w:rPr>
        <w:fldChar w:fldCharType="end"/>
      </w:r>
      <w:r>
        <w:rPr>
          <w:rFonts w:hint="cs"/>
          <w:rtl/>
        </w:rPr>
        <w:t xml:space="preserve"> דכתב דהא דברוב מצויין אצל שחיטה מומחין הן לא אמרינן סמוך מיעוטא לחזקה, כיון שאי"ז רק רוב אלא כל, א"כ מבואר דאף במיעוט שלא בא מתוך הרוב אמרינן סמוך מיעוטא לחזקה. </w:t>
      </w:r>
    </w:p>
    <w:p w14:paraId="4B456621" w14:textId="77777777" w:rsidR="00721BEC" w:rsidRPr="00721BEC" w:rsidRDefault="00721BEC" w:rsidP="00721BEC">
      <w:pPr>
        <w:pStyle w:val="a3"/>
        <w:rPr>
          <w:rtl/>
        </w:rPr>
      </w:pPr>
    </w:p>
    <w:p w14:paraId="406BE31E" w14:textId="77777777" w:rsidR="00721BEC" w:rsidRPr="00721BEC" w:rsidRDefault="00721BEC" w:rsidP="00721BEC">
      <w:pPr>
        <w:pStyle w:val="a3"/>
        <w:rPr>
          <w:rtl/>
        </w:rPr>
      </w:pPr>
    </w:p>
    <w:p w14:paraId="05F4DBA8" w14:textId="77777777" w:rsidR="005E1F6B" w:rsidRDefault="005E1F6B" w:rsidP="006D6D32">
      <w:pPr>
        <w:pStyle w:val="afe"/>
        <w:rPr>
          <w:rtl/>
        </w:rPr>
      </w:pPr>
      <w:bookmarkStart w:id="11625" w:name="_Toc531182536"/>
      <w:bookmarkStart w:id="11626" w:name="_Toc19435760"/>
      <w:bookmarkStart w:id="11627" w:name="_Toc20081017"/>
      <w:r>
        <w:rPr>
          <w:rFonts w:hint="cs"/>
          <w:rtl/>
        </w:rPr>
        <w:t>בגדר סמוך מיעוטא לחזקה</w:t>
      </w:r>
      <w:bookmarkEnd w:id="11563"/>
      <w:bookmarkEnd w:id="11625"/>
      <w:bookmarkEnd w:id="11626"/>
      <w:bookmarkEnd w:id="11627"/>
    </w:p>
    <w:p w14:paraId="1D9B62C6" w14:textId="77777777" w:rsidR="005E1F6B" w:rsidRDefault="005E1F6B" w:rsidP="00BF39B2">
      <w:pPr>
        <w:pStyle w:val="1"/>
        <w:rPr>
          <w:rtl/>
        </w:rPr>
      </w:pPr>
      <w:bookmarkStart w:id="11628" w:name="_Toc531158393"/>
      <w:bookmarkStart w:id="11629" w:name="_Toc531182537"/>
      <w:bookmarkStart w:id="11630" w:name="_Toc19390534"/>
      <w:bookmarkStart w:id="11631" w:name="_Toc19394031"/>
      <w:r>
        <w:rPr>
          <w:rFonts w:hint="cs"/>
          <w:rtl/>
        </w:rPr>
        <w:t>ביאור המהרש"א והגרעק"א</w:t>
      </w:r>
      <w:bookmarkEnd w:id="11564"/>
      <w:bookmarkEnd w:id="11565"/>
      <w:r>
        <w:rPr>
          <w:rFonts w:hint="cs"/>
          <w:rtl/>
        </w:rPr>
        <w:t xml:space="preserve"> בדברי רש"י בדעת ר"מ לקמן</w:t>
      </w:r>
      <w:bookmarkEnd w:id="11628"/>
      <w:bookmarkEnd w:id="11629"/>
      <w:bookmarkEnd w:id="11630"/>
      <w:bookmarkEnd w:id="11631"/>
    </w:p>
    <w:p w14:paraId="6D28F5E2" w14:textId="77777777" w:rsidR="005E1F6B" w:rsidRDefault="005E1F6B" w:rsidP="006D6D32">
      <w:pPr>
        <w:pStyle w:val="a3"/>
        <w:rPr>
          <w:rtl/>
        </w:rPr>
      </w:pPr>
      <w:bookmarkStart w:id="11632" w:name="_Toc531158394"/>
      <w:bookmarkStart w:id="11633" w:name="_Toc531182538"/>
      <w:bookmarkStart w:id="11634" w:name="_Toc19390535"/>
      <w:bookmarkStart w:id="11635" w:name="_Toc19394032"/>
      <w:r>
        <w:rPr>
          <w:rFonts w:hint="cs"/>
          <w:rtl/>
        </w:rPr>
        <w:t>דברי רש"י דר"מ התיר באותו ואת בנו רק ע"י רוב וחזקה ולא ע"י המיעוט לבד דחייש למיעוטא</w:t>
      </w:r>
      <w:bookmarkEnd w:id="11632"/>
      <w:bookmarkEnd w:id="11633"/>
      <w:bookmarkEnd w:id="11634"/>
      <w:bookmarkEnd w:id="11635"/>
    </w:p>
    <w:p w14:paraId="576DC288" w14:textId="77777777" w:rsidR="005E1F6B" w:rsidRDefault="005E1F6B" w:rsidP="00223668">
      <w:pPr>
        <w:pStyle w:val="a0"/>
        <w:rPr>
          <w:rtl/>
        </w:rPr>
      </w:pPr>
      <w:r>
        <w:rPr>
          <w:rFonts w:hint="cs"/>
          <w:rtl/>
        </w:rPr>
        <w:t xml:space="preserve">במסקנת הגמ' לקמן </w:t>
      </w:r>
      <w:r w:rsidRPr="00877C52">
        <w:rPr>
          <w:rStyle w:val="af7"/>
          <w:rFonts w:eastAsia="Guttman Hodes" w:hint="cs"/>
          <w:rtl/>
        </w:rPr>
        <w:t xml:space="preserve">(פו:) </w:t>
      </w:r>
      <w:r>
        <w:rPr>
          <w:rFonts w:hint="cs"/>
          <w:rtl/>
        </w:rPr>
        <w:t xml:space="preserve">דאף דטיהר ר"מ בספק טומאה, ע"י סמוך מיעוטא לחזקה, מ"מ אינו מתיר ע"י סמוך מיעוטא לחזקה בספק איסור, ביאר </w:t>
      </w:r>
      <w:r w:rsidRPr="00877C52">
        <w:rPr>
          <w:rStyle w:val="af9"/>
          <w:rFonts w:hint="cs"/>
          <w:rtl/>
        </w:rPr>
        <w:t xml:space="preserve">רש"י </w:t>
      </w:r>
      <w:r w:rsidRPr="00877C52">
        <w:rPr>
          <w:rStyle w:val="af7"/>
          <w:rFonts w:eastAsia="Guttman Hodes" w:hint="cs"/>
          <w:rtl/>
        </w:rPr>
        <w:t xml:space="preserve">(פו: ד"ה יאמרו) </w:t>
      </w:r>
      <w:r>
        <w:rPr>
          <w:rFonts w:hint="cs"/>
          <w:rtl/>
        </w:rPr>
        <w:t>דרק כיון שיש רוב שלא שחטו כראוי דרוב מעשיהם של החש"ו הם מקולקלים, ויש רוב וחזקה שלא שחטו יפה, לכן התיר ר"מ לשחוט אחריהם באותו ואת בנו, אבל ע"י רוב לבד לא היה מתיר ר"מ כיון שחייש למיעוטא, דמעשיהם מתוקנים ושחטו כראוי.</w:t>
      </w:r>
    </w:p>
    <w:p w14:paraId="28CCB6BF" w14:textId="77777777" w:rsidR="005E1F6B" w:rsidRDefault="005E1F6B" w:rsidP="006D6D32">
      <w:pPr>
        <w:pStyle w:val="a3"/>
        <w:rPr>
          <w:rtl/>
        </w:rPr>
      </w:pPr>
      <w:bookmarkStart w:id="11636" w:name="_Toc531158395"/>
      <w:bookmarkStart w:id="11637" w:name="_Toc531182539"/>
      <w:bookmarkStart w:id="11638" w:name="_Toc19390536"/>
      <w:bookmarkStart w:id="11639" w:name="_Toc19394033"/>
      <w:r>
        <w:rPr>
          <w:rFonts w:hint="cs"/>
          <w:rtl/>
        </w:rPr>
        <w:t>ביאור הגרעק"א דקושיית הגמ' לרש"י דהמיעוט והחזקה עדיפי מהרוב דחשיב כמיעוט</w:t>
      </w:r>
      <w:bookmarkEnd w:id="11636"/>
      <w:bookmarkEnd w:id="11637"/>
      <w:bookmarkEnd w:id="11638"/>
      <w:bookmarkEnd w:id="11639"/>
    </w:p>
    <w:p w14:paraId="508B80F9" w14:textId="77777777" w:rsidR="005E1F6B" w:rsidRDefault="005E1F6B" w:rsidP="00223668">
      <w:pPr>
        <w:pStyle w:val="a0"/>
        <w:rPr>
          <w:rtl/>
        </w:rPr>
      </w:pPr>
      <w:r>
        <w:rPr>
          <w:rFonts w:hint="cs"/>
          <w:rtl/>
        </w:rPr>
        <w:t xml:space="preserve">וביאר </w:t>
      </w:r>
      <w:r w:rsidRPr="00877C52">
        <w:rPr>
          <w:rStyle w:val="af9"/>
          <w:rFonts w:hint="cs"/>
          <w:rtl/>
        </w:rPr>
        <w:t xml:space="preserve">הגרעק"א </w:t>
      </w:r>
      <w:r w:rsidRPr="00877C52">
        <w:rPr>
          <w:rStyle w:val="af7"/>
          <w:rFonts w:eastAsia="Guttman Hodes" w:hint="cs"/>
          <w:rtl/>
        </w:rPr>
        <w:t>(פו. על תוד"ה מ</w:t>
      </w:r>
      <w:r w:rsidRPr="00716D60">
        <w:rPr>
          <w:rStyle w:val="af7"/>
          <w:rFonts w:eastAsia="Guttman Hodes" w:hint="cs"/>
          <w:rtl/>
        </w:rPr>
        <w:t>"ט)</w:t>
      </w:r>
      <w:r>
        <w:rPr>
          <w:rFonts w:hint="cs"/>
          <w:rtl/>
        </w:rPr>
        <w:t xml:space="preserve"> את דברי </w:t>
      </w:r>
      <w:r w:rsidRPr="00877C52">
        <w:rPr>
          <w:rStyle w:val="af9"/>
          <w:rFonts w:hint="cs"/>
          <w:rtl/>
        </w:rPr>
        <w:t>רש"י</w:t>
      </w:r>
      <w:r>
        <w:rPr>
          <w:rFonts w:hint="cs"/>
          <w:rtl/>
        </w:rPr>
        <w:t xml:space="preserve"> דקושיית הגמ' היא דאף אם אין רוב מעשיהם מקולקלים צריך ר"מ להתיר, דכיון  דרוב מעשיהם מתוקנים ומיעוט מקולקלים, דהמיעוט דמקולקלים והחזקת איסור מצטרפים יחד, והם עדיפי מהרוב שמעשיהם מתוקנים, והרוב חשיב כנגדם למיעוט, ואמרינן שלא שחטו כראוי.</w:t>
      </w:r>
    </w:p>
    <w:p w14:paraId="12DFA428" w14:textId="77777777" w:rsidR="005E1F6B" w:rsidRDefault="005E1F6B" w:rsidP="006D6D32">
      <w:pPr>
        <w:pStyle w:val="a3"/>
        <w:rPr>
          <w:rtl/>
        </w:rPr>
      </w:pPr>
      <w:bookmarkStart w:id="11640" w:name="_Toc531158396"/>
      <w:bookmarkStart w:id="11641" w:name="_Toc531182540"/>
      <w:bookmarkStart w:id="11642" w:name="_Toc19390537"/>
      <w:bookmarkStart w:id="11643" w:name="_Toc19394034"/>
      <w:r>
        <w:rPr>
          <w:rFonts w:hint="cs"/>
          <w:rtl/>
        </w:rPr>
        <w:t>ביאור הגרעק"א בתירוץ הגמ' לרש"י דאף שהרוב כמיעוט מ"מ ר"מ חייש למיעוטא</w:t>
      </w:r>
      <w:bookmarkEnd w:id="11640"/>
      <w:bookmarkEnd w:id="11641"/>
      <w:bookmarkEnd w:id="11642"/>
      <w:bookmarkEnd w:id="11643"/>
    </w:p>
    <w:p w14:paraId="28A941E3" w14:textId="77777777" w:rsidR="005E1F6B" w:rsidRDefault="005E1F6B" w:rsidP="00223668">
      <w:pPr>
        <w:pStyle w:val="a0"/>
        <w:rPr>
          <w:rtl/>
        </w:rPr>
      </w:pPr>
      <w:bookmarkStart w:id="11644" w:name="_Ref531155449"/>
      <w:r>
        <w:rPr>
          <w:rFonts w:hint="cs"/>
          <w:rtl/>
        </w:rPr>
        <w:t xml:space="preserve">ובתירוץ הגמ' ביאר </w:t>
      </w:r>
      <w:r w:rsidRPr="00877C52">
        <w:rPr>
          <w:rStyle w:val="af9"/>
          <w:rFonts w:hint="cs"/>
          <w:rtl/>
        </w:rPr>
        <w:t xml:space="preserve">הגרעק"א </w:t>
      </w:r>
      <w:r>
        <w:rPr>
          <w:rFonts w:hint="cs"/>
          <w:rtl/>
        </w:rPr>
        <w:t xml:space="preserve">את דברי </w:t>
      </w:r>
      <w:r w:rsidRPr="00877C52">
        <w:rPr>
          <w:rStyle w:val="af9"/>
          <w:rFonts w:hint="cs"/>
          <w:rtl/>
        </w:rPr>
        <w:t>רש"י</w:t>
      </w:r>
      <w:r>
        <w:rPr>
          <w:rFonts w:hint="cs"/>
          <w:rtl/>
        </w:rPr>
        <w:t xml:space="preserve"> דמ"מ כיון שכנגד המיעוט מקולקלים והחזקת איסור יש רוב מתוקנים, חשיב הרוב כמיעוט, ור"מ חייש למיעוטא, ולכן לא היה מתיר ר"מ אם היו רוב מעשיהם מתוקנים, ורק מחמת דרוב מעשיהם מקולקלים, והחזקת איסור מסייעת לרוב התיר ר"מ.</w:t>
      </w:r>
      <w:bookmarkEnd w:id="11644"/>
    </w:p>
    <w:p w14:paraId="00517384" w14:textId="77777777" w:rsidR="005E1F6B" w:rsidRDefault="005E1F6B" w:rsidP="006D6D32">
      <w:pPr>
        <w:pStyle w:val="a3"/>
        <w:rPr>
          <w:rtl/>
        </w:rPr>
      </w:pPr>
      <w:bookmarkStart w:id="11645" w:name="_Toc531158397"/>
      <w:bookmarkStart w:id="11646" w:name="_Toc531182541"/>
      <w:bookmarkStart w:id="11647" w:name="_Toc19390538"/>
      <w:bookmarkStart w:id="11648" w:name="_Toc19394035"/>
      <w:r>
        <w:rPr>
          <w:rFonts w:hint="cs"/>
          <w:rtl/>
        </w:rPr>
        <w:t>ביאור המהרש"א ברש"י דדוקא כשיש רוב וחזקה לא חייש ר"מ למיעוט שהוא כמיעוטא דמיעוטא</w:t>
      </w:r>
      <w:bookmarkEnd w:id="11645"/>
      <w:bookmarkEnd w:id="11646"/>
      <w:bookmarkEnd w:id="11647"/>
      <w:bookmarkEnd w:id="11648"/>
    </w:p>
    <w:p w14:paraId="4FC93E75" w14:textId="77777777" w:rsidR="005E1F6B" w:rsidRDefault="005E1F6B" w:rsidP="00223668">
      <w:pPr>
        <w:pStyle w:val="a0"/>
        <w:rPr>
          <w:rtl/>
        </w:rPr>
      </w:pPr>
      <w:r w:rsidRPr="00BA32DC">
        <w:rPr>
          <w:rStyle w:val="af9"/>
          <w:rFonts w:hint="cs"/>
          <w:rtl/>
        </w:rPr>
        <w:t>והמהרש"א</w:t>
      </w:r>
      <w:r w:rsidRPr="00BA32DC">
        <w:rPr>
          <w:rStyle w:val="af7"/>
          <w:rFonts w:eastAsia="Guttman Hodes" w:hint="cs"/>
          <w:rtl/>
        </w:rPr>
        <w:t xml:space="preserve"> (פו: על רש"י ד"ה יאמרו)</w:t>
      </w:r>
      <w:r>
        <w:rPr>
          <w:rFonts w:hint="cs"/>
          <w:rtl/>
        </w:rPr>
        <w:t xml:space="preserve"> ביאר את דברי </w:t>
      </w:r>
      <w:r w:rsidRPr="00830616">
        <w:rPr>
          <w:rStyle w:val="af9"/>
          <w:rFonts w:hint="cs"/>
          <w:rtl/>
        </w:rPr>
        <w:t xml:space="preserve">רש"י </w:t>
      </w:r>
      <w:r>
        <w:rPr>
          <w:rFonts w:hint="cs"/>
          <w:rtl/>
        </w:rPr>
        <w:t xml:space="preserve">דע"י רוב מעשיהם מתוקנים לבד, לא היה ר"מ יכול להתיר לשחוט אחריהם, דכיון דס"ל לר"מ דחיישינן למיעוטא, א"כ צריך לחוש למיעוט דמעשיהם מתוקנים, ולכן רק כיון שרוב מעשיהם מתוקנים, והחזקת איסור מצטרפת לרוב התיר ר"מ, דבכה"ג לא חייש ר"מ למיעוט מעשיהם מתוקנים, דכיון שיש כנגדו רוב וחזקה, חשיב המיעוט כמיעוטא דמיעוטא דלא חייש ליה ר"מ, וכדביארו </w:t>
      </w:r>
      <w:r w:rsidRPr="00830616">
        <w:rPr>
          <w:rStyle w:val="af9"/>
          <w:rFonts w:hint="cs"/>
          <w:rtl/>
        </w:rPr>
        <w:t>התוס'</w:t>
      </w:r>
      <w:r>
        <w:rPr>
          <w:rFonts w:hint="cs"/>
          <w:rtl/>
        </w:rPr>
        <w:t xml:space="preserve"> </w:t>
      </w:r>
      <w:r w:rsidRPr="00BA32DC">
        <w:rPr>
          <w:rStyle w:val="af7"/>
          <w:rFonts w:eastAsia="Guttman Hodes" w:hint="cs"/>
          <w:rtl/>
        </w:rPr>
        <w:t xml:space="preserve">(עי' אות </w:t>
      </w:r>
      <w:r w:rsidRPr="00BA32DC">
        <w:rPr>
          <w:rStyle w:val="af7"/>
          <w:rFonts w:eastAsia="Guttman Hodes"/>
          <w:rtl/>
        </w:rPr>
        <w:fldChar w:fldCharType="begin"/>
      </w:r>
      <w:r w:rsidRPr="00BA32DC">
        <w:rPr>
          <w:rStyle w:val="af7"/>
          <w:rFonts w:eastAsia="Guttman Hodes"/>
          <w:rtl/>
        </w:rPr>
        <w:instrText xml:space="preserve"> </w:instrText>
      </w:r>
      <w:r w:rsidRPr="00BA32DC">
        <w:rPr>
          <w:rStyle w:val="af7"/>
          <w:rFonts w:eastAsia="Guttman Hodes" w:hint="cs"/>
        </w:rPr>
        <w:instrText>REF</w:instrText>
      </w:r>
      <w:r w:rsidRPr="00BA32DC">
        <w:rPr>
          <w:rStyle w:val="af7"/>
          <w:rFonts w:eastAsia="Guttman Hodes" w:hint="cs"/>
          <w:rtl/>
        </w:rPr>
        <w:instrText xml:space="preserve"> _</w:instrText>
      </w:r>
      <w:r w:rsidRPr="00BA32DC">
        <w:rPr>
          <w:rStyle w:val="af7"/>
          <w:rFonts w:eastAsia="Guttman Hodes" w:hint="cs"/>
        </w:rPr>
        <w:instrText>Ref531119348 \r \h</w:instrText>
      </w:r>
      <w:r w:rsidRPr="00BA32DC">
        <w:rPr>
          <w:rStyle w:val="af7"/>
          <w:rFonts w:eastAsia="Guttman Hodes"/>
          <w:rtl/>
        </w:rPr>
        <w:instrText xml:space="preserve"> </w:instrText>
      </w:r>
      <w:r w:rsidRPr="00BA32DC">
        <w:rPr>
          <w:rStyle w:val="af7"/>
          <w:rFonts w:eastAsia="Guttman Hodes"/>
          <w:rtl/>
        </w:rPr>
      </w:r>
      <w:r w:rsidRPr="00BA32DC">
        <w:rPr>
          <w:rStyle w:val="af7"/>
          <w:rFonts w:eastAsia="Guttman Hodes"/>
          <w:rtl/>
        </w:rPr>
        <w:fldChar w:fldCharType="separate"/>
      </w:r>
      <w:r w:rsidR="00345400">
        <w:rPr>
          <w:rStyle w:val="af7"/>
          <w:rFonts w:eastAsia="Guttman Hodes"/>
          <w:cs/>
        </w:rPr>
        <w:t>‎</w:t>
      </w:r>
      <w:r w:rsidR="00345400">
        <w:rPr>
          <w:rStyle w:val="af7"/>
          <w:rFonts w:eastAsia="Guttman Hodes"/>
          <w:rtl/>
        </w:rPr>
        <w:t>כב)</w:t>
      </w:r>
      <w:r w:rsidRPr="00BA32DC">
        <w:rPr>
          <w:rStyle w:val="af7"/>
          <w:rFonts w:eastAsia="Guttman Hodes"/>
          <w:rtl/>
        </w:rPr>
        <w:fldChar w:fldCharType="end"/>
      </w:r>
      <w:r>
        <w:rPr>
          <w:rFonts w:hint="cs"/>
          <w:rtl/>
        </w:rPr>
        <w:t>.</w:t>
      </w:r>
    </w:p>
    <w:p w14:paraId="766DEE7C" w14:textId="77777777" w:rsidR="005E1F6B" w:rsidRDefault="005E1F6B" w:rsidP="00BF39B2">
      <w:pPr>
        <w:pStyle w:val="1"/>
        <w:rPr>
          <w:rtl/>
        </w:rPr>
      </w:pPr>
      <w:bookmarkStart w:id="11649" w:name="_Toc531158398"/>
      <w:bookmarkStart w:id="11650" w:name="_Toc531182542"/>
      <w:bookmarkStart w:id="11651" w:name="_Toc19390539"/>
      <w:bookmarkStart w:id="11652" w:name="_Toc19394036"/>
      <w:r>
        <w:rPr>
          <w:rFonts w:hint="cs"/>
          <w:rtl/>
        </w:rPr>
        <w:t>ביאור המהרש"א והגרעק"א בדברי תוס' בדעת רבנן לקמן</w:t>
      </w:r>
      <w:bookmarkEnd w:id="11649"/>
      <w:bookmarkEnd w:id="11650"/>
      <w:bookmarkEnd w:id="11651"/>
      <w:bookmarkEnd w:id="11652"/>
    </w:p>
    <w:p w14:paraId="72630D6B" w14:textId="77777777" w:rsidR="005E1F6B" w:rsidRPr="00DC6D4F" w:rsidRDefault="005E1F6B" w:rsidP="006D6D32">
      <w:pPr>
        <w:pStyle w:val="a3"/>
        <w:rPr>
          <w:rtl/>
        </w:rPr>
      </w:pPr>
      <w:bookmarkStart w:id="11653" w:name="_Toc531158399"/>
      <w:bookmarkStart w:id="11654" w:name="_Toc531182543"/>
      <w:bookmarkStart w:id="11655" w:name="_Toc19390540"/>
      <w:bookmarkStart w:id="11656" w:name="_Toc19394037"/>
      <w:r>
        <w:rPr>
          <w:rFonts w:hint="cs"/>
          <w:rtl/>
        </w:rPr>
        <w:t>קושית התוס' אמאי לרבנן אסור לאכול משחיטת חש"ו ואין לוקין עליהם מדין אותו ואת בנו</w:t>
      </w:r>
      <w:bookmarkEnd w:id="11653"/>
      <w:bookmarkEnd w:id="11654"/>
      <w:bookmarkEnd w:id="11655"/>
      <w:bookmarkEnd w:id="11656"/>
    </w:p>
    <w:p w14:paraId="5D06C42C" w14:textId="77777777" w:rsidR="005E1F6B" w:rsidRDefault="005E1F6B" w:rsidP="00223668">
      <w:pPr>
        <w:pStyle w:val="a0"/>
        <w:rPr>
          <w:rtl/>
        </w:rPr>
      </w:pPr>
      <w:r>
        <w:rPr>
          <w:rFonts w:hint="cs"/>
          <w:rtl/>
        </w:rPr>
        <w:t xml:space="preserve">בדעת רבנן בגמ' לקמן </w:t>
      </w:r>
      <w:r w:rsidRPr="00877C52">
        <w:rPr>
          <w:rStyle w:val="af7"/>
          <w:rFonts w:eastAsia="Guttman Hodes" w:hint="cs"/>
          <w:rtl/>
        </w:rPr>
        <w:t>(פו</w:t>
      </w:r>
      <w:r>
        <w:rPr>
          <w:rStyle w:val="af7"/>
          <w:rFonts w:eastAsia="Guttman Hodes" w:hint="cs"/>
          <w:rtl/>
        </w:rPr>
        <w:t>.</w:t>
      </w:r>
      <w:r w:rsidRPr="00877C52">
        <w:rPr>
          <w:rStyle w:val="af7"/>
          <w:rFonts w:eastAsia="Guttman Hodes" w:hint="cs"/>
          <w:rtl/>
        </w:rPr>
        <w:t xml:space="preserve">) </w:t>
      </w:r>
      <w:r>
        <w:rPr>
          <w:rFonts w:hint="cs"/>
          <w:rtl/>
        </w:rPr>
        <w:t xml:space="preserve">דאסרי לשחוט אותו אותו ואת בנו אחר שחיטת חש"ו, הקשו </w:t>
      </w:r>
      <w:r w:rsidRPr="001D3A5B">
        <w:rPr>
          <w:rStyle w:val="af9"/>
          <w:rFonts w:hint="cs"/>
          <w:rtl/>
        </w:rPr>
        <w:t>התוס' לקמן</w:t>
      </w:r>
      <w:r>
        <w:rPr>
          <w:rFonts w:hint="cs"/>
          <w:rtl/>
        </w:rPr>
        <w:t xml:space="preserve"> </w:t>
      </w:r>
      <w:r w:rsidRPr="001D3A5B">
        <w:rPr>
          <w:rStyle w:val="af7"/>
          <w:rFonts w:eastAsia="Guttman Hodes" w:hint="cs"/>
          <w:rtl/>
        </w:rPr>
        <w:t>(פו. ד"ה מ"ט)</w:t>
      </w:r>
      <w:r>
        <w:rPr>
          <w:rFonts w:hint="cs"/>
          <w:rtl/>
        </w:rPr>
        <w:t xml:space="preserve"> בשם </w:t>
      </w:r>
      <w:r w:rsidRPr="001D3A5B">
        <w:rPr>
          <w:rStyle w:val="af9"/>
          <w:rFonts w:hint="cs"/>
          <w:rtl/>
        </w:rPr>
        <w:t>רבינו שמואל מוורדין</w:t>
      </w:r>
      <w:r>
        <w:rPr>
          <w:rFonts w:hint="cs"/>
          <w:rtl/>
        </w:rPr>
        <w:t xml:space="preserve"> אמאי אסור לשחוט והשוחט אינו לוקה, דממנפ"ש אם רוב מעשיהם מתוקנים יהיה מותר לאכול משחיטתם, והשוחט אחריהם ילקה מדין אותו ואת בנו, ואם פלגא מתוקנים ופלגא מקולקלים, נאמר סמוך פלגא דמקולקלין לחזקת איסור של הבהמה, ויהיה מותר לשחוט אחריהם, ויתחייבו על אכילתם מדין נבילה כר"מ, ותירצו </w:t>
      </w:r>
      <w:r w:rsidRPr="001D3A5B">
        <w:rPr>
          <w:rStyle w:val="af9"/>
          <w:rFonts w:hint="cs"/>
          <w:rtl/>
        </w:rPr>
        <w:t>התוס' לקמן</w:t>
      </w:r>
      <w:r>
        <w:rPr>
          <w:rFonts w:hint="cs"/>
          <w:rtl/>
        </w:rPr>
        <w:t xml:space="preserve"> דמפסקא להו לרבנן אי רוב מעשיהם מתוקנים, או רוב מעשיהם מקולקלים, ולכן לא מהני החזקה כלל.</w:t>
      </w:r>
    </w:p>
    <w:p w14:paraId="67A0A107" w14:textId="77777777" w:rsidR="005E1F6B" w:rsidRDefault="005E1F6B" w:rsidP="006D6D32">
      <w:pPr>
        <w:pStyle w:val="a3"/>
        <w:rPr>
          <w:rtl/>
        </w:rPr>
      </w:pPr>
      <w:bookmarkStart w:id="11657" w:name="_Toc531158400"/>
      <w:bookmarkStart w:id="11658" w:name="_Toc531182544"/>
      <w:bookmarkStart w:id="11659" w:name="_Toc19390541"/>
      <w:bookmarkStart w:id="11660" w:name="_Toc19394038"/>
      <w:r>
        <w:rPr>
          <w:rFonts w:hint="cs"/>
          <w:rtl/>
        </w:rPr>
        <w:t>דברי המהרש"א דהסתפקו רבנן אי סמוך מיעוטא לחזקה הוי כפלגא ופלגא או דעדיף מהרוב</w:t>
      </w:r>
      <w:bookmarkEnd w:id="11657"/>
      <w:bookmarkEnd w:id="11658"/>
      <w:bookmarkEnd w:id="11659"/>
      <w:bookmarkEnd w:id="11660"/>
    </w:p>
    <w:p w14:paraId="184E699B" w14:textId="77777777" w:rsidR="005E1F6B" w:rsidRPr="002D3A3D" w:rsidRDefault="005E1F6B" w:rsidP="00223668">
      <w:pPr>
        <w:pStyle w:val="a0"/>
        <w:rPr>
          <w:rtl/>
        </w:rPr>
      </w:pPr>
      <w:bookmarkStart w:id="11661" w:name="_Ref531120782"/>
      <w:r>
        <w:rPr>
          <w:rFonts w:hint="cs"/>
          <w:rtl/>
        </w:rPr>
        <w:t xml:space="preserve">וכתב </w:t>
      </w:r>
      <w:r w:rsidRPr="00FB6ADC">
        <w:rPr>
          <w:rStyle w:val="af9"/>
          <w:rFonts w:hint="cs"/>
          <w:rtl/>
        </w:rPr>
        <w:t xml:space="preserve">המהרש"א לקמן </w:t>
      </w:r>
      <w:r w:rsidRPr="00FB6ADC">
        <w:rPr>
          <w:rStyle w:val="af7"/>
          <w:rFonts w:eastAsia="Guttman Hodes" w:hint="cs"/>
          <w:rtl/>
        </w:rPr>
        <w:t>(פו. על תוד"ה מ"ט)</w:t>
      </w:r>
      <w:r>
        <w:rPr>
          <w:rFonts w:hint="cs"/>
          <w:rtl/>
        </w:rPr>
        <w:t xml:space="preserve"> </w:t>
      </w:r>
      <w:r w:rsidRPr="00FB6ADC">
        <w:rPr>
          <w:rStyle w:val="af9"/>
          <w:rFonts w:hint="cs"/>
          <w:rtl/>
        </w:rPr>
        <w:t xml:space="preserve">דהתוס' </w:t>
      </w:r>
      <w:r>
        <w:rPr>
          <w:rFonts w:hint="cs"/>
          <w:rtl/>
        </w:rPr>
        <w:t xml:space="preserve">היו יכולים לתרץ דהספק לרבנן הוא האם הוא פלגא ופלגא, או דאמרינן סמוך מיעוטא לחזקה </w:t>
      </w:r>
      <w:r w:rsidRPr="00FB6ADC">
        <w:rPr>
          <w:rStyle w:val="afb"/>
          <w:rFonts w:hint="cs"/>
          <w:rtl/>
        </w:rPr>
        <w:t>[ועדיף מרוב]</w:t>
      </w:r>
      <w:r>
        <w:rPr>
          <w:rFonts w:hint="cs"/>
          <w:rtl/>
        </w:rPr>
        <w:t>, אבל לר"מ אף דחייש למיעוטא, מ"מ הכא אין רק רוב כנגד המיעוט אלא אי רוב וחזקה כנגד המיעוט, והוי המיעוט כמיעוטא דמיעוטא דלא חייש ליה ר"מ.</w:t>
      </w:r>
      <w:bookmarkEnd w:id="11661"/>
    </w:p>
    <w:p w14:paraId="13360D8B" w14:textId="77777777" w:rsidR="005E1F6B" w:rsidRDefault="005E1F6B" w:rsidP="006D6D32">
      <w:pPr>
        <w:pStyle w:val="a3"/>
        <w:rPr>
          <w:rtl/>
        </w:rPr>
      </w:pPr>
      <w:bookmarkStart w:id="11662" w:name="_Toc531158401"/>
      <w:bookmarkStart w:id="11663" w:name="_Toc531182545"/>
      <w:bookmarkStart w:id="11664" w:name="_Toc19390542"/>
      <w:bookmarkStart w:id="11665" w:name="_Toc19394039"/>
      <w:r>
        <w:rPr>
          <w:rFonts w:hint="cs"/>
          <w:rtl/>
        </w:rPr>
        <w:t>דברי הגרעק"א בדעת הרשב"א דלרבנן סמוך מיעוטא לחזקה הוי כפלגא ופלגא וא"א להתיר מספק</w:t>
      </w:r>
      <w:bookmarkEnd w:id="11662"/>
      <w:bookmarkEnd w:id="11663"/>
      <w:bookmarkEnd w:id="11664"/>
      <w:bookmarkEnd w:id="11665"/>
    </w:p>
    <w:p w14:paraId="1BB243BF" w14:textId="77777777" w:rsidR="005E1F6B" w:rsidRDefault="005E1F6B" w:rsidP="00223668">
      <w:pPr>
        <w:pStyle w:val="a0"/>
        <w:rPr>
          <w:rtl/>
        </w:rPr>
      </w:pPr>
      <w:bookmarkStart w:id="11666" w:name="_Ref531120765"/>
      <w:r>
        <w:rPr>
          <w:rFonts w:hint="cs"/>
          <w:rtl/>
        </w:rPr>
        <w:t xml:space="preserve">וכתב </w:t>
      </w:r>
      <w:r w:rsidRPr="001D3A5B">
        <w:rPr>
          <w:rStyle w:val="af9"/>
          <w:rFonts w:hint="cs"/>
          <w:rtl/>
        </w:rPr>
        <w:t>הגרעק"א לקמן</w:t>
      </w:r>
      <w:r>
        <w:rPr>
          <w:rFonts w:hint="cs"/>
          <w:rtl/>
        </w:rPr>
        <w:t xml:space="preserve"> </w:t>
      </w:r>
      <w:r w:rsidRPr="001D3A5B">
        <w:rPr>
          <w:rStyle w:val="af7"/>
          <w:rFonts w:eastAsia="Guttman Hodes" w:hint="cs"/>
          <w:rtl/>
        </w:rPr>
        <w:t>(</w:t>
      </w:r>
      <w:r w:rsidRPr="000613AC">
        <w:rPr>
          <w:rStyle w:val="af7"/>
          <w:rFonts w:eastAsia="Guttman Hodes" w:hint="cs"/>
          <w:rtl/>
        </w:rPr>
        <w:t>פו. על תוד"ה מ"ט)</w:t>
      </w:r>
      <w:r w:rsidRPr="000613AC">
        <w:rPr>
          <w:rFonts w:hint="cs"/>
          <w:rtl/>
        </w:rPr>
        <w:t xml:space="preserve"> דלדעת </w:t>
      </w:r>
      <w:r w:rsidRPr="000613AC">
        <w:rPr>
          <w:rStyle w:val="af9"/>
          <w:rFonts w:hint="cs"/>
          <w:rtl/>
        </w:rPr>
        <w:t>הרשב"</w:t>
      </w:r>
      <w:r>
        <w:rPr>
          <w:rStyle w:val="af9"/>
          <w:rFonts w:hint="cs"/>
          <w:rtl/>
        </w:rPr>
        <w:t>א ביבמות</w:t>
      </w:r>
      <w:r w:rsidRPr="000613AC">
        <w:rPr>
          <w:rFonts w:hint="cs"/>
          <w:rtl/>
        </w:rPr>
        <w:t xml:space="preserve"> </w:t>
      </w:r>
      <w:r>
        <w:rPr>
          <w:rStyle w:val="af7"/>
          <w:rFonts w:eastAsia="Guttman Hodes" w:hint="cs"/>
          <w:rtl/>
        </w:rPr>
        <w:t>(</w:t>
      </w:r>
      <w:r w:rsidRPr="000613AC">
        <w:rPr>
          <w:rStyle w:val="af7"/>
          <w:rFonts w:eastAsia="Guttman Hodes" w:hint="cs"/>
          <w:rtl/>
        </w:rPr>
        <w:t xml:space="preserve">עי' אות </w:t>
      </w:r>
      <w:r w:rsidRPr="000613AC">
        <w:rPr>
          <w:rStyle w:val="af7"/>
          <w:rFonts w:eastAsia="Guttman Hodes"/>
          <w:rtl/>
        </w:rPr>
        <w:fldChar w:fldCharType="begin"/>
      </w:r>
      <w:r w:rsidRPr="000613AC">
        <w:rPr>
          <w:rStyle w:val="af7"/>
          <w:rFonts w:eastAsia="Guttman Hodes"/>
          <w:rtl/>
        </w:rPr>
        <w:instrText xml:space="preserve"> </w:instrText>
      </w:r>
      <w:r w:rsidRPr="000613AC">
        <w:rPr>
          <w:rStyle w:val="af7"/>
          <w:rFonts w:eastAsia="Guttman Hodes" w:hint="cs"/>
        </w:rPr>
        <w:instrText>REF</w:instrText>
      </w:r>
      <w:r w:rsidRPr="000613AC">
        <w:rPr>
          <w:rStyle w:val="af7"/>
          <w:rFonts w:eastAsia="Guttman Hodes" w:hint="cs"/>
          <w:rtl/>
        </w:rPr>
        <w:instrText xml:space="preserve"> _</w:instrText>
      </w:r>
      <w:r w:rsidRPr="000613AC">
        <w:rPr>
          <w:rStyle w:val="af7"/>
          <w:rFonts w:eastAsia="Guttman Hodes" w:hint="cs"/>
        </w:rPr>
        <w:instrText>Ref531104629 \r \h</w:instrText>
      </w:r>
      <w:r w:rsidRPr="000613AC">
        <w:rPr>
          <w:rStyle w:val="af7"/>
          <w:rFonts w:eastAsia="Guttman Hodes"/>
          <w:rtl/>
        </w:rPr>
        <w:instrText xml:space="preserve"> </w:instrText>
      </w:r>
      <w:r w:rsidRPr="000613AC">
        <w:rPr>
          <w:rStyle w:val="af7"/>
          <w:rFonts w:eastAsia="Guttman Hodes"/>
          <w:rtl/>
        </w:rPr>
      </w:r>
      <w:r w:rsidRPr="000613AC">
        <w:rPr>
          <w:rStyle w:val="af7"/>
          <w:rFonts w:eastAsia="Guttman Hodes"/>
          <w:rtl/>
        </w:rPr>
        <w:fldChar w:fldCharType="separate"/>
      </w:r>
      <w:r w:rsidR="00345400">
        <w:rPr>
          <w:rStyle w:val="af7"/>
          <w:rFonts w:eastAsia="Guttman Hodes"/>
          <w:cs/>
        </w:rPr>
        <w:t>‎</w:t>
      </w:r>
      <w:r w:rsidR="00345400">
        <w:rPr>
          <w:rStyle w:val="af7"/>
          <w:rFonts w:eastAsia="Guttman Hodes"/>
          <w:rtl/>
        </w:rPr>
        <w:t>מג)</w:t>
      </w:r>
      <w:r w:rsidRPr="000613AC">
        <w:rPr>
          <w:rStyle w:val="af7"/>
          <w:rFonts w:eastAsia="Guttman Hodes"/>
          <w:rtl/>
        </w:rPr>
        <w:fldChar w:fldCharType="end"/>
      </w:r>
      <w:r>
        <w:rPr>
          <w:rFonts w:hint="cs"/>
          <w:rtl/>
        </w:rPr>
        <w:t xml:space="preserve"> </w:t>
      </w:r>
      <w:r w:rsidRPr="000613AC">
        <w:rPr>
          <w:rFonts w:hint="cs"/>
          <w:rtl/>
        </w:rPr>
        <w:t>דרבנן מודו לדין סמוך מיעוטא לחזקה</w:t>
      </w:r>
      <w:r>
        <w:rPr>
          <w:rFonts w:hint="cs"/>
          <w:rtl/>
        </w:rPr>
        <w:t>,</w:t>
      </w:r>
      <w:r w:rsidRPr="000613AC">
        <w:rPr>
          <w:rFonts w:hint="cs"/>
          <w:rtl/>
        </w:rPr>
        <w:t xml:space="preserve"> אפשר לתרץ את קושית </w:t>
      </w:r>
      <w:r w:rsidRPr="000613AC">
        <w:rPr>
          <w:rStyle w:val="af9"/>
          <w:rFonts w:hint="cs"/>
          <w:rtl/>
        </w:rPr>
        <w:t>התוס' לקמן</w:t>
      </w:r>
      <w:r>
        <w:rPr>
          <w:rFonts w:hint="cs"/>
          <w:rtl/>
        </w:rPr>
        <w:t>,</w:t>
      </w:r>
      <w:r w:rsidRPr="000613AC">
        <w:rPr>
          <w:rFonts w:hint="cs"/>
          <w:rtl/>
        </w:rPr>
        <w:t xml:space="preserve"> דרבנן מודו לר"מ דאמרינן סמוך מיעוטא דמעשיהם מתוקנים לחזקת איסור, אלא דלרבנן אף דאמרינן סמוך מיעוטא</w:t>
      </w:r>
      <w:r>
        <w:rPr>
          <w:rFonts w:hint="cs"/>
          <w:rtl/>
        </w:rPr>
        <w:t xml:space="preserve"> לחזקה, הוא רק כפלגא ופלגא וא"א להתיר מחמתו, דכיון דלדעת רבנן לא חיישינן למיעוטא כלל, לכן במקום דאמרינן סמוך מיעוטא לחזקה הוא רק כפלגא.</w:t>
      </w:r>
      <w:bookmarkEnd w:id="11666"/>
    </w:p>
    <w:p w14:paraId="20DDBD59" w14:textId="77777777" w:rsidR="005E1F6B" w:rsidRPr="00F2774F" w:rsidRDefault="005E1F6B" w:rsidP="006D6D32">
      <w:pPr>
        <w:pStyle w:val="a3"/>
        <w:rPr>
          <w:rtl/>
        </w:rPr>
      </w:pPr>
      <w:bookmarkStart w:id="11667" w:name="_Toc531182546"/>
      <w:bookmarkStart w:id="11668" w:name="_Toc19390543"/>
      <w:bookmarkStart w:id="11669" w:name="_Toc19394040"/>
      <w:r>
        <w:rPr>
          <w:rFonts w:hint="cs"/>
          <w:rtl/>
        </w:rPr>
        <w:t>דברי הגרעק"א דלר"מ בסמוך מיעוטא לחזקה המיעוט עדיף מהרוב</w:t>
      </w:r>
      <w:bookmarkEnd w:id="11667"/>
      <w:bookmarkEnd w:id="11668"/>
      <w:bookmarkEnd w:id="11669"/>
      <w:r>
        <w:rPr>
          <w:rFonts w:hint="cs"/>
          <w:rtl/>
        </w:rPr>
        <w:t xml:space="preserve"> </w:t>
      </w:r>
    </w:p>
    <w:p w14:paraId="75B5B354" w14:textId="77777777" w:rsidR="005E1F6B" w:rsidRPr="00EA1CC9" w:rsidRDefault="005E1F6B" w:rsidP="00223668">
      <w:pPr>
        <w:pStyle w:val="a0"/>
        <w:rPr>
          <w:rtl/>
        </w:rPr>
      </w:pPr>
      <w:r>
        <w:rPr>
          <w:rFonts w:hint="cs"/>
          <w:rtl/>
        </w:rPr>
        <w:t xml:space="preserve">אבל בדעת ר"מ כתב </w:t>
      </w:r>
      <w:r w:rsidRPr="001D3A5B">
        <w:rPr>
          <w:rStyle w:val="af9"/>
          <w:rFonts w:hint="cs"/>
          <w:rtl/>
        </w:rPr>
        <w:t>הגרעק"</w:t>
      </w:r>
      <w:r w:rsidRPr="00D30032">
        <w:rPr>
          <w:rStyle w:val="af9"/>
          <w:rFonts w:hint="cs"/>
          <w:rtl/>
        </w:rPr>
        <w:t>א</w:t>
      </w:r>
      <w:r w:rsidRPr="00D30032">
        <w:rPr>
          <w:rFonts w:hint="cs"/>
          <w:rtl/>
        </w:rPr>
        <w:t xml:space="preserve"> דס"ל דבסמוך מיעוטא לחזקה, המיעוט עדיף מרוב, וביאר </w:t>
      </w:r>
      <w:r w:rsidRPr="00D30032">
        <w:rPr>
          <w:rStyle w:val="af9"/>
          <w:rFonts w:hint="cs"/>
          <w:rtl/>
        </w:rPr>
        <w:t>הגרעק"א</w:t>
      </w:r>
      <w:r w:rsidRPr="00D30032">
        <w:rPr>
          <w:rFonts w:hint="cs"/>
          <w:rtl/>
        </w:rPr>
        <w:t xml:space="preserve"> דלדעת ר"מ אף דמדאו' אזלינן בתר רוב [כדעת </w:t>
      </w:r>
      <w:r w:rsidRPr="00D30032">
        <w:rPr>
          <w:rStyle w:val="af9"/>
          <w:rFonts w:hint="cs"/>
          <w:rtl/>
        </w:rPr>
        <w:t>התוס'</w:t>
      </w:r>
      <w:r w:rsidRPr="00D30032">
        <w:rPr>
          <w:rStyle w:val="af7"/>
          <w:rFonts w:eastAsia="Guttman Hodes" w:hint="cs"/>
          <w:rtl/>
        </w:rPr>
        <w:t xml:space="preserve"> (עי' אות </w:t>
      </w:r>
      <w:r w:rsidRPr="00D30032">
        <w:rPr>
          <w:rStyle w:val="af7"/>
          <w:rFonts w:eastAsia="Guttman Hodes"/>
          <w:rtl/>
        </w:rPr>
        <w:fldChar w:fldCharType="begin"/>
      </w:r>
      <w:r w:rsidRPr="00D30032">
        <w:rPr>
          <w:rStyle w:val="af7"/>
          <w:rFonts w:eastAsia="Guttman Hodes"/>
          <w:rtl/>
        </w:rPr>
        <w:instrText xml:space="preserve"> </w:instrText>
      </w:r>
      <w:r w:rsidRPr="00D30032">
        <w:rPr>
          <w:rStyle w:val="af7"/>
          <w:rFonts w:eastAsia="Guttman Hodes" w:hint="cs"/>
        </w:rPr>
        <w:instrText>REF</w:instrText>
      </w:r>
      <w:r w:rsidRPr="00D30032">
        <w:rPr>
          <w:rStyle w:val="af7"/>
          <w:rFonts w:eastAsia="Guttman Hodes" w:hint="cs"/>
          <w:rtl/>
        </w:rPr>
        <w:instrText xml:space="preserve"> _</w:instrText>
      </w:r>
      <w:r w:rsidRPr="00D30032">
        <w:rPr>
          <w:rStyle w:val="af7"/>
          <w:rFonts w:eastAsia="Guttman Hodes" w:hint="cs"/>
        </w:rPr>
        <w:instrText>Ref530936362 \r \h</w:instrText>
      </w:r>
      <w:r w:rsidRPr="00D30032">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D30032">
        <w:rPr>
          <w:rStyle w:val="af7"/>
          <w:rFonts w:eastAsia="Guttman Hodes"/>
          <w:rtl/>
        </w:rPr>
      </w:r>
      <w:r w:rsidRPr="00D30032">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D30032">
        <w:rPr>
          <w:rStyle w:val="af7"/>
          <w:rFonts w:eastAsia="Guttman Hodes"/>
          <w:rtl/>
        </w:rPr>
        <w:fldChar w:fldCharType="end"/>
      </w:r>
      <w:r w:rsidRPr="00D30032">
        <w:rPr>
          <w:rFonts w:hint="cs"/>
          <w:rtl/>
        </w:rPr>
        <w:t>], אין</w:t>
      </w:r>
      <w:r>
        <w:rPr>
          <w:rFonts w:hint="cs"/>
          <w:rtl/>
        </w:rPr>
        <w:t xml:space="preserve"> הכוונה שהמיעוט הוא כמאן דליתא, אלא דמדאו' הדין הוא שלא לחשוש למיעוט, אבל במקום </w:t>
      </w:r>
      <w:r w:rsidRPr="00EA1CC9">
        <w:rPr>
          <w:rFonts w:hint="cs"/>
          <w:rtl/>
        </w:rPr>
        <w:t xml:space="preserve">שמצטרפת החזקה לרוב הוא עדיף מהמיעוט אף מדאו', וכדברי </w:t>
      </w:r>
      <w:r w:rsidRPr="00EA1CC9">
        <w:rPr>
          <w:rStyle w:val="af9"/>
          <w:rFonts w:hint="cs"/>
          <w:rtl/>
        </w:rPr>
        <w:t>רש"י לקמן</w:t>
      </w:r>
      <w:r w:rsidRPr="00EA1CC9">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Ref531155449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Pr>
          <w:rStyle w:val="af7"/>
          <w:rFonts w:eastAsia="Guttman Hodes"/>
          <w:rtl/>
        </w:rPr>
        <w:fldChar w:fldCharType="end"/>
      </w:r>
      <w:r w:rsidRPr="00EA1CC9">
        <w:rPr>
          <w:rStyle w:val="af7"/>
          <w:rFonts w:eastAsia="Guttman Hodes" w:hint="cs"/>
          <w:rtl/>
        </w:rPr>
        <w:t xml:space="preserve"> </w:t>
      </w:r>
      <w:r w:rsidRPr="00EA1CC9">
        <w:rPr>
          <w:rFonts w:hint="cs"/>
          <w:rtl/>
        </w:rPr>
        <w:t>דר"מ לא חייש למיעוט רק במקום שיש חזקה ורוב כנגדו</w:t>
      </w:r>
      <w:r>
        <w:rPr>
          <w:rFonts w:hint="cs"/>
          <w:rtl/>
        </w:rPr>
        <w:t>.</w:t>
      </w:r>
      <w:r w:rsidRPr="00EA1CC9">
        <w:rPr>
          <w:rFonts w:hint="cs"/>
          <w:rtl/>
        </w:rPr>
        <w:t xml:space="preserve"> </w:t>
      </w:r>
    </w:p>
    <w:p w14:paraId="56AD9FF7" w14:textId="77777777" w:rsidR="005E1F6B" w:rsidRDefault="005E1F6B" w:rsidP="006D6D32">
      <w:pPr>
        <w:pStyle w:val="a3"/>
        <w:rPr>
          <w:rtl/>
        </w:rPr>
      </w:pPr>
      <w:bookmarkStart w:id="11670" w:name="_Toc531158402"/>
      <w:bookmarkStart w:id="11671" w:name="_Toc531182547"/>
      <w:bookmarkStart w:id="11672" w:name="_Toc19390544"/>
      <w:bookmarkStart w:id="11673" w:name="_Toc19394041"/>
      <w:r>
        <w:rPr>
          <w:rFonts w:hint="cs"/>
          <w:rtl/>
        </w:rPr>
        <w:t>דברי הגרעק"א דמבואר בתוס' לקמן דלרבנן לא אמרינן סמוך מיעוטא לחזקה כלל</w:t>
      </w:r>
      <w:bookmarkEnd w:id="11670"/>
      <w:bookmarkEnd w:id="11671"/>
      <w:bookmarkEnd w:id="11672"/>
      <w:bookmarkEnd w:id="11673"/>
    </w:p>
    <w:p w14:paraId="5DDEA9B6" w14:textId="77777777" w:rsidR="005E1F6B" w:rsidRDefault="005E1F6B" w:rsidP="00223668">
      <w:pPr>
        <w:pStyle w:val="a0"/>
        <w:rPr>
          <w:rtl/>
        </w:rPr>
      </w:pPr>
      <w:bookmarkStart w:id="11674" w:name="_Ref531163029"/>
      <w:r>
        <w:rPr>
          <w:rFonts w:hint="cs"/>
          <w:rtl/>
        </w:rPr>
        <w:t xml:space="preserve">וכתב </w:t>
      </w:r>
      <w:r w:rsidRPr="001D3A5B">
        <w:rPr>
          <w:rStyle w:val="af9"/>
          <w:rFonts w:hint="cs"/>
          <w:rtl/>
        </w:rPr>
        <w:t>הגרעק"א</w:t>
      </w:r>
      <w:r>
        <w:rPr>
          <w:rFonts w:hint="cs"/>
          <w:rtl/>
        </w:rPr>
        <w:t xml:space="preserve"> דמדלא תירצו </w:t>
      </w:r>
      <w:r w:rsidRPr="001D3A5B">
        <w:rPr>
          <w:rStyle w:val="af9"/>
          <w:rFonts w:hint="cs"/>
          <w:rtl/>
        </w:rPr>
        <w:t>התוס' לקמן</w:t>
      </w:r>
      <w:r>
        <w:rPr>
          <w:rFonts w:hint="cs"/>
          <w:rtl/>
        </w:rPr>
        <w:t xml:space="preserve"> דלרבנן סמוך מיעוטא לחזקה הו"ל כפלגא ופלגא, ולר"מ סמוך מיעוטא לחזקה עדיף מרוב כיון דחייש למיעוטא, א"כ מבואר מדברי </w:t>
      </w:r>
      <w:r w:rsidRPr="001D3A5B">
        <w:rPr>
          <w:rStyle w:val="af9"/>
          <w:rFonts w:hint="cs"/>
          <w:rtl/>
        </w:rPr>
        <w:t>התוס' לקמן</w:t>
      </w:r>
      <w:r>
        <w:rPr>
          <w:rFonts w:hint="cs"/>
          <w:rtl/>
        </w:rPr>
        <w:t xml:space="preserve"> דס"ל דרבנן פליגי לגמרי על דין סמוך מיעוטא לחזקה, ודלא </w:t>
      </w:r>
      <w:r>
        <w:rPr>
          <w:rStyle w:val="af9"/>
          <w:rFonts w:hint="cs"/>
          <w:rtl/>
        </w:rPr>
        <w:t>כ</w:t>
      </w:r>
      <w:r w:rsidRPr="000613AC">
        <w:rPr>
          <w:rStyle w:val="af9"/>
          <w:rFonts w:hint="cs"/>
          <w:rtl/>
        </w:rPr>
        <w:t>הרשב"</w:t>
      </w:r>
      <w:r>
        <w:rPr>
          <w:rStyle w:val="af9"/>
          <w:rFonts w:hint="cs"/>
          <w:rtl/>
        </w:rPr>
        <w:t>א ביבמות</w:t>
      </w:r>
      <w:r w:rsidRPr="000613AC">
        <w:rPr>
          <w:rFonts w:hint="cs"/>
          <w:rtl/>
        </w:rPr>
        <w:t xml:space="preserve"> </w:t>
      </w:r>
      <w:r>
        <w:rPr>
          <w:rStyle w:val="af7"/>
          <w:rFonts w:eastAsia="Guttman Hodes" w:hint="cs"/>
          <w:rtl/>
        </w:rPr>
        <w:t>(</w:t>
      </w:r>
      <w:r w:rsidRPr="000613AC">
        <w:rPr>
          <w:rStyle w:val="af7"/>
          <w:rFonts w:eastAsia="Guttman Hodes" w:hint="cs"/>
          <w:rtl/>
        </w:rPr>
        <w:t xml:space="preserve">עי' אות </w:t>
      </w:r>
      <w:r w:rsidRPr="000613AC">
        <w:rPr>
          <w:rStyle w:val="af7"/>
          <w:rFonts w:eastAsia="Guttman Hodes"/>
          <w:rtl/>
        </w:rPr>
        <w:fldChar w:fldCharType="begin"/>
      </w:r>
      <w:r w:rsidRPr="000613AC">
        <w:rPr>
          <w:rStyle w:val="af7"/>
          <w:rFonts w:eastAsia="Guttman Hodes"/>
          <w:rtl/>
        </w:rPr>
        <w:instrText xml:space="preserve"> </w:instrText>
      </w:r>
      <w:r w:rsidRPr="000613AC">
        <w:rPr>
          <w:rStyle w:val="af7"/>
          <w:rFonts w:eastAsia="Guttman Hodes" w:hint="cs"/>
        </w:rPr>
        <w:instrText>REF</w:instrText>
      </w:r>
      <w:r w:rsidRPr="000613AC">
        <w:rPr>
          <w:rStyle w:val="af7"/>
          <w:rFonts w:eastAsia="Guttman Hodes" w:hint="cs"/>
          <w:rtl/>
        </w:rPr>
        <w:instrText xml:space="preserve"> _</w:instrText>
      </w:r>
      <w:r w:rsidRPr="000613AC">
        <w:rPr>
          <w:rStyle w:val="af7"/>
          <w:rFonts w:eastAsia="Guttman Hodes" w:hint="cs"/>
        </w:rPr>
        <w:instrText>Ref531104629 \r \h</w:instrText>
      </w:r>
      <w:r w:rsidRPr="000613AC">
        <w:rPr>
          <w:rStyle w:val="af7"/>
          <w:rFonts w:eastAsia="Guttman Hodes"/>
          <w:rtl/>
        </w:rPr>
        <w:instrText xml:space="preserve"> </w:instrText>
      </w:r>
      <w:r w:rsidRPr="000613AC">
        <w:rPr>
          <w:rStyle w:val="af7"/>
          <w:rFonts w:eastAsia="Guttman Hodes"/>
          <w:rtl/>
        </w:rPr>
      </w:r>
      <w:r w:rsidRPr="000613AC">
        <w:rPr>
          <w:rStyle w:val="af7"/>
          <w:rFonts w:eastAsia="Guttman Hodes"/>
          <w:rtl/>
        </w:rPr>
        <w:fldChar w:fldCharType="separate"/>
      </w:r>
      <w:r w:rsidR="00345400">
        <w:rPr>
          <w:rStyle w:val="af7"/>
          <w:rFonts w:eastAsia="Guttman Hodes"/>
          <w:cs/>
        </w:rPr>
        <w:t>‎</w:t>
      </w:r>
      <w:r w:rsidR="00345400">
        <w:rPr>
          <w:rStyle w:val="af7"/>
          <w:rFonts w:eastAsia="Guttman Hodes"/>
          <w:rtl/>
        </w:rPr>
        <w:t>מג)</w:t>
      </w:r>
      <w:r w:rsidRPr="000613AC">
        <w:rPr>
          <w:rStyle w:val="af7"/>
          <w:rFonts w:eastAsia="Guttman Hodes"/>
          <w:rtl/>
        </w:rPr>
        <w:fldChar w:fldCharType="end"/>
      </w:r>
      <w:r>
        <w:rPr>
          <w:rFonts w:hint="cs"/>
          <w:rtl/>
        </w:rPr>
        <w:t>.</w:t>
      </w:r>
      <w:bookmarkEnd w:id="11674"/>
    </w:p>
    <w:p w14:paraId="422182EF" w14:textId="77777777" w:rsidR="005E1F6B" w:rsidRDefault="005E1F6B" w:rsidP="006D6D32">
      <w:pPr>
        <w:pStyle w:val="afe"/>
        <w:rPr>
          <w:rtl/>
        </w:rPr>
      </w:pPr>
      <w:bookmarkStart w:id="11675" w:name="_Toc531182548"/>
      <w:bookmarkStart w:id="11676" w:name="_Toc19435761"/>
      <w:bookmarkStart w:id="11677" w:name="_Toc20081018"/>
      <w:r>
        <w:rPr>
          <w:rFonts w:hint="cs"/>
          <w:rtl/>
        </w:rPr>
        <w:t>בגדר המיעוט ברובא דא"ק ורובא דל"ק</w:t>
      </w:r>
      <w:bookmarkEnd w:id="11675"/>
      <w:bookmarkEnd w:id="11676"/>
      <w:bookmarkEnd w:id="11677"/>
    </w:p>
    <w:p w14:paraId="1AA8E02C" w14:textId="77777777" w:rsidR="005E1F6B" w:rsidRDefault="005E1F6B" w:rsidP="006D6D32">
      <w:pPr>
        <w:pStyle w:val="a3"/>
        <w:rPr>
          <w:rtl/>
        </w:rPr>
      </w:pPr>
      <w:bookmarkStart w:id="11678" w:name="_Toc531023288"/>
      <w:bookmarkStart w:id="11679" w:name="_Toc531106331"/>
      <w:bookmarkStart w:id="11680" w:name="_Toc531111278"/>
      <w:bookmarkStart w:id="11681" w:name="_Toc531158412"/>
      <w:bookmarkStart w:id="11682" w:name="_Toc531182549"/>
      <w:bookmarkStart w:id="11683" w:name="_Toc19390545"/>
      <w:bookmarkStart w:id="11684" w:name="_Toc19394042"/>
      <w:r>
        <w:rPr>
          <w:rFonts w:hint="cs"/>
          <w:rtl/>
        </w:rPr>
        <w:t>דברי החוו"ד דברובא דאיתא קמן א"א לסמוך את המיעוט לחזקה דהוא כמאן דליתא</w:t>
      </w:r>
      <w:bookmarkEnd w:id="11678"/>
      <w:bookmarkEnd w:id="11679"/>
      <w:bookmarkEnd w:id="11680"/>
      <w:bookmarkEnd w:id="11681"/>
      <w:bookmarkEnd w:id="11682"/>
      <w:bookmarkEnd w:id="11683"/>
      <w:bookmarkEnd w:id="11684"/>
    </w:p>
    <w:p w14:paraId="5BACA730" w14:textId="77777777" w:rsidR="005E1F6B" w:rsidRDefault="005E1F6B" w:rsidP="00223668">
      <w:pPr>
        <w:pStyle w:val="a0"/>
        <w:rPr>
          <w:rtl/>
        </w:rPr>
      </w:pPr>
      <w:r>
        <w:rPr>
          <w:rFonts w:hint="cs"/>
          <w:rtl/>
        </w:rPr>
        <w:t xml:space="preserve">כתב </w:t>
      </w:r>
      <w:r w:rsidRPr="00E72DA2">
        <w:rPr>
          <w:rStyle w:val="af9"/>
          <w:rFonts w:hint="cs"/>
          <w:rtl/>
        </w:rPr>
        <w:t>החוו"ד</w:t>
      </w:r>
      <w:r>
        <w:rPr>
          <w:rFonts w:hint="cs"/>
          <w:rtl/>
        </w:rPr>
        <w:t xml:space="preserve"> </w:t>
      </w:r>
      <w:r w:rsidRPr="00E72DA2">
        <w:rPr>
          <w:rStyle w:val="af7"/>
          <w:rFonts w:eastAsia="Guttman Hodes" w:hint="cs"/>
          <w:rtl/>
        </w:rPr>
        <w:t xml:space="preserve">(ס"ג ב') </w:t>
      </w:r>
      <w:r>
        <w:rPr>
          <w:rFonts w:hint="cs"/>
          <w:rtl/>
        </w:rPr>
        <w:t>דהא דאמרינן סמוך מיעוטא לחזקה, זהו דוקא ברובא דליתא קמן, אבל ברובא דאיתא קמן המיעוט הוא כמאן דליתא, ואף לדעת ר"מ א"א לצרפו לחזקה</w:t>
      </w:r>
      <w:r>
        <w:rPr>
          <w:rStyle w:val="af1"/>
          <w:rtl/>
        </w:rPr>
        <w:footnoteReference w:id="84"/>
      </w:r>
      <w:r>
        <w:rPr>
          <w:rFonts w:hint="cs"/>
          <w:rtl/>
        </w:rPr>
        <w:t xml:space="preserve">. </w:t>
      </w:r>
      <w:r w:rsidRPr="00FD5BDC">
        <w:rPr>
          <w:rStyle w:val="afb"/>
          <w:rFonts w:hint="cs"/>
          <w:rtl/>
        </w:rPr>
        <w:t>[</w:t>
      </w:r>
      <w:r w:rsidRPr="00FD5BDC">
        <w:rPr>
          <w:rStyle w:val="afb"/>
          <w:rtl/>
        </w:rPr>
        <w:t>ו</w:t>
      </w:r>
      <w:r w:rsidRPr="001B7D1F">
        <w:rPr>
          <w:rStyle w:val="afb"/>
          <w:rtl/>
        </w:rPr>
        <w:t xml:space="preserve">הוסיף </w:t>
      </w:r>
      <w:r w:rsidRPr="001B7D1F">
        <w:rPr>
          <w:rStyle w:val="affa"/>
          <w:rtl/>
        </w:rPr>
        <w:t>החוו"ד</w:t>
      </w:r>
      <w:r w:rsidRPr="001B7D1F">
        <w:rPr>
          <w:rStyle w:val="afb"/>
          <w:rtl/>
        </w:rPr>
        <w:t xml:space="preserve"> דכ"ש שאין מצרפים ב' מיעוטים ברובא דאיתא קמן</w:t>
      </w:r>
      <w:r>
        <w:rPr>
          <w:rStyle w:val="afb"/>
          <w:rFonts w:hint="cs"/>
          <w:rtl/>
        </w:rPr>
        <w:t>,</w:t>
      </w:r>
      <w:r w:rsidRPr="001B7D1F">
        <w:rPr>
          <w:rStyle w:val="afb"/>
          <w:rtl/>
        </w:rPr>
        <w:t xml:space="preserve"> ודלא </w:t>
      </w:r>
      <w:r w:rsidRPr="001B7D1F">
        <w:rPr>
          <w:rStyle w:val="affa"/>
          <w:rtl/>
        </w:rPr>
        <w:t>כתבו"ש</w:t>
      </w:r>
      <w:r>
        <w:rPr>
          <w:rStyle w:val="afb"/>
          <w:rtl/>
        </w:rPr>
        <w:t xml:space="preserve"> דכתב </w:t>
      </w:r>
      <w:r w:rsidRPr="00FD5BDC">
        <w:rPr>
          <w:rStyle w:val="afb"/>
          <w:rtl/>
        </w:rPr>
        <w:t>דמצרפי</w:t>
      </w:r>
      <w:r w:rsidRPr="00FD5BDC">
        <w:rPr>
          <w:rStyle w:val="afb"/>
          <w:rFonts w:hint="cs"/>
          <w:rtl/>
        </w:rPr>
        <w:t>ם</w:t>
      </w:r>
      <w:r>
        <w:rPr>
          <w:rStyle w:val="afb"/>
          <w:rFonts w:hint="cs"/>
          <w:rtl/>
        </w:rPr>
        <w:t xml:space="preserve"> ב' מיעוטים לחזק</w:t>
      </w:r>
      <w:r w:rsidRPr="00FD5BDC">
        <w:rPr>
          <w:rStyle w:val="afb"/>
          <w:rFonts w:hint="cs"/>
          <w:rtl/>
        </w:rPr>
        <w:t>ה</w:t>
      </w:r>
      <w:r w:rsidRPr="00FD5BDC">
        <w:rPr>
          <w:rStyle w:val="afb"/>
          <w:rtl/>
        </w:rPr>
        <w:t>]</w:t>
      </w:r>
      <w:r>
        <w:rPr>
          <w:rFonts w:hint="cs"/>
          <w:rtl/>
        </w:rPr>
        <w:t>.</w:t>
      </w:r>
    </w:p>
    <w:p w14:paraId="0996C6EA" w14:textId="77777777" w:rsidR="005E1F6B" w:rsidRDefault="005E1F6B" w:rsidP="006D6D32">
      <w:pPr>
        <w:pStyle w:val="a3"/>
        <w:rPr>
          <w:rtl/>
        </w:rPr>
      </w:pPr>
      <w:bookmarkStart w:id="11685" w:name="_Toc531023289"/>
      <w:bookmarkStart w:id="11686" w:name="_Toc531106332"/>
      <w:bookmarkStart w:id="11687" w:name="_Toc531111279"/>
      <w:bookmarkStart w:id="11688" w:name="_Toc531158413"/>
      <w:bookmarkStart w:id="11689" w:name="_Toc531182550"/>
      <w:bookmarkStart w:id="11690" w:name="_Toc19390546"/>
      <w:bookmarkStart w:id="11691" w:name="_Toc19394043"/>
      <w:r>
        <w:rPr>
          <w:rFonts w:hint="cs"/>
          <w:rtl/>
        </w:rPr>
        <w:t>ביאור האבאה"ז דהרמב"ן מסתפק אי ברובא דאיתא קמן אמרינן סמוך מיעוטא לחזקה</w:t>
      </w:r>
      <w:bookmarkEnd w:id="11685"/>
      <w:bookmarkEnd w:id="11686"/>
      <w:bookmarkEnd w:id="11687"/>
      <w:bookmarkEnd w:id="11688"/>
      <w:bookmarkEnd w:id="11689"/>
      <w:bookmarkEnd w:id="11690"/>
      <w:bookmarkEnd w:id="11691"/>
    </w:p>
    <w:p w14:paraId="7859B6C0" w14:textId="77777777" w:rsidR="005E1F6B" w:rsidRDefault="005E1F6B" w:rsidP="00223668">
      <w:pPr>
        <w:pStyle w:val="a0"/>
        <w:rPr>
          <w:rtl/>
        </w:rPr>
      </w:pPr>
      <w:r w:rsidRPr="00F54E2D">
        <w:rPr>
          <w:rStyle w:val="af9"/>
          <w:rFonts w:hint="cs"/>
          <w:rtl/>
        </w:rPr>
        <w:t>והרמב"ן ביבמות</w:t>
      </w:r>
      <w:r>
        <w:rPr>
          <w:rFonts w:hint="cs"/>
          <w:rtl/>
        </w:rPr>
        <w:t xml:space="preserve"> </w:t>
      </w:r>
      <w:r w:rsidRPr="00E67491">
        <w:rPr>
          <w:rStyle w:val="af7"/>
          <w:rFonts w:eastAsia="Guttman Hodes" w:hint="cs"/>
          <w:rtl/>
        </w:rPr>
        <w:t>(קיט. ד"ה כך)</w:t>
      </w:r>
      <w:r>
        <w:rPr>
          <w:rFonts w:hint="cs"/>
          <w:rtl/>
        </w:rPr>
        <w:t xml:space="preserve"> הקשה אמאי ברוב שרצים בבית לא אמרינן סמוך מיעוטא לחזקה, ותירץ דהוא רובא דאיתא קמן, ועוד תירץ דאין שם חזקה כיון </w:t>
      </w:r>
      <w:r w:rsidRPr="00194DF7">
        <w:rPr>
          <w:rFonts w:hint="cs"/>
          <w:rtl/>
        </w:rPr>
        <w:t xml:space="preserve">שודאי נגע. וביאר </w:t>
      </w:r>
      <w:r w:rsidRPr="00E67491">
        <w:rPr>
          <w:rStyle w:val="af9"/>
          <w:rFonts w:hint="cs"/>
          <w:rtl/>
        </w:rPr>
        <w:t>האבאה"ז</w:t>
      </w:r>
      <w:r w:rsidRPr="00194DF7">
        <w:rPr>
          <w:rFonts w:hint="cs"/>
          <w:rtl/>
        </w:rPr>
        <w:t xml:space="preserve"> </w:t>
      </w:r>
      <w:r w:rsidRPr="00E67491">
        <w:rPr>
          <w:rStyle w:val="af7"/>
          <w:rFonts w:eastAsia="Guttman Hodes" w:hint="cs"/>
          <w:rtl/>
        </w:rPr>
        <w:t>(אישות פט"ז הכ"ה ד"ה והנה אי)</w:t>
      </w:r>
      <w:r w:rsidRPr="00194DF7">
        <w:rPr>
          <w:rFonts w:hint="cs"/>
          <w:rtl/>
        </w:rPr>
        <w:t xml:space="preserve"> </w:t>
      </w:r>
      <w:r w:rsidRPr="00E67491">
        <w:rPr>
          <w:rStyle w:val="af9"/>
          <w:rFonts w:hint="cs"/>
          <w:rtl/>
        </w:rPr>
        <w:t>דהרמב"ן</w:t>
      </w:r>
      <w:r w:rsidRPr="00194DF7">
        <w:rPr>
          <w:rFonts w:hint="cs"/>
          <w:rtl/>
        </w:rPr>
        <w:t xml:space="preserve"> מסתפק אי ברובא דאיתא קמן אמרינן סמוך מיעוט</w:t>
      </w:r>
      <w:r>
        <w:rPr>
          <w:rFonts w:hint="cs"/>
          <w:rtl/>
        </w:rPr>
        <w:t>א ל</w:t>
      </w:r>
      <w:r w:rsidRPr="00194DF7">
        <w:rPr>
          <w:rFonts w:hint="cs"/>
          <w:rtl/>
        </w:rPr>
        <w:t>חזקה או לא.</w:t>
      </w:r>
    </w:p>
    <w:p w14:paraId="24C4E959" w14:textId="77777777" w:rsidR="00061351" w:rsidRPr="00061351" w:rsidRDefault="00061351" w:rsidP="006D6D32">
      <w:pPr>
        <w:pStyle w:val="a3"/>
        <w:rPr>
          <w:rtl/>
        </w:rPr>
      </w:pPr>
    </w:p>
    <w:p w14:paraId="3138D014" w14:textId="77777777" w:rsidR="005E1F6B" w:rsidRDefault="005E1F6B" w:rsidP="00BF39B2">
      <w:pPr>
        <w:pStyle w:val="1"/>
        <w:rPr>
          <w:rtl/>
        </w:rPr>
      </w:pPr>
      <w:bookmarkStart w:id="11692" w:name="_Toc531023290"/>
      <w:bookmarkStart w:id="11693" w:name="_Toc531106333"/>
      <w:bookmarkStart w:id="11694" w:name="_Toc531111280"/>
      <w:bookmarkStart w:id="11695" w:name="_Toc531158414"/>
      <w:bookmarkStart w:id="11696" w:name="_Toc531182551"/>
      <w:bookmarkStart w:id="11697" w:name="_Toc19390547"/>
      <w:bookmarkStart w:id="11698" w:name="_Toc19394044"/>
      <w:r>
        <w:rPr>
          <w:rFonts w:hint="cs"/>
          <w:rtl/>
        </w:rPr>
        <w:t>ספק הגרעק"א בדעת הר"ן בסמוך מיעוטא לפלגא ברובא דא"ק</w:t>
      </w:r>
      <w:bookmarkEnd w:id="11692"/>
      <w:bookmarkEnd w:id="11693"/>
      <w:bookmarkEnd w:id="11694"/>
      <w:bookmarkEnd w:id="11695"/>
      <w:bookmarkEnd w:id="11696"/>
      <w:bookmarkEnd w:id="11697"/>
      <w:bookmarkEnd w:id="11698"/>
    </w:p>
    <w:p w14:paraId="6B935373" w14:textId="77777777" w:rsidR="005E1F6B" w:rsidRPr="000F5B58" w:rsidRDefault="005E1F6B" w:rsidP="006D6D32">
      <w:pPr>
        <w:pStyle w:val="a3"/>
        <w:rPr>
          <w:rtl/>
        </w:rPr>
      </w:pPr>
      <w:bookmarkStart w:id="11699" w:name="_Toc531023291"/>
      <w:bookmarkStart w:id="11700" w:name="_Toc531106334"/>
      <w:bookmarkStart w:id="11701" w:name="_Toc531111281"/>
      <w:bookmarkStart w:id="11702" w:name="_Toc531158415"/>
      <w:bookmarkStart w:id="11703" w:name="_Toc531182552"/>
      <w:bookmarkStart w:id="11704" w:name="_Toc19390548"/>
      <w:bookmarkStart w:id="11705" w:name="_Toc19394045"/>
      <w:r>
        <w:rPr>
          <w:rFonts w:hint="cs"/>
          <w:rtl/>
        </w:rPr>
        <w:t>דברי הגרעק"א דכיון דברובא דאיתא קמן המיעוט כמי שאינו משמע דא"א לסומכו לפלגא</w:t>
      </w:r>
      <w:bookmarkEnd w:id="11699"/>
      <w:bookmarkEnd w:id="11700"/>
      <w:bookmarkEnd w:id="11701"/>
      <w:bookmarkEnd w:id="11702"/>
      <w:bookmarkEnd w:id="11703"/>
      <w:bookmarkEnd w:id="11704"/>
      <w:bookmarkEnd w:id="11705"/>
    </w:p>
    <w:p w14:paraId="0DF547DC" w14:textId="77777777" w:rsidR="005E1F6B" w:rsidRDefault="005E1F6B" w:rsidP="00223668">
      <w:pPr>
        <w:pStyle w:val="a0"/>
        <w:rPr>
          <w:rtl/>
        </w:rPr>
      </w:pPr>
      <w:r>
        <w:rPr>
          <w:rFonts w:hint="cs"/>
          <w:rtl/>
        </w:rPr>
        <w:t xml:space="preserve">כתב </w:t>
      </w:r>
      <w:r w:rsidRPr="000F5B58">
        <w:rPr>
          <w:rStyle w:val="af9"/>
          <w:rFonts w:hint="cs"/>
          <w:rtl/>
        </w:rPr>
        <w:t>הגרעק"א</w:t>
      </w:r>
      <w:r>
        <w:rPr>
          <w:rFonts w:hint="cs"/>
          <w:rtl/>
        </w:rPr>
        <w:t xml:space="preserve"> </w:t>
      </w:r>
      <w:r w:rsidRPr="000F5B58">
        <w:rPr>
          <w:rStyle w:val="af7"/>
          <w:rFonts w:eastAsia="Guttman Hodes" w:hint="cs"/>
          <w:rtl/>
        </w:rPr>
        <w:t>(שו"ת מהדו"ק סי' ק"ו ד"ה גם הנני)</w:t>
      </w:r>
      <w:r>
        <w:rPr>
          <w:rFonts w:hint="cs"/>
          <w:rtl/>
        </w:rPr>
        <w:t xml:space="preserve"> דיש להסתפק אי אמרינן סמוך מיעוט לפלגא, דכיון דכתב </w:t>
      </w:r>
      <w:r w:rsidRPr="000F5B58">
        <w:rPr>
          <w:rStyle w:val="af9"/>
          <w:rFonts w:hint="cs"/>
          <w:rtl/>
        </w:rPr>
        <w:t>הר"ן על הרי"ף בע"ז</w:t>
      </w:r>
      <w:r>
        <w:rPr>
          <w:rFonts w:hint="cs"/>
          <w:rtl/>
        </w:rPr>
        <w:t xml:space="preserve"> </w:t>
      </w:r>
      <w:r w:rsidRPr="000F5B58">
        <w:rPr>
          <w:rStyle w:val="af7"/>
          <w:rFonts w:eastAsia="Guttman Hodes" w:hint="cs"/>
          <w:rtl/>
        </w:rPr>
        <w:t xml:space="preserve">(עי' אות </w:t>
      </w:r>
      <w:r w:rsidRPr="000F5B58">
        <w:rPr>
          <w:rStyle w:val="af7"/>
          <w:rFonts w:eastAsia="Guttman Hodes"/>
          <w:rtl/>
        </w:rPr>
        <w:fldChar w:fldCharType="begin"/>
      </w:r>
      <w:r w:rsidRPr="000F5B58">
        <w:rPr>
          <w:rStyle w:val="af7"/>
          <w:rFonts w:eastAsia="Guttman Hodes"/>
          <w:rtl/>
        </w:rPr>
        <w:instrText xml:space="preserve"> </w:instrText>
      </w:r>
      <w:r w:rsidRPr="000F5B58">
        <w:rPr>
          <w:rStyle w:val="af7"/>
          <w:rFonts w:eastAsia="Guttman Hodes" w:hint="cs"/>
        </w:rPr>
        <w:instrText>REF</w:instrText>
      </w:r>
      <w:r w:rsidRPr="000F5B58">
        <w:rPr>
          <w:rStyle w:val="af7"/>
          <w:rFonts w:eastAsia="Guttman Hodes" w:hint="cs"/>
          <w:rtl/>
        </w:rPr>
        <w:instrText xml:space="preserve"> _</w:instrText>
      </w:r>
      <w:r w:rsidRPr="000F5B58">
        <w:rPr>
          <w:rStyle w:val="af7"/>
          <w:rFonts w:eastAsia="Guttman Hodes" w:hint="cs"/>
        </w:rPr>
        <w:instrText>Ref528166854 \r \h</w:instrText>
      </w:r>
      <w:r w:rsidRPr="000F5B58">
        <w:rPr>
          <w:rStyle w:val="af7"/>
          <w:rFonts w:eastAsia="Guttman Hodes"/>
          <w:rtl/>
        </w:rPr>
        <w:instrText xml:space="preserve"> </w:instrText>
      </w:r>
      <w:r w:rsidRPr="000F5B58">
        <w:rPr>
          <w:rStyle w:val="af7"/>
          <w:rFonts w:eastAsia="Guttman Hodes"/>
          <w:rtl/>
        </w:rPr>
      </w:r>
      <w:r w:rsidRPr="000F5B58">
        <w:rPr>
          <w:rStyle w:val="af7"/>
          <w:rFonts w:eastAsia="Guttman Hodes"/>
          <w:rtl/>
        </w:rPr>
        <w:fldChar w:fldCharType="separate"/>
      </w:r>
      <w:r w:rsidR="00345400">
        <w:rPr>
          <w:rStyle w:val="af7"/>
          <w:rFonts w:eastAsia="Guttman Hodes"/>
          <w:cs/>
        </w:rPr>
        <w:t>‎</w:t>
      </w:r>
      <w:r w:rsidR="00345400">
        <w:rPr>
          <w:rStyle w:val="af7"/>
          <w:rFonts w:eastAsia="Guttman Hodes"/>
          <w:rtl/>
        </w:rPr>
        <w:t>סה)</w:t>
      </w:r>
      <w:r w:rsidRPr="000F5B58">
        <w:rPr>
          <w:rStyle w:val="af7"/>
          <w:rFonts w:eastAsia="Guttman Hodes"/>
          <w:rtl/>
        </w:rPr>
        <w:fldChar w:fldCharType="end"/>
      </w:r>
      <w:r>
        <w:rPr>
          <w:rFonts w:hint="cs"/>
          <w:rtl/>
        </w:rPr>
        <w:t xml:space="preserve"> דברובא דאיתא קמן המיעוט הוא כמאן דליתא, ולכן לא אמרינן ביה סמוך מיעוטא לחזקה, ה"ה דלא אמרינן ברובא דאיתא קמן, סמוך מיעוטא לפלגא.</w:t>
      </w:r>
    </w:p>
    <w:p w14:paraId="15D277C0" w14:textId="77777777" w:rsidR="005E1F6B" w:rsidRPr="00FC7FD1" w:rsidRDefault="005E1F6B" w:rsidP="006D6D32">
      <w:pPr>
        <w:pStyle w:val="a3"/>
        <w:rPr>
          <w:rtl/>
        </w:rPr>
      </w:pPr>
      <w:bookmarkStart w:id="11706" w:name="_Toc531023292"/>
      <w:bookmarkStart w:id="11707" w:name="_Toc531106335"/>
      <w:bookmarkStart w:id="11708" w:name="_Toc531111282"/>
      <w:bookmarkStart w:id="11709" w:name="_Toc531158416"/>
      <w:bookmarkStart w:id="11710" w:name="_Toc531182553"/>
      <w:bookmarkStart w:id="11711" w:name="_Toc19390549"/>
      <w:bookmarkStart w:id="11712" w:name="_Toc19394046"/>
      <w:r>
        <w:rPr>
          <w:rFonts w:hint="cs"/>
          <w:rtl/>
        </w:rPr>
        <w:t>דחיית הגרעק"א דכל דברי הר"ן הם לדעת ר"מ אבל סמוך מיעוטא לפלגא לרבנן סמכינן</w:t>
      </w:r>
      <w:bookmarkEnd w:id="11706"/>
      <w:bookmarkEnd w:id="11707"/>
      <w:bookmarkEnd w:id="11708"/>
      <w:bookmarkEnd w:id="11709"/>
      <w:bookmarkEnd w:id="11710"/>
      <w:bookmarkEnd w:id="11711"/>
      <w:bookmarkEnd w:id="11712"/>
    </w:p>
    <w:p w14:paraId="4648B666" w14:textId="77777777" w:rsidR="005E1F6B" w:rsidRDefault="005E1F6B" w:rsidP="00223668">
      <w:pPr>
        <w:pStyle w:val="a0"/>
        <w:rPr>
          <w:rtl/>
        </w:rPr>
      </w:pPr>
      <w:r>
        <w:rPr>
          <w:rFonts w:hint="cs"/>
          <w:rtl/>
        </w:rPr>
        <w:t xml:space="preserve">וכתב </w:t>
      </w:r>
      <w:r w:rsidRPr="000F5B58">
        <w:rPr>
          <w:rStyle w:val="af9"/>
          <w:rFonts w:hint="cs"/>
          <w:rtl/>
        </w:rPr>
        <w:t>הגרעק"א</w:t>
      </w:r>
      <w:r>
        <w:rPr>
          <w:rFonts w:hint="cs"/>
          <w:rtl/>
        </w:rPr>
        <w:t xml:space="preserve"> דאפשר לדחות ולומר דכל דברי </w:t>
      </w:r>
      <w:r w:rsidRPr="000F5B58">
        <w:rPr>
          <w:rStyle w:val="af9"/>
          <w:rFonts w:hint="cs"/>
          <w:rtl/>
        </w:rPr>
        <w:t>הר"ן על הרי"ף בע"ז</w:t>
      </w:r>
      <w:r>
        <w:rPr>
          <w:rFonts w:hint="cs"/>
          <w:rtl/>
        </w:rPr>
        <w:t xml:space="preserve"> הם רק לענין סמוך מיעוטא לחזקה, דכתב </w:t>
      </w:r>
      <w:r w:rsidRPr="000F5B58">
        <w:rPr>
          <w:rStyle w:val="af9"/>
          <w:rFonts w:hint="cs"/>
          <w:rtl/>
        </w:rPr>
        <w:t xml:space="preserve">הר"ן </w:t>
      </w:r>
      <w:r>
        <w:rPr>
          <w:rFonts w:hint="cs"/>
          <w:rtl/>
        </w:rPr>
        <w:t>דאף ר"מ מודה דברובא דאיתא קמן המיעוט הוא כמאן דליתא, ולכן לא אמרינן סמוך מיעוטא לחזקה, דכל מה דסמכינן את המיעוט לחזקה הוא לר"מ, וכיון דהמיעוט כמאן דליתא, ממילא א"א לסומכו לחזקה, אבל בסמוך מיעוטא לפלגא דהוא גם לרבנן, יתכן דאף ברובא דאיתא קמן אפשר לסמוך את המיעוט לפלגא.</w:t>
      </w:r>
    </w:p>
    <w:p w14:paraId="6E8A42FD" w14:textId="77777777" w:rsidR="005E1F6B" w:rsidRDefault="005E1F6B" w:rsidP="006D6D32">
      <w:pPr>
        <w:pStyle w:val="a3"/>
        <w:rPr>
          <w:rtl/>
        </w:rPr>
      </w:pPr>
      <w:bookmarkStart w:id="11713" w:name="_Toc531023293"/>
      <w:bookmarkStart w:id="11714" w:name="_Toc531106336"/>
      <w:bookmarkStart w:id="11715" w:name="_Toc531111283"/>
      <w:bookmarkStart w:id="11716" w:name="_Toc531158417"/>
      <w:bookmarkStart w:id="11717" w:name="_Toc531182554"/>
      <w:bookmarkStart w:id="11718" w:name="_Toc19390550"/>
      <w:bookmarkStart w:id="11719" w:name="_Toc19394047"/>
      <w:r>
        <w:rPr>
          <w:rFonts w:hint="cs"/>
          <w:rtl/>
        </w:rPr>
        <w:t>ספק הגרעק"א דהא אף לרבנן המיעוט כמי שאינו ולא סמכינן מיעוט לחזקה לחומרא</w:t>
      </w:r>
      <w:bookmarkEnd w:id="11713"/>
      <w:bookmarkEnd w:id="11714"/>
      <w:bookmarkEnd w:id="11715"/>
      <w:bookmarkEnd w:id="11716"/>
      <w:bookmarkEnd w:id="11717"/>
      <w:bookmarkEnd w:id="11718"/>
      <w:bookmarkEnd w:id="11719"/>
    </w:p>
    <w:p w14:paraId="4938DF3E" w14:textId="77777777" w:rsidR="005E1F6B" w:rsidRPr="00DB5C47" w:rsidRDefault="005E1F6B" w:rsidP="00223668">
      <w:pPr>
        <w:pStyle w:val="a0"/>
        <w:rPr>
          <w:rtl/>
        </w:rPr>
      </w:pPr>
      <w:bookmarkStart w:id="11720" w:name="_Ref531121233"/>
      <w:r>
        <w:rPr>
          <w:rFonts w:hint="cs"/>
          <w:rtl/>
        </w:rPr>
        <w:t xml:space="preserve">אך כתב </w:t>
      </w:r>
      <w:r w:rsidRPr="000F5B58">
        <w:rPr>
          <w:rStyle w:val="af9"/>
          <w:rFonts w:hint="cs"/>
          <w:rtl/>
        </w:rPr>
        <w:t>הגרעק"א</w:t>
      </w:r>
      <w:r>
        <w:rPr>
          <w:rFonts w:hint="cs"/>
          <w:rtl/>
        </w:rPr>
        <w:t xml:space="preserve"> דאפש"ל דמר"מ נשמע לדידן, דכיון דלדעת ר"מ, המיעוט של רובא דאיתא קמן, הוא גרוע יותר מהמיעוט של רובא דליתא קמן, ה"ה לדעת הפוסקים [</w:t>
      </w:r>
      <w:r w:rsidRPr="00282DDA">
        <w:rPr>
          <w:rStyle w:val="af9"/>
          <w:rFonts w:hint="cs"/>
          <w:rtl/>
        </w:rPr>
        <w:t>ר"ת</w:t>
      </w:r>
      <w:r>
        <w:rPr>
          <w:rFonts w:hint="cs"/>
          <w:rtl/>
        </w:rPr>
        <w:t xml:space="preserve"> </w:t>
      </w:r>
      <w:r w:rsidRPr="00282DDA">
        <w:rPr>
          <w:rStyle w:val="af7"/>
          <w:rFonts w:eastAsia="Guttman Hodes" w:hint="cs"/>
          <w:rtl/>
        </w:rPr>
        <w:t xml:space="preserve">(עי' אות </w:t>
      </w:r>
      <w:r w:rsidRPr="00282DDA">
        <w:rPr>
          <w:rStyle w:val="af7"/>
          <w:rFonts w:eastAsia="Guttman Hodes"/>
          <w:rtl/>
        </w:rPr>
        <w:fldChar w:fldCharType="begin"/>
      </w:r>
      <w:r w:rsidRPr="00282DDA">
        <w:rPr>
          <w:rStyle w:val="af7"/>
          <w:rFonts w:eastAsia="Guttman Hodes"/>
          <w:rtl/>
        </w:rPr>
        <w:instrText xml:space="preserve"> </w:instrText>
      </w:r>
      <w:r w:rsidRPr="00282DDA">
        <w:rPr>
          <w:rStyle w:val="af7"/>
          <w:rFonts w:eastAsia="Guttman Hodes" w:hint="cs"/>
        </w:rPr>
        <w:instrText>REF</w:instrText>
      </w:r>
      <w:r w:rsidRPr="00282DDA">
        <w:rPr>
          <w:rStyle w:val="af7"/>
          <w:rFonts w:eastAsia="Guttman Hodes" w:hint="cs"/>
          <w:rtl/>
        </w:rPr>
        <w:instrText xml:space="preserve"> _</w:instrText>
      </w:r>
      <w:r w:rsidRPr="00282DDA">
        <w:rPr>
          <w:rStyle w:val="af7"/>
          <w:rFonts w:eastAsia="Guttman Hodes" w:hint="cs"/>
        </w:rPr>
        <w:instrText>Ref531121179 \r \h</w:instrText>
      </w:r>
      <w:r w:rsidRPr="00282DDA">
        <w:rPr>
          <w:rStyle w:val="af7"/>
          <w:rFonts w:eastAsia="Guttman Hodes"/>
          <w:rtl/>
        </w:rPr>
        <w:instrText xml:space="preserve"> </w:instrText>
      </w:r>
      <w:r w:rsidRPr="00282DDA">
        <w:rPr>
          <w:rStyle w:val="af7"/>
          <w:rFonts w:eastAsia="Guttman Hodes"/>
          <w:rtl/>
        </w:rPr>
      </w:r>
      <w:r w:rsidRPr="00282DDA">
        <w:rPr>
          <w:rStyle w:val="af7"/>
          <w:rFonts w:eastAsia="Guttman Hodes"/>
          <w:rtl/>
        </w:rPr>
        <w:fldChar w:fldCharType="separate"/>
      </w:r>
      <w:r w:rsidR="00345400">
        <w:rPr>
          <w:rStyle w:val="af7"/>
          <w:rFonts w:eastAsia="Guttman Hodes"/>
          <w:cs/>
        </w:rPr>
        <w:t>‎</w:t>
      </w:r>
      <w:r w:rsidR="00345400">
        <w:rPr>
          <w:rStyle w:val="af7"/>
          <w:rFonts w:eastAsia="Guttman Hodes"/>
          <w:rtl/>
        </w:rPr>
        <w:t>מו)</w:t>
      </w:r>
      <w:r w:rsidRPr="00282DDA">
        <w:rPr>
          <w:rStyle w:val="af7"/>
          <w:rFonts w:eastAsia="Guttman Hodes"/>
          <w:rtl/>
        </w:rPr>
        <w:fldChar w:fldCharType="end"/>
      </w:r>
      <w:r>
        <w:rPr>
          <w:rFonts w:hint="cs"/>
          <w:rtl/>
        </w:rPr>
        <w:t xml:space="preserve">] דלחומרא סמכינן את המיעוט לחזקה, זהו דוקא ברובא דליתא קמן דלר"מ אמרינן סמוך מיעוטא לחזקה אף לקולא, סמכינן לדידן לחומרא, אבל ברובא דאיתא קמן דהמיעוט הוא </w:t>
      </w:r>
      <w:r w:rsidRPr="00DB5C47">
        <w:rPr>
          <w:rFonts w:hint="cs"/>
          <w:rtl/>
        </w:rPr>
        <w:t>גרוע לדעת ר"מ, ה"ה לדידן דלחומרא לא אמרינן ביה סמוך מיעוטא לחזקה, וא"כ אף לפלגא לא סמכינן.</w:t>
      </w:r>
      <w:bookmarkEnd w:id="11720"/>
    </w:p>
    <w:p w14:paraId="25D926C4" w14:textId="77777777" w:rsidR="005E1F6B" w:rsidRPr="00A56B08" w:rsidRDefault="005E1F6B" w:rsidP="006D6D32">
      <w:pPr>
        <w:pStyle w:val="a3"/>
      </w:pPr>
      <w:bookmarkStart w:id="11721" w:name="_Toc531023298"/>
      <w:bookmarkStart w:id="11722" w:name="_Toc531106337"/>
      <w:bookmarkStart w:id="11723" w:name="_Toc531111284"/>
      <w:bookmarkStart w:id="11724" w:name="_Toc531158418"/>
      <w:bookmarkStart w:id="11725" w:name="_Toc531182555"/>
      <w:bookmarkStart w:id="11726" w:name="_Toc19390551"/>
      <w:bookmarkStart w:id="11727" w:name="_Toc19394048"/>
      <w:r>
        <w:rPr>
          <w:rFonts w:hint="cs"/>
          <w:rtl/>
        </w:rPr>
        <w:t>ביאור הגרעק"א דכיון דהמיעוט ברובא דא"ק כמי שאינו א"א לומר בממון סמוך מיעוטא למוחזק</w:t>
      </w:r>
      <w:bookmarkEnd w:id="11721"/>
      <w:bookmarkEnd w:id="11722"/>
      <w:bookmarkEnd w:id="11723"/>
      <w:bookmarkEnd w:id="11724"/>
      <w:bookmarkEnd w:id="11725"/>
      <w:bookmarkEnd w:id="11726"/>
      <w:bookmarkEnd w:id="11727"/>
    </w:p>
    <w:p w14:paraId="16B0ED7F" w14:textId="77777777" w:rsidR="005E1F6B" w:rsidRPr="00C77748" w:rsidRDefault="005E1F6B" w:rsidP="00223668">
      <w:pPr>
        <w:pStyle w:val="a0"/>
        <w:rPr>
          <w:rtl/>
        </w:rPr>
      </w:pPr>
      <w:r>
        <w:rPr>
          <w:rFonts w:hint="cs"/>
          <w:rtl/>
        </w:rPr>
        <w:t xml:space="preserve">וביאר </w:t>
      </w:r>
      <w:r w:rsidRPr="008D54B3">
        <w:rPr>
          <w:rStyle w:val="af9"/>
          <w:rFonts w:hint="cs"/>
          <w:rtl/>
        </w:rPr>
        <w:t>הגרעק"א</w:t>
      </w:r>
      <w:r>
        <w:rPr>
          <w:rStyle w:val="af9"/>
          <w:rFonts w:hint="cs"/>
          <w:rtl/>
        </w:rPr>
        <w:t xml:space="preserve"> בחי' ובשו"ת </w:t>
      </w:r>
      <w:r w:rsidRPr="00C77748">
        <w:rPr>
          <w:rStyle w:val="af7"/>
          <w:rFonts w:eastAsia="Guttman Hodes" w:hint="cs"/>
          <w:rtl/>
        </w:rPr>
        <w:t>(שו"ת מהדו"ק סי' ק"ו ד"ה גם הנני)</w:t>
      </w:r>
      <w:r>
        <w:rPr>
          <w:rFonts w:hint="cs"/>
          <w:rtl/>
        </w:rPr>
        <w:t xml:space="preserve"> ברובא דאיתא קמן מבואר </w:t>
      </w:r>
      <w:r w:rsidRPr="008D54B3">
        <w:rPr>
          <w:rStyle w:val="af9"/>
          <w:rFonts w:hint="cs"/>
          <w:rtl/>
        </w:rPr>
        <w:t>ברש"</w:t>
      </w:r>
      <w:r w:rsidRPr="00CC0EB2">
        <w:rPr>
          <w:rStyle w:val="af9"/>
          <w:rFonts w:hint="cs"/>
          <w:rtl/>
        </w:rPr>
        <w:t>י בקידושין</w:t>
      </w:r>
      <w:r w:rsidRPr="00C77748">
        <w:rPr>
          <w:rStyle w:val="af7"/>
          <w:rFonts w:eastAsia="Guttman Hodes" w:hint="cs"/>
          <w:rtl/>
        </w:rPr>
        <w:t xml:space="preserve"> (פ. ד"ה אם) </w:t>
      </w:r>
      <w:r>
        <w:rPr>
          <w:rFonts w:hint="cs"/>
          <w:rtl/>
        </w:rPr>
        <w:t>דאף להחמיר לא חיישינן לחזקה ברובא דאיתא קמן, דאף לדעת ר"מ לא אמרינן סמוך מיעוטא לחזקה לקולא, כיון שהמיעוט הוא כמי שאינו, ורק ברובא דליתא קמן אמרינן סמוך מיעוטא לחזקה לחומרא, אבל ברובא דאיתא קמן המיעוט הוא כמי שאינו.</w:t>
      </w:r>
    </w:p>
    <w:p w14:paraId="1C93CEC5" w14:textId="77777777" w:rsidR="005E1F6B" w:rsidRDefault="005E1F6B" w:rsidP="00BF39B2">
      <w:pPr>
        <w:pStyle w:val="1"/>
        <w:rPr>
          <w:rtl/>
        </w:rPr>
      </w:pPr>
      <w:bookmarkStart w:id="11728" w:name="_Toc530647764"/>
      <w:bookmarkStart w:id="11729" w:name="_Toc531023260"/>
      <w:bookmarkStart w:id="11730" w:name="_Toc531106300"/>
      <w:bookmarkStart w:id="11731" w:name="_Toc531111223"/>
      <w:bookmarkStart w:id="11732" w:name="_Toc531158324"/>
      <w:bookmarkStart w:id="11733" w:name="_Toc531182556"/>
      <w:bookmarkStart w:id="11734" w:name="_Toc19390552"/>
      <w:bookmarkStart w:id="11735" w:name="_Toc19394049"/>
      <w:r w:rsidRPr="00536C22">
        <w:rPr>
          <w:rFonts w:hint="cs"/>
          <w:rtl/>
        </w:rPr>
        <w:t xml:space="preserve">דעת </w:t>
      </w:r>
      <w:r>
        <w:rPr>
          <w:rFonts w:hint="cs"/>
          <w:rtl/>
        </w:rPr>
        <w:t>התוס' ו</w:t>
      </w:r>
      <w:r w:rsidRPr="00536C22">
        <w:rPr>
          <w:rFonts w:hint="cs"/>
          <w:rtl/>
        </w:rPr>
        <w:t>הר"ן דב</w:t>
      </w:r>
      <w:r>
        <w:rPr>
          <w:rFonts w:hint="cs"/>
          <w:rtl/>
        </w:rPr>
        <w:t>רובא ד</w:t>
      </w:r>
      <w:r w:rsidRPr="00536C22">
        <w:rPr>
          <w:rFonts w:hint="cs"/>
          <w:rtl/>
        </w:rPr>
        <w:t>א</w:t>
      </w:r>
      <w:r>
        <w:rPr>
          <w:rFonts w:hint="cs"/>
          <w:rtl/>
        </w:rPr>
        <w:t>"ק לכו"ע לא חיישינן למיעוטא</w:t>
      </w:r>
      <w:bookmarkEnd w:id="11728"/>
      <w:bookmarkEnd w:id="11729"/>
      <w:bookmarkEnd w:id="11730"/>
      <w:bookmarkEnd w:id="11731"/>
      <w:bookmarkEnd w:id="11732"/>
      <w:bookmarkEnd w:id="11733"/>
      <w:bookmarkEnd w:id="11734"/>
      <w:bookmarkEnd w:id="11735"/>
      <w:r>
        <w:rPr>
          <w:rFonts w:hint="cs"/>
          <w:rtl/>
        </w:rPr>
        <w:t xml:space="preserve"> </w:t>
      </w:r>
    </w:p>
    <w:p w14:paraId="6D7026CB" w14:textId="77777777" w:rsidR="005E1F6B" w:rsidRDefault="005E1F6B" w:rsidP="006D6D32">
      <w:pPr>
        <w:pStyle w:val="a3"/>
        <w:rPr>
          <w:rtl/>
        </w:rPr>
      </w:pPr>
      <w:bookmarkStart w:id="11736" w:name="_Toc530647765"/>
      <w:bookmarkStart w:id="11737" w:name="_Toc531023261"/>
      <w:bookmarkStart w:id="11738" w:name="_Toc531106301"/>
      <w:bookmarkStart w:id="11739" w:name="_Toc531111224"/>
      <w:bookmarkStart w:id="11740" w:name="_Toc531158325"/>
      <w:bookmarkStart w:id="11741" w:name="_Toc531182557"/>
      <w:bookmarkStart w:id="11742" w:name="_Toc19390553"/>
      <w:bookmarkStart w:id="11743" w:name="_Toc19394050"/>
      <w:r>
        <w:rPr>
          <w:rFonts w:hint="cs"/>
          <w:rtl/>
        </w:rPr>
        <w:t>דברי הר"ן דמהא דא"א ללמוד רובא דליתא קמן מדיינים מוכח דלא חיישינן בו למיעוט</w:t>
      </w:r>
      <w:bookmarkEnd w:id="11736"/>
      <w:bookmarkEnd w:id="11737"/>
      <w:bookmarkEnd w:id="11738"/>
      <w:bookmarkEnd w:id="11739"/>
      <w:bookmarkEnd w:id="11740"/>
      <w:bookmarkEnd w:id="11741"/>
      <w:bookmarkEnd w:id="11742"/>
      <w:bookmarkEnd w:id="11743"/>
    </w:p>
    <w:p w14:paraId="028D21AD" w14:textId="77777777" w:rsidR="005E1F6B" w:rsidRDefault="005E1F6B" w:rsidP="00223668">
      <w:pPr>
        <w:pStyle w:val="a0"/>
        <w:rPr>
          <w:rtl/>
        </w:rPr>
      </w:pPr>
      <w:r>
        <w:rPr>
          <w:rFonts w:hint="cs"/>
          <w:rtl/>
        </w:rPr>
        <w:t xml:space="preserve">כתב </w:t>
      </w:r>
      <w:r w:rsidRPr="003E0EC7">
        <w:rPr>
          <w:rStyle w:val="af9"/>
          <w:rFonts w:hint="cs"/>
          <w:rtl/>
        </w:rPr>
        <w:t>הר"ן על הרי"ף בע"ז</w:t>
      </w:r>
      <w:r>
        <w:rPr>
          <w:rFonts w:hint="cs"/>
          <w:rtl/>
        </w:rPr>
        <w:t xml:space="preserve"> </w:t>
      </w:r>
      <w:r w:rsidRPr="003E0EC7">
        <w:rPr>
          <w:rStyle w:val="af7"/>
          <w:rFonts w:eastAsia="Guttman Hodes" w:hint="cs"/>
          <w:rtl/>
        </w:rPr>
        <w:t>(פ"ג דף יז: מדפי הרי"ף ד"ה גרסינן)</w:t>
      </w:r>
      <w:r>
        <w:rPr>
          <w:rFonts w:hint="cs"/>
          <w:rtl/>
        </w:rPr>
        <w:t xml:space="preserve"> דמהא דאיתא בסוגיין </w:t>
      </w:r>
      <w:r w:rsidRPr="007C390C">
        <w:rPr>
          <w:rStyle w:val="af7"/>
          <w:rFonts w:eastAsia="Guttman Hodes" w:hint="cs"/>
          <w:rtl/>
        </w:rPr>
        <w:t xml:space="preserve">(יא.) </w:t>
      </w:r>
      <w:r>
        <w:rPr>
          <w:rFonts w:hint="cs"/>
          <w:rtl/>
        </w:rPr>
        <w:t>דאף דילפינן מאחרי רבים להטות, דאזלינן בתר הרוב</w:t>
      </w:r>
      <w:r w:rsidRPr="00BD719E">
        <w:rPr>
          <w:rFonts w:hint="cs"/>
          <w:rtl/>
        </w:rPr>
        <w:t xml:space="preserve"> </w:t>
      </w:r>
      <w:r>
        <w:rPr>
          <w:rFonts w:hint="cs"/>
          <w:rtl/>
        </w:rPr>
        <w:t>ברובא דאיתא קמן, עדיין צריך ילפותא לרובא דליתא קמן, א"כ מבואר דאף ר"מ דחייש למיעוטא, מודה דברובא דאיתא קמן אזלינן בתר הרוב.</w:t>
      </w:r>
    </w:p>
    <w:p w14:paraId="7B519AEC" w14:textId="77777777" w:rsidR="005E1F6B" w:rsidRPr="004F5A97" w:rsidRDefault="005E1F6B" w:rsidP="006D6D32">
      <w:pPr>
        <w:pStyle w:val="a3"/>
      </w:pPr>
      <w:bookmarkStart w:id="11744" w:name="_Toc530647766"/>
      <w:bookmarkStart w:id="11745" w:name="_Toc531023262"/>
      <w:bookmarkStart w:id="11746" w:name="_Toc531106302"/>
      <w:bookmarkStart w:id="11747" w:name="_Toc531111225"/>
      <w:bookmarkStart w:id="11748" w:name="_Toc531158326"/>
      <w:bookmarkStart w:id="11749" w:name="_Toc531182558"/>
      <w:bookmarkStart w:id="11750" w:name="_Toc19390554"/>
      <w:bookmarkStart w:id="11751" w:name="_Toc19394051"/>
      <w:r>
        <w:rPr>
          <w:rFonts w:hint="cs"/>
          <w:rtl/>
        </w:rPr>
        <w:t>ביאור הר"ן דברובא דא"ק הרוב שלפנינו מבטל את המיעוט לגמרי וברובא דל"ק המיעוט לא בטל</w:t>
      </w:r>
      <w:bookmarkEnd w:id="11744"/>
      <w:bookmarkEnd w:id="11745"/>
      <w:bookmarkEnd w:id="11746"/>
      <w:bookmarkEnd w:id="11747"/>
      <w:bookmarkEnd w:id="11748"/>
      <w:bookmarkEnd w:id="11749"/>
      <w:bookmarkEnd w:id="11750"/>
      <w:bookmarkEnd w:id="11751"/>
    </w:p>
    <w:p w14:paraId="04B14EF8" w14:textId="77777777" w:rsidR="005E1F6B" w:rsidRPr="006104A1" w:rsidRDefault="005E1F6B" w:rsidP="00223668">
      <w:pPr>
        <w:pStyle w:val="a0"/>
        <w:rPr>
          <w:rtl/>
        </w:rPr>
      </w:pPr>
      <w:r>
        <w:rPr>
          <w:rFonts w:hint="cs"/>
          <w:rtl/>
        </w:rPr>
        <w:t xml:space="preserve">וביאר </w:t>
      </w:r>
      <w:r w:rsidRPr="003E0EC7">
        <w:rPr>
          <w:rStyle w:val="af9"/>
          <w:rFonts w:hint="cs"/>
          <w:rtl/>
        </w:rPr>
        <w:t>הר"ן על הרי"ף בע"ז</w:t>
      </w:r>
      <w:r>
        <w:rPr>
          <w:rFonts w:hint="cs"/>
          <w:rtl/>
        </w:rPr>
        <w:t xml:space="preserve"> דברובא דאיתא קמן כיון שהוא רוב שידוע לפנינו, יש בכחו לבטל את המיעוט, ולעשותו כמי שאינו, אבל ברובא דליתא קמן ס"ל לר"מ דהמיעוט לא נחשב כמי שאינו, ולכן חייש ר"מ למיעוטא, וכתב</w:t>
      </w:r>
      <w:r w:rsidRPr="004F5A97">
        <w:rPr>
          <w:rStyle w:val="af9"/>
          <w:rFonts w:hint="cs"/>
          <w:rtl/>
        </w:rPr>
        <w:t xml:space="preserve"> </w:t>
      </w:r>
      <w:r w:rsidRPr="003E0EC7">
        <w:rPr>
          <w:rStyle w:val="af9"/>
          <w:rFonts w:hint="cs"/>
          <w:rtl/>
        </w:rPr>
        <w:t>הר"ן על הרי"ף בע"ז</w:t>
      </w:r>
      <w:r>
        <w:rPr>
          <w:rFonts w:hint="cs"/>
          <w:rtl/>
        </w:rPr>
        <w:t xml:space="preserve"> דרבנן ס"ל דאף ברובא דליתא קמן, </w:t>
      </w:r>
      <w:r w:rsidRPr="006104A1">
        <w:rPr>
          <w:rFonts w:hint="cs"/>
          <w:rtl/>
        </w:rPr>
        <w:t xml:space="preserve">המיעוט נחשב כמי שאינו, ועי' </w:t>
      </w:r>
      <w:r w:rsidRPr="006104A1">
        <w:rPr>
          <w:rStyle w:val="af9"/>
          <w:rFonts w:hint="cs"/>
          <w:rtl/>
        </w:rPr>
        <w:t>באו"ש</w:t>
      </w:r>
      <w:r w:rsidRPr="006104A1">
        <w:rPr>
          <w:rFonts w:hint="cs"/>
          <w:rtl/>
        </w:rPr>
        <w:t xml:space="preserve"> </w:t>
      </w:r>
      <w:r w:rsidRPr="006104A1">
        <w:rPr>
          <w:rStyle w:val="af7"/>
          <w:rFonts w:eastAsia="Guttman Hodes" w:hint="cs"/>
          <w:rtl/>
        </w:rPr>
        <w:t>(</w:t>
      </w:r>
      <w:r>
        <w:rPr>
          <w:rStyle w:val="af7"/>
          <w:rFonts w:eastAsia="Guttman Hodes" w:hint="cs"/>
          <w:rtl/>
        </w:rPr>
        <w:t xml:space="preserve">ע"ז </w:t>
      </w:r>
      <w:r w:rsidRPr="006104A1">
        <w:rPr>
          <w:rStyle w:val="af7"/>
          <w:rFonts w:eastAsia="Guttman Hodes" w:hint="cs"/>
          <w:rtl/>
        </w:rPr>
        <w:t>פ"</w:t>
      </w:r>
      <w:r w:rsidRPr="006104A1">
        <w:rPr>
          <w:rStyle w:val="af7"/>
          <w:rFonts w:eastAsia="Guttman Hodes"/>
          <w:rtl/>
        </w:rPr>
        <w:t>ז ה</w:t>
      </w:r>
      <w:r w:rsidRPr="006104A1">
        <w:rPr>
          <w:rStyle w:val="af7"/>
          <w:rFonts w:eastAsia="Guttman Hodes" w:hint="cs"/>
          <w:rtl/>
        </w:rPr>
        <w:t>"</w:t>
      </w:r>
      <w:r w:rsidRPr="006104A1">
        <w:rPr>
          <w:rStyle w:val="af7"/>
          <w:rFonts w:eastAsia="Guttman Hodes"/>
          <w:rtl/>
        </w:rPr>
        <w:t>ו</w:t>
      </w:r>
      <w:r w:rsidRPr="006104A1">
        <w:rPr>
          <w:rStyle w:val="af7"/>
          <w:rFonts w:eastAsia="Guttman Hodes" w:hint="cs"/>
          <w:rtl/>
        </w:rPr>
        <w:t xml:space="preserve"> סוד"ה במשנה)</w:t>
      </w:r>
      <w:r w:rsidRPr="006104A1">
        <w:rPr>
          <w:rFonts w:hint="cs"/>
          <w:rtl/>
        </w:rPr>
        <w:t xml:space="preserve"> במה שהקשה על </w:t>
      </w:r>
      <w:r w:rsidRPr="006104A1">
        <w:rPr>
          <w:rStyle w:val="af9"/>
          <w:rFonts w:hint="cs"/>
          <w:rtl/>
        </w:rPr>
        <w:t>הר"ן</w:t>
      </w:r>
      <w:r w:rsidRPr="006104A1">
        <w:rPr>
          <w:rFonts w:hint="cs"/>
          <w:rtl/>
        </w:rPr>
        <w:t>.</w:t>
      </w:r>
    </w:p>
    <w:p w14:paraId="212F349F" w14:textId="77777777" w:rsidR="005E1F6B" w:rsidRDefault="005E1F6B" w:rsidP="006D6D32">
      <w:pPr>
        <w:pStyle w:val="a3"/>
        <w:rPr>
          <w:rtl/>
        </w:rPr>
      </w:pPr>
      <w:bookmarkStart w:id="11752" w:name="_Toc530647767"/>
      <w:bookmarkStart w:id="11753" w:name="_Toc531023263"/>
      <w:bookmarkStart w:id="11754" w:name="_Toc531106303"/>
      <w:bookmarkStart w:id="11755" w:name="_Toc531111226"/>
      <w:bookmarkStart w:id="11756" w:name="_Toc531158327"/>
      <w:bookmarkStart w:id="11757" w:name="_Toc531182559"/>
      <w:bookmarkStart w:id="11758" w:name="_Toc19390555"/>
      <w:bookmarkStart w:id="11759" w:name="_Toc19394052"/>
      <w:r>
        <w:rPr>
          <w:rFonts w:hint="cs"/>
          <w:rtl/>
        </w:rPr>
        <w:t>דברי התוס' ביבמות ובבכורות והמרדכי דברובא דאיתא קמן אף ר"מ לא חייש למיעוטא</w:t>
      </w:r>
      <w:bookmarkEnd w:id="11752"/>
      <w:bookmarkEnd w:id="11753"/>
      <w:bookmarkEnd w:id="11754"/>
      <w:bookmarkEnd w:id="11755"/>
      <w:bookmarkEnd w:id="11756"/>
      <w:bookmarkEnd w:id="11757"/>
      <w:bookmarkEnd w:id="11758"/>
      <w:bookmarkEnd w:id="11759"/>
    </w:p>
    <w:p w14:paraId="2B0277E7" w14:textId="77777777" w:rsidR="005E1F6B" w:rsidRDefault="005E1F6B" w:rsidP="00223668">
      <w:pPr>
        <w:pStyle w:val="a0"/>
        <w:rPr>
          <w:rtl/>
        </w:rPr>
      </w:pPr>
      <w:r>
        <w:rPr>
          <w:rFonts w:hint="cs"/>
          <w:rtl/>
        </w:rPr>
        <w:t xml:space="preserve">וכ"כ </w:t>
      </w:r>
      <w:r w:rsidRPr="00843D99">
        <w:rPr>
          <w:rStyle w:val="af9"/>
          <w:rFonts w:hint="cs"/>
          <w:rtl/>
        </w:rPr>
        <w:t>התוס' בבכורות</w:t>
      </w:r>
      <w:r>
        <w:rPr>
          <w:rFonts w:hint="cs"/>
          <w:rtl/>
        </w:rPr>
        <w:t xml:space="preserve"> </w:t>
      </w:r>
      <w:r w:rsidRPr="00843D99">
        <w:rPr>
          <w:rStyle w:val="af7"/>
          <w:rFonts w:eastAsia="Guttman Hodes" w:hint="cs"/>
          <w:rtl/>
        </w:rPr>
        <w:t>(יט: ד"ה ברובא)</w:t>
      </w:r>
      <w:r>
        <w:rPr>
          <w:rFonts w:hint="cs"/>
          <w:rtl/>
        </w:rPr>
        <w:t xml:space="preserve"> דברובא דאיתא קמן לא חייש ר"מ למיעוט, דלא פליג ר"מ על הילפותא דתשע חנויות, דכתיב אחרי רבים להטות,</w:t>
      </w:r>
      <w:r w:rsidRPr="00A20B7D">
        <w:rPr>
          <w:rFonts w:hint="cs"/>
          <w:rtl/>
        </w:rPr>
        <w:t xml:space="preserve"> </w:t>
      </w:r>
      <w:r>
        <w:rPr>
          <w:rFonts w:hint="cs"/>
          <w:rtl/>
        </w:rPr>
        <w:t xml:space="preserve">וכ"כ </w:t>
      </w:r>
      <w:r w:rsidRPr="00843D99">
        <w:rPr>
          <w:rStyle w:val="af9"/>
          <w:rFonts w:hint="cs"/>
          <w:rtl/>
        </w:rPr>
        <w:t>התוס' ביבמות</w:t>
      </w:r>
      <w:r>
        <w:rPr>
          <w:rFonts w:hint="cs"/>
          <w:rtl/>
        </w:rPr>
        <w:t xml:space="preserve"> </w:t>
      </w:r>
      <w:r w:rsidRPr="00843D99">
        <w:rPr>
          <w:rStyle w:val="af7"/>
          <w:rFonts w:eastAsia="Guttman Hodes" w:hint="cs"/>
          <w:rtl/>
        </w:rPr>
        <w:t>(סז: ד"ה אין)</w:t>
      </w:r>
      <w:r>
        <w:rPr>
          <w:rFonts w:hint="cs"/>
          <w:rtl/>
        </w:rPr>
        <w:t xml:space="preserve"> דברובא דאיתא קמן, לכו"ע לא חיישינן למיעוטא, וכ"כ </w:t>
      </w:r>
      <w:r w:rsidRPr="00D86607">
        <w:rPr>
          <w:rStyle w:val="af9"/>
          <w:rFonts w:hint="cs"/>
          <w:rtl/>
        </w:rPr>
        <w:t>במרדכי לקמן</w:t>
      </w:r>
      <w:r>
        <w:rPr>
          <w:rFonts w:hint="cs"/>
          <w:rtl/>
        </w:rPr>
        <w:t xml:space="preserve"> </w:t>
      </w:r>
      <w:r w:rsidRPr="00D86607">
        <w:rPr>
          <w:rStyle w:val="af7"/>
          <w:rFonts w:eastAsia="Guttman Hodes" w:hint="cs"/>
          <w:rtl/>
        </w:rPr>
        <w:t>(רמז תשל"ז)</w:t>
      </w:r>
      <w:r>
        <w:rPr>
          <w:rFonts w:hint="cs"/>
          <w:rtl/>
        </w:rPr>
        <w:t xml:space="preserve"> דברובא דאיתא קמן מודה ר"מ דלא חיישינן למיעוטא, כיון דילפינן מאחרי רבים להטות, ואף דאיתא בגמ' ביבמות </w:t>
      </w:r>
      <w:r w:rsidRPr="00D86607">
        <w:rPr>
          <w:rStyle w:val="af7"/>
          <w:rFonts w:eastAsia="Guttman Hodes" w:hint="cs"/>
          <w:rtl/>
        </w:rPr>
        <w:t>(קיט.)</w:t>
      </w:r>
      <w:r>
        <w:rPr>
          <w:rFonts w:hint="cs"/>
          <w:rtl/>
        </w:rPr>
        <w:t xml:space="preserve"> דלרבנן אזלינן בתר רובא דאיתא קמן, </w:t>
      </w:r>
      <w:r w:rsidRPr="00D86607">
        <w:rPr>
          <w:rStyle w:val="afb"/>
          <w:rFonts w:hint="cs"/>
          <w:rtl/>
        </w:rPr>
        <w:t>[ו</w:t>
      </w:r>
      <w:r>
        <w:rPr>
          <w:rStyle w:val="afb"/>
          <w:rFonts w:hint="cs"/>
          <w:rtl/>
        </w:rPr>
        <w:t xml:space="preserve">ביאר </w:t>
      </w:r>
      <w:r w:rsidRPr="00B16707">
        <w:rPr>
          <w:rStyle w:val="affa"/>
          <w:rFonts w:hint="cs"/>
          <w:rtl/>
        </w:rPr>
        <w:t>בהג' הרמ"א</w:t>
      </w:r>
      <w:r>
        <w:rPr>
          <w:rStyle w:val="afb"/>
          <w:rFonts w:hint="cs"/>
          <w:rtl/>
        </w:rPr>
        <w:t xml:space="preserve"> דכיון דאיתא בגמ' ביבמות דר"מ פליג על רוב, א"ר מבואר</w:t>
      </w:r>
      <w:r w:rsidRPr="00D86607">
        <w:rPr>
          <w:rStyle w:val="afb"/>
          <w:rFonts w:hint="cs"/>
          <w:rtl/>
        </w:rPr>
        <w:t xml:space="preserve"> דלר"מ לא אזלינן בתר רובא דאיתא קמן], </w:t>
      </w:r>
      <w:r>
        <w:rPr>
          <w:rFonts w:hint="cs"/>
          <w:rtl/>
        </w:rPr>
        <w:t>מ"מ למסקנת הגמ' שם נדחית סברא זו.</w:t>
      </w:r>
    </w:p>
    <w:p w14:paraId="18BE9EFB" w14:textId="77777777" w:rsidR="005E1F6B" w:rsidRDefault="005E1F6B" w:rsidP="00BF39B2">
      <w:pPr>
        <w:pStyle w:val="1"/>
        <w:rPr>
          <w:rtl/>
        </w:rPr>
      </w:pPr>
      <w:bookmarkStart w:id="11760" w:name="_Toc531023265"/>
      <w:bookmarkStart w:id="11761" w:name="_Toc531106305"/>
      <w:bookmarkStart w:id="11762" w:name="_Toc531111227"/>
      <w:bookmarkStart w:id="11763" w:name="_Toc531158328"/>
      <w:bookmarkStart w:id="11764" w:name="_Toc531182560"/>
      <w:bookmarkStart w:id="11765" w:name="_Toc19390556"/>
      <w:bookmarkStart w:id="11766" w:name="_Toc19394053"/>
      <w:r>
        <w:rPr>
          <w:rFonts w:hint="cs"/>
          <w:rtl/>
        </w:rPr>
        <w:t>משמעות הר"ש והרשב"א דברובא דא"ק סמכינן מיעוטא לחזקה</w:t>
      </w:r>
      <w:bookmarkEnd w:id="11760"/>
      <w:bookmarkEnd w:id="11761"/>
      <w:bookmarkEnd w:id="11762"/>
      <w:bookmarkEnd w:id="11763"/>
      <w:bookmarkEnd w:id="11764"/>
      <w:bookmarkEnd w:id="11765"/>
      <w:bookmarkEnd w:id="11766"/>
    </w:p>
    <w:p w14:paraId="63E5B04A" w14:textId="77777777" w:rsidR="005E1F6B" w:rsidRPr="003E41C3" w:rsidRDefault="005E1F6B" w:rsidP="006D6D32">
      <w:pPr>
        <w:pStyle w:val="a3"/>
        <w:rPr>
          <w:rtl/>
        </w:rPr>
      </w:pPr>
      <w:bookmarkStart w:id="11767" w:name="_Toc531023268"/>
      <w:bookmarkStart w:id="11768" w:name="_Toc531106308"/>
      <w:bookmarkStart w:id="11769" w:name="_Toc531111230"/>
      <w:bookmarkStart w:id="11770" w:name="_Toc531158331"/>
      <w:bookmarkStart w:id="11771" w:name="_Toc531182561"/>
      <w:bookmarkStart w:id="11772" w:name="_Toc19390557"/>
      <w:bookmarkStart w:id="11773" w:name="_Toc19394054"/>
      <w:bookmarkStart w:id="11774" w:name="_Toc531023266"/>
      <w:bookmarkStart w:id="11775" w:name="_Toc531106306"/>
      <w:bookmarkStart w:id="11776" w:name="_Toc531111228"/>
      <w:bookmarkStart w:id="11777" w:name="_Toc531158329"/>
      <w:r>
        <w:rPr>
          <w:rFonts w:hint="cs"/>
          <w:rtl/>
        </w:rPr>
        <w:t>קושית האו"ש דבר"ש משמע דאף ברובא דאיתא קמן שייך לומר סמוך מיעוטא לחזקה לר"מ</w:t>
      </w:r>
      <w:bookmarkEnd w:id="11767"/>
      <w:bookmarkEnd w:id="11768"/>
      <w:bookmarkEnd w:id="11769"/>
      <w:bookmarkEnd w:id="11770"/>
      <w:bookmarkEnd w:id="11771"/>
      <w:bookmarkEnd w:id="11772"/>
      <w:bookmarkEnd w:id="11773"/>
    </w:p>
    <w:p w14:paraId="7DA8EE0E" w14:textId="77777777" w:rsidR="005E1F6B" w:rsidRDefault="005E1F6B" w:rsidP="00223668">
      <w:pPr>
        <w:pStyle w:val="a0"/>
        <w:rPr>
          <w:rtl/>
        </w:rPr>
      </w:pPr>
      <w:r w:rsidRPr="00962A65">
        <w:rPr>
          <w:rFonts w:hint="cs"/>
          <w:rtl/>
        </w:rPr>
        <w:t xml:space="preserve">ויעוי' </w:t>
      </w:r>
      <w:r w:rsidRPr="00777564">
        <w:rPr>
          <w:rStyle w:val="af9"/>
          <w:rFonts w:hint="cs"/>
          <w:rtl/>
        </w:rPr>
        <w:t>בר"ש בטהרות</w:t>
      </w:r>
      <w:r>
        <w:rPr>
          <w:rFonts w:hint="cs"/>
          <w:rtl/>
        </w:rPr>
        <w:t xml:space="preserve"> </w:t>
      </w:r>
      <w:r w:rsidRPr="000C2C84">
        <w:rPr>
          <w:rStyle w:val="af7"/>
          <w:rFonts w:eastAsia="Guttman Hodes" w:hint="cs"/>
          <w:rtl/>
        </w:rPr>
        <w:t>(פ"ה מ"ז ד"ה על בגדיו)</w:t>
      </w:r>
      <w:r>
        <w:rPr>
          <w:rFonts w:hint="cs"/>
          <w:rtl/>
        </w:rPr>
        <w:t xml:space="preserve"> </w:t>
      </w:r>
      <w:r w:rsidRPr="000C2C84">
        <w:rPr>
          <w:rFonts w:hint="cs"/>
          <w:rtl/>
        </w:rPr>
        <w:t>דכתב בענין טומאת מדרס דבמקום שיש רוב כותים, או רוב זבים וזבות, דלדעת ר"מ אמרינן סמוך מיעוטא לחזקה</w:t>
      </w:r>
      <w:r>
        <w:rPr>
          <w:rFonts w:hint="cs"/>
          <w:rtl/>
        </w:rPr>
        <w:t xml:space="preserve">, ותמה </w:t>
      </w:r>
      <w:r w:rsidRPr="003E41C3">
        <w:rPr>
          <w:rStyle w:val="af9"/>
          <w:rFonts w:hint="cs"/>
          <w:rtl/>
        </w:rPr>
        <w:t>האו"ש</w:t>
      </w:r>
      <w:r>
        <w:rPr>
          <w:rFonts w:hint="cs"/>
          <w:rtl/>
        </w:rPr>
        <w:t xml:space="preserve"> </w:t>
      </w:r>
      <w:r w:rsidRPr="003E41C3">
        <w:rPr>
          <w:rStyle w:val="af7"/>
          <w:rFonts w:eastAsia="Guttman Hodes" w:hint="cs"/>
          <w:rtl/>
        </w:rPr>
        <w:t>(אבות הטומאה פי"ח ה"ו)</w:t>
      </w:r>
      <w:r>
        <w:rPr>
          <w:rFonts w:hint="cs"/>
          <w:rtl/>
        </w:rPr>
        <w:t xml:space="preserve"> על </w:t>
      </w:r>
      <w:r w:rsidRPr="00F02C7C">
        <w:rPr>
          <w:rStyle w:val="af9"/>
          <w:rFonts w:hint="cs"/>
          <w:rtl/>
        </w:rPr>
        <w:t>הר"ש</w:t>
      </w:r>
      <w:r>
        <w:rPr>
          <w:rFonts w:hint="cs"/>
          <w:rtl/>
        </w:rPr>
        <w:t xml:space="preserve"> דהרי כיון שהוא רובא דאיתא קמן, א"כ א"א לומר בזה סמוך מיעוטא לחזקה</w:t>
      </w:r>
      <w:r>
        <w:rPr>
          <w:rStyle w:val="af1"/>
          <w:rtl/>
        </w:rPr>
        <w:footnoteReference w:id="85"/>
      </w:r>
      <w:r>
        <w:rPr>
          <w:rFonts w:hint="cs"/>
          <w:rtl/>
        </w:rPr>
        <w:t>.</w:t>
      </w:r>
    </w:p>
    <w:p w14:paraId="54C193DC" w14:textId="77777777" w:rsidR="005E1F6B" w:rsidRDefault="005E1F6B" w:rsidP="006D6D32">
      <w:pPr>
        <w:pStyle w:val="a3"/>
        <w:rPr>
          <w:rtl/>
        </w:rPr>
      </w:pPr>
      <w:bookmarkStart w:id="11778" w:name="_Toc531182562"/>
      <w:bookmarkStart w:id="11779" w:name="_Toc19390558"/>
      <w:bookmarkStart w:id="11780" w:name="_Toc19394055"/>
      <w:r>
        <w:rPr>
          <w:rFonts w:hint="cs"/>
          <w:rtl/>
        </w:rPr>
        <w:t>משמעות הרשב"א דאף ברובא דאיתא קמן שייך לומר סמוך מיעוטא לחזקה</w:t>
      </w:r>
      <w:bookmarkEnd w:id="11774"/>
      <w:bookmarkEnd w:id="11775"/>
      <w:bookmarkEnd w:id="11776"/>
      <w:bookmarkEnd w:id="11777"/>
      <w:bookmarkEnd w:id="11778"/>
      <w:bookmarkEnd w:id="11779"/>
      <w:bookmarkEnd w:id="11780"/>
    </w:p>
    <w:p w14:paraId="215233AB" w14:textId="77777777" w:rsidR="005E1F6B" w:rsidRDefault="005E1F6B" w:rsidP="00223668">
      <w:pPr>
        <w:pStyle w:val="a0"/>
        <w:rPr>
          <w:rtl/>
        </w:rPr>
      </w:pPr>
      <w:r>
        <w:rPr>
          <w:rFonts w:hint="cs"/>
          <w:rtl/>
        </w:rPr>
        <w:t>וכן יעוי'</w:t>
      </w:r>
      <w:r>
        <w:rPr>
          <w:rStyle w:val="af9"/>
          <w:rFonts w:hint="cs"/>
          <w:rtl/>
        </w:rPr>
        <w:t xml:space="preserve"> </w:t>
      </w:r>
      <w:r w:rsidRPr="000E30B1">
        <w:rPr>
          <w:rStyle w:val="af9"/>
          <w:rFonts w:hint="cs"/>
          <w:rtl/>
        </w:rPr>
        <w:t xml:space="preserve">ברשב"א </w:t>
      </w:r>
      <w:r w:rsidRPr="006138C4">
        <w:rPr>
          <w:rStyle w:val="af9"/>
          <w:rFonts w:hint="cs"/>
          <w:rtl/>
        </w:rPr>
        <w:t>במשה"ב</w:t>
      </w:r>
      <w:r w:rsidRPr="006138C4">
        <w:rPr>
          <w:rFonts w:hint="cs"/>
          <w:rtl/>
        </w:rPr>
        <w:t xml:space="preserve"> </w:t>
      </w:r>
      <w:r w:rsidRPr="006138C4">
        <w:rPr>
          <w:rStyle w:val="af7"/>
          <w:rFonts w:eastAsia="Guttman Hodes" w:hint="cs"/>
          <w:rtl/>
        </w:rPr>
        <w:t>(ב"א ש"א דף ז: מדה"ס ד"ה הא איכא)</w:t>
      </w:r>
      <w:r w:rsidRPr="006138C4">
        <w:rPr>
          <w:rFonts w:hint="cs"/>
          <w:rtl/>
        </w:rPr>
        <w:t xml:space="preserve"> דהקשה בדין עיסה והא דאיתא בגמ' ביבמות </w:t>
      </w:r>
      <w:r w:rsidRPr="006138C4">
        <w:rPr>
          <w:rStyle w:val="af7"/>
          <w:rFonts w:eastAsia="Guttman Hodes" w:hint="cs"/>
          <w:rtl/>
        </w:rPr>
        <w:t>(קיט</w:t>
      </w:r>
      <w:r w:rsidRPr="00412D5C">
        <w:rPr>
          <w:rStyle w:val="af7"/>
          <w:rFonts w:eastAsia="Guttman Hodes" w:hint="cs"/>
          <w:rtl/>
        </w:rPr>
        <w:t>.)</w:t>
      </w:r>
      <w:r>
        <w:rPr>
          <w:rFonts w:hint="cs"/>
          <w:rtl/>
        </w:rPr>
        <w:t xml:space="preserve"> דאמרינן סמוך מיעוטא לחזקה, ביאר </w:t>
      </w:r>
      <w:r w:rsidRPr="00412D5C">
        <w:rPr>
          <w:rStyle w:val="af9"/>
          <w:rFonts w:hint="cs"/>
          <w:rtl/>
        </w:rPr>
        <w:t>הרשב"א במשה"ב</w:t>
      </w:r>
      <w:r>
        <w:rPr>
          <w:rFonts w:hint="cs"/>
          <w:rtl/>
        </w:rPr>
        <w:t xml:space="preserve"> דהוא לדעת ר"מ דחייש למיעוטא, עיי"ש בדבריו טהורה שנמצאו בה חתיכות, ספק של שרץ ספק צפרדע, דאם יש רוב שרצים בבית טמאה, דנימא סמוך מיעוט צפרדעים לחזקת טהרה</w:t>
      </w:r>
      <w:r w:rsidRPr="000E30B1">
        <w:rPr>
          <w:rStyle w:val="afb"/>
          <w:rFonts w:hint="cs"/>
          <w:rtl/>
        </w:rPr>
        <w:t>.</w:t>
      </w:r>
      <w:r>
        <w:rPr>
          <w:rStyle w:val="afb"/>
          <w:rFonts w:hint="cs"/>
          <w:rtl/>
        </w:rPr>
        <w:t xml:space="preserve"> [</w:t>
      </w:r>
      <w:r w:rsidRPr="000E30B1">
        <w:rPr>
          <w:rStyle w:val="afb"/>
          <w:rFonts w:hint="cs"/>
          <w:rtl/>
        </w:rPr>
        <w:t>ו</w:t>
      </w:r>
      <w:r>
        <w:rPr>
          <w:rStyle w:val="afb"/>
          <w:rFonts w:hint="cs"/>
          <w:rtl/>
        </w:rPr>
        <w:t>הרי רוב שרצים בבית, ורוב זבים באותו מקום,</w:t>
      </w:r>
      <w:r w:rsidRPr="000E30B1">
        <w:rPr>
          <w:rStyle w:val="afb"/>
          <w:rFonts w:hint="cs"/>
          <w:rtl/>
        </w:rPr>
        <w:t xml:space="preserve"> הוא רובא דאיתא קמן, ומבואר </w:t>
      </w:r>
      <w:r w:rsidRPr="00D228DB">
        <w:rPr>
          <w:rStyle w:val="affa"/>
          <w:rFonts w:hint="cs"/>
          <w:rtl/>
        </w:rPr>
        <w:t>בר"ש</w:t>
      </w:r>
      <w:r w:rsidRPr="000E30B1">
        <w:rPr>
          <w:rStyle w:val="afb"/>
          <w:rFonts w:hint="cs"/>
          <w:rtl/>
        </w:rPr>
        <w:t xml:space="preserve"> </w:t>
      </w:r>
      <w:r>
        <w:rPr>
          <w:rStyle w:val="affa"/>
          <w:rFonts w:hint="cs"/>
          <w:rtl/>
        </w:rPr>
        <w:t>ו</w:t>
      </w:r>
      <w:r w:rsidRPr="000E30B1">
        <w:rPr>
          <w:rStyle w:val="affa"/>
          <w:rFonts w:hint="cs"/>
          <w:rtl/>
        </w:rPr>
        <w:t>ברשב"א</w:t>
      </w:r>
      <w:r w:rsidRPr="000E30B1">
        <w:rPr>
          <w:rStyle w:val="afb"/>
          <w:rFonts w:hint="cs"/>
          <w:rtl/>
        </w:rPr>
        <w:t xml:space="preserve"> דאף בכה"ג אמרינן סמוך מיעוטא לחזקה</w:t>
      </w:r>
      <w:r w:rsidRPr="00777564">
        <w:rPr>
          <w:rStyle w:val="afb"/>
          <w:rFonts w:hint="cs"/>
          <w:rtl/>
        </w:rPr>
        <w:t>].</w:t>
      </w:r>
    </w:p>
    <w:p w14:paraId="6994EB4E" w14:textId="77777777" w:rsidR="005E1F6B" w:rsidRDefault="005E1F6B" w:rsidP="00BF39B2">
      <w:pPr>
        <w:pStyle w:val="1"/>
        <w:rPr>
          <w:rtl/>
        </w:rPr>
      </w:pPr>
      <w:bookmarkStart w:id="11781" w:name="_Toc531182563"/>
      <w:bookmarkStart w:id="11782" w:name="_Toc19390559"/>
      <w:bookmarkStart w:id="11783" w:name="_Toc19394056"/>
      <w:bookmarkStart w:id="11784" w:name="_Toc531023267"/>
      <w:bookmarkStart w:id="11785" w:name="_Toc531106307"/>
      <w:bookmarkStart w:id="11786" w:name="_Toc531111229"/>
      <w:bookmarkStart w:id="11787" w:name="_Toc531158330"/>
      <w:r>
        <w:rPr>
          <w:rFonts w:hint="cs"/>
          <w:rtl/>
        </w:rPr>
        <w:t>דעת רש"י דברובא דא"ק לא אמרינן סמוך מיעוטא לחזקה</w:t>
      </w:r>
      <w:bookmarkEnd w:id="11781"/>
      <w:bookmarkEnd w:id="11782"/>
      <w:bookmarkEnd w:id="11783"/>
    </w:p>
    <w:p w14:paraId="1113F46B" w14:textId="77777777" w:rsidR="005E1F6B" w:rsidRPr="003007D4" w:rsidRDefault="005E1F6B" w:rsidP="006D6D32">
      <w:pPr>
        <w:pStyle w:val="a3"/>
      </w:pPr>
      <w:bookmarkStart w:id="11788" w:name="_Toc531182564"/>
      <w:bookmarkStart w:id="11789" w:name="_Toc19390560"/>
      <w:bookmarkStart w:id="11790" w:name="_Toc19394057"/>
      <w:r>
        <w:rPr>
          <w:rFonts w:hint="cs"/>
          <w:rtl/>
        </w:rPr>
        <w:t>דחיית הגרעק"א דדעת רש"י דבתינוק הוא רובא דא"ק ולא אמרינן ביה סמוך מיעוטא לחזקה</w:t>
      </w:r>
      <w:bookmarkEnd w:id="11784"/>
      <w:bookmarkEnd w:id="11785"/>
      <w:bookmarkEnd w:id="11786"/>
      <w:bookmarkEnd w:id="11787"/>
      <w:bookmarkEnd w:id="11788"/>
      <w:bookmarkEnd w:id="11789"/>
      <w:bookmarkEnd w:id="11790"/>
    </w:p>
    <w:p w14:paraId="4594619F" w14:textId="77777777" w:rsidR="005E1F6B" w:rsidRDefault="005E1F6B" w:rsidP="00223668">
      <w:pPr>
        <w:pStyle w:val="a0"/>
        <w:rPr>
          <w:rtl/>
        </w:rPr>
      </w:pPr>
      <w:bookmarkStart w:id="11791" w:name="_Ref531166511"/>
      <w:r w:rsidRPr="004E3831">
        <w:rPr>
          <w:rFonts w:hint="cs"/>
          <w:rtl/>
        </w:rPr>
        <w:t xml:space="preserve">וכתב </w:t>
      </w:r>
      <w:r w:rsidRPr="006138C4">
        <w:rPr>
          <w:rStyle w:val="af9"/>
          <w:rFonts w:hint="cs"/>
          <w:rtl/>
        </w:rPr>
        <w:t>הגרעק"א</w:t>
      </w:r>
      <w:r w:rsidRPr="006138C4">
        <w:rPr>
          <w:rFonts w:hint="cs"/>
          <w:rtl/>
        </w:rPr>
        <w:t xml:space="preserve"> </w:t>
      </w:r>
      <w:r w:rsidRPr="006138C4">
        <w:rPr>
          <w:rStyle w:val="af7"/>
          <w:rFonts w:eastAsia="Guttman Hodes" w:hint="cs"/>
          <w:rtl/>
        </w:rPr>
        <w:t>(שו"ת מהדו"ת סי' ק"ג ה')</w:t>
      </w:r>
      <w:r w:rsidRPr="006138C4">
        <w:rPr>
          <w:rFonts w:hint="cs"/>
          <w:rtl/>
        </w:rPr>
        <w:t xml:space="preserve"> דאפשר דלדחות את דברי </w:t>
      </w:r>
      <w:r w:rsidRPr="006138C4">
        <w:rPr>
          <w:rStyle w:val="af9"/>
          <w:rFonts w:hint="cs"/>
          <w:rtl/>
        </w:rPr>
        <w:t>הרשב"א במשה"ב</w:t>
      </w:r>
      <w:r w:rsidRPr="006138C4">
        <w:rPr>
          <w:rFonts w:hint="cs"/>
          <w:rtl/>
        </w:rPr>
        <w:t xml:space="preserve">, דהא דבתינוק לא אמרינן סמוך מיעוטא לחזקה הוא כיון דהוא רובא דאיתא קמן כדכתב </w:t>
      </w:r>
      <w:r w:rsidRPr="006138C4">
        <w:rPr>
          <w:rStyle w:val="af9"/>
          <w:rFonts w:hint="cs"/>
          <w:rtl/>
        </w:rPr>
        <w:t xml:space="preserve">רש"י בקידושין </w:t>
      </w:r>
      <w:r w:rsidRPr="006138C4">
        <w:rPr>
          <w:rStyle w:val="af7"/>
          <w:rFonts w:eastAsia="Guttman Hodes" w:hint="cs"/>
          <w:rtl/>
        </w:rPr>
        <w:t>(פ. ד"ה אם)</w:t>
      </w:r>
      <w:r w:rsidRPr="006138C4">
        <w:rPr>
          <w:rFonts w:hint="cs"/>
          <w:rtl/>
        </w:rPr>
        <w:t>, וברובא דאיתא קמן לא סמכינן את המיעוט לחזקה</w:t>
      </w:r>
      <w:r>
        <w:rPr>
          <w:rFonts w:hint="cs"/>
          <w:rtl/>
        </w:rPr>
        <w:t>.</w:t>
      </w:r>
      <w:bookmarkEnd w:id="11791"/>
    </w:p>
    <w:p w14:paraId="6871E5CE" w14:textId="77777777" w:rsidR="005E1F6B" w:rsidRDefault="005E1F6B" w:rsidP="00BF39B2">
      <w:pPr>
        <w:pStyle w:val="1"/>
        <w:rPr>
          <w:rtl/>
        </w:rPr>
        <w:sectPr w:rsidR="005E1F6B" w:rsidSect="00463352">
          <w:type w:val="continuous"/>
          <w:pgSz w:w="11906" w:h="16838"/>
          <w:pgMar w:top="720" w:right="720" w:bottom="720" w:left="720" w:header="283" w:footer="283" w:gutter="0"/>
          <w:cols w:num="2" w:space="567"/>
          <w:bidi/>
          <w:rtlGutter/>
          <w:docGrid w:linePitch="299"/>
        </w:sectPr>
      </w:pPr>
    </w:p>
    <w:p w14:paraId="7489EFE4" w14:textId="77777777" w:rsidR="005E1F6B" w:rsidRDefault="005E1F6B" w:rsidP="00BF39B2">
      <w:pPr>
        <w:pStyle w:val="1"/>
        <w:rPr>
          <w:rtl/>
        </w:rPr>
      </w:pPr>
    </w:p>
    <w:p w14:paraId="6AC4F8C8" w14:textId="77777777" w:rsidR="005E1F6B" w:rsidRPr="005E1F6B" w:rsidRDefault="005E1F6B" w:rsidP="006D6D32">
      <w:pPr>
        <w:pStyle w:val="a3"/>
        <w:rPr>
          <w:rtl/>
        </w:rPr>
        <w:sectPr w:rsidR="005E1F6B" w:rsidRPr="005E1F6B" w:rsidSect="005E1F6B">
          <w:type w:val="continuous"/>
          <w:pgSz w:w="11906" w:h="16838"/>
          <w:pgMar w:top="720" w:right="720" w:bottom="720" w:left="720" w:header="283" w:footer="283" w:gutter="0"/>
          <w:pgNumType w:start="1"/>
          <w:cols w:space="720"/>
          <w:bidi/>
          <w:rtlGutter/>
          <w:docGrid w:linePitch="299"/>
        </w:sectPr>
      </w:pPr>
    </w:p>
    <w:p w14:paraId="218913B5" w14:textId="77777777" w:rsidR="003D04E6" w:rsidRDefault="003D04E6" w:rsidP="006D6D32">
      <w:pPr>
        <w:pStyle w:val="a3"/>
        <w:rPr>
          <w:rtl/>
        </w:rPr>
        <w:sectPr w:rsidR="003D04E6" w:rsidSect="00064C97">
          <w:headerReference w:type="default" r:id="rId78"/>
          <w:headerReference w:type="first" r:id="rId79"/>
          <w:type w:val="continuous"/>
          <w:pgSz w:w="11906" w:h="16838"/>
          <w:pgMar w:top="720" w:right="720" w:bottom="720" w:left="720" w:header="283" w:footer="283" w:gutter="0"/>
          <w:pgNumType w:fmt="hebrew1" w:start="79"/>
          <w:cols w:num="2" w:space="170"/>
          <w:bidi/>
          <w:rtlGutter/>
          <w:docGrid w:linePitch="299"/>
        </w:sectPr>
      </w:pPr>
    </w:p>
    <w:p w14:paraId="22C5D4C2" w14:textId="77777777" w:rsidR="00AC4846" w:rsidRDefault="00AC4846" w:rsidP="006D6D32">
      <w:pPr>
        <w:pStyle w:val="afd"/>
        <w:rPr>
          <w:rtl/>
        </w:rPr>
        <w:sectPr w:rsidR="00AC4846" w:rsidSect="00AC4846">
          <w:headerReference w:type="even" r:id="rId80"/>
          <w:headerReference w:type="default" r:id="rId81"/>
          <w:footerReference w:type="even" r:id="rId82"/>
          <w:headerReference w:type="first" r:id="rId83"/>
          <w:footerReference w:type="first" r:id="rId84"/>
          <w:pgSz w:w="11906" w:h="16838"/>
          <w:pgMar w:top="720" w:right="720" w:bottom="720" w:left="720" w:header="283" w:footer="283" w:gutter="0"/>
          <w:pgNumType w:start="146"/>
          <w:cols w:space="113"/>
          <w:bidi/>
          <w:rtlGutter/>
          <w:docGrid w:linePitch="299"/>
        </w:sectPr>
      </w:pPr>
      <w:bookmarkStart w:id="11792" w:name="_Toc531193273"/>
      <w:bookmarkStart w:id="11793" w:name="_Toc531251475"/>
      <w:bookmarkStart w:id="11794" w:name="_Toc531251618"/>
      <w:bookmarkStart w:id="11795" w:name="_Toc531258160"/>
      <w:bookmarkStart w:id="11796" w:name="_Toc531622036"/>
      <w:bookmarkStart w:id="11797" w:name="_Toc531629692"/>
      <w:bookmarkStart w:id="11798" w:name="_Toc531638963"/>
      <w:bookmarkStart w:id="11799" w:name="_Toc531776372"/>
      <w:bookmarkStart w:id="11800" w:name="_Toc531817561"/>
      <w:bookmarkStart w:id="11801" w:name="_Toc531819661"/>
      <w:bookmarkStart w:id="11802" w:name="_Toc534142079"/>
    </w:p>
    <w:p w14:paraId="1A7FCD54" w14:textId="77777777" w:rsidR="003D04E6" w:rsidRDefault="003D04E6" w:rsidP="006D6D32">
      <w:pPr>
        <w:pStyle w:val="afd"/>
      </w:pPr>
      <w:bookmarkStart w:id="11803" w:name="_Toc16669748"/>
      <w:bookmarkStart w:id="11804" w:name="_Toc19435762"/>
      <w:bookmarkStart w:id="11805" w:name="_Toc20081019"/>
      <w:r>
        <w:rPr>
          <w:rFonts w:hint="cs"/>
          <w:rtl/>
        </w:rPr>
        <w:t>סימן י"ב</w:t>
      </w:r>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p>
    <w:p w14:paraId="33F4C17E" w14:textId="77777777" w:rsidR="003D04E6" w:rsidRDefault="003D04E6" w:rsidP="006D6D32">
      <w:pPr>
        <w:pStyle w:val="afd"/>
      </w:pPr>
      <w:bookmarkStart w:id="11806" w:name="_Toc534142080"/>
      <w:bookmarkStart w:id="11807" w:name="_Toc16669749"/>
      <w:bookmarkStart w:id="11808" w:name="_Toc19435763"/>
      <w:bookmarkStart w:id="11809" w:name="_Toc20081020"/>
      <w:bookmarkStart w:id="11810" w:name="_Toc531629693"/>
      <w:bookmarkStart w:id="11811" w:name="_Toc531638964"/>
      <w:bookmarkStart w:id="11812" w:name="_Toc531776373"/>
      <w:bookmarkStart w:id="11813" w:name="_Toc531817562"/>
      <w:bookmarkStart w:id="11814" w:name="_Toc531819662"/>
      <w:r>
        <w:rPr>
          <w:rFonts w:hint="cs"/>
          <w:rtl/>
        </w:rPr>
        <w:t>סוגיא דהגרמה (א')</w:t>
      </w:r>
      <w:bookmarkEnd w:id="11806"/>
      <w:bookmarkEnd w:id="11807"/>
      <w:bookmarkEnd w:id="11808"/>
      <w:bookmarkEnd w:id="11809"/>
      <w:r>
        <w:rPr>
          <w:rFonts w:hint="cs"/>
          <w:rtl/>
        </w:rPr>
        <w:t xml:space="preserve"> </w:t>
      </w:r>
    </w:p>
    <w:p w14:paraId="4FAFDE88" w14:textId="77777777" w:rsidR="003D04E6" w:rsidRPr="006E4372" w:rsidRDefault="003D04E6" w:rsidP="006D6D32">
      <w:pPr>
        <w:pStyle w:val="afd"/>
        <w:rPr>
          <w:rtl/>
        </w:rPr>
      </w:pPr>
      <w:r>
        <w:rPr>
          <w:rFonts w:hint="cs"/>
          <w:rtl/>
        </w:rPr>
        <w:t xml:space="preserve"> </w:t>
      </w:r>
      <w:bookmarkStart w:id="11815" w:name="_Toc16669750"/>
      <w:bookmarkStart w:id="11816" w:name="_Toc19435764"/>
      <w:bookmarkStart w:id="11817" w:name="_Toc20081021"/>
      <w:r>
        <w:rPr>
          <w:rFonts w:hint="cs"/>
          <w:rtl/>
        </w:rPr>
        <w:t>בפלוגתת רבנן וריבר</w:t>
      </w:r>
      <w:r>
        <w:rPr>
          <w:rtl/>
        </w:rPr>
        <w:t>"</w:t>
      </w:r>
      <w:r>
        <w:rPr>
          <w:rFonts w:hint="cs"/>
          <w:rtl/>
        </w:rPr>
        <w:t xml:space="preserve">י </w:t>
      </w:r>
      <w:bookmarkEnd w:id="11810"/>
      <w:bookmarkEnd w:id="11811"/>
      <w:bookmarkEnd w:id="11812"/>
      <w:bookmarkEnd w:id="11813"/>
      <w:bookmarkEnd w:id="11814"/>
      <w:r>
        <w:rPr>
          <w:rFonts w:hint="cs"/>
          <w:rtl/>
        </w:rPr>
        <w:t>ברוב סימן בהגרמה ובשחיטה</w:t>
      </w:r>
      <w:bookmarkEnd w:id="11815"/>
      <w:bookmarkEnd w:id="11816"/>
      <w:bookmarkEnd w:id="11817"/>
    </w:p>
    <w:p w14:paraId="28F8E67E" w14:textId="77777777" w:rsidR="003D04E6" w:rsidRDefault="000A0C31" w:rsidP="003D04E6">
      <w:pPr>
        <w:pStyle w:val="2"/>
        <w:keepLines w:val="0"/>
        <w:rPr>
          <w:rFonts w:asciiTheme="minorHAnsi" w:eastAsiaTheme="minorHAnsi" w:hAnsiTheme="minorHAnsi" w:cstheme="minorHAnsi"/>
          <w:sz w:val="20"/>
          <w:szCs w:val="20"/>
          <w:rtl/>
        </w:rPr>
        <w:sectPr w:rsidR="003D04E6" w:rsidSect="005843E6">
          <w:headerReference w:type="default" r:id="rId85"/>
          <w:pgSz w:w="11906" w:h="16838"/>
          <w:pgMar w:top="720" w:right="720" w:bottom="720" w:left="720" w:header="283" w:footer="283" w:gutter="0"/>
          <w:cols w:space="113"/>
          <w:bidi/>
          <w:rtlGutter/>
          <w:docGrid w:linePitch="299"/>
        </w:sectPr>
      </w:pPr>
      <w:r>
        <w:rPr>
          <w:rFonts w:hint="cs"/>
          <w:rtl/>
        </w:rPr>
        <w:t>מפתח הסוגיא</w:t>
      </w:r>
    </w:p>
    <w:p w14:paraId="6FAF3681" w14:textId="77777777" w:rsidR="003D04E6" w:rsidRDefault="003D04E6" w:rsidP="003D04E6">
      <w:pPr>
        <w:pStyle w:val="2"/>
        <w:keepLines w:val="0"/>
        <w:rPr>
          <w:rFonts w:eastAsiaTheme="minorEastAsia" w:cstheme="minorBidi"/>
          <w:i/>
          <w:iCs/>
          <w:noProof/>
          <w:sz w:val="22"/>
          <w:szCs w:val="22"/>
          <w:rtl/>
        </w:rPr>
      </w:pPr>
      <w:r>
        <w:rPr>
          <w:rFonts w:asciiTheme="minorHAnsi" w:eastAsiaTheme="minorHAnsi" w:hAnsiTheme="minorHAnsi" w:cstheme="minorHAnsi"/>
          <w:sz w:val="20"/>
          <w:szCs w:val="20"/>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Fonts w:asciiTheme="minorHAnsi" w:eastAsiaTheme="minorHAnsi" w:hAnsiTheme="minorHAnsi" w:cstheme="minorHAnsi"/>
          <w:sz w:val="20"/>
          <w:szCs w:val="20"/>
          <w:rtl/>
        </w:rPr>
        <w:fldChar w:fldCharType="separate"/>
      </w:r>
      <w:bookmarkStart w:id="11818" w:name="_Toc19435766"/>
      <w:r>
        <w:rPr>
          <w:noProof/>
          <w:rtl/>
        </w:rPr>
        <w:t>מראי מקומות וביאורים על הסוגיא</w:t>
      </w:r>
      <w:bookmarkEnd w:id="11818"/>
    </w:p>
    <w:p w14:paraId="2FCADEB0" w14:textId="77777777" w:rsidR="003D04E6" w:rsidRDefault="003D04E6" w:rsidP="003D04E6">
      <w:pPr>
        <w:pStyle w:val="2"/>
        <w:rPr>
          <w:rFonts w:eastAsiaTheme="minorEastAsia" w:cstheme="minorBidi"/>
          <w:i/>
          <w:iCs/>
          <w:noProof/>
          <w:sz w:val="22"/>
          <w:szCs w:val="22"/>
          <w:rtl/>
        </w:rPr>
      </w:pPr>
      <w:bookmarkStart w:id="11819" w:name="_Toc19435767"/>
      <w:r>
        <w:rPr>
          <w:noProof/>
          <w:rtl/>
        </w:rPr>
        <w:t>בביאור מתני'</w:t>
      </w:r>
      <w:bookmarkEnd w:id="11819"/>
    </w:p>
    <w:p w14:paraId="14CDC81A" w14:textId="77777777" w:rsidR="003D04E6" w:rsidRDefault="003D04E6" w:rsidP="003D04E6">
      <w:pPr>
        <w:pStyle w:val="aff4"/>
        <w:rPr>
          <w:rFonts w:eastAsiaTheme="minorEastAsia" w:cstheme="minorBidi"/>
          <w:i/>
          <w:iCs/>
          <w:noProof/>
          <w:sz w:val="22"/>
          <w:szCs w:val="22"/>
          <w:rtl/>
        </w:rPr>
      </w:pPr>
      <w:bookmarkStart w:id="11820" w:name="_Toc19435768"/>
      <w:bookmarkStart w:id="11821" w:name="_Toc20081022"/>
      <w:r>
        <w:rPr>
          <w:noProof/>
          <w:rtl/>
        </w:rPr>
        <w:t>ביאור רש"י דהגרים למעלה מטבעת הגדולה דאינו מקום שחיטה</w:t>
      </w:r>
      <w:bookmarkEnd w:id="11820"/>
      <w:bookmarkEnd w:id="11821"/>
    </w:p>
    <w:p w14:paraId="35824FD5" w14:textId="77777777" w:rsidR="00AC4846" w:rsidRPr="005077A7" w:rsidRDefault="00AC4846" w:rsidP="00E12979">
      <w:pPr>
        <w:pStyle w:val="a"/>
        <w:numPr>
          <w:ilvl w:val="0"/>
          <w:numId w:val="29"/>
        </w:numPr>
        <w:rPr>
          <w:rFonts w:eastAsiaTheme="minorEastAsia" w:cstheme="minorBidi"/>
          <w:noProof/>
          <w:sz w:val="22"/>
          <w:szCs w:val="22"/>
        </w:rPr>
      </w:pPr>
      <w:r w:rsidRPr="00074C60">
        <w:rPr>
          <w:noProof/>
          <w:rtl/>
        </w:rPr>
        <w:t>דברי רש"י דנחלקו ריבר"י ורבנן בשחט בטבעת הגדולה והגרים למעלה ממנה שאינו מקום שחיטה</w:t>
      </w:r>
      <w:r>
        <w:rPr>
          <w:noProof/>
          <w:rtl/>
        </w:rPr>
        <w:t xml:space="preserve"> </w:t>
      </w:r>
    </w:p>
    <w:p w14:paraId="633D75AB" w14:textId="77777777" w:rsidR="003D04E6" w:rsidRDefault="003D04E6" w:rsidP="005077A7">
      <w:pPr>
        <w:pStyle w:val="a"/>
        <w:rPr>
          <w:rFonts w:eastAsiaTheme="minorEastAsia" w:cstheme="minorBidi"/>
          <w:noProof/>
          <w:sz w:val="22"/>
          <w:szCs w:val="22"/>
          <w:rtl/>
        </w:rPr>
      </w:pPr>
      <w:r>
        <w:rPr>
          <w:noProof/>
          <w:rtl/>
        </w:rPr>
        <w:t>ביאור רש"י דלרבנן פסול כיון שגמר בפסול ולרבר"י כשר כיון שהרוב נשחט כדין</w:t>
      </w:r>
    </w:p>
    <w:p w14:paraId="47D8126A" w14:textId="77777777" w:rsidR="003D04E6" w:rsidRDefault="003D04E6" w:rsidP="005077A7">
      <w:pPr>
        <w:pStyle w:val="a"/>
        <w:rPr>
          <w:rFonts w:eastAsiaTheme="minorEastAsia" w:cstheme="minorBidi"/>
          <w:noProof/>
          <w:sz w:val="22"/>
          <w:szCs w:val="22"/>
          <w:rtl/>
        </w:rPr>
      </w:pPr>
      <w:r>
        <w:rPr>
          <w:noProof/>
          <w:rtl/>
        </w:rPr>
        <w:t>דברי החת"ס דביאר רש"י כל"ק דרב הונא דההגרמה הייתה בשליש האחרון ולא בשליש הראשון</w:t>
      </w:r>
    </w:p>
    <w:p w14:paraId="4747388F" w14:textId="77777777" w:rsidR="003D04E6" w:rsidRDefault="003D04E6" w:rsidP="003D04E6">
      <w:pPr>
        <w:pStyle w:val="aff4"/>
        <w:rPr>
          <w:rFonts w:eastAsiaTheme="minorEastAsia" w:cstheme="minorBidi"/>
          <w:i/>
          <w:iCs/>
          <w:noProof/>
          <w:sz w:val="22"/>
          <w:szCs w:val="22"/>
          <w:rtl/>
        </w:rPr>
      </w:pPr>
      <w:bookmarkStart w:id="11822" w:name="_Toc19435769"/>
      <w:bookmarkStart w:id="11823" w:name="_Toc20081023"/>
      <w:r>
        <w:rPr>
          <w:noProof/>
          <w:rtl/>
        </w:rPr>
        <w:t>ביאור הר"ן במתני' כל"ב דנחלקו רק בהתחיל לשחוט בהגרמה</w:t>
      </w:r>
      <w:bookmarkEnd w:id="11822"/>
      <w:bookmarkEnd w:id="11823"/>
    </w:p>
    <w:p w14:paraId="1251ADCE" w14:textId="77777777" w:rsidR="003D04E6" w:rsidRDefault="003D04E6" w:rsidP="005077A7">
      <w:pPr>
        <w:pStyle w:val="a"/>
        <w:rPr>
          <w:rFonts w:eastAsiaTheme="minorEastAsia" w:cstheme="minorBidi"/>
          <w:noProof/>
          <w:sz w:val="22"/>
          <w:szCs w:val="22"/>
          <w:rtl/>
        </w:rPr>
      </w:pPr>
      <w:r>
        <w:rPr>
          <w:noProof/>
          <w:rtl/>
        </w:rPr>
        <w:t>ביאור הר"ן במתני' כל"ב דהגרים בתחילת השחיטה אבל בשחט רוב כדין מודו רבנן דכשר</w:t>
      </w:r>
    </w:p>
    <w:p w14:paraId="628561DE" w14:textId="77777777" w:rsidR="003D04E6" w:rsidRDefault="003D04E6" w:rsidP="005077A7">
      <w:pPr>
        <w:pStyle w:val="a"/>
        <w:rPr>
          <w:rFonts w:eastAsiaTheme="minorEastAsia" w:cstheme="minorBidi"/>
          <w:noProof/>
          <w:sz w:val="22"/>
          <w:szCs w:val="22"/>
          <w:rtl/>
        </w:rPr>
      </w:pPr>
      <w:r>
        <w:rPr>
          <w:noProof/>
          <w:rtl/>
        </w:rPr>
        <w:t>ביאור הר"ן במתני' כל"ב דלרבר"י אף בהתחיל להגרים אם שחט את הרוב כדין כשר</w:t>
      </w:r>
    </w:p>
    <w:p w14:paraId="32087E08" w14:textId="77777777" w:rsidR="003D04E6" w:rsidRDefault="003D04E6" w:rsidP="003D04E6">
      <w:pPr>
        <w:pStyle w:val="aff4"/>
      </w:pPr>
      <w:bookmarkStart w:id="11824" w:name="_Toc19435770"/>
      <w:bookmarkStart w:id="11825" w:name="_Toc20081024"/>
      <w:r>
        <w:rPr>
          <w:rFonts w:hint="cs"/>
          <w:rtl/>
        </w:rPr>
        <w:t>דעת הי"מ ברש"י דנחלקו בהתחיל לשחוט בתוך הטבעת</w:t>
      </w:r>
      <w:bookmarkEnd w:id="11824"/>
      <w:bookmarkEnd w:id="11825"/>
    </w:p>
    <w:p w14:paraId="0AD7C077" w14:textId="77777777" w:rsidR="003D04E6" w:rsidRDefault="003D04E6" w:rsidP="005077A7">
      <w:pPr>
        <w:pStyle w:val="a"/>
        <w:rPr>
          <w:rFonts w:eastAsiaTheme="minorEastAsia" w:cstheme="minorBidi"/>
          <w:noProof/>
          <w:sz w:val="22"/>
          <w:szCs w:val="22"/>
          <w:rtl/>
        </w:rPr>
      </w:pPr>
      <w:r>
        <w:rPr>
          <w:noProof/>
          <w:rtl/>
        </w:rPr>
        <w:t>ביאור הי"מ דרבר"י ורבנן נחלקו בהתחיל לשחוט בתוך אחת מהטבעות והגרים למעלה ממנה</w:t>
      </w:r>
    </w:p>
    <w:p w14:paraId="11FF5A9E" w14:textId="77777777" w:rsidR="003D04E6" w:rsidRDefault="003D04E6" w:rsidP="005077A7">
      <w:pPr>
        <w:pStyle w:val="a"/>
        <w:rPr>
          <w:rFonts w:eastAsiaTheme="minorEastAsia" w:cstheme="minorBidi"/>
          <w:noProof/>
          <w:sz w:val="22"/>
          <w:szCs w:val="22"/>
          <w:rtl/>
        </w:rPr>
      </w:pPr>
      <w:r>
        <w:rPr>
          <w:noProof/>
          <w:rtl/>
        </w:rPr>
        <w:t>ביאור רש"י בב"ק כדעת הי"מ ברש"י בסוגיין דהגרים לבין הטבעות</w:t>
      </w:r>
    </w:p>
    <w:p w14:paraId="0C441A85" w14:textId="77777777" w:rsidR="003D04E6" w:rsidRDefault="003D04E6" w:rsidP="003D04E6">
      <w:pPr>
        <w:pStyle w:val="aff4"/>
        <w:rPr>
          <w:rFonts w:eastAsiaTheme="minorEastAsia" w:cstheme="minorBidi"/>
          <w:i/>
          <w:iCs/>
          <w:noProof/>
          <w:sz w:val="22"/>
          <w:szCs w:val="22"/>
          <w:rtl/>
        </w:rPr>
      </w:pPr>
      <w:bookmarkStart w:id="11826" w:name="_Toc19435771"/>
      <w:bookmarkStart w:id="11827" w:name="_Toc20081025"/>
      <w:r>
        <w:rPr>
          <w:noProof/>
          <w:rtl/>
        </w:rPr>
        <w:t>ביאור השיטמ"ק בדעת הי"מ ברש"י</w:t>
      </w:r>
      <w:bookmarkEnd w:id="11826"/>
      <w:bookmarkEnd w:id="11827"/>
    </w:p>
    <w:p w14:paraId="2BBA1FDB" w14:textId="77777777" w:rsidR="003D04E6" w:rsidRDefault="003D04E6" w:rsidP="005077A7">
      <w:pPr>
        <w:pStyle w:val="a"/>
        <w:rPr>
          <w:rFonts w:eastAsiaTheme="minorEastAsia" w:cstheme="minorBidi"/>
          <w:noProof/>
          <w:sz w:val="22"/>
          <w:szCs w:val="22"/>
          <w:rtl/>
        </w:rPr>
      </w:pPr>
      <w:r>
        <w:rPr>
          <w:noProof/>
          <w:rtl/>
        </w:rPr>
        <w:t>ביאור השיטמ"ק בי"מ דרק כיון שהתחיל לשחוט בתוך הטבעת אסור לגמור בין הטבעות</w:t>
      </w:r>
    </w:p>
    <w:p w14:paraId="1E64EF99" w14:textId="77777777" w:rsidR="003D04E6" w:rsidRDefault="003D04E6" w:rsidP="005077A7">
      <w:pPr>
        <w:pStyle w:val="a"/>
        <w:rPr>
          <w:rFonts w:eastAsiaTheme="minorEastAsia" w:cstheme="minorBidi"/>
          <w:noProof/>
          <w:sz w:val="22"/>
          <w:szCs w:val="22"/>
          <w:rtl/>
        </w:rPr>
      </w:pPr>
      <w:r>
        <w:rPr>
          <w:noProof/>
          <w:rtl/>
        </w:rPr>
        <w:t>ביאור השיטמ"ק דיש חילוק בין שחיטה בטבעות לשחיטת הבשר שבין הטבעות ואינם מצטרפים</w:t>
      </w:r>
    </w:p>
    <w:p w14:paraId="21488EA9" w14:textId="77777777" w:rsidR="003D04E6" w:rsidRDefault="003D04E6" w:rsidP="005077A7">
      <w:pPr>
        <w:pStyle w:val="a"/>
        <w:rPr>
          <w:rFonts w:eastAsiaTheme="minorEastAsia" w:cstheme="minorBidi"/>
          <w:noProof/>
          <w:sz w:val="22"/>
          <w:szCs w:val="22"/>
          <w:rtl/>
        </w:rPr>
      </w:pPr>
      <w:r>
        <w:rPr>
          <w:noProof/>
          <w:rtl/>
        </w:rPr>
        <w:t>דברי הראש יוסף דהי"מ דייקו מלשון המשנה דפסול הגרמה הוא בכל הטבעות</w:t>
      </w:r>
    </w:p>
    <w:p w14:paraId="7795A735" w14:textId="77777777" w:rsidR="003D04E6" w:rsidRDefault="003D04E6" w:rsidP="003D04E6">
      <w:pPr>
        <w:pStyle w:val="aff4"/>
        <w:rPr>
          <w:rFonts w:eastAsiaTheme="minorEastAsia" w:cstheme="minorBidi"/>
          <w:i/>
          <w:iCs/>
          <w:noProof/>
          <w:sz w:val="22"/>
          <w:szCs w:val="22"/>
          <w:rtl/>
        </w:rPr>
      </w:pPr>
      <w:bookmarkStart w:id="11828" w:name="_Toc19435772"/>
      <w:bookmarkStart w:id="11829" w:name="_Toc20081026"/>
      <w:r>
        <w:rPr>
          <w:noProof/>
          <w:rtl/>
        </w:rPr>
        <w:t>דחיית רש"י את דעת הי"מ</w:t>
      </w:r>
      <w:bookmarkEnd w:id="11828"/>
      <w:bookmarkEnd w:id="11829"/>
    </w:p>
    <w:p w14:paraId="433C96D6" w14:textId="77777777" w:rsidR="003D04E6" w:rsidRDefault="003D04E6" w:rsidP="005077A7">
      <w:pPr>
        <w:pStyle w:val="a"/>
        <w:rPr>
          <w:rFonts w:eastAsiaTheme="minorEastAsia" w:cstheme="minorBidi"/>
          <w:noProof/>
          <w:sz w:val="22"/>
          <w:szCs w:val="22"/>
          <w:rtl/>
        </w:rPr>
      </w:pPr>
      <w:r>
        <w:rPr>
          <w:noProof/>
          <w:rtl/>
        </w:rPr>
        <w:t>דחיית רש"י דבתוספתא מבואר שאין חילוק בתוך הקנה בין הטבעות לבין הטבעות</w:t>
      </w:r>
    </w:p>
    <w:p w14:paraId="06736FE1" w14:textId="77777777" w:rsidR="003D04E6" w:rsidRDefault="003D04E6" w:rsidP="005077A7">
      <w:pPr>
        <w:pStyle w:val="a"/>
        <w:rPr>
          <w:rFonts w:eastAsiaTheme="minorEastAsia" w:cstheme="minorBidi"/>
          <w:noProof/>
          <w:sz w:val="22"/>
          <w:szCs w:val="22"/>
          <w:rtl/>
        </w:rPr>
      </w:pPr>
      <w:r>
        <w:rPr>
          <w:noProof/>
          <w:rtl/>
        </w:rPr>
        <w:t>ביאור רש"י אמאי לא תני במתני' להדיא דאיירי רק בטבעת הגדולה</w:t>
      </w:r>
    </w:p>
    <w:p w14:paraId="1597BFF1" w14:textId="77777777" w:rsidR="003D04E6" w:rsidRDefault="003D04E6" w:rsidP="005077A7">
      <w:pPr>
        <w:pStyle w:val="a"/>
        <w:rPr>
          <w:rFonts w:eastAsiaTheme="minorEastAsia" w:cstheme="minorBidi"/>
          <w:noProof/>
          <w:sz w:val="22"/>
          <w:szCs w:val="22"/>
          <w:rtl/>
        </w:rPr>
      </w:pPr>
      <w:r>
        <w:rPr>
          <w:noProof/>
          <w:rtl/>
        </w:rPr>
        <w:t>דברי הראש יוסף דקשה על הי"מ היאך מכשיר ריבר"י ברוב טבעת שאינה רוב קנה</w:t>
      </w:r>
    </w:p>
    <w:p w14:paraId="79AB32AD" w14:textId="77777777" w:rsidR="003D04E6" w:rsidRDefault="003D04E6" w:rsidP="003D04E6">
      <w:pPr>
        <w:pStyle w:val="aff4"/>
        <w:rPr>
          <w:rFonts w:eastAsiaTheme="minorEastAsia" w:cstheme="minorBidi"/>
          <w:i/>
          <w:iCs/>
          <w:noProof/>
          <w:sz w:val="22"/>
          <w:szCs w:val="22"/>
          <w:rtl/>
        </w:rPr>
      </w:pPr>
      <w:bookmarkStart w:id="11830" w:name="_Toc19435773"/>
      <w:bookmarkStart w:id="11831" w:name="_Toc20081027"/>
      <w:r>
        <w:rPr>
          <w:noProof/>
          <w:rtl/>
        </w:rPr>
        <w:t>דעת רבינו גרשום דבין הטבעות אינו מקום שחיטה</w:t>
      </w:r>
      <w:bookmarkEnd w:id="11830"/>
      <w:bookmarkEnd w:id="11831"/>
    </w:p>
    <w:p w14:paraId="37C4048B" w14:textId="77777777" w:rsidR="003D04E6" w:rsidRDefault="003D04E6" w:rsidP="005077A7">
      <w:pPr>
        <w:pStyle w:val="a"/>
        <w:rPr>
          <w:rFonts w:eastAsiaTheme="minorEastAsia" w:cstheme="minorBidi"/>
          <w:noProof/>
          <w:sz w:val="22"/>
          <w:szCs w:val="22"/>
          <w:rtl/>
        </w:rPr>
      </w:pPr>
      <w:r>
        <w:rPr>
          <w:noProof/>
          <w:rtl/>
        </w:rPr>
        <w:t>ביאור רבינו גרשום דצריך לגמור בטבעת ששחטה בה ואסור לשחוט בין הטבעות</w:t>
      </w:r>
    </w:p>
    <w:p w14:paraId="75EF1F56" w14:textId="77777777" w:rsidR="003D04E6" w:rsidRDefault="003D04E6" w:rsidP="003D04E6">
      <w:pPr>
        <w:pStyle w:val="2"/>
        <w:rPr>
          <w:rFonts w:eastAsiaTheme="minorEastAsia" w:cstheme="minorBidi"/>
          <w:i/>
          <w:iCs/>
          <w:noProof/>
          <w:sz w:val="22"/>
          <w:szCs w:val="22"/>
          <w:rtl/>
        </w:rPr>
      </w:pPr>
      <w:bookmarkStart w:id="11832" w:name="_Toc19435774"/>
      <w:r>
        <w:rPr>
          <w:noProof/>
          <w:rtl/>
        </w:rPr>
        <w:t>בדעת רבנן בדין רובו ככולו בשחיטה</w:t>
      </w:r>
      <w:bookmarkEnd w:id="11832"/>
    </w:p>
    <w:p w14:paraId="71921416" w14:textId="77777777" w:rsidR="003D04E6" w:rsidRDefault="003D04E6" w:rsidP="003D04E6">
      <w:pPr>
        <w:pStyle w:val="aff4"/>
        <w:rPr>
          <w:rFonts w:eastAsiaTheme="minorEastAsia" w:cstheme="minorBidi"/>
          <w:i/>
          <w:iCs/>
          <w:noProof/>
          <w:sz w:val="22"/>
          <w:szCs w:val="22"/>
          <w:rtl/>
        </w:rPr>
      </w:pPr>
      <w:bookmarkStart w:id="11833" w:name="_Toc19435775"/>
      <w:bookmarkStart w:id="11834" w:name="_Toc20081028"/>
      <w:r>
        <w:rPr>
          <w:noProof/>
          <w:rtl/>
        </w:rPr>
        <w:t>דעת הראשונים דלרבנן דלא אמרינן בשחיטה רובו ככולו</w:t>
      </w:r>
      <w:bookmarkEnd w:id="11833"/>
      <w:bookmarkEnd w:id="11834"/>
    </w:p>
    <w:p w14:paraId="0C1974ED" w14:textId="77777777" w:rsidR="003D04E6" w:rsidRDefault="003D04E6" w:rsidP="005077A7">
      <w:pPr>
        <w:pStyle w:val="a"/>
        <w:rPr>
          <w:rFonts w:eastAsiaTheme="minorEastAsia" w:cstheme="minorBidi"/>
          <w:noProof/>
          <w:sz w:val="22"/>
          <w:szCs w:val="22"/>
          <w:rtl/>
        </w:rPr>
      </w:pPr>
      <w:r>
        <w:rPr>
          <w:noProof/>
          <w:rtl/>
        </w:rPr>
        <w:t>דברי רש"י דלרבר"י אמרינן רובו ככולו ולרבנן בשחיטה לא אזלינן בשחיטה בתר רובא</w:t>
      </w:r>
    </w:p>
    <w:p w14:paraId="47A74EFC" w14:textId="77777777" w:rsidR="003D04E6" w:rsidRDefault="003D04E6" w:rsidP="005077A7">
      <w:pPr>
        <w:pStyle w:val="a"/>
        <w:rPr>
          <w:rFonts w:eastAsiaTheme="minorEastAsia" w:cstheme="minorBidi"/>
          <w:noProof/>
          <w:sz w:val="22"/>
          <w:szCs w:val="22"/>
          <w:rtl/>
        </w:rPr>
      </w:pPr>
      <w:r>
        <w:rPr>
          <w:noProof/>
          <w:rtl/>
        </w:rPr>
        <w:t>דברי השיטמ"ק והגרעק"א דמבואר ברש"י דלרב ושמואל לרבנן לא אמרינן בשחיטה רובו ככולו</w:t>
      </w:r>
    </w:p>
    <w:p w14:paraId="788DFDCC" w14:textId="77777777" w:rsidR="003D04E6" w:rsidRDefault="003D04E6" w:rsidP="005077A7">
      <w:pPr>
        <w:pStyle w:val="a"/>
        <w:rPr>
          <w:rFonts w:eastAsiaTheme="minorEastAsia" w:cstheme="minorBidi"/>
          <w:noProof/>
          <w:sz w:val="22"/>
          <w:szCs w:val="22"/>
          <w:rtl/>
        </w:rPr>
      </w:pPr>
      <w:r>
        <w:rPr>
          <w:noProof/>
          <w:rtl/>
        </w:rPr>
        <w:t>דברי המאירי דנחלקו ריבר"י ורבנן אי אמרינן בשחיטה רובו ככולו</w:t>
      </w:r>
    </w:p>
    <w:p w14:paraId="7A4E7CA8" w14:textId="77777777" w:rsidR="003D04E6" w:rsidRDefault="003D04E6" w:rsidP="005077A7">
      <w:pPr>
        <w:pStyle w:val="a"/>
        <w:rPr>
          <w:rFonts w:eastAsiaTheme="minorEastAsia" w:cstheme="minorBidi"/>
          <w:noProof/>
          <w:sz w:val="22"/>
          <w:szCs w:val="22"/>
          <w:rtl/>
        </w:rPr>
      </w:pPr>
      <w:r>
        <w:rPr>
          <w:noProof/>
          <w:rtl/>
        </w:rPr>
        <w:t>דברי הרשב"א והרמב"ן דמוכח דלרבנן לא אמרינן בשחיטה רובו ככולו מדפסלי אחר שחיטת הרוב</w:t>
      </w:r>
    </w:p>
    <w:p w14:paraId="30113B7C" w14:textId="77777777" w:rsidR="003D04E6" w:rsidRDefault="003D04E6" w:rsidP="003D04E6">
      <w:pPr>
        <w:pStyle w:val="aff4"/>
        <w:rPr>
          <w:rFonts w:eastAsiaTheme="minorEastAsia" w:cstheme="minorBidi"/>
          <w:i/>
          <w:iCs/>
          <w:noProof/>
          <w:sz w:val="22"/>
          <w:szCs w:val="22"/>
          <w:rtl/>
        </w:rPr>
      </w:pPr>
      <w:bookmarkStart w:id="11835" w:name="_Toc19435776"/>
      <w:bookmarkStart w:id="11836" w:name="_Toc20081029"/>
      <w:r>
        <w:rPr>
          <w:noProof/>
          <w:rtl/>
        </w:rPr>
        <w:t>קושית הגרעק"א דלל"ב דרב הונא אפש"ל דלא נח' ברובו ככולו</w:t>
      </w:r>
      <w:bookmarkEnd w:id="11835"/>
      <w:bookmarkEnd w:id="11836"/>
    </w:p>
    <w:p w14:paraId="2023C0AB" w14:textId="77777777" w:rsidR="003D04E6" w:rsidRDefault="003D04E6" w:rsidP="005077A7">
      <w:pPr>
        <w:pStyle w:val="a"/>
        <w:rPr>
          <w:rFonts w:eastAsiaTheme="minorEastAsia" w:cstheme="minorBidi"/>
          <w:noProof/>
          <w:sz w:val="22"/>
          <w:szCs w:val="22"/>
          <w:rtl/>
        </w:rPr>
      </w:pPr>
      <w:r>
        <w:rPr>
          <w:noProof/>
          <w:rtl/>
        </w:rPr>
        <w:t>דברי הגרעק"א דמרב ושמואל מוכח דלרבנן לא אמרינן בשחיטה רובו ככולו</w:t>
      </w:r>
    </w:p>
    <w:p w14:paraId="16A31194" w14:textId="77777777" w:rsidR="003D04E6" w:rsidRDefault="003D04E6" w:rsidP="005077A7">
      <w:pPr>
        <w:pStyle w:val="a"/>
        <w:rPr>
          <w:rFonts w:eastAsiaTheme="minorEastAsia" w:cstheme="minorBidi"/>
          <w:noProof/>
          <w:sz w:val="22"/>
          <w:szCs w:val="22"/>
          <w:rtl/>
        </w:rPr>
      </w:pPr>
      <w:r>
        <w:rPr>
          <w:noProof/>
          <w:rtl/>
        </w:rPr>
        <w:t>קושית הגרעק"א דלל"ב דרב הונא אפש"ל דאף לרבנן אמרינן בשחיטה רובו ככולו</w:t>
      </w:r>
    </w:p>
    <w:p w14:paraId="08E609C0" w14:textId="77777777" w:rsidR="003D04E6" w:rsidRDefault="003D04E6" w:rsidP="003D04E6">
      <w:pPr>
        <w:pStyle w:val="aff4"/>
        <w:rPr>
          <w:rFonts w:eastAsiaTheme="minorEastAsia" w:cstheme="minorBidi"/>
          <w:i/>
          <w:iCs/>
          <w:noProof/>
          <w:sz w:val="22"/>
          <w:szCs w:val="22"/>
          <w:rtl/>
        </w:rPr>
      </w:pPr>
      <w:bookmarkStart w:id="11837" w:name="_Toc19435777"/>
      <w:bookmarkStart w:id="11838" w:name="_Toc20081030"/>
      <w:r>
        <w:rPr>
          <w:noProof/>
          <w:rtl/>
        </w:rPr>
        <w:t>ביאור המהר"ץ חיות דכשרות רוב סימן אינו הוכחה דרובו ככולו</w:t>
      </w:r>
      <w:bookmarkEnd w:id="11837"/>
      <w:bookmarkEnd w:id="11838"/>
    </w:p>
    <w:p w14:paraId="7C10B9F4" w14:textId="77777777" w:rsidR="003D04E6" w:rsidRDefault="003D04E6" w:rsidP="005077A7">
      <w:pPr>
        <w:pStyle w:val="a"/>
        <w:rPr>
          <w:rFonts w:eastAsiaTheme="minorEastAsia" w:cstheme="minorBidi"/>
          <w:noProof/>
          <w:sz w:val="22"/>
          <w:szCs w:val="22"/>
          <w:rtl/>
        </w:rPr>
      </w:pPr>
      <w:r>
        <w:rPr>
          <w:noProof/>
          <w:rtl/>
        </w:rPr>
        <w:t>דברי המהר"ץ חיות דכו"ע מודו דרוב סימן כשר ונחלקו אם הוא מדין רובו ככולו</w:t>
      </w:r>
    </w:p>
    <w:p w14:paraId="28BAB01E" w14:textId="77777777" w:rsidR="003D04E6" w:rsidRDefault="003D04E6" w:rsidP="003D04E6">
      <w:pPr>
        <w:pStyle w:val="aff4"/>
        <w:rPr>
          <w:rFonts w:eastAsiaTheme="minorEastAsia" w:cstheme="minorBidi"/>
          <w:i/>
          <w:iCs/>
          <w:noProof/>
          <w:sz w:val="22"/>
          <w:szCs w:val="22"/>
          <w:rtl/>
        </w:rPr>
      </w:pPr>
      <w:bookmarkStart w:id="11839" w:name="_Toc19435778"/>
      <w:bookmarkStart w:id="11840" w:name="_Toc20081031"/>
      <w:r>
        <w:rPr>
          <w:noProof/>
          <w:rtl/>
        </w:rPr>
        <w:t>דעת הראשונים דלרבנן דין רובו ככולו מהני כששחט רק רוב</w:t>
      </w:r>
      <w:bookmarkEnd w:id="11839"/>
      <w:bookmarkEnd w:id="11840"/>
    </w:p>
    <w:p w14:paraId="1D0326B9" w14:textId="77777777" w:rsidR="003D04E6" w:rsidRDefault="003D04E6" w:rsidP="005077A7">
      <w:pPr>
        <w:pStyle w:val="a"/>
        <w:rPr>
          <w:rFonts w:eastAsiaTheme="minorEastAsia" w:cstheme="minorBidi"/>
          <w:noProof/>
          <w:sz w:val="22"/>
          <w:szCs w:val="22"/>
          <w:rtl/>
        </w:rPr>
      </w:pPr>
      <w:r>
        <w:rPr>
          <w:noProof/>
          <w:rtl/>
        </w:rPr>
        <w:t>ביאור הרא"ה והריטב"א דרבנן מודו לרובו ככולו בשחט רק רוב ופסלי כשהמשיך לשחוט בפסול</w:t>
      </w:r>
    </w:p>
    <w:p w14:paraId="1CF1470C" w14:textId="77777777" w:rsidR="003D04E6" w:rsidRDefault="003D04E6" w:rsidP="005077A7">
      <w:pPr>
        <w:pStyle w:val="a"/>
        <w:rPr>
          <w:rFonts w:eastAsiaTheme="minorEastAsia" w:cstheme="minorBidi"/>
          <w:noProof/>
          <w:sz w:val="22"/>
          <w:szCs w:val="22"/>
          <w:rtl/>
        </w:rPr>
      </w:pPr>
      <w:r>
        <w:rPr>
          <w:noProof/>
          <w:rtl/>
        </w:rPr>
        <w:t>דברי הריטב"א דאפש"ל לדעת רבנן מדאו' כשר מדין רובו ככולו והפסול הוא מדרבנן בעלמא</w:t>
      </w:r>
    </w:p>
    <w:p w14:paraId="6F3F67E8" w14:textId="77777777" w:rsidR="003D04E6" w:rsidRDefault="003D04E6" w:rsidP="005077A7">
      <w:pPr>
        <w:pStyle w:val="a"/>
        <w:rPr>
          <w:rFonts w:eastAsiaTheme="minorEastAsia" w:cstheme="minorBidi"/>
          <w:noProof/>
          <w:sz w:val="22"/>
          <w:szCs w:val="22"/>
          <w:rtl/>
        </w:rPr>
      </w:pPr>
      <w:r>
        <w:rPr>
          <w:noProof/>
          <w:rtl/>
        </w:rPr>
        <w:t>ביאור הראש יוסף דלרבנן צריך שכל השחיטה תהיה בכשרות ולכן ל"מ רובו ככולו להכשיר</w:t>
      </w:r>
    </w:p>
    <w:p w14:paraId="6E82133C" w14:textId="77777777" w:rsidR="003D04E6" w:rsidRDefault="003D04E6" w:rsidP="005077A7">
      <w:pPr>
        <w:pStyle w:val="a"/>
        <w:rPr>
          <w:rFonts w:eastAsiaTheme="minorEastAsia" w:cstheme="minorBidi"/>
          <w:noProof/>
          <w:sz w:val="22"/>
          <w:szCs w:val="22"/>
          <w:rtl/>
        </w:rPr>
      </w:pPr>
      <w:r>
        <w:rPr>
          <w:noProof/>
          <w:rtl/>
        </w:rPr>
        <w:t>דברי הראש יוסף והחת"ס דברש"י מבואר דהפסול הוא כיון שגמר את השחיטה בפסול</w:t>
      </w:r>
    </w:p>
    <w:p w14:paraId="0F28CAA1" w14:textId="77777777" w:rsidR="003D04E6" w:rsidRDefault="003D04E6" w:rsidP="005077A7">
      <w:pPr>
        <w:pStyle w:val="a"/>
        <w:rPr>
          <w:rFonts w:eastAsiaTheme="minorEastAsia" w:cstheme="minorBidi"/>
          <w:noProof/>
          <w:sz w:val="22"/>
          <w:szCs w:val="22"/>
          <w:rtl/>
        </w:rPr>
      </w:pPr>
      <w:r>
        <w:rPr>
          <w:noProof/>
          <w:rtl/>
        </w:rPr>
        <w:t>דברי רש"י לקמן דאסור לגמור שחיטה בפסול אף ששחט את הרוב בהכשר</w:t>
      </w:r>
    </w:p>
    <w:p w14:paraId="2AF23045" w14:textId="77777777" w:rsidR="003D04E6" w:rsidRDefault="003D04E6" w:rsidP="003D04E6">
      <w:pPr>
        <w:pStyle w:val="aff4"/>
        <w:rPr>
          <w:rFonts w:eastAsiaTheme="minorEastAsia" w:cstheme="minorBidi"/>
          <w:i/>
          <w:iCs/>
          <w:noProof/>
          <w:sz w:val="22"/>
          <w:szCs w:val="22"/>
          <w:rtl/>
        </w:rPr>
      </w:pPr>
      <w:bookmarkStart w:id="11841" w:name="_Toc19435779"/>
      <w:bookmarkStart w:id="11842" w:name="_Toc20081032"/>
      <w:r>
        <w:rPr>
          <w:noProof/>
          <w:rtl/>
        </w:rPr>
        <w:t>ישוב החת"ס בסתירת דברי רש"י</w:t>
      </w:r>
      <w:bookmarkEnd w:id="11841"/>
      <w:bookmarkEnd w:id="11842"/>
    </w:p>
    <w:p w14:paraId="2832A03C" w14:textId="77777777" w:rsidR="003D04E6" w:rsidRDefault="003D04E6" w:rsidP="005077A7">
      <w:pPr>
        <w:pStyle w:val="a"/>
        <w:rPr>
          <w:rFonts w:eastAsiaTheme="minorEastAsia" w:cstheme="minorBidi"/>
          <w:noProof/>
          <w:sz w:val="22"/>
          <w:szCs w:val="22"/>
          <w:rtl/>
        </w:rPr>
      </w:pPr>
      <w:r>
        <w:rPr>
          <w:noProof/>
          <w:rtl/>
        </w:rPr>
        <w:t>קושית החת"ס דהא ביאר רש"י את המשנה כל"ק ולל"ק אינו מחמת שגמר את השחיטה בפסול</w:t>
      </w:r>
    </w:p>
    <w:p w14:paraId="3939D71E" w14:textId="77777777" w:rsidR="003D04E6" w:rsidRDefault="003D04E6" w:rsidP="005077A7">
      <w:pPr>
        <w:pStyle w:val="a"/>
        <w:rPr>
          <w:rFonts w:eastAsiaTheme="minorEastAsia" w:cstheme="minorBidi"/>
          <w:noProof/>
          <w:sz w:val="22"/>
          <w:szCs w:val="22"/>
        </w:rPr>
      </w:pPr>
      <w:r>
        <w:rPr>
          <w:noProof/>
          <w:rtl/>
        </w:rPr>
        <w:t>ביאור החת"ס דס"ל לרש"י דלחומרא אמרינן דהגרמה מקום שחיטה ומיעוט בתרא פוסל</w:t>
      </w:r>
    </w:p>
    <w:p w14:paraId="7AFE7203" w14:textId="77777777" w:rsidR="003D04E6" w:rsidRDefault="003D04E6" w:rsidP="005077A7">
      <w:pPr>
        <w:pStyle w:val="a"/>
        <w:rPr>
          <w:rFonts w:eastAsiaTheme="minorEastAsia" w:cstheme="minorBidi"/>
          <w:noProof/>
          <w:sz w:val="22"/>
          <w:szCs w:val="22"/>
          <w:rtl/>
        </w:rPr>
      </w:pPr>
      <w:r>
        <w:rPr>
          <w:noProof/>
          <w:rtl/>
        </w:rPr>
        <w:t>ביאור החת"ס דלדידן א"צ לומר כביאור הגמ' ברב הונא דלל"ק נחלקו בדין רובו ככולו</w:t>
      </w:r>
    </w:p>
    <w:p w14:paraId="0E68CE4F" w14:textId="77777777" w:rsidR="003D04E6" w:rsidRDefault="003D04E6" w:rsidP="005077A7">
      <w:pPr>
        <w:pStyle w:val="a"/>
        <w:rPr>
          <w:rFonts w:eastAsiaTheme="minorEastAsia" w:cstheme="minorBidi"/>
          <w:noProof/>
          <w:sz w:val="22"/>
          <w:szCs w:val="22"/>
          <w:rtl/>
        </w:rPr>
      </w:pPr>
      <w:r>
        <w:rPr>
          <w:noProof/>
          <w:rtl/>
        </w:rPr>
        <w:t>דברי החת"ס דלדידן דלחומרא ההגרמה היא כמקום שחיטה אף לרבנן מהני בשחיטה רובו ככולו</w:t>
      </w:r>
    </w:p>
    <w:p w14:paraId="65BF71DB" w14:textId="77777777" w:rsidR="003D04E6" w:rsidRDefault="003D04E6" w:rsidP="003D04E6">
      <w:pPr>
        <w:pStyle w:val="2"/>
        <w:rPr>
          <w:rFonts w:eastAsiaTheme="minorEastAsia" w:cstheme="minorBidi"/>
          <w:i/>
          <w:iCs/>
          <w:noProof/>
          <w:sz w:val="22"/>
          <w:szCs w:val="22"/>
          <w:rtl/>
        </w:rPr>
      </w:pPr>
      <w:bookmarkStart w:id="11843" w:name="_Toc19435780"/>
      <w:r>
        <w:rPr>
          <w:rFonts w:hint="cs"/>
          <w:noProof/>
          <w:rtl/>
        </w:rPr>
        <w:t>מוגרמת ד</w:t>
      </w:r>
      <w:r>
        <w:rPr>
          <w:noProof/>
          <w:rtl/>
        </w:rPr>
        <w:t>רב ושמואל</w:t>
      </w:r>
      <w:bookmarkEnd w:id="11843"/>
    </w:p>
    <w:p w14:paraId="7C7FD17F" w14:textId="77777777" w:rsidR="003D04E6" w:rsidRDefault="003D04E6" w:rsidP="003D04E6">
      <w:pPr>
        <w:pStyle w:val="aff4"/>
        <w:rPr>
          <w:rFonts w:eastAsiaTheme="minorEastAsia" w:cstheme="minorBidi"/>
          <w:i/>
          <w:iCs/>
          <w:noProof/>
          <w:sz w:val="22"/>
          <w:szCs w:val="22"/>
          <w:rtl/>
        </w:rPr>
      </w:pPr>
      <w:bookmarkStart w:id="11844" w:name="_Toc19435781"/>
      <w:bookmarkStart w:id="11845" w:name="_Toc20081033"/>
      <w:r>
        <w:rPr>
          <w:noProof/>
          <w:rtl/>
        </w:rPr>
        <w:t>ביאור רש"י דדברי רב ושמואל הם בדין שחיטה ולא בהגרמה</w:t>
      </w:r>
      <w:bookmarkEnd w:id="11844"/>
      <w:bookmarkEnd w:id="11845"/>
    </w:p>
    <w:p w14:paraId="4E94E767" w14:textId="77777777" w:rsidR="003D04E6" w:rsidRDefault="003D04E6" w:rsidP="005077A7">
      <w:pPr>
        <w:pStyle w:val="a"/>
        <w:rPr>
          <w:rFonts w:eastAsiaTheme="minorEastAsia" w:cstheme="minorBidi"/>
          <w:noProof/>
          <w:sz w:val="22"/>
          <w:szCs w:val="22"/>
          <w:rtl/>
        </w:rPr>
      </w:pPr>
      <w:r>
        <w:rPr>
          <w:noProof/>
          <w:rtl/>
        </w:rPr>
        <w:t>ביאור רש"י דרובו ככולו מהני רק בשחיטת הרוב במקום שחיטה ולא מהני להחשיב מקום שחיטה</w:t>
      </w:r>
    </w:p>
    <w:p w14:paraId="417E3468" w14:textId="77777777" w:rsidR="003D04E6" w:rsidRDefault="003D04E6" w:rsidP="005077A7">
      <w:pPr>
        <w:pStyle w:val="a"/>
        <w:rPr>
          <w:rFonts w:eastAsiaTheme="minorEastAsia" w:cstheme="minorBidi"/>
          <w:noProof/>
          <w:sz w:val="22"/>
          <w:szCs w:val="22"/>
          <w:rtl/>
        </w:rPr>
      </w:pPr>
      <w:r>
        <w:rPr>
          <w:noProof/>
          <w:rtl/>
        </w:rPr>
        <w:t>דברי רש"י דדין רובו ככולו לא מהני להחשיב את מקום שאר הטבעות למקום שחיטה</w:t>
      </w:r>
    </w:p>
    <w:p w14:paraId="21AD5964" w14:textId="77777777" w:rsidR="003D04E6" w:rsidRDefault="003D04E6" w:rsidP="005077A7">
      <w:pPr>
        <w:pStyle w:val="a"/>
        <w:rPr>
          <w:rFonts w:eastAsiaTheme="minorEastAsia" w:cstheme="minorBidi"/>
          <w:noProof/>
          <w:sz w:val="22"/>
          <w:szCs w:val="22"/>
          <w:rtl/>
        </w:rPr>
      </w:pPr>
      <w:r>
        <w:rPr>
          <w:noProof/>
          <w:rtl/>
        </w:rPr>
        <w:t>ביאור השיטמ"ק ברש"י דבמקום שאר הטבעות הקרום שנקרא קנה בטל לטבעת ואינו מקום שחיטה</w:t>
      </w:r>
    </w:p>
    <w:p w14:paraId="124B227B" w14:textId="77777777" w:rsidR="003D04E6" w:rsidRDefault="003D04E6" w:rsidP="005077A7">
      <w:pPr>
        <w:pStyle w:val="a"/>
        <w:rPr>
          <w:rFonts w:eastAsiaTheme="minorEastAsia" w:cstheme="minorBidi"/>
          <w:noProof/>
          <w:sz w:val="22"/>
          <w:szCs w:val="22"/>
          <w:rtl/>
        </w:rPr>
      </w:pPr>
      <w:r>
        <w:rPr>
          <w:noProof/>
          <w:rtl/>
        </w:rPr>
        <w:t>דברי רש"י דמוגרמת דרב ושמואל היינו ששחט שלא במקום שחיטה</w:t>
      </w:r>
    </w:p>
    <w:p w14:paraId="6776714B" w14:textId="77777777" w:rsidR="003D04E6" w:rsidRDefault="003D04E6" w:rsidP="005077A7">
      <w:pPr>
        <w:pStyle w:val="a"/>
        <w:rPr>
          <w:rFonts w:eastAsiaTheme="minorEastAsia" w:cstheme="minorBidi"/>
          <w:noProof/>
          <w:sz w:val="22"/>
          <w:szCs w:val="22"/>
          <w:rtl/>
        </w:rPr>
      </w:pPr>
      <w:r>
        <w:rPr>
          <w:noProof/>
          <w:rtl/>
        </w:rPr>
        <w:t>ביאור הרמב"ן ברש"י דרב ושמואל פסלי דאינו מקום שחיטה ולא מדין הגרמה</w:t>
      </w:r>
    </w:p>
    <w:p w14:paraId="45E53552" w14:textId="77777777" w:rsidR="003D04E6" w:rsidRDefault="003D04E6" w:rsidP="005077A7">
      <w:pPr>
        <w:pStyle w:val="a"/>
        <w:rPr>
          <w:rFonts w:eastAsiaTheme="minorEastAsia" w:cstheme="minorBidi"/>
          <w:noProof/>
          <w:sz w:val="22"/>
          <w:szCs w:val="22"/>
          <w:rtl/>
        </w:rPr>
      </w:pPr>
      <w:r>
        <w:rPr>
          <w:noProof/>
          <w:rtl/>
        </w:rPr>
        <w:t>ביאור רש"י דלרבר"י ע"י שרוב הטבעת מקיפה את הקנה חשיב מקום שחיטה מדין רובו ככולו</w:t>
      </w:r>
    </w:p>
    <w:p w14:paraId="053B53EC" w14:textId="77777777" w:rsidR="003D04E6" w:rsidRDefault="003D04E6" w:rsidP="003D04E6">
      <w:pPr>
        <w:pStyle w:val="aff4"/>
      </w:pPr>
      <w:bookmarkStart w:id="11846" w:name="_Toc19435782"/>
      <w:bookmarkStart w:id="11847" w:name="_Toc20081034"/>
      <w:r>
        <w:rPr>
          <w:rFonts w:hint="cs"/>
          <w:rtl/>
        </w:rPr>
        <w:t>דברי התוס' בביאור דברי רש"י</w:t>
      </w:r>
      <w:bookmarkEnd w:id="11846"/>
      <w:bookmarkEnd w:id="11847"/>
    </w:p>
    <w:p w14:paraId="500F4300" w14:textId="77777777" w:rsidR="003D04E6" w:rsidRDefault="003D04E6" w:rsidP="005077A7">
      <w:pPr>
        <w:pStyle w:val="a"/>
        <w:rPr>
          <w:rFonts w:eastAsiaTheme="minorEastAsia" w:cstheme="minorBidi"/>
          <w:noProof/>
          <w:sz w:val="22"/>
          <w:szCs w:val="22"/>
          <w:rtl/>
        </w:rPr>
      </w:pPr>
      <w:r>
        <w:rPr>
          <w:noProof/>
          <w:rtl/>
        </w:rPr>
        <w:t>דברי התוס' דלרש"י לרב ושמואל כ"ש דלדעת לרבנן שאר הטבעות אינו מקום שחיטה</w:t>
      </w:r>
    </w:p>
    <w:p w14:paraId="748A2EAA" w14:textId="77777777" w:rsidR="003D04E6" w:rsidRDefault="003D04E6" w:rsidP="005077A7">
      <w:pPr>
        <w:pStyle w:val="a"/>
        <w:rPr>
          <w:rFonts w:eastAsiaTheme="minorEastAsia" w:cstheme="minorBidi"/>
          <w:noProof/>
          <w:sz w:val="22"/>
          <w:szCs w:val="22"/>
          <w:rtl/>
        </w:rPr>
      </w:pPr>
      <w:r>
        <w:rPr>
          <w:noProof/>
          <w:rtl/>
        </w:rPr>
        <w:t>דברי התוס' והתוס' הרא"ש דלא קיי"ל כרב ושמואל בזה</w:t>
      </w:r>
    </w:p>
    <w:p w14:paraId="742D1D86" w14:textId="77777777" w:rsidR="003D04E6" w:rsidRDefault="003D04E6" w:rsidP="005077A7">
      <w:pPr>
        <w:pStyle w:val="a"/>
        <w:rPr>
          <w:rFonts w:eastAsiaTheme="minorEastAsia" w:cstheme="minorBidi"/>
          <w:noProof/>
          <w:sz w:val="22"/>
          <w:szCs w:val="22"/>
          <w:rtl/>
        </w:rPr>
      </w:pPr>
      <w:r>
        <w:rPr>
          <w:noProof/>
          <w:rtl/>
        </w:rPr>
        <w:t>ביאור התוס' והתוס' הרא"ש בתוספתא דמקום קנה היינו רק בין הטבעות</w:t>
      </w:r>
    </w:p>
    <w:p w14:paraId="01D2A1EF" w14:textId="77777777" w:rsidR="003D04E6" w:rsidRDefault="003D04E6" w:rsidP="005077A7">
      <w:pPr>
        <w:pStyle w:val="a"/>
        <w:rPr>
          <w:rFonts w:eastAsiaTheme="minorEastAsia" w:cstheme="minorBidi"/>
          <w:noProof/>
          <w:sz w:val="22"/>
          <w:szCs w:val="22"/>
          <w:rtl/>
        </w:rPr>
      </w:pPr>
      <w:r>
        <w:rPr>
          <w:noProof/>
          <w:rtl/>
        </w:rPr>
        <w:t>קושית התוס' על רש"י דבתוספתא מבואר דלמטה מטבעת הגדולה אי"ז הגרמה</w:t>
      </w:r>
    </w:p>
    <w:p w14:paraId="089AF1DE" w14:textId="77777777" w:rsidR="003D04E6" w:rsidRDefault="003D04E6" w:rsidP="005077A7">
      <w:pPr>
        <w:pStyle w:val="a"/>
        <w:rPr>
          <w:rFonts w:eastAsiaTheme="minorEastAsia" w:cstheme="minorBidi"/>
          <w:noProof/>
          <w:sz w:val="22"/>
          <w:szCs w:val="22"/>
          <w:rtl/>
        </w:rPr>
      </w:pPr>
      <w:r>
        <w:rPr>
          <w:noProof/>
          <w:rtl/>
        </w:rPr>
        <w:t>ביאור התוס' דכוונת התוספתא דאף ששייכא הגרמה למטה מ"מ א"צ לשייר מלא החוט</w:t>
      </w:r>
    </w:p>
    <w:p w14:paraId="3B3D934A" w14:textId="77777777" w:rsidR="003D04E6" w:rsidRDefault="003D04E6" w:rsidP="003D04E6">
      <w:pPr>
        <w:pStyle w:val="aff4"/>
        <w:rPr>
          <w:rFonts w:eastAsiaTheme="minorEastAsia" w:cstheme="minorBidi"/>
          <w:i/>
          <w:iCs/>
          <w:noProof/>
          <w:sz w:val="22"/>
          <w:szCs w:val="22"/>
          <w:rtl/>
        </w:rPr>
      </w:pPr>
      <w:bookmarkStart w:id="11848" w:name="_Toc19435783"/>
      <w:bookmarkStart w:id="11849" w:name="_Toc20081035"/>
      <w:r>
        <w:rPr>
          <w:noProof/>
          <w:rtl/>
        </w:rPr>
        <w:t>קושיות הראשונים על רש"י דאף בשאר הטבעות השחיטה כשרה</w:t>
      </w:r>
      <w:bookmarkEnd w:id="11848"/>
      <w:bookmarkEnd w:id="11849"/>
    </w:p>
    <w:p w14:paraId="44484CD9" w14:textId="77777777" w:rsidR="003D04E6" w:rsidRDefault="003D04E6" w:rsidP="005077A7">
      <w:pPr>
        <w:pStyle w:val="a"/>
        <w:rPr>
          <w:rFonts w:eastAsiaTheme="minorEastAsia" w:cstheme="minorBidi"/>
          <w:noProof/>
          <w:sz w:val="22"/>
          <w:szCs w:val="22"/>
          <w:rtl/>
        </w:rPr>
      </w:pPr>
      <w:r>
        <w:rPr>
          <w:noProof/>
          <w:rtl/>
        </w:rPr>
        <w:t>קושית הרמב"ן והרשב"א והר"ן דלרש"י צריך לקרוע את העור כדי לשחוט בין הטבעות</w:t>
      </w:r>
    </w:p>
    <w:p w14:paraId="24B8FC9F" w14:textId="77777777" w:rsidR="003D04E6" w:rsidRDefault="003D04E6" w:rsidP="005077A7">
      <w:pPr>
        <w:pStyle w:val="a"/>
        <w:rPr>
          <w:rFonts w:eastAsiaTheme="minorEastAsia" w:cstheme="minorBidi"/>
          <w:noProof/>
          <w:sz w:val="22"/>
          <w:szCs w:val="22"/>
          <w:rtl/>
        </w:rPr>
      </w:pPr>
      <w:r>
        <w:rPr>
          <w:noProof/>
          <w:rtl/>
        </w:rPr>
        <w:t>קושית הרשב"א והריטב"א דבלא בדיקה והשגחה גדולה הבהמה בחזקת איסור</w:t>
      </w:r>
    </w:p>
    <w:p w14:paraId="67C026CB" w14:textId="77777777" w:rsidR="003D04E6" w:rsidRDefault="003D04E6" w:rsidP="005077A7">
      <w:pPr>
        <w:pStyle w:val="a"/>
        <w:rPr>
          <w:rFonts w:eastAsiaTheme="minorEastAsia" w:cstheme="minorBidi"/>
          <w:noProof/>
          <w:sz w:val="22"/>
          <w:szCs w:val="22"/>
          <w:rtl/>
        </w:rPr>
      </w:pPr>
      <w:r>
        <w:rPr>
          <w:noProof/>
          <w:rtl/>
        </w:rPr>
        <w:t>קושית הרשב"א והתוס' הרא"ש דבמשנה לקמן מפורש דכל הצואר כשר</w:t>
      </w:r>
    </w:p>
    <w:p w14:paraId="519D1B14" w14:textId="77777777" w:rsidR="003D04E6" w:rsidRDefault="003D04E6" w:rsidP="005077A7">
      <w:pPr>
        <w:pStyle w:val="a"/>
        <w:rPr>
          <w:rFonts w:eastAsiaTheme="minorEastAsia" w:cstheme="minorBidi"/>
          <w:noProof/>
          <w:sz w:val="22"/>
          <w:szCs w:val="22"/>
          <w:rtl/>
        </w:rPr>
      </w:pPr>
      <w:r>
        <w:rPr>
          <w:noProof/>
          <w:rtl/>
        </w:rPr>
        <w:t>קושית הרשב"א והר"ן דקיי"ל כרב ושמואל ולא מצינו שיש בקנה מקום הפסול לשחיטה</w:t>
      </w:r>
    </w:p>
    <w:p w14:paraId="1324A63C" w14:textId="77777777" w:rsidR="003D04E6" w:rsidRDefault="003D04E6" w:rsidP="005077A7">
      <w:pPr>
        <w:pStyle w:val="a"/>
        <w:rPr>
          <w:rFonts w:eastAsiaTheme="minorEastAsia" w:cstheme="minorBidi"/>
          <w:noProof/>
          <w:sz w:val="22"/>
          <w:szCs w:val="22"/>
          <w:rtl/>
        </w:rPr>
      </w:pPr>
      <w:r>
        <w:rPr>
          <w:noProof/>
          <w:rtl/>
        </w:rPr>
        <w:t>תירוץ הריטב"א דלדידן מוגרמת דרב ושמואל מותרת</w:t>
      </w:r>
    </w:p>
    <w:p w14:paraId="000A08B8" w14:textId="77777777" w:rsidR="003D04E6" w:rsidRDefault="003D04E6" w:rsidP="005077A7">
      <w:pPr>
        <w:pStyle w:val="a"/>
        <w:rPr>
          <w:rFonts w:eastAsiaTheme="minorEastAsia" w:cstheme="minorBidi"/>
          <w:noProof/>
          <w:sz w:val="22"/>
          <w:szCs w:val="22"/>
          <w:rtl/>
        </w:rPr>
      </w:pPr>
      <w:r>
        <w:rPr>
          <w:noProof/>
          <w:rtl/>
        </w:rPr>
        <w:t>דברי רש"י ותוס' דלא קיי"ל כרב ושמואל אלא כרחב"א דהכשיר בהגרמה</w:t>
      </w:r>
    </w:p>
    <w:p w14:paraId="1BFD21CF" w14:textId="77777777" w:rsidR="003D04E6" w:rsidRDefault="003D04E6" w:rsidP="003D04E6">
      <w:pPr>
        <w:pStyle w:val="aff4"/>
        <w:rPr>
          <w:rFonts w:eastAsiaTheme="minorEastAsia" w:cstheme="minorBidi"/>
          <w:i/>
          <w:iCs/>
          <w:noProof/>
          <w:sz w:val="22"/>
          <w:szCs w:val="22"/>
          <w:rtl/>
        </w:rPr>
      </w:pPr>
      <w:bookmarkStart w:id="11850" w:name="_Toc19435784"/>
      <w:bookmarkStart w:id="11851" w:name="_Toc20081036"/>
      <w:r>
        <w:rPr>
          <w:noProof/>
          <w:rtl/>
        </w:rPr>
        <w:t>ביאור דברי רב ושמואל לדעת הי"מ ברש"י</w:t>
      </w:r>
      <w:bookmarkEnd w:id="11850"/>
      <w:bookmarkEnd w:id="11851"/>
    </w:p>
    <w:p w14:paraId="5906C70F" w14:textId="77777777" w:rsidR="003D04E6" w:rsidRDefault="003D04E6" w:rsidP="005077A7">
      <w:pPr>
        <w:pStyle w:val="a"/>
        <w:rPr>
          <w:rFonts w:eastAsiaTheme="minorEastAsia" w:cstheme="minorBidi"/>
          <w:noProof/>
          <w:sz w:val="22"/>
          <w:szCs w:val="22"/>
          <w:rtl/>
        </w:rPr>
      </w:pPr>
      <w:r>
        <w:rPr>
          <w:noProof/>
          <w:rtl/>
        </w:rPr>
        <w:t>דברי רש"י דלהי"מ אמרו רב ושמואל דבשאר הטבעות מודה ריבר"י דבהגרים פסול דאינם רוב קנה</w:t>
      </w:r>
    </w:p>
    <w:p w14:paraId="740F6F26" w14:textId="77777777" w:rsidR="003D04E6" w:rsidRDefault="003D04E6" w:rsidP="005077A7">
      <w:pPr>
        <w:pStyle w:val="a"/>
        <w:rPr>
          <w:rFonts w:eastAsiaTheme="minorEastAsia" w:cstheme="minorBidi"/>
          <w:noProof/>
          <w:sz w:val="22"/>
          <w:szCs w:val="22"/>
          <w:rtl/>
        </w:rPr>
      </w:pPr>
      <w:r>
        <w:rPr>
          <w:noProof/>
          <w:rtl/>
        </w:rPr>
        <w:t>דחיית רש"י דפשיטא דבשחט רק את רוב שאר הטבעות לא מהני שחיטה</w:t>
      </w:r>
    </w:p>
    <w:p w14:paraId="0F2809CE" w14:textId="77777777" w:rsidR="003D04E6" w:rsidRDefault="003D04E6" w:rsidP="005077A7">
      <w:pPr>
        <w:pStyle w:val="a"/>
        <w:rPr>
          <w:rFonts w:eastAsiaTheme="minorEastAsia" w:cstheme="minorBidi"/>
          <w:noProof/>
          <w:sz w:val="22"/>
          <w:szCs w:val="22"/>
          <w:rtl/>
        </w:rPr>
      </w:pPr>
      <w:r>
        <w:rPr>
          <w:noProof/>
          <w:rtl/>
        </w:rPr>
        <w:t>דברי רש"י דבתוספתא לא מבואר דאיירי בהגרמה דאינו תלוי ברוב ומיעוט דאיתא בתוספתא</w:t>
      </w:r>
    </w:p>
    <w:p w14:paraId="0E0CE733" w14:textId="77777777" w:rsidR="003D04E6" w:rsidRDefault="003D04E6" w:rsidP="003D04E6">
      <w:pPr>
        <w:pStyle w:val="aff4"/>
        <w:rPr>
          <w:rFonts w:eastAsiaTheme="minorEastAsia" w:cstheme="minorBidi"/>
          <w:i/>
          <w:iCs/>
          <w:noProof/>
          <w:sz w:val="22"/>
          <w:szCs w:val="22"/>
          <w:rtl/>
        </w:rPr>
      </w:pPr>
      <w:bookmarkStart w:id="11852" w:name="_Toc19435785"/>
      <w:bookmarkStart w:id="11853" w:name="_Toc20081037"/>
      <w:r>
        <w:rPr>
          <w:noProof/>
          <w:rtl/>
        </w:rPr>
        <w:t>קושית התוס' הרא"ש על הי"מ רש"י</w:t>
      </w:r>
      <w:bookmarkEnd w:id="11852"/>
      <w:bookmarkEnd w:id="11853"/>
    </w:p>
    <w:p w14:paraId="200E4E52" w14:textId="77777777" w:rsidR="003D04E6" w:rsidRDefault="003D04E6" w:rsidP="005077A7">
      <w:pPr>
        <w:pStyle w:val="a"/>
        <w:rPr>
          <w:rFonts w:eastAsiaTheme="minorEastAsia" w:cstheme="minorBidi"/>
          <w:noProof/>
          <w:sz w:val="22"/>
          <w:szCs w:val="22"/>
          <w:rtl/>
        </w:rPr>
      </w:pPr>
      <w:r>
        <w:rPr>
          <w:noProof/>
          <w:rtl/>
        </w:rPr>
        <w:t>קושית רבינו מאיר דלדברי הי"מ קושית הגמ' מהתוספתא קשה על המשנה</w:t>
      </w:r>
    </w:p>
    <w:p w14:paraId="5FDF5B81" w14:textId="77777777" w:rsidR="003D04E6" w:rsidRDefault="003D04E6" w:rsidP="005077A7">
      <w:pPr>
        <w:pStyle w:val="a"/>
        <w:rPr>
          <w:rFonts w:eastAsiaTheme="minorEastAsia" w:cstheme="minorBidi"/>
          <w:noProof/>
          <w:sz w:val="22"/>
          <w:szCs w:val="22"/>
          <w:rtl/>
        </w:rPr>
      </w:pPr>
      <w:r>
        <w:rPr>
          <w:noProof/>
          <w:rtl/>
        </w:rPr>
        <w:t>תירוץ רבינו מאיר דריבר"י ס"ל דאין הגרמה בשאר טבות ותירוץ התורא"ש דכן אפש"ל במשנה</w:t>
      </w:r>
    </w:p>
    <w:p w14:paraId="16C65B27" w14:textId="77777777" w:rsidR="003D04E6" w:rsidRDefault="003D04E6" w:rsidP="003D04E6">
      <w:pPr>
        <w:pStyle w:val="aff4"/>
        <w:rPr>
          <w:rFonts w:eastAsiaTheme="minorEastAsia" w:cstheme="minorBidi"/>
          <w:i/>
          <w:iCs/>
          <w:noProof/>
          <w:sz w:val="22"/>
          <w:szCs w:val="22"/>
          <w:rtl/>
        </w:rPr>
      </w:pPr>
      <w:bookmarkStart w:id="11854" w:name="_Toc19435786"/>
      <w:bookmarkStart w:id="11855" w:name="_Toc20081038"/>
      <w:r>
        <w:rPr>
          <w:noProof/>
          <w:rtl/>
        </w:rPr>
        <w:t>דברי המהרש"א דהי"מ ס"ל דרוב טבעות הוי רוב קנה</w:t>
      </w:r>
      <w:bookmarkEnd w:id="11854"/>
      <w:bookmarkEnd w:id="11855"/>
    </w:p>
    <w:p w14:paraId="52A3A13D" w14:textId="77777777" w:rsidR="003D04E6" w:rsidRDefault="003D04E6" w:rsidP="005077A7">
      <w:pPr>
        <w:pStyle w:val="a"/>
        <w:rPr>
          <w:rFonts w:eastAsiaTheme="minorEastAsia" w:cstheme="minorBidi"/>
          <w:noProof/>
          <w:sz w:val="22"/>
          <w:szCs w:val="22"/>
          <w:rtl/>
        </w:rPr>
      </w:pPr>
      <w:r>
        <w:rPr>
          <w:noProof/>
          <w:rtl/>
        </w:rPr>
        <w:t>דברי המהרש"א דלי"מ אפש"ל דלרבר"י רוב טבעות הוי רוב קנה כתוס' והבעה"מ והרא"ש</w:t>
      </w:r>
    </w:p>
    <w:p w14:paraId="6A6D723B" w14:textId="77777777" w:rsidR="003D04E6" w:rsidRDefault="003D04E6" w:rsidP="005077A7">
      <w:pPr>
        <w:pStyle w:val="a"/>
        <w:rPr>
          <w:rFonts w:eastAsiaTheme="minorEastAsia" w:cstheme="minorBidi"/>
          <w:noProof/>
          <w:sz w:val="22"/>
          <w:szCs w:val="22"/>
        </w:rPr>
      </w:pPr>
      <w:r>
        <w:rPr>
          <w:noProof/>
          <w:rtl/>
        </w:rPr>
        <w:t>דברי המהרש"א דס"ל לרש"י דלי"מ התוספתא לא איירי בהגרמה ולא קשה על רב ושמואל</w:t>
      </w:r>
    </w:p>
    <w:p w14:paraId="03C42FCF" w14:textId="77777777" w:rsidR="003D04E6" w:rsidRDefault="003D04E6" w:rsidP="005077A7">
      <w:pPr>
        <w:pStyle w:val="a"/>
        <w:rPr>
          <w:rtl/>
        </w:rPr>
      </w:pPr>
      <w:bookmarkStart w:id="11856" w:name="_Ref532116106"/>
      <w:r>
        <w:rPr>
          <w:rFonts w:hint="cs"/>
          <w:rtl/>
        </w:rPr>
        <w:t>קושית הראש יוסף דאי רוב טבעת הוי רוב סימן ממילא אף לענין הגרמה מכשיר ריבר"י</w:t>
      </w:r>
      <w:bookmarkEnd w:id="11856"/>
    </w:p>
    <w:p w14:paraId="186ABAAB" w14:textId="77777777" w:rsidR="003D04E6" w:rsidRDefault="003D04E6" w:rsidP="003D04E6">
      <w:pPr>
        <w:pStyle w:val="aff4"/>
        <w:rPr>
          <w:rFonts w:eastAsiaTheme="minorEastAsia" w:cstheme="minorBidi"/>
          <w:i/>
          <w:iCs/>
          <w:noProof/>
          <w:sz w:val="22"/>
          <w:szCs w:val="22"/>
          <w:rtl/>
        </w:rPr>
      </w:pPr>
      <w:bookmarkStart w:id="11857" w:name="_Toc19435787"/>
      <w:bookmarkStart w:id="11858" w:name="_Toc20081039"/>
      <w:r>
        <w:rPr>
          <w:noProof/>
          <w:rtl/>
        </w:rPr>
        <w:t>פירוש הלשון הג' ברש"י דבשאר טבעות פוסל רבר"י מגזירה</w:t>
      </w:r>
      <w:bookmarkEnd w:id="11857"/>
      <w:bookmarkEnd w:id="11858"/>
    </w:p>
    <w:p w14:paraId="5187FAE0" w14:textId="77777777" w:rsidR="003D04E6" w:rsidRDefault="003D04E6" w:rsidP="005077A7">
      <w:pPr>
        <w:pStyle w:val="a"/>
        <w:rPr>
          <w:rFonts w:eastAsiaTheme="minorEastAsia" w:cstheme="minorBidi"/>
          <w:noProof/>
          <w:sz w:val="22"/>
          <w:szCs w:val="22"/>
          <w:rtl/>
        </w:rPr>
      </w:pPr>
      <w:r>
        <w:rPr>
          <w:noProof/>
          <w:rtl/>
        </w:rPr>
        <w:t>ביאור הלשון הג' ברש"י דגזר ריבר"י ברוב חלל קנה בשאר טבעות שמא לא ישחט רק רוב טבעת</w:t>
      </w:r>
    </w:p>
    <w:p w14:paraId="68B04B86" w14:textId="77777777" w:rsidR="003D04E6" w:rsidRDefault="003D04E6" w:rsidP="005077A7">
      <w:pPr>
        <w:pStyle w:val="a"/>
        <w:rPr>
          <w:rFonts w:eastAsiaTheme="minorEastAsia" w:cstheme="minorBidi"/>
          <w:noProof/>
          <w:sz w:val="22"/>
          <w:szCs w:val="22"/>
          <w:rtl/>
        </w:rPr>
      </w:pPr>
      <w:r>
        <w:rPr>
          <w:noProof/>
          <w:rtl/>
        </w:rPr>
        <w:t>דחיית רש"י דלא מבואר כן ברב ושמואל ובתוספתא מוכח דא"א לפרש כן</w:t>
      </w:r>
    </w:p>
    <w:p w14:paraId="4E4E3FF3" w14:textId="77777777" w:rsidR="003D04E6" w:rsidRDefault="003D04E6" w:rsidP="003D04E6">
      <w:pPr>
        <w:pStyle w:val="aff4"/>
        <w:rPr>
          <w:rFonts w:eastAsiaTheme="minorEastAsia" w:cstheme="minorBidi"/>
          <w:i/>
          <w:iCs/>
          <w:noProof/>
          <w:sz w:val="22"/>
          <w:szCs w:val="22"/>
          <w:rtl/>
        </w:rPr>
      </w:pPr>
      <w:bookmarkStart w:id="11859" w:name="_Toc19435788"/>
      <w:bookmarkStart w:id="11860" w:name="_Toc20081040"/>
      <w:r>
        <w:rPr>
          <w:noProof/>
          <w:rtl/>
        </w:rPr>
        <w:t>דברי רש"י דלהלכה אין נ"מ מביאור דברי רב ושמואל</w:t>
      </w:r>
      <w:bookmarkEnd w:id="11859"/>
      <w:bookmarkEnd w:id="11860"/>
    </w:p>
    <w:p w14:paraId="2AF8392D" w14:textId="77777777" w:rsidR="003D04E6" w:rsidRDefault="003D04E6" w:rsidP="005077A7">
      <w:pPr>
        <w:pStyle w:val="a"/>
        <w:rPr>
          <w:rFonts w:eastAsiaTheme="minorEastAsia" w:cstheme="minorBidi"/>
          <w:noProof/>
          <w:sz w:val="22"/>
          <w:szCs w:val="22"/>
          <w:rtl/>
        </w:rPr>
      </w:pPr>
      <w:r>
        <w:rPr>
          <w:noProof/>
          <w:rtl/>
        </w:rPr>
        <w:t>דברי רש"י דלהלכה קיי"ל כרחב"א דחשיב מקום שחיטה ואין נ"מ מרב ושמואל</w:t>
      </w:r>
    </w:p>
    <w:p w14:paraId="0FB63C68" w14:textId="77777777" w:rsidR="003D04E6" w:rsidRDefault="003D04E6" w:rsidP="005077A7">
      <w:pPr>
        <w:pStyle w:val="a"/>
        <w:rPr>
          <w:rFonts w:eastAsiaTheme="minorEastAsia" w:cstheme="minorBidi"/>
          <w:noProof/>
          <w:sz w:val="22"/>
          <w:szCs w:val="22"/>
          <w:rtl/>
        </w:rPr>
      </w:pPr>
      <w:r>
        <w:rPr>
          <w:noProof/>
          <w:rtl/>
        </w:rPr>
        <w:t>קושית הראש יוסף דבדברי רחב"א לא מבואר כלל דלא כרב ושמואל</w:t>
      </w:r>
    </w:p>
    <w:p w14:paraId="5D381914" w14:textId="77777777" w:rsidR="003D04E6" w:rsidRDefault="003D04E6" w:rsidP="003D04E6">
      <w:pPr>
        <w:pStyle w:val="aff4"/>
        <w:rPr>
          <w:rFonts w:eastAsiaTheme="minorEastAsia" w:cstheme="minorBidi"/>
          <w:i/>
          <w:iCs/>
          <w:noProof/>
          <w:sz w:val="22"/>
          <w:szCs w:val="22"/>
          <w:rtl/>
        </w:rPr>
      </w:pPr>
      <w:bookmarkStart w:id="11861" w:name="_Toc19435789"/>
      <w:bookmarkStart w:id="11862" w:name="_Toc20081041"/>
      <w:r>
        <w:rPr>
          <w:noProof/>
          <w:rtl/>
        </w:rPr>
        <w:t>ביאור התוס' דלרב ושמואל לא מהני שחיטת רוב שאר טבעות</w:t>
      </w:r>
      <w:bookmarkEnd w:id="11861"/>
      <w:bookmarkEnd w:id="11862"/>
    </w:p>
    <w:p w14:paraId="4C26F00D" w14:textId="77777777" w:rsidR="003D04E6" w:rsidRDefault="003D04E6" w:rsidP="005077A7">
      <w:pPr>
        <w:pStyle w:val="a"/>
        <w:rPr>
          <w:rFonts w:eastAsiaTheme="minorEastAsia" w:cstheme="minorBidi"/>
          <w:noProof/>
          <w:sz w:val="22"/>
          <w:szCs w:val="22"/>
          <w:rtl/>
        </w:rPr>
      </w:pPr>
      <w:r>
        <w:rPr>
          <w:noProof/>
          <w:rtl/>
        </w:rPr>
        <w:t>ביאור התוס' דבשאר טבעות שאינם מקיפות את רוב הקנה לא מהני שחיטת רובן</w:t>
      </w:r>
    </w:p>
    <w:p w14:paraId="0CD4101F" w14:textId="77777777" w:rsidR="003D04E6" w:rsidRDefault="003D04E6" w:rsidP="005077A7">
      <w:pPr>
        <w:pStyle w:val="a"/>
        <w:rPr>
          <w:rFonts w:eastAsiaTheme="minorEastAsia" w:cstheme="minorBidi"/>
          <w:noProof/>
          <w:sz w:val="22"/>
          <w:szCs w:val="22"/>
          <w:rtl/>
        </w:rPr>
      </w:pPr>
      <w:r>
        <w:rPr>
          <w:noProof/>
          <w:rtl/>
        </w:rPr>
        <w:t>דברי המהרש"א דס"ל לתוס' דלרבר"י רוב שאר הטבעות חשיב כרוב קנה</w:t>
      </w:r>
    </w:p>
    <w:p w14:paraId="3E7B303B" w14:textId="77777777" w:rsidR="005843E6" w:rsidRDefault="005843E6" w:rsidP="003D04E6">
      <w:pPr>
        <w:pStyle w:val="aff4"/>
        <w:rPr>
          <w:noProof/>
          <w:rtl/>
        </w:rPr>
      </w:pPr>
    </w:p>
    <w:p w14:paraId="16F61F67" w14:textId="77777777" w:rsidR="003D04E6" w:rsidRDefault="003D04E6" w:rsidP="003D04E6">
      <w:pPr>
        <w:pStyle w:val="aff4"/>
        <w:rPr>
          <w:rFonts w:eastAsiaTheme="minorEastAsia" w:cstheme="minorBidi"/>
          <w:i/>
          <w:iCs/>
          <w:noProof/>
          <w:sz w:val="22"/>
          <w:szCs w:val="22"/>
          <w:rtl/>
        </w:rPr>
      </w:pPr>
      <w:bookmarkStart w:id="11863" w:name="_Toc19435790"/>
      <w:bookmarkStart w:id="11864" w:name="_Toc20081042"/>
      <w:r>
        <w:rPr>
          <w:noProof/>
          <w:rtl/>
        </w:rPr>
        <w:t>ביאור הרשב"א והתוס' הרא"ש בדברי רב ושמואל</w:t>
      </w:r>
      <w:bookmarkEnd w:id="11863"/>
      <w:bookmarkEnd w:id="11864"/>
    </w:p>
    <w:p w14:paraId="7B1F6F55" w14:textId="77777777" w:rsidR="003D04E6" w:rsidRDefault="003D04E6" w:rsidP="005077A7">
      <w:pPr>
        <w:pStyle w:val="a"/>
        <w:rPr>
          <w:rFonts w:eastAsiaTheme="minorEastAsia" w:cstheme="minorBidi"/>
          <w:noProof/>
          <w:sz w:val="22"/>
          <w:szCs w:val="22"/>
          <w:rtl/>
        </w:rPr>
      </w:pPr>
      <w:r>
        <w:rPr>
          <w:noProof/>
          <w:rtl/>
        </w:rPr>
        <w:t>דברי הרשב"א והתורא"ש דבשחיטת רוב שאר טבעות אינו שוחט את רוב חלל הקנה</w:t>
      </w:r>
    </w:p>
    <w:p w14:paraId="7FFF0391" w14:textId="77777777" w:rsidR="003D04E6" w:rsidRDefault="003D04E6" w:rsidP="003D04E6">
      <w:pPr>
        <w:pStyle w:val="aff4"/>
        <w:rPr>
          <w:rFonts w:eastAsiaTheme="minorEastAsia" w:cstheme="minorBidi"/>
          <w:i/>
          <w:iCs/>
          <w:noProof/>
          <w:sz w:val="22"/>
          <w:szCs w:val="22"/>
          <w:rtl/>
        </w:rPr>
      </w:pPr>
      <w:bookmarkStart w:id="11865" w:name="_Toc19435791"/>
      <w:bookmarkStart w:id="11866" w:name="_Toc20081043"/>
      <w:r>
        <w:rPr>
          <w:noProof/>
          <w:rtl/>
        </w:rPr>
        <w:t>ביאור הרשב"א והתוס' הרא"ש בדעת ריבר"י בתוספתא</w:t>
      </w:r>
      <w:bookmarkEnd w:id="11865"/>
      <w:bookmarkEnd w:id="11866"/>
    </w:p>
    <w:p w14:paraId="7538BCE5" w14:textId="77777777" w:rsidR="003D04E6" w:rsidRDefault="003D04E6" w:rsidP="005077A7">
      <w:pPr>
        <w:pStyle w:val="a"/>
        <w:rPr>
          <w:rFonts w:eastAsiaTheme="minorEastAsia" w:cstheme="minorBidi"/>
          <w:noProof/>
          <w:sz w:val="22"/>
          <w:szCs w:val="22"/>
          <w:rtl/>
        </w:rPr>
      </w:pPr>
      <w:r>
        <w:rPr>
          <w:noProof/>
          <w:rtl/>
        </w:rPr>
        <w:t>ביאור הרשב"א דלרבר"י שחיטת רוב ההיקף של שאר הטבעות חשיב כשחיטת רוב החלל</w:t>
      </w:r>
    </w:p>
    <w:p w14:paraId="1CB39AB3" w14:textId="77777777" w:rsidR="003D04E6" w:rsidRDefault="003D04E6" w:rsidP="005077A7">
      <w:pPr>
        <w:pStyle w:val="a"/>
        <w:rPr>
          <w:rFonts w:eastAsiaTheme="minorEastAsia" w:cstheme="minorBidi"/>
          <w:noProof/>
          <w:sz w:val="22"/>
          <w:szCs w:val="22"/>
          <w:rtl/>
        </w:rPr>
      </w:pPr>
      <w:r>
        <w:rPr>
          <w:noProof/>
          <w:rtl/>
        </w:rPr>
        <w:t>דברי התורא"ש דלרבר"י ברוב שאר הטבעות נפקא רוב החיות כיון שמקיפות את רוב הקנה</w:t>
      </w:r>
    </w:p>
    <w:p w14:paraId="31428218" w14:textId="77777777" w:rsidR="003D04E6" w:rsidRDefault="003D04E6" w:rsidP="005077A7">
      <w:pPr>
        <w:pStyle w:val="a"/>
        <w:rPr>
          <w:rFonts w:eastAsiaTheme="minorEastAsia" w:cstheme="minorBidi"/>
          <w:noProof/>
          <w:sz w:val="22"/>
          <w:szCs w:val="22"/>
          <w:rtl/>
        </w:rPr>
      </w:pPr>
      <w:r>
        <w:rPr>
          <w:noProof/>
          <w:rtl/>
        </w:rPr>
        <w:t>דברי התורא"ש דמוגרמת דרב ושמואל היינו כרבר"י דלא גמר את השחיטה בטבעת</w:t>
      </w:r>
    </w:p>
    <w:p w14:paraId="5F85ADFB" w14:textId="77777777" w:rsidR="003D04E6" w:rsidRDefault="003D04E6" w:rsidP="003D04E6">
      <w:pPr>
        <w:pStyle w:val="aff4"/>
        <w:rPr>
          <w:rFonts w:eastAsiaTheme="minorEastAsia" w:cstheme="minorBidi"/>
          <w:i/>
          <w:iCs/>
          <w:noProof/>
          <w:sz w:val="22"/>
          <w:szCs w:val="22"/>
          <w:rtl/>
        </w:rPr>
      </w:pPr>
      <w:bookmarkStart w:id="11867" w:name="_Toc19435792"/>
      <w:bookmarkStart w:id="11868" w:name="_Toc20081044"/>
      <w:r>
        <w:rPr>
          <w:noProof/>
          <w:rtl/>
        </w:rPr>
        <w:t>הביאור הא' המהרש"א דכוונת התוס' לדין שחיטה</w:t>
      </w:r>
      <w:bookmarkEnd w:id="11867"/>
      <w:bookmarkEnd w:id="11868"/>
    </w:p>
    <w:p w14:paraId="2670592A" w14:textId="77777777" w:rsidR="003D04E6" w:rsidRDefault="003D04E6" w:rsidP="005077A7">
      <w:pPr>
        <w:pStyle w:val="a"/>
        <w:rPr>
          <w:rFonts w:eastAsiaTheme="minorEastAsia" w:cstheme="minorBidi"/>
          <w:noProof/>
          <w:sz w:val="22"/>
          <w:szCs w:val="22"/>
          <w:rtl/>
        </w:rPr>
      </w:pPr>
      <w:r>
        <w:rPr>
          <w:noProof/>
          <w:rtl/>
        </w:rPr>
        <w:t>הביאור הא' במהרש"א דלתוס' רב ושמואל אמרי דמדין שחיטה לא מהני רוב שאר טבעות</w:t>
      </w:r>
    </w:p>
    <w:p w14:paraId="3F197813" w14:textId="77777777" w:rsidR="003D04E6" w:rsidRDefault="003D04E6" w:rsidP="005077A7">
      <w:pPr>
        <w:pStyle w:val="a"/>
        <w:rPr>
          <w:rFonts w:eastAsiaTheme="minorEastAsia" w:cstheme="minorBidi"/>
          <w:noProof/>
          <w:sz w:val="22"/>
          <w:szCs w:val="22"/>
          <w:rtl/>
        </w:rPr>
      </w:pPr>
      <w:r>
        <w:rPr>
          <w:noProof/>
          <w:rtl/>
        </w:rPr>
        <w:t>קושית התורת חיים על המהרש"א דאי"ז מדין הגרמה ואמאי אמרינן מוגרמת דרב ושמואל</w:t>
      </w:r>
    </w:p>
    <w:p w14:paraId="4F20463F" w14:textId="77777777" w:rsidR="003D04E6" w:rsidRDefault="003D04E6" w:rsidP="005077A7">
      <w:pPr>
        <w:pStyle w:val="a"/>
        <w:rPr>
          <w:rFonts w:eastAsiaTheme="minorEastAsia" w:cstheme="minorBidi"/>
          <w:noProof/>
          <w:sz w:val="22"/>
          <w:szCs w:val="22"/>
          <w:rtl/>
        </w:rPr>
      </w:pPr>
      <w:r>
        <w:rPr>
          <w:noProof/>
          <w:rtl/>
        </w:rPr>
        <w:t>דברי התורת חיים דדברי רב ושמואל הם גם לענין הגרמה אחר שחתך רוב שאר טבעות</w:t>
      </w:r>
    </w:p>
    <w:p w14:paraId="2433B475" w14:textId="77777777" w:rsidR="003D04E6" w:rsidRDefault="003D04E6" w:rsidP="003D04E6">
      <w:pPr>
        <w:pStyle w:val="aff4"/>
        <w:rPr>
          <w:rFonts w:eastAsiaTheme="minorEastAsia" w:cstheme="minorBidi"/>
          <w:i/>
          <w:iCs/>
          <w:noProof/>
          <w:sz w:val="22"/>
          <w:szCs w:val="22"/>
          <w:rtl/>
        </w:rPr>
      </w:pPr>
      <w:bookmarkStart w:id="11869" w:name="_Toc19435793"/>
      <w:bookmarkStart w:id="11870" w:name="_Toc20081045"/>
      <w:r>
        <w:rPr>
          <w:noProof/>
          <w:rtl/>
        </w:rPr>
        <w:t>ביאור המהר"ם והביאור הב' במהרש"א דכוונת תוס' להגרמה</w:t>
      </w:r>
      <w:bookmarkEnd w:id="11869"/>
      <w:bookmarkEnd w:id="11870"/>
    </w:p>
    <w:p w14:paraId="6E9EB09C" w14:textId="77777777" w:rsidR="003D04E6" w:rsidRDefault="003D04E6" w:rsidP="005077A7">
      <w:pPr>
        <w:pStyle w:val="a"/>
        <w:rPr>
          <w:rFonts w:eastAsiaTheme="minorEastAsia" w:cstheme="minorBidi"/>
          <w:noProof/>
          <w:sz w:val="22"/>
          <w:szCs w:val="22"/>
          <w:rtl/>
        </w:rPr>
      </w:pPr>
      <w:r>
        <w:rPr>
          <w:noProof/>
          <w:rtl/>
        </w:rPr>
        <w:t>הביאור הב' במהרש"א דביאר תוס' דרב ושמואל איירי בהגרמה אחר שחיטת רוב הטבעת</w:t>
      </w:r>
    </w:p>
    <w:p w14:paraId="58EA5525" w14:textId="77777777" w:rsidR="003D04E6" w:rsidRDefault="003D04E6" w:rsidP="005077A7">
      <w:pPr>
        <w:pStyle w:val="a"/>
        <w:rPr>
          <w:rFonts w:eastAsiaTheme="minorEastAsia" w:cstheme="minorBidi"/>
          <w:noProof/>
          <w:sz w:val="22"/>
          <w:szCs w:val="22"/>
          <w:rtl/>
        </w:rPr>
      </w:pPr>
      <w:r>
        <w:rPr>
          <w:noProof/>
          <w:rtl/>
        </w:rPr>
        <w:t>ביאור המהר"ם בתוס' דאחר שחיטת רוב הטבעת הגרים למעלה מטבעת הגדולה</w:t>
      </w:r>
    </w:p>
    <w:p w14:paraId="30D14BAD" w14:textId="77777777" w:rsidR="003D04E6" w:rsidRDefault="003D04E6" w:rsidP="003D04E6">
      <w:pPr>
        <w:pStyle w:val="aff4"/>
        <w:rPr>
          <w:rFonts w:eastAsiaTheme="minorEastAsia" w:cstheme="minorBidi"/>
          <w:i/>
          <w:iCs/>
          <w:noProof/>
          <w:sz w:val="22"/>
          <w:szCs w:val="22"/>
          <w:rtl/>
        </w:rPr>
      </w:pPr>
      <w:bookmarkStart w:id="11871" w:name="_Toc19435794"/>
      <w:bookmarkStart w:id="11872" w:name="_Toc20081046"/>
      <w:r>
        <w:rPr>
          <w:noProof/>
          <w:rtl/>
        </w:rPr>
        <w:t>ביאור המהר"ם בדברי ריבר"י בתוספתא לדעת התוס'</w:t>
      </w:r>
      <w:bookmarkEnd w:id="11871"/>
      <w:bookmarkEnd w:id="11872"/>
    </w:p>
    <w:p w14:paraId="68510084" w14:textId="77777777" w:rsidR="003D04E6" w:rsidRDefault="003D04E6" w:rsidP="005077A7">
      <w:pPr>
        <w:pStyle w:val="a"/>
        <w:rPr>
          <w:rFonts w:eastAsiaTheme="minorEastAsia" w:cstheme="minorBidi"/>
          <w:noProof/>
          <w:sz w:val="22"/>
          <w:szCs w:val="22"/>
          <w:rtl/>
        </w:rPr>
      </w:pPr>
      <w:r>
        <w:rPr>
          <w:noProof/>
          <w:rtl/>
        </w:rPr>
        <w:t>דברי המהר"ם דלתוס' הבינה הגמ' דהתוספתא איירי בהגרמה ומבואר דבשאר טבעות כשר</w:t>
      </w:r>
    </w:p>
    <w:p w14:paraId="068DAB89" w14:textId="77777777" w:rsidR="003D04E6" w:rsidRDefault="003D04E6" w:rsidP="005077A7">
      <w:pPr>
        <w:pStyle w:val="a"/>
        <w:rPr>
          <w:rFonts w:eastAsiaTheme="minorEastAsia" w:cstheme="minorBidi"/>
          <w:noProof/>
          <w:sz w:val="22"/>
          <w:szCs w:val="22"/>
          <w:rtl/>
        </w:rPr>
      </w:pPr>
      <w:r>
        <w:rPr>
          <w:noProof/>
          <w:rtl/>
        </w:rPr>
        <w:t>קושית המהר"ם היאך מהני שחיטת רוב שאר טבעות דאי"ז רוב חלל קנה</w:t>
      </w:r>
    </w:p>
    <w:p w14:paraId="03FA699C" w14:textId="77777777" w:rsidR="003D04E6" w:rsidRDefault="003D04E6" w:rsidP="005077A7">
      <w:pPr>
        <w:pStyle w:val="a"/>
        <w:rPr>
          <w:rFonts w:eastAsiaTheme="minorEastAsia" w:cstheme="minorBidi"/>
          <w:noProof/>
          <w:sz w:val="22"/>
          <w:szCs w:val="22"/>
          <w:rtl/>
        </w:rPr>
      </w:pPr>
      <w:r>
        <w:rPr>
          <w:noProof/>
          <w:rtl/>
        </w:rPr>
        <w:t>דברי המהר"ם דלתוס' ס"ל לרבר"י דסגי ברוב עובי הטבעת ולא ברוב חללו כמ"ש הרמב"ן</w:t>
      </w:r>
    </w:p>
    <w:p w14:paraId="38B23A0C" w14:textId="77777777" w:rsidR="003D04E6" w:rsidRDefault="003D04E6" w:rsidP="003D04E6">
      <w:pPr>
        <w:pStyle w:val="aff4"/>
      </w:pPr>
      <w:bookmarkStart w:id="11873" w:name="_Toc19435795"/>
      <w:bookmarkStart w:id="11874" w:name="_Toc20081047"/>
      <w:r>
        <w:rPr>
          <w:rFonts w:hint="cs"/>
          <w:rtl/>
        </w:rPr>
        <w:t>ביאור הרא"ש והבעה"מ דרוב טבעת כרוב קנה</w:t>
      </w:r>
      <w:bookmarkEnd w:id="11873"/>
      <w:bookmarkEnd w:id="11874"/>
    </w:p>
    <w:p w14:paraId="2869B6ED" w14:textId="77777777" w:rsidR="003D04E6" w:rsidRPr="00B24D6E" w:rsidRDefault="003D04E6" w:rsidP="005077A7">
      <w:pPr>
        <w:pStyle w:val="a"/>
        <w:rPr>
          <w:rFonts w:eastAsiaTheme="minorEastAsia" w:cstheme="minorBidi"/>
          <w:noProof/>
          <w:sz w:val="22"/>
          <w:szCs w:val="22"/>
          <w:rtl/>
        </w:rPr>
      </w:pPr>
      <w:r>
        <w:rPr>
          <w:noProof/>
          <w:rtl/>
        </w:rPr>
        <w:t>דברי הרא"ש דרב ושמואל ס"ל דבשאר טבעות לא מהני רוב הטבעת שאינה רוב קנה</w:t>
      </w:r>
    </w:p>
    <w:p w14:paraId="7A9B7065" w14:textId="77777777" w:rsidR="003D04E6" w:rsidRDefault="003D04E6" w:rsidP="005077A7">
      <w:pPr>
        <w:pStyle w:val="a"/>
        <w:rPr>
          <w:rFonts w:eastAsiaTheme="minorEastAsia" w:cstheme="minorBidi"/>
          <w:noProof/>
          <w:sz w:val="22"/>
          <w:szCs w:val="22"/>
          <w:rtl/>
        </w:rPr>
      </w:pPr>
      <w:r>
        <w:rPr>
          <w:noProof/>
          <w:rtl/>
        </w:rPr>
        <w:t>דברי הבעה"מ דבין בטבעת הגדולה ובין בשאר הטבעות מהני הרוב לרבר"י דרוב טבעת כרוב קנה</w:t>
      </w:r>
    </w:p>
    <w:p w14:paraId="3833CBC7" w14:textId="77777777" w:rsidR="003D04E6" w:rsidRDefault="003D04E6" w:rsidP="005077A7">
      <w:pPr>
        <w:pStyle w:val="a"/>
        <w:rPr>
          <w:rFonts w:eastAsiaTheme="minorEastAsia" w:cstheme="minorBidi"/>
          <w:noProof/>
          <w:sz w:val="22"/>
          <w:szCs w:val="22"/>
          <w:rtl/>
        </w:rPr>
      </w:pPr>
      <w:r>
        <w:rPr>
          <w:noProof/>
          <w:rtl/>
        </w:rPr>
        <w:t>ביאור המהרש"א בבעה"מ וברא"ש דלרבר"י בתוספתא רוב שאר הטבעות חשיב כרוב קנה</w:t>
      </w:r>
    </w:p>
    <w:p w14:paraId="361D5926" w14:textId="77777777" w:rsidR="003D04E6" w:rsidRDefault="003D04E6" w:rsidP="005077A7">
      <w:pPr>
        <w:pStyle w:val="a"/>
        <w:rPr>
          <w:rFonts w:eastAsiaTheme="minorEastAsia" w:cstheme="minorBidi"/>
          <w:noProof/>
          <w:sz w:val="22"/>
          <w:szCs w:val="22"/>
          <w:rtl/>
        </w:rPr>
      </w:pPr>
      <w:r>
        <w:rPr>
          <w:noProof/>
          <w:rtl/>
        </w:rPr>
        <w:t>דברי הבעה"מ דלהלכה קיי"ל כרחב"א וקיי"ל כרב ושמואל דרוב שאר הטבעות אינו רוב קנה</w:t>
      </w:r>
    </w:p>
    <w:p w14:paraId="1EF1E810" w14:textId="77777777" w:rsidR="003D04E6" w:rsidRDefault="003D04E6" w:rsidP="005077A7">
      <w:pPr>
        <w:pStyle w:val="a"/>
        <w:rPr>
          <w:rFonts w:eastAsiaTheme="minorEastAsia" w:cstheme="minorBidi"/>
          <w:noProof/>
          <w:sz w:val="22"/>
          <w:szCs w:val="22"/>
          <w:rtl/>
        </w:rPr>
      </w:pPr>
      <w:r>
        <w:rPr>
          <w:noProof/>
          <w:rtl/>
        </w:rPr>
        <w:t>דברי הי"מ ברמב"ן ובר"ן דבשאר הטבעות לא אמרינן רובו ככולו כיון שאינם מקיפות את כל הקנה</w:t>
      </w:r>
    </w:p>
    <w:p w14:paraId="41607ECF" w14:textId="77777777" w:rsidR="003D04E6" w:rsidRDefault="003D04E6" w:rsidP="005077A7">
      <w:pPr>
        <w:pStyle w:val="a"/>
        <w:rPr>
          <w:rFonts w:eastAsiaTheme="minorEastAsia" w:cstheme="minorBidi"/>
          <w:noProof/>
          <w:sz w:val="22"/>
          <w:szCs w:val="22"/>
          <w:rtl/>
        </w:rPr>
      </w:pPr>
      <w:r>
        <w:rPr>
          <w:noProof/>
          <w:rtl/>
        </w:rPr>
        <w:t>קושית הר"ן דהיאך הכשיר ריבר"י בתוספתא רוב טבעת מדין רובו ככולו ויש ב' שיעוים בשחיטה</w:t>
      </w:r>
    </w:p>
    <w:p w14:paraId="2DEDB29A" w14:textId="77777777" w:rsidR="003D04E6" w:rsidRDefault="003D04E6" w:rsidP="003D04E6">
      <w:pPr>
        <w:pStyle w:val="aff4"/>
        <w:rPr>
          <w:rFonts w:eastAsiaTheme="minorEastAsia" w:cstheme="minorBidi"/>
          <w:i/>
          <w:iCs/>
          <w:noProof/>
          <w:sz w:val="22"/>
          <w:szCs w:val="22"/>
          <w:rtl/>
        </w:rPr>
      </w:pPr>
      <w:bookmarkStart w:id="11875" w:name="_Toc19435796"/>
      <w:bookmarkStart w:id="11876" w:name="_Toc20081048"/>
      <w:r>
        <w:rPr>
          <w:noProof/>
          <w:rtl/>
        </w:rPr>
        <w:t>ביאור הר"ן והרמב"ן דרוב שאר הטבעות הוי רוב עובי הקנה</w:t>
      </w:r>
      <w:bookmarkEnd w:id="11875"/>
      <w:bookmarkEnd w:id="11876"/>
    </w:p>
    <w:p w14:paraId="12E98AE6" w14:textId="77777777" w:rsidR="003D04E6" w:rsidRDefault="003D04E6" w:rsidP="005077A7">
      <w:pPr>
        <w:pStyle w:val="a"/>
        <w:rPr>
          <w:rFonts w:eastAsiaTheme="minorEastAsia" w:cstheme="minorBidi"/>
          <w:noProof/>
          <w:sz w:val="22"/>
          <w:szCs w:val="22"/>
          <w:rtl/>
        </w:rPr>
      </w:pPr>
      <w:r>
        <w:rPr>
          <w:noProof/>
          <w:rtl/>
        </w:rPr>
        <w:t>ביאור הרמב"ן והר"ן דרב ושמואל הסתפקו אי סגי ברוב עובי הקנה שהיא הטבעת או ברוב חלל</w:t>
      </w:r>
    </w:p>
    <w:p w14:paraId="248261F0" w14:textId="77777777" w:rsidR="003D04E6" w:rsidRDefault="003D04E6" w:rsidP="005077A7">
      <w:pPr>
        <w:pStyle w:val="a"/>
        <w:rPr>
          <w:rFonts w:eastAsiaTheme="minorEastAsia" w:cstheme="minorBidi"/>
          <w:noProof/>
          <w:sz w:val="22"/>
          <w:szCs w:val="22"/>
          <w:rtl/>
        </w:rPr>
      </w:pPr>
      <w:r>
        <w:rPr>
          <w:noProof/>
          <w:rtl/>
        </w:rPr>
        <w:t>דברי הרמב"ן והר"ן דבטבעת הגדולה רוב העובי הוא רוב החלל ולכן כשר לרב ושמואל</w:t>
      </w:r>
    </w:p>
    <w:p w14:paraId="38F3F97F" w14:textId="77777777" w:rsidR="003D04E6" w:rsidRDefault="003D04E6" w:rsidP="005077A7">
      <w:pPr>
        <w:pStyle w:val="a"/>
        <w:rPr>
          <w:rFonts w:eastAsiaTheme="minorEastAsia" w:cstheme="minorBidi"/>
          <w:noProof/>
          <w:sz w:val="22"/>
          <w:szCs w:val="22"/>
          <w:rtl/>
        </w:rPr>
      </w:pPr>
      <w:r>
        <w:rPr>
          <w:noProof/>
          <w:rtl/>
        </w:rPr>
        <w:t>ביאור הרמב"ן והר"ן דלריבר"י רוב שאר טבעות כשר דהוא רוב עובי הקנה</w:t>
      </w:r>
    </w:p>
    <w:p w14:paraId="02B757A7" w14:textId="77777777" w:rsidR="003D04E6" w:rsidRDefault="003D04E6" w:rsidP="005077A7">
      <w:pPr>
        <w:pStyle w:val="a"/>
        <w:rPr>
          <w:rFonts w:eastAsiaTheme="minorEastAsia" w:cstheme="minorBidi"/>
          <w:noProof/>
          <w:sz w:val="22"/>
          <w:szCs w:val="22"/>
          <w:rtl/>
        </w:rPr>
      </w:pPr>
      <w:r>
        <w:rPr>
          <w:noProof/>
          <w:rtl/>
        </w:rPr>
        <w:t>דברי הרמב"ן והר"ן דבדין פסוקת הגרוגרת מוכח דרב הסתפק ברוב עובי או רוב חלל</w:t>
      </w:r>
    </w:p>
    <w:p w14:paraId="4EAA6554" w14:textId="77777777" w:rsidR="003D04E6" w:rsidRDefault="003D04E6" w:rsidP="005077A7">
      <w:pPr>
        <w:pStyle w:val="a"/>
        <w:rPr>
          <w:rFonts w:eastAsiaTheme="minorEastAsia" w:cstheme="minorBidi"/>
          <w:noProof/>
          <w:sz w:val="22"/>
          <w:szCs w:val="22"/>
          <w:rtl/>
        </w:rPr>
      </w:pPr>
      <w:r>
        <w:rPr>
          <w:noProof/>
          <w:rtl/>
        </w:rPr>
        <w:t>דברי הרמב"ן והר"ן דבגמ' בב"ק מוכח דרב הסתפק בשחיטת רוב העובי אי כשר או פסול</w:t>
      </w:r>
    </w:p>
    <w:p w14:paraId="79FE222E" w14:textId="77777777" w:rsidR="003D04E6" w:rsidRDefault="003D04E6" w:rsidP="005077A7">
      <w:pPr>
        <w:pStyle w:val="a"/>
        <w:rPr>
          <w:rFonts w:eastAsiaTheme="minorEastAsia" w:cstheme="minorBidi"/>
          <w:noProof/>
          <w:sz w:val="22"/>
          <w:szCs w:val="22"/>
          <w:rtl/>
        </w:rPr>
      </w:pPr>
      <w:r>
        <w:rPr>
          <w:noProof/>
          <w:rtl/>
        </w:rPr>
        <w:t>דברי הרמב"ן והר"ן דקיי"ל דרוב קנה הוא רוב חלל כרבב"ח לקמן וכדהשמיט הרי"ף את רב ושמואל</w:t>
      </w:r>
    </w:p>
    <w:p w14:paraId="25722750" w14:textId="77777777" w:rsidR="003D04E6" w:rsidRDefault="003D04E6" w:rsidP="005077A7">
      <w:pPr>
        <w:pStyle w:val="a"/>
        <w:rPr>
          <w:rFonts w:eastAsiaTheme="minorEastAsia" w:cstheme="minorBidi"/>
          <w:noProof/>
          <w:sz w:val="22"/>
          <w:szCs w:val="22"/>
          <w:rtl/>
        </w:rPr>
      </w:pPr>
      <w:r>
        <w:rPr>
          <w:noProof/>
          <w:rtl/>
        </w:rPr>
        <w:t>דברי הש"ך בשם המהר"י ווי"ל דהקרום שבתוך הטבעות נקרא קנה והטבעות נקראים גרוגרת</w:t>
      </w:r>
    </w:p>
    <w:p w14:paraId="275AF16B" w14:textId="77777777" w:rsidR="003D04E6" w:rsidRDefault="003D04E6" w:rsidP="003D04E6">
      <w:pPr>
        <w:pStyle w:val="aff4"/>
        <w:rPr>
          <w:rFonts w:eastAsiaTheme="minorEastAsia" w:cstheme="minorBidi"/>
          <w:i/>
          <w:iCs/>
          <w:noProof/>
          <w:sz w:val="22"/>
          <w:szCs w:val="22"/>
          <w:rtl/>
        </w:rPr>
      </w:pPr>
      <w:bookmarkStart w:id="11877" w:name="_Toc19435797"/>
      <w:bookmarkStart w:id="11878" w:name="_Toc20081049"/>
      <w:r>
        <w:rPr>
          <w:noProof/>
          <w:rtl/>
        </w:rPr>
        <w:t>ביאור הריטב"א בדברי התוספתא</w:t>
      </w:r>
      <w:bookmarkEnd w:id="11877"/>
      <w:bookmarkEnd w:id="11878"/>
    </w:p>
    <w:p w14:paraId="66EC690A" w14:textId="77777777" w:rsidR="003D04E6" w:rsidRDefault="003D04E6" w:rsidP="005077A7">
      <w:pPr>
        <w:pStyle w:val="a"/>
        <w:rPr>
          <w:rFonts w:eastAsiaTheme="minorEastAsia" w:cstheme="minorBidi"/>
          <w:noProof/>
          <w:sz w:val="22"/>
          <w:szCs w:val="22"/>
        </w:rPr>
      </w:pPr>
      <w:r>
        <w:rPr>
          <w:noProof/>
          <w:rtl/>
        </w:rPr>
        <w:t>דברי הריטב"א דכוונת התוספתא דאם שחט רוב חלל בשאר טבעות כשר כרוב טבעת הגדולה</w:t>
      </w:r>
    </w:p>
    <w:p w14:paraId="1686964D" w14:textId="77777777" w:rsidR="003D04E6" w:rsidRDefault="003D04E6" w:rsidP="003D04E6">
      <w:pPr>
        <w:pStyle w:val="aff4"/>
        <w:rPr>
          <w:rtl/>
        </w:rPr>
      </w:pPr>
      <w:bookmarkStart w:id="11879" w:name="_Toc19435798"/>
      <w:bookmarkStart w:id="11880" w:name="_Toc20081050"/>
      <w:r>
        <w:rPr>
          <w:rFonts w:hint="cs"/>
          <w:rtl/>
        </w:rPr>
        <w:t>בביאור פלוגתת רחב"א ורבנן</w:t>
      </w:r>
      <w:bookmarkEnd w:id="11879"/>
      <w:bookmarkEnd w:id="11880"/>
    </w:p>
    <w:p w14:paraId="4440D081" w14:textId="77777777" w:rsidR="003D04E6" w:rsidRDefault="003D04E6" w:rsidP="005077A7">
      <w:pPr>
        <w:pStyle w:val="a"/>
        <w:rPr>
          <w:rtl/>
        </w:rPr>
      </w:pPr>
      <w:r>
        <w:rPr>
          <w:rFonts w:hint="cs"/>
          <w:rtl/>
        </w:rPr>
        <w:t>דברי הרמב"ן דרחב"א פליג על פסול הגרמה וס"ל דכל הצואר כשר לשחיטה</w:t>
      </w:r>
    </w:p>
    <w:p w14:paraId="058BB81D" w14:textId="77777777" w:rsidR="003D04E6" w:rsidRPr="00356C0E" w:rsidRDefault="003D04E6" w:rsidP="005077A7">
      <w:pPr>
        <w:pStyle w:val="a"/>
        <w:rPr>
          <w:rtl/>
        </w:rPr>
      </w:pPr>
      <w:r>
        <w:rPr>
          <w:rFonts w:hint="cs"/>
          <w:rtl/>
        </w:rPr>
        <w:t>דעת רש"י דלרחב"א פסול הגרמה הוא למעלה מהשיפוי כובע</w:t>
      </w:r>
    </w:p>
    <w:p w14:paraId="5C22DC71" w14:textId="77777777" w:rsidR="003D04E6" w:rsidRDefault="003D04E6" w:rsidP="003D04E6">
      <w:pPr>
        <w:pStyle w:val="2"/>
        <w:rPr>
          <w:rFonts w:eastAsiaTheme="minorEastAsia" w:cstheme="minorBidi"/>
          <w:i/>
          <w:iCs/>
          <w:noProof/>
          <w:sz w:val="22"/>
          <w:szCs w:val="22"/>
          <w:rtl/>
        </w:rPr>
      </w:pPr>
      <w:bookmarkStart w:id="11881" w:name="_Toc19435799"/>
      <w:r>
        <w:rPr>
          <w:noProof/>
          <w:rtl/>
        </w:rPr>
        <w:t>ביאורי ראשי הישיבות על הסוגיא</w:t>
      </w:r>
      <w:bookmarkEnd w:id="11881"/>
    </w:p>
    <w:p w14:paraId="406FC5D3" w14:textId="77777777" w:rsidR="003D04E6" w:rsidRDefault="003D04E6" w:rsidP="003D04E6">
      <w:pPr>
        <w:pStyle w:val="aff4"/>
        <w:rPr>
          <w:rFonts w:eastAsiaTheme="minorEastAsia" w:cstheme="minorBidi"/>
          <w:i/>
          <w:iCs/>
          <w:noProof/>
          <w:sz w:val="22"/>
          <w:szCs w:val="22"/>
          <w:rtl/>
        </w:rPr>
      </w:pPr>
      <w:bookmarkStart w:id="11882" w:name="_Toc19435800"/>
      <w:bookmarkStart w:id="11883" w:name="_Toc20081051"/>
      <w:r>
        <w:rPr>
          <w:noProof/>
          <w:rtl/>
        </w:rPr>
        <w:t>בדין רובו ככולו</w:t>
      </w:r>
      <w:bookmarkEnd w:id="11882"/>
      <w:bookmarkEnd w:id="11883"/>
    </w:p>
    <w:p w14:paraId="1B050346" w14:textId="77777777" w:rsidR="003D04E6" w:rsidRDefault="003D04E6" w:rsidP="005077A7">
      <w:pPr>
        <w:pStyle w:val="a"/>
        <w:rPr>
          <w:rFonts w:eastAsiaTheme="minorEastAsia" w:cstheme="minorBidi"/>
          <w:noProof/>
          <w:sz w:val="22"/>
          <w:szCs w:val="22"/>
          <w:rtl/>
        </w:rPr>
      </w:pPr>
      <w:r>
        <w:rPr>
          <w:noProof/>
          <w:rtl/>
        </w:rPr>
        <w:t>קושית הגרא"ו על הי"מ ברש"י דחוץ לטבעת הוא עדיין מקום שחיטה</w:t>
      </w:r>
    </w:p>
    <w:p w14:paraId="2A5B632E" w14:textId="77777777" w:rsidR="003D04E6" w:rsidRDefault="003D04E6" w:rsidP="005077A7">
      <w:pPr>
        <w:pStyle w:val="a"/>
        <w:rPr>
          <w:rFonts w:eastAsiaTheme="minorEastAsia" w:cstheme="minorBidi"/>
          <w:noProof/>
          <w:sz w:val="22"/>
          <w:szCs w:val="22"/>
          <w:rtl/>
        </w:rPr>
      </w:pPr>
      <w:r>
        <w:rPr>
          <w:noProof/>
          <w:rtl/>
        </w:rPr>
        <w:t>ביאור הגרא"ו בדברי רב ושמואל דרובו ככולו שייך רק במקום שיש רוב מתוך כל</w:t>
      </w:r>
    </w:p>
    <w:p w14:paraId="0EF8B1E2" w14:textId="77777777" w:rsidR="003D04E6" w:rsidRDefault="003D04E6" w:rsidP="005077A7">
      <w:pPr>
        <w:pStyle w:val="a"/>
        <w:rPr>
          <w:rFonts w:eastAsiaTheme="minorEastAsia" w:cstheme="minorBidi"/>
          <w:noProof/>
          <w:sz w:val="22"/>
          <w:szCs w:val="22"/>
          <w:rtl/>
        </w:rPr>
      </w:pPr>
      <w:r>
        <w:rPr>
          <w:noProof/>
          <w:rtl/>
        </w:rPr>
        <w:t>דברי הקוה"ע דרוב שאינו מתוך כל לא שייך לומר שהוא כמו הכל ואין בו דין רובו ככולו</w:t>
      </w:r>
    </w:p>
    <w:p w14:paraId="75CCDA3A" w14:textId="77777777" w:rsidR="003D04E6" w:rsidRDefault="003D04E6" w:rsidP="005077A7">
      <w:pPr>
        <w:pStyle w:val="a"/>
        <w:rPr>
          <w:rFonts w:eastAsiaTheme="minorEastAsia" w:cstheme="minorBidi"/>
          <w:noProof/>
          <w:sz w:val="22"/>
          <w:szCs w:val="22"/>
          <w:rtl/>
        </w:rPr>
      </w:pPr>
      <w:r>
        <w:rPr>
          <w:noProof/>
          <w:rtl/>
        </w:rPr>
        <w:t>דברי האמרי משה דלרש"י כל שגמר את כל השחיטה כל הסימן הוא בכלל הכשר שחיטה</w:t>
      </w:r>
    </w:p>
    <w:p w14:paraId="4EDCECF0" w14:textId="77777777" w:rsidR="003D04E6" w:rsidRDefault="003D04E6" w:rsidP="003D04E6">
      <w:pPr>
        <w:pStyle w:val="aff4"/>
        <w:rPr>
          <w:rtl/>
        </w:rPr>
        <w:sectPr w:rsidR="003D04E6" w:rsidSect="005843E6">
          <w:type w:val="continuous"/>
          <w:pgSz w:w="11906" w:h="16838"/>
          <w:pgMar w:top="720" w:right="720" w:bottom="720" w:left="720" w:header="283" w:footer="283" w:gutter="0"/>
          <w:cols w:num="2" w:space="113"/>
          <w:titlePg/>
          <w:bidi/>
          <w:rtlGutter/>
          <w:docGrid w:linePitch="299"/>
        </w:sectPr>
      </w:pPr>
      <w:r>
        <w:rPr>
          <w:rtl/>
        </w:rPr>
        <w:fldChar w:fldCharType="end"/>
      </w:r>
    </w:p>
    <w:p w14:paraId="0C7A956C" w14:textId="77777777" w:rsidR="003D04E6" w:rsidRPr="00A80F78" w:rsidRDefault="003D04E6" w:rsidP="003D04E6">
      <w:pPr>
        <w:tabs>
          <w:tab w:val="center" w:pos="5658"/>
        </w:tabs>
        <w:rPr>
          <w:rtl/>
        </w:rPr>
        <w:sectPr w:rsidR="003D04E6" w:rsidRPr="00A80F78" w:rsidSect="00DE671B">
          <w:footerReference w:type="default" r:id="rId86"/>
          <w:type w:val="continuous"/>
          <w:pgSz w:w="11906" w:h="16838"/>
          <w:pgMar w:top="720" w:right="720" w:bottom="720" w:left="720" w:header="283" w:footer="283" w:gutter="0"/>
          <w:pgNumType w:start="1"/>
          <w:cols w:space="720"/>
          <w:bidi/>
          <w:rtlGutter/>
          <w:docGrid w:linePitch="299"/>
        </w:sectPr>
      </w:pPr>
      <w:bookmarkStart w:id="11884" w:name="_Toc530583080"/>
      <w:bookmarkStart w:id="11885" w:name="_Toc530647758"/>
    </w:p>
    <w:p w14:paraId="55C308BB" w14:textId="77777777" w:rsidR="003D04E6" w:rsidRDefault="003D04E6" w:rsidP="006D6D32">
      <w:pPr>
        <w:pStyle w:val="afe"/>
        <w:rPr>
          <w:rtl/>
        </w:rPr>
      </w:pPr>
      <w:bookmarkStart w:id="11886" w:name="_Toc531193276"/>
      <w:bookmarkStart w:id="11887" w:name="_Toc531251478"/>
      <w:bookmarkStart w:id="11888" w:name="_Toc531251621"/>
      <w:bookmarkStart w:id="11889" w:name="_Toc531258163"/>
      <w:bookmarkStart w:id="11890" w:name="_Toc531622039"/>
      <w:bookmarkStart w:id="11891" w:name="_Toc531629695"/>
      <w:bookmarkStart w:id="11892" w:name="_Toc531638966"/>
      <w:bookmarkStart w:id="11893" w:name="_Toc531776375"/>
      <w:bookmarkStart w:id="11894" w:name="_Toc531817564"/>
      <w:bookmarkStart w:id="11895" w:name="_Toc531819664"/>
      <w:bookmarkStart w:id="11896" w:name="_Toc19435801"/>
      <w:bookmarkStart w:id="11897" w:name="_Toc20081052"/>
      <w:r>
        <w:rPr>
          <w:rFonts w:hint="cs"/>
          <w:rtl/>
        </w:rPr>
        <w:t>מראי מקומות וביאורים על הסוגיא</w:t>
      </w:r>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p>
    <w:p w14:paraId="3632C620" w14:textId="77777777" w:rsidR="003D04E6" w:rsidRPr="0065105E" w:rsidRDefault="003D04E6" w:rsidP="003D04E6">
      <w:pPr>
        <w:pStyle w:val="2"/>
        <w:keepLines w:val="0"/>
        <w:bidi w:val="0"/>
        <w:rPr>
          <w:rFonts w:asciiTheme="minorHAnsi" w:hAnsiTheme="minorHAnsi"/>
          <w:bCs/>
          <w:sz w:val="18"/>
          <w:szCs w:val="28"/>
          <w:rtl/>
        </w:rPr>
        <w:sectPr w:rsidR="003D04E6" w:rsidRPr="0065105E" w:rsidSect="005843E6">
          <w:pgSz w:w="11906" w:h="16838"/>
          <w:pgMar w:top="720" w:right="720" w:bottom="720" w:left="720" w:header="283" w:footer="283" w:gutter="0"/>
          <w:pgNumType w:start="148"/>
          <w:cols w:space="720"/>
          <w:bidi/>
          <w:rtlGutter/>
          <w:docGrid w:linePitch="299"/>
        </w:sectPr>
      </w:pPr>
    </w:p>
    <w:p w14:paraId="54E78B72" w14:textId="77777777" w:rsidR="003D04E6" w:rsidRDefault="003D04E6" w:rsidP="006D6D32">
      <w:pPr>
        <w:pStyle w:val="afe"/>
        <w:rPr>
          <w:rtl/>
        </w:rPr>
      </w:pPr>
      <w:bookmarkStart w:id="11898" w:name="_Toc531193277"/>
      <w:bookmarkStart w:id="11899" w:name="_Toc531251479"/>
      <w:bookmarkStart w:id="11900" w:name="_Toc531251622"/>
      <w:bookmarkStart w:id="11901" w:name="_Toc531258164"/>
      <w:bookmarkStart w:id="11902" w:name="_Toc531622040"/>
      <w:bookmarkStart w:id="11903" w:name="_Toc531629696"/>
      <w:bookmarkStart w:id="11904" w:name="_Toc531638967"/>
      <w:bookmarkStart w:id="11905" w:name="_Toc531776376"/>
      <w:bookmarkStart w:id="11906" w:name="_Toc531817565"/>
      <w:bookmarkStart w:id="11907" w:name="_Toc531819665"/>
      <w:bookmarkStart w:id="11908" w:name="_Toc19435802"/>
      <w:bookmarkStart w:id="11909" w:name="_Toc20081053"/>
      <w:r>
        <w:rPr>
          <w:rFonts w:hint="cs"/>
          <w:rtl/>
        </w:rPr>
        <w:t>בביאור מתני'</w:t>
      </w:r>
      <w:bookmarkEnd w:id="11898"/>
      <w:bookmarkEnd w:id="11899"/>
      <w:bookmarkEnd w:id="11900"/>
      <w:bookmarkEnd w:id="11901"/>
      <w:bookmarkEnd w:id="11902"/>
      <w:bookmarkEnd w:id="11903"/>
      <w:bookmarkEnd w:id="11904"/>
      <w:bookmarkEnd w:id="11905"/>
      <w:bookmarkEnd w:id="11906"/>
      <w:bookmarkEnd w:id="11907"/>
      <w:bookmarkEnd w:id="11908"/>
      <w:bookmarkEnd w:id="11909"/>
      <w:r>
        <w:rPr>
          <w:rFonts w:hint="cs"/>
          <w:rtl/>
        </w:rPr>
        <w:t xml:space="preserve"> </w:t>
      </w:r>
    </w:p>
    <w:p w14:paraId="51DD7BBD" w14:textId="77777777" w:rsidR="003D04E6" w:rsidRDefault="003D04E6" w:rsidP="00BF39B2">
      <w:pPr>
        <w:pStyle w:val="1"/>
        <w:rPr>
          <w:rtl/>
        </w:rPr>
      </w:pPr>
      <w:bookmarkStart w:id="11910" w:name="_Toc531193278"/>
      <w:bookmarkStart w:id="11911" w:name="_Toc531251480"/>
      <w:bookmarkStart w:id="11912" w:name="_Toc531251623"/>
      <w:bookmarkStart w:id="11913" w:name="_Toc531258165"/>
      <w:bookmarkStart w:id="11914" w:name="_Toc531622041"/>
      <w:bookmarkStart w:id="11915" w:name="_Toc531629697"/>
      <w:bookmarkStart w:id="11916" w:name="_Toc531638968"/>
      <w:bookmarkStart w:id="11917" w:name="_Toc531776377"/>
      <w:bookmarkStart w:id="11918" w:name="_Toc531817566"/>
      <w:bookmarkStart w:id="11919" w:name="_Toc531819666"/>
      <w:bookmarkStart w:id="11920" w:name="_Toc19390561"/>
      <w:bookmarkStart w:id="11921" w:name="_Toc19394058"/>
      <w:r>
        <w:rPr>
          <w:rFonts w:hint="cs"/>
          <w:rtl/>
        </w:rPr>
        <w:t>ביאור רש"י</w:t>
      </w:r>
      <w:bookmarkEnd w:id="11910"/>
      <w:bookmarkEnd w:id="11911"/>
      <w:bookmarkEnd w:id="11912"/>
      <w:bookmarkEnd w:id="11913"/>
      <w:bookmarkEnd w:id="11914"/>
      <w:bookmarkEnd w:id="11915"/>
      <w:bookmarkEnd w:id="11916"/>
      <w:bookmarkEnd w:id="11917"/>
      <w:r>
        <w:rPr>
          <w:rFonts w:hint="cs"/>
          <w:rtl/>
        </w:rPr>
        <w:t xml:space="preserve"> דהגרים למעלה מטבעת הגדולה דאינו מקום שחיטה</w:t>
      </w:r>
      <w:bookmarkEnd w:id="11918"/>
      <w:bookmarkEnd w:id="11919"/>
      <w:bookmarkEnd w:id="11920"/>
      <w:bookmarkEnd w:id="11921"/>
    </w:p>
    <w:p w14:paraId="38E0EE02" w14:textId="77777777" w:rsidR="003D04E6" w:rsidRPr="00941438" w:rsidRDefault="003D04E6" w:rsidP="006D6D32">
      <w:pPr>
        <w:pStyle w:val="a3"/>
        <w:rPr>
          <w:rtl/>
        </w:rPr>
      </w:pPr>
      <w:bookmarkStart w:id="11922" w:name="_Toc531817567"/>
      <w:bookmarkStart w:id="11923" w:name="_Toc531819667"/>
      <w:bookmarkStart w:id="11924" w:name="_Toc19390562"/>
      <w:bookmarkStart w:id="11925" w:name="_Toc19394059"/>
      <w:r>
        <w:rPr>
          <w:rFonts w:hint="cs"/>
          <w:rtl/>
        </w:rPr>
        <w:t>דברי רש"י דנחלקו ריבר"י ורבנן בשחט בטבעת הגדולה והגרים למעלה ממנה שאינו מקום שחיטה</w:t>
      </w:r>
      <w:bookmarkEnd w:id="11922"/>
      <w:bookmarkEnd w:id="11923"/>
      <w:bookmarkEnd w:id="11924"/>
      <w:bookmarkEnd w:id="11925"/>
    </w:p>
    <w:p w14:paraId="28178F3B" w14:textId="77777777" w:rsidR="003D04E6" w:rsidRDefault="003D04E6" w:rsidP="00E12979">
      <w:pPr>
        <w:pStyle w:val="a0"/>
        <w:numPr>
          <w:ilvl w:val="0"/>
          <w:numId w:val="14"/>
        </w:numPr>
        <w:rPr>
          <w:rtl/>
        </w:rPr>
      </w:pPr>
      <w:r>
        <w:rPr>
          <w:rFonts w:hint="cs"/>
          <w:rtl/>
        </w:rPr>
        <w:t xml:space="preserve">כתב </w:t>
      </w:r>
      <w:r w:rsidRPr="00941438">
        <w:rPr>
          <w:rStyle w:val="af9"/>
          <w:rFonts w:hint="cs"/>
          <w:rtl/>
        </w:rPr>
        <w:t>רש"י</w:t>
      </w:r>
      <w:r>
        <w:rPr>
          <w:rFonts w:hint="cs"/>
          <w:rtl/>
        </w:rPr>
        <w:t xml:space="preserve"> </w:t>
      </w:r>
      <w:r w:rsidRPr="00223668">
        <w:rPr>
          <w:rStyle w:val="af7"/>
          <w:rFonts w:eastAsia="Guttman Hodes" w:hint="cs"/>
          <w:rtl/>
        </w:rPr>
        <w:t>(ד"ה השוחט וד"ה מלא)</w:t>
      </w:r>
      <w:r>
        <w:rPr>
          <w:rFonts w:hint="cs"/>
          <w:rtl/>
        </w:rPr>
        <w:t xml:space="preserve"> דבפלוגתת רבנן וריבר</w:t>
      </w:r>
      <w:r>
        <w:rPr>
          <w:rtl/>
        </w:rPr>
        <w:t>"</w:t>
      </w:r>
      <w:r>
        <w:rPr>
          <w:rFonts w:hint="cs"/>
          <w:rtl/>
        </w:rPr>
        <w:t>י איירי ששחט את רוב השחיטה בטבעת הגדולה, ובסוף השחיטה הגרים למעלה מהטבעת הגדולה, שהיא הטבעת העליונה שאינו מקום שחיטה.</w:t>
      </w:r>
    </w:p>
    <w:p w14:paraId="2ADE8F5F" w14:textId="77777777" w:rsidR="003D04E6" w:rsidRPr="00ED3F63" w:rsidRDefault="003D04E6" w:rsidP="006D6D32">
      <w:pPr>
        <w:pStyle w:val="a3"/>
        <w:rPr>
          <w:rtl/>
        </w:rPr>
      </w:pPr>
      <w:bookmarkStart w:id="11926" w:name="_Toc531817568"/>
      <w:bookmarkStart w:id="11927" w:name="_Toc531819668"/>
      <w:bookmarkStart w:id="11928" w:name="_Toc19390563"/>
      <w:bookmarkStart w:id="11929" w:name="_Toc19394060"/>
      <w:r>
        <w:rPr>
          <w:rFonts w:hint="cs"/>
          <w:rtl/>
        </w:rPr>
        <w:t>ביאור רש"י דלרבנן פסול כיון שגמר בפסול ולרבר"י כשר כיון שהרוב נשחט כדין</w:t>
      </w:r>
      <w:bookmarkEnd w:id="11926"/>
      <w:bookmarkEnd w:id="11927"/>
      <w:bookmarkEnd w:id="11928"/>
      <w:bookmarkEnd w:id="11929"/>
    </w:p>
    <w:p w14:paraId="372EE72F" w14:textId="77777777" w:rsidR="003D04E6" w:rsidRPr="00FE6C52" w:rsidRDefault="003D04E6" w:rsidP="00223668">
      <w:pPr>
        <w:pStyle w:val="a0"/>
        <w:rPr>
          <w:rtl/>
        </w:rPr>
      </w:pPr>
      <w:bookmarkStart w:id="11930" w:name="_Ref531809701"/>
      <w:r>
        <w:rPr>
          <w:rFonts w:hint="cs"/>
          <w:rtl/>
        </w:rPr>
        <w:t xml:space="preserve">וביאר </w:t>
      </w:r>
      <w:r w:rsidRPr="00941438">
        <w:rPr>
          <w:rStyle w:val="af9"/>
          <w:rFonts w:hint="cs"/>
          <w:rtl/>
        </w:rPr>
        <w:t xml:space="preserve">רש"י </w:t>
      </w:r>
      <w:r w:rsidRPr="00A221B9">
        <w:rPr>
          <w:rStyle w:val="af7"/>
          <w:rFonts w:eastAsia="Guttman Hodes" w:hint="cs"/>
          <w:rtl/>
        </w:rPr>
        <w:t>(ד"ה מלא וד"ה ר"י)</w:t>
      </w:r>
      <w:r>
        <w:rPr>
          <w:rFonts w:hint="cs"/>
          <w:rtl/>
        </w:rPr>
        <w:t xml:space="preserve"> דלדעת רבנן אף שנשחט רוב הקנה במקום שחיטה, מ"מ כיון שגמרו שלא במקום שחיטה פסול, ולדעת ריבר</w:t>
      </w:r>
      <w:r>
        <w:rPr>
          <w:rtl/>
        </w:rPr>
        <w:t>"</w:t>
      </w:r>
      <w:r>
        <w:rPr>
          <w:rFonts w:hint="cs"/>
          <w:rtl/>
        </w:rPr>
        <w:t xml:space="preserve">י ההכשר של השחיטה היא ברוב הקנה, וכיון שברובה שחט במקום שחיטה כשר, אעפ"י שגמר למעלה ממקום השחיטה, דאחר ששחט את רוב הקנה, הוכשרה השחיטה וחשיב כחותך בשר בעלמא, וכ"כ </w:t>
      </w:r>
      <w:r w:rsidRPr="00ED3AEB">
        <w:rPr>
          <w:rStyle w:val="af9"/>
          <w:rFonts w:hint="cs"/>
          <w:rtl/>
        </w:rPr>
        <w:t>הריטב"א</w:t>
      </w:r>
      <w:r>
        <w:rPr>
          <w:rFonts w:hint="cs"/>
          <w:rtl/>
        </w:rPr>
        <w:t xml:space="preserve"> </w:t>
      </w:r>
      <w:r w:rsidRPr="00A221B9">
        <w:rPr>
          <w:rStyle w:val="af7"/>
          <w:rFonts w:eastAsia="Guttman Hodes" w:hint="cs"/>
          <w:rtl/>
        </w:rPr>
        <w:t>(ד"ה השוחט)</w:t>
      </w:r>
      <w:r>
        <w:rPr>
          <w:rFonts w:hint="cs"/>
          <w:rtl/>
        </w:rPr>
        <w:t>.</w:t>
      </w:r>
      <w:bookmarkEnd w:id="11930"/>
    </w:p>
    <w:p w14:paraId="1D67CE58" w14:textId="77777777" w:rsidR="003D04E6" w:rsidRDefault="003D04E6" w:rsidP="006D6D32">
      <w:pPr>
        <w:pStyle w:val="a3"/>
        <w:rPr>
          <w:rtl/>
        </w:rPr>
      </w:pPr>
      <w:bookmarkStart w:id="11931" w:name="_Toc531817569"/>
      <w:bookmarkStart w:id="11932" w:name="_Toc531819669"/>
      <w:bookmarkStart w:id="11933" w:name="_Toc19390564"/>
      <w:bookmarkStart w:id="11934" w:name="_Toc19394061"/>
      <w:r>
        <w:rPr>
          <w:rFonts w:hint="cs"/>
          <w:rtl/>
        </w:rPr>
        <w:t>דברי החת"ס דביאר רש"י כל"ק דרב הונא דההגרמה הייתה בשליש האחרון ולא בשליש הראשון</w:t>
      </w:r>
      <w:bookmarkEnd w:id="11931"/>
      <w:bookmarkEnd w:id="11932"/>
      <w:bookmarkEnd w:id="11933"/>
      <w:bookmarkEnd w:id="11934"/>
    </w:p>
    <w:p w14:paraId="3263B866" w14:textId="77777777" w:rsidR="003D04E6" w:rsidRDefault="003D04E6" w:rsidP="00223668">
      <w:pPr>
        <w:pStyle w:val="a0"/>
        <w:rPr>
          <w:rtl/>
        </w:rPr>
      </w:pPr>
      <w:bookmarkStart w:id="11935" w:name="_Ref531811901"/>
      <w:bookmarkStart w:id="11936" w:name="_Toc531251481"/>
      <w:bookmarkStart w:id="11937" w:name="_Toc531251624"/>
      <w:bookmarkStart w:id="11938" w:name="_Toc531258166"/>
      <w:r>
        <w:rPr>
          <w:rFonts w:hint="cs"/>
          <w:rtl/>
        </w:rPr>
        <w:t xml:space="preserve">וכתב </w:t>
      </w:r>
      <w:r w:rsidRPr="00CB04C9">
        <w:rPr>
          <w:rStyle w:val="af9"/>
          <w:rFonts w:hint="cs"/>
          <w:rtl/>
        </w:rPr>
        <w:t xml:space="preserve">החת"ס </w:t>
      </w:r>
      <w:r w:rsidRPr="00CB04C9">
        <w:rPr>
          <w:rStyle w:val="af7"/>
          <w:rFonts w:eastAsia="Guttman Hodes" w:hint="cs"/>
          <w:rtl/>
        </w:rPr>
        <w:t>(ד"ה השוחט)</w:t>
      </w:r>
      <w:r>
        <w:rPr>
          <w:rFonts w:hint="cs"/>
          <w:rtl/>
        </w:rPr>
        <w:t xml:space="preserve"> דמדפירש </w:t>
      </w:r>
      <w:r w:rsidRPr="00CB04C9">
        <w:rPr>
          <w:rStyle w:val="af9"/>
          <w:rFonts w:hint="cs"/>
          <w:rtl/>
        </w:rPr>
        <w:t xml:space="preserve">רש"י </w:t>
      </w:r>
      <w:r>
        <w:rPr>
          <w:rFonts w:hint="cs"/>
          <w:rtl/>
        </w:rPr>
        <w:t xml:space="preserve">שבתחילה שחט כראוי, ואח"כ הגרים, מבואר דפירש </w:t>
      </w:r>
      <w:r w:rsidRPr="00CB04C9">
        <w:rPr>
          <w:rStyle w:val="af9"/>
          <w:rFonts w:hint="cs"/>
          <w:rtl/>
        </w:rPr>
        <w:t xml:space="preserve">רש"י </w:t>
      </w:r>
      <w:r>
        <w:rPr>
          <w:rFonts w:hint="cs"/>
          <w:rtl/>
        </w:rPr>
        <w:t xml:space="preserve">את המשנה כלישנא קמא דרב הונא לקמן </w:t>
      </w:r>
      <w:r w:rsidRPr="00CB04C9">
        <w:rPr>
          <w:rStyle w:val="af7"/>
          <w:rFonts w:eastAsia="Guttman Hodes" w:hint="cs"/>
          <w:rtl/>
        </w:rPr>
        <w:t>(יט.)</w:t>
      </w:r>
      <w:r>
        <w:rPr>
          <w:rFonts w:hint="cs"/>
          <w:rtl/>
        </w:rPr>
        <w:t xml:space="preserve"> דההגרמה הייתה בשליש האחרון, ולא כל"ב דהגרים שליש ושחט שני שליש, ועי' במה שביאר </w:t>
      </w:r>
      <w:r w:rsidRPr="00CA181D">
        <w:rPr>
          <w:rStyle w:val="af9"/>
          <w:rFonts w:hint="cs"/>
          <w:rtl/>
        </w:rPr>
        <w:t>החת"ס</w:t>
      </w:r>
      <w:r>
        <w:rPr>
          <w:rFonts w:hint="cs"/>
          <w:rtl/>
        </w:rPr>
        <w:t xml:space="preserve"> </w:t>
      </w:r>
      <w:r w:rsidRPr="00CA181D">
        <w:rPr>
          <w:rStyle w:val="af7"/>
          <w:rFonts w:eastAsia="Guttman Hodes" w:hint="cs"/>
          <w:rtl/>
        </w:rPr>
        <w:t xml:space="preserve">(עי' אות </w:t>
      </w:r>
      <w:r w:rsidRPr="00CA181D">
        <w:rPr>
          <w:rStyle w:val="af7"/>
          <w:rFonts w:eastAsia="Guttman Hodes"/>
          <w:rtl/>
        </w:rPr>
        <w:fldChar w:fldCharType="begin"/>
      </w:r>
      <w:r w:rsidRPr="00CA181D">
        <w:rPr>
          <w:rStyle w:val="af7"/>
          <w:rFonts w:eastAsia="Guttman Hodes"/>
          <w:rtl/>
        </w:rPr>
        <w:instrText xml:space="preserve"> </w:instrText>
      </w:r>
      <w:r w:rsidRPr="00CA181D">
        <w:rPr>
          <w:rStyle w:val="af7"/>
          <w:rFonts w:eastAsia="Guttman Hodes" w:hint="cs"/>
        </w:rPr>
        <w:instrText>REF</w:instrText>
      </w:r>
      <w:r w:rsidRPr="00CA181D">
        <w:rPr>
          <w:rStyle w:val="af7"/>
          <w:rFonts w:eastAsia="Guttman Hodes" w:hint="cs"/>
          <w:rtl/>
        </w:rPr>
        <w:instrText xml:space="preserve"> _</w:instrText>
      </w:r>
      <w:r w:rsidRPr="00CA181D">
        <w:rPr>
          <w:rStyle w:val="af7"/>
          <w:rFonts w:eastAsia="Guttman Hodes" w:hint="cs"/>
        </w:rPr>
        <w:instrText>Ref531812021 \r \h</w:instrText>
      </w:r>
      <w:r w:rsidRPr="00CA181D">
        <w:rPr>
          <w:rStyle w:val="af7"/>
          <w:rFonts w:eastAsia="Guttman Hodes"/>
          <w:rtl/>
        </w:rPr>
        <w:instrText xml:space="preserve"> </w:instrText>
      </w:r>
      <w:r w:rsidRPr="00CA181D">
        <w:rPr>
          <w:rStyle w:val="af7"/>
          <w:rFonts w:eastAsia="Guttman Hodes"/>
          <w:rtl/>
        </w:rPr>
      </w:r>
      <w:r w:rsidRPr="00CA181D">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CA181D">
        <w:rPr>
          <w:rStyle w:val="af7"/>
          <w:rFonts w:eastAsia="Guttman Hodes"/>
          <w:rtl/>
        </w:rPr>
        <w:fldChar w:fldCharType="end"/>
      </w:r>
      <w:r>
        <w:rPr>
          <w:rFonts w:hint="cs"/>
          <w:rtl/>
        </w:rPr>
        <w:t xml:space="preserve"> בדעת </w:t>
      </w:r>
      <w:r w:rsidRPr="00CA181D">
        <w:rPr>
          <w:rStyle w:val="af9"/>
          <w:rFonts w:hint="cs"/>
          <w:rtl/>
        </w:rPr>
        <w:t>רש"י</w:t>
      </w:r>
      <w:r>
        <w:rPr>
          <w:rFonts w:hint="cs"/>
          <w:rtl/>
        </w:rPr>
        <w:t>.</w:t>
      </w:r>
      <w:bookmarkEnd w:id="11935"/>
    </w:p>
    <w:p w14:paraId="36A5DDE6" w14:textId="77777777" w:rsidR="003D04E6" w:rsidRDefault="003D04E6" w:rsidP="00BF39B2">
      <w:pPr>
        <w:pStyle w:val="1"/>
        <w:rPr>
          <w:rtl/>
        </w:rPr>
      </w:pPr>
      <w:bookmarkStart w:id="11939" w:name="_Toc531638974"/>
      <w:bookmarkStart w:id="11940" w:name="_Toc531776383"/>
      <w:bookmarkStart w:id="11941" w:name="_Toc531817570"/>
      <w:bookmarkStart w:id="11942" w:name="_Toc531819670"/>
      <w:bookmarkStart w:id="11943" w:name="_Toc19390565"/>
      <w:bookmarkStart w:id="11944" w:name="_Toc19394062"/>
      <w:bookmarkStart w:id="11945" w:name="_Toc531622043"/>
      <w:bookmarkStart w:id="11946" w:name="_Toc531629699"/>
      <w:bookmarkStart w:id="11947" w:name="_Toc531638970"/>
      <w:bookmarkStart w:id="11948" w:name="_Toc531776379"/>
      <w:r>
        <w:rPr>
          <w:rFonts w:hint="cs"/>
          <w:rtl/>
        </w:rPr>
        <w:t>ביאור הר"ן במתני' כל"ב דנחלקו רק בהתחיל לשחוט בהגרמה</w:t>
      </w:r>
      <w:bookmarkEnd w:id="11939"/>
      <w:bookmarkEnd w:id="11940"/>
      <w:bookmarkEnd w:id="11941"/>
      <w:bookmarkEnd w:id="11942"/>
      <w:bookmarkEnd w:id="11943"/>
      <w:bookmarkEnd w:id="11944"/>
    </w:p>
    <w:p w14:paraId="143E86EA" w14:textId="77777777" w:rsidR="003D04E6" w:rsidRPr="00400B33" w:rsidRDefault="003D04E6" w:rsidP="006D6D32">
      <w:pPr>
        <w:pStyle w:val="a3"/>
        <w:rPr>
          <w:rtl/>
        </w:rPr>
      </w:pPr>
      <w:bookmarkStart w:id="11949" w:name="_Toc531817571"/>
      <w:bookmarkStart w:id="11950" w:name="_Toc531819671"/>
      <w:bookmarkStart w:id="11951" w:name="_Toc19390566"/>
      <w:bookmarkStart w:id="11952" w:name="_Toc19394063"/>
      <w:r>
        <w:rPr>
          <w:rFonts w:hint="cs"/>
          <w:rtl/>
        </w:rPr>
        <w:t>ביאור הר"ן במתני' כל"ב דהגרים בתחילת השחיטה אבל בשחט רוב כדין מודו רבנן דכשר</w:t>
      </w:r>
      <w:bookmarkEnd w:id="11949"/>
      <w:bookmarkEnd w:id="11950"/>
      <w:bookmarkEnd w:id="11951"/>
      <w:bookmarkEnd w:id="11952"/>
    </w:p>
    <w:p w14:paraId="3DCA87FD" w14:textId="77777777" w:rsidR="003D04E6" w:rsidRDefault="003D04E6" w:rsidP="00223668">
      <w:pPr>
        <w:pStyle w:val="a0"/>
        <w:rPr>
          <w:rtl/>
        </w:rPr>
      </w:pPr>
      <w:r w:rsidRPr="008D50E5">
        <w:rPr>
          <w:rFonts w:hint="cs"/>
          <w:rtl/>
        </w:rPr>
        <w:t xml:space="preserve">אבל </w:t>
      </w:r>
      <w:r w:rsidRPr="00400B33">
        <w:rPr>
          <w:rStyle w:val="af9"/>
          <w:rFonts w:hint="cs"/>
          <w:rtl/>
        </w:rPr>
        <w:t>הר"ן על הרי"ף</w:t>
      </w:r>
      <w:r w:rsidRPr="008D50E5">
        <w:rPr>
          <w:rFonts w:hint="cs"/>
          <w:rtl/>
        </w:rPr>
        <w:t xml:space="preserve"> </w:t>
      </w:r>
      <w:r w:rsidRPr="00400B33">
        <w:rPr>
          <w:rStyle w:val="af7"/>
          <w:rFonts w:eastAsia="Guttman Hodes" w:hint="cs"/>
          <w:rtl/>
        </w:rPr>
        <w:t>(ה. מדפי הרי"ף ד"ה השוחט)</w:t>
      </w:r>
      <w:r w:rsidRPr="008D50E5">
        <w:rPr>
          <w:rFonts w:hint="cs"/>
          <w:rtl/>
        </w:rPr>
        <w:t xml:space="preserve"> ביאר את המשנה לפי הל"ב דרב הונא לקמן </w:t>
      </w:r>
      <w:r w:rsidRPr="00400B33">
        <w:rPr>
          <w:rStyle w:val="af7"/>
          <w:rFonts w:eastAsia="Guttman Hodes" w:hint="cs"/>
          <w:rtl/>
        </w:rPr>
        <w:t>(יט.)</w:t>
      </w:r>
      <w:r>
        <w:rPr>
          <w:rFonts w:hint="cs"/>
          <w:rtl/>
        </w:rPr>
        <w:t xml:space="preserve"> דההגרמה הייתה בתחילת השחיטה, וס"ל לרבנן שמקום שהשחיטה היא מהטבעת הגדולה ולמטה, ולמעלה מהטבעת הגדולה אינו מקום שחיטה, ואם התחיל למעלה ממקום שחיטה לחתוך את הקנה אפילו כל שהוא שחיטתו פסולה, ומודו רבנן דאם שחט בתחילה את רוב הטבעת, ואח"כ הגרים השחיטה כשרה, כמתני' לקמן </w:t>
      </w:r>
      <w:r w:rsidRPr="00400B33">
        <w:rPr>
          <w:rStyle w:val="af7"/>
          <w:rFonts w:eastAsia="Guttman Hodes" w:hint="cs"/>
          <w:rtl/>
        </w:rPr>
        <w:t>(כז.)</w:t>
      </w:r>
      <w:r>
        <w:rPr>
          <w:rFonts w:hint="cs"/>
          <w:rtl/>
        </w:rPr>
        <w:t xml:space="preserve"> דאמרינן בשחיטה רובו של אחד כמוהו, והא דתנן במתני' דצריך לשייר מלא החוט על פני כולה, היינו למעט שאם התחיל בהגרמה פסול.</w:t>
      </w:r>
    </w:p>
    <w:p w14:paraId="1DCFCB9B" w14:textId="77777777" w:rsidR="003D04E6" w:rsidRDefault="003D04E6" w:rsidP="006D6D32">
      <w:pPr>
        <w:pStyle w:val="a3"/>
        <w:rPr>
          <w:rtl/>
        </w:rPr>
      </w:pPr>
      <w:bookmarkStart w:id="11953" w:name="_Toc531817572"/>
      <w:bookmarkStart w:id="11954" w:name="_Toc531819672"/>
      <w:bookmarkStart w:id="11955" w:name="_Toc19390567"/>
      <w:bookmarkStart w:id="11956" w:name="_Toc19394064"/>
      <w:r>
        <w:rPr>
          <w:rFonts w:hint="cs"/>
          <w:rtl/>
        </w:rPr>
        <w:t>ביאור הר"ן במתני' כל"ב דלרבר"י אף בהתחיל להגרים אם שחט את הרוב כדין כשר</w:t>
      </w:r>
      <w:bookmarkEnd w:id="11953"/>
      <w:bookmarkEnd w:id="11954"/>
      <w:bookmarkEnd w:id="11955"/>
      <w:bookmarkEnd w:id="11956"/>
    </w:p>
    <w:p w14:paraId="47C2B2DA" w14:textId="77777777" w:rsidR="003D04E6" w:rsidRDefault="003D04E6" w:rsidP="00223668">
      <w:pPr>
        <w:pStyle w:val="a0"/>
        <w:rPr>
          <w:rtl/>
        </w:rPr>
      </w:pPr>
      <w:r>
        <w:rPr>
          <w:rFonts w:hint="cs"/>
          <w:rtl/>
        </w:rPr>
        <w:t>ובדעת ריבר</w:t>
      </w:r>
      <w:r>
        <w:rPr>
          <w:rtl/>
        </w:rPr>
        <w:t>"</w:t>
      </w:r>
      <w:r>
        <w:rPr>
          <w:rFonts w:hint="cs"/>
          <w:rtl/>
        </w:rPr>
        <w:t xml:space="preserve">י ביאר </w:t>
      </w:r>
      <w:r w:rsidRPr="00400B33">
        <w:rPr>
          <w:rStyle w:val="af9"/>
          <w:rFonts w:hint="cs"/>
          <w:rtl/>
        </w:rPr>
        <w:t>הר"ן על הרי"ף</w:t>
      </w:r>
      <w:r>
        <w:rPr>
          <w:rFonts w:hint="cs"/>
          <w:rtl/>
        </w:rPr>
        <w:t xml:space="preserve"> כל"ב דרב </w:t>
      </w:r>
      <w:r w:rsidRPr="008D50E5">
        <w:rPr>
          <w:rFonts w:hint="cs"/>
          <w:rtl/>
        </w:rPr>
        <w:t xml:space="preserve">הונא לקמן </w:t>
      </w:r>
      <w:r w:rsidRPr="00400B33">
        <w:rPr>
          <w:rStyle w:val="af7"/>
          <w:rFonts w:eastAsia="Guttman Hodes" w:hint="cs"/>
          <w:rtl/>
        </w:rPr>
        <w:t>(יט.)</w:t>
      </w:r>
      <w:r>
        <w:rPr>
          <w:rFonts w:hint="cs"/>
          <w:rtl/>
        </w:rPr>
        <w:t xml:space="preserve">, דאף אם התחיל להגרים מעל הטבעת הגדולה, מ"מ אם המשיך לשחוט את רוב השחיטה בתוך הטבעת כשרה, אך כתב </w:t>
      </w:r>
      <w:r w:rsidRPr="00400B33">
        <w:rPr>
          <w:rStyle w:val="af9"/>
          <w:rFonts w:hint="cs"/>
          <w:rtl/>
        </w:rPr>
        <w:t>הר"ן על הרי"ף</w:t>
      </w:r>
      <w:r>
        <w:rPr>
          <w:rFonts w:hint="cs"/>
          <w:rtl/>
        </w:rPr>
        <w:t xml:space="preserve"> דבין לרבנן ובין לריבר</w:t>
      </w:r>
      <w:r>
        <w:rPr>
          <w:rtl/>
        </w:rPr>
        <w:t>"</w:t>
      </w:r>
      <w:r>
        <w:rPr>
          <w:rFonts w:hint="cs"/>
          <w:rtl/>
        </w:rPr>
        <w:t xml:space="preserve">י ס"ל דלמעלה מהטבעת הגדולה, אינו מקום שחיטה, וכתב </w:t>
      </w:r>
      <w:r w:rsidRPr="00400B33">
        <w:rPr>
          <w:rStyle w:val="af9"/>
          <w:rFonts w:hint="cs"/>
          <w:rtl/>
        </w:rPr>
        <w:t>הר"ן על הרי"ף</w:t>
      </w:r>
      <w:r>
        <w:rPr>
          <w:rFonts w:hint="cs"/>
          <w:rtl/>
        </w:rPr>
        <w:t xml:space="preserve"> דלא קיי"ל כוותיהו אלא דמשיפוי כובע ולמטה שחיטתו כשרה. </w:t>
      </w:r>
    </w:p>
    <w:p w14:paraId="13544238" w14:textId="77777777" w:rsidR="003D04E6" w:rsidRDefault="003D04E6" w:rsidP="00BF39B2">
      <w:pPr>
        <w:pStyle w:val="1"/>
        <w:rPr>
          <w:rtl/>
        </w:rPr>
      </w:pPr>
      <w:bookmarkStart w:id="11957" w:name="_Toc531817573"/>
      <w:bookmarkStart w:id="11958" w:name="_Toc531819673"/>
      <w:bookmarkStart w:id="11959" w:name="_Toc19390568"/>
      <w:bookmarkStart w:id="11960" w:name="_Toc19394065"/>
      <w:r>
        <w:rPr>
          <w:rFonts w:hint="cs"/>
          <w:rtl/>
        </w:rPr>
        <w:t>דעת הי"מ</w:t>
      </w:r>
      <w:bookmarkEnd w:id="11936"/>
      <w:bookmarkEnd w:id="11937"/>
      <w:bookmarkEnd w:id="11938"/>
      <w:r>
        <w:rPr>
          <w:rFonts w:hint="cs"/>
          <w:rtl/>
        </w:rPr>
        <w:t xml:space="preserve"> ברש"י</w:t>
      </w:r>
      <w:bookmarkEnd w:id="11945"/>
      <w:bookmarkEnd w:id="11946"/>
      <w:bookmarkEnd w:id="11947"/>
      <w:bookmarkEnd w:id="11948"/>
      <w:bookmarkEnd w:id="11957"/>
      <w:bookmarkEnd w:id="11958"/>
      <w:r>
        <w:rPr>
          <w:rFonts w:hint="cs"/>
          <w:rtl/>
        </w:rPr>
        <w:t xml:space="preserve"> דנחלקו בהתחיל לשחוט בתוך הטבעת</w:t>
      </w:r>
      <w:bookmarkEnd w:id="11959"/>
      <w:bookmarkEnd w:id="11960"/>
    </w:p>
    <w:p w14:paraId="227D1CD6" w14:textId="77777777" w:rsidR="003D04E6" w:rsidRPr="006854B5" w:rsidRDefault="003D04E6" w:rsidP="006D6D32">
      <w:pPr>
        <w:pStyle w:val="a3"/>
        <w:rPr>
          <w:rtl/>
        </w:rPr>
      </w:pPr>
      <w:bookmarkStart w:id="11961" w:name="_Toc531817574"/>
      <w:bookmarkStart w:id="11962" w:name="_Toc531819674"/>
      <w:bookmarkStart w:id="11963" w:name="_Toc19390569"/>
      <w:bookmarkStart w:id="11964" w:name="_Toc19394066"/>
      <w:r>
        <w:rPr>
          <w:rFonts w:hint="cs"/>
          <w:rtl/>
        </w:rPr>
        <w:t>ביאור הי"מ דרבר"י ורבנן נחלקו בהתחיל לשחוט בתוך אחת מהטבעות והגרים למעלה ממנה</w:t>
      </w:r>
      <w:bookmarkEnd w:id="11961"/>
      <w:bookmarkEnd w:id="11962"/>
      <w:bookmarkEnd w:id="11963"/>
      <w:bookmarkEnd w:id="11964"/>
      <w:r>
        <w:rPr>
          <w:rFonts w:hint="cs"/>
          <w:rtl/>
        </w:rPr>
        <w:t xml:space="preserve"> </w:t>
      </w:r>
    </w:p>
    <w:p w14:paraId="34C803F3" w14:textId="77777777" w:rsidR="003D04E6" w:rsidRDefault="003D04E6" w:rsidP="00223668">
      <w:pPr>
        <w:pStyle w:val="a0"/>
        <w:rPr>
          <w:rtl/>
        </w:rPr>
      </w:pPr>
      <w:bookmarkStart w:id="11965" w:name="_Ref531549260"/>
      <w:r>
        <w:rPr>
          <w:rFonts w:hint="cs"/>
          <w:rtl/>
        </w:rPr>
        <w:t xml:space="preserve">הביא </w:t>
      </w:r>
      <w:r w:rsidRPr="00941438">
        <w:rPr>
          <w:rStyle w:val="af9"/>
          <w:rFonts w:hint="cs"/>
          <w:rtl/>
        </w:rPr>
        <w:t>רש"י</w:t>
      </w:r>
      <w:r>
        <w:rPr>
          <w:rFonts w:hint="cs"/>
          <w:rtl/>
        </w:rPr>
        <w:t xml:space="preserve"> </w:t>
      </w:r>
      <w:r w:rsidRPr="00941438">
        <w:rPr>
          <w:rStyle w:val="af7"/>
          <w:rFonts w:eastAsia="Guttman Hodes" w:hint="cs"/>
          <w:rtl/>
        </w:rPr>
        <w:t>(ד"ה ר"י)</w:t>
      </w:r>
      <w:r>
        <w:rPr>
          <w:rFonts w:hint="cs"/>
          <w:rtl/>
        </w:rPr>
        <w:t xml:space="preserve"> בשם </w:t>
      </w:r>
      <w:r w:rsidRPr="00941438">
        <w:rPr>
          <w:rStyle w:val="af9"/>
          <w:rFonts w:hint="cs"/>
          <w:rtl/>
        </w:rPr>
        <w:t>י"מ</w:t>
      </w:r>
      <w:r>
        <w:rPr>
          <w:rFonts w:hint="cs"/>
          <w:rtl/>
        </w:rPr>
        <w:t xml:space="preserve"> דההגרמה אינה רק למעלה מהטבעת הגדולה שהיא הטבעת העליונה, אלא כל שהתחיל לשחוט בטבעת אחת בקנה, צריך לגמור את השחיטה באותה הטבעת, ואם הגרים למעלה מהטבעת שהתחיל לשחוט בה פסול, ולרבנן צריך לגמור את כל השחיטה באותה הטבעת, ולריבר</w:t>
      </w:r>
      <w:r>
        <w:rPr>
          <w:rtl/>
        </w:rPr>
        <w:t>"</w:t>
      </w:r>
      <w:r>
        <w:rPr>
          <w:rFonts w:hint="cs"/>
          <w:rtl/>
        </w:rPr>
        <w:t xml:space="preserve">י צריך לשחוט את רוב השחיטה באותה הטבעת, ועי' במה שהקשה </w:t>
      </w:r>
      <w:r w:rsidRPr="007452E4">
        <w:rPr>
          <w:rStyle w:val="af9"/>
          <w:rFonts w:hint="cs"/>
          <w:rtl/>
        </w:rPr>
        <w:t>הגרא"ו</w:t>
      </w:r>
      <w:bookmarkEnd w:id="11965"/>
      <w:r>
        <w:rPr>
          <w:rFonts w:hint="cs"/>
          <w:rtl/>
        </w:rPr>
        <w:t xml:space="preserve"> </w:t>
      </w:r>
      <w:r w:rsidRPr="00E80B02">
        <w:rPr>
          <w:rStyle w:val="af7"/>
          <w:rFonts w:eastAsia="Guttman Hodes" w:hint="cs"/>
          <w:rtl/>
        </w:rPr>
        <w:t xml:space="preserve">(עי' אות </w:t>
      </w:r>
      <w:r w:rsidRPr="00E80B02">
        <w:rPr>
          <w:rStyle w:val="af7"/>
          <w:rFonts w:eastAsia="Guttman Hodes"/>
          <w:rtl/>
        </w:rPr>
        <w:fldChar w:fldCharType="begin"/>
      </w:r>
      <w:r w:rsidRPr="00E80B02">
        <w:rPr>
          <w:rStyle w:val="af7"/>
          <w:rFonts w:eastAsia="Guttman Hodes"/>
          <w:rtl/>
        </w:rPr>
        <w:instrText xml:space="preserve"> </w:instrText>
      </w:r>
      <w:r w:rsidRPr="00E80B02">
        <w:rPr>
          <w:rStyle w:val="af7"/>
          <w:rFonts w:eastAsia="Guttman Hodes" w:hint="cs"/>
        </w:rPr>
        <w:instrText>REF</w:instrText>
      </w:r>
      <w:r w:rsidRPr="00E80B02">
        <w:rPr>
          <w:rStyle w:val="af7"/>
          <w:rFonts w:eastAsia="Guttman Hodes" w:hint="cs"/>
          <w:rtl/>
        </w:rPr>
        <w:instrText xml:space="preserve"> _</w:instrText>
      </w:r>
      <w:r w:rsidRPr="00E80B02">
        <w:rPr>
          <w:rStyle w:val="af7"/>
          <w:rFonts w:eastAsia="Guttman Hodes" w:hint="cs"/>
        </w:rPr>
        <w:instrText>Ref531819410 \r \h</w:instrText>
      </w:r>
      <w:r w:rsidRPr="00E80B02">
        <w:rPr>
          <w:rStyle w:val="af7"/>
          <w:rFonts w:eastAsia="Guttman Hodes"/>
          <w:rtl/>
        </w:rPr>
        <w:instrText xml:space="preserve"> </w:instrText>
      </w:r>
      <w:r w:rsidRPr="00E80B02">
        <w:rPr>
          <w:rStyle w:val="af7"/>
          <w:rFonts w:eastAsia="Guttman Hodes"/>
          <w:rtl/>
        </w:rPr>
      </w:r>
      <w:r w:rsidRPr="00E80B02">
        <w:rPr>
          <w:rStyle w:val="af7"/>
          <w:rFonts w:eastAsia="Guttman Hodes"/>
          <w:rtl/>
        </w:rPr>
        <w:fldChar w:fldCharType="separate"/>
      </w:r>
      <w:r w:rsidR="00345400">
        <w:rPr>
          <w:rStyle w:val="af7"/>
          <w:rFonts w:eastAsia="Guttman Hodes"/>
          <w:cs/>
        </w:rPr>
        <w:t>‎</w:t>
      </w:r>
      <w:r w:rsidR="00345400">
        <w:rPr>
          <w:rStyle w:val="af7"/>
          <w:rFonts w:eastAsia="Guttman Hodes"/>
          <w:rtl/>
        </w:rPr>
        <w:t>צ)</w:t>
      </w:r>
      <w:r w:rsidRPr="00E80B02">
        <w:rPr>
          <w:rStyle w:val="af7"/>
          <w:rFonts w:eastAsia="Guttman Hodes"/>
          <w:rtl/>
        </w:rPr>
        <w:fldChar w:fldCharType="end"/>
      </w:r>
      <w:r>
        <w:rPr>
          <w:rFonts w:hint="cs"/>
          <w:rtl/>
        </w:rPr>
        <w:t xml:space="preserve">. </w:t>
      </w:r>
    </w:p>
    <w:p w14:paraId="784C62AE" w14:textId="77777777" w:rsidR="003D04E6" w:rsidRPr="00367FF2" w:rsidRDefault="003D04E6" w:rsidP="006D6D32">
      <w:pPr>
        <w:pStyle w:val="a3"/>
        <w:rPr>
          <w:rtl/>
        </w:rPr>
      </w:pPr>
      <w:bookmarkStart w:id="11966" w:name="_Toc531817575"/>
      <w:bookmarkStart w:id="11967" w:name="_Toc531819675"/>
      <w:bookmarkStart w:id="11968" w:name="_Toc19390570"/>
      <w:bookmarkStart w:id="11969" w:name="_Toc19394067"/>
      <w:r>
        <w:rPr>
          <w:rFonts w:hint="cs"/>
          <w:rtl/>
        </w:rPr>
        <w:t xml:space="preserve">ביאור רש"י </w:t>
      </w:r>
      <w:r w:rsidRPr="00367FF2">
        <w:rPr>
          <w:rFonts w:hint="cs"/>
          <w:rtl/>
        </w:rPr>
        <w:t xml:space="preserve">בב"ק </w:t>
      </w:r>
      <w:r>
        <w:rPr>
          <w:rFonts w:hint="cs"/>
          <w:rtl/>
        </w:rPr>
        <w:t>כדעת</w:t>
      </w:r>
      <w:r w:rsidRPr="00367FF2">
        <w:rPr>
          <w:rFonts w:hint="cs"/>
          <w:rtl/>
        </w:rPr>
        <w:t xml:space="preserve"> הי"מ </w:t>
      </w:r>
      <w:r>
        <w:rPr>
          <w:rFonts w:hint="cs"/>
          <w:rtl/>
        </w:rPr>
        <w:t>ברש"י בסוגיין דהגרים לבין הטבעות</w:t>
      </w:r>
      <w:bookmarkEnd w:id="11966"/>
      <w:bookmarkEnd w:id="11967"/>
      <w:bookmarkEnd w:id="11968"/>
      <w:bookmarkEnd w:id="11969"/>
    </w:p>
    <w:p w14:paraId="2572B283" w14:textId="77777777" w:rsidR="003D04E6" w:rsidRPr="00F926DF" w:rsidRDefault="003D04E6" w:rsidP="00223668">
      <w:pPr>
        <w:pStyle w:val="a0"/>
        <w:rPr>
          <w:rStyle w:val="afb"/>
          <w:rtl/>
        </w:rPr>
      </w:pPr>
      <w:bookmarkStart w:id="11970" w:name="_Ref531709262"/>
      <w:r w:rsidRPr="00367FF2">
        <w:rPr>
          <w:rFonts w:hint="cs"/>
          <w:rtl/>
        </w:rPr>
        <w:t xml:space="preserve">וציין </w:t>
      </w:r>
      <w:r w:rsidRPr="00367FF2">
        <w:rPr>
          <w:rStyle w:val="af9"/>
          <w:rFonts w:hint="cs"/>
          <w:rtl/>
        </w:rPr>
        <w:t>בשיטמ"ק</w:t>
      </w:r>
      <w:r w:rsidRPr="00367FF2">
        <w:rPr>
          <w:rFonts w:hint="cs"/>
          <w:rtl/>
        </w:rPr>
        <w:t xml:space="preserve"> </w:t>
      </w:r>
      <w:r w:rsidRPr="00F926DF">
        <w:rPr>
          <w:rStyle w:val="af7"/>
          <w:rFonts w:eastAsia="Guttman Hodes" w:hint="cs"/>
          <w:rtl/>
        </w:rPr>
        <w:t>(ד"ה השוחט)</w:t>
      </w:r>
      <w:r w:rsidRPr="005C235D">
        <w:rPr>
          <w:rStyle w:val="af7"/>
          <w:rFonts w:eastAsia="Guttman Hodes" w:hint="cs"/>
          <w:rtl/>
        </w:rPr>
        <w:t xml:space="preserve"> </w:t>
      </w:r>
      <w:r w:rsidRPr="00367FF2">
        <w:rPr>
          <w:rStyle w:val="af9"/>
          <w:rFonts w:hint="cs"/>
          <w:rtl/>
        </w:rPr>
        <w:t>דרש"י בב"ק</w:t>
      </w:r>
      <w:r w:rsidRPr="00367FF2">
        <w:rPr>
          <w:rFonts w:hint="cs"/>
          <w:rtl/>
        </w:rPr>
        <w:t xml:space="preserve"> </w:t>
      </w:r>
      <w:r w:rsidRPr="00F926DF">
        <w:rPr>
          <w:rStyle w:val="af7"/>
          <w:rFonts w:eastAsia="Guttman Hodes" w:hint="cs"/>
          <w:rtl/>
        </w:rPr>
        <w:t>(צט: ד"ה מגרומתא)</w:t>
      </w:r>
      <w:r w:rsidRPr="00367FF2">
        <w:rPr>
          <w:rFonts w:hint="cs"/>
          <w:rtl/>
        </w:rPr>
        <w:t xml:space="preserve"> ביאר כדעת </w:t>
      </w:r>
      <w:r w:rsidRPr="00367FF2">
        <w:rPr>
          <w:rStyle w:val="af9"/>
          <w:rFonts w:hint="cs"/>
          <w:rtl/>
        </w:rPr>
        <w:t>הי"מ</w:t>
      </w:r>
      <w:r w:rsidRPr="00367FF2">
        <w:rPr>
          <w:rFonts w:hint="cs"/>
          <w:rtl/>
        </w:rPr>
        <w:t xml:space="preserve"> </w:t>
      </w:r>
      <w:r>
        <w:rPr>
          <w:rFonts w:hint="cs"/>
          <w:rtl/>
        </w:rPr>
        <w:t>דנחלקו ריבר"י ורבנן בשחט מתוך אחת מהטבעות, והגרים מחוצה לה לבין טבעת לטבעת.</w:t>
      </w:r>
      <w:r w:rsidRPr="00367FF2">
        <w:rPr>
          <w:rFonts w:hint="cs"/>
          <w:rtl/>
        </w:rPr>
        <w:t xml:space="preserve"> ועי' במה שביארו </w:t>
      </w:r>
      <w:r w:rsidRPr="00367FF2">
        <w:rPr>
          <w:rStyle w:val="af9"/>
          <w:rFonts w:hint="cs"/>
          <w:rtl/>
        </w:rPr>
        <w:t>ה</w:t>
      </w:r>
      <w:r w:rsidR="00345400">
        <w:rPr>
          <w:rStyle w:val="af9"/>
          <w:rFonts w:hint="cs"/>
          <w:rtl/>
        </w:rPr>
        <w:t>פלתי</w:t>
      </w:r>
      <w:r w:rsidRPr="00367FF2">
        <w:rPr>
          <w:rStyle w:val="af9"/>
          <w:rFonts w:hint="cs"/>
          <w:rtl/>
        </w:rPr>
        <w:t xml:space="preserve"> </w:t>
      </w:r>
      <w:r w:rsidRPr="00F926DF">
        <w:rPr>
          <w:rStyle w:val="af7"/>
          <w:rFonts w:eastAsia="Guttman Hodes" w:hint="cs"/>
          <w:rtl/>
        </w:rPr>
        <w:t>(סי' כ' סק"א)</w:t>
      </w:r>
      <w:r w:rsidRPr="00367FF2">
        <w:rPr>
          <w:rFonts w:hint="cs"/>
          <w:rtl/>
        </w:rPr>
        <w:t xml:space="preserve"> </w:t>
      </w:r>
      <w:r w:rsidRPr="00367FF2">
        <w:rPr>
          <w:rStyle w:val="af9"/>
          <w:rFonts w:hint="cs"/>
          <w:rtl/>
        </w:rPr>
        <w:t>והחת"ס</w:t>
      </w:r>
      <w:r w:rsidRPr="00367FF2">
        <w:rPr>
          <w:rFonts w:hint="cs"/>
          <w:rtl/>
        </w:rPr>
        <w:t xml:space="preserve"> </w:t>
      </w:r>
      <w:r w:rsidRPr="00F926DF">
        <w:rPr>
          <w:rStyle w:val="af7"/>
          <w:rFonts w:eastAsia="Guttman Hodes" w:hint="cs"/>
          <w:rtl/>
        </w:rPr>
        <w:t>(יח: ד"ה והא)</w:t>
      </w:r>
      <w:r w:rsidRPr="00367FF2">
        <w:rPr>
          <w:rFonts w:hint="cs"/>
          <w:rtl/>
        </w:rPr>
        <w:t xml:space="preserve"> </w:t>
      </w:r>
      <w:r w:rsidRPr="00367FF2">
        <w:rPr>
          <w:rStyle w:val="af9"/>
          <w:rFonts w:hint="cs"/>
          <w:rtl/>
        </w:rPr>
        <w:t>והצל"ח</w:t>
      </w:r>
      <w:r w:rsidRPr="00367FF2">
        <w:rPr>
          <w:rFonts w:hint="cs"/>
          <w:rtl/>
        </w:rPr>
        <w:t xml:space="preserve"> </w:t>
      </w:r>
      <w:r w:rsidRPr="00F926DF">
        <w:rPr>
          <w:rStyle w:val="af7"/>
          <w:rFonts w:eastAsia="Guttman Hodes" w:hint="cs"/>
          <w:rtl/>
        </w:rPr>
        <w:t>(ד"ה ובזה נלע"ד לתרץ)</w:t>
      </w:r>
      <w:r w:rsidRPr="00367FF2">
        <w:rPr>
          <w:rFonts w:hint="cs"/>
          <w:rtl/>
        </w:rPr>
        <w:t xml:space="preserve"> אמאי פירש </w:t>
      </w:r>
      <w:r w:rsidRPr="00367FF2">
        <w:rPr>
          <w:rStyle w:val="af9"/>
          <w:rFonts w:hint="cs"/>
          <w:rtl/>
        </w:rPr>
        <w:t xml:space="preserve">רש"י בב"ק </w:t>
      </w:r>
      <w:r w:rsidRPr="00367FF2">
        <w:rPr>
          <w:rFonts w:hint="cs"/>
          <w:rtl/>
        </w:rPr>
        <w:t xml:space="preserve">כדעת </w:t>
      </w:r>
      <w:r w:rsidRPr="00367FF2">
        <w:rPr>
          <w:rStyle w:val="af9"/>
          <w:rFonts w:hint="cs"/>
          <w:rtl/>
        </w:rPr>
        <w:t>הי"מ</w:t>
      </w:r>
      <w:r w:rsidRPr="00367FF2">
        <w:rPr>
          <w:rFonts w:hint="cs"/>
          <w:rtl/>
        </w:rPr>
        <w:t>.</w:t>
      </w:r>
      <w:bookmarkEnd w:id="11970"/>
      <w:r w:rsidRPr="00367FF2">
        <w:rPr>
          <w:rFonts w:hint="cs"/>
          <w:rtl/>
        </w:rPr>
        <w:t xml:space="preserve"> </w:t>
      </w:r>
    </w:p>
    <w:p w14:paraId="3C370476" w14:textId="77777777" w:rsidR="003D04E6" w:rsidRDefault="003D04E6" w:rsidP="00BF39B2">
      <w:pPr>
        <w:pStyle w:val="1"/>
        <w:rPr>
          <w:rtl/>
        </w:rPr>
      </w:pPr>
      <w:bookmarkStart w:id="11971" w:name="_Toc531817576"/>
      <w:bookmarkStart w:id="11972" w:name="_Toc531819676"/>
      <w:bookmarkStart w:id="11973" w:name="_Toc19390571"/>
      <w:bookmarkStart w:id="11974" w:name="_Toc19394068"/>
      <w:r>
        <w:rPr>
          <w:rFonts w:hint="cs"/>
          <w:rtl/>
        </w:rPr>
        <w:t>ביאור השיטמ"ק בדעת הי"מ ברש"י</w:t>
      </w:r>
      <w:bookmarkEnd w:id="11971"/>
      <w:bookmarkEnd w:id="11972"/>
      <w:bookmarkEnd w:id="11973"/>
      <w:bookmarkEnd w:id="11974"/>
    </w:p>
    <w:p w14:paraId="25B2F78A" w14:textId="77777777" w:rsidR="003D04E6" w:rsidRDefault="003D04E6" w:rsidP="006D6D32">
      <w:pPr>
        <w:pStyle w:val="a3"/>
        <w:rPr>
          <w:rtl/>
        </w:rPr>
      </w:pPr>
      <w:bookmarkStart w:id="11975" w:name="_Toc531817577"/>
      <w:bookmarkStart w:id="11976" w:name="_Toc531819677"/>
      <w:bookmarkStart w:id="11977" w:name="_Toc19390572"/>
      <w:bookmarkStart w:id="11978" w:name="_Toc19394069"/>
      <w:r>
        <w:rPr>
          <w:rFonts w:hint="cs"/>
          <w:rtl/>
        </w:rPr>
        <w:t>ביאור השיטמ"ק בי"מ דרק כיון שהתחיל לשחוט בתוך הטבעת אסור לגמור בין הטבעות</w:t>
      </w:r>
      <w:bookmarkEnd w:id="11975"/>
      <w:bookmarkEnd w:id="11976"/>
      <w:bookmarkEnd w:id="11977"/>
      <w:bookmarkEnd w:id="11978"/>
    </w:p>
    <w:p w14:paraId="5DCF2659" w14:textId="77777777" w:rsidR="003D04E6" w:rsidRPr="00A22BB7" w:rsidRDefault="003D04E6" w:rsidP="00223668">
      <w:pPr>
        <w:pStyle w:val="a0"/>
        <w:rPr>
          <w:sz w:val="10"/>
          <w:szCs w:val="14"/>
          <w:rtl/>
        </w:rPr>
      </w:pPr>
      <w:bookmarkStart w:id="11979" w:name="_Ref531793669"/>
      <w:r>
        <w:rPr>
          <w:rFonts w:hint="cs"/>
          <w:rtl/>
        </w:rPr>
        <w:t>ו</w:t>
      </w:r>
      <w:r w:rsidRPr="001A2CD3">
        <w:rPr>
          <w:rFonts w:hint="cs"/>
          <w:rtl/>
        </w:rPr>
        <w:t xml:space="preserve">ביאר </w:t>
      </w:r>
      <w:r w:rsidRPr="001A2CD3">
        <w:rPr>
          <w:rStyle w:val="af9"/>
          <w:rFonts w:hint="cs"/>
          <w:rtl/>
        </w:rPr>
        <w:t>השיטמ"ק</w:t>
      </w:r>
      <w:r w:rsidRPr="001A2CD3">
        <w:rPr>
          <w:rFonts w:hint="cs"/>
          <w:rtl/>
        </w:rPr>
        <w:t xml:space="preserve"> </w:t>
      </w:r>
      <w:r w:rsidRPr="001A2CD3">
        <w:rPr>
          <w:rStyle w:val="af7"/>
          <w:rFonts w:eastAsia="Guttman Hodes" w:hint="cs"/>
          <w:rtl/>
        </w:rPr>
        <w:t xml:space="preserve">(ד"ה ויש לדקדק) </w:t>
      </w:r>
      <w:r w:rsidRPr="001A2CD3">
        <w:rPr>
          <w:rFonts w:hint="cs"/>
          <w:rtl/>
        </w:rPr>
        <w:t xml:space="preserve">את דעת </w:t>
      </w:r>
      <w:r w:rsidRPr="001A2CD3">
        <w:rPr>
          <w:rStyle w:val="af9"/>
          <w:rFonts w:hint="cs"/>
          <w:rtl/>
        </w:rPr>
        <w:t>הי"מ ברש"י</w:t>
      </w:r>
      <w:r w:rsidRPr="001A2CD3">
        <w:rPr>
          <w:rFonts w:hint="cs"/>
          <w:rtl/>
        </w:rPr>
        <w:t xml:space="preserve"> דס"ל דאף בין הטבעות הוא מקום הראוי לשחיטה, </w:t>
      </w:r>
      <w:r w:rsidRPr="001A2CD3">
        <w:rPr>
          <w:rStyle w:val="afb"/>
          <w:rFonts w:hint="cs"/>
          <w:rtl/>
        </w:rPr>
        <w:t>[ואם שחט מתחילה בין הטבעות כשר],</w:t>
      </w:r>
      <w:r w:rsidRPr="001A2CD3">
        <w:rPr>
          <w:rFonts w:hint="cs"/>
          <w:rtl/>
        </w:rPr>
        <w:t xml:space="preserve"> אלא דאם התחיל לשחוט בתוך הטבעת, צריך לגמור בה את השחיטה,</w:t>
      </w:r>
      <w:r>
        <w:rPr>
          <w:rFonts w:hint="cs"/>
          <w:rtl/>
        </w:rPr>
        <w:t xml:space="preserve"> ואם הגרים לבין הטבעות השחיטה פסולה. </w:t>
      </w:r>
      <w:r w:rsidRPr="005D59D3">
        <w:rPr>
          <w:rStyle w:val="afb"/>
          <w:rFonts w:hint="cs"/>
          <w:rtl/>
        </w:rPr>
        <w:t>[</w:t>
      </w:r>
      <w:r>
        <w:rPr>
          <w:rStyle w:val="afb"/>
          <w:rFonts w:hint="cs"/>
          <w:rtl/>
        </w:rPr>
        <w:t>ו</w:t>
      </w:r>
      <w:r w:rsidRPr="00A22BB7">
        <w:rPr>
          <w:rStyle w:val="afb"/>
          <w:rFonts w:hint="cs"/>
          <w:rtl/>
        </w:rPr>
        <w:t>דלא</w:t>
      </w:r>
      <w:r w:rsidRPr="005D59D3">
        <w:rPr>
          <w:rStyle w:val="afb"/>
          <w:rFonts w:hint="cs"/>
          <w:rtl/>
        </w:rPr>
        <w:t xml:space="preserve"> </w:t>
      </w:r>
      <w:r w:rsidRPr="005D59D3">
        <w:rPr>
          <w:rStyle w:val="affa"/>
          <w:rFonts w:hint="cs"/>
          <w:rtl/>
        </w:rPr>
        <w:t>כרבינו גרשום</w:t>
      </w:r>
      <w:r>
        <w:rPr>
          <w:rStyle w:val="afb"/>
          <w:rFonts w:hint="cs"/>
          <w:rtl/>
        </w:rPr>
        <w:t xml:space="preserve"> </w:t>
      </w:r>
      <w:r w:rsidRPr="00D41E86">
        <w:rPr>
          <w:rStyle w:val="aff6"/>
          <w:rFonts w:hint="cs"/>
          <w:rtl/>
        </w:rPr>
        <w:t xml:space="preserve">(עי' אות </w:t>
      </w:r>
      <w:r w:rsidRPr="00D41E86">
        <w:rPr>
          <w:rStyle w:val="aff6"/>
          <w:rtl/>
        </w:rPr>
        <w:fldChar w:fldCharType="begin"/>
      </w:r>
      <w:r w:rsidRPr="00D41E86">
        <w:rPr>
          <w:rStyle w:val="aff6"/>
          <w:rtl/>
        </w:rPr>
        <w:instrText xml:space="preserve"> </w:instrText>
      </w:r>
      <w:r w:rsidRPr="00D41E86">
        <w:rPr>
          <w:rStyle w:val="aff6"/>
          <w:rFonts w:hint="cs"/>
        </w:rPr>
        <w:instrText>REF</w:instrText>
      </w:r>
      <w:r w:rsidRPr="00D41E86">
        <w:rPr>
          <w:rStyle w:val="aff6"/>
          <w:rFonts w:hint="cs"/>
          <w:rtl/>
        </w:rPr>
        <w:instrText xml:space="preserve"> _</w:instrText>
      </w:r>
      <w:r w:rsidRPr="00D41E86">
        <w:rPr>
          <w:rStyle w:val="aff6"/>
          <w:rFonts w:hint="cs"/>
        </w:rPr>
        <w:instrText>Ref531254703 \r \h</w:instrText>
      </w:r>
      <w:r w:rsidRPr="00D41E86">
        <w:rPr>
          <w:rStyle w:val="aff6"/>
          <w:rtl/>
        </w:rPr>
        <w:instrText xml:space="preserve"> </w:instrText>
      </w:r>
      <w:r w:rsidRPr="00D41E86">
        <w:rPr>
          <w:rStyle w:val="aff6"/>
          <w:rtl/>
        </w:rPr>
      </w:r>
      <w:r w:rsidRPr="00D41E86">
        <w:rPr>
          <w:rStyle w:val="aff6"/>
          <w:rtl/>
        </w:rPr>
        <w:fldChar w:fldCharType="separate"/>
      </w:r>
      <w:r w:rsidR="00345400">
        <w:rPr>
          <w:rStyle w:val="aff6"/>
          <w:cs/>
        </w:rPr>
        <w:t>‎</w:t>
      </w:r>
      <w:r w:rsidR="00345400">
        <w:rPr>
          <w:rStyle w:val="aff6"/>
          <w:rtl/>
        </w:rPr>
        <w:t>יד)</w:t>
      </w:r>
      <w:r w:rsidRPr="00D41E86">
        <w:rPr>
          <w:rStyle w:val="aff6"/>
          <w:rtl/>
        </w:rPr>
        <w:fldChar w:fldCharType="end"/>
      </w:r>
      <w:r>
        <w:rPr>
          <w:rStyle w:val="afb"/>
          <w:rFonts w:hint="cs"/>
          <w:rtl/>
        </w:rPr>
        <w:t xml:space="preserve"> דביאר דאסור לשחוט בין הטבעות</w:t>
      </w:r>
      <w:r w:rsidRPr="005D59D3">
        <w:rPr>
          <w:rStyle w:val="afb"/>
          <w:rFonts w:hint="cs"/>
          <w:rtl/>
        </w:rPr>
        <w:t>].</w:t>
      </w:r>
      <w:bookmarkEnd w:id="11979"/>
    </w:p>
    <w:p w14:paraId="6EFF0D87" w14:textId="77777777" w:rsidR="003D04E6" w:rsidRDefault="003D04E6" w:rsidP="006D6D32">
      <w:pPr>
        <w:pStyle w:val="a3"/>
      </w:pPr>
      <w:bookmarkStart w:id="11980" w:name="_Toc531817578"/>
      <w:bookmarkStart w:id="11981" w:name="_Toc531819678"/>
      <w:bookmarkStart w:id="11982" w:name="_Toc19390573"/>
      <w:bookmarkStart w:id="11983" w:name="_Toc19394070"/>
      <w:bookmarkStart w:id="11984" w:name="_Toc531251626"/>
      <w:bookmarkStart w:id="11985" w:name="_Toc531251625"/>
      <w:bookmarkStart w:id="11986" w:name="_Toc531258167"/>
      <w:bookmarkStart w:id="11987" w:name="_Toc531622044"/>
      <w:bookmarkStart w:id="11988" w:name="_Toc531629700"/>
      <w:bookmarkStart w:id="11989" w:name="_Toc531638971"/>
      <w:bookmarkStart w:id="11990" w:name="_Toc531776380"/>
      <w:r>
        <w:rPr>
          <w:rFonts w:hint="cs"/>
          <w:rtl/>
        </w:rPr>
        <w:t>ביאור השיטמ"ק דיש חילוק בין שחיטה בטבעות לשחיטת הבשר שבין הטבעות ואינם מצטרפים</w:t>
      </w:r>
      <w:bookmarkEnd w:id="11980"/>
      <w:bookmarkEnd w:id="11981"/>
      <w:bookmarkEnd w:id="11982"/>
      <w:bookmarkEnd w:id="11983"/>
    </w:p>
    <w:p w14:paraId="49B6F525" w14:textId="77777777" w:rsidR="003D04E6" w:rsidRDefault="003D04E6" w:rsidP="00223668">
      <w:pPr>
        <w:pStyle w:val="a0"/>
        <w:rPr>
          <w:rtl/>
        </w:rPr>
      </w:pPr>
      <w:r>
        <w:rPr>
          <w:rFonts w:hint="cs"/>
          <w:rtl/>
        </w:rPr>
        <w:t xml:space="preserve">והוסיף </w:t>
      </w:r>
      <w:r w:rsidRPr="005D59D3">
        <w:rPr>
          <w:rStyle w:val="af9"/>
          <w:rFonts w:hint="cs"/>
          <w:rtl/>
        </w:rPr>
        <w:t>השיטמ"ק לקמן</w:t>
      </w:r>
      <w:r>
        <w:rPr>
          <w:rFonts w:hint="cs"/>
          <w:rtl/>
        </w:rPr>
        <w:t xml:space="preserve"> </w:t>
      </w:r>
      <w:r w:rsidRPr="00D86EA0">
        <w:rPr>
          <w:rStyle w:val="af7"/>
          <w:rFonts w:eastAsia="Guttman Hodes" w:hint="cs"/>
          <w:rtl/>
        </w:rPr>
        <w:t>(יט: ד"ה ונ"ל לפרש)</w:t>
      </w:r>
      <w:r>
        <w:rPr>
          <w:rFonts w:hint="cs"/>
          <w:rtl/>
        </w:rPr>
        <w:t xml:space="preserve"> לבאר דלדעת </w:t>
      </w:r>
      <w:r w:rsidRPr="005D59D3">
        <w:rPr>
          <w:rStyle w:val="af9"/>
          <w:rFonts w:hint="cs"/>
          <w:rtl/>
        </w:rPr>
        <w:t>הי"מ ברש"י</w:t>
      </w:r>
      <w:r>
        <w:rPr>
          <w:rFonts w:hint="cs"/>
          <w:rtl/>
        </w:rPr>
        <w:t xml:space="preserve"> בכל הטבעות חשיב הגרמה, ויש חילוק בין הטבעות, לבין מה שבין הטבעות, והשחיטה בטבעת אינה מצטרפת לשחיטה שבין הטבעות, ולכן אם התחיל לשחוט בתוך הטבעת, צריך לגמור את השחיטה בתוכה, ולריבר</w:t>
      </w:r>
      <w:r>
        <w:rPr>
          <w:rtl/>
        </w:rPr>
        <w:t>"</w:t>
      </w:r>
      <w:r>
        <w:rPr>
          <w:rFonts w:hint="cs"/>
          <w:rtl/>
        </w:rPr>
        <w:t>י צריך לגמור את רוב השחיטה בתוך הטבעת.</w:t>
      </w:r>
      <w:bookmarkEnd w:id="11984"/>
    </w:p>
    <w:p w14:paraId="0AE76516" w14:textId="77777777" w:rsidR="003D04E6" w:rsidRDefault="003D04E6" w:rsidP="006D6D32">
      <w:pPr>
        <w:pStyle w:val="a3"/>
        <w:rPr>
          <w:rtl/>
        </w:rPr>
      </w:pPr>
      <w:bookmarkStart w:id="11991" w:name="_Toc531817579"/>
      <w:bookmarkStart w:id="11992" w:name="_Toc531819679"/>
      <w:bookmarkStart w:id="11993" w:name="_Toc19390574"/>
      <w:bookmarkStart w:id="11994" w:name="_Toc19394071"/>
      <w:bookmarkEnd w:id="11985"/>
      <w:bookmarkEnd w:id="11986"/>
      <w:bookmarkEnd w:id="11987"/>
      <w:bookmarkEnd w:id="11988"/>
      <w:bookmarkEnd w:id="11989"/>
      <w:bookmarkEnd w:id="11990"/>
      <w:r>
        <w:rPr>
          <w:rFonts w:hint="cs"/>
          <w:rtl/>
        </w:rPr>
        <w:t>דברי הראש יוסף דהי"מ דייקו מלשון המשנה דפסול הגרמה הוא בכל הטבעות</w:t>
      </w:r>
      <w:bookmarkEnd w:id="11991"/>
      <w:bookmarkEnd w:id="11992"/>
      <w:bookmarkEnd w:id="11993"/>
      <w:bookmarkEnd w:id="11994"/>
    </w:p>
    <w:p w14:paraId="6A1DABE5" w14:textId="77777777" w:rsidR="003D04E6" w:rsidRDefault="003D04E6" w:rsidP="00223668">
      <w:pPr>
        <w:pStyle w:val="a0"/>
        <w:rPr>
          <w:rtl/>
        </w:rPr>
      </w:pPr>
      <w:bookmarkStart w:id="11995" w:name="_Ref531807341"/>
      <w:r>
        <w:rPr>
          <w:rFonts w:hint="cs"/>
          <w:rtl/>
        </w:rPr>
        <w:t xml:space="preserve">וכתב </w:t>
      </w:r>
      <w:r w:rsidRPr="004B7AE8">
        <w:rPr>
          <w:rStyle w:val="af9"/>
          <w:rFonts w:hint="cs"/>
          <w:rtl/>
        </w:rPr>
        <w:t>הראש יוסף</w:t>
      </w:r>
      <w:r>
        <w:rPr>
          <w:rFonts w:hint="cs"/>
          <w:rtl/>
        </w:rPr>
        <w:t xml:space="preserve"> </w:t>
      </w:r>
      <w:r w:rsidRPr="004B7AE8">
        <w:rPr>
          <w:rStyle w:val="af7"/>
          <w:rFonts w:eastAsia="Guttman Hodes" w:hint="cs"/>
          <w:rtl/>
        </w:rPr>
        <w:t>(על רש"י ד"ה ר"י)</w:t>
      </w:r>
      <w:r>
        <w:rPr>
          <w:rFonts w:hint="cs"/>
          <w:rtl/>
        </w:rPr>
        <w:t xml:space="preserve"> </w:t>
      </w:r>
      <w:r w:rsidRPr="004B7AE8">
        <w:rPr>
          <w:rStyle w:val="af9"/>
          <w:rFonts w:hint="cs"/>
          <w:rtl/>
        </w:rPr>
        <w:t>דהי"מ ברש"י</w:t>
      </w:r>
      <w:r>
        <w:rPr>
          <w:rFonts w:hint="cs"/>
          <w:rtl/>
        </w:rPr>
        <w:t xml:space="preserve"> דייקו את לשון המשנה דתני "מתוך הטבעת", ולא תני "בטבעת הגדולה" דמשמע דפסול הגרמה הוא בכל הטבעות, ועי' במה שדחה </w:t>
      </w:r>
      <w:r w:rsidRPr="00A57569">
        <w:rPr>
          <w:rStyle w:val="af9"/>
          <w:rFonts w:hint="cs"/>
          <w:rtl/>
        </w:rPr>
        <w:t>רש"י</w:t>
      </w:r>
      <w:r>
        <w:rPr>
          <w:rFonts w:hint="cs"/>
          <w:rtl/>
        </w:rPr>
        <w:t xml:space="preserve"> </w:t>
      </w:r>
      <w:r w:rsidRPr="00A57569">
        <w:rPr>
          <w:rStyle w:val="af7"/>
          <w:rFonts w:eastAsia="Guttman Hodes" w:hint="cs"/>
          <w:rtl/>
        </w:rPr>
        <w:t xml:space="preserve">(עי' אות </w:t>
      </w:r>
      <w:r w:rsidRPr="00A57569">
        <w:rPr>
          <w:rStyle w:val="af7"/>
          <w:rFonts w:eastAsia="Guttman Hodes"/>
          <w:rtl/>
        </w:rPr>
        <w:fldChar w:fldCharType="begin"/>
      </w:r>
      <w:r w:rsidRPr="00A57569">
        <w:rPr>
          <w:rStyle w:val="af7"/>
          <w:rFonts w:eastAsia="Guttman Hodes"/>
          <w:rtl/>
        </w:rPr>
        <w:instrText xml:space="preserve"> </w:instrText>
      </w:r>
      <w:r w:rsidRPr="00A57569">
        <w:rPr>
          <w:rStyle w:val="af7"/>
          <w:rFonts w:eastAsia="Guttman Hodes" w:hint="cs"/>
        </w:rPr>
        <w:instrText>REF</w:instrText>
      </w:r>
      <w:r w:rsidRPr="00A57569">
        <w:rPr>
          <w:rStyle w:val="af7"/>
          <w:rFonts w:eastAsia="Guttman Hodes" w:hint="cs"/>
          <w:rtl/>
        </w:rPr>
        <w:instrText xml:space="preserve"> _</w:instrText>
      </w:r>
      <w:r w:rsidRPr="00A57569">
        <w:rPr>
          <w:rStyle w:val="af7"/>
          <w:rFonts w:eastAsia="Guttman Hodes" w:hint="cs"/>
        </w:rPr>
        <w:instrText>Ref531807297 \r \h</w:instrText>
      </w:r>
      <w:r w:rsidRPr="00A57569">
        <w:rPr>
          <w:rStyle w:val="af7"/>
          <w:rFonts w:eastAsia="Guttman Hodes"/>
          <w:rtl/>
        </w:rPr>
        <w:instrText xml:space="preserve"> </w:instrText>
      </w:r>
      <w:r w:rsidRPr="00A57569">
        <w:rPr>
          <w:rStyle w:val="af7"/>
          <w:rFonts w:eastAsia="Guttman Hodes"/>
          <w:rtl/>
        </w:rPr>
      </w:r>
      <w:r w:rsidRPr="00A57569">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A57569">
        <w:rPr>
          <w:rStyle w:val="af7"/>
          <w:rFonts w:eastAsia="Guttman Hodes"/>
          <w:rtl/>
        </w:rPr>
        <w:fldChar w:fldCharType="end"/>
      </w:r>
      <w:r>
        <w:rPr>
          <w:rFonts w:hint="cs"/>
          <w:rtl/>
        </w:rPr>
        <w:t xml:space="preserve"> ראיה זו.</w:t>
      </w:r>
      <w:bookmarkEnd w:id="11995"/>
    </w:p>
    <w:p w14:paraId="0F586528" w14:textId="77777777" w:rsidR="003D04E6" w:rsidRDefault="003D04E6" w:rsidP="00BF39B2">
      <w:pPr>
        <w:pStyle w:val="1"/>
        <w:rPr>
          <w:rtl/>
        </w:rPr>
      </w:pPr>
      <w:bookmarkStart w:id="11996" w:name="_Toc531817580"/>
      <w:bookmarkStart w:id="11997" w:name="_Toc531819680"/>
      <w:bookmarkStart w:id="11998" w:name="_Toc19390575"/>
      <w:bookmarkStart w:id="11999" w:name="_Toc19394072"/>
      <w:r>
        <w:rPr>
          <w:rFonts w:hint="cs"/>
          <w:rtl/>
        </w:rPr>
        <w:t>דחיית רש"י את דעת הי"מ</w:t>
      </w:r>
      <w:bookmarkEnd w:id="11996"/>
      <w:bookmarkEnd w:id="11997"/>
      <w:bookmarkEnd w:id="11998"/>
      <w:bookmarkEnd w:id="11999"/>
    </w:p>
    <w:p w14:paraId="4D2D77C3" w14:textId="77777777" w:rsidR="003D04E6" w:rsidRPr="008F2AE0" w:rsidRDefault="003D04E6" w:rsidP="006D6D32">
      <w:pPr>
        <w:pStyle w:val="a3"/>
        <w:rPr>
          <w:rtl/>
        </w:rPr>
      </w:pPr>
      <w:bookmarkStart w:id="12000" w:name="_Toc531817581"/>
      <w:bookmarkStart w:id="12001" w:name="_Toc531819681"/>
      <w:bookmarkStart w:id="12002" w:name="_Toc19390576"/>
      <w:bookmarkStart w:id="12003" w:name="_Toc19394073"/>
      <w:r>
        <w:rPr>
          <w:rFonts w:hint="cs"/>
          <w:rtl/>
        </w:rPr>
        <w:t>דחיית רש"י דבתוספתא מבואר שאין חילוק בתוך הקנה בין הטבעות לבין הטבעות</w:t>
      </w:r>
      <w:bookmarkEnd w:id="12000"/>
      <w:bookmarkEnd w:id="12001"/>
      <w:bookmarkEnd w:id="12002"/>
      <w:bookmarkEnd w:id="12003"/>
    </w:p>
    <w:p w14:paraId="64585193" w14:textId="77777777" w:rsidR="003D04E6" w:rsidRDefault="003D04E6" w:rsidP="00223668">
      <w:pPr>
        <w:pStyle w:val="a0"/>
        <w:rPr>
          <w:rtl/>
        </w:rPr>
      </w:pPr>
      <w:bookmarkStart w:id="12004" w:name="_Ref531539450"/>
      <w:r>
        <w:rPr>
          <w:rFonts w:hint="cs"/>
          <w:rtl/>
        </w:rPr>
        <w:t>אך דחה</w:t>
      </w:r>
      <w:r w:rsidRPr="00941438">
        <w:rPr>
          <w:rStyle w:val="af9"/>
          <w:rFonts w:hint="cs"/>
          <w:rtl/>
        </w:rPr>
        <w:t xml:space="preserve"> רש"י</w:t>
      </w:r>
      <w:r>
        <w:rPr>
          <w:rFonts w:hint="cs"/>
          <w:rtl/>
        </w:rPr>
        <w:t xml:space="preserve"> </w:t>
      </w:r>
      <w:r w:rsidRPr="00941438">
        <w:rPr>
          <w:rStyle w:val="af7"/>
          <w:rFonts w:eastAsia="Guttman Hodes" w:hint="cs"/>
          <w:rtl/>
        </w:rPr>
        <w:t>(ד"ה ר"י)</w:t>
      </w:r>
      <w:r>
        <w:rPr>
          <w:rFonts w:hint="cs"/>
          <w:rtl/>
        </w:rPr>
        <w:t xml:space="preserve"> את דעת </w:t>
      </w:r>
      <w:r w:rsidRPr="00941438">
        <w:rPr>
          <w:rStyle w:val="af9"/>
          <w:rFonts w:hint="cs"/>
          <w:rtl/>
        </w:rPr>
        <w:t>הי"מ</w:t>
      </w:r>
      <w:r>
        <w:rPr>
          <w:rFonts w:hint="cs"/>
          <w:rtl/>
        </w:rPr>
        <w:t xml:space="preserve"> דהא בתוספתא </w:t>
      </w:r>
      <w:r w:rsidRPr="00941438">
        <w:rPr>
          <w:rStyle w:val="af7"/>
          <w:rFonts w:eastAsia="Guttman Hodes" w:hint="cs"/>
          <w:rtl/>
        </w:rPr>
        <w:t>(פ"א ה"ו)</w:t>
      </w:r>
      <w:r>
        <w:rPr>
          <w:rFonts w:hint="cs"/>
          <w:rtl/>
        </w:rPr>
        <w:t xml:space="preserve"> </w:t>
      </w:r>
      <w:r w:rsidRPr="00552B6A">
        <w:rPr>
          <w:rtl/>
        </w:rPr>
        <w:t>תני</w:t>
      </w:r>
      <w:r>
        <w:rPr>
          <w:rFonts w:hint="cs"/>
          <w:rtl/>
        </w:rPr>
        <w:t>א</w:t>
      </w:r>
      <w:r w:rsidRPr="00552B6A">
        <w:rPr>
          <w:rtl/>
        </w:rPr>
        <w:t xml:space="preserve"> "מצות שחיטה מן הטבעת ועד הריאה</w:t>
      </w:r>
      <w:r>
        <w:rPr>
          <w:rFonts w:hint="cs"/>
          <w:rtl/>
        </w:rPr>
        <w:t>,</w:t>
      </w:r>
      <w:r w:rsidRPr="00552B6A">
        <w:rPr>
          <w:rtl/>
        </w:rPr>
        <w:t xml:space="preserve"> מוגרמת פסולה</w:t>
      </w:r>
      <w:r>
        <w:rPr>
          <w:rFonts w:hint="cs"/>
          <w:rtl/>
        </w:rPr>
        <w:t>,</w:t>
      </w:r>
      <w:r w:rsidRPr="00552B6A">
        <w:rPr>
          <w:rtl/>
        </w:rPr>
        <w:t xml:space="preserve"> ר' חנניא בן אנטיגנוס מכשיר</w:t>
      </w:r>
      <w:r>
        <w:rPr>
          <w:rFonts w:hint="cs"/>
          <w:rtl/>
        </w:rPr>
        <w:t>,</w:t>
      </w:r>
      <w:r w:rsidRPr="00552B6A">
        <w:rPr>
          <w:rtl/>
        </w:rPr>
        <w:t xml:space="preserve"> שייר בה כחוט השערה סמוך לראש</w:t>
      </w:r>
      <w:r>
        <w:rPr>
          <w:rFonts w:hint="cs"/>
          <w:rtl/>
        </w:rPr>
        <w:t>,</w:t>
      </w:r>
      <w:r w:rsidRPr="00552B6A">
        <w:rPr>
          <w:rtl/>
        </w:rPr>
        <w:t xml:space="preserve"> מוקף את כולה כשרה</w:t>
      </w:r>
      <w:r>
        <w:rPr>
          <w:rFonts w:hint="cs"/>
          <w:rtl/>
        </w:rPr>
        <w:t>,</w:t>
      </w:r>
      <w:r w:rsidRPr="00552B6A">
        <w:rPr>
          <w:rtl/>
        </w:rPr>
        <w:t xml:space="preserve"> </w:t>
      </w:r>
      <w:r>
        <w:rPr>
          <w:rFonts w:hint="cs"/>
          <w:rtl/>
        </w:rPr>
        <w:t>ריבר</w:t>
      </w:r>
      <w:r>
        <w:rPr>
          <w:rtl/>
        </w:rPr>
        <w:t>"</w:t>
      </w:r>
      <w:r>
        <w:rPr>
          <w:rFonts w:hint="cs"/>
          <w:rtl/>
        </w:rPr>
        <w:t>י</w:t>
      </w:r>
      <w:r w:rsidRPr="00552B6A">
        <w:rPr>
          <w:rtl/>
        </w:rPr>
        <w:t xml:space="preserve"> אומר אם היה רובה מוקף כלבנה</w:t>
      </w:r>
      <w:r>
        <w:rPr>
          <w:rFonts w:hint="cs"/>
          <w:rtl/>
        </w:rPr>
        <w:t>,</w:t>
      </w:r>
      <w:r w:rsidRPr="00552B6A">
        <w:rPr>
          <w:rtl/>
        </w:rPr>
        <w:t xml:space="preserve"> כשרה".</w:t>
      </w:r>
      <w:r>
        <w:rPr>
          <w:rFonts w:hint="cs"/>
          <w:rtl/>
        </w:rPr>
        <w:t xml:space="preserve"> וכתב </w:t>
      </w:r>
      <w:r w:rsidRPr="00941438">
        <w:rPr>
          <w:rStyle w:val="af9"/>
          <w:rFonts w:hint="cs"/>
          <w:rtl/>
        </w:rPr>
        <w:t>רש"י</w:t>
      </w:r>
      <w:r>
        <w:rPr>
          <w:rFonts w:hint="cs"/>
          <w:rtl/>
        </w:rPr>
        <w:t xml:space="preserve"> דמבואר בתוספתא להדיא שאין חילוק בתוך הקנה בין תוך הטבעת, לאויר שבין טבעת לטבעת, דכיון דתני בתוספתא מן הטבעת ועד הריאה, משמע דאיירי בטבעת הגדולה שהיא הראשונה, וביאר </w:t>
      </w:r>
      <w:r w:rsidRPr="00941438">
        <w:rPr>
          <w:rStyle w:val="af9"/>
          <w:rFonts w:hint="cs"/>
          <w:rtl/>
        </w:rPr>
        <w:t>רש"י</w:t>
      </w:r>
      <w:r>
        <w:rPr>
          <w:rFonts w:hint="cs"/>
          <w:rtl/>
        </w:rPr>
        <w:t xml:space="preserve"> דמדתני בתוספתא שהגרים סמוך לראש מבואר דאם התחיל לשחוט בתוך הטבעת וגמר את שחיטתו מתחת לטבעת כשר, והפסול בהגרמה הוא דוקא בהגרים למעלה מהטבעת, כיון שאינו מקום שחיטה.</w:t>
      </w:r>
      <w:bookmarkEnd w:id="12004"/>
    </w:p>
    <w:p w14:paraId="2B3E5729" w14:textId="77777777" w:rsidR="003D04E6" w:rsidRPr="00220A58" w:rsidRDefault="003D04E6" w:rsidP="006D6D32">
      <w:pPr>
        <w:pStyle w:val="a3"/>
        <w:rPr>
          <w:rtl/>
        </w:rPr>
      </w:pPr>
      <w:bookmarkStart w:id="12005" w:name="_Toc531817582"/>
      <w:bookmarkStart w:id="12006" w:name="_Toc531819682"/>
      <w:bookmarkStart w:id="12007" w:name="_Toc19390577"/>
      <w:bookmarkStart w:id="12008" w:name="_Toc19394074"/>
      <w:r>
        <w:rPr>
          <w:rFonts w:hint="cs"/>
          <w:rtl/>
        </w:rPr>
        <w:t>ביאור רש"י אמאי לא תני במתני' להדיא דאיירי רק בטבעת הגדולה</w:t>
      </w:r>
      <w:bookmarkEnd w:id="12005"/>
      <w:bookmarkEnd w:id="12006"/>
      <w:bookmarkEnd w:id="12007"/>
      <w:bookmarkEnd w:id="12008"/>
    </w:p>
    <w:p w14:paraId="11A282CF" w14:textId="77777777" w:rsidR="003D04E6" w:rsidRDefault="003D04E6" w:rsidP="00223668">
      <w:pPr>
        <w:pStyle w:val="a0"/>
        <w:rPr>
          <w:rtl/>
        </w:rPr>
      </w:pPr>
      <w:bookmarkStart w:id="12009" w:name="_Ref531807297"/>
      <w:r>
        <w:rPr>
          <w:rFonts w:hint="cs"/>
          <w:rtl/>
        </w:rPr>
        <w:t xml:space="preserve">והוסיף </w:t>
      </w:r>
      <w:r w:rsidRPr="00941438">
        <w:rPr>
          <w:rStyle w:val="af9"/>
          <w:rFonts w:hint="cs"/>
          <w:rtl/>
        </w:rPr>
        <w:t>רש"י</w:t>
      </w:r>
      <w:r>
        <w:rPr>
          <w:rFonts w:hint="cs"/>
          <w:rtl/>
        </w:rPr>
        <w:t xml:space="preserve"> דהא דתנן במתני' ובתוספתא טבעת סתם, ולא תני טבעת הגדולה, </w:t>
      </w:r>
      <w:r w:rsidRPr="00944F19">
        <w:rPr>
          <w:rStyle w:val="afb"/>
          <w:rFonts w:hint="cs"/>
          <w:rtl/>
        </w:rPr>
        <w:t xml:space="preserve">[עי' בדברי </w:t>
      </w:r>
      <w:r w:rsidRPr="00944F19">
        <w:rPr>
          <w:rStyle w:val="affa"/>
          <w:rFonts w:hint="cs"/>
          <w:rtl/>
        </w:rPr>
        <w:t>הראש יוסף</w:t>
      </w:r>
      <w:r w:rsidRPr="00944F19">
        <w:rPr>
          <w:rStyle w:val="afb"/>
          <w:rFonts w:hint="cs"/>
          <w:rtl/>
        </w:rPr>
        <w:t xml:space="preserve"> </w:t>
      </w:r>
      <w:r w:rsidRPr="00944F19">
        <w:rPr>
          <w:rStyle w:val="aff6"/>
          <w:rFonts w:hint="cs"/>
          <w:rtl/>
        </w:rPr>
        <w:t xml:space="preserve">(עי' אות </w:t>
      </w:r>
      <w:r w:rsidRPr="00944F19">
        <w:rPr>
          <w:rStyle w:val="aff6"/>
          <w:rtl/>
        </w:rPr>
        <w:fldChar w:fldCharType="begin"/>
      </w:r>
      <w:r w:rsidRPr="00944F19">
        <w:rPr>
          <w:rStyle w:val="aff6"/>
          <w:rtl/>
        </w:rPr>
        <w:instrText xml:space="preserve"> </w:instrText>
      </w:r>
      <w:r w:rsidRPr="00944F19">
        <w:rPr>
          <w:rStyle w:val="aff6"/>
          <w:rFonts w:hint="cs"/>
        </w:rPr>
        <w:instrText>REF</w:instrText>
      </w:r>
      <w:r w:rsidRPr="00944F19">
        <w:rPr>
          <w:rStyle w:val="aff6"/>
          <w:rFonts w:hint="cs"/>
          <w:rtl/>
        </w:rPr>
        <w:instrText xml:space="preserve"> _</w:instrText>
      </w:r>
      <w:r w:rsidRPr="00944F19">
        <w:rPr>
          <w:rStyle w:val="aff6"/>
          <w:rFonts w:hint="cs"/>
        </w:rPr>
        <w:instrText>Ref531807341 \r \h</w:instrText>
      </w:r>
      <w:r w:rsidRPr="00944F19">
        <w:rPr>
          <w:rStyle w:val="aff6"/>
          <w:rtl/>
        </w:rPr>
        <w:instrText xml:space="preserve"> </w:instrText>
      </w:r>
      <w:r w:rsidRPr="00944F19">
        <w:rPr>
          <w:rStyle w:val="aff6"/>
          <w:rtl/>
        </w:rPr>
      </w:r>
      <w:r w:rsidRPr="00944F19">
        <w:rPr>
          <w:rStyle w:val="aff6"/>
          <w:rtl/>
        </w:rPr>
        <w:fldChar w:fldCharType="separate"/>
      </w:r>
      <w:r w:rsidR="00345400">
        <w:rPr>
          <w:rStyle w:val="aff6"/>
          <w:cs/>
        </w:rPr>
        <w:t>‎</w:t>
      </w:r>
      <w:r w:rsidR="00345400">
        <w:rPr>
          <w:rStyle w:val="aff6"/>
          <w:rtl/>
        </w:rPr>
        <w:t>י)</w:t>
      </w:r>
      <w:r w:rsidRPr="00944F19">
        <w:rPr>
          <w:rStyle w:val="aff6"/>
          <w:rtl/>
        </w:rPr>
        <w:fldChar w:fldCharType="end"/>
      </w:r>
      <w:r w:rsidRPr="00944F19">
        <w:rPr>
          <w:rStyle w:val="afb"/>
          <w:rFonts w:hint="cs"/>
          <w:rtl/>
        </w:rPr>
        <w:t>],</w:t>
      </w:r>
      <w:r>
        <w:rPr>
          <w:rFonts w:hint="cs"/>
          <w:rtl/>
        </w:rPr>
        <w:t xml:space="preserve"> הוא כיון שרק הטבעת הגדולה היא טבעת שלימה שמקיפה את כל הקנה, אבל שאר הטבעות אינן שלימות, אלא הם מחוברות בקצה שלהם ברצועת בשר, שהיא לאורך כל הקנה.</w:t>
      </w:r>
      <w:bookmarkEnd w:id="12009"/>
    </w:p>
    <w:p w14:paraId="2280FA8B" w14:textId="77777777" w:rsidR="00A74879" w:rsidRDefault="00A74879" w:rsidP="006D6D32">
      <w:pPr>
        <w:pStyle w:val="a3"/>
        <w:rPr>
          <w:rtl/>
        </w:rPr>
      </w:pPr>
      <w:bookmarkStart w:id="12010" w:name="_Toc531817583"/>
      <w:bookmarkStart w:id="12011" w:name="_Toc531819683"/>
    </w:p>
    <w:p w14:paraId="49187AF1" w14:textId="77777777" w:rsidR="003D04E6" w:rsidRDefault="003D04E6" w:rsidP="006D6D32">
      <w:pPr>
        <w:pStyle w:val="a3"/>
        <w:rPr>
          <w:rtl/>
        </w:rPr>
      </w:pPr>
      <w:bookmarkStart w:id="12012" w:name="_Toc19390578"/>
      <w:bookmarkStart w:id="12013" w:name="_Toc19394075"/>
      <w:r>
        <w:rPr>
          <w:rFonts w:hint="cs"/>
          <w:rtl/>
        </w:rPr>
        <w:t>דברי הראש יוסף דקשה על הי"מ היאך מכשיר ריבר"י ברוב טבעת שאינה רוב קנה</w:t>
      </w:r>
      <w:bookmarkEnd w:id="12010"/>
      <w:bookmarkEnd w:id="12011"/>
      <w:bookmarkEnd w:id="12012"/>
      <w:bookmarkEnd w:id="12013"/>
    </w:p>
    <w:p w14:paraId="4B313E3A" w14:textId="77777777" w:rsidR="003D04E6" w:rsidRDefault="003D04E6" w:rsidP="00223668">
      <w:pPr>
        <w:pStyle w:val="a0"/>
        <w:rPr>
          <w:rtl/>
        </w:rPr>
      </w:pPr>
      <w:r>
        <w:rPr>
          <w:rFonts w:hint="cs"/>
          <w:rtl/>
        </w:rPr>
        <w:t xml:space="preserve">וכתב </w:t>
      </w:r>
      <w:r w:rsidRPr="00367AA3">
        <w:rPr>
          <w:rStyle w:val="af9"/>
          <w:rFonts w:hint="cs"/>
          <w:rtl/>
        </w:rPr>
        <w:t>הראש יוסף</w:t>
      </w:r>
      <w:r>
        <w:rPr>
          <w:rFonts w:hint="cs"/>
          <w:rtl/>
        </w:rPr>
        <w:t xml:space="preserve"> </w:t>
      </w:r>
      <w:r w:rsidRPr="00367AA3">
        <w:rPr>
          <w:rStyle w:val="af7"/>
          <w:rFonts w:eastAsia="Guttman Hodes" w:hint="cs"/>
          <w:rtl/>
        </w:rPr>
        <w:t xml:space="preserve">(על רש"י ד"ה ר"י) </w:t>
      </w:r>
      <w:r>
        <w:rPr>
          <w:rFonts w:hint="cs"/>
          <w:rtl/>
        </w:rPr>
        <w:t xml:space="preserve">דעוד אפשר לדחות את דעת </w:t>
      </w:r>
      <w:r w:rsidRPr="00367AA3">
        <w:rPr>
          <w:rStyle w:val="af9"/>
          <w:rFonts w:hint="cs"/>
          <w:rtl/>
        </w:rPr>
        <w:t>הי"מ ברש"י</w:t>
      </w:r>
      <w:r>
        <w:rPr>
          <w:rFonts w:hint="cs"/>
          <w:rtl/>
        </w:rPr>
        <w:t xml:space="preserve"> דהיאך אפש"ל דריבר</w:t>
      </w:r>
      <w:r>
        <w:rPr>
          <w:rtl/>
        </w:rPr>
        <w:t>"</w:t>
      </w:r>
      <w:r>
        <w:rPr>
          <w:rFonts w:hint="cs"/>
          <w:rtl/>
        </w:rPr>
        <w:t xml:space="preserve">י מכשיר ברוב הטבעת, הא בשאר הטבעות רוב הטבעת אינו רוב הקנה, כדכתב </w:t>
      </w:r>
      <w:r w:rsidRPr="00367AA3">
        <w:rPr>
          <w:rStyle w:val="af9"/>
          <w:rFonts w:hint="cs"/>
          <w:rtl/>
        </w:rPr>
        <w:t>רש"י</w:t>
      </w:r>
      <w:r>
        <w:rPr>
          <w:rFonts w:hint="cs"/>
          <w:rtl/>
        </w:rPr>
        <w:t xml:space="preserve"> </w:t>
      </w:r>
      <w:r>
        <w:rPr>
          <w:rStyle w:val="af7"/>
          <w:rFonts w:eastAsia="Guttman Hodes" w:hint="cs"/>
          <w:rtl/>
        </w:rPr>
        <w:t xml:space="preserve">(עי' </w:t>
      </w:r>
      <w:r w:rsidRPr="00DC33A4">
        <w:rPr>
          <w:rStyle w:val="af7"/>
          <w:rFonts w:eastAsia="Guttman Hodes" w:hint="cs"/>
          <w:rtl/>
        </w:rPr>
        <w:t xml:space="preserve">אות </w:t>
      </w:r>
      <w:r w:rsidRPr="00DC33A4">
        <w:rPr>
          <w:rStyle w:val="af7"/>
          <w:rFonts w:eastAsia="Guttman Hodes"/>
          <w:rtl/>
        </w:rPr>
        <w:fldChar w:fldCharType="begin"/>
      </w:r>
      <w:r w:rsidRPr="00DC33A4">
        <w:rPr>
          <w:rStyle w:val="af7"/>
          <w:rFonts w:eastAsia="Guttman Hodes"/>
          <w:rtl/>
        </w:rPr>
        <w:instrText xml:space="preserve"> </w:instrText>
      </w:r>
      <w:r w:rsidRPr="00DC33A4">
        <w:rPr>
          <w:rStyle w:val="af7"/>
          <w:rFonts w:eastAsia="Guttman Hodes" w:hint="cs"/>
        </w:rPr>
        <w:instrText>REF</w:instrText>
      </w:r>
      <w:r w:rsidRPr="00DC33A4">
        <w:rPr>
          <w:rStyle w:val="af7"/>
          <w:rFonts w:eastAsia="Guttman Hodes" w:hint="cs"/>
          <w:rtl/>
        </w:rPr>
        <w:instrText xml:space="preserve"> _</w:instrText>
      </w:r>
      <w:r w:rsidRPr="00DC33A4">
        <w:rPr>
          <w:rStyle w:val="af7"/>
          <w:rFonts w:eastAsia="Guttman Hodes" w:hint="cs"/>
        </w:rPr>
        <w:instrText>Ref531716906 \r \h</w:instrText>
      </w:r>
      <w:r w:rsidRPr="00DC33A4">
        <w:rPr>
          <w:rStyle w:val="af7"/>
          <w:rFonts w:eastAsia="Guttman Hodes"/>
          <w:rtl/>
        </w:rPr>
        <w:instrText xml:space="preserve"> </w:instrText>
      </w:r>
      <w:r w:rsidRPr="00DC33A4">
        <w:rPr>
          <w:rStyle w:val="af7"/>
          <w:rFonts w:eastAsia="Guttman Hodes"/>
          <w:rtl/>
        </w:rPr>
      </w:r>
      <w:r w:rsidRPr="00DC33A4">
        <w:rPr>
          <w:rStyle w:val="af7"/>
          <w:rFonts w:eastAsia="Guttman Hodes"/>
          <w:rtl/>
        </w:rPr>
        <w:fldChar w:fldCharType="separate"/>
      </w:r>
      <w:r w:rsidR="00345400">
        <w:rPr>
          <w:rStyle w:val="af7"/>
          <w:rFonts w:eastAsia="Guttman Hodes"/>
          <w:cs/>
        </w:rPr>
        <w:t>‎</w:t>
      </w:r>
      <w:r w:rsidR="00345400">
        <w:rPr>
          <w:rStyle w:val="af7"/>
          <w:rFonts w:eastAsia="Guttman Hodes"/>
          <w:rtl/>
        </w:rPr>
        <w:t>נ)</w:t>
      </w:r>
      <w:r w:rsidRPr="00DC33A4">
        <w:rPr>
          <w:rStyle w:val="af7"/>
          <w:rFonts w:eastAsia="Guttman Hodes"/>
          <w:rtl/>
        </w:rPr>
        <w:fldChar w:fldCharType="end"/>
      </w:r>
      <w:r>
        <w:rPr>
          <w:rFonts w:hint="cs"/>
          <w:rtl/>
        </w:rPr>
        <w:t xml:space="preserve"> לדחות את ביאור הי"מ בדעת רב ושמואל.</w:t>
      </w:r>
    </w:p>
    <w:p w14:paraId="3B2D0645" w14:textId="77777777" w:rsidR="003D04E6" w:rsidRDefault="003D04E6" w:rsidP="00BF39B2">
      <w:pPr>
        <w:pStyle w:val="1"/>
        <w:rPr>
          <w:rtl/>
        </w:rPr>
      </w:pPr>
      <w:bookmarkStart w:id="12014" w:name="_Toc531258168"/>
      <w:bookmarkStart w:id="12015" w:name="_Toc531622045"/>
      <w:bookmarkStart w:id="12016" w:name="_Toc531629701"/>
      <w:bookmarkStart w:id="12017" w:name="_Toc531638972"/>
      <w:bookmarkStart w:id="12018" w:name="_Toc531776381"/>
      <w:bookmarkStart w:id="12019" w:name="_Toc531817584"/>
      <w:bookmarkStart w:id="12020" w:name="_Toc531819684"/>
      <w:bookmarkStart w:id="12021" w:name="_Toc19390579"/>
      <w:bookmarkStart w:id="12022" w:name="_Toc19394076"/>
      <w:bookmarkStart w:id="12023" w:name="_Toc531622047"/>
      <w:bookmarkStart w:id="12024" w:name="_Toc531629703"/>
      <w:r>
        <w:rPr>
          <w:rFonts w:hint="cs"/>
          <w:rtl/>
        </w:rPr>
        <w:t>דעת רבינו גרשום</w:t>
      </w:r>
      <w:bookmarkEnd w:id="12014"/>
      <w:bookmarkEnd w:id="12015"/>
      <w:bookmarkEnd w:id="12016"/>
      <w:bookmarkEnd w:id="12017"/>
      <w:bookmarkEnd w:id="12018"/>
      <w:r>
        <w:rPr>
          <w:rFonts w:hint="cs"/>
          <w:rtl/>
        </w:rPr>
        <w:t xml:space="preserve"> דבין הטבעות אינו מקום שחיטה</w:t>
      </w:r>
      <w:bookmarkEnd w:id="12019"/>
      <w:bookmarkEnd w:id="12020"/>
      <w:bookmarkEnd w:id="12021"/>
      <w:bookmarkEnd w:id="12022"/>
    </w:p>
    <w:p w14:paraId="49565EAE" w14:textId="77777777" w:rsidR="003D04E6" w:rsidRDefault="003D04E6" w:rsidP="006D6D32">
      <w:pPr>
        <w:pStyle w:val="a3"/>
        <w:rPr>
          <w:rtl/>
        </w:rPr>
      </w:pPr>
      <w:bookmarkStart w:id="12025" w:name="_Toc531258169"/>
      <w:bookmarkStart w:id="12026" w:name="_Toc531622046"/>
      <w:bookmarkStart w:id="12027" w:name="_Toc531629702"/>
      <w:bookmarkStart w:id="12028" w:name="_Toc531638973"/>
      <w:bookmarkStart w:id="12029" w:name="_Toc531776382"/>
      <w:bookmarkStart w:id="12030" w:name="_Toc531817585"/>
      <w:bookmarkStart w:id="12031" w:name="_Toc531819685"/>
      <w:bookmarkStart w:id="12032" w:name="_Toc19390580"/>
      <w:bookmarkStart w:id="12033" w:name="_Toc19394077"/>
      <w:r>
        <w:rPr>
          <w:rFonts w:hint="cs"/>
          <w:rtl/>
        </w:rPr>
        <w:t>ביאור רבינו גרשום דצריך לגמור בטבעת ששחטה בה ואסור לשחוט בין הטבעות</w:t>
      </w:r>
      <w:bookmarkEnd w:id="12025"/>
      <w:bookmarkEnd w:id="12026"/>
      <w:bookmarkEnd w:id="12027"/>
      <w:bookmarkEnd w:id="12028"/>
      <w:bookmarkEnd w:id="12029"/>
      <w:bookmarkEnd w:id="12030"/>
      <w:bookmarkEnd w:id="12031"/>
      <w:bookmarkEnd w:id="12032"/>
      <w:bookmarkEnd w:id="12033"/>
      <w:r>
        <w:rPr>
          <w:rFonts w:hint="cs"/>
          <w:rtl/>
        </w:rPr>
        <w:t xml:space="preserve"> </w:t>
      </w:r>
    </w:p>
    <w:p w14:paraId="117B1C58" w14:textId="77777777" w:rsidR="003D04E6" w:rsidRPr="00284ABB" w:rsidRDefault="003D04E6" w:rsidP="00223668">
      <w:pPr>
        <w:pStyle w:val="a0"/>
        <w:rPr>
          <w:rStyle w:val="afb"/>
          <w:rtl/>
        </w:rPr>
      </w:pPr>
      <w:bookmarkStart w:id="12034" w:name="_Ref531254703"/>
      <w:r w:rsidRPr="00FE478D">
        <w:rPr>
          <w:rStyle w:val="af9"/>
          <w:rFonts w:hint="cs"/>
          <w:rtl/>
        </w:rPr>
        <w:t>רבינו גרשום</w:t>
      </w:r>
      <w:r>
        <w:rPr>
          <w:rFonts w:hint="cs"/>
          <w:rtl/>
        </w:rPr>
        <w:t xml:space="preserve"> </w:t>
      </w:r>
      <w:r w:rsidRPr="00FE478D">
        <w:rPr>
          <w:rStyle w:val="af7"/>
          <w:rFonts w:eastAsia="Guttman Hodes" w:hint="cs"/>
          <w:rtl/>
        </w:rPr>
        <w:t>(ד"ה השוחט)</w:t>
      </w:r>
      <w:r>
        <w:rPr>
          <w:rFonts w:hint="cs"/>
          <w:rtl/>
        </w:rPr>
        <w:t xml:space="preserve"> ביאר דבכל שחיטה צריך לשחוט בתוך אחת מן הטבעות, ואסור לשחוט בין הטבעות, ופלוגתת ריבר</w:t>
      </w:r>
      <w:r>
        <w:rPr>
          <w:rtl/>
        </w:rPr>
        <w:t>"</w:t>
      </w:r>
      <w:r>
        <w:rPr>
          <w:rFonts w:hint="cs"/>
          <w:rtl/>
        </w:rPr>
        <w:t xml:space="preserve">י ורבנן היא כשהגרים ושחט מחוץ לטבעת. </w:t>
      </w:r>
      <w:r>
        <w:rPr>
          <w:rStyle w:val="afb"/>
          <w:rFonts w:hint="cs"/>
          <w:rtl/>
        </w:rPr>
        <w:t xml:space="preserve">[ומשמע </w:t>
      </w:r>
      <w:r>
        <w:rPr>
          <w:rStyle w:val="affa"/>
          <w:rFonts w:hint="cs"/>
          <w:rtl/>
        </w:rPr>
        <w:t>ד</w:t>
      </w:r>
      <w:r w:rsidRPr="00284ABB">
        <w:rPr>
          <w:rStyle w:val="affa"/>
          <w:rFonts w:hint="cs"/>
          <w:rtl/>
        </w:rPr>
        <w:t>רבינו גרשום</w:t>
      </w:r>
      <w:r w:rsidRPr="00284ABB">
        <w:rPr>
          <w:rStyle w:val="afb"/>
          <w:rFonts w:hint="cs"/>
          <w:rtl/>
        </w:rPr>
        <w:t xml:space="preserve"> לא </w:t>
      </w:r>
      <w:r>
        <w:rPr>
          <w:rStyle w:val="afb"/>
          <w:rFonts w:hint="cs"/>
          <w:rtl/>
        </w:rPr>
        <w:t xml:space="preserve">ס"ל </w:t>
      </w:r>
      <w:r w:rsidRPr="00284ABB">
        <w:rPr>
          <w:rStyle w:val="afb"/>
          <w:rFonts w:hint="cs"/>
          <w:rtl/>
        </w:rPr>
        <w:t>כ</w:t>
      </w:r>
      <w:r>
        <w:rPr>
          <w:rStyle w:val="afb"/>
          <w:rFonts w:hint="cs"/>
          <w:rtl/>
        </w:rPr>
        <w:t xml:space="preserve">דביאר </w:t>
      </w:r>
      <w:r w:rsidRPr="003E3570">
        <w:rPr>
          <w:rStyle w:val="affa"/>
          <w:rFonts w:hint="cs"/>
          <w:rtl/>
        </w:rPr>
        <w:t>השיטמ"ק</w:t>
      </w:r>
      <w:r>
        <w:rPr>
          <w:rStyle w:val="afb"/>
          <w:rFonts w:hint="cs"/>
          <w:rtl/>
        </w:rPr>
        <w:t xml:space="preserve"> </w:t>
      </w:r>
      <w:r w:rsidRPr="003E3570">
        <w:rPr>
          <w:rStyle w:val="aff6"/>
          <w:rFonts w:hint="cs"/>
          <w:rtl/>
        </w:rPr>
        <w:t xml:space="preserve">(עי' אות </w:t>
      </w:r>
      <w:r w:rsidRPr="003E3570">
        <w:rPr>
          <w:rStyle w:val="aff6"/>
          <w:rtl/>
        </w:rPr>
        <w:fldChar w:fldCharType="begin"/>
      </w:r>
      <w:r w:rsidRPr="003E3570">
        <w:rPr>
          <w:rStyle w:val="aff6"/>
          <w:rtl/>
        </w:rPr>
        <w:instrText xml:space="preserve"> </w:instrText>
      </w:r>
      <w:r w:rsidRPr="003E3570">
        <w:rPr>
          <w:rStyle w:val="aff6"/>
          <w:rFonts w:hint="cs"/>
        </w:rPr>
        <w:instrText>REF</w:instrText>
      </w:r>
      <w:r w:rsidRPr="003E3570">
        <w:rPr>
          <w:rStyle w:val="aff6"/>
          <w:rFonts w:hint="cs"/>
          <w:rtl/>
        </w:rPr>
        <w:instrText xml:space="preserve"> _</w:instrText>
      </w:r>
      <w:r w:rsidRPr="003E3570">
        <w:rPr>
          <w:rStyle w:val="aff6"/>
          <w:rFonts w:hint="cs"/>
        </w:rPr>
        <w:instrText>Ref531793669 \r \h</w:instrText>
      </w:r>
      <w:r w:rsidRPr="003E3570">
        <w:rPr>
          <w:rStyle w:val="aff6"/>
          <w:rtl/>
        </w:rPr>
        <w:instrText xml:space="preserve"> </w:instrText>
      </w:r>
      <w:r w:rsidRPr="003E3570">
        <w:rPr>
          <w:rStyle w:val="aff6"/>
          <w:rtl/>
        </w:rPr>
      </w:r>
      <w:r w:rsidRPr="003E3570">
        <w:rPr>
          <w:rStyle w:val="aff6"/>
          <w:rtl/>
        </w:rPr>
        <w:fldChar w:fldCharType="separate"/>
      </w:r>
      <w:r w:rsidR="00345400">
        <w:rPr>
          <w:rStyle w:val="aff6"/>
          <w:cs/>
        </w:rPr>
        <w:t>‎</w:t>
      </w:r>
      <w:r w:rsidR="00345400">
        <w:rPr>
          <w:rStyle w:val="aff6"/>
          <w:rtl/>
        </w:rPr>
        <w:t>ח)</w:t>
      </w:r>
      <w:r w:rsidRPr="003E3570">
        <w:rPr>
          <w:rStyle w:val="aff6"/>
          <w:rtl/>
        </w:rPr>
        <w:fldChar w:fldCharType="end"/>
      </w:r>
      <w:r>
        <w:rPr>
          <w:rStyle w:val="afb"/>
          <w:rFonts w:hint="cs"/>
          <w:rtl/>
        </w:rPr>
        <w:t xml:space="preserve"> בדעת </w:t>
      </w:r>
      <w:r w:rsidRPr="00284ABB">
        <w:rPr>
          <w:rStyle w:val="affa"/>
          <w:rFonts w:hint="cs"/>
          <w:rtl/>
        </w:rPr>
        <w:t>הי"מ ברש"י</w:t>
      </w:r>
      <w:r w:rsidRPr="00284ABB">
        <w:rPr>
          <w:rStyle w:val="afb"/>
          <w:rFonts w:hint="cs"/>
          <w:rtl/>
        </w:rPr>
        <w:t xml:space="preserve"> דדוקא אם התחיל בתוך הטבעת אסור להגרים מחוץ לטבעת, אלא דבין הטבעות אינו מקום שחיטה כלל].</w:t>
      </w:r>
      <w:bookmarkEnd w:id="12034"/>
    </w:p>
    <w:p w14:paraId="3AFB1B5C" w14:textId="77777777" w:rsidR="003D04E6" w:rsidRDefault="003D04E6" w:rsidP="006D6D32">
      <w:pPr>
        <w:pStyle w:val="afe"/>
        <w:rPr>
          <w:rtl/>
        </w:rPr>
      </w:pPr>
      <w:bookmarkStart w:id="12035" w:name="_Toc531817586"/>
      <w:bookmarkStart w:id="12036" w:name="_Toc531819686"/>
      <w:bookmarkStart w:id="12037" w:name="_Toc19435803"/>
      <w:bookmarkStart w:id="12038" w:name="_Toc20081054"/>
      <w:bookmarkStart w:id="12039" w:name="_Toc531251482"/>
      <w:bookmarkStart w:id="12040" w:name="_Toc531251627"/>
      <w:bookmarkStart w:id="12041" w:name="_Toc531258170"/>
      <w:bookmarkStart w:id="12042" w:name="_Toc531622048"/>
      <w:bookmarkStart w:id="12043" w:name="_Toc531629704"/>
      <w:bookmarkStart w:id="12044" w:name="_Toc531638975"/>
      <w:bookmarkStart w:id="12045" w:name="_Toc531776384"/>
      <w:bookmarkEnd w:id="12023"/>
      <w:bookmarkEnd w:id="12024"/>
      <w:r>
        <w:rPr>
          <w:rFonts w:hint="cs"/>
          <w:rtl/>
        </w:rPr>
        <w:t>בדעת רבנן בדין רובו ככולו בשחיטה</w:t>
      </w:r>
      <w:bookmarkEnd w:id="12035"/>
      <w:bookmarkEnd w:id="12036"/>
      <w:bookmarkEnd w:id="12037"/>
      <w:bookmarkEnd w:id="12038"/>
      <w:r>
        <w:rPr>
          <w:rFonts w:hint="cs"/>
          <w:rtl/>
        </w:rPr>
        <w:t xml:space="preserve"> </w:t>
      </w:r>
      <w:bookmarkEnd w:id="12039"/>
      <w:bookmarkEnd w:id="12040"/>
      <w:bookmarkEnd w:id="12041"/>
      <w:bookmarkEnd w:id="12042"/>
      <w:bookmarkEnd w:id="12043"/>
      <w:bookmarkEnd w:id="12044"/>
      <w:bookmarkEnd w:id="12045"/>
    </w:p>
    <w:p w14:paraId="4E556586" w14:textId="77777777" w:rsidR="003D04E6" w:rsidRDefault="003D04E6" w:rsidP="00BF39B2">
      <w:pPr>
        <w:pStyle w:val="1"/>
        <w:rPr>
          <w:rtl/>
        </w:rPr>
      </w:pPr>
      <w:bookmarkStart w:id="12046" w:name="_Toc531817587"/>
      <w:bookmarkStart w:id="12047" w:name="_Toc531819687"/>
      <w:bookmarkStart w:id="12048" w:name="_Toc19390581"/>
      <w:bookmarkStart w:id="12049" w:name="_Toc19394078"/>
      <w:r>
        <w:rPr>
          <w:rFonts w:hint="cs"/>
          <w:rtl/>
        </w:rPr>
        <w:t>דעת הראשונים דלרבנן דלא אמרינן בשחיטה רובו ככולו</w:t>
      </w:r>
      <w:bookmarkEnd w:id="12046"/>
      <w:bookmarkEnd w:id="12047"/>
      <w:bookmarkEnd w:id="12048"/>
      <w:bookmarkEnd w:id="12049"/>
    </w:p>
    <w:p w14:paraId="3D249BFF" w14:textId="77777777" w:rsidR="003D04E6" w:rsidRDefault="003D04E6" w:rsidP="006D6D32">
      <w:pPr>
        <w:pStyle w:val="a3"/>
        <w:rPr>
          <w:rtl/>
        </w:rPr>
      </w:pPr>
      <w:bookmarkStart w:id="12050" w:name="_Toc531817588"/>
      <w:bookmarkStart w:id="12051" w:name="_Toc531819688"/>
      <w:bookmarkStart w:id="12052" w:name="_Toc19390582"/>
      <w:bookmarkStart w:id="12053" w:name="_Toc19394079"/>
      <w:r>
        <w:rPr>
          <w:rFonts w:hint="cs"/>
          <w:rtl/>
        </w:rPr>
        <w:t>דברי רש"י דלרבר"י אמרינן רובו ככולו ולרבנן בשחיטה לא אזלינן בשחיטה בתר רובא</w:t>
      </w:r>
      <w:bookmarkEnd w:id="12050"/>
      <w:bookmarkEnd w:id="12051"/>
      <w:bookmarkEnd w:id="12052"/>
      <w:bookmarkEnd w:id="12053"/>
    </w:p>
    <w:p w14:paraId="40816911" w14:textId="77777777" w:rsidR="003D04E6" w:rsidRDefault="003D04E6" w:rsidP="00223668">
      <w:pPr>
        <w:pStyle w:val="a0"/>
        <w:rPr>
          <w:rtl/>
        </w:rPr>
      </w:pPr>
      <w:bookmarkStart w:id="12054" w:name="_Ref531517660"/>
      <w:r>
        <w:rPr>
          <w:rFonts w:hint="cs"/>
          <w:rtl/>
        </w:rPr>
        <w:t xml:space="preserve">כתב </w:t>
      </w:r>
      <w:r w:rsidRPr="00176231">
        <w:rPr>
          <w:rStyle w:val="af9"/>
          <w:rFonts w:hint="cs"/>
          <w:rtl/>
        </w:rPr>
        <w:t>רש"י</w:t>
      </w:r>
      <w:r>
        <w:rPr>
          <w:rFonts w:hint="cs"/>
          <w:rtl/>
        </w:rPr>
        <w:t xml:space="preserve"> </w:t>
      </w:r>
      <w:r w:rsidRPr="00CC59BF">
        <w:rPr>
          <w:rStyle w:val="af7"/>
          <w:rFonts w:eastAsia="Guttman Hodes" w:hint="cs"/>
          <w:rtl/>
        </w:rPr>
        <w:t xml:space="preserve">(יט. ד"ה אנא רובא) </w:t>
      </w:r>
      <w:r w:rsidRPr="00403845">
        <w:rPr>
          <w:rStyle w:val="afb"/>
          <w:rFonts w:hint="cs"/>
          <w:rtl/>
        </w:rPr>
        <w:t xml:space="preserve">[בל"ק דרב הונא בגמ' לקמן </w:t>
      </w:r>
      <w:r w:rsidRPr="00403845">
        <w:rPr>
          <w:rStyle w:val="aff6"/>
          <w:rFonts w:hint="cs"/>
          <w:rtl/>
        </w:rPr>
        <w:t>(יט.)</w:t>
      </w:r>
      <w:r w:rsidRPr="00403845">
        <w:rPr>
          <w:rStyle w:val="afb"/>
          <w:rFonts w:hint="cs"/>
          <w:rtl/>
        </w:rPr>
        <w:t xml:space="preserve">] </w:t>
      </w:r>
      <w:r w:rsidRPr="00763503">
        <w:rPr>
          <w:rFonts w:hint="cs"/>
          <w:rtl/>
        </w:rPr>
        <w:t>דל</w:t>
      </w:r>
      <w:r>
        <w:rPr>
          <w:rFonts w:hint="cs"/>
          <w:rtl/>
        </w:rPr>
        <w:t>ריבר</w:t>
      </w:r>
      <w:r>
        <w:rPr>
          <w:rtl/>
        </w:rPr>
        <w:t>"</w:t>
      </w:r>
      <w:r>
        <w:rPr>
          <w:rFonts w:hint="cs"/>
          <w:rtl/>
        </w:rPr>
        <w:t>י</w:t>
      </w:r>
      <w:r w:rsidRPr="00763503">
        <w:rPr>
          <w:rFonts w:hint="cs"/>
          <w:rtl/>
        </w:rPr>
        <w:t xml:space="preserve"> אזלינן בשחיטה בתר רוב הסימן דרובו ככולו, ורבנן פליגי על דין רובו ככולו, וס"ל דלא אזלינן בשחיטה</w:t>
      </w:r>
      <w:r>
        <w:rPr>
          <w:rFonts w:hint="cs"/>
          <w:rtl/>
        </w:rPr>
        <w:t xml:space="preserve"> בתר רובא.</w:t>
      </w:r>
      <w:bookmarkEnd w:id="12054"/>
    </w:p>
    <w:p w14:paraId="3FA88C70" w14:textId="77777777" w:rsidR="003D04E6" w:rsidRPr="00CC59BF" w:rsidRDefault="003D04E6" w:rsidP="006D6D32">
      <w:pPr>
        <w:pStyle w:val="a3"/>
      </w:pPr>
      <w:bookmarkStart w:id="12055" w:name="_Toc531817589"/>
      <w:bookmarkStart w:id="12056" w:name="_Toc531819689"/>
      <w:bookmarkStart w:id="12057" w:name="_Toc19390583"/>
      <w:bookmarkStart w:id="12058" w:name="_Toc19394080"/>
      <w:r>
        <w:rPr>
          <w:rFonts w:hint="cs"/>
          <w:rtl/>
        </w:rPr>
        <w:t>דברי השיטמ"ק והגרעק"א דמבואר ברש"י דלרב ושמואל לרבנן לא אמרינן בשחיטה רובו ככולו</w:t>
      </w:r>
      <w:bookmarkEnd w:id="12055"/>
      <w:bookmarkEnd w:id="12056"/>
      <w:bookmarkEnd w:id="12057"/>
      <w:bookmarkEnd w:id="12058"/>
    </w:p>
    <w:p w14:paraId="402087AB" w14:textId="77777777" w:rsidR="003D04E6" w:rsidRDefault="003D04E6" w:rsidP="00223668">
      <w:pPr>
        <w:pStyle w:val="a0"/>
        <w:rPr>
          <w:rtl/>
        </w:rPr>
      </w:pPr>
      <w:bookmarkStart w:id="12059" w:name="_Ref531811443"/>
      <w:r w:rsidRPr="005D5540">
        <w:rPr>
          <w:rStyle w:val="af9"/>
          <w:rFonts w:hint="cs"/>
          <w:rtl/>
        </w:rPr>
        <w:t xml:space="preserve">והשיטמ"ק </w:t>
      </w:r>
      <w:r w:rsidRPr="005D5540">
        <w:rPr>
          <w:rStyle w:val="af7"/>
          <w:rFonts w:eastAsia="Guttman Hodes" w:hint="cs"/>
          <w:rtl/>
        </w:rPr>
        <w:t xml:space="preserve">(ד"ה </w:t>
      </w:r>
      <w:r>
        <w:rPr>
          <w:rStyle w:val="af7"/>
          <w:rFonts w:eastAsia="Guttman Hodes" w:hint="cs"/>
          <w:rtl/>
        </w:rPr>
        <w:t>וא"ת ולפרש"י</w:t>
      </w:r>
      <w:r w:rsidRPr="005D5540">
        <w:rPr>
          <w:rStyle w:val="af7"/>
          <w:rFonts w:eastAsia="Guttman Hodes" w:hint="cs"/>
          <w:rtl/>
        </w:rPr>
        <w:t xml:space="preserve">) </w:t>
      </w:r>
      <w:r w:rsidRPr="005D5540">
        <w:rPr>
          <w:rStyle w:val="af9"/>
          <w:rFonts w:hint="cs"/>
          <w:rtl/>
        </w:rPr>
        <w:t>והגרעק"א</w:t>
      </w:r>
      <w:r w:rsidRPr="005D5540">
        <w:rPr>
          <w:rFonts w:hint="cs"/>
          <w:rtl/>
        </w:rPr>
        <w:t xml:space="preserve"> </w:t>
      </w:r>
      <w:r w:rsidRPr="005D5540">
        <w:rPr>
          <w:rStyle w:val="af7"/>
          <w:rFonts w:eastAsia="Guttman Hodes" w:hint="cs"/>
          <w:rtl/>
        </w:rPr>
        <w:t>(ד"ה רב)</w:t>
      </w:r>
      <w:r w:rsidRPr="005D5540">
        <w:rPr>
          <w:rFonts w:hint="cs"/>
          <w:rtl/>
        </w:rPr>
        <w:t xml:space="preserve"> כתבו דמהא דכתב </w:t>
      </w:r>
      <w:r w:rsidRPr="005D5540">
        <w:rPr>
          <w:rStyle w:val="af9"/>
          <w:rFonts w:hint="cs"/>
          <w:rtl/>
        </w:rPr>
        <w:t>רש"י</w:t>
      </w:r>
      <w:r w:rsidRPr="005D5540">
        <w:rPr>
          <w:rFonts w:hint="cs"/>
          <w:rtl/>
        </w:rPr>
        <w:t xml:space="preserve"> </w:t>
      </w:r>
      <w:r w:rsidRPr="005D5540">
        <w:rPr>
          <w:rStyle w:val="af7"/>
          <w:rFonts w:eastAsia="Guttman Hodes" w:hint="cs"/>
          <w:rtl/>
        </w:rPr>
        <w:t>(ד"ה הלכה)</w:t>
      </w:r>
      <w:r w:rsidRPr="005D5540">
        <w:rPr>
          <w:rFonts w:hint="cs"/>
          <w:rtl/>
        </w:rPr>
        <w:t xml:space="preserve"> דרב ושמואל אמרי דהלכה כריבר</w:t>
      </w:r>
      <w:r w:rsidRPr="005D5540">
        <w:rPr>
          <w:rtl/>
        </w:rPr>
        <w:t>"</w:t>
      </w:r>
      <w:r w:rsidRPr="005D5540">
        <w:rPr>
          <w:rFonts w:hint="cs"/>
          <w:rtl/>
        </w:rPr>
        <w:t>י, היינו דרובו  ככולו, מבואר דלדברי רב ושמואל</w:t>
      </w:r>
      <w:r>
        <w:rPr>
          <w:rFonts w:hint="cs"/>
          <w:rtl/>
        </w:rPr>
        <w:t xml:space="preserve"> לרבנן לא אמרינן רובו ככולו, וכן מבואר בדברי </w:t>
      </w:r>
      <w:r w:rsidRPr="00182C4D">
        <w:rPr>
          <w:rStyle w:val="af9"/>
          <w:rFonts w:hint="cs"/>
          <w:rtl/>
        </w:rPr>
        <w:t>הרא"ש</w:t>
      </w:r>
      <w:r>
        <w:rPr>
          <w:rFonts w:hint="cs"/>
          <w:rtl/>
        </w:rPr>
        <w:t xml:space="preserve"> </w:t>
      </w:r>
      <w:r w:rsidRPr="00486B9E">
        <w:rPr>
          <w:rStyle w:val="af7"/>
          <w:rFonts w:eastAsia="Guttman Hodes" w:hint="cs"/>
          <w:rtl/>
        </w:rPr>
        <w:t>(סי' כ"ד)</w:t>
      </w:r>
      <w:r>
        <w:rPr>
          <w:rFonts w:hint="cs"/>
          <w:rtl/>
        </w:rPr>
        <w:t xml:space="preserve"> דכתב דרב ושמואל אמרי דהלכה כריבר</w:t>
      </w:r>
      <w:r>
        <w:rPr>
          <w:rtl/>
        </w:rPr>
        <w:t>"</w:t>
      </w:r>
      <w:r>
        <w:rPr>
          <w:rFonts w:hint="cs"/>
          <w:rtl/>
        </w:rPr>
        <w:t>י דרובו ככולו לענין הגרמה.</w:t>
      </w:r>
      <w:r w:rsidRPr="00182C4D">
        <w:rPr>
          <w:rStyle w:val="afb"/>
          <w:rFonts w:hint="cs"/>
          <w:rtl/>
        </w:rPr>
        <w:t xml:space="preserve"> [ומשמע דרבנן ס"ל דלא אמרינן בזה רובו ככולו]</w:t>
      </w:r>
      <w:bookmarkEnd w:id="12059"/>
      <w:r>
        <w:rPr>
          <w:rStyle w:val="afb"/>
          <w:rFonts w:hint="cs"/>
          <w:rtl/>
        </w:rPr>
        <w:t>,</w:t>
      </w:r>
      <w:r w:rsidRPr="00B95956">
        <w:rPr>
          <w:rFonts w:hint="cs"/>
          <w:rtl/>
        </w:rPr>
        <w:t xml:space="preserve"> </w:t>
      </w:r>
      <w:r>
        <w:rPr>
          <w:rFonts w:hint="cs"/>
          <w:rtl/>
        </w:rPr>
        <w:t xml:space="preserve">ועי' במה שהקשה </w:t>
      </w:r>
      <w:r w:rsidRPr="00B95956">
        <w:rPr>
          <w:rStyle w:val="af9"/>
          <w:rFonts w:hint="cs"/>
          <w:rtl/>
        </w:rPr>
        <w:t>הגרעק"א</w:t>
      </w:r>
      <w:r>
        <w:rPr>
          <w:rFonts w:hint="cs"/>
          <w:rtl/>
        </w:rPr>
        <w:t xml:space="preserve"> </w:t>
      </w:r>
      <w:r w:rsidRPr="00B95956">
        <w:rPr>
          <w:rStyle w:val="af7"/>
          <w:rFonts w:eastAsia="Guttman Hodes" w:hint="cs"/>
          <w:rtl/>
        </w:rPr>
        <w:t xml:space="preserve">(עי' אות </w:t>
      </w:r>
      <w:r w:rsidRPr="00B95956">
        <w:rPr>
          <w:rStyle w:val="af7"/>
          <w:rFonts w:eastAsia="Guttman Hodes"/>
          <w:rtl/>
        </w:rPr>
        <w:fldChar w:fldCharType="begin"/>
      </w:r>
      <w:r w:rsidRPr="00B95956">
        <w:rPr>
          <w:rStyle w:val="af7"/>
          <w:rFonts w:eastAsia="Guttman Hodes"/>
          <w:rtl/>
        </w:rPr>
        <w:instrText xml:space="preserve"> </w:instrText>
      </w:r>
      <w:r w:rsidRPr="00B95956">
        <w:rPr>
          <w:rStyle w:val="af7"/>
          <w:rFonts w:eastAsia="Guttman Hodes" w:hint="cs"/>
        </w:rPr>
        <w:instrText>REF</w:instrText>
      </w:r>
      <w:r w:rsidRPr="00B95956">
        <w:rPr>
          <w:rStyle w:val="af7"/>
          <w:rFonts w:eastAsia="Guttman Hodes" w:hint="cs"/>
          <w:rtl/>
        </w:rPr>
        <w:instrText xml:space="preserve"> _</w:instrText>
      </w:r>
      <w:r w:rsidRPr="00B95956">
        <w:rPr>
          <w:rStyle w:val="af7"/>
          <w:rFonts w:eastAsia="Guttman Hodes" w:hint="cs"/>
        </w:rPr>
        <w:instrText>Ref531811750 \r \h</w:instrText>
      </w:r>
      <w:r w:rsidRPr="00B95956">
        <w:rPr>
          <w:rStyle w:val="af7"/>
          <w:rFonts w:eastAsia="Guttman Hodes"/>
          <w:rtl/>
        </w:rPr>
        <w:instrText xml:space="preserve"> </w:instrText>
      </w:r>
      <w:r w:rsidRPr="00B95956">
        <w:rPr>
          <w:rStyle w:val="af7"/>
          <w:rFonts w:eastAsia="Guttman Hodes"/>
          <w:rtl/>
        </w:rPr>
      </w:r>
      <w:r w:rsidRPr="00B95956">
        <w:rPr>
          <w:rStyle w:val="af7"/>
          <w:rFonts w:eastAsia="Guttman Hodes"/>
          <w:rtl/>
        </w:rPr>
        <w:fldChar w:fldCharType="separate"/>
      </w:r>
      <w:r w:rsidR="00345400">
        <w:rPr>
          <w:rStyle w:val="af7"/>
          <w:rFonts w:eastAsia="Guttman Hodes"/>
          <w:cs/>
        </w:rPr>
        <w:t>‎</w:t>
      </w:r>
      <w:r w:rsidR="00345400">
        <w:rPr>
          <w:rStyle w:val="af7"/>
          <w:rFonts w:eastAsia="Guttman Hodes"/>
          <w:rtl/>
        </w:rPr>
        <w:t>כ)</w:t>
      </w:r>
      <w:r w:rsidRPr="00B95956">
        <w:rPr>
          <w:rStyle w:val="af7"/>
          <w:rFonts w:eastAsia="Guttman Hodes"/>
          <w:rtl/>
        </w:rPr>
        <w:fldChar w:fldCharType="end"/>
      </w:r>
      <w:r>
        <w:rPr>
          <w:rFonts w:hint="cs"/>
          <w:rtl/>
        </w:rPr>
        <w:t xml:space="preserve">, וע"ע בדברי </w:t>
      </w:r>
      <w:r w:rsidRPr="0037304B">
        <w:rPr>
          <w:rStyle w:val="af9"/>
          <w:rFonts w:hint="cs"/>
          <w:rtl/>
        </w:rPr>
        <w:t>השיטמ"ק</w:t>
      </w:r>
      <w:r>
        <w:rPr>
          <w:rFonts w:hint="cs"/>
          <w:rtl/>
        </w:rPr>
        <w:t xml:space="preserve"> </w:t>
      </w:r>
      <w:r w:rsidRPr="0037304B">
        <w:rPr>
          <w:rStyle w:val="af7"/>
          <w:rFonts w:eastAsia="Guttman Hodes" w:hint="cs"/>
          <w:rtl/>
        </w:rPr>
        <w:t>(ד"ה וא"ת היכא)</w:t>
      </w:r>
      <w:r>
        <w:rPr>
          <w:rFonts w:hint="cs"/>
          <w:rtl/>
        </w:rPr>
        <w:t>.</w:t>
      </w:r>
    </w:p>
    <w:p w14:paraId="3B0182F0" w14:textId="77777777" w:rsidR="003D04E6" w:rsidRDefault="003D04E6" w:rsidP="006D6D32">
      <w:pPr>
        <w:pStyle w:val="a3"/>
        <w:rPr>
          <w:rtl/>
        </w:rPr>
      </w:pPr>
      <w:bookmarkStart w:id="12060" w:name="_Toc531817590"/>
      <w:bookmarkStart w:id="12061" w:name="_Toc531819690"/>
      <w:bookmarkStart w:id="12062" w:name="_Toc19390584"/>
      <w:bookmarkStart w:id="12063" w:name="_Toc19394081"/>
      <w:r>
        <w:rPr>
          <w:rFonts w:hint="cs"/>
          <w:rtl/>
        </w:rPr>
        <w:t>דברי המאירי דנחלקו ריבר"י ורבנן אי אמרינן בשחיטה רובו ככולו</w:t>
      </w:r>
      <w:bookmarkEnd w:id="12060"/>
      <w:bookmarkEnd w:id="12061"/>
      <w:bookmarkEnd w:id="12062"/>
      <w:bookmarkEnd w:id="12063"/>
    </w:p>
    <w:p w14:paraId="44090688" w14:textId="77777777" w:rsidR="003D04E6" w:rsidRDefault="003D04E6" w:rsidP="00223668">
      <w:pPr>
        <w:pStyle w:val="a0"/>
        <w:rPr>
          <w:rtl/>
        </w:rPr>
      </w:pPr>
      <w:r>
        <w:rPr>
          <w:rFonts w:hint="cs"/>
          <w:rtl/>
        </w:rPr>
        <w:t xml:space="preserve">וכ"כ </w:t>
      </w:r>
      <w:r w:rsidRPr="00021EDB">
        <w:rPr>
          <w:rFonts w:hint="cs"/>
          <w:rtl/>
        </w:rPr>
        <w:t xml:space="preserve"> </w:t>
      </w:r>
      <w:r w:rsidRPr="001B365A">
        <w:rPr>
          <w:rStyle w:val="af9"/>
          <w:rFonts w:hint="cs"/>
          <w:rtl/>
        </w:rPr>
        <w:t>המאירי</w:t>
      </w:r>
      <w:r w:rsidRPr="00021EDB">
        <w:rPr>
          <w:rFonts w:hint="cs"/>
          <w:rtl/>
        </w:rPr>
        <w:t xml:space="preserve"> </w:t>
      </w:r>
      <w:r w:rsidRPr="001B365A">
        <w:rPr>
          <w:rStyle w:val="af7"/>
          <w:rFonts w:eastAsia="Guttman Hodes" w:hint="cs"/>
          <w:rtl/>
        </w:rPr>
        <w:t xml:space="preserve">(ד"ה אמר המאירי) </w:t>
      </w:r>
      <w:r>
        <w:rPr>
          <w:rFonts w:hint="cs"/>
          <w:rtl/>
        </w:rPr>
        <w:t>דהביאור בפלוגתת ריבר</w:t>
      </w:r>
      <w:r>
        <w:rPr>
          <w:rtl/>
        </w:rPr>
        <w:t>"</w:t>
      </w:r>
      <w:r>
        <w:rPr>
          <w:rFonts w:hint="cs"/>
          <w:rtl/>
        </w:rPr>
        <w:t>י ורבנן, הוא דלדעת רבנן לא אמרינן בשחיטה רובו ככולו, ולכן אם לא שייר מלא החוט על פני כל הטבעת, והגרים למעלה מהטבעת הגדולה שאינו מקום שחיטה, שחיטתו פסולה, וריבר</w:t>
      </w:r>
      <w:r>
        <w:rPr>
          <w:rtl/>
        </w:rPr>
        <w:t>"</w:t>
      </w:r>
      <w:r>
        <w:rPr>
          <w:rFonts w:hint="cs"/>
          <w:rtl/>
        </w:rPr>
        <w:t>י ס"ל דמהני בשחיטה רובו ככולו.</w:t>
      </w:r>
    </w:p>
    <w:p w14:paraId="294C64FA" w14:textId="77777777" w:rsidR="003D04E6" w:rsidRPr="00176231" w:rsidRDefault="003D04E6" w:rsidP="006D6D32">
      <w:pPr>
        <w:pStyle w:val="a3"/>
        <w:rPr>
          <w:rtl/>
        </w:rPr>
      </w:pPr>
      <w:bookmarkStart w:id="12064" w:name="_Toc531817591"/>
      <w:bookmarkStart w:id="12065" w:name="_Toc531819691"/>
      <w:bookmarkStart w:id="12066" w:name="_Toc19390585"/>
      <w:bookmarkStart w:id="12067" w:name="_Toc19394082"/>
      <w:r>
        <w:rPr>
          <w:rFonts w:hint="cs"/>
          <w:rtl/>
        </w:rPr>
        <w:t>דברי הרשב"א והרמב"ן דמוכח דלרבנן לא אמרינן בשחיטה רובו ככולו מדפסלי אחר שחיטת הרוב</w:t>
      </w:r>
      <w:bookmarkEnd w:id="12064"/>
      <w:bookmarkEnd w:id="12065"/>
      <w:bookmarkEnd w:id="12066"/>
      <w:bookmarkEnd w:id="12067"/>
    </w:p>
    <w:p w14:paraId="72CA8EED" w14:textId="77777777" w:rsidR="003D04E6" w:rsidRDefault="003D04E6" w:rsidP="00223668">
      <w:pPr>
        <w:pStyle w:val="a0"/>
        <w:rPr>
          <w:rtl/>
        </w:rPr>
      </w:pPr>
      <w:r>
        <w:rPr>
          <w:rFonts w:hint="cs"/>
          <w:rtl/>
        </w:rPr>
        <w:t xml:space="preserve">כתבו </w:t>
      </w:r>
      <w:r w:rsidRPr="001F0ED9">
        <w:rPr>
          <w:rStyle w:val="af9"/>
          <w:rFonts w:hint="cs"/>
          <w:rtl/>
        </w:rPr>
        <w:t>הרמב"ן לקמן</w:t>
      </w:r>
      <w:r>
        <w:rPr>
          <w:rFonts w:hint="cs"/>
          <w:rtl/>
        </w:rPr>
        <w:t xml:space="preserve"> </w:t>
      </w:r>
      <w:r w:rsidRPr="001F0ED9">
        <w:rPr>
          <w:rStyle w:val="af7"/>
          <w:rFonts w:eastAsia="Guttman Hodes" w:hint="cs"/>
          <w:rtl/>
        </w:rPr>
        <w:t xml:space="preserve">(ל: ד"ה החליד) </w:t>
      </w:r>
      <w:r w:rsidRPr="001F0ED9">
        <w:rPr>
          <w:rStyle w:val="af9"/>
          <w:rFonts w:hint="cs"/>
          <w:rtl/>
        </w:rPr>
        <w:t>והרשב"א לקמן</w:t>
      </w:r>
      <w:r w:rsidRPr="001F0ED9">
        <w:rPr>
          <w:rStyle w:val="af7"/>
          <w:rFonts w:eastAsia="Guttman Hodes" w:hint="cs"/>
          <w:rtl/>
        </w:rPr>
        <w:t xml:space="preserve"> (ל: ד"ה החליד</w:t>
      </w:r>
      <w:r w:rsidRPr="000066BF">
        <w:rPr>
          <w:rStyle w:val="af7"/>
          <w:rFonts w:eastAsia="Guttman Hodes"/>
          <w:rtl/>
        </w:rPr>
        <w:t>,</w:t>
      </w:r>
      <w:r>
        <w:rPr>
          <w:rStyle w:val="af7"/>
          <w:rFonts w:eastAsia="Guttman Hodes" w:hint="cs"/>
          <w:rtl/>
        </w:rPr>
        <w:t xml:space="preserve"> </w:t>
      </w:r>
      <w:r w:rsidRPr="000066BF">
        <w:rPr>
          <w:rStyle w:val="af7"/>
          <w:rFonts w:eastAsia="Guttman Hodes"/>
          <w:rtl/>
        </w:rPr>
        <w:t>מב. סוד"ה אלו טריפות</w:t>
      </w:r>
      <w:r w:rsidRPr="001F0ED9">
        <w:rPr>
          <w:rStyle w:val="af7"/>
          <w:rFonts w:eastAsia="Guttman Hodes" w:hint="cs"/>
          <w:rtl/>
        </w:rPr>
        <w:t xml:space="preserve">) </w:t>
      </w:r>
      <w:r>
        <w:rPr>
          <w:rFonts w:hint="cs"/>
          <w:rtl/>
        </w:rPr>
        <w:t xml:space="preserve">דמהא דרבנן דפסלי בהגרים בסוף השחיטה, </w:t>
      </w:r>
      <w:r w:rsidRPr="00403845">
        <w:rPr>
          <w:rStyle w:val="afb"/>
          <w:rFonts w:hint="cs"/>
          <w:rtl/>
        </w:rPr>
        <w:t>[</w:t>
      </w:r>
      <w:r>
        <w:rPr>
          <w:rStyle w:val="afb"/>
          <w:rFonts w:hint="cs"/>
          <w:rtl/>
        </w:rPr>
        <w:t>ל</w:t>
      </w:r>
      <w:r w:rsidRPr="00403845">
        <w:rPr>
          <w:rStyle w:val="afb"/>
          <w:rFonts w:hint="cs"/>
          <w:rtl/>
        </w:rPr>
        <w:t xml:space="preserve">ל"ק דרב הונא בגמ' לקמן </w:t>
      </w:r>
      <w:r w:rsidRPr="00403845">
        <w:rPr>
          <w:rStyle w:val="aff6"/>
          <w:rFonts w:hint="cs"/>
          <w:rtl/>
        </w:rPr>
        <w:t>(יט.)</w:t>
      </w:r>
      <w:r w:rsidRPr="00403845">
        <w:rPr>
          <w:rStyle w:val="afb"/>
          <w:rFonts w:hint="cs"/>
          <w:rtl/>
        </w:rPr>
        <w:t>]</w:t>
      </w:r>
      <w:r>
        <w:rPr>
          <w:rStyle w:val="afb"/>
          <w:rFonts w:hint="cs"/>
          <w:rtl/>
        </w:rPr>
        <w:t>,</w:t>
      </w:r>
      <w:r w:rsidRPr="00403845">
        <w:rPr>
          <w:rStyle w:val="afb"/>
          <w:rFonts w:hint="cs"/>
          <w:rtl/>
        </w:rPr>
        <w:t xml:space="preserve"> </w:t>
      </w:r>
      <w:r>
        <w:rPr>
          <w:rFonts w:hint="cs"/>
          <w:rtl/>
        </w:rPr>
        <w:t xml:space="preserve">מוכח דרבנן פליגי על המשנה לקמן </w:t>
      </w:r>
      <w:r w:rsidRPr="001F0ED9">
        <w:rPr>
          <w:rStyle w:val="af7"/>
          <w:rFonts w:eastAsia="Guttman Hodes" w:hint="cs"/>
          <w:rtl/>
        </w:rPr>
        <w:t xml:space="preserve">(כז.) </w:t>
      </w:r>
      <w:r>
        <w:rPr>
          <w:rFonts w:hint="cs"/>
          <w:rtl/>
        </w:rPr>
        <w:t>דמהני רובו ככולו בשחיטה, דאי רוב שחיטת רוב הסימן היא ככולו, א"א לפסול את השחיטה לאחר שחיטת רובו.</w:t>
      </w:r>
    </w:p>
    <w:p w14:paraId="5FDA1E92" w14:textId="77777777" w:rsidR="003D04E6" w:rsidRDefault="003D04E6" w:rsidP="00BF39B2">
      <w:pPr>
        <w:pStyle w:val="1"/>
        <w:rPr>
          <w:rtl/>
        </w:rPr>
      </w:pPr>
      <w:bookmarkStart w:id="12068" w:name="_Toc531622063"/>
      <w:bookmarkStart w:id="12069" w:name="_Toc531629719"/>
      <w:bookmarkStart w:id="12070" w:name="_Toc531638976"/>
      <w:bookmarkStart w:id="12071" w:name="_Toc531776385"/>
      <w:bookmarkStart w:id="12072" w:name="_Toc531817592"/>
      <w:bookmarkStart w:id="12073" w:name="_Toc531819692"/>
      <w:bookmarkStart w:id="12074" w:name="_Toc19390586"/>
      <w:bookmarkStart w:id="12075" w:name="_Toc19394083"/>
      <w:r>
        <w:rPr>
          <w:rFonts w:hint="cs"/>
          <w:rtl/>
        </w:rPr>
        <w:t>קושית הגרעק"א</w:t>
      </w:r>
      <w:bookmarkEnd w:id="12068"/>
      <w:bookmarkEnd w:id="12069"/>
      <w:bookmarkEnd w:id="12070"/>
      <w:bookmarkEnd w:id="12071"/>
      <w:r>
        <w:rPr>
          <w:rFonts w:hint="cs"/>
          <w:rtl/>
        </w:rPr>
        <w:t xml:space="preserve"> דלל"ב דרב הונא אפש"ל דלא נח' ברובו ככולו</w:t>
      </w:r>
      <w:bookmarkEnd w:id="12072"/>
      <w:bookmarkEnd w:id="12073"/>
      <w:bookmarkEnd w:id="12074"/>
      <w:bookmarkEnd w:id="12075"/>
    </w:p>
    <w:p w14:paraId="4DD3A646" w14:textId="77777777" w:rsidR="003D04E6" w:rsidRPr="007306F4" w:rsidRDefault="003D04E6" w:rsidP="006D6D32">
      <w:pPr>
        <w:pStyle w:val="a3"/>
        <w:rPr>
          <w:rtl/>
        </w:rPr>
      </w:pPr>
      <w:bookmarkStart w:id="12076" w:name="_Toc531817593"/>
      <w:bookmarkStart w:id="12077" w:name="_Toc531819693"/>
      <w:bookmarkStart w:id="12078" w:name="_Toc19390587"/>
      <w:bookmarkStart w:id="12079" w:name="_Toc19394084"/>
      <w:r>
        <w:rPr>
          <w:rFonts w:hint="cs"/>
          <w:rtl/>
        </w:rPr>
        <w:t>דברי הגרעק"א דמרב ושמואל מוכח דלרבנן לא אמרינן בשחיטה רובו ככולו</w:t>
      </w:r>
      <w:bookmarkEnd w:id="12076"/>
      <w:bookmarkEnd w:id="12077"/>
      <w:bookmarkEnd w:id="12078"/>
      <w:bookmarkEnd w:id="12079"/>
    </w:p>
    <w:p w14:paraId="4B9EA019" w14:textId="77777777" w:rsidR="003D04E6" w:rsidRDefault="003D04E6" w:rsidP="00223668">
      <w:pPr>
        <w:pStyle w:val="a0"/>
        <w:rPr>
          <w:rtl/>
        </w:rPr>
      </w:pPr>
      <w:r>
        <w:rPr>
          <w:rFonts w:hint="cs"/>
          <w:rtl/>
        </w:rPr>
        <w:t xml:space="preserve">כתב </w:t>
      </w:r>
      <w:r w:rsidRPr="003A4F47">
        <w:rPr>
          <w:rStyle w:val="af9"/>
          <w:rFonts w:hint="cs"/>
          <w:rtl/>
        </w:rPr>
        <w:t>הגרעק"א</w:t>
      </w:r>
      <w:r>
        <w:rPr>
          <w:rFonts w:hint="cs"/>
          <w:rtl/>
        </w:rPr>
        <w:t xml:space="preserve"> </w:t>
      </w:r>
      <w:r w:rsidRPr="003A4F47">
        <w:rPr>
          <w:rStyle w:val="af7"/>
          <w:rFonts w:eastAsia="Guttman Hodes" w:hint="cs"/>
          <w:rtl/>
        </w:rPr>
        <w:t>(ד"ה רב)</w:t>
      </w:r>
      <w:r>
        <w:rPr>
          <w:rFonts w:hint="cs"/>
          <w:rtl/>
        </w:rPr>
        <w:t xml:space="preserve"> דמדברי רב ושמואל מבואר דרבנן וריבר</w:t>
      </w:r>
      <w:r>
        <w:rPr>
          <w:rtl/>
        </w:rPr>
        <w:t>"</w:t>
      </w:r>
      <w:r>
        <w:rPr>
          <w:rFonts w:hint="cs"/>
          <w:rtl/>
        </w:rPr>
        <w:t>י נחלקו אי אמרינן בשחיטה רובו ככולו, דלרבנן לא אמרינן דשחיטת רוב הסימן היא ככולו,</w:t>
      </w:r>
      <w:r w:rsidRPr="008D5C5A">
        <w:rPr>
          <w:rFonts w:hint="cs"/>
          <w:rtl/>
        </w:rPr>
        <w:t xml:space="preserve"> </w:t>
      </w:r>
      <w:r>
        <w:rPr>
          <w:rFonts w:hint="cs"/>
          <w:rtl/>
        </w:rPr>
        <w:t xml:space="preserve">ודהוכיח </w:t>
      </w:r>
      <w:r w:rsidRPr="008D5C5A">
        <w:rPr>
          <w:rStyle w:val="af9"/>
          <w:rFonts w:hint="cs"/>
          <w:rtl/>
        </w:rPr>
        <w:t>הגרעק"א</w:t>
      </w:r>
      <w:r>
        <w:rPr>
          <w:rFonts w:hint="cs"/>
          <w:rtl/>
        </w:rPr>
        <w:t xml:space="preserve"> מדברי </w:t>
      </w:r>
      <w:r w:rsidRPr="003A4F47">
        <w:rPr>
          <w:rStyle w:val="af9"/>
          <w:rFonts w:hint="cs"/>
          <w:rtl/>
        </w:rPr>
        <w:t>רש"י</w:t>
      </w:r>
      <w:r>
        <w:rPr>
          <w:rFonts w:hint="cs"/>
          <w:rtl/>
        </w:rPr>
        <w:t xml:space="preserve"> </w:t>
      </w:r>
      <w:r>
        <w:rPr>
          <w:rStyle w:val="af7"/>
          <w:rFonts w:eastAsia="Guttman Hodes" w:hint="cs"/>
          <w:rtl/>
        </w:rPr>
        <w:t>(</w:t>
      </w:r>
      <w:r w:rsidRPr="00486844">
        <w:rPr>
          <w:rStyle w:val="af7"/>
          <w:rFonts w:eastAsia="Guttman Hodes" w:hint="cs"/>
          <w:rtl/>
        </w:rPr>
        <w:t xml:space="preserve">עי' אות </w:t>
      </w:r>
      <w:r w:rsidRPr="00486844">
        <w:rPr>
          <w:rStyle w:val="af7"/>
          <w:rFonts w:eastAsia="Guttman Hodes"/>
          <w:rtl/>
        </w:rPr>
        <w:fldChar w:fldCharType="begin"/>
      </w:r>
      <w:r w:rsidRPr="00486844">
        <w:rPr>
          <w:rStyle w:val="af7"/>
          <w:rFonts w:eastAsia="Guttman Hodes"/>
          <w:rtl/>
        </w:rPr>
        <w:instrText xml:space="preserve"> </w:instrText>
      </w:r>
      <w:r w:rsidRPr="00486844">
        <w:rPr>
          <w:rStyle w:val="af7"/>
          <w:rFonts w:eastAsia="Guttman Hodes" w:hint="cs"/>
        </w:rPr>
        <w:instrText>REF</w:instrText>
      </w:r>
      <w:r w:rsidRPr="00486844">
        <w:rPr>
          <w:rStyle w:val="af7"/>
          <w:rFonts w:eastAsia="Guttman Hodes" w:hint="cs"/>
          <w:rtl/>
        </w:rPr>
        <w:instrText xml:space="preserve"> _</w:instrText>
      </w:r>
      <w:r w:rsidRPr="00486844">
        <w:rPr>
          <w:rStyle w:val="af7"/>
          <w:rFonts w:eastAsia="Guttman Hodes" w:hint="cs"/>
        </w:rPr>
        <w:instrText>Ref531811443 \r \h</w:instrText>
      </w:r>
      <w:r w:rsidRPr="00486844">
        <w:rPr>
          <w:rStyle w:val="af7"/>
          <w:rFonts w:eastAsia="Guttman Hodes"/>
          <w:rtl/>
        </w:rPr>
        <w:instrText xml:space="preserve"> </w:instrText>
      </w:r>
      <w:r w:rsidRPr="00486844">
        <w:rPr>
          <w:rStyle w:val="af7"/>
          <w:rFonts w:eastAsia="Guttman Hodes"/>
          <w:rtl/>
        </w:rPr>
      </w:r>
      <w:r w:rsidRPr="00486844">
        <w:rPr>
          <w:rStyle w:val="af7"/>
          <w:rFonts w:eastAsia="Guttman Hodes"/>
          <w:rtl/>
        </w:rPr>
        <w:fldChar w:fldCharType="separate"/>
      </w:r>
      <w:r w:rsidR="00345400">
        <w:rPr>
          <w:rStyle w:val="af7"/>
          <w:rFonts w:eastAsia="Guttman Hodes"/>
          <w:cs/>
        </w:rPr>
        <w:t>‎</w:t>
      </w:r>
      <w:r w:rsidR="00345400">
        <w:rPr>
          <w:rStyle w:val="af7"/>
          <w:rFonts w:eastAsia="Guttman Hodes"/>
          <w:rtl/>
        </w:rPr>
        <w:t>טז)</w:t>
      </w:r>
      <w:r w:rsidRPr="00486844">
        <w:rPr>
          <w:rStyle w:val="af7"/>
          <w:rFonts w:eastAsia="Guttman Hodes"/>
          <w:rtl/>
        </w:rPr>
        <w:fldChar w:fldCharType="end"/>
      </w:r>
      <w:r>
        <w:rPr>
          <w:rFonts w:hint="cs"/>
          <w:rtl/>
        </w:rPr>
        <w:t>.</w:t>
      </w:r>
    </w:p>
    <w:p w14:paraId="1F70C2AA" w14:textId="77777777" w:rsidR="00493E3A" w:rsidRDefault="00493E3A" w:rsidP="006D6D32">
      <w:pPr>
        <w:pStyle w:val="a3"/>
        <w:rPr>
          <w:rtl/>
        </w:rPr>
      </w:pPr>
      <w:bookmarkStart w:id="12080" w:name="_Toc531817594"/>
      <w:bookmarkStart w:id="12081" w:name="_Toc531819694"/>
    </w:p>
    <w:p w14:paraId="43E8B698" w14:textId="77777777" w:rsidR="00493E3A" w:rsidRDefault="00493E3A" w:rsidP="006D6D32">
      <w:pPr>
        <w:pStyle w:val="a3"/>
        <w:rPr>
          <w:rtl/>
        </w:rPr>
      </w:pPr>
    </w:p>
    <w:p w14:paraId="51B1BFF5" w14:textId="77777777" w:rsidR="003D04E6" w:rsidRPr="00BE18DC" w:rsidRDefault="003D04E6" w:rsidP="006D6D32">
      <w:pPr>
        <w:pStyle w:val="a3"/>
      </w:pPr>
      <w:bookmarkStart w:id="12082" w:name="_Toc19390588"/>
      <w:bookmarkStart w:id="12083" w:name="_Toc19394085"/>
      <w:r>
        <w:rPr>
          <w:rFonts w:hint="cs"/>
          <w:rtl/>
        </w:rPr>
        <w:t>קושית הגרעק"א דלל"ב דרב הונא אפש"ל דאף לרבנן אמרינן בשחיטה רובו ככולו</w:t>
      </w:r>
      <w:bookmarkEnd w:id="12080"/>
      <w:bookmarkEnd w:id="12081"/>
      <w:bookmarkEnd w:id="12082"/>
      <w:bookmarkEnd w:id="12083"/>
    </w:p>
    <w:p w14:paraId="2B1DF292" w14:textId="77777777" w:rsidR="003D04E6" w:rsidRDefault="003D04E6" w:rsidP="00223668">
      <w:pPr>
        <w:pStyle w:val="a0"/>
        <w:rPr>
          <w:rtl/>
        </w:rPr>
      </w:pPr>
      <w:bookmarkStart w:id="12084" w:name="_Ref531811750"/>
      <w:r>
        <w:rPr>
          <w:rFonts w:hint="cs"/>
          <w:rtl/>
        </w:rPr>
        <w:t xml:space="preserve">והקשה </w:t>
      </w:r>
      <w:r w:rsidRPr="003A4F47">
        <w:rPr>
          <w:rStyle w:val="af9"/>
          <w:rFonts w:hint="cs"/>
          <w:rtl/>
        </w:rPr>
        <w:t>הגרעק"א</w:t>
      </w:r>
      <w:r>
        <w:rPr>
          <w:rFonts w:hint="cs"/>
          <w:rtl/>
        </w:rPr>
        <w:t xml:space="preserve"> דלפי"ז מבואר דנחלקו ריבר</w:t>
      </w:r>
      <w:r>
        <w:rPr>
          <w:rtl/>
        </w:rPr>
        <w:t>"</w:t>
      </w:r>
      <w:r>
        <w:rPr>
          <w:rFonts w:hint="cs"/>
          <w:rtl/>
        </w:rPr>
        <w:t xml:space="preserve">י ורבנן בשחט ב' שלישים והגרים בשליש האחרון, </w:t>
      </w:r>
      <w:r w:rsidRPr="000749A4">
        <w:rPr>
          <w:rStyle w:val="afb"/>
          <w:rFonts w:hint="cs"/>
          <w:rtl/>
        </w:rPr>
        <w:t xml:space="preserve">[כל"ק דרב הונא לקמן </w:t>
      </w:r>
      <w:r w:rsidRPr="000749A4">
        <w:rPr>
          <w:rStyle w:val="aff6"/>
          <w:rFonts w:hint="cs"/>
          <w:rtl/>
        </w:rPr>
        <w:t>(יט.)</w:t>
      </w:r>
      <w:r w:rsidRPr="000749A4">
        <w:rPr>
          <w:rStyle w:val="afb"/>
          <w:rFonts w:hint="cs"/>
          <w:rtl/>
        </w:rPr>
        <w:t>],</w:t>
      </w:r>
      <w:r>
        <w:rPr>
          <w:rFonts w:hint="cs"/>
          <w:rtl/>
        </w:rPr>
        <w:t xml:space="preserve"> והא במסקנת הסוגיא </w:t>
      </w:r>
      <w:r w:rsidRPr="003A4F47">
        <w:rPr>
          <w:rStyle w:val="af7"/>
          <w:rFonts w:eastAsia="Guttman Hodes" w:hint="cs"/>
          <w:rtl/>
        </w:rPr>
        <w:t>(יט.)</w:t>
      </w:r>
      <w:r>
        <w:rPr>
          <w:rFonts w:hint="cs"/>
          <w:rtl/>
        </w:rPr>
        <w:t xml:space="preserve"> מבואר דנחלקו בהגרים שליש ושחט שליש והגרים שליש, </w:t>
      </w:r>
      <w:r w:rsidRPr="000749A4">
        <w:rPr>
          <w:rStyle w:val="afb"/>
          <w:rFonts w:hint="cs"/>
          <w:rtl/>
        </w:rPr>
        <w:t>[כל"</w:t>
      </w:r>
      <w:r>
        <w:rPr>
          <w:rStyle w:val="afb"/>
          <w:rFonts w:hint="cs"/>
          <w:rtl/>
        </w:rPr>
        <w:t>ב</w:t>
      </w:r>
      <w:r w:rsidRPr="000749A4">
        <w:rPr>
          <w:rStyle w:val="afb"/>
          <w:rFonts w:hint="cs"/>
          <w:rtl/>
        </w:rPr>
        <w:t xml:space="preserve"> דרב הונא</w:t>
      </w:r>
      <w:r>
        <w:rPr>
          <w:rStyle w:val="afb"/>
          <w:rFonts w:hint="cs"/>
          <w:rtl/>
        </w:rPr>
        <w:t>],</w:t>
      </w:r>
      <w:r>
        <w:rPr>
          <w:rFonts w:hint="cs"/>
          <w:rtl/>
        </w:rPr>
        <w:t xml:space="preserve"> אבל בשחט ב' שלישים והגרים שליש כשר, וא"כ אף לרבנן אפש"ל דס"ל דמהני בשחיטה רובו ככולו.</w:t>
      </w:r>
      <w:bookmarkEnd w:id="12084"/>
    </w:p>
    <w:p w14:paraId="36EF9957" w14:textId="77777777" w:rsidR="003D04E6" w:rsidRPr="008B0C2D" w:rsidRDefault="003D04E6" w:rsidP="00BF39B2">
      <w:pPr>
        <w:pStyle w:val="1"/>
        <w:rPr>
          <w:rtl/>
        </w:rPr>
      </w:pPr>
      <w:bookmarkStart w:id="12085" w:name="_Toc531817595"/>
      <w:bookmarkStart w:id="12086" w:name="_Toc531819695"/>
      <w:bookmarkStart w:id="12087" w:name="_Toc19390589"/>
      <w:bookmarkStart w:id="12088" w:name="_Toc19394086"/>
      <w:r>
        <w:rPr>
          <w:rFonts w:hint="cs"/>
          <w:rtl/>
        </w:rPr>
        <w:t>ביאור המהר"ץ חיות דכשרות רוב סימן אינו הוכחה דרובו ככולו</w:t>
      </w:r>
      <w:bookmarkEnd w:id="12085"/>
      <w:bookmarkEnd w:id="12086"/>
      <w:bookmarkEnd w:id="12087"/>
      <w:bookmarkEnd w:id="12088"/>
    </w:p>
    <w:p w14:paraId="20DA7154" w14:textId="77777777" w:rsidR="003D04E6" w:rsidRDefault="003D04E6" w:rsidP="006D6D32">
      <w:pPr>
        <w:pStyle w:val="a3"/>
        <w:rPr>
          <w:rtl/>
        </w:rPr>
      </w:pPr>
      <w:bookmarkStart w:id="12089" w:name="_Toc531817596"/>
      <w:bookmarkStart w:id="12090" w:name="_Toc531819696"/>
      <w:bookmarkStart w:id="12091" w:name="_Toc19390590"/>
      <w:bookmarkStart w:id="12092" w:name="_Toc19394087"/>
      <w:r>
        <w:rPr>
          <w:rFonts w:hint="cs"/>
          <w:rtl/>
        </w:rPr>
        <w:t>דברי המהר"ץ חיות דכו"ע מודו דרוב סימן כשר ונחלקו אם הוא מדין רובו ככולו</w:t>
      </w:r>
      <w:bookmarkEnd w:id="12089"/>
      <w:bookmarkEnd w:id="12090"/>
      <w:bookmarkEnd w:id="12091"/>
      <w:bookmarkEnd w:id="12092"/>
    </w:p>
    <w:p w14:paraId="773A6B5E" w14:textId="77777777" w:rsidR="003D04E6" w:rsidRDefault="003D04E6" w:rsidP="00223668">
      <w:pPr>
        <w:pStyle w:val="a0"/>
        <w:rPr>
          <w:rtl/>
        </w:rPr>
      </w:pPr>
      <w:r>
        <w:rPr>
          <w:rFonts w:hint="cs"/>
          <w:rtl/>
        </w:rPr>
        <w:t xml:space="preserve">כתב </w:t>
      </w:r>
      <w:r w:rsidRPr="0038449D">
        <w:rPr>
          <w:rStyle w:val="af9"/>
          <w:rFonts w:hint="cs"/>
          <w:rtl/>
        </w:rPr>
        <w:t>המהר"ץ חיות</w:t>
      </w:r>
      <w:r>
        <w:rPr>
          <w:rFonts w:hint="cs"/>
          <w:rtl/>
        </w:rPr>
        <w:t xml:space="preserve"> </w:t>
      </w:r>
      <w:r w:rsidRPr="0038449D">
        <w:rPr>
          <w:rStyle w:val="af7"/>
          <w:rFonts w:eastAsia="Guttman Hodes" w:hint="cs"/>
          <w:rtl/>
        </w:rPr>
        <w:t>(יט. ד"ה אטו)</w:t>
      </w:r>
      <w:r>
        <w:rPr>
          <w:rFonts w:hint="cs"/>
          <w:rtl/>
        </w:rPr>
        <w:t xml:space="preserve"> דהא דאיתא בגמ' לקמן </w:t>
      </w:r>
      <w:r w:rsidRPr="0038449D">
        <w:rPr>
          <w:rStyle w:val="af7"/>
          <w:rFonts w:eastAsia="Guttman Hodes" w:hint="cs"/>
          <w:rtl/>
        </w:rPr>
        <w:t>(כח.)</w:t>
      </w:r>
      <w:r>
        <w:rPr>
          <w:rFonts w:hint="cs"/>
          <w:rtl/>
        </w:rPr>
        <w:t xml:space="preserve"> דנצטוה משה דשחיטת רוב סימן כשרה, אין בזה מחלוקת, דכו"ע מודו לסיפא של המשנה לקמן </w:t>
      </w:r>
      <w:r w:rsidRPr="0038449D">
        <w:rPr>
          <w:rStyle w:val="af7"/>
          <w:rFonts w:eastAsia="Guttman Hodes" w:hint="cs"/>
          <w:rtl/>
        </w:rPr>
        <w:t>(כז.)</w:t>
      </w:r>
      <w:r>
        <w:rPr>
          <w:rFonts w:hint="cs"/>
          <w:rtl/>
        </w:rPr>
        <w:t xml:space="preserve"> דשחיטת רוב סימן אחד ושנים בבהמה כשרה, אך עדיין אין משם הוכחה לדין רובו ככולו, ברישא של המשנה לקמן </w:t>
      </w:r>
      <w:r w:rsidRPr="0038449D">
        <w:rPr>
          <w:rStyle w:val="af7"/>
          <w:rFonts w:eastAsia="Guttman Hodes" w:hint="cs"/>
          <w:rtl/>
        </w:rPr>
        <w:t>(כז.)</w:t>
      </w:r>
      <w:r>
        <w:rPr>
          <w:rFonts w:hint="cs"/>
          <w:rtl/>
        </w:rPr>
        <w:t xml:space="preserve"> דרובו של אחד כמוהו, דאחר </w:t>
      </w:r>
      <w:r w:rsidRPr="003E3570">
        <w:rPr>
          <w:rFonts w:hint="cs"/>
          <w:rtl/>
        </w:rPr>
        <w:t xml:space="preserve">שחיטת רוב הסימן, חשיב שהמיעוט חתוך כבר, ובזה נחלקו </w:t>
      </w:r>
      <w:r>
        <w:rPr>
          <w:rFonts w:hint="cs"/>
          <w:rtl/>
        </w:rPr>
        <w:t>ריבר</w:t>
      </w:r>
      <w:r>
        <w:rPr>
          <w:rtl/>
        </w:rPr>
        <w:t>"</w:t>
      </w:r>
      <w:r>
        <w:rPr>
          <w:rFonts w:hint="cs"/>
          <w:rtl/>
        </w:rPr>
        <w:t>י</w:t>
      </w:r>
      <w:r w:rsidRPr="003E3570">
        <w:rPr>
          <w:rFonts w:hint="cs"/>
          <w:rtl/>
        </w:rPr>
        <w:t xml:space="preserve"> ורבנן </w:t>
      </w:r>
      <w:r w:rsidRPr="003E3570">
        <w:rPr>
          <w:rStyle w:val="afb"/>
          <w:rFonts w:hint="cs"/>
          <w:rtl/>
        </w:rPr>
        <w:t xml:space="preserve">[לל"ק דרב הונא לקמן </w:t>
      </w:r>
      <w:r w:rsidRPr="003E3570">
        <w:rPr>
          <w:rStyle w:val="aff6"/>
          <w:rFonts w:hint="cs"/>
          <w:rtl/>
        </w:rPr>
        <w:t>(יט.)</w:t>
      </w:r>
      <w:r w:rsidRPr="003E3570">
        <w:rPr>
          <w:rStyle w:val="afb"/>
          <w:rFonts w:hint="cs"/>
          <w:rtl/>
        </w:rPr>
        <w:t>]</w:t>
      </w:r>
      <w:r w:rsidRPr="003E3570">
        <w:rPr>
          <w:rFonts w:hint="cs"/>
          <w:rtl/>
        </w:rPr>
        <w:t xml:space="preserve">, וציין </w:t>
      </w:r>
      <w:r w:rsidRPr="003E3570">
        <w:rPr>
          <w:rStyle w:val="af9"/>
          <w:rFonts w:hint="cs"/>
          <w:rtl/>
        </w:rPr>
        <w:t>המהר"ץ חיות</w:t>
      </w:r>
      <w:r w:rsidRPr="003E3570">
        <w:rPr>
          <w:rFonts w:hint="cs"/>
          <w:rtl/>
        </w:rPr>
        <w:t xml:space="preserve"> לגמ' בנזיר </w:t>
      </w:r>
      <w:r w:rsidRPr="003E3570">
        <w:rPr>
          <w:rStyle w:val="af7"/>
          <w:rFonts w:eastAsia="Guttman Hodes" w:hint="cs"/>
          <w:rtl/>
        </w:rPr>
        <w:t>(מב.)</w:t>
      </w:r>
      <w:r w:rsidRPr="003E3570">
        <w:rPr>
          <w:rFonts w:hint="cs"/>
          <w:rtl/>
        </w:rPr>
        <w:t xml:space="preserve"> שמסתפקת</w:t>
      </w:r>
      <w:r>
        <w:rPr>
          <w:rFonts w:hint="cs"/>
          <w:rtl/>
        </w:rPr>
        <w:t xml:space="preserve"> האם דינא דרובו ככולו הוא דאו', אעפ"י דבדינא דהלך אחר הרוב ברובא דאיתא קמן הוא דאו'</w:t>
      </w:r>
      <w:r w:rsidRPr="00105BEF">
        <w:rPr>
          <w:rFonts w:hint="cs"/>
          <w:rtl/>
        </w:rPr>
        <w:t xml:space="preserve"> </w:t>
      </w:r>
      <w:r>
        <w:rPr>
          <w:rFonts w:hint="cs"/>
          <w:rtl/>
        </w:rPr>
        <w:t>לכו"ע.</w:t>
      </w:r>
    </w:p>
    <w:p w14:paraId="1735FCC5" w14:textId="77777777" w:rsidR="003D04E6" w:rsidRDefault="003D04E6" w:rsidP="00BF39B2">
      <w:pPr>
        <w:pStyle w:val="1"/>
        <w:rPr>
          <w:rtl/>
        </w:rPr>
      </w:pPr>
      <w:bookmarkStart w:id="12093" w:name="_Toc531817597"/>
      <w:bookmarkStart w:id="12094" w:name="_Toc531819697"/>
      <w:bookmarkStart w:id="12095" w:name="_Toc19390591"/>
      <w:bookmarkStart w:id="12096" w:name="_Toc19394088"/>
      <w:r>
        <w:rPr>
          <w:rFonts w:hint="cs"/>
          <w:rtl/>
        </w:rPr>
        <w:t>דעת הראשונים דלרבנן דין רובו ככולו מהני כששחט רק רוב</w:t>
      </w:r>
      <w:bookmarkEnd w:id="12093"/>
      <w:bookmarkEnd w:id="12094"/>
      <w:bookmarkEnd w:id="12095"/>
      <w:bookmarkEnd w:id="12096"/>
    </w:p>
    <w:p w14:paraId="0D2EE2B8" w14:textId="77777777" w:rsidR="003D04E6" w:rsidRPr="00B82518" w:rsidRDefault="003D04E6" w:rsidP="006D6D32">
      <w:pPr>
        <w:pStyle w:val="a3"/>
        <w:rPr>
          <w:rtl/>
        </w:rPr>
      </w:pPr>
      <w:bookmarkStart w:id="12097" w:name="_Toc531817598"/>
      <w:bookmarkStart w:id="12098" w:name="_Toc531819698"/>
      <w:bookmarkStart w:id="12099" w:name="_Toc19390592"/>
      <w:bookmarkStart w:id="12100" w:name="_Toc19394089"/>
      <w:r>
        <w:rPr>
          <w:rFonts w:hint="cs"/>
          <w:rtl/>
        </w:rPr>
        <w:t>ביאור הרא"ה והריטב"א דרבנן מודו לרובו ככולו בשחט רק רוב ופסלי כשהמשיך לשחוט בפסול</w:t>
      </w:r>
      <w:bookmarkEnd w:id="12097"/>
      <w:bookmarkEnd w:id="12098"/>
      <w:bookmarkEnd w:id="12099"/>
      <w:bookmarkEnd w:id="12100"/>
    </w:p>
    <w:p w14:paraId="5ABC5574" w14:textId="77777777" w:rsidR="003D04E6" w:rsidRDefault="003D04E6" w:rsidP="00223668">
      <w:pPr>
        <w:pStyle w:val="a0"/>
        <w:rPr>
          <w:rtl/>
        </w:rPr>
      </w:pPr>
      <w:r>
        <w:rPr>
          <w:rFonts w:hint="cs"/>
          <w:rtl/>
        </w:rPr>
        <w:t xml:space="preserve">אבל </w:t>
      </w:r>
      <w:r w:rsidRPr="004C1B3D">
        <w:rPr>
          <w:rStyle w:val="af9"/>
          <w:rFonts w:hint="cs"/>
          <w:rtl/>
        </w:rPr>
        <w:t>הריטב"א</w:t>
      </w:r>
      <w:r>
        <w:rPr>
          <w:rFonts w:hint="cs"/>
          <w:rtl/>
        </w:rPr>
        <w:t xml:space="preserve"> </w:t>
      </w:r>
      <w:r w:rsidRPr="004C1B3D">
        <w:rPr>
          <w:rStyle w:val="af7"/>
          <w:rFonts w:eastAsia="Guttman Hodes" w:hint="cs"/>
          <w:rtl/>
        </w:rPr>
        <w:t>(יט. ד"ה אמר</w:t>
      </w:r>
      <w:r>
        <w:rPr>
          <w:rStyle w:val="af7"/>
          <w:rFonts w:eastAsia="Guttman Hodes" w:hint="cs"/>
          <w:rtl/>
        </w:rPr>
        <w:t xml:space="preserve"> ר"ה</w:t>
      </w:r>
      <w:r w:rsidRPr="004C1B3D">
        <w:rPr>
          <w:rStyle w:val="af7"/>
          <w:rFonts w:eastAsia="Guttman Hodes" w:hint="cs"/>
          <w:rtl/>
        </w:rPr>
        <w:t>)</w:t>
      </w:r>
      <w:r>
        <w:rPr>
          <w:rFonts w:hint="cs"/>
          <w:rtl/>
        </w:rPr>
        <w:t xml:space="preserve"> </w:t>
      </w:r>
      <w:r w:rsidRPr="00746B3E">
        <w:rPr>
          <w:rStyle w:val="af9"/>
          <w:rFonts w:hint="cs"/>
          <w:rtl/>
        </w:rPr>
        <w:t>והשיטמ"ק</w:t>
      </w:r>
      <w:r>
        <w:rPr>
          <w:rFonts w:hint="cs"/>
          <w:rtl/>
        </w:rPr>
        <w:t xml:space="preserve"> </w:t>
      </w:r>
      <w:r w:rsidRPr="004C1B3D">
        <w:rPr>
          <w:rStyle w:val="af7"/>
          <w:rFonts w:eastAsia="Guttman Hodes" w:hint="cs"/>
          <w:rtl/>
        </w:rPr>
        <w:t>(יט. ד"ה אמר</w:t>
      </w:r>
      <w:r>
        <w:rPr>
          <w:rStyle w:val="af7"/>
          <w:rFonts w:eastAsia="Guttman Hodes" w:hint="cs"/>
          <w:rtl/>
        </w:rPr>
        <w:t xml:space="preserve"> ר"ה</w:t>
      </w:r>
      <w:r w:rsidRPr="004C1B3D">
        <w:rPr>
          <w:rStyle w:val="af7"/>
          <w:rFonts w:eastAsia="Guttman Hodes" w:hint="cs"/>
          <w:rtl/>
        </w:rPr>
        <w:t>)</w:t>
      </w:r>
      <w:r>
        <w:rPr>
          <w:rFonts w:hint="cs"/>
          <w:rtl/>
        </w:rPr>
        <w:t xml:space="preserve"> בשם </w:t>
      </w:r>
      <w:r w:rsidRPr="00746B3E">
        <w:rPr>
          <w:rStyle w:val="af9"/>
          <w:rFonts w:hint="cs"/>
          <w:rtl/>
        </w:rPr>
        <w:t>הרא"ה</w:t>
      </w:r>
      <w:r>
        <w:rPr>
          <w:rFonts w:hint="cs"/>
          <w:rtl/>
        </w:rPr>
        <w:t xml:space="preserve"> ביארו את דעת רבנן, דאעפ"י דבכל שחיטה מודו רבנן דסגי בשחיטת רוב הסימנים מדין רובו ככולו, מ"מ זהו דוקא אם שחט רק את הרוב ולא שחט יותר, אבל אם המשיך לשחוט מחוץ למקום השחיטה, ס"ל לרבנן דשחיטתו פסולה.</w:t>
      </w:r>
    </w:p>
    <w:p w14:paraId="06272E38" w14:textId="77777777" w:rsidR="003D04E6" w:rsidRPr="005A3729" w:rsidRDefault="003D04E6" w:rsidP="006D6D32">
      <w:pPr>
        <w:pStyle w:val="a3"/>
      </w:pPr>
      <w:bookmarkStart w:id="12101" w:name="_Toc531817599"/>
      <w:bookmarkStart w:id="12102" w:name="_Toc531819699"/>
      <w:bookmarkStart w:id="12103" w:name="_Toc19390593"/>
      <w:bookmarkStart w:id="12104" w:name="_Toc19394090"/>
      <w:r>
        <w:rPr>
          <w:rFonts w:hint="cs"/>
          <w:rtl/>
        </w:rPr>
        <w:t>דברי הריטב"א דאפש"ל לדעת רבנן מדאו' כשר מדין רובו ככולו והפסול הוא מדרבנן בעלמא</w:t>
      </w:r>
      <w:bookmarkEnd w:id="12101"/>
      <w:bookmarkEnd w:id="12102"/>
      <w:bookmarkEnd w:id="12103"/>
      <w:bookmarkEnd w:id="12104"/>
      <w:r>
        <w:rPr>
          <w:rFonts w:hint="cs"/>
          <w:rtl/>
        </w:rPr>
        <w:t xml:space="preserve"> </w:t>
      </w:r>
    </w:p>
    <w:p w14:paraId="2824BD1D" w14:textId="77777777" w:rsidR="003D04E6" w:rsidRDefault="003D04E6" w:rsidP="00223668">
      <w:pPr>
        <w:pStyle w:val="a0"/>
        <w:rPr>
          <w:rtl/>
        </w:rPr>
      </w:pPr>
      <w:bookmarkStart w:id="12105" w:name="_Ref531819583"/>
      <w:r>
        <w:rPr>
          <w:rFonts w:hint="cs"/>
          <w:rtl/>
        </w:rPr>
        <w:t xml:space="preserve">והוסיף </w:t>
      </w:r>
      <w:r w:rsidRPr="004C1B3D">
        <w:rPr>
          <w:rStyle w:val="af9"/>
          <w:rFonts w:hint="cs"/>
          <w:rtl/>
        </w:rPr>
        <w:t>הריטב"א</w:t>
      </w:r>
      <w:r>
        <w:rPr>
          <w:rFonts w:hint="cs"/>
          <w:rtl/>
        </w:rPr>
        <w:t xml:space="preserve"> דאפש"ל דבשחט את רוב הסימן בהכשר, וגמר את השחיטה מחוץ למקום השחיטה, דמדאו' השחיטה כשרה </w:t>
      </w:r>
      <w:r w:rsidRPr="008C6035">
        <w:rPr>
          <w:rStyle w:val="afb"/>
          <w:rFonts w:hint="cs"/>
          <w:rtl/>
        </w:rPr>
        <w:t>[מדין רובו ככולו]</w:t>
      </w:r>
      <w:r>
        <w:rPr>
          <w:rFonts w:hint="cs"/>
          <w:rtl/>
        </w:rPr>
        <w:t xml:space="preserve">, והפסול לדעת רבנן הוא דין דרבנן בעלמא, ועי' בדברי </w:t>
      </w:r>
      <w:r w:rsidRPr="00482050">
        <w:rPr>
          <w:rStyle w:val="af9"/>
          <w:rFonts w:hint="cs"/>
          <w:rtl/>
        </w:rPr>
        <w:t>האמרי משה</w:t>
      </w:r>
      <w:r>
        <w:rPr>
          <w:rFonts w:hint="cs"/>
          <w:rtl/>
        </w:rPr>
        <w:t xml:space="preserve"> </w:t>
      </w:r>
      <w:r w:rsidRPr="008A5BE2">
        <w:rPr>
          <w:rStyle w:val="af7"/>
          <w:rFonts w:eastAsia="Guttman Hodes" w:hint="cs"/>
          <w:rtl/>
        </w:rPr>
        <w:t xml:space="preserve">(עי' אות </w:t>
      </w:r>
      <w:r w:rsidRPr="008A5BE2">
        <w:rPr>
          <w:rStyle w:val="af7"/>
          <w:rFonts w:eastAsia="Guttman Hodes"/>
          <w:rtl/>
        </w:rPr>
        <w:fldChar w:fldCharType="begin"/>
      </w:r>
      <w:r w:rsidRPr="008A5BE2">
        <w:rPr>
          <w:rStyle w:val="af7"/>
          <w:rFonts w:eastAsia="Guttman Hodes"/>
          <w:rtl/>
        </w:rPr>
        <w:instrText xml:space="preserve"> </w:instrText>
      </w:r>
      <w:r w:rsidRPr="008A5BE2">
        <w:rPr>
          <w:rStyle w:val="af7"/>
          <w:rFonts w:eastAsia="Guttman Hodes" w:hint="cs"/>
        </w:rPr>
        <w:instrText>REF</w:instrText>
      </w:r>
      <w:r w:rsidRPr="008A5BE2">
        <w:rPr>
          <w:rStyle w:val="af7"/>
          <w:rFonts w:eastAsia="Guttman Hodes" w:hint="cs"/>
          <w:rtl/>
        </w:rPr>
        <w:instrText xml:space="preserve"> _</w:instrText>
      </w:r>
      <w:r w:rsidRPr="008A5BE2">
        <w:rPr>
          <w:rStyle w:val="af7"/>
          <w:rFonts w:eastAsia="Guttman Hodes" w:hint="cs"/>
        </w:rPr>
        <w:instrText>Ref531819639 \r \h</w:instrText>
      </w:r>
      <w:r w:rsidRPr="008A5BE2">
        <w:rPr>
          <w:rStyle w:val="af7"/>
          <w:rFonts w:eastAsia="Guttman Hodes"/>
          <w:rtl/>
        </w:rPr>
        <w:instrText xml:space="preserve"> </w:instrText>
      </w:r>
      <w:r w:rsidRPr="008A5BE2">
        <w:rPr>
          <w:rStyle w:val="af7"/>
          <w:rFonts w:eastAsia="Guttman Hodes"/>
          <w:rtl/>
        </w:rPr>
      </w:r>
      <w:r w:rsidRPr="008A5BE2">
        <w:rPr>
          <w:rStyle w:val="af7"/>
          <w:rFonts w:eastAsia="Guttman Hodes"/>
          <w:rtl/>
        </w:rPr>
        <w:fldChar w:fldCharType="separate"/>
      </w:r>
      <w:r w:rsidR="00345400">
        <w:rPr>
          <w:rStyle w:val="af7"/>
          <w:rFonts w:eastAsia="Guttman Hodes"/>
          <w:cs/>
        </w:rPr>
        <w:t>‎</w:t>
      </w:r>
      <w:r w:rsidR="00345400">
        <w:rPr>
          <w:rStyle w:val="af7"/>
          <w:rFonts w:eastAsia="Guttman Hodes"/>
          <w:rtl/>
        </w:rPr>
        <w:t>צג)</w:t>
      </w:r>
      <w:r w:rsidRPr="008A5BE2">
        <w:rPr>
          <w:rStyle w:val="af7"/>
          <w:rFonts w:eastAsia="Guttman Hodes"/>
          <w:rtl/>
        </w:rPr>
        <w:fldChar w:fldCharType="end"/>
      </w:r>
      <w:r>
        <w:rPr>
          <w:rFonts w:hint="cs"/>
          <w:rtl/>
        </w:rPr>
        <w:t>.</w:t>
      </w:r>
      <w:bookmarkEnd w:id="12105"/>
    </w:p>
    <w:p w14:paraId="2477BFCD" w14:textId="77777777" w:rsidR="003D04E6" w:rsidRDefault="003D04E6" w:rsidP="006D6D32">
      <w:pPr>
        <w:pStyle w:val="a3"/>
        <w:rPr>
          <w:rtl/>
        </w:rPr>
      </w:pPr>
      <w:bookmarkStart w:id="12106" w:name="_Toc531817600"/>
      <w:bookmarkStart w:id="12107" w:name="_Toc531819700"/>
      <w:bookmarkStart w:id="12108" w:name="_Toc19390594"/>
      <w:bookmarkStart w:id="12109" w:name="_Toc19394091"/>
      <w:r>
        <w:rPr>
          <w:rFonts w:hint="cs"/>
          <w:rtl/>
        </w:rPr>
        <w:t>ביאור הראש יוסף דלרבנן צריך שכל השחיטה תהיה בכשרות ולכן ל"מ רובו ככולו להכשיר</w:t>
      </w:r>
      <w:bookmarkEnd w:id="12106"/>
      <w:bookmarkEnd w:id="12107"/>
      <w:bookmarkEnd w:id="12108"/>
      <w:bookmarkEnd w:id="12109"/>
    </w:p>
    <w:p w14:paraId="2105F324" w14:textId="77777777" w:rsidR="003D04E6" w:rsidRDefault="003D04E6" w:rsidP="00223668">
      <w:pPr>
        <w:pStyle w:val="a0"/>
        <w:rPr>
          <w:rtl/>
        </w:rPr>
      </w:pPr>
      <w:bookmarkStart w:id="12110" w:name="_Ref531819592"/>
      <w:bookmarkStart w:id="12111" w:name="_Ref531772030"/>
      <w:r>
        <w:rPr>
          <w:rFonts w:hint="cs"/>
          <w:rtl/>
        </w:rPr>
        <w:t xml:space="preserve">וביאר </w:t>
      </w:r>
      <w:r w:rsidRPr="003C5C3B">
        <w:rPr>
          <w:rStyle w:val="af9"/>
          <w:rFonts w:hint="cs"/>
          <w:rtl/>
        </w:rPr>
        <w:t>הראש יוסף</w:t>
      </w:r>
      <w:r>
        <w:rPr>
          <w:rFonts w:hint="cs"/>
          <w:rtl/>
        </w:rPr>
        <w:t xml:space="preserve"> </w:t>
      </w:r>
      <w:r w:rsidRPr="003C5C3B">
        <w:rPr>
          <w:rStyle w:val="af7"/>
          <w:rFonts w:eastAsia="Guttman Hodes" w:hint="cs"/>
          <w:rtl/>
        </w:rPr>
        <w:t>(ד"ה השוחט)</w:t>
      </w:r>
      <w:r>
        <w:rPr>
          <w:rFonts w:hint="cs"/>
          <w:rtl/>
        </w:rPr>
        <w:t xml:space="preserve"> דלדעת רבנן אף דאם שחט את רוב הסימן השחיטה כשרה, מ"מ אם המשיך לשחוט בהגרמה שלא במקום הסימן פסול, דצריך שכל השחיטה תהיה במקום שחיטה, וריבר</w:t>
      </w:r>
      <w:r>
        <w:rPr>
          <w:rtl/>
        </w:rPr>
        <w:t>"</w:t>
      </w:r>
      <w:r>
        <w:rPr>
          <w:rFonts w:hint="cs"/>
          <w:rtl/>
        </w:rPr>
        <w:t>י ס"ל דכיון שרוב הסימן משחט במקום השחיטה כשר.</w:t>
      </w:r>
      <w:bookmarkEnd w:id="12110"/>
    </w:p>
    <w:p w14:paraId="7C4D737B" w14:textId="77777777" w:rsidR="003D04E6" w:rsidRPr="0047131D" w:rsidRDefault="003D04E6" w:rsidP="006D6D32">
      <w:pPr>
        <w:pStyle w:val="a3"/>
      </w:pPr>
      <w:bookmarkStart w:id="12112" w:name="_Toc531817601"/>
      <w:bookmarkStart w:id="12113" w:name="_Toc531819701"/>
      <w:bookmarkStart w:id="12114" w:name="_Toc19390595"/>
      <w:bookmarkStart w:id="12115" w:name="_Toc19394092"/>
      <w:r>
        <w:rPr>
          <w:rFonts w:hint="cs"/>
          <w:rtl/>
        </w:rPr>
        <w:t>דברי הראש יוסף והחת"ס דברש"י מבואר דהפסול הוא כיון שגמר את השחיטה בפסול</w:t>
      </w:r>
      <w:bookmarkEnd w:id="12112"/>
      <w:bookmarkEnd w:id="12113"/>
      <w:bookmarkEnd w:id="12114"/>
      <w:bookmarkEnd w:id="12115"/>
    </w:p>
    <w:p w14:paraId="425439DB" w14:textId="77777777" w:rsidR="003D04E6" w:rsidRDefault="003D04E6" w:rsidP="00223668">
      <w:pPr>
        <w:pStyle w:val="a0"/>
        <w:rPr>
          <w:rtl/>
        </w:rPr>
      </w:pPr>
      <w:bookmarkStart w:id="12116" w:name="_Ref531811978"/>
      <w:r>
        <w:rPr>
          <w:rFonts w:hint="cs"/>
          <w:rtl/>
        </w:rPr>
        <w:t xml:space="preserve">וכתבו </w:t>
      </w:r>
      <w:r w:rsidRPr="00763503">
        <w:rPr>
          <w:rStyle w:val="af9"/>
          <w:rFonts w:hint="cs"/>
          <w:rtl/>
        </w:rPr>
        <w:t>הראש יוסף</w:t>
      </w:r>
      <w:r>
        <w:rPr>
          <w:rFonts w:hint="cs"/>
          <w:rtl/>
        </w:rPr>
        <w:t xml:space="preserve"> </w:t>
      </w:r>
      <w:r w:rsidRPr="00D1784E">
        <w:rPr>
          <w:rStyle w:val="af7"/>
          <w:rFonts w:eastAsia="Guttman Hodes" w:hint="cs"/>
          <w:rtl/>
        </w:rPr>
        <w:t>(יט. ד"ה אמר ר"ה)</w:t>
      </w:r>
      <w:r>
        <w:rPr>
          <w:rFonts w:hint="cs"/>
          <w:rtl/>
        </w:rPr>
        <w:t xml:space="preserve"> </w:t>
      </w:r>
      <w:r w:rsidRPr="0047131D">
        <w:rPr>
          <w:rStyle w:val="af9"/>
          <w:rFonts w:hint="cs"/>
          <w:rtl/>
        </w:rPr>
        <w:t>והח</w:t>
      </w:r>
      <w:r w:rsidRPr="00CB04C9">
        <w:rPr>
          <w:rStyle w:val="af9"/>
          <w:rFonts w:hint="cs"/>
          <w:rtl/>
        </w:rPr>
        <w:t xml:space="preserve">ת"ס </w:t>
      </w:r>
      <w:r w:rsidRPr="00CB04C9">
        <w:rPr>
          <w:rStyle w:val="af7"/>
          <w:rFonts w:eastAsia="Guttman Hodes" w:hint="cs"/>
          <w:rtl/>
        </w:rPr>
        <w:t>(ד"ה השוחט)</w:t>
      </w:r>
      <w:r>
        <w:rPr>
          <w:rFonts w:hint="cs"/>
          <w:rtl/>
        </w:rPr>
        <w:t xml:space="preserve"> דכן מבואר מדברי </w:t>
      </w:r>
      <w:r w:rsidRPr="00CB04C9">
        <w:rPr>
          <w:rStyle w:val="af9"/>
          <w:rFonts w:hint="cs"/>
          <w:rtl/>
        </w:rPr>
        <w:t xml:space="preserve">רש"י לקמן </w:t>
      </w:r>
      <w:r w:rsidRPr="00CB04C9">
        <w:rPr>
          <w:rStyle w:val="af7"/>
          <w:rFonts w:eastAsia="Guttman Hodes" w:hint="cs"/>
          <w:rtl/>
        </w:rPr>
        <w:t>(ל: ד"ה תיקו)</w:t>
      </w:r>
      <w:r>
        <w:rPr>
          <w:rFonts w:hint="cs"/>
          <w:rtl/>
        </w:rPr>
        <w:t xml:space="preserve"> דכתב דבהגרמה במיעוט בתרא צריך להחמיר, והרי לדידן דקיי"ל כריבר</w:t>
      </w:r>
      <w:r>
        <w:rPr>
          <w:rtl/>
        </w:rPr>
        <w:t>"</w:t>
      </w:r>
      <w:r>
        <w:rPr>
          <w:rFonts w:hint="cs"/>
          <w:rtl/>
        </w:rPr>
        <w:t xml:space="preserve">י סגי בשחיטת רוב הקנה, וא"כ ההגרמה במיעוט בתרא אינה פוסלת, </w:t>
      </w:r>
      <w:bookmarkEnd w:id="12111"/>
      <w:r>
        <w:rPr>
          <w:rFonts w:hint="cs"/>
          <w:rtl/>
        </w:rPr>
        <w:t xml:space="preserve">ומבואר דכל שגמר בפסול לא מהני דין רובו ככולו,  וכתב </w:t>
      </w:r>
      <w:r w:rsidRPr="00CB04C9">
        <w:rPr>
          <w:rStyle w:val="af9"/>
          <w:rFonts w:hint="cs"/>
          <w:rtl/>
        </w:rPr>
        <w:t xml:space="preserve">החת"ס </w:t>
      </w:r>
      <w:r>
        <w:rPr>
          <w:rFonts w:hint="cs"/>
          <w:rtl/>
        </w:rPr>
        <w:t xml:space="preserve">דמדכתב </w:t>
      </w:r>
      <w:r w:rsidRPr="00CB04C9">
        <w:rPr>
          <w:rStyle w:val="af9"/>
          <w:rFonts w:hint="cs"/>
          <w:rtl/>
        </w:rPr>
        <w:t xml:space="preserve">רש"י </w:t>
      </w:r>
      <w:r w:rsidRPr="0052584B">
        <w:rPr>
          <w:rStyle w:val="af7"/>
          <w:rFonts w:eastAsia="Guttman Hodes" w:hint="cs"/>
          <w:rtl/>
        </w:rPr>
        <w:t xml:space="preserve">(עי' אות </w:t>
      </w:r>
      <w:r w:rsidRPr="0052584B">
        <w:rPr>
          <w:rStyle w:val="af7"/>
          <w:rFonts w:eastAsia="Guttman Hodes"/>
          <w:rtl/>
        </w:rPr>
        <w:fldChar w:fldCharType="begin"/>
      </w:r>
      <w:r w:rsidRPr="0052584B">
        <w:rPr>
          <w:rStyle w:val="af7"/>
          <w:rFonts w:eastAsia="Guttman Hodes"/>
          <w:rtl/>
        </w:rPr>
        <w:instrText xml:space="preserve"> </w:instrText>
      </w:r>
      <w:r w:rsidRPr="0052584B">
        <w:rPr>
          <w:rStyle w:val="af7"/>
          <w:rFonts w:eastAsia="Guttman Hodes" w:hint="cs"/>
        </w:rPr>
        <w:instrText>REF</w:instrText>
      </w:r>
      <w:r w:rsidRPr="0052584B">
        <w:rPr>
          <w:rStyle w:val="af7"/>
          <w:rFonts w:eastAsia="Guttman Hodes" w:hint="cs"/>
          <w:rtl/>
        </w:rPr>
        <w:instrText xml:space="preserve"> _</w:instrText>
      </w:r>
      <w:r w:rsidRPr="0052584B">
        <w:rPr>
          <w:rStyle w:val="af7"/>
          <w:rFonts w:eastAsia="Guttman Hodes" w:hint="cs"/>
        </w:rPr>
        <w:instrText>Ref531809701 \r \h</w:instrText>
      </w:r>
      <w:r w:rsidRPr="0052584B">
        <w:rPr>
          <w:rStyle w:val="af7"/>
          <w:rFonts w:eastAsia="Guttman Hodes"/>
          <w:rtl/>
        </w:rPr>
        <w:instrText xml:space="preserve"> </w:instrText>
      </w:r>
      <w:r w:rsidRPr="0052584B">
        <w:rPr>
          <w:rStyle w:val="af7"/>
          <w:rFonts w:eastAsia="Guttman Hodes"/>
          <w:rtl/>
        </w:rPr>
      </w:r>
      <w:r w:rsidRPr="0052584B">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52584B">
        <w:rPr>
          <w:rStyle w:val="af7"/>
          <w:rFonts w:eastAsia="Guttman Hodes"/>
          <w:rtl/>
        </w:rPr>
        <w:fldChar w:fldCharType="end"/>
      </w:r>
      <w:r w:rsidRPr="0052584B">
        <w:rPr>
          <w:rStyle w:val="af7"/>
          <w:rFonts w:eastAsia="Guttman Hodes" w:hint="cs"/>
          <w:rtl/>
        </w:rPr>
        <w:t xml:space="preserve"> </w:t>
      </w:r>
      <w:r>
        <w:rPr>
          <w:rFonts w:hint="cs"/>
          <w:rtl/>
        </w:rPr>
        <w:t xml:space="preserve">דאעפ"י ששחט את רוב הקנה במקום שחיטה פסול כיון שגמר את השחיטה בפסול, משמע דלדעת רבנן אם לא היה שוחט יותר מרוב הקנה, היה כשר, כמתני' לקמן </w:t>
      </w:r>
      <w:r w:rsidRPr="001F0ED9">
        <w:rPr>
          <w:rStyle w:val="af7"/>
          <w:rFonts w:eastAsia="Guttman Hodes" w:hint="cs"/>
          <w:rtl/>
        </w:rPr>
        <w:t xml:space="preserve">(כז.) </w:t>
      </w:r>
      <w:r>
        <w:rPr>
          <w:rFonts w:hint="cs"/>
          <w:rtl/>
        </w:rPr>
        <w:t xml:space="preserve">דרובו של אחד כמוהו, ועי' במה שביאר </w:t>
      </w:r>
      <w:r w:rsidRPr="00CA181D">
        <w:rPr>
          <w:rStyle w:val="af9"/>
          <w:rFonts w:hint="cs"/>
          <w:rtl/>
        </w:rPr>
        <w:t>החת"ס</w:t>
      </w:r>
      <w:r>
        <w:rPr>
          <w:rFonts w:hint="cs"/>
          <w:rtl/>
        </w:rPr>
        <w:t xml:space="preserve"> </w:t>
      </w:r>
      <w:r w:rsidRPr="00CA181D">
        <w:rPr>
          <w:rStyle w:val="af7"/>
          <w:rFonts w:eastAsia="Guttman Hodes" w:hint="cs"/>
          <w:rtl/>
        </w:rPr>
        <w:t xml:space="preserve">(עי' אות </w:t>
      </w:r>
      <w:r w:rsidRPr="00CA181D">
        <w:rPr>
          <w:rStyle w:val="af7"/>
          <w:rFonts w:eastAsia="Guttman Hodes"/>
          <w:rtl/>
        </w:rPr>
        <w:fldChar w:fldCharType="begin"/>
      </w:r>
      <w:r w:rsidRPr="00CA181D">
        <w:rPr>
          <w:rStyle w:val="af7"/>
          <w:rFonts w:eastAsia="Guttman Hodes"/>
          <w:rtl/>
        </w:rPr>
        <w:instrText xml:space="preserve"> </w:instrText>
      </w:r>
      <w:r w:rsidRPr="00CA181D">
        <w:rPr>
          <w:rStyle w:val="af7"/>
          <w:rFonts w:eastAsia="Guttman Hodes" w:hint="cs"/>
        </w:rPr>
        <w:instrText>REF</w:instrText>
      </w:r>
      <w:r w:rsidRPr="00CA181D">
        <w:rPr>
          <w:rStyle w:val="af7"/>
          <w:rFonts w:eastAsia="Guttman Hodes" w:hint="cs"/>
          <w:rtl/>
        </w:rPr>
        <w:instrText xml:space="preserve"> _</w:instrText>
      </w:r>
      <w:r w:rsidRPr="00CA181D">
        <w:rPr>
          <w:rStyle w:val="af7"/>
          <w:rFonts w:eastAsia="Guttman Hodes" w:hint="cs"/>
        </w:rPr>
        <w:instrText>Ref531812021 \r \h</w:instrText>
      </w:r>
      <w:r w:rsidRPr="00CA181D">
        <w:rPr>
          <w:rStyle w:val="af7"/>
          <w:rFonts w:eastAsia="Guttman Hodes"/>
          <w:rtl/>
        </w:rPr>
        <w:instrText xml:space="preserve"> </w:instrText>
      </w:r>
      <w:r w:rsidRPr="00CA181D">
        <w:rPr>
          <w:rStyle w:val="af7"/>
          <w:rFonts w:eastAsia="Guttman Hodes"/>
          <w:rtl/>
        </w:rPr>
      </w:r>
      <w:r w:rsidRPr="00CA181D">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CA181D">
        <w:rPr>
          <w:rStyle w:val="af7"/>
          <w:rFonts w:eastAsia="Guttman Hodes"/>
          <w:rtl/>
        </w:rPr>
        <w:fldChar w:fldCharType="end"/>
      </w:r>
      <w:r>
        <w:rPr>
          <w:rFonts w:hint="cs"/>
          <w:rtl/>
        </w:rPr>
        <w:t xml:space="preserve"> בדעת </w:t>
      </w:r>
      <w:r w:rsidRPr="00CA181D">
        <w:rPr>
          <w:rStyle w:val="af9"/>
          <w:rFonts w:hint="cs"/>
          <w:rtl/>
        </w:rPr>
        <w:t>רש"י</w:t>
      </w:r>
      <w:r>
        <w:rPr>
          <w:rFonts w:hint="cs"/>
          <w:rtl/>
        </w:rPr>
        <w:t xml:space="preserve"> .</w:t>
      </w:r>
      <w:bookmarkEnd w:id="12116"/>
    </w:p>
    <w:p w14:paraId="343C7049" w14:textId="77777777" w:rsidR="003D04E6" w:rsidRPr="001F0ED9" w:rsidRDefault="003D04E6" w:rsidP="006D6D32">
      <w:pPr>
        <w:pStyle w:val="a3"/>
        <w:rPr>
          <w:rtl/>
        </w:rPr>
      </w:pPr>
      <w:bookmarkStart w:id="12117" w:name="_Toc531817602"/>
      <w:bookmarkStart w:id="12118" w:name="_Toc531819702"/>
      <w:bookmarkStart w:id="12119" w:name="_Toc19390596"/>
      <w:bookmarkStart w:id="12120" w:name="_Toc19394093"/>
      <w:r>
        <w:rPr>
          <w:rFonts w:hint="cs"/>
          <w:rtl/>
        </w:rPr>
        <w:t>דברי רש"י לקמן דאסור לגמור שחיטה בפסול אף ששחט את הרוב בהכשר</w:t>
      </w:r>
      <w:bookmarkEnd w:id="12117"/>
      <w:bookmarkEnd w:id="12118"/>
      <w:bookmarkEnd w:id="12119"/>
      <w:bookmarkEnd w:id="12120"/>
    </w:p>
    <w:p w14:paraId="0DAC5F50" w14:textId="77777777" w:rsidR="003D04E6" w:rsidRDefault="003D04E6" w:rsidP="00223668">
      <w:pPr>
        <w:pStyle w:val="a0"/>
        <w:rPr>
          <w:rStyle w:val="afb"/>
          <w:rtl/>
        </w:rPr>
      </w:pPr>
      <w:r>
        <w:rPr>
          <w:rFonts w:hint="cs"/>
          <w:rtl/>
        </w:rPr>
        <w:t xml:space="preserve">וע"ע </w:t>
      </w:r>
      <w:r w:rsidRPr="001066AA">
        <w:rPr>
          <w:rStyle w:val="af9"/>
          <w:rFonts w:hint="cs"/>
          <w:rtl/>
        </w:rPr>
        <w:t>ברש"י לקמן</w:t>
      </w:r>
      <w:r>
        <w:rPr>
          <w:rFonts w:hint="cs"/>
          <w:rtl/>
        </w:rPr>
        <w:t xml:space="preserve"> </w:t>
      </w:r>
      <w:r w:rsidRPr="001066AA">
        <w:rPr>
          <w:rStyle w:val="af7"/>
          <w:rFonts w:eastAsia="Guttman Hodes" w:hint="cs"/>
          <w:rtl/>
        </w:rPr>
        <w:t>(לב. ד"ה תיקו)</w:t>
      </w:r>
      <w:r>
        <w:rPr>
          <w:rFonts w:hint="cs"/>
          <w:rtl/>
        </w:rPr>
        <w:t xml:space="preserve"> דגבי ספק הגמ' לקמן </w:t>
      </w:r>
      <w:r w:rsidRPr="001066AA">
        <w:rPr>
          <w:rStyle w:val="af7"/>
          <w:rFonts w:eastAsia="Guttman Hodes" w:hint="cs"/>
          <w:rtl/>
        </w:rPr>
        <w:t xml:space="preserve">(לב.) </w:t>
      </w:r>
      <w:r>
        <w:rPr>
          <w:rFonts w:hint="cs"/>
          <w:rtl/>
        </w:rPr>
        <w:t xml:space="preserve">בשוחט את רוב הסימן ושהה במיעוט האחרון, האם הוכשר ברוב הסימן, או דכיון שגמר את שחיטת כל הסימן, אף המיעוט האחרון הוא בכלל השחיטה, ופסול, ונשארה הגמ' בתיקו, כתב </w:t>
      </w:r>
      <w:r w:rsidRPr="001066AA">
        <w:rPr>
          <w:rStyle w:val="af9"/>
          <w:rFonts w:hint="cs"/>
          <w:rtl/>
        </w:rPr>
        <w:t>רש"י</w:t>
      </w:r>
      <w:r>
        <w:rPr>
          <w:rFonts w:hint="cs"/>
          <w:rtl/>
        </w:rPr>
        <w:t xml:space="preserve"> דנראה שהשוחט את רוב הסימנים והשליך מידו את העוף, והוא שוהה למות, דאסור לחזור ולחתוך את מיעוט הסימנים בתורת שחיטה </w:t>
      </w:r>
      <w:r w:rsidRPr="001066AA">
        <w:rPr>
          <w:rStyle w:val="afb"/>
          <w:rFonts w:hint="cs"/>
          <w:rtl/>
        </w:rPr>
        <w:t>[דהוא ספק בגמ' אי נפסל בשהייתו],</w:t>
      </w:r>
      <w:r>
        <w:rPr>
          <w:rFonts w:hint="cs"/>
          <w:rtl/>
        </w:rPr>
        <w:t xml:space="preserve"> אלא יכה על הצואר בסכין או שימתין עד שימות.</w:t>
      </w:r>
      <w:r w:rsidRPr="002E78AF">
        <w:rPr>
          <w:rStyle w:val="afb"/>
          <w:rFonts w:hint="cs"/>
          <w:rtl/>
        </w:rPr>
        <w:t xml:space="preserve"> [ומבואר</w:t>
      </w:r>
      <w:r w:rsidRPr="001066AA">
        <w:rPr>
          <w:rStyle w:val="afb"/>
          <w:rFonts w:hint="cs"/>
          <w:rtl/>
        </w:rPr>
        <w:t xml:space="preserve"> דס"ל </w:t>
      </w:r>
      <w:r w:rsidRPr="006A7174">
        <w:rPr>
          <w:rStyle w:val="affa"/>
          <w:rFonts w:hint="cs"/>
          <w:rtl/>
        </w:rPr>
        <w:t>לרש"י</w:t>
      </w:r>
      <w:r w:rsidRPr="001066AA">
        <w:rPr>
          <w:rStyle w:val="afb"/>
          <w:rFonts w:hint="cs"/>
          <w:rtl/>
        </w:rPr>
        <w:t xml:space="preserve"> דכל שגמר את שחיטת הסימן הוא ספק בגמ' אי חשיב כשחיטה או לא].</w:t>
      </w:r>
    </w:p>
    <w:p w14:paraId="28D13BC8" w14:textId="77777777" w:rsidR="003D04E6" w:rsidRPr="004B79BE" w:rsidRDefault="003D04E6" w:rsidP="00BF39B2">
      <w:pPr>
        <w:pStyle w:val="1"/>
        <w:rPr>
          <w:rtl/>
        </w:rPr>
      </w:pPr>
      <w:bookmarkStart w:id="12121" w:name="_Toc531817603"/>
      <w:bookmarkStart w:id="12122" w:name="_Toc531819703"/>
      <w:bookmarkStart w:id="12123" w:name="_Toc19390597"/>
      <w:bookmarkStart w:id="12124" w:name="_Toc19394094"/>
      <w:bookmarkStart w:id="12125" w:name="_Toc531622049"/>
      <w:bookmarkStart w:id="12126" w:name="_Toc531629705"/>
      <w:bookmarkStart w:id="12127" w:name="_Toc531638977"/>
      <w:bookmarkStart w:id="12128" w:name="_Toc531776386"/>
      <w:r>
        <w:rPr>
          <w:rFonts w:hint="cs"/>
          <w:rtl/>
        </w:rPr>
        <w:t>ישוב החת"ס בסתירת דברי רש"י</w:t>
      </w:r>
      <w:bookmarkEnd w:id="12121"/>
      <w:bookmarkEnd w:id="12122"/>
      <w:bookmarkEnd w:id="12123"/>
      <w:bookmarkEnd w:id="12124"/>
    </w:p>
    <w:p w14:paraId="7DEF3893" w14:textId="77777777" w:rsidR="003D04E6" w:rsidRPr="00CB04C9" w:rsidRDefault="003D04E6" w:rsidP="006D6D32">
      <w:pPr>
        <w:pStyle w:val="a3"/>
      </w:pPr>
      <w:bookmarkStart w:id="12129" w:name="_Toc531817604"/>
      <w:bookmarkStart w:id="12130" w:name="_Toc531819704"/>
      <w:bookmarkStart w:id="12131" w:name="_Toc19390598"/>
      <w:bookmarkStart w:id="12132" w:name="_Toc19394095"/>
      <w:r>
        <w:rPr>
          <w:rFonts w:hint="cs"/>
          <w:rtl/>
        </w:rPr>
        <w:t>קושית החת"ס דהא ביאר רש"י את המשנה כל"ק ולל"ק אינו מחמת שגמר את השחיטה בפסול</w:t>
      </w:r>
      <w:bookmarkEnd w:id="12129"/>
      <w:bookmarkEnd w:id="12130"/>
      <w:bookmarkEnd w:id="12131"/>
      <w:bookmarkEnd w:id="12132"/>
    </w:p>
    <w:p w14:paraId="5D5A6632" w14:textId="77777777" w:rsidR="003D04E6" w:rsidRDefault="003D04E6" w:rsidP="00223668">
      <w:pPr>
        <w:pStyle w:val="a0"/>
        <w:rPr>
          <w:rtl/>
        </w:rPr>
      </w:pPr>
      <w:bookmarkStart w:id="12133" w:name="_Ref531812021"/>
      <w:r>
        <w:rPr>
          <w:rFonts w:hint="cs"/>
          <w:rtl/>
        </w:rPr>
        <w:t xml:space="preserve">והקשה </w:t>
      </w:r>
      <w:r w:rsidRPr="00CB04C9">
        <w:rPr>
          <w:rStyle w:val="af9"/>
          <w:rFonts w:hint="cs"/>
          <w:rtl/>
        </w:rPr>
        <w:t xml:space="preserve">החת"ס </w:t>
      </w:r>
      <w:r>
        <w:rPr>
          <w:rFonts w:hint="cs"/>
          <w:rtl/>
        </w:rPr>
        <w:t xml:space="preserve">דהא במתני' ביאר </w:t>
      </w:r>
      <w:r w:rsidRPr="003234F8">
        <w:rPr>
          <w:rStyle w:val="af9"/>
          <w:rFonts w:hint="cs"/>
          <w:rtl/>
        </w:rPr>
        <w:t>רש"י</w:t>
      </w:r>
      <w:r>
        <w:rPr>
          <w:rFonts w:hint="cs"/>
          <w:rtl/>
        </w:rPr>
        <w:t xml:space="preserve"> </w:t>
      </w:r>
      <w:r w:rsidRPr="00042CD8">
        <w:rPr>
          <w:rStyle w:val="af7"/>
          <w:rFonts w:eastAsia="Guttman Hodes" w:hint="cs"/>
          <w:rtl/>
        </w:rPr>
        <w:t xml:space="preserve">(עי' אות </w:t>
      </w:r>
      <w:r w:rsidRPr="00042CD8">
        <w:rPr>
          <w:rStyle w:val="af7"/>
          <w:rFonts w:eastAsia="Guttman Hodes"/>
          <w:rtl/>
        </w:rPr>
        <w:fldChar w:fldCharType="begin"/>
      </w:r>
      <w:r w:rsidRPr="00042CD8">
        <w:rPr>
          <w:rStyle w:val="af7"/>
          <w:rFonts w:eastAsia="Guttman Hodes"/>
          <w:rtl/>
        </w:rPr>
        <w:instrText xml:space="preserve"> </w:instrText>
      </w:r>
      <w:r w:rsidRPr="00042CD8">
        <w:rPr>
          <w:rStyle w:val="af7"/>
          <w:rFonts w:eastAsia="Guttman Hodes" w:hint="cs"/>
        </w:rPr>
        <w:instrText>REF</w:instrText>
      </w:r>
      <w:r w:rsidRPr="00042CD8">
        <w:rPr>
          <w:rStyle w:val="af7"/>
          <w:rFonts w:eastAsia="Guttman Hodes" w:hint="cs"/>
          <w:rtl/>
        </w:rPr>
        <w:instrText xml:space="preserve"> _</w:instrText>
      </w:r>
      <w:r w:rsidRPr="00042CD8">
        <w:rPr>
          <w:rStyle w:val="af7"/>
          <w:rFonts w:eastAsia="Guttman Hodes" w:hint="cs"/>
        </w:rPr>
        <w:instrText>Ref531811901 \r \h</w:instrText>
      </w:r>
      <w:r w:rsidRPr="00042CD8">
        <w:rPr>
          <w:rStyle w:val="af7"/>
          <w:rFonts w:eastAsia="Guttman Hodes"/>
          <w:rtl/>
        </w:rPr>
        <w:instrText xml:space="preserve"> </w:instrText>
      </w:r>
      <w:r w:rsidRPr="00042CD8">
        <w:rPr>
          <w:rStyle w:val="af7"/>
          <w:rFonts w:eastAsia="Guttman Hodes"/>
          <w:rtl/>
        </w:rPr>
      </w:r>
      <w:r w:rsidRPr="00042CD8">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042CD8">
        <w:rPr>
          <w:rStyle w:val="af7"/>
          <w:rFonts w:eastAsia="Guttman Hodes"/>
          <w:rtl/>
        </w:rPr>
        <w:fldChar w:fldCharType="end"/>
      </w:r>
      <w:r>
        <w:rPr>
          <w:rFonts w:hint="cs"/>
          <w:rtl/>
        </w:rPr>
        <w:t xml:space="preserve"> כל"ק דרב הונא לקמן </w:t>
      </w:r>
      <w:r w:rsidRPr="00042CD8">
        <w:rPr>
          <w:rStyle w:val="af7"/>
          <w:rFonts w:eastAsia="Guttman Hodes" w:hint="cs"/>
          <w:rtl/>
        </w:rPr>
        <w:t>(יט.)</w:t>
      </w:r>
      <w:r>
        <w:rPr>
          <w:rFonts w:hint="cs"/>
          <w:rtl/>
        </w:rPr>
        <w:t xml:space="preserve"> והרי לל"ק דרב הונא רק ריבר</w:t>
      </w:r>
      <w:r>
        <w:rPr>
          <w:rtl/>
        </w:rPr>
        <w:t>"</w:t>
      </w:r>
      <w:r>
        <w:rPr>
          <w:rFonts w:hint="cs"/>
          <w:rtl/>
        </w:rPr>
        <w:t xml:space="preserve">י ס"ל דאמרינן רובו ככולו, ואילו לרבנן לא מהני שחיטת רוב הסימן, וא"כ אמאי כתב </w:t>
      </w:r>
      <w:r w:rsidRPr="00894C64">
        <w:rPr>
          <w:rStyle w:val="af9"/>
          <w:rFonts w:hint="cs"/>
          <w:rtl/>
        </w:rPr>
        <w:t>רש"י</w:t>
      </w:r>
      <w:r>
        <w:rPr>
          <w:rFonts w:hint="cs"/>
          <w:rtl/>
        </w:rPr>
        <w:t xml:space="preserve"> </w:t>
      </w:r>
      <w:r w:rsidRPr="00894C64">
        <w:rPr>
          <w:rStyle w:val="af7"/>
          <w:rFonts w:eastAsia="Guttman Hodes" w:hint="cs"/>
          <w:rtl/>
        </w:rPr>
        <w:t xml:space="preserve">(עי' אות </w:t>
      </w:r>
      <w:r w:rsidRPr="00894C64">
        <w:rPr>
          <w:rStyle w:val="af7"/>
          <w:rFonts w:eastAsia="Guttman Hodes"/>
          <w:rtl/>
        </w:rPr>
        <w:fldChar w:fldCharType="begin"/>
      </w:r>
      <w:r w:rsidRPr="00894C64">
        <w:rPr>
          <w:rStyle w:val="af7"/>
          <w:rFonts w:eastAsia="Guttman Hodes"/>
          <w:rtl/>
        </w:rPr>
        <w:instrText xml:space="preserve"> </w:instrText>
      </w:r>
      <w:r w:rsidRPr="00894C64">
        <w:rPr>
          <w:rStyle w:val="af7"/>
          <w:rFonts w:eastAsia="Guttman Hodes" w:hint="cs"/>
        </w:rPr>
        <w:instrText>REF</w:instrText>
      </w:r>
      <w:r w:rsidRPr="00894C64">
        <w:rPr>
          <w:rStyle w:val="af7"/>
          <w:rFonts w:eastAsia="Guttman Hodes" w:hint="cs"/>
          <w:rtl/>
        </w:rPr>
        <w:instrText xml:space="preserve"> _</w:instrText>
      </w:r>
      <w:r w:rsidRPr="00894C64">
        <w:rPr>
          <w:rStyle w:val="af7"/>
          <w:rFonts w:eastAsia="Guttman Hodes" w:hint="cs"/>
        </w:rPr>
        <w:instrText>Ref531811978 \r \h</w:instrText>
      </w:r>
      <w:r w:rsidRPr="00894C64">
        <w:rPr>
          <w:rStyle w:val="af7"/>
          <w:rFonts w:eastAsia="Guttman Hodes"/>
          <w:rtl/>
        </w:rPr>
        <w:instrText xml:space="preserve"> </w:instrText>
      </w:r>
      <w:r w:rsidRPr="00894C64">
        <w:rPr>
          <w:rStyle w:val="af7"/>
          <w:rFonts w:eastAsia="Guttman Hodes"/>
          <w:rtl/>
        </w:rPr>
      </w:r>
      <w:r w:rsidRPr="00894C64">
        <w:rPr>
          <w:rStyle w:val="af7"/>
          <w:rFonts w:eastAsia="Guttman Hodes"/>
          <w:rtl/>
        </w:rPr>
        <w:fldChar w:fldCharType="separate"/>
      </w:r>
      <w:r w:rsidR="00345400">
        <w:rPr>
          <w:rStyle w:val="af7"/>
          <w:rFonts w:eastAsia="Guttman Hodes"/>
          <w:cs/>
        </w:rPr>
        <w:t>‎</w:t>
      </w:r>
      <w:r w:rsidR="00345400">
        <w:rPr>
          <w:rStyle w:val="af7"/>
          <w:rFonts w:eastAsia="Guttman Hodes"/>
          <w:rtl/>
        </w:rPr>
        <w:t>כה)</w:t>
      </w:r>
      <w:r w:rsidRPr="00894C64">
        <w:rPr>
          <w:rStyle w:val="af7"/>
          <w:rFonts w:eastAsia="Guttman Hodes"/>
          <w:rtl/>
        </w:rPr>
        <w:fldChar w:fldCharType="end"/>
      </w:r>
      <w:r>
        <w:rPr>
          <w:rFonts w:hint="cs"/>
          <w:rtl/>
        </w:rPr>
        <w:t xml:space="preserve"> דהשחיטה הוא כיון שגמר בפסול.</w:t>
      </w:r>
      <w:bookmarkEnd w:id="12133"/>
    </w:p>
    <w:p w14:paraId="700F83AC" w14:textId="77777777" w:rsidR="003D04E6" w:rsidRDefault="003D04E6" w:rsidP="006D6D32">
      <w:pPr>
        <w:pStyle w:val="a3"/>
        <w:rPr>
          <w:rtl/>
        </w:rPr>
      </w:pPr>
      <w:bookmarkStart w:id="12134" w:name="_Toc531817605"/>
      <w:bookmarkStart w:id="12135" w:name="_Toc531819705"/>
      <w:bookmarkStart w:id="12136" w:name="_Toc19390599"/>
      <w:bookmarkStart w:id="12137" w:name="_Toc19394096"/>
      <w:r>
        <w:rPr>
          <w:rFonts w:hint="cs"/>
          <w:rtl/>
        </w:rPr>
        <w:t>ביאור החת"ס דס"ל לרש"י דלחומרא אמרינן דהגרמה מקום שחיטה ומיעוט בתרא פוסל</w:t>
      </w:r>
      <w:bookmarkEnd w:id="12134"/>
      <w:bookmarkEnd w:id="12135"/>
      <w:bookmarkEnd w:id="12136"/>
      <w:bookmarkEnd w:id="12137"/>
      <w:r>
        <w:rPr>
          <w:rFonts w:hint="cs"/>
          <w:rtl/>
        </w:rPr>
        <w:t xml:space="preserve"> </w:t>
      </w:r>
    </w:p>
    <w:p w14:paraId="1E3B52D3" w14:textId="77777777" w:rsidR="003D04E6" w:rsidRDefault="003D04E6" w:rsidP="00223668">
      <w:pPr>
        <w:pStyle w:val="a0"/>
        <w:rPr>
          <w:rtl/>
        </w:rPr>
      </w:pPr>
      <w:r>
        <w:rPr>
          <w:rFonts w:hint="cs"/>
          <w:rtl/>
        </w:rPr>
        <w:t xml:space="preserve">אלא ביאר </w:t>
      </w:r>
      <w:r w:rsidRPr="007E1CC6">
        <w:rPr>
          <w:rStyle w:val="af9"/>
          <w:rFonts w:hint="cs"/>
          <w:rtl/>
        </w:rPr>
        <w:t>החת"ס</w:t>
      </w:r>
      <w:r>
        <w:rPr>
          <w:rFonts w:hint="cs"/>
          <w:rtl/>
        </w:rPr>
        <w:t xml:space="preserve"> דס"ל </w:t>
      </w:r>
      <w:r w:rsidRPr="007E1CC6">
        <w:rPr>
          <w:rStyle w:val="af9"/>
          <w:rFonts w:hint="cs"/>
          <w:rtl/>
        </w:rPr>
        <w:t>לרש"י</w:t>
      </w:r>
      <w:r>
        <w:rPr>
          <w:rFonts w:hint="cs"/>
          <w:rtl/>
        </w:rPr>
        <w:t xml:space="preserve"> דלרב הונא ההגרמה נחשבת כמקום שחיטה, כדכתב </w:t>
      </w:r>
      <w:r w:rsidRPr="00400B33">
        <w:rPr>
          <w:rStyle w:val="af9"/>
          <w:rFonts w:hint="cs"/>
          <w:rtl/>
        </w:rPr>
        <w:t>הר"ן על הרי"ף</w:t>
      </w:r>
      <w:r w:rsidRPr="008D50E5">
        <w:rPr>
          <w:rFonts w:hint="cs"/>
          <w:rtl/>
        </w:rPr>
        <w:t xml:space="preserve"> </w:t>
      </w:r>
      <w:r w:rsidRPr="00400B33">
        <w:rPr>
          <w:rStyle w:val="af7"/>
          <w:rFonts w:eastAsia="Guttman Hodes" w:hint="cs"/>
          <w:rtl/>
        </w:rPr>
        <w:t>(ה</w:t>
      </w:r>
      <w:r>
        <w:rPr>
          <w:rStyle w:val="af7"/>
          <w:rFonts w:eastAsia="Guttman Hodes" w:hint="cs"/>
          <w:rtl/>
        </w:rPr>
        <w:t>:</w:t>
      </w:r>
      <w:r w:rsidRPr="00400B33">
        <w:rPr>
          <w:rStyle w:val="af7"/>
          <w:rFonts w:eastAsia="Guttman Hodes" w:hint="cs"/>
          <w:rtl/>
        </w:rPr>
        <w:t xml:space="preserve"> מדפי הרי"ף ד"ה </w:t>
      </w:r>
      <w:r>
        <w:rPr>
          <w:rStyle w:val="af7"/>
          <w:rFonts w:eastAsia="Guttman Hodes" w:hint="cs"/>
          <w:rtl/>
        </w:rPr>
        <w:t>שחט</w:t>
      </w:r>
      <w:r w:rsidRPr="00400B33">
        <w:rPr>
          <w:rStyle w:val="af7"/>
          <w:rFonts w:eastAsia="Guttman Hodes" w:hint="cs"/>
          <w:rtl/>
        </w:rPr>
        <w:t>)</w:t>
      </w:r>
      <w:r>
        <w:rPr>
          <w:rFonts w:hint="cs"/>
          <w:rtl/>
        </w:rPr>
        <w:t>,</w:t>
      </w:r>
      <w:r w:rsidRPr="008D50E5">
        <w:rPr>
          <w:rFonts w:hint="cs"/>
          <w:rtl/>
        </w:rPr>
        <w:t xml:space="preserve"> </w:t>
      </w:r>
      <w:r>
        <w:rPr>
          <w:rFonts w:hint="cs"/>
          <w:rtl/>
        </w:rPr>
        <w:t xml:space="preserve">ולכן אף דמהני בשחיטה רובו ככולו, מ"מ כיון שהמשיך לשחוט במקום שחיטה, ושחט בפסול כיון שהגרים, שחיטתו פסולה ולא מהני מה ששחט את רוב הסימן בכשרות, והא דהכשיר רב הונא לקמן </w:t>
      </w:r>
      <w:r w:rsidRPr="007E1CC6">
        <w:rPr>
          <w:rStyle w:val="af7"/>
          <w:rFonts w:eastAsia="Guttman Hodes" w:hint="cs"/>
          <w:rtl/>
        </w:rPr>
        <w:t>(יט.)</w:t>
      </w:r>
      <w:r>
        <w:rPr>
          <w:rFonts w:hint="cs"/>
          <w:rtl/>
        </w:rPr>
        <w:t xml:space="preserve"> הוא כיון דס"ל דמיעוט בתרא אינו פוסל ודלא כרב פפא לקמן</w:t>
      </w:r>
      <w:r w:rsidR="00653ADF">
        <w:rPr>
          <w:rFonts w:hint="cs"/>
          <w:rtl/>
        </w:rPr>
        <w:t xml:space="preserve"> </w:t>
      </w:r>
      <w:r w:rsidR="00653ADF" w:rsidRPr="00653ADF">
        <w:rPr>
          <w:rStyle w:val="af7"/>
          <w:rFonts w:eastAsia="Guttman Hodes" w:hint="cs"/>
          <w:rtl/>
        </w:rPr>
        <w:t>(ל:)</w:t>
      </w:r>
      <w:r>
        <w:rPr>
          <w:rFonts w:hint="cs"/>
          <w:rtl/>
        </w:rPr>
        <w:t xml:space="preserve">, ור"פ עצמו ג"כ לא פשיטא ליה דההגרמה נחשבת כמקום שחיטה, </w:t>
      </w:r>
      <w:r w:rsidRPr="007E1CC6">
        <w:rPr>
          <w:rStyle w:val="afb"/>
          <w:rFonts w:hint="cs"/>
          <w:rtl/>
        </w:rPr>
        <w:t xml:space="preserve">[ולכן אמר את דינו בחלדה </w:t>
      </w:r>
      <w:r>
        <w:rPr>
          <w:rStyle w:val="afb"/>
          <w:rFonts w:hint="cs"/>
          <w:rtl/>
        </w:rPr>
        <w:t xml:space="preserve">שהיא פסול במקום שחיטה </w:t>
      </w:r>
      <w:r w:rsidRPr="007E1CC6">
        <w:rPr>
          <w:rStyle w:val="afb"/>
          <w:rFonts w:hint="cs"/>
          <w:rtl/>
        </w:rPr>
        <w:t>ולא בהגרמה</w:t>
      </w:r>
      <w:r>
        <w:rPr>
          <w:rStyle w:val="afb"/>
          <w:rFonts w:hint="cs"/>
          <w:rtl/>
        </w:rPr>
        <w:t xml:space="preserve"> דמספקא ליה אם הוא פסול במקום שחיטה</w:t>
      </w:r>
      <w:r w:rsidRPr="007E1CC6">
        <w:rPr>
          <w:rStyle w:val="afb"/>
          <w:rFonts w:hint="cs"/>
          <w:rtl/>
        </w:rPr>
        <w:t>]</w:t>
      </w:r>
      <w:r>
        <w:rPr>
          <w:rFonts w:hint="cs"/>
          <w:rtl/>
        </w:rPr>
        <w:t>, אבל לדידן קיי"ל לחומרא גם כרב הונא דההגרמה היא מקום שחיטה, וגם כרב פפא דאף ששחט את רוב הסימן, מ"מ אם המשיך לשחוט את המיעוט האחרון הוא פוסל, ולא מהני בזה רובו ככולו, כיון שלא הפסיק בשחיטת רוב הסימן.</w:t>
      </w:r>
    </w:p>
    <w:p w14:paraId="64E52D82" w14:textId="77777777" w:rsidR="003D04E6" w:rsidRPr="00D921C6" w:rsidRDefault="003D04E6" w:rsidP="006D6D32">
      <w:pPr>
        <w:pStyle w:val="a3"/>
      </w:pPr>
      <w:bookmarkStart w:id="12138" w:name="_Toc531817606"/>
      <w:bookmarkStart w:id="12139" w:name="_Toc531819706"/>
      <w:bookmarkStart w:id="12140" w:name="_Toc19390600"/>
      <w:bookmarkStart w:id="12141" w:name="_Toc19394097"/>
      <w:r>
        <w:rPr>
          <w:rFonts w:hint="cs"/>
          <w:rtl/>
        </w:rPr>
        <w:t>ביאור החת"ס דלדידן א"צ לומר כביאור הגמ' ברב הונא דלל"ק נחלקו בדין רובו ככולו</w:t>
      </w:r>
      <w:bookmarkEnd w:id="12138"/>
      <w:bookmarkEnd w:id="12139"/>
      <w:bookmarkEnd w:id="12140"/>
      <w:bookmarkEnd w:id="12141"/>
    </w:p>
    <w:p w14:paraId="470FD1A8" w14:textId="77777777" w:rsidR="003D04E6" w:rsidRDefault="003D04E6" w:rsidP="00223668">
      <w:pPr>
        <w:pStyle w:val="a0"/>
        <w:rPr>
          <w:rtl/>
        </w:rPr>
      </w:pPr>
      <w:r>
        <w:rPr>
          <w:rFonts w:hint="cs"/>
          <w:rtl/>
        </w:rPr>
        <w:t xml:space="preserve">ובזה תירץ </w:t>
      </w:r>
      <w:r w:rsidRPr="007E1CC6">
        <w:rPr>
          <w:rStyle w:val="af9"/>
          <w:rFonts w:hint="cs"/>
          <w:rtl/>
        </w:rPr>
        <w:t>החת"ס</w:t>
      </w:r>
      <w:r>
        <w:rPr>
          <w:rFonts w:hint="cs"/>
          <w:rtl/>
        </w:rPr>
        <w:t xml:space="preserve"> דלדידן לא קשה כלל מהמשנה לקמן </w:t>
      </w:r>
      <w:r w:rsidRPr="007E1CC6">
        <w:rPr>
          <w:rStyle w:val="af7"/>
          <w:rFonts w:eastAsia="Guttman Hodes" w:hint="cs"/>
          <w:rtl/>
        </w:rPr>
        <w:t>(כז.)</w:t>
      </w:r>
      <w:r>
        <w:rPr>
          <w:rFonts w:hint="cs"/>
          <w:rtl/>
        </w:rPr>
        <w:t xml:space="preserve"> דרובו של אחד כמוהו, דזהו דוקא אם הפסיק לשחוט אחר הרוב, אבל אם גמר בפסול, אף לדעת המשנה לא מהני רובו ככולו, והא דאיתא בגמ' לקמן </w:t>
      </w:r>
      <w:r w:rsidRPr="007E1CC6">
        <w:rPr>
          <w:rStyle w:val="af7"/>
          <w:rFonts w:eastAsia="Guttman Hodes" w:hint="cs"/>
          <w:rtl/>
        </w:rPr>
        <w:t>(יט.)</w:t>
      </w:r>
      <w:r>
        <w:rPr>
          <w:rFonts w:hint="cs"/>
          <w:rtl/>
        </w:rPr>
        <w:t xml:space="preserve"> דלל"ק דרב הונא אמר רב אסי המשנה לקמן </w:t>
      </w:r>
      <w:r w:rsidRPr="007E1CC6">
        <w:rPr>
          <w:rStyle w:val="af7"/>
          <w:rFonts w:eastAsia="Guttman Hodes" w:hint="cs"/>
          <w:rtl/>
        </w:rPr>
        <w:t>(כז.)</w:t>
      </w:r>
      <w:r>
        <w:rPr>
          <w:rFonts w:hint="cs"/>
          <w:rtl/>
        </w:rPr>
        <w:t xml:space="preserve"> היא רק לדעת ריבר</w:t>
      </w:r>
      <w:r>
        <w:rPr>
          <w:rtl/>
        </w:rPr>
        <w:t>"</w:t>
      </w:r>
      <w:r>
        <w:rPr>
          <w:rFonts w:hint="cs"/>
          <w:rtl/>
        </w:rPr>
        <w:t>י ולא לדעת רבנן, זהו לדעת רב אסי דס"ל דההגרמה אינה מקום שחיטה, וא"כ א"א לומר שאחר ששחט את רוב הסימן, והגרים במיעוט בתרא, השחיטה פסולה, דכיון שלא שחט במקום שחיטה חשיב מחתך בשר בעלמא, ואי"ז פוסל את שחיטת רוב הסימן ששחט בכשרות, אבל לדידן דקיי"ל לחומרא דההגרמה היא מקום שחיטה, א"כ אף לדעת רבנן אמרינן דאם שחט רק את רוב הסימן והפסיק את שחיטתו, השחיטה כשרה דרובו ככולו, והא דפסלי רבנן כשהגרים בסוף השחיטה, הוא כיון שהמשיך לשחוט במקום שחיטה בפסול.</w:t>
      </w:r>
    </w:p>
    <w:p w14:paraId="44EAF66B" w14:textId="77777777" w:rsidR="003D04E6" w:rsidRDefault="003D04E6" w:rsidP="006D6D32">
      <w:pPr>
        <w:pStyle w:val="a3"/>
        <w:rPr>
          <w:rtl/>
        </w:rPr>
      </w:pPr>
      <w:bookmarkStart w:id="12142" w:name="_Toc531817607"/>
      <w:bookmarkStart w:id="12143" w:name="_Toc531819707"/>
      <w:bookmarkStart w:id="12144" w:name="_Toc19390601"/>
      <w:bookmarkStart w:id="12145" w:name="_Toc19394098"/>
      <w:r>
        <w:rPr>
          <w:rFonts w:hint="cs"/>
          <w:rtl/>
        </w:rPr>
        <w:t>דברי החת"ס דלדידן דלחומרא ההגרמה היא כמקום שחיטה אף לרבנן מהני בשחיטה רובו ככולו</w:t>
      </w:r>
      <w:bookmarkEnd w:id="12142"/>
      <w:bookmarkEnd w:id="12143"/>
      <w:bookmarkEnd w:id="12144"/>
      <w:bookmarkEnd w:id="12145"/>
    </w:p>
    <w:p w14:paraId="04FC3F4A" w14:textId="77777777" w:rsidR="003D04E6" w:rsidRDefault="003D04E6" w:rsidP="00223668">
      <w:pPr>
        <w:pStyle w:val="a0"/>
        <w:rPr>
          <w:rtl/>
        </w:rPr>
      </w:pPr>
      <w:r>
        <w:rPr>
          <w:rFonts w:hint="cs"/>
          <w:rtl/>
        </w:rPr>
        <w:t xml:space="preserve">והוסיף </w:t>
      </w:r>
      <w:r w:rsidRPr="004B79BE">
        <w:rPr>
          <w:rStyle w:val="af9"/>
          <w:rFonts w:hint="cs"/>
          <w:rtl/>
        </w:rPr>
        <w:t>החת"ס</w:t>
      </w:r>
      <w:r>
        <w:rPr>
          <w:rFonts w:hint="cs"/>
          <w:rtl/>
        </w:rPr>
        <w:t xml:space="preserve"> </w:t>
      </w:r>
      <w:r w:rsidRPr="004B79BE">
        <w:rPr>
          <w:rStyle w:val="af7"/>
          <w:rFonts w:eastAsia="Guttman Hodes" w:hint="cs"/>
          <w:rtl/>
        </w:rPr>
        <w:t>(ד"ה ב' שליש)</w:t>
      </w:r>
      <w:r>
        <w:rPr>
          <w:rFonts w:hint="cs"/>
          <w:rtl/>
        </w:rPr>
        <w:t xml:space="preserve"> דהא דביאר </w:t>
      </w:r>
      <w:r w:rsidRPr="004B79BE">
        <w:rPr>
          <w:rStyle w:val="af9"/>
          <w:rFonts w:hint="cs"/>
          <w:rtl/>
        </w:rPr>
        <w:t>רש"י</w:t>
      </w:r>
      <w:r>
        <w:rPr>
          <w:rFonts w:hint="cs"/>
          <w:rtl/>
        </w:rPr>
        <w:t xml:space="preserve"> </w:t>
      </w:r>
      <w:r w:rsidRPr="002954DB">
        <w:rPr>
          <w:rStyle w:val="af7"/>
          <w:rFonts w:eastAsia="Guttman Hodes" w:hint="cs"/>
          <w:rtl/>
        </w:rPr>
        <w:t xml:space="preserve">(עי' אות </w:t>
      </w:r>
      <w:r w:rsidRPr="002954DB">
        <w:rPr>
          <w:rStyle w:val="af7"/>
          <w:rFonts w:eastAsia="Guttman Hodes"/>
          <w:rtl/>
        </w:rPr>
        <w:fldChar w:fldCharType="begin"/>
      </w:r>
      <w:r w:rsidRPr="002954DB">
        <w:rPr>
          <w:rStyle w:val="af7"/>
          <w:rFonts w:eastAsia="Guttman Hodes"/>
          <w:rtl/>
        </w:rPr>
        <w:instrText xml:space="preserve"> </w:instrText>
      </w:r>
      <w:r w:rsidRPr="002954DB">
        <w:rPr>
          <w:rStyle w:val="af7"/>
          <w:rFonts w:eastAsia="Guttman Hodes" w:hint="cs"/>
        </w:rPr>
        <w:instrText>REF</w:instrText>
      </w:r>
      <w:r w:rsidRPr="002954DB">
        <w:rPr>
          <w:rStyle w:val="af7"/>
          <w:rFonts w:eastAsia="Guttman Hodes" w:hint="cs"/>
          <w:rtl/>
        </w:rPr>
        <w:instrText xml:space="preserve"> _</w:instrText>
      </w:r>
      <w:r w:rsidRPr="002954DB">
        <w:rPr>
          <w:rStyle w:val="af7"/>
          <w:rFonts w:eastAsia="Guttman Hodes" w:hint="cs"/>
        </w:rPr>
        <w:instrText>Ref531517660 \r \h</w:instrText>
      </w:r>
      <w:r w:rsidRPr="002954DB">
        <w:rPr>
          <w:rStyle w:val="af7"/>
          <w:rFonts w:eastAsia="Guttman Hodes"/>
          <w:rtl/>
        </w:rPr>
        <w:instrText xml:space="preserve"> </w:instrText>
      </w:r>
      <w:r w:rsidRPr="002954DB">
        <w:rPr>
          <w:rStyle w:val="af7"/>
          <w:rFonts w:eastAsia="Guttman Hodes"/>
          <w:rtl/>
        </w:rPr>
      </w:r>
      <w:r w:rsidRPr="002954DB">
        <w:rPr>
          <w:rStyle w:val="af7"/>
          <w:rFonts w:eastAsia="Guttman Hodes"/>
          <w:rtl/>
        </w:rPr>
        <w:fldChar w:fldCharType="separate"/>
      </w:r>
      <w:r w:rsidR="00345400">
        <w:rPr>
          <w:rStyle w:val="af7"/>
          <w:rFonts w:eastAsia="Guttman Hodes"/>
          <w:cs/>
        </w:rPr>
        <w:t>‎</w:t>
      </w:r>
      <w:r w:rsidR="00345400">
        <w:rPr>
          <w:rStyle w:val="af7"/>
          <w:rFonts w:eastAsia="Guttman Hodes"/>
          <w:rtl/>
        </w:rPr>
        <w:t>טו)</w:t>
      </w:r>
      <w:r w:rsidRPr="002954DB">
        <w:rPr>
          <w:rStyle w:val="af7"/>
          <w:rFonts w:eastAsia="Guttman Hodes"/>
          <w:rtl/>
        </w:rPr>
        <w:fldChar w:fldCharType="end"/>
      </w:r>
      <w:r>
        <w:rPr>
          <w:rFonts w:hint="cs"/>
          <w:rtl/>
        </w:rPr>
        <w:t xml:space="preserve"> דהמשנה לקמן </w:t>
      </w:r>
      <w:r w:rsidRPr="004B79BE">
        <w:rPr>
          <w:rStyle w:val="af7"/>
          <w:rFonts w:eastAsia="Guttman Hodes" w:hint="cs"/>
          <w:rtl/>
        </w:rPr>
        <w:t>(כז.)</w:t>
      </w:r>
      <w:r>
        <w:rPr>
          <w:rFonts w:hint="cs"/>
          <w:rtl/>
        </w:rPr>
        <w:t xml:space="preserve"> דרובו של אחד כמוהו, היא רק לדעת ריבר</w:t>
      </w:r>
      <w:r>
        <w:rPr>
          <w:rtl/>
        </w:rPr>
        <w:t>"</w:t>
      </w:r>
      <w:r>
        <w:rPr>
          <w:rFonts w:hint="cs"/>
          <w:rtl/>
        </w:rPr>
        <w:t>י היינו למאן דס"ל דמקום הגרמה אינו מקום שחיטה, וא"כ לדעת רבנן דפסלי כשהגרים במיעוט בתרא, מוכח דס"ל דלא אמרינן רובו ככולו, דכיון שאינו מקום שחיטה לא יתכן לומר שאחר ששחט את רוב הסימן כראוי, חתיכת המיעוט בתרא שלא במקום שחיטה פוסלת. ולכן רב ושמואל פסקי כריבר</w:t>
      </w:r>
      <w:r>
        <w:rPr>
          <w:rtl/>
        </w:rPr>
        <w:t>"</w:t>
      </w:r>
      <w:r>
        <w:rPr>
          <w:rFonts w:hint="cs"/>
          <w:rtl/>
        </w:rPr>
        <w:t xml:space="preserve">י דהא סתם מתני' לקמן </w:t>
      </w:r>
      <w:r w:rsidRPr="004B79BE">
        <w:rPr>
          <w:rStyle w:val="af7"/>
          <w:rFonts w:eastAsia="Guttman Hodes" w:hint="cs"/>
          <w:rtl/>
        </w:rPr>
        <w:t>(כז.)</w:t>
      </w:r>
      <w:r>
        <w:rPr>
          <w:rFonts w:hint="cs"/>
          <w:rtl/>
        </w:rPr>
        <w:t xml:space="preserve"> היא רק לדעתו דמהני רובו ככולו, אבל לדידן דקיי"ל לחומרא כרב הונא דמקום הגרמה היא מקום שחיטה, וגם קיי"ל לחומרא כרב פפא דהגרמה במיעוט בתרא פוסלת, כיון שגמר את שחיטתו בפסול, א"כ אפשר להעמיד את המשנה לקמן </w:t>
      </w:r>
      <w:r w:rsidRPr="004B79BE">
        <w:rPr>
          <w:rStyle w:val="af7"/>
          <w:rFonts w:eastAsia="Guttman Hodes" w:hint="cs"/>
          <w:rtl/>
        </w:rPr>
        <w:t>(כז.)</w:t>
      </w:r>
      <w:r>
        <w:rPr>
          <w:rFonts w:hint="cs"/>
          <w:rtl/>
        </w:rPr>
        <w:t xml:space="preserve"> אף כרבנן, דרובו ככולו מהני רק אם שחט רק את רוב הסימן, אבל אם המשיך להגרים במקום שחיטה בפסול, שחיטתו פסולה כיון שגמר את השחיטה בפסול, וכתב </w:t>
      </w:r>
      <w:r w:rsidRPr="003411FA">
        <w:rPr>
          <w:rStyle w:val="af9"/>
          <w:rFonts w:hint="cs"/>
          <w:rtl/>
        </w:rPr>
        <w:t>החת"ס</w:t>
      </w:r>
      <w:r>
        <w:rPr>
          <w:rFonts w:hint="cs"/>
          <w:rtl/>
        </w:rPr>
        <w:t xml:space="preserve"> דלכן פירש </w:t>
      </w:r>
      <w:r w:rsidRPr="003411FA">
        <w:rPr>
          <w:rStyle w:val="af9"/>
          <w:rFonts w:hint="cs"/>
          <w:rtl/>
        </w:rPr>
        <w:t>רש"י</w:t>
      </w:r>
      <w:r>
        <w:rPr>
          <w:rFonts w:hint="cs"/>
          <w:rtl/>
        </w:rPr>
        <w:t xml:space="preserve"> </w:t>
      </w:r>
      <w:r w:rsidRPr="009274FE">
        <w:rPr>
          <w:rStyle w:val="af7"/>
          <w:rFonts w:eastAsia="Guttman Hodes" w:hint="cs"/>
          <w:rtl/>
        </w:rPr>
        <w:t xml:space="preserve">(עי' אות </w:t>
      </w:r>
      <w:r w:rsidRPr="009274FE">
        <w:rPr>
          <w:rStyle w:val="af7"/>
          <w:rFonts w:eastAsia="Guttman Hodes"/>
          <w:rtl/>
        </w:rPr>
        <w:fldChar w:fldCharType="begin"/>
      </w:r>
      <w:r w:rsidRPr="009274FE">
        <w:rPr>
          <w:rStyle w:val="af7"/>
          <w:rFonts w:eastAsia="Guttman Hodes"/>
          <w:rtl/>
        </w:rPr>
        <w:instrText xml:space="preserve"> </w:instrText>
      </w:r>
      <w:r w:rsidRPr="009274FE">
        <w:rPr>
          <w:rStyle w:val="af7"/>
          <w:rFonts w:eastAsia="Guttman Hodes" w:hint="cs"/>
        </w:rPr>
        <w:instrText>REF</w:instrText>
      </w:r>
      <w:r w:rsidRPr="009274FE">
        <w:rPr>
          <w:rStyle w:val="af7"/>
          <w:rFonts w:eastAsia="Guttman Hodes" w:hint="cs"/>
          <w:rtl/>
        </w:rPr>
        <w:instrText xml:space="preserve"> _</w:instrText>
      </w:r>
      <w:r w:rsidRPr="009274FE">
        <w:rPr>
          <w:rStyle w:val="af7"/>
          <w:rFonts w:eastAsia="Guttman Hodes" w:hint="cs"/>
        </w:rPr>
        <w:instrText>Ref531811901 \r \h</w:instrText>
      </w:r>
      <w:r w:rsidRPr="009274FE">
        <w:rPr>
          <w:rStyle w:val="af7"/>
          <w:rFonts w:eastAsia="Guttman Hodes"/>
          <w:rtl/>
        </w:rPr>
        <w:instrText xml:space="preserve"> </w:instrText>
      </w:r>
      <w:r w:rsidRPr="009274FE">
        <w:rPr>
          <w:rStyle w:val="af7"/>
          <w:rFonts w:eastAsia="Guttman Hodes"/>
          <w:rtl/>
        </w:rPr>
      </w:r>
      <w:r w:rsidRPr="009274FE">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9274FE">
        <w:rPr>
          <w:rStyle w:val="af7"/>
          <w:rFonts w:eastAsia="Guttman Hodes"/>
          <w:rtl/>
        </w:rPr>
        <w:fldChar w:fldCharType="end"/>
      </w:r>
      <w:r>
        <w:rPr>
          <w:rFonts w:hint="cs"/>
          <w:rtl/>
        </w:rPr>
        <w:t xml:space="preserve"> את המשנה  כמו הביאור בל"ק, דהיינו אליבא דהלכתא.</w:t>
      </w:r>
    </w:p>
    <w:p w14:paraId="5C14BA3F" w14:textId="77777777" w:rsidR="003D04E6" w:rsidRPr="00BF4D5F" w:rsidRDefault="003D04E6" w:rsidP="006D6D32">
      <w:pPr>
        <w:pStyle w:val="a3"/>
        <w:rPr>
          <w:rtl/>
        </w:rPr>
      </w:pPr>
    </w:p>
    <w:p w14:paraId="2239DDDA" w14:textId="77777777" w:rsidR="003D04E6" w:rsidRPr="00BF4D5F" w:rsidRDefault="003D04E6" w:rsidP="006D6D32">
      <w:pPr>
        <w:pStyle w:val="a3"/>
        <w:rPr>
          <w:rtl/>
        </w:rPr>
      </w:pPr>
    </w:p>
    <w:p w14:paraId="2100BB4E" w14:textId="77777777" w:rsidR="003D04E6" w:rsidRDefault="003D04E6" w:rsidP="006D6D32">
      <w:pPr>
        <w:pStyle w:val="afe"/>
        <w:rPr>
          <w:rtl/>
        </w:rPr>
      </w:pPr>
      <w:bookmarkStart w:id="12146" w:name="_Toc531817608"/>
      <w:bookmarkStart w:id="12147" w:name="_Toc531819708"/>
    </w:p>
    <w:p w14:paraId="341E6146" w14:textId="77777777" w:rsidR="003D04E6" w:rsidRDefault="003D04E6" w:rsidP="006D6D32">
      <w:pPr>
        <w:pStyle w:val="afe"/>
        <w:rPr>
          <w:rtl/>
        </w:rPr>
      </w:pPr>
      <w:bookmarkStart w:id="12148" w:name="_Toc19435804"/>
      <w:bookmarkStart w:id="12149" w:name="_Toc20081055"/>
      <w:r>
        <w:rPr>
          <w:rFonts w:hint="cs"/>
          <w:rtl/>
        </w:rPr>
        <w:t>מוגרמת דרב ושמואל</w:t>
      </w:r>
      <w:bookmarkEnd w:id="12125"/>
      <w:bookmarkEnd w:id="12126"/>
      <w:bookmarkEnd w:id="12127"/>
      <w:bookmarkEnd w:id="12128"/>
      <w:bookmarkEnd w:id="12146"/>
      <w:bookmarkEnd w:id="12147"/>
      <w:bookmarkEnd w:id="12148"/>
      <w:bookmarkEnd w:id="12149"/>
    </w:p>
    <w:p w14:paraId="0C868E47" w14:textId="77777777" w:rsidR="003D04E6" w:rsidRDefault="003D04E6" w:rsidP="00BF39B2">
      <w:pPr>
        <w:pStyle w:val="1"/>
      </w:pPr>
      <w:bookmarkStart w:id="12150" w:name="_Toc531776387"/>
      <w:bookmarkStart w:id="12151" w:name="_Toc531817609"/>
      <w:bookmarkStart w:id="12152" w:name="_Toc531819709"/>
      <w:bookmarkStart w:id="12153" w:name="_Toc19390602"/>
      <w:bookmarkStart w:id="12154" w:name="_Toc19394099"/>
      <w:bookmarkStart w:id="12155" w:name="_Toc531622050"/>
      <w:bookmarkStart w:id="12156" w:name="_Toc531629706"/>
      <w:bookmarkStart w:id="12157" w:name="_Toc531638978"/>
      <w:r>
        <w:rPr>
          <w:rFonts w:hint="cs"/>
          <w:rtl/>
        </w:rPr>
        <w:t>ביאור רש"י דדברי רב ושמואל הם בדין שחיטה ולא בהגרמה</w:t>
      </w:r>
      <w:bookmarkEnd w:id="12150"/>
      <w:bookmarkEnd w:id="12151"/>
      <w:bookmarkEnd w:id="12152"/>
      <w:bookmarkEnd w:id="12153"/>
      <w:bookmarkEnd w:id="12154"/>
    </w:p>
    <w:p w14:paraId="210CF716" w14:textId="77777777" w:rsidR="003D04E6" w:rsidRDefault="003D04E6" w:rsidP="006D6D32">
      <w:pPr>
        <w:pStyle w:val="a3"/>
        <w:rPr>
          <w:rtl/>
        </w:rPr>
      </w:pPr>
      <w:bookmarkStart w:id="12158" w:name="_Toc531776388"/>
      <w:bookmarkStart w:id="12159" w:name="_Toc531817610"/>
      <w:bookmarkStart w:id="12160" w:name="_Toc531819710"/>
      <w:bookmarkStart w:id="12161" w:name="_Toc19390603"/>
      <w:bookmarkStart w:id="12162" w:name="_Toc19394100"/>
      <w:r>
        <w:rPr>
          <w:rFonts w:hint="cs"/>
          <w:rtl/>
        </w:rPr>
        <w:t>ביאור רש"י</w:t>
      </w:r>
      <w:bookmarkEnd w:id="12155"/>
      <w:bookmarkEnd w:id="12156"/>
      <w:bookmarkEnd w:id="12157"/>
      <w:r>
        <w:rPr>
          <w:rFonts w:hint="cs"/>
          <w:rtl/>
        </w:rPr>
        <w:t xml:space="preserve"> דרובו ככולו מהני רק בשחיטת הרוב במקום שחיטה ולא מהני להחשיב מקום שחיטה</w:t>
      </w:r>
      <w:bookmarkEnd w:id="12158"/>
      <w:bookmarkEnd w:id="12159"/>
      <w:bookmarkEnd w:id="12160"/>
      <w:bookmarkEnd w:id="12161"/>
      <w:bookmarkEnd w:id="12162"/>
    </w:p>
    <w:p w14:paraId="096FD0CD" w14:textId="77777777" w:rsidR="003D04E6" w:rsidRDefault="003D04E6" w:rsidP="00223668">
      <w:pPr>
        <w:pStyle w:val="a0"/>
        <w:rPr>
          <w:rtl/>
        </w:rPr>
      </w:pPr>
      <w:bookmarkStart w:id="12163" w:name="_Ref531711285"/>
      <w:r>
        <w:rPr>
          <w:rFonts w:hint="cs"/>
          <w:rtl/>
        </w:rPr>
        <w:t xml:space="preserve">כתב </w:t>
      </w:r>
      <w:r w:rsidRPr="00166E39">
        <w:rPr>
          <w:rStyle w:val="af9"/>
          <w:rFonts w:hint="cs"/>
          <w:rtl/>
        </w:rPr>
        <w:t>רש"י</w:t>
      </w:r>
      <w:r>
        <w:rPr>
          <w:rFonts w:hint="cs"/>
          <w:rtl/>
        </w:rPr>
        <w:t xml:space="preserve"> </w:t>
      </w:r>
      <w:r w:rsidRPr="00075A92">
        <w:rPr>
          <w:rStyle w:val="af7"/>
          <w:rFonts w:eastAsia="Guttman Hodes" w:hint="cs"/>
          <w:rtl/>
        </w:rPr>
        <w:t xml:space="preserve">(ד"ה הלכה </w:t>
      </w:r>
      <w:r>
        <w:rPr>
          <w:rStyle w:val="af7"/>
          <w:rFonts w:eastAsia="Guttman Hodes" w:hint="cs"/>
          <w:rtl/>
        </w:rPr>
        <w:t>וכו'</w:t>
      </w:r>
      <w:r w:rsidRPr="00075A92">
        <w:rPr>
          <w:rStyle w:val="af7"/>
          <w:rFonts w:eastAsia="Guttman Hodes" w:hint="cs"/>
          <w:rtl/>
        </w:rPr>
        <w:t>)</w:t>
      </w:r>
      <w:r>
        <w:rPr>
          <w:rFonts w:hint="cs"/>
          <w:rtl/>
        </w:rPr>
        <w:t xml:space="preserve"> דאמרו</w:t>
      </w:r>
      <w:r w:rsidRPr="00233146">
        <w:rPr>
          <w:rFonts w:hint="cs"/>
          <w:rtl/>
        </w:rPr>
        <w:t xml:space="preserve"> </w:t>
      </w:r>
      <w:r>
        <w:rPr>
          <w:rFonts w:hint="cs"/>
          <w:rtl/>
        </w:rPr>
        <w:t>רב ושמואל דאף לריבר</w:t>
      </w:r>
      <w:r>
        <w:rPr>
          <w:rtl/>
        </w:rPr>
        <w:t>"</w:t>
      </w:r>
      <w:r>
        <w:rPr>
          <w:rFonts w:hint="cs"/>
          <w:rtl/>
        </w:rPr>
        <w:t>י דס"ל דאמרינן בשחיטה רובו ככולו, מ"מ דין רובו ככולו מהני רק בשוחט במקום שחיטה, שאם שחט את רוב הקנה חשיב ששחט את כולו, אבל אין כח בדין רובו ככולו להחשיב שיהיה מקום כשר לשחיטה.</w:t>
      </w:r>
      <w:bookmarkEnd w:id="12163"/>
    </w:p>
    <w:p w14:paraId="21A9F8BB" w14:textId="77777777" w:rsidR="003D04E6" w:rsidRPr="00226F80" w:rsidRDefault="003D04E6" w:rsidP="006D6D32">
      <w:pPr>
        <w:pStyle w:val="a3"/>
      </w:pPr>
      <w:bookmarkStart w:id="12164" w:name="_Toc531817611"/>
      <w:bookmarkStart w:id="12165" w:name="_Toc531819711"/>
      <w:bookmarkStart w:id="12166" w:name="_Toc19390604"/>
      <w:bookmarkStart w:id="12167" w:name="_Toc19394101"/>
      <w:r>
        <w:rPr>
          <w:rFonts w:hint="cs"/>
          <w:rtl/>
        </w:rPr>
        <w:t>דברי רש"י דדין רובו ככולו לא מהני להחשיב את מקום שאר הטבעות למקום שחיטה</w:t>
      </w:r>
      <w:bookmarkEnd w:id="12164"/>
      <w:bookmarkEnd w:id="12165"/>
      <w:bookmarkEnd w:id="12166"/>
      <w:bookmarkEnd w:id="12167"/>
    </w:p>
    <w:p w14:paraId="10B7D083" w14:textId="77777777" w:rsidR="003D04E6" w:rsidRDefault="003D04E6" w:rsidP="00223668">
      <w:pPr>
        <w:pStyle w:val="a0"/>
        <w:rPr>
          <w:rtl/>
        </w:rPr>
      </w:pPr>
      <w:bookmarkStart w:id="12168" w:name="_Ref531813164"/>
      <w:r>
        <w:rPr>
          <w:rFonts w:hint="cs"/>
          <w:rtl/>
        </w:rPr>
        <w:t xml:space="preserve">וכתב </w:t>
      </w:r>
      <w:r w:rsidRPr="00091EBE">
        <w:rPr>
          <w:rStyle w:val="af9"/>
          <w:rFonts w:hint="cs"/>
          <w:rtl/>
        </w:rPr>
        <w:t>רש"י</w:t>
      </w:r>
      <w:r>
        <w:rPr>
          <w:rFonts w:hint="cs"/>
          <w:rtl/>
        </w:rPr>
        <w:t xml:space="preserve"> דלכן בטבעת הגדולה שהיא מקיפה את כל הקנה, יש לטבעת עצמה דין קנה, ומהני שחיטת רובה, אבל המקום של שאר הטבעות שאינם מקיפות את כל הקנה, אינו נקרא קנה, </w:t>
      </w:r>
      <w:r w:rsidRPr="006C7036">
        <w:rPr>
          <w:rStyle w:val="afb"/>
          <w:rFonts w:hint="cs"/>
          <w:rtl/>
        </w:rPr>
        <w:t xml:space="preserve">[ואף אם שחט את כל הסימן במקום הטבעת, שחיטתו פסולה], </w:t>
      </w:r>
      <w:r>
        <w:rPr>
          <w:rFonts w:hint="cs"/>
          <w:rtl/>
        </w:rPr>
        <w:t xml:space="preserve">דדין רובו ככולו לא מהני להחשיב את שאר הטבעות למקום שחיטה, והוסיף </w:t>
      </w:r>
      <w:r w:rsidRPr="006C7036">
        <w:rPr>
          <w:rStyle w:val="af9"/>
          <w:rFonts w:hint="cs"/>
          <w:rtl/>
        </w:rPr>
        <w:t>רש"י</w:t>
      </w:r>
      <w:r>
        <w:rPr>
          <w:rFonts w:hint="cs"/>
          <w:rtl/>
        </w:rPr>
        <w:t xml:space="preserve"> דמדברי רב ושמואל דאמרי דשאר הטבעות לא חשיבא קנה,</w:t>
      </w:r>
      <w:r w:rsidRPr="00763C38">
        <w:rPr>
          <w:rFonts w:hint="cs"/>
          <w:rtl/>
        </w:rPr>
        <w:t xml:space="preserve"> </w:t>
      </w:r>
      <w:r>
        <w:rPr>
          <w:rFonts w:hint="cs"/>
          <w:rtl/>
        </w:rPr>
        <w:t>מבואר דהקרום שבתוך הטבעת הוא נקרא קנה.</w:t>
      </w:r>
      <w:bookmarkEnd w:id="12168"/>
    </w:p>
    <w:p w14:paraId="76C6FC5E" w14:textId="77777777" w:rsidR="003D04E6" w:rsidRDefault="003D04E6" w:rsidP="006D6D32">
      <w:pPr>
        <w:pStyle w:val="a3"/>
        <w:rPr>
          <w:rtl/>
        </w:rPr>
      </w:pPr>
      <w:bookmarkStart w:id="12169" w:name="_Toc531817612"/>
      <w:bookmarkStart w:id="12170" w:name="_Toc531819712"/>
      <w:bookmarkStart w:id="12171" w:name="_Toc19390605"/>
      <w:bookmarkStart w:id="12172" w:name="_Toc19394102"/>
      <w:r>
        <w:rPr>
          <w:rFonts w:hint="cs"/>
          <w:rtl/>
        </w:rPr>
        <w:t>ביאור השיטמ"ק ברש"י דבמקום שאר הטבעות הקרום שנקרא קנה בטל לטבעת ואינו מקום שחיטה</w:t>
      </w:r>
      <w:bookmarkEnd w:id="12169"/>
      <w:bookmarkEnd w:id="12170"/>
      <w:bookmarkEnd w:id="12171"/>
      <w:bookmarkEnd w:id="12172"/>
    </w:p>
    <w:p w14:paraId="4ACC86A0" w14:textId="77777777" w:rsidR="003D04E6" w:rsidRPr="00D70E3B" w:rsidRDefault="003D04E6" w:rsidP="00223668">
      <w:pPr>
        <w:pStyle w:val="a0"/>
        <w:rPr>
          <w:rtl/>
        </w:rPr>
      </w:pPr>
      <w:r w:rsidRPr="00D70E3B">
        <w:rPr>
          <w:rFonts w:hint="cs"/>
          <w:rtl/>
        </w:rPr>
        <w:t xml:space="preserve">וביאר </w:t>
      </w:r>
      <w:r w:rsidRPr="00D70E3B">
        <w:rPr>
          <w:rStyle w:val="af9"/>
          <w:rFonts w:hint="cs"/>
          <w:rtl/>
        </w:rPr>
        <w:t>השיטמ"ק</w:t>
      </w:r>
      <w:r w:rsidRPr="00D70E3B">
        <w:rPr>
          <w:rFonts w:hint="cs"/>
          <w:rtl/>
        </w:rPr>
        <w:t xml:space="preserve"> </w:t>
      </w:r>
      <w:r w:rsidRPr="00D70E3B">
        <w:rPr>
          <w:rStyle w:val="af7"/>
          <w:rFonts w:eastAsia="Guttman Hodes" w:hint="cs"/>
          <w:rtl/>
        </w:rPr>
        <w:t>(ד"ה וא"ת מהאי)</w:t>
      </w:r>
      <w:r w:rsidRPr="00D70E3B">
        <w:rPr>
          <w:rFonts w:hint="cs"/>
          <w:rtl/>
        </w:rPr>
        <w:t xml:space="preserve"> דאף שבתוך הטבעות יש את הקרום שהוא נקרא קנה, מ"מ ס"ל </w:t>
      </w:r>
      <w:r w:rsidRPr="00D70E3B">
        <w:rPr>
          <w:rStyle w:val="af9"/>
          <w:rFonts w:hint="cs"/>
          <w:rtl/>
        </w:rPr>
        <w:t>לרש"י</w:t>
      </w:r>
      <w:r w:rsidRPr="00D70E3B">
        <w:rPr>
          <w:rFonts w:hint="cs"/>
          <w:rtl/>
        </w:rPr>
        <w:t xml:space="preserve"> </w:t>
      </w:r>
      <w:r>
        <w:rPr>
          <w:rFonts w:hint="cs"/>
          <w:rtl/>
        </w:rPr>
        <w:t>דכיון שהטבעות אינם מקיפות את כל הקנה, חשיבי הטבעות והקרום כב' גופים שכ"א עומד בפנ"ע, ושחיטת הטבעות לא חשיבא כשחיטת הקרום, ובקרום עצמו לא מהני שחיטה,</w:t>
      </w:r>
      <w:r w:rsidRPr="00D70E3B">
        <w:rPr>
          <w:rFonts w:hint="cs"/>
          <w:rtl/>
        </w:rPr>
        <w:t xml:space="preserve"> דהקרום </w:t>
      </w:r>
      <w:r>
        <w:rPr>
          <w:rFonts w:hint="cs"/>
          <w:rtl/>
        </w:rPr>
        <w:t>קליש טובא ו</w:t>
      </w:r>
      <w:r w:rsidRPr="00D70E3B">
        <w:rPr>
          <w:rFonts w:hint="cs"/>
          <w:rtl/>
        </w:rPr>
        <w:t xml:space="preserve">בטל לטבעות, ולכן א"א לשחוט במקום שאר הטבעות. </w:t>
      </w:r>
    </w:p>
    <w:p w14:paraId="2355984B" w14:textId="77777777" w:rsidR="003D04E6" w:rsidRPr="00B16007" w:rsidRDefault="003D04E6" w:rsidP="006D6D32">
      <w:pPr>
        <w:pStyle w:val="a3"/>
      </w:pPr>
      <w:bookmarkStart w:id="12173" w:name="_Toc531817613"/>
      <w:bookmarkStart w:id="12174" w:name="_Toc531819713"/>
      <w:bookmarkStart w:id="12175" w:name="_Toc19390606"/>
      <w:bookmarkStart w:id="12176" w:name="_Toc19394103"/>
      <w:r>
        <w:rPr>
          <w:rFonts w:hint="cs"/>
          <w:rtl/>
        </w:rPr>
        <w:t>דברי רש"י דמוגרמת דרב ושמואל היינו ששחט שלא במקום שחיטה</w:t>
      </w:r>
      <w:bookmarkEnd w:id="12173"/>
      <w:bookmarkEnd w:id="12174"/>
      <w:bookmarkEnd w:id="12175"/>
      <w:bookmarkEnd w:id="12176"/>
    </w:p>
    <w:p w14:paraId="25C04BDD" w14:textId="77777777" w:rsidR="003D04E6" w:rsidRDefault="003D04E6" w:rsidP="00223668">
      <w:pPr>
        <w:pStyle w:val="a0"/>
        <w:rPr>
          <w:rtl/>
        </w:rPr>
      </w:pPr>
      <w:bookmarkStart w:id="12177" w:name="_Ref531638008"/>
      <w:r>
        <w:rPr>
          <w:rFonts w:hint="cs"/>
          <w:rtl/>
        </w:rPr>
        <w:t xml:space="preserve">וביאר </w:t>
      </w:r>
      <w:r w:rsidRPr="007E3FB1">
        <w:rPr>
          <w:rStyle w:val="af9"/>
          <w:rFonts w:hint="cs"/>
          <w:rtl/>
        </w:rPr>
        <w:t>רש"י</w:t>
      </w:r>
      <w:r>
        <w:rPr>
          <w:rFonts w:hint="cs"/>
          <w:rtl/>
        </w:rPr>
        <w:t xml:space="preserve"> </w:t>
      </w:r>
      <w:r w:rsidRPr="007E3FB1">
        <w:rPr>
          <w:rStyle w:val="af7"/>
          <w:rFonts w:eastAsia="Guttman Hodes" w:hint="cs"/>
          <w:rtl/>
        </w:rPr>
        <w:t xml:space="preserve">(יח: ד"ה ומוגרמת) </w:t>
      </w:r>
      <w:r>
        <w:rPr>
          <w:rFonts w:hint="cs"/>
          <w:rtl/>
        </w:rPr>
        <w:t xml:space="preserve">דהא דאכל רבי זירא מוגרמת דרב ושמואל, היינו בשחיטה בתוך שאר הטבעות דלרב ושמואל אי"ז מקום שחיטה, דכל שאינו במקום שחיטה נקרא הגרמה, </w:t>
      </w:r>
      <w:r w:rsidRPr="000D354C">
        <w:rPr>
          <w:rStyle w:val="afb"/>
          <w:rFonts w:hint="cs"/>
          <w:rtl/>
        </w:rPr>
        <w:t>[א</w:t>
      </w:r>
      <w:r w:rsidRPr="007E3FB1">
        <w:rPr>
          <w:rStyle w:val="afb"/>
          <w:rFonts w:hint="cs"/>
          <w:rtl/>
        </w:rPr>
        <w:t>ף שאינו הגרמה למעלה ממקום שחיטה]</w:t>
      </w:r>
      <w:r>
        <w:rPr>
          <w:rFonts w:hint="cs"/>
          <w:rtl/>
        </w:rPr>
        <w:t>.</w:t>
      </w:r>
      <w:bookmarkEnd w:id="12177"/>
    </w:p>
    <w:p w14:paraId="5D2B3639" w14:textId="77777777" w:rsidR="003D04E6" w:rsidRDefault="003D04E6" w:rsidP="006D6D32">
      <w:pPr>
        <w:pStyle w:val="a3"/>
        <w:rPr>
          <w:rtl/>
        </w:rPr>
      </w:pPr>
      <w:bookmarkStart w:id="12178" w:name="_Toc531817614"/>
      <w:bookmarkStart w:id="12179" w:name="_Toc531819714"/>
      <w:bookmarkStart w:id="12180" w:name="_Toc19390607"/>
      <w:bookmarkStart w:id="12181" w:name="_Toc19394104"/>
      <w:r>
        <w:rPr>
          <w:rFonts w:hint="cs"/>
          <w:rtl/>
        </w:rPr>
        <w:t>ביאור הרמב"ן ברש"י דרב ושמואל פסלי דאינו מקום שחיטה ולא מדין הגרמה</w:t>
      </w:r>
      <w:bookmarkEnd w:id="12178"/>
      <w:bookmarkEnd w:id="12179"/>
      <w:bookmarkEnd w:id="12180"/>
      <w:bookmarkEnd w:id="12181"/>
    </w:p>
    <w:p w14:paraId="5DCC19D9" w14:textId="77777777" w:rsidR="003D04E6" w:rsidRDefault="003D04E6" w:rsidP="00223668">
      <w:pPr>
        <w:pStyle w:val="a0"/>
        <w:rPr>
          <w:rtl/>
        </w:rPr>
      </w:pPr>
      <w:r>
        <w:rPr>
          <w:rFonts w:hint="cs"/>
          <w:rtl/>
        </w:rPr>
        <w:t xml:space="preserve">ביאר </w:t>
      </w:r>
      <w:r w:rsidRPr="00602B87">
        <w:rPr>
          <w:rStyle w:val="af9"/>
          <w:rFonts w:hint="cs"/>
          <w:rtl/>
        </w:rPr>
        <w:t>הרמב"ן</w:t>
      </w:r>
      <w:r>
        <w:rPr>
          <w:rFonts w:hint="cs"/>
          <w:rtl/>
        </w:rPr>
        <w:t xml:space="preserve"> </w:t>
      </w:r>
      <w:r w:rsidRPr="00602B87">
        <w:rPr>
          <w:rStyle w:val="af7"/>
          <w:rFonts w:eastAsia="Guttman Hodes" w:hint="cs"/>
          <w:rtl/>
        </w:rPr>
        <w:t>(ד"ה ואף)</w:t>
      </w:r>
      <w:r>
        <w:rPr>
          <w:rFonts w:hint="cs"/>
          <w:rtl/>
        </w:rPr>
        <w:t xml:space="preserve"> דכוונת </w:t>
      </w:r>
      <w:r w:rsidRPr="00602B87">
        <w:rPr>
          <w:rStyle w:val="af9"/>
          <w:rFonts w:hint="cs"/>
          <w:rtl/>
        </w:rPr>
        <w:t>רש"י</w:t>
      </w:r>
      <w:r>
        <w:rPr>
          <w:rFonts w:hint="cs"/>
          <w:rtl/>
        </w:rPr>
        <w:t xml:space="preserve"> </w:t>
      </w:r>
      <w:r w:rsidRPr="00602B87">
        <w:rPr>
          <w:rStyle w:val="af7"/>
          <w:rFonts w:eastAsia="Guttman Hodes" w:hint="cs"/>
          <w:rtl/>
        </w:rPr>
        <w:t xml:space="preserve">(עי' </w:t>
      </w:r>
      <w:r w:rsidRPr="002175D2">
        <w:rPr>
          <w:rStyle w:val="af7"/>
          <w:rFonts w:eastAsia="Guttman Hodes" w:hint="cs"/>
          <w:rtl/>
        </w:rPr>
        <w:t xml:space="preserve">אות </w:t>
      </w:r>
      <w:r w:rsidRPr="002175D2">
        <w:rPr>
          <w:rStyle w:val="af7"/>
          <w:rFonts w:eastAsia="Guttman Hodes"/>
          <w:rtl/>
        </w:rPr>
        <w:fldChar w:fldCharType="begin"/>
      </w:r>
      <w:r w:rsidRPr="002175D2">
        <w:rPr>
          <w:rStyle w:val="af7"/>
          <w:rFonts w:eastAsia="Guttman Hodes"/>
          <w:rtl/>
        </w:rPr>
        <w:instrText xml:space="preserve"> </w:instrText>
      </w:r>
      <w:r w:rsidRPr="002175D2">
        <w:rPr>
          <w:rStyle w:val="af7"/>
          <w:rFonts w:eastAsia="Guttman Hodes" w:hint="cs"/>
        </w:rPr>
        <w:instrText>REF</w:instrText>
      </w:r>
      <w:r w:rsidRPr="002175D2">
        <w:rPr>
          <w:rStyle w:val="af7"/>
          <w:rFonts w:eastAsia="Guttman Hodes" w:hint="cs"/>
          <w:rtl/>
        </w:rPr>
        <w:instrText xml:space="preserve"> _</w:instrText>
      </w:r>
      <w:r w:rsidRPr="002175D2">
        <w:rPr>
          <w:rStyle w:val="af7"/>
          <w:rFonts w:eastAsia="Guttman Hodes" w:hint="cs"/>
        </w:rPr>
        <w:instrText>Ref531813164 \r \h</w:instrText>
      </w:r>
      <w:r w:rsidRPr="002175D2">
        <w:rPr>
          <w:rStyle w:val="af7"/>
          <w:rFonts w:eastAsia="Guttman Hodes"/>
          <w:rtl/>
        </w:rPr>
        <w:instrText xml:space="preserve"> </w:instrText>
      </w:r>
      <w:r w:rsidRPr="002175D2">
        <w:rPr>
          <w:rStyle w:val="af7"/>
          <w:rFonts w:eastAsia="Guttman Hodes"/>
          <w:rtl/>
        </w:rPr>
      </w:r>
      <w:r w:rsidRPr="002175D2">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sidRPr="002175D2">
        <w:rPr>
          <w:rStyle w:val="af7"/>
          <w:rFonts w:eastAsia="Guttman Hodes"/>
          <w:rtl/>
        </w:rPr>
        <w:fldChar w:fldCharType="end"/>
      </w:r>
      <w:r>
        <w:rPr>
          <w:rFonts w:hint="cs"/>
          <w:rtl/>
        </w:rPr>
        <w:t xml:space="preserve"> לומר דרב ושמואל לא פסלי בשאר הטבעות מדין הגרמה, אלא מחמת שאינו מקום שחיטה, וכתב </w:t>
      </w:r>
      <w:r w:rsidRPr="00602B87">
        <w:rPr>
          <w:rStyle w:val="af9"/>
          <w:rFonts w:hint="cs"/>
          <w:rtl/>
        </w:rPr>
        <w:t>הרמב"ן</w:t>
      </w:r>
      <w:r>
        <w:rPr>
          <w:rFonts w:hint="cs"/>
          <w:rtl/>
        </w:rPr>
        <w:t xml:space="preserve"> דלכן ביאר </w:t>
      </w:r>
      <w:r w:rsidRPr="00602B87">
        <w:rPr>
          <w:rStyle w:val="af9"/>
          <w:rFonts w:hint="cs"/>
          <w:rtl/>
        </w:rPr>
        <w:t>רש"י</w:t>
      </w:r>
      <w:r>
        <w:rPr>
          <w:rFonts w:hint="cs"/>
          <w:rtl/>
        </w:rPr>
        <w:t xml:space="preserve"> </w:t>
      </w:r>
      <w:r w:rsidRPr="00602B87">
        <w:rPr>
          <w:rStyle w:val="af7"/>
          <w:rFonts w:eastAsia="Guttman Hodes" w:hint="cs"/>
          <w:rtl/>
        </w:rPr>
        <w:t xml:space="preserve">(עי' אות </w:t>
      </w:r>
      <w:r w:rsidRPr="00602B87">
        <w:rPr>
          <w:rStyle w:val="af7"/>
          <w:rFonts w:eastAsia="Guttman Hodes"/>
          <w:rtl/>
        </w:rPr>
        <w:fldChar w:fldCharType="begin"/>
      </w:r>
      <w:r w:rsidRPr="00602B87">
        <w:rPr>
          <w:rStyle w:val="af7"/>
          <w:rFonts w:eastAsia="Guttman Hodes"/>
          <w:rtl/>
        </w:rPr>
        <w:instrText xml:space="preserve"> </w:instrText>
      </w:r>
      <w:r w:rsidRPr="00602B87">
        <w:rPr>
          <w:rStyle w:val="af7"/>
          <w:rFonts w:eastAsia="Guttman Hodes" w:hint="cs"/>
        </w:rPr>
        <w:instrText>REF</w:instrText>
      </w:r>
      <w:r w:rsidRPr="00602B87">
        <w:rPr>
          <w:rStyle w:val="af7"/>
          <w:rFonts w:eastAsia="Guttman Hodes" w:hint="cs"/>
          <w:rtl/>
        </w:rPr>
        <w:instrText xml:space="preserve"> _</w:instrText>
      </w:r>
      <w:r w:rsidRPr="00602B87">
        <w:rPr>
          <w:rStyle w:val="af7"/>
          <w:rFonts w:eastAsia="Guttman Hodes" w:hint="cs"/>
        </w:rPr>
        <w:instrText>Ref531638008 \r \h</w:instrText>
      </w:r>
      <w:r w:rsidRPr="00602B87">
        <w:rPr>
          <w:rStyle w:val="af7"/>
          <w:rFonts w:eastAsia="Guttman Hodes"/>
          <w:rtl/>
        </w:rPr>
        <w:instrText xml:space="preserve"> </w:instrText>
      </w:r>
      <w:r w:rsidRPr="00602B87">
        <w:rPr>
          <w:rStyle w:val="af7"/>
          <w:rFonts w:eastAsia="Guttman Hodes"/>
          <w:rtl/>
        </w:rPr>
      </w:r>
      <w:r w:rsidRPr="00602B87">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sidRPr="00602B87">
        <w:rPr>
          <w:rStyle w:val="af7"/>
          <w:rFonts w:eastAsia="Guttman Hodes"/>
          <w:rtl/>
        </w:rPr>
        <w:fldChar w:fldCharType="end"/>
      </w:r>
      <w:r>
        <w:rPr>
          <w:rFonts w:hint="cs"/>
          <w:rtl/>
        </w:rPr>
        <w:t xml:space="preserve"> דמוגרמת דרב ושמואל אין הכוונה לדין הגרמה, אלא שיצא ממקום שחיטה, והביא </w:t>
      </w:r>
      <w:r w:rsidRPr="00602B87">
        <w:rPr>
          <w:rStyle w:val="af9"/>
          <w:rFonts w:hint="cs"/>
          <w:rtl/>
        </w:rPr>
        <w:t>הרמב"ן</w:t>
      </w:r>
      <w:r>
        <w:rPr>
          <w:rFonts w:hint="cs"/>
          <w:rtl/>
        </w:rPr>
        <w:t xml:space="preserve"> את דברי </w:t>
      </w:r>
      <w:r w:rsidRPr="00602B87">
        <w:rPr>
          <w:rStyle w:val="af9"/>
          <w:rFonts w:hint="cs"/>
          <w:rtl/>
        </w:rPr>
        <w:t>רש"י בב"ק</w:t>
      </w:r>
      <w:r>
        <w:rPr>
          <w:rFonts w:hint="cs"/>
          <w:rtl/>
        </w:rPr>
        <w:t xml:space="preserve"> </w:t>
      </w:r>
      <w:r w:rsidRPr="00602B87">
        <w:rPr>
          <w:rStyle w:val="af7"/>
          <w:rFonts w:eastAsia="Guttman Hodes" w:hint="cs"/>
          <w:rtl/>
        </w:rPr>
        <w:t xml:space="preserve">(עי' אות </w:t>
      </w:r>
      <w:r w:rsidRPr="00602B87">
        <w:rPr>
          <w:rStyle w:val="af7"/>
          <w:rFonts w:eastAsia="Guttman Hodes"/>
          <w:rtl/>
        </w:rPr>
        <w:fldChar w:fldCharType="begin"/>
      </w:r>
      <w:r w:rsidRPr="00602B87">
        <w:rPr>
          <w:rStyle w:val="af7"/>
          <w:rFonts w:eastAsia="Guttman Hodes"/>
          <w:rtl/>
        </w:rPr>
        <w:instrText xml:space="preserve"> </w:instrText>
      </w:r>
      <w:r w:rsidRPr="00602B87">
        <w:rPr>
          <w:rStyle w:val="af7"/>
          <w:rFonts w:eastAsia="Guttman Hodes" w:hint="cs"/>
        </w:rPr>
        <w:instrText>REF</w:instrText>
      </w:r>
      <w:r w:rsidRPr="00602B87">
        <w:rPr>
          <w:rStyle w:val="af7"/>
          <w:rFonts w:eastAsia="Guttman Hodes" w:hint="cs"/>
          <w:rtl/>
        </w:rPr>
        <w:instrText xml:space="preserve"> _</w:instrText>
      </w:r>
      <w:r w:rsidRPr="00602B87">
        <w:rPr>
          <w:rStyle w:val="af7"/>
          <w:rFonts w:eastAsia="Guttman Hodes" w:hint="cs"/>
        </w:rPr>
        <w:instrText>Ref531709262 \r \h</w:instrText>
      </w:r>
      <w:r w:rsidRPr="00602B87">
        <w:rPr>
          <w:rStyle w:val="af7"/>
          <w:rFonts w:eastAsia="Guttman Hodes"/>
          <w:rtl/>
        </w:rPr>
        <w:instrText xml:space="preserve"> </w:instrText>
      </w:r>
      <w:r w:rsidRPr="00602B87">
        <w:rPr>
          <w:rStyle w:val="af7"/>
          <w:rFonts w:eastAsia="Guttman Hodes"/>
          <w:rtl/>
        </w:rPr>
      </w:r>
      <w:r w:rsidRPr="00602B87">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602B87">
        <w:rPr>
          <w:rStyle w:val="af7"/>
          <w:rFonts w:eastAsia="Guttman Hodes"/>
          <w:rtl/>
        </w:rPr>
        <w:fldChar w:fldCharType="end"/>
      </w:r>
      <w:r>
        <w:rPr>
          <w:rFonts w:hint="cs"/>
          <w:rtl/>
        </w:rPr>
        <w:t xml:space="preserve"> דכתב דמוגרמת היינו ששחט מתוך אחת מהטבעות ויצא לבין הטבעות.</w:t>
      </w:r>
    </w:p>
    <w:p w14:paraId="7A087E4F" w14:textId="77777777" w:rsidR="003D04E6" w:rsidRPr="009A460D" w:rsidRDefault="003D04E6" w:rsidP="006D6D32">
      <w:pPr>
        <w:pStyle w:val="a3"/>
        <w:rPr>
          <w:rtl/>
        </w:rPr>
      </w:pPr>
      <w:bookmarkStart w:id="12182" w:name="_Toc531817615"/>
      <w:bookmarkStart w:id="12183" w:name="_Toc531819715"/>
      <w:bookmarkStart w:id="12184" w:name="_Toc19390608"/>
      <w:bookmarkStart w:id="12185" w:name="_Toc19394105"/>
      <w:r>
        <w:rPr>
          <w:rFonts w:hint="cs"/>
          <w:rtl/>
        </w:rPr>
        <w:t>ביאור רש"י דלרבר"י ע"י שרוב הטבעת מקיפה את הקנה חשיב מקום שחיטה מדין רובו ככולו</w:t>
      </w:r>
      <w:bookmarkEnd w:id="12182"/>
      <w:bookmarkEnd w:id="12183"/>
      <w:bookmarkEnd w:id="12184"/>
      <w:bookmarkEnd w:id="12185"/>
    </w:p>
    <w:p w14:paraId="32E28CCB" w14:textId="77777777" w:rsidR="003D04E6" w:rsidRPr="00787D8E" w:rsidRDefault="003D04E6" w:rsidP="00223668">
      <w:pPr>
        <w:pStyle w:val="a0"/>
        <w:rPr>
          <w:rtl/>
        </w:rPr>
      </w:pPr>
      <w:bookmarkStart w:id="12186" w:name="_Ref531552917"/>
      <w:r>
        <w:rPr>
          <w:rFonts w:hint="cs"/>
          <w:rtl/>
        </w:rPr>
        <w:t>ובדעת ריבר</w:t>
      </w:r>
      <w:r>
        <w:rPr>
          <w:rtl/>
        </w:rPr>
        <w:t>"</w:t>
      </w:r>
      <w:r>
        <w:rPr>
          <w:rFonts w:hint="cs"/>
          <w:rtl/>
        </w:rPr>
        <w:t xml:space="preserve">י בתוספתא ביאר </w:t>
      </w:r>
      <w:r w:rsidRPr="005F7811">
        <w:rPr>
          <w:rStyle w:val="af9"/>
          <w:rFonts w:hint="cs"/>
          <w:rtl/>
        </w:rPr>
        <w:t>רש"י</w:t>
      </w:r>
      <w:r>
        <w:rPr>
          <w:rFonts w:hint="cs"/>
          <w:rtl/>
        </w:rPr>
        <w:t xml:space="preserve"> </w:t>
      </w:r>
      <w:r w:rsidRPr="00CA46FE">
        <w:rPr>
          <w:rStyle w:val="af7"/>
          <w:rFonts w:eastAsia="Guttman Hodes" w:hint="cs"/>
          <w:rtl/>
        </w:rPr>
        <w:t xml:space="preserve">(יח: ד"ה תרתי) </w:t>
      </w:r>
      <w:r>
        <w:rPr>
          <w:rFonts w:hint="cs"/>
          <w:rtl/>
        </w:rPr>
        <w:t xml:space="preserve">דס"ל דדין רובו ככולו מהני לב' דברים, הא' דמהני שחיטת רוב שאר הקנה להחשיב ששחט את כל הסימן, והב' דכיון דשאר הטבעות מקיפות את רוב הקנה, מדין רובו ככולו יש להם דין קנה, ומקום שאר הטבעות חשיב כמקום שחיטה, ורב ושמואל סברי כוותיה בחדא, דשחיטת רוב סימן היא ככולו, ופליגי עליה בחדא, דע"י רובו ככולו לא חשיב מקום הטבעות כמקום שחיטה. וכתב </w:t>
      </w:r>
      <w:r w:rsidRPr="00A84BD1">
        <w:rPr>
          <w:rStyle w:val="af9"/>
          <w:rFonts w:hint="cs"/>
          <w:rtl/>
        </w:rPr>
        <w:t>הרשב"א</w:t>
      </w:r>
      <w:r w:rsidRPr="00CA46FE">
        <w:rPr>
          <w:rStyle w:val="af7"/>
          <w:rFonts w:eastAsia="Guttman Hodes" w:hint="cs"/>
          <w:rtl/>
        </w:rPr>
        <w:t xml:space="preserve"> (ד"ה ואף) </w:t>
      </w:r>
      <w:r>
        <w:rPr>
          <w:rFonts w:hint="cs"/>
          <w:rtl/>
        </w:rPr>
        <w:t xml:space="preserve">דלשון התוספתא משמע כדפירש </w:t>
      </w:r>
      <w:r w:rsidRPr="00A84BD1">
        <w:rPr>
          <w:rStyle w:val="af9"/>
          <w:rFonts w:hint="cs"/>
          <w:rtl/>
        </w:rPr>
        <w:t>רש"י</w:t>
      </w:r>
      <w:r>
        <w:rPr>
          <w:rFonts w:hint="cs"/>
          <w:rtl/>
        </w:rPr>
        <w:t>, דלדעת ריבר</w:t>
      </w:r>
      <w:r>
        <w:rPr>
          <w:rtl/>
        </w:rPr>
        <w:t>"</w:t>
      </w:r>
      <w:r>
        <w:rPr>
          <w:rFonts w:hint="cs"/>
          <w:rtl/>
        </w:rPr>
        <w:t>י ע"י שהטבעות מקיפות את רוב הקנה, הם נחשבות כמקום שחיטה ולכן שחיטתו כשרה.</w:t>
      </w:r>
      <w:bookmarkEnd w:id="12186"/>
    </w:p>
    <w:p w14:paraId="38401765" w14:textId="77777777" w:rsidR="003D04E6" w:rsidRDefault="003D04E6" w:rsidP="00BF39B2">
      <w:pPr>
        <w:pStyle w:val="1"/>
        <w:rPr>
          <w:rtl/>
        </w:rPr>
      </w:pPr>
      <w:bookmarkStart w:id="12187" w:name="_Toc531622052"/>
      <w:bookmarkStart w:id="12188" w:name="_Toc531629708"/>
      <w:bookmarkStart w:id="12189" w:name="_Toc531638980"/>
      <w:bookmarkStart w:id="12190" w:name="_Toc531776389"/>
      <w:bookmarkStart w:id="12191" w:name="_Toc531817616"/>
      <w:bookmarkStart w:id="12192" w:name="_Toc531819716"/>
      <w:bookmarkStart w:id="12193" w:name="_Toc19390609"/>
      <w:bookmarkStart w:id="12194" w:name="_Toc19394106"/>
      <w:r>
        <w:rPr>
          <w:rFonts w:hint="cs"/>
          <w:rtl/>
        </w:rPr>
        <w:t>דברי התוס' בביאור דברי רש"י</w:t>
      </w:r>
      <w:bookmarkEnd w:id="12187"/>
      <w:bookmarkEnd w:id="12188"/>
      <w:bookmarkEnd w:id="12189"/>
      <w:bookmarkEnd w:id="12190"/>
      <w:bookmarkEnd w:id="12191"/>
      <w:bookmarkEnd w:id="12192"/>
      <w:bookmarkEnd w:id="12193"/>
      <w:bookmarkEnd w:id="12194"/>
    </w:p>
    <w:p w14:paraId="0DCE5AC1" w14:textId="77777777" w:rsidR="003D04E6" w:rsidRPr="006243C0" w:rsidRDefault="003D04E6" w:rsidP="006D6D32">
      <w:pPr>
        <w:pStyle w:val="a3"/>
        <w:rPr>
          <w:rtl/>
        </w:rPr>
      </w:pPr>
      <w:bookmarkStart w:id="12195" w:name="_Toc531817617"/>
      <w:bookmarkStart w:id="12196" w:name="_Toc531819717"/>
      <w:bookmarkStart w:id="12197" w:name="_Toc19390610"/>
      <w:bookmarkStart w:id="12198" w:name="_Toc19394107"/>
      <w:r>
        <w:rPr>
          <w:rFonts w:hint="cs"/>
          <w:rtl/>
        </w:rPr>
        <w:t>דברי התוס' דלרש"י לרב ושמואל כ"ש דלדעת לרבנן שאר הטבעות אינו מקום שחיטה</w:t>
      </w:r>
      <w:bookmarkEnd w:id="12195"/>
      <w:bookmarkEnd w:id="12196"/>
      <w:bookmarkEnd w:id="12197"/>
      <w:bookmarkEnd w:id="12198"/>
    </w:p>
    <w:p w14:paraId="407C6884" w14:textId="77777777" w:rsidR="003D04E6" w:rsidRDefault="003D04E6" w:rsidP="00223668">
      <w:pPr>
        <w:pStyle w:val="a0"/>
        <w:rPr>
          <w:rtl/>
        </w:rPr>
      </w:pPr>
      <w:r>
        <w:rPr>
          <w:rFonts w:hint="cs"/>
          <w:rtl/>
        </w:rPr>
        <w:t xml:space="preserve">כתבו </w:t>
      </w:r>
      <w:r w:rsidRPr="009A460D">
        <w:rPr>
          <w:rStyle w:val="af9"/>
          <w:rFonts w:hint="cs"/>
          <w:rtl/>
        </w:rPr>
        <w:t>התוס'</w:t>
      </w:r>
      <w:r>
        <w:rPr>
          <w:rFonts w:hint="cs"/>
          <w:rtl/>
        </w:rPr>
        <w:t xml:space="preserve"> </w:t>
      </w:r>
      <w:r w:rsidRPr="009B43F4">
        <w:rPr>
          <w:rStyle w:val="af7"/>
          <w:rFonts w:eastAsia="Guttman Hodes" w:hint="cs"/>
          <w:rtl/>
        </w:rPr>
        <w:t>(ד"ה אבל)</w:t>
      </w:r>
      <w:r>
        <w:rPr>
          <w:rFonts w:hint="cs"/>
          <w:rtl/>
        </w:rPr>
        <w:t xml:space="preserve"> דלביאור </w:t>
      </w:r>
      <w:r w:rsidRPr="009A460D">
        <w:rPr>
          <w:rStyle w:val="af9"/>
          <w:rFonts w:hint="cs"/>
          <w:rtl/>
        </w:rPr>
        <w:t>רש"י</w:t>
      </w:r>
      <w:r>
        <w:rPr>
          <w:rFonts w:hint="cs"/>
          <w:rtl/>
        </w:rPr>
        <w:t xml:space="preserve"> </w:t>
      </w:r>
      <w:r w:rsidRPr="00537903">
        <w:rPr>
          <w:rStyle w:val="af7"/>
          <w:rFonts w:eastAsia="Guttman Hodes" w:hint="cs"/>
          <w:rtl/>
        </w:rPr>
        <w:t xml:space="preserve">(עי' אות </w:t>
      </w:r>
      <w:r w:rsidRPr="00537903">
        <w:rPr>
          <w:rStyle w:val="af7"/>
          <w:rFonts w:eastAsia="Guttman Hodes"/>
          <w:rtl/>
        </w:rPr>
        <w:fldChar w:fldCharType="begin"/>
      </w:r>
      <w:r w:rsidRPr="00537903">
        <w:rPr>
          <w:rStyle w:val="af7"/>
          <w:rFonts w:eastAsia="Guttman Hodes"/>
          <w:rtl/>
        </w:rPr>
        <w:instrText xml:space="preserve"> </w:instrText>
      </w:r>
      <w:r w:rsidRPr="00537903">
        <w:rPr>
          <w:rStyle w:val="af7"/>
          <w:rFonts w:eastAsia="Guttman Hodes" w:hint="cs"/>
        </w:rPr>
        <w:instrText>REF</w:instrText>
      </w:r>
      <w:r w:rsidRPr="00537903">
        <w:rPr>
          <w:rStyle w:val="af7"/>
          <w:rFonts w:eastAsia="Guttman Hodes" w:hint="cs"/>
          <w:rtl/>
        </w:rPr>
        <w:instrText xml:space="preserve"> _</w:instrText>
      </w:r>
      <w:r w:rsidRPr="00537903">
        <w:rPr>
          <w:rStyle w:val="af7"/>
          <w:rFonts w:eastAsia="Guttman Hodes" w:hint="cs"/>
        </w:rPr>
        <w:instrText>Ref531711285 \r \h</w:instrText>
      </w:r>
      <w:r w:rsidRPr="00537903">
        <w:rPr>
          <w:rStyle w:val="af7"/>
          <w:rFonts w:eastAsia="Guttman Hodes"/>
          <w:rtl/>
        </w:rPr>
        <w:instrText xml:space="preserve"> </w:instrText>
      </w:r>
      <w:r w:rsidRPr="00537903">
        <w:rPr>
          <w:rStyle w:val="af7"/>
          <w:rFonts w:eastAsia="Guttman Hodes"/>
          <w:rtl/>
        </w:rPr>
      </w:r>
      <w:r w:rsidRPr="00537903">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537903">
        <w:rPr>
          <w:rStyle w:val="af7"/>
          <w:rFonts w:eastAsia="Guttman Hodes"/>
          <w:rtl/>
        </w:rPr>
        <w:fldChar w:fldCharType="end"/>
      </w:r>
      <w:r>
        <w:rPr>
          <w:rFonts w:hint="cs"/>
          <w:rtl/>
        </w:rPr>
        <w:t xml:space="preserve"> בדעת רב ושמואל, כיון דס"ל דלריבר</w:t>
      </w:r>
      <w:r>
        <w:rPr>
          <w:rtl/>
        </w:rPr>
        <w:t>"</w:t>
      </w:r>
      <w:r>
        <w:rPr>
          <w:rFonts w:hint="cs"/>
          <w:rtl/>
        </w:rPr>
        <w:t>י רובו ככולו לא מהני להחשיב את שאר הטבעות למקום שחיטה, א"כ כ"ש לדעת רבנן, דשאר הטבעות לא חשיבי מקום שחיטה.</w:t>
      </w:r>
    </w:p>
    <w:p w14:paraId="7FC277F3" w14:textId="77777777" w:rsidR="003D04E6" w:rsidRPr="007D5A15" w:rsidRDefault="003D04E6" w:rsidP="006D6D32">
      <w:pPr>
        <w:pStyle w:val="a3"/>
      </w:pPr>
      <w:bookmarkStart w:id="12199" w:name="_Toc531817618"/>
      <w:bookmarkStart w:id="12200" w:name="_Toc531819718"/>
      <w:bookmarkStart w:id="12201" w:name="_Toc19390611"/>
      <w:bookmarkStart w:id="12202" w:name="_Toc19394108"/>
      <w:r>
        <w:rPr>
          <w:rFonts w:hint="cs"/>
          <w:rtl/>
        </w:rPr>
        <w:t>דברי התוס' והתוס' הרא"ש דלא קיי"ל כרב ושמואל בזה</w:t>
      </w:r>
      <w:bookmarkEnd w:id="12199"/>
      <w:bookmarkEnd w:id="12200"/>
      <w:bookmarkEnd w:id="12201"/>
      <w:bookmarkEnd w:id="12202"/>
    </w:p>
    <w:p w14:paraId="6280A9F9" w14:textId="77777777" w:rsidR="003D04E6" w:rsidRDefault="003D04E6" w:rsidP="00223668">
      <w:pPr>
        <w:pStyle w:val="a0"/>
        <w:rPr>
          <w:rtl/>
        </w:rPr>
      </w:pPr>
      <w:bookmarkStart w:id="12203" w:name="_Ref531616764"/>
      <w:r>
        <w:rPr>
          <w:rFonts w:hint="cs"/>
          <w:rtl/>
        </w:rPr>
        <w:t xml:space="preserve">וכתבו </w:t>
      </w:r>
      <w:r w:rsidRPr="009A460D">
        <w:rPr>
          <w:rStyle w:val="af9"/>
          <w:rFonts w:hint="cs"/>
          <w:rtl/>
        </w:rPr>
        <w:t>התוס'</w:t>
      </w:r>
      <w:r>
        <w:rPr>
          <w:rFonts w:hint="cs"/>
          <w:rtl/>
        </w:rPr>
        <w:t xml:space="preserve"> דהא דאין אנו נזהרין בזה, הוא כיון דלא קיי"ל כרב ושמואל בזה, אלא כתוספתא דמצות שחיטה מהטבעת עד הקנה, </w:t>
      </w:r>
      <w:r w:rsidRPr="009A460D">
        <w:rPr>
          <w:rStyle w:val="af9"/>
          <w:rFonts w:hint="cs"/>
          <w:rtl/>
        </w:rPr>
        <w:t>וכדפרש"י</w:t>
      </w:r>
      <w:r>
        <w:rPr>
          <w:rFonts w:hint="cs"/>
          <w:rtl/>
        </w:rPr>
        <w:t xml:space="preserve"> </w:t>
      </w:r>
      <w:r w:rsidRPr="009B6E2B">
        <w:rPr>
          <w:rStyle w:val="af7"/>
          <w:rFonts w:eastAsia="Guttman Hodes" w:hint="cs"/>
          <w:rtl/>
        </w:rPr>
        <w:t xml:space="preserve">(עי' אות </w:t>
      </w:r>
      <w:r w:rsidRPr="009B6E2B">
        <w:rPr>
          <w:rStyle w:val="af7"/>
          <w:rFonts w:eastAsia="Guttman Hodes"/>
          <w:rtl/>
        </w:rPr>
        <w:fldChar w:fldCharType="begin"/>
      </w:r>
      <w:r w:rsidRPr="009B6E2B">
        <w:rPr>
          <w:rStyle w:val="af7"/>
          <w:rFonts w:eastAsia="Guttman Hodes"/>
          <w:rtl/>
        </w:rPr>
        <w:instrText xml:space="preserve"> </w:instrText>
      </w:r>
      <w:r w:rsidRPr="009B6E2B">
        <w:rPr>
          <w:rStyle w:val="af7"/>
          <w:rFonts w:eastAsia="Guttman Hodes" w:hint="cs"/>
        </w:rPr>
        <w:instrText>REF</w:instrText>
      </w:r>
      <w:r w:rsidRPr="009B6E2B">
        <w:rPr>
          <w:rStyle w:val="af7"/>
          <w:rFonts w:eastAsia="Guttman Hodes" w:hint="cs"/>
          <w:rtl/>
        </w:rPr>
        <w:instrText xml:space="preserve"> _</w:instrText>
      </w:r>
      <w:r w:rsidRPr="009B6E2B">
        <w:rPr>
          <w:rStyle w:val="af7"/>
          <w:rFonts w:eastAsia="Guttman Hodes" w:hint="cs"/>
        </w:rPr>
        <w:instrText>Ref531539450 \r \h</w:instrText>
      </w:r>
      <w:r w:rsidRPr="009B6E2B">
        <w:rPr>
          <w:rStyle w:val="af7"/>
          <w:rFonts w:eastAsia="Guttman Hodes"/>
          <w:rtl/>
        </w:rPr>
        <w:instrText xml:space="preserve"> </w:instrText>
      </w:r>
      <w:r w:rsidRPr="009B6E2B">
        <w:rPr>
          <w:rStyle w:val="af7"/>
          <w:rFonts w:eastAsia="Guttman Hodes"/>
          <w:rtl/>
        </w:rPr>
      </w:r>
      <w:r w:rsidRPr="009B6E2B">
        <w:rPr>
          <w:rStyle w:val="af7"/>
          <w:rFonts w:eastAsia="Guttman Hodes"/>
          <w:rtl/>
        </w:rPr>
        <w:fldChar w:fldCharType="separate"/>
      </w:r>
      <w:r w:rsidR="00345400">
        <w:rPr>
          <w:rStyle w:val="af7"/>
          <w:rFonts w:eastAsia="Guttman Hodes"/>
          <w:cs/>
        </w:rPr>
        <w:t>‎</w:t>
      </w:r>
      <w:r w:rsidR="00345400">
        <w:rPr>
          <w:rStyle w:val="af7"/>
          <w:rFonts w:eastAsia="Guttman Hodes"/>
          <w:rtl/>
        </w:rPr>
        <w:t>יא)</w:t>
      </w:r>
      <w:r w:rsidRPr="009B6E2B">
        <w:rPr>
          <w:rStyle w:val="af7"/>
          <w:rFonts w:eastAsia="Guttman Hodes"/>
          <w:rtl/>
        </w:rPr>
        <w:fldChar w:fldCharType="end"/>
      </w:r>
      <w:r>
        <w:rPr>
          <w:rFonts w:hint="cs"/>
          <w:rtl/>
        </w:rPr>
        <w:t xml:space="preserve"> דהיא אליבא דריבר</w:t>
      </w:r>
      <w:r>
        <w:rPr>
          <w:rtl/>
        </w:rPr>
        <w:t>"</w:t>
      </w:r>
      <w:r>
        <w:rPr>
          <w:rFonts w:hint="cs"/>
          <w:rtl/>
        </w:rPr>
        <w:t xml:space="preserve">י דלמסקנא הוא מכשיר בשאר הטבעות, </w:t>
      </w:r>
      <w:r w:rsidRPr="000C4095">
        <w:rPr>
          <w:rStyle w:val="afb"/>
          <w:rFonts w:hint="cs"/>
          <w:rtl/>
        </w:rPr>
        <w:t xml:space="preserve">[ועי' במה שהקשו </w:t>
      </w:r>
      <w:r w:rsidRPr="000C4095">
        <w:rPr>
          <w:rStyle w:val="affa"/>
          <w:rFonts w:hint="cs"/>
          <w:rtl/>
        </w:rPr>
        <w:t>הרמב"ן והר"ן</w:t>
      </w:r>
      <w:r w:rsidRPr="000C4095">
        <w:rPr>
          <w:rStyle w:val="afb"/>
          <w:rFonts w:hint="cs"/>
          <w:rtl/>
        </w:rPr>
        <w:t xml:space="preserve"> </w:t>
      </w:r>
      <w:r w:rsidRPr="000C4095">
        <w:rPr>
          <w:rStyle w:val="aff6"/>
          <w:rFonts w:hint="cs"/>
          <w:rtl/>
        </w:rPr>
        <w:t xml:space="preserve">(עי' אות </w:t>
      </w:r>
      <w:r w:rsidRPr="000C4095">
        <w:rPr>
          <w:rStyle w:val="aff6"/>
          <w:rtl/>
        </w:rPr>
        <w:fldChar w:fldCharType="begin"/>
      </w:r>
      <w:r w:rsidRPr="000C4095">
        <w:rPr>
          <w:rStyle w:val="aff6"/>
          <w:rtl/>
        </w:rPr>
        <w:instrText xml:space="preserve"> </w:instrText>
      </w:r>
      <w:r w:rsidRPr="000C4095">
        <w:rPr>
          <w:rStyle w:val="aff6"/>
          <w:rFonts w:hint="cs"/>
        </w:rPr>
        <w:instrText>REF</w:instrText>
      </w:r>
      <w:r w:rsidRPr="000C4095">
        <w:rPr>
          <w:rStyle w:val="aff6"/>
          <w:rFonts w:hint="cs"/>
          <w:rtl/>
        </w:rPr>
        <w:instrText xml:space="preserve"> _</w:instrText>
      </w:r>
      <w:r w:rsidRPr="000C4095">
        <w:rPr>
          <w:rStyle w:val="aff6"/>
          <w:rFonts w:hint="cs"/>
        </w:rPr>
        <w:instrText>Ref531813673 \r \h</w:instrText>
      </w:r>
      <w:r w:rsidRPr="000C4095">
        <w:rPr>
          <w:rStyle w:val="aff6"/>
          <w:rtl/>
        </w:rPr>
        <w:instrText xml:space="preserve"> </w:instrText>
      </w:r>
      <w:r w:rsidRPr="000C4095">
        <w:rPr>
          <w:rStyle w:val="aff6"/>
          <w:rtl/>
        </w:rPr>
      </w:r>
      <w:r w:rsidRPr="000C4095">
        <w:rPr>
          <w:rStyle w:val="aff6"/>
          <w:rtl/>
        </w:rPr>
        <w:fldChar w:fldCharType="separate"/>
      </w:r>
      <w:r w:rsidR="00345400">
        <w:rPr>
          <w:rStyle w:val="aff6"/>
          <w:cs/>
        </w:rPr>
        <w:t>‎</w:t>
      </w:r>
      <w:r w:rsidR="00345400">
        <w:rPr>
          <w:rStyle w:val="aff6"/>
          <w:rtl/>
        </w:rPr>
        <w:t>מה)</w:t>
      </w:r>
      <w:r w:rsidRPr="000C4095">
        <w:rPr>
          <w:rStyle w:val="aff6"/>
          <w:rtl/>
        </w:rPr>
        <w:fldChar w:fldCharType="end"/>
      </w:r>
      <w:r w:rsidRPr="000C4095">
        <w:rPr>
          <w:rStyle w:val="afb"/>
          <w:rFonts w:hint="cs"/>
          <w:rtl/>
        </w:rPr>
        <w:t xml:space="preserve">], </w:t>
      </w:r>
      <w:r>
        <w:rPr>
          <w:rFonts w:hint="cs"/>
          <w:rtl/>
        </w:rPr>
        <w:t xml:space="preserve">והוסיף </w:t>
      </w:r>
      <w:r w:rsidRPr="009A460D">
        <w:rPr>
          <w:rStyle w:val="af9"/>
          <w:rFonts w:hint="cs"/>
          <w:rtl/>
        </w:rPr>
        <w:t>התוס' הרא"ש</w:t>
      </w:r>
      <w:r>
        <w:rPr>
          <w:rFonts w:hint="cs"/>
          <w:rtl/>
        </w:rPr>
        <w:t xml:space="preserve"> </w:t>
      </w:r>
      <w:r w:rsidRPr="009B43F4">
        <w:rPr>
          <w:rStyle w:val="af7"/>
          <w:rFonts w:eastAsia="Guttman Hodes" w:hint="cs"/>
          <w:rtl/>
        </w:rPr>
        <w:t>(ד"ה אבל</w:t>
      </w:r>
      <w:r>
        <w:rPr>
          <w:rStyle w:val="af7"/>
          <w:rFonts w:eastAsia="Guttman Hodes" w:hint="cs"/>
          <w:rtl/>
        </w:rPr>
        <w:t xml:space="preserve"> [הראשון]</w:t>
      </w:r>
      <w:r w:rsidRPr="009B43F4">
        <w:rPr>
          <w:rStyle w:val="af7"/>
          <w:rFonts w:eastAsia="Guttman Hodes" w:hint="cs"/>
          <w:rtl/>
        </w:rPr>
        <w:t>)</w:t>
      </w:r>
      <w:r>
        <w:rPr>
          <w:rFonts w:hint="cs"/>
          <w:rtl/>
        </w:rPr>
        <w:t xml:space="preserve"> דכיון שרבי חנינא התיר לשחוט אף למעלה מהטבעת הגדולה, כ"ש שמותר בשאר הטבעות, והמוגרמת של רב ושמואל שאכל רבי זירא, פירש </w:t>
      </w:r>
      <w:r w:rsidRPr="003916FA">
        <w:rPr>
          <w:rStyle w:val="af9"/>
          <w:rFonts w:hint="cs"/>
          <w:rtl/>
        </w:rPr>
        <w:t>רש"י</w:t>
      </w:r>
      <w:r>
        <w:rPr>
          <w:rFonts w:hint="cs"/>
          <w:rtl/>
        </w:rPr>
        <w:t xml:space="preserve"> </w:t>
      </w:r>
      <w:r w:rsidRPr="00660537">
        <w:rPr>
          <w:rStyle w:val="af7"/>
          <w:rFonts w:eastAsia="Guttman Hodes" w:hint="cs"/>
          <w:rtl/>
        </w:rPr>
        <w:t xml:space="preserve">(עי' אות </w:t>
      </w:r>
      <w:r w:rsidRPr="00660537">
        <w:rPr>
          <w:rStyle w:val="af7"/>
          <w:rFonts w:eastAsia="Guttman Hodes"/>
          <w:rtl/>
        </w:rPr>
        <w:fldChar w:fldCharType="begin"/>
      </w:r>
      <w:r w:rsidRPr="00660537">
        <w:rPr>
          <w:rStyle w:val="af7"/>
          <w:rFonts w:eastAsia="Guttman Hodes"/>
          <w:rtl/>
        </w:rPr>
        <w:instrText xml:space="preserve"> </w:instrText>
      </w:r>
      <w:r w:rsidRPr="00660537">
        <w:rPr>
          <w:rStyle w:val="af7"/>
          <w:rFonts w:eastAsia="Guttman Hodes" w:hint="cs"/>
        </w:rPr>
        <w:instrText>REF</w:instrText>
      </w:r>
      <w:r w:rsidRPr="00660537">
        <w:rPr>
          <w:rStyle w:val="af7"/>
          <w:rFonts w:eastAsia="Guttman Hodes" w:hint="cs"/>
          <w:rtl/>
        </w:rPr>
        <w:instrText xml:space="preserve"> _</w:instrText>
      </w:r>
      <w:r w:rsidRPr="00660537">
        <w:rPr>
          <w:rStyle w:val="af7"/>
          <w:rFonts w:eastAsia="Guttman Hodes" w:hint="cs"/>
        </w:rPr>
        <w:instrText>Ref531638008 \r \h</w:instrText>
      </w:r>
      <w:r w:rsidRPr="00660537">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660537">
        <w:rPr>
          <w:rStyle w:val="af7"/>
          <w:rFonts w:eastAsia="Guttman Hodes"/>
          <w:rtl/>
        </w:rPr>
      </w:r>
      <w:r w:rsidRPr="00660537">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sidRPr="00660537">
        <w:rPr>
          <w:rStyle w:val="af7"/>
          <w:rFonts w:eastAsia="Guttman Hodes"/>
          <w:rtl/>
        </w:rPr>
        <w:fldChar w:fldCharType="end"/>
      </w:r>
      <w:r>
        <w:rPr>
          <w:rFonts w:hint="cs"/>
          <w:rtl/>
        </w:rPr>
        <w:t xml:space="preserve"> דהיינו שנשחטה בשאר הטבעות, ולפי"ז למסקנא רב ושמואל ס"ל כרבנן, ולא קיי"ל כוותיהו, ועי' במה שהקשו </w:t>
      </w:r>
      <w:r w:rsidRPr="008E6210">
        <w:rPr>
          <w:rStyle w:val="af9"/>
          <w:rFonts w:hint="cs"/>
          <w:rtl/>
        </w:rPr>
        <w:t>הראש יוסף</w:t>
      </w:r>
      <w:r>
        <w:rPr>
          <w:rFonts w:hint="cs"/>
          <w:rtl/>
        </w:rPr>
        <w:t xml:space="preserve"> </w:t>
      </w:r>
      <w:r w:rsidRPr="008E6210">
        <w:rPr>
          <w:rStyle w:val="af7"/>
          <w:rFonts w:eastAsia="Guttman Hodes" w:hint="cs"/>
          <w:rtl/>
        </w:rPr>
        <w:t>(יח:</w:t>
      </w:r>
      <w:r>
        <w:rPr>
          <w:rStyle w:val="af7"/>
          <w:rFonts w:eastAsia="Guttman Hodes" w:hint="cs"/>
          <w:rtl/>
        </w:rPr>
        <w:t xml:space="preserve"> ד"ה אמנם)</w:t>
      </w:r>
      <w:r>
        <w:rPr>
          <w:rFonts w:hint="cs"/>
          <w:rtl/>
        </w:rPr>
        <w:t xml:space="preserve"> </w:t>
      </w:r>
      <w:r w:rsidRPr="00684E37">
        <w:rPr>
          <w:rStyle w:val="af9"/>
          <w:rFonts w:hint="cs"/>
          <w:rtl/>
        </w:rPr>
        <w:t>והתפארת יעקב</w:t>
      </w:r>
      <w:r>
        <w:rPr>
          <w:rFonts w:hint="cs"/>
          <w:rtl/>
        </w:rPr>
        <w:t xml:space="preserve"> </w:t>
      </w:r>
      <w:r w:rsidRPr="00684E37">
        <w:rPr>
          <w:rStyle w:val="af7"/>
          <w:rFonts w:eastAsia="Guttman Hodes" w:hint="cs"/>
          <w:rtl/>
        </w:rPr>
        <w:t>(על תוד"ה אבל)</w:t>
      </w:r>
      <w:r>
        <w:rPr>
          <w:rFonts w:hint="cs"/>
          <w:rtl/>
        </w:rPr>
        <w:t xml:space="preserve">, ועי' במה שביאר </w:t>
      </w:r>
      <w:r w:rsidRPr="009D579E">
        <w:rPr>
          <w:rStyle w:val="af9"/>
          <w:rFonts w:hint="cs"/>
          <w:rtl/>
        </w:rPr>
        <w:t>השיטמ"ק</w:t>
      </w:r>
      <w:r>
        <w:rPr>
          <w:rFonts w:hint="cs"/>
          <w:rtl/>
        </w:rPr>
        <w:t xml:space="preserve"> </w:t>
      </w:r>
      <w:r w:rsidRPr="009D579E">
        <w:rPr>
          <w:rStyle w:val="af7"/>
          <w:rFonts w:eastAsia="Guttman Hodes" w:hint="cs"/>
          <w:rtl/>
        </w:rPr>
        <w:t>(ד"ה ומ"מ קא)</w:t>
      </w:r>
      <w:r>
        <w:rPr>
          <w:rFonts w:hint="cs"/>
          <w:rtl/>
        </w:rPr>
        <w:t xml:space="preserve"> בשם </w:t>
      </w:r>
      <w:r w:rsidRPr="009D579E">
        <w:rPr>
          <w:rStyle w:val="af9"/>
          <w:rFonts w:hint="cs"/>
          <w:rtl/>
        </w:rPr>
        <w:t>התור"פ</w:t>
      </w:r>
      <w:r>
        <w:rPr>
          <w:rFonts w:hint="cs"/>
          <w:rtl/>
        </w:rPr>
        <w:t>.</w:t>
      </w:r>
      <w:bookmarkEnd w:id="12203"/>
    </w:p>
    <w:p w14:paraId="7D05A9AB" w14:textId="77777777" w:rsidR="003D04E6" w:rsidRPr="00FE37B3" w:rsidRDefault="003D04E6" w:rsidP="006D6D32">
      <w:pPr>
        <w:pStyle w:val="a3"/>
        <w:rPr>
          <w:rtl/>
        </w:rPr>
      </w:pPr>
      <w:bookmarkStart w:id="12204" w:name="_Toc531817619"/>
      <w:bookmarkStart w:id="12205" w:name="_Toc531819719"/>
      <w:bookmarkStart w:id="12206" w:name="_Toc19390612"/>
      <w:bookmarkStart w:id="12207" w:name="_Toc19394109"/>
      <w:r>
        <w:rPr>
          <w:rFonts w:hint="cs"/>
          <w:rtl/>
        </w:rPr>
        <w:t>ביאור התוס' והתוס' הרא"ש בתוספתא דמקום קנה היינו רק בין הטבעות</w:t>
      </w:r>
      <w:bookmarkEnd w:id="12204"/>
      <w:bookmarkEnd w:id="12205"/>
      <w:bookmarkEnd w:id="12206"/>
      <w:bookmarkEnd w:id="12207"/>
    </w:p>
    <w:p w14:paraId="5D4AFAC2" w14:textId="77777777" w:rsidR="003D04E6" w:rsidRDefault="003D04E6" w:rsidP="00223668">
      <w:pPr>
        <w:pStyle w:val="a0"/>
        <w:rPr>
          <w:rtl/>
        </w:rPr>
      </w:pPr>
      <w:bookmarkStart w:id="12208" w:name="_Ref531592282"/>
      <w:r>
        <w:rPr>
          <w:rFonts w:hint="cs"/>
          <w:rtl/>
        </w:rPr>
        <w:t>ועוד פירשו</w:t>
      </w:r>
      <w:r w:rsidRPr="009A460D">
        <w:rPr>
          <w:rStyle w:val="af9"/>
          <w:rFonts w:hint="cs"/>
          <w:rtl/>
        </w:rPr>
        <w:t xml:space="preserve"> התוס'</w:t>
      </w:r>
      <w:r>
        <w:rPr>
          <w:rFonts w:hint="cs"/>
          <w:rtl/>
        </w:rPr>
        <w:t xml:space="preserve"> </w:t>
      </w:r>
      <w:r w:rsidRPr="009460C6">
        <w:rPr>
          <w:rStyle w:val="af7"/>
          <w:rFonts w:eastAsia="Guttman Hodes" w:hint="cs"/>
          <w:rtl/>
        </w:rPr>
        <w:t>(ד"ה אבל)</w:t>
      </w:r>
      <w:r>
        <w:rPr>
          <w:rFonts w:hint="cs"/>
          <w:rtl/>
        </w:rPr>
        <w:t xml:space="preserve"> </w:t>
      </w:r>
      <w:r>
        <w:rPr>
          <w:rStyle w:val="af9"/>
          <w:rFonts w:hint="cs"/>
          <w:rtl/>
        </w:rPr>
        <w:t>ו</w:t>
      </w:r>
      <w:r w:rsidRPr="0003656A">
        <w:rPr>
          <w:rStyle w:val="af9"/>
          <w:rFonts w:hint="cs"/>
          <w:rtl/>
        </w:rPr>
        <w:t>התוס' הרא"ש</w:t>
      </w:r>
      <w:r>
        <w:rPr>
          <w:rFonts w:hint="cs"/>
          <w:rtl/>
        </w:rPr>
        <w:t xml:space="preserve"> </w:t>
      </w:r>
      <w:r w:rsidRPr="009B43F4">
        <w:rPr>
          <w:rStyle w:val="af7"/>
          <w:rFonts w:eastAsia="Guttman Hodes" w:hint="cs"/>
          <w:rtl/>
        </w:rPr>
        <w:t>(ד"ה אבל</w:t>
      </w:r>
      <w:r>
        <w:rPr>
          <w:rStyle w:val="af7"/>
          <w:rFonts w:eastAsia="Guttman Hodes" w:hint="cs"/>
          <w:rtl/>
        </w:rPr>
        <w:t xml:space="preserve"> [הראשון]</w:t>
      </w:r>
      <w:r w:rsidRPr="009B43F4">
        <w:rPr>
          <w:rStyle w:val="af7"/>
          <w:rFonts w:eastAsia="Guttman Hodes" w:hint="cs"/>
          <w:rtl/>
        </w:rPr>
        <w:t>)</w:t>
      </w:r>
      <w:r>
        <w:rPr>
          <w:rFonts w:hint="cs"/>
          <w:rtl/>
        </w:rPr>
        <w:t xml:space="preserve"> דכוונת התוספתא היא דבמקום קנה, דהיינו בין הטבעות כשר מטבעת הגדולה ועד הריאה, אבל בתוך שאר הטבעות אינו חשיב קנה כלל, וכוונת התוספתא לומר דבין הטבעת לריאה לא שייכא הגרמה כלל אם שוחט במקום הראוי לשחיטה,</w:t>
      </w:r>
      <w:r>
        <w:rPr>
          <w:rStyle w:val="af9"/>
          <w:rFonts w:hint="cs"/>
          <w:rtl/>
        </w:rPr>
        <w:t xml:space="preserve"> </w:t>
      </w:r>
      <w:r w:rsidRPr="009A460D">
        <w:rPr>
          <w:rStyle w:val="af9"/>
          <w:rFonts w:hint="cs"/>
          <w:rtl/>
        </w:rPr>
        <w:t>כדפרש"י</w:t>
      </w:r>
      <w:r>
        <w:rPr>
          <w:rFonts w:hint="cs"/>
          <w:rtl/>
        </w:rPr>
        <w:t xml:space="preserve"> </w:t>
      </w:r>
      <w:r w:rsidRPr="009460C6">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Ref531638008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Pr>
          <w:rStyle w:val="af7"/>
          <w:rFonts w:eastAsia="Guttman Hodes"/>
          <w:rtl/>
        </w:rPr>
        <w:fldChar w:fldCharType="end"/>
      </w:r>
      <w:r w:rsidRPr="009460C6">
        <w:rPr>
          <w:rStyle w:val="af7"/>
          <w:rFonts w:eastAsia="Guttman Hodes" w:hint="cs"/>
          <w:rtl/>
        </w:rPr>
        <w:t xml:space="preserve"> </w:t>
      </w:r>
      <w:bookmarkEnd w:id="12208"/>
      <w:r>
        <w:rPr>
          <w:rFonts w:hint="cs"/>
          <w:rtl/>
        </w:rPr>
        <w:t>ועוד הביא</w:t>
      </w:r>
      <w:r w:rsidRPr="0003656A">
        <w:rPr>
          <w:rStyle w:val="af9"/>
          <w:rFonts w:hint="cs"/>
          <w:rtl/>
        </w:rPr>
        <w:t xml:space="preserve"> התוס' הרא"ש</w:t>
      </w:r>
      <w:r>
        <w:rPr>
          <w:rFonts w:hint="cs"/>
          <w:rtl/>
        </w:rPr>
        <w:t xml:space="preserve"> את דברי </w:t>
      </w:r>
      <w:r w:rsidRPr="0003656A">
        <w:rPr>
          <w:rStyle w:val="af9"/>
          <w:rFonts w:hint="cs"/>
          <w:rtl/>
        </w:rPr>
        <w:t>רש"י</w:t>
      </w:r>
      <w:r>
        <w:rPr>
          <w:rFonts w:hint="cs"/>
          <w:rtl/>
        </w:rPr>
        <w:t xml:space="preserve"> בשם </w:t>
      </w:r>
      <w:r w:rsidRPr="0003656A">
        <w:rPr>
          <w:rStyle w:val="af9"/>
          <w:rFonts w:hint="cs"/>
          <w:rtl/>
        </w:rPr>
        <w:t>הי"מ</w:t>
      </w:r>
      <w:r>
        <w:rPr>
          <w:rFonts w:hint="cs"/>
          <w:rtl/>
        </w:rPr>
        <w:t xml:space="preserve"> </w:t>
      </w:r>
      <w:r w:rsidRPr="009460C6">
        <w:rPr>
          <w:rStyle w:val="af7"/>
          <w:rFonts w:eastAsia="Guttman Hodes" w:hint="cs"/>
          <w:rtl/>
        </w:rPr>
        <w:t xml:space="preserve">(עי' אות </w:t>
      </w:r>
      <w:r w:rsidRPr="009460C6">
        <w:rPr>
          <w:rStyle w:val="af7"/>
          <w:rFonts w:eastAsia="Guttman Hodes"/>
          <w:rtl/>
        </w:rPr>
        <w:fldChar w:fldCharType="begin"/>
      </w:r>
      <w:r w:rsidRPr="009460C6">
        <w:rPr>
          <w:rStyle w:val="af7"/>
          <w:rFonts w:eastAsia="Guttman Hodes"/>
          <w:rtl/>
        </w:rPr>
        <w:instrText xml:space="preserve"> </w:instrText>
      </w:r>
      <w:r w:rsidRPr="009460C6">
        <w:rPr>
          <w:rStyle w:val="af7"/>
          <w:rFonts w:eastAsia="Guttman Hodes" w:hint="cs"/>
        </w:rPr>
        <w:instrText>REF</w:instrText>
      </w:r>
      <w:r w:rsidRPr="009460C6">
        <w:rPr>
          <w:rStyle w:val="af7"/>
          <w:rFonts w:eastAsia="Guttman Hodes" w:hint="cs"/>
          <w:rtl/>
        </w:rPr>
        <w:instrText xml:space="preserve"> _</w:instrText>
      </w:r>
      <w:r w:rsidRPr="009460C6">
        <w:rPr>
          <w:rStyle w:val="af7"/>
          <w:rFonts w:eastAsia="Guttman Hodes" w:hint="cs"/>
        </w:rPr>
        <w:instrText>Ref531549674 \r \h</w:instrText>
      </w:r>
      <w:r w:rsidRPr="009460C6">
        <w:rPr>
          <w:rStyle w:val="af7"/>
          <w:rFonts w:eastAsia="Guttman Hodes"/>
          <w:rtl/>
        </w:rPr>
        <w:instrText xml:space="preserve"> </w:instrText>
      </w:r>
      <w:r w:rsidRPr="009460C6">
        <w:rPr>
          <w:rStyle w:val="af7"/>
          <w:rFonts w:eastAsia="Guttman Hodes"/>
          <w:rtl/>
        </w:rPr>
      </w:r>
      <w:r w:rsidRPr="009460C6">
        <w:rPr>
          <w:rStyle w:val="af7"/>
          <w:rFonts w:eastAsia="Guttman Hodes"/>
          <w:rtl/>
        </w:rPr>
        <w:fldChar w:fldCharType="separate"/>
      </w:r>
      <w:r w:rsidR="00345400">
        <w:rPr>
          <w:rStyle w:val="af7"/>
          <w:rFonts w:eastAsia="Guttman Hodes"/>
          <w:cs/>
        </w:rPr>
        <w:t>‎</w:t>
      </w:r>
      <w:r w:rsidR="00345400">
        <w:rPr>
          <w:rStyle w:val="af7"/>
          <w:rFonts w:eastAsia="Guttman Hodes"/>
          <w:rtl/>
        </w:rPr>
        <w:t>מט)</w:t>
      </w:r>
      <w:r w:rsidRPr="009460C6">
        <w:rPr>
          <w:rStyle w:val="af7"/>
          <w:rFonts w:eastAsia="Guttman Hodes"/>
          <w:rtl/>
        </w:rPr>
        <w:fldChar w:fldCharType="end"/>
      </w:r>
      <w:r>
        <w:rPr>
          <w:rFonts w:hint="cs"/>
          <w:rtl/>
        </w:rPr>
        <w:t xml:space="preserve"> דקמ"ל התוספתא דאם יוצא משאר הטבעות אינו נחשב יציאה.</w:t>
      </w:r>
    </w:p>
    <w:p w14:paraId="2082C536" w14:textId="77777777" w:rsidR="003D04E6" w:rsidRDefault="003D04E6" w:rsidP="006D6D32">
      <w:pPr>
        <w:pStyle w:val="a3"/>
        <w:rPr>
          <w:rtl/>
        </w:rPr>
      </w:pPr>
      <w:bookmarkStart w:id="12209" w:name="_Toc531817620"/>
      <w:bookmarkStart w:id="12210" w:name="_Toc531819720"/>
      <w:bookmarkStart w:id="12211" w:name="_Toc19390613"/>
      <w:bookmarkStart w:id="12212" w:name="_Toc19394110"/>
      <w:r>
        <w:rPr>
          <w:rFonts w:hint="cs"/>
          <w:rtl/>
        </w:rPr>
        <w:t>קושית התוס' על רש"י דבתוספתא מבואר דלמטה מטבעת הגדולה אי"ז הגרמה</w:t>
      </w:r>
      <w:bookmarkEnd w:id="12209"/>
      <w:bookmarkEnd w:id="12210"/>
      <w:bookmarkEnd w:id="12211"/>
      <w:bookmarkEnd w:id="12212"/>
    </w:p>
    <w:p w14:paraId="53D46F33" w14:textId="77777777" w:rsidR="003D04E6" w:rsidRDefault="003D04E6" w:rsidP="00223668">
      <w:pPr>
        <w:pStyle w:val="a0"/>
        <w:rPr>
          <w:rtl/>
        </w:rPr>
      </w:pPr>
      <w:r>
        <w:rPr>
          <w:rFonts w:hint="cs"/>
          <w:rtl/>
        </w:rPr>
        <w:t xml:space="preserve">והקשו </w:t>
      </w:r>
      <w:r w:rsidRPr="006364BC">
        <w:rPr>
          <w:rStyle w:val="af9"/>
          <w:rFonts w:hint="cs"/>
          <w:rtl/>
        </w:rPr>
        <w:t xml:space="preserve">התוס' </w:t>
      </w:r>
      <w:r>
        <w:rPr>
          <w:rFonts w:hint="cs"/>
          <w:rtl/>
        </w:rPr>
        <w:t xml:space="preserve">דהא </w:t>
      </w:r>
      <w:r w:rsidRPr="006364BC">
        <w:rPr>
          <w:rStyle w:val="af9"/>
          <w:rFonts w:hint="cs"/>
          <w:rtl/>
        </w:rPr>
        <w:t xml:space="preserve">רש"י </w:t>
      </w:r>
      <w:r w:rsidRPr="007306F4">
        <w:rPr>
          <w:rStyle w:val="af7"/>
          <w:rFonts w:eastAsia="Guttman Hodes" w:hint="cs"/>
          <w:rtl/>
        </w:rPr>
        <w:t xml:space="preserve">(עי' אות </w:t>
      </w:r>
      <w:r w:rsidRPr="007306F4">
        <w:rPr>
          <w:rStyle w:val="af7"/>
          <w:rFonts w:eastAsia="Guttman Hodes"/>
          <w:rtl/>
        </w:rPr>
        <w:fldChar w:fldCharType="begin"/>
      </w:r>
      <w:r w:rsidRPr="007306F4">
        <w:rPr>
          <w:rStyle w:val="af7"/>
          <w:rFonts w:eastAsia="Guttman Hodes"/>
          <w:rtl/>
        </w:rPr>
        <w:instrText xml:space="preserve"> </w:instrText>
      </w:r>
      <w:r w:rsidRPr="007306F4">
        <w:rPr>
          <w:rStyle w:val="af7"/>
          <w:rFonts w:eastAsia="Guttman Hodes" w:hint="cs"/>
        </w:rPr>
        <w:instrText>REF</w:instrText>
      </w:r>
      <w:r w:rsidRPr="007306F4">
        <w:rPr>
          <w:rStyle w:val="af7"/>
          <w:rFonts w:eastAsia="Guttman Hodes" w:hint="cs"/>
          <w:rtl/>
        </w:rPr>
        <w:instrText xml:space="preserve"> _</w:instrText>
      </w:r>
      <w:r w:rsidRPr="007306F4">
        <w:rPr>
          <w:rStyle w:val="af7"/>
          <w:rFonts w:eastAsia="Guttman Hodes" w:hint="cs"/>
        </w:rPr>
        <w:instrText>Ref531539450 \r \h</w:instrText>
      </w:r>
      <w:r w:rsidRPr="007306F4">
        <w:rPr>
          <w:rStyle w:val="af7"/>
          <w:rFonts w:eastAsia="Guttman Hodes"/>
          <w:rtl/>
        </w:rPr>
        <w:instrText xml:space="preserve"> </w:instrText>
      </w:r>
      <w:r w:rsidRPr="007306F4">
        <w:rPr>
          <w:rStyle w:val="af7"/>
          <w:rFonts w:eastAsia="Guttman Hodes"/>
          <w:rtl/>
        </w:rPr>
      </w:r>
      <w:r w:rsidRPr="007306F4">
        <w:rPr>
          <w:rStyle w:val="af7"/>
          <w:rFonts w:eastAsia="Guttman Hodes"/>
          <w:rtl/>
        </w:rPr>
        <w:fldChar w:fldCharType="separate"/>
      </w:r>
      <w:r w:rsidR="00345400">
        <w:rPr>
          <w:rStyle w:val="af7"/>
          <w:rFonts w:eastAsia="Guttman Hodes"/>
          <w:cs/>
        </w:rPr>
        <w:t>‎</w:t>
      </w:r>
      <w:r w:rsidR="00345400">
        <w:rPr>
          <w:rStyle w:val="af7"/>
          <w:rFonts w:eastAsia="Guttman Hodes"/>
          <w:rtl/>
        </w:rPr>
        <w:t>יא)</w:t>
      </w:r>
      <w:r w:rsidRPr="007306F4">
        <w:rPr>
          <w:rStyle w:val="af7"/>
          <w:rFonts w:eastAsia="Guttman Hodes"/>
          <w:rtl/>
        </w:rPr>
        <w:fldChar w:fldCharType="end"/>
      </w:r>
      <w:r>
        <w:rPr>
          <w:rFonts w:hint="cs"/>
          <w:rtl/>
        </w:rPr>
        <w:t xml:space="preserve"> דייק מלשון התוספתא דדוקא אם הגרים למעלה מטבעת הגדולה כשר</w:t>
      </w:r>
      <w:r w:rsidRPr="00D94A5A">
        <w:rPr>
          <w:rFonts w:hint="cs"/>
          <w:rtl/>
        </w:rPr>
        <w:t xml:space="preserve">, ומחמת זה דחה </w:t>
      </w:r>
      <w:r w:rsidRPr="00B64430">
        <w:rPr>
          <w:rStyle w:val="af9"/>
          <w:rFonts w:hint="cs"/>
          <w:rtl/>
        </w:rPr>
        <w:t xml:space="preserve">רש"י </w:t>
      </w:r>
      <w:r w:rsidRPr="00D94A5A">
        <w:rPr>
          <w:rFonts w:hint="cs"/>
          <w:rtl/>
        </w:rPr>
        <w:t xml:space="preserve">את דעת </w:t>
      </w:r>
      <w:r w:rsidRPr="00B64430">
        <w:rPr>
          <w:rStyle w:val="af9"/>
          <w:rFonts w:hint="cs"/>
          <w:rtl/>
        </w:rPr>
        <w:t xml:space="preserve">הי"מ </w:t>
      </w:r>
      <w:r w:rsidRPr="00B64430">
        <w:rPr>
          <w:rStyle w:val="af7"/>
          <w:rFonts w:eastAsia="Guttman Hodes" w:hint="cs"/>
          <w:rtl/>
        </w:rPr>
        <w:t xml:space="preserve">(עי' אות </w:t>
      </w:r>
      <w:r w:rsidRPr="00B64430">
        <w:rPr>
          <w:rStyle w:val="af7"/>
          <w:rFonts w:eastAsia="Guttman Hodes"/>
          <w:rtl/>
        </w:rPr>
        <w:fldChar w:fldCharType="begin"/>
      </w:r>
      <w:r w:rsidRPr="00B64430">
        <w:rPr>
          <w:rStyle w:val="af7"/>
          <w:rFonts w:eastAsia="Guttman Hodes"/>
          <w:rtl/>
        </w:rPr>
        <w:instrText xml:space="preserve"> </w:instrText>
      </w:r>
      <w:r w:rsidRPr="00B64430">
        <w:rPr>
          <w:rStyle w:val="af7"/>
          <w:rFonts w:eastAsia="Guttman Hodes" w:hint="cs"/>
        </w:rPr>
        <w:instrText>REF</w:instrText>
      </w:r>
      <w:r w:rsidRPr="00B64430">
        <w:rPr>
          <w:rStyle w:val="af7"/>
          <w:rFonts w:eastAsia="Guttman Hodes" w:hint="cs"/>
          <w:rtl/>
        </w:rPr>
        <w:instrText xml:space="preserve"> _</w:instrText>
      </w:r>
      <w:r w:rsidRPr="00B64430">
        <w:rPr>
          <w:rStyle w:val="af7"/>
          <w:rFonts w:eastAsia="Guttman Hodes" w:hint="cs"/>
        </w:rPr>
        <w:instrText>Ref531539450 \r \h</w:instrText>
      </w:r>
      <w:r w:rsidRPr="00B64430">
        <w:rPr>
          <w:rStyle w:val="af7"/>
          <w:rFonts w:eastAsia="Guttman Hodes"/>
          <w:rtl/>
        </w:rPr>
        <w:instrText xml:space="preserve"> </w:instrText>
      </w:r>
      <w:r w:rsidRPr="00B64430">
        <w:rPr>
          <w:rStyle w:val="af7"/>
          <w:rFonts w:eastAsia="Guttman Hodes"/>
          <w:rtl/>
        </w:rPr>
      </w:r>
      <w:r w:rsidRPr="00B64430">
        <w:rPr>
          <w:rStyle w:val="af7"/>
          <w:rFonts w:eastAsia="Guttman Hodes"/>
          <w:rtl/>
        </w:rPr>
        <w:fldChar w:fldCharType="separate"/>
      </w:r>
      <w:r w:rsidR="00345400">
        <w:rPr>
          <w:rStyle w:val="af7"/>
          <w:rFonts w:eastAsia="Guttman Hodes"/>
          <w:cs/>
        </w:rPr>
        <w:t>‎</w:t>
      </w:r>
      <w:r w:rsidR="00345400">
        <w:rPr>
          <w:rStyle w:val="af7"/>
          <w:rFonts w:eastAsia="Guttman Hodes"/>
          <w:rtl/>
        </w:rPr>
        <w:t>יא)</w:t>
      </w:r>
      <w:r w:rsidRPr="00B64430">
        <w:rPr>
          <w:rStyle w:val="af7"/>
          <w:rFonts w:eastAsia="Guttman Hodes"/>
          <w:rtl/>
        </w:rPr>
        <w:fldChar w:fldCharType="end"/>
      </w:r>
      <w:r w:rsidRPr="00D94A5A">
        <w:rPr>
          <w:rFonts w:hint="cs"/>
          <w:rtl/>
        </w:rPr>
        <w:t xml:space="preserve"> דביארו דכל שיוצא מהטבעת ששחט בה חשיב הגרמה</w:t>
      </w:r>
      <w:r>
        <w:rPr>
          <w:rFonts w:hint="cs"/>
          <w:rtl/>
        </w:rPr>
        <w:t>.</w:t>
      </w:r>
      <w:r w:rsidRPr="00D94A5A">
        <w:rPr>
          <w:rFonts w:hint="cs"/>
          <w:rtl/>
        </w:rPr>
        <w:t xml:space="preserve"> וביאר</w:t>
      </w:r>
      <w:r>
        <w:rPr>
          <w:rFonts w:hint="cs"/>
          <w:rtl/>
        </w:rPr>
        <w:t xml:space="preserve"> </w:t>
      </w:r>
      <w:r w:rsidRPr="00B64430">
        <w:rPr>
          <w:rStyle w:val="af9"/>
          <w:rFonts w:hint="cs"/>
          <w:rtl/>
        </w:rPr>
        <w:t>המהר"ם</w:t>
      </w:r>
      <w:r>
        <w:rPr>
          <w:rFonts w:hint="cs"/>
          <w:rtl/>
        </w:rPr>
        <w:t xml:space="preserve"> </w:t>
      </w:r>
      <w:r w:rsidRPr="00B64430">
        <w:rPr>
          <w:rStyle w:val="af7"/>
          <w:rFonts w:eastAsia="Guttman Hodes" w:hint="cs"/>
          <w:rtl/>
        </w:rPr>
        <w:t>(על תוד"ה אבל)</w:t>
      </w:r>
      <w:r>
        <w:rPr>
          <w:rFonts w:hint="cs"/>
          <w:rtl/>
        </w:rPr>
        <w:t xml:space="preserve"> דכוונת </w:t>
      </w:r>
      <w:r w:rsidRPr="00B64430">
        <w:rPr>
          <w:rStyle w:val="af9"/>
          <w:rFonts w:hint="cs"/>
          <w:rtl/>
        </w:rPr>
        <w:t>התוס'</w:t>
      </w:r>
      <w:r>
        <w:rPr>
          <w:rFonts w:hint="cs"/>
          <w:rtl/>
        </w:rPr>
        <w:t xml:space="preserve"> להקשות על </w:t>
      </w:r>
      <w:r w:rsidRPr="00B64430">
        <w:rPr>
          <w:rStyle w:val="af9"/>
          <w:rFonts w:hint="cs"/>
          <w:rtl/>
        </w:rPr>
        <w:t xml:space="preserve">רש"י </w:t>
      </w:r>
      <w:r>
        <w:rPr>
          <w:rFonts w:hint="cs"/>
          <w:rtl/>
        </w:rPr>
        <w:t xml:space="preserve">מדיוק התוספתא, דהא אף לדברי </w:t>
      </w:r>
      <w:r w:rsidRPr="00B64430">
        <w:rPr>
          <w:rStyle w:val="af9"/>
          <w:rFonts w:hint="cs"/>
          <w:rtl/>
        </w:rPr>
        <w:t xml:space="preserve">רש"י </w:t>
      </w:r>
      <w:r>
        <w:rPr>
          <w:rFonts w:hint="cs"/>
          <w:rtl/>
        </w:rPr>
        <w:t>שייכא הגרמה מתחת לטבעת הגדולה, אם נכנס לתוך שאר הטבעות.</w:t>
      </w:r>
    </w:p>
    <w:p w14:paraId="17BAD56A" w14:textId="77777777" w:rsidR="003D04E6" w:rsidRPr="00D94A5A" w:rsidRDefault="003D04E6" w:rsidP="006D6D32">
      <w:pPr>
        <w:pStyle w:val="a3"/>
        <w:rPr>
          <w:rtl/>
        </w:rPr>
      </w:pPr>
      <w:bookmarkStart w:id="12213" w:name="_Toc531817621"/>
      <w:bookmarkStart w:id="12214" w:name="_Toc531819721"/>
      <w:bookmarkStart w:id="12215" w:name="_Toc19390614"/>
      <w:bookmarkStart w:id="12216" w:name="_Toc19394111"/>
      <w:r>
        <w:rPr>
          <w:rFonts w:hint="cs"/>
          <w:rtl/>
        </w:rPr>
        <w:t>ביאור התוס' דכוונת התוספתא דאף ששייכא הגרמה למטה מ"מ א"צ לשייר מלא החוט</w:t>
      </w:r>
      <w:bookmarkEnd w:id="12213"/>
      <w:bookmarkEnd w:id="12214"/>
      <w:bookmarkEnd w:id="12215"/>
      <w:bookmarkEnd w:id="12216"/>
    </w:p>
    <w:p w14:paraId="759A0DD5" w14:textId="77777777" w:rsidR="003D04E6" w:rsidRPr="006243C0" w:rsidRDefault="003D04E6" w:rsidP="00223668">
      <w:pPr>
        <w:pStyle w:val="a0"/>
        <w:rPr>
          <w:rtl/>
        </w:rPr>
      </w:pPr>
      <w:bookmarkStart w:id="12217" w:name="_Ref531592291"/>
      <w:r>
        <w:rPr>
          <w:rFonts w:hint="cs"/>
          <w:rtl/>
        </w:rPr>
        <w:t xml:space="preserve">ותירצו </w:t>
      </w:r>
      <w:r w:rsidRPr="006364BC">
        <w:rPr>
          <w:rStyle w:val="af9"/>
          <w:rFonts w:hint="cs"/>
          <w:rtl/>
        </w:rPr>
        <w:t>התוס'</w:t>
      </w:r>
      <w:r w:rsidRPr="00B7432A">
        <w:rPr>
          <w:rFonts w:hint="cs"/>
          <w:rtl/>
        </w:rPr>
        <w:t xml:space="preserve"> דאי</w:t>
      </w:r>
      <w:r>
        <w:rPr>
          <w:rFonts w:hint="cs"/>
          <w:rtl/>
        </w:rPr>
        <w:t xml:space="preserve">"ז קשה על ביאור </w:t>
      </w:r>
      <w:r w:rsidRPr="006364BC">
        <w:rPr>
          <w:rStyle w:val="af9"/>
          <w:rFonts w:hint="cs"/>
          <w:rtl/>
        </w:rPr>
        <w:t>רש"י</w:t>
      </w:r>
      <w:r>
        <w:rPr>
          <w:rFonts w:hint="cs"/>
          <w:rtl/>
        </w:rPr>
        <w:t xml:space="preserve"> בדברי רב ושמואל, דאף ששייכא הגרמה גם למטה מן הטבעת הגדולה, אם שחט בטבעת הגדולה והגרים לתוך שאר הטבעות, מ"מ א"צ לשייר מלא החוט כלפי מטה, ואדרבה יותר טוב שלא ישחוט כלל בתוך שאר הטבעות אלא בין הטבעות, אך כתבו </w:t>
      </w:r>
      <w:r w:rsidRPr="006364BC">
        <w:rPr>
          <w:rStyle w:val="af9"/>
          <w:rFonts w:hint="cs"/>
          <w:rtl/>
        </w:rPr>
        <w:t xml:space="preserve">התוס' </w:t>
      </w:r>
      <w:r>
        <w:rPr>
          <w:rFonts w:hint="cs"/>
          <w:rtl/>
        </w:rPr>
        <w:t xml:space="preserve">דמ"מ זהו דוחק לפירוש </w:t>
      </w:r>
      <w:r w:rsidRPr="006364BC">
        <w:rPr>
          <w:rStyle w:val="af9"/>
          <w:rFonts w:hint="cs"/>
          <w:rtl/>
        </w:rPr>
        <w:t>רש"י</w:t>
      </w:r>
      <w:r>
        <w:rPr>
          <w:rFonts w:hint="cs"/>
          <w:rtl/>
        </w:rPr>
        <w:t>.</w:t>
      </w:r>
      <w:bookmarkEnd w:id="12217"/>
    </w:p>
    <w:p w14:paraId="3211ABC7" w14:textId="77777777" w:rsidR="003D04E6" w:rsidRDefault="003D04E6" w:rsidP="00BF39B2">
      <w:pPr>
        <w:pStyle w:val="1"/>
        <w:rPr>
          <w:rtl/>
        </w:rPr>
      </w:pPr>
      <w:bookmarkStart w:id="12218" w:name="_Toc531622057"/>
      <w:bookmarkStart w:id="12219" w:name="_Toc531629713"/>
      <w:bookmarkStart w:id="12220" w:name="_Toc531638982"/>
      <w:bookmarkStart w:id="12221" w:name="_Toc531776390"/>
      <w:bookmarkStart w:id="12222" w:name="_Toc531817622"/>
      <w:bookmarkStart w:id="12223" w:name="_Toc531819722"/>
      <w:bookmarkStart w:id="12224" w:name="_Toc19390615"/>
      <w:bookmarkStart w:id="12225" w:name="_Toc19394112"/>
      <w:bookmarkStart w:id="12226" w:name="_Toc531622053"/>
      <w:bookmarkStart w:id="12227" w:name="_Toc531629709"/>
      <w:r>
        <w:rPr>
          <w:rFonts w:hint="cs"/>
          <w:rtl/>
        </w:rPr>
        <w:t>קושיות הראשונים על רש"י</w:t>
      </w:r>
      <w:bookmarkEnd w:id="12218"/>
      <w:bookmarkEnd w:id="12219"/>
      <w:bookmarkEnd w:id="12220"/>
      <w:bookmarkEnd w:id="12221"/>
      <w:r>
        <w:rPr>
          <w:rFonts w:hint="cs"/>
          <w:rtl/>
        </w:rPr>
        <w:t xml:space="preserve"> דאף בשאר הטבעות השחיטה כשרה</w:t>
      </w:r>
      <w:bookmarkEnd w:id="12222"/>
      <w:bookmarkEnd w:id="12223"/>
      <w:bookmarkEnd w:id="12224"/>
      <w:bookmarkEnd w:id="12225"/>
    </w:p>
    <w:p w14:paraId="6AF7AD75" w14:textId="77777777" w:rsidR="003D04E6" w:rsidRDefault="003D04E6" w:rsidP="006D6D32">
      <w:pPr>
        <w:pStyle w:val="a3"/>
        <w:rPr>
          <w:rtl/>
        </w:rPr>
      </w:pPr>
      <w:bookmarkStart w:id="12228" w:name="_Toc531817623"/>
      <w:bookmarkStart w:id="12229" w:name="_Toc531819723"/>
      <w:bookmarkStart w:id="12230" w:name="_Toc19390616"/>
      <w:bookmarkStart w:id="12231" w:name="_Toc19394113"/>
      <w:r>
        <w:rPr>
          <w:rFonts w:hint="cs"/>
          <w:rtl/>
        </w:rPr>
        <w:t>קושית הרמב"ן והרשב"א והר"ן דלרש"י צריך לקרוע את העור כדי לשחוט בין הטבעות</w:t>
      </w:r>
      <w:bookmarkEnd w:id="12228"/>
      <w:bookmarkEnd w:id="12229"/>
      <w:bookmarkEnd w:id="12230"/>
      <w:bookmarkEnd w:id="12231"/>
    </w:p>
    <w:p w14:paraId="3AC65C3D" w14:textId="77777777" w:rsidR="003D04E6" w:rsidRDefault="003D04E6" w:rsidP="00223668">
      <w:pPr>
        <w:pStyle w:val="a0"/>
        <w:rPr>
          <w:rtl/>
        </w:rPr>
      </w:pPr>
      <w:r>
        <w:rPr>
          <w:rFonts w:hint="cs"/>
          <w:rtl/>
        </w:rPr>
        <w:t xml:space="preserve">הקשו </w:t>
      </w:r>
      <w:r w:rsidRPr="00CD4C7F">
        <w:rPr>
          <w:rStyle w:val="af9"/>
          <w:rFonts w:hint="cs"/>
          <w:rtl/>
        </w:rPr>
        <w:t xml:space="preserve">הרמב"ן בחי' </w:t>
      </w:r>
      <w:r w:rsidRPr="000B3440">
        <w:rPr>
          <w:rStyle w:val="af7"/>
          <w:rFonts w:eastAsia="Guttman Hodes" w:hint="cs"/>
          <w:rtl/>
        </w:rPr>
        <w:t xml:space="preserve">(ד"ה ואף) </w:t>
      </w:r>
      <w:r>
        <w:rPr>
          <w:rStyle w:val="af9"/>
          <w:rFonts w:hint="cs"/>
          <w:rtl/>
        </w:rPr>
        <w:t>ו</w:t>
      </w:r>
      <w:r w:rsidRPr="006A2354">
        <w:rPr>
          <w:rStyle w:val="af9"/>
          <w:rFonts w:hint="cs"/>
          <w:rtl/>
        </w:rPr>
        <w:t>הרשב"א</w:t>
      </w:r>
      <w:r>
        <w:rPr>
          <w:rFonts w:hint="cs"/>
          <w:rtl/>
        </w:rPr>
        <w:t xml:space="preserve"> </w:t>
      </w:r>
      <w:r w:rsidRPr="006A2354">
        <w:rPr>
          <w:rStyle w:val="af7"/>
          <w:rFonts w:eastAsia="Guttman Hodes" w:hint="cs"/>
          <w:rtl/>
        </w:rPr>
        <w:t>(ד"ה ואף)</w:t>
      </w:r>
      <w:r>
        <w:rPr>
          <w:rFonts w:hint="cs"/>
          <w:rtl/>
        </w:rPr>
        <w:t xml:space="preserve"> </w:t>
      </w:r>
      <w:r w:rsidRPr="000B3440">
        <w:rPr>
          <w:rStyle w:val="af9"/>
          <w:rFonts w:hint="cs"/>
          <w:rtl/>
        </w:rPr>
        <w:t>והר"ן בחי'</w:t>
      </w:r>
      <w:r>
        <w:rPr>
          <w:rFonts w:hint="cs"/>
          <w:rtl/>
        </w:rPr>
        <w:t xml:space="preserve"> </w:t>
      </w:r>
      <w:r w:rsidRPr="000B3440">
        <w:rPr>
          <w:rStyle w:val="af7"/>
          <w:rFonts w:eastAsia="Guttman Hodes" w:hint="cs"/>
          <w:rtl/>
        </w:rPr>
        <w:t>(ד"ה ואף)</w:t>
      </w:r>
      <w:r>
        <w:rPr>
          <w:rFonts w:hint="cs"/>
          <w:rtl/>
        </w:rPr>
        <w:t xml:space="preserve"> על </w:t>
      </w:r>
      <w:r w:rsidRPr="00110196">
        <w:rPr>
          <w:rStyle w:val="af9"/>
          <w:rFonts w:hint="cs"/>
          <w:rtl/>
        </w:rPr>
        <w:t xml:space="preserve">רש"י </w:t>
      </w:r>
      <w:r w:rsidRPr="000B5C14">
        <w:rPr>
          <w:rStyle w:val="af7"/>
          <w:rFonts w:eastAsia="Guttman Hodes" w:hint="cs"/>
          <w:rtl/>
        </w:rPr>
        <w:t xml:space="preserve">(עי' אות </w:t>
      </w:r>
      <w:r w:rsidRPr="000B5C14">
        <w:rPr>
          <w:rStyle w:val="af7"/>
          <w:rFonts w:eastAsia="Guttman Hodes"/>
          <w:rtl/>
        </w:rPr>
        <w:fldChar w:fldCharType="begin"/>
      </w:r>
      <w:r w:rsidRPr="000B5C14">
        <w:rPr>
          <w:rStyle w:val="af7"/>
          <w:rFonts w:eastAsia="Guttman Hodes"/>
          <w:rtl/>
        </w:rPr>
        <w:instrText xml:space="preserve"> </w:instrText>
      </w:r>
      <w:r w:rsidRPr="000B5C14">
        <w:rPr>
          <w:rStyle w:val="af7"/>
          <w:rFonts w:eastAsia="Guttman Hodes" w:hint="cs"/>
        </w:rPr>
        <w:instrText>REF</w:instrText>
      </w:r>
      <w:r w:rsidRPr="000B5C14">
        <w:rPr>
          <w:rStyle w:val="af7"/>
          <w:rFonts w:eastAsia="Guttman Hodes" w:hint="cs"/>
          <w:rtl/>
        </w:rPr>
        <w:instrText xml:space="preserve"> _</w:instrText>
      </w:r>
      <w:r w:rsidRPr="000B5C14">
        <w:rPr>
          <w:rStyle w:val="af7"/>
          <w:rFonts w:eastAsia="Guttman Hodes" w:hint="cs"/>
        </w:rPr>
        <w:instrText>Ref531711285 \r \h</w:instrText>
      </w:r>
      <w:r w:rsidRPr="000B5C14">
        <w:rPr>
          <w:rStyle w:val="af7"/>
          <w:rFonts w:eastAsia="Guttman Hodes"/>
          <w:rtl/>
        </w:rPr>
        <w:instrText xml:space="preserve"> </w:instrText>
      </w:r>
      <w:r w:rsidRPr="000B5C14">
        <w:rPr>
          <w:rStyle w:val="af7"/>
          <w:rFonts w:eastAsia="Guttman Hodes"/>
          <w:rtl/>
        </w:rPr>
      </w:r>
      <w:r w:rsidRPr="000B5C14">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0B5C14">
        <w:rPr>
          <w:rStyle w:val="af7"/>
          <w:rFonts w:eastAsia="Guttman Hodes"/>
          <w:rtl/>
        </w:rPr>
        <w:fldChar w:fldCharType="end"/>
      </w:r>
      <w:r w:rsidRPr="000B5C14">
        <w:rPr>
          <w:rStyle w:val="af7"/>
          <w:rFonts w:eastAsia="Guttman Hodes" w:hint="cs"/>
          <w:rtl/>
        </w:rPr>
        <w:t xml:space="preserve"> </w:t>
      </w:r>
      <w:r>
        <w:rPr>
          <w:rFonts w:hint="cs"/>
          <w:rtl/>
        </w:rPr>
        <w:t>דאי לרב ושמואל השחיטה כשרה רק בין הטבעות, א"כ בכדי שלא ישחט בשאר הטבעות צריך לקרוע את עור השחיטה, וגם בזה קשה מאוד שיצליח לשחוט רק בין הטבעות, כיון שהם סמוכות ביותר.</w:t>
      </w:r>
      <w:r w:rsidRPr="00E1066F">
        <w:rPr>
          <w:rFonts w:hint="cs"/>
          <w:rtl/>
        </w:rPr>
        <w:t xml:space="preserve"> </w:t>
      </w:r>
      <w:r>
        <w:rPr>
          <w:rFonts w:hint="cs"/>
          <w:rtl/>
        </w:rPr>
        <w:t xml:space="preserve">וכ"כ </w:t>
      </w:r>
      <w:r w:rsidRPr="007705C0">
        <w:rPr>
          <w:rStyle w:val="af9"/>
          <w:rFonts w:hint="cs"/>
          <w:rtl/>
        </w:rPr>
        <w:t>התוס' הרא"ש</w:t>
      </w:r>
      <w:r>
        <w:rPr>
          <w:rFonts w:hint="cs"/>
          <w:rtl/>
        </w:rPr>
        <w:t xml:space="preserve"> </w:t>
      </w:r>
      <w:r w:rsidRPr="003949FB">
        <w:rPr>
          <w:rStyle w:val="af7"/>
          <w:rFonts w:eastAsia="Guttman Hodes" w:hint="cs"/>
          <w:rtl/>
        </w:rPr>
        <w:t>(ד"ה אבל</w:t>
      </w:r>
      <w:r>
        <w:rPr>
          <w:rStyle w:val="af7"/>
          <w:rFonts w:eastAsia="Guttman Hodes" w:hint="cs"/>
          <w:rtl/>
        </w:rPr>
        <w:t xml:space="preserve"> [השני]</w:t>
      </w:r>
      <w:r w:rsidRPr="003949FB">
        <w:rPr>
          <w:rStyle w:val="af7"/>
          <w:rFonts w:eastAsia="Guttman Hodes" w:hint="cs"/>
          <w:rtl/>
        </w:rPr>
        <w:t>)</w:t>
      </w:r>
      <w:r>
        <w:rPr>
          <w:rFonts w:hint="cs"/>
          <w:rtl/>
        </w:rPr>
        <w:t xml:space="preserve"> דפירוש </w:t>
      </w:r>
      <w:r w:rsidRPr="007705C0">
        <w:rPr>
          <w:rStyle w:val="af9"/>
          <w:rFonts w:hint="cs"/>
          <w:rtl/>
        </w:rPr>
        <w:t>רש"י</w:t>
      </w:r>
      <w:r>
        <w:rPr>
          <w:rFonts w:hint="cs"/>
          <w:rtl/>
        </w:rPr>
        <w:t xml:space="preserve"> הוא דחוקדא"א לכוון שלא ישחוט רק בין הטבעות.</w:t>
      </w:r>
    </w:p>
    <w:p w14:paraId="66CD5804" w14:textId="77777777" w:rsidR="003D04E6" w:rsidRPr="00BE4B5A" w:rsidRDefault="003D04E6" w:rsidP="006D6D32">
      <w:pPr>
        <w:pStyle w:val="a3"/>
      </w:pPr>
      <w:bookmarkStart w:id="12232" w:name="_Toc531817624"/>
      <w:bookmarkStart w:id="12233" w:name="_Toc531819724"/>
      <w:bookmarkStart w:id="12234" w:name="_Toc19390617"/>
      <w:bookmarkStart w:id="12235" w:name="_Toc19394114"/>
      <w:r>
        <w:rPr>
          <w:rFonts w:hint="cs"/>
          <w:rtl/>
        </w:rPr>
        <w:t>קושית הרשב"א והריטב"א דבלא בדיקה והשגחה גדולה הבהמה בחזקת איסור</w:t>
      </w:r>
      <w:bookmarkEnd w:id="12232"/>
      <w:bookmarkEnd w:id="12233"/>
      <w:bookmarkEnd w:id="12234"/>
      <w:bookmarkEnd w:id="12235"/>
    </w:p>
    <w:p w14:paraId="6EB672B5" w14:textId="77777777" w:rsidR="003D04E6" w:rsidRDefault="003D04E6" w:rsidP="00223668">
      <w:pPr>
        <w:pStyle w:val="a0"/>
        <w:rPr>
          <w:rtl/>
        </w:rPr>
      </w:pPr>
      <w:r>
        <w:rPr>
          <w:rFonts w:hint="cs"/>
          <w:rtl/>
        </w:rPr>
        <w:t xml:space="preserve">ועוד הקשו </w:t>
      </w:r>
      <w:r w:rsidRPr="006A2354">
        <w:rPr>
          <w:rStyle w:val="af9"/>
          <w:rFonts w:hint="cs"/>
          <w:rtl/>
        </w:rPr>
        <w:t>הרשב"א</w:t>
      </w:r>
      <w:r w:rsidRPr="003949FB">
        <w:rPr>
          <w:rStyle w:val="af7"/>
          <w:rFonts w:eastAsia="Guttman Hodes" w:hint="cs"/>
          <w:rtl/>
        </w:rPr>
        <w:t xml:space="preserve"> (ד"ה ואף) </w:t>
      </w:r>
      <w:r w:rsidRPr="00E11617">
        <w:rPr>
          <w:rStyle w:val="af9"/>
          <w:rFonts w:hint="cs"/>
          <w:rtl/>
        </w:rPr>
        <w:t>והריטב"א</w:t>
      </w:r>
      <w:r>
        <w:rPr>
          <w:rFonts w:hint="cs"/>
          <w:rtl/>
        </w:rPr>
        <w:t xml:space="preserve"> </w:t>
      </w:r>
      <w:r w:rsidRPr="003949FB">
        <w:rPr>
          <w:rStyle w:val="af7"/>
          <w:rFonts w:eastAsia="Guttman Hodes" w:hint="cs"/>
          <w:rtl/>
        </w:rPr>
        <w:t xml:space="preserve">(ד"ה רב) </w:t>
      </w:r>
      <w:r>
        <w:rPr>
          <w:rFonts w:hint="cs"/>
          <w:rtl/>
        </w:rPr>
        <w:t xml:space="preserve">דלדברי </w:t>
      </w:r>
      <w:r w:rsidRPr="00BE4B5A">
        <w:rPr>
          <w:rStyle w:val="af9"/>
          <w:rFonts w:hint="cs"/>
          <w:rtl/>
        </w:rPr>
        <w:t>רש"י</w:t>
      </w:r>
      <w:r>
        <w:rPr>
          <w:rFonts w:hint="cs"/>
          <w:rtl/>
        </w:rPr>
        <w:t xml:space="preserve"> א"א לשחוט בלא השגחה גדולה שמכוון בין טבעת לטבעת, והרי בהמה בחייה בחזקת איסור עומדת, עד שיודע לך במה נשחטה, וא"כ יהיה אסור לאכול בלא שנבדוק ונראה ששחט בין טבעת לטבעת.</w:t>
      </w:r>
    </w:p>
    <w:p w14:paraId="685B811D" w14:textId="77777777" w:rsidR="003D04E6" w:rsidRPr="00687C93" w:rsidRDefault="003D04E6" w:rsidP="006D6D32">
      <w:pPr>
        <w:pStyle w:val="a3"/>
      </w:pPr>
      <w:bookmarkStart w:id="12236" w:name="_Toc531817625"/>
      <w:bookmarkStart w:id="12237" w:name="_Toc531819725"/>
      <w:bookmarkStart w:id="12238" w:name="_Toc19390618"/>
      <w:bookmarkStart w:id="12239" w:name="_Toc19394115"/>
      <w:r>
        <w:rPr>
          <w:rFonts w:hint="cs"/>
          <w:rtl/>
        </w:rPr>
        <w:t>קושית הרשב"א והתוס' הרא"ש דבמשנה לקמן מפורש דכל הצואר כשר</w:t>
      </w:r>
      <w:bookmarkEnd w:id="12236"/>
      <w:bookmarkEnd w:id="12237"/>
      <w:bookmarkEnd w:id="12238"/>
      <w:bookmarkEnd w:id="12239"/>
    </w:p>
    <w:p w14:paraId="19751D04" w14:textId="77777777" w:rsidR="003D04E6" w:rsidRDefault="003D04E6" w:rsidP="00223668">
      <w:pPr>
        <w:pStyle w:val="a0"/>
        <w:rPr>
          <w:rtl/>
        </w:rPr>
      </w:pPr>
      <w:r>
        <w:rPr>
          <w:rFonts w:hint="cs"/>
          <w:rtl/>
        </w:rPr>
        <w:t xml:space="preserve">ועוד הקשו </w:t>
      </w:r>
      <w:r w:rsidRPr="006A2354">
        <w:rPr>
          <w:rStyle w:val="af9"/>
          <w:rFonts w:hint="cs"/>
          <w:rtl/>
        </w:rPr>
        <w:t>הרשב"א</w:t>
      </w:r>
      <w:r>
        <w:rPr>
          <w:rFonts w:hint="cs"/>
          <w:rtl/>
        </w:rPr>
        <w:t xml:space="preserve"> </w:t>
      </w:r>
      <w:r>
        <w:rPr>
          <w:rStyle w:val="af9"/>
          <w:rFonts w:hint="cs"/>
          <w:rtl/>
        </w:rPr>
        <w:t>ו</w:t>
      </w:r>
      <w:r w:rsidRPr="007705C0">
        <w:rPr>
          <w:rStyle w:val="af9"/>
          <w:rFonts w:hint="cs"/>
          <w:rtl/>
        </w:rPr>
        <w:t>התוס' הרא"ש</w:t>
      </w:r>
      <w:r>
        <w:rPr>
          <w:rFonts w:hint="cs"/>
          <w:rtl/>
        </w:rPr>
        <w:t xml:space="preserve"> </w:t>
      </w:r>
      <w:r w:rsidRPr="003949FB">
        <w:rPr>
          <w:rStyle w:val="af7"/>
          <w:rFonts w:eastAsia="Guttman Hodes" w:hint="cs"/>
          <w:rtl/>
        </w:rPr>
        <w:t>(ד"ה אבל</w:t>
      </w:r>
      <w:r>
        <w:rPr>
          <w:rStyle w:val="af7"/>
          <w:rFonts w:eastAsia="Guttman Hodes" w:hint="cs"/>
          <w:rtl/>
        </w:rPr>
        <w:t xml:space="preserve"> [השני]</w:t>
      </w:r>
      <w:r w:rsidRPr="003949FB">
        <w:rPr>
          <w:rStyle w:val="af7"/>
          <w:rFonts w:eastAsia="Guttman Hodes" w:hint="cs"/>
          <w:rtl/>
        </w:rPr>
        <w:t>)</w:t>
      </w:r>
      <w:r>
        <w:rPr>
          <w:rFonts w:hint="cs"/>
          <w:rtl/>
        </w:rPr>
        <w:t xml:space="preserve"> דמפורש במשנה </w:t>
      </w:r>
      <w:r w:rsidRPr="003949FB">
        <w:rPr>
          <w:rStyle w:val="af7"/>
          <w:rFonts w:eastAsia="Guttman Hodes" w:hint="cs"/>
          <w:rtl/>
        </w:rPr>
        <w:t>(יט:)</w:t>
      </w:r>
      <w:r>
        <w:rPr>
          <w:rFonts w:hint="cs"/>
          <w:rtl/>
        </w:rPr>
        <w:t xml:space="preserve"> דכל הצואר כשר לשחיטה, ולא משמע שיש בצואר מקום שאינו ראוי לשחיטה.</w:t>
      </w:r>
    </w:p>
    <w:p w14:paraId="3CE6D003" w14:textId="77777777" w:rsidR="003D04E6" w:rsidRPr="00F74BBB" w:rsidRDefault="003D04E6" w:rsidP="006D6D32">
      <w:pPr>
        <w:pStyle w:val="a3"/>
      </w:pPr>
      <w:bookmarkStart w:id="12240" w:name="_Toc531817626"/>
      <w:bookmarkStart w:id="12241" w:name="_Toc531819726"/>
      <w:bookmarkStart w:id="12242" w:name="_Toc19390619"/>
      <w:bookmarkStart w:id="12243" w:name="_Toc19394116"/>
      <w:r>
        <w:rPr>
          <w:rFonts w:hint="cs"/>
          <w:rtl/>
        </w:rPr>
        <w:t>קושית הרשב"א והר"ן דקיי"ל כרב ושמואל ולא מצינו שיש בקנה מקום הפסול לשחיטה</w:t>
      </w:r>
      <w:bookmarkEnd w:id="12240"/>
      <w:bookmarkEnd w:id="12241"/>
      <w:bookmarkEnd w:id="12242"/>
      <w:bookmarkEnd w:id="12243"/>
    </w:p>
    <w:p w14:paraId="7DC6C759" w14:textId="77777777" w:rsidR="003D04E6" w:rsidRDefault="003D04E6" w:rsidP="00223668">
      <w:pPr>
        <w:pStyle w:val="a0"/>
        <w:rPr>
          <w:rtl/>
        </w:rPr>
      </w:pPr>
      <w:bookmarkStart w:id="12244" w:name="_Ref531813673"/>
      <w:r>
        <w:rPr>
          <w:rFonts w:hint="cs"/>
          <w:rtl/>
        </w:rPr>
        <w:t xml:space="preserve">ועוד הקשו </w:t>
      </w:r>
      <w:r w:rsidRPr="00CD4C7F">
        <w:rPr>
          <w:rStyle w:val="af9"/>
          <w:rFonts w:hint="cs"/>
          <w:rtl/>
        </w:rPr>
        <w:t xml:space="preserve">הרמב"ן בחי' </w:t>
      </w:r>
      <w:r w:rsidRPr="000B3440">
        <w:rPr>
          <w:rStyle w:val="af7"/>
          <w:rFonts w:eastAsia="Guttman Hodes" w:hint="cs"/>
          <w:rtl/>
        </w:rPr>
        <w:t xml:space="preserve">(ד"ה ואף) </w:t>
      </w:r>
      <w:r w:rsidRPr="000B3440">
        <w:rPr>
          <w:rStyle w:val="af9"/>
          <w:rFonts w:hint="cs"/>
          <w:rtl/>
        </w:rPr>
        <w:t>והר"ן בחי'</w:t>
      </w:r>
      <w:r>
        <w:rPr>
          <w:rFonts w:hint="cs"/>
          <w:rtl/>
        </w:rPr>
        <w:t xml:space="preserve"> </w:t>
      </w:r>
      <w:r w:rsidRPr="000B3440">
        <w:rPr>
          <w:rStyle w:val="af7"/>
          <w:rFonts w:eastAsia="Guttman Hodes" w:hint="cs"/>
          <w:rtl/>
        </w:rPr>
        <w:t>(ד"ה ואף)</w:t>
      </w:r>
      <w:r>
        <w:rPr>
          <w:rFonts w:hint="cs"/>
          <w:rtl/>
        </w:rPr>
        <w:t xml:space="preserve"> דדברי רב ושמואל הם להלכה דהא לא מצינו בגמ' מ"ד דפליג עלייהו וא"כ קיי"ל כוותיהו, ולא מצינו בגמ' ובפוסקים שיש בתוך מקום השחיטה מקום שהוא פסול לשחיטה, ושצריך להזהר בזה, </w:t>
      </w:r>
      <w:r w:rsidRPr="00CD4C7F">
        <w:rPr>
          <w:rStyle w:val="af9"/>
          <w:rFonts w:hint="cs"/>
          <w:rtl/>
        </w:rPr>
        <w:t xml:space="preserve">ורש"י </w:t>
      </w:r>
      <w:r w:rsidRPr="00C22DBC">
        <w:rPr>
          <w:rStyle w:val="af7"/>
          <w:rFonts w:eastAsia="Guttman Hodes" w:hint="cs"/>
          <w:rtl/>
        </w:rPr>
        <w:t xml:space="preserve">(עי' אות </w:t>
      </w:r>
      <w:r w:rsidRPr="00C22DBC">
        <w:rPr>
          <w:rStyle w:val="af7"/>
          <w:rFonts w:eastAsia="Guttman Hodes"/>
          <w:rtl/>
        </w:rPr>
        <w:fldChar w:fldCharType="begin"/>
      </w:r>
      <w:r w:rsidRPr="00C22DBC">
        <w:rPr>
          <w:rStyle w:val="af7"/>
          <w:rFonts w:eastAsia="Guttman Hodes"/>
          <w:rtl/>
        </w:rPr>
        <w:instrText xml:space="preserve"> </w:instrText>
      </w:r>
      <w:r w:rsidRPr="00C22DBC">
        <w:rPr>
          <w:rStyle w:val="af7"/>
          <w:rFonts w:eastAsia="Guttman Hodes" w:hint="cs"/>
        </w:rPr>
        <w:instrText>REF</w:instrText>
      </w:r>
      <w:r w:rsidRPr="00C22DBC">
        <w:rPr>
          <w:rStyle w:val="af7"/>
          <w:rFonts w:eastAsia="Guttman Hodes" w:hint="cs"/>
          <w:rtl/>
        </w:rPr>
        <w:instrText xml:space="preserve"> _</w:instrText>
      </w:r>
      <w:r w:rsidRPr="00C22DBC">
        <w:rPr>
          <w:rStyle w:val="af7"/>
          <w:rFonts w:eastAsia="Guttman Hodes" w:hint="cs"/>
        </w:rPr>
        <w:instrText>Ref531539450 \r \h</w:instrText>
      </w:r>
      <w:r w:rsidRPr="00C22DBC">
        <w:rPr>
          <w:rStyle w:val="af7"/>
          <w:rFonts w:eastAsia="Guttman Hodes"/>
          <w:rtl/>
        </w:rPr>
        <w:instrText xml:space="preserve"> </w:instrText>
      </w:r>
      <w:r w:rsidRPr="00C22DBC">
        <w:rPr>
          <w:rStyle w:val="af7"/>
          <w:rFonts w:eastAsia="Guttman Hodes"/>
          <w:rtl/>
        </w:rPr>
      </w:r>
      <w:r w:rsidRPr="00C22DBC">
        <w:rPr>
          <w:rStyle w:val="af7"/>
          <w:rFonts w:eastAsia="Guttman Hodes"/>
          <w:rtl/>
        </w:rPr>
        <w:fldChar w:fldCharType="separate"/>
      </w:r>
      <w:r w:rsidR="00345400">
        <w:rPr>
          <w:rStyle w:val="af7"/>
          <w:rFonts w:eastAsia="Guttman Hodes"/>
          <w:cs/>
        </w:rPr>
        <w:t>‎</w:t>
      </w:r>
      <w:r w:rsidR="00345400">
        <w:rPr>
          <w:rStyle w:val="af7"/>
          <w:rFonts w:eastAsia="Guttman Hodes"/>
          <w:rtl/>
        </w:rPr>
        <w:t>יא)</w:t>
      </w:r>
      <w:r w:rsidRPr="00C22DBC">
        <w:rPr>
          <w:rStyle w:val="af7"/>
          <w:rFonts w:eastAsia="Guttman Hodes"/>
          <w:rtl/>
        </w:rPr>
        <w:fldChar w:fldCharType="end"/>
      </w:r>
      <w:r>
        <w:rPr>
          <w:rStyle w:val="af9"/>
          <w:rFonts w:hint="cs"/>
          <w:rtl/>
        </w:rPr>
        <w:t xml:space="preserve"> </w:t>
      </w:r>
      <w:r>
        <w:rPr>
          <w:rFonts w:hint="cs"/>
          <w:rtl/>
        </w:rPr>
        <w:t>עצמו הביא את התוספתא דמקום השחיטה היא מהטבעת עד הריאה, ומשמע שאין חילוק בין בתוך הטבעת לבין הטבעות.</w:t>
      </w:r>
      <w:bookmarkEnd w:id="12244"/>
    </w:p>
    <w:p w14:paraId="4DDA8D61" w14:textId="77777777" w:rsidR="003D04E6" w:rsidRPr="003949FB" w:rsidRDefault="003D04E6" w:rsidP="006D6D32">
      <w:pPr>
        <w:pStyle w:val="a3"/>
        <w:rPr>
          <w:rtl/>
        </w:rPr>
      </w:pPr>
      <w:bookmarkStart w:id="12245" w:name="_Toc531817627"/>
      <w:bookmarkStart w:id="12246" w:name="_Toc531819727"/>
      <w:bookmarkStart w:id="12247" w:name="_Toc19390620"/>
      <w:bookmarkStart w:id="12248" w:name="_Toc19394117"/>
      <w:r>
        <w:rPr>
          <w:rFonts w:hint="cs"/>
          <w:rtl/>
        </w:rPr>
        <w:t>תירוץ הריטב"א דלדידן מוגרמת דרב ושמואל מותרת</w:t>
      </w:r>
      <w:bookmarkEnd w:id="12245"/>
      <w:bookmarkEnd w:id="12246"/>
      <w:bookmarkEnd w:id="12247"/>
      <w:bookmarkEnd w:id="12248"/>
    </w:p>
    <w:p w14:paraId="546E9961" w14:textId="77777777" w:rsidR="003D04E6" w:rsidRDefault="003D04E6" w:rsidP="00223668">
      <w:pPr>
        <w:pStyle w:val="a0"/>
        <w:rPr>
          <w:rtl/>
        </w:rPr>
      </w:pPr>
      <w:r>
        <w:rPr>
          <w:rFonts w:hint="cs"/>
          <w:rtl/>
        </w:rPr>
        <w:t xml:space="preserve">ותירץ </w:t>
      </w:r>
      <w:r w:rsidRPr="002939D5">
        <w:rPr>
          <w:rStyle w:val="af9"/>
          <w:rFonts w:hint="cs"/>
          <w:rtl/>
        </w:rPr>
        <w:t xml:space="preserve">הריטב"א </w:t>
      </w:r>
      <w:r w:rsidRPr="00EA4A32">
        <w:rPr>
          <w:rStyle w:val="af7"/>
          <w:rFonts w:eastAsia="Guttman Hodes" w:hint="cs"/>
          <w:rtl/>
        </w:rPr>
        <w:t>(ד"ה רב)</w:t>
      </w:r>
      <w:r>
        <w:rPr>
          <w:rFonts w:hint="cs"/>
          <w:rtl/>
        </w:rPr>
        <w:t xml:space="preserve"> את דברי </w:t>
      </w:r>
      <w:r w:rsidRPr="002939D5">
        <w:rPr>
          <w:rStyle w:val="af9"/>
          <w:rFonts w:hint="cs"/>
          <w:rtl/>
        </w:rPr>
        <w:t xml:space="preserve">רש"י </w:t>
      </w:r>
      <w:r>
        <w:rPr>
          <w:rFonts w:hint="cs"/>
          <w:rtl/>
        </w:rPr>
        <w:t xml:space="preserve">דלדידן קיי"ל דמוגרמת דרב ושמואל מותרת, וכדאמר רבי זירא דלא אמרו כן רב ושמואל מעולם, ואף שבנהרדעא נהגו איסור, אי"ז אוסר את שאר המקומות, וכוונת המשנה לקמן </w:t>
      </w:r>
      <w:r w:rsidRPr="00EA4A32">
        <w:rPr>
          <w:rStyle w:val="af7"/>
          <w:rFonts w:eastAsia="Guttman Hodes" w:hint="cs"/>
          <w:rtl/>
        </w:rPr>
        <w:t>(יט:)</w:t>
      </w:r>
      <w:r>
        <w:rPr>
          <w:rFonts w:hint="cs"/>
          <w:rtl/>
        </w:rPr>
        <w:t xml:space="preserve"> דכל הצואר כשר לשחיטה, היינו במקום שהוא קנה, </w:t>
      </w:r>
      <w:r w:rsidRPr="00EA4A32">
        <w:rPr>
          <w:rStyle w:val="afb"/>
          <w:rFonts w:hint="cs"/>
          <w:rtl/>
        </w:rPr>
        <w:t>[</w:t>
      </w:r>
      <w:r w:rsidRPr="00EA4A32">
        <w:rPr>
          <w:rStyle w:val="affa"/>
          <w:rFonts w:hint="cs"/>
          <w:rtl/>
        </w:rPr>
        <w:t>כתוס'</w:t>
      </w:r>
      <w:r w:rsidRPr="00EA4A32">
        <w:rPr>
          <w:rStyle w:val="afb"/>
          <w:rFonts w:hint="cs"/>
          <w:rtl/>
        </w:rPr>
        <w:t xml:space="preserve"> </w:t>
      </w:r>
      <w:r w:rsidRPr="00EA4A32">
        <w:rPr>
          <w:rStyle w:val="aff6"/>
          <w:rFonts w:hint="cs"/>
          <w:rtl/>
        </w:rPr>
        <w:t xml:space="preserve">(עי' אות </w:t>
      </w:r>
      <w:r w:rsidRPr="00EA4A32">
        <w:rPr>
          <w:rStyle w:val="aff6"/>
          <w:rtl/>
        </w:rPr>
        <w:fldChar w:fldCharType="begin"/>
      </w:r>
      <w:r w:rsidRPr="00EA4A32">
        <w:rPr>
          <w:rStyle w:val="aff6"/>
          <w:rtl/>
        </w:rPr>
        <w:instrText xml:space="preserve"> </w:instrText>
      </w:r>
      <w:r w:rsidRPr="00EA4A32">
        <w:rPr>
          <w:rStyle w:val="aff6"/>
          <w:rFonts w:hint="cs"/>
        </w:rPr>
        <w:instrText>REF</w:instrText>
      </w:r>
      <w:r w:rsidRPr="00EA4A32">
        <w:rPr>
          <w:rStyle w:val="aff6"/>
          <w:rFonts w:hint="cs"/>
          <w:rtl/>
        </w:rPr>
        <w:instrText xml:space="preserve"> _</w:instrText>
      </w:r>
      <w:r w:rsidRPr="00EA4A32">
        <w:rPr>
          <w:rStyle w:val="aff6"/>
          <w:rFonts w:hint="cs"/>
        </w:rPr>
        <w:instrText>Ref531592282 \r \h</w:instrText>
      </w:r>
      <w:r w:rsidRPr="00EA4A32">
        <w:rPr>
          <w:rStyle w:val="aff6"/>
          <w:rtl/>
        </w:rPr>
        <w:instrText xml:space="preserve"> </w:instrText>
      </w:r>
      <w:r w:rsidRPr="00EA4A32">
        <w:rPr>
          <w:rStyle w:val="aff6"/>
          <w:rtl/>
        </w:rPr>
      </w:r>
      <w:r w:rsidRPr="00EA4A32">
        <w:rPr>
          <w:rStyle w:val="aff6"/>
          <w:rtl/>
        </w:rPr>
        <w:fldChar w:fldCharType="separate"/>
      </w:r>
      <w:r w:rsidR="00345400">
        <w:rPr>
          <w:rStyle w:val="aff6"/>
          <w:cs/>
        </w:rPr>
        <w:t>‎</w:t>
      </w:r>
      <w:r w:rsidR="00345400">
        <w:rPr>
          <w:rStyle w:val="aff6"/>
          <w:rtl/>
        </w:rPr>
        <w:t>לט)</w:t>
      </w:r>
      <w:r w:rsidRPr="00EA4A32">
        <w:rPr>
          <w:rStyle w:val="aff6"/>
          <w:rtl/>
        </w:rPr>
        <w:fldChar w:fldCharType="end"/>
      </w:r>
      <w:r w:rsidRPr="00EA4A32">
        <w:rPr>
          <w:rStyle w:val="afb"/>
          <w:rFonts w:hint="cs"/>
          <w:rtl/>
        </w:rPr>
        <w:t xml:space="preserve">], </w:t>
      </w:r>
      <w:r>
        <w:rPr>
          <w:rFonts w:hint="cs"/>
          <w:rtl/>
        </w:rPr>
        <w:t xml:space="preserve">אך הביא </w:t>
      </w:r>
      <w:r w:rsidRPr="002939D5">
        <w:rPr>
          <w:rStyle w:val="af9"/>
          <w:rFonts w:hint="cs"/>
          <w:rtl/>
        </w:rPr>
        <w:t>הריטב"א</w:t>
      </w:r>
      <w:r>
        <w:rPr>
          <w:rFonts w:hint="cs"/>
          <w:rtl/>
        </w:rPr>
        <w:t xml:space="preserve"> דכתבו </w:t>
      </w:r>
      <w:r w:rsidRPr="002939D5">
        <w:rPr>
          <w:rStyle w:val="af9"/>
          <w:rFonts w:hint="cs"/>
          <w:rtl/>
        </w:rPr>
        <w:t>התוס'</w:t>
      </w:r>
      <w:r>
        <w:rPr>
          <w:rFonts w:hint="cs"/>
          <w:rtl/>
        </w:rPr>
        <w:t xml:space="preserve"> </w:t>
      </w:r>
      <w:r w:rsidRPr="00E57683">
        <w:rPr>
          <w:rStyle w:val="af7"/>
          <w:rFonts w:eastAsia="Guttman Hodes" w:hint="cs"/>
          <w:rtl/>
        </w:rPr>
        <w:t xml:space="preserve">(עי' אות </w:t>
      </w:r>
      <w:r w:rsidRPr="00E57683">
        <w:rPr>
          <w:rStyle w:val="af7"/>
          <w:rFonts w:eastAsia="Guttman Hodes"/>
          <w:rtl/>
        </w:rPr>
        <w:fldChar w:fldCharType="begin"/>
      </w:r>
      <w:r w:rsidRPr="00E57683">
        <w:rPr>
          <w:rStyle w:val="af7"/>
          <w:rFonts w:eastAsia="Guttman Hodes"/>
          <w:rtl/>
        </w:rPr>
        <w:instrText xml:space="preserve"> </w:instrText>
      </w:r>
      <w:r w:rsidRPr="00E57683">
        <w:rPr>
          <w:rStyle w:val="af7"/>
          <w:rFonts w:eastAsia="Guttman Hodes" w:hint="cs"/>
        </w:rPr>
        <w:instrText>REF</w:instrText>
      </w:r>
      <w:r w:rsidRPr="00E57683">
        <w:rPr>
          <w:rStyle w:val="af7"/>
          <w:rFonts w:eastAsia="Guttman Hodes" w:hint="cs"/>
          <w:rtl/>
        </w:rPr>
        <w:instrText xml:space="preserve"> _</w:instrText>
      </w:r>
      <w:r w:rsidRPr="00E57683">
        <w:rPr>
          <w:rStyle w:val="af7"/>
          <w:rFonts w:eastAsia="Guttman Hodes" w:hint="cs"/>
        </w:rPr>
        <w:instrText>Ref531592291 \r \h</w:instrText>
      </w:r>
      <w:r w:rsidRPr="00E57683">
        <w:rPr>
          <w:rStyle w:val="af7"/>
          <w:rFonts w:eastAsia="Guttman Hodes"/>
          <w:rtl/>
        </w:rPr>
        <w:instrText xml:space="preserve"> </w:instrText>
      </w:r>
      <w:r w:rsidRPr="00E57683">
        <w:rPr>
          <w:rStyle w:val="af7"/>
          <w:rFonts w:eastAsia="Guttman Hodes"/>
          <w:rtl/>
        </w:rPr>
      </w:r>
      <w:r w:rsidRPr="00E57683">
        <w:rPr>
          <w:rStyle w:val="af7"/>
          <w:rFonts w:eastAsia="Guttman Hodes"/>
          <w:rtl/>
        </w:rPr>
        <w:fldChar w:fldCharType="separate"/>
      </w:r>
      <w:r w:rsidR="00345400">
        <w:rPr>
          <w:rStyle w:val="af7"/>
          <w:rFonts w:eastAsia="Guttman Hodes"/>
          <w:cs/>
        </w:rPr>
        <w:t>‎</w:t>
      </w:r>
      <w:r w:rsidR="00345400">
        <w:rPr>
          <w:rStyle w:val="af7"/>
          <w:rFonts w:eastAsia="Guttman Hodes"/>
          <w:rtl/>
        </w:rPr>
        <w:t>מא)</w:t>
      </w:r>
      <w:r w:rsidRPr="00E57683">
        <w:rPr>
          <w:rStyle w:val="af7"/>
          <w:rFonts w:eastAsia="Guttman Hodes"/>
          <w:rtl/>
        </w:rPr>
        <w:fldChar w:fldCharType="end"/>
      </w:r>
      <w:r>
        <w:rPr>
          <w:rFonts w:hint="cs"/>
          <w:rtl/>
        </w:rPr>
        <w:t xml:space="preserve"> דדוחק לפרש </w:t>
      </w:r>
      <w:r w:rsidRPr="002939D5">
        <w:rPr>
          <w:rStyle w:val="af9"/>
          <w:rFonts w:hint="cs"/>
          <w:rtl/>
        </w:rPr>
        <w:t>כרש"י</w:t>
      </w:r>
      <w:r>
        <w:rPr>
          <w:rFonts w:hint="cs"/>
          <w:rtl/>
        </w:rPr>
        <w:t>.</w:t>
      </w:r>
    </w:p>
    <w:p w14:paraId="31FF0198" w14:textId="77777777" w:rsidR="003D04E6" w:rsidRDefault="003D04E6" w:rsidP="006D6D32">
      <w:pPr>
        <w:pStyle w:val="a3"/>
        <w:rPr>
          <w:rtl/>
        </w:rPr>
      </w:pPr>
      <w:bookmarkStart w:id="12249" w:name="_Toc531817628"/>
      <w:bookmarkStart w:id="12250" w:name="_Toc531819728"/>
      <w:bookmarkStart w:id="12251" w:name="_Toc19390621"/>
      <w:bookmarkStart w:id="12252" w:name="_Toc19394118"/>
      <w:r>
        <w:rPr>
          <w:rFonts w:hint="cs"/>
          <w:rtl/>
        </w:rPr>
        <w:t>דברי רש"י ותוס' דלא קיי"ל כרב ושמואל אלא כרחב"א דהכשיר בהגרמה</w:t>
      </w:r>
      <w:bookmarkEnd w:id="12249"/>
      <w:bookmarkEnd w:id="12250"/>
      <w:bookmarkEnd w:id="12251"/>
      <w:bookmarkEnd w:id="12252"/>
    </w:p>
    <w:p w14:paraId="1EECF884" w14:textId="77777777" w:rsidR="003D04E6" w:rsidRPr="006C21FD" w:rsidRDefault="003D04E6" w:rsidP="00223668">
      <w:pPr>
        <w:pStyle w:val="a0"/>
        <w:rPr>
          <w:rtl/>
        </w:rPr>
      </w:pPr>
      <w:r>
        <w:rPr>
          <w:rFonts w:hint="cs"/>
          <w:rtl/>
        </w:rPr>
        <w:t xml:space="preserve">ועי' בדברי </w:t>
      </w:r>
      <w:r w:rsidRPr="001D092B">
        <w:rPr>
          <w:rStyle w:val="af9"/>
          <w:rFonts w:hint="cs"/>
          <w:rtl/>
        </w:rPr>
        <w:t xml:space="preserve">רש"י </w:t>
      </w:r>
      <w:r w:rsidRPr="001D092B">
        <w:rPr>
          <w:rStyle w:val="af7"/>
          <w:rFonts w:eastAsia="Guttman Hodes" w:hint="cs"/>
          <w:rtl/>
        </w:rPr>
        <w:t xml:space="preserve">(עי' אות </w:t>
      </w:r>
      <w:r w:rsidRPr="001D092B">
        <w:rPr>
          <w:rStyle w:val="af7"/>
          <w:rFonts w:eastAsia="Guttman Hodes"/>
          <w:rtl/>
        </w:rPr>
        <w:fldChar w:fldCharType="begin"/>
      </w:r>
      <w:r w:rsidRPr="001D092B">
        <w:rPr>
          <w:rStyle w:val="af7"/>
          <w:rFonts w:eastAsia="Guttman Hodes"/>
          <w:rtl/>
        </w:rPr>
        <w:instrText xml:space="preserve"> </w:instrText>
      </w:r>
      <w:r w:rsidRPr="001D092B">
        <w:rPr>
          <w:rStyle w:val="af7"/>
          <w:rFonts w:eastAsia="Guttman Hodes" w:hint="cs"/>
        </w:rPr>
        <w:instrText>REF</w:instrText>
      </w:r>
      <w:r w:rsidRPr="001D092B">
        <w:rPr>
          <w:rStyle w:val="af7"/>
          <w:rFonts w:eastAsia="Guttman Hodes" w:hint="cs"/>
          <w:rtl/>
        </w:rPr>
        <w:instrText xml:space="preserve"> _</w:instrText>
      </w:r>
      <w:r w:rsidRPr="001D092B">
        <w:rPr>
          <w:rStyle w:val="af7"/>
          <w:rFonts w:eastAsia="Guttman Hodes" w:hint="cs"/>
        </w:rPr>
        <w:instrText>Ref531814671 \r \h</w:instrText>
      </w:r>
      <w:r w:rsidRPr="001D092B">
        <w:rPr>
          <w:rStyle w:val="af7"/>
          <w:rFonts w:eastAsia="Guttman Hodes"/>
          <w:rtl/>
        </w:rPr>
        <w:instrText xml:space="preserve"> </w:instrText>
      </w:r>
      <w:r w:rsidRPr="001D092B">
        <w:rPr>
          <w:rStyle w:val="af7"/>
          <w:rFonts w:eastAsia="Guttman Hodes"/>
          <w:rtl/>
        </w:rPr>
      </w:r>
      <w:r w:rsidRPr="001D092B">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1D092B">
        <w:rPr>
          <w:rStyle w:val="af7"/>
          <w:rFonts w:eastAsia="Guttman Hodes"/>
          <w:rtl/>
        </w:rPr>
        <w:fldChar w:fldCharType="end"/>
      </w:r>
      <w:r>
        <w:rPr>
          <w:rFonts w:hint="cs"/>
          <w:rtl/>
        </w:rPr>
        <w:t xml:space="preserve"> דכתב דלהלכה אין כל נ"מ מהביאור בדברי רב ושמואל דלא קיי"ל כוותיהו אלא כרחב"א, וכ"כ </w:t>
      </w:r>
      <w:r w:rsidRPr="001D092B">
        <w:rPr>
          <w:rStyle w:val="af9"/>
          <w:rFonts w:hint="cs"/>
          <w:rtl/>
        </w:rPr>
        <w:t>התוס</w:t>
      </w:r>
      <w:r>
        <w:rPr>
          <w:rFonts w:hint="cs"/>
          <w:rtl/>
        </w:rPr>
        <w:t xml:space="preserve">' </w:t>
      </w:r>
      <w:r w:rsidRPr="001D092B">
        <w:rPr>
          <w:rStyle w:val="af7"/>
          <w:rFonts w:eastAsia="Guttman Hodes" w:hint="cs"/>
          <w:rtl/>
        </w:rPr>
        <w:t xml:space="preserve">(עי' אות </w:t>
      </w:r>
      <w:r w:rsidRPr="001D092B">
        <w:rPr>
          <w:rStyle w:val="af7"/>
          <w:rFonts w:eastAsia="Guttman Hodes"/>
          <w:rtl/>
        </w:rPr>
        <w:fldChar w:fldCharType="begin"/>
      </w:r>
      <w:r w:rsidRPr="001D092B">
        <w:rPr>
          <w:rStyle w:val="af7"/>
          <w:rFonts w:eastAsia="Guttman Hodes"/>
          <w:rtl/>
        </w:rPr>
        <w:instrText xml:space="preserve"> </w:instrText>
      </w:r>
      <w:r w:rsidRPr="001D092B">
        <w:rPr>
          <w:rStyle w:val="af7"/>
          <w:rFonts w:eastAsia="Guttman Hodes" w:hint="cs"/>
        </w:rPr>
        <w:instrText>REF</w:instrText>
      </w:r>
      <w:r w:rsidRPr="001D092B">
        <w:rPr>
          <w:rStyle w:val="af7"/>
          <w:rFonts w:eastAsia="Guttman Hodes" w:hint="cs"/>
          <w:rtl/>
        </w:rPr>
        <w:instrText xml:space="preserve"> _</w:instrText>
      </w:r>
      <w:r w:rsidRPr="001D092B">
        <w:rPr>
          <w:rStyle w:val="af7"/>
          <w:rFonts w:eastAsia="Guttman Hodes" w:hint="cs"/>
        </w:rPr>
        <w:instrText>Ref531616764 \r \h</w:instrText>
      </w:r>
      <w:r w:rsidRPr="001D092B">
        <w:rPr>
          <w:rStyle w:val="af7"/>
          <w:rFonts w:eastAsia="Guttman Hodes"/>
          <w:rtl/>
        </w:rPr>
        <w:instrText xml:space="preserve"> </w:instrText>
      </w:r>
      <w:r w:rsidRPr="001D092B">
        <w:rPr>
          <w:rStyle w:val="af7"/>
          <w:rFonts w:eastAsia="Guttman Hodes"/>
          <w:rtl/>
        </w:rPr>
      </w:r>
      <w:r w:rsidRPr="001D092B">
        <w:rPr>
          <w:rStyle w:val="af7"/>
          <w:rFonts w:eastAsia="Guttman Hodes"/>
          <w:rtl/>
        </w:rPr>
        <w:fldChar w:fldCharType="separate"/>
      </w:r>
      <w:r w:rsidR="00345400">
        <w:rPr>
          <w:rStyle w:val="af7"/>
          <w:rFonts w:eastAsia="Guttman Hodes"/>
          <w:cs/>
        </w:rPr>
        <w:t>‎</w:t>
      </w:r>
      <w:r w:rsidR="00345400">
        <w:rPr>
          <w:rStyle w:val="af7"/>
          <w:rFonts w:eastAsia="Guttman Hodes"/>
          <w:rtl/>
        </w:rPr>
        <w:t>לח)</w:t>
      </w:r>
      <w:r w:rsidRPr="001D092B">
        <w:rPr>
          <w:rStyle w:val="af7"/>
          <w:rFonts w:eastAsia="Guttman Hodes"/>
          <w:rtl/>
        </w:rPr>
        <w:fldChar w:fldCharType="end"/>
      </w:r>
      <w:r>
        <w:rPr>
          <w:rFonts w:hint="cs"/>
          <w:rtl/>
        </w:rPr>
        <w:t xml:space="preserve"> דלא קיי"ל כרב ושמואל בזה.</w:t>
      </w:r>
    </w:p>
    <w:p w14:paraId="0406A0B2" w14:textId="77777777" w:rsidR="003D04E6" w:rsidRDefault="003D04E6" w:rsidP="00BF39B2">
      <w:pPr>
        <w:pStyle w:val="1"/>
        <w:rPr>
          <w:rtl/>
        </w:rPr>
      </w:pPr>
      <w:bookmarkStart w:id="12253" w:name="_Toc531622061"/>
      <w:bookmarkStart w:id="12254" w:name="_Toc531629717"/>
      <w:bookmarkStart w:id="12255" w:name="_Toc531638989"/>
      <w:bookmarkStart w:id="12256" w:name="_Toc531776391"/>
      <w:bookmarkStart w:id="12257" w:name="_Toc531817629"/>
      <w:bookmarkStart w:id="12258" w:name="_Toc531819729"/>
      <w:bookmarkStart w:id="12259" w:name="_Toc19390622"/>
      <w:bookmarkStart w:id="12260" w:name="_Toc19394119"/>
      <w:bookmarkStart w:id="12261" w:name="_Toc531638983"/>
      <w:r>
        <w:rPr>
          <w:rFonts w:hint="cs"/>
          <w:rtl/>
        </w:rPr>
        <w:t>ביאור דברי רב ושמואל לדעת הי"מ ברש"י</w:t>
      </w:r>
      <w:bookmarkEnd w:id="12253"/>
      <w:bookmarkEnd w:id="12254"/>
      <w:bookmarkEnd w:id="12255"/>
      <w:bookmarkEnd w:id="12256"/>
      <w:bookmarkEnd w:id="12257"/>
      <w:bookmarkEnd w:id="12258"/>
      <w:bookmarkEnd w:id="12259"/>
      <w:bookmarkEnd w:id="12260"/>
    </w:p>
    <w:p w14:paraId="0D4F7DBF" w14:textId="77777777" w:rsidR="003D04E6" w:rsidRDefault="003D04E6" w:rsidP="006D6D32">
      <w:pPr>
        <w:pStyle w:val="a3"/>
        <w:rPr>
          <w:rtl/>
        </w:rPr>
      </w:pPr>
      <w:bookmarkStart w:id="12262" w:name="_Toc531817630"/>
      <w:bookmarkStart w:id="12263" w:name="_Toc531819730"/>
      <w:bookmarkStart w:id="12264" w:name="_Toc19390623"/>
      <w:bookmarkStart w:id="12265" w:name="_Toc19394120"/>
      <w:r>
        <w:rPr>
          <w:rFonts w:hint="cs"/>
          <w:rtl/>
        </w:rPr>
        <w:t>דברי רש"י דלהי"מ אמרו רב ושמואל דבשאר הטבעות מודה ריבר"י דבהגרים פסול דאינם רוב קנה</w:t>
      </w:r>
      <w:bookmarkEnd w:id="12262"/>
      <w:bookmarkEnd w:id="12263"/>
      <w:bookmarkEnd w:id="12264"/>
      <w:bookmarkEnd w:id="12265"/>
    </w:p>
    <w:p w14:paraId="3D97BAE4" w14:textId="77777777" w:rsidR="003D04E6" w:rsidRDefault="003D04E6" w:rsidP="00223668">
      <w:pPr>
        <w:pStyle w:val="a0"/>
        <w:rPr>
          <w:rtl/>
        </w:rPr>
      </w:pPr>
      <w:bookmarkStart w:id="12266" w:name="_Ref531638197"/>
      <w:r w:rsidRPr="0075404B">
        <w:rPr>
          <w:rFonts w:hint="cs"/>
          <w:rtl/>
        </w:rPr>
        <w:t xml:space="preserve">כתב </w:t>
      </w:r>
      <w:r w:rsidRPr="00023A81">
        <w:rPr>
          <w:rStyle w:val="af9"/>
          <w:rFonts w:hint="cs"/>
          <w:rtl/>
        </w:rPr>
        <w:t>רש"י</w:t>
      </w:r>
      <w:r w:rsidRPr="0075404B">
        <w:rPr>
          <w:rFonts w:hint="cs"/>
          <w:rtl/>
        </w:rPr>
        <w:t xml:space="preserve"> </w:t>
      </w:r>
      <w:r w:rsidRPr="00023A81">
        <w:rPr>
          <w:rStyle w:val="af7"/>
          <w:rFonts w:eastAsia="Guttman Hodes" w:hint="cs"/>
          <w:rtl/>
        </w:rPr>
        <w:t xml:space="preserve">(יח: </w:t>
      </w:r>
      <w:r>
        <w:rPr>
          <w:rStyle w:val="af7"/>
          <w:rFonts w:eastAsia="Guttman Hodes" w:hint="cs"/>
          <w:rtl/>
        </w:rPr>
        <w:t>ד</w:t>
      </w:r>
      <w:r>
        <w:rPr>
          <w:rStyle w:val="af7"/>
          <w:rFonts w:eastAsia="Guttman Hodes"/>
          <w:rtl/>
        </w:rPr>
        <w:t>"</w:t>
      </w:r>
      <w:r>
        <w:rPr>
          <w:rStyle w:val="af7"/>
          <w:rFonts w:eastAsia="Guttman Hodes" w:hint="cs"/>
          <w:rtl/>
        </w:rPr>
        <w:t>ה הכי קאמרי)</w:t>
      </w:r>
      <w:r w:rsidRPr="00023A81">
        <w:rPr>
          <w:rStyle w:val="af9"/>
          <w:rFonts w:hint="cs"/>
          <w:rtl/>
        </w:rPr>
        <w:t xml:space="preserve"> דהי"מ</w:t>
      </w:r>
      <w:r w:rsidRPr="0075404B">
        <w:rPr>
          <w:rFonts w:hint="cs"/>
          <w:rtl/>
        </w:rPr>
        <w:t xml:space="preserve"> </w:t>
      </w:r>
      <w:r w:rsidRPr="00023A81">
        <w:rPr>
          <w:rStyle w:val="af7"/>
          <w:rFonts w:eastAsia="Guttman Hodes" w:hint="cs"/>
          <w:rtl/>
        </w:rPr>
        <w:t xml:space="preserve">(עי' אות </w:t>
      </w:r>
      <w:r w:rsidRPr="00023A81">
        <w:rPr>
          <w:rStyle w:val="af7"/>
          <w:rFonts w:eastAsia="Guttman Hodes"/>
          <w:rtl/>
        </w:rPr>
        <w:fldChar w:fldCharType="begin"/>
      </w:r>
      <w:r w:rsidRPr="00023A81">
        <w:rPr>
          <w:rStyle w:val="af7"/>
          <w:rFonts w:eastAsia="Guttman Hodes"/>
          <w:rtl/>
        </w:rPr>
        <w:instrText xml:space="preserve"> </w:instrText>
      </w:r>
      <w:r w:rsidRPr="00023A81">
        <w:rPr>
          <w:rStyle w:val="af7"/>
          <w:rFonts w:eastAsia="Guttman Hodes" w:hint="cs"/>
        </w:rPr>
        <w:instrText>REF</w:instrText>
      </w:r>
      <w:r w:rsidRPr="00023A81">
        <w:rPr>
          <w:rStyle w:val="af7"/>
          <w:rFonts w:eastAsia="Guttman Hodes" w:hint="cs"/>
          <w:rtl/>
        </w:rPr>
        <w:instrText xml:space="preserve"> _</w:instrText>
      </w:r>
      <w:r w:rsidRPr="00023A81">
        <w:rPr>
          <w:rStyle w:val="af7"/>
          <w:rFonts w:eastAsia="Guttman Hodes" w:hint="cs"/>
        </w:rPr>
        <w:instrText>Ref531549260 \r \h</w:instrText>
      </w:r>
      <w:r w:rsidRPr="00023A81">
        <w:rPr>
          <w:rStyle w:val="af7"/>
          <w:rFonts w:eastAsia="Guttman Hodes"/>
          <w:rtl/>
        </w:rPr>
        <w:instrText xml:space="preserve"> </w:instrText>
      </w:r>
      <w:r w:rsidRPr="00023A81">
        <w:rPr>
          <w:rStyle w:val="af7"/>
          <w:rFonts w:eastAsia="Guttman Hodes"/>
          <w:rtl/>
        </w:rPr>
      </w:r>
      <w:r w:rsidRPr="00023A81">
        <w:rPr>
          <w:rStyle w:val="af7"/>
          <w:rFonts w:eastAsia="Guttman Hodes"/>
          <w:rtl/>
        </w:rPr>
        <w:fldChar w:fldCharType="separate"/>
      </w:r>
      <w:r w:rsidR="00345400">
        <w:rPr>
          <w:rStyle w:val="af7"/>
          <w:rFonts w:eastAsia="Guttman Hodes"/>
          <w:cs/>
        </w:rPr>
        <w:t>‎</w:t>
      </w:r>
      <w:r w:rsidR="00345400">
        <w:rPr>
          <w:rStyle w:val="af7"/>
          <w:rFonts w:eastAsia="Guttman Hodes"/>
          <w:rtl/>
        </w:rPr>
        <w:t>ו)</w:t>
      </w:r>
      <w:r w:rsidRPr="00023A81">
        <w:rPr>
          <w:rStyle w:val="af7"/>
          <w:rFonts w:eastAsia="Guttman Hodes"/>
          <w:rtl/>
        </w:rPr>
        <w:fldChar w:fldCharType="end"/>
      </w:r>
      <w:r w:rsidRPr="0075404B">
        <w:rPr>
          <w:rFonts w:hint="cs"/>
          <w:rtl/>
        </w:rPr>
        <w:t xml:space="preserve"> ד</w:t>
      </w:r>
      <w:r>
        <w:rPr>
          <w:rFonts w:hint="cs"/>
          <w:rtl/>
        </w:rPr>
        <w:t xml:space="preserve">ס"ל </w:t>
      </w:r>
      <w:r w:rsidRPr="0075404B">
        <w:rPr>
          <w:rFonts w:hint="cs"/>
          <w:rtl/>
        </w:rPr>
        <w:t xml:space="preserve">הגרמה היינו כשיוצא מהטבעת שהתחיל לשחוט בה, </w:t>
      </w:r>
      <w:r>
        <w:rPr>
          <w:rFonts w:hint="cs"/>
          <w:rtl/>
        </w:rPr>
        <w:t>ביארו ד</w:t>
      </w:r>
      <w:r w:rsidRPr="0075404B">
        <w:rPr>
          <w:rFonts w:hint="cs"/>
          <w:rtl/>
        </w:rPr>
        <w:t>רב ושמואל</w:t>
      </w:r>
      <w:r>
        <w:rPr>
          <w:rFonts w:hint="cs"/>
          <w:rtl/>
        </w:rPr>
        <w:t xml:space="preserve"> אמרי</w:t>
      </w:r>
      <w:r w:rsidRPr="0075404B">
        <w:rPr>
          <w:rFonts w:hint="cs"/>
          <w:rtl/>
        </w:rPr>
        <w:t xml:space="preserve"> </w:t>
      </w:r>
      <w:r>
        <w:rPr>
          <w:rFonts w:hint="cs"/>
          <w:rtl/>
        </w:rPr>
        <w:t>דהא דהכשיר ריבר</w:t>
      </w:r>
      <w:r>
        <w:rPr>
          <w:rtl/>
        </w:rPr>
        <w:t>"</w:t>
      </w:r>
      <w:r>
        <w:rPr>
          <w:rFonts w:hint="cs"/>
          <w:rtl/>
        </w:rPr>
        <w:t>י בשחט את רוב הטבעת ואח"כ הגרים, הוא דוקא בטבעת הגדולה, אבל בשאר הטבעות מודה ריבר</w:t>
      </w:r>
      <w:r>
        <w:rPr>
          <w:rtl/>
        </w:rPr>
        <w:t>"</w:t>
      </w:r>
      <w:r>
        <w:rPr>
          <w:rFonts w:hint="cs"/>
          <w:rtl/>
        </w:rPr>
        <w:t>י דאם שחט את רוב הטבעת והגרים דפסול, דכיון ששאר הטבעות אינם מקיפות את כל הקנה, ממילא הרוב שלהם אינו רוב הקנה.</w:t>
      </w:r>
      <w:bookmarkEnd w:id="12266"/>
    </w:p>
    <w:p w14:paraId="00E980A4" w14:textId="77777777" w:rsidR="003D04E6" w:rsidRDefault="003D04E6" w:rsidP="006D6D32">
      <w:pPr>
        <w:pStyle w:val="a3"/>
        <w:rPr>
          <w:rtl/>
        </w:rPr>
      </w:pPr>
      <w:bookmarkStart w:id="12267" w:name="_Toc531817631"/>
      <w:bookmarkStart w:id="12268" w:name="_Toc531819731"/>
      <w:bookmarkStart w:id="12269" w:name="_Toc19390624"/>
      <w:bookmarkStart w:id="12270" w:name="_Toc19394121"/>
      <w:r>
        <w:rPr>
          <w:rFonts w:hint="cs"/>
          <w:rtl/>
        </w:rPr>
        <w:t>דחיית רש"י דפשיטא דבשחט רק את רוב שאר הטבעות לא מהני שחיטה</w:t>
      </w:r>
      <w:bookmarkEnd w:id="12267"/>
      <w:bookmarkEnd w:id="12268"/>
      <w:bookmarkEnd w:id="12269"/>
      <w:bookmarkEnd w:id="12270"/>
    </w:p>
    <w:p w14:paraId="18F8D5D1" w14:textId="77777777" w:rsidR="003D04E6" w:rsidRDefault="003D04E6" w:rsidP="00223668">
      <w:pPr>
        <w:pStyle w:val="a0"/>
        <w:rPr>
          <w:rtl/>
        </w:rPr>
      </w:pPr>
      <w:bookmarkStart w:id="12271" w:name="_Ref531549674"/>
      <w:r>
        <w:rPr>
          <w:rFonts w:hint="cs"/>
          <w:rtl/>
        </w:rPr>
        <w:t xml:space="preserve">ודחה </w:t>
      </w:r>
      <w:r w:rsidRPr="00023A81">
        <w:rPr>
          <w:rStyle w:val="af9"/>
          <w:rFonts w:hint="cs"/>
          <w:rtl/>
        </w:rPr>
        <w:t>רש"י</w:t>
      </w:r>
      <w:r>
        <w:rPr>
          <w:rFonts w:hint="cs"/>
          <w:rtl/>
        </w:rPr>
        <w:t xml:space="preserve"> את ביאור </w:t>
      </w:r>
      <w:r w:rsidRPr="00023A81">
        <w:rPr>
          <w:rStyle w:val="af9"/>
          <w:rFonts w:hint="cs"/>
          <w:rtl/>
        </w:rPr>
        <w:t>הי"מ</w:t>
      </w:r>
      <w:r>
        <w:rPr>
          <w:rFonts w:hint="cs"/>
          <w:rtl/>
        </w:rPr>
        <w:t xml:space="preserve"> בדברי רב ושמואל, דא"כ מה מקשה הגמ' על רב ושמואל מהתוספתא, הא ודאי דלא מהני אם שחט רק את הרוב בשאר הטבעות, ועי' בדברי </w:t>
      </w:r>
      <w:r w:rsidRPr="00E96AE9">
        <w:rPr>
          <w:rStyle w:val="af9"/>
          <w:rFonts w:hint="cs"/>
          <w:rtl/>
        </w:rPr>
        <w:t>המהרש"א</w:t>
      </w:r>
      <w:r>
        <w:rPr>
          <w:rFonts w:hint="cs"/>
          <w:rtl/>
        </w:rPr>
        <w:t xml:space="preserve"> </w:t>
      </w:r>
      <w:r w:rsidRPr="00E96AE9">
        <w:rPr>
          <w:rStyle w:val="af7"/>
          <w:rFonts w:eastAsia="Guttman Hodes" w:hint="cs"/>
          <w:rtl/>
        </w:rPr>
        <w:t xml:space="preserve">(עי' אות </w:t>
      </w:r>
      <w:r w:rsidRPr="00E96AE9">
        <w:rPr>
          <w:rStyle w:val="af7"/>
          <w:rFonts w:eastAsia="Guttman Hodes"/>
          <w:rtl/>
        </w:rPr>
        <w:fldChar w:fldCharType="begin"/>
      </w:r>
      <w:r w:rsidRPr="00E96AE9">
        <w:rPr>
          <w:rStyle w:val="af7"/>
          <w:rFonts w:eastAsia="Guttman Hodes"/>
          <w:rtl/>
        </w:rPr>
        <w:instrText xml:space="preserve"> </w:instrText>
      </w:r>
      <w:r w:rsidRPr="00E96AE9">
        <w:rPr>
          <w:rStyle w:val="af7"/>
          <w:rFonts w:eastAsia="Guttman Hodes" w:hint="cs"/>
        </w:rPr>
        <w:instrText>REF</w:instrText>
      </w:r>
      <w:r w:rsidRPr="00E96AE9">
        <w:rPr>
          <w:rStyle w:val="af7"/>
          <w:rFonts w:eastAsia="Guttman Hodes" w:hint="cs"/>
          <w:rtl/>
        </w:rPr>
        <w:instrText xml:space="preserve"> _</w:instrText>
      </w:r>
      <w:r w:rsidRPr="00E96AE9">
        <w:rPr>
          <w:rStyle w:val="af7"/>
          <w:rFonts w:eastAsia="Guttman Hodes" w:hint="cs"/>
        </w:rPr>
        <w:instrText>Ref531638767 \r \h</w:instrText>
      </w:r>
      <w:r w:rsidRPr="00E96AE9">
        <w:rPr>
          <w:rStyle w:val="af7"/>
          <w:rFonts w:eastAsia="Guttman Hodes"/>
          <w:rtl/>
        </w:rPr>
        <w:instrText xml:space="preserve"> </w:instrText>
      </w:r>
      <w:r w:rsidRPr="00E96AE9">
        <w:rPr>
          <w:rStyle w:val="af7"/>
          <w:rFonts w:eastAsia="Guttman Hodes"/>
          <w:rtl/>
        </w:rPr>
      </w:r>
      <w:r w:rsidRPr="00E96AE9">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E96AE9">
        <w:rPr>
          <w:rStyle w:val="af7"/>
          <w:rFonts w:eastAsia="Guttman Hodes"/>
          <w:rtl/>
        </w:rPr>
        <w:fldChar w:fldCharType="end"/>
      </w:r>
      <w:r>
        <w:rPr>
          <w:rFonts w:hint="cs"/>
          <w:rtl/>
        </w:rPr>
        <w:t>.</w:t>
      </w:r>
    </w:p>
    <w:p w14:paraId="1D2F7C49" w14:textId="77777777" w:rsidR="003D04E6" w:rsidRPr="00394870" w:rsidRDefault="003D04E6" w:rsidP="006D6D32">
      <w:pPr>
        <w:pStyle w:val="a3"/>
      </w:pPr>
      <w:bookmarkStart w:id="12272" w:name="_Toc531817632"/>
      <w:bookmarkStart w:id="12273" w:name="_Toc531819732"/>
      <w:bookmarkStart w:id="12274" w:name="_Toc19390625"/>
      <w:bookmarkStart w:id="12275" w:name="_Toc19394122"/>
      <w:r>
        <w:rPr>
          <w:rFonts w:hint="cs"/>
          <w:rtl/>
        </w:rPr>
        <w:t>דברי רש"י דבתוספתא לא מבואר דאיירי בהגרמה דאינו תלוי ברוב ומיעוט דאיתא בתוספתא</w:t>
      </w:r>
      <w:bookmarkEnd w:id="12272"/>
      <w:bookmarkEnd w:id="12273"/>
      <w:bookmarkEnd w:id="12274"/>
      <w:bookmarkEnd w:id="12275"/>
    </w:p>
    <w:p w14:paraId="41BFB4D4" w14:textId="77777777" w:rsidR="003D04E6" w:rsidRDefault="003D04E6" w:rsidP="00223668">
      <w:pPr>
        <w:pStyle w:val="a0"/>
        <w:rPr>
          <w:rtl/>
        </w:rPr>
      </w:pPr>
      <w:bookmarkStart w:id="12276" w:name="_Ref531716906"/>
      <w:r>
        <w:rPr>
          <w:rFonts w:hint="cs"/>
          <w:rtl/>
        </w:rPr>
        <w:t xml:space="preserve">והוסיף </w:t>
      </w:r>
      <w:r w:rsidRPr="00394870">
        <w:rPr>
          <w:rStyle w:val="af9"/>
          <w:rFonts w:hint="cs"/>
          <w:rtl/>
        </w:rPr>
        <w:t>רש"י</w:t>
      </w:r>
      <w:r>
        <w:rPr>
          <w:rFonts w:hint="cs"/>
          <w:rtl/>
        </w:rPr>
        <w:t xml:space="preserve"> דבתוספתא שהגמ' מקשה</w:t>
      </w:r>
      <w:r w:rsidRPr="00421D91">
        <w:rPr>
          <w:rFonts w:hint="cs"/>
          <w:rtl/>
        </w:rPr>
        <w:t xml:space="preserve"> </w:t>
      </w:r>
      <w:r>
        <w:rPr>
          <w:rFonts w:hint="cs"/>
          <w:rtl/>
        </w:rPr>
        <w:t xml:space="preserve">ממנה על רב ושמואל לא תני שהגרים לאחר שחיטת רוב הטבעות, וכתב </w:t>
      </w:r>
      <w:r w:rsidRPr="00023A81">
        <w:rPr>
          <w:rStyle w:val="af9"/>
          <w:rFonts w:hint="cs"/>
          <w:rtl/>
        </w:rPr>
        <w:t>רש"י</w:t>
      </w:r>
      <w:r>
        <w:rPr>
          <w:rFonts w:hint="cs"/>
          <w:rtl/>
        </w:rPr>
        <w:t xml:space="preserve"> דאף אי נימא דכוונת התוספתא לומר דכשר אף היכא שהגרים, דאי לא הגרים אין כל חידוש בתוספתא, א"א לומר כן דכיון שלא שחט את רוב הקנה, לא יתכן שהכשיר ריבר</w:t>
      </w:r>
      <w:r>
        <w:rPr>
          <w:rtl/>
        </w:rPr>
        <w:t>"</w:t>
      </w:r>
      <w:r>
        <w:rPr>
          <w:rFonts w:hint="cs"/>
          <w:rtl/>
        </w:rPr>
        <w:t xml:space="preserve">י, והוסיף </w:t>
      </w:r>
      <w:r w:rsidRPr="00023A81">
        <w:rPr>
          <w:rStyle w:val="af9"/>
          <w:rFonts w:hint="cs"/>
          <w:rtl/>
        </w:rPr>
        <w:t>רש"י</w:t>
      </w:r>
      <w:r>
        <w:rPr>
          <w:rFonts w:hint="cs"/>
          <w:rtl/>
        </w:rPr>
        <w:t xml:space="preserve"> דא"א לומר דכוונת התוספתא לומר דכשיוצא משאר הטבעות אי"ז נחשב הגרמה, דא"כ אמאי תני בתוספתא "הואיל ומקיפין את רוב הקנה", והרי דין הגרמה משאר הטבעות אינו מחמת שהוא רוב או מיעוט, אלא הוא מחמת שאי"ז נחשב הגרמה.</w:t>
      </w:r>
      <w:bookmarkEnd w:id="12271"/>
      <w:bookmarkEnd w:id="12276"/>
    </w:p>
    <w:p w14:paraId="728902F7" w14:textId="77777777" w:rsidR="003D04E6" w:rsidRDefault="003D04E6" w:rsidP="00BF39B2">
      <w:pPr>
        <w:pStyle w:val="1"/>
        <w:rPr>
          <w:rtl/>
        </w:rPr>
      </w:pPr>
      <w:bookmarkStart w:id="12277" w:name="_Toc531622055"/>
      <w:bookmarkStart w:id="12278" w:name="_Toc531629711"/>
      <w:bookmarkStart w:id="12279" w:name="_Toc531638981"/>
      <w:bookmarkStart w:id="12280" w:name="_Toc531776392"/>
      <w:bookmarkStart w:id="12281" w:name="_Toc531817633"/>
      <w:bookmarkStart w:id="12282" w:name="_Toc531819733"/>
      <w:bookmarkStart w:id="12283" w:name="_Toc19390626"/>
      <w:bookmarkStart w:id="12284" w:name="_Toc19394123"/>
      <w:r>
        <w:rPr>
          <w:rFonts w:hint="cs"/>
          <w:rtl/>
        </w:rPr>
        <w:t>קושית התוס' הרא"ש</w:t>
      </w:r>
      <w:bookmarkEnd w:id="12277"/>
      <w:bookmarkEnd w:id="12278"/>
      <w:r>
        <w:rPr>
          <w:rFonts w:hint="cs"/>
          <w:rtl/>
        </w:rPr>
        <w:t xml:space="preserve"> על הי"מ רש"י</w:t>
      </w:r>
      <w:bookmarkEnd w:id="12279"/>
      <w:bookmarkEnd w:id="12280"/>
      <w:bookmarkEnd w:id="12281"/>
      <w:bookmarkEnd w:id="12282"/>
      <w:bookmarkEnd w:id="12283"/>
      <w:bookmarkEnd w:id="12284"/>
    </w:p>
    <w:p w14:paraId="0D43AD14" w14:textId="77777777" w:rsidR="003D04E6" w:rsidRDefault="003D04E6" w:rsidP="006D6D32">
      <w:pPr>
        <w:pStyle w:val="a3"/>
        <w:rPr>
          <w:rtl/>
        </w:rPr>
      </w:pPr>
      <w:bookmarkStart w:id="12285" w:name="_Toc531817634"/>
      <w:bookmarkStart w:id="12286" w:name="_Toc531819734"/>
      <w:bookmarkStart w:id="12287" w:name="_Toc19390627"/>
      <w:bookmarkStart w:id="12288" w:name="_Toc19394124"/>
      <w:r>
        <w:rPr>
          <w:rFonts w:hint="cs"/>
          <w:rtl/>
        </w:rPr>
        <w:t>קושית רבינו מאיר דלדברי הי"מ קושית הגמ' מהתוספתא קשה על המשנה</w:t>
      </w:r>
      <w:bookmarkEnd w:id="12285"/>
      <w:bookmarkEnd w:id="12286"/>
      <w:bookmarkEnd w:id="12287"/>
      <w:bookmarkEnd w:id="12288"/>
    </w:p>
    <w:p w14:paraId="785388BE" w14:textId="77777777" w:rsidR="003D04E6" w:rsidRDefault="003D04E6" w:rsidP="00223668">
      <w:pPr>
        <w:pStyle w:val="a0"/>
        <w:rPr>
          <w:rtl/>
        </w:rPr>
      </w:pPr>
      <w:r>
        <w:rPr>
          <w:rStyle w:val="af9"/>
          <w:rFonts w:hint="cs"/>
          <w:rtl/>
        </w:rPr>
        <w:t>ו</w:t>
      </w:r>
      <w:r w:rsidRPr="0003656A">
        <w:rPr>
          <w:rStyle w:val="af9"/>
          <w:rFonts w:hint="cs"/>
          <w:rtl/>
        </w:rPr>
        <w:t>התוס' הרא"ש</w:t>
      </w:r>
      <w:r>
        <w:rPr>
          <w:rFonts w:hint="cs"/>
          <w:rtl/>
        </w:rPr>
        <w:t xml:space="preserve"> </w:t>
      </w:r>
      <w:r w:rsidRPr="009460C6">
        <w:rPr>
          <w:rStyle w:val="af7"/>
          <w:rFonts w:eastAsia="Guttman Hodes" w:hint="cs"/>
          <w:rtl/>
        </w:rPr>
        <w:t>(ד"ה אבל)</w:t>
      </w:r>
      <w:r>
        <w:rPr>
          <w:rFonts w:hint="cs"/>
          <w:rtl/>
        </w:rPr>
        <w:t xml:space="preserve"> בשם </w:t>
      </w:r>
      <w:r w:rsidRPr="0003656A">
        <w:rPr>
          <w:rStyle w:val="af9"/>
          <w:rFonts w:hint="cs"/>
          <w:rtl/>
        </w:rPr>
        <w:t>רבינו מאיר</w:t>
      </w:r>
      <w:r>
        <w:rPr>
          <w:rFonts w:hint="cs"/>
          <w:rtl/>
        </w:rPr>
        <w:t xml:space="preserve"> הקשה על </w:t>
      </w:r>
      <w:r w:rsidRPr="00A20FC9">
        <w:rPr>
          <w:rStyle w:val="af9"/>
          <w:rFonts w:hint="cs"/>
          <w:rtl/>
        </w:rPr>
        <w:t>הי"מ ברש</w:t>
      </w:r>
      <w:r w:rsidRPr="00110196">
        <w:rPr>
          <w:rStyle w:val="af9"/>
          <w:rFonts w:hint="cs"/>
          <w:rtl/>
        </w:rPr>
        <w:t>"י</w:t>
      </w:r>
      <w:r>
        <w:rPr>
          <w:rStyle w:val="af9"/>
          <w:rFonts w:hint="cs"/>
          <w:rtl/>
        </w:rPr>
        <w:t xml:space="preserve"> </w:t>
      </w:r>
      <w:r>
        <w:rPr>
          <w:rFonts w:hint="cs"/>
          <w:rtl/>
        </w:rPr>
        <w:t>דאי כוונת התוספתא לומר דכשיוצא משאר הטבעות אי"ז נחשב הגרמה, א"כ מה מקשה הגמ' מהתוספתא לרב ושמואל, הרי הקושיה היא על המשנה, דכל מה שהוסיפו רב ושמואל הוא דבהגרמה בשאר הטבעות, לא אמרינן דרובו ככולו.</w:t>
      </w:r>
    </w:p>
    <w:p w14:paraId="37B1CEDF" w14:textId="77777777" w:rsidR="003D04E6" w:rsidRDefault="003D04E6" w:rsidP="006D6D32">
      <w:pPr>
        <w:pStyle w:val="a3"/>
        <w:rPr>
          <w:rtl/>
        </w:rPr>
      </w:pPr>
      <w:bookmarkStart w:id="12289" w:name="_Toc531817635"/>
      <w:bookmarkStart w:id="12290" w:name="_Toc531819735"/>
      <w:bookmarkStart w:id="12291" w:name="_Toc19390628"/>
      <w:bookmarkStart w:id="12292" w:name="_Toc19394125"/>
      <w:r>
        <w:rPr>
          <w:rFonts w:hint="cs"/>
          <w:rtl/>
        </w:rPr>
        <w:t>תירוץ רבינו מאיר דריבר"י ס"ל דאין הגרמה בשאר טבות ותירוץ התורא"ש דכן אפש"ל במשנה</w:t>
      </w:r>
      <w:bookmarkEnd w:id="12289"/>
      <w:bookmarkEnd w:id="12290"/>
      <w:bookmarkEnd w:id="12291"/>
      <w:bookmarkEnd w:id="12292"/>
    </w:p>
    <w:p w14:paraId="3B59FF94" w14:textId="77777777" w:rsidR="003D04E6" w:rsidRDefault="003D04E6" w:rsidP="00223668">
      <w:pPr>
        <w:pStyle w:val="a0"/>
        <w:rPr>
          <w:rtl/>
        </w:rPr>
      </w:pPr>
      <w:r>
        <w:rPr>
          <w:rFonts w:hint="cs"/>
          <w:rtl/>
        </w:rPr>
        <w:t xml:space="preserve">והביא </w:t>
      </w:r>
      <w:r w:rsidRPr="0003656A">
        <w:rPr>
          <w:rStyle w:val="af9"/>
          <w:rFonts w:hint="cs"/>
          <w:rtl/>
        </w:rPr>
        <w:t>התוס' הרא"ש</w:t>
      </w:r>
      <w:r>
        <w:rPr>
          <w:rFonts w:hint="cs"/>
          <w:rtl/>
        </w:rPr>
        <w:t xml:space="preserve"> </w:t>
      </w:r>
      <w:r>
        <w:rPr>
          <w:rStyle w:val="af9"/>
          <w:rFonts w:hint="cs"/>
          <w:rtl/>
        </w:rPr>
        <w:t>ד</w:t>
      </w:r>
      <w:r w:rsidRPr="0003656A">
        <w:rPr>
          <w:rStyle w:val="af9"/>
          <w:rFonts w:hint="cs"/>
          <w:rtl/>
        </w:rPr>
        <w:t>רבינו מאיר</w:t>
      </w:r>
      <w:r>
        <w:rPr>
          <w:rFonts w:hint="cs"/>
          <w:rtl/>
        </w:rPr>
        <w:t xml:space="preserve"> תירץ דעל המשנה לא קשה מהתוספתא דאפש"ל דס"ל לריבר</w:t>
      </w:r>
      <w:r>
        <w:rPr>
          <w:rtl/>
        </w:rPr>
        <w:t>"</w:t>
      </w:r>
      <w:r>
        <w:rPr>
          <w:rFonts w:hint="cs"/>
          <w:rtl/>
        </w:rPr>
        <w:t xml:space="preserve">י דאין דין הגרמה בשאר הטבעות. </w:t>
      </w:r>
      <w:r w:rsidRPr="0003656A">
        <w:rPr>
          <w:rStyle w:val="af9"/>
          <w:rFonts w:hint="cs"/>
          <w:rtl/>
        </w:rPr>
        <w:t>והתוס' הרא"ש</w:t>
      </w:r>
      <w:r>
        <w:rPr>
          <w:rFonts w:hint="cs"/>
          <w:rtl/>
        </w:rPr>
        <w:t xml:space="preserve"> תירץ דבמשנה אפש"ל דהא דאמר ריבר</w:t>
      </w:r>
      <w:r>
        <w:rPr>
          <w:rtl/>
        </w:rPr>
        <w:t>"</w:t>
      </w:r>
      <w:r>
        <w:rPr>
          <w:rFonts w:hint="cs"/>
          <w:rtl/>
        </w:rPr>
        <w:t>י דרובו ככולו הוא רק בטבעת הגדולה, דרק בזה ס"ל לריבר</w:t>
      </w:r>
      <w:r>
        <w:rPr>
          <w:rtl/>
        </w:rPr>
        <w:t>"</w:t>
      </w:r>
      <w:r>
        <w:rPr>
          <w:rFonts w:hint="cs"/>
          <w:rtl/>
        </w:rPr>
        <w:t>י שיש הגרמה, ולא בשאר הטבעות דאין בהם הגרמה לריבר</w:t>
      </w:r>
      <w:r>
        <w:rPr>
          <w:rtl/>
        </w:rPr>
        <w:t>"</w:t>
      </w:r>
      <w:r>
        <w:rPr>
          <w:rFonts w:hint="cs"/>
          <w:rtl/>
        </w:rPr>
        <w:t>י.</w:t>
      </w:r>
    </w:p>
    <w:p w14:paraId="06AE9DF2" w14:textId="77777777" w:rsidR="003D04E6" w:rsidRDefault="003D04E6" w:rsidP="00BF39B2">
      <w:pPr>
        <w:pStyle w:val="1"/>
        <w:rPr>
          <w:rtl/>
        </w:rPr>
      </w:pPr>
      <w:bookmarkStart w:id="12293" w:name="_Toc531817636"/>
      <w:bookmarkStart w:id="12294" w:name="_Toc531819736"/>
      <w:bookmarkStart w:id="12295" w:name="_Toc19390629"/>
      <w:bookmarkStart w:id="12296" w:name="_Toc19394126"/>
      <w:r>
        <w:rPr>
          <w:rFonts w:hint="cs"/>
          <w:rtl/>
        </w:rPr>
        <w:t>דברי המהרש"א דהי"מ ס"ל דרוב טבעות הוי רוב קנה</w:t>
      </w:r>
      <w:bookmarkEnd w:id="12293"/>
      <w:bookmarkEnd w:id="12294"/>
      <w:bookmarkEnd w:id="12295"/>
      <w:bookmarkEnd w:id="12296"/>
    </w:p>
    <w:p w14:paraId="73EE03D5" w14:textId="77777777" w:rsidR="003D04E6" w:rsidRPr="00AD37B4" w:rsidRDefault="003D04E6" w:rsidP="006D6D32">
      <w:pPr>
        <w:pStyle w:val="a3"/>
        <w:rPr>
          <w:rtl/>
        </w:rPr>
      </w:pPr>
      <w:bookmarkStart w:id="12297" w:name="_Toc531817637"/>
      <w:bookmarkStart w:id="12298" w:name="_Toc531819737"/>
      <w:bookmarkStart w:id="12299" w:name="_Toc19390630"/>
      <w:bookmarkStart w:id="12300" w:name="_Toc19394127"/>
      <w:r>
        <w:rPr>
          <w:rFonts w:hint="cs"/>
          <w:rtl/>
        </w:rPr>
        <w:t>דברי המהרש"א דלי"מ אפש"ל דלרבר"י רוב טבעות הוי רוב קנה כתוס' והבעה"מ והרא"ש</w:t>
      </w:r>
      <w:bookmarkEnd w:id="12297"/>
      <w:bookmarkEnd w:id="12298"/>
      <w:bookmarkEnd w:id="12299"/>
      <w:bookmarkEnd w:id="12300"/>
    </w:p>
    <w:p w14:paraId="0D16080E" w14:textId="77777777" w:rsidR="003D04E6" w:rsidRDefault="003D04E6" w:rsidP="00223668">
      <w:pPr>
        <w:pStyle w:val="a0"/>
        <w:rPr>
          <w:rtl/>
        </w:rPr>
      </w:pPr>
      <w:bookmarkStart w:id="12301" w:name="_Ref531638767"/>
      <w:r>
        <w:rPr>
          <w:rFonts w:hint="cs"/>
          <w:rtl/>
        </w:rPr>
        <w:t xml:space="preserve">במה שהקשה </w:t>
      </w:r>
      <w:r w:rsidRPr="000F1531">
        <w:rPr>
          <w:rStyle w:val="af9"/>
          <w:rFonts w:hint="cs"/>
          <w:rtl/>
        </w:rPr>
        <w:t>רש"י</w:t>
      </w:r>
      <w:r>
        <w:rPr>
          <w:rFonts w:hint="cs"/>
          <w:rtl/>
        </w:rPr>
        <w:t xml:space="preserve"> על </w:t>
      </w:r>
      <w:r w:rsidRPr="000F1531">
        <w:rPr>
          <w:rStyle w:val="af9"/>
          <w:rFonts w:hint="cs"/>
          <w:rtl/>
        </w:rPr>
        <w:t>הי"מ</w:t>
      </w:r>
      <w:r>
        <w:rPr>
          <w:rFonts w:hint="cs"/>
          <w:rtl/>
        </w:rPr>
        <w:t xml:space="preserve"> דהיאך יתכן להכשיר בשחיטת רוב שאר הטבעות, כתב </w:t>
      </w:r>
      <w:r w:rsidRPr="000F1531">
        <w:rPr>
          <w:rStyle w:val="af9"/>
          <w:rFonts w:hint="cs"/>
          <w:rtl/>
        </w:rPr>
        <w:t>המהרש"א</w:t>
      </w:r>
      <w:r>
        <w:rPr>
          <w:rFonts w:hint="cs"/>
          <w:rtl/>
        </w:rPr>
        <w:t xml:space="preserve"> </w:t>
      </w:r>
      <w:r w:rsidRPr="00543F55">
        <w:rPr>
          <w:rStyle w:val="af7"/>
          <w:rFonts w:eastAsia="Guttman Hodes" w:hint="cs"/>
          <w:rtl/>
        </w:rPr>
        <w:t xml:space="preserve">(יח: על רש"י ד"ה וללישנא) </w:t>
      </w:r>
      <w:r>
        <w:rPr>
          <w:rFonts w:hint="cs"/>
          <w:rtl/>
        </w:rPr>
        <w:t>דאפשר לתרץ את דס"ל לריבר</w:t>
      </w:r>
      <w:r>
        <w:rPr>
          <w:rtl/>
        </w:rPr>
        <w:t>"</w:t>
      </w:r>
      <w:r>
        <w:rPr>
          <w:rFonts w:hint="cs"/>
          <w:rtl/>
        </w:rPr>
        <w:t>י דרוב הטבעות הוי רוב הקנה, ורק בזה נחלקו רב ושמואל על ריבר</w:t>
      </w:r>
      <w:r>
        <w:rPr>
          <w:rtl/>
        </w:rPr>
        <w:t>"</w:t>
      </w:r>
      <w:r>
        <w:rPr>
          <w:rFonts w:hint="cs"/>
          <w:rtl/>
        </w:rPr>
        <w:t>י.</w:t>
      </w:r>
      <w:bookmarkEnd w:id="12301"/>
      <w:r>
        <w:rPr>
          <w:rFonts w:hint="cs"/>
          <w:rtl/>
        </w:rPr>
        <w:t xml:space="preserve"> וכתב </w:t>
      </w:r>
      <w:r w:rsidRPr="00D11FD3">
        <w:rPr>
          <w:rStyle w:val="af9"/>
          <w:rFonts w:hint="cs"/>
          <w:rtl/>
        </w:rPr>
        <w:t>המהרש"א</w:t>
      </w:r>
      <w:r w:rsidRPr="00D11FD3">
        <w:rPr>
          <w:rFonts w:hint="cs"/>
          <w:rtl/>
        </w:rPr>
        <w:t xml:space="preserve"> דזהו הביאור בדברי </w:t>
      </w:r>
      <w:r w:rsidRPr="00D11FD3">
        <w:rPr>
          <w:rStyle w:val="af9"/>
          <w:rFonts w:hint="cs"/>
          <w:rtl/>
        </w:rPr>
        <w:t xml:space="preserve">התוס' </w:t>
      </w:r>
      <w:r w:rsidRPr="00D11FD3">
        <w:rPr>
          <w:rStyle w:val="af7"/>
          <w:rFonts w:eastAsia="Guttman Hodes" w:hint="cs"/>
          <w:rtl/>
        </w:rPr>
        <w:t xml:space="preserve">(עי' אות </w:t>
      </w:r>
      <w:r w:rsidRPr="00D11FD3">
        <w:rPr>
          <w:rStyle w:val="af7"/>
          <w:rFonts w:eastAsia="Guttman Hodes"/>
          <w:rtl/>
        </w:rPr>
        <w:fldChar w:fldCharType="begin"/>
      </w:r>
      <w:r w:rsidRPr="00D11FD3">
        <w:rPr>
          <w:rStyle w:val="af7"/>
          <w:rFonts w:eastAsia="Guttman Hodes"/>
          <w:rtl/>
        </w:rPr>
        <w:instrText xml:space="preserve"> </w:instrText>
      </w:r>
      <w:r w:rsidRPr="00D11FD3">
        <w:rPr>
          <w:rStyle w:val="af7"/>
          <w:rFonts w:eastAsia="Guttman Hodes" w:hint="cs"/>
        </w:rPr>
        <w:instrText>REF</w:instrText>
      </w:r>
      <w:r w:rsidRPr="00D11FD3">
        <w:rPr>
          <w:rStyle w:val="af7"/>
          <w:rFonts w:eastAsia="Guttman Hodes" w:hint="cs"/>
          <w:rtl/>
        </w:rPr>
        <w:instrText xml:space="preserve"> _</w:instrText>
      </w:r>
      <w:r w:rsidRPr="00D11FD3">
        <w:rPr>
          <w:rStyle w:val="af7"/>
          <w:rFonts w:eastAsia="Guttman Hodes" w:hint="cs"/>
        </w:rPr>
        <w:instrText>Ref531727860 \r \h</w:instrText>
      </w:r>
      <w:r w:rsidRPr="00D11FD3">
        <w:rPr>
          <w:rStyle w:val="af7"/>
          <w:rFonts w:eastAsia="Guttman Hodes"/>
          <w:rtl/>
        </w:rPr>
        <w:instrText xml:space="preserve"> </w:instrText>
      </w:r>
      <w:r w:rsidRPr="00D11FD3">
        <w:rPr>
          <w:rStyle w:val="af7"/>
          <w:rFonts w:eastAsia="Guttman Hodes"/>
          <w:rtl/>
        </w:rPr>
      </w:r>
      <w:r w:rsidRPr="00D11FD3">
        <w:rPr>
          <w:rStyle w:val="af7"/>
          <w:rFonts w:eastAsia="Guttman Hodes"/>
          <w:rtl/>
        </w:rPr>
        <w:fldChar w:fldCharType="separate"/>
      </w:r>
      <w:r w:rsidR="00345400">
        <w:rPr>
          <w:rStyle w:val="af7"/>
          <w:rFonts w:eastAsia="Guttman Hodes"/>
          <w:cs/>
        </w:rPr>
        <w:t>‎</w:t>
      </w:r>
      <w:r w:rsidR="00345400">
        <w:rPr>
          <w:rStyle w:val="af7"/>
          <w:rFonts w:eastAsia="Guttman Hodes"/>
          <w:rtl/>
        </w:rPr>
        <w:t>סא)</w:t>
      </w:r>
      <w:r w:rsidRPr="00D11FD3">
        <w:rPr>
          <w:rStyle w:val="af7"/>
          <w:rFonts w:eastAsia="Guttman Hodes"/>
          <w:rtl/>
        </w:rPr>
        <w:fldChar w:fldCharType="end"/>
      </w:r>
      <w:r w:rsidRPr="00D11FD3">
        <w:rPr>
          <w:rStyle w:val="af9"/>
          <w:rFonts w:hint="cs"/>
          <w:rtl/>
        </w:rPr>
        <w:t xml:space="preserve"> והרא"ש</w:t>
      </w:r>
      <w:r w:rsidRPr="00D11FD3">
        <w:rPr>
          <w:rFonts w:hint="cs"/>
          <w:rtl/>
        </w:rPr>
        <w:t xml:space="preserve"> </w:t>
      </w:r>
      <w:r w:rsidRPr="00D11FD3">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Ref531715296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עד)</w:t>
      </w:r>
      <w:r>
        <w:rPr>
          <w:rStyle w:val="af7"/>
          <w:rFonts w:eastAsia="Guttman Hodes"/>
          <w:rtl/>
        </w:rPr>
        <w:fldChar w:fldCharType="end"/>
      </w:r>
      <w:r w:rsidRPr="00D11FD3">
        <w:rPr>
          <w:rStyle w:val="af7"/>
          <w:rFonts w:eastAsia="Guttman Hodes" w:hint="cs"/>
          <w:rtl/>
        </w:rPr>
        <w:t xml:space="preserve">  </w:t>
      </w:r>
      <w:r w:rsidRPr="00D11FD3">
        <w:rPr>
          <w:rStyle w:val="af9"/>
          <w:rFonts w:hint="cs"/>
          <w:rtl/>
        </w:rPr>
        <w:t>והבעה"מ</w:t>
      </w:r>
      <w:r w:rsidRPr="00D11FD3">
        <w:rPr>
          <w:rFonts w:hint="cs"/>
          <w:rtl/>
        </w:rPr>
        <w:t xml:space="preserve"> </w:t>
      </w:r>
      <w:r w:rsidRPr="00D11FD3">
        <w:rPr>
          <w:rStyle w:val="af7"/>
          <w:rFonts w:eastAsia="Guttman Hodes" w:hint="cs"/>
          <w:rtl/>
        </w:rPr>
        <w:t xml:space="preserve">(עי' אות </w:t>
      </w:r>
      <w:r w:rsidRPr="00D11FD3">
        <w:rPr>
          <w:rStyle w:val="af7"/>
          <w:rFonts w:eastAsia="Guttman Hodes"/>
          <w:rtl/>
        </w:rPr>
        <w:fldChar w:fldCharType="begin"/>
      </w:r>
      <w:r w:rsidRPr="00D11FD3">
        <w:rPr>
          <w:rStyle w:val="af7"/>
          <w:rFonts w:eastAsia="Guttman Hodes"/>
          <w:rtl/>
        </w:rPr>
        <w:instrText xml:space="preserve"> </w:instrText>
      </w:r>
      <w:r w:rsidRPr="00D11FD3">
        <w:rPr>
          <w:rStyle w:val="af7"/>
          <w:rFonts w:eastAsia="Guttman Hodes" w:hint="cs"/>
        </w:rPr>
        <w:instrText>REF</w:instrText>
      </w:r>
      <w:r w:rsidRPr="00D11FD3">
        <w:rPr>
          <w:rStyle w:val="af7"/>
          <w:rFonts w:eastAsia="Guttman Hodes" w:hint="cs"/>
          <w:rtl/>
        </w:rPr>
        <w:instrText xml:space="preserve"> _</w:instrText>
      </w:r>
      <w:r w:rsidRPr="00D11FD3">
        <w:rPr>
          <w:rStyle w:val="af7"/>
          <w:rFonts w:eastAsia="Guttman Hodes" w:hint="cs"/>
        </w:rPr>
        <w:instrText>Ref531621888 \r \h</w:instrText>
      </w:r>
      <w:r w:rsidRPr="00D11FD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D11FD3">
        <w:rPr>
          <w:rStyle w:val="af7"/>
          <w:rFonts w:eastAsia="Guttman Hodes"/>
          <w:rtl/>
        </w:rPr>
      </w:r>
      <w:r w:rsidRPr="00D11FD3">
        <w:rPr>
          <w:rStyle w:val="af7"/>
          <w:rFonts w:eastAsia="Guttman Hodes"/>
          <w:rtl/>
        </w:rPr>
        <w:fldChar w:fldCharType="separate"/>
      </w:r>
      <w:r w:rsidR="00345400">
        <w:rPr>
          <w:rStyle w:val="af7"/>
          <w:rFonts w:eastAsia="Guttman Hodes"/>
          <w:cs/>
        </w:rPr>
        <w:t>‎</w:t>
      </w:r>
      <w:r w:rsidR="00345400">
        <w:rPr>
          <w:rStyle w:val="af7"/>
          <w:rFonts w:eastAsia="Guttman Hodes"/>
          <w:rtl/>
        </w:rPr>
        <w:t>עה)</w:t>
      </w:r>
      <w:r w:rsidRPr="00D11FD3">
        <w:rPr>
          <w:rStyle w:val="af7"/>
          <w:rFonts w:eastAsia="Guttman Hodes"/>
          <w:rtl/>
        </w:rPr>
        <w:fldChar w:fldCharType="end"/>
      </w:r>
      <w:r w:rsidRPr="00D11FD3">
        <w:rPr>
          <w:rFonts w:hint="cs"/>
          <w:rtl/>
        </w:rPr>
        <w:t xml:space="preserve"> דדעת </w:t>
      </w:r>
      <w:r>
        <w:rPr>
          <w:rFonts w:hint="cs"/>
          <w:rtl/>
        </w:rPr>
        <w:t>ריבר</w:t>
      </w:r>
      <w:r>
        <w:rPr>
          <w:rtl/>
        </w:rPr>
        <w:t>"</w:t>
      </w:r>
      <w:r>
        <w:rPr>
          <w:rFonts w:hint="cs"/>
          <w:rtl/>
        </w:rPr>
        <w:t>י</w:t>
      </w:r>
      <w:r w:rsidRPr="00D11FD3">
        <w:rPr>
          <w:rFonts w:hint="cs"/>
          <w:rtl/>
        </w:rPr>
        <w:t xml:space="preserve"> בתוספתא, ד</w:t>
      </w:r>
      <w:r>
        <w:rPr>
          <w:rFonts w:hint="cs"/>
          <w:rtl/>
        </w:rPr>
        <w:t>ה</w:t>
      </w:r>
      <w:r w:rsidRPr="00D11FD3">
        <w:rPr>
          <w:rFonts w:hint="cs"/>
          <w:rtl/>
        </w:rPr>
        <w:t xml:space="preserve">רוב </w:t>
      </w:r>
      <w:r>
        <w:rPr>
          <w:rFonts w:hint="cs"/>
          <w:rtl/>
        </w:rPr>
        <w:t xml:space="preserve">של </w:t>
      </w:r>
      <w:r w:rsidRPr="00D11FD3">
        <w:rPr>
          <w:rFonts w:hint="cs"/>
          <w:rtl/>
        </w:rPr>
        <w:t>שאר הטבעות חשיב</w:t>
      </w:r>
      <w:r>
        <w:rPr>
          <w:rFonts w:hint="cs"/>
          <w:rtl/>
        </w:rPr>
        <w:t xml:space="preserve"> רוב הקנה.</w:t>
      </w:r>
    </w:p>
    <w:p w14:paraId="213FB65D" w14:textId="77777777" w:rsidR="003D04E6" w:rsidRDefault="003D04E6" w:rsidP="006D6D32">
      <w:pPr>
        <w:pStyle w:val="a3"/>
        <w:rPr>
          <w:rtl/>
        </w:rPr>
      </w:pPr>
      <w:bookmarkStart w:id="12302" w:name="_Toc531817638"/>
      <w:bookmarkStart w:id="12303" w:name="_Toc531819738"/>
      <w:bookmarkStart w:id="12304" w:name="_Toc19390631"/>
      <w:bookmarkStart w:id="12305" w:name="_Toc19394128"/>
      <w:r>
        <w:rPr>
          <w:rFonts w:hint="cs"/>
          <w:rtl/>
        </w:rPr>
        <w:t>דברי המהרש"א דס"ל לרש"י דלי"מ התוספתא לא איירי בהגרמה ולא קשה על רב ושמואל</w:t>
      </w:r>
      <w:bookmarkEnd w:id="12302"/>
      <w:bookmarkEnd w:id="12303"/>
      <w:bookmarkEnd w:id="12304"/>
      <w:bookmarkEnd w:id="12305"/>
    </w:p>
    <w:p w14:paraId="2443C6E2" w14:textId="77777777" w:rsidR="003D04E6" w:rsidRDefault="003D04E6" w:rsidP="00223668">
      <w:pPr>
        <w:pStyle w:val="a0"/>
        <w:rPr>
          <w:rtl/>
        </w:rPr>
      </w:pPr>
      <w:bookmarkStart w:id="12306" w:name="_Ref531727739"/>
      <w:r>
        <w:rPr>
          <w:rFonts w:hint="cs"/>
          <w:rtl/>
        </w:rPr>
        <w:t xml:space="preserve">וכתב </w:t>
      </w:r>
      <w:r w:rsidRPr="000F1531">
        <w:rPr>
          <w:rStyle w:val="af9"/>
          <w:rFonts w:hint="cs"/>
          <w:rtl/>
        </w:rPr>
        <w:t>המהרש"א</w:t>
      </w:r>
      <w:r>
        <w:rPr>
          <w:rFonts w:hint="cs"/>
          <w:rtl/>
        </w:rPr>
        <w:t xml:space="preserve"> דצריך ליישב בדוחק את דברי </w:t>
      </w:r>
      <w:r w:rsidRPr="000F1531">
        <w:rPr>
          <w:rStyle w:val="af9"/>
          <w:rFonts w:hint="cs"/>
          <w:rtl/>
        </w:rPr>
        <w:t>רש"י</w:t>
      </w:r>
      <w:r>
        <w:rPr>
          <w:rFonts w:hint="cs"/>
          <w:rtl/>
        </w:rPr>
        <w:t xml:space="preserve"> שדחה את דעת </w:t>
      </w:r>
      <w:r w:rsidRPr="000F1531">
        <w:rPr>
          <w:rStyle w:val="af9"/>
          <w:rFonts w:hint="cs"/>
          <w:rtl/>
        </w:rPr>
        <w:t>הי"מ</w:t>
      </w:r>
      <w:r>
        <w:rPr>
          <w:rFonts w:hint="cs"/>
          <w:rtl/>
        </w:rPr>
        <w:t xml:space="preserve">, דמשמע </w:t>
      </w:r>
      <w:r w:rsidRPr="000F1531">
        <w:rPr>
          <w:rStyle w:val="af9"/>
          <w:rFonts w:hint="cs"/>
          <w:rtl/>
        </w:rPr>
        <w:t>לרש"י</w:t>
      </w:r>
      <w:r>
        <w:rPr>
          <w:rFonts w:hint="cs"/>
          <w:rtl/>
        </w:rPr>
        <w:t xml:space="preserve"> דאי ס"ל לריבר</w:t>
      </w:r>
      <w:r>
        <w:rPr>
          <w:rtl/>
        </w:rPr>
        <w:t>"</w:t>
      </w:r>
      <w:r>
        <w:rPr>
          <w:rFonts w:hint="cs"/>
          <w:rtl/>
        </w:rPr>
        <w:t xml:space="preserve">י בתוספתא דרוב שאר הטבעות חשיב רוב קנה, א"כ חוזרת הקושיה מה מקשה הגמ' מהתוספתא על רב ושמואל, הרי יתכן לומר דהתוספתא לא איירי בדין הגרמה כלל, ובאה הברייתא לחדש דרוב שאר הטבעות כרוב הקנה, ועי' במה שביאר בזה </w:t>
      </w:r>
      <w:r w:rsidRPr="00B256D0">
        <w:rPr>
          <w:rStyle w:val="af9"/>
          <w:rFonts w:hint="cs"/>
          <w:rtl/>
        </w:rPr>
        <w:t>האשר לשלמה</w:t>
      </w:r>
      <w:r>
        <w:rPr>
          <w:rFonts w:hint="cs"/>
          <w:rtl/>
        </w:rPr>
        <w:t xml:space="preserve"> </w:t>
      </w:r>
      <w:r w:rsidRPr="00B256D0">
        <w:rPr>
          <w:rStyle w:val="af7"/>
          <w:rFonts w:eastAsia="Guttman Hodes" w:hint="cs"/>
          <w:rtl/>
        </w:rPr>
        <w:t>(קדשים סי' ס"א אות ב'</w:t>
      </w:r>
      <w:r>
        <w:rPr>
          <w:rStyle w:val="af7"/>
          <w:rFonts w:eastAsia="Guttman Hodes" w:hint="cs"/>
          <w:rtl/>
        </w:rPr>
        <w:t>)</w:t>
      </w:r>
      <w:r>
        <w:rPr>
          <w:rFonts w:hint="cs"/>
          <w:rtl/>
        </w:rPr>
        <w:t>.</w:t>
      </w:r>
      <w:bookmarkEnd w:id="12306"/>
    </w:p>
    <w:p w14:paraId="57318F50" w14:textId="77777777" w:rsidR="003D04E6" w:rsidRDefault="003D04E6" w:rsidP="006D6D32">
      <w:pPr>
        <w:pStyle w:val="a3"/>
        <w:rPr>
          <w:rtl/>
        </w:rPr>
      </w:pPr>
      <w:bookmarkStart w:id="12307" w:name="_Toc19390632"/>
      <w:bookmarkStart w:id="12308" w:name="_Toc19394129"/>
      <w:r>
        <w:rPr>
          <w:rFonts w:hint="cs"/>
          <w:rtl/>
        </w:rPr>
        <w:t>קושית הראש יוסף דאי רוב טבעת הוי רוב סימן ממילא אף לענין הגרמה מכשיר ריבר"י</w:t>
      </w:r>
      <w:bookmarkEnd w:id="12307"/>
      <w:bookmarkEnd w:id="12308"/>
    </w:p>
    <w:p w14:paraId="2353C748" w14:textId="77777777" w:rsidR="003D04E6" w:rsidRPr="00AA49C6" w:rsidRDefault="003D04E6" w:rsidP="00223668">
      <w:pPr>
        <w:pStyle w:val="a0"/>
        <w:rPr>
          <w:rtl/>
        </w:rPr>
      </w:pPr>
      <w:r>
        <w:rPr>
          <w:rFonts w:hint="cs"/>
          <w:rtl/>
        </w:rPr>
        <w:t xml:space="preserve">והקשה </w:t>
      </w:r>
      <w:r w:rsidRPr="008E6210">
        <w:rPr>
          <w:rStyle w:val="af9"/>
          <w:rFonts w:hint="cs"/>
          <w:rtl/>
        </w:rPr>
        <w:t>הראש יוסף</w:t>
      </w:r>
      <w:r>
        <w:rPr>
          <w:rFonts w:hint="cs"/>
          <w:rtl/>
        </w:rPr>
        <w:t xml:space="preserve"> </w:t>
      </w:r>
      <w:r w:rsidRPr="008E6210">
        <w:rPr>
          <w:rStyle w:val="af7"/>
          <w:rFonts w:eastAsia="Guttman Hodes" w:hint="cs"/>
          <w:rtl/>
        </w:rPr>
        <w:t>(יח: על רש"י ד"ה הכי קאמרי)</w:t>
      </w:r>
      <w:r>
        <w:rPr>
          <w:rFonts w:hint="cs"/>
          <w:rtl/>
        </w:rPr>
        <w:t xml:space="preserve"> על </w:t>
      </w:r>
      <w:r w:rsidRPr="00D6107E">
        <w:rPr>
          <w:rStyle w:val="af9"/>
          <w:rFonts w:hint="cs"/>
          <w:rtl/>
        </w:rPr>
        <w:t>המהרש"א</w:t>
      </w:r>
      <w:r>
        <w:rPr>
          <w:rFonts w:hint="cs"/>
          <w:rtl/>
        </w:rPr>
        <w:t xml:space="preserve"> דאי לענין שחיטה ס"ל לריבר"י דרוב הטבעת הוי כרוב קנה, א"כ היאך אפש"ל דהברייתא לא איירי בהגרמה, הא אי לענין שחיטה חשיב רוב הקנה, ממילא כשהגרים אחר שחיטת רוב הטבעת מכשיר ריבר"י, עיי"ש בדבריו באריכות.</w:t>
      </w:r>
    </w:p>
    <w:p w14:paraId="6010D91D" w14:textId="77777777" w:rsidR="003D04E6" w:rsidRDefault="003D04E6" w:rsidP="00BF39B2">
      <w:pPr>
        <w:pStyle w:val="1"/>
        <w:rPr>
          <w:rtl/>
        </w:rPr>
      </w:pPr>
      <w:bookmarkStart w:id="12309" w:name="_Toc531622062"/>
      <w:bookmarkStart w:id="12310" w:name="_Toc531629718"/>
      <w:bookmarkStart w:id="12311" w:name="_Toc531638990"/>
      <w:bookmarkStart w:id="12312" w:name="_Toc531776393"/>
      <w:bookmarkStart w:id="12313" w:name="_Toc531817639"/>
      <w:bookmarkStart w:id="12314" w:name="_Toc531819739"/>
      <w:bookmarkStart w:id="12315" w:name="_Toc19390633"/>
      <w:bookmarkStart w:id="12316" w:name="_Toc19394130"/>
      <w:r>
        <w:rPr>
          <w:rFonts w:hint="cs"/>
          <w:rtl/>
        </w:rPr>
        <w:t>פירוש הלשון הג' ברש"י</w:t>
      </w:r>
      <w:bookmarkEnd w:id="12309"/>
      <w:bookmarkEnd w:id="12310"/>
      <w:bookmarkEnd w:id="12311"/>
      <w:bookmarkEnd w:id="12312"/>
      <w:r>
        <w:rPr>
          <w:rFonts w:hint="cs"/>
          <w:rtl/>
        </w:rPr>
        <w:t xml:space="preserve"> דבשאר טבעות פוסל רבר"י מגזירה</w:t>
      </w:r>
      <w:bookmarkEnd w:id="12313"/>
      <w:bookmarkEnd w:id="12314"/>
      <w:bookmarkEnd w:id="12315"/>
      <w:bookmarkEnd w:id="12316"/>
    </w:p>
    <w:p w14:paraId="01662413" w14:textId="77777777" w:rsidR="003D04E6" w:rsidRPr="000F1531" w:rsidRDefault="003D04E6" w:rsidP="006D6D32">
      <w:pPr>
        <w:pStyle w:val="a3"/>
        <w:rPr>
          <w:rtl/>
        </w:rPr>
      </w:pPr>
      <w:bookmarkStart w:id="12317" w:name="_Toc531817640"/>
      <w:bookmarkStart w:id="12318" w:name="_Toc531819740"/>
      <w:bookmarkStart w:id="12319" w:name="_Toc19390634"/>
      <w:bookmarkStart w:id="12320" w:name="_Toc19394131"/>
      <w:r>
        <w:rPr>
          <w:rFonts w:hint="cs"/>
          <w:rtl/>
        </w:rPr>
        <w:t>ביאור הלשון הג' ברש"י דגזר ריבר"י ברוב חלל קנה בשאר טבעות שמא לא ישחט רק רוב טבעת</w:t>
      </w:r>
      <w:bookmarkEnd w:id="12317"/>
      <w:bookmarkEnd w:id="12318"/>
      <w:bookmarkEnd w:id="12319"/>
      <w:bookmarkEnd w:id="12320"/>
    </w:p>
    <w:p w14:paraId="4682AE04" w14:textId="77777777" w:rsidR="003D04E6" w:rsidRDefault="003D04E6" w:rsidP="00223668">
      <w:pPr>
        <w:pStyle w:val="a0"/>
        <w:rPr>
          <w:rtl/>
        </w:rPr>
      </w:pPr>
      <w:r>
        <w:rPr>
          <w:rFonts w:hint="cs"/>
          <w:rtl/>
        </w:rPr>
        <w:t xml:space="preserve">עוד הביא </w:t>
      </w:r>
      <w:r w:rsidRPr="00325C19">
        <w:rPr>
          <w:rStyle w:val="af9"/>
          <w:rFonts w:hint="cs"/>
          <w:rtl/>
        </w:rPr>
        <w:t>רש"י</w:t>
      </w:r>
      <w:r>
        <w:rPr>
          <w:rFonts w:hint="cs"/>
          <w:rtl/>
        </w:rPr>
        <w:t xml:space="preserve"> </w:t>
      </w:r>
      <w:r w:rsidRPr="00325C19">
        <w:rPr>
          <w:rStyle w:val="af7"/>
          <w:rFonts w:eastAsia="Guttman Hodes" w:hint="cs"/>
          <w:rtl/>
        </w:rPr>
        <w:t xml:space="preserve">(יח: </w:t>
      </w:r>
      <w:r>
        <w:rPr>
          <w:rStyle w:val="af7"/>
          <w:rFonts w:eastAsia="Guttman Hodes" w:hint="cs"/>
          <w:rtl/>
        </w:rPr>
        <w:t>ד</w:t>
      </w:r>
      <w:r>
        <w:rPr>
          <w:rStyle w:val="af7"/>
          <w:rFonts w:eastAsia="Guttman Hodes"/>
          <w:rtl/>
        </w:rPr>
        <w:t>"</w:t>
      </w:r>
      <w:r>
        <w:rPr>
          <w:rStyle w:val="af7"/>
          <w:rFonts w:eastAsia="Guttman Hodes" w:hint="cs"/>
          <w:rtl/>
        </w:rPr>
        <w:t>ה הכי קאמרי)</w:t>
      </w:r>
      <w:r>
        <w:rPr>
          <w:rFonts w:hint="cs"/>
          <w:rtl/>
        </w:rPr>
        <w:t xml:space="preserve"> </w:t>
      </w:r>
      <w:r>
        <w:rPr>
          <w:rStyle w:val="af9"/>
          <w:rFonts w:hint="cs"/>
          <w:rtl/>
        </w:rPr>
        <w:t xml:space="preserve">לשון שלישי </w:t>
      </w:r>
      <w:r>
        <w:rPr>
          <w:rFonts w:hint="cs"/>
          <w:rtl/>
        </w:rPr>
        <w:t xml:space="preserve">דאמרי רב ושמואל שאם שחט בשאר הטבעות את רוב החלל של הקנה </w:t>
      </w:r>
      <w:r w:rsidRPr="00325C19">
        <w:rPr>
          <w:rStyle w:val="afb"/>
          <w:rFonts w:hint="cs"/>
          <w:rtl/>
        </w:rPr>
        <w:t>[ולא רק את רוב הטבעת]</w:t>
      </w:r>
      <w:r>
        <w:rPr>
          <w:rFonts w:hint="cs"/>
          <w:rtl/>
        </w:rPr>
        <w:t>, ואח"כ הגרים, דמודה ריבר</w:t>
      </w:r>
      <w:r>
        <w:rPr>
          <w:rtl/>
        </w:rPr>
        <w:t>"</w:t>
      </w:r>
      <w:r>
        <w:rPr>
          <w:rFonts w:hint="cs"/>
          <w:rtl/>
        </w:rPr>
        <w:t>י דפסול, גזירה אטו שחט את רוב שאר הטבעות, ולא שחט את רוב החלל של הקנה.</w:t>
      </w:r>
    </w:p>
    <w:p w14:paraId="1E5AA360" w14:textId="77777777" w:rsidR="003D04E6" w:rsidRDefault="003D04E6" w:rsidP="006D6D32">
      <w:pPr>
        <w:pStyle w:val="a3"/>
        <w:rPr>
          <w:rtl/>
        </w:rPr>
      </w:pPr>
      <w:bookmarkStart w:id="12321" w:name="_Toc531817641"/>
      <w:bookmarkStart w:id="12322" w:name="_Toc531819741"/>
      <w:bookmarkStart w:id="12323" w:name="_Toc19390635"/>
      <w:bookmarkStart w:id="12324" w:name="_Toc19394132"/>
      <w:r>
        <w:rPr>
          <w:rFonts w:hint="cs"/>
          <w:rtl/>
        </w:rPr>
        <w:t>דחיית רש"י דלא מבואר כן ברב ושמואל ובתוספתא מוכח דא"א לפרש כן</w:t>
      </w:r>
      <w:bookmarkEnd w:id="12321"/>
      <w:bookmarkEnd w:id="12322"/>
      <w:bookmarkEnd w:id="12323"/>
      <w:bookmarkEnd w:id="12324"/>
    </w:p>
    <w:p w14:paraId="163A699A" w14:textId="77777777" w:rsidR="003D04E6" w:rsidRDefault="003D04E6" w:rsidP="00223668">
      <w:pPr>
        <w:pStyle w:val="a0"/>
        <w:rPr>
          <w:rtl/>
        </w:rPr>
      </w:pPr>
      <w:r>
        <w:rPr>
          <w:rFonts w:hint="cs"/>
          <w:rtl/>
        </w:rPr>
        <w:t xml:space="preserve">ודחה </w:t>
      </w:r>
      <w:r w:rsidRPr="00325C19">
        <w:rPr>
          <w:rStyle w:val="af9"/>
          <w:rFonts w:hint="cs"/>
          <w:rtl/>
        </w:rPr>
        <w:t>רש"י</w:t>
      </w:r>
      <w:r>
        <w:rPr>
          <w:rFonts w:hint="cs"/>
          <w:rtl/>
        </w:rPr>
        <w:t xml:space="preserve"> את </w:t>
      </w:r>
      <w:r w:rsidRPr="00325C19">
        <w:rPr>
          <w:rStyle w:val="af9"/>
          <w:rFonts w:hint="cs"/>
          <w:rtl/>
        </w:rPr>
        <w:t>ה</w:t>
      </w:r>
      <w:r>
        <w:rPr>
          <w:rStyle w:val="af9"/>
          <w:rFonts w:hint="cs"/>
          <w:rtl/>
        </w:rPr>
        <w:t>לשון</w:t>
      </w:r>
      <w:r w:rsidRPr="00325C19">
        <w:rPr>
          <w:rStyle w:val="af9"/>
          <w:rFonts w:hint="cs"/>
          <w:rtl/>
        </w:rPr>
        <w:t xml:space="preserve"> השלישי</w:t>
      </w:r>
      <w:r>
        <w:rPr>
          <w:rFonts w:hint="cs"/>
          <w:rtl/>
        </w:rPr>
        <w:t xml:space="preserve"> דא"כ היה לרב ושמואל לפרש כן להדיא, ועוד דחה </w:t>
      </w:r>
      <w:r w:rsidRPr="00325C19">
        <w:rPr>
          <w:rStyle w:val="af9"/>
          <w:rFonts w:hint="cs"/>
          <w:rtl/>
        </w:rPr>
        <w:t>רש"י</w:t>
      </w:r>
      <w:r>
        <w:rPr>
          <w:rFonts w:hint="cs"/>
          <w:rtl/>
        </w:rPr>
        <w:t xml:space="preserve"> דאינו מבואר בתוספתא כדדחה </w:t>
      </w:r>
      <w:r w:rsidRPr="00325C19">
        <w:rPr>
          <w:rStyle w:val="af9"/>
          <w:rFonts w:hint="cs"/>
          <w:rtl/>
        </w:rPr>
        <w:t>רש"י</w:t>
      </w:r>
      <w:r>
        <w:rPr>
          <w:rFonts w:hint="cs"/>
          <w:rtl/>
        </w:rPr>
        <w:t xml:space="preserve"> את דעת </w:t>
      </w:r>
      <w:r w:rsidRPr="00325C19">
        <w:rPr>
          <w:rStyle w:val="af9"/>
          <w:rFonts w:hint="cs"/>
          <w:rtl/>
        </w:rPr>
        <w:t>הי"מ</w:t>
      </w:r>
      <w:r>
        <w:rPr>
          <w:rFonts w:hint="cs"/>
          <w:rtl/>
        </w:rPr>
        <w:t xml:space="preserve"> </w:t>
      </w:r>
      <w:r w:rsidRPr="00795F8B">
        <w:rPr>
          <w:rStyle w:val="af7"/>
          <w:rFonts w:eastAsia="Guttman Hodes" w:hint="cs"/>
          <w:rtl/>
        </w:rPr>
        <w:t xml:space="preserve">(עי' אות </w:t>
      </w:r>
      <w:r w:rsidRPr="00795F8B">
        <w:rPr>
          <w:rStyle w:val="af7"/>
          <w:rFonts w:eastAsia="Guttman Hodes"/>
          <w:rtl/>
        </w:rPr>
        <w:fldChar w:fldCharType="begin"/>
      </w:r>
      <w:r w:rsidRPr="00795F8B">
        <w:rPr>
          <w:rStyle w:val="af7"/>
          <w:rFonts w:eastAsia="Guttman Hodes"/>
          <w:rtl/>
        </w:rPr>
        <w:instrText xml:space="preserve"> </w:instrText>
      </w:r>
      <w:r w:rsidRPr="00795F8B">
        <w:rPr>
          <w:rStyle w:val="af7"/>
          <w:rFonts w:eastAsia="Guttman Hodes" w:hint="cs"/>
        </w:rPr>
        <w:instrText>REF</w:instrText>
      </w:r>
      <w:r w:rsidRPr="00795F8B">
        <w:rPr>
          <w:rStyle w:val="af7"/>
          <w:rFonts w:eastAsia="Guttman Hodes" w:hint="cs"/>
          <w:rtl/>
        </w:rPr>
        <w:instrText xml:space="preserve"> _</w:instrText>
      </w:r>
      <w:r w:rsidRPr="00795F8B">
        <w:rPr>
          <w:rStyle w:val="af7"/>
          <w:rFonts w:eastAsia="Guttman Hodes" w:hint="cs"/>
        </w:rPr>
        <w:instrText>Ref531549674 \r \h</w:instrText>
      </w:r>
      <w:r w:rsidRPr="00795F8B">
        <w:rPr>
          <w:rStyle w:val="af7"/>
          <w:rFonts w:eastAsia="Guttman Hodes"/>
          <w:rtl/>
        </w:rPr>
        <w:instrText xml:space="preserve"> </w:instrText>
      </w:r>
      <w:r w:rsidRPr="00795F8B">
        <w:rPr>
          <w:rStyle w:val="af7"/>
          <w:rFonts w:eastAsia="Guttman Hodes"/>
          <w:rtl/>
        </w:rPr>
      </w:r>
      <w:r w:rsidRPr="00795F8B">
        <w:rPr>
          <w:rStyle w:val="af7"/>
          <w:rFonts w:eastAsia="Guttman Hodes"/>
          <w:rtl/>
        </w:rPr>
        <w:fldChar w:fldCharType="separate"/>
      </w:r>
      <w:r w:rsidR="00345400">
        <w:rPr>
          <w:rStyle w:val="af7"/>
          <w:rFonts w:eastAsia="Guttman Hodes"/>
          <w:cs/>
        </w:rPr>
        <w:t>‎</w:t>
      </w:r>
      <w:r w:rsidR="00345400">
        <w:rPr>
          <w:rStyle w:val="af7"/>
          <w:rFonts w:eastAsia="Guttman Hodes"/>
          <w:rtl/>
        </w:rPr>
        <w:t>מט)</w:t>
      </w:r>
      <w:r w:rsidRPr="00795F8B">
        <w:rPr>
          <w:rStyle w:val="af7"/>
          <w:rFonts w:eastAsia="Guttman Hodes"/>
          <w:rtl/>
        </w:rPr>
        <w:fldChar w:fldCharType="end"/>
      </w:r>
      <w:r>
        <w:rPr>
          <w:rFonts w:hint="cs"/>
          <w:rtl/>
        </w:rPr>
        <w:t xml:space="preserve"> עיי"ש בדבריו.</w:t>
      </w:r>
    </w:p>
    <w:p w14:paraId="59F1F69C" w14:textId="77777777" w:rsidR="003D04E6" w:rsidRDefault="003D04E6" w:rsidP="00BF39B2">
      <w:pPr>
        <w:pStyle w:val="1"/>
        <w:rPr>
          <w:rtl/>
        </w:rPr>
      </w:pPr>
      <w:bookmarkStart w:id="12325" w:name="_Toc531817642"/>
      <w:bookmarkStart w:id="12326" w:name="_Toc531819742"/>
      <w:bookmarkStart w:id="12327" w:name="_Toc19390636"/>
      <w:bookmarkStart w:id="12328" w:name="_Toc19394133"/>
      <w:r>
        <w:rPr>
          <w:rFonts w:hint="cs"/>
          <w:rtl/>
        </w:rPr>
        <w:t>דברי רש"י דלהלכה אין נ"מ מביאור דברי רב ושמואל</w:t>
      </w:r>
      <w:bookmarkEnd w:id="12325"/>
      <w:bookmarkEnd w:id="12326"/>
      <w:bookmarkEnd w:id="12327"/>
      <w:bookmarkEnd w:id="12328"/>
    </w:p>
    <w:p w14:paraId="328EAB52" w14:textId="77777777" w:rsidR="003D04E6" w:rsidRPr="00C37B75" w:rsidRDefault="003D04E6" w:rsidP="006D6D32">
      <w:pPr>
        <w:pStyle w:val="a3"/>
      </w:pPr>
      <w:bookmarkStart w:id="12329" w:name="_Toc531817643"/>
      <w:bookmarkStart w:id="12330" w:name="_Toc531819743"/>
      <w:bookmarkStart w:id="12331" w:name="_Toc19390637"/>
      <w:bookmarkStart w:id="12332" w:name="_Toc19394134"/>
      <w:r>
        <w:rPr>
          <w:rFonts w:hint="cs"/>
          <w:rtl/>
        </w:rPr>
        <w:t>דברי רש"י דלהלכה קיי"ל כרחב"א דחשיב מקום שחיטה ואין נ"מ מרב ושמואל</w:t>
      </w:r>
      <w:bookmarkEnd w:id="12329"/>
      <w:bookmarkEnd w:id="12330"/>
      <w:bookmarkEnd w:id="12331"/>
      <w:bookmarkEnd w:id="12332"/>
    </w:p>
    <w:p w14:paraId="264F2ACE" w14:textId="77777777" w:rsidR="003D04E6" w:rsidRDefault="003D04E6" w:rsidP="00223668">
      <w:pPr>
        <w:pStyle w:val="a0"/>
        <w:rPr>
          <w:rtl/>
        </w:rPr>
      </w:pPr>
      <w:bookmarkStart w:id="12333" w:name="_Ref531814671"/>
      <w:r>
        <w:rPr>
          <w:rFonts w:hint="cs"/>
          <w:rtl/>
        </w:rPr>
        <w:t xml:space="preserve">וכתב </w:t>
      </w:r>
      <w:r w:rsidRPr="00325C19">
        <w:rPr>
          <w:rStyle w:val="af9"/>
          <w:rFonts w:hint="cs"/>
          <w:rtl/>
        </w:rPr>
        <w:t>רש"י</w:t>
      </w:r>
      <w:r>
        <w:rPr>
          <w:rStyle w:val="af9"/>
          <w:rFonts w:hint="cs"/>
          <w:rtl/>
        </w:rPr>
        <w:t xml:space="preserve"> </w:t>
      </w:r>
      <w:r w:rsidRPr="00325C19">
        <w:rPr>
          <w:rStyle w:val="af7"/>
          <w:rFonts w:eastAsia="Guttman Hodes" w:hint="cs"/>
          <w:rtl/>
        </w:rPr>
        <w:t xml:space="preserve">(יח: </w:t>
      </w:r>
      <w:r>
        <w:rPr>
          <w:rStyle w:val="af7"/>
          <w:rFonts w:eastAsia="Guttman Hodes" w:hint="cs"/>
          <w:rtl/>
        </w:rPr>
        <w:t>ד</w:t>
      </w:r>
      <w:r>
        <w:rPr>
          <w:rStyle w:val="af7"/>
          <w:rFonts w:eastAsia="Guttman Hodes"/>
          <w:rtl/>
        </w:rPr>
        <w:t>"</w:t>
      </w:r>
      <w:r>
        <w:rPr>
          <w:rStyle w:val="af7"/>
          <w:rFonts w:eastAsia="Guttman Hodes" w:hint="cs"/>
          <w:rtl/>
        </w:rPr>
        <w:t>ה הכי קאמרי)</w:t>
      </w:r>
      <w:r>
        <w:rPr>
          <w:rFonts w:hint="cs"/>
          <w:rtl/>
        </w:rPr>
        <w:t xml:space="preserve"> דמ"מ אין כל נ"מ בין הביאורים בדברי רב ושמואל, דהא קיי"ל כרחב"א דמכשיר.</w:t>
      </w:r>
      <w:r w:rsidRPr="00FE6C52">
        <w:rPr>
          <w:rFonts w:hint="cs"/>
          <w:rtl/>
        </w:rPr>
        <w:t xml:space="preserve"> </w:t>
      </w:r>
      <w:r>
        <w:rPr>
          <w:rFonts w:hint="cs"/>
          <w:rtl/>
        </w:rPr>
        <w:t xml:space="preserve">[וע"ע בדברי </w:t>
      </w:r>
      <w:r w:rsidRPr="00FE6C52">
        <w:rPr>
          <w:rStyle w:val="af9"/>
          <w:rFonts w:hint="cs"/>
          <w:rtl/>
        </w:rPr>
        <w:t>הריטב"א</w:t>
      </w:r>
      <w:r>
        <w:rPr>
          <w:rFonts w:hint="cs"/>
          <w:rtl/>
        </w:rPr>
        <w:t xml:space="preserve"> </w:t>
      </w:r>
      <w:r w:rsidRPr="00FE6C52">
        <w:rPr>
          <w:rStyle w:val="af7"/>
          <w:rFonts w:eastAsia="Guttman Hodes" w:hint="cs"/>
          <w:rtl/>
        </w:rPr>
        <w:t>(ד"ה השוחט)</w:t>
      </w:r>
      <w:r>
        <w:rPr>
          <w:rFonts w:hint="cs"/>
          <w:rtl/>
        </w:rPr>
        <w:t xml:space="preserve"> דכתב דתנאי דמתני' ס"ל דלמעלה מהטבעת הגדולה אינו מקום שחיטה, ולא קיי"ל כוותיהו אלא כאמוראי דסברי כרחב"א, שהכשיר במה שהם החשיבו כהגרמה, וס"ל דעד השיפוי כובע חשיב מקום שחיטה, כל שמשייר בחיטי].</w:t>
      </w:r>
      <w:bookmarkEnd w:id="12333"/>
    </w:p>
    <w:p w14:paraId="4629D549" w14:textId="77777777" w:rsidR="00493E3A" w:rsidRDefault="00493E3A" w:rsidP="006D6D32">
      <w:pPr>
        <w:pStyle w:val="a3"/>
        <w:rPr>
          <w:rtl/>
        </w:rPr>
      </w:pPr>
      <w:bookmarkStart w:id="12334" w:name="_Toc531817644"/>
      <w:bookmarkStart w:id="12335" w:name="_Toc531819744"/>
    </w:p>
    <w:p w14:paraId="4DE8310D" w14:textId="77777777" w:rsidR="003D04E6" w:rsidRDefault="003D04E6" w:rsidP="006D6D32">
      <w:pPr>
        <w:pStyle w:val="a3"/>
        <w:rPr>
          <w:rtl/>
        </w:rPr>
      </w:pPr>
      <w:bookmarkStart w:id="12336" w:name="_Toc19390638"/>
      <w:bookmarkStart w:id="12337" w:name="_Toc19394135"/>
      <w:r>
        <w:rPr>
          <w:rFonts w:hint="cs"/>
          <w:rtl/>
        </w:rPr>
        <w:t>קושית הראש יוסף דבדברי רחב"א לא מבואר כלל דלא כרב ושמואל</w:t>
      </w:r>
      <w:bookmarkEnd w:id="12334"/>
      <w:bookmarkEnd w:id="12335"/>
      <w:bookmarkEnd w:id="12336"/>
      <w:bookmarkEnd w:id="12337"/>
    </w:p>
    <w:p w14:paraId="5FAEB043" w14:textId="77777777" w:rsidR="003D04E6" w:rsidRDefault="003D04E6" w:rsidP="00223668">
      <w:pPr>
        <w:pStyle w:val="a0"/>
        <w:rPr>
          <w:rtl/>
        </w:rPr>
      </w:pPr>
      <w:r>
        <w:rPr>
          <w:rFonts w:hint="cs"/>
          <w:rtl/>
        </w:rPr>
        <w:t xml:space="preserve">והקשה </w:t>
      </w:r>
      <w:r w:rsidRPr="00EC754C">
        <w:rPr>
          <w:rStyle w:val="af9"/>
          <w:rFonts w:hint="cs"/>
          <w:rtl/>
        </w:rPr>
        <w:t xml:space="preserve">הראש יוסף </w:t>
      </w:r>
      <w:r w:rsidRPr="003E7FF3">
        <w:rPr>
          <w:rStyle w:val="af7"/>
          <w:rFonts w:eastAsia="Guttman Hodes" w:hint="cs"/>
          <w:rtl/>
        </w:rPr>
        <w:t>(יח: ד"ה ומה שכתב)</w:t>
      </w:r>
      <w:r>
        <w:rPr>
          <w:rFonts w:hint="cs"/>
          <w:rtl/>
        </w:rPr>
        <w:t xml:space="preserve"> על </w:t>
      </w:r>
      <w:r w:rsidRPr="00EC754C">
        <w:rPr>
          <w:rStyle w:val="af9"/>
          <w:rFonts w:hint="cs"/>
          <w:rtl/>
        </w:rPr>
        <w:t xml:space="preserve">רש"י </w:t>
      </w:r>
      <w:r>
        <w:rPr>
          <w:rFonts w:hint="cs"/>
          <w:rtl/>
        </w:rPr>
        <w:t>דמדברי רחב"א לא מבואר כלל דלא קיי"ל כאחד מהביאורים בריבר</w:t>
      </w:r>
      <w:r>
        <w:rPr>
          <w:rtl/>
        </w:rPr>
        <w:t>"</w:t>
      </w:r>
      <w:r>
        <w:rPr>
          <w:rFonts w:hint="cs"/>
          <w:rtl/>
        </w:rPr>
        <w:t>י, דהא דאמר רחב"א שלמעלה מהטבעות הגדולה הוא מקום שחיטה, והיינו במקום שהתחיל לשחוט למעלה מהטבעת הגדולה, אבל אם התחיל לשחוט בתוך הטבעת הגדולה או בשאר הטבעות, ואח"כ הגרים למעלה מהטבעת הגדולה, יתכן דמודה רחב"א דהוי הגרמה, אך כתב הראש יוסף דאפש"ל דדברי רחב"א הם על ההגרמה דריבר</w:t>
      </w:r>
      <w:r>
        <w:rPr>
          <w:rtl/>
        </w:rPr>
        <w:t>"</w:t>
      </w:r>
      <w:r>
        <w:rPr>
          <w:rFonts w:hint="cs"/>
          <w:rtl/>
        </w:rPr>
        <w:t xml:space="preserve">י, וא"כ כוונתו לומר דאף בהתחיל לשחוט למעלה, ואח"כ הגרים למעלה מהטבעת הגדולה כשר, ועיי"ש במה שהקשה </w:t>
      </w:r>
      <w:r w:rsidRPr="00EC754C">
        <w:rPr>
          <w:rStyle w:val="af9"/>
          <w:rFonts w:hint="cs"/>
          <w:rtl/>
        </w:rPr>
        <w:t xml:space="preserve">הראש יוסף </w:t>
      </w:r>
      <w:r>
        <w:rPr>
          <w:rFonts w:hint="cs"/>
          <w:rtl/>
        </w:rPr>
        <w:t xml:space="preserve">על דברי </w:t>
      </w:r>
      <w:r w:rsidRPr="00EC754C">
        <w:rPr>
          <w:rStyle w:val="af9"/>
          <w:rFonts w:hint="cs"/>
          <w:rtl/>
        </w:rPr>
        <w:t>התוס'</w:t>
      </w:r>
      <w:r>
        <w:rPr>
          <w:rFonts w:hint="cs"/>
          <w:rtl/>
        </w:rPr>
        <w:t xml:space="preserve"> </w:t>
      </w:r>
      <w:r w:rsidRPr="003E7FF3">
        <w:rPr>
          <w:rStyle w:val="af7"/>
          <w:rFonts w:eastAsia="Guttman Hodes" w:hint="cs"/>
          <w:rtl/>
        </w:rPr>
        <w:t xml:space="preserve">(עי' אות </w:t>
      </w:r>
      <w:r w:rsidRPr="003E7FF3">
        <w:rPr>
          <w:rStyle w:val="af7"/>
          <w:rFonts w:eastAsia="Guttman Hodes"/>
          <w:rtl/>
        </w:rPr>
        <w:fldChar w:fldCharType="begin"/>
      </w:r>
      <w:r w:rsidRPr="003E7FF3">
        <w:rPr>
          <w:rStyle w:val="af7"/>
          <w:rFonts w:eastAsia="Guttman Hodes"/>
          <w:rtl/>
        </w:rPr>
        <w:instrText xml:space="preserve"> </w:instrText>
      </w:r>
      <w:r w:rsidRPr="003E7FF3">
        <w:rPr>
          <w:rStyle w:val="af7"/>
          <w:rFonts w:eastAsia="Guttman Hodes" w:hint="cs"/>
        </w:rPr>
        <w:instrText>REF</w:instrText>
      </w:r>
      <w:r w:rsidRPr="003E7FF3">
        <w:rPr>
          <w:rStyle w:val="af7"/>
          <w:rFonts w:eastAsia="Guttman Hodes" w:hint="cs"/>
          <w:rtl/>
        </w:rPr>
        <w:instrText xml:space="preserve"> _</w:instrText>
      </w:r>
      <w:r w:rsidRPr="003E7FF3">
        <w:rPr>
          <w:rStyle w:val="af7"/>
          <w:rFonts w:eastAsia="Guttman Hodes" w:hint="cs"/>
        </w:rPr>
        <w:instrText>Ref531616764 \r \h</w:instrText>
      </w:r>
      <w:r w:rsidRPr="003E7FF3">
        <w:rPr>
          <w:rStyle w:val="af7"/>
          <w:rFonts w:eastAsia="Guttman Hodes"/>
          <w:rtl/>
        </w:rPr>
        <w:instrText xml:space="preserve"> </w:instrText>
      </w:r>
      <w:r w:rsidRPr="003E7FF3">
        <w:rPr>
          <w:rStyle w:val="af7"/>
          <w:rFonts w:eastAsia="Guttman Hodes"/>
          <w:rtl/>
        </w:rPr>
      </w:r>
      <w:r w:rsidRPr="003E7FF3">
        <w:rPr>
          <w:rStyle w:val="af7"/>
          <w:rFonts w:eastAsia="Guttman Hodes"/>
          <w:rtl/>
        </w:rPr>
        <w:fldChar w:fldCharType="separate"/>
      </w:r>
      <w:r w:rsidR="00345400">
        <w:rPr>
          <w:rStyle w:val="af7"/>
          <w:rFonts w:eastAsia="Guttman Hodes"/>
          <w:cs/>
        </w:rPr>
        <w:t>‎</w:t>
      </w:r>
      <w:r w:rsidR="00345400">
        <w:rPr>
          <w:rStyle w:val="af7"/>
          <w:rFonts w:eastAsia="Guttman Hodes"/>
          <w:rtl/>
        </w:rPr>
        <w:t>לח)</w:t>
      </w:r>
      <w:r w:rsidRPr="003E7FF3">
        <w:rPr>
          <w:rStyle w:val="af7"/>
          <w:rFonts w:eastAsia="Guttman Hodes"/>
          <w:rtl/>
        </w:rPr>
        <w:fldChar w:fldCharType="end"/>
      </w:r>
      <w:r>
        <w:rPr>
          <w:rFonts w:hint="cs"/>
          <w:rtl/>
        </w:rPr>
        <w:t xml:space="preserve">, ועי' במה שביאר </w:t>
      </w:r>
      <w:r w:rsidRPr="009D579E">
        <w:rPr>
          <w:rStyle w:val="af9"/>
          <w:rFonts w:hint="cs"/>
          <w:rtl/>
        </w:rPr>
        <w:t>השיטמ"ק</w:t>
      </w:r>
      <w:r>
        <w:rPr>
          <w:rFonts w:hint="cs"/>
          <w:rtl/>
        </w:rPr>
        <w:t xml:space="preserve"> </w:t>
      </w:r>
      <w:r w:rsidRPr="009D579E">
        <w:rPr>
          <w:rStyle w:val="af7"/>
          <w:rFonts w:eastAsia="Guttman Hodes" w:hint="cs"/>
          <w:rtl/>
        </w:rPr>
        <w:t>(ד"ה ומ"מ קא)</w:t>
      </w:r>
      <w:r>
        <w:rPr>
          <w:rFonts w:hint="cs"/>
          <w:rtl/>
        </w:rPr>
        <w:t xml:space="preserve"> בשם </w:t>
      </w:r>
      <w:r w:rsidRPr="009D579E">
        <w:rPr>
          <w:rStyle w:val="af9"/>
          <w:rFonts w:hint="cs"/>
          <w:rtl/>
        </w:rPr>
        <w:t>התור"פ</w:t>
      </w:r>
      <w:r>
        <w:rPr>
          <w:rFonts w:hint="cs"/>
          <w:rtl/>
        </w:rPr>
        <w:t>.</w:t>
      </w:r>
    </w:p>
    <w:p w14:paraId="4BACF3CC" w14:textId="77777777" w:rsidR="003D04E6" w:rsidRPr="004D2D32" w:rsidRDefault="003D04E6" w:rsidP="00BF39B2">
      <w:pPr>
        <w:pStyle w:val="1"/>
        <w:rPr>
          <w:rtl/>
        </w:rPr>
      </w:pPr>
      <w:bookmarkStart w:id="12338" w:name="_Toc531776394"/>
      <w:bookmarkStart w:id="12339" w:name="_Toc531817645"/>
      <w:bookmarkStart w:id="12340" w:name="_Toc531819745"/>
      <w:bookmarkStart w:id="12341" w:name="_Toc19390639"/>
      <w:bookmarkStart w:id="12342" w:name="_Toc19394136"/>
      <w:r>
        <w:rPr>
          <w:rFonts w:hint="cs"/>
          <w:rtl/>
        </w:rPr>
        <w:t>ביאור התוס'</w:t>
      </w:r>
      <w:bookmarkEnd w:id="12226"/>
      <w:bookmarkEnd w:id="12227"/>
      <w:bookmarkEnd w:id="12261"/>
      <w:bookmarkEnd w:id="12338"/>
      <w:r>
        <w:rPr>
          <w:rFonts w:hint="cs"/>
          <w:rtl/>
        </w:rPr>
        <w:t xml:space="preserve"> דלרב ושמואל לא מהני שחיטת רוב שאר טבעות</w:t>
      </w:r>
      <w:bookmarkEnd w:id="12339"/>
      <w:bookmarkEnd w:id="12340"/>
      <w:bookmarkEnd w:id="12341"/>
      <w:bookmarkEnd w:id="12342"/>
    </w:p>
    <w:p w14:paraId="4511C3CF" w14:textId="77777777" w:rsidR="003D04E6" w:rsidRDefault="003D04E6" w:rsidP="006D6D32">
      <w:pPr>
        <w:pStyle w:val="a3"/>
        <w:rPr>
          <w:rtl/>
        </w:rPr>
      </w:pPr>
      <w:bookmarkStart w:id="12343" w:name="_Toc531817646"/>
      <w:bookmarkStart w:id="12344" w:name="_Toc531819746"/>
      <w:bookmarkStart w:id="12345" w:name="_Toc19390640"/>
      <w:bookmarkStart w:id="12346" w:name="_Toc19394137"/>
      <w:r>
        <w:rPr>
          <w:rFonts w:hint="cs"/>
          <w:rtl/>
        </w:rPr>
        <w:t>ביאור התוס' דבשאר טבעות שאינם מקיפות את רוב הקנה לא מהני שחיטת רובן</w:t>
      </w:r>
      <w:bookmarkEnd w:id="12343"/>
      <w:bookmarkEnd w:id="12344"/>
      <w:bookmarkEnd w:id="12345"/>
      <w:bookmarkEnd w:id="12346"/>
    </w:p>
    <w:p w14:paraId="5591A8DA" w14:textId="77777777" w:rsidR="003D04E6" w:rsidRPr="00AA16AC" w:rsidRDefault="003D04E6" w:rsidP="00223668">
      <w:pPr>
        <w:pStyle w:val="a0"/>
        <w:rPr>
          <w:rStyle w:val="af9"/>
          <w:b w:val="0"/>
          <w:bCs w:val="0"/>
        </w:rPr>
      </w:pPr>
      <w:bookmarkStart w:id="12347" w:name="_Ref531728169"/>
      <w:bookmarkStart w:id="12348" w:name="_Toc531622054"/>
      <w:bookmarkStart w:id="12349" w:name="_Toc531629710"/>
      <w:r w:rsidRPr="0006518D">
        <w:rPr>
          <w:rStyle w:val="af9"/>
          <w:rFonts w:hint="cs"/>
          <w:rtl/>
        </w:rPr>
        <w:t>התוס'</w:t>
      </w:r>
      <w:r>
        <w:rPr>
          <w:rFonts w:hint="cs"/>
          <w:rtl/>
        </w:rPr>
        <w:t xml:space="preserve"> </w:t>
      </w:r>
      <w:r w:rsidRPr="0006518D">
        <w:rPr>
          <w:rStyle w:val="af7"/>
          <w:rFonts w:eastAsia="Guttman Hodes" w:hint="cs"/>
          <w:rtl/>
        </w:rPr>
        <w:t>(ד"ה אבל)</w:t>
      </w:r>
      <w:r>
        <w:rPr>
          <w:rFonts w:hint="cs"/>
          <w:rtl/>
        </w:rPr>
        <w:t xml:space="preserve"> ביארו דאמרי רב ושמואל הא דהתיר ריבר</w:t>
      </w:r>
      <w:r>
        <w:rPr>
          <w:rtl/>
        </w:rPr>
        <w:t>"</w:t>
      </w:r>
      <w:r>
        <w:rPr>
          <w:rFonts w:hint="cs"/>
          <w:rtl/>
        </w:rPr>
        <w:t xml:space="preserve">י, ע"י שמשייר מלא החוט על פני רובא, היינו רק בטבעת הגדולה, דכיון שהיא מקיפה את כל הקנה, יש ברובה את רוב הקנה, אבל בשאר הטבעות לא מהני אם שחט את רוב הטבעת, דכיון שאינם מקיפות את כל הקנה אין בשחיטתם את רוב הקנה, ועי' במה שביארו </w:t>
      </w:r>
      <w:r w:rsidRPr="00145A39">
        <w:rPr>
          <w:rStyle w:val="af9"/>
          <w:rFonts w:hint="cs"/>
          <w:rtl/>
        </w:rPr>
        <w:t>המהרש"א</w:t>
      </w:r>
      <w:r>
        <w:rPr>
          <w:rFonts w:hint="cs"/>
          <w:rtl/>
        </w:rPr>
        <w:t xml:space="preserve"> </w:t>
      </w:r>
      <w:r w:rsidRPr="00CB061F">
        <w:rPr>
          <w:rStyle w:val="af7"/>
          <w:rFonts w:eastAsia="Guttman Hodes" w:hint="cs"/>
          <w:rtl/>
        </w:rPr>
        <w:t xml:space="preserve">(עי' אות </w:t>
      </w:r>
      <w:r w:rsidRPr="00CB061F">
        <w:rPr>
          <w:rStyle w:val="af7"/>
          <w:rFonts w:eastAsia="Guttman Hodes"/>
          <w:rtl/>
        </w:rPr>
        <w:fldChar w:fldCharType="begin"/>
      </w:r>
      <w:r w:rsidRPr="00CB061F">
        <w:rPr>
          <w:rStyle w:val="af7"/>
          <w:rFonts w:eastAsia="Guttman Hodes"/>
          <w:rtl/>
        </w:rPr>
        <w:instrText xml:space="preserve"> </w:instrText>
      </w:r>
      <w:r w:rsidRPr="00CB061F">
        <w:rPr>
          <w:rStyle w:val="af7"/>
          <w:rFonts w:eastAsia="Guttman Hodes" w:hint="cs"/>
        </w:rPr>
        <w:instrText>REF</w:instrText>
      </w:r>
      <w:r w:rsidRPr="00CB061F">
        <w:rPr>
          <w:rStyle w:val="af7"/>
          <w:rFonts w:eastAsia="Guttman Hodes" w:hint="cs"/>
          <w:rtl/>
        </w:rPr>
        <w:instrText xml:space="preserve"> _</w:instrText>
      </w:r>
      <w:r w:rsidRPr="00CB061F">
        <w:rPr>
          <w:rStyle w:val="af7"/>
          <w:rFonts w:eastAsia="Guttman Hodes" w:hint="cs"/>
        </w:rPr>
        <w:instrText>Ref531715434 \r \h</w:instrText>
      </w:r>
      <w:r w:rsidRPr="00CB061F">
        <w:rPr>
          <w:rStyle w:val="af7"/>
          <w:rFonts w:eastAsia="Guttman Hodes"/>
          <w:rtl/>
        </w:rPr>
        <w:instrText xml:space="preserve"> </w:instrText>
      </w:r>
      <w:r w:rsidRPr="00CB061F">
        <w:rPr>
          <w:rStyle w:val="af7"/>
          <w:rFonts w:eastAsia="Guttman Hodes"/>
          <w:rtl/>
        </w:rPr>
      </w:r>
      <w:r w:rsidRPr="00CB061F">
        <w:rPr>
          <w:rStyle w:val="af7"/>
          <w:rFonts w:eastAsia="Guttman Hodes"/>
          <w:rtl/>
        </w:rPr>
        <w:fldChar w:fldCharType="separate"/>
      </w:r>
      <w:r w:rsidR="00345400">
        <w:rPr>
          <w:rStyle w:val="af7"/>
          <w:rFonts w:eastAsia="Guttman Hodes"/>
          <w:cs/>
        </w:rPr>
        <w:t>‎</w:t>
      </w:r>
      <w:r w:rsidR="00345400">
        <w:rPr>
          <w:rStyle w:val="af7"/>
          <w:rFonts w:eastAsia="Guttman Hodes"/>
          <w:rtl/>
        </w:rPr>
        <w:t>סו)</w:t>
      </w:r>
      <w:r w:rsidRPr="00CB061F">
        <w:rPr>
          <w:rStyle w:val="af7"/>
          <w:rFonts w:eastAsia="Guttman Hodes"/>
          <w:rtl/>
        </w:rPr>
        <w:fldChar w:fldCharType="end"/>
      </w:r>
      <w:r>
        <w:rPr>
          <w:rFonts w:hint="cs"/>
          <w:rtl/>
        </w:rPr>
        <w:t xml:space="preserve"> </w:t>
      </w:r>
      <w:r w:rsidRPr="00CB061F">
        <w:rPr>
          <w:rStyle w:val="af9"/>
          <w:rFonts w:hint="cs"/>
          <w:rtl/>
        </w:rPr>
        <w:t>והמהר"ם</w:t>
      </w:r>
      <w:r>
        <w:rPr>
          <w:rFonts w:hint="cs"/>
          <w:rtl/>
        </w:rPr>
        <w:t xml:space="preserve"> </w:t>
      </w:r>
      <w:r w:rsidRPr="00CB061F">
        <w:rPr>
          <w:rStyle w:val="af7"/>
          <w:rFonts w:eastAsia="Guttman Hodes" w:hint="cs"/>
          <w:rtl/>
        </w:rPr>
        <w:t xml:space="preserve">(עי' אות </w:t>
      </w:r>
      <w:r w:rsidRPr="00CB061F">
        <w:rPr>
          <w:rStyle w:val="af7"/>
          <w:rFonts w:eastAsia="Guttman Hodes"/>
          <w:rtl/>
        </w:rPr>
        <w:fldChar w:fldCharType="begin"/>
      </w:r>
      <w:r w:rsidRPr="00CB061F">
        <w:rPr>
          <w:rStyle w:val="af7"/>
          <w:rFonts w:eastAsia="Guttman Hodes"/>
          <w:rtl/>
        </w:rPr>
        <w:instrText xml:space="preserve"> </w:instrText>
      </w:r>
      <w:r w:rsidRPr="00CB061F">
        <w:rPr>
          <w:rStyle w:val="af7"/>
          <w:rFonts w:eastAsia="Guttman Hodes" w:hint="cs"/>
        </w:rPr>
        <w:instrText>REF</w:instrText>
      </w:r>
      <w:r w:rsidRPr="00CB061F">
        <w:rPr>
          <w:rStyle w:val="af7"/>
          <w:rFonts w:eastAsia="Guttman Hodes" w:hint="cs"/>
          <w:rtl/>
        </w:rPr>
        <w:instrText xml:space="preserve"> _</w:instrText>
      </w:r>
      <w:r w:rsidRPr="00CB061F">
        <w:rPr>
          <w:rStyle w:val="af7"/>
          <w:rFonts w:eastAsia="Guttman Hodes" w:hint="cs"/>
        </w:rPr>
        <w:instrText>Ref531716253 \r \h</w:instrText>
      </w:r>
      <w:r w:rsidRPr="00CB061F">
        <w:rPr>
          <w:rStyle w:val="af7"/>
          <w:rFonts w:eastAsia="Guttman Hodes"/>
          <w:rtl/>
        </w:rPr>
        <w:instrText xml:space="preserve"> </w:instrText>
      </w:r>
      <w:r w:rsidRPr="00CB061F">
        <w:rPr>
          <w:rStyle w:val="af7"/>
          <w:rFonts w:eastAsia="Guttman Hodes"/>
          <w:rtl/>
        </w:rPr>
      </w:r>
      <w:r w:rsidRPr="00CB061F">
        <w:rPr>
          <w:rStyle w:val="af7"/>
          <w:rFonts w:eastAsia="Guttman Hodes"/>
          <w:rtl/>
        </w:rPr>
        <w:fldChar w:fldCharType="separate"/>
      </w:r>
      <w:r w:rsidR="00345400">
        <w:rPr>
          <w:rStyle w:val="af7"/>
          <w:rFonts w:eastAsia="Guttman Hodes"/>
          <w:cs/>
        </w:rPr>
        <w:t>‎</w:t>
      </w:r>
      <w:r w:rsidR="00345400">
        <w:rPr>
          <w:rStyle w:val="af7"/>
          <w:rFonts w:eastAsia="Guttman Hodes"/>
          <w:rtl/>
        </w:rPr>
        <w:t>ע)</w:t>
      </w:r>
      <w:r w:rsidRPr="00CB061F">
        <w:rPr>
          <w:rStyle w:val="af7"/>
          <w:rFonts w:eastAsia="Guttman Hodes"/>
          <w:rtl/>
        </w:rPr>
        <w:fldChar w:fldCharType="end"/>
      </w:r>
      <w:r>
        <w:rPr>
          <w:rFonts w:hint="cs"/>
          <w:rtl/>
        </w:rPr>
        <w:t xml:space="preserve"> בדברי </w:t>
      </w:r>
      <w:r w:rsidRPr="00CB061F">
        <w:rPr>
          <w:rStyle w:val="af9"/>
          <w:rFonts w:hint="cs"/>
          <w:rtl/>
        </w:rPr>
        <w:t>התוס'</w:t>
      </w:r>
      <w:r>
        <w:rPr>
          <w:rFonts w:hint="cs"/>
          <w:rtl/>
        </w:rPr>
        <w:t>.</w:t>
      </w:r>
      <w:bookmarkEnd w:id="12347"/>
    </w:p>
    <w:p w14:paraId="50078611" w14:textId="77777777" w:rsidR="003D04E6" w:rsidRPr="00843D9B" w:rsidRDefault="003D04E6" w:rsidP="006D6D32">
      <w:pPr>
        <w:pStyle w:val="a3"/>
      </w:pPr>
      <w:bookmarkStart w:id="12350" w:name="_Toc531817647"/>
      <w:bookmarkStart w:id="12351" w:name="_Toc531819747"/>
      <w:bookmarkStart w:id="12352" w:name="_Toc19390641"/>
      <w:bookmarkStart w:id="12353" w:name="_Toc19394138"/>
      <w:r>
        <w:rPr>
          <w:rFonts w:hint="cs"/>
          <w:rtl/>
        </w:rPr>
        <w:t>דברי המהרש"א דס"ל לתוס' דלרבר"י רוב שאר הטבעות חשיב כרוב קנה</w:t>
      </w:r>
      <w:bookmarkEnd w:id="12350"/>
      <w:bookmarkEnd w:id="12351"/>
      <w:bookmarkEnd w:id="12352"/>
      <w:bookmarkEnd w:id="12353"/>
    </w:p>
    <w:p w14:paraId="4BAF0FF8" w14:textId="77777777" w:rsidR="003D04E6" w:rsidRPr="00417F7D" w:rsidRDefault="003D04E6" w:rsidP="00223668">
      <w:pPr>
        <w:pStyle w:val="a0"/>
        <w:rPr>
          <w:rtl/>
        </w:rPr>
      </w:pPr>
      <w:bookmarkStart w:id="12354" w:name="_Ref531727860"/>
      <w:r>
        <w:rPr>
          <w:rFonts w:hint="cs"/>
          <w:rtl/>
        </w:rPr>
        <w:t xml:space="preserve">וכתב </w:t>
      </w:r>
      <w:r w:rsidRPr="000F1531">
        <w:rPr>
          <w:rStyle w:val="af9"/>
          <w:rFonts w:hint="cs"/>
          <w:rtl/>
        </w:rPr>
        <w:t>המהרש"א</w:t>
      </w:r>
      <w:r>
        <w:rPr>
          <w:rFonts w:hint="cs"/>
          <w:rtl/>
        </w:rPr>
        <w:t xml:space="preserve"> </w:t>
      </w:r>
      <w:r w:rsidRPr="00843D9B">
        <w:rPr>
          <w:rStyle w:val="af7"/>
          <w:rFonts w:eastAsia="Guttman Hodes" w:hint="cs"/>
          <w:rtl/>
        </w:rPr>
        <w:t xml:space="preserve">(יח: על רש"י ד"ה וללישנא) </w:t>
      </w:r>
      <w:r>
        <w:rPr>
          <w:rFonts w:hint="cs"/>
          <w:rtl/>
        </w:rPr>
        <w:t xml:space="preserve">דבדעת ריבר"י בתוספתא ס"ל </w:t>
      </w:r>
      <w:r>
        <w:rPr>
          <w:rStyle w:val="af9"/>
          <w:rFonts w:hint="cs"/>
          <w:rtl/>
        </w:rPr>
        <w:t>ל</w:t>
      </w:r>
      <w:r w:rsidRPr="00EB4D66">
        <w:rPr>
          <w:rStyle w:val="af9"/>
          <w:rFonts w:hint="cs"/>
          <w:rtl/>
        </w:rPr>
        <w:t xml:space="preserve">התוס' </w:t>
      </w:r>
      <w:r>
        <w:rPr>
          <w:rFonts w:hint="cs"/>
          <w:rtl/>
        </w:rPr>
        <w:t>דהרוב של שאר הטבעות חשיב רוב הקנה</w:t>
      </w:r>
      <w:r w:rsidRPr="00EB4D66">
        <w:rPr>
          <w:rFonts w:hint="cs"/>
          <w:rtl/>
        </w:rPr>
        <w:t xml:space="preserve">, ורק בזה נחלקו רב ושמואל על </w:t>
      </w:r>
      <w:r>
        <w:rPr>
          <w:rFonts w:hint="cs"/>
          <w:rtl/>
        </w:rPr>
        <w:t>ריבר</w:t>
      </w:r>
      <w:r>
        <w:rPr>
          <w:rtl/>
        </w:rPr>
        <w:t>"</w:t>
      </w:r>
      <w:r>
        <w:rPr>
          <w:rFonts w:hint="cs"/>
          <w:rtl/>
        </w:rPr>
        <w:t xml:space="preserve">י, וכתב </w:t>
      </w:r>
      <w:r w:rsidRPr="00843D9B">
        <w:rPr>
          <w:rStyle w:val="af9"/>
          <w:rFonts w:hint="cs"/>
          <w:rtl/>
        </w:rPr>
        <w:t>המהרש"א</w:t>
      </w:r>
      <w:r>
        <w:rPr>
          <w:rFonts w:hint="cs"/>
          <w:rtl/>
        </w:rPr>
        <w:t xml:space="preserve"> דזהו הביאור בדברי </w:t>
      </w:r>
      <w:r w:rsidRPr="00EB4D66">
        <w:rPr>
          <w:rStyle w:val="af9"/>
          <w:rFonts w:hint="cs"/>
          <w:rtl/>
        </w:rPr>
        <w:t>הבעה"מ</w:t>
      </w:r>
      <w:r w:rsidRPr="00EB4D66">
        <w:rPr>
          <w:rFonts w:hint="cs"/>
          <w:rtl/>
        </w:rPr>
        <w:t xml:space="preserve"> </w:t>
      </w:r>
      <w:r w:rsidRPr="00843D9B">
        <w:rPr>
          <w:rStyle w:val="af7"/>
          <w:rFonts w:eastAsia="Guttman Hodes" w:hint="cs"/>
          <w:rtl/>
        </w:rPr>
        <w:t xml:space="preserve">(עי' אות </w:t>
      </w:r>
      <w:r w:rsidRPr="00843D9B">
        <w:rPr>
          <w:rStyle w:val="af7"/>
          <w:rFonts w:eastAsia="Guttman Hodes"/>
          <w:rtl/>
        </w:rPr>
        <w:fldChar w:fldCharType="begin"/>
      </w:r>
      <w:r w:rsidRPr="00843D9B">
        <w:rPr>
          <w:rStyle w:val="af7"/>
          <w:rFonts w:eastAsia="Guttman Hodes"/>
          <w:rtl/>
        </w:rPr>
        <w:instrText xml:space="preserve"> </w:instrText>
      </w:r>
      <w:r w:rsidRPr="00843D9B">
        <w:rPr>
          <w:rStyle w:val="af7"/>
          <w:rFonts w:eastAsia="Guttman Hodes" w:hint="cs"/>
        </w:rPr>
        <w:instrText>REF</w:instrText>
      </w:r>
      <w:r w:rsidRPr="00843D9B">
        <w:rPr>
          <w:rStyle w:val="af7"/>
          <w:rFonts w:eastAsia="Guttman Hodes" w:hint="cs"/>
          <w:rtl/>
        </w:rPr>
        <w:instrText xml:space="preserve"> _</w:instrText>
      </w:r>
      <w:r w:rsidRPr="00843D9B">
        <w:rPr>
          <w:rStyle w:val="af7"/>
          <w:rFonts w:eastAsia="Guttman Hodes" w:hint="cs"/>
        </w:rPr>
        <w:instrText>Ref531621888 \r \h</w:instrText>
      </w:r>
      <w:r w:rsidRPr="00843D9B">
        <w:rPr>
          <w:rStyle w:val="af7"/>
          <w:rFonts w:eastAsia="Guttman Hodes"/>
          <w:rtl/>
        </w:rPr>
        <w:instrText xml:space="preserve">  \* </w:instrText>
      </w:r>
      <w:r w:rsidRPr="00843D9B">
        <w:rPr>
          <w:rStyle w:val="af7"/>
          <w:rFonts w:eastAsia="Guttman Hodes"/>
        </w:rPr>
        <w:instrText>MERGEFORMAT</w:instrText>
      </w:r>
      <w:r w:rsidRPr="00843D9B">
        <w:rPr>
          <w:rStyle w:val="af7"/>
          <w:rFonts w:eastAsia="Guttman Hodes"/>
          <w:rtl/>
        </w:rPr>
        <w:instrText xml:space="preserve"> </w:instrText>
      </w:r>
      <w:r w:rsidRPr="00843D9B">
        <w:rPr>
          <w:rStyle w:val="af7"/>
          <w:rFonts w:eastAsia="Guttman Hodes"/>
          <w:rtl/>
        </w:rPr>
      </w:r>
      <w:r w:rsidRPr="00843D9B">
        <w:rPr>
          <w:rStyle w:val="af7"/>
          <w:rFonts w:eastAsia="Guttman Hodes"/>
          <w:rtl/>
        </w:rPr>
        <w:fldChar w:fldCharType="separate"/>
      </w:r>
      <w:r w:rsidR="00345400">
        <w:rPr>
          <w:rStyle w:val="af7"/>
          <w:rFonts w:eastAsia="Guttman Hodes"/>
          <w:cs/>
        </w:rPr>
        <w:t>‎</w:t>
      </w:r>
      <w:r w:rsidR="00345400">
        <w:rPr>
          <w:rStyle w:val="af7"/>
          <w:rFonts w:eastAsia="Guttman Hodes"/>
          <w:rtl/>
        </w:rPr>
        <w:t>עה)</w:t>
      </w:r>
      <w:r w:rsidRPr="00843D9B">
        <w:rPr>
          <w:rStyle w:val="af7"/>
          <w:rFonts w:eastAsia="Guttman Hodes"/>
          <w:rtl/>
        </w:rPr>
        <w:fldChar w:fldCharType="end"/>
      </w:r>
      <w:r w:rsidRPr="00AD4A98">
        <w:rPr>
          <w:rStyle w:val="af9"/>
          <w:rFonts w:hint="cs"/>
          <w:rtl/>
        </w:rPr>
        <w:t xml:space="preserve"> </w:t>
      </w:r>
      <w:r>
        <w:rPr>
          <w:rStyle w:val="af9"/>
          <w:rFonts w:hint="cs"/>
          <w:rtl/>
        </w:rPr>
        <w:t>ו</w:t>
      </w:r>
      <w:r w:rsidRPr="00EB4D66">
        <w:rPr>
          <w:rStyle w:val="af9"/>
          <w:rFonts w:hint="cs"/>
          <w:rtl/>
        </w:rPr>
        <w:t>הרא"ש</w:t>
      </w:r>
      <w:r>
        <w:rPr>
          <w:rStyle w:val="af9"/>
          <w:rFonts w:hint="cs"/>
          <w:rtl/>
        </w:rPr>
        <w:t xml:space="preserve"> </w:t>
      </w:r>
      <w:r w:rsidRPr="00D11FD3">
        <w:rPr>
          <w:rStyle w:val="af7"/>
          <w:rFonts w:eastAsia="Guttman Hodes" w:hint="cs"/>
          <w:rtl/>
        </w:rPr>
        <w:t xml:space="preserve">(עי' אות </w:t>
      </w:r>
      <w:r w:rsidRPr="00D11FD3">
        <w:rPr>
          <w:rStyle w:val="af7"/>
          <w:rFonts w:eastAsia="Guttman Hodes"/>
          <w:rtl/>
        </w:rPr>
        <w:fldChar w:fldCharType="begin"/>
      </w:r>
      <w:r w:rsidRPr="00D11FD3">
        <w:rPr>
          <w:rStyle w:val="af7"/>
          <w:rFonts w:eastAsia="Guttman Hodes"/>
          <w:rtl/>
        </w:rPr>
        <w:instrText xml:space="preserve"> </w:instrText>
      </w:r>
      <w:r w:rsidRPr="00D11FD3">
        <w:rPr>
          <w:rStyle w:val="af7"/>
          <w:rFonts w:eastAsia="Guttman Hodes" w:hint="cs"/>
        </w:rPr>
        <w:instrText>REF</w:instrText>
      </w:r>
      <w:r w:rsidRPr="00D11FD3">
        <w:rPr>
          <w:rStyle w:val="af7"/>
          <w:rFonts w:eastAsia="Guttman Hodes" w:hint="cs"/>
          <w:rtl/>
        </w:rPr>
        <w:instrText xml:space="preserve"> _</w:instrText>
      </w:r>
      <w:r w:rsidRPr="00D11FD3">
        <w:rPr>
          <w:rStyle w:val="af7"/>
          <w:rFonts w:eastAsia="Guttman Hodes" w:hint="cs"/>
        </w:rPr>
        <w:instrText>Ref531715296 \r \h</w:instrText>
      </w:r>
      <w:r w:rsidRPr="00D11FD3">
        <w:rPr>
          <w:rStyle w:val="af7"/>
          <w:rFonts w:eastAsia="Guttman Hodes"/>
          <w:rtl/>
        </w:rPr>
        <w:instrText xml:space="preserve"> </w:instrText>
      </w:r>
      <w:r w:rsidRPr="00D11FD3">
        <w:rPr>
          <w:rStyle w:val="af7"/>
          <w:rFonts w:eastAsia="Guttman Hodes"/>
          <w:rtl/>
        </w:rPr>
      </w:r>
      <w:r w:rsidRPr="00D11FD3">
        <w:rPr>
          <w:rStyle w:val="af7"/>
          <w:rFonts w:eastAsia="Guttman Hodes"/>
          <w:rtl/>
        </w:rPr>
        <w:fldChar w:fldCharType="separate"/>
      </w:r>
      <w:r w:rsidR="00345400">
        <w:rPr>
          <w:rStyle w:val="af7"/>
          <w:rFonts w:eastAsia="Guttman Hodes"/>
          <w:cs/>
        </w:rPr>
        <w:t>‎</w:t>
      </w:r>
      <w:r w:rsidR="00345400">
        <w:rPr>
          <w:rStyle w:val="af7"/>
          <w:rFonts w:eastAsia="Guttman Hodes"/>
          <w:rtl/>
        </w:rPr>
        <w:t>עד)</w:t>
      </w:r>
      <w:r w:rsidRPr="00D11FD3">
        <w:rPr>
          <w:rStyle w:val="af7"/>
          <w:rFonts w:eastAsia="Guttman Hodes"/>
          <w:rtl/>
        </w:rPr>
        <w:fldChar w:fldCharType="end"/>
      </w:r>
      <w:r w:rsidRPr="00417F7D">
        <w:rPr>
          <w:rFonts w:hint="cs"/>
          <w:rtl/>
        </w:rPr>
        <w:t>, ועי' במה שביאר</w:t>
      </w:r>
      <w:r>
        <w:rPr>
          <w:rStyle w:val="af9"/>
          <w:rFonts w:hint="cs"/>
          <w:rtl/>
        </w:rPr>
        <w:t xml:space="preserve"> המהרש"א </w:t>
      </w:r>
      <w:r w:rsidRPr="00D11FD3">
        <w:rPr>
          <w:rStyle w:val="af7"/>
          <w:rFonts w:eastAsia="Guttman Hodes" w:hint="cs"/>
          <w:rtl/>
        </w:rPr>
        <w:t xml:space="preserve">(עי' אות </w:t>
      </w:r>
      <w:r w:rsidRPr="00D11FD3">
        <w:rPr>
          <w:rStyle w:val="af7"/>
          <w:rFonts w:eastAsia="Guttman Hodes"/>
          <w:rtl/>
        </w:rPr>
        <w:fldChar w:fldCharType="begin"/>
      </w:r>
      <w:r w:rsidRPr="00D11FD3">
        <w:rPr>
          <w:rStyle w:val="af7"/>
          <w:rFonts w:eastAsia="Guttman Hodes"/>
          <w:rtl/>
        </w:rPr>
        <w:instrText xml:space="preserve"> </w:instrText>
      </w:r>
      <w:r w:rsidRPr="00D11FD3">
        <w:rPr>
          <w:rStyle w:val="af7"/>
          <w:rFonts w:eastAsia="Guttman Hodes" w:hint="cs"/>
        </w:rPr>
        <w:instrText>REF</w:instrText>
      </w:r>
      <w:r w:rsidRPr="00D11FD3">
        <w:rPr>
          <w:rStyle w:val="af7"/>
          <w:rFonts w:eastAsia="Guttman Hodes" w:hint="cs"/>
          <w:rtl/>
        </w:rPr>
        <w:instrText xml:space="preserve"> _</w:instrText>
      </w:r>
      <w:r w:rsidRPr="00D11FD3">
        <w:rPr>
          <w:rStyle w:val="af7"/>
          <w:rFonts w:eastAsia="Guttman Hodes" w:hint="cs"/>
        </w:rPr>
        <w:instrText>Ref531727739 \r \h</w:instrText>
      </w:r>
      <w:r w:rsidRPr="00D11FD3">
        <w:rPr>
          <w:rStyle w:val="af7"/>
          <w:rFonts w:eastAsia="Guttman Hodes"/>
          <w:rtl/>
        </w:rPr>
        <w:instrText xml:space="preserve"> </w:instrText>
      </w:r>
      <w:r w:rsidRPr="00D11FD3">
        <w:rPr>
          <w:rStyle w:val="af7"/>
          <w:rFonts w:eastAsia="Guttman Hodes"/>
          <w:rtl/>
        </w:rPr>
      </w:r>
      <w:r w:rsidRPr="00D11FD3">
        <w:rPr>
          <w:rStyle w:val="af7"/>
          <w:rFonts w:eastAsia="Guttman Hodes"/>
          <w:rtl/>
        </w:rPr>
        <w:fldChar w:fldCharType="separate"/>
      </w:r>
      <w:r w:rsidR="00345400">
        <w:rPr>
          <w:rStyle w:val="af7"/>
          <w:rFonts w:eastAsia="Guttman Hodes"/>
          <w:cs/>
        </w:rPr>
        <w:t>‎</w:t>
      </w:r>
      <w:r w:rsidR="00345400">
        <w:rPr>
          <w:rStyle w:val="af7"/>
          <w:rFonts w:eastAsia="Guttman Hodes"/>
          <w:rtl/>
        </w:rPr>
        <w:t>נד)</w:t>
      </w:r>
      <w:r w:rsidRPr="00D11FD3">
        <w:rPr>
          <w:rStyle w:val="af7"/>
          <w:rFonts w:eastAsia="Guttman Hodes"/>
          <w:rtl/>
        </w:rPr>
        <w:fldChar w:fldCharType="end"/>
      </w:r>
      <w:r w:rsidRPr="00D11FD3">
        <w:rPr>
          <w:rStyle w:val="af7"/>
          <w:rFonts w:eastAsia="Guttman Hodes" w:hint="cs"/>
          <w:rtl/>
        </w:rPr>
        <w:t xml:space="preserve"> </w:t>
      </w:r>
      <w:r w:rsidRPr="00417F7D">
        <w:rPr>
          <w:rFonts w:hint="cs"/>
          <w:rtl/>
        </w:rPr>
        <w:t>אמאי</w:t>
      </w:r>
      <w:r>
        <w:rPr>
          <w:rFonts w:hint="cs"/>
          <w:rtl/>
        </w:rPr>
        <w:t xml:space="preserve"> ס"ל</w:t>
      </w:r>
      <w:r w:rsidRPr="00417F7D">
        <w:rPr>
          <w:rFonts w:hint="cs"/>
          <w:rtl/>
        </w:rPr>
        <w:t xml:space="preserve"> </w:t>
      </w:r>
      <w:r>
        <w:rPr>
          <w:rStyle w:val="af9"/>
          <w:rFonts w:hint="cs"/>
          <w:rtl/>
        </w:rPr>
        <w:t xml:space="preserve">לרש"י </w:t>
      </w:r>
      <w:r>
        <w:rPr>
          <w:rFonts w:hint="cs"/>
          <w:rtl/>
        </w:rPr>
        <w:t xml:space="preserve">דא"א לבאר כן בתוספתא, ובמה שהקשה </w:t>
      </w:r>
      <w:r w:rsidRPr="00025911">
        <w:rPr>
          <w:rStyle w:val="af9"/>
          <w:rFonts w:hint="cs"/>
          <w:rtl/>
        </w:rPr>
        <w:t>הראש יוסף</w:t>
      </w:r>
      <w:r>
        <w:rPr>
          <w:rFonts w:hint="cs"/>
          <w:rtl/>
        </w:rPr>
        <w:t xml:space="preserve"> </w:t>
      </w:r>
      <w:r w:rsidRPr="00025911">
        <w:rPr>
          <w:rStyle w:val="af7"/>
          <w:rFonts w:eastAsia="Guttman Hodes" w:hint="cs"/>
          <w:rtl/>
        </w:rPr>
        <w:t xml:space="preserve">(עי' אות </w:t>
      </w:r>
      <w:r w:rsidRPr="00025911">
        <w:rPr>
          <w:rStyle w:val="af7"/>
          <w:rFonts w:eastAsia="Guttman Hodes"/>
          <w:rtl/>
        </w:rPr>
        <w:fldChar w:fldCharType="begin"/>
      </w:r>
      <w:r w:rsidRPr="00025911">
        <w:rPr>
          <w:rStyle w:val="af7"/>
          <w:rFonts w:eastAsia="Guttman Hodes"/>
          <w:rtl/>
        </w:rPr>
        <w:instrText xml:space="preserve"> </w:instrText>
      </w:r>
      <w:r w:rsidRPr="00025911">
        <w:rPr>
          <w:rStyle w:val="af7"/>
          <w:rFonts w:eastAsia="Guttman Hodes" w:hint="cs"/>
        </w:rPr>
        <w:instrText>REF</w:instrText>
      </w:r>
      <w:r w:rsidRPr="00025911">
        <w:rPr>
          <w:rStyle w:val="af7"/>
          <w:rFonts w:eastAsia="Guttman Hodes" w:hint="cs"/>
          <w:rtl/>
        </w:rPr>
        <w:instrText xml:space="preserve"> _</w:instrText>
      </w:r>
      <w:r w:rsidRPr="00025911">
        <w:rPr>
          <w:rStyle w:val="af7"/>
          <w:rFonts w:eastAsia="Guttman Hodes" w:hint="cs"/>
        </w:rPr>
        <w:instrText>Ref532116106 \r \h</w:instrText>
      </w:r>
      <w:r w:rsidRPr="00025911">
        <w:rPr>
          <w:rStyle w:val="af7"/>
          <w:rFonts w:eastAsia="Guttman Hodes"/>
          <w:rtl/>
        </w:rPr>
        <w:instrText xml:space="preserve"> </w:instrText>
      </w:r>
      <w:r w:rsidRPr="00025911">
        <w:rPr>
          <w:rStyle w:val="af7"/>
          <w:rFonts w:eastAsia="Guttman Hodes"/>
          <w:rtl/>
        </w:rPr>
      </w:r>
      <w:r w:rsidRPr="00025911">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025911">
        <w:rPr>
          <w:rStyle w:val="af7"/>
          <w:rFonts w:eastAsia="Guttman Hodes"/>
          <w:rtl/>
        </w:rPr>
        <w:fldChar w:fldCharType="end"/>
      </w:r>
      <w:r>
        <w:rPr>
          <w:rFonts w:hint="cs"/>
          <w:rtl/>
        </w:rPr>
        <w:t xml:space="preserve"> על דברי </w:t>
      </w:r>
      <w:r w:rsidRPr="00025911">
        <w:rPr>
          <w:rStyle w:val="af9"/>
          <w:rFonts w:hint="cs"/>
          <w:rtl/>
        </w:rPr>
        <w:t>המהרש"א</w:t>
      </w:r>
      <w:r w:rsidRPr="00417F7D">
        <w:rPr>
          <w:rFonts w:hint="cs"/>
          <w:rtl/>
        </w:rPr>
        <w:t>.</w:t>
      </w:r>
      <w:bookmarkEnd w:id="12354"/>
    </w:p>
    <w:p w14:paraId="1604761D" w14:textId="77777777" w:rsidR="003D04E6" w:rsidRDefault="003D04E6" w:rsidP="00BF39B2">
      <w:pPr>
        <w:pStyle w:val="1"/>
        <w:rPr>
          <w:rtl/>
        </w:rPr>
      </w:pPr>
      <w:bookmarkStart w:id="12355" w:name="_Toc531776395"/>
      <w:bookmarkStart w:id="12356" w:name="_Toc531817648"/>
      <w:bookmarkStart w:id="12357" w:name="_Toc531819748"/>
      <w:bookmarkStart w:id="12358" w:name="_Toc19390642"/>
      <w:bookmarkStart w:id="12359" w:name="_Toc19394139"/>
      <w:r>
        <w:rPr>
          <w:rFonts w:hint="cs"/>
          <w:rtl/>
        </w:rPr>
        <w:t>ביאור הרשב"א והתוס' הרא"ש בדברי רב ושמואל</w:t>
      </w:r>
      <w:bookmarkEnd w:id="12355"/>
      <w:bookmarkEnd w:id="12356"/>
      <w:bookmarkEnd w:id="12357"/>
      <w:bookmarkEnd w:id="12358"/>
      <w:bookmarkEnd w:id="12359"/>
    </w:p>
    <w:p w14:paraId="4433E1EB" w14:textId="77777777" w:rsidR="003D04E6" w:rsidRPr="00F81136" w:rsidRDefault="003D04E6" w:rsidP="006D6D32">
      <w:pPr>
        <w:pStyle w:val="a3"/>
        <w:rPr>
          <w:rtl/>
        </w:rPr>
      </w:pPr>
      <w:bookmarkStart w:id="12360" w:name="_Toc531817649"/>
      <w:bookmarkStart w:id="12361" w:name="_Toc531819749"/>
      <w:bookmarkStart w:id="12362" w:name="_Toc19390643"/>
      <w:bookmarkStart w:id="12363" w:name="_Toc19394140"/>
      <w:r>
        <w:rPr>
          <w:rFonts w:hint="cs"/>
          <w:rtl/>
        </w:rPr>
        <w:t>דברי הרשב"א והתורא"ש דבשחיטת רוב שאר טבעות אינו שוחט את רוב חלל הקנה</w:t>
      </w:r>
      <w:bookmarkEnd w:id="12360"/>
      <w:bookmarkEnd w:id="12361"/>
      <w:bookmarkEnd w:id="12362"/>
      <w:bookmarkEnd w:id="12363"/>
    </w:p>
    <w:p w14:paraId="156ED4BB" w14:textId="77777777" w:rsidR="003D04E6" w:rsidRDefault="003D04E6" w:rsidP="00223668">
      <w:pPr>
        <w:pStyle w:val="a0"/>
        <w:rPr>
          <w:rtl/>
        </w:rPr>
      </w:pPr>
      <w:r>
        <w:rPr>
          <w:rStyle w:val="af9"/>
          <w:rFonts w:hint="cs"/>
          <w:rtl/>
        </w:rPr>
        <w:t>ו</w:t>
      </w:r>
      <w:r w:rsidRPr="007568F1">
        <w:rPr>
          <w:rStyle w:val="af9"/>
          <w:rFonts w:hint="cs"/>
          <w:rtl/>
        </w:rPr>
        <w:t>ה</w:t>
      </w:r>
      <w:r w:rsidRPr="007705C0">
        <w:rPr>
          <w:rStyle w:val="af9"/>
          <w:rFonts w:hint="cs"/>
          <w:rtl/>
        </w:rPr>
        <w:t>תוס' הרא"ש</w:t>
      </w:r>
      <w:r>
        <w:rPr>
          <w:rFonts w:hint="cs"/>
          <w:rtl/>
        </w:rPr>
        <w:t xml:space="preserve"> </w:t>
      </w:r>
      <w:r w:rsidRPr="007705C0">
        <w:rPr>
          <w:rStyle w:val="af7"/>
          <w:rFonts w:eastAsia="Guttman Hodes" w:hint="cs"/>
          <w:rtl/>
        </w:rPr>
        <w:t>(ד"ה אבל)</w:t>
      </w:r>
      <w:r>
        <w:rPr>
          <w:rFonts w:hint="cs"/>
          <w:rtl/>
        </w:rPr>
        <w:t xml:space="preserve"> כתב כדברי </w:t>
      </w:r>
      <w:r w:rsidRPr="00DB0712">
        <w:rPr>
          <w:rStyle w:val="af9"/>
          <w:rFonts w:hint="cs"/>
          <w:rtl/>
        </w:rPr>
        <w:t>התוס'</w:t>
      </w:r>
      <w:r>
        <w:rPr>
          <w:rFonts w:hint="cs"/>
          <w:rtl/>
        </w:rPr>
        <w:t xml:space="preserve"> </w:t>
      </w:r>
      <w:r w:rsidRPr="00DB0712">
        <w:rPr>
          <w:rStyle w:val="af7"/>
          <w:rFonts w:eastAsia="Guttman Hodes" w:hint="cs"/>
          <w:rtl/>
        </w:rPr>
        <w:t xml:space="preserve">(עי' אות </w:t>
      </w:r>
      <w:r w:rsidRPr="00DB0712">
        <w:rPr>
          <w:rStyle w:val="af7"/>
          <w:rFonts w:eastAsia="Guttman Hodes"/>
          <w:rtl/>
        </w:rPr>
        <w:fldChar w:fldCharType="begin"/>
      </w:r>
      <w:r w:rsidRPr="00DB0712">
        <w:rPr>
          <w:rStyle w:val="af7"/>
          <w:rFonts w:eastAsia="Guttman Hodes"/>
          <w:rtl/>
        </w:rPr>
        <w:instrText xml:space="preserve"> </w:instrText>
      </w:r>
      <w:r w:rsidRPr="00DB0712">
        <w:rPr>
          <w:rStyle w:val="af7"/>
          <w:rFonts w:eastAsia="Guttman Hodes" w:hint="cs"/>
        </w:rPr>
        <w:instrText>REF</w:instrText>
      </w:r>
      <w:r w:rsidRPr="00DB0712">
        <w:rPr>
          <w:rStyle w:val="af7"/>
          <w:rFonts w:eastAsia="Guttman Hodes" w:hint="cs"/>
          <w:rtl/>
        </w:rPr>
        <w:instrText xml:space="preserve"> _</w:instrText>
      </w:r>
      <w:r w:rsidRPr="00DB0712">
        <w:rPr>
          <w:rStyle w:val="af7"/>
          <w:rFonts w:eastAsia="Guttman Hodes" w:hint="cs"/>
        </w:rPr>
        <w:instrText>Ref531728169 \r \h</w:instrText>
      </w:r>
      <w:r w:rsidRPr="00DB0712">
        <w:rPr>
          <w:rStyle w:val="af7"/>
          <w:rFonts w:eastAsia="Guttman Hodes"/>
          <w:rtl/>
        </w:rPr>
        <w:instrText xml:space="preserve"> </w:instrText>
      </w:r>
      <w:r w:rsidRPr="00DB0712">
        <w:rPr>
          <w:rStyle w:val="af7"/>
          <w:rFonts w:eastAsia="Guttman Hodes"/>
          <w:rtl/>
        </w:rPr>
      </w:r>
      <w:r w:rsidRPr="00DB0712">
        <w:rPr>
          <w:rStyle w:val="af7"/>
          <w:rFonts w:eastAsia="Guttman Hodes"/>
          <w:rtl/>
        </w:rPr>
        <w:fldChar w:fldCharType="separate"/>
      </w:r>
      <w:r w:rsidR="00345400">
        <w:rPr>
          <w:rStyle w:val="af7"/>
          <w:rFonts w:eastAsia="Guttman Hodes"/>
          <w:cs/>
        </w:rPr>
        <w:t>‎</w:t>
      </w:r>
      <w:r w:rsidR="00345400">
        <w:rPr>
          <w:rStyle w:val="af7"/>
          <w:rFonts w:eastAsia="Guttman Hodes"/>
          <w:rtl/>
        </w:rPr>
        <w:t>ס)</w:t>
      </w:r>
      <w:r w:rsidRPr="00DB0712">
        <w:rPr>
          <w:rStyle w:val="af7"/>
          <w:rFonts w:eastAsia="Guttman Hodes"/>
          <w:rtl/>
        </w:rPr>
        <w:fldChar w:fldCharType="end"/>
      </w:r>
      <w:r>
        <w:rPr>
          <w:rFonts w:hint="cs"/>
          <w:rtl/>
        </w:rPr>
        <w:t xml:space="preserve"> והוסיף לבאר דבטבעת הגדולה הוא שוחט את רוב חלל הקנה, ובשאר הטבעות אינו שוחט את רוב חלל הקנה. וכן ביאר </w:t>
      </w:r>
      <w:r w:rsidRPr="00D13D68">
        <w:rPr>
          <w:rStyle w:val="af9"/>
          <w:rFonts w:hint="cs"/>
          <w:rtl/>
        </w:rPr>
        <w:t>הרשב"א</w:t>
      </w:r>
      <w:r>
        <w:rPr>
          <w:rStyle w:val="af9"/>
          <w:rFonts w:hint="cs"/>
          <w:rtl/>
        </w:rPr>
        <w:t xml:space="preserve"> בחי'</w:t>
      </w:r>
      <w:r>
        <w:rPr>
          <w:rFonts w:hint="cs"/>
          <w:rtl/>
        </w:rPr>
        <w:t xml:space="preserve"> </w:t>
      </w:r>
      <w:r w:rsidRPr="00D13D68">
        <w:rPr>
          <w:rStyle w:val="af7"/>
          <w:rFonts w:eastAsia="Guttman Hodes" w:hint="cs"/>
          <w:rtl/>
        </w:rPr>
        <w:t>(ד"ה אף)</w:t>
      </w:r>
      <w:r>
        <w:rPr>
          <w:rFonts w:hint="cs"/>
          <w:rtl/>
        </w:rPr>
        <w:t xml:space="preserve"> דאמרי רב ושמואל דבטבעת הגדולה כיון שהיא מקיפה את כל הקנה, א"כ כששוחט את רוב ההיקף של הטבעת הוא שוחט את רוב החלל של הקנה, אבל בשאר הטבעות כיון שחוט של בשר מחבר אותם, אף אם שוחט את רוב ההיקף של שאר הטבעות, אינו נחשב כאילו שוחט את כל הסימן, דיתכן שעדיין לא שחט את רוב החלל של הקנה.</w:t>
      </w:r>
    </w:p>
    <w:p w14:paraId="57E3D409" w14:textId="77777777" w:rsidR="003D04E6" w:rsidRDefault="003D04E6" w:rsidP="00BF39B2">
      <w:pPr>
        <w:pStyle w:val="1"/>
        <w:rPr>
          <w:rtl/>
        </w:rPr>
      </w:pPr>
      <w:bookmarkStart w:id="12364" w:name="_Toc531776396"/>
      <w:bookmarkStart w:id="12365" w:name="_Toc531817650"/>
      <w:bookmarkStart w:id="12366" w:name="_Toc531819750"/>
      <w:bookmarkStart w:id="12367" w:name="_Toc19390644"/>
      <w:bookmarkStart w:id="12368" w:name="_Toc19394141"/>
      <w:r>
        <w:rPr>
          <w:rFonts w:hint="cs"/>
          <w:rtl/>
        </w:rPr>
        <w:t>ביאור הרשב"א והתוס' הרא"ש בדעת ריבר</w:t>
      </w:r>
      <w:r>
        <w:rPr>
          <w:rtl/>
        </w:rPr>
        <w:t>"</w:t>
      </w:r>
      <w:r>
        <w:rPr>
          <w:rFonts w:hint="cs"/>
          <w:rtl/>
        </w:rPr>
        <w:t>י בתוספתא</w:t>
      </w:r>
      <w:bookmarkEnd w:id="12364"/>
      <w:bookmarkEnd w:id="12365"/>
      <w:bookmarkEnd w:id="12366"/>
      <w:bookmarkEnd w:id="12367"/>
      <w:bookmarkEnd w:id="12368"/>
    </w:p>
    <w:p w14:paraId="5A4A4FC2" w14:textId="77777777" w:rsidR="003D04E6" w:rsidRPr="00821054" w:rsidRDefault="003D04E6" w:rsidP="006D6D32">
      <w:pPr>
        <w:pStyle w:val="a3"/>
        <w:rPr>
          <w:rtl/>
        </w:rPr>
      </w:pPr>
      <w:bookmarkStart w:id="12369" w:name="_Toc531817651"/>
      <w:bookmarkStart w:id="12370" w:name="_Toc531819751"/>
      <w:bookmarkStart w:id="12371" w:name="_Toc19390645"/>
      <w:bookmarkStart w:id="12372" w:name="_Toc19394142"/>
      <w:r>
        <w:rPr>
          <w:rFonts w:hint="cs"/>
          <w:rtl/>
        </w:rPr>
        <w:t>ביאור הרשב"א דלרבר"י שחיטת רוב ההיקף של שאר הטבעות חשיב כשחיטת רוב החלל</w:t>
      </w:r>
      <w:bookmarkEnd w:id="12369"/>
      <w:bookmarkEnd w:id="12370"/>
      <w:bookmarkEnd w:id="12371"/>
      <w:bookmarkEnd w:id="12372"/>
    </w:p>
    <w:p w14:paraId="6FE2B44B" w14:textId="77777777" w:rsidR="003D04E6" w:rsidRDefault="003D04E6" w:rsidP="00223668">
      <w:pPr>
        <w:pStyle w:val="a0"/>
        <w:rPr>
          <w:rtl/>
        </w:rPr>
      </w:pPr>
      <w:bookmarkStart w:id="12373" w:name="_Ref531817046"/>
      <w:r>
        <w:rPr>
          <w:rFonts w:hint="cs"/>
          <w:rtl/>
        </w:rPr>
        <w:t xml:space="preserve">וכתב </w:t>
      </w:r>
      <w:r w:rsidRPr="00D13D68">
        <w:rPr>
          <w:rStyle w:val="af9"/>
          <w:rFonts w:hint="cs"/>
          <w:rtl/>
        </w:rPr>
        <w:t>הרשב"א</w:t>
      </w:r>
      <w:r>
        <w:rPr>
          <w:rStyle w:val="af9"/>
          <w:rFonts w:hint="cs"/>
          <w:rtl/>
        </w:rPr>
        <w:t xml:space="preserve"> בחי'</w:t>
      </w:r>
      <w:r>
        <w:rPr>
          <w:rFonts w:hint="cs"/>
          <w:rtl/>
        </w:rPr>
        <w:t xml:space="preserve"> </w:t>
      </w:r>
      <w:r w:rsidRPr="00D13D68">
        <w:rPr>
          <w:rStyle w:val="af7"/>
          <w:rFonts w:eastAsia="Guttman Hodes" w:hint="cs"/>
          <w:rtl/>
        </w:rPr>
        <w:t>(ד"ה אף)</w:t>
      </w:r>
      <w:r>
        <w:rPr>
          <w:rFonts w:hint="cs"/>
          <w:rtl/>
        </w:rPr>
        <w:t xml:space="preserve"> </w:t>
      </w:r>
      <w:r w:rsidRPr="00E31E00">
        <w:rPr>
          <w:rStyle w:val="af9"/>
          <w:rFonts w:hint="cs"/>
          <w:rtl/>
        </w:rPr>
        <w:t>ובתוה"ב</w:t>
      </w:r>
      <w:r w:rsidRPr="00C61E64">
        <w:rPr>
          <w:rFonts w:hint="cs"/>
          <w:rtl/>
        </w:rPr>
        <w:t xml:space="preserve"> </w:t>
      </w:r>
      <w:r w:rsidRPr="00E31E00">
        <w:rPr>
          <w:rStyle w:val="af7"/>
          <w:rFonts w:eastAsia="Guttman Hodes" w:hint="cs"/>
          <w:rtl/>
        </w:rPr>
        <w:t>(ב"ב ש"א דף כד. מדה"ס)</w:t>
      </w:r>
      <w:r>
        <w:rPr>
          <w:rFonts w:hint="cs"/>
          <w:rtl/>
        </w:rPr>
        <w:t xml:space="preserve"> דהא דתני בתוספתא "הואיל ומקיפות את רוב הקנה", </w:t>
      </w:r>
      <w:r w:rsidRPr="00D13D68">
        <w:rPr>
          <w:rStyle w:val="afb"/>
          <w:rFonts w:hint="cs"/>
          <w:rtl/>
        </w:rPr>
        <w:t xml:space="preserve">[דכתב </w:t>
      </w:r>
      <w:r w:rsidRPr="00D13D68">
        <w:rPr>
          <w:rStyle w:val="affa"/>
          <w:rFonts w:hint="cs"/>
          <w:rtl/>
        </w:rPr>
        <w:t>הרשב"א</w:t>
      </w:r>
      <w:r w:rsidRPr="00667909">
        <w:rPr>
          <w:rStyle w:val="aff6"/>
          <w:rFonts w:hint="cs"/>
          <w:rtl/>
        </w:rPr>
        <w:t xml:space="preserve"> (עי' אות </w:t>
      </w:r>
      <w:r w:rsidRPr="00667909">
        <w:rPr>
          <w:rStyle w:val="aff6"/>
          <w:rtl/>
        </w:rPr>
        <w:fldChar w:fldCharType="begin"/>
      </w:r>
      <w:r w:rsidRPr="00667909">
        <w:rPr>
          <w:rStyle w:val="aff6"/>
          <w:rtl/>
        </w:rPr>
        <w:instrText xml:space="preserve"> </w:instrText>
      </w:r>
      <w:r w:rsidRPr="00667909">
        <w:rPr>
          <w:rStyle w:val="aff6"/>
          <w:rFonts w:hint="cs"/>
        </w:rPr>
        <w:instrText>REF</w:instrText>
      </w:r>
      <w:r w:rsidRPr="00667909">
        <w:rPr>
          <w:rStyle w:val="aff6"/>
          <w:rFonts w:hint="cs"/>
          <w:rtl/>
        </w:rPr>
        <w:instrText xml:space="preserve"> _</w:instrText>
      </w:r>
      <w:r w:rsidRPr="00667909">
        <w:rPr>
          <w:rStyle w:val="aff6"/>
          <w:rFonts w:hint="cs"/>
        </w:rPr>
        <w:instrText>Ref531552917 \r \h</w:instrText>
      </w:r>
      <w:r w:rsidRPr="00667909">
        <w:rPr>
          <w:rStyle w:val="aff6"/>
          <w:rtl/>
        </w:rPr>
        <w:instrText xml:space="preserve"> </w:instrText>
      </w:r>
      <w:r w:rsidRPr="00667909">
        <w:rPr>
          <w:rStyle w:val="aff6"/>
          <w:rtl/>
        </w:rPr>
      </w:r>
      <w:r w:rsidRPr="00667909">
        <w:rPr>
          <w:rStyle w:val="aff6"/>
          <w:rtl/>
        </w:rPr>
        <w:fldChar w:fldCharType="separate"/>
      </w:r>
      <w:r w:rsidR="00345400">
        <w:rPr>
          <w:rStyle w:val="aff6"/>
          <w:cs/>
        </w:rPr>
        <w:t>‎</w:t>
      </w:r>
      <w:r w:rsidR="00345400">
        <w:rPr>
          <w:rStyle w:val="aff6"/>
          <w:rtl/>
        </w:rPr>
        <w:t>לו)</w:t>
      </w:r>
      <w:r w:rsidRPr="00667909">
        <w:rPr>
          <w:rStyle w:val="aff6"/>
          <w:rtl/>
        </w:rPr>
        <w:fldChar w:fldCharType="end"/>
      </w:r>
      <w:r w:rsidRPr="00D13D68">
        <w:rPr>
          <w:rStyle w:val="afb"/>
          <w:rFonts w:hint="cs"/>
          <w:rtl/>
        </w:rPr>
        <w:t xml:space="preserve"> דהוא משמע </w:t>
      </w:r>
      <w:r w:rsidRPr="00667909">
        <w:rPr>
          <w:rStyle w:val="affa"/>
          <w:rFonts w:hint="cs"/>
          <w:rtl/>
        </w:rPr>
        <w:t>כרש"י</w:t>
      </w:r>
      <w:r w:rsidRPr="00D13D68">
        <w:rPr>
          <w:rStyle w:val="afb"/>
          <w:rFonts w:hint="cs"/>
          <w:rtl/>
        </w:rPr>
        <w:t>]</w:t>
      </w:r>
      <w:r>
        <w:rPr>
          <w:rFonts w:hint="cs"/>
          <w:rtl/>
        </w:rPr>
        <w:t xml:space="preserve">, דהתוספתא באה לבאר את את המחלוקת במשנה, </w:t>
      </w:r>
      <w:r w:rsidRPr="00667909">
        <w:rPr>
          <w:rStyle w:val="afb"/>
          <w:rFonts w:hint="cs"/>
          <w:rtl/>
        </w:rPr>
        <w:t>[דהא ה</w:t>
      </w:r>
      <w:r>
        <w:rPr>
          <w:rStyle w:val="afb"/>
          <w:rFonts w:hint="cs"/>
          <w:rtl/>
        </w:rPr>
        <w:t>תוספתא</w:t>
      </w:r>
      <w:r w:rsidRPr="00667909">
        <w:rPr>
          <w:rStyle w:val="afb"/>
          <w:rFonts w:hint="cs"/>
          <w:rtl/>
        </w:rPr>
        <w:t xml:space="preserve"> היא הפירוש של המשנה]</w:t>
      </w:r>
      <w:r>
        <w:rPr>
          <w:rStyle w:val="afb"/>
          <w:rFonts w:hint="cs"/>
          <w:rtl/>
        </w:rPr>
        <w:t xml:space="preserve">. </w:t>
      </w:r>
      <w:r>
        <w:rPr>
          <w:rFonts w:hint="cs"/>
          <w:rtl/>
        </w:rPr>
        <w:t xml:space="preserve">וביאר </w:t>
      </w:r>
      <w:r w:rsidRPr="00A235C5">
        <w:rPr>
          <w:rStyle w:val="af9"/>
          <w:rFonts w:hint="cs"/>
          <w:rtl/>
        </w:rPr>
        <w:t>הרשב"א</w:t>
      </w:r>
      <w:r>
        <w:rPr>
          <w:rFonts w:hint="cs"/>
          <w:rtl/>
        </w:rPr>
        <w:t xml:space="preserve"> דבתוספתא ריבר</w:t>
      </w:r>
      <w:r>
        <w:rPr>
          <w:rtl/>
        </w:rPr>
        <w:t>"</w:t>
      </w:r>
      <w:r>
        <w:rPr>
          <w:rFonts w:hint="cs"/>
          <w:rtl/>
        </w:rPr>
        <w:t xml:space="preserve">י מכשיר אם שייר מלא החוט על פני רובה של הטבעת הגדולה, כיון ששחט את רוב ההיקף ורוב החלל, ואף בשאר הטבעות שחיטתו כשרה דכיון שהם מקיפות את רוב הקנה, אם שחט את רוב ההיקף של שאר הטבעות, ולא שחט את רוב החלל, כשר דהוי כאילו שחט את רוב החלל, ועי' במה שביארו בזה </w:t>
      </w:r>
      <w:r w:rsidRPr="00391D6B">
        <w:rPr>
          <w:rStyle w:val="af9"/>
          <w:rFonts w:hint="cs"/>
          <w:rtl/>
        </w:rPr>
        <w:t>הרמב"ן והר"ן</w:t>
      </w:r>
      <w:r>
        <w:rPr>
          <w:rFonts w:hint="cs"/>
          <w:rtl/>
        </w:rPr>
        <w:t xml:space="preserve"> </w:t>
      </w:r>
      <w:r w:rsidRPr="00442B99">
        <w:rPr>
          <w:rStyle w:val="af7"/>
          <w:rFonts w:eastAsia="Guttman Hodes" w:hint="cs"/>
          <w:rtl/>
        </w:rPr>
        <w:t xml:space="preserve">(עי' אות </w:t>
      </w:r>
      <w:r w:rsidRPr="00442B99">
        <w:rPr>
          <w:rStyle w:val="af7"/>
          <w:rFonts w:eastAsia="Guttman Hodes"/>
          <w:rtl/>
        </w:rPr>
        <w:fldChar w:fldCharType="begin"/>
      </w:r>
      <w:r w:rsidRPr="00442B99">
        <w:rPr>
          <w:rStyle w:val="af7"/>
          <w:rFonts w:eastAsia="Guttman Hodes"/>
          <w:rtl/>
        </w:rPr>
        <w:instrText xml:space="preserve"> </w:instrText>
      </w:r>
      <w:r w:rsidRPr="00442B99">
        <w:rPr>
          <w:rStyle w:val="af7"/>
          <w:rFonts w:eastAsia="Guttman Hodes" w:hint="cs"/>
        </w:rPr>
        <w:instrText>REF</w:instrText>
      </w:r>
      <w:r w:rsidRPr="00442B99">
        <w:rPr>
          <w:rStyle w:val="af7"/>
          <w:rFonts w:eastAsia="Guttman Hodes" w:hint="cs"/>
          <w:rtl/>
        </w:rPr>
        <w:instrText xml:space="preserve"> _</w:instrText>
      </w:r>
      <w:r w:rsidRPr="00442B99">
        <w:rPr>
          <w:rStyle w:val="af7"/>
          <w:rFonts w:eastAsia="Guttman Hodes" w:hint="cs"/>
        </w:rPr>
        <w:instrText>Ref531771587 \r \h</w:instrText>
      </w:r>
      <w:r w:rsidRPr="00442B99">
        <w:rPr>
          <w:rStyle w:val="af7"/>
          <w:rFonts w:eastAsia="Guttman Hodes"/>
          <w:rtl/>
        </w:rPr>
        <w:instrText xml:space="preserve"> </w:instrText>
      </w:r>
      <w:r w:rsidRPr="00442B99">
        <w:rPr>
          <w:rStyle w:val="af7"/>
          <w:rFonts w:eastAsia="Guttman Hodes"/>
          <w:rtl/>
        </w:rPr>
      </w:r>
      <w:r w:rsidRPr="00442B99">
        <w:rPr>
          <w:rStyle w:val="af7"/>
          <w:rFonts w:eastAsia="Guttman Hodes"/>
          <w:rtl/>
        </w:rPr>
        <w:fldChar w:fldCharType="separate"/>
      </w:r>
      <w:r w:rsidR="00345400">
        <w:rPr>
          <w:rStyle w:val="af7"/>
          <w:rFonts w:eastAsia="Guttman Hodes"/>
          <w:cs/>
        </w:rPr>
        <w:t>‎</w:t>
      </w:r>
      <w:r w:rsidR="00345400">
        <w:rPr>
          <w:rStyle w:val="af7"/>
          <w:rFonts w:eastAsia="Guttman Hodes"/>
          <w:rtl/>
        </w:rPr>
        <w:t>פ)</w:t>
      </w:r>
      <w:r w:rsidRPr="00442B99">
        <w:rPr>
          <w:rStyle w:val="af7"/>
          <w:rFonts w:eastAsia="Guttman Hodes"/>
          <w:rtl/>
        </w:rPr>
        <w:fldChar w:fldCharType="end"/>
      </w:r>
      <w:r>
        <w:rPr>
          <w:rFonts w:hint="cs"/>
          <w:rtl/>
        </w:rPr>
        <w:t>.</w:t>
      </w:r>
      <w:bookmarkEnd w:id="12373"/>
    </w:p>
    <w:p w14:paraId="672B93E2" w14:textId="77777777" w:rsidR="00493E3A" w:rsidRDefault="00493E3A" w:rsidP="006D6D32">
      <w:pPr>
        <w:pStyle w:val="a3"/>
        <w:rPr>
          <w:rtl/>
        </w:rPr>
      </w:pPr>
      <w:bookmarkStart w:id="12374" w:name="_Toc531817652"/>
      <w:bookmarkStart w:id="12375" w:name="_Toc531819752"/>
    </w:p>
    <w:p w14:paraId="0DD54203" w14:textId="77777777" w:rsidR="003D04E6" w:rsidRPr="00431D9C" w:rsidRDefault="003D04E6" w:rsidP="006D6D32">
      <w:pPr>
        <w:pStyle w:val="a3"/>
        <w:rPr>
          <w:rtl/>
        </w:rPr>
      </w:pPr>
      <w:bookmarkStart w:id="12376" w:name="_Toc19390646"/>
      <w:bookmarkStart w:id="12377" w:name="_Toc19394143"/>
      <w:r>
        <w:rPr>
          <w:rFonts w:hint="cs"/>
          <w:rtl/>
        </w:rPr>
        <w:t>דברי התורא"ש דלרבר"י ברוב שאר הטבעות נפקא רוב החיות כיון שמקיפות את רוב הקנה</w:t>
      </w:r>
      <w:bookmarkEnd w:id="12374"/>
      <w:bookmarkEnd w:id="12375"/>
      <w:bookmarkEnd w:id="12376"/>
      <w:bookmarkEnd w:id="12377"/>
    </w:p>
    <w:p w14:paraId="495218B3" w14:textId="77777777" w:rsidR="003D04E6" w:rsidRDefault="003D04E6" w:rsidP="00223668">
      <w:pPr>
        <w:pStyle w:val="a0"/>
        <w:rPr>
          <w:rtl/>
        </w:rPr>
      </w:pPr>
      <w:bookmarkStart w:id="12378" w:name="_Ref531804417"/>
      <w:bookmarkStart w:id="12379" w:name="_Toc531638984"/>
      <w:r>
        <w:rPr>
          <w:rFonts w:hint="cs"/>
          <w:rtl/>
        </w:rPr>
        <w:t xml:space="preserve">וכעי"ז כתב </w:t>
      </w:r>
      <w:r w:rsidRPr="007705C0">
        <w:rPr>
          <w:rStyle w:val="af9"/>
          <w:rFonts w:hint="cs"/>
          <w:rtl/>
        </w:rPr>
        <w:t>התוס' הרא"ש</w:t>
      </w:r>
      <w:r>
        <w:rPr>
          <w:rFonts w:hint="cs"/>
          <w:rtl/>
        </w:rPr>
        <w:t xml:space="preserve"> </w:t>
      </w:r>
      <w:r w:rsidRPr="007705C0">
        <w:rPr>
          <w:rStyle w:val="af7"/>
          <w:rFonts w:eastAsia="Guttman Hodes" w:hint="cs"/>
          <w:rtl/>
        </w:rPr>
        <w:t>(</w:t>
      </w:r>
      <w:r>
        <w:rPr>
          <w:rStyle w:val="af7"/>
          <w:rFonts w:eastAsia="Guttman Hodes" w:hint="cs"/>
          <w:rtl/>
        </w:rPr>
        <w:t>סו</w:t>
      </w:r>
      <w:r w:rsidRPr="007705C0">
        <w:rPr>
          <w:rStyle w:val="af7"/>
          <w:rFonts w:eastAsia="Guttman Hodes" w:hint="cs"/>
          <w:rtl/>
        </w:rPr>
        <w:t>ד"ה אבל)</w:t>
      </w:r>
      <w:r>
        <w:rPr>
          <w:rFonts w:hint="cs"/>
          <w:rtl/>
        </w:rPr>
        <w:t xml:space="preserve"> דהא דמקשה הגמ' מהתוספתא הוא כיון שהיא באה לפרש את המשנה בדין הגרמה, ומבואר בתוספתא דריבר</w:t>
      </w:r>
      <w:r>
        <w:rPr>
          <w:rtl/>
        </w:rPr>
        <w:t>"</w:t>
      </w:r>
      <w:r>
        <w:rPr>
          <w:rFonts w:hint="cs"/>
          <w:rtl/>
        </w:rPr>
        <w:t xml:space="preserve">י הכשיר בשחיטת רוב בשאר הטבעות, כיון שהם מקיפות את רוב הקנה, וביאר </w:t>
      </w:r>
      <w:r w:rsidRPr="00ED7459">
        <w:rPr>
          <w:rStyle w:val="af9"/>
          <w:rFonts w:hint="cs"/>
          <w:rtl/>
        </w:rPr>
        <w:t>התוס' הרא"ש</w:t>
      </w:r>
      <w:r>
        <w:rPr>
          <w:rFonts w:hint="cs"/>
          <w:rtl/>
        </w:rPr>
        <w:t xml:space="preserve"> דס"ל לריבר</w:t>
      </w:r>
      <w:r>
        <w:rPr>
          <w:rtl/>
        </w:rPr>
        <w:t>"</w:t>
      </w:r>
      <w:r>
        <w:rPr>
          <w:rFonts w:hint="cs"/>
          <w:rtl/>
        </w:rPr>
        <w:t xml:space="preserve">י דהחיות של הסימן יוצאת ברוב הטבעת, ולכן מהני שחיטת רוב שאר הטבעות, אף שאינן מקיפות את כל הקנה, וכתב </w:t>
      </w:r>
      <w:r w:rsidRPr="007705C0">
        <w:rPr>
          <w:rStyle w:val="af9"/>
          <w:rFonts w:hint="cs"/>
          <w:rtl/>
        </w:rPr>
        <w:t>התוס' הרא"ש</w:t>
      </w:r>
      <w:r>
        <w:rPr>
          <w:rFonts w:hint="cs"/>
          <w:rtl/>
        </w:rPr>
        <w:t xml:space="preserve"> דלא קיי"ל כריבר</w:t>
      </w:r>
      <w:r>
        <w:rPr>
          <w:rtl/>
        </w:rPr>
        <w:t>"</w:t>
      </w:r>
      <w:r>
        <w:rPr>
          <w:rFonts w:hint="cs"/>
          <w:rtl/>
        </w:rPr>
        <w:t xml:space="preserve">י בזה, אלא כרב ושמואל שהכשירו רק בשחיטת רוב הטבעת הגדולה, וע"ע בדברי </w:t>
      </w:r>
      <w:r w:rsidRPr="00442B99">
        <w:rPr>
          <w:rStyle w:val="af9"/>
          <w:rFonts w:hint="cs"/>
          <w:rtl/>
        </w:rPr>
        <w:t>הרא"ש בפסקים</w:t>
      </w:r>
      <w:r>
        <w:rPr>
          <w:rFonts w:hint="cs"/>
          <w:rtl/>
        </w:rPr>
        <w:t xml:space="preserve"> </w:t>
      </w:r>
      <w:r w:rsidRPr="00442B99">
        <w:rPr>
          <w:rStyle w:val="af7"/>
          <w:rFonts w:eastAsia="Guttman Hodes" w:hint="cs"/>
          <w:rtl/>
        </w:rPr>
        <w:t xml:space="preserve">(עי' אות </w:t>
      </w:r>
      <w:r w:rsidRPr="00442B99">
        <w:rPr>
          <w:rStyle w:val="af7"/>
          <w:rFonts w:eastAsia="Guttman Hodes"/>
          <w:rtl/>
        </w:rPr>
        <w:fldChar w:fldCharType="begin"/>
      </w:r>
      <w:r w:rsidRPr="00442B99">
        <w:rPr>
          <w:rStyle w:val="af7"/>
          <w:rFonts w:eastAsia="Guttman Hodes"/>
          <w:rtl/>
        </w:rPr>
        <w:instrText xml:space="preserve"> </w:instrText>
      </w:r>
      <w:r w:rsidRPr="00442B99">
        <w:rPr>
          <w:rStyle w:val="af7"/>
          <w:rFonts w:eastAsia="Guttman Hodes" w:hint="cs"/>
        </w:rPr>
        <w:instrText>REF</w:instrText>
      </w:r>
      <w:r w:rsidRPr="00442B99">
        <w:rPr>
          <w:rStyle w:val="af7"/>
          <w:rFonts w:eastAsia="Guttman Hodes" w:hint="cs"/>
          <w:rtl/>
        </w:rPr>
        <w:instrText xml:space="preserve"> _</w:instrText>
      </w:r>
      <w:r w:rsidRPr="00442B99">
        <w:rPr>
          <w:rStyle w:val="af7"/>
          <w:rFonts w:eastAsia="Guttman Hodes" w:hint="cs"/>
        </w:rPr>
        <w:instrText>Ref531715296 \r \h</w:instrText>
      </w:r>
      <w:r w:rsidRPr="00442B99">
        <w:rPr>
          <w:rStyle w:val="af7"/>
          <w:rFonts w:eastAsia="Guttman Hodes"/>
          <w:rtl/>
        </w:rPr>
        <w:instrText xml:space="preserve"> </w:instrText>
      </w:r>
      <w:r w:rsidRPr="00442B99">
        <w:rPr>
          <w:rStyle w:val="af7"/>
          <w:rFonts w:eastAsia="Guttman Hodes"/>
          <w:rtl/>
        </w:rPr>
      </w:r>
      <w:r w:rsidRPr="00442B99">
        <w:rPr>
          <w:rStyle w:val="af7"/>
          <w:rFonts w:eastAsia="Guttman Hodes"/>
          <w:rtl/>
        </w:rPr>
        <w:fldChar w:fldCharType="separate"/>
      </w:r>
      <w:r w:rsidR="00345400">
        <w:rPr>
          <w:rStyle w:val="af7"/>
          <w:rFonts w:eastAsia="Guttman Hodes"/>
          <w:cs/>
        </w:rPr>
        <w:t>‎</w:t>
      </w:r>
      <w:r w:rsidR="00345400">
        <w:rPr>
          <w:rStyle w:val="af7"/>
          <w:rFonts w:eastAsia="Guttman Hodes"/>
          <w:rtl/>
        </w:rPr>
        <w:t>עד)</w:t>
      </w:r>
      <w:r w:rsidRPr="00442B99">
        <w:rPr>
          <w:rStyle w:val="af7"/>
          <w:rFonts w:eastAsia="Guttman Hodes"/>
          <w:rtl/>
        </w:rPr>
        <w:fldChar w:fldCharType="end"/>
      </w:r>
      <w:r>
        <w:rPr>
          <w:rFonts w:hint="cs"/>
          <w:rtl/>
        </w:rPr>
        <w:t>.</w:t>
      </w:r>
      <w:bookmarkEnd w:id="12378"/>
    </w:p>
    <w:p w14:paraId="6D8A59ED" w14:textId="77777777" w:rsidR="003D04E6" w:rsidRPr="002D194D" w:rsidRDefault="003D04E6" w:rsidP="006D6D32">
      <w:pPr>
        <w:pStyle w:val="a3"/>
      </w:pPr>
      <w:bookmarkStart w:id="12380" w:name="_Toc531817653"/>
      <w:bookmarkStart w:id="12381" w:name="_Toc531819753"/>
      <w:bookmarkStart w:id="12382" w:name="_Toc19390647"/>
      <w:bookmarkStart w:id="12383" w:name="_Toc19394144"/>
      <w:r>
        <w:rPr>
          <w:rFonts w:hint="cs"/>
          <w:rtl/>
        </w:rPr>
        <w:t>דברי התורא"ש דמוגרמת דרב ושמואל היינו כרבר"י דלא גמר את השחיטה בטבעת</w:t>
      </w:r>
      <w:bookmarkEnd w:id="12380"/>
      <w:bookmarkEnd w:id="12381"/>
      <w:bookmarkEnd w:id="12382"/>
      <w:bookmarkEnd w:id="12383"/>
    </w:p>
    <w:p w14:paraId="6FA8BD33" w14:textId="77777777" w:rsidR="003D04E6" w:rsidRDefault="003D04E6" w:rsidP="00223668">
      <w:pPr>
        <w:pStyle w:val="a0"/>
        <w:rPr>
          <w:rtl/>
        </w:rPr>
      </w:pPr>
      <w:r>
        <w:rPr>
          <w:rFonts w:hint="cs"/>
          <w:rtl/>
        </w:rPr>
        <w:t xml:space="preserve">וכתב </w:t>
      </w:r>
      <w:r w:rsidRPr="007705C0">
        <w:rPr>
          <w:rStyle w:val="af9"/>
          <w:rFonts w:hint="cs"/>
          <w:rtl/>
        </w:rPr>
        <w:t>התוס' הרא"ש</w:t>
      </w:r>
      <w:r>
        <w:rPr>
          <w:rFonts w:hint="cs"/>
          <w:rtl/>
        </w:rPr>
        <w:t xml:space="preserve"> דמוגרמת דרב ושמואל היינו שהגרים מתוך הטבעת ולא גמר בה את השחיטה, דהיא המוגרמת של ריבר</w:t>
      </w:r>
      <w:r>
        <w:rPr>
          <w:rtl/>
        </w:rPr>
        <w:t>"</w:t>
      </w:r>
      <w:r>
        <w:rPr>
          <w:rFonts w:hint="cs"/>
          <w:rtl/>
        </w:rPr>
        <w:t>י, והא דאמר רבי זירא דהיא מוגרמת דרב ושמואל הוא כיון שהם פסקו הלכה כריבר</w:t>
      </w:r>
      <w:r>
        <w:rPr>
          <w:rtl/>
        </w:rPr>
        <w:t>"</w:t>
      </w:r>
      <w:r>
        <w:rPr>
          <w:rFonts w:hint="cs"/>
          <w:rtl/>
        </w:rPr>
        <w:t>י.</w:t>
      </w:r>
    </w:p>
    <w:p w14:paraId="376F4124" w14:textId="77777777" w:rsidR="003D04E6" w:rsidRDefault="003D04E6" w:rsidP="00BF39B2">
      <w:pPr>
        <w:pStyle w:val="1"/>
        <w:rPr>
          <w:rtl/>
        </w:rPr>
      </w:pPr>
      <w:bookmarkStart w:id="12384" w:name="_Toc531776397"/>
      <w:bookmarkStart w:id="12385" w:name="_Toc531817654"/>
      <w:bookmarkStart w:id="12386" w:name="_Toc531819754"/>
      <w:bookmarkStart w:id="12387" w:name="_Toc19390648"/>
      <w:bookmarkStart w:id="12388" w:name="_Toc19394145"/>
      <w:r>
        <w:rPr>
          <w:rFonts w:hint="cs"/>
          <w:rtl/>
        </w:rPr>
        <w:t>הביאור הא' המהרש"א דכוונת התוס' לדין שחיטה</w:t>
      </w:r>
      <w:bookmarkEnd w:id="12384"/>
      <w:bookmarkEnd w:id="12385"/>
      <w:bookmarkEnd w:id="12386"/>
      <w:bookmarkEnd w:id="12387"/>
      <w:bookmarkEnd w:id="12388"/>
    </w:p>
    <w:p w14:paraId="4222E668" w14:textId="77777777" w:rsidR="003D04E6" w:rsidRPr="00304991" w:rsidRDefault="003D04E6" w:rsidP="006D6D32">
      <w:pPr>
        <w:pStyle w:val="a3"/>
      </w:pPr>
      <w:bookmarkStart w:id="12389" w:name="_Toc531817655"/>
      <w:bookmarkStart w:id="12390" w:name="_Toc531819755"/>
      <w:bookmarkStart w:id="12391" w:name="_Toc19390649"/>
      <w:bookmarkStart w:id="12392" w:name="_Toc19394146"/>
      <w:r>
        <w:rPr>
          <w:rFonts w:hint="cs"/>
          <w:rtl/>
        </w:rPr>
        <w:t>הביאור הא' במהרש"א דלתוס' רב ושמואל אמרי דמדין שחיטה לא מהני רוב שאר טבעות</w:t>
      </w:r>
      <w:bookmarkEnd w:id="12389"/>
      <w:bookmarkEnd w:id="12390"/>
      <w:bookmarkEnd w:id="12391"/>
      <w:bookmarkEnd w:id="12392"/>
    </w:p>
    <w:p w14:paraId="4FEE05F0" w14:textId="77777777" w:rsidR="003D04E6" w:rsidRDefault="003D04E6" w:rsidP="00223668">
      <w:pPr>
        <w:pStyle w:val="a0"/>
        <w:rPr>
          <w:rtl/>
        </w:rPr>
      </w:pPr>
      <w:bookmarkStart w:id="12393" w:name="_Ref531715434"/>
      <w:r>
        <w:rPr>
          <w:rFonts w:hint="cs"/>
          <w:rtl/>
        </w:rPr>
        <w:t xml:space="preserve">בביאור דברי </w:t>
      </w:r>
      <w:r w:rsidRPr="00D50FC6">
        <w:rPr>
          <w:rStyle w:val="af9"/>
          <w:rFonts w:hint="cs"/>
          <w:rtl/>
        </w:rPr>
        <w:t>התוס'</w:t>
      </w:r>
      <w:r>
        <w:rPr>
          <w:rFonts w:hint="cs"/>
          <w:rtl/>
        </w:rPr>
        <w:t xml:space="preserve"> </w:t>
      </w:r>
      <w:r w:rsidRPr="00D50FC6">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Ref531728169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ס)</w:t>
      </w:r>
      <w:r>
        <w:rPr>
          <w:rStyle w:val="af7"/>
          <w:rFonts w:eastAsia="Guttman Hodes"/>
          <w:rtl/>
        </w:rPr>
        <w:fldChar w:fldCharType="end"/>
      </w:r>
      <w:r w:rsidRPr="00D50FC6">
        <w:rPr>
          <w:rStyle w:val="af7"/>
          <w:rFonts w:eastAsia="Guttman Hodes" w:hint="cs"/>
          <w:rtl/>
        </w:rPr>
        <w:t xml:space="preserve"> </w:t>
      </w:r>
      <w:r>
        <w:rPr>
          <w:rFonts w:hint="cs"/>
          <w:rtl/>
        </w:rPr>
        <w:t xml:space="preserve">כתב </w:t>
      </w:r>
      <w:r w:rsidRPr="00C82F9E">
        <w:rPr>
          <w:rStyle w:val="af9"/>
          <w:rFonts w:hint="cs"/>
          <w:rtl/>
        </w:rPr>
        <w:t>המהרש"א בביאורו הא'</w:t>
      </w:r>
      <w:r>
        <w:rPr>
          <w:rFonts w:hint="cs"/>
          <w:rtl/>
        </w:rPr>
        <w:t xml:space="preserve"> </w:t>
      </w:r>
      <w:r w:rsidRPr="00A834C9">
        <w:rPr>
          <w:rStyle w:val="af7"/>
          <w:rFonts w:eastAsia="Guttman Hodes" w:hint="cs"/>
          <w:rtl/>
        </w:rPr>
        <w:t>(על תוד"ה אבל)</w:t>
      </w:r>
      <w:r>
        <w:rPr>
          <w:rFonts w:hint="cs"/>
          <w:rtl/>
        </w:rPr>
        <w:t xml:space="preserve"> דאין כוונת </w:t>
      </w:r>
      <w:r w:rsidRPr="00A834C9">
        <w:rPr>
          <w:rStyle w:val="af9"/>
          <w:rFonts w:hint="cs"/>
          <w:rtl/>
        </w:rPr>
        <w:t>התוס'</w:t>
      </w:r>
      <w:r>
        <w:rPr>
          <w:rFonts w:hint="cs"/>
          <w:rtl/>
        </w:rPr>
        <w:t xml:space="preserve"> לבאר את דברי רב ושמואל לענין הגרמה, ולומר דבהגרמה לא מהני הרוב בשאר הטבעות, אלא דכוונת </w:t>
      </w:r>
      <w:r w:rsidRPr="00A834C9">
        <w:rPr>
          <w:rStyle w:val="af9"/>
          <w:rFonts w:hint="cs"/>
          <w:rtl/>
        </w:rPr>
        <w:t>התוס'</w:t>
      </w:r>
      <w:r>
        <w:rPr>
          <w:rFonts w:hint="cs"/>
          <w:rtl/>
        </w:rPr>
        <w:t xml:space="preserve"> לבאר את דברי רב ושמואל לענין שחיטה, ולומר דרוב שאר הטבעות אינו נחשב רוב קנה, ואין בו דין רובו ככולו, ואם שחט את רוב שאר הטבעות, שחיטתו פסולה דצריך לשחוט את רוב הקנה, דרוב טבעת לא חשיבא רוב קנה, וכתב </w:t>
      </w:r>
      <w:r w:rsidRPr="00A834C9">
        <w:rPr>
          <w:rStyle w:val="af9"/>
          <w:rFonts w:hint="cs"/>
          <w:rtl/>
        </w:rPr>
        <w:t>המהרש"א</w:t>
      </w:r>
      <w:r>
        <w:rPr>
          <w:rFonts w:hint="cs"/>
          <w:rtl/>
        </w:rPr>
        <w:t xml:space="preserve"> דכן ביאר </w:t>
      </w:r>
      <w:r w:rsidRPr="00A834C9">
        <w:rPr>
          <w:rStyle w:val="af9"/>
          <w:rFonts w:hint="cs"/>
          <w:rtl/>
        </w:rPr>
        <w:t>הרא"ש</w:t>
      </w:r>
      <w:r>
        <w:rPr>
          <w:rFonts w:hint="cs"/>
          <w:rtl/>
        </w:rPr>
        <w:t xml:space="preserve"> </w:t>
      </w:r>
      <w:r w:rsidRPr="00AF5E68">
        <w:rPr>
          <w:rStyle w:val="af7"/>
          <w:rFonts w:eastAsia="Guttman Hodes" w:hint="cs"/>
          <w:rtl/>
        </w:rPr>
        <w:t xml:space="preserve">(עי' אות </w:t>
      </w:r>
      <w:r w:rsidRPr="00AF5E68">
        <w:rPr>
          <w:rStyle w:val="af7"/>
          <w:rFonts w:eastAsia="Guttman Hodes"/>
          <w:rtl/>
        </w:rPr>
        <w:fldChar w:fldCharType="begin"/>
      </w:r>
      <w:r w:rsidRPr="00AF5E68">
        <w:rPr>
          <w:rStyle w:val="af7"/>
          <w:rFonts w:eastAsia="Guttman Hodes"/>
          <w:rtl/>
        </w:rPr>
        <w:instrText xml:space="preserve"> </w:instrText>
      </w:r>
      <w:r w:rsidRPr="00AF5E68">
        <w:rPr>
          <w:rStyle w:val="af7"/>
          <w:rFonts w:eastAsia="Guttman Hodes" w:hint="cs"/>
        </w:rPr>
        <w:instrText>REF</w:instrText>
      </w:r>
      <w:r w:rsidRPr="00AF5E68">
        <w:rPr>
          <w:rStyle w:val="af7"/>
          <w:rFonts w:eastAsia="Guttman Hodes" w:hint="cs"/>
          <w:rtl/>
        </w:rPr>
        <w:instrText xml:space="preserve"> _</w:instrText>
      </w:r>
      <w:r w:rsidRPr="00AF5E68">
        <w:rPr>
          <w:rStyle w:val="af7"/>
          <w:rFonts w:eastAsia="Guttman Hodes" w:hint="cs"/>
        </w:rPr>
        <w:instrText>Ref531715296 \r \h</w:instrText>
      </w:r>
      <w:r w:rsidRPr="00AF5E68">
        <w:rPr>
          <w:rStyle w:val="af7"/>
          <w:rFonts w:eastAsia="Guttman Hodes"/>
          <w:rtl/>
        </w:rPr>
        <w:instrText xml:space="preserve"> </w:instrText>
      </w:r>
      <w:r w:rsidRPr="00AF5E68">
        <w:rPr>
          <w:rStyle w:val="af7"/>
          <w:rFonts w:eastAsia="Guttman Hodes"/>
          <w:rtl/>
        </w:rPr>
      </w:r>
      <w:r w:rsidRPr="00AF5E68">
        <w:rPr>
          <w:rStyle w:val="af7"/>
          <w:rFonts w:eastAsia="Guttman Hodes"/>
          <w:rtl/>
        </w:rPr>
        <w:fldChar w:fldCharType="separate"/>
      </w:r>
      <w:r w:rsidR="00345400">
        <w:rPr>
          <w:rStyle w:val="af7"/>
          <w:rFonts w:eastAsia="Guttman Hodes"/>
          <w:cs/>
        </w:rPr>
        <w:t>‎</w:t>
      </w:r>
      <w:r w:rsidR="00345400">
        <w:rPr>
          <w:rStyle w:val="af7"/>
          <w:rFonts w:eastAsia="Guttman Hodes"/>
          <w:rtl/>
        </w:rPr>
        <w:t>עד)</w:t>
      </w:r>
      <w:r w:rsidRPr="00AF5E68">
        <w:rPr>
          <w:rStyle w:val="af7"/>
          <w:rFonts w:eastAsia="Guttman Hodes"/>
          <w:rtl/>
        </w:rPr>
        <w:fldChar w:fldCharType="end"/>
      </w:r>
      <w:r>
        <w:rPr>
          <w:rFonts w:hint="cs"/>
          <w:rtl/>
        </w:rPr>
        <w:t>.</w:t>
      </w:r>
      <w:bookmarkEnd w:id="12393"/>
    </w:p>
    <w:p w14:paraId="7966A013" w14:textId="77777777" w:rsidR="003D04E6" w:rsidRDefault="003D04E6" w:rsidP="006D6D32">
      <w:pPr>
        <w:pStyle w:val="a3"/>
        <w:rPr>
          <w:rtl/>
        </w:rPr>
      </w:pPr>
      <w:bookmarkStart w:id="12394" w:name="_Toc531817656"/>
      <w:bookmarkStart w:id="12395" w:name="_Toc531819756"/>
      <w:bookmarkStart w:id="12396" w:name="_Toc19390650"/>
      <w:bookmarkStart w:id="12397" w:name="_Toc19394147"/>
      <w:r>
        <w:rPr>
          <w:rFonts w:hint="cs"/>
          <w:rtl/>
        </w:rPr>
        <w:t>קושית התורת חיים על המהרש"א דאי"ז מדין הגרמה ואמאי אמרינן מוגרמת דרב ושמואל</w:t>
      </w:r>
      <w:bookmarkEnd w:id="12394"/>
      <w:bookmarkEnd w:id="12395"/>
      <w:bookmarkEnd w:id="12396"/>
      <w:bookmarkEnd w:id="12397"/>
      <w:r>
        <w:rPr>
          <w:rFonts w:hint="cs"/>
          <w:rtl/>
        </w:rPr>
        <w:t xml:space="preserve"> </w:t>
      </w:r>
    </w:p>
    <w:p w14:paraId="7117FB93" w14:textId="77777777" w:rsidR="003D04E6" w:rsidRDefault="003D04E6" w:rsidP="00223668">
      <w:pPr>
        <w:pStyle w:val="a0"/>
        <w:rPr>
          <w:rtl/>
        </w:rPr>
      </w:pPr>
      <w:r>
        <w:rPr>
          <w:rFonts w:hint="cs"/>
          <w:rtl/>
        </w:rPr>
        <w:t xml:space="preserve">וכתב </w:t>
      </w:r>
      <w:r w:rsidRPr="00F76FD8">
        <w:rPr>
          <w:rStyle w:val="af9"/>
          <w:rFonts w:hint="cs"/>
          <w:rtl/>
        </w:rPr>
        <w:t>התורת חיים</w:t>
      </w:r>
      <w:r>
        <w:rPr>
          <w:rFonts w:hint="cs"/>
          <w:rtl/>
        </w:rPr>
        <w:t xml:space="preserve"> </w:t>
      </w:r>
      <w:r w:rsidRPr="00F76FD8">
        <w:rPr>
          <w:rStyle w:val="af7"/>
          <w:rFonts w:eastAsia="Guttman Hodes" w:hint="cs"/>
          <w:rtl/>
        </w:rPr>
        <w:t>(ד"ה ואף)</w:t>
      </w:r>
      <w:r>
        <w:rPr>
          <w:rFonts w:hint="cs"/>
          <w:rtl/>
        </w:rPr>
        <w:t xml:space="preserve"> דלפי </w:t>
      </w:r>
      <w:r w:rsidRPr="00F76FD8">
        <w:rPr>
          <w:rStyle w:val="af9"/>
          <w:rFonts w:hint="cs"/>
          <w:rtl/>
        </w:rPr>
        <w:t>המהרש"א</w:t>
      </w:r>
      <w:r>
        <w:rPr>
          <w:rFonts w:hint="cs"/>
          <w:rtl/>
        </w:rPr>
        <w:t xml:space="preserve"> רב ושמואל לא ביארו את דין הגרמה, אלא את דין שחיטה, דבשאר הטבעות לא מהני שחיטת רוב הטבעת כיון שאינו רוב הקנה, והקשה </w:t>
      </w:r>
      <w:r w:rsidRPr="00F76FD8">
        <w:rPr>
          <w:rStyle w:val="af9"/>
          <w:rFonts w:hint="cs"/>
          <w:rtl/>
        </w:rPr>
        <w:t>התורת חיים</w:t>
      </w:r>
      <w:r>
        <w:rPr>
          <w:rFonts w:hint="cs"/>
          <w:rtl/>
        </w:rPr>
        <w:t xml:space="preserve"> דא"כ אמאי אמרינן בגמ' דרבי זירא התיר את המוגרמת דרב ושמואל, הא לא אסרי מדין הגרמה כלל, דהרי בשאר הטבעות ודאי שהוא מקום שחיטה, אלא שלא מהני שחיטת רוב שאר הטבעות, עד שישחט את רוב הקנה, ואמאי קרי לה מוגרמת.</w:t>
      </w:r>
    </w:p>
    <w:p w14:paraId="401B2E37" w14:textId="77777777" w:rsidR="003D04E6" w:rsidRDefault="003D04E6" w:rsidP="006D6D32">
      <w:pPr>
        <w:pStyle w:val="a3"/>
        <w:rPr>
          <w:rtl/>
        </w:rPr>
      </w:pPr>
      <w:bookmarkStart w:id="12398" w:name="_Toc531817657"/>
      <w:bookmarkStart w:id="12399" w:name="_Toc531819757"/>
      <w:bookmarkStart w:id="12400" w:name="_Toc19390651"/>
      <w:bookmarkStart w:id="12401" w:name="_Toc19394148"/>
      <w:r>
        <w:rPr>
          <w:rFonts w:hint="cs"/>
          <w:rtl/>
        </w:rPr>
        <w:t>דברי התורת חיים דדברי רב ושמואל הם גם לענין הגרמה אחר שחתך רוב שאר טבעות</w:t>
      </w:r>
      <w:bookmarkEnd w:id="12398"/>
      <w:bookmarkEnd w:id="12399"/>
      <w:bookmarkEnd w:id="12400"/>
      <w:bookmarkEnd w:id="12401"/>
    </w:p>
    <w:p w14:paraId="6DC8B88A" w14:textId="77777777" w:rsidR="003D04E6" w:rsidRPr="00464FBF" w:rsidRDefault="003D04E6" w:rsidP="00223668">
      <w:pPr>
        <w:pStyle w:val="a0"/>
        <w:rPr>
          <w:rtl/>
        </w:rPr>
      </w:pPr>
      <w:r>
        <w:rPr>
          <w:rFonts w:hint="cs"/>
          <w:rtl/>
        </w:rPr>
        <w:t xml:space="preserve">אלא כתב </w:t>
      </w:r>
      <w:r w:rsidRPr="00F76FD8">
        <w:rPr>
          <w:rStyle w:val="af9"/>
          <w:rFonts w:hint="cs"/>
          <w:rtl/>
        </w:rPr>
        <w:t>התורת חיים</w:t>
      </w:r>
      <w:r>
        <w:rPr>
          <w:rFonts w:hint="cs"/>
          <w:rtl/>
        </w:rPr>
        <w:t xml:space="preserve"> דצ"ל דדברי רב ושמואל הם גם לענין הגרמה דאם לאחר שחתך את רוב שאר הטבעות הגרים למעלה מטבעת הגדולה, היא פסולה מדין הגרמה, וכדכתב </w:t>
      </w:r>
      <w:r w:rsidRPr="00A834C9">
        <w:rPr>
          <w:rStyle w:val="af9"/>
          <w:rFonts w:hint="cs"/>
          <w:rtl/>
        </w:rPr>
        <w:t>הבעה"מ</w:t>
      </w:r>
      <w:r>
        <w:rPr>
          <w:rFonts w:hint="cs"/>
          <w:rtl/>
        </w:rPr>
        <w:t xml:space="preserve"> </w:t>
      </w:r>
      <w:r w:rsidRPr="00A43AF3">
        <w:rPr>
          <w:rStyle w:val="af7"/>
          <w:rFonts w:eastAsia="Guttman Hodes" w:hint="cs"/>
          <w:rtl/>
        </w:rPr>
        <w:t xml:space="preserve">(עי' אות </w:t>
      </w:r>
      <w:r w:rsidRPr="00A43AF3">
        <w:rPr>
          <w:rStyle w:val="af7"/>
          <w:rFonts w:eastAsia="Guttman Hodes"/>
          <w:rtl/>
        </w:rPr>
        <w:fldChar w:fldCharType="begin"/>
      </w:r>
      <w:r w:rsidRPr="00A43AF3">
        <w:rPr>
          <w:rStyle w:val="af7"/>
          <w:rFonts w:eastAsia="Guttman Hodes"/>
          <w:rtl/>
        </w:rPr>
        <w:instrText xml:space="preserve"> </w:instrText>
      </w:r>
      <w:r w:rsidRPr="00A43AF3">
        <w:rPr>
          <w:rStyle w:val="af7"/>
          <w:rFonts w:eastAsia="Guttman Hodes" w:hint="cs"/>
        </w:rPr>
        <w:instrText>REF</w:instrText>
      </w:r>
      <w:r w:rsidRPr="00A43AF3">
        <w:rPr>
          <w:rStyle w:val="af7"/>
          <w:rFonts w:eastAsia="Guttman Hodes" w:hint="cs"/>
          <w:rtl/>
        </w:rPr>
        <w:instrText xml:space="preserve"> _</w:instrText>
      </w:r>
      <w:r w:rsidRPr="00A43AF3">
        <w:rPr>
          <w:rStyle w:val="af7"/>
          <w:rFonts w:eastAsia="Guttman Hodes" w:hint="cs"/>
        </w:rPr>
        <w:instrText>Ref531621888 \r \h</w:instrText>
      </w:r>
      <w:r w:rsidRPr="00A43AF3">
        <w:rPr>
          <w:rStyle w:val="af7"/>
          <w:rFonts w:eastAsia="Guttman Hodes"/>
          <w:rtl/>
        </w:rPr>
        <w:instrText xml:space="preserve"> </w:instrText>
      </w:r>
      <w:r w:rsidRPr="00A43AF3">
        <w:rPr>
          <w:rStyle w:val="af7"/>
          <w:rFonts w:eastAsia="Guttman Hodes"/>
          <w:rtl/>
        </w:rPr>
      </w:r>
      <w:r w:rsidRPr="00A43AF3">
        <w:rPr>
          <w:rStyle w:val="af7"/>
          <w:rFonts w:eastAsia="Guttman Hodes"/>
          <w:rtl/>
        </w:rPr>
        <w:fldChar w:fldCharType="separate"/>
      </w:r>
      <w:r w:rsidR="00345400">
        <w:rPr>
          <w:rStyle w:val="af7"/>
          <w:rFonts w:eastAsia="Guttman Hodes"/>
          <w:cs/>
        </w:rPr>
        <w:t>‎</w:t>
      </w:r>
      <w:r w:rsidR="00345400">
        <w:rPr>
          <w:rStyle w:val="af7"/>
          <w:rFonts w:eastAsia="Guttman Hodes"/>
          <w:rtl/>
        </w:rPr>
        <w:t>עה)</w:t>
      </w:r>
      <w:r w:rsidRPr="00A43AF3">
        <w:rPr>
          <w:rStyle w:val="af7"/>
          <w:rFonts w:eastAsia="Guttman Hodes"/>
          <w:rtl/>
        </w:rPr>
        <w:fldChar w:fldCharType="end"/>
      </w:r>
      <w:r>
        <w:rPr>
          <w:rFonts w:hint="cs"/>
          <w:rtl/>
        </w:rPr>
        <w:t xml:space="preserve">. </w:t>
      </w:r>
      <w:r w:rsidRPr="00F76FD8">
        <w:rPr>
          <w:rStyle w:val="afb"/>
          <w:rFonts w:hint="cs"/>
          <w:rtl/>
        </w:rPr>
        <w:t xml:space="preserve">[והיינו </w:t>
      </w:r>
      <w:r w:rsidRPr="00F76FD8">
        <w:rPr>
          <w:rStyle w:val="affa"/>
          <w:rFonts w:hint="cs"/>
          <w:rtl/>
        </w:rPr>
        <w:t>כביאור הב' במהרש"א</w:t>
      </w:r>
      <w:r w:rsidRPr="00F76FD8">
        <w:rPr>
          <w:rStyle w:val="afb"/>
          <w:rFonts w:hint="cs"/>
          <w:rtl/>
        </w:rPr>
        <w:t xml:space="preserve"> </w:t>
      </w:r>
      <w:r w:rsidRPr="00F76FD8">
        <w:rPr>
          <w:rStyle w:val="aff6"/>
          <w:rFonts w:hint="cs"/>
          <w:rtl/>
        </w:rPr>
        <w:t xml:space="preserve">(עי' אות </w:t>
      </w:r>
      <w:r w:rsidRPr="00F76FD8">
        <w:rPr>
          <w:rStyle w:val="aff6"/>
          <w:rtl/>
        </w:rPr>
        <w:fldChar w:fldCharType="begin"/>
      </w:r>
      <w:r w:rsidRPr="00F76FD8">
        <w:rPr>
          <w:rStyle w:val="aff6"/>
          <w:rtl/>
        </w:rPr>
        <w:instrText xml:space="preserve"> </w:instrText>
      </w:r>
      <w:r w:rsidRPr="00F76FD8">
        <w:rPr>
          <w:rStyle w:val="aff6"/>
          <w:rFonts w:hint="cs"/>
        </w:rPr>
        <w:instrText>REF</w:instrText>
      </w:r>
      <w:r w:rsidRPr="00F76FD8">
        <w:rPr>
          <w:rStyle w:val="aff6"/>
          <w:rFonts w:hint="cs"/>
          <w:rtl/>
        </w:rPr>
        <w:instrText xml:space="preserve"> _</w:instrText>
      </w:r>
      <w:r w:rsidRPr="00F76FD8">
        <w:rPr>
          <w:rStyle w:val="aff6"/>
          <w:rFonts w:hint="cs"/>
        </w:rPr>
        <w:instrText>Ref531715652 \r \h</w:instrText>
      </w:r>
      <w:r w:rsidRPr="00F76FD8">
        <w:rPr>
          <w:rStyle w:val="aff6"/>
          <w:rtl/>
        </w:rPr>
        <w:instrText xml:space="preserve"> </w:instrText>
      </w:r>
      <w:r w:rsidRPr="00F76FD8">
        <w:rPr>
          <w:rStyle w:val="aff6"/>
          <w:rtl/>
        </w:rPr>
      </w:r>
      <w:r w:rsidRPr="00F76FD8">
        <w:rPr>
          <w:rStyle w:val="aff6"/>
          <w:rtl/>
        </w:rPr>
        <w:fldChar w:fldCharType="separate"/>
      </w:r>
      <w:r w:rsidR="00345400">
        <w:rPr>
          <w:rStyle w:val="aff6"/>
          <w:cs/>
        </w:rPr>
        <w:t>‎</w:t>
      </w:r>
      <w:r w:rsidR="00345400">
        <w:rPr>
          <w:rStyle w:val="aff6"/>
          <w:rtl/>
        </w:rPr>
        <w:t>סט)</w:t>
      </w:r>
      <w:r w:rsidRPr="00F76FD8">
        <w:rPr>
          <w:rStyle w:val="aff6"/>
          <w:rtl/>
        </w:rPr>
        <w:fldChar w:fldCharType="end"/>
      </w:r>
      <w:r w:rsidRPr="00F76FD8">
        <w:rPr>
          <w:rStyle w:val="afb"/>
          <w:rFonts w:hint="cs"/>
          <w:rtl/>
        </w:rPr>
        <w:t xml:space="preserve"> ואולי כוונתו לבאר את דברי </w:t>
      </w:r>
      <w:r w:rsidRPr="0042685B">
        <w:rPr>
          <w:rStyle w:val="affa"/>
          <w:rFonts w:hint="cs"/>
          <w:rtl/>
        </w:rPr>
        <w:t>המהרש"א</w:t>
      </w:r>
      <w:r w:rsidRPr="00F76FD8">
        <w:rPr>
          <w:rStyle w:val="afb"/>
          <w:rFonts w:hint="cs"/>
          <w:rtl/>
        </w:rPr>
        <w:t>, ויל"ע]</w:t>
      </w:r>
      <w:r>
        <w:rPr>
          <w:rFonts w:hint="cs"/>
          <w:rtl/>
        </w:rPr>
        <w:t>.</w:t>
      </w:r>
    </w:p>
    <w:p w14:paraId="485C67B0" w14:textId="77777777" w:rsidR="003D04E6" w:rsidRDefault="003D04E6" w:rsidP="00BF39B2">
      <w:pPr>
        <w:pStyle w:val="1"/>
        <w:rPr>
          <w:rtl/>
        </w:rPr>
      </w:pPr>
      <w:bookmarkStart w:id="12402" w:name="_Toc531776398"/>
      <w:bookmarkStart w:id="12403" w:name="_Toc531817658"/>
      <w:bookmarkStart w:id="12404" w:name="_Toc531819758"/>
      <w:bookmarkStart w:id="12405" w:name="_Toc19390652"/>
      <w:bookmarkStart w:id="12406" w:name="_Toc19394149"/>
      <w:r>
        <w:rPr>
          <w:rFonts w:hint="cs"/>
          <w:rtl/>
        </w:rPr>
        <w:t>ביאור המהר"ם והביאור הב' במהרש"א דכוונת תוס' להגרמה</w:t>
      </w:r>
      <w:bookmarkEnd w:id="12402"/>
      <w:bookmarkEnd w:id="12403"/>
      <w:bookmarkEnd w:id="12404"/>
      <w:bookmarkEnd w:id="12405"/>
      <w:bookmarkEnd w:id="12406"/>
    </w:p>
    <w:p w14:paraId="1C02B7F6" w14:textId="77777777" w:rsidR="003D04E6" w:rsidRPr="00A834C9" w:rsidRDefault="003D04E6" w:rsidP="006D6D32">
      <w:pPr>
        <w:pStyle w:val="a3"/>
        <w:rPr>
          <w:rtl/>
        </w:rPr>
      </w:pPr>
      <w:bookmarkStart w:id="12407" w:name="_Toc531817659"/>
      <w:bookmarkStart w:id="12408" w:name="_Toc531819759"/>
      <w:bookmarkStart w:id="12409" w:name="_Toc19390653"/>
      <w:bookmarkStart w:id="12410" w:name="_Toc19394150"/>
      <w:r>
        <w:rPr>
          <w:rFonts w:hint="cs"/>
          <w:rtl/>
        </w:rPr>
        <w:t>הביאור הב' במהרש"א דביאר תוס' דרב ושמואל איירי בהגרמה אחר שחיטת רוב הטבעת</w:t>
      </w:r>
      <w:bookmarkEnd w:id="12407"/>
      <w:bookmarkEnd w:id="12408"/>
      <w:bookmarkEnd w:id="12409"/>
      <w:bookmarkEnd w:id="12410"/>
    </w:p>
    <w:p w14:paraId="2F5816DC" w14:textId="77777777" w:rsidR="003D04E6" w:rsidRPr="0085613F" w:rsidRDefault="003D04E6" w:rsidP="00223668">
      <w:pPr>
        <w:pStyle w:val="a0"/>
        <w:rPr>
          <w:rtl/>
        </w:rPr>
      </w:pPr>
      <w:bookmarkStart w:id="12411" w:name="_Ref531715652"/>
      <w:r>
        <w:rPr>
          <w:rFonts w:hint="cs"/>
          <w:rtl/>
        </w:rPr>
        <w:t xml:space="preserve">כתב </w:t>
      </w:r>
      <w:r w:rsidRPr="00C82F9E">
        <w:rPr>
          <w:rStyle w:val="af9"/>
          <w:rFonts w:hint="cs"/>
          <w:rtl/>
        </w:rPr>
        <w:t>המהרש"א בביאורו ה</w:t>
      </w:r>
      <w:r>
        <w:rPr>
          <w:rStyle w:val="af9"/>
          <w:rFonts w:hint="cs"/>
          <w:rtl/>
        </w:rPr>
        <w:t>ב</w:t>
      </w:r>
      <w:r w:rsidRPr="00C82F9E">
        <w:rPr>
          <w:rStyle w:val="af9"/>
          <w:rFonts w:hint="cs"/>
          <w:rtl/>
        </w:rPr>
        <w:t>'</w:t>
      </w:r>
      <w:r>
        <w:rPr>
          <w:rFonts w:hint="cs"/>
          <w:rtl/>
        </w:rPr>
        <w:t xml:space="preserve"> </w:t>
      </w:r>
      <w:r w:rsidRPr="00A834C9">
        <w:rPr>
          <w:rStyle w:val="af7"/>
          <w:rFonts w:eastAsia="Guttman Hodes" w:hint="cs"/>
          <w:rtl/>
        </w:rPr>
        <w:t>(על תוד"ה אבל)</w:t>
      </w:r>
      <w:r>
        <w:rPr>
          <w:rFonts w:hint="cs"/>
          <w:rtl/>
        </w:rPr>
        <w:t xml:space="preserve"> דכוונת </w:t>
      </w:r>
      <w:r w:rsidRPr="00A834C9">
        <w:rPr>
          <w:rStyle w:val="af9"/>
          <w:rFonts w:hint="cs"/>
          <w:rtl/>
        </w:rPr>
        <w:t>התוס'</w:t>
      </w:r>
      <w:r>
        <w:rPr>
          <w:rFonts w:hint="cs"/>
          <w:rtl/>
        </w:rPr>
        <w:t xml:space="preserve"> לבאר את דברי רב ושמואל לענין דין הגרמה, דאם שחט את רוב אחת משאר הטבעות, והגרים למעלה מהטבעת הגדולה, דלא מהני שחיטת רוב הטבעת ששחט בה, כיון שאינה נחשבת כרובו של קנה, ושחיטתו פסולה לדעת רב ושמואל, וכתב </w:t>
      </w:r>
      <w:r w:rsidRPr="00A834C9">
        <w:rPr>
          <w:rStyle w:val="af9"/>
          <w:rFonts w:hint="cs"/>
          <w:rtl/>
        </w:rPr>
        <w:t>המהרש"א</w:t>
      </w:r>
      <w:r>
        <w:rPr>
          <w:rFonts w:hint="cs"/>
          <w:rtl/>
        </w:rPr>
        <w:t xml:space="preserve"> דכן פירש </w:t>
      </w:r>
      <w:r w:rsidRPr="00A834C9">
        <w:rPr>
          <w:rStyle w:val="af9"/>
          <w:rFonts w:hint="cs"/>
          <w:rtl/>
        </w:rPr>
        <w:t>הבעה"מ</w:t>
      </w:r>
      <w:r>
        <w:rPr>
          <w:rFonts w:hint="cs"/>
          <w:rtl/>
        </w:rPr>
        <w:t xml:space="preserve"> </w:t>
      </w:r>
      <w:r w:rsidRPr="00A43AF3">
        <w:rPr>
          <w:rStyle w:val="af7"/>
          <w:rFonts w:eastAsia="Guttman Hodes" w:hint="cs"/>
          <w:rtl/>
        </w:rPr>
        <w:t xml:space="preserve">(עי' אות </w:t>
      </w:r>
      <w:r w:rsidRPr="00A43AF3">
        <w:rPr>
          <w:rStyle w:val="af7"/>
          <w:rFonts w:eastAsia="Guttman Hodes"/>
          <w:rtl/>
        </w:rPr>
        <w:fldChar w:fldCharType="begin"/>
      </w:r>
      <w:r w:rsidRPr="00A43AF3">
        <w:rPr>
          <w:rStyle w:val="af7"/>
          <w:rFonts w:eastAsia="Guttman Hodes"/>
          <w:rtl/>
        </w:rPr>
        <w:instrText xml:space="preserve"> </w:instrText>
      </w:r>
      <w:r w:rsidRPr="00A43AF3">
        <w:rPr>
          <w:rStyle w:val="af7"/>
          <w:rFonts w:eastAsia="Guttman Hodes" w:hint="cs"/>
        </w:rPr>
        <w:instrText>REF</w:instrText>
      </w:r>
      <w:r w:rsidRPr="00A43AF3">
        <w:rPr>
          <w:rStyle w:val="af7"/>
          <w:rFonts w:eastAsia="Guttman Hodes" w:hint="cs"/>
          <w:rtl/>
        </w:rPr>
        <w:instrText xml:space="preserve"> _</w:instrText>
      </w:r>
      <w:r w:rsidRPr="00A43AF3">
        <w:rPr>
          <w:rStyle w:val="af7"/>
          <w:rFonts w:eastAsia="Guttman Hodes" w:hint="cs"/>
        </w:rPr>
        <w:instrText>Ref531621888 \r \h</w:instrText>
      </w:r>
      <w:r w:rsidRPr="00A43AF3">
        <w:rPr>
          <w:rStyle w:val="af7"/>
          <w:rFonts w:eastAsia="Guttman Hodes"/>
          <w:rtl/>
        </w:rPr>
        <w:instrText xml:space="preserve"> </w:instrText>
      </w:r>
      <w:r w:rsidRPr="00A43AF3">
        <w:rPr>
          <w:rStyle w:val="af7"/>
          <w:rFonts w:eastAsia="Guttman Hodes"/>
          <w:rtl/>
        </w:rPr>
      </w:r>
      <w:r w:rsidRPr="00A43AF3">
        <w:rPr>
          <w:rStyle w:val="af7"/>
          <w:rFonts w:eastAsia="Guttman Hodes"/>
          <w:rtl/>
        </w:rPr>
        <w:fldChar w:fldCharType="separate"/>
      </w:r>
      <w:r w:rsidR="00345400">
        <w:rPr>
          <w:rStyle w:val="af7"/>
          <w:rFonts w:eastAsia="Guttman Hodes"/>
          <w:cs/>
        </w:rPr>
        <w:t>‎</w:t>
      </w:r>
      <w:r w:rsidR="00345400">
        <w:rPr>
          <w:rStyle w:val="af7"/>
          <w:rFonts w:eastAsia="Guttman Hodes"/>
          <w:rtl/>
        </w:rPr>
        <w:t>עה)</w:t>
      </w:r>
      <w:r w:rsidRPr="00A43AF3">
        <w:rPr>
          <w:rStyle w:val="af7"/>
          <w:rFonts w:eastAsia="Guttman Hodes"/>
          <w:rtl/>
        </w:rPr>
        <w:fldChar w:fldCharType="end"/>
      </w:r>
      <w:r>
        <w:rPr>
          <w:rFonts w:hint="cs"/>
          <w:rtl/>
        </w:rPr>
        <w:t>.</w:t>
      </w:r>
      <w:bookmarkEnd w:id="12411"/>
    </w:p>
    <w:p w14:paraId="6171BC21" w14:textId="77777777" w:rsidR="003D04E6" w:rsidRDefault="003D04E6" w:rsidP="006D6D32">
      <w:pPr>
        <w:pStyle w:val="a3"/>
        <w:rPr>
          <w:rtl/>
        </w:rPr>
      </w:pPr>
      <w:bookmarkStart w:id="12412" w:name="_Toc531817660"/>
      <w:bookmarkStart w:id="12413" w:name="_Toc531819760"/>
      <w:bookmarkStart w:id="12414" w:name="_Toc19390654"/>
      <w:bookmarkStart w:id="12415" w:name="_Toc19394151"/>
      <w:bookmarkEnd w:id="12348"/>
      <w:bookmarkEnd w:id="12349"/>
      <w:bookmarkEnd w:id="12379"/>
      <w:r>
        <w:rPr>
          <w:rFonts w:hint="cs"/>
          <w:rtl/>
        </w:rPr>
        <w:t>ביאור המהר"ם בתוס' דאחר שחיטת רוב הטבעת הגרים למעלה מטבעת הגדולה</w:t>
      </w:r>
      <w:bookmarkEnd w:id="12412"/>
      <w:bookmarkEnd w:id="12413"/>
      <w:bookmarkEnd w:id="12414"/>
      <w:bookmarkEnd w:id="12415"/>
    </w:p>
    <w:p w14:paraId="634B1F65" w14:textId="77777777" w:rsidR="003D04E6" w:rsidRDefault="003D04E6" w:rsidP="00223668">
      <w:pPr>
        <w:pStyle w:val="a0"/>
        <w:rPr>
          <w:rtl/>
        </w:rPr>
      </w:pPr>
      <w:bookmarkStart w:id="12416" w:name="_Ref531716253"/>
      <w:r w:rsidRPr="005C626E">
        <w:rPr>
          <w:rStyle w:val="af9"/>
          <w:rFonts w:hint="cs"/>
          <w:rtl/>
        </w:rPr>
        <w:t>וה</w:t>
      </w:r>
      <w:r w:rsidRPr="00D65203">
        <w:rPr>
          <w:rStyle w:val="af9"/>
          <w:rFonts w:hint="cs"/>
          <w:rtl/>
        </w:rPr>
        <w:t xml:space="preserve">מהר"ם </w:t>
      </w:r>
      <w:r w:rsidRPr="00D65203">
        <w:rPr>
          <w:rStyle w:val="af7"/>
          <w:rFonts w:eastAsia="Guttman Hodes" w:hint="cs"/>
          <w:rtl/>
        </w:rPr>
        <w:t>(ד"ה בא"ד ונראה)</w:t>
      </w:r>
      <w:r>
        <w:rPr>
          <w:rFonts w:hint="cs"/>
          <w:rtl/>
        </w:rPr>
        <w:t xml:space="preserve"> כתב דא"א לומר דכוונת </w:t>
      </w:r>
      <w:r w:rsidRPr="00D65203">
        <w:rPr>
          <w:rStyle w:val="af9"/>
          <w:rFonts w:hint="cs"/>
          <w:rtl/>
        </w:rPr>
        <w:t xml:space="preserve">התוס' </w:t>
      </w:r>
      <w:r>
        <w:rPr>
          <w:rFonts w:hint="cs"/>
          <w:rtl/>
        </w:rPr>
        <w:t xml:space="preserve">לפרש </w:t>
      </w:r>
      <w:r w:rsidRPr="00D65203">
        <w:rPr>
          <w:rStyle w:val="af9"/>
          <w:rFonts w:hint="cs"/>
          <w:rtl/>
        </w:rPr>
        <w:t>כי"מ ברש"י</w:t>
      </w:r>
      <w:r>
        <w:rPr>
          <w:rStyle w:val="af9"/>
          <w:rFonts w:hint="cs"/>
          <w:rtl/>
        </w:rPr>
        <w:t xml:space="preserve"> </w:t>
      </w:r>
      <w:r w:rsidRPr="002F5988">
        <w:rPr>
          <w:rStyle w:val="af7"/>
          <w:rFonts w:eastAsia="Guttman Hodes" w:hint="cs"/>
          <w:rtl/>
        </w:rPr>
        <w:t xml:space="preserve">(עי' אות </w:t>
      </w:r>
      <w:r w:rsidRPr="002F5988">
        <w:rPr>
          <w:rStyle w:val="af7"/>
          <w:rFonts w:eastAsia="Guttman Hodes"/>
          <w:rtl/>
        </w:rPr>
        <w:fldChar w:fldCharType="begin"/>
      </w:r>
      <w:r w:rsidRPr="002F5988">
        <w:rPr>
          <w:rStyle w:val="af7"/>
          <w:rFonts w:eastAsia="Guttman Hodes"/>
          <w:rtl/>
        </w:rPr>
        <w:instrText xml:space="preserve"> </w:instrText>
      </w:r>
      <w:r w:rsidRPr="002F5988">
        <w:rPr>
          <w:rStyle w:val="af7"/>
          <w:rFonts w:eastAsia="Guttman Hodes" w:hint="cs"/>
        </w:rPr>
        <w:instrText>REF</w:instrText>
      </w:r>
      <w:r w:rsidRPr="002F5988">
        <w:rPr>
          <w:rStyle w:val="af7"/>
          <w:rFonts w:eastAsia="Guttman Hodes" w:hint="cs"/>
          <w:rtl/>
        </w:rPr>
        <w:instrText xml:space="preserve"> _</w:instrText>
      </w:r>
      <w:r w:rsidRPr="002F5988">
        <w:rPr>
          <w:rStyle w:val="af7"/>
          <w:rFonts w:eastAsia="Guttman Hodes" w:hint="cs"/>
        </w:rPr>
        <w:instrText>Ref531638197 \r \h</w:instrText>
      </w:r>
      <w:r w:rsidRPr="002F5988">
        <w:rPr>
          <w:rStyle w:val="af7"/>
          <w:rFonts w:eastAsia="Guttman Hodes"/>
          <w:rtl/>
        </w:rPr>
        <w:instrText xml:space="preserve"> </w:instrText>
      </w:r>
      <w:r w:rsidRPr="002F5988">
        <w:rPr>
          <w:rStyle w:val="af7"/>
          <w:rFonts w:eastAsia="Guttman Hodes"/>
          <w:rtl/>
        </w:rPr>
      </w:r>
      <w:r w:rsidRPr="002F5988">
        <w:rPr>
          <w:rStyle w:val="af7"/>
          <w:rFonts w:eastAsia="Guttman Hodes"/>
          <w:rtl/>
        </w:rPr>
        <w:fldChar w:fldCharType="separate"/>
      </w:r>
      <w:r w:rsidR="00345400">
        <w:rPr>
          <w:rStyle w:val="af7"/>
          <w:rFonts w:eastAsia="Guttman Hodes"/>
          <w:cs/>
        </w:rPr>
        <w:t>‎</w:t>
      </w:r>
      <w:r w:rsidR="00345400">
        <w:rPr>
          <w:rStyle w:val="af7"/>
          <w:rFonts w:eastAsia="Guttman Hodes"/>
          <w:rtl/>
        </w:rPr>
        <w:t>מח)</w:t>
      </w:r>
      <w:r w:rsidRPr="002F5988">
        <w:rPr>
          <w:rStyle w:val="af7"/>
          <w:rFonts w:eastAsia="Guttman Hodes"/>
          <w:rtl/>
        </w:rPr>
        <w:fldChar w:fldCharType="end"/>
      </w:r>
      <w:r>
        <w:rPr>
          <w:rFonts w:hint="cs"/>
          <w:rtl/>
        </w:rPr>
        <w:t xml:space="preserve">, דהא כבר הקשו </w:t>
      </w:r>
      <w:r w:rsidRPr="00D65203">
        <w:rPr>
          <w:rStyle w:val="af9"/>
          <w:rFonts w:hint="cs"/>
          <w:rtl/>
        </w:rPr>
        <w:t xml:space="preserve">רש"י ותוס' </w:t>
      </w:r>
      <w:r>
        <w:rPr>
          <w:rFonts w:hint="cs"/>
          <w:rtl/>
        </w:rPr>
        <w:t xml:space="preserve">על דעת </w:t>
      </w:r>
      <w:r w:rsidRPr="00D65203">
        <w:rPr>
          <w:rStyle w:val="af9"/>
          <w:rFonts w:hint="cs"/>
          <w:rtl/>
        </w:rPr>
        <w:t>הי"מ</w:t>
      </w:r>
      <w:r>
        <w:rPr>
          <w:rFonts w:hint="cs"/>
          <w:rtl/>
        </w:rPr>
        <w:t xml:space="preserve">, אלא ביאר </w:t>
      </w:r>
      <w:r w:rsidRPr="00D65203">
        <w:rPr>
          <w:rStyle w:val="af9"/>
          <w:rFonts w:hint="cs"/>
          <w:rtl/>
        </w:rPr>
        <w:t xml:space="preserve">המהר"ם </w:t>
      </w:r>
      <w:r>
        <w:rPr>
          <w:rFonts w:hint="cs"/>
          <w:rtl/>
        </w:rPr>
        <w:t xml:space="preserve">דכוונת </w:t>
      </w:r>
      <w:r w:rsidRPr="00D65203">
        <w:rPr>
          <w:rStyle w:val="af9"/>
          <w:rFonts w:hint="cs"/>
          <w:rtl/>
        </w:rPr>
        <w:t>התוס'</w:t>
      </w:r>
      <w:r>
        <w:rPr>
          <w:rFonts w:hint="cs"/>
          <w:rtl/>
        </w:rPr>
        <w:t xml:space="preserve"> לומר דמטבעת הגדולה ועד הריאה לא שייכא הגרמה כלל, ומותר לשחוט בין בתוך שאר הטבעות ובין בין הטבעות, כדמשמע מהתוספתא, אלא דס"ל </w:t>
      </w:r>
      <w:r w:rsidRPr="00D65203">
        <w:rPr>
          <w:rStyle w:val="af9"/>
          <w:rFonts w:hint="cs"/>
          <w:rtl/>
        </w:rPr>
        <w:t xml:space="preserve">להתוס' </w:t>
      </w:r>
      <w:r>
        <w:rPr>
          <w:rFonts w:hint="cs"/>
          <w:rtl/>
        </w:rPr>
        <w:t>שאם שחט בתוך שאר הטבעות והגרים למעלה מטבעת הגדולה, דהוא הגרמה בן לרבנן ובין לריבר</w:t>
      </w:r>
      <w:r>
        <w:rPr>
          <w:rtl/>
        </w:rPr>
        <w:t>"</w:t>
      </w:r>
      <w:r>
        <w:rPr>
          <w:rFonts w:hint="cs"/>
          <w:rtl/>
        </w:rPr>
        <w:t xml:space="preserve">י, וכתב </w:t>
      </w:r>
      <w:r w:rsidRPr="00D65203">
        <w:rPr>
          <w:rStyle w:val="af9"/>
          <w:rFonts w:hint="cs"/>
          <w:rtl/>
        </w:rPr>
        <w:t xml:space="preserve">המהר"ם </w:t>
      </w:r>
      <w:r w:rsidRPr="00613C32">
        <w:rPr>
          <w:rFonts w:hint="cs"/>
          <w:rtl/>
        </w:rPr>
        <w:t>דבזה</w:t>
      </w:r>
      <w:r>
        <w:rPr>
          <w:rFonts w:hint="cs"/>
          <w:rtl/>
        </w:rPr>
        <w:t xml:space="preserve"> ביארו </w:t>
      </w:r>
      <w:r w:rsidRPr="00D65203">
        <w:rPr>
          <w:rStyle w:val="af9"/>
          <w:rFonts w:hint="cs"/>
          <w:rtl/>
        </w:rPr>
        <w:t xml:space="preserve">התוס' </w:t>
      </w:r>
      <w:r>
        <w:rPr>
          <w:rFonts w:hint="cs"/>
          <w:rtl/>
        </w:rPr>
        <w:t>את דברי רב ושמואל דריבר</w:t>
      </w:r>
      <w:r>
        <w:rPr>
          <w:rtl/>
        </w:rPr>
        <w:t>"</w:t>
      </w:r>
      <w:r>
        <w:rPr>
          <w:rFonts w:hint="cs"/>
          <w:rtl/>
        </w:rPr>
        <w:t>י הכשיר רק אם שחט את רוב הטבעת הגדולה שהיא רוב חלל הקנה, ואח"כ הגרים למעלה ממנה, אבל אם שחט את רוב שאר הטבעות, ואח"כ הגרים למעלה מהטבעת הגדולה, לא הכשיר ריבר</w:t>
      </w:r>
      <w:r>
        <w:rPr>
          <w:rtl/>
        </w:rPr>
        <w:t>"</w:t>
      </w:r>
      <w:r>
        <w:rPr>
          <w:rFonts w:hint="cs"/>
          <w:rtl/>
        </w:rPr>
        <w:t xml:space="preserve">י כיון שלא שחט את רוב חלל </w:t>
      </w:r>
      <w:r w:rsidRPr="00613C32">
        <w:rPr>
          <w:rFonts w:hint="cs"/>
          <w:rtl/>
        </w:rPr>
        <w:t>הקנה</w:t>
      </w:r>
      <w:r>
        <w:rPr>
          <w:rFonts w:hint="cs"/>
          <w:rtl/>
        </w:rPr>
        <w:t xml:space="preserve">, וכתב </w:t>
      </w:r>
      <w:r w:rsidRPr="00A834C9">
        <w:rPr>
          <w:rStyle w:val="af9"/>
          <w:rFonts w:hint="cs"/>
          <w:rtl/>
        </w:rPr>
        <w:t>המהר</w:t>
      </w:r>
      <w:r w:rsidRPr="00DF1872">
        <w:rPr>
          <w:rStyle w:val="af9"/>
          <w:rFonts w:hint="cs"/>
          <w:rtl/>
        </w:rPr>
        <w:t>"ם</w:t>
      </w:r>
      <w:r>
        <w:rPr>
          <w:rFonts w:hint="cs"/>
          <w:rtl/>
        </w:rPr>
        <w:t xml:space="preserve"> דכן פירש </w:t>
      </w:r>
      <w:r w:rsidRPr="00A834C9">
        <w:rPr>
          <w:rStyle w:val="af9"/>
          <w:rFonts w:hint="cs"/>
          <w:rtl/>
        </w:rPr>
        <w:t>הבעה"מ</w:t>
      </w:r>
      <w:r>
        <w:rPr>
          <w:rFonts w:hint="cs"/>
          <w:rtl/>
        </w:rPr>
        <w:t xml:space="preserve"> </w:t>
      </w:r>
      <w:r w:rsidRPr="00A43AF3">
        <w:rPr>
          <w:rStyle w:val="af7"/>
          <w:rFonts w:eastAsia="Guttman Hodes" w:hint="cs"/>
          <w:rtl/>
        </w:rPr>
        <w:t xml:space="preserve">(עי' אות </w:t>
      </w:r>
      <w:r w:rsidRPr="00A43AF3">
        <w:rPr>
          <w:rStyle w:val="af7"/>
          <w:rFonts w:eastAsia="Guttman Hodes"/>
          <w:rtl/>
        </w:rPr>
        <w:fldChar w:fldCharType="begin"/>
      </w:r>
      <w:r w:rsidRPr="00A43AF3">
        <w:rPr>
          <w:rStyle w:val="af7"/>
          <w:rFonts w:eastAsia="Guttman Hodes"/>
          <w:rtl/>
        </w:rPr>
        <w:instrText xml:space="preserve"> </w:instrText>
      </w:r>
      <w:r w:rsidRPr="00A43AF3">
        <w:rPr>
          <w:rStyle w:val="af7"/>
          <w:rFonts w:eastAsia="Guttman Hodes" w:hint="cs"/>
        </w:rPr>
        <w:instrText>REF</w:instrText>
      </w:r>
      <w:r w:rsidRPr="00A43AF3">
        <w:rPr>
          <w:rStyle w:val="af7"/>
          <w:rFonts w:eastAsia="Guttman Hodes" w:hint="cs"/>
          <w:rtl/>
        </w:rPr>
        <w:instrText xml:space="preserve"> _</w:instrText>
      </w:r>
      <w:r w:rsidRPr="00A43AF3">
        <w:rPr>
          <w:rStyle w:val="af7"/>
          <w:rFonts w:eastAsia="Guttman Hodes" w:hint="cs"/>
        </w:rPr>
        <w:instrText>Ref531621888 \r \h</w:instrText>
      </w:r>
      <w:r w:rsidRPr="00A43AF3">
        <w:rPr>
          <w:rStyle w:val="af7"/>
          <w:rFonts w:eastAsia="Guttman Hodes"/>
          <w:rtl/>
        </w:rPr>
        <w:instrText xml:space="preserve"> </w:instrText>
      </w:r>
      <w:r w:rsidRPr="00A43AF3">
        <w:rPr>
          <w:rStyle w:val="af7"/>
          <w:rFonts w:eastAsia="Guttman Hodes"/>
          <w:rtl/>
        </w:rPr>
      </w:r>
      <w:r w:rsidRPr="00A43AF3">
        <w:rPr>
          <w:rStyle w:val="af7"/>
          <w:rFonts w:eastAsia="Guttman Hodes"/>
          <w:rtl/>
        </w:rPr>
        <w:fldChar w:fldCharType="separate"/>
      </w:r>
      <w:r w:rsidR="00345400">
        <w:rPr>
          <w:rStyle w:val="af7"/>
          <w:rFonts w:eastAsia="Guttman Hodes"/>
          <w:cs/>
        </w:rPr>
        <w:t>‎</w:t>
      </w:r>
      <w:r w:rsidR="00345400">
        <w:rPr>
          <w:rStyle w:val="af7"/>
          <w:rFonts w:eastAsia="Guttman Hodes"/>
          <w:rtl/>
        </w:rPr>
        <w:t>עה)</w:t>
      </w:r>
      <w:r w:rsidRPr="00A43AF3">
        <w:rPr>
          <w:rStyle w:val="af7"/>
          <w:rFonts w:eastAsia="Guttman Hodes"/>
          <w:rtl/>
        </w:rPr>
        <w:fldChar w:fldCharType="end"/>
      </w:r>
      <w:r>
        <w:rPr>
          <w:rFonts w:hint="cs"/>
          <w:rtl/>
        </w:rPr>
        <w:t>.</w:t>
      </w:r>
      <w:bookmarkEnd w:id="12416"/>
    </w:p>
    <w:p w14:paraId="540044A0" w14:textId="77777777" w:rsidR="003D04E6" w:rsidRDefault="003D04E6" w:rsidP="00BF39B2">
      <w:pPr>
        <w:pStyle w:val="1"/>
        <w:rPr>
          <w:rtl/>
        </w:rPr>
      </w:pPr>
      <w:bookmarkStart w:id="12417" w:name="_Toc531776399"/>
      <w:bookmarkStart w:id="12418" w:name="_Toc531817661"/>
      <w:bookmarkStart w:id="12419" w:name="_Toc531819761"/>
      <w:bookmarkStart w:id="12420" w:name="_Toc19390655"/>
      <w:bookmarkStart w:id="12421" w:name="_Toc19394152"/>
      <w:r>
        <w:rPr>
          <w:rFonts w:hint="cs"/>
          <w:rtl/>
        </w:rPr>
        <w:t>ביאור המהר"ם בדברי ריבר</w:t>
      </w:r>
      <w:r>
        <w:rPr>
          <w:rtl/>
        </w:rPr>
        <w:t>"</w:t>
      </w:r>
      <w:r>
        <w:rPr>
          <w:rFonts w:hint="cs"/>
          <w:rtl/>
        </w:rPr>
        <w:t>י בתוספתא לדעת התוס'</w:t>
      </w:r>
      <w:bookmarkEnd w:id="12417"/>
      <w:bookmarkEnd w:id="12418"/>
      <w:bookmarkEnd w:id="12419"/>
      <w:bookmarkEnd w:id="12420"/>
      <w:bookmarkEnd w:id="12421"/>
    </w:p>
    <w:p w14:paraId="29558D49" w14:textId="77777777" w:rsidR="003D04E6" w:rsidRPr="00A46BBD" w:rsidRDefault="003D04E6" w:rsidP="006D6D32">
      <w:pPr>
        <w:pStyle w:val="a3"/>
        <w:rPr>
          <w:rtl/>
        </w:rPr>
      </w:pPr>
      <w:bookmarkStart w:id="12422" w:name="_Toc531819762"/>
      <w:bookmarkStart w:id="12423" w:name="_Toc19390656"/>
      <w:bookmarkStart w:id="12424" w:name="_Toc19394153"/>
      <w:r>
        <w:rPr>
          <w:rFonts w:hint="cs"/>
          <w:rtl/>
        </w:rPr>
        <w:t>דברי המהר"ם דלתוס' הבינה הגמ' דהתוספתא איירי בהגרמה ומבואר דבשאר טבעות כשר</w:t>
      </w:r>
      <w:bookmarkEnd w:id="12422"/>
      <w:bookmarkEnd w:id="12423"/>
      <w:bookmarkEnd w:id="12424"/>
    </w:p>
    <w:p w14:paraId="5219F738" w14:textId="77777777" w:rsidR="003D04E6" w:rsidRPr="00B8672D" w:rsidRDefault="003D04E6" w:rsidP="00223668">
      <w:pPr>
        <w:pStyle w:val="a0"/>
        <w:rPr>
          <w:rtl/>
        </w:rPr>
      </w:pPr>
      <w:r>
        <w:rPr>
          <w:rFonts w:hint="cs"/>
          <w:rtl/>
        </w:rPr>
        <w:t xml:space="preserve">ובקושית הגמ' מהתוספתא ביאר </w:t>
      </w:r>
      <w:r w:rsidRPr="00D65203">
        <w:rPr>
          <w:rStyle w:val="af9"/>
          <w:rFonts w:hint="cs"/>
          <w:rtl/>
        </w:rPr>
        <w:t xml:space="preserve">המהר"ם </w:t>
      </w:r>
      <w:r w:rsidRPr="00D65203">
        <w:rPr>
          <w:rStyle w:val="af7"/>
          <w:rFonts w:eastAsia="Guttman Hodes" w:hint="cs"/>
          <w:rtl/>
        </w:rPr>
        <w:t>(ד"ה בא"ד ונראה)</w:t>
      </w:r>
      <w:r>
        <w:rPr>
          <w:rFonts w:hint="cs"/>
          <w:rtl/>
        </w:rPr>
        <w:t xml:space="preserve"> בדעת ה</w:t>
      </w:r>
      <w:r w:rsidRPr="00D65203">
        <w:rPr>
          <w:rStyle w:val="af9"/>
          <w:rFonts w:hint="cs"/>
          <w:rtl/>
        </w:rPr>
        <w:t xml:space="preserve">תוס' </w:t>
      </w:r>
      <w:r>
        <w:rPr>
          <w:rFonts w:hint="cs"/>
          <w:rtl/>
        </w:rPr>
        <w:t>דהבינה הגמ' דהתוספתא איירי בדין הגרמה, וא"כ מפורש בה דריבר</w:t>
      </w:r>
      <w:r>
        <w:rPr>
          <w:rtl/>
        </w:rPr>
        <w:t>"</w:t>
      </w:r>
      <w:r>
        <w:rPr>
          <w:rFonts w:hint="cs"/>
          <w:rtl/>
        </w:rPr>
        <w:t>י</w:t>
      </w:r>
      <w:r w:rsidRPr="002A55E0">
        <w:rPr>
          <w:rFonts w:hint="cs"/>
          <w:rtl/>
        </w:rPr>
        <w:t xml:space="preserve"> </w:t>
      </w:r>
      <w:r>
        <w:rPr>
          <w:rFonts w:hint="cs"/>
          <w:rtl/>
        </w:rPr>
        <w:t xml:space="preserve">הכשיר אף בשאר הטבעות, כשאחר </w:t>
      </w:r>
      <w:r w:rsidRPr="00B8672D">
        <w:rPr>
          <w:rFonts w:hint="cs"/>
          <w:rtl/>
        </w:rPr>
        <w:t>שחיטת רובן הגרים למעלה מטבעת הגדולה דאי לא איירי התוספתא בדין הגרמה מה חידשה התוספתא. ותירצה הגמ' ד</w:t>
      </w:r>
      <w:r>
        <w:rPr>
          <w:rFonts w:hint="cs"/>
          <w:rtl/>
        </w:rPr>
        <w:t>ריבר</w:t>
      </w:r>
      <w:r>
        <w:rPr>
          <w:rtl/>
        </w:rPr>
        <w:t>"</w:t>
      </w:r>
      <w:r>
        <w:rPr>
          <w:rFonts w:hint="cs"/>
          <w:rtl/>
        </w:rPr>
        <w:t>י</w:t>
      </w:r>
      <w:r w:rsidRPr="00B8672D">
        <w:rPr>
          <w:rFonts w:hint="cs"/>
          <w:rtl/>
        </w:rPr>
        <w:t xml:space="preserve"> תרתי קאמר וכו'.</w:t>
      </w:r>
    </w:p>
    <w:p w14:paraId="492E070B" w14:textId="77777777" w:rsidR="003D04E6" w:rsidRDefault="003D04E6" w:rsidP="006D6D32">
      <w:pPr>
        <w:pStyle w:val="a3"/>
        <w:rPr>
          <w:rtl/>
        </w:rPr>
      </w:pPr>
      <w:bookmarkStart w:id="12425" w:name="_Toc531819763"/>
      <w:bookmarkStart w:id="12426" w:name="_Toc19390657"/>
      <w:bookmarkStart w:id="12427" w:name="_Toc19394154"/>
      <w:r>
        <w:rPr>
          <w:rFonts w:hint="cs"/>
          <w:rtl/>
        </w:rPr>
        <w:t>קושית המהר"ם היאך מהני שחיטת רוב שאר טבעות דאי"ז רוב חלל קנה</w:t>
      </w:r>
      <w:bookmarkEnd w:id="12425"/>
      <w:bookmarkEnd w:id="12426"/>
      <w:bookmarkEnd w:id="12427"/>
    </w:p>
    <w:p w14:paraId="05D119D3" w14:textId="77777777" w:rsidR="003D04E6" w:rsidRDefault="003D04E6" w:rsidP="00223668">
      <w:pPr>
        <w:pStyle w:val="a0"/>
        <w:rPr>
          <w:rtl/>
        </w:rPr>
      </w:pPr>
      <w:r>
        <w:rPr>
          <w:rFonts w:hint="cs"/>
          <w:rtl/>
        </w:rPr>
        <w:t xml:space="preserve">אך כתב </w:t>
      </w:r>
      <w:r w:rsidRPr="000D09DF">
        <w:rPr>
          <w:rStyle w:val="af9"/>
          <w:rFonts w:hint="cs"/>
          <w:rtl/>
        </w:rPr>
        <w:t>המהר"ם</w:t>
      </w:r>
      <w:r>
        <w:rPr>
          <w:rFonts w:hint="cs"/>
          <w:rtl/>
        </w:rPr>
        <w:t xml:space="preserve"> דעדיין קשה על ביאורו בדברי </w:t>
      </w:r>
      <w:r w:rsidRPr="000D09DF">
        <w:rPr>
          <w:rStyle w:val="af9"/>
          <w:rFonts w:hint="cs"/>
          <w:rtl/>
        </w:rPr>
        <w:t>התוס'</w:t>
      </w:r>
      <w:r>
        <w:rPr>
          <w:rFonts w:hint="cs"/>
          <w:rtl/>
        </w:rPr>
        <w:t xml:space="preserve"> קושית </w:t>
      </w:r>
      <w:r w:rsidRPr="000D09DF">
        <w:rPr>
          <w:rStyle w:val="af9"/>
          <w:rFonts w:hint="cs"/>
          <w:rtl/>
        </w:rPr>
        <w:t>רש"י</w:t>
      </w:r>
      <w:r>
        <w:rPr>
          <w:rFonts w:hint="cs"/>
          <w:rtl/>
        </w:rPr>
        <w:t xml:space="preserve"> </w:t>
      </w:r>
      <w:r w:rsidRPr="00A46BBD">
        <w:rPr>
          <w:rStyle w:val="af7"/>
          <w:rFonts w:eastAsia="Guttman Hodes" w:hint="cs"/>
          <w:rtl/>
        </w:rPr>
        <w:t xml:space="preserve">(עי' אות </w:t>
      </w:r>
      <w:r w:rsidRPr="00A46BBD">
        <w:rPr>
          <w:rStyle w:val="af7"/>
          <w:rFonts w:eastAsia="Guttman Hodes"/>
          <w:rtl/>
        </w:rPr>
        <w:fldChar w:fldCharType="begin"/>
      </w:r>
      <w:r w:rsidRPr="00A46BBD">
        <w:rPr>
          <w:rStyle w:val="af7"/>
          <w:rFonts w:eastAsia="Guttman Hodes"/>
          <w:rtl/>
        </w:rPr>
        <w:instrText xml:space="preserve"> </w:instrText>
      </w:r>
      <w:r w:rsidRPr="00A46BBD">
        <w:rPr>
          <w:rStyle w:val="af7"/>
          <w:rFonts w:eastAsia="Guttman Hodes" w:hint="cs"/>
        </w:rPr>
        <w:instrText>REF</w:instrText>
      </w:r>
      <w:r w:rsidRPr="00A46BBD">
        <w:rPr>
          <w:rStyle w:val="af7"/>
          <w:rFonts w:eastAsia="Guttman Hodes" w:hint="cs"/>
          <w:rtl/>
        </w:rPr>
        <w:instrText xml:space="preserve"> _</w:instrText>
      </w:r>
      <w:r w:rsidRPr="00A46BBD">
        <w:rPr>
          <w:rStyle w:val="af7"/>
          <w:rFonts w:eastAsia="Guttman Hodes" w:hint="cs"/>
        </w:rPr>
        <w:instrText>Ref531716906 \r \h</w:instrText>
      </w:r>
      <w:r w:rsidRPr="00A46BBD">
        <w:rPr>
          <w:rStyle w:val="af7"/>
          <w:rFonts w:eastAsia="Guttman Hodes"/>
          <w:rtl/>
        </w:rPr>
        <w:instrText xml:space="preserve"> </w:instrText>
      </w:r>
      <w:r w:rsidRPr="00A46BBD">
        <w:rPr>
          <w:rStyle w:val="af7"/>
          <w:rFonts w:eastAsia="Guttman Hodes"/>
          <w:rtl/>
        </w:rPr>
      </w:r>
      <w:r w:rsidRPr="00A46BBD">
        <w:rPr>
          <w:rStyle w:val="af7"/>
          <w:rFonts w:eastAsia="Guttman Hodes"/>
          <w:rtl/>
        </w:rPr>
        <w:fldChar w:fldCharType="separate"/>
      </w:r>
      <w:r w:rsidR="00345400">
        <w:rPr>
          <w:rStyle w:val="af7"/>
          <w:rFonts w:eastAsia="Guttman Hodes"/>
          <w:cs/>
        </w:rPr>
        <w:t>‎</w:t>
      </w:r>
      <w:r w:rsidR="00345400">
        <w:rPr>
          <w:rStyle w:val="af7"/>
          <w:rFonts w:eastAsia="Guttman Hodes"/>
          <w:rtl/>
        </w:rPr>
        <w:t>נ)</w:t>
      </w:r>
      <w:r w:rsidRPr="00A46BBD">
        <w:rPr>
          <w:rStyle w:val="af7"/>
          <w:rFonts w:eastAsia="Guttman Hodes"/>
          <w:rtl/>
        </w:rPr>
        <w:fldChar w:fldCharType="end"/>
      </w:r>
      <w:r>
        <w:rPr>
          <w:rFonts w:hint="cs"/>
          <w:rtl/>
        </w:rPr>
        <w:t xml:space="preserve"> דאם שחט רק את רוב שאר הטבעות לא שחט את רוב החלל של הקנה, ואף אם לא הגרים אח"כ שחיטתו פסולה.</w:t>
      </w:r>
    </w:p>
    <w:p w14:paraId="41D86B8D" w14:textId="77777777" w:rsidR="003D04E6" w:rsidRPr="00FD20B9" w:rsidRDefault="003D04E6" w:rsidP="006D6D32">
      <w:pPr>
        <w:pStyle w:val="a3"/>
      </w:pPr>
      <w:bookmarkStart w:id="12428" w:name="_Toc531819764"/>
      <w:bookmarkStart w:id="12429" w:name="_Toc19390658"/>
      <w:bookmarkStart w:id="12430" w:name="_Toc19394155"/>
      <w:r>
        <w:rPr>
          <w:rFonts w:hint="cs"/>
          <w:rtl/>
        </w:rPr>
        <w:t>דברי המהר"ם דלתוס' ס"ל לרבר"י דסגי ברוב עובי הטבעת ולא ברוב חללו כמ"ש הרמב"ן</w:t>
      </w:r>
      <w:bookmarkEnd w:id="12428"/>
      <w:bookmarkEnd w:id="12429"/>
      <w:bookmarkEnd w:id="12430"/>
    </w:p>
    <w:p w14:paraId="26A2C708" w14:textId="77777777" w:rsidR="003D04E6" w:rsidRPr="00116787" w:rsidRDefault="003D04E6" w:rsidP="00223668">
      <w:pPr>
        <w:pStyle w:val="a0"/>
        <w:rPr>
          <w:rtl/>
        </w:rPr>
      </w:pPr>
      <w:r>
        <w:rPr>
          <w:rFonts w:hint="cs"/>
          <w:rtl/>
        </w:rPr>
        <w:t xml:space="preserve">וכתב </w:t>
      </w:r>
      <w:r w:rsidRPr="000D09DF">
        <w:rPr>
          <w:rStyle w:val="af9"/>
          <w:rFonts w:hint="cs"/>
          <w:rtl/>
        </w:rPr>
        <w:t>המהר"ם</w:t>
      </w:r>
      <w:r>
        <w:rPr>
          <w:rFonts w:hint="cs"/>
          <w:rtl/>
        </w:rPr>
        <w:t xml:space="preserve"> דצ"ל לדעת </w:t>
      </w:r>
      <w:r w:rsidRPr="000D09DF">
        <w:rPr>
          <w:rStyle w:val="af9"/>
          <w:rFonts w:hint="cs"/>
          <w:rtl/>
        </w:rPr>
        <w:t>התוס'</w:t>
      </w:r>
      <w:r>
        <w:rPr>
          <w:rFonts w:hint="cs"/>
          <w:rtl/>
        </w:rPr>
        <w:t xml:space="preserve"> דס"ל כדעת</w:t>
      </w:r>
      <w:r w:rsidRPr="00116787">
        <w:rPr>
          <w:rFonts w:hint="cs"/>
          <w:rtl/>
        </w:rPr>
        <w:t xml:space="preserve"> </w:t>
      </w:r>
      <w:r>
        <w:rPr>
          <w:rStyle w:val="af9"/>
          <w:rFonts w:hint="cs"/>
          <w:rtl/>
        </w:rPr>
        <w:t>ה</w:t>
      </w:r>
      <w:r w:rsidRPr="00116787">
        <w:rPr>
          <w:rStyle w:val="af9"/>
          <w:rFonts w:hint="cs"/>
          <w:rtl/>
        </w:rPr>
        <w:t>רמב"ן במלחמ</w:t>
      </w:r>
      <w:r>
        <w:rPr>
          <w:rStyle w:val="af9"/>
          <w:rFonts w:hint="cs"/>
          <w:rtl/>
        </w:rPr>
        <w:t>ו</w:t>
      </w:r>
      <w:r w:rsidRPr="00116787">
        <w:rPr>
          <w:rStyle w:val="af9"/>
          <w:rFonts w:hint="cs"/>
          <w:rtl/>
        </w:rPr>
        <w:t>ת</w:t>
      </w:r>
      <w:r w:rsidRPr="00116787">
        <w:rPr>
          <w:rFonts w:hint="cs"/>
          <w:rtl/>
        </w:rPr>
        <w:t xml:space="preserve"> </w:t>
      </w:r>
      <w:r w:rsidRPr="002E1742">
        <w:rPr>
          <w:rStyle w:val="af7"/>
          <w:rFonts w:eastAsia="Guttman Hodes" w:hint="cs"/>
          <w:rtl/>
        </w:rPr>
        <w:t xml:space="preserve">(עי' אות </w:t>
      </w:r>
      <w:r w:rsidRPr="002E1742">
        <w:rPr>
          <w:rStyle w:val="af7"/>
          <w:rFonts w:eastAsia="Guttman Hodes"/>
          <w:rtl/>
        </w:rPr>
        <w:fldChar w:fldCharType="begin"/>
      </w:r>
      <w:r w:rsidRPr="002E1742">
        <w:rPr>
          <w:rStyle w:val="af7"/>
          <w:rFonts w:eastAsia="Guttman Hodes"/>
          <w:rtl/>
        </w:rPr>
        <w:instrText xml:space="preserve"> </w:instrText>
      </w:r>
      <w:r w:rsidRPr="002E1742">
        <w:rPr>
          <w:rStyle w:val="af7"/>
          <w:rFonts w:eastAsia="Guttman Hodes" w:hint="cs"/>
        </w:rPr>
        <w:instrText>REF</w:instrText>
      </w:r>
      <w:r w:rsidRPr="002E1742">
        <w:rPr>
          <w:rStyle w:val="af7"/>
          <w:rFonts w:eastAsia="Guttman Hodes" w:hint="cs"/>
          <w:rtl/>
        </w:rPr>
        <w:instrText xml:space="preserve"> _</w:instrText>
      </w:r>
      <w:r w:rsidRPr="002E1742">
        <w:rPr>
          <w:rStyle w:val="af7"/>
          <w:rFonts w:eastAsia="Guttman Hodes" w:hint="cs"/>
        </w:rPr>
        <w:instrText>Ref531717315 \r \h</w:instrText>
      </w:r>
      <w:r w:rsidRPr="002E1742">
        <w:rPr>
          <w:rStyle w:val="af7"/>
          <w:rFonts w:eastAsia="Guttman Hodes"/>
          <w:rtl/>
        </w:rPr>
        <w:instrText xml:space="preserve"> </w:instrText>
      </w:r>
      <w:r w:rsidRPr="002E1742">
        <w:rPr>
          <w:rStyle w:val="af7"/>
          <w:rFonts w:eastAsia="Guttman Hodes"/>
          <w:rtl/>
        </w:rPr>
      </w:r>
      <w:r w:rsidRPr="002E1742">
        <w:rPr>
          <w:rStyle w:val="af7"/>
          <w:rFonts w:eastAsia="Guttman Hodes"/>
          <w:rtl/>
        </w:rPr>
        <w:fldChar w:fldCharType="separate"/>
      </w:r>
      <w:r w:rsidR="00345400">
        <w:rPr>
          <w:rStyle w:val="af7"/>
          <w:rFonts w:eastAsia="Guttman Hodes"/>
          <w:cs/>
        </w:rPr>
        <w:t>‎</w:t>
      </w:r>
      <w:r w:rsidR="00345400">
        <w:rPr>
          <w:rStyle w:val="af7"/>
          <w:rFonts w:eastAsia="Guttman Hodes"/>
          <w:rtl/>
        </w:rPr>
        <w:t>פב)</w:t>
      </w:r>
      <w:r w:rsidRPr="002E1742">
        <w:rPr>
          <w:rStyle w:val="af7"/>
          <w:rFonts w:eastAsia="Guttman Hodes"/>
          <w:rtl/>
        </w:rPr>
        <w:fldChar w:fldCharType="end"/>
      </w:r>
      <w:r>
        <w:rPr>
          <w:rFonts w:hint="cs"/>
          <w:rtl/>
        </w:rPr>
        <w:t xml:space="preserve"> דסבר ריבר</w:t>
      </w:r>
      <w:r>
        <w:rPr>
          <w:rtl/>
        </w:rPr>
        <w:t>"</w:t>
      </w:r>
      <w:r>
        <w:rPr>
          <w:rFonts w:hint="cs"/>
          <w:rtl/>
        </w:rPr>
        <w:t xml:space="preserve">י בתוספתא דסגי בשחיטת רוב עובי הקנה, אף שלא שחט את רוב חללו, וכיון שהטבעות עבות מצד אחד, אם שחט את רוב הטבעת שחט את רוב עובי הקנה. </w:t>
      </w:r>
      <w:bookmarkStart w:id="12431" w:name="_Ref531717342"/>
      <w:r>
        <w:rPr>
          <w:rFonts w:hint="cs"/>
          <w:rtl/>
        </w:rPr>
        <w:t xml:space="preserve">וכתב </w:t>
      </w:r>
      <w:r w:rsidRPr="00BA594D">
        <w:rPr>
          <w:rStyle w:val="af9"/>
          <w:rFonts w:hint="cs"/>
          <w:rtl/>
        </w:rPr>
        <w:t>המהר"ם</w:t>
      </w:r>
      <w:r>
        <w:rPr>
          <w:rFonts w:hint="cs"/>
          <w:rtl/>
        </w:rPr>
        <w:t xml:space="preserve"> דריבר</w:t>
      </w:r>
      <w:r>
        <w:rPr>
          <w:rtl/>
        </w:rPr>
        <w:t>"</w:t>
      </w:r>
      <w:r>
        <w:rPr>
          <w:rFonts w:hint="cs"/>
          <w:rtl/>
        </w:rPr>
        <w:t xml:space="preserve">י הכשיר אף אם הגרים אחר שחיטת רוב עובי הקנה, וזו כוונת התוספתא דהואיל ומקיפות את רוב הקנה, דהיינו רוב עובי הקנה, ומזה הוכיחה הגמ' דהתוספתא איירי בדין הגרמה, דאי לא איירי </w:t>
      </w:r>
      <w:r w:rsidRPr="00116787">
        <w:rPr>
          <w:rFonts w:hint="cs"/>
          <w:rtl/>
        </w:rPr>
        <w:t xml:space="preserve">בהגרמה, א"כ הדין דמהני רוב עוביו של קנה, לא שייך כלל לפלוגתת </w:t>
      </w:r>
      <w:r>
        <w:rPr>
          <w:rFonts w:hint="cs"/>
          <w:rtl/>
        </w:rPr>
        <w:t>ריבר</w:t>
      </w:r>
      <w:r>
        <w:rPr>
          <w:rtl/>
        </w:rPr>
        <w:t>"</w:t>
      </w:r>
      <w:r>
        <w:rPr>
          <w:rFonts w:hint="cs"/>
          <w:rtl/>
        </w:rPr>
        <w:t>י</w:t>
      </w:r>
      <w:r w:rsidRPr="00116787">
        <w:rPr>
          <w:rFonts w:hint="cs"/>
          <w:rtl/>
        </w:rPr>
        <w:t xml:space="preserve"> ורבנן, דאף רבנן יכולים לסבור דמהני רוב עובי הקנה.</w:t>
      </w:r>
      <w:bookmarkEnd w:id="12431"/>
    </w:p>
    <w:p w14:paraId="4DBA4A55" w14:textId="77777777" w:rsidR="003D04E6" w:rsidRDefault="003D04E6" w:rsidP="00BF39B2">
      <w:pPr>
        <w:pStyle w:val="1"/>
        <w:rPr>
          <w:rtl/>
        </w:rPr>
      </w:pPr>
      <w:bookmarkStart w:id="12432" w:name="_Toc531776400"/>
      <w:bookmarkStart w:id="12433" w:name="_Toc531817662"/>
      <w:bookmarkStart w:id="12434" w:name="_Toc531819765"/>
      <w:bookmarkStart w:id="12435" w:name="_Toc19390659"/>
      <w:bookmarkStart w:id="12436" w:name="_Toc19394156"/>
      <w:bookmarkStart w:id="12437" w:name="_Toc531622056"/>
      <w:bookmarkStart w:id="12438" w:name="_Toc531629712"/>
      <w:bookmarkStart w:id="12439" w:name="_Toc531638985"/>
      <w:r>
        <w:rPr>
          <w:rFonts w:hint="cs"/>
          <w:rtl/>
        </w:rPr>
        <w:t>ביאור הרא"ש</w:t>
      </w:r>
      <w:bookmarkEnd w:id="12432"/>
      <w:bookmarkEnd w:id="12433"/>
      <w:bookmarkEnd w:id="12434"/>
      <w:r>
        <w:rPr>
          <w:rFonts w:hint="cs"/>
          <w:rtl/>
        </w:rPr>
        <w:t xml:space="preserve"> והבעה"מ דרוב טבעת כרוב קנה</w:t>
      </w:r>
      <w:bookmarkEnd w:id="12435"/>
      <w:bookmarkEnd w:id="12436"/>
    </w:p>
    <w:p w14:paraId="7EC28334" w14:textId="77777777" w:rsidR="003D04E6" w:rsidRPr="00B21A46" w:rsidRDefault="003D04E6" w:rsidP="006D6D32">
      <w:pPr>
        <w:pStyle w:val="a3"/>
        <w:rPr>
          <w:rtl/>
        </w:rPr>
      </w:pPr>
      <w:bookmarkStart w:id="12440" w:name="_Toc531819766"/>
      <w:bookmarkStart w:id="12441" w:name="_Toc19390660"/>
      <w:bookmarkStart w:id="12442" w:name="_Toc19394157"/>
      <w:r>
        <w:rPr>
          <w:rFonts w:hint="cs"/>
          <w:rtl/>
        </w:rPr>
        <w:t>דברי הרא"ש דרב ושמואל ס"ל דבשאר טבעות לא מהני רוב הטבעת שאינה רוב קנה</w:t>
      </w:r>
      <w:bookmarkEnd w:id="12440"/>
      <w:bookmarkEnd w:id="12441"/>
      <w:bookmarkEnd w:id="12442"/>
    </w:p>
    <w:p w14:paraId="07306A6A" w14:textId="77777777" w:rsidR="003D04E6" w:rsidRDefault="003D04E6" w:rsidP="00223668">
      <w:pPr>
        <w:pStyle w:val="a0"/>
        <w:rPr>
          <w:rtl/>
        </w:rPr>
      </w:pPr>
      <w:bookmarkStart w:id="12443" w:name="_Ref531715296"/>
      <w:r>
        <w:rPr>
          <w:rFonts w:hint="cs"/>
          <w:rtl/>
        </w:rPr>
        <w:t xml:space="preserve">כתב </w:t>
      </w:r>
      <w:r w:rsidRPr="005E1874">
        <w:rPr>
          <w:rStyle w:val="af9"/>
          <w:rFonts w:hint="cs"/>
          <w:rtl/>
        </w:rPr>
        <w:t xml:space="preserve">הרא"ש </w:t>
      </w:r>
      <w:r w:rsidRPr="005E1874">
        <w:rPr>
          <w:rStyle w:val="af7"/>
          <w:rFonts w:eastAsia="Guttman Hodes" w:hint="cs"/>
          <w:rtl/>
        </w:rPr>
        <w:t xml:space="preserve">(סי' כ"ד) </w:t>
      </w:r>
      <w:r>
        <w:rPr>
          <w:rFonts w:hint="cs"/>
          <w:rtl/>
        </w:rPr>
        <w:t>דרב ושמואל אמרי דהלכה כריבר</w:t>
      </w:r>
      <w:r>
        <w:rPr>
          <w:rtl/>
        </w:rPr>
        <w:t>"</w:t>
      </w:r>
      <w:r>
        <w:rPr>
          <w:rFonts w:hint="cs"/>
          <w:rtl/>
        </w:rPr>
        <w:t>י דרובו ככולו לענין הגרמה, ואף ריבר</w:t>
      </w:r>
      <w:r>
        <w:rPr>
          <w:rtl/>
        </w:rPr>
        <w:t>"</w:t>
      </w:r>
      <w:r>
        <w:rPr>
          <w:rFonts w:hint="cs"/>
          <w:rtl/>
        </w:rPr>
        <w:t>י אמר דרובו ככולו רק בטבעת הגדולה כיון שהיא מקיפה את רוב הקנה, אבל בשאר הטבעות שאינם מקיפות את רוב הקנה, לא מהני שחיטת רוב הטבעת, דאינה רוב הקנה. וכתב</w:t>
      </w:r>
      <w:r w:rsidRPr="005E1874">
        <w:rPr>
          <w:rStyle w:val="af9"/>
          <w:rFonts w:hint="cs"/>
          <w:rtl/>
        </w:rPr>
        <w:t xml:space="preserve"> הרא"ש </w:t>
      </w:r>
      <w:r>
        <w:rPr>
          <w:rFonts w:hint="cs"/>
          <w:rtl/>
        </w:rPr>
        <w:t>דלא קיי"ל לא כרבנן ולא כריבר</w:t>
      </w:r>
      <w:r>
        <w:rPr>
          <w:rtl/>
        </w:rPr>
        <w:t>"</w:t>
      </w:r>
      <w:r>
        <w:rPr>
          <w:rFonts w:hint="cs"/>
          <w:rtl/>
        </w:rPr>
        <w:t>י אלא כרחב"א דמכשיר את המוגרמת דרבנן ודריבר</w:t>
      </w:r>
      <w:r>
        <w:rPr>
          <w:rtl/>
        </w:rPr>
        <w:t>"</w:t>
      </w:r>
      <w:r>
        <w:rPr>
          <w:rFonts w:hint="cs"/>
          <w:rtl/>
        </w:rPr>
        <w:t xml:space="preserve">י, וע"ע בדברי </w:t>
      </w:r>
      <w:r w:rsidRPr="00442B99">
        <w:rPr>
          <w:rStyle w:val="af9"/>
          <w:rFonts w:hint="cs"/>
          <w:rtl/>
        </w:rPr>
        <w:t>ה</w:t>
      </w:r>
      <w:r>
        <w:rPr>
          <w:rStyle w:val="af9"/>
          <w:rFonts w:hint="cs"/>
          <w:rtl/>
        </w:rPr>
        <w:t>תוס' ה</w:t>
      </w:r>
      <w:r w:rsidRPr="00442B99">
        <w:rPr>
          <w:rStyle w:val="af9"/>
          <w:rFonts w:hint="cs"/>
          <w:rtl/>
        </w:rPr>
        <w:t xml:space="preserve">רא"ש </w:t>
      </w:r>
      <w:r w:rsidRPr="00442B99">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Ref531804417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סד)</w:t>
      </w:r>
      <w:r>
        <w:rPr>
          <w:rStyle w:val="af7"/>
          <w:rFonts w:eastAsia="Guttman Hodes"/>
          <w:rtl/>
        </w:rPr>
        <w:fldChar w:fldCharType="end"/>
      </w:r>
      <w:r>
        <w:rPr>
          <w:rFonts w:hint="cs"/>
          <w:rtl/>
        </w:rPr>
        <w:t xml:space="preserve">, ועי' בדברי </w:t>
      </w:r>
      <w:r w:rsidRPr="00AF5E68">
        <w:rPr>
          <w:rStyle w:val="af9"/>
          <w:rFonts w:hint="cs"/>
          <w:rtl/>
        </w:rPr>
        <w:t>המהרש"א</w:t>
      </w:r>
      <w:r>
        <w:rPr>
          <w:rFonts w:hint="cs"/>
          <w:rtl/>
        </w:rPr>
        <w:t xml:space="preserve"> </w:t>
      </w:r>
      <w:r w:rsidRPr="00AF5E68">
        <w:rPr>
          <w:rStyle w:val="af7"/>
          <w:rFonts w:eastAsia="Guttman Hodes" w:hint="cs"/>
          <w:rtl/>
        </w:rPr>
        <w:t xml:space="preserve">(עי' אות </w:t>
      </w:r>
      <w:r w:rsidRPr="00AF5E68">
        <w:rPr>
          <w:rStyle w:val="af7"/>
          <w:rFonts w:eastAsia="Guttman Hodes"/>
          <w:rtl/>
        </w:rPr>
        <w:fldChar w:fldCharType="begin"/>
      </w:r>
      <w:r w:rsidRPr="00AF5E68">
        <w:rPr>
          <w:rStyle w:val="af7"/>
          <w:rFonts w:eastAsia="Guttman Hodes"/>
          <w:rtl/>
        </w:rPr>
        <w:instrText xml:space="preserve"> </w:instrText>
      </w:r>
      <w:r w:rsidRPr="00AF5E68">
        <w:rPr>
          <w:rStyle w:val="af7"/>
          <w:rFonts w:eastAsia="Guttman Hodes" w:hint="cs"/>
        </w:rPr>
        <w:instrText>REF</w:instrText>
      </w:r>
      <w:r w:rsidRPr="00AF5E68">
        <w:rPr>
          <w:rStyle w:val="af7"/>
          <w:rFonts w:eastAsia="Guttman Hodes" w:hint="cs"/>
          <w:rtl/>
        </w:rPr>
        <w:instrText xml:space="preserve"> _</w:instrText>
      </w:r>
      <w:r w:rsidRPr="00AF5E68">
        <w:rPr>
          <w:rStyle w:val="af7"/>
          <w:rFonts w:eastAsia="Guttman Hodes" w:hint="cs"/>
        </w:rPr>
        <w:instrText>Ref531715434 \r \h</w:instrText>
      </w:r>
      <w:r w:rsidRPr="00AF5E68">
        <w:rPr>
          <w:rStyle w:val="af7"/>
          <w:rFonts w:eastAsia="Guttman Hodes"/>
          <w:rtl/>
        </w:rPr>
        <w:instrText xml:space="preserve"> </w:instrText>
      </w:r>
      <w:r w:rsidRPr="00AF5E68">
        <w:rPr>
          <w:rStyle w:val="af7"/>
          <w:rFonts w:eastAsia="Guttman Hodes"/>
          <w:rtl/>
        </w:rPr>
      </w:r>
      <w:r w:rsidRPr="00AF5E68">
        <w:rPr>
          <w:rStyle w:val="af7"/>
          <w:rFonts w:eastAsia="Guttman Hodes"/>
          <w:rtl/>
        </w:rPr>
        <w:fldChar w:fldCharType="separate"/>
      </w:r>
      <w:r w:rsidR="00345400">
        <w:rPr>
          <w:rStyle w:val="af7"/>
          <w:rFonts w:eastAsia="Guttman Hodes"/>
          <w:cs/>
        </w:rPr>
        <w:t>‎</w:t>
      </w:r>
      <w:r w:rsidR="00345400">
        <w:rPr>
          <w:rStyle w:val="af7"/>
          <w:rFonts w:eastAsia="Guttman Hodes"/>
          <w:rtl/>
        </w:rPr>
        <w:t>סו)</w:t>
      </w:r>
      <w:r w:rsidRPr="00AF5E68">
        <w:rPr>
          <w:rStyle w:val="af7"/>
          <w:rFonts w:eastAsia="Guttman Hodes"/>
          <w:rtl/>
        </w:rPr>
        <w:fldChar w:fldCharType="end"/>
      </w:r>
      <w:r>
        <w:rPr>
          <w:rFonts w:hint="cs"/>
          <w:rtl/>
        </w:rPr>
        <w:t>.</w:t>
      </w:r>
      <w:bookmarkEnd w:id="12437"/>
      <w:bookmarkEnd w:id="12438"/>
      <w:bookmarkEnd w:id="12439"/>
      <w:bookmarkEnd w:id="12443"/>
    </w:p>
    <w:p w14:paraId="676F162F" w14:textId="77777777" w:rsidR="003D04E6" w:rsidRDefault="003D04E6" w:rsidP="006D6D32">
      <w:pPr>
        <w:pStyle w:val="a3"/>
        <w:rPr>
          <w:rtl/>
        </w:rPr>
      </w:pPr>
      <w:bookmarkStart w:id="12444" w:name="_Toc531819768"/>
      <w:bookmarkStart w:id="12445" w:name="_Toc19390661"/>
      <w:bookmarkStart w:id="12446" w:name="_Toc19394158"/>
      <w:r>
        <w:rPr>
          <w:rFonts w:hint="cs"/>
          <w:rtl/>
        </w:rPr>
        <w:t>דברי הבעה"מ דבין בטבעת הגדולה ובין בשאר הטבעות מהני הרוב לרבר"י דרוב טבעת כרוב קנה</w:t>
      </w:r>
      <w:bookmarkEnd w:id="12444"/>
      <w:bookmarkEnd w:id="12445"/>
      <w:bookmarkEnd w:id="12446"/>
    </w:p>
    <w:p w14:paraId="2BB2F353" w14:textId="77777777" w:rsidR="003D04E6" w:rsidRDefault="003D04E6" w:rsidP="00223668">
      <w:pPr>
        <w:pStyle w:val="a0"/>
        <w:rPr>
          <w:rtl/>
        </w:rPr>
      </w:pPr>
      <w:bookmarkStart w:id="12447" w:name="_Ref531621888"/>
      <w:r>
        <w:rPr>
          <w:rFonts w:hint="cs"/>
          <w:rtl/>
        </w:rPr>
        <w:t xml:space="preserve">כתב </w:t>
      </w:r>
      <w:r w:rsidRPr="00271AA6">
        <w:rPr>
          <w:rStyle w:val="af9"/>
          <w:rFonts w:hint="cs"/>
          <w:rtl/>
        </w:rPr>
        <w:t>הבעה"מ</w:t>
      </w:r>
      <w:r>
        <w:rPr>
          <w:rFonts w:hint="cs"/>
          <w:rtl/>
        </w:rPr>
        <w:t xml:space="preserve"> </w:t>
      </w:r>
      <w:r w:rsidRPr="00271AA6">
        <w:rPr>
          <w:rStyle w:val="af7"/>
          <w:rFonts w:eastAsia="Guttman Hodes" w:hint="cs"/>
          <w:rtl/>
        </w:rPr>
        <w:t>(ה. מדפי הרי"ף)</w:t>
      </w:r>
      <w:r>
        <w:rPr>
          <w:rFonts w:hint="cs"/>
          <w:rtl/>
        </w:rPr>
        <w:t xml:space="preserve"> דפלוגתת ריבר</w:t>
      </w:r>
      <w:r>
        <w:rPr>
          <w:rtl/>
        </w:rPr>
        <w:t>"</w:t>
      </w:r>
      <w:r>
        <w:rPr>
          <w:rFonts w:hint="cs"/>
          <w:rtl/>
        </w:rPr>
        <w:t>י ורבנן היא בין בטבעת הגדולה ובין בשאר הטבעות, דאם שחט את רוב הטבעת, ואח"כ הגרים למעלה מהטבעת הגדולה, הכשיר ריבר</w:t>
      </w:r>
      <w:r>
        <w:rPr>
          <w:rtl/>
        </w:rPr>
        <w:t>"</w:t>
      </w:r>
      <w:r>
        <w:rPr>
          <w:rFonts w:hint="cs"/>
          <w:rtl/>
        </w:rPr>
        <w:t>י בתוספתא אף ששאר הטבעות אינם מקיפות את כל הקנה, מ"מ כיון שמקיפות את רוב הקנה, חשיבא רוב הטבעת כרוב הקנה. אבל רב ושמואל סברי דלא הכשיר ריבר</w:t>
      </w:r>
      <w:r>
        <w:rPr>
          <w:rtl/>
        </w:rPr>
        <w:t>"</w:t>
      </w:r>
      <w:r>
        <w:rPr>
          <w:rFonts w:hint="cs"/>
          <w:rtl/>
        </w:rPr>
        <w:t xml:space="preserve">י בשאר הטבעות, כיון שאינם מקיפות את כל הקנה, כששחט את רוב שאר הטבעות לא חשיב ששחט את רוב הקנה, ועי' בדברי </w:t>
      </w:r>
      <w:r w:rsidRPr="0006335F">
        <w:rPr>
          <w:rStyle w:val="af9"/>
          <w:rFonts w:hint="cs"/>
          <w:rtl/>
        </w:rPr>
        <w:t>המהרש"א</w:t>
      </w:r>
      <w:r>
        <w:rPr>
          <w:rFonts w:hint="cs"/>
          <w:rtl/>
        </w:rPr>
        <w:t xml:space="preserve"> </w:t>
      </w:r>
      <w:r w:rsidRPr="0006335F">
        <w:rPr>
          <w:rStyle w:val="af7"/>
          <w:rFonts w:eastAsia="Guttman Hodes" w:hint="cs"/>
          <w:rtl/>
        </w:rPr>
        <w:t xml:space="preserve">(עי' אות </w:t>
      </w:r>
      <w:r w:rsidRPr="0006335F">
        <w:rPr>
          <w:rStyle w:val="af7"/>
          <w:rFonts w:eastAsia="Guttman Hodes"/>
          <w:rtl/>
        </w:rPr>
        <w:fldChar w:fldCharType="begin"/>
      </w:r>
      <w:r w:rsidRPr="0006335F">
        <w:rPr>
          <w:rStyle w:val="af7"/>
          <w:rFonts w:eastAsia="Guttman Hodes"/>
          <w:rtl/>
        </w:rPr>
        <w:instrText xml:space="preserve"> </w:instrText>
      </w:r>
      <w:r w:rsidRPr="0006335F">
        <w:rPr>
          <w:rStyle w:val="af7"/>
          <w:rFonts w:eastAsia="Guttman Hodes" w:hint="cs"/>
        </w:rPr>
        <w:instrText>REF</w:instrText>
      </w:r>
      <w:r w:rsidRPr="0006335F">
        <w:rPr>
          <w:rStyle w:val="af7"/>
          <w:rFonts w:eastAsia="Guttman Hodes" w:hint="cs"/>
          <w:rtl/>
        </w:rPr>
        <w:instrText xml:space="preserve"> _</w:instrText>
      </w:r>
      <w:r w:rsidRPr="0006335F">
        <w:rPr>
          <w:rStyle w:val="af7"/>
          <w:rFonts w:eastAsia="Guttman Hodes" w:hint="cs"/>
        </w:rPr>
        <w:instrText>Ref531715652 \r \h</w:instrText>
      </w:r>
      <w:r w:rsidRPr="0006335F">
        <w:rPr>
          <w:rStyle w:val="af7"/>
          <w:rFonts w:eastAsia="Guttman Hodes"/>
          <w:rtl/>
        </w:rPr>
        <w:instrText xml:space="preserve"> </w:instrText>
      </w:r>
      <w:r w:rsidRPr="0006335F">
        <w:rPr>
          <w:rStyle w:val="af7"/>
          <w:rFonts w:eastAsia="Guttman Hodes"/>
          <w:rtl/>
        </w:rPr>
      </w:r>
      <w:r w:rsidRPr="0006335F">
        <w:rPr>
          <w:rStyle w:val="af7"/>
          <w:rFonts w:eastAsia="Guttman Hodes"/>
          <w:rtl/>
        </w:rPr>
        <w:fldChar w:fldCharType="separate"/>
      </w:r>
      <w:r w:rsidR="00345400">
        <w:rPr>
          <w:rStyle w:val="af7"/>
          <w:rFonts w:eastAsia="Guttman Hodes"/>
          <w:cs/>
        </w:rPr>
        <w:t>‎</w:t>
      </w:r>
      <w:r w:rsidR="00345400">
        <w:rPr>
          <w:rStyle w:val="af7"/>
          <w:rFonts w:eastAsia="Guttman Hodes"/>
          <w:rtl/>
        </w:rPr>
        <w:t>סט)</w:t>
      </w:r>
      <w:r w:rsidRPr="0006335F">
        <w:rPr>
          <w:rStyle w:val="af7"/>
          <w:rFonts w:eastAsia="Guttman Hodes"/>
          <w:rtl/>
        </w:rPr>
        <w:fldChar w:fldCharType="end"/>
      </w:r>
      <w:r>
        <w:rPr>
          <w:rFonts w:hint="cs"/>
          <w:rtl/>
        </w:rPr>
        <w:t xml:space="preserve"> </w:t>
      </w:r>
      <w:r w:rsidRPr="00116787">
        <w:rPr>
          <w:rStyle w:val="af9"/>
          <w:rFonts w:hint="cs"/>
          <w:rtl/>
        </w:rPr>
        <w:t>והמהר"ם</w:t>
      </w:r>
      <w:r>
        <w:rPr>
          <w:rFonts w:hint="cs"/>
          <w:rtl/>
        </w:rPr>
        <w:t xml:space="preserve"> </w:t>
      </w:r>
      <w:r w:rsidRPr="00116787">
        <w:rPr>
          <w:rStyle w:val="af7"/>
          <w:rFonts w:eastAsia="Guttman Hodes" w:hint="cs"/>
          <w:rtl/>
        </w:rPr>
        <w:t xml:space="preserve">(עי' אות </w:t>
      </w:r>
      <w:r w:rsidRPr="00116787">
        <w:rPr>
          <w:rStyle w:val="af7"/>
          <w:rFonts w:eastAsia="Guttman Hodes"/>
          <w:rtl/>
        </w:rPr>
        <w:fldChar w:fldCharType="begin"/>
      </w:r>
      <w:r w:rsidRPr="00116787">
        <w:rPr>
          <w:rStyle w:val="af7"/>
          <w:rFonts w:eastAsia="Guttman Hodes"/>
          <w:rtl/>
        </w:rPr>
        <w:instrText xml:space="preserve"> </w:instrText>
      </w:r>
      <w:r w:rsidRPr="00116787">
        <w:rPr>
          <w:rStyle w:val="af7"/>
          <w:rFonts w:eastAsia="Guttman Hodes" w:hint="cs"/>
        </w:rPr>
        <w:instrText>REF</w:instrText>
      </w:r>
      <w:r w:rsidRPr="00116787">
        <w:rPr>
          <w:rStyle w:val="af7"/>
          <w:rFonts w:eastAsia="Guttman Hodes" w:hint="cs"/>
          <w:rtl/>
        </w:rPr>
        <w:instrText xml:space="preserve"> _</w:instrText>
      </w:r>
      <w:r w:rsidRPr="00116787">
        <w:rPr>
          <w:rStyle w:val="af7"/>
          <w:rFonts w:eastAsia="Guttman Hodes" w:hint="cs"/>
        </w:rPr>
        <w:instrText>Ref531716253 \r \h</w:instrText>
      </w:r>
      <w:r w:rsidRPr="00116787">
        <w:rPr>
          <w:rStyle w:val="af7"/>
          <w:rFonts w:eastAsia="Guttman Hodes"/>
          <w:rtl/>
        </w:rPr>
        <w:instrText xml:space="preserve"> </w:instrText>
      </w:r>
      <w:r w:rsidRPr="00116787">
        <w:rPr>
          <w:rStyle w:val="af7"/>
          <w:rFonts w:eastAsia="Guttman Hodes"/>
          <w:rtl/>
        </w:rPr>
      </w:r>
      <w:r w:rsidRPr="00116787">
        <w:rPr>
          <w:rStyle w:val="af7"/>
          <w:rFonts w:eastAsia="Guttman Hodes"/>
          <w:rtl/>
        </w:rPr>
        <w:fldChar w:fldCharType="separate"/>
      </w:r>
      <w:r w:rsidR="00345400">
        <w:rPr>
          <w:rStyle w:val="af7"/>
          <w:rFonts w:eastAsia="Guttman Hodes"/>
          <w:cs/>
        </w:rPr>
        <w:t>‎</w:t>
      </w:r>
      <w:r w:rsidR="00345400">
        <w:rPr>
          <w:rStyle w:val="af7"/>
          <w:rFonts w:eastAsia="Guttman Hodes"/>
          <w:rtl/>
        </w:rPr>
        <w:t>ע)</w:t>
      </w:r>
      <w:r w:rsidRPr="00116787">
        <w:rPr>
          <w:rStyle w:val="af7"/>
          <w:rFonts w:eastAsia="Guttman Hodes"/>
          <w:rtl/>
        </w:rPr>
        <w:fldChar w:fldCharType="end"/>
      </w:r>
      <w:r>
        <w:rPr>
          <w:rFonts w:hint="cs"/>
          <w:rtl/>
        </w:rPr>
        <w:t>.</w:t>
      </w:r>
      <w:bookmarkEnd w:id="12447"/>
    </w:p>
    <w:p w14:paraId="0B2D805C" w14:textId="77777777" w:rsidR="003D04E6" w:rsidRPr="00843D9B" w:rsidRDefault="003D04E6" w:rsidP="006D6D32">
      <w:pPr>
        <w:pStyle w:val="a3"/>
      </w:pPr>
      <w:bookmarkStart w:id="12448" w:name="_Toc531819769"/>
      <w:bookmarkStart w:id="12449" w:name="_Toc19390662"/>
      <w:bookmarkStart w:id="12450" w:name="_Toc19394159"/>
      <w:r>
        <w:rPr>
          <w:rFonts w:hint="cs"/>
          <w:rtl/>
        </w:rPr>
        <w:t>ביאור המהרש"א בבעה"מ וברא"ש דלרבר"י בתוספתא רוב שאר הטבעות חשיב כרוב קנה</w:t>
      </w:r>
      <w:bookmarkEnd w:id="12448"/>
      <w:bookmarkEnd w:id="12449"/>
      <w:bookmarkEnd w:id="12450"/>
      <w:r>
        <w:rPr>
          <w:rFonts w:hint="cs"/>
          <w:rtl/>
        </w:rPr>
        <w:t xml:space="preserve"> </w:t>
      </w:r>
    </w:p>
    <w:p w14:paraId="6BA20EA7" w14:textId="77777777" w:rsidR="003D04E6" w:rsidRPr="00417F7D" w:rsidRDefault="003D04E6" w:rsidP="00223668">
      <w:pPr>
        <w:pStyle w:val="a0"/>
        <w:rPr>
          <w:rtl/>
        </w:rPr>
      </w:pPr>
      <w:r>
        <w:rPr>
          <w:rFonts w:hint="cs"/>
          <w:rtl/>
        </w:rPr>
        <w:t xml:space="preserve">וביאר </w:t>
      </w:r>
      <w:r w:rsidRPr="000F1531">
        <w:rPr>
          <w:rStyle w:val="af9"/>
          <w:rFonts w:hint="cs"/>
          <w:rtl/>
        </w:rPr>
        <w:t>המהרש"א</w:t>
      </w:r>
      <w:r>
        <w:rPr>
          <w:rFonts w:hint="cs"/>
          <w:rtl/>
        </w:rPr>
        <w:t xml:space="preserve"> </w:t>
      </w:r>
      <w:r w:rsidRPr="00843D9B">
        <w:rPr>
          <w:rStyle w:val="af7"/>
          <w:rFonts w:eastAsia="Guttman Hodes" w:hint="cs"/>
          <w:rtl/>
        </w:rPr>
        <w:t xml:space="preserve">(יח: על רש"י ד"ה וללישנא) </w:t>
      </w:r>
      <w:r>
        <w:rPr>
          <w:rFonts w:hint="cs"/>
          <w:rtl/>
        </w:rPr>
        <w:t>דכוונת</w:t>
      </w:r>
      <w:r w:rsidRPr="00EB4D66">
        <w:rPr>
          <w:rFonts w:hint="cs"/>
          <w:rtl/>
        </w:rPr>
        <w:t xml:space="preserve"> </w:t>
      </w:r>
      <w:r w:rsidRPr="00EB4D66">
        <w:rPr>
          <w:rStyle w:val="af9"/>
          <w:rFonts w:hint="cs"/>
          <w:rtl/>
        </w:rPr>
        <w:t>הבעה"מ</w:t>
      </w:r>
      <w:r w:rsidRPr="00EB4D66">
        <w:rPr>
          <w:rFonts w:hint="cs"/>
          <w:rtl/>
        </w:rPr>
        <w:t xml:space="preserve"> </w:t>
      </w:r>
      <w:r>
        <w:rPr>
          <w:rStyle w:val="af9"/>
          <w:rFonts w:hint="cs"/>
          <w:rtl/>
        </w:rPr>
        <w:t>ו</w:t>
      </w:r>
      <w:r w:rsidRPr="00EB4D66">
        <w:rPr>
          <w:rStyle w:val="af9"/>
          <w:rFonts w:hint="cs"/>
          <w:rtl/>
        </w:rPr>
        <w:t>הרא"ש</w:t>
      </w:r>
      <w:r>
        <w:rPr>
          <w:rStyle w:val="af9"/>
          <w:rFonts w:hint="cs"/>
          <w:rtl/>
        </w:rPr>
        <w:t xml:space="preserve"> </w:t>
      </w:r>
      <w:r>
        <w:rPr>
          <w:rFonts w:hint="cs"/>
          <w:rtl/>
        </w:rPr>
        <w:t>לומר דל</w:t>
      </w:r>
      <w:r w:rsidRPr="00EB4D66">
        <w:rPr>
          <w:rFonts w:hint="cs"/>
          <w:rtl/>
        </w:rPr>
        <w:t xml:space="preserve">דעת </w:t>
      </w:r>
      <w:r>
        <w:rPr>
          <w:rFonts w:hint="cs"/>
          <w:rtl/>
        </w:rPr>
        <w:t>ריבר</w:t>
      </w:r>
      <w:r>
        <w:rPr>
          <w:rtl/>
        </w:rPr>
        <w:t>"</w:t>
      </w:r>
      <w:r>
        <w:rPr>
          <w:rFonts w:hint="cs"/>
          <w:rtl/>
        </w:rPr>
        <w:t>י בתוספתא, הרוב של שאר הטבעות חשיב רוב הקנה</w:t>
      </w:r>
      <w:r w:rsidRPr="00EB4D66">
        <w:rPr>
          <w:rFonts w:hint="cs"/>
          <w:rtl/>
        </w:rPr>
        <w:t xml:space="preserve">, ורק בזה נחלקו רב ושמואל על </w:t>
      </w:r>
      <w:r>
        <w:rPr>
          <w:rFonts w:hint="cs"/>
          <w:rtl/>
        </w:rPr>
        <w:t>ריבר</w:t>
      </w:r>
      <w:r>
        <w:rPr>
          <w:rtl/>
        </w:rPr>
        <w:t>"</w:t>
      </w:r>
      <w:r>
        <w:rPr>
          <w:rFonts w:hint="cs"/>
          <w:rtl/>
        </w:rPr>
        <w:t xml:space="preserve">י, וכתב </w:t>
      </w:r>
      <w:r w:rsidRPr="00843D9B">
        <w:rPr>
          <w:rStyle w:val="af9"/>
          <w:rFonts w:hint="cs"/>
          <w:rtl/>
        </w:rPr>
        <w:t>המהרש"א</w:t>
      </w:r>
      <w:r>
        <w:rPr>
          <w:rFonts w:hint="cs"/>
          <w:rtl/>
        </w:rPr>
        <w:t xml:space="preserve"> דזהו הביאור בדברי </w:t>
      </w:r>
      <w:r w:rsidRPr="00EB4D66">
        <w:rPr>
          <w:rStyle w:val="af9"/>
          <w:rFonts w:hint="cs"/>
          <w:rtl/>
        </w:rPr>
        <w:t xml:space="preserve">התוס' </w:t>
      </w:r>
      <w:r>
        <w:rPr>
          <w:rStyle w:val="af7"/>
          <w:rFonts w:eastAsia="Guttman Hodes" w:hint="cs"/>
          <w:rtl/>
        </w:rPr>
        <w:t>(</w:t>
      </w:r>
      <w:r w:rsidRPr="00B95BC5">
        <w:rPr>
          <w:rStyle w:val="af7"/>
          <w:rFonts w:eastAsia="Guttman Hodes" w:hint="cs"/>
          <w:rtl/>
        </w:rPr>
        <w:t xml:space="preserve">עי' אות </w:t>
      </w:r>
      <w:r w:rsidRPr="00B95BC5">
        <w:rPr>
          <w:rStyle w:val="af7"/>
          <w:rFonts w:eastAsia="Guttman Hodes"/>
          <w:rtl/>
        </w:rPr>
        <w:fldChar w:fldCharType="begin"/>
      </w:r>
      <w:r w:rsidRPr="00B95BC5">
        <w:rPr>
          <w:rStyle w:val="af7"/>
          <w:rFonts w:eastAsia="Guttman Hodes"/>
          <w:rtl/>
        </w:rPr>
        <w:instrText xml:space="preserve"> </w:instrText>
      </w:r>
      <w:r w:rsidRPr="00B95BC5">
        <w:rPr>
          <w:rStyle w:val="af7"/>
          <w:rFonts w:eastAsia="Guttman Hodes" w:hint="cs"/>
        </w:rPr>
        <w:instrText>REF</w:instrText>
      </w:r>
      <w:r w:rsidRPr="00B95BC5">
        <w:rPr>
          <w:rStyle w:val="af7"/>
          <w:rFonts w:eastAsia="Guttman Hodes" w:hint="cs"/>
          <w:rtl/>
        </w:rPr>
        <w:instrText xml:space="preserve"> _</w:instrText>
      </w:r>
      <w:r w:rsidRPr="00B95BC5">
        <w:rPr>
          <w:rStyle w:val="af7"/>
          <w:rFonts w:eastAsia="Guttman Hodes" w:hint="cs"/>
        </w:rPr>
        <w:instrText>Ref531727860 \r \h</w:instrText>
      </w:r>
      <w:r w:rsidRPr="00B95BC5">
        <w:rPr>
          <w:rStyle w:val="af7"/>
          <w:rFonts w:eastAsia="Guttman Hodes"/>
          <w:rtl/>
        </w:rPr>
        <w:instrText xml:space="preserve"> </w:instrText>
      </w:r>
      <w:r w:rsidRPr="00B95BC5">
        <w:rPr>
          <w:rStyle w:val="af7"/>
          <w:rFonts w:eastAsia="Guttman Hodes"/>
          <w:rtl/>
        </w:rPr>
      </w:r>
      <w:r w:rsidRPr="00B95BC5">
        <w:rPr>
          <w:rStyle w:val="af7"/>
          <w:rFonts w:eastAsia="Guttman Hodes"/>
          <w:rtl/>
        </w:rPr>
        <w:fldChar w:fldCharType="separate"/>
      </w:r>
      <w:r w:rsidR="00345400">
        <w:rPr>
          <w:rStyle w:val="af7"/>
          <w:rFonts w:eastAsia="Guttman Hodes"/>
          <w:cs/>
        </w:rPr>
        <w:t>‎</w:t>
      </w:r>
      <w:r w:rsidR="00345400">
        <w:rPr>
          <w:rStyle w:val="af7"/>
          <w:rFonts w:eastAsia="Guttman Hodes"/>
          <w:rtl/>
        </w:rPr>
        <w:t>סא)</w:t>
      </w:r>
      <w:r w:rsidRPr="00B95BC5">
        <w:rPr>
          <w:rStyle w:val="af7"/>
          <w:rFonts w:eastAsia="Guttman Hodes"/>
          <w:rtl/>
        </w:rPr>
        <w:fldChar w:fldCharType="end"/>
      </w:r>
      <w:r w:rsidRPr="00417F7D">
        <w:rPr>
          <w:rFonts w:hint="cs"/>
          <w:rtl/>
        </w:rPr>
        <w:t>, ועי' במה שביאר</w:t>
      </w:r>
      <w:r>
        <w:rPr>
          <w:rStyle w:val="af9"/>
          <w:rFonts w:hint="cs"/>
          <w:rtl/>
        </w:rPr>
        <w:t xml:space="preserve"> המהרש"א </w:t>
      </w:r>
      <w:r w:rsidRPr="00D11FD3">
        <w:rPr>
          <w:rStyle w:val="af7"/>
          <w:rFonts w:eastAsia="Guttman Hodes" w:hint="cs"/>
          <w:rtl/>
        </w:rPr>
        <w:t xml:space="preserve">(עי' אות </w:t>
      </w:r>
      <w:r w:rsidRPr="00D11FD3">
        <w:rPr>
          <w:rStyle w:val="af7"/>
          <w:rFonts w:eastAsia="Guttman Hodes"/>
          <w:rtl/>
        </w:rPr>
        <w:fldChar w:fldCharType="begin"/>
      </w:r>
      <w:r w:rsidRPr="00D11FD3">
        <w:rPr>
          <w:rStyle w:val="af7"/>
          <w:rFonts w:eastAsia="Guttman Hodes"/>
          <w:rtl/>
        </w:rPr>
        <w:instrText xml:space="preserve"> </w:instrText>
      </w:r>
      <w:r w:rsidRPr="00D11FD3">
        <w:rPr>
          <w:rStyle w:val="af7"/>
          <w:rFonts w:eastAsia="Guttman Hodes" w:hint="cs"/>
        </w:rPr>
        <w:instrText>REF</w:instrText>
      </w:r>
      <w:r w:rsidRPr="00D11FD3">
        <w:rPr>
          <w:rStyle w:val="af7"/>
          <w:rFonts w:eastAsia="Guttman Hodes" w:hint="cs"/>
          <w:rtl/>
        </w:rPr>
        <w:instrText xml:space="preserve"> _</w:instrText>
      </w:r>
      <w:r w:rsidRPr="00D11FD3">
        <w:rPr>
          <w:rStyle w:val="af7"/>
          <w:rFonts w:eastAsia="Guttman Hodes" w:hint="cs"/>
        </w:rPr>
        <w:instrText>Ref531727739 \r \h</w:instrText>
      </w:r>
      <w:r w:rsidRPr="00D11FD3">
        <w:rPr>
          <w:rStyle w:val="af7"/>
          <w:rFonts w:eastAsia="Guttman Hodes"/>
          <w:rtl/>
        </w:rPr>
        <w:instrText xml:space="preserve"> </w:instrText>
      </w:r>
      <w:r w:rsidRPr="00D11FD3">
        <w:rPr>
          <w:rStyle w:val="af7"/>
          <w:rFonts w:eastAsia="Guttman Hodes"/>
          <w:rtl/>
        </w:rPr>
      </w:r>
      <w:r w:rsidRPr="00D11FD3">
        <w:rPr>
          <w:rStyle w:val="af7"/>
          <w:rFonts w:eastAsia="Guttman Hodes"/>
          <w:rtl/>
        </w:rPr>
        <w:fldChar w:fldCharType="separate"/>
      </w:r>
      <w:r w:rsidR="00345400">
        <w:rPr>
          <w:rStyle w:val="af7"/>
          <w:rFonts w:eastAsia="Guttman Hodes"/>
          <w:cs/>
        </w:rPr>
        <w:t>‎</w:t>
      </w:r>
      <w:r w:rsidR="00345400">
        <w:rPr>
          <w:rStyle w:val="af7"/>
          <w:rFonts w:eastAsia="Guttman Hodes"/>
          <w:rtl/>
        </w:rPr>
        <w:t>נד)</w:t>
      </w:r>
      <w:r w:rsidRPr="00D11FD3">
        <w:rPr>
          <w:rStyle w:val="af7"/>
          <w:rFonts w:eastAsia="Guttman Hodes"/>
          <w:rtl/>
        </w:rPr>
        <w:fldChar w:fldCharType="end"/>
      </w:r>
      <w:r w:rsidRPr="00D11FD3">
        <w:rPr>
          <w:rStyle w:val="af7"/>
          <w:rFonts w:eastAsia="Guttman Hodes" w:hint="cs"/>
          <w:rtl/>
        </w:rPr>
        <w:t xml:space="preserve"> </w:t>
      </w:r>
      <w:r w:rsidRPr="00417F7D">
        <w:rPr>
          <w:rFonts w:hint="cs"/>
          <w:rtl/>
        </w:rPr>
        <w:t>אמאי</w:t>
      </w:r>
      <w:r>
        <w:rPr>
          <w:rFonts w:hint="cs"/>
          <w:rtl/>
        </w:rPr>
        <w:t xml:space="preserve"> ס"ל</w:t>
      </w:r>
      <w:r w:rsidRPr="00417F7D">
        <w:rPr>
          <w:rFonts w:hint="cs"/>
          <w:rtl/>
        </w:rPr>
        <w:t xml:space="preserve"> </w:t>
      </w:r>
      <w:r>
        <w:rPr>
          <w:rStyle w:val="af9"/>
          <w:rFonts w:hint="cs"/>
          <w:rtl/>
        </w:rPr>
        <w:t xml:space="preserve">לרש"י </w:t>
      </w:r>
      <w:r>
        <w:rPr>
          <w:rFonts w:hint="cs"/>
          <w:rtl/>
        </w:rPr>
        <w:t xml:space="preserve">דא"א לבאר כן בתוספתא, ובמה שהקשה </w:t>
      </w:r>
      <w:r w:rsidRPr="00025911">
        <w:rPr>
          <w:rStyle w:val="af9"/>
          <w:rFonts w:hint="cs"/>
          <w:rtl/>
        </w:rPr>
        <w:t>הראש יוסף</w:t>
      </w:r>
      <w:r>
        <w:rPr>
          <w:rFonts w:hint="cs"/>
          <w:rtl/>
        </w:rPr>
        <w:t xml:space="preserve"> </w:t>
      </w:r>
      <w:r w:rsidRPr="00025911">
        <w:rPr>
          <w:rStyle w:val="af7"/>
          <w:rFonts w:eastAsia="Guttman Hodes" w:hint="cs"/>
          <w:rtl/>
        </w:rPr>
        <w:t xml:space="preserve">(עי' אות </w:t>
      </w:r>
      <w:r w:rsidRPr="00025911">
        <w:rPr>
          <w:rStyle w:val="af7"/>
          <w:rFonts w:eastAsia="Guttman Hodes"/>
          <w:rtl/>
        </w:rPr>
        <w:fldChar w:fldCharType="begin"/>
      </w:r>
      <w:r w:rsidRPr="00025911">
        <w:rPr>
          <w:rStyle w:val="af7"/>
          <w:rFonts w:eastAsia="Guttman Hodes"/>
          <w:rtl/>
        </w:rPr>
        <w:instrText xml:space="preserve"> </w:instrText>
      </w:r>
      <w:r w:rsidRPr="00025911">
        <w:rPr>
          <w:rStyle w:val="af7"/>
          <w:rFonts w:eastAsia="Guttman Hodes" w:hint="cs"/>
        </w:rPr>
        <w:instrText>REF</w:instrText>
      </w:r>
      <w:r w:rsidRPr="00025911">
        <w:rPr>
          <w:rStyle w:val="af7"/>
          <w:rFonts w:eastAsia="Guttman Hodes" w:hint="cs"/>
          <w:rtl/>
        </w:rPr>
        <w:instrText xml:space="preserve"> _</w:instrText>
      </w:r>
      <w:r w:rsidRPr="00025911">
        <w:rPr>
          <w:rStyle w:val="af7"/>
          <w:rFonts w:eastAsia="Guttman Hodes" w:hint="cs"/>
        </w:rPr>
        <w:instrText>Ref532116106 \r \h</w:instrText>
      </w:r>
      <w:r w:rsidRPr="00025911">
        <w:rPr>
          <w:rStyle w:val="af7"/>
          <w:rFonts w:eastAsia="Guttman Hodes"/>
          <w:rtl/>
        </w:rPr>
        <w:instrText xml:space="preserve"> </w:instrText>
      </w:r>
      <w:r w:rsidRPr="00025911">
        <w:rPr>
          <w:rStyle w:val="af7"/>
          <w:rFonts w:eastAsia="Guttman Hodes"/>
          <w:rtl/>
        </w:rPr>
      </w:r>
      <w:r w:rsidRPr="00025911">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025911">
        <w:rPr>
          <w:rStyle w:val="af7"/>
          <w:rFonts w:eastAsia="Guttman Hodes"/>
          <w:rtl/>
        </w:rPr>
        <w:fldChar w:fldCharType="end"/>
      </w:r>
      <w:r>
        <w:rPr>
          <w:rFonts w:hint="cs"/>
          <w:rtl/>
        </w:rPr>
        <w:t xml:space="preserve"> על דברי </w:t>
      </w:r>
      <w:r w:rsidRPr="00025911">
        <w:rPr>
          <w:rStyle w:val="af9"/>
          <w:rFonts w:hint="cs"/>
          <w:rtl/>
        </w:rPr>
        <w:t>המהרש"א</w:t>
      </w:r>
      <w:r w:rsidRPr="00417F7D">
        <w:rPr>
          <w:rFonts w:hint="cs"/>
          <w:rtl/>
        </w:rPr>
        <w:t>.</w:t>
      </w:r>
    </w:p>
    <w:p w14:paraId="43191694" w14:textId="77777777" w:rsidR="003D04E6" w:rsidRDefault="003D04E6" w:rsidP="006D6D32">
      <w:pPr>
        <w:pStyle w:val="a3"/>
        <w:rPr>
          <w:rtl/>
        </w:rPr>
      </w:pPr>
      <w:bookmarkStart w:id="12451" w:name="_Toc531819770"/>
    </w:p>
    <w:p w14:paraId="3483F39F" w14:textId="77777777" w:rsidR="003D04E6" w:rsidRDefault="003D04E6" w:rsidP="006D6D32">
      <w:pPr>
        <w:pStyle w:val="a3"/>
        <w:rPr>
          <w:rtl/>
        </w:rPr>
      </w:pPr>
      <w:bookmarkStart w:id="12452" w:name="_Toc19390663"/>
      <w:bookmarkStart w:id="12453" w:name="_Toc19394160"/>
      <w:r>
        <w:rPr>
          <w:rFonts w:hint="cs"/>
          <w:rtl/>
        </w:rPr>
        <w:t>דברי הבעה"מ דלהלכה קיי"ל כרחב"א וקיי"ל כרב ושמואל דרוב שאר הטבעות אינו רוב קנה</w:t>
      </w:r>
      <w:bookmarkEnd w:id="12451"/>
      <w:bookmarkEnd w:id="12452"/>
      <w:bookmarkEnd w:id="12453"/>
    </w:p>
    <w:p w14:paraId="4525FC05" w14:textId="77777777" w:rsidR="003D04E6" w:rsidRPr="003107C8" w:rsidRDefault="003D04E6" w:rsidP="00223668">
      <w:pPr>
        <w:pStyle w:val="a0"/>
        <w:rPr>
          <w:rtl/>
        </w:rPr>
      </w:pPr>
      <w:r>
        <w:rPr>
          <w:rFonts w:hint="cs"/>
          <w:rtl/>
        </w:rPr>
        <w:t>וכתב</w:t>
      </w:r>
      <w:r w:rsidRPr="00271AA6">
        <w:rPr>
          <w:rStyle w:val="af9"/>
          <w:rFonts w:hint="cs"/>
          <w:rtl/>
        </w:rPr>
        <w:t xml:space="preserve"> הבעה"מ </w:t>
      </w:r>
      <w:r>
        <w:rPr>
          <w:rFonts w:hint="cs"/>
          <w:rtl/>
        </w:rPr>
        <w:t>דלהלכה קיי"ל כרחב"א דמשיפוי כובע ולמטה כשר, וברובו של קנה קיי"ל כרב ושמואל דשחיטת רוב שאר הטבעות אינה כשחיטת רוב הקנה.</w:t>
      </w:r>
    </w:p>
    <w:p w14:paraId="5D421CD0" w14:textId="77777777" w:rsidR="003D04E6" w:rsidRDefault="003D04E6" w:rsidP="006D6D32">
      <w:pPr>
        <w:pStyle w:val="a3"/>
        <w:rPr>
          <w:rtl/>
        </w:rPr>
      </w:pPr>
      <w:bookmarkStart w:id="12454" w:name="_Toc531819771"/>
      <w:bookmarkStart w:id="12455" w:name="_Toc19390664"/>
      <w:bookmarkStart w:id="12456" w:name="_Toc19394161"/>
      <w:r>
        <w:rPr>
          <w:rFonts w:hint="cs"/>
          <w:rtl/>
        </w:rPr>
        <w:t>דברי הי"מ ברמב"ן ובר"ן דבשאר הטבעות לא אמרינן רובו ככולו כיון שאינם מקיפות את כל הקנה</w:t>
      </w:r>
      <w:bookmarkEnd w:id="12454"/>
      <w:bookmarkEnd w:id="12455"/>
      <w:bookmarkEnd w:id="12456"/>
    </w:p>
    <w:p w14:paraId="4C583EF7" w14:textId="77777777" w:rsidR="003D04E6" w:rsidRDefault="003D04E6" w:rsidP="00223668">
      <w:pPr>
        <w:pStyle w:val="a0"/>
        <w:rPr>
          <w:rtl/>
        </w:rPr>
      </w:pPr>
      <w:r>
        <w:rPr>
          <w:rFonts w:hint="cs"/>
          <w:rtl/>
        </w:rPr>
        <w:t>וכעי"ז הביאו</w:t>
      </w:r>
      <w:r w:rsidRPr="003D69E5">
        <w:rPr>
          <w:rStyle w:val="af9"/>
          <w:rFonts w:hint="cs"/>
          <w:rtl/>
        </w:rPr>
        <w:t xml:space="preserve"> </w:t>
      </w:r>
      <w:r w:rsidRPr="00B473FA">
        <w:rPr>
          <w:rStyle w:val="af9"/>
          <w:rFonts w:hint="cs"/>
          <w:rtl/>
        </w:rPr>
        <w:t>הרמב"ן בחי'</w:t>
      </w:r>
      <w:r w:rsidRPr="00DE00C3">
        <w:rPr>
          <w:rFonts w:hint="cs"/>
          <w:rtl/>
        </w:rPr>
        <w:t xml:space="preserve"> </w:t>
      </w:r>
      <w:r w:rsidRPr="000B3440">
        <w:rPr>
          <w:rStyle w:val="af7"/>
          <w:rFonts w:eastAsia="Guttman Hodes" w:hint="cs"/>
          <w:rtl/>
        </w:rPr>
        <w:t xml:space="preserve">(ד"ה ואף) </w:t>
      </w:r>
      <w:r w:rsidRPr="000B3440">
        <w:rPr>
          <w:rStyle w:val="af9"/>
          <w:rFonts w:hint="cs"/>
          <w:rtl/>
        </w:rPr>
        <w:t>והר"ן בחי'</w:t>
      </w:r>
      <w:r>
        <w:rPr>
          <w:rFonts w:hint="cs"/>
          <w:rtl/>
        </w:rPr>
        <w:t xml:space="preserve"> </w:t>
      </w:r>
      <w:r w:rsidRPr="000B3440">
        <w:rPr>
          <w:rStyle w:val="af7"/>
          <w:rFonts w:eastAsia="Guttman Hodes" w:hint="cs"/>
          <w:rtl/>
        </w:rPr>
        <w:t xml:space="preserve">(ד"ה ואף) </w:t>
      </w:r>
      <w:r>
        <w:rPr>
          <w:rFonts w:hint="cs"/>
          <w:rtl/>
        </w:rPr>
        <w:t xml:space="preserve">בשם </w:t>
      </w:r>
      <w:r w:rsidRPr="003D69E5">
        <w:rPr>
          <w:rStyle w:val="af9"/>
          <w:rFonts w:hint="cs"/>
          <w:rtl/>
        </w:rPr>
        <w:t>י"מ</w:t>
      </w:r>
      <w:r>
        <w:rPr>
          <w:rFonts w:hint="cs"/>
          <w:rtl/>
        </w:rPr>
        <w:t xml:space="preserve">  דביארו את דברי רב ושמואל דס"ל דאף לריבר</w:t>
      </w:r>
      <w:r>
        <w:rPr>
          <w:rtl/>
        </w:rPr>
        <w:t>"</w:t>
      </w:r>
      <w:r>
        <w:rPr>
          <w:rFonts w:hint="cs"/>
          <w:rtl/>
        </w:rPr>
        <w:t xml:space="preserve">י הא דאמרינן דרובו ככולו, היינו רק בטבעת הגדולה שהיא מקיפה את כל הקנה, אבל אם שחט בשאר הטבעות את רוב הטבעת, ואח"כ הגרים למעלה מטבעת הגדולה, דבכה"ג לא אמרינן דרובו ככולו, דכיון דשאר הטבעות אינם מקיפות את כל הקנה,  דלא אמרינן רובו ככולו דלא שחט את רוב הסימן, וכתבו </w:t>
      </w:r>
      <w:r w:rsidRPr="00B473FA">
        <w:rPr>
          <w:rStyle w:val="af9"/>
          <w:rFonts w:hint="cs"/>
          <w:rtl/>
        </w:rPr>
        <w:t>הרמב"ן בחי'</w:t>
      </w:r>
      <w:r>
        <w:rPr>
          <w:rFonts w:hint="cs"/>
          <w:rtl/>
        </w:rPr>
        <w:t xml:space="preserve"> </w:t>
      </w:r>
      <w:r w:rsidRPr="000B3440">
        <w:rPr>
          <w:rStyle w:val="af9"/>
          <w:rFonts w:hint="cs"/>
          <w:rtl/>
        </w:rPr>
        <w:t>והר"ן בחי'</w:t>
      </w:r>
      <w:r>
        <w:rPr>
          <w:rFonts w:hint="cs"/>
          <w:rtl/>
        </w:rPr>
        <w:t xml:space="preserve"> בשם </w:t>
      </w:r>
      <w:r w:rsidRPr="003D69E5">
        <w:rPr>
          <w:rStyle w:val="af9"/>
          <w:rFonts w:hint="cs"/>
          <w:rtl/>
        </w:rPr>
        <w:t>י"מ</w:t>
      </w:r>
      <w:r>
        <w:rPr>
          <w:rFonts w:hint="cs"/>
          <w:rtl/>
        </w:rPr>
        <w:t xml:space="preserve"> דזהי ההגרמה לרב ושמואל, ולחומרא קיי"ל כוותיהו. </w:t>
      </w:r>
    </w:p>
    <w:p w14:paraId="707456AE" w14:textId="77777777" w:rsidR="003D04E6" w:rsidRDefault="003D04E6" w:rsidP="006D6D32">
      <w:pPr>
        <w:pStyle w:val="a3"/>
        <w:rPr>
          <w:rtl/>
        </w:rPr>
      </w:pPr>
      <w:bookmarkStart w:id="12457" w:name="_Toc531819772"/>
      <w:bookmarkStart w:id="12458" w:name="_Toc19390665"/>
      <w:bookmarkStart w:id="12459" w:name="_Toc19394162"/>
      <w:r>
        <w:rPr>
          <w:rFonts w:hint="cs"/>
          <w:rtl/>
        </w:rPr>
        <w:t>קושית הר"ן דהיאך הכשיר ריבר"י בתוספתא רוב טבעת מדין רובו ככולו ויש ב' שיעוים בשחיטה</w:t>
      </w:r>
      <w:bookmarkEnd w:id="12457"/>
      <w:bookmarkEnd w:id="12458"/>
      <w:bookmarkEnd w:id="12459"/>
    </w:p>
    <w:p w14:paraId="3A2E3FF5" w14:textId="77777777" w:rsidR="003D04E6" w:rsidRPr="006132D9" w:rsidRDefault="003D04E6" w:rsidP="00223668">
      <w:pPr>
        <w:pStyle w:val="a0"/>
        <w:rPr>
          <w:rtl/>
        </w:rPr>
      </w:pPr>
      <w:r w:rsidRPr="006132D9">
        <w:rPr>
          <w:rFonts w:hint="cs"/>
          <w:rtl/>
        </w:rPr>
        <w:t>אך הקשה</w:t>
      </w:r>
      <w:r>
        <w:rPr>
          <w:rFonts w:hint="cs"/>
          <w:rtl/>
        </w:rPr>
        <w:t xml:space="preserve"> </w:t>
      </w:r>
      <w:r w:rsidRPr="000B3440">
        <w:rPr>
          <w:rStyle w:val="af9"/>
          <w:rFonts w:hint="cs"/>
          <w:rtl/>
        </w:rPr>
        <w:t>הר"ן בחי'</w:t>
      </w:r>
      <w:r w:rsidRPr="006132D9">
        <w:rPr>
          <w:rFonts w:hint="cs"/>
          <w:rtl/>
        </w:rPr>
        <w:t xml:space="preserve"> </w:t>
      </w:r>
      <w:r w:rsidRPr="000B3440">
        <w:rPr>
          <w:rStyle w:val="af7"/>
          <w:rFonts w:eastAsia="Guttman Hodes" w:hint="cs"/>
          <w:rtl/>
        </w:rPr>
        <w:t xml:space="preserve">(ד"ה ואף) </w:t>
      </w:r>
      <w:r w:rsidRPr="006132D9">
        <w:rPr>
          <w:rFonts w:hint="cs"/>
          <w:rtl/>
        </w:rPr>
        <w:t>דהיאך אפש"ל דס"ל ל</w:t>
      </w:r>
      <w:r>
        <w:rPr>
          <w:rFonts w:hint="cs"/>
          <w:rtl/>
        </w:rPr>
        <w:t>ריבר</w:t>
      </w:r>
      <w:r>
        <w:rPr>
          <w:rtl/>
        </w:rPr>
        <w:t>"</w:t>
      </w:r>
      <w:r>
        <w:rPr>
          <w:rFonts w:hint="cs"/>
          <w:rtl/>
        </w:rPr>
        <w:t>י</w:t>
      </w:r>
      <w:r w:rsidRPr="006132D9">
        <w:rPr>
          <w:rFonts w:hint="cs"/>
          <w:rtl/>
        </w:rPr>
        <w:t xml:space="preserve"> בתוספתא דע"י דין רובו ככולו, תהיה שחיטה כשרה ברוב טבעת שהיא רוב קנה, דאף אי ע"י רובו ככולו חשיבא הטבעת כקנה, עדיין א"א לומר דשחיטת רובו של רוב הקנה תהיה חשיבא כשחיטת כולו, ועוד הקשה </w:t>
      </w:r>
      <w:r w:rsidRPr="000B3440">
        <w:rPr>
          <w:rStyle w:val="af9"/>
          <w:rFonts w:hint="cs"/>
          <w:rtl/>
        </w:rPr>
        <w:t>הר"ן בחי'</w:t>
      </w:r>
      <w:r w:rsidRPr="006132D9">
        <w:rPr>
          <w:rFonts w:hint="cs"/>
          <w:rtl/>
        </w:rPr>
        <w:t xml:space="preserve"> דא"כ יש ב' שיעורים לשחיטה, דבתוך הטבעת סגי בשחיטת רוב הטבעת, אף שלא שחט את רוב הקנה, ואילו בשחיטה בין הטבעות, צריך לשחוט את רוב הקנה, וודאי שלא יתכן לומר כן.</w:t>
      </w:r>
    </w:p>
    <w:p w14:paraId="1B585F77" w14:textId="77777777" w:rsidR="003D04E6" w:rsidRPr="00DE00C3" w:rsidRDefault="003D04E6" w:rsidP="00BF39B2">
      <w:pPr>
        <w:pStyle w:val="1"/>
        <w:rPr>
          <w:rStyle w:val="a8"/>
          <w:rtl/>
        </w:rPr>
      </w:pPr>
      <w:bookmarkStart w:id="12460" w:name="_Toc531622059"/>
      <w:bookmarkStart w:id="12461" w:name="_Toc531629715"/>
      <w:bookmarkStart w:id="12462" w:name="_Toc531638987"/>
      <w:bookmarkStart w:id="12463" w:name="_Toc531776402"/>
      <w:bookmarkStart w:id="12464" w:name="_Toc531817664"/>
      <w:bookmarkStart w:id="12465" w:name="_Toc531819773"/>
      <w:bookmarkStart w:id="12466" w:name="_Toc19390666"/>
      <w:bookmarkStart w:id="12467" w:name="_Toc19394163"/>
      <w:r>
        <w:rPr>
          <w:rStyle w:val="a8"/>
          <w:rFonts w:hint="cs"/>
          <w:rtl/>
        </w:rPr>
        <w:t>ביאור הר"ן והרמב"ן</w:t>
      </w:r>
      <w:bookmarkEnd w:id="12460"/>
      <w:bookmarkEnd w:id="12461"/>
      <w:bookmarkEnd w:id="12462"/>
      <w:bookmarkEnd w:id="12463"/>
      <w:bookmarkEnd w:id="12464"/>
      <w:r>
        <w:rPr>
          <w:rStyle w:val="a8"/>
          <w:rFonts w:hint="cs"/>
          <w:rtl/>
        </w:rPr>
        <w:t xml:space="preserve"> דרוב שאר הטבעות הוי רוב עובי הקנה</w:t>
      </w:r>
      <w:bookmarkEnd w:id="12465"/>
      <w:bookmarkEnd w:id="12466"/>
      <w:bookmarkEnd w:id="12467"/>
    </w:p>
    <w:p w14:paraId="28531A52" w14:textId="77777777" w:rsidR="003D04E6" w:rsidRDefault="003D04E6" w:rsidP="006D6D32">
      <w:pPr>
        <w:pStyle w:val="a3"/>
        <w:rPr>
          <w:rtl/>
        </w:rPr>
      </w:pPr>
      <w:bookmarkStart w:id="12468" w:name="_Toc531819774"/>
      <w:bookmarkStart w:id="12469" w:name="_Toc19390667"/>
      <w:bookmarkStart w:id="12470" w:name="_Toc19394164"/>
      <w:r>
        <w:rPr>
          <w:rFonts w:hint="cs"/>
          <w:rtl/>
        </w:rPr>
        <w:t>ביאור הרמב"ן והר"ן דרב ושמואל הסתפקו אי סגי ברוב עובי הקנה שהיא הטבעת או ברוב חלל</w:t>
      </w:r>
      <w:bookmarkEnd w:id="12468"/>
      <w:bookmarkEnd w:id="12469"/>
      <w:bookmarkEnd w:id="12470"/>
    </w:p>
    <w:p w14:paraId="17257736" w14:textId="77777777" w:rsidR="003D04E6" w:rsidRDefault="003D04E6" w:rsidP="00223668">
      <w:pPr>
        <w:pStyle w:val="a0"/>
        <w:rPr>
          <w:rtl/>
        </w:rPr>
      </w:pPr>
      <w:bookmarkStart w:id="12471" w:name="_Ref531771587"/>
      <w:r>
        <w:rPr>
          <w:rFonts w:hint="cs"/>
          <w:rtl/>
        </w:rPr>
        <w:t xml:space="preserve">אלא ביארו </w:t>
      </w:r>
      <w:r w:rsidRPr="00B473FA">
        <w:rPr>
          <w:rStyle w:val="af9"/>
          <w:rFonts w:hint="cs"/>
          <w:rtl/>
        </w:rPr>
        <w:t>הרמב"ן בחי'</w:t>
      </w:r>
      <w:r>
        <w:rPr>
          <w:rFonts w:hint="cs"/>
          <w:rtl/>
        </w:rPr>
        <w:t xml:space="preserve"> </w:t>
      </w:r>
      <w:r w:rsidRPr="000B3440">
        <w:rPr>
          <w:rStyle w:val="af7"/>
          <w:rFonts w:eastAsia="Guttman Hodes" w:hint="cs"/>
          <w:rtl/>
        </w:rPr>
        <w:t xml:space="preserve">(ד"ה ואף) </w:t>
      </w:r>
      <w:r>
        <w:rPr>
          <w:rStyle w:val="af9"/>
          <w:rFonts w:hint="cs"/>
          <w:rtl/>
        </w:rPr>
        <w:t>ו</w:t>
      </w:r>
      <w:r w:rsidRPr="00BE7EED">
        <w:rPr>
          <w:rStyle w:val="af9"/>
          <w:rFonts w:hint="cs"/>
          <w:rtl/>
        </w:rPr>
        <w:t>במלחמות</w:t>
      </w:r>
      <w:r>
        <w:rPr>
          <w:rFonts w:hint="cs"/>
          <w:rtl/>
        </w:rPr>
        <w:t xml:space="preserve"> </w:t>
      </w:r>
      <w:r w:rsidRPr="00BE7EED">
        <w:rPr>
          <w:rStyle w:val="af7"/>
          <w:rFonts w:eastAsia="Guttman Hodes" w:hint="cs"/>
          <w:rtl/>
        </w:rPr>
        <w:t xml:space="preserve">(דף ה. מדפי הרי"ף) </w:t>
      </w:r>
      <w:r>
        <w:rPr>
          <w:rStyle w:val="af9"/>
          <w:rtl/>
        </w:rPr>
        <w:t xml:space="preserve">והר"ן </w:t>
      </w:r>
      <w:r w:rsidRPr="00DB40BF">
        <w:rPr>
          <w:rStyle w:val="af9"/>
          <w:rtl/>
        </w:rPr>
        <w:t>בחי'</w:t>
      </w:r>
      <w:r w:rsidRPr="00DB40BF">
        <w:rPr>
          <w:rtl/>
        </w:rPr>
        <w:t xml:space="preserve"> </w:t>
      </w:r>
      <w:r w:rsidRPr="000B3440">
        <w:rPr>
          <w:rStyle w:val="af7"/>
          <w:rFonts w:eastAsia="Guttman Hodes" w:hint="cs"/>
          <w:rtl/>
        </w:rPr>
        <w:t xml:space="preserve">(ד"ה ואף) </w:t>
      </w:r>
      <w:r>
        <w:rPr>
          <w:rFonts w:hint="cs"/>
          <w:rtl/>
        </w:rPr>
        <w:t xml:space="preserve">דשאר הטבעות כיון שאינם מקיפות את כל הקנה, לכן הם עבות מצד אחד יותר מהצד השני, </w:t>
      </w:r>
      <w:r w:rsidRPr="006466A2">
        <w:rPr>
          <w:rStyle w:val="afb"/>
          <w:rFonts w:hint="cs"/>
          <w:rtl/>
        </w:rPr>
        <w:t>[כיון שעור הטבעות נמצא מעל העור של הקנה</w:t>
      </w:r>
      <w:r>
        <w:rPr>
          <w:rStyle w:val="afb"/>
          <w:rFonts w:hint="cs"/>
          <w:rtl/>
        </w:rPr>
        <w:t>,</w:t>
      </w:r>
      <w:r w:rsidRPr="006466A2">
        <w:rPr>
          <w:rStyle w:val="afb"/>
          <w:rFonts w:hint="cs"/>
          <w:rtl/>
        </w:rPr>
        <w:t xml:space="preserve"> שהוא הקרום הפנימי],</w:t>
      </w:r>
      <w:r>
        <w:rPr>
          <w:rFonts w:hint="cs"/>
          <w:rtl/>
        </w:rPr>
        <w:t xml:space="preserve"> ולכן אם שחט את רוב העובי של שאר הטבעות, עדיין לא שחט את רוב החלל של הקנה, ובזה הסתפקו רב ושמואל האם צריך לשחוט את רוב העובי של הקנה או את רוב חללו, ולכן כששחט את רוב שאר הטבעות, ואח"כ הגרים, חוששין שאי"ז נחשב ששחט את רוב הקנה ואסורה, ועי' במ"ש </w:t>
      </w:r>
      <w:r w:rsidRPr="00ED5D3A">
        <w:rPr>
          <w:rStyle w:val="af9"/>
          <w:rFonts w:hint="cs"/>
          <w:rtl/>
        </w:rPr>
        <w:t>הרשב"א</w:t>
      </w:r>
      <w:r>
        <w:rPr>
          <w:rFonts w:hint="cs"/>
          <w:rtl/>
        </w:rPr>
        <w:t xml:space="preserve"> </w:t>
      </w:r>
      <w:r w:rsidRPr="00ED5D3A">
        <w:rPr>
          <w:rStyle w:val="af7"/>
          <w:rFonts w:eastAsia="Guttman Hodes" w:hint="cs"/>
          <w:rtl/>
        </w:rPr>
        <w:t xml:space="preserve">(עי' אות </w:t>
      </w:r>
      <w:bookmarkEnd w:id="12471"/>
      <w:r w:rsidRPr="00ED5D3A">
        <w:rPr>
          <w:rStyle w:val="af7"/>
          <w:rFonts w:eastAsia="Guttman Hodes"/>
          <w:rtl/>
        </w:rPr>
        <w:fldChar w:fldCharType="begin"/>
      </w:r>
      <w:r w:rsidRPr="00ED5D3A">
        <w:rPr>
          <w:rStyle w:val="af7"/>
          <w:rFonts w:eastAsia="Guttman Hodes"/>
          <w:rtl/>
        </w:rPr>
        <w:instrText xml:space="preserve"> </w:instrText>
      </w:r>
      <w:r w:rsidRPr="00ED5D3A">
        <w:rPr>
          <w:rStyle w:val="af7"/>
          <w:rFonts w:eastAsia="Guttman Hodes" w:hint="cs"/>
        </w:rPr>
        <w:instrText>REF</w:instrText>
      </w:r>
      <w:r w:rsidRPr="00ED5D3A">
        <w:rPr>
          <w:rStyle w:val="af7"/>
          <w:rFonts w:eastAsia="Guttman Hodes" w:hint="cs"/>
          <w:rtl/>
        </w:rPr>
        <w:instrText xml:space="preserve"> _</w:instrText>
      </w:r>
      <w:r w:rsidRPr="00ED5D3A">
        <w:rPr>
          <w:rStyle w:val="af7"/>
          <w:rFonts w:eastAsia="Guttman Hodes" w:hint="cs"/>
        </w:rPr>
        <w:instrText>Ref531817046 \r \h</w:instrText>
      </w:r>
      <w:r w:rsidRPr="00ED5D3A">
        <w:rPr>
          <w:rStyle w:val="af7"/>
          <w:rFonts w:eastAsia="Guttman Hodes"/>
          <w:rtl/>
        </w:rPr>
        <w:instrText xml:space="preserve"> </w:instrText>
      </w:r>
      <w:r w:rsidRPr="00ED5D3A">
        <w:rPr>
          <w:rStyle w:val="af7"/>
          <w:rFonts w:eastAsia="Guttman Hodes"/>
          <w:rtl/>
        </w:rPr>
      </w:r>
      <w:r w:rsidRPr="00ED5D3A">
        <w:rPr>
          <w:rStyle w:val="af7"/>
          <w:rFonts w:eastAsia="Guttman Hodes"/>
          <w:rtl/>
        </w:rPr>
        <w:fldChar w:fldCharType="separate"/>
      </w:r>
      <w:r w:rsidR="00345400">
        <w:rPr>
          <w:rStyle w:val="af7"/>
          <w:rFonts w:eastAsia="Guttman Hodes"/>
          <w:cs/>
        </w:rPr>
        <w:t>‎</w:t>
      </w:r>
      <w:r w:rsidR="00345400">
        <w:rPr>
          <w:rStyle w:val="af7"/>
          <w:rFonts w:eastAsia="Guttman Hodes"/>
          <w:rtl/>
        </w:rPr>
        <w:t>סג)</w:t>
      </w:r>
      <w:r w:rsidRPr="00ED5D3A">
        <w:rPr>
          <w:rStyle w:val="af7"/>
          <w:rFonts w:eastAsia="Guttman Hodes"/>
          <w:rtl/>
        </w:rPr>
        <w:fldChar w:fldCharType="end"/>
      </w:r>
      <w:r>
        <w:rPr>
          <w:rFonts w:hint="cs"/>
          <w:rtl/>
        </w:rPr>
        <w:t xml:space="preserve">. </w:t>
      </w:r>
    </w:p>
    <w:p w14:paraId="135B07AB" w14:textId="77777777" w:rsidR="003D04E6" w:rsidRPr="00B61E8E" w:rsidRDefault="003D04E6" w:rsidP="006D6D32">
      <w:pPr>
        <w:pStyle w:val="a3"/>
      </w:pPr>
      <w:bookmarkStart w:id="12472" w:name="_Toc531819775"/>
      <w:bookmarkStart w:id="12473" w:name="_Toc19390668"/>
      <w:bookmarkStart w:id="12474" w:name="_Toc19394165"/>
      <w:r>
        <w:rPr>
          <w:rFonts w:hint="cs"/>
          <w:rtl/>
        </w:rPr>
        <w:t>דברי הרמב"ן והר"ן דבטבעת הגדולה רוב העובי הוא רוב החלל ולכן כשר לרב ושמואל</w:t>
      </w:r>
      <w:bookmarkEnd w:id="12472"/>
      <w:bookmarkEnd w:id="12473"/>
      <w:bookmarkEnd w:id="12474"/>
    </w:p>
    <w:p w14:paraId="2641F5AD" w14:textId="77777777" w:rsidR="003D04E6" w:rsidRDefault="003D04E6" w:rsidP="00223668">
      <w:pPr>
        <w:pStyle w:val="a0"/>
        <w:rPr>
          <w:rtl/>
        </w:rPr>
      </w:pPr>
      <w:r>
        <w:rPr>
          <w:rFonts w:hint="cs"/>
          <w:rtl/>
        </w:rPr>
        <w:t xml:space="preserve">והוסיפו </w:t>
      </w:r>
      <w:r w:rsidRPr="00BE7EED">
        <w:rPr>
          <w:rStyle w:val="af9"/>
          <w:rFonts w:hint="cs"/>
          <w:rtl/>
        </w:rPr>
        <w:t>הרמב"ן במלחמות</w:t>
      </w:r>
      <w:r w:rsidRPr="00EF1BE1">
        <w:rPr>
          <w:rStyle w:val="af9"/>
          <w:rtl/>
        </w:rPr>
        <w:t xml:space="preserve"> </w:t>
      </w:r>
      <w:r w:rsidRPr="00DB40BF">
        <w:rPr>
          <w:rStyle w:val="af9"/>
          <w:rtl/>
        </w:rPr>
        <w:t>והר"ן בחי'</w:t>
      </w:r>
      <w:r>
        <w:rPr>
          <w:rFonts w:hint="cs"/>
          <w:rtl/>
        </w:rPr>
        <w:t xml:space="preserve"> דבטבעת הגדולה רוב העובי ורוב החלל נגמרים יחד, ולכן כששחט את רוב הטבעת הגדולה, אמרי רב ושמואל דודאי השחיטה כשרה.</w:t>
      </w:r>
    </w:p>
    <w:p w14:paraId="4B7ABD6C" w14:textId="77777777" w:rsidR="003D04E6" w:rsidRPr="004D2D32" w:rsidRDefault="003D04E6" w:rsidP="006D6D32">
      <w:pPr>
        <w:pStyle w:val="a3"/>
      </w:pPr>
      <w:bookmarkStart w:id="12475" w:name="_Toc531819776"/>
      <w:bookmarkStart w:id="12476" w:name="_Toc19390669"/>
      <w:bookmarkStart w:id="12477" w:name="_Toc19394166"/>
      <w:r>
        <w:rPr>
          <w:rFonts w:hint="cs"/>
          <w:rtl/>
        </w:rPr>
        <w:t>ביאור הרמב"ן והר"ן דלריבר"י רוב שאר טבעות כשר דהוא רוב עובי הקנה</w:t>
      </w:r>
      <w:bookmarkEnd w:id="12475"/>
      <w:bookmarkEnd w:id="12476"/>
      <w:bookmarkEnd w:id="12477"/>
    </w:p>
    <w:p w14:paraId="3EC1AE54" w14:textId="77777777" w:rsidR="003D04E6" w:rsidRDefault="003D04E6" w:rsidP="00223668">
      <w:pPr>
        <w:pStyle w:val="a0"/>
        <w:rPr>
          <w:rtl/>
        </w:rPr>
      </w:pPr>
      <w:bookmarkStart w:id="12478" w:name="_Ref531717315"/>
      <w:r>
        <w:rPr>
          <w:rFonts w:hint="cs"/>
          <w:rtl/>
        </w:rPr>
        <w:t>ובדעת ריבר</w:t>
      </w:r>
      <w:r>
        <w:rPr>
          <w:rtl/>
        </w:rPr>
        <w:t>"</w:t>
      </w:r>
      <w:r>
        <w:rPr>
          <w:rFonts w:hint="cs"/>
          <w:rtl/>
        </w:rPr>
        <w:t xml:space="preserve">י כתבו </w:t>
      </w:r>
      <w:r w:rsidRPr="00BE7EED">
        <w:rPr>
          <w:rStyle w:val="af9"/>
          <w:rFonts w:hint="cs"/>
          <w:rtl/>
        </w:rPr>
        <w:t>הרמב"ן במלחמות</w:t>
      </w:r>
      <w:r>
        <w:rPr>
          <w:rFonts w:hint="cs"/>
          <w:rtl/>
        </w:rPr>
        <w:t xml:space="preserve"> </w:t>
      </w:r>
      <w:r w:rsidRPr="00DB40BF">
        <w:rPr>
          <w:rStyle w:val="af9"/>
          <w:rtl/>
        </w:rPr>
        <w:t>והר"ן בחי'</w:t>
      </w:r>
      <w:r>
        <w:rPr>
          <w:rtl/>
        </w:rPr>
        <w:t xml:space="preserve"> </w:t>
      </w:r>
      <w:r>
        <w:rPr>
          <w:rFonts w:hint="cs"/>
          <w:rtl/>
        </w:rPr>
        <w:t xml:space="preserve">דס"ל דכיון ששאר הטבעות מקיפות את רוב הקנה שחיטתו כשרה, דהיינו שהעובי שלהם נחשב בכלל הקנה, ואף אם מהחלל של הקנה עצמו שבתוך הקרום לא שחט את הרוב, מ"מ סגי בשחיטת רוב הטבעת שהיא רוב העובי של הקנה, ועי' בדברי </w:t>
      </w:r>
      <w:r w:rsidRPr="00BA594D">
        <w:rPr>
          <w:rStyle w:val="af9"/>
          <w:rFonts w:hint="cs"/>
          <w:rtl/>
        </w:rPr>
        <w:t>המהר"ם</w:t>
      </w:r>
      <w:r>
        <w:rPr>
          <w:rFonts w:hint="cs"/>
          <w:rtl/>
        </w:rPr>
        <w:t xml:space="preserve"> </w:t>
      </w:r>
      <w:r w:rsidRPr="00BA594D">
        <w:rPr>
          <w:rStyle w:val="af7"/>
          <w:rFonts w:eastAsia="Guttman Hodes" w:hint="cs"/>
          <w:rtl/>
        </w:rPr>
        <w:t xml:space="preserve">(עי' אות </w:t>
      </w:r>
      <w:r w:rsidRPr="00BA594D">
        <w:rPr>
          <w:rStyle w:val="af7"/>
          <w:rFonts w:eastAsia="Guttman Hodes"/>
          <w:rtl/>
        </w:rPr>
        <w:fldChar w:fldCharType="begin"/>
      </w:r>
      <w:r w:rsidRPr="00BA594D">
        <w:rPr>
          <w:rStyle w:val="af7"/>
          <w:rFonts w:eastAsia="Guttman Hodes"/>
          <w:rtl/>
        </w:rPr>
        <w:instrText xml:space="preserve"> </w:instrText>
      </w:r>
      <w:r w:rsidRPr="00BA594D">
        <w:rPr>
          <w:rStyle w:val="af7"/>
          <w:rFonts w:eastAsia="Guttman Hodes" w:hint="cs"/>
        </w:rPr>
        <w:instrText>REF</w:instrText>
      </w:r>
      <w:r w:rsidRPr="00BA594D">
        <w:rPr>
          <w:rStyle w:val="af7"/>
          <w:rFonts w:eastAsia="Guttman Hodes" w:hint="cs"/>
          <w:rtl/>
        </w:rPr>
        <w:instrText xml:space="preserve"> _</w:instrText>
      </w:r>
      <w:r w:rsidRPr="00BA594D">
        <w:rPr>
          <w:rStyle w:val="af7"/>
          <w:rFonts w:eastAsia="Guttman Hodes" w:hint="cs"/>
        </w:rPr>
        <w:instrText>Ref531717342 \r \h</w:instrText>
      </w:r>
      <w:r w:rsidRPr="00BA594D">
        <w:rPr>
          <w:rStyle w:val="af7"/>
          <w:rFonts w:eastAsia="Guttman Hodes"/>
          <w:rtl/>
        </w:rPr>
        <w:instrText xml:space="preserve"> </w:instrText>
      </w:r>
      <w:r w:rsidRPr="00BA594D">
        <w:rPr>
          <w:rStyle w:val="af7"/>
          <w:rFonts w:eastAsia="Guttman Hodes"/>
          <w:rtl/>
        </w:rPr>
      </w:r>
      <w:r w:rsidRPr="00BA594D">
        <w:rPr>
          <w:rStyle w:val="af7"/>
          <w:rFonts w:eastAsia="Guttman Hodes"/>
          <w:rtl/>
        </w:rPr>
        <w:fldChar w:fldCharType="separate"/>
      </w:r>
      <w:r w:rsidR="00345400">
        <w:rPr>
          <w:rStyle w:val="af7"/>
          <w:rFonts w:eastAsia="Guttman Hodes"/>
          <w:cs/>
        </w:rPr>
        <w:t>‎</w:t>
      </w:r>
      <w:r w:rsidR="00345400">
        <w:rPr>
          <w:rStyle w:val="af7"/>
          <w:rFonts w:eastAsia="Guttman Hodes"/>
          <w:rtl/>
        </w:rPr>
        <w:t>עג)</w:t>
      </w:r>
      <w:r w:rsidRPr="00BA594D">
        <w:rPr>
          <w:rStyle w:val="af7"/>
          <w:rFonts w:eastAsia="Guttman Hodes"/>
          <w:rtl/>
        </w:rPr>
        <w:fldChar w:fldCharType="end"/>
      </w:r>
      <w:r>
        <w:rPr>
          <w:rFonts w:hint="cs"/>
          <w:rtl/>
        </w:rPr>
        <w:t>.</w:t>
      </w:r>
      <w:bookmarkEnd w:id="12478"/>
    </w:p>
    <w:p w14:paraId="27499B0B" w14:textId="77777777" w:rsidR="003D04E6" w:rsidRDefault="003D04E6" w:rsidP="006D6D32">
      <w:pPr>
        <w:pStyle w:val="a3"/>
        <w:rPr>
          <w:rtl/>
        </w:rPr>
      </w:pPr>
      <w:bookmarkStart w:id="12479" w:name="_Toc531819777"/>
      <w:bookmarkStart w:id="12480" w:name="_Toc19390670"/>
      <w:bookmarkStart w:id="12481" w:name="_Toc19394167"/>
      <w:r>
        <w:rPr>
          <w:rFonts w:hint="cs"/>
          <w:rtl/>
        </w:rPr>
        <w:t>דברי הרמב"ן והר"ן דבדין פסוקת הגרוגרת מוכח דרב הסתפק ברוב עובי או רוב חלל</w:t>
      </w:r>
      <w:bookmarkEnd w:id="12479"/>
      <w:bookmarkEnd w:id="12480"/>
      <w:bookmarkEnd w:id="12481"/>
    </w:p>
    <w:p w14:paraId="4DCDB642" w14:textId="77777777" w:rsidR="003D04E6" w:rsidRDefault="003D04E6" w:rsidP="00223668">
      <w:pPr>
        <w:pStyle w:val="a0"/>
        <w:rPr>
          <w:rtl/>
        </w:rPr>
      </w:pPr>
      <w:bookmarkStart w:id="12482" w:name="_Toc531622060"/>
      <w:bookmarkStart w:id="12483" w:name="_Toc531629716"/>
      <w:bookmarkStart w:id="12484" w:name="_Toc531638988"/>
      <w:r>
        <w:rPr>
          <w:rFonts w:hint="cs"/>
          <w:rtl/>
        </w:rPr>
        <w:t xml:space="preserve">והוסיפו </w:t>
      </w:r>
      <w:r w:rsidRPr="001E170D">
        <w:rPr>
          <w:rStyle w:val="af9"/>
          <w:rFonts w:hint="cs"/>
          <w:rtl/>
        </w:rPr>
        <w:t>הרמב"ן בחי' ובמלחמות והר"ן בחי'</w:t>
      </w:r>
      <w:r>
        <w:rPr>
          <w:rFonts w:hint="cs"/>
          <w:rtl/>
        </w:rPr>
        <w:t xml:space="preserve"> דמבואר בגמ' לקמן </w:t>
      </w:r>
      <w:r w:rsidRPr="00711D37">
        <w:rPr>
          <w:rStyle w:val="af7"/>
          <w:rFonts w:eastAsia="Guttman Hodes" w:hint="cs"/>
          <w:rtl/>
        </w:rPr>
        <w:t xml:space="preserve">(מד:) </w:t>
      </w:r>
      <w:r>
        <w:rPr>
          <w:rFonts w:hint="cs"/>
          <w:rtl/>
        </w:rPr>
        <w:t xml:space="preserve">דרב הסתפק אי רוב קנה הוא רוב עובי, או רוב חלל, דלענין פסוקת הגרגרת דאם נפסקה רובה היא טריפה, החמיר רב דבנפסקה ברוב עוביה היא טריפה, אף שלא נפסקה ברוב חללה, וא"ל רב כהנא ורב אסי לרב דלימד אותם דכל שלא נפסקה ברוב חללה היא כשרה, </w:t>
      </w:r>
      <w:r w:rsidRPr="00711D37">
        <w:rPr>
          <w:rStyle w:val="afb"/>
          <w:rFonts w:hint="cs"/>
          <w:rtl/>
        </w:rPr>
        <w:t>[והיינו כיון כדמספקא ליה בשחיטה אי רוב הקנה הוא רוב העובי, או רוב החלל]</w:t>
      </w:r>
      <w:r>
        <w:rPr>
          <w:rFonts w:hint="cs"/>
          <w:rtl/>
        </w:rPr>
        <w:t>.</w:t>
      </w:r>
    </w:p>
    <w:p w14:paraId="67D5E3D5" w14:textId="77777777" w:rsidR="003D04E6" w:rsidRPr="001E170D" w:rsidRDefault="003D04E6" w:rsidP="006D6D32">
      <w:pPr>
        <w:pStyle w:val="a3"/>
      </w:pPr>
      <w:bookmarkStart w:id="12485" w:name="_Toc531819778"/>
      <w:bookmarkStart w:id="12486" w:name="_Toc19390671"/>
      <w:bookmarkStart w:id="12487" w:name="_Toc19394168"/>
      <w:r>
        <w:rPr>
          <w:rFonts w:hint="cs"/>
          <w:rtl/>
        </w:rPr>
        <w:t>דברי הרמב"ן והר"ן דבגמ' בב"ק מוכח דרב הסתפק בשחיטת רוב העובי אי כשר או פסול</w:t>
      </w:r>
      <w:bookmarkEnd w:id="12485"/>
      <w:bookmarkEnd w:id="12486"/>
      <w:bookmarkEnd w:id="12487"/>
    </w:p>
    <w:p w14:paraId="139244C3" w14:textId="77777777" w:rsidR="003D04E6" w:rsidRDefault="003D04E6" w:rsidP="00223668">
      <w:pPr>
        <w:pStyle w:val="a0"/>
        <w:rPr>
          <w:rtl/>
        </w:rPr>
      </w:pPr>
      <w:r>
        <w:rPr>
          <w:rFonts w:hint="cs"/>
          <w:rtl/>
        </w:rPr>
        <w:t xml:space="preserve">וכתבו </w:t>
      </w:r>
      <w:r w:rsidRPr="001E170D">
        <w:rPr>
          <w:rStyle w:val="af9"/>
          <w:rFonts w:hint="cs"/>
          <w:rtl/>
        </w:rPr>
        <w:t>הרמב"ן בחי' ובמלחמות והר"ן בחי'</w:t>
      </w:r>
      <w:r>
        <w:rPr>
          <w:rFonts w:hint="cs"/>
          <w:rtl/>
        </w:rPr>
        <w:t xml:space="preserve"> דכן מבואר בגמ' בב"ק </w:t>
      </w:r>
      <w:r w:rsidRPr="00711D37">
        <w:rPr>
          <w:rStyle w:val="af7"/>
          <w:rFonts w:eastAsia="Guttman Hodes" w:hint="cs"/>
          <w:rtl/>
        </w:rPr>
        <w:t>(צט:)</w:t>
      </w:r>
      <w:r>
        <w:rPr>
          <w:rFonts w:hint="cs"/>
          <w:rtl/>
        </w:rPr>
        <w:t xml:space="preserve"> דהיה שוחט ששחט בהגרמה, פוסל רב את השחיטה ופטר את השוחט מלשלם, ואמרו רב כהנא ורב אסי, דרב הטריף כדעת רבנן, ופטר את השוחט מלשלם כדעת ריבר</w:t>
      </w:r>
      <w:r>
        <w:rPr>
          <w:rtl/>
        </w:rPr>
        <w:t>"</w:t>
      </w:r>
      <w:r>
        <w:rPr>
          <w:rFonts w:hint="cs"/>
          <w:rtl/>
        </w:rPr>
        <w:t xml:space="preserve">י דמכשיר, וביארו </w:t>
      </w:r>
      <w:r w:rsidRPr="007175C3">
        <w:rPr>
          <w:rStyle w:val="af9"/>
          <w:rFonts w:hint="cs"/>
          <w:rtl/>
        </w:rPr>
        <w:t>הרמב"ן</w:t>
      </w:r>
      <w:r>
        <w:rPr>
          <w:rFonts w:hint="cs"/>
          <w:rtl/>
        </w:rPr>
        <w:t xml:space="preserve"> דבגמ' בב"ק איירי בשחט בשאר הטבעות והגרים </w:t>
      </w:r>
      <w:r w:rsidRPr="00711D37">
        <w:rPr>
          <w:rStyle w:val="afb"/>
          <w:rFonts w:hint="cs"/>
          <w:rtl/>
        </w:rPr>
        <w:t>[אחר שחיטת רוב העובי]</w:t>
      </w:r>
      <w:r>
        <w:rPr>
          <w:rFonts w:hint="cs"/>
          <w:rtl/>
        </w:rPr>
        <w:t xml:space="preserve">, דמספקא ליה לרב אי סגי בשחיטת רוב שאר הטבעות, או לא. והוסיפו </w:t>
      </w:r>
      <w:r w:rsidRPr="001E170D">
        <w:rPr>
          <w:rStyle w:val="af9"/>
          <w:rFonts w:hint="cs"/>
          <w:rtl/>
        </w:rPr>
        <w:t>הרמב"ן במלחמות והר"ן בחי'</w:t>
      </w:r>
      <w:r>
        <w:rPr>
          <w:rFonts w:hint="cs"/>
          <w:rtl/>
        </w:rPr>
        <w:t xml:space="preserve"> דא"א לומר דבגמ' בב"ק איירי בהגרמה בטבעת הגדולה, דהא ס"ל לרב ושמואל כריבר</w:t>
      </w:r>
      <w:r>
        <w:rPr>
          <w:rtl/>
        </w:rPr>
        <w:t>"</w:t>
      </w:r>
      <w:r>
        <w:rPr>
          <w:rFonts w:hint="cs"/>
          <w:rtl/>
        </w:rPr>
        <w:t>י, דמכשיר בהגרמה אחר שחיטת רוב טבעת הגדולה.</w:t>
      </w:r>
    </w:p>
    <w:p w14:paraId="6D64B345" w14:textId="77777777" w:rsidR="003D04E6" w:rsidRPr="00756DD8" w:rsidRDefault="003D04E6" w:rsidP="006D6D32">
      <w:pPr>
        <w:pStyle w:val="a3"/>
        <w:rPr>
          <w:rtl/>
        </w:rPr>
      </w:pPr>
      <w:bookmarkStart w:id="12488" w:name="_Toc531819779"/>
      <w:bookmarkStart w:id="12489" w:name="_Toc19390672"/>
      <w:bookmarkStart w:id="12490" w:name="_Toc19394169"/>
      <w:r>
        <w:rPr>
          <w:rFonts w:hint="cs"/>
          <w:rtl/>
        </w:rPr>
        <w:t>דברי הרמב"ן והר"ן דקיי"ל דרוב קנה הוא רוב חלל כרבב"ח לקמן וכדהשמיט הרי"ף את רב ושמואל</w:t>
      </w:r>
      <w:bookmarkEnd w:id="12488"/>
      <w:bookmarkEnd w:id="12489"/>
      <w:bookmarkEnd w:id="12490"/>
    </w:p>
    <w:p w14:paraId="4B3E5461" w14:textId="77777777" w:rsidR="003D04E6" w:rsidRDefault="003D04E6" w:rsidP="00223668">
      <w:pPr>
        <w:pStyle w:val="a0"/>
        <w:rPr>
          <w:rtl/>
        </w:rPr>
      </w:pPr>
      <w:r>
        <w:rPr>
          <w:rFonts w:hint="cs"/>
          <w:rtl/>
        </w:rPr>
        <w:t xml:space="preserve">וכתבו </w:t>
      </w:r>
      <w:r w:rsidRPr="001E170D">
        <w:rPr>
          <w:rStyle w:val="af9"/>
          <w:rFonts w:hint="cs"/>
          <w:rtl/>
        </w:rPr>
        <w:t>הרמב"ן בחי' ובמלחמות והר"ן בחי'</w:t>
      </w:r>
      <w:r>
        <w:rPr>
          <w:rFonts w:hint="cs"/>
          <w:rtl/>
        </w:rPr>
        <w:t xml:space="preserve"> דלהלכה לא קיי"ל כריבר</w:t>
      </w:r>
      <w:r>
        <w:rPr>
          <w:rtl/>
        </w:rPr>
        <w:t>"</w:t>
      </w:r>
      <w:r>
        <w:rPr>
          <w:rFonts w:hint="cs"/>
          <w:rtl/>
        </w:rPr>
        <w:t xml:space="preserve">י בתוספתא דמכשיר בשחט את רוב העובי של הקנה, אלא קיי"ל כדעת רבה בר בר חנה בגמ' לקמן </w:t>
      </w:r>
      <w:r w:rsidRPr="00711D37">
        <w:rPr>
          <w:rStyle w:val="af7"/>
          <w:rFonts w:eastAsia="Guttman Hodes" w:hint="cs"/>
          <w:rtl/>
        </w:rPr>
        <w:t>(מד:)</w:t>
      </w:r>
      <w:r>
        <w:rPr>
          <w:rFonts w:hint="cs"/>
          <w:rtl/>
        </w:rPr>
        <w:t xml:space="preserve"> דהכשיר בפסוקת הגרגרת כל שלא נפסקה ברוב חללה, </w:t>
      </w:r>
      <w:r w:rsidRPr="00711D37">
        <w:rPr>
          <w:rStyle w:val="afb"/>
          <w:rFonts w:hint="cs"/>
          <w:rtl/>
        </w:rPr>
        <w:t>[דהיינו דלדעת רבה בר בר חנה אף בשחיטה צריך לשחוט את רוב החלל, ולא סגי ברוב העובי]</w:t>
      </w:r>
      <w:r>
        <w:rPr>
          <w:rFonts w:hint="cs"/>
          <w:rtl/>
        </w:rPr>
        <w:t xml:space="preserve">. ולכן אחר שחיטת רוב החלל מותר לשוחט להגרים, וכתבו </w:t>
      </w:r>
      <w:r w:rsidRPr="001E170D">
        <w:rPr>
          <w:rStyle w:val="af9"/>
          <w:rFonts w:hint="cs"/>
          <w:rtl/>
        </w:rPr>
        <w:t>הרמב"ן והר"ן</w:t>
      </w:r>
      <w:r>
        <w:rPr>
          <w:rFonts w:hint="cs"/>
          <w:rtl/>
        </w:rPr>
        <w:t xml:space="preserve"> דלכן השמיט </w:t>
      </w:r>
      <w:r w:rsidRPr="001E170D">
        <w:rPr>
          <w:rStyle w:val="af9"/>
          <w:rFonts w:hint="cs"/>
          <w:rtl/>
        </w:rPr>
        <w:t>הרי"ף</w:t>
      </w:r>
      <w:r>
        <w:rPr>
          <w:rFonts w:hint="cs"/>
          <w:rtl/>
        </w:rPr>
        <w:t xml:space="preserve"> את דברי רב ושמואל, דהא תנן לקמן </w:t>
      </w:r>
      <w:r w:rsidRPr="00711D37">
        <w:rPr>
          <w:rStyle w:val="af7"/>
          <w:rFonts w:eastAsia="Guttman Hodes" w:hint="cs"/>
          <w:rtl/>
        </w:rPr>
        <w:t>(כז.)</w:t>
      </w:r>
      <w:r>
        <w:rPr>
          <w:rFonts w:hint="cs"/>
          <w:rtl/>
        </w:rPr>
        <w:t xml:space="preserve"> דרובו של אחד כמוהו.</w:t>
      </w:r>
    </w:p>
    <w:p w14:paraId="3137DFE3" w14:textId="77777777" w:rsidR="003D04E6" w:rsidRDefault="003D04E6" w:rsidP="006D6D32">
      <w:pPr>
        <w:pStyle w:val="a3"/>
        <w:rPr>
          <w:rtl/>
        </w:rPr>
      </w:pPr>
      <w:bookmarkStart w:id="12491" w:name="_Toc531819780"/>
      <w:bookmarkStart w:id="12492" w:name="_Toc19390673"/>
      <w:bookmarkStart w:id="12493" w:name="_Toc19394170"/>
      <w:r>
        <w:rPr>
          <w:rFonts w:hint="cs"/>
          <w:rtl/>
        </w:rPr>
        <w:t>דברי הש"ך בשם המהר"י ווי"ל דהקרום שבתוך הטבעות נקרא קנה והטבעות נקראים גרוגרת</w:t>
      </w:r>
      <w:bookmarkEnd w:id="12491"/>
      <w:bookmarkEnd w:id="12492"/>
      <w:bookmarkEnd w:id="12493"/>
    </w:p>
    <w:p w14:paraId="4794C85A" w14:textId="77777777" w:rsidR="003D04E6" w:rsidRDefault="003D04E6" w:rsidP="00223668">
      <w:pPr>
        <w:pStyle w:val="a0"/>
        <w:rPr>
          <w:rtl/>
        </w:rPr>
      </w:pPr>
      <w:r>
        <w:rPr>
          <w:rFonts w:hint="cs"/>
          <w:rtl/>
        </w:rPr>
        <w:t xml:space="preserve">ויעוי' בדברי </w:t>
      </w:r>
      <w:r w:rsidRPr="00787D8E">
        <w:rPr>
          <w:rStyle w:val="af9"/>
          <w:rFonts w:hint="cs"/>
          <w:rtl/>
        </w:rPr>
        <w:t>הש"ך</w:t>
      </w:r>
      <w:r>
        <w:rPr>
          <w:rFonts w:hint="cs"/>
          <w:rtl/>
        </w:rPr>
        <w:t xml:space="preserve"> </w:t>
      </w:r>
      <w:r w:rsidRPr="00787D8E">
        <w:rPr>
          <w:rStyle w:val="af7"/>
          <w:rFonts w:eastAsia="Guttman Hodes" w:hint="cs"/>
          <w:rtl/>
        </w:rPr>
        <w:t>(כ"א א')</w:t>
      </w:r>
      <w:r>
        <w:rPr>
          <w:rFonts w:hint="cs"/>
          <w:rtl/>
        </w:rPr>
        <w:t xml:space="preserve"> דהביא בשם </w:t>
      </w:r>
      <w:r w:rsidRPr="00787D8E">
        <w:rPr>
          <w:rStyle w:val="af9"/>
          <w:rFonts w:hint="cs"/>
          <w:rtl/>
        </w:rPr>
        <w:t>המהר"י ווי</w:t>
      </w:r>
      <w:r>
        <w:rPr>
          <w:rStyle w:val="af9"/>
          <w:rFonts w:hint="cs"/>
          <w:rtl/>
        </w:rPr>
        <w:t>י</w:t>
      </w:r>
      <w:r w:rsidRPr="00787D8E">
        <w:rPr>
          <w:rStyle w:val="af9"/>
          <w:rFonts w:hint="cs"/>
          <w:rtl/>
        </w:rPr>
        <w:t>ל</w:t>
      </w:r>
      <w:r w:rsidRPr="00787D8E">
        <w:rPr>
          <w:rStyle w:val="af7"/>
          <w:rFonts w:eastAsia="Guttman Hodes" w:hint="cs"/>
          <w:rtl/>
        </w:rPr>
        <w:t xml:space="preserve"> (</w:t>
      </w:r>
      <w:r>
        <w:rPr>
          <w:rStyle w:val="af7"/>
          <w:rFonts w:eastAsia="Guttman Hodes" w:hint="cs"/>
          <w:rtl/>
        </w:rPr>
        <w:t xml:space="preserve">ריש הל' </w:t>
      </w:r>
      <w:r w:rsidRPr="00787D8E">
        <w:rPr>
          <w:rStyle w:val="af7"/>
          <w:rFonts w:eastAsia="Guttman Hodes" w:hint="cs"/>
          <w:rtl/>
        </w:rPr>
        <w:t>שחיטה)</w:t>
      </w:r>
      <w:r>
        <w:rPr>
          <w:rFonts w:hint="cs"/>
          <w:rtl/>
        </w:rPr>
        <w:t xml:space="preserve"> דביאר דקנה הוא הקרום שבתוך הגרגרת, שמחבר את הטבעות יחד, אבל הטבעות עצמן נקראות גרגרת, והא דמהני שחיטת רוב הסימן, הוא דוקא ברוב הקנה מתחילת הקרום ולמטה </w:t>
      </w:r>
      <w:r w:rsidRPr="0044100F">
        <w:rPr>
          <w:rStyle w:val="afb"/>
          <w:rFonts w:hint="cs"/>
          <w:rtl/>
        </w:rPr>
        <w:t>[היינו כלפי פנים]</w:t>
      </w:r>
      <w:r>
        <w:rPr>
          <w:rFonts w:hint="cs"/>
          <w:rtl/>
        </w:rPr>
        <w:t>, אבל רוב הגרגרת דהיינו עובי הטבעות, לא חשיב שחיטת רוב הסימן</w:t>
      </w:r>
      <w:r>
        <w:rPr>
          <w:rStyle w:val="af1"/>
          <w:rtl/>
        </w:rPr>
        <w:footnoteReference w:id="86"/>
      </w:r>
      <w:r>
        <w:rPr>
          <w:rFonts w:hint="cs"/>
          <w:rtl/>
        </w:rPr>
        <w:t>.</w:t>
      </w:r>
    </w:p>
    <w:p w14:paraId="31D70A13" w14:textId="77777777" w:rsidR="003D04E6" w:rsidRPr="00D70929" w:rsidRDefault="003D04E6" w:rsidP="00BF39B2">
      <w:pPr>
        <w:pStyle w:val="1"/>
        <w:rPr>
          <w:rtl/>
        </w:rPr>
      </w:pPr>
      <w:bookmarkStart w:id="12494" w:name="_Toc531776403"/>
      <w:bookmarkStart w:id="12495" w:name="_Toc531817665"/>
      <w:bookmarkStart w:id="12496" w:name="_Toc531819781"/>
      <w:bookmarkStart w:id="12497" w:name="_Toc19390674"/>
      <w:bookmarkStart w:id="12498" w:name="_Toc19394171"/>
      <w:r>
        <w:rPr>
          <w:rFonts w:hint="cs"/>
          <w:rtl/>
        </w:rPr>
        <w:t>ביאור הריטב"א</w:t>
      </w:r>
      <w:bookmarkEnd w:id="12494"/>
      <w:bookmarkEnd w:id="12495"/>
      <w:r>
        <w:rPr>
          <w:rFonts w:hint="cs"/>
          <w:rtl/>
        </w:rPr>
        <w:t xml:space="preserve"> בדברי התוספתא</w:t>
      </w:r>
      <w:bookmarkEnd w:id="12496"/>
      <w:bookmarkEnd w:id="12497"/>
      <w:bookmarkEnd w:id="12498"/>
    </w:p>
    <w:p w14:paraId="21AA4B87" w14:textId="77777777" w:rsidR="003D04E6" w:rsidRDefault="003D04E6" w:rsidP="006D6D32">
      <w:pPr>
        <w:pStyle w:val="a3"/>
        <w:rPr>
          <w:rtl/>
        </w:rPr>
      </w:pPr>
      <w:bookmarkStart w:id="12499" w:name="_Toc531819782"/>
      <w:bookmarkStart w:id="12500" w:name="_Toc19390675"/>
      <w:bookmarkStart w:id="12501" w:name="_Toc19394172"/>
      <w:bookmarkEnd w:id="12482"/>
      <w:bookmarkEnd w:id="12483"/>
      <w:bookmarkEnd w:id="12484"/>
      <w:r>
        <w:rPr>
          <w:rFonts w:hint="cs"/>
          <w:rtl/>
        </w:rPr>
        <w:t>דברי הריטב"א דכוונת התוספתא דאם שחט רוב חלל בשאר טבעות כשר כרוב טבעת הגדולה</w:t>
      </w:r>
      <w:bookmarkEnd w:id="12499"/>
      <w:bookmarkEnd w:id="12500"/>
      <w:bookmarkEnd w:id="12501"/>
    </w:p>
    <w:p w14:paraId="1D203E9B" w14:textId="77777777" w:rsidR="003D04E6" w:rsidRDefault="003D04E6" w:rsidP="00223668">
      <w:pPr>
        <w:pStyle w:val="a0"/>
        <w:rPr>
          <w:rtl/>
        </w:rPr>
      </w:pPr>
      <w:r w:rsidRPr="00F03F19">
        <w:rPr>
          <w:rStyle w:val="af9"/>
          <w:rFonts w:hint="cs"/>
          <w:rtl/>
        </w:rPr>
        <w:t>והריטב"א</w:t>
      </w:r>
      <w:r w:rsidRPr="00F03F19">
        <w:rPr>
          <w:rStyle w:val="af7"/>
          <w:rFonts w:eastAsia="Guttman Hodes" w:hint="cs"/>
          <w:rtl/>
        </w:rPr>
        <w:t xml:space="preserve"> (ד"ה רב) </w:t>
      </w:r>
      <w:r>
        <w:rPr>
          <w:rFonts w:hint="cs"/>
          <w:rtl/>
        </w:rPr>
        <w:t>ביאר דאמרי רב ושמואל דריבר</w:t>
      </w:r>
      <w:r>
        <w:rPr>
          <w:rtl/>
        </w:rPr>
        <w:t>"</w:t>
      </w:r>
      <w:r>
        <w:rPr>
          <w:rFonts w:hint="cs"/>
          <w:rtl/>
        </w:rPr>
        <w:t xml:space="preserve">י הכשיר ברוב הטבעת רק בטבעת הגדולה, כיון שרוב הטבעת הוא רוב הקנה, אבל בשאר הטבעות שאינן מקיפות את כל הקנה, לא מהני שחיטת רוב הטבעת, עד שישחוט את רוב החלל של הקנה, והביאור בתוספתא הוא דהשוחט בשאר הטבעות שחיטתו כשרה אם שחט את רוב החלל, כמו בשחיטת הטבעת הגדולה, והוא הביאור במתני', והוסיף </w:t>
      </w:r>
      <w:r w:rsidRPr="00F03F19">
        <w:rPr>
          <w:rStyle w:val="af9"/>
          <w:rFonts w:hint="cs"/>
          <w:rtl/>
        </w:rPr>
        <w:t>הריטב"א</w:t>
      </w:r>
      <w:r>
        <w:rPr>
          <w:rFonts w:hint="cs"/>
          <w:rtl/>
        </w:rPr>
        <w:t xml:space="preserve"> דדברי התוספתא הם פשיטא וקמ"ל דלא נימא דרק הטבעת היא הקנה, ושאר הקנה הוא בשר בעלמא שמחבר את הטבעות, ורוב הטבעת הוא רוב הקנה, אלא דהבשר הוא בכלל הקנה, ולא מהני שחיטה בפחות מרוב חלל הקנה.</w:t>
      </w:r>
    </w:p>
    <w:p w14:paraId="790E7B80" w14:textId="77777777" w:rsidR="003D04E6" w:rsidRDefault="003D04E6" w:rsidP="00BF39B2">
      <w:pPr>
        <w:pStyle w:val="1"/>
        <w:rPr>
          <w:rtl/>
        </w:rPr>
      </w:pPr>
      <w:bookmarkStart w:id="12502" w:name="_Toc19390676"/>
      <w:bookmarkStart w:id="12503" w:name="_Toc19394173"/>
      <w:r>
        <w:rPr>
          <w:rFonts w:hint="cs"/>
          <w:rtl/>
        </w:rPr>
        <w:t>בביאור פלוגתת רחב"א ורבנן</w:t>
      </w:r>
      <w:bookmarkEnd w:id="12502"/>
      <w:bookmarkEnd w:id="12503"/>
    </w:p>
    <w:p w14:paraId="3BA4CA5F" w14:textId="77777777" w:rsidR="003D04E6" w:rsidRDefault="003D04E6" w:rsidP="006D6D32">
      <w:pPr>
        <w:pStyle w:val="a3"/>
        <w:rPr>
          <w:rtl/>
        </w:rPr>
      </w:pPr>
      <w:bookmarkStart w:id="12504" w:name="_Toc19390677"/>
      <w:bookmarkStart w:id="12505" w:name="_Toc19394174"/>
      <w:r>
        <w:rPr>
          <w:rFonts w:hint="cs"/>
          <w:rtl/>
        </w:rPr>
        <w:t>דברי הרמב"ן דרחב"א פליג על פסול הגרמה וס"ל דכל הצואר כשר לשחיטה</w:t>
      </w:r>
      <w:bookmarkEnd w:id="12504"/>
      <w:bookmarkEnd w:id="12505"/>
    </w:p>
    <w:p w14:paraId="3BF47581" w14:textId="77777777" w:rsidR="003D04E6" w:rsidRDefault="003D04E6" w:rsidP="00223668">
      <w:pPr>
        <w:pStyle w:val="a0"/>
        <w:rPr>
          <w:rtl/>
        </w:rPr>
      </w:pPr>
      <w:r>
        <w:rPr>
          <w:rFonts w:hint="cs"/>
          <w:rtl/>
        </w:rPr>
        <w:t>ביאר</w:t>
      </w:r>
      <w:r w:rsidRPr="009D48B7">
        <w:rPr>
          <w:rStyle w:val="af9"/>
          <w:rFonts w:hint="cs"/>
          <w:rtl/>
        </w:rPr>
        <w:t xml:space="preserve"> הרמב"ן במלחמות לקמן </w:t>
      </w:r>
      <w:r w:rsidRPr="009D48B7">
        <w:rPr>
          <w:rStyle w:val="af7"/>
          <w:rFonts w:eastAsia="Guttman Hodes" w:hint="cs"/>
          <w:rtl/>
        </w:rPr>
        <w:t>(מו: מדפי הרי"ף)</w:t>
      </w:r>
      <w:r>
        <w:rPr>
          <w:rFonts w:hint="cs"/>
          <w:rtl/>
        </w:rPr>
        <w:t xml:space="preserve"> דרחב"א ס"ל דכל הצואר כולו כשר לשחיטה, ולמעלה מהשיפוי כובע אינו נקרא צואר אלא לחי, ורבנן ס"ל דאין כל הצואר כשר לשחיטה, ולכן אף שלמעלה מהטבעת הגדולה הוא עדיין נקרא צואר, מ"מ גמירי רבנן דאינו מקום שחיטה.</w:t>
      </w:r>
    </w:p>
    <w:p w14:paraId="2C4CAB48" w14:textId="77777777" w:rsidR="004B68DB" w:rsidRPr="004B68DB" w:rsidRDefault="004B68DB" w:rsidP="004B68DB">
      <w:pPr>
        <w:pStyle w:val="a3"/>
        <w:rPr>
          <w:rtl/>
        </w:rPr>
      </w:pPr>
    </w:p>
    <w:p w14:paraId="1453C5B2" w14:textId="77777777" w:rsidR="003D04E6" w:rsidRPr="004F66A7" w:rsidRDefault="003D04E6" w:rsidP="006D6D32">
      <w:pPr>
        <w:pStyle w:val="a3"/>
      </w:pPr>
      <w:bookmarkStart w:id="12506" w:name="_Toc19390678"/>
      <w:bookmarkStart w:id="12507" w:name="_Toc19394175"/>
      <w:r>
        <w:rPr>
          <w:rFonts w:hint="cs"/>
          <w:rtl/>
        </w:rPr>
        <w:t>דעת רש"י דלרחב"א פסול הגרמה הוא למעלה מהשיפוי כובע</w:t>
      </w:r>
      <w:bookmarkEnd w:id="12506"/>
      <w:bookmarkEnd w:id="12507"/>
    </w:p>
    <w:p w14:paraId="6CD3FDA7" w14:textId="77777777" w:rsidR="003D04E6" w:rsidRDefault="003D04E6" w:rsidP="00223668">
      <w:pPr>
        <w:pStyle w:val="a0"/>
        <w:rPr>
          <w:rtl/>
        </w:rPr>
      </w:pPr>
      <w:r>
        <w:rPr>
          <w:rFonts w:hint="cs"/>
          <w:rtl/>
        </w:rPr>
        <w:t xml:space="preserve">אבל </w:t>
      </w:r>
      <w:r w:rsidRPr="004F66A7">
        <w:rPr>
          <w:rStyle w:val="af9"/>
          <w:rFonts w:hint="cs"/>
          <w:rtl/>
        </w:rPr>
        <w:t>רש"י</w:t>
      </w:r>
      <w:r>
        <w:rPr>
          <w:rFonts w:hint="cs"/>
          <w:rtl/>
        </w:rPr>
        <w:t xml:space="preserve"> </w:t>
      </w:r>
      <w:r w:rsidRPr="004F66A7">
        <w:rPr>
          <w:rStyle w:val="af7"/>
          <w:rFonts w:eastAsia="Guttman Hodes" w:hint="cs"/>
          <w:rtl/>
        </w:rPr>
        <w:t>(יח: ד"ה על מוגרמת)</w:t>
      </w:r>
      <w:r>
        <w:rPr>
          <w:rFonts w:hint="cs"/>
          <w:rtl/>
        </w:rPr>
        <w:t xml:space="preserve"> ביאר דדעת רחב"א דהפסול שנאמר בהגרמה, הוא למעלה מהשיפוי כובע, ומשמע דס"ל דאף לרחב"א אין כל הצואר כשר לשחיטה, ופליג על רבנן עד היכן המקום שכשר לשחיטה.</w:t>
      </w:r>
    </w:p>
    <w:p w14:paraId="1BB6CE28" w14:textId="77777777" w:rsidR="003D04E6" w:rsidRPr="0029184B" w:rsidRDefault="003D04E6" w:rsidP="00223668">
      <w:pPr>
        <w:pStyle w:val="a0"/>
        <w:numPr>
          <w:ilvl w:val="0"/>
          <w:numId w:val="0"/>
        </w:numPr>
        <w:rPr>
          <w:rtl/>
        </w:rPr>
        <w:sectPr w:rsidR="003D04E6" w:rsidRPr="0029184B" w:rsidSect="005843E6">
          <w:type w:val="continuous"/>
          <w:pgSz w:w="11906" w:h="16838"/>
          <w:pgMar w:top="720" w:right="720" w:bottom="720" w:left="720" w:header="283" w:footer="283" w:gutter="0"/>
          <w:cols w:num="2" w:space="567"/>
          <w:titlePg/>
          <w:bidi/>
          <w:rtlGutter/>
          <w:docGrid w:linePitch="299"/>
        </w:sectPr>
      </w:pPr>
    </w:p>
    <w:p w14:paraId="4F0F89F4" w14:textId="77777777" w:rsidR="00A26A20" w:rsidRDefault="00A26A20" w:rsidP="003D04E6">
      <w:pPr>
        <w:keepNext/>
        <w:tabs>
          <w:tab w:val="left" w:pos="1163"/>
        </w:tabs>
        <w:spacing w:after="120" w:line="240" w:lineRule="auto"/>
        <w:ind w:left="0"/>
        <w:rPr>
          <w:rFonts w:ascii="Guttman Hodes" w:eastAsia="Guttman Hodes" w:hAnsi="Guttman Hodes" w:cs="Guttman Hodes"/>
          <w:noProof/>
          <w:sz w:val="18"/>
          <w:szCs w:val="18"/>
        </w:rPr>
        <w:sectPr w:rsidR="00A26A20" w:rsidSect="007452E4">
          <w:type w:val="continuous"/>
          <w:pgSz w:w="11906" w:h="16838"/>
          <w:pgMar w:top="720" w:right="720" w:bottom="720" w:left="720" w:header="283" w:footer="283" w:gutter="0"/>
          <w:cols w:space="567"/>
          <w:bidi/>
          <w:rtlGutter/>
          <w:docGrid w:linePitch="299"/>
        </w:sectPr>
      </w:pPr>
    </w:p>
    <w:p w14:paraId="222C430A" w14:textId="77777777" w:rsidR="003D04E6" w:rsidRPr="0061208F" w:rsidRDefault="004B65FC" w:rsidP="003D04E6">
      <w:pPr>
        <w:keepNext/>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3A28999B">
          <v:shape id="_x0000_i1038" type="#_x0000_t75" style="width:404.55pt;height:6.8pt" o:hrpct="0" o:hralign="center" o:hr="t">
            <v:imagedata r:id="rId21" o:title="BD14845_"/>
          </v:shape>
        </w:pict>
      </w:r>
      <w:r w:rsidR="003D04E6" w:rsidRPr="0061208F">
        <w:rPr>
          <w:rFonts w:ascii="Guttman Hodes" w:eastAsia="Guttman Hodes" w:hAnsi="Guttman Hodes" w:cs="Guttman Hodes" w:hint="cs"/>
          <w:noProof/>
          <w:sz w:val="18"/>
          <w:szCs w:val="18"/>
          <w:rtl/>
        </w:rPr>
        <w:t xml:space="preserve"> </w:t>
      </w:r>
    </w:p>
    <w:p w14:paraId="1714919B" w14:textId="77777777" w:rsidR="003D04E6" w:rsidRDefault="003D04E6" w:rsidP="006D6D32">
      <w:pPr>
        <w:pStyle w:val="afe"/>
        <w:rPr>
          <w:rtl/>
        </w:rPr>
      </w:pPr>
      <w:bookmarkStart w:id="12508" w:name="_Toc531629720"/>
      <w:bookmarkStart w:id="12509" w:name="_Toc531638992"/>
      <w:bookmarkStart w:id="12510" w:name="_Toc531776405"/>
      <w:bookmarkStart w:id="12511" w:name="_Toc531817667"/>
      <w:bookmarkStart w:id="12512" w:name="_Toc531819783"/>
      <w:bookmarkStart w:id="12513" w:name="_Toc19435805"/>
      <w:bookmarkStart w:id="12514" w:name="_Toc20081056"/>
      <w:r>
        <w:rPr>
          <w:rFonts w:hint="cs"/>
          <w:rtl/>
        </w:rPr>
        <w:t>ביאורי ראשי הישיבות על הסוגיא</w:t>
      </w:r>
      <w:bookmarkEnd w:id="12508"/>
      <w:bookmarkEnd w:id="12509"/>
      <w:bookmarkEnd w:id="12510"/>
      <w:bookmarkEnd w:id="12511"/>
      <w:bookmarkEnd w:id="12512"/>
      <w:bookmarkEnd w:id="12513"/>
      <w:bookmarkEnd w:id="12514"/>
    </w:p>
    <w:p w14:paraId="0B2298EA" w14:textId="77777777" w:rsidR="003D04E6" w:rsidRDefault="003D04E6" w:rsidP="006D6D32">
      <w:pPr>
        <w:pStyle w:val="afe"/>
        <w:rPr>
          <w:rtl/>
        </w:rPr>
        <w:sectPr w:rsidR="003D04E6" w:rsidSect="004B68DB">
          <w:pgSz w:w="11906" w:h="16838"/>
          <w:pgMar w:top="720" w:right="720" w:bottom="720" w:left="720" w:header="283" w:footer="283" w:gutter="0"/>
          <w:cols w:space="567"/>
          <w:bidi/>
          <w:rtlGutter/>
          <w:docGrid w:linePitch="299"/>
        </w:sectPr>
      </w:pPr>
    </w:p>
    <w:p w14:paraId="495105ED" w14:textId="77777777" w:rsidR="003D04E6" w:rsidRDefault="003D04E6" w:rsidP="00BF39B2">
      <w:pPr>
        <w:pStyle w:val="1"/>
        <w:rPr>
          <w:rtl/>
        </w:rPr>
      </w:pPr>
      <w:bookmarkStart w:id="12515" w:name="_Toc531629721"/>
      <w:bookmarkStart w:id="12516" w:name="_Toc531638993"/>
      <w:bookmarkStart w:id="12517" w:name="_Toc531776406"/>
      <w:bookmarkStart w:id="12518" w:name="_Toc531817668"/>
      <w:bookmarkStart w:id="12519" w:name="_Toc531819784"/>
      <w:bookmarkStart w:id="12520" w:name="_Toc19390679"/>
      <w:bookmarkStart w:id="12521" w:name="_Toc19394176"/>
      <w:r>
        <w:rPr>
          <w:rFonts w:hint="cs"/>
          <w:rtl/>
        </w:rPr>
        <w:t>בדין רובו ככולו</w:t>
      </w:r>
      <w:bookmarkEnd w:id="12515"/>
      <w:bookmarkEnd w:id="12516"/>
      <w:bookmarkEnd w:id="12517"/>
      <w:bookmarkEnd w:id="12518"/>
      <w:bookmarkEnd w:id="12519"/>
      <w:bookmarkEnd w:id="12520"/>
      <w:bookmarkEnd w:id="12521"/>
    </w:p>
    <w:p w14:paraId="445D226C" w14:textId="77777777" w:rsidR="003D04E6" w:rsidRDefault="003D04E6" w:rsidP="006D6D32">
      <w:pPr>
        <w:pStyle w:val="a3"/>
        <w:rPr>
          <w:rtl/>
        </w:rPr>
      </w:pPr>
      <w:bookmarkStart w:id="12522" w:name="_Toc531819785"/>
      <w:bookmarkStart w:id="12523" w:name="_Toc19390680"/>
      <w:bookmarkStart w:id="12524" w:name="_Toc19394177"/>
      <w:r>
        <w:rPr>
          <w:rFonts w:hint="cs"/>
          <w:rtl/>
        </w:rPr>
        <w:t>קושית הגרא"ו על הי"מ ברש"י דחוץ לטבעת הוא עדיין מקום שחיטה</w:t>
      </w:r>
      <w:bookmarkEnd w:id="12522"/>
      <w:bookmarkEnd w:id="12523"/>
      <w:bookmarkEnd w:id="12524"/>
    </w:p>
    <w:p w14:paraId="43FE7475" w14:textId="77777777" w:rsidR="003D04E6" w:rsidRDefault="003D04E6" w:rsidP="00223668">
      <w:pPr>
        <w:pStyle w:val="a0"/>
      </w:pPr>
      <w:bookmarkStart w:id="12525" w:name="_Ref531819410"/>
      <w:r>
        <w:rPr>
          <w:rFonts w:hint="cs"/>
          <w:rtl/>
        </w:rPr>
        <w:t xml:space="preserve">בדברי </w:t>
      </w:r>
      <w:r w:rsidRPr="007452E4">
        <w:rPr>
          <w:rStyle w:val="af9"/>
          <w:rFonts w:hint="cs"/>
          <w:rtl/>
        </w:rPr>
        <w:t>הי"מ ברש"י</w:t>
      </w:r>
      <w:r>
        <w:rPr>
          <w:rFonts w:hint="cs"/>
          <w:rtl/>
        </w:rPr>
        <w:t xml:space="preserve"> </w:t>
      </w:r>
      <w:r w:rsidRPr="00F11B3A">
        <w:rPr>
          <w:rStyle w:val="af7"/>
          <w:rFonts w:eastAsia="Guttman Hodes" w:hint="cs"/>
          <w:rtl/>
        </w:rPr>
        <w:t xml:space="preserve">(עי' אות </w:t>
      </w:r>
      <w:r w:rsidRPr="00F11B3A">
        <w:rPr>
          <w:rStyle w:val="af7"/>
          <w:rFonts w:eastAsia="Guttman Hodes"/>
          <w:rtl/>
        </w:rPr>
        <w:fldChar w:fldCharType="begin"/>
      </w:r>
      <w:r w:rsidRPr="00F11B3A">
        <w:rPr>
          <w:rStyle w:val="af7"/>
          <w:rFonts w:eastAsia="Guttman Hodes"/>
          <w:rtl/>
        </w:rPr>
        <w:instrText xml:space="preserve"> </w:instrText>
      </w:r>
      <w:r w:rsidRPr="00F11B3A">
        <w:rPr>
          <w:rStyle w:val="af7"/>
          <w:rFonts w:eastAsia="Guttman Hodes" w:hint="cs"/>
        </w:rPr>
        <w:instrText>REF</w:instrText>
      </w:r>
      <w:r w:rsidRPr="00F11B3A">
        <w:rPr>
          <w:rStyle w:val="af7"/>
          <w:rFonts w:eastAsia="Guttman Hodes" w:hint="cs"/>
          <w:rtl/>
        </w:rPr>
        <w:instrText xml:space="preserve"> _</w:instrText>
      </w:r>
      <w:r w:rsidRPr="00F11B3A">
        <w:rPr>
          <w:rStyle w:val="af7"/>
          <w:rFonts w:eastAsia="Guttman Hodes" w:hint="cs"/>
        </w:rPr>
        <w:instrText>Ref531549260 \r \h</w:instrText>
      </w:r>
      <w:r w:rsidRPr="00F11B3A">
        <w:rPr>
          <w:rStyle w:val="af7"/>
          <w:rFonts w:eastAsia="Guttman Hodes"/>
          <w:rtl/>
        </w:rPr>
        <w:instrText xml:space="preserve"> </w:instrText>
      </w:r>
      <w:r w:rsidRPr="00F11B3A">
        <w:rPr>
          <w:rStyle w:val="af7"/>
          <w:rFonts w:eastAsia="Guttman Hodes"/>
          <w:rtl/>
        </w:rPr>
      </w:r>
      <w:r w:rsidRPr="00F11B3A">
        <w:rPr>
          <w:rStyle w:val="af7"/>
          <w:rFonts w:eastAsia="Guttman Hodes"/>
          <w:rtl/>
        </w:rPr>
        <w:fldChar w:fldCharType="separate"/>
      </w:r>
      <w:r w:rsidR="00345400">
        <w:rPr>
          <w:rStyle w:val="af7"/>
          <w:rFonts w:eastAsia="Guttman Hodes"/>
          <w:cs/>
        </w:rPr>
        <w:t>‎</w:t>
      </w:r>
      <w:r w:rsidR="00345400">
        <w:rPr>
          <w:rStyle w:val="af7"/>
          <w:rFonts w:eastAsia="Guttman Hodes"/>
          <w:rtl/>
        </w:rPr>
        <w:t>ו)</w:t>
      </w:r>
      <w:r w:rsidRPr="00F11B3A">
        <w:rPr>
          <w:rStyle w:val="af7"/>
          <w:rFonts w:eastAsia="Guttman Hodes"/>
          <w:rtl/>
        </w:rPr>
        <w:fldChar w:fldCharType="end"/>
      </w:r>
      <w:r>
        <w:rPr>
          <w:rFonts w:hint="cs"/>
          <w:rtl/>
        </w:rPr>
        <w:t xml:space="preserve"> דבהתחיל לשחוט באחת מן הטבעות צריך לגמור את השחיטה בתוכה, הקשה </w:t>
      </w:r>
      <w:r w:rsidRPr="007452E4">
        <w:rPr>
          <w:rStyle w:val="af9"/>
          <w:rFonts w:hint="cs"/>
          <w:rtl/>
        </w:rPr>
        <w:t>הגרא"ו</w:t>
      </w:r>
      <w:r>
        <w:rPr>
          <w:rFonts w:hint="cs"/>
          <w:rtl/>
        </w:rPr>
        <w:t xml:space="preserve"> </w:t>
      </w:r>
      <w:r w:rsidRPr="00F11B3A">
        <w:rPr>
          <w:rStyle w:val="af7"/>
          <w:rFonts w:eastAsia="Guttman Hodes" w:hint="cs"/>
          <w:rtl/>
        </w:rPr>
        <w:t>(ב</w:t>
      </w:r>
      <w:r>
        <w:rPr>
          <w:rStyle w:val="af7"/>
          <w:rFonts w:eastAsia="Guttman Hodes" w:hint="cs"/>
          <w:rtl/>
        </w:rPr>
        <w:t xml:space="preserve">ספר </w:t>
      </w:r>
      <w:r w:rsidRPr="00F11B3A">
        <w:rPr>
          <w:rStyle w:val="af7"/>
          <w:rFonts w:eastAsia="Guttman Hodes" w:hint="cs"/>
          <w:rtl/>
        </w:rPr>
        <w:t>קובץ עניינים בסוגיין ד"ה השוחט)</w:t>
      </w:r>
      <w:r>
        <w:rPr>
          <w:rFonts w:hint="cs"/>
          <w:rtl/>
        </w:rPr>
        <w:t xml:space="preserve"> דהרי איתא בגמ' לקמן </w:t>
      </w:r>
      <w:r w:rsidRPr="00F11B3A">
        <w:rPr>
          <w:rStyle w:val="af7"/>
          <w:rFonts w:eastAsia="Guttman Hodes" w:hint="cs"/>
          <w:rtl/>
        </w:rPr>
        <w:t>(יט.)</w:t>
      </w:r>
      <w:r>
        <w:rPr>
          <w:rFonts w:hint="cs"/>
          <w:rtl/>
        </w:rPr>
        <w:t xml:space="preserve"> דלרבנן ההגרמה אינה במקום שחיטה, ולדעת </w:t>
      </w:r>
      <w:r w:rsidRPr="007452E4">
        <w:rPr>
          <w:rStyle w:val="af9"/>
          <w:rFonts w:hint="cs"/>
          <w:rtl/>
        </w:rPr>
        <w:t>הי"מ</w:t>
      </w:r>
      <w:r>
        <w:rPr>
          <w:rFonts w:hint="cs"/>
          <w:rtl/>
        </w:rPr>
        <w:t xml:space="preserve"> חוץ לטבעת ששחט בה הוא עדיין מקום שחיטה, אלא שהשחיטה פסולה, כיון שהתחיל לשחוט בתוך הטבעת, וא"כ היאך אמרי רבנן שאינו מקום שחיטה.</w:t>
      </w:r>
      <w:bookmarkEnd w:id="12525"/>
    </w:p>
    <w:p w14:paraId="13C68393" w14:textId="77777777" w:rsidR="003D04E6" w:rsidRDefault="003D04E6" w:rsidP="006D6D32">
      <w:pPr>
        <w:pStyle w:val="a3"/>
        <w:rPr>
          <w:rtl/>
        </w:rPr>
      </w:pPr>
      <w:bookmarkStart w:id="12526" w:name="_Toc531819786"/>
      <w:bookmarkStart w:id="12527" w:name="_Toc19390681"/>
      <w:bookmarkStart w:id="12528" w:name="_Toc19394178"/>
      <w:r>
        <w:rPr>
          <w:rFonts w:hint="cs"/>
          <w:rtl/>
        </w:rPr>
        <w:t>ביאור הגרא"ו בדברי רב ושמואל דרובו ככולו שייך רק במקום שיש רוב מתוך כל</w:t>
      </w:r>
      <w:bookmarkEnd w:id="12526"/>
      <w:bookmarkEnd w:id="12527"/>
      <w:bookmarkEnd w:id="12528"/>
    </w:p>
    <w:p w14:paraId="41B2546D" w14:textId="77777777" w:rsidR="003D04E6" w:rsidRDefault="003D04E6" w:rsidP="00223668">
      <w:pPr>
        <w:pStyle w:val="a0"/>
        <w:rPr>
          <w:rtl/>
        </w:rPr>
      </w:pPr>
      <w:r>
        <w:rPr>
          <w:rFonts w:hint="cs"/>
          <w:rtl/>
        </w:rPr>
        <w:t>בדברי רב ושמואל דאמרו דבשאר הטבעות לא הכשיר ריבר</w:t>
      </w:r>
      <w:r>
        <w:rPr>
          <w:rtl/>
        </w:rPr>
        <w:t>"</w:t>
      </w:r>
      <w:r>
        <w:rPr>
          <w:rFonts w:hint="cs"/>
          <w:rtl/>
        </w:rPr>
        <w:t xml:space="preserve">י בשחיטת רוב הטבעת, ביאר </w:t>
      </w:r>
      <w:r w:rsidRPr="00AA15E2">
        <w:rPr>
          <w:rStyle w:val="af9"/>
          <w:rFonts w:hint="cs"/>
          <w:rtl/>
        </w:rPr>
        <w:t>הגרא"ו</w:t>
      </w:r>
      <w:r>
        <w:rPr>
          <w:rFonts w:hint="cs"/>
          <w:rtl/>
        </w:rPr>
        <w:t xml:space="preserve"> </w:t>
      </w:r>
      <w:r w:rsidRPr="00AA15E2">
        <w:rPr>
          <w:rStyle w:val="af7"/>
          <w:rFonts w:eastAsia="Guttman Hodes" w:hint="cs"/>
          <w:rtl/>
        </w:rPr>
        <w:t>(</w:t>
      </w:r>
      <w:r w:rsidRPr="00F11B3A">
        <w:rPr>
          <w:rStyle w:val="af7"/>
          <w:rFonts w:eastAsia="Guttman Hodes" w:hint="cs"/>
          <w:rtl/>
        </w:rPr>
        <w:t>ב</w:t>
      </w:r>
      <w:r>
        <w:rPr>
          <w:rStyle w:val="af7"/>
          <w:rFonts w:eastAsia="Guttman Hodes" w:hint="cs"/>
          <w:rtl/>
        </w:rPr>
        <w:t xml:space="preserve">ספר </w:t>
      </w:r>
      <w:r w:rsidRPr="00F11B3A">
        <w:rPr>
          <w:rStyle w:val="af7"/>
          <w:rFonts w:eastAsia="Guttman Hodes" w:hint="cs"/>
          <w:rtl/>
        </w:rPr>
        <w:t xml:space="preserve">קובץ עניינים </w:t>
      </w:r>
      <w:r w:rsidRPr="00AA15E2">
        <w:rPr>
          <w:rStyle w:val="af7"/>
          <w:rFonts w:eastAsia="Guttman Hodes" w:hint="cs"/>
          <w:rtl/>
        </w:rPr>
        <w:t xml:space="preserve">בסוגיין ד"ה אבל) </w:t>
      </w:r>
      <w:r>
        <w:rPr>
          <w:rFonts w:hint="cs"/>
          <w:rtl/>
        </w:rPr>
        <w:t xml:space="preserve">דדינא דרובו ככולו שייך רק במקום שיש כל, </w:t>
      </w:r>
      <w:r w:rsidRPr="00AA15E2">
        <w:rPr>
          <w:rStyle w:val="afb"/>
          <w:rFonts w:hint="cs"/>
          <w:rtl/>
        </w:rPr>
        <w:t xml:space="preserve">[דהיינו בטבעת הגדולה שהיא מקפת את כל הקנה אפש"ל דרובה ככולה], </w:t>
      </w:r>
      <w:r>
        <w:rPr>
          <w:rFonts w:hint="cs"/>
          <w:rtl/>
        </w:rPr>
        <w:t xml:space="preserve">ובשאר הטבעות שאין בהם כל </w:t>
      </w:r>
      <w:r w:rsidRPr="00AA15E2">
        <w:rPr>
          <w:rStyle w:val="afb"/>
          <w:rFonts w:hint="cs"/>
          <w:rtl/>
        </w:rPr>
        <w:t>[דאינם מקיפות את כל הקנה]</w:t>
      </w:r>
      <w:r>
        <w:rPr>
          <w:rFonts w:hint="cs"/>
          <w:rtl/>
        </w:rPr>
        <w:t xml:space="preserve">, לא שייך לומר דהרוב בהם יהיה כמו הכל, והוסיף </w:t>
      </w:r>
      <w:r w:rsidRPr="00AA15E2">
        <w:rPr>
          <w:rStyle w:val="af9"/>
          <w:rFonts w:hint="cs"/>
          <w:rtl/>
        </w:rPr>
        <w:t>הגרא"ו</w:t>
      </w:r>
      <w:r>
        <w:rPr>
          <w:rFonts w:hint="cs"/>
          <w:rtl/>
        </w:rPr>
        <w:t xml:space="preserve"> דכן מצינו בכוס של קידוש דאף שא"צ לשתות את כל הכוס, מ"מ אם הכוס אינו מלא הוא פסול.</w:t>
      </w:r>
    </w:p>
    <w:p w14:paraId="715DB203" w14:textId="77777777" w:rsidR="00A26A20" w:rsidRDefault="00A26A20" w:rsidP="006D6D32">
      <w:pPr>
        <w:pStyle w:val="a3"/>
        <w:rPr>
          <w:rtl/>
        </w:rPr>
      </w:pPr>
      <w:bookmarkStart w:id="12529" w:name="_Toc531819787"/>
    </w:p>
    <w:p w14:paraId="328303D1" w14:textId="77777777" w:rsidR="003D04E6" w:rsidRDefault="003D04E6" w:rsidP="006D6D32">
      <w:pPr>
        <w:pStyle w:val="a3"/>
        <w:rPr>
          <w:rtl/>
        </w:rPr>
      </w:pPr>
      <w:bookmarkStart w:id="12530" w:name="_Toc19390682"/>
      <w:bookmarkStart w:id="12531" w:name="_Toc19394179"/>
      <w:r>
        <w:rPr>
          <w:rFonts w:hint="cs"/>
          <w:rtl/>
        </w:rPr>
        <w:t>דברי הקוה"ע דרוב שאינו מתוך כל לא שייך לומר שהוא כמו הכל ואין בו דין רובו ככולו</w:t>
      </w:r>
      <w:bookmarkEnd w:id="12529"/>
      <w:bookmarkEnd w:id="12530"/>
      <w:bookmarkEnd w:id="12531"/>
      <w:r>
        <w:rPr>
          <w:rFonts w:hint="cs"/>
          <w:rtl/>
        </w:rPr>
        <w:t xml:space="preserve"> </w:t>
      </w:r>
    </w:p>
    <w:p w14:paraId="673643F6" w14:textId="77777777" w:rsidR="003D04E6" w:rsidRDefault="003D04E6" w:rsidP="00223668">
      <w:pPr>
        <w:pStyle w:val="a0"/>
        <w:rPr>
          <w:rStyle w:val="afb"/>
          <w:rtl/>
        </w:rPr>
      </w:pPr>
      <w:r>
        <w:rPr>
          <w:rFonts w:hint="cs"/>
          <w:rtl/>
        </w:rPr>
        <w:t xml:space="preserve">וע"ע בדברי </w:t>
      </w:r>
      <w:r w:rsidRPr="00F132FA">
        <w:rPr>
          <w:rStyle w:val="af9"/>
          <w:rFonts w:hint="cs"/>
          <w:rtl/>
        </w:rPr>
        <w:t>הקוה"ע</w:t>
      </w:r>
      <w:r>
        <w:rPr>
          <w:rFonts w:hint="cs"/>
          <w:rtl/>
        </w:rPr>
        <w:t xml:space="preserve"> </w:t>
      </w:r>
      <w:r w:rsidRPr="00F132FA">
        <w:rPr>
          <w:rStyle w:val="af7"/>
          <w:rFonts w:eastAsia="Guttman Hodes" w:hint="cs"/>
          <w:rtl/>
        </w:rPr>
        <w:t xml:space="preserve">(סי' כ"ח אות ה') </w:t>
      </w:r>
      <w:r>
        <w:rPr>
          <w:rFonts w:hint="cs"/>
          <w:rtl/>
        </w:rPr>
        <w:t xml:space="preserve">דביאר סברא זו לגבי נקובת הושט, דכתב </w:t>
      </w:r>
      <w:r w:rsidRPr="00F132FA">
        <w:rPr>
          <w:rStyle w:val="af9"/>
          <w:rFonts w:hint="cs"/>
          <w:rtl/>
        </w:rPr>
        <w:t>הקוה"ע</w:t>
      </w:r>
      <w:r>
        <w:rPr>
          <w:rFonts w:hint="cs"/>
          <w:rtl/>
        </w:rPr>
        <w:t xml:space="preserve"> דאפשר לבאר את הפסול בנקובת הושט בב' אופנים, הא' דתנן דכיון שחסר משהו מהסימן א"א לומר רובו ככולו, דכל הדין דרובו ככולו הוא ברובו מתוך כולו, כמו בסנהדרין שמהני רוב הסנהדרין רק במקום שיש כ"ג דיינים, אבל אם חסר מהמנין של הכ"ג אין להם כח ב"ד, וכשיש מחלוקת בב"ד הולכין אחר הרוב מדין רובו ככולו, ולכן בניקב הושט שחסר מהסימן לא מהני רובו ככולו דאינו רוב מתוך כל, אלא הוא רוב לבד. וביאר </w:t>
      </w:r>
      <w:r w:rsidRPr="00F132FA">
        <w:rPr>
          <w:rStyle w:val="af9"/>
          <w:rFonts w:hint="cs"/>
          <w:rtl/>
        </w:rPr>
        <w:t>הקוה"ע</w:t>
      </w:r>
      <w:r>
        <w:rPr>
          <w:rFonts w:hint="cs"/>
          <w:rtl/>
        </w:rPr>
        <w:t xml:space="preserve"> דא"כ יש חסרון במעשה השחיטה, שלא נשחטה הבהמה כשהיא שלימה, דשחיטת רוב הסימן לא מהני מצד עצמה, אלא מחמת שהיא כשחיטת כל הסימן, ובמקום שא"א לומר דרובו ככולו חשיבא השחיטה כחסירה. </w:t>
      </w:r>
      <w:r w:rsidRPr="00F132FA">
        <w:rPr>
          <w:rStyle w:val="afb"/>
          <w:rFonts w:hint="cs"/>
          <w:rtl/>
        </w:rPr>
        <w:t xml:space="preserve">[והאופן הב' ביאר </w:t>
      </w:r>
      <w:r w:rsidRPr="00F132FA">
        <w:rPr>
          <w:rStyle w:val="affa"/>
          <w:rFonts w:hint="cs"/>
          <w:rtl/>
        </w:rPr>
        <w:t>הקוה"ע</w:t>
      </w:r>
      <w:r w:rsidRPr="00F132FA">
        <w:rPr>
          <w:rStyle w:val="afb"/>
          <w:rFonts w:hint="cs"/>
          <w:rtl/>
        </w:rPr>
        <w:t xml:space="preserve"> דמשמע </w:t>
      </w:r>
      <w:r w:rsidRPr="00F132FA">
        <w:rPr>
          <w:rStyle w:val="affa"/>
          <w:rFonts w:hint="cs"/>
          <w:rtl/>
        </w:rPr>
        <w:t>מרש"י לקמן</w:t>
      </w:r>
      <w:r w:rsidRPr="00F132FA">
        <w:rPr>
          <w:rStyle w:val="afb"/>
          <w:rFonts w:hint="cs"/>
          <w:rtl/>
        </w:rPr>
        <w:t xml:space="preserve"> </w:t>
      </w:r>
      <w:r w:rsidRPr="00F132FA">
        <w:rPr>
          <w:rStyle w:val="aff6"/>
          <w:rFonts w:hint="cs"/>
          <w:rtl/>
        </w:rPr>
        <w:t>(כא: ד"ה ואינו)</w:t>
      </w:r>
      <w:r w:rsidRPr="00F132FA">
        <w:rPr>
          <w:rStyle w:val="afb"/>
          <w:rFonts w:hint="cs"/>
          <w:rtl/>
        </w:rPr>
        <w:t xml:space="preserve"> דאף מדאו' לכתחילה בעינן שישחוט את כל הסימן, וא"כ אפש"ל דהא דמהני שחיטת רוב הסימן הוא במום שרואי לשחוט את כולו, אבל במקום שא"א לשחוט את כולו כניקב הושט לא מהני שחיטת רובו, כדין "כל הראוי לבילה"]</w:t>
      </w:r>
      <w:r>
        <w:rPr>
          <w:rStyle w:val="afb"/>
          <w:rFonts w:hint="cs"/>
          <w:rtl/>
        </w:rPr>
        <w:t>.</w:t>
      </w:r>
    </w:p>
    <w:p w14:paraId="27DA28CF" w14:textId="77777777" w:rsidR="003D04E6" w:rsidRDefault="003D04E6" w:rsidP="006D6D32">
      <w:pPr>
        <w:pStyle w:val="a3"/>
        <w:rPr>
          <w:rtl/>
        </w:rPr>
      </w:pPr>
      <w:bookmarkStart w:id="12532" w:name="_Toc531819788"/>
      <w:bookmarkStart w:id="12533" w:name="_Toc19390683"/>
      <w:bookmarkStart w:id="12534" w:name="_Toc19394180"/>
      <w:r>
        <w:rPr>
          <w:rFonts w:hint="cs"/>
          <w:rtl/>
        </w:rPr>
        <w:t>דברי האמרי משה דלרש"י כל שגמר את כל השחיטה כל הסימן הוא בכלל הכשר שחיטה</w:t>
      </w:r>
      <w:bookmarkEnd w:id="12532"/>
      <w:bookmarkEnd w:id="12533"/>
      <w:bookmarkEnd w:id="12534"/>
    </w:p>
    <w:p w14:paraId="775C4B03" w14:textId="77777777" w:rsidR="003D04E6" w:rsidRPr="004E7508" w:rsidRDefault="003D04E6" w:rsidP="00223668">
      <w:pPr>
        <w:pStyle w:val="a0"/>
        <w:rPr>
          <w:rtl/>
        </w:rPr>
        <w:sectPr w:rsidR="003D04E6" w:rsidRPr="004E7508" w:rsidSect="005049E2">
          <w:footerReference w:type="default" r:id="rId87"/>
          <w:type w:val="continuous"/>
          <w:pgSz w:w="11906" w:h="16838"/>
          <w:pgMar w:top="720" w:right="720" w:bottom="720" w:left="720" w:header="283" w:footer="283" w:gutter="0"/>
          <w:cols w:num="2" w:space="567"/>
          <w:titlePg/>
          <w:bidi/>
          <w:rtlGutter/>
          <w:docGrid w:linePitch="299"/>
        </w:sectPr>
      </w:pPr>
      <w:bookmarkStart w:id="12535" w:name="_Ref531819639"/>
      <w:r>
        <w:rPr>
          <w:rFonts w:hint="cs"/>
          <w:rtl/>
        </w:rPr>
        <w:t xml:space="preserve">כתב </w:t>
      </w:r>
      <w:r w:rsidRPr="00482050">
        <w:rPr>
          <w:rStyle w:val="af9"/>
          <w:rFonts w:hint="cs"/>
          <w:rtl/>
        </w:rPr>
        <w:t>האמרי משה</w:t>
      </w:r>
      <w:r>
        <w:rPr>
          <w:rFonts w:hint="cs"/>
          <w:rtl/>
        </w:rPr>
        <w:t xml:space="preserve"> </w:t>
      </w:r>
      <w:r w:rsidRPr="00482050">
        <w:rPr>
          <w:rStyle w:val="af7"/>
          <w:rFonts w:eastAsia="Guttman Hodes" w:hint="cs"/>
          <w:rtl/>
        </w:rPr>
        <w:t>(סי' ב' אות ג' ד"ה והנה באמת בתו"ד)</w:t>
      </w:r>
      <w:r>
        <w:rPr>
          <w:rFonts w:hint="cs"/>
          <w:rtl/>
        </w:rPr>
        <w:t xml:space="preserve"> בדעת </w:t>
      </w:r>
      <w:r w:rsidRPr="00A00AB0">
        <w:rPr>
          <w:rStyle w:val="af9"/>
          <w:rFonts w:hint="cs"/>
          <w:rtl/>
        </w:rPr>
        <w:t>רש"י</w:t>
      </w:r>
      <w:r>
        <w:rPr>
          <w:rFonts w:hint="cs"/>
          <w:rtl/>
        </w:rPr>
        <w:t xml:space="preserve"> </w:t>
      </w:r>
      <w:r w:rsidRPr="00482050">
        <w:rPr>
          <w:rStyle w:val="afb"/>
          <w:rFonts w:hint="cs"/>
          <w:rtl/>
        </w:rPr>
        <w:t>[בביאור ד</w:t>
      </w:r>
      <w:r>
        <w:rPr>
          <w:rStyle w:val="afb"/>
          <w:rFonts w:hint="cs"/>
          <w:rtl/>
        </w:rPr>
        <w:t>ברי</w:t>
      </w:r>
      <w:r w:rsidRPr="00482050">
        <w:rPr>
          <w:rStyle w:val="afb"/>
          <w:rFonts w:hint="cs"/>
          <w:rtl/>
        </w:rPr>
        <w:t xml:space="preserve"> </w:t>
      </w:r>
      <w:r w:rsidRPr="00482050">
        <w:rPr>
          <w:rStyle w:val="affa"/>
          <w:rFonts w:hint="cs"/>
          <w:rtl/>
        </w:rPr>
        <w:t>רש"י לקמן</w:t>
      </w:r>
      <w:r w:rsidRPr="00482050">
        <w:rPr>
          <w:rStyle w:val="afb"/>
          <w:rFonts w:hint="cs"/>
          <w:rtl/>
        </w:rPr>
        <w:t xml:space="preserve"> דמיעוט </w:t>
      </w:r>
      <w:r w:rsidRPr="008A5BE2">
        <w:rPr>
          <w:rStyle w:val="afb"/>
          <w:rFonts w:hint="cs"/>
          <w:rtl/>
        </w:rPr>
        <w:t xml:space="preserve">בתרא פוסל] </w:t>
      </w:r>
      <w:r w:rsidRPr="008A5BE2">
        <w:rPr>
          <w:rFonts w:hint="cs"/>
          <w:rtl/>
        </w:rPr>
        <w:t xml:space="preserve">דכל הדין דרובו ככולו, הוא כששוחט את רוב הסימן, אבל כששוחט את כל הסימן, כל הסימן הוא בכלל ההכשר שחיטה, וכדברי </w:t>
      </w:r>
      <w:r w:rsidRPr="008A5BE2">
        <w:rPr>
          <w:rStyle w:val="af9"/>
          <w:rFonts w:hint="cs"/>
          <w:rtl/>
        </w:rPr>
        <w:t>הריטב"א</w:t>
      </w:r>
      <w:r w:rsidRPr="008A5BE2">
        <w:rPr>
          <w:rFonts w:hint="cs"/>
          <w:rtl/>
        </w:rPr>
        <w:t xml:space="preserve"> </w:t>
      </w:r>
      <w:r w:rsidRPr="008A5BE2">
        <w:rPr>
          <w:rStyle w:val="af7"/>
          <w:rFonts w:eastAsia="Guttman Hodes" w:hint="cs"/>
          <w:rtl/>
        </w:rPr>
        <w:t xml:space="preserve">(עי' אות </w:t>
      </w:r>
      <w:r w:rsidRPr="008A5BE2">
        <w:rPr>
          <w:rStyle w:val="af7"/>
          <w:rFonts w:eastAsia="Guttman Hodes"/>
          <w:rtl/>
        </w:rPr>
        <w:fldChar w:fldCharType="begin"/>
      </w:r>
      <w:r w:rsidRPr="008A5BE2">
        <w:rPr>
          <w:rStyle w:val="af7"/>
          <w:rFonts w:eastAsia="Guttman Hodes"/>
          <w:rtl/>
        </w:rPr>
        <w:instrText xml:space="preserve"> </w:instrText>
      </w:r>
      <w:r w:rsidRPr="008A5BE2">
        <w:rPr>
          <w:rStyle w:val="af7"/>
          <w:rFonts w:eastAsia="Guttman Hodes" w:hint="cs"/>
        </w:rPr>
        <w:instrText>REF</w:instrText>
      </w:r>
      <w:r w:rsidRPr="008A5BE2">
        <w:rPr>
          <w:rStyle w:val="af7"/>
          <w:rFonts w:eastAsia="Guttman Hodes" w:hint="cs"/>
          <w:rtl/>
        </w:rPr>
        <w:instrText xml:space="preserve"> _</w:instrText>
      </w:r>
      <w:r w:rsidRPr="008A5BE2">
        <w:rPr>
          <w:rStyle w:val="af7"/>
          <w:rFonts w:eastAsia="Guttman Hodes" w:hint="cs"/>
        </w:rPr>
        <w:instrText>Ref531819583 \r \h</w:instrText>
      </w:r>
      <w:r w:rsidRPr="008A5BE2">
        <w:rPr>
          <w:rStyle w:val="af7"/>
          <w:rFonts w:eastAsia="Guttman Hodes"/>
          <w:rtl/>
        </w:rPr>
        <w:instrText xml:space="preserve"> </w:instrText>
      </w:r>
      <w:r w:rsidRPr="008A5BE2">
        <w:rPr>
          <w:rStyle w:val="af7"/>
          <w:rFonts w:eastAsia="Guttman Hodes"/>
          <w:rtl/>
        </w:rPr>
      </w:r>
      <w:r w:rsidRPr="008A5BE2">
        <w:rPr>
          <w:rStyle w:val="af7"/>
          <w:rFonts w:eastAsia="Guttman Hodes"/>
          <w:rtl/>
        </w:rPr>
        <w:fldChar w:fldCharType="separate"/>
      </w:r>
      <w:r w:rsidR="00345400">
        <w:rPr>
          <w:rStyle w:val="af7"/>
          <w:rFonts w:eastAsia="Guttman Hodes"/>
          <w:cs/>
        </w:rPr>
        <w:t>‎</w:t>
      </w:r>
      <w:r w:rsidR="00345400">
        <w:rPr>
          <w:rStyle w:val="af7"/>
          <w:rFonts w:eastAsia="Guttman Hodes"/>
          <w:rtl/>
        </w:rPr>
        <w:t>כג)</w:t>
      </w:r>
      <w:r w:rsidRPr="008A5BE2">
        <w:rPr>
          <w:rStyle w:val="af7"/>
          <w:rFonts w:eastAsia="Guttman Hodes"/>
          <w:rtl/>
        </w:rPr>
        <w:fldChar w:fldCharType="end"/>
      </w:r>
      <w:r>
        <w:rPr>
          <w:rFonts w:hint="cs"/>
          <w:rtl/>
        </w:rPr>
        <w:t xml:space="preserve"> </w:t>
      </w:r>
      <w:r w:rsidRPr="008A5BE2">
        <w:rPr>
          <w:rStyle w:val="af9"/>
          <w:rFonts w:hint="cs"/>
          <w:rtl/>
        </w:rPr>
        <w:t>והראש יוסף</w:t>
      </w:r>
      <w:r w:rsidRPr="008A5BE2">
        <w:rPr>
          <w:rFonts w:hint="cs"/>
          <w:rtl/>
        </w:rPr>
        <w:t xml:space="preserve"> </w:t>
      </w:r>
      <w:r w:rsidRPr="008A5BE2">
        <w:rPr>
          <w:rStyle w:val="af7"/>
          <w:rFonts w:eastAsia="Guttman Hodes" w:hint="cs"/>
          <w:rtl/>
        </w:rPr>
        <w:t xml:space="preserve">(עי' אות </w:t>
      </w:r>
      <w:r w:rsidRPr="008A5BE2">
        <w:rPr>
          <w:rStyle w:val="af7"/>
          <w:rFonts w:eastAsia="Guttman Hodes"/>
          <w:rtl/>
        </w:rPr>
        <w:fldChar w:fldCharType="begin"/>
      </w:r>
      <w:r w:rsidRPr="008A5BE2">
        <w:rPr>
          <w:rStyle w:val="af7"/>
          <w:rFonts w:eastAsia="Guttman Hodes"/>
          <w:rtl/>
        </w:rPr>
        <w:instrText xml:space="preserve"> </w:instrText>
      </w:r>
      <w:r w:rsidRPr="008A5BE2">
        <w:rPr>
          <w:rStyle w:val="af7"/>
          <w:rFonts w:eastAsia="Guttman Hodes" w:hint="cs"/>
        </w:rPr>
        <w:instrText>REF</w:instrText>
      </w:r>
      <w:r w:rsidRPr="008A5BE2">
        <w:rPr>
          <w:rStyle w:val="af7"/>
          <w:rFonts w:eastAsia="Guttman Hodes" w:hint="cs"/>
          <w:rtl/>
        </w:rPr>
        <w:instrText xml:space="preserve"> _</w:instrText>
      </w:r>
      <w:r w:rsidRPr="008A5BE2">
        <w:rPr>
          <w:rStyle w:val="af7"/>
          <w:rFonts w:eastAsia="Guttman Hodes" w:hint="cs"/>
        </w:rPr>
        <w:instrText>Ref531819592 \r \h</w:instrText>
      </w:r>
      <w:r w:rsidRPr="008A5BE2">
        <w:rPr>
          <w:rStyle w:val="af7"/>
          <w:rFonts w:eastAsia="Guttman Hodes"/>
          <w:rtl/>
        </w:rPr>
        <w:instrText xml:space="preserve"> </w:instrText>
      </w:r>
      <w:r w:rsidRPr="008A5BE2">
        <w:rPr>
          <w:rStyle w:val="af7"/>
          <w:rFonts w:eastAsia="Guttman Hodes"/>
          <w:rtl/>
        </w:rPr>
      </w:r>
      <w:r w:rsidRPr="008A5BE2">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8A5BE2">
        <w:rPr>
          <w:rStyle w:val="af7"/>
          <w:rFonts w:eastAsia="Guttman Hodes"/>
          <w:rtl/>
        </w:rPr>
        <w:fldChar w:fldCharType="end"/>
      </w:r>
      <w:r w:rsidRPr="008A5BE2">
        <w:rPr>
          <w:rFonts w:hint="cs"/>
          <w:rtl/>
        </w:rPr>
        <w:t>.</w:t>
      </w:r>
      <w:bookmarkEnd w:id="12535"/>
    </w:p>
    <w:p w14:paraId="2AB6ACAD" w14:textId="77777777" w:rsidR="003D04E6" w:rsidRDefault="003D04E6" w:rsidP="00223668">
      <w:pPr>
        <w:pStyle w:val="a0"/>
        <w:numPr>
          <w:ilvl w:val="0"/>
          <w:numId w:val="0"/>
        </w:numPr>
        <w:rPr>
          <w:rtl/>
        </w:rPr>
      </w:pPr>
      <w:r>
        <w:rPr>
          <w:rFonts w:hint="cs"/>
          <w:rtl/>
        </w:rPr>
        <w:t xml:space="preserve"> </w:t>
      </w:r>
    </w:p>
    <w:p w14:paraId="3D0B229E" w14:textId="77777777" w:rsidR="003D04E6" w:rsidRPr="00C51299" w:rsidRDefault="003D04E6" w:rsidP="00223668">
      <w:pPr>
        <w:pStyle w:val="a0"/>
        <w:numPr>
          <w:ilvl w:val="0"/>
          <w:numId w:val="0"/>
        </w:numPr>
        <w:rPr>
          <w:rtl/>
        </w:rPr>
      </w:pPr>
    </w:p>
    <w:p w14:paraId="6F3BE2F5" w14:textId="77777777" w:rsidR="00A26A20" w:rsidRDefault="00A26A20" w:rsidP="006D6D32">
      <w:pPr>
        <w:pStyle w:val="a3"/>
        <w:rPr>
          <w:rtl/>
        </w:rPr>
        <w:sectPr w:rsidR="00A26A20" w:rsidSect="005049E2">
          <w:type w:val="continuous"/>
          <w:pgSz w:w="11906" w:h="16838"/>
          <w:pgMar w:top="720" w:right="720" w:bottom="720" w:left="720" w:header="283" w:footer="283" w:gutter="0"/>
          <w:cols w:num="2" w:space="567"/>
          <w:titlePg/>
          <w:bidi/>
          <w:rtlGutter/>
          <w:docGrid w:linePitch="299"/>
        </w:sectPr>
      </w:pPr>
    </w:p>
    <w:p w14:paraId="677ECFDB" w14:textId="77777777" w:rsidR="00D53B7D" w:rsidRDefault="00D53B7D" w:rsidP="006D6D32">
      <w:pPr>
        <w:pStyle w:val="afd"/>
        <w:rPr>
          <w:rtl/>
        </w:rPr>
      </w:pPr>
      <w:bookmarkStart w:id="12536" w:name="_Toc531894158"/>
      <w:bookmarkStart w:id="12537" w:name="_Toc531894183"/>
      <w:bookmarkStart w:id="12538" w:name="_Toc532202991"/>
      <w:bookmarkStart w:id="12539" w:name="_Toc532302152"/>
      <w:bookmarkStart w:id="12540" w:name="_Toc532453947"/>
      <w:bookmarkStart w:id="12541" w:name="_Toc532453981"/>
      <w:bookmarkStart w:id="12542" w:name="_Toc532550622"/>
      <w:bookmarkStart w:id="12543" w:name="_Toc532550688"/>
      <w:bookmarkStart w:id="12544" w:name="_Toc532810200"/>
      <w:bookmarkStart w:id="12545" w:name="_Toc532844784"/>
      <w:bookmarkStart w:id="12546" w:name="_Toc532849380"/>
      <w:bookmarkStart w:id="12547" w:name="_Toc532896999"/>
      <w:bookmarkStart w:id="12548" w:name="_Toc532901774"/>
      <w:bookmarkStart w:id="12549" w:name="_Toc532976743"/>
      <w:bookmarkStart w:id="12550" w:name="_Toc532982410"/>
      <w:bookmarkStart w:id="12551" w:name="_Toc532982568"/>
      <w:bookmarkStart w:id="12552" w:name="_Toc534142081"/>
      <w:bookmarkStart w:id="12553" w:name="_Toc16669751"/>
      <w:bookmarkStart w:id="12554" w:name="_Toc19435806"/>
      <w:bookmarkStart w:id="12555" w:name="_Toc20081057"/>
      <w:r>
        <w:rPr>
          <w:rFonts w:hint="cs"/>
          <w:rtl/>
        </w:rPr>
        <w:t>סימן י"</w:t>
      </w:r>
      <w:bookmarkEnd w:id="12536"/>
      <w:r>
        <w:rPr>
          <w:rFonts w:hint="cs"/>
          <w:rtl/>
        </w:rPr>
        <w:t>ג</w:t>
      </w:r>
      <w:bookmarkStart w:id="12556" w:name="_Toc532849381"/>
      <w:bookmarkStart w:id="12557" w:name="_Toc532897000"/>
      <w:bookmarkStart w:id="12558" w:name="_Toc532901775"/>
      <w:bookmarkStart w:id="12559" w:name="_Toc532976744"/>
      <w:bookmarkStart w:id="12560" w:name="_Toc532982411"/>
      <w:bookmarkStart w:id="12561" w:name="_Toc532982569"/>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r>
        <w:rPr>
          <w:rFonts w:hint="cs"/>
          <w:rtl/>
        </w:rPr>
        <w:t xml:space="preserve"> </w:t>
      </w:r>
    </w:p>
    <w:p w14:paraId="06F8F255" w14:textId="77777777" w:rsidR="00D53B7D" w:rsidRDefault="00D53B7D" w:rsidP="006D6D32">
      <w:pPr>
        <w:pStyle w:val="afd"/>
        <w:rPr>
          <w:rtl/>
        </w:rPr>
      </w:pPr>
      <w:bookmarkStart w:id="12562" w:name="_Toc534142082"/>
      <w:bookmarkStart w:id="12563" w:name="_Toc16669752"/>
      <w:bookmarkStart w:id="12564" w:name="_Toc19435807"/>
      <w:bookmarkStart w:id="12565" w:name="_Toc20081058"/>
      <w:r>
        <w:rPr>
          <w:rFonts w:hint="cs"/>
          <w:rtl/>
        </w:rPr>
        <w:t>סוגיא דהגרמה (ב')</w:t>
      </w:r>
      <w:bookmarkEnd w:id="12556"/>
      <w:bookmarkEnd w:id="12562"/>
      <w:bookmarkEnd w:id="12563"/>
      <w:bookmarkEnd w:id="12564"/>
      <w:bookmarkEnd w:id="12565"/>
      <w:r>
        <w:rPr>
          <w:rFonts w:hint="cs"/>
          <w:rtl/>
        </w:rPr>
        <w:t xml:space="preserve"> </w:t>
      </w:r>
      <w:bookmarkStart w:id="12566" w:name="_Toc532849382"/>
    </w:p>
    <w:p w14:paraId="17755E54" w14:textId="77777777" w:rsidR="00D53B7D" w:rsidRDefault="00D53B7D" w:rsidP="006D6D32">
      <w:pPr>
        <w:pStyle w:val="afd"/>
        <w:rPr>
          <w:rtl/>
        </w:rPr>
      </w:pPr>
      <w:bookmarkStart w:id="12567" w:name="_Toc534142083"/>
      <w:bookmarkStart w:id="12568" w:name="_Toc16669753"/>
      <w:bookmarkStart w:id="12569" w:name="_Toc19435808"/>
      <w:bookmarkStart w:id="12570" w:name="_Toc20081059"/>
      <w:r>
        <w:rPr>
          <w:rFonts w:hint="cs"/>
          <w:rtl/>
        </w:rPr>
        <w:t>בביאור הל"ב בפלוגתת ריבר"י ורבנן ובפלוגתת רב הונא ורב יהודה</w:t>
      </w:r>
      <w:bookmarkStart w:id="12571" w:name="_Toc531894160"/>
      <w:bookmarkStart w:id="12572" w:name="_Toc531894185"/>
      <w:bookmarkStart w:id="12573" w:name="_Toc532202993"/>
      <w:bookmarkStart w:id="12574" w:name="_Toc532302154"/>
      <w:bookmarkStart w:id="12575" w:name="_Toc532453949"/>
      <w:bookmarkStart w:id="12576" w:name="_Toc532453983"/>
      <w:bookmarkStart w:id="12577" w:name="_Toc532550624"/>
      <w:bookmarkStart w:id="12578" w:name="_Toc532550690"/>
      <w:bookmarkStart w:id="12579" w:name="_Toc532810202"/>
      <w:bookmarkStart w:id="12580" w:name="_Toc532844786"/>
      <w:bookmarkStart w:id="12581" w:name="_Toc532849383"/>
      <w:bookmarkEnd w:id="12557"/>
      <w:bookmarkEnd w:id="12558"/>
      <w:bookmarkEnd w:id="12559"/>
      <w:bookmarkEnd w:id="12560"/>
      <w:bookmarkEnd w:id="12561"/>
      <w:bookmarkEnd w:id="12566"/>
      <w:bookmarkEnd w:id="12567"/>
      <w:bookmarkEnd w:id="12568"/>
      <w:bookmarkEnd w:id="12569"/>
      <w:bookmarkEnd w:id="12570"/>
    </w:p>
    <w:p w14:paraId="0CB07FE1" w14:textId="77777777" w:rsidR="00D53B7D" w:rsidRDefault="000A0C31" w:rsidP="00D53B7D">
      <w:pPr>
        <w:pStyle w:val="2"/>
        <w:rPr>
          <w:rtl/>
        </w:rPr>
      </w:pPr>
      <w:r>
        <w:rPr>
          <w:rFonts w:hint="cs"/>
          <w:rtl/>
        </w:rPr>
        <w:t>מפתח הסוגיא</w:t>
      </w:r>
      <w:bookmarkEnd w:id="12571"/>
      <w:bookmarkEnd w:id="12572"/>
      <w:bookmarkEnd w:id="12573"/>
      <w:bookmarkEnd w:id="12574"/>
      <w:bookmarkEnd w:id="12575"/>
      <w:bookmarkEnd w:id="12576"/>
      <w:bookmarkEnd w:id="12577"/>
      <w:bookmarkEnd w:id="12578"/>
      <w:bookmarkEnd w:id="12579"/>
      <w:bookmarkEnd w:id="12580"/>
      <w:bookmarkEnd w:id="12581"/>
    </w:p>
    <w:p w14:paraId="6A269987" w14:textId="77777777" w:rsidR="00D53B7D" w:rsidRDefault="00D53B7D" w:rsidP="00D53B7D">
      <w:pPr>
        <w:pStyle w:val="2"/>
        <w:rPr>
          <w:rtl/>
        </w:rPr>
        <w:sectPr w:rsidR="00D53B7D" w:rsidSect="004B68DB">
          <w:headerReference w:type="default" r:id="rId88"/>
          <w:headerReference w:type="first" r:id="rId89"/>
          <w:footerReference w:type="first" r:id="rId90"/>
          <w:pgSz w:w="11906" w:h="16838"/>
          <w:pgMar w:top="720" w:right="720" w:bottom="720" w:left="720" w:header="283" w:footer="283" w:gutter="0"/>
          <w:cols w:space="567"/>
          <w:bidi/>
          <w:rtlGutter/>
          <w:docGrid w:linePitch="299"/>
        </w:sectPr>
      </w:pPr>
    </w:p>
    <w:p w14:paraId="65DCB21F" w14:textId="77777777" w:rsidR="00D53B7D" w:rsidRDefault="00D53B7D" w:rsidP="00D53B7D">
      <w:pPr>
        <w:pStyle w:val="2"/>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bookmarkStart w:id="12582" w:name="_Toc19435810"/>
      <w:r>
        <w:rPr>
          <w:rtl/>
        </w:rPr>
        <w:t>מראי מקומות וביאורים על הסוגיא</w:t>
      </w:r>
      <w:bookmarkEnd w:id="12582"/>
    </w:p>
    <w:p w14:paraId="5EAA468C" w14:textId="77777777" w:rsidR="00D53B7D" w:rsidRDefault="00D53B7D" w:rsidP="00D53B7D">
      <w:pPr>
        <w:pStyle w:val="2"/>
        <w:rPr>
          <w:rFonts w:eastAsiaTheme="minorEastAsia" w:cstheme="minorBidi"/>
          <w:i/>
          <w:iCs/>
          <w:sz w:val="22"/>
          <w:szCs w:val="22"/>
          <w:rtl/>
        </w:rPr>
      </w:pPr>
      <w:bookmarkStart w:id="12583" w:name="_Toc19435811"/>
      <w:r>
        <w:rPr>
          <w:rtl/>
        </w:rPr>
        <w:t>בפלוגתת ריבר"י ורבנן בחצי קנה פגום</w:t>
      </w:r>
      <w:bookmarkEnd w:id="12583"/>
    </w:p>
    <w:p w14:paraId="4561494B" w14:textId="77777777" w:rsidR="00D53B7D" w:rsidRDefault="00D53B7D" w:rsidP="00D53B7D">
      <w:pPr>
        <w:pStyle w:val="aff4"/>
        <w:rPr>
          <w:rFonts w:eastAsiaTheme="minorEastAsia" w:cstheme="minorBidi"/>
          <w:i/>
          <w:iCs/>
          <w:noProof/>
          <w:sz w:val="22"/>
          <w:szCs w:val="22"/>
          <w:rtl/>
        </w:rPr>
      </w:pPr>
      <w:bookmarkStart w:id="12584" w:name="_Toc19435812"/>
      <w:bookmarkStart w:id="12585" w:name="_Toc20081060"/>
      <w:r>
        <w:rPr>
          <w:noProof/>
          <w:rtl/>
        </w:rPr>
        <w:t>ביאור רש</w:t>
      </w:r>
      <w:r w:rsidRPr="00430805">
        <w:rPr>
          <w:rFonts w:cs="Guttman Adii-Light"/>
          <w:noProof/>
          <w:rtl/>
        </w:rPr>
        <w:t>"</w:t>
      </w:r>
      <w:r>
        <w:rPr>
          <w:noProof/>
          <w:rtl/>
        </w:rPr>
        <w:t>י בדברי ריבר"י בהגרמה ובחצי קנה פגום</w:t>
      </w:r>
      <w:bookmarkEnd w:id="12584"/>
      <w:bookmarkEnd w:id="12585"/>
    </w:p>
    <w:p w14:paraId="40459352" w14:textId="77777777" w:rsidR="00D53B7D" w:rsidRPr="003B49E4" w:rsidRDefault="00D53B7D" w:rsidP="00E12979">
      <w:pPr>
        <w:pStyle w:val="a"/>
        <w:numPr>
          <w:ilvl w:val="0"/>
          <w:numId w:val="30"/>
        </w:numPr>
        <w:rPr>
          <w:rtl/>
        </w:rPr>
      </w:pPr>
      <w:r>
        <w:rPr>
          <w:rFonts w:hint="cs"/>
          <w:rtl/>
        </w:rPr>
        <w:t>ביאור רש"י בדברי רב חסדא דלרבר"י הגרים שליש ושחט ב' שלישים דמי לחצי קנה</w:t>
      </w:r>
      <w:r>
        <w:rPr>
          <w:rtl/>
        </w:rPr>
        <w:t xml:space="preserve"> פגום</w:t>
      </w:r>
    </w:p>
    <w:p w14:paraId="483178CC" w14:textId="77777777" w:rsidR="00D53B7D" w:rsidRDefault="00D53B7D" w:rsidP="005077A7">
      <w:pPr>
        <w:pStyle w:val="a"/>
        <w:rPr>
          <w:rFonts w:eastAsiaTheme="minorEastAsia" w:cstheme="minorBidi"/>
          <w:noProof/>
          <w:sz w:val="22"/>
          <w:szCs w:val="22"/>
          <w:rtl/>
        </w:rPr>
      </w:pPr>
      <w:r>
        <w:rPr>
          <w:rFonts w:hint="cs"/>
          <w:rtl/>
        </w:rPr>
        <w:t>דברי רש"י דבהגרים שליש לא סגי בשחיטה כל שהיא כחצי קנה פגום וצריך להוסיף ב' שלישים</w:t>
      </w:r>
    </w:p>
    <w:p w14:paraId="2CF3F2F1" w14:textId="77777777" w:rsidR="00D53B7D" w:rsidRDefault="00D53B7D" w:rsidP="005077A7">
      <w:pPr>
        <w:pStyle w:val="a"/>
        <w:rPr>
          <w:rFonts w:eastAsiaTheme="minorEastAsia" w:cstheme="minorBidi"/>
          <w:noProof/>
          <w:sz w:val="22"/>
          <w:szCs w:val="22"/>
          <w:rtl/>
        </w:rPr>
      </w:pPr>
      <w:r>
        <w:rPr>
          <w:noProof/>
          <w:rtl/>
        </w:rPr>
        <w:t>קושית הרמב"ן דמרב הונא דהכשיר בשחט שליש והגרים שליש מוכח שא"צ לשחוט ב' שלישים</w:t>
      </w:r>
    </w:p>
    <w:p w14:paraId="25BBD04F" w14:textId="77777777" w:rsidR="00D53B7D" w:rsidRDefault="00D53B7D" w:rsidP="005077A7">
      <w:pPr>
        <w:pStyle w:val="a"/>
        <w:rPr>
          <w:rFonts w:eastAsiaTheme="minorEastAsia" w:cstheme="minorBidi"/>
          <w:noProof/>
          <w:sz w:val="22"/>
          <w:szCs w:val="22"/>
          <w:rtl/>
        </w:rPr>
      </w:pPr>
      <w:r>
        <w:rPr>
          <w:noProof/>
          <w:rtl/>
        </w:rPr>
        <w:t>דברי הרמב"ן דאפש"ל דביאר רש"י את הל"ב כרב יהודה דס"ל דצריך לשחוט את רוב הקנה</w:t>
      </w:r>
    </w:p>
    <w:p w14:paraId="3133287D" w14:textId="77777777" w:rsidR="00D53B7D" w:rsidRDefault="00D53B7D" w:rsidP="00D53B7D">
      <w:pPr>
        <w:pStyle w:val="aff4"/>
        <w:rPr>
          <w:rFonts w:eastAsiaTheme="minorEastAsia" w:cstheme="minorBidi"/>
          <w:i/>
          <w:iCs/>
          <w:noProof/>
          <w:sz w:val="22"/>
          <w:szCs w:val="22"/>
          <w:rtl/>
        </w:rPr>
      </w:pPr>
      <w:bookmarkStart w:id="12586" w:name="_Toc19435813"/>
      <w:bookmarkStart w:id="12587" w:name="_Toc20081061"/>
      <w:r>
        <w:rPr>
          <w:noProof/>
          <w:rtl/>
        </w:rPr>
        <w:t>ביאור החת"ס בדעת רש"י בדברי ריבר"י בחצי קנה פגום</w:t>
      </w:r>
      <w:bookmarkEnd w:id="12586"/>
      <w:bookmarkEnd w:id="12587"/>
    </w:p>
    <w:p w14:paraId="12A50952" w14:textId="77777777" w:rsidR="00D53B7D" w:rsidRDefault="00D53B7D" w:rsidP="005077A7">
      <w:pPr>
        <w:pStyle w:val="a"/>
        <w:rPr>
          <w:rFonts w:eastAsiaTheme="minorEastAsia" w:cstheme="minorBidi"/>
          <w:noProof/>
          <w:sz w:val="22"/>
          <w:szCs w:val="22"/>
          <w:rtl/>
        </w:rPr>
      </w:pPr>
      <w:r>
        <w:rPr>
          <w:noProof/>
          <w:rtl/>
        </w:rPr>
        <w:t>דברי החת"ס דריבר"י מכשיר בנפגם הקנה שלא במקום שחיטה אך א"א לצרף את הפגימה לשחיטה</w:t>
      </w:r>
    </w:p>
    <w:p w14:paraId="60635452" w14:textId="77777777" w:rsidR="00D53B7D" w:rsidRDefault="00D53B7D" w:rsidP="005077A7">
      <w:pPr>
        <w:pStyle w:val="a"/>
        <w:rPr>
          <w:rFonts w:eastAsiaTheme="minorEastAsia" w:cstheme="minorBidi"/>
          <w:noProof/>
          <w:sz w:val="22"/>
          <w:szCs w:val="22"/>
          <w:rtl/>
        </w:rPr>
      </w:pPr>
      <w:r>
        <w:rPr>
          <w:noProof/>
          <w:rtl/>
        </w:rPr>
        <w:t>דברי החת"ס דרש"י תירץ דהא דהכשיר רב הונא בשחט שליש והגרים שליש הוא לדעת רחב"א</w:t>
      </w:r>
    </w:p>
    <w:p w14:paraId="5DA6BD35" w14:textId="77777777" w:rsidR="00D53B7D" w:rsidRDefault="00D53B7D" w:rsidP="005077A7">
      <w:pPr>
        <w:pStyle w:val="a"/>
        <w:rPr>
          <w:rFonts w:eastAsiaTheme="minorEastAsia" w:cstheme="minorBidi"/>
          <w:noProof/>
          <w:sz w:val="22"/>
          <w:szCs w:val="22"/>
          <w:rtl/>
        </w:rPr>
      </w:pPr>
      <w:r>
        <w:rPr>
          <w:noProof/>
          <w:rtl/>
        </w:rPr>
        <w:t>ביאור החת"ס דלריבר"י ההגרמה היא במקום שחיטה ויציאת החיות נעשית בפסול הגרמה</w:t>
      </w:r>
    </w:p>
    <w:p w14:paraId="60B577EA" w14:textId="77777777" w:rsidR="00D53B7D" w:rsidRDefault="00D53B7D" w:rsidP="005077A7">
      <w:pPr>
        <w:pStyle w:val="a"/>
        <w:rPr>
          <w:rFonts w:eastAsiaTheme="minorEastAsia" w:cstheme="minorBidi"/>
          <w:noProof/>
          <w:sz w:val="22"/>
          <w:szCs w:val="22"/>
          <w:rtl/>
        </w:rPr>
      </w:pPr>
      <w:r>
        <w:rPr>
          <w:noProof/>
          <w:rtl/>
        </w:rPr>
        <w:t>ביאור החת"ס דלרחב"א דההגרמה אינה במקום שחיטה יציאת החיות היא רק ע"י השחיטה הכשרה</w:t>
      </w:r>
    </w:p>
    <w:p w14:paraId="2CC627CC" w14:textId="77777777" w:rsidR="00D53B7D" w:rsidRDefault="00D53B7D" w:rsidP="00D53B7D">
      <w:pPr>
        <w:pStyle w:val="aff4"/>
        <w:rPr>
          <w:rFonts w:eastAsiaTheme="minorEastAsia" w:cstheme="minorBidi"/>
          <w:i/>
          <w:iCs/>
          <w:noProof/>
          <w:sz w:val="22"/>
          <w:szCs w:val="22"/>
          <w:rtl/>
        </w:rPr>
      </w:pPr>
      <w:bookmarkStart w:id="12588" w:name="_Toc19435814"/>
      <w:bookmarkStart w:id="12589" w:name="_Toc20081062"/>
      <w:r>
        <w:rPr>
          <w:noProof/>
          <w:rtl/>
        </w:rPr>
        <w:t>ביאור הרמב"ן דבהגרים שליש לריבר"י א"צ לשחוט ב' שלישים</w:t>
      </w:r>
      <w:bookmarkEnd w:id="12588"/>
      <w:bookmarkEnd w:id="12589"/>
    </w:p>
    <w:p w14:paraId="48F18424" w14:textId="77777777" w:rsidR="00D53B7D" w:rsidRDefault="00D53B7D" w:rsidP="005077A7">
      <w:pPr>
        <w:pStyle w:val="a"/>
        <w:rPr>
          <w:rFonts w:eastAsiaTheme="minorEastAsia" w:cstheme="minorBidi"/>
          <w:noProof/>
          <w:sz w:val="22"/>
          <w:szCs w:val="22"/>
          <w:rtl/>
        </w:rPr>
      </w:pPr>
      <w:r>
        <w:rPr>
          <w:noProof/>
          <w:rtl/>
        </w:rPr>
        <w:t>דברי הרמב"ן והר"ן דלריבר"י א"צ להוסיף ב' שלישים שחיטה על שליש הגרמה כמו בחצי קנה פגום</w:t>
      </w:r>
    </w:p>
    <w:p w14:paraId="74673A68" w14:textId="77777777" w:rsidR="00D53B7D" w:rsidRDefault="00D53B7D" w:rsidP="005077A7">
      <w:pPr>
        <w:pStyle w:val="a"/>
        <w:rPr>
          <w:rFonts w:eastAsiaTheme="minorEastAsia" w:cstheme="minorBidi"/>
          <w:noProof/>
          <w:sz w:val="22"/>
          <w:szCs w:val="22"/>
          <w:rtl/>
        </w:rPr>
      </w:pPr>
      <w:r>
        <w:rPr>
          <w:noProof/>
          <w:rtl/>
        </w:rPr>
        <w:t>דברי הריטב"א דנקטה הגמ' ב' שלישים לרבותא דאף בכה"ג פסלי רבנן</w:t>
      </w:r>
    </w:p>
    <w:p w14:paraId="3738A61C" w14:textId="77777777" w:rsidR="00D53B7D" w:rsidRDefault="00D53B7D" w:rsidP="005077A7">
      <w:pPr>
        <w:pStyle w:val="a"/>
        <w:rPr>
          <w:rFonts w:eastAsiaTheme="minorEastAsia" w:cstheme="minorBidi"/>
          <w:noProof/>
          <w:sz w:val="22"/>
          <w:szCs w:val="22"/>
          <w:rtl/>
        </w:rPr>
      </w:pPr>
      <w:r>
        <w:rPr>
          <w:noProof/>
          <w:rtl/>
        </w:rPr>
        <w:t>דברי הרמב"ן והר"ן דמדהכשיר רב הונא בהגרים ושחט והגרים מוכח שא"צ להוסיף ב' שלישים</w:t>
      </w:r>
    </w:p>
    <w:p w14:paraId="1349639B" w14:textId="77777777" w:rsidR="00D53B7D" w:rsidRDefault="00D53B7D" w:rsidP="005077A7">
      <w:pPr>
        <w:pStyle w:val="a"/>
        <w:rPr>
          <w:rFonts w:eastAsiaTheme="minorEastAsia" w:cstheme="minorBidi"/>
          <w:noProof/>
          <w:sz w:val="22"/>
          <w:szCs w:val="22"/>
          <w:rtl/>
        </w:rPr>
      </w:pPr>
      <w:r>
        <w:rPr>
          <w:noProof/>
          <w:rtl/>
        </w:rPr>
        <w:t>דברי החת"ס דלהרמב"ן והר"ן ביארו את לשון רוב במתני' דרוב החיות יוצאת בשחיטה</w:t>
      </w:r>
    </w:p>
    <w:p w14:paraId="017EE636" w14:textId="77777777" w:rsidR="00D53B7D" w:rsidRDefault="00D53B7D" w:rsidP="00D53B7D">
      <w:pPr>
        <w:pStyle w:val="aff4"/>
        <w:rPr>
          <w:rFonts w:eastAsiaTheme="minorEastAsia" w:cstheme="minorBidi"/>
          <w:i/>
          <w:iCs/>
          <w:noProof/>
          <w:sz w:val="22"/>
          <w:szCs w:val="22"/>
          <w:rtl/>
        </w:rPr>
      </w:pPr>
      <w:bookmarkStart w:id="12590" w:name="_Toc19435815"/>
      <w:bookmarkStart w:id="12591" w:name="_Toc20081063"/>
      <w:r>
        <w:rPr>
          <w:noProof/>
          <w:rtl/>
        </w:rPr>
        <w:t>ביאור הריטב"א בפלוגתת ריבר"י ורבנן בחצי קנה פגום</w:t>
      </w:r>
      <w:bookmarkEnd w:id="12590"/>
      <w:bookmarkEnd w:id="12591"/>
    </w:p>
    <w:p w14:paraId="7C52623B" w14:textId="77777777" w:rsidR="00D53B7D" w:rsidRDefault="00D53B7D" w:rsidP="005077A7">
      <w:pPr>
        <w:pStyle w:val="a"/>
        <w:rPr>
          <w:rFonts w:eastAsiaTheme="minorEastAsia" w:cstheme="minorBidi"/>
          <w:noProof/>
          <w:sz w:val="22"/>
          <w:szCs w:val="22"/>
          <w:rtl/>
        </w:rPr>
      </w:pPr>
      <w:r>
        <w:rPr>
          <w:noProof/>
          <w:rtl/>
        </w:rPr>
        <w:t>דברי הריטב"א דמבואר בדעת רבר"י דהוא מכשיר בחצי קנה פגום אף במקום ההגרמה</w:t>
      </w:r>
    </w:p>
    <w:p w14:paraId="7F8F6F9C" w14:textId="77777777" w:rsidR="00D53B7D" w:rsidRDefault="00D53B7D" w:rsidP="005077A7">
      <w:pPr>
        <w:pStyle w:val="a"/>
        <w:rPr>
          <w:rFonts w:eastAsiaTheme="minorEastAsia" w:cstheme="minorBidi"/>
          <w:noProof/>
          <w:sz w:val="22"/>
          <w:szCs w:val="22"/>
          <w:rtl/>
        </w:rPr>
      </w:pPr>
      <w:r>
        <w:rPr>
          <w:noProof/>
          <w:rtl/>
        </w:rPr>
        <w:t>דברי הריטב"א דרבנן פליגי על ריבר"י בחצי קנה פגום ומכשיר רק בנפגם במקום שחיטה</w:t>
      </w:r>
    </w:p>
    <w:p w14:paraId="3CB9BAEB" w14:textId="77777777" w:rsidR="00D53B7D" w:rsidRDefault="00D53B7D" w:rsidP="00D53B7D">
      <w:pPr>
        <w:pStyle w:val="aff4"/>
        <w:rPr>
          <w:rFonts w:eastAsiaTheme="minorEastAsia" w:cstheme="minorBidi"/>
          <w:i/>
          <w:iCs/>
          <w:noProof/>
          <w:sz w:val="22"/>
          <w:szCs w:val="22"/>
          <w:rtl/>
        </w:rPr>
      </w:pPr>
      <w:bookmarkStart w:id="12592" w:name="_Toc19435816"/>
      <w:bookmarkStart w:id="12593" w:name="_Toc20081064"/>
      <w:r>
        <w:rPr>
          <w:noProof/>
          <w:rtl/>
        </w:rPr>
        <w:t>ביאור רש"י בחילוק לרבנן בין חצי קנה פגום להגרמה</w:t>
      </w:r>
      <w:bookmarkEnd w:id="12592"/>
      <w:bookmarkEnd w:id="12593"/>
    </w:p>
    <w:p w14:paraId="3C449DF7" w14:textId="77777777" w:rsidR="00D53B7D" w:rsidRDefault="00D53B7D" w:rsidP="005077A7">
      <w:pPr>
        <w:pStyle w:val="a"/>
        <w:rPr>
          <w:rFonts w:eastAsiaTheme="minorEastAsia" w:cstheme="minorBidi"/>
          <w:noProof/>
          <w:sz w:val="22"/>
          <w:szCs w:val="22"/>
          <w:rtl/>
        </w:rPr>
      </w:pPr>
      <w:r>
        <w:rPr>
          <w:noProof/>
          <w:rtl/>
        </w:rPr>
        <w:t>דברי רש"י דלרבנן בחצי קנה פגום כשר כיון שכל החיות יוצאת במקום שחיטה</w:t>
      </w:r>
    </w:p>
    <w:p w14:paraId="2F6CE958" w14:textId="77777777" w:rsidR="00D53B7D" w:rsidRDefault="00D53B7D" w:rsidP="005077A7">
      <w:pPr>
        <w:pStyle w:val="a"/>
        <w:rPr>
          <w:rFonts w:eastAsiaTheme="minorEastAsia" w:cstheme="minorBidi"/>
          <w:noProof/>
          <w:sz w:val="22"/>
          <w:szCs w:val="22"/>
          <w:rtl/>
        </w:rPr>
      </w:pPr>
      <w:r>
        <w:rPr>
          <w:noProof/>
          <w:rtl/>
        </w:rPr>
        <w:t>דברי רש"י דלרבנן בהגרמה יציאת החיות היא ברוב הראשון שנשחט בפסול דאינו במקום שחיטה</w:t>
      </w:r>
    </w:p>
    <w:p w14:paraId="00409BEE" w14:textId="77777777" w:rsidR="00D53B7D" w:rsidRDefault="00D53B7D" w:rsidP="005077A7">
      <w:pPr>
        <w:pStyle w:val="a"/>
        <w:rPr>
          <w:rFonts w:eastAsiaTheme="minorEastAsia" w:cstheme="minorBidi"/>
          <w:noProof/>
          <w:sz w:val="22"/>
          <w:szCs w:val="22"/>
          <w:rtl/>
        </w:rPr>
      </w:pPr>
      <w:r>
        <w:rPr>
          <w:noProof/>
          <w:rtl/>
        </w:rPr>
        <w:t>דברי רש"י דחצי קנה פגום חשיב כשלם ולא יצאה החיות וכשמוסיף לשחוט יוצאת כל החיות</w:t>
      </w:r>
    </w:p>
    <w:p w14:paraId="49AAAD76" w14:textId="77777777" w:rsidR="00D53B7D" w:rsidRDefault="00D53B7D" w:rsidP="00D53B7D">
      <w:pPr>
        <w:pStyle w:val="aff4"/>
        <w:rPr>
          <w:rFonts w:eastAsiaTheme="minorEastAsia" w:cstheme="minorBidi"/>
          <w:i/>
          <w:iCs/>
          <w:noProof/>
          <w:sz w:val="22"/>
          <w:szCs w:val="22"/>
          <w:rtl/>
        </w:rPr>
      </w:pPr>
      <w:bookmarkStart w:id="12594" w:name="_Toc19435817"/>
      <w:bookmarkStart w:id="12595" w:name="_Toc20081065"/>
      <w:r>
        <w:rPr>
          <w:noProof/>
          <w:rtl/>
        </w:rPr>
        <w:t>ביאור התפארת יעקב ברש"י בחילוק בין חצי קנה פגום להגרמה</w:t>
      </w:r>
      <w:bookmarkEnd w:id="12594"/>
      <w:bookmarkEnd w:id="12595"/>
    </w:p>
    <w:p w14:paraId="33CD63F5" w14:textId="77777777" w:rsidR="00D53B7D" w:rsidRDefault="00D53B7D" w:rsidP="005077A7">
      <w:pPr>
        <w:pStyle w:val="a"/>
        <w:rPr>
          <w:rFonts w:eastAsiaTheme="minorEastAsia" w:cstheme="minorBidi"/>
          <w:noProof/>
          <w:sz w:val="22"/>
          <w:szCs w:val="22"/>
          <w:rtl/>
        </w:rPr>
      </w:pPr>
      <w:r>
        <w:rPr>
          <w:noProof/>
          <w:rtl/>
        </w:rPr>
        <w:t>קושית התפארת יעקב דמסברא פגימה פוסלת יותר מהגרמה שהוא כחותך ברגלה</w:t>
      </w:r>
    </w:p>
    <w:p w14:paraId="698078EE" w14:textId="77777777" w:rsidR="00D53B7D" w:rsidRDefault="00D53B7D" w:rsidP="005077A7">
      <w:pPr>
        <w:pStyle w:val="a"/>
        <w:rPr>
          <w:rFonts w:eastAsiaTheme="minorEastAsia" w:cstheme="minorBidi"/>
          <w:noProof/>
          <w:sz w:val="22"/>
          <w:szCs w:val="22"/>
          <w:rtl/>
        </w:rPr>
      </w:pPr>
      <w:r>
        <w:rPr>
          <w:noProof/>
          <w:rtl/>
        </w:rPr>
        <w:t>דברי התפארת יעקב דבחצי קנה פגום ע"י שהוסיף כל שהוא נפתח רוב הקנה במקום שחיטה</w:t>
      </w:r>
    </w:p>
    <w:p w14:paraId="00AC34E1" w14:textId="77777777" w:rsidR="00D53B7D" w:rsidRDefault="00D53B7D" w:rsidP="005077A7">
      <w:pPr>
        <w:pStyle w:val="a"/>
        <w:rPr>
          <w:rFonts w:eastAsiaTheme="minorEastAsia" w:cstheme="minorBidi"/>
          <w:noProof/>
          <w:sz w:val="22"/>
          <w:szCs w:val="22"/>
          <w:rtl/>
        </w:rPr>
      </w:pPr>
      <w:r>
        <w:rPr>
          <w:noProof/>
          <w:rtl/>
        </w:rPr>
        <w:t>דברי התפארת יעקב דבהגרים שליש ושחט ב' שלישים נפתח הרוב גם ע"י ההגרמה ופסלי רבנן</w:t>
      </w:r>
    </w:p>
    <w:p w14:paraId="69755D39" w14:textId="77777777" w:rsidR="00D53B7D" w:rsidRDefault="00D53B7D" w:rsidP="005077A7">
      <w:pPr>
        <w:pStyle w:val="a"/>
        <w:rPr>
          <w:rFonts w:eastAsiaTheme="minorEastAsia" w:cstheme="minorBidi"/>
          <w:noProof/>
          <w:sz w:val="22"/>
          <w:szCs w:val="22"/>
          <w:rtl/>
        </w:rPr>
      </w:pPr>
      <w:r>
        <w:rPr>
          <w:noProof/>
          <w:rtl/>
        </w:rPr>
        <w:t>קושית התפארת יעקב היאך הכשיר ריבר"ע"י שחיטת הב' שלישים הא נפתח הקנה בהגרמה</w:t>
      </w:r>
    </w:p>
    <w:p w14:paraId="56864A78" w14:textId="77777777" w:rsidR="00D53B7D" w:rsidRDefault="00D53B7D" w:rsidP="005077A7">
      <w:pPr>
        <w:pStyle w:val="a"/>
        <w:rPr>
          <w:rFonts w:eastAsiaTheme="minorEastAsia" w:cstheme="minorBidi"/>
          <w:noProof/>
          <w:sz w:val="22"/>
          <w:szCs w:val="22"/>
          <w:rtl/>
        </w:rPr>
      </w:pPr>
      <w:r>
        <w:rPr>
          <w:noProof/>
          <w:rtl/>
        </w:rPr>
        <w:t>דברי התפארת יעקב דבחצי קנה הראשון אין הלכות שחיטה וכל שנפתח ברוב במקום שחיטה כשר</w:t>
      </w:r>
    </w:p>
    <w:p w14:paraId="78E3BF13" w14:textId="77777777" w:rsidR="00D53B7D" w:rsidRDefault="00D53B7D" w:rsidP="005077A7">
      <w:pPr>
        <w:pStyle w:val="a"/>
        <w:rPr>
          <w:rFonts w:eastAsiaTheme="minorEastAsia" w:cstheme="minorBidi"/>
          <w:noProof/>
          <w:sz w:val="22"/>
          <w:szCs w:val="22"/>
          <w:rtl/>
        </w:rPr>
      </w:pPr>
      <w:r>
        <w:rPr>
          <w:noProof/>
          <w:rtl/>
        </w:rPr>
        <w:t>ביאור התפארת יעקב דבהגרים חצי סימן והשלים בשחיטה אין רוב הסימן פתוח במקום שחיטה</w:t>
      </w:r>
    </w:p>
    <w:p w14:paraId="542621CE" w14:textId="77777777" w:rsidR="00D53B7D" w:rsidRDefault="00D53B7D" w:rsidP="00D53B7D">
      <w:pPr>
        <w:pStyle w:val="aff4"/>
        <w:rPr>
          <w:rFonts w:eastAsiaTheme="minorEastAsia" w:cstheme="minorBidi"/>
          <w:i/>
          <w:iCs/>
          <w:noProof/>
          <w:sz w:val="22"/>
          <w:szCs w:val="22"/>
          <w:rtl/>
        </w:rPr>
      </w:pPr>
      <w:bookmarkStart w:id="12596" w:name="_Toc19435818"/>
      <w:bookmarkStart w:id="12597" w:name="_Toc20081066"/>
      <w:r>
        <w:rPr>
          <w:noProof/>
          <w:rtl/>
        </w:rPr>
        <w:t>ביאור הרא"ה דלרבנן ההגרמה אינה מצטרפת לשחיטה</w:t>
      </w:r>
      <w:bookmarkEnd w:id="12596"/>
      <w:bookmarkEnd w:id="12597"/>
    </w:p>
    <w:p w14:paraId="55EBB6DF" w14:textId="77777777" w:rsidR="00D53B7D" w:rsidRDefault="00D53B7D" w:rsidP="005077A7">
      <w:pPr>
        <w:pStyle w:val="a"/>
        <w:rPr>
          <w:rFonts w:eastAsiaTheme="minorEastAsia" w:cstheme="minorBidi"/>
          <w:noProof/>
          <w:sz w:val="22"/>
          <w:szCs w:val="22"/>
          <w:rtl/>
        </w:rPr>
      </w:pPr>
      <w:r>
        <w:rPr>
          <w:noProof/>
          <w:rtl/>
        </w:rPr>
        <w:t>ביאור הרא"ה דלרבנן בחצי קנה פגום הפגם מצטרף לשחיטה אבל הגרמה אינה מצטרפת לשחיטה</w:t>
      </w:r>
    </w:p>
    <w:p w14:paraId="4ED37D73" w14:textId="77777777" w:rsidR="00D53B7D" w:rsidRDefault="00D53B7D" w:rsidP="005077A7">
      <w:pPr>
        <w:pStyle w:val="a"/>
        <w:rPr>
          <w:rFonts w:eastAsiaTheme="minorEastAsia" w:cstheme="minorBidi"/>
          <w:noProof/>
          <w:sz w:val="22"/>
          <w:szCs w:val="22"/>
          <w:rtl/>
        </w:rPr>
      </w:pPr>
      <w:r>
        <w:rPr>
          <w:noProof/>
          <w:rtl/>
        </w:rPr>
        <w:t>דברי הרא"ה דבהגרים שליש ושחט ב' שלישים מכשיר רבנן כיון שרוב הסימן שחוט</w:t>
      </w:r>
    </w:p>
    <w:p w14:paraId="228088F5" w14:textId="77777777" w:rsidR="00D53B7D" w:rsidRDefault="00D53B7D" w:rsidP="00D53B7D">
      <w:pPr>
        <w:pStyle w:val="aff4"/>
        <w:rPr>
          <w:rFonts w:eastAsiaTheme="minorEastAsia" w:cstheme="minorBidi"/>
          <w:i/>
          <w:iCs/>
          <w:noProof/>
          <w:sz w:val="22"/>
          <w:szCs w:val="22"/>
          <w:rtl/>
        </w:rPr>
      </w:pPr>
      <w:bookmarkStart w:id="12598" w:name="_Toc19435819"/>
      <w:bookmarkStart w:id="12599" w:name="_Toc20081067"/>
      <w:r>
        <w:rPr>
          <w:noProof/>
          <w:rtl/>
        </w:rPr>
        <w:t>ביאור רש"י בדעת רבנן לל"ב בשחט ב' שלישים והגרים שליש</w:t>
      </w:r>
      <w:bookmarkEnd w:id="12598"/>
      <w:bookmarkEnd w:id="12599"/>
    </w:p>
    <w:p w14:paraId="3812F339" w14:textId="77777777" w:rsidR="00D53B7D" w:rsidRDefault="00D53B7D" w:rsidP="005077A7">
      <w:pPr>
        <w:pStyle w:val="a"/>
        <w:rPr>
          <w:rFonts w:eastAsiaTheme="minorEastAsia" w:cstheme="minorBidi"/>
          <w:noProof/>
          <w:sz w:val="22"/>
          <w:szCs w:val="22"/>
          <w:rtl/>
        </w:rPr>
      </w:pPr>
      <w:r>
        <w:rPr>
          <w:noProof/>
          <w:rtl/>
        </w:rPr>
        <w:t>דברי רש"י דלרבנן בשחט ב' שלישים הוכשרה הבהמה ברוב ומתני' לאפוקי הגרים בתחילה</w:t>
      </w:r>
    </w:p>
    <w:p w14:paraId="4A09B1D7" w14:textId="77777777" w:rsidR="00D53B7D" w:rsidRDefault="00D53B7D" w:rsidP="00D53B7D">
      <w:pPr>
        <w:pStyle w:val="2"/>
        <w:rPr>
          <w:rFonts w:eastAsiaTheme="minorEastAsia" w:cstheme="minorBidi"/>
          <w:i/>
          <w:iCs/>
          <w:sz w:val="22"/>
          <w:szCs w:val="22"/>
          <w:rtl/>
        </w:rPr>
      </w:pPr>
      <w:bookmarkStart w:id="12600" w:name="_Toc19435820"/>
      <w:r>
        <w:rPr>
          <w:rtl/>
        </w:rPr>
        <w:t>בפלוגתת רב הונא ורב יהודה</w:t>
      </w:r>
      <w:bookmarkEnd w:id="12600"/>
    </w:p>
    <w:p w14:paraId="70F860AA" w14:textId="77777777" w:rsidR="00D53B7D" w:rsidRDefault="00D53B7D" w:rsidP="00D53B7D">
      <w:pPr>
        <w:pStyle w:val="aff4"/>
        <w:rPr>
          <w:rFonts w:eastAsiaTheme="minorEastAsia" w:cstheme="minorBidi"/>
          <w:i/>
          <w:iCs/>
          <w:noProof/>
          <w:sz w:val="22"/>
          <w:szCs w:val="22"/>
          <w:rtl/>
        </w:rPr>
      </w:pPr>
      <w:bookmarkStart w:id="12601" w:name="_Toc19435821"/>
      <w:bookmarkStart w:id="12602" w:name="_Toc20081068"/>
      <w:r>
        <w:rPr>
          <w:noProof/>
          <w:rtl/>
        </w:rPr>
        <w:t>דברי רש"י דנחלקו אי שחיטה תלויה ברוב או ביציאת החיות</w:t>
      </w:r>
      <w:bookmarkEnd w:id="12601"/>
      <w:bookmarkEnd w:id="12602"/>
    </w:p>
    <w:p w14:paraId="03A1589E" w14:textId="77777777" w:rsidR="00D53B7D" w:rsidRDefault="00D53B7D" w:rsidP="005077A7">
      <w:pPr>
        <w:pStyle w:val="a"/>
        <w:rPr>
          <w:rFonts w:eastAsiaTheme="minorEastAsia" w:cstheme="minorBidi"/>
          <w:noProof/>
          <w:sz w:val="22"/>
          <w:szCs w:val="22"/>
          <w:rtl/>
        </w:rPr>
      </w:pPr>
      <w:r>
        <w:rPr>
          <w:noProof/>
          <w:rtl/>
        </w:rPr>
        <w:t>דברי רש"י והריטב"א דלגירסא ברב יהודה שצריך רוב ביציאת החיות משמע דלא סגי בשחיטת רוב</w:t>
      </w:r>
    </w:p>
    <w:p w14:paraId="5FD14671" w14:textId="77777777" w:rsidR="00D53B7D" w:rsidRDefault="00D53B7D" w:rsidP="005077A7">
      <w:pPr>
        <w:pStyle w:val="a"/>
        <w:rPr>
          <w:rFonts w:eastAsiaTheme="minorEastAsia" w:cstheme="minorBidi"/>
          <w:noProof/>
          <w:sz w:val="22"/>
          <w:szCs w:val="22"/>
          <w:rtl/>
        </w:rPr>
      </w:pPr>
      <w:r>
        <w:rPr>
          <w:noProof/>
          <w:rtl/>
        </w:rPr>
        <w:t>ביאור רש"י והריטב"א דלרב יהודה הכשר שחיטה תלוי בשחיטת רוב הסימן ולא ביציאת החיות</w:t>
      </w:r>
    </w:p>
    <w:p w14:paraId="7A883ADC" w14:textId="77777777" w:rsidR="00D53B7D" w:rsidRDefault="00D53B7D" w:rsidP="005077A7">
      <w:pPr>
        <w:pStyle w:val="a"/>
        <w:rPr>
          <w:rFonts w:eastAsiaTheme="minorEastAsia" w:cstheme="minorBidi"/>
          <w:noProof/>
          <w:sz w:val="22"/>
          <w:szCs w:val="22"/>
          <w:rtl/>
        </w:rPr>
      </w:pPr>
      <w:r>
        <w:rPr>
          <w:noProof/>
          <w:rtl/>
        </w:rPr>
        <w:t>תירוץ הריטב"א דאף לגירסא שהביא רש"י הכוונה שצריך לשחוט את הרוב בשחיטה</w:t>
      </w:r>
    </w:p>
    <w:p w14:paraId="5746F3A5" w14:textId="77777777" w:rsidR="00D53B7D" w:rsidRDefault="00D53B7D" w:rsidP="005077A7">
      <w:pPr>
        <w:pStyle w:val="a"/>
        <w:rPr>
          <w:rFonts w:eastAsiaTheme="minorEastAsia" w:cstheme="minorBidi"/>
          <w:noProof/>
          <w:sz w:val="22"/>
          <w:szCs w:val="22"/>
          <w:rtl/>
        </w:rPr>
      </w:pPr>
      <w:r>
        <w:rPr>
          <w:noProof/>
          <w:rtl/>
        </w:rPr>
        <w:t>דברי רש"י דלרב הונא הכשר השחיטה הוא ביציאת החיות בשליש האמצעי</w:t>
      </w:r>
    </w:p>
    <w:p w14:paraId="57FDE62B" w14:textId="77777777" w:rsidR="00D53B7D" w:rsidRDefault="00D53B7D" w:rsidP="00D53B7D">
      <w:pPr>
        <w:pStyle w:val="aff4"/>
        <w:rPr>
          <w:rFonts w:eastAsiaTheme="minorEastAsia" w:cstheme="minorBidi"/>
          <w:i/>
          <w:iCs/>
          <w:noProof/>
          <w:sz w:val="22"/>
          <w:szCs w:val="22"/>
          <w:rtl/>
        </w:rPr>
      </w:pPr>
      <w:bookmarkStart w:id="12603" w:name="_Toc19435822"/>
      <w:bookmarkStart w:id="12604" w:name="_Toc20081069"/>
      <w:r>
        <w:rPr>
          <w:noProof/>
          <w:rtl/>
        </w:rPr>
        <w:t>דברי הרמב"ן והר"ן דנחלקו אי ההגרמה היא במקום שחיטה</w:t>
      </w:r>
      <w:bookmarkEnd w:id="12603"/>
      <w:bookmarkEnd w:id="12604"/>
    </w:p>
    <w:p w14:paraId="4273E8AC" w14:textId="77777777" w:rsidR="00D53B7D" w:rsidRDefault="00D53B7D" w:rsidP="005077A7">
      <w:pPr>
        <w:pStyle w:val="a"/>
        <w:rPr>
          <w:rFonts w:eastAsiaTheme="minorEastAsia" w:cstheme="minorBidi"/>
          <w:noProof/>
          <w:sz w:val="22"/>
          <w:szCs w:val="22"/>
          <w:rtl/>
        </w:rPr>
      </w:pPr>
      <w:r>
        <w:rPr>
          <w:noProof/>
          <w:rtl/>
        </w:rPr>
        <w:t>דברי הרמב"ן והר"ן דלרב הונא ההגרמה במקום שחיטה ולכן כשגמר את רוב הקנה בשחיטה כשר</w:t>
      </w:r>
    </w:p>
    <w:p w14:paraId="73B1DB48" w14:textId="77777777" w:rsidR="00D53B7D" w:rsidRDefault="00D53B7D" w:rsidP="005077A7">
      <w:pPr>
        <w:pStyle w:val="a"/>
        <w:rPr>
          <w:rFonts w:eastAsiaTheme="minorEastAsia" w:cstheme="minorBidi"/>
          <w:noProof/>
          <w:sz w:val="22"/>
          <w:szCs w:val="22"/>
          <w:rtl/>
        </w:rPr>
      </w:pPr>
      <w:r>
        <w:rPr>
          <w:noProof/>
          <w:rtl/>
        </w:rPr>
        <w:t>דברי הרמב"ן והר"ן דלרב יהודה ההגרמה אינה במקום שחיטה ורק כשרוב הסימן נשחט כשר</w:t>
      </w:r>
    </w:p>
    <w:p w14:paraId="09366055" w14:textId="77777777" w:rsidR="00D53B7D" w:rsidRDefault="00D53B7D" w:rsidP="005077A7">
      <w:pPr>
        <w:pStyle w:val="a"/>
        <w:rPr>
          <w:rFonts w:eastAsiaTheme="minorEastAsia" w:cstheme="minorBidi"/>
          <w:noProof/>
          <w:sz w:val="22"/>
          <w:szCs w:val="22"/>
          <w:rtl/>
        </w:rPr>
      </w:pPr>
      <w:r>
        <w:rPr>
          <w:noProof/>
          <w:rtl/>
        </w:rPr>
        <w:t>דברי הריב"ם והרא"ש דהגרמה אינה במקום שחיטה וכשוחט ברגלה</w:t>
      </w:r>
    </w:p>
    <w:p w14:paraId="061A4412" w14:textId="77777777" w:rsidR="00D53B7D" w:rsidRDefault="00D53B7D" w:rsidP="00D53B7D">
      <w:pPr>
        <w:pStyle w:val="aff4"/>
        <w:rPr>
          <w:rFonts w:eastAsiaTheme="minorEastAsia" w:cstheme="minorBidi"/>
          <w:i/>
          <w:iCs/>
          <w:noProof/>
          <w:sz w:val="22"/>
          <w:szCs w:val="22"/>
          <w:rtl/>
        </w:rPr>
      </w:pPr>
      <w:bookmarkStart w:id="12605" w:name="_Toc19435823"/>
      <w:bookmarkStart w:id="12606" w:name="_Toc20081070"/>
      <w:r>
        <w:rPr>
          <w:noProof/>
          <w:rtl/>
        </w:rPr>
        <w:t>דברי הריב"ש דלרב הונא אין דין שישחט הכל במקום שחיטה</w:t>
      </w:r>
      <w:bookmarkEnd w:id="12605"/>
      <w:bookmarkEnd w:id="12606"/>
    </w:p>
    <w:p w14:paraId="38B219F1" w14:textId="77777777" w:rsidR="00D53B7D" w:rsidRDefault="00D53B7D" w:rsidP="005077A7">
      <w:pPr>
        <w:pStyle w:val="a"/>
        <w:rPr>
          <w:rFonts w:eastAsiaTheme="minorEastAsia" w:cstheme="minorBidi"/>
          <w:noProof/>
          <w:sz w:val="22"/>
          <w:szCs w:val="22"/>
          <w:rtl/>
        </w:rPr>
      </w:pPr>
      <w:r>
        <w:rPr>
          <w:noProof/>
          <w:rtl/>
        </w:rPr>
        <w:t>דברי הריב"ש דלרב הונא ההגרמה מצטרפת לשחיטה אף שאינה במקום שחיטה</w:t>
      </w:r>
    </w:p>
    <w:p w14:paraId="2399FD42" w14:textId="77777777" w:rsidR="00D53B7D" w:rsidRDefault="00D53B7D" w:rsidP="005077A7">
      <w:pPr>
        <w:pStyle w:val="a"/>
        <w:rPr>
          <w:rFonts w:eastAsiaTheme="minorEastAsia" w:cstheme="minorBidi"/>
          <w:noProof/>
          <w:sz w:val="22"/>
          <w:szCs w:val="22"/>
          <w:rtl/>
        </w:rPr>
      </w:pPr>
      <w:r>
        <w:rPr>
          <w:noProof/>
          <w:rtl/>
        </w:rPr>
        <w:t>ביאור הריב"ש דלרב הונא רק יציאת החיות צריכה להיות במקום שחיטה ולא כל השחיטה</w:t>
      </w:r>
    </w:p>
    <w:p w14:paraId="6595841F" w14:textId="77777777" w:rsidR="00D53B7D" w:rsidRDefault="00D53B7D" w:rsidP="00D53B7D">
      <w:pPr>
        <w:pStyle w:val="aff4"/>
        <w:rPr>
          <w:rFonts w:eastAsiaTheme="minorEastAsia" w:cstheme="minorBidi"/>
          <w:i/>
          <w:iCs/>
          <w:noProof/>
          <w:sz w:val="22"/>
          <w:szCs w:val="22"/>
          <w:rtl/>
        </w:rPr>
      </w:pPr>
      <w:bookmarkStart w:id="12607" w:name="_Toc19435824"/>
      <w:bookmarkStart w:id="12608" w:name="_Toc20081071"/>
      <w:r>
        <w:rPr>
          <w:noProof/>
          <w:rtl/>
        </w:rPr>
        <w:t>דברי הריטב"א דנחלקו אי צריך רוב חיות או רוב סימן אף מפוזר</w:t>
      </w:r>
      <w:bookmarkEnd w:id="12607"/>
      <w:bookmarkEnd w:id="12608"/>
    </w:p>
    <w:p w14:paraId="33FA8D7A" w14:textId="77777777" w:rsidR="00D53B7D" w:rsidRDefault="00D53B7D" w:rsidP="005077A7">
      <w:pPr>
        <w:pStyle w:val="a"/>
        <w:rPr>
          <w:rFonts w:eastAsiaTheme="minorEastAsia" w:cstheme="minorBidi"/>
          <w:noProof/>
          <w:sz w:val="22"/>
          <w:szCs w:val="22"/>
          <w:rtl/>
        </w:rPr>
      </w:pPr>
      <w:r>
        <w:rPr>
          <w:noProof/>
          <w:rtl/>
        </w:rPr>
        <w:t>קושית הריטב"א מנליה לרב הונא דהכשיר ריבר"י ברוב חיות הא תני במתני' על פני רובה</w:t>
      </w:r>
    </w:p>
    <w:p w14:paraId="2E125099" w14:textId="77777777" w:rsidR="00D53B7D" w:rsidRDefault="00D53B7D" w:rsidP="005077A7">
      <w:pPr>
        <w:pStyle w:val="a"/>
        <w:rPr>
          <w:rFonts w:eastAsiaTheme="minorEastAsia" w:cstheme="minorBidi"/>
          <w:noProof/>
          <w:sz w:val="22"/>
          <w:szCs w:val="22"/>
          <w:rtl/>
        </w:rPr>
      </w:pPr>
      <w:r>
        <w:rPr>
          <w:noProof/>
          <w:rtl/>
        </w:rPr>
        <w:t>דברי הריטב"א דרב הונא ביאר בדברי ריבר"י במתני' דצריך לשחוט במקום שמשלים לרוב</w:t>
      </w:r>
    </w:p>
    <w:p w14:paraId="0FAAB7CE" w14:textId="77777777" w:rsidR="00D53B7D" w:rsidRDefault="00D53B7D" w:rsidP="005077A7">
      <w:pPr>
        <w:pStyle w:val="a"/>
        <w:rPr>
          <w:rFonts w:eastAsiaTheme="minorEastAsia" w:cstheme="minorBidi"/>
          <w:noProof/>
          <w:sz w:val="22"/>
          <w:szCs w:val="22"/>
          <w:rtl/>
        </w:rPr>
      </w:pPr>
      <w:r>
        <w:rPr>
          <w:noProof/>
          <w:rtl/>
        </w:rPr>
        <w:t>דברי הריטב"א דכיון שלרב הונא יציאת החיות מכשרת סגי בפחות משליש בשחיטה</w:t>
      </w:r>
    </w:p>
    <w:p w14:paraId="235A127C" w14:textId="77777777" w:rsidR="00D53B7D" w:rsidRDefault="00D53B7D" w:rsidP="005077A7">
      <w:pPr>
        <w:pStyle w:val="a"/>
        <w:rPr>
          <w:rFonts w:eastAsiaTheme="minorEastAsia" w:cstheme="minorBidi"/>
          <w:noProof/>
          <w:sz w:val="22"/>
          <w:szCs w:val="22"/>
          <w:rtl/>
        </w:rPr>
      </w:pPr>
      <w:r>
        <w:rPr>
          <w:noProof/>
          <w:rtl/>
        </w:rPr>
        <w:t>דברי הריטב"א דלרב יהודה ריבר"י מכשיר כשיש רוב שחיטה במקום שחיטה אף ברוב מפוזר</w:t>
      </w:r>
    </w:p>
    <w:p w14:paraId="5183DECF" w14:textId="77777777" w:rsidR="00D53B7D" w:rsidRDefault="00D53B7D" w:rsidP="00D53B7D">
      <w:pPr>
        <w:pStyle w:val="aff4"/>
        <w:rPr>
          <w:rFonts w:eastAsiaTheme="minorEastAsia" w:cstheme="minorBidi"/>
          <w:i/>
          <w:iCs/>
          <w:noProof/>
          <w:sz w:val="22"/>
          <w:szCs w:val="22"/>
          <w:rtl/>
        </w:rPr>
      </w:pPr>
      <w:bookmarkStart w:id="12609" w:name="_Toc19435825"/>
      <w:bookmarkStart w:id="12610" w:name="_Toc20081072"/>
      <w:r>
        <w:rPr>
          <w:noProof/>
          <w:rtl/>
        </w:rPr>
        <w:t>דברי רש"י בדברי רב חסדא לרב הונא שלא יחזור בו</w:t>
      </w:r>
      <w:bookmarkEnd w:id="12609"/>
      <w:bookmarkEnd w:id="12610"/>
    </w:p>
    <w:p w14:paraId="4B079B24" w14:textId="77777777" w:rsidR="00D53B7D" w:rsidRDefault="00D53B7D" w:rsidP="005077A7">
      <w:pPr>
        <w:pStyle w:val="a"/>
        <w:rPr>
          <w:rFonts w:eastAsiaTheme="minorEastAsia" w:cstheme="minorBidi"/>
          <w:noProof/>
          <w:sz w:val="22"/>
          <w:szCs w:val="22"/>
          <w:rtl/>
        </w:rPr>
      </w:pPr>
      <w:r>
        <w:rPr>
          <w:noProof/>
          <w:rtl/>
        </w:rPr>
        <w:t>דברי רש"י דרב הונא פסל בשחט והגרים ושחט מסברא דנפשיה ולכן חזר בו</w:t>
      </w:r>
    </w:p>
    <w:p w14:paraId="7DD79C26" w14:textId="77777777" w:rsidR="00D53B7D" w:rsidRDefault="00D53B7D" w:rsidP="005077A7">
      <w:pPr>
        <w:pStyle w:val="a"/>
        <w:rPr>
          <w:rFonts w:eastAsiaTheme="minorEastAsia" w:cstheme="minorBidi"/>
          <w:noProof/>
          <w:sz w:val="22"/>
          <w:szCs w:val="22"/>
          <w:rtl/>
        </w:rPr>
      </w:pPr>
      <w:r>
        <w:rPr>
          <w:noProof/>
          <w:rtl/>
        </w:rPr>
        <w:t>דברי רש"י דרב חסדא הוכיח מדברי רב הונא בשם רב דהכשר שחיטה תלוי ביציאת החיות</w:t>
      </w:r>
    </w:p>
    <w:p w14:paraId="538E6978" w14:textId="77777777" w:rsidR="00D53B7D" w:rsidRDefault="00D53B7D" w:rsidP="005077A7">
      <w:pPr>
        <w:pStyle w:val="a"/>
        <w:rPr>
          <w:rFonts w:eastAsiaTheme="minorEastAsia" w:cstheme="minorBidi"/>
          <w:noProof/>
          <w:sz w:val="22"/>
          <w:szCs w:val="22"/>
          <w:rtl/>
        </w:rPr>
      </w:pPr>
      <w:r>
        <w:rPr>
          <w:noProof/>
          <w:rtl/>
        </w:rPr>
        <w:t>דברי רש"י דאמר רב חסדא דבשחט והגרים ושחט פסול לדברי רב הונא כיון שיצאה החיות בפסול</w:t>
      </w:r>
    </w:p>
    <w:p w14:paraId="1971109D" w14:textId="77777777" w:rsidR="00D53B7D" w:rsidRDefault="00D53B7D" w:rsidP="00D53B7D">
      <w:pPr>
        <w:pStyle w:val="aff4"/>
        <w:rPr>
          <w:rFonts w:eastAsiaTheme="minorEastAsia" w:cstheme="minorBidi"/>
          <w:i/>
          <w:iCs/>
          <w:noProof/>
          <w:sz w:val="22"/>
          <w:szCs w:val="22"/>
          <w:rtl/>
        </w:rPr>
      </w:pPr>
      <w:bookmarkStart w:id="12611" w:name="_Toc19435826"/>
      <w:bookmarkStart w:id="12612" w:name="_Toc20081073"/>
      <w:r>
        <w:rPr>
          <w:noProof/>
          <w:rtl/>
        </w:rPr>
        <w:t>דברי הריטב"א בביאור דעת רב הונא דרצה לחזור בו</w:t>
      </w:r>
      <w:bookmarkEnd w:id="12611"/>
      <w:bookmarkEnd w:id="12612"/>
    </w:p>
    <w:p w14:paraId="21971FB8" w14:textId="77777777" w:rsidR="00D53B7D" w:rsidRDefault="00D53B7D" w:rsidP="005077A7">
      <w:pPr>
        <w:pStyle w:val="a"/>
        <w:rPr>
          <w:rFonts w:eastAsiaTheme="minorEastAsia" w:cstheme="minorBidi"/>
          <w:noProof/>
          <w:sz w:val="22"/>
          <w:szCs w:val="22"/>
          <w:rtl/>
        </w:rPr>
      </w:pPr>
      <w:r>
        <w:rPr>
          <w:noProof/>
          <w:rtl/>
        </w:rPr>
        <w:t>דברי הריטב"א דסבר רב הונא דלריבר"י צריך גם רוב סימן וגם יציאת חיות ברוב שחיטה</w:t>
      </w:r>
    </w:p>
    <w:p w14:paraId="3DA890AA" w14:textId="77777777" w:rsidR="00D53B7D" w:rsidRDefault="00D53B7D" w:rsidP="005077A7">
      <w:pPr>
        <w:pStyle w:val="a"/>
        <w:rPr>
          <w:rFonts w:eastAsiaTheme="minorEastAsia" w:cstheme="minorBidi"/>
          <w:noProof/>
          <w:sz w:val="22"/>
          <w:szCs w:val="22"/>
          <w:rtl/>
        </w:rPr>
      </w:pPr>
      <w:r>
        <w:rPr>
          <w:noProof/>
          <w:rtl/>
        </w:rPr>
        <w:t>ביאור הריטב"א דלרב חסדא כוונת המשנה לרוב אחד ולדברי רב הונא היינו רוב ביציאת החיות</w:t>
      </w:r>
    </w:p>
    <w:p w14:paraId="06C293CA" w14:textId="77777777" w:rsidR="00D53B7D" w:rsidRDefault="00D53B7D" w:rsidP="005077A7">
      <w:pPr>
        <w:pStyle w:val="a"/>
        <w:rPr>
          <w:rFonts w:eastAsiaTheme="minorEastAsia" w:cstheme="minorBidi"/>
          <w:noProof/>
          <w:sz w:val="22"/>
          <w:szCs w:val="22"/>
          <w:rtl/>
        </w:rPr>
      </w:pPr>
      <w:r>
        <w:rPr>
          <w:noProof/>
          <w:rtl/>
        </w:rPr>
        <w:t>דברי הריטב"א דיתכן שאמר כן רב חסדא בשיטת רב הונא אך לא ס"ל כרב הונא</w:t>
      </w:r>
    </w:p>
    <w:p w14:paraId="71AC718A" w14:textId="77777777" w:rsidR="00D53B7D" w:rsidRDefault="00D53B7D" w:rsidP="00D53B7D">
      <w:pPr>
        <w:pStyle w:val="aff4"/>
        <w:rPr>
          <w:rFonts w:eastAsiaTheme="minorEastAsia" w:cstheme="minorBidi"/>
          <w:i/>
          <w:iCs/>
          <w:noProof/>
          <w:sz w:val="22"/>
          <w:szCs w:val="22"/>
          <w:rtl/>
        </w:rPr>
      </w:pPr>
      <w:bookmarkStart w:id="12613" w:name="_Toc19435827"/>
      <w:bookmarkStart w:id="12614" w:name="_Toc20081074"/>
      <w:r>
        <w:rPr>
          <w:noProof/>
          <w:rtl/>
        </w:rPr>
        <w:t>ביאור החזו"א דלרב יהודה מקום ההגרמה אינו כקנה לשחיטה</w:t>
      </w:r>
      <w:bookmarkEnd w:id="12613"/>
      <w:bookmarkEnd w:id="12614"/>
    </w:p>
    <w:p w14:paraId="7F8CAE12" w14:textId="77777777" w:rsidR="00D53B7D" w:rsidRDefault="00D53B7D" w:rsidP="005077A7">
      <w:pPr>
        <w:pStyle w:val="a"/>
        <w:rPr>
          <w:rFonts w:eastAsiaTheme="minorEastAsia" w:cstheme="minorBidi"/>
          <w:noProof/>
          <w:sz w:val="22"/>
          <w:szCs w:val="22"/>
          <w:rtl/>
        </w:rPr>
      </w:pPr>
      <w:r>
        <w:rPr>
          <w:noProof/>
          <w:rtl/>
        </w:rPr>
        <w:t>דברי החזו"א דלרב יהודה מקום ההגרמה לא חשיב קנה וכשיצאה החיות בצירוף ההגרמה פסול</w:t>
      </w:r>
    </w:p>
    <w:p w14:paraId="52FEDAF4" w14:textId="77777777" w:rsidR="00D53B7D" w:rsidRDefault="00D53B7D" w:rsidP="005077A7">
      <w:pPr>
        <w:pStyle w:val="a"/>
        <w:rPr>
          <w:rFonts w:eastAsiaTheme="minorEastAsia" w:cstheme="minorBidi"/>
          <w:noProof/>
          <w:sz w:val="22"/>
          <w:szCs w:val="22"/>
          <w:rtl/>
        </w:rPr>
      </w:pPr>
      <w:r>
        <w:rPr>
          <w:noProof/>
          <w:rtl/>
        </w:rPr>
        <w:t>דברי החזו"א בדעת רב יהודה דשליש ההגרמה אינו מוציא את החיות ויש חיות בשליש האחרון</w:t>
      </w:r>
    </w:p>
    <w:p w14:paraId="1622AA92" w14:textId="77777777" w:rsidR="00D53B7D" w:rsidRDefault="00D53B7D" w:rsidP="005077A7">
      <w:pPr>
        <w:pStyle w:val="a"/>
        <w:rPr>
          <w:rFonts w:eastAsiaTheme="minorEastAsia" w:cstheme="minorBidi"/>
          <w:noProof/>
          <w:sz w:val="22"/>
          <w:szCs w:val="22"/>
          <w:rtl/>
        </w:rPr>
      </w:pPr>
      <w:r>
        <w:rPr>
          <w:noProof/>
          <w:rtl/>
        </w:rPr>
        <w:t>דברי החזו"א דכיון שחל על השליש השחוט שם שחיטה אינו מצטרף להטריף עם שליש המוגרם</w:t>
      </w:r>
    </w:p>
    <w:p w14:paraId="4AF6540B" w14:textId="77777777" w:rsidR="00D53B7D" w:rsidRDefault="00D53B7D" w:rsidP="00D53B7D">
      <w:pPr>
        <w:pStyle w:val="aff4"/>
        <w:rPr>
          <w:rFonts w:eastAsiaTheme="minorEastAsia" w:cstheme="minorBidi"/>
          <w:i/>
          <w:iCs/>
          <w:noProof/>
          <w:sz w:val="22"/>
          <w:szCs w:val="22"/>
          <w:rtl/>
        </w:rPr>
      </w:pPr>
      <w:bookmarkStart w:id="12615" w:name="_Toc19435828"/>
      <w:bookmarkStart w:id="12616" w:name="_Toc20081075"/>
      <w:r>
        <w:rPr>
          <w:noProof/>
          <w:rtl/>
        </w:rPr>
        <w:t>ביאור החזו"א דלרב הונא הגרמה הוא תנאי בשחיטה</w:t>
      </w:r>
      <w:bookmarkEnd w:id="12615"/>
      <w:bookmarkEnd w:id="12616"/>
    </w:p>
    <w:p w14:paraId="6702FBE4" w14:textId="77777777" w:rsidR="00D53B7D" w:rsidRPr="003B49E4" w:rsidRDefault="00D53B7D" w:rsidP="005077A7">
      <w:pPr>
        <w:pStyle w:val="a"/>
        <w:rPr>
          <w:rFonts w:eastAsiaTheme="minorEastAsia"/>
          <w:noProof/>
          <w:sz w:val="22"/>
          <w:szCs w:val="22"/>
          <w:u w:val="single"/>
          <w:rtl/>
        </w:rPr>
      </w:pPr>
      <w:r>
        <w:rPr>
          <w:noProof/>
          <w:rtl/>
        </w:rPr>
        <w:t>דברי החזו"א דלרב הונא ההגרמה הוא תנאי בשחיטה אך יציאת החיות בהגרמה היא כבשחיט</w:t>
      </w:r>
      <w:r w:rsidRPr="003B49E4">
        <w:rPr>
          <w:noProof/>
          <w:u w:val="single"/>
          <w:rtl/>
        </w:rPr>
        <w:t>ה</w:t>
      </w:r>
    </w:p>
    <w:p w14:paraId="7886481F" w14:textId="77777777" w:rsidR="00D53B7D" w:rsidRDefault="00D53B7D" w:rsidP="005077A7">
      <w:pPr>
        <w:pStyle w:val="a"/>
        <w:rPr>
          <w:rFonts w:eastAsiaTheme="minorEastAsia" w:cstheme="minorBidi"/>
          <w:noProof/>
          <w:sz w:val="22"/>
          <w:szCs w:val="22"/>
          <w:rtl/>
        </w:rPr>
      </w:pPr>
      <w:r>
        <w:rPr>
          <w:noProof/>
          <w:rtl/>
        </w:rPr>
        <w:t>דברי החזו"א דלרב הונא שההגרמה במקום שחיטה השליש האחרון הוא כמנח בדיקולא</w:t>
      </w:r>
    </w:p>
    <w:p w14:paraId="5289B57C" w14:textId="77777777" w:rsidR="00D53B7D" w:rsidRDefault="00D53B7D" w:rsidP="00D53B7D">
      <w:pPr>
        <w:pStyle w:val="aff4"/>
        <w:rPr>
          <w:rFonts w:eastAsiaTheme="minorEastAsia" w:cstheme="minorBidi"/>
          <w:i/>
          <w:iCs/>
          <w:noProof/>
          <w:sz w:val="22"/>
          <w:szCs w:val="22"/>
          <w:rtl/>
        </w:rPr>
      </w:pPr>
      <w:bookmarkStart w:id="12617" w:name="_Toc19435829"/>
      <w:bookmarkStart w:id="12618" w:name="_Toc20081076"/>
      <w:r>
        <w:rPr>
          <w:noProof/>
          <w:rtl/>
        </w:rPr>
        <w:t>דברי החזו"א דנחלקו רב הונא ורב חסדא אי הוי כמנח בדיקולא</w:t>
      </w:r>
      <w:bookmarkEnd w:id="12617"/>
      <w:bookmarkEnd w:id="12618"/>
    </w:p>
    <w:p w14:paraId="0804495E" w14:textId="77777777" w:rsidR="00D53B7D" w:rsidRDefault="00D53B7D" w:rsidP="005077A7">
      <w:pPr>
        <w:pStyle w:val="a"/>
        <w:rPr>
          <w:rFonts w:eastAsiaTheme="minorEastAsia" w:cstheme="minorBidi"/>
          <w:noProof/>
          <w:sz w:val="22"/>
          <w:szCs w:val="22"/>
          <w:rtl/>
        </w:rPr>
      </w:pPr>
      <w:r>
        <w:rPr>
          <w:noProof/>
          <w:rtl/>
        </w:rPr>
        <w:t>דברי החזו"א דלרב חסדא דבדברי רב הונא בשם רב מוכח דההגרמה אינה במקום שחיטה</w:t>
      </w:r>
    </w:p>
    <w:p w14:paraId="277F3D2B" w14:textId="77777777" w:rsidR="00D53B7D" w:rsidRDefault="00D53B7D" w:rsidP="005077A7">
      <w:pPr>
        <w:pStyle w:val="a"/>
        <w:rPr>
          <w:rFonts w:eastAsiaTheme="minorEastAsia" w:cstheme="minorBidi"/>
          <w:noProof/>
          <w:sz w:val="22"/>
          <w:szCs w:val="22"/>
          <w:rtl/>
        </w:rPr>
      </w:pPr>
      <w:r>
        <w:rPr>
          <w:noProof/>
          <w:rtl/>
        </w:rPr>
        <w:t>דברי החזו"א דרב הונא רצה לחזור בו דס"ל כדעת רב זירא דאינו כמנח בדיקולא</w:t>
      </w:r>
    </w:p>
    <w:p w14:paraId="575A5FEE" w14:textId="77777777" w:rsidR="00D53B7D" w:rsidRDefault="00D53B7D" w:rsidP="005077A7">
      <w:pPr>
        <w:pStyle w:val="a"/>
        <w:rPr>
          <w:rFonts w:eastAsiaTheme="minorEastAsia" w:cstheme="minorBidi"/>
          <w:noProof/>
          <w:sz w:val="22"/>
          <w:szCs w:val="22"/>
          <w:rtl/>
        </w:rPr>
      </w:pPr>
      <w:r>
        <w:rPr>
          <w:noProof/>
          <w:rtl/>
        </w:rPr>
        <w:t>דברי החזו"א דאף שנחתך הרוב א"א להטריף כיון שיש על השליש שם שחיטה</w:t>
      </w:r>
    </w:p>
    <w:p w14:paraId="411F07F9" w14:textId="77777777" w:rsidR="00D53B7D" w:rsidRDefault="00D53B7D" w:rsidP="005077A7">
      <w:pPr>
        <w:pStyle w:val="a"/>
        <w:rPr>
          <w:rFonts w:eastAsiaTheme="minorEastAsia" w:cstheme="minorBidi"/>
          <w:noProof/>
          <w:sz w:val="22"/>
          <w:szCs w:val="22"/>
          <w:rtl/>
        </w:rPr>
      </w:pPr>
      <w:r>
        <w:rPr>
          <w:noProof/>
          <w:rtl/>
        </w:rPr>
        <w:t>דברי החזו"א דאף שיש לשליש האחרון שם שחיטה אינו יכול לפסול בהגרים שליש ושחט שליש</w:t>
      </w:r>
    </w:p>
    <w:p w14:paraId="5E81C57B" w14:textId="77777777" w:rsidR="00D53B7D" w:rsidRDefault="00D53B7D" w:rsidP="005077A7">
      <w:pPr>
        <w:pStyle w:val="a"/>
        <w:rPr>
          <w:rFonts w:eastAsiaTheme="minorEastAsia" w:cstheme="minorBidi"/>
          <w:noProof/>
          <w:sz w:val="22"/>
          <w:szCs w:val="22"/>
          <w:rtl/>
        </w:rPr>
      </w:pPr>
      <w:r>
        <w:rPr>
          <w:noProof/>
          <w:rtl/>
        </w:rPr>
        <w:t>דברי החזו"א דבהגרים שליש ושחט שליש ההכשר הוא רק ע"י השליש האחרון</w:t>
      </w:r>
    </w:p>
    <w:p w14:paraId="3381DA59" w14:textId="77777777" w:rsidR="00D53B7D" w:rsidRDefault="00D53B7D" w:rsidP="00D53B7D">
      <w:pPr>
        <w:pStyle w:val="aff4"/>
        <w:rPr>
          <w:rFonts w:eastAsiaTheme="minorEastAsia" w:cstheme="minorBidi"/>
          <w:i/>
          <w:iCs/>
          <w:noProof/>
          <w:sz w:val="22"/>
          <w:szCs w:val="22"/>
          <w:rtl/>
        </w:rPr>
      </w:pPr>
      <w:bookmarkStart w:id="12619" w:name="_Toc19435830"/>
      <w:bookmarkStart w:id="12620" w:name="_Toc20081077"/>
      <w:r>
        <w:rPr>
          <w:noProof/>
          <w:rtl/>
        </w:rPr>
        <w:t>ביאור החזו"א בדעת רב אסי בלישנא בתרא</w:t>
      </w:r>
      <w:bookmarkEnd w:id="12619"/>
      <w:bookmarkEnd w:id="12620"/>
    </w:p>
    <w:p w14:paraId="17A259EF" w14:textId="77777777" w:rsidR="00D53B7D" w:rsidRDefault="00D53B7D" w:rsidP="005077A7">
      <w:pPr>
        <w:pStyle w:val="a"/>
        <w:rPr>
          <w:rFonts w:eastAsiaTheme="minorEastAsia" w:cstheme="minorBidi"/>
          <w:noProof/>
          <w:sz w:val="22"/>
          <w:szCs w:val="22"/>
          <w:rtl/>
        </w:rPr>
      </w:pPr>
      <w:r>
        <w:rPr>
          <w:noProof/>
          <w:rtl/>
        </w:rPr>
        <w:t>קושית החזו"א אמאי לל"ב בהגרים ושחט ב' שלישים פסול הא א"א להטריף ע"י החלק השחוט</w:t>
      </w:r>
    </w:p>
    <w:p w14:paraId="4A60D1E2" w14:textId="77777777" w:rsidR="00D53B7D" w:rsidRDefault="00D53B7D" w:rsidP="005077A7">
      <w:pPr>
        <w:pStyle w:val="a"/>
        <w:rPr>
          <w:rFonts w:eastAsiaTheme="minorEastAsia" w:cstheme="minorBidi"/>
          <w:noProof/>
          <w:sz w:val="22"/>
          <w:szCs w:val="22"/>
          <w:rtl/>
        </w:rPr>
      </w:pPr>
      <w:r>
        <w:rPr>
          <w:noProof/>
          <w:rtl/>
        </w:rPr>
        <w:t>תירוץ החזו"א דלדעת רב אסי אף דבר שיש עליו שם שחיטה מצטרף לפסול ודלא כרב יהודה</w:t>
      </w:r>
    </w:p>
    <w:p w14:paraId="7F609D72" w14:textId="77777777" w:rsidR="00D53B7D" w:rsidRPr="009C5496" w:rsidRDefault="00D53B7D" w:rsidP="005077A7">
      <w:pPr>
        <w:pStyle w:val="a"/>
        <w:rPr>
          <w:rFonts w:eastAsiaTheme="minorEastAsia" w:cstheme="minorBidi"/>
          <w:noProof/>
          <w:sz w:val="22"/>
          <w:szCs w:val="22"/>
          <w:rtl/>
        </w:rPr>
      </w:pPr>
      <w:r>
        <w:rPr>
          <w:noProof/>
          <w:rtl/>
        </w:rPr>
        <w:t>תירוץ בחזו"א דבשחט שליש והגרים ב' שלישים לא חל שם שחוט כלל כיון שאין רוב קנה שחוט</w:t>
      </w:r>
    </w:p>
    <w:p w14:paraId="38851028" w14:textId="77777777" w:rsidR="00D53B7D" w:rsidRDefault="00D53B7D" w:rsidP="00D53B7D">
      <w:pPr>
        <w:pStyle w:val="2"/>
        <w:rPr>
          <w:rFonts w:eastAsiaTheme="minorEastAsia" w:cstheme="minorBidi"/>
          <w:i/>
          <w:iCs/>
          <w:sz w:val="22"/>
          <w:szCs w:val="22"/>
          <w:rtl/>
        </w:rPr>
      </w:pPr>
      <w:bookmarkStart w:id="12621" w:name="_Toc19435831"/>
      <w:r>
        <w:rPr>
          <w:rtl/>
        </w:rPr>
        <w:t>בסתירת דברי רב הונא</w:t>
      </w:r>
      <w:bookmarkEnd w:id="12621"/>
    </w:p>
    <w:p w14:paraId="63C99E2E" w14:textId="77777777" w:rsidR="00D53B7D" w:rsidRDefault="00D53B7D" w:rsidP="00D53B7D">
      <w:pPr>
        <w:pStyle w:val="aff4"/>
        <w:rPr>
          <w:rFonts w:eastAsiaTheme="minorEastAsia" w:cstheme="minorBidi"/>
          <w:i/>
          <w:iCs/>
          <w:noProof/>
          <w:sz w:val="22"/>
          <w:szCs w:val="22"/>
          <w:rtl/>
        </w:rPr>
      </w:pPr>
      <w:bookmarkStart w:id="12622" w:name="_Toc19435832"/>
      <w:bookmarkStart w:id="12623" w:name="_Toc20081078"/>
      <w:r>
        <w:rPr>
          <w:noProof/>
          <w:rtl/>
        </w:rPr>
        <w:t>דברי רש"י דהל"ב בהגרמה דריבר"י ורב הונא בהגרמה דרחב"א</w:t>
      </w:r>
      <w:bookmarkEnd w:id="12622"/>
      <w:bookmarkEnd w:id="12623"/>
    </w:p>
    <w:p w14:paraId="48C627C6" w14:textId="77777777" w:rsidR="00D53B7D" w:rsidRDefault="00D53B7D" w:rsidP="005077A7">
      <w:pPr>
        <w:pStyle w:val="a"/>
        <w:rPr>
          <w:rFonts w:eastAsiaTheme="minorEastAsia" w:cstheme="minorBidi"/>
          <w:noProof/>
          <w:sz w:val="22"/>
          <w:szCs w:val="22"/>
          <w:rtl/>
        </w:rPr>
      </w:pPr>
      <w:r>
        <w:rPr>
          <w:noProof/>
          <w:rtl/>
        </w:rPr>
        <w:t>קושית רש"י דכיון דפסל רב הונא בהגרים ושחט ב' שלישים כ"ש דפסול בהגרים ושחט והגרים</w:t>
      </w:r>
    </w:p>
    <w:p w14:paraId="74F0A155" w14:textId="77777777" w:rsidR="00D53B7D" w:rsidRDefault="00D53B7D" w:rsidP="005077A7">
      <w:pPr>
        <w:pStyle w:val="a"/>
        <w:rPr>
          <w:rFonts w:eastAsiaTheme="minorEastAsia" w:cstheme="minorBidi"/>
          <w:noProof/>
          <w:sz w:val="22"/>
          <w:szCs w:val="22"/>
          <w:rtl/>
        </w:rPr>
      </w:pPr>
      <w:r>
        <w:rPr>
          <w:noProof/>
          <w:rtl/>
        </w:rPr>
        <w:t>דברי רש"י דרב הונא דפסל בל"ב קאי על מתני' ובשחט והגרים ושחט הכשיר במוגרמת דרחב"א</w:t>
      </w:r>
    </w:p>
    <w:p w14:paraId="4E6A21E1" w14:textId="77777777" w:rsidR="00D53B7D" w:rsidRDefault="00D53B7D" w:rsidP="005077A7">
      <w:pPr>
        <w:pStyle w:val="a"/>
        <w:rPr>
          <w:rFonts w:eastAsiaTheme="minorEastAsia" w:cstheme="minorBidi"/>
          <w:noProof/>
          <w:sz w:val="22"/>
          <w:szCs w:val="22"/>
          <w:rtl/>
        </w:rPr>
      </w:pPr>
      <w:r>
        <w:rPr>
          <w:noProof/>
          <w:rtl/>
        </w:rPr>
        <w:t>דברי המהרש"א דלרבר"י א"א להכשיר בשחט והגרים ושחט דאינו על פני רובה</w:t>
      </w:r>
    </w:p>
    <w:p w14:paraId="58A29312" w14:textId="77777777" w:rsidR="00D53B7D" w:rsidRDefault="00D53B7D" w:rsidP="005077A7">
      <w:pPr>
        <w:pStyle w:val="a"/>
        <w:rPr>
          <w:rFonts w:eastAsiaTheme="minorEastAsia" w:cstheme="minorBidi"/>
          <w:noProof/>
          <w:sz w:val="22"/>
          <w:szCs w:val="22"/>
          <w:rtl/>
        </w:rPr>
      </w:pPr>
      <w:r>
        <w:rPr>
          <w:noProof/>
          <w:rtl/>
        </w:rPr>
        <w:t>קושיות התוס' הרא"ש והמהרש"א דלא נחלקו בזה ריבר"י ורחב"א ורב גופיה פסק כריבר"י</w:t>
      </w:r>
    </w:p>
    <w:p w14:paraId="6FF10DAD" w14:textId="77777777" w:rsidR="00D53B7D" w:rsidRDefault="00D53B7D" w:rsidP="00D53B7D">
      <w:pPr>
        <w:pStyle w:val="aff4"/>
        <w:rPr>
          <w:rFonts w:eastAsiaTheme="minorEastAsia" w:cstheme="minorBidi"/>
          <w:i/>
          <w:iCs/>
          <w:noProof/>
          <w:sz w:val="22"/>
          <w:szCs w:val="22"/>
          <w:rtl/>
        </w:rPr>
      </w:pPr>
      <w:bookmarkStart w:id="12624" w:name="_Toc19435833"/>
      <w:bookmarkStart w:id="12625" w:name="_Toc20081079"/>
      <w:r>
        <w:rPr>
          <w:noProof/>
          <w:rtl/>
        </w:rPr>
        <w:t>תירוץ התוס' דהל"ב הכשירה לרב אסי ורב הונא פסל בשם רב</w:t>
      </w:r>
      <w:bookmarkEnd w:id="12624"/>
      <w:bookmarkEnd w:id="12625"/>
    </w:p>
    <w:p w14:paraId="0DA69485" w14:textId="77777777" w:rsidR="00D53B7D" w:rsidRDefault="00D53B7D" w:rsidP="005077A7">
      <w:pPr>
        <w:pStyle w:val="a"/>
        <w:rPr>
          <w:rFonts w:eastAsiaTheme="minorEastAsia" w:cstheme="minorBidi"/>
          <w:noProof/>
          <w:sz w:val="22"/>
          <w:szCs w:val="22"/>
          <w:rtl/>
        </w:rPr>
      </w:pPr>
      <w:r>
        <w:rPr>
          <w:noProof/>
          <w:rtl/>
        </w:rPr>
        <w:t>תירוץ התוס' דרב הונא בל"ב פסל בשם רב אסי והכשיר בשחט והגרים ושחט בשם רב</w:t>
      </w:r>
    </w:p>
    <w:p w14:paraId="4A9C70BB" w14:textId="77777777" w:rsidR="00D53B7D" w:rsidRDefault="00D53B7D" w:rsidP="005077A7">
      <w:pPr>
        <w:pStyle w:val="a"/>
        <w:rPr>
          <w:rFonts w:eastAsiaTheme="minorEastAsia" w:cstheme="minorBidi"/>
          <w:noProof/>
          <w:sz w:val="22"/>
          <w:szCs w:val="22"/>
          <w:rtl/>
        </w:rPr>
      </w:pPr>
      <w:r>
        <w:rPr>
          <w:noProof/>
          <w:rtl/>
        </w:rPr>
        <w:t>ביאור המהרש"א בתוס' דרב ס"ל דאף לריבר"י כשר כשהשלים את הרוב בשחיטה</w:t>
      </w:r>
    </w:p>
    <w:p w14:paraId="6E9D9B89" w14:textId="77777777" w:rsidR="00D53B7D" w:rsidRDefault="00D53B7D" w:rsidP="00D53B7D">
      <w:pPr>
        <w:pStyle w:val="2"/>
        <w:rPr>
          <w:rFonts w:eastAsiaTheme="minorEastAsia" w:cstheme="minorBidi"/>
          <w:i/>
          <w:iCs/>
          <w:sz w:val="22"/>
          <w:szCs w:val="22"/>
          <w:rtl/>
        </w:rPr>
      </w:pPr>
      <w:bookmarkStart w:id="12626" w:name="_Toc19435834"/>
      <w:r>
        <w:rPr>
          <w:rtl/>
        </w:rPr>
        <w:t>דעות הראשונים להלכה</w:t>
      </w:r>
      <w:bookmarkEnd w:id="12626"/>
    </w:p>
    <w:p w14:paraId="2F64BC4C" w14:textId="77777777" w:rsidR="00D53B7D" w:rsidRDefault="00D53B7D" w:rsidP="00D53B7D">
      <w:pPr>
        <w:pStyle w:val="aff4"/>
        <w:rPr>
          <w:rFonts w:eastAsiaTheme="minorEastAsia" w:cstheme="minorBidi"/>
          <w:i/>
          <w:iCs/>
          <w:noProof/>
          <w:sz w:val="22"/>
          <w:szCs w:val="22"/>
          <w:rtl/>
        </w:rPr>
      </w:pPr>
      <w:bookmarkStart w:id="12627" w:name="_Toc19435835"/>
      <w:bookmarkStart w:id="12628" w:name="_Toc20081080"/>
      <w:r>
        <w:rPr>
          <w:noProof/>
          <w:rtl/>
        </w:rPr>
        <w:t>דעת רש"י דמספק צריך להחמיר בהגרמה</w:t>
      </w:r>
      <w:bookmarkEnd w:id="12627"/>
      <w:bookmarkEnd w:id="12628"/>
    </w:p>
    <w:p w14:paraId="46988E3E" w14:textId="77777777" w:rsidR="00D53B7D" w:rsidRDefault="00D53B7D" w:rsidP="005077A7">
      <w:pPr>
        <w:pStyle w:val="a"/>
        <w:rPr>
          <w:rFonts w:eastAsiaTheme="minorEastAsia" w:cstheme="minorBidi"/>
          <w:noProof/>
          <w:sz w:val="22"/>
          <w:szCs w:val="22"/>
          <w:rtl/>
        </w:rPr>
      </w:pPr>
      <w:r>
        <w:rPr>
          <w:noProof/>
          <w:rtl/>
        </w:rPr>
        <w:t>דעת רש"י דהשחיטה כשרה רק בשחט ב' שלישים והגרים ובשאר האופנים מספק אסור</w:t>
      </w:r>
    </w:p>
    <w:p w14:paraId="6595CA2C" w14:textId="77777777" w:rsidR="00D53B7D" w:rsidRDefault="00D53B7D" w:rsidP="00D53B7D">
      <w:pPr>
        <w:pStyle w:val="aff4"/>
        <w:rPr>
          <w:rFonts w:eastAsiaTheme="minorEastAsia" w:cstheme="minorBidi"/>
          <w:i/>
          <w:iCs/>
          <w:noProof/>
          <w:sz w:val="22"/>
          <w:szCs w:val="22"/>
          <w:rtl/>
        </w:rPr>
      </w:pPr>
      <w:bookmarkStart w:id="12629" w:name="_Toc19435836"/>
      <w:bookmarkStart w:id="12630" w:name="_Toc20081081"/>
      <w:r>
        <w:rPr>
          <w:noProof/>
          <w:rtl/>
        </w:rPr>
        <w:t>הרי"ף השמיט את פלוגתת רב הונא ורב יהודה</w:t>
      </w:r>
      <w:bookmarkEnd w:id="12629"/>
      <w:bookmarkEnd w:id="12630"/>
    </w:p>
    <w:p w14:paraId="3E79D82B" w14:textId="77777777" w:rsidR="00D53B7D" w:rsidRDefault="00D53B7D" w:rsidP="005077A7">
      <w:pPr>
        <w:pStyle w:val="a"/>
        <w:rPr>
          <w:rFonts w:eastAsiaTheme="minorEastAsia" w:cstheme="minorBidi"/>
          <w:noProof/>
          <w:sz w:val="22"/>
          <w:szCs w:val="22"/>
          <w:rtl/>
        </w:rPr>
      </w:pPr>
      <w:r>
        <w:rPr>
          <w:noProof/>
          <w:rtl/>
        </w:rPr>
        <w:t>קושית הרמב"ן על הרי"ף אמאי השמיט את פלוגתת רב הונא ורב יהודה</w:t>
      </w:r>
    </w:p>
    <w:p w14:paraId="6366CFD2" w14:textId="77777777" w:rsidR="00D53B7D" w:rsidRDefault="00D53B7D" w:rsidP="00D53B7D">
      <w:pPr>
        <w:pStyle w:val="aff4"/>
        <w:rPr>
          <w:rFonts w:eastAsiaTheme="minorEastAsia" w:cstheme="minorBidi"/>
          <w:i/>
          <w:iCs/>
          <w:noProof/>
          <w:sz w:val="22"/>
          <w:szCs w:val="22"/>
          <w:rtl/>
        </w:rPr>
      </w:pPr>
      <w:bookmarkStart w:id="12631" w:name="_Toc19435837"/>
      <w:bookmarkStart w:id="12632" w:name="_Toc20081082"/>
      <w:r>
        <w:rPr>
          <w:noProof/>
          <w:rtl/>
        </w:rPr>
        <w:t>דברי הראב"ד והמאירי ברי"ף דר"ה ור"י נחלקו בדעת רבר"י</w:t>
      </w:r>
      <w:bookmarkEnd w:id="12631"/>
      <w:bookmarkEnd w:id="12632"/>
    </w:p>
    <w:p w14:paraId="7A3FA232" w14:textId="77777777" w:rsidR="00D53B7D" w:rsidRDefault="00D53B7D" w:rsidP="005077A7">
      <w:pPr>
        <w:pStyle w:val="a"/>
        <w:rPr>
          <w:rFonts w:eastAsiaTheme="minorEastAsia" w:cstheme="minorBidi"/>
          <w:noProof/>
          <w:sz w:val="22"/>
          <w:szCs w:val="22"/>
          <w:rtl/>
        </w:rPr>
      </w:pPr>
      <w:r>
        <w:rPr>
          <w:noProof/>
          <w:rtl/>
        </w:rPr>
        <w:t>דברי הראב"ד והמאירי דכל פלוגתת ר"ה ור"י היא לרבר"י ורבנן דההגרמה היא במקום החיות</w:t>
      </w:r>
    </w:p>
    <w:p w14:paraId="763E627B" w14:textId="77777777" w:rsidR="00D53B7D" w:rsidRDefault="00D53B7D" w:rsidP="005077A7">
      <w:pPr>
        <w:pStyle w:val="a"/>
        <w:rPr>
          <w:rFonts w:eastAsiaTheme="minorEastAsia" w:cstheme="minorBidi"/>
          <w:noProof/>
          <w:sz w:val="22"/>
          <w:szCs w:val="22"/>
          <w:rtl/>
        </w:rPr>
      </w:pPr>
      <w:r>
        <w:rPr>
          <w:noProof/>
          <w:rtl/>
        </w:rPr>
        <w:t>ביאור הראב"ד והמאירי דלדידן דקיי"ל כרחב"א לא שייך בקנה פסול הגרמה ואין בה יציאת חיות</w:t>
      </w:r>
    </w:p>
    <w:p w14:paraId="5254EE83" w14:textId="77777777" w:rsidR="00D53B7D" w:rsidRDefault="00D53B7D" w:rsidP="005077A7">
      <w:pPr>
        <w:pStyle w:val="a"/>
        <w:rPr>
          <w:rFonts w:eastAsiaTheme="minorEastAsia" w:cstheme="minorBidi"/>
          <w:noProof/>
          <w:sz w:val="22"/>
          <w:szCs w:val="22"/>
          <w:rtl/>
        </w:rPr>
      </w:pPr>
      <w:r>
        <w:rPr>
          <w:noProof/>
          <w:rtl/>
        </w:rPr>
        <w:t>ביאור המאירי בהשמטת הרי"ף דלרחב"א כל שרוב הסימן שחוט כשר והגרמת שליש אינה פוסלת</w:t>
      </w:r>
    </w:p>
    <w:p w14:paraId="1F4EEBBD" w14:textId="77777777" w:rsidR="00D53B7D" w:rsidRDefault="00D53B7D" w:rsidP="005077A7">
      <w:pPr>
        <w:pStyle w:val="a"/>
        <w:rPr>
          <w:rFonts w:eastAsiaTheme="minorEastAsia" w:cstheme="minorBidi"/>
          <w:noProof/>
          <w:sz w:val="22"/>
          <w:szCs w:val="22"/>
          <w:rtl/>
        </w:rPr>
      </w:pPr>
      <w:r>
        <w:rPr>
          <w:noProof/>
          <w:rtl/>
        </w:rPr>
        <w:t>דחיית הרמב"ן דמדברי ר"נ מוכח דאף לרחב"א שייך בקנה פסול הגרמה</w:t>
      </w:r>
    </w:p>
    <w:p w14:paraId="31B66476" w14:textId="77777777" w:rsidR="00D53B7D" w:rsidRDefault="00D53B7D" w:rsidP="005077A7">
      <w:pPr>
        <w:pStyle w:val="a"/>
        <w:rPr>
          <w:rFonts w:eastAsiaTheme="minorEastAsia" w:cstheme="minorBidi"/>
          <w:noProof/>
          <w:sz w:val="22"/>
          <w:szCs w:val="22"/>
          <w:rtl/>
        </w:rPr>
      </w:pPr>
      <w:r>
        <w:rPr>
          <w:noProof/>
          <w:rtl/>
        </w:rPr>
        <w:t>דברי הרמב"ן במלחמות לקמן דרחב"א פליג על פסול הגרמה וס"ל דכל הצואר כשר לשחיטה</w:t>
      </w:r>
    </w:p>
    <w:p w14:paraId="3D38E28D" w14:textId="77777777" w:rsidR="00D53B7D" w:rsidRDefault="00D53B7D" w:rsidP="00D53B7D">
      <w:pPr>
        <w:pStyle w:val="aff4"/>
        <w:rPr>
          <w:rFonts w:eastAsiaTheme="minorEastAsia" w:cstheme="minorBidi"/>
          <w:i/>
          <w:iCs/>
          <w:noProof/>
          <w:sz w:val="22"/>
          <w:szCs w:val="22"/>
          <w:rtl/>
        </w:rPr>
      </w:pPr>
      <w:bookmarkStart w:id="12633" w:name="_Toc19435838"/>
      <w:bookmarkStart w:id="12634" w:name="_Toc20081083"/>
      <w:r>
        <w:rPr>
          <w:noProof/>
          <w:rtl/>
        </w:rPr>
        <w:t>פסק הבעה"מ והרמב"ן והר"ן לחומרא כרב הונא וכרב יהודה</w:t>
      </w:r>
      <w:bookmarkEnd w:id="12633"/>
      <w:bookmarkEnd w:id="12634"/>
    </w:p>
    <w:p w14:paraId="4A581357" w14:textId="77777777" w:rsidR="00D53B7D" w:rsidRDefault="00D53B7D" w:rsidP="005077A7">
      <w:pPr>
        <w:pStyle w:val="a"/>
        <w:rPr>
          <w:rFonts w:eastAsiaTheme="minorEastAsia" w:cstheme="minorBidi"/>
          <w:noProof/>
          <w:sz w:val="22"/>
          <w:szCs w:val="22"/>
          <w:rtl/>
        </w:rPr>
      </w:pPr>
      <w:r>
        <w:rPr>
          <w:noProof/>
          <w:rtl/>
        </w:rPr>
        <w:t>דברי הבעה"מ דנקטינן לחומרא כרב הונא וכרב יהודה ורק בשחט ב' שלישים השחיטה כשרה</w:t>
      </w:r>
    </w:p>
    <w:p w14:paraId="2FEABB76" w14:textId="77777777" w:rsidR="00D53B7D" w:rsidRDefault="00D53B7D" w:rsidP="005077A7">
      <w:pPr>
        <w:pStyle w:val="a"/>
        <w:rPr>
          <w:rFonts w:eastAsiaTheme="minorEastAsia" w:cstheme="minorBidi"/>
          <w:noProof/>
          <w:sz w:val="22"/>
          <w:szCs w:val="22"/>
          <w:rtl/>
        </w:rPr>
      </w:pPr>
      <w:r>
        <w:rPr>
          <w:noProof/>
          <w:rtl/>
        </w:rPr>
        <w:t>דברי הבעה"מ דבהגרים שליש ושחט שליש פסול דלא דמי לחצי קנה פגום דאינו במקום שחיטה</w:t>
      </w:r>
    </w:p>
    <w:p w14:paraId="5B2662F3" w14:textId="77777777" w:rsidR="00D53B7D" w:rsidRDefault="00D53B7D" w:rsidP="005077A7">
      <w:pPr>
        <w:pStyle w:val="a"/>
        <w:rPr>
          <w:rFonts w:eastAsiaTheme="minorEastAsia" w:cstheme="minorBidi"/>
          <w:noProof/>
          <w:sz w:val="22"/>
          <w:szCs w:val="22"/>
          <w:rtl/>
        </w:rPr>
      </w:pPr>
      <w:r>
        <w:rPr>
          <w:noProof/>
          <w:rtl/>
        </w:rPr>
        <w:t>דברי הרמב"ן והר"ן דהשחיטה כשרה רק כשרוב החיות יוצאת בשחיטה ורוב הסימן שחוט</w:t>
      </w:r>
    </w:p>
    <w:p w14:paraId="6AAEF03F" w14:textId="77777777" w:rsidR="00D53B7D" w:rsidRDefault="00D53B7D" w:rsidP="00D53B7D">
      <w:pPr>
        <w:pStyle w:val="aff4"/>
        <w:rPr>
          <w:rFonts w:eastAsiaTheme="minorEastAsia" w:cstheme="minorBidi"/>
          <w:i/>
          <w:iCs/>
          <w:noProof/>
          <w:sz w:val="22"/>
          <w:szCs w:val="22"/>
          <w:rtl/>
        </w:rPr>
      </w:pPr>
      <w:bookmarkStart w:id="12635" w:name="_Toc19435839"/>
      <w:bookmarkStart w:id="12636" w:name="_Toc20081084"/>
      <w:r>
        <w:rPr>
          <w:noProof/>
          <w:rtl/>
        </w:rPr>
        <w:t>ביאור הרשב"א בדעת הרמב"ן</w:t>
      </w:r>
      <w:bookmarkEnd w:id="12635"/>
      <w:bookmarkEnd w:id="12636"/>
    </w:p>
    <w:p w14:paraId="54439746" w14:textId="77777777" w:rsidR="00D53B7D" w:rsidRDefault="00D53B7D" w:rsidP="005077A7">
      <w:pPr>
        <w:pStyle w:val="a"/>
        <w:rPr>
          <w:rFonts w:eastAsiaTheme="minorEastAsia" w:cstheme="minorBidi"/>
          <w:noProof/>
          <w:sz w:val="22"/>
          <w:szCs w:val="22"/>
          <w:rtl/>
        </w:rPr>
      </w:pPr>
      <w:r>
        <w:rPr>
          <w:noProof/>
          <w:rtl/>
        </w:rPr>
        <w:t>ביאור הרשב"א ברמב"ן דברוב הסימן שחוט ויצאה החיות בשחיטה כשר לרב הונא ולרב יהודה</w:t>
      </w:r>
    </w:p>
    <w:p w14:paraId="400F31F8" w14:textId="77777777" w:rsidR="00D53B7D" w:rsidRDefault="00D53B7D" w:rsidP="005077A7">
      <w:pPr>
        <w:pStyle w:val="a"/>
        <w:rPr>
          <w:rFonts w:eastAsiaTheme="minorEastAsia" w:cstheme="minorBidi"/>
          <w:noProof/>
          <w:sz w:val="22"/>
          <w:szCs w:val="22"/>
          <w:rtl/>
        </w:rPr>
      </w:pPr>
      <w:r>
        <w:rPr>
          <w:noProof/>
          <w:rtl/>
        </w:rPr>
        <w:t>הוכחת הרשב"א דרב יהודה מכשיר בהגרים שליש ושחט ב' שלישים</w:t>
      </w:r>
    </w:p>
    <w:p w14:paraId="21FCD342" w14:textId="77777777" w:rsidR="00D53B7D" w:rsidRDefault="00D53B7D" w:rsidP="00D53B7D">
      <w:pPr>
        <w:pStyle w:val="aff4"/>
        <w:rPr>
          <w:rFonts w:eastAsiaTheme="minorEastAsia" w:cstheme="minorBidi"/>
          <w:i/>
          <w:iCs/>
          <w:noProof/>
          <w:sz w:val="22"/>
          <w:szCs w:val="22"/>
          <w:rtl/>
        </w:rPr>
      </w:pPr>
      <w:bookmarkStart w:id="12637" w:name="_Toc19435840"/>
      <w:bookmarkStart w:id="12638" w:name="_Toc20081085"/>
      <w:r>
        <w:rPr>
          <w:noProof/>
          <w:rtl/>
        </w:rPr>
        <w:t>דברי הרמב"ן והר"ן דמשמעות הסוגיא היא כדעת כרב הונא</w:t>
      </w:r>
      <w:bookmarkEnd w:id="12637"/>
      <w:bookmarkEnd w:id="12638"/>
    </w:p>
    <w:p w14:paraId="7B414E7C" w14:textId="77777777" w:rsidR="00D53B7D" w:rsidRDefault="00D53B7D" w:rsidP="005077A7">
      <w:pPr>
        <w:pStyle w:val="a"/>
        <w:rPr>
          <w:rFonts w:eastAsiaTheme="minorEastAsia" w:cstheme="minorBidi"/>
          <w:noProof/>
          <w:sz w:val="22"/>
          <w:szCs w:val="22"/>
          <w:rtl/>
        </w:rPr>
      </w:pPr>
      <w:r>
        <w:rPr>
          <w:noProof/>
          <w:rtl/>
        </w:rPr>
        <w:t>דברי הרמב"ן והר"ן דמדברי רב חסדא מוכח דס"ל להלכה כרב הונא</w:t>
      </w:r>
    </w:p>
    <w:p w14:paraId="136CDE24" w14:textId="77777777" w:rsidR="00D53B7D" w:rsidRDefault="00D53B7D" w:rsidP="005077A7">
      <w:pPr>
        <w:pStyle w:val="a"/>
        <w:rPr>
          <w:rFonts w:eastAsiaTheme="minorEastAsia" w:cstheme="minorBidi"/>
          <w:noProof/>
          <w:sz w:val="22"/>
          <w:szCs w:val="22"/>
          <w:rtl/>
        </w:rPr>
      </w:pPr>
      <w:r>
        <w:rPr>
          <w:noProof/>
          <w:rtl/>
        </w:rPr>
        <w:t>דברי הרמב"ן והר"ן דבל"ב דרב אסי מבואר דקיי"ל כרב הונא אך להלכה צריך להחמיר</w:t>
      </w:r>
    </w:p>
    <w:p w14:paraId="5292BE8E" w14:textId="77777777" w:rsidR="00D53B7D" w:rsidRDefault="00D53B7D" w:rsidP="00D53B7D">
      <w:pPr>
        <w:pStyle w:val="aff4"/>
        <w:rPr>
          <w:rFonts w:eastAsiaTheme="minorEastAsia" w:cstheme="minorBidi"/>
          <w:i/>
          <w:iCs/>
          <w:noProof/>
          <w:sz w:val="22"/>
          <w:szCs w:val="22"/>
          <w:rtl/>
        </w:rPr>
      </w:pPr>
      <w:bookmarkStart w:id="12639" w:name="_Toc19435841"/>
      <w:bookmarkStart w:id="12640" w:name="_Toc20081086"/>
      <w:r>
        <w:rPr>
          <w:noProof/>
          <w:rtl/>
        </w:rPr>
        <w:t>דעת הרמב"ם דקיי"ל כרב יהודה וכל"ב דרב הונא</w:t>
      </w:r>
      <w:bookmarkEnd w:id="12639"/>
      <w:bookmarkEnd w:id="12640"/>
    </w:p>
    <w:p w14:paraId="62A51F42" w14:textId="77777777" w:rsidR="00D53B7D" w:rsidRDefault="00D53B7D" w:rsidP="005077A7">
      <w:pPr>
        <w:pStyle w:val="a"/>
        <w:rPr>
          <w:rFonts w:eastAsiaTheme="minorEastAsia" w:cstheme="minorBidi"/>
          <w:noProof/>
          <w:sz w:val="22"/>
          <w:szCs w:val="22"/>
          <w:rtl/>
        </w:rPr>
      </w:pPr>
      <w:r>
        <w:rPr>
          <w:noProof/>
          <w:rtl/>
        </w:rPr>
        <w:t>דברי הרמב"ם דקיי"ל כרב יהודה וכדעת ריבר"י בל"ב דרב הונא</w:t>
      </w:r>
    </w:p>
    <w:p w14:paraId="73AD005D" w14:textId="77777777" w:rsidR="00D53B7D" w:rsidRDefault="00D53B7D" w:rsidP="005077A7">
      <w:pPr>
        <w:pStyle w:val="a"/>
        <w:rPr>
          <w:rFonts w:eastAsiaTheme="minorEastAsia" w:cstheme="minorBidi"/>
          <w:noProof/>
          <w:sz w:val="22"/>
          <w:szCs w:val="22"/>
          <w:rtl/>
        </w:rPr>
      </w:pPr>
      <w:r>
        <w:rPr>
          <w:noProof/>
          <w:rtl/>
        </w:rPr>
        <w:t>דברי הראבי"ה בשם ר"ח דקיי"ל כרב יהודה דהכשיר בהגרים ושחט והגרים</w:t>
      </w:r>
    </w:p>
    <w:p w14:paraId="4EF3E45F" w14:textId="77777777" w:rsidR="00D53B7D" w:rsidRDefault="00D53B7D" w:rsidP="005077A7">
      <w:pPr>
        <w:pStyle w:val="a"/>
        <w:rPr>
          <w:rFonts w:eastAsiaTheme="minorEastAsia" w:cstheme="minorBidi"/>
          <w:noProof/>
          <w:sz w:val="22"/>
          <w:szCs w:val="22"/>
          <w:rtl/>
        </w:rPr>
      </w:pPr>
      <w:r>
        <w:rPr>
          <w:noProof/>
          <w:rtl/>
        </w:rPr>
        <w:t>דברי ההג"מ דפסק הרמב"ם כרב יהודה כיון דרב הונא חזר בו</w:t>
      </w:r>
    </w:p>
    <w:p w14:paraId="7D8D02A0" w14:textId="77777777" w:rsidR="00D53B7D" w:rsidRDefault="00D53B7D" w:rsidP="005077A7">
      <w:pPr>
        <w:pStyle w:val="a"/>
        <w:rPr>
          <w:rFonts w:eastAsiaTheme="minorEastAsia" w:cstheme="minorBidi"/>
          <w:noProof/>
          <w:sz w:val="22"/>
          <w:szCs w:val="22"/>
          <w:rtl/>
        </w:rPr>
      </w:pPr>
      <w:r>
        <w:rPr>
          <w:noProof/>
          <w:rtl/>
        </w:rPr>
        <w:t>דברי הר"ן דהרמב"ם ס"ל דמדברי ריו"ח מוכח דקיי"ל כרב יהודה</w:t>
      </w:r>
    </w:p>
    <w:p w14:paraId="25AAA678" w14:textId="77777777" w:rsidR="00D53B7D" w:rsidRDefault="00D53B7D" w:rsidP="005077A7">
      <w:pPr>
        <w:pStyle w:val="a"/>
        <w:rPr>
          <w:rFonts w:eastAsiaTheme="minorEastAsia" w:cstheme="minorBidi"/>
          <w:noProof/>
          <w:sz w:val="22"/>
          <w:szCs w:val="22"/>
          <w:rtl/>
        </w:rPr>
      </w:pPr>
      <w:r>
        <w:rPr>
          <w:noProof/>
          <w:rtl/>
        </w:rPr>
        <w:t>דחיית הרמב"ן והר"ן דא"א להביא מדברי ריו"ח לדעת רב יהודה</w:t>
      </w:r>
    </w:p>
    <w:p w14:paraId="1EC10444" w14:textId="77777777" w:rsidR="00D53B7D" w:rsidRDefault="00D53B7D" w:rsidP="00D53B7D">
      <w:pPr>
        <w:pStyle w:val="aff4"/>
        <w:rPr>
          <w:rFonts w:eastAsiaTheme="minorEastAsia" w:cstheme="minorBidi"/>
          <w:i/>
          <w:iCs/>
          <w:noProof/>
          <w:sz w:val="22"/>
          <w:szCs w:val="22"/>
          <w:rtl/>
        </w:rPr>
      </w:pPr>
      <w:bookmarkStart w:id="12641" w:name="_Toc19435842"/>
      <w:bookmarkStart w:id="12642" w:name="_Toc20081087"/>
      <w:r>
        <w:rPr>
          <w:noProof/>
          <w:rtl/>
        </w:rPr>
        <w:t>דעת הרא"ה דקיי"ל כרב הונא וכל"ב דרב הונא אמר רב אסי</w:t>
      </w:r>
      <w:bookmarkEnd w:id="12641"/>
      <w:bookmarkEnd w:id="12642"/>
    </w:p>
    <w:p w14:paraId="6DCD60CB" w14:textId="77777777" w:rsidR="00D53B7D" w:rsidRDefault="00D53B7D" w:rsidP="005077A7">
      <w:pPr>
        <w:pStyle w:val="a"/>
        <w:rPr>
          <w:rFonts w:eastAsiaTheme="minorEastAsia" w:cstheme="minorBidi"/>
          <w:noProof/>
          <w:sz w:val="22"/>
          <w:szCs w:val="22"/>
          <w:rtl/>
        </w:rPr>
      </w:pPr>
      <w:r>
        <w:rPr>
          <w:noProof/>
          <w:rtl/>
        </w:rPr>
        <w:t>דברי הרא"ה דקיי"ל כרב הונא דהכשר שחיטה תלוי ביציאת החיות</w:t>
      </w:r>
    </w:p>
    <w:p w14:paraId="7B073F82" w14:textId="77777777" w:rsidR="00D53B7D" w:rsidRDefault="00D53B7D" w:rsidP="005077A7">
      <w:pPr>
        <w:pStyle w:val="a"/>
        <w:rPr>
          <w:rFonts w:eastAsiaTheme="minorEastAsia" w:cstheme="minorBidi"/>
          <w:noProof/>
          <w:sz w:val="22"/>
          <w:szCs w:val="22"/>
          <w:rtl/>
        </w:rPr>
      </w:pPr>
      <w:r>
        <w:rPr>
          <w:noProof/>
          <w:rtl/>
        </w:rPr>
        <w:t>דברי הרא"ה דקיי"ל כרב הונא וכל"ב דרב הונא דכל שיצאה החיות בשחיטה כשר</w:t>
      </w:r>
    </w:p>
    <w:p w14:paraId="601C507E" w14:textId="77777777" w:rsidR="00D53B7D" w:rsidRDefault="00D53B7D" w:rsidP="005077A7">
      <w:pPr>
        <w:pStyle w:val="a"/>
        <w:rPr>
          <w:rFonts w:eastAsiaTheme="minorEastAsia" w:cstheme="minorBidi"/>
          <w:noProof/>
          <w:sz w:val="22"/>
          <w:szCs w:val="22"/>
          <w:rtl/>
        </w:rPr>
      </w:pPr>
      <w:r>
        <w:rPr>
          <w:noProof/>
          <w:rtl/>
        </w:rPr>
        <w:t>דחיית הרשב"א במשה"ב דמסתבר לפסוק כרב יהודה דהודה לו רב הונא</w:t>
      </w:r>
    </w:p>
    <w:p w14:paraId="3948CBC3" w14:textId="77777777" w:rsidR="00D53B7D" w:rsidRDefault="00D53B7D" w:rsidP="00D53B7D">
      <w:pPr>
        <w:pStyle w:val="aff4"/>
        <w:rPr>
          <w:rFonts w:eastAsiaTheme="minorEastAsia" w:cstheme="minorBidi"/>
          <w:i/>
          <w:iCs/>
          <w:noProof/>
          <w:sz w:val="22"/>
          <w:szCs w:val="22"/>
          <w:rtl/>
        </w:rPr>
      </w:pPr>
      <w:bookmarkStart w:id="12643" w:name="_Toc19435843"/>
      <w:bookmarkStart w:id="12644" w:name="_Toc20081088"/>
      <w:r>
        <w:rPr>
          <w:noProof/>
          <w:rtl/>
        </w:rPr>
        <w:t>דברי הרשב"א דקיי"ל כל"ק דרב הונא</w:t>
      </w:r>
      <w:bookmarkEnd w:id="12643"/>
      <w:bookmarkEnd w:id="12644"/>
    </w:p>
    <w:p w14:paraId="38BDD773" w14:textId="77777777" w:rsidR="00D53B7D" w:rsidRDefault="00D53B7D" w:rsidP="005077A7">
      <w:pPr>
        <w:pStyle w:val="a"/>
        <w:rPr>
          <w:rFonts w:eastAsiaTheme="minorEastAsia" w:cstheme="minorBidi"/>
          <w:noProof/>
          <w:sz w:val="22"/>
          <w:szCs w:val="22"/>
          <w:rtl/>
        </w:rPr>
      </w:pPr>
      <w:r>
        <w:rPr>
          <w:noProof/>
          <w:rtl/>
        </w:rPr>
        <w:t>דברי הרשב"א דאף בהגרים שליש ושחט ב' שלישים פסול ורק בשחט ב' שלישים והגרים שליש כשר</w:t>
      </w:r>
    </w:p>
    <w:p w14:paraId="65FF27EC" w14:textId="77777777" w:rsidR="00D53B7D" w:rsidRDefault="00D53B7D" w:rsidP="005077A7">
      <w:pPr>
        <w:pStyle w:val="a"/>
        <w:rPr>
          <w:rFonts w:eastAsiaTheme="minorEastAsia" w:cstheme="minorBidi"/>
          <w:noProof/>
          <w:sz w:val="22"/>
          <w:szCs w:val="22"/>
          <w:rtl/>
        </w:rPr>
      </w:pPr>
      <w:r>
        <w:rPr>
          <w:noProof/>
          <w:rtl/>
        </w:rPr>
        <w:t>דברי הרשב"א דמדברי רב נחמן ורב חסדא משמע דא"א להכשיר כרב יהודה בשחט והגרים ושחט</w:t>
      </w:r>
    </w:p>
    <w:p w14:paraId="08AB7E13" w14:textId="77777777" w:rsidR="00D53B7D" w:rsidRDefault="00D53B7D" w:rsidP="005077A7">
      <w:pPr>
        <w:pStyle w:val="a"/>
        <w:rPr>
          <w:rFonts w:eastAsiaTheme="minorEastAsia" w:cstheme="minorBidi"/>
          <w:noProof/>
          <w:sz w:val="22"/>
          <w:szCs w:val="22"/>
          <w:rtl/>
        </w:rPr>
      </w:pPr>
      <w:r>
        <w:rPr>
          <w:noProof/>
          <w:rtl/>
        </w:rPr>
        <w:t>דברי הרשב"א דא"א להכשיר בהגרים ושחט והגרים דלל"ק דרב הונא ולרב נחמן מוכח דפסול</w:t>
      </w:r>
    </w:p>
    <w:p w14:paraId="3610639D" w14:textId="77777777" w:rsidR="00D53B7D" w:rsidRDefault="00D53B7D" w:rsidP="005077A7">
      <w:pPr>
        <w:pStyle w:val="a"/>
        <w:rPr>
          <w:rFonts w:eastAsiaTheme="minorEastAsia" w:cstheme="minorBidi"/>
          <w:noProof/>
          <w:sz w:val="22"/>
          <w:szCs w:val="22"/>
          <w:rtl/>
        </w:rPr>
      </w:pPr>
      <w:r>
        <w:rPr>
          <w:noProof/>
          <w:rtl/>
        </w:rPr>
        <w:t>דברי הרשב"א דלהלכה א"א לפסוק כרב הונא ורב חסדא ויש להחמיר וכדמשמע דקיי"ל כל"ק</w:t>
      </w:r>
    </w:p>
    <w:p w14:paraId="2DCA472B" w14:textId="77777777" w:rsidR="00D53B7D" w:rsidRDefault="00D53B7D" w:rsidP="005077A7">
      <w:pPr>
        <w:pStyle w:val="a"/>
        <w:rPr>
          <w:rFonts w:eastAsiaTheme="minorEastAsia" w:cstheme="minorBidi"/>
          <w:noProof/>
          <w:sz w:val="22"/>
          <w:szCs w:val="22"/>
          <w:rtl/>
        </w:rPr>
      </w:pPr>
      <w:r>
        <w:rPr>
          <w:noProof/>
          <w:rtl/>
        </w:rPr>
        <w:t>דברי הרשב"א והמאירי דמשמעות מתני' דעל פני רובה כל"ק דרב הונא</w:t>
      </w:r>
    </w:p>
    <w:p w14:paraId="4418FAE3" w14:textId="77777777" w:rsidR="00D53B7D" w:rsidRDefault="00D53B7D" w:rsidP="005077A7">
      <w:pPr>
        <w:pStyle w:val="a"/>
        <w:rPr>
          <w:rFonts w:eastAsiaTheme="minorEastAsia" w:cstheme="minorBidi"/>
          <w:noProof/>
          <w:sz w:val="22"/>
          <w:szCs w:val="22"/>
          <w:rtl/>
        </w:rPr>
      </w:pPr>
      <w:r>
        <w:rPr>
          <w:noProof/>
          <w:rtl/>
        </w:rPr>
        <w:t>דברי המאירי דדוחק לבאר כל"ב דמודו רבנן במתני' דבשחט ב' שלישים והגרים כשר</w:t>
      </w:r>
    </w:p>
    <w:p w14:paraId="0D5DAE22" w14:textId="77777777" w:rsidR="00D53B7D" w:rsidRDefault="00D53B7D" w:rsidP="005077A7">
      <w:pPr>
        <w:pStyle w:val="a"/>
        <w:rPr>
          <w:rFonts w:eastAsiaTheme="minorEastAsia" w:cstheme="minorBidi"/>
          <w:noProof/>
          <w:sz w:val="22"/>
          <w:szCs w:val="22"/>
          <w:rtl/>
        </w:rPr>
      </w:pPr>
      <w:r>
        <w:rPr>
          <w:noProof/>
          <w:rtl/>
        </w:rPr>
        <w:t>מסקנת הרשב"א דבהגרים שליש ושחט ב' שלישים פסול דלא יצאה החיות ע"י שחיטת הרוב</w:t>
      </w:r>
    </w:p>
    <w:p w14:paraId="5DEE15C2" w14:textId="77777777" w:rsidR="00D53B7D" w:rsidRDefault="00D53B7D" w:rsidP="00D53B7D">
      <w:pPr>
        <w:pStyle w:val="2"/>
        <w:rPr>
          <w:rFonts w:eastAsiaTheme="minorEastAsia" w:cstheme="minorBidi"/>
          <w:i/>
          <w:iCs/>
          <w:sz w:val="22"/>
          <w:szCs w:val="22"/>
          <w:rtl/>
        </w:rPr>
      </w:pPr>
      <w:bookmarkStart w:id="12645" w:name="_Toc19435844"/>
      <w:r>
        <w:rPr>
          <w:rtl/>
        </w:rPr>
        <w:t>ביאורי ראשי הישיבות על הסוגיא</w:t>
      </w:r>
      <w:bookmarkEnd w:id="12645"/>
    </w:p>
    <w:p w14:paraId="11C5914A" w14:textId="77777777" w:rsidR="00D53B7D" w:rsidRDefault="00D53B7D" w:rsidP="00D53B7D">
      <w:pPr>
        <w:pStyle w:val="2"/>
        <w:rPr>
          <w:rFonts w:eastAsiaTheme="minorEastAsia" w:cstheme="minorBidi"/>
          <w:i/>
          <w:iCs/>
          <w:sz w:val="22"/>
          <w:szCs w:val="22"/>
          <w:rtl/>
        </w:rPr>
      </w:pPr>
      <w:bookmarkStart w:id="12646" w:name="_Toc19435845"/>
      <w:r>
        <w:rPr>
          <w:rtl/>
        </w:rPr>
        <w:t>בגדר השחיטה בשליש האחרון</w:t>
      </w:r>
      <w:bookmarkEnd w:id="12646"/>
    </w:p>
    <w:p w14:paraId="6363873E" w14:textId="77777777" w:rsidR="00D53B7D" w:rsidRDefault="00D53B7D" w:rsidP="00D53B7D">
      <w:pPr>
        <w:pStyle w:val="aff4"/>
        <w:rPr>
          <w:rFonts w:eastAsiaTheme="minorEastAsia" w:cstheme="minorBidi"/>
          <w:i/>
          <w:iCs/>
          <w:noProof/>
          <w:sz w:val="22"/>
          <w:szCs w:val="22"/>
          <w:rtl/>
        </w:rPr>
      </w:pPr>
      <w:bookmarkStart w:id="12647" w:name="_Toc19435846"/>
      <w:bookmarkStart w:id="12648" w:name="_Toc20081089"/>
      <w:r>
        <w:rPr>
          <w:noProof/>
          <w:rtl/>
        </w:rPr>
        <w:t>קושית הגרא"ו היאך מהני שחיטת השליש האחרון</w:t>
      </w:r>
      <w:bookmarkEnd w:id="12647"/>
      <w:bookmarkEnd w:id="12648"/>
    </w:p>
    <w:p w14:paraId="7C483AAC" w14:textId="77777777" w:rsidR="00D53B7D" w:rsidRDefault="00D53B7D" w:rsidP="005077A7">
      <w:pPr>
        <w:pStyle w:val="a"/>
        <w:rPr>
          <w:rFonts w:eastAsiaTheme="minorEastAsia" w:cstheme="minorBidi"/>
          <w:noProof/>
          <w:sz w:val="22"/>
          <w:szCs w:val="22"/>
          <w:rtl/>
        </w:rPr>
      </w:pPr>
      <w:r>
        <w:rPr>
          <w:noProof/>
          <w:rtl/>
        </w:rPr>
        <w:t>קושית הגרא"ו דמדברי רב יהודה קשה על דברי הרמב"ן דהשליש האחרון אינו מכשיר</w:t>
      </w:r>
    </w:p>
    <w:p w14:paraId="79FFE0ED" w14:textId="77777777" w:rsidR="00D53B7D" w:rsidRDefault="00D53B7D" w:rsidP="00D53B7D">
      <w:pPr>
        <w:pStyle w:val="aff4"/>
        <w:rPr>
          <w:rFonts w:eastAsiaTheme="minorEastAsia" w:cstheme="minorBidi"/>
          <w:i/>
          <w:iCs/>
          <w:noProof/>
          <w:sz w:val="22"/>
          <w:szCs w:val="22"/>
          <w:rtl/>
        </w:rPr>
      </w:pPr>
      <w:bookmarkStart w:id="12649" w:name="_Toc19435847"/>
      <w:bookmarkStart w:id="12650" w:name="_Toc20081090"/>
      <w:r>
        <w:rPr>
          <w:noProof/>
          <w:rtl/>
        </w:rPr>
        <w:t>דברי האמרי משה דכל שנשחט השליש האחרון יש לו דין שחוט</w:t>
      </w:r>
      <w:bookmarkEnd w:id="12649"/>
      <w:bookmarkEnd w:id="12650"/>
    </w:p>
    <w:p w14:paraId="6864DB75" w14:textId="77777777" w:rsidR="00D53B7D" w:rsidRDefault="00D53B7D" w:rsidP="005077A7">
      <w:pPr>
        <w:pStyle w:val="a"/>
        <w:rPr>
          <w:rFonts w:eastAsiaTheme="minorEastAsia" w:cstheme="minorBidi"/>
          <w:noProof/>
          <w:sz w:val="22"/>
          <w:szCs w:val="22"/>
          <w:rtl/>
        </w:rPr>
      </w:pPr>
      <w:r>
        <w:rPr>
          <w:noProof/>
          <w:rtl/>
        </w:rPr>
        <w:t>קושית האמרי משה דאחר שנשחט הרוב הוא כמנח בדיקולא והאיך מהני השליש האחרון</w:t>
      </w:r>
    </w:p>
    <w:p w14:paraId="0043FEFC" w14:textId="77777777" w:rsidR="00D53B7D" w:rsidRDefault="00D53B7D" w:rsidP="005077A7">
      <w:pPr>
        <w:pStyle w:val="a"/>
        <w:rPr>
          <w:rFonts w:eastAsiaTheme="minorEastAsia" w:cstheme="minorBidi"/>
          <w:noProof/>
          <w:sz w:val="22"/>
          <w:szCs w:val="22"/>
          <w:rtl/>
        </w:rPr>
      </w:pPr>
      <w:r>
        <w:rPr>
          <w:noProof/>
          <w:rtl/>
        </w:rPr>
        <w:t>ביאור האמרי משה דכששוחט את כל הסימן אף השליש האחרון בכלל ההכשר שחיטה</w:t>
      </w:r>
    </w:p>
    <w:p w14:paraId="4B99B71A" w14:textId="77777777" w:rsidR="00D53B7D" w:rsidRDefault="00D53B7D" w:rsidP="005077A7">
      <w:pPr>
        <w:pStyle w:val="a"/>
        <w:rPr>
          <w:rFonts w:eastAsiaTheme="minorEastAsia" w:cstheme="minorBidi"/>
          <w:noProof/>
          <w:sz w:val="22"/>
          <w:szCs w:val="22"/>
          <w:rtl/>
        </w:rPr>
      </w:pPr>
      <w:r>
        <w:rPr>
          <w:noProof/>
          <w:rtl/>
        </w:rPr>
        <w:t>דברי האמרי משה דכשאין הכשר בשחיטת ב' השלישים הראשונים לכו"ע מצטרף השליש האחרון</w:t>
      </w:r>
    </w:p>
    <w:p w14:paraId="63124B11" w14:textId="77777777" w:rsidR="00D53B7D" w:rsidRDefault="00D53B7D" w:rsidP="005077A7">
      <w:pPr>
        <w:pStyle w:val="a"/>
        <w:rPr>
          <w:rFonts w:eastAsiaTheme="minorEastAsia" w:cstheme="minorBidi"/>
          <w:noProof/>
          <w:sz w:val="22"/>
          <w:szCs w:val="22"/>
          <w:rtl/>
        </w:rPr>
      </w:pPr>
      <w:r>
        <w:rPr>
          <w:noProof/>
          <w:rtl/>
        </w:rPr>
        <w:t>תירוץ האמרי משה דכל שלא נשחט השליש האחרון יש לו דין שחיטה ואינו כמנח בדיקולא</w:t>
      </w:r>
    </w:p>
    <w:p w14:paraId="4FD6C59C" w14:textId="77777777" w:rsidR="00D53B7D" w:rsidRDefault="00D53B7D" w:rsidP="005077A7">
      <w:pPr>
        <w:pStyle w:val="a"/>
        <w:rPr>
          <w:rFonts w:eastAsiaTheme="minorEastAsia" w:cstheme="minorBidi"/>
          <w:noProof/>
          <w:sz w:val="22"/>
          <w:szCs w:val="22"/>
          <w:rtl/>
        </w:rPr>
      </w:pPr>
      <w:r>
        <w:rPr>
          <w:noProof/>
          <w:rtl/>
        </w:rPr>
        <w:t>דברי האמרי משה דאף שנפסק רוב הקנה לא דרובו ככולו דלענין פסיקה הוא חלק מהצואר</w:t>
      </w:r>
    </w:p>
    <w:p w14:paraId="7D67C3DD" w14:textId="77777777" w:rsidR="00D53B7D" w:rsidRDefault="00D53B7D" w:rsidP="00D53B7D">
      <w:pPr>
        <w:pStyle w:val="aff4"/>
        <w:rPr>
          <w:rFonts w:eastAsiaTheme="minorEastAsia" w:cstheme="minorBidi"/>
          <w:i/>
          <w:iCs/>
          <w:noProof/>
          <w:sz w:val="22"/>
          <w:szCs w:val="22"/>
          <w:rtl/>
        </w:rPr>
      </w:pPr>
      <w:bookmarkStart w:id="12651" w:name="_Toc19435848"/>
      <w:bookmarkStart w:id="12652" w:name="_Toc20081091"/>
      <w:r>
        <w:rPr>
          <w:noProof/>
          <w:rtl/>
        </w:rPr>
        <w:t>דברי האמרי משה דאף לרב הונא יש שחיטה בשליש האחרון</w:t>
      </w:r>
      <w:bookmarkEnd w:id="12651"/>
      <w:bookmarkEnd w:id="12652"/>
    </w:p>
    <w:p w14:paraId="10D1FF75" w14:textId="77777777" w:rsidR="00D53B7D" w:rsidRDefault="00D53B7D" w:rsidP="005077A7">
      <w:pPr>
        <w:pStyle w:val="a"/>
        <w:rPr>
          <w:rFonts w:eastAsiaTheme="minorEastAsia" w:cstheme="minorBidi"/>
          <w:noProof/>
          <w:sz w:val="22"/>
          <w:szCs w:val="22"/>
          <w:rtl/>
        </w:rPr>
      </w:pPr>
      <w:r>
        <w:rPr>
          <w:noProof/>
          <w:rtl/>
        </w:rPr>
        <w:t>דברי האמרי משה דפשטות דברי רב הונא דהשליש האחרון כמנח בדיקולא ולא מהני בו שחיטה</w:t>
      </w:r>
    </w:p>
    <w:p w14:paraId="6341DCE1" w14:textId="77777777" w:rsidR="00D53B7D" w:rsidRDefault="00D53B7D" w:rsidP="005077A7">
      <w:pPr>
        <w:pStyle w:val="a"/>
        <w:rPr>
          <w:rFonts w:eastAsiaTheme="minorEastAsia" w:cstheme="minorBidi"/>
          <w:noProof/>
          <w:sz w:val="22"/>
          <w:szCs w:val="22"/>
          <w:rtl/>
        </w:rPr>
      </w:pPr>
      <w:r>
        <w:rPr>
          <w:noProof/>
          <w:rtl/>
        </w:rPr>
        <w:t>דחיית האמרי משה דלרב הונא כל שיצאה החיות בהכשר יש דין שחיטה אף בשליש האחרון</w:t>
      </w:r>
    </w:p>
    <w:p w14:paraId="70C39879" w14:textId="77777777" w:rsidR="00D53B7D" w:rsidRDefault="00D53B7D" w:rsidP="00D53B7D">
      <w:pPr>
        <w:pStyle w:val="aff4"/>
        <w:rPr>
          <w:rFonts w:eastAsiaTheme="minorEastAsia" w:cstheme="minorBidi"/>
          <w:i/>
          <w:iCs/>
          <w:noProof/>
          <w:sz w:val="22"/>
          <w:szCs w:val="22"/>
          <w:rtl/>
        </w:rPr>
      </w:pPr>
      <w:bookmarkStart w:id="12653" w:name="_Toc19435849"/>
      <w:bookmarkStart w:id="12654" w:name="_Toc20081092"/>
      <w:r>
        <w:rPr>
          <w:noProof/>
          <w:rtl/>
        </w:rPr>
        <w:t>דברי האמרי משה דלר"ן לרב הונא אין שחיטה בשליש האחרון</w:t>
      </w:r>
      <w:bookmarkEnd w:id="12653"/>
      <w:bookmarkEnd w:id="12654"/>
    </w:p>
    <w:p w14:paraId="1ABD5A03" w14:textId="77777777" w:rsidR="00D53B7D" w:rsidRDefault="00D53B7D" w:rsidP="005077A7">
      <w:pPr>
        <w:pStyle w:val="a"/>
        <w:rPr>
          <w:rFonts w:eastAsiaTheme="minorEastAsia" w:cstheme="minorBidi"/>
          <w:noProof/>
          <w:sz w:val="22"/>
          <w:szCs w:val="22"/>
          <w:rtl/>
        </w:rPr>
      </w:pPr>
      <w:r>
        <w:rPr>
          <w:noProof/>
          <w:rtl/>
        </w:rPr>
        <w:t>דברי האמרי משה דלרב הונא השליש הראשון המוגרם מצטרף לשליש השחוט להכשיר</w:t>
      </w:r>
    </w:p>
    <w:p w14:paraId="6D32E8E6" w14:textId="77777777" w:rsidR="00D53B7D" w:rsidRDefault="00D53B7D" w:rsidP="005077A7">
      <w:pPr>
        <w:pStyle w:val="a"/>
        <w:rPr>
          <w:rFonts w:eastAsiaTheme="minorEastAsia" w:cstheme="minorBidi"/>
          <w:noProof/>
          <w:sz w:val="22"/>
          <w:szCs w:val="22"/>
          <w:rtl/>
        </w:rPr>
      </w:pPr>
      <w:r>
        <w:rPr>
          <w:noProof/>
          <w:rtl/>
        </w:rPr>
        <w:t>ביאור האמרי משה דלהר"ן אין פסול של הגרמה בחצי הקנה הראשון וההגרמה מצטרפת לשחיטה</w:t>
      </w:r>
    </w:p>
    <w:p w14:paraId="551DA827" w14:textId="77777777" w:rsidR="00D53B7D" w:rsidRDefault="00D53B7D" w:rsidP="005077A7">
      <w:pPr>
        <w:pStyle w:val="a"/>
        <w:rPr>
          <w:rFonts w:eastAsiaTheme="minorEastAsia" w:cstheme="minorBidi"/>
          <w:noProof/>
          <w:sz w:val="22"/>
          <w:szCs w:val="22"/>
          <w:rtl/>
        </w:rPr>
      </w:pPr>
      <w:r>
        <w:rPr>
          <w:noProof/>
          <w:rtl/>
        </w:rPr>
        <w:t>דברי האמרי משה דלהר"ן לרב הונא אחר רוב סימן כמנח בדיקולא ואין שחיטה בשליש האחרון</w:t>
      </w:r>
    </w:p>
    <w:p w14:paraId="6DC8CFE2" w14:textId="77777777" w:rsidR="00D53B7D" w:rsidRDefault="00D53B7D" w:rsidP="005077A7">
      <w:pPr>
        <w:pStyle w:val="a"/>
        <w:rPr>
          <w:rFonts w:eastAsiaTheme="minorEastAsia" w:cstheme="minorBidi"/>
          <w:noProof/>
          <w:sz w:val="22"/>
          <w:szCs w:val="22"/>
          <w:rtl/>
        </w:rPr>
      </w:pPr>
      <w:r>
        <w:rPr>
          <w:noProof/>
          <w:rtl/>
        </w:rPr>
        <w:t>דברי האמרי משה דלל"ק דרב הונא אחר שנשחט רוב הסימן הוא כמנח בדיקולא</w:t>
      </w:r>
    </w:p>
    <w:p w14:paraId="4BDC0AA3" w14:textId="77777777" w:rsidR="00D53B7D" w:rsidRDefault="00D53B7D" w:rsidP="00D53B7D">
      <w:pPr>
        <w:pStyle w:val="2"/>
        <w:rPr>
          <w:rFonts w:eastAsiaTheme="minorEastAsia" w:cstheme="minorBidi"/>
          <w:i/>
          <w:iCs/>
          <w:sz w:val="22"/>
          <w:szCs w:val="22"/>
          <w:rtl/>
        </w:rPr>
      </w:pPr>
      <w:bookmarkStart w:id="12655" w:name="_Toc19435850"/>
      <w:r>
        <w:rPr>
          <w:rtl/>
        </w:rPr>
        <w:t>בגדר יציאת החיות בשחיטה</w:t>
      </w:r>
      <w:bookmarkEnd w:id="12655"/>
    </w:p>
    <w:p w14:paraId="5390DAAB" w14:textId="77777777" w:rsidR="00D53B7D" w:rsidRDefault="00D53B7D" w:rsidP="00D53B7D">
      <w:pPr>
        <w:pStyle w:val="aff4"/>
        <w:rPr>
          <w:rFonts w:eastAsiaTheme="minorEastAsia" w:cstheme="minorBidi"/>
          <w:i/>
          <w:iCs/>
          <w:noProof/>
          <w:sz w:val="22"/>
          <w:szCs w:val="22"/>
          <w:rtl/>
        </w:rPr>
      </w:pPr>
      <w:bookmarkStart w:id="12656" w:name="_Toc19435851"/>
      <w:bookmarkStart w:id="12657" w:name="_Toc20081093"/>
      <w:r>
        <w:rPr>
          <w:noProof/>
          <w:rtl/>
        </w:rPr>
        <w:t>ביאור המשנת ר"א בפלוגתת רב הונא ורב יהודה לדעת הר"ן</w:t>
      </w:r>
      <w:bookmarkEnd w:id="12656"/>
      <w:bookmarkEnd w:id="12657"/>
    </w:p>
    <w:p w14:paraId="7721A896" w14:textId="77777777" w:rsidR="00D53B7D" w:rsidRDefault="00D53B7D" w:rsidP="005077A7">
      <w:pPr>
        <w:pStyle w:val="a"/>
        <w:rPr>
          <w:rFonts w:eastAsiaTheme="minorEastAsia" w:cstheme="minorBidi"/>
          <w:noProof/>
          <w:sz w:val="22"/>
          <w:szCs w:val="22"/>
          <w:rtl/>
        </w:rPr>
      </w:pPr>
      <w:r>
        <w:rPr>
          <w:noProof/>
          <w:rtl/>
        </w:rPr>
        <w:t>ביאור המשנת ר"א דלהר"ן לרב יהודה בהגרמה לא יוצאת החיות ולכן בנשחט רוב הסימן כשר</w:t>
      </w:r>
    </w:p>
    <w:p w14:paraId="614D73DB" w14:textId="77777777" w:rsidR="00D53B7D" w:rsidRDefault="00D53B7D" w:rsidP="005077A7">
      <w:pPr>
        <w:pStyle w:val="a"/>
        <w:rPr>
          <w:rFonts w:eastAsiaTheme="minorEastAsia" w:cstheme="minorBidi"/>
          <w:noProof/>
          <w:sz w:val="22"/>
          <w:szCs w:val="22"/>
          <w:rtl/>
        </w:rPr>
      </w:pPr>
      <w:r>
        <w:rPr>
          <w:noProof/>
          <w:rtl/>
        </w:rPr>
        <w:t>ביאור המשנת ר"א דלהר"ן לרב הונא אף בהגרמה יוצאת החיות ולכן ביצאה החיות בהגרמה פסול</w:t>
      </w:r>
    </w:p>
    <w:p w14:paraId="73629204" w14:textId="77777777" w:rsidR="00D53B7D" w:rsidRDefault="00D53B7D" w:rsidP="00D53B7D">
      <w:pPr>
        <w:pStyle w:val="aff4"/>
        <w:rPr>
          <w:rFonts w:eastAsiaTheme="minorEastAsia" w:cstheme="minorBidi"/>
          <w:i/>
          <w:iCs/>
          <w:noProof/>
          <w:sz w:val="22"/>
          <w:szCs w:val="22"/>
          <w:rtl/>
        </w:rPr>
      </w:pPr>
      <w:bookmarkStart w:id="12658" w:name="_Toc19435852"/>
      <w:bookmarkStart w:id="12659" w:name="_Toc20081094"/>
      <w:r>
        <w:rPr>
          <w:noProof/>
          <w:rtl/>
        </w:rPr>
        <w:t>ביאור המשנת ר"א בפלוגתת רב הונא ורב יהודה לדעת רש"י</w:t>
      </w:r>
      <w:bookmarkEnd w:id="12658"/>
      <w:bookmarkEnd w:id="12659"/>
    </w:p>
    <w:p w14:paraId="27888E27" w14:textId="77777777" w:rsidR="00D53B7D" w:rsidRDefault="00D53B7D" w:rsidP="005077A7">
      <w:pPr>
        <w:pStyle w:val="a"/>
        <w:rPr>
          <w:rFonts w:eastAsiaTheme="minorEastAsia" w:cstheme="minorBidi"/>
          <w:noProof/>
          <w:sz w:val="22"/>
          <w:szCs w:val="22"/>
          <w:rtl/>
        </w:rPr>
      </w:pPr>
      <w:r>
        <w:rPr>
          <w:noProof/>
          <w:rtl/>
        </w:rPr>
        <w:t>דברי המשנת ר"א דלרש"י דגם לרב יהודה יציאת החיות היא ברוב הסימן אף כשהגרים בו</w:t>
      </w:r>
    </w:p>
    <w:p w14:paraId="3CC23AD2" w14:textId="77777777" w:rsidR="00D53B7D" w:rsidRDefault="00D53B7D" w:rsidP="005077A7">
      <w:pPr>
        <w:pStyle w:val="a"/>
        <w:rPr>
          <w:rFonts w:eastAsiaTheme="minorEastAsia" w:cstheme="minorBidi"/>
          <w:noProof/>
          <w:sz w:val="22"/>
          <w:szCs w:val="22"/>
          <w:rtl/>
        </w:rPr>
      </w:pPr>
      <w:r>
        <w:rPr>
          <w:noProof/>
          <w:rtl/>
        </w:rPr>
        <w:t>ביאור המשנת ר"א דלרש"י אף שיצאה החיות אפשר להכשיר לרב יהודה בשליש האחרון</w:t>
      </w:r>
    </w:p>
    <w:p w14:paraId="02575D2A" w14:textId="77777777" w:rsidR="00D53B7D" w:rsidRDefault="00D53B7D" w:rsidP="005077A7">
      <w:pPr>
        <w:pStyle w:val="a"/>
        <w:rPr>
          <w:rFonts w:eastAsiaTheme="minorEastAsia" w:cstheme="minorBidi"/>
          <w:noProof/>
          <w:sz w:val="22"/>
          <w:szCs w:val="22"/>
        </w:rPr>
      </w:pPr>
      <w:r>
        <w:rPr>
          <w:noProof/>
          <w:rtl/>
        </w:rPr>
        <w:t>דברי המשנת ר"א דלרש"י ריבר"י בל"ב ס"ל דאף שיצאה החיות אפשר להכשיר בשליש האחרון</w:t>
      </w:r>
    </w:p>
    <w:p w14:paraId="6C9DC3AF" w14:textId="77777777" w:rsidR="00D53B7D" w:rsidRDefault="00D53B7D" w:rsidP="005077A7">
      <w:pPr>
        <w:pStyle w:val="a"/>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בגדר שחיטה בחצי קנה פגום</w:t>
      </w:r>
    </w:p>
    <w:p w14:paraId="7B690FF4" w14:textId="77777777" w:rsidR="00D53B7D" w:rsidRDefault="00D53B7D" w:rsidP="005077A7">
      <w:pPr>
        <w:pStyle w:val="a"/>
        <w:rPr>
          <w:rFonts w:eastAsiaTheme="minorEastAsia" w:cstheme="minorBidi"/>
          <w:i/>
          <w:iCs/>
          <w:noProof/>
          <w:sz w:val="22"/>
          <w:szCs w:val="22"/>
          <w:rtl/>
        </w:rPr>
      </w:pPr>
      <w:r>
        <w:rPr>
          <w:noProof/>
          <w:rtl/>
        </w:rPr>
        <w:t>דברי הקוב"ש דבחצי קנה פגום השחיטה והפגימה כמעשה אחד</w:t>
      </w:r>
    </w:p>
    <w:p w14:paraId="0895EC78" w14:textId="77777777" w:rsidR="00D53B7D" w:rsidRDefault="00D53B7D" w:rsidP="005077A7">
      <w:pPr>
        <w:pStyle w:val="a"/>
        <w:rPr>
          <w:rFonts w:eastAsiaTheme="minorEastAsia" w:cstheme="minorBidi"/>
          <w:noProof/>
          <w:sz w:val="22"/>
          <w:szCs w:val="22"/>
          <w:rtl/>
        </w:rPr>
      </w:pPr>
      <w:r>
        <w:rPr>
          <w:noProof/>
          <w:rtl/>
        </w:rPr>
        <w:t>קושית הקוב"ש דהפגימה אינה יכולה להצטרף לשחיטה וכיון שאינה פוסלת אמאי הגרמה פוסלת</w:t>
      </w:r>
    </w:p>
    <w:p w14:paraId="7A9D6F90" w14:textId="77777777" w:rsidR="00D53B7D" w:rsidRDefault="00D53B7D" w:rsidP="005077A7">
      <w:pPr>
        <w:pStyle w:val="a"/>
        <w:rPr>
          <w:rFonts w:eastAsiaTheme="minorEastAsia" w:cstheme="minorBidi"/>
          <w:noProof/>
          <w:sz w:val="22"/>
          <w:szCs w:val="22"/>
          <w:rtl/>
        </w:rPr>
      </w:pPr>
      <w:r>
        <w:rPr>
          <w:noProof/>
          <w:rtl/>
        </w:rPr>
        <w:t>דברי הקוב"ש דדמי לשנים שעשו מלאכה בשבת דחשיב שכ"א עשה חצי מעשה</w:t>
      </w:r>
    </w:p>
    <w:p w14:paraId="04CDDB75" w14:textId="77777777" w:rsidR="00D53B7D" w:rsidRDefault="00D53B7D" w:rsidP="005077A7">
      <w:pPr>
        <w:pStyle w:val="a"/>
        <w:rPr>
          <w:rFonts w:eastAsiaTheme="minorEastAsia" w:cstheme="minorBidi"/>
          <w:noProof/>
          <w:sz w:val="22"/>
          <w:szCs w:val="22"/>
          <w:rtl/>
        </w:rPr>
      </w:pPr>
      <w:r>
        <w:rPr>
          <w:noProof/>
          <w:rtl/>
        </w:rPr>
        <w:t>דברי הקוב"ש דחצי קנה פגום שהוסיף בשחיטה חשיב שהשחיטתה עשתה את כל המעשה</w:t>
      </w:r>
    </w:p>
    <w:p w14:paraId="6868B998" w14:textId="77777777" w:rsidR="00D53B7D" w:rsidRDefault="00D53B7D" w:rsidP="005077A7">
      <w:pPr>
        <w:pStyle w:val="a"/>
        <w:rPr>
          <w:rFonts w:eastAsiaTheme="minorEastAsia" w:cstheme="minorBidi"/>
          <w:noProof/>
          <w:sz w:val="22"/>
          <w:szCs w:val="22"/>
          <w:rtl/>
        </w:rPr>
      </w:pPr>
      <w:r>
        <w:rPr>
          <w:noProof/>
          <w:rtl/>
        </w:rPr>
        <w:t>דברי הקוב"ש דבהגרמה דלא סגי בכל שהוא וצריך להוסיף ב' שלישים חשיב חצי מעשה</w:t>
      </w:r>
    </w:p>
    <w:p w14:paraId="14A4EEDD" w14:textId="77777777" w:rsidR="00D53B7D" w:rsidRDefault="00D53B7D" w:rsidP="005077A7">
      <w:pPr>
        <w:pStyle w:val="a"/>
        <w:numPr>
          <w:ilvl w:val="0"/>
          <w:numId w:val="0"/>
        </w:numPr>
        <w:rPr>
          <w:rtl/>
        </w:rPr>
        <w:sectPr w:rsidR="00D53B7D" w:rsidSect="009B7664">
          <w:footerReference w:type="default" r:id="rId91"/>
          <w:type w:val="continuous"/>
          <w:pgSz w:w="11906" w:h="16838"/>
          <w:pgMar w:top="720" w:right="720" w:bottom="720" w:left="720" w:header="283" w:footer="283" w:gutter="0"/>
          <w:cols w:num="2" w:space="170"/>
          <w:titlePg/>
          <w:bidi/>
          <w:rtlGutter/>
          <w:docGrid w:linePitch="299"/>
        </w:sectPr>
      </w:pPr>
      <w:r>
        <w:rPr>
          <w:rtl/>
        </w:rPr>
        <w:fldChar w:fldCharType="end"/>
      </w:r>
      <w:r>
        <w:rPr>
          <w:rtl/>
        </w:rPr>
        <w:fldChar w:fldCharType="end"/>
      </w:r>
    </w:p>
    <w:p w14:paraId="166C4451" w14:textId="77777777" w:rsidR="00D53B7D" w:rsidRPr="0059620C" w:rsidRDefault="00D53B7D" w:rsidP="00D53B7D">
      <w:pPr>
        <w:pStyle w:val="aff4"/>
        <w:rPr>
          <w:rtl/>
        </w:rPr>
        <w:sectPr w:rsidR="00D53B7D" w:rsidRPr="0059620C" w:rsidSect="00715924">
          <w:type w:val="continuous"/>
          <w:pgSz w:w="11906" w:h="16838"/>
          <w:pgMar w:top="720" w:right="720" w:bottom="720" w:left="720" w:header="283" w:footer="283" w:gutter="0"/>
          <w:pgNumType w:start="1"/>
          <w:cols w:space="720"/>
          <w:titlePg/>
          <w:bidi/>
          <w:rtlGutter/>
          <w:docGrid w:linePitch="299"/>
        </w:sectPr>
      </w:pPr>
    </w:p>
    <w:p w14:paraId="52859B76" w14:textId="77777777" w:rsidR="00D53B7D" w:rsidRDefault="00D53B7D" w:rsidP="006D6D32">
      <w:pPr>
        <w:pStyle w:val="a3"/>
        <w:rPr>
          <w:rtl/>
        </w:rPr>
        <w:sectPr w:rsidR="00D53B7D" w:rsidSect="007C6A7B">
          <w:type w:val="continuous"/>
          <w:pgSz w:w="11906" w:h="16838"/>
          <w:pgMar w:top="720" w:right="720" w:bottom="720" w:left="720" w:header="283" w:footer="283" w:gutter="0"/>
          <w:cols w:num="2" w:space="113"/>
          <w:bidi/>
          <w:rtlGutter/>
          <w:docGrid w:linePitch="299"/>
        </w:sectPr>
      </w:pPr>
    </w:p>
    <w:p w14:paraId="6AA9D502" w14:textId="77777777" w:rsidR="00D53B7D" w:rsidRDefault="00D53B7D" w:rsidP="006D6D32">
      <w:pPr>
        <w:pStyle w:val="afe"/>
        <w:rPr>
          <w:rtl/>
        </w:rPr>
      </w:pPr>
      <w:bookmarkStart w:id="12660" w:name="_Toc531894161"/>
      <w:bookmarkStart w:id="12661" w:name="_Toc531894186"/>
      <w:bookmarkStart w:id="12662" w:name="_Toc532202994"/>
      <w:bookmarkStart w:id="12663" w:name="_Toc532302155"/>
      <w:bookmarkStart w:id="12664" w:name="_Toc532453950"/>
      <w:bookmarkStart w:id="12665" w:name="_Toc532453984"/>
      <w:bookmarkStart w:id="12666" w:name="_Toc532550625"/>
      <w:bookmarkStart w:id="12667" w:name="_Toc532550691"/>
      <w:bookmarkStart w:id="12668" w:name="_Toc532810203"/>
      <w:bookmarkStart w:id="12669" w:name="_Toc532844787"/>
      <w:bookmarkStart w:id="12670" w:name="_Toc532849384"/>
      <w:bookmarkStart w:id="12671" w:name="_Toc532897003"/>
      <w:bookmarkStart w:id="12672" w:name="_Toc532901777"/>
      <w:bookmarkStart w:id="12673" w:name="_Toc532976746"/>
      <w:bookmarkStart w:id="12674" w:name="_Toc532982413"/>
      <w:bookmarkStart w:id="12675" w:name="_Toc532982571"/>
      <w:bookmarkStart w:id="12676" w:name="_Toc19435853"/>
      <w:bookmarkStart w:id="12677" w:name="_Toc20081095"/>
      <w:r>
        <w:rPr>
          <w:rFonts w:hint="cs"/>
          <w:rtl/>
        </w:rPr>
        <w:t>מראי מקומות וביאורים על הסוגיא</w:t>
      </w:r>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p>
    <w:p w14:paraId="105D9116" w14:textId="77777777" w:rsidR="00D53B7D" w:rsidRPr="0053789D" w:rsidRDefault="00D53B7D" w:rsidP="006D6D32">
      <w:pPr>
        <w:pStyle w:val="a3"/>
        <w:bidi w:val="0"/>
        <w:rPr>
          <w:rtl/>
        </w:rPr>
        <w:sectPr w:rsidR="00D53B7D" w:rsidRPr="0053789D" w:rsidSect="009B7664">
          <w:pgSz w:w="11906" w:h="16838"/>
          <w:pgMar w:top="720" w:right="720" w:bottom="720" w:left="720" w:header="283" w:footer="283" w:gutter="0"/>
          <w:pgNumType w:start="159"/>
          <w:cols w:space="720"/>
          <w:bidi/>
          <w:rtlGutter/>
          <w:docGrid w:linePitch="299"/>
        </w:sectPr>
      </w:pPr>
    </w:p>
    <w:p w14:paraId="7093A6EC" w14:textId="77777777" w:rsidR="00D53B7D" w:rsidRDefault="00D53B7D" w:rsidP="006D6D32">
      <w:pPr>
        <w:pStyle w:val="afe"/>
        <w:rPr>
          <w:rtl/>
        </w:rPr>
      </w:pPr>
      <w:bookmarkStart w:id="12678" w:name="_Toc532810208"/>
      <w:bookmarkStart w:id="12679" w:name="_Toc532844792"/>
      <w:bookmarkStart w:id="12680" w:name="_Toc532849389"/>
      <w:bookmarkStart w:id="12681" w:name="_Toc532897008"/>
      <w:bookmarkStart w:id="12682" w:name="_Toc532901782"/>
      <w:bookmarkStart w:id="12683" w:name="_Toc532976747"/>
      <w:bookmarkStart w:id="12684" w:name="_Toc532982414"/>
      <w:bookmarkStart w:id="12685" w:name="_Toc532982572"/>
      <w:bookmarkStart w:id="12686" w:name="_Toc19435854"/>
      <w:bookmarkStart w:id="12687" w:name="_Toc20081096"/>
      <w:bookmarkStart w:id="12688" w:name="_Toc531894162"/>
      <w:r>
        <w:rPr>
          <w:rFonts w:hint="cs"/>
          <w:rtl/>
        </w:rPr>
        <w:t>בפלוגתת ריבר"י ורבנן בחצי קנה פגום</w:t>
      </w:r>
      <w:bookmarkEnd w:id="12678"/>
      <w:bookmarkEnd w:id="12679"/>
      <w:bookmarkEnd w:id="12680"/>
      <w:bookmarkEnd w:id="12681"/>
      <w:bookmarkEnd w:id="12682"/>
      <w:bookmarkEnd w:id="12683"/>
      <w:bookmarkEnd w:id="12684"/>
      <w:bookmarkEnd w:id="12685"/>
      <w:bookmarkEnd w:id="12686"/>
      <w:bookmarkEnd w:id="12687"/>
    </w:p>
    <w:p w14:paraId="6B7792D5" w14:textId="77777777" w:rsidR="00D53B7D" w:rsidRDefault="00D53B7D" w:rsidP="00BF39B2">
      <w:pPr>
        <w:pStyle w:val="1"/>
        <w:rPr>
          <w:rtl/>
        </w:rPr>
      </w:pPr>
      <w:bookmarkStart w:id="12689" w:name="_Toc532202996"/>
      <w:bookmarkStart w:id="12690" w:name="_Toc532302157"/>
      <w:bookmarkStart w:id="12691" w:name="_Toc532453952"/>
      <w:bookmarkStart w:id="12692" w:name="_Toc532453986"/>
      <w:bookmarkStart w:id="12693" w:name="_Toc532550627"/>
      <w:bookmarkStart w:id="12694" w:name="_Toc532550693"/>
      <w:bookmarkStart w:id="12695" w:name="_Toc532810209"/>
      <w:bookmarkStart w:id="12696" w:name="_Toc532844793"/>
      <w:bookmarkStart w:id="12697" w:name="_Toc532849390"/>
      <w:bookmarkStart w:id="12698" w:name="_Toc532897009"/>
      <w:bookmarkStart w:id="12699" w:name="_Toc532901783"/>
      <w:bookmarkStart w:id="12700" w:name="_Toc532976748"/>
      <w:bookmarkStart w:id="12701" w:name="_Toc532982415"/>
      <w:bookmarkStart w:id="12702" w:name="_Toc532982573"/>
      <w:bookmarkStart w:id="12703" w:name="_Toc19390684"/>
      <w:bookmarkStart w:id="12704" w:name="_Toc19394181"/>
      <w:r>
        <w:rPr>
          <w:rFonts w:hint="cs"/>
          <w:rtl/>
        </w:rPr>
        <w:t>ביאור</w:t>
      </w:r>
      <w:r w:rsidRPr="00D60720">
        <w:rPr>
          <w:rFonts w:hint="cs"/>
          <w:rtl/>
        </w:rPr>
        <w:t xml:space="preserve"> רש</w:t>
      </w:r>
      <w:r w:rsidRPr="00D60720">
        <w:rPr>
          <w:rFonts w:cs="Guttman Adii-Light" w:hint="cs"/>
          <w:rtl/>
        </w:rPr>
        <w:t>"</w:t>
      </w:r>
      <w:r w:rsidRPr="00D60720">
        <w:rPr>
          <w:rFonts w:hint="cs"/>
          <w:rtl/>
        </w:rPr>
        <w:t xml:space="preserve">י </w:t>
      </w:r>
      <w:r>
        <w:rPr>
          <w:rFonts w:hint="cs"/>
          <w:rtl/>
        </w:rPr>
        <w:t>בדברי ריבר"י ב</w:t>
      </w:r>
      <w:r w:rsidRPr="00D60720">
        <w:rPr>
          <w:rFonts w:hint="cs"/>
          <w:rtl/>
        </w:rPr>
        <w:t xml:space="preserve">הגרמה </w:t>
      </w:r>
      <w:r>
        <w:rPr>
          <w:rFonts w:hint="cs"/>
          <w:rtl/>
        </w:rPr>
        <w:t>וב</w:t>
      </w:r>
      <w:r w:rsidRPr="00D60720">
        <w:rPr>
          <w:rFonts w:hint="cs"/>
          <w:rtl/>
        </w:rPr>
        <w:t>חצי קנה פגום</w:t>
      </w:r>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p>
    <w:p w14:paraId="6548F32E" w14:textId="77777777" w:rsidR="00D53B7D" w:rsidRDefault="00D53B7D" w:rsidP="006D6D32">
      <w:pPr>
        <w:pStyle w:val="a3"/>
        <w:rPr>
          <w:rtl/>
        </w:rPr>
      </w:pPr>
      <w:bookmarkStart w:id="12705" w:name="_Toc532550628"/>
      <w:bookmarkStart w:id="12706" w:name="_Toc532550694"/>
      <w:bookmarkStart w:id="12707" w:name="_Toc532810210"/>
      <w:bookmarkStart w:id="12708" w:name="_Toc532844794"/>
      <w:bookmarkStart w:id="12709" w:name="_Toc532849391"/>
      <w:bookmarkStart w:id="12710" w:name="_Toc532897010"/>
      <w:bookmarkStart w:id="12711" w:name="_Toc532901784"/>
      <w:bookmarkStart w:id="12712" w:name="_Toc532976749"/>
      <w:bookmarkStart w:id="12713" w:name="_Toc532982416"/>
      <w:bookmarkStart w:id="12714" w:name="_Toc532982574"/>
      <w:bookmarkStart w:id="12715" w:name="_Toc19390685"/>
      <w:bookmarkStart w:id="12716" w:name="_Toc19394182"/>
      <w:r>
        <w:rPr>
          <w:rFonts w:hint="cs"/>
          <w:rtl/>
        </w:rPr>
        <w:t>ביאור רש"י בדברי רב חסדא דלרבר"י הגרים שליש ושחט ב' שלישים דמי לחצי קנה פגום</w:t>
      </w:r>
      <w:bookmarkEnd w:id="12705"/>
      <w:bookmarkEnd w:id="12706"/>
      <w:bookmarkEnd w:id="12707"/>
      <w:bookmarkEnd w:id="12708"/>
      <w:bookmarkEnd w:id="12709"/>
      <w:bookmarkEnd w:id="12710"/>
      <w:bookmarkEnd w:id="12711"/>
      <w:bookmarkEnd w:id="12712"/>
      <w:bookmarkEnd w:id="12713"/>
      <w:bookmarkEnd w:id="12714"/>
      <w:bookmarkEnd w:id="12715"/>
      <w:bookmarkEnd w:id="12716"/>
    </w:p>
    <w:p w14:paraId="3AA62B04" w14:textId="77777777" w:rsidR="00D53B7D" w:rsidRDefault="00D53B7D" w:rsidP="00E12979">
      <w:pPr>
        <w:pStyle w:val="a0"/>
        <w:numPr>
          <w:ilvl w:val="0"/>
          <w:numId w:val="15"/>
        </w:numPr>
        <w:rPr>
          <w:rtl/>
        </w:rPr>
      </w:pPr>
      <w:bookmarkStart w:id="12717" w:name="_Toc531894163"/>
      <w:bookmarkStart w:id="12718" w:name="_Toc531894188"/>
      <w:r>
        <w:rPr>
          <w:rFonts w:hint="cs"/>
          <w:rtl/>
        </w:rPr>
        <w:t xml:space="preserve">בדברי ריבר"י דהכשיר בהגרים שליש ושחט ב' שלישים, כמו בחצי קנה פגום, כתב </w:t>
      </w:r>
      <w:r w:rsidRPr="00586027">
        <w:rPr>
          <w:rStyle w:val="af9"/>
          <w:rFonts w:hint="cs"/>
          <w:rtl/>
        </w:rPr>
        <w:t>רש"י</w:t>
      </w:r>
      <w:r>
        <w:rPr>
          <w:rFonts w:hint="cs"/>
          <w:rtl/>
        </w:rPr>
        <w:t xml:space="preserve"> </w:t>
      </w:r>
      <w:r w:rsidRPr="00223668">
        <w:rPr>
          <w:rStyle w:val="af7"/>
          <w:rFonts w:eastAsia="Guttman Hodes" w:hint="cs"/>
          <w:rtl/>
        </w:rPr>
        <w:t>(ד"ה מידי)</w:t>
      </w:r>
      <w:r>
        <w:rPr>
          <w:rFonts w:hint="cs"/>
          <w:rtl/>
        </w:rPr>
        <w:t xml:space="preserve"> דכמו שבחצי קנה פגום, אפשר להכשיר ע"י שמוסיף על הפגימה שחיטה כל שהוא, ואעפ"י שהחיות יוצאת ע"י החצי פגימה והמשהו שחיטה, ואי"ז רוב בשחיטה, מ"מ השחיטה כשרה </w:t>
      </w:r>
      <w:r w:rsidRPr="00586027">
        <w:rPr>
          <w:rStyle w:val="afb"/>
          <w:rFonts w:hint="cs"/>
          <w:rtl/>
        </w:rPr>
        <w:t>[כיון שיציאת החיות בסוף הייתה ע"י שחיטה]</w:t>
      </w:r>
      <w:r>
        <w:rPr>
          <w:rFonts w:hint="cs"/>
          <w:rtl/>
        </w:rPr>
        <w:t>, וה"ה בהגרים שליש ושחט ב' שלישים, דהשליש שהגרים הוא כפגימה בעלמא, וכשמוסיף לשחוט וגמר את הרוב בשחיטה, ההגרמה שהייתה בתחילה אינה פוסלת.</w:t>
      </w:r>
    </w:p>
    <w:p w14:paraId="13CD033C" w14:textId="77777777" w:rsidR="00D53B7D" w:rsidRDefault="00D53B7D" w:rsidP="006D6D32">
      <w:pPr>
        <w:pStyle w:val="a3"/>
        <w:rPr>
          <w:rtl/>
        </w:rPr>
      </w:pPr>
      <w:bookmarkStart w:id="12719" w:name="_Toc532550629"/>
      <w:bookmarkStart w:id="12720" w:name="_Toc532550695"/>
      <w:bookmarkStart w:id="12721" w:name="_Toc532810211"/>
      <w:bookmarkStart w:id="12722" w:name="_Toc532844795"/>
      <w:bookmarkStart w:id="12723" w:name="_Toc532849392"/>
      <w:bookmarkStart w:id="12724" w:name="_Toc532897011"/>
      <w:bookmarkStart w:id="12725" w:name="_Toc532901785"/>
      <w:bookmarkStart w:id="12726" w:name="_Toc532976750"/>
      <w:bookmarkStart w:id="12727" w:name="_Toc532982417"/>
      <w:bookmarkStart w:id="12728" w:name="_Toc532982575"/>
      <w:bookmarkStart w:id="12729" w:name="_Toc19390686"/>
      <w:bookmarkStart w:id="12730" w:name="_Toc19394183"/>
      <w:r>
        <w:rPr>
          <w:rFonts w:hint="cs"/>
          <w:rtl/>
        </w:rPr>
        <w:t xml:space="preserve">דברי רש"י דבהגרים שליש לא סגי בשחיטה כל שהיא כחצי קנה פגום </w:t>
      </w:r>
      <w:bookmarkEnd w:id="12719"/>
      <w:bookmarkEnd w:id="12720"/>
      <w:bookmarkEnd w:id="12721"/>
      <w:bookmarkEnd w:id="12722"/>
      <w:bookmarkEnd w:id="12723"/>
      <w:bookmarkEnd w:id="12724"/>
      <w:bookmarkEnd w:id="12725"/>
      <w:bookmarkEnd w:id="12726"/>
      <w:bookmarkEnd w:id="12727"/>
      <w:bookmarkEnd w:id="12728"/>
      <w:r>
        <w:rPr>
          <w:rFonts w:hint="cs"/>
          <w:rtl/>
        </w:rPr>
        <w:t>וצריך להוסיף ב' שלישים</w:t>
      </w:r>
      <w:bookmarkEnd w:id="12729"/>
      <w:bookmarkEnd w:id="12730"/>
    </w:p>
    <w:p w14:paraId="3B01D2EA" w14:textId="77777777" w:rsidR="00D53B7D" w:rsidRDefault="00D53B7D" w:rsidP="00223668">
      <w:pPr>
        <w:pStyle w:val="a0"/>
        <w:rPr>
          <w:rtl/>
        </w:rPr>
      </w:pPr>
      <w:bookmarkStart w:id="12731" w:name="_Ref532404612"/>
      <w:r>
        <w:rPr>
          <w:rFonts w:hint="cs"/>
          <w:rtl/>
        </w:rPr>
        <w:t xml:space="preserve">והוסיף </w:t>
      </w:r>
      <w:r w:rsidRPr="00586027">
        <w:rPr>
          <w:rStyle w:val="af9"/>
          <w:rFonts w:hint="cs"/>
          <w:rtl/>
        </w:rPr>
        <w:t>רש"י</w:t>
      </w:r>
      <w:r>
        <w:rPr>
          <w:rFonts w:hint="cs"/>
          <w:rtl/>
        </w:rPr>
        <w:t xml:space="preserve"> </w:t>
      </w:r>
      <w:r w:rsidRPr="00384675">
        <w:rPr>
          <w:rFonts w:hint="cs"/>
          <w:rtl/>
        </w:rPr>
        <w:t xml:space="preserve">דהא דהכא צריך להוסיף </w:t>
      </w:r>
      <w:r>
        <w:rPr>
          <w:rFonts w:hint="cs"/>
          <w:rtl/>
        </w:rPr>
        <w:t>ב' שלישים</w:t>
      </w:r>
      <w:r w:rsidRPr="00384675">
        <w:rPr>
          <w:rFonts w:hint="cs"/>
          <w:rtl/>
        </w:rPr>
        <w:t xml:space="preserve"> בשחיטה, בכדי שישחט רוב סימן, ולא סגי בתוספת כל שהוא כמו בחצי קנה פגום </w:t>
      </w:r>
      <w:r w:rsidRPr="00384675">
        <w:rPr>
          <w:rStyle w:val="afb"/>
          <w:rFonts w:hint="cs"/>
          <w:rtl/>
        </w:rPr>
        <w:t>[שרוב הסימן יגמר בשחיטה]</w:t>
      </w:r>
      <w:r w:rsidRPr="00384675">
        <w:rPr>
          <w:rFonts w:hint="cs"/>
          <w:rtl/>
        </w:rPr>
        <w:t xml:space="preserve">, </w:t>
      </w:r>
      <w:r>
        <w:rPr>
          <w:rFonts w:hint="cs"/>
          <w:rtl/>
        </w:rPr>
        <w:t>ד</w:t>
      </w:r>
      <w:r w:rsidRPr="00384675">
        <w:rPr>
          <w:rFonts w:hint="cs"/>
          <w:rtl/>
        </w:rPr>
        <w:t xml:space="preserve">כיון שההגרמה אינה במקום שחיטה, </w:t>
      </w:r>
      <w:r>
        <w:rPr>
          <w:rFonts w:hint="cs"/>
          <w:rtl/>
        </w:rPr>
        <w:t xml:space="preserve">לכן </w:t>
      </w:r>
      <w:r w:rsidRPr="00384675">
        <w:rPr>
          <w:rFonts w:hint="cs"/>
          <w:rtl/>
        </w:rPr>
        <w:t>אינה מצטרפת להכשיר את השחיטה</w:t>
      </w:r>
      <w:r>
        <w:rPr>
          <w:rFonts w:hint="cs"/>
          <w:rtl/>
        </w:rPr>
        <w:t xml:space="preserve">, ועי' בדברי </w:t>
      </w:r>
      <w:r w:rsidRPr="00FF27F9">
        <w:rPr>
          <w:rStyle w:val="af9"/>
          <w:rFonts w:hint="cs"/>
          <w:rtl/>
        </w:rPr>
        <w:t>התפארת יעקב</w:t>
      </w:r>
      <w:r>
        <w:rPr>
          <w:rFonts w:hint="cs"/>
          <w:rtl/>
        </w:rPr>
        <w:t xml:space="preserve"> </w:t>
      </w:r>
      <w:r w:rsidRPr="00FF27F9">
        <w:rPr>
          <w:rStyle w:val="af7"/>
          <w:rFonts w:eastAsia="Guttman Hodes" w:hint="cs"/>
          <w:rtl/>
        </w:rPr>
        <w:t xml:space="preserve">(עי' אות </w:t>
      </w:r>
      <w:r w:rsidRPr="00FF27F9">
        <w:rPr>
          <w:rStyle w:val="af7"/>
          <w:rFonts w:eastAsia="Guttman Hodes"/>
          <w:rtl/>
        </w:rPr>
        <w:fldChar w:fldCharType="begin"/>
      </w:r>
      <w:r w:rsidRPr="00FF27F9">
        <w:rPr>
          <w:rStyle w:val="af7"/>
          <w:rFonts w:eastAsia="Guttman Hodes"/>
          <w:rtl/>
        </w:rPr>
        <w:instrText xml:space="preserve"> </w:instrText>
      </w:r>
      <w:r w:rsidRPr="00FF27F9">
        <w:rPr>
          <w:rStyle w:val="af7"/>
          <w:rFonts w:eastAsia="Guttman Hodes" w:hint="cs"/>
        </w:rPr>
        <w:instrText>REF</w:instrText>
      </w:r>
      <w:r w:rsidRPr="00FF27F9">
        <w:rPr>
          <w:rStyle w:val="af7"/>
          <w:rFonts w:eastAsia="Guttman Hodes" w:hint="cs"/>
          <w:rtl/>
        </w:rPr>
        <w:instrText xml:space="preserve"> _</w:instrText>
      </w:r>
      <w:r w:rsidRPr="00FF27F9">
        <w:rPr>
          <w:rStyle w:val="af7"/>
          <w:rFonts w:eastAsia="Guttman Hodes" w:hint="cs"/>
        </w:rPr>
        <w:instrText>Ref532978754 \r \h</w:instrText>
      </w:r>
      <w:r w:rsidRPr="00FF27F9">
        <w:rPr>
          <w:rStyle w:val="af7"/>
          <w:rFonts w:eastAsia="Guttman Hodes"/>
          <w:rtl/>
        </w:rPr>
        <w:instrText xml:space="preserve"> </w:instrText>
      </w:r>
      <w:r w:rsidRPr="00FF27F9">
        <w:rPr>
          <w:rStyle w:val="af7"/>
          <w:rFonts w:eastAsia="Guttman Hodes"/>
          <w:rtl/>
        </w:rPr>
      </w:r>
      <w:r w:rsidRPr="00FF27F9">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FF27F9">
        <w:rPr>
          <w:rStyle w:val="af7"/>
          <w:rFonts w:eastAsia="Guttman Hodes"/>
          <w:rtl/>
        </w:rPr>
        <w:fldChar w:fldCharType="end"/>
      </w:r>
      <w:r w:rsidRPr="00696E98">
        <w:rPr>
          <w:rFonts w:hint="cs"/>
          <w:rtl/>
        </w:rPr>
        <w:t xml:space="preserve"> </w:t>
      </w:r>
      <w:r>
        <w:rPr>
          <w:rFonts w:hint="cs"/>
          <w:rtl/>
        </w:rPr>
        <w:t xml:space="preserve">, ועי' במה שביאר </w:t>
      </w:r>
      <w:r w:rsidRPr="000514FD">
        <w:rPr>
          <w:rStyle w:val="af9"/>
          <w:rFonts w:hint="cs"/>
          <w:rtl/>
        </w:rPr>
        <w:t>הקוב"ש</w:t>
      </w:r>
      <w:r>
        <w:rPr>
          <w:rFonts w:hint="cs"/>
          <w:rtl/>
        </w:rPr>
        <w:t xml:space="preserve"> </w:t>
      </w:r>
      <w:r w:rsidRPr="000514FD">
        <w:rPr>
          <w:rStyle w:val="af7"/>
          <w:rFonts w:eastAsia="Guttman Hodes" w:hint="cs"/>
          <w:rtl/>
        </w:rPr>
        <w:t xml:space="preserve">(עי' </w:t>
      </w:r>
      <w:r w:rsidRPr="00696E98">
        <w:rPr>
          <w:rStyle w:val="af7"/>
          <w:rFonts w:eastAsia="Guttman Hodes" w:hint="cs"/>
          <w:rtl/>
        </w:rPr>
        <w:t xml:space="preserve">אות </w:t>
      </w:r>
      <w:r w:rsidRPr="00696E98">
        <w:rPr>
          <w:rStyle w:val="af7"/>
          <w:rFonts w:eastAsia="Guttman Hodes"/>
          <w:rtl/>
        </w:rPr>
        <w:fldChar w:fldCharType="begin"/>
      </w:r>
      <w:r w:rsidRPr="00696E98">
        <w:rPr>
          <w:rStyle w:val="af7"/>
          <w:rFonts w:eastAsia="Guttman Hodes"/>
          <w:rtl/>
        </w:rPr>
        <w:instrText xml:space="preserve"> </w:instrText>
      </w:r>
      <w:r w:rsidRPr="00696E98">
        <w:rPr>
          <w:rStyle w:val="af7"/>
          <w:rFonts w:eastAsia="Guttman Hodes" w:hint="cs"/>
        </w:rPr>
        <w:instrText>REF</w:instrText>
      </w:r>
      <w:r w:rsidRPr="00696E98">
        <w:rPr>
          <w:rStyle w:val="af7"/>
          <w:rFonts w:eastAsia="Guttman Hodes" w:hint="cs"/>
          <w:rtl/>
        </w:rPr>
        <w:instrText xml:space="preserve"> _</w:instrText>
      </w:r>
      <w:r w:rsidRPr="00696E98">
        <w:rPr>
          <w:rStyle w:val="af7"/>
          <w:rFonts w:eastAsia="Guttman Hodes" w:hint="cs"/>
        </w:rPr>
        <w:instrText>Ref533069451 \r \h</w:instrText>
      </w:r>
      <w:r w:rsidRPr="00696E98">
        <w:rPr>
          <w:rStyle w:val="af7"/>
          <w:rFonts w:eastAsia="Guttman Hodes"/>
          <w:rtl/>
        </w:rPr>
        <w:instrText xml:space="preserve"> </w:instrText>
      </w:r>
      <w:r w:rsidRPr="00696E98">
        <w:rPr>
          <w:rStyle w:val="af7"/>
          <w:rFonts w:eastAsia="Guttman Hodes"/>
          <w:rtl/>
        </w:rPr>
      </w:r>
      <w:r w:rsidRPr="00696E98">
        <w:rPr>
          <w:rStyle w:val="af7"/>
          <w:rFonts w:eastAsia="Guttman Hodes"/>
          <w:rtl/>
        </w:rPr>
        <w:fldChar w:fldCharType="separate"/>
      </w:r>
      <w:r w:rsidR="00345400">
        <w:rPr>
          <w:rStyle w:val="af7"/>
          <w:rFonts w:eastAsia="Guttman Hodes"/>
          <w:cs/>
        </w:rPr>
        <w:t>‎</w:t>
      </w:r>
      <w:r w:rsidR="00345400">
        <w:rPr>
          <w:rStyle w:val="af7"/>
          <w:rFonts w:eastAsia="Guttman Hodes"/>
          <w:rtl/>
        </w:rPr>
        <w:t>קיא)</w:t>
      </w:r>
      <w:r w:rsidRPr="00696E98">
        <w:rPr>
          <w:rStyle w:val="af7"/>
          <w:rFonts w:eastAsia="Guttman Hodes"/>
          <w:rtl/>
        </w:rPr>
        <w:fldChar w:fldCharType="end"/>
      </w:r>
      <w:r w:rsidRPr="00696E98">
        <w:rPr>
          <w:rStyle w:val="af7"/>
          <w:rFonts w:eastAsia="Guttman Hodes"/>
          <w:rtl/>
        </w:rPr>
        <w:fldChar w:fldCharType="begin"/>
      </w:r>
      <w:r w:rsidRPr="00696E98">
        <w:rPr>
          <w:rStyle w:val="af7"/>
          <w:rFonts w:eastAsia="Guttman Hodes"/>
          <w:rtl/>
        </w:rPr>
        <w:instrText xml:space="preserve"> </w:instrText>
      </w:r>
      <w:r w:rsidRPr="00696E98">
        <w:rPr>
          <w:rStyle w:val="af7"/>
          <w:rFonts w:eastAsia="Guttman Hodes" w:hint="cs"/>
        </w:rPr>
        <w:instrText>REF</w:instrText>
      </w:r>
      <w:r w:rsidRPr="00696E98">
        <w:rPr>
          <w:rStyle w:val="af7"/>
          <w:rFonts w:eastAsia="Guttman Hodes" w:hint="cs"/>
          <w:rtl/>
        </w:rPr>
        <w:instrText xml:space="preserve"> _</w:instrText>
      </w:r>
      <w:r w:rsidRPr="00696E98">
        <w:rPr>
          <w:rStyle w:val="af7"/>
          <w:rFonts w:eastAsia="Guttman Hodes" w:hint="cs"/>
        </w:rPr>
        <w:instrText>Ref533069541 \r \h</w:instrText>
      </w:r>
      <w:r w:rsidRPr="00696E98">
        <w:rPr>
          <w:rStyle w:val="af7"/>
          <w:rFonts w:eastAsia="Guttman Hodes"/>
          <w:rtl/>
        </w:rPr>
        <w:instrText xml:space="preserve"> </w:instrText>
      </w:r>
      <w:r w:rsidRPr="00696E98">
        <w:rPr>
          <w:rStyle w:val="af7"/>
          <w:rFonts w:eastAsia="Guttman Hodes"/>
          <w:rtl/>
        </w:rPr>
      </w:r>
      <w:r w:rsidRPr="00696E98">
        <w:rPr>
          <w:rStyle w:val="af7"/>
          <w:rFonts w:eastAsia="Guttman Hodes"/>
          <w:rtl/>
        </w:rPr>
        <w:fldChar w:fldCharType="separate"/>
      </w:r>
      <w:r w:rsidR="00345400">
        <w:rPr>
          <w:rStyle w:val="af7"/>
          <w:rFonts w:eastAsia="Guttman Hodes"/>
          <w:cs/>
        </w:rPr>
        <w:t>‎</w:t>
      </w:r>
      <w:r w:rsidR="00345400">
        <w:rPr>
          <w:rStyle w:val="af7"/>
          <w:rFonts w:eastAsia="Guttman Hodes"/>
          <w:rtl/>
        </w:rPr>
        <w:t>קיד)</w:t>
      </w:r>
      <w:r w:rsidRPr="00696E98">
        <w:rPr>
          <w:rStyle w:val="af7"/>
          <w:rFonts w:eastAsia="Guttman Hodes"/>
          <w:rtl/>
        </w:rPr>
        <w:fldChar w:fldCharType="end"/>
      </w:r>
      <w:r w:rsidRPr="00384675">
        <w:rPr>
          <w:rFonts w:hint="cs"/>
          <w:rtl/>
        </w:rPr>
        <w:t xml:space="preserve"> .</w:t>
      </w:r>
      <w:bookmarkEnd w:id="12731"/>
    </w:p>
    <w:p w14:paraId="500524BD" w14:textId="77777777" w:rsidR="00D53B7D" w:rsidRPr="00384675" w:rsidRDefault="00D53B7D" w:rsidP="006D6D32">
      <w:pPr>
        <w:pStyle w:val="a3"/>
      </w:pPr>
      <w:bookmarkStart w:id="12732" w:name="_Toc532844796"/>
      <w:bookmarkStart w:id="12733" w:name="_Toc532849393"/>
      <w:bookmarkStart w:id="12734" w:name="_Toc532897012"/>
      <w:bookmarkStart w:id="12735" w:name="_Toc532901786"/>
      <w:bookmarkStart w:id="12736" w:name="_Toc532976751"/>
      <w:bookmarkStart w:id="12737" w:name="_Toc532982418"/>
      <w:bookmarkStart w:id="12738" w:name="_Toc532982576"/>
      <w:bookmarkStart w:id="12739" w:name="_Toc19390687"/>
      <w:bookmarkStart w:id="12740" w:name="_Toc19394184"/>
      <w:bookmarkStart w:id="12741" w:name="_Ref532404656"/>
      <w:bookmarkStart w:id="12742" w:name="_Ref532404783"/>
      <w:bookmarkStart w:id="12743" w:name="_Toc532550630"/>
      <w:bookmarkStart w:id="12744" w:name="_Toc532550696"/>
      <w:r>
        <w:rPr>
          <w:rFonts w:hint="cs"/>
          <w:rtl/>
        </w:rPr>
        <w:t>קושית הרמב"ן דמרב הונא דהכשיר בשחט שליש והגרים שליש מוכח שא"צ לשחוט ב' שלישים</w:t>
      </w:r>
      <w:bookmarkEnd w:id="12732"/>
      <w:bookmarkEnd w:id="12733"/>
      <w:bookmarkEnd w:id="12734"/>
      <w:bookmarkEnd w:id="12735"/>
      <w:bookmarkEnd w:id="12736"/>
      <w:bookmarkEnd w:id="12737"/>
      <w:bookmarkEnd w:id="12738"/>
      <w:bookmarkEnd w:id="12739"/>
      <w:bookmarkEnd w:id="12740"/>
    </w:p>
    <w:p w14:paraId="705F364E" w14:textId="77777777" w:rsidR="00D53B7D" w:rsidRDefault="00D53B7D" w:rsidP="00223668">
      <w:pPr>
        <w:pStyle w:val="a0"/>
        <w:rPr>
          <w:rtl/>
        </w:rPr>
      </w:pPr>
      <w:bookmarkStart w:id="12745" w:name="_Ref532836338"/>
      <w:r w:rsidRPr="00384675">
        <w:rPr>
          <w:rFonts w:hint="cs"/>
          <w:rtl/>
        </w:rPr>
        <w:t xml:space="preserve">והקשה </w:t>
      </w:r>
      <w:r w:rsidRPr="00384675">
        <w:rPr>
          <w:rStyle w:val="af9"/>
          <w:rFonts w:hint="cs"/>
          <w:rtl/>
        </w:rPr>
        <w:t>הרמב"ן</w:t>
      </w:r>
      <w:r w:rsidRPr="00384675">
        <w:rPr>
          <w:rFonts w:hint="cs"/>
          <w:rtl/>
        </w:rPr>
        <w:t xml:space="preserve"> </w:t>
      </w:r>
      <w:r w:rsidRPr="006C301D">
        <w:rPr>
          <w:rStyle w:val="af7"/>
          <w:rFonts w:eastAsia="Guttman Hodes" w:hint="cs"/>
          <w:rtl/>
        </w:rPr>
        <w:t>(ד"ה והא)</w:t>
      </w:r>
      <w:r w:rsidRPr="00384675">
        <w:rPr>
          <w:rFonts w:hint="cs"/>
          <w:rtl/>
        </w:rPr>
        <w:t xml:space="preserve"> </w:t>
      </w:r>
      <w:r>
        <w:rPr>
          <w:rFonts w:hint="cs"/>
          <w:rtl/>
        </w:rPr>
        <w:t>על</w:t>
      </w:r>
      <w:r w:rsidRPr="00173B06">
        <w:rPr>
          <w:rStyle w:val="af9"/>
          <w:rFonts w:hint="cs"/>
          <w:rtl/>
        </w:rPr>
        <w:t xml:space="preserve"> רש"י </w:t>
      </w:r>
      <w:r w:rsidRPr="00384675">
        <w:rPr>
          <w:rFonts w:hint="cs"/>
          <w:rtl/>
        </w:rPr>
        <w:t>דא"כ רב הונא שהכשיר ב</w:t>
      </w:r>
      <w:r>
        <w:rPr>
          <w:rFonts w:hint="cs"/>
          <w:rtl/>
        </w:rPr>
        <w:t>הגרים ושחט והגרים</w:t>
      </w:r>
      <w:r w:rsidRPr="00384675">
        <w:rPr>
          <w:rFonts w:hint="cs"/>
          <w:rtl/>
        </w:rPr>
        <w:t>, הוא לא כרבנן ולא כריבר"י,</w:t>
      </w:r>
      <w:r>
        <w:rPr>
          <w:rFonts w:hint="cs"/>
          <w:rtl/>
        </w:rPr>
        <w:t xml:space="preserve"> דהרי </w:t>
      </w:r>
      <w:r w:rsidRPr="00384675">
        <w:rPr>
          <w:rFonts w:hint="cs"/>
          <w:rtl/>
        </w:rPr>
        <w:t>ההגרמה בשליש האחרון ודאי שאינה מכשירה,</w:t>
      </w:r>
      <w:r>
        <w:rPr>
          <w:rFonts w:hint="cs"/>
          <w:rtl/>
        </w:rPr>
        <w:t xml:space="preserve"> ומוכח דס"ל לרב הונא </w:t>
      </w:r>
      <w:r w:rsidRPr="00384675">
        <w:rPr>
          <w:rFonts w:hint="cs"/>
          <w:rtl/>
        </w:rPr>
        <w:t xml:space="preserve">דכל שבשליש השני שחט כדין כשר, </w:t>
      </w:r>
      <w:r>
        <w:rPr>
          <w:rFonts w:hint="cs"/>
          <w:rtl/>
        </w:rPr>
        <w:t xml:space="preserve">אף ששחט רק את השליש האמצעי, ולדברי רש"י קשה על רב הונא מדברי רבנן דפסלי כיון שהגרים בתחילת השחיטה, ומדברי ריבר"י שצריך להוסיף לשחוט ב' שלישים, ולא סגי בשליש האמצעי, ועי' במה שביארו </w:t>
      </w:r>
      <w:r w:rsidRPr="00037CFB">
        <w:rPr>
          <w:rStyle w:val="af9"/>
          <w:rFonts w:hint="cs"/>
          <w:rtl/>
        </w:rPr>
        <w:t>השיטמ"ק והחת</w:t>
      </w:r>
      <w:r w:rsidRPr="00DD249D">
        <w:rPr>
          <w:rStyle w:val="af9"/>
          <w:rFonts w:hint="cs"/>
          <w:rtl/>
        </w:rPr>
        <w:t>"ס</w:t>
      </w:r>
      <w:r>
        <w:rPr>
          <w:rFonts w:hint="cs"/>
          <w:rtl/>
        </w:rPr>
        <w:t xml:space="preserve"> </w:t>
      </w:r>
      <w:r w:rsidRPr="00DD249D">
        <w:rPr>
          <w:rStyle w:val="af7"/>
          <w:rFonts w:eastAsia="Guttman Hodes" w:hint="cs"/>
          <w:rtl/>
        </w:rPr>
        <w:t xml:space="preserve">(עי' אות </w:t>
      </w:r>
      <w:r w:rsidRPr="00DD249D">
        <w:rPr>
          <w:rStyle w:val="af7"/>
          <w:rFonts w:eastAsia="Guttman Hodes"/>
          <w:rtl/>
        </w:rPr>
        <w:fldChar w:fldCharType="begin"/>
      </w:r>
      <w:r w:rsidRPr="00DD249D">
        <w:rPr>
          <w:rStyle w:val="af7"/>
          <w:rFonts w:eastAsia="Guttman Hodes"/>
          <w:rtl/>
        </w:rPr>
        <w:instrText xml:space="preserve"> </w:instrText>
      </w:r>
      <w:r w:rsidRPr="00DD249D">
        <w:rPr>
          <w:rStyle w:val="af7"/>
          <w:rFonts w:eastAsia="Guttman Hodes" w:hint="cs"/>
        </w:rPr>
        <w:instrText>REF</w:instrText>
      </w:r>
      <w:r w:rsidRPr="00DD249D">
        <w:rPr>
          <w:rStyle w:val="af7"/>
          <w:rFonts w:eastAsia="Guttman Hodes" w:hint="cs"/>
          <w:rtl/>
        </w:rPr>
        <w:instrText xml:space="preserve"> _</w:instrText>
      </w:r>
      <w:r w:rsidRPr="00DD249D">
        <w:rPr>
          <w:rStyle w:val="af7"/>
          <w:rFonts w:eastAsia="Guttman Hodes" w:hint="cs"/>
        </w:rPr>
        <w:instrText>Ref532826029 \r \h</w:instrText>
      </w:r>
      <w:r w:rsidRPr="00DD249D">
        <w:rPr>
          <w:rStyle w:val="af7"/>
          <w:rFonts w:eastAsia="Guttman Hodes"/>
          <w:rtl/>
        </w:rPr>
        <w:instrText xml:space="preserve"> </w:instrText>
      </w:r>
      <w:r w:rsidRPr="00DD249D">
        <w:rPr>
          <w:rStyle w:val="af7"/>
          <w:rFonts w:eastAsia="Guttman Hodes"/>
          <w:rtl/>
        </w:rPr>
      </w:r>
      <w:r w:rsidRPr="00DD249D">
        <w:rPr>
          <w:rStyle w:val="af7"/>
          <w:rFonts w:eastAsia="Guttman Hodes"/>
          <w:rtl/>
        </w:rPr>
        <w:fldChar w:fldCharType="separate"/>
      </w:r>
      <w:r w:rsidR="00345400">
        <w:rPr>
          <w:rStyle w:val="af7"/>
          <w:rFonts w:eastAsia="Guttman Hodes"/>
          <w:cs/>
        </w:rPr>
        <w:t>‎</w:t>
      </w:r>
      <w:r w:rsidR="00345400">
        <w:rPr>
          <w:rStyle w:val="af7"/>
          <w:rFonts w:eastAsia="Guttman Hodes"/>
          <w:rtl/>
        </w:rPr>
        <w:t>ו)</w:t>
      </w:r>
      <w:r w:rsidRPr="00DD249D">
        <w:rPr>
          <w:rStyle w:val="af7"/>
          <w:rFonts w:eastAsia="Guttman Hodes"/>
          <w:rtl/>
        </w:rPr>
        <w:fldChar w:fldCharType="end"/>
      </w:r>
      <w:r w:rsidRPr="00DD249D">
        <w:rPr>
          <w:rStyle w:val="af7"/>
          <w:rFonts w:eastAsia="Guttman Hodes" w:hint="cs"/>
          <w:rtl/>
        </w:rPr>
        <w:t xml:space="preserve"> </w:t>
      </w:r>
      <w:r>
        <w:rPr>
          <w:rFonts w:hint="cs"/>
          <w:rtl/>
        </w:rPr>
        <w:t xml:space="preserve">בתירוץ </w:t>
      </w:r>
      <w:r w:rsidRPr="00DD249D">
        <w:rPr>
          <w:rStyle w:val="af9"/>
          <w:rFonts w:hint="cs"/>
          <w:rtl/>
        </w:rPr>
        <w:t>רש"י</w:t>
      </w:r>
      <w:r>
        <w:rPr>
          <w:rFonts w:hint="cs"/>
          <w:rtl/>
        </w:rPr>
        <w:t xml:space="preserve"> על קושית </w:t>
      </w:r>
      <w:r w:rsidRPr="00DD249D">
        <w:rPr>
          <w:rStyle w:val="af9"/>
          <w:rFonts w:hint="cs"/>
          <w:rtl/>
        </w:rPr>
        <w:t>הרמב"ן</w:t>
      </w:r>
      <w:r>
        <w:rPr>
          <w:rFonts w:hint="cs"/>
          <w:rtl/>
        </w:rPr>
        <w:t xml:space="preserve">, ועי' במה שהקשה </w:t>
      </w:r>
      <w:r w:rsidRPr="00AA5946">
        <w:rPr>
          <w:rStyle w:val="af9"/>
          <w:rFonts w:hint="cs"/>
          <w:rtl/>
        </w:rPr>
        <w:t>הגרא"ו</w:t>
      </w:r>
      <w:r>
        <w:rPr>
          <w:rFonts w:hint="cs"/>
          <w:rtl/>
        </w:rPr>
        <w:t xml:space="preserve"> </w:t>
      </w:r>
      <w:r w:rsidRPr="00AA5946">
        <w:rPr>
          <w:rStyle w:val="af7"/>
          <w:rFonts w:eastAsia="Guttman Hodes" w:hint="cs"/>
          <w:rtl/>
        </w:rPr>
        <w:t xml:space="preserve">(עי' אות </w:t>
      </w:r>
      <w:r w:rsidRPr="00AA5946">
        <w:rPr>
          <w:rStyle w:val="af7"/>
          <w:rFonts w:eastAsia="Guttman Hodes"/>
          <w:rtl/>
        </w:rPr>
        <w:fldChar w:fldCharType="begin"/>
      </w:r>
      <w:r w:rsidRPr="00AA5946">
        <w:rPr>
          <w:rStyle w:val="af7"/>
          <w:rFonts w:eastAsia="Guttman Hodes"/>
          <w:rtl/>
        </w:rPr>
        <w:instrText xml:space="preserve"> </w:instrText>
      </w:r>
      <w:r w:rsidRPr="00AA5946">
        <w:rPr>
          <w:rStyle w:val="af7"/>
          <w:rFonts w:eastAsia="Guttman Hodes" w:hint="cs"/>
        </w:rPr>
        <w:instrText>REF</w:instrText>
      </w:r>
      <w:r w:rsidRPr="00AA5946">
        <w:rPr>
          <w:rStyle w:val="af7"/>
          <w:rFonts w:eastAsia="Guttman Hodes" w:hint="cs"/>
          <w:rtl/>
        </w:rPr>
        <w:instrText xml:space="preserve"> _</w:instrText>
      </w:r>
      <w:r w:rsidRPr="00AA5946">
        <w:rPr>
          <w:rStyle w:val="af7"/>
          <w:rFonts w:eastAsia="Guttman Hodes" w:hint="cs"/>
        </w:rPr>
        <w:instrText>Ref532982294 \r \h</w:instrText>
      </w:r>
      <w:r w:rsidRPr="00AA5946">
        <w:rPr>
          <w:rStyle w:val="af7"/>
          <w:rFonts w:eastAsia="Guttman Hodes"/>
          <w:rtl/>
        </w:rPr>
        <w:instrText xml:space="preserve"> </w:instrText>
      </w:r>
      <w:r w:rsidRPr="00AA5946">
        <w:rPr>
          <w:rStyle w:val="af7"/>
          <w:rFonts w:eastAsia="Guttman Hodes"/>
          <w:rtl/>
        </w:rPr>
      </w:r>
      <w:r w:rsidRPr="00AA5946">
        <w:rPr>
          <w:rStyle w:val="af7"/>
          <w:rFonts w:eastAsia="Guttman Hodes"/>
          <w:rtl/>
        </w:rPr>
        <w:fldChar w:fldCharType="separate"/>
      </w:r>
      <w:r w:rsidR="00345400">
        <w:rPr>
          <w:rStyle w:val="af7"/>
          <w:rFonts w:eastAsia="Guttman Hodes"/>
          <w:cs/>
        </w:rPr>
        <w:t>‎</w:t>
      </w:r>
      <w:r w:rsidR="00345400">
        <w:rPr>
          <w:rStyle w:val="af7"/>
          <w:rFonts w:eastAsia="Guttman Hodes"/>
          <w:rtl/>
        </w:rPr>
        <w:t>צד)</w:t>
      </w:r>
      <w:r w:rsidRPr="00AA5946">
        <w:rPr>
          <w:rStyle w:val="af7"/>
          <w:rFonts w:eastAsia="Guttman Hodes"/>
          <w:rtl/>
        </w:rPr>
        <w:fldChar w:fldCharType="end"/>
      </w:r>
      <w:r w:rsidRPr="00AA5946">
        <w:rPr>
          <w:rFonts w:hint="cs"/>
          <w:rtl/>
        </w:rPr>
        <w:t xml:space="preserve"> </w:t>
      </w:r>
      <w:r>
        <w:rPr>
          <w:rFonts w:hint="cs"/>
          <w:rtl/>
        </w:rPr>
        <w:t xml:space="preserve">על </w:t>
      </w:r>
      <w:r w:rsidRPr="00AA5946">
        <w:rPr>
          <w:rStyle w:val="af9"/>
          <w:rFonts w:hint="cs"/>
          <w:rtl/>
        </w:rPr>
        <w:t>הרמב"ן</w:t>
      </w:r>
      <w:r>
        <w:rPr>
          <w:rFonts w:hint="cs"/>
          <w:rtl/>
        </w:rPr>
        <w:t>.</w:t>
      </w:r>
      <w:bookmarkEnd w:id="12745"/>
    </w:p>
    <w:p w14:paraId="0FB351C3" w14:textId="77777777" w:rsidR="00D53B7D" w:rsidRPr="006C301D" w:rsidRDefault="00D53B7D" w:rsidP="006D6D32">
      <w:pPr>
        <w:pStyle w:val="a3"/>
      </w:pPr>
      <w:bookmarkStart w:id="12746" w:name="_Toc532844797"/>
      <w:bookmarkStart w:id="12747" w:name="_Toc532849394"/>
      <w:bookmarkStart w:id="12748" w:name="_Toc532897013"/>
      <w:bookmarkStart w:id="12749" w:name="_Toc532901787"/>
      <w:bookmarkStart w:id="12750" w:name="_Toc532976752"/>
      <w:bookmarkStart w:id="12751" w:name="_Toc532982419"/>
      <w:bookmarkStart w:id="12752" w:name="_Toc532982577"/>
      <w:bookmarkStart w:id="12753" w:name="_Toc19390688"/>
      <w:bookmarkStart w:id="12754" w:name="_Toc19394185"/>
      <w:r>
        <w:rPr>
          <w:rFonts w:hint="cs"/>
          <w:rtl/>
        </w:rPr>
        <w:t>דברי הרמב"ן דאפש"ל דביאר רש"י את הל"ב כרב יהודה דס"ל דצריך לשחוט את רוב הקנה</w:t>
      </w:r>
      <w:bookmarkEnd w:id="12746"/>
      <w:bookmarkEnd w:id="12747"/>
      <w:bookmarkEnd w:id="12748"/>
      <w:bookmarkEnd w:id="12749"/>
      <w:bookmarkEnd w:id="12750"/>
      <w:bookmarkEnd w:id="12751"/>
      <w:bookmarkEnd w:id="12752"/>
      <w:bookmarkEnd w:id="12753"/>
      <w:bookmarkEnd w:id="12754"/>
    </w:p>
    <w:p w14:paraId="6D547064" w14:textId="77777777" w:rsidR="00D53B7D" w:rsidRDefault="00D53B7D" w:rsidP="00223668">
      <w:pPr>
        <w:pStyle w:val="a0"/>
        <w:rPr>
          <w:rtl/>
        </w:rPr>
      </w:pPr>
      <w:r>
        <w:rPr>
          <w:rFonts w:hint="cs"/>
          <w:rtl/>
        </w:rPr>
        <w:t xml:space="preserve">אך </w:t>
      </w:r>
      <w:r w:rsidRPr="00384675">
        <w:rPr>
          <w:rFonts w:hint="cs"/>
          <w:rtl/>
        </w:rPr>
        <w:t xml:space="preserve">כתב </w:t>
      </w:r>
      <w:r w:rsidRPr="00384675">
        <w:rPr>
          <w:rStyle w:val="af9"/>
          <w:rFonts w:hint="cs"/>
          <w:rtl/>
        </w:rPr>
        <w:t>הרמב"ן</w:t>
      </w:r>
      <w:r w:rsidRPr="00384675">
        <w:rPr>
          <w:rFonts w:hint="cs"/>
          <w:rtl/>
        </w:rPr>
        <w:t xml:space="preserve"> דאפש"ל </w:t>
      </w:r>
      <w:r w:rsidRPr="00384675">
        <w:rPr>
          <w:rStyle w:val="af9"/>
          <w:rFonts w:hint="cs"/>
          <w:rtl/>
        </w:rPr>
        <w:t xml:space="preserve">דרש"י </w:t>
      </w:r>
      <w:r>
        <w:rPr>
          <w:rFonts w:hint="cs"/>
          <w:rtl/>
        </w:rPr>
        <w:t>כתב כן בכדי לבאר</w:t>
      </w:r>
      <w:r w:rsidRPr="00384675">
        <w:rPr>
          <w:rFonts w:hint="cs"/>
          <w:rtl/>
        </w:rPr>
        <w:t xml:space="preserve"> </w:t>
      </w:r>
      <w:r>
        <w:rPr>
          <w:rFonts w:hint="cs"/>
          <w:rtl/>
        </w:rPr>
        <w:t xml:space="preserve">את הל"ב דרב </w:t>
      </w:r>
      <w:r w:rsidRPr="00384675">
        <w:rPr>
          <w:rFonts w:hint="cs"/>
          <w:rtl/>
        </w:rPr>
        <w:t>הונא אמר רב אסי אף לדעת רב יהודה</w:t>
      </w:r>
      <w:r>
        <w:rPr>
          <w:rFonts w:hint="cs"/>
          <w:rtl/>
        </w:rPr>
        <w:t>, דס"ל דבעינן רוב בשחיטה, ולכן כתב רש"י דלא סגי בתוספת כל שהוא דהא לרב יהודה צריך להוסיף ב' שלישים בשחיטה</w:t>
      </w:r>
      <w:r w:rsidRPr="00384675">
        <w:rPr>
          <w:rFonts w:hint="cs"/>
          <w:rtl/>
        </w:rPr>
        <w:t>.</w:t>
      </w:r>
    </w:p>
    <w:p w14:paraId="5B68A244" w14:textId="77777777" w:rsidR="00D53B7D" w:rsidRPr="004B3ED6" w:rsidRDefault="00D53B7D" w:rsidP="00BF39B2">
      <w:pPr>
        <w:pStyle w:val="1"/>
        <w:rPr>
          <w:rtl/>
        </w:rPr>
      </w:pPr>
      <w:bookmarkStart w:id="12755" w:name="_Toc532844799"/>
      <w:bookmarkStart w:id="12756" w:name="_Toc532849396"/>
      <w:bookmarkStart w:id="12757" w:name="_Toc532897015"/>
      <w:bookmarkStart w:id="12758" w:name="_Toc532901789"/>
      <w:bookmarkStart w:id="12759" w:name="_Toc532976754"/>
      <w:bookmarkStart w:id="12760" w:name="_Toc532982421"/>
      <w:bookmarkStart w:id="12761" w:name="_Toc532982579"/>
      <w:bookmarkStart w:id="12762" w:name="_Toc19390689"/>
      <w:bookmarkStart w:id="12763" w:name="_Toc19394186"/>
      <w:bookmarkEnd w:id="12741"/>
      <w:bookmarkEnd w:id="12742"/>
      <w:r>
        <w:rPr>
          <w:rFonts w:hint="cs"/>
          <w:rtl/>
        </w:rPr>
        <w:t>ביאור החת"ס בדעת רש"י בדברי ריבר"י בחצי קנה פגום</w:t>
      </w:r>
      <w:bookmarkEnd w:id="12755"/>
      <w:bookmarkEnd w:id="12756"/>
      <w:bookmarkEnd w:id="12757"/>
      <w:bookmarkEnd w:id="12758"/>
      <w:bookmarkEnd w:id="12759"/>
      <w:bookmarkEnd w:id="12760"/>
      <w:bookmarkEnd w:id="12761"/>
      <w:bookmarkEnd w:id="12762"/>
      <w:bookmarkEnd w:id="12763"/>
      <w:r>
        <w:rPr>
          <w:rFonts w:hint="cs"/>
          <w:rtl/>
        </w:rPr>
        <w:t xml:space="preserve"> </w:t>
      </w:r>
    </w:p>
    <w:p w14:paraId="5825E0F2" w14:textId="77777777" w:rsidR="00D53B7D" w:rsidRDefault="00D53B7D" w:rsidP="006D6D32">
      <w:pPr>
        <w:pStyle w:val="a3"/>
        <w:rPr>
          <w:rtl/>
        </w:rPr>
      </w:pPr>
      <w:bookmarkStart w:id="12764" w:name="_Toc532844800"/>
      <w:bookmarkStart w:id="12765" w:name="_Toc532849397"/>
      <w:bookmarkStart w:id="12766" w:name="_Toc532897016"/>
      <w:bookmarkStart w:id="12767" w:name="_Toc532901790"/>
      <w:bookmarkStart w:id="12768" w:name="_Toc532976755"/>
      <w:bookmarkStart w:id="12769" w:name="_Toc532982422"/>
      <w:bookmarkStart w:id="12770" w:name="_Toc532982580"/>
      <w:bookmarkStart w:id="12771" w:name="_Toc19390690"/>
      <w:bookmarkStart w:id="12772" w:name="_Toc19394187"/>
      <w:r>
        <w:rPr>
          <w:rFonts w:hint="cs"/>
          <w:rtl/>
        </w:rPr>
        <w:t>דברי החת"ס דריבר"י מכשיר בנפגם הקנה שלא במקום שחיטה אך א"א לצרף את הפגימה לשחיטה</w:t>
      </w:r>
      <w:bookmarkEnd w:id="12764"/>
      <w:bookmarkEnd w:id="12765"/>
      <w:bookmarkEnd w:id="12766"/>
      <w:bookmarkEnd w:id="12767"/>
      <w:bookmarkEnd w:id="12768"/>
      <w:bookmarkEnd w:id="12769"/>
      <w:bookmarkEnd w:id="12770"/>
      <w:bookmarkEnd w:id="12771"/>
      <w:bookmarkEnd w:id="12772"/>
    </w:p>
    <w:p w14:paraId="40338060" w14:textId="77777777" w:rsidR="00D53B7D" w:rsidRDefault="00D53B7D" w:rsidP="00223668">
      <w:pPr>
        <w:pStyle w:val="a0"/>
        <w:rPr>
          <w:rtl/>
        </w:rPr>
      </w:pPr>
      <w:bookmarkStart w:id="12773" w:name="_Ref532848516"/>
      <w:r>
        <w:rPr>
          <w:rFonts w:hint="cs"/>
          <w:rtl/>
        </w:rPr>
        <w:t xml:space="preserve">וביאר </w:t>
      </w:r>
      <w:r w:rsidRPr="005A5CA4">
        <w:rPr>
          <w:rStyle w:val="af9"/>
          <w:rFonts w:hint="cs"/>
          <w:rtl/>
        </w:rPr>
        <w:t>החת"ס</w:t>
      </w:r>
      <w:r>
        <w:rPr>
          <w:rFonts w:hint="cs"/>
          <w:rtl/>
        </w:rPr>
        <w:t xml:space="preserve"> </w:t>
      </w:r>
      <w:r w:rsidRPr="005A5CA4">
        <w:rPr>
          <w:rStyle w:val="af7"/>
          <w:rFonts w:eastAsia="Guttman Hodes" w:hint="cs"/>
          <w:rtl/>
        </w:rPr>
        <w:t>(ד"ה מידי)</w:t>
      </w:r>
      <w:r>
        <w:rPr>
          <w:rFonts w:hint="cs"/>
          <w:rtl/>
        </w:rPr>
        <w:t xml:space="preserve"> את דברי </w:t>
      </w:r>
      <w:r w:rsidRPr="005A5CA4">
        <w:rPr>
          <w:rStyle w:val="af9"/>
          <w:rFonts w:hint="cs"/>
          <w:rtl/>
        </w:rPr>
        <w:t>רש"י</w:t>
      </w:r>
      <w:r>
        <w:rPr>
          <w:rFonts w:hint="cs"/>
          <w:rtl/>
        </w:rPr>
        <w:t xml:space="preserve"> דאף דריבר"י חולק על מה שאמרו רבנן דחצי קנה פגום לא דמי להגרמה, כיון שהוא במקום שחיטה, ומבואר דס"ל לריבר"י דחצי קנה פגום כשר אף כשנפסק שלא במקום שחיטה, אם שחט אח"כ במקום שחיטה, מ"מ מודה ריבר"י דהא דאפשר לצרף את הפגימה לשחיטה, ע"י שמוסיף כל שהוא בשחיטה, זהו דוקא במקום שחיטה, דבמקום שחיטה א"צ ששחיטת רוב הסימן תהיה כולה ע"י סכין בדוק, אבל שלא במקום שחיטה ההגרמה אינה מצטרפת לשחיטה, ולכן צריך שישחט ב' שלישים.</w:t>
      </w:r>
      <w:bookmarkEnd w:id="12773"/>
    </w:p>
    <w:p w14:paraId="12D0C243" w14:textId="77777777" w:rsidR="00D53B7D" w:rsidRDefault="00D53B7D" w:rsidP="006D6D32">
      <w:pPr>
        <w:pStyle w:val="a3"/>
        <w:rPr>
          <w:rtl/>
        </w:rPr>
      </w:pPr>
    </w:p>
    <w:p w14:paraId="6DB94094" w14:textId="77777777" w:rsidR="00D53B7D" w:rsidRDefault="00D53B7D" w:rsidP="006D6D32">
      <w:pPr>
        <w:pStyle w:val="a3"/>
        <w:rPr>
          <w:rtl/>
        </w:rPr>
      </w:pPr>
      <w:bookmarkStart w:id="12774" w:name="_Toc532844801"/>
      <w:bookmarkStart w:id="12775" w:name="_Toc532849398"/>
      <w:bookmarkStart w:id="12776" w:name="_Toc532897017"/>
      <w:bookmarkStart w:id="12777" w:name="_Toc532901791"/>
      <w:bookmarkStart w:id="12778" w:name="_Toc532976756"/>
      <w:bookmarkStart w:id="12779" w:name="_Toc532982423"/>
      <w:bookmarkStart w:id="12780" w:name="_Toc532982581"/>
      <w:bookmarkStart w:id="12781" w:name="_Toc19390691"/>
      <w:bookmarkStart w:id="12782" w:name="_Toc19394188"/>
      <w:r>
        <w:rPr>
          <w:rFonts w:hint="cs"/>
          <w:rtl/>
        </w:rPr>
        <w:t>דברי החת"ס דרש"י תירץ דהא דהכשיר רב הונא בשחט שליש והגרים שליש הוא לדעת רחב"א</w:t>
      </w:r>
      <w:bookmarkEnd w:id="12774"/>
      <w:bookmarkEnd w:id="12775"/>
      <w:bookmarkEnd w:id="12776"/>
      <w:bookmarkEnd w:id="12777"/>
      <w:bookmarkEnd w:id="12778"/>
      <w:bookmarkEnd w:id="12779"/>
      <w:bookmarkEnd w:id="12780"/>
      <w:bookmarkEnd w:id="12781"/>
      <w:bookmarkEnd w:id="12782"/>
    </w:p>
    <w:p w14:paraId="76EF6F77" w14:textId="77777777" w:rsidR="00D53B7D" w:rsidRDefault="00D53B7D" w:rsidP="00223668">
      <w:pPr>
        <w:pStyle w:val="a0"/>
        <w:rPr>
          <w:rtl/>
        </w:rPr>
      </w:pPr>
      <w:bookmarkStart w:id="12783" w:name="_Ref532826029"/>
      <w:bookmarkStart w:id="12784" w:name="_Toc532550639"/>
      <w:bookmarkStart w:id="12785" w:name="_Toc532550705"/>
      <w:bookmarkStart w:id="12786" w:name="_Toc532810212"/>
      <w:r>
        <w:rPr>
          <w:rFonts w:hint="cs"/>
          <w:rtl/>
        </w:rPr>
        <w:t xml:space="preserve">ובמה שהקשה </w:t>
      </w:r>
      <w:r w:rsidRPr="00350F92">
        <w:rPr>
          <w:rStyle w:val="af9"/>
          <w:rFonts w:hint="cs"/>
          <w:rtl/>
        </w:rPr>
        <w:t xml:space="preserve">הרמב"ן </w:t>
      </w:r>
      <w:r w:rsidRPr="00DD249D">
        <w:rPr>
          <w:rStyle w:val="af7"/>
          <w:rFonts w:eastAsia="Guttman Hodes" w:hint="cs"/>
          <w:rtl/>
        </w:rPr>
        <w:t xml:space="preserve">(עי' אות </w:t>
      </w:r>
      <w:r w:rsidRPr="00DD249D">
        <w:rPr>
          <w:rStyle w:val="af7"/>
          <w:rFonts w:eastAsia="Guttman Hodes"/>
          <w:rtl/>
        </w:rPr>
        <w:fldChar w:fldCharType="begin"/>
      </w:r>
      <w:r w:rsidRPr="00DD249D">
        <w:rPr>
          <w:rStyle w:val="af7"/>
          <w:rFonts w:eastAsia="Guttman Hodes"/>
          <w:rtl/>
        </w:rPr>
        <w:instrText xml:space="preserve"> </w:instrText>
      </w:r>
      <w:r w:rsidRPr="00DD249D">
        <w:rPr>
          <w:rStyle w:val="af7"/>
          <w:rFonts w:eastAsia="Guttman Hodes" w:hint="cs"/>
        </w:rPr>
        <w:instrText>REF</w:instrText>
      </w:r>
      <w:r w:rsidRPr="00DD249D">
        <w:rPr>
          <w:rStyle w:val="af7"/>
          <w:rFonts w:eastAsia="Guttman Hodes" w:hint="cs"/>
          <w:rtl/>
        </w:rPr>
        <w:instrText xml:space="preserve"> _</w:instrText>
      </w:r>
      <w:r w:rsidRPr="00DD249D">
        <w:rPr>
          <w:rStyle w:val="af7"/>
          <w:rFonts w:eastAsia="Guttman Hodes" w:hint="cs"/>
        </w:rPr>
        <w:instrText>Ref532836338 \r \h</w:instrText>
      </w:r>
      <w:r w:rsidRPr="00DD249D">
        <w:rPr>
          <w:rStyle w:val="af7"/>
          <w:rFonts w:eastAsia="Guttman Hodes"/>
          <w:rtl/>
        </w:rPr>
        <w:instrText xml:space="preserve"> </w:instrText>
      </w:r>
      <w:r w:rsidRPr="00DD249D">
        <w:rPr>
          <w:rStyle w:val="af7"/>
          <w:rFonts w:eastAsia="Guttman Hodes"/>
          <w:rtl/>
        </w:rPr>
      </w:r>
      <w:r w:rsidRPr="00DD249D">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DD249D">
        <w:rPr>
          <w:rStyle w:val="af7"/>
          <w:rFonts w:eastAsia="Guttman Hodes"/>
          <w:rtl/>
        </w:rPr>
        <w:fldChar w:fldCharType="end"/>
      </w:r>
      <w:r w:rsidRPr="00DD249D">
        <w:rPr>
          <w:rFonts w:hint="cs"/>
          <w:rtl/>
        </w:rPr>
        <w:t xml:space="preserve"> מדברי רב הונא דהכשיר בהגרים שליש ושחט שליש, כתב</w:t>
      </w:r>
      <w:r>
        <w:rPr>
          <w:rFonts w:hint="cs"/>
          <w:rtl/>
        </w:rPr>
        <w:t xml:space="preserve">ו </w:t>
      </w:r>
      <w:r w:rsidRPr="00037CFB">
        <w:rPr>
          <w:rStyle w:val="af9"/>
          <w:rFonts w:hint="cs"/>
          <w:rtl/>
        </w:rPr>
        <w:t>השיטמ"ק</w:t>
      </w:r>
      <w:r>
        <w:rPr>
          <w:rFonts w:hint="cs"/>
          <w:rtl/>
        </w:rPr>
        <w:t xml:space="preserve"> </w:t>
      </w:r>
      <w:r w:rsidRPr="00037CFB">
        <w:rPr>
          <w:rStyle w:val="af7"/>
          <w:rFonts w:eastAsia="Guttman Hodes" w:hint="cs"/>
          <w:rtl/>
        </w:rPr>
        <w:t>(ד"ה מחלוקת)</w:t>
      </w:r>
      <w:r>
        <w:rPr>
          <w:rFonts w:hint="cs"/>
          <w:rtl/>
        </w:rPr>
        <w:t xml:space="preserve"> </w:t>
      </w:r>
      <w:r>
        <w:rPr>
          <w:rStyle w:val="af9"/>
          <w:rFonts w:hint="cs"/>
          <w:rtl/>
        </w:rPr>
        <w:t>ו</w:t>
      </w:r>
      <w:r w:rsidRPr="00350F92">
        <w:rPr>
          <w:rStyle w:val="af9"/>
          <w:rFonts w:hint="cs"/>
          <w:rtl/>
        </w:rPr>
        <w:t>החת"ס</w:t>
      </w:r>
      <w:r w:rsidRPr="00DD5D35">
        <w:rPr>
          <w:rStyle w:val="af7"/>
          <w:rFonts w:eastAsia="Guttman Hodes" w:hint="cs"/>
          <w:rtl/>
        </w:rPr>
        <w:t xml:space="preserve"> (ד"ה מידי) </w:t>
      </w:r>
      <w:r w:rsidRPr="00350F92">
        <w:rPr>
          <w:rStyle w:val="af9"/>
          <w:rFonts w:hint="cs"/>
          <w:rtl/>
        </w:rPr>
        <w:t>דרש"י</w:t>
      </w:r>
      <w:r>
        <w:rPr>
          <w:rFonts w:hint="cs"/>
          <w:rtl/>
        </w:rPr>
        <w:t xml:space="preserve"> </w:t>
      </w:r>
      <w:r w:rsidRPr="00DD5D35">
        <w:rPr>
          <w:rStyle w:val="af7"/>
          <w:rFonts w:eastAsia="Guttman Hodes" w:hint="cs"/>
          <w:rtl/>
        </w:rPr>
        <w:t xml:space="preserve">(עי' אות </w:t>
      </w:r>
      <w:r w:rsidRPr="00DD5D35">
        <w:rPr>
          <w:rStyle w:val="af7"/>
          <w:rFonts w:eastAsia="Guttman Hodes"/>
          <w:rtl/>
        </w:rPr>
        <w:fldChar w:fldCharType="begin"/>
      </w:r>
      <w:r w:rsidRPr="00DD5D35">
        <w:rPr>
          <w:rStyle w:val="af7"/>
          <w:rFonts w:eastAsia="Guttman Hodes"/>
          <w:rtl/>
        </w:rPr>
        <w:instrText xml:space="preserve"> </w:instrText>
      </w:r>
      <w:r w:rsidRPr="00DD5D35">
        <w:rPr>
          <w:rStyle w:val="af7"/>
          <w:rFonts w:eastAsia="Guttman Hodes" w:hint="cs"/>
        </w:rPr>
        <w:instrText>REF</w:instrText>
      </w:r>
      <w:r w:rsidRPr="00DD5D35">
        <w:rPr>
          <w:rStyle w:val="af7"/>
          <w:rFonts w:eastAsia="Guttman Hodes" w:hint="cs"/>
          <w:rtl/>
        </w:rPr>
        <w:instrText xml:space="preserve"> _</w:instrText>
      </w:r>
      <w:r w:rsidRPr="00DD5D35">
        <w:rPr>
          <w:rStyle w:val="af7"/>
          <w:rFonts w:eastAsia="Guttman Hodes" w:hint="cs"/>
        </w:rPr>
        <w:instrText>Ref532314433 \r \h</w:instrText>
      </w:r>
      <w:r w:rsidRPr="00DD5D35">
        <w:rPr>
          <w:rStyle w:val="af7"/>
          <w:rFonts w:eastAsia="Guttman Hodes"/>
          <w:rtl/>
        </w:rPr>
        <w:instrText xml:space="preserve"> </w:instrText>
      </w:r>
      <w:r w:rsidRPr="00DD5D35">
        <w:rPr>
          <w:rStyle w:val="af7"/>
          <w:rFonts w:eastAsia="Guttman Hodes"/>
          <w:rtl/>
        </w:rPr>
      </w:r>
      <w:r w:rsidRPr="00DD5D35">
        <w:rPr>
          <w:rStyle w:val="af7"/>
          <w:rFonts w:eastAsia="Guttman Hodes"/>
          <w:rtl/>
        </w:rPr>
        <w:fldChar w:fldCharType="separate"/>
      </w:r>
      <w:r w:rsidR="00345400">
        <w:rPr>
          <w:rStyle w:val="af7"/>
          <w:rFonts w:eastAsia="Guttman Hodes"/>
          <w:cs/>
        </w:rPr>
        <w:t>‎</w:t>
      </w:r>
      <w:r w:rsidR="00345400">
        <w:rPr>
          <w:rStyle w:val="af7"/>
          <w:rFonts w:eastAsia="Guttman Hodes"/>
          <w:rtl/>
        </w:rPr>
        <w:t>ס)</w:t>
      </w:r>
      <w:r w:rsidRPr="00DD5D35">
        <w:rPr>
          <w:rStyle w:val="af7"/>
          <w:rFonts w:eastAsia="Guttman Hodes"/>
          <w:rtl/>
        </w:rPr>
        <w:fldChar w:fldCharType="end"/>
      </w:r>
      <w:r w:rsidRPr="00DD5D35">
        <w:rPr>
          <w:rStyle w:val="af7"/>
          <w:rFonts w:eastAsia="Guttman Hodes" w:hint="cs"/>
          <w:rtl/>
        </w:rPr>
        <w:t xml:space="preserve"> </w:t>
      </w:r>
      <w:r>
        <w:rPr>
          <w:rFonts w:hint="cs"/>
          <w:rtl/>
        </w:rPr>
        <w:t xml:space="preserve">תירץ את הקושיה, במה שביאר דדברי רב הונא בשם אסי בל"ק ובל"ב הם בדעת ריבר"י ורבנן, ואילו פלוגתת רב יהודה ורב הונא בהגרים שליש ושחט שליש אמרו כן בשם רב בדעת רחב"א, וא"כ כ"מ דכתב </w:t>
      </w:r>
      <w:r w:rsidRPr="00350F92">
        <w:rPr>
          <w:rStyle w:val="af9"/>
          <w:rFonts w:hint="cs"/>
          <w:rtl/>
        </w:rPr>
        <w:t>רש"י</w:t>
      </w:r>
      <w:r>
        <w:rPr>
          <w:rFonts w:hint="cs"/>
          <w:rtl/>
        </w:rPr>
        <w:t xml:space="preserve"> דלל"ב דרב הונא לא סגי כשמוסיף כל שהוא בשחיטה על השליש שהגרים, וצריך לשחוט ב' שלישים, אמר כן בשם רב אסי בדעת ריבר"י ורבנן, והא דהכשיר רב הונא בהגרים שליש ושחט שליש אמר כן בשם רב, והוא בדעת רחב"א.</w:t>
      </w:r>
      <w:bookmarkEnd w:id="12783"/>
    </w:p>
    <w:p w14:paraId="5A941241" w14:textId="77777777" w:rsidR="00D53B7D" w:rsidRPr="00FC4930" w:rsidRDefault="00D53B7D" w:rsidP="006D6D32">
      <w:pPr>
        <w:pStyle w:val="a3"/>
        <w:rPr>
          <w:rtl/>
        </w:rPr>
      </w:pPr>
      <w:bookmarkStart w:id="12787" w:name="_Toc532844802"/>
      <w:bookmarkStart w:id="12788" w:name="_Toc532849399"/>
      <w:bookmarkStart w:id="12789" w:name="_Toc532897018"/>
      <w:bookmarkStart w:id="12790" w:name="_Toc532901792"/>
      <w:bookmarkStart w:id="12791" w:name="_Toc532976757"/>
      <w:bookmarkStart w:id="12792" w:name="_Toc532982424"/>
      <w:bookmarkStart w:id="12793" w:name="_Toc532982582"/>
      <w:bookmarkStart w:id="12794" w:name="_Toc19390692"/>
      <w:bookmarkStart w:id="12795" w:name="_Toc19394189"/>
      <w:r>
        <w:rPr>
          <w:rFonts w:hint="cs"/>
          <w:rtl/>
        </w:rPr>
        <w:t>ביאור החת"ס דלריבר"י ההגרמה היא במקום שחיטה ויציאת החיות נעשית בפסול הגרמה</w:t>
      </w:r>
      <w:bookmarkEnd w:id="12787"/>
      <w:bookmarkEnd w:id="12788"/>
      <w:bookmarkEnd w:id="12789"/>
      <w:bookmarkEnd w:id="12790"/>
      <w:bookmarkEnd w:id="12791"/>
      <w:bookmarkEnd w:id="12792"/>
      <w:bookmarkEnd w:id="12793"/>
      <w:bookmarkEnd w:id="12794"/>
      <w:bookmarkEnd w:id="12795"/>
    </w:p>
    <w:p w14:paraId="7D8D2259" w14:textId="77777777" w:rsidR="00D53B7D" w:rsidRDefault="00D53B7D" w:rsidP="00223668">
      <w:pPr>
        <w:pStyle w:val="a0"/>
        <w:rPr>
          <w:rtl/>
        </w:rPr>
      </w:pPr>
      <w:r>
        <w:rPr>
          <w:rFonts w:hint="cs"/>
          <w:rtl/>
        </w:rPr>
        <w:t xml:space="preserve">וביאר </w:t>
      </w:r>
      <w:r w:rsidRPr="00350F92">
        <w:rPr>
          <w:rStyle w:val="af9"/>
          <w:rFonts w:hint="cs"/>
          <w:rtl/>
        </w:rPr>
        <w:t>החת"ס</w:t>
      </w:r>
      <w:r>
        <w:rPr>
          <w:rFonts w:hint="cs"/>
          <w:rtl/>
        </w:rPr>
        <w:t xml:space="preserve"> דס"ל </w:t>
      </w:r>
      <w:r w:rsidRPr="00350F92">
        <w:rPr>
          <w:rStyle w:val="af9"/>
          <w:rFonts w:hint="cs"/>
          <w:rtl/>
        </w:rPr>
        <w:t>לרש"י</w:t>
      </w:r>
      <w:r>
        <w:rPr>
          <w:rFonts w:hint="cs"/>
          <w:rtl/>
        </w:rPr>
        <w:t xml:space="preserve"> דלדעת ריבר"י דההגרמה היא למעלה מטבעת הגדולה, א"כ פסול הגרמה הוא גזיה"כ דאף שיוצאת החיות גם למעלה מטבעת הגדולה, מ"מ הוא פסול, וא"כ יציאת החיות בשליש השני היא גם ע"י השליש הראשון, ולכן אם לא שחט ב' שלישים חשיב שיציאת החיות היתה בפסול הגרמה.</w:t>
      </w:r>
    </w:p>
    <w:p w14:paraId="2A6BAF43" w14:textId="77777777" w:rsidR="00D53B7D" w:rsidRPr="00667F88" w:rsidRDefault="00D53B7D" w:rsidP="006D6D32">
      <w:pPr>
        <w:pStyle w:val="a3"/>
        <w:rPr>
          <w:rtl/>
        </w:rPr>
      </w:pPr>
      <w:bookmarkStart w:id="12796" w:name="_Toc532844803"/>
      <w:bookmarkStart w:id="12797" w:name="_Toc532849400"/>
      <w:bookmarkStart w:id="12798" w:name="_Toc532897019"/>
      <w:bookmarkStart w:id="12799" w:name="_Toc532901793"/>
      <w:bookmarkStart w:id="12800" w:name="_Toc532976758"/>
      <w:bookmarkStart w:id="12801" w:name="_Toc532982425"/>
      <w:bookmarkStart w:id="12802" w:name="_Toc532982583"/>
      <w:bookmarkStart w:id="12803" w:name="_Toc19390693"/>
      <w:bookmarkStart w:id="12804" w:name="_Toc19394190"/>
      <w:r>
        <w:rPr>
          <w:rFonts w:hint="cs"/>
          <w:rtl/>
        </w:rPr>
        <w:t>ביאור החת"ס דלרחב"א דההגרמה אינה במקום שחיטה יציאת החיות היא רק ע"י השחיטה הכשרה</w:t>
      </w:r>
      <w:bookmarkEnd w:id="12796"/>
      <w:bookmarkEnd w:id="12797"/>
      <w:bookmarkEnd w:id="12798"/>
      <w:bookmarkEnd w:id="12799"/>
      <w:bookmarkEnd w:id="12800"/>
      <w:bookmarkEnd w:id="12801"/>
      <w:bookmarkEnd w:id="12802"/>
      <w:bookmarkEnd w:id="12803"/>
      <w:bookmarkEnd w:id="12804"/>
    </w:p>
    <w:p w14:paraId="002F6BCB" w14:textId="77777777" w:rsidR="00D53B7D" w:rsidRDefault="00D53B7D" w:rsidP="00223668">
      <w:pPr>
        <w:pStyle w:val="a0"/>
        <w:rPr>
          <w:rtl/>
        </w:rPr>
      </w:pPr>
      <w:r>
        <w:rPr>
          <w:rFonts w:hint="cs"/>
          <w:rtl/>
        </w:rPr>
        <w:t xml:space="preserve">אבל לדעת רחב"א ביאר </w:t>
      </w:r>
      <w:r w:rsidRPr="00350F92">
        <w:rPr>
          <w:rStyle w:val="af9"/>
          <w:rFonts w:hint="cs"/>
          <w:rtl/>
        </w:rPr>
        <w:t>החת"ס</w:t>
      </w:r>
      <w:r>
        <w:rPr>
          <w:rFonts w:hint="cs"/>
          <w:rtl/>
        </w:rPr>
        <w:t xml:space="preserve"> דס"ל </w:t>
      </w:r>
      <w:r w:rsidRPr="00350F92">
        <w:rPr>
          <w:rStyle w:val="af9"/>
          <w:rFonts w:hint="cs"/>
          <w:rtl/>
        </w:rPr>
        <w:t>לרש"י</w:t>
      </w:r>
      <w:r>
        <w:rPr>
          <w:rFonts w:hint="cs"/>
          <w:rtl/>
        </w:rPr>
        <w:t xml:space="preserve"> דכיון שההגרמה היא למעלה מהשיפוי כובע, ושם לא יוצאת החיות כלל, א"כ בשליש הראשון שהגרים לא יצאה החיות, ובשליש השני יצאה כל החיות, ורק כיון שנחתך השליש הראשון בהגרמה ונפרק הקנה ממקומו, עי"ז נפתח הקנה לגמרי בשליש השני, אך מ"מ החיות יצאה רק בשליש השני, ולכן אמר רב הונא בשם רב דלדעת רחב"א כל שהגרים שליש ושחט שליש כשר, וא"צ לשחוט ב' שלישים כיון שיציאת החיות היא רק ע"י השליש השני ששחט כראוי, ועיי"ש במה שהקשה </w:t>
      </w:r>
      <w:r w:rsidRPr="00873206">
        <w:rPr>
          <w:rStyle w:val="af9"/>
          <w:rFonts w:hint="cs"/>
          <w:rtl/>
        </w:rPr>
        <w:t>החת"ס</w:t>
      </w:r>
      <w:r>
        <w:rPr>
          <w:rFonts w:hint="cs"/>
          <w:rtl/>
        </w:rPr>
        <w:t xml:space="preserve"> </w:t>
      </w:r>
      <w:r w:rsidRPr="00316D0D">
        <w:rPr>
          <w:rFonts w:hint="cs"/>
          <w:rtl/>
        </w:rPr>
        <w:t xml:space="preserve">מדברי </w:t>
      </w:r>
      <w:r w:rsidRPr="00873206">
        <w:rPr>
          <w:rStyle w:val="af9"/>
          <w:rFonts w:hint="cs"/>
          <w:rtl/>
        </w:rPr>
        <w:t>רש"י לקמן</w:t>
      </w:r>
      <w:r w:rsidRPr="00316D0D">
        <w:rPr>
          <w:rFonts w:hint="cs"/>
          <w:rtl/>
        </w:rPr>
        <w:t xml:space="preserve"> </w:t>
      </w:r>
      <w:r w:rsidRPr="00873206">
        <w:rPr>
          <w:rStyle w:val="af7"/>
          <w:rFonts w:eastAsia="Guttman Hodes" w:hint="cs"/>
          <w:rtl/>
        </w:rPr>
        <w:t>(ל: ד"ה הגרים)</w:t>
      </w:r>
      <w:r>
        <w:rPr>
          <w:rFonts w:hint="cs"/>
          <w:rtl/>
        </w:rPr>
        <w:t>.</w:t>
      </w:r>
    </w:p>
    <w:p w14:paraId="3647050B" w14:textId="77777777" w:rsidR="00D53B7D" w:rsidRPr="00E06AEB" w:rsidRDefault="00D53B7D" w:rsidP="00BF39B2">
      <w:pPr>
        <w:pStyle w:val="1"/>
        <w:rPr>
          <w:rtl/>
        </w:rPr>
      </w:pPr>
      <w:bookmarkStart w:id="12805" w:name="_Toc532844804"/>
      <w:bookmarkStart w:id="12806" w:name="_Toc532849401"/>
      <w:bookmarkStart w:id="12807" w:name="_Toc532897020"/>
      <w:bookmarkStart w:id="12808" w:name="_Toc532901794"/>
      <w:bookmarkStart w:id="12809" w:name="_Toc532976759"/>
      <w:bookmarkStart w:id="12810" w:name="_Toc532982426"/>
      <w:bookmarkStart w:id="12811" w:name="_Toc532982584"/>
      <w:bookmarkStart w:id="12812" w:name="_Toc19390694"/>
      <w:bookmarkStart w:id="12813" w:name="_Toc19394191"/>
      <w:r>
        <w:rPr>
          <w:rFonts w:hint="cs"/>
          <w:rtl/>
        </w:rPr>
        <w:t xml:space="preserve">ביאור הרמב"ן </w:t>
      </w:r>
      <w:bookmarkEnd w:id="12784"/>
      <w:bookmarkEnd w:id="12785"/>
      <w:bookmarkEnd w:id="12786"/>
      <w:bookmarkEnd w:id="12805"/>
      <w:r>
        <w:rPr>
          <w:rFonts w:hint="cs"/>
          <w:rtl/>
        </w:rPr>
        <w:t>דבהגרים שליש לריבר"י א"צ לשחוט ב' שלישים</w:t>
      </w:r>
      <w:bookmarkEnd w:id="12806"/>
      <w:bookmarkEnd w:id="12807"/>
      <w:bookmarkEnd w:id="12808"/>
      <w:bookmarkEnd w:id="12809"/>
      <w:bookmarkEnd w:id="12810"/>
      <w:bookmarkEnd w:id="12811"/>
      <w:bookmarkEnd w:id="12812"/>
      <w:bookmarkEnd w:id="12813"/>
      <w:r>
        <w:rPr>
          <w:rFonts w:hint="cs"/>
          <w:rtl/>
        </w:rPr>
        <w:t xml:space="preserve"> </w:t>
      </w:r>
    </w:p>
    <w:p w14:paraId="5D99369C" w14:textId="77777777" w:rsidR="00D53B7D" w:rsidRPr="001351B7" w:rsidRDefault="00D53B7D" w:rsidP="006D6D32">
      <w:pPr>
        <w:pStyle w:val="a3"/>
        <w:rPr>
          <w:rtl/>
        </w:rPr>
      </w:pPr>
      <w:bookmarkStart w:id="12814" w:name="_Toc532550640"/>
      <w:bookmarkStart w:id="12815" w:name="_Toc532550706"/>
      <w:bookmarkStart w:id="12816" w:name="_Toc532810213"/>
      <w:bookmarkStart w:id="12817" w:name="_Toc532844805"/>
      <w:bookmarkStart w:id="12818" w:name="_Toc532849402"/>
      <w:bookmarkStart w:id="12819" w:name="_Toc532897021"/>
      <w:bookmarkStart w:id="12820" w:name="_Toc532901795"/>
      <w:bookmarkStart w:id="12821" w:name="_Toc532976760"/>
      <w:bookmarkStart w:id="12822" w:name="_Toc532982427"/>
      <w:bookmarkStart w:id="12823" w:name="_Toc532982585"/>
      <w:bookmarkStart w:id="12824" w:name="_Toc19390695"/>
      <w:bookmarkStart w:id="12825" w:name="_Toc19394192"/>
      <w:r>
        <w:rPr>
          <w:rFonts w:hint="cs"/>
          <w:rtl/>
        </w:rPr>
        <w:t>דברי הרמב"ן והר"ן דלריבר"</w:t>
      </w:r>
      <w:r w:rsidRPr="001351B7">
        <w:rPr>
          <w:rFonts w:hint="cs"/>
          <w:rtl/>
        </w:rPr>
        <w:t>י א"צ להוסיף ב' שלישים שחיטה על שליש הגרמה כמו בחצי קנה פגום</w:t>
      </w:r>
      <w:bookmarkEnd w:id="12814"/>
      <w:bookmarkEnd w:id="12815"/>
      <w:bookmarkEnd w:id="12816"/>
      <w:bookmarkEnd w:id="12817"/>
      <w:bookmarkEnd w:id="12818"/>
      <w:bookmarkEnd w:id="12819"/>
      <w:bookmarkEnd w:id="12820"/>
      <w:bookmarkEnd w:id="12821"/>
      <w:bookmarkEnd w:id="12822"/>
      <w:bookmarkEnd w:id="12823"/>
      <w:bookmarkEnd w:id="12824"/>
      <w:bookmarkEnd w:id="12825"/>
    </w:p>
    <w:p w14:paraId="59D0EF10" w14:textId="77777777" w:rsidR="00D53B7D" w:rsidRPr="00730B83" w:rsidRDefault="00D53B7D" w:rsidP="00223668">
      <w:pPr>
        <w:pStyle w:val="a0"/>
        <w:rPr>
          <w:rtl/>
        </w:rPr>
      </w:pPr>
      <w:bookmarkStart w:id="12826" w:name="_Ref532832177"/>
      <w:bookmarkStart w:id="12827" w:name="_Ref532485198"/>
      <w:r w:rsidRPr="001351B7">
        <w:rPr>
          <w:rFonts w:hint="cs"/>
          <w:rtl/>
        </w:rPr>
        <w:t xml:space="preserve">אבל </w:t>
      </w:r>
      <w:r w:rsidRPr="001351B7">
        <w:rPr>
          <w:rStyle w:val="af9"/>
          <w:rFonts w:hint="cs"/>
          <w:rtl/>
        </w:rPr>
        <w:t>הרמב"ן</w:t>
      </w:r>
      <w:r w:rsidRPr="001351B7">
        <w:rPr>
          <w:rStyle w:val="af7"/>
          <w:rFonts w:eastAsia="Guttman Hodes" w:hint="cs"/>
          <w:rtl/>
        </w:rPr>
        <w:t xml:space="preserve"> (ד"ה והא)</w:t>
      </w:r>
      <w:r w:rsidRPr="001351B7">
        <w:rPr>
          <w:rFonts w:hint="cs"/>
          <w:rtl/>
        </w:rPr>
        <w:t xml:space="preserve"> </w:t>
      </w:r>
      <w:r w:rsidRPr="001351B7">
        <w:rPr>
          <w:rStyle w:val="af9"/>
          <w:rFonts w:hint="cs"/>
          <w:rtl/>
        </w:rPr>
        <w:t>והר"ן בחי'</w:t>
      </w:r>
      <w:r w:rsidRPr="001351B7">
        <w:rPr>
          <w:rFonts w:hint="cs"/>
          <w:rtl/>
        </w:rPr>
        <w:t xml:space="preserve"> </w:t>
      </w:r>
      <w:r w:rsidRPr="001351B7">
        <w:rPr>
          <w:rStyle w:val="af7"/>
          <w:rFonts w:eastAsia="Guttman Hodes" w:hint="cs"/>
          <w:rtl/>
        </w:rPr>
        <w:t>(ד"ה מחלוקת)</w:t>
      </w:r>
      <w:r w:rsidRPr="001351B7">
        <w:rPr>
          <w:rFonts w:hint="cs"/>
          <w:rtl/>
        </w:rPr>
        <w:t xml:space="preserve"> </w:t>
      </w:r>
      <w:r>
        <w:rPr>
          <w:rStyle w:val="af9"/>
          <w:rFonts w:hint="cs"/>
          <w:rtl/>
        </w:rPr>
        <w:t>ו</w:t>
      </w:r>
      <w:r w:rsidRPr="00E724B4">
        <w:rPr>
          <w:rStyle w:val="af9"/>
          <w:rFonts w:hint="cs"/>
          <w:rtl/>
        </w:rPr>
        <w:t>הריטב"א</w:t>
      </w:r>
      <w:r>
        <w:rPr>
          <w:rFonts w:hint="cs"/>
          <w:rtl/>
        </w:rPr>
        <w:t xml:space="preserve"> </w:t>
      </w:r>
      <w:r w:rsidRPr="00E724B4">
        <w:rPr>
          <w:rStyle w:val="af7"/>
          <w:rFonts w:eastAsia="Guttman Hodes" w:hint="cs"/>
          <w:rtl/>
        </w:rPr>
        <w:t>(ד"ה איכא)</w:t>
      </w:r>
      <w:r>
        <w:rPr>
          <w:rFonts w:hint="cs"/>
          <w:rtl/>
        </w:rPr>
        <w:t xml:space="preserve"> </w:t>
      </w:r>
      <w:r w:rsidRPr="001351B7">
        <w:rPr>
          <w:rFonts w:hint="cs"/>
          <w:rtl/>
        </w:rPr>
        <w:t>כתבו דהא דאמר רב הונא בל"ב בדעת ריבר</w:t>
      </w:r>
      <w:r>
        <w:rPr>
          <w:rFonts w:hint="cs"/>
          <w:rtl/>
        </w:rPr>
        <w:t>"י דבהגרים שליש ושחט ב' שלישים כשר, ב</w:t>
      </w:r>
      <w:r>
        <w:rPr>
          <w:rtl/>
        </w:rPr>
        <w:t>'</w:t>
      </w:r>
      <w:r>
        <w:rPr>
          <w:rFonts w:hint="cs"/>
          <w:rtl/>
        </w:rPr>
        <w:t xml:space="preserve"> שלישים הוא לאו דוקא, וא"צ להוסיף ב' שלישים בשחיטה אלא מכשיר ריבר"י אף בהגרים שליש ושחט שליש, דהוא דומה לחצי קנה פגום שהוסיף על הפגימה ושחט עד לרוב סימן דכשר, ועי' במה שהקשה </w:t>
      </w:r>
      <w:r w:rsidRPr="00AA5946">
        <w:rPr>
          <w:rStyle w:val="af9"/>
          <w:rFonts w:hint="cs"/>
          <w:rtl/>
        </w:rPr>
        <w:t>הגרא"ו</w:t>
      </w:r>
      <w:r>
        <w:rPr>
          <w:rFonts w:hint="cs"/>
          <w:rtl/>
        </w:rPr>
        <w:t xml:space="preserve"> </w:t>
      </w:r>
      <w:r w:rsidRPr="00AA5946">
        <w:rPr>
          <w:rStyle w:val="af7"/>
          <w:rFonts w:eastAsia="Guttman Hodes" w:hint="cs"/>
          <w:rtl/>
        </w:rPr>
        <w:t xml:space="preserve">(עי' אות </w:t>
      </w:r>
      <w:r w:rsidRPr="00AA5946">
        <w:rPr>
          <w:rStyle w:val="af7"/>
          <w:rFonts w:eastAsia="Guttman Hodes"/>
          <w:rtl/>
        </w:rPr>
        <w:fldChar w:fldCharType="begin"/>
      </w:r>
      <w:r w:rsidRPr="00AA5946">
        <w:rPr>
          <w:rStyle w:val="af7"/>
          <w:rFonts w:eastAsia="Guttman Hodes"/>
          <w:rtl/>
        </w:rPr>
        <w:instrText xml:space="preserve"> </w:instrText>
      </w:r>
      <w:r w:rsidRPr="00AA5946">
        <w:rPr>
          <w:rStyle w:val="af7"/>
          <w:rFonts w:eastAsia="Guttman Hodes" w:hint="cs"/>
        </w:rPr>
        <w:instrText>REF</w:instrText>
      </w:r>
      <w:r w:rsidRPr="00AA5946">
        <w:rPr>
          <w:rStyle w:val="af7"/>
          <w:rFonts w:eastAsia="Guttman Hodes" w:hint="cs"/>
          <w:rtl/>
        </w:rPr>
        <w:instrText xml:space="preserve"> _</w:instrText>
      </w:r>
      <w:r w:rsidRPr="00AA5946">
        <w:rPr>
          <w:rStyle w:val="af7"/>
          <w:rFonts w:eastAsia="Guttman Hodes" w:hint="cs"/>
        </w:rPr>
        <w:instrText>Ref532982294 \r \h</w:instrText>
      </w:r>
      <w:r w:rsidRPr="00AA5946">
        <w:rPr>
          <w:rStyle w:val="af7"/>
          <w:rFonts w:eastAsia="Guttman Hodes"/>
          <w:rtl/>
        </w:rPr>
        <w:instrText xml:space="preserve"> </w:instrText>
      </w:r>
      <w:r w:rsidRPr="00AA5946">
        <w:rPr>
          <w:rStyle w:val="af7"/>
          <w:rFonts w:eastAsia="Guttman Hodes"/>
          <w:rtl/>
        </w:rPr>
      </w:r>
      <w:r w:rsidRPr="00AA5946">
        <w:rPr>
          <w:rStyle w:val="af7"/>
          <w:rFonts w:eastAsia="Guttman Hodes"/>
          <w:rtl/>
        </w:rPr>
        <w:fldChar w:fldCharType="separate"/>
      </w:r>
      <w:r w:rsidR="00345400">
        <w:rPr>
          <w:rStyle w:val="af7"/>
          <w:rFonts w:eastAsia="Guttman Hodes"/>
          <w:cs/>
        </w:rPr>
        <w:t>‎</w:t>
      </w:r>
      <w:r w:rsidR="00345400">
        <w:rPr>
          <w:rStyle w:val="af7"/>
          <w:rFonts w:eastAsia="Guttman Hodes"/>
          <w:rtl/>
        </w:rPr>
        <w:t>צד)</w:t>
      </w:r>
      <w:r w:rsidRPr="00AA5946">
        <w:rPr>
          <w:rStyle w:val="af7"/>
          <w:rFonts w:eastAsia="Guttman Hodes"/>
          <w:rtl/>
        </w:rPr>
        <w:fldChar w:fldCharType="end"/>
      </w:r>
      <w:r>
        <w:rPr>
          <w:rFonts w:hint="cs"/>
          <w:rtl/>
        </w:rPr>
        <w:t xml:space="preserve"> על </w:t>
      </w:r>
      <w:r w:rsidRPr="00AA5946">
        <w:rPr>
          <w:rStyle w:val="af9"/>
          <w:rFonts w:hint="cs"/>
          <w:rtl/>
        </w:rPr>
        <w:t>הרמב"ן</w:t>
      </w:r>
      <w:r>
        <w:rPr>
          <w:rFonts w:hint="cs"/>
          <w:rtl/>
        </w:rPr>
        <w:t xml:space="preserve">, ועי' </w:t>
      </w:r>
      <w:r w:rsidRPr="00730B83">
        <w:rPr>
          <w:rFonts w:hint="cs"/>
          <w:rtl/>
        </w:rPr>
        <w:t xml:space="preserve">במה שביאר </w:t>
      </w:r>
      <w:r w:rsidRPr="00730B83">
        <w:rPr>
          <w:rStyle w:val="af9"/>
          <w:rFonts w:hint="cs"/>
          <w:rtl/>
        </w:rPr>
        <w:t>האמרי משה</w:t>
      </w:r>
      <w:r w:rsidRPr="00730B83">
        <w:rPr>
          <w:rFonts w:hint="cs"/>
          <w:rtl/>
        </w:rPr>
        <w:t xml:space="preserve"> </w:t>
      </w:r>
      <w:r w:rsidRPr="00730B83">
        <w:rPr>
          <w:rStyle w:val="af7"/>
          <w:rFonts w:eastAsia="Guttman Hodes" w:hint="cs"/>
          <w:rtl/>
        </w:rPr>
        <w:t xml:space="preserve">(עי' אות </w:t>
      </w:r>
      <w:r w:rsidRPr="00730B83">
        <w:rPr>
          <w:rStyle w:val="af7"/>
          <w:rFonts w:eastAsia="Guttman Hodes"/>
          <w:rtl/>
        </w:rPr>
        <w:fldChar w:fldCharType="begin"/>
      </w:r>
      <w:r w:rsidRPr="00730B83">
        <w:rPr>
          <w:rStyle w:val="af7"/>
          <w:rFonts w:eastAsia="Guttman Hodes"/>
          <w:rtl/>
        </w:rPr>
        <w:instrText xml:space="preserve"> </w:instrText>
      </w:r>
      <w:r w:rsidRPr="00730B83">
        <w:rPr>
          <w:rStyle w:val="af7"/>
          <w:rFonts w:eastAsia="Guttman Hodes" w:hint="cs"/>
        </w:rPr>
        <w:instrText>REF</w:instrText>
      </w:r>
      <w:r w:rsidRPr="00730B83">
        <w:rPr>
          <w:rStyle w:val="af7"/>
          <w:rFonts w:eastAsia="Guttman Hodes" w:hint="cs"/>
          <w:rtl/>
        </w:rPr>
        <w:instrText xml:space="preserve"> _</w:instrText>
      </w:r>
      <w:r w:rsidRPr="00730B83">
        <w:rPr>
          <w:rStyle w:val="af7"/>
          <w:rFonts w:eastAsia="Guttman Hodes" w:hint="cs"/>
        </w:rPr>
        <w:instrText>Ref532930689 \r \h</w:instrText>
      </w:r>
      <w:r w:rsidRPr="00730B83">
        <w:rPr>
          <w:rStyle w:val="af7"/>
          <w:rFonts w:eastAsia="Guttman Hodes"/>
          <w:rtl/>
        </w:rPr>
        <w:instrText xml:space="preserve"> </w:instrText>
      </w:r>
      <w:r w:rsidRPr="00730B83">
        <w:rPr>
          <w:rStyle w:val="af7"/>
          <w:rFonts w:eastAsia="Guttman Hodes"/>
          <w:rtl/>
        </w:rPr>
      </w:r>
      <w:r w:rsidRPr="00730B83">
        <w:rPr>
          <w:rStyle w:val="af7"/>
          <w:rFonts w:eastAsia="Guttman Hodes"/>
          <w:rtl/>
        </w:rPr>
        <w:fldChar w:fldCharType="separate"/>
      </w:r>
      <w:r w:rsidR="00345400">
        <w:rPr>
          <w:rStyle w:val="af7"/>
          <w:rFonts w:eastAsia="Guttman Hodes"/>
          <w:cs/>
        </w:rPr>
        <w:t>‎</w:t>
      </w:r>
      <w:r w:rsidR="00345400">
        <w:rPr>
          <w:rStyle w:val="af7"/>
          <w:rFonts w:eastAsia="Guttman Hodes"/>
          <w:rtl/>
        </w:rPr>
        <w:t>קב)</w:t>
      </w:r>
      <w:r w:rsidRPr="00730B83">
        <w:rPr>
          <w:rStyle w:val="af7"/>
          <w:rFonts w:eastAsia="Guttman Hodes"/>
          <w:rtl/>
        </w:rPr>
        <w:fldChar w:fldCharType="end"/>
      </w:r>
      <w:r w:rsidRPr="00730B83">
        <w:rPr>
          <w:rFonts w:hint="cs"/>
          <w:rtl/>
        </w:rPr>
        <w:t xml:space="preserve"> בדעת </w:t>
      </w:r>
      <w:r w:rsidRPr="00730B83">
        <w:rPr>
          <w:rStyle w:val="af9"/>
          <w:rFonts w:hint="cs"/>
          <w:rtl/>
        </w:rPr>
        <w:t>הר"ן</w:t>
      </w:r>
      <w:r w:rsidRPr="00730B83">
        <w:rPr>
          <w:rFonts w:hint="cs"/>
          <w:rtl/>
        </w:rPr>
        <w:t>.</w:t>
      </w:r>
      <w:bookmarkStart w:id="12828" w:name="_Toc532550641"/>
      <w:bookmarkStart w:id="12829" w:name="_Toc532550707"/>
      <w:bookmarkEnd w:id="12826"/>
    </w:p>
    <w:p w14:paraId="3F702456" w14:textId="77777777" w:rsidR="00D53B7D" w:rsidRPr="00730B83" w:rsidRDefault="00D53B7D" w:rsidP="006D6D32">
      <w:pPr>
        <w:pStyle w:val="a3"/>
        <w:rPr>
          <w:rtl/>
        </w:rPr>
      </w:pPr>
      <w:bookmarkStart w:id="12830" w:name="_Toc532844806"/>
      <w:bookmarkStart w:id="12831" w:name="_Toc532849403"/>
      <w:bookmarkStart w:id="12832" w:name="_Toc532897022"/>
      <w:bookmarkStart w:id="12833" w:name="_Toc532901796"/>
      <w:bookmarkStart w:id="12834" w:name="_Toc532976761"/>
      <w:bookmarkStart w:id="12835" w:name="_Toc532982428"/>
      <w:bookmarkStart w:id="12836" w:name="_Toc532982586"/>
      <w:bookmarkStart w:id="12837" w:name="_Toc19390696"/>
      <w:bookmarkStart w:id="12838" w:name="_Toc19394193"/>
      <w:r w:rsidRPr="00730B83">
        <w:rPr>
          <w:rFonts w:hint="cs"/>
          <w:rtl/>
        </w:rPr>
        <w:t>דברי הריטב"א דנקטה הגמ' ב' שלישים לרבותא דאף בכה"ג פסלי רבנן</w:t>
      </w:r>
      <w:bookmarkEnd w:id="12830"/>
      <w:bookmarkEnd w:id="12831"/>
      <w:bookmarkEnd w:id="12832"/>
      <w:bookmarkEnd w:id="12833"/>
      <w:bookmarkEnd w:id="12834"/>
      <w:bookmarkEnd w:id="12835"/>
      <w:bookmarkEnd w:id="12836"/>
      <w:bookmarkEnd w:id="12837"/>
      <w:bookmarkEnd w:id="12838"/>
    </w:p>
    <w:p w14:paraId="4C2EC3D2" w14:textId="77777777" w:rsidR="00D53B7D" w:rsidRPr="00911ED9" w:rsidRDefault="00D53B7D" w:rsidP="00223668">
      <w:pPr>
        <w:pStyle w:val="a0"/>
      </w:pPr>
      <w:r w:rsidRPr="00730B83">
        <w:rPr>
          <w:rFonts w:hint="cs"/>
          <w:rtl/>
        </w:rPr>
        <w:t xml:space="preserve">והוסיף </w:t>
      </w:r>
      <w:r w:rsidRPr="00730B83">
        <w:rPr>
          <w:rStyle w:val="af9"/>
          <w:rFonts w:hint="cs"/>
          <w:rtl/>
        </w:rPr>
        <w:t>הריטב"א</w:t>
      </w:r>
      <w:r w:rsidRPr="00730B83">
        <w:rPr>
          <w:rFonts w:hint="cs"/>
          <w:rtl/>
        </w:rPr>
        <w:t xml:space="preserve"> דהא דאיתא בגמ' בל"ב לרב הונא, ב' שלישים הוא לומר דאף</w:t>
      </w:r>
      <w:r>
        <w:rPr>
          <w:rFonts w:hint="cs"/>
          <w:rtl/>
        </w:rPr>
        <w:t xml:space="preserve"> כשהוסיף לשחוט ב' שלישים אפ"ה פסלי רבנן, ולא נקטה הגמ' את כח ההיתר דריבר"י כיון שהוא מבואר ממילא בסברתו דדימה לחצי קנה פגום.</w:t>
      </w:r>
    </w:p>
    <w:p w14:paraId="391B1B31" w14:textId="77777777" w:rsidR="00D53B7D" w:rsidRPr="001408FB" w:rsidRDefault="00D53B7D" w:rsidP="006D6D32">
      <w:pPr>
        <w:pStyle w:val="a3"/>
      </w:pPr>
      <w:bookmarkStart w:id="12839" w:name="_Toc532810214"/>
      <w:bookmarkStart w:id="12840" w:name="_Toc532844807"/>
      <w:bookmarkStart w:id="12841" w:name="_Toc532849404"/>
      <w:bookmarkStart w:id="12842" w:name="_Toc532897023"/>
      <w:bookmarkStart w:id="12843" w:name="_Toc532901797"/>
      <w:bookmarkStart w:id="12844" w:name="_Toc532976762"/>
      <w:bookmarkStart w:id="12845" w:name="_Toc532982429"/>
      <w:bookmarkStart w:id="12846" w:name="_Toc532982587"/>
      <w:bookmarkStart w:id="12847" w:name="_Toc19390697"/>
      <w:bookmarkStart w:id="12848" w:name="_Toc19394194"/>
      <w:r>
        <w:rPr>
          <w:rFonts w:hint="cs"/>
          <w:rtl/>
        </w:rPr>
        <w:t>דברי הרמב"ן והר"ן דמדהכשיר רב הונא בהגרים ושחט והגרים</w:t>
      </w:r>
      <w:bookmarkEnd w:id="12828"/>
      <w:bookmarkEnd w:id="12829"/>
      <w:bookmarkEnd w:id="12839"/>
      <w:bookmarkEnd w:id="12840"/>
      <w:bookmarkEnd w:id="12841"/>
      <w:bookmarkEnd w:id="12842"/>
      <w:r>
        <w:rPr>
          <w:rFonts w:hint="cs"/>
          <w:rtl/>
        </w:rPr>
        <w:t xml:space="preserve"> מוכח שא"צ להוסיף ב' שלישים</w:t>
      </w:r>
      <w:bookmarkEnd w:id="12843"/>
      <w:bookmarkEnd w:id="12844"/>
      <w:bookmarkEnd w:id="12845"/>
      <w:bookmarkEnd w:id="12846"/>
      <w:bookmarkEnd w:id="12847"/>
      <w:bookmarkEnd w:id="12848"/>
    </w:p>
    <w:p w14:paraId="5FEF00B7" w14:textId="77777777" w:rsidR="00D53B7D" w:rsidRDefault="00D53B7D" w:rsidP="00223668">
      <w:pPr>
        <w:pStyle w:val="a0"/>
        <w:rPr>
          <w:rtl/>
        </w:rPr>
      </w:pPr>
      <w:r>
        <w:rPr>
          <w:rFonts w:hint="cs"/>
          <w:rtl/>
        </w:rPr>
        <w:t xml:space="preserve">וכתבו </w:t>
      </w:r>
      <w:r w:rsidRPr="006E34EB">
        <w:rPr>
          <w:rStyle w:val="af9"/>
          <w:rFonts w:hint="cs"/>
          <w:rtl/>
        </w:rPr>
        <w:t>הרמב"ן והר"ן בחי'</w:t>
      </w:r>
      <w:r>
        <w:rPr>
          <w:rFonts w:hint="cs"/>
          <w:rtl/>
        </w:rPr>
        <w:t xml:space="preserve"> דכן מוכח מדברי רב הונא גופיה הכשיר בהגרים ושחט והגרים, אעפ"י שההגרמה בשליש האחרון ודאי שאינה מכשירה, ומבואר דכל שבשליש השני שחט כדין כשר, בין אם לאחריו הוסיף שליש בהגרמה </w:t>
      </w:r>
      <w:r w:rsidRPr="00E06AEB">
        <w:rPr>
          <w:rStyle w:val="afb"/>
          <w:rFonts w:hint="cs"/>
          <w:rtl/>
        </w:rPr>
        <w:t>[או בשחיטה]</w:t>
      </w:r>
      <w:r>
        <w:rPr>
          <w:rFonts w:hint="cs"/>
          <w:rtl/>
        </w:rPr>
        <w:t xml:space="preserve">, או שלא הוסיף לחתוך אחר השליש השני כלל כשר, </w:t>
      </w:r>
      <w:r w:rsidRPr="00E06AEB">
        <w:rPr>
          <w:rStyle w:val="afb"/>
          <w:rFonts w:hint="cs"/>
          <w:rtl/>
        </w:rPr>
        <w:t>[כיון ששחט כדין בשליש השני שהוא רוב הסימן]</w:t>
      </w:r>
      <w:r>
        <w:rPr>
          <w:rFonts w:hint="cs"/>
          <w:rtl/>
        </w:rPr>
        <w:t>.</w:t>
      </w:r>
      <w:bookmarkEnd w:id="12827"/>
    </w:p>
    <w:p w14:paraId="6EFB451E" w14:textId="77777777" w:rsidR="00F1210D" w:rsidRDefault="00F1210D" w:rsidP="006D6D32">
      <w:pPr>
        <w:pStyle w:val="a3"/>
        <w:rPr>
          <w:rtl/>
        </w:rPr>
      </w:pPr>
      <w:bookmarkStart w:id="12849" w:name="_Toc532844808"/>
      <w:bookmarkStart w:id="12850" w:name="_Toc532849405"/>
      <w:bookmarkStart w:id="12851" w:name="_Toc532897024"/>
      <w:bookmarkStart w:id="12852" w:name="_Toc532901798"/>
      <w:bookmarkStart w:id="12853" w:name="_Toc532976763"/>
      <w:bookmarkStart w:id="12854" w:name="_Toc532982430"/>
      <w:bookmarkStart w:id="12855" w:name="_Toc532982588"/>
    </w:p>
    <w:p w14:paraId="38978B88" w14:textId="77777777" w:rsidR="00F1210D" w:rsidRDefault="00F1210D" w:rsidP="006D6D32">
      <w:pPr>
        <w:pStyle w:val="a3"/>
        <w:rPr>
          <w:rtl/>
        </w:rPr>
      </w:pPr>
    </w:p>
    <w:p w14:paraId="28D0AF28" w14:textId="77777777" w:rsidR="00D53B7D" w:rsidRDefault="00D53B7D" w:rsidP="006D6D32">
      <w:pPr>
        <w:pStyle w:val="a3"/>
        <w:rPr>
          <w:rtl/>
        </w:rPr>
      </w:pPr>
      <w:bookmarkStart w:id="12856" w:name="_Toc19390698"/>
      <w:bookmarkStart w:id="12857" w:name="_Toc19394195"/>
      <w:r>
        <w:rPr>
          <w:rFonts w:hint="cs"/>
          <w:rtl/>
        </w:rPr>
        <w:t>דברי החת"ס דלהרמב"ן והר"ן ביארו את לשון רוב במתני' דרוב החיות יוצאת בשחיטה</w:t>
      </w:r>
      <w:bookmarkEnd w:id="12849"/>
      <w:bookmarkEnd w:id="12850"/>
      <w:bookmarkEnd w:id="12851"/>
      <w:bookmarkEnd w:id="12852"/>
      <w:bookmarkEnd w:id="12853"/>
      <w:bookmarkEnd w:id="12854"/>
      <w:bookmarkEnd w:id="12855"/>
      <w:bookmarkEnd w:id="12856"/>
      <w:bookmarkEnd w:id="12857"/>
    </w:p>
    <w:p w14:paraId="68DC67B2" w14:textId="77777777" w:rsidR="00D53B7D" w:rsidRPr="0025694A" w:rsidRDefault="00D53B7D" w:rsidP="00223668">
      <w:pPr>
        <w:pStyle w:val="a0"/>
        <w:rPr>
          <w:rtl/>
        </w:rPr>
      </w:pPr>
      <w:bookmarkStart w:id="12858" w:name="_Toc532203004"/>
      <w:bookmarkStart w:id="12859" w:name="_Toc532302165"/>
      <w:bookmarkStart w:id="12860" w:name="_Toc532453960"/>
      <w:bookmarkStart w:id="12861" w:name="_Toc532453994"/>
      <w:bookmarkStart w:id="12862" w:name="_Toc532550645"/>
      <w:bookmarkStart w:id="12863" w:name="_Toc532550711"/>
      <w:bookmarkStart w:id="12864" w:name="_Toc532810215"/>
      <w:r>
        <w:rPr>
          <w:rFonts w:hint="cs"/>
          <w:rtl/>
        </w:rPr>
        <w:t xml:space="preserve">וכתב </w:t>
      </w:r>
      <w:r w:rsidRPr="00583BC0">
        <w:rPr>
          <w:rStyle w:val="af9"/>
          <w:rFonts w:hint="cs"/>
          <w:rtl/>
        </w:rPr>
        <w:t>החת"ס</w:t>
      </w:r>
      <w:r>
        <w:rPr>
          <w:rFonts w:hint="cs"/>
          <w:rtl/>
        </w:rPr>
        <w:t xml:space="preserve"> </w:t>
      </w:r>
      <w:r w:rsidRPr="006A4075">
        <w:rPr>
          <w:rStyle w:val="af7"/>
          <w:rFonts w:eastAsia="Guttman Hodes" w:hint="cs"/>
          <w:rtl/>
        </w:rPr>
        <w:t>(ד"ה מידי)</w:t>
      </w:r>
      <w:r w:rsidRPr="00190E44">
        <w:rPr>
          <w:rFonts w:hint="cs"/>
          <w:rtl/>
        </w:rPr>
        <w:t xml:space="preserve"> דלדעת</w:t>
      </w:r>
      <w:r>
        <w:rPr>
          <w:rStyle w:val="af9"/>
          <w:rFonts w:hint="cs"/>
          <w:rtl/>
        </w:rPr>
        <w:t xml:space="preserve"> ה</w:t>
      </w:r>
      <w:r w:rsidRPr="00583BC0">
        <w:rPr>
          <w:rStyle w:val="af9"/>
          <w:rFonts w:hint="cs"/>
          <w:rtl/>
        </w:rPr>
        <w:t>רמב"ן והר"ן</w:t>
      </w:r>
      <w:r>
        <w:rPr>
          <w:rFonts w:hint="cs"/>
          <w:rtl/>
        </w:rPr>
        <w:t xml:space="preserve"> רב הונא ביאר את לשון ריבר"י במשנה דמשייר מלא החוט על פני רובה, דהיינו שרוב החיות יוצאת בשחיטה, ולכן אף שלא </w:t>
      </w:r>
      <w:r w:rsidRPr="004648C9">
        <w:rPr>
          <w:rFonts w:hint="cs"/>
          <w:rtl/>
        </w:rPr>
        <w:t xml:space="preserve">שחט את רוב הסימן מכשיר ריבר"י, </w:t>
      </w:r>
      <w:r w:rsidRPr="004648C9">
        <w:rPr>
          <w:rStyle w:val="afb"/>
          <w:rFonts w:hint="cs"/>
          <w:rtl/>
        </w:rPr>
        <w:t xml:space="preserve">[וכדביאר </w:t>
      </w:r>
      <w:r w:rsidRPr="004648C9">
        <w:rPr>
          <w:rStyle w:val="affa"/>
          <w:rFonts w:hint="cs"/>
          <w:rtl/>
        </w:rPr>
        <w:t>הריטב"א</w:t>
      </w:r>
      <w:r w:rsidRPr="004648C9">
        <w:rPr>
          <w:rStyle w:val="afb"/>
          <w:rFonts w:hint="cs"/>
          <w:rtl/>
        </w:rPr>
        <w:t xml:space="preserve"> </w:t>
      </w:r>
      <w:r w:rsidRPr="00190E44">
        <w:rPr>
          <w:rStyle w:val="aff6"/>
          <w:rFonts w:hint="cs"/>
          <w:rtl/>
        </w:rPr>
        <w:t xml:space="preserve">(עי' אות </w:t>
      </w:r>
      <w:r w:rsidRPr="00190E44">
        <w:rPr>
          <w:rStyle w:val="aff6"/>
          <w:rtl/>
        </w:rPr>
        <w:fldChar w:fldCharType="begin"/>
      </w:r>
      <w:r w:rsidRPr="00190E44">
        <w:rPr>
          <w:rStyle w:val="aff6"/>
          <w:rtl/>
        </w:rPr>
        <w:instrText xml:space="preserve"> </w:instrText>
      </w:r>
      <w:r w:rsidRPr="00190E44">
        <w:rPr>
          <w:rStyle w:val="aff6"/>
          <w:rFonts w:hint="cs"/>
        </w:rPr>
        <w:instrText>REF</w:instrText>
      </w:r>
      <w:r w:rsidRPr="00190E44">
        <w:rPr>
          <w:rStyle w:val="aff6"/>
          <w:rFonts w:hint="cs"/>
          <w:rtl/>
        </w:rPr>
        <w:instrText xml:space="preserve"> _</w:instrText>
      </w:r>
      <w:r w:rsidRPr="00190E44">
        <w:rPr>
          <w:rStyle w:val="aff6"/>
          <w:rFonts w:hint="cs"/>
        </w:rPr>
        <w:instrText>Ref532844258 \r \h</w:instrText>
      </w:r>
      <w:r w:rsidRPr="00190E44">
        <w:rPr>
          <w:rStyle w:val="aff6"/>
          <w:rtl/>
        </w:rPr>
        <w:instrText xml:space="preserve"> </w:instrText>
      </w:r>
      <w:r w:rsidRPr="00190E44">
        <w:rPr>
          <w:rStyle w:val="aff6"/>
          <w:rtl/>
        </w:rPr>
      </w:r>
      <w:r w:rsidRPr="00190E44">
        <w:rPr>
          <w:rStyle w:val="aff6"/>
          <w:rtl/>
        </w:rPr>
        <w:fldChar w:fldCharType="separate"/>
      </w:r>
      <w:r w:rsidR="00345400">
        <w:rPr>
          <w:rStyle w:val="aff6"/>
          <w:cs/>
        </w:rPr>
        <w:t>‎</w:t>
      </w:r>
      <w:r w:rsidR="00345400">
        <w:rPr>
          <w:rStyle w:val="aff6"/>
          <w:rtl/>
        </w:rPr>
        <w:t>לט)</w:t>
      </w:r>
      <w:r w:rsidRPr="00190E44">
        <w:rPr>
          <w:rStyle w:val="aff6"/>
          <w:rtl/>
        </w:rPr>
        <w:fldChar w:fldCharType="end"/>
      </w:r>
      <w:r w:rsidRPr="004648C9">
        <w:rPr>
          <w:rStyle w:val="afb"/>
          <w:rFonts w:hint="cs"/>
          <w:rtl/>
        </w:rPr>
        <w:t xml:space="preserve"> בדברי רב יהודה], </w:t>
      </w:r>
      <w:r w:rsidRPr="004648C9">
        <w:rPr>
          <w:rFonts w:hint="cs"/>
          <w:rtl/>
        </w:rPr>
        <w:t xml:space="preserve">וכתב </w:t>
      </w:r>
      <w:r w:rsidRPr="004648C9">
        <w:rPr>
          <w:rStyle w:val="af9"/>
          <w:rFonts w:hint="cs"/>
          <w:rtl/>
        </w:rPr>
        <w:t>החת"ס</w:t>
      </w:r>
      <w:r w:rsidRPr="004648C9">
        <w:rPr>
          <w:rFonts w:hint="cs"/>
          <w:rtl/>
        </w:rPr>
        <w:t xml:space="preserve"> </w:t>
      </w:r>
      <w:r w:rsidRPr="004648C9">
        <w:rPr>
          <w:rStyle w:val="af9"/>
          <w:rFonts w:hint="cs"/>
          <w:rtl/>
        </w:rPr>
        <w:t>דרש"י</w:t>
      </w:r>
      <w:r w:rsidRPr="004648C9">
        <w:rPr>
          <w:rFonts w:hint="cs"/>
          <w:rtl/>
        </w:rPr>
        <w:t xml:space="preserve"> </w:t>
      </w:r>
      <w:r w:rsidRPr="004648C9">
        <w:rPr>
          <w:rStyle w:val="af7"/>
          <w:rFonts w:eastAsia="Guttman Hodes" w:hint="cs"/>
          <w:rtl/>
        </w:rPr>
        <w:t xml:space="preserve">(עי' אות </w:t>
      </w:r>
      <w:r w:rsidRPr="004648C9">
        <w:rPr>
          <w:rStyle w:val="af7"/>
          <w:rFonts w:eastAsia="Guttman Hodes"/>
          <w:rtl/>
        </w:rPr>
        <w:fldChar w:fldCharType="begin"/>
      </w:r>
      <w:r w:rsidRPr="004648C9">
        <w:rPr>
          <w:rStyle w:val="af7"/>
          <w:rFonts w:eastAsia="Guttman Hodes"/>
          <w:rtl/>
        </w:rPr>
        <w:instrText xml:space="preserve"> </w:instrText>
      </w:r>
      <w:r w:rsidRPr="004648C9">
        <w:rPr>
          <w:rStyle w:val="af7"/>
          <w:rFonts w:eastAsia="Guttman Hodes" w:hint="cs"/>
        </w:rPr>
        <w:instrText>REF</w:instrText>
      </w:r>
      <w:r w:rsidRPr="004648C9">
        <w:rPr>
          <w:rStyle w:val="af7"/>
          <w:rFonts w:eastAsia="Guttman Hodes" w:hint="cs"/>
          <w:rtl/>
        </w:rPr>
        <w:instrText xml:space="preserve"> _</w:instrText>
      </w:r>
      <w:r w:rsidRPr="004648C9">
        <w:rPr>
          <w:rStyle w:val="af7"/>
          <w:rFonts w:eastAsia="Guttman Hodes" w:hint="cs"/>
        </w:rPr>
        <w:instrText>Ref532404612 \r \h</w:instrText>
      </w:r>
      <w:r w:rsidRPr="004648C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4648C9">
        <w:rPr>
          <w:rStyle w:val="af7"/>
          <w:rFonts w:eastAsia="Guttman Hodes"/>
          <w:rtl/>
        </w:rPr>
      </w:r>
      <w:r w:rsidRPr="004648C9">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4648C9">
        <w:rPr>
          <w:rStyle w:val="af7"/>
          <w:rFonts w:eastAsia="Guttman Hodes"/>
          <w:rtl/>
        </w:rPr>
        <w:fldChar w:fldCharType="end"/>
      </w:r>
      <w:r w:rsidRPr="00873271">
        <w:rPr>
          <w:rStyle w:val="af7"/>
          <w:rFonts w:eastAsia="Guttman Hodes" w:hint="cs"/>
          <w:rtl/>
        </w:rPr>
        <w:t xml:space="preserve"> </w:t>
      </w:r>
      <w:r w:rsidRPr="004648C9">
        <w:rPr>
          <w:rFonts w:hint="cs"/>
          <w:rtl/>
        </w:rPr>
        <w:t xml:space="preserve">לא ביאר </w:t>
      </w:r>
      <w:r w:rsidRPr="004648C9">
        <w:rPr>
          <w:rStyle w:val="af9"/>
          <w:rFonts w:hint="cs"/>
          <w:rtl/>
        </w:rPr>
        <w:t>כרמב"ן והר"ן</w:t>
      </w:r>
      <w:r w:rsidRPr="00873271">
        <w:rPr>
          <w:rFonts w:hint="cs"/>
          <w:rtl/>
        </w:rPr>
        <w:t>,</w:t>
      </w:r>
      <w:r w:rsidRPr="004648C9">
        <w:rPr>
          <w:rFonts w:hint="cs"/>
          <w:rtl/>
        </w:rPr>
        <w:t xml:space="preserve"> כיון שמשמעות לשון המשנה הוא דמשייר את רוב הקנה, ולא את רוב</w:t>
      </w:r>
      <w:r>
        <w:rPr>
          <w:rFonts w:hint="cs"/>
          <w:rtl/>
        </w:rPr>
        <w:t xml:space="preserve"> החיות.</w:t>
      </w:r>
    </w:p>
    <w:p w14:paraId="6A831385" w14:textId="77777777" w:rsidR="00D53B7D" w:rsidRDefault="00D53B7D" w:rsidP="00BF39B2">
      <w:pPr>
        <w:pStyle w:val="1"/>
        <w:rPr>
          <w:rtl/>
        </w:rPr>
      </w:pPr>
      <w:bookmarkStart w:id="12865" w:name="_Toc532844809"/>
      <w:bookmarkStart w:id="12866" w:name="_Toc532849406"/>
      <w:bookmarkStart w:id="12867" w:name="_Toc532897025"/>
      <w:bookmarkStart w:id="12868" w:name="_Toc532901799"/>
      <w:bookmarkStart w:id="12869" w:name="_Toc532976764"/>
      <w:bookmarkStart w:id="12870" w:name="_Toc532982431"/>
      <w:bookmarkStart w:id="12871" w:name="_Toc532982589"/>
      <w:bookmarkStart w:id="12872" w:name="_Toc19390699"/>
      <w:bookmarkStart w:id="12873" w:name="_Toc19394196"/>
      <w:bookmarkEnd w:id="12858"/>
      <w:bookmarkEnd w:id="12859"/>
      <w:bookmarkEnd w:id="12860"/>
      <w:bookmarkEnd w:id="12861"/>
      <w:bookmarkEnd w:id="12862"/>
      <w:bookmarkEnd w:id="12863"/>
      <w:bookmarkEnd w:id="12864"/>
      <w:r>
        <w:rPr>
          <w:rFonts w:hint="cs"/>
          <w:rtl/>
        </w:rPr>
        <w:t>ביאור הריטב"א בפלוגתת ריבר"י ורבנן בחצי קנה פגום</w:t>
      </w:r>
      <w:bookmarkEnd w:id="12865"/>
      <w:bookmarkEnd w:id="12866"/>
      <w:bookmarkEnd w:id="12867"/>
      <w:bookmarkEnd w:id="12868"/>
      <w:bookmarkEnd w:id="12869"/>
      <w:bookmarkEnd w:id="12870"/>
      <w:bookmarkEnd w:id="12871"/>
      <w:bookmarkEnd w:id="12872"/>
      <w:bookmarkEnd w:id="12873"/>
    </w:p>
    <w:p w14:paraId="4190B8D2" w14:textId="77777777" w:rsidR="00D53B7D" w:rsidRPr="0080312F" w:rsidRDefault="00D53B7D" w:rsidP="006D6D32">
      <w:pPr>
        <w:pStyle w:val="a3"/>
        <w:rPr>
          <w:rtl/>
        </w:rPr>
      </w:pPr>
      <w:bookmarkStart w:id="12874" w:name="_Toc532844810"/>
      <w:bookmarkStart w:id="12875" w:name="_Toc532849407"/>
      <w:bookmarkStart w:id="12876" w:name="_Toc532897026"/>
      <w:bookmarkStart w:id="12877" w:name="_Toc532901800"/>
      <w:bookmarkStart w:id="12878" w:name="_Toc532976765"/>
      <w:bookmarkStart w:id="12879" w:name="_Toc532982432"/>
      <w:bookmarkStart w:id="12880" w:name="_Toc532982590"/>
      <w:bookmarkStart w:id="12881" w:name="_Toc19390700"/>
      <w:bookmarkStart w:id="12882" w:name="_Toc19394197"/>
      <w:r>
        <w:rPr>
          <w:rFonts w:hint="cs"/>
          <w:rtl/>
        </w:rPr>
        <w:t>דברי הריטב"א דמבואר בדעת רבר"י דהוא מכשיר בחצי קנה פגום אף במקום ההגרמה</w:t>
      </w:r>
      <w:bookmarkEnd w:id="12874"/>
      <w:bookmarkEnd w:id="12875"/>
      <w:bookmarkEnd w:id="12876"/>
      <w:bookmarkEnd w:id="12877"/>
      <w:bookmarkEnd w:id="12878"/>
      <w:bookmarkEnd w:id="12879"/>
      <w:bookmarkEnd w:id="12880"/>
      <w:bookmarkEnd w:id="12881"/>
      <w:bookmarkEnd w:id="12882"/>
    </w:p>
    <w:p w14:paraId="680F3285" w14:textId="77777777" w:rsidR="00D53B7D" w:rsidRPr="0044704D" w:rsidRDefault="00D53B7D" w:rsidP="00223668">
      <w:pPr>
        <w:pStyle w:val="a0"/>
        <w:rPr>
          <w:rtl/>
        </w:rPr>
      </w:pPr>
      <w:r>
        <w:rPr>
          <w:rFonts w:hint="cs"/>
          <w:rtl/>
        </w:rPr>
        <w:t>כתב</w:t>
      </w:r>
      <w:r w:rsidRPr="0080312F">
        <w:rPr>
          <w:rStyle w:val="af9"/>
          <w:rFonts w:hint="cs"/>
          <w:rtl/>
        </w:rPr>
        <w:t xml:space="preserve"> הריטב"א </w:t>
      </w:r>
      <w:r w:rsidRPr="0078391E">
        <w:rPr>
          <w:rStyle w:val="af7"/>
          <w:rFonts w:eastAsia="Guttman Hodes" w:hint="cs"/>
          <w:rtl/>
        </w:rPr>
        <w:t>(ד"ה מידי</w:t>
      </w:r>
      <w:r>
        <w:rPr>
          <w:rStyle w:val="af7"/>
          <w:rFonts w:eastAsia="Guttman Hodes" w:hint="cs"/>
          <w:rtl/>
        </w:rPr>
        <w:t>, וד"ה ורבנן</w:t>
      </w:r>
      <w:r w:rsidRPr="0078391E">
        <w:rPr>
          <w:rStyle w:val="af7"/>
          <w:rFonts w:eastAsia="Guttman Hodes" w:hint="cs"/>
          <w:rtl/>
        </w:rPr>
        <w:t>)</w:t>
      </w:r>
      <w:r>
        <w:rPr>
          <w:rFonts w:hint="cs"/>
          <w:rtl/>
        </w:rPr>
        <w:t xml:space="preserve"> דמדברי רב הונא בל"ב מבואר דלדעת ריבר</w:t>
      </w:r>
      <w:r>
        <w:rPr>
          <w:rtl/>
        </w:rPr>
        <w:t>"</w:t>
      </w:r>
      <w:r>
        <w:rPr>
          <w:rFonts w:hint="cs"/>
          <w:rtl/>
        </w:rPr>
        <w:t>י חצי קנה פגום כשר, אף אם נפגם במקום ההגרמה, דאי מכשיר ריבר</w:t>
      </w:r>
      <w:r>
        <w:rPr>
          <w:rtl/>
        </w:rPr>
        <w:t>"</w:t>
      </w:r>
      <w:r>
        <w:rPr>
          <w:rFonts w:hint="cs"/>
          <w:rtl/>
        </w:rPr>
        <w:t xml:space="preserve">י </w:t>
      </w:r>
      <w:r w:rsidRPr="0044704D">
        <w:rPr>
          <w:rFonts w:hint="cs"/>
          <w:rtl/>
        </w:rPr>
        <w:t>בחצי קנה פגום רק במקום שחיטה, א"כ א"א להוכיח מחצי קנה פגום להגרים שליש ושחט שליש, דכיון שאינו מקום שחיטה, והיה לריבר</w:t>
      </w:r>
      <w:r w:rsidRPr="0044704D">
        <w:rPr>
          <w:rtl/>
        </w:rPr>
        <w:t>"</w:t>
      </w:r>
      <w:r w:rsidRPr="0044704D">
        <w:rPr>
          <w:rFonts w:hint="cs"/>
          <w:rtl/>
        </w:rPr>
        <w:t>י להודות לדברי רבנן דהגרמה שאינו במקום שחיטה לא דמי לחצי קנה פגום, אלא מוכח דלדעת ריבר</w:t>
      </w:r>
      <w:r w:rsidRPr="0044704D">
        <w:rPr>
          <w:rtl/>
        </w:rPr>
        <w:t>"</w:t>
      </w:r>
      <w:r w:rsidRPr="0044704D">
        <w:rPr>
          <w:rFonts w:hint="cs"/>
          <w:rtl/>
        </w:rPr>
        <w:t>י אף במקום הגרמה מהני אם הוסיף שחיטה בחצי קנה פגום, דכל שהשלים לרוב במקום שחיטה כשר, וה"ה בהגרים שליש ושחט שליש.</w:t>
      </w:r>
    </w:p>
    <w:p w14:paraId="2A11F72D" w14:textId="77777777" w:rsidR="00D53B7D" w:rsidRDefault="00D53B7D" w:rsidP="006D6D32">
      <w:pPr>
        <w:pStyle w:val="a3"/>
        <w:rPr>
          <w:rtl/>
        </w:rPr>
      </w:pPr>
      <w:bookmarkStart w:id="12883" w:name="_Toc532844811"/>
      <w:bookmarkStart w:id="12884" w:name="_Toc532849408"/>
      <w:bookmarkStart w:id="12885" w:name="_Toc532897027"/>
      <w:bookmarkStart w:id="12886" w:name="_Toc532901801"/>
      <w:bookmarkStart w:id="12887" w:name="_Toc532976766"/>
      <w:bookmarkStart w:id="12888" w:name="_Toc532982433"/>
      <w:bookmarkStart w:id="12889" w:name="_Toc532982591"/>
      <w:bookmarkStart w:id="12890" w:name="_Toc19390701"/>
      <w:bookmarkStart w:id="12891" w:name="_Toc19394198"/>
      <w:r>
        <w:rPr>
          <w:rFonts w:hint="cs"/>
          <w:rtl/>
        </w:rPr>
        <w:t>דברי הריטב"א דרבנן פליגי על ריבר"י בחצי קנה פגום ומכשיר רק בנפגם במקום שחיטה</w:t>
      </w:r>
      <w:bookmarkEnd w:id="12883"/>
      <w:bookmarkEnd w:id="12884"/>
      <w:bookmarkEnd w:id="12885"/>
      <w:bookmarkEnd w:id="12886"/>
      <w:bookmarkEnd w:id="12887"/>
      <w:bookmarkEnd w:id="12888"/>
      <w:bookmarkEnd w:id="12889"/>
      <w:bookmarkEnd w:id="12890"/>
      <w:bookmarkEnd w:id="12891"/>
    </w:p>
    <w:p w14:paraId="0E44518B" w14:textId="77777777" w:rsidR="00D53B7D" w:rsidRPr="008D2C06" w:rsidRDefault="00D53B7D" w:rsidP="00223668">
      <w:pPr>
        <w:pStyle w:val="a0"/>
        <w:rPr>
          <w:rtl/>
        </w:rPr>
      </w:pPr>
      <w:r>
        <w:rPr>
          <w:rFonts w:hint="cs"/>
          <w:rtl/>
        </w:rPr>
        <w:t>ו</w:t>
      </w:r>
      <w:r w:rsidRPr="008D2C06">
        <w:rPr>
          <w:rFonts w:hint="cs"/>
          <w:rtl/>
        </w:rPr>
        <w:t xml:space="preserve">כתב </w:t>
      </w:r>
      <w:r w:rsidRPr="0044704D">
        <w:rPr>
          <w:rStyle w:val="af9"/>
          <w:rFonts w:hint="cs"/>
          <w:rtl/>
        </w:rPr>
        <w:t>הריטב"א</w:t>
      </w:r>
      <w:r w:rsidRPr="008D2C06">
        <w:rPr>
          <w:rFonts w:hint="cs"/>
          <w:rtl/>
        </w:rPr>
        <w:t xml:space="preserve"> </w:t>
      </w:r>
      <w:r>
        <w:rPr>
          <w:rFonts w:hint="cs"/>
          <w:rtl/>
        </w:rPr>
        <w:t>דא"כ</w:t>
      </w:r>
      <w:r w:rsidRPr="0044704D">
        <w:rPr>
          <w:rFonts w:hint="cs"/>
          <w:rtl/>
        </w:rPr>
        <w:t xml:space="preserve"> </w:t>
      </w:r>
      <w:r>
        <w:rPr>
          <w:rFonts w:hint="cs"/>
          <w:rtl/>
        </w:rPr>
        <w:t>מבואר דפלוגתת ריבר</w:t>
      </w:r>
      <w:r>
        <w:rPr>
          <w:rtl/>
        </w:rPr>
        <w:t>"</w:t>
      </w:r>
      <w:r>
        <w:rPr>
          <w:rFonts w:hint="cs"/>
          <w:rtl/>
        </w:rPr>
        <w:t>י ורבנן אינה רק בהגרמה, אלא גם בחצי קנה פגום, דלדעת רבנן דוקא אם הוא פגום במקום שחיטה מהני להוסיף שחיטה על הפגימה ולהשלימה לרוב, ודלא ריבר</w:t>
      </w:r>
      <w:r>
        <w:rPr>
          <w:rtl/>
        </w:rPr>
        <w:t>"</w:t>
      </w:r>
      <w:r>
        <w:rPr>
          <w:rFonts w:hint="cs"/>
          <w:rtl/>
        </w:rPr>
        <w:t xml:space="preserve">י שהכשיר אף בפגום שלא במקום שחיטה, כל שמשלימו לרוב במקום שחיטה, אך כתב </w:t>
      </w:r>
      <w:r w:rsidRPr="0080312F">
        <w:rPr>
          <w:rStyle w:val="af9"/>
          <w:rFonts w:hint="cs"/>
          <w:rtl/>
        </w:rPr>
        <w:t>הריטב"א</w:t>
      </w:r>
      <w:r>
        <w:rPr>
          <w:rFonts w:hint="cs"/>
          <w:rtl/>
        </w:rPr>
        <w:t xml:space="preserve"> דאף דקיי"ל כריבר</w:t>
      </w:r>
      <w:r>
        <w:rPr>
          <w:rtl/>
        </w:rPr>
        <w:t>"</w:t>
      </w:r>
      <w:r>
        <w:rPr>
          <w:rFonts w:hint="cs"/>
          <w:rtl/>
        </w:rPr>
        <w:t>י מ"מ להלכה ראוי להחמיר.</w:t>
      </w:r>
    </w:p>
    <w:p w14:paraId="6DF8ECF4" w14:textId="77777777" w:rsidR="00D53B7D" w:rsidRPr="00384675" w:rsidRDefault="00D53B7D" w:rsidP="00BF39B2">
      <w:pPr>
        <w:pStyle w:val="1"/>
        <w:rPr>
          <w:rtl/>
        </w:rPr>
      </w:pPr>
      <w:bookmarkStart w:id="12892" w:name="_Toc532810216"/>
      <w:bookmarkStart w:id="12893" w:name="_Toc532844812"/>
      <w:bookmarkStart w:id="12894" w:name="_Toc532849409"/>
      <w:bookmarkStart w:id="12895" w:name="_Toc532897028"/>
      <w:bookmarkStart w:id="12896" w:name="_Toc532901802"/>
      <w:bookmarkStart w:id="12897" w:name="_Toc532976767"/>
      <w:bookmarkStart w:id="12898" w:name="_Toc532982434"/>
      <w:bookmarkStart w:id="12899" w:name="_Toc532982592"/>
      <w:bookmarkStart w:id="12900" w:name="_Toc19390702"/>
      <w:bookmarkStart w:id="12901" w:name="_Toc19394199"/>
      <w:r w:rsidRPr="00384675">
        <w:rPr>
          <w:rFonts w:hint="cs"/>
          <w:rtl/>
        </w:rPr>
        <w:t>ביאור רש"י בחילוק לרבנן בין חצי קנה פגום להגרמה</w:t>
      </w:r>
      <w:bookmarkEnd w:id="12743"/>
      <w:bookmarkEnd w:id="12744"/>
      <w:bookmarkEnd w:id="12892"/>
      <w:bookmarkEnd w:id="12893"/>
      <w:bookmarkEnd w:id="12894"/>
      <w:bookmarkEnd w:id="12895"/>
      <w:bookmarkEnd w:id="12896"/>
      <w:bookmarkEnd w:id="12897"/>
      <w:bookmarkEnd w:id="12898"/>
      <w:bookmarkEnd w:id="12899"/>
      <w:bookmarkEnd w:id="12900"/>
      <w:bookmarkEnd w:id="12901"/>
    </w:p>
    <w:p w14:paraId="01A733F9" w14:textId="77777777" w:rsidR="00D53B7D" w:rsidRPr="00384675" w:rsidRDefault="00D53B7D" w:rsidP="006D6D32">
      <w:pPr>
        <w:pStyle w:val="a3"/>
        <w:rPr>
          <w:rtl/>
        </w:rPr>
      </w:pPr>
      <w:bookmarkStart w:id="12902" w:name="_Toc532550631"/>
      <w:bookmarkStart w:id="12903" w:name="_Toc532550697"/>
      <w:bookmarkStart w:id="12904" w:name="_Toc532810217"/>
      <w:bookmarkStart w:id="12905" w:name="_Toc532844813"/>
      <w:bookmarkStart w:id="12906" w:name="_Toc532849410"/>
      <w:bookmarkStart w:id="12907" w:name="_Toc532897029"/>
      <w:bookmarkStart w:id="12908" w:name="_Toc532901803"/>
      <w:bookmarkStart w:id="12909" w:name="_Toc532976768"/>
      <w:bookmarkStart w:id="12910" w:name="_Toc532982435"/>
      <w:bookmarkStart w:id="12911" w:name="_Toc532982593"/>
      <w:bookmarkStart w:id="12912" w:name="_Toc19390703"/>
      <w:bookmarkStart w:id="12913" w:name="_Toc19394200"/>
      <w:r w:rsidRPr="00384675">
        <w:rPr>
          <w:rFonts w:hint="cs"/>
          <w:rtl/>
        </w:rPr>
        <w:t xml:space="preserve">דברי רש"י דלרבנן </w:t>
      </w:r>
      <w:r>
        <w:rPr>
          <w:rFonts w:hint="cs"/>
          <w:rtl/>
        </w:rPr>
        <w:t>ב</w:t>
      </w:r>
      <w:r w:rsidRPr="00384675">
        <w:rPr>
          <w:rFonts w:hint="cs"/>
          <w:rtl/>
        </w:rPr>
        <w:t xml:space="preserve">חצי קנה פגום </w:t>
      </w:r>
      <w:bookmarkEnd w:id="12902"/>
      <w:bookmarkEnd w:id="12903"/>
      <w:bookmarkEnd w:id="12904"/>
      <w:r>
        <w:rPr>
          <w:rFonts w:hint="cs"/>
          <w:rtl/>
        </w:rPr>
        <w:t>כשר כיון שכל החיות יוצאת במקום שחיטה</w:t>
      </w:r>
      <w:bookmarkEnd w:id="12905"/>
      <w:bookmarkEnd w:id="12906"/>
      <w:bookmarkEnd w:id="12907"/>
      <w:bookmarkEnd w:id="12908"/>
      <w:bookmarkEnd w:id="12909"/>
      <w:bookmarkEnd w:id="12910"/>
      <w:bookmarkEnd w:id="12911"/>
      <w:bookmarkEnd w:id="12912"/>
      <w:bookmarkEnd w:id="12913"/>
    </w:p>
    <w:p w14:paraId="06817728" w14:textId="77777777" w:rsidR="00D53B7D" w:rsidRDefault="00D53B7D" w:rsidP="00223668">
      <w:pPr>
        <w:pStyle w:val="a0"/>
        <w:rPr>
          <w:rtl/>
        </w:rPr>
      </w:pPr>
      <w:bookmarkStart w:id="12914" w:name="_Ref532978432"/>
      <w:r w:rsidRPr="00384675">
        <w:rPr>
          <w:rFonts w:hint="cs"/>
          <w:rtl/>
        </w:rPr>
        <w:t xml:space="preserve">בדעת רבנן דס"ל דהגרמה לא דמי לחצי קנה פגום, ביאר </w:t>
      </w:r>
      <w:r w:rsidRPr="00384675">
        <w:rPr>
          <w:rStyle w:val="af9"/>
          <w:rFonts w:hint="cs"/>
          <w:rtl/>
        </w:rPr>
        <w:t>רש"י</w:t>
      </w:r>
      <w:r w:rsidRPr="00384675">
        <w:rPr>
          <w:rFonts w:hint="cs"/>
          <w:rtl/>
        </w:rPr>
        <w:t xml:space="preserve"> </w:t>
      </w:r>
      <w:r w:rsidRPr="00384675">
        <w:rPr>
          <w:rStyle w:val="af7"/>
          <w:rFonts w:eastAsia="Guttman Hodes" w:hint="cs"/>
          <w:rtl/>
        </w:rPr>
        <w:t>(ד"ה ורבנן)</w:t>
      </w:r>
      <w:r w:rsidRPr="00384675">
        <w:rPr>
          <w:rFonts w:hint="cs"/>
          <w:rtl/>
        </w:rPr>
        <w:t xml:space="preserve"> דבחצי קנה פגום שרוב הקנה</w:t>
      </w:r>
      <w:r>
        <w:rPr>
          <w:rFonts w:hint="cs"/>
          <w:rtl/>
        </w:rPr>
        <w:t xml:space="preserve"> לא נפסק ואינה נעשית טריפה, חשיב כאילו לא נפגם הקנה כלל, ולכן כשהוסיף ושחט כשר, דאף שלא יצאה החיות ע"י שחיטת רוב הקנה, מ"מ כל החיות יוצאת ע"י השחיטה והפגם.</w:t>
      </w:r>
      <w:bookmarkEnd w:id="12914"/>
    </w:p>
    <w:p w14:paraId="2FC4E6A4" w14:textId="77777777" w:rsidR="00D53B7D" w:rsidRPr="00384675" w:rsidRDefault="00D53B7D" w:rsidP="006D6D32">
      <w:pPr>
        <w:pStyle w:val="a3"/>
        <w:rPr>
          <w:rtl/>
        </w:rPr>
      </w:pPr>
      <w:bookmarkStart w:id="12915" w:name="_Toc532844814"/>
      <w:bookmarkStart w:id="12916" w:name="_Toc532849411"/>
      <w:bookmarkStart w:id="12917" w:name="_Toc532897030"/>
      <w:bookmarkStart w:id="12918" w:name="_Toc532901804"/>
      <w:bookmarkStart w:id="12919" w:name="_Toc532976769"/>
      <w:bookmarkStart w:id="12920" w:name="_Toc532982436"/>
      <w:bookmarkStart w:id="12921" w:name="_Toc532982594"/>
      <w:bookmarkStart w:id="12922" w:name="_Toc19390704"/>
      <w:bookmarkStart w:id="12923" w:name="_Toc19394201"/>
      <w:r w:rsidRPr="00384675">
        <w:rPr>
          <w:rFonts w:hint="cs"/>
          <w:rtl/>
        </w:rPr>
        <w:t xml:space="preserve">דברי רש"י דלרבנן בהגרמה יציאת החיות </w:t>
      </w:r>
      <w:r>
        <w:rPr>
          <w:rFonts w:hint="cs"/>
          <w:rtl/>
        </w:rPr>
        <w:t>היא ברוב הראשון שנשחט בפסול</w:t>
      </w:r>
      <w:r w:rsidRPr="00384675">
        <w:rPr>
          <w:rFonts w:hint="cs"/>
          <w:rtl/>
        </w:rPr>
        <w:t xml:space="preserve"> </w:t>
      </w:r>
      <w:r>
        <w:rPr>
          <w:rFonts w:hint="cs"/>
          <w:rtl/>
        </w:rPr>
        <w:t>דאינו במקום שחיטה</w:t>
      </w:r>
      <w:bookmarkEnd w:id="12915"/>
      <w:bookmarkEnd w:id="12916"/>
      <w:bookmarkEnd w:id="12917"/>
      <w:bookmarkEnd w:id="12918"/>
      <w:bookmarkEnd w:id="12919"/>
      <w:bookmarkEnd w:id="12920"/>
      <w:bookmarkEnd w:id="12921"/>
      <w:bookmarkEnd w:id="12922"/>
      <w:bookmarkEnd w:id="12923"/>
    </w:p>
    <w:p w14:paraId="2FD0EDE4" w14:textId="77777777" w:rsidR="00D53B7D" w:rsidRDefault="00D53B7D" w:rsidP="00223668">
      <w:pPr>
        <w:pStyle w:val="a0"/>
        <w:rPr>
          <w:rtl/>
        </w:rPr>
      </w:pPr>
      <w:r>
        <w:rPr>
          <w:rFonts w:hint="cs"/>
          <w:rtl/>
        </w:rPr>
        <w:t xml:space="preserve">אבל בהגרמה ביאר </w:t>
      </w:r>
      <w:r w:rsidRPr="00B46E8A">
        <w:rPr>
          <w:rStyle w:val="af9"/>
          <w:rFonts w:hint="cs"/>
          <w:rtl/>
        </w:rPr>
        <w:t>רש"י</w:t>
      </w:r>
      <w:r>
        <w:rPr>
          <w:rFonts w:hint="cs"/>
          <w:rtl/>
        </w:rPr>
        <w:t xml:space="preserve"> דס"ל לרבנן דלא דמי חצי קנה פגום, כיון שההגרמה אינה שחיטה ואינה במקום שחיטה, א"כ החיות יוצאת ברוב הראשון של הסימן בפסול שאינו במקום שחיטה, וכיון שחצי מהחיות יצאה בפסול, פסלי רבנן, ועי' במה שביאר בזה </w:t>
      </w:r>
      <w:r w:rsidRPr="000514FD">
        <w:rPr>
          <w:rStyle w:val="af9"/>
          <w:rFonts w:hint="cs"/>
          <w:rtl/>
        </w:rPr>
        <w:t>הקוב"ש</w:t>
      </w:r>
      <w:r>
        <w:rPr>
          <w:rFonts w:hint="cs"/>
          <w:rtl/>
        </w:rPr>
        <w:t xml:space="preserve"> </w:t>
      </w:r>
      <w:r w:rsidRPr="000514FD">
        <w:rPr>
          <w:rStyle w:val="af7"/>
          <w:rFonts w:eastAsia="Guttman Hodes" w:hint="cs"/>
          <w:rtl/>
        </w:rPr>
        <w:t xml:space="preserve">(עי' אות </w:t>
      </w:r>
      <w:r w:rsidRPr="000514FD">
        <w:rPr>
          <w:rStyle w:val="af7"/>
          <w:rFonts w:eastAsia="Guttman Hodes"/>
          <w:rtl/>
        </w:rPr>
        <w:fldChar w:fldCharType="begin"/>
      </w:r>
      <w:r w:rsidRPr="000514FD">
        <w:rPr>
          <w:rStyle w:val="af7"/>
          <w:rFonts w:eastAsia="Guttman Hodes"/>
          <w:rtl/>
        </w:rPr>
        <w:instrText xml:space="preserve"> </w:instrText>
      </w:r>
      <w:r w:rsidRPr="000514FD">
        <w:rPr>
          <w:rStyle w:val="af7"/>
          <w:rFonts w:eastAsia="Guttman Hodes" w:hint="cs"/>
        </w:rPr>
        <w:instrText>REF</w:instrText>
      </w:r>
      <w:r w:rsidRPr="000514FD">
        <w:rPr>
          <w:rStyle w:val="af7"/>
          <w:rFonts w:eastAsia="Guttman Hodes" w:hint="cs"/>
          <w:rtl/>
        </w:rPr>
        <w:instrText xml:space="preserve"> _</w:instrText>
      </w:r>
      <w:r w:rsidRPr="000514FD">
        <w:rPr>
          <w:rStyle w:val="af7"/>
          <w:rFonts w:eastAsia="Guttman Hodes" w:hint="cs"/>
        </w:rPr>
        <w:instrText>Ref533069451 \r \h</w:instrText>
      </w:r>
      <w:r w:rsidRPr="000514FD">
        <w:rPr>
          <w:rStyle w:val="af7"/>
          <w:rFonts w:eastAsia="Guttman Hodes"/>
          <w:rtl/>
        </w:rPr>
        <w:instrText xml:space="preserve"> </w:instrText>
      </w:r>
      <w:r w:rsidRPr="000514FD">
        <w:rPr>
          <w:rStyle w:val="af7"/>
          <w:rFonts w:eastAsia="Guttman Hodes"/>
          <w:rtl/>
        </w:rPr>
      </w:r>
      <w:r w:rsidRPr="000514FD">
        <w:rPr>
          <w:rStyle w:val="af7"/>
          <w:rFonts w:eastAsia="Guttman Hodes"/>
          <w:rtl/>
        </w:rPr>
        <w:fldChar w:fldCharType="separate"/>
      </w:r>
      <w:r w:rsidR="00345400">
        <w:rPr>
          <w:rStyle w:val="af7"/>
          <w:rFonts w:eastAsia="Guttman Hodes"/>
          <w:cs/>
        </w:rPr>
        <w:t>‎</w:t>
      </w:r>
      <w:r w:rsidR="00345400">
        <w:rPr>
          <w:rStyle w:val="af7"/>
          <w:rFonts w:eastAsia="Guttman Hodes"/>
          <w:rtl/>
        </w:rPr>
        <w:t>קיא)</w:t>
      </w:r>
      <w:r w:rsidRPr="000514FD">
        <w:rPr>
          <w:rStyle w:val="af7"/>
          <w:rFonts w:eastAsia="Guttman Hodes"/>
          <w:rtl/>
        </w:rPr>
        <w:fldChar w:fldCharType="end"/>
      </w:r>
      <w:r>
        <w:rPr>
          <w:rFonts w:hint="cs"/>
          <w:rtl/>
        </w:rPr>
        <w:t>.</w:t>
      </w:r>
      <w:r w:rsidRPr="0007213D">
        <w:rPr>
          <w:rFonts w:hint="cs"/>
          <w:rtl/>
        </w:rPr>
        <w:t xml:space="preserve"> </w:t>
      </w:r>
    </w:p>
    <w:p w14:paraId="7D4302E0" w14:textId="77777777" w:rsidR="00D53B7D" w:rsidRPr="00720CEA" w:rsidRDefault="00D53B7D" w:rsidP="006D6D32">
      <w:pPr>
        <w:pStyle w:val="a3"/>
      </w:pPr>
      <w:bookmarkStart w:id="12924" w:name="_Toc532550632"/>
      <w:bookmarkStart w:id="12925" w:name="_Toc532550698"/>
      <w:bookmarkStart w:id="12926" w:name="_Toc532810218"/>
      <w:bookmarkStart w:id="12927" w:name="_Toc532844815"/>
      <w:bookmarkStart w:id="12928" w:name="_Toc532849412"/>
      <w:bookmarkStart w:id="12929" w:name="_Toc532897031"/>
      <w:bookmarkStart w:id="12930" w:name="_Toc532901805"/>
      <w:bookmarkStart w:id="12931" w:name="_Toc532976770"/>
      <w:bookmarkStart w:id="12932" w:name="_Toc532982437"/>
      <w:bookmarkStart w:id="12933" w:name="_Toc532982595"/>
      <w:bookmarkStart w:id="12934" w:name="_Toc19390705"/>
      <w:bookmarkStart w:id="12935" w:name="_Toc19394202"/>
      <w:r>
        <w:rPr>
          <w:rFonts w:hint="cs"/>
          <w:rtl/>
        </w:rPr>
        <w:t>דברי רש"י דחצי קנה פגום חשיב כשלם ולא יצאה החיות וכשמוסיף לשחוט יוצאת כל החיות</w:t>
      </w:r>
      <w:bookmarkEnd w:id="12924"/>
      <w:bookmarkEnd w:id="12925"/>
      <w:bookmarkEnd w:id="12926"/>
      <w:bookmarkEnd w:id="12927"/>
      <w:bookmarkEnd w:id="12928"/>
      <w:bookmarkEnd w:id="12929"/>
      <w:bookmarkEnd w:id="12930"/>
      <w:bookmarkEnd w:id="12931"/>
      <w:bookmarkEnd w:id="12932"/>
      <w:bookmarkEnd w:id="12933"/>
      <w:bookmarkEnd w:id="12934"/>
      <w:bookmarkEnd w:id="12935"/>
    </w:p>
    <w:p w14:paraId="0ED25908" w14:textId="77777777" w:rsidR="00D53B7D" w:rsidRPr="00351509" w:rsidRDefault="00D53B7D" w:rsidP="00223668">
      <w:pPr>
        <w:pStyle w:val="a0"/>
        <w:rPr>
          <w:rtl/>
        </w:rPr>
      </w:pPr>
      <w:r>
        <w:rPr>
          <w:rFonts w:hint="cs"/>
          <w:rtl/>
        </w:rPr>
        <w:t xml:space="preserve">וכ"כ </w:t>
      </w:r>
      <w:r>
        <w:rPr>
          <w:rStyle w:val="af9"/>
          <w:rFonts w:hint="cs"/>
          <w:rtl/>
        </w:rPr>
        <w:t>ב</w:t>
      </w:r>
      <w:r w:rsidRPr="000157C9">
        <w:rPr>
          <w:rStyle w:val="af9"/>
          <w:rFonts w:hint="cs"/>
          <w:rtl/>
        </w:rPr>
        <w:t>רש"י לקמן</w:t>
      </w:r>
      <w:r>
        <w:rPr>
          <w:rFonts w:hint="cs"/>
          <w:rtl/>
        </w:rPr>
        <w:t xml:space="preserve"> </w:t>
      </w:r>
      <w:r w:rsidRPr="000157C9">
        <w:rPr>
          <w:rStyle w:val="af7"/>
          <w:rFonts w:eastAsia="Guttman Hodes" w:hint="cs"/>
          <w:rtl/>
        </w:rPr>
        <w:t>(יט: ד"ה ולא שחט, וד"ה מכדי משחט)</w:t>
      </w:r>
      <w:r>
        <w:rPr>
          <w:rFonts w:hint="cs"/>
          <w:rtl/>
        </w:rPr>
        <w:t xml:space="preserve"> דחצי קנה פגום חשיב כקנה שלם, ואינה טריפה בכך והחיות לא יצאה כלל, וכשהוסיף לשחוט לרוב קנה, יצאה כל החיות.</w:t>
      </w:r>
    </w:p>
    <w:p w14:paraId="36AE3756" w14:textId="77777777" w:rsidR="00D53B7D" w:rsidRDefault="00D53B7D" w:rsidP="00BF39B2">
      <w:pPr>
        <w:pStyle w:val="1"/>
        <w:rPr>
          <w:rtl/>
        </w:rPr>
      </w:pPr>
      <w:bookmarkStart w:id="12936" w:name="_Toc532982438"/>
      <w:bookmarkStart w:id="12937" w:name="_Toc532982596"/>
      <w:bookmarkStart w:id="12938" w:name="_Toc19390706"/>
      <w:bookmarkStart w:id="12939" w:name="_Toc19394203"/>
      <w:bookmarkStart w:id="12940" w:name="_Toc532550633"/>
      <w:bookmarkStart w:id="12941" w:name="_Toc532550699"/>
      <w:bookmarkStart w:id="12942" w:name="_Toc532810219"/>
      <w:bookmarkStart w:id="12943" w:name="_Toc532844816"/>
      <w:bookmarkStart w:id="12944" w:name="_Toc532849413"/>
      <w:bookmarkStart w:id="12945" w:name="_Toc532897032"/>
      <w:bookmarkStart w:id="12946" w:name="_Toc532901806"/>
      <w:bookmarkStart w:id="12947" w:name="_Toc532976771"/>
      <w:bookmarkStart w:id="12948" w:name="_Toc532202999"/>
      <w:bookmarkStart w:id="12949" w:name="_Toc532302160"/>
      <w:bookmarkStart w:id="12950" w:name="_Toc532453955"/>
      <w:bookmarkStart w:id="12951" w:name="_Toc532453989"/>
      <w:bookmarkEnd w:id="12717"/>
      <w:bookmarkEnd w:id="12718"/>
      <w:r>
        <w:rPr>
          <w:rFonts w:hint="cs"/>
          <w:rtl/>
        </w:rPr>
        <w:t>ביאור התפארת יעקב ברש"י בחילוק בין חצי קנה פגום להגרמה</w:t>
      </w:r>
      <w:bookmarkEnd w:id="12936"/>
      <w:bookmarkEnd w:id="12937"/>
      <w:bookmarkEnd w:id="12938"/>
      <w:bookmarkEnd w:id="12939"/>
    </w:p>
    <w:p w14:paraId="548DB742" w14:textId="77777777" w:rsidR="00D53B7D" w:rsidRDefault="00D53B7D" w:rsidP="006D6D32">
      <w:pPr>
        <w:pStyle w:val="a3"/>
        <w:rPr>
          <w:rtl/>
        </w:rPr>
      </w:pPr>
      <w:bookmarkStart w:id="12952" w:name="_Toc532982439"/>
      <w:bookmarkStart w:id="12953" w:name="_Toc532982597"/>
      <w:bookmarkStart w:id="12954" w:name="_Toc19390707"/>
      <w:bookmarkStart w:id="12955" w:name="_Toc19394204"/>
      <w:r>
        <w:rPr>
          <w:rFonts w:hint="cs"/>
          <w:rtl/>
        </w:rPr>
        <w:t>קושית התפארת יעקב דמסברא פגימה פוסלת יותר מהגרמה שהוא כחותך ברגלה</w:t>
      </w:r>
      <w:bookmarkEnd w:id="12952"/>
      <w:bookmarkEnd w:id="12953"/>
      <w:bookmarkEnd w:id="12954"/>
      <w:bookmarkEnd w:id="12955"/>
    </w:p>
    <w:p w14:paraId="5BBC30B9" w14:textId="77777777" w:rsidR="00D53B7D" w:rsidRDefault="00D53B7D" w:rsidP="00223668">
      <w:pPr>
        <w:pStyle w:val="a0"/>
        <w:rPr>
          <w:rtl/>
        </w:rPr>
      </w:pPr>
      <w:r>
        <w:rPr>
          <w:rFonts w:hint="cs"/>
          <w:rtl/>
        </w:rPr>
        <w:t xml:space="preserve">בדברי רבנן דחילקו בל"ב בין חצי קנה פגום דכשר כיון שהוא במקום שחיטה, להגרמה דפסולה כיון שאינה במקום שחיטה, הקשה </w:t>
      </w:r>
      <w:r w:rsidRPr="005E329B">
        <w:rPr>
          <w:rStyle w:val="af9"/>
          <w:rFonts w:hint="cs"/>
          <w:rtl/>
        </w:rPr>
        <w:t>התפארת יעקב</w:t>
      </w:r>
      <w:r>
        <w:rPr>
          <w:rFonts w:hint="cs"/>
          <w:rtl/>
        </w:rPr>
        <w:t xml:space="preserve"> </w:t>
      </w:r>
      <w:r w:rsidRPr="005E329B">
        <w:rPr>
          <w:rStyle w:val="af7"/>
          <w:rFonts w:eastAsia="Guttman Hodes" w:hint="cs"/>
          <w:rtl/>
        </w:rPr>
        <w:t>(ד"ה התם)</w:t>
      </w:r>
      <w:r>
        <w:rPr>
          <w:rFonts w:hint="cs"/>
          <w:rtl/>
        </w:rPr>
        <w:t xml:space="preserve"> דמסברא משמע להיפך דפגימה במקום שחיטה פוסלת יותר, מהגרמה שאינה במקום שחיטה, דהא כתב </w:t>
      </w:r>
      <w:r w:rsidRPr="005E329B">
        <w:rPr>
          <w:rStyle w:val="af9"/>
          <w:rFonts w:hint="cs"/>
          <w:rtl/>
        </w:rPr>
        <w:t>הרא"ש</w:t>
      </w:r>
      <w:r w:rsidRPr="005E329B">
        <w:rPr>
          <w:rStyle w:val="af7"/>
          <w:rFonts w:eastAsia="Guttman Hodes" w:hint="cs"/>
          <w:rtl/>
        </w:rPr>
        <w:t xml:space="preserve"> (עי'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Ref532982567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לג)</w:t>
      </w:r>
      <w:r>
        <w:rPr>
          <w:rStyle w:val="af7"/>
          <w:rFonts w:eastAsia="Guttman Hodes"/>
          <w:rtl/>
        </w:rPr>
        <w:fldChar w:fldCharType="end"/>
      </w:r>
      <w:r w:rsidRPr="005E329B">
        <w:rPr>
          <w:rStyle w:val="af7"/>
          <w:rFonts w:eastAsia="Guttman Hodes" w:hint="cs"/>
          <w:rtl/>
        </w:rPr>
        <w:t xml:space="preserve"> </w:t>
      </w:r>
      <w:r>
        <w:rPr>
          <w:rFonts w:hint="cs"/>
          <w:rtl/>
        </w:rPr>
        <w:t xml:space="preserve">דהגרמה בשליש האחרון הוא כחותך ברגלה, וכמקום שאינה </w:t>
      </w:r>
      <w:r w:rsidRPr="00D61220">
        <w:rPr>
          <w:rFonts w:hint="cs"/>
          <w:rtl/>
        </w:rPr>
        <w:t>נטרפת בו.</w:t>
      </w:r>
    </w:p>
    <w:p w14:paraId="5DA60990" w14:textId="77777777" w:rsidR="00D53B7D" w:rsidRPr="00530C9C" w:rsidRDefault="00D53B7D" w:rsidP="006D6D32">
      <w:pPr>
        <w:pStyle w:val="a3"/>
        <w:rPr>
          <w:rtl/>
        </w:rPr>
      </w:pPr>
      <w:bookmarkStart w:id="12956" w:name="_Toc532982440"/>
      <w:bookmarkStart w:id="12957" w:name="_Toc532982598"/>
      <w:bookmarkStart w:id="12958" w:name="_Toc19390708"/>
      <w:bookmarkStart w:id="12959" w:name="_Toc19394205"/>
      <w:r>
        <w:rPr>
          <w:rFonts w:hint="cs"/>
          <w:rtl/>
        </w:rPr>
        <w:t>דברי התפארת יעקב דבחצי קנה פגום ע"י שהוסיף כל שהוא נפתח רוב הקנה במקום שחיטה</w:t>
      </w:r>
      <w:bookmarkEnd w:id="12956"/>
      <w:bookmarkEnd w:id="12957"/>
      <w:bookmarkEnd w:id="12958"/>
      <w:bookmarkEnd w:id="12959"/>
    </w:p>
    <w:p w14:paraId="45C9C9C8" w14:textId="77777777" w:rsidR="00D53B7D" w:rsidRDefault="00D53B7D" w:rsidP="00223668">
      <w:pPr>
        <w:pStyle w:val="a0"/>
        <w:rPr>
          <w:rtl/>
        </w:rPr>
      </w:pPr>
      <w:bookmarkStart w:id="12960" w:name="_Ref532978702"/>
      <w:r>
        <w:rPr>
          <w:rFonts w:hint="cs"/>
          <w:rtl/>
        </w:rPr>
        <w:t xml:space="preserve">וביאר </w:t>
      </w:r>
      <w:r w:rsidRPr="005E329B">
        <w:rPr>
          <w:rStyle w:val="af9"/>
          <w:rFonts w:hint="cs"/>
          <w:rtl/>
        </w:rPr>
        <w:t>התפארת יעקב</w:t>
      </w:r>
      <w:r>
        <w:rPr>
          <w:rFonts w:hint="cs"/>
          <w:rtl/>
        </w:rPr>
        <w:t xml:space="preserve"> דאף בחצי קנה פגום צריך שיציאת החיות תהיה במקום שחיטה, אלא דהפגימה אינה פוסלת כלל, דעדיין חשיב הקנה כשלם כדכתב </w:t>
      </w:r>
      <w:r w:rsidRPr="005E329B">
        <w:rPr>
          <w:rStyle w:val="af9"/>
          <w:rFonts w:hint="cs"/>
          <w:rtl/>
        </w:rPr>
        <w:t>רש"י</w:t>
      </w:r>
      <w:r>
        <w:rPr>
          <w:rFonts w:hint="cs"/>
          <w:rtl/>
        </w:rPr>
        <w:t xml:space="preserve"> </w:t>
      </w:r>
      <w:r w:rsidRPr="005E329B">
        <w:rPr>
          <w:rStyle w:val="af7"/>
          <w:rFonts w:eastAsia="Guttman Hodes" w:hint="cs"/>
          <w:rtl/>
        </w:rPr>
        <w:t xml:space="preserve">(עי' אות </w:t>
      </w:r>
      <w:r w:rsidRPr="005E329B">
        <w:rPr>
          <w:rStyle w:val="af7"/>
          <w:rFonts w:eastAsia="Guttman Hodes"/>
          <w:rtl/>
        </w:rPr>
        <w:fldChar w:fldCharType="begin"/>
      </w:r>
      <w:r w:rsidRPr="005E329B">
        <w:rPr>
          <w:rStyle w:val="af7"/>
          <w:rFonts w:eastAsia="Guttman Hodes"/>
          <w:rtl/>
        </w:rPr>
        <w:instrText xml:space="preserve"> </w:instrText>
      </w:r>
      <w:r w:rsidRPr="005E329B">
        <w:rPr>
          <w:rStyle w:val="af7"/>
          <w:rFonts w:eastAsia="Guttman Hodes" w:hint="cs"/>
        </w:rPr>
        <w:instrText>REF</w:instrText>
      </w:r>
      <w:r w:rsidRPr="005E329B">
        <w:rPr>
          <w:rStyle w:val="af7"/>
          <w:rFonts w:eastAsia="Guttman Hodes" w:hint="cs"/>
          <w:rtl/>
        </w:rPr>
        <w:instrText xml:space="preserve"> _</w:instrText>
      </w:r>
      <w:r w:rsidRPr="005E329B">
        <w:rPr>
          <w:rStyle w:val="af7"/>
          <w:rFonts w:eastAsia="Guttman Hodes" w:hint="cs"/>
        </w:rPr>
        <w:instrText>Ref532978432 \r \h</w:instrText>
      </w:r>
      <w:r w:rsidRPr="005E329B">
        <w:rPr>
          <w:rStyle w:val="af7"/>
          <w:rFonts w:eastAsia="Guttman Hodes"/>
          <w:rtl/>
        </w:rPr>
        <w:instrText xml:space="preserve"> </w:instrText>
      </w:r>
      <w:r w:rsidRPr="005E329B">
        <w:rPr>
          <w:rStyle w:val="af7"/>
          <w:rFonts w:eastAsia="Guttman Hodes"/>
          <w:rtl/>
        </w:rPr>
      </w:r>
      <w:r w:rsidRPr="005E329B">
        <w:rPr>
          <w:rStyle w:val="af7"/>
          <w:rFonts w:eastAsia="Guttman Hodes"/>
          <w:rtl/>
        </w:rPr>
        <w:fldChar w:fldCharType="separate"/>
      </w:r>
      <w:r w:rsidR="00345400">
        <w:rPr>
          <w:rStyle w:val="af7"/>
          <w:rFonts w:eastAsia="Guttman Hodes"/>
          <w:cs/>
        </w:rPr>
        <w:t>‎</w:t>
      </w:r>
      <w:r w:rsidR="00345400">
        <w:rPr>
          <w:rStyle w:val="af7"/>
          <w:rFonts w:eastAsia="Guttman Hodes"/>
          <w:rtl/>
        </w:rPr>
        <w:t>טו)</w:t>
      </w:r>
      <w:r w:rsidRPr="005E329B">
        <w:rPr>
          <w:rStyle w:val="af7"/>
          <w:rFonts w:eastAsia="Guttman Hodes"/>
          <w:rtl/>
        </w:rPr>
        <w:fldChar w:fldCharType="end"/>
      </w:r>
      <w:r>
        <w:rPr>
          <w:rFonts w:hint="cs"/>
          <w:rtl/>
        </w:rPr>
        <w:t>, ולכן כשהוסיף כל שהוא בשחיטה כשר, דע"י הכל שהוא ששחט נפתח רוב הקנה, וחשיב שרובו נפתח בשחיטה ובמקום שחיטה, וכאילו נשחט כולו בהכשר.</w:t>
      </w:r>
      <w:bookmarkEnd w:id="12960"/>
    </w:p>
    <w:p w14:paraId="694EC9C8" w14:textId="77777777" w:rsidR="00D53B7D" w:rsidRDefault="00D53B7D" w:rsidP="006D6D32">
      <w:pPr>
        <w:pStyle w:val="a3"/>
        <w:rPr>
          <w:rtl/>
        </w:rPr>
      </w:pPr>
      <w:bookmarkStart w:id="12961" w:name="_Toc532982441"/>
      <w:bookmarkStart w:id="12962" w:name="_Toc532982599"/>
      <w:bookmarkStart w:id="12963" w:name="_Toc19390709"/>
      <w:bookmarkStart w:id="12964" w:name="_Toc19394206"/>
      <w:r>
        <w:rPr>
          <w:rFonts w:hint="cs"/>
          <w:rtl/>
        </w:rPr>
        <w:t>דברי התפארת יעקב דבהגרים שליש ושחט ב' שלישים נפתח הרוב גם ע"י ההגרמה ופסלי רבנן</w:t>
      </w:r>
      <w:bookmarkEnd w:id="12961"/>
      <w:bookmarkEnd w:id="12962"/>
      <w:bookmarkEnd w:id="12963"/>
      <w:bookmarkEnd w:id="12964"/>
    </w:p>
    <w:p w14:paraId="0E9FEC7B" w14:textId="77777777" w:rsidR="00D53B7D" w:rsidRDefault="00D53B7D" w:rsidP="00223668">
      <w:pPr>
        <w:pStyle w:val="a0"/>
        <w:rPr>
          <w:rtl/>
        </w:rPr>
      </w:pPr>
      <w:r>
        <w:rPr>
          <w:rFonts w:hint="cs"/>
          <w:rtl/>
        </w:rPr>
        <w:t>אבל בהגרים שליש ושחט ב' שלישים,</w:t>
      </w:r>
      <w:r w:rsidRPr="005E329B">
        <w:rPr>
          <w:rFonts w:hint="cs"/>
          <w:rtl/>
        </w:rPr>
        <w:t xml:space="preserve"> </w:t>
      </w:r>
      <w:r>
        <w:rPr>
          <w:rFonts w:hint="cs"/>
          <w:rtl/>
        </w:rPr>
        <w:t xml:space="preserve">ביאר </w:t>
      </w:r>
      <w:r w:rsidRPr="00BC53C2">
        <w:rPr>
          <w:rStyle w:val="af9"/>
          <w:rFonts w:hint="cs"/>
          <w:rtl/>
        </w:rPr>
        <w:t>התפארת יעקב</w:t>
      </w:r>
      <w:r>
        <w:rPr>
          <w:rFonts w:hint="cs"/>
          <w:rtl/>
        </w:rPr>
        <w:t xml:space="preserve"> דכיון שהשליש של ההגרמה אינו במקום שחיטה, א"כ יצאה החיות ברוב הסימן גם שלא במקום שחיטה, ע"י השליש המוגרם, ולא מהני מה שהשלים את רוב הסימן בשחיטה וחשיב שרוב הקנה נפתח בשחיטה, דהא נפתח הקנה גם בהגרמה שלא במקום שחיטה, דבהגרמה אין הסימן כשלם, ולכן פסלי רבנן לל"ב.</w:t>
      </w:r>
    </w:p>
    <w:p w14:paraId="283FD099" w14:textId="77777777" w:rsidR="00D53B7D" w:rsidRPr="003719E2" w:rsidRDefault="00D53B7D" w:rsidP="006D6D32">
      <w:pPr>
        <w:pStyle w:val="a3"/>
        <w:rPr>
          <w:rtl/>
        </w:rPr>
      </w:pPr>
      <w:bookmarkStart w:id="12965" w:name="_Toc532982442"/>
      <w:bookmarkStart w:id="12966" w:name="_Toc532982600"/>
      <w:bookmarkStart w:id="12967" w:name="_Toc19390710"/>
      <w:bookmarkStart w:id="12968" w:name="_Toc19394207"/>
      <w:r>
        <w:rPr>
          <w:rFonts w:hint="cs"/>
          <w:rtl/>
        </w:rPr>
        <w:t>קושית התפארת יעקב היאך הכשיר ריבר"ע"י שחיטת הב' שלישים הא נפתח הקנה בהגרמה</w:t>
      </w:r>
      <w:bookmarkEnd w:id="12965"/>
      <w:bookmarkEnd w:id="12966"/>
      <w:bookmarkEnd w:id="12967"/>
      <w:bookmarkEnd w:id="12968"/>
    </w:p>
    <w:p w14:paraId="333253FA" w14:textId="77777777" w:rsidR="00D53B7D" w:rsidRDefault="00D53B7D" w:rsidP="00223668">
      <w:pPr>
        <w:pStyle w:val="a0"/>
        <w:rPr>
          <w:rtl/>
        </w:rPr>
      </w:pPr>
      <w:bookmarkStart w:id="12969" w:name="_Ref532978754"/>
      <w:r>
        <w:rPr>
          <w:rFonts w:hint="cs"/>
          <w:rtl/>
        </w:rPr>
        <w:t xml:space="preserve">אך הקשה </w:t>
      </w:r>
      <w:r w:rsidRPr="005E329B">
        <w:rPr>
          <w:rStyle w:val="af9"/>
          <w:rFonts w:hint="cs"/>
          <w:rtl/>
        </w:rPr>
        <w:t>התפארת יעקב</w:t>
      </w:r>
      <w:r>
        <w:rPr>
          <w:rFonts w:hint="cs"/>
          <w:rtl/>
        </w:rPr>
        <w:t xml:space="preserve"> </w:t>
      </w:r>
      <w:r w:rsidRPr="00427B79">
        <w:rPr>
          <w:rStyle w:val="af7"/>
          <w:rFonts w:eastAsia="Guttman Hodes" w:hint="cs"/>
          <w:rtl/>
        </w:rPr>
        <w:t>(ד"ה אמנם)</w:t>
      </w:r>
      <w:r>
        <w:rPr>
          <w:rFonts w:hint="cs"/>
          <w:rtl/>
        </w:rPr>
        <w:t xml:space="preserve"> דהיאך כתב </w:t>
      </w:r>
      <w:r w:rsidRPr="005E329B">
        <w:rPr>
          <w:rStyle w:val="af9"/>
          <w:rFonts w:hint="cs"/>
          <w:rtl/>
        </w:rPr>
        <w:t>רש"י</w:t>
      </w:r>
      <w:r>
        <w:rPr>
          <w:rFonts w:hint="cs"/>
          <w:rtl/>
        </w:rPr>
        <w:t xml:space="preserve"> </w:t>
      </w:r>
      <w:r w:rsidRPr="00B44DCB">
        <w:rPr>
          <w:rStyle w:val="af7"/>
          <w:rFonts w:eastAsia="Guttman Hodes" w:hint="cs"/>
          <w:rtl/>
        </w:rPr>
        <w:t xml:space="preserve">(עי' אות </w:t>
      </w:r>
      <w:r w:rsidRPr="00B44DCB">
        <w:rPr>
          <w:rStyle w:val="af7"/>
          <w:rFonts w:eastAsia="Guttman Hodes"/>
          <w:rtl/>
        </w:rPr>
        <w:fldChar w:fldCharType="begin"/>
      </w:r>
      <w:r w:rsidRPr="00B44DCB">
        <w:rPr>
          <w:rStyle w:val="af7"/>
          <w:rFonts w:eastAsia="Guttman Hodes"/>
          <w:rtl/>
        </w:rPr>
        <w:instrText xml:space="preserve"> </w:instrText>
      </w:r>
      <w:r w:rsidRPr="00B44DCB">
        <w:rPr>
          <w:rStyle w:val="af7"/>
          <w:rFonts w:eastAsia="Guttman Hodes" w:hint="cs"/>
        </w:rPr>
        <w:instrText>REF</w:instrText>
      </w:r>
      <w:r w:rsidRPr="00B44DCB">
        <w:rPr>
          <w:rStyle w:val="af7"/>
          <w:rFonts w:eastAsia="Guttman Hodes" w:hint="cs"/>
          <w:rtl/>
        </w:rPr>
        <w:instrText xml:space="preserve"> _</w:instrText>
      </w:r>
      <w:r w:rsidRPr="00B44DCB">
        <w:rPr>
          <w:rStyle w:val="af7"/>
          <w:rFonts w:eastAsia="Guttman Hodes" w:hint="cs"/>
        </w:rPr>
        <w:instrText>Ref532404612 \r \h</w:instrText>
      </w:r>
      <w:r w:rsidRPr="00B44DCB">
        <w:rPr>
          <w:rStyle w:val="af7"/>
          <w:rFonts w:eastAsia="Guttman Hodes"/>
          <w:rtl/>
        </w:rPr>
        <w:instrText xml:space="preserve"> </w:instrText>
      </w:r>
      <w:r w:rsidRPr="00B44DCB">
        <w:rPr>
          <w:rStyle w:val="af7"/>
          <w:rFonts w:eastAsia="Guttman Hodes"/>
          <w:rtl/>
        </w:rPr>
      </w:r>
      <w:r w:rsidRPr="00B44DCB">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B44DCB">
        <w:rPr>
          <w:rStyle w:val="af7"/>
          <w:rFonts w:eastAsia="Guttman Hodes"/>
          <w:rtl/>
        </w:rPr>
        <w:fldChar w:fldCharType="end"/>
      </w:r>
      <w:r>
        <w:rPr>
          <w:rFonts w:hint="cs"/>
          <w:rtl/>
        </w:rPr>
        <w:t xml:space="preserve"> דלריבר"י בחצי קנה פגום הפגימה מצטרפת לשחיטה, ואילו ההגרמה אינה מצטרפת, הא מסברא הפגימה גרועה יותר מהגרמה, דכיון שהיא לא נעשית ע"י שחיטה כלל, ואי נימא </w:t>
      </w:r>
      <w:r w:rsidRPr="00B44DCB">
        <w:rPr>
          <w:rStyle w:val="afb"/>
          <w:rFonts w:hint="cs"/>
          <w:rtl/>
        </w:rPr>
        <w:t xml:space="preserve">[כדביאר </w:t>
      </w:r>
      <w:r w:rsidRPr="00B44DCB">
        <w:rPr>
          <w:rStyle w:val="affa"/>
          <w:rFonts w:hint="cs"/>
          <w:rtl/>
        </w:rPr>
        <w:t xml:space="preserve">התפארת יעקב </w:t>
      </w:r>
      <w:r w:rsidRPr="00B44DCB">
        <w:rPr>
          <w:rStyle w:val="aff6"/>
          <w:rFonts w:hint="cs"/>
          <w:rtl/>
        </w:rPr>
        <w:t xml:space="preserve">(עי' אות </w:t>
      </w:r>
      <w:r w:rsidRPr="00B44DCB">
        <w:rPr>
          <w:rStyle w:val="aff6"/>
          <w:rtl/>
        </w:rPr>
        <w:fldChar w:fldCharType="begin"/>
      </w:r>
      <w:r w:rsidRPr="00B44DCB">
        <w:rPr>
          <w:rStyle w:val="aff6"/>
          <w:rtl/>
        </w:rPr>
        <w:instrText xml:space="preserve"> </w:instrText>
      </w:r>
      <w:r w:rsidRPr="00B44DCB">
        <w:rPr>
          <w:rStyle w:val="aff6"/>
          <w:rFonts w:hint="cs"/>
        </w:rPr>
        <w:instrText>REF</w:instrText>
      </w:r>
      <w:r w:rsidRPr="00B44DCB">
        <w:rPr>
          <w:rStyle w:val="aff6"/>
          <w:rFonts w:hint="cs"/>
          <w:rtl/>
        </w:rPr>
        <w:instrText xml:space="preserve"> _</w:instrText>
      </w:r>
      <w:r w:rsidRPr="00B44DCB">
        <w:rPr>
          <w:rStyle w:val="aff6"/>
          <w:rFonts w:hint="cs"/>
        </w:rPr>
        <w:instrText>Ref532978702 \r \h</w:instrText>
      </w:r>
      <w:r w:rsidRPr="00B44DCB">
        <w:rPr>
          <w:rStyle w:val="aff6"/>
          <w:rtl/>
        </w:rPr>
        <w:instrText xml:space="preserve"> </w:instrText>
      </w:r>
      <w:r w:rsidRPr="00B44DCB">
        <w:rPr>
          <w:rStyle w:val="aff6"/>
          <w:rtl/>
        </w:rPr>
      </w:r>
      <w:r w:rsidRPr="00B44DCB">
        <w:rPr>
          <w:rStyle w:val="aff6"/>
          <w:rtl/>
        </w:rPr>
        <w:fldChar w:fldCharType="separate"/>
      </w:r>
      <w:r w:rsidR="00345400">
        <w:rPr>
          <w:rStyle w:val="aff6"/>
          <w:cs/>
        </w:rPr>
        <w:t>‎</w:t>
      </w:r>
      <w:r w:rsidR="00345400">
        <w:rPr>
          <w:rStyle w:val="aff6"/>
          <w:rtl/>
        </w:rPr>
        <w:t>יט)</w:t>
      </w:r>
      <w:r w:rsidRPr="00B44DCB">
        <w:rPr>
          <w:rStyle w:val="aff6"/>
          <w:rtl/>
        </w:rPr>
        <w:fldChar w:fldCharType="end"/>
      </w:r>
      <w:r w:rsidRPr="00B44DCB">
        <w:rPr>
          <w:rStyle w:val="afb"/>
          <w:rFonts w:hint="cs"/>
          <w:rtl/>
        </w:rPr>
        <w:t xml:space="preserve"> בדעת רבנן]</w:t>
      </w:r>
      <w:r>
        <w:rPr>
          <w:rFonts w:hint="cs"/>
          <w:rtl/>
        </w:rPr>
        <w:t xml:space="preserve"> דבפגימה חשיב הקנה כשלם, כדכתב </w:t>
      </w:r>
      <w:r w:rsidRPr="005E329B">
        <w:rPr>
          <w:rStyle w:val="af9"/>
          <w:rFonts w:hint="cs"/>
          <w:rtl/>
        </w:rPr>
        <w:t>רש"י</w:t>
      </w:r>
      <w:r>
        <w:rPr>
          <w:rFonts w:hint="cs"/>
          <w:rtl/>
        </w:rPr>
        <w:t xml:space="preserve"> </w:t>
      </w:r>
      <w:r w:rsidRPr="00B44DCB">
        <w:rPr>
          <w:rStyle w:val="af7"/>
          <w:rFonts w:eastAsia="Guttman Hodes" w:hint="cs"/>
          <w:rtl/>
        </w:rPr>
        <w:t xml:space="preserve">(עי' אות </w:t>
      </w:r>
      <w:r w:rsidRPr="00B44DCB">
        <w:rPr>
          <w:rStyle w:val="af7"/>
          <w:rFonts w:eastAsia="Guttman Hodes"/>
          <w:rtl/>
        </w:rPr>
        <w:fldChar w:fldCharType="begin"/>
      </w:r>
      <w:r w:rsidRPr="00B44DCB">
        <w:rPr>
          <w:rStyle w:val="af7"/>
          <w:rFonts w:eastAsia="Guttman Hodes"/>
          <w:rtl/>
        </w:rPr>
        <w:instrText xml:space="preserve"> </w:instrText>
      </w:r>
      <w:r w:rsidRPr="00B44DCB">
        <w:rPr>
          <w:rStyle w:val="af7"/>
          <w:rFonts w:eastAsia="Guttman Hodes" w:hint="cs"/>
        </w:rPr>
        <w:instrText>REF</w:instrText>
      </w:r>
      <w:r w:rsidRPr="00B44DCB">
        <w:rPr>
          <w:rStyle w:val="af7"/>
          <w:rFonts w:eastAsia="Guttman Hodes" w:hint="cs"/>
          <w:rtl/>
        </w:rPr>
        <w:instrText xml:space="preserve"> _</w:instrText>
      </w:r>
      <w:r w:rsidRPr="00B44DCB">
        <w:rPr>
          <w:rStyle w:val="af7"/>
          <w:rFonts w:eastAsia="Guttman Hodes" w:hint="cs"/>
        </w:rPr>
        <w:instrText>Ref532978432 \r \h</w:instrText>
      </w:r>
      <w:r w:rsidRPr="00B44DCB">
        <w:rPr>
          <w:rStyle w:val="af7"/>
          <w:rFonts w:eastAsia="Guttman Hodes"/>
          <w:rtl/>
        </w:rPr>
        <w:instrText xml:space="preserve"> </w:instrText>
      </w:r>
      <w:r w:rsidRPr="00B44DCB">
        <w:rPr>
          <w:rStyle w:val="af7"/>
          <w:rFonts w:eastAsia="Guttman Hodes"/>
          <w:rtl/>
        </w:rPr>
      </w:r>
      <w:r w:rsidRPr="00B44DCB">
        <w:rPr>
          <w:rStyle w:val="af7"/>
          <w:rFonts w:eastAsia="Guttman Hodes"/>
          <w:rtl/>
        </w:rPr>
        <w:fldChar w:fldCharType="separate"/>
      </w:r>
      <w:r w:rsidR="00345400">
        <w:rPr>
          <w:rStyle w:val="af7"/>
          <w:rFonts w:eastAsia="Guttman Hodes"/>
          <w:cs/>
        </w:rPr>
        <w:t>‎</w:t>
      </w:r>
      <w:r w:rsidR="00345400">
        <w:rPr>
          <w:rStyle w:val="af7"/>
          <w:rFonts w:eastAsia="Guttman Hodes"/>
          <w:rtl/>
        </w:rPr>
        <w:t>טו)</w:t>
      </w:r>
      <w:r w:rsidRPr="00B44DCB">
        <w:rPr>
          <w:rStyle w:val="af7"/>
          <w:rFonts w:eastAsia="Guttman Hodes"/>
          <w:rtl/>
        </w:rPr>
        <w:fldChar w:fldCharType="end"/>
      </w:r>
      <w:r>
        <w:rPr>
          <w:rFonts w:hint="cs"/>
          <w:rtl/>
        </w:rPr>
        <w:t>, וע"י שהוסיף כל שהוא בשחיטה נפתח כולו, ואילו בהגרמה  דאינו כשלם, חשיב שנפתח הקנה גם ע"י הגרמה, א"כ היאך הכשיר ריבר"י בל"ב בהגרים שליש ושחט ב' שלישים, דמה מועיל השליש האחרון אחר שנפסלה השחיטה כשיצאה החיות בהגרמה, ואי נימא דהחיות יוצאת רק בשליש האמצעי, א"כ אף בהגרים שליש ושחט משהו כשר, וא"צ להוסיף ב' שלישים בשחיטה.</w:t>
      </w:r>
      <w:bookmarkEnd w:id="12969"/>
    </w:p>
    <w:p w14:paraId="2CCC61DB" w14:textId="77777777" w:rsidR="00D53B7D" w:rsidRDefault="00D53B7D" w:rsidP="006D6D32">
      <w:pPr>
        <w:pStyle w:val="a3"/>
        <w:rPr>
          <w:rtl/>
        </w:rPr>
      </w:pPr>
      <w:bookmarkStart w:id="12970" w:name="_Toc532982443"/>
      <w:bookmarkStart w:id="12971" w:name="_Toc532982601"/>
      <w:bookmarkStart w:id="12972" w:name="_Toc19390711"/>
      <w:bookmarkStart w:id="12973" w:name="_Toc19394208"/>
      <w:r>
        <w:rPr>
          <w:rFonts w:hint="cs"/>
          <w:rtl/>
        </w:rPr>
        <w:t>דברי התפארת יעקב דבחצי קנה הראשון אין הלכות שחיטה וכל שנפתח ברוב במקום שחיטה כשר</w:t>
      </w:r>
      <w:bookmarkEnd w:id="12970"/>
      <w:bookmarkEnd w:id="12971"/>
      <w:bookmarkEnd w:id="12972"/>
      <w:bookmarkEnd w:id="12973"/>
    </w:p>
    <w:p w14:paraId="37D2E5B3" w14:textId="77777777" w:rsidR="00D53B7D" w:rsidRDefault="00D53B7D" w:rsidP="00223668">
      <w:pPr>
        <w:pStyle w:val="a0"/>
        <w:rPr>
          <w:rtl/>
        </w:rPr>
      </w:pPr>
      <w:r>
        <w:rPr>
          <w:rFonts w:hint="cs"/>
          <w:rtl/>
        </w:rPr>
        <w:t xml:space="preserve">ותירץ </w:t>
      </w:r>
      <w:r w:rsidRPr="00BC53C2">
        <w:rPr>
          <w:rStyle w:val="af9"/>
          <w:rFonts w:hint="cs"/>
          <w:rtl/>
        </w:rPr>
        <w:t>התפארת יעקב</w:t>
      </w:r>
      <w:r>
        <w:rPr>
          <w:rFonts w:hint="cs"/>
          <w:rtl/>
        </w:rPr>
        <w:t xml:space="preserve"> </w:t>
      </w:r>
      <w:r w:rsidRPr="00BC53C2">
        <w:rPr>
          <w:rStyle w:val="af7"/>
          <w:rFonts w:eastAsia="Guttman Hodes" w:hint="cs"/>
          <w:rtl/>
        </w:rPr>
        <w:t>(ד"ה ונראה לי)</w:t>
      </w:r>
      <w:r>
        <w:rPr>
          <w:rFonts w:hint="cs"/>
          <w:rtl/>
        </w:rPr>
        <w:t xml:space="preserve"> דלריבר"י עיקר השחיטה היא שיפתחו רוב הסימנים בהכשר שחיטה, וזהו דוקא במקום יציאת החיות, אבל בחצי הראשון של הקנה שלא נגמר בו הרוב לא נאמרו הלכות שחיטה כלל, ולכן בחצי קנה פגום כיון שהרוב נגמר בשחיטה, ונפתח ע"י השליש האמצעי רוב הסימן במקום שחיטה כשר.</w:t>
      </w:r>
    </w:p>
    <w:p w14:paraId="30C2E762" w14:textId="77777777" w:rsidR="00D53B7D" w:rsidRPr="00B84A2C" w:rsidRDefault="00D53B7D" w:rsidP="006D6D32">
      <w:pPr>
        <w:pStyle w:val="a3"/>
        <w:rPr>
          <w:rtl/>
        </w:rPr>
      </w:pPr>
      <w:bookmarkStart w:id="12974" w:name="_Toc532982444"/>
      <w:bookmarkStart w:id="12975" w:name="_Toc532982602"/>
      <w:bookmarkStart w:id="12976" w:name="_Toc19390712"/>
      <w:bookmarkStart w:id="12977" w:name="_Toc19394209"/>
      <w:r>
        <w:rPr>
          <w:rFonts w:hint="cs"/>
          <w:rtl/>
        </w:rPr>
        <w:t>ביאור התפארת יעקב דבהגרים חצי סימן והשלים בשחיטה אין רוב הסימן פתוח במקום שחיטה</w:t>
      </w:r>
      <w:bookmarkEnd w:id="12974"/>
      <w:bookmarkEnd w:id="12975"/>
      <w:bookmarkEnd w:id="12976"/>
      <w:bookmarkEnd w:id="12977"/>
    </w:p>
    <w:p w14:paraId="40336EE5" w14:textId="77777777" w:rsidR="00D53B7D" w:rsidRPr="008A1597" w:rsidRDefault="00D53B7D" w:rsidP="00223668">
      <w:pPr>
        <w:pStyle w:val="a0"/>
        <w:rPr>
          <w:rtl/>
        </w:rPr>
      </w:pPr>
      <w:r>
        <w:rPr>
          <w:rFonts w:hint="cs"/>
          <w:rtl/>
        </w:rPr>
        <w:t xml:space="preserve">אבל בהגרים חצי סימן והוסיף משהו בשחיטה, ביאר </w:t>
      </w:r>
      <w:r w:rsidRPr="00BC53C2">
        <w:rPr>
          <w:rStyle w:val="af9"/>
          <w:rFonts w:hint="cs"/>
          <w:rtl/>
        </w:rPr>
        <w:t>התפארת יעקב</w:t>
      </w:r>
      <w:r>
        <w:rPr>
          <w:rFonts w:hint="cs"/>
          <w:rtl/>
        </w:rPr>
        <w:t xml:space="preserve"> דכיון שרוב הקנה אינו פתוח במקום שחיטה, ולכן אף דכשהגרים בשליש הראשון חשיב כחותך ברגלה, מ"מ אין רוב הסימן פתוח במקום שחיטה, אבל בהגרים שליש ושחט ב' שלישים, דהשליש הראשון של ההגרמה אינו פוסל כלל, דהוא כחתך ברגלה וחשיב שהקנה שלם, ורוב הסימן פתוח במקום השחיטה, ולא דמי לחצי קנה פגום, דע"י שהוסיף משהו בשחיטה, נפתח רוב הקנה במקום שחיטה.</w:t>
      </w:r>
    </w:p>
    <w:p w14:paraId="10322E4C" w14:textId="77777777" w:rsidR="00D53B7D" w:rsidRDefault="00D53B7D" w:rsidP="00BF39B2">
      <w:pPr>
        <w:pStyle w:val="1"/>
        <w:rPr>
          <w:rtl/>
        </w:rPr>
      </w:pPr>
      <w:bookmarkStart w:id="12978" w:name="_Toc532982445"/>
      <w:bookmarkStart w:id="12979" w:name="_Toc532982603"/>
      <w:bookmarkStart w:id="12980" w:name="_Toc19390713"/>
      <w:bookmarkStart w:id="12981" w:name="_Toc19394210"/>
      <w:r>
        <w:rPr>
          <w:rFonts w:hint="cs"/>
          <w:rtl/>
        </w:rPr>
        <w:t>ביאור הרא"ה דלרבנן ההגרמה</w:t>
      </w:r>
      <w:bookmarkEnd w:id="12940"/>
      <w:bookmarkEnd w:id="12941"/>
      <w:bookmarkEnd w:id="12942"/>
      <w:bookmarkEnd w:id="12943"/>
      <w:r>
        <w:rPr>
          <w:rFonts w:hint="cs"/>
          <w:rtl/>
        </w:rPr>
        <w:t xml:space="preserve"> אינה מצטרפת לשחיטה</w:t>
      </w:r>
      <w:bookmarkEnd w:id="12944"/>
      <w:bookmarkEnd w:id="12945"/>
      <w:bookmarkEnd w:id="12946"/>
      <w:bookmarkEnd w:id="12947"/>
      <w:bookmarkEnd w:id="12978"/>
      <w:bookmarkEnd w:id="12979"/>
      <w:bookmarkEnd w:id="12980"/>
      <w:bookmarkEnd w:id="12981"/>
    </w:p>
    <w:p w14:paraId="7026CAAF" w14:textId="77777777" w:rsidR="00D53B7D" w:rsidRDefault="00D53B7D" w:rsidP="006D6D32">
      <w:pPr>
        <w:pStyle w:val="a3"/>
        <w:rPr>
          <w:rtl/>
        </w:rPr>
      </w:pPr>
      <w:bookmarkStart w:id="12982" w:name="_Toc532550634"/>
      <w:bookmarkStart w:id="12983" w:name="_Toc532550700"/>
      <w:bookmarkStart w:id="12984" w:name="_Toc532810220"/>
      <w:bookmarkStart w:id="12985" w:name="_Toc532844817"/>
      <w:bookmarkStart w:id="12986" w:name="_Toc532849414"/>
      <w:bookmarkStart w:id="12987" w:name="_Toc532897033"/>
      <w:bookmarkStart w:id="12988" w:name="_Toc532901807"/>
      <w:bookmarkStart w:id="12989" w:name="_Toc532976772"/>
      <w:bookmarkStart w:id="12990" w:name="_Toc532982446"/>
      <w:bookmarkStart w:id="12991" w:name="_Toc532982604"/>
      <w:bookmarkStart w:id="12992" w:name="_Toc19390714"/>
      <w:bookmarkStart w:id="12993" w:name="_Toc19394211"/>
      <w:r>
        <w:rPr>
          <w:rFonts w:hint="cs"/>
          <w:rtl/>
        </w:rPr>
        <w:t>ביאור הרא"ה דלרבנן בחצי קנה פגום הפגם מצטרף לשחיטה אבל הגרמה אינה מצטרפת לשחיטה</w:t>
      </w:r>
      <w:bookmarkEnd w:id="12982"/>
      <w:bookmarkEnd w:id="12983"/>
      <w:bookmarkEnd w:id="12984"/>
      <w:bookmarkEnd w:id="12985"/>
      <w:bookmarkEnd w:id="12986"/>
      <w:bookmarkEnd w:id="12987"/>
      <w:bookmarkEnd w:id="12988"/>
      <w:bookmarkEnd w:id="12989"/>
      <w:bookmarkEnd w:id="12990"/>
      <w:bookmarkEnd w:id="12991"/>
      <w:bookmarkEnd w:id="12992"/>
      <w:bookmarkEnd w:id="12993"/>
    </w:p>
    <w:p w14:paraId="1B3A9ACE" w14:textId="77777777" w:rsidR="00D53B7D" w:rsidRDefault="00D53B7D" w:rsidP="00223668">
      <w:pPr>
        <w:pStyle w:val="a0"/>
        <w:rPr>
          <w:rtl/>
        </w:rPr>
      </w:pPr>
      <w:r>
        <w:rPr>
          <w:rStyle w:val="af9"/>
          <w:rFonts w:hint="cs"/>
          <w:rtl/>
        </w:rPr>
        <w:t>ו</w:t>
      </w:r>
      <w:r w:rsidRPr="00E30BAC">
        <w:rPr>
          <w:rStyle w:val="af9"/>
          <w:rFonts w:hint="cs"/>
          <w:rtl/>
        </w:rPr>
        <w:t>השיטמ"ק</w:t>
      </w:r>
      <w:r>
        <w:rPr>
          <w:rFonts w:hint="cs"/>
          <w:rtl/>
        </w:rPr>
        <w:t xml:space="preserve"> </w:t>
      </w:r>
      <w:r w:rsidRPr="00232995">
        <w:rPr>
          <w:rStyle w:val="af7"/>
          <w:rFonts w:eastAsia="Guttman Hodes" w:hint="cs"/>
          <w:rtl/>
        </w:rPr>
        <w:t>(ד"ה וכתב הרא"ה</w:t>
      </w:r>
      <w:r w:rsidRPr="00E30BAC">
        <w:rPr>
          <w:rStyle w:val="af7"/>
          <w:rFonts w:eastAsia="Guttman Hodes" w:hint="cs"/>
          <w:rtl/>
        </w:rPr>
        <w:t>)</w:t>
      </w:r>
      <w:r>
        <w:rPr>
          <w:rFonts w:hint="cs"/>
          <w:rtl/>
        </w:rPr>
        <w:t xml:space="preserve"> בשם </w:t>
      </w:r>
      <w:r w:rsidRPr="00E30BAC">
        <w:rPr>
          <w:rStyle w:val="af9"/>
          <w:rFonts w:hint="cs"/>
          <w:rtl/>
        </w:rPr>
        <w:t>הרא"ה</w:t>
      </w:r>
      <w:r>
        <w:rPr>
          <w:rFonts w:hint="cs"/>
          <w:rtl/>
        </w:rPr>
        <w:t xml:space="preserve"> ביאר בדעת רבנן בל"ב, דבחצי קנה פגום כיון שהוא במקום שחיטה, הפגימה מצטרפת לשחיטה, וחשיב כאילו נשחטה הפגימה, ורוב הסימן שחוט, אבל בהגרמה שאינה במקום שחיטה, ואם היה שוחט שם היה פסול, א"כ כשממשיך לשחוט מהחתך של ההגרמה, ומשלים עי"ז את רוב הסימן, א"א לומר שיש רוב שחוט, דההגרמה אינה מצטרפת לשחיטה, וא"כ מתה הבהמה ע"י שחיטת מיעוט סימן, ולכן היא פסולה.</w:t>
      </w:r>
    </w:p>
    <w:p w14:paraId="325194CC" w14:textId="77777777" w:rsidR="00F1210D" w:rsidRDefault="00F1210D" w:rsidP="006D6D32">
      <w:pPr>
        <w:pStyle w:val="a3"/>
        <w:rPr>
          <w:rtl/>
        </w:rPr>
      </w:pPr>
      <w:bookmarkStart w:id="12994" w:name="_Toc532550635"/>
      <w:bookmarkStart w:id="12995" w:name="_Toc532550701"/>
      <w:bookmarkStart w:id="12996" w:name="_Toc532810221"/>
      <w:bookmarkStart w:id="12997" w:name="_Toc532844818"/>
      <w:bookmarkStart w:id="12998" w:name="_Toc532849415"/>
      <w:bookmarkStart w:id="12999" w:name="_Toc532897034"/>
      <w:bookmarkStart w:id="13000" w:name="_Toc532901808"/>
      <w:bookmarkStart w:id="13001" w:name="_Toc532976773"/>
      <w:bookmarkStart w:id="13002" w:name="_Toc532982447"/>
      <w:bookmarkStart w:id="13003" w:name="_Toc532982605"/>
    </w:p>
    <w:p w14:paraId="7EC62647" w14:textId="77777777" w:rsidR="00D53B7D" w:rsidRDefault="00D53B7D" w:rsidP="006D6D32">
      <w:pPr>
        <w:pStyle w:val="a3"/>
        <w:rPr>
          <w:rtl/>
        </w:rPr>
      </w:pPr>
      <w:bookmarkStart w:id="13004" w:name="_Toc19390715"/>
      <w:bookmarkStart w:id="13005" w:name="_Toc19394212"/>
      <w:r>
        <w:rPr>
          <w:rFonts w:hint="cs"/>
          <w:rtl/>
        </w:rPr>
        <w:t xml:space="preserve">דברי הרא"ה דבהגרים שליש ושחט במק"א ב' שלישים מכשרי רבנן </w:t>
      </w:r>
      <w:bookmarkEnd w:id="12994"/>
      <w:bookmarkEnd w:id="12995"/>
      <w:bookmarkEnd w:id="12996"/>
      <w:bookmarkEnd w:id="12997"/>
      <w:bookmarkEnd w:id="12998"/>
      <w:bookmarkEnd w:id="12999"/>
      <w:bookmarkEnd w:id="13000"/>
      <w:bookmarkEnd w:id="13001"/>
      <w:bookmarkEnd w:id="13002"/>
      <w:bookmarkEnd w:id="13003"/>
      <w:r>
        <w:rPr>
          <w:rFonts w:hint="cs"/>
          <w:rtl/>
        </w:rPr>
        <w:t>דההגרמה אינה פוסלת כנקב</w:t>
      </w:r>
      <w:bookmarkEnd w:id="13004"/>
      <w:bookmarkEnd w:id="13005"/>
    </w:p>
    <w:p w14:paraId="12B77FA3" w14:textId="77777777" w:rsidR="00D53B7D" w:rsidRPr="00AC566B" w:rsidRDefault="00D53B7D" w:rsidP="00223668">
      <w:pPr>
        <w:pStyle w:val="a0"/>
        <w:rPr>
          <w:rStyle w:val="afb"/>
          <w:rtl/>
        </w:rPr>
      </w:pPr>
      <w:r>
        <w:rPr>
          <w:rFonts w:hint="cs"/>
          <w:rtl/>
        </w:rPr>
        <w:t xml:space="preserve">אבל בהגרים שליש ואח"כ שחט את רוב הסימן במקום אחר, כתב </w:t>
      </w:r>
      <w:r w:rsidRPr="00E30BAC">
        <w:rPr>
          <w:rStyle w:val="af9"/>
          <w:rFonts w:hint="cs"/>
          <w:rtl/>
        </w:rPr>
        <w:t>השיטמ"ק</w:t>
      </w:r>
      <w:r>
        <w:rPr>
          <w:rFonts w:hint="cs"/>
          <w:rtl/>
        </w:rPr>
        <w:t xml:space="preserve"> בשם </w:t>
      </w:r>
      <w:r w:rsidRPr="00E30BAC">
        <w:rPr>
          <w:rStyle w:val="af9"/>
          <w:rFonts w:hint="cs"/>
          <w:rtl/>
        </w:rPr>
        <w:t>הרא"ה</w:t>
      </w:r>
      <w:r>
        <w:rPr>
          <w:rFonts w:hint="cs"/>
          <w:rtl/>
        </w:rPr>
        <w:t xml:space="preserve"> דסברי רבנן דכיון שההגרמה אינה נקב שפוסל את השחיטה, ויש רוב סימן שנשחט בהכשר במקום שחיטה, לכן מודו רבנן דהשחיטה כשרה. </w:t>
      </w:r>
      <w:bookmarkStart w:id="13006" w:name="_Toc532550637"/>
      <w:bookmarkStart w:id="13007" w:name="_Toc532550703"/>
      <w:bookmarkStart w:id="13008" w:name="_Toc532810222"/>
      <w:bookmarkStart w:id="13009" w:name="_Toc532844819"/>
      <w:bookmarkStart w:id="13010" w:name="_Toc532849416"/>
      <w:bookmarkStart w:id="13011" w:name="_Toc532897035"/>
      <w:bookmarkStart w:id="13012" w:name="_Toc532901809"/>
      <w:bookmarkStart w:id="13013" w:name="_Toc532976774"/>
      <w:bookmarkStart w:id="13014" w:name="_Toc532982448"/>
      <w:bookmarkStart w:id="13015" w:name="_Toc532982606"/>
      <w:bookmarkEnd w:id="12948"/>
      <w:bookmarkEnd w:id="12949"/>
      <w:bookmarkEnd w:id="12950"/>
      <w:bookmarkEnd w:id="12951"/>
      <w:r w:rsidRPr="003105F1">
        <w:rPr>
          <w:rStyle w:val="afb"/>
          <w:rFonts w:hint="cs"/>
          <w:rtl/>
        </w:rPr>
        <w:t xml:space="preserve">[בדין הגרים ושחט רוב סימן במק"א ע"ע בדברי </w:t>
      </w:r>
      <w:r w:rsidRPr="00B652FA">
        <w:rPr>
          <w:rStyle w:val="affa"/>
          <w:rFonts w:hint="cs"/>
          <w:rtl/>
        </w:rPr>
        <w:t>הפרמ"ג</w:t>
      </w:r>
      <w:r w:rsidRPr="003105F1">
        <w:rPr>
          <w:rStyle w:val="afb"/>
          <w:rFonts w:hint="cs"/>
          <w:rtl/>
        </w:rPr>
        <w:t xml:space="preserve"> </w:t>
      </w:r>
      <w:r w:rsidRPr="00B652FA">
        <w:rPr>
          <w:rStyle w:val="aff6"/>
          <w:rFonts w:hint="cs"/>
          <w:rtl/>
        </w:rPr>
        <w:t>(סי' כ"ד שפתי דעת סקי"ח)</w:t>
      </w:r>
      <w:r w:rsidRPr="003105F1">
        <w:rPr>
          <w:rStyle w:val="afb"/>
          <w:rFonts w:hint="cs"/>
          <w:rtl/>
        </w:rPr>
        <w:t xml:space="preserve"> </w:t>
      </w:r>
      <w:r>
        <w:rPr>
          <w:rStyle w:val="affa"/>
          <w:rFonts w:hint="cs"/>
          <w:rtl/>
        </w:rPr>
        <w:t>וה</w:t>
      </w:r>
      <w:r w:rsidRPr="00B652FA">
        <w:rPr>
          <w:rStyle w:val="affa"/>
          <w:rFonts w:hint="cs"/>
          <w:rtl/>
        </w:rPr>
        <w:t>תבו"ש</w:t>
      </w:r>
      <w:r w:rsidRPr="003105F1">
        <w:rPr>
          <w:rStyle w:val="afb"/>
          <w:rFonts w:hint="cs"/>
          <w:rtl/>
        </w:rPr>
        <w:t xml:space="preserve"> </w:t>
      </w:r>
      <w:r w:rsidRPr="00B652FA">
        <w:rPr>
          <w:rStyle w:val="aff6"/>
          <w:rFonts w:hint="cs"/>
          <w:rtl/>
        </w:rPr>
        <w:t>(סי' כ"ד סקי"ט)</w:t>
      </w:r>
      <w:r w:rsidRPr="003105F1">
        <w:rPr>
          <w:rStyle w:val="afb"/>
          <w:rFonts w:hint="cs"/>
          <w:rtl/>
        </w:rPr>
        <w:t xml:space="preserve"> </w:t>
      </w:r>
      <w:r>
        <w:rPr>
          <w:rStyle w:val="affa"/>
          <w:rFonts w:hint="cs"/>
          <w:rtl/>
        </w:rPr>
        <w:t>וה</w:t>
      </w:r>
      <w:r w:rsidRPr="00B652FA">
        <w:rPr>
          <w:rStyle w:val="affa"/>
          <w:rFonts w:hint="cs"/>
          <w:rtl/>
        </w:rPr>
        <w:t>גרעק"א</w:t>
      </w:r>
      <w:r w:rsidRPr="003105F1">
        <w:rPr>
          <w:rStyle w:val="afb"/>
          <w:rFonts w:hint="cs"/>
          <w:rtl/>
        </w:rPr>
        <w:t xml:space="preserve"> </w:t>
      </w:r>
      <w:r w:rsidRPr="00B652FA">
        <w:rPr>
          <w:rStyle w:val="aff6"/>
          <w:rFonts w:hint="cs"/>
          <w:rtl/>
        </w:rPr>
        <w:t>(ד"ה אבל הגרים)</w:t>
      </w:r>
      <w:r w:rsidRPr="003105F1">
        <w:rPr>
          <w:rStyle w:val="afb"/>
          <w:rFonts w:hint="cs"/>
          <w:rtl/>
        </w:rPr>
        <w:t xml:space="preserve">]. </w:t>
      </w:r>
    </w:p>
    <w:p w14:paraId="24A83DD9" w14:textId="77777777" w:rsidR="00D53B7D" w:rsidRDefault="00D53B7D" w:rsidP="00BF39B2">
      <w:pPr>
        <w:pStyle w:val="1"/>
        <w:rPr>
          <w:rtl/>
        </w:rPr>
      </w:pPr>
      <w:bookmarkStart w:id="13016" w:name="_Toc19390716"/>
      <w:bookmarkStart w:id="13017" w:name="_Toc19394213"/>
      <w:r>
        <w:rPr>
          <w:rFonts w:hint="cs"/>
          <w:rtl/>
        </w:rPr>
        <w:t>ביאור</w:t>
      </w:r>
      <w:r w:rsidRPr="00FD2023">
        <w:rPr>
          <w:rFonts w:hint="cs"/>
          <w:rtl/>
        </w:rPr>
        <w:t xml:space="preserve"> רש"י בדעת רבנן</w:t>
      </w:r>
      <w:bookmarkEnd w:id="13006"/>
      <w:bookmarkEnd w:id="13007"/>
      <w:r>
        <w:rPr>
          <w:rFonts w:hint="cs"/>
          <w:rtl/>
        </w:rPr>
        <w:t xml:space="preserve"> לל"ב בשחט ב' שלישים והגרים שליש</w:t>
      </w:r>
      <w:bookmarkEnd w:id="13008"/>
      <w:bookmarkEnd w:id="13009"/>
      <w:bookmarkEnd w:id="13010"/>
      <w:bookmarkEnd w:id="13011"/>
      <w:bookmarkEnd w:id="13012"/>
      <w:bookmarkEnd w:id="13013"/>
      <w:bookmarkEnd w:id="13014"/>
      <w:bookmarkEnd w:id="13015"/>
      <w:bookmarkEnd w:id="13016"/>
      <w:bookmarkEnd w:id="13017"/>
    </w:p>
    <w:p w14:paraId="6559790F" w14:textId="77777777" w:rsidR="00D53B7D" w:rsidRDefault="00D53B7D" w:rsidP="006D6D32">
      <w:pPr>
        <w:pStyle w:val="a3"/>
        <w:rPr>
          <w:rtl/>
        </w:rPr>
      </w:pPr>
      <w:bookmarkStart w:id="13018" w:name="_Toc532550638"/>
      <w:bookmarkStart w:id="13019" w:name="_Toc532550704"/>
      <w:bookmarkStart w:id="13020" w:name="_Toc532810223"/>
      <w:bookmarkStart w:id="13021" w:name="_Toc532844820"/>
      <w:bookmarkStart w:id="13022" w:name="_Toc532849417"/>
      <w:bookmarkStart w:id="13023" w:name="_Toc532897036"/>
      <w:bookmarkStart w:id="13024" w:name="_Toc532901810"/>
      <w:bookmarkStart w:id="13025" w:name="_Toc532976775"/>
      <w:bookmarkStart w:id="13026" w:name="_Toc532982449"/>
      <w:bookmarkStart w:id="13027" w:name="_Toc532982607"/>
      <w:bookmarkStart w:id="13028" w:name="_Toc19390717"/>
      <w:bookmarkStart w:id="13029" w:name="_Toc19394214"/>
      <w:r>
        <w:rPr>
          <w:rFonts w:hint="cs"/>
          <w:rtl/>
        </w:rPr>
        <w:t>דברי רש"י דלרבנן בשחט ב' שלישים הוכשרה הבהמה ברוב ומתני' לאפוקי הגרים בתחילה</w:t>
      </w:r>
      <w:bookmarkEnd w:id="13018"/>
      <w:bookmarkEnd w:id="13019"/>
      <w:bookmarkEnd w:id="13020"/>
      <w:bookmarkEnd w:id="13021"/>
      <w:bookmarkEnd w:id="13022"/>
      <w:bookmarkEnd w:id="13023"/>
      <w:bookmarkEnd w:id="13024"/>
      <w:bookmarkEnd w:id="13025"/>
      <w:bookmarkEnd w:id="13026"/>
      <w:bookmarkEnd w:id="13027"/>
      <w:bookmarkEnd w:id="13028"/>
      <w:bookmarkEnd w:id="13029"/>
    </w:p>
    <w:p w14:paraId="34861C60" w14:textId="77777777" w:rsidR="00D53B7D" w:rsidRDefault="00D53B7D" w:rsidP="00223668">
      <w:pPr>
        <w:pStyle w:val="a0"/>
        <w:rPr>
          <w:rtl/>
        </w:rPr>
      </w:pPr>
      <w:bookmarkStart w:id="13030" w:name="_Ref532809631"/>
      <w:bookmarkStart w:id="13031" w:name="_Toc532203000"/>
      <w:bookmarkStart w:id="13032" w:name="_Toc532302161"/>
      <w:bookmarkStart w:id="13033" w:name="_Toc532453956"/>
      <w:bookmarkStart w:id="13034" w:name="_Toc532453990"/>
      <w:r>
        <w:rPr>
          <w:rFonts w:hint="cs"/>
          <w:rtl/>
        </w:rPr>
        <w:t xml:space="preserve">ובהא דלל"ב מודו רבנן דבשחט ב' שלישים והגרים שליש כשר, ביאר </w:t>
      </w:r>
      <w:r w:rsidRPr="00A575A0">
        <w:rPr>
          <w:rStyle w:val="af9"/>
          <w:rFonts w:hint="cs"/>
          <w:rtl/>
        </w:rPr>
        <w:t>רש"י</w:t>
      </w:r>
      <w:r>
        <w:rPr>
          <w:rFonts w:hint="cs"/>
          <w:rtl/>
        </w:rPr>
        <w:t xml:space="preserve"> </w:t>
      </w:r>
      <w:r w:rsidRPr="00A575A0">
        <w:rPr>
          <w:rStyle w:val="af7"/>
          <w:rFonts w:eastAsia="Guttman Hodes" w:hint="cs"/>
          <w:rtl/>
        </w:rPr>
        <w:t xml:space="preserve">(ד"ה רובו) </w:t>
      </w:r>
      <w:r>
        <w:rPr>
          <w:rFonts w:hint="cs"/>
          <w:rtl/>
        </w:rPr>
        <w:t xml:space="preserve">דכיון דתנן במתני' לקמן </w:t>
      </w:r>
      <w:r w:rsidRPr="00A575A0">
        <w:rPr>
          <w:rStyle w:val="af7"/>
          <w:rFonts w:eastAsia="Guttman Hodes" w:hint="cs"/>
          <w:rtl/>
        </w:rPr>
        <w:t xml:space="preserve">(כז.) </w:t>
      </w:r>
      <w:r>
        <w:rPr>
          <w:rFonts w:hint="cs"/>
          <w:rtl/>
        </w:rPr>
        <w:t xml:space="preserve">דהשוחט את רוב הסימן, והניחו והלך כשר דרובו של סימן כמוהו, א"כ ה"ה בשחט ב' שלישים והגרים שליש דכבר הוכשרה הבהמה בשחיטת רוב הסימן, והא דתנן במתני' </w:t>
      </w:r>
      <w:r w:rsidRPr="00A575A0">
        <w:rPr>
          <w:rStyle w:val="af7"/>
          <w:rFonts w:eastAsia="Guttman Hodes" w:hint="cs"/>
          <w:rtl/>
        </w:rPr>
        <w:t xml:space="preserve">(יח.) </w:t>
      </w:r>
      <w:r>
        <w:rPr>
          <w:rFonts w:hint="cs"/>
          <w:rtl/>
        </w:rPr>
        <w:t>דלרבנן דוקא אם הניח מלא החוט על פני כולה כשר, היינו למעט אם הגרים שליש ושחט ב' שלישים, אך לא באה המשנה למעט אם הגרים בשליש האחרון.</w:t>
      </w:r>
      <w:bookmarkEnd w:id="13030"/>
    </w:p>
    <w:p w14:paraId="17FB663F" w14:textId="77777777" w:rsidR="00D53B7D" w:rsidRDefault="00D53B7D" w:rsidP="006D6D32">
      <w:pPr>
        <w:pStyle w:val="afe"/>
        <w:rPr>
          <w:rtl/>
        </w:rPr>
      </w:pPr>
      <w:bookmarkStart w:id="13035" w:name="_Toc532203007"/>
      <w:bookmarkStart w:id="13036" w:name="_Toc532302168"/>
      <w:bookmarkStart w:id="13037" w:name="_Toc532453963"/>
      <w:bookmarkStart w:id="13038" w:name="_Toc532453997"/>
      <w:bookmarkStart w:id="13039" w:name="_Toc532550648"/>
      <w:bookmarkStart w:id="13040" w:name="_Toc532550714"/>
      <w:bookmarkStart w:id="13041" w:name="_Toc532810224"/>
      <w:bookmarkStart w:id="13042" w:name="_Toc532844821"/>
      <w:bookmarkStart w:id="13043" w:name="_Toc532849418"/>
      <w:bookmarkStart w:id="13044" w:name="_Toc532897037"/>
      <w:bookmarkStart w:id="13045" w:name="_Toc532901811"/>
      <w:bookmarkStart w:id="13046" w:name="_Toc532976776"/>
      <w:bookmarkStart w:id="13047" w:name="_Toc532982450"/>
      <w:bookmarkStart w:id="13048" w:name="_Toc532982608"/>
      <w:bookmarkStart w:id="13049" w:name="_Toc19435855"/>
      <w:bookmarkStart w:id="13050" w:name="_Toc20081097"/>
      <w:bookmarkEnd w:id="13031"/>
      <w:bookmarkEnd w:id="13032"/>
      <w:bookmarkEnd w:id="13033"/>
      <w:bookmarkEnd w:id="13034"/>
      <w:r>
        <w:rPr>
          <w:rFonts w:hint="cs"/>
          <w:rtl/>
        </w:rPr>
        <w:t>בפלוגתת רב הונא ורב יהודה</w:t>
      </w:r>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bookmarkEnd w:id="13049"/>
      <w:bookmarkEnd w:id="13050"/>
    </w:p>
    <w:p w14:paraId="228E2A6C" w14:textId="77777777" w:rsidR="00D53B7D" w:rsidRDefault="00D53B7D" w:rsidP="00BF39B2">
      <w:pPr>
        <w:pStyle w:val="1"/>
        <w:rPr>
          <w:rtl/>
        </w:rPr>
      </w:pPr>
      <w:bookmarkStart w:id="13051" w:name="_Toc532302169"/>
      <w:bookmarkStart w:id="13052" w:name="_Toc532453964"/>
      <w:bookmarkStart w:id="13053" w:name="_Toc532453998"/>
      <w:bookmarkStart w:id="13054" w:name="_Toc532550649"/>
      <w:bookmarkStart w:id="13055" w:name="_Toc532550715"/>
      <w:bookmarkStart w:id="13056" w:name="_Toc532810225"/>
      <w:bookmarkStart w:id="13057" w:name="_Toc532844822"/>
      <w:bookmarkStart w:id="13058" w:name="_Toc532849419"/>
      <w:bookmarkStart w:id="13059" w:name="_Toc532897038"/>
      <w:bookmarkStart w:id="13060" w:name="_Toc532901812"/>
      <w:bookmarkStart w:id="13061" w:name="_Toc532976777"/>
      <w:bookmarkStart w:id="13062" w:name="_Toc532982451"/>
      <w:bookmarkStart w:id="13063" w:name="_Toc532982609"/>
      <w:bookmarkStart w:id="13064" w:name="_Toc19390718"/>
      <w:bookmarkStart w:id="13065" w:name="_Toc19394215"/>
      <w:r>
        <w:rPr>
          <w:rFonts w:hint="cs"/>
          <w:rtl/>
        </w:rPr>
        <w:t>דברי רש"י</w:t>
      </w:r>
      <w:bookmarkEnd w:id="13051"/>
      <w:bookmarkEnd w:id="13052"/>
      <w:bookmarkEnd w:id="13053"/>
      <w:bookmarkEnd w:id="13054"/>
      <w:bookmarkEnd w:id="13055"/>
      <w:bookmarkEnd w:id="13056"/>
      <w:bookmarkEnd w:id="13057"/>
      <w:r>
        <w:rPr>
          <w:rFonts w:hint="cs"/>
          <w:rtl/>
        </w:rPr>
        <w:t xml:space="preserve"> דנחלקו אי שחיטה תלויה ברוב או ביציאת החיות</w:t>
      </w:r>
      <w:bookmarkEnd w:id="13058"/>
      <w:bookmarkEnd w:id="13059"/>
      <w:bookmarkEnd w:id="13060"/>
      <w:bookmarkEnd w:id="13061"/>
      <w:bookmarkEnd w:id="13062"/>
      <w:bookmarkEnd w:id="13063"/>
      <w:bookmarkEnd w:id="13064"/>
      <w:bookmarkEnd w:id="13065"/>
    </w:p>
    <w:p w14:paraId="42FE392A" w14:textId="77777777" w:rsidR="00D53B7D" w:rsidRPr="00775D44" w:rsidRDefault="00D53B7D" w:rsidP="006D6D32">
      <w:pPr>
        <w:pStyle w:val="a3"/>
        <w:rPr>
          <w:rtl/>
        </w:rPr>
      </w:pPr>
      <w:bookmarkStart w:id="13066" w:name="_Toc532849420"/>
      <w:bookmarkStart w:id="13067" w:name="_Toc532897039"/>
      <w:bookmarkStart w:id="13068" w:name="_Toc532901813"/>
      <w:bookmarkStart w:id="13069" w:name="_Toc532976778"/>
      <w:bookmarkStart w:id="13070" w:name="_Toc532982452"/>
      <w:bookmarkStart w:id="13071" w:name="_Toc532982610"/>
      <w:bookmarkStart w:id="13072" w:name="_Toc19390719"/>
      <w:bookmarkStart w:id="13073" w:name="_Toc19394216"/>
      <w:r>
        <w:rPr>
          <w:rFonts w:hint="cs"/>
          <w:rtl/>
        </w:rPr>
        <w:t>דברי רש"י והריטב"א דלגירסא ברב יהודה שצריך רוב ביציאת החיות משמע דלא סגי בשחיטת רוב</w:t>
      </w:r>
      <w:bookmarkEnd w:id="13066"/>
      <w:bookmarkEnd w:id="13067"/>
      <w:bookmarkEnd w:id="13068"/>
      <w:bookmarkEnd w:id="13069"/>
      <w:bookmarkEnd w:id="13070"/>
      <w:bookmarkEnd w:id="13071"/>
      <w:bookmarkEnd w:id="13072"/>
      <w:bookmarkEnd w:id="13073"/>
    </w:p>
    <w:p w14:paraId="2DE3E87C" w14:textId="77777777" w:rsidR="00D53B7D" w:rsidRDefault="00D53B7D" w:rsidP="00223668">
      <w:pPr>
        <w:pStyle w:val="a0"/>
        <w:rPr>
          <w:rtl/>
        </w:rPr>
      </w:pPr>
      <w:bookmarkStart w:id="13074" w:name="_Ref532831986"/>
      <w:r>
        <w:rPr>
          <w:rFonts w:hint="cs"/>
          <w:rtl/>
        </w:rPr>
        <w:t xml:space="preserve">בדברי רב יהודה דפסל בהגרים ושחט והגרים, כתב </w:t>
      </w:r>
      <w:r w:rsidRPr="001832CC">
        <w:rPr>
          <w:rStyle w:val="af9"/>
          <w:rFonts w:hint="cs"/>
          <w:rtl/>
        </w:rPr>
        <w:t>רש"י</w:t>
      </w:r>
      <w:r>
        <w:rPr>
          <w:rFonts w:hint="cs"/>
          <w:rtl/>
        </w:rPr>
        <w:t xml:space="preserve"> </w:t>
      </w:r>
      <w:r w:rsidRPr="00462E06">
        <w:rPr>
          <w:rStyle w:val="af7"/>
          <w:rFonts w:eastAsia="Guttman Hodes" w:hint="cs"/>
          <w:rtl/>
        </w:rPr>
        <w:t>(ד"ה ה"ג)</w:t>
      </w:r>
      <w:r>
        <w:rPr>
          <w:rFonts w:hint="cs"/>
          <w:rtl/>
        </w:rPr>
        <w:t xml:space="preserve"> דהגירסא בסברת רב יהודה היא "בעינן רובא בשחיטה וליכא" ולא גרסינן "כי נפקא חיותא בעינן רובא בשחיטה וליכא", וביאר </w:t>
      </w:r>
      <w:r w:rsidRPr="00903934">
        <w:rPr>
          <w:rStyle w:val="af9"/>
          <w:rFonts w:hint="cs"/>
          <w:rtl/>
        </w:rPr>
        <w:t>הריטב"א</w:t>
      </w:r>
      <w:r w:rsidRPr="00462E06">
        <w:rPr>
          <w:rStyle w:val="af7"/>
          <w:rFonts w:eastAsia="Guttman Hodes" w:hint="cs"/>
          <w:rtl/>
        </w:rPr>
        <w:t xml:space="preserve"> (ד"ה ורב יהודה) </w:t>
      </w:r>
      <w:r>
        <w:rPr>
          <w:rFonts w:hint="cs"/>
          <w:rtl/>
        </w:rPr>
        <w:t>דלגירסא זו משמע דלדעת רב יהודה בכדי להכשיר צריך גם שהרוב ישחט בשחיטה, וגם שהחיות תצא בשחיטה.</w:t>
      </w:r>
    </w:p>
    <w:p w14:paraId="1B5AA9ED" w14:textId="77777777" w:rsidR="00D53B7D" w:rsidRPr="00775D44" w:rsidRDefault="00D53B7D" w:rsidP="006D6D32">
      <w:pPr>
        <w:pStyle w:val="a3"/>
        <w:rPr>
          <w:rtl/>
        </w:rPr>
      </w:pPr>
      <w:bookmarkStart w:id="13075" w:name="_Toc532849421"/>
      <w:bookmarkStart w:id="13076" w:name="_Toc532897040"/>
      <w:bookmarkStart w:id="13077" w:name="_Toc532901814"/>
      <w:bookmarkStart w:id="13078" w:name="_Toc532976779"/>
      <w:bookmarkStart w:id="13079" w:name="_Toc532982453"/>
      <w:bookmarkStart w:id="13080" w:name="_Toc532982611"/>
      <w:bookmarkStart w:id="13081" w:name="_Toc19390720"/>
      <w:bookmarkStart w:id="13082" w:name="_Toc19394217"/>
      <w:r>
        <w:rPr>
          <w:rFonts w:hint="cs"/>
          <w:rtl/>
        </w:rPr>
        <w:t>ביאור רש"י והריטב"א דלרב יהודה הכשר שחיטה תלוי בשחיטת רוב הסימן ולא ביציאת החיות</w:t>
      </w:r>
      <w:bookmarkEnd w:id="13075"/>
      <w:bookmarkEnd w:id="13076"/>
      <w:bookmarkEnd w:id="13077"/>
      <w:bookmarkEnd w:id="13078"/>
      <w:bookmarkEnd w:id="13079"/>
      <w:bookmarkEnd w:id="13080"/>
      <w:bookmarkEnd w:id="13081"/>
      <w:bookmarkEnd w:id="13082"/>
    </w:p>
    <w:p w14:paraId="0035AA84" w14:textId="77777777" w:rsidR="00D53B7D" w:rsidRDefault="00D53B7D" w:rsidP="00223668">
      <w:pPr>
        <w:pStyle w:val="a0"/>
        <w:rPr>
          <w:rtl/>
        </w:rPr>
      </w:pPr>
      <w:bookmarkStart w:id="13083" w:name="_Ref532915552"/>
      <w:r>
        <w:rPr>
          <w:rFonts w:hint="cs"/>
          <w:rtl/>
        </w:rPr>
        <w:t xml:space="preserve">וכתבו </w:t>
      </w:r>
      <w:r w:rsidRPr="00DE4C36">
        <w:rPr>
          <w:rStyle w:val="af9"/>
          <w:rFonts w:hint="cs"/>
          <w:rtl/>
        </w:rPr>
        <w:t>רש"י והריטב"א</w:t>
      </w:r>
      <w:r>
        <w:rPr>
          <w:rFonts w:hint="cs"/>
          <w:rtl/>
        </w:rPr>
        <w:t xml:space="preserve"> דא"א לגרוס כן, דהא לדעת רב יהודה הכשר שחיטה אינו תלוי ביציאת החיות כלל, כדמוכח מהא דהכשיר רב יהודה בשחט והגרים ושחט,</w:t>
      </w:r>
      <w:r w:rsidRPr="006F1D21">
        <w:rPr>
          <w:rFonts w:hint="cs"/>
          <w:rtl/>
        </w:rPr>
        <w:t xml:space="preserve"> </w:t>
      </w:r>
      <w:r>
        <w:rPr>
          <w:rFonts w:hint="cs"/>
          <w:rtl/>
        </w:rPr>
        <w:t xml:space="preserve">ואעפ"י שיציאת החיות היא בשליש האמצעי שהגרים בו, ומבואר דס"ל לרב יהודה דכל שיש רוב בשחיטה השחיטה כשרה, אף שיציאת החיות אינה בשחיטה, ועי' במה שביאר </w:t>
      </w:r>
      <w:r w:rsidRPr="00D40133">
        <w:rPr>
          <w:rStyle w:val="af9"/>
          <w:rFonts w:hint="cs"/>
          <w:rtl/>
        </w:rPr>
        <w:t>המשנת ר"א</w:t>
      </w:r>
      <w:r>
        <w:rPr>
          <w:rFonts w:hint="cs"/>
          <w:rtl/>
        </w:rPr>
        <w:t xml:space="preserve"> </w:t>
      </w:r>
      <w:r w:rsidRPr="00D40133">
        <w:rPr>
          <w:rStyle w:val="af7"/>
          <w:rFonts w:eastAsia="Guttman Hodes" w:hint="cs"/>
          <w:rtl/>
        </w:rPr>
        <w:t xml:space="preserve">(עי' אות </w:t>
      </w:r>
      <w:r w:rsidRPr="00D40133">
        <w:rPr>
          <w:rStyle w:val="af7"/>
          <w:rFonts w:eastAsia="Guttman Hodes"/>
          <w:rtl/>
        </w:rPr>
        <w:fldChar w:fldCharType="begin"/>
      </w:r>
      <w:r w:rsidRPr="00D40133">
        <w:rPr>
          <w:rStyle w:val="af7"/>
          <w:rFonts w:eastAsia="Guttman Hodes"/>
          <w:rtl/>
        </w:rPr>
        <w:instrText xml:space="preserve"> </w:instrText>
      </w:r>
      <w:r w:rsidRPr="00D40133">
        <w:rPr>
          <w:rStyle w:val="af7"/>
          <w:rFonts w:eastAsia="Guttman Hodes" w:hint="cs"/>
        </w:rPr>
        <w:instrText>REF</w:instrText>
      </w:r>
      <w:r w:rsidRPr="00D40133">
        <w:rPr>
          <w:rStyle w:val="af7"/>
          <w:rFonts w:eastAsia="Guttman Hodes" w:hint="cs"/>
          <w:rtl/>
        </w:rPr>
        <w:instrText xml:space="preserve"> _</w:instrText>
      </w:r>
      <w:r w:rsidRPr="00D40133">
        <w:rPr>
          <w:rStyle w:val="af7"/>
          <w:rFonts w:eastAsia="Guttman Hodes" w:hint="cs"/>
        </w:rPr>
        <w:instrText>Ref532915587 \r \h</w:instrText>
      </w:r>
      <w:r w:rsidRPr="00D40133">
        <w:rPr>
          <w:rStyle w:val="af7"/>
          <w:rFonts w:eastAsia="Guttman Hodes"/>
          <w:rtl/>
        </w:rPr>
        <w:instrText xml:space="preserve"> </w:instrText>
      </w:r>
      <w:r w:rsidRPr="00D40133">
        <w:rPr>
          <w:rStyle w:val="af7"/>
          <w:rFonts w:eastAsia="Guttman Hodes"/>
          <w:rtl/>
        </w:rPr>
      </w:r>
      <w:r w:rsidRPr="00D40133">
        <w:rPr>
          <w:rStyle w:val="af7"/>
          <w:rFonts w:eastAsia="Guttman Hodes"/>
          <w:rtl/>
        </w:rPr>
        <w:fldChar w:fldCharType="separate"/>
      </w:r>
      <w:r w:rsidR="00345400">
        <w:rPr>
          <w:rStyle w:val="af7"/>
          <w:rFonts w:eastAsia="Guttman Hodes"/>
          <w:cs/>
        </w:rPr>
        <w:t>‎</w:t>
      </w:r>
      <w:r w:rsidR="00345400">
        <w:rPr>
          <w:rStyle w:val="af7"/>
          <w:rFonts w:eastAsia="Guttman Hodes"/>
          <w:rtl/>
        </w:rPr>
        <w:t>קח)</w:t>
      </w:r>
      <w:r w:rsidRPr="00D40133">
        <w:rPr>
          <w:rStyle w:val="af7"/>
          <w:rFonts w:eastAsia="Guttman Hodes"/>
          <w:rtl/>
        </w:rPr>
        <w:fldChar w:fldCharType="end"/>
      </w:r>
      <w:r>
        <w:rPr>
          <w:rFonts w:hint="cs"/>
          <w:rtl/>
        </w:rPr>
        <w:t xml:space="preserve"> בדעת </w:t>
      </w:r>
      <w:r w:rsidRPr="00D40133">
        <w:rPr>
          <w:rStyle w:val="af9"/>
          <w:rFonts w:hint="cs"/>
          <w:rtl/>
        </w:rPr>
        <w:t>רש"י</w:t>
      </w:r>
      <w:r>
        <w:rPr>
          <w:rFonts w:hint="cs"/>
          <w:rtl/>
        </w:rPr>
        <w:t>.</w:t>
      </w:r>
      <w:bookmarkEnd w:id="13074"/>
      <w:bookmarkEnd w:id="13083"/>
      <w:r w:rsidRPr="00F77422">
        <w:rPr>
          <w:rFonts w:hint="cs"/>
          <w:rtl/>
        </w:rPr>
        <w:t xml:space="preserve"> </w:t>
      </w:r>
    </w:p>
    <w:p w14:paraId="25DB2D06" w14:textId="77777777" w:rsidR="00D53B7D" w:rsidRPr="00120940" w:rsidRDefault="00D53B7D" w:rsidP="006D6D32">
      <w:pPr>
        <w:pStyle w:val="a3"/>
        <w:rPr>
          <w:rtl/>
        </w:rPr>
      </w:pPr>
      <w:bookmarkStart w:id="13084" w:name="_Toc532849422"/>
      <w:bookmarkStart w:id="13085" w:name="_Toc532897041"/>
      <w:bookmarkStart w:id="13086" w:name="_Toc532901815"/>
      <w:bookmarkStart w:id="13087" w:name="_Toc532976780"/>
      <w:bookmarkStart w:id="13088" w:name="_Toc532982454"/>
      <w:bookmarkStart w:id="13089" w:name="_Toc532982612"/>
      <w:bookmarkStart w:id="13090" w:name="_Toc19390721"/>
      <w:bookmarkStart w:id="13091" w:name="_Toc19394218"/>
      <w:r>
        <w:rPr>
          <w:rFonts w:hint="cs"/>
          <w:rtl/>
        </w:rPr>
        <w:t>תירוץ הריטב"א דאף לגירסא שהביא רש"י הכוונה שצריך לשחוט את הרוב בשחיטה</w:t>
      </w:r>
      <w:bookmarkEnd w:id="13084"/>
      <w:bookmarkEnd w:id="13085"/>
      <w:bookmarkEnd w:id="13086"/>
      <w:bookmarkEnd w:id="13087"/>
      <w:bookmarkEnd w:id="13088"/>
      <w:bookmarkEnd w:id="13089"/>
      <w:bookmarkEnd w:id="13090"/>
      <w:bookmarkEnd w:id="13091"/>
    </w:p>
    <w:p w14:paraId="645AF2F4" w14:textId="77777777" w:rsidR="00D53B7D" w:rsidRDefault="00D53B7D" w:rsidP="00223668">
      <w:pPr>
        <w:pStyle w:val="a0"/>
        <w:rPr>
          <w:rtl/>
        </w:rPr>
      </w:pPr>
      <w:r>
        <w:rPr>
          <w:rFonts w:hint="cs"/>
          <w:rtl/>
        </w:rPr>
        <w:t xml:space="preserve">אך כתב </w:t>
      </w:r>
      <w:r w:rsidRPr="00903934">
        <w:rPr>
          <w:rStyle w:val="af9"/>
          <w:rFonts w:hint="cs"/>
          <w:rtl/>
        </w:rPr>
        <w:t>הריטב"א</w:t>
      </w:r>
      <w:r>
        <w:rPr>
          <w:rFonts w:hint="cs"/>
          <w:rtl/>
        </w:rPr>
        <w:t xml:space="preserve"> דאפשר לבאר את הגירסא "</w:t>
      </w:r>
      <w:r>
        <w:rPr>
          <w:rtl/>
        </w:rPr>
        <w:t>כי נפקא חיותא בשחיטה לא סגיא לן דרובא בשחיטה בעינן וליכא</w:t>
      </w:r>
      <w:r>
        <w:rPr>
          <w:rFonts w:hint="cs"/>
          <w:rtl/>
        </w:rPr>
        <w:t xml:space="preserve">" והיינו דלרב יהודה לא סגי במה שיוצאת החיות ע"י השליש ששחט, כיון שצריך שישחוט את הרוב בשחיטה, וא"כ אף הביאור בגירסא זו היא כגירסת </w:t>
      </w:r>
      <w:r w:rsidRPr="00903934">
        <w:rPr>
          <w:rStyle w:val="af9"/>
          <w:rFonts w:hint="cs"/>
          <w:rtl/>
        </w:rPr>
        <w:t>רש"י</w:t>
      </w:r>
      <w:r>
        <w:rPr>
          <w:rFonts w:hint="cs"/>
          <w:rtl/>
        </w:rPr>
        <w:t xml:space="preserve">, ועי' במה שהקשה </w:t>
      </w:r>
      <w:r w:rsidRPr="006357CA">
        <w:rPr>
          <w:rStyle w:val="af9"/>
          <w:rFonts w:hint="cs"/>
          <w:rtl/>
        </w:rPr>
        <w:t>השיטמ"ק</w:t>
      </w:r>
      <w:r>
        <w:rPr>
          <w:rFonts w:hint="cs"/>
          <w:rtl/>
        </w:rPr>
        <w:t xml:space="preserve"> </w:t>
      </w:r>
      <w:r w:rsidRPr="006357CA">
        <w:rPr>
          <w:rStyle w:val="af7"/>
          <w:rFonts w:eastAsia="Guttman Hodes" w:hint="cs"/>
          <w:rtl/>
        </w:rPr>
        <w:t>(ד"ה ולא נהירא)</w:t>
      </w:r>
      <w:r>
        <w:rPr>
          <w:rFonts w:hint="cs"/>
          <w:rtl/>
        </w:rPr>
        <w:t xml:space="preserve"> על </w:t>
      </w:r>
      <w:r w:rsidRPr="006357CA">
        <w:rPr>
          <w:rStyle w:val="af9"/>
          <w:rFonts w:hint="cs"/>
          <w:rtl/>
        </w:rPr>
        <w:t>הריטב"א</w:t>
      </w:r>
      <w:r>
        <w:rPr>
          <w:rFonts w:hint="cs"/>
          <w:rtl/>
        </w:rPr>
        <w:t xml:space="preserve">, ובמה שביאר את הגירסא, ועי' במה שביארו </w:t>
      </w:r>
      <w:r w:rsidRPr="00FC4264">
        <w:rPr>
          <w:rStyle w:val="af9"/>
          <w:rFonts w:hint="cs"/>
          <w:rtl/>
        </w:rPr>
        <w:t>התוס' הרא"ש</w:t>
      </w:r>
      <w:r>
        <w:rPr>
          <w:rFonts w:hint="cs"/>
          <w:rtl/>
        </w:rPr>
        <w:t xml:space="preserve"> </w:t>
      </w:r>
      <w:r w:rsidRPr="00FC4264">
        <w:rPr>
          <w:rStyle w:val="af7"/>
          <w:rFonts w:eastAsia="Guttman Hodes" w:hint="cs"/>
          <w:rtl/>
        </w:rPr>
        <w:t>(ד"ה רב יהודה)</w:t>
      </w:r>
      <w:r>
        <w:rPr>
          <w:rFonts w:hint="cs"/>
          <w:rtl/>
        </w:rPr>
        <w:t xml:space="preserve"> </w:t>
      </w:r>
      <w:r>
        <w:rPr>
          <w:rStyle w:val="af9"/>
          <w:rFonts w:hint="cs"/>
          <w:rtl/>
        </w:rPr>
        <w:t>וה</w:t>
      </w:r>
      <w:r w:rsidRPr="006357CA">
        <w:rPr>
          <w:rStyle w:val="af9"/>
          <w:rFonts w:hint="cs"/>
          <w:rtl/>
        </w:rPr>
        <w:t>תורת חיים</w:t>
      </w:r>
      <w:r>
        <w:rPr>
          <w:rFonts w:hint="cs"/>
          <w:rtl/>
        </w:rPr>
        <w:t xml:space="preserve"> </w:t>
      </w:r>
      <w:r w:rsidRPr="00DE768B">
        <w:rPr>
          <w:rStyle w:val="af7"/>
          <w:rFonts w:eastAsia="Guttman Hodes" w:hint="cs"/>
          <w:rtl/>
        </w:rPr>
        <w:t>(ד"ה רב יהודה)</w:t>
      </w:r>
      <w:r>
        <w:rPr>
          <w:rFonts w:hint="cs"/>
          <w:rtl/>
        </w:rPr>
        <w:t>.</w:t>
      </w:r>
    </w:p>
    <w:p w14:paraId="10277693" w14:textId="77777777" w:rsidR="00D53B7D" w:rsidRDefault="00D53B7D" w:rsidP="006D6D32">
      <w:pPr>
        <w:pStyle w:val="a3"/>
        <w:rPr>
          <w:rtl/>
        </w:rPr>
      </w:pPr>
      <w:bookmarkStart w:id="13092" w:name="_Toc532849423"/>
      <w:bookmarkStart w:id="13093" w:name="_Toc532897042"/>
      <w:bookmarkStart w:id="13094" w:name="_Toc532901816"/>
      <w:bookmarkStart w:id="13095" w:name="_Toc532976781"/>
      <w:bookmarkStart w:id="13096" w:name="_Toc532982455"/>
      <w:bookmarkStart w:id="13097" w:name="_Toc532982613"/>
      <w:bookmarkStart w:id="13098" w:name="_Toc19390722"/>
      <w:bookmarkStart w:id="13099" w:name="_Toc19394219"/>
      <w:r>
        <w:rPr>
          <w:rFonts w:hint="cs"/>
          <w:rtl/>
        </w:rPr>
        <w:t>דברי רש"י דלרב הונא הכשר השחיטה הוא ביציאת החיות בשליש האמצעי</w:t>
      </w:r>
      <w:bookmarkEnd w:id="13092"/>
      <w:bookmarkEnd w:id="13093"/>
      <w:bookmarkEnd w:id="13094"/>
      <w:bookmarkEnd w:id="13095"/>
      <w:bookmarkEnd w:id="13096"/>
      <w:bookmarkEnd w:id="13097"/>
      <w:bookmarkEnd w:id="13098"/>
      <w:bookmarkEnd w:id="13099"/>
    </w:p>
    <w:p w14:paraId="54FCA983" w14:textId="77777777" w:rsidR="00D53B7D" w:rsidRPr="009723E4" w:rsidRDefault="00D53B7D" w:rsidP="00223668">
      <w:pPr>
        <w:pStyle w:val="a0"/>
        <w:rPr>
          <w:rtl/>
        </w:rPr>
      </w:pPr>
      <w:r>
        <w:rPr>
          <w:rFonts w:hint="cs"/>
          <w:rtl/>
        </w:rPr>
        <w:t xml:space="preserve">ובדעת רב הונא דהכשיר בהגרים ושחט והגרים, כתב </w:t>
      </w:r>
      <w:r w:rsidRPr="00703E16">
        <w:rPr>
          <w:rStyle w:val="af9"/>
          <w:rFonts w:hint="cs"/>
          <w:rtl/>
        </w:rPr>
        <w:t>רש"י</w:t>
      </w:r>
      <w:r>
        <w:rPr>
          <w:rFonts w:hint="cs"/>
          <w:rtl/>
        </w:rPr>
        <w:t xml:space="preserve"> </w:t>
      </w:r>
      <w:r w:rsidRPr="00703E16">
        <w:rPr>
          <w:rStyle w:val="af7"/>
          <w:rFonts w:eastAsia="Guttman Hodes" w:hint="cs"/>
          <w:rtl/>
        </w:rPr>
        <w:t>(ד"ה מיפק)</w:t>
      </w:r>
      <w:r>
        <w:rPr>
          <w:rFonts w:hint="cs"/>
          <w:rtl/>
        </w:rPr>
        <w:t xml:space="preserve"> דיציאת החיות היא בשליש האמצעי, ומשמע דלרב הונא היתר השחיטה הוא תלוי ביציאת החיות, [ופליג על רב יהודה דביאר </w:t>
      </w:r>
      <w:r w:rsidRPr="00703E16">
        <w:rPr>
          <w:rStyle w:val="af9"/>
          <w:rFonts w:hint="cs"/>
          <w:rtl/>
        </w:rPr>
        <w:t>רש"י</w:t>
      </w:r>
      <w:r>
        <w:rPr>
          <w:rFonts w:hint="cs"/>
          <w:rtl/>
        </w:rPr>
        <w:t xml:space="preserve"> </w:t>
      </w:r>
      <w:r w:rsidRPr="00703E16">
        <w:rPr>
          <w:rStyle w:val="af7"/>
          <w:rFonts w:eastAsia="Guttman Hodes" w:hint="cs"/>
          <w:rtl/>
        </w:rPr>
        <w:t xml:space="preserve">(עי' אות </w:t>
      </w:r>
      <w:r w:rsidRPr="00703E16">
        <w:rPr>
          <w:rStyle w:val="af7"/>
          <w:rFonts w:eastAsia="Guttman Hodes"/>
          <w:rtl/>
        </w:rPr>
        <w:fldChar w:fldCharType="begin"/>
      </w:r>
      <w:r w:rsidRPr="00703E16">
        <w:rPr>
          <w:rStyle w:val="af7"/>
          <w:rFonts w:eastAsia="Guttman Hodes"/>
          <w:rtl/>
        </w:rPr>
        <w:instrText xml:space="preserve"> </w:instrText>
      </w:r>
      <w:r w:rsidRPr="00703E16">
        <w:rPr>
          <w:rStyle w:val="af7"/>
          <w:rFonts w:eastAsia="Guttman Hodes" w:hint="cs"/>
        </w:rPr>
        <w:instrText>REF</w:instrText>
      </w:r>
      <w:r w:rsidRPr="00703E16">
        <w:rPr>
          <w:rStyle w:val="af7"/>
          <w:rFonts w:eastAsia="Guttman Hodes" w:hint="cs"/>
          <w:rtl/>
        </w:rPr>
        <w:instrText xml:space="preserve"> _</w:instrText>
      </w:r>
      <w:r w:rsidRPr="00703E16">
        <w:rPr>
          <w:rStyle w:val="af7"/>
          <w:rFonts w:eastAsia="Guttman Hodes" w:hint="cs"/>
        </w:rPr>
        <w:instrText>Ref532831986 \r \h</w:instrText>
      </w:r>
      <w:r w:rsidRPr="00703E16">
        <w:rPr>
          <w:rStyle w:val="af7"/>
          <w:rFonts w:eastAsia="Guttman Hodes"/>
          <w:rtl/>
        </w:rPr>
        <w:instrText xml:space="preserve"> </w:instrText>
      </w:r>
      <w:r w:rsidRPr="00703E16">
        <w:rPr>
          <w:rStyle w:val="af7"/>
          <w:rFonts w:eastAsia="Guttman Hodes"/>
          <w:rtl/>
        </w:rPr>
      </w:r>
      <w:r w:rsidRPr="00703E16">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703E16">
        <w:rPr>
          <w:rStyle w:val="af7"/>
          <w:rFonts w:eastAsia="Guttman Hodes"/>
          <w:rtl/>
        </w:rPr>
        <w:fldChar w:fldCharType="end"/>
      </w:r>
      <w:r>
        <w:rPr>
          <w:rFonts w:hint="cs"/>
          <w:rtl/>
        </w:rPr>
        <w:t xml:space="preserve"> דס"ל דהיתר שחיטה תלוי בשחיטת רוב הסימן ולא ביציאת החיות]. </w:t>
      </w:r>
    </w:p>
    <w:p w14:paraId="7BFFE4B2" w14:textId="77777777" w:rsidR="00D53B7D" w:rsidRPr="00775D44" w:rsidRDefault="00D53B7D" w:rsidP="00BF39B2">
      <w:pPr>
        <w:pStyle w:val="1"/>
        <w:rPr>
          <w:rtl/>
        </w:rPr>
      </w:pPr>
      <w:bookmarkStart w:id="13100" w:name="_Toc532453965"/>
      <w:bookmarkStart w:id="13101" w:name="_Toc532453999"/>
      <w:bookmarkStart w:id="13102" w:name="_Toc532550650"/>
      <w:bookmarkStart w:id="13103" w:name="_Toc532550716"/>
      <w:bookmarkStart w:id="13104" w:name="_Toc532810226"/>
      <w:bookmarkStart w:id="13105" w:name="_Toc532844823"/>
      <w:bookmarkStart w:id="13106" w:name="_Toc532849424"/>
      <w:bookmarkStart w:id="13107" w:name="_Toc532897043"/>
      <w:bookmarkStart w:id="13108" w:name="_Toc532901817"/>
      <w:bookmarkStart w:id="13109" w:name="_Toc532976782"/>
      <w:bookmarkStart w:id="13110" w:name="_Toc532982456"/>
      <w:bookmarkStart w:id="13111" w:name="_Toc532982614"/>
      <w:bookmarkStart w:id="13112" w:name="_Toc19390723"/>
      <w:bookmarkStart w:id="13113" w:name="_Toc19394220"/>
      <w:r>
        <w:rPr>
          <w:rFonts w:hint="cs"/>
          <w:rtl/>
        </w:rPr>
        <w:t>דברי הרמב"ן</w:t>
      </w:r>
      <w:bookmarkEnd w:id="13100"/>
      <w:bookmarkEnd w:id="13101"/>
      <w:bookmarkEnd w:id="13102"/>
      <w:bookmarkEnd w:id="13103"/>
      <w:bookmarkEnd w:id="13104"/>
      <w:bookmarkEnd w:id="13105"/>
      <w:r>
        <w:rPr>
          <w:rFonts w:hint="cs"/>
          <w:rtl/>
        </w:rPr>
        <w:t xml:space="preserve"> והר"ן דנחלקו אי ההגרמה היא במקום שחיטה</w:t>
      </w:r>
      <w:bookmarkEnd w:id="13106"/>
      <w:bookmarkEnd w:id="13107"/>
      <w:bookmarkEnd w:id="13108"/>
      <w:bookmarkEnd w:id="13109"/>
      <w:bookmarkEnd w:id="13110"/>
      <w:bookmarkEnd w:id="13111"/>
      <w:bookmarkEnd w:id="13112"/>
      <w:bookmarkEnd w:id="13113"/>
    </w:p>
    <w:p w14:paraId="22F58643" w14:textId="77777777" w:rsidR="00D53B7D" w:rsidRDefault="00D53B7D" w:rsidP="006D6D32">
      <w:pPr>
        <w:pStyle w:val="a3"/>
        <w:rPr>
          <w:rtl/>
        </w:rPr>
      </w:pPr>
      <w:bookmarkStart w:id="13114" w:name="_Toc532849425"/>
      <w:bookmarkStart w:id="13115" w:name="_Toc532897044"/>
      <w:bookmarkStart w:id="13116" w:name="_Toc532901818"/>
      <w:bookmarkStart w:id="13117" w:name="_Toc532976783"/>
      <w:bookmarkStart w:id="13118" w:name="_Toc532982457"/>
      <w:bookmarkStart w:id="13119" w:name="_Toc532982615"/>
      <w:bookmarkStart w:id="13120" w:name="_Toc19390724"/>
      <w:bookmarkStart w:id="13121" w:name="_Toc19394221"/>
      <w:r>
        <w:rPr>
          <w:rFonts w:hint="cs"/>
          <w:rtl/>
        </w:rPr>
        <w:t>דברי הרמב"ן והר"ן דלרב הונא ההגרמה במקום שחיטה ולכן כשגמר את רוב הקנה בשחיטה כשר</w:t>
      </w:r>
      <w:bookmarkEnd w:id="13114"/>
      <w:bookmarkEnd w:id="13115"/>
      <w:bookmarkEnd w:id="13116"/>
      <w:bookmarkEnd w:id="13117"/>
      <w:bookmarkEnd w:id="13118"/>
      <w:bookmarkEnd w:id="13119"/>
      <w:bookmarkEnd w:id="13120"/>
      <w:bookmarkEnd w:id="13121"/>
    </w:p>
    <w:p w14:paraId="402C8D16" w14:textId="77777777" w:rsidR="00D53B7D" w:rsidRDefault="00D53B7D" w:rsidP="00223668">
      <w:pPr>
        <w:pStyle w:val="a0"/>
        <w:rPr>
          <w:rtl/>
        </w:rPr>
      </w:pPr>
      <w:bookmarkStart w:id="13122" w:name="_Ref532885767"/>
      <w:bookmarkStart w:id="13123" w:name="_Ref532154105"/>
      <w:r>
        <w:rPr>
          <w:rFonts w:hint="cs"/>
          <w:rtl/>
        </w:rPr>
        <w:t xml:space="preserve">אבל </w:t>
      </w:r>
      <w:r w:rsidRPr="000241CE">
        <w:rPr>
          <w:rStyle w:val="af9"/>
          <w:rFonts w:hint="cs"/>
          <w:rtl/>
        </w:rPr>
        <w:t>הרמב"ן</w:t>
      </w:r>
      <w:r>
        <w:rPr>
          <w:rFonts w:hint="cs"/>
          <w:rtl/>
        </w:rPr>
        <w:t xml:space="preserve"> </w:t>
      </w:r>
      <w:r w:rsidRPr="000241CE">
        <w:rPr>
          <w:rStyle w:val="af7"/>
          <w:rFonts w:eastAsia="Guttman Hodes" w:hint="cs"/>
          <w:rtl/>
        </w:rPr>
        <w:t>(ד"ה וכללא)</w:t>
      </w:r>
      <w:r>
        <w:rPr>
          <w:rFonts w:hint="cs"/>
          <w:rtl/>
        </w:rPr>
        <w:t xml:space="preserve"> </w:t>
      </w:r>
      <w:r>
        <w:rPr>
          <w:rStyle w:val="af9"/>
          <w:rFonts w:hint="cs"/>
          <w:rtl/>
        </w:rPr>
        <w:t>ו</w:t>
      </w:r>
      <w:r w:rsidRPr="007E006E">
        <w:rPr>
          <w:rStyle w:val="af9"/>
          <w:rFonts w:hint="cs"/>
          <w:rtl/>
        </w:rPr>
        <w:t xml:space="preserve">הר"ן על הרי"ף </w:t>
      </w:r>
      <w:r w:rsidRPr="007E006E">
        <w:rPr>
          <w:rStyle w:val="af7"/>
          <w:rFonts w:eastAsia="Guttman Hodes" w:hint="cs"/>
          <w:rtl/>
        </w:rPr>
        <w:t>(ה: מדפי הרי"ף ד"ה ושחט)</w:t>
      </w:r>
      <w:r w:rsidRPr="007E006E">
        <w:rPr>
          <w:rFonts w:hint="cs"/>
          <w:rtl/>
        </w:rPr>
        <w:t xml:space="preserve"> </w:t>
      </w:r>
      <w:r>
        <w:rPr>
          <w:rFonts w:hint="cs"/>
          <w:rtl/>
        </w:rPr>
        <w:t xml:space="preserve">ביארו דהמחלוקת של רב הונא ורב יהודה, היא האם הגרמה היא במקום הראוי לשחיטה, דלדעת רב הונא ההגרמה היא במקום הראוי לשחיטה, </w:t>
      </w:r>
      <w:r w:rsidRPr="007E006E">
        <w:rPr>
          <w:rFonts w:hint="cs"/>
          <w:rtl/>
        </w:rPr>
        <w:t>אלא שהוא נשחט שלא כדיני השחיטה,</w:t>
      </w:r>
      <w:r>
        <w:rPr>
          <w:rFonts w:hint="cs"/>
          <w:rtl/>
        </w:rPr>
        <w:t xml:space="preserve"> ולכן </w:t>
      </w:r>
      <w:r w:rsidRPr="007E006E">
        <w:rPr>
          <w:rFonts w:hint="cs"/>
          <w:rtl/>
        </w:rPr>
        <w:t xml:space="preserve">אם גמר את חתיכת רוב הקנה </w:t>
      </w:r>
      <w:r>
        <w:rPr>
          <w:rFonts w:hint="cs"/>
          <w:rtl/>
        </w:rPr>
        <w:t xml:space="preserve">בשחיטה כשר, </w:t>
      </w:r>
      <w:r w:rsidRPr="007E006E">
        <w:rPr>
          <w:rFonts w:hint="cs"/>
          <w:rtl/>
        </w:rPr>
        <w:t>ואם גמר את רוב הקנה בהגרמה פסול,</w:t>
      </w:r>
      <w:r w:rsidRPr="00F431A2">
        <w:rPr>
          <w:rFonts w:hint="cs"/>
          <w:rtl/>
        </w:rPr>
        <w:t xml:space="preserve"> </w:t>
      </w:r>
      <w:r>
        <w:rPr>
          <w:rFonts w:hint="cs"/>
          <w:rtl/>
        </w:rPr>
        <w:t xml:space="preserve">והוסיף </w:t>
      </w:r>
      <w:r w:rsidRPr="00F431A2">
        <w:rPr>
          <w:rStyle w:val="af9"/>
          <w:rFonts w:hint="cs"/>
          <w:rtl/>
        </w:rPr>
        <w:t>הר"ן על הרי"ף</w:t>
      </w:r>
      <w:r>
        <w:rPr>
          <w:rFonts w:hint="cs"/>
          <w:rtl/>
        </w:rPr>
        <w:t xml:space="preserve"> דמשו"ה דמיא הגרמה ל</w:t>
      </w:r>
      <w:r w:rsidRPr="007E006E">
        <w:rPr>
          <w:rFonts w:hint="cs"/>
          <w:rtl/>
        </w:rPr>
        <w:t>חצי קנה פגום</w:t>
      </w:r>
      <w:r>
        <w:rPr>
          <w:rFonts w:hint="cs"/>
          <w:rtl/>
        </w:rPr>
        <w:t>.</w:t>
      </w:r>
      <w:bookmarkEnd w:id="13122"/>
    </w:p>
    <w:p w14:paraId="082D492E" w14:textId="77777777" w:rsidR="00D53B7D" w:rsidRPr="003C2876" w:rsidRDefault="00D53B7D" w:rsidP="006D6D32">
      <w:pPr>
        <w:pStyle w:val="a3"/>
      </w:pPr>
      <w:bookmarkStart w:id="13124" w:name="_Toc532849426"/>
      <w:bookmarkStart w:id="13125" w:name="_Toc532897045"/>
      <w:bookmarkStart w:id="13126" w:name="_Toc532901819"/>
      <w:bookmarkStart w:id="13127" w:name="_Toc532976784"/>
      <w:bookmarkStart w:id="13128" w:name="_Toc532982458"/>
      <w:bookmarkStart w:id="13129" w:name="_Toc532982616"/>
      <w:bookmarkStart w:id="13130" w:name="_Toc19390725"/>
      <w:bookmarkStart w:id="13131" w:name="_Toc19394222"/>
      <w:r>
        <w:rPr>
          <w:rFonts w:hint="cs"/>
          <w:rtl/>
        </w:rPr>
        <w:t>דברי הרמב"ן והר"ן דלרב יהודה ההגרמה אינה במקום שחיטה ורק כשרוב הסימן נשחט כשר</w:t>
      </w:r>
      <w:bookmarkEnd w:id="13124"/>
      <w:bookmarkEnd w:id="13125"/>
      <w:bookmarkEnd w:id="13126"/>
      <w:bookmarkEnd w:id="13127"/>
      <w:bookmarkEnd w:id="13128"/>
      <w:bookmarkEnd w:id="13129"/>
      <w:bookmarkEnd w:id="13130"/>
      <w:bookmarkEnd w:id="13131"/>
    </w:p>
    <w:p w14:paraId="4C5D286D" w14:textId="77777777" w:rsidR="00D53B7D" w:rsidRDefault="00D53B7D" w:rsidP="00223668">
      <w:pPr>
        <w:pStyle w:val="a0"/>
        <w:rPr>
          <w:rtl/>
        </w:rPr>
      </w:pPr>
      <w:bookmarkStart w:id="13132" w:name="_Ref532885744"/>
      <w:r>
        <w:rPr>
          <w:rFonts w:hint="cs"/>
          <w:rtl/>
        </w:rPr>
        <w:t xml:space="preserve">ובדעת רב יהודה ביארו </w:t>
      </w:r>
      <w:r w:rsidRPr="000241CE">
        <w:rPr>
          <w:rStyle w:val="af9"/>
          <w:rFonts w:hint="cs"/>
          <w:rtl/>
        </w:rPr>
        <w:t>הרמב"ן</w:t>
      </w:r>
      <w:r>
        <w:rPr>
          <w:rFonts w:hint="cs"/>
          <w:rtl/>
        </w:rPr>
        <w:t xml:space="preserve"> </w:t>
      </w:r>
      <w:bookmarkStart w:id="13133" w:name="_Ref532464305"/>
      <w:bookmarkEnd w:id="13123"/>
      <w:r>
        <w:rPr>
          <w:rStyle w:val="af9"/>
          <w:rFonts w:hint="cs"/>
          <w:rtl/>
        </w:rPr>
        <w:t>ו</w:t>
      </w:r>
      <w:r w:rsidRPr="007E006E">
        <w:rPr>
          <w:rStyle w:val="af9"/>
          <w:rFonts w:hint="cs"/>
          <w:rtl/>
        </w:rPr>
        <w:t>הר"ן על הרי"ף</w:t>
      </w:r>
      <w:r>
        <w:rPr>
          <w:rStyle w:val="af9"/>
          <w:rFonts w:hint="cs"/>
          <w:rtl/>
        </w:rPr>
        <w:t xml:space="preserve"> </w:t>
      </w:r>
      <w:r>
        <w:rPr>
          <w:rFonts w:hint="cs"/>
          <w:rtl/>
        </w:rPr>
        <w:t>דס"ל דההגרמה אינה מקום שחיטה, אלא הוא מקום שמטריף את הבהמה, ולכן אם שחט את רוב הקנה בין אם שחט בתחילה או בסוף כשר, וכן אם שחט והגרים ושחט שיש רוב בשחיטה כשר, אבל אם הגרים ושחט והגרים פסל רב יהודה, דכיון שחותך במקום שאינו מקום שחיטה אינו יכול להכשירה, ולא נחתך רוב הסימן בשחיטה</w:t>
      </w:r>
      <w:r>
        <w:rPr>
          <w:rStyle w:val="af1"/>
          <w:rtl/>
        </w:rPr>
        <w:footnoteReference w:id="87"/>
      </w:r>
      <w:r>
        <w:rPr>
          <w:rFonts w:hint="cs"/>
          <w:rtl/>
        </w:rPr>
        <w:t xml:space="preserve">, ועי' במה שביאר </w:t>
      </w:r>
      <w:r w:rsidRPr="00D40133">
        <w:rPr>
          <w:rStyle w:val="af9"/>
          <w:rFonts w:hint="cs"/>
          <w:rtl/>
        </w:rPr>
        <w:t>המשנת ר"א</w:t>
      </w:r>
      <w:r>
        <w:rPr>
          <w:rFonts w:hint="cs"/>
          <w:rtl/>
        </w:rPr>
        <w:t xml:space="preserve"> </w:t>
      </w:r>
      <w:r w:rsidRPr="00D40133">
        <w:rPr>
          <w:rStyle w:val="af7"/>
          <w:rFonts w:eastAsia="Guttman Hodes" w:hint="cs"/>
          <w:rtl/>
        </w:rPr>
        <w:t xml:space="preserve">(עי' </w:t>
      </w:r>
      <w:r w:rsidRPr="003F52CA">
        <w:rPr>
          <w:rStyle w:val="af7"/>
          <w:rFonts w:eastAsia="Guttman Hodes" w:hint="cs"/>
          <w:rtl/>
        </w:rPr>
        <w:t xml:space="preserve">אות </w:t>
      </w:r>
      <w:r w:rsidRPr="003F52CA">
        <w:rPr>
          <w:rStyle w:val="af7"/>
          <w:rFonts w:eastAsia="Guttman Hodes"/>
          <w:rtl/>
        </w:rPr>
        <w:fldChar w:fldCharType="begin"/>
      </w:r>
      <w:r w:rsidRPr="003F52CA">
        <w:rPr>
          <w:rStyle w:val="af7"/>
          <w:rFonts w:eastAsia="Guttman Hodes"/>
          <w:rtl/>
        </w:rPr>
        <w:instrText xml:space="preserve"> </w:instrText>
      </w:r>
      <w:r w:rsidRPr="003F52CA">
        <w:rPr>
          <w:rStyle w:val="af7"/>
          <w:rFonts w:eastAsia="Guttman Hodes" w:hint="cs"/>
        </w:rPr>
        <w:instrText>REF</w:instrText>
      </w:r>
      <w:r w:rsidRPr="003F52CA">
        <w:rPr>
          <w:rStyle w:val="af7"/>
          <w:rFonts w:eastAsia="Guttman Hodes" w:hint="cs"/>
          <w:rtl/>
        </w:rPr>
        <w:instrText xml:space="preserve"> _</w:instrText>
      </w:r>
      <w:r w:rsidRPr="003F52CA">
        <w:rPr>
          <w:rStyle w:val="af7"/>
          <w:rFonts w:eastAsia="Guttman Hodes" w:hint="cs"/>
        </w:rPr>
        <w:instrText>Ref532976887 \r \h</w:instrText>
      </w:r>
      <w:r w:rsidRPr="003F52CA">
        <w:rPr>
          <w:rStyle w:val="af7"/>
          <w:rFonts w:eastAsia="Guttman Hodes"/>
          <w:rtl/>
        </w:rPr>
        <w:instrText xml:space="preserve"> </w:instrText>
      </w:r>
      <w:r w:rsidRPr="003F52CA">
        <w:rPr>
          <w:rStyle w:val="af7"/>
          <w:rFonts w:eastAsia="Guttman Hodes"/>
          <w:rtl/>
        </w:rPr>
      </w:r>
      <w:r w:rsidRPr="003F52CA">
        <w:rPr>
          <w:rStyle w:val="af7"/>
          <w:rFonts w:eastAsia="Guttman Hodes"/>
          <w:rtl/>
        </w:rPr>
        <w:fldChar w:fldCharType="separate"/>
      </w:r>
      <w:r w:rsidR="00345400">
        <w:rPr>
          <w:rStyle w:val="af7"/>
          <w:rFonts w:eastAsia="Guttman Hodes"/>
          <w:cs/>
        </w:rPr>
        <w:t>‎</w:t>
      </w:r>
      <w:r w:rsidR="00345400">
        <w:rPr>
          <w:rStyle w:val="af7"/>
          <w:rFonts w:eastAsia="Guttman Hodes"/>
          <w:rtl/>
        </w:rPr>
        <w:t>קו)</w:t>
      </w:r>
      <w:r w:rsidRPr="003F52CA">
        <w:rPr>
          <w:rStyle w:val="af7"/>
          <w:rFonts w:eastAsia="Guttman Hodes"/>
          <w:rtl/>
        </w:rPr>
        <w:fldChar w:fldCharType="end"/>
      </w:r>
      <w:r>
        <w:rPr>
          <w:rFonts w:hint="cs"/>
          <w:rtl/>
        </w:rPr>
        <w:t xml:space="preserve"> בדעת </w:t>
      </w:r>
      <w:r w:rsidRPr="00D40133">
        <w:rPr>
          <w:rStyle w:val="af9"/>
          <w:rFonts w:hint="cs"/>
          <w:rtl/>
        </w:rPr>
        <w:t>הר"ן.</w:t>
      </w:r>
      <w:bookmarkEnd w:id="13132"/>
      <w:bookmarkEnd w:id="13133"/>
    </w:p>
    <w:p w14:paraId="2CE4B8B6" w14:textId="77777777" w:rsidR="00D53B7D" w:rsidRPr="00166BF9" w:rsidRDefault="00D53B7D" w:rsidP="006D6D32">
      <w:pPr>
        <w:pStyle w:val="a3"/>
        <w:rPr>
          <w:rtl/>
        </w:rPr>
      </w:pPr>
      <w:bookmarkStart w:id="13134" w:name="_Toc532901821"/>
      <w:bookmarkStart w:id="13135" w:name="_Toc532976785"/>
      <w:bookmarkStart w:id="13136" w:name="_Toc532982459"/>
      <w:bookmarkStart w:id="13137" w:name="_Toc532982617"/>
      <w:bookmarkStart w:id="13138" w:name="_Toc19390726"/>
      <w:bookmarkStart w:id="13139" w:name="_Toc19394223"/>
      <w:bookmarkStart w:id="13140" w:name="_Toc532844825"/>
      <w:bookmarkStart w:id="13141" w:name="_Toc532849427"/>
      <w:bookmarkStart w:id="13142" w:name="_Toc532897046"/>
      <w:bookmarkStart w:id="13143" w:name="_Toc532550657"/>
      <w:bookmarkStart w:id="13144" w:name="_Toc532550723"/>
      <w:bookmarkStart w:id="13145" w:name="_Toc532810228"/>
      <w:bookmarkStart w:id="13146" w:name="_Toc532844824"/>
      <w:bookmarkStart w:id="13147" w:name="_Toc532550656"/>
      <w:bookmarkStart w:id="13148" w:name="_Toc532550722"/>
      <w:bookmarkStart w:id="13149" w:name="_Toc532810227"/>
      <w:r>
        <w:rPr>
          <w:rFonts w:hint="cs"/>
          <w:rtl/>
        </w:rPr>
        <w:t>דברי הריב"ם והרא"ש דהגרמה אינה במקום שחיטה וכשוחט ברגלה</w:t>
      </w:r>
      <w:bookmarkEnd w:id="13134"/>
      <w:bookmarkEnd w:id="13135"/>
      <w:bookmarkEnd w:id="13136"/>
      <w:bookmarkEnd w:id="13137"/>
      <w:bookmarkEnd w:id="13138"/>
      <w:bookmarkEnd w:id="13139"/>
    </w:p>
    <w:p w14:paraId="5D8EF329" w14:textId="77777777" w:rsidR="00D53B7D" w:rsidRDefault="00D53B7D" w:rsidP="00223668">
      <w:pPr>
        <w:pStyle w:val="a0"/>
        <w:rPr>
          <w:rtl/>
        </w:rPr>
      </w:pPr>
      <w:bookmarkStart w:id="13150" w:name="_Ref532982567"/>
      <w:r>
        <w:rPr>
          <w:rFonts w:hint="cs"/>
          <w:rtl/>
        </w:rPr>
        <w:t xml:space="preserve">וע"ע בדברי </w:t>
      </w:r>
      <w:r w:rsidRPr="00E924F1">
        <w:rPr>
          <w:rStyle w:val="af9"/>
          <w:rFonts w:hint="cs"/>
          <w:rtl/>
        </w:rPr>
        <w:t>הריב"ם בתוס' לקמן</w:t>
      </w:r>
      <w:r>
        <w:rPr>
          <w:rFonts w:hint="cs"/>
          <w:rtl/>
        </w:rPr>
        <w:t xml:space="preserve"> </w:t>
      </w:r>
      <w:r w:rsidRPr="00E924F1">
        <w:rPr>
          <w:rStyle w:val="af7"/>
          <w:rFonts w:eastAsia="Guttman Hodes" w:hint="cs"/>
          <w:rtl/>
        </w:rPr>
        <w:t>(ל: ד"ה החליד)</w:t>
      </w:r>
      <w:r>
        <w:rPr>
          <w:rFonts w:hint="cs"/>
          <w:rtl/>
        </w:rPr>
        <w:t xml:space="preserve"> </w:t>
      </w:r>
      <w:r>
        <w:rPr>
          <w:rStyle w:val="af9"/>
          <w:rFonts w:hint="cs"/>
          <w:rtl/>
        </w:rPr>
        <w:t>ו</w:t>
      </w:r>
      <w:r w:rsidRPr="00BA7BCA">
        <w:rPr>
          <w:rStyle w:val="af9"/>
          <w:rFonts w:hint="cs"/>
          <w:rtl/>
        </w:rPr>
        <w:t>הרא"ש</w:t>
      </w:r>
      <w:r>
        <w:rPr>
          <w:rFonts w:hint="cs"/>
          <w:rtl/>
        </w:rPr>
        <w:t xml:space="preserve"> </w:t>
      </w:r>
      <w:r w:rsidRPr="00BA7BCA">
        <w:rPr>
          <w:rStyle w:val="af7"/>
          <w:rFonts w:eastAsia="Guttman Hodes" w:hint="cs"/>
          <w:rtl/>
        </w:rPr>
        <w:t>(סו"ס כ"ד)</w:t>
      </w:r>
      <w:r>
        <w:rPr>
          <w:rFonts w:hint="cs"/>
          <w:rtl/>
        </w:rPr>
        <w:t xml:space="preserve"> דכתבו דהגרמה אינה במקום שחיטה, וחשיב כשוחט ברגלה.</w:t>
      </w:r>
      <w:bookmarkEnd w:id="13150"/>
    </w:p>
    <w:p w14:paraId="50134BF4" w14:textId="77777777" w:rsidR="00D53B7D" w:rsidRPr="000007F3" w:rsidRDefault="00D53B7D" w:rsidP="00BF39B2">
      <w:pPr>
        <w:pStyle w:val="1"/>
        <w:rPr>
          <w:rtl/>
        </w:rPr>
      </w:pPr>
      <w:bookmarkStart w:id="13151" w:name="_Toc532901822"/>
      <w:bookmarkStart w:id="13152" w:name="_Toc532976786"/>
      <w:bookmarkStart w:id="13153" w:name="_Toc532982460"/>
      <w:bookmarkStart w:id="13154" w:name="_Toc532982618"/>
      <w:bookmarkStart w:id="13155" w:name="_Toc19390727"/>
      <w:bookmarkStart w:id="13156" w:name="_Toc19394224"/>
      <w:r>
        <w:rPr>
          <w:rFonts w:hint="cs"/>
          <w:rtl/>
        </w:rPr>
        <w:t>דברי הריב"ש</w:t>
      </w:r>
      <w:bookmarkEnd w:id="13140"/>
      <w:r>
        <w:rPr>
          <w:rFonts w:hint="cs"/>
          <w:rtl/>
        </w:rPr>
        <w:t xml:space="preserve"> דלרב הונא אין דין שישחט הכל במקום שחיטה</w:t>
      </w:r>
      <w:bookmarkEnd w:id="13141"/>
      <w:bookmarkEnd w:id="13142"/>
      <w:bookmarkEnd w:id="13151"/>
      <w:bookmarkEnd w:id="13152"/>
      <w:bookmarkEnd w:id="13153"/>
      <w:bookmarkEnd w:id="13154"/>
      <w:bookmarkEnd w:id="13155"/>
      <w:bookmarkEnd w:id="13156"/>
    </w:p>
    <w:p w14:paraId="0F55A43D" w14:textId="77777777" w:rsidR="00D53B7D" w:rsidRDefault="00D53B7D" w:rsidP="006D6D32">
      <w:pPr>
        <w:pStyle w:val="a3"/>
        <w:rPr>
          <w:rtl/>
        </w:rPr>
      </w:pPr>
      <w:bookmarkStart w:id="13157" w:name="_Toc532849428"/>
      <w:bookmarkStart w:id="13158" w:name="_Toc532897047"/>
      <w:bookmarkStart w:id="13159" w:name="_Toc532901823"/>
      <w:bookmarkStart w:id="13160" w:name="_Toc532976787"/>
      <w:bookmarkStart w:id="13161" w:name="_Toc532982461"/>
      <w:bookmarkStart w:id="13162" w:name="_Toc532982619"/>
      <w:bookmarkStart w:id="13163" w:name="_Toc19390728"/>
      <w:bookmarkStart w:id="13164" w:name="_Toc19394225"/>
      <w:r>
        <w:rPr>
          <w:rFonts w:hint="cs"/>
          <w:rtl/>
        </w:rPr>
        <w:t>דברי הריב"ש דלרב הונא ההגרמה מצטרפת לשחיטה אף שאינה במקום שחיטה</w:t>
      </w:r>
      <w:bookmarkEnd w:id="13157"/>
      <w:bookmarkEnd w:id="13158"/>
      <w:bookmarkEnd w:id="13159"/>
      <w:bookmarkEnd w:id="13160"/>
      <w:bookmarkEnd w:id="13161"/>
      <w:bookmarkEnd w:id="13162"/>
      <w:bookmarkEnd w:id="13163"/>
      <w:bookmarkEnd w:id="13164"/>
    </w:p>
    <w:p w14:paraId="638A6E68" w14:textId="77777777" w:rsidR="00D53B7D" w:rsidRDefault="00D53B7D" w:rsidP="00223668">
      <w:pPr>
        <w:pStyle w:val="a0"/>
        <w:rPr>
          <w:rtl/>
        </w:rPr>
      </w:pPr>
      <w:r>
        <w:rPr>
          <w:rStyle w:val="af9"/>
          <w:rFonts w:hint="cs"/>
          <w:rtl/>
        </w:rPr>
        <w:t>ו</w:t>
      </w:r>
      <w:r w:rsidRPr="008E78DF">
        <w:rPr>
          <w:rStyle w:val="af9"/>
          <w:rFonts w:hint="cs"/>
          <w:rtl/>
        </w:rPr>
        <w:t>הריב"ש</w:t>
      </w:r>
      <w:r>
        <w:rPr>
          <w:rFonts w:hint="cs"/>
          <w:rtl/>
        </w:rPr>
        <w:t xml:space="preserve"> </w:t>
      </w:r>
      <w:r w:rsidRPr="008E78DF">
        <w:rPr>
          <w:rStyle w:val="af7"/>
          <w:rFonts w:eastAsia="Guttman Hodes" w:hint="cs"/>
          <w:rtl/>
        </w:rPr>
        <w:t>(</w:t>
      </w:r>
      <w:r>
        <w:rPr>
          <w:rStyle w:val="af7"/>
          <w:rFonts w:eastAsia="Guttman Hodes" w:hint="cs"/>
          <w:rtl/>
        </w:rPr>
        <w:t xml:space="preserve">סי' קצ"ב, סי' </w:t>
      </w:r>
      <w:r w:rsidRPr="008E78DF">
        <w:rPr>
          <w:rStyle w:val="af7"/>
          <w:rFonts w:eastAsia="Guttman Hodes" w:hint="cs"/>
          <w:rtl/>
        </w:rPr>
        <w:t>קפ"ז בתו"ד)</w:t>
      </w:r>
      <w:r>
        <w:rPr>
          <w:rFonts w:hint="cs"/>
          <w:rtl/>
        </w:rPr>
        <w:t xml:space="preserve"> </w:t>
      </w:r>
      <w:r w:rsidRPr="00A6725B">
        <w:rPr>
          <w:rStyle w:val="afb"/>
          <w:rFonts w:hint="cs"/>
          <w:rtl/>
        </w:rPr>
        <w:t xml:space="preserve">[הובא </w:t>
      </w:r>
      <w:r w:rsidRPr="00A6725B">
        <w:rPr>
          <w:rStyle w:val="affa"/>
          <w:rFonts w:hint="cs"/>
          <w:rtl/>
        </w:rPr>
        <w:t>בכס"מ</w:t>
      </w:r>
      <w:r w:rsidRPr="00A6725B">
        <w:rPr>
          <w:rStyle w:val="afb"/>
          <w:rFonts w:hint="cs"/>
          <w:rtl/>
        </w:rPr>
        <w:t xml:space="preserve"> </w:t>
      </w:r>
      <w:r w:rsidRPr="00A6725B">
        <w:rPr>
          <w:rStyle w:val="aff6"/>
          <w:rFonts w:hint="cs"/>
          <w:rtl/>
        </w:rPr>
        <w:t>(שחיטה פ"ג הי"ג)</w:t>
      </w:r>
      <w:r w:rsidRPr="00A6725B">
        <w:rPr>
          <w:rStyle w:val="afb"/>
          <w:rFonts w:hint="cs"/>
          <w:rtl/>
        </w:rPr>
        <w:t xml:space="preserve">] </w:t>
      </w:r>
      <w:r>
        <w:rPr>
          <w:rFonts w:hint="cs"/>
          <w:rtl/>
        </w:rPr>
        <w:t>ביאר בדברי רב הונא דהכשיר בהגרים ושחט והגרים, דאעפ"י שההגרמה אינה במקום שחיטה, אפ"ה השליש המוגרם מצטרף לשחיטה.</w:t>
      </w:r>
    </w:p>
    <w:p w14:paraId="50BA791A" w14:textId="77777777" w:rsidR="00D53B7D" w:rsidRPr="00B90F6C" w:rsidRDefault="00D53B7D" w:rsidP="006D6D32">
      <w:pPr>
        <w:pStyle w:val="a3"/>
      </w:pPr>
      <w:bookmarkStart w:id="13165" w:name="_Toc532849429"/>
      <w:bookmarkStart w:id="13166" w:name="_Toc532897048"/>
      <w:bookmarkStart w:id="13167" w:name="_Toc532901824"/>
      <w:bookmarkStart w:id="13168" w:name="_Toc532976788"/>
      <w:bookmarkStart w:id="13169" w:name="_Toc532982462"/>
      <w:bookmarkStart w:id="13170" w:name="_Toc532982620"/>
      <w:bookmarkStart w:id="13171" w:name="_Toc19390729"/>
      <w:bookmarkStart w:id="13172" w:name="_Toc19394226"/>
      <w:r>
        <w:rPr>
          <w:rFonts w:hint="cs"/>
          <w:rtl/>
        </w:rPr>
        <w:t>ביאור הריב"ש דלרב הונא רק יציאת החיות צריכה להיות במקום שחיטה ולא כל השחיטה</w:t>
      </w:r>
      <w:bookmarkEnd w:id="13165"/>
      <w:bookmarkEnd w:id="13166"/>
      <w:bookmarkEnd w:id="13167"/>
      <w:bookmarkEnd w:id="13168"/>
      <w:bookmarkEnd w:id="13169"/>
      <w:bookmarkEnd w:id="13170"/>
      <w:bookmarkEnd w:id="13171"/>
      <w:bookmarkEnd w:id="13172"/>
      <w:r>
        <w:rPr>
          <w:rFonts w:hint="cs"/>
          <w:rtl/>
        </w:rPr>
        <w:t xml:space="preserve"> </w:t>
      </w:r>
    </w:p>
    <w:p w14:paraId="1CC4B4D0" w14:textId="77777777" w:rsidR="00D53B7D" w:rsidRPr="004328C3" w:rsidRDefault="00D53B7D" w:rsidP="00223668">
      <w:pPr>
        <w:pStyle w:val="a0"/>
        <w:rPr>
          <w:rStyle w:val="afb"/>
          <w:rtl/>
        </w:rPr>
      </w:pPr>
      <w:r w:rsidRPr="00B90F6C">
        <w:rPr>
          <w:rFonts w:hint="cs"/>
          <w:rtl/>
        </w:rPr>
        <w:t xml:space="preserve">וביאר </w:t>
      </w:r>
      <w:r w:rsidRPr="00B90F6C">
        <w:rPr>
          <w:rStyle w:val="af9"/>
          <w:rFonts w:hint="cs"/>
          <w:rtl/>
        </w:rPr>
        <w:t>הריב"ש</w:t>
      </w:r>
      <w:r>
        <w:rPr>
          <w:rFonts w:hint="cs"/>
          <w:rtl/>
        </w:rPr>
        <w:t xml:space="preserve"> דלדעת רב הונא אפשר לבאר דבעיקר דין שחיטה לא נאמר שצריך שכל השחיטה תהיה במקום השחיטה, אלא דנאמר בדין שהחיות תצא במקום השחיטה,</w:t>
      </w:r>
      <w:r w:rsidRPr="00897C57">
        <w:rPr>
          <w:rFonts w:hint="cs"/>
          <w:rtl/>
        </w:rPr>
        <w:t xml:space="preserve"> </w:t>
      </w:r>
      <w:r>
        <w:rPr>
          <w:rFonts w:hint="cs"/>
          <w:rtl/>
        </w:rPr>
        <w:t>ולכן כיון ששחט את השליש האמצעי השחיטה כשרה, [וה"ה בחלדה במיעוט קמא בושט, דכשר אף שנקובת הושט פוסלת במשהו, דכיון שהחליד בדרך שחיטה ובשעת שחיטה, אינו חשיב כנקב</w:t>
      </w:r>
      <w:r>
        <w:rPr>
          <w:rStyle w:val="af1"/>
          <w:rtl/>
        </w:rPr>
        <w:footnoteReference w:id="88"/>
      </w:r>
      <w:r>
        <w:rPr>
          <w:rFonts w:hint="cs"/>
          <w:rtl/>
        </w:rPr>
        <w:t xml:space="preserve">]. </w:t>
      </w:r>
      <w:r w:rsidRPr="004328C3">
        <w:rPr>
          <w:rStyle w:val="afb"/>
          <w:rFonts w:hint="cs"/>
          <w:rtl/>
        </w:rPr>
        <w:t xml:space="preserve">[ומשמע מדברי </w:t>
      </w:r>
      <w:r w:rsidRPr="004328C3">
        <w:rPr>
          <w:rStyle w:val="affa"/>
          <w:rFonts w:hint="cs"/>
          <w:rtl/>
        </w:rPr>
        <w:t>הריב"ש</w:t>
      </w:r>
      <w:r w:rsidRPr="004328C3">
        <w:rPr>
          <w:rStyle w:val="afb"/>
          <w:rFonts w:hint="cs"/>
          <w:rtl/>
        </w:rPr>
        <w:t xml:space="preserve"> דלרב יהודה בדין שחיטה נאמר, שכל ההכשר של השחיטה יהיה במקום שחיטה, ולכן רק כששחט את רוב הסימן כשר].</w:t>
      </w:r>
    </w:p>
    <w:p w14:paraId="41594549" w14:textId="77777777" w:rsidR="00D53B7D" w:rsidRPr="000007F3" w:rsidRDefault="00D53B7D" w:rsidP="00BF39B2">
      <w:pPr>
        <w:pStyle w:val="1"/>
        <w:rPr>
          <w:rtl/>
        </w:rPr>
      </w:pPr>
      <w:bookmarkStart w:id="13173" w:name="_Toc532849430"/>
      <w:bookmarkStart w:id="13174" w:name="_Toc532897049"/>
      <w:bookmarkStart w:id="13175" w:name="_Toc532901825"/>
      <w:bookmarkStart w:id="13176" w:name="_Toc532976789"/>
      <w:bookmarkStart w:id="13177" w:name="_Toc532982463"/>
      <w:bookmarkStart w:id="13178" w:name="_Toc532982621"/>
      <w:bookmarkStart w:id="13179" w:name="_Toc19390730"/>
      <w:bookmarkStart w:id="13180" w:name="_Toc19394227"/>
      <w:r>
        <w:rPr>
          <w:rFonts w:hint="cs"/>
          <w:rtl/>
        </w:rPr>
        <w:t>דברי הריטב"א</w:t>
      </w:r>
      <w:bookmarkEnd w:id="13143"/>
      <w:bookmarkEnd w:id="13144"/>
      <w:bookmarkEnd w:id="13145"/>
      <w:bookmarkEnd w:id="13146"/>
      <w:r>
        <w:rPr>
          <w:rFonts w:hint="cs"/>
          <w:rtl/>
        </w:rPr>
        <w:t xml:space="preserve"> דנחלקו אי צריך רוב חיות או רוב סימן אף מפוזר</w:t>
      </w:r>
      <w:bookmarkEnd w:id="13173"/>
      <w:bookmarkEnd w:id="13174"/>
      <w:bookmarkEnd w:id="13175"/>
      <w:bookmarkEnd w:id="13176"/>
      <w:bookmarkEnd w:id="13177"/>
      <w:bookmarkEnd w:id="13178"/>
      <w:bookmarkEnd w:id="13179"/>
      <w:bookmarkEnd w:id="13180"/>
    </w:p>
    <w:p w14:paraId="18C3E46D" w14:textId="77777777" w:rsidR="00D53B7D" w:rsidRDefault="00D53B7D" w:rsidP="006D6D32">
      <w:pPr>
        <w:pStyle w:val="a3"/>
        <w:rPr>
          <w:rtl/>
        </w:rPr>
      </w:pPr>
      <w:bookmarkStart w:id="13181" w:name="_Toc532849431"/>
      <w:bookmarkStart w:id="13182" w:name="_Toc532897050"/>
      <w:bookmarkStart w:id="13183" w:name="_Toc532901826"/>
      <w:bookmarkStart w:id="13184" w:name="_Toc532976790"/>
      <w:bookmarkStart w:id="13185" w:name="_Toc532982464"/>
      <w:bookmarkStart w:id="13186" w:name="_Toc532982622"/>
      <w:bookmarkStart w:id="13187" w:name="_Toc19390731"/>
      <w:bookmarkStart w:id="13188" w:name="_Toc19394228"/>
      <w:r>
        <w:rPr>
          <w:rFonts w:hint="cs"/>
          <w:rtl/>
        </w:rPr>
        <w:t>קושית הריטב"א מנליה לרב הונא דהכשיר ריבר"י ברוב חיות הא תני במתני' על פני רובה</w:t>
      </w:r>
      <w:bookmarkEnd w:id="13181"/>
      <w:bookmarkEnd w:id="13182"/>
      <w:bookmarkEnd w:id="13183"/>
      <w:bookmarkEnd w:id="13184"/>
      <w:bookmarkEnd w:id="13185"/>
      <w:bookmarkEnd w:id="13186"/>
      <w:bookmarkEnd w:id="13187"/>
      <w:bookmarkEnd w:id="13188"/>
    </w:p>
    <w:p w14:paraId="2E1EFA72" w14:textId="77777777" w:rsidR="00D53B7D" w:rsidRDefault="00D53B7D" w:rsidP="00223668">
      <w:pPr>
        <w:pStyle w:val="a0"/>
        <w:rPr>
          <w:rtl/>
        </w:rPr>
      </w:pPr>
      <w:r>
        <w:rPr>
          <w:rFonts w:hint="cs"/>
          <w:rtl/>
        </w:rPr>
        <w:t xml:space="preserve">כתב </w:t>
      </w:r>
      <w:r w:rsidRPr="00936AE0">
        <w:rPr>
          <w:rStyle w:val="af9"/>
          <w:rFonts w:hint="cs"/>
          <w:rtl/>
        </w:rPr>
        <w:t>הריטב"א</w:t>
      </w:r>
      <w:r>
        <w:rPr>
          <w:rFonts w:hint="cs"/>
          <w:rtl/>
        </w:rPr>
        <w:t xml:space="preserve"> </w:t>
      </w:r>
      <w:r w:rsidRPr="000B7089">
        <w:rPr>
          <w:rStyle w:val="af7"/>
          <w:rFonts w:eastAsia="Guttman Hodes" w:hint="cs"/>
          <w:rtl/>
        </w:rPr>
        <w:t>(יח. ד"ה השוחט, יט. ד"ה ורב יהודה)</w:t>
      </w:r>
      <w:r>
        <w:rPr>
          <w:rFonts w:hint="cs"/>
          <w:rtl/>
        </w:rPr>
        <w:t xml:space="preserve"> דבין רב הונא ובין רב יהודה, ס"ל כריבר</w:t>
      </w:r>
      <w:r>
        <w:rPr>
          <w:rtl/>
        </w:rPr>
        <w:t>"</w:t>
      </w:r>
      <w:r>
        <w:rPr>
          <w:rFonts w:hint="cs"/>
          <w:rtl/>
        </w:rPr>
        <w:t xml:space="preserve">י דכל ששייר בחיטי ברוב הקנה כשרה, והקשה </w:t>
      </w:r>
      <w:r w:rsidRPr="00936AE0">
        <w:rPr>
          <w:rStyle w:val="af9"/>
          <w:rFonts w:hint="cs"/>
          <w:rtl/>
        </w:rPr>
        <w:t>הריטב"א</w:t>
      </w:r>
      <w:r>
        <w:rPr>
          <w:rFonts w:hint="cs"/>
          <w:rtl/>
        </w:rPr>
        <w:t xml:space="preserve"> </w:t>
      </w:r>
      <w:r w:rsidRPr="000B7089">
        <w:rPr>
          <w:rStyle w:val="af7"/>
          <w:rFonts w:eastAsia="Guttman Hodes" w:hint="cs"/>
          <w:rtl/>
        </w:rPr>
        <w:t>(יח. ד"ה השוחט)</w:t>
      </w:r>
      <w:r>
        <w:rPr>
          <w:rFonts w:hint="cs"/>
          <w:rtl/>
        </w:rPr>
        <w:t xml:space="preserve"> דמנא ליה לרב הונא דמכשיר ריבר</w:t>
      </w:r>
      <w:r>
        <w:rPr>
          <w:rtl/>
        </w:rPr>
        <w:t>"</w:t>
      </w:r>
      <w:r>
        <w:rPr>
          <w:rFonts w:hint="cs"/>
          <w:rtl/>
        </w:rPr>
        <w:t>י בהגרים ושחט והגרים</w:t>
      </w:r>
      <w:r w:rsidRPr="008C0417">
        <w:rPr>
          <w:rFonts w:hint="cs"/>
          <w:rtl/>
        </w:rPr>
        <w:t xml:space="preserve">, מחמת שרוב החיות יוצאת בשחיטה, הא ריבר"י הצריך שישייר מלא החוט על פני רוב הטבעת, </w:t>
      </w:r>
      <w:r>
        <w:rPr>
          <w:rFonts w:hint="cs"/>
          <w:rtl/>
        </w:rPr>
        <w:t>וכל מה שנחלקו ריבר"י ור</w:t>
      </w:r>
      <w:r w:rsidRPr="008C0417">
        <w:rPr>
          <w:rFonts w:hint="cs"/>
          <w:rtl/>
        </w:rPr>
        <w:t xml:space="preserve">חב"א הוא </w:t>
      </w:r>
      <w:r>
        <w:rPr>
          <w:rFonts w:hint="cs"/>
          <w:rtl/>
        </w:rPr>
        <w:t>היכן ב</w:t>
      </w:r>
      <w:r w:rsidRPr="008C0417">
        <w:rPr>
          <w:rFonts w:hint="cs"/>
          <w:rtl/>
        </w:rPr>
        <w:t>מקום השחיטה</w:t>
      </w:r>
      <w:r>
        <w:rPr>
          <w:rFonts w:hint="cs"/>
          <w:rtl/>
        </w:rPr>
        <w:t>,</w:t>
      </w:r>
      <w:r w:rsidRPr="008C0417">
        <w:rPr>
          <w:rFonts w:hint="cs"/>
          <w:rtl/>
        </w:rPr>
        <w:t xml:space="preserve"> ו</w:t>
      </w:r>
      <w:r>
        <w:rPr>
          <w:rFonts w:hint="cs"/>
          <w:rtl/>
        </w:rPr>
        <w:t>היכן</w:t>
      </w:r>
      <w:r w:rsidRPr="008C0417">
        <w:rPr>
          <w:rFonts w:hint="cs"/>
          <w:rtl/>
        </w:rPr>
        <w:t xml:space="preserve"> מקום ההגרמה</w:t>
      </w:r>
      <w:r>
        <w:rPr>
          <w:rFonts w:hint="cs"/>
          <w:rtl/>
        </w:rPr>
        <w:t>, ולא מהו הרוב בשחיטה</w:t>
      </w:r>
      <w:r w:rsidRPr="008C0417">
        <w:rPr>
          <w:rFonts w:hint="cs"/>
          <w:rtl/>
        </w:rPr>
        <w:t>.</w:t>
      </w:r>
    </w:p>
    <w:p w14:paraId="757AC0E0" w14:textId="77777777" w:rsidR="00D53B7D" w:rsidRPr="00F96075" w:rsidRDefault="00D53B7D" w:rsidP="006D6D32">
      <w:pPr>
        <w:pStyle w:val="a3"/>
        <w:rPr>
          <w:rtl/>
        </w:rPr>
      </w:pPr>
      <w:bookmarkStart w:id="13189" w:name="_Toc532849432"/>
      <w:bookmarkStart w:id="13190" w:name="_Toc532897051"/>
      <w:bookmarkStart w:id="13191" w:name="_Toc532901827"/>
      <w:bookmarkStart w:id="13192" w:name="_Toc532976791"/>
      <w:bookmarkStart w:id="13193" w:name="_Toc532982465"/>
      <w:bookmarkStart w:id="13194" w:name="_Toc532982623"/>
      <w:bookmarkStart w:id="13195" w:name="_Toc19390732"/>
      <w:bookmarkStart w:id="13196" w:name="_Toc19394229"/>
      <w:r>
        <w:rPr>
          <w:rFonts w:hint="cs"/>
          <w:rtl/>
        </w:rPr>
        <w:t>דברי הריטב"א דרב הונא ביאר בדברי ריבר"י במתני' דצריך לשחוט במקום שמשלים לרוב</w:t>
      </w:r>
      <w:bookmarkEnd w:id="13189"/>
      <w:bookmarkEnd w:id="13190"/>
      <w:bookmarkEnd w:id="13191"/>
      <w:bookmarkEnd w:id="13192"/>
      <w:bookmarkEnd w:id="13193"/>
      <w:bookmarkEnd w:id="13194"/>
      <w:bookmarkEnd w:id="13195"/>
      <w:bookmarkEnd w:id="13196"/>
      <w:r>
        <w:rPr>
          <w:rFonts w:hint="cs"/>
          <w:rtl/>
        </w:rPr>
        <w:t xml:space="preserve"> </w:t>
      </w:r>
    </w:p>
    <w:p w14:paraId="01464CF0" w14:textId="77777777" w:rsidR="00D53B7D" w:rsidRDefault="00D53B7D" w:rsidP="00223668">
      <w:pPr>
        <w:pStyle w:val="a0"/>
      </w:pPr>
      <w:bookmarkStart w:id="13197" w:name="_Ref532831153"/>
      <w:r>
        <w:rPr>
          <w:rFonts w:hint="cs"/>
          <w:rtl/>
        </w:rPr>
        <w:t xml:space="preserve">ותירץ </w:t>
      </w:r>
      <w:r w:rsidRPr="00936AE0">
        <w:rPr>
          <w:rStyle w:val="af9"/>
          <w:rFonts w:hint="cs"/>
          <w:rtl/>
        </w:rPr>
        <w:t>הריטב"א</w:t>
      </w:r>
      <w:r>
        <w:rPr>
          <w:rFonts w:hint="cs"/>
          <w:rtl/>
        </w:rPr>
        <w:t xml:space="preserve"> </w:t>
      </w:r>
      <w:r w:rsidRPr="000B7089">
        <w:rPr>
          <w:rStyle w:val="af7"/>
          <w:rFonts w:eastAsia="Guttman Hodes" w:hint="cs"/>
          <w:rtl/>
        </w:rPr>
        <w:t>(יח. ד"ה השוחט, יט. ד"ה ורב יהודה)</w:t>
      </w:r>
      <w:r>
        <w:rPr>
          <w:rFonts w:hint="cs"/>
          <w:rtl/>
        </w:rPr>
        <w:t xml:space="preserve"> דרב הונא ס"ל דכוונת ריבר</w:t>
      </w:r>
      <w:r>
        <w:rPr>
          <w:rtl/>
        </w:rPr>
        <w:t>"</w:t>
      </w:r>
      <w:r>
        <w:rPr>
          <w:rFonts w:hint="cs"/>
          <w:rtl/>
        </w:rPr>
        <w:t xml:space="preserve">י שצריך לשייר על פני רובא היינו במקום שמשלים לרוב, </w:t>
      </w:r>
      <w:r w:rsidRPr="00936AE0">
        <w:rPr>
          <w:rStyle w:val="afb"/>
          <w:rFonts w:hint="cs"/>
          <w:rtl/>
        </w:rPr>
        <w:t xml:space="preserve">[ולכן אף שאין רוב שחיטה בקנה, מ"מ כיון ששחט במקום שהשלים לרוב מכשיר </w:t>
      </w:r>
      <w:r>
        <w:rPr>
          <w:rStyle w:val="afb"/>
          <w:rFonts w:hint="cs"/>
          <w:rtl/>
        </w:rPr>
        <w:t>ריבר</w:t>
      </w:r>
      <w:r>
        <w:rPr>
          <w:rStyle w:val="afb"/>
          <w:rtl/>
        </w:rPr>
        <w:t>"</w:t>
      </w:r>
      <w:r>
        <w:rPr>
          <w:rStyle w:val="afb"/>
          <w:rFonts w:hint="cs"/>
          <w:rtl/>
        </w:rPr>
        <w:t>י</w:t>
      </w:r>
      <w:r w:rsidRPr="00936AE0">
        <w:rPr>
          <w:rStyle w:val="afb"/>
          <w:rFonts w:hint="cs"/>
          <w:rtl/>
        </w:rPr>
        <w:t>]</w:t>
      </w:r>
      <w:r>
        <w:rPr>
          <w:rFonts w:hint="cs"/>
          <w:rtl/>
        </w:rPr>
        <w:t>.</w:t>
      </w:r>
      <w:bookmarkEnd w:id="13197"/>
      <w:r>
        <w:rPr>
          <w:rFonts w:hint="cs"/>
          <w:rtl/>
        </w:rPr>
        <w:t xml:space="preserve"> [ועי' בדברי </w:t>
      </w:r>
      <w:r w:rsidRPr="00FA6831">
        <w:rPr>
          <w:rStyle w:val="af9"/>
          <w:rFonts w:hint="cs"/>
          <w:rtl/>
        </w:rPr>
        <w:t>החת"ס</w:t>
      </w:r>
      <w:r>
        <w:rPr>
          <w:rFonts w:hint="cs"/>
          <w:rtl/>
        </w:rPr>
        <w:t xml:space="preserve"> </w:t>
      </w:r>
      <w:r>
        <w:rPr>
          <w:rStyle w:val="af7"/>
          <w:rFonts w:eastAsia="Guttman Hodes" w:hint="cs"/>
          <w:rtl/>
        </w:rPr>
        <w:t xml:space="preserve">(עי' </w:t>
      </w:r>
      <w:r w:rsidRPr="00C14D67">
        <w:rPr>
          <w:rStyle w:val="af7"/>
          <w:rFonts w:eastAsia="Guttman Hodes" w:hint="cs"/>
          <w:rtl/>
        </w:rPr>
        <w:t xml:space="preserve">אות </w:t>
      </w:r>
      <w:r w:rsidRPr="00C14D67">
        <w:rPr>
          <w:rStyle w:val="af7"/>
          <w:rFonts w:eastAsia="Guttman Hodes"/>
          <w:rtl/>
        </w:rPr>
        <w:fldChar w:fldCharType="begin"/>
      </w:r>
      <w:r w:rsidRPr="00C14D67">
        <w:rPr>
          <w:rStyle w:val="af7"/>
          <w:rFonts w:eastAsia="Guttman Hodes"/>
          <w:rtl/>
        </w:rPr>
        <w:instrText xml:space="preserve"> </w:instrText>
      </w:r>
      <w:r w:rsidRPr="00C14D67">
        <w:rPr>
          <w:rStyle w:val="af7"/>
          <w:rFonts w:eastAsia="Guttman Hodes" w:hint="cs"/>
        </w:rPr>
        <w:instrText>REF</w:instrText>
      </w:r>
      <w:r w:rsidRPr="00C14D67">
        <w:rPr>
          <w:rStyle w:val="af7"/>
          <w:rFonts w:eastAsia="Guttman Hodes" w:hint="cs"/>
          <w:rtl/>
        </w:rPr>
        <w:instrText xml:space="preserve"> _</w:instrText>
      </w:r>
      <w:r w:rsidRPr="00C14D67">
        <w:rPr>
          <w:rStyle w:val="af7"/>
          <w:rFonts w:eastAsia="Guttman Hodes" w:hint="cs"/>
        </w:rPr>
        <w:instrText>Ref532848516 \r \h</w:instrText>
      </w:r>
      <w:r w:rsidRPr="00C14D67">
        <w:rPr>
          <w:rStyle w:val="af7"/>
          <w:rFonts w:eastAsia="Guttman Hodes"/>
          <w:rtl/>
        </w:rPr>
        <w:instrText xml:space="preserve"> </w:instrText>
      </w:r>
      <w:r w:rsidRPr="00C14D67">
        <w:rPr>
          <w:rStyle w:val="af7"/>
          <w:rFonts w:eastAsia="Guttman Hodes"/>
          <w:rtl/>
        </w:rPr>
      </w:r>
      <w:r w:rsidRPr="00C14D67">
        <w:rPr>
          <w:rStyle w:val="af7"/>
          <w:rFonts w:eastAsia="Guttman Hodes"/>
          <w:rtl/>
        </w:rPr>
        <w:fldChar w:fldCharType="separate"/>
      </w:r>
      <w:r w:rsidR="00345400">
        <w:rPr>
          <w:rStyle w:val="af7"/>
          <w:rFonts w:eastAsia="Guttman Hodes"/>
          <w:cs/>
        </w:rPr>
        <w:t>‎</w:t>
      </w:r>
      <w:r w:rsidR="00345400">
        <w:rPr>
          <w:rStyle w:val="af7"/>
          <w:rFonts w:eastAsia="Guttman Hodes"/>
          <w:rtl/>
        </w:rPr>
        <w:t>ה)</w:t>
      </w:r>
      <w:r w:rsidRPr="00C14D67">
        <w:rPr>
          <w:rStyle w:val="af7"/>
          <w:rFonts w:eastAsia="Guttman Hodes"/>
          <w:rtl/>
        </w:rPr>
        <w:fldChar w:fldCharType="end"/>
      </w:r>
      <w:r>
        <w:rPr>
          <w:rFonts w:hint="cs"/>
          <w:rtl/>
        </w:rPr>
        <w:t xml:space="preserve"> בדעת </w:t>
      </w:r>
      <w:r w:rsidRPr="00FA6831">
        <w:rPr>
          <w:rStyle w:val="af9"/>
          <w:rFonts w:hint="cs"/>
          <w:rtl/>
        </w:rPr>
        <w:t>רש"י</w:t>
      </w:r>
      <w:r>
        <w:rPr>
          <w:rFonts w:hint="cs"/>
          <w:rtl/>
        </w:rPr>
        <w:t xml:space="preserve">]. </w:t>
      </w:r>
    </w:p>
    <w:p w14:paraId="01023489" w14:textId="77777777" w:rsidR="00D53B7D" w:rsidRDefault="00D53B7D" w:rsidP="006D6D32">
      <w:pPr>
        <w:pStyle w:val="a3"/>
        <w:rPr>
          <w:rtl/>
        </w:rPr>
      </w:pPr>
      <w:bookmarkStart w:id="13198" w:name="_Toc532849433"/>
      <w:bookmarkStart w:id="13199" w:name="_Toc532897052"/>
      <w:bookmarkStart w:id="13200" w:name="_Toc532901828"/>
      <w:bookmarkStart w:id="13201" w:name="_Toc532976792"/>
      <w:bookmarkStart w:id="13202" w:name="_Toc532982466"/>
      <w:bookmarkStart w:id="13203" w:name="_Toc532982624"/>
      <w:bookmarkStart w:id="13204" w:name="_Toc19390733"/>
      <w:bookmarkStart w:id="13205" w:name="_Toc19394230"/>
      <w:r>
        <w:rPr>
          <w:rFonts w:hint="cs"/>
          <w:rtl/>
        </w:rPr>
        <w:t>דברי הריטב"א דכיון שלרב הונא יציאת החיות מכשרת סגי בפחות משליש בשחיטה</w:t>
      </w:r>
      <w:bookmarkEnd w:id="13198"/>
      <w:bookmarkEnd w:id="13199"/>
      <w:bookmarkEnd w:id="13200"/>
      <w:bookmarkEnd w:id="13201"/>
      <w:bookmarkEnd w:id="13202"/>
      <w:bookmarkEnd w:id="13203"/>
      <w:bookmarkEnd w:id="13204"/>
      <w:bookmarkEnd w:id="13205"/>
    </w:p>
    <w:p w14:paraId="4CA618BA" w14:textId="77777777" w:rsidR="00D53B7D" w:rsidRPr="001D72BA" w:rsidRDefault="00D53B7D" w:rsidP="00223668">
      <w:pPr>
        <w:pStyle w:val="a0"/>
        <w:rPr>
          <w:rtl/>
        </w:rPr>
      </w:pPr>
      <w:r>
        <w:rPr>
          <w:rFonts w:hint="cs"/>
          <w:rtl/>
        </w:rPr>
        <w:t xml:space="preserve">וכתב </w:t>
      </w:r>
      <w:r w:rsidRPr="00934EA0">
        <w:rPr>
          <w:rStyle w:val="af9"/>
          <w:rFonts w:hint="cs"/>
          <w:rtl/>
        </w:rPr>
        <w:t>הריטב"א</w:t>
      </w:r>
      <w:r>
        <w:rPr>
          <w:rFonts w:hint="cs"/>
          <w:rtl/>
        </w:rPr>
        <w:t xml:space="preserve"> </w:t>
      </w:r>
      <w:r w:rsidRPr="00934EA0">
        <w:rPr>
          <w:rStyle w:val="af7"/>
          <w:rFonts w:eastAsia="Guttman Hodes" w:hint="cs"/>
          <w:rtl/>
        </w:rPr>
        <w:t>(ד"ה הגרים שליש)</w:t>
      </w:r>
      <w:r>
        <w:rPr>
          <w:rFonts w:hint="cs"/>
          <w:rtl/>
        </w:rPr>
        <w:t xml:space="preserve"> דכיון דסברת רב הונא היא דכל שהחיות יוצאת בשחיטה כשר, א"כ </w:t>
      </w:r>
      <w:r w:rsidRPr="001D72BA">
        <w:rPr>
          <w:rFonts w:hint="cs"/>
          <w:rtl/>
        </w:rPr>
        <w:t xml:space="preserve">מבואר דהא דמכשיר רב הונא אינו רק בהגרים שליש ושחט שליש, אלא אף בהגרים חצי והשלים בשחיטה לרוב כשר, והא דנקט ושחט שליש הוא לרווחא דמילתא. </w:t>
      </w:r>
      <w:r w:rsidRPr="00D062B2">
        <w:rPr>
          <w:rStyle w:val="afb"/>
          <w:rFonts w:hint="cs"/>
          <w:rtl/>
        </w:rPr>
        <w:t xml:space="preserve">[ועי' בדברי </w:t>
      </w:r>
      <w:r w:rsidRPr="00D062B2">
        <w:rPr>
          <w:rStyle w:val="affa"/>
          <w:rFonts w:hint="cs"/>
          <w:rtl/>
        </w:rPr>
        <w:t>הרמב"ן והר"ן</w:t>
      </w:r>
      <w:r w:rsidRPr="00D062B2">
        <w:rPr>
          <w:rStyle w:val="aff6"/>
          <w:rFonts w:hint="cs"/>
          <w:rtl/>
        </w:rPr>
        <w:t xml:space="preserve"> (עי' אות </w:t>
      </w:r>
      <w:r w:rsidRPr="00D062B2">
        <w:rPr>
          <w:rStyle w:val="aff6"/>
          <w:rtl/>
        </w:rPr>
        <w:fldChar w:fldCharType="begin"/>
      </w:r>
      <w:r w:rsidRPr="00D062B2">
        <w:rPr>
          <w:rStyle w:val="aff6"/>
          <w:rtl/>
        </w:rPr>
        <w:instrText xml:space="preserve"> </w:instrText>
      </w:r>
      <w:r w:rsidRPr="00D062B2">
        <w:rPr>
          <w:rStyle w:val="aff6"/>
          <w:rFonts w:hint="cs"/>
        </w:rPr>
        <w:instrText>REF</w:instrText>
      </w:r>
      <w:r w:rsidRPr="00D062B2">
        <w:rPr>
          <w:rStyle w:val="aff6"/>
          <w:rFonts w:hint="cs"/>
          <w:rtl/>
        </w:rPr>
        <w:instrText xml:space="preserve"> _</w:instrText>
      </w:r>
      <w:r w:rsidRPr="00D062B2">
        <w:rPr>
          <w:rStyle w:val="aff6"/>
          <w:rFonts w:hint="cs"/>
        </w:rPr>
        <w:instrText>Ref532832177 \r \h</w:instrText>
      </w:r>
      <w:r w:rsidRPr="00D062B2">
        <w:rPr>
          <w:rStyle w:val="aff6"/>
          <w:rtl/>
        </w:rPr>
        <w:instrText xml:space="preserve">  \* </w:instrText>
      </w:r>
      <w:r w:rsidRPr="00D062B2">
        <w:rPr>
          <w:rStyle w:val="aff6"/>
        </w:rPr>
        <w:instrText>MERGEFORMAT</w:instrText>
      </w:r>
      <w:r w:rsidRPr="00D062B2">
        <w:rPr>
          <w:rStyle w:val="aff6"/>
          <w:rtl/>
        </w:rPr>
        <w:instrText xml:space="preserve"> </w:instrText>
      </w:r>
      <w:r w:rsidRPr="00D062B2">
        <w:rPr>
          <w:rStyle w:val="aff6"/>
          <w:rtl/>
        </w:rPr>
      </w:r>
      <w:r w:rsidRPr="00D062B2">
        <w:rPr>
          <w:rStyle w:val="aff6"/>
          <w:rtl/>
        </w:rPr>
        <w:fldChar w:fldCharType="separate"/>
      </w:r>
      <w:r w:rsidR="00345400">
        <w:rPr>
          <w:rStyle w:val="aff6"/>
          <w:cs/>
        </w:rPr>
        <w:t>‎</w:t>
      </w:r>
      <w:r w:rsidR="00345400">
        <w:rPr>
          <w:rStyle w:val="aff6"/>
          <w:rtl/>
        </w:rPr>
        <w:t>ט)</w:t>
      </w:r>
      <w:r w:rsidRPr="00D062B2">
        <w:rPr>
          <w:rStyle w:val="aff6"/>
          <w:rtl/>
        </w:rPr>
        <w:fldChar w:fldCharType="end"/>
      </w:r>
      <w:r w:rsidRPr="00D062B2">
        <w:rPr>
          <w:rStyle w:val="afb"/>
          <w:rFonts w:hint="cs"/>
          <w:rtl/>
        </w:rPr>
        <w:t xml:space="preserve"> בדעת רבנן בל"ב].</w:t>
      </w:r>
    </w:p>
    <w:p w14:paraId="1B0F7C50" w14:textId="77777777" w:rsidR="00D53B7D" w:rsidRPr="000B7089" w:rsidRDefault="00D53B7D" w:rsidP="006D6D32">
      <w:pPr>
        <w:pStyle w:val="a3"/>
      </w:pPr>
      <w:bookmarkStart w:id="13206" w:name="_Toc532849434"/>
      <w:bookmarkStart w:id="13207" w:name="_Toc532897053"/>
      <w:bookmarkStart w:id="13208" w:name="_Toc532901829"/>
      <w:bookmarkStart w:id="13209" w:name="_Toc532976793"/>
      <w:bookmarkStart w:id="13210" w:name="_Toc532982467"/>
      <w:bookmarkStart w:id="13211" w:name="_Toc532982625"/>
      <w:bookmarkStart w:id="13212" w:name="_Toc19390734"/>
      <w:bookmarkStart w:id="13213" w:name="_Toc19394231"/>
      <w:r>
        <w:rPr>
          <w:rFonts w:hint="cs"/>
          <w:rtl/>
        </w:rPr>
        <w:t>דברי הריטב"א דלרב יהודה ריבר"י מכשיר כשיש רוב שחיטה במקום שחיטה אף ברוב מפוזר</w:t>
      </w:r>
      <w:bookmarkEnd w:id="13206"/>
      <w:bookmarkEnd w:id="13207"/>
      <w:bookmarkEnd w:id="13208"/>
      <w:bookmarkEnd w:id="13209"/>
      <w:bookmarkEnd w:id="13210"/>
      <w:bookmarkEnd w:id="13211"/>
      <w:bookmarkEnd w:id="13212"/>
      <w:bookmarkEnd w:id="13213"/>
    </w:p>
    <w:p w14:paraId="3C20C109" w14:textId="77777777" w:rsidR="00D53B7D" w:rsidRDefault="00D53B7D" w:rsidP="00223668">
      <w:pPr>
        <w:pStyle w:val="a0"/>
        <w:rPr>
          <w:rtl/>
        </w:rPr>
      </w:pPr>
      <w:bookmarkStart w:id="13214" w:name="_Ref532844258"/>
      <w:r>
        <w:rPr>
          <w:rFonts w:hint="cs"/>
          <w:rtl/>
        </w:rPr>
        <w:t xml:space="preserve">ובדעת רב יהודה כתב </w:t>
      </w:r>
      <w:r w:rsidRPr="00936AE0">
        <w:rPr>
          <w:rStyle w:val="af9"/>
          <w:rFonts w:hint="cs"/>
          <w:rtl/>
        </w:rPr>
        <w:t>הריטב"א</w:t>
      </w:r>
      <w:r>
        <w:rPr>
          <w:rFonts w:hint="cs"/>
          <w:rtl/>
        </w:rPr>
        <w:t xml:space="preserve"> </w:t>
      </w:r>
      <w:r w:rsidRPr="000B7089">
        <w:rPr>
          <w:rStyle w:val="af7"/>
          <w:rFonts w:eastAsia="Guttman Hodes" w:hint="cs"/>
          <w:rtl/>
        </w:rPr>
        <w:t>(יח. ד"ה השוחט, יט. ד"ה ורב יהודה)</w:t>
      </w:r>
      <w:r>
        <w:rPr>
          <w:rFonts w:hint="cs"/>
          <w:rtl/>
        </w:rPr>
        <w:t xml:space="preserve"> דס"ל דכוונת ריבר</w:t>
      </w:r>
      <w:r>
        <w:rPr>
          <w:rtl/>
        </w:rPr>
        <w:t>"</w:t>
      </w:r>
      <w:r>
        <w:rPr>
          <w:rFonts w:hint="cs"/>
          <w:rtl/>
        </w:rPr>
        <w:t>י שצריך לשחוט את רוב הטבעת בשחיטה, וכל שיש רוב בשחיטה הכשיר ריבר</w:t>
      </w:r>
      <w:r>
        <w:rPr>
          <w:rtl/>
        </w:rPr>
        <w:t>"</w:t>
      </w:r>
      <w:r>
        <w:rPr>
          <w:rFonts w:hint="cs"/>
          <w:rtl/>
        </w:rPr>
        <w:t>י בין אם שחט רוב בתחילה, דשחט ב' שלישים והגרים שליש, ובין אם שחט רוב בסוף, דהגרים שליש ושחט ב' שלישים, ובין אם הרוב היה מפוזר, דשחט והגרים ושחט, דכיון שיש רוב שחוט במקום שחיטה כשר.</w:t>
      </w:r>
      <w:bookmarkEnd w:id="13214"/>
    </w:p>
    <w:p w14:paraId="4F9A440B" w14:textId="77777777" w:rsidR="00D53B7D" w:rsidRDefault="00D53B7D" w:rsidP="00BF39B2">
      <w:pPr>
        <w:pStyle w:val="1"/>
        <w:rPr>
          <w:rtl/>
        </w:rPr>
      </w:pPr>
      <w:bookmarkStart w:id="13215" w:name="_Toc532844827"/>
      <w:bookmarkStart w:id="13216" w:name="_Toc532849436"/>
      <w:bookmarkStart w:id="13217" w:name="_Toc532897054"/>
      <w:bookmarkStart w:id="13218" w:name="_Toc532901830"/>
      <w:bookmarkStart w:id="13219" w:name="_Toc532976794"/>
      <w:bookmarkStart w:id="13220" w:name="_Toc532982468"/>
      <w:bookmarkStart w:id="13221" w:name="_Toc532982626"/>
      <w:bookmarkStart w:id="13222" w:name="_Toc19390735"/>
      <w:bookmarkStart w:id="13223" w:name="_Toc19394232"/>
      <w:bookmarkStart w:id="13224" w:name="_Toc532302173"/>
      <w:bookmarkStart w:id="13225" w:name="_Toc532453968"/>
      <w:bookmarkStart w:id="13226" w:name="_Toc532454002"/>
      <w:bookmarkStart w:id="13227" w:name="_Toc532550661"/>
      <w:bookmarkStart w:id="13228" w:name="_Toc532550727"/>
      <w:bookmarkStart w:id="13229" w:name="_Toc532810231"/>
      <w:bookmarkStart w:id="13230" w:name="_Toc532844826"/>
      <w:bookmarkStart w:id="13231" w:name="_Toc532849435"/>
      <w:bookmarkStart w:id="13232" w:name="_Toc532810229"/>
      <w:bookmarkEnd w:id="13147"/>
      <w:bookmarkEnd w:id="13148"/>
      <w:bookmarkEnd w:id="13149"/>
      <w:r>
        <w:rPr>
          <w:rFonts w:hint="cs"/>
          <w:rtl/>
        </w:rPr>
        <w:t xml:space="preserve">דברי רש"י </w:t>
      </w:r>
      <w:bookmarkEnd w:id="13215"/>
      <w:bookmarkEnd w:id="13216"/>
      <w:r>
        <w:rPr>
          <w:rFonts w:hint="cs"/>
          <w:rtl/>
        </w:rPr>
        <w:t>בדברי רב חסדא לרב הונא שלא יחזור בו</w:t>
      </w:r>
      <w:bookmarkEnd w:id="13217"/>
      <w:bookmarkEnd w:id="13218"/>
      <w:bookmarkEnd w:id="13219"/>
      <w:bookmarkEnd w:id="13220"/>
      <w:bookmarkEnd w:id="13221"/>
      <w:bookmarkEnd w:id="13222"/>
      <w:bookmarkEnd w:id="13223"/>
    </w:p>
    <w:p w14:paraId="6C3148AA" w14:textId="77777777" w:rsidR="00D53B7D" w:rsidRPr="0007670F" w:rsidRDefault="00D53B7D" w:rsidP="006D6D32">
      <w:pPr>
        <w:pStyle w:val="a3"/>
        <w:rPr>
          <w:rtl/>
        </w:rPr>
      </w:pPr>
      <w:bookmarkStart w:id="13233" w:name="_Toc532897055"/>
      <w:bookmarkStart w:id="13234" w:name="_Toc532901831"/>
      <w:bookmarkStart w:id="13235" w:name="_Toc532976795"/>
      <w:bookmarkStart w:id="13236" w:name="_Toc532982469"/>
      <w:bookmarkStart w:id="13237" w:name="_Toc532982627"/>
      <w:bookmarkStart w:id="13238" w:name="_Toc19390736"/>
      <w:bookmarkStart w:id="13239" w:name="_Toc19394233"/>
      <w:r>
        <w:rPr>
          <w:rFonts w:hint="cs"/>
          <w:rtl/>
        </w:rPr>
        <w:t>דברי רש"י דרב הונא פסל בשחט והגרים ושחט מסברא דנפשיה ולכן חזר בו</w:t>
      </w:r>
      <w:bookmarkEnd w:id="13233"/>
      <w:bookmarkEnd w:id="13234"/>
      <w:bookmarkEnd w:id="13235"/>
      <w:bookmarkEnd w:id="13236"/>
      <w:bookmarkEnd w:id="13237"/>
      <w:bookmarkEnd w:id="13238"/>
      <w:bookmarkEnd w:id="13239"/>
    </w:p>
    <w:p w14:paraId="39BD8676" w14:textId="77777777" w:rsidR="00D53B7D" w:rsidRDefault="00D53B7D" w:rsidP="00223668">
      <w:pPr>
        <w:pStyle w:val="a0"/>
        <w:rPr>
          <w:rtl/>
        </w:rPr>
      </w:pPr>
      <w:r>
        <w:rPr>
          <w:rFonts w:hint="cs"/>
          <w:rtl/>
        </w:rPr>
        <w:t xml:space="preserve">ובדעת רב הונא דרצה לחזור בו, ולהכשיר בשחט והגרים ושחט, כתב </w:t>
      </w:r>
      <w:r w:rsidRPr="001832CC">
        <w:rPr>
          <w:rStyle w:val="af9"/>
          <w:rFonts w:hint="cs"/>
          <w:rtl/>
        </w:rPr>
        <w:t>רש"י</w:t>
      </w:r>
      <w:r>
        <w:rPr>
          <w:rFonts w:hint="cs"/>
          <w:rtl/>
        </w:rPr>
        <w:t xml:space="preserve"> </w:t>
      </w:r>
      <w:r w:rsidRPr="001832CC">
        <w:rPr>
          <w:rStyle w:val="af7"/>
          <w:rFonts w:eastAsia="Guttman Hodes" w:hint="cs"/>
          <w:rtl/>
        </w:rPr>
        <w:t>(ד"ה אתו)</w:t>
      </w:r>
      <w:r>
        <w:rPr>
          <w:rFonts w:hint="cs"/>
          <w:rtl/>
        </w:rPr>
        <w:t xml:space="preserve"> דמתחילה הכשיר רב הונא מסברא דנפשיה ולכן רצה לחזור בו כיון שלא שמע כן מרב, ואילו רב יהודה אמר כן בשם רב, ועי' בדברי </w:t>
      </w:r>
      <w:r w:rsidRPr="00696E54">
        <w:rPr>
          <w:rStyle w:val="af9"/>
          <w:rFonts w:hint="cs"/>
          <w:rtl/>
        </w:rPr>
        <w:t>השיטמ"ק</w:t>
      </w:r>
      <w:r>
        <w:rPr>
          <w:rFonts w:hint="cs"/>
          <w:rtl/>
        </w:rPr>
        <w:t xml:space="preserve"> </w:t>
      </w:r>
      <w:r w:rsidRPr="00696E54">
        <w:rPr>
          <w:rStyle w:val="af7"/>
          <w:rFonts w:eastAsia="Guttman Hodes" w:hint="cs"/>
          <w:rtl/>
        </w:rPr>
        <w:t>(ד"ה אמר רב הונא שפיר)</w:t>
      </w:r>
      <w:r>
        <w:rPr>
          <w:rFonts w:hint="cs"/>
          <w:rtl/>
        </w:rPr>
        <w:t>.</w:t>
      </w:r>
    </w:p>
    <w:p w14:paraId="36DC3B81" w14:textId="77777777" w:rsidR="00D53B7D" w:rsidRPr="001C11F3" w:rsidRDefault="00D53B7D" w:rsidP="006D6D32">
      <w:pPr>
        <w:pStyle w:val="a3"/>
      </w:pPr>
      <w:bookmarkStart w:id="13240" w:name="_Toc532897056"/>
      <w:bookmarkStart w:id="13241" w:name="_Toc532901832"/>
      <w:bookmarkStart w:id="13242" w:name="_Toc532976796"/>
      <w:bookmarkStart w:id="13243" w:name="_Toc532982470"/>
      <w:bookmarkStart w:id="13244" w:name="_Toc532982628"/>
      <w:bookmarkStart w:id="13245" w:name="_Toc19390737"/>
      <w:bookmarkStart w:id="13246" w:name="_Toc19394234"/>
      <w:r>
        <w:rPr>
          <w:rFonts w:hint="cs"/>
          <w:rtl/>
        </w:rPr>
        <w:t>דברי רש"י דרב חסדא הוכיח מדברי רב הונא בשם רב דהכשר שחיטה תלוי ביציאת החיות</w:t>
      </w:r>
      <w:bookmarkEnd w:id="13240"/>
      <w:bookmarkEnd w:id="13241"/>
      <w:bookmarkEnd w:id="13242"/>
      <w:bookmarkEnd w:id="13243"/>
      <w:bookmarkEnd w:id="13244"/>
      <w:bookmarkEnd w:id="13245"/>
      <w:bookmarkEnd w:id="13246"/>
    </w:p>
    <w:p w14:paraId="39E38726" w14:textId="77777777" w:rsidR="00D53B7D" w:rsidRDefault="00D53B7D" w:rsidP="00223668">
      <w:pPr>
        <w:pStyle w:val="a0"/>
        <w:rPr>
          <w:rtl/>
        </w:rPr>
      </w:pPr>
      <w:r>
        <w:rPr>
          <w:rFonts w:hint="cs"/>
          <w:rtl/>
        </w:rPr>
        <w:t xml:space="preserve">ובדברי רב חסדא דאמר לרב הונא שלא יחזור בו, כיון שהכשיר בהגרים ושחט והגרים, ביאר </w:t>
      </w:r>
      <w:r w:rsidRPr="001832CC">
        <w:rPr>
          <w:rStyle w:val="af9"/>
          <w:rFonts w:hint="cs"/>
          <w:rtl/>
        </w:rPr>
        <w:t>רש"י</w:t>
      </w:r>
      <w:r>
        <w:rPr>
          <w:rFonts w:hint="cs"/>
          <w:rtl/>
        </w:rPr>
        <w:t xml:space="preserve"> </w:t>
      </w:r>
      <w:r w:rsidRPr="00102180">
        <w:rPr>
          <w:rStyle w:val="af7"/>
          <w:rFonts w:eastAsia="Guttman Hodes" w:hint="cs"/>
          <w:rtl/>
        </w:rPr>
        <w:t>(יט: ד"ה דא"כ)</w:t>
      </w:r>
      <w:r>
        <w:rPr>
          <w:rFonts w:hint="cs"/>
          <w:rtl/>
        </w:rPr>
        <w:t xml:space="preserve"> דכיון שרב הונא</w:t>
      </w:r>
      <w:r w:rsidRPr="00857108">
        <w:rPr>
          <w:rFonts w:hint="cs"/>
          <w:rtl/>
        </w:rPr>
        <w:t xml:space="preserve"> </w:t>
      </w:r>
      <w:r>
        <w:rPr>
          <w:rFonts w:hint="cs"/>
          <w:rtl/>
        </w:rPr>
        <w:t>שמע מרב דבהגרים ושחט והגרים כשר, א"כ מבואר דס"ל לרב דהכשר השחיטה תלוי ביציאת החיות, שהיא בשליש האמצעי, דהיינו אם נשחט השליש האמצעי כדין כשר, ואינו תלוי אם נשחט רוב הסימן כדין.</w:t>
      </w:r>
    </w:p>
    <w:p w14:paraId="68C49AFD" w14:textId="77777777" w:rsidR="00D53B7D" w:rsidRPr="009C272C" w:rsidRDefault="00D53B7D" w:rsidP="006D6D32">
      <w:pPr>
        <w:pStyle w:val="a3"/>
      </w:pPr>
      <w:bookmarkStart w:id="13247" w:name="_Toc532897057"/>
      <w:bookmarkStart w:id="13248" w:name="_Toc532901833"/>
      <w:bookmarkStart w:id="13249" w:name="_Toc532976797"/>
      <w:bookmarkStart w:id="13250" w:name="_Toc532982471"/>
      <w:bookmarkStart w:id="13251" w:name="_Toc532982629"/>
      <w:bookmarkStart w:id="13252" w:name="_Toc19390738"/>
      <w:bookmarkStart w:id="13253" w:name="_Toc19394235"/>
      <w:r>
        <w:rPr>
          <w:rFonts w:hint="cs"/>
          <w:rtl/>
        </w:rPr>
        <w:t>דברי רש"י דאמר רב חסדא דבשחט והגרים ושחט פסול לדברי רב הונא כיון שיצאה החיות בפסול</w:t>
      </w:r>
      <w:bookmarkEnd w:id="13247"/>
      <w:bookmarkEnd w:id="13248"/>
      <w:bookmarkEnd w:id="13249"/>
      <w:bookmarkEnd w:id="13250"/>
      <w:bookmarkEnd w:id="13251"/>
      <w:bookmarkEnd w:id="13252"/>
      <w:bookmarkEnd w:id="13253"/>
    </w:p>
    <w:p w14:paraId="597AC21C" w14:textId="77777777" w:rsidR="00D53B7D" w:rsidRDefault="00D53B7D" w:rsidP="00223668">
      <w:pPr>
        <w:pStyle w:val="a0"/>
        <w:rPr>
          <w:rtl/>
        </w:rPr>
      </w:pPr>
      <w:r>
        <w:rPr>
          <w:rFonts w:hint="cs"/>
          <w:rtl/>
        </w:rPr>
        <w:t xml:space="preserve">וכתב </w:t>
      </w:r>
      <w:r w:rsidRPr="001832CC">
        <w:rPr>
          <w:rStyle w:val="af9"/>
          <w:rFonts w:hint="cs"/>
          <w:rtl/>
        </w:rPr>
        <w:t>רש"י</w:t>
      </w:r>
      <w:r>
        <w:rPr>
          <w:rFonts w:hint="cs"/>
          <w:rtl/>
        </w:rPr>
        <w:t xml:space="preserve"> </w:t>
      </w:r>
      <w:r w:rsidRPr="00102180">
        <w:rPr>
          <w:rStyle w:val="af7"/>
          <w:rFonts w:eastAsia="Guttman Hodes" w:hint="cs"/>
          <w:rtl/>
        </w:rPr>
        <w:t>(יט: ד"ה הכא)</w:t>
      </w:r>
      <w:r>
        <w:rPr>
          <w:rFonts w:hint="cs"/>
          <w:rtl/>
        </w:rPr>
        <w:t xml:space="preserve"> דאמר רב חסדא לרב הונא דלדבריו בשם רב, דרב פסל בשחט והגרים ושחט, כיון שיציאת החיות הייתה בהגרמה, והכשר השחיטה תלוי ביציאת החיות.</w:t>
      </w:r>
      <w:r w:rsidRPr="00A771FC">
        <w:rPr>
          <w:rFonts w:hint="cs"/>
          <w:rtl/>
        </w:rPr>
        <w:t xml:space="preserve"> </w:t>
      </w:r>
    </w:p>
    <w:p w14:paraId="5575A315" w14:textId="77777777" w:rsidR="00D53B7D" w:rsidRDefault="00D53B7D" w:rsidP="00BF39B2">
      <w:pPr>
        <w:pStyle w:val="1"/>
        <w:rPr>
          <w:rtl/>
        </w:rPr>
      </w:pPr>
      <w:bookmarkStart w:id="13254" w:name="_Toc532844828"/>
      <w:bookmarkStart w:id="13255" w:name="_Toc532849437"/>
      <w:bookmarkStart w:id="13256" w:name="_Toc532897058"/>
      <w:bookmarkStart w:id="13257" w:name="_Toc532901834"/>
      <w:bookmarkStart w:id="13258" w:name="_Toc532976798"/>
      <w:bookmarkStart w:id="13259" w:name="_Toc532982472"/>
      <w:bookmarkStart w:id="13260" w:name="_Toc532982630"/>
      <w:bookmarkStart w:id="13261" w:name="_Toc19390739"/>
      <w:bookmarkStart w:id="13262" w:name="_Toc19394236"/>
      <w:r>
        <w:rPr>
          <w:rFonts w:hint="cs"/>
          <w:rtl/>
        </w:rPr>
        <w:t>דברי הריטב"א בביאור דעת רב הונא דרצה לחזור בו</w:t>
      </w:r>
      <w:bookmarkEnd w:id="13254"/>
      <w:bookmarkEnd w:id="13255"/>
      <w:bookmarkEnd w:id="13256"/>
      <w:bookmarkEnd w:id="13257"/>
      <w:bookmarkEnd w:id="13258"/>
      <w:bookmarkEnd w:id="13259"/>
      <w:bookmarkEnd w:id="13260"/>
      <w:bookmarkEnd w:id="13261"/>
      <w:bookmarkEnd w:id="13262"/>
    </w:p>
    <w:p w14:paraId="1CFE4096" w14:textId="77777777" w:rsidR="00D53B7D" w:rsidRPr="00E11715" w:rsidRDefault="00D53B7D" w:rsidP="006D6D32">
      <w:pPr>
        <w:pStyle w:val="a3"/>
        <w:rPr>
          <w:rtl/>
        </w:rPr>
      </w:pPr>
      <w:bookmarkStart w:id="13263" w:name="_Toc532897059"/>
      <w:bookmarkStart w:id="13264" w:name="_Toc532901835"/>
      <w:bookmarkStart w:id="13265" w:name="_Toc532976799"/>
      <w:bookmarkStart w:id="13266" w:name="_Toc532982473"/>
      <w:bookmarkStart w:id="13267" w:name="_Toc532982631"/>
      <w:bookmarkStart w:id="13268" w:name="_Toc19390740"/>
      <w:bookmarkStart w:id="13269" w:name="_Toc19394237"/>
      <w:r>
        <w:rPr>
          <w:rFonts w:hint="cs"/>
          <w:rtl/>
        </w:rPr>
        <w:t>דברי הריטב"א דסבר רב הונא דלריבר"י צריך גם רוב סימן וגם יציאת חיות ברוב שחיטה</w:t>
      </w:r>
      <w:bookmarkEnd w:id="13263"/>
      <w:bookmarkEnd w:id="13264"/>
      <w:bookmarkEnd w:id="13265"/>
      <w:bookmarkEnd w:id="13266"/>
      <w:bookmarkEnd w:id="13267"/>
      <w:bookmarkEnd w:id="13268"/>
      <w:bookmarkEnd w:id="13269"/>
    </w:p>
    <w:p w14:paraId="610079CE" w14:textId="77777777" w:rsidR="00D53B7D" w:rsidRDefault="00D53B7D" w:rsidP="00223668">
      <w:pPr>
        <w:pStyle w:val="a0"/>
        <w:rPr>
          <w:rtl/>
        </w:rPr>
      </w:pPr>
      <w:r>
        <w:rPr>
          <w:rFonts w:hint="cs"/>
          <w:rtl/>
        </w:rPr>
        <w:t xml:space="preserve">בדברי רב הונא דרצה לחזור בו ממה שפסל בשחט והגרים ושחט, כיון שרב יהודה שמע מרב שהכשיר, וכן כיון שיש רוב בשחיטה, ביאר </w:t>
      </w:r>
      <w:r w:rsidRPr="00AD2CD4">
        <w:rPr>
          <w:rStyle w:val="af9"/>
          <w:rFonts w:hint="cs"/>
          <w:rtl/>
        </w:rPr>
        <w:t>הריטב"א</w:t>
      </w:r>
      <w:r>
        <w:rPr>
          <w:rFonts w:hint="cs"/>
          <w:rtl/>
        </w:rPr>
        <w:t xml:space="preserve"> </w:t>
      </w:r>
      <w:r w:rsidRPr="00AD2CD4">
        <w:rPr>
          <w:rStyle w:val="af7"/>
          <w:rFonts w:eastAsia="Guttman Hodes" w:hint="cs"/>
          <w:rtl/>
        </w:rPr>
        <w:t>(ד"ה שפיר)</w:t>
      </w:r>
      <w:r>
        <w:rPr>
          <w:rFonts w:hint="cs"/>
          <w:rtl/>
        </w:rPr>
        <w:t xml:space="preserve"> דאעפ"י שרב הונא שמע מרב שבהגרים ושחט והגרים כשר, מ"מ סבר רב הונא דא"א להוכיח משם לפסול, בשחט והגרים ושחט, דאפש"ל דרב ס"ל דהביאור בדברי ריבר"י במתני' </w:t>
      </w:r>
      <w:r w:rsidRPr="00AD2CD4">
        <w:rPr>
          <w:rStyle w:val="af7"/>
          <w:rFonts w:eastAsia="Guttman Hodes" w:hint="cs"/>
          <w:rtl/>
        </w:rPr>
        <w:t>(יח.)</w:t>
      </w:r>
      <w:r>
        <w:rPr>
          <w:rFonts w:hint="cs"/>
          <w:rtl/>
        </w:rPr>
        <w:t xml:space="preserve"> דכל שהניח מלא החוט על פני רובא כשר, היינו בב' אופנים או כשגמר את הרוב בשחיטה דיצאה החיות בכשרות, או כששחט את רוב הסימן בכשרות.</w:t>
      </w:r>
    </w:p>
    <w:p w14:paraId="6A4DC054" w14:textId="77777777" w:rsidR="00D53B7D" w:rsidRDefault="00D53B7D" w:rsidP="006D6D32">
      <w:pPr>
        <w:pStyle w:val="a3"/>
        <w:rPr>
          <w:rtl/>
        </w:rPr>
      </w:pPr>
      <w:bookmarkStart w:id="13270" w:name="_Toc532897060"/>
      <w:bookmarkStart w:id="13271" w:name="_Toc532901836"/>
      <w:bookmarkStart w:id="13272" w:name="_Toc532976800"/>
      <w:bookmarkStart w:id="13273" w:name="_Toc532982474"/>
      <w:bookmarkStart w:id="13274" w:name="_Toc532982632"/>
      <w:bookmarkStart w:id="13275" w:name="_Toc19390741"/>
      <w:bookmarkStart w:id="13276" w:name="_Toc19394238"/>
      <w:r>
        <w:rPr>
          <w:rFonts w:hint="cs"/>
          <w:rtl/>
        </w:rPr>
        <w:t>ביאור הריטב"א דלרב חסדא כוונת המשנה לרוב אחד ולדברי רב הונא היינו רוב ביציאת החיות</w:t>
      </w:r>
      <w:bookmarkEnd w:id="13270"/>
      <w:bookmarkEnd w:id="13271"/>
      <w:bookmarkEnd w:id="13272"/>
      <w:bookmarkEnd w:id="13273"/>
      <w:bookmarkEnd w:id="13274"/>
      <w:bookmarkEnd w:id="13275"/>
      <w:bookmarkEnd w:id="13276"/>
    </w:p>
    <w:p w14:paraId="43D85751" w14:textId="77777777" w:rsidR="00D53B7D" w:rsidRDefault="00D53B7D" w:rsidP="00223668">
      <w:pPr>
        <w:pStyle w:val="a0"/>
        <w:rPr>
          <w:rtl/>
        </w:rPr>
      </w:pPr>
      <w:bookmarkStart w:id="13277" w:name="_Ref532244579"/>
      <w:r>
        <w:rPr>
          <w:rFonts w:hint="cs"/>
          <w:rtl/>
        </w:rPr>
        <w:t xml:space="preserve">ובדברי רב חסדא דאמר לרב הונא שלא יחזור בו, ביאר </w:t>
      </w:r>
      <w:r w:rsidRPr="00AD2CD4">
        <w:rPr>
          <w:rStyle w:val="af9"/>
          <w:rFonts w:hint="cs"/>
          <w:rtl/>
        </w:rPr>
        <w:t>הריטב"א</w:t>
      </w:r>
      <w:r>
        <w:rPr>
          <w:rFonts w:hint="cs"/>
          <w:rtl/>
        </w:rPr>
        <w:t xml:space="preserve"> דס"ל לרב חסדא דמשמעות המשנה "על פני רובא" היא לרוב אחד, ואו דכוונת המשנה לרוב ממש, ששחט את רוב הסימן, או שהכוונה שהשלים את רוב הסימן בשחיטה, ויצאה החיות בכשרות, וכיון ששמע רב הונא מרב שהכשיר בהגרים ושחט והגרים, א"כ מבואר דכוונת המשנה שהשלים את רוב הסימן בשחיטה, אבל אם לא השלים את הרוב בשחיטה, לא מהני ששחט את רוב הסימן, וא"כ חשיב ששמע רב הונא מרב דבשחט והגרים ושחט פסול, דהא בהא תליא, וא"א להכשיר בשניהם.</w:t>
      </w:r>
      <w:bookmarkEnd w:id="13277"/>
    </w:p>
    <w:p w14:paraId="5D9AA17B" w14:textId="77777777" w:rsidR="00D53B7D" w:rsidRDefault="00D53B7D" w:rsidP="006D6D32">
      <w:pPr>
        <w:pStyle w:val="a3"/>
        <w:rPr>
          <w:rtl/>
        </w:rPr>
      </w:pPr>
      <w:bookmarkStart w:id="13278" w:name="_Toc532897061"/>
      <w:bookmarkStart w:id="13279" w:name="_Toc532901837"/>
      <w:bookmarkStart w:id="13280" w:name="_Toc532976801"/>
      <w:bookmarkStart w:id="13281" w:name="_Toc532982475"/>
      <w:bookmarkStart w:id="13282" w:name="_Toc532982633"/>
      <w:bookmarkStart w:id="13283" w:name="_Toc19390742"/>
      <w:bookmarkStart w:id="13284" w:name="_Toc19394239"/>
      <w:r>
        <w:rPr>
          <w:rFonts w:hint="cs"/>
          <w:rtl/>
        </w:rPr>
        <w:t>דברי הריטב"א דיתכן שאמר כן רב חסדא בשיטת רב הונא אך לא ס"ל כרב הונא</w:t>
      </w:r>
      <w:bookmarkEnd w:id="13278"/>
      <w:bookmarkEnd w:id="13279"/>
      <w:bookmarkEnd w:id="13280"/>
      <w:bookmarkEnd w:id="13281"/>
      <w:bookmarkEnd w:id="13282"/>
      <w:bookmarkEnd w:id="13283"/>
      <w:bookmarkEnd w:id="13284"/>
    </w:p>
    <w:p w14:paraId="1031CA79" w14:textId="77777777" w:rsidR="00D53B7D" w:rsidRDefault="00D53B7D" w:rsidP="00223668">
      <w:pPr>
        <w:pStyle w:val="a0"/>
        <w:rPr>
          <w:rStyle w:val="afb"/>
          <w:rtl/>
        </w:rPr>
      </w:pPr>
      <w:bookmarkStart w:id="13285" w:name="_Ref532896083"/>
      <w:r>
        <w:rPr>
          <w:rFonts w:hint="cs"/>
          <w:rtl/>
        </w:rPr>
        <w:t xml:space="preserve">וכתב </w:t>
      </w:r>
      <w:r w:rsidRPr="00AD2CD4">
        <w:rPr>
          <w:rStyle w:val="af9"/>
          <w:rFonts w:hint="cs"/>
          <w:rtl/>
        </w:rPr>
        <w:t>הריטב"א</w:t>
      </w:r>
      <w:r>
        <w:rPr>
          <w:rFonts w:hint="cs"/>
          <w:rtl/>
        </w:rPr>
        <w:t xml:space="preserve"> דאף דאמר רב חסדא לרב הונא שלא יחזור בו, מ"מ א"א להוכיח דרב חסדא ס"ל כרב הונא, </w:t>
      </w:r>
      <w:r w:rsidRPr="00AD2CD4">
        <w:rPr>
          <w:rStyle w:val="afb"/>
          <w:rFonts w:hint="cs"/>
          <w:rtl/>
        </w:rPr>
        <w:t xml:space="preserve">[כדכתב </w:t>
      </w:r>
      <w:r w:rsidRPr="00AE0275">
        <w:rPr>
          <w:rStyle w:val="affa"/>
          <w:rFonts w:hint="cs"/>
          <w:rtl/>
        </w:rPr>
        <w:t xml:space="preserve">הרמב"ן </w:t>
      </w:r>
      <w:r w:rsidRPr="00AE0275">
        <w:rPr>
          <w:rStyle w:val="aff6"/>
          <w:rFonts w:hint="cs"/>
          <w:rtl/>
        </w:rPr>
        <w:t xml:space="preserve">(עי' אות </w:t>
      </w:r>
      <w:r w:rsidRPr="00AE0275">
        <w:rPr>
          <w:rStyle w:val="aff6"/>
          <w:rtl/>
        </w:rPr>
        <w:fldChar w:fldCharType="begin"/>
      </w:r>
      <w:r w:rsidRPr="00AE0275">
        <w:rPr>
          <w:rStyle w:val="aff6"/>
          <w:rtl/>
        </w:rPr>
        <w:instrText xml:space="preserve"> </w:instrText>
      </w:r>
      <w:r w:rsidRPr="00AE0275">
        <w:rPr>
          <w:rStyle w:val="aff6"/>
          <w:rFonts w:hint="cs"/>
        </w:rPr>
        <w:instrText>REF</w:instrText>
      </w:r>
      <w:r w:rsidRPr="00AE0275">
        <w:rPr>
          <w:rStyle w:val="aff6"/>
          <w:rFonts w:hint="cs"/>
          <w:rtl/>
        </w:rPr>
        <w:instrText xml:space="preserve"> _</w:instrText>
      </w:r>
      <w:r w:rsidRPr="00AE0275">
        <w:rPr>
          <w:rStyle w:val="aff6"/>
          <w:rFonts w:hint="cs"/>
        </w:rPr>
        <w:instrText>Ref532244595 \r \h</w:instrText>
      </w:r>
      <w:r w:rsidRPr="00AE0275">
        <w:rPr>
          <w:rStyle w:val="aff6"/>
          <w:rtl/>
        </w:rPr>
        <w:instrText xml:space="preserve"> </w:instrText>
      </w:r>
      <w:r w:rsidRPr="00AE0275">
        <w:rPr>
          <w:rStyle w:val="aff6"/>
          <w:rtl/>
        </w:rPr>
      </w:r>
      <w:r w:rsidRPr="00AE0275">
        <w:rPr>
          <w:rStyle w:val="aff6"/>
          <w:rtl/>
        </w:rPr>
        <w:fldChar w:fldCharType="separate"/>
      </w:r>
      <w:r w:rsidR="00345400">
        <w:rPr>
          <w:rStyle w:val="aff6"/>
          <w:cs/>
        </w:rPr>
        <w:t>‎</w:t>
      </w:r>
      <w:r w:rsidR="00345400">
        <w:rPr>
          <w:rStyle w:val="aff6"/>
          <w:rtl/>
        </w:rPr>
        <w:t>עז)</w:t>
      </w:r>
      <w:r w:rsidRPr="00AE0275">
        <w:rPr>
          <w:rStyle w:val="aff6"/>
          <w:rtl/>
        </w:rPr>
        <w:fldChar w:fldCharType="end"/>
      </w:r>
      <w:r w:rsidRPr="00AD2CD4">
        <w:rPr>
          <w:rStyle w:val="afb"/>
          <w:rFonts w:hint="cs"/>
          <w:rtl/>
        </w:rPr>
        <w:t xml:space="preserve">], </w:t>
      </w:r>
      <w:r>
        <w:rPr>
          <w:rFonts w:hint="cs"/>
          <w:rtl/>
        </w:rPr>
        <w:t xml:space="preserve">דאפש"ל דאמר כן רב חסדא לשיטתו של רב הונא, וכדמשמע מלשונו של רב חסדא דא"ל "מפסדת לקמייתא" וכן א"ל מ"ט מכשרת", ומשמע דכוונתו לפי שיטת רב הונא, וא"א להוכיח דכן ס"ל. </w:t>
      </w:r>
      <w:r w:rsidRPr="00AD2CD4">
        <w:rPr>
          <w:rStyle w:val="afb"/>
          <w:rFonts w:hint="cs"/>
          <w:rtl/>
        </w:rPr>
        <w:t>[והיינו כדביאר</w:t>
      </w:r>
      <w:r w:rsidRPr="00AE0275">
        <w:rPr>
          <w:rStyle w:val="affa"/>
          <w:rFonts w:hint="cs"/>
          <w:rtl/>
        </w:rPr>
        <w:t xml:space="preserve"> הריטב"א </w:t>
      </w:r>
      <w:r w:rsidRPr="00AE0275">
        <w:rPr>
          <w:rStyle w:val="aff6"/>
          <w:rFonts w:hint="cs"/>
          <w:rtl/>
        </w:rPr>
        <w:t xml:space="preserve">(עי' אות </w:t>
      </w:r>
      <w:r w:rsidRPr="00AE0275">
        <w:rPr>
          <w:rStyle w:val="aff6"/>
          <w:rtl/>
        </w:rPr>
        <w:fldChar w:fldCharType="begin"/>
      </w:r>
      <w:r w:rsidRPr="00AE0275">
        <w:rPr>
          <w:rStyle w:val="aff6"/>
          <w:rtl/>
        </w:rPr>
        <w:instrText xml:space="preserve"> </w:instrText>
      </w:r>
      <w:r w:rsidRPr="00AE0275">
        <w:rPr>
          <w:rStyle w:val="aff6"/>
          <w:rFonts w:hint="cs"/>
        </w:rPr>
        <w:instrText>REF</w:instrText>
      </w:r>
      <w:r w:rsidRPr="00AE0275">
        <w:rPr>
          <w:rStyle w:val="aff6"/>
          <w:rFonts w:hint="cs"/>
          <w:rtl/>
        </w:rPr>
        <w:instrText xml:space="preserve"> _</w:instrText>
      </w:r>
      <w:r w:rsidRPr="00AE0275">
        <w:rPr>
          <w:rStyle w:val="aff6"/>
          <w:rFonts w:hint="cs"/>
        </w:rPr>
        <w:instrText>Ref532244579 \r \h</w:instrText>
      </w:r>
      <w:r w:rsidRPr="00AE0275">
        <w:rPr>
          <w:rStyle w:val="aff6"/>
          <w:rtl/>
        </w:rPr>
        <w:instrText xml:space="preserve"> </w:instrText>
      </w:r>
      <w:r w:rsidRPr="00AE0275">
        <w:rPr>
          <w:rStyle w:val="aff6"/>
          <w:rtl/>
        </w:rPr>
      </w:r>
      <w:r w:rsidRPr="00AE0275">
        <w:rPr>
          <w:rStyle w:val="aff6"/>
          <w:rtl/>
        </w:rPr>
        <w:fldChar w:fldCharType="separate"/>
      </w:r>
      <w:r w:rsidR="00345400">
        <w:rPr>
          <w:rStyle w:val="aff6"/>
          <w:cs/>
        </w:rPr>
        <w:t>‎</w:t>
      </w:r>
      <w:r w:rsidR="00345400">
        <w:rPr>
          <w:rStyle w:val="aff6"/>
          <w:rtl/>
        </w:rPr>
        <w:t>מד)</w:t>
      </w:r>
      <w:r w:rsidRPr="00AE0275">
        <w:rPr>
          <w:rStyle w:val="aff6"/>
          <w:rtl/>
        </w:rPr>
        <w:fldChar w:fldCharType="end"/>
      </w:r>
      <w:r w:rsidRPr="00AE0275">
        <w:rPr>
          <w:rStyle w:val="aff6"/>
          <w:rFonts w:hint="cs"/>
          <w:rtl/>
        </w:rPr>
        <w:t xml:space="preserve"> </w:t>
      </w:r>
      <w:r w:rsidRPr="00AD2CD4">
        <w:rPr>
          <w:rStyle w:val="afb"/>
          <w:rFonts w:hint="cs"/>
          <w:rtl/>
        </w:rPr>
        <w:t>דר"ה סבר דאפש"ל דהביאור במשנה שריבר"י מכשיר בב' אופנים ברוב, ודחה רב חסדא דמשמעות המשנה לרוב אחד, וא"כ לשיטתו של רב הונא שהכשיר בקמייתא פסול בבתרייתא</w:t>
      </w:r>
      <w:r>
        <w:rPr>
          <w:rStyle w:val="afb"/>
          <w:rFonts w:hint="cs"/>
          <w:rtl/>
        </w:rPr>
        <w:t>, דהרוב תלוי ביציאת החיותאבל יתכן דרב חסדא סבר דהרוב תלוי ברוב סימן כרב יהודה</w:t>
      </w:r>
      <w:r w:rsidRPr="00AD2CD4">
        <w:rPr>
          <w:rStyle w:val="afb"/>
          <w:rFonts w:hint="cs"/>
          <w:rtl/>
        </w:rPr>
        <w:t>].</w:t>
      </w:r>
      <w:bookmarkEnd w:id="13285"/>
    </w:p>
    <w:p w14:paraId="61312ED0" w14:textId="77777777" w:rsidR="00D53B7D" w:rsidRDefault="00D53B7D" w:rsidP="00BF39B2">
      <w:pPr>
        <w:pStyle w:val="1"/>
        <w:rPr>
          <w:rtl/>
        </w:rPr>
      </w:pPr>
      <w:bookmarkStart w:id="13286" w:name="_Toc532897062"/>
      <w:bookmarkStart w:id="13287" w:name="_Toc532901838"/>
      <w:bookmarkStart w:id="13288" w:name="_Toc532976802"/>
      <w:bookmarkStart w:id="13289" w:name="_Toc532982476"/>
      <w:bookmarkStart w:id="13290" w:name="_Toc532982634"/>
      <w:bookmarkStart w:id="13291" w:name="_Toc19390743"/>
      <w:bookmarkStart w:id="13292" w:name="_Toc19394240"/>
      <w:r>
        <w:rPr>
          <w:rFonts w:hint="cs"/>
          <w:rtl/>
        </w:rPr>
        <w:t>ביאור החזו"א</w:t>
      </w:r>
      <w:bookmarkEnd w:id="13224"/>
      <w:bookmarkEnd w:id="13225"/>
      <w:bookmarkEnd w:id="13226"/>
      <w:bookmarkEnd w:id="13227"/>
      <w:bookmarkEnd w:id="13228"/>
      <w:bookmarkEnd w:id="13229"/>
      <w:bookmarkEnd w:id="13230"/>
      <w:bookmarkEnd w:id="13231"/>
      <w:r>
        <w:rPr>
          <w:rFonts w:hint="cs"/>
          <w:rtl/>
        </w:rPr>
        <w:t xml:space="preserve"> דלרב יהודה מקום ההגרמה אינו כקנה לשחיטה</w:t>
      </w:r>
      <w:bookmarkEnd w:id="13286"/>
      <w:bookmarkEnd w:id="13287"/>
      <w:bookmarkEnd w:id="13288"/>
      <w:bookmarkEnd w:id="13289"/>
      <w:bookmarkEnd w:id="13290"/>
      <w:bookmarkEnd w:id="13291"/>
      <w:bookmarkEnd w:id="13292"/>
    </w:p>
    <w:p w14:paraId="36DDDDDF" w14:textId="77777777" w:rsidR="00D53B7D" w:rsidRDefault="00D53B7D" w:rsidP="006D6D32">
      <w:pPr>
        <w:pStyle w:val="a3"/>
        <w:rPr>
          <w:rtl/>
        </w:rPr>
      </w:pPr>
      <w:bookmarkStart w:id="13293" w:name="_Toc532897063"/>
      <w:bookmarkStart w:id="13294" w:name="_Toc532901839"/>
      <w:bookmarkStart w:id="13295" w:name="_Toc532976803"/>
      <w:bookmarkStart w:id="13296" w:name="_Toc532982477"/>
      <w:bookmarkStart w:id="13297" w:name="_Toc532982635"/>
      <w:bookmarkStart w:id="13298" w:name="_Toc19390744"/>
      <w:bookmarkStart w:id="13299" w:name="_Toc19394241"/>
      <w:r>
        <w:rPr>
          <w:rFonts w:hint="cs"/>
          <w:rtl/>
        </w:rPr>
        <w:t>דברי החזו"א דלרב יהודה מקום ההגרמה לא חשיב קנה וכשיצאה החיות בצירוף ההגרמה פסול</w:t>
      </w:r>
      <w:bookmarkEnd w:id="13293"/>
      <w:bookmarkEnd w:id="13294"/>
      <w:bookmarkEnd w:id="13295"/>
      <w:bookmarkEnd w:id="13296"/>
      <w:bookmarkEnd w:id="13297"/>
      <w:bookmarkEnd w:id="13298"/>
      <w:bookmarkEnd w:id="13299"/>
    </w:p>
    <w:p w14:paraId="78957499" w14:textId="77777777" w:rsidR="00D53B7D" w:rsidRDefault="00D53B7D" w:rsidP="00223668">
      <w:pPr>
        <w:pStyle w:val="a0"/>
        <w:rPr>
          <w:rtl/>
        </w:rPr>
      </w:pPr>
      <w:r>
        <w:rPr>
          <w:rFonts w:hint="cs"/>
          <w:rtl/>
        </w:rPr>
        <w:t xml:space="preserve">בדעת רב יהודה דפסל בהגרים ושחט והגרים, ביאר </w:t>
      </w:r>
      <w:r w:rsidRPr="006E5568">
        <w:rPr>
          <w:rStyle w:val="af9"/>
          <w:rFonts w:hint="cs"/>
          <w:rtl/>
        </w:rPr>
        <w:t xml:space="preserve">החזו"א </w:t>
      </w:r>
      <w:r w:rsidRPr="006E5568">
        <w:rPr>
          <w:rStyle w:val="af7"/>
          <w:rFonts w:eastAsia="Guttman Hodes" w:hint="cs"/>
          <w:rtl/>
        </w:rPr>
        <w:t>(יו"ד סי' ג' אות י"א</w:t>
      </w:r>
      <w:r>
        <w:rPr>
          <w:rStyle w:val="af7"/>
          <w:rFonts w:eastAsia="Guttman Hodes" w:hint="cs"/>
          <w:rtl/>
        </w:rPr>
        <w:t>)</w:t>
      </w:r>
      <w:r w:rsidRPr="006E5568">
        <w:rPr>
          <w:rStyle w:val="af9"/>
          <w:rFonts w:hint="cs"/>
          <w:rtl/>
        </w:rPr>
        <w:t xml:space="preserve"> </w:t>
      </w:r>
      <w:r>
        <w:rPr>
          <w:rFonts w:hint="cs"/>
          <w:rtl/>
        </w:rPr>
        <w:t xml:space="preserve">דס"ל דמקום ההגרמה אינו נחשב לענין שחיטה כקנה כלל </w:t>
      </w:r>
      <w:r w:rsidRPr="00590117">
        <w:rPr>
          <w:rStyle w:val="afb"/>
          <w:rFonts w:hint="cs"/>
          <w:rtl/>
        </w:rPr>
        <w:t>[</w:t>
      </w:r>
      <w:r w:rsidRPr="00590117">
        <w:rPr>
          <w:rStyle w:val="affa"/>
          <w:rFonts w:hint="cs"/>
          <w:rtl/>
        </w:rPr>
        <w:t>כרמב"ן</w:t>
      </w:r>
      <w:r w:rsidRPr="00590117">
        <w:rPr>
          <w:rStyle w:val="afb"/>
          <w:rFonts w:hint="cs"/>
          <w:rtl/>
        </w:rPr>
        <w:t xml:space="preserve"> </w:t>
      </w:r>
      <w:r w:rsidRPr="00590117">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Ref532885744 \r \h</w:instrText>
      </w:r>
      <w:r>
        <w:rPr>
          <w:rStyle w:val="aff6"/>
          <w:rtl/>
        </w:rPr>
        <w:instrText xml:space="preserve"> </w:instrText>
      </w:r>
      <w:r>
        <w:rPr>
          <w:rStyle w:val="aff6"/>
          <w:rtl/>
        </w:rPr>
      </w:r>
      <w:r>
        <w:rPr>
          <w:rStyle w:val="aff6"/>
          <w:rtl/>
        </w:rPr>
        <w:fldChar w:fldCharType="separate"/>
      </w:r>
      <w:r w:rsidR="00345400">
        <w:rPr>
          <w:rStyle w:val="aff6"/>
          <w:cs/>
        </w:rPr>
        <w:t>‎</w:t>
      </w:r>
      <w:r w:rsidR="00345400">
        <w:rPr>
          <w:rStyle w:val="aff6"/>
          <w:rtl/>
        </w:rPr>
        <w:t>לב)</w:t>
      </w:r>
      <w:r>
        <w:rPr>
          <w:rStyle w:val="aff6"/>
          <w:rtl/>
        </w:rPr>
        <w:fldChar w:fldCharType="end"/>
      </w:r>
      <w:r w:rsidRPr="00590117">
        <w:rPr>
          <w:rStyle w:val="afb"/>
          <w:rFonts w:hint="cs"/>
          <w:rtl/>
        </w:rPr>
        <w:t>]</w:t>
      </w:r>
      <w:r>
        <w:rPr>
          <w:rFonts w:hint="cs"/>
          <w:rtl/>
        </w:rPr>
        <w:t>, ויש שם פסול של טריפה כמו בשאר אברים, וכשיוצאת החיות במקום ההגרמה, אינו נחשב שחיטה כלל ולכן אף שיציאת החיות הייתה בשליש האמצעי מ"מ א"א לומר דהוא משלים לרוב יחד עם השליש שהגרים, דיציאת החיות של ההגרמה אינה שחיטה כלל, וא"כ יצאה החיות ע"י רוב שחלקו שלא במקום שחיטה</w:t>
      </w:r>
    </w:p>
    <w:p w14:paraId="18A70174" w14:textId="77777777" w:rsidR="00D53B7D" w:rsidRDefault="00D53B7D" w:rsidP="006D6D32">
      <w:pPr>
        <w:pStyle w:val="a3"/>
        <w:rPr>
          <w:rtl/>
        </w:rPr>
      </w:pPr>
      <w:bookmarkStart w:id="13300" w:name="_Toc532897064"/>
      <w:bookmarkStart w:id="13301" w:name="_Toc532901840"/>
      <w:bookmarkStart w:id="13302" w:name="_Toc532976804"/>
      <w:bookmarkStart w:id="13303" w:name="_Toc532982478"/>
      <w:bookmarkStart w:id="13304" w:name="_Toc532982636"/>
      <w:bookmarkStart w:id="13305" w:name="_Toc19390745"/>
      <w:bookmarkStart w:id="13306" w:name="_Toc19394242"/>
      <w:r>
        <w:rPr>
          <w:rFonts w:hint="cs"/>
          <w:rtl/>
        </w:rPr>
        <w:t>דברי החזו"א בדעת רב יהודה דשליש ההגרמה אינו מוציא את החיות ויש חיות בשליש האחרון</w:t>
      </w:r>
      <w:bookmarkEnd w:id="13300"/>
      <w:bookmarkEnd w:id="13301"/>
      <w:bookmarkEnd w:id="13302"/>
      <w:bookmarkEnd w:id="13303"/>
      <w:bookmarkEnd w:id="13304"/>
      <w:bookmarkEnd w:id="13305"/>
      <w:bookmarkEnd w:id="13306"/>
    </w:p>
    <w:p w14:paraId="59EF79F5" w14:textId="77777777" w:rsidR="00D53B7D" w:rsidRDefault="00D53B7D" w:rsidP="00223668">
      <w:pPr>
        <w:pStyle w:val="a0"/>
        <w:rPr>
          <w:rtl/>
        </w:rPr>
      </w:pPr>
      <w:bookmarkStart w:id="13307" w:name="_Ref532914765"/>
      <w:r>
        <w:rPr>
          <w:rFonts w:hint="cs"/>
          <w:rtl/>
        </w:rPr>
        <w:t>ובשחט והגרים ושחט</w:t>
      </w:r>
      <w:r w:rsidRPr="00A97CFB">
        <w:rPr>
          <w:rFonts w:hint="cs"/>
          <w:rtl/>
        </w:rPr>
        <w:t xml:space="preserve"> </w:t>
      </w:r>
      <w:r>
        <w:rPr>
          <w:rFonts w:hint="cs"/>
          <w:rtl/>
        </w:rPr>
        <w:t>דמכשיר</w:t>
      </w:r>
      <w:r w:rsidRPr="00A97CFB">
        <w:rPr>
          <w:rFonts w:hint="cs"/>
          <w:rtl/>
        </w:rPr>
        <w:t xml:space="preserve"> </w:t>
      </w:r>
      <w:r>
        <w:rPr>
          <w:rFonts w:hint="cs"/>
          <w:rtl/>
        </w:rPr>
        <w:t xml:space="preserve">רב יהודה, ביאר </w:t>
      </w:r>
      <w:r w:rsidRPr="006E5568">
        <w:rPr>
          <w:rStyle w:val="af9"/>
          <w:rFonts w:hint="cs"/>
          <w:rtl/>
        </w:rPr>
        <w:t xml:space="preserve">החזו"א </w:t>
      </w:r>
      <w:r>
        <w:rPr>
          <w:rFonts w:hint="cs"/>
          <w:rtl/>
        </w:rPr>
        <w:t xml:space="preserve">דכיון שנפסק הקנה שלא במקום שחיטה, ומקום ההגרמה אינו מוציא את החיות כל כך, א"כ אף שנחתך רוב הקנה, מ"ע עדיין יש בשליש האחרון חיות גמורה, לכן ס"ל לרב יהודה דאפשר להכשיר את השחיטה ע"י השליש האחרון, וכתב </w:t>
      </w:r>
      <w:r w:rsidRPr="006E5568">
        <w:rPr>
          <w:rStyle w:val="af9"/>
          <w:rFonts w:hint="cs"/>
          <w:rtl/>
        </w:rPr>
        <w:t>החזו"א</w:t>
      </w:r>
      <w:r>
        <w:rPr>
          <w:rFonts w:hint="cs"/>
          <w:rtl/>
        </w:rPr>
        <w:t xml:space="preserve"> דאף דכתב </w:t>
      </w:r>
      <w:r w:rsidRPr="007D1671">
        <w:rPr>
          <w:rStyle w:val="af9"/>
          <w:rFonts w:hint="cs"/>
          <w:rtl/>
        </w:rPr>
        <w:t xml:space="preserve">הרמב"ן במלחמות </w:t>
      </w:r>
      <w:r>
        <w:rPr>
          <w:rStyle w:val="af7"/>
          <w:rFonts w:eastAsia="Guttman Hodes" w:hint="cs"/>
          <w:rtl/>
        </w:rPr>
        <w:t>דף ח. מדפי הרי"ף)</w:t>
      </w:r>
      <w:r w:rsidRPr="007D1671">
        <w:rPr>
          <w:rFonts w:hint="cs"/>
          <w:rtl/>
        </w:rPr>
        <w:t xml:space="preserve"> דקיי"ל כדעת ריש לקיש לקמן </w:t>
      </w:r>
      <w:r w:rsidRPr="007D1671">
        <w:rPr>
          <w:rStyle w:val="af7"/>
          <w:rFonts w:eastAsia="Guttman Hodes" w:hint="cs"/>
          <w:rtl/>
        </w:rPr>
        <w:t>(לב.)</w:t>
      </w:r>
      <w:r>
        <w:rPr>
          <w:rFonts w:hint="cs"/>
          <w:rtl/>
        </w:rPr>
        <w:t>,</w:t>
      </w:r>
      <w:r w:rsidRPr="007D1671">
        <w:rPr>
          <w:rFonts w:hint="cs"/>
          <w:rtl/>
        </w:rPr>
        <w:t xml:space="preserve"> במה שאמר דלא שייכא שחיטה בקנה אחר</w:t>
      </w:r>
      <w:r>
        <w:rPr>
          <w:rFonts w:hint="cs"/>
          <w:rtl/>
        </w:rPr>
        <w:t xml:space="preserve"> שרובו נפסק, דהקנה עצמו הוא כמנחא בדיקולא, מ"מ ס"ל לרב יהודה דהכא כיון שנחתך שליש במקום הגרמה שאינו מוציא את החיות כ"כ, לכן אף שנחתך כבר רוב הקנה מ"מ אינו כמנח בדיקולא, ולא יצאה החיות מהשליש האחרון.</w:t>
      </w:r>
      <w:bookmarkEnd w:id="13307"/>
    </w:p>
    <w:p w14:paraId="53269C65" w14:textId="77777777" w:rsidR="00D53B7D" w:rsidRDefault="00D53B7D" w:rsidP="006D6D32">
      <w:pPr>
        <w:pStyle w:val="a3"/>
        <w:rPr>
          <w:rtl/>
        </w:rPr>
      </w:pPr>
      <w:bookmarkStart w:id="13308" w:name="_Toc532897065"/>
      <w:bookmarkStart w:id="13309" w:name="_Toc532901841"/>
      <w:bookmarkStart w:id="13310" w:name="_Toc532976805"/>
      <w:bookmarkStart w:id="13311" w:name="_Toc532982479"/>
      <w:bookmarkStart w:id="13312" w:name="_Toc532982637"/>
      <w:bookmarkStart w:id="13313" w:name="_Toc19390746"/>
      <w:bookmarkStart w:id="13314" w:name="_Toc19394243"/>
      <w:r>
        <w:rPr>
          <w:rFonts w:hint="cs"/>
          <w:rtl/>
        </w:rPr>
        <w:t>דברי החזו"א דכיון שחל על השליש השחוט שם שחיטה אינו מצטרף להטריף עם שליש המוגרם</w:t>
      </w:r>
      <w:bookmarkEnd w:id="13308"/>
      <w:bookmarkEnd w:id="13309"/>
      <w:bookmarkEnd w:id="13310"/>
      <w:bookmarkEnd w:id="13311"/>
      <w:bookmarkEnd w:id="13312"/>
      <w:bookmarkEnd w:id="13313"/>
      <w:bookmarkEnd w:id="13314"/>
      <w:r>
        <w:rPr>
          <w:rFonts w:hint="cs"/>
          <w:rtl/>
        </w:rPr>
        <w:t xml:space="preserve"> </w:t>
      </w:r>
    </w:p>
    <w:p w14:paraId="0B4ABA38" w14:textId="77777777" w:rsidR="00D53B7D" w:rsidRDefault="00D53B7D" w:rsidP="00223668">
      <w:pPr>
        <w:pStyle w:val="a0"/>
        <w:rPr>
          <w:rtl/>
        </w:rPr>
      </w:pPr>
      <w:bookmarkStart w:id="13315" w:name="_Ref532202973"/>
      <w:r>
        <w:rPr>
          <w:rFonts w:hint="cs"/>
          <w:rtl/>
        </w:rPr>
        <w:t xml:space="preserve">והקשה </w:t>
      </w:r>
      <w:r w:rsidRPr="006E5568">
        <w:rPr>
          <w:rStyle w:val="af9"/>
          <w:rFonts w:hint="cs"/>
          <w:rtl/>
        </w:rPr>
        <w:t xml:space="preserve">החזו"א </w:t>
      </w:r>
      <w:r>
        <w:rPr>
          <w:rFonts w:hint="cs"/>
          <w:rtl/>
        </w:rPr>
        <w:t xml:space="preserve">דתהיה הבהמה טריפה, ע"י שנצרף את השליש השחוט עם השליש המוגרם, ותירץ </w:t>
      </w:r>
      <w:r w:rsidRPr="006E5568">
        <w:rPr>
          <w:rStyle w:val="af9"/>
          <w:rFonts w:hint="cs"/>
          <w:rtl/>
        </w:rPr>
        <w:t xml:space="preserve">החזו"א </w:t>
      </w:r>
      <w:r>
        <w:rPr>
          <w:rFonts w:hint="cs"/>
          <w:rtl/>
        </w:rPr>
        <w:t>דכיון שהשליש השחוט קדם לשליש המוגרם, וחל עליו שם שחיטה, והוא מצד עצמו אינו מטריף את הבהמה, לכן אפשר להכשיר את הבהמה ע"י שיגמור לשחוט את השליש האחרון.</w:t>
      </w:r>
      <w:bookmarkEnd w:id="13315"/>
    </w:p>
    <w:p w14:paraId="4CD69C8F" w14:textId="77777777" w:rsidR="00D53B7D" w:rsidRDefault="00D53B7D" w:rsidP="00BF39B2">
      <w:pPr>
        <w:pStyle w:val="1"/>
        <w:rPr>
          <w:rtl/>
        </w:rPr>
      </w:pPr>
      <w:bookmarkStart w:id="13316" w:name="_Toc532897066"/>
      <w:bookmarkStart w:id="13317" w:name="_Toc532901842"/>
      <w:bookmarkStart w:id="13318" w:name="_Toc532976806"/>
      <w:bookmarkStart w:id="13319" w:name="_Toc532982480"/>
      <w:bookmarkStart w:id="13320" w:name="_Toc532982638"/>
      <w:bookmarkStart w:id="13321" w:name="_Toc19390747"/>
      <w:bookmarkStart w:id="13322" w:name="_Toc19394244"/>
      <w:r>
        <w:rPr>
          <w:rFonts w:hint="cs"/>
          <w:rtl/>
        </w:rPr>
        <w:t>ביאור החזו"א דלרב הונא הגרמה הוא תנאי בשחיטה</w:t>
      </w:r>
      <w:bookmarkEnd w:id="13316"/>
      <w:bookmarkEnd w:id="13317"/>
      <w:bookmarkEnd w:id="13318"/>
      <w:bookmarkEnd w:id="13319"/>
      <w:bookmarkEnd w:id="13320"/>
      <w:bookmarkEnd w:id="13321"/>
      <w:bookmarkEnd w:id="13322"/>
    </w:p>
    <w:p w14:paraId="6040E5DA" w14:textId="77777777" w:rsidR="00D53B7D" w:rsidRPr="00C74607" w:rsidRDefault="00D53B7D" w:rsidP="006D6D32">
      <w:pPr>
        <w:pStyle w:val="a3"/>
        <w:rPr>
          <w:rtl/>
        </w:rPr>
      </w:pPr>
      <w:bookmarkStart w:id="13323" w:name="_Toc532897067"/>
      <w:bookmarkStart w:id="13324" w:name="_Toc532901843"/>
      <w:bookmarkStart w:id="13325" w:name="_Toc532976807"/>
      <w:bookmarkStart w:id="13326" w:name="_Toc532982481"/>
      <w:bookmarkStart w:id="13327" w:name="_Toc532982639"/>
      <w:bookmarkStart w:id="13328" w:name="_Toc19390748"/>
      <w:bookmarkStart w:id="13329" w:name="_Toc19394245"/>
      <w:r>
        <w:rPr>
          <w:rFonts w:hint="cs"/>
          <w:rtl/>
        </w:rPr>
        <w:t>דברי החזו"א דלרב הונא ההגרמה הוא תנאי בשחיטה אך יציאת החיות בהגרמה היא כמו בשחיטה</w:t>
      </w:r>
      <w:bookmarkEnd w:id="13323"/>
      <w:bookmarkEnd w:id="13324"/>
      <w:bookmarkEnd w:id="13325"/>
      <w:bookmarkEnd w:id="13326"/>
      <w:bookmarkEnd w:id="13327"/>
      <w:bookmarkEnd w:id="13328"/>
      <w:bookmarkEnd w:id="13329"/>
      <w:r>
        <w:rPr>
          <w:rFonts w:hint="cs"/>
          <w:rtl/>
        </w:rPr>
        <w:t xml:space="preserve"> </w:t>
      </w:r>
    </w:p>
    <w:p w14:paraId="34BEB61C" w14:textId="77777777" w:rsidR="00D53B7D" w:rsidRDefault="00D53B7D" w:rsidP="00223668">
      <w:pPr>
        <w:pStyle w:val="a0"/>
        <w:rPr>
          <w:rtl/>
        </w:rPr>
      </w:pPr>
      <w:bookmarkStart w:id="13330" w:name="_Ref532885464"/>
      <w:r>
        <w:rPr>
          <w:rFonts w:hint="cs"/>
          <w:rtl/>
        </w:rPr>
        <w:t xml:space="preserve">ובדעת רב הונא דהכשיר בהגרים ושחט והגרים, ביאר </w:t>
      </w:r>
      <w:r w:rsidRPr="006E5568">
        <w:rPr>
          <w:rStyle w:val="af9"/>
          <w:rFonts w:hint="cs"/>
          <w:rtl/>
        </w:rPr>
        <w:t>החזו"א</w:t>
      </w:r>
      <w:r>
        <w:rPr>
          <w:rFonts w:hint="cs"/>
          <w:rtl/>
        </w:rPr>
        <w:t xml:space="preserve"> דס"ל דלענין יציאת החיות של הבהמה, מקום ההגרמה הוא כמקום שחיטה </w:t>
      </w:r>
      <w:r w:rsidRPr="00590117">
        <w:rPr>
          <w:rStyle w:val="afb"/>
          <w:rFonts w:hint="cs"/>
          <w:rtl/>
        </w:rPr>
        <w:t>[</w:t>
      </w:r>
      <w:r w:rsidRPr="00590117">
        <w:rPr>
          <w:rStyle w:val="affa"/>
          <w:rFonts w:hint="cs"/>
          <w:rtl/>
        </w:rPr>
        <w:t>כרמב"ן</w:t>
      </w:r>
      <w:r w:rsidRPr="00590117">
        <w:rPr>
          <w:rStyle w:val="afb"/>
          <w:rFonts w:hint="cs"/>
          <w:rtl/>
        </w:rPr>
        <w:t xml:space="preserve"> </w:t>
      </w:r>
      <w:r w:rsidRPr="00590117">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Ref532885767 \r \h</w:instrText>
      </w:r>
      <w:r>
        <w:rPr>
          <w:rStyle w:val="aff6"/>
          <w:rtl/>
        </w:rPr>
        <w:instrText xml:space="preserve"> </w:instrText>
      </w:r>
      <w:r>
        <w:rPr>
          <w:rStyle w:val="aff6"/>
          <w:rtl/>
        </w:rPr>
      </w:r>
      <w:r>
        <w:rPr>
          <w:rStyle w:val="aff6"/>
          <w:rtl/>
        </w:rPr>
        <w:fldChar w:fldCharType="separate"/>
      </w:r>
      <w:r w:rsidR="00345400">
        <w:rPr>
          <w:rStyle w:val="aff6"/>
          <w:cs/>
        </w:rPr>
        <w:t>‎</w:t>
      </w:r>
      <w:r w:rsidR="00345400">
        <w:rPr>
          <w:rStyle w:val="aff6"/>
          <w:rtl/>
        </w:rPr>
        <w:t>לא)</w:t>
      </w:r>
      <w:r>
        <w:rPr>
          <w:rStyle w:val="aff6"/>
          <w:rtl/>
        </w:rPr>
        <w:fldChar w:fldCharType="end"/>
      </w:r>
      <w:r>
        <w:rPr>
          <w:rStyle w:val="afb"/>
          <w:rFonts w:hint="cs"/>
          <w:rtl/>
        </w:rPr>
        <w:t>]</w:t>
      </w:r>
      <w:r w:rsidRPr="00590117">
        <w:rPr>
          <w:rStyle w:val="afb"/>
          <w:rFonts w:hint="cs"/>
          <w:rtl/>
        </w:rPr>
        <w:t>,</w:t>
      </w:r>
      <w:r>
        <w:rPr>
          <w:rStyle w:val="afb"/>
          <w:rFonts w:hint="cs"/>
          <w:rtl/>
        </w:rPr>
        <w:t xml:space="preserve"> </w:t>
      </w:r>
      <w:r>
        <w:rPr>
          <w:rFonts w:hint="cs"/>
          <w:rtl/>
        </w:rPr>
        <w:t>והוי קנה גמור לענין שחיטה, אלא שיש תנאי בשחיטה שלא יגרים, והוא פסול בשחיטה, כמו פסול דרוסה וחלדה, אך אין כל חילוק אם יוצאת החיות ע"י שחיטה או במקום ההגרמה, וס"ל לרב הונא ודכמו דבדרס שליש ושחט שליש כשר, ה"ה בהגרים שליש ושחט שליש, דהשלמת הרוב כשיצאה החיות לא היה בה פסול בשחיטה.</w:t>
      </w:r>
      <w:bookmarkEnd w:id="13330"/>
    </w:p>
    <w:p w14:paraId="135D28D1" w14:textId="77777777" w:rsidR="00D53B7D" w:rsidRDefault="00D53B7D" w:rsidP="006D6D32">
      <w:pPr>
        <w:pStyle w:val="a3"/>
        <w:rPr>
          <w:rtl/>
        </w:rPr>
      </w:pPr>
      <w:bookmarkStart w:id="13331" w:name="_Toc532897068"/>
      <w:bookmarkStart w:id="13332" w:name="_Toc532901844"/>
      <w:bookmarkStart w:id="13333" w:name="_Toc532976808"/>
      <w:bookmarkStart w:id="13334" w:name="_Toc532982482"/>
      <w:bookmarkStart w:id="13335" w:name="_Toc532982640"/>
      <w:bookmarkStart w:id="13336" w:name="_Toc19390749"/>
      <w:bookmarkStart w:id="13337" w:name="_Toc19394246"/>
      <w:r>
        <w:rPr>
          <w:rFonts w:hint="cs"/>
          <w:rtl/>
        </w:rPr>
        <w:t>דברי החזו"א דלרב הונא שההגרמה במקום שחיטה השליש האחרון הוא כמנח בדיקולא</w:t>
      </w:r>
      <w:bookmarkEnd w:id="13331"/>
      <w:bookmarkEnd w:id="13332"/>
      <w:bookmarkEnd w:id="13333"/>
      <w:bookmarkEnd w:id="13334"/>
      <w:bookmarkEnd w:id="13335"/>
      <w:bookmarkEnd w:id="13336"/>
      <w:bookmarkEnd w:id="13337"/>
    </w:p>
    <w:p w14:paraId="77F388D4" w14:textId="77777777" w:rsidR="00D53B7D" w:rsidRDefault="00D53B7D" w:rsidP="00223668">
      <w:pPr>
        <w:pStyle w:val="a0"/>
        <w:rPr>
          <w:rStyle w:val="afb"/>
          <w:rtl/>
        </w:rPr>
      </w:pPr>
      <w:r>
        <w:rPr>
          <w:rFonts w:hint="cs"/>
          <w:rtl/>
        </w:rPr>
        <w:t>ובשחט והגרים ושחט</w:t>
      </w:r>
      <w:r w:rsidRPr="00A97CFB">
        <w:rPr>
          <w:rFonts w:hint="cs"/>
          <w:rtl/>
        </w:rPr>
        <w:t xml:space="preserve"> </w:t>
      </w:r>
      <w:r>
        <w:rPr>
          <w:rFonts w:hint="cs"/>
          <w:rtl/>
        </w:rPr>
        <w:t>דפסל</w:t>
      </w:r>
      <w:r w:rsidRPr="00700B56">
        <w:rPr>
          <w:rFonts w:hint="cs"/>
          <w:rtl/>
        </w:rPr>
        <w:t xml:space="preserve"> רב הונא</w:t>
      </w:r>
      <w:r>
        <w:rPr>
          <w:rFonts w:hint="cs"/>
          <w:rtl/>
        </w:rPr>
        <w:t>,</w:t>
      </w:r>
      <w:r w:rsidRPr="00700B56">
        <w:rPr>
          <w:rFonts w:hint="cs"/>
          <w:rtl/>
        </w:rPr>
        <w:t xml:space="preserve"> ביאר </w:t>
      </w:r>
      <w:r w:rsidRPr="002521ED">
        <w:rPr>
          <w:rStyle w:val="af9"/>
          <w:rFonts w:hint="cs"/>
          <w:rtl/>
        </w:rPr>
        <w:t xml:space="preserve">החזו"א </w:t>
      </w:r>
      <w:r w:rsidRPr="002521ED">
        <w:rPr>
          <w:rStyle w:val="af7"/>
          <w:rFonts w:eastAsia="Guttman Hodes" w:hint="cs"/>
          <w:rtl/>
        </w:rPr>
        <w:t>(יו"ד סי' ג' אות י"ב)</w:t>
      </w:r>
      <w:r w:rsidRPr="00700B56">
        <w:rPr>
          <w:rFonts w:hint="cs"/>
          <w:rtl/>
        </w:rPr>
        <w:t xml:space="preserve"> ד</w:t>
      </w:r>
      <w:r>
        <w:rPr>
          <w:rFonts w:hint="cs"/>
          <w:rtl/>
        </w:rPr>
        <w:t>כיון ד</w:t>
      </w:r>
      <w:r w:rsidRPr="00700B56">
        <w:rPr>
          <w:rFonts w:hint="cs"/>
          <w:rtl/>
        </w:rPr>
        <w:t>ס"</w:t>
      </w:r>
      <w:r w:rsidRPr="00FA614D">
        <w:rPr>
          <w:rFonts w:hint="cs"/>
          <w:rtl/>
        </w:rPr>
        <w:t xml:space="preserve">ל דמקום </w:t>
      </w:r>
      <w:r>
        <w:rPr>
          <w:rFonts w:hint="cs"/>
          <w:rtl/>
        </w:rPr>
        <w:t>ה</w:t>
      </w:r>
      <w:r w:rsidRPr="00FA614D">
        <w:rPr>
          <w:rFonts w:hint="cs"/>
          <w:rtl/>
        </w:rPr>
        <w:t xml:space="preserve">הגרמה </w:t>
      </w:r>
      <w:r>
        <w:rPr>
          <w:rFonts w:hint="cs"/>
          <w:rtl/>
        </w:rPr>
        <w:t xml:space="preserve">הוא </w:t>
      </w:r>
      <w:r w:rsidRPr="00FA614D">
        <w:rPr>
          <w:rFonts w:hint="cs"/>
          <w:rtl/>
        </w:rPr>
        <w:t xml:space="preserve">מקום שחיטה, </w:t>
      </w:r>
      <w:r>
        <w:rPr>
          <w:rFonts w:hint="cs"/>
          <w:rtl/>
        </w:rPr>
        <w:t xml:space="preserve">א"כ א"א להכשיר ע"י השליש האחרון דכיון דמקום ההגרמה הוא מקום שחיטה, </w:t>
      </w:r>
      <w:r w:rsidRPr="00FA614D">
        <w:rPr>
          <w:rFonts w:hint="cs"/>
          <w:rtl/>
        </w:rPr>
        <w:t>השליש המוגרם מצטרף</w:t>
      </w:r>
      <w:r>
        <w:rPr>
          <w:rFonts w:hint="cs"/>
          <w:rtl/>
        </w:rPr>
        <w:t xml:space="preserve"> לשליש השחוט, להחשיב את</w:t>
      </w:r>
      <w:r w:rsidRPr="00FA614D">
        <w:rPr>
          <w:rFonts w:hint="cs"/>
          <w:rtl/>
        </w:rPr>
        <w:t xml:space="preserve"> רוב הקנה</w:t>
      </w:r>
      <w:r>
        <w:rPr>
          <w:rFonts w:hint="cs"/>
          <w:rtl/>
        </w:rPr>
        <w:t xml:space="preserve"> כחתוך,</w:t>
      </w:r>
      <w:r w:rsidRPr="00FA614D">
        <w:rPr>
          <w:rFonts w:hint="cs"/>
          <w:rtl/>
        </w:rPr>
        <w:t xml:space="preserve"> </w:t>
      </w:r>
      <w:r>
        <w:rPr>
          <w:rFonts w:hint="cs"/>
          <w:rtl/>
        </w:rPr>
        <w:t>ו</w:t>
      </w:r>
      <w:r w:rsidRPr="00FA614D">
        <w:rPr>
          <w:rFonts w:hint="cs"/>
          <w:rtl/>
        </w:rPr>
        <w:t>אין כאן</w:t>
      </w:r>
      <w:r w:rsidRPr="00700B56">
        <w:rPr>
          <w:rFonts w:hint="cs"/>
          <w:rtl/>
        </w:rPr>
        <w:t xml:space="preserve"> קנה כלל</w:t>
      </w:r>
      <w:r>
        <w:rPr>
          <w:rFonts w:hint="cs"/>
          <w:rtl/>
        </w:rPr>
        <w:t xml:space="preserve"> ד</w:t>
      </w:r>
      <w:r w:rsidRPr="00700B56">
        <w:rPr>
          <w:rFonts w:hint="cs"/>
          <w:rtl/>
        </w:rPr>
        <w:t>הוא כמנחא בדיקולא</w:t>
      </w:r>
      <w:r>
        <w:rPr>
          <w:rFonts w:hint="cs"/>
          <w:rtl/>
        </w:rPr>
        <w:t>.</w:t>
      </w:r>
      <w:r w:rsidRPr="007338E2">
        <w:rPr>
          <w:rFonts w:hint="cs"/>
          <w:rtl/>
        </w:rPr>
        <w:t xml:space="preserve"> </w:t>
      </w:r>
      <w:r w:rsidRPr="007338E2">
        <w:rPr>
          <w:rStyle w:val="afb"/>
          <w:rFonts w:hint="cs"/>
          <w:rtl/>
        </w:rPr>
        <w:t>[וע"י שחיטת השליש השני המוגרם, ג"כ א"א להכשיר כיון שההגרמה הוא פסול בשחיטה כדריסה וחלדה].</w:t>
      </w:r>
    </w:p>
    <w:p w14:paraId="54D521FA" w14:textId="77777777" w:rsidR="00D53B7D" w:rsidRDefault="00D53B7D" w:rsidP="00BF39B2">
      <w:pPr>
        <w:pStyle w:val="1"/>
        <w:rPr>
          <w:rtl/>
        </w:rPr>
      </w:pPr>
      <w:bookmarkStart w:id="13338" w:name="_Toc532897069"/>
      <w:bookmarkStart w:id="13339" w:name="_Toc532901845"/>
      <w:bookmarkStart w:id="13340" w:name="_Toc532976809"/>
      <w:bookmarkStart w:id="13341" w:name="_Toc532982483"/>
      <w:bookmarkStart w:id="13342" w:name="_Toc532982641"/>
      <w:bookmarkStart w:id="13343" w:name="_Toc19390750"/>
      <w:bookmarkStart w:id="13344" w:name="_Toc19394247"/>
      <w:r>
        <w:rPr>
          <w:rFonts w:hint="cs"/>
          <w:rtl/>
        </w:rPr>
        <w:t>דברי החזו"א דנחלקו רב הונא ורב חסדא אי הוי כמנח בדיקולא</w:t>
      </w:r>
      <w:bookmarkEnd w:id="13338"/>
      <w:bookmarkEnd w:id="13339"/>
      <w:bookmarkEnd w:id="13340"/>
      <w:bookmarkEnd w:id="13341"/>
      <w:bookmarkEnd w:id="13342"/>
      <w:bookmarkEnd w:id="13343"/>
      <w:bookmarkEnd w:id="13344"/>
    </w:p>
    <w:p w14:paraId="0F85627E" w14:textId="77777777" w:rsidR="00D53B7D" w:rsidRDefault="00D53B7D" w:rsidP="006D6D32">
      <w:pPr>
        <w:pStyle w:val="a3"/>
        <w:rPr>
          <w:rtl/>
        </w:rPr>
      </w:pPr>
      <w:bookmarkStart w:id="13345" w:name="_Toc532897070"/>
      <w:bookmarkStart w:id="13346" w:name="_Toc532901846"/>
      <w:bookmarkStart w:id="13347" w:name="_Toc532976810"/>
      <w:bookmarkStart w:id="13348" w:name="_Toc532982484"/>
      <w:bookmarkStart w:id="13349" w:name="_Toc532982642"/>
      <w:bookmarkStart w:id="13350" w:name="_Toc19390751"/>
      <w:bookmarkStart w:id="13351" w:name="_Toc19394248"/>
      <w:r>
        <w:rPr>
          <w:rFonts w:hint="cs"/>
          <w:rtl/>
        </w:rPr>
        <w:t>דברי החזו"א דלרב חסדא דבדברי רב הונא בשם רב מוכח דההגרמה אינה במקום שחיטה</w:t>
      </w:r>
      <w:bookmarkEnd w:id="13345"/>
      <w:bookmarkEnd w:id="13346"/>
      <w:bookmarkEnd w:id="13347"/>
      <w:bookmarkEnd w:id="13348"/>
      <w:bookmarkEnd w:id="13349"/>
      <w:bookmarkEnd w:id="13350"/>
      <w:bookmarkEnd w:id="13351"/>
      <w:r>
        <w:rPr>
          <w:rFonts w:hint="cs"/>
          <w:rtl/>
        </w:rPr>
        <w:t xml:space="preserve"> </w:t>
      </w:r>
    </w:p>
    <w:p w14:paraId="0B203A1E" w14:textId="77777777" w:rsidR="00D53B7D" w:rsidRDefault="00D53B7D" w:rsidP="00223668">
      <w:pPr>
        <w:pStyle w:val="a0"/>
        <w:rPr>
          <w:rtl/>
        </w:rPr>
      </w:pPr>
      <w:r w:rsidRPr="00E16489">
        <w:rPr>
          <w:rFonts w:hint="cs"/>
          <w:rtl/>
        </w:rPr>
        <w:t>ו</w:t>
      </w:r>
      <w:r>
        <w:rPr>
          <w:rFonts w:hint="cs"/>
          <w:rtl/>
        </w:rPr>
        <w:t xml:space="preserve">כתב </w:t>
      </w:r>
      <w:r w:rsidRPr="00825309">
        <w:rPr>
          <w:rStyle w:val="af9"/>
          <w:rFonts w:hint="cs"/>
          <w:rtl/>
        </w:rPr>
        <w:t>החזו"א</w:t>
      </w:r>
      <w:r>
        <w:rPr>
          <w:rFonts w:hint="cs"/>
          <w:rtl/>
        </w:rPr>
        <w:t xml:space="preserve"> דזהו הביאור </w:t>
      </w:r>
      <w:r w:rsidRPr="00E16489">
        <w:rPr>
          <w:rFonts w:hint="cs"/>
          <w:rtl/>
        </w:rPr>
        <w:t xml:space="preserve">בדברי רב חסדא </w:t>
      </w:r>
      <w:r>
        <w:rPr>
          <w:rFonts w:hint="cs"/>
          <w:rtl/>
        </w:rPr>
        <w:t>דאמר לרב הונא שאם יכשיר בשחט והגרים ושחט, א"כ מוכח דמקום ההגרמה אינו כמקום שחיטה ולכן ההגרמה אינה מצטרפת לשחיטה, להחשיב את רוב הקנה כחתוך ואינו כמנח בדיקולא, ולכן צריך לפסול אף בהגרים ושחט והגרים, דיציאת החיות אינה מכח רוב קנה שנחתך במקום שחיטה.</w:t>
      </w:r>
    </w:p>
    <w:p w14:paraId="6E62492B" w14:textId="77777777" w:rsidR="00D53B7D" w:rsidRPr="006864A7" w:rsidRDefault="00D53B7D" w:rsidP="006D6D32">
      <w:pPr>
        <w:pStyle w:val="a3"/>
        <w:rPr>
          <w:rtl/>
        </w:rPr>
      </w:pPr>
      <w:bookmarkStart w:id="13352" w:name="_Toc532897071"/>
      <w:bookmarkStart w:id="13353" w:name="_Toc532901847"/>
      <w:bookmarkStart w:id="13354" w:name="_Toc532976811"/>
      <w:bookmarkStart w:id="13355" w:name="_Toc532982485"/>
      <w:bookmarkStart w:id="13356" w:name="_Toc532982643"/>
      <w:bookmarkStart w:id="13357" w:name="_Toc19390752"/>
      <w:bookmarkStart w:id="13358" w:name="_Toc19394249"/>
      <w:r>
        <w:rPr>
          <w:rFonts w:hint="cs"/>
          <w:rtl/>
        </w:rPr>
        <w:t>דברי החזו"א דרב הונא רצה לחזור בו דס"ל כדעת רב זירא דאינו כמנח בדיקולא</w:t>
      </w:r>
      <w:bookmarkEnd w:id="13352"/>
      <w:bookmarkEnd w:id="13353"/>
      <w:bookmarkEnd w:id="13354"/>
      <w:bookmarkEnd w:id="13355"/>
      <w:bookmarkEnd w:id="13356"/>
      <w:bookmarkEnd w:id="13357"/>
      <w:bookmarkEnd w:id="13358"/>
    </w:p>
    <w:p w14:paraId="4B9DE045" w14:textId="77777777" w:rsidR="00D53B7D" w:rsidRDefault="00D53B7D" w:rsidP="00223668">
      <w:pPr>
        <w:pStyle w:val="a0"/>
        <w:rPr>
          <w:rtl/>
        </w:rPr>
      </w:pPr>
      <w:r>
        <w:rPr>
          <w:rFonts w:hint="cs"/>
          <w:rtl/>
        </w:rPr>
        <w:t>ו</w:t>
      </w:r>
      <w:r w:rsidRPr="00E16489">
        <w:rPr>
          <w:rFonts w:hint="cs"/>
          <w:rtl/>
        </w:rPr>
        <w:t xml:space="preserve">בדעת רב הונא </w:t>
      </w:r>
      <w:r>
        <w:rPr>
          <w:rFonts w:hint="cs"/>
          <w:rtl/>
        </w:rPr>
        <w:t xml:space="preserve">שרצה לחזור בו </w:t>
      </w:r>
      <w:r w:rsidRPr="00E16489">
        <w:rPr>
          <w:rFonts w:hint="cs"/>
          <w:rtl/>
        </w:rPr>
        <w:t>ו</w:t>
      </w:r>
      <w:r>
        <w:rPr>
          <w:rFonts w:hint="cs"/>
          <w:rtl/>
        </w:rPr>
        <w:t>להכשיר בשחט והגרים ושחט, ביאר</w:t>
      </w:r>
      <w:r w:rsidRPr="00E16489">
        <w:rPr>
          <w:rFonts w:hint="cs"/>
          <w:rtl/>
        </w:rPr>
        <w:t xml:space="preserve"> </w:t>
      </w:r>
      <w:r w:rsidRPr="00825309">
        <w:rPr>
          <w:rStyle w:val="af9"/>
          <w:rFonts w:hint="cs"/>
          <w:rtl/>
        </w:rPr>
        <w:t>החזו"א</w:t>
      </w:r>
      <w:r w:rsidRPr="00E16489">
        <w:rPr>
          <w:rFonts w:hint="cs"/>
          <w:rtl/>
        </w:rPr>
        <w:t xml:space="preserve"> דס"ל </w:t>
      </w:r>
      <w:r>
        <w:rPr>
          <w:rFonts w:hint="cs"/>
          <w:rtl/>
        </w:rPr>
        <w:t xml:space="preserve">דאף דמקום ההגרמה הוא כמקום שחיטה, מ"מ צ"ל דרב הונא לא סבר כר"ל </w:t>
      </w:r>
      <w:r w:rsidRPr="00E16489">
        <w:rPr>
          <w:rFonts w:hint="cs"/>
          <w:rtl/>
        </w:rPr>
        <w:t xml:space="preserve">לקמן </w:t>
      </w:r>
      <w:r w:rsidRPr="00221B48">
        <w:rPr>
          <w:rStyle w:val="af7"/>
          <w:rFonts w:eastAsia="Guttman Hodes" w:hint="cs"/>
          <w:rtl/>
        </w:rPr>
        <w:t>(לב.)</w:t>
      </w:r>
      <w:r>
        <w:rPr>
          <w:rFonts w:hint="cs"/>
          <w:rtl/>
        </w:rPr>
        <w:t xml:space="preserve"> דאמר דאחר שנחתך רוב הקנה הוא כמנח בדיקולא</w:t>
      </w:r>
      <w:r w:rsidRPr="00E16489">
        <w:rPr>
          <w:rFonts w:hint="cs"/>
          <w:rtl/>
        </w:rPr>
        <w:t xml:space="preserve">, </w:t>
      </w:r>
      <w:r>
        <w:rPr>
          <w:rFonts w:hint="cs"/>
          <w:rtl/>
        </w:rPr>
        <w:t>אלא כדעת</w:t>
      </w:r>
      <w:r w:rsidRPr="00E16489">
        <w:rPr>
          <w:rFonts w:hint="cs"/>
          <w:rtl/>
        </w:rPr>
        <w:t xml:space="preserve"> רבי זירא </w:t>
      </w:r>
      <w:r>
        <w:rPr>
          <w:rFonts w:hint="cs"/>
          <w:rtl/>
        </w:rPr>
        <w:t xml:space="preserve">דפליג על ר"ל דס"ל דאף שנחתך רוב הקנה במקום שחיטה, </w:t>
      </w:r>
      <w:r w:rsidRPr="00E16489">
        <w:rPr>
          <w:rFonts w:hint="cs"/>
          <w:rtl/>
        </w:rPr>
        <w:t xml:space="preserve">אינו כמאן דמנחא בדיקולא, </w:t>
      </w:r>
      <w:r>
        <w:rPr>
          <w:rFonts w:hint="cs"/>
          <w:rtl/>
        </w:rPr>
        <w:t xml:space="preserve">וא"כ אף שנחתך רוב הקנה עדיין </w:t>
      </w:r>
      <w:r w:rsidRPr="00E16489">
        <w:rPr>
          <w:rFonts w:hint="cs"/>
          <w:rtl/>
        </w:rPr>
        <w:t>יש על השליש האחרון שם של שחיטה,</w:t>
      </w:r>
      <w:r>
        <w:rPr>
          <w:rFonts w:hint="cs"/>
          <w:rtl/>
        </w:rPr>
        <w:t xml:space="preserve"> והוא יכול להצטרף להכשיר.</w:t>
      </w:r>
    </w:p>
    <w:p w14:paraId="02B19568" w14:textId="77777777" w:rsidR="00D53B7D" w:rsidRPr="006864A7" w:rsidRDefault="00D53B7D" w:rsidP="006D6D32">
      <w:pPr>
        <w:pStyle w:val="a3"/>
        <w:rPr>
          <w:rtl/>
        </w:rPr>
      </w:pPr>
      <w:bookmarkStart w:id="13359" w:name="_Toc532897072"/>
      <w:bookmarkStart w:id="13360" w:name="_Toc532901848"/>
      <w:bookmarkStart w:id="13361" w:name="_Toc532976812"/>
      <w:bookmarkStart w:id="13362" w:name="_Toc532982486"/>
      <w:bookmarkStart w:id="13363" w:name="_Toc532982644"/>
      <w:bookmarkStart w:id="13364" w:name="_Toc19390753"/>
      <w:bookmarkStart w:id="13365" w:name="_Toc19394250"/>
      <w:r>
        <w:rPr>
          <w:rFonts w:hint="cs"/>
          <w:rtl/>
        </w:rPr>
        <w:t>דברי החזו"א דאף שנחתך הרוב א"א להטריף כיון שיש על השליש שם שחיטה</w:t>
      </w:r>
      <w:bookmarkEnd w:id="13359"/>
      <w:bookmarkEnd w:id="13360"/>
      <w:bookmarkEnd w:id="13361"/>
      <w:bookmarkEnd w:id="13362"/>
      <w:bookmarkEnd w:id="13363"/>
      <w:bookmarkEnd w:id="13364"/>
      <w:bookmarkEnd w:id="13365"/>
    </w:p>
    <w:p w14:paraId="71BD5E31" w14:textId="77777777" w:rsidR="00D53B7D" w:rsidRPr="00A96378" w:rsidRDefault="00D53B7D" w:rsidP="00223668">
      <w:pPr>
        <w:pStyle w:val="a0"/>
        <w:rPr>
          <w:rStyle w:val="afb"/>
          <w:rtl/>
        </w:rPr>
      </w:pPr>
      <w:r>
        <w:rPr>
          <w:rFonts w:hint="cs"/>
          <w:rtl/>
        </w:rPr>
        <w:t xml:space="preserve">והוסיף </w:t>
      </w:r>
      <w:r w:rsidRPr="00825309">
        <w:rPr>
          <w:rStyle w:val="af9"/>
          <w:rFonts w:hint="cs"/>
          <w:rtl/>
        </w:rPr>
        <w:t>החזו"א</w:t>
      </w:r>
      <w:r>
        <w:rPr>
          <w:rFonts w:hint="cs"/>
          <w:rtl/>
        </w:rPr>
        <w:t xml:space="preserve"> דאף שרוב הקנה חתוך לפני שחיטת השליש האחרון, מ"מ </w:t>
      </w:r>
      <w:r w:rsidRPr="00E16489">
        <w:rPr>
          <w:rFonts w:hint="cs"/>
          <w:rtl/>
        </w:rPr>
        <w:t>א"א להטריף את הבהמה</w:t>
      </w:r>
      <w:r>
        <w:rPr>
          <w:rFonts w:hint="cs"/>
          <w:rtl/>
        </w:rPr>
        <w:t>,</w:t>
      </w:r>
      <w:r w:rsidRPr="00E16489">
        <w:rPr>
          <w:rFonts w:hint="cs"/>
          <w:rtl/>
        </w:rPr>
        <w:t xml:space="preserve"> </w:t>
      </w:r>
      <w:r>
        <w:rPr>
          <w:rFonts w:hint="cs"/>
          <w:rtl/>
        </w:rPr>
        <w:t>ד</w:t>
      </w:r>
      <w:r w:rsidRPr="00E16489">
        <w:rPr>
          <w:rFonts w:hint="cs"/>
          <w:rtl/>
        </w:rPr>
        <w:t>כיון שהשליש הראשון הוא שחוט וחל עליו שם שחיטה לפני ששהה, ודבר שיש עליו שם שחיטה אינו מטריף את הבהמה</w:t>
      </w:r>
      <w:r>
        <w:rPr>
          <w:rFonts w:hint="cs"/>
          <w:rtl/>
        </w:rPr>
        <w:t xml:space="preserve">. </w:t>
      </w:r>
      <w:r w:rsidRPr="00A96378">
        <w:rPr>
          <w:rStyle w:val="afb"/>
          <w:rFonts w:hint="cs"/>
          <w:rtl/>
        </w:rPr>
        <w:t xml:space="preserve">[כדביאר </w:t>
      </w:r>
      <w:r w:rsidRPr="00A96378">
        <w:rPr>
          <w:rStyle w:val="affa"/>
          <w:rFonts w:hint="cs"/>
          <w:rtl/>
        </w:rPr>
        <w:t>החזו"א</w:t>
      </w:r>
      <w:r w:rsidRPr="00A96378">
        <w:rPr>
          <w:rStyle w:val="afb"/>
          <w:rFonts w:hint="cs"/>
          <w:rtl/>
        </w:rPr>
        <w:t xml:space="preserve"> </w:t>
      </w:r>
      <w:r w:rsidRPr="00A96378">
        <w:rPr>
          <w:rStyle w:val="aff6"/>
          <w:rFonts w:hint="cs"/>
          <w:rtl/>
        </w:rPr>
        <w:t xml:space="preserve">(עי' אות </w:t>
      </w:r>
      <w:r w:rsidRPr="00A96378">
        <w:rPr>
          <w:rStyle w:val="aff6"/>
          <w:rtl/>
        </w:rPr>
        <w:fldChar w:fldCharType="begin"/>
      </w:r>
      <w:r w:rsidRPr="00A96378">
        <w:rPr>
          <w:rStyle w:val="aff6"/>
          <w:rtl/>
        </w:rPr>
        <w:instrText xml:space="preserve"> </w:instrText>
      </w:r>
      <w:r w:rsidRPr="00A96378">
        <w:rPr>
          <w:rStyle w:val="aff6"/>
          <w:rFonts w:hint="cs"/>
        </w:rPr>
        <w:instrText>REF</w:instrText>
      </w:r>
      <w:r w:rsidRPr="00A96378">
        <w:rPr>
          <w:rStyle w:val="aff6"/>
          <w:rFonts w:hint="cs"/>
          <w:rtl/>
        </w:rPr>
        <w:instrText xml:space="preserve"> _</w:instrText>
      </w:r>
      <w:r w:rsidRPr="00A96378">
        <w:rPr>
          <w:rStyle w:val="aff6"/>
          <w:rFonts w:hint="cs"/>
        </w:rPr>
        <w:instrText>Ref532202973 \r \h</w:instrText>
      </w:r>
      <w:r w:rsidRPr="00A96378">
        <w:rPr>
          <w:rStyle w:val="aff6"/>
          <w:rtl/>
        </w:rPr>
        <w:instrText xml:space="preserve"> </w:instrText>
      </w:r>
      <w:r w:rsidRPr="00A96378">
        <w:rPr>
          <w:rStyle w:val="aff6"/>
          <w:rtl/>
        </w:rPr>
      </w:r>
      <w:r w:rsidRPr="00A96378">
        <w:rPr>
          <w:rStyle w:val="aff6"/>
          <w:rtl/>
        </w:rPr>
        <w:fldChar w:fldCharType="separate"/>
      </w:r>
      <w:r w:rsidR="00345400">
        <w:rPr>
          <w:rStyle w:val="aff6"/>
          <w:cs/>
        </w:rPr>
        <w:t>‎</w:t>
      </w:r>
      <w:r w:rsidR="00345400">
        <w:rPr>
          <w:rStyle w:val="aff6"/>
          <w:rtl/>
        </w:rPr>
        <w:t>מח)</w:t>
      </w:r>
      <w:r w:rsidRPr="00A96378">
        <w:rPr>
          <w:rStyle w:val="aff6"/>
          <w:rtl/>
        </w:rPr>
        <w:fldChar w:fldCharType="end"/>
      </w:r>
      <w:r w:rsidRPr="00A96378">
        <w:rPr>
          <w:rStyle w:val="afb"/>
          <w:rFonts w:hint="cs"/>
          <w:rtl/>
        </w:rPr>
        <w:t xml:space="preserve"> בדעת רב יהודה].</w:t>
      </w:r>
    </w:p>
    <w:p w14:paraId="08D36C7A" w14:textId="77777777" w:rsidR="00D53B7D" w:rsidRDefault="00D53B7D" w:rsidP="006D6D32">
      <w:pPr>
        <w:pStyle w:val="a3"/>
        <w:rPr>
          <w:rtl/>
        </w:rPr>
      </w:pPr>
      <w:bookmarkStart w:id="13366" w:name="_Toc532897073"/>
      <w:bookmarkStart w:id="13367" w:name="_Toc532901849"/>
      <w:bookmarkStart w:id="13368" w:name="_Toc532976813"/>
      <w:bookmarkStart w:id="13369" w:name="_Toc532982487"/>
      <w:bookmarkStart w:id="13370" w:name="_Toc532982645"/>
      <w:bookmarkStart w:id="13371" w:name="_Toc19390754"/>
      <w:bookmarkStart w:id="13372" w:name="_Toc19394251"/>
      <w:r>
        <w:rPr>
          <w:rFonts w:hint="cs"/>
          <w:rtl/>
        </w:rPr>
        <w:t>דברי החזו"א דאף שיש לשליש האחרון שם שחיטה אינו יכול לפסול בהגרים שליש ושחט שליש</w:t>
      </w:r>
      <w:bookmarkEnd w:id="13366"/>
      <w:bookmarkEnd w:id="13367"/>
      <w:bookmarkEnd w:id="13368"/>
      <w:bookmarkEnd w:id="13369"/>
      <w:bookmarkEnd w:id="13370"/>
      <w:bookmarkEnd w:id="13371"/>
      <w:bookmarkEnd w:id="13372"/>
    </w:p>
    <w:p w14:paraId="31F5334D" w14:textId="77777777" w:rsidR="00D53B7D" w:rsidRDefault="00D53B7D" w:rsidP="00223668">
      <w:pPr>
        <w:pStyle w:val="a0"/>
        <w:rPr>
          <w:rtl/>
        </w:rPr>
      </w:pPr>
      <w:r>
        <w:rPr>
          <w:rFonts w:hint="cs"/>
          <w:rtl/>
        </w:rPr>
        <w:t xml:space="preserve">וביאר </w:t>
      </w:r>
      <w:r w:rsidRPr="00FA426E">
        <w:rPr>
          <w:rStyle w:val="af9"/>
          <w:rFonts w:hint="cs"/>
          <w:rtl/>
        </w:rPr>
        <w:t>החזו"א</w:t>
      </w:r>
      <w:r>
        <w:rPr>
          <w:rFonts w:hint="cs"/>
          <w:rtl/>
        </w:rPr>
        <w:t xml:space="preserve"> דאי"ז סתירה כלל למה שהכשיר רב הונא, בהגרים ושחט והגרים, דאף שיש על השליש האחרון שם שחיטה, מ"מ השליש האחרון אינו מועיל לשחיטה, ואינו פוסל, והוא כמו שהגרים שליש ושחט שליש, ולא הוסיף לשחוט דכשר, </w:t>
      </w:r>
      <w:r w:rsidRPr="00786434">
        <w:rPr>
          <w:rStyle w:val="afb"/>
          <w:rFonts w:hint="cs"/>
          <w:rtl/>
        </w:rPr>
        <w:t xml:space="preserve">[כדביאר </w:t>
      </w:r>
      <w:r w:rsidRPr="00786434">
        <w:rPr>
          <w:rStyle w:val="affa"/>
          <w:rFonts w:hint="cs"/>
          <w:rtl/>
        </w:rPr>
        <w:t>החזו"א</w:t>
      </w:r>
      <w:r w:rsidRPr="00786434">
        <w:rPr>
          <w:rStyle w:val="afb"/>
          <w:rFonts w:hint="cs"/>
          <w:rtl/>
        </w:rPr>
        <w:t xml:space="preserve"> </w:t>
      </w:r>
      <w:r w:rsidRPr="00786434">
        <w:rPr>
          <w:rStyle w:val="aff6"/>
          <w:rFonts w:hint="cs"/>
          <w:rtl/>
        </w:rPr>
        <w:t xml:space="preserve">(עי' אות </w:t>
      </w:r>
      <w:r w:rsidRPr="00786434">
        <w:rPr>
          <w:rStyle w:val="aff6"/>
          <w:rtl/>
        </w:rPr>
        <w:fldChar w:fldCharType="begin"/>
      </w:r>
      <w:r w:rsidRPr="00786434">
        <w:rPr>
          <w:rStyle w:val="aff6"/>
          <w:rtl/>
        </w:rPr>
        <w:instrText xml:space="preserve"> </w:instrText>
      </w:r>
      <w:r w:rsidRPr="00786434">
        <w:rPr>
          <w:rStyle w:val="aff6"/>
          <w:rFonts w:hint="cs"/>
        </w:rPr>
        <w:instrText>REF</w:instrText>
      </w:r>
      <w:r w:rsidRPr="00786434">
        <w:rPr>
          <w:rStyle w:val="aff6"/>
          <w:rFonts w:hint="cs"/>
          <w:rtl/>
        </w:rPr>
        <w:instrText xml:space="preserve"> _</w:instrText>
      </w:r>
      <w:r w:rsidRPr="00786434">
        <w:rPr>
          <w:rStyle w:val="aff6"/>
          <w:rFonts w:hint="cs"/>
        </w:rPr>
        <w:instrText>Ref532885464 \r \h</w:instrText>
      </w:r>
      <w:r w:rsidRPr="00786434">
        <w:rPr>
          <w:rStyle w:val="aff6"/>
          <w:rtl/>
        </w:rPr>
        <w:instrText xml:space="preserve"> </w:instrText>
      </w:r>
      <w:r w:rsidRPr="00786434">
        <w:rPr>
          <w:rStyle w:val="aff6"/>
          <w:rtl/>
        </w:rPr>
      </w:r>
      <w:r w:rsidRPr="00786434">
        <w:rPr>
          <w:rStyle w:val="aff6"/>
          <w:rtl/>
        </w:rPr>
        <w:fldChar w:fldCharType="separate"/>
      </w:r>
      <w:r w:rsidR="00345400">
        <w:rPr>
          <w:rStyle w:val="aff6"/>
          <w:cs/>
        </w:rPr>
        <w:t>‎</w:t>
      </w:r>
      <w:r w:rsidR="00345400">
        <w:rPr>
          <w:rStyle w:val="aff6"/>
          <w:rtl/>
        </w:rPr>
        <w:t>מט)</w:t>
      </w:r>
      <w:r w:rsidRPr="00786434">
        <w:rPr>
          <w:rStyle w:val="aff6"/>
          <w:rtl/>
        </w:rPr>
        <w:fldChar w:fldCharType="end"/>
      </w:r>
      <w:r w:rsidRPr="00786434">
        <w:rPr>
          <w:rStyle w:val="afb"/>
          <w:rFonts w:hint="cs"/>
          <w:rtl/>
        </w:rPr>
        <w:t xml:space="preserve"> דמקום ההגרמה הוא מקום שחיטה ויציאת החיות היא במקום שחיטה</w:t>
      </w:r>
      <w:r>
        <w:rPr>
          <w:rStyle w:val="afb"/>
          <w:rFonts w:hint="cs"/>
          <w:rtl/>
        </w:rPr>
        <w:t>]</w:t>
      </w:r>
      <w:r>
        <w:rPr>
          <w:rFonts w:hint="cs"/>
          <w:rtl/>
        </w:rPr>
        <w:t>.</w:t>
      </w:r>
    </w:p>
    <w:p w14:paraId="26BDE68B" w14:textId="77777777" w:rsidR="00D53B7D" w:rsidRPr="006A697B" w:rsidRDefault="00D53B7D" w:rsidP="006D6D32">
      <w:pPr>
        <w:pStyle w:val="a3"/>
      </w:pPr>
      <w:bookmarkStart w:id="13373" w:name="_Toc532897074"/>
      <w:bookmarkStart w:id="13374" w:name="_Toc532901850"/>
      <w:bookmarkStart w:id="13375" w:name="_Toc532976814"/>
      <w:bookmarkStart w:id="13376" w:name="_Toc532982488"/>
      <w:bookmarkStart w:id="13377" w:name="_Toc532982646"/>
      <w:bookmarkStart w:id="13378" w:name="_Toc19390755"/>
      <w:bookmarkStart w:id="13379" w:name="_Toc19394252"/>
      <w:r>
        <w:rPr>
          <w:rFonts w:hint="cs"/>
          <w:rtl/>
        </w:rPr>
        <w:t>דברי החזו"א דבהגרים שליש ושחט שליש ההכשר הוא רק ע"י השליש האחרון</w:t>
      </w:r>
      <w:bookmarkEnd w:id="13373"/>
      <w:bookmarkEnd w:id="13374"/>
      <w:bookmarkEnd w:id="13375"/>
      <w:bookmarkEnd w:id="13376"/>
      <w:bookmarkEnd w:id="13377"/>
      <w:bookmarkEnd w:id="13378"/>
      <w:bookmarkEnd w:id="13379"/>
    </w:p>
    <w:p w14:paraId="5E42269B" w14:textId="77777777" w:rsidR="00D53B7D" w:rsidRPr="0064000A" w:rsidRDefault="00D53B7D" w:rsidP="00223668">
      <w:pPr>
        <w:pStyle w:val="a0"/>
      </w:pPr>
      <w:r>
        <w:rPr>
          <w:rFonts w:hint="cs"/>
          <w:rtl/>
        </w:rPr>
        <w:t xml:space="preserve">אבל בשחט שליש והגרים שליש, ועמד מלשחוט פסול לכו"ע, דכיון שההכשר הוא ע"י השליש האחרון, וכדביאר </w:t>
      </w:r>
      <w:r w:rsidRPr="001C7A9B">
        <w:rPr>
          <w:rStyle w:val="af9"/>
          <w:rFonts w:hint="cs"/>
          <w:rtl/>
        </w:rPr>
        <w:t>החזו"א</w:t>
      </w:r>
      <w:r>
        <w:rPr>
          <w:rFonts w:hint="cs"/>
          <w:rtl/>
        </w:rPr>
        <w:t xml:space="preserve"> בדברי רב יהודה </w:t>
      </w:r>
      <w:r w:rsidRPr="00487946">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Ref532914765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מז)</w:t>
      </w:r>
      <w:r>
        <w:rPr>
          <w:rStyle w:val="af7"/>
          <w:rFonts w:eastAsia="Guttman Hodes"/>
          <w:rtl/>
        </w:rPr>
        <w:fldChar w:fldCharType="end"/>
      </w:r>
      <w:bookmarkStart w:id="13380" w:name="_Toc532897075"/>
      <w:bookmarkStart w:id="13381" w:name="_Toc532901851"/>
      <w:r>
        <w:rPr>
          <w:rFonts w:hint="cs"/>
          <w:rtl/>
        </w:rPr>
        <w:t>.</w:t>
      </w:r>
    </w:p>
    <w:p w14:paraId="2ACFE66C" w14:textId="77777777" w:rsidR="00D53B7D" w:rsidRDefault="00D53B7D" w:rsidP="00BF39B2">
      <w:pPr>
        <w:pStyle w:val="1"/>
        <w:rPr>
          <w:rtl/>
        </w:rPr>
      </w:pPr>
      <w:bookmarkStart w:id="13382" w:name="_Toc532976815"/>
      <w:bookmarkStart w:id="13383" w:name="_Toc532982489"/>
      <w:bookmarkStart w:id="13384" w:name="_Toc532982647"/>
      <w:bookmarkStart w:id="13385" w:name="_Toc19390756"/>
      <w:bookmarkStart w:id="13386" w:name="_Toc19394253"/>
      <w:r>
        <w:rPr>
          <w:rFonts w:hint="cs"/>
          <w:rtl/>
        </w:rPr>
        <w:t>ביאור החזו"א בדעת רב אסי בלישנא בתרא</w:t>
      </w:r>
      <w:bookmarkEnd w:id="13380"/>
      <w:bookmarkEnd w:id="13381"/>
      <w:bookmarkEnd w:id="13382"/>
      <w:bookmarkEnd w:id="13383"/>
      <w:bookmarkEnd w:id="13384"/>
      <w:bookmarkEnd w:id="13385"/>
      <w:bookmarkEnd w:id="13386"/>
    </w:p>
    <w:p w14:paraId="04C7761C" w14:textId="77777777" w:rsidR="00D53B7D" w:rsidRPr="0064000A" w:rsidRDefault="00D53B7D" w:rsidP="006D6D32">
      <w:pPr>
        <w:pStyle w:val="a3"/>
        <w:rPr>
          <w:rtl/>
        </w:rPr>
      </w:pPr>
      <w:bookmarkStart w:id="13387" w:name="_Toc532976816"/>
      <w:bookmarkStart w:id="13388" w:name="_Toc532982490"/>
      <w:bookmarkStart w:id="13389" w:name="_Toc532982648"/>
      <w:bookmarkStart w:id="13390" w:name="_Toc19390757"/>
      <w:bookmarkStart w:id="13391" w:name="_Toc19394254"/>
      <w:r>
        <w:rPr>
          <w:rFonts w:hint="cs"/>
          <w:rtl/>
        </w:rPr>
        <w:t>קושית החזו"א אמאי לל"ב בהגרים ושחט ב' שלישים פסול הא א"א להטריף ע"י החלק השחוט</w:t>
      </w:r>
      <w:bookmarkEnd w:id="13387"/>
      <w:bookmarkEnd w:id="13388"/>
      <w:bookmarkEnd w:id="13389"/>
      <w:bookmarkEnd w:id="13390"/>
      <w:bookmarkEnd w:id="13391"/>
    </w:p>
    <w:p w14:paraId="730ABE7A" w14:textId="77777777" w:rsidR="00D53B7D" w:rsidRDefault="00D53B7D" w:rsidP="00223668">
      <w:pPr>
        <w:pStyle w:val="a0"/>
        <w:rPr>
          <w:rtl/>
        </w:rPr>
      </w:pPr>
      <w:r>
        <w:rPr>
          <w:rFonts w:hint="cs"/>
          <w:rtl/>
        </w:rPr>
        <w:t xml:space="preserve">וכתב </w:t>
      </w:r>
      <w:r w:rsidRPr="00FA426E">
        <w:rPr>
          <w:rStyle w:val="af9"/>
          <w:rFonts w:hint="cs"/>
          <w:rtl/>
        </w:rPr>
        <w:t>החזו"א</w:t>
      </w:r>
      <w:r>
        <w:rPr>
          <w:rFonts w:hint="cs"/>
          <w:rtl/>
        </w:rPr>
        <w:t xml:space="preserve"> </w:t>
      </w:r>
      <w:r w:rsidRPr="00FA426E">
        <w:rPr>
          <w:rStyle w:val="af7"/>
          <w:rFonts w:eastAsia="Guttman Hodes" w:hint="cs"/>
          <w:rtl/>
        </w:rPr>
        <w:t>(יו"ד סי' ג' אות י"ג)</w:t>
      </w:r>
      <w:r>
        <w:rPr>
          <w:rFonts w:hint="cs"/>
          <w:rtl/>
        </w:rPr>
        <w:t xml:space="preserve"> דהא דאסר רב הונא בלישנא בתרא בהגרים שליש ושחט ב' שלשים, וכתבו </w:t>
      </w:r>
      <w:r w:rsidRPr="00FA426E">
        <w:rPr>
          <w:rStyle w:val="af9"/>
          <w:rFonts w:hint="cs"/>
          <w:rtl/>
        </w:rPr>
        <w:t>ה</w:t>
      </w:r>
      <w:r w:rsidRPr="003316BE">
        <w:rPr>
          <w:rStyle w:val="af9"/>
          <w:rFonts w:hint="cs"/>
          <w:rtl/>
        </w:rPr>
        <w:t>תוס'</w:t>
      </w:r>
      <w:r w:rsidRPr="003316BE">
        <w:rPr>
          <w:rFonts w:hint="cs"/>
          <w:rtl/>
        </w:rPr>
        <w:t xml:space="preserve"> </w:t>
      </w:r>
      <w:r w:rsidRPr="003316BE">
        <w:rPr>
          <w:rStyle w:val="af7"/>
          <w:rFonts w:eastAsia="Guttman Hodes" w:hint="cs"/>
          <w:rtl/>
        </w:rPr>
        <w:t xml:space="preserve">(עי' אות </w:t>
      </w:r>
      <w:r w:rsidRPr="003316BE">
        <w:rPr>
          <w:rStyle w:val="af7"/>
          <w:rFonts w:eastAsia="Guttman Hodes"/>
          <w:rtl/>
        </w:rPr>
        <w:fldChar w:fldCharType="begin"/>
      </w:r>
      <w:r w:rsidRPr="003316BE">
        <w:rPr>
          <w:rStyle w:val="af7"/>
          <w:rFonts w:eastAsia="Guttman Hodes"/>
          <w:rtl/>
        </w:rPr>
        <w:instrText xml:space="preserve"> </w:instrText>
      </w:r>
      <w:r w:rsidRPr="003316BE">
        <w:rPr>
          <w:rStyle w:val="af7"/>
          <w:rFonts w:eastAsia="Guttman Hodes" w:hint="cs"/>
        </w:rPr>
        <w:instrText>REF</w:instrText>
      </w:r>
      <w:r w:rsidRPr="003316BE">
        <w:rPr>
          <w:rStyle w:val="af7"/>
          <w:rFonts w:eastAsia="Guttman Hodes" w:hint="cs"/>
          <w:rtl/>
        </w:rPr>
        <w:instrText xml:space="preserve"> _</w:instrText>
      </w:r>
      <w:r w:rsidRPr="003316BE">
        <w:rPr>
          <w:rStyle w:val="af7"/>
          <w:rFonts w:eastAsia="Guttman Hodes" w:hint="cs"/>
        </w:rPr>
        <w:instrText>Ref532328429 \r \h</w:instrText>
      </w:r>
      <w:r w:rsidRPr="003316BE">
        <w:rPr>
          <w:rStyle w:val="af7"/>
          <w:rFonts w:eastAsia="Guttman Hodes"/>
          <w:rtl/>
        </w:rPr>
        <w:instrText xml:space="preserve"> </w:instrText>
      </w:r>
      <w:r w:rsidRPr="003316BE">
        <w:rPr>
          <w:rStyle w:val="af7"/>
          <w:rFonts w:eastAsia="Guttman Hodes"/>
          <w:rtl/>
        </w:rPr>
      </w:r>
      <w:r w:rsidRPr="003316BE">
        <w:rPr>
          <w:rStyle w:val="af7"/>
          <w:rFonts w:eastAsia="Guttman Hodes"/>
          <w:rtl/>
        </w:rPr>
        <w:fldChar w:fldCharType="separate"/>
      </w:r>
      <w:r w:rsidR="00345400">
        <w:rPr>
          <w:rStyle w:val="af7"/>
          <w:rFonts w:eastAsia="Guttman Hodes"/>
          <w:cs/>
        </w:rPr>
        <w:t>‎</w:t>
      </w:r>
      <w:r w:rsidR="00345400">
        <w:rPr>
          <w:rStyle w:val="af7"/>
          <w:rFonts w:eastAsia="Guttman Hodes"/>
          <w:rtl/>
        </w:rPr>
        <w:t>סג)</w:t>
      </w:r>
      <w:r w:rsidRPr="003316BE">
        <w:rPr>
          <w:rStyle w:val="af7"/>
          <w:rFonts w:eastAsia="Guttman Hodes"/>
          <w:rtl/>
        </w:rPr>
        <w:fldChar w:fldCharType="end"/>
      </w:r>
      <w:r w:rsidRPr="003316BE">
        <w:rPr>
          <w:rFonts w:hint="cs"/>
          <w:rtl/>
        </w:rPr>
        <w:t xml:space="preserve"> דאמר</w:t>
      </w:r>
      <w:r>
        <w:rPr>
          <w:rFonts w:hint="cs"/>
          <w:rtl/>
        </w:rPr>
        <w:t xml:space="preserve"> כן רב הונא בשם רב אסי, וא"כ רב אסי ס"ל כרב יהודה דההגרמה אינה במקום שחיטה כלל, והקשה </w:t>
      </w:r>
      <w:r w:rsidRPr="00FA426E">
        <w:rPr>
          <w:rStyle w:val="af9"/>
          <w:rFonts w:hint="cs"/>
          <w:rtl/>
        </w:rPr>
        <w:t>החזו"א</w:t>
      </w:r>
      <w:r>
        <w:rPr>
          <w:rFonts w:hint="cs"/>
          <w:rtl/>
        </w:rPr>
        <w:t xml:space="preserve"> דכיון שיש שם שחיטה על ב' השלישים האחרונים, א"כ אין הבהמה טריפה, דהא דבר שיש עליו שם שחוט אינו מטריף, כדמוכח מהא דהתיר רב יהודה בשחט והגרים ושחט [כדביאר </w:t>
      </w:r>
      <w:r w:rsidRPr="00FA426E">
        <w:rPr>
          <w:rStyle w:val="af9"/>
          <w:rFonts w:hint="cs"/>
          <w:rtl/>
        </w:rPr>
        <w:t>החזו"א</w:t>
      </w:r>
      <w:r>
        <w:rPr>
          <w:rFonts w:hint="cs"/>
          <w:rtl/>
        </w:rPr>
        <w:t xml:space="preserve"> </w:t>
      </w:r>
      <w:r w:rsidRPr="00FA426E">
        <w:rPr>
          <w:rStyle w:val="af7"/>
          <w:rFonts w:eastAsia="Guttman Hodes" w:hint="cs"/>
          <w:rtl/>
        </w:rPr>
        <w:t xml:space="preserve">(עי' </w:t>
      </w:r>
      <w:r w:rsidRPr="006B366B">
        <w:rPr>
          <w:rStyle w:val="af7"/>
          <w:rFonts w:eastAsia="Guttman Hodes" w:hint="cs"/>
          <w:rtl/>
        </w:rPr>
        <w:t xml:space="preserve">אות </w:t>
      </w:r>
      <w:r w:rsidRPr="006B366B">
        <w:rPr>
          <w:rStyle w:val="af7"/>
          <w:rFonts w:eastAsia="Guttman Hodes"/>
          <w:rtl/>
        </w:rPr>
        <w:fldChar w:fldCharType="begin"/>
      </w:r>
      <w:r w:rsidRPr="006B366B">
        <w:rPr>
          <w:rStyle w:val="af7"/>
          <w:rFonts w:eastAsia="Guttman Hodes"/>
          <w:rtl/>
        </w:rPr>
        <w:instrText xml:space="preserve"> </w:instrText>
      </w:r>
      <w:r w:rsidRPr="006B366B">
        <w:rPr>
          <w:rStyle w:val="af7"/>
          <w:rFonts w:eastAsia="Guttman Hodes" w:hint="cs"/>
        </w:rPr>
        <w:instrText>REF</w:instrText>
      </w:r>
      <w:r w:rsidRPr="006B366B">
        <w:rPr>
          <w:rStyle w:val="af7"/>
          <w:rFonts w:eastAsia="Guttman Hodes" w:hint="cs"/>
          <w:rtl/>
        </w:rPr>
        <w:instrText xml:space="preserve"> _</w:instrText>
      </w:r>
      <w:r w:rsidRPr="006B366B">
        <w:rPr>
          <w:rStyle w:val="af7"/>
          <w:rFonts w:eastAsia="Guttman Hodes" w:hint="cs"/>
        </w:rPr>
        <w:instrText>Ref532202973 \r \h</w:instrText>
      </w:r>
      <w:r w:rsidRPr="006B366B">
        <w:rPr>
          <w:rStyle w:val="af7"/>
          <w:rFonts w:eastAsia="Guttman Hodes"/>
          <w:rtl/>
        </w:rPr>
        <w:instrText xml:space="preserve"> </w:instrText>
      </w:r>
      <w:r w:rsidRPr="006B366B">
        <w:rPr>
          <w:rStyle w:val="af7"/>
          <w:rFonts w:eastAsia="Guttman Hodes"/>
          <w:rtl/>
        </w:rPr>
      </w:r>
      <w:r w:rsidRPr="006B366B">
        <w:rPr>
          <w:rStyle w:val="af7"/>
          <w:rFonts w:eastAsia="Guttman Hodes"/>
          <w:rtl/>
        </w:rPr>
        <w:fldChar w:fldCharType="separate"/>
      </w:r>
      <w:r w:rsidR="00345400">
        <w:rPr>
          <w:rStyle w:val="af7"/>
          <w:rFonts w:eastAsia="Guttman Hodes"/>
          <w:cs/>
        </w:rPr>
        <w:t>‎</w:t>
      </w:r>
      <w:r w:rsidR="00345400">
        <w:rPr>
          <w:rStyle w:val="af7"/>
          <w:rFonts w:eastAsia="Guttman Hodes"/>
          <w:rtl/>
        </w:rPr>
        <w:t>מח)</w:t>
      </w:r>
      <w:r w:rsidRPr="006B366B">
        <w:rPr>
          <w:rStyle w:val="af7"/>
          <w:rFonts w:eastAsia="Guttman Hodes"/>
          <w:rtl/>
        </w:rPr>
        <w:fldChar w:fldCharType="end"/>
      </w:r>
      <w:r>
        <w:rPr>
          <w:rFonts w:hint="cs"/>
          <w:rtl/>
        </w:rPr>
        <w:t>].</w:t>
      </w:r>
    </w:p>
    <w:p w14:paraId="7E3A31E6" w14:textId="77777777" w:rsidR="00F1210D" w:rsidRPr="00F1210D" w:rsidRDefault="00F1210D" w:rsidP="006D6D32">
      <w:pPr>
        <w:pStyle w:val="a3"/>
        <w:rPr>
          <w:rtl/>
        </w:rPr>
      </w:pPr>
    </w:p>
    <w:p w14:paraId="19992DD5" w14:textId="77777777" w:rsidR="00D53B7D" w:rsidRDefault="00D53B7D" w:rsidP="006D6D32">
      <w:pPr>
        <w:pStyle w:val="a3"/>
        <w:rPr>
          <w:rtl/>
        </w:rPr>
      </w:pPr>
      <w:bookmarkStart w:id="13392" w:name="_Toc532976817"/>
      <w:bookmarkStart w:id="13393" w:name="_Toc532982491"/>
      <w:bookmarkStart w:id="13394" w:name="_Toc532982649"/>
      <w:bookmarkStart w:id="13395" w:name="_Toc19390758"/>
      <w:bookmarkStart w:id="13396" w:name="_Toc19394255"/>
      <w:r>
        <w:rPr>
          <w:rFonts w:hint="cs"/>
          <w:rtl/>
        </w:rPr>
        <w:t>תירוץ החזו"א דלדעת רב אסי אף דבר שיש עליו שם שחיטה מצטרף לפסול ודלא כרב יהודה</w:t>
      </w:r>
      <w:bookmarkEnd w:id="13392"/>
      <w:bookmarkEnd w:id="13393"/>
      <w:bookmarkEnd w:id="13394"/>
      <w:bookmarkEnd w:id="13395"/>
      <w:bookmarkEnd w:id="13396"/>
    </w:p>
    <w:p w14:paraId="247FFFCD" w14:textId="77777777" w:rsidR="00D53B7D" w:rsidRDefault="00D53B7D" w:rsidP="00223668">
      <w:pPr>
        <w:pStyle w:val="a0"/>
        <w:rPr>
          <w:rtl/>
        </w:rPr>
      </w:pPr>
      <w:r>
        <w:rPr>
          <w:rFonts w:hint="cs"/>
          <w:rtl/>
        </w:rPr>
        <w:t xml:space="preserve">ותירץ </w:t>
      </w:r>
      <w:r w:rsidRPr="00FA426E">
        <w:rPr>
          <w:rStyle w:val="af9"/>
          <w:rFonts w:hint="cs"/>
          <w:rtl/>
        </w:rPr>
        <w:t>החזו"א</w:t>
      </w:r>
      <w:r>
        <w:rPr>
          <w:rFonts w:hint="cs"/>
          <w:rtl/>
        </w:rPr>
        <w:t xml:space="preserve"> דבאמת רב אסי פוסל גם בשחט והגרים ושחט, דס"ל דאף דבר שיש עליו שם שחיטה הוא מצטרף להגרמה להטריף את הבהמה, ודלא כרב יהודה.</w:t>
      </w:r>
    </w:p>
    <w:p w14:paraId="5D851085" w14:textId="77777777" w:rsidR="00D53B7D" w:rsidRDefault="00D53B7D" w:rsidP="006D6D32">
      <w:pPr>
        <w:pStyle w:val="a3"/>
        <w:rPr>
          <w:rtl/>
        </w:rPr>
      </w:pPr>
      <w:bookmarkStart w:id="13397" w:name="_Toc532976818"/>
      <w:bookmarkStart w:id="13398" w:name="_Toc532982492"/>
      <w:bookmarkStart w:id="13399" w:name="_Toc532982650"/>
      <w:bookmarkStart w:id="13400" w:name="_Toc19390759"/>
      <w:bookmarkStart w:id="13401" w:name="_Toc19394256"/>
      <w:r>
        <w:rPr>
          <w:rFonts w:hint="cs"/>
          <w:rtl/>
        </w:rPr>
        <w:t>תירוץ בחזו"א דבשחט שליש והגרים ב' שלישים לא חל שם שחוט כלל כיון שאין רוב קנה שחוט</w:t>
      </w:r>
      <w:bookmarkEnd w:id="13397"/>
      <w:bookmarkEnd w:id="13398"/>
      <w:bookmarkEnd w:id="13399"/>
      <w:bookmarkEnd w:id="13400"/>
      <w:bookmarkEnd w:id="13401"/>
    </w:p>
    <w:p w14:paraId="54D7AF3B" w14:textId="77777777" w:rsidR="00D53B7D" w:rsidRDefault="00D53B7D" w:rsidP="00223668">
      <w:pPr>
        <w:pStyle w:val="a0"/>
      </w:pPr>
      <w:r>
        <w:rPr>
          <w:rFonts w:hint="cs"/>
          <w:rtl/>
        </w:rPr>
        <w:t xml:space="preserve">ועוד תירץ </w:t>
      </w:r>
      <w:r w:rsidRPr="00FA426E">
        <w:rPr>
          <w:rStyle w:val="af9"/>
          <w:rFonts w:hint="cs"/>
          <w:rtl/>
        </w:rPr>
        <w:t>החזו"א</w:t>
      </w:r>
      <w:r>
        <w:rPr>
          <w:rFonts w:hint="cs"/>
          <w:rtl/>
        </w:rPr>
        <w:t xml:space="preserve"> דבהגרים שליש ושחט ב' שלישים, הוא גרוע יותר משחט והגרים ושחט, כיון דבשחט והגרים ושחט, חל שם שחיטה על השליש הראשון, כיון שבצירוף השליש האחרון יש רוב קנה שנחתך בשחיטה, אבל בהגרים שליש ושחט ב' שלישים, בשחיטת השליש האמצעי פסק את רוב הקנה,  ונעשית טריפה בזה, כיון שלא נשחט רוב הקנה, וא"כ לא חל שם שחיטה על השליש האמצעי, </w:t>
      </w:r>
      <w:r w:rsidRPr="0025234F">
        <w:rPr>
          <w:rStyle w:val="afb"/>
          <w:rFonts w:hint="cs"/>
          <w:rtl/>
        </w:rPr>
        <w:t>[ד</w:t>
      </w:r>
      <w:r>
        <w:rPr>
          <w:rStyle w:val="afb"/>
          <w:rFonts w:hint="cs"/>
          <w:rtl/>
        </w:rPr>
        <w:t xml:space="preserve">השליש האמצעי אף שנשחט, מ"מ </w:t>
      </w:r>
      <w:r w:rsidRPr="0025234F">
        <w:rPr>
          <w:rStyle w:val="afb"/>
          <w:rFonts w:hint="cs"/>
          <w:rtl/>
        </w:rPr>
        <w:t>הוא כבר הצטרף לשליש הראשון להטריף, ואין השליש האחרון יכול להצטרף אליו ולתת ל</w:t>
      </w:r>
      <w:r>
        <w:rPr>
          <w:rStyle w:val="afb"/>
          <w:rFonts w:hint="cs"/>
          <w:rtl/>
        </w:rPr>
        <w:t>שליש האמצעי</w:t>
      </w:r>
      <w:r w:rsidRPr="0025234F">
        <w:rPr>
          <w:rStyle w:val="afb"/>
          <w:rFonts w:hint="cs"/>
          <w:rtl/>
        </w:rPr>
        <w:t xml:space="preserve"> שם שחוט, אחר שהצטרף </w:t>
      </w:r>
      <w:r>
        <w:rPr>
          <w:rStyle w:val="afb"/>
          <w:rFonts w:hint="cs"/>
          <w:rtl/>
        </w:rPr>
        <w:t xml:space="preserve">לראשון </w:t>
      </w:r>
      <w:r w:rsidRPr="0025234F">
        <w:rPr>
          <w:rStyle w:val="afb"/>
          <w:rFonts w:hint="cs"/>
          <w:rtl/>
        </w:rPr>
        <w:t>להטריף]</w:t>
      </w:r>
      <w:r>
        <w:rPr>
          <w:rFonts w:hint="cs"/>
          <w:rtl/>
        </w:rPr>
        <w:t>.</w:t>
      </w:r>
    </w:p>
    <w:p w14:paraId="716A605E" w14:textId="77777777" w:rsidR="00D53B7D" w:rsidRDefault="00D53B7D" w:rsidP="00D53B7D">
      <w:pPr>
        <w:pStyle w:val="2"/>
        <w:rPr>
          <w:rtl/>
        </w:rPr>
      </w:pPr>
      <w:bookmarkStart w:id="13402" w:name="_Toc532810230"/>
      <w:bookmarkStart w:id="13403" w:name="_Toc532844829"/>
      <w:bookmarkStart w:id="13404" w:name="_Toc532849438"/>
      <w:bookmarkStart w:id="13405" w:name="_Toc532897076"/>
      <w:bookmarkStart w:id="13406" w:name="_Toc532901852"/>
      <w:bookmarkStart w:id="13407" w:name="_Toc532976819"/>
      <w:bookmarkStart w:id="13408" w:name="_Toc532982493"/>
      <w:bookmarkStart w:id="13409" w:name="_Toc532982651"/>
      <w:bookmarkStart w:id="13410" w:name="_Toc19435856"/>
      <w:bookmarkEnd w:id="13232"/>
      <w:r>
        <w:rPr>
          <w:rFonts w:hint="cs"/>
          <w:rtl/>
        </w:rPr>
        <w:t>בסתירת דברי רב הונא</w:t>
      </w:r>
      <w:bookmarkEnd w:id="13402"/>
      <w:bookmarkEnd w:id="13403"/>
      <w:bookmarkEnd w:id="13404"/>
      <w:bookmarkEnd w:id="13405"/>
      <w:bookmarkEnd w:id="13406"/>
      <w:bookmarkEnd w:id="13407"/>
      <w:bookmarkEnd w:id="13408"/>
      <w:bookmarkEnd w:id="13409"/>
      <w:bookmarkEnd w:id="13410"/>
    </w:p>
    <w:p w14:paraId="18FFF29B" w14:textId="77777777" w:rsidR="00D53B7D" w:rsidRPr="00C16AA0" w:rsidRDefault="00D53B7D" w:rsidP="00BF39B2">
      <w:pPr>
        <w:pStyle w:val="1"/>
        <w:rPr>
          <w:rtl/>
        </w:rPr>
      </w:pPr>
      <w:bookmarkStart w:id="13411" w:name="_Toc532976820"/>
      <w:bookmarkStart w:id="13412" w:name="_Toc532982494"/>
      <w:bookmarkStart w:id="13413" w:name="_Toc532982652"/>
      <w:bookmarkStart w:id="13414" w:name="_Toc19390760"/>
      <w:bookmarkStart w:id="13415" w:name="_Toc19394257"/>
      <w:r>
        <w:rPr>
          <w:rFonts w:hint="cs"/>
          <w:rtl/>
        </w:rPr>
        <w:t>דברי רש"י דהל"ב בהגרמה דריבר"י ורב הונא בהגרמה דרחב"א</w:t>
      </w:r>
      <w:bookmarkEnd w:id="13411"/>
      <w:bookmarkEnd w:id="13412"/>
      <w:bookmarkEnd w:id="13413"/>
      <w:bookmarkEnd w:id="13414"/>
      <w:bookmarkEnd w:id="13415"/>
    </w:p>
    <w:p w14:paraId="2E0AF2E9" w14:textId="77777777" w:rsidR="00D53B7D" w:rsidRPr="007E15C4" w:rsidRDefault="00D53B7D" w:rsidP="006D6D32">
      <w:pPr>
        <w:pStyle w:val="a3"/>
        <w:rPr>
          <w:rtl/>
        </w:rPr>
      </w:pPr>
      <w:bookmarkStart w:id="13416" w:name="_Toc532976821"/>
      <w:bookmarkStart w:id="13417" w:name="_Toc532982495"/>
      <w:bookmarkStart w:id="13418" w:name="_Toc532982653"/>
      <w:bookmarkStart w:id="13419" w:name="_Toc19390761"/>
      <w:bookmarkStart w:id="13420" w:name="_Toc19394258"/>
      <w:r>
        <w:rPr>
          <w:rFonts w:hint="cs"/>
          <w:rtl/>
        </w:rPr>
        <w:t>קושית רש"י דכיון דפסל רב הונא בהגרים ושחט ב' שלישים כ"ש דפסול בהגרים ושחט והגרים</w:t>
      </w:r>
      <w:bookmarkEnd w:id="13416"/>
      <w:bookmarkEnd w:id="13417"/>
      <w:bookmarkEnd w:id="13418"/>
      <w:bookmarkEnd w:id="13419"/>
      <w:bookmarkEnd w:id="13420"/>
    </w:p>
    <w:p w14:paraId="75159CDF" w14:textId="77777777" w:rsidR="00D53B7D" w:rsidRDefault="00D53B7D" w:rsidP="00223668">
      <w:pPr>
        <w:pStyle w:val="a0"/>
        <w:rPr>
          <w:rtl/>
        </w:rPr>
      </w:pPr>
      <w:r>
        <w:rPr>
          <w:rFonts w:hint="cs"/>
          <w:rtl/>
        </w:rPr>
        <w:t xml:space="preserve">הקשה </w:t>
      </w:r>
      <w:r w:rsidRPr="00775D44">
        <w:rPr>
          <w:rStyle w:val="af9"/>
          <w:rFonts w:hint="cs"/>
          <w:rtl/>
        </w:rPr>
        <w:t>רש"י</w:t>
      </w:r>
      <w:r>
        <w:rPr>
          <w:rFonts w:hint="cs"/>
          <w:rtl/>
        </w:rPr>
        <w:t xml:space="preserve"> </w:t>
      </w:r>
      <w:r w:rsidRPr="00775D44">
        <w:rPr>
          <w:rStyle w:val="af7"/>
          <w:rFonts w:eastAsia="Guttman Hodes" w:hint="cs"/>
          <w:rtl/>
        </w:rPr>
        <w:t>(יט: ד"ה הכא)</w:t>
      </w:r>
      <w:r>
        <w:rPr>
          <w:rFonts w:hint="cs"/>
          <w:rtl/>
        </w:rPr>
        <w:t xml:space="preserve"> היאך הכשיר רב הונא בהגרים ושחט והגרים, הא ס"ל לרב הונא בלישנא בתרא דאף בהגרים שליש ושחט ב' שלישים, השחיטה פסולה, בין לדעת ריבר"י ובין לדעת רבנן, א"כ כ"ש כשהגרים בשליש האחרון ולא הוסיף ב' שלישים בשחיטה, דהשחיטה פסולה.</w:t>
      </w:r>
    </w:p>
    <w:p w14:paraId="59301B1C" w14:textId="77777777" w:rsidR="00D53B7D" w:rsidRPr="00276FF4" w:rsidRDefault="00D53B7D" w:rsidP="006D6D32">
      <w:pPr>
        <w:pStyle w:val="a3"/>
        <w:rPr>
          <w:rtl/>
        </w:rPr>
      </w:pPr>
      <w:bookmarkStart w:id="13421" w:name="_Toc532976822"/>
      <w:bookmarkStart w:id="13422" w:name="_Toc532982496"/>
      <w:bookmarkStart w:id="13423" w:name="_Toc532982654"/>
      <w:bookmarkStart w:id="13424" w:name="_Toc19390762"/>
      <w:bookmarkStart w:id="13425" w:name="_Toc19394259"/>
      <w:r>
        <w:rPr>
          <w:rFonts w:hint="cs"/>
          <w:rtl/>
        </w:rPr>
        <w:t>דברי רש"י דרב הונא דפסל בל"ב קאי על מתני' ובשחט והגרים ושחט הכשיר במוגרמת דרחב"א</w:t>
      </w:r>
      <w:bookmarkEnd w:id="13421"/>
      <w:bookmarkEnd w:id="13422"/>
      <w:bookmarkEnd w:id="13423"/>
      <w:bookmarkEnd w:id="13424"/>
      <w:bookmarkEnd w:id="13425"/>
    </w:p>
    <w:p w14:paraId="258CE401" w14:textId="77777777" w:rsidR="00D53B7D" w:rsidRDefault="00D53B7D" w:rsidP="00223668">
      <w:pPr>
        <w:pStyle w:val="a0"/>
        <w:rPr>
          <w:rtl/>
        </w:rPr>
      </w:pPr>
      <w:bookmarkStart w:id="13426" w:name="_Ref532314433"/>
      <w:r>
        <w:rPr>
          <w:rFonts w:hint="cs"/>
          <w:rtl/>
        </w:rPr>
        <w:t xml:space="preserve">ותירץ </w:t>
      </w:r>
      <w:r w:rsidRPr="00775D44">
        <w:rPr>
          <w:rStyle w:val="af9"/>
          <w:rFonts w:hint="cs"/>
          <w:rtl/>
        </w:rPr>
        <w:t>רש"י</w:t>
      </w:r>
      <w:r>
        <w:rPr>
          <w:rFonts w:hint="cs"/>
          <w:rtl/>
        </w:rPr>
        <w:t xml:space="preserve"> דהא דפסל רב הונא בהגרים שליש ושחט ב' שלישים, הוא לדעת ריבר"י ורבנן, אבל המחלוקת של רב הונא ורב יהודה, אינה על פלוגתת ריבר"י ורבנן במשנה </w:t>
      </w:r>
      <w:r w:rsidRPr="00775D44">
        <w:rPr>
          <w:rStyle w:val="af7"/>
          <w:rFonts w:eastAsia="Guttman Hodes" w:hint="cs"/>
          <w:rtl/>
        </w:rPr>
        <w:t>(יח.)</w:t>
      </w:r>
      <w:r>
        <w:rPr>
          <w:rFonts w:hint="cs"/>
          <w:rtl/>
        </w:rPr>
        <w:t xml:space="preserve"> אלא על מוגרמת דרחב"א דהגרים למעלה משיפוי כובע, והא דאמר רב הונא דכשר, אמר כן בשם רב, ועי' בדברי </w:t>
      </w:r>
      <w:r w:rsidRPr="00131322">
        <w:rPr>
          <w:rStyle w:val="af9"/>
          <w:rFonts w:hint="cs"/>
          <w:rtl/>
        </w:rPr>
        <w:t>השיטמ"ק</w:t>
      </w:r>
      <w:r>
        <w:rPr>
          <w:rFonts w:hint="cs"/>
          <w:rtl/>
        </w:rPr>
        <w:t xml:space="preserve"> </w:t>
      </w:r>
      <w:r w:rsidRPr="00131322">
        <w:rPr>
          <w:rStyle w:val="af7"/>
          <w:rFonts w:eastAsia="Guttman Hodes" w:hint="cs"/>
          <w:rtl/>
        </w:rPr>
        <w:t>(יט: ד"ה כתב רש"י)</w:t>
      </w:r>
      <w:r>
        <w:rPr>
          <w:rFonts w:hint="cs"/>
          <w:rtl/>
        </w:rPr>
        <w:t xml:space="preserve">, ועי' במה שביאר </w:t>
      </w:r>
      <w:r w:rsidRPr="00350F92">
        <w:rPr>
          <w:rStyle w:val="af9"/>
          <w:rFonts w:hint="cs"/>
          <w:rtl/>
        </w:rPr>
        <w:t xml:space="preserve">החת"ס </w:t>
      </w:r>
      <w:r w:rsidRPr="00350F92">
        <w:rPr>
          <w:rStyle w:val="af7"/>
          <w:rFonts w:eastAsia="Guttman Hodes" w:hint="cs"/>
          <w:rtl/>
        </w:rPr>
        <w:t xml:space="preserve">(עי' אות </w:t>
      </w:r>
      <w:r w:rsidRPr="00350F92">
        <w:rPr>
          <w:rStyle w:val="af7"/>
          <w:rFonts w:eastAsia="Guttman Hodes"/>
          <w:rtl/>
        </w:rPr>
        <w:fldChar w:fldCharType="begin"/>
      </w:r>
      <w:r w:rsidRPr="00350F92">
        <w:rPr>
          <w:rStyle w:val="af7"/>
          <w:rFonts w:eastAsia="Guttman Hodes"/>
          <w:rtl/>
        </w:rPr>
        <w:instrText xml:space="preserve"> </w:instrText>
      </w:r>
      <w:r w:rsidRPr="00350F92">
        <w:rPr>
          <w:rStyle w:val="af7"/>
          <w:rFonts w:eastAsia="Guttman Hodes" w:hint="cs"/>
        </w:rPr>
        <w:instrText>REF</w:instrText>
      </w:r>
      <w:r w:rsidRPr="00350F92">
        <w:rPr>
          <w:rStyle w:val="af7"/>
          <w:rFonts w:eastAsia="Guttman Hodes" w:hint="cs"/>
          <w:rtl/>
        </w:rPr>
        <w:instrText xml:space="preserve"> _</w:instrText>
      </w:r>
      <w:r w:rsidRPr="00350F92">
        <w:rPr>
          <w:rStyle w:val="af7"/>
          <w:rFonts w:eastAsia="Guttman Hodes" w:hint="cs"/>
        </w:rPr>
        <w:instrText>Ref532826029 \r \h</w:instrText>
      </w:r>
      <w:r w:rsidRPr="00350F92">
        <w:rPr>
          <w:rStyle w:val="af7"/>
          <w:rFonts w:eastAsia="Guttman Hodes"/>
          <w:rtl/>
        </w:rPr>
        <w:instrText xml:space="preserve"> </w:instrText>
      </w:r>
      <w:r w:rsidRPr="00350F92">
        <w:rPr>
          <w:rStyle w:val="af7"/>
          <w:rFonts w:eastAsia="Guttman Hodes"/>
          <w:rtl/>
        </w:rPr>
      </w:r>
      <w:r w:rsidRPr="00350F92">
        <w:rPr>
          <w:rStyle w:val="af7"/>
          <w:rFonts w:eastAsia="Guttman Hodes"/>
          <w:rtl/>
        </w:rPr>
        <w:fldChar w:fldCharType="separate"/>
      </w:r>
      <w:r w:rsidR="00345400">
        <w:rPr>
          <w:rStyle w:val="af7"/>
          <w:rFonts w:eastAsia="Guttman Hodes"/>
          <w:cs/>
        </w:rPr>
        <w:t>‎</w:t>
      </w:r>
      <w:r w:rsidR="00345400">
        <w:rPr>
          <w:rStyle w:val="af7"/>
          <w:rFonts w:eastAsia="Guttman Hodes"/>
          <w:rtl/>
        </w:rPr>
        <w:t>ו)</w:t>
      </w:r>
      <w:r w:rsidRPr="00350F92">
        <w:rPr>
          <w:rStyle w:val="af7"/>
          <w:rFonts w:eastAsia="Guttman Hodes"/>
          <w:rtl/>
        </w:rPr>
        <w:fldChar w:fldCharType="end"/>
      </w:r>
      <w:r>
        <w:rPr>
          <w:rFonts w:hint="cs"/>
          <w:rtl/>
        </w:rPr>
        <w:t xml:space="preserve"> את דברי </w:t>
      </w:r>
      <w:r w:rsidRPr="00350F92">
        <w:rPr>
          <w:rStyle w:val="af9"/>
          <w:rFonts w:hint="cs"/>
          <w:rtl/>
        </w:rPr>
        <w:t>רש"י</w:t>
      </w:r>
      <w:r>
        <w:rPr>
          <w:rFonts w:hint="cs"/>
          <w:rtl/>
        </w:rPr>
        <w:t>.</w:t>
      </w:r>
      <w:bookmarkEnd w:id="13426"/>
    </w:p>
    <w:p w14:paraId="2913C43F" w14:textId="77777777" w:rsidR="00D53B7D" w:rsidRDefault="00D53B7D" w:rsidP="006D6D32">
      <w:pPr>
        <w:pStyle w:val="a3"/>
        <w:rPr>
          <w:rtl/>
        </w:rPr>
      </w:pPr>
      <w:bookmarkStart w:id="13427" w:name="_Toc532976823"/>
      <w:bookmarkStart w:id="13428" w:name="_Toc532982497"/>
      <w:bookmarkStart w:id="13429" w:name="_Toc532982655"/>
      <w:bookmarkStart w:id="13430" w:name="_Toc19390763"/>
      <w:bookmarkStart w:id="13431" w:name="_Toc19394260"/>
      <w:r>
        <w:rPr>
          <w:rFonts w:hint="cs"/>
          <w:rtl/>
        </w:rPr>
        <w:t>דברי המהרש"א דלרבר"י א"א להכשיר בשחט והגרים ושחט דאינו על פני רובה</w:t>
      </w:r>
      <w:bookmarkEnd w:id="13427"/>
      <w:bookmarkEnd w:id="13428"/>
      <w:bookmarkEnd w:id="13429"/>
      <w:bookmarkEnd w:id="13430"/>
      <w:bookmarkEnd w:id="13431"/>
    </w:p>
    <w:p w14:paraId="765C5C1B" w14:textId="77777777" w:rsidR="00D53B7D" w:rsidRPr="00FD73A6" w:rsidRDefault="00D53B7D" w:rsidP="00223668">
      <w:pPr>
        <w:pStyle w:val="a0"/>
        <w:rPr>
          <w:rtl/>
        </w:rPr>
      </w:pPr>
      <w:bookmarkStart w:id="13432" w:name="_Ref532415566"/>
      <w:r>
        <w:rPr>
          <w:rFonts w:hint="cs"/>
          <w:rtl/>
        </w:rPr>
        <w:t xml:space="preserve">וכתב </w:t>
      </w:r>
      <w:r w:rsidRPr="00FD73A6">
        <w:rPr>
          <w:rStyle w:val="af9"/>
          <w:rFonts w:hint="cs"/>
          <w:rtl/>
        </w:rPr>
        <w:t>המהרש"א</w:t>
      </w:r>
      <w:r>
        <w:rPr>
          <w:rFonts w:hint="cs"/>
          <w:rtl/>
        </w:rPr>
        <w:t xml:space="preserve"> </w:t>
      </w:r>
      <w:r w:rsidRPr="00FD73A6">
        <w:rPr>
          <w:rStyle w:val="af7"/>
          <w:rFonts w:eastAsia="Guttman Hodes" w:hint="cs"/>
          <w:rtl/>
        </w:rPr>
        <w:t>(על תוד"ה הגרים)</w:t>
      </w:r>
      <w:r>
        <w:rPr>
          <w:rFonts w:hint="cs"/>
          <w:rtl/>
        </w:rPr>
        <w:t xml:space="preserve"> </w:t>
      </w:r>
      <w:r w:rsidRPr="00FD73A6">
        <w:rPr>
          <w:rStyle w:val="af9"/>
          <w:rFonts w:hint="cs"/>
          <w:rtl/>
        </w:rPr>
        <w:t>דרש"י</w:t>
      </w:r>
      <w:r>
        <w:rPr>
          <w:rFonts w:hint="cs"/>
          <w:rtl/>
        </w:rPr>
        <w:t xml:space="preserve"> ביאר דהל"ב דרב הונא אמר רב אסי, היינו אליבא דריבר"י, ומה שאמר רב הונא בשם רב הוא אליבא דרחב"א, וביאר </w:t>
      </w:r>
      <w:r w:rsidRPr="00FD73A6">
        <w:rPr>
          <w:rStyle w:val="af9"/>
          <w:rFonts w:hint="cs"/>
          <w:rtl/>
        </w:rPr>
        <w:t>המהרש"א</w:t>
      </w:r>
      <w:r>
        <w:rPr>
          <w:rFonts w:hint="cs"/>
          <w:rtl/>
        </w:rPr>
        <w:t xml:space="preserve"> דלדעת ריבר"י לא אמר רב הונא בשם רב שבהגרים ושחט והגרים כשר, דהא כיון דאמר ריבר"י במתני' דהניח מלא החוט על פני רובא, א"א להכשיר בזה, ולכן כתב </w:t>
      </w:r>
      <w:r w:rsidRPr="00FD73A6">
        <w:rPr>
          <w:rStyle w:val="af9"/>
          <w:rFonts w:hint="cs"/>
          <w:rtl/>
        </w:rPr>
        <w:t>רש"י</w:t>
      </w:r>
      <w:r>
        <w:rPr>
          <w:rFonts w:hint="cs"/>
          <w:rtl/>
        </w:rPr>
        <w:t xml:space="preserve"> דהוא לדעת רחב"א.</w:t>
      </w:r>
      <w:bookmarkEnd w:id="13432"/>
    </w:p>
    <w:p w14:paraId="504672FD" w14:textId="77777777" w:rsidR="00D53B7D" w:rsidRDefault="00D53B7D" w:rsidP="006D6D32">
      <w:pPr>
        <w:pStyle w:val="a3"/>
        <w:rPr>
          <w:rtl/>
        </w:rPr>
      </w:pPr>
      <w:bookmarkStart w:id="13433" w:name="_Toc532976824"/>
      <w:bookmarkStart w:id="13434" w:name="_Toc532982498"/>
      <w:bookmarkStart w:id="13435" w:name="_Toc532982656"/>
      <w:bookmarkStart w:id="13436" w:name="_Toc19390764"/>
      <w:bookmarkStart w:id="13437" w:name="_Toc19394261"/>
      <w:r>
        <w:rPr>
          <w:rFonts w:hint="cs"/>
          <w:rtl/>
        </w:rPr>
        <w:t>קושיות התוס' הרא"ש והמהרש"א דלא נחלקו בזה ריבר"י ורחב"א ורב גופיה פסק כריבר"י</w:t>
      </w:r>
      <w:bookmarkEnd w:id="13433"/>
      <w:bookmarkEnd w:id="13434"/>
      <w:bookmarkEnd w:id="13435"/>
      <w:bookmarkEnd w:id="13436"/>
      <w:bookmarkEnd w:id="13437"/>
    </w:p>
    <w:p w14:paraId="39B6456D" w14:textId="77777777" w:rsidR="00D53B7D" w:rsidRDefault="00D53B7D" w:rsidP="00223668">
      <w:pPr>
        <w:pStyle w:val="a0"/>
        <w:rPr>
          <w:rtl/>
        </w:rPr>
      </w:pPr>
      <w:r>
        <w:rPr>
          <w:rFonts w:hint="cs"/>
          <w:rtl/>
        </w:rPr>
        <w:t xml:space="preserve">ודחה </w:t>
      </w:r>
      <w:r w:rsidRPr="00517FCE">
        <w:rPr>
          <w:rStyle w:val="af9"/>
          <w:rFonts w:hint="cs"/>
          <w:rtl/>
        </w:rPr>
        <w:t>התוס' הרא"ש</w:t>
      </w:r>
      <w:r>
        <w:rPr>
          <w:rFonts w:hint="cs"/>
          <w:rtl/>
        </w:rPr>
        <w:t xml:space="preserve"> </w:t>
      </w:r>
      <w:r w:rsidRPr="00517FCE">
        <w:rPr>
          <w:rStyle w:val="af7"/>
          <w:rFonts w:eastAsia="Guttman Hodes" w:hint="cs"/>
          <w:rtl/>
        </w:rPr>
        <w:t>(ד"ה הגרים)</w:t>
      </w:r>
      <w:r>
        <w:rPr>
          <w:rFonts w:hint="cs"/>
          <w:rtl/>
        </w:rPr>
        <w:t xml:space="preserve"> דלא מצינו שנחלקו ריבר"י ורחב"א בכמה הפסול של הגרמה, דמחלקותם היא רק במקום ההגרמה, וכן הקשה </w:t>
      </w:r>
      <w:r w:rsidRPr="00FD73A6">
        <w:rPr>
          <w:rStyle w:val="af9"/>
          <w:rFonts w:hint="cs"/>
          <w:rtl/>
        </w:rPr>
        <w:t>המהרש"א</w:t>
      </w:r>
      <w:r>
        <w:rPr>
          <w:rFonts w:hint="cs"/>
          <w:rtl/>
        </w:rPr>
        <w:t xml:space="preserve"> </w:t>
      </w:r>
      <w:r w:rsidRPr="00FD73A6">
        <w:rPr>
          <w:rStyle w:val="af7"/>
          <w:rFonts w:eastAsia="Guttman Hodes" w:hint="cs"/>
          <w:rtl/>
        </w:rPr>
        <w:t>(על תוד"ה הגרים)</w:t>
      </w:r>
      <w:r>
        <w:rPr>
          <w:rFonts w:hint="cs"/>
          <w:rtl/>
        </w:rPr>
        <w:t xml:space="preserve"> והוסיף להקשות דהא רב עצמו פסק כריבר"י.</w:t>
      </w:r>
    </w:p>
    <w:p w14:paraId="2092478F" w14:textId="77777777" w:rsidR="00D53B7D" w:rsidRDefault="00D53B7D" w:rsidP="00BF39B2">
      <w:pPr>
        <w:pStyle w:val="1"/>
        <w:rPr>
          <w:rtl/>
        </w:rPr>
      </w:pPr>
      <w:bookmarkStart w:id="13438" w:name="_Toc532976825"/>
      <w:bookmarkStart w:id="13439" w:name="_Toc532982499"/>
      <w:bookmarkStart w:id="13440" w:name="_Toc532982657"/>
      <w:bookmarkStart w:id="13441" w:name="_Toc19390765"/>
      <w:bookmarkStart w:id="13442" w:name="_Toc19394262"/>
      <w:r>
        <w:rPr>
          <w:rFonts w:hint="cs"/>
          <w:rtl/>
        </w:rPr>
        <w:t>תירוץ התוס' דהל"ב הכשירה לרב אסי ורב הונא פסל בשם רב</w:t>
      </w:r>
      <w:bookmarkEnd w:id="13438"/>
      <w:bookmarkEnd w:id="13439"/>
      <w:bookmarkEnd w:id="13440"/>
      <w:bookmarkEnd w:id="13441"/>
      <w:bookmarkEnd w:id="13442"/>
    </w:p>
    <w:p w14:paraId="26CFEE13" w14:textId="77777777" w:rsidR="00D53B7D" w:rsidRDefault="00D53B7D" w:rsidP="006D6D32">
      <w:pPr>
        <w:pStyle w:val="a3"/>
        <w:rPr>
          <w:rtl/>
        </w:rPr>
      </w:pPr>
      <w:bookmarkStart w:id="13443" w:name="_Toc532976826"/>
      <w:bookmarkStart w:id="13444" w:name="_Toc532982500"/>
      <w:bookmarkStart w:id="13445" w:name="_Toc532982658"/>
      <w:bookmarkStart w:id="13446" w:name="_Toc19390766"/>
      <w:bookmarkStart w:id="13447" w:name="_Toc19394263"/>
      <w:r>
        <w:rPr>
          <w:rFonts w:hint="cs"/>
          <w:rtl/>
        </w:rPr>
        <w:t>תירוץ התוס' דרב הונא בל"ב פסל בשם רב אסי והכשיר בשחט והגרים ושחט בשם רב</w:t>
      </w:r>
      <w:bookmarkEnd w:id="13443"/>
      <w:bookmarkEnd w:id="13444"/>
      <w:bookmarkEnd w:id="13445"/>
      <w:bookmarkEnd w:id="13446"/>
      <w:bookmarkEnd w:id="13447"/>
    </w:p>
    <w:p w14:paraId="11ED206D" w14:textId="77777777" w:rsidR="00D53B7D" w:rsidRDefault="00D53B7D" w:rsidP="00223668">
      <w:pPr>
        <w:pStyle w:val="a0"/>
        <w:rPr>
          <w:rStyle w:val="afb"/>
          <w:rtl/>
        </w:rPr>
      </w:pPr>
      <w:bookmarkStart w:id="13448" w:name="_Ref532328429"/>
      <w:r>
        <w:rPr>
          <w:rFonts w:hint="cs"/>
          <w:rtl/>
        </w:rPr>
        <w:t xml:space="preserve">אלא תירצו </w:t>
      </w:r>
      <w:r w:rsidRPr="00517FCE">
        <w:rPr>
          <w:rStyle w:val="af9"/>
          <w:rFonts w:hint="cs"/>
          <w:rtl/>
        </w:rPr>
        <w:t>התוס'</w:t>
      </w:r>
      <w:r>
        <w:rPr>
          <w:rFonts w:hint="cs"/>
          <w:rtl/>
        </w:rPr>
        <w:t xml:space="preserve"> </w:t>
      </w:r>
      <w:r w:rsidRPr="00517FCE">
        <w:rPr>
          <w:rStyle w:val="af7"/>
          <w:rFonts w:eastAsia="Guttman Hodes" w:hint="cs"/>
          <w:rtl/>
        </w:rPr>
        <w:t>(ד"ה הגרים)</w:t>
      </w:r>
      <w:r>
        <w:rPr>
          <w:rFonts w:hint="cs"/>
          <w:rtl/>
        </w:rPr>
        <w:t xml:space="preserve"> </w:t>
      </w:r>
      <w:r w:rsidRPr="00517FCE">
        <w:rPr>
          <w:rStyle w:val="af9"/>
          <w:rFonts w:hint="cs"/>
          <w:rtl/>
        </w:rPr>
        <w:t>והתוס' הרא"ש</w:t>
      </w:r>
      <w:r>
        <w:rPr>
          <w:rFonts w:hint="cs"/>
          <w:rtl/>
        </w:rPr>
        <w:t xml:space="preserve"> דהא דבל"ברב הונא פסל היינו בשם רב אסי, והא דהכשיר רב הונא בהגרים ושחט והגרים, היינו בשם רב, וכתב </w:t>
      </w:r>
      <w:r w:rsidRPr="00517FCE">
        <w:rPr>
          <w:rStyle w:val="af9"/>
          <w:rFonts w:hint="cs"/>
          <w:rtl/>
        </w:rPr>
        <w:t>התוס' הרא"ש</w:t>
      </w:r>
      <w:r>
        <w:rPr>
          <w:rFonts w:hint="cs"/>
          <w:rtl/>
        </w:rPr>
        <w:t xml:space="preserve"> דהוא </w:t>
      </w:r>
      <w:r w:rsidRPr="00517FCE">
        <w:rPr>
          <w:rStyle w:val="af9"/>
          <w:rFonts w:hint="cs"/>
          <w:rtl/>
        </w:rPr>
        <w:t>כתירוץ הב' ברש"י</w:t>
      </w:r>
      <w:r>
        <w:rPr>
          <w:rFonts w:hint="cs"/>
          <w:rtl/>
        </w:rPr>
        <w:t xml:space="preserve"> </w:t>
      </w:r>
      <w:r w:rsidRPr="00517FCE">
        <w:rPr>
          <w:rStyle w:val="af7"/>
          <w:rFonts w:eastAsia="Guttman Hodes" w:hint="cs"/>
          <w:rtl/>
        </w:rPr>
        <w:t xml:space="preserve">(עי' אות </w:t>
      </w:r>
      <w:r w:rsidRPr="00517FCE">
        <w:rPr>
          <w:rStyle w:val="af7"/>
          <w:rFonts w:eastAsia="Guttman Hodes"/>
          <w:rtl/>
        </w:rPr>
        <w:fldChar w:fldCharType="begin"/>
      </w:r>
      <w:r w:rsidRPr="00517FCE">
        <w:rPr>
          <w:rStyle w:val="af7"/>
          <w:rFonts w:eastAsia="Guttman Hodes"/>
          <w:rtl/>
        </w:rPr>
        <w:instrText xml:space="preserve"> </w:instrText>
      </w:r>
      <w:r w:rsidRPr="00517FCE">
        <w:rPr>
          <w:rStyle w:val="af7"/>
          <w:rFonts w:eastAsia="Guttman Hodes" w:hint="cs"/>
        </w:rPr>
        <w:instrText>REF</w:instrText>
      </w:r>
      <w:r w:rsidRPr="00517FCE">
        <w:rPr>
          <w:rStyle w:val="af7"/>
          <w:rFonts w:eastAsia="Guttman Hodes" w:hint="cs"/>
          <w:rtl/>
        </w:rPr>
        <w:instrText xml:space="preserve"> _</w:instrText>
      </w:r>
      <w:r w:rsidRPr="00517FCE">
        <w:rPr>
          <w:rStyle w:val="af7"/>
          <w:rFonts w:eastAsia="Guttman Hodes" w:hint="cs"/>
        </w:rPr>
        <w:instrText>Ref532314433 \r \h</w:instrText>
      </w:r>
      <w:r w:rsidRPr="00517FCE">
        <w:rPr>
          <w:rStyle w:val="af7"/>
          <w:rFonts w:eastAsia="Guttman Hodes"/>
          <w:rtl/>
        </w:rPr>
        <w:instrText xml:space="preserve"> </w:instrText>
      </w:r>
      <w:r w:rsidRPr="00517FCE">
        <w:rPr>
          <w:rStyle w:val="af7"/>
          <w:rFonts w:eastAsia="Guttman Hodes"/>
          <w:rtl/>
        </w:rPr>
      </w:r>
      <w:r w:rsidRPr="00517FCE">
        <w:rPr>
          <w:rStyle w:val="af7"/>
          <w:rFonts w:eastAsia="Guttman Hodes"/>
          <w:rtl/>
        </w:rPr>
        <w:fldChar w:fldCharType="separate"/>
      </w:r>
      <w:r w:rsidR="00345400">
        <w:rPr>
          <w:rStyle w:val="af7"/>
          <w:rFonts w:eastAsia="Guttman Hodes"/>
          <w:cs/>
        </w:rPr>
        <w:t>‎</w:t>
      </w:r>
      <w:r w:rsidR="00345400">
        <w:rPr>
          <w:rStyle w:val="af7"/>
          <w:rFonts w:eastAsia="Guttman Hodes"/>
          <w:rtl/>
        </w:rPr>
        <w:t>ס)</w:t>
      </w:r>
      <w:r w:rsidRPr="00517FCE">
        <w:rPr>
          <w:rStyle w:val="af7"/>
          <w:rFonts w:eastAsia="Guttman Hodes"/>
          <w:rtl/>
        </w:rPr>
        <w:fldChar w:fldCharType="end"/>
      </w:r>
      <w:r>
        <w:rPr>
          <w:rFonts w:hint="cs"/>
          <w:rtl/>
        </w:rPr>
        <w:t xml:space="preserve">. </w:t>
      </w:r>
      <w:r w:rsidRPr="00D46696">
        <w:rPr>
          <w:rStyle w:val="afb"/>
          <w:rFonts w:hint="cs"/>
          <w:rtl/>
        </w:rPr>
        <w:t>[ומשמע</w:t>
      </w:r>
      <w:r>
        <w:rPr>
          <w:rStyle w:val="afb"/>
          <w:rFonts w:hint="cs"/>
          <w:rtl/>
        </w:rPr>
        <w:t xml:space="preserve"> </w:t>
      </w:r>
      <w:r w:rsidRPr="00D46696">
        <w:rPr>
          <w:rStyle w:val="affa"/>
          <w:rFonts w:hint="cs"/>
          <w:rtl/>
        </w:rPr>
        <w:t>דהתוס' הרא"ש</w:t>
      </w:r>
      <w:r w:rsidRPr="00D46696">
        <w:rPr>
          <w:rStyle w:val="afb"/>
          <w:rFonts w:hint="cs"/>
          <w:rtl/>
        </w:rPr>
        <w:t xml:space="preserve"> ביאר דכוונת </w:t>
      </w:r>
      <w:r w:rsidRPr="00D46696">
        <w:rPr>
          <w:rStyle w:val="affa"/>
          <w:rFonts w:hint="cs"/>
          <w:rtl/>
        </w:rPr>
        <w:t>רש"י</w:t>
      </w:r>
      <w:r w:rsidRPr="00D46696">
        <w:rPr>
          <w:rStyle w:val="afb"/>
          <w:rFonts w:hint="cs"/>
          <w:rtl/>
        </w:rPr>
        <w:t xml:space="preserve"> לב' תירוצים שונים, </w:t>
      </w:r>
      <w:r w:rsidRPr="00D46696">
        <w:rPr>
          <w:rStyle w:val="affa"/>
          <w:rFonts w:hint="cs"/>
          <w:rtl/>
        </w:rPr>
        <w:t>וברש"י</w:t>
      </w:r>
      <w:r w:rsidRPr="00D46696">
        <w:rPr>
          <w:rStyle w:val="afb"/>
          <w:rFonts w:hint="cs"/>
          <w:rtl/>
        </w:rPr>
        <w:t xml:space="preserve"> לפנינו לא משמע כן</w:t>
      </w:r>
      <w:r>
        <w:rPr>
          <w:rStyle w:val="afb"/>
          <w:rFonts w:hint="cs"/>
          <w:rtl/>
        </w:rPr>
        <w:t xml:space="preserve">, ועי' </w:t>
      </w:r>
      <w:r w:rsidRPr="00490120">
        <w:rPr>
          <w:rStyle w:val="affa"/>
          <w:rFonts w:hint="cs"/>
          <w:rtl/>
        </w:rPr>
        <w:t>במהרש"א</w:t>
      </w:r>
      <w:r>
        <w:rPr>
          <w:rStyle w:val="afb"/>
          <w:rFonts w:hint="cs"/>
          <w:rtl/>
        </w:rPr>
        <w:t xml:space="preserve"> </w:t>
      </w:r>
      <w:r w:rsidRPr="00490120">
        <w:rPr>
          <w:rStyle w:val="aff6"/>
          <w:rFonts w:hint="cs"/>
          <w:rtl/>
        </w:rPr>
        <w:t xml:space="preserve">(עי' אות </w:t>
      </w:r>
      <w:r w:rsidRPr="00490120">
        <w:rPr>
          <w:rStyle w:val="aff6"/>
          <w:rtl/>
        </w:rPr>
        <w:fldChar w:fldCharType="begin"/>
      </w:r>
      <w:r w:rsidRPr="00490120">
        <w:rPr>
          <w:rStyle w:val="aff6"/>
          <w:rtl/>
        </w:rPr>
        <w:instrText xml:space="preserve"> </w:instrText>
      </w:r>
      <w:r w:rsidRPr="00490120">
        <w:rPr>
          <w:rStyle w:val="aff6"/>
          <w:rFonts w:hint="cs"/>
        </w:rPr>
        <w:instrText>REF</w:instrText>
      </w:r>
      <w:r w:rsidRPr="00490120">
        <w:rPr>
          <w:rStyle w:val="aff6"/>
          <w:rFonts w:hint="cs"/>
          <w:rtl/>
        </w:rPr>
        <w:instrText xml:space="preserve"> _</w:instrText>
      </w:r>
      <w:r w:rsidRPr="00490120">
        <w:rPr>
          <w:rStyle w:val="aff6"/>
          <w:rFonts w:hint="cs"/>
        </w:rPr>
        <w:instrText>Ref532415566 \r \h</w:instrText>
      </w:r>
      <w:r w:rsidRPr="00490120">
        <w:rPr>
          <w:rStyle w:val="aff6"/>
          <w:rtl/>
        </w:rPr>
        <w:instrText xml:space="preserve"> </w:instrText>
      </w:r>
      <w:r w:rsidRPr="00490120">
        <w:rPr>
          <w:rStyle w:val="aff6"/>
          <w:rtl/>
        </w:rPr>
      </w:r>
      <w:r w:rsidRPr="00490120">
        <w:rPr>
          <w:rStyle w:val="aff6"/>
          <w:rtl/>
        </w:rPr>
        <w:fldChar w:fldCharType="separate"/>
      </w:r>
      <w:r w:rsidR="00345400">
        <w:rPr>
          <w:rStyle w:val="aff6"/>
          <w:cs/>
        </w:rPr>
        <w:t>‎</w:t>
      </w:r>
      <w:r w:rsidR="00345400">
        <w:rPr>
          <w:rStyle w:val="aff6"/>
          <w:rtl/>
        </w:rPr>
        <w:t>סא)</w:t>
      </w:r>
      <w:r w:rsidRPr="00490120">
        <w:rPr>
          <w:rStyle w:val="aff6"/>
          <w:rtl/>
        </w:rPr>
        <w:fldChar w:fldCharType="end"/>
      </w:r>
      <w:r w:rsidRPr="00D46696">
        <w:rPr>
          <w:rStyle w:val="afb"/>
          <w:rFonts w:hint="cs"/>
          <w:rtl/>
        </w:rPr>
        <w:t>].</w:t>
      </w:r>
      <w:bookmarkEnd w:id="13448"/>
    </w:p>
    <w:p w14:paraId="5101C10D" w14:textId="77777777" w:rsidR="00F1210D" w:rsidRDefault="00F1210D" w:rsidP="006D6D32">
      <w:pPr>
        <w:pStyle w:val="a3"/>
        <w:rPr>
          <w:rtl/>
        </w:rPr>
      </w:pPr>
      <w:bookmarkStart w:id="13449" w:name="_Toc532976827"/>
      <w:bookmarkStart w:id="13450" w:name="_Toc532982501"/>
      <w:bookmarkStart w:id="13451" w:name="_Toc532982659"/>
    </w:p>
    <w:p w14:paraId="4B57E631" w14:textId="77777777" w:rsidR="00D53B7D" w:rsidRDefault="00D53B7D" w:rsidP="006D6D32">
      <w:pPr>
        <w:pStyle w:val="a3"/>
        <w:rPr>
          <w:rtl/>
        </w:rPr>
      </w:pPr>
      <w:bookmarkStart w:id="13452" w:name="_Toc19390767"/>
      <w:bookmarkStart w:id="13453" w:name="_Toc19394264"/>
      <w:r>
        <w:rPr>
          <w:rFonts w:hint="cs"/>
          <w:rtl/>
        </w:rPr>
        <w:t>ביאור המהרש"א בתוס' דרב ס"ל דאף לריבר"י כשר כשהשלים את הרוב בשחיטה</w:t>
      </w:r>
      <w:bookmarkEnd w:id="13449"/>
      <w:bookmarkEnd w:id="13450"/>
      <w:bookmarkEnd w:id="13451"/>
      <w:bookmarkEnd w:id="13452"/>
      <w:bookmarkEnd w:id="13453"/>
    </w:p>
    <w:p w14:paraId="0626B0CF" w14:textId="77777777" w:rsidR="00D53B7D" w:rsidRDefault="00D53B7D" w:rsidP="00223668">
      <w:pPr>
        <w:pStyle w:val="a0"/>
        <w:rPr>
          <w:rtl/>
        </w:rPr>
      </w:pPr>
      <w:bookmarkStart w:id="13454" w:name="_Toc532302170"/>
      <w:r>
        <w:rPr>
          <w:rFonts w:hint="cs"/>
          <w:rtl/>
        </w:rPr>
        <w:t xml:space="preserve">וביאר </w:t>
      </w:r>
      <w:r w:rsidRPr="00490120">
        <w:rPr>
          <w:rStyle w:val="af9"/>
          <w:rFonts w:hint="cs"/>
          <w:rtl/>
        </w:rPr>
        <w:t>המהרש"א</w:t>
      </w:r>
      <w:r>
        <w:rPr>
          <w:rFonts w:hint="cs"/>
          <w:rtl/>
        </w:rPr>
        <w:t xml:space="preserve"> </w:t>
      </w:r>
      <w:r w:rsidRPr="0090443A">
        <w:rPr>
          <w:rStyle w:val="af7"/>
          <w:rFonts w:eastAsia="Guttman Hodes" w:hint="cs"/>
          <w:rtl/>
        </w:rPr>
        <w:t>(על תוד"ה הגרים)</w:t>
      </w:r>
      <w:r>
        <w:rPr>
          <w:rFonts w:hint="cs"/>
          <w:rtl/>
        </w:rPr>
        <w:t xml:space="preserve"> דלדעת </w:t>
      </w:r>
      <w:r w:rsidRPr="00490120">
        <w:rPr>
          <w:rStyle w:val="af9"/>
          <w:rFonts w:hint="cs"/>
          <w:rtl/>
        </w:rPr>
        <w:t>התוס'</w:t>
      </w:r>
      <w:r>
        <w:rPr>
          <w:rFonts w:hint="cs"/>
          <w:rtl/>
        </w:rPr>
        <w:t xml:space="preserve"> רב הונא בשם רב הכשיר בהגרים ושחט והגרים, אף לדעת ריבר"י, והא דתני ריבר"י במתני' </w:t>
      </w:r>
      <w:r w:rsidRPr="0090443A">
        <w:rPr>
          <w:rStyle w:val="af7"/>
          <w:rFonts w:eastAsia="Guttman Hodes" w:hint="cs"/>
          <w:rtl/>
        </w:rPr>
        <w:t>(יח.)</w:t>
      </w:r>
      <w:r>
        <w:rPr>
          <w:rFonts w:hint="cs"/>
          <w:rtl/>
        </w:rPr>
        <w:t xml:space="preserve"> דצריך לשייר על פני רובא, צריך לפרש שצריך לשחוט ביציאת החיות של הבהמה, שהוא ברוב הסימן בשליש השני של </w:t>
      </w:r>
      <w:r w:rsidRPr="0090443A">
        <w:rPr>
          <w:rFonts w:hint="cs"/>
          <w:rtl/>
        </w:rPr>
        <w:t xml:space="preserve">השחיטה, ולפי"ז ריבר"י בא לומר שאם הגרים באמצע השחיטה פסול, ואין כוונתו לומר שאם הגרים בתחילת השחיטה פסול, וכדביאר </w:t>
      </w:r>
      <w:r w:rsidRPr="0090443A">
        <w:rPr>
          <w:rStyle w:val="af9"/>
          <w:rFonts w:hint="cs"/>
          <w:rtl/>
        </w:rPr>
        <w:t>רש"י</w:t>
      </w:r>
      <w:r w:rsidRPr="0090443A">
        <w:rPr>
          <w:rFonts w:hint="cs"/>
          <w:rtl/>
        </w:rPr>
        <w:t xml:space="preserve"> </w:t>
      </w:r>
      <w:r w:rsidRPr="0090443A">
        <w:rPr>
          <w:rStyle w:val="af7"/>
          <w:rFonts w:eastAsia="Guttman Hodes" w:hint="cs"/>
          <w:rtl/>
        </w:rPr>
        <w:t xml:space="preserve">(עי' אות </w:t>
      </w:r>
      <w:r w:rsidRPr="0090443A">
        <w:rPr>
          <w:rStyle w:val="af7"/>
          <w:rFonts w:eastAsia="Guttman Hodes"/>
          <w:rtl/>
        </w:rPr>
        <w:fldChar w:fldCharType="begin"/>
      </w:r>
      <w:r w:rsidRPr="0090443A">
        <w:rPr>
          <w:rStyle w:val="af7"/>
          <w:rFonts w:eastAsia="Guttman Hodes"/>
          <w:rtl/>
        </w:rPr>
        <w:instrText xml:space="preserve"> </w:instrText>
      </w:r>
      <w:r w:rsidRPr="0090443A">
        <w:rPr>
          <w:rStyle w:val="af7"/>
          <w:rFonts w:eastAsia="Guttman Hodes" w:hint="cs"/>
        </w:rPr>
        <w:instrText>REF</w:instrText>
      </w:r>
      <w:r w:rsidRPr="0090443A">
        <w:rPr>
          <w:rStyle w:val="af7"/>
          <w:rFonts w:eastAsia="Guttman Hodes" w:hint="cs"/>
          <w:rtl/>
        </w:rPr>
        <w:instrText xml:space="preserve"> _</w:instrText>
      </w:r>
      <w:r w:rsidRPr="0090443A">
        <w:rPr>
          <w:rStyle w:val="af7"/>
          <w:rFonts w:eastAsia="Guttman Hodes" w:hint="cs"/>
        </w:rPr>
        <w:instrText>Ref532809631 \r \h</w:instrText>
      </w:r>
      <w:r w:rsidRPr="0090443A">
        <w:rPr>
          <w:rStyle w:val="af7"/>
          <w:rFonts w:eastAsia="Guttman Hodes"/>
          <w:rtl/>
        </w:rPr>
        <w:instrText xml:space="preserve">  \* </w:instrText>
      </w:r>
      <w:r w:rsidRPr="0090443A">
        <w:rPr>
          <w:rStyle w:val="af7"/>
          <w:rFonts w:eastAsia="Guttman Hodes"/>
        </w:rPr>
        <w:instrText>MERGEFORMAT</w:instrText>
      </w:r>
      <w:r w:rsidRPr="0090443A">
        <w:rPr>
          <w:rStyle w:val="af7"/>
          <w:rFonts w:eastAsia="Guttman Hodes"/>
          <w:rtl/>
        </w:rPr>
        <w:instrText xml:space="preserve"> </w:instrText>
      </w:r>
      <w:r w:rsidRPr="0090443A">
        <w:rPr>
          <w:rStyle w:val="af7"/>
          <w:rFonts w:eastAsia="Guttman Hodes"/>
          <w:rtl/>
        </w:rPr>
      </w:r>
      <w:r w:rsidRPr="0090443A">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90443A">
        <w:rPr>
          <w:rStyle w:val="af7"/>
          <w:rFonts w:eastAsia="Guttman Hodes"/>
          <w:rtl/>
        </w:rPr>
        <w:fldChar w:fldCharType="end"/>
      </w:r>
      <w:r w:rsidRPr="0090443A">
        <w:rPr>
          <w:rFonts w:hint="cs"/>
          <w:rtl/>
        </w:rPr>
        <w:t xml:space="preserve"> ברבנן לל"ב דאמרו על פני כולה לומר שאם הגרים בתחילה פסול, </w:t>
      </w:r>
      <w:r w:rsidRPr="0090443A">
        <w:rPr>
          <w:rStyle w:val="afb"/>
          <w:rFonts w:hint="cs"/>
          <w:rtl/>
        </w:rPr>
        <w:t>[וא"כ לריבר"י דהכשיר אין כוונתו למעט הגרמה בתחילה]</w:t>
      </w:r>
      <w:r>
        <w:rPr>
          <w:rFonts w:hint="cs"/>
          <w:rtl/>
        </w:rPr>
        <w:t>.</w:t>
      </w:r>
    </w:p>
    <w:p w14:paraId="1559A1DC" w14:textId="77777777" w:rsidR="00D53B7D" w:rsidRPr="00011119" w:rsidRDefault="00D53B7D" w:rsidP="006D6D32">
      <w:pPr>
        <w:pStyle w:val="afe"/>
        <w:rPr>
          <w:rtl/>
        </w:rPr>
      </w:pPr>
      <w:bookmarkStart w:id="13455" w:name="_Toc532844830"/>
      <w:bookmarkStart w:id="13456" w:name="_Toc532849439"/>
      <w:bookmarkStart w:id="13457" w:name="_Toc532897077"/>
      <w:bookmarkStart w:id="13458" w:name="_Toc532901853"/>
      <w:bookmarkStart w:id="13459" w:name="_Toc532976828"/>
      <w:bookmarkStart w:id="13460" w:name="_Toc532982502"/>
      <w:bookmarkStart w:id="13461" w:name="_Toc532982660"/>
      <w:bookmarkStart w:id="13462" w:name="_Toc19435857"/>
      <w:bookmarkStart w:id="13463" w:name="_Toc20081098"/>
      <w:r>
        <w:rPr>
          <w:rFonts w:hint="cs"/>
          <w:rtl/>
        </w:rPr>
        <w:t>דעות הראשונים להלכה</w:t>
      </w:r>
      <w:bookmarkEnd w:id="13455"/>
      <w:bookmarkEnd w:id="13456"/>
      <w:bookmarkEnd w:id="13457"/>
      <w:bookmarkEnd w:id="13458"/>
      <w:bookmarkEnd w:id="13459"/>
      <w:bookmarkEnd w:id="13460"/>
      <w:bookmarkEnd w:id="13461"/>
      <w:bookmarkEnd w:id="13462"/>
      <w:bookmarkEnd w:id="13463"/>
    </w:p>
    <w:p w14:paraId="2AA3324A" w14:textId="77777777" w:rsidR="00D53B7D" w:rsidRPr="00045F52" w:rsidRDefault="00D53B7D" w:rsidP="00BF39B2">
      <w:pPr>
        <w:pStyle w:val="1"/>
      </w:pPr>
      <w:bookmarkStart w:id="13464" w:name="_Toc532976829"/>
      <w:bookmarkStart w:id="13465" w:name="_Toc532982503"/>
      <w:bookmarkStart w:id="13466" w:name="_Toc532982661"/>
      <w:bookmarkStart w:id="13467" w:name="_Toc19390768"/>
      <w:bookmarkStart w:id="13468" w:name="_Toc19394265"/>
      <w:bookmarkStart w:id="13469" w:name="_Toc532202997"/>
      <w:bookmarkStart w:id="13470" w:name="_Toc532302158"/>
      <w:bookmarkStart w:id="13471" w:name="_Toc532453953"/>
      <w:bookmarkStart w:id="13472" w:name="_Toc532453987"/>
      <w:bookmarkStart w:id="13473" w:name="_Toc532550651"/>
      <w:bookmarkStart w:id="13474" w:name="_Toc532550717"/>
      <w:bookmarkStart w:id="13475" w:name="_Toc532810234"/>
      <w:bookmarkStart w:id="13476" w:name="_Toc532844831"/>
      <w:bookmarkStart w:id="13477" w:name="_Toc532849440"/>
      <w:bookmarkStart w:id="13478" w:name="_Toc532897078"/>
      <w:bookmarkStart w:id="13479" w:name="_Toc532901854"/>
      <w:bookmarkStart w:id="13480" w:name="_Toc532302171"/>
      <w:bookmarkStart w:id="13481" w:name="_Toc532453966"/>
      <w:bookmarkStart w:id="13482" w:name="_Toc532454000"/>
      <w:bookmarkStart w:id="13483" w:name="_Toc532550658"/>
      <w:bookmarkStart w:id="13484" w:name="_Toc532550724"/>
      <w:bookmarkStart w:id="13485" w:name="_Toc532810232"/>
      <w:bookmarkStart w:id="13486" w:name="_Toc532203008"/>
      <w:bookmarkEnd w:id="13454"/>
      <w:r>
        <w:rPr>
          <w:rFonts w:hint="cs"/>
          <w:rtl/>
        </w:rPr>
        <w:t>דעת רש"י דמספק צריך להחמיר בהגרמה</w:t>
      </w:r>
      <w:bookmarkStart w:id="13487" w:name="_Ref532326658"/>
      <w:bookmarkEnd w:id="13464"/>
      <w:bookmarkEnd w:id="13465"/>
      <w:bookmarkEnd w:id="13466"/>
      <w:bookmarkEnd w:id="13467"/>
      <w:bookmarkEnd w:id="13468"/>
    </w:p>
    <w:p w14:paraId="51CD11A8" w14:textId="77777777" w:rsidR="00D53B7D" w:rsidRPr="00045F52" w:rsidRDefault="00D53B7D" w:rsidP="006D6D32">
      <w:pPr>
        <w:pStyle w:val="a3"/>
      </w:pPr>
      <w:bookmarkStart w:id="13488" w:name="_Toc532976830"/>
      <w:bookmarkStart w:id="13489" w:name="_Toc532982504"/>
      <w:bookmarkStart w:id="13490" w:name="_Toc532982662"/>
      <w:bookmarkStart w:id="13491" w:name="_Toc19390769"/>
      <w:bookmarkStart w:id="13492" w:name="_Toc19394266"/>
      <w:r>
        <w:rPr>
          <w:rFonts w:hint="cs"/>
          <w:rtl/>
        </w:rPr>
        <w:t>דעת רש"י דהשחיטה כשרה רק בשחט ב' שלישים והגרים ובשאר האופנים מספק</w:t>
      </w:r>
      <w:r w:rsidRPr="00CD5A33">
        <w:rPr>
          <w:rFonts w:hint="cs"/>
          <w:rtl/>
        </w:rPr>
        <w:t xml:space="preserve"> </w:t>
      </w:r>
      <w:r>
        <w:rPr>
          <w:rFonts w:hint="cs"/>
          <w:rtl/>
        </w:rPr>
        <w:t>אסור</w:t>
      </w:r>
      <w:bookmarkEnd w:id="13488"/>
      <w:bookmarkEnd w:id="13489"/>
      <w:bookmarkEnd w:id="13490"/>
      <w:bookmarkEnd w:id="13491"/>
      <w:bookmarkEnd w:id="13492"/>
    </w:p>
    <w:p w14:paraId="432B2C87" w14:textId="77777777" w:rsidR="00D53B7D" w:rsidRPr="008F7984" w:rsidRDefault="00D53B7D" w:rsidP="00223668">
      <w:pPr>
        <w:pStyle w:val="a0"/>
        <w:rPr>
          <w:rStyle w:val="afb"/>
          <w:rtl/>
        </w:rPr>
      </w:pPr>
      <w:r>
        <w:rPr>
          <w:rFonts w:hint="cs"/>
          <w:rtl/>
        </w:rPr>
        <w:t xml:space="preserve">כתב </w:t>
      </w:r>
      <w:r w:rsidRPr="00312F24">
        <w:rPr>
          <w:rStyle w:val="af9"/>
          <w:rFonts w:hint="cs"/>
          <w:rtl/>
        </w:rPr>
        <w:t>רש"י לקמן</w:t>
      </w:r>
      <w:r>
        <w:rPr>
          <w:rFonts w:hint="cs"/>
          <w:rtl/>
        </w:rPr>
        <w:t xml:space="preserve"> </w:t>
      </w:r>
      <w:r w:rsidRPr="00312F24">
        <w:rPr>
          <w:rStyle w:val="af7"/>
          <w:rFonts w:eastAsia="Guttman Hodes" w:hint="cs"/>
          <w:rtl/>
        </w:rPr>
        <w:t xml:space="preserve">(ל: ד"ה תיקו) </w:t>
      </w:r>
      <w:r>
        <w:rPr>
          <w:rFonts w:hint="cs"/>
          <w:rtl/>
        </w:rPr>
        <w:t xml:space="preserve">דכיון דלענין פסול חלדה במיעוט בתרא, הוא ספק בגמ' לקמן </w:t>
      </w:r>
      <w:r w:rsidRPr="00312F24">
        <w:rPr>
          <w:rStyle w:val="af7"/>
          <w:rFonts w:eastAsia="Guttman Hodes" w:hint="cs"/>
          <w:rtl/>
        </w:rPr>
        <w:t>(ל:</w:t>
      </w:r>
      <w:r>
        <w:rPr>
          <w:rStyle w:val="af7"/>
          <w:rFonts w:eastAsia="Guttman Hodes" w:hint="cs"/>
          <w:rtl/>
        </w:rPr>
        <w:t>)</w:t>
      </w:r>
      <w:r w:rsidRPr="00312F24">
        <w:rPr>
          <w:rStyle w:val="af7"/>
          <w:rFonts w:eastAsia="Guttman Hodes" w:hint="cs"/>
          <w:rtl/>
        </w:rPr>
        <w:t xml:space="preserve"> </w:t>
      </w:r>
      <w:r>
        <w:rPr>
          <w:rFonts w:hint="cs"/>
          <w:rtl/>
        </w:rPr>
        <w:t>שהניחה בתיקו, ולדינא צריך להחמיר, א"כ ה"ה בהגרמה בסוגיין דבין בשחט והגרים ושחט, ובין בהגרים ושחט והגרים ובין בשחט ב' שלישים והגרים שליש, יש ספק האם קיי"ל כדעת הסוברים דבכל האופנים היא טריפה, ולהלכה נקטינן בכולם לחומרא</w:t>
      </w:r>
      <w:bookmarkEnd w:id="13487"/>
      <w:r>
        <w:rPr>
          <w:rFonts w:hint="cs"/>
          <w:rtl/>
        </w:rPr>
        <w:t xml:space="preserve">. </w:t>
      </w:r>
      <w:r w:rsidRPr="008F7984">
        <w:rPr>
          <w:rStyle w:val="afb"/>
          <w:rFonts w:hint="cs"/>
          <w:rtl/>
        </w:rPr>
        <w:t xml:space="preserve">[בביאור דברי </w:t>
      </w:r>
      <w:r w:rsidRPr="008648EB">
        <w:rPr>
          <w:rStyle w:val="affa"/>
          <w:rFonts w:hint="cs"/>
          <w:rtl/>
        </w:rPr>
        <w:t>רש"י לקמן</w:t>
      </w:r>
      <w:r w:rsidRPr="008F7984">
        <w:rPr>
          <w:rStyle w:val="afb"/>
          <w:rFonts w:hint="cs"/>
          <w:rtl/>
        </w:rPr>
        <w:t xml:space="preserve"> עי' במש"נ בע"ה בסימן יד'].</w:t>
      </w:r>
    </w:p>
    <w:p w14:paraId="6A58105B" w14:textId="77777777" w:rsidR="00D53B7D" w:rsidRDefault="00D53B7D" w:rsidP="00BF39B2">
      <w:pPr>
        <w:pStyle w:val="1"/>
        <w:rPr>
          <w:rtl/>
        </w:rPr>
      </w:pPr>
      <w:bookmarkStart w:id="13493" w:name="_Toc532976831"/>
      <w:bookmarkStart w:id="13494" w:name="_Toc532982505"/>
      <w:bookmarkStart w:id="13495" w:name="_Toc532982663"/>
      <w:bookmarkStart w:id="13496" w:name="_Toc19390770"/>
      <w:bookmarkStart w:id="13497" w:name="_Toc19394267"/>
      <w:bookmarkEnd w:id="13469"/>
      <w:bookmarkEnd w:id="13470"/>
      <w:bookmarkEnd w:id="13471"/>
      <w:bookmarkEnd w:id="13472"/>
      <w:bookmarkEnd w:id="13473"/>
      <w:bookmarkEnd w:id="13474"/>
      <w:bookmarkEnd w:id="13475"/>
      <w:bookmarkEnd w:id="13476"/>
      <w:bookmarkEnd w:id="13477"/>
      <w:bookmarkEnd w:id="13478"/>
      <w:bookmarkEnd w:id="13479"/>
      <w:r>
        <w:rPr>
          <w:rFonts w:hint="cs"/>
          <w:rtl/>
        </w:rPr>
        <w:t>הרי"ף השמיט את פלוגתת רב הונא ורב יהודה</w:t>
      </w:r>
      <w:bookmarkEnd w:id="13493"/>
      <w:bookmarkEnd w:id="13494"/>
      <w:bookmarkEnd w:id="13495"/>
      <w:bookmarkEnd w:id="13496"/>
      <w:bookmarkEnd w:id="13497"/>
    </w:p>
    <w:p w14:paraId="4F7860AE" w14:textId="77777777" w:rsidR="00D53B7D" w:rsidRPr="00941438" w:rsidRDefault="00D53B7D" w:rsidP="006D6D32">
      <w:pPr>
        <w:pStyle w:val="a3"/>
        <w:rPr>
          <w:rtl/>
        </w:rPr>
      </w:pPr>
      <w:bookmarkStart w:id="13498" w:name="_Toc532550652"/>
      <w:bookmarkStart w:id="13499" w:name="_Toc532550718"/>
      <w:bookmarkStart w:id="13500" w:name="_Toc532810235"/>
      <w:bookmarkStart w:id="13501" w:name="_Toc532844832"/>
      <w:bookmarkStart w:id="13502" w:name="_Toc532849441"/>
      <w:bookmarkStart w:id="13503" w:name="_Toc532897079"/>
      <w:bookmarkStart w:id="13504" w:name="_Toc532901855"/>
      <w:bookmarkStart w:id="13505" w:name="_Toc532976832"/>
      <w:bookmarkStart w:id="13506" w:name="_Toc532982506"/>
      <w:bookmarkStart w:id="13507" w:name="_Toc532982664"/>
      <w:bookmarkStart w:id="13508" w:name="_Toc19390771"/>
      <w:bookmarkStart w:id="13509" w:name="_Toc19394268"/>
      <w:r>
        <w:rPr>
          <w:rFonts w:hint="cs"/>
          <w:rtl/>
        </w:rPr>
        <w:t>קושית הרמב"ן על הרי"ף אמאי השמיט את פלוגתת רב הונא ורב יהודה</w:t>
      </w:r>
      <w:bookmarkEnd w:id="13498"/>
      <w:bookmarkEnd w:id="13499"/>
      <w:bookmarkEnd w:id="13500"/>
      <w:bookmarkEnd w:id="13501"/>
      <w:bookmarkEnd w:id="13502"/>
      <w:bookmarkEnd w:id="13503"/>
      <w:bookmarkEnd w:id="13504"/>
      <w:bookmarkEnd w:id="13505"/>
      <w:bookmarkEnd w:id="13506"/>
      <w:bookmarkEnd w:id="13507"/>
      <w:bookmarkEnd w:id="13508"/>
      <w:bookmarkEnd w:id="13509"/>
    </w:p>
    <w:p w14:paraId="5821C315" w14:textId="77777777" w:rsidR="00D53B7D" w:rsidRPr="00411B4A" w:rsidRDefault="00D53B7D" w:rsidP="00223668">
      <w:pPr>
        <w:pStyle w:val="a0"/>
        <w:rPr>
          <w:rtl/>
        </w:rPr>
      </w:pPr>
      <w:r>
        <w:rPr>
          <w:rFonts w:hint="cs"/>
          <w:rtl/>
        </w:rPr>
        <w:t xml:space="preserve">כתב </w:t>
      </w:r>
      <w:r w:rsidRPr="002D5413">
        <w:rPr>
          <w:rStyle w:val="af9"/>
          <w:rFonts w:hint="cs"/>
          <w:rtl/>
        </w:rPr>
        <w:t>הרמב"ן</w:t>
      </w:r>
      <w:r>
        <w:rPr>
          <w:rFonts w:hint="cs"/>
          <w:rtl/>
        </w:rPr>
        <w:t xml:space="preserve"> </w:t>
      </w:r>
      <w:r w:rsidRPr="002D5413">
        <w:rPr>
          <w:rStyle w:val="af7"/>
          <w:rFonts w:eastAsia="Guttman Hodes" w:hint="cs"/>
          <w:rtl/>
        </w:rPr>
        <w:t>(ד"</w:t>
      </w:r>
      <w:r w:rsidRPr="00411B4A">
        <w:rPr>
          <w:rStyle w:val="af7"/>
          <w:rFonts w:eastAsia="Guttman Hodes" w:hint="cs"/>
          <w:rtl/>
        </w:rPr>
        <w:t xml:space="preserve">ה ובהגרים) </w:t>
      </w:r>
      <w:r w:rsidRPr="00411B4A">
        <w:rPr>
          <w:rFonts w:hint="cs"/>
          <w:rtl/>
        </w:rPr>
        <w:t xml:space="preserve">דבהגרים ושחט והגרים, להלכה מחמירים גם כרב הונא וגם כרב יהודה, </w:t>
      </w:r>
      <w:r>
        <w:rPr>
          <w:rFonts w:hint="cs"/>
          <w:rtl/>
        </w:rPr>
        <w:t>[ו</w:t>
      </w:r>
      <w:r w:rsidRPr="00411B4A">
        <w:rPr>
          <w:rFonts w:hint="cs"/>
          <w:rtl/>
        </w:rPr>
        <w:t>עי' בדברי</w:t>
      </w:r>
      <w:r>
        <w:rPr>
          <w:rFonts w:hint="cs"/>
          <w:rtl/>
        </w:rPr>
        <w:t xml:space="preserve"> </w:t>
      </w:r>
      <w:r w:rsidRPr="00731450">
        <w:rPr>
          <w:rStyle w:val="af9"/>
          <w:rFonts w:hint="cs"/>
          <w:rtl/>
        </w:rPr>
        <w:t>הרמב"ן</w:t>
      </w:r>
      <w:r w:rsidRPr="00411B4A">
        <w:rPr>
          <w:rFonts w:hint="cs"/>
          <w:rtl/>
        </w:rPr>
        <w:t xml:space="preserve"> </w:t>
      </w:r>
      <w:r w:rsidRPr="00731450">
        <w:rPr>
          <w:rStyle w:val="af7"/>
          <w:rFonts w:eastAsia="Guttman Hodes" w:hint="cs"/>
          <w:rtl/>
        </w:rPr>
        <w:t xml:space="preserve">(עי' אות </w:t>
      </w:r>
      <w:r w:rsidRPr="00731450">
        <w:rPr>
          <w:rStyle w:val="af7"/>
          <w:rFonts w:eastAsia="Guttman Hodes"/>
          <w:rtl/>
        </w:rPr>
        <w:fldChar w:fldCharType="begin"/>
      </w:r>
      <w:r w:rsidRPr="00731450">
        <w:rPr>
          <w:rStyle w:val="af7"/>
          <w:rFonts w:eastAsia="Guttman Hodes"/>
          <w:rtl/>
        </w:rPr>
        <w:instrText xml:space="preserve"> </w:instrText>
      </w:r>
      <w:r w:rsidRPr="00731450">
        <w:rPr>
          <w:rStyle w:val="af7"/>
          <w:rFonts w:eastAsia="Guttman Hodes" w:hint="cs"/>
        </w:rPr>
        <w:instrText>REF</w:instrText>
      </w:r>
      <w:r w:rsidRPr="00731450">
        <w:rPr>
          <w:rStyle w:val="af7"/>
          <w:rFonts w:eastAsia="Guttman Hodes" w:hint="cs"/>
          <w:rtl/>
        </w:rPr>
        <w:instrText xml:space="preserve"> _</w:instrText>
      </w:r>
      <w:r w:rsidRPr="00731450">
        <w:rPr>
          <w:rStyle w:val="af7"/>
          <w:rFonts w:eastAsia="Guttman Hodes" w:hint="cs"/>
        </w:rPr>
        <w:instrText>Ref532933347 \r \h</w:instrText>
      </w:r>
      <w:r w:rsidRPr="00731450">
        <w:rPr>
          <w:rStyle w:val="af7"/>
          <w:rFonts w:eastAsia="Guttman Hodes"/>
          <w:rtl/>
        </w:rPr>
        <w:instrText xml:space="preserve"> </w:instrText>
      </w:r>
      <w:r w:rsidRPr="00731450">
        <w:rPr>
          <w:rStyle w:val="af7"/>
          <w:rFonts w:eastAsia="Guttman Hodes"/>
          <w:rtl/>
        </w:rPr>
      </w:r>
      <w:r w:rsidRPr="00731450">
        <w:rPr>
          <w:rStyle w:val="af7"/>
          <w:rFonts w:eastAsia="Guttman Hodes"/>
          <w:rtl/>
        </w:rPr>
        <w:fldChar w:fldCharType="separate"/>
      </w:r>
      <w:r w:rsidR="00345400">
        <w:rPr>
          <w:rStyle w:val="af7"/>
          <w:rFonts w:eastAsia="Guttman Hodes"/>
          <w:cs/>
        </w:rPr>
        <w:t>‎</w:t>
      </w:r>
      <w:r w:rsidR="00345400">
        <w:rPr>
          <w:rStyle w:val="af7"/>
          <w:rFonts w:eastAsia="Guttman Hodes"/>
          <w:rtl/>
        </w:rPr>
        <w:t>עד)</w:t>
      </w:r>
      <w:r w:rsidRPr="00731450">
        <w:rPr>
          <w:rStyle w:val="af7"/>
          <w:rFonts w:eastAsia="Guttman Hodes"/>
          <w:rtl/>
        </w:rPr>
        <w:fldChar w:fldCharType="end"/>
      </w:r>
      <w:r w:rsidRPr="00731450">
        <w:rPr>
          <w:rStyle w:val="af7"/>
          <w:rFonts w:eastAsia="Guttman Hodes" w:hint="cs"/>
          <w:rtl/>
        </w:rPr>
        <w:t xml:space="preserve"> </w:t>
      </w:r>
      <w:r>
        <w:rPr>
          <w:rFonts w:hint="cs"/>
          <w:rtl/>
        </w:rPr>
        <w:t xml:space="preserve">במה שביאר בזה], </w:t>
      </w:r>
      <w:r w:rsidRPr="00411B4A">
        <w:rPr>
          <w:rFonts w:hint="cs"/>
          <w:rtl/>
        </w:rPr>
        <w:t xml:space="preserve">והקשה </w:t>
      </w:r>
      <w:r w:rsidRPr="00411B4A">
        <w:rPr>
          <w:rStyle w:val="af9"/>
          <w:rFonts w:hint="cs"/>
          <w:rtl/>
        </w:rPr>
        <w:t>הרמב"ן</w:t>
      </w:r>
      <w:r w:rsidRPr="00411B4A">
        <w:rPr>
          <w:rFonts w:hint="cs"/>
          <w:rtl/>
        </w:rPr>
        <w:t xml:space="preserve"> אמאי השמיט </w:t>
      </w:r>
      <w:r w:rsidRPr="00411B4A">
        <w:rPr>
          <w:rStyle w:val="af9"/>
          <w:rFonts w:hint="cs"/>
          <w:rtl/>
        </w:rPr>
        <w:t>הרי"ף</w:t>
      </w:r>
      <w:r w:rsidRPr="00411B4A">
        <w:rPr>
          <w:rFonts w:hint="cs"/>
          <w:rtl/>
        </w:rPr>
        <w:t xml:space="preserve"> את דברי רב הונא ורב יהודה.</w:t>
      </w:r>
    </w:p>
    <w:p w14:paraId="2245EE99" w14:textId="77777777" w:rsidR="00D53B7D" w:rsidRPr="002D5413" w:rsidRDefault="00D53B7D" w:rsidP="00BF39B2">
      <w:pPr>
        <w:pStyle w:val="1"/>
        <w:rPr>
          <w:rtl/>
        </w:rPr>
      </w:pPr>
      <w:bookmarkStart w:id="13510" w:name="_Toc532202998"/>
      <w:bookmarkStart w:id="13511" w:name="_Toc532302159"/>
      <w:bookmarkStart w:id="13512" w:name="_Toc532453954"/>
      <w:bookmarkStart w:id="13513" w:name="_Toc532453988"/>
      <w:bookmarkStart w:id="13514" w:name="_Toc532550653"/>
      <w:bookmarkStart w:id="13515" w:name="_Toc532550719"/>
      <w:bookmarkStart w:id="13516" w:name="_Toc532810236"/>
      <w:bookmarkStart w:id="13517" w:name="_Toc532844833"/>
      <w:bookmarkStart w:id="13518" w:name="_Toc532849442"/>
      <w:bookmarkStart w:id="13519" w:name="_Toc532897080"/>
      <w:bookmarkStart w:id="13520" w:name="_Toc532901856"/>
      <w:bookmarkStart w:id="13521" w:name="_Toc532976833"/>
      <w:bookmarkStart w:id="13522" w:name="_Toc532982507"/>
      <w:bookmarkStart w:id="13523" w:name="_Toc532982665"/>
      <w:bookmarkStart w:id="13524" w:name="_Toc19390772"/>
      <w:bookmarkStart w:id="13525" w:name="_Toc19394269"/>
      <w:r>
        <w:rPr>
          <w:rFonts w:hint="cs"/>
          <w:rtl/>
        </w:rPr>
        <w:t>דברי הראב"ד</w:t>
      </w:r>
      <w:bookmarkEnd w:id="13510"/>
      <w:bookmarkEnd w:id="13511"/>
      <w:bookmarkEnd w:id="13512"/>
      <w:bookmarkEnd w:id="13513"/>
      <w:bookmarkEnd w:id="13514"/>
      <w:bookmarkEnd w:id="13515"/>
      <w:bookmarkEnd w:id="13516"/>
      <w:bookmarkEnd w:id="13517"/>
      <w:bookmarkEnd w:id="13518"/>
      <w:bookmarkEnd w:id="13519"/>
      <w:bookmarkEnd w:id="13520"/>
      <w:r>
        <w:rPr>
          <w:rFonts w:hint="cs"/>
          <w:rtl/>
        </w:rPr>
        <w:t xml:space="preserve"> והמאירי ברי"ף דר"ה ור"י נחלקו בדעת רבר"י</w:t>
      </w:r>
      <w:bookmarkEnd w:id="13521"/>
      <w:bookmarkEnd w:id="13522"/>
      <w:bookmarkEnd w:id="13523"/>
      <w:bookmarkEnd w:id="13524"/>
      <w:bookmarkEnd w:id="13525"/>
    </w:p>
    <w:p w14:paraId="6FDF219F" w14:textId="77777777" w:rsidR="00D53B7D" w:rsidRDefault="00D53B7D" w:rsidP="006D6D32">
      <w:pPr>
        <w:pStyle w:val="a3"/>
        <w:rPr>
          <w:rtl/>
        </w:rPr>
      </w:pPr>
      <w:bookmarkStart w:id="13526" w:name="_Toc532976834"/>
      <w:bookmarkStart w:id="13527" w:name="_Toc532982508"/>
      <w:bookmarkStart w:id="13528" w:name="_Toc532982666"/>
      <w:bookmarkStart w:id="13529" w:name="_Toc19390773"/>
      <w:bookmarkStart w:id="13530" w:name="_Toc19394270"/>
      <w:r>
        <w:rPr>
          <w:rFonts w:hint="cs"/>
          <w:rtl/>
        </w:rPr>
        <w:t>דברי הראב"ד והמאירי דכל פלוגתת ר"ה ור"י היא לרבר"י ורבנן דההגרמה היא במקום החיות</w:t>
      </w:r>
      <w:bookmarkEnd w:id="13526"/>
      <w:bookmarkEnd w:id="13527"/>
      <w:bookmarkEnd w:id="13528"/>
      <w:bookmarkEnd w:id="13529"/>
      <w:bookmarkEnd w:id="13530"/>
    </w:p>
    <w:p w14:paraId="5E19B9E2" w14:textId="77777777" w:rsidR="00D53B7D" w:rsidRDefault="00D53B7D" w:rsidP="00223668">
      <w:pPr>
        <w:pStyle w:val="a0"/>
        <w:rPr>
          <w:rtl/>
        </w:rPr>
      </w:pPr>
      <w:r>
        <w:rPr>
          <w:rFonts w:hint="cs"/>
          <w:rtl/>
        </w:rPr>
        <w:t>ו</w:t>
      </w:r>
      <w:r w:rsidRPr="0036427C">
        <w:rPr>
          <w:rFonts w:hint="cs"/>
          <w:rtl/>
        </w:rPr>
        <w:t>ביארו</w:t>
      </w:r>
      <w:r>
        <w:rPr>
          <w:rFonts w:hint="cs"/>
          <w:rtl/>
        </w:rPr>
        <w:t xml:space="preserve"> </w:t>
      </w:r>
      <w:r w:rsidRPr="002D5413">
        <w:rPr>
          <w:rStyle w:val="af9"/>
          <w:rFonts w:hint="cs"/>
          <w:rtl/>
        </w:rPr>
        <w:t>הרמב"ן</w:t>
      </w:r>
      <w:r>
        <w:rPr>
          <w:rFonts w:hint="cs"/>
          <w:rtl/>
        </w:rPr>
        <w:t xml:space="preserve"> </w:t>
      </w:r>
      <w:r w:rsidRPr="002D5413">
        <w:rPr>
          <w:rStyle w:val="af7"/>
          <w:rFonts w:eastAsia="Guttman Hodes" w:hint="cs"/>
          <w:rtl/>
        </w:rPr>
        <w:t xml:space="preserve">(ד"ה ובהגרים) </w:t>
      </w:r>
      <w:r>
        <w:rPr>
          <w:rFonts w:hint="cs"/>
          <w:rtl/>
        </w:rPr>
        <w:t xml:space="preserve">בשם </w:t>
      </w:r>
      <w:r w:rsidRPr="005D726C">
        <w:rPr>
          <w:rStyle w:val="af9"/>
          <w:rFonts w:hint="cs"/>
          <w:rtl/>
        </w:rPr>
        <w:t>הראב"ד</w:t>
      </w:r>
      <w:r>
        <w:rPr>
          <w:rFonts w:hint="cs"/>
          <w:rtl/>
        </w:rPr>
        <w:t xml:space="preserve"> </w:t>
      </w:r>
      <w:r w:rsidRPr="0027499F">
        <w:rPr>
          <w:rStyle w:val="af9"/>
          <w:rFonts w:hint="cs"/>
          <w:rtl/>
        </w:rPr>
        <w:t xml:space="preserve">והמאירי </w:t>
      </w:r>
      <w:r w:rsidRPr="0027499F">
        <w:rPr>
          <w:rStyle w:val="af7"/>
          <w:rFonts w:eastAsia="Guttman Hodes" w:hint="cs"/>
          <w:rtl/>
        </w:rPr>
        <w:t xml:space="preserve">(סוד"ה כבר ביארנו) </w:t>
      </w:r>
      <w:r>
        <w:rPr>
          <w:rFonts w:hint="cs"/>
          <w:rtl/>
        </w:rPr>
        <w:t>דכל פלוגתת רב הונא ורב יהודה היא לדעת ריבר"י ורבנן, דההגרמה היא למעלה מטבעת הגדולה, ולכן נחלקו אי השחיטה כשרה ע"י יציאת החיות או ע"י שנשחט רוב הסימן.</w:t>
      </w:r>
    </w:p>
    <w:p w14:paraId="1BFD0D50" w14:textId="77777777" w:rsidR="00D53B7D" w:rsidRPr="0064629A" w:rsidRDefault="00D53B7D" w:rsidP="006D6D32">
      <w:pPr>
        <w:pStyle w:val="a3"/>
      </w:pPr>
      <w:bookmarkStart w:id="13531" w:name="_Toc532550654"/>
      <w:bookmarkStart w:id="13532" w:name="_Toc532550720"/>
      <w:bookmarkStart w:id="13533" w:name="_Toc532810237"/>
      <w:bookmarkStart w:id="13534" w:name="_Toc532844834"/>
      <w:bookmarkStart w:id="13535" w:name="_Toc532849443"/>
      <w:bookmarkStart w:id="13536" w:name="_Toc532897081"/>
      <w:bookmarkStart w:id="13537" w:name="_Toc532901857"/>
      <w:bookmarkStart w:id="13538" w:name="_Toc532976835"/>
      <w:bookmarkStart w:id="13539" w:name="_Toc532982509"/>
      <w:bookmarkStart w:id="13540" w:name="_Toc532982667"/>
      <w:bookmarkStart w:id="13541" w:name="_Toc19390774"/>
      <w:bookmarkStart w:id="13542" w:name="_Toc19394271"/>
      <w:r>
        <w:rPr>
          <w:rFonts w:hint="cs"/>
          <w:rtl/>
        </w:rPr>
        <w:t>ביאור הראב"ד והמאירי דלדידן דקיי"ל כרחב"א לא שייך בקנה פסול הגרמה</w:t>
      </w:r>
      <w:bookmarkEnd w:id="13531"/>
      <w:bookmarkEnd w:id="13532"/>
      <w:bookmarkEnd w:id="13533"/>
      <w:bookmarkEnd w:id="13534"/>
      <w:bookmarkEnd w:id="13535"/>
      <w:bookmarkEnd w:id="13536"/>
      <w:bookmarkEnd w:id="13537"/>
      <w:r>
        <w:rPr>
          <w:rFonts w:hint="cs"/>
          <w:rtl/>
        </w:rPr>
        <w:t xml:space="preserve"> ואין בה יציאת חיות</w:t>
      </w:r>
      <w:bookmarkEnd w:id="13538"/>
      <w:bookmarkEnd w:id="13539"/>
      <w:bookmarkEnd w:id="13540"/>
      <w:bookmarkEnd w:id="13541"/>
      <w:bookmarkEnd w:id="13542"/>
    </w:p>
    <w:p w14:paraId="55F4735A" w14:textId="77777777" w:rsidR="00D53B7D" w:rsidRDefault="00D53B7D" w:rsidP="00223668">
      <w:pPr>
        <w:pStyle w:val="a0"/>
        <w:rPr>
          <w:rtl/>
        </w:rPr>
      </w:pPr>
      <w:r>
        <w:rPr>
          <w:rFonts w:hint="cs"/>
          <w:rtl/>
        </w:rPr>
        <w:t xml:space="preserve">אבל לדידן דקיי"ל כרחב"א דהכשיר משיפוי כובע ולמטה, כתבו </w:t>
      </w:r>
      <w:r w:rsidRPr="002D5413">
        <w:rPr>
          <w:rStyle w:val="af9"/>
          <w:rFonts w:hint="cs"/>
          <w:rtl/>
        </w:rPr>
        <w:t>הרמב"ן</w:t>
      </w:r>
      <w:r>
        <w:rPr>
          <w:rFonts w:hint="cs"/>
          <w:rtl/>
        </w:rPr>
        <w:t xml:space="preserve"> בשם </w:t>
      </w:r>
      <w:r w:rsidRPr="005D726C">
        <w:rPr>
          <w:rStyle w:val="af9"/>
          <w:rFonts w:hint="cs"/>
          <w:rtl/>
        </w:rPr>
        <w:t>הראב"ד</w:t>
      </w:r>
      <w:r>
        <w:rPr>
          <w:rFonts w:hint="cs"/>
          <w:rtl/>
        </w:rPr>
        <w:t xml:space="preserve"> </w:t>
      </w:r>
      <w:r w:rsidRPr="0027499F">
        <w:rPr>
          <w:rStyle w:val="af9"/>
          <w:rFonts w:hint="cs"/>
          <w:rtl/>
        </w:rPr>
        <w:t xml:space="preserve">והמאירי </w:t>
      </w:r>
      <w:r>
        <w:rPr>
          <w:rFonts w:hint="cs"/>
          <w:rtl/>
        </w:rPr>
        <w:t xml:space="preserve">ד בקנה לא שייך פסול הגרמה כלל, דמעל השיפוי כובע הוא מחתך בשר בעלמא, דאינו נקרא קנה ולמטה מהכובע כשר, וא"כ לא שייך פסול הגרמה בשליש, דבהגרמה הזו לא יוצאת החיות, והוא כבשר בעלמא, והא דהוי טריפה עי"ז הוא מחמת </w:t>
      </w:r>
      <w:r w:rsidRPr="0027499F">
        <w:rPr>
          <w:rFonts w:hint="cs"/>
          <w:rtl/>
        </w:rPr>
        <w:t>דהוא עיקור סימנים, ורק אם נפרק הקנה לגמרי היא טריפה, ולכן כל ששחט את רוב הסימן השחיטה כשרה</w:t>
      </w:r>
      <w:r>
        <w:rPr>
          <w:rFonts w:hint="cs"/>
          <w:rtl/>
        </w:rPr>
        <w:t>.</w:t>
      </w:r>
    </w:p>
    <w:p w14:paraId="1DFA33DE" w14:textId="77777777" w:rsidR="00D53B7D" w:rsidRPr="0064629A" w:rsidRDefault="00D53B7D" w:rsidP="006D6D32">
      <w:pPr>
        <w:pStyle w:val="a3"/>
      </w:pPr>
      <w:bookmarkStart w:id="13543" w:name="_Toc532976836"/>
      <w:bookmarkStart w:id="13544" w:name="_Toc532982510"/>
      <w:bookmarkStart w:id="13545" w:name="_Toc532982668"/>
      <w:bookmarkStart w:id="13546" w:name="_Toc19390775"/>
      <w:bookmarkStart w:id="13547" w:name="_Toc19394272"/>
      <w:r>
        <w:rPr>
          <w:rFonts w:hint="cs"/>
          <w:rtl/>
        </w:rPr>
        <w:t>ביאור המאירי בהשמטת הרי"ף דלרחב"א כל שרוב הסימן שחוט כשר והגרמת שליש אינה פוסלת</w:t>
      </w:r>
      <w:bookmarkEnd w:id="13543"/>
      <w:bookmarkEnd w:id="13544"/>
      <w:bookmarkEnd w:id="13545"/>
      <w:bookmarkEnd w:id="13546"/>
      <w:bookmarkEnd w:id="13547"/>
    </w:p>
    <w:p w14:paraId="22A47BE8" w14:textId="77777777" w:rsidR="00D53B7D" w:rsidRPr="0027499F" w:rsidRDefault="00D53B7D" w:rsidP="00223668">
      <w:pPr>
        <w:pStyle w:val="a0"/>
        <w:rPr>
          <w:rtl/>
        </w:rPr>
      </w:pPr>
      <w:r>
        <w:rPr>
          <w:rFonts w:hint="cs"/>
          <w:rtl/>
        </w:rPr>
        <w:t xml:space="preserve">וכתב </w:t>
      </w:r>
      <w:r w:rsidRPr="0064629A">
        <w:rPr>
          <w:rStyle w:val="af9"/>
          <w:rFonts w:hint="cs"/>
          <w:rtl/>
        </w:rPr>
        <w:t>המאירי</w:t>
      </w:r>
      <w:r>
        <w:rPr>
          <w:rFonts w:hint="cs"/>
          <w:rtl/>
        </w:rPr>
        <w:t xml:space="preserve"> דלכן </w:t>
      </w:r>
      <w:r w:rsidRPr="0027499F">
        <w:rPr>
          <w:rFonts w:hint="cs"/>
          <w:rtl/>
        </w:rPr>
        <w:t xml:space="preserve">השמיט </w:t>
      </w:r>
      <w:r w:rsidRPr="0027499F">
        <w:rPr>
          <w:rStyle w:val="af9"/>
          <w:rFonts w:hint="cs"/>
          <w:rtl/>
        </w:rPr>
        <w:t>הרי"ף</w:t>
      </w:r>
      <w:r w:rsidRPr="0027499F">
        <w:rPr>
          <w:rFonts w:hint="cs"/>
          <w:rtl/>
        </w:rPr>
        <w:t xml:space="preserve"> את דברי רב הונא ורב יהודה</w:t>
      </w:r>
      <w:r>
        <w:rPr>
          <w:rFonts w:hint="cs"/>
          <w:rtl/>
        </w:rPr>
        <w:t>, דכל ששחט רוב במקום שחיטה כשר, ואף אם הגרים שליש למעלה משיפוי הכובע, בשליש הראשון או השני או השלישי, אינו פוסל את השחיטה בכך</w:t>
      </w:r>
      <w:r w:rsidRPr="0027499F">
        <w:rPr>
          <w:rFonts w:hint="cs"/>
          <w:rtl/>
        </w:rPr>
        <w:t>.</w:t>
      </w:r>
    </w:p>
    <w:p w14:paraId="1B3225DC" w14:textId="77777777" w:rsidR="00D53B7D" w:rsidRDefault="00D53B7D" w:rsidP="006D6D32">
      <w:pPr>
        <w:pStyle w:val="a3"/>
        <w:rPr>
          <w:rtl/>
        </w:rPr>
      </w:pPr>
      <w:bookmarkStart w:id="13548" w:name="_Toc532550655"/>
      <w:bookmarkStart w:id="13549" w:name="_Toc532550721"/>
      <w:bookmarkStart w:id="13550" w:name="_Toc532810238"/>
      <w:bookmarkStart w:id="13551" w:name="_Toc532844835"/>
      <w:bookmarkStart w:id="13552" w:name="_Toc532849444"/>
      <w:bookmarkStart w:id="13553" w:name="_Toc532897082"/>
      <w:bookmarkStart w:id="13554" w:name="_Toc532901858"/>
      <w:bookmarkStart w:id="13555" w:name="_Toc532976837"/>
      <w:bookmarkStart w:id="13556" w:name="_Toc532982511"/>
      <w:bookmarkStart w:id="13557" w:name="_Toc532982669"/>
      <w:bookmarkStart w:id="13558" w:name="_Toc19390776"/>
      <w:bookmarkStart w:id="13559" w:name="_Toc19394273"/>
      <w:r>
        <w:rPr>
          <w:rFonts w:hint="cs"/>
          <w:rtl/>
        </w:rPr>
        <w:t>דחיית הרמב"ן דמדברי ר"נ מוכח דאף לרחב"א שייך בקנה פסול הגרמה</w:t>
      </w:r>
      <w:bookmarkEnd w:id="13548"/>
      <w:bookmarkEnd w:id="13549"/>
      <w:bookmarkEnd w:id="13550"/>
      <w:bookmarkEnd w:id="13551"/>
      <w:bookmarkEnd w:id="13552"/>
      <w:bookmarkEnd w:id="13553"/>
      <w:bookmarkEnd w:id="13554"/>
      <w:bookmarkEnd w:id="13555"/>
      <w:bookmarkEnd w:id="13556"/>
      <w:bookmarkEnd w:id="13557"/>
      <w:bookmarkEnd w:id="13558"/>
      <w:bookmarkEnd w:id="13559"/>
    </w:p>
    <w:p w14:paraId="6DE333B3" w14:textId="77777777" w:rsidR="00D53B7D" w:rsidRPr="00DC1FA9" w:rsidRDefault="00D53B7D" w:rsidP="00223668">
      <w:pPr>
        <w:pStyle w:val="a0"/>
        <w:rPr>
          <w:rtl/>
        </w:rPr>
      </w:pPr>
      <w:r>
        <w:rPr>
          <w:rFonts w:hint="cs"/>
          <w:rtl/>
        </w:rPr>
        <w:t xml:space="preserve">ודחה </w:t>
      </w:r>
      <w:r w:rsidRPr="002D5413">
        <w:rPr>
          <w:rStyle w:val="af9"/>
          <w:rFonts w:hint="cs"/>
          <w:rtl/>
        </w:rPr>
        <w:t>הרמב"ן</w:t>
      </w:r>
      <w:r>
        <w:rPr>
          <w:rFonts w:hint="cs"/>
          <w:rtl/>
        </w:rPr>
        <w:t xml:space="preserve"> את דברי </w:t>
      </w:r>
      <w:r w:rsidRPr="00D31897">
        <w:rPr>
          <w:rStyle w:val="af9"/>
          <w:rFonts w:hint="cs"/>
          <w:rtl/>
        </w:rPr>
        <w:t>הראב"ד</w:t>
      </w:r>
      <w:r>
        <w:rPr>
          <w:rFonts w:hint="cs"/>
          <w:rtl/>
        </w:rPr>
        <w:t xml:space="preserve"> דהרי רב נחמן ס"ל כרחב"א דלמטה משיפוי כובע אי"ז הגרמה, ובעו מיניה שחט והגרים ושחט, ולא אמר להו רב נחמן דכיון דס"ל כרחב"א שחיטתו כשרה, ומבואר דאף לדעת רחב"א יש </w:t>
      </w:r>
      <w:r w:rsidRPr="00DC1FA9">
        <w:rPr>
          <w:rFonts w:hint="cs"/>
          <w:rtl/>
        </w:rPr>
        <w:t>נדון, אם שחט והגרים ושחט כשר.</w:t>
      </w:r>
    </w:p>
    <w:p w14:paraId="40433E82" w14:textId="77777777" w:rsidR="00D53B7D" w:rsidRPr="00DC1FA9" w:rsidRDefault="00D53B7D" w:rsidP="006D6D32">
      <w:pPr>
        <w:pStyle w:val="a3"/>
        <w:rPr>
          <w:rtl/>
        </w:rPr>
      </w:pPr>
      <w:bookmarkStart w:id="13560" w:name="_Toc532203003"/>
      <w:bookmarkStart w:id="13561" w:name="_Toc532302164"/>
      <w:bookmarkStart w:id="13562" w:name="_Toc532453959"/>
      <w:bookmarkStart w:id="13563" w:name="_Toc532453993"/>
      <w:bookmarkStart w:id="13564" w:name="_Toc532550644"/>
      <w:bookmarkStart w:id="13565" w:name="_Toc532550710"/>
      <w:bookmarkStart w:id="13566" w:name="_Toc532810241"/>
      <w:bookmarkStart w:id="13567" w:name="_Toc532844838"/>
      <w:bookmarkStart w:id="13568" w:name="_Toc532849447"/>
      <w:bookmarkStart w:id="13569" w:name="_Toc532897085"/>
      <w:bookmarkStart w:id="13570" w:name="_Toc532901860"/>
      <w:bookmarkStart w:id="13571" w:name="_Toc532976838"/>
      <w:bookmarkStart w:id="13572" w:name="_Toc532982512"/>
      <w:bookmarkStart w:id="13573" w:name="_Toc532982670"/>
      <w:bookmarkStart w:id="13574" w:name="_Toc19390777"/>
      <w:bookmarkStart w:id="13575" w:name="_Toc19394274"/>
      <w:r>
        <w:rPr>
          <w:rFonts w:hint="cs"/>
          <w:rtl/>
        </w:rPr>
        <w:t>דברי הרמב</w:t>
      </w:r>
      <w:r>
        <w:rPr>
          <w:rtl/>
        </w:rPr>
        <w:t>"</w:t>
      </w:r>
      <w:r>
        <w:rPr>
          <w:rFonts w:hint="cs"/>
          <w:rtl/>
        </w:rPr>
        <w:t>ן במלחמות לקמן דרחב</w:t>
      </w:r>
      <w:r>
        <w:rPr>
          <w:rtl/>
        </w:rPr>
        <w:t>"</w:t>
      </w:r>
      <w:r>
        <w:rPr>
          <w:rFonts w:hint="cs"/>
          <w:rtl/>
        </w:rPr>
        <w:t>א</w:t>
      </w:r>
      <w:r w:rsidRPr="00DC1FA9">
        <w:rPr>
          <w:rFonts w:hint="cs"/>
          <w:rtl/>
        </w:rPr>
        <w:t xml:space="preserve"> פליג על פסול הגרמה וס"ל דכל הצואר כשר לשחיטה</w:t>
      </w:r>
      <w:bookmarkEnd w:id="13560"/>
      <w:bookmarkEnd w:id="13561"/>
      <w:bookmarkEnd w:id="13562"/>
      <w:bookmarkEnd w:id="13563"/>
      <w:bookmarkEnd w:id="13564"/>
      <w:bookmarkEnd w:id="13565"/>
      <w:bookmarkEnd w:id="13566"/>
      <w:bookmarkEnd w:id="13567"/>
      <w:bookmarkEnd w:id="13568"/>
      <w:bookmarkEnd w:id="13569"/>
      <w:bookmarkEnd w:id="13570"/>
      <w:bookmarkEnd w:id="13571"/>
      <w:bookmarkEnd w:id="13572"/>
      <w:bookmarkEnd w:id="13573"/>
      <w:bookmarkEnd w:id="13574"/>
      <w:bookmarkEnd w:id="13575"/>
    </w:p>
    <w:p w14:paraId="6EC1CB07" w14:textId="77777777" w:rsidR="00D53B7D" w:rsidRPr="00251F4F" w:rsidRDefault="00D53B7D" w:rsidP="00223668">
      <w:pPr>
        <w:pStyle w:val="a0"/>
        <w:rPr>
          <w:rStyle w:val="afb"/>
          <w:rtl/>
        </w:rPr>
      </w:pPr>
      <w:r>
        <w:rPr>
          <w:rFonts w:hint="cs"/>
          <w:rtl/>
        </w:rPr>
        <w:t>אמנם יעוי' בדברי</w:t>
      </w:r>
      <w:r w:rsidRPr="00DC1FA9">
        <w:rPr>
          <w:rStyle w:val="af9"/>
          <w:rFonts w:hint="cs"/>
          <w:rtl/>
        </w:rPr>
        <w:t xml:space="preserve"> הרמב"ן במלחמות לקמן </w:t>
      </w:r>
      <w:r w:rsidRPr="00DC1FA9">
        <w:rPr>
          <w:rStyle w:val="af7"/>
          <w:rFonts w:eastAsia="Guttman Hodes" w:hint="cs"/>
          <w:rtl/>
        </w:rPr>
        <w:t>(מו: מדפי הרי"ף)</w:t>
      </w:r>
      <w:r w:rsidRPr="00DC1FA9">
        <w:rPr>
          <w:rFonts w:hint="cs"/>
          <w:rtl/>
        </w:rPr>
        <w:t xml:space="preserve"> ד</w:t>
      </w:r>
      <w:r>
        <w:rPr>
          <w:rFonts w:hint="cs"/>
          <w:rtl/>
        </w:rPr>
        <w:t>כתב דל</w:t>
      </w:r>
      <w:r w:rsidRPr="00DC1FA9">
        <w:rPr>
          <w:rFonts w:hint="cs"/>
          <w:rtl/>
        </w:rPr>
        <w:t>רחב"א כל הצואר כולו כשר לשחיטה, ולמעלה מהשיפוי כובע אינו נקרא צואר אלא לחי, ורבנן ס"ל דאין כל הצואר כשר לשחיטה, ולכן אף שלמעלה מהטבעת הגדולה הוא עדיין נקרא צואר, מ"מ גמירי רבנן דאינו מקום שחיטה.</w:t>
      </w:r>
      <w:r>
        <w:rPr>
          <w:rFonts w:hint="cs"/>
          <w:rtl/>
        </w:rPr>
        <w:t xml:space="preserve"> </w:t>
      </w:r>
      <w:r w:rsidRPr="00251F4F">
        <w:rPr>
          <w:rStyle w:val="afb"/>
          <w:rFonts w:hint="cs"/>
          <w:rtl/>
        </w:rPr>
        <w:t xml:space="preserve">[ולכאו' דברי </w:t>
      </w:r>
      <w:r w:rsidRPr="00251F4F">
        <w:rPr>
          <w:rStyle w:val="affa"/>
          <w:rFonts w:hint="cs"/>
          <w:rtl/>
        </w:rPr>
        <w:t>הרמב"ן במלחמות לקמן</w:t>
      </w:r>
      <w:r w:rsidRPr="00251F4F">
        <w:rPr>
          <w:rStyle w:val="afb"/>
          <w:rFonts w:hint="cs"/>
          <w:rtl/>
        </w:rPr>
        <w:t xml:space="preserve"> סותרים </w:t>
      </w:r>
      <w:r>
        <w:rPr>
          <w:rStyle w:val="afb"/>
          <w:rFonts w:hint="cs"/>
          <w:rtl/>
        </w:rPr>
        <w:t xml:space="preserve">למה שדחה </w:t>
      </w:r>
      <w:r w:rsidRPr="00251F4F">
        <w:rPr>
          <w:rStyle w:val="affa"/>
          <w:rFonts w:hint="cs"/>
          <w:rtl/>
        </w:rPr>
        <w:t>הרמב"ן</w:t>
      </w:r>
      <w:r>
        <w:rPr>
          <w:rStyle w:val="afb"/>
          <w:rFonts w:hint="cs"/>
          <w:rtl/>
        </w:rPr>
        <w:t xml:space="preserve"> את דברי </w:t>
      </w:r>
      <w:r w:rsidRPr="00251F4F">
        <w:rPr>
          <w:rStyle w:val="affa"/>
          <w:rFonts w:hint="cs"/>
          <w:rtl/>
        </w:rPr>
        <w:t>הראב"ד</w:t>
      </w:r>
      <w:r>
        <w:rPr>
          <w:rStyle w:val="afb"/>
          <w:rFonts w:hint="cs"/>
          <w:rtl/>
        </w:rPr>
        <w:t xml:space="preserve">, וכן למ"ש </w:t>
      </w:r>
      <w:r w:rsidRPr="00251F4F">
        <w:rPr>
          <w:rStyle w:val="affa"/>
          <w:rFonts w:hint="cs"/>
          <w:rtl/>
        </w:rPr>
        <w:t>הרמב"ן</w:t>
      </w:r>
      <w:r>
        <w:rPr>
          <w:rStyle w:val="afb"/>
          <w:rFonts w:hint="cs"/>
          <w:rtl/>
        </w:rPr>
        <w:t xml:space="preserve"> </w:t>
      </w:r>
      <w:r w:rsidRPr="00251F4F">
        <w:rPr>
          <w:rStyle w:val="afb"/>
          <w:rFonts w:hint="cs"/>
          <w:rtl/>
        </w:rPr>
        <w:t xml:space="preserve">בסוגיין </w:t>
      </w:r>
      <w:r w:rsidRPr="00251F4F">
        <w:rPr>
          <w:rStyle w:val="aff6"/>
          <w:rFonts w:hint="cs"/>
          <w:rtl/>
        </w:rPr>
        <w:t xml:space="preserve">(עי' אות </w:t>
      </w:r>
      <w:r w:rsidRPr="00251F4F">
        <w:rPr>
          <w:rStyle w:val="aff6"/>
          <w:rtl/>
        </w:rPr>
        <w:fldChar w:fldCharType="begin"/>
      </w:r>
      <w:r w:rsidRPr="00251F4F">
        <w:rPr>
          <w:rStyle w:val="aff6"/>
          <w:rtl/>
        </w:rPr>
        <w:instrText xml:space="preserve"> </w:instrText>
      </w:r>
      <w:r w:rsidRPr="00251F4F">
        <w:rPr>
          <w:rStyle w:val="aff6"/>
          <w:rFonts w:hint="cs"/>
        </w:rPr>
        <w:instrText>REF</w:instrText>
      </w:r>
      <w:r w:rsidRPr="00251F4F">
        <w:rPr>
          <w:rStyle w:val="aff6"/>
          <w:rFonts w:hint="cs"/>
          <w:rtl/>
        </w:rPr>
        <w:instrText xml:space="preserve"> _</w:instrText>
      </w:r>
      <w:r w:rsidRPr="00251F4F">
        <w:rPr>
          <w:rStyle w:val="aff6"/>
          <w:rFonts w:hint="cs"/>
        </w:rPr>
        <w:instrText>Ref532885767 \r \h</w:instrText>
      </w:r>
      <w:r w:rsidRPr="00251F4F">
        <w:rPr>
          <w:rStyle w:val="aff6"/>
          <w:rtl/>
        </w:rPr>
        <w:instrText xml:space="preserve"> </w:instrText>
      </w:r>
      <w:r w:rsidRPr="00251F4F">
        <w:rPr>
          <w:rStyle w:val="aff6"/>
          <w:rtl/>
        </w:rPr>
      </w:r>
      <w:r w:rsidRPr="00251F4F">
        <w:rPr>
          <w:rStyle w:val="aff6"/>
          <w:rtl/>
        </w:rPr>
        <w:fldChar w:fldCharType="separate"/>
      </w:r>
      <w:r w:rsidR="00345400">
        <w:rPr>
          <w:rStyle w:val="aff6"/>
          <w:cs/>
        </w:rPr>
        <w:t>‎</w:t>
      </w:r>
      <w:r w:rsidR="00345400">
        <w:rPr>
          <w:rStyle w:val="aff6"/>
          <w:rtl/>
        </w:rPr>
        <w:t>לא)</w:t>
      </w:r>
      <w:r w:rsidRPr="00251F4F">
        <w:rPr>
          <w:rStyle w:val="aff6"/>
          <w:rtl/>
        </w:rPr>
        <w:fldChar w:fldCharType="end"/>
      </w:r>
      <w:r w:rsidRPr="00251F4F">
        <w:rPr>
          <w:rStyle w:val="afb"/>
          <w:rFonts w:hint="cs"/>
          <w:rtl/>
        </w:rPr>
        <w:t>, דאף לרחב"א נחלקו רב הונא ורב יהודה אי ההגרמה במקום שחיטה].</w:t>
      </w:r>
    </w:p>
    <w:p w14:paraId="1B96C887" w14:textId="77777777" w:rsidR="00D53B7D" w:rsidRDefault="00D53B7D" w:rsidP="00BF39B2">
      <w:pPr>
        <w:pStyle w:val="1"/>
        <w:rPr>
          <w:rtl/>
        </w:rPr>
      </w:pPr>
      <w:bookmarkStart w:id="13576" w:name="_Toc532550659"/>
      <w:bookmarkStart w:id="13577" w:name="_Toc532550725"/>
      <w:bookmarkStart w:id="13578" w:name="_Toc532810233"/>
      <w:bookmarkStart w:id="13579" w:name="_Toc532844839"/>
      <w:bookmarkStart w:id="13580" w:name="_Toc532849448"/>
      <w:bookmarkStart w:id="13581" w:name="_Toc532897086"/>
      <w:bookmarkStart w:id="13582" w:name="_Toc532901861"/>
      <w:bookmarkStart w:id="13583" w:name="_Toc532976839"/>
      <w:bookmarkStart w:id="13584" w:name="_Toc532982513"/>
      <w:bookmarkStart w:id="13585" w:name="_Toc532982671"/>
      <w:bookmarkStart w:id="13586" w:name="_Toc19390778"/>
      <w:bookmarkStart w:id="13587" w:name="_Toc19394275"/>
      <w:r>
        <w:rPr>
          <w:rFonts w:hint="cs"/>
          <w:rtl/>
        </w:rPr>
        <w:t>פסק הבעה"</w:t>
      </w:r>
      <w:bookmarkEnd w:id="13576"/>
      <w:bookmarkEnd w:id="13577"/>
      <w:bookmarkEnd w:id="13578"/>
      <w:bookmarkEnd w:id="13579"/>
      <w:bookmarkEnd w:id="13580"/>
      <w:bookmarkEnd w:id="13581"/>
      <w:bookmarkEnd w:id="13582"/>
      <w:r>
        <w:rPr>
          <w:rFonts w:hint="cs"/>
          <w:rtl/>
        </w:rPr>
        <w:t>מ והרמב"ן והר"ן לחומרא כרב הונא וכרב יהודה</w:t>
      </w:r>
      <w:bookmarkEnd w:id="13583"/>
      <w:bookmarkEnd w:id="13584"/>
      <w:bookmarkEnd w:id="13585"/>
      <w:bookmarkEnd w:id="13586"/>
      <w:bookmarkEnd w:id="13587"/>
    </w:p>
    <w:p w14:paraId="029795A0" w14:textId="77777777" w:rsidR="00D53B7D" w:rsidRDefault="00D53B7D" w:rsidP="006D6D32">
      <w:pPr>
        <w:pStyle w:val="a3"/>
        <w:rPr>
          <w:rtl/>
        </w:rPr>
      </w:pPr>
      <w:bookmarkStart w:id="13588" w:name="_Toc532976840"/>
      <w:bookmarkStart w:id="13589" w:name="_Toc532982514"/>
      <w:bookmarkStart w:id="13590" w:name="_Toc532982672"/>
      <w:bookmarkStart w:id="13591" w:name="_Toc19390779"/>
      <w:bookmarkStart w:id="13592" w:name="_Toc19394276"/>
      <w:r>
        <w:rPr>
          <w:rFonts w:hint="cs"/>
          <w:rtl/>
        </w:rPr>
        <w:t>דברי הבעה"מ דנקטינן לחומרא כרב הונא וכרב יהודה ורק בשחט ב' שלישים השחיטה כשרה</w:t>
      </w:r>
      <w:bookmarkEnd w:id="13588"/>
      <w:bookmarkEnd w:id="13589"/>
      <w:bookmarkEnd w:id="13590"/>
      <w:bookmarkEnd w:id="13591"/>
      <w:bookmarkEnd w:id="13592"/>
      <w:r>
        <w:rPr>
          <w:rFonts w:hint="cs"/>
          <w:rtl/>
        </w:rPr>
        <w:t xml:space="preserve"> </w:t>
      </w:r>
    </w:p>
    <w:p w14:paraId="0C53BF8B" w14:textId="77777777" w:rsidR="00D53B7D" w:rsidRPr="001B484A" w:rsidRDefault="00D53B7D" w:rsidP="00223668">
      <w:pPr>
        <w:pStyle w:val="a0"/>
        <w:rPr>
          <w:rtl/>
        </w:rPr>
      </w:pPr>
      <w:r>
        <w:rPr>
          <w:rFonts w:hint="cs"/>
          <w:rtl/>
        </w:rPr>
        <w:t xml:space="preserve">כתב </w:t>
      </w:r>
      <w:r w:rsidRPr="00C00CA8">
        <w:rPr>
          <w:rStyle w:val="af9"/>
          <w:rFonts w:hint="cs"/>
          <w:rtl/>
        </w:rPr>
        <w:t>הבעה"מ</w:t>
      </w:r>
      <w:r>
        <w:rPr>
          <w:rFonts w:hint="cs"/>
          <w:rtl/>
        </w:rPr>
        <w:t xml:space="preserve"> </w:t>
      </w:r>
      <w:r w:rsidRPr="00C00CA8">
        <w:rPr>
          <w:rStyle w:val="af7"/>
          <w:rFonts w:eastAsia="Guttman Hodes" w:hint="cs"/>
          <w:rtl/>
        </w:rPr>
        <w:t>(ה. מדפי הרי"ף)</w:t>
      </w:r>
      <w:r>
        <w:rPr>
          <w:rFonts w:hint="cs"/>
          <w:rtl/>
        </w:rPr>
        <w:t xml:space="preserve"> דקיי"ל דבשחט ב' שלישים והגרים שליש, וכן בהגרים שליש ושחט ב' שלישים, שחיטתו כשרה, אבל בשחט והגרים ושחט, וכן בהגרים ושחט </w:t>
      </w:r>
      <w:r w:rsidRPr="001B484A">
        <w:rPr>
          <w:rFonts w:hint="cs"/>
          <w:rtl/>
        </w:rPr>
        <w:t xml:space="preserve">והגרים, כיון שנחלקו בזה רב הונא ורב יהודה, נקטינן לחומרא כתרוויהו, וכתב </w:t>
      </w:r>
      <w:r w:rsidRPr="001B484A">
        <w:rPr>
          <w:rStyle w:val="af9"/>
          <w:rFonts w:hint="cs"/>
          <w:rtl/>
        </w:rPr>
        <w:t>הבעה"מ</w:t>
      </w:r>
      <w:r w:rsidRPr="001B484A">
        <w:rPr>
          <w:rFonts w:hint="cs"/>
          <w:rtl/>
        </w:rPr>
        <w:t xml:space="preserve"> דאעפ"י ד</w:t>
      </w:r>
      <w:r>
        <w:rPr>
          <w:rFonts w:hint="cs"/>
          <w:rtl/>
        </w:rPr>
        <w:t>רב הונא ורב יהודה</w:t>
      </w:r>
      <w:r w:rsidRPr="001B484A">
        <w:rPr>
          <w:rFonts w:hint="cs"/>
          <w:rtl/>
        </w:rPr>
        <w:t xml:space="preserve"> נחלקו אליבא דריבר"י</w:t>
      </w:r>
      <w:r>
        <w:rPr>
          <w:rFonts w:hint="cs"/>
          <w:rtl/>
        </w:rPr>
        <w:t>,</w:t>
      </w:r>
      <w:r w:rsidRPr="001B484A">
        <w:rPr>
          <w:rFonts w:hint="cs"/>
          <w:rtl/>
        </w:rPr>
        <w:t xml:space="preserve"> ולדידן קיי"ל כרחב"א דההגרמה היא למעלה משיפוי כובע, מ"מ במה שנחשב הגרמה לדידן מחמרינן כרב הונא וכרב יהודה.</w:t>
      </w:r>
    </w:p>
    <w:p w14:paraId="03E7F59E" w14:textId="77777777" w:rsidR="00D53B7D" w:rsidRPr="001B484A" w:rsidRDefault="00D53B7D" w:rsidP="006D6D32">
      <w:pPr>
        <w:pStyle w:val="a3"/>
      </w:pPr>
      <w:bookmarkStart w:id="13593" w:name="_Toc532976841"/>
      <w:bookmarkStart w:id="13594" w:name="_Toc532982515"/>
      <w:bookmarkStart w:id="13595" w:name="_Toc532982673"/>
      <w:bookmarkStart w:id="13596" w:name="_Toc19390780"/>
      <w:bookmarkStart w:id="13597" w:name="_Toc19394277"/>
      <w:r>
        <w:rPr>
          <w:rFonts w:hint="cs"/>
          <w:rtl/>
        </w:rPr>
        <w:t>דברי הבעה"מ דבהגרים שליש ושחט שליש פסול דלא דמי לחצי קנה פגום דאינו במקום שחיטה</w:t>
      </w:r>
      <w:bookmarkEnd w:id="13593"/>
      <w:bookmarkEnd w:id="13594"/>
      <w:bookmarkEnd w:id="13595"/>
      <w:bookmarkEnd w:id="13596"/>
      <w:bookmarkEnd w:id="13597"/>
    </w:p>
    <w:p w14:paraId="74C668C1" w14:textId="77777777" w:rsidR="00D53B7D" w:rsidRDefault="00D53B7D" w:rsidP="00223668">
      <w:pPr>
        <w:pStyle w:val="a0"/>
        <w:rPr>
          <w:rtl/>
        </w:rPr>
      </w:pPr>
      <w:r>
        <w:rPr>
          <w:rFonts w:hint="cs"/>
          <w:rtl/>
        </w:rPr>
        <w:t xml:space="preserve">והוסיף </w:t>
      </w:r>
      <w:r w:rsidRPr="00C00CA8">
        <w:rPr>
          <w:rStyle w:val="af9"/>
          <w:rFonts w:hint="cs"/>
          <w:rtl/>
        </w:rPr>
        <w:t>הבעה"מ</w:t>
      </w:r>
      <w:r>
        <w:rPr>
          <w:rFonts w:hint="cs"/>
          <w:rtl/>
        </w:rPr>
        <w:t xml:space="preserve"> דאם הגרים שליש ושחט שליש והניח את השליש האחרון ולא שחטו, דשחיטתו פסולה, דלא דמי לחצי קנה פגום שהוסיף כל שהוא וגמרו, כיון שההגרמה אינה במקום שחיטה.</w:t>
      </w:r>
    </w:p>
    <w:p w14:paraId="7AADB829" w14:textId="77777777" w:rsidR="00D53B7D" w:rsidRPr="00F06230" w:rsidRDefault="00D53B7D" w:rsidP="006D6D32">
      <w:pPr>
        <w:pStyle w:val="a3"/>
      </w:pPr>
      <w:bookmarkStart w:id="13598" w:name="_Toc532976842"/>
      <w:bookmarkStart w:id="13599" w:name="_Toc532982516"/>
      <w:bookmarkStart w:id="13600" w:name="_Toc532982674"/>
      <w:bookmarkStart w:id="13601" w:name="_Toc19390781"/>
      <w:bookmarkStart w:id="13602" w:name="_Toc19394278"/>
      <w:bookmarkStart w:id="13603" w:name="_Toc532844840"/>
      <w:bookmarkStart w:id="13604" w:name="_Toc532849449"/>
      <w:bookmarkStart w:id="13605" w:name="_Toc532897087"/>
      <w:bookmarkStart w:id="13606" w:name="_Toc532901862"/>
      <w:r>
        <w:rPr>
          <w:rFonts w:hint="cs"/>
          <w:rtl/>
        </w:rPr>
        <w:t>דברי הרמב"ן והר"ן דהשחיטה כשרה רק כשרוב החיות יוצאת בשחיטה ורוב הסימן שחוט</w:t>
      </w:r>
      <w:bookmarkEnd w:id="13598"/>
      <w:bookmarkEnd w:id="13599"/>
      <w:bookmarkEnd w:id="13600"/>
      <w:bookmarkEnd w:id="13601"/>
      <w:bookmarkEnd w:id="13602"/>
    </w:p>
    <w:p w14:paraId="757F0689" w14:textId="77777777" w:rsidR="00D53B7D" w:rsidRDefault="00D53B7D" w:rsidP="00223668">
      <w:pPr>
        <w:pStyle w:val="a0"/>
        <w:rPr>
          <w:rtl/>
        </w:rPr>
      </w:pPr>
      <w:bookmarkStart w:id="13607" w:name="_Ref532933347"/>
      <w:r>
        <w:rPr>
          <w:rFonts w:hint="cs"/>
          <w:rtl/>
        </w:rPr>
        <w:t xml:space="preserve">וכ"כ </w:t>
      </w:r>
      <w:r w:rsidRPr="00FD3048">
        <w:rPr>
          <w:rStyle w:val="af9"/>
          <w:rFonts w:hint="cs"/>
          <w:rtl/>
        </w:rPr>
        <w:t>הרמב"ן</w:t>
      </w:r>
      <w:r w:rsidRPr="00AD1968">
        <w:rPr>
          <w:rStyle w:val="af7"/>
          <w:rFonts w:eastAsia="Guttman Hodes" w:hint="cs"/>
          <w:rtl/>
        </w:rPr>
        <w:t xml:space="preserve"> (ד"ה ולענין) </w:t>
      </w:r>
      <w:r w:rsidRPr="002924A3">
        <w:rPr>
          <w:rStyle w:val="af9"/>
          <w:rFonts w:hint="cs"/>
          <w:rtl/>
        </w:rPr>
        <w:t>והר"</w:t>
      </w:r>
      <w:r>
        <w:rPr>
          <w:rStyle w:val="af9"/>
          <w:rFonts w:hint="cs"/>
          <w:rtl/>
        </w:rPr>
        <w:t>ן</w:t>
      </w:r>
      <w:r w:rsidRPr="00A55C7D">
        <w:rPr>
          <w:rStyle w:val="af9"/>
          <w:rFonts w:hint="cs"/>
          <w:rtl/>
        </w:rPr>
        <w:t xml:space="preserve"> </w:t>
      </w:r>
      <w:r>
        <w:rPr>
          <w:rStyle w:val="af9"/>
          <w:rFonts w:hint="cs"/>
          <w:rtl/>
        </w:rPr>
        <w:t>בחי'</w:t>
      </w:r>
      <w:r w:rsidRPr="002924A3">
        <w:rPr>
          <w:rStyle w:val="af9"/>
          <w:rFonts w:hint="cs"/>
          <w:rtl/>
        </w:rPr>
        <w:t xml:space="preserve"> </w:t>
      </w:r>
      <w:r w:rsidRPr="00675E36">
        <w:rPr>
          <w:rStyle w:val="af7"/>
          <w:rFonts w:eastAsia="Guttman Hodes" w:hint="cs"/>
          <w:rtl/>
        </w:rPr>
        <w:t>(ד"ה ולענין)</w:t>
      </w:r>
      <w:r>
        <w:rPr>
          <w:rFonts w:hint="cs"/>
          <w:rtl/>
        </w:rPr>
        <w:t xml:space="preserve"> </w:t>
      </w:r>
      <w:r>
        <w:rPr>
          <w:rStyle w:val="af9"/>
          <w:rFonts w:hint="cs"/>
          <w:rtl/>
        </w:rPr>
        <w:t>ו</w:t>
      </w:r>
      <w:r w:rsidRPr="00133EB8">
        <w:rPr>
          <w:rStyle w:val="af9"/>
          <w:rFonts w:hint="cs"/>
          <w:rtl/>
        </w:rPr>
        <w:t>על הרי"ף</w:t>
      </w:r>
      <w:r>
        <w:rPr>
          <w:rFonts w:hint="cs"/>
          <w:rtl/>
        </w:rPr>
        <w:t xml:space="preserve"> </w:t>
      </w:r>
      <w:r w:rsidRPr="00133EB8">
        <w:rPr>
          <w:rStyle w:val="af7"/>
          <w:rFonts w:eastAsia="Guttman Hodes" w:hint="cs"/>
          <w:rtl/>
        </w:rPr>
        <w:t xml:space="preserve">(ה: מדפי הרי"ף ד"ה </w:t>
      </w:r>
      <w:r w:rsidRPr="00675E36">
        <w:rPr>
          <w:rStyle w:val="af7"/>
          <w:rFonts w:eastAsia="Guttman Hodes" w:hint="cs"/>
          <w:rtl/>
        </w:rPr>
        <w:t>ולענין</w:t>
      </w:r>
      <w:r w:rsidRPr="00133EB8">
        <w:rPr>
          <w:rStyle w:val="af7"/>
          <w:rFonts w:eastAsia="Guttman Hodes" w:hint="cs"/>
          <w:rtl/>
        </w:rPr>
        <w:t>)</w:t>
      </w:r>
      <w:r>
        <w:rPr>
          <w:rFonts w:hint="cs"/>
          <w:rtl/>
        </w:rPr>
        <w:t xml:space="preserve"> דלהלכה צריך להחמיר להצריך רוב בשחיטה במקום אחד, וכל שיש רוב בשחיטה כשר, בין אם הוא בתחילת השחיטה, דשחט ב' שלישים והגרים שליש, ובין אם הוא בסוף השחיטה, דהגרים שליש ושחט ב' שלישים, דבשניהם רוב הסימן שחוט, והחיות יוצאת בשחיטה, וכשר בין לרב הונא ובין לרב יהודה.</w:t>
      </w:r>
      <w:bookmarkEnd w:id="13607"/>
    </w:p>
    <w:p w14:paraId="252AA989" w14:textId="77777777" w:rsidR="00D53B7D" w:rsidRDefault="00D53B7D" w:rsidP="00BF39B2">
      <w:pPr>
        <w:pStyle w:val="1"/>
        <w:rPr>
          <w:rtl/>
        </w:rPr>
      </w:pPr>
      <w:bookmarkStart w:id="13608" w:name="_Toc532810242"/>
      <w:bookmarkStart w:id="13609" w:name="_Toc532844841"/>
      <w:bookmarkStart w:id="13610" w:name="_Toc532849450"/>
      <w:bookmarkStart w:id="13611" w:name="_Toc532897088"/>
      <w:bookmarkStart w:id="13612" w:name="_Toc532901863"/>
      <w:bookmarkStart w:id="13613" w:name="_Toc532976843"/>
      <w:bookmarkStart w:id="13614" w:name="_Toc532982517"/>
      <w:bookmarkStart w:id="13615" w:name="_Toc532982675"/>
      <w:bookmarkStart w:id="13616" w:name="_Toc19390782"/>
      <w:bookmarkStart w:id="13617" w:name="_Toc19394279"/>
      <w:r>
        <w:rPr>
          <w:rFonts w:hint="cs"/>
          <w:rtl/>
        </w:rPr>
        <w:t>ביאור הרשב"א</w:t>
      </w:r>
      <w:bookmarkEnd w:id="13608"/>
      <w:bookmarkEnd w:id="13609"/>
      <w:bookmarkEnd w:id="13610"/>
      <w:bookmarkEnd w:id="13611"/>
      <w:bookmarkEnd w:id="13612"/>
      <w:r w:rsidRPr="00AD5B98">
        <w:rPr>
          <w:rFonts w:hint="cs"/>
          <w:rtl/>
        </w:rPr>
        <w:t xml:space="preserve"> </w:t>
      </w:r>
      <w:r>
        <w:rPr>
          <w:rFonts w:hint="cs"/>
          <w:rtl/>
        </w:rPr>
        <w:t>בדעת הרמב"ן</w:t>
      </w:r>
      <w:bookmarkEnd w:id="13613"/>
      <w:bookmarkEnd w:id="13614"/>
      <w:bookmarkEnd w:id="13615"/>
      <w:bookmarkEnd w:id="13616"/>
      <w:bookmarkEnd w:id="13617"/>
    </w:p>
    <w:p w14:paraId="70B6B8AB" w14:textId="77777777" w:rsidR="00D53B7D" w:rsidRPr="00482038" w:rsidRDefault="00D53B7D" w:rsidP="006D6D32">
      <w:pPr>
        <w:pStyle w:val="a3"/>
        <w:rPr>
          <w:rtl/>
        </w:rPr>
      </w:pPr>
      <w:bookmarkStart w:id="13618" w:name="_Toc532976844"/>
      <w:bookmarkStart w:id="13619" w:name="_Toc532982518"/>
      <w:bookmarkStart w:id="13620" w:name="_Toc532982676"/>
      <w:bookmarkStart w:id="13621" w:name="_Toc19390783"/>
      <w:bookmarkStart w:id="13622" w:name="_Toc19394280"/>
      <w:r>
        <w:rPr>
          <w:rFonts w:hint="cs"/>
          <w:rtl/>
        </w:rPr>
        <w:t>ביאור הרשב"א ברמב"ן דברוב הסימן שחוט ויצאה החיות בשחיטה</w:t>
      </w:r>
      <w:r w:rsidRPr="000B3D77">
        <w:rPr>
          <w:rFonts w:hint="cs"/>
          <w:rtl/>
        </w:rPr>
        <w:t xml:space="preserve"> </w:t>
      </w:r>
      <w:r>
        <w:rPr>
          <w:rFonts w:hint="cs"/>
          <w:rtl/>
        </w:rPr>
        <w:t>כשר לרב הונא ולרב יהודה</w:t>
      </w:r>
      <w:bookmarkEnd w:id="13618"/>
      <w:bookmarkEnd w:id="13619"/>
      <w:bookmarkEnd w:id="13620"/>
      <w:bookmarkEnd w:id="13621"/>
      <w:bookmarkEnd w:id="13622"/>
    </w:p>
    <w:p w14:paraId="2CD77866" w14:textId="77777777" w:rsidR="00D53B7D" w:rsidRDefault="00D53B7D" w:rsidP="00223668">
      <w:pPr>
        <w:pStyle w:val="a0"/>
        <w:rPr>
          <w:rtl/>
        </w:rPr>
      </w:pPr>
      <w:r>
        <w:rPr>
          <w:rFonts w:hint="cs"/>
          <w:rtl/>
        </w:rPr>
        <w:t xml:space="preserve">וביאר </w:t>
      </w:r>
      <w:r w:rsidRPr="002E0772">
        <w:rPr>
          <w:rStyle w:val="af9"/>
          <w:rFonts w:hint="cs"/>
          <w:rtl/>
        </w:rPr>
        <w:t>הרשב"א בחי'</w:t>
      </w:r>
      <w:r>
        <w:rPr>
          <w:rFonts w:hint="cs"/>
          <w:rtl/>
        </w:rPr>
        <w:t xml:space="preserve"> </w:t>
      </w:r>
      <w:r w:rsidRPr="002E0772">
        <w:rPr>
          <w:rStyle w:val="af7"/>
          <w:rFonts w:eastAsia="Guttman Hodes" w:hint="cs"/>
          <w:rtl/>
        </w:rPr>
        <w:t xml:space="preserve">(יט: סוד"ה איקלע) </w:t>
      </w:r>
      <w:r w:rsidRPr="002E0772">
        <w:rPr>
          <w:rStyle w:val="af9"/>
          <w:rFonts w:hint="cs"/>
          <w:rtl/>
        </w:rPr>
        <w:t>ובתוה"ב</w:t>
      </w:r>
      <w:r>
        <w:rPr>
          <w:rFonts w:hint="cs"/>
          <w:rtl/>
        </w:rPr>
        <w:t xml:space="preserve"> </w:t>
      </w:r>
      <w:r w:rsidRPr="002E0772">
        <w:rPr>
          <w:rStyle w:val="af7"/>
          <w:rFonts w:eastAsia="Guttman Hodes" w:hint="cs"/>
          <w:rtl/>
        </w:rPr>
        <w:t>(ב"א ש"א דף כד: מדה"ס)</w:t>
      </w:r>
      <w:r>
        <w:rPr>
          <w:rFonts w:hint="cs"/>
          <w:rtl/>
        </w:rPr>
        <w:t xml:space="preserve"> את דברי </w:t>
      </w:r>
      <w:r w:rsidRPr="002E0772">
        <w:rPr>
          <w:rStyle w:val="af9"/>
          <w:rFonts w:hint="cs"/>
          <w:rtl/>
        </w:rPr>
        <w:t>הרמב"ן</w:t>
      </w:r>
      <w:r>
        <w:rPr>
          <w:rFonts w:hint="cs"/>
          <w:rtl/>
        </w:rPr>
        <w:t xml:space="preserve"> דמדאמר רב יהודה דבעינן רובא בשחיטה וליכא, משמע דכ"מ דפליג רב יהודה על רב הונא, הוא בהגרים ושחט והגרים, דאין רוב בשחיטה, כיון שהגרים בשליש האחרון, אבל אם הגרים שליש ושחט ב' שלישים משמע דהיא כשרה בין לרב יהודה ובין לרב הונא, דיצאה החיות בשחיטה, ורוב הסימן שחוט.</w:t>
      </w:r>
    </w:p>
    <w:p w14:paraId="6132B9B1" w14:textId="77777777" w:rsidR="00D53B7D" w:rsidRPr="0014184A" w:rsidRDefault="00D53B7D" w:rsidP="006D6D32">
      <w:pPr>
        <w:pStyle w:val="a3"/>
      </w:pPr>
      <w:bookmarkStart w:id="13623" w:name="_Toc532976845"/>
      <w:bookmarkStart w:id="13624" w:name="_Toc532982519"/>
      <w:bookmarkStart w:id="13625" w:name="_Toc532982677"/>
      <w:bookmarkStart w:id="13626" w:name="_Toc19390784"/>
      <w:bookmarkStart w:id="13627" w:name="_Toc19394281"/>
      <w:r>
        <w:rPr>
          <w:rFonts w:hint="cs"/>
          <w:rtl/>
        </w:rPr>
        <w:t>הוכחת הרשב"א דרב יהודה מכשיר בהגרים שליש ושחט ב' שלישים</w:t>
      </w:r>
      <w:bookmarkEnd w:id="13623"/>
      <w:bookmarkEnd w:id="13624"/>
      <w:bookmarkEnd w:id="13625"/>
      <w:bookmarkEnd w:id="13626"/>
      <w:bookmarkEnd w:id="13627"/>
    </w:p>
    <w:p w14:paraId="720AB6EE" w14:textId="77777777" w:rsidR="00D53B7D" w:rsidRDefault="00D53B7D" w:rsidP="00223668">
      <w:pPr>
        <w:pStyle w:val="a0"/>
        <w:rPr>
          <w:rtl/>
        </w:rPr>
      </w:pPr>
      <w:r>
        <w:rPr>
          <w:rFonts w:hint="cs"/>
          <w:rtl/>
        </w:rPr>
        <w:t xml:space="preserve">וכתב </w:t>
      </w:r>
      <w:r w:rsidRPr="002E0772">
        <w:rPr>
          <w:rStyle w:val="af9"/>
          <w:rFonts w:hint="cs"/>
          <w:rtl/>
        </w:rPr>
        <w:t>הרשב"א</w:t>
      </w:r>
      <w:r>
        <w:rPr>
          <w:rFonts w:hint="cs"/>
          <w:rtl/>
        </w:rPr>
        <w:t xml:space="preserve"> דאין לדחות דכוונת רב יהודה לומר דצריך שהרוב הראשון יהיה בשחיטה, אבל המיעוט בתרא הוא כמחתך בשר בעלמא הוא, דהא רב יהודה ס"ל דבשחט והגרים ושחט כשר, ומבואר דמהני רוב בשחיטה אף כשהגרים באמצע הסימן, ואף שאפש"ל שהחיות יצאה בהגרמה, וא"כ כ"ש כשיש רוב במקום אחד דמכשיר רב יהודה, אף אם הגרים בשליש הראשון.</w:t>
      </w:r>
    </w:p>
    <w:p w14:paraId="2018BD6D" w14:textId="77777777" w:rsidR="00D53B7D" w:rsidRDefault="00D53B7D" w:rsidP="00BF39B2">
      <w:pPr>
        <w:pStyle w:val="1"/>
        <w:rPr>
          <w:rtl/>
        </w:rPr>
      </w:pPr>
      <w:bookmarkStart w:id="13628" w:name="_Toc532976846"/>
      <w:bookmarkStart w:id="13629" w:name="_Toc532982520"/>
      <w:bookmarkStart w:id="13630" w:name="_Toc532982678"/>
      <w:bookmarkStart w:id="13631" w:name="_Toc19390785"/>
      <w:bookmarkStart w:id="13632" w:name="_Toc19394282"/>
      <w:r>
        <w:rPr>
          <w:rFonts w:hint="cs"/>
          <w:rtl/>
        </w:rPr>
        <w:t xml:space="preserve">דברי הרמב"ן והר"ן </w:t>
      </w:r>
      <w:bookmarkEnd w:id="13480"/>
      <w:bookmarkEnd w:id="13481"/>
      <w:bookmarkEnd w:id="13482"/>
      <w:bookmarkEnd w:id="13483"/>
      <w:bookmarkEnd w:id="13484"/>
      <w:bookmarkEnd w:id="13485"/>
      <w:bookmarkEnd w:id="13603"/>
      <w:bookmarkEnd w:id="13604"/>
      <w:bookmarkEnd w:id="13605"/>
      <w:bookmarkEnd w:id="13606"/>
      <w:r>
        <w:rPr>
          <w:rFonts w:hint="cs"/>
          <w:rtl/>
        </w:rPr>
        <w:t>דמשמעות הסוגיא היא כדעת כרב הונא</w:t>
      </w:r>
      <w:bookmarkEnd w:id="13628"/>
      <w:bookmarkEnd w:id="13629"/>
      <w:bookmarkEnd w:id="13630"/>
      <w:bookmarkEnd w:id="13631"/>
      <w:bookmarkEnd w:id="13632"/>
    </w:p>
    <w:p w14:paraId="7027C6E7" w14:textId="77777777" w:rsidR="00D53B7D" w:rsidRDefault="00D53B7D" w:rsidP="006D6D32">
      <w:pPr>
        <w:pStyle w:val="a3"/>
        <w:rPr>
          <w:rtl/>
        </w:rPr>
      </w:pPr>
      <w:bookmarkStart w:id="13633" w:name="_Toc532976847"/>
      <w:bookmarkStart w:id="13634" w:name="_Toc532982521"/>
      <w:bookmarkStart w:id="13635" w:name="_Toc532982679"/>
      <w:bookmarkStart w:id="13636" w:name="_Toc19390786"/>
      <w:bookmarkStart w:id="13637" w:name="_Toc19394283"/>
      <w:r>
        <w:rPr>
          <w:rFonts w:hint="cs"/>
          <w:rtl/>
        </w:rPr>
        <w:t>דברי הרמב"ן והר"ן דמדברי רב חסדא מוכח דס"ל להלכה כרב הונא</w:t>
      </w:r>
      <w:bookmarkEnd w:id="13633"/>
      <w:bookmarkEnd w:id="13634"/>
      <w:bookmarkEnd w:id="13635"/>
      <w:bookmarkEnd w:id="13636"/>
      <w:bookmarkEnd w:id="13637"/>
    </w:p>
    <w:p w14:paraId="4106709F" w14:textId="77777777" w:rsidR="00D53B7D" w:rsidRDefault="00D53B7D" w:rsidP="00223668">
      <w:pPr>
        <w:pStyle w:val="a0"/>
        <w:rPr>
          <w:rtl/>
        </w:rPr>
      </w:pPr>
      <w:bookmarkStart w:id="13638" w:name="_Ref532244595"/>
      <w:bookmarkStart w:id="13639" w:name="_Ref532935136"/>
      <w:r>
        <w:rPr>
          <w:rFonts w:hint="cs"/>
          <w:rtl/>
        </w:rPr>
        <w:t xml:space="preserve">כתבו </w:t>
      </w:r>
      <w:r w:rsidRPr="00FD3048">
        <w:rPr>
          <w:rStyle w:val="af9"/>
          <w:rFonts w:hint="cs"/>
          <w:rtl/>
        </w:rPr>
        <w:t>הרמב"ן</w:t>
      </w:r>
      <w:r>
        <w:rPr>
          <w:rFonts w:hint="cs"/>
          <w:rtl/>
        </w:rPr>
        <w:t xml:space="preserve"> </w:t>
      </w:r>
      <w:r w:rsidRPr="00675E36">
        <w:rPr>
          <w:rStyle w:val="af7"/>
          <w:rFonts w:eastAsia="Guttman Hodes" w:hint="cs"/>
          <w:rtl/>
        </w:rPr>
        <w:t>(ד"ה ולענין)</w:t>
      </w:r>
      <w:r>
        <w:rPr>
          <w:rFonts w:hint="cs"/>
          <w:rtl/>
        </w:rPr>
        <w:t xml:space="preserve"> </w:t>
      </w:r>
      <w:r w:rsidRPr="002924A3">
        <w:rPr>
          <w:rStyle w:val="af9"/>
          <w:rFonts w:hint="cs"/>
          <w:rtl/>
        </w:rPr>
        <w:t>והר"ן בחי'</w:t>
      </w:r>
      <w:r>
        <w:rPr>
          <w:rFonts w:hint="cs"/>
          <w:rtl/>
        </w:rPr>
        <w:t xml:space="preserve"> </w:t>
      </w:r>
      <w:r w:rsidRPr="00675E36">
        <w:rPr>
          <w:rStyle w:val="af7"/>
          <w:rFonts w:eastAsia="Guttman Hodes" w:hint="cs"/>
          <w:rtl/>
        </w:rPr>
        <w:t>(ד"ה ולענין)</w:t>
      </w:r>
      <w:r>
        <w:rPr>
          <w:rFonts w:hint="cs"/>
          <w:rtl/>
        </w:rPr>
        <w:t xml:space="preserve"> דמשמעות הסוגיא דקיי"ל כרב הונא, דהא מדברי רב </w:t>
      </w:r>
      <w:r w:rsidRPr="00333170">
        <w:rPr>
          <w:rFonts w:hint="cs"/>
          <w:rtl/>
        </w:rPr>
        <w:t xml:space="preserve">חסדא בב' הלישנות דרב אסי, מבואר דס"ל כרב הונא, דהא אמר רב חסדא דדמי לחצי קנה פגום, דכן ס"ל לרב הונא, </w:t>
      </w:r>
      <w:r w:rsidRPr="00333170">
        <w:rPr>
          <w:rStyle w:val="afb"/>
          <w:rFonts w:hint="cs"/>
          <w:rtl/>
        </w:rPr>
        <w:t xml:space="preserve">[כדביארו </w:t>
      </w:r>
      <w:r w:rsidRPr="00333170">
        <w:rPr>
          <w:rStyle w:val="affa"/>
          <w:rFonts w:hint="cs"/>
          <w:rtl/>
        </w:rPr>
        <w:t>הרמב"ן והר"ן על הרי"ף</w:t>
      </w:r>
      <w:r w:rsidRPr="00333170">
        <w:rPr>
          <w:rStyle w:val="afb"/>
          <w:rFonts w:hint="cs"/>
          <w:rtl/>
        </w:rPr>
        <w:t xml:space="preserve"> </w:t>
      </w:r>
      <w:r w:rsidRPr="008B5C81">
        <w:rPr>
          <w:rStyle w:val="aff6"/>
          <w:rFonts w:hint="cs"/>
          <w:rtl/>
        </w:rPr>
        <w:t xml:space="preserve">(עי' אות </w:t>
      </w:r>
      <w:r w:rsidRPr="008B5C81">
        <w:rPr>
          <w:rStyle w:val="aff6"/>
          <w:rtl/>
        </w:rPr>
        <w:fldChar w:fldCharType="begin"/>
      </w:r>
      <w:r w:rsidRPr="008B5C81">
        <w:rPr>
          <w:rStyle w:val="aff6"/>
          <w:rtl/>
        </w:rPr>
        <w:instrText xml:space="preserve"> </w:instrText>
      </w:r>
      <w:r w:rsidRPr="008B5C81">
        <w:rPr>
          <w:rStyle w:val="aff6"/>
          <w:rFonts w:hint="cs"/>
        </w:rPr>
        <w:instrText>REF</w:instrText>
      </w:r>
      <w:r w:rsidRPr="008B5C81">
        <w:rPr>
          <w:rStyle w:val="aff6"/>
          <w:rFonts w:hint="cs"/>
          <w:rtl/>
        </w:rPr>
        <w:instrText xml:space="preserve"> _</w:instrText>
      </w:r>
      <w:r w:rsidRPr="008B5C81">
        <w:rPr>
          <w:rStyle w:val="aff6"/>
          <w:rFonts w:hint="cs"/>
        </w:rPr>
        <w:instrText>Ref532885767 \r \h</w:instrText>
      </w:r>
      <w:r w:rsidRPr="008B5C81">
        <w:rPr>
          <w:rStyle w:val="aff6"/>
          <w:rtl/>
        </w:rPr>
        <w:instrText xml:space="preserve"> </w:instrText>
      </w:r>
      <w:r w:rsidRPr="008B5C81">
        <w:rPr>
          <w:rStyle w:val="aff6"/>
          <w:rtl/>
        </w:rPr>
      </w:r>
      <w:r w:rsidRPr="008B5C81">
        <w:rPr>
          <w:rStyle w:val="aff6"/>
          <w:rtl/>
        </w:rPr>
        <w:fldChar w:fldCharType="separate"/>
      </w:r>
      <w:r w:rsidR="00345400">
        <w:rPr>
          <w:rStyle w:val="aff6"/>
          <w:cs/>
        </w:rPr>
        <w:t>‎</w:t>
      </w:r>
      <w:r w:rsidR="00345400">
        <w:rPr>
          <w:rStyle w:val="aff6"/>
          <w:rtl/>
        </w:rPr>
        <w:t>לא)</w:t>
      </w:r>
      <w:r w:rsidRPr="008B5C81">
        <w:rPr>
          <w:rStyle w:val="aff6"/>
          <w:rtl/>
        </w:rPr>
        <w:fldChar w:fldCharType="end"/>
      </w:r>
      <w:r w:rsidRPr="00333170">
        <w:rPr>
          <w:rStyle w:val="afb"/>
          <w:rFonts w:hint="cs"/>
          <w:rtl/>
        </w:rPr>
        <w:t xml:space="preserve"> דלרב הונא ההגרמה היא במקום שחיטה, ולכן הכשיר כמו בחצי קנה פגום], </w:t>
      </w:r>
      <w:r w:rsidRPr="00333170">
        <w:rPr>
          <w:rFonts w:hint="cs"/>
          <w:rtl/>
        </w:rPr>
        <w:t>ואי ס"ל לרב חסדא כרב יהודה, היה לרב חסדא לומר דריבר"</w:t>
      </w:r>
      <w:r>
        <w:rPr>
          <w:rFonts w:hint="cs"/>
          <w:rtl/>
        </w:rPr>
        <w:t xml:space="preserve">י הכשיר כיון שיש רוב בשחיטה, ורבנן פסלי כיון שלא יצאה החיות ברוב של שחיטה, והוסיפו </w:t>
      </w:r>
      <w:r w:rsidRPr="00FD3048">
        <w:rPr>
          <w:rStyle w:val="af9"/>
          <w:rFonts w:hint="cs"/>
          <w:rtl/>
        </w:rPr>
        <w:t>הרמב"ן</w:t>
      </w:r>
      <w:r>
        <w:rPr>
          <w:rFonts w:hint="cs"/>
          <w:rtl/>
        </w:rPr>
        <w:t xml:space="preserve"> </w:t>
      </w:r>
      <w:r w:rsidRPr="002924A3">
        <w:rPr>
          <w:rStyle w:val="af9"/>
          <w:rFonts w:hint="cs"/>
          <w:rtl/>
        </w:rPr>
        <w:t>והר"ן בחי'</w:t>
      </w:r>
      <w:r>
        <w:rPr>
          <w:rFonts w:hint="cs"/>
          <w:rtl/>
        </w:rPr>
        <w:t xml:space="preserve"> דמהא דאמר רב חסדא לרב הונא שלא יחזור בו, ממה שפסל בשחט והגרים ושחט, ג"כ מבואר דרב חסדא ס"ל כרב הונא.</w:t>
      </w:r>
      <w:bookmarkEnd w:id="13638"/>
      <w:r>
        <w:rPr>
          <w:rFonts w:hint="cs"/>
          <w:rtl/>
        </w:rPr>
        <w:t xml:space="preserve"> [ועי' במה שדחה </w:t>
      </w:r>
      <w:r w:rsidRPr="00B172FA">
        <w:rPr>
          <w:rStyle w:val="af9"/>
          <w:rFonts w:hint="cs"/>
          <w:rtl/>
        </w:rPr>
        <w:t>הריטב"א</w:t>
      </w:r>
      <w:r>
        <w:rPr>
          <w:rFonts w:hint="cs"/>
          <w:rtl/>
        </w:rPr>
        <w:t xml:space="preserve"> </w:t>
      </w:r>
      <w:r w:rsidRPr="00B172FA">
        <w:rPr>
          <w:rStyle w:val="af7"/>
          <w:rFonts w:eastAsia="Guttman Hodes" w:hint="cs"/>
          <w:rtl/>
        </w:rPr>
        <w:t xml:space="preserve">(עי' אות </w:t>
      </w:r>
      <w:r w:rsidRPr="00B172FA">
        <w:rPr>
          <w:rStyle w:val="af7"/>
          <w:rFonts w:eastAsia="Guttman Hodes"/>
          <w:rtl/>
        </w:rPr>
        <w:fldChar w:fldCharType="begin"/>
      </w:r>
      <w:r w:rsidRPr="00B172FA">
        <w:rPr>
          <w:rStyle w:val="af7"/>
          <w:rFonts w:eastAsia="Guttman Hodes"/>
          <w:rtl/>
        </w:rPr>
        <w:instrText xml:space="preserve"> </w:instrText>
      </w:r>
      <w:r w:rsidRPr="00B172FA">
        <w:rPr>
          <w:rStyle w:val="af7"/>
          <w:rFonts w:eastAsia="Guttman Hodes" w:hint="cs"/>
        </w:rPr>
        <w:instrText>REF</w:instrText>
      </w:r>
      <w:r w:rsidRPr="00B172FA">
        <w:rPr>
          <w:rStyle w:val="af7"/>
          <w:rFonts w:eastAsia="Guttman Hodes" w:hint="cs"/>
          <w:rtl/>
        </w:rPr>
        <w:instrText xml:space="preserve"> _</w:instrText>
      </w:r>
      <w:r w:rsidRPr="00B172FA">
        <w:rPr>
          <w:rStyle w:val="af7"/>
          <w:rFonts w:eastAsia="Guttman Hodes" w:hint="cs"/>
        </w:rPr>
        <w:instrText>Ref532896083 \r \h</w:instrText>
      </w:r>
      <w:r w:rsidRPr="00B172FA">
        <w:rPr>
          <w:rStyle w:val="af7"/>
          <w:rFonts w:eastAsia="Guttman Hodes"/>
          <w:rtl/>
        </w:rPr>
        <w:instrText xml:space="preserve"> </w:instrText>
      </w:r>
      <w:r w:rsidRPr="00B172FA">
        <w:rPr>
          <w:rStyle w:val="af7"/>
          <w:rFonts w:eastAsia="Guttman Hodes"/>
          <w:rtl/>
        </w:rPr>
      </w:r>
      <w:r w:rsidRPr="00B172FA">
        <w:rPr>
          <w:rStyle w:val="af7"/>
          <w:rFonts w:eastAsia="Guttman Hodes"/>
          <w:rtl/>
        </w:rPr>
        <w:fldChar w:fldCharType="separate"/>
      </w:r>
      <w:r w:rsidR="00345400">
        <w:rPr>
          <w:rStyle w:val="af7"/>
          <w:rFonts w:eastAsia="Guttman Hodes"/>
          <w:cs/>
        </w:rPr>
        <w:t>‎</w:t>
      </w:r>
      <w:r w:rsidR="00345400">
        <w:rPr>
          <w:rStyle w:val="af7"/>
          <w:rFonts w:eastAsia="Guttman Hodes"/>
          <w:rtl/>
        </w:rPr>
        <w:t>מה)</w:t>
      </w:r>
      <w:r w:rsidRPr="00B172FA">
        <w:rPr>
          <w:rStyle w:val="af7"/>
          <w:rFonts w:eastAsia="Guttman Hodes"/>
          <w:rtl/>
        </w:rPr>
        <w:fldChar w:fldCharType="end"/>
      </w:r>
      <w:r>
        <w:rPr>
          <w:rFonts w:hint="cs"/>
          <w:rtl/>
        </w:rPr>
        <w:t>, דאין ראיה מדברי רב חסדא].</w:t>
      </w:r>
      <w:bookmarkEnd w:id="13639"/>
    </w:p>
    <w:p w14:paraId="2F1B6266" w14:textId="77777777" w:rsidR="00D53B7D" w:rsidRPr="009648B6" w:rsidRDefault="00D53B7D" w:rsidP="006D6D32">
      <w:pPr>
        <w:pStyle w:val="a3"/>
        <w:rPr>
          <w:rtl/>
        </w:rPr>
      </w:pPr>
      <w:bookmarkStart w:id="13640" w:name="_Toc532976848"/>
      <w:bookmarkStart w:id="13641" w:name="_Toc532982522"/>
      <w:bookmarkStart w:id="13642" w:name="_Toc532982680"/>
      <w:bookmarkStart w:id="13643" w:name="_Toc19390787"/>
      <w:bookmarkStart w:id="13644" w:name="_Toc19394284"/>
      <w:r>
        <w:rPr>
          <w:rFonts w:hint="cs"/>
          <w:rtl/>
        </w:rPr>
        <w:t>דברי הרמב"ן והר"ן דבל"ב דרב אסי מבואר דקיי"ל כרב הונא אך להלכה צריך להחמיר</w:t>
      </w:r>
      <w:bookmarkEnd w:id="13640"/>
      <w:bookmarkEnd w:id="13641"/>
      <w:bookmarkEnd w:id="13642"/>
      <w:bookmarkEnd w:id="13643"/>
      <w:bookmarkEnd w:id="13644"/>
    </w:p>
    <w:p w14:paraId="489AA657" w14:textId="77777777" w:rsidR="00D53B7D" w:rsidRDefault="00D53B7D" w:rsidP="00223668">
      <w:pPr>
        <w:pStyle w:val="a0"/>
        <w:rPr>
          <w:rtl/>
        </w:rPr>
      </w:pPr>
      <w:r>
        <w:rPr>
          <w:rFonts w:hint="cs"/>
          <w:rtl/>
        </w:rPr>
        <w:t xml:space="preserve">וכתב </w:t>
      </w:r>
      <w:r w:rsidRPr="00FD3048">
        <w:rPr>
          <w:rStyle w:val="af9"/>
          <w:rFonts w:hint="cs"/>
          <w:rtl/>
        </w:rPr>
        <w:t>הרמב"ן</w:t>
      </w:r>
      <w:r>
        <w:rPr>
          <w:rFonts w:hint="cs"/>
          <w:rtl/>
        </w:rPr>
        <w:t xml:space="preserve"> </w:t>
      </w:r>
      <w:r w:rsidRPr="002924A3">
        <w:rPr>
          <w:rStyle w:val="af9"/>
          <w:rFonts w:hint="cs"/>
          <w:rtl/>
        </w:rPr>
        <w:t>והר"ן בחי'</w:t>
      </w:r>
      <w:r>
        <w:rPr>
          <w:rFonts w:hint="cs"/>
          <w:rtl/>
        </w:rPr>
        <w:t xml:space="preserve"> דכיון דרב חסדא ס"ל כרב הונא, א"כ להלכה קיי"ל כוותיה, והוסיף </w:t>
      </w:r>
      <w:r w:rsidRPr="003231FC">
        <w:rPr>
          <w:rStyle w:val="af9"/>
          <w:rFonts w:hint="cs"/>
          <w:rtl/>
        </w:rPr>
        <w:t>הרמב"ן</w:t>
      </w:r>
      <w:r>
        <w:rPr>
          <w:rFonts w:hint="cs"/>
          <w:rtl/>
        </w:rPr>
        <w:t xml:space="preserve"> דכן מבואר בל"ב דרב אסי כרב הונא, ואף דרב הונא עצמו אמר את הל"ב, מ"מ כיון שאמר כן בשם רב אסי, מבואר דכוותיה קיי"ל, אך כתבו </w:t>
      </w:r>
      <w:r w:rsidRPr="00BB44C9">
        <w:rPr>
          <w:rStyle w:val="af9"/>
          <w:rFonts w:hint="cs"/>
          <w:rtl/>
        </w:rPr>
        <w:t>הרמב"ן והר"ן</w:t>
      </w:r>
      <w:r>
        <w:rPr>
          <w:rFonts w:hint="cs"/>
          <w:rtl/>
        </w:rPr>
        <w:t xml:space="preserve"> </w:t>
      </w:r>
      <w:r w:rsidRPr="00BB44C9">
        <w:rPr>
          <w:rStyle w:val="af7"/>
          <w:rFonts w:eastAsia="Guttman Hodes" w:hint="cs"/>
          <w:rtl/>
        </w:rPr>
        <w:t xml:space="preserve">(עי' אות </w:t>
      </w:r>
      <w:r w:rsidRPr="00BB44C9">
        <w:rPr>
          <w:rStyle w:val="af7"/>
          <w:rFonts w:eastAsia="Guttman Hodes"/>
          <w:rtl/>
        </w:rPr>
        <w:fldChar w:fldCharType="begin"/>
      </w:r>
      <w:r w:rsidRPr="00BB44C9">
        <w:rPr>
          <w:rStyle w:val="af7"/>
          <w:rFonts w:eastAsia="Guttman Hodes"/>
          <w:rtl/>
        </w:rPr>
        <w:instrText xml:space="preserve"> </w:instrText>
      </w:r>
      <w:r w:rsidRPr="00BB44C9">
        <w:rPr>
          <w:rStyle w:val="af7"/>
          <w:rFonts w:eastAsia="Guttman Hodes" w:hint="cs"/>
        </w:rPr>
        <w:instrText>REF</w:instrText>
      </w:r>
      <w:r w:rsidRPr="00BB44C9">
        <w:rPr>
          <w:rStyle w:val="af7"/>
          <w:rFonts w:eastAsia="Guttman Hodes" w:hint="cs"/>
          <w:rtl/>
        </w:rPr>
        <w:instrText xml:space="preserve"> _</w:instrText>
      </w:r>
      <w:r w:rsidRPr="00BB44C9">
        <w:rPr>
          <w:rStyle w:val="af7"/>
          <w:rFonts w:eastAsia="Guttman Hodes" w:hint="cs"/>
        </w:rPr>
        <w:instrText>Ref532935136 \r \h</w:instrText>
      </w:r>
      <w:r w:rsidRPr="00BB44C9">
        <w:rPr>
          <w:rStyle w:val="af7"/>
          <w:rFonts w:eastAsia="Guttman Hodes"/>
          <w:rtl/>
        </w:rPr>
        <w:instrText xml:space="preserve"> </w:instrText>
      </w:r>
      <w:r w:rsidRPr="00BB44C9">
        <w:rPr>
          <w:rStyle w:val="af7"/>
          <w:rFonts w:eastAsia="Guttman Hodes"/>
          <w:rtl/>
        </w:rPr>
      </w:r>
      <w:r w:rsidRPr="00BB44C9">
        <w:rPr>
          <w:rStyle w:val="af7"/>
          <w:rFonts w:eastAsia="Guttman Hodes"/>
          <w:rtl/>
        </w:rPr>
        <w:fldChar w:fldCharType="separate"/>
      </w:r>
      <w:r w:rsidR="00345400">
        <w:rPr>
          <w:rStyle w:val="af7"/>
          <w:rFonts w:eastAsia="Guttman Hodes"/>
          <w:cs/>
        </w:rPr>
        <w:t>‎</w:t>
      </w:r>
      <w:r w:rsidR="00345400">
        <w:rPr>
          <w:rStyle w:val="af7"/>
          <w:rFonts w:eastAsia="Guttman Hodes"/>
          <w:rtl/>
        </w:rPr>
        <w:t>עז)</w:t>
      </w:r>
      <w:r w:rsidRPr="00BB44C9">
        <w:rPr>
          <w:rStyle w:val="af7"/>
          <w:rFonts w:eastAsia="Guttman Hodes"/>
          <w:rtl/>
        </w:rPr>
        <w:fldChar w:fldCharType="end"/>
      </w:r>
      <w:r w:rsidRPr="00BB44C9">
        <w:rPr>
          <w:rStyle w:val="af7"/>
          <w:rFonts w:eastAsia="Guttman Hodes" w:hint="cs"/>
          <w:rtl/>
        </w:rPr>
        <w:t xml:space="preserve"> </w:t>
      </w:r>
      <w:r>
        <w:rPr>
          <w:rFonts w:hint="cs"/>
          <w:rtl/>
        </w:rPr>
        <w:t>דמ"מ להלכה צריך להחמיר בין כרב הונא ובין כרב יהודה.</w:t>
      </w:r>
    </w:p>
    <w:p w14:paraId="6FEC35CA" w14:textId="77777777" w:rsidR="00D53B7D" w:rsidRDefault="00D53B7D" w:rsidP="00BF39B2">
      <w:pPr>
        <w:pStyle w:val="1"/>
        <w:rPr>
          <w:rtl/>
        </w:rPr>
      </w:pPr>
      <w:bookmarkStart w:id="13645" w:name="_Toc532982523"/>
      <w:bookmarkStart w:id="13646" w:name="_Toc532982681"/>
      <w:bookmarkStart w:id="13647" w:name="_Toc19390788"/>
      <w:bookmarkStart w:id="13648" w:name="_Toc19394285"/>
      <w:bookmarkStart w:id="13649" w:name="_Toc532976851"/>
      <w:bookmarkStart w:id="13650" w:name="_Toc532302172"/>
      <w:r>
        <w:rPr>
          <w:rFonts w:hint="cs"/>
          <w:rtl/>
        </w:rPr>
        <w:t>דעת הרמב"ם דקיי"ל כרב יהודה וכל"ב דרב הונא</w:t>
      </w:r>
      <w:bookmarkEnd w:id="13645"/>
      <w:bookmarkEnd w:id="13646"/>
      <w:bookmarkEnd w:id="13647"/>
      <w:bookmarkEnd w:id="13648"/>
    </w:p>
    <w:p w14:paraId="53D86C96" w14:textId="77777777" w:rsidR="00D53B7D" w:rsidRDefault="00D53B7D" w:rsidP="006D6D32">
      <w:pPr>
        <w:pStyle w:val="a3"/>
        <w:rPr>
          <w:rtl/>
        </w:rPr>
      </w:pPr>
      <w:bookmarkStart w:id="13651" w:name="_Toc532550687"/>
      <w:bookmarkStart w:id="13652" w:name="_Toc532550753"/>
      <w:bookmarkStart w:id="13653" w:name="_Toc532810083"/>
      <w:bookmarkStart w:id="13654" w:name="_Toc532982524"/>
      <w:bookmarkStart w:id="13655" w:name="_Toc532982682"/>
      <w:bookmarkStart w:id="13656" w:name="_Toc19390789"/>
      <w:bookmarkStart w:id="13657" w:name="_Toc19394286"/>
      <w:r>
        <w:rPr>
          <w:rFonts w:hint="cs"/>
          <w:rtl/>
        </w:rPr>
        <w:t>דברי הרמב"ם</w:t>
      </w:r>
      <w:bookmarkEnd w:id="13651"/>
      <w:bookmarkEnd w:id="13652"/>
      <w:bookmarkEnd w:id="13653"/>
      <w:r>
        <w:rPr>
          <w:rFonts w:hint="cs"/>
          <w:rtl/>
        </w:rPr>
        <w:t xml:space="preserve"> דקיי"ל כרב יהודה וכדעת ריבר"י בל"ב דרב הונא</w:t>
      </w:r>
      <w:bookmarkEnd w:id="13654"/>
      <w:bookmarkEnd w:id="13655"/>
      <w:bookmarkEnd w:id="13656"/>
      <w:bookmarkEnd w:id="13657"/>
    </w:p>
    <w:p w14:paraId="30CA870B" w14:textId="77777777" w:rsidR="00D53B7D" w:rsidRDefault="00D53B7D" w:rsidP="00223668">
      <w:pPr>
        <w:pStyle w:val="a0"/>
        <w:rPr>
          <w:rtl/>
        </w:rPr>
      </w:pPr>
      <w:r>
        <w:rPr>
          <w:rFonts w:hint="cs"/>
          <w:rtl/>
        </w:rPr>
        <w:t xml:space="preserve">כתב </w:t>
      </w:r>
      <w:r w:rsidRPr="00B8543B">
        <w:rPr>
          <w:rStyle w:val="af9"/>
          <w:rFonts w:hint="cs"/>
          <w:rtl/>
        </w:rPr>
        <w:t>הרמב"ם</w:t>
      </w:r>
      <w:r>
        <w:rPr>
          <w:rFonts w:hint="cs"/>
          <w:rtl/>
        </w:rPr>
        <w:t xml:space="preserve"> </w:t>
      </w:r>
      <w:r w:rsidRPr="00820614">
        <w:rPr>
          <w:rStyle w:val="af7"/>
          <w:rFonts w:eastAsia="Guttman Hodes" w:hint="cs"/>
          <w:rtl/>
        </w:rPr>
        <w:t>(שחיטה פ"ג הי"ג)</w:t>
      </w:r>
      <w:r>
        <w:rPr>
          <w:rFonts w:hint="cs"/>
          <w:rtl/>
        </w:rPr>
        <w:t xml:space="preserve"> דבהגרים שליש בתחילת השחיטה ושחט ב' שלישים שחיטתו כשרה, וכן בשחט והגרים ושחט שחיטתו כשרה, אבל בהגרים ושחט והגרים, שחיטתו פסולה. </w:t>
      </w:r>
      <w:r>
        <w:rPr>
          <w:rStyle w:val="afb"/>
          <w:rFonts w:hint="cs"/>
          <w:rtl/>
        </w:rPr>
        <w:t>[</w:t>
      </w:r>
      <w:r w:rsidRPr="008F7984">
        <w:rPr>
          <w:rStyle w:val="afb"/>
          <w:rFonts w:hint="cs"/>
          <w:rtl/>
        </w:rPr>
        <w:t xml:space="preserve">בביאור דברי </w:t>
      </w:r>
      <w:r w:rsidRPr="00BB44C9">
        <w:rPr>
          <w:rStyle w:val="affa"/>
          <w:rFonts w:hint="cs"/>
          <w:rtl/>
        </w:rPr>
        <w:t>הרמב"ם</w:t>
      </w:r>
      <w:r w:rsidRPr="008F7984">
        <w:rPr>
          <w:rStyle w:val="afb"/>
          <w:rFonts w:hint="cs"/>
          <w:rtl/>
        </w:rPr>
        <w:t xml:space="preserve"> עי' במש"נ בע"ה בסימן יד'</w:t>
      </w:r>
      <w:r>
        <w:rPr>
          <w:rStyle w:val="afb"/>
          <w:rFonts w:hint="cs"/>
          <w:rtl/>
        </w:rPr>
        <w:t>]</w:t>
      </w:r>
      <w:r w:rsidRPr="008F7984">
        <w:rPr>
          <w:rStyle w:val="afb"/>
          <w:rFonts w:hint="cs"/>
          <w:rtl/>
        </w:rPr>
        <w:t>.</w:t>
      </w:r>
    </w:p>
    <w:p w14:paraId="64AB6E96" w14:textId="77777777" w:rsidR="00D53B7D" w:rsidRPr="00C67EC0" w:rsidRDefault="00D53B7D" w:rsidP="006D6D32">
      <w:pPr>
        <w:pStyle w:val="a3"/>
        <w:rPr>
          <w:rtl/>
        </w:rPr>
      </w:pPr>
      <w:bookmarkStart w:id="13658" w:name="_Toc532976854"/>
      <w:bookmarkStart w:id="13659" w:name="_Toc532982525"/>
      <w:bookmarkStart w:id="13660" w:name="_Toc532982683"/>
      <w:bookmarkStart w:id="13661" w:name="_Toc19390790"/>
      <w:bookmarkStart w:id="13662" w:name="_Toc19394287"/>
      <w:r>
        <w:rPr>
          <w:rFonts w:hint="cs"/>
          <w:rtl/>
        </w:rPr>
        <w:t>דברי הראבי"ה בשם ר"ח דקיי"ל כרב יהודה דהכשיר בהגרים ושחט והגרים</w:t>
      </w:r>
      <w:bookmarkEnd w:id="13658"/>
      <w:bookmarkEnd w:id="13659"/>
      <w:bookmarkEnd w:id="13660"/>
      <w:bookmarkEnd w:id="13661"/>
      <w:bookmarkEnd w:id="13662"/>
    </w:p>
    <w:p w14:paraId="1FBE562C" w14:textId="77777777" w:rsidR="00D53B7D" w:rsidRDefault="00D53B7D" w:rsidP="00223668">
      <w:pPr>
        <w:pStyle w:val="a0"/>
      </w:pPr>
      <w:r w:rsidRPr="00B7115B">
        <w:rPr>
          <w:rFonts w:hint="cs"/>
          <w:rtl/>
        </w:rPr>
        <w:t>וכ"כ</w:t>
      </w:r>
      <w:r>
        <w:rPr>
          <w:rStyle w:val="af9"/>
          <w:rFonts w:hint="cs"/>
          <w:rtl/>
        </w:rPr>
        <w:t xml:space="preserve"> </w:t>
      </w:r>
      <w:r w:rsidRPr="00C168A8">
        <w:rPr>
          <w:rStyle w:val="af9"/>
          <w:rFonts w:hint="cs"/>
          <w:rtl/>
        </w:rPr>
        <w:t>הראבי"ה</w:t>
      </w:r>
      <w:r>
        <w:rPr>
          <w:rFonts w:hint="cs"/>
          <w:rtl/>
        </w:rPr>
        <w:t xml:space="preserve"> </w:t>
      </w:r>
      <w:r w:rsidRPr="00C168A8">
        <w:rPr>
          <w:rStyle w:val="af7"/>
          <w:rFonts w:eastAsia="Guttman Hodes" w:hint="cs"/>
          <w:rtl/>
        </w:rPr>
        <w:t>(סי' אלף פ"ו ד"ה פסק רש"י</w:t>
      </w:r>
      <w:r>
        <w:rPr>
          <w:rStyle w:val="af1"/>
          <w:rtl/>
        </w:rPr>
        <w:footnoteReference w:id="89"/>
      </w:r>
      <w:r w:rsidRPr="00C168A8">
        <w:rPr>
          <w:rStyle w:val="af7"/>
          <w:rFonts w:eastAsia="Guttman Hodes" w:hint="cs"/>
          <w:rtl/>
        </w:rPr>
        <w:t>)</w:t>
      </w:r>
      <w:r>
        <w:rPr>
          <w:rFonts w:hint="cs"/>
          <w:rtl/>
        </w:rPr>
        <w:t xml:space="preserve"> כתב בשם </w:t>
      </w:r>
      <w:r w:rsidRPr="00C168A8">
        <w:rPr>
          <w:rStyle w:val="af9"/>
          <w:rFonts w:hint="cs"/>
          <w:rtl/>
        </w:rPr>
        <w:t>ר"ח</w:t>
      </w:r>
      <w:r>
        <w:rPr>
          <w:rFonts w:hint="cs"/>
          <w:rtl/>
        </w:rPr>
        <w:t xml:space="preserve"> ובשם </w:t>
      </w:r>
      <w:r w:rsidRPr="00C168A8">
        <w:rPr>
          <w:rStyle w:val="af9"/>
          <w:rFonts w:hint="cs"/>
          <w:rtl/>
        </w:rPr>
        <w:t>הראב"ן</w:t>
      </w:r>
      <w:r>
        <w:rPr>
          <w:rFonts w:hint="cs"/>
          <w:rtl/>
        </w:rPr>
        <w:t xml:space="preserve"> </w:t>
      </w:r>
      <w:r w:rsidRPr="00C168A8">
        <w:rPr>
          <w:rStyle w:val="af7"/>
          <w:rFonts w:eastAsia="Guttman Hodes" w:hint="cs"/>
          <w:rtl/>
        </w:rPr>
        <w:t>(סי' רי"ג)</w:t>
      </w:r>
      <w:r>
        <w:rPr>
          <w:rFonts w:hint="cs"/>
          <w:rtl/>
        </w:rPr>
        <w:t xml:space="preserve"> דקיי"ל כרב יהודה אמר רב ורב נחמן, שהכשירו בשחט והגרים ושחט.</w:t>
      </w:r>
    </w:p>
    <w:p w14:paraId="63FC9C1E" w14:textId="77777777" w:rsidR="00D53B7D" w:rsidRPr="00C21953" w:rsidRDefault="00D53B7D" w:rsidP="006D6D32">
      <w:pPr>
        <w:pStyle w:val="a3"/>
        <w:rPr>
          <w:rtl/>
        </w:rPr>
      </w:pPr>
      <w:bookmarkStart w:id="13663" w:name="_Toc532982526"/>
      <w:bookmarkStart w:id="13664" w:name="_Toc532982684"/>
      <w:bookmarkStart w:id="13665" w:name="_Toc19390791"/>
      <w:bookmarkStart w:id="13666" w:name="_Toc19394288"/>
      <w:r>
        <w:rPr>
          <w:rFonts w:hint="cs"/>
          <w:rtl/>
        </w:rPr>
        <w:t>דברי ההג"מ דפסק הרמב"ם כרב יהודה כיון דרב הונא חזר בו</w:t>
      </w:r>
      <w:bookmarkEnd w:id="13663"/>
      <w:bookmarkEnd w:id="13664"/>
      <w:bookmarkEnd w:id="13665"/>
      <w:bookmarkEnd w:id="13666"/>
    </w:p>
    <w:p w14:paraId="6CFE0556" w14:textId="77777777" w:rsidR="00D53B7D" w:rsidRDefault="00D53B7D" w:rsidP="00223668">
      <w:pPr>
        <w:pStyle w:val="a0"/>
        <w:rPr>
          <w:rtl/>
        </w:rPr>
      </w:pPr>
      <w:r>
        <w:rPr>
          <w:rFonts w:hint="cs"/>
          <w:rtl/>
        </w:rPr>
        <w:t xml:space="preserve">וכתבו </w:t>
      </w:r>
      <w:r w:rsidRPr="00E552F3">
        <w:rPr>
          <w:rStyle w:val="af9"/>
          <w:rFonts w:hint="cs"/>
          <w:rtl/>
        </w:rPr>
        <w:t>ההג"מ</w:t>
      </w:r>
      <w:r>
        <w:rPr>
          <w:rFonts w:hint="cs"/>
          <w:rtl/>
        </w:rPr>
        <w:t xml:space="preserve"> </w:t>
      </w:r>
      <w:r w:rsidRPr="00E552F3">
        <w:rPr>
          <w:rStyle w:val="af7"/>
          <w:rFonts w:eastAsia="Guttman Hodes" w:hint="cs"/>
          <w:rtl/>
        </w:rPr>
        <w:t>(שחיטה פ"ג הי"ג)</w:t>
      </w:r>
      <w:r>
        <w:rPr>
          <w:rFonts w:hint="cs"/>
          <w:rtl/>
        </w:rPr>
        <w:t xml:space="preserve"> </w:t>
      </w:r>
      <w:r>
        <w:rPr>
          <w:rStyle w:val="af9"/>
          <w:rFonts w:hint="cs"/>
          <w:rtl/>
        </w:rPr>
        <w:t xml:space="preserve">והכס"מ </w:t>
      </w:r>
      <w:r w:rsidRPr="00E552F3">
        <w:rPr>
          <w:rStyle w:val="af7"/>
          <w:rFonts w:eastAsia="Guttman Hodes" w:hint="cs"/>
          <w:rtl/>
        </w:rPr>
        <w:t>(שחיטה פ"ג הי"ג)</w:t>
      </w:r>
      <w:r>
        <w:rPr>
          <w:rFonts w:hint="cs"/>
          <w:rtl/>
        </w:rPr>
        <w:t xml:space="preserve"> </w:t>
      </w:r>
      <w:r w:rsidRPr="00E552F3">
        <w:rPr>
          <w:rStyle w:val="af9"/>
          <w:rFonts w:hint="cs"/>
          <w:rtl/>
        </w:rPr>
        <w:t>דהרמב"ם</w:t>
      </w:r>
      <w:r>
        <w:rPr>
          <w:rFonts w:hint="cs"/>
          <w:rtl/>
        </w:rPr>
        <w:t xml:space="preserve"> פסק כרב יהודה, כדמשמע מהא דרב הונא חזר בו, כיון שהכשיר רב יהודה כן בשם רב, וביאר </w:t>
      </w:r>
      <w:r w:rsidRPr="00465321">
        <w:rPr>
          <w:rStyle w:val="af9"/>
          <w:rFonts w:hint="cs"/>
          <w:rtl/>
        </w:rPr>
        <w:t>הכס"מ</w:t>
      </w:r>
      <w:r>
        <w:rPr>
          <w:rFonts w:hint="cs"/>
          <w:rtl/>
        </w:rPr>
        <w:t xml:space="preserve"> דכיון דקיי"ל כרב יהודה שהכשיר בשחט והגרים ושחט, א"כ אף בהגרים ושחט והגרים קיי"ל כרב יהודה דפסל, כדמוכח בדברי רב חסדא דהא בהא תליא.</w:t>
      </w:r>
    </w:p>
    <w:p w14:paraId="681F974C" w14:textId="77777777" w:rsidR="00D53B7D" w:rsidRDefault="00D53B7D" w:rsidP="006D6D32">
      <w:pPr>
        <w:pStyle w:val="a3"/>
        <w:rPr>
          <w:rtl/>
        </w:rPr>
      </w:pPr>
      <w:bookmarkStart w:id="13667" w:name="_Toc532982527"/>
      <w:bookmarkStart w:id="13668" w:name="_Toc532982685"/>
      <w:bookmarkStart w:id="13669" w:name="_Toc19390792"/>
      <w:bookmarkStart w:id="13670" w:name="_Toc19394289"/>
      <w:r>
        <w:rPr>
          <w:rFonts w:hint="cs"/>
          <w:rtl/>
        </w:rPr>
        <w:t>דברי הר"ן דהרמב"ם ס"ל דמדברי ריו"ח מוכח דקיי"ל כרב יהודה</w:t>
      </w:r>
      <w:bookmarkEnd w:id="13667"/>
      <w:bookmarkEnd w:id="13668"/>
      <w:bookmarkEnd w:id="13669"/>
      <w:bookmarkEnd w:id="13670"/>
    </w:p>
    <w:p w14:paraId="1EFC1D8C" w14:textId="77777777" w:rsidR="00D53B7D" w:rsidRPr="008F7984" w:rsidRDefault="00D53B7D" w:rsidP="00223668">
      <w:pPr>
        <w:pStyle w:val="a0"/>
        <w:rPr>
          <w:rStyle w:val="afb"/>
          <w:rtl/>
        </w:rPr>
      </w:pPr>
      <w:r w:rsidRPr="00675E36">
        <w:rPr>
          <w:rFonts w:hint="cs"/>
          <w:rtl/>
        </w:rPr>
        <w:t>וכתב</w:t>
      </w:r>
      <w:r w:rsidRPr="002924A3">
        <w:rPr>
          <w:rStyle w:val="af9"/>
          <w:rFonts w:hint="cs"/>
          <w:rtl/>
        </w:rPr>
        <w:t xml:space="preserve"> הר"ן בחי'</w:t>
      </w:r>
      <w:r>
        <w:rPr>
          <w:rFonts w:hint="cs"/>
          <w:rtl/>
        </w:rPr>
        <w:t xml:space="preserve"> </w:t>
      </w:r>
      <w:r w:rsidRPr="00675E36">
        <w:rPr>
          <w:rStyle w:val="af7"/>
          <w:rFonts w:eastAsia="Guttman Hodes" w:hint="cs"/>
          <w:rtl/>
        </w:rPr>
        <w:t>(ד"ה ולענין)</w:t>
      </w:r>
      <w:r>
        <w:rPr>
          <w:rFonts w:hint="cs"/>
          <w:rtl/>
        </w:rPr>
        <w:t xml:space="preserve"> </w:t>
      </w:r>
      <w:r>
        <w:rPr>
          <w:rStyle w:val="af9"/>
          <w:rFonts w:hint="cs"/>
          <w:rtl/>
        </w:rPr>
        <w:t>ו</w:t>
      </w:r>
      <w:r w:rsidRPr="00133EB8">
        <w:rPr>
          <w:rStyle w:val="af9"/>
          <w:rFonts w:hint="cs"/>
          <w:rtl/>
        </w:rPr>
        <w:t>על הרי"ף</w:t>
      </w:r>
      <w:r>
        <w:rPr>
          <w:rFonts w:hint="cs"/>
          <w:rtl/>
        </w:rPr>
        <w:t xml:space="preserve"> </w:t>
      </w:r>
      <w:r w:rsidRPr="00133EB8">
        <w:rPr>
          <w:rStyle w:val="af7"/>
          <w:rFonts w:eastAsia="Guttman Hodes" w:hint="cs"/>
          <w:rtl/>
        </w:rPr>
        <w:t xml:space="preserve">(ה: מדפי הרי"ף ד"ה </w:t>
      </w:r>
      <w:r w:rsidRPr="00675E36">
        <w:rPr>
          <w:rStyle w:val="af7"/>
          <w:rFonts w:eastAsia="Guttman Hodes" w:hint="cs"/>
          <w:rtl/>
        </w:rPr>
        <w:t>ולענין</w:t>
      </w:r>
      <w:r w:rsidRPr="00133EB8">
        <w:rPr>
          <w:rStyle w:val="af7"/>
          <w:rFonts w:eastAsia="Guttman Hodes" w:hint="cs"/>
          <w:rtl/>
        </w:rPr>
        <w:t>)</w:t>
      </w:r>
      <w:r>
        <w:rPr>
          <w:rFonts w:hint="cs"/>
          <w:rtl/>
        </w:rPr>
        <w:t xml:space="preserve"> דמשמע דס"ל </w:t>
      </w:r>
      <w:r w:rsidRPr="002924A3">
        <w:rPr>
          <w:rStyle w:val="af9"/>
          <w:rFonts w:hint="cs"/>
          <w:rtl/>
        </w:rPr>
        <w:t>להרמב"ם</w:t>
      </w:r>
      <w:r>
        <w:rPr>
          <w:rFonts w:hint="cs"/>
          <w:rtl/>
        </w:rPr>
        <w:t xml:space="preserve"> דכיון שרב אמי אמר כדברי רב יהודה לפני ר"א, ור"א אמרה לפני ריו"ח, וחלקו עליו רק לענין נקב, א"כ משמע דבשאר הדברים ס"ל לריו"ח כרב יהודה. </w:t>
      </w:r>
    </w:p>
    <w:p w14:paraId="49063CA8" w14:textId="77777777" w:rsidR="00D53B7D" w:rsidRDefault="00D53B7D" w:rsidP="006D6D32">
      <w:pPr>
        <w:pStyle w:val="a3"/>
        <w:rPr>
          <w:rtl/>
        </w:rPr>
      </w:pPr>
      <w:bookmarkStart w:id="13671" w:name="_Toc532976850"/>
      <w:bookmarkStart w:id="13672" w:name="_Toc532982528"/>
      <w:bookmarkStart w:id="13673" w:name="_Toc532982686"/>
      <w:bookmarkStart w:id="13674" w:name="_Toc19390793"/>
      <w:bookmarkStart w:id="13675" w:name="_Toc19394290"/>
      <w:r>
        <w:rPr>
          <w:rFonts w:hint="cs"/>
          <w:rtl/>
        </w:rPr>
        <w:t>דחיית הרמב"ן והר"ן דא"א להביא מדברי ריו"ח לדעת רב יהודה</w:t>
      </w:r>
      <w:bookmarkEnd w:id="13671"/>
      <w:bookmarkEnd w:id="13672"/>
      <w:bookmarkEnd w:id="13673"/>
      <w:bookmarkEnd w:id="13674"/>
      <w:bookmarkEnd w:id="13675"/>
    </w:p>
    <w:p w14:paraId="0F51C6BC" w14:textId="77777777" w:rsidR="00D53B7D" w:rsidRDefault="00D53B7D" w:rsidP="00223668">
      <w:pPr>
        <w:pStyle w:val="a0"/>
        <w:rPr>
          <w:rtl/>
        </w:rPr>
      </w:pPr>
      <w:r>
        <w:rPr>
          <w:rFonts w:hint="cs"/>
          <w:rtl/>
        </w:rPr>
        <w:t xml:space="preserve">ודחו </w:t>
      </w:r>
      <w:r w:rsidRPr="00FD3048">
        <w:rPr>
          <w:rStyle w:val="af9"/>
          <w:rFonts w:hint="cs"/>
          <w:rtl/>
        </w:rPr>
        <w:t>הרמב"ן</w:t>
      </w:r>
      <w:r>
        <w:rPr>
          <w:rFonts w:hint="cs"/>
          <w:rtl/>
        </w:rPr>
        <w:t xml:space="preserve"> </w:t>
      </w:r>
      <w:r w:rsidRPr="00675E36">
        <w:rPr>
          <w:rStyle w:val="af7"/>
          <w:rFonts w:eastAsia="Guttman Hodes" w:hint="cs"/>
          <w:rtl/>
        </w:rPr>
        <w:t>(ד"ה ולענין)</w:t>
      </w:r>
      <w:r>
        <w:rPr>
          <w:rFonts w:hint="cs"/>
          <w:rtl/>
        </w:rPr>
        <w:t xml:space="preserve"> </w:t>
      </w:r>
      <w:r w:rsidRPr="002924A3">
        <w:rPr>
          <w:rStyle w:val="af9"/>
          <w:rFonts w:hint="cs"/>
          <w:rtl/>
        </w:rPr>
        <w:t>והר"ן</w:t>
      </w:r>
      <w:r>
        <w:rPr>
          <w:rStyle w:val="af9"/>
          <w:rFonts w:hint="cs"/>
          <w:rtl/>
        </w:rPr>
        <w:t xml:space="preserve"> בחי'</w:t>
      </w:r>
      <w:r>
        <w:rPr>
          <w:rFonts w:hint="cs"/>
          <w:rtl/>
        </w:rPr>
        <w:t xml:space="preserve"> דאין להוכיח מדברי ריו"ח דבשאר הדברים ס"ל כרב יהודה, דמה שדחה את דברי ר"א בנקב, הוא כיון דבדין נקב מצא ריו"ח מה להקשות עליו, ובשאר הדברים אף שלא ס"ל כוותיה מ"מ לא מצא מה לפרש בזה, וכתב </w:t>
      </w:r>
      <w:r w:rsidRPr="00184F44">
        <w:rPr>
          <w:rStyle w:val="af9"/>
          <w:rFonts w:hint="cs"/>
          <w:rtl/>
        </w:rPr>
        <w:t>הרמב"ן</w:t>
      </w:r>
      <w:r>
        <w:rPr>
          <w:rFonts w:hint="cs"/>
          <w:rtl/>
        </w:rPr>
        <w:t xml:space="preserve"> דהלישנא קמא נדחית אף לדעת רב יהודה.</w:t>
      </w:r>
    </w:p>
    <w:p w14:paraId="4F41DBA2" w14:textId="77777777" w:rsidR="00D53B7D" w:rsidRDefault="00D53B7D" w:rsidP="00BF39B2">
      <w:pPr>
        <w:pStyle w:val="1"/>
        <w:rPr>
          <w:rtl/>
        </w:rPr>
      </w:pPr>
      <w:bookmarkStart w:id="13676" w:name="_Toc532982529"/>
      <w:bookmarkStart w:id="13677" w:name="_Toc532982687"/>
      <w:bookmarkStart w:id="13678" w:name="_Toc19390794"/>
      <w:bookmarkStart w:id="13679" w:name="_Toc19394291"/>
      <w:r w:rsidRPr="005007AB">
        <w:rPr>
          <w:rFonts w:hint="cs"/>
          <w:rtl/>
        </w:rPr>
        <w:t xml:space="preserve">דעת הרא"ה דקיי"ל </w:t>
      </w:r>
      <w:r>
        <w:rPr>
          <w:rFonts w:hint="cs"/>
          <w:rtl/>
        </w:rPr>
        <w:t>כרב הונא ו</w:t>
      </w:r>
      <w:r w:rsidRPr="005007AB">
        <w:rPr>
          <w:rFonts w:hint="cs"/>
          <w:rtl/>
        </w:rPr>
        <w:t>כל"ב דרב הונא</w:t>
      </w:r>
      <w:r>
        <w:rPr>
          <w:rFonts w:hint="cs"/>
          <w:rtl/>
        </w:rPr>
        <w:t xml:space="preserve"> אמר רב אסי</w:t>
      </w:r>
      <w:bookmarkEnd w:id="13649"/>
      <w:bookmarkEnd w:id="13676"/>
      <w:bookmarkEnd w:id="13677"/>
      <w:bookmarkEnd w:id="13678"/>
      <w:bookmarkEnd w:id="13679"/>
    </w:p>
    <w:p w14:paraId="2C93BEAE" w14:textId="77777777" w:rsidR="00D53B7D" w:rsidRDefault="00D53B7D" w:rsidP="006D6D32">
      <w:pPr>
        <w:pStyle w:val="a3"/>
        <w:rPr>
          <w:rtl/>
        </w:rPr>
      </w:pPr>
      <w:bookmarkStart w:id="13680" w:name="_Toc532982530"/>
      <w:bookmarkStart w:id="13681" w:name="_Toc532982688"/>
      <w:bookmarkStart w:id="13682" w:name="_Toc19390795"/>
      <w:bookmarkStart w:id="13683" w:name="_Toc19394292"/>
      <w:r>
        <w:rPr>
          <w:rFonts w:hint="cs"/>
          <w:rtl/>
        </w:rPr>
        <w:t>דברי הרא"ה דקיי"ל כרב הונא דהכשר שחיטה תלוי ביציאת החיות</w:t>
      </w:r>
      <w:bookmarkEnd w:id="13680"/>
      <w:bookmarkEnd w:id="13681"/>
      <w:bookmarkEnd w:id="13682"/>
      <w:bookmarkEnd w:id="13683"/>
    </w:p>
    <w:p w14:paraId="3B06D11C" w14:textId="77777777" w:rsidR="00D53B7D" w:rsidRPr="00F42D6B" w:rsidRDefault="00D53B7D" w:rsidP="00223668">
      <w:pPr>
        <w:pStyle w:val="a0"/>
        <w:rPr>
          <w:rtl/>
        </w:rPr>
      </w:pPr>
      <w:r>
        <w:rPr>
          <w:rFonts w:hint="cs"/>
          <w:rtl/>
        </w:rPr>
        <w:t xml:space="preserve">כתב </w:t>
      </w:r>
      <w:r w:rsidRPr="00F42D6B">
        <w:rPr>
          <w:rStyle w:val="af9"/>
          <w:rFonts w:hint="cs"/>
          <w:rtl/>
        </w:rPr>
        <w:t>הרא"ה בחי'</w:t>
      </w:r>
      <w:r>
        <w:rPr>
          <w:rFonts w:hint="cs"/>
          <w:rtl/>
        </w:rPr>
        <w:t xml:space="preserve"> </w:t>
      </w:r>
      <w:r w:rsidRPr="00F42D6B">
        <w:rPr>
          <w:rStyle w:val="af7"/>
          <w:rFonts w:eastAsia="Guttman Hodes" w:hint="cs"/>
          <w:rtl/>
        </w:rPr>
        <w:t>(ד"ה ונקטינן)</w:t>
      </w:r>
      <w:r>
        <w:rPr>
          <w:rFonts w:hint="cs"/>
          <w:rtl/>
        </w:rPr>
        <w:t xml:space="preserve"> דבהגרים ושחט והגרים, וכן בהגרים שליש ושחט שליש והניח מלשחוט, קיי"ל כרב הונא דמכשיר, כיון שיצאה החיות בשחיטה, ובשחט והגרים ושחט פסול, כיון שלא יצאה החיות בשחיטה.</w:t>
      </w:r>
    </w:p>
    <w:p w14:paraId="0F90E5FB" w14:textId="77777777" w:rsidR="00D53B7D" w:rsidRPr="005007AB" w:rsidRDefault="00D53B7D" w:rsidP="006D6D32">
      <w:pPr>
        <w:pStyle w:val="a3"/>
      </w:pPr>
      <w:bookmarkStart w:id="13684" w:name="_Toc532976852"/>
      <w:bookmarkStart w:id="13685" w:name="_Toc532982531"/>
      <w:bookmarkStart w:id="13686" w:name="_Toc532982689"/>
      <w:bookmarkStart w:id="13687" w:name="_Toc19390796"/>
      <w:bookmarkStart w:id="13688" w:name="_Toc19394293"/>
      <w:r w:rsidRPr="005007AB">
        <w:rPr>
          <w:rFonts w:hint="cs"/>
          <w:rtl/>
        </w:rPr>
        <w:t xml:space="preserve">דברי הרא"ה </w:t>
      </w:r>
      <w:r>
        <w:rPr>
          <w:rFonts w:hint="cs"/>
          <w:rtl/>
        </w:rPr>
        <w:t xml:space="preserve">דקיי"ל כרב הונא וכל"ב </w:t>
      </w:r>
      <w:r w:rsidRPr="005007AB">
        <w:rPr>
          <w:rFonts w:hint="cs"/>
          <w:rtl/>
        </w:rPr>
        <w:t>דרב הונא ד</w:t>
      </w:r>
      <w:r>
        <w:rPr>
          <w:rFonts w:hint="cs"/>
          <w:rtl/>
        </w:rPr>
        <w:t>כל ש</w:t>
      </w:r>
      <w:r w:rsidRPr="005007AB">
        <w:rPr>
          <w:rFonts w:hint="cs"/>
          <w:rtl/>
        </w:rPr>
        <w:t>יצאה החיות בשחיטה כשר</w:t>
      </w:r>
      <w:bookmarkEnd w:id="13684"/>
      <w:bookmarkEnd w:id="13685"/>
      <w:bookmarkEnd w:id="13686"/>
      <w:bookmarkEnd w:id="13687"/>
      <w:bookmarkEnd w:id="13688"/>
    </w:p>
    <w:p w14:paraId="44D39A9C" w14:textId="77777777" w:rsidR="00D53B7D" w:rsidRDefault="00D53B7D" w:rsidP="00223668">
      <w:pPr>
        <w:pStyle w:val="a0"/>
        <w:rPr>
          <w:rtl/>
        </w:rPr>
      </w:pPr>
      <w:bookmarkStart w:id="13689" w:name="_Toc532453967"/>
      <w:bookmarkStart w:id="13690" w:name="_Toc532454001"/>
      <w:bookmarkStart w:id="13691" w:name="_Toc532550660"/>
      <w:bookmarkStart w:id="13692" w:name="_Toc532550726"/>
      <w:bookmarkStart w:id="13693" w:name="_Toc532810243"/>
      <w:bookmarkStart w:id="13694" w:name="_Toc532844842"/>
      <w:bookmarkStart w:id="13695" w:name="_Toc532849451"/>
      <w:bookmarkStart w:id="13696" w:name="_Toc532897089"/>
      <w:bookmarkStart w:id="13697" w:name="_Toc532901864"/>
      <w:r>
        <w:rPr>
          <w:rStyle w:val="af9"/>
          <w:rFonts w:hint="cs"/>
          <w:rtl/>
        </w:rPr>
        <w:t>ו</w:t>
      </w:r>
      <w:r w:rsidRPr="005007AB">
        <w:rPr>
          <w:rStyle w:val="af9"/>
          <w:rFonts w:hint="cs"/>
          <w:rtl/>
        </w:rPr>
        <w:t>הרא"ה בבד"ה</w:t>
      </w:r>
      <w:r w:rsidRPr="005007AB">
        <w:rPr>
          <w:rFonts w:hint="cs"/>
          <w:rtl/>
        </w:rPr>
        <w:t xml:space="preserve"> </w:t>
      </w:r>
      <w:r w:rsidRPr="005007AB">
        <w:rPr>
          <w:rStyle w:val="af7"/>
          <w:rFonts w:eastAsia="Guttman Hodes" w:hint="cs"/>
          <w:rtl/>
        </w:rPr>
        <w:t>(ב"ב ש"א דף כד. מדה"ס)</w:t>
      </w:r>
      <w:r w:rsidRPr="005007AB">
        <w:rPr>
          <w:rFonts w:hint="cs"/>
          <w:rtl/>
        </w:rPr>
        <w:t xml:space="preserve"> כתב דבהגרים שליש ושחט ב' שלישים, כשר בין לרב הונא</w:t>
      </w:r>
      <w:r>
        <w:rPr>
          <w:rFonts w:hint="cs"/>
          <w:rtl/>
        </w:rPr>
        <w:t xml:space="preserve"> ובין לרב יהודה, כיון שגם רוב הסימן שחוט וגם יצאה החיות בשחיטה</w:t>
      </w:r>
      <w:r w:rsidRPr="00356628">
        <w:rPr>
          <w:rFonts w:hint="cs"/>
          <w:rtl/>
        </w:rPr>
        <w:t xml:space="preserve"> </w:t>
      </w:r>
      <w:r w:rsidRPr="00A07B7C">
        <w:rPr>
          <w:rStyle w:val="afb"/>
          <w:rFonts w:hint="cs"/>
          <w:rtl/>
        </w:rPr>
        <w:t>[</w:t>
      </w:r>
      <w:r w:rsidRPr="00A07B7C">
        <w:rPr>
          <w:rStyle w:val="affa"/>
          <w:rFonts w:hint="cs"/>
          <w:rtl/>
        </w:rPr>
        <w:t>כרמב"ן</w:t>
      </w:r>
      <w:r w:rsidRPr="00A07B7C">
        <w:rPr>
          <w:rStyle w:val="afb"/>
          <w:rFonts w:hint="cs"/>
          <w:rtl/>
        </w:rPr>
        <w:t xml:space="preserve"> </w:t>
      </w:r>
      <w:r w:rsidRPr="00A07B7C">
        <w:rPr>
          <w:rStyle w:val="aff6"/>
          <w:rFonts w:hint="cs"/>
          <w:rtl/>
        </w:rPr>
        <w:t xml:space="preserve">(עי' אות </w:t>
      </w:r>
      <w:r w:rsidRPr="00A07B7C">
        <w:rPr>
          <w:rStyle w:val="aff6"/>
          <w:rtl/>
        </w:rPr>
        <w:fldChar w:fldCharType="begin"/>
      </w:r>
      <w:r w:rsidRPr="00A07B7C">
        <w:rPr>
          <w:rStyle w:val="aff6"/>
          <w:rtl/>
        </w:rPr>
        <w:instrText xml:space="preserve"> </w:instrText>
      </w:r>
      <w:r w:rsidRPr="00A07B7C">
        <w:rPr>
          <w:rStyle w:val="aff6"/>
          <w:rFonts w:hint="cs"/>
        </w:rPr>
        <w:instrText>REF</w:instrText>
      </w:r>
      <w:r w:rsidRPr="00A07B7C">
        <w:rPr>
          <w:rStyle w:val="aff6"/>
          <w:rFonts w:hint="cs"/>
          <w:rtl/>
        </w:rPr>
        <w:instrText xml:space="preserve"> _</w:instrText>
      </w:r>
      <w:r w:rsidRPr="00A07B7C">
        <w:rPr>
          <w:rStyle w:val="aff6"/>
          <w:rFonts w:hint="cs"/>
        </w:rPr>
        <w:instrText>Ref532933347 \r \h</w:instrText>
      </w:r>
      <w:r w:rsidRPr="00A07B7C">
        <w:rPr>
          <w:rStyle w:val="aff6"/>
          <w:rtl/>
        </w:rPr>
        <w:instrText xml:space="preserve"> </w:instrText>
      </w:r>
      <w:r w:rsidRPr="00A07B7C">
        <w:rPr>
          <w:rStyle w:val="aff6"/>
          <w:rtl/>
        </w:rPr>
      </w:r>
      <w:r w:rsidRPr="00A07B7C">
        <w:rPr>
          <w:rStyle w:val="aff6"/>
          <w:rtl/>
        </w:rPr>
        <w:fldChar w:fldCharType="separate"/>
      </w:r>
      <w:r w:rsidR="00345400">
        <w:rPr>
          <w:rStyle w:val="aff6"/>
          <w:cs/>
        </w:rPr>
        <w:t>‎</w:t>
      </w:r>
      <w:r w:rsidR="00345400">
        <w:rPr>
          <w:rStyle w:val="aff6"/>
          <w:rtl/>
        </w:rPr>
        <w:t>עד)</w:t>
      </w:r>
      <w:r w:rsidRPr="00A07B7C">
        <w:rPr>
          <w:rStyle w:val="aff6"/>
          <w:rtl/>
        </w:rPr>
        <w:fldChar w:fldCharType="end"/>
      </w:r>
      <w:r w:rsidRPr="00A07B7C">
        <w:rPr>
          <w:rStyle w:val="afb"/>
          <w:rFonts w:hint="cs"/>
          <w:rtl/>
        </w:rPr>
        <w:t>]</w:t>
      </w:r>
      <w:r>
        <w:rPr>
          <w:rFonts w:hint="cs"/>
          <w:rtl/>
        </w:rPr>
        <w:t xml:space="preserve">, והוסיף </w:t>
      </w:r>
      <w:r w:rsidRPr="00A07B7C">
        <w:rPr>
          <w:rStyle w:val="af9"/>
          <w:rFonts w:hint="cs"/>
          <w:rtl/>
        </w:rPr>
        <w:t xml:space="preserve">הרא"ה בבד"ה </w:t>
      </w:r>
      <w:r>
        <w:rPr>
          <w:rFonts w:hint="cs"/>
          <w:rtl/>
        </w:rPr>
        <w:t xml:space="preserve">דקיי"ל כרב הונא, וכל"ב דרב הונא, דכל שיצאה החיות בשחיטה כשר, ולכן בשחט והגרים ושחט פסול, ובהגרים ושחט והגרים כשר, וכתב </w:t>
      </w:r>
      <w:r w:rsidRPr="002F3FD7">
        <w:rPr>
          <w:rStyle w:val="af9"/>
          <w:rFonts w:hint="cs"/>
          <w:rtl/>
        </w:rPr>
        <w:t>הרא"ה בבד"ה</w:t>
      </w:r>
      <w:r>
        <w:rPr>
          <w:rFonts w:hint="cs"/>
          <w:rtl/>
        </w:rPr>
        <w:t xml:space="preserve"> דכן מבואר בדברי רב חסדא ורב אסי בל"ב כרב הונא, והל"ק נדחית לגמרי, </w:t>
      </w:r>
      <w:r w:rsidRPr="00A07B7C">
        <w:rPr>
          <w:rStyle w:val="afb"/>
          <w:rFonts w:hint="cs"/>
          <w:rtl/>
        </w:rPr>
        <w:t>[</w:t>
      </w:r>
      <w:r w:rsidRPr="00A07B7C">
        <w:rPr>
          <w:rStyle w:val="affa"/>
          <w:rFonts w:hint="cs"/>
          <w:rtl/>
        </w:rPr>
        <w:t>כרמב"ן</w:t>
      </w:r>
      <w:r w:rsidRPr="00A07B7C">
        <w:rPr>
          <w:rStyle w:val="afb"/>
          <w:rFonts w:hint="cs"/>
          <w:rtl/>
        </w:rPr>
        <w:t xml:space="preserve"> </w:t>
      </w:r>
      <w:r w:rsidRPr="00A07B7C">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Ref532935136 \r \h</w:instrText>
      </w:r>
      <w:r>
        <w:rPr>
          <w:rStyle w:val="aff6"/>
          <w:rtl/>
        </w:rPr>
        <w:instrText xml:space="preserve"> </w:instrText>
      </w:r>
      <w:r>
        <w:rPr>
          <w:rStyle w:val="aff6"/>
          <w:rtl/>
        </w:rPr>
      </w:r>
      <w:r>
        <w:rPr>
          <w:rStyle w:val="aff6"/>
          <w:rtl/>
        </w:rPr>
        <w:fldChar w:fldCharType="separate"/>
      </w:r>
      <w:r w:rsidR="00345400">
        <w:rPr>
          <w:rStyle w:val="aff6"/>
          <w:cs/>
        </w:rPr>
        <w:t>‎</w:t>
      </w:r>
      <w:r w:rsidR="00345400">
        <w:rPr>
          <w:rStyle w:val="aff6"/>
          <w:rtl/>
        </w:rPr>
        <w:t>עז)</w:t>
      </w:r>
      <w:r>
        <w:rPr>
          <w:rStyle w:val="aff6"/>
          <w:rtl/>
        </w:rPr>
        <w:fldChar w:fldCharType="end"/>
      </w:r>
      <w:r w:rsidRPr="00A07B7C">
        <w:rPr>
          <w:rStyle w:val="afb"/>
          <w:rFonts w:hint="cs"/>
          <w:rtl/>
        </w:rPr>
        <w:t>]</w:t>
      </w:r>
      <w:r w:rsidRPr="00B766E0">
        <w:rPr>
          <w:rFonts w:hint="cs"/>
          <w:rtl/>
        </w:rPr>
        <w:t xml:space="preserve"> </w:t>
      </w:r>
      <w:r>
        <w:rPr>
          <w:rFonts w:hint="cs"/>
          <w:rtl/>
        </w:rPr>
        <w:t xml:space="preserve">, וכ"כ </w:t>
      </w:r>
      <w:r w:rsidRPr="00B766E0">
        <w:rPr>
          <w:rStyle w:val="af9"/>
          <w:rFonts w:hint="cs"/>
          <w:rtl/>
        </w:rPr>
        <w:t>המאירי</w:t>
      </w:r>
      <w:r>
        <w:rPr>
          <w:rFonts w:hint="cs"/>
          <w:rtl/>
        </w:rPr>
        <w:t xml:space="preserve"> </w:t>
      </w:r>
      <w:r w:rsidRPr="008E7C70">
        <w:rPr>
          <w:rStyle w:val="af7"/>
          <w:rFonts w:eastAsia="Guttman Hodes" w:hint="cs"/>
          <w:rtl/>
        </w:rPr>
        <w:t>(ד"ה כבר ביארנו)</w:t>
      </w:r>
      <w:r>
        <w:rPr>
          <w:rFonts w:hint="cs"/>
          <w:rtl/>
        </w:rPr>
        <w:t xml:space="preserve"> בשם </w:t>
      </w:r>
      <w:r w:rsidRPr="00B766E0">
        <w:rPr>
          <w:rStyle w:val="af9"/>
          <w:rFonts w:hint="cs"/>
          <w:rtl/>
        </w:rPr>
        <w:t>י"מ</w:t>
      </w:r>
      <w:r>
        <w:rPr>
          <w:rFonts w:hint="cs"/>
          <w:rtl/>
        </w:rPr>
        <w:t xml:space="preserve"> דקיי"ל כרב הונא. </w:t>
      </w:r>
    </w:p>
    <w:p w14:paraId="04DF3701" w14:textId="77777777" w:rsidR="00D53B7D" w:rsidRDefault="00D53B7D" w:rsidP="006D6D32">
      <w:pPr>
        <w:pStyle w:val="a3"/>
        <w:rPr>
          <w:rtl/>
        </w:rPr>
      </w:pPr>
      <w:bookmarkStart w:id="13698" w:name="_Toc532976853"/>
      <w:bookmarkStart w:id="13699" w:name="_Toc532982532"/>
      <w:bookmarkStart w:id="13700" w:name="_Toc532982690"/>
      <w:bookmarkStart w:id="13701" w:name="_Toc19390797"/>
      <w:bookmarkStart w:id="13702" w:name="_Toc19394294"/>
      <w:r>
        <w:rPr>
          <w:rFonts w:hint="cs"/>
          <w:rtl/>
        </w:rPr>
        <w:t>דחיית הרשב"א במשה"ב דמסתבר לפסוק כרב יהודה דהודה לו רב הונא</w:t>
      </w:r>
      <w:bookmarkEnd w:id="13698"/>
      <w:bookmarkEnd w:id="13699"/>
      <w:bookmarkEnd w:id="13700"/>
      <w:bookmarkEnd w:id="13701"/>
      <w:bookmarkEnd w:id="13702"/>
    </w:p>
    <w:p w14:paraId="024DDD29" w14:textId="77777777" w:rsidR="00D53B7D" w:rsidRDefault="00D53B7D" w:rsidP="00223668">
      <w:pPr>
        <w:pStyle w:val="a0"/>
        <w:rPr>
          <w:rtl/>
        </w:rPr>
      </w:pPr>
      <w:r>
        <w:rPr>
          <w:rFonts w:hint="cs"/>
          <w:rtl/>
        </w:rPr>
        <w:t xml:space="preserve">ודחה </w:t>
      </w:r>
      <w:r w:rsidRPr="00307AE4">
        <w:rPr>
          <w:rStyle w:val="af9"/>
          <w:rFonts w:hint="cs"/>
          <w:rtl/>
        </w:rPr>
        <w:t>הרשב"א במשה"ב</w:t>
      </w:r>
      <w:r>
        <w:rPr>
          <w:rFonts w:hint="cs"/>
          <w:rtl/>
        </w:rPr>
        <w:t xml:space="preserve"> </w:t>
      </w:r>
      <w:r w:rsidRPr="00307AE4">
        <w:rPr>
          <w:rStyle w:val="af7"/>
          <w:rFonts w:eastAsia="Guttman Hodes" w:hint="cs"/>
          <w:rtl/>
        </w:rPr>
        <w:t>(ב"ב ש"א דף כה. מדה"ס)</w:t>
      </w:r>
      <w:r>
        <w:rPr>
          <w:rFonts w:hint="cs"/>
          <w:rtl/>
        </w:rPr>
        <w:t xml:space="preserve"> את דברי </w:t>
      </w:r>
      <w:r w:rsidRPr="00AD1968">
        <w:rPr>
          <w:rStyle w:val="af9"/>
          <w:rFonts w:hint="cs"/>
          <w:rtl/>
        </w:rPr>
        <w:t>הרא</w:t>
      </w:r>
      <w:r>
        <w:rPr>
          <w:rStyle w:val="af9"/>
          <w:rFonts w:hint="cs"/>
          <w:rtl/>
        </w:rPr>
        <w:t>"</w:t>
      </w:r>
      <w:r w:rsidRPr="00AD1968">
        <w:rPr>
          <w:rStyle w:val="af9"/>
          <w:rFonts w:hint="cs"/>
          <w:rtl/>
        </w:rPr>
        <w:t>ה בבד"ה</w:t>
      </w:r>
      <w:r>
        <w:rPr>
          <w:rFonts w:hint="cs"/>
          <w:rtl/>
        </w:rPr>
        <w:t xml:space="preserve"> דיותר מסתבר לפסוק כרב יהודה, דהא רב הונא עצמו אמר דשפיר הקפיד עליו רב יהודה, כיון דרב יהודה שמע מרב דכשר, ועוד שיש רוב בשחיטה.</w:t>
      </w:r>
    </w:p>
    <w:p w14:paraId="002A1F6D" w14:textId="77777777" w:rsidR="00D53B7D" w:rsidRDefault="00D53B7D" w:rsidP="00BF39B2">
      <w:pPr>
        <w:pStyle w:val="1"/>
        <w:rPr>
          <w:rtl/>
        </w:rPr>
      </w:pPr>
      <w:bookmarkStart w:id="13703" w:name="_Toc532976855"/>
      <w:bookmarkStart w:id="13704" w:name="_Toc532982533"/>
      <w:bookmarkStart w:id="13705" w:name="_Toc532982691"/>
      <w:bookmarkStart w:id="13706" w:name="_Toc19390798"/>
      <w:bookmarkStart w:id="13707" w:name="_Toc19394295"/>
      <w:r>
        <w:rPr>
          <w:rFonts w:hint="cs"/>
          <w:rtl/>
        </w:rPr>
        <w:t xml:space="preserve">דברי הרשב"א </w:t>
      </w:r>
      <w:bookmarkEnd w:id="13689"/>
      <w:bookmarkEnd w:id="13690"/>
      <w:bookmarkEnd w:id="13691"/>
      <w:bookmarkEnd w:id="13692"/>
      <w:bookmarkEnd w:id="13693"/>
      <w:r>
        <w:rPr>
          <w:rFonts w:hint="cs"/>
          <w:rtl/>
        </w:rPr>
        <w:t>דקיי"ל כל"ק דרב הונא</w:t>
      </w:r>
      <w:bookmarkEnd w:id="13694"/>
      <w:bookmarkEnd w:id="13695"/>
      <w:bookmarkEnd w:id="13696"/>
      <w:bookmarkEnd w:id="13697"/>
      <w:bookmarkEnd w:id="13703"/>
      <w:bookmarkEnd w:id="13704"/>
      <w:bookmarkEnd w:id="13705"/>
      <w:bookmarkEnd w:id="13706"/>
      <w:bookmarkEnd w:id="13707"/>
    </w:p>
    <w:p w14:paraId="6B044E8C" w14:textId="77777777" w:rsidR="00D53B7D" w:rsidRDefault="00D53B7D" w:rsidP="006D6D32">
      <w:pPr>
        <w:pStyle w:val="a3"/>
        <w:rPr>
          <w:rtl/>
        </w:rPr>
      </w:pPr>
      <w:bookmarkStart w:id="13708" w:name="_Toc532976856"/>
      <w:bookmarkStart w:id="13709" w:name="_Toc532982534"/>
      <w:bookmarkStart w:id="13710" w:name="_Toc532982692"/>
      <w:bookmarkStart w:id="13711" w:name="_Toc19390799"/>
      <w:bookmarkStart w:id="13712" w:name="_Toc19394296"/>
      <w:bookmarkEnd w:id="13650"/>
      <w:r>
        <w:rPr>
          <w:rFonts w:hint="cs"/>
          <w:rtl/>
        </w:rPr>
        <w:t>דברי הרשב"א דאף בהגרים שליש ושחט ב' שלישים פסול ורק בשחט ב' שלישים והגרים שליש כשר</w:t>
      </w:r>
      <w:bookmarkEnd w:id="13708"/>
      <w:bookmarkEnd w:id="13709"/>
      <w:bookmarkEnd w:id="13710"/>
      <w:bookmarkEnd w:id="13711"/>
      <w:bookmarkEnd w:id="13712"/>
    </w:p>
    <w:p w14:paraId="1F46394E" w14:textId="77777777" w:rsidR="00D53B7D" w:rsidRPr="0066463B" w:rsidRDefault="00D53B7D" w:rsidP="00223668">
      <w:pPr>
        <w:pStyle w:val="a0"/>
        <w:rPr>
          <w:rtl/>
        </w:rPr>
      </w:pPr>
      <w:r>
        <w:rPr>
          <w:rFonts w:hint="cs"/>
          <w:rtl/>
        </w:rPr>
        <w:t xml:space="preserve">ובעיקר דברי </w:t>
      </w:r>
      <w:r w:rsidRPr="00315D78">
        <w:rPr>
          <w:rStyle w:val="af9"/>
          <w:rFonts w:hint="cs"/>
          <w:rtl/>
        </w:rPr>
        <w:t>הרמב"ן</w:t>
      </w:r>
      <w:r>
        <w:rPr>
          <w:rFonts w:hint="cs"/>
          <w:rtl/>
        </w:rPr>
        <w:t xml:space="preserve"> </w:t>
      </w:r>
      <w:r w:rsidRPr="00F150D9">
        <w:rPr>
          <w:rStyle w:val="af7"/>
          <w:rFonts w:eastAsia="Guttman Hodes" w:hint="cs"/>
          <w:rtl/>
        </w:rPr>
        <w:t xml:space="preserve">(עי' אות </w:t>
      </w:r>
      <w:r w:rsidRPr="00F150D9">
        <w:rPr>
          <w:rStyle w:val="af7"/>
          <w:rFonts w:eastAsia="Guttman Hodes"/>
          <w:rtl/>
        </w:rPr>
        <w:fldChar w:fldCharType="begin"/>
      </w:r>
      <w:r w:rsidRPr="00F150D9">
        <w:rPr>
          <w:rStyle w:val="af7"/>
          <w:rFonts w:eastAsia="Guttman Hodes"/>
          <w:rtl/>
        </w:rPr>
        <w:instrText xml:space="preserve"> </w:instrText>
      </w:r>
      <w:r w:rsidRPr="00F150D9">
        <w:rPr>
          <w:rStyle w:val="af7"/>
          <w:rFonts w:eastAsia="Guttman Hodes" w:hint="cs"/>
        </w:rPr>
        <w:instrText>REF</w:instrText>
      </w:r>
      <w:r w:rsidRPr="00F150D9">
        <w:rPr>
          <w:rStyle w:val="af7"/>
          <w:rFonts w:eastAsia="Guttman Hodes" w:hint="cs"/>
          <w:rtl/>
        </w:rPr>
        <w:instrText xml:space="preserve"> _</w:instrText>
      </w:r>
      <w:r w:rsidRPr="00F150D9">
        <w:rPr>
          <w:rStyle w:val="af7"/>
          <w:rFonts w:eastAsia="Guttman Hodes" w:hint="cs"/>
        </w:rPr>
        <w:instrText>Ref532933347 \r \h</w:instrText>
      </w:r>
      <w:r w:rsidRPr="00F150D9">
        <w:rPr>
          <w:rStyle w:val="af7"/>
          <w:rFonts w:eastAsia="Guttman Hodes"/>
          <w:rtl/>
        </w:rPr>
        <w:instrText xml:space="preserve"> </w:instrText>
      </w:r>
      <w:r w:rsidRPr="00F150D9">
        <w:rPr>
          <w:rStyle w:val="af7"/>
          <w:rFonts w:eastAsia="Guttman Hodes"/>
          <w:rtl/>
        </w:rPr>
      </w:r>
      <w:r w:rsidRPr="00F150D9">
        <w:rPr>
          <w:rStyle w:val="af7"/>
          <w:rFonts w:eastAsia="Guttman Hodes"/>
          <w:rtl/>
        </w:rPr>
        <w:fldChar w:fldCharType="separate"/>
      </w:r>
      <w:r w:rsidR="00345400">
        <w:rPr>
          <w:rStyle w:val="af7"/>
          <w:rFonts w:eastAsia="Guttman Hodes"/>
          <w:cs/>
        </w:rPr>
        <w:t>‎</w:t>
      </w:r>
      <w:r w:rsidR="00345400">
        <w:rPr>
          <w:rStyle w:val="af7"/>
          <w:rFonts w:eastAsia="Guttman Hodes"/>
          <w:rtl/>
        </w:rPr>
        <w:t>עד)</w:t>
      </w:r>
      <w:r w:rsidRPr="00F150D9">
        <w:rPr>
          <w:rStyle w:val="af7"/>
          <w:rFonts w:eastAsia="Guttman Hodes"/>
          <w:rtl/>
        </w:rPr>
        <w:fldChar w:fldCharType="end"/>
      </w:r>
      <w:r>
        <w:rPr>
          <w:rFonts w:hint="cs"/>
          <w:rtl/>
        </w:rPr>
        <w:t xml:space="preserve"> דהכשיר בהגרים שליש ושחט ב' שלישים, פליג </w:t>
      </w:r>
      <w:r w:rsidRPr="002E0772">
        <w:rPr>
          <w:rStyle w:val="af9"/>
          <w:rFonts w:hint="cs"/>
          <w:rtl/>
        </w:rPr>
        <w:t>הרשב"א בחי'</w:t>
      </w:r>
      <w:r>
        <w:rPr>
          <w:rFonts w:hint="cs"/>
          <w:rtl/>
        </w:rPr>
        <w:t xml:space="preserve"> </w:t>
      </w:r>
      <w:r w:rsidRPr="002E0772">
        <w:rPr>
          <w:rStyle w:val="af7"/>
          <w:rFonts w:eastAsia="Guttman Hodes" w:hint="cs"/>
          <w:rtl/>
        </w:rPr>
        <w:t xml:space="preserve">(יט: ד"ה איקלע) </w:t>
      </w:r>
      <w:r w:rsidRPr="002E0772">
        <w:rPr>
          <w:rStyle w:val="af9"/>
          <w:rFonts w:hint="cs"/>
          <w:rtl/>
        </w:rPr>
        <w:t>ובתוה"ב</w:t>
      </w:r>
      <w:r>
        <w:rPr>
          <w:rFonts w:hint="cs"/>
          <w:rtl/>
        </w:rPr>
        <w:t xml:space="preserve"> </w:t>
      </w:r>
      <w:r w:rsidRPr="002E0772">
        <w:rPr>
          <w:rStyle w:val="af7"/>
          <w:rFonts w:eastAsia="Guttman Hodes" w:hint="cs"/>
          <w:rtl/>
        </w:rPr>
        <w:t xml:space="preserve">(ב"א ש"א דף כד: מדה"ס) </w:t>
      </w:r>
      <w:r>
        <w:rPr>
          <w:rFonts w:hint="cs"/>
          <w:rtl/>
        </w:rPr>
        <w:t>וכתב דאף בהגרים שליש ושחט ב' שלישים, היא טריפה, ורק במקום ששחט ב' שלישים והגרים שליש כשר, כיון שרוב הסימן נשחט כראוי, ויצאה החיות ע"י שחיטת רוב הסימן, אבל בכל שאר האופנים היא טריפה.</w:t>
      </w:r>
    </w:p>
    <w:p w14:paraId="641136EE" w14:textId="77777777" w:rsidR="00D53B7D" w:rsidRDefault="00D53B7D" w:rsidP="006D6D32">
      <w:pPr>
        <w:pStyle w:val="a3"/>
      </w:pPr>
      <w:bookmarkStart w:id="13713" w:name="_Toc532976857"/>
      <w:bookmarkStart w:id="13714" w:name="_Toc532982535"/>
      <w:bookmarkStart w:id="13715" w:name="_Toc532982693"/>
      <w:bookmarkStart w:id="13716" w:name="_Toc19390800"/>
      <w:bookmarkStart w:id="13717" w:name="_Toc19394297"/>
      <w:r>
        <w:rPr>
          <w:rFonts w:hint="cs"/>
          <w:rtl/>
        </w:rPr>
        <w:t>דברי הרשב"א דמדברי רב נחמן ורב חסדא משמע דא"א להכשיר כרב יהודה בשחט והגרים ושחט</w:t>
      </w:r>
      <w:bookmarkEnd w:id="13713"/>
      <w:bookmarkEnd w:id="13714"/>
      <w:bookmarkEnd w:id="13715"/>
      <w:bookmarkEnd w:id="13716"/>
      <w:bookmarkEnd w:id="13717"/>
      <w:r>
        <w:rPr>
          <w:rFonts w:hint="cs"/>
          <w:rtl/>
        </w:rPr>
        <w:t xml:space="preserve"> </w:t>
      </w:r>
    </w:p>
    <w:p w14:paraId="03754140" w14:textId="77777777" w:rsidR="00D53B7D" w:rsidRDefault="00D53B7D" w:rsidP="00223668">
      <w:pPr>
        <w:pStyle w:val="a0"/>
        <w:rPr>
          <w:rtl/>
        </w:rPr>
      </w:pPr>
      <w:r>
        <w:rPr>
          <w:rFonts w:hint="cs"/>
          <w:rtl/>
        </w:rPr>
        <w:t xml:space="preserve">וביאר </w:t>
      </w:r>
      <w:r w:rsidRPr="002E0772">
        <w:rPr>
          <w:rStyle w:val="af9"/>
          <w:rFonts w:hint="cs"/>
          <w:rtl/>
        </w:rPr>
        <w:t>הרשב"א בחי'</w:t>
      </w:r>
      <w:r>
        <w:rPr>
          <w:rFonts w:hint="cs"/>
          <w:rtl/>
        </w:rPr>
        <w:t xml:space="preserve"> </w:t>
      </w:r>
      <w:r w:rsidRPr="002E0772">
        <w:rPr>
          <w:rStyle w:val="af9"/>
          <w:rFonts w:hint="cs"/>
          <w:rtl/>
        </w:rPr>
        <w:t>ובתוה"ב</w:t>
      </w:r>
      <w:r>
        <w:rPr>
          <w:rFonts w:hint="cs"/>
          <w:rtl/>
        </w:rPr>
        <w:t xml:space="preserve"> דבשחט והגרים ושחט, א"א לפסוק להלכה דהשחיטה כשרה כרב יהודה, כדמשמע מהא דרב נחמן לא אמר שהשחיטה כשרה, ותלה דין זה בדברי רבי אלעאי בשחיטה כמסרק, וכן משמע מהא דרב חסדא אמר לרב הונא שלא יחזור בו ממה שפסל בשחט והגרים ושחט.</w:t>
      </w:r>
    </w:p>
    <w:p w14:paraId="4454E03C" w14:textId="77777777" w:rsidR="00D53B7D" w:rsidRPr="00B55EBB" w:rsidRDefault="00D53B7D" w:rsidP="006D6D32">
      <w:pPr>
        <w:pStyle w:val="a3"/>
      </w:pPr>
      <w:bookmarkStart w:id="13718" w:name="_Toc532976858"/>
      <w:bookmarkStart w:id="13719" w:name="_Toc532982536"/>
      <w:bookmarkStart w:id="13720" w:name="_Toc532982694"/>
      <w:bookmarkStart w:id="13721" w:name="_Toc19390801"/>
      <w:bookmarkStart w:id="13722" w:name="_Toc19394298"/>
      <w:r>
        <w:rPr>
          <w:rFonts w:hint="cs"/>
          <w:rtl/>
        </w:rPr>
        <w:t>דברי הרשב"א דא"א להכשיר בהגרים ושחט והגרים דלל"ק דרב הונא ולרב נחמן מוכח דפסול</w:t>
      </w:r>
      <w:bookmarkEnd w:id="13718"/>
      <w:bookmarkEnd w:id="13719"/>
      <w:bookmarkEnd w:id="13720"/>
      <w:bookmarkEnd w:id="13721"/>
      <w:bookmarkEnd w:id="13722"/>
    </w:p>
    <w:p w14:paraId="072B292E" w14:textId="77777777" w:rsidR="00D53B7D" w:rsidRDefault="00D53B7D" w:rsidP="00223668">
      <w:pPr>
        <w:pStyle w:val="a0"/>
        <w:rPr>
          <w:rtl/>
        </w:rPr>
      </w:pPr>
      <w:r>
        <w:rPr>
          <w:rFonts w:hint="cs"/>
          <w:rtl/>
        </w:rPr>
        <w:t xml:space="preserve">וכתב </w:t>
      </w:r>
      <w:r w:rsidRPr="00B94910">
        <w:rPr>
          <w:rStyle w:val="af9"/>
          <w:rFonts w:hint="cs"/>
          <w:rtl/>
        </w:rPr>
        <w:t>הרשב"א</w:t>
      </w:r>
      <w:r>
        <w:rPr>
          <w:rFonts w:hint="cs"/>
          <w:rtl/>
        </w:rPr>
        <w:t xml:space="preserve"> דאף בהגרים ושחט והגרים, א"א להתיר כיון שנחלקו בזה רב הונא ורב יהודה בשם רב, דרב יהודה שמע מרב דכיון שאין רוב בשחיטה פסול, ואף בדברי רב נחמן מבואר דפסול, דכיון שרב נחמן הכשיר בשחט והגרים ושחט, א"כ מוכח דבהגרים ושחט והגרים הוא פוסל כדאמר רב חסדא דהא בהא תליא, ואף לדעת הל"ק דרב הונא בשם רב אסי הוא פסול, דכיון דס"ל דבהגרים שליש ושחט ב' שלישים פסול, כ"ש כששחט רק את השליש האמצעי דפסול.</w:t>
      </w:r>
    </w:p>
    <w:p w14:paraId="1DD772D9" w14:textId="77777777" w:rsidR="00D53B7D" w:rsidRDefault="00D53B7D" w:rsidP="006D6D32">
      <w:pPr>
        <w:pStyle w:val="a3"/>
        <w:rPr>
          <w:rtl/>
        </w:rPr>
      </w:pPr>
      <w:bookmarkStart w:id="13723" w:name="_Toc532976859"/>
      <w:bookmarkStart w:id="13724" w:name="_Toc532982537"/>
      <w:bookmarkStart w:id="13725" w:name="_Toc532982695"/>
      <w:bookmarkStart w:id="13726" w:name="_Toc19390802"/>
      <w:bookmarkStart w:id="13727" w:name="_Toc19394299"/>
      <w:r>
        <w:rPr>
          <w:rFonts w:hint="cs"/>
          <w:rtl/>
        </w:rPr>
        <w:t>דברי הרשב"א דלהלכה א"א לפסוק כרב הונא ורב חסדא ויש להחמיר וכדמשמע דקיי"ל כל"ק</w:t>
      </w:r>
      <w:bookmarkEnd w:id="13723"/>
      <w:bookmarkEnd w:id="13724"/>
      <w:bookmarkEnd w:id="13725"/>
      <w:bookmarkEnd w:id="13726"/>
      <w:bookmarkEnd w:id="13727"/>
    </w:p>
    <w:p w14:paraId="6D5DBDF4" w14:textId="77777777" w:rsidR="00D53B7D" w:rsidRDefault="00D53B7D" w:rsidP="00223668">
      <w:pPr>
        <w:pStyle w:val="a0"/>
        <w:rPr>
          <w:rtl/>
        </w:rPr>
      </w:pPr>
      <w:r>
        <w:rPr>
          <w:rFonts w:hint="cs"/>
          <w:rtl/>
        </w:rPr>
        <w:t xml:space="preserve">וכתב </w:t>
      </w:r>
      <w:r w:rsidRPr="00B55EBB">
        <w:rPr>
          <w:rStyle w:val="af9"/>
          <w:rFonts w:hint="cs"/>
          <w:rtl/>
        </w:rPr>
        <w:t>הרשב"א</w:t>
      </w:r>
      <w:r>
        <w:rPr>
          <w:rFonts w:hint="cs"/>
          <w:rtl/>
        </w:rPr>
        <w:t xml:space="preserve"> דלכן אף דרב הונא הכשיר בהגרים ושחט והגרים, ואף דמשמע דכן דעת רב חסדא, מ"מ להלכה צריך להחמיר, כיון שרב יהודה ורב ונחמן והל"ק דרב אסי פסלי, ועוד הוסיף </w:t>
      </w:r>
      <w:r w:rsidRPr="00F10E49">
        <w:rPr>
          <w:rStyle w:val="af9"/>
          <w:rFonts w:hint="cs"/>
          <w:rtl/>
        </w:rPr>
        <w:t>הרשב"א</w:t>
      </w:r>
      <w:r w:rsidRPr="00977911">
        <w:rPr>
          <w:rFonts w:hint="cs"/>
          <w:rtl/>
        </w:rPr>
        <w:t xml:space="preserve"> </w:t>
      </w:r>
      <w:r>
        <w:rPr>
          <w:rFonts w:hint="cs"/>
          <w:rtl/>
        </w:rPr>
        <w:t xml:space="preserve">דכן נקטה הגמ' לקמן </w:t>
      </w:r>
      <w:r w:rsidRPr="00B55EBB">
        <w:rPr>
          <w:rStyle w:val="af7"/>
          <w:rFonts w:eastAsia="Guttman Hodes" w:hint="cs"/>
          <w:rtl/>
        </w:rPr>
        <w:t>(כ.)</w:t>
      </w:r>
      <w:r>
        <w:rPr>
          <w:rFonts w:hint="cs"/>
          <w:rtl/>
        </w:rPr>
        <w:t xml:space="preserve"> בפשיטות כל"ק דרב אסי, ומשמע דכך ההלכה, ועי' במה שדחה </w:t>
      </w:r>
      <w:r w:rsidRPr="00AD1968">
        <w:rPr>
          <w:rStyle w:val="af9"/>
          <w:rFonts w:hint="cs"/>
          <w:rtl/>
        </w:rPr>
        <w:t>הרא</w:t>
      </w:r>
      <w:r>
        <w:rPr>
          <w:rStyle w:val="af9"/>
          <w:rFonts w:hint="cs"/>
          <w:rtl/>
        </w:rPr>
        <w:t>"</w:t>
      </w:r>
      <w:r w:rsidRPr="00AD1968">
        <w:rPr>
          <w:rStyle w:val="af9"/>
          <w:rFonts w:hint="cs"/>
          <w:rtl/>
        </w:rPr>
        <w:t>ה בבד"ה</w:t>
      </w:r>
      <w:r>
        <w:rPr>
          <w:rFonts w:hint="cs"/>
          <w:rtl/>
        </w:rPr>
        <w:t xml:space="preserve"> </w:t>
      </w:r>
      <w:r w:rsidRPr="00AD1968">
        <w:rPr>
          <w:rStyle w:val="af7"/>
          <w:rFonts w:eastAsia="Guttman Hodes" w:hint="cs"/>
          <w:rtl/>
        </w:rPr>
        <w:t>(ב"ב ש"א דף כד. מדה"ס)</w:t>
      </w:r>
      <w:r>
        <w:rPr>
          <w:rFonts w:hint="cs"/>
          <w:rtl/>
        </w:rPr>
        <w:t xml:space="preserve"> את הראיה מהגמ' לקמן, ובמה שהשיב לו פסק </w:t>
      </w:r>
      <w:r>
        <w:rPr>
          <w:rStyle w:val="af9"/>
          <w:rFonts w:hint="cs"/>
          <w:rtl/>
        </w:rPr>
        <w:t>הרשב"א במשה"ב</w:t>
      </w:r>
      <w:r>
        <w:rPr>
          <w:rFonts w:hint="cs"/>
          <w:rtl/>
        </w:rPr>
        <w:t xml:space="preserve"> </w:t>
      </w:r>
      <w:r w:rsidRPr="00AD1968">
        <w:rPr>
          <w:rStyle w:val="af7"/>
          <w:rFonts w:eastAsia="Guttman Hodes" w:hint="cs"/>
          <w:rtl/>
        </w:rPr>
        <w:t>(ב"ב ש"א דף כד. מדה"ס)</w:t>
      </w:r>
      <w:r>
        <w:rPr>
          <w:rFonts w:hint="cs"/>
          <w:rtl/>
        </w:rPr>
        <w:t>.</w:t>
      </w:r>
    </w:p>
    <w:p w14:paraId="404D32A6" w14:textId="77777777" w:rsidR="00C35932" w:rsidRDefault="00C35932" w:rsidP="006D6D32">
      <w:pPr>
        <w:pStyle w:val="a3"/>
        <w:rPr>
          <w:rtl/>
        </w:rPr>
      </w:pPr>
      <w:bookmarkStart w:id="13728" w:name="_Toc532976860"/>
      <w:bookmarkStart w:id="13729" w:name="_Toc532982538"/>
      <w:bookmarkStart w:id="13730" w:name="_Toc532982696"/>
    </w:p>
    <w:p w14:paraId="6C9CF1A1" w14:textId="77777777" w:rsidR="00C35932" w:rsidRDefault="00C35932" w:rsidP="006D6D32">
      <w:pPr>
        <w:pStyle w:val="a3"/>
        <w:rPr>
          <w:rtl/>
        </w:rPr>
      </w:pPr>
    </w:p>
    <w:p w14:paraId="5BEE99D5" w14:textId="77777777" w:rsidR="00D53B7D" w:rsidRDefault="00D53B7D" w:rsidP="006D6D32">
      <w:pPr>
        <w:pStyle w:val="a3"/>
        <w:rPr>
          <w:rtl/>
        </w:rPr>
      </w:pPr>
      <w:bookmarkStart w:id="13731" w:name="_Toc19390803"/>
      <w:bookmarkStart w:id="13732" w:name="_Toc19394300"/>
      <w:r>
        <w:rPr>
          <w:rFonts w:hint="cs"/>
          <w:rtl/>
        </w:rPr>
        <w:t>דברי הרשב"א והמאירי דמשמעות מתני' דעל פני רובה כל"ק דרב הונא</w:t>
      </w:r>
      <w:bookmarkEnd w:id="13728"/>
      <w:bookmarkEnd w:id="13729"/>
      <w:bookmarkEnd w:id="13730"/>
      <w:bookmarkEnd w:id="13731"/>
      <w:bookmarkEnd w:id="13732"/>
    </w:p>
    <w:p w14:paraId="6B907364" w14:textId="77777777" w:rsidR="00D53B7D" w:rsidRDefault="00D53B7D" w:rsidP="00223668">
      <w:pPr>
        <w:pStyle w:val="a0"/>
        <w:rPr>
          <w:rtl/>
        </w:rPr>
      </w:pPr>
      <w:r>
        <w:rPr>
          <w:rFonts w:hint="cs"/>
          <w:rtl/>
        </w:rPr>
        <w:t xml:space="preserve">והוסיף </w:t>
      </w:r>
      <w:r w:rsidRPr="00B55EBB">
        <w:rPr>
          <w:rStyle w:val="af9"/>
          <w:rFonts w:hint="cs"/>
          <w:rtl/>
        </w:rPr>
        <w:t>הרשב"א</w:t>
      </w:r>
      <w:r>
        <w:rPr>
          <w:rFonts w:hint="cs"/>
          <w:rtl/>
        </w:rPr>
        <w:t xml:space="preserve"> </w:t>
      </w:r>
      <w:r w:rsidRPr="00F10E49">
        <w:rPr>
          <w:rStyle w:val="af9"/>
          <w:rFonts w:hint="cs"/>
          <w:rtl/>
        </w:rPr>
        <w:t>בתוה"ב</w:t>
      </w:r>
      <w:r>
        <w:rPr>
          <w:rFonts w:hint="cs"/>
          <w:rtl/>
        </w:rPr>
        <w:t xml:space="preserve"> דמשמעות הלשון של המשנה "השוחט מתוך הטבעת ושייר על פני רובה" משמע כל"ק דרב אסי, </w:t>
      </w:r>
      <w:r w:rsidRPr="00AE158F">
        <w:rPr>
          <w:rFonts w:hint="cs"/>
          <w:rtl/>
        </w:rPr>
        <w:t>ו</w:t>
      </w:r>
      <w:r>
        <w:rPr>
          <w:rFonts w:hint="cs"/>
          <w:rtl/>
        </w:rPr>
        <w:t xml:space="preserve">ביאר </w:t>
      </w:r>
      <w:r w:rsidRPr="00B17AB9">
        <w:rPr>
          <w:rStyle w:val="af9"/>
          <w:rFonts w:hint="cs"/>
          <w:rtl/>
        </w:rPr>
        <w:t xml:space="preserve">המאירי </w:t>
      </w:r>
      <w:r w:rsidRPr="00B17AB9">
        <w:rPr>
          <w:rStyle w:val="af7"/>
          <w:rFonts w:eastAsia="Guttman Hodes" w:hint="cs"/>
          <w:rtl/>
        </w:rPr>
        <w:t xml:space="preserve">(ד"ה וכבר ביארנו) </w:t>
      </w:r>
      <w:r>
        <w:rPr>
          <w:rFonts w:hint="cs"/>
          <w:rtl/>
        </w:rPr>
        <w:t>דקיי"ל כל"ק דרב הונא, ואף</w:t>
      </w:r>
      <w:r w:rsidRPr="004817D1">
        <w:rPr>
          <w:rFonts w:hint="cs"/>
          <w:rtl/>
        </w:rPr>
        <w:t xml:space="preserve"> </w:t>
      </w:r>
      <w:r>
        <w:rPr>
          <w:rFonts w:hint="cs"/>
          <w:rtl/>
        </w:rPr>
        <w:t xml:space="preserve">רב חסדא הקשה לו שיאמר להיפך, מ"מ לא מסתבר לומר כקושית רב חסדא, דהא לדבריו מודו רבנן דבשחט ב' שלישים והגרים שליש כשר, כיון ששחט את הרוב בהכשר, א"כ היאך אמרו רבנן במתני' </w:t>
      </w:r>
      <w:r w:rsidRPr="00B17AB9">
        <w:rPr>
          <w:rStyle w:val="af7"/>
          <w:rFonts w:eastAsia="Guttman Hodes" w:hint="cs"/>
          <w:rtl/>
        </w:rPr>
        <w:t>(יח.)</w:t>
      </w:r>
      <w:r>
        <w:rPr>
          <w:rFonts w:hint="cs"/>
          <w:rtl/>
        </w:rPr>
        <w:t xml:space="preserve"> דדוקא אם הניח מלא החוט על פני כולה כשר.</w:t>
      </w:r>
    </w:p>
    <w:p w14:paraId="1FA7BC90" w14:textId="77777777" w:rsidR="00D53B7D" w:rsidRPr="00B17AB9" w:rsidRDefault="00D53B7D" w:rsidP="006D6D32">
      <w:pPr>
        <w:pStyle w:val="a3"/>
      </w:pPr>
      <w:bookmarkStart w:id="13733" w:name="_Toc532976861"/>
      <w:bookmarkStart w:id="13734" w:name="_Toc532982539"/>
      <w:bookmarkStart w:id="13735" w:name="_Toc532982697"/>
      <w:bookmarkStart w:id="13736" w:name="_Toc19390804"/>
      <w:bookmarkStart w:id="13737" w:name="_Toc19394301"/>
      <w:r>
        <w:rPr>
          <w:rFonts w:hint="cs"/>
          <w:rtl/>
        </w:rPr>
        <w:t>דברי המאירי דדוחק לבאר כל"ב דמודו רבנן במתני' דבשחט ב' שלישים והגרים כשר</w:t>
      </w:r>
      <w:bookmarkEnd w:id="13733"/>
      <w:bookmarkEnd w:id="13734"/>
      <w:bookmarkEnd w:id="13735"/>
      <w:bookmarkEnd w:id="13736"/>
      <w:bookmarkEnd w:id="13737"/>
    </w:p>
    <w:p w14:paraId="00F9B642" w14:textId="77777777" w:rsidR="00D53B7D" w:rsidRPr="00C63EE4" w:rsidRDefault="00D53B7D" w:rsidP="00223668">
      <w:pPr>
        <w:pStyle w:val="a0"/>
        <w:rPr>
          <w:rtl/>
        </w:rPr>
      </w:pPr>
      <w:r>
        <w:rPr>
          <w:rFonts w:hint="cs"/>
          <w:rtl/>
        </w:rPr>
        <w:t xml:space="preserve">וכתב </w:t>
      </w:r>
      <w:r w:rsidRPr="00B17AB9">
        <w:rPr>
          <w:rStyle w:val="af9"/>
          <w:rFonts w:hint="cs"/>
          <w:rtl/>
        </w:rPr>
        <w:t>המאירי</w:t>
      </w:r>
      <w:r>
        <w:rPr>
          <w:rFonts w:hint="cs"/>
          <w:rtl/>
        </w:rPr>
        <w:t xml:space="preserve"> שאפשר לדחוק דרב חסדא ביאר את המשנה דהגרים בתחילת השחיטה, ורק בכה"ג פסלי רבנן, אבל אם שחט רוב סימן בתחילה ואח"כ הגרים, אף רבנן מודו דכשר, אך כתב </w:t>
      </w:r>
      <w:r w:rsidRPr="00B17AB9">
        <w:rPr>
          <w:rStyle w:val="af9"/>
          <w:rFonts w:hint="cs"/>
          <w:rtl/>
        </w:rPr>
        <w:t xml:space="preserve">המאירי </w:t>
      </w:r>
      <w:r>
        <w:rPr>
          <w:rFonts w:hint="cs"/>
          <w:rtl/>
        </w:rPr>
        <w:t>דדוחק לפרש כן ולפסוק עפי"ז להלכה, ומשמעות המשנה היא כל"ק דרב הונא.</w:t>
      </w:r>
    </w:p>
    <w:p w14:paraId="06D1C292" w14:textId="77777777" w:rsidR="00D53B7D" w:rsidRDefault="00D53B7D" w:rsidP="006D6D32">
      <w:pPr>
        <w:pStyle w:val="a3"/>
        <w:rPr>
          <w:rtl/>
        </w:rPr>
      </w:pPr>
      <w:bookmarkStart w:id="13738" w:name="_Toc532976862"/>
      <w:bookmarkStart w:id="13739" w:name="_Toc532982540"/>
      <w:bookmarkStart w:id="13740" w:name="_Toc532982698"/>
      <w:bookmarkStart w:id="13741" w:name="_Toc19390805"/>
      <w:bookmarkStart w:id="13742" w:name="_Toc19394302"/>
      <w:r>
        <w:rPr>
          <w:rFonts w:hint="cs"/>
          <w:rtl/>
        </w:rPr>
        <w:t>מסקנת הרשב"א דבהגרים שליש ושחט ב' שלישים פסול דלא יצאה החיות ע"י שחיטת הרוב</w:t>
      </w:r>
      <w:bookmarkEnd w:id="13738"/>
      <w:bookmarkEnd w:id="13739"/>
      <w:bookmarkEnd w:id="13740"/>
      <w:bookmarkEnd w:id="13741"/>
      <w:bookmarkEnd w:id="13742"/>
    </w:p>
    <w:p w14:paraId="3821FE2F" w14:textId="77777777" w:rsidR="00D53B7D" w:rsidRPr="00C67EC0" w:rsidRDefault="00D53B7D" w:rsidP="00223668">
      <w:pPr>
        <w:pStyle w:val="a0"/>
        <w:rPr>
          <w:rtl/>
        </w:rPr>
      </w:pPr>
      <w:r>
        <w:rPr>
          <w:rFonts w:hint="cs"/>
          <w:rtl/>
        </w:rPr>
        <w:t xml:space="preserve">ומסיק </w:t>
      </w:r>
      <w:r w:rsidRPr="00B55EBB">
        <w:rPr>
          <w:rStyle w:val="af9"/>
          <w:rFonts w:hint="cs"/>
          <w:rtl/>
        </w:rPr>
        <w:t>הרשב"א</w:t>
      </w:r>
      <w:r>
        <w:rPr>
          <w:rFonts w:hint="cs"/>
          <w:rtl/>
        </w:rPr>
        <w:t xml:space="preserve"> דלכן אף בהגרים שליש ושחט ב' שלישים, היא טריפה, כיון שלא יצאה החיות ע"י שחיטת רוב הסימן, ולא דמי לחצי קנה פגום, כיון שהוא במקום שחיטה, וההגרמה אינה במקום שחיטה, וכתב </w:t>
      </w:r>
      <w:r w:rsidRPr="00B55EBB">
        <w:rPr>
          <w:rStyle w:val="af9"/>
          <w:rFonts w:hint="cs"/>
          <w:rtl/>
        </w:rPr>
        <w:t>הרשב"א</w:t>
      </w:r>
      <w:r>
        <w:rPr>
          <w:rFonts w:hint="cs"/>
          <w:rtl/>
        </w:rPr>
        <w:t xml:space="preserve"> דרק במקום ששחט ב' שלישים והגרים שליש כשר, כיון שרוב הסימן נשחט כראוי, ויצאה החיות ע"י שחיטת רוב הסימן, אבל בכל שאר האופנים היא טריפה. </w:t>
      </w:r>
    </w:p>
    <w:bookmarkEnd w:id="13486"/>
    <w:p w14:paraId="0B211753" w14:textId="77777777" w:rsidR="00D53B7D" w:rsidRPr="00BA7CD4" w:rsidRDefault="00D53B7D" w:rsidP="006D6D32">
      <w:pPr>
        <w:pStyle w:val="a3"/>
        <w:rPr>
          <w:rtl/>
        </w:rPr>
        <w:sectPr w:rsidR="00D53B7D" w:rsidRPr="00BA7CD4" w:rsidSect="009B7664">
          <w:type w:val="continuous"/>
          <w:pgSz w:w="11906" w:h="16838"/>
          <w:pgMar w:top="720" w:right="720" w:bottom="720" w:left="720" w:header="283" w:footer="283" w:gutter="0"/>
          <w:cols w:num="2" w:space="567"/>
          <w:titlePg/>
          <w:bidi/>
          <w:rtlGutter/>
          <w:docGrid w:linePitch="299"/>
        </w:sectPr>
      </w:pPr>
    </w:p>
    <w:p w14:paraId="0F887677" w14:textId="77777777" w:rsidR="00D53B7D" w:rsidRDefault="00D53B7D" w:rsidP="00D53B7D">
      <w:pPr>
        <w:keepNext/>
        <w:tabs>
          <w:tab w:val="left" w:pos="1163"/>
        </w:tabs>
        <w:spacing w:after="120" w:line="240" w:lineRule="auto"/>
        <w:ind w:left="0"/>
        <w:rPr>
          <w:rFonts w:ascii="Guttman Hodes" w:eastAsia="Guttman Hodes" w:hAnsi="Guttman Hodes" w:cs="Guttman Hodes"/>
          <w:noProof/>
          <w:sz w:val="18"/>
          <w:szCs w:val="18"/>
        </w:rPr>
        <w:sectPr w:rsidR="00D53B7D" w:rsidSect="007452E4">
          <w:type w:val="continuous"/>
          <w:pgSz w:w="11906" w:h="16838"/>
          <w:pgMar w:top="720" w:right="720" w:bottom="720" w:left="720" w:header="283" w:footer="283" w:gutter="0"/>
          <w:cols w:space="567"/>
          <w:bidi/>
          <w:rtlGutter/>
          <w:docGrid w:linePitch="299"/>
        </w:sectPr>
      </w:pPr>
    </w:p>
    <w:p w14:paraId="01356643" w14:textId="77777777" w:rsidR="00D53B7D" w:rsidRPr="0061208F" w:rsidRDefault="004B65FC" w:rsidP="00D53B7D">
      <w:pPr>
        <w:keepNext/>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4299AF4B">
          <v:shape id="_x0000_i1039" type="#_x0000_t75" style="width:404.55pt;height:6.8pt" o:hrpct="0" o:hralign="center" o:hr="t">
            <v:imagedata r:id="rId21" o:title="BD14845_"/>
          </v:shape>
        </w:pict>
      </w:r>
      <w:r w:rsidR="00D53B7D" w:rsidRPr="0061208F">
        <w:rPr>
          <w:rFonts w:ascii="Guttman Hodes" w:eastAsia="Guttman Hodes" w:hAnsi="Guttman Hodes" w:cs="Guttman Hodes" w:hint="cs"/>
          <w:noProof/>
          <w:sz w:val="18"/>
          <w:szCs w:val="18"/>
          <w:rtl/>
        </w:rPr>
        <w:t xml:space="preserve"> </w:t>
      </w:r>
    </w:p>
    <w:p w14:paraId="78A0C033" w14:textId="77777777" w:rsidR="00D53B7D" w:rsidRPr="004B27F1" w:rsidRDefault="00D53B7D" w:rsidP="006D6D32">
      <w:pPr>
        <w:pStyle w:val="afe"/>
        <w:rPr>
          <w:rtl/>
        </w:rPr>
      </w:pPr>
      <w:bookmarkStart w:id="13743" w:name="_Toc531894164"/>
      <w:bookmarkStart w:id="13744" w:name="_Toc531894189"/>
      <w:bookmarkStart w:id="13745" w:name="_Toc532203009"/>
      <w:bookmarkStart w:id="13746" w:name="_Toc532302176"/>
      <w:bookmarkStart w:id="13747" w:name="_Toc532453978"/>
      <w:bookmarkStart w:id="13748" w:name="_Toc532454012"/>
      <w:bookmarkStart w:id="13749" w:name="_Toc532550671"/>
      <w:bookmarkStart w:id="13750" w:name="_Toc532550737"/>
      <w:bookmarkStart w:id="13751" w:name="_Toc532810245"/>
      <w:bookmarkStart w:id="13752" w:name="_Toc532844844"/>
      <w:bookmarkStart w:id="13753" w:name="_Toc532849453"/>
      <w:bookmarkStart w:id="13754" w:name="_Toc532897091"/>
      <w:bookmarkStart w:id="13755" w:name="_Toc532901866"/>
      <w:bookmarkStart w:id="13756" w:name="_Toc532976863"/>
      <w:bookmarkStart w:id="13757" w:name="_Toc532982541"/>
      <w:bookmarkStart w:id="13758" w:name="_Toc532982699"/>
      <w:bookmarkStart w:id="13759" w:name="_Toc19435858"/>
      <w:bookmarkStart w:id="13760" w:name="_Toc20081099"/>
      <w:r>
        <w:rPr>
          <w:rFonts w:hint="cs"/>
          <w:rtl/>
        </w:rPr>
        <w:t>ביאורי ראשי הישיבות על הסוגיא</w:t>
      </w:r>
      <w:bookmarkEnd w:id="13743"/>
      <w:bookmarkEnd w:id="13744"/>
      <w:bookmarkEnd w:id="13745"/>
      <w:bookmarkEnd w:id="13746"/>
      <w:bookmarkEnd w:id="13747"/>
      <w:bookmarkEnd w:id="13748"/>
      <w:bookmarkEnd w:id="13749"/>
      <w:bookmarkEnd w:id="13750"/>
      <w:bookmarkEnd w:id="13751"/>
      <w:bookmarkEnd w:id="13752"/>
      <w:bookmarkEnd w:id="13753"/>
      <w:bookmarkEnd w:id="13754"/>
      <w:bookmarkEnd w:id="13755"/>
      <w:bookmarkEnd w:id="13756"/>
      <w:bookmarkEnd w:id="13757"/>
      <w:bookmarkEnd w:id="13758"/>
      <w:bookmarkEnd w:id="13759"/>
      <w:bookmarkEnd w:id="13760"/>
    </w:p>
    <w:p w14:paraId="49FA56A5" w14:textId="77777777" w:rsidR="00D53B7D" w:rsidRDefault="00D53B7D" w:rsidP="006D6D32">
      <w:pPr>
        <w:pStyle w:val="afe"/>
        <w:rPr>
          <w:rtl/>
        </w:rPr>
        <w:sectPr w:rsidR="00D53B7D" w:rsidSect="008C5543">
          <w:pgSz w:w="11906" w:h="16838"/>
          <w:pgMar w:top="720" w:right="720" w:bottom="720" w:left="720" w:header="283" w:footer="283" w:gutter="0"/>
          <w:cols w:space="567"/>
          <w:bidi/>
          <w:rtlGutter/>
          <w:docGrid w:linePitch="299"/>
        </w:sectPr>
      </w:pPr>
    </w:p>
    <w:p w14:paraId="23DACF89" w14:textId="77777777" w:rsidR="00D53B7D" w:rsidRDefault="00D53B7D" w:rsidP="006D6D32">
      <w:pPr>
        <w:pStyle w:val="afe"/>
        <w:rPr>
          <w:rtl/>
        </w:rPr>
      </w:pPr>
      <w:bookmarkStart w:id="13761" w:name="_Toc532976864"/>
      <w:bookmarkStart w:id="13762" w:name="_Toc532982542"/>
      <w:bookmarkStart w:id="13763" w:name="_Toc532982700"/>
      <w:bookmarkStart w:id="13764" w:name="_Toc19435859"/>
      <w:bookmarkStart w:id="13765" w:name="_Toc20081100"/>
      <w:bookmarkStart w:id="13766" w:name="_Toc532550673"/>
      <w:bookmarkStart w:id="13767" w:name="_Toc532550739"/>
      <w:bookmarkStart w:id="13768" w:name="_Toc532810247"/>
      <w:bookmarkStart w:id="13769" w:name="_Toc532844846"/>
      <w:bookmarkStart w:id="13770" w:name="_Toc532849455"/>
      <w:bookmarkStart w:id="13771" w:name="_Toc532897093"/>
      <w:bookmarkStart w:id="13772" w:name="_Toc532901868"/>
      <w:bookmarkStart w:id="13773" w:name="_Toc532453979"/>
      <w:bookmarkStart w:id="13774" w:name="_Toc532454013"/>
      <w:r>
        <w:rPr>
          <w:rFonts w:hint="cs"/>
          <w:rtl/>
        </w:rPr>
        <w:t>בגדר השחיטה בשליש האחרון</w:t>
      </w:r>
      <w:bookmarkEnd w:id="13761"/>
      <w:bookmarkEnd w:id="13762"/>
      <w:bookmarkEnd w:id="13763"/>
      <w:bookmarkEnd w:id="13764"/>
      <w:bookmarkEnd w:id="13765"/>
    </w:p>
    <w:p w14:paraId="1C587B36" w14:textId="77777777" w:rsidR="00D53B7D" w:rsidRDefault="00D53B7D" w:rsidP="00BF39B2">
      <w:pPr>
        <w:pStyle w:val="1"/>
        <w:rPr>
          <w:rtl/>
        </w:rPr>
      </w:pPr>
      <w:bookmarkStart w:id="13775" w:name="_Toc532982543"/>
      <w:bookmarkStart w:id="13776" w:name="_Toc532982701"/>
      <w:bookmarkStart w:id="13777" w:name="_Toc19390806"/>
      <w:bookmarkStart w:id="13778" w:name="_Toc19394303"/>
      <w:r>
        <w:rPr>
          <w:rFonts w:hint="cs"/>
          <w:rtl/>
        </w:rPr>
        <w:t>קושית הגרא"ו היאך מהני שחיטת השליש האחרון</w:t>
      </w:r>
      <w:bookmarkEnd w:id="13775"/>
      <w:bookmarkEnd w:id="13776"/>
      <w:bookmarkEnd w:id="13777"/>
      <w:bookmarkEnd w:id="13778"/>
    </w:p>
    <w:p w14:paraId="097B8230" w14:textId="77777777" w:rsidR="00D53B7D" w:rsidRDefault="00D53B7D" w:rsidP="006D6D32">
      <w:pPr>
        <w:pStyle w:val="a3"/>
        <w:rPr>
          <w:rtl/>
        </w:rPr>
      </w:pPr>
      <w:bookmarkStart w:id="13779" w:name="_Toc532982544"/>
      <w:bookmarkStart w:id="13780" w:name="_Toc532982702"/>
      <w:bookmarkStart w:id="13781" w:name="_Toc19390807"/>
      <w:bookmarkStart w:id="13782" w:name="_Toc19394304"/>
      <w:r>
        <w:rPr>
          <w:rFonts w:hint="cs"/>
          <w:rtl/>
        </w:rPr>
        <w:t>קושית הגרא"ו דמדברי רב יהודה</w:t>
      </w:r>
      <w:r w:rsidRPr="00997372">
        <w:rPr>
          <w:rFonts w:hint="cs"/>
          <w:rtl/>
        </w:rPr>
        <w:t xml:space="preserve"> </w:t>
      </w:r>
      <w:r>
        <w:rPr>
          <w:rFonts w:hint="cs"/>
          <w:rtl/>
        </w:rPr>
        <w:t>קשה על דברי הרמב"ן דהשליש האחרון אינו מכשיר</w:t>
      </w:r>
      <w:bookmarkEnd w:id="13779"/>
      <w:bookmarkEnd w:id="13780"/>
      <w:bookmarkEnd w:id="13781"/>
      <w:bookmarkEnd w:id="13782"/>
      <w:r>
        <w:rPr>
          <w:rFonts w:hint="cs"/>
          <w:rtl/>
        </w:rPr>
        <w:t xml:space="preserve"> </w:t>
      </w:r>
    </w:p>
    <w:p w14:paraId="623E2E6C" w14:textId="77777777" w:rsidR="00D53B7D" w:rsidRDefault="00D53B7D" w:rsidP="00223668">
      <w:pPr>
        <w:pStyle w:val="a0"/>
        <w:rPr>
          <w:rtl/>
        </w:rPr>
      </w:pPr>
      <w:bookmarkStart w:id="13783" w:name="_Ref532982294"/>
      <w:bookmarkStart w:id="13784" w:name="_Toc532976865"/>
      <w:r>
        <w:rPr>
          <w:rFonts w:hint="cs"/>
          <w:rtl/>
        </w:rPr>
        <w:t xml:space="preserve">בדברי </w:t>
      </w:r>
      <w:r w:rsidRPr="00AA5946">
        <w:rPr>
          <w:rStyle w:val="af9"/>
          <w:rFonts w:hint="cs"/>
          <w:rtl/>
        </w:rPr>
        <w:t>רש"י</w:t>
      </w:r>
      <w:r>
        <w:rPr>
          <w:rFonts w:hint="cs"/>
          <w:rtl/>
        </w:rPr>
        <w:t xml:space="preserve"> </w:t>
      </w:r>
      <w:r w:rsidRPr="00AA5946">
        <w:rPr>
          <w:rStyle w:val="af7"/>
          <w:rFonts w:eastAsia="Guttman Hodes" w:hint="cs"/>
          <w:rtl/>
        </w:rPr>
        <w:t xml:space="preserve">(עי' אות </w:t>
      </w:r>
      <w:r w:rsidRPr="00AA5946">
        <w:rPr>
          <w:rStyle w:val="af7"/>
          <w:rFonts w:eastAsia="Guttman Hodes"/>
          <w:rtl/>
        </w:rPr>
        <w:fldChar w:fldCharType="begin"/>
      </w:r>
      <w:r w:rsidRPr="00AA5946">
        <w:rPr>
          <w:rStyle w:val="af7"/>
          <w:rFonts w:eastAsia="Guttman Hodes"/>
          <w:rtl/>
        </w:rPr>
        <w:instrText xml:space="preserve"> </w:instrText>
      </w:r>
      <w:r w:rsidRPr="00AA5946">
        <w:rPr>
          <w:rStyle w:val="af7"/>
          <w:rFonts w:eastAsia="Guttman Hodes" w:hint="cs"/>
        </w:rPr>
        <w:instrText>REF</w:instrText>
      </w:r>
      <w:r w:rsidRPr="00AA5946">
        <w:rPr>
          <w:rStyle w:val="af7"/>
          <w:rFonts w:eastAsia="Guttman Hodes" w:hint="cs"/>
          <w:rtl/>
        </w:rPr>
        <w:instrText xml:space="preserve"> _</w:instrText>
      </w:r>
      <w:r w:rsidRPr="00AA5946">
        <w:rPr>
          <w:rStyle w:val="af7"/>
          <w:rFonts w:eastAsia="Guttman Hodes" w:hint="cs"/>
        </w:rPr>
        <w:instrText>Ref532404612 \r \h</w:instrText>
      </w:r>
      <w:r w:rsidRPr="00AA5946">
        <w:rPr>
          <w:rStyle w:val="af7"/>
          <w:rFonts w:eastAsia="Guttman Hodes"/>
          <w:rtl/>
        </w:rPr>
        <w:instrText xml:space="preserve"> </w:instrText>
      </w:r>
      <w:r w:rsidRPr="00AA5946">
        <w:rPr>
          <w:rStyle w:val="af7"/>
          <w:rFonts w:eastAsia="Guttman Hodes"/>
          <w:rtl/>
        </w:rPr>
      </w:r>
      <w:r w:rsidRPr="00AA5946">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AA5946">
        <w:rPr>
          <w:rStyle w:val="af7"/>
          <w:rFonts w:eastAsia="Guttman Hodes"/>
          <w:rtl/>
        </w:rPr>
        <w:fldChar w:fldCharType="end"/>
      </w:r>
      <w:r>
        <w:rPr>
          <w:rFonts w:hint="cs"/>
          <w:rtl/>
        </w:rPr>
        <w:t xml:space="preserve"> דכתב דבהגרים שליש ושחט ב' שלישים, לא מהני שיוסיף כל שהוא בשחיטה כחצי קנה פגום, וצריך לשחוט ב' שלישים, והקשה עליו </w:t>
      </w:r>
      <w:r w:rsidRPr="00AA5946">
        <w:rPr>
          <w:rStyle w:val="af9"/>
          <w:rFonts w:hint="cs"/>
          <w:rtl/>
        </w:rPr>
        <w:t>הרמב"ן</w:t>
      </w:r>
      <w:r>
        <w:rPr>
          <w:rFonts w:hint="cs"/>
          <w:rtl/>
        </w:rPr>
        <w:t xml:space="preserve"> </w:t>
      </w:r>
      <w:r w:rsidRPr="00AA5946">
        <w:rPr>
          <w:rStyle w:val="af7"/>
          <w:rFonts w:eastAsia="Guttman Hodes" w:hint="cs"/>
          <w:rtl/>
        </w:rPr>
        <w:t xml:space="preserve">(עי' אות </w:t>
      </w:r>
      <w:r w:rsidRPr="00AA5946">
        <w:rPr>
          <w:rStyle w:val="af7"/>
          <w:rFonts w:eastAsia="Guttman Hodes"/>
          <w:rtl/>
        </w:rPr>
        <w:fldChar w:fldCharType="begin"/>
      </w:r>
      <w:r w:rsidRPr="00AA5946">
        <w:rPr>
          <w:rStyle w:val="af7"/>
          <w:rFonts w:eastAsia="Guttman Hodes"/>
          <w:rtl/>
        </w:rPr>
        <w:instrText xml:space="preserve"> </w:instrText>
      </w:r>
      <w:r w:rsidRPr="00AA5946">
        <w:rPr>
          <w:rStyle w:val="af7"/>
          <w:rFonts w:eastAsia="Guttman Hodes" w:hint="cs"/>
        </w:rPr>
        <w:instrText>REF</w:instrText>
      </w:r>
      <w:r w:rsidRPr="00AA5946">
        <w:rPr>
          <w:rStyle w:val="af7"/>
          <w:rFonts w:eastAsia="Guttman Hodes" w:hint="cs"/>
          <w:rtl/>
        </w:rPr>
        <w:instrText xml:space="preserve"> _</w:instrText>
      </w:r>
      <w:r w:rsidRPr="00AA5946">
        <w:rPr>
          <w:rStyle w:val="af7"/>
          <w:rFonts w:eastAsia="Guttman Hodes" w:hint="cs"/>
        </w:rPr>
        <w:instrText>Ref532836338 \r \h</w:instrText>
      </w:r>
      <w:r w:rsidRPr="00AA5946">
        <w:rPr>
          <w:rStyle w:val="af7"/>
          <w:rFonts w:eastAsia="Guttman Hodes"/>
          <w:rtl/>
        </w:rPr>
        <w:instrText xml:space="preserve"> </w:instrText>
      </w:r>
      <w:r w:rsidRPr="00AA5946">
        <w:rPr>
          <w:rStyle w:val="af7"/>
          <w:rFonts w:eastAsia="Guttman Hodes"/>
          <w:rtl/>
        </w:rPr>
      </w:r>
      <w:r w:rsidRPr="00AA5946">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AA5946">
        <w:rPr>
          <w:rStyle w:val="af7"/>
          <w:rFonts w:eastAsia="Guttman Hodes"/>
          <w:rtl/>
        </w:rPr>
        <w:fldChar w:fldCharType="end"/>
      </w:r>
      <w:r>
        <w:rPr>
          <w:rFonts w:hint="cs"/>
          <w:rtl/>
        </w:rPr>
        <w:t xml:space="preserve"> דהשליש האחרון לא מהני להכשיר את השחיטה, דאחר ששחט את רוב הסימן יצאה החיות, וביאר </w:t>
      </w:r>
      <w:r w:rsidRPr="00AA5946">
        <w:rPr>
          <w:rStyle w:val="af9"/>
          <w:rFonts w:hint="cs"/>
          <w:rtl/>
        </w:rPr>
        <w:t>הרמב"ן</w:t>
      </w:r>
      <w:r>
        <w:rPr>
          <w:rFonts w:hint="cs"/>
          <w:rtl/>
        </w:rPr>
        <w:t xml:space="preserve"> </w:t>
      </w:r>
      <w:r w:rsidRPr="00AA5946">
        <w:rPr>
          <w:rStyle w:val="af7"/>
          <w:rFonts w:eastAsia="Guttman Hodes" w:hint="cs"/>
          <w:rtl/>
        </w:rPr>
        <w:t xml:space="preserve">(עי' אות </w:t>
      </w:r>
      <w:r w:rsidRPr="00AA5946">
        <w:rPr>
          <w:rStyle w:val="af7"/>
          <w:rFonts w:eastAsia="Guttman Hodes"/>
          <w:rtl/>
        </w:rPr>
        <w:fldChar w:fldCharType="begin"/>
      </w:r>
      <w:r w:rsidRPr="00AA5946">
        <w:rPr>
          <w:rStyle w:val="af7"/>
          <w:rFonts w:eastAsia="Guttman Hodes"/>
          <w:rtl/>
        </w:rPr>
        <w:instrText xml:space="preserve"> </w:instrText>
      </w:r>
      <w:r w:rsidRPr="00AA5946">
        <w:rPr>
          <w:rStyle w:val="af7"/>
          <w:rFonts w:eastAsia="Guttman Hodes" w:hint="cs"/>
        </w:rPr>
        <w:instrText>REF</w:instrText>
      </w:r>
      <w:r w:rsidRPr="00AA5946">
        <w:rPr>
          <w:rStyle w:val="af7"/>
          <w:rFonts w:eastAsia="Guttman Hodes" w:hint="cs"/>
          <w:rtl/>
        </w:rPr>
        <w:instrText xml:space="preserve"> _</w:instrText>
      </w:r>
      <w:r w:rsidRPr="00AA5946">
        <w:rPr>
          <w:rStyle w:val="af7"/>
          <w:rFonts w:eastAsia="Guttman Hodes" w:hint="cs"/>
        </w:rPr>
        <w:instrText>Ref532832177 \r \h</w:instrText>
      </w:r>
      <w:r w:rsidRPr="00AA5946">
        <w:rPr>
          <w:rStyle w:val="af7"/>
          <w:rFonts w:eastAsia="Guttman Hodes"/>
          <w:rtl/>
        </w:rPr>
        <w:instrText xml:space="preserve"> </w:instrText>
      </w:r>
      <w:r w:rsidRPr="00AA5946">
        <w:rPr>
          <w:rStyle w:val="af7"/>
          <w:rFonts w:eastAsia="Guttman Hodes"/>
          <w:rtl/>
        </w:rPr>
      </w:r>
      <w:r w:rsidRPr="00AA5946">
        <w:rPr>
          <w:rStyle w:val="af7"/>
          <w:rFonts w:eastAsia="Guttman Hodes"/>
          <w:rtl/>
        </w:rPr>
        <w:fldChar w:fldCharType="separate"/>
      </w:r>
      <w:r w:rsidR="00345400">
        <w:rPr>
          <w:rStyle w:val="af7"/>
          <w:rFonts w:eastAsia="Guttman Hodes"/>
          <w:cs/>
        </w:rPr>
        <w:t>‎</w:t>
      </w:r>
      <w:r w:rsidR="00345400">
        <w:rPr>
          <w:rStyle w:val="af7"/>
          <w:rFonts w:eastAsia="Guttman Hodes"/>
          <w:rtl/>
        </w:rPr>
        <w:t>ט)</w:t>
      </w:r>
      <w:r w:rsidRPr="00AA5946">
        <w:rPr>
          <w:rStyle w:val="af7"/>
          <w:rFonts w:eastAsia="Guttman Hodes"/>
          <w:rtl/>
        </w:rPr>
        <w:fldChar w:fldCharType="end"/>
      </w:r>
      <w:r>
        <w:rPr>
          <w:rFonts w:hint="cs"/>
          <w:rtl/>
        </w:rPr>
        <w:t xml:space="preserve"> דסגי שיוסיף בשחיטה עד שישלים לרוב, הקשה הקשה </w:t>
      </w:r>
      <w:r w:rsidRPr="007452E4">
        <w:rPr>
          <w:rStyle w:val="af9"/>
          <w:rFonts w:hint="cs"/>
          <w:rtl/>
        </w:rPr>
        <w:t>הגרא"ו</w:t>
      </w:r>
      <w:r>
        <w:rPr>
          <w:rFonts w:hint="cs"/>
          <w:rtl/>
        </w:rPr>
        <w:t xml:space="preserve"> </w:t>
      </w:r>
      <w:r w:rsidRPr="00F11B3A">
        <w:rPr>
          <w:rStyle w:val="af7"/>
          <w:rFonts w:eastAsia="Guttman Hodes" w:hint="cs"/>
          <w:rtl/>
        </w:rPr>
        <w:t>(ב</w:t>
      </w:r>
      <w:r>
        <w:rPr>
          <w:rStyle w:val="af7"/>
          <w:rFonts w:eastAsia="Guttman Hodes" w:hint="cs"/>
          <w:rtl/>
        </w:rPr>
        <w:t xml:space="preserve">ספר </w:t>
      </w:r>
      <w:r w:rsidRPr="00F11B3A">
        <w:rPr>
          <w:rStyle w:val="af7"/>
          <w:rFonts w:eastAsia="Guttman Hodes" w:hint="cs"/>
          <w:rtl/>
        </w:rPr>
        <w:t xml:space="preserve">קובץ עניינים בסוגיין ד"ה </w:t>
      </w:r>
      <w:r>
        <w:rPr>
          <w:rStyle w:val="af7"/>
          <w:rFonts w:eastAsia="Guttman Hodes" w:hint="cs"/>
          <w:rtl/>
        </w:rPr>
        <w:t>מידי</w:t>
      </w:r>
      <w:r w:rsidRPr="00F11B3A">
        <w:rPr>
          <w:rStyle w:val="af7"/>
          <w:rFonts w:eastAsia="Guttman Hodes" w:hint="cs"/>
          <w:rtl/>
        </w:rPr>
        <w:t>)</w:t>
      </w:r>
      <w:r>
        <w:rPr>
          <w:rFonts w:hint="cs"/>
          <w:rtl/>
        </w:rPr>
        <w:t xml:space="preserve"> דאף לדעת </w:t>
      </w:r>
      <w:r w:rsidRPr="00AA5946">
        <w:rPr>
          <w:rStyle w:val="af9"/>
          <w:rFonts w:hint="cs"/>
          <w:rtl/>
        </w:rPr>
        <w:t>הרמב"ן</w:t>
      </w:r>
      <w:r>
        <w:rPr>
          <w:rFonts w:hint="cs"/>
          <w:rtl/>
        </w:rPr>
        <w:t xml:space="preserve"> קשה האיך מהני השליש האחרון להכשיר לדעת רב יהודה דהכשיר בשחט והגרים ושחט, הרי כבר יצאה החיות ברוב הסימן, וכדהקשה </w:t>
      </w:r>
      <w:r w:rsidRPr="00AA5946">
        <w:rPr>
          <w:rStyle w:val="af9"/>
          <w:rFonts w:hint="cs"/>
          <w:rtl/>
        </w:rPr>
        <w:t>הרמב"ן</w:t>
      </w:r>
      <w:r>
        <w:rPr>
          <w:rFonts w:hint="cs"/>
          <w:rtl/>
        </w:rPr>
        <w:t xml:space="preserve"> על </w:t>
      </w:r>
      <w:r w:rsidRPr="00AA5946">
        <w:rPr>
          <w:rStyle w:val="af9"/>
          <w:rFonts w:hint="cs"/>
          <w:rtl/>
        </w:rPr>
        <w:t>רש"י</w:t>
      </w:r>
      <w:r>
        <w:rPr>
          <w:rFonts w:hint="cs"/>
          <w:rtl/>
        </w:rPr>
        <w:t>.</w:t>
      </w:r>
      <w:bookmarkEnd w:id="13783"/>
      <w:r>
        <w:rPr>
          <w:rFonts w:hint="cs"/>
          <w:rtl/>
        </w:rPr>
        <w:t xml:space="preserve"> </w:t>
      </w:r>
    </w:p>
    <w:p w14:paraId="0687CDEA" w14:textId="77777777" w:rsidR="00D53B7D" w:rsidRDefault="00D53B7D" w:rsidP="00BF39B2">
      <w:pPr>
        <w:pStyle w:val="1"/>
        <w:rPr>
          <w:rtl/>
        </w:rPr>
      </w:pPr>
      <w:bookmarkStart w:id="13785" w:name="_Toc532982545"/>
      <w:bookmarkStart w:id="13786" w:name="_Toc532982703"/>
      <w:bookmarkStart w:id="13787" w:name="_Toc19390808"/>
      <w:bookmarkStart w:id="13788" w:name="_Toc19394305"/>
      <w:r>
        <w:rPr>
          <w:rFonts w:hint="cs"/>
          <w:rtl/>
        </w:rPr>
        <w:t>דברי האמרי משה</w:t>
      </w:r>
      <w:bookmarkEnd w:id="13766"/>
      <w:bookmarkEnd w:id="13767"/>
      <w:bookmarkEnd w:id="13768"/>
      <w:bookmarkEnd w:id="13769"/>
      <w:bookmarkEnd w:id="13770"/>
      <w:bookmarkEnd w:id="13771"/>
      <w:bookmarkEnd w:id="13772"/>
      <w:r>
        <w:rPr>
          <w:rFonts w:hint="cs"/>
          <w:rtl/>
        </w:rPr>
        <w:t xml:space="preserve"> דכל שנשחט השליש האחרון יש לו דין שחוט</w:t>
      </w:r>
      <w:bookmarkEnd w:id="13784"/>
      <w:bookmarkEnd w:id="13785"/>
      <w:bookmarkEnd w:id="13786"/>
      <w:bookmarkEnd w:id="13787"/>
      <w:bookmarkEnd w:id="13788"/>
    </w:p>
    <w:p w14:paraId="22F333F8" w14:textId="77777777" w:rsidR="00D53B7D" w:rsidRDefault="00D53B7D" w:rsidP="006D6D32">
      <w:pPr>
        <w:pStyle w:val="a3"/>
        <w:rPr>
          <w:rtl/>
        </w:rPr>
      </w:pPr>
      <w:bookmarkStart w:id="13789" w:name="_Toc532976866"/>
      <w:bookmarkStart w:id="13790" w:name="_Toc532982546"/>
      <w:bookmarkStart w:id="13791" w:name="_Toc532982704"/>
      <w:bookmarkStart w:id="13792" w:name="_Toc19390809"/>
      <w:bookmarkStart w:id="13793" w:name="_Toc19394306"/>
      <w:r>
        <w:rPr>
          <w:rFonts w:hint="cs"/>
          <w:rtl/>
        </w:rPr>
        <w:t>קושית האמרי משה דאחר שנשחט הרוב הוא כמנח בדיקולא והאיך מהני השליש האחרון</w:t>
      </w:r>
      <w:bookmarkEnd w:id="13789"/>
      <w:bookmarkEnd w:id="13790"/>
      <w:bookmarkEnd w:id="13791"/>
      <w:bookmarkEnd w:id="13792"/>
      <w:bookmarkEnd w:id="13793"/>
    </w:p>
    <w:p w14:paraId="671D8024" w14:textId="77777777" w:rsidR="00D53B7D" w:rsidRDefault="00D53B7D" w:rsidP="00223668">
      <w:pPr>
        <w:pStyle w:val="a0"/>
        <w:rPr>
          <w:rtl/>
        </w:rPr>
      </w:pPr>
      <w:bookmarkStart w:id="13794" w:name="_Ref532469349"/>
      <w:r>
        <w:rPr>
          <w:rFonts w:hint="cs"/>
          <w:rtl/>
        </w:rPr>
        <w:t xml:space="preserve">הביא </w:t>
      </w:r>
      <w:r w:rsidRPr="004B27F1">
        <w:rPr>
          <w:rStyle w:val="af9"/>
          <w:rFonts w:hint="cs"/>
          <w:rtl/>
        </w:rPr>
        <w:t>האמרי משה</w:t>
      </w:r>
      <w:r>
        <w:rPr>
          <w:rFonts w:hint="cs"/>
          <w:rtl/>
        </w:rPr>
        <w:t xml:space="preserve"> </w:t>
      </w:r>
      <w:r w:rsidRPr="00787761">
        <w:rPr>
          <w:rStyle w:val="af7"/>
          <w:rFonts w:eastAsia="Guttman Hodes" w:hint="cs"/>
          <w:rtl/>
        </w:rPr>
        <w:t>(סי' ב' אות ג')</w:t>
      </w:r>
      <w:r>
        <w:rPr>
          <w:rFonts w:hint="cs"/>
          <w:rtl/>
        </w:rPr>
        <w:t xml:space="preserve"> דכתבו </w:t>
      </w:r>
      <w:r w:rsidRPr="004B27F1">
        <w:rPr>
          <w:rStyle w:val="af9"/>
          <w:rFonts w:hint="cs"/>
          <w:rtl/>
        </w:rPr>
        <w:t>הראשונים לקמן</w:t>
      </w:r>
      <w:r>
        <w:rPr>
          <w:rFonts w:hint="cs"/>
          <w:rtl/>
        </w:rPr>
        <w:t xml:space="preserve"> </w:t>
      </w:r>
      <w:r w:rsidRPr="00787761">
        <w:rPr>
          <w:rStyle w:val="af7"/>
          <w:rFonts w:eastAsia="Guttman Hodes" w:hint="cs"/>
          <w:rtl/>
        </w:rPr>
        <w:t>(לב.)</w:t>
      </w:r>
      <w:r>
        <w:rPr>
          <w:rFonts w:hint="cs"/>
          <w:rtl/>
        </w:rPr>
        <w:t xml:space="preserve"> דאף דלא קיי"ל כר"ז דאחר שחיטת רוב סימן הבהמה כמנחא בדיקולא, ולא שייך בה טריפה, מ"מ אף לדידן הסימן עצמו חשיב כמאן דמנח בדיקולא, והקשה </w:t>
      </w:r>
      <w:r w:rsidRPr="005920F3">
        <w:rPr>
          <w:rStyle w:val="af9"/>
          <w:rFonts w:hint="cs"/>
          <w:rtl/>
        </w:rPr>
        <w:t>האמרי משה</w:t>
      </w:r>
      <w:r>
        <w:rPr>
          <w:rFonts w:hint="cs"/>
          <w:rtl/>
        </w:rPr>
        <w:t xml:space="preserve"> א"כ האיך שייך לומר דהשליש האחרון יכול להכשיר את השחיטה, הרי כל הסימן כמאן דמנח בדיקולא.</w:t>
      </w:r>
      <w:bookmarkEnd w:id="13794"/>
    </w:p>
    <w:p w14:paraId="71C9D71E" w14:textId="77777777" w:rsidR="00D53B7D" w:rsidRDefault="00D53B7D" w:rsidP="006D6D32">
      <w:pPr>
        <w:pStyle w:val="a3"/>
        <w:rPr>
          <w:rtl/>
        </w:rPr>
      </w:pPr>
      <w:bookmarkStart w:id="13795" w:name="_Toc532976867"/>
      <w:bookmarkStart w:id="13796" w:name="_Toc532982547"/>
      <w:bookmarkStart w:id="13797" w:name="_Toc532982705"/>
      <w:bookmarkStart w:id="13798" w:name="_Toc19390810"/>
      <w:bookmarkStart w:id="13799" w:name="_Toc19394307"/>
      <w:r>
        <w:rPr>
          <w:rFonts w:hint="cs"/>
          <w:rtl/>
        </w:rPr>
        <w:t>ביאור האמרי משה דכששוחט את כל הסימן אף השליש האחרון בכלל ההכשר שחיטה</w:t>
      </w:r>
      <w:bookmarkEnd w:id="13795"/>
      <w:bookmarkEnd w:id="13796"/>
      <w:bookmarkEnd w:id="13797"/>
      <w:bookmarkEnd w:id="13798"/>
      <w:bookmarkEnd w:id="13799"/>
    </w:p>
    <w:p w14:paraId="674E8545" w14:textId="77777777" w:rsidR="00D53B7D" w:rsidRDefault="00D53B7D" w:rsidP="00223668">
      <w:pPr>
        <w:pStyle w:val="a0"/>
        <w:rPr>
          <w:rtl/>
        </w:rPr>
      </w:pPr>
      <w:r>
        <w:rPr>
          <w:rFonts w:hint="cs"/>
          <w:rtl/>
        </w:rPr>
        <w:t xml:space="preserve">וביאר </w:t>
      </w:r>
      <w:r w:rsidRPr="004B27F1">
        <w:rPr>
          <w:rStyle w:val="af9"/>
          <w:rFonts w:hint="cs"/>
          <w:rtl/>
        </w:rPr>
        <w:t>האמרי משה</w:t>
      </w:r>
      <w:r>
        <w:rPr>
          <w:rFonts w:hint="cs"/>
          <w:rtl/>
        </w:rPr>
        <w:t xml:space="preserve"> דכיון דמדאו' צריך לשחוט לכתחילה את כל הסימן, והא דהשחיטה כשרה בשחיטת רוב הסימן הוא מדין רובו ככולו, ולכן כששוחט את כל הסימן, אף השליש האחרון הוא בכלל ההכשר שחיטה, ודוקא אם הניח אחר שחיטת הרוב, אפשר להכשיר מדין רובו ככולו, ולכן במקום שגמר את כל השחיטה, אף השליש האחרון מצטרף לרוב להכשיר את השחיטה, כיון שיש בו דין שחיטה. </w:t>
      </w:r>
    </w:p>
    <w:p w14:paraId="4A5B8D25" w14:textId="77777777" w:rsidR="00D53B7D" w:rsidRDefault="00D53B7D" w:rsidP="006D6D32">
      <w:pPr>
        <w:pStyle w:val="a3"/>
        <w:rPr>
          <w:rtl/>
        </w:rPr>
      </w:pPr>
      <w:bookmarkStart w:id="13800" w:name="_Toc532976868"/>
      <w:bookmarkStart w:id="13801" w:name="_Toc532982548"/>
      <w:bookmarkStart w:id="13802" w:name="_Toc532982706"/>
      <w:bookmarkStart w:id="13803" w:name="_Toc19390811"/>
      <w:bookmarkStart w:id="13804" w:name="_Toc19394308"/>
      <w:r>
        <w:rPr>
          <w:rFonts w:hint="cs"/>
          <w:rtl/>
        </w:rPr>
        <w:t>דברי האמרי משה דכשאין הכשר בשחיטת ב' השלישים הראשונים לכו"ע מצטרף השליש האחרון</w:t>
      </w:r>
      <w:bookmarkEnd w:id="13800"/>
      <w:bookmarkEnd w:id="13801"/>
      <w:bookmarkEnd w:id="13802"/>
      <w:bookmarkEnd w:id="13803"/>
      <w:bookmarkEnd w:id="13804"/>
      <w:r>
        <w:rPr>
          <w:rFonts w:hint="cs"/>
          <w:rtl/>
        </w:rPr>
        <w:t xml:space="preserve"> </w:t>
      </w:r>
    </w:p>
    <w:p w14:paraId="35429F8E" w14:textId="77777777" w:rsidR="00D53B7D" w:rsidRDefault="00D53B7D" w:rsidP="00223668">
      <w:pPr>
        <w:pStyle w:val="a0"/>
        <w:rPr>
          <w:rtl/>
        </w:rPr>
      </w:pPr>
      <w:r>
        <w:rPr>
          <w:rFonts w:hint="cs"/>
          <w:rtl/>
        </w:rPr>
        <w:t xml:space="preserve">וכתב </w:t>
      </w:r>
      <w:r w:rsidRPr="004B27F1">
        <w:rPr>
          <w:rStyle w:val="af9"/>
          <w:rFonts w:hint="cs"/>
          <w:rtl/>
        </w:rPr>
        <w:t>האמרי משה</w:t>
      </w:r>
      <w:r>
        <w:rPr>
          <w:rFonts w:hint="cs"/>
          <w:rtl/>
        </w:rPr>
        <w:t xml:space="preserve"> דאף </w:t>
      </w:r>
      <w:r w:rsidRPr="007E3A52">
        <w:rPr>
          <w:rStyle w:val="af9"/>
          <w:rFonts w:hint="cs"/>
          <w:rtl/>
        </w:rPr>
        <w:t xml:space="preserve">לראשונים </w:t>
      </w:r>
      <w:r>
        <w:rPr>
          <w:rFonts w:hint="cs"/>
          <w:rtl/>
        </w:rPr>
        <w:t>דס"ל דשהיה במיעוט בתרא אינה פוסלת, היינו דוקא אחר ששחט את רוב הסימן בכשרות, דנגמרה כבר השחיטה בהכשר, והשליש האחרון הוא מיותר, אבל בהגרים בשליש האמצעי או בשליש הראשון, דבלא המיעוט בתרא אין רוב בשחיטה, וא"א להכשיר את השחיטה ע"י רובו ככולו, בכה"ג מודו הראשונים דהשליש האחרון מצטרף להכשיר את השחיטה.</w:t>
      </w:r>
    </w:p>
    <w:p w14:paraId="57EFDFA1" w14:textId="77777777" w:rsidR="00D53B7D" w:rsidRPr="00286E55" w:rsidRDefault="00D53B7D" w:rsidP="006D6D32">
      <w:pPr>
        <w:pStyle w:val="a3"/>
        <w:rPr>
          <w:rtl/>
        </w:rPr>
      </w:pPr>
      <w:bookmarkStart w:id="13805" w:name="_Toc532976869"/>
      <w:bookmarkStart w:id="13806" w:name="_Toc532982549"/>
      <w:bookmarkStart w:id="13807" w:name="_Toc532982707"/>
      <w:bookmarkStart w:id="13808" w:name="_Toc19390812"/>
      <w:bookmarkStart w:id="13809" w:name="_Toc19394309"/>
      <w:r>
        <w:rPr>
          <w:rFonts w:hint="cs"/>
          <w:rtl/>
        </w:rPr>
        <w:t>תירוץ האמרי משה דכל שלא נשחט השליש האחרון יש לו דין שחיטה ואינו כמנח בדיקולא</w:t>
      </w:r>
      <w:bookmarkEnd w:id="13805"/>
      <w:bookmarkEnd w:id="13806"/>
      <w:bookmarkEnd w:id="13807"/>
      <w:bookmarkEnd w:id="13808"/>
      <w:bookmarkEnd w:id="13809"/>
    </w:p>
    <w:p w14:paraId="2863038C" w14:textId="77777777" w:rsidR="00D53B7D" w:rsidRDefault="00D53B7D" w:rsidP="00223668">
      <w:pPr>
        <w:pStyle w:val="a0"/>
        <w:rPr>
          <w:rtl/>
        </w:rPr>
      </w:pPr>
      <w:r>
        <w:rPr>
          <w:rFonts w:hint="cs"/>
          <w:rtl/>
        </w:rPr>
        <w:t xml:space="preserve">ובזה תירץ </w:t>
      </w:r>
      <w:r w:rsidRPr="004B27F1">
        <w:rPr>
          <w:rStyle w:val="af9"/>
          <w:rFonts w:hint="cs"/>
          <w:rtl/>
        </w:rPr>
        <w:t>האמרי</w:t>
      </w:r>
      <w:r w:rsidRPr="00BC0C0B">
        <w:rPr>
          <w:rStyle w:val="af9"/>
          <w:rFonts w:hint="cs"/>
          <w:rtl/>
        </w:rPr>
        <w:t xml:space="preserve"> משה</w:t>
      </w:r>
      <w:r>
        <w:rPr>
          <w:rFonts w:hint="cs"/>
          <w:rtl/>
        </w:rPr>
        <w:t xml:space="preserve"> דשחיטת השליש האחרון לא דמי לדברי </w:t>
      </w:r>
      <w:r w:rsidRPr="004B27F1">
        <w:rPr>
          <w:rStyle w:val="af9"/>
          <w:rFonts w:hint="cs"/>
          <w:rtl/>
        </w:rPr>
        <w:t>הראשונים לקמן</w:t>
      </w:r>
      <w:r>
        <w:rPr>
          <w:rFonts w:hint="cs"/>
          <w:rtl/>
        </w:rPr>
        <w:t xml:space="preserve"> </w:t>
      </w:r>
      <w:r w:rsidRPr="00787761">
        <w:rPr>
          <w:rStyle w:val="af7"/>
          <w:rFonts w:eastAsia="Guttman Hodes" w:hint="cs"/>
          <w:rtl/>
        </w:rPr>
        <w:t xml:space="preserve">(עי' אות </w:t>
      </w:r>
      <w:r w:rsidRPr="00787761">
        <w:rPr>
          <w:rStyle w:val="af7"/>
          <w:rFonts w:eastAsia="Guttman Hodes"/>
          <w:rtl/>
        </w:rPr>
        <w:fldChar w:fldCharType="begin"/>
      </w:r>
      <w:r w:rsidRPr="00787761">
        <w:rPr>
          <w:rStyle w:val="af7"/>
          <w:rFonts w:eastAsia="Guttman Hodes"/>
          <w:rtl/>
        </w:rPr>
        <w:instrText xml:space="preserve"> </w:instrText>
      </w:r>
      <w:r w:rsidRPr="00787761">
        <w:rPr>
          <w:rStyle w:val="af7"/>
          <w:rFonts w:eastAsia="Guttman Hodes" w:hint="cs"/>
        </w:rPr>
        <w:instrText>REF</w:instrText>
      </w:r>
      <w:r w:rsidRPr="00787761">
        <w:rPr>
          <w:rStyle w:val="af7"/>
          <w:rFonts w:eastAsia="Guttman Hodes" w:hint="cs"/>
          <w:rtl/>
        </w:rPr>
        <w:instrText xml:space="preserve"> _</w:instrText>
      </w:r>
      <w:r w:rsidRPr="00787761">
        <w:rPr>
          <w:rStyle w:val="af7"/>
          <w:rFonts w:eastAsia="Guttman Hodes" w:hint="cs"/>
        </w:rPr>
        <w:instrText>Ref532469349 \r \h</w:instrText>
      </w:r>
      <w:r w:rsidRPr="00787761">
        <w:rPr>
          <w:rStyle w:val="af7"/>
          <w:rFonts w:eastAsia="Guttman Hodes"/>
          <w:rtl/>
        </w:rPr>
        <w:instrText xml:space="preserve"> </w:instrText>
      </w:r>
      <w:r w:rsidRPr="00787761">
        <w:rPr>
          <w:rStyle w:val="af7"/>
          <w:rFonts w:eastAsia="Guttman Hodes"/>
          <w:rtl/>
        </w:rPr>
      </w:r>
      <w:r w:rsidRPr="00787761">
        <w:rPr>
          <w:rStyle w:val="af7"/>
          <w:rFonts w:eastAsia="Guttman Hodes"/>
          <w:rtl/>
        </w:rPr>
        <w:fldChar w:fldCharType="separate"/>
      </w:r>
      <w:r w:rsidR="00345400">
        <w:rPr>
          <w:rStyle w:val="af7"/>
          <w:rFonts w:eastAsia="Guttman Hodes"/>
          <w:cs/>
        </w:rPr>
        <w:t>‎</w:t>
      </w:r>
      <w:r w:rsidR="00345400">
        <w:rPr>
          <w:rStyle w:val="af7"/>
          <w:rFonts w:eastAsia="Guttman Hodes"/>
          <w:rtl/>
        </w:rPr>
        <w:t>צה)</w:t>
      </w:r>
      <w:r w:rsidRPr="00787761">
        <w:rPr>
          <w:rStyle w:val="af7"/>
          <w:rFonts w:eastAsia="Guttman Hodes"/>
          <w:rtl/>
        </w:rPr>
        <w:fldChar w:fldCharType="end"/>
      </w:r>
      <w:r>
        <w:rPr>
          <w:rFonts w:hint="cs"/>
          <w:rtl/>
        </w:rPr>
        <w:t xml:space="preserve"> דכתבו לענין טריפה חשיב הסימן כמנח בדיקולא, דהיינו רק במקום שנחתך, אבל בשליש האחרון שלא נחתך ועדיין הוא שלם ויש בו דין שחיטה </w:t>
      </w:r>
      <w:r w:rsidRPr="00787761">
        <w:rPr>
          <w:rStyle w:val="afb"/>
          <w:rFonts w:hint="cs"/>
          <w:rtl/>
        </w:rPr>
        <w:t>[לכתחילה]</w:t>
      </w:r>
      <w:r>
        <w:rPr>
          <w:rFonts w:hint="cs"/>
          <w:rtl/>
        </w:rPr>
        <w:t>, ואפשר לשוחטו בדרך שחיטה, לא חשיב שהוא כמנח בדיקולא.</w:t>
      </w:r>
    </w:p>
    <w:p w14:paraId="798BE673" w14:textId="77777777" w:rsidR="00C35932" w:rsidRPr="00C35932" w:rsidRDefault="00C35932" w:rsidP="006D6D32">
      <w:pPr>
        <w:pStyle w:val="a3"/>
        <w:rPr>
          <w:rtl/>
        </w:rPr>
      </w:pPr>
    </w:p>
    <w:p w14:paraId="0714CCC1" w14:textId="77777777" w:rsidR="00D53B7D" w:rsidRPr="005A4ECB" w:rsidRDefault="00D53B7D" w:rsidP="006D6D32">
      <w:pPr>
        <w:pStyle w:val="a3"/>
        <w:rPr>
          <w:rtl/>
        </w:rPr>
      </w:pPr>
      <w:bookmarkStart w:id="13810" w:name="_Toc532976870"/>
      <w:bookmarkStart w:id="13811" w:name="_Toc532982550"/>
      <w:bookmarkStart w:id="13812" w:name="_Toc532982708"/>
      <w:bookmarkStart w:id="13813" w:name="_Toc19390813"/>
      <w:bookmarkStart w:id="13814" w:name="_Toc19394310"/>
      <w:r>
        <w:rPr>
          <w:rFonts w:hint="cs"/>
          <w:rtl/>
        </w:rPr>
        <w:t>דברי האמרי משה דאף שנפסק רוב הקנה לא דרובו ככולו דלענין פסיקה הוא חלק מהצואר</w:t>
      </w:r>
      <w:bookmarkEnd w:id="13810"/>
      <w:bookmarkEnd w:id="13811"/>
      <w:bookmarkEnd w:id="13812"/>
      <w:bookmarkEnd w:id="13813"/>
      <w:bookmarkEnd w:id="13814"/>
    </w:p>
    <w:p w14:paraId="43FFCF12" w14:textId="77777777" w:rsidR="00D53B7D" w:rsidRDefault="00D53B7D" w:rsidP="00223668">
      <w:pPr>
        <w:pStyle w:val="a0"/>
        <w:rPr>
          <w:rtl/>
        </w:rPr>
      </w:pPr>
      <w:r>
        <w:rPr>
          <w:rFonts w:hint="cs"/>
          <w:rtl/>
        </w:rPr>
        <w:t xml:space="preserve">והוסיף </w:t>
      </w:r>
      <w:r w:rsidRPr="004B27F1">
        <w:rPr>
          <w:rStyle w:val="af9"/>
          <w:rFonts w:hint="cs"/>
          <w:rtl/>
        </w:rPr>
        <w:t>האמרי משה</w:t>
      </w:r>
      <w:r>
        <w:rPr>
          <w:rFonts w:hint="cs"/>
          <w:rtl/>
        </w:rPr>
        <w:t xml:space="preserve"> דא"א לומר דכיון שנפסק רוב הסימן, חשיב שכולו נפסק מדין רובו ככולו, דהא למעשה אינו פסוק בכולו, ועוד דדוקא לענין דין שחיטה חשיב הסימן כדבר בפנ"ע ששייך לדון בו רובו ככולו, כיון שהכשר השחיטה תלויה רק בסימן, אבל לענין פסיקת הסימן, לא דנים רק את הסימן לבדו אלא את כל הצואר שהוא חלק ממנו, ורוב הצואר לא נפסק.</w:t>
      </w:r>
    </w:p>
    <w:p w14:paraId="47B7BFE7" w14:textId="77777777" w:rsidR="00D53B7D" w:rsidRPr="00517267" w:rsidRDefault="00D53B7D" w:rsidP="00BF39B2">
      <w:pPr>
        <w:pStyle w:val="1"/>
        <w:rPr>
          <w:rtl/>
        </w:rPr>
      </w:pPr>
      <w:bookmarkStart w:id="13815" w:name="_Toc532550674"/>
      <w:bookmarkStart w:id="13816" w:name="_Toc532550740"/>
      <w:bookmarkStart w:id="13817" w:name="_Toc532810248"/>
      <w:bookmarkStart w:id="13818" w:name="_Toc532844847"/>
      <w:bookmarkStart w:id="13819" w:name="_Toc532849456"/>
      <w:bookmarkStart w:id="13820" w:name="_Toc532897094"/>
      <w:bookmarkStart w:id="13821" w:name="_Toc532901869"/>
      <w:bookmarkStart w:id="13822" w:name="_Toc532976871"/>
      <w:bookmarkStart w:id="13823" w:name="_Toc532982551"/>
      <w:bookmarkStart w:id="13824" w:name="_Toc532982709"/>
      <w:bookmarkStart w:id="13825" w:name="_Toc19390814"/>
      <w:bookmarkStart w:id="13826" w:name="_Toc19394311"/>
      <w:r>
        <w:rPr>
          <w:rFonts w:hint="cs"/>
          <w:rtl/>
        </w:rPr>
        <w:t>דברי האמרי משה דאף לרב הונא</w:t>
      </w:r>
      <w:bookmarkEnd w:id="13815"/>
      <w:bookmarkEnd w:id="13816"/>
      <w:bookmarkEnd w:id="13817"/>
      <w:bookmarkEnd w:id="13818"/>
      <w:bookmarkEnd w:id="13819"/>
      <w:bookmarkEnd w:id="13820"/>
      <w:bookmarkEnd w:id="13821"/>
      <w:r>
        <w:rPr>
          <w:rFonts w:hint="cs"/>
          <w:rtl/>
        </w:rPr>
        <w:t xml:space="preserve"> יש שחיטה בשליש האחרון</w:t>
      </w:r>
      <w:bookmarkEnd w:id="13822"/>
      <w:bookmarkEnd w:id="13823"/>
      <w:bookmarkEnd w:id="13824"/>
      <w:bookmarkEnd w:id="13825"/>
      <w:bookmarkEnd w:id="13826"/>
    </w:p>
    <w:p w14:paraId="6F49DD01" w14:textId="77777777" w:rsidR="00D53B7D" w:rsidRDefault="00D53B7D" w:rsidP="006D6D32">
      <w:pPr>
        <w:pStyle w:val="a3"/>
        <w:rPr>
          <w:rtl/>
        </w:rPr>
      </w:pPr>
      <w:bookmarkStart w:id="13827" w:name="_Toc532976872"/>
      <w:bookmarkStart w:id="13828" w:name="_Toc532982552"/>
      <w:bookmarkStart w:id="13829" w:name="_Toc532982710"/>
      <w:bookmarkStart w:id="13830" w:name="_Toc19390815"/>
      <w:bookmarkStart w:id="13831" w:name="_Toc19394312"/>
      <w:r>
        <w:rPr>
          <w:rFonts w:hint="cs"/>
          <w:rtl/>
        </w:rPr>
        <w:t>דברי האמרי משה דפשטות דברי רב הונא דהשליש האחרון כמנח בדיקולא ולא מהני בו שחיטה</w:t>
      </w:r>
      <w:bookmarkEnd w:id="13827"/>
      <w:bookmarkEnd w:id="13828"/>
      <w:bookmarkEnd w:id="13829"/>
      <w:bookmarkEnd w:id="13830"/>
      <w:bookmarkEnd w:id="13831"/>
    </w:p>
    <w:p w14:paraId="7FB05244" w14:textId="77777777" w:rsidR="00D53B7D" w:rsidRDefault="00D53B7D" w:rsidP="00223668">
      <w:pPr>
        <w:pStyle w:val="a0"/>
        <w:rPr>
          <w:rtl/>
        </w:rPr>
      </w:pPr>
      <w:bookmarkStart w:id="13832" w:name="_Toc532453980"/>
      <w:bookmarkStart w:id="13833" w:name="_Toc532454014"/>
      <w:bookmarkEnd w:id="13773"/>
      <w:bookmarkEnd w:id="13774"/>
      <w:r>
        <w:rPr>
          <w:rFonts w:hint="cs"/>
          <w:rtl/>
        </w:rPr>
        <w:t xml:space="preserve">כתב </w:t>
      </w:r>
      <w:r w:rsidRPr="00517267">
        <w:rPr>
          <w:rStyle w:val="af9"/>
          <w:rFonts w:hint="cs"/>
          <w:rtl/>
        </w:rPr>
        <w:t>האמרי משה</w:t>
      </w:r>
      <w:r>
        <w:rPr>
          <w:rFonts w:hint="cs"/>
          <w:rtl/>
        </w:rPr>
        <w:t xml:space="preserve"> </w:t>
      </w:r>
      <w:r w:rsidRPr="00517267">
        <w:rPr>
          <w:rStyle w:val="af7"/>
          <w:rFonts w:eastAsia="Guttman Hodes" w:hint="cs"/>
          <w:rtl/>
        </w:rPr>
        <w:t>(סי' ב' אות ה' ד"ה והנה)</w:t>
      </w:r>
      <w:r>
        <w:rPr>
          <w:rFonts w:hint="cs"/>
          <w:rtl/>
        </w:rPr>
        <w:t xml:space="preserve"> דלדעת רב הונא דפוסל בשחט והגרים ושחט, משמע דס"ל דהשליש האחרון הוא כמנחא בדיקולא, ולכן א"א להכשיר ע"י השליש האחרון. </w:t>
      </w:r>
    </w:p>
    <w:p w14:paraId="2A50F1EA" w14:textId="77777777" w:rsidR="00D53B7D" w:rsidRDefault="00D53B7D" w:rsidP="006D6D32">
      <w:pPr>
        <w:pStyle w:val="a3"/>
        <w:rPr>
          <w:rtl/>
        </w:rPr>
      </w:pPr>
      <w:bookmarkStart w:id="13834" w:name="_Toc532976873"/>
      <w:bookmarkStart w:id="13835" w:name="_Toc532982553"/>
      <w:bookmarkStart w:id="13836" w:name="_Toc532982711"/>
      <w:bookmarkStart w:id="13837" w:name="_Toc19390816"/>
      <w:bookmarkStart w:id="13838" w:name="_Toc19394313"/>
      <w:r>
        <w:rPr>
          <w:rFonts w:hint="cs"/>
          <w:rtl/>
        </w:rPr>
        <w:t>דחיית האמרי משה דלרב הונא כל שיצאה החיות בהכשר יש דין שחיטה אף בשליש האחרון</w:t>
      </w:r>
      <w:bookmarkEnd w:id="13834"/>
      <w:bookmarkEnd w:id="13835"/>
      <w:bookmarkEnd w:id="13836"/>
      <w:bookmarkEnd w:id="13837"/>
      <w:bookmarkEnd w:id="13838"/>
      <w:r>
        <w:rPr>
          <w:rFonts w:hint="cs"/>
          <w:rtl/>
        </w:rPr>
        <w:t xml:space="preserve"> </w:t>
      </w:r>
    </w:p>
    <w:p w14:paraId="7E5D778B" w14:textId="77777777" w:rsidR="00D53B7D" w:rsidRDefault="00D53B7D" w:rsidP="00223668">
      <w:pPr>
        <w:pStyle w:val="a0"/>
        <w:rPr>
          <w:rtl/>
        </w:rPr>
      </w:pPr>
      <w:r>
        <w:rPr>
          <w:rFonts w:hint="cs"/>
          <w:rtl/>
        </w:rPr>
        <w:t xml:space="preserve">אך דחה </w:t>
      </w:r>
      <w:r w:rsidRPr="00517267">
        <w:rPr>
          <w:rStyle w:val="af9"/>
          <w:rFonts w:hint="cs"/>
          <w:rtl/>
        </w:rPr>
        <w:t>האמרי משה</w:t>
      </w:r>
      <w:r>
        <w:rPr>
          <w:rFonts w:hint="cs"/>
          <w:rtl/>
        </w:rPr>
        <w:t xml:space="preserve"> דכיון דרב הונא מכשיר בהגרים שליש ושחט שליש, אף דמבואר בגמ' דס"ל דא"א לצרף את השליש של ההגרמה לשחיטה, ולא דמי לחצי קנה פגום, כיון שההגרמה אינה במקום שחיטה, א"כ מבואר דס"ל לרב הונא דבכדי להכשיר את השחיטה, א"צ לשחוט את רוב הסימן, וההכשר שחיטה תלוי בשליש האמצעי שבו נשלם רוב הסימן, ובו יוצאת החיות, דכל שיצאה החיות בהכשר מכשיר רב הונא, א"כ הא דפסל רב הונא בשחט והגרים ושחט, אינו מחמת דס"ל דהמיעוט בתרא כמנחא בדיקולא, אלא כיון שהגרים בשליש האמצעי שמשלים לרוב, </w:t>
      </w:r>
      <w:r w:rsidRPr="00517267">
        <w:rPr>
          <w:rStyle w:val="afb"/>
          <w:rFonts w:hint="cs"/>
          <w:rtl/>
        </w:rPr>
        <w:t>[ועיי"ש במ"ש דהוא נ"מ לענין שחיטה מפורעת]</w:t>
      </w:r>
      <w:r>
        <w:rPr>
          <w:rFonts w:hint="cs"/>
          <w:rtl/>
        </w:rPr>
        <w:t>.</w:t>
      </w:r>
    </w:p>
    <w:p w14:paraId="62C01205" w14:textId="77777777" w:rsidR="00D53B7D" w:rsidRPr="00517267" w:rsidRDefault="00D53B7D" w:rsidP="00BF39B2">
      <w:pPr>
        <w:pStyle w:val="1"/>
        <w:rPr>
          <w:rtl/>
        </w:rPr>
      </w:pPr>
      <w:bookmarkStart w:id="13839" w:name="_Toc532550675"/>
      <w:bookmarkStart w:id="13840" w:name="_Toc532550741"/>
      <w:bookmarkStart w:id="13841" w:name="_Toc532810249"/>
      <w:bookmarkStart w:id="13842" w:name="_Toc532844848"/>
      <w:bookmarkStart w:id="13843" w:name="_Toc532849457"/>
      <w:bookmarkStart w:id="13844" w:name="_Toc532897095"/>
      <w:bookmarkStart w:id="13845" w:name="_Toc532901870"/>
      <w:bookmarkStart w:id="13846" w:name="_Toc532976874"/>
      <w:bookmarkStart w:id="13847" w:name="_Toc532982554"/>
      <w:bookmarkStart w:id="13848" w:name="_Toc532982712"/>
      <w:bookmarkStart w:id="13849" w:name="_Toc19390817"/>
      <w:bookmarkStart w:id="13850" w:name="_Toc19394314"/>
      <w:r>
        <w:rPr>
          <w:rFonts w:hint="cs"/>
          <w:rtl/>
        </w:rPr>
        <w:t xml:space="preserve">דברי האמרי משה דלר"ן לרב הונא </w:t>
      </w:r>
      <w:bookmarkEnd w:id="13839"/>
      <w:bookmarkEnd w:id="13840"/>
      <w:bookmarkEnd w:id="13841"/>
      <w:bookmarkEnd w:id="13842"/>
      <w:bookmarkEnd w:id="13843"/>
      <w:bookmarkEnd w:id="13844"/>
      <w:bookmarkEnd w:id="13845"/>
      <w:r>
        <w:rPr>
          <w:rFonts w:hint="cs"/>
          <w:rtl/>
        </w:rPr>
        <w:t>אין שחיטה בשליש האחרון</w:t>
      </w:r>
      <w:bookmarkEnd w:id="13846"/>
      <w:bookmarkEnd w:id="13847"/>
      <w:bookmarkEnd w:id="13848"/>
      <w:bookmarkEnd w:id="13849"/>
      <w:bookmarkEnd w:id="13850"/>
    </w:p>
    <w:p w14:paraId="7D8033D6" w14:textId="77777777" w:rsidR="00D53B7D" w:rsidRDefault="00D53B7D" w:rsidP="006D6D32">
      <w:pPr>
        <w:pStyle w:val="a3"/>
        <w:rPr>
          <w:rtl/>
        </w:rPr>
      </w:pPr>
      <w:bookmarkStart w:id="13851" w:name="_Toc532976875"/>
      <w:bookmarkStart w:id="13852" w:name="_Toc532982555"/>
      <w:bookmarkStart w:id="13853" w:name="_Toc532982713"/>
      <w:bookmarkStart w:id="13854" w:name="_Toc19390818"/>
      <w:bookmarkStart w:id="13855" w:name="_Toc19394315"/>
      <w:r>
        <w:rPr>
          <w:rFonts w:hint="cs"/>
          <w:rtl/>
        </w:rPr>
        <w:t>דברי האמרי משה דלרב הונא השליש הראשון המוגרם מצטרף לשליש השחוט להכשיר</w:t>
      </w:r>
      <w:bookmarkEnd w:id="13851"/>
      <w:bookmarkEnd w:id="13852"/>
      <w:bookmarkEnd w:id="13853"/>
      <w:bookmarkEnd w:id="13854"/>
      <w:bookmarkEnd w:id="13855"/>
    </w:p>
    <w:p w14:paraId="3A5199C5" w14:textId="77777777" w:rsidR="00D53B7D" w:rsidRDefault="00D53B7D" w:rsidP="00223668">
      <w:pPr>
        <w:pStyle w:val="a0"/>
        <w:rPr>
          <w:rtl/>
        </w:rPr>
      </w:pPr>
      <w:bookmarkStart w:id="13856" w:name="_Ref532930689"/>
      <w:r>
        <w:rPr>
          <w:rFonts w:hint="cs"/>
          <w:rtl/>
        </w:rPr>
        <w:t xml:space="preserve">אך כתב </w:t>
      </w:r>
      <w:r w:rsidRPr="00636368">
        <w:rPr>
          <w:rStyle w:val="af9"/>
          <w:rFonts w:hint="cs"/>
          <w:rtl/>
        </w:rPr>
        <w:t>האמרי משה</w:t>
      </w:r>
      <w:r>
        <w:rPr>
          <w:rFonts w:hint="cs"/>
          <w:rtl/>
        </w:rPr>
        <w:t xml:space="preserve"> דמדברי </w:t>
      </w:r>
      <w:r w:rsidRPr="00636368">
        <w:rPr>
          <w:rStyle w:val="af9"/>
          <w:rFonts w:hint="cs"/>
          <w:rtl/>
        </w:rPr>
        <w:t>הר"ן</w:t>
      </w:r>
      <w:r>
        <w:rPr>
          <w:rFonts w:hint="cs"/>
          <w:rtl/>
        </w:rPr>
        <w:t xml:space="preserve"> </w:t>
      </w:r>
      <w:r w:rsidRPr="004A1A3C">
        <w:rPr>
          <w:rStyle w:val="af7"/>
          <w:rFonts w:eastAsia="Guttman Hodes" w:hint="cs"/>
          <w:rtl/>
        </w:rPr>
        <w:t xml:space="preserve">(עי' אות </w:t>
      </w:r>
      <w:r w:rsidRPr="004A1A3C">
        <w:rPr>
          <w:rStyle w:val="af7"/>
          <w:rFonts w:eastAsia="Guttman Hodes"/>
          <w:rtl/>
        </w:rPr>
        <w:fldChar w:fldCharType="begin"/>
      </w:r>
      <w:r w:rsidRPr="004A1A3C">
        <w:rPr>
          <w:rStyle w:val="af7"/>
          <w:rFonts w:eastAsia="Guttman Hodes"/>
          <w:rtl/>
        </w:rPr>
        <w:instrText xml:space="preserve"> </w:instrText>
      </w:r>
      <w:r w:rsidRPr="004A1A3C">
        <w:rPr>
          <w:rStyle w:val="af7"/>
          <w:rFonts w:eastAsia="Guttman Hodes" w:hint="cs"/>
        </w:rPr>
        <w:instrText>REF</w:instrText>
      </w:r>
      <w:r w:rsidRPr="004A1A3C">
        <w:rPr>
          <w:rStyle w:val="af7"/>
          <w:rFonts w:eastAsia="Guttman Hodes" w:hint="cs"/>
          <w:rtl/>
        </w:rPr>
        <w:instrText xml:space="preserve"> _</w:instrText>
      </w:r>
      <w:r w:rsidRPr="004A1A3C">
        <w:rPr>
          <w:rStyle w:val="af7"/>
          <w:rFonts w:eastAsia="Guttman Hodes" w:hint="cs"/>
        </w:rPr>
        <w:instrText>Ref532485198 \r \h</w:instrText>
      </w:r>
      <w:r w:rsidRPr="004A1A3C">
        <w:rPr>
          <w:rStyle w:val="af7"/>
          <w:rFonts w:eastAsia="Guttman Hodes"/>
          <w:rtl/>
        </w:rPr>
        <w:instrText xml:space="preserve"> </w:instrText>
      </w:r>
      <w:r w:rsidRPr="004A1A3C">
        <w:rPr>
          <w:rStyle w:val="af7"/>
          <w:rFonts w:eastAsia="Guttman Hodes"/>
          <w:rtl/>
        </w:rPr>
      </w:r>
      <w:r w:rsidRPr="004A1A3C">
        <w:rPr>
          <w:rStyle w:val="af7"/>
          <w:rFonts w:eastAsia="Guttman Hodes"/>
          <w:rtl/>
        </w:rPr>
        <w:fldChar w:fldCharType="separate"/>
      </w:r>
      <w:r w:rsidR="00345400">
        <w:rPr>
          <w:rStyle w:val="af7"/>
          <w:rFonts w:eastAsia="Guttman Hodes"/>
          <w:cs/>
        </w:rPr>
        <w:t>‎</w:t>
      </w:r>
      <w:r w:rsidR="00345400">
        <w:rPr>
          <w:rStyle w:val="af7"/>
          <w:rFonts w:eastAsia="Guttman Hodes"/>
          <w:rtl/>
        </w:rPr>
        <w:t>ט)</w:t>
      </w:r>
      <w:r w:rsidRPr="004A1A3C">
        <w:rPr>
          <w:rStyle w:val="af7"/>
          <w:rFonts w:eastAsia="Guttman Hodes"/>
          <w:rtl/>
        </w:rPr>
        <w:fldChar w:fldCharType="end"/>
      </w:r>
      <w:r>
        <w:rPr>
          <w:rFonts w:hint="cs"/>
          <w:rtl/>
        </w:rPr>
        <w:t xml:space="preserve"> דכתב דלרב הונא ההגרמה היא כמו חצי קנה פגום, ומשמע מדברי </w:t>
      </w:r>
      <w:r w:rsidRPr="004A1A3C">
        <w:rPr>
          <w:rStyle w:val="af9"/>
          <w:rFonts w:hint="cs"/>
          <w:rtl/>
        </w:rPr>
        <w:t>הר"ן</w:t>
      </w:r>
      <w:r>
        <w:rPr>
          <w:rFonts w:hint="cs"/>
          <w:rtl/>
        </w:rPr>
        <w:t xml:space="preserve"> דאף לדעת רב הונא ההכשר שחיטה אינו רק ע"י השליש האמצעי שמשלים לרוב, אלא דכל שנשחט השליש האמצעי בכשרות ההגרמה מצטרפת להכשיר, כמו שסימן פגום מצטרף לרוב סימן כשנגמר הרוב בשחיטה כשרה.</w:t>
      </w:r>
      <w:bookmarkEnd w:id="13856"/>
    </w:p>
    <w:p w14:paraId="6784EC50" w14:textId="77777777" w:rsidR="00D53B7D" w:rsidRDefault="00D53B7D" w:rsidP="006D6D32">
      <w:pPr>
        <w:pStyle w:val="a3"/>
        <w:rPr>
          <w:rtl/>
        </w:rPr>
      </w:pPr>
      <w:bookmarkStart w:id="13857" w:name="_Toc532976876"/>
      <w:bookmarkStart w:id="13858" w:name="_Toc532982556"/>
      <w:bookmarkStart w:id="13859" w:name="_Toc532982714"/>
      <w:bookmarkStart w:id="13860" w:name="_Toc19390819"/>
      <w:bookmarkStart w:id="13861" w:name="_Toc19394316"/>
      <w:r>
        <w:rPr>
          <w:rFonts w:hint="cs"/>
          <w:rtl/>
        </w:rPr>
        <w:t>ביאור האמרי משה דלהר"ן אין פסול של הגרמה בחצי הקנה הראשון וההגרמה מצטרפת לשחיטה</w:t>
      </w:r>
      <w:bookmarkEnd w:id="13857"/>
      <w:bookmarkEnd w:id="13858"/>
      <w:bookmarkEnd w:id="13859"/>
      <w:bookmarkEnd w:id="13860"/>
      <w:bookmarkEnd w:id="13861"/>
    </w:p>
    <w:p w14:paraId="716A996B" w14:textId="77777777" w:rsidR="00D53B7D" w:rsidRDefault="00D53B7D" w:rsidP="00223668">
      <w:pPr>
        <w:pStyle w:val="a0"/>
        <w:rPr>
          <w:rtl/>
        </w:rPr>
      </w:pPr>
      <w:r>
        <w:rPr>
          <w:rFonts w:hint="cs"/>
          <w:rtl/>
        </w:rPr>
        <w:t xml:space="preserve">וביאר </w:t>
      </w:r>
      <w:r w:rsidRPr="00636368">
        <w:rPr>
          <w:rStyle w:val="af9"/>
          <w:rFonts w:hint="cs"/>
          <w:rtl/>
        </w:rPr>
        <w:t>האמרי משה</w:t>
      </w:r>
      <w:r>
        <w:rPr>
          <w:rFonts w:hint="cs"/>
          <w:rtl/>
        </w:rPr>
        <w:t xml:space="preserve"> דאף שמקום ההגרמה אינו מקום שחיטה, מ"מ צ"ל דעד חצי הקנה לא נאמרו בו הלכות שחיטה, וא"כ אף דין הגרמה לא נאמר בחצי הקנה, ולכן יכולה ההגרמה להצטרף לרוב סימן להכשיר את השחיטה, כמו שחצי קנה פגום מצטרף במקום שחיטה.</w:t>
      </w:r>
    </w:p>
    <w:p w14:paraId="218C8E57" w14:textId="77777777" w:rsidR="00D53B7D" w:rsidRDefault="00D53B7D" w:rsidP="006D6D32">
      <w:pPr>
        <w:pStyle w:val="a3"/>
        <w:rPr>
          <w:rtl/>
        </w:rPr>
      </w:pPr>
      <w:bookmarkStart w:id="13862" w:name="_Toc532976877"/>
      <w:bookmarkStart w:id="13863" w:name="_Toc532982557"/>
      <w:bookmarkStart w:id="13864" w:name="_Toc532982715"/>
      <w:bookmarkStart w:id="13865" w:name="_Toc19390820"/>
      <w:bookmarkStart w:id="13866" w:name="_Toc19394317"/>
      <w:r>
        <w:rPr>
          <w:rFonts w:hint="cs"/>
          <w:rtl/>
        </w:rPr>
        <w:t>דברי האמרי משה דלהר"ן לרב הונא אחר רוב סימן כמנח בדיקולא ואין שחיטה בשליש האחרון</w:t>
      </w:r>
      <w:bookmarkEnd w:id="13862"/>
      <w:bookmarkEnd w:id="13863"/>
      <w:bookmarkEnd w:id="13864"/>
      <w:bookmarkEnd w:id="13865"/>
      <w:bookmarkEnd w:id="13866"/>
    </w:p>
    <w:p w14:paraId="283D6BCF" w14:textId="77777777" w:rsidR="00D53B7D" w:rsidRDefault="00D53B7D" w:rsidP="00223668">
      <w:pPr>
        <w:pStyle w:val="a0"/>
        <w:rPr>
          <w:rtl/>
        </w:rPr>
      </w:pPr>
      <w:r w:rsidRPr="00AA2C28">
        <w:rPr>
          <w:rFonts w:hint="cs"/>
          <w:rtl/>
        </w:rPr>
        <w:t xml:space="preserve">וכתב </w:t>
      </w:r>
      <w:r w:rsidRPr="00636368">
        <w:rPr>
          <w:rStyle w:val="af9"/>
          <w:rFonts w:hint="cs"/>
          <w:rtl/>
        </w:rPr>
        <w:t>האמרי משה</w:t>
      </w:r>
      <w:r w:rsidRPr="00AA2C28">
        <w:rPr>
          <w:rFonts w:hint="cs"/>
          <w:rtl/>
        </w:rPr>
        <w:t xml:space="preserve"> דלדעת </w:t>
      </w:r>
      <w:r w:rsidRPr="00636368">
        <w:rPr>
          <w:rStyle w:val="af9"/>
          <w:rFonts w:hint="cs"/>
          <w:rtl/>
        </w:rPr>
        <w:t>הר"ן</w:t>
      </w:r>
      <w:r w:rsidRPr="00AA2C28">
        <w:rPr>
          <w:rFonts w:hint="cs"/>
          <w:rtl/>
        </w:rPr>
        <w:t xml:space="preserve"> ס"ל לרב הונא דהא דהשליש האחרון אינו מצטרף להכשיר את השחיטה, הוא כיון ד</w:t>
      </w:r>
      <w:r>
        <w:rPr>
          <w:rFonts w:hint="cs"/>
          <w:rtl/>
        </w:rPr>
        <w:t xml:space="preserve">אחר שחיטת הרוב הראשון של הסימן, הוא </w:t>
      </w:r>
      <w:r w:rsidRPr="00AA2C28">
        <w:rPr>
          <w:rFonts w:hint="cs"/>
          <w:rtl/>
        </w:rPr>
        <w:t>חשיב כמנח בדיקולא,</w:t>
      </w:r>
      <w:r>
        <w:rPr>
          <w:rFonts w:hint="cs"/>
          <w:rtl/>
        </w:rPr>
        <w:t xml:space="preserve"> ולכן אף דס"ל </w:t>
      </w:r>
      <w:r w:rsidRPr="00ED1D61">
        <w:rPr>
          <w:rStyle w:val="af9"/>
          <w:rFonts w:hint="cs"/>
          <w:rtl/>
        </w:rPr>
        <w:t>להר"ן</w:t>
      </w:r>
      <w:r>
        <w:rPr>
          <w:rFonts w:hint="cs"/>
          <w:rtl/>
        </w:rPr>
        <w:t xml:space="preserve"> דאפשר לצרף את הפגימה או ההגרמה לשחיטה, דהשליש האמצעי שמשלים את רוב הסימן צריך להיות בשחיטה, ובזה אפשר לצרף את השליש שהגרים, אך זהו דוקא בשליש הראשון, שעדיין לא נשחט רוב הסימן, כהגרים ושחט והגרים, אבל אחר שנשחט רוב הסימן, כשחט והגרים ושחט, א"א לצרף את השליש האחרון להכשיר, דחשיב כמאן דמנח בדיקולא, אחר שנשלם רוב הסימן.</w:t>
      </w:r>
    </w:p>
    <w:p w14:paraId="575DB39F" w14:textId="77777777" w:rsidR="00D53B7D" w:rsidRDefault="00D53B7D" w:rsidP="006D6D32">
      <w:pPr>
        <w:pStyle w:val="a3"/>
        <w:rPr>
          <w:rtl/>
        </w:rPr>
      </w:pPr>
      <w:bookmarkStart w:id="13867" w:name="_Toc532976878"/>
      <w:bookmarkStart w:id="13868" w:name="_Toc532982558"/>
      <w:bookmarkStart w:id="13869" w:name="_Toc532982716"/>
      <w:bookmarkStart w:id="13870" w:name="_Toc19390821"/>
      <w:bookmarkStart w:id="13871" w:name="_Toc19394318"/>
      <w:r>
        <w:rPr>
          <w:rFonts w:hint="cs"/>
          <w:rtl/>
        </w:rPr>
        <w:t>דברי האמרי משה דלל"ק דרב הונא אחר שנשחט רוב הסימן הוא כמנח בדיקולא</w:t>
      </w:r>
      <w:bookmarkEnd w:id="13867"/>
      <w:bookmarkEnd w:id="13868"/>
      <w:bookmarkEnd w:id="13869"/>
      <w:bookmarkEnd w:id="13870"/>
      <w:bookmarkEnd w:id="13871"/>
    </w:p>
    <w:p w14:paraId="40C0C948" w14:textId="77777777" w:rsidR="00D53B7D" w:rsidRDefault="00D53B7D" w:rsidP="00223668">
      <w:pPr>
        <w:pStyle w:val="a0"/>
        <w:rPr>
          <w:rtl/>
        </w:rPr>
      </w:pPr>
      <w:r>
        <w:rPr>
          <w:rFonts w:hint="cs"/>
          <w:rtl/>
        </w:rPr>
        <w:t xml:space="preserve">וכתב </w:t>
      </w:r>
      <w:r w:rsidRPr="00636368">
        <w:rPr>
          <w:rStyle w:val="af9"/>
          <w:rFonts w:hint="cs"/>
          <w:rtl/>
        </w:rPr>
        <w:t>האמרי משה</w:t>
      </w:r>
      <w:r>
        <w:rPr>
          <w:rFonts w:hint="cs"/>
          <w:rtl/>
        </w:rPr>
        <w:t xml:space="preserve"> דכן צריך לבאר למ"ד דפסל בהגרים שליש ושחט ב' שליש, </w:t>
      </w:r>
      <w:r w:rsidRPr="00636368">
        <w:rPr>
          <w:rStyle w:val="afb"/>
          <w:rFonts w:hint="cs"/>
          <w:rtl/>
        </w:rPr>
        <w:t>[לל"ק דרב הונא בין לרבנן ובין לריבר"י, ולרבנן לל"ב דרב הונא],</w:t>
      </w:r>
      <w:r>
        <w:rPr>
          <w:rFonts w:hint="cs"/>
          <w:rtl/>
        </w:rPr>
        <w:t xml:space="preserve"> דס"ל דאחר שנשחט רוב הסימן, הוא כמנח בדיקולא, ולא מהני השליש האחרון להכשיר, וכתב האמרי משה דמוכח דכן ס"ל דאל"ה אמאי פסלי, הא רוב הסימן הוא שחוט, והחיות יצאה בשחיטה, ומבואר דרק הרוב הראשון של הסימן מכשיר. והא דבחצי קנה פגום אפשר להכשיר כשמוסיף לשחוט, ביאר </w:t>
      </w:r>
      <w:r w:rsidRPr="00636368">
        <w:rPr>
          <w:rStyle w:val="af9"/>
          <w:rFonts w:hint="cs"/>
          <w:rtl/>
        </w:rPr>
        <w:t>האמרי משה</w:t>
      </w:r>
      <w:r>
        <w:rPr>
          <w:rFonts w:hint="cs"/>
          <w:rtl/>
        </w:rPr>
        <w:t xml:space="preserve"> דס"ל דהפגימה מצטרפת לרוב הסימן, אבל בהגרמה שאינה במקום שחיטה, ס"ל דא"א לצרפה לרוב, ולכן כל שהגרים בשליש הראשון פסול.</w:t>
      </w:r>
    </w:p>
    <w:p w14:paraId="3EF6A5EC" w14:textId="77777777" w:rsidR="00D53B7D" w:rsidRPr="00C9010B" w:rsidRDefault="00D53B7D" w:rsidP="006D6D32">
      <w:pPr>
        <w:pStyle w:val="afe"/>
        <w:rPr>
          <w:rtl/>
        </w:rPr>
      </w:pPr>
      <w:bookmarkStart w:id="13872" w:name="_Toc532976879"/>
      <w:bookmarkStart w:id="13873" w:name="_Toc532982559"/>
      <w:bookmarkStart w:id="13874" w:name="_Toc532982717"/>
      <w:bookmarkStart w:id="13875" w:name="_Toc19435860"/>
      <w:bookmarkStart w:id="13876" w:name="_Toc20081101"/>
      <w:r>
        <w:rPr>
          <w:rFonts w:hint="cs"/>
          <w:rtl/>
        </w:rPr>
        <w:t>בגדר יציאת החיות בשחיטה</w:t>
      </w:r>
      <w:bookmarkEnd w:id="13872"/>
      <w:bookmarkEnd w:id="13873"/>
      <w:bookmarkEnd w:id="13874"/>
      <w:bookmarkEnd w:id="13875"/>
      <w:bookmarkEnd w:id="13876"/>
    </w:p>
    <w:p w14:paraId="1748359D" w14:textId="77777777" w:rsidR="00D53B7D" w:rsidRDefault="00D53B7D" w:rsidP="00BF39B2">
      <w:pPr>
        <w:pStyle w:val="1"/>
        <w:rPr>
          <w:rtl/>
        </w:rPr>
      </w:pPr>
      <w:bookmarkStart w:id="13877" w:name="_Toc532550678"/>
      <w:bookmarkStart w:id="13878" w:name="_Toc532550744"/>
      <w:bookmarkStart w:id="13879" w:name="_Toc532810253"/>
      <w:bookmarkStart w:id="13880" w:name="_Toc532844852"/>
      <w:bookmarkStart w:id="13881" w:name="_Toc532849461"/>
      <w:bookmarkStart w:id="13882" w:name="_Toc532897099"/>
      <w:bookmarkStart w:id="13883" w:name="_Toc532901874"/>
      <w:bookmarkStart w:id="13884" w:name="_Toc532976880"/>
      <w:bookmarkStart w:id="13885" w:name="_Toc532982560"/>
      <w:bookmarkStart w:id="13886" w:name="_Toc532982718"/>
      <w:bookmarkStart w:id="13887" w:name="_Toc19390822"/>
      <w:bookmarkStart w:id="13888" w:name="_Toc19394319"/>
      <w:bookmarkEnd w:id="13832"/>
      <w:bookmarkEnd w:id="13833"/>
      <w:r>
        <w:rPr>
          <w:rFonts w:hint="cs"/>
          <w:rtl/>
        </w:rPr>
        <w:t>ביאור המשנת ר"א בפלוגתת רב הונא ורב יהודה לדעת הר"ן</w:t>
      </w:r>
      <w:bookmarkEnd w:id="13877"/>
      <w:bookmarkEnd w:id="13878"/>
      <w:bookmarkEnd w:id="13879"/>
      <w:bookmarkEnd w:id="13880"/>
      <w:bookmarkEnd w:id="13881"/>
      <w:bookmarkEnd w:id="13882"/>
      <w:bookmarkEnd w:id="13883"/>
      <w:bookmarkEnd w:id="13884"/>
      <w:bookmarkEnd w:id="13885"/>
      <w:bookmarkEnd w:id="13886"/>
      <w:bookmarkEnd w:id="13887"/>
      <w:bookmarkEnd w:id="13888"/>
    </w:p>
    <w:p w14:paraId="483D8A92" w14:textId="77777777" w:rsidR="00D53B7D" w:rsidRDefault="00D53B7D" w:rsidP="006D6D32">
      <w:pPr>
        <w:pStyle w:val="a3"/>
        <w:rPr>
          <w:rtl/>
        </w:rPr>
      </w:pPr>
      <w:bookmarkStart w:id="13889" w:name="_Toc532976881"/>
      <w:bookmarkStart w:id="13890" w:name="_Toc532982561"/>
      <w:bookmarkStart w:id="13891" w:name="_Toc532982719"/>
      <w:bookmarkStart w:id="13892" w:name="_Toc19390823"/>
      <w:bookmarkStart w:id="13893" w:name="_Toc19394320"/>
      <w:bookmarkStart w:id="13894" w:name="_Ref532915643"/>
      <w:r>
        <w:rPr>
          <w:rFonts w:hint="cs"/>
          <w:rtl/>
        </w:rPr>
        <w:t>ביאור המשנת ר"א דלהר"ן לרב יהודה בהגרמה לא יוצאת החיות ולכן בנשחט רוב הסימן כשר</w:t>
      </w:r>
      <w:bookmarkEnd w:id="13889"/>
      <w:bookmarkEnd w:id="13890"/>
      <w:bookmarkEnd w:id="13891"/>
      <w:bookmarkEnd w:id="13892"/>
      <w:bookmarkEnd w:id="13893"/>
    </w:p>
    <w:p w14:paraId="7BF9E844" w14:textId="77777777" w:rsidR="00D53B7D" w:rsidRDefault="00D53B7D" w:rsidP="00223668">
      <w:pPr>
        <w:pStyle w:val="a0"/>
        <w:rPr>
          <w:rtl/>
        </w:rPr>
      </w:pPr>
      <w:bookmarkStart w:id="13895" w:name="_Ref532976887"/>
      <w:r>
        <w:rPr>
          <w:rFonts w:hint="cs"/>
          <w:rtl/>
        </w:rPr>
        <w:t xml:space="preserve">הביא </w:t>
      </w:r>
      <w:r w:rsidRPr="00763B99">
        <w:rPr>
          <w:rStyle w:val="af9"/>
          <w:rFonts w:hint="cs"/>
          <w:rtl/>
        </w:rPr>
        <w:t>המשנת ר"א</w:t>
      </w:r>
      <w:r>
        <w:rPr>
          <w:rFonts w:hint="cs"/>
          <w:rtl/>
        </w:rPr>
        <w:t xml:space="preserve"> </w:t>
      </w:r>
      <w:r w:rsidRPr="00763B99">
        <w:rPr>
          <w:rStyle w:val="af7"/>
          <w:rFonts w:eastAsia="Guttman Hodes" w:hint="cs"/>
          <w:rtl/>
        </w:rPr>
        <w:t>(סי' ג' אות ג' סוד"ה האומנם)</w:t>
      </w:r>
      <w:r>
        <w:rPr>
          <w:rFonts w:hint="cs"/>
          <w:rtl/>
        </w:rPr>
        <w:t xml:space="preserve"> את דברי </w:t>
      </w:r>
      <w:r w:rsidRPr="00763B99">
        <w:rPr>
          <w:rStyle w:val="af9"/>
          <w:rFonts w:hint="cs"/>
          <w:rtl/>
        </w:rPr>
        <w:t>הר"ן</w:t>
      </w:r>
      <w:r>
        <w:rPr>
          <w:rFonts w:hint="cs"/>
          <w:rtl/>
        </w:rPr>
        <w:t xml:space="preserve"> </w:t>
      </w:r>
      <w:r w:rsidRPr="00763B99">
        <w:rPr>
          <w:rStyle w:val="af7"/>
          <w:rFonts w:eastAsia="Guttman Hodes" w:hint="cs"/>
          <w:rtl/>
        </w:rPr>
        <w:t xml:space="preserve">(עי' אות </w:t>
      </w:r>
      <w:r w:rsidRPr="00763B99">
        <w:rPr>
          <w:rStyle w:val="af7"/>
          <w:rFonts w:eastAsia="Guttman Hodes"/>
          <w:rtl/>
        </w:rPr>
        <w:fldChar w:fldCharType="begin"/>
      </w:r>
      <w:r w:rsidRPr="00763B99">
        <w:rPr>
          <w:rStyle w:val="af7"/>
          <w:rFonts w:eastAsia="Guttman Hodes"/>
          <w:rtl/>
        </w:rPr>
        <w:instrText xml:space="preserve"> </w:instrText>
      </w:r>
      <w:r w:rsidRPr="00763B99">
        <w:rPr>
          <w:rStyle w:val="af7"/>
          <w:rFonts w:eastAsia="Guttman Hodes" w:hint="cs"/>
        </w:rPr>
        <w:instrText>REF</w:instrText>
      </w:r>
      <w:r w:rsidRPr="00763B99">
        <w:rPr>
          <w:rStyle w:val="af7"/>
          <w:rFonts w:eastAsia="Guttman Hodes" w:hint="cs"/>
          <w:rtl/>
        </w:rPr>
        <w:instrText xml:space="preserve"> _</w:instrText>
      </w:r>
      <w:r w:rsidRPr="00763B99">
        <w:rPr>
          <w:rStyle w:val="af7"/>
          <w:rFonts w:eastAsia="Guttman Hodes" w:hint="cs"/>
        </w:rPr>
        <w:instrText>Ref532464305 \r \h</w:instrText>
      </w:r>
      <w:r w:rsidRPr="00763B99">
        <w:rPr>
          <w:rStyle w:val="af7"/>
          <w:rFonts w:eastAsia="Guttman Hodes"/>
          <w:rtl/>
        </w:rPr>
        <w:instrText xml:space="preserve"> </w:instrText>
      </w:r>
      <w:r w:rsidRPr="00763B99">
        <w:rPr>
          <w:rStyle w:val="af7"/>
          <w:rFonts w:eastAsia="Guttman Hodes"/>
          <w:rtl/>
        </w:rPr>
      </w:r>
      <w:r w:rsidRPr="00763B99">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sidRPr="00763B99">
        <w:rPr>
          <w:rStyle w:val="af7"/>
          <w:rFonts w:eastAsia="Guttman Hodes"/>
          <w:rtl/>
        </w:rPr>
        <w:fldChar w:fldCharType="end"/>
      </w:r>
      <w:r>
        <w:rPr>
          <w:rFonts w:hint="cs"/>
          <w:rtl/>
        </w:rPr>
        <w:t xml:space="preserve"> דכתב דלרב הונא ההגרמה היא במקום הראוי לשחיטה, והוא פסול בשחיטה, ולכן דמי לחצי קנה פגום דההכשר תלוי בשחיטת רוב הקנה, ומשו"ה כשגמר את השליש האמצעי שמשלים לרוב בכשרות כשר, ובהגרים בו פסול, ולרב יהודה ההגרמה אינה כמקום הראוי לשחיטה, אלא כמקום שמטריף את הבהמה, ולכן אם יש רוב בשחיטה כשר, וביאר </w:t>
      </w:r>
      <w:r w:rsidRPr="00763B99">
        <w:rPr>
          <w:rStyle w:val="af9"/>
          <w:rFonts w:hint="cs"/>
          <w:rtl/>
        </w:rPr>
        <w:t>המשנת ר"א</w:t>
      </w:r>
      <w:r>
        <w:rPr>
          <w:rFonts w:hint="cs"/>
          <w:rtl/>
        </w:rPr>
        <w:t xml:space="preserve"> דלדעת רב יהודה כיון שההגרמה אינה במקום שחיטה, א"כ החיות אינה יוצאת בהגרמה, ולכן כל שנשחט רוב הסימן כשר, ואף השליש האחרון מצטרף להכשיר, דאף שכבר רוב הסימן מ"מ לא יצאה החיות, דהא לא נשחט רובו במקום שחיטה שבו יוצאת החיות.</w:t>
      </w:r>
      <w:bookmarkEnd w:id="13894"/>
      <w:bookmarkEnd w:id="13895"/>
    </w:p>
    <w:p w14:paraId="3D5061C1" w14:textId="77777777" w:rsidR="00D53B7D" w:rsidRPr="002617BE" w:rsidRDefault="00D53B7D" w:rsidP="006D6D32">
      <w:pPr>
        <w:pStyle w:val="a3"/>
        <w:rPr>
          <w:rtl/>
        </w:rPr>
      </w:pPr>
      <w:bookmarkStart w:id="13896" w:name="_Toc532976882"/>
      <w:bookmarkStart w:id="13897" w:name="_Toc532982562"/>
      <w:bookmarkStart w:id="13898" w:name="_Toc532982720"/>
      <w:bookmarkStart w:id="13899" w:name="_Toc19390824"/>
      <w:bookmarkStart w:id="13900" w:name="_Toc19394321"/>
      <w:r>
        <w:rPr>
          <w:rFonts w:hint="cs"/>
          <w:rtl/>
        </w:rPr>
        <w:t>ביאור המשנת ר"א דלהר"ן לרב הונא אף בהגרמה יוצאת החיות ולכן ביצאה החיות בהגרמה פסול</w:t>
      </w:r>
      <w:bookmarkEnd w:id="13896"/>
      <w:bookmarkEnd w:id="13897"/>
      <w:bookmarkEnd w:id="13898"/>
      <w:bookmarkEnd w:id="13899"/>
      <w:bookmarkEnd w:id="13900"/>
    </w:p>
    <w:p w14:paraId="4FC2F610" w14:textId="77777777" w:rsidR="00D53B7D" w:rsidRDefault="00D53B7D" w:rsidP="00223668">
      <w:pPr>
        <w:pStyle w:val="a0"/>
        <w:rPr>
          <w:rtl/>
        </w:rPr>
      </w:pPr>
      <w:r>
        <w:rPr>
          <w:rFonts w:hint="cs"/>
          <w:rtl/>
        </w:rPr>
        <w:t xml:space="preserve">אבל לדעת רב הונא ביאר </w:t>
      </w:r>
      <w:r w:rsidRPr="00763B99">
        <w:rPr>
          <w:rStyle w:val="af9"/>
          <w:rFonts w:hint="cs"/>
          <w:rtl/>
        </w:rPr>
        <w:t>המשנת ר"א</w:t>
      </w:r>
      <w:r>
        <w:rPr>
          <w:rFonts w:hint="cs"/>
          <w:rtl/>
        </w:rPr>
        <w:t xml:space="preserve"> בדעת </w:t>
      </w:r>
      <w:r w:rsidRPr="00763B99">
        <w:rPr>
          <w:rStyle w:val="af9"/>
          <w:rFonts w:hint="cs"/>
          <w:rtl/>
        </w:rPr>
        <w:t>הר"ן</w:t>
      </w:r>
      <w:r>
        <w:rPr>
          <w:rFonts w:hint="cs"/>
          <w:rtl/>
        </w:rPr>
        <w:t xml:space="preserve"> דכיון שההגרמה היא במקום שחיטה, ממילא אף כששוחט במקום ההגרמה יוצאת החיות, ולכן כשהשלים בשליש האמצעי את שחיטת רוב הסימן בהגרמה פוסל רב הונא, דיצאה החיות בפסול, וא"א להכשיר ע"י שישחט את השליש האחרון בהכשר, ועיי"ש </w:t>
      </w:r>
      <w:r>
        <w:rPr>
          <w:rStyle w:val="af9"/>
          <w:rFonts w:hint="cs"/>
          <w:rtl/>
        </w:rPr>
        <w:t>ב</w:t>
      </w:r>
      <w:r w:rsidRPr="00003AE2">
        <w:rPr>
          <w:rStyle w:val="af9"/>
          <w:rFonts w:hint="cs"/>
          <w:rtl/>
        </w:rPr>
        <w:t>משנת ר"א</w:t>
      </w:r>
      <w:r>
        <w:rPr>
          <w:rFonts w:hint="cs"/>
          <w:rtl/>
        </w:rPr>
        <w:t xml:space="preserve"> </w:t>
      </w:r>
      <w:r w:rsidRPr="00763B99">
        <w:rPr>
          <w:rStyle w:val="af7"/>
          <w:rFonts w:eastAsia="Guttman Hodes" w:hint="cs"/>
          <w:rtl/>
        </w:rPr>
        <w:t xml:space="preserve">(סי' ג' אות ג' ד"ה </w:t>
      </w:r>
      <w:r>
        <w:rPr>
          <w:rStyle w:val="af7"/>
          <w:rFonts w:eastAsia="Guttman Hodes" w:hint="cs"/>
          <w:rtl/>
        </w:rPr>
        <w:t>ויש לפרש</w:t>
      </w:r>
      <w:r w:rsidRPr="00763B99">
        <w:rPr>
          <w:rStyle w:val="af7"/>
          <w:rFonts w:eastAsia="Guttman Hodes" w:hint="cs"/>
          <w:rtl/>
        </w:rPr>
        <w:t>)</w:t>
      </w:r>
      <w:r>
        <w:rPr>
          <w:rFonts w:hint="cs"/>
          <w:rtl/>
        </w:rPr>
        <w:t xml:space="preserve"> במה שביאר לפי"ז את פלוגתת ריבר"י ורבנן לדעת ה</w:t>
      </w:r>
      <w:r w:rsidRPr="001C01C3">
        <w:rPr>
          <w:rFonts w:hint="cs"/>
          <w:rtl/>
        </w:rPr>
        <w:t>ל</w:t>
      </w:r>
      <w:r>
        <w:rPr>
          <w:rFonts w:hint="cs"/>
          <w:rtl/>
        </w:rPr>
        <w:t>"ב.</w:t>
      </w:r>
    </w:p>
    <w:p w14:paraId="0566B28F" w14:textId="77777777" w:rsidR="00D53B7D" w:rsidRDefault="00D53B7D" w:rsidP="00BF39B2">
      <w:pPr>
        <w:pStyle w:val="1"/>
        <w:rPr>
          <w:rtl/>
        </w:rPr>
      </w:pPr>
      <w:bookmarkStart w:id="13901" w:name="_Toc532550679"/>
      <w:bookmarkStart w:id="13902" w:name="_Toc532550745"/>
      <w:bookmarkStart w:id="13903" w:name="_Toc532810254"/>
      <w:bookmarkStart w:id="13904" w:name="_Toc532844853"/>
      <w:bookmarkStart w:id="13905" w:name="_Toc532849462"/>
      <w:bookmarkStart w:id="13906" w:name="_Toc532897100"/>
      <w:bookmarkStart w:id="13907" w:name="_Toc532901875"/>
      <w:bookmarkStart w:id="13908" w:name="_Toc532976883"/>
      <w:bookmarkStart w:id="13909" w:name="_Toc532982563"/>
      <w:bookmarkStart w:id="13910" w:name="_Toc532982721"/>
      <w:bookmarkStart w:id="13911" w:name="_Toc19390825"/>
      <w:bookmarkStart w:id="13912" w:name="_Toc19394322"/>
      <w:r>
        <w:rPr>
          <w:rFonts w:hint="cs"/>
          <w:rtl/>
        </w:rPr>
        <w:t>ביאור המשנת ר"א בפלוגתת רב הונא ורב יהודה לדעת רש"י</w:t>
      </w:r>
      <w:bookmarkEnd w:id="13901"/>
      <w:bookmarkEnd w:id="13902"/>
      <w:bookmarkEnd w:id="13903"/>
      <w:bookmarkEnd w:id="13904"/>
      <w:bookmarkEnd w:id="13905"/>
      <w:bookmarkEnd w:id="13906"/>
      <w:bookmarkEnd w:id="13907"/>
      <w:bookmarkEnd w:id="13908"/>
      <w:bookmarkEnd w:id="13909"/>
      <w:bookmarkEnd w:id="13910"/>
      <w:bookmarkEnd w:id="13911"/>
      <w:bookmarkEnd w:id="13912"/>
    </w:p>
    <w:p w14:paraId="4FDCDD42" w14:textId="77777777" w:rsidR="00D53B7D" w:rsidRPr="005A6C02" w:rsidRDefault="00D53B7D" w:rsidP="006D6D32">
      <w:pPr>
        <w:pStyle w:val="a3"/>
        <w:rPr>
          <w:rtl/>
        </w:rPr>
      </w:pPr>
      <w:bookmarkStart w:id="13913" w:name="_Toc532976884"/>
      <w:bookmarkStart w:id="13914" w:name="_Toc532982564"/>
      <w:bookmarkStart w:id="13915" w:name="_Toc532982722"/>
      <w:bookmarkStart w:id="13916" w:name="_Toc19390826"/>
      <w:bookmarkStart w:id="13917" w:name="_Toc19394323"/>
      <w:r>
        <w:rPr>
          <w:rFonts w:hint="cs"/>
          <w:rtl/>
        </w:rPr>
        <w:t>דברי המשנת ר"א דלרש"י דגם לרב יהודה יציאת החיות היא ברוב הסימן</w:t>
      </w:r>
      <w:r w:rsidRPr="004F62AB">
        <w:rPr>
          <w:rFonts w:hint="cs"/>
          <w:rtl/>
        </w:rPr>
        <w:t xml:space="preserve"> </w:t>
      </w:r>
      <w:r>
        <w:rPr>
          <w:rFonts w:hint="cs"/>
          <w:rtl/>
        </w:rPr>
        <w:t>אף כשהגרים בו</w:t>
      </w:r>
      <w:bookmarkEnd w:id="13913"/>
      <w:bookmarkEnd w:id="13914"/>
      <w:bookmarkEnd w:id="13915"/>
      <w:bookmarkEnd w:id="13916"/>
      <w:bookmarkEnd w:id="13917"/>
    </w:p>
    <w:p w14:paraId="6721077D" w14:textId="77777777" w:rsidR="00D53B7D" w:rsidRDefault="00D53B7D" w:rsidP="00223668">
      <w:pPr>
        <w:pStyle w:val="a0"/>
        <w:rPr>
          <w:rtl/>
        </w:rPr>
      </w:pPr>
      <w:bookmarkStart w:id="13918" w:name="_Ref532915587"/>
      <w:r>
        <w:rPr>
          <w:rFonts w:hint="cs"/>
          <w:rtl/>
        </w:rPr>
        <w:t xml:space="preserve">אבל בדעת </w:t>
      </w:r>
      <w:r w:rsidRPr="009847E7">
        <w:rPr>
          <w:rStyle w:val="af9"/>
          <w:rFonts w:hint="cs"/>
          <w:rtl/>
        </w:rPr>
        <w:t>רש"י</w:t>
      </w:r>
      <w:r>
        <w:rPr>
          <w:rFonts w:hint="cs"/>
          <w:rtl/>
        </w:rPr>
        <w:t xml:space="preserve"> </w:t>
      </w:r>
      <w:r w:rsidRPr="00D40133">
        <w:rPr>
          <w:rStyle w:val="af7"/>
          <w:rFonts w:eastAsia="Guttman Hodes" w:hint="cs"/>
          <w:rtl/>
        </w:rPr>
        <w:t xml:space="preserve">(עי' אות </w:t>
      </w:r>
      <w:r w:rsidRPr="00D40133">
        <w:rPr>
          <w:rStyle w:val="af7"/>
          <w:rFonts w:eastAsia="Guttman Hodes"/>
          <w:rtl/>
        </w:rPr>
        <w:fldChar w:fldCharType="begin"/>
      </w:r>
      <w:r w:rsidRPr="00D40133">
        <w:rPr>
          <w:rStyle w:val="af7"/>
          <w:rFonts w:eastAsia="Guttman Hodes"/>
          <w:rtl/>
        </w:rPr>
        <w:instrText xml:space="preserve"> </w:instrText>
      </w:r>
      <w:r w:rsidRPr="00D40133">
        <w:rPr>
          <w:rStyle w:val="af7"/>
          <w:rFonts w:eastAsia="Guttman Hodes" w:hint="cs"/>
        </w:rPr>
        <w:instrText>REF</w:instrText>
      </w:r>
      <w:r w:rsidRPr="00D40133">
        <w:rPr>
          <w:rStyle w:val="af7"/>
          <w:rFonts w:eastAsia="Guttman Hodes" w:hint="cs"/>
          <w:rtl/>
        </w:rPr>
        <w:instrText xml:space="preserve"> _</w:instrText>
      </w:r>
      <w:r w:rsidRPr="00D40133">
        <w:rPr>
          <w:rStyle w:val="af7"/>
          <w:rFonts w:eastAsia="Guttman Hodes" w:hint="cs"/>
        </w:rPr>
        <w:instrText>Ref532915552 \r \h</w:instrText>
      </w:r>
      <w:r w:rsidRPr="00D40133">
        <w:rPr>
          <w:rStyle w:val="af7"/>
          <w:rFonts w:eastAsia="Guttman Hodes"/>
          <w:rtl/>
        </w:rPr>
        <w:instrText xml:space="preserve"> </w:instrText>
      </w:r>
      <w:r w:rsidRPr="00D40133">
        <w:rPr>
          <w:rStyle w:val="af7"/>
          <w:rFonts w:eastAsia="Guttman Hodes"/>
          <w:rtl/>
        </w:rPr>
      </w:r>
      <w:r w:rsidRPr="00D40133">
        <w:rPr>
          <w:rStyle w:val="af7"/>
          <w:rFonts w:eastAsia="Guttman Hodes"/>
          <w:rtl/>
        </w:rPr>
        <w:fldChar w:fldCharType="separate"/>
      </w:r>
      <w:r w:rsidR="00345400">
        <w:rPr>
          <w:rStyle w:val="af7"/>
          <w:rFonts w:eastAsia="Guttman Hodes"/>
          <w:cs/>
        </w:rPr>
        <w:t>‎</w:t>
      </w:r>
      <w:r w:rsidR="00345400">
        <w:rPr>
          <w:rStyle w:val="af7"/>
          <w:rFonts w:eastAsia="Guttman Hodes"/>
          <w:rtl/>
        </w:rPr>
        <w:t>כח)</w:t>
      </w:r>
      <w:r w:rsidRPr="00D40133">
        <w:rPr>
          <w:rStyle w:val="af7"/>
          <w:rFonts w:eastAsia="Guttman Hodes"/>
          <w:rtl/>
        </w:rPr>
        <w:fldChar w:fldCharType="end"/>
      </w:r>
      <w:r>
        <w:rPr>
          <w:rFonts w:hint="cs"/>
          <w:rtl/>
        </w:rPr>
        <w:t xml:space="preserve"> דכתב דלדעת רב יהודה הכשר שחיטה אינו תלוי ביציאת החיות, אלא בשחיטת הרוב, כתב </w:t>
      </w:r>
      <w:r w:rsidRPr="009847E7">
        <w:rPr>
          <w:rStyle w:val="af9"/>
          <w:rFonts w:hint="cs"/>
          <w:rtl/>
        </w:rPr>
        <w:t>המשנת ר"א</w:t>
      </w:r>
      <w:r>
        <w:rPr>
          <w:rFonts w:hint="cs"/>
          <w:rtl/>
        </w:rPr>
        <w:t xml:space="preserve"> </w:t>
      </w:r>
      <w:r w:rsidRPr="002670A7">
        <w:rPr>
          <w:rStyle w:val="af7"/>
          <w:rFonts w:eastAsia="Guttman Hodes" w:hint="cs"/>
          <w:rtl/>
        </w:rPr>
        <w:t>(סי' ג' אות ד' ד"ה אמנם נראה)</w:t>
      </w:r>
      <w:r>
        <w:rPr>
          <w:rFonts w:hint="cs"/>
          <w:rtl/>
        </w:rPr>
        <w:t xml:space="preserve"> דמבואר מדברי </w:t>
      </w:r>
      <w:r w:rsidRPr="009847E7">
        <w:rPr>
          <w:rStyle w:val="af9"/>
          <w:rFonts w:hint="cs"/>
          <w:rtl/>
        </w:rPr>
        <w:t>רש"י</w:t>
      </w:r>
      <w:r>
        <w:rPr>
          <w:rFonts w:hint="cs"/>
          <w:rtl/>
        </w:rPr>
        <w:t xml:space="preserve"> דאף לדעת רב יהודה החיות יוצאת בשחיטת רוב הסימן, אף אם נשחט בהגרמה שאינו מקום שחיטה, </w:t>
      </w:r>
      <w:r w:rsidRPr="002670A7">
        <w:rPr>
          <w:rStyle w:val="afb"/>
          <w:rFonts w:hint="cs"/>
          <w:rtl/>
        </w:rPr>
        <w:t xml:space="preserve">[ודלא כביאורו </w:t>
      </w:r>
      <w:r w:rsidRPr="00D40133">
        <w:rPr>
          <w:rStyle w:val="aff6"/>
          <w:rFonts w:hint="cs"/>
          <w:rtl/>
        </w:rPr>
        <w:t xml:space="preserve">(עי' </w:t>
      </w:r>
      <w:r w:rsidRPr="005319DC">
        <w:rPr>
          <w:rStyle w:val="aff6"/>
          <w:rFonts w:hint="cs"/>
          <w:rtl/>
        </w:rPr>
        <w:t>אות</w:t>
      </w:r>
      <w:r>
        <w:rPr>
          <w:rStyle w:val="aff6"/>
          <w:rFonts w:hint="cs"/>
          <w:rtl/>
        </w:rPr>
        <w:t xml:space="preserve"> </w:t>
      </w:r>
      <w:r w:rsidRPr="005319DC">
        <w:rPr>
          <w:rStyle w:val="aff6"/>
          <w:rtl/>
        </w:rPr>
        <w:fldChar w:fldCharType="begin"/>
      </w:r>
      <w:r w:rsidRPr="005319DC">
        <w:rPr>
          <w:rStyle w:val="aff6"/>
          <w:rtl/>
        </w:rPr>
        <w:instrText xml:space="preserve"> </w:instrText>
      </w:r>
      <w:r w:rsidRPr="005319DC">
        <w:rPr>
          <w:rStyle w:val="aff6"/>
          <w:rFonts w:hint="cs"/>
        </w:rPr>
        <w:instrText>REF</w:instrText>
      </w:r>
      <w:r w:rsidRPr="005319DC">
        <w:rPr>
          <w:rStyle w:val="aff6"/>
          <w:rFonts w:hint="cs"/>
          <w:rtl/>
        </w:rPr>
        <w:instrText xml:space="preserve"> _</w:instrText>
      </w:r>
      <w:r w:rsidRPr="005319DC">
        <w:rPr>
          <w:rStyle w:val="aff6"/>
          <w:rFonts w:hint="cs"/>
        </w:rPr>
        <w:instrText>Ref532976887 \r \h</w:instrText>
      </w:r>
      <w:r w:rsidRPr="005319DC">
        <w:rPr>
          <w:rStyle w:val="aff6"/>
          <w:rtl/>
        </w:rPr>
        <w:instrText xml:space="preserve"> </w:instrText>
      </w:r>
      <w:r w:rsidRPr="005319DC">
        <w:rPr>
          <w:rStyle w:val="aff6"/>
          <w:rtl/>
        </w:rPr>
      </w:r>
      <w:r w:rsidRPr="005319DC">
        <w:rPr>
          <w:rStyle w:val="aff6"/>
          <w:rtl/>
        </w:rPr>
        <w:fldChar w:fldCharType="separate"/>
      </w:r>
      <w:r w:rsidR="00345400">
        <w:rPr>
          <w:rStyle w:val="aff6"/>
          <w:cs/>
        </w:rPr>
        <w:t>‎</w:t>
      </w:r>
      <w:r w:rsidR="00345400">
        <w:rPr>
          <w:rStyle w:val="aff6"/>
          <w:rtl/>
        </w:rPr>
        <w:t>קו)</w:t>
      </w:r>
      <w:r w:rsidRPr="005319DC">
        <w:rPr>
          <w:rStyle w:val="aff6"/>
          <w:rtl/>
        </w:rPr>
        <w:fldChar w:fldCharType="end"/>
      </w:r>
      <w:r w:rsidRPr="002670A7">
        <w:rPr>
          <w:rStyle w:val="afb"/>
          <w:rFonts w:hint="cs"/>
          <w:rtl/>
        </w:rPr>
        <w:t xml:space="preserve"> בדעת </w:t>
      </w:r>
      <w:r w:rsidRPr="002670A7">
        <w:rPr>
          <w:rStyle w:val="affa"/>
          <w:rFonts w:hint="cs"/>
          <w:rtl/>
        </w:rPr>
        <w:t>הר"ן</w:t>
      </w:r>
      <w:r w:rsidRPr="002670A7">
        <w:rPr>
          <w:rStyle w:val="afb"/>
          <w:rFonts w:hint="cs"/>
          <w:rtl/>
        </w:rPr>
        <w:t>],</w:t>
      </w:r>
      <w:r>
        <w:rPr>
          <w:rFonts w:hint="cs"/>
          <w:rtl/>
        </w:rPr>
        <w:t xml:space="preserve"> ואפ"ה ס"ל לרב יהודה דאפשר להכשיר ע"י השליש האחרון.</w:t>
      </w:r>
      <w:bookmarkEnd w:id="13918"/>
    </w:p>
    <w:p w14:paraId="7929306E" w14:textId="77777777" w:rsidR="00D53B7D" w:rsidRDefault="00D53B7D" w:rsidP="006D6D32">
      <w:pPr>
        <w:pStyle w:val="a3"/>
        <w:rPr>
          <w:rtl/>
        </w:rPr>
      </w:pPr>
      <w:bookmarkStart w:id="13919" w:name="_Toc532976885"/>
      <w:bookmarkStart w:id="13920" w:name="_Toc532982565"/>
      <w:bookmarkStart w:id="13921" w:name="_Toc532982723"/>
      <w:bookmarkStart w:id="13922" w:name="_Toc19390827"/>
      <w:bookmarkStart w:id="13923" w:name="_Toc19394324"/>
      <w:r>
        <w:rPr>
          <w:rFonts w:hint="cs"/>
          <w:rtl/>
        </w:rPr>
        <w:t>ביאור המשנת ר"א דלרש"י אף שיצאה החיות אפשר להכשיר לרב יהודה בשליש האחרון</w:t>
      </w:r>
      <w:bookmarkEnd w:id="13919"/>
      <w:bookmarkEnd w:id="13920"/>
      <w:bookmarkEnd w:id="13921"/>
      <w:bookmarkEnd w:id="13922"/>
      <w:bookmarkEnd w:id="13923"/>
    </w:p>
    <w:p w14:paraId="3C33ECFD" w14:textId="77777777" w:rsidR="00D53B7D" w:rsidRDefault="00D53B7D" w:rsidP="00223668">
      <w:pPr>
        <w:pStyle w:val="a0"/>
        <w:rPr>
          <w:rtl/>
        </w:rPr>
      </w:pPr>
      <w:r>
        <w:rPr>
          <w:rFonts w:hint="cs"/>
          <w:rtl/>
        </w:rPr>
        <w:t xml:space="preserve">וביאר </w:t>
      </w:r>
      <w:r w:rsidRPr="009847E7">
        <w:rPr>
          <w:rStyle w:val="af9"/>
          <w:rFonts w:hint="cs"/>
          <w:rtl/>
        </w:rPr>
        <w:t>המשנת ר"א</w:t>
      </w:r>
      <w:r>
        <w:rPr>
          <w:rFonts w:hint="cs"/>
          <w:rtl/>
        </w:rPr>
        <w:t xml:space="preserve"> דלדעת </w:t>
      </w:r>
      <w:r w:rsidRPr="009847E7">
        <w:rPr>
          <w:rStyle w:val="af9"/>
          <w:rFonts w:hint="cs"/>
          <w:rtl/>
        </w:rPr>
        <w:t>רש"י</w:t>
      </w:r>
      <w:r>
        <w:rPr>
          <w:rFonts w:hint="cs"/>
          <w:rtl/>
        </w:rPr>
        <w:t xml:space="preserve"> ס"ל לרב יהודה דאף שבשחיטת רוב הסימן יוצאת החיות, היינו שבכדי להכשיר שחיטה סגי ביציאת החיות של רוב סימן, אך עדיין נשארה חיות אף בשליש האחרון, ולכן מהני שחיטת השליש האחרון להצטרף להכשיר את השחיטה, אעפ"י שהחיות יצאה גם ע"י השליש של ההגרמה.</w:t>
      </w:r>
    </w:p>
    <w:p w14:paraId="2F1777A9" w14:textId="77777777" w:rsidR="00D53B7D" w:rsidRDefault="00D53B7D" w:rsidP="006D6D32">
      <w:pPr>
        <w:pStyle w:val="a3"/>
        <w:rPr>
          <w:rtl/>
        </w:rPr>
      </w:pPr>
      <w:bookmarkStart w:id="13924" w:name="_Toc532976886"/>
      <w:bookmarkStart w:id="13925" w:name="_Toc532982566"/>
      <w:bookmarkStart w:id="13926" w:name="_Toc532982724"/>
      <w:bookmarkStart w:id="13927" w:name="_Toc19390828"/>
      <w:bookmarkStart w:id="13928" w:name="_Toc19394325"/>
      <w:r>
        <w:rPr>
          <w:rFonts w:hint="cs"/>
          <w:rtl/>
        </w:rPr>
        <w:t>דברי המשנת ר"א דלרש"י ריבר"י בל"ב ס"ל דאף שיצאה החיות אפשר להכשיר בשליש האחרון</w:t>
      </w:r>
      <w:bookmarkEnd w:id="13924"/>
      <w:bookmarkEnd w:id="13925"/>
      <w:bookmarkEnd w:id="13926"/>
      <w:bookmarkEnd w:id="13927"/>
      <w:bookmarkEnd w:id="13928"/>
    </w:p>
    <w:p w14:paraId="32564864" w14:textId="77777777" w:rsidR="00D53B7D" w:rsidRDefault="00D53B7D" w:rsidP="00223668">
      <w:pPr>
        <w:pStyle w:val="a0"/>
        <w:rPr>
          <w:rtl/>
        </w:rPr>
      </w:pPr>
      <w:r>
        <w:rPr>
          <w:rFonts w:hint="cs"/>
          <w:rtl/>
        </w:rPr>
        <w:t xml:space="preserve">וכתב </w:t>
      </w:r>
      <w:r w:rsidRPr="009847E7">
        <w:rPr>
          <w:rStyle w:val="af9"/>
          <w:rFonts w:hint="cs"/>
          <w:rtl/>
        </w:rPr>
        <w:t>המשנת ר"א</w:t>
      </w:r>
      <w:r>
        <w:rPr>
          <w:rFonts w:hint="cs"/>
          <w:rtl/>
        </w:rPr>
        <w:t xml:space="preserve"> דכן צריך לבאר לדעת </w:t>
      </w:r>
      <w:r w:rsidRPr="009847E7">
        <w:rPr>
          <w:rStyle w:val="af9"/>
          <w:rFonts w:hint="cs"/>
          <w:rtl/>
        </w:rPr>
        <w:t>רש"י</w:t>
      </w:r>
      <w:r>
        <w:rPr>
          <w:rFonts w:hint="cs"/>
          <w:rtl/>
        </w:rPr>
        <w:t xml:space="preserve"> את פלוגתת ריב"רי ורבנן לל"ב, דלכו"ע יוצאת החיות כשנשחט רוב הסימן, ולכן בהגרים שליש ושחט ב' שלישים פסלי רבנן, כיון שביציאת החיות לא נשחט רוב הסימן בכשרות, אבל לריבר"י אף שבשחיטת רוב הסימן יוצאת החיות באופן שמכשיר שחיטה, מ"מ עדיין יש חיות בשליש </w:t>
      </w:r>
      <w:r w:rsidRPr="00D40133">
        <w:rPr>
          <w:rFonts w:hint="cs"/>
          <w:rtl/>
        </w:rPr>
        <w:t xml:space="preserve">האחרון, ולכן אפשר להכשיר את השחיטה, ע"י ששוחט ב' שלישים דהשליש האחרון מצטרף להכשיר, [וע"ע בדברי </w:t>
      </w:r>
      <w:r w:rsidRPr="00D40133">
        <w:rPr>
          <w:rStyle w:val="af9"/>
          <w:rFonts w:hint="cs"/>
          <w:rtl/>
        </w:rPr>
        <w:t>המשנת ר"א</w:t>
      </w:r>
      <w:r w:rsidRPr="00D40133">
        <w:rPr>
          <w:rFonts w:hint="cs"/>
          <w:rtl/>
        </w:rPr>
        <w:t xml:space="preserve"> </w:t>
      </w:r>
      <w:r w:rsidRPr="00D40133">
        <w:rPr>
          <w:rStyle w:val="af7"/>
          <w:rFonts w:eastAsia="Guttman Hodes" w:hint="cs"/>
          <w:rtl/>
        </w:rPr>
        <w:t>(סי' ג' אות ג' ד"ה ויש לפרש)</w:t>
      </w:r>
      <w:r w:rsidRPr="00D40133">
        <w:rPr>
          <w:rFonts w:hint="cs"/>
          <w:rtl/>
        </w:rPr>
        <w:t xml:space="preserve"> במה שביאר בדברי </w:t>
      </w:r>
      <w:r w:rsidRPr="00D40133">
        <w:rPr>
          <w:rStyle w:val="af9"/>
          <w:rFonts w:hint="cs"/>
          <w:rtl/>
        </w:rPr>
        <w:t>רש"י</w:t>
      </w:r>
      <w:r w:rsidRPr="00D40133">
        <w:rPr>
          <w:rFonts w:hint="cs"/>
          <w:rtl/>
        </w:rPr>
        <w:t xml:space="preserve"> </w:t>
      </w:r>
      <w:r w:rsidRPr="00D40133">
        <w:rPr>
          <w:rStyle w:val="af7"/>
          <w:rFonts w:eastAsia="Guttman Hodes" w:hint="cs"/>
          <w:rtl/>
        </w:rPr>
        <w:t xml:space="preserve">(עי' אות </w:t>
      </w:r>
      <w:r w:rsidRPr="00D40133">
        <w:rPr>
          <w:rStyle w:val="af7"/>
          <w:rFonts w:eastAsia="Guttman Hodes"/>
          <w:rtl/>
        </w:rPr>
        <w:fldChar w:fldCharType="begin"/>
      </w:r>
      <w:r w:rsidRPr="00D40133">
        <w:rPr>
          <w:rStyle w:val="af7"/>
          <w:rFonts w:eastAsia="Guttman Hodes"/>
          <w:rtl/>
        </w:rPr>
        <w:instrText xml:space="preserve"> </w:instrText>
      </w:r>
      <w:r w:rsidRPr="00D40133">
        <w:rPr>
          <w:rStyle w:val="af7"/>
          <w:rFonts w:eastAsia="Guttman Hodes" w:hint="cs"/>
        </w:rPr>
        <w:instrText>REF</w:instrText>
      </w:r>
      <w:r w:rsidRPr="00D40133">
        <w:rPr>
          <w:rStyle w:val="af7"/>
          <w:rFonts w:eastAsia="Guttman Hodes" w:hint="cs"/>
          <w:rtl/>
        </w:rPr>
        <w:instrText xml:space="preserve"> _</w:instrText>
      </w:r>
      <w:r w:rsidRPr="00D40133">
        <w:rPr>
          <w:rStyle w:val="af7"/>
          <w:rFonts w:eastAsia="Guttman Hodes" w:hint="cs"/>
        </w:rPr>
        <w:instrText>Ref532404612 \r \h</w:instrText>
      </w:r>
      <w:r w:rsidRPr="00D4013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D40133">
        <w:rPr>
          <w:rStyle w:val="af7"/>
          <w:rFonts w:eastAsia="Guttman Hodes"/>
          <w:rtl/>
        </w:rPr>
      </w:r>
      <w:r w:rsidRPr="00D40133">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D40133">
        <w:rPr>
          <w:rStyle w:val="af7"/>
          <w:rFonts w:eastAsia="Guttman Hodes"/>
          <w:rtl/>
        </w:rPr>
        <w:fldChar w:fldCharType="end"/>
      </w:r>
      <w:r w:rsidRPr="00D40133">
        <w:rPr>
          <w:rFonts w:hint="cs"/>
          <w:rtl/>
        </w:rPr>
        <w:t xml:space="preserve"> דלא סגי שמשלים את רוב הסימן בשחיטה כמו בחצי קנה פגום, וצריך להוסיף ב' שלישים].</w:t>
      </w:r>
    </w:p>
    <w:p w14:paraId="3323EE6F" w14:textId="77777777" w:rsidR="00D53B7D" w:rsidRDefault="00D53B7D" w:rsidP="006D6D32">
      <w:pPr>
        <w:pStyle w:val="afe"/>
        <w:rPr>
          <w:rtl/>
        </w:rPr>
      </w:pPr>
      <w:bookmarkStart w:id="13929" w:name="_Toc19435861"/>
      <w:bookmarkStart w:id="13930" w:name="_Toc20081102"/>
      <w:r>
        <w:rPr>
          <w:rFonts w:hint="cs"/>
          <w:rtl/>
        </w:rPr>
        <w:t>בגדר שחיטה בחצי קנה פגום</w:t>
      </w:r>
      <w:bookmarkEnd w:id="13929"/>
      <w:bookmarkEnd w:id="13930"/>
    </w:p>
    <w:p w14:paraId="047EE475" w14:textId="77777777" w:rsidR="00D53B7D" w:rsidRDefault="00D53B7D" w:rsidP="00BF39B2">
      <w:pPr>
        <w:pStyle w:val="1"/>
        <w:rPr>
          <w:rtl/>
        </w:rPr>
      </w:pPr>
      <w:bookmarkStart w:id="13931" w:name="_Toc19390829"/>
      <w:bookmarkStart w:id="13932" w:name="_Toc19394326"/>
      <w:r>
        <w:rPr>
          <w:rFonts w:hint="cs"/>
          <w:rtl/>
        </w:rPr>
        <w:t>דברי הקוב"ש דבחצי קנה פגום השחיטה והפגימה כמעשה אחד</w:t>
      </w:r>
      <w:bookmarkEnd w:id="13931"/>
      <w:bookmarkEnd w:id="13932"/>
    </w:p>
    <w:p w14:paraId="130EFE99" w14:textId="77777777" w:rsidR="00D53B7D" w:rsidRDefault="00D53B7D" w:rsidP="006D6D32">
      <w:pPr>
        <w:pStyle w:val="a3"/>
        <w:rPr>
          <w:rtl/>
        </w:rPr>
      </w:pPr>
      <w:bookmarkStart w:id="13933" w:name="_Toc19390830"/>
      <w:bookmarkStart w:id="13934" w:name="_Toc19394327"/>
      <w:r>
        <w:rPr>
          <w:rFonts w:hint="cs"/>
          <w:rtl/>
        </w:rPr>
        <w:t>קושית הקוב"ש דהפגימה אינה יכולה להצטרף לשחיטה וכיון שאינה פוסלת אמאי הגרמה פוסלת</w:t>
      </w:r>
      <w:bookmarkEnd w:id="13933"/>
      <w:bookmarkEnd w:id="13934"/>
    </w:p>
    <w:p w14:paraId="4149FFDC" w14:textId="77777777" w:rsidR="00D53B7D" w:rsidRDefault="00D53B7D" w:rsidP="00223668">
      <w:pPr>
        <w:pStyle w:val="a0"/>
        <w:rPr>
          <w:rtl/>
        </w:rPr>
      </w:pPr>
      <w:bookmarkStart w:id="13935" w:name="_Ref533069451"/>
      <w:r>
        <w:rPr>
          <w:rFonts w:hint="cs"/>
          <w:rtl/>
        </w:rPr>
        <w:t xml:space="preserve">בדברי </w:t>
      </w:r>
      <w:r w:rsidRPr="000514FD">
        <w:rPr>
          <w:rStyle w:val="af9"/>
          <w:rFonts w:hint="cs"/>
          <w:rtl/>
        </w:rPr>
        <w:t>רש"י</w:t>
      </w:r>
      <w:r>
        <w:rPr>
          <w:rFonts w:hint="cs"/>
          <w:rtl/>
        </w:rPr>
        <w:t xml:space="preserve"> </w:t>
      </w:r>
      <w:r w:rsidRPr="000514FD">
        <w:rPr>
          <w:rStyle w:val="af7"/>
          <w:rFonts w:eastAsia="Guttman Hodes" w:hint="cs"/>
          <w:rtl/>
        </w:rPr>
        <w:t xml:space="preserve">(עי' אות </w:t>
      </w:r>
      <w:r w:rsidRPr="000514FD">
        <w:rPr>
          <w:rStyle w:val="af7"/>
          <w:rFonts w:eastAsia="Guttman Hodes"/>
          <w:rtl/>
        </w:rPr>
        <w:fldChar w:fldCharType="begin"/>
      </w:r>
      <w:r w:rsidRPr="000514FD">
        <w:rPr>
          <w:rStyle w:val="af7"/>
          <w:rFonts w:eastAsia="Guttman Hodes"/>
          <w:rtl/>
        </w:rPr>
        <w:instrText xml:space="preserve"> </w:instrText>
      </w:r>
      <w:r w:rsidRPr="000514FD">
        <w:rPr>
          <w:rStyle w:val="af7"/>
          <w:rFonts w:eastAsia="Guttman Hodes" w:hint="cs"/>
        </w:rPr>
        <w:instrText>REF</w:instrText>
      </w:r>
      <w:r w:rsidRPr="000514FD">
        <w:rPr>
          <w:rStyle w:val="af7"/>
          <w:rFonts w:eastAsia="Guttman Hodes" w:hint="cs"/>
          <w:rtl/>
        </w:rPr>
        <w:instrText xml:space="preserve"> _</w:instrText>
      </w:r>
      <w:r w:rsidRPr="000514FD">
        <w:rPr>
          <w:rStyle w:val="af7"/>
          <w:rFonts w:eastAsia="Guttman Hodes" w:hint="cs"/>
        </w:rPr>
        <w:instrText>Ref532978432 \r \h</w:instrText>
      </w:r>
      <w:r w:rsidRPr="000514FD">
        <w:rPr>
          <w:rStyle w:val="af7"/>
          <w:rFonts w:eastAsia="Guttman Hodes"/>
          <w:rtl/>
        </w:rPr>
        <w:instrText xml:space="preserve"> </w:instrText>
      </w:r>
      <w:r w:rsidRPr="000514FD">
        <w:rPr>
          <w:rStyle w:val="af7"/>
          <w:rFonts w:eastAsia="Guttman Hodes"/>
          <w:rtl/>
        </w:rPr>
      </w:r>
      <w:r w:rsidRPr="000514FD">
        <w:rPr>
          <w:rStyle w:val="af7"/>
          <w:rFonts w:eastAsia="Guttman Hodes"/>
          <w:rtl/>
        </w:rPr>
        <w:fldChar w:fldCharType="separate"/>
      </w:r>
      <w:r w:rsidR="00345400">
        <w:rPr>
          <w:rStyle w:val="af7"/>
          <w:rFonts w:eastAsia="Guttman Hodes"/>
          <w:cs/>
        </w:rPr>
        <w:t>‎</w:t>
      </w:r>
      <w:r w:rsidR="00345400">
        <w:rPr>
          <w:rStyle w:val="af7"/>
          <w:rFonts w:eastAsia="Guttman Hodes"/>
          <w:rtl/>
        </w:rPr>
        <w:t>טו)</w:t>
      </w:r>
      <w:r w:rsidRPr="000514FD">
        <w:rPr>
          <w:rStyle w:val="af7"/>
          <w:rFonts w:eastAsia="Guttman Hodes"/>
          <w:rtl/>
        </w:rPr>
        <w:fldChar w:fldCharType="end"/>
      </w:r>
      <w:r>
        <w:rPr>
          <w:rFonts w:hint="cs"/>
          <w:rtl/>
        </w:rPr>
        <w:t xml:space="preserve"> דביאר בדעת רבנן </w:t>
      </w:r>
      <w:r w:rsidRPr="00384675">
        <w:rPr>
          <w:rFonts w:hint="cs"/>
          <w:rtl/>
        </w:rPr>
        <w:t xml:space="preserve">דבחצי קנה פגום </w:t>
      </w:r>
      <w:r>
        <w:rPr>
          <w:rFonts w:hint="cs"/>
          <w:rtl/>
        </w:rPr>
        <w:t>דאם הוסיף עליו כל שהוא בשחיטה השחיטה כשרה, אעפ"י שלא יצאה החיות ע"י שחיטת רוב הקנה, מ"מ כל החיות יוצאת ע"י השחיטה, אבל</w:t>
      </w:r>
      <w:r w:rsidRPr="00B7354B">
        <w:rPr>
          <w:rFonts w:hint="cs"/>
          <w:rtl/>
        </w:rPr>
        <w:t xml:space="preserve"> </w:t>
      </w:r>
      <w:r>
        <w:rPr>
          <w:rFonts w:hint="cs"/>
          <w:rtl/>
        </w:rPr>
        <w:t>בהגרים שליש ושחט ב' שלישים, שההגרמה שאינה במקום שחיטה, החיות יוצאת בפסול, ולכן פסלי רבנן,</w:t>
      </w:r>
      <w:r w:rsidRPr="0007213D">
        <w:rPr>
          <w:rFonts w:hint="cs"/>
          <w:rtl/>
        </w:rPr>
        <w:t xml:space="preserve"> </w:t>
      </w:r>
      <w:r>
        <w:rPr>
          <w:rFonts w:hint="cs"/>
          <w:rtl/>
        </w:rPr>
        <w:t xml:space="preserve">הקשה </w:t>
      </w:r>
      <w:r w:rsidRPr="000514FD">
        <w:rPr>
          <w:rStyle w:val="af9"/>
          <w:rFonts w:hint="cs"/>
          <w:rtl/>
        </w:rPr>
        <w:t>הקוב"ש</w:t>
      </w:r>
      <w:r>
        <w:rPr>
          <w:rFonts w:hint="cs"/>
          <w:rtl/>
        </w:rPr>
        <w:t xml:space="preserve"> </w:t>
      </w:r>
      <w:r w:rsidRPr="000514FD">
        <w:rPr>
          <w:rStyle w:val="af7"/>
          <w:rFonts w:eastAsia="Guttman Hodes" w:hint="cs"/>
          <w:rtl/>
        </w:rPr>
        <w:t>(ח"ב קובץ שמועות חולין אות ט"ז)</w:t>
      </w:r>
      <w:r>
        <w:rPr>
          <w:rFonts w:hint="cs"/>
          <w:rtl/>
        </w:rPr>
        <w:t xml:space="preserve"> דמסברא אף במקום שחיטה פסול, דהא היאך יכולה הפגימה להצטרף לשחיטה, ואי נימא דהפגימה אינה מצטרפת, וסגי במה שהוסיף כל שהוא בשחיטה בכדי להכשיר, א"כ אף בהגרמה צריך להכשיר כשמוסיף כל שהוא במקום שחיטה, ומה שהגרים בתחילה אינו פוסל כמו במקום שחיטה דהפגימה אינה פוסלת.</w:t>
      </w:r>
      <w:bookmarkEnd w:id="13935"/>
    </w:p>
    <w:p w14:paraId="4EE97150" w14:textId="77777777" w:rsidR="00D53B7D" w:rsidRDefault="00D53B7D" w:rsidP="006D6D32">
      <w:pPr>
        <w:pStyle w:val="a3"/>
        <w:rPr>
          <w:rtl/>
        </w:rPr>
      </w:pPr>
      <w:bookmarkStart w:id="13936" w:name="_Toc19390831"/>
      <w:bookmarkStart w:id="13937" w:name="_Toc19394328"/>
      <w:r>
        <w:rPr>
          <w:rFonts w:hint="cs"/>
          <w:rtl/>
        </w:rPr>
        <w:t>דברי הקוב"ש דדמי לשנים שעשו מלאכה בשבת דחשיב שכ"א עשה חצי מעשה</w:t>
      </w:r>
      <w:bookmarkEnd w:id="13936"/>
      <w:bookmarkEnd w:id="13937"/>
    </w:p>
    <w:p w14:paraId="6CACF475" w14:textId="77777777" w:rsidR="00D53B7D" w:rsidRDefault="00D53B7D" w:rsidP="00223668">
      <w:pPr>
        <w:pStyle w:val="a0"/>
        <w:rPr>
          <w:rtl/>
        </w:rPr>
      </w:pPr>
      <w:r>
        <w:rPr>
          <w:rFonts w:hint="cs"/>
          <w:rtl/>
        </w:rPr>
        <w:t xml:space="preserve">ותירץ </w:t>
      </w:r>
      <w:r w:rsidRPr="000514FD">
        <w:rPr>
          <w:rStyle w:val="af9"/>
          <w:rFonts w:hint="cs"/>
          <w:rtl/>
        </w:rPr>
        <w:t>הקוב"ש</w:t>
      </w:r>
      <w:r>
        <w:rPr>
          <w:rFonts w:hint="cs"/>
          <w:rtl/>
        </w:rPr>
        <w:t xml:space="preserve"> דדמי לדין שנים שעשו בשבת, דכשכל אחד מהם יכול לעשות את המלאכה בפנ"ע, שניהם פטורים, אבל כשאפשר לעשות את המלאכה רק ע"י שנים, שניהם חייבים, וכתב הקוב"ש דהביאור בזה הוא דכשכ"א יכול לעשות בפנ"ע ועשו שנים, חשיב שכ"א עשה חצי מלאכה, כיון שחבירו סייע לו ולכן שניהם פטורים, אבל כשאפשר לעשות את המלאכה רק ע"י שנים, חשיב שכ"א עשה את כל המעשה ולכן שניהם חייבים.</w:t>
      </w:r>
    </w:p>
    <w:p w14:paraId="422B2A02" w14:textId="77777777" w:rsidR="00D53B7D" w:rsidRPr="00343B50" w:rsidRDefault="00D53B7D" w:rsidP="006D6D32">
      <w:pPr>
        <w:pStyle w:val="a3"/>
        <w:rPr>
          <w:rtl/>
        </w:rPr>
      </w:pPr>
      <w:bookmarkStart w:id="13938" w:name="_Toc19390832"/>
      <w:bookmarkStart w:id="13939" w:name="_Toc19394329"/>
      <w:r>
        <w:rPr>
          <w:rFonts w:hint="cs"/>
          <w:rtl/>
        </w:rPr>
        <w:t>דברי הקוב"ש דחצי קנה פגום שהוסיף בשחיטה חשיב שהשחיטתה עשתה את כל המעשה</w:t>
      </w:r>
      <w:bookmarkEnd w:id="13938"/>
      <w:bookmarkEnd w:id="13939"/>
    </w:p>
    <w:p w14:paraId="0CF77229" w14:textId="77777777" w:rsidR="00D53B7D" w:rsidRDefault="00D53B7D" w:rsidP="00223668">
      <w:pPr>
        <w:pStyle w:val="a0"/>
        <w:rPr>
          <w:rtl/>
        </w:rPr>
      </w:pPr>
      <w:r>
        <w:rPr>
          <w:rFonts w:hint="cs"/>
          <w:rtl/>
        </w:rPr>
        <w:t xml:space="preserve">ובזה ביאר </w:t>
      </w:r>
      <w:r w:rsidRPr="000514FD">
        <w:rPr>
          <w:rStyle w:val="af9"/>
          <w:rFonts w:hint="cs"/>
          <w:rtl/>
        </w:rPr>
        <w:t>הקוב"ש</w:t>
      </w:r>
      <w:r>
        <w:rPr>
          <w:rFonts w:hint="cs"/>
          <w:rtl/>
        </w:rPr>
        <w:t xml:space="preserve"> את דין חצי קנה פגום, דכשהוסיף עליו כל שהוא חשיב שעשה את כל מעשה השחיטה, </w:t>
      </w:r>
      <w:r w:rsidRPr="00724DA3">
        <w:rPr>
          <w:rStyle w:val="afb"/>
          <w:rFonts w:hint="cs"/>
          <w:rtl/>
        </w:rPr>
        <w:t xml:space="preserve">[דאפשר לעשות את מעשה השחיטה רק ע"י הפגימה והשחיטה, דכ"א מהם בפנ"ע אין בו שחיטה], </w:t>
      </w:r>
      <w:r>
        <w:rPr>
          <w:rFonts w:hint="cs"/>
          <w:rtl/>
        </w:rPr>
        <w:t>ולכן מה שהפגם סייע לשחיטה אינו פוסל כלל.</w:t>
      </w:r>
    </w:p>
    <w:p w14:paraId="0BE343CC" w14:textId="77777777" w:rsidR="00D53B7D" w:rsidRPr="00343B50" w:rsidRDefault="00D53B7D" w:rsidP="006D6D32">
      <w:pPr>
        <w:pStyle w:val="a3"/>
        <w:rPr>
          <w:rtl/>
        </w:rPr>
      </w:pPr>
      <w:bookmarkStart w:id="13940" w:name="_Toc19390833"/>
      <w:bookmarkStart w:id="13941" w:name="_Toc19394330"/>
      <w:r>
        <w:rPr>
          <w:rFonts w:hint="cs"/>
          <w:rtl/>
        </w:rPr>
        <w:t>דברי הקוב"ש דבהגרמה דלא סגי בכל שהוא וצריך להוסיף ב' שלישים חשיב חצי מעשה</w:t>
      </w:r>
      <w:bookmarkEnd w:id="13940"/>
      <w:bookmarkEnd w:id="13941"/>
    </w:p>
    <w:p w14:paraId="28ACA5BA" w14:textId="77777777" w:rsidR="00D53B7D" w:rsidRPr="00341182" w:rsidRDefault="00D53B7D" w:rsidP="00223668">
      <w:pPr>
        <w:pStyle w:val="a0"/>
        <w:rPr>
          <w:rtl/>
        </w:rPr>
      </w:pPr>
      <w:bookmarkStart w:id="13942" w:name="_Ref533069541"/>
      <w:r>
        <w:rPr>
          <w:rFonts w:hint="cs"/>
          <w:rtl/>
        </w:rPr>
        <w:t xml:space="preserve">אבל בהגרים שליש ושחט ב' שלישים, כתב </w:t>
      </w:r>
      <w:r w:rsidRPr="000514FD">
        <w:rPr>
          <w:rStyle w:val="af9"/>
          <w:rFonts w:hint="cs"/>
          <w:rtl/>
        </w:rPr>
        <w:t>הקוב"ש</w:t>
      </w:r>
      <w:r>
        <w:rPr>
          <w:rFonts w:hint="cs"/>
          <w:rtl/>
        </w:rPr>
        <w:t xml:space="preserve"> דהרי ביאר </w:t>
      </w:r>
      <w:r w:rsidRPr="000514FD">
        <w:rPr>
          <w:rStyle w:val="af9"/>
          <w:rFonts w:hint="cs"/>
          <w:rtl/>
        </w:rPr>
        <w:t>רש"י</w:t>
      </w:r>
      <w:r>
        <w:rPr>
          <w:rFonts w:hint="cs"/>
          <w:rtl/>
        </w:rPr>
        <w:t xml:space="preserve"> </w:t>
      </w:r>
      <w:r w:rsidRPr="000514FD">
        <w:rPr>
          <w:rStyle w:val="af7"/>
          <w:rFonts w:eastAsia="Guttman Hodes" w:hint="cs"/>
          <w:rtl/>
        </w:rPr>
        <w:t xml:space="preserve">(עי' אות </w:t>
      </w:r>
      <w:r w:rsidRPr="000514FD">
        <w:rPr>
          <w:rStyle w:val="af7"/>
          <w:rFonts w:eastAsia="Guttman Hodes"/>
          <w:rtl/>
        </w:rPr>
        <w:fldChar w:fldCharType="begin"/>
      </w:r>
      <w:r w:rsidRPr="000514FD">
        <w:rPr>
          <w:rStyle w:val="af7"/>
          <w:rFonts w:eastAsia="Guttman Hodes"/>
          <w:rtl/>
        </w:rPr>
        <w:instrText xml:space="preserve"> </w:instrText>
      </w:r>
      <w:r w:rsidRPr="000514FD">
        <w:rPr>
          <w:rStyle w:val="af7"/>
          <w:rFonts w:eastAsia="Guttman Hodes" w:hint="cs"/>
        </w:rPr>
        <w:instrText>REF</w:instrText>
      </w:r>
      <w:r w:rsidRPr="000514FD">
        <w:rPr>
          <w:rStyle w:val="af7"/>
          <w:rFonts w:eastAsia="Guttman Hodes" w:hint="cs"/>
          <w:rtl/>
        </w:rPr>
        <w:instrText xml:space="preserve"> _</w:instrText>
      </w:r>
      <w:r w:rsidRPr="000514FD">
        <w:rPr>
          <w:rStyle w:val="af7"/>
          <w:rFonts w:eastAsia="Guttman Hodes" w:hint="cs"/>
        </w:rPr>
        <w:instrText>Ref532404612 \r \h</w:instrText>
      </w:r>
      <w:r w:rsidRPr="000514FD">
        <w:rPr>
          <w:rStyle w:val="af7"/>
          <w:rFonts w:eastAsia="Guttman Hodes"/>
          <w:rtl/>
        </w:rPr>
        <w:instrText xml:space="preserve"> </w:instrText>
      </w:r>
      <w:r w:rsidRPr="000514FD">
        <w:rPr>
          <w:rStyle w:val="af7"/>
          <w:rFonts w:eastAsia="Guttman Hodes"/>
          <w:rtl/>
        </w:rPr>
      </w:r>
      <w:r w:rsidRPr="000514FD">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0514FD">
        <w:rPr>
          <w:rStyle w:val="af7"/>
          <w:rFonts w:eastAsia="Guttman Hodes"/>
          <w:rtl/>
        </w:rPr>
        <w:fldChar w:fldCharType="end"/>
      </w:r>
      <w:r>
        <w:rPr>
          <w:rFonts w:hint="cs"/>
          <w:rtl/>
        </w:rPr>
        <w:t xml:space="preserve"> דאף לדעת ריבר"י לא סגי בתוספת כל שהוא כמו בחצי קנה פגום, כיון שההגרמה אינה במקום שחיטה, וא"כ השוחט שמוסיף ב' שלישים חשיב שהוא יכול לעשות את השחיטה בפנ"ע, ולכן הגרמת השליש פוסלת, דחשיב שכ"א מהם עשה חצי מעשה, כשנים שעשו בשבת וכ"א יכול לעשות בפנ"ע, דכיון שעשו ביחד שניהם פטורים, דכ"א עשה חצי מעשה.</w:t>
      </w:r>
      <w:bookmarkEnd w:id="13942"/>
    </w:p>
    <w:p w14:paraId="025EA864" w14:textId="77777777" w:rsidR="00D53B7D" w:rsidRPr="008512C6" w:rsidRDefault="00D53B7D" w:rsidP="006D6D32">
      <w:pPr>
        <w:pStyle w:val="a3"/>
        <w:rPr>
          <w:rtl/>
        </w:rPr>
        <w:sectPr w:rsidR="00D53B7D" w:rsidRPr="008512C6" w:rsidSect="004E5ACF">
          <w:type w:val="continuous"/>
          <w:pgSz w:w="11906" w:h="16838"/>
          <w:pgMar w:top="720" w:right="720" w:bottom="720" w:left="720" w:header="283" w:footer="283" w:gutter="0"/>
          <w:cols w:num="2" w:space="567"/>
          <w:titlePg/>
          <w:bidi/>
          <w:rtlGutter/>
          <w:docGrid w:linePitch="299"/>
        </w:sectPr>
      </w:pPr>
    </w:p>
    <w:p w14:paraId="046EB350" w14:textId="77777777" w:rsidR="00EC3561" w:rsidRDefault="00EC3561" w:rsidP="00223668">
      <w:pPr>
        <w:pStyle w:val="a0"/>
        <w:numPr>
          <w:ilvl w:val="0"/>
          <w:numId w:val="0"/>
        </w:numPr>
        <w:rPr>
          <w:rtl/>
        </w:rPr>
        <w:sectPr w:rsidR="00EC3561" w:rsidSect="00715924">
          <w:type w:val="continuous"/>
          <w:pgSz w:w="11906" w:h="16838"/>
          <w:pgMar w:top="720" w:right="720" w:bottom="720" w:left="720" w:header="283" w:footer="283" w:gutter="0"/>
          <w:cols w:space="567"/>
          <w:bidi/>
          <w:rtlGutter/>
          <w:docGrid w:linePitch="299"/>
        </w:sectPr>
      </w:pPr>
    </w:p>
    <w:p w14:paraId="25E1B346" w14:textId="77777777" w:rsidR="00EC3561" w:rsidRDefault="00EC3561" w:rsidP="00223668">
      <w:pPr>
        <w:pStyle w:val="a0"/>
        <w:numPr>
          <w:ilvl w:val="0"/>
          <w:numId w:val="0"/>
        </w:numPr>
        <w:rPr>
          <w:rtl/>
        </w:rPr>
        <w:sectPr w:rsidR="00EC3561" w:rsidSect="00EC3561">
          <w:pgSz w:w="11906" w:h="16838"/>
          <w:pgMar w:top="720" w:right="720" w:bottom="720" w:left="720" w:header="283" w:footer="283" w:gutter="0"/>
          <w:cols w:space="567"/>
          <w:bidi/>
          <w:rtlGutter/>
          <w:docGrid w:linePitch="299"/>
        </w:sectPr>
      </w:pPr>
    </w:p>
    <w:p w14:paraId="5EA7392B" w14:textId="77777777" w:rsidR="00D53B7D" w:rsidRPr="007D7F41" w:rsidRDefault="00D53B7D" w:rsidP="00223668">
      <w:pPr>
        <w:pStyle w:val="a0"/>
        <w:numPr>
          <w:ilvl w:val="0"/>
          <w:numId w:val="0"/>
        </w:numPr>
        <w:rPr>
          <w:rtl/>
        </w:rPr>
      </w:pPr>
    </w:p>
    <w:p w14:paraId="504912C8" w14:textId="77777777" w:rsidR="00D53B7D" w:rsidRPr="005A6C02" w:rsidRDefault="00D53B7D" w:rsidP="00223668">
      <w:pPr>
        <w:pStyle w:val="a0"/>
        <w:numPr>
          <w:ilvl w:val="0"/>
          <w:numId w:val="0"/>
        </w:numPr>
        <w:rPr>
          <w:rtl/>
        </w:rPr>
      </w:pPr>
    </w:p>
    <w:p w14:paraId="1E6250E2" w14:textId="77777777" w:rsidR="00D53B7D" w:rsidRPr="00B25C48" w:rsidRDefault="00D53B7D" w:rsidP="006D6D32">
      <w:pPr>
        <w:pStyle w:val="a3"/>
        <w:rPr>
          <w:rtl/>
        </w:rPr>
        <w:sectPr w:rsidR="00D53B7D" w:rsidRPr="00B25C48" w:rsidSect="005049E2">
          <w:type w:val="continuous"/>
          <w:pgSz w:w="11906" w:h="16838"/>
          <w:pgMar w:top="720" w:right="720" w:bottom="720" w:left="720" w:header="283" w:footer="283" w:gutter="0"/>
          <w:cols w:num="2" w:space="567"/>
          <w:titlePg/>
          <w:bidi/>
          <w:rtlGutter/>
          <w:docGrid w:linePitch="299"/>
        </w:sectPr>
      </w:pPr>
    </w:p>
    <w:p w14:paraId="3CC5B9DB" w14:textId="77777777" w:rsidR="004E5ACF" w:rsidRDefault="004E5ACF" w:rsidP="006D6D32">
      <w:pPr>
        <w:pStyle w:val="afd"/>
        <w:rPr>
          <w:rtl/>
        </w:rPr>
        <w:sectPr w:rsidR="004E5ACF" w:rsidSect="00436F39">
          <w:headerReference w:type="default" r:id="rId92"/>
          <w:headerReference w:type="first" r:id="rId93"/>
          <w:footerReference w:type="first" r:id="rId94"/>
          <w:type w:val="continuous"/>
          <w:pgSz w:w="11906" w:h="16838"/>
          <w:pgMar w:top="720" w:right="720" w:bottom="720" w:left="720" w:header="283" w:footer="283" w:gutter="0"/>
          <w:pgNumType w:fmt="hebrew1"/>
          <w:cols w:space="113"/>
          <w:bidi/>
          <w:rtlGutter/>
          <w:docGrid w:linePitch="299"/>
        </w:sectPr>
      </w:pPr>
      <w:bookmarkStart w:id="13943" w:name="_Toc532810051"/>
      <w:bookmarkStart w:id="13944" w:name="_Toc533441186"/>
      <w:bookmarkStart w:id="13945" w:name="_Toc533413296"/>
      <w:bookmarkStart w:id="13946" w:name="_Toc533490152"/>
      <w:bookmarkStart w:id="13947" w:name="_Toc533506082"/>
      <w:bookmarkStart w:id="13948" w:name="_Toc533544290"/>
      <w:bookmarkStart w:id="13949" w:name="_Toc534142084"/>
    </w:p>
    <w:p w14:paraId="0877D28A" w14:textId="77777777" w:rsidR="00436F39" w:rsidRDefault="00436F39" w:rsidP="006D6D32">
      <w:pPr>
        <w:pStyle w:val="afd"/>
      </w:pPr>
      <w:bookmarkStart w:id="13950" w:name="_Toc16669754"/>
      <w:bookmarkStart w:id="13951" w:name="_Toc19435862"/>
      <w:bookmarkStart w:id="13952" w:name="_Toc20081103"/>
      <w:r>
        <w:rPr>
          <w:rFonts w:hint="cs"/>
          <w:rtl/>
        </w:rPr>
        <w:t>סימן י"</w:t>
      </w:r>
      <w:bookmarkEnd w:id="13943"/>
      <w:r>
        <w:rPr>
          <w:rFonts w:hint="cs"/>
          <w:rtl/>
        </w:rPr>
        <w:t>ד</w:t>
      </w:r>
      <w:bookmarkEnd w:id="13944"/>
      <w:bookmarkEnd w:id="13945"/>
      <w:bookmarkEnd w:id="13946"/>
      <w:bookmarkEnd w:id="13947"/>
      <w:bookmarkEnd w:id="13948"/>
      <w:bookmarkEnd w:id="13949"/>
      <w:bookmarkEnd w:id="13950"/>
      <w:bookmarkEnd w:id="13951"/>
      <w:bookmarkEnd w:id="13952"/>
    </w:p>
    <w:p w14:paraId="77D4B2A6" w14:textId="77777777" w:rsidR="00436F39" w:rsidRDefault="00436F39" w:rsidP="006D6D32">
      <w:pPr>
        <w:pStyle w:val="afd"/>
        <w:rPr>
          <w:rtl/>
        </w:rPr>
      </w:pPr>
      <w:bookmarkStart w:id="13953" w:name="_Toc533441187"/>
      <w:bookmarkStart w:id="13954" w:name="_Toc533490153"/>
      <w:bookmarkStart w:id="13955" w:name="_Toc533506083"/>
      <w:bookmarkStart w:id="13956" w:name="_Toc533544291"/>
      <w:bookmarkStart w:id="13957" w:name="_Toc534142085"/>
      <w:bookmarkStart w:id="13958" w:name="_Toc16669755"/>
      <w:bookmarkStart w:id="13959" w:name="_Toc19435863"/>
      <w:bookmarkStart w:id="13960" w:name="_Toc20081104"/>
      <w:r>
        <w:rPr>
          <w:rFonts w:hint="cs"/>
          <w:rtl/>
        </w:rPr>
        <w:t>סוגיא דהגרמה (ג')</w:t>
      </w:r>
      <w:bookmarkEnd w:id="13953"/>
      <w:bookmarkEnd w:id="13954"/>
      <w:bookmarkEnd w:id="13955"/>
      <w:bookmarkEnd w:id="13956"/>
      <w:bookmarkEnd w:id="13957"/>
      <w:bookmarkEnd w:id="13958"/>
      <w:bookmarkEnd w:id="13959"/>
      <w:bookmarkEnd w:id="13960"/>
      <w:r>
        <w:rPr>
          <w:rFonts w:hint="cs"/>
          <w:rtl/>
        </w:rPr>
        <w:t xml:space="preserve"> </w:t>
      </w:r>
    </w:p>
    <w:p w14:paraId="35D68530" w14:textId="77777777" w:rsidR="00436F39" w:rsidRDefault="00436F39" w:rsidP="006D6D32">
      <w:pPr>
        <w:pStyle w:val="afd"/>
        <w:rPr>
          <w:rtl/>
        </w:rPr>
      </w:pPr>
      <w:bookmarkStart w:id="13961" w:name="_Toc533441188"/>
      <w:bookmarkStart w:id="13962" w:name="_Toc533413297"/>
      <w:bookmarkStart w:id="13963" w:name="_Toc533490154"/>
      <w:bookmarkStart w:id="13964" w:name="_Toc533506084"/>
      <w:bookmarkStart w:id="13965" w:name="_Toc533544292"/>
      <w:bookmarkStart w:id="13966" w:name="_Toc16669756"/>
      <w:bookmarkStart w:id="13967" w:name="_Toc19435864"/>
      <w:bookmarkStart w:id="13968" w:name="_Toc20081105"/>
      <w:r>
        <w:rPr>
          <w:rFonts w:hint="cs"/>
          <w:rtl/>
        </w:rPr>
        <w:t>בענין הגרמה ושאר פסולי שחיטה במיעוט בתרא</w:t>
      </w:r>
      <w:bookmarkEnd w:id="13961"/>
      <w:bookmarkEnd w:id="13962"/>
      <w:bookmarkEnd w:id="13963"/>
      <w:bookmarkEnd w:id="13964"/>
      <w:bookmarkEnd w:id="13965"/>
      <w:bookmarkEnd w:id="13966"/>
      <w:bookmarkEnd w:id="13967"/>
      <w:bookmarkEnd w:id="13968"/>
    </w:p>
    <w:p w14:paraId="01C05816" w14:textId="77777777" w:rsidR="00436F39" w:rsidRDefault="000A0C31" w:rsidP="00436F39">
      <w:pPr>
        <w:pStyle w:val="2"/>
        <w:keepNext w:val="0"/>
        <w:keepLines w:val="0"/>
        <w:rPr>
          <w:rtl/>
        </w:rPr>
      </w:pPr>
      <w:r>
        <w:rPr>
          <w:rtl/>
        </w:rPr>
        <w:t>מפתח הסוגיא</w:t>
      </w:r>
    </w:p>
    <w:p w14:paraId="4AFFE8B5" w14:textId="77777777" w:rsidR="00436F39" w:rsidRDefault="00436F39" w:rsidP="00436F39">
      <w:pPr>
        <w:pStyle w:val="aff4"/>
        <w:rPr>
          <w:rtl/>
        </w:rPr>
        <w:sectPr w:rsidR="00436F39" w:rsidSect="004E5ACF">
          <w:headerReference w:type="default" r:id="rId95"/>
          <w:pgSz w:w="11906" w:h="16838"/>
          <w:pgMar w:top="720" w:right="720" w:bottom="720" w:left="720" w:header="283" w:footer="283" w:gutter="0"/>
          <w:cols w:space="113"/>
          <w:bidi/>
          <w:rtlGutter/>
          <w:docGrid w:linePitch="299"/>
        </w:sectPr>
      </w:pPr>
    </w:p>
    <w:p w14:paraId="568F41BE" w14:textId="77777777" w:rsidR="00436F39" w:rsidRDefault="00436F39" w:rsidP="00436F39">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bookmarkStart w:id="13969" w:name="_Toc19435866"/>
      <w:r>
        <w:rPr>
          <w:noProof/>
          <w:rtl/>
        </w:rPr>
        <w:t>מראי מקומות וביאורים על הסוגיא</w:t>
      </w:r>
      <w:bookmarkEnd w:id="13969"/>
    </w:p>
    <w:p w14:paraId="50DA0CA2" w14:textId="77777777" w:rsidR="00436F39" w:rsidRDefault="00436F39" w:rsidP="00436F39">
      <w:pPr>
        <w:pStyle w:val="2"/>
        <w:rPr>
          <w:rFonts w:eastAsiaTheme="minorEastAsia" w:cstheme="minorBidi"/>
          <w:i/>
          <w:iCs/>
          <w:noProof/>
          <w:sz w:val="22"/>
          <w:szCs w:val="22"/>
          <w:rtl/>
        </w:rPr>
      </w:pPr>
      <w:bookmarkStart w:id="13970" w:name="_Toc19435867"/>
      <w:r>
        <w:rPr>
          <w:noProof/>
          <w:rtl/>
        </w:rPr>
        <w:t>דעת רש"י דמיעוט בתרא פוסל בשחיטה</w:t>
      </w:r>
      <w:bookmarkEnd w:id="13970"/>
    </w:p>
    <w:p w14:paraId="5823914B" w14:textId="77777777" w:rsidR="00436F39" w:rsidRDefault="00436F39" w:rsidP="00436F39">
      <w:pPr>
        <w:pStyle w:val="aff4"/>
        <w:rPr>
          <w:noProof/>
          <w:rtl/>
        </w:rPr>
      </w:pPr>
      <w:bookmarkStart w:id="13971" w:name="_Toc19435868"/>
      <w:bookmarkStart w:id="13972" w:name="_Toc20081106"/>
      <w:r>
        <w:rPr>
          <w:noProof/>
          <w:rtl/>
        </w:rPr>
        <w:t>דעת רש"י דחלדה והגרמה פוסלות במיעוט בתרא</w:t>
      </w:r>
      <w:bookmarkEnd w:id="13971"/>
      <w:bookmarkEnd w:id="13972"/>
    </w:p>
    <w:p w14:paraId="6789E068" w14:textId="77777777" w:rsidR="004E5ACF" w:rsidRPr="005077A7" w:rsidRDefault="004E5ACF" w:rsidP="00E12979">
      <w:pPr>
        <w:pStyle w:val="a"/>
        <w:numPr>
          <w:ilvl w:val="0"/>
          <w:numId w:val="31"/>
        </w:numPr>
        <w:rPr>
          <w:rFonts w:eastAsiaTheme="minorEastAsia"/>
        </w:rPr>
      </w:pPr>
      <w:r w:rsidRPr="002F271B">
        <w:rPr>
          <w:rtl/>
        </w:rPr>
        <w:t>ביאור רש"י דהספק בהחליד במיעוט בתרא אי כיון דחשיב כשחיטה אחת אף הרוב נפסל</w:t>
      </w:r>
      <w:r w:rsidRPr="00462722">
        <w:rPr>
          <w:rtl/>
        </w:rPr>
        <w:t xml:space="preserve"> </w:t>
      </w:r>
    </w:p>
    <w:p w14:paraId="2F72E0C8" w14:textId="77777777" w:rsidR="00436F39" w:rsidRPr="00462722" w:rsidRDefault="00436F39" w:rsidP="005077A7">
      <w:pPr>
        <w:pStyle w:val="a"/>
        <w:rPr>
          <w:rFonts w:eastAsiaTheme="minorEastAsia"/>
          <w:rtl/>
        </w:rPr>
      </w:pPr>
      <w:r w:rsidRPr="00462722">
        <w:rPr>
          <w:rtl/>
        </w:rPr>
        <w:t>דברי רש"י דכיון דבחלדה במיעו"ב צריך להחמיר בספק ה"ה בכל דיני הגרמה דמספק צריך להחמיר</w:t>
      </w:r>
    </w:p>
    <w:p w14:paraId="65261AD1" w14:textId="77777777" w:rsidR="00436F39" w:rsidRPr="005C74B5" w:rsidRDefault="00436F39" w:rsidP="00436F39">
      <w:pPr>
        <w:pStyle w:val="aff4"/>
        <w:rPr>
          <w:noProof/>
          <w:rtl/>
        </w:rPr>
      </w:pPr>
      <w:bookmarkStart w:id="13973" w:name="_Toc19435869"/>
      <w:bookmarkStart w:id="13974" w:name="_Toc20081107"/>
      <w:r>
        <w:rPr>
          <w:noProof/>
          <w:rtl/>
        </w:rPr>
        <w:t>דברי רש"י בחלדה במיעוט קמא</w:t>
      </w:r>
      <w:bookmarkEnd w:id="13973"/>
      <w:bookmarkEnd w:id="13974"/>
    </w:p>
    <w:p w14:paraId="01DFACAE" w14:textId="77777777" w:rsidR="00436F39" w:rsidRPr="00462722" w:rsidRDefault="00436F39" w:rsidP="005077A7">
      <w:pPr>
        <w:pStyle w:val="a"/>
        <w:rPr>
          <w:rFonts w:eastAsiaTheme="minorEastAsia"/>
          <w:rtl/>
        </w:rPr>
      </w:pPr>
      <w:r w:rsidRPr="00462722">
        <w:rPr>
          <w:rtl/>
        </w:rPr>
        <w:t>דברי רש"י דבהחליד במיעוט קמא פשיטא דהויא נבילה</w:t>
      </w:r>
    </w:p>
    <w:p w14:paraId="7CF04023" w14:textId="77777777" w:rsidR="00436F39" w:rsidRPr="00462722" w:rsidRDefault="00436F39" w:rsidP="005077A7">
      <w:pPr>
        <w:pStyle w:val="a"/>
        <w:rPr>
          <w:rFonts w:eastAsiaTheme="minorEastAsia"/>
          <w:rtl/>
        </w:rPr>
      </w:pPr>
      <w:r w:rsidRPr="00462722">
        <w:rPr>
          <w:rtl/>
        </w:rPr>
        <w:t>קושית הרא"ש לדעת רש"י מה הדין בדריסה במיעוט קמא ובנעקרו הסימנים במיעוט בתרא</w:t>
      </w:r>
    </w:p>
    <w:p w14:paraId="27D97003" w14:textId="77777777" w:rsidR="00436F39" w:rsidRPr="00462722" w:rsidRDefault="00436F39" w:rsidP="005077A7">
      <w:pPr>
        <w:pStyle w:val="a"/>
        <w:rPr>
          <w:rFonts w:eastAsiaTheme="minorEastAsia"/>
          <w:rtl/>
        </w:rPr>
      </w:pPr>
      <w:r w:rsidRPr="00462722">
        <w:rPr>
          <w:rtl/>
        </w:rPr>
        <w:t>דברי הרשב"א בתשו' דבמיעוט קמא דושט פשיטא שהיא נבילה</w:t>
      </w:r>
    </w:p>
    <w:p w14:paraId="5BAADFDB" w14:textId="77777777" w:rsidR="00436F39" w:rsidRPr="000A4B8F" w:rsidRDefault="00436F39" w:rsidP="00436F39">
      <w:pPr>
        <w:pStyle w:val="aff4"/>
        <w:rPr>
          <w:noProof/>
          <w:rtl/>
        </w:rPr>
      </w:pPr>
      <w:bookmarkStart w:id="13975" w:name="_Toc19435870"/>
      <w:bookmarkStart w:id="13976" w:name="_Toc20081108"/>
      <w:r>
        <w:rPr>
          <w:noProof/>
          <w:rtl/>
        </w:rPr>
        <w:t>דברי רש"י דשהייה במיעוט בתרא פוסלת</w:t>
      </w:r>
      <w:bookmarkEnd w:id="13975"/>
      <w:bookmarkEnd w:id="13976"/>
    </w:p>
    <w:p w14:paraId="455ABA50" w14:textId="77777777" w:rsidR="00436F39" w:rsidRPr="00462722" w:rsidRDefault="00436F39" w:rsidP="005077A7">
      <w:pPr>
        <w:pStyle w:val="a"/>
        <w:rPr>
          <w:rFonts w:eastAsiaTheme="minorEastAsia"/>
          <w:rtl/>
        </w:rPr>
      </w:pPr>
      <w:r w:rsidRPr="00462722">
        <w:rPr>
          <w:rtl/>
        </w:rPr>
        <w:t>דברי רש"י והבה"ג דשהייה בין במיעוט קמא ובין במיעוט בתרא פסולה מספק</w:t>
      </w:r>
    </w:p>
    <w:p w14:paraId="44AA5C2A" w14:textId="77777777" w:rsidR="00436F39" w:rsidRPr="00462722" w:rsidRDefault="00436F39" w:rsidP="005077A7">
      <w:pPr>
        <w:pStyle w:val="a"/>
        <w:rPr>
          <w:rFonts w:eastAsiaTheme="minorEastAsia"/>
          <w:rtl/>
        </w:rPr>
      </w:pPr>
      <w:r w:rsidRPr="00462722">
        <w:rPr>
          <w:rtl/>
        </w:rPr>
        <w:t>ביאור רש"י דהספק בשהייה במיעוט סימנים</w:t>
      </w:r>
    </w:p>
    <w:p w14:paraId="569E8D93" w14:textId="77777777" w:rsidR="00436F39" w:rsidRPr="00462722" w:rsidRDefault="00436F39" w:rsidP="005077A7">
      <w:pPr>
        <w:pStyle w:val="a"/>
        <w:rPr>
          <w:rFonts w:eastAsiaTheme="minorEastAsia"/>
          <w:rtl/>
        </w:rPr>
      </w:pPr>
      <w:r w:rsidRPr="00462722">
        <w:rPr>
          <w:rtl/>
        </w:rPr>
        <w:t>דברי רש"י דהשוחט עוף והשליכו מידו ושוהה למות אסור לחזור ולשחוט את המיעוט בתרא</w:t>
      </w:r>
    </w:p>
    <w:p w14:paraId="1BAA23D6" w14:textId="77777777" w:rsidR="00436F39" w:rsidRDefault="00436F39" w:rsidP="00436F39">
      <w:pPr>
        <w:pStyle w:val="aff4"/>
        <w:rPr>
          <w:rFonts w:eastAsiaTheme="minorEastAsia" w:cstheme="minorBidi"/>
          <w:i/>
          <w:iCs/>
          <w:noProof/>
          <w:sz w:val="22"/>
          <w:szCs w:val="22"/>
          <w:rtl/>
        </w:rPr>
      </w:pPr>
      <w:bookmarkStart w:id="13977" w:name="_Toc19435871"/>
      <w:bookmarkStart w:id="13978" w:name="_Toc20081109"/>
      <w:r>
        <w:rPr>
          <w:noProof/>
          <w:rtl/>
        </w:rPr>
        <w:t>ביאור הרמב"ן והרשב"א דהפסול הוא כיון ששחט בדרך שחיטה</w:t>
      </w:r>
      <w:bookmarkEnd w:id="13977"/>
      <w:bookmarkEnd w:id="13978"/>
    </w:p>
    <w:p w14:paraId="692D7DA4" w14:textId="77777777" w:rsidR="00436F39" w:rsidRPr="00462722" w:rsidRDefault="00436F39" w:rsidP="005077A7">
      <w:pPr>
        <w:pStyle w:val="a"/>
        <w:rPr>
          <w:rFonts w:eastAsiaTheme="minorEastAsia"/>
          <w:rtl/>
        </w:rPr>
      </w:pPr>
      <w:r w:rsidRPr="00462722">
        <w:rPr>
          <w:rtl/>
        </w:rPr>
        <w:t>ביאור הרמב"ן והרשב"א ברש"י דאף שהותרה הבהמה ע"י הרוב מ"מ אסור לשחוט בתורת שחיטה</w:t>
      </w:r>
    </w:p>
    <w:p w14:paraId="1139DF90" w14:textId="77777777" w:rsidR="00436F39" w:rsidRPr="00462722" w:rsidRDefault="00436F39" w:rsidP="005077A7">
      <w:pPr>
        <w:pStyle w:val="a"/>
        <w:rPr>
          <w:rFonts w:eastAsiaTheme="minorEastAsia"/>
          <w:rtl/>
        </w:rPr>
      </w:pPr>
      <w:r w:rsidRPr="00462722">
        <w:rPr>
          <w:rtl/>
        </w:rPr>
        <w:t>ביאור הרשב"א בתשו' ברש"י דכל שמתעסק בדרך שחיטה פוסל בין במיעו"ק ובין במיעו"ב</w:t>
      </w:r>
    </w:p>
    <w:p w14:paraId="744248C3" w14:textId="77777777" w:rsidR="00436F39" w:rsidRPr="00462722" w:rsidRDefault="00436F39" w:rsidP="005077A7">
      <w:pPr>
        <w:pStyle w:val="a"/>
        <w:rPr>
          <w:rFonts w:eastAsiaTheme="minorEastAsia"/>
          <w:rtl/>
        </w:rPr>
      </w:pPr>
      <w:r w:rsidRPr="00462722">
        <w:rPr>
          <w:rtl/>
        </w:rPr>
        <w:t>דברי הרשב"א בתשו' דלדעת רש"י כשמתעסק במיעו"ב שלא בדרך שחיטה כעיקור אינו פוסל</w:t>
      </w:r>
    </w:p>
    <w:p w14:paraId="2DEE5C8C" w14:textId="77777777" w:rsidR="00436F39" w:rsidRDefault="00436F39" w:rsidP="00436F39">
      <w:pPr>
        <w:pStyle w:val="2"/>
        <w:rPr>
          <w:rFonts w:eastAsiaTheme="minorEastAsia" w:cstheme="minorBidi"/>
          <w:i/>
          <w:iCs/>
          <w:noProof/>
          <w:sz w:val="22"/>
          <w:szCs w:val="22"/>
          <w:rtl/>
        </w:rPr>
      </w:pPr>
      <w:bookmarkStart w:id="13979" w:name="_Toc19435872"/>
      <w:r>
        <w:rPr>
          <w:noProof/>
          <w:rtl/>
        </w:rPr>
        <w:t>דעת הסוברים דהספק במיעו"ב מדאו'</w:t>
      </w:r>
      <w:bookmarkEnd w:id="13979"/>
    </w:p>
    <w:p w14:paraId="2C613C81" w14:textId="77777777" w:rsidR="00436F39" w:rsidRDefault="00436F39" w:rsidP="00436F39">
      <w:pPr>
        <w:pStyle w:val="aff4"/>
        <w:rPr>
          <w:rFonts w:eastAsiaTheme="minorEastAsia" w:cstheme="minorBidi"/>
          <w:i/>
          <w:iCs/>
          <w:noProof/>
          <w:sz w:val="22"/>
          <w:szCs w:val="22"/>
          <w:rtl/>
        </w:rPr>
      </w:pPr>
      <w:bookmarkStart w:id="13980" w:name="_Toc19435873"/>
      <w:bookmarkStart w:id="13981" w:name="_Toc20081110"/>
      <w:r>
        <w:rPr>
          <w:noProof/>
          <w:rtl/>
        </w:rPr>
        <w:t>דברי המחזור ויטרי דבתיקו דאו' אזלינן לחומרא</w:t>
      </w:r>
      <w:bookmarkEnd w:id="13980"/>
      <w:bookmarkEnd w:id="13981"/>
    </w:p>
    <w:p w14:paraId="295AEBF1" w14:textId="77777777" w:rsidR="00436F39" w:rsidRPr="00462722" w:rsidRDefault="00436F39" w:rsidP="005077A7">
      <w:pPr>
        <w:pStyle w:val="a"/>
        <w:rPr>
          <w:rFonts w:eastAsiaTheme="minorEastAsia"/>
          <w:rtl/>
        </w:rPr>
      </w:pPr>
      <w:r w:rsidRPr="00462722">
        <w:rPr>
          <w:rtl/>
        </w:rPr>
        <w:t>דברי המחזור ויטרי דהספק במיעו"ב הוא מדאו' ולכן צריך להחמיר וה"ה בעכו"ם ששחט במיעו"ב</w:t>
      </w:r>
    </w:p>
    <w:p w14:paraId="201A568B" w14:textId="77777777" w:rsidR="00436F39" w:rsidRDefault="00436F39" w:rsidP="00436F39">
      <w:pPr>
        <w:pStyle w:val="aff4"/>
        <w:rPr>
          <w:rFonts w:eastAsiaTheme="minorEastAsia" w:cstheme="minorBidi"/>
          <w:i/>
          <w:iCs/>
          <w:noProof/>
          <w:sz w:val="22"/>
          <w:szCs w:val="22"/>
          <w:rtl/>
        </w:rPr>
      </w:pPr>
      <w:bookmarkStart w:id="13982" w:name="_Toc19435874"/>
      <w:bookmarkStart w:id="13983" w:name="_Toc20081111"/>
      <w:r>
        <w:rPr>
          <w:noProof/>
          <w:rtl/>
        </w:rPr>
        <w:t>ביאור רבינו ירוחם ברש"י דגילה בדעתו שהמיעוט חשוב כרוב</w:t>
      </w:r>
      <w:bookmarkEnd w:id="13982"/>
      <w:bookmarkEnd w:id="13983"/>
    </w:p>
    <w:p w14:paraId="2D76CBBE" w14:textId="77777777" w:rsidR="00436F39" w:rsidRPr="00462722" w:rsidRDefault="00436F39" w:rsidP="005077A7">
      <w:pPr>
        <w:pStyle w:val="a"/>
        <w:rPr>
          <w:rFonts w:eastAsiaTheme="minorEastAsia"/>
          <w:rtl/>
        </w:rPr>
      </w:pPr>
      <w:r w:rsidRPr="00462722">
        <w:rPr>
          <w:rtl/>
        </w:rPr>
        <w:t>ביאור רבינו ירוחם דהצד דשהייה במיעו"ב אינה פוסלת דהוכשרה ברוב והמיעוט הוא בשר בעלמא</w:t>
      </w:r>
    </w:p>
    <w:p w14:paraId="4173092C" w14:textId="77777777" w:rsidR="00436F39" w:rsidRPr="00462722" w:rsidRDefault="00436F39" w:rsidP="005077A7">
      <w:pPr>
        <w:pStyle w:val="a"/>
        <w:rPr>
          <w:rFonts w:eastAsiaTheme="minorEastAsia"/>
          <w:rtl/>
        </w:rPr>
      </w:pPr>
      <w:r w:rsidRPr="00462722">
        <w:rPr>
          <w:rtl/>
        </w:rPr>
        <w:t>ביאור רבינו ירוחם דהצד דשהייה פוסלת במיעו"ב כיון שגילה בדעתו דהמיעוט חשוב כמו הרוב</w:t>
      </w:r>
    </w:p>
    <w:p w14:paraId="7533ABF5" w14:textId="77777777" w:rsidR="00436F39" w:rsidRPr="00462722" w:rsidRDefault="00436F39" w:rsidP="005077A7">
      <w:pPr>
        <w:pStyle w:val="a"/>
        <w:rPr>
          <w:rFonts w:eastAsiaTheme="minorEastAsia"/>
          <w:rtl/>
        </w:rPr>
      </w:pPr>
      <w:r w:rsidRPr="00462722">
        <w:rPr>
          <w:rtl/>
        </w:rPr>
        <w:t>דברי רבינו ירוחם דאף בחלדה והגרמה במיעו"ב כיון שהחשיב את המיעו"ב השחיטה אסורה מספק</w:t>
      </w:r>
    </w:p>
    <w:p w14:paraId="5A58C113" w14:textId="77777777" w:rsidR="00436F39" w:rsidRPr="00462722" w:rsidRDefault="00436F39" w:rsidP="005077A7">
      <w:pPr>
        <w:pStyle w:val="a"/>
        <w:rPr>
          <w:rFonts w:eastAsiaTheme="minorEastAsia"/>
          <w:rtl/>
        </w:rPr>
      </w:pPr>
      <w:r w:rsidRPr="00462722">
        <w:rPr>
          <w:rtl/>
        </w:rPr>
        <w:t>דברי התבו"ש דמדכתב רבינו ירוחם דהיא ספק נבילה מבואר דהספק הוא מדאו'</w:t>
      </w:r>
    </w:p>
    <w:p w14:paraId="19F3E579" w14:textId="77777777" w:rsidR="00436F39" w:rsidRPr="00462722" w:rsidRDefault="00436F39" w:rsidP="005077A7">
      <w:pPr>
        <w:pStyle w:val="a"/>
        <w:rPr>
          <w:rFonts w:eastAsiaTheme="minorEastAsia"/>
          <w:rtl/>
        </w:rPr>
      </w:pPr>
      <w:r w:rsidRPr="00462722">
        <w:rPr>
          <w:rtl/>
        </w:rPr>
        <w:t>ביאור הביה"ל ברבינו ירוחם דמדאו לכתחילה צריך לשחוט את כל הסימן ולכן הוי שחיטה אחת</w:t>
      </w:r>
    </w:p>
    <w:p w14:paraId="3CB71831" w14:textId="77777777" w:rsidR="00436F39" w:rsidRPr="00462722" w:rsidRDefault="00436F39" w:rsidP="005077A7">
      <w:pPr>
        <w:pStyle w:val="a"/>
        <w:rPr>
          <w:rFonts w:eastAsiaTheme="minorEastAsia"/>
          <w:rtl/>
        </w:rPr>
      </w:pPr>
      <w:r w:rsidRPr="00462722">
        <w:rPr>
          <w:rtl/>
        </w:rPr>
        <w:t>דברי הביה"ל דאי לכתחילה א"צ לשחוט את כל הסימן אין סברא לפסול במיעו"ב  מדאו'</w:t>
      </w:r>
    </w:p>
    <w:p w14:paraId="5727E358" w14:textId="77777777" w:rsidR="00436F39" w:rsidRDefault="00436F39" w:rsidP="00436F39">
      <w:pPr>
        <w:pStyle w:val="aff4"/>
        <w:rPr>
          <w:rFonts w:eastAsiaTheme="minorEastAsia" w:cstheme="minorBidi"/>
          <w:i/>
          <w:iCs/>
          <w:noProof/>
          <w:sz w:val="22"/>
          <w:szCs w:val="22"/>
          <w:rtl/>
        </w:rPr>
      </w:pPr>
      <w:bookmarkStart w:id="13984" w:name="_Toc19435875"/>
      <w:bookmarkStart w:id="13985" w:name="_Toc20081112"/>
      <w:r>
        <w:rPr>
          <w:noProof/>
          <w:rtl/>
        </w:rPr>
        <w:t>ביאור המאירי דמדאו' לכתחילה יש דין שחיטה בכל הסימן</w:t>
      </w:r>
      <w:bookmarkEnd w:id="13984"/>
      <w:bookmarkEnd w:id="13985"/>
    </w:p>
    <w:p w14:paraId="3049951D" w14:textId="77777777" w:rsidR="00436F39" w:rsidRPr="00462722" w:rsidRDefault="00436F39" w:rsidP="005077A7">
      <w:pPr>
        <w:pStyle w:val="a"/>
        <w:rPr>
          <w:rFonts w:eastAsiaTheme="minorEastAsia"/>
          <w:rtl/>
        </w:rPr>
      </w:pPr>
      <w:r w:rsidRPr="00462722">
        <w:rPr>
          <w:rtl/>
        </w:rPr>
        <w:t>ביאור המאירי דמדאו' לכתחילה צריך לשחוט את כל הסימן ולכן אסור לשחוט את המיעו"ב בפסול</w:t>
      </w:r>
    </w:p>
    <w:p w14:paraId="11EA53D4" w14:textId="77777777" w:rsidR="00436F39" w:rsidRPr="00462722" w:rsidRDefault="00436F39" w:rsidP="005077A7">
      <w:pPr>
        <w:pStyle w:val="a"/>
        <w:rPr>
          <w:rFonts w:eastAsiaTheme="minorEastAsia"/>
          <w:rtl/>
        </w:rPr>
      </w:pPr>
      <w:r w:rsidRPr="00462722">
        <w:rPr>
          <w:rtl/>
        </w:rPr>
        <w:t>דברי האחר"ח והכל בו דנתברר שדעתו לשחוט הכל כדין לחתחילה והוי שהייה באמצע שחיטה</w:t>
      </w:r>
    </w:p>
    <w:p w14:paraId="659E9AC5" w14:textId="77777777" w:rsidR="00436F39" w:rsidRPr="00462722" w:rsidRDefault="00436F39" w:rsidP="005077A7">
      <w:pPr>
        <w:pStyle w:val="a"/>
        <w:rPr>
          <w:rFonts w:eastAsiaTheme="minorEastAsia"/>
          <w:rtl/>
        </w:rPr>
      </w:pPr>
      <w:r w:rsidRPr="00462722">
        <w:rPr>
          <w:rtl/>
        </w:rPr>
        <w:t>ביאור הארח"ח והכל בו דאף כשהשליך את העוף מידו וחזר ושחט מגלה בדעתו דלא גמר לשחוט</w:t>
      </w:r>
    </w:p>
    <w:p w14:paraId="10A45E99" w14:textId="77777777" w:rsidR="00436F39" w:rsidRDefault="00436F39" w:rsidP="00436F39">
      <w:pPr>
        <w:pStyle w:val="aff4"/>
        <w:rPr>
          <w:rFonts w:eastAsiaTheme="minorEastAsia" w:cstheme="minorBidi"/>
          <w:i/>
          <w:iCs/>
          <w:noProof/>
          <w:sz w:val="22"/>
          <w:szCs w:val="22"/>
          <w:rtl/>
        </w:rPr>
      </w:pPr>
      <w:bookmarkStart w:id="13986" w:name="_Toc19435876"/>
      <w:bookmarkStart w:id="13987" w:name="_Toc20081113"/>
      <w:r>
        <w:rPr>
          <w:noProof/>
          <w:rtl/>
        </w:rPr>
        <w:t>דעת הב"ח דפסול במיעוט בתרא הוא מהלמ"מ</w:t>
      </w:r>
      <w:bookmarkEnd w:id="13986"/>
      <w:bookmarkEnd w:id="13987"/>
    </w:p>
    <w:p w14:paraId="0CCDBDB2" w14:textId="77777777" w:rsidR="00436F39" w:rsidRPr="00462722" w:rsidRDefault="00436F39" w:rsidP="005077A7">
      <w:pPr>
        <w:pStyle w:val="a"/>
        <w:rPr>
          <w:rFonts w:eastAsiaTheme="minorEastAsia"/>
          <w:rtl/>
        </w:rPr>
      </w:pPr>
      <w:r w:rsidRPr="00462722">
        <w:rPr>
          <w:rtl/>
        </w:rPr>
        <w:t>ביאור הב"ח דאף שכבר הוכשרה הבהמה בשחיטת הרוב מ"מ הלמ"מ דהמיעוט בתרא פוסל</w:t>
      </w:r>
    </w:p>
    <w:p w14:paraId="4BF30C49" w14:textId="77777777" w:rsidR="00436F39" w:rsidRDefault="00436F39" w:rsidP="00436F39">
      <w:pPr>
        <w:pStyle w:val="aff4"/>
        <w:rPr>
          <w:rFonts w:eastAsiaTheme="minorEastAsia" w:cstheme="minorBidi"/>
          <w:i/>
          <w:iCs/>
          <w:noProof/>
          <w:sz w:val="22"/>
          <w:szCs w:val="22"/>
          <w:rtl/>
        </w:rPr>
      </w:pPr>
      <w:bookmarkStart w:id="13988" w:name="_Toc19435877"/>
      <w:bookmarkStart w:id="13989" w:name="_Toc20081114"/>
      <w:r>
        <w:rPr>
          <w:noProof/>
          <w:rtl/>
        </w:rPr>
        <w:t>ביאורי התבו"ש דאסרה תורה בשהייה שלא ישחוט ב' פעמים</w:t>
      </w:r>
      <w:bookmarkEnd w:id="13988"/>
      <w:bookmarkEnd w:id="13989"/>
    </w:p>
    <w:p w14:paraId="462B3651" w14:textId="77777777" w:rsidR="00436F39" w:rsidRPr="00462722" w:rsidRDefault="00436F39" w:rsidP="005077A7">
      <w:pPr>
        <w:pStyle w:val="a"/>
        <w:rPr>
          <w:rFonts w:eastAsiaTheme="minorEastAsia"/>
          <w:rtl/>
        </w:rPr>
      </w:pPr>
      <w:r w:rsidRPr="00462722">
        <w:rPr>
          <w:rtl/>
        </w:rPr>
        <w:t>דברי התבו"ש והצל"ח דהספק בשהייה במיעוט בתרא לדעת רש"י הוא מדאו'</w:t>
      </w:r>
    </w:p>
    <w:p w14:paraId="02CFAD8D" w14:textId="77777777" w:rsidR="00436F39" w:rsidRPr="00462722" w:rsidRDefault="00436F39" w:rsidP="005077A7">
      <w:pPr>
        <w:pStyle w:val="a"/>
        <w:rPr>
          <w:rFonts w:eastAsiaTheme="minorEastAsia"/>
          <w:rtl/>
        </w:rPr>
      </w:pPr>
      <w:r w:rsidRPr="00462722">
        <w:rPr>
          <w:rtl/>
        </w:rPr>
        <w:t>ביאור התבו"ש דפסול שהייה במיעו"ב דאף שכבר שחט רוב הקפידה תורה שלא ישחוט ב' פעמים</w:t>
      </w:r>
    </w:p>
    <w:p w14:paraId="7441B1D1" w14:textId="77777777" w:rsidR="00436F39" w:rsidRPr="00462722" w:rsidRDefault="00436F39" w:rsidP="005077A7">
      <w:pPr>
        <w:pStyle w:val="a"/>
        <w:rPr>
          <w:rFonts w:eastAsiaTheme="minorEastAsia"/>
          <w:rtl/>
        </w:rPr>
      </w:pPr>
      <w:r w:rsidRPr="00462722">
        <w:rPr>
          <w:rtl/>
        </w:rPr>
        <w:t>דברי התבו"ש דשהייה במיעוט קמא אינה פוסלת דלא יצאה החיות בזה ואינו נחשב שחיטה</w:t>
      </w:r>
    </w:p>
    <w:p w14:paraId="174F9697" w14:textId="77777777" w:rsidR="00436F39" w:rsidRPr="00462722" w:rsidRDefault="00436F39" w:rsidP="005077A7">
      <w:pPr>
        <w:pStyle w:val="a"/>
        <w:rPr>
          <w:rFonts w:eastAsiaTheme="minorEastAsia"/>
          <w:rtl/>
        </w:rPr>
      </w:pPr>
      <w:r w:rsidRPr="00462722">
        <w:rPr>
          <w:rtl/>
        </w:rPr>
        <w:t>דברי התבו"ש דמדפסק רש"י לחומרא מוכח דהוא ספק דאו'</w:t>
      </w:r>
    </w:p>
    <w:p w14:paraId="6350EC68" w14:textId="77777777" w:rsidR="00436F39" w:rsidRPr="00462722" w:rsidRDefault="00436F39" w:rsidP="005077A7">
      <w:pPr>
        <w:pStyle w:val="a"/>
        <w:rPr>
          <w:rFonts w:eastAsiaTheme="minorEastAsia"/>
          <w:rtl/>
        </w:rPr>
      </w:pPr>
      <w:r w:rsidRPr="00462722">
        <w:rPr>
          <w:rtl/>
        </w:rPr>
        <w:t>דברי הפרמ"ג והנוב"י דאף אי הספק מדרבנן צריך להחמיר כיון שיש לבהמה חזקת איסור</w:t>
      </w:r>
    </w:p>
    <w:p w14:paraId="328A2B8C" w14:textId="77777777" w:rsidR="00436F39" w:rsidRDefault="00436F39" w:rsidP="00436F39">
      <w:pPr>
        <w:pStyle w:val="aff4"/>
        <w:rPr>
          <w:rFonts w:eastAsiaTheme="minorEastAsia" w:cstheme="minorBidi"/>
          <w:i/>
          <w:iCs/>
          <w:noProof/>
          <w:sz w:val="22"/>
          <w:szCs w:val="22"/>
          <w:rtl/>
        </w:rPr>
      </w:pPr>
      <w:bookmarkStart w:id="13990" w:name="_Toc19435878"/>
      <w:bookmarkStart w:id="13991" w:name="_Toc20081115"/>
      <w:r>
        <w:rPr>
          <w:noProof/>
          <w:rtl/>
        </w:rPr>
        <w:t>ביאור התפאר"י דרובו ככולו אינו יכול להכשיר פסול במיעו"ב</w:t>
      </w:r>
      <w:bookmarkEnd w:id="13990"/>
      <w:bookmarkEnd w:id="13991"/>
    </w:p>
    <w:p w14:paraId="79B5648F" w14:textId="77777777" w:rsidR="00436F39" w:rsidRPr="00462722" w:rsidRDefault="00436F39" w:rsidP="005077A7">
      <w:pPr>
        <w:pStyle w:val="a"/>
        <w:rPr>
          <w:rFonts w:eastAsiaTheme="minorEastAsia"/>
          <w:rtl/>
        </w:rPr>
      </w:pPr>
      <w:r w:rsidRPr="00462722">
        <w:rPr>
          <w:rtl/>
        </w:rPr>
        <w:t>ביאור התפאר"י דכששחט את המיעו"ב בפסול א"א להופכו לכשר ע"י דין רובו ככולו</w:t>
      </w:r>
    </w:p>
    <w:p w14:paraId="3EDFC5D3" w14:textId="77777777" w:rsidR="00436F39" w:rsidRPr="00462722" w:rsidRDefault="00436F39" w:rsidP="005077A7">
      <w:pPr>
        <w:pStyle w:val="a"/>
        <w:rPr>
          <w:rFonts w:eastAsiaTheme="minorEastAsia"/>
          <w:rtl/>
        </w:rPr>
      </w:pPr>
      <w:r w:rsidRPr="00462722">
        <w:rPr>
          <w:rtl/>
        </w:rPr>
        <w:t>ביאור הגר"ש היימן דחשיב שחיטה אחת וכששחט מיעוט בפסול בטל ממנו דין רוב</w:t>
      </w:r>
    </w:p>
    <w:p w14:paraId="29B4FD81" w14:textId="77777777" w:rsidR="00436F39" w:rsidRPr="00462722" w:rsidRDefault="00436F39" w:rsidP="005077A7">
      <w:pPr>
        <w:pStyle w:val="a"/>
        <w:rPr>
          <w:rFonts w:eastAsiaTheme="minorEastAsia"/>
          <w:rtl/>
        </w:rPr>
      </w:pPr>
      <w:r w:rsidRPr="00462722">
        <w:rPr>
          <w:rtl/>
        </w:rPr>
        <w:t>דברי התפאר"י דהספק במיעו"ב מדאו' דמדרבנן א"צ להחמיר כיון שלא איתחזק איסורא</w:t>
      </w:r>
    </w:p>
    <w:p w14:paraId="1F6E0D24" w14:textId="77777777" w:rsidR="00436F39" w:rsidRDefault="00436F39" w:rsidP="00436F39">
      <w:pPr>
        <w:pStyle w:val="2"/>
        <w:rPr>
          <w:rFonts w:eastAsiaTheme="minorEastAsia" w:cstheme="minorBidi"/>
          <w:i/>
          <w:iCs/>
          <w:noProof/>
          <w:sz w:val="22"/>
          <w:szCs w:val="22"/>
          <w:rtl/>
        </w:rPr>
      </w:pPr>
      <w:bookmarkStart w:id="13992" w:name="_Toc19435879"/>
      <w:r>
        <w:rPr>
          <w:noProof/>
          <w:rtl/>
        </w:rPr>
        <w:t>דעת הסוברים דהספק במיעו"ב מדרבנן</w:t>
      </w:r>
      <w:bookmarkEnd w:id="13992"/>
    </w:p>
    <w:p w14:paraId="5BFAD84C" w14:textId="77777777" w:rsidR="00436F39" w:rsidRDefault="00436F39" w:rsidP="00436F39">
      <w:pPr>
        <w:pStyle w:val="aff4"/>
        <w:rPr>
          <w:rFonts w:eastAsiaTheme="minorEastAsia" w:cstheme="minorBidi"/>
          <w:i/>
          <w:iCs/>
          <w:noProof/>
          <w:sz w:val="22"/>
          <w:szCs w:val="22"/>
          <w:rtl/>
        </w:rPr>
      </w:pPr>
      <w:bookmarkStart w:id="13993" w:name="_Toc19435880"/>
      <w:bookmarkStart w:id="13994" w:name="_Toc20081116"/>
      <w:r>
        <w:rPr>
          <w:noProof/>
          <w:rtl/>
        </w:rPr>
        <w:t>דעת הרשב"א דהספק לרש"י במיעוט בתרא הוא מדרבנן</w:t>
      </w:r>
      <w:bookmarkEnd w:id="13993"/>
      <w:bookmarkEnd w:id="13994"/>
    </w:p>
    <w:p w14:paraId="4148BA9E" w14:textId="77777777" w:rsidR="00436F39" w:rsidRPr="00462722" w:rsidRDefault="00436F39" w:rsidP="005077A7">
      <w:pPr>
        <w:pStyle w:val="a"/>
        <w:rPr>
          <w:rFonts w:eastAsiaTheme="minorEastAsia"/>
          <w:rtl/>
        </w:rPr>
      </w:pPr>
      <w:r w:rsidRPr="00462722">
        <w:rPr>
          <w:rtl/>
        </w:rPr>
        <w:t>דברי הרשב"א דהפסול במיעו"ב בחלדה הגרמה ודריסה שלא יהיה נראה כשוחט בפסול</w:t>
      </w:r>
    </w:p>
    <w:p w14:paraId="1E2C2587" w14:textId="77777777" w:rsidR="00436F39" w:rsidRPr="00462722" w:rsidRDefault="00436F39" w:rsidP="005077A7">
      <w:pPr>
        <w:pStyle w:val="a"/>
        <w:rPr>
          <w:rFonts w:eastAsiaTheme="minorEastAsia"/>
          <w:rtl/>
        </w:rPr>
      </w:pPr>
      <w:r w:rsidRPr="00462722">
        <w:rPr>
          <w:rtl/>
        </w:rPr>
        <w:t>דברי הרשב"א דבשהייה במיעו"ב גזרו מחשש שיבואו להכשיר שהייה לפני שחיטת רוב סימנים</w:t>
      </w:r>
    </w:p>
    <w:p w14:paraId="1EA875A0" w14:textId="77777777" w:rsidR="00436F39" w:rsidRPr="00462722" w:rsidRDefault="00436F39" w:rsidP="005077A7">
      <w:pPr>
        <w:pStyle w:val="a"/>
        <w:rPr>
          <w:rFonts w:eastAsiaTheme="minorEastAsia"/>
          <w:rtl/>
        </w:rPr>
      </w:pPr>
      <w:r w:rsidRPr="00462722">
        <w:rPr>
          <w:rtl/>
        </w:rPr>
        <w:t>דברי הפרמ"ג והתבו"ש והביה"ל דס"ל להרשב"א דמדאו' א"א לפסול במיעו"ב והספק מדרבנן</w:t>
      </w:r>
    </w:p>
    <w:p w14:paraId="3FB53CD6" w14:textId="77777777" w:rsidR="00436F39" w:rsidRPr="00462722" w:rsidRDefault="00436F39" w:rsidP="005077A7">
      <w:pPr>
        <w:pStyle w:val="a"/>
        <w:rPr>
          <w:rFonts w:eastAsiaTheme="minorEastAsia"/>
          <w:rtl/>
        </w:rPr>
      </w:pPr>
      <w:r w:rsidRPr="00462722">
        <w:rPr>
          <w:rtl/>
        </w:rPr>
        <w:t>דברי היש"ש דהספק במיעו"ב הוא מדרבנן דגזרו אטו שהייה במיעוט קמא</w:t>
      </w:r>
    </w:p>
    <w:p w14:paraId="26EBC30C" w14:textId="77777777" w:rsidR="00436F39" w:rsidRPr="00462722" w:rsidRDefault="00436F39" w:rsidP="005077A7">
      <w:pPr>
        <w:pStyle w:val="a"/>
        <w:rPr>
          <w:rFonts w:eastAsiaTheme="minorEastAsia"/>
          <w:rtl/>
        </w:rPr>
      </w:pPr>
      <w:r w:rsidRPr="00462722">
        <w:rPr>
          <w:rtl/>
        </w:rPr>
        <w:t>דברי הביה"ל דלהרשב"א והיש"ש ס"ל לרש"י דבתיקו דרבנן אזלינן לחומרא</w:t>
      </w:r>
    </w:p>
    <w:p w14:paraId="3DA66D04" w14:textId="77777777" w:rsidR="00436F39" w:rsidRPr="00462722" w:rsidRDefault="00436F39" w:rsidP="005077A7">
      <w:pPr>
        <w:pStyle w:val="a"/>
        <w:rPr>
          <w:rFonts w:eastAsiaTheme="minorEastAsia"/>
          <w:rtl/>
        </w:rPr>
      </w:pPr>
      <w:r w:rsidRPr="00462722">
        <w:rPr>
          <w:rtl/>
        </w:rPr>
        <w:t>קושית התבו"ש דמדהקשה רש"י על עצמו מהתוספתא מוכח דהספק הוא מדאו'</w:t>
      </w:r>
    </w:p>
    <w:p w14:paraId="34B0FB22" w14:textId="77777777" w:rsidR="00436F39" w:rsidRDefault="00436F39" w:rsidP="00436F39">
      <w:pPr>
        <w:pStyle w:val="aff4"/>
        <w:rPr>
          <w:rtl/>
        </w:rPr>
      </w:pPr>
      <w:bookmarkStart w:id="13995" w:name="_Toc19435881"/>
      <w:bookmarkStart w:id="13996" w:name="_Toc20081117"/>
      <w:r>
        <w:rPr>
          <w:rFonts w:hint="cs"/>
          <w:rtl/>
        </w:rPr>
        <w:t>דברי הראב"ד דגזרו רבנן במיעו"ב בחלדה ולא בהגרמה</w:t>
      </w:r>
      <w:bookmarkEnd w:id="13995"/>
      <w:bookmarkEnd w:id="13996"/>
    </w:p>
    <w:p w14:paraId="049F288A" w14:textId="77777777" w:rsidR="00436F39" w:rsidRPr="00462722" w:rsidRDefault="00436F39" w:rsidP="005077A7">
      <w:pPr>
        <w:pStyle w:val="a"/>
        <w:rPr>
          <w:rFonts w:eastAsiaTheme="minorEastAsia"/>
          <w:rtl/>
        </w:rPr>
      </w:pPr>
      <w:r w:rsidRPr="00462722">
        <w:rPr>
          <w:rtl/>
        </w:rPr>
        <w:t>ביאור הראב"ד דמדרבנן צריך לכתחילה לשחוט את כל הסימנים וגזרו כששחט מיעוט בפסול</w:t>
      </w:r>
    </w:p>
    <w:p w14:paraId="68E2D9CC" w14:textId="77777777" w:rsidR="00436F39" w:rsidRPr="00462722" w:rsidRDefault="00436F39" w:rsidP="005077A7">
      <w:pPr>
        <w:pStyle w:val="a"/>
        <w:rPr>
          <w:rFonts w:eastAsiaTheme="minorEastAsia"/>
          <w:rtl/>
        </w:rPr>
      </w:pPr>
      <w:r w:rsidRPr="00462722">
        <w:rPr>
          <w:rtl/>
        </w:rPr>
        <w:t>דברי הראב"ד דבהגרמה במיעו"ב שאינו במקום שחיטה וניכר ששחט את הרוב כראוי לא גזור רבנן</w:t>
      </w:r>
    </w:p>
    <w:p w14:paraId="61CA52A1" w14:textId="77777777" w:rsidR="00436F39" w:rsidRPr="00462722" w:rsidRDefault="00436F39" w:rsidP="005077A7">
      <w:pPr>
        <w:pStyle w:val="a"/>
        <w:rPr>
          <w:rFonts w:eastAsiaTheme="minorEastAsia"/>
          <w:rtl/>
        </w:rPr>
      </w:pPr>
      <w:r w:rsidRPr="00462722">
        <w:rPr>
          <w:rtl/>
        </w:rPr>
        <w:t>דברי הראב"ד דבקנה אין חילוק בין מיעוט קמא למיעוט בתרא</w:t>
      </w:r>
    </w:p>
    <w:p w14:paraId="29D0DD6E" w14:textId="77777777" w:rsidR="00436F39" w:rsidRPr="00462722" w:rsidRDefault="00436F39" w:rsidP="005077A7">
      <w:pPr>
        <w:pStyle w:val="a"/>
        <w:rPr>
          <w:rFonts w:eastAsiaTheme="minorEastAsia"/>
          <w:rtl/>
        </w:rPr>
      </w:pPr>
      <w:r w:rsidRPr="00462722">
        <w:rPr>
          <w:rtl/>
        </w:rPr>
        <w:t>דחיית הרמב"ן דכיון דבשחט רק את רוב הסימן לא גזרו ה"ה בשחט את המיעו"ב בפסול דלא גזרו</w:t>
      </w:r>
    </w:p>
    <w:p w14:paraId="4CCB90DD" w14:textId="77777777" w:rsidR="00436F39" w:rsidRPr="00462722" w:rsidRDefault="00436F39" w:rsidP="005077A7">
      <w:pPr>
        <w:pStyle w:val="a"/>
        <w:rPr>
          <w:rFonts w:eastAsiaTheme="minorEastAsia"/>
          <w:rtl/>
        </w:rPr>
      </w:pPr>
      <w:r w:rsidRPr="00462722">
        <w:rPr>
          <w:rtl/>
        </w:rPr>
        <w:t xml:space="preserve">דברי הראב"ד בהשג' </w:t>
      </w:r>
      <w:r>
        <w:rPr>
          <w:rtl/>
        </w:rPr>
        <w:t>דכיון</w:t>
      </w:r>
      <w:r w:rsidRPr="00462722">
        <w:rPr>
          <w:rtl/>
        </w:rPr>
        <w:t xml:space="preserve"> דהניחה הגמ' בספק במיעוט בתרא בתיקו פסקינן לקולא</w:t>
      </w:r>
    </w:p>
    <w:p w14:paraId="38814833" w14:textId="77777777" w:rsidR="00436F39" w:rsidRPr="00462722" w:rsidRDefault="00436F39" w:rsidP="005077A7">
      <w:pPr>
        <w:pStyle w:val="a"/>
        <w:rPr>
          <w:rFonts w:eastAsiaTheme="minorEastAsia"/>
          <w:rtl/>
        </w:rPr>
      </w:pPr>
      <w:r w:rsidRPr="00462722">
        <w:rPr>
          <w:rtl/>
        </w:rPr>
        <w:t>דברי התבו"ש והצל"ח והביה"ל דהראב"ד ביאר דהספק במיעו"ב הוא מדרבנן ולכן פסק לקולא</w:t>
      </w:r>
    </w:p>
    <w:p w14:paraId="52BBA52B" w14:textId="77777777" w:rsidR="00436F39" w:rsidRPr="00462722" w:rsidRDefault="00436F39" w:rsidP="005077A7">
      <w:pPr>
        <w:pStyle w:val="a"/>
        <w:rPr>
          <w:rFonts w:eastAsiaTheme="minorEastAsia"/>
          <w:rtl/>
        </w:rPr>
      </w:pPr>
      <w:r w:rsidRPr="00462722">
        <w:rPr>
          <w:rtl/>
        </w:rPr>
        <w:t>דברי הריטב"א בל"ק דרב הונא דרבנן פסלי כשלא גמר את כל הסימן מדרבנן</w:t>
      </w:r>
    </w:p>
    <w:p w14:paraId="03BC37E5" w14:textId="77777777" w:rsidR="00436F39" w:rsidRDefault="00436F39" w:rsidP="00436F39">
      <w:pPr>
        <w:pStyle w:val="2"/>
        <w:rPr>
          <w:rFonts w:eastAsiaTheme="minorEastAsia" w:cstheme="minorBidi"/>
          <w:i/>
          <w:iCs/>
          <w:noProof/>
          <w:sz w:val="22"/>
          <w:szCs w:val="22"/>
          <w:rtl/>
        </w:rPr>
      </w:pPr>
      <w:bookmarkStart w:id="13997" w:name="_Toc19435882"/>
      <w:r>
        <w:rPr>
          <w:noProof/>
          <w:rtl/>
        </w:rPr>
        <w:t>הקושיות על דעת רש"י</w:t>
      </w:r>
      <w:bookmarkEnd w:id="13997"/>
    </w:p>
    <w:p w14:paraId="66B8F46D" w14:textId="77777777" w:rsidR="00436F39" w:rsidRDefault="00436F39" w:rsidP="00436F39">
      <w:pPr>
        <w:pStyle w:val="aff4"/>
        <w:rPr>
          <w:rFonts w:eastAsiaTheme="minorEastAsia" w:cstheme="minorBidi"/>
          <w:i/>
          <w:iCs/>
          <w:noProof/>
          <w:sz w:val="22"/>
          <w:szCs w:val="22"/>
          <w:rtl/>
        </w:rPr>
      </w:pPr>
      <w:bookmarkStart w:id="13998" w:name="_Toc19435883"/>
      <w:bookmarkStart w:id="13999" w:name="_Toc20081118"/>
      <w:r>
        <w:rPr>
          <w:noProof/>
          <w:rtl/>
        </w:rPr>
        <w:t>קושית רש"י דבתוספתא מבואר דשהייה במיעו"ב כשרה</w:t>
      </w:r>
      <w:bookmarkEnd w:id="13998"/>
      <w:bookmarkEnd w:id="13999"/>
    </w:p>
    <w:p w14:paraId="6085E831" w14:textId="77777777" w:rsidR="00436F39" w:rsidRPr="00462722" w:rsidRDefault="00436F39" w:rsidP="005077A7">
      <w:pPr>
        <w:pStyle w:val="a"/>
        <w:rPr>
          <w:rFonts w:eastAsiaTheme="minorEastAsia"/>
          <w:rtl/>
        </w:rPr>
      </w:pPr>
      <w:r w:rsidRPr="00462722">
        <w:rPr>
          <w:rtl/>
        </w:rPr>
        <w:t>קושית רש"י דבתוספתא מבואר דשהייה אינה פוסלת אחר ששחט את הרוב בהכשר</w:t>
      </w:r>
    </w:p>
    <w:p w14:paraId="0C297D8A" w14:textId="77777777" w:rsidR="00436F39" w:rsidRPr="00462722" w:rsidRDefault="00436F39" w:rsidP="005077A7">
      <w:pPr>
        <w:pStyle w:val="a"/>
        <w:rPr>
          <w:rFonts w:eastAsiaTheme="minorEastAsia"/>
          <w:rtl/>
        </w:rPr>
      </w:pPr>
      <w:r w:rsidRPr="00462722">
        <w:rPr>
          <w:rtl/>
        </w:rPr>
        <w:t>תירוץ רש"י דביאור הגמ' בתוספתא הוא דיחוי בעלמא ולא איירי בשהייה במיעוט בתרא</w:t>
      </w:r>
    </w:p>
    <w:p w14:paraId="2EC1D387" w14:textId="77777777" w:rsidR="00436F39" w:rsidRPr="00462722" w:rsidRDefault="00436F39" w:rsidP="005077A7">
      <w:pPr>
        <w:pStyle w:val="a"/>
        <w:rPr>
          <w:rFonts w:eastAsiaTheme="minorEastAsia"/>
          <w:rtl/>
        </w:rPr>
      </w:pPr>
      <w:r w:rsidRPr="00462722">
        <w:rPr>
          <w:rtl/>
        </w:rPr>
        <w:t>דחיית הרשב"א והמאירי דמביאור הגמ' בתוספתא אפשר ללמוד לדידן שהייה אינה פוסלת במיעו"ב</w:t>
      </w:r>
    </w:p>
    <w:p w14:paraId="5CDCA4F4" w14:textId="77777777" w:rsidR="00436F39" w:rsidRPr="00462722" w:rsidRDefault="00436F39" w:rsidP="005077A7">
      <w:pPr>
        <w:pStyle w:val="a"/>
        <w:rPr>
          <w:rFonts w:eastAsiaTheme="minorEastAsia"/>
          <w:rtl/>
        </w:rPr>
      </w:pPr>
      <w:r w:rsidRPr="00462722">
        <w:rPr>
          <w:rtl/>
        </w:rPr>
        <w:t>תירוץ הרמב"ן דביאור דהגמ' שביארה כן בתוספתא לא ס"ל כר"פ דמסתפק בשהייה במיעו"ב</w:t>
      </w:r>
    </w:p>
    <w:p w14:paraId="17B1065A" w14:textId="77777777" w:rsidR="00436F39" w:rsidRDefault="00436F39" w:rsidP="00436F39">
      <w:pPr>
        <w:pStyle w:val="aff4"/>
        <w:rPr>
          <w:rFonts w:eastAsiaTheme="minorEastAsia" w:cstheme="minorBidi"/>
          <w:i/>
          <w:iCs/>
          <w:noProof/>
          <w:sz w:val="22"/>
          <w:szCs w:val="22"/>
          <w:rtl/>
        </w:rPr>
      </w:pPr>
      <w:bookmarkStart w:id="14000" w:name="_Toc19435884"/>
      <w:bookmarkStart w:id="14001" w:name="_Toc20081119"/>
      <w:r>
        <w:rPr>
          <w:noProof/>
          <w:rtl/>
        </w:rPr>
        <w:t>קושית הריב"ם והרא"ש דבהגרמה קיי"ל דמיעו"ב אינו פוסל</w:t>
      </w:r>
      <w:bookmarkEnd w:id="14000"/>
      <w:bookmarkEnd w:id="14001"/>
    </w:p>
    <w:p w14:paraId="7D4D58C6" w14:textId="77777777" w:rsidR="00436F39" w:rsidRPr="00462722" w:rsidRDefault="00436F39" w:rsidP="005077A7">
      <w:pPr>
        <w:pStyle w:val="a"/>
        <w:rPr>
          <w:rFonts w:eastAsiaTheme="minorEastAsia"/>
          <w:rtl/>
        </w:rPr>
      </w:pPr>
      <w:r w:rsidRPr="00462722">
        <w:rPr>
          <w:rtl/>
        </w:rPr>
        <w:t>קושיית הריב"ם דבהגרמה במיעו"ב קיי"ל דכשר וא"א לדמות את הספק בחלדה במיעו"ב להגרמה</w:t>
      </w:r>
    </w:p>
    <w:p w14:paraId="1B5398F8" w14:textId="77777777" w:rsidR="00436F39" w:rsidRPr="00462722" w:rsidRDefault="00436F39" w:rsidP="005077A7">
      <w:pPr>
        <w:pStyle w:val="a"/>
        <w:rPr>
          <w:rFonts w:eastAsiaTheme="minorEastAsia"/>
          <w:rtl/>
        </w:rPr>
      </w:pPr>
      <w:r w:rsidRPr="00462722">
        <w:rPr>
          <w:rtl/>
        </w:rPr>
        <w:t>קושית הרמב"ן והרשב"א דבהגרמה במיעו"ב שאינו מקום שחיטה קיי"ל כשר וכ"ש בחלדה ושהייה</w:t>
      </w:r>
    </w:p>
    <w:p w14:paraId="71203171" w14:textId="77777777" w:rsidR="00436F39" w:rsidRDefault="00436F39" w:rsidP="00436F39">
      <w:pPr>
        <w:pStyle w:val="aff4"/>
        <w:rPr>
          <w:rFonts w:eastAsiaTheme="minorEastAsia" w:cstheme="minorBidi"/>
          <w:i/>
          <w:iCs/>
          <w:noProof/>
          <w:sz w:val="22"/>
          <w:szCs w:val="22"/>
          <w:rtl/>
        </w:rPr>
      </w:pPr>
      <w:bookmarkStart w:id="14002" w:name="_Toc19435885"/>
      <w:bookmarkStart w:id="14003" w:name="_Toc20081120"/>
      <w:r>
        <w:rPr>
          <w:noProof/>
          <w:rtl/>
        </w:rPr>
        <w:t>קושית התוס' דמפורש בתוספתא דשהייה אינה פוסלת במיעו"ב</w:t>
      </w:r>
      <w:bookmarkEnd w:id="14002"/>
      <w:bookmarkEnd w:id="14003"/>
    </w:p>
    <w:p w14:paraId="7B15A399" w14:textId="77777777" w:rsidR="00436F39" w:rsidRPr="00462722" w:rsidRDefault="00436F39" w:rsidP="005077A7">
      <w:pPr>
        <w:pStyle w:val="a"/>
        <w:rPr>
          <w:rFonts w:eastAsiaTheme="minorEastAsia"/>
          <w:rtl/>
        </w:rPr>
      </w:pPr>
      <w:r w:rsidRPr="00462722">
        <w:rPr>
          <w:rtl/>
        </w:rPr>
        <w:t>קושית ר"ת דאיתא בתוספתא להדיא דאחר שחיטת הרוב אם גמר את השחיטה לזמן מרובה כשר</w:t>
      </w:r>
    </w:p>
    <w:p w14:paraId="083225FD" w14:textId="77777777" w:rsidR="00436F39" w:rsidRPr="00462722" w:rsidRDefault="00436F39" w:rsidP="005077A7">
      <w:pPr>
        <w:pStyle w:val="a"/>
        <w:rPr>
          <w:rFonts w:eastAsiaTheme="minorEastAsia"/>
          <w:rtl/>
        </w:rPr>
      </w:pPr>
      <w:r w:rsidRPr="00462722">
        <w:rPr>
          <w:rtl/>
        </w:rPr>
        <w:t>תירוץ הראב"ד דהתוספתא איירי בשהייה בקנה ובקנה אין חילוק בין מיעוט קמא למיעוט בתרא</w:t>
      </w:r>
    </w:p>
    <w:p w14:paraId="06E802B3" w14:textId="77777777" w:rsidR="00436F39" w:rsidRPr="00462722" w:rsidRDefault="00436F39" w:rsidP="005077A7">
      <w:pPr>
        <w:pStyle w:val="a"/>
        <w:rPr>
          <w:rFonts w:eastAsiaTheme="minorEastAsia"/>
          <w:rtl/>
        </w:rPr>
      </w:pPr>
      <w:r w:rsidRPr="00462722">
        <w:rPr>
          <w:rtl/>
        </w:rPr>
        <w:t>דברי הרא"ש דלא קיי"ל כתוספתא</w:t>
      </w:r>
    </w:p>
    <w:p w14:paraId="0DBC51D1" w14:textId="77777777" w:rsidR="00436F39" w:rsidRPr="00462722" w:rsidRDefault="00436F39" w:rsidP="005077A7">
      <w:pPr>
        <w:pStyle w:val="a"/>
        <w:rPr>
          <w:rFonts w:eastAsiaTheme="minorEastAsia"/>
          <w:rtl/>
        </w:rPr>
      </w:pPr>
      <w:r w:rsidRPr="00462722">
        <w:rPr>
          <w:rtl/>
        </w:rPr>
        <w:t>תירוץ היש"ש דהתוספתא הכשירה מדאו' והספק בשהייה במיעוט בתרא הוא מדרבנן</w:t>
      </w:r>
    </w:p>
    <w:p w14:paraId="0C9B68AA" w14:textId="77777777" w:rsidR="00436F39" w:rsidRDefault="00436F39" w:rsidP="00436F39">
      <w:pPr>
        <w:pStyle w:val="aff4"/>
        <w:rPr>
          <w:rFonts w:eastAsiaTheme="minorEastAsia" w:cstheme="minorBidi"/>
          <w:i/>
          <w:iCs/>
          <w:noProof/>
          <w:sz w:val="22"/>
          <w:szCs w:val="22"/>
          <w:rtl/>
        </w:rPr>
      </w:pPr>
      <w:bookmarkStart w:id="14004" w:name="_Toc19435886"/>
      <w:bookmarkStart w:id="14005" w:name="_Toc20081121"/>
      <w:r>
        <w:rPr>
          <w:noProof/>
          <w:rtl/>
        </w:rPr>
        <w:t>קושית הראשונים מעכו"ם ששחט מיעוט בתרא דכשר</w:t>
      </w:r>
      <w:bookmarkEnd w:id="14004"/>
      <w:bookmarkEnd w:id="14005"/>
    </w:p>
    <w:p w14:paraId="410AFBE7" w14:textId="77777777" w:rsidR="00436F39" w:rsidRPr="00462722" w:rsidRDefault="00436F39" w:rsidP="005077A7">
      <w:pPr>
        <w:pStyle w:val="a"/>
        <w:rPr>
          <w:rFonts w:eastAsiaTheme="minorEastAsia"/>
          <w:rtl/>
        </w:rPr>
      </w:pPr>
      <w:r w:rsidRPr="00462722">
        <w:rPr>
          <w:rtl/>
        </w:rPr>
        <w:t>קושית המאירי והסמ"ג דעכו"ם ששחט את המיעו"ב אינו פוסל אחר ששחט ישראל את הרוב</w:t>
      </w:r>
    </w:p>
    <w:p w14:paraId="5D6EA4F5" w14:textId="77777777" w:rsidR="00436F39" w:rsidRPr="00462722" w:rsidRDefault="00436F39" w:rsidP="005077A7">
      <w:pPr>
        <w:pStyle w:val="a"/>
        <w:rPr>
          <w:rFonts w:eastAsiaTheme="minorEastAsia"/>
          <w:rtl/>
        </w:rPr>
      </w:pPr>
      <w:r w:rsidRPr="00462722">
        <w:rPr>
          <w:rtl/>
        </w:rPr>
        <w:t>תירוץ הדרישה דעכו"ם או ישראל אחר ששוחט את המיעו"ב אינו פוסל דאינו שחיטה אחת עם הרוב</w:t>
      </w:r>
    </w:p>
    <w:p w14:paraId="78BB3540" w14:textId="77777777" w:rsidR="00436F39" w:rsidRDefault="00436F39" w:rsidP="00436F39">
      <w:pPr>
        <w:pStyle w:val="aff4"/>
        <w:rPr>
          <w:rFonts w:eastAsiaTheme="minorEastAsia" w:cstheme="minorBidi"/>
          <w:i/>
          <w:iCs/>
          <w:noProof/>
          <w:sz w:val="22"/>
          <w:szCs w:val="22"/>
          <w:rtl/>
        </w:rPr>
      </w:pPr>
      <w:bookmarkStart w:id="14006" w:name="_Toc19435887"/>
      <w:bookmarkStart w:id="14007" w:name="_Toc20081122"/>
      <w:r>
        <w:rPr>
          <w:noProof/>
          <w:rtl/>
        </w:rPr>
        <w:t>קושית הרי"ד דאחר שחיטת הרוב הסימן כמנח בדיקולא</w:t>
      </w:r>
      <w:bookmarkEnd w:id="14006"/>
      <w:bookmarkEnd w:id="14007"/>
    </w:p>
    <w:p w14:paraId="40F6C7D2" w14:textId="77777777" w:rsidR="00436F39" w:rsidRPr="00462722" w:rsidRDefault="00436F39" w:rsidP="005077A7">
      <w:pPr>
        <w:pStyle w:val="a"/>
        <w:rPr>
          <w:rFonts w:eastAsiaTheme="minorEastAsia"/>
          <w:rtl/>
        </w:rPr>
      </w:pPr>
      <w:r w:rsidRPr="00462722">
        <w:rPr>
          <w:rtl/>
        </w:rPr>
        <w:t>קושית הפסקי הרי"ד דאחר ששחט את רוב הסימן הוא כמנח בדיקולא וא"א לפסול</w:t>
      </w:r>
    </w:p>
    <w:p w14:paraId="565C8899" w14:textId="77777777" w:rsidR="00436F39" w:rsidRPr="00462722" w:rsidRDefault="00436F39" w:rsidP="005077A7">
      <w:pPr>
        <w:pStyle w:val="a"/>
        <w:rPr>
          <w:rFonts w:eastAsiaTheme="minorEastAsia"/>
          <w:rtl/>
        </w:rPr>
      </w:pPr>
      <w:r w:rsidRPr="00462722">
        <w:rPr>
          <w:rtl/>
        </w:rPr>
        <w:t>קושית פסקי הרי"ד דבגמ' משמע דהספק הוא רק בדין חלדה ושהייה ולא בכל הפסולים</w:t>
      </w:r>
    </w:p>
    <w:p w14:paraId="36F13019" w14:textId="77777777" w:rsidR="00436F39" w:rsidRDefault="00436F39" w:rsidP="00436F39">
      <w:pPr>
        <w:pStyle w:val="2"/>
        <w:rPr>
          <w:rFonts w:eastAsiaTheme="minorEastAsia" w:cstheme="minorBidi"/>
          <w:i/>
          <w:iCs/>
          <w:noProof/>
          <w:sz w:val="22"/>
          <w:szCs w:val="22"/>
          <w:rtl/>
        </w:rPr>
      </w:pPr>
      <w:bookmarkStart w:id="14008" w:name="_Toc19435888"/>
      <w:r>
        <w:rPr>
          <w:noProof/>
          <w:rtl/>
        </w:rPr>
        <w:t>הסוברים דמיעו"ב אינו פוסל</w:t>
      </w:r>
      <w:bookmarkEnd w:id="14008"/>
    </w:p>
    <w:p w14:paraId="5DCEF2BE" w14:textId="77777777" w:rsidR="00436F39" w:rsidRDefault="00436F39" w:rsidP="00436F39">
      <w:pPr>
        <w:pStyle w:val="aff4"/>
        <w:rPr>
          <w:rFonts w:eastAsiaTheme="minorEastAsia" w:cstheme="minorBidi"/>
          <w:i/>
          <w:iCs/>
          <w:noProof/>
          <w:sz w:val="22"/>
          <w:szCs w:val="22"/>
          <w:rtl/>
        </w:rPr>
      </w:pPr>
      <w:bookmarkStart w:id="14009" w:name="_Toc19435889"/>
      <w:bookmarkStart w:id="14010" w:name="_Toc20081123"/>
      <w:r>
        <w:rPr>
          <w:noProof/>
          <w:rtl/>
        </w:rPr>
        <w:t>דעת הריב"ם והרא"ש דהספק במיעו"ב בחלדה ולא בהגרמה</w:t>
      </w:r>
      <w:bookmarkEnd w:id="14009"/>
      <w:bookmarkEnd w:id="14010"/>
    </w:p>
    <w:p w14:paraId="67433DAF" w14:textId="77777777" w:rsidR="00436F39" w:rsidRPr="00462722" w:rsidRDefault="00436F39" w:rsidP="005077A7">
      <w:pPr>
        <w:pStyle w:val="a"/>
        <w:rPr>
          <w:rFonts w:eastAsiaTheme="minorEastAsia"/>
          <w:rtl/>
        </w:rPr>
      </w:pPr>
      <w:r w:rsidRPr="00462722">
        <w:rPr>
          <w:rtl/>
        </w:rPr>
        <w:t>דברי הריב"ם והרא"ש דהספק במיעו"ב בחלדה בדרך שחיטה ולא בהגרמה דהוא כשוחט ברגלה</w:t>
      </w:r>
    </w:p>
    <w:p w14:paraId="19A25A89" w14:textId="77777777" w:rsidR="00436F39" w:rsidRPr="00462722" w:rsidRDefault="00436F39" w:rsidP="005077A7">
      <w:pPr>
        <w:pStyle w:val="a"/>
        <w:rPr>
          <w:rFonts w:eastAsiaTheme="minorEastAsia"/>
          <w:rtl/>
        </w:rPr>
      </w:pPr>
      <w:r w:rsidRPr="00462722">
        <w:rPr>
          <w:rtl/>
        </w:rPr>
        <w:t>דברי הב"ח דלהריב"ם והרא"ש בחלדה במיעו"ב צריך להחמיר אבל הגרמה במיעו"ב כשרה</w:t>
      </w:r>
    </w:p>
    <w:p w14:paraId="04780C32" w14:textId="77777777" w:rsidR="00436F39" w:rsidRDefault="00436F39" w:rsidP="00436F39">
      <w:pPr>
        <w:pStyle w:val="aff4"/>
        <w:rPr>
          <w:rFonts w:eastAsiaTheme="minorEastAsia" w:cstheme="minorBidi"/>
          <w:i/>
          <w:iCs/>
          <w:noProof/>
          <w:sz w:val="22"/>
          <w:szCs w:val="22"/>
          <w:rtl/>
        </w:rPr>
      </w:pPr>
      <w:bookmarkStart w:id="14011" w:name="_Toc19435890"/>
      <w:bookmarkStart w:id="14012" w:name="_Toc20081124"/>
      <w:r>
        <w:rPr>
          <w:noProof/>
          <w:rtl/>
        </w:rPr>
        <w:t>דברי התבו"ש דלהרא"ש והריב"ם הפסול במיעו"ב הוא מדאו'</w:t>
      </w:r>
      <w:bookmarkEnd w:id="14011"/>
      <w:bookmarkEnd w:id="14012"/>
    </w:p>
    <w:p w14:paraId="0C788627" w14:textId="77777777" w:rsidR="00436F39" w:rsidRPr="00462722" w:rsidRDefault="00436F39" w:rsidP="005077A7">
      <w:pPr>
        <w:pStyle w:val="a"/>
        <w:rPr>
          <w:rFonts w:eastAsiaTheme="minorEastAsia"/>
          <w:rtl/>
        </w:rPr>
      </w:pPr>
      <w:r w:rsidRPr="00462722">
        <w:rPr>
          <w:rtl/>
        </w:rPr>
        <w:t>דברי התבו"ש דמוכח מהריב"ם דהספק מדאו' דאילו מדרבנן אין סברא לחלק בין הגרמה לחלדה</w:t>
      </w:r>
    </w:p>
    <w:p w14:paraId="06BF2B30" w14:textId="77777777" w:rsidR="00436F39" w:rsidRDefault="00436F39" w:rsidP="00436F39">
      <w:pPr>
        <w:pStyle w:val="aff4"/>
        <w:rPr>
          <w:rFonts w:eastAsiaTheme="minorEastAsia" w:cstheme="minorBidi"/>
          <w:i/>
          <w:iCs/>
          <w:noProof/>
          <w:sz w:val="22"/>
          <w:szCs w:val="22"/>
          <w:rtl/>
        </w:rPr>
      </w:pPr>
      <w:bookmarkStart w:id="14013" w:name="_Toc19435891"/>
      <w:bookmarkStart w:id="14014" w:name="_Toc20081125"/>
      <w:r>
        <w:rPr>
          <w:noProof/>
          <w:rtl/>
        </w:rPr>
        <w:t>דברי ר"ת דהספק בחלדה ושהייה במיעוט קמא ולא במיעו"ב</w:t>
      </w:r>
      <w:bookmarkEnd w:id="14013"/>
      <w:bookmarkEnd w:id="14014"/>
    </w:p>
    <w:p w14:paraId="6EE87992" w14:textId="77777777" w:rsidR="00436F39" w:rsidRPr="00462722" w:rsidRDefault="00436F39" w:rsidP="005077A7">
      <w:pPr>
        <w:pStyle w:val="a"/>
        <w:rPr>
          <w:rFonts w:eastAsiaTheme="minorEastAsia"/>
          <w:rtl/>
        </w:rPr>
      </w:pPr>
      <w:r w:rsidRPr="00462722">
        <w:rPr>
          <w:rtl/>
        </w:rPr>
        <w:t>דברי ר"ת והרמב"ן והרשב"א דהספק בחלדה ובשהייה הוא במיעוט קמא ולא במיעוט בתרא</w:t>
      </w:r>
    </w:p>
    <w:p w14:paraId="678CCB86" w14:textId="77777777" w:rsidR="00436F39" w:rsidRPr="00462722" w:rsidRDefault="00436F39" w:rsidP="005077A7">
      <w:pPr>
        <w:pStyle w:val="a"/>
        <w:rPr>
          <w:rFonts w:eastAsiaTheme="minorEastAsia"/>
          <w:rtl/>
        </w:rPr>
      </w:pPr>
      <w:r w:rsidRPr="00462722">
        <w:rPr>
          <w:rtl/>
        </w:rPr>
        <w:t>דברי ר"ת דכדבריו מבואר בתוספתא דשהייה במיעוט בתרא אינה פוסלת</w:t>
      </w:r>
    </w:p>
    <w:p w14:paraId="1F68CCB1" w14:textId="77777777" w:rsidR="00436F39" w:rsidRPr="00462722" w:rsidRDefault="00436F39" w:rsidP="005077A7">
      <w:pPr>
        <w:pStyle w:val="a"/>
        <w:rPr>
          <w:rFonts w:eastAsiaTheme="minorEastAsia"/>
          <w:rtl/>
        </w:rPr>
      </w:pPr>
      <w:r w:rsidRPr="00462722">
        <w:rPr>
          <w:rtl/>
        </w:rPr>
        <w:t>דברי ר"ת דלדבריו בעוף שייכא שהייה רק במיעוט קמא דושט</w:t>
      </w:r>
    </w:p>
    <w:p w14:paraId="12816331" w14:textId="77777777" w:rsidR="00436F39" w:rsidRPr="00462722" w:rsidRDefault="00436F39" w:rsidP="005077A7">
      <w:pPr>
        <w:pStyle w:val="a"/>
        <w:rPr>
          <w:rFonts w:eastAsiaTheme="minorEastAsia"/>
          <w:rtl/>
        </w:rPr>
      </w:pPr>
      <w:r w:rsidRPr="00462722">
        <w:rPr>
          <w:rtl/>
        </w:rPr>
        <w:t>קושית התוס' והרמב"ן על ר"ת דבתוספתא מבואר דשהייה במיעוט קמא פוסלת</w:t>
      </w:r>
    </w:p>
    <w:p w14:paraId="08C70DD2" w14:textId="77777777" w:rsidR="00436F39" w:rsidRPr="00462722" w:rsidRDefault="00436F39" w:rsidP="005077A7">
      <w:pPr>
        <w:pStyle w:val="a"/>
        <w:rPr>
          <w:rFonts w:eastAsiaTheme="minorEastAsia"/>
          <w:rtl/>
        </w:rPr>
      </w:pPr>
      <w:r w:rsidRPr="00462722">
        <w:rPr>
          <w:rtl/>
        </w:rPr>
        <w:t>קושית הרמב"ן על ר"ת דא"א לומר דהספק הוא במיעוט קמא בושט דהא הוא מעשה טריפה</w:t>
      </w:r>
    </w:p>
    <w:p w14:paraId="5769DB8C" w14:textId="77777777" w:rsidR="00436F39" w:rsidRPr="00462722" w:rsidRDefault="00436F39" w:rsidP="005077A7">
      <w:pPr>
        <w:pStyle w:val="a"/>
        <w:rPr>
          <w:rFonts w:eastAsiaTheme="minorEastAsia"/>
          <w:rtl/>
        </w:rPr>
      </w:pPr>
      <w:r w:rsidRPr="00462722">
        <w:rPr>
          <w:rtl/>
        </w:rPr>
        <w:t>ביאור רבינו ירוחם בר"ת דהספק שאפשר להפוך את הסימן ואין נ"מ מפסול שחיטה במיעוט קמא</w:t>
      </w:r>
    </w:p>
    <w:p w14:paraId="131874C9" w14:textId="77777777" w:rsidR="00436F39" w:rsidRDefault="00436F39" w:rsidP="00436F39">
      <w:pPr>
        <w:pStyle w:val="aff4"/>
        <w:rPr>
          <w:rFonts w:eastAsiaTheme="minorEastAsia" w:cstheme="minorBidi"/>
          <w:i/>
          <w:iCs/>
          <w:noProof/>
          <w:sz w:val="22"/>
          <w:szCs w:val="22"/>
          <w:rtl/>
        </w:rPr>
      </w:pPr>
      <w:bookmarkStart w:id="14015" w:name="_Toc19435892"/>
      <w:bookmarkStart w:id="14016" w:name="_Toc20081126"/>
      <w:r>
        <w:rPr>
          <w:noProof/>
          <w:rtl/>
        </w:rPr>
        <w:t>דברי הרשב"א בתשו' דאחר שחיטת הרוב הסימן כמנח בדיקולא</w:t>
      </w:r>
      <w:bookmarkEnd w:id="14015"/>
      <w:bookmarkEnd w:id="14016"/>
    </w:p>
    <w:p w14:paraId="2C44FE37" w14:textId="77777777" w:rsidR="00436F39" w:rsidRPr="00462722" w:rsidRDefault="00436F39" w:rsidP="005077A7">
      <w:pPr>
        <w:pStyle w:val="a"/>
        <w:rPr>
          <w:rFonts w:eastAsiaTheme="minorEastAsia"/>
          <w:rtl/>
        </w:rPr>
      </w:pPr>
      <w:r w:rsidRPr="00462722">
        <w:rPr>
          <w:rtl/>
        </w:rPr>
        <w:t>דברי הרשב"א דלהלכה אחר שנשחט הרוב הסימן חשיב כמנח בדיקולא וא"א לפוסלו</w:t>
      </w:r>
    </w:p>
    <w:p w14:paraId="6DD94A7C" w14:textId="77777777" w:rsidR="00436F39" w:rsidRPr="00462722" w:rsidRDefault="00436F39" w:rsidP="005077A7">
      <w:pPr>
        <w:pStyle w:val="a"/>
        <w:rPr>
          <w:rFonts w:eastAsiaTheme="minorEastAsia"/>
          <w:rtl/>
        </w:rPr>
      </w:pPr>
      <w:r w:rsidRPr="00462722">
        <w:rPr>
          <w:rtl/>
        </w:rPr>
        <w:t>דברי הרשב"א דמוכח בסוגיין דבשחט את רוב הסימן חשיב המיעוט בתרא כשחוט</w:t>
      </w:r>
    </w:p>
    <w:p w14:paraId="440B7454" w14:textId="77777777" w:rsidR="00436F39" w:rsidRDefault="00436F39" w:rsidP="00436F39">
      <w:pPr>
        <w:pStyle w:val="2"/>
        <w:rPr>
          <w:rFonts w:eastAsiaTheme="minorEastAsia" w:cstheme="minorBidi"/>
          <w:i/>
          <w:iCs/>
          <w:noProof/>
          <w:sz w:val="22"/>
          <w:szCs w:val="22"/>
          <w:rtl/>
        </w:rPr>
      </w:pPr>
      <w:bookmarkStart w:id="14017" w:name="_Toc19435893"/>
      <w:r>
        <w:rPr>
          <w:noProof/>
          <w:rtl/>
        </w:rPr>
        <w:t>בגדר היתר השחיטה לפני המיעו"ב</w:t>
      </w:r>
      <w:bookmarkEnd w:id="14017"/>
    </w:p>
    <w:p w14:paraId="067A88F8" w14:textId="77777777" w:rsidR="00436F39" w:rsidRDefault="00436F39" w:rsidP="00436F39">
      <w:pPr>
        <w:pStyle w:val="aff4"/>
        <w:rPr>
          <w:rFonts w:eastAsiaTheme="minorEastAsia" w:cstheme="minorBidi"/>
          <w:i/>
          <w:iCs/>
          <w:noProof/>
          <w:sz w:val="22"/>
          <w:szCs w:val="22"/>
          <w:rtl/>
        </w:rPr>
      </w:pPr>
      <w:bookmarkStart w:id="14018" w:name="_Toc19435894"/>
      <w:bookmarkStart w:id="14019" w:name="_Toc20081127"/>
      <w:r>
        <w:rPr>
          <w:noProof/>
          <w:rtl/>
        </w:rPr>
        <w:t>חקירת הש"ש אם הבהמה בחזקת איסור במיעוט בתרא</w:t>
      </w:r>
      <w:bookmarkEnd w:id="14018"/>
      <w:bookmarkEnd w:id="14019"/>
    </w:p>
    <w:p w14:paraId="25E54C64" w14:textId="77777777" w:rsidR="00436F39" w:rsidRPr="00462722" w:rsidRDefault="00436F39" w:rsidP="005077A7">
      <w:pPr>
        <w:pStyle w:val="a"/>
        <w:rPr>
          <w:rFonts w:eastAsiaTheme="minorEastAsia"/>
          <w:rtl/>
        </w:rPr>
      </w:pPr>
      <w:r w:rsidRPr="00462722">
        <w:rPr>
          <w:rtl/>
        </w:rPr>
        <w:t>ספק הש"ש אי בספק פסול במיעו"ב התברר למפרע דלא יצאה הבהמה מחזקת איסור</w:t>
      </w:r>
    </w:p>
    <w:p w14:paraId="68B057F1" w14:textId="77777777" w:rsidR="00436F39" w:rsidRPr="00462722" w:rsidRDefault="00436F39" w:rsidP="005077A7">
      <w:pPr>
        <w:pStyle w:val="a"/>
        <w:rPr>
          <w:rFonts w:eastAsiaTheme="minorEastAsia"/>
          <w:rtl/>
        </w:rPr>
      </w:pPr>
      <w:r w:rsidRPr="00462722">
        <w:rPr>
          <w:rtl/>
        </w:rPr>
        <w:t>הצד הב' בש"ש דאחר שנשחטו רוב הסימנים יצאה הבהמה מחזקת איסור</w:t>
      </w:r>
    </w:p>
    <w:p w14:paraId="502A9A8E" w14:textId="77777777" w:rsidR="00436F39" w:rsidRPr="00462722" w:rsidRDefault="00436F39" w:rsidP="005077A7">
      <w:pPr>
        <w:pStyle w:val="a"/>
        <w:rPr>
          <w:rFonts w:eastAsiaTheme="minorEastAsia"/>
          <w:rtl/>
        </w:rPr>
      </w:pPr>
      <w:r w:rsidRPr="00462722">
        <w:rPr>
          <w:rtl/>
        </w:rPr>
        <w:t>דברי הש"ש דאחר שנשחטו רוב הסימנים הבהמה ויש ספק פסול מביעו"ב יש לה חזקת היתר</w:t>
      </w:r>
    </w:p>
    <w:p w14:paraId="0D7829E8" w14:textId="77777777" w:rsidR="00436F39" w:rsidRPr="00462722" w:rsidRDefault="00436F39" w:rsidP="005077A7">
      <w:pPr>
        <w:pStyle w:val="a"/>
        <w:rPr>
          <w:rFonts w:eastAsiaTheme="minorEastAsia"/>
          <w:rtl/>
        </w:rPr>
      </w:pPr>
      <w:r w:rsidRPr="00462722">
        <w:rPr>
          <w:rtl/>
        </w:rPr>
        <w:t>דברי הביה"ל דהצד שיש חזקת איסור בספק פסול במיעו"ב הוא להסוברים דהפסול הוא מדאו'</w:t>
      </w:r>
    </w:p>
    <w:p w14:paraId="55EC6779" w14:textId="77777777" w:rsidR="00436F39" w:rsidRPr="00462722" w:rsidRDefault="00436F39" w:rsidP="005077A7">
      <w:pPr>
        <w:pStyle w:val="a"/>
        <w:rPr>
          <w:rFonts w:eastAsiaTheme="minorEastAsia"/>
          <w:rtl/>
        </w:rPr>
      </w:pPr>
      <w:r w:rsidRPr="00462722">
        <w:rPr>
          <w:rtl/>
        </w:rPr>
        <w:t>דברי הביה"ל דאין חזקת איסור ויל"ע אם יש לה חזקת היתר כיון שע"י המיעו"ב נתקלקלה למפרע</w:t>
      </w:r>
    </w:p>
    <w:p w14:paraId="694A5DA7" w14:textId="77777777" w:rsidR="00436F39" w:rsidRDefault="00436F39" w:rsidP="00436F39">
      <w:pPr>
        <w:pStyle w:val="aff4"/>
        <w:rPr>
          <w:rFonts w:eastAsiaTheme="minorEastAsia" w:cstheme="minorBidi"/>
          <w:i/>
          <w:iCs/>
          <w:noProof/>
          <w:sz w:val="22"/>
          <w:szCs w:val="22"/>
          <w:rtl/>
        </w:rPr>
      </w:pPr>
      <w:bookmarkStart w:id="14020" w:name="_Toc19435895"/>
      <w:bookmarkStart w:id="14021" w:name="_Toc20081128"/>
      <w:r>
        <w:rPr>
          <w:noProof/>
          <w:rtl/>
        </w:rPr>
        <w:t>דברי הנוב"י והשבו"י בגדר הפסול במיעו"ב</w:t>
      </w:r>
      <w:bookmarkEnd w:id="14020"/>
      <w:bookmarkEnd w:id="14021"/>
    </w:p>
    <w:p w14:paraId="64F7C18F" w14:textId="77777777" w:rsidR="00436F39" w:rsidRPr="00462722" w:rsidRDefault="00436F39" w:rsidP="005077A7">
      <w:pPr>
        <w:pStyle w:val="a"/>
        <w:rPr>
          <w:rFonts w:eastAsiaTheme="minorEastAsia"/>
          <w:rtl/>
        </w:rPr>
      </w:pPr>
      <w:r w:rsidRPr="00462722">
        <w:rPr>
          <w:rtl/>
        </w:rPr>
        <w:t>דעת השבו"י דספק פסול במיעו"ב אזלינן לקולא וביאר הנוב"י דס"ל דהספק הוא מדרבנן</w:t>
      </w:r>
    </w:p>
    <w:p w14:paraId="0FC96863" w14:textId="77777777" w:rsidR="00436F39" w:rsidRPr="00462722" w:rsidRDefault="00436F39" w:rsidP="005077A7">
      <w:pPr>
        <w:pStyle w:val="a"/>
        <w:rPr>
          <w:rFonts w:eastAsiaTheme="minorEastAsia"/>
          <w:rtl/>
        </w:rPr>
      </w:pPr>
      <w:r w:rsidRPr="00462722">
        <w:rPr>
          <w:rtl/>
        </w:rPr>
        <w:t>קושית הנוב"י דאף אי הספק במיעו"ב הוא מדרבנן צריך להחמיר כיון שהבהמה בחזקת איסור</w:t>
      </w:r>
    </w:p>
    <w:p w14:paraId="3CB664D9" w14:textId="77777777" w:rsidR="00436F39" w:rsidRPr="00462722" w:rsidRDefault="00436F39" w:rsidP="005077A7">
      <w:pPr>
        <w:pStyle w:val="a"/>
        <w:rPr>
          <w:rFonts w:eastAsiaTheme="minorEastAsia"/>
          <w:rtl/>
        </w:rPr>
      </w:pPr>
      <w:r w:rsidRPr="00462722">
        <w:rPr>
          <w:rtl/>
        </w:rPr>
        <w:t>דברי הנוב"י דמוכח ברש"י דאף אחר שגמר את השחיטה לגמרי שייך לפסול במיעוט בתרא</w:t>
      </w:r>
    </w:p>
    <w:p w14:paraId="3C47AC3A" w14:textId="77777777" w:rsidR="00436F39" w:rsidRDefault="00436F39" w:rsidP="00436F39">
      <w:pPr>
        <w:pStyle w:val="aff4"/>
        <w:rPr>
          <w:rFonts w:eastAsiaTheme="minorEastAsia" w:cstheme="minorBidi"/>
          <w:i/>
          <w:iCs/>
          <w:noProof/>
          <w:sz w:val="22"/>
          <w:szCs w:val="22"/>
          <w:rtl/>
        </w:rPr>
      </w:pPr>
      <w:bookmarkStart w:id="14022" w:name="_Toc19435896"/>
      <w:bookmarkStart w:id="14023" w:name="_Toc20081129"/>
      <w:r>
        <w:rPr>
          <w:noProof/>
          <w:rtl/>
        </w:rPr>
        <w:t>ביאור החלקת יואב דכל שממשיך לשחוט חשיב כאמצע שחיטה</w:t>
      </w:r>
      <w:bookmarkEnd w:id="14022"/>
      <w:bookmarkEnd w:id="14023"/>
    </w:p>
    <w:p w14:paraId="24A70D48" w14:textId="77777777" w:rsidR="00436F39" w:rsidRPr="00462722" w:rsidRDefault="00436F39" w:rsidP="005077A7">
      <w:pPr>
        <w:pStyle w:val="a"/>
        <w:rPr>
          <w:rFonts w:eastAsiaTheme="minorEastAsia"/>
          <w:rtl/>
        </w:rPr>
      </w:pPr>
      <w:r w:rsidRPr="00462722">
        <w:rPr>
          <w:rtl/>
        </w:rPr>
        <w:t>קושית החלקת יואב דאי הספק הוא מדרבנן צריך לפסוק לקולא דאחר שהותרה אין חזקת איסור</w:t>
      </w:r>
    </w:p>
    <w:p w14:paraId="37B53F53" w14:textId="77777777" w:rsidR="00436F39" w:rsidRPr="00462722" w:rsidRDefault="00436F39" w:rsidP="005077A7">
      <w:pPr>
        <w:pStyle w:val="a"/>
        <w:rPr>
          <w:rFonts w:eastAsiaTheme="minorEastAsia"/>
          <w:rtl/>
        </w:rPr>
      </w:pPr>
      <w:r w:rsidRPr="00462722">
        <w:rPr>
          <w:rtl/>
        </w:rPr>
        <w:t>תמיהת החלקת יואב דאי אחר שאכל חתיכת צלי מהבהמה שחט את המיעוט תאסר למפרע</w:t>
      </w:r>
    </w:p>
    <w:p w14:paraId="3F4B2786" w14:textId="77777777" w:rsidR="00436F39" w:rsidRPr="00462722" w:rsidRDefault="00436F39" w:rsidP="005077A7">
      <w:pPr>
        <w:pStyle w:val="a"/>
        <w:rPr>
          <w:rFonts w:eastAsiaTheme="minorEastAsia"/>
          <w:rtl/>
        </w:rPr>
      </w:pPr>
      <w:r w:rsidRPr="00462722">
        <w:rPr>
          <w:rtl/>
        </w:rPr>
        <w:t>ביאור החלקת יואב דלא שייך לומר רובו ככולו אי המיעו"ב חשיב כשחוט אחר שחיטת הרוב</w:t>
      </w:r>
    </w:p>
    <w:p w14:paraId="41380763" w14:textId="77777777" w:rsidR="00436F39" w:rsidRPr="00462722" w:rsidRDefault="00436F39" w:rsidP="005077A7">
      <w:pPr>
        <w:pStyle w:val="a"/>
        <w:rPr>
          <w:rFonts w:eastAsiaTheme="minorEastAsia"/>
          <w:rtl/>
        </w:rPr>
      </w:pPr>
      <w:r w:rsidRPr="00462722">
        <w:rPr>
          <w:rtl/>
        </w:rPr>
        <w:t>ביאור החלקת יואב דכל שעוסק בשחיטה חשיב כאמצע השחיטה כיון שדעתו להמשיך ולשחוט</w:t>
      </w:r>
    </w:p>
    <w:p w14:paraId="1D80344A" w14:textId="77777777" w:rsidR="00436F39" w:rsidRPr="00462722" w:rsidRDefault="00436F39" w:rsidP="005077A7">
      <w:pPr>
        <w:pStyle w:val="a"/>
        <w:rPr>
          <w:rFonts w:eastAsiaTheme="minorEastAsia"/>
          <w:rtl/>
        </w:rPr>
      </w:pPr>
      <w:r w:rsidRPr="00462722">
        <w:rPr>
          <w:rtl/>
        </w:rPr>
        <w:t>דברי החלקת יואב דאחר שהשליך את העוף מידו אין פסול שהייה במיעו"ב וכדעת השבו"י</w:t>
      </w:r>
    </w:p>
    <w:p w14:paraId="5A62ADC2" w14:textId="77777777" w:rsidR="00436F39" w:rsidRDefault="00436F39" w:rsidP="00436F39">
      <w:pPr>
        <w:pStyle w:val="aff4"/>
        <w:rPr>
          <w:rFonts w:eastAsiaTheme="minorEastAsia" w:cstheme="minorBidi"/>
          <w:i/>
          <w:iCs/>
          <w:noProof/>
          <w:sz w:val="22"/>
          <w:szCs w:val="22"/>
          <w:rtl/>
        </w:rPr>
      </w:pPr>
      <w:bookmarkStart w:id="14024" w:name="_Toc19435897"/>
      <w:bookmarkStart w:id="14025" w:name="_Toc20081130"/>
      <w:r>
        <w:rPr>
          <w:noProof/>
          <w:rtl/>
        </w:rPr>
        <w:t>חקירת החמד"ש אי איסור אבמה"ח מותר לפני שחיטת המיעו"ב</w:t>
      </w:r>
      <w:bookmarkEnd w:id="14024"/>
      <w:bookmarkEnd w:id="14025"/>
    </w:p>
    <w:p w14:paraId="16B0D222" w14:textId="77777777" w:rsidR="00436F39" w:rsidRPr="00462722" w:rsidRDefault="00436F39" w:rsidP="005077A7">
      <w:pPr>
        <w:pStyle w:val="a"/>
        <w:rPr>
          <w:rFonts w:eastAsiaTheme="minorEastAsia"/>
          <w:rtl/>
        </w:rPr>
      </w:pPr>
      <w:r w:rsidRPr="00462722">
        <w:rPr>
          <w:rtl/>
        </w:rPr>
        <w:t>ספק החמד"ש אי איסור אבר מן החי מסתלק אחר שחיטת הרוב אף שממשיך לשחוט את המיעו"ב</w:t>
      </w:r>
    </w:p>
    <w:p w14:paraId="187A0FFC" w14:textId="77777777" w:rsidR="00436F39" w:rsidRPr="00462722" w:rsidRDefault="00436F39" w:rsidP="005077A7">
      <w:pPr>
        <w:pStyle w:val="a"/>
        <w:rPr>
          <w:rFonts w:eastAsiaTheme="minorEastAsia"/>
          <w:rtl/>
        </w:rPr>
      </w:pPr>
      <w:r w:rsidRPr="00462722">
        <w:rPr>
          <w:rtl/>
        </w:rPr>
        <w:t>הצד הב' בחמד"ש דכששוחט את כל הסימן לא נגמרה השחיטה והאיסור מסתלק אחר המיעו"ב</w:t>
      </w:r>
    </w:p>
    <w:p w14:paraId="1DC401C7" w14:textId="77777777" w:rsidR="00436F39" w:rsidRPr="00462722" w:rsidRDefault="00436F39" w:rsidP="005077A7">
      <w:pPr>
        <w:pStyle w:val="a"/>
        <w:rPr>
          <w:rFonts w:eastAsiaTheme="minorEastAsia"/>
          <w:rtl/>
        </w:rPr>
      </w:pPr>
      <w:r w:rsidRPr="00462722">
        <w:rPr>
          <w:rtl/>
        </w:rPr>
        <w:t>דברי החמד"ש דלרש"י דמיעו"ב פוסל האיסור מסתלק אחר המיעו"ב דאל"ה הוא כמחתך ברגלה</w:t>
      </w:r>
    </w:p>
    <w:p w14:paraId="0384F0DC" w14:textId="77777777" w:rsidR="00436F39" w:rsidRDefault="00436F39" w:rsidP="00436F39">
      <w:pPr>
        <w:pStyle w:val="2"/>
        <w:rPr>
          <w:rFonts w:eastAsiaTheme="minorEastAsia" w:cstheme="minorBidi"/>
          <w:i/>
          <w:iCs/>
          <w:noProof/>
          <w:sz w:val="22"/>
          <w:szCs w:val="22"/>
          <w:rtl/>
        </w:rPr>
      </w:pPr>
      <w:bookmarkStart w:id="14026" w:name="_Toc19435898"/>
      <w:r>
        <w:rPr>
          <w:noProof/>
          <w:rtl/>
        </w:rPr>
        <w:t>ביאורי ראשי הישיבות על הסוגיא</w:t>
      </w:r>
      <w:bookmarkEnd w:id="14026"/>
    </w:p>
    <w:p w14:paraId="1E18D8ED" w14:textId="77777777" w:rsidR="00436F39" w:rsidRDefault="00436F39" w:rsidP="00436F39">
      <w:pPr>
        <w:pStyle w:val="2"/>
        <w:rPr>
          <w:rFonts w:eastAsiaTheme="minorEastAsia" w:cstheme="minorBidi"/>
          <w:i/>
          <w:iCs/>
          <w:noProof/>
          <w:sz w:val="22"/>
          <w:szCs w:val="22"/>
          <w:rtl/>
        </w:rPr>
      </w:pPr>
      <w:bookmarkStart w:id="14027" w:name="_Toc19435899"/>
      <w:r>
        <w:rPr>
          <w:noProof/>
          <w:rtl/>
        </w:rPr>
        <w:t>בגדר פסול שהייה והגרמה במיעו"ב</w:t>
      </w:r>
      <w:bookmarkEnd w:id="14027"/>
    </w:p>
    <w:p w14:paraId="3A46CDFF" w14:textId="77777777" w:rsidR="00436F39" w:rsidRDefault="00436F39" w:rsidP="00436F39">
      <w:pPr>
        <w:pStyle w:val="aff4"/>
        <w:rPr>
          <w:rFonts w:eastAsiaTheme="minorEastAsia" w:cstheme="minorBidi"/>
          <w:i/>
          <w:iCs/>
          <w:noProof/>
          <w:sz w:val="22"/>
          <w:szCs w:val="22"/>
          <w:rtl/>
        </w:rPr>
      </w:pPr>
      <w:bookmarkStart w:id="14028" w:name="_Toc19435900"/>
      <w:bookmarkStart w:id="14029" w:name="_Toc20081131"/>
      <w:r>
        <w:rPr>
          <w:noProof/>
          <w:rtl/>
        </w:rPr>
        <w:t>דברי הזכר יצחק דהספק בחלדה מדאו' ובשהייה מדרבנן</w:t>
      </w:r>
      <w:bookmarkEnd w:id="14028"/>
      <w:bookmarkEnd w:id="14029"/>
    </w:p>
    <w:p w14:paraId="49597791" w14:textId="77777777" w:rsidR="00436F39" w:rsidRPr="00462722" w:rsidRDefault="00436F39" w:rsidP="005077A7">
      <w:pPr>
        <w:pStyle w:val="a"/>
        <w:rPr>
          <w:rFonts w:eastAsiaTheme="minorEastAsia"/>
          <w:rtl/>
        </w:rPr>
      </w:pPr>
      <w:r w:rsidRPr="00462722">
        <w:rPr>
          <w:rtl/>
        </w:rPr>
        <w:t>דברי הזכר יצחק דפסול שהייה אינו בפוסל בעצם השחיטה אלא חשיב כב' שחיטות</w:t>
      </w:r>
    </w:p>
    <w:p w14:paraId="084CDDE8" w14:textId="77777777" w:rsidR="00436F39" w:rsidRPr="00462722" w:rsidRDefault="00436F39" w:rsidP="005077A7">
      <w:pPr>
        <w:pStyle w:val="a"/>
        <w:rPr>
          <w:rFonts w:eastAsiaTheme="minorEastAsia"/>
          <w:rtl/>
        </w:rPr>
      </w:pPr>
      <w:r w:rsidRPr="00462722">
        <w:rPr>
          <w:rtl/>
        </w:rPr>
        <w:t>ביאור הזכר יצחק דרוב מהני מדין רובו ככולו חשיב שעיקר דין השחיטה בכולו נעשתה בפסול</w:t>
      </w:r>
    </w:p>
    <w:p w14:paraId="07E9B3CC" w14:textId="77777777" w:rsidR="00436F39" w:rsidRPr="00462722" w:rsidRDefault="00436F39" w:rsidP="005077A7">
      <w:pPr>
        <w:pStyle w:val="a"/>
        <w:rPr>
          <w:rFonts w:eastAsiaTheme="minorEastAsia"/>
          <w:rtl/>
        </w:rPr>
      </w:pPr>
      <w:r w:rsidRPr="00462722">
        <w:rPr>
          <w:rtl/>
        </w:rPr>
        <w:t>דברי הזכר יצחק דבשהייה ס"ל לרש"י דמדאו' אין פסול במיעו"ב דא"צ לצרף את שחיטת המיעו"ב</w:t>
      </w:r>
    </w:p>
    <w:p w14:paraId="2BA35A86" w14:textId="77777777" w:rsidR="00436F39" w:rsidRPr="00462722" w:rsidRDefault="00436F39" w:rsidP="005077A7">
      <w:pPr>
        <w:pStyle w:val="a"/>
        <w:rPr>
          <w:rFonts w:eastAsiaTheme="minorEastAsia"/>
          <w:rtl/>
        </w:rPr>
      </w:pPr>
      <w:r w:rsidRPr="00462722">
        <w:rPr>
          <w:rtl/>
        </w:rPr>
        <w:t>ביאור הזכר יצחק דהספק בשהייה במיעו"ב הוא מדרבנן אטו שאר פסולים</w:t>
      </w:r>
    </w:p>
    <w:p w14:paraId="34D4901C" w14:textId="77777777" w:rsidR="00436F39" w:rsidRDefault="00436F39" w:rsidP="00436F39">
      <w:pPr>
        <w:pStyle w:val="aff4"/>
        <w:rPr>
          <w:rtl/>
        </w:rPr>
      </w:pPr>
      <w:bookmarkStart w:id="14030" w:name="_Toc19435901"/>
      <w:bookmarkStart w:id="14031" w:name="_Toc20081132"/>
      <w:r w:rsidRPr="008D5A89">
        <w:rPr>
          <w:rFonts w:hint="cs"/>
          <w:rtl/>
        </w:rPr>
        <w:t>דברי הקוב"ש דשהייה</w:t>
      </w:r>
      <w:r>
        <w:rPr>
          <w:rFonts w:hint="cs"/>
          <w:rtl/>
        </w:rPr>
        <w:t xml:space="preserve"> במיעו"ב הוא פסול בעצם המעשה היתר</w:t>
      </w:r>
      <w:bookmarkEnd w:id="14030"/>
      <w:bookmarkEnd w:id="14031"/>
    </w:p>
    <w:p w14:paraId="59A95C4F" w14:textId="77777777" w:rsidR="00436F39" w:rsidRPr="00462722" w:rsidRDefault="00436F39" w:rsidP="005077A7">
      <w:pPr>
        <w:pStyle w:val="a"/>
        <w:rPr>
          <w:rFonts w:eastAsiaTheme="minorEastAsia"/>
          <w:rtl/>
        </w:rPr>
      </w:pPr>
      <w:r w:rsidRPr="00462722">
        <w:rPr>
          <w:rtl/>
        </w:rPr>
        <w:t>חקירת הקוב"ש אי שהייה הוא פסול מצד עצמו או שהוא חסרון בצירוף השחיטות</w:t>
      </w:r>
    </w:p>
    <w:p w14:paraId="5147303E" w14:textId="77777777" w:rsidR="00436F39" w:rsidRPr="00462722" w:rsidRDefault="00436F39" w:rsidP="005077A7">
      <w:pPr>
        <w:pStyle w:val="a"/>
        <w:rPr>
          <w:rFonts w:eastAsiaTheme="minorEastAsia"/>
          <w:rtl/>
        </w:rPr>
      </w:pPr>
      <w:r w:rsidRPr="00462722">
        <w:rPr>
          <w:rtl/>
        </w:rPr>
        <w:t>דברי הקוב"ש דמפסול שהייה במיעו"ב מוכח דשהייה הוא פסול מצד עצמו ואינו חסרון בצירוף</w:t>
      </w:r>
    </w:p>
    <w:p w14:paraId="3312A9CB" w14:textId="77777777" w:rsidR="00436F39" w:rsidRPr="00462722" w:rsidRDefault="00436F39" w:rsidP="005077A7">
      <w:pPr>
        <w:pStyle w:val="a"/>
        <w:rPr>
          <w:rFonts w:eastAsiaTheme="minorEastAsia"/>
          <w:rtl/>
        </w:rPr>
      </w:pPr>
      <w:r w:rsidRPr="00462722">
        <w:rPr>
          <w:rtl/>
        </w:rPr>
        <w:t>תירוץ הקוב"ש דעכו"ם ששחט את המיעו"ב אינו פוסל דאינו מעשה שחיטה כלל</w:t>
      </w:r>
    </w:p>
    <w:p w14:paraId="6E08A078" w14:textId="77777777" w:rsidR="00436F39" w:rsidRPr="00462722" w:rsidRDefault="00436F39" w:rsidP="005077A7">
      <w:pPr>
        <w:pStyle w:val="a"/>
        <w:rPr>
          <w:rFonts w:eastAsiaTheme="minorEastAsia"/>
          <w:rtl/>
        </w:rPr>
      </w:pPr>
      <w:r w:rsidRPr="00462722">
        <w:rPr>
          <w:rtl/>
        </w:rPr>
        <w:t>ביאור הגרא"ו דבפסול במיעו"ב  חשיב שכל השחיטה מתירה את הבהמה והמיעו"ב פוסל הכל</w:t>
      </w:r>
    </w:p>
    <w:p w14:paraId="5C00FF9F" w14:textId="77777777" w:rsidR="00436F39" w:rsidRPr="00462722" w:rsidRDefault="00436F39" w:rsidP="005077A7">
      <w:pPr>
        <w:pStyle w:val="a"/>
        <w:rPr>
          <w:rFonts w:eastAsiaTheme="minorEastAsia"/>
          <w:rtl/>
        </w:rPr>
      </w:pPr>
      <w:r w:rsidRPr="00462722">
        <w:rPr>
          <w:rtl/>
        </w:rPr>
        <w:t>ביאור הגרא"ו דכששחט ישראל את הרוב רק הוא מתיר ולכן שחיטת העכו"ם במיעו"ב אינה פוסלת</w:t>
      </w:r>
    </w:p>
    <w:p w14:paraId="2D5B637C" w14:textId="77777777" w:rsidR="00436F39" w:rsidRDefault="00436F39" w:rsidP="00436F39">
      <w:pPr>
        <w:pStyle w:val="2"/>
        <w:rPr>
          <w:rFonts w:eastAsiaTheme="minorEastAsia" w:cstheme="minorBidi"/>
          <w:i/>
          <w:iCs/>
          <w:noProof/>
          <w:sz w:val="22"/>
          <w:szCs w:val="22"/>
          <w:rtl/>
        </w:rPr>
      </w:pPr>
      <w:bookmarkStart w:id="14032" w:name="_Toc19435902"/>
      <w:r>
        <w:rPr>
          <w:noProof/>
          <w:rtl/>
        </w:rPr>
        <w:t>בביאור הא דמיעו"ב פוסל את היתר הרוב</w:t>
      </w:r>
      <w:bookmarkEnd w:id="14032"/>
    </w:p>
    <w:p w14:paraId="26045507" w14:textId="77777777" w:rsidR="00436F39" w:rsidRDefault="00436F39" w:rsidP="00436F39">
      <w:pPr>
        <w:pStyle w:val="aff4"/>
        <w:rPr>
          <w:rFonts w:eastAsiaTheme="minorEastAsia" w:cstheme="minorBidi"/>
          <w:i/>
          <w:iCs/>
          <w:noProof/>
          <w:sz w:val="22"/>
          <w:szCs w:val="22"/>
          <w:rtl/>
        </w:rPr>
      </w:pPr>
      <w:bookmarkStart w:id="14033" w:name="_Toc19435903"/>
      <w:bookmarkStart w:id="14034" w:name="_Toc20081133"/>
      <w:r>
        <w:rPr>
          <w:noProof/>
          <w:rtl/>
        </w:rPr>
        <w:t>ביאור הגרי"ז דבפסול במיעו"ב חשיב שלא נשחט כלל</w:t>
      </w:r>
      <w:bookmarkEnd w:id="14033"/>
      <w:bookmarkEnd w:id="14034"/>
    </w:p>
    <w:p w14:paraId="0F3EC43D" w14:textId="77777777" w:rsidR="00436F39" w:rsidRPr="00462722" w:rsidRDefault="00436F39" w:rsidP="005077A7">
      <w:pPr>
        <w:pStyle w:val="a"/>
        <w:rPr>
          <w:rFonts w:eastAsiaTheme="minorEastAsia"/>
          <w:rtl/>
        </w:rPr>
      </w:pPr>
      <w:r w:rsidRPr="00462722">
        <w:rPr>
          <w:rtl/>
        </w:rPr>
        <w:t>דברי הגרי"ז דלרש"י כל ששהה במיעוט בתרא חשיב שמעולם לא הייתה שחיטה כשרה</w:t>
      </w:r>
    </w:p>
    <w:p w14:paraId="75FB11B4" w14:textId="77777777" w:rsidR="00436F39" w:rsidRDefault="00436F39" w:rsidP="00436F39">
      <w:pPr>
        <w:pStyle w:val="aff4"/>
        <w:rPr>
          <w:rFonts w:eastAsiaTheme="minorEastAsia" w:cstheme="minorBidi"/>
          <w:i/>
          <w:iCs/>
          <w:noProof/>
          <w:sz w:val="22"/>
          <w:szCs w:val="22"/>
          <w:rtl/>
        </w:rPr>
      </w:pPr>
      <w:bookmarkStart w:id="14035" w:name="_Toc19435904"/>
      <w:bookmarkStart w:id="14036" w:name="_Toc20081134"/>
      <w:r>
        <w:rPr>
          <w:noProof/>
          <w:rtl/>
        </w:rPr>
        <w:t>ביאור הקוב"ש דהיתר הרוב הוא ע"מ שלא יהיה פסול במיעו"ב</w:t>
      </w:r>
      <w:bookmarkEnd w:id="14035"/>
      <w:bookmarkEnd w:id="14036"/>
    </w:p>
    <w:p w14:paraId="3BE31369" w14:textId="77777777" w:rsidR="00436F39" w:rsidRPr="00462722" w:rsidRDefault="00436F39" w:rsidP="005077A7">
      <w:pPr>
        <w:pStyle w:val="a"/>
        <w:rPr>
          <w:rFonts w:eastAsiaTheme="minorEastAsia"/>
          <w:rtl/>
        </w:rPr>
      </w:pPr>
      <w:r w:rsidRPr="00462722">
        <w:rPr>
          <w:rtl/>
        </w:rPr>
        <w:t>קושית הגרא"ו דהיאך מהני הגילוי דעת של השוחט להחשיב שהמיעו"ב בכלל ההיתר של השחיטה</w:t>
      </w:r>
    </w:p>
    <w:p w14:paraId="116C8813" w14:textId="77777777" w:rsidR="00436F39" w:rsidRPr="00462722" w:rsidRDefault="00436F39" w:rsidP="005077A7">
      <w:pPr>
        <w:pStyle w:val="a"/>
        <w:rPr>
          <w:rFonts w:eastAsiaTheme="minorEastAsia"/>
          <w:rtl/>
        </w:rPr>
      </w:pPr>
      <w:r w:rsidRPr="00462722">
        <w:rPr>
          <w:rtl/>
        </w:rPr>
        <w:t>ביאור הקוב"ש דאף שהוכשרה ברוב נפסלת במיעו"ב כזבה שראתה ביום ז' שסותרת אחר שטבלה</w:t>
      </w:r>
    </w:p>
    <w:p w14:paraId="0BAD0E15" w14:textId="77777777" w:rsidR="00436F39" w:rsidRPr="00462722" w:rsidRDefault="00436F39" w:rsidP="005077A7">
      <w:pPr>
        <w:pStyle w:val="a"/>
        <w:rPr>
          <w:rFonts w:eastAsiaTheme="minorEastAsia"/>
          <w:rtl/>
        </w:rPr>
      </w:pPr>
      <w:r w:rsidRPr="00462722">
        <w:rPr>
          <w:rtl/>
        </w:rPr>
        <w:t>ביאור הגרא"ו דכל מה דזבה טובלת ונטהרת מדין מקצת היום ככולו הוא ע"מ שלא תראה דם</w:t>
      </w:r>
    </w:p>
    <w:p w14:paraId="0901F28E" w14:textId="77777777" w:rsidR="00436F39" w:rsidRPr="00462722" w:rsidRDefault="00436F39" w:rsidP="005077A7">
      <w:pPr>
        <w:pStyle w:val="a"/>
        <w:rPr>
          <w:rFonts w:eastAsiaTheme="minorEastAsia"/>
          <w:rtl/>
        </w:rPr>
      </w:pPr>
      <w:r w:rsidRPr="00462722">
        <w:rPr>
          <w:rtl/>
        </w:rPr>
        <w:t>ביאור שיעורי הגרא"ו דההיתר בשחיטת רוב הסימנים הוא ע"מ שלא יהיה פסול בגמר השחיטה</w:t>
      </w:r>
    </w:p>
    <w:p w14:paraId="2AC2EA88" w14:textId="77777777" w:rsidR="00436F39" w:rsidRDefault="00436F39" w:rsidP="00436F39">
      <w:pPr>
        <w:pStyle w:val="aff4"/>
        <w:rPr>
          <w:rFonts w:eastAsiaTheme="minorEastAsia" w:cstheme="minorBidi"/>
          <w:i/>
          <w:iCs/>
          <w:noProof/>
          <w:sz w:val="22"/>
          <w:szCs w:val="22"/>
          <w:rtl/>
        </w:rPr>
      </w:pPr>
      <w:bookmarkStart w:id="14037" w:name="_Toc19435905"/>
      <w:bookmarkStart w:id="14038" w:name="_Toc20081135"/>
      <w:r>
        <w:rPr>
          <w:noProof/>
          <w:rtl/>
        </w:rPr>
        <w:t>דברי המשנת ר"א דהמיעו"ב הוא מעשה שחיטה אחד עם הרוב</w:t>
      </w:r>
      <w:bookmarkEnd w:id="14037"/>
      <w:bookmarkEnd w:id="14038"/>
    </w:p>
    <w:p w14:paraId="12AC3F0C" w14:textId="77777777" w:rsidR="00436F39" w:rsidRPr="00462722" w:rsidRDefault="00436F39" w:rsidP="005077A7">
      <w:pPr>
        <w:pStyle w:val="a"/>
        <w:rPr>
          <w:rFonts w:eastAsiaTheme="minorEastAsia"/>
          <w:rtl/>
        </w:rPr>
      </w:pPr>
      <w:r w:rsidRPr="00462722">
        <w:rPr>
          <w:rtl/>
        </w:rPr>
        <w:t>קושית המשנת ר"א דכיון דקיי"ל דרובו ככולו האיך אפשר לפסול במיעו"ב</w:t>
      </w:r>
    </w:p>
    <w:p w14:paraId="74FB6874" w14:textId="77777777" w:rsidR="00436F39" w:rsidRPr="00462722" w:rsidRDefault="00436F39" w:rsidP="005077A7">
      <w:pPr>
        <w:pStyle w:val="a"/>
        <w:rPr>
          <w:rFonts w:eastAsiaTheme="minorEastAsia"/>
          <w:rtl/>
        </w:rPr>
      </w:pPr>
      <w:r w:rsidRPr="00462722">
        <w:rPr>
          <w:rtl/>
        </w:rPr>
        <w:t>דברי המשנת ר"א דמוכח דמעשה השחיטה הוא מעשה אחד ויש למיעו"ב שם שחיטה ופוסל</w:t>
      </w:r>
    </w:p>
    <w:p w14:paraId="6BE313B6" w14:textId="77777777" w:rsidR="00436F39" w:rsidRPr="00462722" w:rsidRDefault="00436F39" w:rsidP="005077A7">
      <w:pPr>
        <w:pStyle w:val="a"/>
        <w:rPr>
          <w:rFonts w:eastAsiaTheme="minorEastAsia"/>
          <w:rtl/>
        </w:rPr>
      </w:pPr>
      <w:r w:rsidRPr="00462722">
        <w:rPr>
          <w:rtl/>
        </w:rPr>
        <w:t>ביאור המשנת ר"א דלפי"ז אף לל"ק דר"ה מודו רבנן דמהני רובו ככולו ואפ"ה המיעו"ב פוסל</w:t>
      </w:r>
    </w:p>
    <w:p w14:paraId="01782AC7" w14:textId="77777777" w:rsidR="00436F39" w:rsidRDefault="00436F39" w:rsidP="00436F39">
      <w:pPr>
        <w:pStyle w:val="aff4"/>
        <w:rPr>
          <w:rFonts w:eastAsiaTheme="minorEastAsia" w:cstheme="minorBidi"/>
          <w:i/>
          <w:iCs/>
          <w:noProof/>
          <w:sz w:val="22"/>
          <w:szCs w:val="22"/>
          <w:rtl/>
        </w:rPr>
      </w:pPr>
      <w:bookmarkStart w:id="14039" w:name="_Toc19435906"/>
      <w:bookmarkStart w:id="14040" w:name="_Toc20081136"/>
      <w:r>
        <w:rPr>
          <w:noProof/>
          <w:rtl/>
        </w:rPr>
        <w:t>ביאור המשנת ר"א דלריבר"י ורבנן השחיטה היא מעשה אחד</w:t>
      </w:r>
      <w:bookmarkEnd w:id="14039"/>
      <w:bookmarkEnd w:id="14040"/>
    </w:p>
    <w:p w14:paraId="7A0DB8EE" w14:textId="77777777" w:rsidR="00436F39" w:rsidRPr="00462722" w:rsidRDefault="00436F39" w:rsidP="005077A7">
      <w:pPr>
        <w:pStyle w:val="a"/>
        <w:rPr>
          <w:rFonts w:eastAsiaTheme="minorEastAsia"/>
          <w:rtl/>
        </w:rPr>
      </w:pPr>
      <w:r w:rsidRPr="00462722">
        <w:rPr>
          <w:rtl/>
        </w:rPr>
        <w:t>דברי המשנת ר"א דריבר"י מכשיר בל"ב במיעו"ק דאף שהוא במעשה השחיטה אין בו פסול שחיטה</w:t>
      </w:r>
    </w:p>
    <w:p w14:paraId="7B7C7BD8" w14:textId="77777777" w:rsidR="00436F39" w:rsidRPr="00462722" w:rsidRDefault="00436F39" w:rsidP="005077A7">
      <w:pPr>
        <w:pStyle w:val="a"/>
        <w:rPr>
          <w:rFonts w:eastAsiaTheme="minorEastAsia"/>
          <w:rtl/>
        </w:rPr>
      </w:pPr>
      <w:r w:rsidRPr="00462722">
        <w:rPr>
          <w:rtl/>
        </w:rPr>
        <w:t>דברי המשנת ר"א דרבנן פסלי בהגרמה במיעו"ק כיון שלא יצאה החיות ע"י שחיטת רוב סימן</w:t>
      </w:r>
    </w:p>
    <w:p w14:paraId="71A7FCBC" w14:textId="77777777" w:rsidR="00436F39" w:rsidRPr="00462722" w:rsidRDefault="00436F39" w:rsidP="005077A7">
      <w:pPr>
        <w:pStyle w:val="a"/>
        <w:rPr>
          <w:rFonts w:eastAsiaTheme="minorEastAsia"/>
          <w:rtl/>
        </w:rPr>
      </w:pPr>
      <w:r w:rsidRPr="00462722">
        <w:rPr>
          <w:rtl/>
        </w:rPr>
        <w:t>דחיית המשנת ר"א דלל"ב בשחט ב' שלישים והגרים שליש כשר מוכח דהמיעו"ב אינו מעשה אחד</w:t>
      </w:r>
    </w:p>
    <w:p w14:paraId="5497AE75" w14:textId="77777777" w:rsidR="00436F39" w:rsidRDefault="00436F39" w:rsidP="00436F39">
      <w:pPr>
        <w:pStyle w:val="aff4"/>
        <w:rPr>
          <w:rFonts w:eastAsiaTheme="minorEastAsia" w:cstheme="minorBidi"/>
          <w:i/>
          <w:iCs/>
          <w:noProof/>
          <w:sz w:val="22"/>
          <w:szCs w:val="22"/>
          <w:rtl/>
        </w:rPr>
      </w:pPr>
      <w:bookmarkStart w:id="14041" w:name="_Toc19435907"/>
      <w:bookmarkStart w:id="14042" w:name="_Toc20081137"/>
      <w:r>
        <w:rPr>
          <w:noProof/>
          <w:rtl/>
        </w:rPr>
        <w:t>ביאור המשנת ר"א דסוגיין סברה כצד דמיעו"ב אינו פוסל</w:t>
      </w:r>
      <w:bookmarkEnd w:id="14041"/>
      <w:bookmarkEnd w:id="14042"/>
    </w:p>
    <w:p w14:paraId="5A0CA993" w14:textId="77777777" w:rsidR="00436F39" w:rsidRPr="00462722" w:rsidRDefault="00436F39" w:rsidP="005077A7">
      <w:pPr>
        <w:pStyle w:val="a"/>
        <w:rPr>
          <w:rFonts w:eastAsiaTheme="minorEastAsia"/>
          <w:rtl/>
        </w:rPr>
      </w:pPr>
      <w:r w:rsidRPr="00462722">
        <w:rPr>
          <w:rtl/>
        </w:rPr>
        <w:t>ביאור המשנת ר"א דהגמ' בסוגיין סברה כצד דמיעו"ב אינו פוסל ואין לו שם שחיטה</w:t>
      </w:r>
    </w:p>
    <w:p w14:paraId="32D25BE6" w14:textId="77777777" w:rsidR="00436F39" w:rsidRPr="00462722" w:rsidRDefault="00436F39" w:rsidP="005077A7">
      <w:pPr>
        <w:pStyle w:val="a"/>
        <w:rPr>
          <w:rFonts w:eastAsiaTheme="minorEastAsia"/>
          <w:rtl/>
        </w:rPr>
      </w:pPr>
      <w:r w:rsidRPr="00462722">
        <w:rPr>
          <w:rtl/>
        </w:rPr>
        <w:t>דברי המשנת ר"א דכן מוכח מדאמרין דלרבנן לא מהני רובו ככולו בשחיטה ולא דפסלי במיעו"ב</w:t>
      </w:r>
    </w:p>
    <w:p w14:paraId="4B1C44D2" w14:textId="77777777" w:rsidR="00436F39" w:rsidRPr="00462722" w:rsidRDefault="00436F39" w:rsidP="005077A7">
      <w:pPr>
        <w:pStyle w:val="a"/>
        <w:rPr>
          <w:rFonts w:eastAsiaTheme="minorEastAsia"/>
          <w:rtl/>
        </w:rPr>
      </w:pPr>
      <w:r w:rsidRPr="00462722">
        <w:rPr>
          <w:rtl/>
        </w:rPr>
        <w:t>תירוץ המשנת ר"א על קושית הרא"ש דרש"י פסק כספק הגמ' לקמן שיש למיעו"ב שם שחיטה</w:t>
      </w:r>
    </w:p>
    <w:p w14:paraId="168903F5" w14:textId="77777777" w:rsidR="00436F39" w:rsidRDefault="00436F39" w:rsidP="00436F39">
      <w:pPr>
        <w:pStyle w:val="2"/>
        <w:rPr>
          <w:rFonts w:eastAsiaTheme="minorEastAsia" w:cstheme="minorBidi"/>
          <w:i/>
          <w:iCs/>
          <w:noProof/>
          <w:sz w:val="22"/>
          <w:szCs w:val="22"/>
          <w:rtl/>
        </w:rPr>
      </w:pPr>
      <w:bookmarkStart w:id="14043" w:name="_Toc19435908"/>
      <w:r>
        <w:rPr>
          <w:noProof/>
          <w:rtl/>
        </w:rPr>
        <w:t>מראי מקומות וביאורים על הרמב"ם</w:t>
      </w:r>
      <w:bookmarkEnd w:id="14043"/>
    </w:p>
    <w:p w14:paraId="2169956A" w14:textId="77777777" w:rsidR="00436F39" w:rsidRDefault="00436F39" w:rsidP="00436F39">
      <w:pPr>
        <w:pStyle w:val="aff4"/>
        <w:rPr>
          <w:rFonts w:eastAsiaTheme="minorEastAsia" w:cstheme="minorBidi"/>
          <w:i/>
          <w:iCs/>
          <w:noProof/>
          <w:sz w:val="22"/>
          <w:szCs w:val="22"/>
          <w:rtl/>
        </w:rPr>
      </w:pPr>
      <w:bookmarkStart w:id="14044" w:name="_Toc19435909"/>
      <w:bookmarkStart w:id="14045" w:name="_Toc20081138"/>
      <w:r>
        <w:rPr>
          <w:noProof/>
          <w:rtl/>
        </w:rPr>
        <w:t>דעת הרמב"ם דהגרמה ודריסה במיעו"ב אינם פוסלות</w:t>
      </w:r>
      <w:bookmarkEnd w:id="14044"/>
      <w:bookmarkEnd w:id="14045"/>
    </w:p>
    <w:p w14:paraId="6A95BAF4" w14:textId="77777777" w:rsidR="00436F39" w:rsidRPr="00462722" w:rsidRDefault="00436F39" w:rsidP="005077A7">
      <w:pPr>
        <w:pStyle w:val="a"/>
        <w:rPr>
          <w:rFonts w:eastAsiaTheme="minorEastAsia"/>
          <w:rtl/>
        </w:rPr>
      </w:pPr>
      <w:r w:rsidRPr="00462722">
        <w:rPr>
          <w:rtl/>
        </w:rPr>
        <w:t>דברי הרמב"ם דשחיטת מיעוט בתרא בדריסה או בהגרמה אינה פוסלת אחר שחיטת הרוב</w:t>
      </w:r>
    </w:p>
    <w:p w14:paraId="0D320C5E" w14:textId="77777777" w:rsidR="00436F39" w:rsidRPr="00462722" w:rsidRDefault="00436F39" w:rsidP="005077A7">
      <w:pPr>
        <w:pStyle w:val="a"/>
        <w:rPr>
          <w:rFonts w:eastAsiaTheme="minorEastAsia"/>
          <w:rtl/>
        </w:rPr>
      </w:pPr>
      <w:r w:rsidRPr="00462722">
        <w:rPr>
          <w:rtl/>
        </w:rPr>
        <w:t>ביאור הכס"מ בהא דפסק הרמב"ם כל"ב דרב הונא</w:t>
      </w:r>
    </w:p>
    <w:p w14:paraId="541130F0" w14:textId="77777777" w:rsidR="00436F39" w:rsidRDefault="00436F39" w:rsidP="00436F39">
      <w:pPr>
        <w:pStyle w:val="aff4"/>
        <w:rPr>
          <w:rFonts w:eastAsiaTheme="minorEastAsia" w:cstheme="minorBidi"/>
          <w:i/>
          <w:iCs/>
          <w:noProof/>
          <w:sz w:val="22"/>
          <w:szCs w:val="22"/>
          <w:rtl/>
        </w:rPr>
      </w:pPr>
      <w:bookmarkStart w:id="14046" w:name="_Toc19435910"/>
      <w:bookmarkStart w:id="14047" w:name="_Toc20081139"/>
      <w:r>
        <w:rPr>
          <w:noProof/>
          <w:rtl/>
        </w:rPr>
        <w:t>דעת הרמב"ם דקיי"ל בהגרמה כרב יהודה ולא כרב הונא</w:t>
      </w:r>
      <w:bookmarkEnd w:id="14046"/>
      <w:bookmarkEnd w:id="14047"/>
    </w:p>
    <w:p w14:paraId="328F4945" w14:textId="77777777" w:rsidR="00436F39" w:rsidRPr="00462722" w:rsidRDefault="00436F39" w:rsidP="005077A7">
      <w:pPr>
        <w:pStyle w:val="a"/>
        <w:rPr>
          <w:rFonts w:eastAsiaTheme="minorEastAsia"/>
          <w:rtl/>
        </w:rPr>
      </w:pPr>
      <w:r w:rsidRPr="00462722">
        <w:rPr>
          <w:rtl/>
        </w:rPr>
        <w:t>דברי הרמב"ם דבהגרים במיעו"ק וכן בשחט והגרים ושחט כשר ובהגרים ושחט והגרים פסול</w:t>
      </w:r>
    </w:p>
    <w:p w14:paraId="3DFAACFD" w14:textId="77777777" w:rsidR="00436F39" w:rsidRPr="00462722" w:rsidRDefault="00436F39" w:rsidP="005077A7">
      <w:pPr>
        <w:pStyle w:val="a"/>
        <w:rPr>
          <w:rFonts w:eastAsiaTheme="minorEastAsia"/>
          <w:rtl/>
        </w:rPr>
      </w:pPr>
      <w:r w:rsidRPr="00462722">
        <w:rPr>
          <w:rtl/>
        </w:rPr>
        <w:t>דברי ההג"מ והכס"מ דהרמב"ם פסק כרב יהודה ולא כרב הונא</w:t>
      </w:r>
    </w:p>
    <w:p w14:paraId="54CB4658" w14:textId="77777777" w:rsidR="00436F39" w:rsidRPr="00462722" w:rsidRDefault="00436F39" w:rsidP="005077A7">
      <w:pPr>
        <w:pStyle w:val="a"/>
        <w:rPr>
          <w:rFonts w:eastAsiaTheme="minorEastAsia"/>
          <w:rtl/>
        </w:rPr>
      </w:pPr>
      <w:r w:rsidRPr="00462722">
        <w:rPr>
          <w:rtl/>
        </w:rPr>
        <w:t>דברי הר"ן דסבר הרמב"ם דריו"ח הודה לדברי רב יהודה</w:t>
      </w:r>
    </w:p>
    <w:p w14:paraId="15566F0B" w14:textId="77777777" w:rsidR="00436F39" w:rsidRPr="00462722" w:rsidRDefault="00436F39" w:rsidP="005077A7">
      <w:pPr>
        <w:pStyle w:val="a"/>
        <w:rPr>
          <w:rFonts w:eastAsiaTheme="minorEastAsia"/>
          <w:rtl/>
        </w:rPr>
      </w:pPr>
      <w:r w:rsidRPr="00462722">
        <w:rPr>
          <w:rtl/>
        </w:rPr>
        <w:t>דחיית הרמב"ן והר"ן דאין להוכיח מדברי ריו"ח דמודה לרב יהודה</w:t>
      </w:r>
    </w:p>
    <w:p w14:paraId="2FEEC101" w14:textId="77777777" w:rsidR="00436F39" w:rsidRDefault="00436F39" w:rsidP="00436F39">
      <w:pPr>
        <w:pStyle w:val="aff4"/>
        <w:rPr>
          <w:rFonts w:eastAsiaTheme="minorEastAsia" w:cstheme="minorBidi"/>
          <w:i/>
          <w:iCs/>
          <w:noProof/>
          <w:sz w:val="22"/>
          <w:szCs w:val="22"/>
          <w:rtl/>
        </w:rPr>
      </w:pPr>
      <w:bookmarkStart w:id="14048" w:name="_Toc19435911"/>
      <w:bookmarkStart w:id="14049" w:name="_Toc20081140"/>
      <w:r>
        <w:rPr>
          <w:noProof/>
          <w:rtl/>
        </w:rPr>
        <w:t>דעת הרמב"ם דשהייה אינה פוסלת במיעוט בתרא</w:t>
      </w:r>
      <w:bookmarkEnd w:id="14048"/>
      <w:bookmarkEnd w:id="14049"/>
    </w:p>
    <w:p w14:paraId="756F0C31" w14:textId="77777777" w:rsidR="00436F39" w:rsidRPr="00462722" w:rsidRDefault="00436F39" w:rsidP="005077A7">
      <w:pPr>
        <w:pStyle w:val="a"/>
        <w:rPr>
          <w:rFonts w:eastAsiaTheme="minorEastAsia"/>
          <w:rtl/>
        </w:rPr>
      </w:pPr>
      <w:r w:rsidRPr="00462722">
        <w:rPr>
          <w:rtl/>
        </w:rPr>
        <w:t>דברי הרמב"ם דשהייה במיעו"ב הוא כמחתך בבשר השחוטה וכשר</w:t>
      </w:r>
    </w:p>
    <w:p w14:paraId="4033A2EB" w14:textId="77777777" w:rsidR="00436F39" w:rsidRPr="00462722" w:rsidRDefault="00436F39" w:rsidP="005077A7">
      <w:pPr>
        <w:pStyle w:val="a"/>
        <w:rPr>
          <w:rFonts w:eastAsiaTheme="minorEastAsia"/>
          <w:rtl/>
        </w:rPr>
      </w:pPr>
      <w:r w:rsidRPr="00462722">
        <w:rPr>
          <w:rtl/>
        </w:rPr>
        <w:t>דברי ההג"מ והכס"מ דהרמב"ם כתוספתא שמכשירה בשהייה במיעוט בתרא</w:t>
      </w:r>
    </w:p>
    <w:p w14:paraId="17FDF999" w14:textId="77777777" w:rsidR="00436F39" w:rsidRDefault="00436F39" w:rsidP="00436F39">
      <w:pPr>
        <w:pStyle w:val="aff4"/>
        <w:rPr>
          <w:rFonts w:eastAsiaTheme="minorEastAsia" w:cstheme="minorBidi"/>
          <w:i/>
          <w:iCs/>
          <w:noProof/>
          <w:sz w:val="22"/>
          <w:szCs w:val="22"/>
          <w:rtl/>
        </w:rPr>
      </w:pPr>
      <w:bookmarkStart w:id="14050" w:name="_Toc19435912"/>
      <w:bookmarkStart w:id="14051" w:name="_Toc20081141"/>
      <w:r>
        <w:rPr>
          <w:noProof/>
          <w:rtl/>
        </w:rPr>
        <w:t>דעת הרמב"ם דדריסה וחלדה פוסלות בתחילה ובאמצע</w:t>
      </w:r>
      <w:bookmarkEnd w:id="14050"/>
      <w:bookmarkEnd w:id="14051"/>
    </w:p>
    <w:p w14:paraId="055D2F76" w14:textId="77777777" w:rsidR="00436F39" w:rsidRPr="00462722" w:rsidRDefault="00436F39" w:rsidP="005077A7">
      <w:pPr>
        <w:pStyle w:val="a"/>
        <w:rPr>
          <w:rFonts w:eastAsiaTheme="minorEastAsia"/>
          <w:rtl/>
        </w:rPr>
      </w:pPr>
      <w:r w:rsidRPr="00462722">
        <w:rPr>
          <w:rtl/>
        </w:rPr>
        <w:t>דברי הרמב"ם דבדריסה וחלדה בין בשליש הראשון ובין בשליש האמצעי השחיטה פסולה</w:t>
      </w:r>
    </w:p>
    <w:p w14:paraId="62F28347" w14:textId="77777777" w:rsidR="00436F39" w:rsidRDefault="00436F39" w:rsidP="00436F39">
      <w:pPr>
        <w:pStyle w:val="aff4"/>
        <w:rPr>
          <w:rFonts w:eastAsiaTheme="minorEastAsia" w:cstheme="minorBidi"/>
          <w:i/>
          <w:iCs/>
          <w:noProof/>
          <w:sz w:val="22"/>
          <w:szCs w:val="22"/>
          <w:rtl/>
        </w:rPr>
      </w:pPr>
      <w:bookmarkStart w:id="14052" w:name="_Toc19435913"/>
      <w:bookmarkStart w:id="14053" w:name="_Toc20081142"/>
      <w:r>
        <w:rPr>
          <w:noProof/>
          <w:rtl/>
        </w:rPr>
        <w:t>פלוגתת הכס"מ וה</w:t>
      </w:r>
      <w:r w:rsidR="00345400">
        <w:rPr>
          <w:noProof/>
          <w:rtl/>
        </w:rPr>
        <w:t>פלתי</w:t>
      </w:r>
      <w:r>
        <w:rPr>
          <w:noProof/>
          <w:rtl/>
        </w:rPr>
        <w:t xml:space="preserve"> בנפסקה הגרוגרת במקום הגרמה</w:t>
      </w:r>
      <w:bookmarkEnd w:id="14052"/>
      <w:bookmarkEnd w:id="14053"/>
    </w:p>
    <w:p w14:paraId="0CA32A97" w14:textId="77777777" w:rsidR="00436F39" w:rsidRPr="00462722" w:rsidRDefault="00436F39" w:rsidP="005077A7">
      <w:pPr>
        <w:pStyle w:val="a"/>
        <w:rPr>
          <w:rFonts w:eastAsiaTheme="minorEastAsia"/>
          <w:rtl/>
        </w:rPr>
      </w:pPr>
      <w:r w:rsidRPr="00462722">
        <w:rPr>
          <w:rtl/>
        </w:rPr>
        <w:t>דברי הרמב"ם דגרוגרת שנפסקה במקום הראוי לשחיטה הוי נבילה</w:t>
      </w:r>
    </w:p>
    <w:p w14:paraId="6AA596A1" w14:textId="77777777" w:rsidR="00436F39" w:rsidRPr="00462722" w:rsidRDefault="00436F39" w:rsidP="005077A7">
      <w:pPr>
        <w:pStyle w:val="a"/>
        <w:rPr>
          <w:rFonts w:eastAsiaTheme="minorEastAsia"/>
          <w:rtl/>
        </w:rPr>
      </w:pPr>
      <w:r w:rsidRPr="00462722">
        <w:rPr>
          <w:rtl/>
        </w:rPr>
        <w:t>דברי הכס"מ והפר"ח דבנפסקה במקום שאינו ראוי לשחיטה היא טריפה ולא נבילה</w:t>
      </w:r>
    </w:p>
    <w:p w14:paraId="6D908C08" w14:textId="77777777" w:rsidR="00436F39" w:rsidRPr="00462722" w:rsidRDefault="00436F39" w:rsidP="005077A7">
      <w:pPr>
        <w:pStyle w:val="a"/>
        <w:rPr>
          <w:rFonts w:eastAsiaTheme="minorEastAsia"/>
          <w:rtl/>
        </w:rPr>
      </w:pPr>
      <w:r w:rsidRPr="00462722">
        <w:rPr>
          <w:rtl/>
        </w:rPr>
        <w:t>קושית ה</w:t>
      </w:r>
      <w:r w:rsidR="00345400">
        <w:rPr>
          <w:rtl/>
        </w:rPr>
        <w:t>פלתי</w:t>
      </w:r>
      <w:r w:rsidRPr="00462722">
        <w:rPr>
          <w:rtl/>
        </w:rPr>
        <w:t xml:space="preserve"> על הכס"מ דהיאך מכשיר בשחט בשליש הא לא יצאה החיות דלא שחט רוב סימן</w:t>
      </w:r>
    </w:p>
    <w:p w14:paraId="5D58FE2C" w14:textId="77777777" w:rsidR="00436F39" w:rsidRPr="00462722" w:rsidRDefault="00436F39" w:rsidP="005077A7">
      <w:pPr>
        <w:pStyle w:val="a"/>
        <w:rPr>
          <w:rFonts w:eastAsiaTheme="minorEastAsia"/>
          <w:rtl/>
        </w:rPr>
      </w:pPr>
      <w:r w:rsidRPr="00462722">
        <w:rPr>
          <w:rtl/>
        </w:rPr>
        <w:t>דבריה</w:t>
      </w:r>
      <w:r w:rsidR="00345400">
        <w:rPr>
          <w:rtl/>
        </w:rPr>
        <w:t>פלתי</w:t>
      </w:r>
      <w:r w:rsidRPr="00462722">
        <w:rPr>
          <w:rtl/>
        </w:rPr>
        <w:t xml:space="preserve"> דאף במקום ההגרמה יוצאת החיות ובנפסק שם רוב הגרורגת הוי נבילה</w:t>
      </w:r>
    </w:p>
    <w:p w14:paraId="3A1BD426" w14:textId="77777777" w:rsidR="00436F39" w:rsidRPr="00462722" w:rsidRDefault="00436F39" w:rsidP="005077A7">
      <w:pPr>
        <w:pStyle w:val="a"/>
        <w:rPr>
          <w:rFonts w:eastAsiaTheme="minorEastAsia"/>
          <w:rtl/>
        </w:rPr>
      </w:pPr>
      <w:r w:rsidRPr="00462722">
        <w:rPr>
          <w:rtl/>
        </w:rPr>
        <w:t>דברי הפרמ"ג דאף דנפקא חיותא בהגרמה אינה נעשית נבילה בכך</w:t>
      </w:r>
    </w:p>
    <w:p w14:paraId="58A67A70" w14:textId="77777777" w:rsidR="00436F39" w:rsidRDefault="00436F39" w:rsidP="00436F39">
      <w:pPr>
        <w:pStyle w:val="aff4"/>
        <w:rPr>
          <w:rFonts w:eastAsiaTheme="minorEastAsia" w:cstheme="minorBidi"/>
          <w:i/>
          <w:iCs/>
          <w:noProof/>
          <w:sz w:val="22"/>
          <w:szCs w:val="22"/>
          <w:rtl/>
        </w:rPr>
      </w:pPr>
      <w:bookmarkStart w:id="14054" w:name="_Toc19435914"/>
      <w:bookmarkStart w:id="14055" w:name="_Toc20081143"/>
      <w:r>
        <w:rPr>
          <w:noProof/>
          <w:rtl/>
        </w:rPr>
        <w:t>ביאור האו"ש בדברי רב יהודה לדעת הכס"מ והפר"ח</w:t>
      </w:r>
      <w:bookmarkEnd w:id="14054"/>
      <w:bookmarkEnd w:id="14055"/>
    </w:p>
    <w:p w14:paraId="05B40337" w14:textId="77777777" w:rsidR="00436F39" w:rsidRPr="00462722" w:rsidRDefault="00436F39" w:rsidP="005077A7">
      <w:pPr>
        <w:pStyle w:val="a"/>
        <w:rPr>
          <w:rFonts w:eastAsiaTheme="minorEastAsia"/>
          <w:rtl/>
        </w:rPr>
      </w:pPr>
      <w:r w:rsidRPr="00462722">
        <w:rPr>
          <w:rtl/>
        </w:rPr>
        <w:t>קושית האו"ש דאחר שנפסק רוב הקנה הוי נבילה מחיים והאיך מהני המיעו"ב להכשירה</w:t>
      </w:r>
    </w:p>
    <w:p w14:paraId="65EC175D" w14:textId="77777777" w:rsidR="00436F39" w:rsidRPr="00462722" w:rsidRDefault="00436F39" w:rsidP="005077A7">
      <w:pPr>
        <w:pStyle w:val="a"/>
        <w:rPr>
          <w:rFonts w:eastAsiaTheme="minorEastAsia"/>
          <w:rtl/>
        </w:rPr>
      </w:pPr>
      <w:r w:rsidRPr="00462722">
        <w:rPr>
          <w:rtl/>
        </w:rPr>
        <w:t>דברי האו"ש דהגרמה שאינה בדרך שחיטה לא דמי לנקובת הושט בשחיטה דמותרת</w:t>
      </w:r>
    </w:p>
    <w:p w14:paraId="2D494871" w14:textId="77777777" w:rsidR="00436F39" w:rsidRPr="00462722" w:rsidRDefault="00436F39" w:rsidP="005077A7">
      <w:pPr>
        <w:pStyle w:val="a"/>
        <w:rPr>
          <w:rFonts w:eastAsiaTheme="minorEastAsia"/>
          <w:rtl/>
        </w:rPr>
      </w:pPr>
      <w:r w:rsidRPr="00462722">
        <w:rPr>
          <w:rtl/>
        </w:rPr>
        <w:t>תירוץ האו"ש דכיון דפסיקת הרוב היא גם ע"י שחיטת השליש הראשון הוי דרך שחיטה</w:t>
      </w:r>
    </w:p>
    <w:p w14:paraId="6F6CE1FA" w14:textId="77777777" w:rsidR="00436F39" w:rsidRPr="00462722" w:rsidRDefault="00436F39" w:rsidP="005077A7">
      <w:pPr>
        <w:pStyle w:val="a"/>
        <w:rPr>
          <w:rFonts w:eastAsiaTheme="minorEastAsia"/>
          <w:rtl/>
        </w:rPr>
      </w:pPr>
      <w:r w:rsidRPr="00462722">
        <w:rPr>
          <w:rtl/>
        </w:rPr>
        <w:t>דברי האו"ש דלה</w:t>
      </w:r>
      <w:r w:rsidR="00345400">
        <w:rPr>
          <w:rtl/>
        </w:rPr>
        <w:t>פלתי</w:t>
      </w:r>
      <w:r w:rsidRPr="00462722">
        <w:rPr>
          <w:rtl/>
        </w:rPr>
        <w:t xml:space="preserve"> שאינה נעשית נבילה במקום הגרמה מבואר היאך השליש האחרון מכשיר</w:t>
      </w:r>
    </w:p>
    <w:p w14:paraId="3F26263C" w14:textId="77777777" w:rsidR="00436F39" w:rsidRDefault="00436F39" w:rsidP="00436F39">
      <w:pPr>
        <w:pStyle w:val="2"/>
        <w:rPr>
          <w:rFonts w:eastAsiaTheme="minorEastAsia" w:cstheme="minorBidi"/>
          <w:i/>
          <w:iCs/>
          <w:noProof/>
          <w:sz w:val="22"/>
          <w:szCs w:val="22"/>
          <w:rtl/>
        </w:rPr>
      </w:pPr>
      <w:bookmarkStart w:id="14056" w:name="_Toc19435915"/>
      <w:r>
        <w:rPr>
          <w:noProof/>
          <w:rtl/>
        </w:rPr>
        <w:t>ביאורי ראשי הישיבות על הרמב"ם</w:t>
      </w:r>
      <w:bookmarkEnd w:id="14056"/>
    </w:p>
    <w:p w14:paraId="3595B3B9" w14:textId="77777777" w:rsidR="00436F39" w:rsidRDefault="00436F39" w:rsidP="00436F39">
      <w:pPr>
        <w:pStyle w:val="2"/>
        <w:rPr>
          <w:rFonts w:eastAsiaTheme="minorEastAsia" w:cstheme="minorBidi"/>
          <w:i/>
          <w:iCs/>
          <w:noProof/>
          <w:sz w:val="22"/>
          <w:szCs w:val="22"/>
          <w:rtl/>
        </w:rPr>
      </w:pPr>
      <w:bookmarkStart w:id="14057" w:name="_Toc19435916"/>
      <w:r>
        <w:rPr>
          <w:noProof/>
          <w:rtl/>
        </w:rPr>
        <w:t>ביציאת החיות לדעת הפר"ח וה</w:t>
      </w:r>
      <w:r w:rsidR="00345400">
        <w:rPr>
          <w:noProof/>
          <w:rtl/>
        </w:rPr>
        <w:t>פלתי</w:t>
      </w:r>
      <w:bookmarkEnd w:id="14057"/>
    </w:p>
    <w:p w14:paraId="4B1C9793" w14:textId="77777777" w:rsidR="00436F39" w:rsidRDefault="00436F39" w:rsidP="00436F39">
      <w:pPr>
        <w:pStyle w:val="aff4"/>
        <w:rPr>
          <w:rFonts w:eastAsiaTheme="minorEastAsia" w:cstheme="minorBidi"/>
          <w:i/>
          <w:iCs/>
          <w:noProof/>
          <w:sz w:val="22"/>
          <w:szCs w:val="22"/>
          <w:rtl/>
        </w:rPr>
      </w:pPr>
      <w:bookmarkStart w:id="14058" w:name="_Toc19435917"/>
      <w:bookmarkStart w:id="14059" w:name="_Toc20081144"/>
      <w:r>
        <w:rPr>
          <w:noProof/>
          <w:rtl/>
        </w:rPr>
        <w:t>דברי האמרי משה בפלוגתת ה</w:t>
      </w:r>
      <w:r w:rsidR="00345400">
        <w:rPr>
          <w:noProof/>
          <w:rtl/>
        </w:rPr>
        <w:t>פלתי</w:t>
      </w:r>
      <w:r>
        <w:rPr>
          <w:noProof/>
          <w:rtl/>
        </w:rPr>
        <w:t xml:space="preserve"> והפר"ח ביציאת החיות</w:t>
      </w:r>
      <w:bookmarkEnd w:id="14058"/>
      <w:bookmarkEnd w:id="14059"/>
    </w:p>
    <w:p w14:paraId="22EFB44D" w14:textId="77777777" w:rsidR="00436F39" w:rsidRPr="00462722" w:rsidRDefault="00436F39" w:rsidP="005077A7">
      <w:pPr>
        <w:pStyle w:val="a"/>
        <w:rPr>
          <w:rFonts w:eastAsiaTheme="minorEastAsia"/>
          <w:rtl/>
        </w:rPr>
      </w:pPr>
      <w:r w:rsidRPr="00462722">
        <w:rPr>
          <w:rtl/>
        </w:rPr>
        <w:t>קושית האמרי משה דלה</w:t>
      </w:r>
      <w:r w:rsidR="00345400">
        <w:rPr>
          <w:rtl/>
        </w:rPr>
        <w:t>פלתי</w:t>
      </w:r>
      <w:r w:rsidRPr="00462722">
        <w:rPr>
          <w:rtl/>
        </w:rPr>
        <w:t xml:space="preserve"> אף לדעת ר"ת יש שהייה בעוף אחר שהגרים בשליש האמצעי</w:t>
      </w:r>
    </w:p>
    <w:p w14:paraId="60E4B5E7" w14:textId="77777777" w:rsidR="00436F39" w:rsidRPr="00462722" w:rsidRDefault="00436F39" w:rsidP="005077A7">
      <w:pPr>
        <w:pStyle w:val="a"/>
        <w:rPr>
          <w:rFonts w:eastAsiaTheme="minorEastAsia"/>
          <w:rtl/>
        </w:rPr>
      </w:pPr>
      <w:r w:rsidRPr="00462722">
        <w:rPr>
          <w:rtl/>
        </w:rPr>
        <w:t>קושית האמרי משה על ה</w:t>
      </w:r>
      <w:r w:rsidR="00345400">
        <w:rPr>
          <w:rtl/>
        </w:rPr>
        <w:t>פלתי</w:t>
      </w:r>
      <w:r w:rsidRPr="00462722">
        <w:rPr>
          <w:rtl/>
        </w:rPr>
        <w:t xml:space="preserve"> דאחר שנעשית נבילה היאך מהני השליש האחרון להכשיר</w:t>
      </w:r>
    </w:p>
    <w:p w14:paraId="41234725" w14:textId="77777777" w:rsidR="00436F39" w:rsidRPr="00462722" w:rsidRDefault="00436F39" w:rsidP="005077A7">
      <w:pPr>
        <w:pStyle w:val="a"/>
        <w:rPr>
          <w:rFonts w:eastAsiaTheme="minorEastAsia"/>
          <w:rtl/>
        </w:rPr>
      </w:pPr>
      <w:r w:rsidRPr="00462722">
        <w:rPr>
          <w:rtl/>
        </w:rPr>
        <w:t>דברי האמרי משה דלהפר"ח מיושב דאינה נעשית נבילה בשליש האמצעי</w:t>
      </w:r>
    </w:p>
    <w:p w14:paraId="016D2352" w14:textId="77777777" w:rsidR="00436F39" w:rsidRPr="00462722" w:rsidRDefault="00436F39" w:rsidP="005077A7">
      <w:pPr>
        <w:pStyle w:val="a"/>
        <w:rPr>
          <w:rFonts w:eastAsiaTheme="minorEastAsia"/>
          <w:rtl/>
        </w:rPr>
      </w:pPr>
      <w:r w:rsidRPr="00462722">
        <w:rPr>
          <w:rtl/>
        </w:rPr>
        <w:t>דברי האמרי משה דלהפר"ח מבוארים דברי התוס' דלר"ת לא שייכא שהייה בעוף</w:t>
      </w:r>
    </w:p>
    <w:p w14:paraId="52F0C233" w14:textId="77777777" w:rsidR="00436F39" w:rsidRDefault="00436F39" w:rsidP="00436F39">
      <w:pPr>
        <w:pStyle w:val="aff4"/>
        <w:rPr>
          <w:rFonts w:eastAsiaTheme="minorEastAsia" w:cstheme="minorBidi"/>
          <w:i/>
          <w:iCs/>
          <w:noProof/>
          <w:sz w:val="22"/>
          <w:szCs w:val="22"/>
          <w:rtl/>
        </w:rPr>
      </w:pPr>
      <w:bookmarkStart w:id="14060" w:name="_Toc19435918"/>
      <w:bookmarkStart w:id="14061" w:name="_Toc20081145"/>
      <w:r>
        <w:rPr>
          <w:noProof/>
          <w:rtl/>
        </w:rPr>
        <w:t>דברי האמרי משה דמהא דמיעו"ב פוסל מוכח דיש בו שחיטה</w:t>
      </w:r>
      <w:bookmarkEnd w:id="14060"/>
      <w:bookmarkEnd w:id="14061"/>
    </w:p>
    <w:p w14:paraId="79570E51" w14:textId="77777777" w:rsidR="00436F39" w:rsidRPr="00462722" w:rsidRDefault="00436F39" w:rsidP="005077A7">
      <w:pPr>
        <w:pStyle w:val="a"/>
        <w:rPr>
          <w:rFonts w:eastAsiaTheme="minorEastAsia"/>
          <w:rtl/>
        </w:rPr>
      </w:pPr>
      <w:r w:rsidRPr="00462722">
        <w:rPr>
          <w:rtl/>
        </w:rPr>
        <w:t>ביאור האמרי משה דכששוחט את כל הסימן אף השליש האחרון בכלל ההכשר שחיטה</w:t>
      </w:r>
    </w:p>
    <w:p w14:paraId="1BCD4565" w14:textId="77777777" w:rsidR="00436F39" w:rsidRPr="00462722" w:rsidRDefault="00436F39" w:rsidP="005077A7">
      <w:pPr>
        <w:pStyle w:val="a"/>
        <w:rPr>
          <w:rFonts w:eastAsiaTheme="minorEastAsia"/>
          <w:rtl/>
        </w:rPr>
      </w:pPr>
      <w:r w:rsidRPr="00462722">
        <w:rPr>
          <w:rtl/>
        </w:rPr>
        <w:t>דברי האמרי משה דלה</w:t>
      </w:r>
      <w:r w:rsidR="00345400">
        <w:rPr>
          <w:rtl/>
        </w:rPr>
        <w:t>פלתי</w:t>
      </w:r>
      <w:r w:rsidRPr="00462722">
        <w:rPr>
          <w:rtl/>
        </w:rPr>
        <w:t xml:space="preserve"> כמו דהמיעו"ב פוסל דהוא בכלל הכשר שחיטה כך מהני להכשיר</w:t>
      </w:r>
    </w:p>
    <w:p w14:paraId="2CEBF2DC" w14:textId="77777777" w:rsidR="00436F39" w:rsidRPr="005C74B5" w:rsidRDefault="00436F39" w:rsidP="00436F39">
      <w:pPr>
        <w:pStyle w:val="aff4"/>
        <w:rPr>
          <w:noProof/>
          <w:rtl/>
        </w:rPr>
      </w:pPr>
      <w:bookmarkStart w:id="14062" w:name="_Toc19435919"/>
      <w:bookmarkStart w:id="14063" w:name="_Toc20081146"/>
      <w:r>
        <w:rPr>
          <w:noProof/>
          <w:rtl/>
        </w:rPr>
        <w:t>דברי האמרי משה דהמכשירים במיעו"ב היינו רק כשנשחט הרוב</w:t>
      </w:r>
      <w:bookmarkEnd w:id="14062"/>
      <w:bookmarkEnd w:id="14063"/>
    </w:p>
    <w:p w14:paraId="72D09A1E" w14:textId="77777777" w:rsidR="00436F39" w:rsidRPr="00462722" w:rsidRDefault="00436F39" w:rsidP="005077A7">
      <w:pPr>
        <w:pStyle w:val="a"/>
        <w:rPr>
          <w:rFonts w:eastAsiaTheme="minorEastAsia"/>
          <w:rtl/>
        </w:rPr>
      </w:pPr>
      <w:r w:rsidRPr="00462722">
        <w:rPr>
          <w:rtl/>
        </w:rPr>
        <w:t>דברי האמרי משה דאף למכשירים במיעו"ב זהו דוקא כשהיה הכשר שחיטה ע"י הרוב</w:t>
      </w:r>
    </w:p>
    <w:p w14:paraId="47B55394" w14:textId="77777777" w:rsidR="00436F39" w:rsidRPr="00462722" w:rsidRDefault="00436F39" w:rsidP="005077A7">
      <w:pPr>
        <w:pStyle w:val="a"/>
        <w:rPr>
          <w:rFonts w:eastAsiaTheme="minorEastAsia"/>
          <w:rtl/>
        </w:rPr>
      </w:pPr>
      <w:r w:rsidRPr="00462722">
        <w:rPr>
          <w:rtl/>
        </w:rPr>
        <w:t>דברי האמרי משה דבשחט והגרים ושחט לכו"ע המיעו"ב מצטרף להכשיר כיון שלא נשחט הרוב</w:t>
      </w:r>
    </w:p>
    <w:p w14:paraId="12543726" w14:textId="77777777" w:rsidR="00436F39" w:rsidRPr="00462722" w:rsidRDefault="00436F39" w:rsidP="005077A7">
      <w:pPr>
        <w:pStyle w:val="a"/>
        <w:rPr>
          <w:rFonts w:eastAsiaTheme="minorEastAsia"/>
          <w:rtl/>
        </w:rPr>
      </w:pPr>
      <w:r w:rsidRPr="00462722">
        <w:rPr>
          <w:rtl/>
        </w:rPr>
        <w:t>תירוץ האמרי משה דכל שלא נשחט השליש האחרון יש לו דין שחיטה ואינו כמנח בדיקולא</w:t>
      </w:r>
    </w:p>
    <w:p w14:paraId="43D4733D" w14:textId="77777777" w:rsidR="00436F39" w:rsidRPr="00462722" w:rsidRDefault="00436F39" w:rsidP="005077A7">
      <w:pPr>
        <w:pStyle w:val="a"/>
        <w:rPr>
          <w:rFonts w:eastAsiaTheme="minorEastAsia"/>
          <w:rtl/>
        </w:rPr>
      </w:pPr>
      <w:r w:rsidRPr="00462722">
        <w:rPr>
          <w:rtl/>
        </w:rPr>
        <w:t>דברי האמרי משה דאף שנפסק רוב הקנה לא דרובו ככולו דלענין פסיקה הוא חלק מהצואר</w:t>
      </w:r>
    </w:p>
    <w:p w14:paraId="4855BB1C" w14:textId="77777777" w:rsidR="00436F39" w:rsidRPr="005C74B5" w:rsidRDefault="00436F39" w:rsidP="00436F39">
      <w:pPr>
        <w:pStyle w:val="aff4"/>
        <w:rPr>
          <w:noProof/>
          <w:rtl/>
        </w:rPr>
      </w:pPr>
      <w:bookmarkStart w:id="14064" w:name="_Toc19435920"/>
      <w:bookmarkStart w:id="14065" w:name="_Toc20081147"/>
      <w:r>
        <w:rPr>
          <w:noProof/>
          <w:rtl/>
        </w:rPr>
        <w:t>דברי המשנת ר"א דא"א להוכיח מפסול מיעו"ב דמהני להכשיר</w:t>
      </w:r>
      <w:bookmarkEnd w:id="14064"/>
      <w:bookmarkEnd w:id="14065"/>
    </w:p>
    <w:p w14:paraId="1BF7F3BF" w14:textId="77777777" w:rsidR="00436F39" w:rsidRPr="00462722" w:rsidRDefault="00436F39" w:rsidP="005077A7">
      <w:pPr>
        <w:pStyle w:val="a"/>
        <w:rPr>
          <w:rFonts w:eastAsiaTheme="minorEastAsia"/>
          <w:rtl/>
        </w:rPr>
        <w:sectPr w:rsidR="00436F39" w:rsidRPr="00462722" w:rsidSect="004E5ACF">
          <w:type w:val="continuous"/>
          <w:pgSz w:w="11906" w:h="16838"/>
          <w:pgMar w:top="720" w:right="720" w:bottom="720" w:left="720" w:header="283" w:footer="283" w:gutter="0"/>
          <w:cols w:num="2" w:space="113"/>
          <w:bidi/>
          <w:rtlGutter/>
          <w:docGrid w:linePitch="299"/>
        </w:sectPr>
      </w:pPr>
      <w:r w:rsidRPr="00462722">
        <w:rPr>
          <w:rtl/>
        </w:rPr>
        <w:t>דברי המשנת ר"א דא"א להוכיח מהפסול במיעו"ב דמהני המיעו"ב להכשיר</w:t>
      </w:r>
    </w:p>
    <w:p w14:paraId="124EA04F" w14:textId="77777777" w:rsidR="00436F39" w:rsidRDefault="00436F39" w:rsidP="00436F39">
      <w:pPr>
        <w:pStyle w:val="aff4"/>
        <w:rPr>
          <w:rtl/>
        </w:rPr>
        <w:sectPr w:rsidR="00436F39" w:rsidSect="007C6A7B">
          <w:type w:val="continuous"/>
          <w:pgSz w:w="11906" w:h="16838"/>
          <w:pgMar w:top="720" w:right="720" w:bottom="720" w:left="720" w:header="283" w:footer="283" w:gutter="0"/>
          <w:cols w:num="2" w:space="113"/>
          <w:bidi/>
          <w:rtlGutter/>
          <w:docGrid w:linePitch="299"/>
        </w:sectPr>
      </w:pPr>
      <w:r>
        <w:rPr>
          <w:rtl/>
        </w:rPr>
        <w:fldChar w:fldCharType="end"/>
      </w:r>
    </w:p>
    <w:p w14:paraId="6D68B9D5" w14:textId="77777777" w:rsidR="00436F39" w:rsidRDefault="00436F39" w:rsidP="006D6D32">
      <w:pPr>
        <w:pStyle w:val="afe"/>
        <w:rPr>
          <w:rtl/>
        </w:rPr>
      </w:pPr>
      <w:bookmarkStart w:id="14066" w:name="_Toc532810054"/>
      <w:bookmarkStart w:id="14067" w:name="_Toc533413299"/>
      <w:bookmarkStart w:id="14068" w:name="_Toc533441190"/>
      <w:bookmarkStart w:id="14069" w:name="_Toc533441236"/>
      <w:bookmarkStart w:id="14070" w:name="_Toc533490156"/>
      <w:bookmarkStart w:id="14071" w:name="_Toc533506086"/>
      <w:bookmarkStart w:id="14072" w:name="_Toc533544294"/>
      <w:bookmarkStart w:id="14073" w:name="_Toc533544491"/>
      <w:bookmarkStart w:id="14074" w:name="_Toc19435921"/>
      <w:bookmarkStart w:id="14075" w:name="_Toc20081148"/>
      <w:r>
        <w:rPr>
          <w:rFonts w:hint="cs"/>
          <w:rtl/>
        </w:rPr>
        <w:t>מראי מקומות וביאורים על הסוגיא</w:t>
      </w:r>
      <w:bookmarkEnd w:id="14066"/>
      <w:bookmarkEnd w:id="14067"/>
      <w:bookmarkEnd w:id="14068"/>
      <w:bookmarkEnd w:id="14069"/>
      <w:bookmarkEnd w:id="14070"/>
      <w:bookmarkEnd w:id="14071"/>
      <w:bookmarkEnd w:id="14072"/>
      <w:bookmarkEnd w:id="14073"/>
      <w:bookmarkEnd w:id="14074"/>
      <w:bookmarkEnd w:id="14075"/>
    </w:p>
    <w:p w14:paraId="65AE16FD" w14:textId="77777777" w:rsidR="00436F39" w:rsidRPr="0065105E" w:rsidRDefault="00436F39" w:rsidP="00436F39">
      <w:pPr>
        <w:pStyle w:val="2"/>
        <w:keepNext w:val="0"/>
        <w:keepLines w:val="0"/>
        <w:bidi w:val="0"/>
        <w:rPr>
          <w:rFonts w:asciiTheme="minorHAnsi" w:hAnsiTheme="minorHAnsi"/>
          <w:bCs/>
          <w:sz w:val="18"/>
          <w:szCs w:val="28"/>
          <w:rtl/>
        </w:rPr>
        <w:sectPr w:rsidR="00436F39" w:rsidRPr="0065105E" w:rsidSect="00073DAB">
          <w:pgSz w:w="11906" w:h="16838"/>
          <w:pgMar w:top="720" w:right="720" w:bottom="720" w:left="720" w:header="283" w:footer="283" w:gutter="0"/>
          <w:cols w:space="720"/>
          <w:bidi/>
          <w:rtlGutter/>
          <w:docGrid w:linePitch="299"/>
        </w:sectPr>
      </w:pPr>
    </w:p>
    <w:p w14:paraId="62B4D66D" w14:textId="77777777" w:rsidR="00436F39" w:rsidRDefault="00436F39" w:rsidP="006D6D32">
      <w:pPr>
        <w:pStyle w:val="afe"/>
        <w:rPr>
          <w:rtl/>
        </w:rPr>
      </w:pPr>
      <w:bookmarkStart w:id="14076" w:name="_Toc533441191"/>
      <w:bookmarkStart w:id="14077" w:name="_Toc533441237"/>
      <w:bookmarkStart w:id="14078" w:name="_Toc533490157"/>
      <w:bookmarkStart w:id="14079" w:name="_Toc533506087"/>
      <w:bookmarkStart w:id="14080" w:name="_Toc533544295"/>
      <w:bookmarkStart w:id="14081" w:name="_Toc533544492"/>
      <w:bookmarkStart w:id="14082" w:name="_Toc19435922"/>
      <w:bookmarkStart w:id="14083" w:name="_Toc20081149"/>
      <w:r>
        <w:rPr>
          <w:rFonts w:hint="cs"/>
          <w:rtl/>
        </w:rPr>
        <w:t>דעת רש"י דמיעוט בתרא פוסל בשחיטה</w:t>
      </w:r>
      <w:bookmarkEnd w:id="14076"/>
      <w:bookmarkEnd w:id="14077"/>
      <w:bookmarkEnd w:id="14078"/>
      <w:bookmarkEnd w:id="14079"/>
      <w:bookmarkEnd w:id="14080"/>
      <w:bookmarkEnd w:id="14081"/>
      <w:bookmarkEnd w:id="14082"/>
      <w:bookmarkEnd w:id="14083"/>
    </w:p>
    <w:p w14:paraId="4E9310BA" w14:textId="77777777" w:rsidR="00436F39" w:rsidRPr="00F91BCF" w:rsidRDefault="00436F39" w:rsidP="00BF39B2">
      <w:pPr>
        <w:pStyle w:val="1"/>
        <w:rPr>
          <w:rStyle w:val="a7"/>
          <w:b w:val="0"/>
          <w:bCs w:val="0"/>
          <w:rtl/>
        </w:rPr>
      </w:pPr>
      <w:bookmarkStart w:id="14084" w:name="_Toc532302175"/>
      <w:bookmarkStart w:id="14085" w:name="_Toc532453970"/>
      <w:bookmarkStart w:id="14086" w:name="_Toc532454004"/>
      <w:bookmarkStart w:id="14087" w:name="_Toc532550663"/>
      <w:bookmarkStart w:id="14088" w:name="_Toc532550729"/>
      <w:bookmarkStart w:id="14089" w:name="_Toc532810056"/>
      <w:bookmarkStart w:id="14090" w:name="_Toc533413302"/>
      <w:bookmarkStart w:id="14091" w:name="_Toc533441192"/>
      <w:bookmarkStart w:id="14092" w:name="_Toc533441238"/>
      <w:bookmarkStart w:id="14093" w:name="_Toc533490158"/>
      <w:bookmarkStart w:id="14094" w:name="_Toc533506088"/>
      <w:bookmarkStart w:id="14095" w:name="_Toc533544296"/>
      <w:bookmarkStart w:id="14096" w:name="_Toc533544493"/>
      <w:bookmarkStart w:id="14097" w:name="_Toc19390834"/>
      <w:bookmarkStart w:id="14098" w:name="_Toc19394331"/>
      <w:r>
        <w:rPr>
          <w:rFonts w:hint="cs"/>
          <w:rtl/>
        </w:rPr>
        <w:t>דעת רש"י</w:t>
      </w:r>
      <w:bookmarkEnd w:id="14084"/>
      <w:bookmarkEnd w:id="14085"/>
      <w:bookmarkEnd w:id="14086"/>
      <w:bookmarkEnd w:id="14087"/>
      <w:bookmarkEnd w:id="14088"/>
      <w:bookmarkEnd w:id="14089"/>
      <w:bookmarkEnd w:id="14090"/>
      <w:bookmarkEnd w:id="14091"/>
      <w:bookmarkEnd w:id="14092"/>
      <w:bookmarkEnd w:id="14093"/>
      <w:r>
        <w:rPr>
          <w:rFonts w:hint="cs"/>
          <w:rtl/>
        </w:rPr>
        <w:t xml:space="preserve"> דחלדה והגרמה פוסלות במיעוט בתרא</w:t>
      </w:r>
      <w:r>
        <w:rPr>
          <w:rtl/>
        </w:rPr>
        <w:br/>
      </w:r>
      <w:r>
        <w:rPr>
          <w:rStyle w:val="a7"/>
          <w:rFonts w:hint="cs"/>
          <w:b w:val="0"/>
          <w:bCs w:val="0"/>
          <w:rtl/>
        </w:rPr>
        <w:t>ביאור רש"י דהספק בהחליד במיעוט בתרא אי כיון דחשיב כשחיטה אחת אף הרוב נפסל</w:t>
      </w:r>
      <w:bookmarkEnd w:id="14094"/>
      <w:bookmarkEnd w:id="14095"/>
      <w:bookmarkEnd w:id="14096"/>
      <w:bookmarkEnd w:id="14097"/>
      <w:bookmarkEnd w:id="14098"/>
    </w:p>
    <w:p w14:paraId="7AF59672" w14:textId="77777777" w:rsidR="00436F39" w:rsidRDefault="00436F39" w:rsidP="00E12979">
      <w:pPr>
        <w:pStyle w:val="a0"/>
        <w:numPr>
          <w:ilvl w:val="0"/>
          <w:numId w:val="16"/>
        </w:numPr>
        <w:rPr>
          <w:rtl/>
        </w:rPr>
      </w:pPr>
      <w:bookmarkStart w:id="14099" w:name="_Ref532762646"/>
      <w:r>
        <w:rPr>
          <w:rFonts w:hint="cs"/>
          <w:rtl/>
        </w:rPr>
        <w:t xml:space="preserve">איתא בגמ' לקמן </w:t>
      </w:r>
      <w:r w:rsidRPr="00223668">
        <w:rPr>
          <w:rStyle w:val="af7"/>
          <w:rFonts w:eastAsia="Guttman Hodes" w:hint="cs"/>
          <w:rtl/>
        </w:rPr>
        <w:t xml:space="preserve">(ל:) </w:t>
      </w:r>
      <w:r>
        <w:rPr>
          <w:rFonts w:hint="cs"/>
          <w:rtl/>
        </w:rPr>
        <w:t xml:space="preserve">דרב פפא הסתפק בפסול חלדה, במקום שהחליד במיעוט סימנים, ונשארה הגמ' בתיקו, וביאר </w:t>
      </w:r>
      <w:r w:rsidRPr="00312F24">
        <w:rPr>
          <w:rStyle w:val="af9"/>
          <w:rFonts w:hint="cs"/>
          <w:rtl/>
        </w:rPr>
        <w:t>רש"י לקמן</w:t>
      </w:r>
      <w:r>
        <w:rPr>
          <w:rFonts w:hint="cs"/>
          <w:rtl/>
        </w:rPr>
        <w:t xml:space="preserve"> </w:t>
      </w:r>
      <w:r w:rsidRPr="00223668">
        <w:rPr>
          <w:rStyle w:val="af7"/>
          <w:rFonts w:eastAsia="Guttman Hodes" w:hint="cs"/>
          <w:rtl/>
        </w:rPr>
        <w:t>(ל: ד"ה החליד)</w:t>
      </w:r>
      <w:r>
        <w:rPr>
          <w:rFonts w:hint="cs"/>
          <w:rtl/>
        </w:rPr>
        <w:t xml:space="preserve"> דאחר ששחט את רוב הסימן, והמשיך לשחוט את המיעוט, והחליד בשחיטתו, והספק הוא האם כיון שנשחט הרוב השחיטה כשרה, או דחשיבא כל השחיטה כשחיטה אחת, והמיעוט בתרא פוסל את שחיטת הרוב.</w:t>
      </w:r>
      <w:bookmarkEnd w:id="14099"/>
    </w:p>
    <w:p w14:paraId="3A997C50" w14:textId="77777777" w:rsidR="00436F39" w:rsidRPr="00736EC9" w:rsidRDefault="00436F39" w:rsidP="006D6D32">
      <w:pPr>
        <w:pStyle w:val="a3"/>
        <w:rPr>
          <w:rtl/>
        </w:rPr>
      </w:pPr>
      <w:bookmarkStart w:id="14100" w:name="_Toc533506089"/>
      <w:bookmarkStart w:id="14101" w:name="_Toc533544297"/>
      <w:bookmarkStart w:id="14102" w:name="_Toc533544494"/>
      <w:bookmarkStart w:id="14103" w:name="_Toc19390835"/>
      <w:bookmarkStart w:id="14104" w:name="_Toc19394332"/>
      <w:r>
        <w:rPr>
          <w:rFonts w:hint="cs"/>
          <w:rtl/>
        </w:rPr>
        <w:t>דברי רש"י דכיון דבחלדה במיעו"ב צריך להחמיר בספק ה"ה בכל דיני הגרמה דמספק צריך להחמיר</w:t>
      </w:r>
      <w:bookmarkEnd w:id="14100"/>
      <w:bookmarkEnd w:id="14101"/>
      <w:bookmarkEnd w:id="14102"/>
      <w:bookmarkEnd w:id="14103"/>
      <w:bookmarkEnd w:id="14104"/>
    </w:p>
    <w:p w14:paraId="2D42EE4B" w14:textId="77777777" w:rsidR="00436F39" w:rsidRPr="00D726B5" w:rsidRDefault="00436F39" w:rsidP="00223668">
      <w:pPr>
        <w:pStyle w:val="a0"/>
        <w:rPr>
          <w:rStyle w:val="afb"/>
          <w:rtl/>
        </w:rPr>
      </w:pPr>
      <w:r>
        <w:rPr>
          <w:rFonts w:hint="cs"/>
          <w:rtl/>
        </w:rPr>
        <w:t xml:space="preserve">והוסיף </w:t>
      </w:r>
      <w:r w:rsidRPr="00312F24">
        <w:rPr>
          <w:rStyle w:val="af9"/>
          <w:rFonts w:hint="cs"/>
          <w:rtl/>
        </w:rPr>
        <w:t>רש"י לקמן</w:t>
      </w:r>
      <w:r>
        <w:rPr>
          <w:rFonts w:hint="cs"/>
          <w:rtl/>
        </w:rPr>
        <w:t xml:space="preserve"> </w:t>
      </w:r>
      <w:r w:rsidRPr="00257A45">
        <w:rPr>
          <w:rStyle w:val="af7"/>
          <w:rFonts w:eastAsia="Guttman Hodes" w:hint="cs"/>
          <w:rtl/>
        </w:rPr>
        <w:t xml:space="preserve">(ל: ד"ה תיקו) </w:t>
      </w:r>
      <w:r>
        <w:rPr>
          <w:rFonts w:hint="cs"/>
          <w:rtl/>
        </w:rPr>
        <w:t xml:space="preserve">דכיון דלענין פסול חלדה במיעוט בתרא, הוא ספק וצריך להחמיר, א"כ ה"ה בהגרמה בסוגיין דבין בשחט והגרים ושחט, ובין בהגרים ושחט והגרים ובין בשחט ב' שלישים והגרים שליש, יש ספק האם קיי"ל כדעת הסוברים דבכל האופנים היא טריפה, ולהלכה נקטינן בכולם לחומרא. </w:t>
      </w:r>
      <w:r w:rsidRPr="00D726B5">
        <w:rPr>
          <w:rStyle w:val="afb"/>
          <w:rFonts w:hint="cs"/>
          <w:rtl/>
        </w:rPr>
        <w:t xml:space="preserve">[ורק בשחט ב' שלישים והגרים שליש </w:t>
      </w:r>
      <w:r>
        <w:rPr>
          <w:rStyle w:val="afb"/>
          <w:rFonts w:hint="cs"/>
          <w:rtl/>
        </w:rPr>
        <w:t xml:space="preserve">השחיטה </w:t>
      </w:r>
      <w:r w:rsidRPr="00D726B5">
        <w:rPr>
          <w:rStyle w:val="afb"/>
          <w:rFonts w:hint="cs"/>
          <w:rtl/>
        </w:rPr>
        <w:t>כשר</w:t>
      </w:r>
      <w:r>
        <w:rPr>
          <w:rStyle w:val="afb"/>
          <w:rFonts w:hint="cs"/>
          <w:rtl/>
        </w:rPr>
        <w:t>ה</w:t>
      </w:r>
      <w:r w:rsidRPr="00D726B5">
        <w:rPr>
          <w:rStyle w:val="afb"/>
          <w:rFonts w:hint="cs"/>
          <w:rtl/>
        </w:rPr>
        <w:t>].</w:t>
      </w:r>
    </w:p>
    <w:p w14:paraId="7BBC75EE" w14:textId="77777777" w:rsidR="00436F39" w:rsidRDefault="00436F39" w:rsidP="00BF39B2">
      <w:pPr>
        <w:pStyle w:val="1"/>
        <w:rPr>
          <w:rtl/>
        </w:rPr>
      </w:pPr>
      <w:bookmarkStart w:id="14105" w:name="_Toc533506090"/>
      <w:bookmarkStart w:id="14106" w:name="_Toc533544298"/>
      <w:bookmarkStart w:id="14107" w:name="_Toc533544495"/>
      <w:bookmarkStart w:id="14108" w:name="_Toc19390836"/>
      <w:bookmarkStart w:id="14109" w:name="_Toc19394333"/>
      <w:bookmarkStart w:id="14110" w:name="_Toc533413303"/>
      <w:bookmarkStart w:id="14111" w:name="_Toc533441193"/>
      <w:bookmarkStart w:id="14112" w:name="_Toc533441239"/>
      <w:bookmarkStart w:id="14113" w:name="_Toc533490159"/>
      <w:bookmarkStart w:id="14114" w:name="_Toc532453971"/>
      <w:bookmarkStart w:id="14115" w:name="_Toc532454005"/>
      <w:bookmarkStart w:id="14116" w:name="_Toc532550664"/>
      <w:bookmarkStart w:id="14117" w:name="_Toc532550730"/>
      <w:bookmarkStart w:id="14118" w:name="_Toc532810057"/>
      <w:r>
        <w:rPr>
          <w:rFonts w:hint="cs"/>
          <w:rtl/>
        </w:rPr>
        <w:t>דברי רש"י בחלדה במיעוט קמא</w:t>
      </w:r>
      <w:bookmarkEnd w:id="14105"/>
      <w:bookmarkEnd w:id="14106"/>
      <w:bookmarkEnd w:id="14107"/>
      <w:bookmarkEnd w:id="14108"/>
      <w:bookmarkEnd w:id="14109"/>
    </w:p>
    <w:p w14:paraId="08051EA1" w14:textId="77777777" w:rsidR="00436F39" w:rsidRDefault="00436F39" w:rsidP="006D6D32">
      <w:pPr>
        <w:pStyle w:val="a3"/>
        <w:rPr>
          <w:rtl/>
        </w:rPr>
      </w:pPr>
      <w:bookmarkStart w:id="14119" w:name="_Toc533506091"/>
      <w:bookmarkStart w:id="14120" w:name="_Toc533544299"/>
      <w:bookmarkStart w:id="14121" w:name="_Toc533544496"/>
      <w:bookmarkStart w:id="14122" w:name="_Toc19390837"/>
      <w:bookmarkStart w:id="14123" w:name="_Toc19394334"/>
      <w:r>
        <w:rPr>
          <w:rFonts w:hint="cs"/>
          <w:rtl/>
        </w:rPr>
        <w:t>דברי רש"י דבהחליד במיעוט קמא פשיטא דהויא נבילה</w:t>
      </w:r>
      <w:bookmarkEnd w:id="14119"/>
      <w:bookmarkEnd w:id="14120"/>
      <w:bookmarkEnd w:id="14121"/>
      <w:bookmarkEnd w:id="14122"/>
      <w:bookmarkEnd w:id="14123"/>
    </w:p>
    <w:p w14:paraId="4774C102" w14:textId="77777777" w:rsidR="00436F39" w:rsidRDefault="00436F39" w:rsidP="00223668">
      <w:pPr>
        <w:pStyle w:val="a0"/>
        <w:rPr>
          <w:rtl/>
        </w:rPr>
      </w:pPr>
      <w:bookmarkStart w:id="14124" w:name="_Ref532318007"/>
      <w:r>
        <w:rPr>
          <w:rFonts w:hint="cs"/>
          <w:rtl/>
        </w:rPr>
        <w:t xml:space="preserve">אבל אם החליד במיעוט קמא, כתב </w:t>
      </w:r>
      <w:r w:rsidRPr="00DB5859">
        <w:rPr>
          <w:rStyle w:val="af9"/>
          <w:rFonts w:hint="cs"/>
          <w:rtl/>
        </w:rPr>
        <w:t>רש"י</w:t>
      </w:r>
      <w:r>
        <w:rPr>
          <w:rFonts w:hint="cs"/>
          <w:rtl/>
        </w:rPr>
        <w:t xml:space="preserve"> </w:t>
      </w:r>
      <w:r w:rsidRPr="00257A45">
        <w:rPr>
          <w:rStyle w:val="af7"/>
          <w:rFonts w:eastAsia="Guttman Hodes" w:hint="cs"/>
          <w:rtl/>
        </w:rPr>
        <w:t>(ל: ד"ה החליד)</w:t>
      </w:r>
      <w:r>
        <w:rPr>
          <w:rFonts w:hint="cs"/>
          <w:rtl/>
        </w:rPr>
        <w:t xml:space="preserve"> דפשיטא שהיא ודאי נבילה.</w:t>
      </w:r>
      <w:bookmarkEnd w:id="14124"/>
    </w:p>
    <w:p w14:paraId="651D3E3E" w14:textId="77777777" w:rsidR="00436F39" w:rsidRDefault="00436F39" w:rsidP="006D6D32">
      <w:pPr>
        <w:pStyle w:val="a3"/>
        <w:rPr>
          <w:rtl/>
        </w:rPr>
      </w:pPr>
      <w:bookmarkStart w:id="14125" w:name="_Toc533506092"/>
      <w:bookmarkStart w:id="14126" w:name="_Toc533544300"/>
      <w:bookmarkStart w:id="14127" w:name="_Toc533544497"/>
      <w:bookmarkStart w:id="14128" w:name="_Toc19390838"/>
      <w:bookmarkStart w:id="14129" w:name="_Toc19394335"/>
      <w:r>
        <w:rPr>
          <w:rFonts w:hint="cs"/>
          <w:rtl/>
        </w:rPr>
        <w:t>קושית הרא"ש לדעת רש"י מה הדין בדריסה במיעוט קמא ובנעקרו הסימנים במיעוט בתרא</w:t>
      </w:r>
      <w:bookmarkEnd w:id="14125"/>
      <w:bookmarkEnd w:id="14126"/>
      <w:bookmarkEnd w:id="14127"/>
      <w:bookmarkEnd w:id="14128"/>
      <w:bookmarkEnd w:id="14129"/>
    </w:p>
    <w:p w14:paraId="2DE9CC88" w14:textId="77777777" w:rsidR="00436F39" w:rsidRDefault="00436F39" w:rsidP="00223668">
      <w:pPr>
        <w:pStyle w:val="a0"/>
        <w:rPr>
          <w:rtl/>
        </w:rPr>
      </w:pPr>
      <w:r>
        <w:rPr>
          <w:rStyle w:val="af9"/>
          <w:rFonts w:hint="cs"/>
          <w:rtl/>
        </w:rPr>
        <w:t>ו</w:t>
      </w:r>
      <w:r w:rsidRPr="00116A35">
        <w:rPr>
          <w:rStyle w:val="af9"/>
          <w:rFonts w:hint="cs"/>
          <w:rtl/>
        </w:rPr>
        <w:t>בתשו' הרשב"א</w:t>
      </w:r>
      <w:r>
        <w:rPr>
          <w:rFonts w:hint="cs"/>
          <w:rtl/>
        </w:rPr>
        <w:t xml:space="preserve"> </w:t>
      </w:r>
      <w:r w:rsidRPr="00116A35">
        <w:rPr>
          <w:rStyle w:val="af7"/>
          <w:rFonts w:eastAsia="Guttman Hodes" w:hint="cs"/>
          <w:rtl/>
        </w:rPr>
        <w:t>(ח"א סי' שס"ז)</w:t>
      </w:r>
      <w:r>
        <w:rPr>
          <w:rFonts w:hint="cs"/>
          <w:rtl/>
        </w:rPr>
        <w:t xml:space="preserve"> הקשה </w:t>
      </w:r>
      <w:r w:rsidRPr="00116A35">
        <w:rPr>
          <w:rStyle w:val="af9"/>
          <w:rFonts w:hint="cs"/>
          <w:rtl/>
        </w:rPr>
        <w:t>הרא"ש לרשב"א</w:t>
      </w:r>
      <w:r>
        <w:rPr>
          <w:rFonts w:hint="cs"/>
          <w:rtl/>
        </w:rPr>
        <w:t xml:space="preserve">, דלדעת </w:t>
      </w:r>
      <w:r w:rsidRPr="00116A35">
        <w:rPr>
          <w:rStyle w:val="af9"/>
          <w:rFonts w:hint="cs"/>
          <w:rtl/>
        </w:rPr>
        <w:t>רש"י</w:t>
      </w:r>
      <w:r>
        <w:rPr>
          <w:rFonts w:hint="cs"/>
          <w:rtl/>
        </w:rPr>
        <w:t xml:space="preserve"> לא מפורש מה הדין בדריסה במיעוט קמא, או בשחיטה בסכין פגום במיעוט בתרא, וכן בנעקרו הסימנים במיעוט בתרא.</w:t>
      </w:r>
    </w:p>
    <w:p w14:paraId="7D58487B" w14:textId="77777777" w:rsidR="00436F39" w:rsidRPr="007472F9" w:rsidRDefault="00436F39" w:rsidP="006D6D32">
      <w:pPr>
        <w:pStyle w:val="a3"/>
        <w:rPr>
          <w:rtl/>
        </w:rPr>
      </w:pPr>
      <w:bookmarkStart w:id="14130" w:name="_Toc533506093"/>
      <w:bookmarkStart w:id="14131" w:name="_Toc533544301"/>
      <w:bookmarkStart w:id="14132" w:name="_Toc533544498"/>
      <w:bookmarkStart w:id="14133" w:name="_Toc19390839"/>
      <w:bookmarkStart w:id="14134" w:name="_Toc19394336"/>
      <w:r>
        <w:rPr>
          <w:rFonts w:hint="cs"/>
          <w:rtl/>
        </w:rPr>
        <w:t>דברי הרשב"א בתשו' דבמיעוט קמא דושט פשיטא שהיא נבילה</w:t>
      </w:r>
      <w:bookmarkEnd w:id="14130"/>
      <w:bookmarkEnd w:id="14131"/>
      <w:bookmarkEnd w:id="14132"/>
      <w:bookmarkEnd w:id="14133"/>
      <w:bookmarkEnd w:id="14134"/>
    </w:p>
    <w:p w14:paraId="3EE19709" w14:textId="77777777" w:rsidR="00436F39" w:rsidRPr="004D1146" w:rsidRDefault="00436F39" w:rsidP="00223668">
      <w:pPr>
        <w:pStyle w:val="a0"/>
        <w:rPr>
          <w:rtl/>
        </w:rPr>
      </w:pPr>
      <w:r>
        <w:rPr>
          <w:rFonts w:hint="cs"/>
          <w:rtl/>
        </w:rPr>
        <w:t xml:space="preserve">והשיב לו </w:t>
      </w:r>
      <w:r w:rsidRPr="00116A35">
        <w:rPr>
          <w:rStyle w:val="af9"/>
          <w:rFonts w:hint="cs"/>
          <w:rtl/>
        </w:rPr>
        <w:t>הרשב"א בתשו'</w:t>
      </w:r>
      <w:r>
        <w:rPr>
          <w:rFonts w:hint="cs"/>
          <w:rtl/>
        </w:rPr>
        <w:t xml:space="preserve"> דבחלדה או שהייה או הגרמה במיעוט קמא דושט פשיטא דהיא נבילה, וכדברי </w:t>
      </w:r>
      <w:r w:rsidRPr="00116A35">
        <w:rPr>
          <w:rStyle w:val="af9"/>
          <w:rFonts w:hint="cs"/>
          <w:rtl/>
        </w:rPr>
        <w:t>רש"י לקמן</w:t>
      </w:r>
      <w:r>
        <w:rPr>
          <w:rFonts w:hint="cs"/>
          <w:rtl/>
        </w:rPr>
        <w:t xml:space="preserve"> </w:t>
      </w:r>
      <w:r w:rsidRPr="00E80F12">
        <w:rPr>
          <w:rStyle w:val="af7"/>
          <w:rFonts w:eastAsia="Guttman Hodes" w:hint="cs"/>
          <w:rtl/>
        </w:rPr>
        <w:t xml:space="preserve">(עי' אות </w:t>
      </w:r>
      <w:r w:rsidRPr="00E80F12">
        <w:rPr>
          <w:rStyle w:val="af7"/>
          <w:rFonts w:eastAsia="Guttman Hodes"/>
          <w:rtl/>
        </w:rPr>
        <w:fldChar w:fldCharType="begin"/>
      </w:r>
      <w:r w:rsidRPr="00E80F12">
        <w:rPr>
          <w:rStyle w:val="af7"/>
          <w:rFonts w:eastAsia="Guttman Hodes"/>
          <w:rtl/>
        </w:rPr>
        <w:instrText xml:space="preserve"> </w:instrText>
      </w:r>
      <w:r w:rsidRPr="00E80F12">
        <w:rPr>
          <w:rStyle w:val="af7"/>
          <w:rFonts w:eastAsia="Guttman Hodes" w:hint="cs"/>
        </w:rPr>
        <w:instrText>REF</w:instrText>
      </w:r>
      <w:r w:rsidRPr="00E80F12">
        <w:rPr>
          <w:rStyle w:val="af7"/>
          <w:rFonts w:eastAsia="Guttman Hodes" w:hint="cs"/>
          <w:rtl/>
        </w:rPr>
        <w:instrText xml:space="preserve"> _</w:instrText>
      </w:r>
      <w:r w:rsidRPr="00E80F12">
        <w:rPr>
          <w:rStyle w:val="af7"/>
          <w:rFonts w:eastAsia="Guttman Hodes" w:hint="cs"/>
        </w:rPr>
        <w:instrText>Ref532318007 \r \h</w:instrText>
      </w:r>
      <w:r w:rsidRPr="00E80F12">
        <w:rPr>
          <w:rStyle w:val="af7"/>
          <w:rFonts w:eastAsia="Guttman Hodes"/>
          <w:rtl/>
        </w:rPr>
        <w:instrText xml:space="preserve"> </w:instrText>
      </w:r>
      <w:r w:rsidRPr="00E80F12">
        <w:rPr>
          <w:rStyle w:val="af7"/>
          <w:rFonts w:eastAsia="Guttman Hodes"/>
          <w:rtl/>
        </w:rPr>
      </w:r>
      <w:r w:rsidRPr="00E80F12">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E80F12">
        <w:rPr>
          <w:rStyle w:val="af7"/>
          <w:rFonts w:eastAsia="Guttman Hodes"/>
          <w:rtl/>
        </w:rPr>
        <w:fldChar w:fldCharType="end"/>
      </w:r>
      <w:r>
        <w:rPr>
          <w:rFonts w:hint="cs"/>
          <w:rtl/>
        </w:rPr>
        <w:t xml:space="preserve"> כיון שפסל בתחילת השחיטה, </w:t>
      </w:r>
      <w:r w:rsidRPr="00896068">
        <w:rPr>
          <w:rStyle w:val="afb"/>
          <w:rFonts w:hint="cs"/>
          <w:rtl/>
        </w:rPr>
        <w:t xml:space="preserve">[אך כתב </w:t>
      </w:r>
      <w:r w:rsidRPr="00896068">
        <w:rPr>
          <w:rStyle w:val="affa"/>
          <w:rFonts w:hint="cs"/>
          <w:rtl/>
        </w:rPr>
        <w:t>הרשב"א בתשו'</w:t>
      </w:r>
      <w:r w:rsidRPr="00896068">
        <w:rPr>
          <w:rStyle w:val="afb"/>
          <w:rFonts w:hint="cs"/>
          <w:rtl/>
        </w:rPr>
        <w:t xml:space="preserve"> דאפשר לבאר דבמיעוט קמא דקנה כשר כחצי קנה פגום ודלא כדעת </w:t>
      </w:r>
      <w:r w:rsidRPr="00896068">
        <w:rPr>
          <w:rStyle w:val="affa"/>
          <w:rFonts w:hint="cs"/>
          <w:rtl/>
        </w:rPr>
        <w:t>רש"י</w:t>
      </w:r>
      <w:r w:rsidRPr="00896068">
        <w:rPr>
          <w:rStyle w:val="afb"/>
          <w:rFonts w:hint="cs"/>
          <w:rtl/>
        </w:rPr>
        <w:t>, עיי"ש בדבריו]</w:t>
      </w:r>
      <w:r>
        <w:rPr>
          <w:rFonts w:hint="cs"/>
          <w:rtl/>
        </w:rPr>
        <w:t>.</w:t>
      </w:r>
      <w:r w:rsidRPr="00A371B6">
        <w:rPr>
          <w:rFonts w:hint="cs"/>
          <w:rtl/>
        </w:rPr>
        <w:t xml:space="preserve"> </w:t>
      </w:r>
      <w:r>
        <w:rPr>
          <w:rFonts w:hint="cs"/>
          <w:rtl/>
        </w:rPr>
        <w:t xml:space="preserve">וע"ע בדברי </w:t>
      </w:r>
      <w:r w:rsidRPr="00286A74">
        <w:rPr>
          <w:rStyle w:val="af9"/>
          <w:rFonts w:hint="cs"/>
          <w:rtl/>
        </w:rPr>
        <w:t>הש"ך</w:t>
      </w:r>
      <w:r>
        <w:rPr>
          <w:rFonts w:hint="cs"/>
          <w:rtl/>
        </w:rPr>
        <w:t xml:space="preserve"> </w:t>
      </w:r>
      <w:r w:rsidRPr="00286A74">
        <w:rPr>
          <w:rStyle w:val="af7"/>
          <w:rFonts w:eastAsia="Guttman Hodes" w:hint="cs"/>
          <w:rtl/>
        </w:rPr>
        <w:t>(סי' כ"ד סקי"ג)</w:t>
      </w:r>
      <w:r>
        <w:rPr>
          <w:rFonts w:hint="cs"/>
          <w:rtl/>
        </w:rPr>
        <w:t xml:space="preserve"> ובדברי </w:t>
      </w:r>
      <w:r w:rsidRPr="00A6755D">
        <w:rPr>
          <w:rStyle w:val="af9"/>
          <w:rFonts w:hint="cs"/>
          <w:rtl/>
        </w:rPr>
        <w:t>התבו"ש</w:t>
      </w:r>
      <w:r>
        <w:rPr>
          <w:rFonts w:hint="cs"/>
          <w:rtl/>
        </w:rPr>
        <w:t xml:space="preserve"> </w:t>
      </w:r>
      <w:r w:rsidRPr="00A6755D">
        <w:rPr>
          <w:rStyle w:val="af7"/>
          <w:rFonts w:eastAsia="Guttman Hodes" w:hint="cs"/>
          <w:rtl/>
        </w:rPr>
        <w:t xml:space="preserve">(עי' אות </w:t>
      </w:r>
      <w:r w:rsidRPr="00A6755D">
        <w:rPr>
          <w:rStyle w:val="af7"/>
          <w:rFonts w:eastAsia="Guttman Hodes"/>
          <w:rtl/>
        </w:rPr>
        <w:fldChar w:fldCharType="begin"/>
      </w:r>
      <w:r w:rsidRPr="00A6755D">
        <w:rPr>
          <w:rStyle w:val="af7"/>
          <w:rFonts w:eastAsia="Guttman Hodes"/>
          <w:rtl/>
        </w:rPr>
        <w:instrText xml:space="preserve"> </w:instrText>
      </w:r>
      <w:r w:rsidRPr="00A6755D">
        <w:rPr>
          <w:rStyle w:val="af7"/>
          <w:rFonts w:eastAsia="Guttman Hodes" w:hint="cs"/>
        </w:rPr>
        <w:instrText>REF</w:instrText>
      </w:r>
      <w:r w:rsidRPr="00A6755D">
        <w:rPr>
          <w:rStyle w:val="af7"/>
          <w:rFonts w:eastAsia="Guttman Hodes" w:hint="cs"/>
          <w:rtl/>
        </w:rPr>
        <w:instrText xml:space="preserve"> _</w:instrText>
      </w:r>
      <w:r w:rsidRPr="00A6755D">
        <w:rPr>
          <w:rStyle w:val="af7"/>
          <w:rFonts w:eastAsia="Guttman Hodes" w:hint="cs"/>
        </w:rPr>
        <w:instrText>Ref533498312 \r \h</w:instrText>
      </w:r>
      <w:r w:rsidRPr="00A6755D">
        <w:rPr>
          <w:rStyle w:val="af7"/>
          <w:rFonts w:eastAsia="Guttman Hodes"/>
          <w:rtl/>
        </w:rPr>
        <w:instrText xml:space="preserve"> </w:instrText>
      </w:r>
      <w:r w:rsidRPr="00A6755D">
        <w:rPr>
          <w:rStyle w:val="af7"/>
          <w:rFonts w:eastAsia="Guttman Hodes"/>
          <w:rtl/>
        </w:rPr>
      </w:r>
      <w:r w:rsidRPr="00A6755D">
        <w:rPr>
          <w:rStyle w:val="af7"/>
          <w:rFonts w:eastAsia="Guttman Hodes"/>
          <w:rtl/>
        </w:rPr>
        <w:fldChar w:fldCharType="separate"/>
      </w:r>
      <w:r w:rsidR="00345400">
        <w:rPr>
          <w:rStyle w:val="af7"/>
          <w:rFonts w:eastAsia="Guttman Hodes"/>
          <w:cs/>
        </w:rPr>
        <w:t>‎</w:t>
      </w:r>
      <w:r w:rsidR="00345400">
        <w:rPr>
          <w:rStyle w:val="af7"/>
          <w:rFonts w:eastAsia="Guttman Hodes"/>
          <w:rtl/>
        </w:rPr>
        <w:t>כה)</w:t>
      </w:r>
      <w:r w:rsidRPr="00A6755D">
        <w:rPr>
          <w:rStyle w:val="af7"/>
          <w:rFonts w:eastAsia="Guttman Hodes"/>
          <w:rtl/>
        </w:rPr>
        <w:fldChar w:fldCharType="end"/>
      </w:r>
      <w:r>
        <w:rPr>
          <w:rFonts w:hint="cs"/>
          <w:rtl/>
        </w:rPr>
        <w:t xml:space="preserve"> בענין פסול במיעוט קמא.</w:t>
      </w:r>
    </w:p>
    <w:p w14:paraId="6F6C13F3" w14:textId="77777777" w:rsidR="00436F39" w:rsidRPr="00EC5203" w:rsidRDefault="00436F39" w:rsidP="00BF39B2">
      <w:pPr>
        <w:pStyle w:val="1"/>
        <w:rPr>
          <w:rtl/>
        </w:rPr>
      </w:pPr>
      <w:bookmarkStart w:id="14135" w:name="_Toc533506094"/>
      <w:bookmarkStart w:id="14136" w:name="_Toc533544302"/>
      <w:bookmarkStart w:id="14137" w:name="_Toc533544499"/>
      <w:bookmarkStart w:id="14138" w:name="_Toc19390840"/>
      <w:bookmarkStart w:id="14139" w:name="_Toc19394337"/>
      <w:r>
        <w:rPr>
          <w:rFonts w:hint="cs"/>
          <w:rtl/>
        </w:rPr>
        <w:t>דברי רש"י דשהייה</w:t>
      </w:r>
      <w:r w:rsidRPr="00D726B5">
        <w:rPr>
          <w:rFonts w:hint="cs"/>
          <w:rtl/>
        </w:rPr>
        <w:t xml:space="preserve"> במיעוט בתרא</w:t>
      </w:r>
      <w:bookmarkEnd w:id="14110"/>
      <w:bookmarkEnd w:id="14111"/>
      <w:bookmarkEnd w:id="14112"/>
      <w:bookmarkEnd w:id="14113"/>
      <w:r>
        <w:rPr>
          <w:rFonts w:hint="cs"/>
          <w:rtl/>
        </w:rPr>
        <w:t xml:space="preserve"> פוסלת</w:t>
      </w:r>
      <w:bookmarkEnd w:id="14135"/>
      <w:bookmarkEnd w:id="14136"/>
      <w:bookmarkEnd w:id="14137"/>
      <w:bookmarkEnd w:id="14138"/>
      <w:bookmarkEnd w:id="14139"/>
    </w:p>
    <w:p w14:paraId="20464FC2" w14:textId="77777777" w:rsidR="00436F39" w:rsidRPr="00652360" w:rsidRDefault="00436F39" w:rsidP="006D6D32">
      <w:pPr>
        <w:pStyle w:val="a3"/>
      </w:pPr>
      <w:bookmarkStart w:id="14140" w:name="_Toc533506095"/>
      <w:bookmarkStart w:id="14141" w:name="_Toc533544303"/>
      <w:bookmarkStart w:id="14142" w:name="_Toc533544500"/>
      <w:bookmarkStart w:id="14143" w:name="_Toc19390841"/>
      <w:bookmarkStart w:id="14144" w:name="_Toc19394338"/>
      <w:r>
        <w:rPr>
          <w:rFonts w:hint="cs"/>
          <w:rtl/>
        </w:rPr>
        <w:t>דברי רש"י והבה"ג דשהייה בין במיעוט קמא ובין במיעוט בתרא פסולה מספק</w:t>
      </w:r>
      <w:bookmarkEnd w:id="14140"/>
      <w:bookmarkEnd w:id="14141"/>
      <w:bookmarkEnd w:id="14142"/>
      <w:bookmarkEnd w:id="14143"/>
      <w:bookmarkEnd w:id="14144"/>
    </w:p>
    <w:p w14:paraId="446E9054" w14:textId="77777777" w:rsidR="00436F39" w:rsidRDefault="00436F39" w:rsidP="00223668">
      <w:pPr>
        <w:pStyle w:val="a0"/>
      </w:pPr>
      <w:bookmarkStart w:id="14145" w:name="_Ref533328195"/>
      <w:r>
        <w:rPr>
          <w:rFonts w:hint="cs"/>
          <w:rtl/>
        </w:rPr>
        <w:t xml:space="preserve">וכתב </w:t>
      </w:r>
      <w:r w:rsidRPr="00652360">
        <w:rPr>
          <w:rStyle w:val="af9"/>
          <w:rFonts w:hint="cs"/>
          <w:rtl/>
        </w:rPr>
        <w:t>רש"י</w:t>
      </w:r>
      <w:r>
        <w:rPr>
          <w:rFonts w:hint="cs"/>
          <w:rtl/>
        </w:rPr>
        <w:t xml:space="preserve"> </w:t>
      </w:r>
      <w:r w:rsidRPr="00312F24">
        <w:rPr>
          <w:rStyle w:val="af9"/>
          <w:rFonts w:hint="cs"/>
          <w:rtl/>
        </w:rPr>
        <w:t>לקמן</w:t>
      </w:r>
      <w:r>
        <w:rPr>
          <w:rFonts w:hint="cs"/>
          <w:rtl/>
        </w:rPr>
        <w:t xml:space="preserve"> </w:t>
      </w:r>
      <w:r w:rsidRPr="00257A45">
        <w:rPr>
          <w:rStyle w:val="af7"/>
          <w:rFonts w:eastAsia="Guttman Hodes" w:hint="cs"/>
          <w:rtl/>
        </w:rPr>
        <w:t xml:space="preserve">(ל: ד"ה תיקו) </w:t>
      </w:r>
      <w:r>
        <w:rPr>
          <w:rFonts w:hint="cs"/>
          <w:rtl/>
        </w:rPr>
        <w:t xml:space="preserve">דה"ה בפסול שהייה, דבמקום ששחט את רוב הסימן ושהה אחריו במיעוט בתרא, דבין בקנה ובין בוושט, או במיעוט קמא של הושט שחיטתו פסולה, והביא </w:t>
      </w:r>
      <w:r w:rsidRPr="00312F24">
        <w:rPr>
          <w:rStyle w:val="af9"/>
          <w:rFonts w:hint="cs"/>
          <w:rtl/>
        </w:rPr>
        <w:t>רש"י</w:t>
      </w:r>
      <w:r>
        <w:rPr>
          <w:rFonts w:hint="cs"/>
          <w:rtl/>
        </w:rPr>
        <w:t xml:space="preserve"> דכ"כ </w:t>
      </w:r>
      <w:r w:rsidRPr="00312F24">
        <w:rPr>
          <w:rStyle w:val="af9"/>
          <w:rFonts w:hint="cs"/>
          <w:rtl/>
        </w:rPr>
        <w:t>הבה"ג</w:t>
      </w:r>
      <w:r>
        <w:rPr>
          <w:rFonts w:hint="cs"/>
          <w:rtl/>
        </w:rPr>
        <w:t xml:space="preserve"> </w:t>
      </w:r>
      <w:r w:rsidRPr="00CD0EBE">
        <w:rPr>
          <w:rStyle w:val="af7"/>
          <w:rFonts w:eastAsia="Guttman Hodes" w:hint="cs"/>
          <w:rtl/>
        </w:rPr>
        <w:t>(הל' שחיטת חולין סוד"ה שהייה עמ' תרי"ב)</w:t>
      </w:r>
      <w:r>
        <w:rPr>
          <w:rFonts w:hint="cs"/>
          <w:rtl/>
        </w:rPr>
        <w:t xml:space="preserve"> דבין אם שהה בתחילה ובין אם שהה בסוף אסור, כיון שספק הגמ' לא נפשט נקטינן לחומרא, ועי' במה שביאר </w:t>
      </w:r>
      <w:r w:rsidRPr="00474CF9">
        <w:rPr>
          <w:rStyle w:val="af9"/>
          <w:rFonts w:hint="cs"/>
          <w:rtl/>
        </w:rPr>
        <w:t>הקוב"ש</w:t>
      </w:r>
      <w:r>
        <w:rPr>
          <w:rFonts w:hint="cs"/>
          <w:rtl/>
        </w:rPr>
        <w:t xml:space="preserve"> </w:t>
      </w:r>
      <w:r w:rsidRPr="00474CF9">
        <w:rPr>
          <w:rStyle w:val="af7"/>
          <w:rFonts w:eastAsia="Guttman Hodes" w:hint="cs"/>
          <w:rtl/>
        </w:rPr>
        <w:t xml:space="preserve">(עי' אות </w:t>
      </w:r>
      <w:r w:rsidRPr="00474CF9">
        <w:rPr>
          <w:rStyle w:val="af7"/>
          <w:rFonts w:eastAsia="Guttman Hodes"/>
          <w:rtl/>
        </w:rPr>
        <w:fldChar w:fldCharType="begin"/>
      </w:r>
      <w:r w:rsidRPr="00474CF9">
        <w:rPr>
          <w:rStyle w:val="af7"/>
          <w:rFonts w:eastAsia="Guttman Hodes"/>
          <w:rtl/>
        </w:rPr>
        <w:instrText xml:space="preserve"> </w:instrText>
      </w:r>
      <w:r w:rsidRPr="00474CF9">
        <w:rPr>
          <w:rStyle w:val="af7"/>
          <w:rFonts w:eastAsia="Guttman Hodes" w:hint="cs"/>
        </w:rPr>
        <w:instrText>REF</w:instrText>
      </w:r>
      <w:r w:rsidRPr="00474CF9">
        <w:rPr>
          <w:rStyle w:val="af7"/>
          <w:rFonts w:eastAsia="Guttman Hodes" w:hint="cs"/>
          <w:rtl/>
        </w:rPr>
        <w:instrText xml:space="preserve"> _</w:instrText>
      </w:r>
      <w:r w:rsidRPr="00474CF9">
        <w:rPr>
          <w:rStyle w:val="af7"/>
          <w:rFonts w:eastAsia="Guttman Hodes" w:hint="cs"/>
        </w:rPr>
        <w:instrText>Ref533329581 \r \h</w:instrText>
      </w:r>
      <w:r w:rsidRPr="00474CF9">
        <w:rPr>
          <w:rStyle w:val="af7"/>
          <w:rFonts w:eastAsia="Guttman Hodes"/>
          <w:rtl/>
        </w:rPr>
        <w:instrText xml:space="preserve"> </w:instrText>
      </w:r>
      <w:r w:rsidRPr="00474CF9">
        <w:rPr>
          <w:rStyle w:val="af7"/>
          <w:rFonts w:eastAsia="Guttman Hodes"/>
          <w:rtl/>
        </w:rPr>
      </w:r>
      <w:r w:rsidRPr="00474CF9">
        <w:rPr>
          <w:rStyle w:val="af7"/>
          <w:rFonts w:eastAsia="Guttman Hodes"/>
          <w:rtl/>
        </w:rPr>
        <w:fldChar w:fldCharType="separate"/>
      </w:r>
      <w:r w:rsidR="00345400">
        <w:rPr>
          <w:rStyle w:val="af7"/>
          <w:rFonts w:eastAsia="Guttman Hodes"/>
          <w:cs/>
        </w:rPr>
        <w:t>‎</w:t>
      </w:r>
      <w:r w:rsidR="00345400">
        <w:rPr>
          <w:rStyle w:val="af7"/>
          <w:rFonts w:eastAsia="Guttman Hodes"/>
          <w:rtl/>
        </w:rPr>
        <w:t>צו)</w:t>
      </w:r>
      <w:r w:rsidRPr="00474CF9">
        <w:rPr>
          <w:rStyle w:val="af7"/>
          <w:rFonts w:eastAsia="Guttman Hodes"/>
          <w:rtl/>
        </w:rPr>
        <w:fldChar w:fldCharType="end"/>
      </w:r>
      <w:r w:rsidRPr="00474CF9">
        <w:rPr>
          <w:rStyle w:val="af7"/>
          <w:rFonts w:eastAsia="Guttman Hodes" w:hint="cs"/>
          <w:rtl/>
        </w:rPr>
        <w:t xml:space="preserve"> </w:t>
      </w:r>
      <w:r>
        <w:rPr>
          <w:rFonts w:hint="cs"/>
          <w:rtl/>
        </w:rPr>
        <w:t xml:space="preserve">בדברי </w:t>
      </w:r>
      <w:r w:rsidRPr="00474CF9">
        <w:rPr>
          <w:rStyle w:val="af9"/>
          <w:rFonts w:hint="cs"/>
          <w:rtl/>
        </w:rPr>
        <w:t>רש"י</w:t>
      </w:r>
      <w:r>
        <w:rPr>
          <w:rFonts w:hint="cs"/>
          <w:rtl/>
        </w:rPr>
        <w:t>.</w:t>
      </w:r>
      <w:bookmarkEnd w:id="14145"/>
    </w:p>
    <w:p w14:paraId="60A3D1F6" w14:textId="77777777" w:rsidR="00436F39" w:rsidRDefault="00436F39" w:rsidP="006D6D32">
      <w:pPr>
        <w:pStyle w:val="a3"/>
        <w:rPr>
          <w:rtl/>
        </w:rPr>
      </w:pPr>
    </w:p>
    <w:p w14:paraId="07BAB658" w14:textId="77777777" w:rsidR="00436F39" w:rsidRDefault="00436F39" w:rsidP="006D6D32">
      <w:pPr>
        <w:pStyle w:val="a3"/>
        <w:rPr>
          <w:rtl/>
        </w:rPr>
      </w:pPr>
      <w:bookmarkStart w:id="14146" w:name="_Toc533506096"/>
      <w:bookmarkStart w:id="14147" w:name="_Toc533544304"/>
      <w:bookmarkStart w:id="14148" w:name="_Toc533544501"/>
      <w:bookmarkStart w:id="14149" w:name="_Toc19390842"/>
      <w:bookmarkStart w:id="14150" w:name="_Toc19394339"/>
      <w:r>
        <w:rPr>
          <w:rFonts w:hint="cs"/>
          <w:rtl/>
        </w:rPr>
        <w:t>ביאור רש"י דהספק בשהייה במיעוט סימנים</w:t>
      </w:r>
      <w:bookmarkEnd w:id="14146"/>
      <w:bookmarkEnd w:id="14147"/>
      <w:bookmarkEnd w:id="14148"/>
      <w:bookmarkEnd w:id="14149"/>
      <w:bookmarkEnd w:id="14150"/>
    </w:p>
    <w:p w14:paraId="20F1F7A2" w14:textId="77777777" w:rsidR="00436F39" w:rsidRDefault="00436F39" w:rsidP="00223668">
      <w:pPr>
        <w:pStyle w:val="a0"/>
        <w:rPr>
          <w:rtl/>
        </w:rPr>
      </w:pPr>
      <w:bookmarkStart w:id="14151" w:name="_Ref532319483"/>
      <w:r>
        <w:rPr>
          <w:rFonts w:hint="cs"/>
          <w:rtl/>
        </w:rPr>
        <w:t xml:space="preserve">וכן איתא בגמ' לקמן </w:t>
      </w:r>
      <w:r w:rsidRPr="00257A45">
        <w:rPr>
          <w:rStyle w:val="af7"/>
          <w:rFonts w:eastAsia="Guttman Hodes" w:hint="cs"/>
          <w:rtl/>
        </w:rPr>
        <w:t xml:space="preserve">(לב.) </w:t>
      </w:r>
      <w:r>
        <w:rPr>
          <w:rFonts w:hint="cs"/>
          <w:rtl/>
        </w:rPr>
        <w:t xml:space="preserve">בפסול שהייה, דהסתפק רב הונא בריה דרב נתן בשהה במיעוט סימנים, והניחה הגמ' בתיקו, וביאר </w:t>
      </w:r>
      <w:r w:rsidRPr="000C6E0F">
        <w:rPr>
          <w:rStyle w:val="af9"/>
          <w:rFonts w:hint="cs"/>
          <w:rtl/>
        </w:rPr>
        <w:t>רש"י</w:t>
      </w:r>
      <w:r>
        <w:rPr>
          <w:rFonts w:hint="cs"/>
          <w:rtl/>
        </w:rPr>
        <w:t xml:space="preserve"> </w:t>
      </w:r>
      <w:r w:rsidRPr="000C6E0F">
        <w:rPr>
          <w:rStyle w:val="af9"/>
          <w:rFonts w:hint="cs"/>
          <w:rtl/>
        </w:rPr>
        <w:t>לקמן</w:t>
      </w:r>
      <w:r>
        <w:rPr>
          <w:rFonts w:hint="cs"/>
          <w:rtl/>
        </w:rPr>
        <w:t xml:space="preserve"> </w:t>
      </w:r>
      <w:r w:rsidRPr="00257A45">
        <w:rPr>
          <w:rStyle w:val="af7"/>
          <w:rFonts w:eastAsia="Guttman Hodes" w:hint="cs"/>
          <w:rtl/>
        </w:rPr>
        <w:t xml:space="preserve">(לב. ד"ה במיעוט) </w:t>
      </w:r>
      <w:r>
        <w:rPr>
          <w:rFonts w:hint="cs"/>
          <w:rtl/>
        </w:rPr>
        <w:t>דשחט את רוב הסימנים ושהה במיעוט האחרון, ואח"כ גמר את שחיטתו.</w:t>
      </w:r>
      <w:bookmarkEnd w:id="14151"/>
    </w:p>
    <w:p w14:paraId="7DB5B506" w14:textId="77777777" w:rsidR="00436F39" w:rsidRDefault="00436F39" w:rsidP="006D6D32">
      <w:pPr>
        <w:pStyle w:val="a3"/>
        <w:rPr>
          <w:rtl/>
        </w:rPr>
      </w:pPr>
      <w:bookmarkStart w:id="14152" w:name="_Toc533506097"/>
      <w:bookmarkStart w:id="14153" w:name="_Toc533544305"/>
      <w:bookmarkStart w:id="14154" w:name="_Toc533544502"/>
      <w:bookmarkStart w:id="14155" w:name="_Toc19390843"/>
      <w:bookmarkStart w:id="14156" w:name="_Toc19394340"/>
      <w:r>
        <w:rPr>
          <w:rFonts w:hint="cs"/>
          <w:rtl/>
        </w:rPr>
        <w:t>דברי רש"י דהשוחט עוף והשליכו מידו ושוהה למות אסור לחזור ולשחוט את המיעוט בתרא</w:t>
      </w:r>
      <w:bookmarkEnd w:id="14152"/>
      <w:bookmarkEnd w:id="14153"/>
      <w:bookmarkEnd w:id="14154"/>
      <w:bookmarkEnd w:id="14155"/>
      <w:bookmarkEnd w:id="14156"/>
    </w:p>
    <w:p w14:paraId="3EEEA9B5" w14:textId="77777777" w:rsidR="00436F39" w:rsidRDefault="00436F39" w:rsidP="00223668">
      <w:pPr>
        <w:pStyle w:val="a0"/>
        <w:rPr>
          <w:rtl/>
        </w:rPr>
      </w:pPr>
      <w:bookmarkStart w:id="14157" w:name="_Ref532364765"/>
      <w:r>
        <w:rPr>
          <w:rFonts w:hint="cs"/>
          <w:rtl/>
        </w:rPr>
        <w:t xml:space="preserve">וכתב </w:t>
      </w:r>
      <w:r w:rsidRPr="000C6E0F">
        <w:rPr>
          <w:rStyle w:val="af9"/>
          <w:rFonts w:hint="cs"/>
          <w:rtl/>
        </w:rPr>
        <w:t>רש"י לקמן</w:t>
      </w:r>
      <w:r>
        <w:rPr>
          <w:rFonts w:hint="cs"/>
          <w:rtl/>
        </w:rPr>
        <w:t xml:space="preserve"> </w:t>
      </w:r>
      <w:r w:rsidRPr="00257A45">
        <w:rPr>
          <w:rStyle w:val="af7"/>
          <w:rFonts w:eastAsia="Guttman Hodes" w:hint="cs"/>
          <w:rtl/>
        </w:rPr>
        <w:t xml:space="preserve">(לב. ד"ה תיקו) </w:t>
      </w:r>
      <w:r>
        <w:rPr>
          <w:rFonts w:hint="cs"/>
          <w:rtl/>
        </w:rPr>
        <w:t>דלהלכה צריך להחמיר, ולכן נראה דהשוחט את רוב הסימנים והשליך מידו את העוף, והוא שוהה למות, דאסור לחזור ולחתוך את מיעוט הסימנים בתורת שחיטה, אלא מוטב שיכה על הצואר בסכין או שימתין עד שימות.</w:t>
      </w:r>
      <w:bookmarkEnd w:id="14157"/>
    </w:p>
    <w:p w14:paraId="64F1486A" w14:textId="77777777" w:rsidR="00436F39" w:rsidRPr="003640D2" w:rsidRDefault="00436F39" w:rsidP="00BF39B2">
      <w:pPr>
        <w:pStyle w:val="1"/>
        <w:rPr>
          <w:rtl/>
        </w:rPr>
      </w:pPr>
      <w:bookmarkStart w:id="14158" w:name="_Toc533413304"/>
      <w:bookmarkStart w:id="14159" w:name="_Toc533441194"/>
      <w:bookmarkStart w:id="14160" w:name="_Toc533441240"/>
      <w:bookmarkStart w:id="14161" w:name="_Toc533490160"/>
      <w:bookmarkStart w:id="14162" w:name="_Toc533506098"/>
      <w:bookmarkStart w:id="14163" w:name="_Toc533544306"/>
      <w:bookmarkStart w:id="14164" w:name="_Toc533544503"/>
      <w:bookmarkStart w:id="14165" w:name="_Toc19390844"/>
      <w:bookmarkStart w:id="14166" w:name="_Toc19394341"/>
      <w:r>
        <w:rPr>
          <w:rFonts w:hint="cs"/>
          <w:rtl/>
        </w:rPr>
        <w:t xml:space="preserve">ביאור </w:t>
      </w:r>
      <w:bookmarkEnd w:id="14114"/>
      <w:bookmarkEnd w:id="14115"/>
      <w:bookmarkEnd w:id="14116"/>
      <w:bookmarkEnd w:id="14117"/>
      <w:bookmarkEnd w:id="14118"/>
      <w:r>
        <w:rPr>
          <w:rFonts w:hint="cs"/>
          <w:rtl/>
        </w:rPr>
        <w:t>הרמב"ן והרשב"א דהפסול הוא כיון ששחט בדרך שחיטה</w:t>
      </w:r>
      <w:bookmarkEnd w:id="14158"/>
      <w:bookmarkEnd w:id="14159"/>
      <w:bookmarkEnd w:id="14160"/>
      <w:bookmarkEnd w:id="14161"/>
      <w:bookmarkEnd w:id="14162"/>
      <w:bookmarkEnd w:id="14163"/>
      <w:bookmarkEnd w:id="14164"/>
      <w:bookmarkEnd w:id="14165"/>
      <w:bookmarkEnd w:id="14166"/>
    </w:p>
    <w:p w14:paraId="1773E52D" w14:textId="77777777" w:rsidR="00436F39" w:rsidRDefault="00436F39" w:rsidP="006D6D32">
      <w:pPr>
        <w:pStyle w:val="a3"/>
        <w:rPr>
          <w:rtl/>
        </w:rPr>
      </w:pPr>
      <w:bookmarkStart w:id="14167" w:name="_Toc533506099"/>
      <w:bookmarkStart w:id="14168" w:name="_Toc533544307"/>
      <w:bookmarkStart w:id="14169" w:name="_Toc533544504"/>
      <w:bookmarkStart w:id="14170" w:name="_Toc19390845"/>
      <w:bookmarkStart w:id="14171" w:name="_Toc19394342"/>
      <w:r>
        <w:rPr>
          <w:rFonts w:hint="cs"/>
          <w:rtl/>
        </w:rPr>
        <w:t>ביאור הרמב"ן והרשב"א ברש"י דאף שהותרה הבהמה ע"י הרוב מ"מ אסור לשחוט בתורת שחיטה</w:t>
      </w:r>
      <w:bookmarkEnd w:id="14167"/>
      <w:bookmarkEnd w:id="14168"/>
      <w:bookmarkEnd w:id="14169"/>
      <w:bookmarkEnd w:id="14170"/>
      <w:bookmarkEnd w:id="14171"/>
    </w:p>
    <w:p w14:paraId="542B9A95" w14:textId="77777777" w:rsidR="00436F39" w:rsidRPr="00B2550C" w:rsidRDefault="00436F39" w:rsidP="00223668">
      <w:pPr>
        <w:pStyle w:val="a0"/>
        <w:rPr>
          <w:rStyle w:val="afb"/>
          <w:rtl/>
        </w:rPr>
      </w:pPr>
      <w:bookmarkStart w:id="14172" w:name="_Ref533497444"/>
      <w:r>
        <w:rPr>
          <w:rFonts w:hint="cs"/>
          <w:rtl/>
        </w:rPr>
        <w:t xml:space="preserve">וביאר </w:t>
      </w:r>
      <w:r w:rsidRPr="003640D2">
        <w:rPr>
          <w:rStyle w:val="af9"/>
          <w:rFonts w:hint="cs"/>
          <w:rtl/>
        </w:rPr>
        <w:t>הרמב"ן לקמן</w:t>
      </w:r>
      <w:r>
        <w:rPr>
          <w:rFonts w:hint="cs"/>
          <w:rtl/>
        </w:rPr>
        <w:t xml:space="preserve"> </w:t>
      </w:r>
      <w:r w:rsidRPr="00257A45">
        <w:rPr>
          <w:rStyle w:val="af7"/>
          <w:rFonts w:eastAsia="Guttman Hodes" w:hint="cs"/>
          <w:rtl/>
        </w:rPr>
        <w:t>(ל: ד"ה החליד)</w:t>
      </w:r>
      <w:r>
        <w:rPr>
          <w:rFonts w:hint="cs"/>
          <w:rtl/>
        </w:rPr>
        <w:t xml:space="preserve"> בדעת </w:t>
      </w:r>
      <w:r w:rsidRPr="00510D9A">
        <w:rPr>
          <w:rStyle w:val="af9"/>
          <w:rFonts w:hint="cs"/>
          <w:rtl/>
        </w:rPr>
        <w:t xml:space="preserve">רש"י </w:t>
      </w:r>
      <w:r>
        <w:rPr>
          <w:rFonts w:hint="cs"/>
          <w:rtl/>
        </w:rPr>
        <w:t xml:space="preserve">דאף שהוכשרה הבהמה בשחיטת הרוב, מ"מ אסור לחתוך אותה בתורת שחיטה, בפסול דשהייה או חלדה. </w:t>
      </w:r>
      <w:r w:rsidRPr="00B2550C">
        <w:rPr>
          <w:rStyle w:val="afb"/>
          <w:rFonts w:hint="cs"/>
          <w:rtl/>
        </w:rPr>
        <w:t xml:space="preserve">[וע"ע בדברי </w:t>
      </w:r>
      <w:r w:rsidRPr="00B2550C">
        <w:rPr>
          <w:rStyle w:val="affa"/>
          <w:rFonts w:hint="cs"/>
          <w:rtl/>
        </w:rPr>
        <w:t>הרמב"ן</w:t>
      </w:r>
      <w:r w:rsidRPr="00B2550C">
        <w:rPr>
          <w:rStyle w:val="afb"/>
          <w:rFonts w:hint="cs"/>
          <w:rtl/>
        </w:rPr>
        <w:t xml:space="preserve"> </w:t>
      </w:r>
      <w:r w:rsidRPr="00B2550C">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Ref533498812 \r \h</w:instrText>
      </w:r>
      <w:r>
        <w:rPr>
          <w:rStyle w:val="aff6"/>
          <w:rtl/>
        </w:rPr>
        <w:instrText xml:space="preserve"> </w:instrText>
      </w:r>
      <w:r>
        <w:rPr>
          <w:rStyle w:val="aff6"/>
          <w:rtl/>
        </w:rPr>
      </w:r>
      <w:r>
        <w:rPr>
          <w:rStyle w:val="aff6"/>
          <w:rtl/>
        </w:rPr>
        <w:fldChar w:fldCharType="separate"/>
      </w:r>
      <w:r w:rsidR="00345400">
        <w:rPr>
          <w:rStyle w:val="aff6"/>
          <w:cs/>
        </w:rPr>
        <w:t>‎</w:t>
      </w:r>
      <w:r w:rsidR="00345400">
        <w:rPr>
          <w:rStyle w:val="aff6"/>
          <w:rtl/>
        </w:rPr>
        <w:t>יח)</w:t>
      </w:r>
      <w:r>
        <w:rPr>
          <w:rStyle w:val="aff6"/>
          <w:rtl/>
        </w:rPr>
        <w:fldChar w:fldCharType="end"/>
      </w:r>
      <w:r w:rsidRPr="00B2550C">
        <w:rPr>
          <w:rStyle w:val="aff6"/>
          <w:rFonts w:hint="cs"/>
          <w:rtl/>
        </w:rPr>
        <w:t xml:space="preserve"> </w:t>
      </w:r>
      <w:r w:rsidRPr="00B2550C">
        <w:rPr>
          <w:rStyle w:val="afb"/>
          <w:rFonts w:hint="cs"/>
          <w:rtl/>
        </w:rPr>
        <w:t>בדין שחיט</w:t>
      </w:r>
      <w:r>
        <w:rPr>
          <w:rStyle w:val="afb"/>
          <w:rFonts w:hint="cs"/>
          <w:rtl/>
        </w:rPr>
        <w:t>ת כל הסימן</w:t>
      </w:r>
      <w:r w:rsidRPr="00B2550C">
        <w:rPr>
          <w:rStyle w:val="afb"/>
          <w:rFonts w:hint="cs"/>
          <w:rtl/>
        </w:rPr>
        <w:t xml:space="preserve"> לכתחילה].</w:t>
      </w:r>
      <w:bookmarkEnd w:id="14172"/>
    </w:p>
    <w:p w14:paraId="27D6188D" w14:textId="77777777" w:rsidR="00436F39" w:rsidRPr="00506B30" w:rsidRDefault="00436F39" w:rsidP="006D6D32">
      <w:pPr>
        <w:pStyle w:val="a3"/>
        <w:rPr>
          <w:rtl/>
        </w:rPr>
      </w:pPr>
      <w:bookmarkStart w:id="14173" w:name="_Toc533506100"/>
      <w:bookmarkStart w:id="14174" w:name="_Toc533544308"/>
      <w:bookmarkStart w:id="14175" w:name="_Toc533544505"/>
      <w:bookmarkStart w:id="14176" w:name="_Toc19390846"/>
      <w:bookmarkStart w:id="14177" w:name="_Toc19394343"/>
      <w:r>
        <w:rPr>
          <w:rFonts w:hint="cs"/>
          <w:rtl/>
        </w:rPr>
        <w:t>ביאור הרשב"א בתשו' ברש"י דכל שמתעסק בדרך שחיטה פוסל בין במיעו"ק ובין במיעו"ב</w:t>
      </w:r>
      <w:bookmarkEnd w:id="14173"/>
      <w:bookmarkEnd w:id="14174"/>
      <w:bookmarkEnd w:id="14175"/>
      <w:bookmarkEnd w:id="14176"/>
      <w:bookmarkEnd w:id="14177"/>
    </w:p>
    <w:p w14:paraId="5B78AB91" w14:textId="77777777" w:rsidR="00436F39" w:rsidRDefault="00436F39" w:rsidP="00223668">
      <w:pPr>
        <w:pStyle w:val="a0"/>
        <w:rPr>
          <w:rtl/>
        </w:rPr>
      </w:pPr>
      <w:r w:rsidRPr="00C10700">
        <w:rPr>
          <w:rStyle w:val="af9"/>
          <w:rFonts w:hint="cs"/>
          <w:rtl/>
        </w:rPr>
        <w:t>והרשב</w:t>
      </w:r>
      <w:r w:rsidRPr="00510D9A">
        <w:rPr>
          <w:rStyle w:val="af9"/>
          <w:rFonts w:hint="cs"/>
          <w:rtl/>
        </w:rPr>
        <w:t>"א בתשו'</w:t>
      </w:r>
      <w:r>
        <w:rPr>
          <w:rFonts w:hint="cs"/>
          <w:rtl/>
        </w:rPr>
        <w:t xml:space="preserve"> </w:t>
      </w:r>
      <w:r w:rsidRPr="00116A35">
        <w:rPr>
          <w:rStyle w:val="af7"/>
          <w:rFonts w:eastAsia="Guttman Hodes" w:hint="cs"/>
          <w:rtl/>
        </w:rPr>
        <w:t>(ח"א סי' שס"ז)</w:t>
      </w:r>
      <w:r>
        <w:rPr>
          <w:rFonts w:hint="cs"/>
          <w:rtl/>
        </w:rPr>
        <w:t xml:space="preserve"> </w:t>
      </w:r>
      <w:r w:rsidRPr="00772C06">
        <w:rPr>
          <w:rFonts w:hint="cs"/>
          <w:rtl/>
        </w:rPr>
        <w:t>ביאר</w:t>
      </w:r>
      <w:r w:rsidRPr="00C10700">
        <w:rPr>
          <w:rStyle w:val="af9"/>
          <w:rFonts w:hint="cs"/>
          <w:rtl/>
        </w:rPr>
        <w:t xml:space="preserve"> </w:t>
      </w:r>
      <w:r>
        <w:rPr>
          <w:rFonts w:hint="cs"/>
          <w:rtl/>
        </w:rPr>
        <w:t xml:space="preserve">בדעת </w:t>
      </w:r>
      <w:r w:rsidRPr="00510D9A">
        <w:rPr>
          <w:rStyle w:val="af9"/>
          <w:rFonts w:hint="cs"/>
          <w:rtl/>
        </w:rPr>
        <w:t>רש"י והבה"ג</w:t>
      </w:r>
      <w:r>
        <w:rPr>
          <w:rFonts w:hint="cs"/>
          <w:rtl/>
        </w:rPr>
        <w:t xml:space="preserve">, דכל שמתעסק בדרך שחיטה בין במיעוט קמא ובין במיעוט בתרא פסול, ולכן אף בשחט ב' שלישים והגרים שליש פסול, וכן בשאר פסולים דשהייה חלדה ודריסה, [ועי' בדברי </w:t>
      </w:r>
      <w:r w:rsidRPr="00D8796B">
        <w:rPr>
          <w:rStyle w:val="af9"/>
          <w:rFonts w:hint="cs"/>
          <w:rtl/>
        </w:rPr>
        <w:t>הרשב"א</w:t>
      </w:r>
      <w:r>
        <w:rPr>
          <w:rFonts w:hint="cs"/>
          <w:rtl/>
        </w:rPr>
        <w:t xml:space="preserve"> </w:t>
      </w:r>
      <w:r w:rsidRPr="00D8796B">
        <w:rPr>
          <w:rStyle w:val="af7"/>
          <w:rFonts w:eastAsia="Guttman Hodes" w:hint="cs"/>
          <w:rtl/>
        </w:rPr>
        <w:t xml:space="preserve">(עי' אות </w:t>
      </w:r>
      <w:r w:rsidRPr="00D8796B">
        <w:rPr>
          <w:rStyle w:val="af7"/>
          <w:rFonts w:eastAsia="Guttman Hodes"/>
          <w:rtl/>
        </w:rPr>
        <w:fldChar w:fldCharType="begin"/>
      </w:r>
      <w:r w:rsidRPr="00D8796B">
        <w:rPr>
          <w:rStyle w:val="af7"/>
          <w:rFonts w:eastAsia="Guttman Hodes"/>
          <w:rtl/>
        </w:rPr>
        <w:instrText xml:space="preserve"> </w:instrText>
      </w:r>
      <w:r w:rsidRPr="00D8796B">
        <w:rPr>
          <w:rStyle w:val="af7"/>
          <w:rFonts w:eastAsia="Guttman Hodes" w:hint="cs"/>
        </w:rPr>
        <w:instrText>REF</w:instrText>
      </w:r>
      <w:r w:rsidRPr="00D8796B">
        <w:rPr>
          <w:rStyle w:val="af7"/>
          <w:rFonts w:eastAsia="Guttman Hodes" w:hint="cs"/>
          <w:rtl/>
        </w:rPr>
        <w:instrText xml:space="preserve"> _</w:instrText>
      </w:r>
      <w:r w:rsidRPr="00D8796B">
        <w:rPr>
          <w:rStyle w:val="af7"/>
          <w:rFonts w:eastAsia="Guttman Hodes" w:hint="cs"/>
        </w:rPr>
        <w:instrText>Ref533496873 \r \h</w:instrText>
      </w:r>
      <w:r w:rsidRPr="00D8796B">
        <w:rPr>
          <w:rStyle w:val="af7"/>
          <w:rFonts w:eastAsia="Guttman Hodes"/>
          <w:rtl/>
        </w:rPr>
        <w:instrText xml:space="preserve"> </w:instrText>
      </w:r>
      <w:r w:rsidRPr="00D8796B">
        <w:rPr>
          <w:rStyle w:val="af7"/>
          <w:rFonts w:eastAsia="Guttman Hodes"/>
          <w:rtl/>
        </w:rPr>
      </w:r>
      <w:r w:rsidRPr="00D8796B">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D8796B">
        <w:rPr>
          <w:rStyle w:val="af7"/>
          <w:rFonts w:eastAsia="Guttman Hodes"/>
          <w:rtl/>
        </w:rPr>
        <w:fldChar w:fldCharType="end"/>
      </w:r>
      <w:r>
        <w:rPr>
          <w:rFonts w:hint="cs"/>
          <w:rtl/>
        </w:rPr>
        <w:t xml:space="preserve"> דביאר בדעת </w:t>
      </w:r>
      <w:r w:rsidRPr="00D8796B">
        <w:rPr>
          <w:rStyle w:val="af9"/>
          <w:rFonts w:hint="cs"/>
          <w:rtl/>
        </w:rPr>
        <w:t>רש"י</w:t>
      </w:r>
      <w:r>
        <w:rPr>
          <w:rFonts w:hint="cs"/>
          <w:rtl/>
        </w:rPr>
        <w:t xml:space="preserve"> דהפסול במיעוט בתרא הוא מדרבנן]. </w:t>
      </w:r>
    </w:p>
    <w:p w14:paraId="3F5ACB6B" w14:textId="77777777" w:rsidR="00436F39" w:rsidRPr="00E80F12" w:rsidRDefault="00436F39" w:rsidP="006D6D32">
      <w:pPr>
        <w:pStyle w:val="a3"/>
      </w:pPr>
      <w:bookmarkStart w:id="14178" w:name="_Toc533506101"/>
      <w:bookmarkStart w:id="14179" w:name="_Toc533544309"/>
      <w:bookmarkStart w:id="14180" w:name="_Toc533544506"/>
      <w:bookmarkStart w:id="14181" w:name="_Toc19390847"/>
      <w:bookmarkStart w:id="14182" w:name="_Toc19394344"/>
      <w:r>
        <w:rPr>
          <w:rFonts w:hint="cs"/>
          <w:rtl/>
        </w:rPr>
        <w:t>דברי הרשב"א בתשו' דלדעת רש"י כשמתעסק במיעו"ב שלא בדרך שחיטה כעיקור אינו פוסל</w:t>
      </w:r>
      <w:bookmarkEnd w:id="14178"/>
      <w:bookmarkEnd w:id="14179"/>
      <w:bookmarkEnd w:id="14180"/>
      <w:bookmarkEnd w:id="14181"/>
      <w:bookmarkEnd w:id="14182"/>
      <w:r>
        <w:rPr>
          <w:rFonts w:hint="cs"/>
          <w:rtl/>
        </w:rPr>
        <w:t xml:space="preserve"> </w:t>
      </w:r>
    </w:p>
    <w:p w14:paraId="193A975F" w14:textId="77777777" w:rsidR="00436F39" w:rsidRDefault="00436F39" w:rsidP="00223668">
      <w:pPr>
        <w:pStyle w:val="a0"/>
        <w:rPr>
          <w:rtl/>
        </w:rPr>
      </w:pPr>
      <w:bookmarkStart w:id="14183" w:name="_Ref533523448"/>
      <w:r>
        <w:rPr>
          <w:rFonts w:hint="cs"/>
          <w:rtl/>
        </w:rPr>
        <w:t xml:space="preserve">אך כתב </w:t>
      </w:r>
      <w:r w:rsidRPr="00510D9A">
        <w:rPr>
          <w:rStyle w:val="af9"/>
          <w:rFonts w:hint="cs"/>
          <w:rtl/>
        </w:rPr>
        <w:t>הרשב"א בתשו'</w:t>
      </w:r>
      <w:r>
        <w:rPr>
          <w:rFonts w:hint="cs"/>
          <w:rtl/>
        </w:rPr>
        <w:t xml:space="preserve"> דבדבר שאינו מתעסק בו בדרך שחיטה כעיקור, שהוא מכה על </w:t>
      </w:r>
      <w:r w:rsidRPr="00896068">
        <w:rPr>
          <w:rFonts w:hint="cs"/>
          <w:rtl/>
        </w:rPr>
        <w:t xml:space="preserve">ראשה כדי שתמות, אף לדעת </w:t>
      </w:r>
      <w:r w:rsidRPr="00896068">
        <w:rPr>
          <w:rStyle w:val="af9"/>
          <w:rFonts w:hint="cs"/>
          <w:rtl/>
        </w:rPr>
        <w:t>רש"י והבה"ג</w:t>
      </w:r>
      <w:r w:rsidRPr="00896068">
        <w:rPr>
          <w:rFonts w:hint="cs"/>
          <w:rtl/>
        </w:rPr>
        <w:t xml:space="preserve"> לא שייך לפסול במיעוט בתרא</w:t>
      </w:r>
      <w:r>
        <w:rPr>
          <w:rFonts w:hint="cs"/>
          <w:rtl/>
        </w:rPr>
        <w:t xml:space="preserve">, ועי' בדברי  </w:t>
      </w:r>
      <w:r w:rsidRPr="0089291A">
        <w:rPr>
          <w:rStyle w:val="af9"/>
          <w:rFonts w:hint="cs"/>
          <w:rtl/>
        </w:rPr>
        <w:t>הריב"ם והרא"ש</w:t>
      </w:r>
      <w:r>
        <w:rPr>
          <w:rFonts w:hint="cs"/>
          <w:rtl/>
        </w:rPr>
        <w:t xml:space="preserve"> </w:t>
      </w:r>
      <w:r w:rsidRPr="0089291A">
        <w:rPr>
          <w:rStyle w:val="af7"/>
          <w:rFonts w:eastAsia="Guttman Hodes" w:hint="cs"/>
          <w:rtl/>
        </w:rPr>
        <w:t xml:space="preserve">(עי' אות </w:t>
      </w:r>
      <w:r w:rsidRPr="0089291A">
        <w:rPr>
          <w:rStyle w:val="af7"/>
          <w:rFonts w:eastAsia="Guttman Hodes"/>
          <w:rtl/>
        </w:rPr>
        <w:fldChar w:fldCharType="begin"/>
      </w:r>
      <w:r w:rsidRPr="0089291A">
        <w:rPr>
          <w:rStyle w:val="af7"/>
          <w:rFonts w:eastAsia="Guttman Hodes"/>
          <w:rtl/>
        </w:rPr>
        <w:instrText xml:space="preserve"> </w:instrText>
      </w:r>
      <w:r w:rsidRPr="0089291A">
        <w:rPr>
          <w:rStyle w:val="af7"/>
          <w:rFonts w:eastAsia="Guttman Hodes" w:hint="cs"/>
        </w:rPr>
        <w:instrText>REF</w:instrText>
      </w:r>
      <w:r w:rsidRPr="0089291A">
        <w:rPr>
          <w:rStyle w:val="af7"/>
          <w:rFonts w:eastAsia="Guttman Hodes" w:hint="cs"/>
          <w:rtl/>
        </w:rPr>
        <w:instrText xml:space="preserve"> _</w:instrText>
      </w:r>
      <w:r w:rsidRPr="0089291A">
        <w:rPr>
          <w:rStyle w:val="af7"/>
          <w:rFonts w:eastAsia="Guttman Hodes" w:hint="cs"/>
        </w:rPr>
        <w:instrText>Ref533410348 \r \h</w:instrText>
      </w:r>
      <w:r w:rsidRPr="0089291A">
        <w:rPr>
          <w:rStyle w:val="af7"/>
          <w:rFonts w:eastAsia="Guttman Hodes"/>
          <w:rtl/>
        </w:rPr>
        <w:instrText xml:space="preserve"> </w:instrText>
      </w:r>
      <w:r w:rsidRPr="0089291A">
        <w:rPr>
          <w:rStyle w:val="af7"/>
          <w:rFonts w:eastAsia="Guttman Hodes"/>
          <w:rtl/>
        </w:rPr>
      </w:r>
      <w:r w:rsidRPr="0089291A">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89291A">
        <w:rPr>
          <w:rStyle w:val="af7"/>
          <w:rFonts w:eastAsia="Guttman Hodes"/>
          <w:rtl/>
        </w:rPr>
        <w:fldChar w:fldCharType="end"/>
      </w:r>
      <w:r w:rsidRPr="00896068">
        <w:rPr>
          <w:rFonts w:hint="cs"/>
          <w:rtl/>
        </w:rPr>
        <w:t xml:space="preserve">. </w:t>
      </w:r>
      <w:r>
        <w:rPr>
          <w:rFonts w:hint="cs"/>
          <w:rtl/>
        </w:rPr>
        <w:t>[</w:t>
      </w:r>
      <w:r w:rsidRPr="00896068">
        <w:rPr>
          <w:rFonts w:hint="cs"/>
          <w:rtl/>
        </w:rPr>
        <w:t xml:space="preserve">וע"ע בדברי </w:t>
      </w:r>
      <w:r w:rsidRPr="00896068">
        <w:rPr>
          <w:rStyle w:val="af9"/>
          <w:rFonts w:hint="cs"/>
          <w:rtl/>
        </w:rPr>
        <w:t>הרשב"א בתשו'</w:t>
      </w:r>
      <w:r>
        <w:rPr>
          <w:rFonts w:hint="cs"/>
          <w:rtl/>
        </w:rPr>
        <w:t xml:space="preserve"> </w:t>
      </w:r>
      <w:r w:rsidRPr="00E80F12">
        <w:rPr>
          <w:rStyle w:val="af7"/>
          <w:rFonts w:eastAsia="Guttman Hodes" w:hint="cs"/>
          <w:rtl/>
        </w:rPr>
        <w:t xml:space="preserve">(עי' אות </w:t>
      </w:r>
      <w:r w:rsidRPr="00E80F12">
        <w:rPr>
          <w:rStyle w:val="af7"/>
          <w:rFonts w:eastAsia="Guttman Hodes"/>
          <w:rtl/>
        </w:rPr>
        <w:fldChar w:fldCharType="begin"/>
      </w:r>
      <w:r w:rsidRPr="00E80F12">
        <w:rPr>
          <w:rStyle w:val="af7"/>
          <w:rFonts w:eastAsia="Guttman Hodes"/>
          <w:rtl/>
        </w:rPr>
        <w:instrText xml:space="preserve"> </w:instrText>
      </w:r>
      <w:r w:rsidRPr="00E80F12">
        <w:rPr>
          <w:rStyle w:val="af7"/>
          <w:rFonts w:eastAsia="Guttman Hodes" w:hint="cs"/>
        </w:rPr>
        <w:instrText>REF</w:instrText>
      </w:r>
      <w:r w:rsidRPr="00E80F12">
        <w:rPr>
          <w:rStyle w:val="af7"/>
          <w:rFonts w:eastAsia="Guttman Hodes" w:hint="cs"/>
          <w:rtl/>
        </w:rPr>
        <w:instrText xml:space="preserve"> _</w:instrText>
      </w:r>
      <w:r w:rsidRPr="00E80F12">
        <w:rPr>
          <w:rStyle w:val="af7"/>
          <w:rFonts w:eastAsia="Guttman Hodes" w:hint="cs"/>
        </w:rPr>
        <w:instrText>Ref533414643 \r \h</w:instrText>
      </w:r>
      <w:r w:rsidRPr="00E80F12">
        <w:rPr>
          <w:rStyle w:val="af7"/>
          <w:rFonts w:eastAsia="Guttman Hodes"/>
          <w:rtl/>
        </w:rPr>
        <w:instrText xml:space="preserve"> </w:instrText>
      </w:r>
      <w:r w:rsidRPr="00E80F12">
        <w:rPr>
          <w:rStyle w:val="af7"/>
          <w:rFonts w:eastAsia="Guttman Hodes"/>
          <w:rtl/>
        </w:rPr>
      </w:r>
      <w:r w:rsidRPr="00E80F12">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E80F12">
        <w:rPr>
          <w:rStyle w:val="af7"/>
          <w:rFonts w:eastAsia="Guttman Hodes"/>
          <w:rtl/>
        </w:rPr>
        <w:fldChar w:fldCharType="end"/>
      </w:r>
      <w:r>
        <w:rPr>
          <w:rFonts w:hint="cs"/>
          <w:rtl/>
        </w:rPr>
        <w:t xml:space="preserve"> דפליג על </w:t>
      </w:r>
      <w:r w:rsidRPr="00896068">
        <w:rPr>
          <w:rStyle w:val="af9"/>
          <w:rFonts w:hint="cs"/>
          <w:rtl/>
        </w:rPr>
        <w:t>רש"י</w:t>
      </w:r>
      <w:r>
        <w:rPr>
          <w:rFonts w:hint="cs"/>
          <w:rtl/>
        </w:rPr>
        <w:t xml:space="preserve"> וס"ל דמיעוט בתרא אינו פוסל].</w:t>
      </w:r>
      <w:bookmarkEnd w:id="14183"/>
    </w:p>
    <w:p w14:paraId="77CDE6A2" w14:textId="77777777" w:rsidR="00436F39" w:rsidRDefault="00436F39" w:rsidP="006D6D32">
      <w:pPr>
        <w:pStyle w:val="afe"/>
        <w:rPr>
          <w:rtl/>
        </w:rPr>
      </w:pPr>
      <w:bookmarkStart w:id="14184" w:name="_Toc533413305"/>
      <w:bookmarkStart w:id="14185" w:name="_Toc533441195"/>
      <w:bookmarkStart w:id="14186" w:name="_Toc533441241"/>
      <w:bookmarkStart w:id="14187" w:name="_Toc533490161"/>
      <w:bookmarkStart w:id="14188" w:name="_Toc533506102"/>
      <w:bookmarkStart w:id="14189" w:name="_Toc533544310"/>
      <w:bookmarkStart w:id="14190" w:name="_Toc533544507"/>
      <w:bookmarkStart w:id="14191" w:name="_Toc19435923"/>
      <w:bookmarkStart w:id="14192" w:name="_Toc20081150"/>
      <w:r>
        <w:rPr>
          <w:rFonts w:hint="cs"/>
          <w:rtl/>
        </w:rPr>
        <w:t>דעת הסוברים דהספק במיעו"ב מדאו'</w:t>
      </w:r>
      <w:bookmarkEnd w:id="14184"/>
      <w:bookmarkEnd w:id="14185"/>
      <w:bookmarkEnd w:id="14186"/>
      <w:bookmarkEnd w:id="14187"/>
      <w:bookmarkEnd w:id="14188"/>
      <w:bookmarkEnd w:id="14189"/>
      <w:bookmarkEnd w:id="14190"/>
      <w:bookmarkEnd w:id="14191"/>
      <w:bookmarkEnd w:id="14192"/>
    </w:p>
    <w:p w14:paraId="3115CDDD" w14:textId="77777777" w:rsidR="00436F39" w:rsidRDefault="00436F39" w:rsidP="00BF39B2">
      <w:pPr>
        <w:pStyle w:val="1"/>
        <w:rPr>
          <w:rtl/>
        </w:rPr>
      </w:pPr>
      <w:bookmarkStart w:id="14193" w:name="_Toc533490162"/>
      <w:bookmarkStart w:id="14194" w:name="_Toc533506103"/>
      <w:bookmarkStart w:id="14195" w:name="_Toc533544311"/>
      <w:bookmarkStart w:id="14196" w:name="_Toc533544508"/>
      <w:bookmarkStart w:id="14197" w:name="_Toc19390848"/>
      <w:bookmarkStart w:id="14198" w:name="_Toc19394345"/>
      <w:r>
        <w:rPr>
          <w:rFonts w:hint="cs"/>
          <w:rtl/>
        </w:rPr>
        <w:t>דברי המחזור ויטרי דבתיקו דאו' אזלינן לחומרא</w:t>
      </w:r>
      <w:bookmarkEnd w:id="14193"/>
      <w:bookmarkEnd w:id="14194"/>
      <w:bookmarkEnd w:id="14195"/>
      <w:bookmarkEnd w:id="14196"/>
      <w:bookmarkEnd w:id="14197"/>
      <w:bookmarkEnd w:id="14198"/>
    </w:p>
    <w:p w14:paraId="2C875840" w14:textId="77777777" w:rsidR="00436F39" w:rsidRDefault="00436F39" w:rsidP="006D6D32">
      <w:pPr>
        <w:pStyle w:val="a3"/>
        <w:rPr>
          <w:rtl/>
        </w:rPr>
      </w:pPr>
      <w:bookmarkStart w:id="14199" w:name="_Toc533506104"/>
      <w:bookmarkStart w:id="14200" w:name="_Toc533544312"/>
      <w:bookmarkStart w:id="14201" w:name="_Toc533544509"/>
      <w:bookmarkStart w:id="14202" w:name="_Toc19390849"/>
      <w:bookmarkStart w:id="14203" w:name="_Toc19394346"/>
      <w:r>
        <w:rPr>
          <w:rFonts w:hint="cs"/>
          <w:rtl/>
        </w:rPr>
        <w:t>דברי המחזור ויטרי דהספק במיעו"ב הוא מדאו' ולכן צריך להחמיר וה"ה בעכו"ם ששחט במיעו"ב</w:t>
      </w:r>
      <w:bookmarkEnd w:id="14199"/>
      <w:bookmarkEnd w:id="14200"/>
      <w:bookmarkEnd w:id="14201"/>
      <w:bookmarkEnd w:id="14202"/>
      <w:bookmarkEnd w:id="14203"/>
    </w:p>
    <w:p w14:paraId="5F51553B" w14:textId="77777777" w:rsidR="00436F39" w:rsidRDefault="00436F39" w:rsidP="00223668">
      <w:pPr>
        <w:pStyle w:val="a0"/>
        <w:rPr>
          <w:rtl/>
        </w:rPr>
      </w:pPr>
      <w:bookmarkStart w:id="14204" w:name="_Ref533454183"/>
      <w:bookmarkStart w:id="14205" w:name="_Toc532810059"/>
      <w:bookmarkStart w:id="14206" w:name="_Toc533413308"/>
      <w:bookmarkStart w:id="14207" w:name="_Toc533441196"/>
      <w:bookmarkStart w:id="14208" w:name="_Toc533441242"/>
      <w:bookmarkStart w:id="14209" w:name="_Toc533413306"/>
      <w:r>
        <w:rPr>
          <w:rFonts w:hint="cs"/>
          <w:rtl/>
        </w:rPr>
        <w:t xml:space="preserve">כתב </w:t>
      </w:r>
      <w:r w:rsidRPr="00A20BDD">
        <w:rPr>
          <w:rStyle w:val="af9"/>
          <w:rFonts w:hint="cs"/>
          <w:rtl/>
        </w:rPr>
        <w:t xml:space="preserve">המחזור ויטרי </w:t>
      </w:r>
      <w:r w:rsidRPr="00446044">
        <w:rPr>
          <w:rStyle w:val="af7"/>
          <w:rFonts w:eastAsia="Guttman Hodes" w:hint="cs"/>
          <w:rtl/>
        </w:rPr>
        <w:t>(תקל"ד ד"ה אמרו חכמים</w:t>
      </w:r>
      <w:r>
        <w:rPr>
          <w:rStyle w:val="af1"/>
          <w:rtl/>
        </w:rPr>
        <w:footnoteReference w:id="90"/>
      </w:r>
      <w:r w:rsidRPr="00446044">
        <w:rPr>
          <w:rStyle w:val="af7"/>
          <w:rFonts w:eastAsia="Guttman Hodes" w:hint="cs"/>
          <w:rtl/>
        </w:rPr>
        <w:t xml:space="preserve">) </w:t>
      </w:r>
      <w:r>
        <w:rPr>
          <w:rFonts w:hint="cs"/>
          <w:rtl/>
        </w:rPr>
        <w:t xml:space="preserve">דשהייה במיעוט בתרא אסורה כיון דבתיקו בספק דאו' אזלינן לחומרא, ולכן אם השליך את העוף מידו והעוף שוהה למות לא יגמור את היסמן בשחיטה וכן לא יחליד במיעוט סימנים, כיון דבתיקו בספק דאו' אזלינן לחומרא, והוסיף </w:t>
      </w:r>
      <w:r w:rsidRPr="00A20BDD">
        <w:rPr>
          <w:rStyle w:val="af9"/>
          <w:rFonts w:hint="cs"/>
          <w:rtl/>
        </w:rPr>
        <w:t xml:space="preserve">המחזור ויטרי </w:t>
      </w:r>
      <w:r>
        <w:rPr>
          <w:rFonts w:hint="cs"/>
          <w:rtl/>
        </w:rPr>
        <w:t xml:space="preserve">דלפי"ז ישראל ששחט את רוב הסימנים, ובא עכו"ם ושחט את המיעוט, דנראה להחמיר, אך כתב דאין כח כ"כ להביא ראיה, ועי' בדברי </w:t>
      </w:r>
      <w:r w:rsidRPr="00A20BDD">
        <w:rPr>
          <w:rStyle w:val="af9"/>
          <w:rFonts w:hint="cs"/>
          <w:rtl/>
        </w:rPr>
        <w:t>המאירי</w:t>
      </w:r>
      <w:r>
        <w:rPr>
          <w:rFonts w:hint="cs"/>
          <w:rtl/>
        </w:rPr>
        <w:t xml:space="preserve"> </w:t>
      </w:r>
      <w:r w:rsidRPr="003F48C6">
        <w:rPr>
          <w:rStyle w:val="af7"/>
          <w:rFonts w:eastAsia="Guttman Hodes" w:hint="cs"/>
          <w:rtl/>
        </w:rPr>
        <w:t xml:space="preserve">(עי' אות </w:t>
      </w:r>
      <w:r w:rsidRPr="003F48C6">
        <w:rPr>
          <w:rStyle w:val="af7"/>
          <w:rFonts w:eastAsia="Guttman Hodes"/>
          <w:rtl/>
        </w:rPr>
        <w:fldChar w:fldCharType="begin"/>
      </w:r>
      <w:r w:rsidRPr="003F48C6">
        <w:rPr>
          <w:rStyle w:val="af7"/>
          <w:rFonts w:eastAsia="Guttman Hodes"/>
          <w:rtl/>
        </w:rPr>
        <w:instrText xml:space="preserve"> </w:instrText>
      </w:r>
      <w:r w:rsidRPr="003F48C6">
        <w:rPr>
          <w:rStyle w:val="af7"/>
          <w:rFonts w:eastAsia="Guttman Hodes" w:hint="cs"/>
        </w:rPr>
        <w:instrText>REF</w:instrText>
      </w:r>
      <w:r w:rsidRPr="003F48C6">
        <w:rPr>
          <w:rStyle w:val="af7"/>
          <w:rFonts w:eastAsia="Guttman Hodes" w:hint="cs"/>
          <w:rtl/>
        </w:rPr>
        <w:instrText xml:space="preserve"> _</w:instrText>
      </w:r>
      <w:r w:rsidRPr="003F48C6">
        <w:rPr>
          <w:rStyle w:val="af7"/>
          <w:rFonts w:eastAsia="Guttman Hodes" w:hint="cs"/>
        </w:rPr>
        <w:instrText>Ref533454144 \r \h</w:instrText>
      </w:r>
      <w:r w:rsidRPr="003F48C6">
        <w:rPr>
          <w:rStyle w:val="af7"/>
          <w:rFonts w:eastAsia="Guttman Hodes"/>
          <w:rtl/>
        </w:rPr>
        <w:instrText xml:space="preserve"> </w:instrText>
      </w:r>
      <w:r w:rsidRPr="003F48C6">
        <w:rPr>
          <w:rStyle w:val="af7"/>
          <w:rFonts w:eastAsia="Guttman Hodes"/>
          <w:rtl/>
        </w:rPr>
      </w:r>
      <w:r w:rsidRPr="003F48C6">
        <w:rPr>
          <w:rStyle w:val="af7"/>
          <w:rFonts w:eastAsia="Guttman Hodes"/>
          <w:rtl/>
        </w:rPr>
        <w:fldChar w:fldCharType="separate"/>
      </w:r>
      <w:r w:rsidR="00345400">
        <w:rPr>
          <w:rStyle w:val="af7"/>
          <w:rFonts w:eastAsia="Guttman Hodes"/>
          <w:cs/>
        </w:rPr>
        <w:t>‎</w:t>
      </w:r>
      <w:r w:rsidR="00345400">
        <w:rPr>
          <w:rStyle w:val="af7"/>
          <w:rFonts w:eastAsia="Guttman Hodes"/>
          <w:rtl/>
        </w:rPr>
        <w:t>נד)</w:t>
      </w:r>
      <w:r w:rsidRPr="003F48C6">
        <w:rPr>
          <w:rStyle w:val="af7"/>
          <w:rFonts w:eastAsia="Guttman Hodes"/>
          <w:rtl/>
        </w:rPr>
        <w:fldChar w:fldCharType="end"/>
      </w:r>
      <w:r>
        <w:rPr>
          <w:rFonts w:hint="cs"/>
          <w:rtl/>
        </w:rPr>
        <w:t xml:space="preserve"> </w:t>
      </w:r>
      <w:r w:rsidRPr="00A20BDD">
        <w:rPr>
          <w:rStyle w:val="af9"/>
          <w:rFonts w:hint="cs"/>
          <w:rtl/>
        </w:rPr>
        <w:t xml:space="preserve">והדרישה </w:t>
      </w:r>
      <w:r w:rsidRPr="003F48C6">
        <w:rPr>
          <w:rStyle w:val="af7"/>
          <w:rFonts w:eastAsia="Guttman Hodes" w:hint="cs"/>
          <w:rtl/>
        </w:rPr>
        <w:t xml:space="preserve">(עי' אות </w:t>
      </w:r>
      <w:r w:rsidRPr="003F48C6">
        <w:rPr>
          <w:rStyle w:val="af7"/>
          <w:rFonts w:eastAsia="Guttman Hodes"/>
          <w:rtl/>
        </w:rPr>
        <w:fldChar w:fldCharType="begin"/>
      </w:r>
      <w:r w:rsidRPr="003F48C6">
        <w:rPr>
          <w:rStyle w:val="af7"/>
          <w:rFonts w:eastAsia="Guttman Hodes"/>
          <w:rtl/>
        </w:rPr>
        <w:instrText xml:space="preserve"> </w:instrText>
      </w:r>
      <w:r w:rsidRPr="003F48C6">
        <w:rPr>
          <w:rStyle w:val="af7"/>
          <w:rFonts w:eastAsia="Guttman Hodes" w:hint="cs"/>
        </w:rPr>
        <w:instrText>REF</w:instrText>
      </w:r>
      <w:r w:rsidRPr="003F48C6">
        <w:rPr>
          <w:rStyle w:val="af7"/>
          <w:rFonts w:eastAsia="Guttman Hodes" w:hint="cs"/>
          <w:rtl/>
        </w:rPr>
        <w:instrText xml:space="preserve"> _</w:instrText>
      </w:r>
      <w:r w:rsidRPr="003F48C6">
        <w:rPr>
          <w:rStyle w:val="af7"/>
          <w:rFonts w:eastAsia="Guttman Hodes" w:hint="cs"/>
        </w:rPr>
        <w:instrText>Ref533454151 \r \h</w:instrText>
      </w:r>
      <w:r w:rsidRPr="003F48C6">
        <w:rPr>
          <w:rStyle w:val="af7"/>
          <w:rFonts w:eastAsia="Guttman Hodes"/>
          <w:rtl/>
        </w:rPr>
        <w:instrText xml:space="preserve"> </w:instrText>
      </w:r>
      <w:r w:rsidRPr="003F48C6">
        <w:rPr>
          <w:rStyle w:val="af7"/>
          <w:rFonts w:eastAsia="Guttman Hodes"/>
          <w:rtl/>
        </w:rPr>
      </w:r>
      <w:r w:rsidRPr="003F48C6">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3F48C6">
        <w:rPr>
          <w:rStyle w:val="af7"/>
          <w:rFonts w:eastAsia="Guttman Hodes"/>
          <w:rtl/>
        </w:rPr>
        <w:fldChar w:fldCharType="end"/>
      </w:r>
      <w:r>
        <w:rPr>
          <w:rFonts w:hint="cs"/>
          <w:rtl/>
        </w:rPr>
        <w:t>.</w:t>
      </w:r>
      <w:bookmarkStart w:id="14210" w:name="_Toc533490163"/>
      <w:bookmarkEnd w:id="14204"/>
    </w:p>
    <w:p w14:paraId="4E3FAB4C" w14:textId="77777777" w:rsidR="00436F39" w:rsidRDefault="00436F39" w:rsidP="006D6D32">
      <w:pPr>
        <w:pStyle w:val="a3"/>
        <w:rPr>
          <w:rtl/>
        </w:rPr>
      </w:pPr>
    </w:p>
    <w:p w14:paraId="7B9B6DE7" w14:textId="77777777" w:rsidR="00436F39" w:rsidRDefault="00436F39" w:rsidP="00223668">
      <w:pPr>
        <w:pStyle w:val="a0"/>
        <w:numPr>
          <w:ilvl w:val="0"/>
          <w:numId w:val="0"/>
        </w:numPr>
        <w:rPr>
          <w:rtl/>
        </w:rPr>
      </w:pPr>
    </w:p>
    <w:p w14:paraId="14D43B52" w14:textId="77777777" w:rsidR="00436F39" w:rsidRDefault="00436F39" w:rsidP="00BF39B2">
      <w:pPr>
        <w:pStyle w:val="1"/>
        <w:rPr>
          <w:rtl/>
        </w:rPr>
      </w:pPr>
      <w:bookmarkStart w:id="14211" w:name="_Toc533506105"/>
      <w:bookmarkStart w:id="14212" w:name="_Toc533544313"/>
      <w:bookmarkStart w:id="14213" w:name="_Toc533544510"/>
      <w:bookmarkStart w:id="14214" w:name="_Toc19390850"/>
      <w:bookmarkStart w:id="14215" w:name="_Toc19394347"/>
      <w:r>
        <w:rPr>
          <w:rFonts w:hint="cs"/>
          <w:rtl/>
        </w:rPr>
        <w:t>ביאור רבינו ירוחם ברש"י</w:t>
      </w:r>
      <w:bookmarkEnd w:id="14205"/>
      <w:bookmarkEnd w:id="14206"/>
      <w:r>
        <w:rPr>
          <w:rFonts w:hint="cs"/>
          <w:rtl/>
        </w:rPr>
        <w:t xml:space="preserve"> דגילה בדעתו שהמיעוט חשוב כרוב</w:t>
      </w:r>
      <w:bookmarkEnd w:id="14207"/>
      <w:bookmarkEnd w:id="14208"/>
      <w:bookmarkEnd w:id="14210"/>
      <w:bookmarkEnd w:id="14211"/>
      <w:bookmarkEnd w:id="14212"/>
      <w:bookmarkEnd w:id="14213"/>
      <w:bookmarkEnd w:id="14214"/>
      <w:bookmarkEnd w:id="14215"/>
    </w:p>
    <w:p w14:paraId="2CF46AC5" w14:textId="77777777" w:rsidR="00436F39" w:rsidRDefault="00436F39" w:rsidP="006D6D32">
      <w:pPr>
        <w:pStyle w:val="a3"/>
        <w:rPr>
          <w:rtl/>
        </w:rPr>
      </w:pPr>
      <w:bookmarkStart w:id="14216" w:name="_Toc533506106"/>
      <w:bookmarkStart w:id="14217" w:name="_Toc533544314"/>
      <w:bookmarkStart w:id="14218" w:name="_Toc533544511"/>
      <w:bookmarkStart w:id="14219" w:name="_Toc19390851"/>
      <w:bookmarkStart w:id="14220" w:name="_Toc19394348"/>
      <w:r>
        <w:rPr>
          <w:rFonts w:hint="cs"/>
          <w:rtl/>
        </w:rPr>
        <w:t>ביאור רבינו ירוחם דהצד דשהייה במיעו"ב אינה פוסלת דהוכשרה ברוב והמיעוט הוא בשר בעלמא</w:t>
      </w:r>
      <w:bookmarkEnd w:id="14216"/>
      <w:bookmarkEnd w:id="14217"/>
      <w:bookmarkEnd w:id="14218"/>
      <w:bookmarkEnd w:id="14219"/>
      <w:bookmarkEnd w:id="14220"/>
    </w:p>
    <w:p w14:paraId="37B0C0F6" w14:textId="77777777" w:rsidR="00436F39" w:rsidRDefault="00436F39" w:rsidP="00223668">
      <w:pPr>
        <w:pStyle w:val="a0"/>
        <w:rPr>
          <w:rtl/>
        </w:rPr>
      </w:pPr>
      <w:bookmarkStart w:id="14221" w:name="_Ref532758822"/>
      <w:bookmarkStart w:id="14222" w:name="_Ref533497299"/>
      <w:r>
        <w:rPr>
          <w:rFonts w:hint="cs"/>
          <w:rtl/>
        </w:rPr>
        <w:t xml:space="preserve">כתב </w:t>
      </w:r>
      <w:r w:rsidRPr="00282AF2">
        <w:rPr>
          <w:rStyle w:val="af9"/>
          <w:rFonts w:hint="cs"/>
          <w:rtl/>
        </w:rPr>
        <w:t>רבינו ירוחם</w:t>
      </w:r>
      <w:r>
        <w:rPr>
          <w:rFonts w:hint="cs"/>
          <w:rtl/>
        </w:rPr>
        <w:t xml:space="preserve"> </w:t>
      </w:r>
      <w:r w:rsidRPr="00B128D1">
        <w:rPr>
          <w:rStyle w:val="af7"/>
          <w:rFonts w:eastAsia="Guttman Hodes" w:hint="cs"/>
          <w:rtl/>
        </w:rPr>
        <w:t>(נתי' ט"ו ח"ג דף קיט:</w:t>
      </w:r>
      <w:r>
        <w:rPr>
          <w:rStyle w:val="af1"/>
          <w:rtl/>
        </w:rPr>
        <w:footnoteReference w:id="91"/>
      </w:r>
      <w:r w:rsidRPr="00B128D1">
        <w:rPr>
          <w:rStyle w:val="af7"/>
          <w:rFonts w:eastAsia="Guttman Hodes" w:hint="cs"/>
          <w:rtl/>
        </w:rPr>
        <w:t>)</w:t>
      </w:r>
      <w:r>
        <w:rPr>
          <w:rFonts w:hint="cs"/>
          <w:rtl/>
        </w:rPr>
        <w:t xml:space="preserve"> דבספק שהייה במיעוט סימנים, כיון שהניחה הגמ' בתיקו, הוי ספק נבילה.</w:t>
      </w:r>
      <w:bookmarkEnd w:id="14221"/>
      <w:r>
        <w:rPr>
          <w:rFonts w:hint="cs"/>
          <w:rtl/>
        </w:rPr>
        <w:t xml:space="preserve"> </w:t>
      </w:r>
      <w:bookmarkStart w:id="14223" w:name="_Ref533350115"/>
      <w:r>
        <w:rPr>
          <w:rFonts w:hint="cs"/>
          <w:rtl/>
        </w:rPr>
        <w:t xml:space="preserve">ובדברי </w:t>
      </w:r>
      <w:r w:rsidRPr="00282AF2">
        <w:rPr>
          <w:rStyle w:val="af9"/>
          <w:rFonts w:hint="cs"/>
          <w:rtl/>
        </w:rPr>
        <w:t>רש"י והבה"ג</w:t>
      </w:r>
      <w:r>
        <w:rPr>
          <w:rFonts w:hint="cs"/>
          <w:rtl/>
        </w:rPr>
        <w:t xml:space="preserve"> ביאר </w:t>
      </w:r>
      <w:r w:rsidRPr="00282AF2">
        <w:rPr>
          <w:rStyle w:val="af9"/>
          <w:rFonts w:hint="cs"/>
          <w:rtl/>
        </w:rPr>
        <w:t>רבינו ירוחם</w:t>
      </w:r>
      <w:r>
        <w:rPr>
          <w:rFonts w:hint="cs"/>
          <w:rtl/>
        </w:rPr>
        <w:t xml:space="preserve"> דהספק בשהייה במיעוט בתרא, הוא האם כיון שכבר שחט את רוב הסימן</w:t>
      </w:r>
      <w:r w:rsidRPr="00907F41">
        <w:rPr>
          <w:rFonts w:hint="cs"/>
          <w:rtl/>
        </w:rPr>
        <w:t xml:space="preserve"> </w:t>
      </w:r>
      <w:r>
        <w:rPr>
          <w:rFonts w:hint="cs"/>
          <w:rtl/>
        </w:rPr>
        <w:t>והוכשרה הבהמה, ממילא מה שממשיך לשחוט את המיעוט בתרא, הוא כמחתך בשר בעלמא והשהייה אינה פוסלת.</w:t>
      </w:r>
      <w:bookmarkEnd w:id="14222"/>
    </w:p>
    <w:p w14:paraId="12E77C74" w14:textId="77777777" w:rsidR="00436F39" w:rsidRPr="00901A0F" w:rsidRDefault="00436F39" w:rsidP="006D6D32">
      <w:pPr>
        <w:pStyle w:val="a3"/>
      </w:pPr>
      <w:bookmarkStart w:id="14224" w:name="_Toc533506107"/>
      <w:bookmarkStart w:id="14225" w:name="_Toc533544315"/>
      <w:bookmarkStart w:id="14226" w:name="_Toc533544512"/>
      <w:bookmarkStart w:id="14227" w:name="_Toc19390852"/>
      <w:bookmarkStart w:id="14228" w:name="_Toc19394349"/>
      <w:r>
        <w:rPr>
          <w:rFonts w:hint="cs"/>
          <w:rtl/>
        </w:rPr>
        <w:t>ביאור רבינו ירוחם דהצד דשהייה פוסלת במיעו"ב כיון שגילה בדעתו דהמיעוט חשוב כמו הרוב</w:t>
      </w:r>
      <w:bookmarkEnd w:id="14224"/>
      <w:bookmarkEnd w:id="14225"/>
      <w:bookmarkEnd w:id="14226"/>
      <w:bookmarkEnd w:id="14227"/>
      <w:bookmarkEnd w:id="14228"/>
    </w:p>
    <w:p w14:paraId="559E34DF" w14:textId="77777777" w:rsidR="00436F39" w:rsidRDefault="00436F39" w:rsidP="00223668">
      <w:pPr>
        <w:pStyle w:val="a0"/>
        <w:rPr>
          <w:rtl/>
        </w:rPr>
      </w:pPr>
      <w:r>
        <w:rPr>
          <w:rFonts w:hint="cs"/>
          <w:rtl/>
        </w:rPr>
        <w:t xml:space="preserve">ובצד דשהייה במיעוט בתרא פוסלת, ביאר </w:t>
      </w:r>
      <w:r w:rsidRPr="00B128D1">
        <w:rPr>
          <w:rStyle w:val="af9"/>
          <w:rFonts w:hint="cs"/>
          <w:rtl/>
        </w:rPr>
        <w:t>רבינו ירוחם</w:t>
      </w:r>
      <w:r>
        <w:rPr>
          <w:rFonts w:hint="cs"/>
          <w:rtl/>
        </w:rPr>
        <w:t xml:space="preserve"> דכיון שאחר ששחט את רוב הסימן ושהה, חזר לשחוט את המיעוט שנשאר, א"כ הוא גילה בדעתו שהמיעוט בתרא חשוב אצלו כמו הרוב שכבר שחט, ולדעתו השהייה במיעוט בתרא היא בעיקר השחיטה, ולכן היא פוסלת, וכיון שנשארה הגמ' בתיקו, צריך להחמיר כדין כל ספק איסור.</w:t>
      </w:r>
      <w:bookmarkEnd w:id="14223"/>
    </w:p>
    <w:p w14:paraId="315F3AD6" w14:textId="77777777" w:rsidR="00436F39" w:rsidRDefault="00436F39" w:rsidP="006D6D32">
      <w:pPr>
        <w:pStyle w:val="a3"/>
        <w:rPr>
          <w:rtl/>
        </w:rPr>
      </w:pPr>
      <w:bookmarkStart w:id="14229" w:name="_Toc533506108"/>
      <w:bookmarkStart w:id="14230" w:name="_Toc533544316"/>
      <w:bookmarkStart w:id="14231" w:name="_Toc533544513"/>
      <w:bookmarkStart w:id="14232" w:name="_Toc19390853"/>
      <w:bookmarkStart w:id="14233" w:name="_Toc19394350"/>
      <w:r>
        <w:rPr>
          <w:rFonts w:hint="cs"/>
          <w:rtl/>
        </w:rPr>
        <w:t>דברי רבינו ירוחם דאף בחלדה והגרמה במיעו"ב כיון שהחשיב את המיעו"ב השחיטה אסורה מספק</w:t>
      </w:r>
      <w:bookmarkEnd w:id="14229"/>
      <w:bookmarkEnd w:id="14230"/>
      <w:bookmarkEnd w:id="14231"/>
      <w:bookmarkEnd w:id="14232"/>
      <w:bookmarkEnd w:id="14233"/>
    </w:p>
    <w:p w14:paraId="2D60E5D5" w14:textId="77777777" w:rsidR="00436F39" w:rsidRDefault="00436F39" w:rsidP="00223668">
      <w:pPr>
        <w:pStyle w:val="a0"/>
        <w:rPr>
          <w:rtl/>
        </w:rPr>
      </w:pPr>
      <w:r>
        <w:rPr>
          <w:rFonts w:hint="cs"/>
          <w:rtl/>
        </w:rPr>
        <w:t>וכתב</w:t>
      </w:r>
      <w:r w:rsidRPr="00901A0F">
        <w:rPr>
          <w:rStyle w:val="af9"/>
          <w:rFonts w:hint="cs"/>
          <w:rtl/>
        </w:rPr>
        <w:t xml:space="preserve"> רבינו ירוחם </w:t>
      </w:r>
      <w:r>
        <w:rPr>
          <w:rFonts w:hint="cs"/>
          <w:rtl/>
        </w:rPr>
        <w:t>דזהו הביאור בספק בחלדה במיעוט בתרא</w:t>
      </w:r>
      <w:r w:rsidRPr="00B65C09">
        <w:rPr>
          <w:rFonts w:hint="cs"/>
          <w:rtl/>
        </w:rPr>
        <w:t xml:space="preserve"> </w:t>
      </w:r>
      <w:r>
        <w:rPr>
          <w:rFonts w:hint="cs"/>
          <w:rtl/>
        </w:rPr>
        <w:t xml:space="preserve">לדעת </w:t>
      </w:r>
      <w:r w:rsidRPr="00282AF2">
        <w:rPr>
          <w:rStyle w:val="af9"/>
          <w:rFonts w:hint="cs"/>
          <w:rtl/>
        </w:rPr>
        <w:t>רש"י והבה"ג</w:t>
      </w:r>
      <w:r>
        <w:rPr>
          <w:rFonts w:hint="cs"/>
          <w:rtl/>
        </w:rPr>
        <w:t>, וה"ה בהגרמה במיעוט בתרא</w:t>
      </w:r>
      <w:r w:rsidRPr="00B65C09">
        <w:rPr>
          <w:rFonts w:hint="cs"/>
          <w:rtl/>
        </w:rPr>
        <w:t xml:space="preserve"> </w:t>
      </w:r>
      <w:r>
        <w:rPr>
          <w:rFonts w:hint="cs"/>
          <w:rtl/>
        </w:rPr>
        <w:t>ובכל הפסולים בשחיטה, דכיון שגילה בדעתו שמחשיב את המיעוט בתרא, השחיטה אסורה מספק, וצריך להחמיר.</w:t>
      </w:r>
    </w:p>
    <w:p w14:paraId="795DD7CB" w14:textId="77777777" w:rsidR="00436F39" w:rsidRPr="00D66F4C" w:rsidRDefault="00436F39" w:rsidP="006D6D32">
      <w:pPr>
        <w:pStyle w:val="a3"/>
      </w:pPr>
      <w:bookmarkStart w:id="14234" w:name="_Toc533506109"/>
      <w:bookmarkStart w:id="14235" w:name="_Toc533544317"/>
      <w:bookmarkStart w:id="14236" w:name="_Toc533544514"/>
      <w:bookmarkStart w:id="14237" w:name="_Toc19390854"/>
      <w:bookmarkStart w:id="14238" w:name="_Toc19394351"/>
      <w:r>
        <w:rPr>
          <w:rFonts w:hint="cs"/>
          <w:rtl/>
        </w:rPr>
        <w:t>דברי התבו"ש דמדכתב רבינו ירוחם דהיא ספק נבילה מבואר דהספק הוא מדאו'</w:t>
      </w:r>
      <w:bookmarkEnd w:id="14234"/>
      <w:bookmarkEnd w:id="14235"/>
      <w:bookmarkEnd w:id="14236"/>
      <w:bookmarkEnd w:id="14237"/>
      <w:bookmarkEnd w:id="14238"/>
    </w:p>
    <w:p w14:paraId="202C8886" w14:textId="77777777" w:rsidR="00436F39" w:rsidRDefault="00436F39" w:rsidP="00223668">
      <w:pPr>
        <w:pStyle w:val="a0"/>
        <w:rPr>
          <w:rtl/>
        </w:rPr>
      </w:pPr>
      <w:r>
        <w:rPr>
          <w:rFonts w:hint="cs"/>
          <w:rtl/>
        </w:rPr>
        <w:t xml:space="preserve">וכתב </w:t>
      </w:r>
      <w:r w:rsidRPr="004A344C">
        <w:rPr>
          <w:rStyle w:val="af9"/>
          <w:rFonts w:hint="cs"/>
          <w:rtl/>
        </w:rPr>
        <w:t>התבו"ש</w:t>
      </w:r>
      <w:r>
        <w:rPr>
          <w:rFonts w:hint="cs"/>
          <w:rtl/>
        </w:rPr>
        <w:t xml:space="preserve"> </w:t>
      </w:r>
      <w:r w:rsidRPr="00B128D1">
        <w:rPr>
          <w:rStyle w:val="af7"/>
          <w:rFonts w:eastAsia="Guttman Hodes" w:hint="cs"/>
          <w:rtl/>
        </w:rPr>
        <w:t>(סי' כ"ג סק"ט)</w:t>
      </w:r>
      <w:r>
        <w:rPr>
          <w:rFonts w:hint="cs"/>
          <w:rtl/>
        </w:rPr>
        <w:t xml:space="preserve"> דמדכתב </w:t>
      </w:r>
      <w:r w:rsidRPr="004A344C">
        <w:rPr>
          <w:rStyle w:val="af9"/>
          <w:rFonts w:hint="cs"/>
          <w:rtl/>
        </w:rPr>
        <w:t>רבינו ירוחם</w:t>
      </w:r>
      <w:r>
        <w:rPr>
          <w:rFonts w:hint="cs"/>
          <w:rtl/>
        </w:rPr>
        <w:t xml:space="preserve"> </w:t>
      </w:r>
      <w:r w:rsidRPr="00B446E6">
        <w:rPr>
          <w:rStyle w:val="af7"/>
          <w:rFonts w:eastAsia="Guttman Hodes" w:hint="cs"/>
          <w:rtl/>
        </w:rPr>
        <w:t xml:space="preserve">(עי' אות </w:t>
      </w:r>
      <w:r w:rsidRPr="00B446E6">
        <w:rPr>
          <w:rStyle w:val="af7"/>
          <w:rFonts w:eastAsia="Guttman Hodes"/>
          <w:rtl/>
        </w:rPr>
        <w:fldChar w:fldCharType="begin"/>
      </w:r>
      <w:r w:rsidRPr="00B446E6">
        <w:rPr>
          <w:rStyle w:val="af7"/>
          <w:rFonts w:eastAsia="Guttman Hodes"/>
          <w:rtl/>
        </w:rPr>
        <w:instrText xml:space="preserve"> </w:instrText>
      </w:r>
      <w:r w:rsidRPr="00B446E6">
        <w:rPr>
          <w:rStyle w:val="af7"/>
          <w:rFonts w:eastAsia="Guttman Hodes" w:hint="cs"/>
        </w:rPr>
        <w:instrText>REF</w:instrText>
      </w:r>
      <w:r w:rsidRPr="00B446E6">
        <w:rPr>
          <w:rStyle w:val="af7"/>
          <w:rFonts w:eastAsia="Guttman Hodes" w:hint="cs"/>
          <w:rtl/>
        </w:rPr>
        <w:instrText xml:space="preserve"> _</w:instrText>
      </w:r>
      <w:r w:rsidRPr="00B446E6">
        <w:rPr>
          <w:rStyle w:val="af7"/>
          <w:rFonts w:eastAsia="Guttman Hodes" w:hint="cs"/>
        </w:rPr>
        <w:instrText>Ref533497299 \r \h</w:instrText>
      </w:r>
      <w:r w:rsidRPr="00B446E6">
        <w:rPr>
          <w:rStyle w:val="af7"/>
          <w:rFonts w:eastAsia="Guttman Hodes"/>
          <w:rtl/>
        </w:rPr>
        <w:instrText xml:space="preserve"> </w:instrText>
      </w:r>
      <w:r w:rsidRPr="00B446E6">
        <w:rPr>
          <w:rStyle w:val="af7"/>
          <w:rFonts w:eastAsia="Guttman Hodes"/>
          <w:rtl/>
        </w:rPr>
      </w:r>
      <w:r w:rsidRPr="00B446E6">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B446E6">
        <w:rPr>
          <w:rStyle w:val="af7"/>
          <w:rFonts w:eastAsia="Guttman Hodes"/>
          <w:rtl/>
        </w:rPr>
        <w:fldChar w:fldCharType="end"/>
      </w:r>
      <w:r>
        <w:rPr>
          <w:rFonts w:hint="cs"/>
          <w:rtl/>
        </w:rPr>
        <w:t xml:space="preserve"> דבשהייה במיעוט בתרא היא ספק נבילה, מבואר דהספק הוא מדאו', [לדעת </w:t>
      </w:r>
      <w:r w:rsidRPr="004A344C">
        <w:rPr>
          <w:rStyle w:val="af9"/>
          <w:rFonts w:hint="cs"/>
          <w:rtl/>
        </w:rPr>
        <w:t>רש"י</w:t>
      </w:r>
      <w:r>
        <w:rPr>
          <w:rFonts w:hint="cs"/>
          <w:rtl/>
        </w:rPr>
        <w:t>].</w:t>
      </w:r>
    </w:p>
    <w:p w14:paraId="677E473B" w14:textId="77777777" w:rsidR="00436F39" w:rsidRDefault="00436F39" w:rsidP="006D6D32">
      <w:pPr>
        <w:pStyle w:val="a3"/>
        <w:rPr>
          <w:rtl/>
        </w:rPr>
      </w:pPr>
      <w:bookmarkStart w:id="14239" w:name="_Toc533506110"/>
      <w:bookmarkStart w:id="14240" w:name="_Toc533544318"/>
      <w:bookmarkStart w:id="14241" w:name="_Toc533544515"/>
      <w:bookmarkStart w:id="14242" w:name="_Toc19390855"/>
      <w:bookmarkStart w:id="14243" w:name="_Toc19394352"/>
      <w:bookmarkStart w:id="14244" w:name="_Toc533441197"/>
      <w:bookmarkStart w:id="14245" w:name="_Toc533441243"/>
      <w:bookmarkStart w:id="14246" w:name="_Toc533490164"/>
      <w:r>
        <w:rPr>
          <w:rFonts w:hint="cs"/>
          <w:rtl/>
        </w:rPr>
        <w:t>ביאור הביה"ל ברבינו ירוחם דמדאו לכתחילה צריך לשחוט את כל הסימן ולכן הוי שחיטה אחת</w:t>
      </w:r>
      <w:bookmarkEnd w:id="14239"/>
      <w:bookmarkEnd w:id="14240"/>
      <w:bookmarkEnd w:id="14241"/>
      <w:bookmarkEnd w:id="14242"/>
      <w:bookmarkEnd w:id="14243"/>
    </w:p>
    <w:p w14:paraId="727F985E" w14:textId="77777777" w:rsidR="00436F39" w:rsidRDefault="00436F39" w:rsidP="00223668">
      <w:pPr>
        <w:pStyle w:val="a0"/>
        <w:rPr>
          <w:rtl/>
        </w:rPr>
      </w:pPr>
      <w:r>
        <w:rPr>
          <w:rFonts w:hint="cs"/>
          <w:rtl/>
        </w:rPr>
        <w:t xml:space="preserve">וביאר </w:t>
      </w:r>
      <w:r w:rsidRPr="000861DA">
        <w:rPr>
          <w:rStyle w:val="af9"/>
          <w:rFonts w:hint="cs"/>
          <w:rtl/>
        </w:rPr>
        <w:t xml:space="preserve">הביה"ל </w:t>
      </w:r>
      <w:r w:rsidRPr="000861DA">
        <w:rPr>
          <w:rStyle w:val="af7"/>
          <w:rFonts w:eastAsia="Guttman Hodes" w:hint="cs"/>
          <w:rtl/>
        </w:rPr>
        <w:t>(ח"ב סי' י"א אות ה')</w:t>
      </w:r>
      <w:r>
        <w:rPr>
          <w:rFonts w:hint="cs"/>
          <w:rtl/>
        </w:rPr>
        <w:t xml:space="preserve"> דמבואר מדברי </w:t>
      </w:r>
      <w:r w:rsidRPr="000861DA">
        <w:rPr>
          <w:rStyle w:val="af9"/>
          <w:rFonts w:hint="cs"/>
          <w:rtl/>
        </w:rPr>
        <w:t xml:space="preserve">רש"י לקמן </w:t>
      </w:r>
      <w:r w:rsidRPr="000861DA">
        <w:rPr>
          <w:rStyle w:val="af7"/>
          <w:rFonts w:eastAsia="Guttman Hodes" w:hint="cs"/>
          <w:rtl/>
        </w:rPr>
        <w:t>(כא: ד"ה ואינו)</w:t>
      </w:r>
      <w:r>
        <w:rPr>
          <w:rFonts w:hint="cs"/>
          <w:rtl/>
        </w:rPr>
        <w:t xml:space="preserve"> דס"ל דמדאו' לכתחילה צריך לשחוט את כל הסימנים, ולכן מסתפקת הגמ' דכל ששחט את המיעוט סימנים, חשיב שרוב הסימנים והמיעוט בתרא הם שחיטה אחת מדאו', </w:t>
      </w:r>
      <w:r w:rsidRPr="00AC3B10">
        <w:rPr>
          <w:rStyle w:val="afb"/>
          <w:rFonts w:hint="cs"/>
          <w:rtl/>
        </w:rPr>
        <w:t xml:space="preserve">[כדכתבו </w:t>
      </w:r>
      <w:r w:rsidRPr="00AC3B10">
        <w:rPr>
          <w:rStyle w:val="affa"/>
          <w:rFonts w:hint="cs"/>
          <w:rtl/>
        </w:rPr>
        <w:t>המאירי</w:t>
      </w:r>
      <w:r w:rsidRPr="00AC3B10">
        <w:rPr>
          <w:rStyle w:val="afb"/>
          <w:rFonts w:hint="cs"/>
          <w:rtl/>
        </w:rPr>
        <w:t xml:space="preserve"> </w:t>
      </w:r>
      <w:r w:rsidRPr="00AC3B10">
        <w:rPr>
          <w:rStyle w:val="aff6"/>
          <w:rFonts w:hint="cs"/>
          <w:rtl/>
        </w:rPr>
        <w:t xml:space="preserve">(עי' אות </w:t>
      </w:r>
      <w:r w:rsidRPr="00AC3B10">
        <w:rPr>
          <w:rStyle w:val="aff6"/>
          <w:rtl/>
        </w:rPr>
        <w:fldChar w:fldCharType="begin"/>
      </w:r>
      <w:r w:rsidRPr="00AC3B10">
        <w:rPr>
          <w:rStyle w:val="aff6"/>
          <w:rtl/>
        </w:rPr>
        <w:instrText xml:space="preserve"> </w:instrText>
      </w:r>
      <w:r w:rsidRPr="00AC3B10">
        <w:rPr>
          <w:rStyle w:val="aff6"/>
          <w:rFonts w:hint="cs"/>
        </w:rPr>
        <w:instrText>REF</w:instrText>
      </w:r>
      <w:r w:rsidRPr="00AC3B10">
        <w:rPr>
          <w:rStyle w:val="aff6"/>
          <w:rFonts w:hint="cs"/>
          <w:rtl/>
        </w:rPr>
        <w:instrText xml:space="preserve"> _</w:instrText>
      </w:r>
      <w:r w:rsidRPr="00AC3B10">
        <w:rPr>
          <w:rStyle w:val="aff6"/>
          <w:rFonts w:hint="cs"/>
        </w:rPr>
        <w:instrText>Ref533497541 \r \h</w:instrText>
      </w:r>
      <w:r w:rsidRPr="00AC3B10">
        <w:rPr>
          <w:rStyle w:val="aff6"/>
          <w:rtl/>
        </w:rPr>
        <w:instrText xml:space="preserve"> </w:instrText>
      </w:r>
      <w:r w:rsidRPr="00AC3B10">
        <w:rPr>
          <w:rStyle w:val="aff6"/>
          <w:rtl/>
        </w:rPr>
      </w:r>
      <w:r w:rsidRPr="00AC3B10">
        <w:rPr>
          <w:rStyle w:val="aff6"/>
          <w:rtl/>
        </w:rPr>
        <w:fldChar w:fldCharType="separate"/>
      </w:r>
      <w:r w:rsidR="00345400">
        <w:rPr>
          <w:rStyle w:val="aff6"/>
          <w:cs/>
        </w:rPr>
        <w:t>‎</w:t>
      </w:r>
      <w:r w:rsidR="00345400">
        <w:rPr>
          <w:rStyle w:val="aff6"/>
          <w:rtl/>
        </w:rPr>
        <w:t>יט)</w:t>
      </w:r>
      <w:r w:rsidRPr="00AC3B10">
        <w:rPr>
          <w:rStyle w:val="aff6"/>
          <w:rtl/>
        </w:rPr>
        <w:fldChar w:fldCharType="end"/>
      </w:r>
      <w:r w:rsidRPr="00AC3B10">
        <w:rPr>
          <w:rStyle w:val="aff6"/>
          <w:rFonts w:hint="cs"/>
          <w:rtl/>
        </w:rPr>
        <w:t xml:space="preserve"> </w:t>
      </w:r>
      <w:r w:rsidRPr="00AC3B10">
        <w:rPr>
          <w:rStyle w:val="affa"/>
          <w:rFonts w:hint="cs"/>
          <w:rtl/>
        </w:rPr>
        <w:t>והארח"ח והכל בו</w:t>
      </w:r>
      <w:r>
        <w:rPr>
          <w:rStyle w:val="afb"/>
          <w:rFonts w:hint="cs"/>
          <w:rtl/>
        </w:rPr>
        <w:t xml:space="preserve"> </w:t>
      </w:r>
      <w:r w:rsidRPr="00AC3B10">
        <w:rPr>
          <w:rStyle w:val="aff6"/>
          <w:rFonts w:hint="cs"/>
          <w:rtl/>
        </w:rPr>
        <w:t xml:space="preserve">(עי' אות </w:t>
      </w:r>
      <w:r w:rsidRPr="00AC3B10">
        <w:rPr>
          <w:rStyle w:val="aff6"/>
          <w:rtl/>
        </w:rPr>
        <w:fldChar w:fldCharType="begin"/>
      </w:r>
      <w:r w:rsidRPr="00AC3B10">
        <w:rPr>
          <w:rStyle w:val="aff6"/>
          <w:rtl/>
        </w:rPr>
        <w:instrText xml:space="preserve"> </w:instrText>
      </w:r>
      <w:r w:rsidRPr="00AC3B10">
        <w:rPr>
          <w:rStyle w:val="aff6"/>
          <w:rFonts w:hint="cs"/>
        </w:rPr>
        <w:instrText>REF</w:instrText>
      </w:r>
      <w:r w:rsidRPr="00AC3B10">
        <w:rPr>
          <w:rStyle w:val="aff6"/>
          <w:rFonts w:hint="cs"/>
          <w:rtl/>
        </w:rPr>
        <w:instrText xml:space="preserve"> _</w:instrText>
      </w:r>
      <w:r w:rsidRPr="00AC3B10">
        <w:rPr>
          <w:rStyle w:val="aff6"/>
          <w:rFonts w:hint="cs"/>
        </w:rPr>
        <w:instrText>Ref533498548 \r \h</w:instrText>
      </w:r>
      <w:r w:rsidRPr="00AC3B10">
        <w:rPr>
          <w:rStyle w:val="aff6"/>
          <w:rtl/>
        </w:rPr>
        <w:instrText xml:space="preserve"> </w:instrText>
      </w:r>
      <w:r w:rsidRPr="00AC3B10">
        <w:rPr>
          <w:rStyle w:val="aff6"/>
          <w:rtl/>
        </w:rPr>
      </w:r>
      <w:r w:rsidRPr="00AC3B10">
        <w:rPr>
          <w:rStyle w:val="aff6"/>
          <w:rtl/>
        </w:rPr>
        <w:fldChar w:fldCharType="separate"/>
      </w:r>
      <w:r w:rsidR="00345400">
        <w:rPr>
          <w:rStyle w:val="aff6"/>
          <w:cs/>
        </w:rPr>
        <w:t>‎</w:t>
      </w:r>
      <w:r w:rsidR="00345400">
        <w:rPr>
          <w:rStyle w:val="aff6"/>
          <w:rtl/>
        </w:rPr>
        <w:t>כ)</w:t>
      </w:r>
      <w:r w:rsidRPr="00AC3B10">
        <w:rPr>
          <w:rStyle w:val="aff6"/>
          <w:rtl/>
        </w:rPr>
        <w:fldChar w:fldCharType="end"/>
      </w:r>
      <w:r w:rsidRPr="00AC3B10">
        <w:rPr>
          <w:rStyle w:val="afb"/>
          <w:rFonts w:hint="cs"/>
          <w:rtl/>
        </w:rPr>
        <w:t>],</w:t>
      </w:r>
      <w:r>
        <w:rPr>
          <w:rFonts w:hint="cs"/>
          <w:rtl/>
        </w:rPr>
        <w:t xml:space="preserve"> וכתב </w:t>
      </w:r>
      <w:r w:rsidRPr="001E6563">
        <w:rPr>
          <w:rStyle w:val="af9"/>
          <w:rFonts w:hint="cs"/>
          <w:rtl/>
        </w:rPr>
        <w:t>הביה"ל</w:t>
      </w:r>
      <w:r>
        <w:rPr>
          <w:rFonts w:hint="cs"/>
          <w:rtl/>
        </w:rPr>
        <w:t xml:space="preserve"> לכן ביאר </w:t>
      </w:r>
      <w:r w:rsidRPr="001E6563">
        <w:rPr>
          <w:rStyle w:val="af9"/>
          <w:rFonts w:hint="cs"/>
          <w:rtl/>
        </w:rPr>
        <w:t>רבינו ירוחם</w:t>
      </w:r>
      <w:r>
        <w:rPr>
          <w:rFonts w:hint="cs"/>
          <w:rtl/>
        </w:rPr>
        <w:t xml:space="preserve"> דהספק לדעת </w:t>
      </w:r>
      <w:r w:rsidRPr="001E6563">
        <w:rPr>
          <w:rStyle w:val="af9"/>
          <w:rFonts w:hint="cs"/>
          <w:rtl/>
        </w:rPr>
        <w:t>רש"י</w:t>
      </w:r>
      <w:r>
        <w:rPr>
          <w:rFonts w:hint="cs"/>
          <w:rtl/>
        </w:rPr>
        <w:t xml:space="preserve"> הוא מדאו'.</w:t>
      </w:r>
    </w:p>
    <w:p w14:paraId="24054A9B" w14:textId="77777777" w:rsidR="00436F39" w:rsidRPr="00BC53A1" w:rsidRDefault="00436F39" w:rsidP="006D6D32">
      <w:pPr>
        <w:pStyle w:val="a3"/>
      </w:pPr>
      <w:bookmarkStart w:id="14247" w:name="_Toc533506111"/>
      <w:bookmarkStart w:id="14248" w:name="_Toc533544319"/>
      <w:bookmarkStart w:id="14249" w:name="_Toc533544516"/>
      <w:bookmarkStart w:id="14250" w:name="_Toc19390856"/>
      <w:bookmarkStart w:id="14251" w:name="_Toc19394353"/>
      <w:r>
        <w:rPr>
          <w:rFonts w:hint="cs"/>
          <w:rtl/>
        </w:rPr>
        <w:t>דברי הביה"ל דאי לכתחילה א"צ לשחוט את כל הסימן אין סברא לפסול במיעו"ב  מדאו'</w:t>
      </w:r>
      <w:bookmarkEnd w:id="14247"/>
      <w:bookmarkEnd w:id="14248"/>
      <w:bookmarkEnd w:id="14249"/>
      <w:bookmarkEnd w:id="14250"/>
      <w:bookmarkEnd w:id="14251"/>
    </w:p>
    <w:p w14:paraId="7A0BEAE8" w14:textId="77777777" w:rsidR="00436F39" w:rsidRDefault="00436F39" w:rsidP="00223668">
      <w:pPr>
        <w:pStyle w:val="a0"/>
        <w:rPr>
          <w:rtl/>
        </w:rPr>
      </w:pPr>
      <w:bookmarkStart w:id="14252" w:name="_Ref533498812"/>
      <w:r>
        <w:rPr>
          <w:rFonts w:hint="cs"/>
          <w:rtl/>
        </w:rPr>
        <w:t xml:space="preserve">אבל אי ס"ל </w:t>
      </w:r>
      <w:r w:rsidRPr="001E6563">
        <w:rPr>
          <w:rStyle w:val="af9"/>
          <w:rFonts w:hint="cs"/>
          <w:rtl/>
        </w:rPr>
        <w:t>לרש"י</w:t>
      </w:r>
      <w:r>
        <w:rPr>
          <w:rFonts w:hint="cs"/>
          <w:rtl/>
        </w:rPr>
        <w:t xml:space="preserve"> דמדאו' א"צ לשחוט לכתחילה את כל הסימנים, א"כ אף לדעת </w:t>
      </w:r>
      <w:r w:rsidRPr="001E6563">
        <w:rPr>
          <w:rStyle w:val="af9"/>
          <w:rFonts w:hint="cs"/>
          <w:rtl/>
        </w:rPr>
        <w:t>רבינו ירוחם</w:t>
      </w:r>
      <w:r>
        <w:rPr>
          <w:rFonts w:hint="cs"/>
          <w:rtl/>
        </w:rPr>
        <w:t xml:space="preserve"> אין כל סברא לומר דהספק בשהייה במיעוט בתרא הוא מדאו', כיון שמדאו' נגמר שיעור שחיטה.</w:t>
      </w:r>
      <w:r w:rsidRPr="000D4A25">
        <w:rPr>
          <w:rStyle w:val="afb"/>
          <w:rFonts w:hint="cs"/>
          <w:rtl/>
        </w:rPr>
        <w:t xml:space="preserve"> </w:t>
      </w:r>
      <w:r w:rsidRPr="003B26CD">
        <w:rPr>
          <w:rStyle w:val="afb"/>
          <w:rFonts w:hint="cs"/>
          <w:rtl/>
        </w:rPr>
        <w:t>[וע</w:t>
      </w:r>
      <w:r>
        <w:rPr>
          <w:rStyle w:val="afb"/>
          <w:rFonts w:hint="cs"/>
          <w:rtl/>
        </w:rPr>
        <w:t>י'</w:t>
      </w:r>
      <w:r w:rsidRPr="003B26CD">
        <w:rPr>
          <w:rStyle w:val="afb"/>
          <w:rFonts w:hint="cs"/>
          <w:rtl/>
        </w:rPr>
        <w:t xml:space="preserve"> </w:t>
      </w:r>
      <w:r w:rsidRPr="003B26CD">
        <w:rPr>
          <w:rStyle w:val="affa"/>
          <w:rFonts w:hint="cs"/>
          <w:rtl/>
        </w:rPr>
        <w:t>ברמב</w:t>
      </w:r>
      <w:r>
        <w:rPr>
          <w:rStyle w:val="affa"/>
          <w:rFonts w:hint="cs"/>
          <w:rtl/>
        </w:rPr>
        <w:t>"</w:t>
      </w:r>
      <w:r w:rsidRPr="003B26CD">
        <w:rPr>
          <w:rStyle w:val="affa"/>
          <w:rFonts w:hint="cs"/>
          <w:rtl/>
        </w:rPr>
        <w:t>ן לקמן</w:t>
      </w:r>
      <w:r w:rsidRPr="003B26CD">
        <w:rPr>
          <w:rStyle w:val="afb"/>
          <w:rFonts w:hint="cs"/>
          <w:rtl/>
        </w:rPr>
        <w:t xml:space="preserve"> </w:t>
      </w:r>
      <w:r w:rsidRPr="003B26CD">
        <w:rPr>
          <w:rStyle w:val="aff6"/>
          <w:rFonts w:hint="cs"/>
          <w:rtl/>
        </w:rPr>
        <w:t>(כז. סוד"ה שנים)</w:t>
      </w:r>
      <w:r w:rsidRPr="003B26CD">
        <w:rPr>
          <w:rStyle w:val="afb"/>
          <w:rFonts w:hint="cs"/>
          <w:rtl/>
        </w:rPr>
        <w:t xml:space="preserve"> דכתב דמדאו' א"צ לשחוט לכתחילה את כל הסימן, וא"כ לדברי </w:t>
      </w:r>
      <w:r>
        <w:rPr>
          <w:rStyle w:val="affa"/>
          <w:rFonts w:hint="cs"/>
          <w:rtl/>
        </w:rPr>
        <w:t>הביה"ל</w:t>
      </w:r>
      <w:r w:rsidRPr="003B26CD">
        <w:rPr>
          <w:rStyle w:val="afb"/>
          <w:rFonts w:hint="cs"/>
          <w:rtl/>
        </w:rPr>
        <w:t xml:space="preserve"> </w:t>
      </w:r>
      <w:r>
        <w:rPr>
          <w:rStyle w:val="afb"/>
          <w:rFonts w:hint="cs"/>
          <w:rtl/>
        </w:rPr>
        <w:t xml:space="preserve">מ"ש </w:t>
      </w:r>
      <w:r w:rsidRPr="00B2550C">
        <w:rPr>
          <w:rStyle w:val="affa"/>
          <w:rFonts w:hint="cs"/>
          <w:rtl/>
        </w:rPr>
        <w:t>הרמב"ן</w:t>
      </w:r>
      <w:r>
        <w:rPr>
          <w:rStyle w:val="afb"/>
          <w:rFonts w:hint="cs"/>
          <w:rtl/>
        </w:rPr>
        <w:t xml:space="preserve"> </w:t>
      </w:r>
      <w:r w:rsidRPr="00B2550C">
        <w:rPr>
          <w:rStyle w:val="aff6"/>
          <w:rFonts w:hint="cs"/>
          <w:rtl/>
        </w:rPr>
        <w:t xml:space="preserve">(עי' אות </w:t>
      </w:r>
      <w:r w:rsidRPr="00B2550C">
        <w:rPr>
          <w:rStyle w:val="aff6"/>
          <w:rtl/>
        </w:rPr>
        <w:fldChar w:fldCharType="begin"/>
      </w:r>
      <w:r w:rsidRPr="00B2550C">
        <w:rPr>
          <w:rStyle w:val="aff6"/>
          <w:rtl/>
        </w:rPr>
        <w:instrText xml:space="preserve"> </w:instrText>
      </w:r>
      <w:r w:rsidRPr="00B2550C">
        <w:rPr>
          <w:rStyle w:val="aff6"/>
          <w:rFonts w:hint="cs"/>
        </w:rPr>
        <w:instrText>REF</w:instrText>
      </w:r>
      <w:r w:rsidRPr="00B2550C">
        <w:rPr>
          <w:rStyle w:val="aff6"/>
          <w:rFonts w:hint="cs"/>
          <w:rtl/>
        </w:rPr>
        <w:instrText xml:space="preserve"> _</w:instrText>
      </w:r>
      <w:r w:rsidRPr="00B2550C">
        <w:rPr>
          <w:rStyle w:val="aff6"/>
          <w:rFonts w:hint="cs"/>
        </w:rPr>
        <w:instrText>Ref533497444 \r \h</w:instrText>
      </w:r>
      <w:r w:rsidRPr="00B2550C">
        <w:rPr>
          <w:rStyle w:val="aff6"/>
          <w:rtl/>
        </w:rPr>
        <w:instrText xml:space="preserve"> </w:instrText>
      </w:r>
      <w:r w:rsidRPr="00B2550C">
        <w:rPr>
          <w:rStyle w:val="aff6"/>
          <w:rtl/>
        </w:rPr>
      </w:r>
      <w:r w:rsidRPr="00B2550C">
        <w:rPr>
          <w:rStyle w:val="aff6"/>
          <w:rtl/>
        </w:rPr>
        <w:fldChar w:fldCharType="separate"/>
      </w:r>
      <w:r w:rsidR="00345400">
        <w:rPr>
          <w:rStyle w:val="aff6"/>
          <w:cs/>
        </w:rPr>
        <w:t>‎</w:t>
      </w:r>
      <w:r w:rsidR="00345400">
        <w:rPr>
          <w:rStyle w:val="aff6"/>
          <w:rtl/>
        </w:rPr>
        <w:t>ט)</w:t>
      </w:r>
      <w:r w:rsidRPr="00B2550C">
        <w:rPr>
          <w:rStyle w:val="aff6"/>
          <w:rtl/>
        </w:rPr>
        <w:fldChar w:fldCharType="end"/>
      </w:r>
      <w:r>
        <w:rPr>
          <w:rStyle w:val="afb"/>
          <w:rFonts w:hint="cs"/>
          <w:rtl/>
        </w:rPr>
        <w:t xml:space="preserve"> </w:t>
      </w:r>
      <w:r w:rsidRPr="00B2550C">
        <w:rPr>
          <w:rStyle w:val="affa"/>
          <w:rFonts w:hint="cs"/>
          <w:rtl/>
        </w:rPr>
        <w:t>ברש"י</w:t>
      </w:r>
      <w:r>
        <w:rPr>
          <w:rStyle w:val="afb"/>
          <w:rFonts w:hint="cs"/>
          <w:rtl/>
        </w:rPr>
        <w:t xml:space="preserve"> דבדרך שחיטה אסור לשחוט בפסול במיעו"ב, היינו מדרבנן</w:t>
      </w:r>
      <w:r w:rsidRPr="003B26CD">
        <w:rPr>
          <w:rStyle w:val="afb"/>
          <w:rFonts w:hint="cs"/>
          <w:rtl/>
        </w:rPr>
        <w:t>].</w:t>
      </w:r>
      <w:bookmarkEnd w:id="14252"/>
    </w:p>
    <w:p w14:paraId="363FB4E0" w14:textId="77777777" w:rsidR="00436F39" w:rsidRPr="00FD5EA0" w:rsidRDefault="00436F39" w:rsidP="00BF39B2">
      <w:pPr>
        <w:pStyle w:val="1"/>
        <w:rPr>
          <w:rtl/>
        </w:rPr>
      </w:pPr>
      <w:bookmarkStart w:id="14253" w:name="_Toc533506112"/>
      <w:bookmarkStart w:id="14254" w:name="_Toc533544320"/>
      <w:bookmarkStart w:id="14255" w:name="_Toc533544517"/>
      <w:bookmarkStart w:id="14256" w:name="_Toc19390857"/>
      <w:bookmarkStart w:id="14257" w:name="_Toc19394354"/>
      <w:r>
        <w:rPr>
          <w:rFonts w:hint="cs"/>
          <w:rtl/>
        </w:rPr>
        <w:t xml:space="preserve">ביאור המאירי </w:t>
      </w:r>
      <w:bookmarkEnd w:id="14209"/>
      <w:r>
        <w:rPr>
          <w:rFonts w:hint="cs"/>
          <w:rtl/>
        </w:rPr>
        <w:t xml:space="preserve">דמדאו' </w:t>
      </w:r>
      <w:bookmarkEnd w:id="14244"/>
      <w:bookmarkEnd w:id="14245"/>
      <w:r>
        <w:rPr>
          <w:rFonts w:hint="cs"/>
          <w:rtl/>
        </w:rPr>
        <w:t>לכתחילה יש דין שחיטה בכל הסימן</w:t>
      </w:r>
      <w:bookmarkEnd w:id="14246"/>
      <w:bookmarkEnd w:id="14253"/>
      <w:bookmarkEnd w:id="14254"/>
      <w:bookmarkEnd w:id="14255"/>
      <w:bookmarkEnd w:id="14256"/>
      <w:bookmarkEnd w:id="14257"/>
    </w:p>
    <w:p w14:paraId="450AD31C" w14:textId="77777777" w:rsidR="00436F39" w:rsidRDefault="00436F39" w:rsidP="006D6D32">
      <w:pPr>
        <w:pStyle w:val="a3"/>
        <w:rPr>
          <w:rtl/>
        </w:rPr>
      </w:pPr>
      <w:bookmarkStart w:id="14258" w:name="_Toc533506113"/>
      <w:bookmarkStart w:id="14259" w:name="_Toc533544321"/>
      <w:bookmarkStart w:id="14260" w:name="_Toc533544518"/>
      <w:bookmarkStart w:id="14261" w:name="_Toc19390858"/>
      <w:bookmarkStart w:id="14262" w:name="_Toc19394355"/>
      <w:r>
        <w:rPr>
          <w:rFonts w:hint="cs"/>
          <w:rtl/>
        </w:rPr>
        <w:t>ביאור המאירי דמדאו' לכתחילה צריך לשחוט את כל הסימן ולכן אסור לשחוט את המיעו"ב בפסול</w:t>
      </w:r>
      <w:bookmarkEnd w:id="14258"/>
      <w:bookmarkEnd w:id="14259"/>
      <w:bookmarkEnd w:id="14260"/>
      <w:bookmarkEnd w:id="14261"/>
      <w:bookmarkEnd w:id="14262"/>
    </w:p>
    <w:p w14:paraId="4B51BBED" w14:textId="77777777" w:rsidR="00436F39" w:rsidRDefault="00436F39" w:rsidP="00223668">
      <w:pPr>
        <w:pStyle w:val="a0"/>
        <w:rPr>
          <w:rStyle w:val="afb"/>
          <w:rtl/>
        </w:rPr>
      </w:pPr>
      <w:bookmarkStart w:id="14263" w:name="_Ref533501305"/>
      <w:bookmarkStart w:id="14264" w:name="_Ref533497541"/>
      <w:r>
        <w:rPr>
          <w:rStyle w:val="af9"/>
          <w:rFonts w:hint="cs"/>
          <w:rtl/>
        </w:rPr>
        <w:t>ו</w:t>
      </w:r>
      <w:r w:rsidRPr="00A5595B">
        <w:rPr>
          <w:rStyle w:val="af9"/>
          <w:rFonts w:hint="cs"/>
          <w:rtl/>
        </w:rPr>
        <w:t>המאירי לקמן</w:t>
      </w:r>
      <w:r w:rsidRPr="004E731A">
        <w:rPr>
          <w:rFonts w:hint="cs"/>
          <w:rtl/>
        </w:rPr>
        <w:t xml:space="preserve"> </w:t>
      </w:r>
      <w:r w:rsidRPr="00A5595B">
        <w:rPr>
          <w:rStyle w:val="af7"/>
          <w:rFonts w:eastAsia="Guttman Hodes" w:hint="cs"/>
          <w:rtl/>
        </w:rPr>
        <w:t>(ל: ד"ה שחט)</w:t>
      </w:r>
      <w:r w:rsidRPr="004E731A">
        <w:rPr>
          <w:rFonts w:hint="cs"/>
          <w:rtl/>
        </w:rPr>
        <w:t xml:space="preserve"> </w:t>
      </w:r>
      <w:r>
        <w:rPr>
          <w:rFonts w:hint="cs"/>
          <w:rtl/>
        </w:rPr>
        <w:t>ביאר</w:t>
      </w:r>
      <w:r w:rsidRPr="004E731A">
        <w:rPr>
          <w:rFonts w:hint="cs"/>
          <w:rtl/>
        </w:rPr>
        <w:t xml:space="preserve"> דס"ל </w:t>
      </w:r>
      <w:r w:rsidRPr="00A5595B">
        <w:rPr>
          <w:rStyle w:val="af9"/>
          <w:rFonts w:hint="cs"/>
          <w:rtl/>
        </w:rPr>
        <w:t>לרש"י</w:t>
      </w:r>
      <w:r w:rsidRPr="004E731A">
        <w:rPr>
          <w:rFonts w:hint="cs"/>
          <w:rtl/>
        </w:rPr>
        <w:t xml:space="preserve"> דאף שהוכשרה הבהמה בשחיטת רוב הסימנים, מ"מ כיון שהמשיך לשחוט את המיעוט</w:t>
      </w:r>
      <w:r>
        <w:rPr>
          <w:rFonts w:hint="cs"/>
          <w:rtl/>
        </w:rPr>
        <w:t xml:space="preserve"> בתרא בתורת שחיטה, דהא לכתחילה צריך לשחוט את כל הסימנים, לכן אסור לשחוט את המיעוט בפסולי שחיטה, בין בפסול דחלדה ובין בשאר פסולים.</w:t>
      </w:r>
      <w:bookmarkEnd w:id="14263"/>
      <w:r>
        <w:rPr>
          <w:rFonts w:hint="cs"/>
          <w:rtl/>
        </w:rPr>
        <w:t xml:space="preserve"> </w:t>
      </w:r>
      <w:r w:rsidRPr="006F4B13">
        <w:rPr>
          <w:rStyle w:val="afb"/>
          <w:rFonts w:hint="cs"/>
          <w:rtl/>
        </w:rPr>
        <w:t xml:space="preserve">[ועי' בדברי </w:t>
      </w:r>
      <w:r w:rsidRPr="006F4B13">
        <w:rPr>
          <w:rStyle w:val="affa"/>
          <w:rFonts w:hint="cs"/>
          <w:rtl/>
        </w:rPr>
        <w:t>הראב"ד</w:t>
      </w:r>
      <w:r w:rsidRPr="006F4B13">
        <w:rPr>
          <w:rStyle w:val="afb"/>
          <w:rFonts w:hint="cs"/>
          <w:rtl/>
        </w:rPr>
        <w:t xml:space="preserve"> </w:t>
      </w:r>
      <w:r w:rsidRPr="006F4B13">
        <w:rPr>
          <w:rStyle w:val="aff6"/>
          <w:rFonts w:hint="cs"/>
          <w:rtl/>
        </w:rPr>
        <w:t xml:space="preserve">(עי' אות </w:t>
      </w:r>
      <w:r w:rsidRPr="006F4B13">
        <w:rPr>
          <w:rStyle w:val="aff6"/>
          <w:rtl/>
        </w:rPr>
        <w:fldChar w:fldCharType="begin"/>
      </w:r>
      <w:r w:rsidRPr="006F4B13">
        <w:rPr>
          <w:rStyle w:val="aff6"/>
          <w:rtl/>
        </w:rPr>
        <w:instrText xml:space="preserve"> </w:instrText>
      </w:r>
      <w:r w:rsidRPr="006F4B13">
        <w:rPr>
          <w:rStyle w:val="aff6"/>
          <w:rFonts w:hint="cs"/>
        </w:rPr>
        <w:instrText>REF</w:instrText>
      </w:r>
      <w:r w:rsidRPr="006F4B13">
        <w:rPr>
          <w:rStyle w:val="aff6"/>
          <w:rFonts w:hint="cs"/>
          <w:rtl/>
        </w:rPr>
        <w:instrText xml:space="preserve"> _</w:instrText>
      </w:r>
      <w:r w:rsidRPr="006F4B13">
        <w:rPr>
          <w:rStyle w:val="aff6"/>
          <w:rFonts w:hint="cs"/>
        </w:rPr>
        <w:instrText>Ref533346662 \r \h</w:instrText>
      </w:r>
      <w:r w:rsidRPr="006F4B13">
        <w:rPr>
          <w:rStyle w:val="aff6"/>
          <w:rtl/>
        </w:rPr>
        <w:instrText xml:space="preserve"> </w:instrText>
      </w:r>
      <w:r w:rsidRPr="006F4B13">
        <w:rPr>
          <w:rStyle w:val="aff6"/>
          <w:rtl/>
        </w:rPr>
      </w:r>
      <w:r w:rsidRPr="006F4B13">
        <w:rPr>
          <w:rStyle w:val="aff6"/>
          <w:rtl/>
        </w:rPr>
        <w:fldChar w:fldCharType="separate"/>
      </w:r>
      <w:r w:rsidR="00345400">
        <w:rPr>
          <w:rStyle w:val="aff6"/>
          <w:cs/>
        </w:rPr>
        <w:t>‎</w:t>
      </w:r>
      <w:r w:rsidR="00345400">
        <w:rPr>
          <w:rStyle w:val="aff6"/>
          <w:rtl/>
        </w:rPr>
        <w:t>לז)</w:t>
      </w:r>
      <w:r w:rsidRPr="006F4B13">
        <w:rPr>
          <w:rStyle w:val="aff6"/>
          <w:rtl/>
        </w:rPr>
        <w:fldChar w:fldCharType="end"/>
      </w:r>
      <w:r w:rsidRPr="006F4B13">
        <w:rPr>
          <w:rStyle w:val="afb"/>
          <w:rFonts w:hint="cs"/>
          <w:rtl/>
        </w:rPr>
        <w:t xml:space="preserve"> דביאר בדעת </w:t>
      </w:r>
      <w:r w:rsidRPr="006F4B13">
        <w:rPr>
          <w:rStyle w:val="affa"/>
          <w:rFonts w:hint="cs"/>
          <w:rtl/>
        </w:rPr>
        <w:t>רש"י</w:t>
      </w:r>
      <w:r w:rsidRPr="006F4B13">
        <w:rPr>
          <w:rStyle w:val="afb"/>
          <w:rFonts w:hint="cs"/>
          <w:rtl/>
        </w:rPr>
        <w:t xml:space="preserve"> דמדרבנן צריך לשחוט את כל הסימנים]. </w:t>
      </w:r>
      <w:bookmarkEnd w:id="14264"/>
    </w:p>
    <w:p w14:paraId="19A35C60" w14:textId="77777777" w:rsidR="00652F4F" w:rsidRPr="00652F4F" w:rsidRDefault="00652F4F" w:rsidP="006D6D32">
      <w:pPr>
        <w:pStyle w:val="a3"/>
        <w:rPr>
          <w:rtl/>
        </w:rPr>
      </w:pPr>
    </w:p>
    <w:p w14:paraId="2B1B8A38" w14:textId="77777777" w:rsidR="00436F39" w:rsidRDefault="00436F39" w:rsidP="006D6D32">
      <w:pPr>
        <w:pStyle w:val="a3"/>
        <w:rPr>
          <w:rtl/>
        </w:rPr>
      </w:pPr>
      <w:bookmarkStart w:id="14265" w:name="_Toc533506114"/>
      <w:bookmarkStart w:id="14266" w:name="_Toc533544322"/>
      <w:bookmarkStart w:id="14267" w:name="_Toc533544519"/>
      <w:bookmarkStart w:id="14268" w:name="_Toc19390859"/>
      <w:bookmarkStart w:id="14269" w:name="_Toc19394356"/>
      <w:r>
        <w:rPr>
          <w:rFonts w:hint="cs"/>
          <w:rtl/>
        </w:rPr>
        <w:t>דברי האחר"ח והכל בו דנתברר שדעתו לשחוט הכל כדין לחתחילה והוי שהייה באמצע שחיטה</w:t>
      </w:r>
      <w:bookmarkEnd w:id="14265"/>
      <w:bookmarkEnd w:id="14266"/>
      <w:bookmarkEnd w:id="14267"/>
      <w:bookmarkEnd w:id="14268"/>
      <w:bookmarkEnd w:id="14269"/>
    </w:p>
    <w:p w14:paraId="5A925AC9" w14:textId="77777777" w:rsidR="00436F39" w:rsidRDefault="00436F39" w:rsidP="00223668">
      <w:pPr>
        <w:pStyle w:val="a0"/>
        <w:rPr>
          <w:rtl/>
        </w:rPr>
      </w:pPr>
      <w:bookmarkStart w:id="14270" w:name="_Ref533498548"/>
      <w:r>
        <w:rPr>
          <w:rFonts w:hint="cs"/>
          <w:rtl/>
        </w:rPr>
        <w:t xml:space="preserve">וכן ביארו </w:t>
      </w:r>
      <w:r w:rsidRPr="00F92244">
        <w:rPr>
          <w:rStyle w:val="af9"/>
          <w:rFonts w:hint="cs"/>
          <w:rtl/>
        </w:rPr>
        <w:t>הארחות חיים</w:t>
      </w:r>
      <w:r>
        <w:rPr>
          <w:rFonts w:hint="cs"/>
          <w:rtl/>
        </w:rPr>
        <w:t xml:space="preserve"> </w:t>
      </w:r>
      <w:r w:rsidRPr="000F6E8D">
        <w:rPr>
          <w:rStyle w:val="af7"/>
          <w:rFonts w:eastAsia="Guttman Hodes" w:hint="cs"/>
          <w:rtl/>
        </w:rPr>
        <w:t>(שחיטה סי' ב'</w:t>
      </w:r>
      <w:r>
        <w:rPr>
          <w:rStyle w:val="af1"/>
          <w:rtl/>
        </w:rPr>
        <w:footnoteReference w:id="92"/>
      </w:r>
      <w:r w:rsidRPr="000F6E8D">
        <w:rPr>
          <w:rStyle w:val="af7"/>
          <w:rFonts w:eastAsia="Guttman Hodes" w:hint="cs"/>
          <w:rtl/>
        </w:rPr>
        <w:t xml:space="preserve">) </w:t>
      </w:r>
      <w:r>
        <w:rPr>
          <w:rStyle w:val="af9"/>
          <w:rFonts w:hint="cs"/>
          <w:rtl/>
        </w:rPr>
        <w:t>ו</w:t>
      </w:r>
      <w:r w:rsidRPr="009F7A01">
        <w:rPr>
          <w:rStyle w:val="af9"/>
          <w:rFonts w:hint="cs"/>
          <w:rtl/>
        </w:rPr>
        <w:t>הכל בו</w:t>
      </w:r>
      <w:r>
        <w:rPr>
          <w:rFonts w:hint="cs"/>
          <w:rtl/>
        </w:rPr>
        <w:t xml:space="preserve"> </w:t>
      </w:r>
      <w:r w:rsidRPr="00257A45">
        <w:rPr>
          <w:rStyle w:val="af7"/>
          <w:rFonts w:eastAsia="Guttman Hodes" w:hint="cs"/>
          <w:rtl/>
        </w:rPr>
        <w:t>(סי' ק"ז פ"ג ד"ה שחט</w:t>
      </w:r>
      <w:r>
        <w:rPr>
          <w:rStyle w:val="af1"/>
          <w:rtl/>
        </w:rPr>
        <w:footnoteReference w:id="93"/>
      </w:r>
      <w:r w:rsidRPr="00257A45">
        <w:rPr>
          <w:rStyle w:val="af7"/>
          <w:rFonts w:eastAsia="Guttman Hodes" w:hint="cs"/>
          <w:rtl/>
        </w:rPr>
        <w:t xml:space="preserve">) </w:t>
      </w:r>
      <w:r>
        <w:rPr>
          <w:rFonts w:hint="cs"/>
          <w:rtl/>
        </w:rPr>
        <w:t xml:space="preserve">דהא דהחמיר </w:t>
      </w:r>
      <w:r w:rsidRPr="009F7A01">
        <w:rPr>
          <w:rStyle w:val="af9"/>
          <w:rFonts w:hint="cs"/>
          <w:rtl/>
        </w:rPr>
        <w:t>רש"י</w:t>
      </w:r>
      <w:r>
        <w:rPr>
          <w:rFonts w:hint="cs"/>
          <w:rtl/>
        </w:rPr>
        <w:t xml:space="preserve"> </w:t>
      </w:r>
      <w:r w:rsidRPr="00257A45">
        <w:rPr>
          <w:rStyle w:val="af7"/>
          <w:rFonts w:eastAsia="Guttman Hodes" w:hint="cs"/>
          <w:rtl/>
        </w:rPr>
        <w:t xml:space="preserve">(עי' אות </w:t>
      </w:r>
      <w:r w:rsidRPr="009F7A01">
        <w:rPr>
          <w:rStyle w:val="af7"/>
          <w:rFonts w:eastAsia="Guttman Hodes"/>
          <w:rtl/>
        </w:rPr>
        <w:fldChar w:fldCharType="begin"/>
      </w:r>
      <w:r w:rsidRPr="009F7A01">
        <w:rPr>
          <w:rStyle w:val="af7"/>
          <w:rFonts w:eastAsia="Guttman Hodes"/>
          <w:rtl/>
        </w:rPr>
        <w:instrText xml:space="preserve"> </w:instrText>
      </w:r>
      <w:r w:rsidRPr="009F7A01">
        <w:rPr>
          <w:rStyle w:val="af7"/>
          <w:rFonts w:eastAsia="Guttman Hodes" w:hint="cs"/>
        </w:rPr>
        <w:instrText>REF</w:instrText>
      </w:r>
      <w:r w:rsidRPr="009F7A01">
        <w:rPr>
          <w:rStyle w:val="af7"/>
          <w:rFonts w:eastAsia="Guttman Hodes" w:hint="cs"/>
          <w:rtl/>
        </w:rPr>
        <w:instrText xml:space="preserve"> _</w:instrText>
      </w:r>
      <w:r w:rsidRPr="009F7A01">
        <w:rPr>
          <w:rStyle w:val="af7"/>
          <w:rFonts w:eastAsia="Guttman Hodes" w:hint="cs"/>
        </w:rPr>
        <w:instrText>Ref532319483 \r \h</w:instrText>
      </w:r>
      <w:r w:rsidRPr="009F7A01">
        <w:rPr>
          <w:rStyle w:val="af7"/>
          <w:rFonts w:eastAsia="Guttman Hodes"/>
          <w:rtl/>
        </w:rPr>
        <w:instrText xml:space="preserve"> </w:instrText>
      </w:r>
      <w:r w:rsidRPr="009F7A01">
        <w:rPr>
          <w:rStyle w:val="af7"/>
          <w:rFonts w:eastAsia="Guttman Hodes"/>
          <w:rtl/>
        </w:rPr>
      </w:r>
      <w:r w:rsidRPr="009F7A01">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9F7A01">
        <w:rPr>
          <w:rStyle w:val="af7"/>
          <w:rFonts w:eastAsia="Guttman Hodes"/>
          <w:rtl/>
        </w:rPr>
        <w:fldChar w:fldCharType="end"/>
      </w:r>
      <w:r w:rsidRPr="00257A45">
        <w:rPr>
          <w:rStyle w:val="af7"/>
          <w:rFonts w:eastAsia="Guttman Hodes" w:hint="cs"/>
          <w:rtl/>
        </w:rPr>
        <w:t xml:space="preserve"> </w:t>
      </w:r>
      <w:r>
        <w:rPr>
          <w:rFonts w:hint="cs"/>
          <w:rtl/>
        </w:rPr>
        <w:t>בשהייה במיעוט סימנים, הוא כיון שלכתחילה צריך לשחוט את כל הסימנים, א"כ כששהה וחזר ושחט, נתברר שמתחילה היתה דעתו לשחוט את כל הסימנים, ולא רק את רוב הסימנים, ולכן כששהה אחר שחיטת רוב הסימנים, חשיב שהייה באמצע השחיטה ופסולה.</w:t>
      </w:r>
      <w:bookmarkEnd w:id="14270"/>
    </w:p>
    <w:p w14:paraId="3BB1C60F" w14:textId="77777777" w:rsidR="00436F39" w:rsidRPr="00316F1B" w:rsidRDefault="00436F39" w:rsidP="006D6D32">
      <w:pPr>
        <w:pStyle w:val="a3"/>
        <w:rPr>
          <w:rtl/>
        </w:rPr>
      </w:pPr>
      <w:bookmarkStart w:id="14271" w:name="_Toc533506115"/>
      <w:bookmarkStart w:id="14272" w:name="_Toc533544323"/>
      <w:bookmarkStart w:id="14273" w:name="_Toc533544520"/>
      <w:bookmarkStart w:id="14274" w:name="_Toc19390860"/>
      <w:bookmarkStart w:id="14275" w:name="_Toc19394357"/>
      <w:r>
        <w:rPr>
          <w:rFonts w:hint="cs"/>
          <w:rtl/>
        </w:rPr>
        <w:t>ביאור הארח"ח והכל בו דאף כשהשליך את העוף מידו וחזר ושחט מגלה בדעתו דלא גמר לשחוט</w:t>
      </w:r>
      <w:bookmarkEnd w:id="14271"/>
      <w:bookmarkEnd w:id="14272"/>
      <w:bookmarkEnd w:id="14273"/>
      <w:bookmarkEnd w:id="14274"/>
      <w:bookmarkEnd w:id="14275"/>
    </w:p>
    <w:p w14:paraId="2E07FCA6" w14:textId="77777777" w:rsidR="00436F39" w:rsidRDefault="00436F39" w:rsidP="00223668">
      <w:pPr>
        <w:pStyle w:val="a0"/>
        <w:rPr>
          <w:rtl/>
        </w:rPr>
      </w:pPr>
      <w:bookmarkStart w:id="14276" w:name="_Ref533499417"/>
      <w:r>
        <w:rPr>
          <w:rFonts w:hint="cs"/>
          <w:rtl/>
        </w:rPr>
        <w:t xml:space="preserve">וכתבו </w:t>
      </w:r>
      <w:r w:rsidRPr="00F92244">
        <w:rPr>
          <w:rStyle w:val="af9"/>
          <w:rFonts w:hint="cs"/>
          <w:rtl/>
        </w:rPr>
        <w:t xml:space="preserve">הארחות </w:t>
      </w:r>
      <w:r w:rsidRPr="000F6E8D">
        <w:rPr>
          <w:rStyle w:val="af9"/>
          <w:rFonts w:hint="cs"/>
          <w:rtl/>
        </w:rPr>
        <w:t>חיים והכל</w:t>
      </w:r>
      <w:r w:rsidRPr="009F7A01">
        <w:rPr>
          <w:rStyle w:val="af9"/>
          <w:rFonts w:hint="cs"/>
          <w:rtl/>
        </w:rPr>
        <w:t xml:space="preserve"> בו</w:t>
      </w:r>
      <w:r>
        <w:rPr>
          <w:rFonts w:hint="cs"/>
          <w:rtl/>
        </w:rPr>
        <w:t xml:space="preserve"> </w:t>
      </w:r>
      <w:r w:rsidRPr="00DE024D">
        <w:rPr>
          <w:rStyle w:val="afb"/>
          <w:rFonts w:hint="cs"/>
          <w:rtl/>
        </w:rPr>
        <w:t>[כ</w:t>
      </w:r>
      <w:r>
        <w:rPr>
          <w:rStyle w:val="afb"/>
          <w:rFonts w:hint="cs"/>
          <w:rtl/>
        </w:rPr>
        <w:t xml:space="preserve">דכתב </w:t>
      </w:r>
      <w:r w:rsidRPr="00DE024D">
        <w:rPr>
          <w:rStyle w:val="affa"/>
          <w:rFonts w:hint="cs"/>
          <w:rtl/>
        </w:rPr>
        <w:t>רש"י</w:t>
      </w:r>
      <w:r w:rsidRPr="00DE024D">
        <w:rPr>
          <w:rStyle w:val="afb"/>
          <w:rFonts w:hint="cs"/>
          <w:rtl/>
        </w:rPr>
        <w:t xml:space="preserve"> </w:t>
      </w:r>
      <w:r w:rsidRPr="00DE024D">
        <w:rPr>
          <w:rStyle w:val="aff6"/>
          <w:rFonts w:hint="cs"/>
          <w:rtl/>
        </w:rPr>
        <w:t xml:space="preserve">(עי' אות </w:t>
      </w:r>
      <w:r w:rsidRPr="00DE024D">
        <w:rPr>
          <w:rStyle w:val="aff6"/>
          <w:rtl/>
        </w:rPr>
        <w:fldChar w:fldCharType="begin"/>
      </w:r>
      <w:r w:rsidRPr="00DE024D">
        <w:rPr>
          <w:rStyle w:val="aff6"/>
          <w:rtl/>
        </w:rPr>
        <w:instrText xml:space="preserve"> </w:instrText>
      </w:r>
      <w:r w:rsidRPr="00DE024D">
        <w:rPr>
          <w:rStyle w:val="aff6"/>
          <w:rFonts w:hint="cs"/>
        </w:rPr>
        <w:instrText>REF</w:instrText>
      </w:r>
      <w:r w:rsidRPr="00DE024D">
        <w:rPr>
          <w:rStyle w:val="aff6"/>
          <w:rFonts w:hint="cs"/>
          <w:rtl/>
        </w:rPr>
        <w:instrText xml:space="preserve"> _</w:instrText>
      </w:r>
      <w:r w:rsidRPr="00DE024D">
        <w:rPr>
          <w:rStyle w:val="aff6"/>
          <w:rFonts w:hint="cs"/>
        </w:rPr>
        <w:instrText>Ref532364765 \r \h</w:instrText>
      </w:r>
      <w:r w:rsidRPr="00DE024D">
        <w:rPr>
          <w:rStyle w:val="aff6"/>
          <w:rtl/>
        </w:rPr>
        <w:instrText xml:space="preserve"> </w:instrText>
      </w:r>
      <w:r w:rsidRPr="00DE024D">
        <w:rPr>
          <w:rStyle w:val="aff6"/>
          <w:rtl/>
        </w:rPr>
      </w:r>
      <w:r w:rsidRPr="00DE024D">
        <w:rPr>
          <w:rStyle w:val="aff6"/>
          <w:rtl/>
        </w:rPr>
        <w:fldChar w:fldCharType="separate"/>
      </w:r>
      <w:r w:rsidR="00345400">
        <w:rPr>
          <w:rStyle w:val="aff6"/>
          <w:cs/>
        </w:rPr>
        <w:t>‎</w:t>
      </w:r>
      <w:r w:rsidR="00345400">
        <w:rPr>
          <w:rStyle w:val="aff6"/>
          <w:rtl/>
        </w:rPr>
        <w:t>ח)</w:t>
      </w:r>
      <w:r w:rsidRPr="00DE024D">
        <w:rPr>
          <w:rStyle w:val="aff6"/>
          <w:rtl/>
        </w:rPr>
        <w:fldChar w:fldCharType="end"/>
      </w:r>
      <w:r w:rsidRPr="00DE024D">
        <w:rPr>
          <w:rStyle w:val="afb"/>
          <w:rFonts w:hint="cs"/>
          <w:rtl/>
        </w:rPr>
        <w:t>]</w:t>
      </w:r>
      <w:r>
        <w:rPr>
          <w:rFonts w:hint="cs"/>
          <w:rtl/>
        </w:rPr>
        <w:t xml:space="preserve"> דלכן אם שחט את רוב הסימנים בעוף, והעוף שוהה למות, מוטב שימתנו באבן וכדו', ולא יגמור את השחיטה, דאם יגמור את השחיטה, הוא מגלה בדעתו שעדיין לא גמר את השחיטה אחר רוב הסימנים, וא"כ הוא כבר שהה באמצע השחיטה.</w:t>
      </w:r>
      <w:r w:rsidRPr="00CA18FA">
        <w:rPr>
          <w:rStyle w:val="afb"/>
          <w:rFonts w:hint="cs"/>
          <w:rtl/>
        </w:rPr>
        <w:t xml:space="preserve"> [ומבואר מדברי</w:t>
      </w:r>
      <w:r>
        <w:rPr>
          <w:rStyle w:val="afb"/>
          <w:rFonts w:hint="cs"/>
          <w:rtl/>
        </w:rPr>
        <w:t xml:space="preserve"> </w:t>
      </w:r>
      <w:r w:rsidRPr="000F6E8D">
        <w:rPr>
          <w:rStyle w:val="affa"/>
          <w:rFonts w:hint="cs"/>
          <w:rtl/>
        </w:rPr>
        <w:t>הארחות חיים והכל בו</w:t>
      </w:r>
      <w:r w:rsidRPr="00CA18FA">
        <w:rPr>
          <w:rStyle w:val="afb"/>
          <w:rFonts w:hint="cs"/>
          <w:rtl/>
        </w:rPr>
        <w:t xml:space="preserve"> דאף באופן שברור שדעתו מתחילה היתה לשחוט רק רוב, ו</w:t>
      </w:r>
      <w:r>
        <w:rPr>
          <w:rStyle w:val="afb"/>
          <w:rFonts w:hint="cs"/>
          <w:rtl/>
        </w:rPr>
        <w:t xml:space="preserve">רק </w:t>
      </w:r>
      <w:r w:rsidRPr="00CA18FA">
        <w:rPr>
          <w:rStyle w:val="afb"/>
          <w:rFonts w:hint="cs"/>
          <w:rtl/>
        </w:rPr>
        <w:t>אח"כ כששהה העוף למות המשיך לשחוט, עדיין חשיב שמגלה בדעתו שלא גמר את השחיטה]</w:t>
      </w:r>
      <w:r w:rsidRPr="00B625DB">
        <w:rPr>
          <w:rFonts w:hint="cs"/>
          <w:rtl/>
        </w:rPr>
        <w:t xml:space="preserve">, </w:t>
      </w:r>
      <w:r>
        <w:rPr>
          <w:rFonts w:hint="cs"/>
          <w:rtl/>
        </w:rPr>
        <w:t xml:space="preserve">ועי' במה שנחלקו בזה </w:t>
      </w:r>
      <w:r w:rsidRPr="00CD34E8">
        <w:rPr>
          <w:rStyle w:val="af9"/>
          <w:rFonts w:hint="cs"/>
          <w:rtl/>
        </w:rPr>
        <w:t>הנוב"י והשבו"י</w:t>
      </w:r>
      <w:r>
        <w:rPr>
          <w:rFonts w:hint="cs"/>
          <w:rtl/>
        </w:rPr>
        <w:t xml:space="preserve"> </w:t>
      </w:r>
      <w:r w:rsidRPr="000F6E8D">
        <w:rPr>
          <w:rStyle w:val="af7"/>
          <w:rFonts w:eastAsia="Guttman Hodes" w:hint="cs"/>
          <w:rtl/>
        </w:rPr>
        <w:t>(עי'</w:t>
      </w:r>
      <w:r w:rsidRPr="00CD34E8">
        <w:rPr>
          <w:rStyle w:val="af7"/>
          <w:rFonts w:eastAsia="Guttman Hodes" w:hint="cs"/>
          <w:rtl/>
        </w:rPr>
        <w:t xml:space="preserve"> אות </w:t>
      </w:r>
      <w:r w:rsidRPr="00CD34E8">
        <w:rPr>
          <w:rStyle w:val="af7"/>
          <w:rFonts w:eastAsia="Guttman Hodes"/>
          <w:rtl/>
        </w:rPr>
        <w:fldChar w:fldCharType="begin"/>
      </w:r>
      <w:r w:rsidRPr="00CD34E8">
        <w:rPr>
          <w:rStyle w:val="af7"/>
          <w:rFonts w:eastAsia="Guttman Hodes"/>
          <w:rtl/>
        </w:rPr>
        <w:instrText xml:space="preserve"> </w:instrText>
      </w:r>
      <w:r w:rsidRPr="00CD34E8">
        <w:rPr>
          <w:rStyle w:val="af7"/>
          <w:rFonts w:eastAsia="Guttman Hodes" w:hint="cs"/>
        </w:rPr>
        <w:instrText>REF</w:instrText>
      </w:r>
      <w:r w:rsidRPr="00CD34E8">
        <w:rPr>
          <w:rStyle w:val="af7"/>
          <w:rFonts w:eastAsia="Guttman Hodes" w:hint="cs"/>
          <w:rtl/>
        </w:rPr>
        <w:instrText xml:space="preserve"> _</w:instrText>
      </w:r>
      <w:r w:rsidRPr="00CD34E8">
        <w:rPr>
          <w:rStyle w:val="af7"/>
          <w:rFonts w:eastAsia="Guttman Hodes" w:hint="cs"/>
        </w:rPr>
        <w:instrText>Ref533436950 \r \h</w:instrText>
      </w:r>
      <w:r w:rsidRPr="00CD34E8">
        <w:rPr>
          <w:rStyle w:val="af7"/>
          <w:rFonts w:eastAsia="Guttman Hodes"/>
          <w:rtl/>
        </w:rPr>
        <w:instrText xml:space="preserve"> </w:instrText>
      </w:r>
      <w:r w:rsidRPr="00CD34E8">
        <w:rPr>
          <w:rStyle w:val="af7"/>
          <w:rFonts w:eastAsia="Guttman Hodes"/>
          <w:rtl/>
        </w:rPr>
      </w:r>
      <w:r w:rsidRPr="00CD34E8">
        <w:rPr>
          <w:rStyle w:val="af7"/>
          <w:rFonts w:eastAsia="Guttman Hodes"/>
          <w:rtl/>
        </w:rPr>
        <w:fldChar w:fldCharType="separate"/>
      </w:r>
      <w:r w:rsidR="00345400">
        <w:rPr>
          <w:rStyle w:val="af7"/>
          <w:rFonts w:eastAsia="Guttman Hodes"/>
          <w:cs/>
        </w:rPr>
        <w:t>‎</w:t>
      </w:r>
      <w:r w:rsidR="00345400">
        <w:rPr>
          <w:rStyle w:val="af7"/>
          <w:rFonts w:eastAsia="Guttman Hodes"/>
          <w:rtl/>
        </w:rPr>
        <w:t>עו)</w:t>
      </w:r>
      <w:r w:rsidRPr="00CD34E8">
        <w:rPr>
          <w:rStyle w:val="af7"/>
          <w:rFonts w:eastAsia="Guttman Hodes"/>
          <w:rtl/>
        </w:rPr>
        <w:fldChar w:fldCharType="end"/>
      </w:r>
      <w:r>
        <w:rPr>
          <w:rFonts w:hint="cs"/>
          <w:rtl/>
        </w:rPr>
        <w:t xml:space="preserve"> </w:t>
      </w:r>
      <w:r w:rsidRPr="00CD34E8">
        <w:rPr>
          <w:rStyle w:val="af9"/>
          <w:rFonts w:hint="cs"/>
          <w:rtl/>
        </w:rPr>
        <w:t>והחלקת יואב</w:t>
      </w:r>
      <w:r>
        <w:rPr>
          <w:rFonts w:hint="cs"/>
          <w:rtl/>
        </w:rPr>
        <w:t xml:space="preserve"> </w:t>
      </w:r>
      <w:r w:rsidRPr="00CD34E8">
        <w:rPr>
          <w:rStyle w:val="af7"/>
          <w:rFonts w:eastAsia="Guttman Hodes" w:hint="cs"/>
          <w:rtl/>
        </w:rPr>
        <w:t xml:space="preserve">(עי' אות </w:t>
      </w:r>
      <w:r w:rsidRPr="00CD34E8">
        <w:rPr>
          <w:rStyle w:val="af7"/>
          <w:rFonts w:eastAsia="Guttman Hodes"/>
          <w:rtl/>
        </w:rPr>
        <w:fldChar w:fldCharType="begin"/>
      </w:r>
      <w:r w:rsidRPr="00CD34E8">
        <w:rPr>
          <w:rStyle w:val="af7"/>
          <w:rFonts w:eastAsia="Guttman Hodes"/>
          <w:rtl/>
        </w:rPr>
        <w:instrText xml:space="preserve"> </w:instrText>
      </w:r>
      <w:r w:rsidRPr="00CD34E8">
        <w:rPr>
          <w:rStyle w:val="af7"/>
          <w:rFonts w:eastAsia="Guttman Hodes" w:hint="cs"/>
        </w:rPr>
        <w:instrText>REF</w:instrText>
      </w:r>
      <w:r w:rsidRPr="00CD34E8">
        <w:rPr>
          <w:rStyle w:val="af7"/>
          <w:rFonts w:eastAsia="Guttman Hodes" w:hint="cs"/>
          <w:rtl/>
        </w:rPr>
        <w:instrText xml:space="preserve"> _</w:instrText>
      </w:r>
      <w:r w:rsidRPr="00CD34E8">
        <w:rPr>
          <w:rStyle w:val="af7"/>
          <w:rFonts w:eastAsia="Guttman Hodes" w:hint="cs"/>
        </w:rPr>
        <w:instrText>Ref533436966 \r \h</w:instrText>
      </w:r>
      <w:r w:rsidRPr="00CD34E8">
        <w:rPr>
          <w:rStyle w:val="af7"/>
          <w:rFonts w:eastAsia="Guttman Hodes"/>
          <w:rtl/>
        </w:rPr>
        <w:instrText xml:space="preserve"> </w:instrText>
      </w:r>
      <w:r w:rsidRPr="00CD34E8">
        <w:rPr>
          <w:rStyle w:val="af7"/>
          <w:rFonts w:eastAsia="Guttman Hodes"/>
          <w:rtl/>
        </w:rPr>
      </w:r>
      <w:r w:rsidRPr="00CD34E8">
        <w:rPr>
          <w:rStyle w:val="af7"/>
          <w:rFonts w:eastAsia="Guttman Hodes"/>
          <w:rtl/>
        </w:rPr>
        <w:fldChar w:fldCharType="separate"/>
      </w:r>
      <w:r w:rsidR="00345400">
        <w:rPr>
          <w:rStyle w:val="af7"/>
          <w:rFonts w:eastAsia="Guttman Hodes"/>
          <w:cs/>
        </w:rPr>
        <w:t>‎</w:t>
      </w:r>
      <w:r w:rsidR="00345400">
        <w:rPr>
          <w:rStyle w:val="af7"/>
          <w:rFonts w:eastAsia="Guttman Hodes"/>
          <w:rtl/>
        </w:rPr>
        <w:t>פא)</w:t>
      </w:r>
      <w:r w:rsidRPr="00CD34E8">
        <w:rPr>
          <w:rStyle w:val="af7"/>
          <w:rFonts w:eastAsia="Guttman Hodes"/>
          <w:rtl/>
        </w:rPr>
        <w:fldChar w:fldCharType="end"/>
      </w:r>
      <w:r>
        <w:rPr>
          <w:rFonts w:hint="cs"/>
          <w:rtl/>
        </w:rPr>
        <w:t>.</w:t>
      </w:r>
      <w:bookmarkEnd w:id="14276"/>
      <w:r>
        <w:rPr>
          <w:rFonts w:hint="cs"/>
          <w:rtl/>
        </w:rPr>
        <w:t xml:space="preserve"> </w:t>
      </w:r>
    </w:p>
    <w:p w14:paraId="037445EC" w14:textId="77777777" w:rsidR="00436F39" w:rsidRPr="00973225" w:rsidRDefault="00436F39" w:rsidP="00BF39B2">
      <w:pPr>
        <w:pStyle w:val="1"/>
        <w:rPr>
          <w:rtl/>
        </w:rPr>
      </w:pPr>
      <w:bookmarkStart w:id="14277" w:name="_Toc533490165"/>
      <w:bookmarkStart w:id="14278" w:name="_Toc533506116"/>
      <w:bookmarkStart w:id="14279" w:name="_Toc533544324"/>
      <w:bookmarkStart w:id="14280" w:name="_Toc533544521"/>
      <w:bookmarkStart w:id="14281" w:name="_Toc19390861"/>
      <w:bookmarkStart w:id="14282" w:name="_Toc19394358"/>
      <w:r>
        <w:rPr>
          <w:rFonts w:hint="cs"/>
          <w:rtl/>
        </w:rPr>
        <w:t>דעת הב"ח דפסול במיעוט בתרא הוא מהלמ"מ</w:t>
      </w:r>
      <w:bookmarkEnd w:id="14277"/>
      <w:bookmarkEnd w:id="14278"/>
      <w:bookmarkEnd w:id="14279"/>
      <w:bookmarkEnd w:id="14280"/>
      <w:bookmarkEnd w:id="14281"/>
      <w:bookmarkEnd w:id="14282"/>
    </w:p>
    <w:p w14:paraId="1EAB2B81" w14:textId="77777777" w:rsidR="00436F39" w:rsidRDefault="00436F39" w:rsidP="006D6D32">
      <w:pPr>
        <w:pStyle w:val="a3"/>
        <w:rPr>
          <w:rtl/>
        </w:rPr>
      </w:pPr>
      <w:bookmarkStart w:id="14283" w:name="_Toc533506117"/>
      <w:bookmarkStart w:id="14284" w:name="_Toc533544325"/>
      <w:bookmarkStart w:id="14285" w:name="_Toc533544522"/>
      <w:bookmarkStart w:id="14286" w:name="_Toc19390862"/>
      <w:bookmarkStart w:id="14287" w:name="_Toc19394359"/>
      <w:r>
        <w:rPr>
          <w:rFonts w:hint="cs"/>
          <w:rtl/>
        </w:rPr>
        <w:t>ביאור הב"ח דאף שכבר הוכשרה הבהמה בשחיטת הרוב מ"מ הלמ"מ דהמיעוט בתרא פוסל</w:t>
      </w:r>
      <w:bookmarkEnd w:id="14283"/>
      <w:bookmarkEnd w:id="14284"/>
      <w:bookmarkEnd w:id="14285"/>
      <w:bookmarkEnd w:id="14286"/>
      <w:bookmarkEnd w:id="14287"/>
    </w:p>
    <w:p w14:paraId="27B0B341" w14:textId="77777777" w:rsidR="00436F39" w:rsidRPr="00CF3F68" w:rsidRDefault="00436F39" w:rsidP="00223668">
      <w:pPr>
        <w:pStyle w:val="a0"/>
        <w:rPr>
          <w:rtl/>
        </w:rPr>
      </w:pPr>
      <w:r>
        <w:rPr>
          <w:rFonts w:hint="cs"/>
          <w:rtl/>
        </w:rPr>
        <w:t xml:space="preserve">הקשה </w:t>
      </w:r>
      <w:r w:rsidRPr="00973225">
        <w:rPr>
          <w:rStyle w:val="af9"/>
          <w:rFonts w:hint="cs"/>
          <w:rtl/>
        </w:rPr>
        <w:t>הב"ח</w:t>
      </w:r>
      <w:r>
        <w:rPr>
          <w:rFonts w:hint="cs"/>
          <w:rtl/>
        </w:rPr>
        <w:t xml:space="preserve"> </w:t>
      </w:r>
      <w:r w:rsidRPr="00973225">
        <w:rPr>
          <w:rStyle w:val="af7"/>
          <w:rFonts w:eastAsia="Guttman Hodes" w:hint="cs"/>
          <w:rtl/>
        </w:rPr>
        <w:t>(סי' כ"ד ג' ד"ה גרסי' בגמ')</w:t>
      </w:r>
      <w:r>
        <w:rPr>
          <w:rFonts w:hint="cs"/>
          <w:rtl/>
        </w:rPr>
        <w:t xml:space="preserve"> דהיאך ס"ל </w:t>
      </w:r>
      <w:r w:rsidRPr="00973225">
        <w:rPr>
          <w:rStyle w:val="af9"/>
          <w:rFonts w:hint="cs"/>
          <w:rtl/>
        </w:rPr>
        <w:t>לרש"י</w:t>
      </w:r>
      <w:r>
        <w:rPr>
          <w:rFonts w:hint="cs"/>
          <w:rtl/>
        </w:rPr>
        <w:t xml:space="preserve"> דשהייה במיעוט בתרא פוסלת, הא כבר נשחט רוב הסימן והוא כמחתך בשר בעלמא, ותירץ </w:t>
      </w:r>
      <w:r w:rsidRPr="00973225">
        <w:rPr>
          <w:rStyle w:val="af9"/>
          <w:rFonts w:hint="cs"/>
          <w:rtl/>
        </w:rPr>
        <w:t>הב"ח</w:t>
      </w:r>
      <w:r>
        <w:rPr>
          <w:rFonts w:hint="cs"/>
          <w:rtl/>
        </w:rPr>
        <w:t xml:space="preserve"> דצ"ל דהוא הלכה למשה מסיני.</w:t>
      </w:r>
    </w:p>
    <w:p w14:paraId="40D991B7" w14:textId="77777777" w:rsidR="00436F39" w:rsidRDefault="00436F39" w:rsidP="00BF39B2">
      <w:pPr>
        <w:pStyle w:val="1"/>
        <w:rPr>
          <w:rtl/>
        </w:rPr>
      </w:pPr>
      <w:bookmarkStart w:id="14288" w:name="_Toc533441198"/>
      <w:bookmarkStart w:id="14289" w:name="_Toc533441244"/>
      <w:bookmarkStart w:id="14290" w:name="_Toc533490166"/>
      <w:bookmarkStart w:id="14291" w:name="_Toc533506118"/>
      <w:bookmarkStart w:id="14292" w:name="_Toc533544326"/>
      <w:bookmarkStart w:id="14293" w:name="_Toc533544523"/>
      <w:bookmarkStart w:id="14294" w:name="_Toc19390863"/>
      <w:bookmarkStart w:id="14295" w:name="_Toc19394360"/>
      <w:bookmarkStart w:id="14296" w:name="_Toc533413307"/>
      <w:r w:rsidRPr="00F351C1">
        <w:rPr>
          <w:rFonts w:hint="cs"/>
          <w:rtl/>
        </w:rPr>
        <w:t>ביאורי התבו"ש דאסר</w:t>
      </w:r>
      <w:r>
        <w:rPr>
          <w:rFonts w:hint="cs"/>
          <w:rtl/>
        </w:rPr>
        <w:t>ה</w:t>
      </w:r>
      <w:r w:rsidRPr="00F351C1">
        <w:rPr>
          <w:rFonts w:hint="cs"/>
          <w:rtl/>
        </w:rPr>
        <w:t xml:space="preserve"> </w:t>
      </w:r>
      <w:r>
        <w:rPr>
          <w:rFonts w:hint="cs"/>
          <w:rtl/>
        </w:rPr>
        <w:t>תורה בשהייה</w:t>
      </w:r>
      <w:r w:rsidRPr="00F351C1">
        <w:rPr>
          <w:rFonts w:hint="cs"/>
          <w:rtl/>
        </w:rPr>
        <w:t xml:space="preserve"> שלא ישחוט ב' פעמים</w:t>
      </w:r>
      <w:bookmarkEnd w:id="14288"/>
      <w:bookmarkEnd w:id="14289"/>
      <w:bookmarkEnd w:id="14290"/>
      <w:bookmarkEnd w:id="14291"/>
      <w:bookmarkEnd w:id="14292"/>
      <w:bookmarkEnd w:id="14293"/>
      <w:bookmarkEnd w:id="14294"/>
      <w:bookmarkEnd w:id="14295"/>
    </w:p>
    <w:p w14:paraId="75B7EFCB" w14:textId="77777777" w:rsidR="00436F39" w:rsidRPr="00A55D20" w:rsidRDefault="00436F39" w:rsidP="006D6D32">
      <w:pPr>
        <w:pStyle w:val="a3"/>
        <w:rPr>
          <w:rtl/>
        </w:rPr>
      </w:pPr>
      <w:bookmarkStart w:id="14297" w:name="_Toc533506119"/>
      <w:bookmarkStart w:id="14298" w:name="_Toc533544327"/>
      <w:bookmarkStart w:id="14299" w:name="_Toc533544524"/>
      <w:bookmarkStart w:id="14300" w:name="_Toc19390864"/>
      <w:bookmarkStart w:id="14301" w:name="_Toc19394361"/>
      <w:r>
        <w:rPr>
          <w:rFonts w:hint="cs"/>
          <w:rtl/>
        </w:rPr>
        <w:t>דברי התבו"ש והצל"ח דהספק בשהייה במיעוט בתרא לדעת רש"י הוא מדאו'</w:t>
      </w:r>
      <w:bookmarkEnd w:id="14297"/>
      <w:bookmarkEnd w:id="14298"/>
      <w:bookmarkEnd w:id="14299"/>
      <w:bookmarkEnd w:id="14300"/>
      <w:bookmarkEnd w:id="14301"/>
    </w:p>
    <w:p w14:paraId="2C77488A" w14:textId="77777777" w:rsidR="00436F39" w:rsidRDefault="00436F39" w:rsidP="00223668">
      <w:pPr>
        <w:pStyle w:val="a0"/>
        <w:rPr>
          <w:rtl/>
        </w:rPr>
      </w:pPr>
      <w:bookmarkStart w:id="14302" w:name="_Ref533351132"/>
      <w:r>
        <w:rPr>
          <w:rFonts w:hint="cs"/>
          <w:rtl/>
        </w:rPr>
        <w:t xml:space="preserve">כתבו </w:t>
      </w:r>
      <w:r w:rsidRPr="00257892">
        <w:rPr>
          <w:rStyle w:val="af9"/>
          <w:rFonts w:hint="cs"/>
          <w:rtl/>
        </w:rPr>
        <w:t>התבו"ש</w:t>
      </w:r>
      <w:r>
        <w:rPr>
          <w:rFonts w:hint="cs"/>
          <w:rtl/>
        </w:rPr>
        <w:t xml:space="preserve"> </w:t>
      </w:r>
      <w:r w:rsidRPr="00257A45">
        <w:rPr>
          <w:rStyle w:val="af7"/>
          <w:rFonts w:eastAsia="Guttman Hodes" w:hint="cs"/>
          <w:rtl/>
        </w:rPr>
        <w:t>(סי' כ"ג סק"ט)</w:t>
      </w:r>
      <w:r>
        <w:rPr>
          <w:rFonts w:hint="cs"/>
          <w:rtl/>
        </w:rPr>
        <w:t xml:space="preserve"> </w:t>
      </w:r>
      <w:r>
        <w:rPr>
          <w:rStyle w:val="af9"/>
          <w:rFonts w:hint="cs"/>
          <w:rtl/>
        </w:rPr>
        <w:t>ו</w:t>
      </w:r>
      <w:r w:rsidRPr="00332EB4">
        <w:rPr>
          <w:rStyle w:val="af9"/>
          <w:rFonts w:hint="cs"/>
          <w:rtl/>
        </w:rPr>
        <w:t>הצל"ח</w:t>
      </w:r>
      <w:r>
        <w:rPr>
          <w:rFonts w:hint="cs"/>
          <w:rtl/>
        </w:rPr>
        <w:t xml:space="preserve"> </w:t>
      </w:r>
      <w:r w:rsidRPr="00332EB4">
        <w:rPr>
          <w:rStyle w:val="af7"/>
          <w:rFonts w:eastAsia="Guttman Hodes" w:hint="cs"/>
          <w:rtl/>
        </w:rPr>
        <w:t>(ל: ד"ה בעי)</w:t>
      </w:r>
      <w:r>
        <w:rPr>
          <w:rFonts w:hint="cs"/>
          <w:rtl/>
        </w:rPr>
        <w:t xml:space="preserve"> דלדעת </w:t>
      </w:r>
      <w:r w:rsidRPr="00257892">
        <w:rPr>
          <w:rStyle w:val="af9"/>
          <w:rFonts w:hint="cs"/>
          <w:rtl/>
        </w:rPr>
        <w:t>רש"י</w:t>
      </w:r>
      <w:r>
        <w:rPr>
          <w:rFonts w:hint="cs"/>
          <w:rtl/>
        </w:rPr>
        <w:t xml:space="preserve"> הספק בשהייה במיעוט בתרא הוא מדאו', ועיי"ש</w:t>
      </w:r>
      <w:r w:rsidRPr="00F351C1">
        <w:rPr>
          <w:rFonts w:hint="cs"/>
          <w:rtl/>
        </w:rPr>
        <w:t xml:space="preserve"> בדברי ה</w:t>
      </w:r>
      <w:r w:rsidRPr="00F351C1">
        <w:rPr>
          <w:rStyle w:val="af9"/>
          <w:rFonts w:hint="cs"/>
          <w:rtl/>
        </w:rPr>
        <w:t>תבו"ש</w:t>
      </w:r>
      <w:r w:rsidRPr="00F351C1">
        <w:rPr>
          <w:rFonts w:hint="cs"/>
          <w:rtl/>
        </w:rPr>
        <w:t xml:space="preserve"> דהאריך להוכיח מדברי </w:t>
      </w:r>
      <w:r w:rsidRPr="00F351C1">
        <w:rPr>
          <w:rStyle w:val="af9"/>
          <w:rFonts w:hint="cs"/>
          <w:rtl/>
        </w:rPr>
        <w:t>רש"י</w:t>
      </w:r>
      <w:r w:rsidRPr="00F351C1">
        <w:rPr>
          <w:rFonts w:hint="cs"/>
          <w:rtl/>
        </w:rPr>
        <w:t xml:space="preserve"> דס"ל דהספק הוא מדאו'</w:t>
      </w:r>
      <w:r>
        <w:rPr>
          <w:rFonts w:hint="cs"/>
          <w:rtl/>
        </w:rPr>
        <w:t>.</w:t>
      </w:r>
      <w:r w:rsidRPr="00F351C1">
        <w:rPr>
          <w:rFonts w:hint="cs"/>
          <w:rtl/>
        </w:rPr>
        <w:t xml:space="preserve"> </w:t>
      </w:r>
      <w:r w:rsidRPr="00AB5E08">
        <w:rPr>
          <w:rStyle w:val="afb"/>
          <w:rFonts w:hint="cs"/>
          <w:rtl/>
        </w:rPr>
        <w:t>[</w:t>
      </w:r>
      <w:r>
        <w:rPr>
          <w:rStyle w:val="afb"/>
          <w:rFonts w:hint="cs"/>
          <w:rtl/>
        </w:rPr>
        <w:t>ועו"כ</w:t>
      </w:r>
      <w:r w:rsidRPr="00AB5E08">
        <w:rPr>
          <w:rStyle w:val="afb"/>
          <w:rFonts w:hint="cs"/>
          <w:rtl/>
        </w:rPr>
        <w:t xml:space="preserve"> </w:t>
      </w:r>
      <w:r w:rsidRPr="00AB5E08">
        <w:rPr>
          <w:rStyle w:val="affa"/>
          <w:rFonts w:hint="cs"/>
          <w:rtl/>
        </w:rPr>
        <w:t>התבו"ש</w:t>
      </w:r>
      <w:r w:rsidRPr="00AB5E08">
        <w:rPr>
          <w:rStyle w:val="afb"/>
          <w:rFonts w:hint="cs"/>
          <w:rtl/>
        </w:rPr>
        <w:t xml:space="preserve"> </w:t>
      </w:r>
      <w:r w:rsidRPr="00AB5E08">
        <w:rPr>
          <w:rStyle w:val="aff6"/>
          <w:rFonts w:hint="cs"/>
          <w:rtl/>
        </w:rPr>
        <w:t xml:space="preserve">(עי' אות </w:t>
      </w:r>
      <w:r w:rsidRPr="00AB5E08">
        <w:rPr>
          <w:rStyle w:val="aff6"/>
          <w:rtl/>
        </w:rPr>
        <w:fldChar w:fldCharType="begin"/>
      </w:r>
      <w:r w:rsidRPr="00AB5E08">
        <w:rPr>
          <w:rStyle w:val="aff6"/>
          <w:rtl/>
        </w:rPr>
        <w:instrText xml:space="preserve"> </w:instrText>
      </w:r>
      <w:r w:rsidRPr="00AB5E08">
        <w:rPr>
          <w:rStyle w:val="aff6"/>
          <w:rFonts w:hint="cs"/>
        </w:rPr>
        <w:instrText>REF</w:instrText>
      </w:r>
      <w:r w:rsidRPr="00AB5E08">
        <w:rPr>
          <w:rStyle w:val="aff6"/>
          <w:rFonts w:hint="cs"/>
          <w:rtl/>
        </w:rPr>
        <w:instrText xml:space="preserve"> _</w:instrText>
      </w:r>
      <w:r w:rsidRPr="00AB5E08">
        <w:rPr>
          <w:rStyle w:val="aff6"/>
          <w:rFonts w:hint="cs"/>
        </w:rPr>
        <w:instrText>Ref533351046 \r \h</w:instrText>
      </w:r>
      <w:r w:rsidRPr="00AB5E08">
        <w:rPr>
          <w:rStyle w:val="aff6"/>
          <w:rtl/>
        </w:rPr>
        <w:instrText xml:space="preserve">  \* </w:instrText>
      </w:r>
      <w:r w:rsidRPr="00AB5E08">
        <w:rPr>
          <w:rStyle w:val="aff6"/>
        </w:rPr>
        <w:instrText>MERGEFORMAT</w:instrText>
      </w:r>
      <w:r w:rsidRPr="00AB5E08">
        <w:rPr>
          <w:rStyle w:val="aff6"/>
          <w:rtl/>
        </w:rPr>
        <w:instrText xml:space="preserve"> </w:instrText>
      </w:r>
      <w:r w:rsidRPr="00AB5E08">
        <w:rPr>
          <w:rStyle w:val="aff6"/>
          <w:rtl/>
        </w:rPr>
      </w:r>
      <w:r w:rsidRPr="00AB5E08">
        <w:rPr>
          <w:rStyle w:val="aff6"/>
          <w:rtl/>
        </w:rPr>
        <w:fldChar w:fldCharType="separate"/>
      </w:r>
      <w:r w:rsidR="00345400">
        <w:rPr>
          <w:rStyle w:val="aff6"/>
          <w:cs/>
        </w:rPr>
        <w:t>‎</w:t>
      </w:r>
      <w:r w:rsidR="00345400">
        <w:rPr>
          <w:rStyle w:val="aff6"/>
          <w:rtl/>
        </w:rPr>
        <w:t>ס)</w:t>
      </w:r>
      <w:r w:rsidRPr="00AB5E08">
        <w:rPr>
          <w:rStyle w:val="aff6"/>
          <w:rtl/>
        </w:rPr>
        <w:fldChar w:fldCharType="end"/>
      </w:r>
      <w:r w:rsidRPr="00AB5E08">
        <w:rPr>
          <w:rStyle w:val="aff6"/>
          <w:rFonts w:hint="cs"/>
          <w:rtl/>
        </w:rPr>
        <w:t xml:space="preserve"> </w:t>
      </w:r>
      <w:r w:rsidRPr="00AB5E08">
        <w:rPr>
          <w:rStyle w:val="afb"/>
          <w:rFonts w:hint="cs"/>
          <w:rtl/>
        </w:rPr>
        <w:t xml:space="preserve">דמדברי </w:t>
      </w:r>
      <w:r w:rsidRPr="00AB5E08">
        <w:rPr>
          <w:rStyle w:val="affa"/>
          <w:rFonts w:hint="cs"/>
          <w:rtl/>
        </w:rPr>
        <w:t>הריב"ם והרא"ש</w:t>
      </w:r>
      <w:r w:rsidRPr="00AB5E08">
        <w:rPr>
          <w:rStyle w:val="afb"/>
          <w:rFonts w:hint="cs"/>
          <w:rtl/>
        </w:rPr>
        <w:t xml:space="preserve"> מבואר דהבינו בדעת </w:t>
      </w:r>
      <w:r w:rsidRPr="00AB5E08">
        <w:rPr>
          <w:rStyle w:val="affa"/>
          <w:rFonts w:hint="cs"/>
          <w:rtl/>
        </w:rPr>
        <w:t>רש"י</w:t>
      </w:r>
      <w:r w:rsidRPr="00AB5E08">
        <w:rPr>
          <w:rStyle w:val="afb"/>
          <w:rFonts w:hint="cs"/>
          <w:rtl/>
        </w:rPr>
        <w:t xml:space="preserve"> דהספק הוא מדאו']</w:t>
      </w:r>
      <w:r>
        <w:rPr>
          <w:rFonts w:hint="cs"/>
          <w:rtl/>
        </w:rPr>
        <w:t xml:space="preserve">, ועי' במה שביאר בזה </w:t>
      </w:r>
      <w:r w:rsidRPr="002A0717">
        <w:rPr>
          <w:rStyle w:val="af9"/>
          <w:rFonts w:hint="cs"/>
          <w:rtl/>
        </w:rPr>
        <w:t>החלקת יואב</w:t>
      </w:r>
      <w:r>
        <w:rPr>
          <w:rFonts w:hint="cs"/>
          <w:rtl/>
        </w:rPr>
        <w:t xml:space="preserve"> </w:t>
      </w:r>
      <w:r w:rsidRPr="00722F6E">
        <w:rPr>
          <w:rStyle w:val="af7"/>
          <w:rFonts w:eastAsia="Guttman Hodes" w:hint="cs"/>
          <w:rtl/>
        </w:rPr>
        <w:t xml:space="preserve">(עי' אות </w:t>
      </w:r>
      <w:r w:rsidRPr="00722F6E">
        <w:rPr>
          <w:rStyle w:val="af7"/>
          <w:rFonts w:eastAsia="Guttman Hodes"/>
          <w:rtl/>
        </w:rPr>
        <w:fldChar w:fldCharType="begin"/>
      </w:r>
      <w:r w:rsidRPr="00722F6E">
        <w:rPr>
          <w:rStyle w:val="af7"/>
          <w:rFonts w:eastAsia="Guttman Hodes"/>
          <w:rtl/>
        </w:rPr>
        <w:instrText xml:space="preserve"> </w:instrText>
      </w:r>
      <w:r w:rsidRPr="00722F6E">
        <w:rPr>
          <w:rStyle w:val="af7"/>
          <w:rFonts w:eastAsia="Guttman Hodes" w:hint="cs"/>
        </w:rPr>
        <w:instrText>REF</w:instrText>
      </w:r>
      <w:r w:rsidRPr="00722F6E">
        <w:rPr>
          <w:rStyle w:val="af7"/>
          <w:rFonts w:eastAsia="Guttman Hodes" w:hint="cs"/>
          <w:rtl/>
        </w:rPr>
        <w:instrText xml:space="preserve"> _</w:instrText>
      </w:r>
      <w:r w:rsidRPr="00722F6E">
        <w:rPr>
          <w:rStyle w:val="af7"/>
          <w:rFonts w:eastAsia="Guttman Hodes" w:hint="cs"/>
        </w:rPr>
        <w:instrText>Ref533412660 \r \h</w:instrText>
      </w:r>
      <w:r w:rsidRPr="00722F6E">
        <w:rPr>
          <w:rStyle w:val="af7"/>
          <w:rFonts w:eastAsia="Guttman Hodes"/>
          <w:rtl/>
        </w:rPr>
        <w:instrText xml:space="preserve"> </w:instrText>
      </w:r>
      <w:r w:rsidRPr="00722F6E">
        <w:rPr>
          <w:rStyle w:val="af7"/>
          <w:rFonts w:eastAsia="Guttman Hodes"/>
          <w:rtl/>
        </w:rPr>
      </w:r>
      <w:r w:rsidRPr="00722F6E">
        <w:rPr>
          <w:rStyle w:val="af7"/>
          <w:rFonts w:eastAsia="Guttman Hodes"/>
          <w:rtl/>
        </w:rPr>
        <w:fldChar w:fldCharType="separate"/>
      </w:r>
      <w:r w:rsidR="00345400">
        <w:rPr>
          <w:rStyle w:val="af7"/>
          <w:rFonts w:eastAsia="Guttman Hodes"/>
          <w:cs/>
        </w:rPr>
        <w:t>‎</w:t>
      </w:r>
      <w:r w:rsidR="00345400">
        <w:rPr>
          <w:rStyle w:val="af7"/>
          <w:rFonts w:eastAsia="Guttman Hodes"/>
          <w:rtl/>
        </w:rPr>
        <w:t>עט)</w:t>
      </w:r>
      <w:r w:rsidRPr="00722F6E">
        <w:rPr>
          <w:rStyle w:val="af7"/>
          <w:rFonts w:eastAsia="Guttman Hodes"/>
          <w:rtl/>
        </w:rPr>
        <w:fldChar w:fldCharType="end"/>
      </w:r>
      <w:r>
        <w:rPr>
          <w:rFonts w:hint="cs"/>
          <w:rtl/>
        </w:rPr>
        <w:t xml:space="preserve"> בדין רובו ככולו.</w:t>
      </w:r>
    </w:p>
    <w:p w14:paraId="7726B178" w14:textId="77777777" w:rsidR="00436F39" w:rsidRPr="00E353DF" w:rsidRDefault="00436F39" w:rsidP="006D6D32">
      <w:pPr>
        <w:pStyle w:val="a3"/>
      </w:pPr>
      <w:bookmarkStart w:id="14303" w:name="_Toc533506120"/>
      <w:bookmarkStart w:id="14304" w:name="_Toc533544328"/>
      <w:bookmarkStart w:id="14305" w:name="_Toc533544525"/>
      <w:bookmarkStart w:id="14306" w:name="_Toc19390865"/>
      <w:bookmarkStart w:id="14307" w:name="_Toc19394362"/>
      <w:r>
        <w:rPr>
          <w:rFonts w:hint="cs"/>
          <w:rtl/>
        </w:rPr>
        <w:t>ביאור התבו"ש דפסול שהייה במיעו"ב דאף שכבר שחט רוב</w:t>
      </w:r>
      <w:r w:rsidRPr="00BF3CEF">
        <w:rPr>
          <w:rFonts w:hint="cs"/>
          <w:rtl/>
        </w:rPr>
        <w:t xml:space="preserve"> </w:t>
      </w:r>
      <w:r>
        <w:rPr>
          <w:rFonts w:hint="cs"/>
          <w:rtl/>
        </w:rPr>
        <w:t>הקפידה תורה שלא ישחוט ב' פעמים</w:t>
      </w:r>
      <w:bookmarkEnd w:id="14303"/>
      <w:bookmarkEnd w:id="14304"/>
      <w:bookmarkEnd w:id="14305"/>
      <w:bookmarkEnd w:id="14306"/>
      <w:bookmarkEnd w:id="14307"/>
    </w:p>
    <w:p w14:paraId="2273328B" w14:textId="77777777" w:rsidR="00436F39" w:rsidRDefault="00436F39" w:rsidP="00223668">
      <w:pPr>
        <w:pStyle w:val="a0"/>
        <w:rPr>
          <w:rtl/>
        </w:rPr>
      </w:pPr>
      <w:r>
        <w:rPr>
          <w:rFonts w:hint="cs"/>
          <w:rtl/>
        </w:rPr>
        <w:t xml:space="preserve">וביאר </w:t>
      </w:r>
      <w:r w:rsidRPr="00257892">
        <w:rPr>
          <w:rStyle w:val="af9"/>
          <w:rFonts w:hint="cs"/>
          <w:rtl/>
        </w:rPr>
        <w:t>התבו"ש</w:t>
      </w:r>
      <w:r>
        <w:rPr>
          <w:rFonts w:hint="cs"/>
          <w:rtl/>
        </w:rPr>
        <w:t xml:space="preserve"> דהצד דשהייה במיעוט בתרא פוסלת, הוא שהתורה הקפידה שלא ישחוט ב' פעמים בסימנים, ולכן אף שאם היה מניחה אחר שחיטת הרוב היתה כשרה, מ"מ אחר ששחט ב' פעמים היא פסולה</w:t>
      </w:r>
    </w:p>
    <w:p w14:paraId="3866D257" w14:textId="77777777" w:rsidR="00436F39" w:rsidRPr="006709D4" w:rsidRDefault="00436F39" w:rsidP="006D6D32">
      <w:pPr>
        <w:pStyle w:val="a3"/>
      </w:pPr>
      <w:bookmarkStart w:id="14308" w:name="_Toc533506121"/>
      <w:bookmarkStart w:id="14309" w:name="_Toc533544329"/>
      <w:bookmarkStart w:id="14310" w:name="_Toc533544526"/>
      <w:bookmarkStart w:id="14311" w:name="_Toc19390866"/>
      <w:bookmarkStart w:id="14312" w:name="_Toc19394363"/>
      <w:r>
        <w:rPr>
          <w:rFonts w:hint="cs"/>
          <w:rtl/>
        </w:rPr>
        <w:t>דברי התבו"ש דשהייה במיעוט קמא אינה פוסלת דלא יצאה החיות בזה ואינו נחשב שחיטה</w:t>
      </w:r>
      <w:bookmarkEnd w:id="14308"/>
      <w:bookmarkEnd w:id="14309"/>
      <w:bookmarkEnd w:id="14310"/>
      <w:bookmarkEnd w:id="14311"/>
      <w:bookmarkEnd w:id="14312"/>
    </w:p>
    <w:p w14:paraId="5BA03742" w14:textId="77777777" w:rsidR="00436F39" w:rsidRPr="008F32DF" w:rsidRDefault="00436F39" w:rsidP="00223668">
      <w:pPr>
        <w:pStyle w:val="a0"/>
        <w:rPr>
          <w:rtl/>
        </w:rPr>
      </w:pPr>
      <w:bookmarkStart w:id="14313" w:name="_Ref533498312"/>
      <w:r>
        <w:rPr>
          <w:rFonts w:hint="cs"/>
          <w:rtl/>
        </w:rPr>
        <w:t xml:space="preserve">והוסיף </w:t>
      </w:r>
      <w:r w:rsidRPr="00257892">
        <w:rPr>
          <w:rStyle w:val="af9"/>
          <w:rFonts w:hint="cs"/>
          <w:rtl/>
        </w:rPr>
        <w:t>התבו"ש</w:t>
      </w:r>
      <w:r>
        <w:rPr>
          <w:rFonts w:hint="cs"/>
          <w:rtl/>
        </w:rPr>
        <w:t xml:space="preserve"> דהא דס"ל </w:t>
      </w:r>
      <w:r w:rsidRPr="00257892">
        <w:rPr>
          <w:rStyle w:val="af9"/>
          <w:rFonts w:hint="cs"/>
          <w:rtl/>
        </w:rPr>
        <w:t>לרש"י</w:t>
      </w:r>
      <w:r>
        <w:rPr>
          <w:rFonts w:hint="cs"/>
          <w:rtl/>
        </w:rPr>
        <w:t xml:space="preserve"> דשהייה במיעוט קמא אינה פוסלת כלל, הוא כיון שלא יוצאת החיות במיעוט קמא, ואינו נחשב שחיטה, וממילא לא חשיב ששחט ב' פעמים.</w:t>
      </w:r>
      <w:bookmarkEnd w:id="14302"/>
      <w:bookmarkEnd w:id="14313"/>
    </w:p>
    <w:p w14:paraId="2C74CF25" w14:textId="77777777" w:rsidR="00436F39" w:rsidRDefault="00436F39" w:rsidP="006D6D32">
      <w:pPr>
        <w:pStyle w:val="a3"/>
        <w:rPr>
          <w:rtl/>
        </w:rPr>
      </w:pPr>
      <w:bookmarkStart w:id="14314" w:name="_Toc533506122"/>
      <w:bookmarkStart w:id="14315" w:name="_Toc533544330"/>
      <w:bookmarkStart w:id="14316" w:name="_Toc533544527"/>
      <w:bookmarkStart w:id="14317" w:name="_Toc19390867"/>
      <w:bookmarkStart w:id="14318" w:name="_Toc19394364"/>
      <w:r>
        <w:rPr>
          <w:rFonts w:hint="cs"/>
          <w:rtl/>
        </w:rPr>
        <w:t>דברי התבו"ש דמדפסק רש"י לחומרא מוכח דהוא ספק דאו'</w:t>
      </w:r>
      <w:bookmarkEnd w:id="14314"/>
      <w:bookmarkEnd w:id="14315"/>
      <w:bookmarkEnd w:id="14316"/>
      <w:bookmarkEnd w:id="14317"/>
      <w:bookmarkEnd w:id="14318"/>
    </w:p>
    <w:p w14:paraId="183B9510" w14:textId="77777777" w:rsidR="00436F39" w:rsidRPr="00AB5E08" w:rsidRDefault="00436F39" w:rsidP="00223668">
      <w:pPr>
        <w:pStyle w:val="a0"/>
        <w:rPr>
          <w:rStyle w:val="afb"/>
          <w:rtl/>
        </w:rPr>
      </w:pPr>
      <w:bookmarkStart w:id="14319" w:name="_Ref533500967"/>
      <w:r>
        <w:rPr>
          <w:rFonts w:hint="cs"/>
          <w:rtl/>
        </w:rPr>
        <w:t xml:space="preserve">וכתב </w:t>
      </w:r>
      <w:r w:rsidRPr="00257892">
        <w:rPr>
          <w:rStyle w:val="af9"/>
          <w:rFonts w:hint="cs"/>
          <w:rtl/>
        </w:rPr>
        <w:t>התבו"ש</w:t>
      </w:r>
      <w:r>
        <w:rPr>
          <w:rFonts w:hint="cs"/>
          <w:rtl/>
        </w:rPr>
        <w:t xml:space="preserve"> דכן מוכח מהא דפסק </w:t>
      </w:r>
      <w:r w:rsidRPr="00257892">
        <w:rPr>
          <w:rStyle w:val="af9"/>
          <w:rFonts w:hint="cs"/>
          <w:rtl/>
        </w:rPr>
        <w:t>רש"י</w:t>
      </w:r>
      <w:r>
        <w:rPr>
          <w:rFonts w:hint="cs"/>
          <w:rtl/>
        </w:rPr>
        <w:t xml:space="preserve"> לחומרא כיון שהניחה הגמ' בתיקו, ואי הספק הוא מדרבנן לא היה </w:t>
      </w:r>
      <w:r w:rsidRPr="00257892">
        <w:rPr>
          <w:rStyle w:val="af9"/>
          <w:rFonts w:hint="cs"/>
          <w:rtl/>
        </w:rPr>
        <w:t>לרש"י</w:t>
      </w:r>
      <w:r>
        <w:rPr>
          <w:rFonts w:hint="cs"/>
          <w:rtl/>
        </w:rPr>
        <w:t xml:space="preserve"> להחמיר מספק, אך כתב </w:t>
      </w:r>
      <w:r w:rsidRPr="00413E39">
        <w:rPr>
          <w:rStyle w:val="af9"/>
          <w:rFonts w:hint="cs"/>
          <w:rtl/>
        </w:rPr>
        <w:t>התבו"ש</w:t>
      </w:r>
      <w:r>
        <w:rPr>
          <w:rFonts w:hint="cs"/>
          <w:rtl/>
        </w:rPr>
        <w:t xml:space="preserve"> דיתכן דס"ל כדעת </w:t>
      </w:r>
      <w:r w:rsidRPr="004827A7">
        <w:rPr>
          <w:rStyle w:val="af9"/>
          <w:rFonts w:hint="cs"/>
          <w:rtl/>
        </w:rPr>
        <w:t>הראשונים</w:t>
      </w:r>
      <w:r>
        <w:rPr>
          <w:rFonts w:hint="cs"/>
          <w:rtl/>
        </w:rPr>
        <w:t xml:space="preserve"> </w:t>
      </w:r>
      <w:r w:rsidRPr="004827A7">
        <w:rPr>
          <w:rStyle w:val="afb"/>
          <w:rFonts w:hint="cs"/>
          <w:rtl/>
        </w:rPr>
        <w:t xml:space="preserve">[שהובאו </w:t>
      </w:r>
      <w:r w:rsidRPr="004827A7">
        <w:rPr>
          <w:rStyle w:val="affa"/>
          <w:rFonts w:hint="cs"/>
          <w:rtl/>
        </w:rPr>
        <w:t>בההג"מ</w:t>
      </w:r>
      <w:r w:rsidRPr="004827A7">
        <w:rPr>
          <w:rStyle w:val="afb"/>
          <w:rFonts w:hint="cs"/>
          <w:rtl/>
        </w:rPr>
        <w:t xml:space="preserve"> </w:t>
      </w:r>
      <w:r w:rsidRPr="00F84B0C">
        <w:rPr>
          <w:rStyle w:val="aff6"/>
          <w:rFonts w:hint="cs"/>
          <w:rtl/>
        </w:rPr>
        <w:t>(חמץ ומצה פ"ב הט"ז)</w:t>
      </w:r>
      <w:r w:rsidRPr="004827A7">
        <w:rPr>
          <w:rStyle w:val="afb"/>
          <w:rFonts w:hint="cs"/>
          <w:rtl/>
        </w:rPr>
        <w:t>]</w:t>
      </w:r>
      <w:r>
        <w:rPr>
          <w:rFonts w:hint="cs"/>
          <w:rtl/>
        </w:rPr>
        <w:t xml:space="preserve"> דאף במקום שהניחה הגמ' בתיקו, אזלינן בדרבנן לקולא.</w:t>
      </w:r>
      <w:bookmarkEnd w:id="14319"/>
    </w:p>
    <w:p w14:paraId="40D23964" w14:textId="77777777" w:rsidR="00436F39" w:rsidRDefault="00436F39" w:rsidP="006D6D32">
      <w:pPr>
        <w:pStyle w:val="a3"/>
        <w:rPr>
          <w:rtl/>
        </w:rPr>
      </w:pPr>
      <w:bookmarkStart w:id="14320" w:name="_Toc533506123"/>
      <w:bookmarkStart w:id="14321" w:name="_Toc533544331"/>
      <w:bookmarkStart w:id="14322" w:name="_Toc533544528"/>
      <w:bookmarkStart w:id="14323" w:name="_Toc19390868"/>
      <w:bookmarkStart w:id="14324" w:name="_Toc19394365"/>
      <w:r>
        <w:rPr>
          <w:rFonts w:hint="cs"/>
          <w:rtl/>
        </w:rPr>
        <w:t>דברי הפרמ"ג והנוב"י דאף אי הספק מדרבנן צריך להחמיר כיון שיש לבהמה חזקת איסור</w:t>
      </w:r>
      <w:bookmarkEnd w:id="14320"/>
      <w:bookmarkEnd w:id="14321"/>
      <w:bookmarkEnd w:id="14322"/>
      <w:bookmarkEnd w:id="14323"/>
      <w:bookmarkEnd w:id="14324"/>
    </w:p>
    <w:p w14:paraId="5BF07C1B" w14:textId="77777777" w:rsidR="00436F39" w:rsidRDefault="00436F39" w:rsidP="00223668">
      <w:pPr>
        <w:pStyle w:val="a0"/>
        <w:rPr>
          <w:rStyle w:val="afb"/>
          <w:rtl/>
        </w:rPr>
      </w:pPr>
      <w:bookmarkStart w:id="14325" w:name="_Ref533499358"/>
      <w:r>
        <w:rPr>
          <w:rFonts w:hint="cs"/>
          <w:rtl/>
        </w:rPr>
        <w:t>ו</w:t>
      </w:r>
      <w:r w:rsidRPr="000F2E35">
        <w:rPr>
          <w:rStyle w:val="af9"/>
          <w:rFonts w:hint="cs"/>
          <w:rtl/>
        </w:rPr>
        <w:t>הפרמ"ג</w:t>
      </w:r>
      <w:r>
        <w:rPr>
          <w:rFonts w:hint="cs"/>
          <w:rtl/>
        </w:rPr>
        <w:t xml:space="preserve"> </w:t>
      </w:r>
      <w:r w:rsidRPr="000F2E35">
        <w:rPr>
          <w:rStyle w:val="af7"/>
          <w:rFonts w:eastAsia="Guttman Hodes" w:hint="cs"/>
          <w:rtl/>
        </w:rPr>
        <w:t>(סי' כ"ג משב"ז סק"ד)</w:t>
      </w:r>
      <w:r>
        <w:rPr>
          <w:rFonts w:hint="cs"/>
          <w:rtl/>
        </w:rPr>
        <w:t xml:space="preserve"> </w:t>
      </w:r>
      <w:r>
        <w:rPr>
          <w:rStyle w:val="af9"/>
          <w:rFonts w:hint="cs"/>
          <w:rtl/>
        </w:rPr>
        <w:t>וה</w:t>
      </w:r>
      <w:r w:rsidRPr="00EE6847">
        <w:rPr>
          <w:rStyle w:val="af9"/>
          <w:rFonts w:hint="cs"/>
          <w:rtl/>
        </w:rPr>
        <w:t>נוב"י</w:t>
      </w:r>
      <w:r>
        <w:rPr>
          <w:rFonts w:hint="cs"/>
          <w:rtl/>
        </w:rPr>
        <w:t xml:space="preserve"> </w:t>
      </w:r>
      <w:r w:rsidRPr="00086318">
        <w:rPr>
          <w:rStyle w:val="af7"/>
          <w:rFonts w:eastAsia="Guttman Hodes" w:hint="cs"/>
          <w:rtl/>
        </w:rPr>
        <w:t>(מהדו"ת יו"ד סי' ב')</w:t>
      </w:r>
      <w:r>
        <w:rPr>
          <w:rFonts w:hint="cs"/>
          <w:rtl/>
        </w:rPr>
        <w:t xml:space="preserve"> כתבו דאפש"ל דאף אם הספק הוא מדרבנן, מ"מ לדינא צריך להחמיר כיון שמעמידים על חזקתה דבהמה בחייה בחזקת איסור עומדת. </w:t>
      </w:r>
      <w:r w:rsidRPr="00EA22ED">
        <w:rPr>
          <w:rStyle w:val="afb"/>
          <w:rFonts w:hint="cs"/>
          <w:rtl/>
        </w:rPr>
        <w:t xml:space="preserve">[ועי' בדברי </w:t>
      </w:r>
      <w:r w:rsidRPr="00EA22ED">
        <w:rPr>
          <w:rStyle w:val="affa"/>
          <w:rFonts w:hint="cs"/>
          <w:rtl/>
        </w:rPr>
        <w:t>הש"ש</w:t>
      </w:r>
      <w:r w:rsidRPr="00EA22ED">
        <w:rPr>
          <w:rStyle w:val="afb"/>
          <w:rFonts w:hint="cs"/>
          <w:rtl/>
        </w:rPr>
        <w:t xml:space="preserve"> </w:t>
      </w:r>
      <w:r w:rsidRPr="00CB01ED">
        <w:rPr>
          <w:rStyle w:val="aff6"/>
          <w:rFonts w:hint="cs"/>
          <w:rtl/>
        </w:rPr>
        <w:t xml:space="preserve">(עי' אות </w:t>
      </w:r>
      <w:r w:rsidRPr="00CB01ED">
        <w:rPr>
          <w:rStyle w:val="aff6"/>
          <w:rtl/>
        </w:rPr>
        <w:fldChar w:fldCharType="begin"/>
      </w:r>
      <w:r w:rsidRPr="00CB01ED">
        <w:rPr>
          <w:rStyle w:val="aff6"/>
          <w:rtl/>
        </w:rPr>
        <w:instrText xml:space="preserve"> </w:instrText>
      </w:r>
      <w:r w:rsidRPr="00CB01ED">
        <w:rPr>
          <w:rStyle w:val="aff6"/>
          <w:rFonts w:hint="cs"/>
        </w:rPr>
        <w:instrText>REF</w:instrText>
      </w:r>
      <w:r w:rsidRPr="00CB01ED">
        <w:rPr>
          <w:rStyle w:val="aff6"/>
          <w:rFonts w:hint="cs"/>
          <w:rtl/>
        </w:rPr>
        <w:instrText xml:space="preserve"> _</w:instrText>
      </w:r>
      <w:r w:rsidRPr="00CB01ED">
        <w:rPr>
          <w:rStyle w:val="aff6"/>
          <w:rFonts w:hint="cs"/>
        </w:rPr>
        <w:instrText>Ref533499237 \r \h</w:instrText>
      </w:r>
      <w:r w:rsidRPr="00CB01ED">
        <w:rPr>
          <w:rStyle w:val="aff6"/>
          <w:rtl/>
        </w:rPr>
        <w:instrText xml:space="preserve"> </w:instrText>
      </w:r>
      <w:r w:rsidRPr="00CB01ED">
        <w:rPr>
          <w:rStyle w:val="aff6"/>
          <w:rtl/>
        </w:rPr>
      </w:r>
      <w:r w:rsidRPr="00CB01ED">
        <w:rPr>
          <w:rStyle w:val="aff6"/>
          <w:rtl/>
        </w:rPr>
        <w:fldChar w:fldCharType="separate"/>
      </w:r>
      <w:r w:rsidR="00345400">
        <w:rPr>
          <w:rStyle w:val="aff6"/>
          <w:cs/>
        </w:rPr>
        <w:t>‎</w:t>
      </w:r>
      <w:r w:rsidR="00345400">
        <w:rPr>
          <w:rStyle w:val="aff6"/>
          <w:rtl/>
        </w:rPr>
        <w:t>סט)</w:t>
      </w:r>
      <w:r w:rsidRPr="00CB01ED">
        <w:rPr>
          <w:rStyle w:val="aff6"/>
          <w:rtl/>
        </w:rPr>
        <w:fldChar w:fldCharType="end"/>
      </w:r>
      <w:r w:rsidRPr="00CB01ED">
        <w:rPr>
          <w:rStyle w:val="aff6"/>
          <w:rFonts w:hint="cs"/>
          <w:rtl/>
        </w:rPr>
        <w:t xml:space="preserve"> </w:t>
      </w:r>
      <w:r w:rsidRPr="00EA22ED">
        <w:rPr>
          <w:rStyle w:val="afb"/>
          <w:rFonts w:hint="cs"/>
          <w:rtl/>
        </w:rPr>
        <w:t>ש</w:t>
      </w:r>
      <w:r>
        <w:rPr>
          <w:rStyle w:val="afb"/>
          <w:rFonts w:hint="cs"/>
          <w:rtl/>
        </w:rPr>
        <w:t>ה</w:t>
      </w:r>
      <w:r w:rsidRPr="00EA22ED">
        <w:rPr>
          <w:rStyle w:val="afb"/>
          <w:rFonts w:hint="cs"/>
          <w:rtl/>
        </w:rPr>
        <w:t>סתפק אי יש לבהמה חזקת איסור אחר שחיטת הרוב].</w:t>
      </w:r>
      <w:bookmarkEnd w:id="14325"/>
      <w:r w:rsidRPr="00EA22ED">
        <w:rPr>
          <w:rStyle w:val="afb"/>
          <w:rFonts w:hint="cs"/>
          <w:rtl/>
        </w:rPr>
        <w:t xml:space="preserve">  </w:t>
      </w:r>
    </w:p>
    <w:p w14:paraId="33D5FC4A" w14:textId="77777777" w:rsidR="00436F39" w:rsidRPr="005C5A33" w:rsidRDefault="00436F39" w:rsidP="00BF39B2">
      <w:pPr>
        <w:pStyle w:val="1"/>
        <w:rPr>
          <w:rtl/>
        </w:rPr>
      </w:pPr>
      <w:bookmarkStart w:id="14326" w:name="_Toc533441199"/>
      <w:bookmarkStart w:id="14327" w:name="_Toc533441245"/>
      <w:bookmarkStart w:id="14328" w:name="_Toc533490167"/>
      <w:bookmarkStart w:id="14329" w:name="_Toc533506124"/>
      <w:bookmarkStart w:id="14330" w:name="_Toc533544332"/>
      <w:bookmarkStart w:id="14331" w:name="_Toc533544529"/>
      <w:bookmarkStart w:id="14332" w:name="_Toc19390869"/>
      <w:bookmarkStart w:id="14333" w:name="_Toc19394366"/>
      <w:r>
        <w:rPr>
          <w:rFonts w:hint="cs"/>
          <w:rtl/>
        </w:rPr>
        <w:t xml:space="preserve">ביאור התפאר"י </w:t>
      </w:r>
      <w:bookmarkEnd w:id="14296"/>
      <w:bookmarkEnd w:id="14326"/>
      <w:bookmarkEnd w:id="14327"/>
      <w:bookmarkEnd w:id="14328"/>
      <w:r>
        <w:rPr>
          <w:rFonts w:hint="cs"/>
          <w:rtl/>
        </w:rPr>
        <w:t>דרובו ככולו אינו יכול להכשיר פסול במיעו"ב</w:t>
      </w:r>
      <w:bookmarkEnd w:id="14329"/>
      <w:bookmarkEnd w:id="14330"/>
      <w:bookmarkEnd w:id="14331"/>
      <w:bookmarkEnd w:id="14332"/>
      <w:bookmarkEnd w:id="14333"/>
    </w:p>
    <w:p w14:paraId="333C6C9D" w14:textId="77777777" w:rsidR="00436F39" w:rsidRDefault="00436F39" w:rsidP="006D6D32">
      <w:pPr>
        <w:pStyle w:val="a3"/>
        <w:rPr>
          <w:rtl/>
        </w:rPr>
      </w:pPr>
      <w:bookmarkStart w:id="14334" w:name="_Toc533506125"/>
      <w:bookmarkStart w:id="14335" w:name="_Toc533544333"/>
      <w:bookmarkStart w:id="14336" w:name="_Toc533544530"/>
      <w:bookmarkStart w:id="14337" w:name="_Toc19390870"/>
      <w:bookmarkStart w:id="14338" w:name="_Toc19394367"/>
      <w:bookmarkStart w:id="14339" w:name="_Toc532453972"/>
      <w:bookmarkStart w:id="14340" w:name="_Toc532454006"/>
      <w:bookmarkStart w:id="14341" w:name="_Toc532550665"/>
      <w:bookmarkStart w:id="14342" w:name="_Toc532550731"/>
      <w:bookmarkStart w:id="14343" w:name="_Toc532810058"/>
      <w:r>
        <w:rPr>
          <w:rFonts w:hint="cs"/>
          <w:rtl/>
        </w:rPr>
        <w:t>ביאור התפאר"י דכששחט את המיעו"ב בפסול א"א להופכו לכשר ע"י דין רובו ככולו</w:t>
      </w:r>
      <w:bookmarkEnd w:id="14334"/>
      <w:bookmarkEnd w:id="14335"/>
      <w:bookmarkEnd w:id="14336"/>
      <w:bookmarkEnd w:id="14337"/>
      <w:bookmarkEnd w:id="14338"/>
    </w:p>
    <w:p w14:paraId="301F92AF" w14:textId="77777777" w:rsidR="00436F39" w:rsidRDefault="00436F39" w:rsidP="00223668">
      <w:pPr>
        <w:pStyle w:val="a0"/>
        <w:rPr>
          <w:rtl/>
        </w:rPr>
      </w:pPr>
      <w:r w:rsidRPr="0037110F">
        <w:rPr>
          <w:rFonts w:hint="cs"/>
          <w:rtl/>
        </w:rPr>
        <w:t xml:space="preserve">כתב </w:t>
      </w:r>
      <w:r w:rsidRPr="0037110F">
        <w:rPr>
          <w:rStyle w:val="af9"/>
          <w:rFonts w:hint="cs"/>
          <w:rtl/>
        </w:rPr>
        <w:t>התפארת יעקב</w:t>
      </w:r>
      <w:r w:rsidRPr="0037110F">
        <w:rPr>
          <w:rFonts w:hint="cs"/>
          <w:rtl/>
        </w:rPr>
        <w:t xml:space="preserve"> </w:t>
      </w:r>
      <w:r w:rsidRPr="00257A45">
        <w:rPr>
          <w:rStyle w:val="af7"/>
          <w:rFonts w:eastAsia="Guttman Hodes" w:hint="cs"/>
          <w:rtl/>
        </w:rPr>
        <w:t>(לקמן ל: ד"ה בעי ר"פ)</w:t>
      </w:r>
      <w:r w:rsidRPr="0037110F">
        <w:rPr>
          <w:rFonts w:hint="cs"/>
          <w:rtl/>
        </w:rPr>
        <w:t xml:space="preserve"> </w:t>
      </w:r>
      <w:r>
        <w:rPr>
          <w:rFonts w:hint="cs"/>
          <w:rtl/>
        </w:rPr>
        <w:t xml:space="preserve">דס"ל </w:t>
      </w:r>
      <w:r w:rsidRPr="0037110F">
        <w:rPr>
          <w:rStyle w:val="af9"/>
          <w:rFonts w:hint="cs"/>
          <w:rtl/>
        </w:rPr>
        <w:t>לרש"י</w:t>
      </w:r>
      <w:r>
        <w:rPr>
          <w:rFonts w:hint="cs"/>
          <w:rtl/>
        </w:rPr>
        <w:t xml:space="preserve"> דמעיקר הדין צריך לשחוט את כל הסימן, אלא דמהני שחיטת הרוב מדין רובו ככולו, אך כ"ז דוקא אם שחט רק את הרוב בכשרות, דחשיב שכל הסימן נשחט בכשרות, אבל אם שחט את כל הסימן, ואחר שחיטת הרוב פסל את השחיטה במיעוט בתרא, לא שייך לומר דהרוב מכשיר כאילו אף המיעוט נשחט בהכשר, דכיון שהמיעוט נשחט שלא בהכשר, א"א להפוך אותו לכשר ע"י הרוב שנשחט בהכשר, וכ"מ דמהני רובו ככולו הוא במקום שלא שחט את המיעוט כלל, דאמרינן שמה שלא עשה כאילו עשה, אך א"א לומר שמה שעשה בפסול יחשב שעשה בהכשר.</w:t>
      </w:r>
    </w:p>
    <w:p w14:paraId="464B20A3" w14:textId="77777777" w:rsidR="00436F39" w:rsidRDefault="00436F39" w:rsidP="006D6D32">
      <w:pPr>
        <w:pStyle w:val="a3"/>
        <w:rPr>
          <w:rtl/>
        </w:rPr>
      </w:pPr>
      <w:bookmarkStart w:id="14344" w:name="_Toc533506126"/>
      <w:bookmarkStart w:id="14345" w:name="_Toc533544334"/>
      <w:bookmarkStart w:id="14346" w:name="_Toc533544531"/>
      <w:bookmarkStart w:id="14347" w:name="_Toc19390871"/>
      <w:bookmarkStart w:id="14348" w:name="_Toc19394368"/>
      <w:r>
        <w:rPr>
          <w:rFonts w:hint="cs"/>
          <w:rtl/>
        </w:rPr>
        <w:t>ביאור הגר"ש היימן דחשיב שחיטה אחת וכששחט מיעוט בפסול בטל ממנו דין רוב</w:t>
      </w:r>
      <w:bookmarkEnd w:id="14344"/>
      <w:bookmarkEnd w:id="14345"/>
      <w:bookmarkEnd w:id="14346"/>
      <w:bookmarkEnd w:id="14347"/>
      <w:bookmarkEnd w:id="14348"/>
      <w:r>
        <w:rPr>
          <w:rFonts w:hint="cs"/>
          <w:rtl/>
        </w:rPr>
        <w:t xml:space="preserve"> </w:t>
      </w:r>
    </w:p>
    <w:p w14:paraId="4B2FD79E" w14:textId="77777777" w:rsidR="00436F39" w:rsidRDefault="00436F39" w:rsidP="00223668">
      <w:pPr>
        <w:pStyle w:val="a0"/>
        <w:rPr>
          <w:rtl/>
        </w:rPr>
      </w:pPr>
      <w:r>
        <w:rPr>
          <w:rtl/>
        </w:rPr>
        <w:t>ו</w:t>
      </w:r>
      <w:r>
        <w:rPr>
          <w:rFonts w:hint="cs"/>
          <w:rtl/>
        </w:rPr>
        <w:t xml:space="preserve">ביאר </w:t>
      </w:r>
      <w:r w:rsidRPr="007F1BF5">
        <w:rPr>
          <w:rStyle w:val="af9"/>
          <w:rtl/>
        </w:rPr>
        <w:t>בשיעורי רבי שלמה</w:t>
      </w:r>
      <w:r>
        <w:rPr>
          <w:rtl/>
        </w:rPr>
        <w:t xml:space="preserve"> [הנדמ"ח] </w:t>
      </w:r>
      <w:r w:rsidRPr="00257A45">
        <w:rPr>
          <w:rStyle w:val="af7"/>
          <w:rFonts w:eastAsia="Guttman Hodes"/>
          <w:rtl/>
        </w:rPr>
        <w:t>(חולין סי' י"ד ד</w:t>
      </w:r>
      <w:r w:rsidRPr="00257A45">
        <w:rPr>
          <w:rStyle w:val="af7"/>
          <w:rFonts w:eastAsia="Guttman Hodes" w:hint="cs"/>
          <w:rtl/>
        </w:rPr>
        <w:t>"</w:t>
      </w:r>
      <w:r w:rsidRPr="00257A45">
        <w:rPr>
          <w:rStyle w:val="af7"/>
          <w:rFonts w:eastAsia="Guttman Hodes"/>
          <w:rtl/>
        </w:rPr>
        <w:t>ה</w:t>
      </w:r>
      <w:r w:rsidRPr="00257A45">
        <w:rPr>
          <w:rStyle w:val="af7"/>
          <w:rFonts w:eastAsia="Guttman Hodes" w:hint="cs"/>
          <w:rtl/>
        </w:rPr>
        <w:t xml:space="preserve"> ובס' תפארת יעקב) </w:t>
      </w:r>
      <w:r>
        <w:rPr>
          <w:rFonts w:hint="cs"/>
          <w:rtl/>
        </w:rPr>
        <w:t xml:space="preserve">דלדברי </w:t>
      </w:r>
      <w:r w:rsidRPr="00C2744A">
        <w:rPr>
          <w:rStyle w:val="af9"/>
          <w:rFonts w:hint="cs"/>
          <w:rtl/>
        </w:rPr>
        <w:t>התפארת יעקב</w:t>
      </w:r>
      <w:r>
        <w:rPr>
          <w:rFonts w:hint="cs"/>
          <w:rtl/>
        </w:rPr>
        <w:t xml:space="preserve"> כל השחיטה עם המיעוט בתרא חשיבא כשחיטה אחת, ויש דין שצריך לשחוט את כל הסימן בהכשר, ואם שחט מיעוט בפסול, בטל ממנו דין רוב, דא"א לומר רוב ככולו כששחט את כולו, וחלק ממה ששחט נשחט בפסול, דהוא דבר והיפוכו לומר דהרוב נשחט בהכשר והמיעוט בפסול, וחשיב שכולו נשחט בהכשר.</w:t>
      </w:r>
    </w:p>
    <w:p w14:paraId="056FB067" w14:textId="77777777" w:rsidR="00436F39" w:rsidRDefault="00436F39" w:rsidP="006D6D32">
      <w:pPr>
        <w:pStyle w:val="a3"/>
        <w:rPr>
          <w:rtl/>
        </w:rPr>
      </w:pPr>
      <w:bookmarkStart w:id="14349" w:name="_Toc533506127"/>
      <w:bookmarkStart w:id="14350" w:name="_Toc533544335"/>
      <w:bookmarkStart w:id="14351" w:name="_Toc533544532"/>
      <w:bookmarkStart w:id="14352" w:name="_Toc19390872"/>
      <w:bookmarkStart w:id="14353" w:name="_Toc19394369"/>
      <w:r>
        <w:rPr>
          <w:rFonts w:hint="cs"/>
          <w:rtl/>
        </w:rPr>
        <w:t>דברי התפאר"י דהספק במיעו"ב מדאו' דמדרבנן א"צ להחמיר כיון שלא איתחזק איסורא</w:t>
      </w:r>
      <w:bookmarkEnd w:id="14349"/>
      <w:bookmarkEnd w:id="14350"/>
      <w:bookmarkEnd w:id="14351"/>
      <w:bookmarkEnd w:id="14352"/>
      <w:bookmarkEnd w:id="14353"/>
    </w:p>
    <w:p w14:paraId="28CF1764" w14:textId="77777777" w:rsidR="00436F39" w:rsidRPr="003145E7" w:rsidRDefault="00436F39" w:rsidP="00223668">
      <w:pPr>
        <w:pStyle w:val="a0"/>
        <w:rPr>
          <w:rtl/>
        </w:rPr>
      </w:pPr>
      <w:bookmarkStart w:id="14354" w:name="_Ref533500321"/>
      <w:r>
        <w:rPr>
          <w:rFonts w:hint="cs"/>
          <w:rtl/>
        </w:rPr>
        <w:t xml:space="preserve">וכתב </w:t>
      </w:r>
      <w:r w:rsidRPr="0037110F">
        <w:rPr>
          <w:rStyle w:val="af9"/>
          <w:rFonts w:hint="cs"/>
          <w:rtl/>
        </w:rPr>
        <w:t>התפארת יעקב</w:t>
      </w:r>
      <w:r>
        <w:rPr>
          <w:rFonts w:hint="cs"/>
          <w:rtl/>
        </w:rPr>
        <w:t xml:space="preserve"> דלפי"ז ס"ל </w:t>
      </w:r>
      <w:r w:rsidRPr="0037110F">
        <w:rPr>
          <w:rStyle w:val="af9"/>
          <w:rFonts w:hint="cs"/>
          <w:rtl/>
        </w:rPr>
        <w:t>לרש"י ולבה"ג</w:t>
      </w:r>
      <w:r>
        <w:rPr>
          <w:rFonts w:hint="cs"/>
          <w:rtl/>
        </w:rPr>
        <w:t xml:space="preserve"> הספק במיעוט בתרא הוא מדאו' ולא מדרבנן, ולכן פסקו שצריך להחמיר מספק, אבל אם היה ספק </w:t>
      </w:r>
      <w:r w:rsidRPr="00027823">
        <w:rPr>
          <w:rFonts w:hint="cs"/>
          <w:rtl/>
        </w:rPr>
        <w:t>מדרבנן לא היו מחמירים כיון שלא איתחזק איסורא</w:t>
      </w:r>
      <w:r>
        <w:rPr>
          <w:rFonts w:hint="cs"/>
          <w:rtl/>
        </w:rPr>
        <w:t>,</w:t>
      </w:r>
      <w:r w:rsidRPr="00027823">
        <w:rPr>
          <w:rFonts w:hint="cs"/>
          <w:rtl/>
        </w:rPr>
        <w:t xml:space="preserve"> ודוקא</w:t>
      </w:r>
      <w:r>
        <w:rPr>
          <w:rFonts w:hint="cs"/>
          <w:rtl/>
        </w:rPr>
        <w:t xml:space="preserve"> במקום שהספק הוא האם רבנן אסרי בכה"ג, אפשר להחמיר מספק. </w:t>
      </w:r>
      <w:r w:rsidRPr="00EA22ED">
        <w:rPr>
          <w:rStyle w:val="afb"/>
          <w:rFonts w:hint="cs"/>
          <w:rtl/>
        </w:rPr>
        <w:t xml:space="preserve">[ועי' בדברי </w:t>
      </w:r>
      <w:r w:rsidRPr="00EA22ED">
        <w:rPr>
          <w:rStyle w:val="affa"/>
          <w:rFonts w:hint="cs"/>
          <w:rtl/>
        </w:rPr>
        <w:t>הש"ש</w:t>
      </w:r>
      <w:r w:rsidRPr="00EA22ED">
        <w:rPr>
          <w:rStyle w:val="afb"/>
          <w:rFonts w:hint="cs"/>
          <w:rtl/>
        </w:rPr>
        <w:t xml:space="preserve"> </w:t>
      </w:r>
      <w:r w:rsidRPr="00CB01ED">
        <w:rPr>
          <w:rStyle w:val="aff6"/>
          <w:rFonts w:hint="cs"/>
          <w:rtl/>
        </w:rPr>
        <w:t xml:space="preserve">(עי' אות </w:t>
      </w:r>
      <w:r w:rsidRPr="00CB01ED">
        <w:rPr>
          <w:rStyle w:val="aff6"/>
          <w:rtl/>
        </w:rPr>
        <w:fldChar w:fldCharType="begin"/>
      </w:r>
      <w:r w:rsidRPr="00CB01ED">
        <w:rPr>
          <w:rStyle w:val="aff6"/>
          <w:rtl/>
        </w:rPr>
        <w:instrText xml:space="preserve"> </w:instrText>
      </w:r>
      <w:r w:rsidRPr="00CB01ED">
        <w:rPr>
          <w:rStyle w:val="aff6"/>
          <w:rFonts w:hint="cs"/>
        </w:rPr>
        <w:instrText>REF</w:instrText>
      </w:r>
      <w:r w:rsidRPr="00CB01ED">
        <w:rPr>
          <w:rStyle w:val="aff6"/>
          <w:rFonts w:hint="cs"/>
          <w:rtl/>
        </w:rPr>
        <w:instrText xml:space="preserve"> _</w:instrText>
      </w:r>
      <w:r w:rsidRPr="00CB01ED">
        <w:rPr>
          <w:rStyle w:val="aff6"/>
          <w:rFonts w:hint="cs"/>
        </w:rPr>
        <w:instrText>Ref533499237 \r \h</w:instrText>
      </w:r>
      <w:r w:rsidRPr="00CB01ED">
        <w:rPr>
          <w:rStyle w:val="aff6"/>
          <w:rtl/>
        </w:rPr>
        <w:instrText xml:space="preserve"> </w:instrText>
      </w:r>
      <w:r w:rsidRPr="00CB01ED">
        <w:rPr>
          <w:rStyle w:val="aff6"/>
          <w:rtl/>
        </w:rPr>
      </w:r>
      <w:r w:rsidRPr="00CB01ED">
        <w:rPr>
          <w:rStyle w:val="aff6"/>
          <w:rtl/>
        </w:rPr>
        <w:fldChar w:fldCharType="separate"/>
      </w:r>
      <w:r w:rsidR="00345400">
        <w:rPr>
          <w:rStyle w:val="aff6"/>
          <w:cs/>
        </w:rPr>
        <w:t>‎</w:t>
      </w:r>
      <w:r w:rsidR="00345400">
        <w:rPr>
          <w:rStyle w:val="aff6"/>
          <w:rtl/>
        </w:rPr>
        <w:t>סט)</w:t>
      </w:r>
      <w:r w:rsidRPr="00CB01ED">
        <w:rPr>
          <w:rStyle w:val="aff6"/>
          <w:rtl/>
        </w:rPr>
        <w:fldChar w:fldCharType="end"/>
      </w:r>
      <w:r w:rsidRPr="00CB01ED">
        <w:rPr>
          <w:rStyle w:val="aff6"/>
          <w:rFonts w:hint="cs"/>
          <w:rtl/>
        </w:rPr>
        <w:t xml:space="preserve"> </w:t>
      </w:r>
      <w:r w:rsidRPr="00EA22ED">
        <w:rPr>
          <w:rStyle w:val="afb"/>
          <w:rFonts w:hint="cs"/>
          <w:rtl/>
        </w:rPr>
        <w:t>ש</w:t>
      </w:r>
      <w:r>
        <w:rPr>
          <w:rStyle w:val="afb"/>
          <w:rFonts w:hint="cs"/>
          <w:rtl/>
        </w:rPr>
        <w:t>ה</w:t>
      </w:r>
      <w:r w:rsidRPr="00EA22ED">
        <w:rPr>
          <w:rStyle w:val="afb"/>
          <w:rFonts w:hint="cs"/>
          <w:rtl/>
        </w:rPr>
        <w:t>סתפק אי יש לבהמה חזקת איסור אחר שחיטת הרוב].</w:t>
      </w:r>
      <w:bookmarkEnd w:id="14354"/>
    </w:p>
    <w:p w14:paraId="2BC1251B" w14:textId="77777777" w:rsidR="00436F39" w:rsidRDefault="00436F39" w:rsidP="006D6D32">
      <w:pPr>
        <w:pStyle w:val="afe"/>
        <w:rPr>
          <w:rtl/>
        </w:rPr>
      </w:pPr>
      <w:bookmarkStart w:id="14355" w:name="_Toc533441200"/>
      <w:bookmarkStart w:id="14356" w:name="_Toc533441246"/>
      <w:bookmarkStart w:id="14357" w:name="_Toc533490168"/>
      <w:bookmarkStart w:id="14358" w:name="_Toc533506128"/>
      <w:bookmarkStart w:id="14359" w:name="_Toc533544336"/>
      <w:bookmarkStart w:id="14360" w:name="_Toc533544533"/>
      <w:bookmarkStart w:id="14361" w:name="_Toc19435924"/>
      <w:bookmarkStart w:id="14362" w:name="_Toc20081151"/>
      <w:bookmarkStart w:id="14363" w:name="_Toc533413309"/>
      <w:bookmarkEnd w:id="14339"/>
      <w:bookmarkEnd w:id="14340"/>
      <w:bookmarkEnd w:id="14341"/>
      <w:bookmarkEnd w:id="14342"/>
      <w:bookmarkEnd w:id="14343"/>
      <w:r>
        <w:rPr>
          <w:rFonts w:hint="cs"/>
          <w:rtl/>
        </w:rPr>
        <w:t>דעת הסוברים דהספק במיעו"ב מדרבנן</w:t>
      </w:r>
      <w:bookmarkEnd w:id="14355"/>
      <w:bookmarkEnd w:id="14356"/>
      <w:bookmarkEnd w:id="14357"/>
      <w:bookmarkEnd w:id="14358"/>
      <w:bookmarkEnd w:id="14359"/>
      <w:bookmarkEnd w:id="14360"/>
      <w:bookmarkEnd w:id="14361"/>
      <w:bookmarkEnd w:id="14362"/>
    </w:p>
    <w:p w14:paraId="2BB9451E" w14:textId="77777777" w:rsidR="00436F39" w:rsidRDefault="00436F39" w:rsidP="00BF39B2">
      <w:pPr>
        <w:pStyle w:val="1"/>
        <w:rPr>
          <w:rtl/>
        </w:rPr>
      </w:pPr>
      <w:bookmarkStart w:id="14364" w:name="_Toc533441201"/>
      <w:bookmarkStart w:id="14365" w:name="_Toc533441247"/>
      <w:bookmarkStart w:id="14366" w:name="_Toc533490169"/>
      <w:bookmarkStart w:id="14367" w:name="_Toc533506129"/>
      <w:bookmarkStart w:id="14368" w:name="_Toc533544337"/>
      <w:bookmarkStart w:id="14369" w:name="_Toc533544534"/>
      <w:bookmarkStart w:id="14370" w:name="_Toc19390873"/>
      <w:bookmarkStart w:id="14371" w:name="_Toc19394370"/>
      <w:r>
        <w:rPr>
          <w:rFonts w:hint="cs"/>
          <w:rtl/>
        </w:rPr>
        <w:t>דעת הרשב"א דהספק לרש"י במיעוט בתרא הוא מדרבנן</w:t>
      </w:r>
      <w:bookmarkEnd w:id="14363"/>
      <w:bookmarkEnd w:id="14364"/>
      <w:bookmarkEnd w:id="14365"/>
      <w:bookmarkEnd w:id="14366"/>
      <w:bookmarkEnd w:id="14367"/>
      <w:bookmarkEnd w:id="14368"/>
      <w:bookmarkEnd w:id="14369"/>
      <w:bookmarkEnd w:id="14370"/>
      <w:bookmarkEnd w:id="14371"/>
    </w:p>
    <w:p w14:paraId="7D9D4E3C" w14:textId="77777777" w:rsidR="00436F39" w:rsidRPr="00A151B8" w:rsidRDefault="00436F39" w:rsidP="006D6D32">
      <w:pPr>
        <w:pStyle w:val="a3"/>
        <w:rPr>
          <w:rtl/>
        </w:rPr>
      </w:pPr>
      <w:bookmarkStart w:id="14372" w:name="_Toc533506130"/>
      <w:bookmarkStart w:id="14373" w:name="_Toc533544338"/>
      <w:bookmarkStart w:id="14374" w:name="_Toc533544535"/>
      <w:bookmarkStart w:id="14375" w:name="_Toc19390874"/>
      <w:bookmarkStart w:id="14376" w:name="_Toc19394371"/>
      <w:r>
        <w:rPr>
          <w:rFonts w:hint="cs"/>
          <w:rtl/>
        </w:rPr>
        <w:t>דברי הרשב"א דהפסול במיעו"ב בחלדה הגרמה ודריסה שלא יהיה נראה כשוחט בפסול</w:t>
      </w:r>
      <w:bookmarkEnd w:id="14372"/>
      <w:bookmarkEnd w:id="14373"/>
      <w:bookmarkEnd w:id="14374"/>
      <w:bookmarkEnd w:id="14375"/>
      <w:bookmarkEnd w:id="14376"/>
    </w:p>
    <w:p w14:paraId="16CF58CC" w14:textId="77777777" w:rsidR="00436F39" w:rsidRDefault="00436F39" w:rsidP="00223668">
      <w:pPr>
        <w:pStyle w:val="a0"/>
        <w:rPr>
          <w:rtl/>
        </w:rPr>
      </w:pPr>
      <w:bookmarkStart w:id="14377" w:name="_Ref533520907"/>
      <w:bookmarkStart w:id="14378" w:name="_Ref533496873"/>
      <w:bookmarkStart w:id="14379" w:name="_Ref533350157"/>
      <w:r w:rsidRPr="009C1F82">
        <w:rPr>
          <w:rStyle w:val="af9"/>
          <w:rFonts w:hint="cs"/>
          <w:rtl/>
        </w:rPr>
        <w:t xml:space="preserve">הרשב"א </w:t>
      </w:r>
      <w:r>
        <w:rPr>
          <w:rStyle w:val="af9"/>
          <w:rFonts w:hint="cs"/>
          <w:rtl/>
        </w:rPr>
        <w:t xml:space="preserve">בחי' </w:t>
      </w:r>
      <w:r w:rsidRPr="003976C6">
        <w:rPr>
          <w:rStyle w:val="af7"/>
          <w:rFonts w:eastAsia="Guttman Hodes" w:hint="cs"/>
          <w:rtl/>
        </w:rPr>
        <w:t xml:space="preserve">(ל: ד"ה החליד) </w:t>
      </w:r>
      <w:r>
        <w:rPr>
          <w:rStyle w:val="af9"/>
          <w:rFonts w:hint="cs"/>
          <w:rtl/>
        </w:rPr>
        <w:t>ו</w:t>
      </w:r>
      <w:r w:rsidRPr="009C1F82">
        <w:rPr>
          <w:rStyle w:val="af9"/>
          <w:rFonts w:hint="cs"/>
          <w:rtl/>
        </w:rPr>
        <w:t>בתוה"ב</w:t>
      </w:r>
      <w:r>
        <w:rPr>
          <w:rFonts w:hint="cs"/>
          <w:rtl/>
        </w:rPr>
        <w:t xml:space="preserve"> </w:t>
      </w:r>
      <w:r w:rsidRPr="00257A45">
        <w:rPr>
          <w:rStyle w:val="af7"/>
          <w:rFonts w:eastAsia="Guttman Hodes" w:hint="cs"/>
          <w:rtl/>
        </w:rPr>
        <w:t xml:space="preserve">(ב"ב ש"א דף כג: מדה"ס) </w:t>
      </w:r>
      <w:r>
        <w:rPr>
          <w:rFonts w:hint="cs"/>
          <w:rtl/>
        </w:rPr>
        <w:t xml:space="preserve">ביאר בדעת </w:t>
      </w:r>
      <w:r w:rsidRPr="009C1F82">
        <w:rPr>
          <w:rStyle w:val="af9"/>
          <w:rFonts w:hint="cs"/>
          <w:rtl/>
        </w:rPr>
        <w:t>רש"י</w:t>
      </w:r>
      <w:r>
        <w:rPr>
          <w:rFonts w:hint="cs"/>
          <w:rtl/>
        </w:rPr>
        <w:t xml:space="preserve"> דאף שהוכשרה הבהמה בשחיטת הרוב, מ"מ אסור לשחוט את המיעוט בפסולי שחיטה, דשהייה חלדה הגרמה ודריסה, כדי שלא יהיה נראה שהוא שוחט בפסול שחיטה.</w:t>
      </w:r>
      <w:bookmarkEnd w:id="14377"/>
    </w:p>
    <w:p w14:paraId="2B8E4D79" w14:textId="77777777" w:rsidR="00436F39" w:rsidRPr="00DE2FC9" w:rsidRDefault="00436F39" w:rsidP="006D6D32">
      <w:pPr>
        <w:pStyle w:val="a3"/>
      </w:pPr>
      <w:bookmarkStart w:id="14380" w:name="_Toc533506131"/>
      <w:bookmarkStart w:id="14381" w:name="_Toc533544339"/>
      <w:bookmarkStart w:id="14382" w:name="_Toc533544536"/>
      <w:bookmarkStart w:id="14383" w:name="_Toc19390875"/>
      <w:bookmarkStart w:id="14384" w:name="_Toc19394372"/>
      <w:r>
        <w:rPr>
          <w:rFonts w:hint="cs"/>
          <w:rtl/>
        </w:rPr>
        <w:t>דברי הרשב"א דבשהייה במיעו"ב גזרו מחשש שיבואו להכשיר שהייה לפני שחיטת רוב סימנים</w:t>
      </w:r>
      <w:bookmarkEnd w:id="14380"/>
      <w:bookmarkEnd w:id="14381"/>
      <w:bookmarkEnd w:id="14382"/>
      <w:bookmarkEnd w:id="14383"/>
      <w:bookmarkEnd w:id="14384"/>
    </w:p>
    <w:p w14:paraId="0D3ED9C0" w14:textId="77777777" w:rsidR="00436F39" w:rsidRDefault="00436F39" w:rsidP="00223668">
      <w:pPr>
        <w:pStyle w:val="a0"/>
        <w:rPr>
          <w:rtl/>
        </w:rPr>
      </w:pPr>
      <w:r>
        <w:rPr>
          <w:rFonts w:hint="cs"/>
          <w:rtl/>
        </w:rPr>
        <w:t xml:space="preserve">ובדברי </w:t>
      </w:r>
      <w:r w:rsidRPr="00082A42">
        <w:rPr>
          <w:rStyle w:val="af9"/>
          <w:rFonts w:hint="cs"/>
          <w:rtl/>
        </w:rPr>
        <w:t>רש"י</w:t>
      </w:r>
      <w:r>
        <w:rPr>
          <w:rFonts w:hint="cs"/>
          <w:rtl/>
        </w:rPr>
        <w:t xml:space="preserve"> דבשהייה במיעוט בתרא דמספק צריך להחמיר, ביאר </w:t>
      </w:r>
      <w:r w:rsidRPr="00082A42">
        <w:rPr>
          <w:rStyle w:val="af9"/>
          <w:rFonts w:hint="cs"/>
          <w:rtl/>
        </w:rPr>
        <w:t>הרשב"א בתוה"ב</w:t>
      </w:r>
      <w:r>
        <w:rPr>
          <w:rFonts w:hint="cs"/>
          <w:rtl/>
        </w:rPr>
        <w:t xml:space="preserve"> </w:t>
      </w:r>
      <w:r w:rsidRPr="00082A42">
        <w:rPr>
          <w:rStyle w:val="af7"/>
          <w:rFonts w:eastAsia="Guttman Hodes" w:hint="cs"/>
          <w:rtl/>
        </w:rPr>
        <w:t xml:space="preserve">(ב"ב ש"א דף כג. מדה"ס) </w:t>
      </w:r>
      <w:r>
        <w:rPr>
          <w:rFonts w:hint="cs"/>
          <w:rtl/>
        </w:rPr>
        <w:t>דאף שכבר נשחטו רוב הסימנים בהיתר, מ"מ כיון ששוחט את המיעוט כדרך שחיטה גזרינן דשחיטתו פסולה, מחשש שיבואו להכשיר שהייה לפני ששחט את רוב הסימנים.</w:t>
      </w:r>
      <w:bookmarkEnd w:id="14378"/>
    </w:p>
    <w:p w14:paraId="3F345678" w14:textId="77777777" w:rsidR="00436F39" w:rsidRPr="000F0088" w:rsidRDefault="00436F39" w:rsidP="006D6D32">
      <w:pPr>
        <w:pStyle w:val="a3"/>
      </w:pPr>
      <w:bookmarkStart w:id="14385" w:name="_Toc533506132"/>
      <w:bookmarkStart w:id="14386" w:name="_Toc533544340"/>
      <w:bookmarkStart w:id="14387" w:name="_Toc533544537"/>
      <w:bookmarkStart w:id="14388" w:name="_Toc19390876"/>
      <w:bookmarkStart w:id="14389" w:name="_Toc19394373"/>
      <w:r>
        <w:rPr>
          <w:rFonts w:hint="cs"/>
          <w:rtl/>
        </w:rPr>
        <w:t>דברי הפרמ"ג והתבו"ש והביה"ל דס"ל להרשב"א דמדאו' א"א לפסול במיעו"ב והספק מדרבנן</w:t>
      </w:r>
      <w:bookmarkEnd w:id="14385"/>
      <w:bookmarkEnd w:id="14386"/>
      <w:bookmarkEnd w:id="14387"/>
      <w:bookmarkEnd w:id="14388"/>
      <w:bookmarkEnd w:id="14389"/>
    </w:p>
    <w:p w14:paraId="55E60A84" w14:textId="77777777" w:rsidR="00436F39" w:rsidRDefault="00436F39" w:rsidP="00223668">
      <w:pPr>
        <w:pStyle w:val="a0"/>
        <w:rPr>
          <w:rtl/>
        </w:rPr>
      </w:pPr>
      <w:r>
        <w:rPr>
          <w:rFonts w:hint="cs"/>
          <w:rtl/>
        </w:rPr>
        <w:t xml:space="preserve">וכתבו </w:t>
      </w:r>
      <w:r w:rsidRPr="000F2E35">
        <w:rPr>
          <w:rStyle w:val="af9"/>
          <w:rFonts w:hint="cs"/>
          <w:rtl/>
        </w:rPr>
        <w:t>הפרמ"ג</w:t>
      </w:r>
      <w:r>
        <w:rPr>
          <w:rFonts w:hint="cs"/>
          <w:rtl/>
        </w:rPr>
        <w:t xml:space="preserve"> </w:t>
      </w:r>
      <w:r w:rsidRPr="000F2E35">
        <w:rPr>
          <w:rStyle w:val="af7"/>
          <w:rFonts w:eastAsia="Guttman Hodes" w:hint="cs"/>
          <w:rtl/>
        </w:rPr>
        <w:t>(סי' כ"ג משב"ז סק"ד)</w:t>
      </w:r>
      <w:r>
        <w:rPr>
          <w:rFonts w:hint="cs"/>
          <w:rtl/>
        </w:rPr>
        <w:t xml:space="preserve"> </w:t>
      </w:r>
      <w:r>
        <w:rPr>
          <w:rStyle w:val="af9"/>
          <w:rFonts w:hint="cs"/>
          <w:rtl/>
        </w:rPr>
        <w:t>ו</w:t>
      </w:r>
      <w:r w:rsidRPr="006C4238">
        <w:rPr>
          <w:rStyle w:val="af9"/>
          <w:rFonts w:hint="cs"/>
          <w:rtl/>
        </w:rPr>
        <w:t xml:space="preserve">התבו"ש </w:t>
      </w:r>
      <w:r w:rsidRPr="00257A45">
        <w:rPr>
          <w:rStyle w:val="af7"/>
          <w:rFonts w:eastAsia="Guttman Hodes" w:hint="cs"/>
          <w:rtl/>
        </w:rPr>
        <w:t>(סי' כ"ג סק"ט ד"ה ואל תתמה)</w:t>
      </w:r>
      <w:r>
        <w:rPr>
          <w:rFonts w:hint="cs"/>
          <w:rtl/>
        </w:rPr>
        <w:t xml:space="preserve"> </w:t>
      </w:r>
      <w:r>
        <w:rPr>
          <w:rStyle w:val="af9"/>
          <w:rFonts w:hint="cs"/>
          <w:rtl/>
        </w:rPr>
        <w:t>ו</w:t>
      </w:r>
      <w:r w:rsidRPr="003503AA">
        <w:rPr>
          <w:rStyle w:val="af9"/>
          <w:rFonts w:hint="cs"/>
          <w:rtl/>
        </w:rPr>
        <w:t xml:space="preserve">הביה"ל </w:t>
      </w:r>
      <w:r w:rsidRPr="008E1AE3">
        <w:rPr>
          <w:rStyle w:val="af7"/>
          <w:rFonts w:eastAsia="Guttman Hodes" w:hint="cs"/>
          <w:rtl/>
        </w:rPr>
        <w:t>(ח"ב ריש סי' י"א)</w:t>
      </w:r>
      <w:r>
        <w:rPr>
          <w:rFonts w:hint="cs"/>
          <w:rtl/>
        </w:rPr>
        <w:t xml:space="preserve"> דמבואר מדברי </w:t>
      </w:r>
      <w:r w:rsidRPr="00AE2CFE">
        <w:rPr>
          <w:rStyle w:val="af9"/>
          <w:rFonts w:hint="cs"/>
          <w:rtl/>
        </w:rPr>
        <w:t xml:space="preserve">הרשב"א </w:t>
      </w:r>
      <w:r>
        <w:rPr>
          <w:rFonts w:hint="cs"/>
          <w:rtl/>
        </w:rPr>
        <w:t xml:space="preserve">דמדאו' מודה </w:t>
      </w:r>
      <w:r w:rsidRPr="003503AA">
        <w:rPr>
          <w:rStyle w:val="af9"/>
          <w:rFonts w:hint="cs"/>
          <w:rtl/>
        </w:rPr>
        <w:t>רש"י</w:t>
      </w:r>
      <w:r>
        <w:rPr>
          <w:rFonts w:hint="cs"/>
          <w:rtl/>
        </w:rPr>
        <w:t xml:space="preserve"> דאין כל סברא לומר דשהייה במיעוט בתרא תפסול, אחר ששחט שיעור כראוי, אלא דהספק במיעוט בתרא הוא מדרבנן</w:t>
      </w:r>
      <w:bookmarkEnd w:id="14379"/>
      <w:r>
        <w:rPr>
          <w:rFonts w:hint="cs"/>
          <w:rtl/>
        </w:rPr>
        <w:t>.</w:t>
      </w:r>
    </w:p>
    <w:p w14:paraId="752E4A62" w14:textId="77777777" w:rsidR="00652F4F" w:rsidRPr="00652F4F" w:rsidRDefault="00652F4F" w:rsidP="006D6D32">
      <w:pPr>
        <w:pStyle w:val="a3"/>
        <w:rPr>
          <w:rtl/>
        </w:rPr>
      </w:pPr>
    </w:p>
    <w:p w14:paraId="0BE8890A" w14:textId="77777777" w:rsidR="00436F39" w:rsidRPr="00F86CF5" w:rsidRDefault="00436F39" w:rsidP="006D6D32">
      <w:pPr>
        <w:pStyle w:val="a3"/>
        <w:rPr>
          <w:rtl/>
        </w:rPr>
      </w:pPr>
      <w:bookmarkStart w:id="14390" w:name="_Toc533506133"/>
      <w:bookmarkStart w:id="14391" w:name="_Toc533544341"/>
      <w:bookmarkStart w:id="14392" w:name="_Toc533544538"/>
      <w:bookmarkStart w:id="14393" w:name="_Toc19390877"/>
      <w:bookmarkStart w:id="14394" w:name="_Toc19394374"/>
      <w:r>
        <w:rPr>
          <w:rFonts w:hint="cs"/>
          <w:rtl/>
        </w:rPr>
        <w:t>דברי היש"ש דהספק במיעו"ב הוא מדרבנן דגזרו אטו שהייה במיעוט קמא</w:t>
      </w:r>
      <w:bookmarkEnd w:id="14390"/>
      <w:bookmarkEnd w:id="14391"/>
      <w:bookmarkEnd w:id="14392"/>
      <w:bookmarkEnd w:id="14393"/>
      <w:bookmarkEnd w:id="14394"/>
    </w:p>
    <w:p w14:paraId="72DE0CC9" w14:textId="77777777" w:rsidR="00436F39" w:rsidRDefault="00436F39" w:rsidP="00223668">
      <w:pPr>
        <w:pStyle w:val="a0"/>
        <w:rPr>
          <w:rtl/>
        </w:rPr>
      </w:pPr>
      <w:bookmarkStart w:id="14395" w:name="_Ref533520921"/>
      <w:r>
        <w:rPr>
          <w:rFonts w:hint="cs"/>
          <w:rtl/>
        </w:rPr>
        <w:t xml:space="preserve">וכ"כ </w:t>
      </w:r>
      <w:r w:rsidRPr="001004C7">
        <w:rPr>
          <w:rStyle w:val="af9"/>
          <w:rFonts w:hint="cs"/>
          <w:rtl/>
        </w:rPr>
        <w:t xml:space="preserve">היש"ש לקמן </w:t>
      </w:r>
      <w:r w:rsidRPr="001004C7">
        <w:rPr>
          <w:rStyle w:val="af7"/>
          <w:rFonts w:eastAsia="Guttman Hodes" w:hint="cs"/>
          <w:rtl/>
        </w:rPr>
        <w:t>(פ"ב סי' ט')</w:t>
      </w:r>
      <w:r>
        <w:rPr>
          <w:rFonts w:hint="cs"/>
          <w:rtl/>
        </w:rPr>
        <w:t xml:space="preserve"> בדעת </w:t>
      </w:r>
      <w:r w:rsidRPr="001004C7">
        <w:rPr>
          <w:rStyle w:val="af9"/>
          <w:rFonts w:hint="cs"/>
          <w:rtl/>
        </w:rPr>
        <w:t>רש"י</w:t>
      </w:r>
      <w:r>
        <w:rPr>
          <w:rFonts w:hint="cs"/>
          <w:rtl/>
        </w:rPr>
        <w:t xml:space="preserve"> דהספק במיעוט בתרא הוא מדרבנן, אי גזרו בשהייה במיעוט בתרא, כיון שהוא נקרא שהייה בשחיטה, ויבאו להכשיר בשהייה במיעוט קמא.</w:t>
      </w:r>
      <w:bookmarkEnd w:id="14395"/>
    </w:p>
    <w:p w14:paraId="4B9D7826" w14:textId="77777777" w:rsidR="00436F39" w:rsidRDefault="00436F39" w:rsidP="006D6D32">
      <w:pPr>
        <w:pStyle w:val="a3"/>
        <w:rPr>
          <w:rtl/>
        </w:rPr>
      </w:pPr>
      <w:bookmarkStart w:id="14396" w:name="_Toc533506134"/>
      <w:bookmarkStart w:id="14397" w:name="_Toc533544342"/>
      <w:bookmarkStart w:id="14398" w:name="_Toc533544539"/>
      <w:bookmarkStart w:id="14399" w:name="_Toc19390878"/>
      <w:bookmarkStart w:id="14400" w:name="_Toc19394375"/>
      <w:r>
        <w:rPr>
          <w:rFonts w:hint="cs"/>
          <w:rtl/>
        </w:rPr>
        <w:t>דברי הביה"ל דלהרשב"א והיש"ש ס"ל לרש"י דבתיקו דרבנן אזלינן לחומרא</w:t>
      </w:r>
      <w:bookmarkEnd w:id="14396"/>
      <w:bookmarkEnd w:id="14397"/>
      <w:bookmarkEnd w:id="14398"/>
      <w:bookmarkEnd w:id="14399"/>
      <w:bookmarkEnd w:id="14400"/>
    </w:p>
    <w:p w14:paraId="731730D4" w14:textId="77777777" w:rsidR="00436F39" w:rsidRDefault="00436F39" w:rsidP="00223668">
      <w:pPr>
        <w:pStyle w:val="a0"/>
        <w:rPr>
          <w:rtl/>
        </w:rPr>
      </w:pPr>
      <w:r>
        <w:rPr>
          <w:rFonts w:hint="cs"/>
          <w:rtl/>
        </w:rPr>
        <w:t xml:space="preserve">וכתב </w:t>
      </w:r>
      <w:r w:rsidRPr="003503AA">
        <w:rPr>
          <w:rStyle w:val="af9"/>
          <w:rFonts w:hint="cs"/>
          <w:rtl/>
        </w:rPr>
        <w:t xml:space="preserve">הביה"ל </w:t>
      </w:r>
      <w:r w:rsidRPr="004827A7">
        <w:rPr>
          <w:rStyle w:val="af7"/>
          <w:rFonts w:eastAsia="Guttman Hodes" w:hint="cs"/>
          <w:rtl/>
        </w:rPr>
        <w:t>(ח"ב ריש סי' י"א)</w:t>
      </w:r>
      <w:r>
        <w:rPr>
          <w:rFonts w:hint="cs"/>
          <w:rtl/>
        </w:rPr>
        <w:t xml:space="preserve"> דלדעת </w:t>
      </w:r>
      <w:r w:rsidRPr="004827A7">
        <w:rPr>
          <w:rStyle w:val="af9"/>
          <w:rFonts w:hint="cs"/>
          <w:rtl/>
        </w:rPr>
        <w:t>הרשב"א והיש"ש</w:t>
      </w:r>
      <w:r>
        <w:rPr>
          <w:rFonts w:hint="cs"/>
          <w:rtl/>
        </w:rPr>
        <w:t xml:space="preserve"> דביארו בדעת </w:t>
      </w:r>
      <w:r w:rsidRPr="004827A7">
        <w:rPr>
          <w:rStyle w:val="af9"/>
          <w:rFonts w:hint="cs"/>
          <w:rtl/>
        </w:rPr>
        <w:t>רש"י</w:t>
      </w:r>
      <w:r>
        <w:rPr>
          <w:rFonts w:hint="cs"/>
          <w:rtl/>
        </w:rPr>
        <w:t xml:space="preserve"> דהספק בגמ' בשהייה במיעוט בתרא הוא מדרבנן, צ"ל דאף דהוא ספק דרבנן מ"מ פסק </w:t>
      </w:r>
      <w:r w:rsidRPr="00CB2A1E">
        <w:rPr>
          <w:rStyle w:val="af9"/>
          <w:rFonts w:hint="cs"/>
          <w:rtl/>
        </w:rPr>
        <w:t>רש"י</w:t>
      </w:r>
      <w:r>
        <w:rPr>
          <w:rFonts w:hint="cs"/>
          <w:rtl/>
        </w:rPr>
        <w:t xml:space="preserve"> לחומרא, דס"ל כדעת </w:t>
      </w:r>
      <w:r w:rsidRPr="004827A7">
        <w:rPr>
          <w:rStyle w:val="af9"/>
          <w:rFonts w:hint="cs"/>
          <w:rtl/>
        </w:rPr>
        <w:t>הראשונים</w:t>
      </w:r>
      <w:r>
        <w:rPr>
          <w:rFonts w:hint="cs"/>
          <w:rtl/>
        </w:rPr>
        <w:t xml:space="preserve"> </w:t>
      </w:r>
      <w:r w:rsidRPr="004827A7">
        <w:rPr>
          <w:rStyle w:val="afb"/>
          <w:rFonts w:hint="cs"/>
          <w:rtl/>
        </w:rPr>
        <w:t xml:space="preserve">[שהובאו </w:t>
      </w:r>
      <w:r w:rsidRPr="004827A7">
        <w:rPr>
          <w:rStyle w:val="affa"/>
          <w:rFonts w:hint="cs"/>
          <w:rtl/>
        </w:rPr>
        <w:t>בההג"מ</w:t>
      </w:r>
      <w:r w:rsidRPr="004827A7">
        <w:rPr>
          <w:rStyle w:val="afb"/>
          <w:rFonts w:hint="cs"/>
          <w:rtl/>
        </w:rPr>
        <w:t xml:space="preserve"> </w:t>
      </w:r>
      <w:r w:rsidRPr="00F84B0C">
        <w:rPr>
          <w:rStyle w:val="aff6"/>
          <w:rFonts w:hint="cs"/>
          <w:rtl/>
        </w:rPr>
        <w:t>(חמץ ומצה פ"ב הט"ז)</w:t>
      </w:r>
      <w:r w:rsidRPr="004827A7">
        <w:rPr>
          <w:rStyle w:val="afb"/>
          <w:rFonts w:hint="cs"/>
          <w:rtl/>
        </w:rPr>
        <w:t>]</w:t>
      </w:r>
      <w:r>
        <w:rPr>
          <w:rFonts w:hint="cs"/>
          <w:rtl/>
        </w:rPr>
        <w:t xml:space="preserve"> דבמקום שהניחה הגמ' בתיקו, אף בדרבנן אזלינן לחומרא, ועי' בדברי </w:t>
      </w:r>
      <w:r w:rsidRPr="006C7DDF">
        <w:rPr>
          <w:rStyle w:val="af9"/>
          <w:rFonts w:hint="cs"/>
          <w:rtl/>
        </w:rPr>
        <w:t>התבו"ש</w:t>
      </w:r>
      <w:r>
        <w:rPr>
          <w:rFonts w:hint="cs"/>
          <w:rtl/>
        </w:rPr>
        <w:t xml:space="preserve"> </w:t>
      </w:r>
      <w:r w:rsidRPr="006C7DDF">
        <w:rPr>
          <w:rStyle w:val="af7"/>
          <w:rFonts w:eastAsia="Guttman Hodes" w:hint="cs"/>
          <w:rtl/>
        </w:rPr>
        <w:t xml:space="preserve">(עי' אות </w:t>
      </w:r>
      <w:r w:rsidRPr="006C7DDF">
        <w:rPr>
          <w:rStyle w:val="af7"/>
          <w:rFonts w:eastAsia="Guttman Hodes"/>
          <w:rtl/>
        </w:rPr>
        <w:fldChar w:fldCharType="begin"/>
      </w:r>
      <w:r w:rsidRPr="006C7DDF">
        <w:rPr>
          <w:rStyle w:val="af7"/>
          <w:rFonts w:eastAsia="Guttman Hodes"/>
          <w:rtl/>
        </w:rPr>
        <w:instrText xml:space="preserve"> </w:instrText>
      </w:r>
      <w:r w:rsidRPr="006C7DDF">
        <w:rPr>
          <w:rStyle w:val="af7"/>
          <w:rFonts w:eastAsia="Guttman Hodes" w:hint="cs"/>
        </w:rPr>
        <w:instrText>REF</w:instrText>
      </w:r>
      <w:r w:rsidRPr="006C7DDF">
        <w:rPr>
          <w:rStyle w:val="af7"/>
          <w:rFonts w:eastAsia="Guttman Hodes" w:hint="cs"/>
          <w:rtl/>
        </w:rPr>
        <w:instrText xml:space="preserve"> _</w:instrText>
      </w:r>
      <w:r w:rsidRPr="006C7DDF">
        <w:rPr>
          <w:rStyle w:val="af7"/>
          <w:rFonts w:eastAsia="Guttman Hodes" w:hint="cs"/>
        </w:rPr>
        <w:instrText>Ref533500967 \r \h</w:instrText>
      </w:r>
      <w:r w:rsidRPr="006C7DDF">
        <w:rPr>
          <w:rStyle w:val="af7"/>
          <w:rFonts w:eastAsia="Guttman Hodes"/>
          <w:rtl/>
        </w:rPr>
        <w:instrText xml:space="preserve"> </w:instrText>
      </w:r>
      <w:r w:rsidRPr="006C7DDF">
        <w:rPr>
          <w:rStyle w:val="af7"/>
          <w:rFonts w:eastAsia="Guttman Hodes"/>
          <w:rtl/>
        </w:rPr>
      </w:r>
      <w:r w:rsidRPr="006C7DDF">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6C7DDF">
        <w:rPr>
          <w:rStyle w:val="af7"/>
          <w:rFonts w:eastAsia="Guttman Hodes"/>
          <w:rtl/>
        </w:rPr>
        <w:fldChar w:fldCharType="end"/>
      </w:r>
      <w:r>
        <w:rPr>
          <w:rFonts w:hint="cs"/>
          <w:rtl/>
        </w:rPr>
        <w:t xml:space="preserve"> </w:t>
      </w:r>
      <w:r w:rsidRPr="006C7DDF">
        <w:rPr>
          <w:rStyle w:val="af9"/>
          <w:rFonts w:hint="cs"/>
          <w:rtl/>
        </w:rPr>
        <w:t>והפרמ"ג והנוב"י</w:t>
      </w:r>
      <w:r>
        <w:rPr>
          <w:rFonts w:hint="cs"/>
          <w:rtl/>
        </w:rPr>
        <w:t xml:space="preserve"> </w:t>
      </w:r>
      <w:r w:rsidRPr="006C7DDF">
        <w:rPr>
          <w:rStyle w:val="af7"/>
          <w:rFonts w:eastAsia="Guttman Hodes" w:hint="cs"/>
          <w:rtl/>
        </w:rPr>
        <w:t xml:space="preserve">(עי' אות </w:t>
      </w:r>
      <w:r w:rsidRPr="006C7DDF">
        <w:rPr>
          <w:rStyle w:val="af7"/>
          <w:rFonts w:eastAsia="Guttman Hodes"/>
          <w:rtl/>
        </w:rPr>
        <w:fldChar w:fldCharType="begin"/>
      </w:r>
      <w:r w:rsidRPr="006C7DDF">
        <w:rPr>
          <w:rStyle w:val="af7"/>
          <w:rFonts w:eastAsia="Guttman Hodes"/>
          <w:rtl/>
        </w:rPr>
        <w:instrText xml:space="preserve"> </w:instrText>
      </w:r>
      <w:r w:rsidRPr="006C7DDF">
        <w:rPr>
          <w:rStyle w:val="af7"/>
          <w:rFonts w:eastAsia="Guttman Hodes" w:hint="cs"/>
        </w:rPr>
        <w:instrText>REF</w:instrText>
      </w:r>
      <w:r w:rsidRPr="006C7DDF">
        <w:rPr>
          <w:rStyle w:val="af7"/>
          <w:rFonts w:eastAsia="Guttman Hodes" w:hint="cs"/>
          <w:rtl/>
        </w:rPr>
        <w:instrText xml:space="preserve"> _</w:instrText>
      </w:r>
      <w:r w:rsidRPr="006C7DDF">
        <w:rPr>
          <w:rStyle w:val="af7"/>
          <w:rFonts w:eastAsia="Guttman Hodes" w:hint="cs"/>
        </w:rPr>
        <w:instrText>Ref533499358 \r \h</w:instrText>
      </w:r>
      <w:r w:rsidRPr="006C7DDF">
        <w:rPr>
          <w:rStyle w:val="af7"/>
          <w:rFonts w:eastAsia="Guttman Hodes"/>
          <w:rtl/>
        </w:rPr>
        <w:instrText xml:space="preserve"> </w:instrText>
      </w:r>
      <w:r w:rsidRPr="006C7DDF">
        <w:rPr>
          <w:rStyle w:val="af7"/>
          <w:rFonts w:eastAsia="Guttman Hodes"/>
          <w:rtl/>
        </w:rPr>
      </w:r>
      <w:r w:rsidRPr="006C7DDF">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6C7DDF">
        <w:rPr>
          <w:rStyle w:val="af7"/>
          <w:rFonts w:eastAsia="Guttman Hodes"/>
          <w:rtl/>
        </w:rPr>
        <w:fldChar w:fldCharType="end"/>
      </w:r>
      <w:r>
        <w:rPr>
          <w:rFonts w:hint="cs"/>
          <w:rtl/>
        </w:rPr>
        <w:t>.</w:t>
      </w:r>
    </w:p>
    <w:p w14:paraId="5BB92BDA" w14:textId="77777777" w:rsidR="00436F39" w:rsidRPr="000D6EF7" w:rsidRDefault="00436F39" w:rsidP="006D6D32">
      <w:pPr>
        <w:pStyle w:val="a3"/>
        <w:rPr>
          <w:rtl/>
        </w:rPr>
      </w:pPr>
      <w:bookmarkStart w:id="14401" w:name="_Toc533506135"/>
      <w:bookmarkStart w:id="14402" w:name="_Toc533544343"/>
      <w:bookmarkStart w:id="14403" w:name="_Toc533544540"/>
      <w:bookmarkStart w:id="14404" w:name="_Toc19390879"/>
      <w:bookmarkStart w:id="14405" w:name="_Toc19394376"/>
      <w:r w:rsidRPr="000D6EF7">
        <w:rPr>
          <w:rFonts w:hint="cs"/>
          <w:rtl/>
        </w:rPr>
        <w:t>קושית התבו"ש דמדהקשה רש"י על עצמו מהתוספתא מוכח דהספק הוא מדאו'</w:t>
      </w:r>
      <w:bookmarkEnd w:id="14401"/>
      <w:bookmarkEnd w:id="14402"/>
      <w:bookmarkEnd w:id="14403"/>
      <w:bookmarkEnd w:id="14404"/>
      <w:bookmarkEnd w:id="14405"/>
    </w:p>
    <w:p w14:paraId="69D42754" w14:textId="77777777" w:rsidR="00436F39" w:rsidRPr="00903CB3" w:rsidRDefault="00436F39" w:rsidP="00223668">
      <w:pPr>
        <w:pStyle w:val="a0"/>
        <w:rPr>
          <w:rtl/>
        </w:rPr>
      </w:pPr>
      <w:r>
        <w:rPr>
          <w:rFonts w:hint="cs"/>
          <w:rtl/>
        </w:rPr>
        <w:t xml:space="preserve">והקשה </w:t>
      </w:r>
      <w:r w:rsidRPr="006C4238">
        <w:rPr>
          <w:rStyle w:val="af9"/>
          <w:rFonts w:hint="cs"/>
          <w:rtl/>
        </w:rPr>
        <w:t xml:space="preserve">התבו"ש </w:t>
      </w:r>
      <w:r w:rsidRPr="00257A45">
        <w:rPr>
          <w:rStyle w:val="af7"/>
          <w:rFonts w:eastAsia="Guttman Hodes" w:hint="cs"/>
          <w:rtl/>
        </w:rPr>
        <w:t>(סי' כ"ג סק"ט ד"ה ואל תתמה)</w:t>
      </w:r>
      <w:r>
        <w:rPr>
          <w:rFonts w:hint="cs"/>
          <w:rtl/>
        </w:rPr>
        <w:t xml:space="preserve"> על </w:t>
      </w:r>
      <w:r w:rsidRPr="006C4238">
        <w:rPr>
          <w:rStyle w:val="af9"/>
          <w:rFonts w:hint="cs"/>
          <w:rtl/>
        </w:rPr>
        <w:t xml:space="preserve">הרשב"א והיש"ש </w:t>
      </w:r>
      <w:r>
        <w:rPr>
          <w:rFonts w:hint="cs"/>
          <w:rtl/>
        </w:rPr>
        <w:t xml:space="preserve">היאך ביארו בדברי </w:t>
      </w:r>
      <w:r w:rsidRPr="006C4238">
        <w:rPr>
          <w:rStyle w:val="af9"/>
          <w:rFonts w:hint="cs"/>
          <w:rtl/>
        </w:rPr>
        <w:t xml:space="preserve">רש"י </w:t>
      </w:r>
      <w:r>
        <w:rPr>
          <w:rFonts w:hint="cs"/>
          <w:rtl/>
        </w:rPr>
        <w:t xml:space="preserve">דהספק הוא מדרבנן, הרי ממה שהקשה </w:t>
      </w:r>
      <w:r w:rsidRPr="006C4238">
        <w:rPr>
          <w:rStyle w:val="af9"/>
          <w:rFonts w:hint="cs"/>
          <w:rtl/>
        </w:rPr>
        <w:t xml:space="preserve">רש"י </w:t>
      </w:r>
      <w:r w:rsidRPr="00257A45">
        <w:rPr>
          <w:rStyle w:val="af7"/>
          <w:rFonts w:eastAsia="Guttman Hodes" w:hint="cs"/>
          <w:rtl/>
        </w:rPr>
        <w:t xml:space="preserve">(עי' אות </w:t>
      </w:r>
      <w:r w:rsidRPr="006C4238">
        <w:rPr>
          <w:rStyle w:val="af7"/>
          <w:rFonts w:eastAsia="Guttman Hodes"/>
          <w:rtl/>
        </w:rPr>
        <w:fldChar w:fldCharType="begin"/>
      </w:r>
      <w:r w:rsidRPr="006C4238">
        <w:rPr>
          <w:rStyle w:val="af7"/>
          <w:rFonts w:eastAsia="Guttman Hodes"/>
          <w:rtl/>
        </w:rPr>
        <w:instrText xml:space="preserve"> </w:instrText>
      </w:r>
      <w:r w:rsidRPr="006C4238">
        <w:rPr>
          <w:rStyle w:val="af7"/>
          <w:rFonts w:eastAsia="Guttman Hodes" w:hint="cs"/>
        </w:rPr>
        <w:instrText>REF</w:instrText>
      </w:r>
      <w:r w:rsidRPr="006C4238">
        <w:rPr>
          <w:rStyle w:val="af7"/>
          <w:rFonts w:eastAsia="Guttman Hodes" w:hint="cs"/>
          <w:rtl/>
        </w:rPr>
        <w:instrText xml:space="preserve"> _</w:instrText>
      </w:r>
      <w:r w:rsidRPr="006C4238">
        <w:rPr>
          <w:rStyle w:val="af7"/>
          <w:rFonts w:eastAsia="Guttman Hodes" w:hint="cs"/>
        </w:rPr>
        <w:instrText>Ref532402551 \r \h</w:instrText>
      </w:r>
      <w:r w:rsidRPr="006C4238">
        <w:rPr>
          <w:rStyle w:val="af7"/>
          <w:rFonts w:eastAsia="Guttman Hodes"/>
          <w:rtl/>
        </w:rPr>
        <w:instrText xml:space="preserve"> </w:instrText>
      </w:r>
      <w:r w:rsidRPr="006C4238">
        <w:rPr>
          <w:rStyle w:val="af7"/>
          <w:rFonts w:eastAsia="Guttman Hodes"/>
          <w:rtl/>
        </w:rPr>
      </w:r>
      <w:r w:rsidRPr="006C4238">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6C4238">
        <w:rPr>
          <w:rStyle w:val="af7"/>
          <w:rFonts w:eastAsia="Guttman Hodes"/>
          <w:rtl/>
        </w:rPr>
        <w:fldChar w:fldCharType="end"/>
      </w:r>
      <w:r>
        <w:rPr>
          <w:rFonts w:hint="cs"/>
          <w:rtl/>
        </w:rPr>
        <w:t xml:space="preserve"> מהתוספתא דמשמע דשהייה במיעוט בתרא כשרה, מוכח דס"ל דהספק הוא </w:t>
      </w:r>
      <w:r w:rsidRPr="000D6EF7">
        <w:rPr>
          <w:rFonts w:hint="cs"/>
          <w:rtl/>
        </w:rPr>
        <w:t xml:space="preserve">מדאו', דאי הספק הוא מדרבנן, היה </w:t>
      </w:r>
      <w:r w:rsidRPr="000D6EF7">
        <w:rPr>
          <w:rStyle w:val="af9"/>
          <w:rFonts w:hint="cs"/>
          <w:rtl/>
        </w:rPr>
        <w:t xml:space="preserve">לרש"י </w:t>
      </w:r>
      <w:r w:rsidRPr="000D6EF7">
        <w:rPr>
          <w:rFonts w:hint="cs"/>
          <w:rtl/>
        </w:rPr>
        <w:t xml:space="preserve">לתרץ דהברייתא מכשירה מדאו', והגמ' מסתפקת האם </w:t>
      </w:r>
      <w:r>
        <w:rPr>
          <w:rFonts w:hint="cs"/>
          <w:rtl/>
        </w:rPr>
        <w:t>הוא פסול מד</w:t>
      </w:r>
      <w:r w:rsidRPr="000D6EF7">
        <w:rPr>
          <w:rFonts w:hint="cs"/>
          <w:rtl/>
        </w:rPr>
        <w:t xml:space="preserve">רבנן, וכמו שתירץ </w:t>
      </w:r>
      <w:r w:rsidRPr="000D6EF7">
        <w:rPr>
          <w:rStyle w:val="af9"/>
          <w:rFonts w:hint="cs"/>
          <w:rtl/>
        </w:rPr>
        <w:t xml:space="preserve">היש"ש </w:t>
      </w:r>
      <w:r w:rsidRPr="000D6EF7">
        <w:rPr>
          <w:rStyle w:val="af7"/>
          <w:rFonts w:eastAsia="Guttman Hodes" w:hint="cs"/>
          <w:rtl/>
        </w:rPr>
        <w:t xml:space="preserve">(עי' אות </w:t>
      </w:r>
      <w:r w:rsidRPr="000D6EF7">
        <w:rPr>
          <w:rStyle w:val="af7"/>
          <w:rFonts w:eastAsia="Guttman Hodes"/>
          <w:rtl/>
        </w:rPr>
        <w:fldChar w:fldCharType="begin"/>
      </w:r>
      <w:r w:rsidRPr="000D6EF7">
        <w:rPr>
          <w:rStyle w:val="af7"/>
          <w:rFonts w:eastAsia="Guttman Hodes"/>
          <w:rtl/>
        </w:rPr>
        <w:instrText xml:space="preserve"> </w:instrText>
      </w:r>
      <w:r w:rsidRPr="000D6EF7">
        <w:rPr>
          <w:rStyle w:val="af7"/>
          <w:rFonts w:eastAsia="Guttman Hodes" w:hint="cs"/>
        </w:rPr>
        <w:instrText>REF</w:instrText>
      </w:r>
      <w:r w:rsidRPr="000D6EF7">
        <w:rPr>
          <w:rStyle w:val="af7"/>
          <w:rFonts w:eastAsia="Guttman Hodes" w:hint="cs"/>
          <w:rtl/>
        </w:rPr>
        <w:instrText xml:space="preserve"> _</w:instrText>
      </w:r>
      <w:r w:rsidRPr="000D6EF7">
        <w:rPr>
          <w:rStyle w:val="af7"/>
          <w:rFonts w:eastAsia="Guttman Hodes" w:hint="cs"/>
        </w:rPr>
        <w:instrText>Ref533345280 \r \h</w:instrText>
      </w:r>
      <w:r w:rsidRPr="000D6EF7">
        <w:rPr>
          <w:rStyle w:val="af7"/>
          <w:rFonts w:eastAsia="Guttman Hodes"/>
          <w:rtl/>
        </w:rPr>
        <w:instrText xml:space="preserve"> </w:instrText>
      </w:r>
      <w:r w:rsidRPr="000D6EF7">
        <w:rPr>
          <w:rStyle w:val="af7"/>
          <w:rFonts w:eastAsia="Guttman Hodes"/>
          <w:rtl/>
        </w:rPr>
      </w:r>
      <w:r w:rsidRPr="000D6EF7">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0D6EF7">
        <w:rPr>
          <w:rStyle w:val="af7"/>
          <w:rFonts w:eastAsia="Guttman Hodes"/>
          <w:rtl/>
        </w:rPr>
        <w:fldChar w:fldCharType="end"/>
      </w:r>
      <w:r w:rsidRPr="000D6EF7">
        <w:rPr>
          <w:rStyle w:val="af9"/>
          <w:rFonts w:hint="cs"/>
          <w:rtl/>
        </w:rPr>
        <w:t xml:space="preserve"> </w:t>
      </w:r>
      <w:r w:rsidRPr="000D6EF7">
        <w:rPr>
          <w:rFonts w:hint="cs"/>
          <w:rtl/>
        </w:rPr>
        <w:t>את התוספתא</w:t>
      </w:r>
      <w:r>
        <w:rPr>
          <w:rFonts w:hint="cs"/>
          <w:rtl/>
        </w:rPr>
        <w:t xml:space="preserve"> שהקשו ממנה </w:t>
      </w:r>
      <w:r w:rsidRPr="006C4238">
        <w:rPr>
          <w:rStyle w:val="af9"/>
          <w:rFonts w:hint="cs"/>
          <w:rtl/>
        </w:rPr>
        <w:t>התוס'</w:t>
      </w:r>
      <w:r>
        <w:rPr>
          <w:rFonts w:hint="cs"/>
          <w:rtl/>
        </w:rPr>
        <w:t xml:space="preserve"> </w:t>
      </w:r>
      <w:r w:rsidRPr="00257A45">
        <w:rPr>
          <w:rStyle w:val="af7"/>
          <w:rFonts w:eastAsia="Guttman Hodes" w:hint="cs"/>
          <w:rtl/>
        </w:rPr>
        <w:t xml:space="preserve">(עי' אות </w:t>
      </w:r>
      <w:r w:rsidRPr="006C4238">
        <w:rPr>
          <w:rStyle w:val="af7"/>
          <w:rFonts w:eastAsia="Guttman Hodes"/>
          <w:rtl/>
        </w:rPr>
        <w:fldChar w:fldCharType="begin"/>
      </w:r>
      <w:r w:rsidRPr="006C4238">
        <w:rPr>
          <w:rStyle w:val="af7"/>
          <w:rFonts w:eastAsia="Guttman Hodes"/>
          <w:rtl/>
        </w:rPr>
        <w:instrText xml:space="preserve"> </w:instrText>
      </w:r>
      <w:r w:rsidRPr="006C4238">
        <w:rPr>
          <w:rStyle w:val="af7"/>
          <w:rFonts w:eastAsia="Guttman Hodes" w:hint="cs"/>
        </w:rPr>
        <w:instrText>REF</w:instrText>
      </w:r>
      <w:r w:rsidRPr="006C4238">
        <w:rPr>
          <w:rStyle w:val="af7"/>
          <w:rFonts w:eastAsia="Guttman Hodes" w:hint="cs"/>
          <w:rtl/>
        </w:rPr>
        <w:instrText xml:space="preserve"> _</w:instrText>
      </w:r>
      <w:r w:rsidRPr="006C4238">
        <w:rPr>
          <w:rStyle w:val="af7"/>
          <w:rFonts w:eastAsia="Guttman Hodes" w:hint="cs"/>
        </w:rPr>
        <w:instrText>Ref532762806 \r \h</w:instrText>
      </w:r>
      <w:r w:rsidRPr="006C4238">
        <w:rPr>
          <w:rStyle w:val="af7"/>
          <w:rFonts w:eastAsia="Guttman Hodes"/>
          <w:rtl/>
        </w:rPr>
        <w:instrText xml:space="preserve"> </w:instrText>
      </w:r>
      <w:r w:rsidRPr="006C4238">
        <w:rPr>
          <w:rStyle w:val="af7"/>
          <w:rFonts w:eastAsia="Guttman Hodes"/>
          <w:rtl/>
        </w:rPr>
      </w:r>
      <w:r w:rsidRPr="006C4238">
        <w:rPr>
          <w:rStyle w:val="af7"/>
          <w:rFonts w:eastAsia="Guttman Hodes"/>
          <w:rtl/>
        </w:rPr>
        <w:fldChar w:fldCharType="separate"/>
      </w:r>
      <w:r w:rsidR="00345400">
        <w:rPr>
          <w:rStyle w:val="af7"/>
          <w:rFonts w:eastAsia="Guttman Hodes"/>
          <w:cs/>
        </w:rPr>
        <w:t>‎</w:t>
      </w:r>
      <w:r w:rsidR="00345400">
        <w:rPr>
          <w:rStyle w:val="af7"/>
          <w:rFonts w:eastAsia="Guttman Hodes"/>
          <w:rtl/>
        </w:rPr>
        <w:t>נ)</w:t>
      </w:r>
      <w:r w:rsidRPr="006C4238">
        <w:rPr>
          <w:rStyle w:val="af7"/>
          <w:rFonts w:eastAsia="Guttman Hodes"/>
          <w:rtl/>
        </w:rPr>
        <w:fldChar w:fldCharType="end"/>
      </w:r>
      <w:r>
        <w:rPr>
          <w:rFonts w:hint="cs"/>
          <w:rtl/>
        </w:rPr>
        <w:t xml:space="preserve">, ועי' במה שתירץ </w:t>
      </w:r>
      <w:r w:rsidRPr="005F2C38">
        <w:rPr>
          <w:rStyle w:val="af9"/>
          <w:rFonts w:hint="cs"/>
          <w:rtl/>
        </w:rPr>
        <w:t>הראש יוסף לקמן</w:t>
      </w:r>
      <w:r>
        <w:rPr>
          <w:rFonts w:hint="cs"/>
          <w:rtl/>
        </w:rPr>
        <w:t xml:space="preserve"> </w:t>
      </w:r>
      <w:r w:rsidRPr="005F2C38">
        <w:rPr>
          <w:rStyle w:val="af7"/>
          <w:rFonts w:eastAsia="Guttman Hodes" w:hint="cs"/>
          <w:rtl/>
        </w:rPr>
        <w:t>(ל: ד"ה גם מה שכתב)</w:t>
      </w:r>
      <w:r>
        <w:rPr>
          <w:rFonts w:hint="cs"/>
          <w:rtl/>
        </w:rPr>
        <w:t>.</w:t>
      </w:r>
    </w:p>
    <w:p w14:paraId="0AF5B941" w14:textId="77777777" w:rsidR="00436F39" w:rsidRDefault="00436F39" w:rsidP="00BF39B2">
      <w:pPr>
        <w:pStyle w:val="1"/>
        <w:rPr>
          <w:rtl/>
        </w:rPr>
      </w:pPr>
      <w:bookmarkStart w:id="14406" w:name="_Toc533413311"/>
      <w:bookmarkStart w:id="14407" w:name="_Toc533441202"/>
      <w:bookmarkStart w:id="14408" w:name="_Toc533441248"/>
      <w:bookmarkStart w:id="14409" w:name="_Toc533490170"/>
      <w:bookmarkStart w:id="14410" w:name="_Toc533506136"/>
      <w:bookmarkStart w:id="14411" w:name="_Toc533544344"/>
      <w:bookmarkStart w:id="14412" w:name="_Toc533544541"/>
      <w:bookmarkStart w:id="14413" w:name="_Toc19390880"/>
      <w:bookmarkStart w:id="14414" w:name="_Toc19394377"/>
      <w:r>
        <w:rPr>
          <w:rFonts w:hint="cs"/>
          <w:rtl/>
        </w:rPr>
        <w:t>דברי הראב"ד</w:t>
      </w:r>
      <w:bookmarkEnd w:id="14406"/>
      <w:bookmarkEnd w:id="14407"/>
      <w:bookmarkEnd w:id="14408"/>
      <w:bookmarkEnd w:id="14409"/>
      <w:bookmarkEnd w:id="14410"/>
      <w:bookmarkEnd w:id="14411"/>
      <w:bookmarkEnd w:id="14412"/>
      <w:r>
        <w:rPr>
          <w:rFonts w:hint="cs"/>
          <w:rtl/>
        </w:rPr>
        <w:t xml:space="preserve"> דגזרו רבנן במיעו"ב בחלדה ולא בהגרמה</w:t>
      </w:r>
      <w:bookmarkEnd w:id="14413"/>
      <w:bookmarkEnd w:id="14414"/>
    </w:p>
    <w:p w14:paraId="0FD0B022" w14:textId="77777777" w:rsidR="00436F39" w:rsidRPr="00761B0C" w:rsidRDefault="00436F39" w:rsidP="006D6D32">
      <w:pPr>
        <w:pStyle w:val="a3"/>
        <w:rPr>
          <w:rtl/>
        </w:rPr>
      </w:pPr>
      <w:bookmarkStart w:id="14415" w:name="_Toc533506137"/>
      <w:bookmarkStart w:id="14416" w:name="_Toc533544345"/>
      <w:bookmarkStart w:id="14417" w:name="_Toc533544542"/>
      <w:bookmarkStart w:id="14418" w:name="_Toc19390881"/>
      <w:bookmarkStart w:id="14419" w:name="_Toc19394378"/>
      <w:r>
        <w:rPr>
          <w:rFonts w:hint="cs"/>
          <w:rtl/>
        </w:rPr>
        <w:t>ביאור הראב"ד דמדרבנן צריך לכתחילה לשחוט את כל הסימנים וגזרו כששחט מיעוט בפסול</w:t>
      </w:r>
      <w:bookmarkEnd w:id="14415"/>
      <w:bookmarkEnd w:id="14416"/>
      <w:bookmarkEnd w:id="14417"/>
      <w:bookmarkEnd w:id="14418"/>
      <w:bookmarkEnd w:id="14419"/>
    </w:p>
    <w:p w14:paraId="5401C0B2" w14:textId="77777777" w:rsidR="00436F39" w:rsidRPr="006F4B13" w:rsidRDefault="00436F39" w:rsidP="00223668">
      <w:pPr>
        <w:pStyle w:val="a0"/>
        <w:rPr>
          <w:rStyle w:val="afb"/>
          <w:rtl/>
        </w:rPr>
      </w:pPr>
      <w:bookmarkStart w:id="14420" w:name="_Ref533346662"/>
      <w:r w:rsidRPr="00837A59">
        <w:rPr>
          <w:rStyle w:val="af9"/>
          <w:rFonts w:hint="cs"/>
          <w:rtl/>
        </w:rPr>
        <w:t>הרמב"ן</w:t>
      </w:r>
      <w:r>
        <w:rPr>
          <w:rFonts w:hint="cs"/>
          <w:rtl/>
        </w:rPr>
        <w:t xml:space="preserve"> </w:t>
      </w:r>
      <w:r w:rsidRPr="00837A59">
        <w:rPr>
          <w:rStyle w:val="af9"/>
          <w:rFonts w:hint="cs"/>
          <w:rtl/>
        </w:rPr>
        <w:t>לקמן</w:t>
      </w:r>
      <w:r>
        <w:rPr>
          <w:rFonts w:hint="cs"/>
          <w:rtl/>
        </w:rPr>
        <w:t xml:space="preserve"> </w:t>
      </w:r>
      <w:r w:rsidRPr="00257A45">
        <w:rPr>
          <w:rStyle w:val="af7"/>
          <w:rFonts w:eastAsia="Guttman Hodes" w:hint="cs"/>
          <w:rtl/>
        </w:rPr>
        <w:t>(ל: ד"ה החליד)</w:t>
      </w:r>
      <w:r>
        <w:rPr>
          <w:rFonts w:hint="cs"/>
          <w:rtl/>
        </w:rPr>
        <w:t xml:space="preserve"> הביא בשם  </w:t>
      </w:r>
      <w:r w:rsidRPr="00837A59">
        <w:rPr>
          <w:rStyle w:val="af9"/>
          <w:rFonts w:hint="cs"/>
          <w:rtl/>
        </w:rPr>
        <w:t>הראב"ד</w:t>
      </w:r>
      <w:r>
        <w:rPr>
          <w:rFonts w:hint="cs"/>
          <w:rtl/>
        </w:rPr>
        <w:t xml:space="preserve"> דביאר בדעת</w:t>
      </w:r>
      <w:r w:rsidRPr="00230E8D">
        <w:rPr>
          <w:rFonts w:hint="cs"/>
          <w:rtl/>
        </w:rPr>
        <w:t xml:space="preserve"> </w:t>
      </w:r>
      <w:r w:rsidRPr="00230E8D">
        <w:rPr>
          <w:rStyle w:val="af9"/>
          <w:rFonts w:hint="cs"/>
          <w:rtl/>
        </w:rPr>
        <w:t xml:space="preserve">רש"י </w:t>
      </w:r>
      <w:r w:rsidRPr="00230E8D">
        <w:rPr>
          <w:rFonts w:hint="cs"/>
          <w:rtl/>
        </w:rPr>
        <w:t xml:space="preserve">דהספק </w:t>
      </w:r>
      <w:r>
        <w:rPr>
          <w:rFonts w:hint="cs"/>
          <w:rtl/>
        </w:rPr>
        <w:t>בחלדה במיעוט בתרא,</w:t>
      </w:r>
      <w:r w:rsidRPr="00230E8D">
        <w:rPr>
          <w:rFonts w:hint="cs"/>
          <w:rtl/>
        </w:rPr>
        <w:t xml:space="preserve"> הוא האם כיון ד</w:t>
      </w:r>
      <w:r>
        <w:rPr>
          <w:rFonts w:hint="cs"/>
          <w:rtl/>
        </w:rPr>
        <w:t xml:space="preserve">מדרבנן </w:t>
      </w:r>
      <w:r w:rsidRPr="00230E8D">
        <w:rPr>
          <w:rFonts w:hint="cs"/>
          <w:rtl/>
        </w:rPr>
        <w:t>הא דמהני רוב בשחיטה הוא רק בדיע</w:t>
      </w:r>
      <w:r>
        <w:rPr>
          <w:rFonts w:hint="cs"/>
          <w:rtl/>
        </w:rPr>
        <w:t xml:space="preserve">בד, ולכתחילה צריך לשחוט את כל ב' הסימנים, לכן </w:t>
      </w:r>
      <w:r w:rsidRPr="00230E8D">
        <w:rPr>
          <w:rFonts w:hint="cs"/>
          <w:rtl/>
        </w:rPr>
        <w:t>מדרבנ</w:t>
      </w:r>
      <w:r>
        <w:rPr>
          <w:rFonts w:hint="cs"/>
          <w:rtl/>
        </w:rPr>
        <w:t xml:space="preserve">ן צריך לגמור את השחיטה בכשרות, וכששחט את כל הסימנים בפסול פסלי רבנן, כדי שלא יבא לידי קלקול בשחיטה </w:t>
      </w:r>
      <w:r w:rsidRPr="003912EB">
        <w:rPr>
          <w:rFonts w:hint="cs"/>
          <w:rtl/>
        </w:rPr>
        <w:t>עצמה</w:t>
      </w:r>
      <w:r>
        <w:rPr>
          <w:rFonts w:hint="cs"/>
          <w:rtl/>
        </w:rPr>
        <w:t>.</w:t>
      </w:r>
      <w:r w:rsidRPr="003912EB">
        <w:rPr>
          <w:rFonts w:hint="cs"/>
          <w:rtl/>
        </w:rPr>
        <w:t xml:space="preserve"> </w:t>
      </w:r>
      <w:r w:rsidRPr="006F4B13">
        <w:rPr>
          <w:rStyle w:val="afb"/>
          <w:rFonts w:hint="cs"/>
          <w:rtl/>
        </w:rPr>
        <w:t xml:space="preserve">[ועי' בדברי </w:t>
      </w:r>
      <w:r w:rsidRPr="006F4B13">
        <w:rPr>
          <w:rStyle w:val="affa"/>
          <w:rFonts w:hint="cs"/>
          <w:rtl/>
        </w:rPr>
        <w:t>המאירי</w:t>
      </w:r>
      <w:r w:rsidRPr="006F4B13">
        <w:rPr>
          <w:rStyle w:val="afb"/>
          <w:rFonts w:hint="cs"/>
          <w:rtl/>
        </w:rPr>
        <w:t xml:space="preserve"> </w:t>
      </w:r>
      <w:r w:rsidRPr="006F4B13">
        <w:rPr>
          <w:rStyle w:val="aff6"/>
          <w:rFonts w:hint="cs"/>
          <w:rtl/>
        </w:rPr>
        <w:t xml:space="preserve">(עי' אות </w:t>
      </w:r>
      <w:r w:rsidRPr="006F4B13">
        <w:rPr>
          <w:rStyle w:val="aff6"/>
          <w:rtl/>
        </w:rPr>
        <w:fldChar w:fldCharType="begin"/>
      </w:r>
      <w:r w:rsidRPr="006F4B13">
        <w:rPr>
          <w:rStyle w:val="aff6"/>
          <w:rtl/>
        </w:rPr>
        <w:instrText xml:space="preserve"> </w:instrText>
      </w:r>
      <w:r w:rsidRPr="006F4B13">
        <w:rPr>
          <w:rStyle w:val="aff6"/>
          <w:rFonts w:hint="cs"/>
        </w:rPr>
        <w:instrText>REF</w:instrText>
      </w:r>
      <w:r w:rsidRPr="006F4B13">
        <w:rPr>
          <w:rStyle w:val="aff6"/>
          <w:rFonts w:hint="cs"/>
          <w:rtl/>
        </w:rPr>
        <w:instrText xml:space="preserve"> _</w:instrText>
      </w:r>
      <w:r w:rsidRPr="006F4B13">
        <w:rPr>
          <w:rStyle w:val="aff6"/>
          <w:rFonts w:hint="cs"/>
        </w:rPr>
        <w:instrText>Ref533501305 \r \h</w:instrText>
      </w:r>
      <w:r w:rsidRPr="006F4B13">
        <w:rPr>
          <w:rStyle w:val="aff6"/>
          <w:rtl/>
        </w:rPr>
        <w:instrText xml:space="preserve"> </w:instrText>
      </w:r>
      <w:r w:rsidRPr="006F4B13">
        <w:rPr>
          <w:rStyle w:val="aff6"/>
          <w:rtl/>
        </w:rPr>
      </w:r>
      <w:r w:rsidRPr="006F4B13">
        <w:rPr>
          <w:rStyle w:val="aff6"/>
          <w:rtl/>
        </w:rPr>
        <w:fldChar w:fldCharType="separate"/>
      </w:r>
      <w:r w:rsidR="00345400">
        <w:rPr>
          <w:rStyle w:val="aff6"/>
          <w:cs/>
        </w:rPr>
        <w:t>‎</w:t>
      </w:r>
      <w:r w:rsidR="00345400">
        <w:rPr>
          <w:rStyle w:val="aff6"/>
          <w:rtl/>
        </w:rPr>
        <w:t>יט)</w:t>
      </w:r>
      <w:r w:rsidRPr="006F4B13">
        <w:rPr>
          <w:rStyle w:val="aff6"/>
          <w:rtl/>
        </w:rPr>
        <w:fldChar w:fldCharType="end"/>
      </w:r>
      <w:r>
        <w:rPr>
          <w:rStyle w:val="afb"/>
          <w:rFonts w:hint="cs"/>
          <w:rtl/>
        </w:rPr>
        <w:t xml:space="preserve"> </w:t>
      </w:r>
      <w:r w:rsidRPr="006F4B13">
        <w:rPr>
          <w:rStyle w:val="afb"/>
          <w:rFonts w:hint="cs"/>
          <w:rtl/>
        </w:rPr>
        <w:t xml:space="preserve">דביאר </w:t>
      </w:r>
      <w:r w:rsidRPr="006F4B13">
        <w:rPr>
          <w:rStyle w:val="affa"/>
          <w:rFonts w:hint="cs"/>
          <w:rtl/>
        </w:rPr>
        <w:t>דלרש"י</w:t>
      </w:r>
      <w:r w:rsidRPr="006F4B13">
        <w:rPr>
          <w:rStyle w:val="afb"/>
          <w:rFonts w:hint="cs"/>
          <w:rtl/>
        </w:rPr>
        <w:t xml:space="preserve"> מדאו' צריך לכתחילה לשחוט את כל הסימנים].</w:t>
      </w:r>
      <w:bookmarkEnd w:id="14420"/>
    </w:p>
    <w:p w14:paraId="624A5D48" w14:textId="77777777" w:rsidR="00436F39" w:rsidRDefault="00436F39" w:rsidP="006D6D32">
      <w:pPr>
        <w:pStyle w:val="a3"/>
        <w:rPr>
          <w:rtl/>
        </w:rPr>
      </w:pPr>
      <w:bookmarkStart w:id="14421" w:name="_Toc533506138"/>
      <w:bookmarkStart w:id="14422" w:name="_Toc533544346"/>
      <w:bookmarkStart w:id="14423" w:name="_Toc533544543"/>
      <w:bookmarkStart w:id="14424" w:name="_Toc19390882"/>
      <w:bookmarkStart w:id="14425" w:name="_Toc19394379"/>
      <w:r>
        <w:rPr>
          <w:rFonts w:hint="cs"/>
          <w:rtl/>
        </w:rPr>
        <w:t>דברי הראב"ד דבהגרמה במיעו"ב שאינו במקום שחיטה וניכר ששחט את הרוב כראוי לא גזור רבנן</w:t>
      </w:r>
      <w:bookmarkEnd w:id="14421"/>
      <w:bookmarkEnd w:id="14422"/>
      <w:bookmarkEnd w:id="14423"/>
      <w:bookmarkEnd w:id="14424"/>
      <w:bookmarkEnd w:id="14425"/>
    </w:p>
    <w:p w14:paraId="59E96D38" w14:textId="77777777" w:rsidR="00436F39" w:rsidRDefault="00436F39" w:rsidP="00223668">
      <w:pPr>
        <w:pStyle w:val="a0"/>
        <w:rPr>
          <w:rtl/>
        </w:rPr>
      </w:pPr>
      <w:r>
        <w:rPr>
          <w:rFonts w:hint="cs"/>
          <w:rtl/>
        </w:rPr>
        <w:t xml:space="preserve">וכתב </w:t>
      </w:r>
      <w:r w:rsidRPr="00837A59">
        <w:rPr>
          <w:rStyle w:val="af9"/>
          <w:rFonts w:hint="cs"/>
          <w:rtl/>
        </w:rPr>
        <w:t>הרמב"ן</w:t>
      </w:r>
      <w:r>
        <w:rPr>
          <w:rFonts w:hint="cs"/>
          <w:rtl/>
        </w:rPr>
        <w:t xml:space="preserve"> </w:t>
      </w:r>
      <w:r w:rsidRPr="00837A59">
        <w:rPr>
          <w:rStyle w:val="af9"/>
          <w:rFonts w:hint="cs"/>
          <w:rtl/>
        </w:rPr>
        <w:t>לקמן</w:t>
      </w:r>
      <w:r>
        <w:rPr>
          <w:rFonts w:hint="cs"/>
          <w:rtl/>
        </w:rPr>
        <w:t xml:space="preserve"> בשם </w:t>
      </w:r>
      <w:r w:rsidRPr="00837A59">
        <w:rPr>
          <w:rStyle w:val="af9"/>
          <w:rFonts w:hint="cs"/>
          <w:rtl/>
        </w:rPr>
        <w:t>הראב"ד</w:t>
      </w:r>
      <w:r>
        <w:rPr>
          <w:rFonts w:hint="cs"/>
          <w:rtl/>
        </w:rPr>
        <w:t xml:space="preserve"> דספק הגמ' לקמן הוא רק בשהייה וחלדה, אבל בהגרמה שאינה במקום שחיטה, וניכר ששחט את רוב הסימנים כראוי, לא גזרו רבנן.</w:t>
      </w:r>
    </w:p>
    <w:p w14:paraId="6B0FE3EB" w14:textId="77777777" w:rsidR="00436F39" w:rsidRPr="008E5F26" w:rsidRDefault="00436F39" w:rsidP="006D6D32">
      <w:pPr>
        <w:pStyle w:val="a3"/>
        <w:rPr>
          <w:rtl/>
        </w:rPr>
      </w:pPr>
      <w:bookmarkStart w:id="14426" w:name="_Toc533506139"/>
      <w:bookmarkStart w:id="14427" w:name="_Toc533544347"/>
      <w:bookmarkStart w:id="14428" w:name="_Toc533544544"/>
      <w:bookmarkStart w:id="14429" w:name="_Toc19390883"/>
      <w:bookmarkStart w:id="14430" w:name="_Toc19394380"/>
      <w:r>
        <w:rPr>
          <w:rFonts w:hint="cs"/>
          <w:rtl/>
        </w:rPr>
        <w:t>דברי הראב"ד דבקנה אין חילוק בין מיעוט קמא למיעוט בתרא</w:t>
      </w:r>
      <w:bookmarkEnd w:id="14426"/>
      <w:bookmarkEnd w:id="14427"/>
      <w:bookmarkEnd w:id="14428"/>
      <w:bookmarkEnd w:id="14429"/>
      <w:bookmarkEnd w:id="14430"/>
    </w:p>
    <w:p w14:paraId="5BA7A1C2" w14:textId="77777777" w:rsidR="00436F39" w:rsidRPr="00CF1FF8" w:rsidRDefault="00436F39" w:rsidP="00223668">
      <w:pPr>
        <w:pStyle w:val="a0"/>
        <w:rPr>
          <w:rtl/>
        </w:rPr>
      </w:pPr>
      <w:r w:rsidRPr="00CF1FF8">
        <w:rPr>
          <w:rFonts w:hint="cs"/>
          <w:rtl/>
        </w:rPr>
        <w:t xml:space="preserve">והוסיף </w:t>
      </w:r>
      <w:r w:rsidRPr="00CF1FF8">
        <w:rPr>
          <w:rStyle w:val="af9"/>
          <w:rFonts w:hint="cs"/>
          <w:rtl/>
        </w:rPr>
        <w:t>הרמב"ן לקמן</w:t>
      </w:r>
      <w:r w:rsidRPr="00CF1FF8">
        <w:rPr>
          <w:rFonts w:hint="cs"/>
          <w:rtl/>
        </w:rPr>
        <w:t xml:space="preserve"> בשם </w:t>
      </w:r>
      <w:r w:rsidRPr="00CF1FF8">
        <w:rPr>
          <w:rStyle w:val="af9"/>
          <w:rFonts w:hint="cs"/>
          <w:rtl/>
        </w:rPr>
        <w:t>הראב"ד</w:t>
      </w:r>
      <w:r w:rsidRPr="00CF1FF8">
        <w:rPr>
          <w:rFonts w:hint="cs"/>
          <w:rtl/>
        </w:rPr>
        <w:t xml:space="preserve"> דפסול שהייה הוא רק בושט ולא בקנה, כיון שבקנה אין חילוק בין מיעוט קמא למיעוט בתרא.</w:t>
      </w:r>
    </w:p>
    <w:p w14:paraId="48F58530" w14:textId="77777777" w:rsidR="00436F39" w:rsidRDefault="00436F39" w:rsidP="006D6D32">
      <w:pPr>
        <w:pStyle w:val="a3"/>
        <w:rPr>
          <w:rtl/>
        </w:rPr>
      </w:pPr>
      <w:bookmarkStart w:id="14431" w:name="_Toc533506140"/>
      <w:bookmarkStart w:id="14432" w:name="_Toc533544348"/>
      <w:bookmarkStart w:id="14433" w:name="_Toc533544545"/>
      <w:bookmarkStart w:id="14434" w:name="_Toc19390884"/>
      <w:bookmarkStart w:id="14435" w:name="_Toc19394381"/>
      <w:r>
        <w:rPr>
          <w:rFonts w:hint="cs"/>
          <w:rtl/>
        </w:rPr>
        <w:t>דחיית הרמב"ן דכיון דבשחט רק את רוב הסימן לא גזרו ה"ה בשחט את המיעו"ב בפסול דלא גזרו</w:t>
      </w:r>
      <w:bookmarkEnd w:id="14431"/>
      <w:bookmarkEnd w:id="14432"/>
      <w:bookmarkEnd w:id="14433"/>
      <w:bookmarkEnd w:id="14434"/>
      <w:bookmarkEnd w:id="14435"/>
    </w:p>
    <w:p w14:paraId="0E0369FE" w14:textId="77777777" w:rsidR="00436F39" w:rsidRPr="007363AD" w:rsidRDefault="00436F39" w:rsidP="00223668">
      <w:pPr>
        <w:pStyle w:val="a0"/>
        <w:rPr>
          <w:rtl/>
        </w:rPr>
      </w:pPr>
      <w:r>
        <w:rPr>
          <w:rFonts w:hint="cs"/>
          <w:rtl/>
        </w:rPr>
        <w:t xml:space="preserve">ודחה </w:t>
      </w:r>
      <w:r w:rsidRPr="00837A59">
        <w:rPr>
          <w:rStyle w:val="af9"/>
          <w:rFonts w:hint="cs"/>
          <w:rtl/>
        </w:rPr>
        <w:t>הרמב"ן לקמן</w:t>
      </w:r>
      <w:r>
        <w:rPr>
          <w:rFonts w:hint="cs"/>
          <w:rtl/>
        </w:rPr>
        <w:t xml:space="preserve"> את דברי </w:t>
      </w:r>
      <w:r w:rsidRPr="00837A59">
        <w:rPr>
          <w:rStyle w:val="af9"/>
          <w:rFonts w:hint="cs"/>
          <w:rtl/>
        </w:rPr>
        <w:t>הראב"ד</w:t>
      </w:r>
      <w:r>
        <w:rPr>
          <w:rFonts w:hint="cs"/>
          <w:rtl/>
        </w:rPr>
        <w:t xml:space="preserve"> דכיון דבשוחט רוב ב' סימנים והניח ולא גמר לשחוט לא גזרו רבנן, א"כ אף אם גמר את השחיטה בפסול אין זה פוסל, וכן דחה </w:t>
      </w:r>
      <w:r w:rsidRPr="00837A59">
        <w:rPr>
          <w:rStyle w:val="af9"/>
          <w:rFonts w:hint="cs"/>
          <w:rtl/>
        </w:rPr>
        <w:t>הרמב"ן לקמן</w:t>
      </w:r>
      <w:r>
        <w:rPr>
          <w:rFonts w:hint="cs"/>
          <w:rtl/>
        </w:rPr>
        <w:t xml:space="preserve"> את חילוק </w:t>
      </w:r>
      <w:r w:rsidRPr="00837A59">
        <w:rPr>
          <w:rStyle w:val="af9"/>
          <w:rFonts w:hint="cs"/>
          <w:rtl/>
        </w:rPr>
        <w:t>הראב"ד</w:t>
      </w:r>
      <w:r>
        <w:rPr>
          <w:rFonts w:hint="cs"/>
          <w:rtl/>
        </w:rPr>
        <w:t xml:space="preserve"> בין שהייה בקנה לשהייה בושט, דאין ביניהם חילוק, והקשה </w:t>
      </w:r>
      <w:r w:rsidRPr="00837A59">
        <w:rPr>
          <w:rStyle w:val="af9"/>
          <w:rFonts w:hint="cs"/>
          <w:rtl/>
        </w:rPr>
        <w:t>הרמב"ן לקמן</w:t>
      </w:r>
      <w:r>
        <w:rPr>
          <w:rFonts w:hint="cs"/>
          <w:rtl/>
        </w:rPr>
        <w:t xml:space="preserve"> על </w:t>
      </w:r>
      <w:r w:rsidRPr="00837A59">
        <w:rPr>
          <w:rStyle w:val="af9"/>
          <w:rFonts w:hint="cs"/>
          <w:rtl/>
        </w:rPr>
        <w:t>הראב"ד</w:t>
      </w:r>
      <w:r>
        <w:rPr>
          <w:rFonts w:hint="cs"/>
          <w:rtl/>
        </w:rPr>
        <w:t xml:space="preserve"> דלפי סברתו היה לרבנן לגזור בשהייה וחלדה במיעוט קמא של הקנה, דכיון שעשה את מצות השחיטה עצמה בפסול יש לגזור שלא יקלקל את השחיטה במקום הפוסל. </w:t>
      </w:r>
    </w:p>
    <w:p w14:paraId="3405E9CD" w14:textId="77777777" w:rsidR="00436F39" w:rsidRDefault="00436F39" w:rsidP="006D6D32">
      <w:pPr>
        <w:pStyle w:val="a3"/>
        <w:rPr>
          <w:rtl/>
        </w:rPr>
      </w:pPr>
      <w:bookmarkStart w:id="14436" w:name="_Toc533544349"/>
      <w:bookmarkStart w:id="14437" w:name="_Toc533544546"/>
      <w:bookmarkStart w:id="14438" w:name="_Toc19390885"/>
      <w:bookmarkStart w:id="14439" w:name="_Toc19394382"/>
      <w:r>
        <w:rPr>
          <w:rFonts w:hint="cs"/>
          <w:rtl/>
        </w:rPr>
        <w:t>דברי הראב"ד בהשג' דכיון דהניחה הגמ' בספק במיעוט בתרא בתיקו פסקינן לקולא</w:t>
      </w:r>
      <w:bookmarkEnd w:id="14436"/>
      <w:bookmarkEnd w:id="14437"/>
      <w:bookmarkEnd w:id="14438"/>
      <w:bookmarkEnd w:id="14439"/>
    </w:p>
    <w:p w14:paraId="61E71D9C" w14:textId="77777777" w:rsidR="00436F39" w:rsidRPr="001517A9" w:rsidRDefault="00436F39" w:rsidP="00223668">
      <w:pPr>
        <w:pStyle w:val="a0"/>
        <w:rPr>
          <w:rtl/>
        </w:rPr>
      </w:pPr>
      <w:r w:rsidRPr="001517A9">
        <w:rPr>
          <w:rFonts w:hint="cs"/>
          <w:rtl/>
        </w:rPr>
        <w:t xml:space="preserve">כתב </w:t>
      </w:r>
      <w:r w:rsidRPr="001517A9">
        <w:rPr>
          <w:rStyle w:val="af9"/>
          <w:rFonts w:hint="cs"/>
          <w:rtl/>
        </w:rPr>
        <w:t>הראב"ד בהשג'</w:t>
      </w:r>
      <w:r w:rsidRPr="001517A9">
        <w:rPr>
          <w:rFonts w:hint="cs"/>
          <w:rtl/>
        </w:rPr>
        <w:t xml:space="preserve"> </w:t>
      </w:r>
      <w:r w:rsidRPr="001517A9">
        <w:rPr>
          <w:rStyle w:val="af7"/>
          <w:rFonts w:eastAsia="Guttman Hodes" w:hint="cs"/>
          <w:rtl/>
        </w:rPr>
        <w:t>(שחיטה פ"ג ה"ד)</w:t>
      </w:r>
      <w:r w:rsidRPr="001517A9">
        <w:rPr>
          <w:rFonts w:hint="cs"/>
          <w:rtl/>
        </w:rPr>
        <w:t xml:space="preserve"> דהביאור בספק בגמ' לקמן </w:t>
      </w:r>
      <w:r w:rsidRPr="00114379">
        <w:rPr>
          <w:rStyle w:val="af7"/>
          <w:rFonts w:eastAsia="Guttman Hodes" w:hint="cs"/>
          <w:rtl/>
        </w:rPr>
        <w:t xml:space="preserve">(ל:) </w:t>
      </w:r>
      <w:r w:rsidRPr="001517A9">
        <w:rPr>
          <w:rFonts w:hint="cs"/>
          <w:rtl/>
        </w:rPr>
        <w:t xml:space="preserve">בהחליד במיעוט סימנים, וכן </w:t>
      </w:r>
      <w:r>
        <w:rPr>
          <w:rFonts w:hint="cs"/>
          <w:rtl/>
        </w:rPr>
        <w:t>הביאור</w:t>
      </w:r>
      <w:r w:rsidRPr="001517A9">
        <w:rPr>
          <w:rFonts w:hint="cs"/>
          <w:rtl/>
        </w:rPr>
        <w:t xml:space="preserve"> בספק בגמ' לקמן</w:t>
      </w:r>
      <w:r w:rsidRPr="00114379">
        <w:rPr>
          <w:rStyle w:val="af7"/>
          <w:rFonts w:eastAsia="Guttman Hodes" w:hint="cs"/>
          <w:rtl/>
        </w:rPr>
        <w:t xml:space="preserve"> (לב:) </w:t>
      </w:r>
      <w:r w:rsidRPr="001517A9">
        <w:rPr>
          <w:rFonts w:hint="cs"/>
          <w:rtl/>
        </w:rPr>
        <w:t>בשהייה במיעוט סימנים ששחט את רוב הסימן כראוי, ושהה במיעוט בתרא</w:t>
      </w:r>
      <w:r>
        <w:rPr>
          <w:rFonts w:hint="cs"/>
          <w:rtl/>
        </w:rPr>
        <w:t>, האם השחיטה פסולה כיון שגמר את השחיטה בשהייה, או דלא חיישינן להכי, וכתב</w:t>
      </w:r>
      <w:r w:rsidRPr="006442A5">
        <w:rPr>
          <w:rStyle w:val="af9"/>
          <w:rFonts w:hint="cs"/>
          <w:rtl/>
        </w:rPr>
        <w:t xml:space="preserve"> </w:t>
      </w:r>
      <w:r w:rsidRPr="001517A9">
        <w:rPr>
          <w:rStyle w:val="af9"/>
          <w:rFonts w:hint="cs"/>
          <w:rtl/>
        </w:rPr>
        <w:t>הראב"ד בהשג'</w:t>
      </w:r>
      <w:r>
        <w:rPr>
          <w:rFonts w:hint="cs"/>
          <w:rtl/>
        </w:rPr>
        <w:t xml:space="preserve"> דכיון דהניחה הגמ' בתיקו, פסקינן לקולא,</w:t>
      </w:r>
      <w:r w:rsidRPr="00044DA6">
        <w:rPr>
          <w:rStyle w:val="afb"/>
          <w:rFonts w:hint="cs"/>
          <w:rtl/>
        </w:rPr>
        <w:t xml:space="preserve"> </w:t>
      </w:r>
      <w:r>
        <w:rPr>
          <w:rStyle w:val="afb"/>
          <w:rFonts w:hint="cs"/>
          <w:rtl/>
        </w:rPr>
        <w:t>[</w:t>
      </w:r>
      <w:r w:rsidRPr="00692748">
        <w:rPr>
          <w:rStyle w:val="afb"/>
          <w:rFonts w:hint="cs"/>
          <w:rtl/>
        </w:rPr>
        <w:t xml:space="preserve">ועי' במה שביאר </w:t>
      </w:r>
      <w:r w:rsidRPr="00692748">
        <w:rPr>
          <w:rStyle w:val="affa"/>
          <w:rFonts w:hint="cs"/>
          <w:rtl/>
        </w:rPr>
        <w:t>הביה"ל</w:t>
      </w:r>
      <w:r w:rsidRPr="00692748">
        <w:rPr>
          <w:rStyle w:val="afb"/>
          <w:rFonts w:hint="cs"/>
          <w:rtl/>
        </w:rPr>
        <w:t xml:space="preserve"> </w:t>
      </w:r>
      <w:r w:rsidRPr="00692748">
        <w:rPr>
          <w:rStyle w:val="aff6"/>
          <w:rFonts w:hint="cs"/>
          <w:rtl/>
        </w:rPr>
        <w:t>(ח"ב סי' י"א אות ב')</w:t>
      </w:r>
      <w:r w:rsidRPr="00692748">
        <w:rPr>
          <w:rStyle w:val="afb"/>
          <w:rFonts w:hint="cs"/>
          <w:rtl/>
        </w:rPr>
        <w:t xml:space="preserve"> </w:t>
      </w:r>
      <w:r w:rsidRPr="00044DA6">
        <w:rPr>
          <w:rStyle w:val="afb"/>
          <w:rFonts w:hint="cs"/>
          <w:rtl/>
        </w:rPr>
        <w:t xml:space="preserve">בדברי </w:t>
      </w:r>
      <w:r w:rsidRPr="00692748">
        <w:rPr>
          <w:rStyle w:val="affa"/>
          <w:rFonts w:hint="cs"/>
          <w:rtl/>
        </w:rPr>
        <w:t>הראב"ד בהשג'</w:t>
      </w:r>
      <w:r w:rsidRPr="00044DA6">
        <w:rPr>
          <w:rStyle w:val="afb"/>
          <w:rFonts w:hint="cs"/>
          <w:rtl/>
        </w:rPr>
        <w:t>]</w:t>
      </w:r>
      <w:r>
        <w:rPr>
          <w:rFonts w:hint="cs"/>
          <w:rtl/>
        </w:rPr>
        <w:t>.</w:t>
      </w:r>
    </w:p>
    <w:p w14:paraId="7A67D617" w14:textId="77777777" w:rsidR="009837F5" w:rsidRDefault="009837F5" w:rsidP="006D6D32">
      <w:pPr>
        <w:pStyle w:val="a3"/>
        <w:rPr>
          <w:rtl/>
        </w:rPr>
      </w:pPr>
      <w:bookmarkStart w:id="14440" w:name="_Toc533506141"/>
      <w:bookmarkStart w:id="14441" w:name="_Toc533544350"/>
      <w:bookmarkStart w:id="14442" w:name="_Toc533544547"/>
    </w:p>
    <w:p w14:paraId="7C8D2A2F" w14:textId="77777777" w:rsidR="00436F39" w:rsidRPr="00A62E3A" w:rsidRDefault="00436F39" w:rsidP="006D6D32">
      <w:pPr>
        <w:pStyle w:val="a3"/>
        <w:rPr>
          <w:rtl/>
        </w:rPr>
      </w:pPr>
      <w:bookmarkStart w:id="14443" w:name="_Toc19390886"/>
      <w:bookmarkStart w:id="14444" w:name="_Toc19394383"/>
      <w:r>
        <w:rPr>
          <w:rFonts w:hint="cs"/>
          <w:rtl/>
        </w:rPr>
        <w:t>דברי התבו"ש והצל"ח והביה"ל דהראב"ד ביאר דהספק במיעו"ב הוא מדרבנן ולכן פסק לקולא</w:t>
      </w:r>
      <w:bookmarkEnd w:id="14440"/>
      <w:bookmarkEnd w:id="14441"/>
      <w:bookmarkEnd w:id="14442"/>
      <w:bookmarkEnd w:id="14443"/>
      <w:bookmarkEnd w:id="14444"/>
    </w:p>
    <w:p w14:paraId="4E985AC3" w14:textId="77777777" w:rsidR="00436F39" w:rsidRPr="00A62E3A" w:rsidRDefault="00436F39" w:rsidP="00223668">
      <w:pPr>
        <w:pStyle w:val="a0"/>
      </w:pPr>
      <w:r w:rsidRPr="00A62E3A">
        <w:rPr>
          <w:rFonts w:hint="cs"/>
          <w:rtl/>
        </w:rPr>
        <w:t xml:space="preserve">וכתבו </w:t>
      </w:r>
      <w:r w:rsidRPr="00A62E3A">
        <w:rPr>
          <w:rStyle w:val="af9"/>
          <w:rFonts w:hint="cs"/>
          <w:rtl/>
        </w:rPr>
        <w:t>התבו"ש</w:t>
      </w:r>
      <w:r w:rsidRPr="00A62E3A">
        <w:rPr>
          <w:rFonts w:hint="cs"/>
          <w:rtl/>
        </w:rPr>
        <w:t xml:space="preserve"> </w:t>
      </w:r>
      <w:r w:rsidRPr="00A62E3A">
        <w:rPr>
          <w:rStyle w:val="af7"/>
          <w:rFonts w:eastAsia="Guttman Hodes" w:hint="cs"/>
          <w:rtl/>
        </w:rPr>
        <w:t>(סי' כ"ג סק"ט)</w:t>
      </w:r>
      <w:r w:rsidRPr="00A62E3A">
        <w:rPr>
          <w:rFonts w:hint="cs"/>
          <w:rtl/>
        </w:rPr>
        <w:t xml:space="preserve"> </w:t>
      </w:r>
      <w:r w:rsidRPr="00A62E3A">
        <w:rPr>
          <w:rStyle w:val="af9"/>
          <w:rFonts w:hint="cs"/>
          <w:rtl/>
        </w:rPr>
        <w:t>והצל"ח</w:t>
      </w:r>
      <w:r w:rsidRPr="00A62E3A">
        <w:rPr>
          <w:rFonts w:hint="cs"/>
          <w:rtl/>
        </w:rPr>
        <w:t xml:space="preserve"> </w:t>
      </w:r>
      <w:r w:rsidRPr="00A62E3A">
        <w:rPr>
          <w:rStyle w:val="af7"/>
          <w:rFonts w:eastAsia="Guttman Hodes" w:hint="cs"/>
          <w:rtl/>
        </w:rPr>
        <w:t>(ל: ד"ה בעי)</w:t>
      </w:r>
      <w:r w:rsidRPr="00A62E3A">
        <w:rPr>
          <w:rFonts w:hint="cs"/>
          <w:rtl/>
        </w:rPr>
        <w:t xml:space="preserve"> </w:t>
      </w:r>
      <w:r w:rsidRPr="00A62E3A">
        <w:rPr>
          <w:rStyle w:val="af9"/>
          <w:rFonts w:hint="cs"/>
          <w:rtl/>
        </w:rPr>
        <w:t>והביה"ל</w:t>
      </w:r>
      <w:r w:rsidRPr="00A62E3A">
        <w:rPr>
          <w:rFonts w:hint="cs"/>
          <w:rtl/>
        </w:rPr>
        <w:t xml:space="preserve"> </w:t>
      </w:r>
      <w:r w:rsidRPr="00A62E3A">
        <w:rPr>
          <w:rStyle w:val="af7"/>
          <w:rFonts w:eastAsia="Guttman Hodes" w:hint="cs"/>
          <w:rtl/>
        </w:rPr>
        <w:t>(ח"ב ריש סי' י"א)</w:t>
      </w:r>
      <w:r w:rsidRPr="00A62E3A">
        <w:rPr>
          <w:rFonts w:hint="cs"/>
          <w:rtl/>
        </w:rPr>
        <w:t xml:space="preserve"> דמהא דפסק </w:t>
      </w:r>
      <w:r w:rsidRPr="00A62E3A">
        <w:rPr>
          <w:rStyle w:val="af9"/>
          <w:rFonts w:hint="cs"/>
          <w:rtl/>
        </w:rPr>
        <w:t>הראב"ד</w:t>
      </w:r>
      <w:r w:rsidRPr="00A62E3A">
        <w:rPr>
          <w:rFonts w:hint="cs"/>
          <w:rtl/>
        </w:rPr>
        <w:t xml:space="preserve"> בתיקו לקולא, מבואר דס"ל דהספק בשהייה במיעוט בתרא הוא מדרבנן, </w:t>
      </w:r>
      <w:r w:rsidRPr="00A62E3A">
        <w:rPr>
          <w:rStyle w:val="afb"/>
          <w:rFonts w:hint="cs"/>
          <w:rtl/>
        </w:rPr>
        <w:t xml:space="preserve">[וכמפורש </w:t>
      </w:r>
      <w:r w:rsidRPr="00A62E3A">
        <w:rPr>
          <w:rStyle w:val="affa"/>
          <w:rFonts w:hint="cs"/>
          <w:rtl/>
        </w:rPr>
        <w:t>ברמב"ן</w:t>
      </w:r>
      <w:r w:rsidRPr="00A62E3A">
        <w:rPr>
          <w:rStyle w:val="afb"/>
          <w:rFonts w:hint="cs"/>
          <w:rtl/>
        </w:rPr>
        <w:t xml:space="preserve"> בשם </w:t>
      </w:r>
      <w:r w:rsidRPr="00A62E3A">
        <w:rPr>
          <w:rStyle w:val="affa"/>
          <w:rFonts w:hint="cs"/>
          <w:rtl/>
        </w:rPr>
        <w:t>הראב"ד</w:t>
      </w:r>
      <w:r w:rsidRPr="00A62E3A">
        <w:rPr>
          <w:rStyle w:val="afb"/>
          <w:rFonts w:hint="cs"/>
          <w:rtl/>
        </w:rPr>
        <w:t xml:space="preserve"> </w:t>
      </w:r>
      <w:r w:rsidRPr="00A62E3A">
        <w:rPr>
          <w:rStyle w:val="aff6"/>
          <w:rFonts w:hint="cs"/>
          <w:rtl/>
        </w:rPr>
        <w:t xml:space="preserve">(עי' אות </w:t>
      </w:r>
      <w:r w:rsidRPr="00A62E3A">
        <w:rPr>
          <w:rStyle w:val="aff6"/>
          <w:rtl/>
        </w:rPr>
        <w:fldChar w:fldCharType="begin"/>
      </w:r>
      <w:r w:rsidRPr="00A62E3A">
        <w:rPr>
          <w:rStyle w:val="aff6"/>
          <w:rtl/>
        </w:rPr>
        <w:instrText xml:space="preserve"> </w:instrText>
      </w:r>
      <w:r w:rsidRPr="00A62E3A">
        <w:rPr>
          <w:rStyle w:val="aff6"/>
          <w:rFonts w:hint="cs"/>
        </w:rPr>
        <w:instrText>REF</w:instrText>
      </w:r>
      <w:r w:rsidRPr="00A62E3A">
        <w:rPr>
          <w:rStyle w:val="aff6"/>
          <w:rFonts w:hint="cs"/>
          <w:rtl/>
        </w:rPr>
        <w:instrText xml:space="preserve"> _</w:instrText>
      </w:r>
      <w:r w:rsidRPr="00A62E3A">
        <w:rPr>
          <w:rStyle w:val="aff6"/>
          <w:rFonts w:hint="cs"/>
        </w:rPr>
        <w:instrText>Ref533346662 \r \h</w:instrText>
      </w:r>
      <w:r w:rsidRPr="00A62E3A">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A62E3A">
        <w:rPr>
          <w:rStyle w:val="aff6"/>
          <w:rtl/>
        </w:rPr>
      </w:r>
      <w:r w:rsidRPr="00A62E3A">
        <w:rPr>
          <w:rStyle w:val="aff6"/>
          <w:rtl/>
        </w:rPr>
        <w:fldChar w:fldCharType="separate"/>
      </w:r>
      <w:r w:rsidR="00345400">
        <w:rPr>
          <w:rStyle w:val="aff6"/>
          <w:cs/>
        </w:rPr>
        <w:t>‎</w:t>
      </w:r>
      <w:r w:rsidR="00345400">
        <w:rPr>
          <w:rStyle w:val="aff6"/>
          <w:rtl/>
        </w:rPr>
        <w:t>לז)</w:t>
      </w:r>
      <w:r w:rsidRPr="00A62E3A">
        <w:rPr>
          <w:rStyle w:val="aff6"/>
          <w:rtl/>
        </w:rPr>
        <w:fldChar w:fldCharType="end"/>
      </w:r>
      <w:r w:rsidRPr="00A62E3A">
        <w:rPr>
          <w:rStyle w:val="afb"/>
          <w:rFonts w:hint="cs"/>
          <w:rtl/>
        </w:rPr>
        <w:t>]</w:t>
      </w:r>
      <w:r w:rsidRPr="00A62E3A">
        <w:rPr>
          <w:rFonts w:hint="cs"/>
          <w:rtl/>
        </w:rPr>
        <w:t xml:space="preserve">, וס"ל </w:t>
      </w:r>
      <w:r w:rsidRPr="00A62E3A">
        <w:rPr>
          <w:rStyle w:val="af9"/>
          <w:rFonts w:hint="cs"/>
          <w:rtl/>
        </w:rPr>
        <w:t>להראב"ד</w:t>
      </w:r>
      <w:r w:rsidRPr="00A62E3A">
        <w:rPr>
          <w:rFonts w:hint="cs"/>
          <w:rtl/>
        </w:rPr>
        <w:t xml:space="preserve"> כדעת </w:t>
      </w:r>
      <w:r w:rsidRPr="00A62E3A">
        <w:rPr>
          <w:rStyle w:val="af9"/>
          <w:rFonts w:hint="cs"/>
          <w:rtl/>
        </w:rPr>
        <w:t>הראשונים</w:t>
      </w:r>
      <w:r w:rsidRPr="00A62E3A">
        <w:rPr>
          <w:rFonts w:hint="cs"/>
          <w:rtl/>
        </w:rPr>
        <w:t xml:space="preserve"> </w:t>
      </w:r>
      <w:r w:rsidRPr="00A62E3A">
        <w:rPr>
          <w:rStyle w:val="afb"/>
          <w:rFonts w:hint="cs"/>
          <w:rtl/>
        </w:rPr>
        <w:t xml:space="preserve">[שהובאו </w:t>
      </w:r>
      <w:r w:rsidRPr="00A62E3A">
        <w:rPr>
          <w:rStyle w:val="affa"/>
          <w:rFonts w:hint="cs"/>
          <w:rtl/>
        </w:rPr>
        <w:t>בההג"מ</w:t>
      </w:r>
      <w:r w:rsidRPr="00A62E3A">
        <w:rPr>
          <w:rStyle w:val="afb"/>
          <w:rFonts w:hint="cs"/>
          <w:rtl/>
        </w:rPr>
        <w:t xml:space="preserve"> </w:t>
      </w:r>
      <w:r w:rsidRPr="00A62E3A">
        <w:rPr>
          <w:rStyle w:val="aff6"/>
          <w:rFonts w:hint="cs"/>
          <w:rtl/>
        </w:rPr>
        <w:t>(חמץ ומצה פ"ב הט"ז)</w:t>
      </w:r>
      <w:r w:rsidRPr="00A62E3A">
        <w:rPr>
          <w:rStyle w:val="afb"/>
          <w:rFonts w:hint="cs"/>
          <w:rtl/>
        </w:rPr>
        <w:t>]</w:t>
      </w:r>
      <w:r w:rsidRPr="00A62E3A">
        <w:rPr>
          <w:rFonts w:hint="cs"/>
          <w:rtl/>
        </w:rPr>
        <w:t xml:space="preserve"> דאף במקום שהניחה הגמ' בתיקו, אזלינן בדרבנן לקולא, ועיי"ש במה שביאר </w:t>
      </w:r>
      <w:r w:rsidRPr="00A62E3A">
        <w:rPr>
          <w:rStyle w:val="af9"/>
          <w:rFonts w:hint="cs"/>
          <w:rtl/>
        </w:rPr>
        <w:t>הביה"ל</w:t>
      </w:r>
      <w:r w:rsidRPr="00A62E3A">
        <w:rPr>
          <w:rFonts w:hint="cs"/>
          <w:rtl/>
        </w:rPr>
        <w:t xml:space="preserve"> את דברי </w:t>
      </w:r>
      <w:r w:rsidRPr="00A62E3A">
        <w:rPr>
          <w:rStyle w:val="af9"/>
          <w:rFonts w:hint="cs"/>
          <w:rtl/>
        </w:rPr>
        <w:t>הראב"ד</w:t>
      </w:r>
      <w:r w:rsidRPr="00A62E3A">
        <w:rPr>
          <w:rFonts w:hint="cs"/>
          <w:rtl/>
        </w:rPr>
        <w:t>.</w:t>
      </w:r>
    </w:p>
    <w:p w14:paraId="45DED743" w14:textId="77777777" w:rsidR="00436F39" w:rsidRPr="005A3729" w:rsidRDefault="00436F39" w:rsidP="006D6D32">
      <w:pPr>
        <w:pStyle w:val="a3"/>
      </w:pPr>
      <w:bookmarkStart w:id="14445" w:name="_Toc533413310"/>
      <w:bookmarkStart w:id="14446" w:name="_Toc533441203"/>
      <w:bookmarkStart w:id="14447" w:name="_Toc533441249"/>
      <w:bookmarkStart w:id="14448" w:name="_Toc533490171"/>
      <w:bookmarkStart w:id="14449" w:name="_Toc533506142"/>
      <w:bookmarkStart w:id="14450" w:name="_Toc533544351"/>
      <w:bookmarkStart w:id="14451" w:name="_Toc533544548"/>
      <w:bookmarkStart w:id="14452" w:name="_Toc19390887"/>
      <w:bookmarkStart w:id="14453" w:name="_Toc19394384"/>
      <w:r w:rsidRPr="00994092">
        <w:rPr>
          <w:rFonts w:hint="cs"/>
          <w:rtl/>
        </w:rPr>
        <w:t xml:space="preserve">דברי הריטב"א </w:t>
      </w:r>
      <w:bookmarkEnd w:id="14445"/>
      <w:bookmarkEnd w:id="14446"/>
      <w:bookmarkEnd w:id="14447"/>
      <w:bookmarkEnd w:id="14448"/>
      <w:r>
        <w:rPr>
          <w:rFonts w:hint="cs"/>
          <w:rtl/>
        </w:rPr>
        <w:t>בל"ק דרב הונא דרבנן פסלי כשלא גמר את כל הסימן מדרבנן</w:t>
      </w:r>
      <w:bookmarkEnd w:id="14449"/>
      <w:bookmarkEnd w:id="14450"/>
      <w:bookmarkEnd w:id="14451"/>
      <w:bookmarkEnd w:id="14452"/>
      <w:bookmarkEnd w:id="14453"/>
      <w:r>
        <w:rPr>
          <w:rFonts w:hint="cs"/>
          <w:rtl/>
        </w:rPr>
        <w:t xml:space="preserve"> </w:t>
      </w:r>
    </w:p>
    <w:p w14:paraId="10F4F8D0" w14:textId="77777777" w:rsidR="00436F39" w:rsidRDefault="00436F39" w:rsidP="00223668">
      <w:pPr>
        <w:pStyle w:val="a0"/>
        <w:rPr>
          <w:rtl/>
        </w:rPr>
      </w:pPr>
      <w:r>
        <w:rPr>
          <w:rFonts w:hint="cs"/>
          <w:rtl/>
        </w:rPr>
        <w:t xml:space="preserve">וע"ע בדברי </w:t>
      </w:r>
      <w:r w:rsidRPr="004C1B3D">
        <w:rPr>
          <w:rStyle w:val="af9"/>
          <w:rFonts w:hint="cs"/>
          <w:rtl/>
        </w:rPr>
        <w:t>הריטב"א</w:t>
      </w:r>
      <w:r>
        <w:rPr>
          <w:rFonts w:hint="cs"/>
          <w:rtl/>
        </w:rPr>
        <w:t xml:space="preserve"> </w:t>
      </w:r>
      <w:r w:rsidRPr="004C1B3D">
        <w:rPr>
          <w:rStyle w:val="af7"/>
          <w:rFonts w:eastAsia="Guttman Hodes" w:hint="cs"/>
          <w:rtl/>
        </w:rPr>
        <w:t>(יט. ד"ה אמר</w:t>
      </w:r>
      <w:r>
        <w:rPr>
          <w:rStyle w:val="af7"/>
          <w:rFonts w:eastAsia="Guttman Hodes" w:hint="cs"/>
          <w:rtl/>
        </w:rPr>
        <w:t xml:space="preserve"> ר"ה</w:t>
      </w:r>
      <w:r w:rsidRPr="004C1B3D">
        <w:rPr>
          <w:rStyle w:val="af7"/>
          <w:rFonts w:eastAsia="Guttman Hodes" w:hint="cs"/>
          <w:rtl/>
        </w:rPr>
        <w:t>)</w:t>
      </w:r>
      <w:r>
        <w:rPr>
          <w:rFonts w:hint="cs"/>
          <w:rtl/>
        </w:rPr>
        <w:t xml:space="preserve"> דכתב </w:t>
      </w:r>
      <w:r w:rsidRPr="00E6179F">
        <w:rPr>
          <w:rFonts w:hint="cs"/>
          <w:rtl/>
        </w:rPr>
        <w:t>בדעת ררבנן בל"ק דרב הונא</w:t>
      </w:r>
      <w:r>
        <w:rPr>
          <w:rFonts w:hint="cs"/>
          <w:rtl/>
        </w:rPr>
        <w:t>,</w:t>
      </w:r>
      <w:r w:rsidRPr="00E6179F">
        <w:rPr>
          <w:rFonts w:hint="cs"/>
          <w:rtl/>
        </w:rPr>
        <w:t xml:space="preserve"> דאפש"ל דבשחט את רוב הסימן בה</w:t>
      </w:r>
      <w:r>
        <w:rPr>
          <w:rFonts w:hint="cs"/>
          <w:rtl/>
        </w:rPr>
        <w:t xml:space="preserve">כשר, וגמר את השחיטה מחוץ למקום השחיטה, דמדאו' השחיטה כשרה </w:t>
      </w:r>
      <w:r w:rsidRPr="008C6035">
        <w:rPr>
          <w:rStyle w:val="afb"/>
          <w:rFonts w:hint="cs"/>
          <w:rtl/>
        </w:rPr>
        <w:t>[מדין רובו ככולו]</w:t>
      </w:r>
      <w:r>
        <w:rPr>
          <w:rFonts w:hint="cs"/>
          <w:rtl/>
        </w:rPr>
        <w:t>, והפסול לדעת רבנן הוא דין דרבנן בעלמא.</w:t>
      </w:r>
    </w:p>
    <w:p w14:paraId="20FA0461" w14:textId="77777777" w:rsidR="00436F39" w:rsidRDefault="00436F39" w:rsidP="006D6D32">
      <w:pPr>
        <w:pStyle w:val="afe"/>
        <w:rPr>
          <w:rtl/>
        </w:rPr>
      </w:pPr>
      <w:bookmarkStart w:id="14454" w:name="_Toc533506143"/>
      <w:bookmarkStart w:id="14455" w:name="_Toc533544352"/>
      <w:bookmarkStart w:id="14456" w:name="_Toc533544549"/>
      <w:bookmarkStart w:id="14457" w:name="_Toc19435925"/>
      <w:bookmarkStart w:id="14458" w:name="_Toc20081152"/>
      <w:bookmarkStart w:id="14459" w:name="_Toc533413312"/>
      <w:bookmarkStart w:id="14460" w:name="_Toc533441204"/>
      <w:bookmarkStart w:id="14461" w:name="_Toc533441250"/>
      <w:bookmarkStart w:id="14462" w:name="_Toc533490172"/>
      <w:r>
        <w:rPr>
          <w:rFonts w:hint="cs"/>
          <w:rtl/>
        </w:rPr>
        <w:t>הקושיות על דעת רש"י</w:t>
      </w:r>
      <w:bookmarkEnd w:id="14454"/>
      <w:bookmarkEnd w:id="14455"/>
      <w:bookmarkEnd w:id="14456"/>
      <w:bookmarkEnd w:id="14457"/>
      <w:bookmarkEnd w:id="14458"/>
    </w:p>
    <w:p w14:paraId="3286B549" w14:textId="77777777" w:rsidR="00436F39" w:rsidRDefault="00436F39" w:rsidP="00BF39B2">
      <w:pPr>
        <w:pStyle w:val="1"/>
        <w:rPr>
          <w:rtl/>
        </w:rPr>
      </w:pPr>
      <w:bookmarkStart w:id="14463" w:name="_Toc533506144"/>
      <w:bookmarkStart w:id="14464" w:name="_Toc533544353"/>
      <w:bookmarkStart w:id="14465" w:name="_Toc533544550"/>
      <w:bookmarkStart w:id="14466" w:name="_Toc19390888"/>
      <w:bookmarkStart w:id="14467" w:name="_Toc19394385"/>
      <w:r>
        <w:rPr>
          <w:rFonts w:hint="cs"/>
          <w:rtl/>
        </w:rPr>
        <w:t>קושית רש"י דבתוספתא</w:t>
      </w:r>
      <w:bookmarkEnd w:id="14459"/>
      <w:bookmarkEnd w:id="14460"/>
      <w:bookmarkEnd w:id="14461"/>
      <w:bookmarkEnd w:id="14462"/>
      <w:r>
        <w:rPr>
          <w:rFonts w:hint="cs"/>
          <w:rtl/>
        </w:rPr>
        <w:t xml:space="preserve"> מבואר דשהייה במיעו"ב כשרה</w:t>
      </w:r>
      <w:bookmarkEnd w:id="14463"/>
      <w:bookmarkEnd w:id="14464"/>
      <w:bookmarkEnd w:id="14465"/>
      <w:bookmarkEnd w:id="14466"/>
      <w:bookmarkEnd w:id="14467"/>
    </w:p>
    <w:p w14:paraId="74E58643" w14:textId="77777777" w:rsidR="00436F39" w:rsidRPr="009D0BA5" w:rsidRDefault="00436F39" w:rsidP="006D6D32">
      <w:pPr>
        <w:pStyle w:val="a3"/>
        <w:rPr>
          <w:rtl/>
        </w:rPr>
      </w:pPr>
      <w:bookmarkStart w:id="14468" w:name="_Toc533506145"/>
      <w:bookmarkStart w:id="14469" w:name="_Toc533544354"/>
      <w:bookmarkStart w:id="14470" w:name="_Toc533544551"/>
      <w:bookmarkStart w:id="14471" w:name="_Toc19390889"/>
      <w:bookmarkStart w:id="14472" w:name="_Toc19394386"/>
      <w:r>
        <w:rPr>
          <w:rFonts w:hint="cs"/>
          <w:rtl/>
        </w:rPr>
        <w:t>קושית רש"י דבתוספתא מבואר דשהייה אינה פוסלת אחר ששחט את הרוב בהכשר</w:t>
      </w:r>
      <w:bookmarkEnd w:id="14468"/>
      <w:bookmarkEnd w:id="14469"/>
      <w:bookmarkEnd w:id="14470"/>
      <w:bookmarkEnd w:id="14471"/>
      <w:bookmarkEnd w:id="14472"/>
    </w:p>
    <w:p w14:paraId="245CA2E4" w14:textId="77777777" w:rsidR="00436F39" w:rsidRDefault="00436F39" w:rsidP="00223668">
      <w:pPr>
        <w:pStyle w:val="a0"/>
        <w:rPr>
          <w:rtl/>
        </w:rPr>
      </w:pPr>
      <w:bookmarkStart w:id="14473" w:name="_Ref532402551"/>
      <w:bookmarkStart w:id="14474" w:name="_Ref532319495"/>
      <w:r>
        <w:rPr>
          <w:rFonts w:hint="cs"/>
          <w:rtl/>
        </w:rPr>
        <w:t xml:space="preserve">הקשה </w:t>
      </w:r>
      <w:r w:rsidRPr="00B867B3">
        <w:rPr>
          <w:rStyle w:val="af9"/>
          <w:rFonts w:hint="cs"/>
          <w:rtl/>
        </w:rPr>
        <w:t>רש"י לקמן</w:t>
      </w:r>
      <w:r>
        <w:rPr>
          <w:rFonts w:hint="cs"/>
          <w:rtl/>
        </w:rPr>
        <w:t xml:space="preserve"> </w:t>
      </w:r>
      <w:r w:rsidRPr="00257A45">
        <w:rPr>
          <w:rStyle w:val="af7"/>
          <w:rFonts w:eastAsia="Guttman Hodes" w:hint="cs"/>
          <w:rtl/>
        </w:rPr>
        <w:t>(ל: ד"ה החליד)</w:t>
      </w:r>
      <w:r>
        <w:rPr>
          <w:rFonts w:hint="cs"/>
          <w:rtl/>
        </w:rPr>
        <w:t xml:space="preserve"> דאיתא בתוספתא </w:t>
      </w:r>
      <w:r w:rsidRPr="00257A45">
        <w:rPr>
          <w:rStyle w:val="af7"/>
          <w:rFonts w:eastAsia="Guttman Hodes" w:hint="cs"/>
          <w:rtl/>
        </w:rPr>
        <w:t>(פ"ב ה"א)</w:t>
      </w:r>
      <w:r>
        <w:rPr>
          <w:rFonts w:hint="cs"/>
          <w:rtl/>
        </w:rPr>
        <w:t xml:space="preserve"> דאם שהה אחר שחיטת חצי גרגרת ואח"כ גמר את שחיטתו דהשחיטה כשרה, והגמ' לקמן </w:t>
      </w:r>
      <w:r w:rsidRPr="00257A45">
        <w:rPr>
          <w:rStyle w:val="af7"/>
          <w:rFonts w:eastAsia="Guttman Hodes" w:hint="cs"/>
          <w:rtl/>
        </w:rPr>
        <w:t xml:space="preserve">(כט.) </w:t>
      </w:r>
      <w:r>
        <w:rPr>
          <w:rFonts w:hint="cs"/>
          <w:rtl/>
        </w:rPr>
        <w:t xml:space="preserve">העמידה את התוספתא דאיירי בשחיטת עוף, שממנפ"ש כשר דאי מחצה על מחצה הוא כרוב, א"כ שחט את רוב הסימן, ואם אינו כרוב, שחיטת החצי לא פסלה כלל, וכתב </w:t>
      </w:r>
      <w:r w:rsidRPr="00B867B3">
        <w:rPr>
          <w:rStyle w:val="af9"/>
          <w:rFonts w:hint="cs"/>
          <w:rtl/>
        </w:rPr>
        <w:t>רש"י לקמן</w:t>
      </w:r>
      <w:r>
        <w:rPr>
          <w:rFonts w:hint="cs"/>
          <w:rtl/>
        </w:rPr>
        <w:t xml:space="preserve"> דא"כ מבואר דלהצד שחשיב ששחט את הרוב, לא פסל במה ששהה בהמשך השחיטה, אחר שחיטת הרוב.</w:t>
      </w:r>
      <w:bookmarkEnd w:id="14473"/>
      <w:r w:rsidRPr="00754B4F">
        <w:rPr>
          <w:rStyle w:val="afb"/>
          <w:rFonts w:hint="cs"/>
          <w:rtl/>
        </w:rPr>
        <w:t xml:space="preserve"> </w:t>
      </w:r>
      <w:r w:rsidRPr="00692748">
        <w:rPr>
          <w:rStyle w:val="afb"/>
          <w:rFonts w:hint="cs"/>
          <w:rtl/>
        </w:rPr>
        <w:t xml:space="preserve">[ועי' במה שביאר </w:t>
      </w:r>
      <w:r w:rsidRPr="00692748">
        <w:rPr>
          <w:rStyle w:val="affa"/>
          <w:rFonts w:hint="cs"/>
          <w:rtl/>
        </w:rPr>
        <w:t>הביה"ל</w:t>
      </w:r>
      <w:r w:rsidRPr="00692748">
        <w:rPr>
          <w:rStyle w:val="afb"/>
          <w:rFonts w:hint="cs"/>
          <w:rtl/>
        </w:rPr>
        <w:t xml:space="preserve"> </w:t>
      </w:r>
      <w:r w:rsidRPr="00692748">
        <w:rPr>
          <w:rStyle w:val="aff6"/>
          <w:rFonts w:hint="cs"/>
          <w:rtl/>
        </w:rPr>
        <w:t>(ח"ב סי' י"א אות ב')</w:t>
      </w:r>
      <w:r w:rsidRPr="00692748">
        <w:rPr>
          <w:rStyle w:val="afb"/>
          <w:rFonts w:hint="cs"/>
          <w:rtl/>
        </w:rPr>
        <w:t xml:space="preserve"> </w:t>
      </w:r>
      <w:r w:rsidRPr="00692748">
        <w:rPr>
          <w:rStyle w:val="affa"/>
          <w:rFonts w:hint="cs"/>
          <w:rtl/>
        </w:rPr>
        <w:t>דהראב"ד בהשג'</w:t>
      </w:r>
      <w:r w:rsidRPr="00692748">
        <w:rPr>
          <w:rStyle w:val="afb"/>
          <w:rFonts w:hint="cs"/>
          <w:rtl/>
        </w:rPr>
        <w:t xml:space="preserve"> </w:t>
      </w:r>
      <w:r w:rsidRPr="00692748">
        <w:rPr>
          <w:rStyle w:val="aff6"/>
          <w:rFonts w:hint="cs"/>
          <w:rtl/>
        </w:rPr>
        <w:t>(שחיטה פ"ג ה"ד)</w:t>
      </w:r>
      <w:r w:rsidRPr="00692748">
        <w:rPr>
          <w:rStyle w:val="afb"/>
          <w:rFonts w:hint="cs"/>
          <w:rtl/>
        </w:rPr>
        <w:t xml:space="preserve"> תירץ את קושית </w:t>
      </w:r>
      <w:r w:rsidRPr="00754B4F">
        <w:rPr>
          <w:rStyle w:val="affa"/>
          <w:rFonts w:hint="cs"/>
          <w:rtl/>
        </w:rPr>
        <w:t xml:space="preserve">רש"י </w:t>
      </w:r>
      <w:r w:rsidRPr="00692748">
        <w:rPr>
          <w:rStyle w:val="afb"/>
          <w:rFonts w:hint="cs"/>
          <w:rtl/>
        </w:rPr>
        <w:t>מהתוספתא</w:t>
      </w:r>
      <w:r>
        <w:rPr>
          <w:rStyle w:val="afb"/>
          <w:rFonts w:hint="cs"/>
          <w:rtl/>
        </w:rPr>
        <w:t>].</w:t>
      </w:r>
      <w:r w:rsidRPr="00692748">
        <w:rPr>
          <w:rStyle w:val="afb"/>
          <w:rFonts w:hint="cs"/>
          <w:rtl/>
        </w:rPr>
        <w:t xml:space="preserve"> </w:t>
      </w:r>
      <w:r>
        <w:rPr>
          <w:rFonts w:hint="cs"/>
          <w:rtl/>
        </w:rPr>
        <w:t xml:space="preserve"> </w:t>
      </w:r>
    </w:p>
    <w:p w14:paraId="10E1C3B2" w14:textId="77777777" w:rsidR="00436F39" w:rsidRDefault="00436F39" w:rsidP="006D6D32">
      <w:pPr>
        <w:pStyle w:val="a3"/>
        <w:rPr>
          <w:rtl/>
        </w:rPr>
      </w:pPr>
      <w:bookmarkStart w:id="14475" w:name="_Toc533506146"/>
      <w:bookmarkStart w:id="14476" w:name="_Toc533544355"/>
      <w:bookmarkStart w:id="14477" w:name="_Toc533544552"/>
      <w:bookmarkStart w:id="14478" w:name="_Toc19390890"/>
      <w:bookmarkStart w:id="14479" w:name="_Toc19394387"/>
      <w:r>
        <w:rPr>
          <w:rFonts w:hint="cs"/>
          <w:rtl/>
        </w:rPr>
        <w:t>תירוץ רש"י דביאור הגמ' בתוספתא הוא דיחוי בעלמא ולא איירי בשהייה במיעוט בתרא</w:t>
      </w:r>
      <w:bookmarkEnd w:id="14475"/>
      <w:bookmarkEnd w:id="14476"/>
      <w:bookmarkEnd w:id="14477"/>
      <w:bookmarkEnd w:id="14478"/>
      <w:bookmarkEnd w:id="14479"/>
    </w:p>
    <w:p w14:paraId="401D465A" w14:textId="77777777" w:rsidR="00436F39" w:rsidRPr="00965267" w:rsidRDefault="00436F39" w:rsidP="00223668">
      <w:pPr>
        <w:pStyle w:val="a0"/>
        <w:rPr>
          <w:rtl/>
        </w:rPr>
      </w:pPr>
      <w:r w:rsidRPr="00965267">
        <w:rPr>
          <w:rFonts w:hint="cs"/>
          <w:rtl/>
        </w:rPr>
        <w:t xml:space="preserve">ותירץ </w:t>
      </w:r>
      <w:r w:rsidRPr="00965267">
        <w:rPr>
          <w:rStyle w:val="af9"/>
          <w:rFonts w:hint="cs"/>
          <w:rtl/>
        </w:rPr>
        <w:t>רש"י לקמן</w:t>
      </w:r>
      <w:r w:rsidRPr="00965267">
        <w:rPr>
          <w:rFonts w:hint="cs"/>
          <w:rtl/>
        </w:rPr>
        <w:t xml:space="preserve"> דביאור הגמ' לקמן </w:t>
      </w:r>
      <w:r w:rsidRPr="00965267">
        <w:rPr>
          <w:rStyle w:val="af7"/>
          <w:rFonts w:eastAsia="Guttman Hodes" w:hint="cs"/>
          <w:rtl/>
        </w:rPr>
        <w:t>(כט.)</w:t>
      </w:r>
      <w:r w:rsidRPr="00965267">
        <w:rPr>
          <w:rFonts w:hint="cs"/>
          <w:rtl/>
        </w:rPr>
        <w:t xml:space="preserve"> בתוספתא הוא דיחוי בעלמא, </w:t>
      </w:r>
      <w:r w:rsidRPr="00252B59">
        <w:rPr>
          <w:rStyle w:val="afb"/>
          <w:rFonts w:hint="cs"/>
          <w:rtl/>
        </w:rPr>
        <w:t>[למ"ד דמחצה על מחצה כרוב],</w:t>
      </w:r>
      <w:r>
        <w:rPr>
          <w:rFonts w:hint="cs"/>
          <w:rtl/>
        </w:rPr>
        <w:t xml:space="preserve"> ו</w:t>
      </w:r>
      <w:r w:rsidRPr="00965267">
        <w:rPr>
          <w:rFonts w:hint="cs"/>
          <w:rtl/>
        </w:rPr>
        <w:t xml:space="preserve">הביאור בתוספתא הוא </w:t>
      </w:r>
      <w:r w:rsidRPr="00252B59">
        <w:rPr>
          <w:rStyle w:val="afb"/>
          <w:rFonts w:hint="cs"/>
          <w:rtl/>
        </w:rPr>
        <w:t xml:space="preserve">[לדידן דקיי"ל] </w:t>
      </w:r>
      <w:r>
        <w:rPr>
          <w:rFonts w:hint="cs"/>
          <w:rtl/>
        </w:rPr>
        <w:t>דמחצה על מחצה אינו כרוב, ו</w:t>
      </w:r>
      <w:r w:rsidRPr="00965267">
        <w:rPr>
          <w:rFonts w:hint="cs"/>
          <w:rtl/>
        </w:rPr>
        <w:t xml:space="preserve">במה ששחט את חצי הגרוגרת לא עשה כלום, ולכן כששהה אחר שחיטת חצי הגרוגרת לא פסל, ועי' במה שביאר </w:t>
      </w:r>
      <w:r w:rsidRPr="00965267">
        <w:rPr>
          <w:rStyle w:val="af9"/>
          <w:rFonts w:hint="cs"/>
          <w:rtl/>
        </w:rPr>
        <w:t xml:space="preserve">הביה"ל </w:t>
      </w:r>
      <w:r w:rsidRPr="00965267">
        <w:rPr>
          <w:rStyle w:val="af7"/>
          <w:rFonts w:eastAsia="Guttman Hodes" w:hint="cs"/>
          <w:rtl/>
        </w:rPr>
        <w:t>(ח"ב סי' י"א אות ו')</w:t>
      </w:r>
      <w:r w:rsidRPr="00965267">
        <w:rPr>
          <w:rFonts w:hint="cs"/>
          <w:rtl/>
        </w:rPr>
        <w:t xml:space="preserve"> בתירוץ </w:t>
      </w:r>
      <w:r w:rsidRPr="00965267">
        <w:rPr>
          <w:rStyle w:val="af9"/>
          <w:rFonts w:hint="cs"/>
          <w:rtl/>
        </w:rPr>
        <w:t>רש"י</w:t>
      </w:r>
      <w:r w:rsidRPr="00965267">
        <w:rPr>
          <w:rFonts w:hint="cs"/>
          <w:rtl/>
        </w:rPr>
        <w:t>.</w:t>
      </w:r>
    </w:p>
    <w:p w14:paraId="3E20B77F" w14:textId="77777777" w:rsidR="00436F39" w:rsidRDefault="00436F39" w:rsidP="006D6D32">
      <w:pPr>
        <w:pStyle w:val="a3"/>
        <w:rPr>
          <w:rtl/>
        </w:rPr>
      </w:pPr>
      <w:bookmarkStart w:id="14480" w:name="_Toc533544356"/>
      <w:bookmarkStart w:id="14481" w:name="_Toc533544553"/>
      <w:bookmarkStart w:id="14482" w:name="_Toc19390891"/>
      <w:bookmarkStart w:id="14483" w:name="_Toc19394388"/>
      <w:r>
        <w:rPr>
          <w:rFonts w:hint="cs"/>
          <w:rtl/>
        </w:rPr>
        <w:t>דחיית הרשב"א והמאירי דמביאור הגמ' בתוספתא אפשר ללמוד לדידן שהייה אינה פוסלת במיעו"ב</w:t>
      </w:r>
      <w:bookmarkEnd w:id="14480"/>
      <w:bookmarkEnd w:id="14481"/>
      <w:bookmarkEnd w:id="14482"/>
      <w:bookmarkEnd w:id="14483"/>
    </w:p>
    <w:p w14:paraId="082C63F3" w14:textId="77777777" w:rsidR="00436F39" w:rsidRDefault="00436F39" w:rsidP="00223668">
      <w:pPr>
        <w:pStyle w:val="a0"/>
        <w:rPr>
          <w:rtl/>
        </w:rPr>
      </w:pPr>
      <w:r>
        <w:rPr>
          <w:rFonts w:hint="cs"/>
          <w:rtl/>
        </w:rPr>
        <w:t xml:space="preserve">ודחו </w:t>
      </w:r>
      <w:r w:rsidRPr="00C04267">
        <w:rPr>
          <w:rStyle w:val="af9"/>
          <w:rFonts w:hint="cs"/>
          <w:rtl/>
        </w:rPr>
        <w:t>הרשב"א בתוה"ב</w:t>
      </w:r>
      <w:r>
        <w:rPr>
          <w:rFonts w:hint="cs"/>
          <w:rtl/>
        </w:rPr>
        <w:t xml:space="preserve"> </w:t>
      </w:r>
      <w:r w:rsidRPr="00257A45">
        <w:rPr>
          <w:rStyle w:val="af7"/>
          <w:rFonts w:eastAsia="Guttman Hodes" w:hint="cs"/>
          <w:rtl/>
        </w:rPr>
        <w:t>(ב"ב ש"א דף כג: מדה"ס)</w:t>
      </w:r>
      <w:r>
        <w:rPr>
          <w:rFonts w:hint="cs"/>
          <w:rtl/>
        </w:rPr>
        <w:t xml:space="preserve"> </w:t>
      </w:r>
      <w:r w:rsidRPr="00735661">
        <w:rPr>
          <w:rStyle w:val="af9"/>
          <w:rFonts w:hint="cs"/>
          <w:rtl/>
        </w:rPr>
        <w:t>המאירי לקמן</w:t>
      </w:r>
      <w:r w:rsidRPr="004E731A">
        <w:rPr>
          <w:rFonts w:hint="cs"/>
          <w:rtl/>
        </w:rPr>
        <w:t xml:space="preserve"> </w:t>
      </w:r>
      <w:r w:rsidRPr="00735661">
        <w:rPr>
          <w:rStyle w:val="af7"/>
          <w:rFonts w:eastAsia="Guttman Hodes" w:hint="cs"/>
          <w:rtl/>
        </w:rPr>
        <w:t xml:space="preserve">(ל: ד"ה שחט) </w:t>
      </w:r>
      <w:r>
        <w:rPr>
          <w:rFonts w:hint="cs"/>
          <w:rtl/>
        </w:rPr>
        <w:t xml:space="preserve">דאף אם הגמ' לקמן </w:t>
      </w:r>
      <w:r w:rsidRPr="00257A45">
        <w:rPr>
          <w:rStyle w:val="af7"/>
          <w:rFonts w:eastAsia="Guttman Hodes" w:hint="cs"/>
          <w:rtl/>
        </w:rPr>
        <w:t>(כט.)</w:t>
      </w:r>
      <w:r>
        <w:rPr>
          <w:rFonts w:hint="cs"/>
          <w:rtl/>
        </w:rPr>
        <w:t xml:space="preserve"> היא להו"א דמחצה על מחצה כרוב, ולדידן קיי"ל שאינו כרוב, מ"מ נלמד מזה לדידן, דשהייה אינה פוסלת במיעוט בתרא, כיון שבענין זה לא מצינו שנחלקו בגמ', </w:t>
      </w:r>
      <w:r w:rsidRPr="007A6716">
        <w:rPr>
          <w:rtl/>
        </w:rPr>
        <w:t xml:space="preserve">ועוד הקשה </w:t>
      </w:r>
      <w:r w:rsidRPr="007A6716">
        <w:rPr>
          <w:rStyle w:val="af9"/>
          <w:rtl/>
        </w:rPr>
        <w:t>הרשב"א בתוה"ב</w:t>
      </w:r>
      <w:r w:rsidRPr="007A6716">
        <w:rPr>
          <w:rtl/>
        </w:rPr>
        <w:t xml:space="preserve"> דתנן במתני' </w:t>
      </w:r>
      <w:r w:rsidRPr="00257A45">
        <w:rPr>
          <w:rStyle w:val="af7"/>
          <w:rFonts w:eastAsia="Guttman Hodes"/>
          <w:rtl/>
        </w:rPr>
        <w:t>(כז.)</w:t>
      </w:r>
      <w:r w:rsidRPr="007A6716">
        <w:rPr>
          <w:rtl/>
        </w:rPr>
        <w:t xml:space="preserve"> בסתמא דרובו של אחד כמוהו, וא"כ הוא מחלוקת ריבר"י ורבנן בפירקין, וסתם במתני' לקמן, והלכה כסתם</w:t>
      </w:r>
    </w:p>
    <w:p w14:paraId="2A030877" w14:textId="77777777" w:rsidR="00436F39" w:rsidRDefault="00436F39" w:rsidP="006D6D32">
      <w:pPr>
        <w:pStyle w:val="a3"/>
        <w:rPr>
          <w:rtl/>
        </w:rPr>
      </w:pPr>
      <w:bookmarkStart w:id="14484" w:name="_Toc533506147"/>
      <w:bookmarkStart w:id="14485" w:name="_Toc533544357"/>
      <w:bookmarkStart w:id="14486" w:name="_Toc533544554"/>
      <w:bookmarkStart w:id="14487" w:name="_Toc19390892"/>
      <w:bookmarkStart w:id="14488" w:name="_Toc19394389"/>
      <w:bookmarkEnd w:id="14474"/>
      <w:r>
        <w:rPr>
          <w:rFonts w:hint="cs"/>
          <w:rtl/>
        </w:rPr>
        <w:t>תירוץ הרמב"ן דביאור דהגמ' שביארה כן בתוספתא לא ס"ל כר"פ דמסתפק בשהייה במיעו"ב</w:t>
      </w:r>
      <w:bookmarkEnd w:id="14484"/>
      <w:bookmarkEnd w:id="14485"/>
      <w:bookmarkEnd w:id="14486"/>
      <w:bookmarkEnd w:id="14487"/>
      <w:bookmarkEnd w:id="14488"/>
    </w:p>
    <w:p w14:paraId="516896FE" w14:textId="77777777" w:rsidR="00436F39" w:rsidRDefault="00436F39" w:rsidP="00223668">
      <w:pPr>
        <w:pStyle w:val="a0"/>
        <w:rPr>
          <w:rtl/>
        </w:rPr>
      </w:pPr>
      <w:r w:rsidRPr="00EC5203">
        <w:rPr>
          <w:rStyle w:val="af9"/>
          <w:rFonts w:hint="cs"/>
          <w:rtl/>
        </w:rPr>
        <w:t>והרמב"ן לקמן</w:t>
      </w:r>
      <w:r>
        <w:rPr>
          <w:rFonts w:hint="cs"/>
          <w:rtl/>
        </w:rPr>
        <w:t xml:space="preserve"> </w:t>
      </w:r>
      <w:r w:rsidRPr="00257A45">
        <w:rPr>
          <w:rStyle w:val="af7"/>
          <w:rFonts w:eastAsia="Guttman Hodes" w:hint="cs"/>
          <w:rtl/>
        </w:rPr>
        <w:t>(ל: ד"ה החליד)</w:t>
      </w:r>
      <w:r>
        <w:rPr>
          <w:rFonts w:hint="cs"/>
          <w:rtl/>
        </w:rPr>
        <w:t xml:space="preserve"> תירץ את קושית </w:t>
      </w:r>
      <w:r w:rsidRPr="00014489">
        <w:rPr>
          <w:rStyle w:val="af9"/>
          <w:rFonts w:hint="cs"/>
          <w:rtl/>
        </w:rPr>
        <w:t>רש"י</w:t>
      </w:r>
      <w:r>
        <w:rPr>
          <w:rFonts w:hint="cs"/>
          <w:rtl/>
        </w:rPr>
        <w:t xml:space="preserve"> מהתוספתא, דאפש"ל דהגמ' לקמן </w:t>
      </w:r>
      <w:r w:rsidRPr="00257A45">
        <w:rPr>
          <w:rStyle w:val="af7"/>
          <w:rFonts w:eastAsia="Guttman Hodes" w:hint="cs"/>
          <w:rtl/>
        </w:rPr>
        <w:t>(כט.)</w:t>
      </w:r>
      <w:r>
        <w:rPr>
          <w:rFonts w:hint="cs"/>
          <w:rtl/>
        </w:rPr>
        <w:t xml:space="preserve"> סברה דחלדה במיעוט סימנים כשרה, והיא חולקת על רב פפא דהסתפק בזה, </w:t>
      </w:r>
      <w:r w:rsidRPr="00E60767">
        <w:rPr>
          <w:rStyle w:val="afb"/>
          <w:rFonts w:hint="cs"/>
          <w:rtl/>
        </w:rPr>
        <w:t>[ולהלכה אזלינן לחומרא כתיקו ברב פפא]</w:t>
      </w:r>
      <w:r>
        <w:rPr>
          <w:rFonts w:hint="cs"/>
          <w:rtl/>
        </w:rPr>
        <w:t>.</w:t>
      </w:r>
      <w:bookmarkStart w:id="14489" w:name="_Toc532453973"/>
      <w:bookmarkStart w:id="14490" w:name="_Toc532454007"/>
      <w:bookmarkStart w:id="14491" w:name="_Toc532550666"/>
      <w:bookmarkStart w:id="14492" w:name="_Toc532550732"/>
      <w:bookmarkStart w:id="14493" w:name="_Toc532810060"/>
      <w:bookmarkStart w:id="14494" w:name="_Toc533413313"/>
      <w:bookmarkStart w:id="14495" w:name="_Toc533441205"/>
      <w:bookmarkStart w:id="14496" w:name="_Toc533441251"/>
      <w:bookmarkStart w:id="14497" w:name="_Toc533490173"/>
    </w:p>
    <w:p w14:paraId="34757F57" w14:textId="77777777" w:rsidR="00436F39" w:rsidRPr="00BA7BCA" w:rsidRDefault="00436F39" w:rsidP="00BF39B2">
      <w:pPr>
        <w:pStyle w:val="1"/>
        <w:rPr>
          <w:rtl/>
        </w:rPr>
      </w:pPr>
      <w:bookmarkStart w:id="14498" w:name="_Toc533506148"/>
      <w:bookmarkStart w:id="14499" w:name="_Toc533544358"/>
      <w:bookmarkStart w:id="14500" w:name="_Toc533544555"/>
      <w:bookmarkStart w:id="14501" w:name="_Toc19390893"/>
      <w:bookmarkStart w:id="14502" w:name="_Toc19394390"/>
      <w:r>
        <w:rPr>
          <w:rFonts w:hint="cs"/>
          <w:rtl/>
        </w:rPr>
        <w:t xml:space="preserve">קושית הריב"ם והרא"ש </w:t>
      </w:r>
      <w:bookmarkEnd w:id="14489"/>
      <w:bookmarkEnd w:id="14490"/>
      <w:bookmarkEnd w:id="14491"/>
      <w:bookmarkEnd w:id="14492"/>
      <w:bookmarkEnd w:id="14493"/>
      <w:bookmarkEnd w:id="14494"/>
      <w:bookmarkEnd w:id="14495"/>
      <w:bookmarkEnd w:id="14496"/>
      <w:bookmarkEnd w:id="14497"/>
      <w:r>
        <w:rPr>
          <w:rFonts w:hint="cs"/>
          <w:rtl/>
        </w:rPr>
        <w:t>דבהגרמה קיי"ל דמיעו"ב אינו פוסל</w:t>
      </w:r>
      <w:bookmarkEnd w:id="14498"/>
      <w:bookmarkEnd w:id="14499"/>
      <w:bookmarkEnd w:id="14500"/>
      <w:bookmarkEnd w:id="14501"/>
      <w:bookmarkEnd w:id="14502"/>
    </w:p>
    <w:p w14:paraId="1AA30A1E" w14:textId="77777777" w:rsidR="00436F39" w:rsidRPr="001859E9" w:rsidRDefault="00436F39" w:rsidP="006D6D32">
      <w:pPr>
        <w:pStyle w:val="a3"/>
        <w:rPr>
          <w:rtl/>
        </w:rPr>
      </w:pPr>
      <w:bookmarkStart w:id="14503" w:name="_Toc533506149"/>
      <w:bookmarkStart w:id="14504" w:name="_Toc533544359"/>
      <w:bookmarkStart w:id="14505" w:name="_Toc533544556"/>
      <w:bookmarkStart w:id="14506" w:name="_Toc19390894"/>
      <w:bookmarkStart w:id="14507" w:name="_Toc19394391"/>
      <w:r>
        <w:rPr>
          <w:rFonts w:hint="cs"/>
          <w:rtl/>
        </w:rPr>
        <w:t>קושיית הריב"ם דבהגרמה במיעו"ב קיי"ל דכשר וא"א לדמות את הספק בחלדה במיעו"ב להגרמה</w:t>
      </w:r>
      <w:bookmarkEnd w:id="14503"/>
      <w:bookmarkEnd w:id="14504"/>
      <w:bookmarkEnd w:id="14505"/>
      <w:bookmarkEnd w:id="14506"/>
      <w:bookmarkEnd w:id="14507"/>
    </w:p>
    <w:p w14:paraId="7BC7EEBF" w14:textId="77777777" w:rsidR="00436F39" w:rsidRDefault="00436F39" w:rsidP="00223668">
      <w:pPr>
        <w:pStyle w:val="a0"/>
        <w:rPr>
          <w:rtl/>
        </w:rPr>
      </w:pPr>
      <w:r>
        <w:rPr>
          <w:rFonts w:hint="cs"/>
          <w:rtl/>
        </w:rPr>
        <w:t>הקשו</w:t>
      </w:r>
      <w:r w:rsidRPr="00E924F1">
        <w:rPr>
          <w:rStyle w:val="af9"/>
          <w:rFonts w:hint="cs"/>
          <w:rtl/>
        </w:rPr>
        <w:t xml:space="preserve"> הריב"ם בתוס' לקמן</w:t>
      </w:r>
      <w:r>
        <w:rPr>
          <w:rFonts w:hint="cs"/>
          <w:rtl/>
        </w:rPr>
        <w:t xml:space="preserve"> </w:t>
      </w:r>
      <w:r w:rsidRPr="00257A45">
        <w:rPr>
          <w:rStyle w:val="af7"/>
          <w:rFonts w:eastAsia="Guttman Hodes" w:hint="cs"/>
          <w:rtl/>
        </w:rPr>
        <w:t>(ל: ד"ה החליד)</w:t>
      </w:r>
      <w:r>
        <w:rPr>
          <w:rFonts w:hint="cs"/>
          <w:rtl/>
        </w:rPr>
        <w:t xml:space="preserve"> </w:t>
      </w:r>
      <w:r>
        <w:rPr>
          <w:rStyle w:val="af9"/>
          <w:rFonts w:hint="cs"/>
          <w:rtl/>
        </w:rPr>
        <w:t>ו</w:t>
      </w:r>
      <w:r w:rsidRPr="00BA7BCA">
        <w:rPr>
          <w:rStyle w:val="af9"/>
          <w:rFonts w:hint="cs"/>
          <w:rtl/>
        </w:rPr>
        <w:t>הרא"ש</w:t>
      </w:r>
      <w:r>
        <w:rPr>
          <w:rStyle w:val="af9"/>
          <w:rFonts w:hint="cs"/>
          <w:rtl/>
        </w:rPr>
        <w:t xml:space="preserve"> בפסקים</w:t>
      </w:r>
      <w:r>
        <w:rPr>
          <w:rFonts w:hint="cs"/>
          <w:rtl/>
        </w:rPr>
        <w:t xml:space="preserve"> </w:t>
      </w:r>
      <w:r w:rsidRPr="00257A45">
        <w:rPr>
          <w:rStyle w:val="af7"/>
          <w:rFonts w:eastAsia="Guttman Hodes" w:hint="cs"/>
          <w:rtl/>
        </w:rPr>
        <w:t xml:space="preserve">(בפירקין סו"ס כ"ד) </w:t>
      </w:r>
      <w:r w:rsidRPr="00CA133F">
        <w:rPr>
          <w:rStyle w:val="af9"/>
          <w:rFonts w:hint="cs"/>
          <w:rtl/>
        </w:rPr>
        <w:t>ו</w:t>
      </w:r>
      <w:r>
        <w:rPr>
          <w:rStyle w:val="af9"/>
          <w:rFonts w:hint="cs"/>
          <w:rtl/>
        </w:rPr>
        <w:t>ה</w:t>
      </w:r>
      <w:r w:rsidRPr="00CA133F">
        <w:rPr>
          <w:rStyle w:val="af9"/>
          <w:rFonts w:hint="cs"/>
          <w:rtl/>
        </w:rPr>
        <w:t>תוס' הרא"ש לקמן</w:t>
      </w:r>
      <w:r>
        <w:rPr>
          <w:rFonts w:hint="cs"/>
          <w:rtl/>
        </w:rPr>
        <w:t xml:space="preserve"> </w:t>
      </w:r>
      <w:r w:rsidRPr="00257A45">
        <w:rPr>
          <w:rStyle w:val="af7"/>
          <w:rFonts w:eastAsia="Guttman Hodes" w:hint="cs"/>
          <w:rtl/>
        </w:rPr>
        <w:t>(ל: ד"ה החליד)</w:t>
      </w:r>
      <w:r>
        <w:rPr>
          <w:rFonts w:hint="cs"/>
          <w:rtl/>
        </w:rPr>
        <w:t xml:space="preserve">על </w:t>
      </w:r>
      <w:r w:rsidRPr="00E924F1">
        <w:rPr>
          <w:rStyle w:val="af9"/>
          <w:rFonts w:hint="cs"/>
          <w:rtl/>
        </w:rPr>
        <w:t>רש"י</w:t>
      </w:r>
      <w:r>
        <w:rPr>
          <w:rFonts w:hint="cs"/>
          <w:rtl/>
        </w:rPr>
        <w:t xml:space="preserve"> דכתב דבהחלדה במיעוט בתרא הוא כהגרמה במיעוט בתרא, דהא בהגרמה</w:t>
      </w:r>
      <w:r w:rsidRPr="00F0077B">
        <w:rPr>
          <w:rFonts w:hint="cs"/>
          <w:rtl/>
        </w:rPr>
        <w:t xml:space="preserve"> </w:t>
      </w:r>
      <w:r>
        <w:rPr>
          <w:rFonts w:hint="cs"/>
          <w:rtl/>
        </w:rPr>
        <w:t>פסקו כריבר"י שהכשיר בשחיטת רוב הסימן, ולל"ב דרב הונא בשחט ב' שלישים והגרים שליש, השחיטה כשרה אף לדעת רבנן</w:t>
      </w:r>
      <w:r w:rsidRPr="00E46C76">
        <w:rPr>
          <w:rFonts w:hint="cs"/>
          <w:rtl/>
        </w:rPr>
        <w:t xml:space="preserve"> </w:t>
      </w:r>
      <w:r>
        <w:rPr>
          <w:rFonts w:hint="cs"/>
          <w:rtl/>
        </w:rPr>
        <w:t>כיון ששחט רוב בתחילה, וכן לרב יהודה כשר כיון שרוב הסימן נשחט כראוי, וא"כ מוכח דלא דמי הגרמה לחלדה</w:t>
      </w:r>
      <w:bookmarkStart w:id="14508" w:name="_Ref532364658"/>
      <w:r>
        <w:rPr>
          <w:rFonts w:hint="cs"/>
          <w:rtl/>
        </w:rPr>
        <w:t xml:space="preserve">, ועי' במה שתירץ </w:t>
      </w:r>
      <w:r w:rsidRPr="00AC4F94">
        <w:rPr>
          <w:rStyle w:val="af9"/>
          <w:rFonts w:hint="cs"/>
          <w:rtl/>
        </w:rPr>
        <w:t>הראש יוסף</w:t>
      </w:r>
      <w:r>
        <w:rPr>
          <w:rFonts w:hint="cs"/>
          <w:rtl/>
        </w:rPr>
        <w:t xml:space="preserve"> </w:t>
      </w:r>
      <w:r w:rsidRPr="00AC4F94">
        <w:rPr>
          <w:rStyle w:val="af7"/>
          <w:rFonts w:eastAsia="Guttman Hodes" w:hint="cs"/>
          <w:rtl/>
        </w:rPr>
        <w:t>(יט: ד"ה והנה רב כהנא)</w:t>
      </w:r>
      <w:r>
        <w:rPr>
          <w:rFonts w:hint="cs"/>
          <w:rtl/>
        </w:rPr>
        <w:t>.</w:t>
      </w:r>
      <w:bookmarkEnd w:id="14508"/>
    </w:p>
    <w:p w14:paraId="401F0B06" w14:textId="77777777" w:rsidR="00436F39" w:rsidRPr="00AE04D0" w:rsidRDefault="00436F39" w:rsidP="006D6D32">
      <w:pPr>
        <w:pStyle w:val="a3"/>
        <w:rPr>
          <w:rtl/>
        </w:rPr>
      </w:pPr>
      <w:bookmarkStart w:id="14509" w:name="_Toc533506150"/>
      <w:bookmarkStart w:id="14510" w:name="_Toc533544360"/>
      <w:bookmarkStart w:id="14511" w:name="_Toc533544557"/>
      <w:bookmarkStart w:id="14512" w:name="_Toc19390895"/>
      <w:bookmarkStart w:id="14513" w:name="_Toc19394392"/>
      <w:r>
        <w:rPr>
          <w:rFonts w:hint="cs"/>
          <w:rtl/>
        </w:rPr>
        <w:t>קושית הרמב"ן והרשב"א דבהגרמה במיעו"ב שאינו מקום שחיטה קיי"ל כשר וכ"ש בחלדה ושהייה</w:t>
      </w:r>
      <w:bookmarkEnd w:id="14509"/>
      <w:bookmarkEnd w:id="14510"/>
      <w:bookmarkEnd w:id="14511"/>
      <w:bookmarkEnd w:id="14512"/>
      <w:bookmarkEnd w:id="14513"/>
      <w:r>
        <w:rPr>
          <w:rFonts w:hint="cs"/>
          <w:rtl/>
        </w:rPr>
        <w:t xml:space="preserve"> </w:t>
      </w:r>
    </w:p>
    <w:p w14:paraId="01F6C5EB" w14:textId="77777777" w:rsidR="00436F39" w:rsidRDefault="00436F39" w:rsidP="00223668">
      <w:pPr>
        <w:pStyle w:val="a0"/>
        <w:rPr>
          <w:rtl/>
        </w:rPr>
      </w:pPr>
      <w:bookmarkStart w:id="14514" w:name="_Ref532364668"/>
      <w:r>
        <w:rPr>
          <w:rStyle w:val="af9"/>
          <w:rFonts w:hint="cs"/>
          <w:rtl/>
        </w:rPr>
        <w:t>ו</w:t>
      </w:r>
      <w:r w:rsidRPr="00545300">
        <w:rPr>
          <w:rStyle w:val="af9"/>
          <w:rFonts w:hint="cs"/>
          <w:rtl/>
        </w:rPr>
        <w:t>הר</w:t>
      </w:r>
      <w:r w:rsidRPr="009F148D">
        <w:rPr>
          <w:rStyle w:val="af9"/>
          <w:rFonts w:hint="cs"/>
          <w:rtl/>
        </w:rPr>
        <w:t>מב"ן לקמן</w:t>
      </w:r>
      <w:r>
        <w:rPr>
          <w:rFonts w:hint="cs"/>
          <w:rtl/>
        </w:rPr>
        <w:t xml:space="preserve"> </w:t>
      </w:r>
      <w:r w:rsidRPr="00257A45">
        <w:rPr>
          <w:rStyle w:val="af7"/>
          <w:rFonts w:eastAsia="Guttman Hodes" w:hint="cs"/>
          <w:rtl/>
        </w:rPr>
        <w:t>(ל: ד"ה החליד)</w:t>
      </w:r>
      <w:r>
        <w:rPr>
          <w:rFonts w:hint="cs"/>
          <w:rtl/>
        </w:rPr>
        <w:t xml:space="preserve"> </w:t>
      </w:r>
      <w:r w:rsidRPr="008D2651">
        <w:rPr>
          <w:rStyle w:val="af9"/>
          <w:rFonts w:hint="cs"/>
          <w:rtl/>
        </w:rPr>
        <w:t xml:space="preserve">והרשב"א </w:t>
      </w:r>
      <w:r>
        <w:rPr>
          <w:rStyle w:val="af9"/>
          <w:rFonts w:hint="cs"/>
          <w:rtl/>
        </w:rPr>
        <w:t xml:space="preserve">בחי' </w:t>
      </w:r>
      <w:r w:rsidRPr="008D2651">
        <w:rPr>
          <w:rStyle w:val="af9"/>
          <w:rFonts w:hint="cs"/>
          <w:rtl/>
        </w:rPr>
        <w:t>לקמן</w:t>
      </w:r>
      <w:r>
        <w:rPr>
          <w:rFonts w:hint="cs"/>
          <w:rtl/>
        </w:rPr>
        <w:t xml:space="preserve"> </w:t>
      </w:r>
      <w:r w:rsidRPr="00257A45">
        <w:rPr>
          <w:rStyle w:val="af7"/>
          <w:rFonts w:eastAsia="Guttman Hodes" w:hint="cs"/>
          <w:rtl/>
        </w:rPr>
        <w:t>(ל: ד"ה החליד)</w:t>
      </w:r>
      <w:r>
        <w:rPr>
          <w:rFonts w:hint="cs"/>
          <w:rtl/>
        </w:rPr>
        <w:t xml:space="preserve"> </w:t>
      </w:r>
      <w:r>
        <w:rPr>
          <w:rStyle w:val="af9"/>
          <w:rFonts w:hint="cs"/>
          <w:rtl/>
        </w:rPr>
        <w:t>ו</w:t>
      </w:r>
      <w:r w:rsidRPr="00C04267">
        <w:rPr>
          <w:rStyle w:val="af9"/>
          <w:rFonts w:hint="cs"/>
          <w:rtl/>
        </w:rPr>
        <w:t>בתוה"ב</w:t>
      </w:r>
      <w:r>
        <w:rPr>
          <w:rFonts w:hint="cs"/>
          <w:rtl/>
        </w:rPr>
        <w:t xml:space="preserve"> </w:t>
      </w:r>
      <w:r w:rsidRPr="00257A45">
        <w:rPr>
          <w:rStyle w:val="af7"/>
          <w:rFonts w:eastAsia="Guttman Hodes" w:hint="cs"/>
          <w:rtl/>
        </w:rPr>
        <w:t>(ב"ב ש"א דף כג: מדה"ס)</w:t>
      </w:r>
      <w:r>
        <w:rPr>
          <w:rFonts w:hint="cs"/>
          <w:rtl/>
        </w:rPr>
        <w:t xml:space="preserve"> הקשו דהרי לכל הלישנות בסוגיין, אחר ששחט את הרוב בכשרות, אפשר לפסול רק למ"ד דלא ס"ל דמהני רוב בשחיטה, וכיון דקיי"ל דמהני רוב בשחיטה, א"כ לא שייך לפסול במיעוט בתרא בהגרמה, וכיון דבהגרמה שאינו מקום שחיטה לא שייך לפסול, א"כ כ"ש שלא שייך לפסול בחלדה ושהייה, שהם במקום שחיטה, וכדמוכח מהא דמחמירים בהגרמה שאינו במקום שחיטה, יותר מחצי קנה פגום שהוא במקום שחיטה.</w:t>
      </w:r>
      <w:bookmarkEnd w:id="14514"/>
    </w:p>
    <w:p w14:paraId="73136896" w14:textId="77777777" w:rsidR="00436F39" w:rsidRDefault="00436F39" w:rsidP="00BF39B2">
      <w:pPr>
        <w:pStyle w:val="1"/>
        <w:rPr>
          <w:rtl/>
        </w:rPr>
      </w:pPr>
      <w:bookmarkStart w:id="14515" w:name="_Toc533544361"/>
      <w:bookmarkStart w:id="14516" w:name="_Toc533544558"/>
      <w:bookmarkStart w:id="14517" w:name="_Toc19390896"/>
      <w:bookmarkStart w:id="14518" w:name="_Toc19394393"/>
      <w:r>
        <w:rPr>
          <w:rFonts w:hint="cs"/>
          <w:rtl/>
        </w:rPr>
        <w:t>קושית התוס' דמפורש בתוספתא דשהייה אינה פוסלת במיעו"ב</w:t>
      </w:r>
      <w:bookmarkEnd w:id="14515"/>
      <w:bookmarkEnd w:id="14516"/>
      <w:bookmarkEnd w:id="14517"/>
      <w:bookmarkEnd w:id="14518"/>
    </w:p>
    <w:p w14:paraId="4AA046BE" w14:textId="77777777" w:rsidR="00436F39" w:rsidRPr="005E549A" w:rsidRDefault="00436F39" w:rsidP="006D6D32">
      <w:pPr>
        <w:pStyle w:val="a3"/>
      </w:pPr>
      <w:bookmarkStart w:id="14519" w:name="_Toc533544362"/>
      <w:bookmarkStart w:id="14520" w:name="_Toc533544559"/>
      <w:bookmarkStart w:id="14521" w:name="_Toc19390897"/>
      <w:bookmarkStart w:id="14522" w:name="_Toc19394394"/>
      <w:r>
        <w:rPr>
          <w:rFonts w:hint="cs"/>
          <w:rtl/>
        </w:rPr>
        <w:t>קושית ר"ת דאיתא בתוספתא להדיא דאחר שחיטת הרוב אם גמר את השחיטה לזמן מרובה כשר</w:t>
      </w:r>
      <w:bookmarkEnd w:id="14519"/>
      <w:bookmarkEnd w:id="14520"/>
      <w:bookmarkEnd w:id="14521"/>
      <w:bookmarkEnd w:id="14522"/>
    </w:p>
    <w:p w14:paraId="01C6C85C" w14:textId="77777777" w:rsidR="00436F39" w:rsidRPr="00692748" w:rsidRDefault="00436F39" w:rsidP="00223668">
      <w:pPr>
        <w:pStyle w:val="a0"/>
        <w:rPr>
          <w:rStyle w:val="afb"/>
          <w:rtl/>
        </w:rPr>
      </w:pPr>
      <w:bookmarkStart w:id="14523" w:name="_Ref532762806"/>
      <w:bookmarkStart w:id="14524" w:name="_Ref533538706"/>
      <w:r>
        <w:rPr>
          <w:rStyle w:val="af9"/>
          <w:rFonts w:hint="cs"/>
          <w:rtl/>
        </w:rPr>
        <w:t>ו</w:t>
      </w:r>
      <w:r w:rsidRPr="00A154C9">
        <w:rPr>
          <w:rStyle w:val="af9"/>
          <w:rFonts w:hint="cs"/>
          <w:rtl/>
        </w:rPr>
        <w:t>ר"ת בתוס' לקמן</w:t>
      </w:r>
      <w:r>
        <w:rPr>
          <w:rFonts w:hint="cs"/>
          <w:rtl/>
        </w:rPr>
        <w:t xml:space="preserve"> </w:t>
      </w:r>
      <w:r w:rsidRPr="00AE04D0">
        <w:rPr>
          <w:rStyle w:val="af7"/>
          <w:rFonts w:eastAsia="Guttman Hodes" w:hint="cs"/>
          <w:rtl/>
        </w:rPr>
        <w:t xml:space="preserve">(ל: ד"ה החליד) </w:t>
      </w:r>
      <w:r>
        <w:rPr>
          <w:rFonts w:hint="cs"/>
          <w:rtl/>
        </w:rPr>
        <w:t xml:space="preserve">הקשה על </w:t>
      </w:r>
      <w:r w:rsidRPr="00A154C9">
        <w:rPr>
          <w:rStyle w:val="af9"/>
          <w:rFonts w:hint="cs"/>
          <w:rtl/>
        </w:rPr>
        <w:t>רש"י</w:t>
      </w:r>
      <w:r>
        <w:rPr>
          <w:rFonts w:hint="cs"/>
          <w:rtl/>
        </w:rPr>
        <w:t xml:space="preserve"> </w:t>
      </w:r>
      <w:r w:rsidRPr="00AE04D0">
        <w:rPr>
          <w:rStyle w:val="af7"/>
          <w:rFonts w:eastAsia="Guttman Hodes" w:hint="cs"/>
          <w:rtl/>
        </w:rPr>
        <w:t xml:space="preserve">(עי' אות </w:t>
      </w:r>
      <w:r w:rsidRPr="00AE04D0">
        <w:rPr>
          <w:rStyle w:val="af7"/>
          <w:rFonts w:eastAsia="Guttman Hodes"/>
          <w:rtl/>
        </w:rPr>
        <w:fldChar w:fldCharType="begin"/>
      </w:r>
      <w:r w:rsidRPr="00AE04D0">
        <w:rPr>
          <w:rStyle w:val="af7"/>
          <w:rFonts w:eastAsia="Guttman Hodes"/>
          <w:rtl/>
        </w:rPr>
        <w:instrText xml:space="preserve"> </w:instrText>
      </w:r>
      <w:r w:rsidRPr="00AE04D0">
        <w:rPr>
          <w:rStyle w:val="af7"/>
          <w:rFonts w:eastAsia="Guttman Hodes" w:hint="cs"/>
        </w:rPr>
        <w:instrText>REF</w:instrText>
      </w:r>
      <w:r w:rsidRPr="00AE04D0">
        <w:rPr>
          <w:rStyle w:val="af7"/>
          <w:rFonts w:eastAsia="Guttman Hodes" w:hint="cs"/>
          <w:rtl/>
        </w:rPr>
        <w:instrText xml:space="preserve"> _</w:instrText>
      </w:r>
      <w:r w:rsidRPr="00AE04D0">
        <w:rPr>
          <w:rStyle w:val="af7"/>
          <w:rFonts w:eastAsia="Guttman Hodes" w:hint="cs"/>
        </w:rPr>
        <w:instrText>Ref532319495 \r \h</w:instrText>
      </w:r>
      <w:r w:rsidRPr="00AE04D0">
        <w:rPr>
          <w:rStyle w:val="af7"/>
          <w:rFonts w:eastAsia="Guttman Hodes"/>
          <w:rtl/>
        </w:rPr>
        <w:instrText xml:space="preserve"> </w:instrText>
      </w:r>
      <w:r w:rsidRPr="00AE04D0">
        <w:rPr>
          <w:rStyle w:val="af7"/>
          <w:rFonts w:eastAsia="Guttman Hodes"/>
          <w:rtl/>
        </w:rPr>
      </w:r>
      <w:r w:rsidRPr="00AE04D0">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AE04D0">
        <w:rPr>
          <w:rStyle w:val="af7"/>
          <w:rFonts w:eastAsia="Guttman Hodes"/>
          <w:rtl/>
        </w:rPr>
        <w:fldChar w:fldCharType="end"/>
      </w:r>
      <w:r>
        <w:rPr>
          <w:rFonts w:hint="cs"/>
          <w:rtl/>
        </w:rPr>
        <w:t xml:space="preserve"> </w:t>
      </w:r>
      <w:r>
        <w:rPr>
          <w:rStyle w:val="af9"/>
          <w:rFonts w:hint="cs"/>
          <w:rtl/>
        </w:rPr>
        <w:t>ו</w:t>
      </w:r>
      <w:r w:rsidRPr="00FD0E8E">
        <w:rPr>
          <w:rStyle w:val="af9"/>
          <w:rFonts w:hint="cs"/>
          <w:rtl/>
        </w:rPr>
        <w:t>הבה"ג</w:t>
      </w:r>
      <w:r>
        <w:rPr>
          <w:rFonts w:hint="cs"/>
          <w:rtl/>
        </w:rPr>
        <w:t xml:space="preserve"> דהא איתא בתוספתא </w:t>
      </w:r>
      <w:r w:rsidRPr="00AE04D0">
        <w:rPr>
          <w:rStyle w:val="af7"/>
          <w:rFonts w:eastAsia="Guttman Hodes" w:hint="cs"/>
          <w:rtl/>
        </w:rPr>
        <w:t xml:space="preserve">(פ"ב ה"א) </w:t>
      </w:r>
      <w:r>
        <w:rPr>
          <w:rFonts w:hint="cs"/>
          <w:rtl/>
        </w:rPr>
        <w:t xml:space="preserve">דהשוחט את רוב הקנה בעוף, אף אם גמר את השחיטה אחר זמן </w:t>
      </w:r>
      <w:r w:rsidRPr="00C41487">
        <w:rPr>
          <w:rFonts w:hint="cs"/>
          <w:rtl/>
        </w:rPr>
        <w:t>מרובה כשר, ומבואר דשהייה במיעוט בתרא אינה פוסלת. וכ</w:t>
      </w:r>
      <w:r>
        <w:rPr>
          <w:rFonts w:hint="cs"/>
          <w:rtl/>
        </w:rPr>
        <w:t xml:space="preserve">ן </w:t>
      </w:r>
      <w:r w:rsidRPr="00C41487">
        <w:rPr>
          <w:rFonts w:hint="cs"/>
          <w:rtl/>
        </w:rPr>
        <w:t>הק</w:t>
      </w:r>
      <w:r>
        <w:rPr>
          <w:rFonts w:hint="cs"/>
          <w:rtl/>
        </w:rPr>
        <w:t>שו</w:t>
      </w:r>
      <w:r w:rsidRPr="00C41487">
        <w:rPr>
          <w:rFonts w:hint="cs"/>
          <w:rtl/>
        </w:rPr>
        <w:t xml:space="preserve"> </w:t>
      </w:r>
      <w:bookmarkEnd w:id="14523"/>
      <w:r>
        <w:rPr>
          <w:rStyle w:val="af9"/>
          <w:rFonts w:hint="cs"/>
          <w:rtl/>
        </w:rPr>
        <w:t>ו</w:t>
      </w:r>
      <w:r w:rsidRPr="00545300">
        <w:rPr>
          <w:rStyle w:val="af9"/>
          <w:rFonts w:hint="cs"/>
          <w:rtl/>
        </w:rPr>
        <w:t>הר</w:t>
      </w:r>
      <w:r w:rsidRPr="009F148D">
        <w:rPr>
          <w:rStyle w:val="af9"/>
          <w:rFonts w:hint="cs"/>
          <w:rtl/>
        </w:rPr>
        <w:t>מב"ן לקמן</w:t>
      </w:r>
      <w:r>
        <w:rPr>
          <w:rFonts w:hint="cs"/>
          <w:rtl/>
        </w:rPr>
        <w:t xml:space="preserve"> </w:t>
      </w:r>
      <w:r w:rsidRPr="00257A45">
        <w:rPr>
          <w:rStyle w:val="af7"/>
          <w:rFonts w:eastAsia="Guttman Hodes" w:hint="cs"/>
          <w:rtl/>
        </w:rPr>
        <w:t>(ל: ד"ה החליד)</w:t>
      </w:r>
      <w:r>
        <w:rPr>
          <w:rFonts w:hint="cs"/>
          <w:rtl/>
        </w:rPr>
        <w:t xml:space="preserve"> </w:t>
      </w:r>
      <w:r w:rsidRPr="008D2651">
        <w:rPr>
          <w:rStyle w:val="af9"/>
          <w:rFonts w:hint="cs"/>
          <w:rtl/>
        </w:rPr>
        <w:t xml:space="preserve">והרשב"א </w:t>
      </w:r>
      <w:r>
        <w:rPr>
          <w:rStyle w:val="af9"/>
          <w:rFonts w:hint="cs"/>
          <w:rtl/>
        </w:rPr>
        <w:t xml:space="preserve">בחי' </w:t>
      </w:r>
      <w:r w:rsidRPr="008D2651">
        <w:rPr>
          <w:rStyle w:val="af9"/>
          <w:rFonts w:hint="cs"/>
          <w:rtl/>
        </w:rPr>
        <w:t>לקמן</w:t>
      </w:r>
      <w:r>
        <w:rPr>
          <w:rFonts w:hint="cs"/>
          <w:rtl/>
        </w:rPr>
        <w:t xml:space="preserve"> </w:t>
      </w:r>
      <w:r w:rsidRPr="00257A45">
        <w:rPr>
          <w:rStyle w:val="af7"/>
          <w:rFonts w:eastAsia="Guttman Hodes" w:hint="cs"/>
          <w:rtl/>
        </w:rPr>
        <w:t>(ל: ד"ה החליד)</w:t>
      </w:r>
      <w:r>
        <w:rPr>
          <w:rFonts w:hint="cs"/>
          <w:rtl/>
        </w:rPr>
        <w:t xml:space="preserve"> </w:t>
      </w:r>
      <w:r>
        <w:rPr>
          <w:rStyle w:val="af9"/>
          <w:rFonts w:hint="cs"/>
          <w:rtl/>
        </w:rPr>
        <w:t>ו</w:t>
      </w:r>
      <w:r w:rsidRPr="00C04267">
        <w:rPr>
          <w:rStyle w:val="af9"/>
          <w:rFonts w:hint="cs"/>
          <w:rtl/>
        </w:rPr>
        <w:t>בתוה"ב</w:t>
      </w:r>
      <w:r>
        <w:rPr>
          <w:rFonts w:hint="cs"/>
          <w:rtl/>
        </w:rPr>
        <w:t xml:space="preserve"> </w:t>
      </w:r>
      <w:r w:rsidRPr="00257A45">
        <w:rPr>
          <w:rStyle w:val="af7"/>
          <w:rFonts w:eastAsia="Guttman Hodes" w:hint="cs"/>
          <w:rtl/>
        </w:rPr>
        <w:t>(ב"ב ש"א דף כג: מדה"ס)</w:t>
      </w:r>
      <w:r>
        <w:rPr>
          <w:rFonts w:hint="cs"/>
          <w:rtl/>
        </w:rPr>
        <w:t xml:space="preserve"> </w:t>
      </w:r>
      <w:r>
        <w:rPr>
          <w:rStyle w:val="af9"/>
          <w:rFonts w:hint="cs"/>
          <w:rtl/>
        </w:rPr>
        <w:t>ו</w:t>
      </w:r>
      <w:r w:rsidRPr="00735661">
        <w:rPr>
          <w:rStyle w:val="af9"/>
          <w:rFonts w:hint="cs"/>
          <w:rtl/>
        </w:rPr>
        <w:t>המאירי לקמן</w:t>
      </w:r>
      <w:r w:rsidRPr="004E731A">
        <w:rPr>
          <w:rFonts w:hint="cs"/>
          <w:rtl/>
        </w:rPr>
        <w:t xml:space="preserve"> </w:t>
      </w:r>
      <w:r w:rsidRPr="00735661">
        <w:rPr>
          <w:rStyle w:val="af7"/>
          <w:rFonts w:eastAsia="Guttman Hodes" w:hint="cs"/>
          <w:rtl/>
        </w:rPr>
        <w:t>(ל: ד"ה שחט)</w:t>
      </w:r>
      <w:r>
        <w:rPr>
          <w:rFonts w:hint="cs"/>
          <w:rtl/>
        </w:rPr>
        <w:t>.</w:t>
      </w:r>
      <w:bookmarkEnd w:id="14524"/>
      <w:r>
        <w:rPr>
          <w:rFonts w:hint="cs"/>
          <w:rtl/>
        </w:rPr>
        <w:t xml:space="preserve"> </w:t>
      </w:r>
    </w:p>
    <w:p w14:paraId="42012306" w14:textId="77777777" w:rsidR="00436F39" w:rsidRPr="004C57E9" w:rsidRDefault="00436F39" w:rsidP="006D6D32">
      <w:pPr>
        <w:pStyle w:val="a3"/>
        <w:rPr>
          <w:rtl/>
        </w:rPr>
      </w:pPr>
      <w:bookmarkStart w:id="14525" w:name="_Toc533544363"/>
      <w:bookmarkStart w:id="14526" w:name="_Toc533544560"/>
      <w:bookmarkStart w:id="14527" w:name="_Toc19390898"/>
      <w:bookmarkStart w:id="14528" w:name="_Toc19394395"/>
      <w:r w:rsidRPr="004C57E9">
        <w:rPr>
          <w:rFonts w:hint="cs"/>
          <w:rtl/>
        </w:rPr>
        <w:t>תירוץ הראב"ד דהתוספתא איירי בשהייה בקנה ובקנה אין חילוק בין מיעוט קמא למיעוט בתרא</w:t>
      </w:r>
      <w:bookmarkEnd w:id="14525"/>
      <w:bookmarkEnd w:id="14526"/>
      <w:bookmarkEnd w:id="14527"/>
      <w:bookmarkEnd w:id="14528"/>
    </w:p>
    <w:p w14:paraId="40A98076" w14:textId="77777777" w:rsidR="00436F39" w:rsidRDefault="00436F39" w:rsidP="00223668">
      <w:pPr>
        <w:pStyle w:val="a0"/>
        <w:rPr>
          <w:rtl/>
        </w:rPr>
      </w:pPr>
      <w:r>
        <w:rPr>
          <w:rFonts w:hint="cs"/>
          <w:rtl/>
        </w:rPr>
        <w:t>והביא</w:t>
      </w:r>
      <w:r>
        <w:rPr>
          <w:rStyle w:val="af9"/>
          <w:rFonts w:hint="cs"/>
          <w:rtl/>
        </w:rPr>
        <w:t xml:space="preserve"> </w:t>
      </w:r>
      <w:r w:rsidRPr="00CF1FF8">
        <w:rPr>
          <w:rStyle w:val="af9"/>
          <w:rFonts w:hint="cs"/>
          <w:rtl/>
        </w:rPr>
        <w:t>הרמב"ן לקמן</w:t>
      </w:r>
      <w:r w:rsidRPr="00CF1FF8">
        <w:rPr>
          <w:rFonts w:hint="cs"/>
          <w:rtl/>
        </w:rPr>
        <w:t xml:space="preserve"> </w:t>
      </w:r>
      <w:r w:rsidRPr="00257A45">
        <w:rPr>
          <w:rStyle w:val="af7"/>
          <w:rFonts w:eastAsia="Guttman Hodes" w:hint="cs"/>
          <w:rtl/>
        </w:rPr>
        <w:t>(ל: ד"ה החליד)</w:t>
      </w:r>
      <w:r>
        <w:rPr>
          <w:rFonts w:hint="cs"/>
          <w:rtl/>
        </w:rPr>
        <w:t xml:space="preserve"> </w:t>
      </w:r>
      <w:r w:rsidRPr="00CF1FF8">
        <w:rPr>
          <w:rFonts w:hint="cs"/>
          <w:rtl/>
        </w:rPr>
        <w:t xml:space="preserve">בשם </w:t>
      </w:r>
      <w:r w:rsidRPr="00CF1FF8">
        <w:rPr>
          <w:rStyle w:val="af9"/>
          <w:rFonts w:hint="cs"/>
          <w:rtl/>
        </w:rPr>
        <w:t>הראב"ד</w:t>
      </w:r>
      <w:r w:rsidRPr="00CF1FF8">
        <w:rPr>
          <w:rFonts w:hint="cs"/>
          <w:rtl/>
        </w:rPr>
        <w:t xml:space="preserve"> </w:t>
      </w:r>
      <w:r>
        <w:rPr>
          <w:rFonts w:hint="cs"/>
          <w:rtl/>
        </w:rPr>
        <w:t xml:space="preserve">דתירץ </w:t>
      </w:r>
      <w:r w:rsidRPr="00CF1FF8">
        <w:rPr>
          <w:rFonts w:hint="cs"/>
          <w:rtl/>
        </w:rPr>
        <w:t>דפסול שהייה הוא רק בושט ולא בקנה, כיון שבקנה אין חילוק בין מיעוט קמא למיעוט בתרא</w:t>
      </w:r>
      <w:r>
        <w:rPr>
          <w:rFonts w:hint="cs"/>
          <w:rtl/>
        </w:rPr>
        <w:t>, והתוספתא איירי בקנה ולא בושט</w:t>
      </w:r>
      <w:r w:rsidRPr="00CF1FF8">
        <w:rPr>
          <w:rFonts w:hint="cs"/>
          <w:rtl/>
        </w:rPr>
        <w:t>.</w:t>
      </w:r>
      <w:r w:rsidRPr="00AB6C42">
        <w:rPr>
          <w:rFonts w:hint="cs"/>
          <w:rtl/>
        </w:rPr>
        <w:t xml:space="preserve"> </w:t>
      </w:r>
      <w:r>
        <w:rPr>
          <w:rFonts w:hint="cs"/>
          <w:rtl/>
        </w:rPr>
        <w:t xml:space="preserve">ודחה </w:t>
      </w:r>
      <w:r w:rsidRPr="00837A59">
        <w:rPr>
          <w:rStyle w:val="af9"/>
          <w:rFonts w:hint="cs"/>
          <w:rtl/>
        </w:rPr>
        <w:t>הרמב"ן לקמן</w:t>
      </w:r>
      <w:r>
        <w:rPr>
          <w:rFonts w:hint="cs"/>
          <w:rtl/>
        </w:rPr>
        <w:t xml:space="preserve"> את דברי </w:t>
      </w:r>
      <w:r w:rsidRPr="00837A59">
        <w:rPr>
          <w:rStyle w:val="af9"/>
          <w:rFonts w:hint="cs"/>
          <w:rtl/>
        </w:rPr>
        <w:t>הראב"ד</w:t>
      </w:r>
      <w:r>
        <w:rPr>
          <w:rFonts w:hint="cs"/>
          <w:rtl/>
        </w:rPr>
        <w:t xml:space="preserve"> דאין חילוק בין שהייה בקנה לשהייה בושט.</w:t>
      </w:r>
      <w:r w:rsidRPr="004C57E9">
        <w:rPr>
          <w:rStyle w:val="afb"/>
          <w:rFonts w:hint="cs"/>
          <w:rtl/>
        </w:rPr>
        <w:t xml:space="preserve"> </w:t>
      </w:r>
      <w:r w:rsidRPr="00692748">
        <w:rPr>
          <w:rStyle w:val="afb"/>
          <w:rFonts w:hint="cs"/>
          <w:rtl/>
        </w:rPr>
        <w:t xml:space="preserve">[ועי' במה שביאר </w:t>
      </w:r>
      <w:r w:rsidRPr="00692748">
        <w:rPr>
          <w:rStyle w:val="affa"/>
          <w:rFonts w:hint="cs"/>
          <w:rtl/>
        </w:rPr>
        <w:t>הביה"ל</w:t>
      </w:r>
      <w:r w:rsidRPr="00692748">
        <w:rPr>
          <w:rStyle w:val="afb"/>
          <w:rFonts w:hint="cs"/>
          <w:rtl/>
        </w:rPr>
        <w:t xml:space="preserve"> </w:t>
      </w:r>
      <w:r w:rsidRPr="00692748">
        <w:rPr>
          <w:rStyle w:val="aff6"/>
          <w:rFonts w:hint="cs"/>
          <w:rtl/>
        </w:rPr>
        <w:t>(ח"ב סי' י"א אות ב')</w:t>
      </w:r>
      <w:r w:rsidRPr="00692748">
        <w:rPr>
          <w:rStyle w:val="afb"/>
          <w:rFonts w:hint="cs"/>
          <w:rtl/>
        </w:rPr>
        <w:t xml:space="preserve"> </w:t>
      </w:r>
      <w:r w:rsidRPr="00692748">
        <w:rPr>
          <w:rStyle w:val="affa"/>
          <w:rFonts w:hint="cs"/>
          <w:rtl/>
        </w:rPr>
        <w:t>דהראב"ד בהשג'</w:t>
      </w:r>
      <w:r w:rsidRPr="00692748">
        <w:rPr>
          <w:rStyle w:val="afb"/>
          <w:rFonts w:hint="cs"/>
          <w:rtl/>
        </w:rPr>
        <w:t xml:space="preserve"> </w:t>
      </w:r>
      <w:r w:rsidRPr="00692748">
        <w:rPr>
          <w:rStyle w:val="aff6"/>
          <w:rFonts w:hint="cs"/>
          <w:rtl/>
        </w:rPr>
        <w:t>(שחיטה פ"ג ה"ד)</w:t>
      </w:r>
      <w:r w:rsidRPr="00692748">
        <w:rPr>
          <w:rStyle w:val="afb"/>
          <w:rFonts w:hint="cs"/>
          <w:rtl/>
        </w:rPr>
        <w:t xml:space="preserve"> תירץ את קושית </w:t>
      </w:r>
      <w:r w:rsidRPr="00692748">
        <w:rPr>
          <w:rStyle w:val="affa"/>
          <w:rFonts w:hint="cs"/>
          <w:rtl/>
        </w:rPr>
        <w:t>התוס'</w:t>
      </w:r>
      <w:r w:rsidRPr="00692748">
        <w:rPr>
          <w:rStyle w:val="afb"/>
          <w:rFonts w:hint="cs"/>
          <w:rtl/>
        </w:rPr>
        <w:t xml:space="preserve"> מהתוספתא, ועיי"ש במ"ש </w:t>
      </w:r>
      <w:r w:rsidRPr="00692748">
        <w:rPr>
          <w:rStyle w:val="affa"/>
          <w:rFonts w:hint="cs"/>
          <w:rtl/>
        </w:rPr>
        <w:t>הביה"ל</w:t>
      </w:r>
      <w:r w:rsidRPr="00692748">
        <w:rPr>
          <w:rStyle w:val="afb"/>
          <w:rFonts w:hint="cs"/>
          <w:rtl/>
        </w:rPr>
        <w:t xml:space="preserve"> אמאי מיאנו </w:t>
      </w:r>
      <w:r w:rsidRPr="00692748">
        <w:rPr>
          <w:rStyle w:val="affa"/>
          <w:rFonts w:hint="cs"/>
          <w:rtl/>
        </w:rPr>
        <w:t>התוס' והרשב"א</w:t>
      </w:r>
      <w:r w:rsidRPr="00692748">
        <w:rPr>
          <w:rStyle w:val="afb"/>
          <w:rFonts w:hint="cs"/>
          <w:rtl/>
        </w:rPr>
        <w:t xml:space="preserve"> בתירוץ </w:t>
      </w:r>
      <w:r w:rsidRPr="00692748">
        <w:rPr>
          <w:rStyle w:val="affa"/>
          <w:rFonts w:hint="cs"/>
          <w:rtl/>
        </w:rPr>
        <w:t>הראב"ד</w:t>
      </w:r>
      <w:r w:rsidRPr="00692748">
        <w:rPr>
          <w:rStyle w:val="afb"/>
          <w:rFonts w:hint="cs"/>
          <w:rtl/>
        </w:rPr>
        <w:t>].</w:t>
      </w:r>
    </w:p>
    <w:p w14:paraId="41B21332" w14:textId="77777777" w:rsidR="00436F39" w:rsidRPr="008E52CA" w:rsidRDefault="00436F39" w:rsidP="006D6D32">
      <w:pPr>
        <w:pStyle w:val="a3"/>
        <w:rPr>
          <w:rtl/>
        </w:rPr>
      </w:pPr>
      <w:bookmarkStart w:id="14529" w:name="_Toc533544364"/>
      <w:bookmarkStart w:id="14530" w:name="_Toc533544561"/>
      <w:bookmarkStart w:id="14531" w:name="_Toc19390899"/>
      <w:bookmarkStart w:id="14532" w:name="_Toc19394396"/>
      <w:r>
        <w:rPr>
          <w:rFonts w:hint="cs"/>
          <w:rtl/>
        </w:rPr>
        <w:t>דברי הרא"ש דלא קיי"ל כתוספתא</w:t>
      </w:r>
      <w:bookmarkEnd w:id="14529"/>
      <w:bookmarkEnd w:id="14530"/>
      <w:bookmarkEnd w:id="14531"/>
      <w:bookmarkEnd w:id="14532"/>
    </w:p>
    <w:p w14:paraId="67974751" w14:textId="77777777" w:rsidR="00436F39" w:rsidRDefault="00436F39" w:rsidP="00223668">
      <w:pPr>
        <w:pStyle w:val="a0"/>
        <w:rPr>
          <w:rtl/>
        </w:rPr>
      </w:pPr>
      <w:r w:rsidRPr="00F45A3D">
        <w:rPr>
          <w:rStyle w:val="af9"/>
          <w:rFonts w:hint="cs"/>
          <w:rtl/>
        </w:rPr>
        <w:t>וה</w:t>
      </w:r>
      <w:r w:rsidRPr="001A2BCE">
        <w:rPr>
          <w:rStyle w:val="af9"/>
          <w:rFonts w:hint="cs"/>
          <w:rtl/>
        </w:rPr>
        <w:t>רא"ש</w:t>
      </w:r>
      <w:r>
        <w:rPr>
          <w:rFonts w:hint="cs"/>
          <w:rtl/>
        </w:rPr>
        <w:t xml:space="preserve"> </w:t>
      </w:r>
      <w:r w:rsidRPr="00257A45">
        <w:rPr>
          <w:rStyle w:val="af7"/>
          <w:rFonts w:eastAsia="Guttman Hodes" w:hint="cs"/>
          <w:rtl/>
        </w:rPr>
        <w:t>(פ"ב סי' ו')</w:t>
      </w:r>
      <w:r>
        <w:rPr>
          <w:rFonts w:hint="cs"/>
          <w:rtl/>
        </w:rPr>
        <w:t xml:space="preserve"> תירץ דכיון שלא הובאה התוספתא בגמ' לא סמכינן עלה, ולכן לא פשטה הגמ' את הספק מהתוספתא, והניחה בתיקו.</w:t>
      </w:r>
    </w:p>
    <w:p w14:paraId="3197ECAE" w14:textId="77777777" w:rsidR="00436F39" w:rsidRDefault="00436F39" w:rsidP="006D6D32">
      <w:pPr>
        <w:pStyle w:val="a3"/>
        <w:rPr>
          <w:rtl/>
        </w:rPr>
      </w:pPr>
      <w:bookmarkStart w:id="14533" w:name="_Toc533544365"/>
      <w:bookmarkStart w:id="14534" w:name="_Toc533544562"/>
      <w:bookmarkStart w:id="14535" w:name="_Toc19390900"/>
      <w:bookmarkStart w:id="14536" w:name="_Toc19394397"/>
      <w:r>
        <w:rPr>
          <w:rFonts w:hint="cs"/>
          <w:rtl/>
        </w:rPr>
        <w:t>תירוץ היש"ש דהתוספתא הכשירה מדאו' והספק בשהייה במיעוט בתרא הוא מדרבנן</w:t>
      </w:r>
      <w:bookmarkEnd w:id="14533"/>
      <w:bookmarkEnd w:id="14534"/>
      <w:bookmarkEnd w:id="14535"/>
      <w:bookmarkEnd w:id="14536"/>
    </w:p>
    <w:p w14:paraId="2C5FAB86" w14:textId="77777777" w:rsidR="00436F39" w:rsidRDefault="00436F39" w:rsidP="00223668">
      <w:pPr>
        <w:pStyle w:val="a0"/>
        <w:rPr>
          <w:rtl/>
        </w:rPr>
      </w:pPr>
      <w:bookmarkStart w:id="14537" w:name="_Ref533345280"/>
      <w:r w:rsidRPr="001004C7">
        <w:rPr>
          <w:rStyle w:val="af9"/>
          <w:rFonts w:hint="cs"/>
          <w:rtl/>
        </w:rPr>
        <w:t xml:space="preserve">והיש"ש לקמן </w:t>
      </w:r>
      <w:r w:rsidRPr="001004C7">
        <w:rPr>
          <w:rStyle w:val="af7"/>
          <w:rFonts w:eastAsia="Guttman Hodes" w:hint="cs"/>
          <w:rtl/>
        </w:rPr>
        <w:t>(פ"ב סי' ט')</w:t>
      </w:r>
      <w:r>
        <w:rPr>
          <w:rFonts w:hint="cs"/>
          <w:rtl/>
        </w:rPr>
        <w:t xml:space="preserve"> תירץ  את קושית </w:t>
      </w:r>
      <w:r w:rsidRPr="001004C7">
        <w:rPr>
          <w:rStyle w:val="af9"/>
          <w:rFonts w:hint="cs"/>
          <w:rtl/>
        </w:rPr>
        <w:t>התוס'</w:t>
      </w:r>
      <w:r>
        <w:rPr>
          <w:rFonts w:hint="cs"/>
          <w:rtl/>
        </w:rPr>
        <w:t xml:space="preserve">, דהתוספתא מכשירה מדאו', דכיון שנשחט רוב הסימן כשר מדין רובו ככולו, ולדעת </w:t>
      </w:r>
      <w:r w:rsidRPr="001004C7">
        <w:rPr>
          <w:rStyle w:val="af9"/>
          <w:rFonts w:hint="cs"/>
          <w:rtl/>
        </w:rPr>
        <w:t>רש"י</w:t>
      </w:r>
      <w:r>
        <w:rPr>
          <w:rFonts w:hint="cs"/>
          <w:rtl/>
        </w:rPr>
        <w:t xml:space="preserve"> ספק הגמ' הוא מדרבנן, האם גזרו במיעוט בתרא כיון שהוא נקרא שהייה בשחיטה, ויבאו להכשיר בשהייה במיעוט קמא.</w:t>
      </w:r>
      <w:bookmarkEnd w:id="14537"/>
    </w:p>
    <w:p w14:paraId="6D440520" w14:textId="77777777" w:rsidR="00436F39" w:rsidRDefault="00436F39" w:rsidP="00BF39B2">
      <w:pPr>
        <w:pStyle w:val="1"/>
        <w:rPr>
          <w:rtl/>
        </w:rPr>
      </w:pPr>
      <w:bookmarkStart w:id="14538" w:name="_Toc533544366"/>
      <w:bookmarkStart w:id="14539" w:name="_Toc533544563"/>
      <w:bookmarkStart w:id="14540" w:name="_Toc19390901"/>
      <w:bookmarkStart w:id="14541" w:name="_Toc19394398"/>
      <w:bookmarkStart w:id="14542" w:name="_Toc533506151"/>
      <w:r>
        <w:rPr>
          <w:rFonts w:hint="cs"/>
          <w:rtl/>
        </w:rPr>
        <w:t>קושית הראשונים מעכו"ם ששחט מיעוט בתרא דכשר</w:t>
      </w:r>
      <w:bookmarkEnd w:id="14538"/>
      <w:bookmarkEnd w:id="14539"/>
      <w:bookmarkEnd w:id="14540"/>
      <w:bookmarkEnd w:id="14541"/>
    </w:p>
    <w:p w14:paraId="65858779" w14:textId="77777777" w:rsidR="00436F39" w:rsidRPr="00C630DD" w:rsidRDefault="00436F39" w:rsidP="006D6D32">
      <w:pPr>
        <w:pStyle w:val="a3"/>
        <w:rPr>
          <w:rtl/>
        </w:rPr>
      </w:pPr>
      <w:bookmarkStart w:id="14543" w:name="_Toc533544367"/>
      <w:bookmarkStart w:id="14544" w:name="_Toc533544564"/>
      <w:bookmarkStart w:id="14545" w:name="_Toc19390902"/>
      <w:bookmarkStart w:id="14546" w:name="_Toc19394399"/>
      <w:r>
        <w:rPr>
          <w:rFonts w:hint="cs"/>
          <w:rtl/>
        </w:rPr>
        <w:t>קושית המאירי והסמ"ג דעכו"ם ששחט את המיעו"ב אינו פוסל אחר ששחט ישראל את הרוב</w:t>
      </w:r>
      <w:bookmarkEnd w:id="14542"/>
      <w:bookmarkEnd w:id="14543"/>
      <w:bookmarkEnd w:id="14544"/>
      <w:bookmarkEnd w:id="14545"/>
      <w:bookmarkEnd w:id="14546"/>
    </w:p>
    <w:p w14:paraId="4EAB07B2" w14:textId="77777777" w:rsidR="00436F39" w:rsidRDefault="00436F39" w:rsidP="00223668">
      <w:pPr>
        <w:pStyle w:val="a0"/>
        <w:rPr>
          <w:rtl/>
        </w:rPr>
      </w:pPr>
      <w:bookmarkStart w:id="14547" w:name="_Ref533454144"/>
      <w:r>
        <w:rPr>
          <w:rStyle w:val="af9"/>
          <w:rFonts w:hint="cs"/>
          <w:rtl/>
        </w:rPr>
        <w:t>ו</w:t>
      </w:r>
      <w:r w:rsidRPr="004A55DE">
        <w:rPr>
          <w:rStyle w:val="af9"/>
          <w:rFonts w:hint="cs"/>
          <w:rtl/>
        </w:rPr>
        <w:t>המאירי</w:t>
      </w:r>
      <w:r>
        <w:rPr>
          <w:rFonts w:hint="cs"/>
          <w:rtl/>
        </w:rPr>
        <w:t xml:space="preserve"> </w:t>
      </w:r>
      <w:r w:rsidRPr="00E1115E">
        <w:rPr>
          <w:rStyle w:val="af9"/>
          <w:rFonts w:hint="cs"/>
          <w:rtl/>
        </w:rPr>
        <w:t>לקמן</w:t>
      </w:r>
      <w:r w:rsidRPr="004E731A">
        <w:rPr>
          <w:rFonts w:hint="cs"/>
          <w:rtl/>
        </w:rPr>
        <w:t xml:space="preserve"> </w:t>
      </w:r>
      <w:r w:rsidRPr="00E1115E">
        <w:rPr>
          <w:rStyle w:val="af7"/>
          <w:rFonts w:eastAsia="Guttman Hodes" w:hint="cs"/>
          <w:rtl/>
        </w:rPr>
        <w:t>(ל: סוד"ה שחט)</w:t>
      </w:r>
      <w:r>
        <w:rPr>
          <w:rFonts w:hint="cs"/>
          <w:rtl/>
        </w:rPr>
        <w:t xml:space="preserve"> הוכיח דלא </w:t>
      </w:r>
      <w:r w:rsidRPr="000A4B4B">
        <w:rPr>
          <w:rStyle w:val="af9"/>
          <w:rFonts w:hint="cs"/>
          <w:rtl/>
        </w:rPr>
        <w:t>כרש"י</w:t>
      </w:r>
      <w:r>
        <w:rPr>
          <w:rFonts w:hint="cs"/>
          <w:rtl/>
        </w:rPr>
        <w:t xml:space="preserve"> דישראל ששחט את רוב הסימנים, וגמרם עכו"ם דשחיטתו כשרה, כיון שהרוב נשחט כראוי, </w:t>
      </w:r>
      <w:r w:rsidRPr="00676EFB">
        <w:rPr>
          <w:rStyle w:val="afb"/>
          <w:rFonts w:hint="cs"/>
          <w:rtl/>
        </w:rPr>
        <w:t xml:space="preserve">[כמבואר בגמ' לקמן </w:t>
      </w:r>
      <w:r w:rsidRPr="00676EFB">
        <w:rPr>
          <w:rStyle w:val="aff6"/>
          <w:rFonts w:hint="cs"/>
          <w:rtl/>
        </w:rPr>
        <w:t>(יט:)</w:t>
      </w:r>
      <w:r w:rsidRPr="00676EFB">
        <w:rPr>
          <w:rStyle w:val="afb"/>
          <w:rFonts w:hint="cs"/>
          <w:rtl/>
        </w:rPr>
        <w:t xml:space="preserve"> דדוקא בשחט ישראל חצי סימן וגמר עכו"ם פסול, כיון שלא שחט הישראל שיעור שחיטה], </w:t>
      </w:r>
      <w:r>
        <w:rPr>
          <w:rFonts w:hint="cs"/>
          <w:rtl/>
        </w:rPr>
        <w:t xml:space="preserve">ואף אם בתחילת השחיטה שחט העכו"ם את המיעוט קמא של הקנה אינו פוסל, כיון שאינה נטרפת במיעוט קמא של קנה, ולא יתכן לומר שסוף השחיטה תהיה חמורה מתחילתה בשום צד, וכן הקשה </w:t>
      </w:r>
      <w:r w:rsidRPr="008A394C">
        <w:rPr>
          <w:rStyle w:val="af9"/>
          <w:rFonts w:hint="cs"/>
          <w:rtl/>
        </w:rPr>
        <w:t>הסמ"ג</w:t>
      </w:r>
      <w:r>
        <w:rPr>
          <w:rFonts w:hint="cs"/>
          <w:rtl/>
        </w:rPr>
        <w:t xml:space="preserve"> </w:t>
      </w:r>
      <w:r w:rsidRPr="008A394C">
        <w:rPr>
          <w:rStyle w:val="af7"/>
          <w:rFonts w:eastAsia="Guttman Hodes" w:hint="cs"/>
          <w:rtl/>
        </w:rPr>
        <w:t>(עשין ס"ג</w:t>
      </w:r>
      <w:r>
        <w:rPr>
          <w:rStyle w:val="af7"/>
          <w:rFonts w:eastAsia="Guttman Hodes" w:hint="cs"/>
          <w:rtl/>
        </w:rPr>
        <w:t xml:space="preserve"> ד"ה בעי ר"פ</w:t>
      </w:r>
      <w:r w:rsidRPr="008A394C">
        <w:rPr>
          <w:rStyle w:val="af7"/>
          <w:rFonts w:eastAsia="Guttman Hodes" w:hint="cs"/>
          <w:rtl/>
        </w:rPr>
        <w:t>)</w:t>
      </w:r>
      <w:r>
        <w:rPr>
          <w:rFonts w:hint="cs"/>
          <w:rtl/>
        </w:rPr>
        <w:t xml:space="preserve"> דאיתא בתוספתא </w:t>
      </w:r>
      <w:r w:rsidRPr="008A394C">
        <w:rPr>
          <w:rStyle w:val="af7"/>
          <w:rFonts w:eastAsia="Guttman Hodes" w:hint="cs"/>
          <w:rtl/>
        </w:rPr>
        <w:t>(פ"א ה"א)</w:t>
      </w:r>
      <w:r>
        <w:rPr>
          <w:rFonts w:hint="cs"/>
          <w:rtl/>
        </w:rPr>
        <w:t xml:space="preserve"> דישראל ששחט את רוב הסימנים וגמרם העכו"ם, השחיטה כשרה, ועי' בדברי </w:t>
      </w:r>
      <w:r w:rsidRPr="003F48C6">
        <w:rPr>
          <w:rStyle w:val="af9"/>
          <w:rFonts w:hint="cs"/>
          <w:rtl/>
        </w:rPr>
        <w:t>המחזור ויטרי</w:t>
      </w:r>
      <w:r>
        <w:rPr>
          <w:rFonts w:hint="cs"/>
          <w:rtl/>
        </w:rPr>
        <w:t xml:space="preserve"> </w:t>
      </w:r>
      <w:r w:rsidRPr="003F48C6">
        <w:rPr>
          <w:rStyle w:val="af7"/>
          <w:rFonts w:eastAsia="Guttman Hodes" w:hint="cs"/>
          <w:rtl/>
        </w:rPr>
        <w:t xml:space="preserve">(עי' אות </w:t>
      </w:r>
      <w:r w:rsidRPr="003F48C6">
        <w:rPr>
          <w:rStyle w:val="af7"/>
          <w:rFonts w:eastAsia="Guttman Hodes"/>
          <w:rtl/>
        </w:rPr>
        <w:fldChar w:fldCharType="begin"/>
      </w:r>
      <w:r w:rsidRPr="003F48C6">
        <w:rPr>
          <w:rStyle w:val="af7"/>
          <w:rFonts w:eastAsia="Guttman Hodes"/>
          <w:rtl/>
        </w:rPr>
        <w:instrText xml:space="preserve"> </w:instrText>
      </w:r>
      <w:r w:rsidRPr="003F48C6">
        <w:rPr>
          <w:rStyle w:val="af7"/>
          <w:rFonts w:eastAsia="Guttman Hodes" w:hint="cs"/>
        </w:rPr>
        <w:instrText>REF</w:instrText>
      </w:r>
      <w:r w:rsidRPr="003F48C6">
        <w:rPr>
          <w:rStyle w:val="af7"/>
          <w:rFonts w:eastAsia="Guttman Hodes" w:hint="cs"/>
          <w:rtl/>
        </w:rPr>
        <w:instrText xml:space="preserve"> _</w:instrText>
      </w:r>
      <w:r w:rsidRPr="003F48C6">
        <w:rPr>
          <w:rStyle w:val="af7"/>
          <w:rFonts w:eastAsia="Guttman Hodes" w:hint="cs"/>
        </w:rPr>
        <w:instrText>Ref533454183 \r \h</w:instrText>
      </w:r>
      <w:r w:rsidRPr="003F48C6">
        <w:rPr>
          <w:rStyle w:val="af7"/>
          <w:rFonts w:eastAsia="Guttman Hodes"/>
          <w:rtl/>
        </w:rPr>
        <w:instrText xml:space="preserve"> </w:instrText>
      </w:r>
      <w:r w:rsidRPr="003F48C6">
        <w:rPr>
          <w:rStyle w:val="af7"/>
          <w:rFonts w:eastAsia="Guttman Hodes"/>
          <w:rtl/>
        </w:rPr>
      </w:r>
      <w:r w:rsidRPr="003F48C6">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3F48C6">
        <w:rPr>
          <w:rStyle w:val="af7"/>
          <w:rFonts w:eastAsia="Guttman Hodes"/>
          <w:rtl/>
        </w:rPr>
        <w:fldChar w:fldCharType="end"/>
      </w:r>
      <w:r>
        <w:rPr>
          <w:rFonts w:hint="cs"/>
          <w:rtl/>
        </w:rPr>
        <w:t>.</w:t>
      </w:r>
      <w:bookmarkEnd w:id="14547"/>
    </w:p>
    <w:p w14:paraId="1253103B" w14:textId="77777777" w:rsidR="00436F39" w:rsidRPr="000A795C" w:rsidRDefault="00436F39" w:rsidP="006D6D32">
      <w:pPr>
        <w:pStyle w:val="a3"/>
        <w:rPr>
          <w:rtl/>
        </w:rPr>
      </w:pPr>
      <w:bookmarkStart w:id="14548" w:name="_Toc533506152"/>
      <w:bookmarkStart w:id="14549" w:name="_Toc533544368"/>
      <w:bookmarkStart w:id="14550" w:name="_Toc533544565"/>
      <w:bookmarkStart w:id="14551" w:name="_Toc19390903"/>
      <w:bookmarkStart w:id="14552" w:name="_Toc19394400"/>
      <w:r>
        <w:rPr>
          <w:rFonts w:hint="cs"/>
          <w:rtl/>
        </w:rPr>
        <w:t>תירוץ הדרישה דעכו"ם או ישראל אחר ששוחט את המיעו"ב אינו פוסל דאינו שחיטה אחת עם הרוב</w:t>
      </w:r>
      <w:bookmarkEnd w:id="14548"/>
      <w:bookmarkEnd w:id="14549"/>
      <w:bookmarkEnd w:id="14550"/>
      <w:bookmarkEnd w:id="14551"/>
      <w:bookmarkEnd w:id="14552"/>
    </w:p>
    <w:p w14:paraId="17A275BD" w14:textId="77777777" w:rsidR="00436F39" w:rsidRDefault="00436F39" w:rsidP="00223668">
      <w:pPr>
        <w:pStyle w:val="a0"/>
        <w:rPr>
          <w:rtl/>
        </w:rPr>
      </w:pPr>
      <w:bookmarkStart w:id="14553" w:name="_Ref533454151"/>
      <w:r>
        <w:rPr>
          <w:rFonts w:hint="cs"/>
          <w:rtl/>
        </w:rPr>
        <w:t xml:space="preserve">וכן הקשה </w:t>
      </w:r>
      <w:r w:rsidRPr="000A795C">
        <w:rPr>
          <w:rStyle w:val="af9"/>
          <w:rFonts w:hint="cs"/>
          <w:rtl/>
        </w:rPr>
        <w:t>הדרישה</w:t>
      </w:r>
      <w:r>
        <w:rPr>
          <w:rFonts w:hint="cs"/>
          <w:rtl/>
        </w:rPr>
        <w:t xml:space="preserve"> </w:t>
      </w:r>
      <w:r w:rsidRPr="000A795C">
        <w:rPr>
          <w:rStyle w:val="af7"/>
          <w:rFonts w:eastAsia="Guttman Hodes" w:hint="cs"/>
          <w:rtl/>
        </w:rPr>
        <w:t>(סי' כ"ג סק"ד)</w:t>
      </w:r>
      <w:r>
        <w:rPr>
          <w:rFonts w:hint="cs"/>
          <w:rtl/>
        </w:rPr>
        <w:t xml:space="preserve"> דהיאך שהייה במיעוט בתרא פוסלת </w:t>
      </w:r>
      <w:r w:rsidRPr="000A795C">
        <w:rPr>
          <w:rStyle w:val="af9"/>
          <w:rFonts w:hint="cs"/>
          <w:rtl/>
        </w:rPr>
        <w:t>לרש"י</w:t>
      </w:r>
      <w:r>
        <w:rPr>
          <w:rFonts w:hint="cs"/>
          <w:rtl/>
        </w:rPr>
        <w:t>, הרי קיי"ל דישראל ופסול ששחטו, דאין הפסול פוסל אם שחט רק את המיעוט בתרא, ותירץ</w:t>
      </w:r>
      <w:r w:rsidRPr="000A795C">
        <w:rPr>
          <w:rStyle w:val="af9"/>
          <w:rFonts w:hint="cs"/>
          <w:rtl/>
        </w:rPr>
        <w:t xml:space="preserve"> הדרישה</w:t>
      </w:r>
      <w:r>
        <w:rPr>
          <w:rFonts w:hint="cs"/>
          <w:rtl/>
        </w:rPr>
        <w:t xml:space="preserve"> דהא דמיעוט בתרא פוסל </w:t>
      </w:r>
      <w:r w:rsidRPr="000A795C">
        <w:rPr>
          <w:rStyle w:val="af9"/>
          <w:rFonts w:hint="cs"/>
          <w:rtl/>
        </w:rPr>
        <w:t>לרש"י</w:t>
      </w:r>
      <w:r>
        <w:rPr>
          <w:rFonts w:hint="cs"/>
          <w:rtl/>
        </w:rPr>
        <w:t>, זהו דוקא אם אותו השוחט ששחט את הרוב, שוחט גם את המיעוט, דעי"ז חשיב שכל השחיטה היא שחיטה אחת, אבל כששחט הישראל את רוב הסימנים דהוא שחיטה גמורה, א"כ מה שבא אח"כ הפסול ושחט את המיעוט, חשיב כחותך ברגלה, ואין המיעוט מצטרף למעשה השחיטה, כיון שהוא לא שחט את הרוב,</w:t>
      </w:r>
      <w:r w:rsidRPr="009C4C2C">
        <w:rPr>
          <w:rFonts w:hint="cs"/>
          <w:rtl/>
        </w:rPr>
        <w:t xml:space="preserve"> </w:t>
      </w:r>
      <w:r w:rsidRPr="00CE5E07">
        <w:rPr>
          <w:rFonts w:hint="cs"/>
          <w:rtl/>
        </w:rPr>
        <w:t xml:space="preserve">ועי' </w:t>
      </w:r>
      <w:r>
        <w:rPr>
          <w:rFonts w:hint="cs"/>
          <w:rtl/>
        </w:rPr>
        <w:t>במ"ש כעי"ז</w:t>
      </w:r>
      <w:r>
        <w:rPr>
          <w:rStyle w:val="af9"/>
          <w:rFonts w:hint="cs"/>
          <w:rtl/>
        </w:rPr>
        <w:t xml:space="preserve"> ב</w:t>
      </w:r>
      <w:r w:rsidRPr="00474CF9">
        <w:rPr>
          <w:rStyle w:val="af9"/>
          <w:rFonts w:hint="cs"/>
          <w:rtl/>
        </w:rPr>
        <w:t>קוב"ש</w:t>
      </w:r>
      <w:r>
        <w:rPr>
          <w:rFonts w:hint="cs"/>
          <w:rtl/>
        </w:rPr>
        <w:t xml:space="preserve"> </w:t>
      </w:r>
      <w:r w:rsidRPr="00474CF9">
        <w:rPr>
          <w:rStyle w:val="af7"/>
          <w:rFonts w:eastAsia="Guttman Hodes" w:hint="cs"/>
          <w:rtl/>
        </w:rPr>
        <w:t xml:space="preserve">(עי' אות </w:t>
      </w:r>
      <w:r w:rsidRPr="00474CF9">
        <w:rPr>
          <w:rStyle w:val="af7"/>
          <w:rFonts w:eastAsia="Guttman Hodes"/>
          <w:rtl/>
        </w:rPr>
        <w:fldChar w:fldCharType="begin"/>
      </w:r>
      <w:r w:rsidRPr="00474CF9">
        <w:rPr>
          <w:rStyle w:val="af7"/>
          <w:rFonts w:eastAsia="Guttman Hodes"/>
          <w:rtl/>
        </w:rPr>
        <w:instrText xml:space="preserve"> </w:instrText>
      </w:r>
      <w:r w:rsidRPr="00474CF9">
        <w:rPr>
          <w:rStyle w:val="af7"/>
          <w:rFonts w:eastAsia="Guttman Hodes" w:hint="cs"/>
        </w:rPr>
        <w:instrText>REF</w:instrText>
      </w:r>
      <w:r w:rsidRPr="00474CF9">
        <w:rPr>
          <w:rStyle w:val="af7"/>
          <w:rFonts w:eastAsia="Guttman Hodes" w:hint="cs"/>
          <w:rtl/>
        </w:rPr>
        <w:instrText xml:space="preserve"> _</w:instrText>
      </w:r>
      <w:r w:rsidRPr="00474CF9">
        <w:rPr>
          <w:rStyle w:val="af7"/>
          <w:rFonts w:eastAsia="Guttman Hodes" w:hint="cs"/>
        </w:rPr>
        <w:instrText>Ref533329539 \r \h</w:instrText>
      </w:r>
      <w:r w:rsidRPr="00474CF9">
        <w:rPr>
          <w:rStyle w:val="af7"/>
          <w:rFonts w:eastAsia="Guttman Hodes"/>
          <w:rtl/>
        </w:rPr>
        <w:instrText xml:space="preserve"> </w:instrText>
      </w:r>
      <w:r w:rsidRPr="00474CF9">
        <w:rPr>
          <w:rStyle w:val="af7"/>
          <w:rFonts w:eastAsia="Guttman Hodes"/>
          <w:rtl/>
        </w:rPr>
      </w:r>
      <w:r w:rsidRPr="00474CF9">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474CF9">
        <w:rPr>
          <w:rStyle w:val="af7"/>
          <w:rFonts w:eastAsia="Guttman Hodes"/>
          <w:rtl/>
        </w:rPr>
        <w:fldChar w:fldCharType="end"/>
      </w:r>
      <w:r>
        <w:rPr>
          <w:rFonts w:hint="cs"/>
          <w:rtl/>
        </w:rPr>
        <w:t xml:space="preserve">, </w:t>
      </w:r>
      <w:r w:rsidRPr="001F5791">
        <w:rPr>
          <w:rStyle w:val="afb"/>
          <w:rFonts w:hint="cs"/>
          <w:rtl/>
        </w:rPr>
        <w:t xml:space="preserve">[וע"ע בדברי </w:t>
      </w:r>
      <w:r w:rsidRPr="001F5791">
        <w:rPr>
          <w:rStyle w:val="affa"/>
          <w:rFonts w:hint="cs"/>
          <w:rtl/>
        </w:rPr>
        <w:t>הש"ך</w:t>
      </w:r>
      <w:r w:rsidRPr="001F5791">
        <w:rPr>
          <w:rStyle w:val="afb"/>
          <w:rFonts w:hint="cs"/>
          <w:rtl/>
        </w:rPr>
        <w:t xml:space="preserve"> </w:t>
      </w:r>
      <w:r w:rsidRPr="001F5791">
        <w:rPr>
          <w:rStyle w:val="aff6"/>
          <w:rFonts w:hint="cs"/>
          <w:rtl/>
        </w:rPr>
        <w:t>(סי' ב' סוס"ק כ"ז)</w:t>
      </w:r>
      <w:r>
        <w:rPr>
          <w:rStyle w:val="aff6"/>
          <w:rFonts w:hint="cs"/>
          <w:rtl/>
        </w:rPr>
        <w:t xml:space="preserve"> </w:t>
      </w:r>
      <w:r>
        <w:rPr>
          <w:rStyle w:val="afb"/>
          <w:rFonts w:hint="cs"/>
          <w:rtl/>
        </w:rPr>
        <w:t>במה שתירץ</w:t>
      </w:r>
      <w:r w:rsidRPr="001F5791">
        <w:rPr>
          <w:rStyle w:val="afb"/>
          <w:rFonts w:hint="cs"/>
          <w:rtl/>
        </w:rPr>
        <w:t>]</w:t>
      </w:r>
      <w:r>
        <w:rPr>
          <w:rFonts w:hint="cs"/>
          <w:rtl/>
        </w:rPr>
        <w:t>.</w:t>
      </w:r>
      <w:bookmarkEnd w:id="14553"/>
    </w:p>
    <w:p w14:paraId="4E8B8004" w14:textId="77777777" w:rsidR="00436F39" w:rsidRDefault="00436F39" w:rsidP="00BF39B2">
      <w:pPr>
        <w:pStyle w:val="1"/>
        <w:rPr>
          <w:rtl/>
        </w:rPr>
      </w:pPr>
      <w:bookmarkStart w:id="14554" w:name="_Toc533544369"/>
      <w:bookmarkStart w:id="14555" w:name="_Toc533544566"/>
      <w:bookmarkStart w:id="14556" w:name="_Toc19390904"/>
      <w:bookmarkStart w:id="14557" w:name="_Toc19394401"/>
      <w:r>
        <w:rPr>
          <w:rFonts w:hint="cs"/>
          <w:rtl/>
        </w:rPr>
        <w:t>קושית הרי"ד דאחר שחיטת הרוב הסימן כמנח בדיקולא</w:t>
      </w:r>
      <w:bookmarkEnd w:id="14554"/>
      <w:bookmarkEnd w:id="14555"/>
      <w:bookmarkEnd w:id="14556"/>
      <w:bookmarkEnd w:id="14557"/>
    </w:p>
    <w:p w14:paraId="58BB07AC" w14:textId="77777777" w:rsidR="00436F39" w:rsidRPr="00945A5E" w:rsidRDefault="00436F39" w:rsidP="006D6D32">
      <w:pPr>
        <w:pStyle w:val="a3"/>
        <w:rPr>
          <w:rtl/>
        </w:rPr>
      </w:pPr>
      <w:bookmarkStart w:id="14558" w:name="_Toc533544370"/>
      <w:bookmarkStart w:id="14559" w:name="_Toc533544567"/>
      <w:bookmarkStart w:id="14560" w:name="_Toc19390905"/>
      <w:bookmarkStart w:id="14561" w:name="_Toc19394402"/>
      <w:r>
        <w:rPr>
          <w:rFonts w:hint="cs"/>
          <w:rtl/>
        </w:rPr>
        <w:t>קושית הפסקי הרי"ד דאחר ששחט את רוב הסימן הוא כמנח בדיקולא וא"א לפסול</w:t>
      </w:r>
      <w:bookmarkEnd w:id="14558"/>
      <w:bookmarkEnd w:id="14559"/>
      <w:bookmarkEnd w:id="14560"/>
      <w:bookmarkEnd w:id="14561"/>
    </w:p>
    <w:p w14:paraId="1A2232BE" w14:textId="77777777" w:rsidR="00436F39" w:rsidRDefault="00436F39" w:rsidP="00223668">
      <w:pPr>
        <w:pStyle w:val="a0"/>
        <w:rPr>
          <w:rtl/>
        </w:rPr>
      </w:pPr>
      <w:r>
        <w:rPr>
          <w:rStyle w:val="af9"/>
          <w:rFonts w:hint="cs"/>
          <w:rtl/>
        </w:rPr>
        <w:t>ו</w:t>
      </w:r>
      <w:r w:rsidRPr="00F639D9">
        <w:rPr>
          <w:rStyle w:val="af9"/>
          <w:rFonts w:hint="cs"/>
          <w:rtl/>
        </w:rPr>
        <w:t>בפסקי הרי"ד לקמן</w:t>
      </w:r>
      <w:r>
        <w:rPr>
          <w:rFonts w:hint="cs"/>
          <w:rtl/>
        </w:rPr>
        <w:t xml:space="preserve"> </w:t>
      </w:r>
      <w:r w:rsidRPr="00257A45">
        <w:rPr>
          <w:rStyle w:val="af7"/>
          <w:rFonts w:eastAsia="Guttman Hodes" w:hint="cs"/>
          <w:rtl/>
        </w:rPr>
        <w:t xml:space="preserve">(ל: ד"ה במיעוט) </w:t>
      </w:r>
      <w:r>
        <w:rPr>
          <w:rFonts w:hint="cs"/>
          <w:rtl/>
        </w:rPr>
        <w:t xml:space="preserve">הקשה על </w:t>
      </w:r>
      <w:r w:rsidRPr="00F639D9">
        <w:rPr>
          <w:rStyle w:val="af9"/>
          <w:rFonts w:hint="cs"/>
          <w:rtl/>
        </w:rPr>
        <w:t>רש"י</w:t>
      </w:r>
      <w:r>
        <w:rPr>
          <w:rFonts w:hint="cs"/>
          <w:rtl/>
        </w:rPr>
        <w:t xml:space="preserve"> דאחר שנשחטו רוב הסימנים, הוי כמנח בדיקולא, ולא יתכן לפסול במיעוט בתרא בפסולי שחיטה, דחלדה שהייה והגרמה, דהרי אם היה מניח את המיעוט שלם, ולא היה שוחטו, השחיטה כשרה, והיאך אפש"ל דכששחטו בפסולי שחיטה יפסל.</w:t>
      </w:r>
    </w:p>
    <w:p w14:paraId="2D017406" w14:textId="77777777" w:rsidR="00436F39" w:rsidRDefault="00436F39" w:rsidP="006D6D32">
      <w:pPr>
        <w:pStyle w:val="a3"/>
        <w:rPr>
          <w:rtl/>
        </w:rPr>
      </w:pPr>
      <w:bookmarkStart w:id="14562" w:name="_Toc533544371"/>
      <w:bookmarkStart w:id="14563" w:name="_Toc533544568"/>
      <w:bookmarkStart w:id="14564" w:name="_Toc19390906"/>
      <w:bookmarkStart w:id="14565" w:name="_Toc19394403"/>
      <w:r>
        <w:rPr>
          <w:rFonts w:hint="cs"/>
          <w:rtl/>
        </w:rPr>
        <w:t>קושית פסקי הרי"ד דבגמ' משמע דהספק הוא רק בדין חלדה ושהייה ולא בכל הפסולים</w:t>
      </w:r>
      <w:bookmarkEnd w:id="14562"/>
      <w:bookmarkEnd w:id="14563"/>
      <w:bookmarkEnd w:id="14564"/>
      <w:bookmarkEnd w:id="14565"/>
    </w:p>
    <w:p w14:paraId="2BCCCB38" w14:textId="77777777" w:rsidR="00436F39" w:rsidRPr="001B5579" w:rsidRDefault="00436F39" w:rsidP="00223668">
      <w:pPr>
        <w:pStyle w:val="a0"/>
        <w:rPr>
          <w:rtl/>
        </w:rPr>
      </w:pPr>
      <w:bookmarkStart w:id="14566" w:name="_Toc532453974"/>
      <w:bookmarkStart w:id="14567" w:name="_Toc532454008"/>
      <w:bookmarkStart w:id="14568" w:name="_Toc532550667"/>
      <w:bookmarkStart w:id="14569" w:name="_Toc532550733"/>
      <w:bookmarkStart w:id="14570" w:name="_Toc532810061"/>
      <w:r>
        <w:rPr>
          <w:rFonts w:hint="cs"/>
          <w:rtl/>
        </w:rPr>
        <w:t xml:space="preserve">ועוד הקשה </w:t>
      </w:r>
      <w:r w:rsidRPr="00F23B5E">
        <w:rPr>
          <w:rStyle w:val="af9"/>
          <w:rFonts w:hint="cs"/>
          <w:rtl/>
        </w:rPr>
        <w:t>בפסקי הרי"ד לקמן</w:t>
      </w:r>
      <w:r>
        <w:rPr>
          <w:rFonts w:hint="cs"/>
          <w:rtl/>
        </w:rPr>
        <w:t xml:space="preserve"> </w:t>
      </w:r>
      <w:r w:rsidRPr="00257A45">
        <w:rPr>
          <w:rStyle w:val="af7"/>
          <w:rFonts w:eastAsia="Guttman Hodes" w:hint="cs"/>
          <w:rtl/>
        </w:rPr>
        <w:t>(ל: ד"ה וכי היכי)</w:t>
      </w:r>
      <w:r>
        <w:rPr>
          <w:rFonts w:hint="cs"/>
          <w:rtl/>
        </w:rPr>
        <w:t xml:space="preserve"> דמהא דר"פ הסתפק בגמ' לקמן </w:t>
      </w:r>
      <w:r w:rsidRPr="00257A45">
        <w:rPr>
          <w:rStyle w:val="af7"/>
          <w:rFonts w:eastAsia="Guttman Hodes" w:hint="cs"/>
          <w:rtl/>
        </w:rPr>
        <w:t>(ל:)</w:t>
      </w:r>
      <w:r>
        <w:rPr>
          <w:rFonts w:hint="cs"/>
          <w:rtl/>
        </w:rPr>
        <w:t xml:space="preserve"> דוקא בחלדה, ורב הונא בר נתן הסתפק בגמ' לקמן </w:t>
      </w:r>
      <w:r w:rsidRPr="00257A45">
        <w:rPr>
          <w:rStyle w:val="af7"/>
          <w:rFonts w:eastAsia="Guttman Hodes" w:hint="cs"/>
          <w:rtl/>
        </w:rPr>
        <w:t>(לב.)</w:t>
      </w:r>
      <w:r>
        <w:rPr>
          <w:rFonts w:hint="cs"/>
          <w:rtl/>
        </w:rPr>
        <w:t xml:space="preserve"> רק בשהייה, מבואר דהספק אינו בכל פסולי שחיטה במיעוט סימנים, וכן </w:t>
      </w:r>
      <w:r w:rsidRPr="001B5579">
        <w:rPr>
          <w:rFonts w:hint="cs"/>
          <w:rtl/>
        </w:rPr>
        <w:t xml:space="preserve">מבואר מהא דלא הביאה הגמ' ראיה מסוגיין דלענין הגרמה, נחלקו במיעוט סימנים, אלא מבואר דהספק של ר"פ הוא רק בחלדה הוא וכן </w:t>
      </w:r>
      <w:r>
        <w:rPr>
          <w:rFonts w:hint="cs"/>
          <w:rtl/>
        </w:rPr>
        <w:t>ה</w:t>
      </w:r>
      <w:r w:rsidRPr="001B5579">
        <w:rPr>
          <w:rFonts w:hint="cs"/>
          <w:rtl/>
        </w:rPr>
        <w:t xml:space="preserve">ספק </w:t>
      </w:r>
      <w:r>
        <w:rPr>
          <w:rFonts w:hint="cs"/>
          <w:rtl/>
        </w:rPr>
        <w:t xml:space="preserve">של רב הונא בר נתן הוא רק </w:t>
      </w:r>
      <w:r w:rsidRPr="001B5579">
        <w:rPr>
          <w:rFonts w:hint="cs"/>
          <w:rtl/>
        </w:rPr>
        <w:t>בשהייה</w:t>
      </w:r>
      <w:r>
        <w:rPr>
          <w:rFonts w:hint="cs"/>
          <w:rtl/>
        </w:rPr>
        <w:t>,</w:t>
      </w:r>
      <w:r w:rsidRPr="001B5579">
        <w:rPr>
          <w:rFonts w:hint="cs"/>
          <w:rtl/>
        </w:rPr>
        <w:t xml:space="preserve">  עיי"ש </w:t>
      </w:r>
      <w:r>
        <w:rPr>
          <w:rFonts w:hint="cs"/>
          <w:rtl/>
        </w:rPr>
        <w:t>במה שביאר את הספק.</w:t>
      </w:r>
    </w:p>
    <w:p w14:paraId="6A9CF04B" w14:textId="77777777" w:rsidR="00436F39" w:rsidRDefault="00436F39" w:rsidP="006D6D32">
      <w:pPr>
        <w:pStyle w:val="afe"/>
        <w:rPr>
          <w:rtl/>
        </w:rPr>
      </w:pPr>
      <w:bookmarkStart w:id="14571" w:name="_Toc533441206"/>
      <w:bookmarkStart w:id="14572" w:name="_Toc533441252"/>
      <w:bookmarkStart w:id="14573" w:name="_Toc533490174"/>
      <w:bookmarkStart w:id="14574" w:name="_Toc533506153"/>
      <w:bookmarkStart w:id="14575" w:name="_Toc533544372"/>
      <w:bookmarkStart w:id="14576" w:name="_Toc533544569"/>
      <w:bookmarkStart w:id="14577" w:name="_Toc19435926"/>
      <w:bookmarkStart w:id="14578" w:name="_Toc20081153"/>
      <w:r>
        <w:rPr>
          <w:rFonts w:hint="cs"/>
          <w:rtl/>
        </w:rPr>
        <w:t>הסוברים דמיעו"ב אינו פוסל</w:t>
      </w:r>
      <w:bookmarkEnd w:id="14571"/>
      <w:bookmarkEnd w:id="14572"/>
      <w:bookmarkEnd w:id="14573"/>
      <w:bookmarkEnd w:id="14574"/>
      <w:bookmarkEnd w:id="14575"/>
      <w:bookmarkEnd w:id="14576"/>
      <w:bookmarkEnd w:id="14577"/>
      <w:bookmarkEnd w:id="14578"/>
    </w:p>
    <w:p w14:paraId="21BB5BFE" w14:textId="77777777" w:rsidR="00436F39" w:rsidRDefault="00436F39" w:rsidP="00BF39B2">
      <w:pPr>
        <w:pStyle w:val="1"/>
        <w:rPr>
          <w:rtl/>
        </w:rPr>
      </w:pPr>
      <w:bookmarkStart w:id="14579" w:name="_Toc532453975"/>
      <w:bookmarkStart w:id="14580" w:name="_Toc532454009"/>
      <w:bookmarkStart w:id="14581" w:name="_Toc532550668"/>
      <w:bookmarkStart w:id="14582" w:name="_Toc532550734"/>
      <w:bookmarkStart w:id="14583" w:name="_Toc532810062"/>
      <w:bookmarkStart w:id="14584" w:name="_Toc533413314"/>
      <w:bookmarkStart w:id="14585" w:name="_Toc533441207"/>
      <w:bookmarkStart w:id="14586" w:name="_Toc533441253"/>
      <w:bookmarkStart w:id="14587" w:name="_Toc533490175"/>
      <w:bookmarkStart w:id="14588" w:name="_Toc533506154"/>
      <w:bookmarkStart w:id="14589" w:name="_Toc533544373"/>
      <w:bookmarkStart w:id="14590" w:name="_Toc533544570"/>
      <w:bookmarkStart w:id="14591" w:name="_Toc19390907"/>
      <w:bookmarkStart w:id="14592" w:name="_Toc19394404"/>
      <w:bookmarkEnd w:id="14566"/>
      <w:bookmarkEnd w:id="14567"/>
      <w:bookmarkEnd w:id="14568"/>
      <w:bookmarkEnd w:id="14569"/>
      <w:bookmarkEnd w:id="14570"/>
      <w:r>
        <w:rPr>
          <w:rFonts w:hint="cs"/>
          <w:rtl/>
        </w:rPr>
        <w:t>דעת הריב"ם</w:t>
      </w:r>
      <w:bookmarkEnd w:id="14579"/>
      <w:bookmarkEnd w:id="14580"/>
      <w:bookmarkEnd w:id="14581"/>
      <w:bookmarkEnd w:id="14582"/>
      <w:bookmarkEnd w:id="14583"/>
      <w:r>
        <w:rPr>
          <w:rFonts w:hint="cs"/>
          <w:rtl/>
        </w:rPr>
        <w:t xml:space="preserve"> והרא"ש</w:t>
      </w:r>
      <w:bookmarkEnd w:id="14584"/>
      <w:bookmarkEnd w:id="14585"/>
      <w:bookmarkEnd w:id="14586"/>
      <w:bookmarkEnd w:id="14587"/>
      <w:bookmarkEnd w:id="14588"/>
      <w:r>
        <w:rPr>
          <w:rFonts w:hint="cs"/>
          <w:rtl/>
        </w:rPr>
        <w:t xml:space="preserve"> דהספק במיעו"ב בחלדה ולא בהגרמה</w:t>
      </w:r>
      <w:bookmarkEnd w:id="14589"/>
      <w:bookmarkEnd w:id="14590"/>
      <w:bookmarkEnd w:id="14591"/>
      <w:bookmarkEnd w:id="14592"/>
    </w:p>
    <w:p w14:paraId="2BC4E495" w14:textId="77777777" w:rsidR="00436F39" w:rsidRPr="00166BF9" w:rsidRDefault="00436F39" w:rsidP="006D6D32">
      <w:pPr>
        <w:pStyle w:val="a3"/>
        <w:rPr>
          <w:rtl/>
        </w:rPr>
      </w:pPr>
      <w:bookmarkStart w:id="14593" w:name="_Toc533544374"/>
      <w:bookmarkStart w:id="14594" w:name="_Toc533544571"/>
      <w:bookmarkStart w:id="14595" w:name="_Toc19390908"/>
      <w:bookmarkStart w:id="14596" w:name="_Toc19394405"/>
      <w:r>
        <w:rPr>
          <w:rFonts w:hint="cs"/>
          <w:rtl/>
        </w:rPr>
        <w:t>דברי הריב"ם והרא"ש דהספק במיעו"ב בחלדה בדרך שחיטה ולא בהגרמה דהוא כשוחט ברגלה</w:t>
      </w:r>
      <w:bookmarkEnd w:id="14593"/>
      <w:bookmarkEnd w:id="14594"/>
      <w:bookmarkEnd w:id="14595"/>
      <w:bookmarkEnd w:id="14596"/>
    </w:p>
    <w:p w14:paraId="3B8202A5" w14:textId="77777777" w:rsidR="00436F39" w:rsidRPr="00B24A3D" w:rsidRDefault="00436F39" w:rsidP="00223668">
      <w:pPr>
        <w:pStyle w:val="a0"/>
        <w:rPr>
          <w:rtl/>
        </w:rPr>
      </w:pPr>
      <w:bookmarkStart w:id="14597" w:name="_Ref533410348"/>
      <w:r>
        <w:rPr>
          <w:rFonts w:hint="cs"/>
          <w:rtl/>
        </w:rPr>
        <w:t xml:space="preserve">כתבו </w:t>
      </w:r>
      <w:r w:rsidRPr="00E924F1">
        <w:rPr>
          <w:rStyle w:val="af9"/>
          <w:rFonts w:hint="cs"/>
          <w:rtl/>
        </w:rPr>
        <w:t>הריב"ם בתוס' לקמן</w:t>
      </w:r>
      <w:r>
        <w:rPr>
          <w:rFonts w:hint="cs"/>
          <w:rtl/>
        </w:rPr>
        <w:t xml:space="preserve"> </w:t>
      </w:r>
      <w:r w:rsidRPr="00257A45">
        <w:rPr>
          <w:rStyle w:val="af7"/>
          <w:rFonts w:eastAsia="Guttman Hodes" w:hint="cs"/>
          <w:rtl/>
        </w:rPr>
        <w:t>(ל: ד"ה החליד)</w:t>
      </w:r>
      <w:r>
        <w:rPr>
          <w:rtl/>
        </w:rPr>
        <w:t xml:space="preserve"> </w:t>
      </w:r>
      <w:r>
        <w:rPr>
          <w:rStyle w:val="af9"/>
          <w:rFonts w:hint="cs"/>
          <w:rtl/>
        </w:rPr>
        <w:t>ו</w:t>
      </w:r>
      <w:r w:rsidRPr="00BA7BCA">
        <w:rPr>
          <w:rStyle w:val="af9"/>
          <w:rFonts w:hint="cs"/>
          <w:rtl/>
        </w:rPr>
        <w:t>הרא"ש</w:t>
      </w:r>
      <w:r>
        <w:rPr>
          <w:rFonts w:hint="cs"/>
          <w:rtl/>
        </w:rPr>
        <w:t xml:space="preserve"> </w:t>
      </w:r>
      <w:r w:rsidRPr="00257A45">
        <w:rPr>
          <w:rStyle w:val="af7"/>
          <w:rFonts w:eastAsia="Guttman Hodes" w:hint="cs"/>
          <w:rtl/>
        </w:rPr>
        <w:t>(</w:t>
      </w:r>
      <w:r w:rsidRPr="00B24A3D">
        <w:rPr>
          <w:rStyle w:val="af7"/>
          <w:rFonts w:eastAsia="Guttman Hodes" w:hint="cs"/>
          <w:rtl/>
        </w:rPr>
        <w:t>בפירקין סו"ס כ"ד)</w:t>
      </w:r>
      <w:r>
        <w:rPr>
          <w:rFonts w:hint="cs"/>
          <w:rtl/>
        </w:rPr>
        <w:t xml:space="preserve"> דהספק בגמ' לקמן </w:t>
      </w:r>
      <w:r w:rsidRPr="00E76A1E">
        <w:rPr>
          <w:rStyle w:val="af7"/>
          <w:rFonts w:eastAsia="Guttman Hodes" w:hint="cs"/>
          <w:rtl/>
        </w:rPr>
        <w:t>(ל:)</w:t>
      </w:r>
      <w:r>
        <w:rPr>
          <w:rFonts w:hint="cs"/>
          <w:rtl/>
        </w:rPr>
        <w:t xml:space="preserve"> במיעוט בתרא, הוא רק בפסול חלדה כיון שהחלדה היא בדרך שחיטה, אבל הגרמה שאינה במקום שחיטה, חשיב כשוחט ברגלה אחר ששחט את רוב הסימן, ואינו יכול לפסול את השחיטה, והוסיף </w:t>
      </w:r>
      <w:r w:rsidRPr="00E924F1">
        <w:rPr>
          <w:rStyle w:val="af9"/>
          <w:rFonts w:hint="cs"/>
          <w:rtl/>
        </w:rPr>
        <w:t>הריב"ם</w:t>
      </w:r>
      <w:r>
        <w:rPr>
          <w:rFonts w:hint="cs"/>
          <w:rtl/>
        </w:rPr>
        <w:t xml:space="preserve"> דה"ה אם אחר שחיטת רוב הסימן עקר את הסימן דכשר, כיון שאינו כדרך שחיטה, [וכ"כ </w:t>
      </w:r>
      <w:r w:rsidRPr="007859BF">
        <w:rPr>
          <w:rStyle w:val="af9"/>
          <w:rFonts w:hint="cs"/>
          <w:rtl/>
        </w:rPr>
        <w:t>הרשב"א בתשו'</w:t>
      </w:r>
      <w:r>
        <w:rPr>
          <w:rFonts w:hint="cs"/>
          <w:rtl/>
        </w:rPr>
        <w:t xml:space="preserve"> </w:t>
      </w:r>
      <w:r w:rsidRPr="0089291A">
        <w:rPr>
          <w:rStyle w:val="af7"/>
          <w:rFonts w:eastAsia="Guttman Hodes" w:hint="cs"/>
          <w:rtl/>
        </w:rPr>
        <w:t xml:space="preserve">(עי' אות </w:t>
      </w:r>
      <w:r w:rsidRPr="0089291A">
        <w:rPr>
          <w:rStyle w:val="af7"/>
          <w:rFonts w:eastAsia="Guttman Hodes"/>
          <w:rtl/>
        </w:rPr>
        <w:fldChar w:fldCharType="begin"/>
      </w:r>
      <w:r w:rsidRPr="0089291A">
        <w:rPr>
          <w:rStyle w:val="af7"/>
          <w:rFonts w:eastAsia="Guttman Hodes"/>
          <w:rtl/>
        </w:rPr>
        <w:instrText xml:space="preserve"> </w:instrText>
      </w:r>
      <w:r w:rsidRPr="0089291A">
        <w:rPr>
          <w:rStyle w:val="af7"/>
          <w:rFonts w:eastAsia="Guttman Hodes" w:hint="cs"/>
        </w:rPr>
        <w:instrText>REF</w:instrText>
      </w:r>
      <w:r w:rsidRPr="0089291A">
        <w:rPr>
          <w:rStyle w:val="af7"/>
          <w:rFonts w:eastAsia="Guttman Hodes" w:hint="cs"/>
          <w:rtl/>
        </w:rPr>
        <w:instrText xml:space="preserve"> _</w:instrText>
      </w:r>
      <w:r w:rsidRPr="0089291A">
        <w:rPr>
          <w:rStyle w:val="af7"/>
          <w:rFonts w:eastAsia="Guttman Hodes" w:hint="cs"/>
        </w:rPr>
        <w:instrText>Ref533523448 \r \h</w:instrText>
      </w:r>
      <w:r w:rsidRPr="0089291A">
        <w:rPr>
          <w:rStyle w:val="af7"/>
          <w:rFonts w:eastAsia="Guttman Hodes"/>
          <w:rtl/>
        </w:rPr>
        <w:instrText xml:space="preserve"> </w:instrText>
      </w:r>
      <w:r w:rsidRPr="0089291A">
        <w:rPr>
          <w:rStyle w:val="af7"/>
          <w:rFonts w:eastAsia="Guttman Hodes"/>
          <w:rtl/>
        </w:rPr>
      </w:r>
      <w:r w:rsidRPr="0089291A">
        <w:rPr>
          <w:rStyle w:val="af7"/>
          <w:rFonts w:eastAsia="Guttman Hodes"/>
          <w:rtl/>
        </w:rPr>
        <w:fldChar w:fldCharType="separate"/>
      </w:r>
      <w:r w:rsidR="00345400">
        <w:rPr>
          <w:rStyle w:val="af7"/>
          <w:rFonts w:eastAsia="Guttman Hodes"/>
          <w:cs/>
        </w:rPr>
        <w:t>‎</w:t>
      </w:r>
      <w:r w:rsidR="00345400">
        <w:rPr>
          <w:rStyle w:val="af7"/>
          <w:rFonts w:eastAsia="Guttman Hodes"/>
          <w:rtl/>
        </w:rPr>
        <w:t>יא)</w:t>
      </w:r>
      <w:r w:rsidRPr="0089291A">
        <w:rPr>
          <w:rStyle w:val="af7"/>
          <w:rFonts w:eastAsia="Guttman Hodes"/>
          <w:rtl/>
        </w:rPr>
        <w:fldChar w:fldCharType="end"/>
      </w:r>
      <w:r>
        <w:rPr>
          <w:rFonts w:hint="cs"/>
          <w:rtl/>
        </w:rPr>
        <w:t xml:space="preserve"> דבעיקור שלא בדרך שחיטה מודה </w:t>
      </w:r>
      <w:r w:rsidRPr="007859BF">
        <w:rPr>
          <w:rStyle w:val="af9"/>
          <w:rFonts w:hint="cs"/>
          <w:rtl/>
        </w:rPr>
        <w:t>רש"י</w:t>
      </w:r>
      <w:r>
        <w:rPr>
          <w:rFonts w:hint="cs"/>
          <w:rtl/>
        </w:rPr>
        <w:t>]</w:t>
      </w:r>
      <w:r w:rsidRPr="00B24A3D">
        <w:rPr>
          <w:rFonts w:hint="cs"/>
          <w:rtl/>
        </w:rPr>
        <w:t>.</w:t>
      </w:r>
      <w:bookmarkEnd w:id="14597"/>
    </w:p>
    <w:p w14:paraId="05AC379B" w14:textId="77777777" w:rsidR="00436F39" w:rsidRDefault="00436F39" w:rsidP="006D6D32">
      <w:pPr>
        <w:pStyle w:val="a3"/>
        <w:rPr>
          <w:rtl/>
        </w:rPr>
      </w:pPr>
      <w:bookmarkStart w:id="14598" w:name="_Toc533544375"/>
      <w:bookmarkStart w:id="14599" w:name="_Toc533544572"/>
      <w:bookmarkStart w:id="14600" w:name="_Toc19390909"/>
      <w:bookmarkStart w:id="14601" w:name="_Toc19394406"/>
      <w:r>
        <w:rPr>
          <w:rFonts w:hint="cs"/>
          <w:rtl/>
        </w:rPr>
        <w:t>דברי הב"ח דלהריב"ם והרא"ש בחלדה במיעו"ב צריך להחמיר אבל הגרמה במיעו"ב כשרה</w:t>
      </w:r>
      <w:bookmarkEnd w:id="14598"/>
      <w:bookmarkEnd w:id="14599"/>
      <w:bookmarkEnd w:id="14600"/>
      <w:bookmarkEnd w:id="14601"/>
    </w:p>
    <w:p w14:paraId="3ADDE99C" w14:textId="77777777" w:rsidR="00436F39" w:rsidRDefault="00436F39" w:rsidP="00223668">
      <w:pPr>
        <w:pStyle w:val="a0"/>
        <w:rPr>
          <w:rtl/>
        </w:rPr>
      </w:pPr>
      <w:r>
        <w:rPr>
          <w:rFonts w:hint="cs"/>
          <w:rtl/>
        </w:rPr>
        <w:t xml:space="preserve">וכתב </w:t>
      </w:r>
      <w:r w:rsidRPr="00D65810">
        <w:rPr>
          <w:rStyle w:val="af9"/>
          <w:rFonts w:hint="cs"/>
          <w:rtl/>
        </w:rPr>
        <w:t>הב"ח</w:t>
      </w:r>
      <w:r>
        <w:rPr>
          <w:rFonts w:hint="cs"/>
          <w:rtl/>
        </w:rPr>
        <w:t xml:space="preserve"> </w:t>
      </w:r>
      <w:r w:rsidRPr="00D65810">
        <w:rPr>
          <w:rStyle w:val="af7"/>
          <w:rFonts w:eastAsia="Guttman Hodes" w:hint="cs"/>
          <w:rtl/>
        </w:rPr>
        <w:t xml:space="preserve">(סי' כ"ד ח') </w:t>
      </w:r>
      <w:r>
        <w:rPr>
          <w:rFonts w:hint="cs"/>
          <w:rtl/>
        </w:rPr>
        <w:t xml:space="preserve">דלדעת </w:t>
      </w:r>
      <w:r w:rsidRPr="00D65810">
        <w:rPr>
          <w:rStyle w:val="af9"/>
          <w:rFonts w:hint="cs"/>
          <w:rtl/>
        </w:rPr>
        <w:t>הרא"ש וריב"ם</w:t>
      </w:r>
      <w:r>
        <w:rPr>
          <w:rFonts w:hint="cs"/>
          <w:rtl/>
        </w:rPr>
        <w:t xml:space="preserve"> להלכה צריך להחמיר בחלדה במיעוט בתרא, אבל בהגרמה שחיטתו כשרה, כיון שאינה במקום שחיטה.</w:t>
      </w:r>
    </w:p>
    <w:p w14:paraId="6E57D744" w14:textId="77777777" w:rsidR="00436F39" w:rsidRPr="008C0FB4" w:rsidRDefault="00436F39" w:rsidP="00BF39B2">
      <w:pPr>
        <w:pStyle w:val="1"/>
        <w:rPr>
          <w:rtl/>
        </w:rPr>
      </w:pPr>
      <w:bookmarkStart w:id="14602" w:name="_Toc533441208"/>
      <w:bookmarkStart w:id="14603" w:name="_Toc533441254"/>
      <w:bookmarkStart w:id="14604" w:name="_Toc533490176"/>
      <w:bookmarkStart w:id="14605" w:name="_Toc533506155"/>
      <w:bookmarkStart w:id="14606" w:name="_Toc533544376"/>
      <w:bookmarkStart w:id="14607" w:name="_Toc533544573"/>
      <w:bookmarkStart w:id="14608" w:name="_Toc19390910"/>
      <w:bookmarkStart w:id="14609" w:name="_Toc19394407"/>
      <w:r>
        <w:rPr>
          <w:rFonts w:hint="cs"/>
          <w:rtl/>
        </w:rPr>
        <w:t>דברי התבו"ש דלהרא"ש והריב"ם הפסול במיעו"ב הוא מדאו'</w:t>
      </w:r>
      <w:bookmarkEnd w:id="14602"/>
      <w:bookmarkEnd w:id="14603"/>
      <w:bookmarkEnd w:id="14604"/>
      <w:bookmarkEnd w:id="14605"/>
      <w:bookmarkEnd w:id="14606"/>
      <w:bookmarkEnd w:id="14607"/>
      <w:bookmarkEnd w:id="14608"/>
      <w:bookmarkEnd w:id="14609"/>
    </w:p>
    <w:p w14:paraId="3AEA447D" w14:textId="77777777" w:rsidR="00436F39" w:rsidRDefault="00436F39" w:rsidP="006D6D32">
      <w:pPr>
        <w:pStyle w:val="a3"/>
        <w:rPr>
          <w:rtl/>
        </w:rPr>
      </w:pPr>
      <w:bookmarkStart w:id="14610" w:name="_Toc533544377"/>
      <w:bookmarkStart w:id="14611" w:name="_Toc533544574"/>
      <w:bookmarkStart w:id="14612" w:name="_Toc19390911"/>
      <w:bookmarkStart w:id="14613" w:name="_Toc19394408"/>
      <w:r>
        <w:rPr>
          <w:rFonts w:hint="cs"/>
          <w:rtl/>
        </w:rPr>
        <w:t>דברי התבו"ש דמוכח מהריב"ם דהספק מדאו' דאילו מדרבנן אין סברא לחלק בין הגרמה לחלדה</w:t>
      </w:r>
      <w:bookmarkEnd w:id="14610"/>
      <w:bookmarkEnd w:id="14611"/>
      <w:bookmarkEnd w:id="14612"/>
      <w:bookmarkEnd w:id="14613"/>
    </w:p>
    <w:p w14:paraId="485241C2" w14:textId="77777777" w:rsidR="00436F39" w:rsidRDefault="00436F39" w:rsidP="00223668">
      <w:pPr>
        <w:pStyle w:val="a0"/>
        <w:rPr>
          <w:rtl/>
        </w:rPr>
      </w:pPr>
      <w:bookmarkStart w:id="14614" w:name="_Ref533351046"/>
      <w:bookmarkStart w:id="14615" w:name="_Toc532453976"/>
      <w:bookmarkStart w:id="14616" w:name="_Toc532454010"/>
      <w:bookmarkStart w:id="14617" w:name="_Toc532550669"/>
      <w:bookmarkStart w:id="14618" w:name="_Toc532550735"/>
      <w:r>
        <w:rPr>
          <w:rFonts w:hint="cs"/>
          <w:rtl/>
        </w:rPr>
        <w:t xml:space="preserve">וכתב </w:t>
      </w:r>
      <w:r w:rsidRPr="002D2E04">
        <w:rPr>
          <w:rStyle w:val="af9"/>
          <w:rFonts w:hint="cs"/>
          <w:rtl/>
        </w:rPr>
        <w:t>התבו"ש</w:t>
      </w:r>
      <w:r>
        <w:rPr>
          <w:rFonts w:hint="cs"/>
          <w:rtl/>
        </w:rPr>
        <w:t xml:space="preserve"> </w:t>
      </w:r>
      <w:r w:rsidRPr="00257A45">
        <w:rPr>
          <w:rStyle w:val="af7"/>
          <w:rFonts w:eastAsia="Guttman Hodes" w:hint="cs"/>
          <w:rtl/>
        </w:rPr>
        <w:t>(סי' כ"ג סק"ט)</w:t>
      </w:r>
      <w:r>
        <w:rPr>
          <w:rFonts w:hint="cs"/>
          <w:rtl/>
        </w:rPr>
        <w:t xml:space="preserve"> דמהא דכתבו </w:t>
      </w:r>
      <w:r w:rsidRPr="002D2E04">
        <w:rPr>
          <w:rStyle w:val="af9"/>
          <w:rFonts w:hint="cs"/>
          <w:rtl/>
        </w:rPr>
        <w:t>הריב"ם והרא"ש</w:t>
      </w:r>
      <w:r>
        <w:rPr>
          <w:rFonts w:hint="cs"/>
          <w:rtl/>
        </w:rPr>
        <w:t xml:space="preserve"> דלפי מה שפירש </w:t>
      </w:r>
      <w:r w:rsidRPr="002D2E04">
        <w:rPr>
          <w:rStyle w:val="af9"/>
          <w:rFonts w:hint="cs"/>
          <w:rtl/>
        </w:rPr>
        <w:t>רש"י</w:t>
      </w:r>
      <w:r>
        <w:rPr>
          <w:rFonts w:hint="cs"/>
          <w:rtl/>
        </w:rPr>
        <w:t xml:space="preserve"> דהספק הוא במיעוט בתרא, אפשר לחלק בין שהייה להגרמה ועיקור, משמע </w:t>
      </w:r>
      <w:r>
        <w:rPr>
          <w:rStyle w:val="af9"/>
          <w:rFonts w:hint="cs"/>
          <w:rtl/>
        </w:rPr>
        <w:t>ד</w:t>
      </w:r>
      <w:r w:rsidRPr="002D2E04">
        <w:rPr>
          <w:rStyle w:val="af9"/>
          <w:rFonts w:hint="cs"/>
          <w:rtl/>
        </w:rPr>
        <w:t>הריב"ם והרא"ש</w:t>
      </w:r>
      <w:r>
        <w:rPr>
          <w:rFonts w:hint="cs"/>
          <w:rtl/>
        </w:rPr>
        <w:t xml:space="preserve"> הבינו בדברי </w:t>
      </w:r>
      <w:r w:rsidRPr="002D2E04">
        <w:rPr>
          <w:rStyle w:val="af9"/>
          <w:rFonts w:hint="cs"/>
          <w:rtl/>
        </w:rPr>
        <w:t>רש"י</w:t>
      </w:r>
      <w:r>
        <w:rPr>
          <w:rFonts w:hint="cs"/>
          <w:rtl/>
        </w:rPr>
        <w:t xml:space="preserve"> דהספק הוא מדאו', דהא מדרבנן אין כל סברא לחלק ביניהם, דאי גזרו רבנן לפסול שהייה במיעוט בתרא שמא ישהה במיעוט קמא, צריך לגזור אף בהגרמה ועיקור, ועי' בדברי </w:t>
      </w:r>
      <w:r w:rsidRPr="00907867">
        <w:rPr>
          <w:rStyle w:val="af9"/>
          <w:rFonts w:hint="cs"/>
          <w:rtl/>
        </w:rPr>
        <w:t>התבו"ש</w:t>
      </w:r>
      <w:r>
        <w:rPr>
          <w:rFonts w:hint="cs"/>
          <w:rtl/>
        </w:rPr>
        <w:t xml:space="preserve"> </w:t>
      </w:r>
      <w:r w:rsidRPr="00907867">
        <w:rPr>
          <w:rStyle w:val="af7"/>
          <w:rFonts w:eastAsia="Guttman Hodes" w:hint="cs"/>
          <w:rtl/>
        </w:rPr>
        <w:t xml:space="preserve">(עי' אות </w:t>
      </w:r>
      <w:r w:rsidRPr="00907867">
        <w:rPr>
          <w:rStyle w:val="af7"/>
          <w:rFonts w:eastAsia="Guttman Hodes"/>
          <w:rtl/>
        </w:rPr>
        <w:fldChar w:fldCharType="begin"/>
      </w:r>
      <w:r w:rsidRPr="00907867">
        <w:rPr>
          <w:rStyle w:val="af7"/>
          <w:rFonts w:eastAsia="Guttman Hodes"/>
          <w:rtl/>
        </w:rPr>
        <w:instrText xml:space="preserve"> </w:instrText>
      </w:r>
      <w:r w:rsidRPr="00907867">
        <w:rPr>
          <w:rStyle w:val="af7"/>
          <w:rFonts w:eastAsia="Guttman Hodes" w:hint="cs"/>
        </w:rPr>
        <w:instrText>REF</w:instrText>
      </w:r>
      <w:r w:rsidRPr="00907867">
        <w:rPr>
          <w:rStyle w:val="af7"/>
          <w:rFonts w:eastAsia="Guttman Hodes" w:hint="cs"/>
          <w:rtl/>
        </w:rPr>
        <w:instrText xml:space="preserve"> _</w:instrText>
      </w:r>
      <w:r w:rsidRPr="00907867">
        <w:rPr>
          <w:rStyle w:val="af7"/>
          <w:rFonts w:eastAsia="Guttman Hodes" w:hint="cs"/>
        </w:rPr>
        <w:instrText>Ref533351132 \r \h</w:instrText>
      </w:r>
      <w:r w:rsidRPr="00907867">
        <w:rPr>
          <w:rStyle w:val="af7"/>
          <w:rFonts w:eastAsia="Guttman Hodes"/>
          <w:rtl/>
        </w:rPr>
        <w:instrText xml:space="preserve"> </w:instrText>
      </w:r>
      <w:r w:rsidRPr="00907867">
        <w:rPr>
          <w:rStyle w:val="af7"/>
          <w:rFonts w:eastAsia="Guttman Hodes"/>
          <w:rtl/>
        </w:rPr>
      </w:r>
      <w:r w:rsidRPr="00907867">
        <w:rPr>
          <w:rStyle w:val="af7"/>
          <w:rFonts w:eastAsia="Guttman Hodes"/>
          <w:rtl/>
        </w:rPr>
        <w:fldChar w:fldCharType="separate"/>
      </w:r>
      <w:r w:rsidR="00345400">
        <w:rPr>
          <w:rStyle w:val="af7"/>
          <w:rFonts w:eastAsia="Guttman Hodes"/>
          <w:cs/>
        </w:rPr>
        <w:t>‎</w:t>
      </w:r>
      <w:r w:rsidR="00345400">
        <w:rPr>
          <w:rStyle w:val="af7"/>
          <w:rFonts w:eastAsia="Guttman Hodes"/>
          <w:rtl/>
        </w:rPr>
        <w:t>כג)</w:t>
      </w:r>
      <w:r w:rsidRPr="00907867">
        <w:rPr>
          <w:rStyle w:val="af7"/>
          <w:rFonts w:eastAsia="Guttman Hodes"/>
          <w:rtl/>
        </w:rPr>
        <w:fldChar w:fldCharType="end"/>
      </w:r>
      <w:r>
        <w:rPr>
          <w:rFonts w:hint="cs"/>
          <w:rtl/>
        </w:rPr>
        <w:t xml:space="preserve"> דהוכיח כן גם מדברי </w:t>
      </w:r>
      <w:r w:rsidRPr="00907867">
        <w:rPr>
          <w:rStyle w:val="af9"/>
          <w:rFonts w:hint="cs"/>
          <w:rtl/>
        </w:rPr>
        <w:t>רבינו ירוחם</w:t>
      </w:r>
      <w:r>
        <w:rPr>
          <w:rFonts w:hint="cs"/>
          <w:rtl/>
        </w:rPr>
        <w:t>.</w:t>
      </w:r>
      <w:bookmarkEnd w:id="14614"/>
    </w:p>
    <w:p w14:paraId="16B17ADB" w14:textId="77777777" w:rsidR="00436F39" w:rsidRDefault="00436F39" w:rsidP="00BF39B2">
      <w:pPr>
        <w:pStyle w:val="1"/>
        <w:rPr>
          <w:rtl/>
        </w:rPr>
      </w:pPr>
      <w:bookmarkStart w:id="14619" w:name="_Toc532810063"/>
      <w:bookmarkStart w:id="14620" w:name="_Toc533413316"/>
      <w:bookmarkStart w:id="14621" w:name="_Toc533441209"/>
      <w:bookmarkStart w:id="14622" w:name="_Toc533441255"/>
      <w:bookmarkStart w:id="14623" w:name="_Toc533490177"/>
      <w:bookmarkStart w:id="14624" w:name="_Toc533506156"/>
      <w:bookmarkStart w:id="14625" w:name="_Toc533544378"/>
      <w:bookmarkStart w:id="14626" w:name="_Toc533544575"/>
      <w:bookmarkStart w:id="14627" w:name="_Toc19390912"/>
      <w:bookmarkStart w:id="14628" w:name="_Toc19394409"/>
      <w:r>
        <w:rPr>
          <w:rFonts w:hint="cs"/>
          <w:rtl/>
        </w:rPr>
        <w:t>דברי ר"ת</w:t>
      </w:r>
      <w:bookmarkEnd w:id="14615"/>
      <w:bookmarkEnd w:id="14616"/>
      <w:bookmarkEnd w:id="14617"/>
      <w:bookmarkEnd w:id="14618"/>
      <w:bookmarkEnd w:id="14619"/>
      <w:bookmarkEnd w:id="14620"/>
      <w:bookmarkEnd w:id="14621"/>
      <w:bookmarkEnd w:id="14622"/>
      <w:bookmarkEnd w:id="14623"/>
      <w:bookmarkEnd w:id="14624"/>
      <w:r>
        <w:rPr>
          <w:rFonts w:hint="cs"/>
          <w:rtl/>
        </w:rPr>
        <w:t xml:space="preserve"> דהספק בחלדה ושהייה במיעוט קמא ולא במיעו"ב</w:t>
      </w:r>
      <w:bookmarkEnd w:id="14625"/>
      <w:bookmarkEnd w:id="14626"/>
      <w:bookmarkEnd w:id="14627"/>
      <w:bookmarkEnd w:id="14628"/>
    </w:p>
    <w:p w14:paraId="31C2F30F" w14:textId="77777777" w:rsidR="00436F39" w:rsidRDefault="00436F39" w:rsidP="006D6D32">
      <w:pPr>
        <w:pStyle w:val="a3"/>
        <w:rPr>
          <w:rtl/>
        </w:rPr>
      </w:pPr>
      <w:bookmarkStart w:id="14629" w:name="_Toc533544379"/>
      <w:bookmarkStart w:id="14630" w:name="_Toc533544576"/>
      <w:bookmarkStart w:id="14631" w:name="_Toc19390913"/>
      <w:bookmarkStart w:id="14632" w:name="_Toc19394410"/>
      <w:r>
        <w:rPr>
          <w:rFonts w:hint="cs"/>
          <w:rtl/>
        </w:rPr>
        <w:t>דברי ר"ת והרמב"ן והרשב"א דהספק בחלדה ובשהייה הוא במיעוט קמא ולא במיעוט בתרא</w:t>
      </w:r>
      <w:bookmarkEnd w:id="14629"/>
      <w:bookmarkEnd w:id="14630"/>
      <w:bookmarkEnd w:id="14631"/>
      <w:bookmarkEnd w:id="14632"/>
    </w:p>
    <w:p w14:paraId="1EF35593" w14:textId="77777777" w:rsidR="00436F39" w:rsidRDefault="00436F39" w:rsidP="00223668">
      <w:pPr>
        <w:pStyle w:val="a0"/>
        <w:rPr>
          <w:rtl/>
        </w:rPr>
      </w:pPr>
      <w:bookmarkStart w:id="14633" w:name="_Ref533543034"/>
      <w:bookmarkStart w:id="14634" w:name="_Ref533328277"/>
      <w:r w:rsidRPr="001A2BCE">
        <w:rPr>
          <w:rStyle w:val="af9"/>
          <w:rFonts w:hint="cs"/>
          <w:rtl/>
        </w:rPr>
        <w:t>ור</w:t>
      </w:r>
      <w:r w:rsidRPr="00A154C9">
        <w:rPr>
          <w:rStyle w:val="af9"/>
          <w:rFonts w:hint="cs"/>
          <w:rtl/>
        </w:rPr>
        <w:t>"ת</w:t>
      </w:r>
      <w:r>
        <w:rPr>
          <w:rFonts w:hint="cs"/>
          <w:rtl/>
        </w:rPr>
        <w:t xml:space="preserve"> </w:t>
      </w:r>
      <w:r w:rsidRPr="00A154C9">
        <w:rPr>
          <w:rStyle w:val="af9"/>
          <w:rFonts w:hint="cs"/>
          <w:rtl/>
        </w:rPr>
        <w:t>בתוס' לקמן</w:t>
      </w:r>
      <w:r>
        <w:rPr>
          <w:rFonts w:hint="cs"/>
          <w:rtl/>
        </w:rPr>
        <w:t xml:space="preserve"> </w:t>
      </w:r>
      <w:r w:rsidRPr="00257A45">
        <w:rPr>
          <w:rStyle w:val="af7"/>
          <w:rFonts w:eastAsia="Guttman Hodes" w:hint="cs"/>
          <w:rtl/>
        </w:rPr>
        <w:t xml:space="preserve">(ל: ד"ה החליד) </w:t>
      </w:r>
      <w:r>
        <w:rPr>
          <w:rFonts w:hint="cs"/>
          <w:rtl/>
        </w:rPr>
        <w:t xml:space="preserve">ביאר דהספק בגמ' לקמן </w:t>
      </w:r>
      <w:r w:rsidRPr="00257A45">
        <w:rPr>
          <w:rStyle w:val="af7"/>
          <w:rFonts w:eastAsia="Guttman Hodes" w:hint="cs"/>
          <w:rtl/>
        </w:rPr>
        <w:t>(ל:)</w:t>
      </w:r>
      <w:r>
        <w:rPr>
          <w:rFonts w:hint="cs"/>
          <w:rtl/>
        </w:rPr>
        <w:t xml:space="preserve"> אינו בחלדה במיעוט בתרא, אלא בחלדה במיעוט קמא, </w:t>
      </w:r>
      <w:r w:rsidRPr="00A154C9">
        <w:rPr>
          <w:rStyle w:val="afb"/>
          <w:rFonts w:hint="cs"/>
          <w:rtl/>
        </w:rPr>
        <w:t xml:space="preserve">[עיי"ש </w:t>
      </w:r>
      <w:r w:rsidRPr="006D189D">
        <w:rPr>
          <w:rStyle w:val="affa"/>
          <w:rFonts w:hint="cs"/>
          <w:rtl/>
        </w:rPr>
        <w:t>בתוס' ובתוס' הרא"ש</w:t>
      </w:r>
      <w:r>
        <w:rPr>
          <w:rStyle w:val="afb"/>
          <w:rFonts w:hint="cs"/>
          <w:rtl/>
        </w:rPr>
        <w:t xml:space="preserve"> במה שביארו את </w:t>
      </w:r>
      <w:r w:rsidRPr="00A154C9">
        <w:rPr>
          <w:rStyle w:val="afb"/>
          <w:rFonts w:hint="cs"/>
          <w:rtl/>
        </w:rPr>
        <w:t>הספק</w:t>
      </w:r>
      <w:r>
        <w:rPr>
          <w:rStyle w:val="afb"/>
          <w:rFonts w:hint="cs"/>
          <w:rtl/>
        </w:rPr>
        <w:t xml:space="preserve"> לענין חלדה</w:t>
      </w:r>
      <w:r w:rsidRPr="00A154C9">
        <w:rPr>
          <w:rStyle w:val="afb"/>
          <w:rFonts w:hint="cs"/>
          <w:rtl/>
        </w:rPr>
        <w:t>],</w:t>
      </w:r>
      <w:r>
        <w:rPr>
          <w:rFonts w:hint="cs"/>
          <w:rtl/>
        </w:rPr>
        <w:t xml:space="preserve"> וכן ספק הגמ' לקמן </w:t>
      </w:r>
      <w:r w:rsidRPr="00257A45">
        <w:rPr>
          <w:rStyle w:val="af7"/>
          <w:rFonts w:eastAsia="Guttman Hodes" w:hint="cs"/>
          <w:rtl/>
        </w:rPr>
        <w:t xml:space="preserve">(לב.) </w:t>
      </w:r>
      <w:r>
        <w:rPr>
          <w:rFonts w:hint="cs"/>
          <w:rtl/>
        </w:rPr>
        <w:t xml:space="preserve">בשהייה במיעוט סימנים, כתב </w:t>
      </w:r>
      <w:r w:rsidRPr="00A154C9">
        <w:rPr>
          <w:rStyle w:val="af9"/>
          <w:rFonts w:hint="cs"/>
          <w:rtl/>
        </w:rPr>
        <w:t>ר"ת</w:t>
      </w:r>
      <w:r>
        <w:rPr>
          <w:rFonts w:hint="cs"/>
          <w:rtl/>
        </w:rPr>
        <w:t xml:space="preserve"> דהיינו במיעוט קמא, ולא </w:t>
      </w:r>
      <w:r w:rsidRPr="00A154C9">
        <w:rPr>
          <w:rStyle w:val="af9"/>
          <w:rFonts w:hint="cs"/>
          <w:rtl/>
        </w:rPr>
        <w:t>כרש"י</w:t>
      </w:r>
      <w:r w:rsidRPr="00257A45">
        <w:rPr>
          <w:rStyle w:val="af7"/>
          <w:rFonts w:eastAsia="Guttman Hodes" w:hint="cs"/>
          <w:rtl/>
        </w:rPr>
        <w:t xml:space="preserve"> (עי' אות </w:t>
      </w:r>
      <w:r w:rsidRPr="00A154C9">
        <w:rPr>
          <w:rStyle w:val="af7"/>
          <w:rFonts w:eastAsia="Guttman Hodes"/>
          <w:rtl/>
        </w:rPr>
        <w:fldChar w:fldCharType="begin"/>
      </w:r>
      <w:r w:rsidRPr="00A154C9">
        <w:rPr>
          <w:rStyle w:val="af7"/>
          <w:rFonts w:eastAsia="Guttman Hodes"/>
          <w:rtl/>
        </w:rPr>
        <w:instrText xml:space="preserve"> </w:instrText>
      </w:r>
      <w:r w:rsidRPr="00A154C9">
        <w:rPr>
          <w:rStyle w:val="af7"/>
          <w:rFonts w:eastAsia="Guttman Hodes" w:hint="cs"/>
        </w:rPr>
        <w:instrText>REF</w:instrText>
      </w:r>
      <w:r w:rsidRPr="00A154C9">
        <w:rPr>
          <w:rStyle w:val="af7"/>
          <w:rFonts w:eastAsia="Guttman Hodes" w:hint="cs"/>
          <w:rtl/>
        </w:rPr>
        <w:instrText xml:space="preserve"> _</w:instrText>
      </w:r>
      <w:r w:rsidRPr="00A154C9">
        <w:rPr>
          <w:rStyle w:val="af7"/>
          <w:rFonts w:eastAsia="Guttman Hodes" w:hint="cs"/>
        </w:rPr>
        <w:instrText>Ref532319483 \r \h</w:instrText>
      </w:r>
      <w:r w:rsidRPr="00A154C9">
        <w:rPr>
          <w:rStyle w:val="af7"/>
          <w:rFonts w:eastAsia="Guttman Hodes"/>
          <w:rtl/>
        </w:rPr>
        <w:instrText xml:space="preserve"> </w:instrText>
      </w:r>
      <w:r w:rsidRPr="00A154C9">
        <w:rPr>
          <w:rStyle w:val="af7"/>
          <w:rFonts w:eastAsia="Guttman Hodes"/>
          <w:rtl/>
        </w:rPr>
      </w:r>
      <w:r w:rsidRPr="00A154C9">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A154C9">
        <w:rPr>
          <w:rStyle w:val="af7"/>
          <w:rFonts w:eastAsia="Guttman Hodes"/>
          <w:rtl/>
        </w:rPr>
        <w:fldChar w:fldCharType="end"/>
      </w:r>
      <w:r>
        <w:rPr>
          <w:rFonts w:hint="cs"/>
          <w:rtl/>
        </w:rPr>
        <w:t xml:space="preserve"> דביאר דהספק הוא במיעוט בתרא</w:t>
      </w:r>
      <w:r w:rsidRPr="00C73F66">
        <w:rPr>
          <w:rFonts w:hint="cs"/>
          <w:rtl/>
        </w:rPr>
        <w:t xml:space="preserve">, </w:t>
      </w:r>
      <w:r>
        <w:rPr>
          <w:rFonts w:hint="cs"/>
          <w:rtl/>
        </w:rPr>
        <w:t xml:space="preserve">[עיי"ש במה שביאר את הספק לענין חלדה], </w:t>
      </w:r>
      <w:r w:rsidRPr="00C73F66">
        <w:rPr>
          <w:rFonts w:hint="cs"/>
          <w:rtl/>
        </w:rPr>
        <w:t xml:space="preserve">וכתבו </w:t>
      </w:r>
      <w:r w:rsidRPr="00C73F66">
        <w:rPr>
          <w:rStyle w:val="af9"/>
          <w:rFonts w:hint="cs"/>
          <w:rtl/>
        </w:rPr>
        <w:t>הרמב"ן לקמן</w:t>
      </w:r>
      <w:r w:rsidRPr="00C73F66">
        <w:rPr>
          <w:rFonts w:hint="cs"/>
          <w:rtl/>
        </w:rPr>
        <w:t xml:space="preserve"> </w:t>
      </w:r>
      <w:r w:rsidRPr="00C73F66">
        <w:rPr>
          <w:rStyle w:val="af7"/>
          <w:rFonts w:eastAsia="Guttman Hodes" w:hint="cs"/>
          <w:rtl/>
        </w:rPr>
        <w:t>(ל: ד"ה החליד)</w:t>
      </w:r>
      <w:r w:rsidRPr="00C73F66">
        <w:rPr>
          <w:rFonts w:hint="cs"/>
          <w:rtl/>
        </w:rPr>
        <w:t xml:space="preserve"> </w:t>
      </w:r>
      <w:r w:rsidRPr="00C73F66">
        <w:rPr>
          <w:rStyle w:val="af9"/>
          <w:rFonts w:hint="cs"/>
          <w:rtl/>
        </w:rPr>
        <w:t>והרשב"א בחי' לקמן</w:t>
      </w:r>
      <w:r w:rsidRPr="00C73F66">
        <w:rPr>
          <w:rFonts w:hint="cs"/>
          <w:rtl/>
        </w:rPr>
        <w:t xml:space="preserve"> </w:t>
      </w:r>
      <w:r w:rsidRPr="00C73F66">
        <w:rPr>
          <w:rStyle w:val="af7"/>
          <w:rFonts w:eastAsia="Guttman Hodes" w:hint="cs"/>
          <w:rtl/>
        </w:rPr>
        <w:t>(ל: ד"ה החליד)</w:t>
      </w:r>
      <w:r w:rsidRPr="00C73F66">
        <w:rPr>
          <w:rFonts w:hint="cs"/>
          <w:rtl/>
        </w:rPr>
        <w:t xml:space="preserve"> </w:t>
      </w:r>
      <w:r w:rsidRPr="00C73F66">
        <w:rPr>
          <w:rStyle w:val="af9"/>
          <w:rFonts w:hint="cs"/>
          <w:rtl/>
        </w:rPr>
        <w:t>ובתוה"ב</w:t>
      </w:r>
      <w:r w:rsidRPr="00C73F66">
        <w:rPr>
          <w:rFonts w:hint="cs"/>
          <w:rtl/>
        </w:rPr>
        <w:t xml:space="preserve"> </w:t>
      </w:r>
      <w:r w:rsidRPr="00C73F66">
        <w:rPr>
          <w:rStyle w:val="af7"/>
          <w:rFonts w:eastAsia="Guttman Hodes" w:hint="cs"/>
          <w:rtl/>
        </w:rPr>
        <w:t>(ב"ב ש"א דף כג: מדה"ס)</w:t>
      </w:r>
      <w:r w:rsidRPr="00C73F66">
        <w:rPr>
          <w:rFonts w:hint="cs"/>
          <w:rtl/>
        </w:rPr>
        <w:t xml:space="preserve"> דזהו הביאור הנכון</w:t>
      </w:r>
      <w:r>
        <w:rPr>
          <w:rFonts w:hint="cs"/>
          <w:rtl/>
        </w:rPr>
        <w:t>.</w:t>
      </w:r>
      <w:r w:rsidRPr="00C73F66">
        <w:rPr>
          <w:rFonts w:hint="cs"/>
          <w:rtl/>
        </w:rPr>
        <w:t xml:space="preserve"> [וע"ע </w:t>
      </w:r>
      <w:r>
        <w:rPr>
          <w:rFonts w:hint="cs"/>
          <w:rtl/>
        </w:rPr>
        <w:t>בדברי</w:t>
      </w:r>
      <w:r w:rsidRPr="00C73F66">
        <w:rPr>
          <w:rFonts w:hint="cs"/>
          <w:rtl/>
        </w:rPr>
        <w:t xml:space="preserve"> </w:t>
      </w:r>
      <w:r w:rsidRPr="00C73F66">
        <w:rPr>
          <w:rStyle w:val="af9"/>
          <w:rFonts w:hint="cs"/>
          <w:rtl/>
        </w:rPr>
        <w:t>רבינו אושעיא</w:t>
      </w:r>
      <w:r w:rsidRPr="00B26590">
        <w:rPr>
          <w:rStyle w:val="af9"/>
          <w:rFonts w:hint="cs"/>
          <w:rtl/>
        </w:rPr>
        <w:t xml:space="preserve"> בתוס' לקמן</w:t>
      </w:r>
      <w:r>
        <w:rPr>
          <w:rFonts w:hint="cs"/>
          <w:rtl/>
        </w:rPr>
        <w:t xml:space="preserve"> בביאור הספק בחלדה].</w:t>
      </w:r>
      <w:bookmarkEnd w:id="14633"/>
    </w:p>
    <w:p w14:paraId="7826BB0C" w14:textId="77777777" w:rsidR="00436F39" w:rsidRPr="00A24BC9" w:rsidRDefault="00436F39" w:rsidP="006D6D32">
      <w:pPr>
        <w:pStyle w:val="a3"/>
      </w:pPr>
      <w:bookmarkStart w:id="14635" w:name="_Toc533544380"/>
      <w:bookmarkStart w:id="14636" w:name="_Toc533544577"/>
      <w:bookmarkStart w:id="14637" w:name="_Toc19390914"/>
      <w:bookmarkStart w:id="14638" w:name="_Toc19394411"/>
      <w:r>
        <w:rPr>
          <w:rFonts w:hint="cs"/>
          <w:rtl/>
        </w:rPr>
        <w:t>דברי ר"ת דכדבריו מבואר בתוספתא דשהייה במיעוט בתרא אינה פוסלת</w:t>
      </w:r>
      <w:bookmarkEnd w:id="14635"/>
      <w:bookmarkEnd w:id="14636"/>
      <w:bookmarkEnd w:id="14637"/>
      <w:bookmarkEnd w:id="14638"/>
    </w:p>
    <w:p w14:paraId="00E2A29D" w14:textId="77777777" w:rsidR="00436F39" w:rsidRDefault="00436F39" w:rsidP="00223668">
      <w:pPr>
        <w:pStyle w:val="a0"/>
        <w:rPr>
          <w:rtl/>
        </w:rPr>
      </w:pPr>
      <w:r>
        <w:rPr>
          <w:rFonts w:hint="cs"/>
          <w:rtl/>
        </w:rPr>
        <w:t xml:space="preserve">וכתב </w:t>
      </w:r>
      <w:r w:rsidRPr="00540280">
        <w:rPr>
          <w:rStyle w:val="af9"/>
          <w:rFonts w:hint="cs"/>
          <w:rtl/>
        </w:rPr>
        <w:t>ר"ת</w:t>
      </w:r>
      <w:r>
        <w:rPr>
          <w:rFonts w:hint="cs"/>
          <w:rtl/>
        </w:rPr>
        <w:t xml:space="preserve"> דלפי"ז מיושבת קושית </w:t>
      </w:r>
      <w:r w:rsidRPr="00540280">
        <w:rPr>
          <w:rStyle w:val="af9"/>
          <w:rFonts w:hint="cs"/>
          <w:rtl/>
        </w:rPr>
        <w:t>רש"י</w:t>
      </w:r>
      <w:r>
        <w:rPr>
          <w:rFonts w:hint="cs"/>
          <w:rtl/>
        </w:rPr>
        <w:t xml:space="preserve"> </w:t>
      </w:r>
      <w:r w:rsidRPr="00C73F66">
        <w:rPr>
          <w:rStyle w:val="af7"/>
          <w:rFonts w:eastAsia="Guttman Hodes" w:hint="cs"/>
          <w:rtl/>
        </w:rPr>
        <w:t xml:space="preserve">(עי' אות </w:t>
      </w:r>
      <w:r w:rsidRPr="00C73F66">
        <w:rPr>
          <w:rStyle w:val="af7"/>
          <w:rFonts w:eastAsia="Guttman Hodes"/>
          <w:rtl/>
        </w:rPr>
        <w:fldChar w:fldCharType="begin"/>
      </w:r>
      <w:r w:rsidRPr="00C73F66">
        <w:rPr>
          <w:rStyle w:val="af7"/>
          <w:rFonts w:eastAsia="Guttman Hodes"/>
          <w:rtl/>
        </w:rPr>
        <w:instrText xml:space="preserve"> </w:instrText>
      </w:r>
      <w:r w:rsidRPr="00C73F66">
        <w:rPr>
          <w:rStyle w:val="af7"/>
          <w:rFonts w:eastAsia="Guttman Hodes" w:hint="cs"/>
        </w:rPr>
        <w:instrText>REF</w:instrText>
      </w:r>
      <w:r w:rsidRPr="00C73F66">
        <w:rPr>
          <w:rStyle w:val="af7"/>
          <w:rFonts w:eastAsia="Guttman Hodes" w:hint="cs"/>
          <w:rtl/>
        </w:rPr>
        <w:instrText xml:space="preserve"> _</w:instrText>
      </w:r>
      <w:r w:rsidRPr="00C73F66">
        <w:rPr>
          <w:rStyle w:val="af7"/>
          <w:rFonts w:eastAsia="Guttman Hodes" w:hint="cs"/>
        </w:rPr>
        <w:instrText>Ref532402551 \r \h</w:instrText>
      </w:r>
      <w:r w:rsidRPr="00C73F66">
        <w:rPr>
          <w:rStyle w:val="af7"/>
          <w:rFonts w:eastAsia="Guttman Hodes"/>
          <w:rtl/>
        </w:rPr>
        <w:instrText xml:space="preserve"> </w:instrText>
      </w:r>
      <w:r w:rsidRPr="00C73F66">
        <w:rPr>
          <w:rStyle w:val="af7"/>
          <w:rFonts w:eastAsia="Guttman Hodes"/>
          <w:rtl/>
        </w:rPr>
      </w:r>
      <w:r w:rsidRPr="00C73F66">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C73F66">
        <w:rPr>
          <w:rStyle w:val="af7"/>
          <w:rFonts w:eastAsia="Guttman Hodes"/>
          <w:rtl/>
        </w:rPr>
        <w:fldChar w:fldCharType="end"/>
      </w:r>
      <w:r>
        <w:rPr>
          <w:rFonts w:hint="cs"/>
          <w:rtl/>
        </w:rPr>
        <w:t xml:space="preserve"> מביאור הגמ' לקמן </w:t>
      </w:r>
      <w:r w:rsidRPr="00C73F66">
        <w:rPr>
          <w:rStyle w:val="af7"/>
          <w:rFonts w:eastAsia="Guttman Hodes" w:hint="cs"/>
          <w:rtl/>
        </w:rPr>
        <w:t>(כט.)</w:t>
      </w:r>
      <w:r>
        <w:rPr>
          <w:rFonts w:hint="cs"/>
          <w:rtl/>
        </w:rPr>
        <w:t xml:space="preserve"> בתוספתא, דאי מחצה על מחצה הוא כרוב, א"כ נשחט כבר הרוב ופשיטא דהשהייה במיעוט בתרא אינה </w:t>
      </w:r>
      <w:r w:rsidRPr="00C73F66">
        <w:rPr>
          <w:rFonts w:hint="cs"/>
          <w:rtl/>
        </w:rPr>
        <w:t>פוסלת</w:t>
      </w:r>
      <w:bookmarkEnd w:id="14634"/>
      <w:r>
        <w:rPr>
          <w:rFonts w:hint="cs"/>
          <w:rtl/>
        </w:rPr>
        <w:t>.</w:t>
      </w:r>
    </w:p>
    <w:p w14:paraId="11852034" w14:textId="77777777" w:rsidR="00436F39" w:rsidRDefault="00436F39" w:rsidP="006D6D32">
      <w:pPr>
        <w:pStyle w:val="a3"/>
        <w:rPr>
          <w:rtl/>
        </w:rPr>
      </w:pPr>
      <w:bookmarkStart w:id="14639" w:name="_Toc533544381"/>
      <w:bookmarkStart w:id="14640" w:name="_Toc533544578"/>
      <w:bookmarkStart w:id="14641" w:name="_Toc19390915"/>
      <w:bookmarkStart w:id="14642" w:name="_Toc19394412"/>
      <w:r>
        <w:rPr>
          <w:rFonts w:hint="cs"/>
          <w:rtl/>
        </w:rPr>
        <w:t>דברי ר"ת דלדבריו בעוף שייכא שהייה רק במיעוט קמא דושט</w:t>
      </w:r>
      <w:bookmarkEnd w:id="14639"/>
      <w:bookmarkEnd w:id="14640"/>
      <w:bookmarkEnd w:id="14641"/>
      <w:bookmarkEnd w:id="14642"/>
    </w:p>
    <w:p w14:paraId="3B312317" w14:textId="77777777" w:rsidR="00436F39" w:rsidRPr="00A06B91" w:rsidRDefault="00436F39" w:rsidP="00223668">
      <w:pPr>
        <w:pStyle w:val="a0"/>
        <w:rPr>
          <w:rtl/>
        </w:rPr>
      </w:pPr>
      <w:bookmarkStart w:id="14643" w:name="_Ref533529241"/>
      <w:r w:rsidRPr="009E046A">
        <w:rPr>
          <w:rFonts w:hint="cs"/>
          <w:rtl/>
        </w:rPr>
        <w:t>וכתב</w:t>
      </w:r>
      <w:r>
        <w:rPr>
          <w:rFonts w:hint="cs"/>
          <w:rtl/>
        </w:rPr>
        <w:t xml:space="preserve"> </w:t>
      </w:r>
      <w:r w:rsidRPr="00E54A38">
        <w:rPr>
          <w:rStyle w:val="af9"/>
          <w:rFonts w:hint="cs"/>
          <w:rtl/>
        </w:rPr>
        <w:t>ר"ת</w:t>
      </w:r>
      <w:r w:rsidRPr="009E046A">
        <w:rPr>
          <w:rFonts w:hint="cs"/>
          <w:rtl/>
        </w:rPr>
        <w:t xml:space="preserve"> </w:t>
      </w:r>
      <w:r>
        <w:rPr>
          <w:rStyle w:val="af9"/>
          <w:rFonts w:hint="cs"/>
          <w:rtl/>
        </w:rPr>
        <w:t>ב</w:t>
      </w:r>
      <w:r w:rsidRPr="00E54A38">
        <w:rPr>
          <w:rStyle w:val="af9"/>
          <w:rFonts w:hint="cs"/>
          <w:rtl/>
        </w:rPr>
        <w:t>תוס' לקמן</w:t>
      </w:r>
      <w:r w:rsidRPr="009E046A">
        <w:rPr>
          <w:rFonts w:hint="cs"/>
          <w:rtl/>
        </w:rPr>
        <w:t xml:space="preserve"> דלדברי</w:t>
      </w:r>
      <w:r>
        <w:rPr>
          <w:rFonts w:hint="cs"/>
          <w:rtl/>
        </w:rPr>
        <w:t>ו</w:t>
      </w:r>
      <w:r w:rsidRPr="009E046A">
        <w:rPr>
          <w:rFonts w:hint="cs"/>
          <w:rtl/>
        </w:rPr>
        <w:t xml:space="preserve"> ד</w:t>
      </w:r>
      <w:r>
        <w:rPr>
          <w:rFonts w:hint="cs"/>
          <w:rtl/>
        </w:rPr>
        <w:t>שהייה</w:t>
      </w:r>
      <w:r w:rsidRPr="009E046A">
        <w:rPr>
          <w:rFonts w:hint="cs"/>
          <w:rtl/>
        </w:rPr>
        <w:t xml:space="preserve"> במיעוט בתרא כשרה, א"כ אף </w:t>
      </w:r>
      <w:r>
        <w:rPr>
          <w:rFonts w:hint="cs"/>
          <w:rtl/>
        </w:rPr>
        <w:t xml:space="preserve">שהייה </w:t>
      </w:r>
      <w:r w:rsidRPr="009E046A">
        <w:rPr>
          <w:rFonts w:hint="cs"/>
          <w:rtl/>
        </w:rPr>
        <w:t xml:space="preserve">במיעוט קמא אינה פוסלת בעוף מדאו', דהא בעוף סגי מדאו' בשחיטת סימן אחד, ורק מדרבנן יש פסול </w:t>
      </w:r>
      <w:r>
        <w:rPr>
          <w:rFonts w:hint="cs"/>
          <w:rtl/>
        </w:rPr>
        <w:t>שהייה</w:t>
      </w:r>
      <w:r w:rsidRPr="009E046A">
        <w:rPr>
          <w:rFonts w:hint="cs"/>
          <w:rtl/>
        </w:rPr>
        <w:t xml:space="preserve"> בעוף, והיינו דוקא בושט אבל בקנה, אף מדרבנן </w:t>
      </w:r>
      <w:r>
        <w:rPr>
          <w:rFonts w:hint="cs"/>
          <w:rtl/>
        </w:rPr>
        <w:t>אין שהייה בעוף</w:t>
      </w:r>
      <w:r w:rsidRPr="009E046A">
        <w:rPr>
          <w:rFonts w:hint="cs"/>
          <w:rtl/>
        </w:rPr>
        <w:t xml:space="preserve"> דהוא כחצי קנה פגום</w:t>
      </w:r>
      <w:r>
        <w:rPr>
          <w:rFonts w:hint="cs"/>
          <w:rtl/>
        </w:rPr>
        <w:t xml:space="preserve">, </w:t>
      </w:r>
      <w:r w:rsidRPr="009E046A">
        <w:rPr>
          <w:rFonts w:hint="cs"/>
          <w:rtl/>
        </w:rPr>
        <w:t>וכתב</w:t>
      </w:r>
      <w:r>
        <w:rPr>
          <w:rFonts w:hint="cs"/>
          <w:rtl/>
        </w:rPr>
        <w:t xml:space="preserve"> </w:t>
      </w:r>
      <w:r w:rsidRPr="00E54A38">
        <w:rPr>
          <w:rStyle w:val="af9"/>
          <w:rFonts w:hint="cs"/>
          <w:rtl/>
        </w:rPr>
        <w:t>ר"ת</w:t>
      </w:r>
      <w:r w:rsidRPr="009E046A">
        <w:rPr>
          <w:rFonts w:hint="cs"/>
          <w:rtl/>
        </w:rPr>
        <w:t xml:space="preserve"> </w:t>
      </w:r>
      <w:r>
        <w:rPr>
          <w:rFonts w:hint="cs"/>
          <w:rtl/>
        </w:rPr>
        <w:t xml:space="preserve">דלפי דבריו יש טעות סופר בתוספתא שהקשה ממנה </w:t>
      </w:r>
      <w:r w:rsidRPr="00540280">
        <w:rPr>
          <w:rStyle w:val="af9"/>
          <w:rFonts w:hint="cs"/>
          <w:rtl/>
        </w:rPr>
        <w:t>רש"י</w:t>
      </w:r>
      <w:r>
        <w:rPr>
          <w:rFonts w:hint="cs"/>
          <w:rtl/>
        </w:rPr>
        <w:t xml:space="preserve"> </w:t>
      </w:r>
      <w:r w:rsidRPr="00C93366">
        <w:rPr>
          <w:rStyle w:val="af7"/>
          <w:rFonts w:eastAsia="Guttman Hodes" w:hint="cs"/>
          <w:rtl/>
        </w:rPr>
        <w:t xml:space="preserve">(עי' אות </w:t>
      </w:r>
      <w:r w:rsidRPr="00C93366">
        <w:rPr>
          <w:rStyle w:val="af7"/>
          <w:rFonts w:eastAsia="Guttman Hodes"/>
          <w:rtl/>
        </w:rPr>
        <w:fldChar w:fldCharType="begin"/>
      </w:r>
      <w:r w:rsidRPr="00C93366">
        <w:rPr>
          <w:rStyle w:val="af7"/>
          <w:rFonts w:eastAsia="Guttman Hodes"/>
          <w:rtl/>
        </w:rPr>
        <w:instrText xml:space="preserve"> </w:instrText>
      </w:r>
      <w:r w:rsidRPr="00C93366">
        <w:rPr>
          <w:rStyle w:val="af7"/>
          <w:rFonts w:eastAsia="Guttman Hodes" w:hint="cs"/>
        </w:rPr>
        <w:instrText>REF</w:instrText>
      </w:r>
      <w:r w:rsidRPr="00C93366">
        <w:rPr>
          <w:rStyle w:val="af7"/>
          <w:rFonts w:eastAsia="Guttman Hodes" w:hint="cs"/>
          <w:rtl/>
        </w:rPr>
        <w:instrText xml:space="preserve"> _</w:instrText>
      </w:r>
      <w:r w:rsidRPr="00C93366">
        <w:rPr>
          <w:rStyle w:val="af7"/>
          <w:rFonts w:eastAsia="Guttman Hodes" w:hint="cs"/>
        </w:rPr>
        <w:instrText>Ref532402551 \r \h</w:instrText>
      </w:r>
      <w:r w:rsidRPr="00C93366">
        <w:rPr>
          <w:rStyle w:val="af7"/>
          <w:rFonts w:eastAsia="Guttman Hodes"/>
          <w:rtl/>
        </w:rPr>
        <w:instrText xml:space="preserve"> </w:instrText>
      </w:r>
      <w:r w:rsidRPr="00C93366">
        <w:rPr>
          <w:rStyle w:val="af7"/>
          <w:rFonts w:eastAsia="Guttman Hodes"/>
          <w:rtl/>
        </w:rPr>
      </w:r>
      <w:r w:rsidRPr="00C93366">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C93366">
        <w:rPr>
          <w:rStyle w:val="af7"/>
          <w:rFonts w:eastAsia="Guttman Hodes"/>
          <w:rtl/>
        </w:rPr>
        <w:fldChar w:fldCharType="end"/>
      </w:r>
      <w:r>
        <w:rPr>
          <w:rFonts w:hint="cs"/>
          <w:rtl/>
        </w:rPr>
        <w:t xml:space="preserve"> חצי גרוגרת ושהה כדי שחיטה וגמר שחיטתו פסולה, וצריך לגרוס כשרה, דהרי הגמ' לקמן </w:t>
      </w:r>
      <w:r w:rsidRPr="00C93366">
        <w:rPr>
          <w:rStyle w:val="af7"/>
          <w:rFonts w:eastAsia="Guttman Hodes" w:hint="cs"/>
          <w:rtl/>
        </w:rPr>
        <w:t>(כט.)</w:t>
      </w:r>
      <w:r>
        <w:rPr>
          <w:rFonts w:hint="cs"/>
          <w:rtl/>
        </w:rPr>
        <w:t xml:space="preserve"> הביאה מהתוספתא ראיה לדין מחצה על מחצה כרוב. [</w:t>
      </w:r>
      <w:r w:rsidRPr="004A4074">
        <w:rPr>
          <w:rStyle w:val="afb"/>
          <w:rFonts w:hint="cs"/>
          <w:rtl/>
        </w:rPr>
        <w:t>והיינו דכיון דמחצה כרוב, נגמר השחיטה בהכשר וה</w:t>
      </w:r>
      <w:r>
        <w:rPr>
          <w:rStyle w:val="afb"/>
          <w:rFonts w:hint="cs"/>
          <w:rtl/>
        </w:rPr>
        <w:t>שהייה</w:t>
      </w:r>
      <w:r w:rsidRPr="004A4074">
        <w:rPr>
          <w:rStyle w:val="afb"/>
          <w:rFonts w:hint="cs"/>
          <w:rtl/>
        </w:rPr>
        <w:t xml:space="preserve"> אח"כ אינה פוסלת </w:t>
      </w:r>
      <w:r w:rsidRPr="004A4074">
        <w:rPr>
          <w:rStyle w:val="affa"/>
          <w:rFonts w:hint="cs"/>
          <w:rtl/>
        </w:rPr>
        <w:t>לר"ת</w:t>
      </w:r>
      <w:r w:rsidRPr="004A4074">
        <w:rPr>
          <w:rStyle w:val="afb"/>
          <w:rFonts w:hint="cs"/>
          <w:rtl/>
        </w:rPr>
        <w:t>]</w:t>
      </w:r>
      <w:r>
        <w:rPr>
          <w:rFonts w:hint="cs"/>
          <w:rtl/>
        </w:rPr>
        <w:t xml:space="preserve">, ועי' במ"ש </w:t>
      </w:r>
      <w:r w:rsidRPr="003F237F">
        <w:rPr>
          <w:rStyle w:val="af9"/>
          <w:rFonts w:hint="cs"/>
          <w:rtl/>
        </w:rPr>
        <w:t>הביה"ל</w:t>
      </w:r>
      <w:r>
        <w:rPr>
          <w:rFonts w:hint="cs"/>
          <w:rtl/>
        </w:rPr>
        <w:t xml:space="preserve"> </w:t>
      </w:r>
      <w:r w:rsidRPr="00C93366">
        <w:rPr>
          <w:rStyle w:val="af7"/>
          <w:rFonts w:eastAsia="Guttman Hodes" w:hint="cs"/>
          <w:rtl/>
        </w:rPr>
        <w:t>(ח"ב סי' כ"ד סק"ד)</w:t>
      </w:r>
      <w:r>
        <w:rPr>
          <w:rFonts w:hint="cs"/>
          <w:rtl/>
        </w:rPr>
        <w:t>.</w:t>
      </w:r>
      <w:bookmarkEnd w:id="14643"/>
    </w:p>
    <w:p w14:paraId="671BF12C" w14:textId="77777777" w:rsidR="00436F39" w:rsidRDefault="00436F39" w:rsidP="006D6D32">
      <w:pPr>
        <w:pStyle w:val="a3"/>
        <w:rPr>
          <w:rtl/>
        </w:rPr>
      </w:pPr>
      <w:bookmarkStart w:id="14644" w:name="_Toc533544382"/>
      <w:bookmarkStart w:id="14645" w:name="_Toc533544579"/>
      <w:bookmarkStart w:id="14646" w:name="_Toc19390916"/>
      <w:bookmarkStart w:id="14647" w:name="_Toc19394413"/>
      <w:r>
        <w:rPr>
          <w:rFonts w:hint="cs"/>
          <w:rtl/>
        </w:rPr>
        <w:t>קושית התוס' והרמב"ן על ר"ת דבתוספתא מבואר דשהייה במיעוט קמא פוסלת</w:t>
      </w:r>
      <w:bookmarkEnd w:id="14644"/>
      <w:bookmarkEnd w:id="14645"/>
      <w:bookmarkEnd w:id="14646"/>
      <w:bookmarkEnd w:id="14647"/>
    </w:p>
    <w:p w14:paraId="360015FA" w14:textId="77777777" w:rsidR="00436F39" w:rsidRDefault="00436F39" w:rsidP="00223668">
      <w:pPr>
        <w:pStyle w:val="a0"/>
        <w:rPr>
          <w:rtl/>
        </w:rPr>
      </w:pPr>
      <w:r>
        <w:rPr>
          <w:rFonts w:hint="cs"/>
          <w:rtl/>
        </w:rPr>
        <w:t xml:space="preserve">אך הקשו </w:t>
      </w:r>
      <w:r w:rsidRPr="00540280">
        <w:rPr>
          <w:rStyle w:val="af9"/>
          <w:rFonts w:hint="cs"/>
          <w:rtl/>
        </w:rPr>
        <w:t>התוס' לקמן</w:t>
      </w:r>
      <w:r>
        <w:rPr>
          <w:rStyle w:val="af9"/>
          <w:rFonts w:hint="cs"/>
          <w:rtl/>
        </w:rPr>
        <w:t xml:space="preserve"> </w:t>
      </w:r>
      <w:r w:rsidRPr="00257A45">
        <w:rPr>
          <w:rStyle w:val="af7"/>
          <w:rFonts w:eastAsia="Guttman Hodes" w:hint="cs"/>
          <w:rtl/>
        </w:rPr>
        <w:t>(ל: ד"ה החליד)</w:t>
      </w:r>
      <w:r>
        <w:rPr>
          <w:rFonts w:hint="cs"/>
          <w:rtl/>
        </w:rPr>
        <w:t xml:space="preserve"> </w:t>
      </w:r>
      <w:r>
        <w:rPr>
          <w:rStyle w:val="af9"/>
          <w:rFonts w:hint="cs"/>
          <w:rtl/>
        </w:rPr>
        <w:t xml:space="preserve">והתוס' הרא"ש לקמן </w:t>
      </w:r>
      <w:r w:rsidRPr="00257A45">
        <w:rPr>
          <w:rStyle w:val="af7"/>
          <w:rFonts w:eastAsia="Guttman Hodes" w:hint="cs"/>
          <w:rtl/>
        </w:rPr>
        <w:t>(ל: ד"ה החליד)</w:t>
      </w:r>
      <w:r>
        <w:rPr>
          <w:rFonts w:hint="cs"/>
          <w:rtl/>
        </w:rPr>
        <w:t xml:space="preserve"> </w:t>
      </w:r>
      <w:r>
        <w:rPr>
          <w:rStyle w:val="af9"/>
          <w:rFonts w:hint="cs"/>
          <w:rtl/>
        </w:rPr>
        <w:t>ו</w:t>
      </w:r>
      <w:r w:rsidRPr="00BF0DEF">
        <w:rPr>
          <w:rStyle w:val="af9"/>
          <w:rFonts w:hint="cs"/>
          <w:rtl/>
        </w:rPr>
        <w:t>הרמב"ן לקמן</w:t>
      </w:r>
      <w:r w:rsidRPr="00BF0DEF">
        <w:rPr>
          <w:rFonts w:hint="cs"/>
          <w:rtl/>
        </w:rPr>
        <w:t xml:space="preserve"> </w:t>
      </w:r>
      <w:r w:rsidRPr="00257A45">
        <w:rPr>
          <w:rStyle w:val="af7"/>
          <w:rFonts w:eastAsia="Guttman Hodes" w:hint="cs"/>
          <w:rtl/>
        </w:rPr>
        <w:t>(ל: ד"ה ובא ר"ת)</w:t>
      </w:r>
      <w:r w:rsidRPr="00BF0DEF">
        <w:rPr>
          <w:rFonts w:hint="cs"/>
          <w:rtl/>
        </w:rPr>
        <w:t xml:space="preserve"> </w:t>
      </w:r>
      <w:r>
        <w:rPr>
          <w:rFonts w:hint="cs"/>
          <w:rtl/>
        </w:rPr>
        <w:t xml:space="preserve">על </w:t>
      </w:r>
      <w:r w:rsidRPr="00540280">
        <w:rPr>
          <w:rStyle w:val="af9"/>
          <w:rFonts w:hint="cs"/>
          <w:rtl/>
        </w:rPr>
        <w:t>ר"ת</w:t>
      </w:r>
      <w:r>
        <w:rPr>
          <w:rFonts w:hint="cs"/>
          <w:rtl/>
        </w:rPr>
        <w:t xml:space="preserve"> דאי הספק הוא במיעוט קמא הא איתא בתוספתא </w:t>
      </w:r>
      <w:r w:rsidRPr="00257A45">
        <w:rPr>
          <w:rStyle w:val="af7"/>
          <w:rFonts w:eastAsia="Guttman Hodes" w:hint="cs"/>
          <w:rtl/>
        </w:rPr>
        <w:t>(פ"ב סוה"ב)</w:t>
      </w:r>
      <w:r>
        <w:rPr>
          <w:rFonts w:hint="cs"/>
          <w:rtl/>
        </w:rPr>
        <w:t xml:space="preserve"> דהשוחט את מיעוט הושט ושהה שחיטתו פסולה, ומבואר דשהייה במיעוט קמא פוסלת, והגמ' לקמן </w:t>
      </w:r>
      <w:r w:rsidRPr="00257A45">
        <w:rPr>
          <w:rStyle w:val="af7"/>
          <w:rFonts w:eastAsia="Guttman Hodes" w:hint="cs"/>
          <w:rtl/>
        </w:rPr>
        <w:t>(לב.)</w:t>
      </w:r>
      <w:r>
        <w:rPr>
          <w:rFonts w:hint="cs"/>
          <w:rtl/>
        </w:rPr>
        <w:t xml:space="preserve"> הניחה את הספק בשהייה בתיקו, ואמאי לא פשטה מהתוספתא דשהייה במיעוט קמא פוסלת, ואי נימא דהגמ' לא ידעה מהתוספתא, אפש"ל כן אף לדעת </w:t>
      </w:r>
      <w:r w:rsidRPr="00540280">
        <w:rPr>
          <w:rStyle w:val="af9"/>
          <w:rFonts w:hint="cs"/>
          <w:rtl/>
        </w:rPr>
        <w:t>רש"י</w:t>
      </w:r>
      <w:r>
        <w:rPr>
          <w:rFonts w:hint="cs"/>
          <w:rtl/>
        </w:rPr>
        <w:t xml:space="preserve">, ועי' במ"ש </w:t>
      </w:r>
      <w:r w:rsidRPr="003F237F">
        <w:rPr>
          <w:rStyle w:val="af9"/>
          <w:rFonts w:hint="cs"/>
          <w:rtl/>
        </w:rPr>
        <w:t>הביה"ל</w:t>
      </w:r>
      <w:r>
        <w:rPr>
          <w:rFonts w:hint="cs"/>
          <w:rtl/>
        </w:rPr>
        <w:t xml:space="preserve"> </w:t>
      </w:r>
      <w:r w:rsidRPr="00257A45">
        <w:rPr>
          <w:rStyle w:val="af7"/>
          <w:rFonts w:eastAsia="Guttman Hodes" w:hint="cs"/>
          <w:rtl/>
        </w:rPr>
        <w:t>(ח"ב סי' כ"ד סק"ו)</w:t>
      </w:r>
      <w:r>
        <w:rPr>
          <w:rFonts w:hint="cs"/>
          <w:rtl/>
        </w:rPr>
        <w:t xml:space="preserve">, </w:t>
      </w:r>
      <w:r w:rsidRPr="00FE131E">
        <w:rPr>
          <w:rStyle w:val="afb"/>
          <w:rFonts w:hint="cs"/>
          <w:rtl/>
        </w:rPr>
        <w:t>[וע"ע בדברי</w:t>
      </w:r>
      <w:r>
        <w:rPr>
          <w:rFonts w:hint="cs"/>
          <w:rtl/>
        </w:rPr>
        <w:t xml:space="preserve"> </w:t>
      </w:r>
      <w:r w:rsidRPr="00FE131E">
        <w:rPr>
          <w:rStyle w:val="affa"/>
          <w:rFonts w:hint="cs"/>
          <w:rtl/>
        </w:rPr>
        <w:t>הקוב"ש</w:t>
      </w:r>
      <w:r>
        <w:rPr>
          <w:rFonts w:hint="cs"/>
          <w:rtl/>
        </w:rPr>
        <w:t xml:space="preserve"> </w:t>
      </w:r>
      <w:r w:rsidRPr="00FE131E">
        <w:rPr>
          <w:rStyle w:val="aff6"/>
          <w:rFonts w:hint="cs"/>
          <w:rtl/>
        </w:rPr>
        <w:t xml:space="preserve">(עי' אות </w:t>
      </w:r>
      <w:r w:rsidRPr="00FE131E">
        <w:rPr>
          <w:rStyle w:val="aff6"/>
          <w:rtl/>
        </w:rPr>
        <w:fldChar w:fldCharType="begin"/>
      </w:r>
      <w:r w:rsidRPr="00FE131E">
        <w:rPr>
          <w:rStyle w:val="aff6"/>
          <w:rtl/>
        </w:rPr>
        <w:instrText xml:space="preserve"> </w:instrText>
      </w:r>
      <w:r w:rsidRPr="00FE131E">
        <w:rPr>
          <w:rStyle w:val="aff6"/>
          <w:rFonts w:hint="cs"/>
        </w:rPr>
        <w:instrText>REF</w:instrText>
      </w:r>
      <w:r w:rsidRPr="00FE131E">
        <w:rPr>
          <w:rStyle w:val="aff6"/>
          <w:rFonts w:hint="cs"/>
          <w:rtl/>
        </w:rPr>
        <w:instrText xml:space="preserve"> _</w:instrText>
      </w:r>
      <w:r w:rsidRPr="00FE131E">
        <w:rPr>
          <w:rStyle w:val="aff6"/>
          <w:rFonts w:hint="cs"/>
        </w:rPr>
        <w:instrText>Ref533535472 \r \h</w:instrText>
      </w:r>
      <w:r w:rsidRPr="00FE131E">
        <w:rPr>
          <w:rStyle w:val="aff6"/>
          <w:rtl/>
        </w:rPr>
        <w:instrText xml:space="preserve"> </w:instrText>
      </w:r>
      <w:r w:rsidRPr="00FE131E">
        <w:rPr>
          <w:rStyle w:val="aff6"/>
          <w:rtl/>
        </w:rPr>
      </w:r>
      <w:r w:rsidRPr="00FE131E">
        <w:rPr>
          <w:rStyle w:val="aff6"/>
          <w:rtl/>
        </w:rPr>
        <w:fldChar w:fldCharType="separate"/>
      </w:r>
      <w:r w:rsidR="00345400">
        <w:rPr>
          <w:rStyle w:val="aff6"/>
          <w:cs/>
        </w:rPr>
        <w:t>‎</w:t>
      </w:r>
      <w:r w:rsidR="00345400">
        <w:rPr>
          <w:rStyle w:val="aff6"/>
          <w:rtl/>
        </w:rPr>
        <w:t>פט)</w:t>
      </w:r>
      <w:r w:rsidRPr="00FE131E">
        <w:rPr>
          <w:rStyle w:val="aff6"/>
          <w:rtl/>
        </w:rPr>
        <w:fldChar w:fldCharType="end"/>
      </w:r>
      <w:r w:rsidRPr="00FE131E">
        <w:rPr>
          <w:rStyle w:val="afb"/>
          <w:rFonts w:hint="cs"/>
          <w:rtl/>
        </w:rPr>
        <w:t>]</w:t>
      </w:r>
      <w:r>
        <w:rPr>
          <w:rFonts w:hint="cs"/>
          <w:rtl/>
        </w:rPr>
        <w:t>.</w:t>
      </w:r>
    </w:p>
    <w:p w14:paraId="3C57EE5D" w14:textId="77777777" w:rsidR="00436F39" w:rsidRDefault="00436F39" w:rsidP="006D6D32">
      <w:pPr>
        <w:pStyle w:val="a3"/>
        <w:rPr>
          <w:rtl/>
        </w:rPr>
      </w:pPr>
      <w:bookmarkStart w:id="14648" w:name="_Toc533544383"/>
      <w:bookmarkStart w:id="14649" w:name="_Toc533544580"/>
      <w:bookmarkStart w:id="14650" w:name="_Toc19390917"/>
      <w:bookmarkStart w:id="14651" w:name="_Toc19394414"/>
      <w:r>
        <w:rPr>
          <w:rFonts w:hint="cs"/>
          <w:rtl/>
        </w:rPr>
        <w:t>קושית הרמב"ן על ר"ת דא"א לומר דהספק הוא במיעוט קמא בושט דהא הוא מעשה טריפה</w:t>
      </w:r>
      <w:bookmarkEnd w:id="14648"/>
      <w:bookmarkEnd w:id="14649"/>
      <w:bookmarkEnd w:id="14650"/>
      <w:bookmarkEnd w:id="14651"/>
    </w:p>
    <w:p w14:paraId="146037C2" w14:textId="77777777" w:rsidR="00436F39" w:rsidRDefault="00436F39" w:rsidP="00223668">
      <w:pPr>
        <w:pStyle w:val="a0"/>
        <w:rPr>
          <w:rtl/>
        </w:rPr>
      </w:pPr>
      <w:r w:rsidRPr="00BF0DEF">
        <w:rPr>
          <w:rFonts w:hint="cs"/>
          <w:rtl/>
        </w:rPr>
        <w:t xml:space="preserve">ועוד הקשה </w:t>
      </w:r>
      <w:r w:rsidRPr="00BF0DEF">
        <w:rPr>
          <w:rStyle w:val="af9"/>
          <w:rFonts w:hint="cs"/>
          <w:rtl/>
        </w:rPr>
        <w:t>הרמב"ן לקמן</w:t>
      </w:r>
      <w:r w:rsidRPr="00BF0DEF">
        <w:rPr>
          <w:rFonts w:hint="cs"/>
          <w:rtl/>
        </w:rPr>
        <w:t xml:space="preserve"> </w:t>
      </w:r>
      <w:r w:rsidRPr="00257A45">
        <w:rPr>
          <w:rStyle w:val="af7"/>
          <w:rFonts w:eastAsia="Guttman Hodes" w:hint="cs"/>
          <w:rtl/>
        </w:rPr>
        <w:t>(ל: ד"ה ובא ר"ת)</w:t>
      </w:r>
      <w:r w:rsidRPr="00BF0DEF">
        <w:rPr>
          <w:rFonts w:hint="cs"/>
          <w:rtl/>
        </w:rPr>
        <w:t xml:space="preserve"> </w:t>
      </w:r>
      <w:r w:rsidRPr="00BF0DEF">
        <w:rPr>
          <w:rStyle w:val="af9"/>
          <w:rFonts w:hint="cs"/>
          <w:rtl/>
        </w:rPr>
        <w:t>ר"ת</w:t>
      </w:r>
      <w:r w:rsidRPr="00BF0DEF">
        <w:rPr>
          <w:rFonts w:hint="cs"/>
          <w:rtl/>
        </w:rPr>
        <w:t xml:space="preserve"> דא"א לומר דהספק הוא בשהה במיעוט קמא בושט, דכיון שנעשה בה מעשה שמטריף אותה </w:t>
      </w:r>
      <w:r w:rsidRPr="00FE131E">
        <w:rPr>
          <w:rStyle w:val="afb"/>
          <w:rFonts w:hint="cs"/>
          <w:rtl/>
        </w:rPr>
        <w:t>[דנקובת הושט]</w:t>
      </w:r>
      <w:r w:rsidRPr="00BF0DEF">
        <w:rPr>
          <w:rFonts w:hint="cs"/>
          <w:rtl/>
        </w:rPr>
        <w:t xml:space="preserve">, ודאי שיש בה פסול </w:t>
      </w:r>
      <w:r>
        <w:rPr>
          <w:rFonts w:hint="cs"/>
          <w:rtl/>
        </w:rPr>
        <w:t>שהייה</w:t>
      </w:r>
      <w:r w:rsidRPr="00BF0DEF">
        <w:rPr>
          <w:rFonts w:hint="cs"/>
          <w:rtl/>
        </w:rPr>
        <w:t xml:space="preserve"> חלדה והגרמה.</w:t>
      </w:r>
    </w:p>
    <w:p w14:paraId="4A47DC60" w14:textId="77777777" w:rsidR="00436F39" w:rsidRDefault="00436F39" w:rsidP="006D6D32">
      <w:pPr>
        <w:pStyle w:val="a3"/>
        <w:rPr>
          <w:rtl/>
        </w:rPr>
      </w:pPr>
      <w:bookmarkStart w:id="14652" w:name="_Toc533544384"/>
      <w:bookmarkStart w:id="14653" w:name="_Toc533544581"/>
      <w:bookmarkStart w:id="14654" w:name="_Toc19390918"/>
      <w:bookmarkStart w:id="14655" w:name="_Toc19394415"/>
      <w:r>
        <w:rPr>
          <w:rFonts w:hint="cs"/>
          <w:rtl/>
        </w:rPr>
        <w:t>ביאור רבינו ירוחם בר"ת דהספק שאפשר להפוך את הסימן ואין נ"מ מפסול שחיטה במיעוט קמא</w:t>
      </w:r>
      <w:bookmarkEnd w:id="14652"/>
      <w:bookmarkEnd w:id="14653"/>
      <w:bookmarkEnd w:id="14654"/>
      <w:bookmarkEnd w:id="14655"/>
    </w:p>
    <w:p w14:paraId="41DE32FB" w14:textId="77777777" w:rsidR="00436F39" w:rsidRDefault="00436F39" w:rsidP="00223668">
      <w:pPr>
        <w:pStyle w:val="a0"/>
        <w:rPr>
          <w:rtl/>
        </w:rPr>
      </w:pPr>
      <w:bookmarkStart w:id="14656" w:name="_Toc532453977"/>
      <w:bookmarkStart w:id="14657" w:name="_Toc532454011"/>
      <w:bookmarkStart w:id="14658" w:name="_Toc532550670"/>
      <w:bookmarkStart w:id="14659" w:name="_Toc532550736"/>
      <w:r w:rsidRPr="00282AF2">
        <w:rPr>
          <w:rStyle w:val="af9"/>
          <w:rFonts w:hint="cs"/>
          <w:rtl/>
        </w:rPr>
        <w:t>ורבינו ירוחם</w:t>
      </w:r>
      <w:r>
        <w:rPr>
          <w:rFonts w:hint="cs"/>
          <w:rtl/>
        </w:rPr>
        <w:t xml:space="preserve"> </w:t>
      </w:r>
      <w:r w:rsidRPr="00257A45">
        <w:rPr>
          <w:rStyle w:val="af7"/>
          <w:rFonts w:eastAsia="Guttman Hodes" w:hint="cs"/>
          <w:rtl/>
        </w:rPr>
        <w:t>(תולדות אדם וחוה נתי' ט"ו ח"ג דף ק"כ.</w:t>
      </w:r>
      <w:r>
        <w:rPr>
          <w:rStyle w:val="af1"/>
          <w:rtl/>
        </w:rPr>
        <w:footnoteReference w:id="94"/>
      </w:r>
      <w:r w:rsidRPr="00257A45">
        <w:rPr>
          <w:rStyle w:val="af7"/>
          <w:rFonts w:eastAsia="Guttman Hodes" w:hint="cs"/>
          <w:rtl/>
        </w:rPr>
        <w:t xml:space="preserve">) </w:t>
      </w:r>
      <w:r>
        <w:rPr>
          <w:rFonts w:hint="cs"/>
          <w:rtl/>
        </w:rPr>
        <w:t xml:space="preserve">ביאר את דברי </w:t>
      </w:r>
      <w:r w:rsidRPr="000260E1">
        <w:rPr>
          <w:rStyle w:val="af9"/>
          <w:rFonts w:hint="cs"/>
          <w:rtl/>
        </w:rPr>
        <w:t>ר"ת</w:t>
      </w:r>
      <w:r>
        <w:rPr>
          <w:rFonts w:hint="cs"/>
          <w:rtl/>
        </w:rPr>
        <w:t xml:space="preserve"> דהספק בשהייה ובחלדה במיעוט קמא, הוא דכיון שהשוחט אינו חייב לשחוט את המיעוט קמא, ואם היה הופך את הסימן ושוחט את הב' שלישים האחרים, שחיטתו כשרה, א"כ מה ששהה או החליד במיעוט קמא אינו נ"מ לשחיטה כלל, דהשחיטה כשרה בב' שלישים האחרים, או דכיון דהטריפה דנקובת הושט היא במשהו, לכן השהייה והחלדה במשהו בושט פוסלת כמו שהיא פוסלת ברוב הסימן, ומספק צריך להחמיר, ועי' במ"ש </w:t>
      </w:r>
      <w:r w:rsidRPr="003F237F">
        <w:rPr>
          <w:rStyle w:val="af9"/>
          <w:rFonts w:hint="cs"/>
          <w:rtl/>
        </w:rPr>
        <w:t>הביה"ל</w:t>
      </w:r>
      <w:r>
        <w:rPr>
          <w:rFonts w:hint="cs"/>
          <w:rtl/>
        </w:rPr>
        <w:t xml:space="preserve"> </w:t>
      </w:r>
      <w:r w:rsidRPr="00257A45">
        <w:rPr>
          <w:rStyle w:val="af7"/>
          <w:rFonts w:eastAsia="Guttman Hodes" w:hint="cs"/>
          <w:rtl/>
        </w:rPr>
        <w:t>(ח"ב סי' כ"ד סק"ח)</w:t>
      </w:r>
      <w:r>
        <w:rPr>
          <w:rFonts w:hint="cs"/>
          <w:rtl/>
        </w:rPr>
        <w:t>.</w:t>
      </w:r>
    </w:p>
    <w:p w14:paraId="04569470" w14:textId="77777777" w:rsidR="00436F39" w:rsidRDefault="00436F39" w:rsidP="00BF39B2">
      <w:pPr>
        <w:pStyle w:val="1"/>
        <w:rPr>
          <w:rtl/>
        </w:rPr>
      </w:pPr>
      <w:bookmarkStart w:id="14660" w:name="_Toc532810065"/>
      <w:bookmarkStart w:id="14661" w:name="_Toc533413318"/>
      <w:bookmarkStart w:id="14662" w:name="_Toc533441211"/>
      <w:bookmarkStart w:id="14663" w:name="_Toc533441257"/>
      <w:bookmarkStart w:id="14664" w:name="_Toc533490179"/>
      <w:bookmarkStart w:id="14665" w:name="_Toc533506157"/>
      <w:bookmarkStart w:id="14666" w:name="_Toc533544385"/>
      <w:bookmarkStart w:id="14667" w:name="_Toc533544582"/>
      <w:bookmarkStart w:id="14668" w:name="_Toc19390919"/>
      <w:bookmarkStart w:id="14669" w:name="_Toc19394416"/>
      <w:r>
        <w:rPr>
          <w:rFonts w:hint="cs"/>
          <w:rtl/>
        </w:rPr>
        <w:t>דברי הרשב"א בתשו'</w:t>
      </w:r>
      <w:bookmarkEnd w:id="14656"/>
      <w:bookmarkEnd w:id="14657"/>
      <w:bookmarkEnd w:id="14658"/>
      <w:bookmarkEnd w:id="14659"/>
      <w:bookmarkEnd w:id="14660"/>
      <w:bookmarkEnd w:id="14661"/>
      <w:bookmarkEnd w:id="14662"/>
      <w:bookmarkEnd w:id="14663"/>
      <w:bookmarkEnd w:id="14664"/>
      <w:bookmarkEnd w:id="14665"/>
      <w:r>
        <w:rPr>
          <w:rFonts w:hint="cs"/>
          <w:rtl/>
        </w:rPr>
        <w:t xml:space="preserve"> דאחר שחיטת הרוב הסימן כמנח בדיקולא</w:t>
      </w:r>
      <w:bookmarkEnd w:id="14666"/>
      <w:bookmarkEnd w:id="14667"/>
      <w:bookmarkEnd w:id="14668"/>
      <w:bookmarkEnd w:id="14669"/>
    </w:p>
    <w:p w14:paraId="08894A95" w14:textId="77777777" w:rsidR="00436F39" w:rsidRDefault="00436F39" w:rsidP="006D6D32">
      <w:pPr>
        <w:pStyle w:val="a3"/>
        <w:rPr>
          <w:rtl/>
        </w:rPr>
      </w:pPr>
      <w:bookmarkStart w:id="14670" w:name="_Toc533544386"/>
      <w:bookmarkStart w:id="14671" w:name="_Toc533544583"/>
      <w:bookmarkStart w:id="14672" w:name="_Toc19390920"/>
      <w:bookmarkStart w:id="14673" w:name="_Toc19394417"/>
      <w:r>
        <w:rPr>
          <w:rFonts w:hint="cs"/>
          <w:rtl/>
        </w:rPr>
        <w:t>דברי הרשב"א דלהלכה אחר שנשחט הרוב הסימן חשיב כמנח בדיקולא וא"א לפוסלו</w:t>
      </w:r>
      <w:bookmarkEnd w:id="14670"/>
      <w:bookmarkEnd w:id="14671"/>
      <w:bookmarkEnd w:id="14672"/>
      <w:bookmarkEnd w:id="14673"/>
    </w:p>
    <w:p w14:paraId="15FEEAF5" w14:textId="77777777" w:rsidR="00436F39" w:rsidRDefault="00436F39" w:rsidP="00223668">
      <w:pPr>
        <w:pStyle w:val="a0"/>
        <w:rPr>
          <w:rtl/>
        </w:rPr>
      </w:pPr>
      <w:bookmarkStart w:id="14674" w:name="_Ref533414643"/>
      <w:r>
        <w:rPr>
          <w:rFonts w:hint="cs"/>
          <w:rtl/>
        </w:rPr>
        <w:t xml:space="preserve">כתב </w:t>
      </w:r>
      <w:r w:rsidRPr="0036096E">
        <w:rPr>
          <w:rStyle w:val="af9"/>
          <w:rFonts w:hint="cs"/>
          <w:rtl/>
        </w:rPr>
        <w:t>הרשב"א בתשו'</w:t>
      </w:r>
      <w:r>
        <w:rPr>
          <w:rFonts w:hint="cs"/>
          <w:rtl/>
        </w:rPr>
        <w:t xml:space="preserve"> </w:t>
      </w:r>
      <w:r w:rsidRPr="00257A45">
        <w:rPr>
          <w:rStyle w:val="af7"/>
          <w:rFonts w:eastAsia="Guttman Hodes" w:hint="cs"/>
          <w:rtl/>
        </w:rPr>
        <w:t>(ח"א סי' שס"ז)</w:t>
      </w:r>
      <w:r>
        <w:rPr>
          <w:rFonts w:hint="cs"/>
          <w:rtl/>
        </w:rPr>
        <w:t xml:space="preserve"> בשם </w:t>
      </w:r>
      <w:r w:rsidRPr="0036096E">
        <w:rPr>
          <w:rStyle w:val="af9"/>
          <w:rFonts w:hint="cs"/>
          <w:rtl/>
        </w:rPr>
        <w:t>רבותיו</w:t>
      </w:r>
      <w:r>
        <w:rPr>
          <w:rFonts w:hint="cs"/>
          <w:rtl/>
        </w:rPr>
        <w:t xml:space="preserve"> דלהלכה כל ששחט את רוב הסימן, אינו נפסל ע"י המיעוט, והוא פשיטא לדעת ריש לקיש דס"ל דבשחט את הקנה ואח"כ ניקבה הריאה כשר, דהקנה הוא כמאן דמנח בדיקולא, ואף למ"ד דפליג על ר"ל וס"ל דאם נטרפה בין סימן לסימן היא טריפה, זהו דוקא בנטרפה במקום אחר, אבל הסימן עצמו ודאי כיון שרובו נשחט, אף מיעוטו חשיב כשחוט,</w:t>
      </w:r>
      <w:r w:rsidRPr="00BF4737">
        <w:rPr>
          <w:rFonts w:hint="cs"/>
          <w:rtl/>
        </w:rPr>
        <w:t xml:space="preserve"> </w:t>
      </w:r>
      <w:r>
        <w:rPr>
          <w:rFonts w:hint="cs"/>
          <w:rtl/>
        </w:rPr>
        <w:t xml:space="preserve">וכ"כ </w:t>
      </w:r>
      <w:r w:rsidRPr="00282AF2">
        <w:rPr>
          <w:rStyle w:val="af9"/>
          <w:rFonts w:hint="cs"/>
          <w:rtl/>
        </w:rPr>
        <w:t xml:space="preserve">רבינו ירוחם </w:t>
      </w:r>
      <w:r w:rsidRPr="00B128D1">
        <w:rPr>
          <w:rStyle w:val="af7"/>
          <w:rFonts w:eastAsia="Guttman Hodes" w:hint="cs"/>
          <w:rtl/>
        </w:rPr>
        <w:t>(נתי' ט"ו ח"ג דף קיט:</w:t>
      </w:r>
      <w:r>
        <w:rPr>
          <w:rStyle w:val="af1"/>
          <w:rtl/>
        </w:rPr>
        <w:footnoteReference w:id="95"/>
      </w:r>
      <w:r w:rsidRPr="00B128D1">
        <w:rPr>
          <w:rStyle w:val="af7"/>
          <w:rFonts w:eastAsia="Guttman Hodes" w:hint="cs"/>
          <w:rtl/>
        </w:rPr>
        <w:t>)</w:t>
      </w:r>
      <w:r>
        <w:rPr>
          <w:rFonts w:hint="cs"/>
          <w:rtl/>
        </w:rPr>
        <w:t xml:space="preserve"> </w:t>
      </w:r>
      <w:r>
        <w:rPr>
          <w:rStyle w:val="af9"/>
          <w:rFonts w:hint="cs"/>
          <w:rtl/>
        </w:rPr>
        <w:t>וה</w:t>
      </w:r>
      <w:r w:rsidRPr="00F23B5E">
        <w:rPr>
          <w:rStyle w:val="af9"/>
          <w:rFonts w:hint="cs"/>
          <w:rtl/>
        </w:rPr>
        <w:t>פסקי הרי"ד לקמן</w:t>
      </w:r>
      <w:r>
        <w:rPr>
          <w:rFonts w:hint="cs"/>
          <w:rtl/>
        </w:rPr>
        <w:t xml:space="preserve"> </w:t>
      </w:r>
      <w:r w:rsidRPr="00257A45">
        <w:rPr>
          <w:rStyle w:val="af7"/>
          <w:rFonts w:eastAsia="Guttman Hodes" w:hint="cs"/>
          <w:rtl/>
        </w:rPr>
        <w:t>(ל: ד"ה הלכך)</w:t>
      </w:r>
      <w:r w:rsidRPr="00B63088">
        <w:rPr>
          <w:rStyle w:val="af9"/>
          <w:rFonts w:hint="cs"/>
          <w:rtl/>
        </w:rPr>
        <w:t xml:space="preserve"> </w:t>
      </w:r>
      <w:r>
        <w:rPr>
          <w:rStyle w:val="af9"/>
          <w:rFonts w:hint="cs"/>
          <w:rtl/>
        </w:rPr>
        <w:t>ו</w:t>
      </w:r>
      <w:r w:rsidRPr="009F7A01">
        <w:rPr>
          <w:rStyle w:val="af9"/>
          <w:rFonts w:hint="cs"/>
          <w:rtl/>
        </w:rPr>
        <w:t>הכל בו</w:t>
      </w:r>
      <w:r>
        <w:rPr>
          <w:rFonts w:hint="cs"/>
          <w:rtl/>
        </w:rPr>
        <w:t xml:space="preserve"> </w:t>
      </w:r>
      <w:r w:rsidRPr="00257A45">
        <w:rPr>
          <w:rStyle w:val="af7"/>
          <w:rFonts w:eastAsia="Guttman Hodes" w:hint="cs"/>
          <w:rtl/>
        </w:rPr>
        <w:t>(סי' ק"ז פ"ג ד"ה שחט)</w:t>
      </w:r>
      <w:r>
        <w:rPr>
          <w:rFonts w:hint="cs"/>
          <w:rtl/>
        </w:rPr>
        <w:t>.</w:t>
      </w:r>
      <w:bookmarkEnd w:id="14674"/>
    </w:p>
    <w:p w14:paraId="6F886EA6" w14:textId="77777777" w:rsidR="00436F39" w:rsidRPr="00481184" w:rsidRDefault="00436F39" w:rsidP="006D6D32">
      <w:pPr>
        <w:pStyle w:val="a3"/>
        <w:rPr>
          <w:rtl/>
        </w:rPr>
      </w:pPr>
      <w:bookmarkStart w:id="14675" w:name="_Toc533544387"/>
      <w:bookmarkStart w:id="14676" w:name="_Toc533544584"/>
      <w:bookmarkStart w:id="14677" w:name="_Toc19390921"/>
      <w:bookmarkStart w:id="14678" w:name="_Toc19394418"/>
      <w:r>
        <w:rPr>
          <w:rFonts w:hint="cs"/>
          <w:rtl/>
        </w:rPr>
        <w:t>דברי הרשב"א דמוכח בסוגיין דבשחט את רוב הסימן חשיב המיעוט בתרא כשחוט</w:t>
      </w:r>
      <w:bookmarkEnd w:id="14675"/>
      <w:bookmarkEnd w:id="14676"/>
      <w:bookmarkEnd w:id="14677"/>
      <w:bookmarkEnd w:id="14678"/>
    </w:p>
    <w:p w14:paraId="6009D89A" w14:textId="77777777" w:rsidR="00436F39" w:rsidRDefault="00436F39" w:rsidP="00223668">
      <w:pPr>
        <w:pStyle w:val="a0"/>
        <w:rPr>
          <w:rtl/>
        </w:rPr>
      </w:pPr>
      <w:r>
        <w:rPr>
          <w:rFonts w:hint="cs"/>
          <w:rtl/>
        </w:rPr>
        <w:t xml:space="preserve">והביא </w:t>
      </w:r>
      <w:r w:rsidRPr="0036096E">
        <w:rPr>
          <w:rStyle w:val="af9"/>
          <w:rFonts w:hint="cs"/>
          <w:rtl/>
        </w:rPr>
        <w:t>הרשב"א בתשו'</w:t>
      </w:r>
      <w:r>
        <w:rPr>
          <w:rFonts w:hint="cs"/>
          <w:rtl/>
        </w:rPr>
        <w:t xml:space="preserve"> ראיה דקיי"ל בסוגיין דשחט ב' שלישים והגרים שליש כשר, ואי המיעוט אינו כשחוט אמאי הגרמת השליש האחרון אינה פוסלת, הרי הוא מתעסק בשחיטה, וכתב </w:t>
      </w:r>
      <w:r w:rsidRPr="00516B33">
        <w:rPr>
          <w:rStyle w:val="af9"/>
          <w:rFonts w:hint="cs"/>
          <w:rtl/>
        </w:rPr>
        <w:t>הרשב"א בתשו'</w:t>
      </w:r>
      <w:r>
        <w:rPr>
          <w:rFonts w:hint="cs"/>
          <w:rtl/>
        </w:rPr>
        <w:t xml:space="preserve"> דלא דמי לחצי קנה פגום, דהוא במקום שחיטה, וכן כיון שנפגם במקום שאינו מעכב בשחיטה והפגם לא היה בשעת השחיטה, לכן אינו פוסל, אבל בשחט ב' שלישים והגרים שליש, דכיון שרוב הסימן נשחט, א"כ אף המיעוט עומד לשחיטה, ואף המיעוט בתרא צריך לפסול, אלא מוכח דאחר שנשחט הרוב, חשיב המיעוט כשחוט.</w:t>
      </w:r>
    </w:p>
    <w:p w14:paraId="74C78759" w14:textId="77777777" w:rsidR="00436F39" w:rsidRDefault="00436F39" w:rsidP="006D6D32">
      <w:pPr>
        <w:pStyle w:val="afe"/>
        <w:rPr>
          <w:rtl/>
        </w:rPr>
      </w:pPr>
      <w:bookmarkStart w:id="14679" w:name="_Toc533441212"/>
      <w:bookmarkStart w:id="14680" w:name="_Toc533441258"/>
      <w:bookmarkStart w:id="14681" w:name="_Toc533490180"/>
      <w:bookmarkStart w:id="14682" w:name="_Toc533506158"/>
      <w:bookmarkStart w:id="14683" w:name="_Toc533544388"/>
      <w:bookmarkStart w:id="14684" w:name="_Toc533544585"/>
      <w:bookmarkStart w:id="14685" w:name="_Toc19435927"/>
      <w:bookmarkStart w:id="14686" w:name="_Toc20081154"/>
      <w:bookmarkStart w:id="14687" w:name="_Toc533413319"/>
      <w:r>
        <w:rPr>
          <w:rFonts w:hint="cs"/>
          <w:rtl/>
        </w:rPr>
        <w:t>בגדר היתר השחיטה לפני המיעו"ב</w:t>
      </w:r>
      <w:bookmarkEnd w:id="14679"/>
      <w:bookmarkEnd w:id="14680"/>
      <w:bookmarkEnd w:id="14681"/>
      <w:bookmarkEnd w:id="14682"/>
      <w:bookmarkEnd w:id="14683"/>
      <w:bookmarkEnd w:id="14684"/>
      <w:bookmarkEnd w:id="14685"/>
      <w:bookmarkEnd w:id="14686"/>
    </w:p>
    <w:p w14:paraId="25A067C1" w14:textId="77777777" w:rsidR="00436F39" w:rsidRPr="005B7876" w:rsidRDefault="00436F39" w:rsidP="00BF39B2">
      <w:pPr>
        <w:pStyle w:val="1"/>
        <w:rPr>
          <w:rtl/>
        </w:rPr>
      </w:pPr>
      <w:bookmarkStart w:id="14688" w:name="_Toc533441213"/>
      <w:bookmarkStart w:id="14689" w:name="_Toc533441259"/>
      <w:bookmarkStart w:id="14690" w:name="_Toc533490181"/>
      <w:bookmarkStart w:id="14691" w:name="_Toc533506159"/>
      <w:bookmarkStart w:id="14692" w:name="_Toc533544389"/>
      <w:bookmarkStart w:id="14693" w:name="_Toc533544586"/>
      <w:bookmarkStart w:id="14694" w:name="_Toc19390922"/>
      <w:bookmarkStart w:id="14695" w:name="_Toc19394419"/>
      <w:r>
        <w:rPr>
          <w:rFonts w:hint="cs"/>
          <w:rtl/>
        </w:rPr>
        <w:t>חקירת הש"ש אם הבהמה בחזקת איסור במיעוט בתרא</w:t>
      </w:r>
      <w:bookmarkEnd w:id="14687"/>
      <w:bookmarkEnd w:id="14688"/>
      <w:bookmarkEnd w:id="14689"/>
      <w:bookmarkEnd w:id="14690"/>
      <w:bookmarkEnd w:id="14691"/>
      <w:bookmarkEnd w:id="14692"/>
      <w:bookmarkEnd w:id="14693"/>
      <w:bookmarkEnd w:id="14694"/>
      <w:bookmarkEnd w:id="14695"/>
    </w:p>
    <w:p w14:paraId="15B92BDC" w14:textId="77777777" w:rsidR="00436F39" w:rsidRDefault="00436F39" w:rsidP="006D6D32">
      <w:pPr>
        <w:pStyle w:val="a3"/>
        <w:rPr>
          <w:rtl/>
        </w:rPr>
      </w:pPr>
      <w:bookmarkStart w:id="14696" w:name="_Toc533544390"/>
      <w:bookmarkStart w:id="14697" w:name="_Toc533544587"/>
      <w:bookmarkStart w:id="14698" w:name="_Toc19390923"/>
      <w:bookmarkStart w:id="14699" w:name="_Toc19394420"/>
      <w:r>
        <w:rPr>
          <w:rFonts w:hint="cs"/>
          <w:rtl/>
        </w:rPr>
        <w:t>ספק הש"ש אי בספק פסול במיעו"ב התברר למפרע דלא יצאה הבהמה מחזקת איסור</w:t>
      </w:r>
      <w:bookmarkEnd w:id="14696"/>
      <w:bookmarkEnd w:id="14697"/>
      <w:bookmarkEnd w:id="14698"/>
      <w:bookmarkEnd w:id="14699"/>
    </w:p>
    <w:p w14:paraId="7BD45B1A" w14:textId="77777777" w:rsidR="00436F39" w:rsidRDefault="00436F39" w:rsidP="00223668">
      <w:pPr>
        <w:pStyle w:val="a0"/>
        <w:rPr>
          <w:rtl/>
        </w:rPr>
      </w:pPr>
      <w:bookmarkStart w:id="14700" w:name="_Ref533499237"/>
      <w:r>
        <w:rPr>
          <w:rFonts w:hint="cs"/>
          <w:rtl/>
        </w:rPr>
        <w:t xml:space="preserve">חקר </w:t>
      </w:r>
      <w:r w:rsidRPr="000C0FE5">
        <w:rPr>
          <w:rStyle w:val="af9"/>
          <w:rFonts w:hint="cs"/>
          <w:rtl/>
        </w:rPr>
        <w:t>הש"ש</w:t>
      </w:r>
      <w:r>
        <w:rPr>
          <w:rFonts w:hint="cs"/>
          <w:rtl/>
        </w:rPr>
        <w:t xml:space="preserve"> </w:t>
      </w:r>
      <w:r w:rsidRPr="000C0FE5">
        <w:rPr>
          <w:rStyle w:val="af7"/>
          <w:rFonts w:eastAsia="Guttman Hodes" w:hint="cs"/>
          <w:rtl/>
        </w:rPr>
        <w:t>(ש"א פכ"ב ד"ה ונסתפקתי)</w:t>
      </w:r>
      <w:r>
        <w:rPr>
          <w:rFonts w:hint="cs"/>
          <w:rtl/>
        </w:rPr>
        <w:t xml:space="preserve"> בספק פסול שחיטה במיעוט בתרא, אי כיון שהוא ספק בשחיטה א"כ יש לבהמה חזקת איסור דבהמה בחייה בחזקת איסור עומדת, ואף שנשחטו רוב הסימנים, מ"מ לאחר שהייה ספק פסול במיעוט בתרא, התברר למפרע שעדיין הבהמה לא יצאה מהחזקת איסור, וחשיב שלא נשחטה, </w:t>
      </w:r>
      <w:r w:rsidRPr="000C0FE5">
        <w:rPr>
          <w:rStyle w:val="afb"/>
          <w:rFonts w:hint="cs"/>
          <w:rtl/>
        </w:rPr>
        <w:t>[ולדעת הפוסקים דכשיש חזקת איסור ס"ס לא מהני להתיר, א"כ אף במקום שיש ס"ס להתיר השחיטה פסולה]</w:t>
      </w:r>
      <w:r>
        <w:rPr>
          <w:rFonts w:hint="cs"/>
          <w:rtl/>
        </w:rPr>
        <w:t>.</w:t>
      </w:r>
      <w:bookmarkEnd w:id="14700"/>
    </w:p>
    <w:p w14:paraId="1CB7FFE4" w14:textId="77777777" w:rsidR="00436F39" w:rsidRPr="00A01B49" w:rsidRDefault="00436F39" w:rsidP="006D6D32">
      <w:pPr>
        <w:pStyle w:val="a3"/>
        <w:rPr>
          <w:rtl/>
        </w:rPr>
      </w:pPr>
      <w:bookmarkStart w:id="14701" w:name="_Toc533544391"/>
      <w:bookmarkStart w:id="14702" w:name="_Toc533544588"/>
      <w:bookmarkStart w:id="14703" w:name="_Toc19390924"/>
      <w:bookmarkStart w:id="14704" w:name="_Toc19394421"/>
      <w:r>
        <w:rPr>
          <w:rFonts w:hint="cs"/>
          <w:rtl/>
        </w:rPr>
        <w:t>הצד הב' בש"ש דאחר שנשחטו רוב הסימנים יצאה הבהמה מחזקת איסור</w:t>
      </w:r>
      <w:bookmarkEnd w:id="14701"/>
      <w:bookmarkEnd w:id="14702"/>
      <w:bookmarkEnd w:id="14703"/>
      <w:bookmarkEnd w:id="14704"/>
    </w:p>
    <w:p w14:paraId="59E082A7" w14:textId="77777777" w:rsidR="00436F39" w:rsidRDefault="00436F39" w:rsidP="00223668">
      <w:pPr>
        <w:pStyle w:val="a0"/>
        <w:rPr>
          <w:rtl/>
        </w:rPr>
      </w:pPr>
      <w:r>
        <w:rPr>
          <w:rFonts w:hint="cs"/>
          <w:rtl/>
        </w:rPr>
        <w:t xml:space="preserve">והצד השני כתב </w:t>
      </w:r>
      <w:r w:rsidRPr="000C0FE5">
        <w:rPr>
          <w:rStyle w:val="af9"/>
          <w:rFonts w:hint="cs"/>
          <w:rtl/>
        </w:rPr>
        <w:t>הש"ש</w:t>
      </w:r>
      <w:r>
        <w:rPr>
          <w:rFonts w:hint="cs"/>
          <w:rtl/>
        </w:rPr>
        <w:t xml:space="preserve"> דאחר שנשחטו רוב הסימנים והותרה הבהמה, היא יצאה מהחזקת איסור, וא"כ כשיש ספק במיעוט בתרא, א"א להעמידה בחזקת איסור, </w:t>
      </w:r>
      <w:r w:rsidRPr="000C0FE5">
        <w:rPr>
          <w:rStyle w:val="afb"/>
          <w:rFonts w:hint="cs"/>
          <w:rtl/>
        </w:rPr>
        <w:t>[וכשיש ס"ס אפשר להתירה]</w:t>
      </w:r>
      <w:r>
        <w:rPr>
          <w:rFonts w:hint="cs"/>
          <w:rtl/>
        </w:rPr>
        <w:t xml:space="preserve">, וע"ע בדברי </w:t>
      </w:r>
      <w:r w:rsidRPr="00B23137">
        <w:rPr>
          <w:rStyle w:val="af9"/>
          <w:rFonts w:hint="cs"/>
          <w:rtl/>
        </w:rPr>
        <w:t>הזכר יצחק</w:t>
      </w:r>
      <w:r>
        <w:rPr>
          <w:rFonts w:hint="cs"/>
          <w:rtl/>
        </w:rPr>
        <w:t xml:space="preserve"> </w:t>
      </w:r>
      <w:r w:rsidRPr="00B23137">
        <w:rPr>
          <w:rStyle w:val="af7"/>
          <w:rFonts w:eastAsia="Guttman Hodes" w:hint="cs"/>
          <w:rtl/>
        </w:rPr>
        <w:t>(ח"א סו"ס מ' ד"ה ומה שנסתפק)</w:t>
      </w:r>
      <w:r>
        <w:rPr>
          <w:rFonts w:hint="cs"/>
          <w:rtl/>
        </w:rPr>
        <w:t>.</w:t>
      </w:r>
    </w:p>
    <w:p w14:paraId="15011CAF" w14:textId="77777777" w:rsidR="00436F39" w:rsidRDefault="00436F39" w:rsidP="006D6D32">
      <w:pPr>
        <w:pStyle w:val="a3"/>
        <w:rPr>
          <w:rtl/>
        </w:rPr>
      </w:pPr>
      <w:bookmarkStart w:id="14705" w:name="_Toc533544392"/>
      <w:bookmarkStart w:id="14706" w:name="_Toc533544589"/>
      <w:bookmarkStart w:id="14707" w:name="_Toc19390925"/>
      <w:bookmarkStart w:id="14708" w:name="_Toc19394422"/>
      <w:r>
        <w:rPr>
          <w:rFonts w:hint="cs"/>
          <w:rtl/>
        </w:rPr>
        <w:t>דברי הש"ש דאחר שנשחטו רוב הסימנים הבהמה ויש ספק פסול מביעו"ב יש לה חזקת היתר</w:t>
      </w:r>
      <w:bookmarkEnd w:id="14705"/>
      <w:bookmarkEnd w:id="14706"/>
      <w:bookmarkEnd w:id="14707"/>
      <w:bookmarkEnd w:id="14708"/>
      <w:r>
        <w:rPr>
          <w:rFonts w:hint="cs"/>
          <w:rtl/>
        </w:rPr>
        <w:t xml:space="preserve"> </w:t>
      </w:r>
    </w:p>
    <w:p w14:paraId="66B61B25" w14:textId="77777777" w:rsidR="00436F39" w:rsidRDefault="00436F39" w:rsidP="00223668">
      <w:pPr>
        <w:pStyle w:val="a0"/>
        <w:rPr>
          <w:rtl/>
        </w:rPr>
      </w:pPr>
      <w:r>
        <w:rPr>
          <w:rFonts w:hint="cs"/>
          <w:rtl/>
        </w:rPr>
        <w:t xml:space="preserve">וכתב </w:t>
      </w:r>
      <w:r w:rsidRPr="000C0FE5">
        <w:rPr>
          <w:rStyle w:val="af9"/>
          <w:rFonts w:hint="cs"/>
          <w:rtl/>
        </w:rPr>
        <w:t>הש"ש</w:t>
      </w:r>
      <w:r>
        <w:rPr>
          <w:rFonts w:hint="cs"/>
          <w:rtl/>
        </w:rPr>
        <w:t xml:space="preserve"> דכיון שהותרה הבהמה בשחיטת רוב הסימנים, יש לה חזקת היתר, ולכן אף אם נולד ספק פסול שחיטה במיעוט בתרא, ואי נשחט המיעוט בתרא בפסול חשיב שלא נשחטה כלל, מ"מ כיון שלפני המיעוט בתרא הותרה הבהמה בשחיטת הרוב מעמידים אותה בחזקת היתר, שעמדה בה לפני לידת הספק, כיון שאם לא היה ממשיך לשחוט אחר שחיטת הרוב, היתה השחיטה כשרה, ועיי"ש במה שהביא </w:t>
      </w:r>
      <w:r w:rsidRPr="000C0FE5">
        <w:rPr>
          <w:rStyle w:val="af9"/>
          <w:rFonts w:hint="cs"/>
          <w:rtl/>
        </w:rPr>
        <w:t>הש"ש</w:t>
      </w:r>
      <w:r>
        <w:rPr>
          <w:rFonts w:hint="cs"/>
          <w:rtl/>
        </w:rPr>
        <w:t xml:space="preserve"> ראיה לזה מהגמ' ביבמות </w:t>
      </w:r>
      <w:r w:rsidRPr="000C0FE5">
        <w:rPr>
          <w:rStyle w:val="af7"/>
          <w:rFonts w:eastAsia="Guttman Hodes" w:hint="cs"/>
          <w:rtl/>
        </w:rPr>
        <w:t>(פח.)</w:t>
      </w:r>
      <w:r>
        <w:rPr>
          <w:rFonts w:hint="cs"/>
          <w:rtl/>
        </w:rPr>
        <w:t xml:space="preserve">, וכ"כ </w:t>
      </w:r>
      <w:r w:rsidRPr="006D7A9C">
        <w:rPr>
          <w:rStyle w:val="af9"/>
          <w:rFonts w:hint="cs"/>
          <w:rtl/>
        </w:rPr>
        <w:t>התפארת יעקב</w:t>
      </w:r>
      <w:r>
        <w:rPr>
          <w:rFonts w:hint="cs"/>
          <w:rtl/>
        </w:rPr>
        <w:t xml:space="preserve"> </w:t>
      </w:r>
      <w:r w:rsidRPr="006D7A9C">
        <w:rPr>
          <w:rStyle w:val="af7"/>
          <w:rFonts w:eastAsia="Guttman Hodes" w:hint="cs"/>
          <w:rtl/>
        </w:rPr>
        <w:t xml:space="preserve">(עי' אות </w:t>
      </w:r>
      <w:r w:rsidRPr="006D7A9C">
        <w:rPr>
          <w:rStyle w:val="af7"/>
          <w:rFonts w:eastAsia="Guttman Hodes"/>
          <w:rtl/>
        </w:rPr>
        <w:fldChar w:fldCharType="begin"/>
      </w:r>
      <w:r w:rsidRPr="006D7A9C">
        <w:rPr>
          <w:rStyle w:val="af7"/>
          <w:rFonts w:eastAsia="Guttman Hodes"/>
          <w:rtl/>
        </w:rPr>
        <w:instrText xml:space="preserve"> </w:instrText>
      </w:r>
      <w:r w:rsidRPr="006D7A9C">
        <w:rPr>
          <w:rStyle w:val="af7"/>
          <w:rFonts w:eastAsia="Guttman Hodes" w:hint="cs"/>
        </w:rPr>
        <w:instrText>REF</w:instrText>
      </w:r>
      <w:r w:rsidRPr="006D7A9C">
        <w:rPr>
          <w:rStyle w:val="af7"/>
          <w:rFonts w:eastAsia="Guttman Hodes" w:hint="cs"/>
          <w:rtl/>
        </w:rPr>
        <w:instrText xml:space="preserve"> _</w:instrText>
      </w:r>
      <w:r w:rsidRPr="006D7A9C">
        <w:rPr>
          <w:rStyle w:val="af7"/>
          <w:rFonts w:eastAsia="Guttman Hodes" w:hint="cs"/>
        </w:rPr>
        <w:instrText>Ref533500321 \r \h</w:instrText>
      </w:r>
      <w:r w:rsidRPr="006D7A9C">
        <w:rPr>
          <w:rStyle w:val="af7"/>
          <w:rFonts w:eastAsia="Guttman Hodes"/>
          <w:rtl/>
        </w:rPr>
        <w:instrText xml:space="preserve"> </w:instrText>
      </w:r>
      <w:r w:rsidRPr="006D7A9C">
        <w:rPr>
          <w:rStyle w:val="af7"/>
          <w:rFonts w:eastAsia="Guttman Hodes"/>
          <w:rtl/>
        </w:rPr>
      </w:r>
      <w:r w:rsidRPr="006D7A9C">
        <w:rPr>
          <w:rStyle w:val="af7"/>
          <w:rFonts w:eastAsia="Guttman Hodes"/>
          <w:rtl/>
        </w:rPr>
        <w:fldChar w:fldCharType="separate"/>
      </w:r>
      <w:r w:rsidR="00345400">
        <w:rPr>
          <w:rStyle w:val="af7"/>
          <w:rFonts w:eastAsia="Guttman Hodes"/>
          <w:cs/>
        </w:rPr>
        <w:t>‎</w:t>
      </w:r>
      <w:r w:rsidR="00345400">
        <w:rPr>
          <w:rStyle w:val="af7"/>
          <w:rFonts w:eastAsia="Guttman Hodes"/>
          <w:rtl/>
        </w:rPr>
        <w:t>ל)</w:t>
      </w:r>
      <w:r w:rsidRPr="006D7A9C">
        <w:rPr>
          <w:rStyle w:val="af7"/>
          <w:rFonts w:eastAsia="Guttman Hodes"/>
          <w:rtl/>
        </w:rPr>
        <w:fldChar w:fldCharType="end"/>
      </w:r>
      <w:r>
        <w:rPr>
          <w:rFonts w:hint="cs"/>
          <w:rtl/>
        </w:rPr>
        <w:t xml:space="preserve"> דבספק במיעוט בתרא לא איתחזק איסורא.</w:t>
      </w:r>
    </w:p>
    <w:p w14:paraId="733C55C5" w14:textId="77777777" w:rsidR="00436F39" w:rsidRDefault="00436F39" w:rsidP="006D6D32">
      <w:pPr>
        <w:pStyle w:val="a3"/>
        <w:rPr>
          <w:rtl/>
        </w:rPr>
      </w:pPr>
      <w:bookmarkStart w:id="14709" w:name="_Toc533544393"/>
      <w:bookmarkStart w:id="14710" w:name="_Toc533544590"/>
      <w:bookmarkStart w:id="14711" w:name="_Toc19390926"/>
      <w:bookmarkStart w:id="14712" w:name="_Toc19394423"/>
      <w:r>
        <w:rPr>
          <w:rFonts w:hint="cs"/>
          <w:rtl/>
        </w:rPr>
        <w:t>דברי הביה"ל דהצד שיש חזקת איסור בספק פסול במיעו"ב הוא להסוברים דהפסול הוא מדאו'</w:t>
      </w:r>
      <w:bookmarkEnd w:id="14709"/>
      <w:bookmarkEnd w:id="14710"/>
      <w:bookmarkEnd w:id="14711"/>
      <w:bookmarkEnd w:id="14712"/>
    </w:p>
    <w:p w14:paraId="6CB36604" w14:textId="77777777" w:rsidR="00436F39" w:rsidRDefault="00436F39" w:rsidP="00223668">
      <w:pPr>
        <w:pStyle w:val="a0"/>
        <w:rPr>
          <w:rtl/>
        </w:rPr>
      </w:pPr>
      <w:r>
        <w:rPr>
          <w:rFonts w:hint="cs"/>
          <w:rtl/>
        </w:rPr>
        <w:t xml:space="preserve">וכתב </w:t>
      </w:r>
      <w:r w:rsidRPr="00683DC8">
        <w:rPr>
          <w:rStyle w:val="af9"/>
          <w:rFonts w:hint="cs"/>
          <w:rtl/>
        </w:rPr>
        <w:t>הביה"ל</w:t>
      </w:r>
      <w:r>
        <w:rPr>
          <w:rFonts w:hint="cs"/>
          <w:rtl/>
        </w:rPr>
        <w:t xml:space="preserve"> </w:t>
      </w:r>
      <w:r w:rsidRPr="00206CF0">
        <w:rPr>
          <w:rStyle w:val="af7"/>
          <w:rFonts w:eastAsia="Guttman Hodes" w:hint="cs"/>
          <w:rtl/>
        </w:rPr>
        <w:t>(ח"ב סי' י"א אות י')</w:t>
      </w:r>
      <w:r>
        <w:rPr>
          <w:rFonts w:hint="cs"/>
          <w:rtl/>
        </w:rPr>
        <w:t xml:space="preserve"> דהנדון אם יש חזקת איסור אחר שחיטת רוב הסימן, הוא לביאור </w:t>
      </w:r>
      <w:r w:rsidRPr="00683DC8">
        <w:rPr>
          <w:rStyle w:val="af9"/>
          <w:rFonts w:hint="cs"/>
          <w:rtl/>
        </w:rPr>
        <w:t>רבינו ירוחם</w:t>
      </w:r>
      <w:r w:rsidRPr="00206CF0">
        <w:rPr>
          <w:rStyle w:val="af7"/>
          <w:rFonts w:eastAsia="Guttman Hodes" w:hint="cs"/>
          <w:rtl/>
        </w:rPr>
        <w:t xml:space="preserve"> (עי' אות </w:t>
      </w:r>
      <w:r w:rsidRPr="00206CF0">
        <w:rPr>
          <w:rStyle w:val="af7"/>
          <w:rFonts w:eastAsia="Guttman Hodes"/>
          <w:rtl/>
        </w:rPr>
        <w:fldChar w:fldCharType="begin"/>
      </w:r>
      <w:r w:rsidRPr="00206CF0">
        <w:rPr>
          <w:rStyle w:val="af7"/>
          <w:rFonts w:eastAsia="Guttman Hodes"/>
          <w:rtl/>
        </w:rPr>
        <w:instrText xml:space="preserve"> </w:instrText>
      </w:r>
      <w:r w:rsidRPr="00206CF0">
        <w:rPr>
          <w:rStyle w:val="af7"/>
          <w:rFonts w:eastAsia="Guttman Hodes" w:hint="cs"/>
        </w:rPr>
        <w:instrText>REF</w:instrText>
      </w:r>
      <w:r w:rsidRPr="00206CF0">
        <w:rPr>
          <w:rStyle w:val="af7"/>
          <w:rFonts w:eastAsia="Guttman Hodes" w:hint="cs"/>
          <w:rtl/>
        </w:rPr>
        <w:instrText xml:space="preserve"> _</w:instrText>
      </w:r>
      <w:r w:rsidRPr="00206CF0">
        <w:rPr>
          <w:rStyle w:val="af7"/>
          <w:rFonts w:eastAsia="Guttman Hodes" w:hint="cs"/>
        </w:rPr>
        <w:instrText>Ref533350115 \r \h</w:instrText>
      </w:r>
      <w:r w:rsidRPr="00206CF0">
        <w:rPr>
          <w:rStyle w:val="af7"/>
          <w:rFonts w:eastAsia="Guttman Hodes"/>
          <w:rtl/>
        </w:rPr>
        <w:instrText xml:space="preserve"> </w:instrText>
      </w:r>
      <w:r w:rsidRPr="00206CF0">
        <w:rPr>
          <w:rStyle w:val="af7"/>
          <w:rFonts w:eastAsia="Guttman Hodes"/>
          <w:rtl/>
        </w:rPr>
      </w:r>
      <w:r w:rsidRPr="00206CF0">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206CF0">
        <w:rPr>
          <w:rStyle w:val="af7"/>
          <w:rFonts w:eastAsia="Guttman Hodes"/>
          <w:rtl/>
        </w:rPr>
        <w:fldChar w:fldCharType="end"/>
      </w:r>
      <w:r>
        <w:rPr>
          <w:rFonts w:hint="cs"/>
          <w:rtl/>
        </w:rPr>
        <w:t xml:space="preserve"> דביאר בדעת </w:t>
      </w:r>
      <w:r w:rsidRPr="00683DC8">
        <w:rPr>
          <w:rStyle w:val="af9"/>
          <w:rFonts w:hint="cs"/>
          <w:rtl/>
        </w:rPr>
        <w:t>רש"י</w:t>
      </w:r>
      <w:r>
        <w:rPr>
          <w:rFonts w:hint="cs"/>
          <w:rtl/>
        </w:rPr>
        <w:t xml:space="preserve"> דהספק בשהייה במיעוט בתרא הוא מדאו'</w:t>
      </w:r>
      <w:r w:rsidRPr="008B6B80">
        <w:rPr>
          <w:rFonts w:hint="cs"/>
          <w:rtl/>
        </w:rPr>
        <w:t>, ומ</w:t>
      </w:r>
      <w:r>
        <w:rPr>
          <w:rFonts w:hint="cs"/>
          <w:rtl/>
        </w:rPr>
        <w:t>בואר</w:t>
      </w:r>
      <w:r w:rsidRPr="008B6B80">
        <w:rPr>
          <w:rFonts w:hint="cs"/>
          <w:rtl/>
        </w:rPr>
        <w:t xml:space="preserve"> מדברי</w:t>
      </w:r>
      <w:r>
        <w:rPr>
          <w:rFonts w:hint="cs"/>
          <w:rtl/>
        </w:rPr>
        <w:t xml:space="preserve"> </w:t>
      </w:r>
      <w:r w:rsidRPr="00683DC8">
        <w:rPr>
          <w:rStyle w:val="af9"/>
          <w:rFonts w:hint="cs"/>
          <w:rtl/>
        </w:rPr>
        <w:t>הביה"ל</w:t>
      </w:r>
      <w:r w:rsidRPr="008B6B80">
        <w:rPr>
          <w:rFonts w:hint="cs"/>
          <w:rtl/>
        </w:rPr>
        <w:t xml:space="preserve"> דלדעת </w:t>
      </w:r>
      <w:r w:rsidRPr="00683DC8">
        <w:rPr>
          <w:rStyle w:val="af9"/>
          <w:rFonts w:hint="cs"/>
          <w:rtl/>
        </w:rPr>
        <w:t>הרשב"א</w:t>
      </w:r>
      <w:r w:rsidRPr="008B6B80">
        <w:rPr>
          <w:rFonts w:hint="cs"/>
          <w:rtl/>
        </w:rPr>
        <w:t xml:space="preserve"> </w:t>
      </w:r>
      <w:r w:rsidRPr="00683DC8">
        <w:rPr>
          <w:rStyle w:val="af7"/>
          <w:rFonts w:eastAsia="Guttman Hodes" w:hint="cs"/>
          <w:rtl/>
        </w:rPr>
        <w:t xml:space="preserve">(עי' אות </w:t>
      </w:r>
      <w:r w:rsidRPr="00683DC8">
        <w:rPr>
          <w:rStyle w:val="af7"/>
          <w:rFonts w:eastAsia="Guttman Hodes"/>
          <w:rtl/>
        </w:rPr>
        <w:fldChar w:fldCharType="begin"/>
      </w:r>
      <w:r w:rsidRPr="00683DC8">
        <w:rPr>
          <w:rStyle w:val="af7"/>
          <w:rFonts w:eastAsia="Guttman Hodes"/>
          <w:rtl/>
        </w:rPr>
        <w:instrText xml:space="preserve"> </w:instrText>
      </w:r>
      <w:r w:rsidRPr="00683DC8">
        <w:rPr>
          <w:rStyle w:val="af7"/>
          <w:rFonts w:eastAsia="Guttman Hodes" w:hint="cs"/>
        </w:rPr>
        <w:instrText>REF</w:instrText>
      </w:r>
      <w:r w:rsidRPr="00683DC8">
        <w:rPr>
          <w:rStyle w:val="af7"/>
          <w:rFonts w:eastAsia="Guttman Hodes" w:hint="cs"/>
          <w:rtl/>
        </w:rPr>
        <w:instrText xml:space="preserve"> _</w:instrText>
      </w:r>
      <w:r w:rsidRPr="00683DC8">
        <w:rPr>
          <w:rStyle w:val="af7"/>
          <w:rFonts w:eastAsia="Guttman Hodes" w:hint="cs"/>
        </w:rPr>
        <w:instrText>Ref533350157 \r \h</w:instrText>
      </w:r>
      <w:r w:rsidRPr="00683DC8">
        <w:rPr>
          <w:rStyle w:val="af7"/>
          <w:rFonts w:eastAsia="Guttman Hodes"/>
          <w:rtl/>
        </w:rPr>
        <w:instrText xml:space="preserve"> </w:instrText>
      </w:r>
      <w:r w:rsidRPr="00683DC8">
        <w:rPr>
          <w:rStyle w:val="af7"/>
          <w:rFonts w:eastAsia="Guttman Hodes"/>
          <w:rtl/>
        </w:rPr>
      </w:r>
      <w:r w:rsidRPr="00683DC8">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683DC8">
        <w:rPr>
          <w:rStyle w:val="af7"/>
          <w:rFonts w:eastAsia="Guttman Hodes"/>
          <w:rtl/>
        </w:rPr>
        <w:fldChar w:fldCharType="end"/>
      </w:r>
      <w:r>
        <w:rPr>
          <w:rFonts w:hint="cs"/>
          <w:rtl/>
        </w:rPr>
        <w:t xml:space="preserve"> </w:t>
      </w:r>
      <w:r w:rsidRPr="008B6B80">
        <w:rPr>
          <w:rFonts w:hint="cs"/>
          <w:rtl/>
        </w:rPr>
        <w:t>דהספק הוא מדרבנן פשיטא שאין לה חזקת איסור</w:t>
      </w:r>
      <w:r>
        <w:rPr>
          <w:rFonts w:hint="cs"/>
          <w:rtl/>
        </w:rPr>
        <w:t>.</w:t>
      </w:r>
    </w:p>
    <w:p w14:paraId="395DA69B" w14:textId="77777777" w:rsidR="00436F39" w:rsidRPr="008B6B80" w:rsidRDefault="00436F39" w:rsidP="006D6D32">
      <w:pPr>
        <w:pStyle w:val="a3"/>
      </w:pPr>
      <w:bookmarkStart w:id="14713" w:name="_Toc533544394"/>
      <w:bookmarkStart w:id="14714" w:name="_Toc533544591"/>
      <w:bookmarkStart w:id="14715" w:name="_Toc19390927"/>
      <w:bookmarkStart w:id="14716" w:name="_Toc19394424"/>
      <w:r>
        <w:rPr>
          <w:rFonts w:hint="cs"/>
          <w:rtl/>
        </w:rPr>
        <w:t>דברי הביה"ל דאין חזקת איסור ויל"ע אם יש לה חזקת היתר כיון שע"י המיעו"ב נתקלקלה למפרע</w:t>
      </w:r>
      <w:bookmarkEnd w:id="14713"/>
      <w:bookmarkEnd w:id="14714"/>
      <w:bookmarkEnd w:id="14715"/>
      <w:bookmarkEnd w:id="14716"/>
    </w:p>
    <w:p w14:paraId="58CD6B96" w14:textId="77777777" w:rsidR="00436F39" w:rsidRDefault="00436F39" w:rsidP="00223668">
      <w:pPr>
        <w:pStyle w:val="a0"/>
        <w:rPr>
          <w:rtl/>
        </w:rPr>
      </w:pPr>
      <w:r w:rsidRPr="008B6B80">
        <w:rPr>
          <w:rFonts w:hint="cs"/>
          <w:rtl/>
        </w:rPr>
        <w:t xml:space="preserve">וכתב </w:t>
      </w:r>
      <w:r w:rsidRPr="00683DC8">
        <w:rPr>
          <w:rStyle w:val="af9"/>
          <w:rFonts w:hint="cs"/>
          <w:rtl/>
        </w:rPr>
        <w:t>הביה"ל</w:t>
      </w:r>
      <w:r w:rsidRPr="008B6B80">
        <w:rPr>
          <w:rFonts w:hint="cs"/>
          <w:rtl/>
        </w:rPr>
        <w:t xml:space="preserve"> </w:t>
      </w:r>
      <w:r>
        <w:rPr>
          <w:rFonts w:hint="cs"/>
          <w:rtl/>
        </w:rPr>
        <w:t>ד</w:t>
      </w:r>
      <w:r w:rsidRPr="008B6B80">
        <w:rPr>
          <w:rFonts w:hint="cs"/>
          <w:rtl/>
        </w:rPr>
        <w:t>מסברא כ"מ שהבהמה בחזקת איסור הוא רק בספק בשחיטת</w:t>
      </w:r>
      <w:r>
        <w:rPr>
          <w:rFonts w:hint="cs"/>
          <w:rtl/>
        </w:rPr>
        <w:t xml:space="preserve"> רוב הסימנים, אבל בספק במיעוט בתרא אחר שנשחט הרוב והותרה באכילה, ורק מחמת שחזר ושחט את המיעוט בתרא יש ספק אם נתקלקלה השחיטה למפרע, א"כ אין לה כל חזקת איסור, ואדרבה אפש"ל שיש לה חזקת היתר, אך כתב </w:t>
      </w:r>
      <w:r w:rsidRPr="00683DC8">
        <w:rPr>
          <w:rStyle w:val="af9"/>
          <w:rFonts w:hint="cs"/>
          <w:rtl/>
        </w:rPr>
        <w:t>הביה"ל</w:t>
      </w:r>
      <w:r>
        <w:rPr>
          <w:rFonts w:hint="cs"/>
          <w:rtl/>
        </w:rPr>
        <w:t xml:space="preserve"> דיל"ע אי חשיב חזקת היתר, כיון שע"י המיעוט בתרא יכולה השחיטה להתקלקל למפרע, וא"כ לא הותרה כלל, ועיי"ש במה שהביא </w:t>
      </w:r>
      <w:r w:rsidRPr="00683DC8">
        <w:rPr>
          <w:rStyle w:val="af9"/>
          <w:rFonts w:hint="cs"/>
          <w:rtl/>
        </w:rPr>
        <w:t>הביה"ל</w:t>
      </w:r>
      <w:r>
        <w:rPr>
          <w:rFonts w:hint="cs"/>
          <w:rtl/>
        </w:rPr>
        <w:t xml:space="preserve"> ראיה מהגמ' לעיל </w:t>
      </w:r>
      <w:r w:rsidRPr="00683DC8">
        <w:rPr>
          <w:rStyle w:val="af7"/>
          <w:rFonts w:eastAsia="Guttman Hodes" w:hint="cs"/>
          <w:rtl/>
        </w:rPr>
        <w:t>(יב.)</w:t>
      </w:r>
      <w:r>
        <w:rPr>
          <w:rFonts w:hint="cs"/>
          <w:rtl/>
        </w:rPr>
        <w:t>.</w:t>
      </w:r>
    </w:p>
    <w:p w14:paraId="5BA54D2E" w14:textId="77777777" w:rsidR="00436F39" w:rsidRDefault="00436F39" w:rsidP="00BF39B2">
      <w:pPr>
        <w:pStyle w:val="1"/>
        <w:rPr>
          <w:rtl/>
        </w:rPr>
      </w:pPr>
      <w:bookmarkStart w:id="14717" w:name="_Toc533544395"/>
      <w:bookmarkStart w:id="14718" w:name="_Toc533544592"/>
      <w:bookmarkStart w:id="14719" w:name="_Toc19390928"/>
      <w:bookmarkStart w:id="14720" w:name="_Toc19394425"/>
      <w:r>
        <w:rPr>
          <w:rFonts w:hint="cs"/>
          <w:rtl/>
        </w:rPr>
        <w:t>דברי הנוב"י והשבו"י בגדר הפסול במיעו"ב</w:t>
      </w:r>
      <w:bookmarkEnd w:id="14717"/>
      <w:bookmarkEnd w:id="14718"/>
      <w:bookmarkEnd w:id="14719"/>
      <w:bookmarkEnd w:id="14720"/>
    </w:p>
    <w:p w14:paraId="6F8EC8EE" w14:textId="77777777" w:rsidR="00436F39" w:rsidRPr="008375B6" w:rsidRDefault="00436F39" w:rsidP="006D6D32">
      <w:pPr>
        <w:pStyle w:val="a3"/>
        <w:rPr>
          <w:rtl/>
        </w:rPr>
      </w:pPr>
      <w:bookmarkStart w:id="14721" w:name="_Toc533544396"/>
      <w:bookmarkStart w:id="14722" w:name="_Toc533544593"/>
      <w:bookmarkStart w:id="14723" w:name="_Toc19390929"/>
      <w:bookmarkStart w:id="14724" w:name="_Toc19394426"/>
      <w:r>
        <w:rPr>
          <w:rFonts w:hint="cs"/>
          <w:rtl/>
        </w:rPr>
        <w:t>דעת השבו"י דספק פסול במיעו"ב אזלינן לקולא וביאר הנוב"י דס"ל דהספק הוא מדרבנן</w:t>
      </w:r>
      <w:bookmarkEnd w:id="14721"/>
      <w:bookmarkEnd w:id="14722"/>
      <w:bookmarkEnd w:id="14723"/>
      <w:bookmarkEnd w:id="14724"/>
    </w:p>
    <w:p w14:paraId="53BF4FE4" w14:textId="77777777" w:rsidR="00436F39" w:rsidRDefault="00436F39" w:rsidP="00223668">
      <w:pPr>
        <w:pStyle w:val="a0"/>
        <w:rPr>
          <w:rtl/>
        </w:rPr>
      </w:pPr>
      <w:bookmarkStart w:id="14725" w:name="_Ref533412213"/>
      <w:r>
        <w:rPr>
          <w:rFonts w:hint="cs"/>
          <w:rtl/>
        </w:rPr>
        <w:t xml:space="preserve">והנה </w:t>
      </w:r>
      <w:r w:rsidRPr="00EE6847">
        <w:rPr>
          <w:rStyle w:val="af9"/>
          <w:rFonts w:hint="cs"/>
          <w:rtl/>
        </w:rPr>
        <w:t>בנוב"י</w:t>
      </w:r>
      <w:r>
        <w:rPr>
          <w:rFonts w:hint="cs"/>
          <w:rtl/>
        </w:rPr>
        <w:t xml:space="preserve"> </w:t>
      </w:r>
      <w:r w:rsidRPr="00086318">
        <w:rPr>
          <w:rStyle w:val="af7"/>
          <w:rFonts w:eastAsia="Guttman Hodes" w:hint="cs"/>
          <w:rtl/>
        </w:rPr>
        <w:t>(מהדו"ת יו"ד סי' ב')</w:t>
      </w:r>
      <w:r>
        <w:rPr>
          <w:rFonts w:hint="cs"/>
          <w:rtl/>
        </w:rPr>
        <w:t xml:space="preserve"> הביא את דברי </w:t>
      </w:r>
      <w:r w:rsidRPr="00EE6847">
        <w:rPr>
          <w:rStyle w:val="af9"/>
          <w:rFonts w:hint="cs"/>
          <w:rtl/>
        </w:rPr>
        <w:t>השבו</w:t>
      </w:r>
      <w:r>
        <w:rPr>
          <w:rStyle w:val="af9"/>
          <w:rFonts w:hint="cs"/>
          <w:rtl/>
        </w:rPr>
        <w:t>ת יעקב</w:t>
      </w:r>
      <w:r>
        <w:rPr>
          <w:rFonts w:hint="cs"/>
          <w:rtl/>
        </w:rPr>
        <w:t xml:space="preserve"> </w:t>
      </w:r>
      <w:r w:rsidRPr="00086318">
        <w:rPr>
          <w:rStyle w:val="af7"/>
          <w:rFonts w:eastAsia="Guttman Hodes" w:hint="cs"/>
          <w:rtl/>
        </w:rPr>
        <w:t>(ח"ב סי' נ"ד)</w:t>
      </w:r>
      <w:r>
        <w:rPr>
          <w:rFonts w:hint="cs"/>
          <w:rtl/>
        </w:rPr>
        <w:t xml:space="preserve"> דהיקל למעשה בספק שהייה במיעוט בתרא, וכתב </w:t>
      </w:r>
      <w:r w:rsidRPr="00EE6847">
        <w:rPr>
          <w:rStyle w:val="af9"/>
          <w:rFonts w:hint="cs"/>
          <w:rtl/>
        </w:rPr>
        <w:t>הנוב"י</w:t>
      </w:r>
      <w:r>
        <w:rPr>
          <w:rFonts w:hint="cs"/>
          <w:rtl/>
        </w:rPr>
        <w:t xml:space="preserve"> דצ"ל דס"ל </w:t>
      </w:r>
      <w:r w:rsidRPr="00EE6847">
        <w:rPr>
          <w:rStyle w:val="af9"/>
          <w:rFonts w:hint="cs"/>
          <w:rtl/>
        </w:rPr>
        <w:t>להשבו</w:t>
      </w:r>
      <w:r>
        <w:rPr>
          <w:rStyle w:val="af9"/>
          <w:rFonts w:hint="cs"/>
          <w:rtl/>
        </w:rPr>
        <w:t>ת יעקב</w:t>
      </w:r>
      <w:r>
        <w:rPr>
          <w:rFonts w:hint="cs"/>
          <w:rtl/>
        </w:rPr>
        <w:t xml:space="preserve"> דהפסול במיעוט בתרא הוא חומרא מדרבנן, ולכן הקיל בספק.</w:t>
      </w:r>
    </w:p>
    <w:p w14:paraId="6D68BA5D" w14:textId="77777777" w:rsidR="00436F39" w:rsidRPr="00396FA4" w:rsidRDefault="00436F39" w:rsidP="006D6D32">
      <w:pPr>
        <w:pStyle w:val="a3"/>
      </w:pPr>
      <w:bookmarkStart w:id="14726" w:name="_Toc533544397"/>
      <w:bookmarkStart w:id="14727" w:name="_Toc533544594"/>
      <w:bookmarkStart w:id="14728" w:name="_Toc19390930"/>
      <w:bookmarkStart w:id="14729" w:name="_Toc19394427"/>
      <w:r>
        <w:rPr>
          <w:rFonts w:hint="cs"/>
          <w:rtl/>
        </w:rPr>
        <w:t>קושית הנוב"י דאף אי הספק במיעו"ב הוא מדרבנן צריך להחמיר כיון שהבהמה בחזקת איסור</w:t>
      </w:r>
      <w:bookmarkEnd w:id="14726"/>
      <w:bookmarkEnd w:id="14727"/>
      <w:bookmarkEnd w:id="14728"/>
      <w:bookmarkEnd w:id="14729"/>
    </w:p>
    <w:p w14:paraId="65C26823" w14:textId="77777777" w:rsidR="00436F39" w:rsidRDefault="00436F39" w:rsidP="00223668">
      <w:pPr>
        <w:pStyle w:val="a0"/>
        <w:rPr>
          <w:rtl/>
        </w:rPr>
      </w:pPr>
      <w:r>
        <w:rPr>
          <w:rFonts w:hint="cs"/>
          <w:rtl/>
        </w:rPr>
        <w:t xml:space="preserve">אך הקשה </w:t>
      </w:r>
      <w:r w:rsidRPr="00EE6847">
        <w:rPr>
          <w:rStyle w:val="af9"/>
          <w:rFonts w:hint="cs"/>
          <w:rtl/>
        </w:rPr>
        <w:t>הנוב"י</w:t>
      </w:r>
      <w:r>
        <w:rPr>
          <w:rFonts w:hint="cs"/>
          <w:rtl/>
        </w:rPr>
        <w:t xml:space="preserve"> דאף בדרבנן היה לו להחמיר כיון שהיא עומדת בחזקת איסור אינו זבוח, וכ"כ </w:t>
      </w:r>
      <w:r w:rsidRPr="00396FA4">
        <w:rPr>
          <w:rStyle w:val="af9"/>
          <w:rFonts w:hint="cs"/>
          <w:rtl/>
        </w:rPr>
        <w:t>הפרמ"ג</w:t>
      </w:r>
      <w:r>
        <w:rPr>
          <w:rFonts w:hint="cs"/>
          <w:rtl/>
        </w:rPr>
        <w:t xml:space="preserve"> </w:t>
      </w:r>
      <w:r w:rsidRPr="00396FA4">
        <w:rPr>
          <w:rStyle w:val="af7"/>
          <w:rFonts w:eastAsia="Guttman Hodes" w:hint="cs"/>
          <w:rtl/>
        </w:rPr>
        <w:t xml:space="preserve">(עי' אות </w:t>
      </w:r>
      <w:r w:rsidRPr="00396FA4">
        <w:rPr>
          <w:rStyle w:val="af7"/>
          <w:rFonts w:eastAsia="Guttman Hodes"/>
          <w:rtl/>
        </w:rPr>
        <w:fldChar w:fldCharType="begin"/>
      </w:r>
      <w:r w:rsidRPr="00396FA4">
        <w:rPr>
          <w:rStyle w:val="af7"/>
          <w:rFonts w:eastAsia="Guttman Hodes"/>
          <w:rtl/>
        </w:rPr>
        <w:instrText xml:space="preserve"> </w:instrText>
      </w:r>
      <w:r w:rsidRPr="00396FA4">
        <w:rPr>
          <w:rStyle w:val="af7"/>
          <w:rFonts w:eastAsia="Guttman Hodes" w:hint="cs"/>
        </w:rPr>
        <w:instrText>REF</w:instrText>
      </w:r>
      <w:r w:rsidRPr="00396FA4">
        <w:rPr>
          <w:rStyle w:val="af7"/>
          <w:rFonts w:eastAsia="Guttman Hodes" w:hint="cs"/>
          <w:rtl/>
        </w:rPr>
        <w:instrText xml:space="preserve"> _</w:instrText>
      </w:r>
      <w:r w:rsidRPr="00396FA4">
        <w:rPr>
          <w:rStyle w:val="af7"/>
          <w:rFonts w:eastAsia="Guttman Hodes" w:hint="cs"/>
        </w:rPr>
        <w:instrText>Ref533499358 \r \h</w:instrText>
      </w:r>
      <w:r w:rsidRPr="00396FA4">
        <w:rPr>
          <w:rStyle w:val="af7"/>
          <w:rFonts w:eastAsia="Guttman Hodes"/>
          <w:rtl/>
        </w:rPr>
        <w:instrText xml:space="preserve"> </w:instrText>
      </w:r>
      <w:r w:rsidRPr="00396FA4">
        <w:rPr>
          <w:rStyle w:val="af7"/>
          <w:rFonts w:eastAsia="Guttman Hodes"/>
          <w:rtl/>
        </w:rPr>
      </w:r>
      <w:r w:rsidRPr="00396FA4">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396FA4">
        <w:rPr>
          <w:rStyle w:val="af7"/>
          <w:rFonts w:eastAsia="Guttman Hodes"/>
          <w:rtl/>
        </w:rPr>
        <w:fldChar w:fldCharType="end"/>
      </w:r>
      <w:r>
        <w:rPr>
          <w:rFonts w:hint="cs"/>
          <w:rtl/>
        </w:rPr>
        <w:t xml:space="preserve"> דבספק במיעוט בתרא צריך להחמיר אף בדרבנן כיון שיש לבהמה חזקת איסור.</w:t>
      </w:r>
      <w:bookmarkEnd w:id="14725"/>
    </w:p>
    <w:p w14:paraId="6E21E559" w14:textId="77777777" w:rsidR="00436F39" w:rsidRPr="00396FA4" w:rsidRDefault="00436F39" w:rsidP="006D6D32">
      <w:pPr>
        <w:pStyle w:val="a3"/>
        <w:rPr>
          <w:rtl/>
        </w:rPr>
      </w:pPr>
      <w:bookmarkStart w:id="14730" w:name="_Toc533544398"/>
      <w:bookmarkStart w:id="14731" w:name="_Toc533544595"/>
      <w:bookmarkStart w:id="14732" w:name="_Toc19390931"/>
      <w:bookmarkStart w:id="14733" w:name="_Toc19394428"/>
      <w:r>
        <w:rPr>
          <w:rFonts w:hint="cs"/>
          <w:rtl/>
        </w:rPr>
        <w:t>דברי הנוב"י דמוכח ברש"י דאף אחר שגמר את השחיטה לגמרי שייך לפסול במיעוט בתרא</w:t>
      </w:r>
      <w:bookmarkEnd w:id="14730"/>
      <w:bookmarkEnd w:id="14731"/>
      <w:bookmarkEnd w:id="14732"/>
      <w:bookmarkEnd w:id="14733"/>
    </w:p>
    <w:p w14:paraId="256870FC" w14:textId="77777777" w:rsidR="00436F39" w:rsidRPr="00A55D20" w:rsidRDefault="00436F39" w:rsidP="00223668">
      <w:pPr>
        <w:pStyle w:val="a0"/>
        <w:rPr>
          <w:rtl/>
        </w:rPr>
      </w:pPr>
      <w:bookmarkStart w:id="14734" w:name="_Ref533436950"/>
      <w:r>
        <w:rPr>
          <w:rFonts w:hint="cs"/>
          <w:rtl/>
        </w:rPr>
        <w:t xml:space="preserve">וכתב </w:t>
      </w:r>
      <w:r w:rsidRPr="00EE6847">
        <w:rPr>
          <w:rStyle w:val="af9"/>
          <w:rFonts w:hint="cs"/>
          <w:rtl/>
        </w:rPr>
        <w:t>הנוב"י</w:t>
      </w:r>
      <w:r>
        <w:rPr>
          <w:rFonts w:hint="cs"/>
          <w:rtl/>
        </w:rPr>
        <w:t xml:space="preserve"> דמ"מ יש לחוש לראיות שהביא </w:t>
      </w:r>
      <w:r w:rsidRPr="00EE6847">
        <w:rPr>
          <w:rStyle w:val="af9"/>
          <w:rFonts w:hint="cs"/>
          <w:rtl/>
        </w:rPr>
        <w:t>התבו"ש</w:t>
      </w:r>
      <w:r>
        <w:rPr>
          <w:rFonts w:hint="cs"/>
          <w:rtl/>
        </w:rPr>
        <w:t xml:space="preserve"> </w:t>
      </w:r>
      <w:r w:rsidRPr="00086318">
        <w:rPr>
          <w:rStyle w:val="af7"/>
          <w:rFonts w:eastAsia="Guttman Hodes" w:hint="cs"/>
          <w:rtl/>
        </w:rPr>
        <w:t xml:space="preserve">(עי' אות </w:t>
      </w:r>
      <w:r w:rsidRPr="00086318">
        <w:rPr>
          <w:rStyle w:val="af7"/>
          <w:rFonts w:eastAsia="Guttman Hodes"/>
          <w:rtl/>
        </w:rPr>
        <w:fldChar w:fldCharType="begin"/>
      </w:r>
      <w:r w:rsidRPr="00086318">
        <w:rPr>
          <w:rStyle w:val="af7"/>
          <w:rFonts w:eastAsia="Guttman Hodes"/>
          <w:rtl/>
        </w:rPr>
        <w:instrText xml:space="preserve"> </w:instrText>
      </w:r>
      <w:r w:rsidRPr="00086318">
        <w:rPr>
          <w:rStyle w:val="af7"/>
          <w:rFonts w:eastAsia="Guttman Hodes" w:hint="cs"/>
        </w:rPr>
        <w:instrText>REF</w:instrText>
      </w:r>
      <w:r w:rsidRPr="00086318">
        <w:rPr>
          <w:rStyle w:val="af7"/>
          <w:rFonts w:eastAsia="Guttman Hodes" w:hint="cs"/>
          <w:rtl/>
        </w:rPr>
        <w:instrText xml:space="preserve"> _</w:instrText>
      </w:r>
      <w:r w:rsidRPr="00086318">
        <w:rPr>
          <w:rStyle w:val="af7"/>
          <w:rFonts w:eastAsia="Guttman Hodes" w:hint="cs"/>
        </w:rPr>
        <w:instrText>Ref533351132 \r \h</w:instrText>
      </w:r>
      <w:r w:rsidRPr="00086318">
        <w:rPr>
          <w:rStyle w:val="af7"/>
          <w:rFonts w:eastAsia="Guttman Hodes"/>
          <w:rtl/>
        </w:rPr>
        <w:instrText xml:space="preserve"> </w:instrText>
      </w:r>
      <w:r w:rsidRPr="00086318">
        <w:rPr>
          <w:rStyle w:val="af7"/>
          <w:rFonts w:eastAsia="Guttman Hodes"/>
          <w:rtl/>
        </w:rPr>
      </w:r>
      <w:r w:rsidRPr="00086318">
        <w:rPr>
          <w:rStyle w:val="af7"/>
          <w:rFonts w:eastAsia="Guttman Hodes"/>
          <w:rtl/>
        </w:rPr>
        <w:fldChar w:fldCharType="separate"/>
      </w:r>
      <w:r w:rsidR="00345400">
        <w:rPr>
          <w:rStyle w:val="af7"/>
          <w:rFonts w:eastAsia="Guttman Hodes"/>
          <w:cs/>
        </w:rPr>
        <w:t>‎</w:t>
      </w:r>
      <w:r w:rsidR="00345400">
        <w:rPr>
          <w:rStyle w:val="af7"/>
          <w:rFonts w:eastAsia="Guttman Hodes"/>
          <w:rtl/>
        </w:rPr>
        <w:t>כג)</w:t>
      </w:r>
      <w:r w:rsidRPr="00086318">
        <w:rPr>
          <w:rStyle w:val="af7"/>
          <w:rFonts w:eastAsia="Guttman Hodes"/>
          <w:rtl/>
        </w:rPr>
        <w:fldChar w:fldCharType="end"/>
      </w:r>
      <w:r>
        <w:rPr>
          <w:rStyle w:val="af9"/>
          <w:rFonts w:hint="cs"/>
          <w:rtl/>
        </w:rPr>
        <w:t xml:space="preserve"> </w:t>
      </w:r>
      <w:r w:rsidRPr="00EE6847">
        <w:rPr>
          <w:rStyle w:val="af9"/>
          <w:rFonts w:hint="cs"/>
          <w:rtl/>
        </w:rPr>
        <w:t>דרש"י</w:t>
      </w:r>
      <w:r>
        <w:rPr>
          <w:rFonts w:hint="cs"/>
          <w:rtl/>
        </w:rPr>
        <w:t xml:space="preserve"> אסר מדאו', והוסיף </w:t>
      </w:r>
      <w:r w:rsidRPr="0099629A">
        <w:rPr>
          <w:rStyle w:val="af9"/>
          <w:rFonts w:hint="cs"/>
          <w:rtl/>
        </w:rPr>
        <w:t>הנוב"י</w:t>
      </w:r>
      <w:r>
        <w:rPr>
          <w:rFonts w:hint="cs"/>
          <w:rtl/>
        </w:rPr>
        <w:t xml:space="preserve"> </w:t>
      </w:r>
      <w:r w:rsidRPr="00600999">
        <w:rPr>
          <w:rStyle w:val="af7"/>
          <w:rFonts w:eastAsia="Guttman Hodes" w:hint="cs"/>
          <w:rtl/>
        </w:rPr>
        <w:t>(מהדו"ת יו"ד סו"ס ב')</w:t>
      </w:r>
      <w:r>
        <w:rPr>
          <w:rFonts w:hint="cs"/>
          <w:rtl/>
        </w:rPr>
        <w:t xml:space="preserve"> דמבואר מדברי </w:t>
      </w:r>
      <w:r w:rsidRPr="0099629A">
        <w:rPr>
          <w:rStyle w:val="af9"/>
          <w:rFonts w:hint="cs"/>
          <w:rtl/>
        </w:rPr>
        <w:t>רש"י</w:t>
      </w:r>
      <w:r>
        <w:rPr>
          <w:rFonts w:hint="cs"/>
          <w:rtl/>
        </w:rPr>
        <w:t xml:space="preserve"> </w:t>
      </w:r>
      <w:r w:rsidRPr="00600999">
        <w:rPr>
          <w:rStyle w:val="af7"/>
          <w:rFonts w:eastAsia="Guttman Hodes" w:hint="cs"/>
          <w:rtl/>
        </w:rPr>
        <w:t xml:space="preserve">(עי' אות </w:t>
      </w:r>
      <w:r w:rsidRPr="00600999">
        <w:rPr>
          <w:rStyle w:val="af7"/>
          <w:rFonts w:eastAsia="Guttman Hodes"/>
          <w:rtl/>
        </w:rPr>
        <w:fldChar w:fldCharType="begin"/>
      </w:r>
      <w:r w:rsidRPr="00600999">
        <w:rPr>
          <w:rStyle w:val="af7"/>
          <w:rFonts w:eastAsia="Guttman Hodes"/>
          <w:rtl/>
        </w:rPr>
        <w:instrText xml:space="preserve"> </w:instrText>
      </w:r>
      <w:r w:rsidRPr="00600999">
        <w:rPr>
          <w:rStyle w:val="af7"/>
          <w:rFonts w:eastAsia="Guttman Hodes" w:hint="cs"/>
        </w:rPr>
        <w:instrText>REF</w:instrText>
      </w:r>
      <w:r w:rsidRPr="00600999">
        <w:rPr>
          <w:rStyle w:val="af7"/>
          <w:rFonts w:eastAsia="Guttman Hodes" w:hint="cs"/>
          <w:rtl/>
        </w:rPr>
        <w:instrText xml:space="preserve"> _</w:instrText>
      </w:r>
      <w:r w:rsidRPr="00600999">
        <w:rPr>
          <w:rStyle w:val="af7"/>
          <w:rFonts w:eastAsia="Guttman Hodes" w:hint="cs"/>
        </w:rPr>
        <w:instrText>Ref532364765 \r \h</w:instrText>
      </w:r>
      <w:r w:rsidRPr="00600999">
        <w:rPr>
          <w:rStyle w:val="af7"/>
          <w:rFonts w:eastAsia="Guttman Hodes"/>
          <w:rtl/>
        </w:rPr>
        <w:instrText xml:space="preserve"> </w:instrText>
      </w:r>
      <w:r w:rsidRPr="00600999">
        <w:rPr>
          <w:rStyle w:val="af7"/>
          <w:rFonts w:eastAsia="Guttman Hodes"/>
          <w:rtl/>
        </w:rPr>
      </w:r>
      <w:r w:rsidRPr="00600999">
        <w:rPr>
          <w:rStyle w:val="af7"/>
          <w:rFonts w:eastAsia="Guttman Hodes"/>
          <w:rtl/>
        </w:rPr>
        <w:fldChar w:fldCharType="separate"/>
      </w:r>
      <w:r w:rsidR="00345400">
        <w:rPr>
          <w:rStyle w:val="af7"/>
          <w:rFonts w:eastAsia="Guttman Hodes"/>
          <w:cs/>
        </w:rPr>
        <w:t>‎</w:t>
      </w:r>
      <w:r w:rsidR="00345400">
        <w:rPr>
          <w:rStyle w:val="af7"/>
          <w:rFonts w:eastAsia="Guttman Hodes"/>
          <w:rtl/>
        </w:rPr>
        <w:t>ח)</w:t>
      </w:r>
      <w:r w:rsidRPr="00600999">
        <w:rPr>
          <w:rStyle w:val="af7"/>
          <w:rFonts w:eastAsia="Guttman Hodes"/>
          <w:rtl/>
        </w:rPr>
        <w:fldChar w:fldCharType="end"/>
      </w:r>
      <w:r>
        <w:rPr>
          <w:rFonts w:hint="cs"/>
          <w:rtl/>
        </w:rPr>
        <w:t xml:space="preserve"> דאף שהשוחט כבר השליך את העוף מידו בתורת שחוט, וא"כ מוכח דגילה בדעתו דנגמרה השחיטה, מ"מ כיון שאח"כ ראה שהעוף עדיין חי דלא נשחט כל הסימן, וחזר ושחטו בתורת שחיטה הוא פסול, וכתב </w:t>
      </w:r>
      <w:r w:rsidRPr="00763A17">
        <w:rPr>
          <w:rStyle w:val="af9"/>
          <w:rFonts w:hint="cs"/>
          <w:rtl/>
        </w:rPr>
        <w:t>הנוב"י</w:t>
      </w:r>
      <w:r>
        <w:rPr>
          <w:rFonts w:hint="cs"/>
          <w:rtl/>
        </w:rPr>
        <w:t xml:space="preserve"> דה"ה אף אם השוחט הוציא את העוף מידו לגמרי ונתנו לשליח שיוליכו לבית, והחזיר השליח לשוחט את העוף וחזר ושחט את המיעוט בתרא דפסול, כיון שחזר ושחטו בתורת שחיטה</w:t>
      </w:r>
      <w:bookmarkEnd w:id="14734"/>
      <w:r>
        <w:rPr>
          <w:rFonts w:hint="cs"/>
          <w:rtl/>
        </w:rPr>
        <w:t xml:space="preserve">, ועי' בדברי </w:t>
      </w:r>
      <w:r w:rsidRPr="00396FA4">
        <w:rPr>
          <w:rStyle w:val="af9"/>
          <w:rFonts w:hint="cs"/>
          <w:rtl/>
        </w:rPr>
        <w:t>הארח"ח והכל בו</w:t>
      </w:r>
      <w:r>
        <w:rPr>
          <w:rFonts w:hint="cs"/>
          <w:rtl/>
        </w:rPr>
        <w:t xml:space="preserve"> </w:t>
      </w:r>
      <w:r w:rsidRPr="00CB01ED">
        <w:rPr>
          <w:rStyle w:val="af7"/>
          <w:rFonts w:eastAsia="Guttman Hodes" w:hint="cs"/>
          <w:rtl/>
        </w:rPr>
        <w:t xml:space="preserve">(עי' אות </w:t>
      </w:r>
      <w:r w:rsidRPr="00CB01ED">
        <w:rPr>
          <w:rStyle w:val="af7"/>
          <w:rFonts w:eastAsia="Guttman Hodes"/>
          <w:rtl/>
        </w:rPr>
        <w:fldChar w:fldCharType="begin"/>
      </w:r>
      <w:r w:rsidRPr="00CB01ED">
        <w:rPr>
          <w:rStyle w:val="af7"/>
          <w:rFonts w:eastAsia="Guttman Hodes"/>
          <w:rtl/>
        </w:rPr>
        <w:instrText xml:space="preserve"> </w:instrText>
      </w:r>
      <w:r w:rsidRPr="00CB01ED">
        <w:rPr>
          <w:rStyle w:val="af7"/>
          <w:rFonts w:eastAsia="Guttman Hodes" w:hint="cs"/>
        </w:rPr>
        <w:instrText>REF</w:instrText>
      </w:r>
      <w:r w:rsidRPr="00CB01ED">
        <w:rPr>
          <w:rStyle w:val="af7"/>
          <w:rFonts w:eastAsia="Guttman Hodes" w:hint="cs"/>
          <w:rtl/>
        </w:rPr>
        <w:instrText xml:space="preserve"> _</w:instrText>
      </w:r>
      <w:r w:rsidRPr="00CB01ED">
        <w:rPr>
          <w:rStyle w:val="af7"/>
          <w:rFonts w:eastAsia="Guttman Hodes" w:hint="cs"/>
        </w:rPr>
        <w:instrText>Ref533499417 \r \h</w:instrText>
      </w:r>
      <w:r w:rsidRPr="00CB01ED">
        <w:rPr>
          <w:rStyle w:val="af7"/>
          <w:rFonts w:eastAsia="Guttman Hodes"/>
          <w:rtl/>
        </w:rPr>
        <w:instrText xml:space="preserve"> </w:instrText>
      </w:r>
      <w:r w:rsidRPr="00CB01ED">
        <w:rPr>
          <w:rStyle w:val="af7"/>
          <w:rFonts w:eastAsia="Guttman Hodes"/>
          <w:rtl/>
        </w:rPr>
      </w:r>
      <w:r w:rsidRPr="00CB01ED">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CB01ED">
        <w:rPr>
          <w:rStyle w:val="af7"/>
          <w:rFonts w:eastAsia="Guttman Hodes"/>
          <w:rtl/>
        </w:rPr>
        <w:fldChar w:fldCharType="end"/>
      </w:r>
      <w:r>
        <w:rPr>
          <w:rFonts w:hint="cs"/>
          <w:rtl/>
        </w:rPr>
        <w:t>.</w:t>
      </w:r>
    </w:p>
    <w:p w14:paraId="32C32B85" w14:textId="77777777" w:rsidR="00436F39" w:rsidRDefault="00436F39" w:rsidP="00BF39B2">
      <w:pPr>
        <w:pStyle w:val="1"/>
        <w:rPr>
          <w:rtl/>
        </w:rPr>
      </w:pPr>
      <w:bookmarkStart w:id="14735" w:name="_Toc533413320"/>
      <w:bookmarkStart w:id="14736" w:name="_Toc533441214"/>
      <w:bookmarkStart w:id="14737" w:name="_Toc533441260"/>
      <w:bookmarkStart w:id="14738" w:name="_Toc533490182"/>
      <w:bookmarkStart w:id="14739" w:name="_Toc533506160"/>
      <w:bookmarkStart w:id="14740" w:name="_Toc533544399"/>
      <w:bookmarkStart w:id="14741" w:name="_Toc533544596"/>
      <w:bookmarkStart w:id="14742" w:name="_Toc19390932"/>
      <w:bookmarkStart w:id="14743" w:name="_Toc19394429"/>
      <w:r>
        <w:rPr>
          <w:rFonts w:hint="cs"/>
          <w:rtl/>
        </w:rPr>
        <w:t>ביאור החלקת יואב</w:t>
      </w:r>
      <w:bookmarkEnd w:id="14735"/>
      <w:bookmarkEnd w:id="14736"/>
      <w:bookmarkEnd w:id="14737"/>
      <w:bookmarkEnd w:id="14738"/>
      <w:bookmarkEnd w:id="14739"/>
      <w:r>
        <w:rPr>
          <w:rFonts w:hint="cs"/>
          <w:rtl/>
        </w:rPr>
        <w:t xml:space="preserve"> דכל שממשיך לשחוט חשיב כאמצע שחיטה</w:t>
      </w:r>
      <w:bookmarkEnd w:id="14740"/>
      <w:bookmarkEnd w:id="14741"/>
      <w:bookmarkEnd w:id="14742"/>
      <w:bookmarkEnd w:id="14743"/>
    </w:p>
    <w:p w14:paraId="04695B19" w14:textId="77777777" w:rsidR="00436F39" w:rsidRPr="00F45960" w:rsidRDefault="00436F39" w:rsidP="006D6D32">
      <w:pPr>
        <w:pStyle w:val="a3"/>
        <w:rPr>
          <w:rtl/>
        </w:rPr>
      </w:pPr>
      <w:bookmarkStart w:id="14744" w:name="_Toc533544400"/>
      <w:bookmarkStart w:id="14745" w:name="_Toc533544597"/>
      <w:bookmarkStart w:id="14746" w:name="_Toc19390933"/>
      <w:bookmarkStart w:id="14747" w:name="_Toc19394430"/>
      <w:r>
        <w:rPr>
          <w:rFonts w:hint="cs"/>
          <w:rtl/>
        </w:rPr>
        <w:t>קושית החלקת יואב דאי הספק הוא מדרבנן צריך לפסוק לקולא דאחר שהותרה אין חזקת איסור</w:t>
      </w:r>
      <w:bookmarkEnd w:id="14744"/>
      <w:bookmarkEnd w:id="14745"/>
      <w:bookmarkEnd w:id="14746"/>
      <w:bookmarkEnd w:id="14747"/>
    </w:p>
    <w:p w14:paraId="58D87006" w14:textId="77777777" w:rsidR="00436F39" w:rsidRDefault="00436F39" w:rsidP="00223668">
      <w:pPr>
        <w:pStyle w:val="a0"/>
        <w:rPr>
          <w:rtl/>
        </w:rPr>
      </w:pPr>
      <w:r w:rsidRPr="002A0717">
        <w:rPr>
          <w:rStyle w:val="af9"/>
          <w:rFonts w:hint="cs"/>
          <w:rtl/>
        </w:rPr>
        <w:t xml:space="preserve">והחלקת יואב </w:t>
      </w:r>
      <w:r w:rsidRPr="008512BB">
        <w:rPr>
          <w:rStyle w:val="af7"/>
          <w:rFonts w:eastAsia="Guttman Hodes" w:hint="cs"/>
          <w:rtl/>
        </w:rPr>
        <w:t>(יו"ד סי' ה' ד"ה תשובה)</w:t>
      </w:r>
      <w:r>
        <w:rPr>
          <w:rFonts w:hint="cs"/>
          <w:rtl/>
        </w:rPr>
        <w:t xml:space="preserve"> תמה על דברי </w:t>
      </w:r>
      <w:r w:rsidRPr="002A0717">
        <w:rPr>
          <w:rStyle w:val="af9"/>
          <w:rFonts w:hint="cs"/>
          <w:rtl/>
        </w:rPr>
        <w:t xml:space="preserve">הנוב"י </w:t>
      </w:r>
      <w:r>
        <w:rPr>
          <w:rFonts w:hint="cs"/>
          <w:rtl/>
        </w:rPr>
        <w:t xml:space="preserve">דאי הספק במיעוט בתרא הוא מדרבנן, אין כל טעם לפסוק לחומרא, וא"א לומר דאיתחזק איסורא כיון שבשחיטת הרוב כבר הותרה הבהמה, וכל הצד לאוסרה הוא מחמת שעשה אח"כ מעשה שחיטה במיעוט בתרא, ובכה"ג לא חשיב איתחזק איסורא. </w:t>
      </w:r>
      <w:r w:rsidRPr="008512BB">
        <w:rPr>
          <w:rStyle w:val="afb"/>
          <w:rFonts w:hint="cs"/>
          <w:rtl/>
        </w:rPr>
        <w:t>[ועוד דאף במקום שיש חזקת איסור בדרבנן לא אזלינן לחומרא בספיקא דדינא]</w:t>
      </w:r>
      <w:r>
        <w:rPr>
          <w:rFonts w:hint="cs"/>
          <w:rtl/>
        </w:rPr>
        <w:t>.</w:t>
      </w:r>
    </w:p>
    <w:p w14:paraId="024E7AE3" w14:textId="77777777" w:rsidR="00436F39" w:rsidRDefault="00436F39" w:rsidP="006D6D32">
      <w:pPr>
        <w:pStyle w:val="a3"/>
        <w:rPr>
          <w:rtl/>
        </w:rPr>
      </w:pPr>
      <w:bookmarkStart w:id="14748" w:name="_Toc533544401"/>
      <w:bookmarkStart w:id="14749" w:name="_Toc533544598"/>
      <w:bookmarkStart w:id="14750" w:name="_Toc19390934"/>
      <w:bookmarkStart w:id="14751" w:name="_Toc19394431"/>
      <w:r>
        <w:rPr>
          <w:rFonts w:hint="cs"/>
          <w:rtl/>
        </w:rPr>
        <w:t>תמיהת החלקת יואב דאי אחר שאכל חתיכת צלי מהבהמה שחט את המיעוט תאסר למפרע</w:t>
      </w:r>
      <w:bookmarkEnd w:id="14748"/>
      <w:bookmarkEnd w:id="14749"/>
      <w:bookmarkEnd w:id="14750"/>
      <w:bookmarkEnd w:id="14751"/>
    </w:p>
    <w:p w14:paraId="17CD0EBD" w14:textId="77777777" w:rsidR="00436F39" w:rsidRDefault="00436F39" w:rsidP="00223668">
      <w:pPr>
        <w:pStyle w:val="a0"/>
        <w:rPr>
          <w:rtl/>
        </w:rPr>
      </w:pPr>
      <w:r>
        <w:rPr>
          <w:rFonts w:hint="cs"/>
          <w:rtl/>
        </w:rPr>
        <w:t xml:space="preserve">ועוד הקשה </w:t>
      </w:r>
      <w:r w:rsidRPr="002A0717">
        <w:rPr>
          <w:rStyle w:val="af9"/>
          <w:rFonts w:hint="cs"/>
          <w:rtl/>
        </w:rPr>
        <w:t xml:space="preserve">החלקת יואב </w:t>
      </w:r>
      <w:r w:rsidRPr="008512BB">
        <w:rPr>
          <w:rStyle w:val="af7"/>
          <w:rFonts w:eastAsia="Guttman Hodes" w:hint="cs"/>
          <w:rtl/>
        </w:rPr>
        <w:t xml:space="preserve">(יו"ד סי' ה' ד"ה גם קשה) </w:t>
      </w:r>
      <w:r>
        <w:rPr>
          <w:rFonts w:hint="cs"/>
          <w:rtl/>
        </w:rPr>
        <w:t xml:space="preserve">דאטו אם אחר שחיטת הרוב יחתוך חתיכת בשר מהבהמה ויצלנה ויאכלנה, ואחרי כמה שעות </w:t>
      </w:r>
      <w:r w:rsidRPr="008512BB">
        <w:rPr>
          <w:rStyle w:val="afb"/>
          <w:rFonts w:hint="cs"/>
          <w:rtl/>
        </w:rPr>
        <w:t xml:space="preserve">[כדכתב </w:t>
      </w:r>
      <w:r w:rsidRPr="008512BB">
        <w:rPr>
          <w:rStyle w:val="affa"/>
          <w:rFonts w:hint="cs"/>
          <w:rtl/>
        </w:rPr>
        <w:t>הרמב"ם</w:t>
      </w:r>
      <w:r w:rsidRPr="008512BB">
        <w:rPr>
          <w:rStyle w:val="afb"/>
          <w:rFonts w:hint="cs"/>
          <w:rtl/>
        </w:rPr>
        <w:t xml:space="preserve"> </w:t>
      </w:r>
      <w:r w:rsidRPr="008512BB">
        <w:rPr>
          <w:rStyle w:val="aff6"/>
          <w:rFonts w:hint="cs"/>
          <w:rtl/>
        </w:rPr>
        <w:t>(שחיטה פ"ג ה"ה)</w:t>
      </w:r>
      <w:r w:rsidRPr="008512BB">
        <w:rPr>
          <w:rStyle w:val="afb"/>
          <w:rFonts w:hint="cs"/>
          <w:rtl/>
        </w:rPr>
        <w:t xml:space="preserve"> אפילו אחר חצי היום]</w:t>
      </w:r>
      <w:r>
        <w:rPr>
          <w:rStyle w:val="afb"/>
          <w:rFonts w:hint="cs"/>
          <w:rtl/>
        </w:rPr>
        <w:t>,</w:t>
      </w:r>
      <w:r w:rsidRPr="008512BB">
        <w:rPr>
          <w:rStyle w:val="afb"/>
          <w:rFonts w:hint="cs"/>
          <w:rtl/>
        </w:rPr>
        <w:t xml:space="preserve"> </w:t>
      </w:r>
      <w:r>
        <w:rPr>
          <w:rFonts w:hint="cs"/>
          <w:rtl/>
        </w:rPr>
        <w:t>ישחט את המיעוט תאסר החתיכה למפרע, אף שאינה מחוברת לבהמה כלל, וזה לא יתכן.</w:t>
      </w:r>
    </w:p>
    <w:p w14:paraId="30BB2BF3" w14:textId="77777777" w:rsidR="009837F5" w:rsidRPr="009837F5" w:rsidRDefault="009837F5" w:rsidP="006D6D32">
      <w:pPr>
        <w:pStyle w:val="a3"/>
        <w:rPr>
          <w:rtl/>
        </w:rPr>
      </w:pPr>
    </w:p>
    <w:p w14:paraId="1791D81B" w14:textId="77777777" w:rsidR="00436F39" w:rsidRDefault="00436F39" w:rsidP="006D6D32">
      <w:pPr>
        <w:pStyle w:val="a3"/>
        <w:rPr>
          <w:rtl/>
        </w:rPr>
      </w:pPr>
      <w:bookmarkStart w:id="14752" w:name="_Toc533544402"/>
      <w:bookmarkStart w:id="14753" w:name="_Toc533544599"/>
      <w:bookmarkStart w:id="14754" w:name="_Toc19390935"/>
      <w:bookmarkStart w:id="14755" w:name="_Toc19394432"/>
      <w:r>
        <w:rPr>
          <w:rFonts w:hint="cs"/>
          <w:rtl/>
        </w:rPr>
        <w:t>ביאור החלקת יואב דלא שייך לומר רובו ככולו אי המיעו"ב חשיב כשחוט אחר שחיטת הרוב</w:t>
      </w:r>
      <w:bookmarkEnd w:id="14752"/>
      <w:bookmarkEnd w:id="14753"/>
      <w:bookmarkEnd w:id="14754"/>
      <w:bookmarkEnd w:id="14755"/>
      <w:r>
        <w:rPr>
          <w:rFonts w:hint="cs"/>
          <w:rtl/>
        </w:rPr>
        <w:t xml:space="preserve"> </w:t>
      </w:r>
    </w:p>
    <w:p w14:paraId="511C3A95" w14:textId="77777777" w:rsidR="00436F39" w:rsidRDefault="00436F39" w:rsidP="00223668">
      <w:pPr>
        <w:pStyle w:val="a0"/>
        <w:rPr>
          <w:rtl/>
        </w:rPr>
      </w:pPr>
      <w:bookmarkStart w:id="14756" w:name="_Ref533412660"/>
      <w:r>
        <w:rPr>
          <w:rFonts w:hint="cs"/>
          <w:rtl/>
        </w:rPr>
        <w:t>וביאר</w:t>
      </w:r>
      <w:r w:rsidRPr="002A0717">
        <w:rPr>
          <w:rStyle w:val="af9"/>
          <w:rFonts w:hint="cs"/>
          <w:rtl/>
        </w:rPr>
        <w:t xml:space="preserve"> החלקת יואב </w:t>
      </w:r>
      <w:r w:rsidRPr="001451D5">
        <w:rPr>
          <w:rStyle w:val="af7"/>
          <w:rFonts w:eastAsia="Guttman Hodes" w:hint="cs"/>
          <w:rtl/>
        </w:rPr>
        <w:t xml:space="preserve">(יו"ד סי' ה' ד"ה והנראה) </w:t>
      </w:r>
      <w:r>
        <w:rPr>
          <w:rFonts w:hint="cs"/>
          <w:rtl/>
        </w:rPr>
        <w:t>דהספק בשהייה במיעוט בתרא אינו מדרבנן אלא מדאו'</w:t>
      </w:r>
      <w:r w:rsidRPr="00CB78E7">
        <w:rPr>
          <w:rFonts w:hint="cs"/>
          <w:rtl/>
        </w:rPr>
        <w:t xml:space="preserve"> </w:t>
      </w:r>
      <w:r>
        <w:rPr>
          <w:rFonts w:hint="cs"/>
          <w:rtl/>
        </w:rPr>
        <w:t xml:space="preserve">כדעת </w:t>
      </w:r>
      <w:r w:rsidRPr="002A0717">
        <w:rPr>
          <w:rStyle w:val="af9"/>
          <w:rFonts w:hint="cs"/>
          <w:rtl/>
        </w:rPr>
        <w:t xml:space="preserve">התבו"ש </w:t>
      </w:r>
      <w:r w:rsidRPr="001451D5">
        <w:rPr>
          <w:rStyle w:val="af7"/>
          <w:rFonts w:eastAsia="Guttman Hodes" w:hint="cs"/>
          <w:rtl/>
        </w:rPr>
        <w:t xml:space="preserve">(עי' אות </w:t>
      </w:r>
      <w:r w:rsidRPr="001451D5">
        <w:rPr>
          <w:rStyle w:val="af7"/>
          <w:rFonts w:eastAsia="Guttman Hodes"/>
          <w:rtl/>
        </w:rPr>
        <w:fldChar w:fldCharType="begin"/>
      </w:r>
      <w:r w:rsidRPr="001451D5">
        <w:rPr>
          <w:rStyle w:val="af7"/>
          <w:rFonts w:eastAsia="Guttman Hodes"/>
          <w:rtl/>
        </w:rPr>
        <w:instrText xml:space="preserve"> </w:instrText>
      </w:r>
      <w:r w:rsidRPr="001451D5">
        <w:rPr>
          <w:rStyle w:val="af7"/>
          <w:rFonts w:eastAsia="Guttman Hodes" w:hint="cs"/>
        </w:rPr>
        <w:instrText>REF</w:instrText>
      </w:r>
      <w:r w:rsidRPr="001451D5">
        <w:rPr>
          <w:rStyle w:val="af7"/>
          <w:rFonts w:eastAsia="Guttman Hodes" w:hint="cs"/>
          <w:rtl/>
        </w:rPr>
        <w:instrText xml:space="preserve"> _</w:instrText>
      </w:r>
      <w:r w:rsidRPr="001451D5">
        <w:rPr>
          <w:rStyle w:val="af7"/>
          <w:rFonts w:eastAsia="Guttman Hodes" w:hint="cs"/>
        </w:rPr>
        <w:instrText>Ref533351132 \r \h</w:instrText>
      </w:r>
      <w:r w:rsidRPr="001451D5">
        <w:rPr>
          <w:rStyle w:val="af7"/>
          <w:rFonts w:eastAsia="Guttman Hodes"/>
          <w:rtl/>
        </w:rPr>
        <w:instrText xml:space="preserve"> </w:instrText>
      </w:r>
      <w:r w:rsidRPr="001451D5">
        <w:rPr>
          <w:rStyle w:val="af7"/>
          <w:rFonts w:eastAsia="Guttman Hodes"/>
          <w:rtl/>
        </w:rPr>
      </w:r>
      <w:r w:rsidRPr="001451D5">
        <w:rPr>
          <w:rStyle w:val="af7"/>
          <w:rFonts w:eastAsia="Guttman Hodes"/>
          <w:rtl/>
        </w:rPr>
        <w:fldChar w:fldCharType="separate"/>
      </w:r>
      <w:r w:rsidR="00345400">
        <w:rPr>
          <w:rStyle w:val="af7"/>
          <w:rFonts w:eastAsia="Guttman Hodes"/>
          <w:cs/>
        </w:rPr>
        <w:t>‎</w:t>
      </w:r>
      <w:r w:rsidR="00345400">
        <w:rPr>
          <w:rStyle w:val="af7"/>
          <w:rFonts w:eastAsia="Guttman Hodes"/>
          <w:rtl/>
        </w:rPr>
        <w:t>כג)</w:t>
      </w:r>
      <w:r w:rsidRPr="001451D5">
        <w:rPr>
          <w:rStyle w:val="af7"/>
          <w:rFonts w:eastAsia="Guttman Hodes"/>
          <w:rtl/>
        </w:rPr>
        <w:fldChar w:fldCharType="end"/>
      </w:r>
      <w:r>
        <w:rPr>
          <w:rFonts w:hint="cs"/>
          <w:rtl/>
        </w:rPr>
        <w:t>, דכל מה דמהני בשחיטה רובו ככולו, היינו במקום שאפשר לגמרו את כולו, אבל במקום שא"א לגמור את כולו לא שייך דין רובו ככולו, [</w:t>
      </w:r>
      <w:r w:rsidRPr="00E824E8">
        <w:rPr>
          <w:rStyle w:val="afb"/>
          <w:rFonts w:hint="cs"/>
          <w:rtl/>
        </w:rPr>
        <w:t xml:space="preserve">עיי"ש בדברי </w:t>
      </w:r>
      <w:r w:rsidRPr="00E824E8">
        <w:rPr>
          <w:rStyle w:val="affa"/>
          <w:rFonts w:hint="cs"/>
          <w:rtl/>
        </w:rPr>
        <w:t>החלקת יואב</w:t>
      </w:r>
      <w:r w:rsidRPr="00E824E8">
        <w:rPr>
          <w:rStyle w:val="afb"/>
          <w:rFonts w:hint="cs"/>
          <w:rtl/>
        </w:rPr>
        <w:t xml:space="preserve"> שהאריך להוכיח כן]</w:t>
      </w:r>
      <w:r>
        <w:rPr>
          <w:rFonts w:hint="cs"/>
          <w:rtl/>
        </w:rPr>
        <w:t>.</w:t>
      </w:r>
      <w:bookmarkEnd w:id="14756"/>
      <w:r>
        <w:rPr>
          <w:rFonts w:hint="cs"/>
          <w:rtl/>
        </w:rPr>
        <w:t xml:space="preserve"> וכתב </w:t>
      </w:r>
      <w:r w:rsidRPr="002A0717">
        <w:rPr>
          <w:rStyle w:val="af9"/>
          <w:rFonts w:hint="cs"/>
          <w:rtl/>
        </w:rPr>
        <w:t>החלקת יואב</w:t>
      </w:r>
      <w:r>
        <w:rPr>
          <w:rFonts w:hint="cs"/>
          <w:rtl/>
        </w:rPr>
        <w:t xml:space="preserve"> </w:t>
      </w:r>
      <w:r w:rsidRPr="001451D5">
        <w:rPr>
          <w:rStyle w:val="af7"/>
          <w:rFonts w:eastAsia="Guttman Hodes" w:hint="cs"/>
          <w:rtl/>
        </w:rPr>
        <w:t xml:space="preserve">(יו"ד סי' ה' ד"ה ולזאת נראה) </w:t>
      </w:r>
      <w:r>
        <w:rPr>
          <w:rFonts w:hint="cs"/>
          <w:rtl/>
        </w:rPr>
        <w:t xml:space="preserve">דבכל שחיטה א"א לומר דאחר שחיטת רוב הסימן נגמרה השחיטה, דא"כ אחר ששחט את רוב הסימן כבר לא שייך לשחוט את המיעוט דהוא כחותך בבשר שחוטה </w:t>
      </w:r>
      <w:r w:rsidRPr="002A0717">
        <w:rPr>
          <w:rStyle w:val="afb"/>
          <w:rFonts w:hint="cs"/>
          <w:rtl/>
        </w:rPr>
        <w:t xml:space="preserve">[וכדמקשה הגמ' לקמן </w:t>
      </w:r>
      <w:r w:rsidRPr="008512BB">
        <w:rPr>
          <w:rStyle w:val="aff6"/>
          <w:rFonts w:hint="cs"/>
          <w:rtl/>
        </w:rPr>
        <w:t>(כ:)</w:t>
      </w:r>
      <w:r w:rsidRPr="002A0717">
        <w:rPr>
          <w:rStyle w:val="afb"/>
          <w:rFonts w:hint="cs"/>
          <w:rtl/>
        </w:rPr>
        <w:t xml:space="preserve"> "וכי מתה עומד ומולק"]</w:t>
      </w:r>
      <w:r>
        <w:rPr>
          <w:rFonts w:hint="cs"/>
          <w:rtl/>
        </w:rPr>
        <w:t>, וא"כ בכל שחיטה לא שייך דין רובו ככולו דלא שייך לשחוט את כל הסימן.</w:t>
      </w:r>
    </w:p>
    <w:p w14:paraId="43003780" w14:textId="77777777" w:rsidR="00436F39" w:rsidRPr="00E812AD" w:rsidRDefault="00436F39" w:rsidP="006D6D32">
      <w:pPr>
        <w:pStyle w:val="a3"/>
        <w:rPr>
          <w:rtl/>
        </w:rPr>
      </w:pPr>
      <w:bookmarkStart w:id="14757" w:name="_Toc533544403"/>
      <w:bookmarkStart w:id="14758" w:name="_Toc533544600"/>
      <w:bookmarkStart w:id="14759" w:name="_Toc19390936"/>
      <w:bookmarkStart w:id="14760" w:name="_Toc19394433"/>
      <w:r>
        <w:rPr>
          <w:rFonts w:hint="cs"/>
          <w:rtl/>
        </w:rPr>
        <w:t>ביאור החלקת יואב דכל שעוסק בשחיטה חשיב כאמצע השחיטה כיון שדעתו להמשיך ולשחוט</w:t>
      </w:r>
      <w:bookmarkEnd w:id="14757"/>
      <w:bookmarkEnd w:id="14758"/>
      <w:bookmarkEnd w:id="14759"/>
      <w:bookmarkEnd w:id="14760"/>
    </w:p>
    <w:p w14:paraId="7A5E0D60" w14:textId="77777777" w:rsidR="00436F39" w:rsidRDefault="00436F39" w:rsidP="00223668">
      <w:pPr>
        <w:pStyle w:val="a0"/>
        <w:rPr>
          <w:rtl/>
        </w:rPr>
      </w:pPr>
      <w:r>
        <w:rPr>
          <w:rFonts w:hint="cs"/>
          <w:rtl/>
        </w:rPr>
        <w:t xml:space="preserve">אלא כתב </w:t>
      </w:r>
      <w:r w:rsidRPr="002A0717">
        <w:rPr>
          <w:rStyle w:val="af9"/>
          <w:rFonts w:hint="cs"/>
          <w:rtl/>
        </w:rPr>
        <w:t>החלקת יואב</w:t>
      </w:r>
      <w:r>
        <w:rPr>
          <w:rFonts w:hint="cs"/>
          <w:rtl/>
        </w:rPr>
        <w:t xml:space="preserve"> דמוכח דכל שעוסק בשחיטה ודעתו להמשיך ולשחוט, אין לבהמה היתר ע"י שחיטת הרוב, וכל שעדיין הוא עוסק בשחיטה, חשיב כאמצע השחיטה, ולכן דריסה וחלדה פוסלים במיעוט בתרא, ואף בשהייה שהפסיק מלשחוט אחר הרוב, מ"מ כיון שדעתו להמשיך ולשחוט אין הבהמה מותרת עד לאחר ששוחט את כל הסימן, ולכן שהייה במיעוט בתרא פוסלת מדאו' כדעת </w:t>
      </w:r>
      <w:r w:rsidRPr="002A0717">
        <w:rPr>
          <w:rStyle w:val="af9"/>
          <w:rFonts w:hint="cs"/>
          <w:rtl/>
        </w:rPr>
        <w:t>התבו"ש</w:t>
      </w:r>
      <w:r>
        <w:rPr>
          <w:rFonts w:hint="cs"/>
          <w:rtl/>
        </w:rPr>
        <w:t xml:space="preserve"> </w:t>
      </w:r>
      <w:r w:rsidRPr="00E824E8">
        <w:rPr>
          <w:rStyle w:val="af7"/>
          <w:rFonts w:eastAsia="Guttman Hodes" w:hint="cs"/>
          <w:rtl/>
        </w:rPr>
        <w:t xml:space="preserve">(עי' אות </w:t>
      </w:r>
      <w:r w:rsidRPr="00E824E8">
        <w:rPr>
          <w:rStyle w:val="af7"/>
          <w:rFonts w:eastAsia="Guttman Hodes"/>
          <w:rtl/>
        </w:rPr>
        <w:fldChar w:fldCharType="begin"/>
      </w:r>
      <w:r w:rsidRPr="00E824E8">
        <w:rPr>
          <w:rStyle w:val="af7"/>
          <w:rFonts w:eastAsia="Guttman Hodes"/>
          <w:rtl/>
        </w:rPr>
        <w:instrText xml:space="preserve"> </w:instrText>
      </w:r>
      <w:r w:rsidRPr="00E824E8">
        <w:rPr>
          <w:rStyle w:val="af7"/>
          <w:rFonts w:eastAsia="Guttman Hodes" w:hint="cs"/>
        </w:rPr>
        <w:instrText>REF</w:instrText>
      </w:r>
      <w:r w:rsidRPr="00E824E8">
        <w:rPr>
          <w:rStyle w:val="af7"/>
          <w:rFonts w:eastAsia="Guttman Hodes" w:hint="cs"/>
          <w:rtl/>
        </w:rPr>
        <w:instrText xml:space="preserve"> _</w:instrText>
      </w:r>
      <w:r w:rsidRPr="00E824E8">
        <w:rPr>
          <w:rStyle w:val="af7"/>
          <w:rFonts w:eastAsia="Guttman Hodes" w:hint="cs"/>
        </w:rPr>
        <w:instrText>Ref533351132 \r \h</w:instrText>
      </w:r>
      <w:r w:rsidRPr="00E824E8">
        <w:rPr>
          <w:rStyle w:val="af7"/>
          <w:rFonts w:eastAsia="Guttman Hodes"/>
          <w:rtl/>
        </w:rPr>
        <w:instrText xml:space="preserve"> </w:instrText>
      </w:r>
      <w:r w:rsidRPr="00E824E8">
        <w:rPr>
          <w:rStyle w:val="af7"/>
          <w:rFonts w:eastAsia="Guttman Hodes"/>
          <w:rtl/>
        </w:rPr>
      </w:r>
      <w:r w:rsidRPr="00E824E8">
        <w:rPr>
          <w:rStyle w:val="af7"/>
          <w:rFonts w:eastAsia="Guttman Hodes"/>
          <w:rtl/>
        </w:rPr>
        <w:fldChar w:fldCharType="separate"/>
      </w:r>
      <w:r w:rsidR="00345400">
        <w:rPr>
          <w:rStyle w:val="af7"/>
          <w:rFonts w:eastAsia="Guttman Hodes"/>
          <w:cs/>
        </w:rPr>
        <w:t>‎</w:t>
      </w:r>
      <w:r w:rsidR="00345400">
        <w:rPr>
          <w:rStyle w:val="af7"/>
          <w:rFonts w:eastAsia="Guttman Hodes"/>
          <w:rtl/>
        </w:rPr>
        <w:t>כג)</w:t>
      </w:r>
      <w:r w:rsidRPr="00E824E8">
        <w:rPr>
          <w:rStyle w:val="af7"/>
          <w:rFonts w:eastAsia="Guttman Hodes"/>
          <w:rtl/>
        </w:rPr>
        <w:fldChar w:fldCharType="end"/>
      </w:r>
      <w:r>
        <w:rPr>
          <w:rFonts w:hint="cs"/>
          <w:rtl/>
        </w:rPr>
        <w:t>.</w:t>
      </w:r>
    </w:p>
    <w:p w14:paraId="053420F4" w14:textId="77777777" w:rsidR="00436F39" w:rsidRDefault="00436F39" w:rsidP="006D6D32">
      <w:pPr>
        <w:pStyle w:val="a3"/>
        <w:rPr>
          <w:rtl/>
        </w:rPr>
      </w:pPr>
      <w:bookmarkStart w:id="14761" w:name="_Toc533544404"/>
      <w:bookmarkStart w:id="14762" w:name="_Toc533544601"/>
      <w:bookmarkStart w:id="14763" w:name="_Toc19390937"/>
      <w:bookmarkStart w:id="14764" w:name="_Toc19394434"/>
      <w:r>
        <w:rPr>
          <w:rFonts w:hint="cs"/>
          <w:rtl/>
        </w:rPr>
        <w:t>דברי החלקת יואב דאחר שהשליך את העוף מידו אין פסול שהייה במיעו"ב וכדעת השבו"י</w:t>
      </w:r>
      <w:bookmarkEnd w:id="14761"/>
      <w:bookmarkEnd w:id="14762"/>
      <w:bookmarkEnd w:id="14763"/>
      <w:bookmarkEnd w:id="14764"/>
    </w:p>
    <w:p w14:paraId="3BE0D488" w14:textId="77777777" w:rsidR="00436F39" w:rsidRDefault="00436F39" w:rsidP="00223668">
      <w:pPr>
        <w:pStyle w:val="a0"/>
        <w:rPr>
          <w:rtl/>
        </w:rPr>
      </w:pPr>
      <w:bookmarkStart w:id="14765" w:name="_Ref533436966"/>
      <w:r>
        <w:rPr>
          <w:rFonts w:hint="cs"/>
          <w:rtl/>
        </w:rPr>
        <w:t xml:space="preserve">וכתב </w:t>
      </w:r>
      <w:r w:rsidRPr="002A0717">
        <w:rPr>
          <w:rStyle w:val="af9"/>
          <w:rFonts w:hint="cs"/>
          <w:rtl/>
        </w:rPr>
        <w:t>החלקת יואב</w:t>
      </w:r>
      <w:r>
        <w:rPr>
          <w:rFonts w:hint="cs"/>
          <w:rtl/>
        </w:rPr>
        <w:t xml:space="preserve"> </w:t>
      </w:r>
      <w:r w:rsidRPr="00E824E8">
        <w:rPr>
          <w:rStyle w:val="af7"/>
          <w:rFonts w:eastAsia="Guttman Hodes" w:hint="cs"/>
          <w:rtl/>
        </w:rPr>
        <w:t>(יו"ד סי' ה' ד"ה ויצא לנו)</w:t>
      </w:r>
      <w:r>
        <w:rPr>
          <w:rFonts w:hint="cs"/>
          <w:rtl/>
        </w:rPr>
        <w:t xml:space="preserve"> דא"כ מבואר כדברי </w:t>
      </w:r>
      <w:r w:rsidRPr="002A0717">
        <w:rPr>
          <w:rStyle w:val="af9"/>
          <w:rFonts w:hint="cs"/>
          <w:rtl/>
        </w:rPr>
        <w:t>השבו"י</w:t>
      </w:r>
      <w:r>
        <w:rPr>
          <w:rFonts w:hint="cs"/>
          <w:rtl/>
        </w:rPr>
        <w:t xml:space="preserve"> </w:t>
      </w:r>
      <w:r w:rsidRPr="00E824E8">
        <w:rPr>
          <w:rStyle w:val="af7"/>
          <w:rFonts w:eastAsia="Guttman Hodes" w:hint="cs"/>
          <w:rtl/>
        </w:rPr>
        <w:t xml:space="preserve">(עי' אות </w:t>
      </w:r>
      <w:r w:rsidRPr="00E824E8">
        <w:rPr>
          <w:rStyle w:val="af7"/>
          <w:rFonts w:eastAsia="Guttman Hodes"/>
          <w:rtl/>
        </w:rPr>
        <w:fldChar w:fldCharType="begin"/>
      </w:r>
      <w:r w:rsidRPr="00E824E8">
        <w:rPr>
          <w:rStyle w:val="af7"/>
          <w:rFonts w:eastAsia="Guttman Hodes"/>
          <w:rtl/>
        </w:rPr>
        <w:instrText xml:space="preserve"> </w:instrText>
      </w:r>
      <w:r w:rsidRPr="00E824E8">
        <w:rPr>
          <w:rStyle w:val="af7"/>
          <w:rFonts w:eastAsia="Guttman Hodes" w:hint="cs"/>
        </w:rPr>
        <w:instrText>REF</w:instrText>
      </w:r>
      <w:r w:rsidRPr="00E824E8">
        <w:rPr>
          <w:rStyle w:val="af7"/>
          <w:rFonts w:eastAsia="Guttman Hodes" w:hint="cs"/>
          <w:rtl/>
        </w:rPr>
        <w:instrText xml:space="preserve"> _</w:instrText>
      </w:r>
      <w:r w:rsidRPr="00E824E8">
        <w:rPr>
          <w:rStyle w:val="af7"/>
          <w:rFonts w:eastAsia="Guttman Hodes" w:hint="cs"/>
        </w:rPr>
        <w:instrText>Ref533412213 \r \h</w:instrText>
      </w:r>
      <w:r w:rsidRPr="00E824E8">
        <w:rPr>
          <w:rStyle w:val="af7"/>
          <w:rFonts w:eastAsia="Guttman Hodes"/>
          <w:rtl/>
        </w:rPr>
        <w:instrText xml:space="preserve"> </w:instrText>
      </w:r>
      <w:r w:rsidRPr="00E824E8">
        <w:rPr>
          <w:rStyle w:val="af7"/>
          <w:rFonts w:eastAsia="Guttman Hodes"/>
          <w:rtl/>
        </w:rPr>
      </w:r>
      <w:r w:rsidRPr="00E824E8">
        <w:rPr>
          <w:rStyle w:val="af7"/>
          <w:rFonts w:eastAsia="Guttman Hodes"/>
          <w:rtl/>
        </w:rPr>
        <w:fldChar w:fldCharType="separate"/>
      </w:r>
      <w:r w:rsidR="00345400">
        <w:rPr>
          <w:rStyle w:val="af7"/>
          <w:rFonts w:eastAsia="Guttman Hodes"/>
          <w:cs/>
        </w:rPr>
        <w:t>‎</w:t>
      </w:r>
      <w:r w:rsidR="00345400">
        <w:rPr>
          <w:rStyle w:val="af7"/>
          <w:rFonts w:eastAsia="Guttman Hodes"/>
          <w:rtl/>
        </w:rPr>
        <w:t>עד)</w:t>
      </w:r>
      <w:r w:rsidRPr="00E824E8">
        <w:rPr>
          <w:rStyle w:val="af7"/>
          <w:rFonts w:eastAsia="Guttman Hodes"/>
          <w:rtl/>
        </w:rPr>
        <w:fldChar w:fldCharType="end"/>
      </w:r>
      <w:r>
        <w:rPr>
          <w:rFonts w:hint="cs"/>
          <w:rtl/>
        </w:rPr>
        <w:t xml:space="preserve"> דאחר שהשליך השוחט את העוף מידו, מדינא אין איסור בשהייה במיעוט בתרא, אלא הוא חומרא, וכדמשמע מלשון </w:t>
      </w:r>
      <w:r w:rsidRPr="00E824E8">
        <w:rPr>
          <w:rStyle w:val="af9"/>
          <w:rFonts w:hint="cs"/>
          <w:rtl/>
        </w:rPr>
        <w:t>רש"י לקמן</w:t>
      </w:r>
      <w:r>
        <w:rPr>
          <w:rFonts w:hint="cs"/>
          <w:rtl/>
        </w:rPr>
        <w:t xml:space="preserve"> </w:t>
      </w:r>
      <w:r w:rsidRPr="00E824E8">
        <w:rPr>
          <w:rStyle w:val="af7"/>
          <w:rFonts w:eastAsia="Guttman Hodes" w:hint="cs"/>
          <w:rtl/>
        </w:rPr>
        <w:t xml:space="preserve">(עי' אות </w:t>
      </w:r>
      <w:r w:rsidRPr="00E824E8">
        <w:rPr>
          <w:rStyle w:val="af7"/>
          <w:rFonts w:eastAsia="Guttman Hodes"/>
          <w:rtl/>
        </w:rPr>
        <w:fldChar w:fldCharType="begin"/>
      </w:r>
      <w:r w:rsidRPr="00E824E8">
        <w:rPr>
          <w:rStyle w:val="af7"/>
          <w:rFonts w:eastAsia="Guttman Hodes"/>
          <w:rtl/>
        </w:rPr>
        <w:instrText xml:space="preserve"> </w:instrText>
      </w:r>
      <w:r w:rsidRPr="00E824E8">
        <w:rPr>
          <w:rStyle w:val="af7"/>
          <w:rFonts w:eastAsia="Guttman Hodes" w:hint="cs"/>
        </w:rPr>
        <w:instrText>REF</w:instrText>
      </w:r>
      <w:r w:rsidRPr="00E824E8">
        <w:rPr>
          <w:rStyle w:val="af7"/>
          <w:rFonts w:eastAsia="Guttman Hodes" w:hint="cs"/>
          <w:rtl/>
        </w:rPr>
        <w:instrText xml:space="preserve"> _</w:instrText>
      </w:r>
      <w:r w:rsidRPr="00E824E8">
        <w:rPr>
          <w:rStyle w:val="af7"/>
          <w:rFonts w:eastAsia="Guttman Hodes" w:hint="cs"/>
        </w:rPr>
        <w:instrText>Ref532364765 \r \h</w:instrText>
      </w:r>
      <w:r w:rsidRPr="00E824E8">
        <w:rPr>
          <w:rStyle w:val="af7"/>
          <w:rFonts w:eastAsia="Guttman Hodes"/>
          <w:rtl/>
        </w:rPr>
        <w:instrText xml:space="preserve"> </w:instrText>
      </w:r>
      <w:r w:rsidRPr="00E824E8">
        <w:rPr>
          <w:rStyle w:val="af7"/>
          <w:rFonts w:eastAsia="Guttman Hodes"/>
          <w:rtl/>
        </w:rPr>
      </w:r>
      <w:r w:rsidRPr="00E824E8">
        <w:rPr>
          <w:rStyle w:val="af7"/>
          <w:rFonts w:eastAsia="Guttman Hodes"/>
          <w:rtl/>
        </w:rPr>
        <w:fldChar w:fldCharType="separate"/>
      </w:r>
      <w:r w:rsidR="00345400">
        <w:rPr>
          <w:rStyle w:val="af7"/>
          <w:rFonts w:eastAsia="Guttman Hodes"/>
          <w:cs/>
        </w:rPr>
        <w:t>‎</w:t>
      </w:r>
      <w:r w:rsidR="00345400">
        <w:rPr>
          <w:rStyle w:val="af7"/>
          <w:rFonts w:eastAsia="Guttman Hodes"/>
          <w:rtl/>
        </w:rPr>
        <w:t>ח)</w:t>
      </w:r>
      <w:r w:rsidRPr="00E824E8">
        <w:rPr>
          <w:rStyle w:val="af7"/>
          <w:rFonts w:eastAsia="Guttman Hodes"/>
          <w:rtl/>
        </w:rPr>
        <w:fldChar w:fldCharType="end"/>
      </w:r>
      <w:r w:rsidRPr="00E824E8">
        <w:rPr>
          <w:rStyle w:val="af7"/>
          <w:rFonts w:eastAsia="Guttman Hodes" w:hint="cs"/>
          <w:rtl/>
        </w:rPr>
        <w:t xml:space="preserve"> </w:t>
      </w:r>
      <w:r>
        <w:rPr>
          <w:rFonts w:hint="cs"/>
          <w:rtl/>
        </w:rPr>
        <w:t xml:space="preserve">דכתב דאחר שהשליך את העוף מידו והעוף שוהה למות, מוטב שיכנו על ראשו ולא ישחוט, ומבואר דמדינא אינו פוסל כיון שכבר השליך את העוף מידו. </w:t>
      </w:r>
      <w:r w:rsidRPr="00E824E8">
        <w:rPr>
          <w:rStyle w:val="afb"/>
          <w:rFonts w:hint="cs"/>
          <w:rtl/>
        </w:rPr>
        <w:t xml:space="preserve">[ועיי"ש בדברי </w:t>
      </w:r>
      <w:r w:rsidRPr="00E824E8">
        <w:rPr>
          <w:rStyle w:val="affa"/>
          <w:rFonts w:hint="cs"/>
          <w:rtl/>
        </w:rPr>
        <w:t>החלקת יואב</w:t>
      </w:r>
      <w:r w:rsidRPr="00E824E8">
        <w:rPr>
          <w:rStyle w:val="afb"/>
          <w:rFonts w:hint="cs"/>
          <w:rtl/>
        </w:rPr>
        <w:t xml:space="preserve"> דתירץ לפי"ז את קושית </w:t>
      </w:r>
      <w:r w:rsidRPr="00E824E8">
        <w:rPr>
          <w:rStyle w:val="affa"/>
          <w:rFonts w:hint="cs"/>
          <w:rtl/>
        </w:rPr>
        <w:t>רש"י לקמן</w:t>
      </w:r>
      <w:r w:rsidRPr="00E824E8">
        <w:rPr>
          <w:rStyle w:val="afb"/>
          <w:rFonts w:hint="cs"/>
          <w:rtl/>
        </w:rPr>
        <w:t xml:space="preserve"> </w:t>
      </w:r>
      <w:r w:rsidRPr="00E824E8">
        <w:rPr>
          <w:rStyle w:val="aff6"/>
          <w:rFonts w:hint="cs"/>
          <w:rtl/>
        </w:rPr>
        <w:t xml:space="preserve">(עי' אות </w:t>
      </w:r>
      <w:r w:rsidRPr="00E824E8">
        <w:rPr>
          <w:rStyle w:val="aff6"/>
          <w:rtl/>
        </w:rPr>
        <w:fldChar w:fldCharType="begin"/>
      </w:r>
      <w:r w:rsidRPr="00E824E8">
        <w:rPr>
          <w:rStyle w:val="aff6"/>
          <w:rtl/>
        </w:rPr>
        <w:instrText xml:space="preserve"> </w:instrText>
      </w:r>
      <w:r w:rsidRPr="00E824E8">
        <w:rPr>
          <w:rStyle w:val="aff6"/>
          <w:rFonts w:hint="cs"/>
        </w:rPr>
        <w:instrText>REF</w:instrText>
      </w:r>
      <w:r w:rsidRPr="00E824E8">
        <w:rPr>
          <w:rStyle w:val="aff6"/>
          <w:rFonts w:hint="cs"/>
          <w:rtl/>
        </w:rPr>
        <w:instrText xml:space="preserve"> _</w:instrText>
      </w:r>
      <w:r w:rsidRPr="00E824E8">
        <w:rPr>
          <w:rStyle w:val="aff6"/>
          <w:rFonts w:hint="cs"/>
        </w:rPr>
        <w:instrText>Ref532402551 \r \h</w:instrText>
      </w:r>
      <w:r w:rsidRPr="00E824E8">
        <w:rPr>
          <w:rStyle w:val="aff6"/>
          <w:rtl/>
        </w:rPr>
        <w:instrText xml:space="preserve"> </w:instrText>
      </w:r>
      <w:r w:rsidRPr="00E824E8">
        <w:rPr>
          <w:rStyle w:val="aff6"/>
          <w:rtl/>
        </w:rPr>
      </w:r>
      <w:r w:rsidRPr="00E824E8">
        <w:rPr>
          <w:rStyle w:val="aff6"/>
          <w:rtl/>
        </w:rPr>
        <w:fldChar w:fldCharType="separate"/>
      </w:r>
      <w:r w:rsidR="00345400">
        <w:rPr>
          <w:rStyle w:val="aff6"/>
          <w:cs/>
        </w:rPr>
        <w:t>‎</w:t>
      </w:r>
      <w:r w:rsidR="00345400">
        <w:rPr>
          <w:rStyle w:val="aff6"/>
          <w:rtl/>
        </w:rPr>
        <w:t>מד)</w:t>
      </w:r>
      <w:r w:rsidRPr="00E824E8">
        <w:rPr>
          <w:rStyle w:val="aff6"/>
          <w:rtl/>
        </w:rPr>
        <w:fldChar w:fldCharType="end"/>
      </w:r>
      <w:r w:rsidRPr="00E824E8">
        <w:rPr>
          <w:rStyle w:val="afb"/>
          <w:rFonts w:hint="cs"/>
          <w:rtl/>
        </w:rPr>
        <w:t xml:space="preserve"> מהתוספתא].</w:t>
      </w:r>
      <w:bookmarkEnd w:id="14765"/>
    </w:p>
    <w:p w14:paraId="3B463F78" w14:textId="77777777" w:rsidR="00436F39" w:rsidRDefault="00436F39" w:rsidP="00BF39B2">
      <w:pPr>
        <w:pStyle w:val="1"/>
        <w:rPr>
          <w:rtl/>
        </w:rPr>
      </w:pPr>
      <w:bookmarkStart w:id="14766" w:name="_Toc533413321"/>
      <w:bookmarkStart w:id="14767" w:name="_Toc533441215"/>
      <w:bookmarkStart w:id="14768" w:name="_Toc533441261"/>
      <w:bookmarkStart w:id="14769" w:name="_Toc533490183"/>
      <w:bookmarkStart w:id="14770" w:name="_Toc533506161"/>
      <w:bookmarkStart w:id="14771" w:name="_Toc533544405"/>
      <w:bookmarkStart w:id="14772" w:name="_Toc533544602"/>
    </w:p>
    <w:p w14:paraId="10FDC52C" w14:textId="77777777" w:rsidR="00436F39" w:rsidRDefault="00436F39" w:rsidP="00BF39B2">
      <w:pPr>
        <w:pStyle w:val="1"/>
        <w:rPr>
          <w:rtl/>
        </w:rPr>
      </w:pPr>
    </w:p>
    <w:p w14:paraId="7281F602" w14:textId="77777777" w:rsidR="00436F39" w:rsidRPr="00F45960" w:rsidRDefault="00436F39" w:rsidP="00BF39B2">
      <w:pPr>
        <w:pStyle w:val="1"/>
        <w:rPr>
          <w:rtl/>
        </w:rPr>
      </w:pPr>
      <w:bookmarkStart w:id="14773" w:name="_Toc19390938"/>
      <w:bookmarkStart w:id="14774" w:name="_Toc19394435"/>
      <w:r>
        <w:rPr>
          <w:rFonts w:hint="cs"/>
          <w:rtl/>
        </w:rPr>
        <w:t>חקירת החמד"ש אי איסור אבמה"ח מותר לפני שחיטת המיעו"ב</w:t>
      </w:r>
      <w:bookmarkEnd w:id="14766"/>
      <w:bookmarkEnd w:id="14767"/>
      <w:bookmarkEnd w:id="14768"/>
      <w:bookmarkEnd w:id="14769"/>
      <w:bookmarkEnd w:id="14770"/>
      <w:bookmarkEnd w:id="14771"/>
      <w:bookmarkEnd w:id="14772"/>
      <w:bookmarkEnd w:id="14773"/>
      <w:bookmarkEnd w:id="14774"/>
    </w:p>
    <w:p w14:paraId="7EC7A06F" w14:textId="77777777" w:rsidR="00436F39" w:rsidRDefault="00436F39" w:rsidP="006D6D32">
      <w:pPr>
        <w:pStyle w:val="a3"/>
        <w:rPr>
          <w:rtl/>
        </w:rPr>
      </w:pPr>
      <w:bookmarkStart w:id="14775" w:name="_Toc533544406"/>
      <w:bookmarkStart w:id="14776" w:name="_Toc533544603"/>
      <w:bookmarkStart w:id="14777" w:name="_Toc19390939"/>
      <w:bookmarkStart w:id="14778" w:name="_Toc19394436"/>
      <w:r>
        <w:rPr>
          <w:rFonts w:hint="cs"/>
          <w:rtl/>
        </w:rPr>
        <w:t>ספק החמד"ש אי איסור אבר מן החי מסתלק אחר שחיטת הרוב אף שממשיך לשחוט את המיעו"ב</w:t>
      </w:r>
      <w:bookmarkEnd w:id="14775"/>
      <w:bookmarkEnd w:id="14776"/>
      <w:bookmarkEnd w:id="14777"/>
      <w:bookmarkEnd w:id="14778"/>
    </w:p>
    <w:p w14:paraId="4B62D050" w14:textId="77777777" w:rsidR="00436F39" w:rsidRDefault="00436F39" w:rsidP="00223668">
      <w:pPr>
        <w:pStyle w:val="a0"/>
        <w:rPr>
          <w:rtl/>
        </w:rPr>
      </w:pPr>
      <w:r>
        <w:rPr>
          <w:rFonts w:hint="cs"/>
          <w:rtl/>
        </w:rPr>
        <w:t>הביא</w:t>
      </w:r>
      <w:r w:rsidRPr="002462BC">
        <w:rPr>
          <w:rFonts w:hint="cs"/>
          <w:rtl/>
        </w:rPr>
        <w:t xml:space="preserve"> </w:t>
      </w:r>
      <w:r w:rsidRPr="00F14CCC">
        <w:rPr>
          <w:rStyle w:val="af9"/>
          <w:rFonts w:hint="cs"/>
          <w:rtl/>
        </w:rPr>
        <w:t>החמד"ש</w:t>
      </w:r>
      <w:r>
        <w:rPr>
          <w:rFonts w:hint="cs"/>
          <w:rtl/>
        </w:rPr>
        <w:t xml:space="preserve"> </w:t>
      </w:r>
      <w:r w:rsidRPr="00F14CCC">
        <w:rPr>
          <w:rStyle w:val="af7"/>
          <w:rFonts w:eastAsia="Guttman Hodes" w:hint="cs"/>
          <w:rtl/>
        </w:rPr>
        <w:t>(יו"ד סי' ז' אות ז' ד"ה והואיל)</w:t>
      </w:r>
      <w:r>
        <w:rPr>
          <w:rFonts w:hint="cs"/>
          <w:rtl/>
        </w:rPr>
        <w:t xml:space="preserve"> את דברי </w:t>
      </w:r>
      <w:r w:rsidRPr="00F14CCC">
        <w:rPr>
          <w:rStyle w:val="af9"/>
          <w:rFonts w:hint="cs"/>
          <w:rtl/>
        </w:rPr>
        <w:t>התבו"ש</w:t>
      </w:r>
      <w:r>
        <w:rPr>
          <w:rFonts w:hint="cs"/>
          <w:rtl/>
        </w:rPr>
        <w:t xml:space="preserve"> </w:t>
      </w:r>
      <w:r w:rsidRPr="00F14CCC">
        <w:rPr>
          <w:rStyle w:val="af7"/>
          <w:rFonts w:eastAsia="Guttman Hodes" w:hint="cs"/>
          <w:rtl/>
        </w:rPr>
        <w:t xml:space="preserve">(עי' אות </w:t>
      </w:r>
      <w:r w:rsidRPr="00F14CCC">
        <w:rPr>
          <w:rStyle w:val="af7"/>
          <w:rFonts w:eastAsia="Guttman Hodes"/>
          <w:rtl/>
        </w:rPr>
        <w:fldChar w:fldCharType="begin"/>
      </w:r>
      <w:r w:rsidRPr="00F14CCC">
        <w:rPr>
          <w:rStyle w:val="af7"/>
          <w:rFonts w:eastAsia="Guttman Hodes"/>
          <w:rtl/>
        </w:rPr>
        <w:instrText xml:space="preserve"> </w:instrText>
      </w:r>
      <w:r w:rsidRPr="00F14CCC">
        <w:rPr>
          <w:rStyle w:val="af7"/>
          <w:rFonts w:eastAsia="Guttman Hodes" w:hint="cs"/>
        </w:rPr>
        <w:instrText>REF</w:instrText>
      </w:r>
      <w:r w:rsidRPr="00F14CCC">
        <w:rPr>
          <w:rStyle w:val="af7"/>
          <w:rFonts w:eastAsia="Guttman Hodes" w:hint="cs"/>
          <w:rtl/>
        </w:rPr>
        <w:instrText xml:space="preserve"> _</w:instrText>
      </w:r>
      <w:r w:rsidRPr="00F14CCC">
        <w:rPr>
          <w:rStyle w:val="af7"/>
          <w:rFonts w:eastAsia="Guttman Hodes" w:hint="cs"/>
        </w:rPr>
        <w:instrText>Ref533351132 \r \h</w:instrText>
      </w:r>
      <w:r w:rsidRPr="00F14CCC">
        <w:rPr>
          <w:rStyle w:val="af7"/>
          <w:rFonts w:eastAsia="Guttman Hodes"/>
          <w:rtl/>
        </w:rPr>
        <w:instrText xml:space="preserve"> </w:instrText>
      </w:r>
      <w:r w:rsidRPr="00F14CCC">
        <w:rPr>
          <w:rStyle w:val="af7"/>
          <w:rFonts w:eastAsia="Guttman Hodes"/>
          <w:rtl/>
        </w:rPr>
      </w:r>
      <w:r w:rsidRPr="00F14CCC">
        <w:rPr>
          <w:rStyle w:val="af7"/>
          <w:rFonts w:eastAsia="Guttman Hodes"/>
          <w:rtl/>
        </w:rPr>
        <w:fldChar w:fldCharType="separate"/>
      </w:r>
      <w:r w:rsidR="00345400">
        <w:rPr>
          <w:rStyle w:val="af7"/>
          <w:rFonts w:eastAsia="Guttman Hodes"/>
          <w:cs/>
        </w:rPr>
        <w:t>‎</w:t>
      </w:r>
      <w:r w:rsidR="00345400">
        <w:rPr>
          <w:rStyle w:val="af7"/>
          <w:rFonts w:eastAsia="Guttman Hodes"/>
          <w:rtl/>
        </w:rPr>
        <w:t>כג)</w:t>
      </w:r>
      <w:r w:rsidRPr="00F14CCC">
        <w:rPr>
          <w:rStyle w:val="af7"/>
          <w:rFonts w:eastAsia="Guttman Hodes"/>
          <w:rtl/>
        </w:rPr>
        <w:fldChar w:fldCharType="end"/>
      </w:r>
      <w:r>
        <w:rPr>
          <w:rFonts w:hint="cs"/>
          <w:rtl/>
        </w:rPr>
        <w:t xml:space="preserve"> דביאר בדעת </w:t>
      </w:r>
      <w:r w:rsidRPr="00F14CCC">
        <w:rPr>
          <w:rStyle w:val="af9"/>
          <w:rFonts w:hint="cs"/>
          <w:rtl/>
        </w:rPr>
        <w:t>רש"י</w:t>
      </w:r>
      <w:r>
        <w:rPr>
          <w:rFonts w:hint="cs"/>
          <w:rtl/>
        </w:rPr>
        <w:t xml:space="preserve"> דמיעוט בתרא פוסל מדאו', כיון שלכתחילה צריך לשחוט את כל הסימנים, ובשחיטת המיעוט גילה בדעתו שרוצה לשחוט את כל הסימן, וחקר </w:t>
      </w:r>
      <w:r w:rsidRPr="00F14CCC">
        <w:rPr>
          <w:rStyle w:val="af9"/>
          <w:rFonts w:hint="cs"/>
          <w:rtl/>
        </w:rPr>
        <w:t>החמד"ש</w:t>
      </w:r>
      <w:r>
        <w:rPr>
          <w:rFonts w:hint="cs"/>
          <w:rtl/>
        </w:rPr>
        <w:t xml:space="preserve"> במקום ששחט את כל הסימן, מתי מסתלק איסור אבר מן החי, האם אחר ששחט את רוב הסימן, כבר נסתלק האיסור, כיון שיכול להניח את השחיטה, והותרה הבהמה בשחיטת הרוב.</w:t>
      </w:r>
    </w:p>
    <w:p w14:paraId="28DE6EFF" w14:textId="77777777" w:rsidR="00436F39" w:rsidRDefault="00436F39" w:rsidP="006D6D32">
      <w:pPr>
        <w:pStyle w:val="a3"/>
        <w:rPr>
          <w:rtl/>
        </w:rPr>
      </w:pPr>
      <w:bookmarkStart w:id="14779" w:name="_Toc533544407"/>
      <w:bookmarkStart w:id="14780" w:name="_Toc533544604"/>
      <w:bookmarkStart w:id="14781" w:name="_Toc19390940"/>
      <w:bookmarkStart w:id="14782" w:name="_Toc19394437"/>
      <w:r>
        <w:rPr>
          <w:rFonts w:hint="cs"/>
          <w:rtl/>
        </w:rPr>
        <w:t>הצד הב' בחמד"ש דכששוחט את כל הסימן לא נגמרה השחיטה והאיסור מסתלק אחר המיעו"ב</w:t>
      </w:r>
      <w:bookmarkEnd w:id="14779"/>
      <w:bookmarkEnd w:id="14780"/>
      <w:bookmarkEnd w:id="14781"/>
      <w:bookmarkEnd w:id="14782"/>
    </w:p>
    <w:p w14:paraId="7854EF9F" w14:textId="77777777" w:rsidR="00436F39" w:rsidRDefault="00436F39" w:rsidP="00223668">
      <w:pPr>
        <w:pStyle w:val="a0"/>
        <w:rPr>
          <w:rtl/>
        </w:rPr>
      </w:pPr>
      <w:r>
        <w:rPr>
          <w:rFonts w:hint="cs"/>
          <w:rtl/>
        </w:rPr>
        <w:t xml:space="preserve">והצד השני כתב </w:t>
      </w:r>
      <w:r w:rsidRPr="00F14CCC">
        <w:rPr>
          <w:rStyle w:val="af9"/>
          <w:rFonts w:hint="cs"/>
          <w:rtl/>
        </w:rPr>
        <w:t>החמד"ש</w:t>
      </w:r>
      <w:r>
        <w:rPr>
          <w:rFonts w:hint="cs"/>
          <w:rtl/>
        </w:rPr>
        <w:t xml:space="preserve"> דכיון ששחט את כל הסימן, ולא נגמרה השחיטה עד אחר ששחט את המיעוט בתרא, ואפשר לפסול בו את השחיטה, א"כ אף איסור אבר מן החי לא נסתלק עד ששחט את כל הסימן, כיון שהמיעוט בתרא הוא חלק מהשחיטה.</w:t>
      </w:r>
    </w:p>
    <w:p w14:paraId="6D798F6F" w14:textId="77777777" w:rsidR="00436F39" w:rsidRPr="00F84B80" w:rsidRDefault="00436F39" w:rsidP="006D6D32">
      <w:pPr>
        <w:pStyle w:val="a3"/>
      </w:pPr>
      <w:bookmarkStart w:id="14783" w:name="_Toc533544408"/>
      <w:bookmarkStart w:id="14784" w:name="_Toc533544605"/>
      <w:bookmarkStart w:id="14785" w:name="_Toc19390941"/>
      <w:bookmarkStart w:id="14786" w:name="_Toc19394438"/>
      <w:r>
        <w:rPr>
          <w:rFonts w:hint="cs"/>
          <w:rtl/>
        </w:rPr>
        <w:t>דברי החמד"ש דלרש"י דמיעו"ב פוסל האיסור מסתלק אחר המיעו"ב דאל"ה הוא כמחתך ברגלה</w:t>
      </w:r>
      <w:bookmarkEnd w:id="14783"/>
      <w:bookmarkEnd w:id="14784"/>
      <w:bookmarkEnd w:id="14785"/>
      <w:bookmarkEnd w:id="14786"/>
    </w:p>
    <w:p w14:paraId="6B808C15" w14:textId="77777777" w:rsidR="00436F39" w:rsidRPr="00F84B80" w:rsidRDefault="00436F39" w:rsidP="00223668">
      <w:pPr>
        <w:pStyle w:val="a0"/>
        <w:rPr>
          <w:rtl/>
        </w:rPr>
      </w:pPr>
      <w:r w:rsidRPr="00F84B80">
        <w:rPr>
          <w:rFonts w:hint="cs"/>
          <w:rtl/>
        </w:rPr>
        <w:t xml:space="preserve">וכתב </w:t>
      </w:r>
      <w:r w:rsidRPr="00F14CCC">
        <w:rPr>
          <w:rStyle w:val="af9"/>
          <w:rFonts w:hint="cs"/>
          <w:rtl/>
        </w:rPr>
        <w:t>החמד"ש</w:t>
      </w:r>
      <w:r w:rsidRPr="00F84B80">
        <w:rPr>
          <w:rFonts w:hint="cs"/>
          <w:rtl/>
        </w:rPr>
        <w:t xml:space="preserve"> ד</w:t>
      </w:r>
      <w:r>
        <w:rPr>
          <w:rFonts w:hint="cs"/>
          <w:rtl/>
        </w:rPr>
        <w:t xml:space="preserve">לדעת </w:t>
      </w:r>
      <w:r w:rsidRPr="00303D54">
        <w:rPr>
          <w:rStyle w:val="af9"/>
          <w:rFonts w:hint="cs"/>
          <w:rtl/>
        </w:rPr>
        <w:t>רש"י</w:t>
      </w:r>
      <w:r w:rsidRPr="00F84B80">
        <w:rPr>
          <w:rFonts w:hint="cs"/>
          <w:rtl/>
        </w:rPr>
        <w:t xml:space="preserve"> ד</w:t>
      </w:r>
      <w:r>
        <w:rPr>
          <w:rFonts w:hint="cs"/>
          <w:rtl/>
        </w:rPr>
        <w:t>שהייה</w:t>
      </w:r>
      <w:r w:rsidRPr="00F84B80">
        <w:rPr>
          <w:rFonts w:hint="cs"/>
          <w:rtl/>
        </w:rPr>
        <w:t xml:space="preserve"> פוסלת במיעוט בתרא, מבואר דאיסור אבר מן החי אינו מסתלק עד גמר השחיטה, דאי לאחר שחיטת הרוב מסתלק האיסור, א"כ השחיטה במיעוט בתרא היא כד</w:t>
      </w:r>
      <w:r>
        <w:rPr>
          <w:rFonts w:hint="cs"/>
          <w:rtl/>
        </w:rPr>
        <w:t>ברי</w:t>
      </w:r>
      <w:r w:rsidRPr="00F84B80">
        <w:rPr>
          <w:rFonts w:hint="cs"/>
          <w:rtl/>
        </w:rPr>
        <w:t xml:space="preserve"> </w:t>
      </w:r>
      <w:r w:rsidRPr="00F14CCC">
        <w:rPr>
          <w:rStyle w:val="af9"/>
          <w:rFonts w:hint="cs"/>
          <w:rtl/>
        </w:rPr>
        <w:t>הריב"ם</w:t>
      </w:r>
      <w:r w:rsidRPr="00F14CCC">
        <w:rPr>
          <w:rStyle w:val="af7"/>
          <w:rFonts w:eastAsia="Guttman Hodes" w:hint="cs"/>
          <w:rtl/>
        </w:rPr>
        <w:t xml:space="preserve"> (עי' אות </w:t>
      </w:r>
      <w:r w:rsidRPr="00F14CCC">
        <w:rPr>
          <w:rStyle w:val="af7"/>
          <w:rFonts w:eastAsia="Guttman Hodes"/>
          <w:rtl/>
        </w:rPr>
        <w:fldChar w:fldCharType="begin"/>
      </w:r>
      <w:r w:rsidRPr="00F14CCC">
        <w:rPr>
          <w:rStyle w:val="af7"/>
          <w:rFonts w:eastAsia="Guttman Hodes"/>
          <w:rtl/>
        </w:rPr>
        <w:instrText xml:space="preserve"> </w:instrText>
      </w:r>
      <w:r w:rsidRPr="00F14CCC">
        <w:rPr>
          <w:rStyle w:val="af7"/>
          <w:rFonts w:eastAsia="Guttman Hodes" w:hint="cs"/>
        </w:rPr>
        <w:instrText>REF</w:instrText>
      </w:r>
      <w:r w:rsidRPr="00F14CCC">
        <w:rPr>
          <w:rStyle w:val="af7"/>
          <w:rFonts w:eastAsia="Guttman Hodes" w:hint="cs"/>
          <w:rtl/>
        </w:rPr>
        <w:instrText xml:space="preserve"> _</w:instrText>
      </w:r>
      <w:r w:rsidRPr="00F14CCC">
        <w:rPr>
          <w:rStyle w:val="af7"/>
          <w:rFonts w:eastAsia="Guttman Hodes" w:hint="cs"/>
        </w:rPr>
        <w:instrText>Ref533410348 \r \h</w:instrText>
      </w:r>
      <w:r w:rsidRPr="00F14CCC">
        <w:rPr>
          <w:rStyle w:val="af7"/>
          <w:rFonts w:eastAsia="Guttman Hodes"/>
          <w:rtl/>
        </w:rPr>
        <w:instrText xml:space="preserve"> </w:instrText>
      </w:r>
      <w:r w:rsidRPr="00F14CCC">
        <w:rPr>
          <w:rStyle w:val="af7"/>
          <w:rFonts w:eastAsia="Guttman Hodes"/>
          <w:rtl/>
        </w:rPr>
      </w:r>
      <w:r w:rsidRPr="00F14CCC">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F14CCC">
        <w:rPr>
          <w:rStyle w:val="af7"/>
          <w:rFonts w:eastAsia="Guttman Hodes"/>
          <w:rtl/>
        </w:rPr>
        <w:fldChar w:fldCharType="end"/>
      </w:r>
      <w:r w:rsidRPr="00F84B80">
        <w:rPr>
          <w:rFonts w:hint="cs"/>
          <w:rtl/>
        </w:rPr>
        <w:t xml:space="preserve"> דבהגרמה אין פסול במיעוט בתרא, כיון שאינו במקום שחיטה, חשיב כמחתך ברגלה, </w:t>
      </w:r>
      <w:r>
        <w:rPr>
          <w:rFonts w:hint="cs"/>
          <w:rtl/>
        </w:rPr>
        <w:t xml:space="preserve">אלא כתב </w:t>
      </w:r>
      <w:r w:rsidRPr="00F14CCC">
        <w:rPr>
          <w:rStyle w:val="af9"/>
          <w:rFonts w:hint="cs"/>
          <w:rtl/>
        </w:rPr>
        <w:t>החמד"ש</w:t>
      </w:r>
      <w:r>
        <w:rPr>
          <w:rFonts w:hint="cs"/>
          <w:rtl/>
        </w:rPr>
        <w:t xml:space="preserve"> דמוכח דלדעת </w:t>
      </w:r>
      <w:r w:rsidRPr="00F14CCC">
        <w:rPr>
          <w:rStyle w:val="af9"/>
          <w:rFonts w:hint="cs"/>
          <w:rtl/>
        </w:rPr>
        <w:t>רש"י</w:t>
      </w:r>
      <w:r>
        <w:rPr>
          <w:rFonts w:hint="cs"/>
          <w:rtl/>
        </w:rPr>
        <w:t xml:space="preserve"> האיסור לא נסתלק עד גמר השחיטה, ולכן אף במיעוט בתרא שייך שחיטה, ואינו כמחתך ברגלה.</w:t>
      </w:r>
    </w:p>
    <w:p w14:paraId="3D8AFE16" w14:textId="77777777" w:rsidR="00436F39" w:rsidRPr="005F7811" w:rsidRDefault="00436F39" w:rsidP="00223668">
      <w:pPr>
        <w:pStyle w:val="a0"/>
        <w:rPr>
          <w:rtl/>
        </w:rPr>
        <w:sectPr w:rsidR="00436F39" w:rsidRPr="005F7811" w:rsidSect="00073DAB">
          <w:type w:val="continuous"/>
          <w:pgSz w:w="11906" w:h="16838"/>
          <w:pgMar w:top="720" w:right="720" w:bottom="720" w:left="720" w:header="283" w:footer="283" w:gutter="0"/>
          <w:cols w:num="2" w:space="567"/>
          <w:titlePg/>
          <w:bidi/>
          <w:rtlGutter/>
          <w:docGrid w:linePitch="299"/>
        </w:sectPr>
      </w:pPr>
    </w:p>
    <w:p w14:paraId="18426098" w14:textId="77777777" w:rsidR="009837F5" w:rsidRDefault="009837F5" w:rsidP="00436F39">
      <w:pPr>
        <w:tabs>
          <w:tab w:val="left" w:pos="1163"/>
        </w:tabs>
        <w:spacing w:after="120" w:line="240" w:lineRule="auto"/>
        <w:ind w:left="0"/>
        <w:rPr>
          <w:rFonts w:ascii="Guttman Hodes" w:eastAsia="Guttman Hodes" w:hAnsi="Guttman Hodes" w:cs="Guttman Hodes"/>
          <w:noProof/>
          <w:sz w:val="18"/>
          <w:szCs w:val="18"/>
        </w:rPr>
        <w:sectPr w:rsidR="009837F5" w:rsidSect="007452E4">
          <w:type w:val="continuous"/>
          <w:pgSz w:w="11906" w:h="16838"/>
          <w:pgMar w:top="720" w:right="720" w:bottom="720" w:left="720" w:header="283" w:footer="283" w:gutter="0"/>
          <w:cols w:space="567"/>
          <w:bidi/>
          <w:rtlGutter/>
          <w:docGrid w:linePitch="299"/>
        </w:sectPr>
      </w:pPr>
    </w:p>
    <w:p w14:paraId="45806F73" w14:textId="77777777" w:rsidR="00436F39" w:rsidRPr="0061208F" w:rsidRDefault="004B65FC" w:rsidP="00436F39">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1CE69DE0">
          <v:shape id="_x0000_i1040" type="#_x0000_t75" style="width:404.55pt;height:6.8pt" o:hrpct="0" o:hralign="center" o:hr="t">
            <v:imagedata r:id="rId21" o:title="BD14845_"/>
          </v:shape>
        </w:pict>
      </w:r>
      <w:r w:rsidR="00436F39" w:rsidRPr="0061208F">
        <w:rPr>
          <w:rFonts w:ascii="Guttman Hodes" w:eastAsia="Guttman Hodes" w:hAnsi="Guttman Hodes" w:cs="Guttman Hodes" w:hint="cs"/>
          <w:noProof/>
          <w:sz w:val="18"/>
          <w:szCs w:val="18"/>
          <w:rtl/>
        </w:rPr>
        <w:t xml:space="preserve"> </w:t>
      </w:r>
    </w:p>
    <w:p w14:paraId="6B406C83" w14:textId="77777777" w:rsidR="00436F39" w:rsidRPr="004B27F1" w:rsidRDefault="00436F39" w:rsidP="006D6D32">
      <w:pPr>
        <w:pStyle w:val="afe"/>
        <w:rPr>
          <w:rtl/>
        </w:rPr>
      </w:pPr>
      <w:bookmarkStart w:id="14787" w:name="_Toc532810066"/>
      <w:bookmarkStart w:id="14788" w:name="_Toc533413322"/>
      <w:bookmarkStart w:id="14789" w:name="_Toc533441216"/>
      <w:bookmarkStart w:id="14790" w:name="_Toc533441262"/>
      <w:bookmarkStart w:id="14791" w:name="_Toc533490184"/>
      <w:bookmarkStart w:id="14792" w:name="_Toc533506162"/>
      <w:bookmarkStart w:id="14793" w:name="_Toc533544409"/>
      <w:bookmarkStart w:id="14794" w:name="_Toc533544606"/>
      <w:bookmarkStart w:id="14795" w:name="_Toc19435928"/>
      <w:bookmarkStart w:id="14796" w:name="_Toc20081155"/>
      <w:r>
        <w:rPr>
          <w:rFonts w:hint="cs"/>
          <w:rtl/>
        </w:rPr>
        <w:t>ביאורי ראשי הישיבות על הסוגיא</w:t>
      </w:r>
      <w:bookmarkEnd w:id="14787"/>
      <w:bookmarkEnd w:id="14788"/>
      <w:bookmarkEnd w:id="14789"/>
      <w:bookmarkEnd w:id="14790"/>
      <w:bookmarkEnd w:id="14791"/>
      <w:bookmarkEnd w:id="14792"/>
      <w:bookmarkEnd w:id="14793"/>
      <w:bookmarkEnd w:id="14794"/>
      <w:bookmarkEnd w:id="14795"/>
      <w:bookmarkEnd w:id="14796"/>
    </w:p>
    <w:p w14:paraId="218FC059" w14:textId="77777777" w:rsidR="00436F39" w:rsidRDefault="00436F39" w:rsidP="006D6D32">
      <w:pPr>
        <w:pStyle w:val="afe"/>
        <w:rPr>
          <w:rtl/>
        </w:rPr>
        <w:sectPr w:rsidR="00436F39" w:rsidSect="00073DAB">
          <w:pgSz w:w="11906" w:h="16838"/>
          <w:pgMar w:top="720" w:right="720" w:bottom="720" w:left="720" w:header="283" w:footer="283" w:gutter="0"/>
          <w:cols w:space="567"/>
          <w:bidi/>
          <w:rtlGutter/>
          <w:docGrid w:linePitch="299"/>
        </w:sectPr>
      </w:pPr>
    </w:p>
    <w:p w14:paraId="22D2D965" w14:textId="77777777" w:rsidR="00436F39" w:rsidRDefault="00436F39" w:rsidP="006D6D32">
      <w:pPr>
        <w:pStyle w:val="afe"/>
        <w:rPr>
          <w:rtl/>
        </w:rPr>
      </w:pPr>
      <w:bookmarkStart w:id="14797" w:name="_Toc532550672"/>
      <w:bookmarkStart w:id="14798" w:name="_Toc532550738"/>
      <w:bookmarkStart w:id="14799" w:name="_Toc532810067"/>
      <w:bookmarkStart w:id="14800" w:name="_Toc533413323"/>
      <w:bookmarkStart w:id="14801" w:name="_Toc533441217"/>
      <w:bookmarkStart w:id="14802" w:name="_Toc533441263"/>
      <w:bookmarkStart w:id="14803" w:name="_Toc533490185"/>
      <w:bookmarkStart w:id="14804" w:name="_Toc533506163"/>
      <w:bookmarkStart w:id="14805" w:name="_Toc533544410"/>
      <w:bookmarkStart w:id="14806" w:name="_Toc533544607"/>
      <w:bookmarkStart w:id="14807" w:name="_Toc19435929"/>
      <w:bookmarkStart w:id="14808" w:name="_Toc20081156"/>
      <w:r>
        <w:rPr>
          <w:rFonts w:hint="cs"/>
          <w:rtl/>
        </w:rPr>
        <w:t xml:space="preserve">בגדר </w:t>
      </w:r>
      <w:bookmarkEnd w:id="14797"/>
      <w:bookmarkEnd w:id="14798"/>
      <w:bookmarkEnd w:id="14799"/>
      <w:bookmarkEnd w:id="14800"/>
      <w:r>
        <w:rPr>
          <w:rFonts w:hint="cs"/>
          <w:rtl/>
        </w:rPr>
        <w:t>פסול שהייה והגרמה במיעו"ב</w:t>
      </w:r>
      <w:bookmarkEnd w:id="14801"/>
      <w:bookmarkEnd w:id="14802"/>
      <w:bookmarkEnd w:id="14803"/>
      <w:bookmarkEnd w:id="14804"/>
      <w:bookmarkEnd w:id="14805"/>
      <w:bookmarkEnd w:id="14806"/>
      <w:bookmarkEnd w:id="14807"/>
      <w:bookmarkEnd w:id="14808"/>
    </w:p>
    <w:p w14:paraId="0DEAC0FA" w14:textId="77777777" w:rsidR="00436F39" w:rsidRDefault="00436F39" w:rsidP="00BF39B2">
      <w:pPr>
        <w:pStyle w:val="1"/>
        <w:rPr>
          <w:rtl/>
        </w:rPr>
      </w:pPr>
      <w:bookmarkStart w:id="14809" w:name="_Toc532810071"/>
      <w:bookmarkStart w:id="14810" w:name="_Toc533413324"/>
      <w:bookmarkStart w:id="14811" w:name="_Toc533441218"/>
      <w:bookmarkStart w:id="14812" w:name="_Toc533441264"/>
      <w:bookmarkStart w:id="14813" w:name="_Toc533490186"/>
      <w:bookmarkStart w:id="14814" w:name="_Toc533506164"/>
      <w:bookmarkStart w:id="14815" w:name="_Toc533544411"/>
      <w:bookmarkStart w:id="14816" w:name="_Toc533544608"/>
      <w:bookmarkStart w:id="14817" w:name="_Toc19390942"/>
      <w:bookmarkStart w:id="14818" w:name="_Toc19394439"/>
      <w:r>
        <w:rPr>
          <w:rFonts w:hint="cs"/>
          <w:rtl/>
        </w:rPr>
        <w:t>דברי הזכר יצחק</w:t>
      </w:r>
      <w:bookmarkEnd w:id="14809"/>
      <w:bookmarkEnd w:id="14810"/>
      <w:bookmarkEnd w:id="14811"/>
      <w:bookmarkEnd w:id="14812"/>
      <w:bookmarkEnd w:id="14813"/>
      <w:bookmarkEnd w:id="14814"/>
      <w:r>
        <w:rPr>
          <w:rFonts w:hint="cs"/>
          <w:rtl/>
        </w:rPr>
        <w:t xml:space="preserve"> דהספק בחלדה מדאו' ובשהייה מדרבנן</w:t>
      </w:r>
      <w:bookmarkEnd w:id="14815"/>
      <w:bookmarkEnd w:id="14816"/>
      <w:bookmarkEnd w:id="14817"/>
      <w:bookmarkEnd w:id="14818"/>
    </w:p>
    <w:p w14:paraId="01F9DCAA" w14:textId="77777777" w:rsidR="00436F39" w:rsidRDefault="00436F39" w:rsidP="006D6D32">
      <w:pPr>
        <w:pStyle w:val="a3"/>
        <w:rPr>
          <w:rtl/>
        </w:rPr>
      </w:pPr>
      <w:bookmarkStart w:id="14819" w:name="_Toc533544412"/>
      <w:bookmarkStart w:id="14820" w:name="_Toc533544609"/>
      <w:bookmarkStart w:id="14821" w:name="_Toc19390943"/>
      <w:bookmarkStart w:id="14822" w:name="_Toc19394440"/>
      <w:r>
        <w:rPr>
          <w:rFonts w:hint="cs"/>
          <w:rtl/>
        </w:rPr>
        <w:t>דברי הזכר יצחק דפסול שהייה אינו בפוסל בעצם השחיטה אלא חשיב כב' שחיטות</w:t>
      </w:r>
      <w:bookmarkEnd w:id="14819"/>
      <w:bookmarkEnd w:id="14820"/>
      <w:bookmarkEnd w:id="14821"/>
      <w:bookmarkEnd w:id="14822"/>
    </w:p>
    <w:p w14:paraId="69930ED1" w14:textId="77777777" w:rsidR="00436F39" w:rsidRDefault="00436F39" w:rsidP="00223668">
      <w:pPr>
        <w:pStyle w:val="a0"/>
        <w:rPr>
          <w:rtl/>
        </w:rPr>
      </w:pPr>
      <w:bookmarkStart w:id="14823" w:name="_Ref533328299"/>
      <w:bookmarkStart w:id="14824" w:name="_Toc532550676"/>
      <w:bookmarkStart w:id="14825" w:name="_Toc532550742"/>
      <w:r>
        <w:rPr>
          <w:rFonts w:hint="cs"/>
          <w:rtl/>
        </w:rPr>
        <w:t xml:space="preserve">כתב </w:t>
      </w:r>
      <w:r w:rsidRPr="00981B66">
        <w:rPr>
          <w:rStyle w:val="af9"/>
          <w:rFonts w:hint="cs"/>
          <w:rtl/>
        </w:rPr>
        <w:t>הזכר יצחק</w:t>
      </w:r>
      <w:r>
        <w:rPr>
          <w:rFonts w:hint="cs"/>
          <w:rtl/>
        </w:rPr>
        <w:t xml:space="preserve"> </w:t>
      </w:r>
      <w:r w:rsidRPr="00257A45">
        <w:rPr>
          <w:rStyle w:val="af7"/>
          <w:rFonts w:eastAsia="Guttman Hodes" w:hint="cs"/>
          <w:rtl/>
        </w:rPr>
        <w:t xml:space="preserve">(ח"א סי' ל"ט ד"ה אופן הא') </w:t>
      </w:r>
      <w:r>
        <w:rPr>
          <w:rFonts w:hint="cs"/>
          <w:rtl/>
        </w:rPr>
        <w:t>דבעיקר הפסולים בשחיטה, יש לחלק בין הפסול בשהייה לפסול דריסה חלדה הגרמה ועיקור, דכל הפסולים הם בעצם השחיטה, שלא נשחטה הבהמה כפי  ציווי התורה, אבל בפסול שהייה, לא חשיב שלא נשחטה הבהמה כדין, אלא דכיון שהפסיק באמצע השחיטה ואח"כ המשיך, חשיבי כב' שחיטות, וא"א לצרפם לשחיטה אחת וממילא השחיטה הראשונה שאין בה שיעור שחיטה חשיבא כנקב בושט, ומשו"ה כל השחיטה פסולה</w:t>
      </w:r>
      <w:r>
        <w:rPr>
          <w:rStyle w:val="af1"/>
          <w:rtl/>
        </w:rPr>
        <w:footnoteReference w:id="96"/>
      </w:r>
      <w:r>
        <w:rPr>
          <w:rFonts w:hint="cs"/>
          <w:rtl/>
        </w:rPr>
        <w:t xml:space="preserve">, ועי' בדברי </w:t>
      </w:r>
      <w:r w:rsidRPr="00560434">
        <w:rPr>
          <w:rStyle w:val="af9"/>
          <w:rFonts w:hint="cs"/>
          <w:rtl/>
        </w:rPr>
        <w:t>הקוב"ש</w:t>
      </w:r>
      <w:r>
        <w:rPr>
          <w:rFonts w:hint="cs"/>
          <w:rtl/>
        </w:rPr>
        <w:t xml:space="preserve"> </w:t>
      </w:r>
      <w:r w:rsidRPr="00560434">
        <w:rPr>
          <w:rStyle w:val="af7"/>
          <w:rFonts w:eastAsia="Guttman Hodes" w:hint="cs"/>
          <w:rtl/>
        </w:rPr>
        <w:t xml:space="preserve">(עי' אות </w:t>
      </w:r>
      <w:r w:rsidRPr="00560434">
        <w:rPr>
          <w:rStyle w:val="af7"/>
          <w:rFonts w:eastAsia="Guttman Hodes"/>
          <w:rtl/>
        </w:rPr>
        <w:fldChar w:fldCharType="begin"/>
      </w:r>
      <w:r w:rsidRPr="00560434">
        <w:rPr>
          <w:rStyle w:val="af7"/>
          <w:rFonts w:eastAsia="Guttman Hodes"/>
          <w:rtl/>
        </w:rPr>
        <w:instrText xml:space="preserve"> </w:instrText>
      </w:r>
      <w:r w:rsidRPr="00560434">
        <w:rPr>
          <w:rStyle w:val="af7"/>
          <w:rFonts w:eastAsia="Guttman Hodes" w:hint="cs"/>
        </w:rPr>
        <w:instrText>REF</w:instrText>
      </w:r>
      <w:r w:rsidRPr="00560434">
        <w:rPr>
          <w:rStyle w:val="af7"/>
          <w:rFonts w:eastAsia="Guttman Hodes" w:hint="cs"/>
          <w:rtl/>
        </w:rPr>
        <w:instrText xml:space="preserve"> _</w:instrText>
      </w:r>
      <w:r w:rsidRPr="00560434">
        <w:rPr>
          <w:rStyle w:val="af7"/>
          <w:rFonts w:eastAsia="Guttman Hodes" w:hint="cs"/>
        </w:rPr>
        <w:instrText>Ref533535472 \r \h</w:instrText>
      </w:r>
      <w:r w:rsidRPr="00560434">
        <w:rPr>
          <w:rStyle w:val="af7"/>
          <w:rFonts w:eastAsia="Guttman Hodes"/>
          <w:rtl/>
        </w:rPr>
        <w:instrText xml:space="preserve"> </w:instrText>
      </w:r>
      <w:r w:rsidRPr="00560434">
        <w:rPr>
          <w:rStyle w:val="af7"/>
          <w:rFonts w:eastAsia="Guttman Hodes"/>
          <w:rtl/>
        </w:rPr>
      </w:r>
      <w:r w:rsidRPr="00560434">
        <w:rPr>
          <w:rStyle w:val="af7"/>
          <w:rFonts w:eastAsia="Guttman Hodes"/>
          <w:rtl/>
        </w:rPr>
        <w:fldChar w:fldCharType="separate"/>
      </w:r>
      <w:r w:rsidR="00345400">
        <w:rPr>
          <w:rStyle w:val="af7"/>
          <w:rFonts w:eastAsia="Guttman Hodes"/>
          <w:cs/>
        </w:rPr>
        <w:t>‎</w:t>
      </w:r>
      <w:r w:rsidR="00345400">
        <w:rPr>
          <w:rStyle w:val="af7"/>
          <w:rFonts w:eastAsia="Guttman Hodes"/>
          <w:rtl/>
        </w:rPr>
        <w:t>פט)</w:t>
      </w:r>
      <w:r w:rsidRPr="00560434">
        <w:rPr>
          <w:rStyle w:val="af7"/>
          <w:rFonts w:eastAsia="Guttman Hodes"/>
          <w:rtl/>
        </w:rPr>
        <w:fldChar w:fldCharType="end"/>
      </w:r>
      <w:r>
        <w:rPr>
          <w:rFonts w:hint="cs"/>
          <w:rtl/>
        </w:rPr>
        <w:t>.</w:t>
      </w:r>
      <w:bookmarkEnd w:id="14823"/>
    </w:p>
    <w:p w14:paraId="49AC5672" w14:textId="77777777" w:rsidR="00436F39" w:rsidRPr="00B372DE" w:rsidRDefault="00436F39" w:rsidP="006D6D32">
      <w:pPr>
        <w:pStyle w:val="a3"/>
        <w:rPr>
          <w:rtl/>
        </w:rPr>
      </w:pPr>
      <w:bookmarkStart w:id="14826" w:name="_Toc533544413"/>
      <w:bookmarkStart w:id="14827" w:name="_Toc533544610"/>
      <w:bookmarkStart w:id="14828" w:name="_Toc19390944"/>
      <w:bookmarkStart w:id="14829" w:name="_Toc19394441"/>
      <w:r>
        <w:rPr>
          <w:rFonts w:hint="cs"/>
          <w:rtl/>
        </w:rPr>
        <w:t>ביאור הזכר יצחק דרוב מהני מדין רובו ככולו חשיב שעיקר דין השחיטה בכולו נעשתה בפסול</w:t>
      </w:r>
      <w:bookmarkEnd w:id="14826"/>
      <w:bookmarkEnd w:id="14827"/>
      <w:bookmarkEnd w:id="14828"/>
      <w:bookmarkEnd w:id="14829"/>
    </w:p>
    <w:p w14:paraId="737D412E" w14:textId="77777777" w:rsidR="00436F39" w:rsidRPr="008D5A89" w:rsidRDefault="00436F39" w:rsidP="00223668">
      <w:pPr>
        <w:pStyle w:val="a0"/>
        <w:rPr>
          <w:rtl/>
        </w:rPr>
      </w:pPr>
      <w:r>
        <w:rPr>
          <w:rFonts w:hint="cs"/>
          <w:rtl/>
        </w:rPr>
        <w:t xml:space="preserve">וביאר </w:t>
      </w:r>
      <w:r w:rsidRPr="00981B66">
        <w:rPr>
          <w:rStyle w:val="af9"/>
          <w:rFonts w:hint="cs"/>
          <w:rtl/>
        </w:rPr>
        <w:t>הזכר יצחק</w:t>
      </w:r>
      <w:r>
        <w:rPr>
          <w:rFonts w:hint="cs"/>
          <w:rtl/>
        </w:rPr>
        <w:t xml:space="preserve"> </w:t>
      </w:r>
      <w:r w:rsidRPr="00257A45">
        <w:rPr>
          <w:rStyle w:val="af7"/>
          <w:rFonts w:eastAsia="Guttman Hodes" w:hint="cs"/>
          <w:rtl/>
        </w:rPr>
        <w:t xml:space="preserve">(ח"א סי' ל"ט ד"ה ועפי"ז) </w:t>
      </w:r>
      <w:r>
        <w:rPr>
          <w:rFonts w:hint="cs"/>
          <w:rtl/>
        </w:rPr>
        <w:t xml:space="preserve">דהספק בחלדה במיעוט בתרא לדעת </w:t>
      </w:r>
      <w:r w:rsidRPr="00C6367C">
        <w:rPr>
          <w:rStyle w:val="af9"/>
          <w:rFonts w:hint="cs"/>
          <w:rtl/>
        </w:rPr>
        <w:t>רש"י לקמן</w:t>
      </w:r>
      <w:r>
        <w:rPr>
          <w:rFonts w:hint="cs"/>
          <w:rtl/>
        </w:rPr>
        <w:t xml:space="preserve"> </w:t>
      </w:r>
      <w:r w:rsidRPr="00257A45">
        <w:rPr>
          <w:rStyle w:val="af7"/>
          <w:rFonts w:eastAsia="Guttman Hodes" w:hint="cs"/>
          <w:rtl/>
        </w:rPr>
        <w:t xml:space="preserve">(עי' אות </w:t>
      </w:r>
      <w:r w:rsidRPr="00C6367C">
        <w:rPr>
          <w:rStyle w:val="af7"/>
          <w:rFonts w:eastAsia="Guttman Hodes"/>
          <w:rtl/>
        </w:rPr>
        <w:fldChar w:fldCharType="begin"/>
      </w:r>
      <w:r w:rsidRPr="00C6367C">
        <w:rPr>
          <w:rStyle w:val="af7"/>
          <w:rFonts w:eastAsia="Guttman Hodes"/>
          <w:rtl/>
        </w:rPr>
        <w:instrText xml:space="preserve"> </w:instrText>
      </w:r>
      <w:r w:rsidRPr="00C6367C">
        <w:rPr>
          <w:rStyle w:val="af7"/>
          <w:rFonts w:eastAsia="Guttman Hodes" w:hint="cs"/>
        </w:rPr>
        <w:instrText>REF</w:instrText>
      </w:r>
      <w:r w:rsidRPr="00C6367C">
        <w:rPr>
          <w:rStyle w:val="af7"/>
          <w:rFonts w:eastAsia="Guttman Hodes" w:hint="cs"/>
          <w:rtl/>
        </w:rPr>
        <w:instrText xml:space="preserve"> _</w:instrText>
      </w:r>
      <w:r w:rsidRPr="00C6367C">
        <w:rPr>
          <w:rStyle w:val="af7"/>
          <w:rFonts w:eastAsia="Guttman Hodes" w:hint="cs"/>
        </w:rPr>
        <w:instrText>Ref532762646 \r \h</w:instrText>
      </w:r>
      <w:r w:rsidRPr="00C6367C">
        <w:rPr>
          <w:rStyle w:val="af7"/>
          <w:rFonts w:eastAsia="Guttman Hodes"/>
          <w:rtl/>
        </w:rPr>
        <w:instrText xml:space="preserve"> </w:instrText>
      </w:r>
      <w:r w:rsidRPr="00C6367C">
        <w:rPr>
          <w:rStyle w:val="af7"/>
          <w:rFonts w:eastAsia="Guttman Hodes"/>
          <w:rtl/>
        </w:rPr>
      </w:r>
      <w:r w:rsidRPr="00C6367C">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C6367C">
        <w:rPr>
          <w:rStyle w:val="af7"/>
          <w:rFonts w:eastAsia="Guttman Hodes"/>
          <w:rtl/>
        </w:rPr>
        <w:fldChar w:fldCharType="end"/>
      </w:r>
      <w:r>
        <w:rPr>
          <w:rFonts w:hint="cs"/>
          <w:rtl/>
        </w:rPr>
        <w:t xml:space="preserve">, הוא האם כיון שהוכשרה השחיטה ע"י הרוב, א"א לפוסלה אח"כ, או דכיון שמדאו' מצות השחיטה היא לשחוט את כל הסימן, והא דמהני הרוב הוא מדין רובו ככולו, א"כ כל שעשה פסול מפסולי השחיטה במיעוט בתרא הוא פוסל את השחיטה, כיון שהשחיטה שצריך לשחוט מעיקר הדין דאו', נעשתה </w:t>
      </w:r>
      <w:r w:rsidRPr="008D5A89">
        <w:rPr>
          <w:rFonts w:hint="cs"/>
          <w:rtl/>
        </w:rPr>
        <w:t>בפסול.</w:t>
      </w:r>
    </w:p>
    <w:p w14:paraId="273A85E3" w14:textId="77777777" w:rsidR="00436F39" w:rsidRPr="008D5A89" w:rsidRDefault="00436F39" w:rsidP="006D6D32">
      <w:pPr>
        <w:pStyle w:val="a3"/>
        <w:rPr>
          <w:rtl/>
        </w:rPr>
      </w:pPr>
      <w:bookmarkStart w:id="14830" w:name="_Toc533544414"/>
      <w:bookmarkStart w:id="14831" w:name="_Toc533544611"/>
      <w:bookmarkStart w:id="14832" w:name="_Toc19390945"/>
      <w:bookmarkStart w:id="14833" w:name="_Toc19394442"/>
      <w:r w:rsidRPr="008D5A89">
        <w:rPr>
          <w:rFonts w:hint="cs"/>
          <w:rtl/>
        </w:rPr>
        <w:t>דברי הזכר יצחק דבשהייה ס"ל לרש"י דמדאו' אין פסול במיעו"ב דא"צ לצרף את שחיטת המיעו"ב</w:t>
      </w:r>
      <w:bookmarkEnd w:id="14830"/>
      <w:bookmarkEnd w:id="14831"/>
      <w:bookmarkEnd w:id="14832"/>
      <w:bookmarkEnd w:id="14833"/>
    </w:p>
    <w:p w14:paraId="0B2F18D4" w14:textId="77777777" w:rsidR="00436F39" w:rsidRPr="008D5A89" w:rsidRDefault="00436F39" w:rsidP="00223668">
      <w:pPr>
        <w:pStyle w:val="a0"/>
        <w:rPr>
          <w:rtl/>
        </w:rPr>
      </w:pPr>
      <w:r w:rsidRPr="008D5A89">
        <w:rPr>
          <w:rFonts w:hint="cs"/>
          <w:rtl/>
        </w:rPr>
        <w:t xml:space="preserve">ובזה תירץ </w:t>
      </w:r>
      <w:r w:rsidRPr="008D5A89">
        <w:rPr>
          <w:rStyle w:val="af9"/>
          <w:rFonts w:hint="cs"/>
          <w:rtl/>
        </w:rPr>
        <w:t>הזכר יצחק</w:t>
      </w:r>
      <w:r w:rsidRPr="008D5A89">
        <w:rPr>
          <w:rFonts w:hint="cs"/>
          <w:rtl/>
        </w:rPr>
        <w:t xml:space="preserve"> </w:t>
      </w:r>
      <w:r w:rsidRPr="008D5A89">
        <w:rPr>
          <w:rStyle w:val="af7"/>
          <w:rFonts w:eastAsia="Guttman Hodes" w:hint="cs"/>
          <w:rtl/>
        </w:rPr>
        <w:t xml:space="preserve">(ח"א סי' ל"ט ד"ה ועפי"ז) </w:t>
      </w:r>
      <w:r w:rsidRPr="008D5A89">
        <w:rPr>
          <w:rFonts w:hint="cs"/>
          <w:rtl/>
        </w:rPr>
        <w:t xml:space="preserve">את דברי </w:t>
      </w:r>
      <w:r w:rsidRPr="008D5A89">
        <w:rPr>
          <w:rStyle w:val="af9"/>
          <w:rFonts w:hint="cs"/>
          <w:rtl/>
        </w:rPr>
        <w:t>רש"י לקמן</w:t>
      </w:r>
      <w:r w:rsidRPr="008D5A89">
        <w:rPr>
          <w:rFonts w:hint="cs"/>
          <w:rtl/>
        </w:rPr>
        <w:t xml:space="preserve"> </w:t>
      </w:r>
      <w:r w:rsidRPr="008D5A89">
        <w:rPr>
          <w:rStyle w:val="af7"/>
          <w:rFonts w:eastAsia="Guttman Hodes" w:hint="cs"/>
          <w:rtl/>
        </w:rPr>
        <w:t xml:space="preserve">(עי' אות </w:t>
      </w:r>
      <w:r w:rsidRPr="008D5A89">
        <w:rPr>
          <w:rStyle w:val="af7"/>
          <w:rFonts w:eastAsia="Guttman Hodes"/>
          <w:rtl/>
        </w:rPr>
        <w:fldChar w:fldCharType="begin"/>
      </w:r>
      <w:r w:rsidRPr="008D5A89">
        <w:rPr>
          <w:rStyle w:val="af7"/>
          <w:rFonts w:eastAsia="Guttman Hodes"/>
          <w:rtl/>
        </w:rPr>
        <w:instrText xml:space="preserve"> </w:instrText>
      </w:r>
      <w:r w:rsidRPr="008D5A89">
        <w:rPr>
          <w:rStyle w:val="af7"/>
          <w:rFonts w:eastAsia="Guttman Hodes" w:hint="cs"/>
        </w:rPr>
        <w:instrText>REF</w:instrText>
      </w:r>
      <w:r w:rsidRPr="008D5A89">
        <w:rPr>
          <w:rStyle w:val="af7"/>
          <w:rFonts w:eastAsia="Guttman Hodes" w:hint="cs"/>
          <w:rtl/>
        </w:rPr>
        <w:instrText xml:space="preserve"> _</w:instrText>
      </w:r>
      <w:r w:rsidRPr="008D5A89">
        <w:rPr>
          <w:rStyle w:val="af7"/>
          <w:rFonts w:eastAsia="Guttman Hodes" w:hint="cs"/>
        </w:rPr>
        <w:instrText>Ref532762646 \r \h</w:instrText>
      </w:r>
      <w:r w:rsidRPr="008D5A8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8D5A89">
        <w:rPr>
          <w:rStyle w:val="af7"/>
          <w:rFonts w:eastAsia="Guttman Hodes"/>
          <w:rtl/>
        </w:rPr>
      </w:r>
      <w:r w:rsidRPr="008D5A89">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8D5A89">
        <w:rPr>
          <w:rStyle w:val="af7"/>
          <w:rFonts w:eastAsia="Guttman Hodes"/>
          <w:rtl/>
        </w:rPr>
        <w:fldChar w:fldCharType="end"/>
      </w:r>
      <w:r w:rsidRPr="008D5A89">
        <w:rPr>
          <w:rStyle w:val="af7"/>
          <w:rFonts w:eastAsia="Guttman Hodes" w:hint="cs"/>
          <w:rtl/>
        </w:rPr>
        <w:t xml:space="preserve"> </w:t>
      </w:r>
      <w:r w:rsidRPr="008D5A89">
        <w:rPr>
          <w:rFonts w:hint="cs"/>
          <w:rtl/>
        </w:rPr>
        <w:t xml:space="preserve">דביאר את הספק בחלדה במיעוט בתרא, ממה שהקשו עליו </w:t>
      </w:r>
      <w:r w:rsidRPr="008D5A89">
        <w:rPr>
          <w:rStyle w:val="af9"/>
          <w:rFonts w:hint="cs"/>
          <w:rtl/>
        </w:rPr>
        <w:t>התוס'</w:t>
      </w:r>
      <w:r w:rsidRPr="008D5A89">
        <w:rPr>
          <w:rFonts w:hint="cs"/>
          <w:rtl/>
        </w:rPr>
        <w:t xml:space="preserve"> </w:t>
      </w:r>
      <w:r w:rsidRPr="008D5A89">
        <w:rPr>
          <w:rStyle w:val="af7"/>
          <w:rFonts w:eastAsia="Guttman Hodes" w:hint="cs"/>
          <w:rtl/>
        </w:rPr>
        <w:t xml:space="preserve">(עי' אות </w:t>
      </w:r>
      <w:r w:rsidRPr="008D5A89">
        <w:rPr>
          <w:rStyle w:val="af7"/>
          <w:rFonts w:eastAsia="Guttman Hodes"/>
          <w:rtl/>
        </w:rPr>
        <w:fldChar w:fldCharType="begin"/>
      </w:r>
      <w:r w:rsidRPr="008D5A89">
        <w:rPr>
          <w:rStyle w:val="af7"/>
          <w:rFonts w:eastAsia="Guttman Hodes"/>
          <w:rtl/>
        </w:rPr>
        <w:instrText xml:space="preserve"> </w:instrText>
      </w:r>
      <w:r w:rsidRPr="008D5A89">
        <w:rPr>
          <w:rStyle w:val="af7"/>
          <w:rFonts w:eastAsia="Guttman Hodes" w:hint="cs"/>
        </w:rPr>
        <w:instrText>REF</w:instrText>
      </w:r>
      <w:r w:rsidRPr="008D5A89">
        <w:rPr>
          <w:rStyle w:val="af7"/>
          <w:rFonts w:eastAsia="Guttman Hodes" w:hint="cs"/>
          <w:rtl/>
        </w:rPr>
        <w:instrText xml:space="preserve"> _</w:instrText>
      </w:r>
      <w:r w:rsidRPr="008D5A89">
        <w:rPr>
          <w:rStyle w:val="af7"/>
          <w:rFonts w:eastAsia="Guttman Hodes" w:hint="cs"/>
        </w:rPr>
        <w:instrText>Ref532762806 \r \h</w:instrText>
      </w:r>
      <w:r w:rsidRPr="008D5A8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8D5A89">
        <w:rPr>
          <w:rStyle w:val="af7"/>
          <w:rFonts w:eastAsia="Guttman Hodes"/>
          <w:rtl/>
        </w:rPr>
      </w:r>
      <w:r w:rsidRPr="008D5A89">
        <w:rPr>
          <w:rStyle w:val="af7"/>
          <w:rFonts w:eastAsia="Guttman Hodes"/>
          <w:rtl/>
        </w:rPr>
        <w:fldChar w:fldCharType="separate"/>
      </w:r>
      <w:r w:rsidR="00345400">
        <w:rPr>
          <w:rStyle w:val="af7"/>
          <w:rFonts w:eastAsia="Guttman Hodes"/>
          <w:cs/>
        </w:rPr>
        <w:t>‎</w:t>
      </w:r>
      <w:r w:rsidR="00345400">
        <w:rPr>
          <w:rStyle w:val="af7"/>
          <w:rFonts w:eastAsia="Guttman Hodes"/>
          <w:rtl/>
        </w:rPr>
        <w:t>נ)</w:t>
      </w:r>
      <w:r w:rsidRPr="008D5A89">
        <w:rPr>
          <w:rStyle w:val="af7"/>
          <w:rFonts w:eastAsia="Guttman Hodes"/>
          <w:rtl/>
        </w:rPr>
        <w:fldChar w:fldCharType="end"/>
      </w:r>
      <w:r w:rsidRPr="008D5A89">
        <w:rPr>
          <w:rStyle w:val="af7"/>
          <w:rFonts w:eastAsia="Guttman Hodes" w:hint="cs"/>
          <w:rtl/>
        </w:rPr>
        <w:t xml:space="preserve">  </w:t>
      </w:r>
      <w:r w:rsidRPr="008D5A89">
        <w:rPr>
          <w:rFonts w:hint="cs"/>
          <w:rtl/>
        </w:rPr>
        <w:t xml:space="preserve">מהתוספתא דהכשירה שהייה אחר שחיטת רוב הסימן, דכל מה דכתב </w:t>
      </w:r>
      <w:r w:rsidRPr="008D5A89">
        <w:rPr>
          <w:rStyle w:val="af9"/>
          <w:rFonts w:hint="cs"/>
          <w:rtl/>
        </w:rPr>
        <w:t>רש"י</w:t>
      </w:r>
      <w:r w:rsidRPr="008D5A89">
        <w:rPr>
          <w:rFonts w:hint="cs"/>
          <w:rtl/>
        </w:rPr>
        <w:t xml:space="preserve"> דהמיעוט בתרא פוסל את השחיטה, הוא בפסול בעצם השחיטה, כחלדה הגרמה ועיקור, אבל בשהייה דאינה פסול בשחיטה, אלא שכיון ששהה באמצע השחיטה חשיבי כב' שחיטות וא"א לצרפם, וא"כ אחר ששחט את רוב הסימן, מדאו' אין כל נ"מ ממה ששהה לפני שחיטת המיעוט בתרא, דאף שא"א לצרף את ב' השחיטות מ"מ בשחיטה הראשונה יש שיעור של רוב סימן ואינה כנקב בושט, והיא לבדה מכשירה את השחיטה, וכתב </w:t>
      </w:r>
      <w:r w:rsidRPr="008D5A89">
        <w:rPr>
          <w:rStyle w:val="af9"/>
          <w:rFonts w:hint="cs"/>
          <w:rtl/>
        </w:rPr>
        <w:t>הזכר יצחק</w:t>
      </w:r>
      <w:r w:rsidRPr="008D5A89">
        <w:rPr>
          <w:rFonts w:hint="cs"/>
          <w:rtl/>
        </w:rPr>
        <w:t xml:space="preserve"> דבזה ביאר </w:t>
      </w:r>
      <w:r w:rsidRPr="008D5A89">
        <w:rPr>
          <w:rStyle w:val="af9"/>
          <w:rFonts w:hint="cs"/>
          <w:rtl/>
        </w:rPr>
        <w:t>רש"י</w:t>
      </w:r>
      <w:r w:rsidRPr="008D5A89">
        <w:rPr>
          <w:rFonts w:hint="cs"/>
          <w:rtl/>
        </w:rPr>
        <w:t xml:space="preserve"> את התוספתא שהכשירה במיעוט בתרא.</w:t>
      </w:r>
    </w:p>
    <w:p w14:paraId="28D83BCF" w14:textId="77777777" w:rsidR="00436F39" w:rsidRPr="008D5A89" w:rsidRDefault="00436F39" w:rsidP="006D6D32">
      <w:pPr>
        <w:pStyle w:val="a3"/>
        <w:rPr>
          <w:rtl/>
        </w:rPr>
      </w:pPr>
      <w:bookmarkStart w:id="14834" w:name="_Toc533544415"/>
      <w:bookmarkStart w:id="14835" w:name="_Toc533544612"/>
      <w:bookmarkStart w:id="14836" w:name="_Toc19390946"/>
      <w:bookmarkStart w:id="14837" w:name="_Toc19394443"/>
      <w:r w:rsidRPr="008D5A89">
        <w:rPr>
          <w:rFonts w:hint="cs"/>
          <w:rtl/>
        </w:rPr>
        <w:t>ביאור הזכר יצחק דהספק בשהייה במיעו"ב הוא מדרבנן אטו שאר פסולים</w:t>
      </w:r>
      <w:bookmarkEnd w:id="14834"/>
      <w:bookmarkEnd w:id="14835"/>
      <w:bookmarkEnd w:id="14836"/>
      <w:bookmarkEnd w:id="14837"/>
    </w:p>
    <w:p w14:paraId="0A7B2FEC" w14:textId="77777777" w:rsidR="00436F39" w:rsidRDefault="00436F39" w:rsidP="00223668">
      <w:pPr>
        <w:pStyle w:val="a0"/>
        <w:rPr>
          <w:rtl/>
        </w:rPr>
      </w:pPr>
      <w:r w:rsidRPr="008D5A89">
        <w:rPr>
          <w:rFonts w:hint="cs"/>
          <w:rtl/>
        </w:rPr>
        <w:t xml:space="preserve">וכתב </w:t>
      </w:r>
      <w:r w:rsidRPr="008D5A89">
        <w:rPr>
          <w:rStyle w:val="af9"/>
          <w:rFonts w:hint="cs"/>
          <w:rtl/>
        </w:rPr>
        <w:t xml:space="preserve">הזכר יצחק </w:t>
      </w:r>
      <w:r w:rsidRPr="008D5A89">
        <w:rPr>
          <w:rFonts w:hint="cs"/>
          <w:rtl/>
        </w:rPr>
        <w:t xml:space="preserve">דהא דביאר </w:t>
      </w:r>
      <w:r w:rsidRPr="008D5A89">
        <w:rPr>
          <w:rStyle w:val="af9"/>
          <w:rFonts w:hint="cs"/>
          <w:rtl/>
        </w:rPr>
        <w:t xml:space="preserve">רש"י לקמן </w:t>
      </w:r>
      <w:r w:rsidRPr="008D5A89">
        <w:rPr>
          <w:rStyle w:val="af7"/>
          <w:rFonts w:eastAsia="Guttman Hodes" w:hint="cs"/>
          <w:rtl/>
        </w:rPr>
        <w:t xml:space="preserve">(עי' אות </w:t>
      </w:r>
      <w:r w:rsidRPr="008D5A89">
        <w:rPr>
          <w:rStyle w:val="af7"/>
          <w:rFonts w:eastAsia="Guttman Hodes"/>
          <w:rtl/>
        </w:rPr>
        <w:fldChar w:fldCharType="begin"/>
      </w:r>
      <w:r w:rsidRPr="008D5A89">
        <w:rPr>
          <w:rStyle w:val="af7"/>
          <w:rFonts w:eastAsia="Guttman Hodes"/>
          <w:rtl/>
        </w:rPr>
        <w:instrText xml:space="preserve"> </w:instrText>
      </w:r>
      <w:r w:rsidRPr="008D5A89">
        <w:rPr>
          <w:rStyle w:val="af7"/>
          <w:rFonts w:eastAsia="Guttman Hodes" w:hint="cs"/>
        </w:rPr>
        <w:instrText>REF</w:instrText>
      </w:r>
      <w:r w:rsidRPr="008D5A89">
        <w:rPr>
          <w:rStyle w:val="af7"/>
          <w:rFonts w:eastAsia="Guttman Hodes" w:hint="cs"/>
          <w:rtl/>
        </w:rPr>
        <w:instrText xml:space="preserve"> _</w:instrText>
      </w:r>
      <w:r w:rsidRPr="008D5A89">
        <w:rPr>
          <w:rStyle w:val="af7"/>
          <w:rFonts w:eastAsia="Guttman Hodes" w:hint="cs"/>
        </w:rPr>
        <w:instrText>Ref532319483 \r \h</w:instrText>
      </w:r>
      <w:r w:rsidRPr="008D5A8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8D5A89">
        <w:rPr>
          <w:rStyle w:val="af7"/>
          <w:rFonts w:eastAsia="Guttman Hodes"/>
          <w:rtl/>
        </w:rPr>
      </w:r>
      <w:r w:rsidRPr="008D5A89">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8D5A89">
        <w:rPr>
          <w:rStyle w:val="af7"/>
          <w:rFonts w:eastAsia="Guttman Hodes"/>
          <w:rtl/>
        </w:rPr>
        <w:fldChar w:fldCharType="end"/>
      </w:r>
      <w:r w:rsidRPr="008D5A89">
        <w:rPr>
          <w:rFonts w:hint="cs"/>
          <w:rtl/>
        </w:rPr>
        <w:t xml:space="preserve"> את הספק בשהיה במיעוט סימנים ג"כ בשהיה במיעוט בתרא, אין כוונת </w:t>
      </w:r>
      <w:r w:rsidRPr="008D5A89">
        <w:rPr>
          <w:rStyle w:val="af9"/>
          <w:rFonts w:hint="cs"/>
          <w:rtl/>
        </w:rPr>
        <w:t xml:space="preserve">רש"י </w:t>
      </w:r>
      <w:r w:rsidRPr="008D5A89">
        <w:rPr>
          <w:rFonts w:hint="cs"/>
          <w:rtl/>
        </w:rPr>
        <w:t xml:space="preserve">שיש בזה ספק מדאו', כדס"ל בחלדה הגרמה ועיקור, אלא הוא ספק מדרבנן, דכיון דמדאו' בשאר הפסולים יש ספק איסור במיעוט בתרא, לכן גזרו רבנן אף בשהיה, דחששו שלא כו"ע יודעים את החילוק בין הפסולים, ויאמרו דכמו שבשהיה אין פסול במיעוט בתרא, ה"ה בשאר הפסולין, אך כתב </w:t>
      </w:r>
      <w:r w:rsidRPr="008D5A89">
        <w:rPr>
          <w:rStyle w:val="af9"/>
          <w:rFonts w:hint="cs"/>
          <w:rtl/>
        </w:rPr>
        <w:t xml:space="preserve">הזכר יצחק </w:t>
      </w:r>
      <w:r w:rsidRPr="008D5A89">
        <w:rPr>
          <w:rFonts w:hint="cs"/>
          <w:rtl/>
        </w:rPr>
        <w:t xml:space="preserve">דמעיקר הדין דאו', פשיטא לגמ' דאין פסול בשהיה במיעוט בתרא, וכדאיתא בתוספתא שהביאו </w:t>
      </w:r>
      <w:r w:rsidRPr="008D5A89">
        <w:rPr>
          <w:rStyle w:val="af9"/>
          <w:rFonts w:hint="cs"/>
          <w:rtl/>
        </w:rPr>
        <w:t>התוס'</w:t>
      </w:r>
      <w:r w:rsidRPr="008D5A89">
        <w:rPr>
          <w:rFonts w:hint="cs"/>
          <w:rtl/>
        </w:rPr>
        <w:t>.</w:t>
      </w:r>
    </w:p>
    <w:p w14:paraId="32EA1B4B" w14:textId="77777777" w:rsidR="00436F39" w:rsidRDefault="00436F39" w:rsidP="00BF39B2">
      <w:pPr>
        <w:pStyle w:val="1"/>
        <w:rPr>
          <w:rtl/>
        </w:rPr>
      </w:pPr>
      <w:bookmarkStart w:id="14838" w:name="_Toc533413325"/>
      <w:bookmarkStart w:id="14839" w:name="_Toc533441219"/>
      <w:bookmarkStart w:id="14840" w:name="_Toc533441265"/>
      <w:bookmarkStart w:id="14841" w:name="_Toc533490187"/>
      <w:bookmarkStart w:id="14842" w:name="_Toc533506165"/>
      <w:bookmarkStart w:id="14843" w:name="_Toc533544416"/>
      <w:bookmarkStart w:id="14844" w:name="_Toc533544613"/>
      <w:bookmarkStart w:id="14845" w:name="_Toc19390947"/>
      <w:bookmarkStart w:id="14846" w:name="_Toc19394444"/>
      <w:r w:rsidRPr="008D5A89">
        <w:rPr>
          <w:rFonts w:hint="cs"/>
          <w:rtl/>
        </w:rPr>
        <w:t>דברי הקוב"ש</w:t>
      </w:r>
      <w:bookmarkEnd w:id="14838"/>
      <w:bookmarkEnd w:id="14839"/>
      <w:bookmarkEnd w:id="14840"/>
      <w:bookmarkEnd w:id="14841"/>
      <w:bookmarkEnd w:id="14842"/>
      <w:bookmarkEnd w:id="14843"/>
      <w:bookmarkEnd w:id="14844"/>
      <w:r w:rsidRPr="008D5A89">
        <w:rPr>
          <w:rFonts w:hint="cs"/>
          <w:rtl/>
        </w:rPr>
        <w:t xml:space="preserve"> דשהייה</w:t>
      </w:r>
      <w:r>
        <w:rPr>
          <w:rFonts w:hint="cs"/>
          <w:rtl/>
        </w:rPr>
        <w:t xml:space="preserve"> במיעו"ב הוא פסול בעצם המעשה היתר</w:t>
      </w:r>
      <w:bookmarkEnd w:id="14845"/>
      <w:bookmarkEnd w:id="14846"/>
    </w:p>
    <w:p w14:paraId="5A25ECAD" w14:textId="77777777" w:rsidR="00436F39" w:rsidRPr="002D5E77" w:rsidRDefault="00436F39" w:rsidP="006D6D32">
      <w:pPr>
        <w:pStyle w:val="a3"/>
        <w:rPr>
          <w:rtl/>
        </w:rPr>
      </w:pPr>
      <w:bookmarkStart w:id="14847" w:name="_Toc533544417"/>
      <w:bookmarkStart w:id="14848" w:name="_Toc533544614"/>
      <w:bookmarkStart w:id="14849" w:name="_Toc19390948"/>
      <w:bookmarkStart w:id="14850" w:name="_Toc19394445"/>
      <w:r>
        <w:rPr>
          <w:rFonts w:hint="cs"/>
          <w:rtl/>
        </w:rPr>
        <w:t>חקירת הקוב"ש אי שהייה הוא פסול מצד עצמו או שהוא חסרון בצירוף השחיטות</w:t>
      </w:r>
      <w:bookmarkEnd w:id="14847"/>
      <w:bookmarkEnd w:id="14848"/>
      <w:bookmarkEnd w:id="14849"/>
      <w:bookmarkEnd w:id="14850"/>
    </w:p>
    <w:p w14:paraId="7BF5A048" w14:textId="77777777" w:rsidR="00436F39" w:rsidRDefault="00436F39" w:rsidP="00223668">
      <w:pPr>
        <w:pStyle w:val="a0"/>
        <w:rPr>
          <w:rtl/>
        </w:rPr>
      </w:pPr>
      <w:bookmarkStart w:id="14851" w:name="_Ref533535472"/>
      <w:bookmarkStart w:id="14852" w:name="_Toc532810072"/>
      <w:r>
        <w:rPr>
          <w:rFonts w:hint="cs"/>
          <w:rtl/>
        </w:rPr>
        <w:t xml:space="preserve">הביא </w:t>
      </w:r>
      <w:r w:rsidRPr="00220AD0">
        <w:rPr>
          <w:rStyle w:val="af9"/>
          <w:rFonts w:hint="cs"/>
          <w:rtl/>
        </w:rPr>
        <w:t>הקוב"ש</w:t>
      </w:r>
      <w:r>
        <w:rPr>
          <w:rFonts w:hint="cs"/>
          <w:rtl/>
        </w:rPr>
        <w:t xml:space="preserve"> </w:t>
      </w:r>
      <w:r w:rsidRPr="00C1124E">
        <w:rPr>
          <w:rStyle w:val="af7"/>
          <w:rFonts w:eastAsia="Guttman Hodes" w:hint="cs"/>
          <w:rtl/>
        </w:rPr>
        <w:t xml:space="preserve">(ח"ב קובץ שמועות חולין אות כ"א) </w:t>
      </w:r>
      <w:r>
        <w:rPr>
          <w:rFonts w:hint="cs"/>
          <w:rtl/>
        </w:rPr>
        <w:t xml:space="preserve">שיש מקשים </w:t>
      </w:r>
      <w:r w:rsidRPr="00C37CAA">
        <w:rPr>
          <w:rStyle w:val="afb"/>
          <w:rFonts w:hint="cs"/>
          <w:rtl/>
        </w:rPr>
        <w:t>[</w:t>
      </w:r>
      <w:r w:rsidRPr="0092592F">
        <w:rPr>
          <w:rStyle w:val="affa"/>
          <w:rFonts w:hint="cs"/>
          <w:rtl/>
        </w:rPr>
        <w:t xml:space="preserve">מאירי </w:t>
      </w:r>
      <w:r w:rsidRPr="0092592F">
        <w:rPr>
          <w:rStyle w:val="aff6"/>
          <w:rFonts w:hint="cs"/>
          <w:rtl/>
        </w:rPr>
        <w:t xml:space="preserve">(עי' אות </w:t>
      </w:r>
      <w:r w:rsidRPr="0092592F">
        <w:rPr>
          <w:rStyle w:val="aff6"/>
          <w:rtl/>
        </w:rPr>
        <w:fldChar w:fldCharType="begin"/>
      </w:r>
      <w:r w:rsidRPr="0092592F">
        <w:rPr>
          <w:rStyle w:val="aff6"/>
          <w:rtl/>
        </w:rPr>
        <w:instrText xml:space="preserve"> </w:instrText>
      </w:r>
      <w:r w:rsidRPr="0092592F">
        <w:rPr>
          <w:rStyle w:val="aff6"/>
          <w:rFonts w:hint="cs"/>
        </w:rPr>
        <w:instrText>REF</w:instrText>
      </w:r>
      <w:r w:rsidRPr="0092592F">
        <w:rPr>
          <w:rStyle w:val="aff6"/>
          <w:rFonts w:hint="cs"/>
          <w:rtl/>
        </w:rPr>
        <w:instrText xml:space="preserve"> _</w:instrText>
      </w:r>
      <w:r w:rsidRPr="0092592F">
        <w:rPr>
          <w:rStyle w:val="aff6"/>
          <w:rFonts w:hint="cs"/>
        </w:rPr>
        <w:instrText>Ref533454144 \r \h</w:instrText>
      </w:r>
      <w:r w:rsidRPr="0092592F">
        <w:rPr>
          <w:rStyle w:val="aff6"/>
          <w:rtl/>
        </w:rPr>
        <w:instrText xml:space="preserve"> </w:instrText>
      </w:r>
      <w:r w:rsidRPr="0092592F">
        <w:rPr>
          <w:rStyle w:val="aff6"/>
          <w:rtl/>
        </w:rPr>
      </w:r>
      <w:r w:rsidRPr="0092592F">
        <w:rPr>
          <w:rStyle w:val="aff6"/>
          <w:rtl/>
        </w:rPr>
        <w:fldChar w:fldCharType="separate"/>
      </w:r>
      <w:r w:rsidR="00345400">
        <w:rPr>
          <w:rStyle w:val="aff6"/>
          <w:cs/>
        </w:rPr>
        <w:t>‎</w:t>
      </w:r>
      <w:r w:rsidR="00345400">
        <w:rPr>
          <w:rStyle w:val="aff6"/>
          <w:rtl/>
        </w:rPr>
        <w:t>נד)</w:t>
      </w:r>
      <w:r w:rsidRPr="0092592F">
        <w:rPr>
          <w:rStyle w:val="aff6"/>
          <w:rtl/>
        </w:rPr>
        <w:fldChar w:fldCharType="end"/>
      </w:r>
      <w:r w:rsidRPr="0092592F">
        <w:rPr>
          <w:rStyle w:val="aff6"/>
          <w:rFonts w:hint="cs"/>
          <w:rtl/>
        </w:rPr>
        <w:t xml:space="preserve"> </w:t>
      </w:r>
      <w:r w:rsidRPr="0092592F">
        <w:rPr>
          <w:rStyle w:val="affa"/>
          <w:rFonts w:hint="cs"/>
          <w:rtl/>
        </w:rPr>
        <w:t>ודרישה</w:t>
      </w:r>
      <w:r w:rsidRPr="00C37CAA">
        <w:rPr>
          <w:rStyle w:val="afb"/>
          <w:rFonts w:hint="cs"/>
          <w:rtl/>
        </w:rPr>
        <w:t xml:space="preserve"> </w:t>
      </w:r>
      <w:r w:rsidRPr="0092592F">
        <w:rPr>
          <w:rStyle w:val="aff6"/>
          <w:rFonts w:hint="cs"/>
          <w:rtl/>
        </w:rPr>
        <w:t xml:space="preserve">(עי' אות </w:t>
      </w:r>
      <w:r w:rsidRPr="0092592F">
        <w:rPr>
          <w:rStyle w:val="aff6"/>
          <w:rtl/>
        </w:rPr>
        <w:fldChar w:fldCharType="begin"/>
      </w:r>
      <w:r w:rsidRPr="0092592F">
        <w:rPr>
          <w:rStyle w:val="aff6"/>
          <w:rtl/>
        </w:rPr>
        <w:instrText xml:space="preserve"> </w:instrText>
      </w:r>
      <w:r w:rsidRPr="0092592F">
        <w:rPr>
          <w:rStyle w:val="aff6"/>
          <w:rFonts w:hint="cs"/>
        </w:rPr>
        <w:instrText>REF</w:instrText>
      </w:r>
      <w:r w:rsidRPr="0092592F">
        <w:rPr>
          <w:rStyle w:val="aff6"/>
          <w:rFonts w:hint="cs"/>
          <w:rtl/>
        </w:rPr>
        <w:instrText xml:space="preserve"> _</w:instrText>
      </w:r>
      <w:r w:rsidRPr="0092592F">
        <w:rPr>
          <w:rStyle w:val="aff6"/>
          <w:rFonts w:hint="cs"/>
        </w:rPr>
        <w:instrText>Ref533454151 \r \h</w:instrText>
      </w:r>
      <w:r w:rsidRPr="0092592F">
        <w:rPr>
          <w:rStyle w:val="aff6"/>
          <w:rtl/>
        </w:rPr>
        <w:instrText xml:space="preserve"> </w:instrText>
      </w:r>
      <w:r w:rsidRPr="0092592F">
        <w:rPr>
          <w:rStyle w:val="aff6"/>
          <w:rtl/>
        </w:rPr>
      </w:r>
      <w:r w:rsidRPr="0092592F">
        <w:rPr>
          <w:rStyle w:val="aff6"/>
          <w:rtl/>
        </w:rPr>
        <w:fldChar w:fldCharType="separate"/>
      </w:r>
      <w:r w:rsidR="00345400">
        <w:rPr>
          <w:rStyle w:val="aff6"/>
          <w:cs/>
        </w:rPr>
        <w:t>‎</w:t>
      </w:r>
      <w:r w:rsidR="00345400">
        <w:rPr>
          <w:rStyle w:val="aff6"/>
          <w:rtl/>
        </w:rPr>
        <w:t>נה)</w:t>
      </w:r>
      <w:r w:rsidRPr="0092592F">
        <w:rPr>
          <w:rStyle w:val="aff6"/>
          <w:rtl/>
        </w:rPr>
        <w:fldChar w:fldCharType="end"/>
      </w:r>
      <w:r w:rsidRPr="00C37CAA">
        <w:rPr>
          <w:rStyle w:val="afb"/>
          <w:rFonts w:hint="cs"/>
          <w:rtl/>
        </w:rPr>
        <w:t xml:space="preserve">] </w:t>
      </w:r>
      <w:r>
        <w:rPr>
          <w:rFonts w:hint="cs"/>
          <w:rtl/>
        </w:rPr>
        <w:t xml:space="preserve">על </w:t>
      </w:r>
      <w:r w:rsidRPr="00220AD0">
        <w:rPr>
          <w:rStyle w:val="af9"/>
          <w:rFonts w:hint="cs"/>
          <w:rtl/>
        </w:rPr>
        <w:t>רש"י</w:t>
      </w:r>
      <w:r>
        <w:rPr>
          <w:rFonts w:hint="cs"/>
          <w:rtl/>
        </w:rPr>
        <w:t xml:space="preserve"> </w:t>
      </w:r>
      <w:r w:rsidRPr="00C1124E">
        <w:rPr>
          <w:rStyle w:val="af7"/>
          <w:rFonts w:eastAsia="Guttman Hodes" w:hint="cs"/>
          <w:rtl/>
        </w:rPr>
        <w:t xml:space="preserve">(עי' אות </w:t>
      </w:r>
      <w:r w:rsidRPr="00C1124E">
        <w:rPr>
          <w:rStyle w:val="af7"/>
          <w:rFonts w:eastAsia="Guttman Hodes"/>
          <w:rtl/>
        </w:rPr>
        <w:fldChar w:fldCharType="begin"/>
      </w:r>
      <w:r w:rsidRPr="00C1124E">
        <w:rPr>
          <w:rStyle w:val="af7"/>
          <w:rFonts w:eastAsia="Guttman Hodes"/>
          <w:rtl/>
        </w:rPr>
        <w:instrText xml:space="preserve"> </w:instrText>
      </w:r>
      <w:r w:rsidRPr="00C1124E">
        <w:rPr>
          <w:rStyle w:val="af7"/>
          <w:rFonts w:eastAsia="Guttman Hodes" w:hint="cs"/>
        </w:rPr>
        <w:instrText>REF</w:instrText>
      </w:r>
      <w:r w:rsidRPr="00C1124E">
        <w:rPr>
          <w:rStyle w:val="af7"/>
          <w:rFonts w:eastAsia="Guttman Hodes" w:hint="cs"/>
          <w:rtl/>
        </w:rPr>
        <w:instrText xml:space="preserve"> _</w:instrText>
      </w:r>
      <w:r w:rsidRPr="00C1124E">
        <w:rPr>
          <w:rStyle w:val="af7"/>
          <w:rFonts w:eastAsia="Guttman Hodes" w:hint="cs"/>
        </w:rPr>
        <w:instrText>Ref533328195 \r \h</w:instrText>
      </w:r>
      <w:r w:rsidRPr="00C1124E">
        <w:rPr>
          <w:rStyle w:val="af7"/>
          <w:rFonts w:eastAsia="Guttman Hodes"/>
          <w:rtl/>
        </w:rPr>
        <w:instrText xml:space="preserve"> </w:instrText>
      </w:r>
      <w:r w:rsidRPr="00C1124E">
        <w:rPr>
          <w:rStyle w:val="af7"/>
          <w:rFonts w:eastAsia="Guttman Hodes"/>
          <w:rtl/>
        </w:rPr>
      </w:r>
      <w:r w:rsidRPr="00C1124E">
        <w:rPr>
          <w:rStyle w:val="af7"/>
          <w:rFonts w:eastAsia="Guttman Hodes"/>
          <w:rtl/>
        </w:rPr>
        <w:fldChar w:fldCharType="separate"/>
      </w:r>
      <w:r w:rsidR="00345400">
        <w:rPr>
          <w:rStyle w:val="af7"/>
          <w:rFonts w:eastAsia="Guttman Hodes"/>
          <w:cs/>
        </w:rPr>
        <w:t>‎</w:t>
      </w:r>
      <w:r w:rsidR="00345400">
        <w:rPr>
          <w:rStyle w:val="af7"/>
          <w:rFonts w:eastAsia="Guttman Hodes"/>
          <w:rtl/>
        </w:rPr>
        <w:t>ו)</w:t>
      </w:r>
      <w:r w:rsidRPr="00C1124E">
        <w:rPr>
          <w:rStyle w:val="af7"/>
          <w:rFonts w:eastAsia="Guttman Hodes"/>
          <w:rtl/>
        </w:rPr>
        <w:fldChar w:fldCharType="end"/>
      </w:r>
      <w:r>
        <w:rPr>
          <w:rFonts w:hint="cs"/>
          <w:rtl/>
        </w:rPr>
        <w:t xml:space="preserve"> דפוסל בשהייה מיעוט בתרא, מהא דמבואר בגמ' </w:t>
      </w:r>
      <w:r w:rsidRPr="00C1124E">
        <w:rPr>
          <w:rStyle w:val="af7"/>
          <w:rFonts w:eastAsia="Guttman Hodes" w:hint="cs"/>
          <w:rtl/>
        </w:rPr>
        <w:t>(יט:)</w:t>
      </w:r>
      <w:r>
        <w:rPr>
          <w:rFonts w:hint="cs"/>
          <w:rtl/>
        </w:rPr>
        <w:t xml:space="preserve"> דישראל ששחט את רוב הסימנים, וגמר עכו"ם את המיעוט בתרא, דהשחיטה כשרה, ומבואר דמיעוט בתרא אינו יכול לפסול את השחיטה. וכתב </w:t>
      </w:r>
      <w:r w:rsidRPr="00220AD0">
        <w:rPr>
          <w:rStyle w:val="af9"/>
          <w:rFonts w:hint="cs"/>
          <w:rtl/>
        </w:rPr>
        <w:t>הקוב"ש</w:t>
      </w:r>
      <w:r>
        <w:rPr>
          <w:rFonts w:hint="cs"/>
          <w:rtl/>
        </w:rPr>
        <w:t xml:space="preserve"> דבפסול שהייה יש לחקור אם הוא פסול בשחיטה כמו דריסה וחלדה, או דשהייה אינו פסול מצד עצמו, אלא שיש חסרון בצירוף השחיטה שלפני השהייה עם השחיטה שאחר השהייה, </w:t>
      </w:r>
      <w:r w:rsidRPr="00C1124E">
        <w:rPr>
          <w:rStyle w:val="afb"/>
          <w:rFonts w:hint="cs"/>
          <w:rtl/>
        </w:rPr>
        <w:t xml:space="preserve">[ועיי"ש בדברי </w:t>
      </w:r>
      <w:r w:rsidRPr="00C1124E">
        <w:rPr>
          <w:rStyle w:val="affa"/>
          <w:rFonts w:hint="cs"/>
          <w:rtl/>
        </w:rPr>
        <w:t>הקוב"ש</w:t>
      </w:r>
      <w:r w:rsidRPr="00C1124E">
        <w:rPr>
          <w:rStyle w:val="afb"/>
          <w:rFonts w:hint="cs"/>
          <w:rtl/>
        </w:rPr>
        <w:t xml:space="preserve"> דכתב דהוא נ"מ לביאור </w:t>
      </w:r>
      <w:r w:rsidRPr="00C1124E">
        <w:rPr>
          <w:rStyle w:val="affa"/>
          <w:rFonts w:hint="cs"/>
          <w:rtl/>
        </w:rPr>
        <w:t>ר"ת</w:t>
      </w:r>
      <w:r w:rsidRPr="00C1124E">
        <w:rPr>
          <w:rStyle w:val="afb"/>
          <w:rFonts w:hint="cs"/>
          <w:rtl/>
        </w:rPr>
        <w:t xml:space="preserve"> </w:t>
      </w:r>
      <w:r w:rsidRPr="00C1124E">
        <w:rPr>
          <w:rStyle w:val="aff6"/>
          <w:rFonts w:hint="cs"/>
          <w:rtl/>
        </w:rPr>
        <w:t xml:space="preserve">(עי' אות </w:t>
      </w:r>
      <w:r w:rsidRPr="00C1124E">
        <w:rPr>
          <w:rStyle w:val="aff6"/>
          <w:rtl/>
        </w:rPr>
        <w:fldChar w:fldCharType="begin"/>
      </w:r>
      <w:r w:rsidRPr="00C1124E">
        <w:rPr>
          <w:rStyle w:val="aff6"/>
          <w:rtl/>
        </w:rPr>
        <w:instrText xml:space="preserve"> </w:instrText>
      </w:r>
      <w:r w:rsidRPr="00C1124E">
        <w:rPr>
          <w:rStyle w:val="aff6"/>
          <w:rFonts w:hint="cs"/>
        </w:rPr>
        <w:instrText>REF</w:instrText>
      </w:r>
      <w:r w:rsidRPr="00C1124E">
        <w:rPr>
          <w:rStyle w:val="aff6"/>
          <w:rFonts w:hint="cs"/>
          <w:rtl/>
        </w:rPr>
        <w:instrText xml:space="preserve"> _</w:instrText>
      </w:r>
      <w:r w:rsidRPr="00C1124E">
        <w:rPr>
          <w:rStyle w:val="aff6"/>
          <w:rFonts w:hint="cs"/>
        </w:rPr>
        <w:instrText>Ref533328277 \r \h</w:instrText>
      </w:r>
      <w:r w:rsidRPr="00C1124E">
        <w:rPr>
          <w:rStyle w:val="aff6"/>
          <w:rtl/>
        </w:rPr>
        <w:instrText xml:space="preserve"> </w:instrText>
      </w:r>
      <w:r w:rsidRPr="00C1124E">
        <w:rPr>
          <w:rStyle w:val="aff6"/>
          <w:rtl/>
        </w:rPr>
      </w:r>
      <w:r w:rsidRPr="00C1124E">
        <w:rPr>
          <w:rStyle w:val="aff6"/>
          <w:rtl/>
        </w:rPr>
        <w:fldChar w:fldCharType="separate"/>
      </w:r>
      <w:r w:rsidR="00345400">
        <w:rPr>
          <w:rStyle w:val="aff6"/>
          <w:cs/>
        </w:rPr>
        <w:t>‎</w:t>
      </w:r>
      <w:r w:rsidR="00345400">
        <w:rPr>
          <w:rStyle w:val="aff6"/>
          <w:rtl/>
        </w:rPr>
        <w:t>סא)</w:t>
      </w:r>
      <w:r w:rsidRPr="00C1124E">
        <w:rPr>
          <w:rStyle w:val="aff6"/>
          <w:rtl/>
        </w:rPr>
        <w:fldChar w:fldCharType="end"/>
      </w:r>
      <w:r w:rsidRPr="00C1124E">
        <w:rPr>
          <w:rStyle w:val="afb"/>
          <w:rFonts w:hint="cs"/>
          <w:rtl/>
        </w:rPr>
        <w:t xml:space="preserve"> דהספק ב</w:t>
      </w:r>
      <w:r>
        <w:rPr>
          <w:rStyle w:val="afb"/>
          <w:rFonts w:hint="cs"/>
          <w:rtl/>
        </w:rPr>
        <w:t>שהייה</w:t>
      </w:r>
      <w:r w:rsidRPr="00C1124E">
        <w:rPr>
          <w:rStyle w:val="afb"/>
          <w:rFonts w:hint="cs"/>
          <w:rtl/>
        </w:rPr>
        <w:t xml:space="preserve"> במיעוט סימנים הוא במיעוט קמא</w:t>
      </w:r>
      <w:r>
        <w:rPr>
          <w:rStyle w:val="afb"/>
          <w:rFonts w:hint="cs"/>
          <w:rtl/>
        </w:rPr>
        <w:t xml:space="preserve">, וכתב </w:t>
      </w:r>
      <w:r w:rsidRPr="00190F9B">
        <w:rPr>
          <w:rStyle w:val="affa"/>
          <w:rFonts w:hint="cs"/>
          <w:rtl/>
        </w:rPr>
        <w:t>הקוב"ש</w:t>
      </w:r>
      <w:r>
        <w:rPr>
          <w:rStyle w:val="afb"/>
          <w:rFonts w:hint="cs"/>
          <w:rtl/>
        </w:rPr>
        <w:t xml:space="preserve"> דלדעת </w:t>
      </w:r>
      <w:r w:rsidRPr="00190F9B">
        <w:rPr>
          <w:rStyle w:val="affa"/>
          <w:rFonts w:hint="cs"/>
          <w:rtl/>
        </w:rPr>
        <w:t>ר"ת</w:t>
      </w:r>
      <w:r>
        <w:rPr>
          <w:rStyle w:val="afb"/>
          <w:rFonts w:hint="cs"/>
          <w:rtl/>
        </w:rPr>
        <w:t xml:space="preserve"> מבואר דשהייה הוא פסול מצד עצמו</w:t>
      </w:r>
      <w:r w:rsidRPr="00C1124E">
        <w:rPr>
          <w:rStyle w:val="afb"/>
          <w:rFonts w:hint="cs"/>
          <w:rtl/>
        </w:rPr>
        <w:t>]</w:t>
      </w:r>
      <w:r>
        <w:rPr>
          <w:rFonts w:hint="cs"/>
          <w:rtl/>
        </w:rPr>
        <w:t xml:space="preserve">, ועי' בדברי </w:t>
      </w:r>
      <w:r w:rsidRPr="00220AD0">
        <w:rPr>
          <w:rStyle w:val="af9"/>
          <w:rFonts w:hint="cs"/>
          <w:rtl/>
        </w:rPr>
        <w:t>הזכר יצחק</w:t>
      </w:r>
      <w:r>
        <w:rPr>
          <w:rFonts w:hint="cs"/>
          <w:rtl/>
        </w:rPr>
        <w:t xml:space="preserve"> </w:t>
      </w:r>
      <w:r w:rsidRPr="00C1124E">
        <w:rPr>
          <w:rStyle w:val="af7"/>
          <w:rFonts w:eastAsia="Guttman Hodes" w:hint="cs"/>
          <w:rtl/>
        </w:rPr>
        <w:t xml:space="preserve">(עי' אות </w:t>
      </w:r>
      <w:r w:rsidRPr="00C1124E">
        <w:rPr>
          <w:rStyle w:val="af7"/>
          <w:rFonts w:eastAsia="Guttman Hodes"/>
          <w:rtl/>
        </w:rPr>
        <w:fldChar w:fldCharType="begin"/>
      </w:r>
      <w:r w:rsidRPr="00C1124E">
        <w:rPr>
          <w:rStyle w:val="af7"/>
          <w:rFonts w:eastAsia="Guttman Hodes"/>
          <w:rtl/>
        </w:rPr>
        <w:instrText xml:space="preserve"> </w:instrText>
      </w:r>
      <w:r w:rsidRPr="00C1124E">
        <w:rPr>
          <w:rStyle w:val="af7"/>
          <w:rFonts w:eastAsia="Guttman Hodes" w:hint="cs"/>
        </w:rPr>
        <w:instrText>REF</w:instrText>
      </w:r>
      <w:r w:rsidRPr="00C1124E">
        <w:rPr>
          <w:rStyle w:val="af7"/>
          <w:rFonts w:eastAsia="Guttman Hodes" w:hint="cs"/>
          <w:rtl/>
        </w:rPr>
        <w:instrText xml:space="preserve"> _</w:instrText>
      </w:r>
      <w:r w:rsidRPr="00C1124E">
        <w:rPr>
          <w:rStyle w:val="af7"/>
          <w:rFonts w:eastAsia="Guttman Hodes" w:hint="cs"/>
        </w:rPr>
        <w:instrText>Ref533328299 \r \h</w:instrText>
      </w:r>
      <w:r w:rsidRPr="00C1124E">
        <w:rPr>
          <w:rStyle w:val="af7"/>
          <w:rFonts w:eastAsia="Guttman Hodes"/>
          <w:rtl/>
        </w:rPr>
        <w:instrText xml:space="preserve"> </w:instrText>
      </w:r>
      <w:r w:rsidRPr="00C1124E">
        <w:rPr>
          <w:rStyle w:val="af7"/>
          <w:rFonts w:eastAsia="Guttman Hodes"/>
          <w:rtl/>
        </w:rPr>
      </w:r>
      <w:r w:rsidRPr="00C1124E">
        <w:rPr>
          <w:rStyle w:val="af7"/>
          <w:rFonts w:eastAsia="Guttman Hodes"/>
          <w:rtl/>
        </w:rPr>
        <w:fldChar w:fldCharType="separate"/>
      </w:r>
      <w:r w:rsidR="00345400">
        <w:rPr>
          <w:rStyle w:val="af7"/>
          <w:rFonts w:eastAsia="Guttman Hodes"/>
          <w:cs/>
        </w:rPr>
        <w:t>‎</w:t>
      </w:r>
      <w:r w:rsidR="00345400">
        <w:rPr>
          <w:rStyle w:val="af7"/>
          <w:rFonts w:eastAsia="Guttman Hodes"/>
          <w:rtl/>
        </w:rPr>
        <w:t>פה)</w:t>
      </w:r>
      <w:r w:rsidRPr="00C1124E">
        <w:rPr>
          <w:rStyle w:val="af7"/>
          <w:rFonts w:eastAsia="Guttman Hodes"/>
          <w:rtl/>
        </w:rPr>
        <w:fldChar w:fldCharType="end"/>
      </w:r>
      <w:bookmarkEnd w:id="14851"/>
      <w:r>
        <w:rPr>
          <w:rStyle w:val="af1"/>
          <w:rtl/>
        </w:rPr>
        <w:footnoteReference w:id="97"/>
      </w:r>
      <w:r>
        <w:rPr>
          <w:rFonts w:hint="cs"/>
          <w:rtl/>
        </w:rPr>
        <w:t>.</w:t>
      </w:r>
    </w:p>
    <w:p w14:paraId="1912D887" w14:textId="77777777" w:rsidR="00436F39" w:rsidRDefault="00436F39" w:rsidP="006D6D32">
      <w:pPr>
        <w:pStyle w:val="a3"/>
        <w:rPr>
          <w:rtl/>
        </w:rPr>
      </w:pPr>
      <w:bookmarkStart w:id="14854" w:name="_Toc533544418"/>
      <w:bookmarkStart w:id="14855" w:name="_Toc533544615"/>
      <w:bookmarkStart w:id="14856" w:name="_Toc19390949"/>
      <w:bookmarkStart w:id="14857" w:name="_Toc19394446"/>
      <w:r>
        <w:rPr>
          <w:rFonts w:hint="cs"/>
          <w:rtl/>
        </w:rPr>
        <w:t>דברי הקוב"ש דמפסול שהייה במיעו"ב מוכח דשהייה הוא פסול מצד עצמו ואינו חסרון בצירוף</w:t>
      </w:r>
      <w:bookmarkEnd w:id="14854"/>
      <w:bookmarkEnd w:id="14855"/>
      <w:bookmarkEnd w:id="14856"/>
      <w:bookmarkEnd w:id="14857"/>
    </w:p>
    <w:p w14:paraId="03097BF4" w14:textId="77777777" w:rsidR="00436F39" w:rsidRDefault="00436F39" w:rsidP="00223668">
      <w:pPr>
        <w:pStyle w:val="a0"/>
        <w:rPr>
          <w:rtl/>
        </w:rPr>
      </w:pPr>
      <w:r>
        <w:rPr>
          <w:rFonts w:hint="cs"/>
          <w:rtl/>
        </w:rPr>
        <w:t xml:space="preserve">וכתב </w:t>
      </w:r>
      <w:r w:rsidRPr="002E4C14">
        <w:rPr>
          <w:rStyle w:val="af9"/>
          <w:rFonts w:hint="cs"/>
          <w:rtl/>
        </w:rPr>
        <w:t>הקוב"ש</w:t>
      </w:r>
      <w:r>
        <w:rPr>
          <w:rFonts w:hint="cs"/>
          <w:rtl/>
        </w:rPr>
        <w:t xml:space="preserve"> דמהא דפוסל</w:t>
      </w:r>
      <w:r w:rsidRPr="002E4C14">
        <w:rPr>
          <w:rStyle w:val="af9"/>
          <w:rFonts w:hint="cs"/>
          <w:rtl/>
        </w:rPr>
        <w:t xml:space="preserve"> רש"י</w:t>
      </w:r>
      <w:r>
        <w:rPr>
          <w:rFonts w:hint="cs"/>
          <w:rtl/>
        </w:rPr>
        <w:t xml:space="preserve"> בשהייה במיעוט בתרא, מבואר דשהייה הוא פסול מצד עצמו, דאי שהייה הוא חסרון בצירוף השחיטה, א"כ לא שייך לפסול במיעוט בתרא, דאחר שהוכשרה הבהמה בשחיטת הרוב, א"צ לצרף את המיעוט בתרא לשחיטה, אלא מוכח דהשהייה הוא פסול מצד עצמו, ולכן אף שהוכשרה הבהמה בשחיטת רוב הסימנים, עדיין אפשר לפוסלה ע"י המיעוט בתרא.</w:t>
      </w:r>
    </w:p>
    <w:p w14:paraId="1DE4E901" w14:textId="77777777" w:rsidR="00436F39" w:rsidRDefault="00436F39" w:rsidP="006D6D32">
      <w:pPr>
        <w:pStyle w:val="a3"/>
        <w:rPr>
          <w:rtl/>
        </w:rPr>
      </w:pPr>
      <w:bookmarkStart w:id="14858" w:name="_Toc533544419"/>
      <w:bookmarkStart w:id="14859" w:name="_Toc533544616"/>
      <w:bookmarkStart w:id="14860" w:name="_Toc19390950"/>
      <w:bookmarkStart w:id="14861" w:name="_Toc19394447"/>
      <w:r>
        <w:rPr>
          <w:rFonts w:hint="cs"/>
          <w:rtl/>
        </w:rPr>
        <w:t>תירוץ הקוב"ש דעכו"ם ששחט את המיעו"ב אינו פוסל דאינו מעשה שחיטה כלל</w:t>
      </w:r>
      <w:bookmarkEnd w:id="14858"/>
      <w:bookmarkEnd w:id="14859"/>
      <w:bookmarkEnd w:id="14860"/>
      <w:bookmarkEnd w:id="14861"/>
    </w:p>
    <w:p w14:paraId="71CB8907" w14:textId="77777777" w:rsidR="00436F39" w:rsidRDefault="00436F39" w:rsidP="00223668">
      <w:pPr>
        <w:pStyle w:val="a0"/>
        <w:rPr>
          <w:rtl/>
        </w:rPr>
      </w:pPr>
      <w:bookmarkStart w:id="14862" w:name="_Ref533329539"/>
      <w:r>
        <w:rPr>
          <w:rFonts w:hint="cs"/>
          <w:rtl/>
        </w:rPr>
        <w:t xml:space="preserve">ובזה תירץ </w:t>
      </w:r>
      <w:r w:rsidRPr="00474CF9">
        <w:rPr>
          <w:rStyle w:val="af9"/>
          <w:rFonts w:hint="cs"/>
          <w:rtl/>
        </w:rPr>
        <w:t>הקוב"ש</w:t>
      </w:r>
      <w:r>
        <w:rPr>
          <w:rFonts w:hint="cs"/>
          <w:rtl/>
        </w:rPr>
        <w:t xml:space="preserve"> את הקושיה </w:t>
      </w:r>
      <w:r w:rsidRPr="00C37CAA">
        <w:rPr>
          <w:rStyle w:val="afb"/>
          <w:rFonts w:hint="cs"/>
          <w:rtl/>
        </w:rPr>
        <w:t>[</w:t>
      </w:r>
      <w:r>
        <w:rPr>
          <w:rStyle w:val="afb"/>
          <w:rFonts w:hint="cs"/>
          <w:rtl/>
        </w:rPr>
        <w:t>שהקשו ה</w:t>
      </w:r>
      <w:r w:rsidRPr="0092592F">
        <w:rPr>
          <w:rStyle w:val="affa"/>
          <w:rFonts w:hint="cs"/>
          <w:rtl/>
        </w:rPr>
        <w:t xml:space="preserve">מאירי </w:t>
      </w:r>
      <w:r w:rsidRPr="0092592F">
        <w:rPr>
          <w:rStyle w:val="aff6"/>
          <w:rFonts w:hint="cs"/>
          <w:rtl/>
        </w:rPr>
        <w:t xml:space="preserve">(עי' אות </w:t>
      </w:r>
      <w:r w:rsidRPr="0092592F">
        <w:rPr>
          <w:rStyle w:val="aff6"/>
          <w:rtl/>
        </w:rPr>
        <w:fldChar w:fldCharType="begin"/>
      </w:r>
      <w:r w:rsidRPr="0092592F">
        <w:rPr>
          <w:rStyle w:val="aff6"/>
          <w:rtl/>
        </w:rPr>
        <w:instrText xml:space="preserve"> </w:instrText>
      </w:r>
      <w:r w:rsidRPr="0092592F">
        <w:rPr>
          <w:rStyle w:val="aff6"/>
          <w:rFonts w:hint="cs"/>
        </w:rPr>
        <w:instrText>REF</w:instrText>
      </w:r>
      <w:r w:rsidRPr="0092592F">
        <w:rPr>
          <w:rStyle w:val="aff6"/>
          <w:rFonts w:hint="cs"/>
          <w:rtl/>
        </w:rPr>
        <w:instrText xml:space="preserve"> _</w:instrText>
      </w:r>
      <w:r w:rsidRPr="0092592F">
        <w:rPr>
          <w:rStyle w:val="aff6"/>
          <w:rFonts w:hint="cs"/>
        </w:rPr>
        <w:instrText>Ref533454144 \r \h</w:instrText>
      </w:r>
      <w:r w:rsidRPr="0092592F">
        <w:rPr>
          <w:rStyle w:val="aff6"/>
          <w:rtl/>
        </w:rPr>
        <w:instrText xml:space="preserve"> </w:instrText>
      </w:r>
      <w:r w:rsidRPr="0092592F">
        <w:rPr>
          <w:rStyle w:val="aff6"/>
          <w:rtl/>
        </w:rPr>
      </w:r>
      <w:r w:rsidRPr="0092592F">
        <w:rPr>
          <w:rStyle w:val="aff6"/>
          <w:rtl/>
        </w:rPr>
        <w:fldChar w:fldCharType="separate"/>
      </w:r>
      <w:r w:rsidR="00345400">
        <w:rPr>
          <w:rStyle w:val="aff6"/>
          <w:cs/>
        </w:rPr>
        <w:t>‎</w:t>
      </w:r>
      <w:r w:rsidR="00345400">
        <w:rPr>
          <w:rStyle w:val="aff6"/>
          <w:rtl/>
        </w:rPr>
        <w:t>נד)</w:t>
      </w:r>
      <w:r w:rsidRPr="0092592F">
        <w:rPr>
          <w:rStyle w:val="aff6"/>
          <w:rtl/>
        </w:rPr>
        <w:fldChar w:fldCharType="end"/>
      </w:r>
      <w:r w:rsidRPr="0092592F">
        <w:rPr>
          <w:rStyle w:val="aff6"/>
          <w:rFonts w:hint="cs"/>
          <w:rtl/>
        </w:rPr>
        <w:t xml:space="preserve"> </w:t>
      </w:r>
      <w:r w:rsidRPr="0092592F">
        <w:rPr>
          <w:rStyle w:val="affa"/>
          <w:rFonts w:hint="cs"/>
          <w:rtl/>
        </w:rPr>
        <w:t>ו</w:t>
      </w:r>
      <w:r>
        <w:rPr>
          <w:rStyle w:val="affa"/>
          <w:rFonts w:hint="cs"/>
          <w:rtl/>
        </w:rPr>
        <w:t>ה</w:t>
      </w:r>
      <w:r w:rsidRPr="0092592F">
        <w:rPr>
          <w:rStyle w:val="affa"/>
          <w:rFonts w:hint="cs"/>
          <w:rtl/>
        </w:rPr>
        <w:t>דרישה</w:t>
      </w:r>
      <w:r w:rsidRPr="00C37CAA">
        <w:rPr>
          <w:rStyle w:val="afb"/>
          <w:rFonts w:hint="cs"/>
          <w:rtl/>
        </w:rPr>
        <w:t xml:space="preserve"> </w:t>
      </w:r>
      <w:r w:rsidRPr="0092592F">
        <w:rPr>
          <w:rStyle w:val="aff6"/>
          <w:rFonts w:hint="cs"/>
          <w:rtl/>
        </w:rPr>
        <w:t xml:space="preserve">(עי' אות </w:t>
      </w:r>
      <w:r w:rsidRPr="0092592F">
        <w:rPr>
          <w:rStyle w:val="aff6"/>
          <w:rtl/>
        </w:rPr>
        <w:fldChar w:fldCharType="begin"/>
      </w:r>
      <w:r w:rsidRPr="0092592F">
        <w:rPr>
          <w:rStyle w:val="aff6"/>
          <w:rtl/>
        </w:rPr>
        <w:instrText xml:space="preserve"> </w:instrText>
      </w:r>
      <w:r w:rsidRPr="0092592F">
        <w:rPr>
          <w:rStyle w:val="aff6"/>
          <w:rFonts w:hint="cs"/>
        </w:rPr>
        <w:instrText>REF</w:instrText>
      </w:r>
      <w:r w:rsidRPr="0092592F">
        <w:rPr>
          <w:rStyle w:val="aff6"/>
          <w:rFonts w:hint="cs"/>
          <w:rtl/>
        </w:rPr>
        <w:instrText xml:space="preserve"> _</w:instrText>
      </w:r>
      <w:r w:rsidRPr="0092592F">
        <w:rPr>
          <w:rStyle w:val="aff6"/>
          <w:rFonts w:hint="cs"/>
        </w:rPr>
        <w:instrText>Ref533454151 \r \h</w:instrText>
      </w:r>
      <w:r w:rsidRPr="0092592F">
        <w:rPr>
          <w:rStyle w:val="aff6"/>
          <w:rtl/>
        </w:rPr>
        <w:instrText xml:space="preserve"> </w:instrText>
      </w:r>
      <w:r w:rsidRPr="0092592F">
        <w:rPr>
          <w:rStyle w:val="aff6"/>
          <w:rtl/>
        </w:rPr>
      </w:r>
      <w:r w:rsidRPr="0092592F">
        <w:rPr>
          <w:rStyle w:val="aff6"/>
          <w:rtl/>
        </w:rPr>
        <w:fldChar w:fldCharType="separate"/>
      </w:r>
      <w:r w:rsidR="00345400">
        <w:rPr>
          <w:rStyle w:val="aff6"/>
          <w:cs/>
        </w:rPr>
        <w:t>‎</w:t>
      </w:r>
      <w:r w:rsidR="00345400">
        <w:rPr>
          <w:rStyle w:val="aff6"/>
          <w:rtl/>
        </w:rPr>
        <w:t>נה)</w:t>
      </w:r>
      <w:r w:rsidRPr="0092592F">
        <w:rPr>
          <w:rStyle w:val="aff6"/>
          <w:rtl/>
        </w:rPr>
        <w:fldChar w:fldCharType="end"/>
      </w:r>
      <w:r w:rsidRPr="00C37CAA">
        <w:rPr>
          <w:rStyle w:val="afb"/>
          <w:rFonts w:hint="cs"/>
          <w:rtl/>
        </w:rPr>
        <w:t xml:space="preserve">] </w:t>
      </w:r>
      <w:r>
        <w:rPr>
          <w:rFonts w:hint="cs"/>
          <w:rtl/>
        </w:rPr>
        <w:t>מהא דעכו"ם ששחט במיעוט בתרא אינו פוסל, דכיון ששחיטת עכו"ם אינה מעשה שחיטה כלל, היא כמאן דליתא ולכן אינה יכולה לפסול את שחיטת רוב הסימנים, משא"כ בשהייה במיעוט בתרא שהיא דין פסול בשחיטה, ולכן היא יכולה לפסול למפרע את שחיטת רוב הסימנים.</w:t>
      </w:r>
      <w:bookmarkEnd w:id="14862"/>
    </w:p>
    <w:p w14:paraId="2854D532" w14:textId="77777777" w:rsidR="00436F39" w:rsidRPr="003F1223" w:rsidRDefault="00436F39" w:rsidP="006D6D32">
      <w:pPr>
        <w:pStyle w:val="a3"/>
        <w:rPr>
          <w:rtl/>
        </w:rPr>
      </w:pPr>
      <w:bookmarkStart w:id="14863" w:name="_Toc533544420"/>
      <w:bookmarkStart w:id="14864" w:name="_Toc533544617"/>
      <w:bookmarkStart w:id="14865" w:name="_Toc19390951"/>
      <w:bookmarkStart w:id="14866" w:name="_Toc19394448"/>
      <w:r>
        <w:rPr>
          <w:rFonts w:hint="cs"/>
          <w:rtl/>
        </w:rPr>
        <w:t>ביאור הגרא"ו דבפסול במיעו"ב  חשיב שכל השחיטה מתירה את הבהמה והמיעו"ב פוסל הכל</w:t>
      </w:r>
      <w:bookmarkEnd w:id="14863"/>
      <w:bookmarkEnd w:id="14864"/>
      <w:bookmarkEnd w:id="14865"/>
      <w:bookmarkEnd w:id="14866"/>
    </w:p>
    <w:p w14:paraId="5983982F" w14:textId="77777777" w:rsidR="00436F39" w:rsidRDefault="00436F39" w:rsidP="00223668">
      <w:pPr>
        <w:pStyle w:val="a0"/>
        <w:rPr>
          <w:rtl/>
        </w:rPr>
      </w:pPr>
      <w:r>
        <w:rPr>
          <w:rStyle w:val="af9"/>
          <w:rFonts w:hint="cs"/>
          <w:rtl/>
        </w:rPr>
        <w:t xml:space="preserve">ובשיעורי </w:t>
      </w:r>
      <w:r w:rsidRPr="00FF7C45">
        <w:rPr>
          <w:rStyle w:val="af9"/>
          <w:rtl/>
        </w:rPr>
        <w:t>הגרא"ו</w:t>
      </w:r>
      <w:r w:rsidRPr="001958E8">
        <w:rPr>
          <w:rtl/>
        </w:rPr>
        <w:t xml:space="preserve"> </w:t>
      </w:r>
      <w:r w:rsidRPr="00806038">
        <w:rPr>
          <w:rStyle w:val="af7"/>
          <w:rFonts w:eastAsia="Guttman Hodes" w:hint="cs"/>
          <w:rtl/>
        </w:rPr>
        <w:t xml:space="preserve">(בספר שיעורי הגר"א וסרמן חולין סי' ו' אות ב' ד"ה ולפי) </w:t>
      </w:r>
      <w:r>
        <w:rPr>
          <w:rFonts w:hint="cs"/>
          <w:rtl/>
        </w:rPr>
        <w:t>הוסיף לבאר דאף שבכל שחיטת רוב הסימן היתה השחיטה כשרה, מ"מ כיון שעשה מעשה שחיטה בכל הסימן, חשיב שכל השחיטה היא המעשה שמתיר את הבהמה, ולכן פסול במיעוט בתרא פוסל את כל השחיטה.</w:t>
      </w:r>
    </w:p>
    <w:p w14:paraId="287225AE" w14:textId="77777777" w:rsidR="009837F5" w:rsidRPr="009837F5" w:rsidRDefault="009837F5" w:rsidP="006D6D32">
      <w:pPr>
        <w:pStyle w:val="a3"/>
        <w:rPr>
          <w:rtl/>
        </w:rPr>
      </w:pPr>
    </w:p>
    <w:p w14:paraId="3E1C5F8D" w14:textId="77777777" w:rsidR="00436F39" w:rsidRPr="00877AEA" w:rsidRDefault="00436F39" w:rsidP="006D6D32">
      <w:pPr>
        <w:pStyle w:val="a3"/>
      </w:pPr>
      <w:bookmarkStart w:id="14867" w:name="_Toc533544421"/>
      <w:bookmarkStart w:id="14868" w:name="_Toc533544618"/>
      <w:bookmarkStart w:id="14869" w:name="_Toc19390952"/>
      <w:bookmarkStart w:id="14870" w:name="_Toc19394449"/>
      <w:r>
        <w:rPr>
          <w:rFonts w:hint="cs"/>
          <w:rtl/>
        </w:rPr>
        <w:t>ביאור הגרא"ו דכששחט ישראל את הרוב רק הוא מתיר ולכן שחיטת העכו"ם במיעו"ב אינה פוסלת</w:t>
      </w:r>
      <w:bookmarkEnd w:id="14867"/>
      <w:bookmarkEnd w:id="14868"/>
      <w:bookmarkEnd w:id="14869"/>
      <w:bookmarkEnd w:id="14870"/>
    </w:p>
    <w:p w14:paraId="618A67CE" w14:textId="77777777" w:rsidR="00436F39" w:rsidRDefault="00436F39" w:rsidP="00223668">
      <w:pPr>
        <w:pStyle w:val="a0"/>
        <w:rPr>
          <w:rtl/>
        </w:rPr>
      </w:pPr>
      <w:r>
        <w:rPr>
          <w:rFonts w:hint="cs"/>
          <w:rtl/>
        </w:rPr>
        <w:t xml:space="preserve">אבל בשחיטת עכו"ם ביאר </w:t>
      </w:r>
      <w:r>
        <w:rPr>
          <w:rStyle w:val="af9"/>
          <w:rFonts w:hint="cs"/>
          <w:rtl/>
        </w:rPr>
        <w:t xml:space="preserve">בשיעורי </w:t>
      </w:r>
      <w:r w:rsidRPr="00FF7C45">
        <w:rPr>
          <w:rStyle w:val="af9"/>
          <w:rtl/>
        </w:rPr>
        <w:t>הגרא"ו</w:t>
      </w:r>
      <w:r w:rsidRPr="001958E8">
        <w:rPr>
          <w:rtl/>
        </w:rPr>
        <w:t xml:space="preserve"> </w:t>
      </w:r>
      <w:r>
        <w:rPr>
          <w:rFonts w:hint="cs"/>
          <w:rtl/>
        </w:rPr>
        <w:t>דא"א לומר שע"י ששחט העכו"ם את המיעוט בתרא, הוא יפסול את שחיטת הישראל, דמעשה הישראל מתיר את הבהמה בלא שחיטת העכו"ם, והעכו"ם אינו מעשה מתיר, ולכן שחיטת העכו"ם אינה פוסלת את כל השחיטה, ורק במקום שהישאל שחט מחצה והעכו"ם השלים לרוב, דבשחיטת הישראל לבדו לא היה מעה מתיר לבהמהמ, ובבלא שחיטת העכו"ם לא שייך להתיר את הבהמה, בזה שחיטת העכו"ם פוסלת, דחשיב שלא נשחטה כלל.</w:t>
      </w:r>
    </w:p>
    <w:p w14:paraId="15BD43E6" w14:textId="77777777" w:rsidR="00436F39" w:rsidRDefault="00436F39" w:rsidP="006D6D32">
      <w:pPr>
        <w:pStyle w:val="afe"/>
        <w:rPr>
          <w:rtl/>
        </w:rPr>
      </w:pPr>
      <w:bookmarkStart w:id="14871" w:name="_Toc533490188"/>
      <w:bookmarkStart w:id="14872" w:name="_Toc533506166"/>
      <w:bookmarkStart w:id="14873" w:name="_Toc533544422"/>
      <w:bookmarkStart w:id="14874" w:name="_Toc533544619"/>
      <w:bookmarkStart w:id="14875" w:name="_Toc19435930"/>
      <w:bookmarkStart w:id="14876" w:name="_Toc20081157"/>
      <w:bookmarkStart w:id="14877" w:name="_Toc533441220"/>
      <w:bookmarkStart w:id="14878" w:name="_Toc533441266"/>
      <w:bookmarkStart w:id="14879" w:name="_Toc533413326"/>
      <w:r>
        <w:rPr>
          <w:rFonts w:hint="cs"/>
          <w:rtl/>
        </w:rPr>
        <w:t>בביאור הא דמיעו"ב פוסל את היתר הרוב</w:t>
      </w:r>
      <w:bookmarkEnd w:id="14871"/>
      <w:bookmarkEnd w:id="14872"/>
      <w:bookmarkEnd w:id="14873"/>
      <w:bookmarkEnd w:id="14874"/>
      <w:bookmarkEnd w:id="14875"/>
      <w:bookmarkEnd w:id="14876"/>
    </w:p>
    <w:p w14:paraId="18E27DE9" w14:textId="77777777" w:rsidR="00436F39" w:rsidRDefault="00436F39" w:rsidP="00BF39B2">
      <w:pPr>
        <w:pStyle w:val="1"/>
        <w:rPr>
          <w:rtl/>
        </w:rPr>
      </w:pPr>
      <w:bookmarkStart w:id="14880" w:name="_Toc533490189"/>
      <w:bookmarkStart w:id="14881" w:name="_Toc533506167"/>
      <w:bookmarkStart w:id="14882" w:name="_Toc533544423"/>
      <w:bookmarkStart w:id="14883" w:name="_Toc533544620"/>
      <w:bookmarkStart w:id="14884" w:name="_Toc19390953"/>
      <w:bookmarkStart w:id="14885" w:name="_Toc19394450"/>
      <w:r>
        <w:rPr>
          <w:rFonts w:hint="cs"/>
          <w:rtl/>
        </w:rPr>
        <w:t>ביאור הגרי"ז דבפסול במיעו"ב חשיב שלא נשחט כלל</w:t>
      </w:r>
      <w:bookmarkEnd w:id="14877"/>
      <w:bookmarkEnd w:id="14878"/>
      <w:bookmarkEnd w:id="14880"/>
      <w:bookmarkEnd w:id="14881"/>
      <w:bookmarkEnd w:id="14882"/>
      <w:bookmarkEnd w:id="14883"/>
      <w:bookmarkEnd w:id="14884"/>
      <w:bookmarkEnd w:id="14885"/>
    </w:p>
    <w:p w14:paraId="440525B1" w14:textId="77777777" w:rsidR="00436F39" w:rsidRPr="00531208" w:rsidRDefault="00436F39" w:rsidP="006D6D32">
      <w:pPr>
        <w:pStyle w:val="a3"/>
        <w:rPr>
          <w:rtl/>
        </w:rPr>
      </w:pPr>
      <w:bookmarkStart w:id="14886" w:name="_Toc533544424"/>
      <w:bookmarkStart w:id="14887" w:name="_Toc533544621"/>
      <w:bookmarkStart w:id="14888" w:name="_Toc19390954"/>
      <w:bookmarkStart w:id="14889" w:name="_Toc19394451"/>
      <w:r>
        <w:rPr>
          <w:rFonts w:hint="cs"/>
          <w:rtl/>
        </w:rPr>
        <w:t>דברי הגרי"ז דלרש"י כל ששהה במיעוט בתרא חשיב שמעולם לא הייתה שחיטה כשרה</w:t>
      </w:r>
      <w:bookmarkEnd w:id="14886"/>
      <w:bookmarkEnd w:id="14887"/>
      <w:bookmarkEnd w:id="14888"/>
      <w:bookmarkEnd w:id="14889"/>
    </w:p>
    <w:p w14:paraId="1483CD2C" w14:textId="77777777" w:rsidR="00436F39" w:rsidRDefault="00436F39" w:rsidP="00223668">
      <w:pPr>
        <w:pStyle w:val="a0"/>
        <w:rPr>
          <w:rtl/>
        </w:rPr>
      </w:pPr>
      <w:r>
        <w:rPr>
          <w:rFonts w:hint="cs"/>
          <w:rtl/>
        </w:rPr>
        <w:t xml:space="preserve">כתב </w:t>
      </w:r>
      <w:r w:rsidRPr="00395F4F">
        <w:rPr>
          <w:rStyle w:val="af9"/>
          <w:rFonts w:hint="cs"/>
          <w:rtl/>
        </w:rPr>
        <w:t>בחי' הגרי"ז</w:t>
      </w:r>
      <w:r>
        <w:rPr>
          <w:rFonts w:hint="cs"/>
          <w:rtl/>
        </w:rPr>
        <w:t xml:space="preserve"> </w:t>
      </w:r>
      <w:r w:rsidRPr="00395F4F">
        <w:rPr>
          <w:rStyle w:val="af7"/>
          <w:rFonts w:eastAsia="Guttman Hodes" w:hint="cs"/>
          <w:rtl/>
        </w:rPr>
        <w:t>(זבחים סה: ד"ה רבא)</w:t>
      </w:r>
      <w:r>
        <w:rPr>
          <w:rFonts w:hint="cs"/>
          <w:rtl/>
        </w:rPr>
        <w:t xml:space="preserve"> דהביאור בדברי </w:t>
      </w:r>
      <w:r w:rsidRPr="00395F4F">
        <w:rPr>
          <w:rStyle w:val="af9"/>
          <w:rFonts w:hint="cs"/>
          <w:rtl/>
        </w:rPr>
        <w:t>רש"י</w:t>
      </w:r>
      <w:r>
        <w:rPr>
          <w:rFonts w:hint="cs"/>
          <w:rtl/>
        </w:rPr>
        <w:t xml:space="preserve"> </w:t>
      </w:r>
      <w:r w:rsidRPr="00395F4F">
        <w:rPr>
          <w:rStyle w:val="af7"/>
          <w:rFonts w:eastAsia="Guttman Hodes" w:hint="cs"/>
          <w:rtl/>
        </w:rPr>
        <w:t xml:space="preserve">(עי' אות </w:t>
      </w:r>
      <w:r w:rsidRPr="00395F4F">
        <w:rPr>
          <w:rStyle w:val="af7"/>
          <w:rFonts w:eastAsia="Guttman Hodes"/>
          <w:rtl/>
        </w:rPr>
        <w:fldChar w:fldCharType="begin"/>
      </w:r>
      <w:r w:rsidRPr="00395F4F">
        <w:rPr>
          <w:rStyle w:val="af7"/>
          <w:rFonts w:eastAsia="Guttman Hodes"/>
          <w:rtl/>
        </w:rPr>
        <w:instrText xml:space="preserve"> </w:instrText>
      </w:r>
      <w:r w:rsidRPr="00395F4F">
        <w:rPr>
          <w:rStyle w:val="af7"/>
          <w:rFonts w:eastAsia="Guttman Hodes" w:hint="cs"/>
        </w:rPr>
        <w:instrText>REF</w:instrText>
      </w:r>
      <w:r w:rsidRPr="00395F4F">
        <w:rPr>
          <w:rStyle w:val="af7"/>
          <w:rFonts w:eastAsia="Guttman Hodes" w:hint="cs"/>
          <w:rtl/>
        </w:rPr>
        <w:instrText xml:space="preserve"> _</w:instrText>
      </w:r>
      <w:r w:rsidRPr="00395F4F">
        <w:rPr>
          <w:rStyle w:val="af7"/>
          <w:rFonts w:eastAsia="Guttman Hodes" w:hint="cs"/>
        </w:rPr>
        <w:instrText>Ref533328195 \r \h</w:instrText>
      </w:r>
      <w:r w:rsidRPr="00395F4F">
        <w:rPr>
          <w:rStyle w:val="af7"/>
          <w:rFonts w:eastAsia="Guttman Hodes"/>
          <w:rtl/>
        </w:rPr>
        <w:instrText xml:space="preserve"> </w:instrText>
      </w:r>
      <w:r w:rsidRPr="00395F4F">
        <w:rPr>
          <w:rStyle w:val="af7"/>
          <w:rFonts w:eastAsia="Guttman Hodes"/>
          <w:rtl/>
        </w:rPr>
      </w:r>
      <w:r w:rsidRPr="00395F4F">
        <w:rPr>
          <w:rStyle w:val="af7"/>
          <w:rFonts w:eastAsia="Guttman Hodes"/>
          <w:rtl/>
        </w:rPr>
        <w:fldChar w:fldCharType="separate"/>
      </w:r>
      <w:r w:rsidR="00345400">
        <w:rPr>
          <w:rStyle w:val="af7"/>
          <w:rFonts w:eastAsia="Guttman Hodes"/>
          <w:cs/>
        </w:rPr>
        <w:t>‎</w:t>
      </w:r>
      <w:r w:rsidR="00345400">
        <w:rPr>
          <w:rStyle w:val="af7"/>
          <w:rFonts w:eastAsia="Guttman Hodes"/>
          <w:rtl/>
        </w:rPr>
        <w:t>ו)</w:t>
      </w:r>
      <w:r w:rsidRPr="00395F4F">
        <w:rPr>
          <w:rStyle w:val="af7"/>
          <w:rFonts w:eastAsia="Guttman Hodes"/>
          <w:rtl/>
        </w:rPr>
        <w:fldChar w:fldCharType="end"/>
      </w:r>
      <w:r>
        <w:rPr>
          <w:rFonts w:hint="cs"/>
          <w:rtl/>
        </w:rPr>
        <w:t xml:space="preserve"> דשהייה במיעוט בתרא פוסלת, הוא דכל ששהה במיעוט בתרא חשיב שמעולם לא הייתה שחיטה כשרה כלל, ועיי"ש שביאר כן בדין מליקה.</w:t>
      </w:r>
    </w:p>
    <w:p w14:paraId="1F62CA9B" w14:textId="77777777" w:rsidR="00436F39" w:rsidRDefault="00436F39" w:rsidP="00BF39B2">
      <w:pPr>
        <w:pStyle w:val="1"/>
        <w:rPr>
          <w:rtl/>
        </w:rPr>
      </w:pPr>
      <w:bookmarkStart w:id="14890" w:name="_Toc533441221"/>
      <w:bookmarkStart w:id="14891" w:name="_Toc533441267"/>
      <w:bookmarkStart w:id="14892" w:name="_Toc533490190"/>
      <w:bookmarkStart w:id="14893" w:name="_Toc533506168"/>
      <w:bookmarkStart w:id="14894" w:name="_Toc533544425"/>
      <w:bookmarkStart w:id="14895" w:name="_Toc533544622"/>
      <w:bookmarkStart w:id="14896" w:name="_Toc19390955"/>
      <w:bookmarkStart w:id="14897" w:name="_Toc19394452"/>
      <w:r>
        <w:rPr>
          <w:rFonts w:hint="cs"/>
          <w:rtl/>
        </w:rPr>
        <w:t xml:space="preserve">ביאור הקוב"ש </w:t>
      </w:r>
      <w:bookmarkEnd w:id="14879"/>
      <w:r>
        <w:rPr>
          <w:rFonts w:hint="cs"/>
          <w:rtl/>
        </w:rPr>
        <w:t>דהיתר הרוב הוא ע"מ שלא יהיה פסול במיעו"ב</w:t>
      </w:r>
      <w:bookmarkEnd w:id="14890"/>
      <w:bookmarkEnd w:id="14891"/>
      <w:bookmarkEnd w:id="14892"/>
      <w:bookmarkEnd w:id="14893"/>
      <w:bookmarkEnd w:id="14894"/>
      <w:bookmarkEnd w:id="14895"/>
      <w:bookmarkEnd w:id="14896"/>
      <w:bookmarkEnd w:id="14897"/>
    </w:p>
    <w:p w14:paraId="2C0369F0" w14:textId="77777777" w:rsidR="00436F39" w:rsidRPr="003F1223" w:rsidRDefault="00436F39" w:rsidP="006D6D32">
      <w:pPr>
        <w:pStyle w:val="a3"/>
        <w:rPr>
          <w:rtl/>
        </w:rPr>
      </w:pPr>
      <w:bookmarkStart w:id="14898" w:name="_Toc533544426"/>
      <w:bookmarkStart w:id="14899" w:name="_Toc533544623"/>
      <w:bookmarkStart w:id="14900" w:name="_Toc19390956"/>
      <w:bookmarkStart w:id="14901" w:name="_Toc19394453"/>
      <w:r>
        <w:rPr>
          <w:rFonts w:hint="cs"/>
          <w:rtl/>
        </w:rPr>
        <w:t>קושית הגרא"ו דהיאך מהני הגילוי דעת של השוחט להחשיב שהמיעו"ב בכלל ההיתר של השחיטה</w:t>
      </w:r>
      <w:bookmarkEnd w:id="14898"/>
      <w:bookmarkEnd w:id="14899"/>
      <w:bookmarkEnd w:id="14900"/>
      <w:bookmarkEnd w:id="14901"/>
    </w:p>
    <w:p w14:paraId="1A03D68F" w14:textId="77777777" w:rsidR="00436F39" w:rsidRDefault="00436F39" w:rsidP="00223668">
      <w:pPr>
        <w:pStyle w:val="a0"/>
        <w:rPr>
          <w:rtl/>
        </w:rPr>
      </w:pPr>
      <w:r>
        <w:rPr>
          <w:rFonts w:hint="cs"/>
          <w:rtl/>
        </w:rPr>
        <w:t xml:space="preserve">הקשה </w:t>
      </w:r>
      <w:r>
        <w:rPr>
          <w:rStyle w:val="af9"/>
          <w:rFonts w:hint="cs"/>
          <w:rtl/>
        </w:rPr>
        <w:t xml:space="preserve">בשיעורי </w:t>
      </w:r>
      <w:r w:rsidRPr="00FF7C45">
        <w:rPr>
          <w:rStyle w:val="af9"/>
          <w:rtl/>
        </w:rPr>
        <w:t>הגרא"ו</w:t>
      </w:r>
      <w:r w:rsidRPr="001958E8">
        <w:rPr>
          <w:rtl/>
        </w:rPr>
        <w:t xml:space="preserve"> </w:t>
      </w:r>
      <w:r w:rsidRPr="00313B30">
        <w:rPr>
          <w:rStyle w:val="af7"/>
          <w:rFonts w:eastAsia="Guttman Hodes" w:hint="cs"/>
          <w:rtl/>
        </w:rPr>
        <w:t xml:space="preserve">(בספר שיעורי הגר"א וסרמן חולין סי' ו' אות ב' סוד"ה ולפי) </w:t>
      </w:r>
      <w:r>
        <w:rPr>
          <w:rFonts w:hint="cs"/>
          <w:rtl/>
        </w:rPr>
        <w:t xml:space="preserve">על עיקר דברי </w:t>
      </w:r>
      <w:r w:rsidRPr="00313B30">
        <w:rPr>
          <w:rStyle w:val="af9"/>
          <w:rFonts w:hint="cs"/>
          <w:rtl/>
        </w:rPr>
        <w:t>רש"י</w:t>
      </w:r>
      <w:r>
        <w:rPr>
          <w:rFonts w:hint="cs"/>
          <w:rtl/>
        </w:rPr>
        <w:t xml:space="preserve"> </w:t>
      </w:r>
      <w:r w:rsidRPr="00313B30">
        <w:rPr>
          <w:rStyle w:val="af7"/>
          <w:rFonts w:eastAsia="Guttman Hodes" w:hint="cs"/>
          <w:rtl/>
        </w:rPr>
        <w:t xml:space="preserve">(עי' אות </w:t>
      </w:r>
      <w:r w:rsidRPr="00313B30">
        <w:rPr>
          <w:rStyle w:val="af7"/>
          <w:rFonts w:eastAsia="Guttman Hodes"/>
          <w:rtl/>
        </w:rPr>
        <w:fldChar w:fldCharType="begin"/>
      </w:r>
      <w:r w:rsidRPr="00313B30">
        <w:rPr>
          <w:rStyle w:val="af7"/>
          <w:rFonts w:eastAsia="Guttman Hodes"/>
          <w:rtl/>
        </w:rPr>
        <w:instrText xml:space="preserve"> </w:instrText>
      </w:r>
      <w:r w:rsidRPr="00313B30">
        <w:rPr>
          <w:rStyle w:val="af7"/>
          <w:rFonts w:eastAsia="Guttman Hodes" w:hint="cs"/>
        </w:rPr>
        <w:instrText>REF</w:instrText>
      </w:r>
      <w:r w:rsidRPr="00313B30">
        <w:rPr>
          <w:rStyle w:val="af7"/>
          <w:rFonts w:eastAsia="Guttman Hodes" w:hint="cs"/>
          <w:rtl/>
        </w:rPr>
        <w:instrText xml:space="preserve"> _</w:instrText>
      </w:r>
      <w:r w:rsidRPr="00313B30">
        <w:rPr>
          <w:rStyle w:val="af7"/>
          <w:rFonts w:eastAsia="Guttman Hodes" w:hint="cs"/>
        </w:rPr>
        <w:instrText>Ref533328195 \r \h</w:instrText>
      </w:r>
      <w:r w:rsidRPr="00313B30">
        <w:rPr>
          <w:rStyle w:val="af7"/>
          <w:rFonts w:eastAsia="Guttman Hodes"/>
          <w:rtl/>
        </w:rPr>
        <w:instrText xml:space="preserve"> </w:instrText>
      </w:r>
      <w:r w:rsidRPr="00313B30">
        <w:rPr>
          <w:rStyle w:val="af7"/>
          <w:rFonts w:eastAsia="Guttman Hodes"/>
          <w:rtl/>
        </w:rPr>
      </w:r>
      <w:r w:rsidRPr="00313B30">
        <w:rPr>
          <w:rStyle w:val="af7"/>
          <w:rFonts w:eastAsia="Guttman Hodes"/>
          <w:rtl/>
        </w:rPr>
        <w:fldChar w:fldCharType="separate"/>
      </w:r>
      <w:r w:rsidR="00345400">
        <w:rPr>
          <w:rStyle w:val="af7"/>
          <w:rFonts w:eastAsia="Guttman Hodes"/>
          <w:cs/>
        </w:rPr>
        <w:t>‎</w:t>
      </w:r>
      <w:r w:rsidR="00345400">
        <w:rPr>
          <w:rStyle w:val="af7"/>
          <w:rFonts w:eastAsia="Guttman Hodes"/>
          <w:rtl/>
        </w:rPr>
        <w:t>ו)</w:t>
      </w:r>
      <w:r w:rsidRPr="00313B30">
        <w:rPr>
          <w:rStyle w:val="af7"/>
          <w:rFonts w:eastAsia="Guttman Hodes"/>
          <w:rtl/>
        </w:rPr>
        <w:fldChar w:fldCharType="end"/>
      </w:r>
      <w:r>
        <w:rPr>
          <w:rFonts w:hint="cs"/>
          <w:rtl/>
        </w:rPr>
        <w:t xml:space="preserve"> דפסול במיעוט בתרא</w:t>
      </w:r>
      <w:r w:rsidRPr="00313B30">
        <w:rPr>
          <w:rFonts w:hint="cs"/>
          <w:rtl/>
        </w:rPr>
        <w:t xml:space="preserve"> </w:t>
      </w:r>
      <w:r>
        <w:rPr>
          <w:rFonts w:hint="cs"/>
          <w:rtl/>
        </w:rPr>
        <w:t>פוסל את כל השחיטה, דכיון שעשה מעשה שחיטה בכל הסימן, חשיב שכל השחיטה היא המעשה שמתיר את הבהמה, דהיאך מהני הגילוי דעת של השוחט במה ששחט את כל הסימן, שלא נגמרה השחיטה, לפסול את הבהמה אחר שהוכשרה כבר בשחיטת רוב הסימנים.</w:t>
      </w:r>
    </w:p>
    <w:p w14:paraId="204AF289" w14:textId="77777777" w:rsidR="00436F39" w:rsidRDefault="00436F39" w:rsidP="006D6D32">
      <w:pPr>
        <w:pStyle w:val="a3"/>
        <w:rPr>
          <w:rtl/>
        </w:rPr>
      </w:pPr>
      <w:bookmarkStart w:id="14902" w:name="_Toc533544427"/>
      <w:bookmarkStart w:id="14903" w:name="_Toc533544624"/>
      <w:bookmarkStart w:id="14904" w:name="_Toc19390957"/>
      <w:bookmarkStart w:id="14905" w:name="_Toc19394454"/>
      <w:r>
        <w:rPr>
          <w:rFonts w:hint="cs"/>
          <w:rtl/>
        </w:rPr>
        <w:t>ביאור הקוב"ש דאף שהוכשרה ברוב נפסלת במיעו"ב כזבה שראתה ביום ז' שסותרת אחר שטבלה</w:t>
      </w:r>
      <w:bookmarkEnd w:id="14902"/>
      <w:bookmarkEnd w:id="14903"/>
      <w:bookmarkEnd w:id="14904"/>
      <w:bookmarkEnd w:id="14905"/>
    </w:p>
    <w:p w14:paraId="7647294A" w14:textId="77777777" w:rsidR="00436F39" w:rsidRPr="00A7349F" w:rsidRDefault="00436F39" w:rsidP="00223668">
      <w:pPr>
        <w:pStyle w:val="a0"/>
        <w:rPr>
          <w:rtl/>
        </w:rPr>
      </w:pPr>
      <w:bookmarkStart w:id="14906" w:name="_Ref533329581"/>
      <w:r>
        <w:rPr>
          <w:rFonts w:hint="cs"/>
          <w:rtl/>
        </w:rPr>
        <w:t xml:space="preserve">וביאר </w:t>
      </w:r>
      <w:r w:rsidRPr="002E4C14">
        <w:rPr>
          <w:rStyle w:val="af9"/>
          <w:rFonts w:hint="cs"/>
          <w:rtl/>
        </w:rPr>
        <w:t>הקוב"ש</w:t>
      </w:r>
      <w:r>
        <w:rPr>
          <w:rFonts w:hint="cs"/>
          <w:rtl/>
        </w:rPr>
        <w:t xml:space="preserve"> </w:t>
      </w:r>
      <w:r w:rsidRPr="00C1124E">
        <w:rPr>
          <w:rStyle w:val="af7"/>
          <w:rFonts w:eastAsia="Guttman Hodes" w:hint="cs"/>
          <w:rtl/>
        </w:rPr>
        <w:t>(ח"ב קובץ שמועות חולין אות כ"א</w:t>
      </w:r>
      <w:r>
        <w:rPr>
          <w:rStyle w:val="af7"/>
          <w:rFonts w:eastAsia="Guttman Hodes" w:hint="cs"/>
          <w:rtl/>
        </w:rPr>
        <w:t xml:space="preserve"> ד"ה ועוד ראיה</w:t>
      </w:r>
      <w:r w:rsidRPr="00C1124E">
        <w:rPr>
          <w:rStyle w:val="af7"/>
          <w:rFonts w:eastAsia="Guttman Hodes" w:hint="cs"/>
          <w:rtl/>
        </w:rPr>
        <w:t xml:space="preserve">) </w:t>
      </w:r>
      <w:r>
        <w:rPr>
          <w:rFonts w:hint="cs"/>
          <w:rtl/>
        </w:rPr>
        <w:t xml:space="preserve">דלדברי </w:t>
      </w:r>
      <w:r w:rsidRPr="002E4C14">
        <w:rPr>
          <w:rStyle w:val="af9"/>
          <w:rFonts w:hint="cs"/>
          <w:rtl/>
        </w:rPr>
        <w:t>רש"י</w:t>
      </w:r>
      <w:r>
        <w:rPr>
          <w:rFonts w:hint="cs"/>
          <w:rtl/>
        </w:rPr>
        <w:t xml:space="preserve"> כיון דשהייה הוא פסול בשחיטה מצד עצמו, לכן אף שהוכשרה הבהמה בשחיטת רוב הסימנים מדין רובו ככולו, מ"מ כששהה במיעוט בתרא נפסלת כל השחיטה, כמו שמצינו בזבה שראתה ביום השביעי שלה, שהיא סותרת את כל השבעה נקיים, אף דאמרינן רובו ככולו ומקצת יום השביעי הוא ככולו, ומותרת לטבול בו, מ"מ אם ראתה בהמשך היום היא סותרת למפרע.</w:t>
      </w:r>
      <w:bookmarkEnd w:id="14906"/>
    </w:p>
    <w:p w14:paraId="2307EC94" w14:textId="77777777" w:rsidR="00436F39" w:rsidRPr="004D5990" w:rsidRDefault="00436F39" w:rsidP="006D6D32">
      <w:pPr>
        <w:pStyle w:val="a3"/>
        <w:rPr>
          <w:rtl/>
        </w:rPr>
      </w:pPr>
      <w:bookmarkStart w:id="14907" w:name="_Toc533544428"/>
      <w:bookmarkStart w:id="14908" w:name="_Toc533544625"/>
      <w:bookmarkStart w:id="14909" w:name="_Toc19390958"/>
      <w:bookmarkStart w:id="14910" w:name="_Toc19394455"/>
      <w:r>
        <w:rPr>
          <w:rFonts w:hint="cs"/>
          <w:rtl/>
        </w:rPr>
        <w:t>ביאור הגרא"ו דכל מה דזבה טובלת ונטהרת מדין מקצת היום ככולו הוא ע"מ שלא תראה דם</w:t>
      </w:r>
      <w:bookmarkEnd w:id="14907"/>
      <w:bookmarkEnd w:id="14908"/>
      <w:bookmarkEnd w:id="14909"/>
      <w:bookmarkEnd w:id="14910"/>
    </w:p>
    <w:p w14:paraId="020BA470" w14:textId="77777777" w:rsidR="00436F39" w:rsidRDefault="00436F39" w:rsidP="00223668">
      <w:pPr>
        <w:pStyle w:val="a0"/>
        <w:rPr>
          <w:rtl/>
        </w:rPr>
      </w:pPr>
      <w:r>
        <w:rPr>
          <w:rFonts w:hint="cs"/>
          <w:rtl/>
        </w:rPr>
        <w:t>וביתר ביאור כתב</w:t>
      </w:r>
      <w:r w:rsidRPr="001958E8">
        <w:rPr>
          <w:rtl/>
        </w:rPr>
        <w:t xml:space="preserve"> </w:t>
      </w:r>
      <w:r>
        <w:rPr>
          <w:rStyle w:val="af9"/>
          <w:rFonts w:hint="cs"/>
          <w:rtl/>
        </w:rPr>
        <w:t xml:space="preserve">בשיעורי </w:t>
      </w:r>
      <w:r w:rsidRPr="00FF7C45">
        <w:rPr>
          <w:rStyle w:val="af9"/>
          <w:rtl/>
        </w:rPr>
        <w:t>הגרא"ו</w:t>
      </w:r>
      <w:r w:rsidRPr="001958E8">
        <w:rPr>
          <w:rtl/>
        </w:rPr>
        <w:t xml:space="preserve"> </w:t>
      </w:r>
      <w:r w:rsidRPr="00D10ACC">
        <w:rPr>
          <w:rStyle w:val="af7"/>
          <w:rFonts w:eastAsia="Guttman Hodes"/>
          <w:rtl/>
        </w:rPr>
        <w:t>(בספר שיעורי הגר"א וסרמן חולין סי' ו' אות ב' ד"ה</w:t>
      </w:r>
      <w:r w:rsidRPr="00D10ACC">
        <w:rPr>
          <w:rStyle w:val="af7"/>
          <w:rFonts w:eastAsia="Guttman Hodes" w:hint="cs"/>
          <w:rtl/>
        </w:rPr>
        <w:t xml:space="preserve"> ואפשר)</w:t>
      </w:r>
      <w:r>
        <w:rPr>
          <w:rFonts w:hint="cs"/>
          <w:rtl/>
        </w:rPr>
        <w:t xml:space="preserve"> דאיתא בגמ' בפסחים </w:t>
      </w:r>
      <w:r w:rsidRPr="00D10ACC">
        <w:rPr>
          <w:rStyle w:val="af7"/>
          <w:rFonts w:eastAsia="Guttman Hodes" w:hint="cs"/>
          <w:rtl/>
        </w:rPr>
        <w:t xml:space="preserve">(פא.) </w:t>
      </w:r>
      <w:r>
        <w:rPr>
          <w:rFonts w:hint="cs"/>
          <w:rtl/>
        </w:rPr>
        <w:t>דזבה שסופרת ז' נקיים, יכולה לטבול ביום השביעי כיון שמקצת היום ככולו, אך מ"מ לדעת רבנן אם לאחר שטבלה ביום השביעי ראתה דם, היא טמאה למפרע, דכל מה שמהני מקצת היום ככולו דטבילתה מטהרתה, זהו דוקא אם לא ראתה דם אח"כ במשך כלם היום השביעי, אבל אם ראתה דם היא טמאה למפרע דלא נטהרה כלל אם תראה דם.</w:t>
      </w:r>
    </w:p>
    <w:p w14:paraId="13B018C8" w14:textId="77777777" w:rsidR="00436F39" w:rsidRDefault="00436F39" w:rsidP="006D6D32">
      <w:pPr>
        <w:pStyle w:val="a3"/>
        <w:rPr>
          <w:rtl/>
        </w:rPr>
      </w:pPr>
      <w:bookmarkStart w:id="14911" w:name="_Toc533544429"/>
      <w:bookmarkStart w:id="14912" w:name="_Toc533544626"/>
      <w:bookmarkStart w:id="14913" w:name="_Toc19390959"/>
      <w:bookmarkStart w:id="14914" w:name="_Toc19394456"/>
      <w:r>
        <w:rPr>
          <w:rFonts w:hint="cs"/>
          <w:rtl/>
        </w:rPr>
        <w:t>ביאור שיעורי הגרא"ו דההיתר בשחיטת רוב הסימנים הוא ע"מ שלא יהיה פסול בגמר השחיטה</w:t>
      </w:r>
      <w:bookmarkEnd w:id="14911"/>
      <w:bookmarkEnd w:id="14912"/>
      <w:bookmarkEnd w:id="14913"/>
      <w:bookmarkEnd w:id="14914"/>
    </w:p>
    <w:p w14:paraId="65B37E0F" w14:textId="77777777" w:rsidR="00436F39" w:rsidRDefault="00436F39" w:rsidP="00223668">
      <w:pPr>
        <w:pStyle w:val="a0"/>
        <w:rPr>
          <w:rtl/>
        </w:rPr>
      </w:pPr>
      <w:r>
        <w:rPr>
          <w:rFonts w:hint="cs"/>
          <w:rtl/>
        </w:rPr>
        <w:t xml:space="preserve">וכתב </w:t>
      </w:r>
      <w:r>
        <w:rPr>
          <w:rStyle w:val="af9"/>
          <w:rFonts w:hint="cs"/>
          <w:rtl/>
        </w:rPr>
        <w:t xml:space="preserve">בשיעורי </w:t>
      </w:r>
      <w:r w:rsidRPr="00FF7C45">
        <w:rPr>
          <w:rStyle w:val="af9"/>
          <w:rtl/>
        </w:rPr>
        <w:t>הגרא"ו</w:t>
      </w:r>
      <w:r w:rsidRPr="001958E8">
        <w:rPr>
          <w:rtl/>
        </w:rPr>
        <w:t xml:space="preserve"> </w:t>
      </w:r>
      <w:r>
        <w:rPr>
          <w:rFonts w:hint="cs"/>
          <w:rtl/>
        </w:rPr>
        <w:t xml:space="preserve">דכעי"ז אפשר לבאר בדעת </w:t>
      </w:r>
      <w:r w:rsidRPr="00D10ACC">
        <w:rPr>
          <w:rStyle w:val="af9"/>
          <w:rFonts w:hint="cs"/>
          <w:rtl/>
        </w:rPr>
        <w:t>רש"י</w:t>
      </w:r>
      <w:r>
        <w:rPr>
          <w:rFonts w:hint="cs"/>
          <w:rtl/>
        </w:rPr>
        <w:t xml:space="preserve"> בפסול שחיטה במיעוט בתרא, דכל מה שמהני שחיטת רוב הסימנים להתירה, הוא דוקא אם לא היה אח"כ פסול בגמר השחיטה, אבל כשהיה פסול בגמר השחיטה, נפסלה השחיטה למפרע, ולא מהני שחיטת הרוב להתירה, דכל מה ששחיטת הרוב התירתה הוא דוקא אם לא יהיה אח"כ פסול בגמר השחיטה.</w:t>
      </w:r>
    </w:p>
    <w:p w14:paraId="31F7E848" w14:textId="77777777" w:rsidR="00436F39" w:rsidRPr="00F218AE" w:rsidRDefault="00436F39" w:rsidP="006D6D32">
      <w:pPr>
        <w:pStyle w:val="a3"/>
        <w:rPr>
          <w:rtl/>
        </w:rPr>
      </w:pPr>
    </w:p>
    <w:p w14:paraId="0E96DC0A" w14:textId="77777777" w:rsidR="00436F39" w:rsidRPr="007974C7" w:rsidRDefault="00436F39" w:rsidP="00BF39B2">
      <w:pPr>
        <w:pStyle w:val="1"/>
        <w:rPr>
          <w:rtl/>
        </w:rPr>
      </w:pPr>
      <w:bookmarkStart w:id="14915" w:name="_Toc533413327"/>
      <w:bookmarkStart w:id="14916" w:name="_Toc533441222"/>
      <w:bookmarkStart w:id="14917" w:name="_Toc533441268"/>
      <w:bookmarkStart w:id="14918" w:name="_Toc533490191"/>
      <w:bookmarkStart w:id="14919" w:name="_Toc533506169"/>
      <w:bookmarkStart w:id="14920" w:name="_Toc533544430"/>
      <w:bookmarkStart w:id="14921" w:name="_Toc533544627"/>
      <w:bookmarkStart w:id="14922" w:name="_Toc19390960"/>
      <w:bookmarkStart w:id="14923" w:name="_Toc19394457"/>
      <w:r>
        <w:rPr>
          <w:rFonts w:hint="cs"/>
          <w:rtl/>
        </w:rPr>
        <w:t>דברי המשנת ר"א</w:t>
      </w:r>
      <w:bookmarkEnd w:id="14824"/>
      <w:bookmarkEnd w:id="14825"/>
      <w:bookmarkEnd w:id="14852"/>
      <w:bookmarkEnd w:id="14915"/>
      <w:r>
        <w:rPr>
          <w:rFonts w:hint="cs"/>
          <w:rtl/>
        </w:rPr>
        <w:t xml:space="preserve"> דהמיעו"ב הוא מעשה שחיטה אחד עם הרוב</w:t>
      </w:r>
      <w:bookmarkEnd w:id="14916"/>
      <w:bookmarkEnd w:id="14917"/>
      <w:bookmarkEnd w:id="14918"/>
      <w:bookmarkEnd w:id="14919"/>
      <w:bookmarkEnd w:id="14920"/>
      <w:bookmarkEnd w:id="14921"/>
      <w:bookmarkEnd w:id="14922"/>
      <w:bookmarkEnd w:id="14923"/>
    </w:p>
    <w:p w14:paraId="4C8422DB" w14:textId="77777777" w:rsidR="00436F39" w:rsidRDefault="00436F39" w:rsidP="006D6D32">
      <w:pPr>
        <w:pStyle w:val="a3"/>
        <w:rPr>
          <w:rtl/>
        </w:rPr>
      </w:pPr>
      <w:bookmarkStart w:id="14924" w:name="_Toc533544431"/>
      <w:bookmarkStart w:id="14925" w:name="_Toc533544628"/>
      <w:bookmarkStart w:id="14926" w:name="_Toc19390961"/>
      <w:bookmarkStart w:id="14927" w:name="_Toc19394458"/>
      <w:r>
        <w:rPr>
          <w:rFonts w:hint="cs"/>
          <w:rtl/>
        </w:rPr>
        <w:t>קושית המשנת ר"א דכיון דקיי"ל דרובו ככולו האיך אפשר לפסול במיעו"ב</w:t>
      </w:r>
      <w:bookmarkEnd w:id="14924"/>
      <w:bookmarkEnd w:id="14925"/>
      <w:bookmarkEnd w:id="14926"/>
      <w:bookmarkEnd w:id="14927"/>
    </w:p>
    <w:p w14:paraId="043A0062" w14:textId="77777777" w:rsidR="00436F39" w:rsidRDefault="00436F39" w:rsidP="00223668">
      <w:pPr>
        <w:pStyle w:val="a0"/>
        <w:rPr>
          <w:rtl/>
        </w:rPr>
      </w:pPr>
      <w:r>
        <w:rPr>
          <w:rFonts w:hint="cs"/>
          <w:rtl/>
        </w:rPr>
        <w:t xml:space="preserve">בקושית </w:t>
      </w:r>
      <w:r w:rsidRPr="00AA31C2">
        <w:rPr>
          <w:rStyle w:val="af9"/>
          <w:rFonts w:hint="cs"/>
          <w:rtl/>
        </w:rPr>
        <w:t>הרא"ש</w:t>
      </w:r>
      <w:r>
        <w:rPr>
          <w:rFonts w:hint="cs"/>
          <w:rtl/>
        </w:rPr>
        <w:t xml:space="preserve"> </w:t>
      </w:r>
      <w:r w:rsidRPr="00257A45">
        <w:rPr>
          <w:rStyle w:val="af7"/>
          <w:rFonts w:eastAsia="Guttman Hodes" w:hint="cs"/>
          <w:rtl/>
        </w:rPr>
        <w:t xml:space="preserve">(עי' אות </w:t>
      </w:r>
      <w:r w:rsidRPr="00937816">
        <w:rPr>
          <w:rStyle w:val="af7"/>
          <w:rFonts w:eastAsia="Guttman Hodes"/>
          <w:rtl/>
        </w:rPr>
        <w:fldChar w:fldCharType="begin"/>
      </w:r>
      <w:r w:rsidRPr="00937816">
        <w:rPr>
          <w:rStyle w:val="af7"/>
          <w:rFonts w:eastAsia="Guttman Hodes"/>
          <w:rtl/>
        </w:rPr>
        <w:instrText xml:space="preserve"> </w:instrText>
      </w:r>
      <w:r w:rsidRPr="00937816">
        <w:rPr>
          <w:rStyle w:val="af7"/>
          <w:rFonts w:eastAsia="Guttman Hodes" w:hint="cs"/>
        </w:rPr>
        <w:instrText>REF</w:instrText>
      </w:r>
      <w:r w:rsidRPr="00937816">
        <w:rPr>
          <w:rStyle w:val="af7"/>
          <w:rFonts w:eastAsia="Guttman Hodes" w:hint="cs"/>
          <w:rtl/>
        </w:rPr>
        <w:instrText xml:space="preserve"> _</w:instrText>
      </w:r>
      <w:r w:rsidRPr="00937816">
        <w:rPr>
          <w:rStyle w:val="af7"/>
          <w:rFonts w:eastAsia="Guttman Hodes" w:hint="cs"/>
        </w:rPr>
        <w:instrText>Ref532364658 \r \h</w:instrText>
      </w:r>
      <w:r w:rsidRPr="00937816">
        <w:rPr>
          <w:rStyle w:val="af7"/>
          <w:rFonts w:eastAsia="Guttman Hodes"/>
          <w:rtl/>
        </w:rPr>
        <w:instrText xml:space="preserve"> </w:instrText>
      </w:r>
      <w:r w:rsidRPr="00937816">
        <w:rPr>
          <w:rStyle w:val="af7"/>
          <w:rFonts w:eastAsia="Guttman Hodes"/>
          <w:rtl/>
        </w:rPr>
      </w:r>
      <w:r w:rsidRPr="00937816">
        <w:rPr>
          <w:rStyle w:val="af7"/>
          <w:rFonts w:eastAsia="Guttman Hodes"/>
          <w:rtl/>
        </w:rPr>
        <w:fldChar w:fldCharType="separate"/>
      </w:r>
      <w:r w:rsidR="00345400">
        <w:rPr>
          <w:rStyle w:val="af7"/>
          <w:rFonts w:eastAsia="Guttman Hodes"/>
          <w:cs/>
        </w:rPr>
        <w:t>‎</w:t>
      </w:r>
      <w:r w:rsidR="00345400">
        <w:rPr>
          <w:rStyle w:val="af7"/>
          <w:rFonts w:eastAsia="Guttman Hodes"/>
          <w:rtl/>
        </w:rPr>
        <w:t>מח)</w:t>
      </w:r>
      <w:r w:rsidRPr="00937816">
        <w:rPr>
          <w:rStyle w:val="af7"/>
          <w:rFonts w:eastAsia="Guttman Hodes"/>
          <w:rtl/>
        </w:rPr>
        <w:fldChar w:fldCharType="end"/>
      </w:r>
      <w:r>
        <w:rPr>
          <w:rFonts w:hint="cs"/>
          <w:rtl/>
        </w:rPr>
        <w:t xml:space="preserve"> על </w:t>
      </w:r>
      <w:r w:rsidRPr="00AA31C2">
        <w:rPr>
          <w:rStyle w:val="af9"/>
          <w:rFonts w:hint="cs"/>
          <w:rtl/>
        </w:rPr>
        <w:t>רש"י</w:t>
      </w:r>
      <w:r>
        <w:rPr>
          <w:rStyle w:val="af9"/>
          <w:rFonts w:hint="cs"/>
          <w:rtl/>
        </w:rPr>
        <w:t xml:space="preserve"> לקמן </w:t>
      </w:r>
      <w:r w:rsidRPr="00257A45">
        <w:rPr>
          <w:rStyle w:val="af7"/>
          <w:rFonts w:eastAsia="Guttman Hodes" w:hint="cs"/>
          <w:rtl/>
        </w:rPr>
        <w:t xml:space="preserve">(עי' אות </w:t>
      </w:r>
      <w:r w:rsidRPr="00937816">
        <w:rPr>
          <w:rStyle w:val="af7"/>
          <w:rFonts w:eastAsia="Guttman Hodes"/>
          <w:rtl/>
        </w:rPr>
        <w:fldChar w:fldCharType="begin"/>
      </w:r>
      <w:r w:rsidRPr="00937816">
        <w:rPr>
          <w:rStyle w:val="af7"/>
          <w:rFonts w:eastAsia="Guttman Hodes"/>
          <w:rtl/>
        </w:rPr>
        <w:instrText xml:space="preserve"> </w:instrText>
      </w:r>
      <w:r w:rsidRPr="00937816">
        <w:rPr>
          <w:rStyle w:val="af7"/>
          <w:rFonts w:eastAsia="Guttman Hodes" w:hint="cs"/>
        </w:rPr>
        <w:instrText>REF</w:instrText>
      </w:r>
      <w:r w:rsidRPr="00937816">
        <w:rPr>
          <w:rStyle w:val="af7"/>
          <w:rFonts w:eastAsia="Guttman Hodes" w:hint="cs"/>
          <w:rtl/>
        </w:rPr>
        <w:instrText xml:space="preserve"> _</w:instrText>
      </w:r>
      <w:r w:rsidRPr="00937816">
        <w:rPr>
          <w:rStyle w:val="af7"/>
          <w:rFonts w:eastAsia="Guttman Hodes" w:hint="cs"/>
        </w:rPr>
        <w:instrText>Ref532364765 \r \h</w:instrText>
      </w:r>
      <w:r w:rsidRPr="00937816">
        <w:rPr>
          <w:rStyle w:val="af7"/>
          <w:rFonts w:eastAsia="Guttman Hodes"/>
          <w:rtl/>
        </w:rPr>
        <w:instrText xml:space="preserve"> </w:instrText>
      </w:r>
      <w:r w:rsidRPr="00937816">
        <w:rPr>
          <w:rStyle w:val="af7"/>
          <w:rFonts w:eastAsia="Guttman Hodes"/>
          <w:rtl/>
        </w:rPr>
      </w:r>
      <w:r w:rsidRPr="00937816">
        <w:rPr>
          <w:rStyle w:val="af7"/>
          <w:rFonts w:eastAsia="Guttman Hodes"/>
          <w:rtl/>
        </w:rPr>
        <w:fldChar w:fldCharType="separate"/>
      </w:r>
      <w:r w:rsidR="00345400">
        <w:rPr>
          <w:rStyle w:val="af7"/>
          <w:rFonts w:eastAsia="Guttman Hodes"/>
          <w:cs/>
        </w:rPr>
        <w:t>‎</w:t>
      </w:r>
      <w:r w:rsidR="00345400">
        <w:rPr>
          <w:rStyle w:val="af7"/>
          <w:rFonts w:eastAsia="Guttman Hodes"/>
          <w:rtl/>
        </w:rPr>
        <w:t>ח)</w:t>
      </w:r>
      <w:r w:rsidRPr="00937816">
        <w:rPr>
          <w:rStyle w:val="af7"/>
          <w:rFonts w:eastAsia="Guttman Hodes"/>
          <w:rtl/>
        </w:rPr>
        <w:fldChar w:fldCharType="end"/>
      </w:r>
      <w:r w:rsidRPr="00257A45">
        <w:rPr>
          <w:rStyle w:val="af7"/>
          <w:rFonts w:eastAsia="Guttman Hodes" w:hint="cs"/>
          <w:rtl/>
        </w:rPr>
        <w:t xml:space="preserve"> </w:t>
      </w:r>
      <w:r>
        <w:rPr>
          <w:rFonts w:hint="cs"/>
          <w:rtl/>
        </w:rPr>
        <w:t xml:space="preserve">דפסק להחמיר מספק בשחט ב' שלישים והגרים שליש, דהא אף לל"ק דרב הונא דנחלקו בזה ריבר"י ורבנן, הא קיי"ל כריבר"י, ואין בזה כל ספק, כתב </w:t>
      </w:r>
      <w:r w:rsidRPr="00AA31C2">
        <w:rPr>
          <w:rStyle w:val="af9"/>
          <w:rFonts w:hint="cs"/>
          <w:rtl/>
        </w:rPr>
        <w:t>במשנת ר"א</w:t>
      </w:r>
      <w:r>
        <w:rPr>
          <w:rFonts w:hint="cs"/>
          <w:rtl/>
        </w:rPr>
        <w:t xml:space="preserve"> </w:t>
      </w:r>
      <w:r w:rsidRPr="00257A45">
        <w:rPr>
          <w:rStyle w:val="af7"/>
          <w:rFonts w:eastAsia="Guttman Hodes" w:hint="cs"/>
          <w:rtl/>
        </w:rPr>
        <w:t>(סי' ג' אות א' ד"ה ונראה)</w:t>
      </w:r>
      <w:r>
        <w:rPr>
          <w:rFonts w:hint="cs"/>
          <w:rtl/>
        </w:rPr>
        <w:t xml:space="preserve"> דלל"ק דרב הונא דפסלי רבנן בשחט ב' שלישים והגרים שליש, משמע דס"ל דלא מהני רובא בשחיטה, </w:t>
      </w:r>
      <w:r w:rsidRPr="00937816">
        <w:rPr>
          <w:rStyle w:val="afb"/>
          <w:rFonts w:hint="cs"/>
          <w:rtl/>
        </w:rPr>
        <w:t xml:space="preserve">[וכמפורש בדברי </w:t>
      </w:r>
      <w:r w:rsidRPr="00937816">
        <w:rPr>
          <w:rStyle w:val="affa"/>
          <w:rFonts w:hint="cs"/>
          <w:rtl/>
        </w:rPr>
        <w:t>הרמב"ן</w:t>
      </w:r>
      <w:r w:rsidRPr="00937816">
        <w:rPr>
          <w:rStyle w:val="afb"/>
          <w:rFonts w:hint="cs"/>
          <w:rtl/>
        </w:rPr>
        <w:t xml:space="preserve"> </w:t>
      </w:r>
      <w:r w:rsidRPr="00937816">
        <w:rPr>
          <w:rStyle w:val="aff6"/>
          <w:rFonts w:hint="cs"/>
          <w:rtl/>
        </w:rPr>
        <w:t xml:space="preserve">(עי' אות </w:t>
      </w:r>
      <w:r w:rsidRPr="00937816">
        <w:rPr>
          <w:rStyle w:val="aff6"/>
          <w:rtl/>
        </w:rPr>
        <w:fldChar w:fldCharType="begin"/>
      </w:r>
      <w:r w:rsidRPr="00937816">
        <w:rPr>
          <w:rStyle w:val="aff6"/>
          <w:rtl/>
        </w:rPr>
        <w:instrText xml:space="preserve"> </w:instrText>
      </w:r>
      <w:r w:rsidRPr="00937816">
        <w:rPr>
          <w:rStyle w:val="aff6"/>
          <w:rFonts w:hint="cs"/>
        </w:rPr>
        <w:instrText>REF</w:instrText>
      </w:r>
      <w:r w:rsidRPr="00937816">
        <w:rPr>
          <w:rStyle w:val="aff6"/>
          <w:rFonts w:hint="cs"/>
          <w:rtl/>
        </w:rPr>
        <w:instrText xml:space="preserve"> _</w:instrText>
      </w:r>
      <w:r w:rsidRPr="00937816">
        <w:rPr>
          <w:rStyle w:val="aff6"/>
          <w:rFonts w:hint="cs"/>
        </w:rPr>
        <w:instrText>Ref532364668 \r \h</w:instrText>
      </w:r>
      <w:r w:rsidRPr="00937816">
        <w:rPr>
          <w:rStyle w:val="aff6"/>
          <w:rtl/>
        </w:rPr>
        <w:instrText xml:space="preserve"> </w:instrText>
      </w:r>
      <w:r w:rsidRPr="00937816">
        <w:rPr>
          <w:rStyle w:val="aff6"/>
          <w:rtl/>
        </w:rPr>
      </w:r>
      <w:r w:rsidRPr="00937816">
        <w:rPr>
          <w:rStyle w:val="aff6"/>
          <w:rtl/>
        </w:rPr>
        <w:fldChar w:fldCharType="separate"/>
      </w:r>
      <w:r w:rsidR="00345400">
        <w:rPr>
          <w:rStyle w:val="aff6"/>
          <w:cs/>
        </w:rPr>
        <w:t>‎</w:t>
      </w:r>
      <w:r w:rsidR="00345400">
        <w:rPr>
          <w:rStyle w:val="aff6"/>
          <w:rtl/>
        </w:rPr>
        <w:t>מט)</w:t>
      </w:r>
      <w:r w:rsidRPr="00937816">
        <w:rPr>
          <w:rStyle w:val="aff6"/>
          <w:rtl/>
        </w:rPr>
        <w:fldChar w:fldCharType="end"/>
      </w:r>
      <w:r w:rsidRPr="00937816">
        <w:rPr>
          <w:rStyle w:val="afb"/>
          <w:rFonts w:hint="cs"/>
          <w:rtl/>
        </w:rPr>
        <w:t>],</w:t>
      </w:r>
      <w:r>
        <w:rPr>
          <w:rFonts w:hint="cs"/>
          <w:rtl/>
        </w:rPr>
        <w:t xml:space="preserve"> והקשה </w:t>
      </w:r>
      <w:r w:rsidRPr="00AA31C2">
        <w:rPr>
          <w:rStyle w:val="af9"/>
          <w:rFonts w:hint="cs"/>
          <w:rtl/>
        </w:rPr>
        <w:t>המשנת ר"א</w:t>
      </w:r>
      <w:r>
        <w:rPr>
          <w:rFonts w:hint="cs"/>
          <w:rtl/>
        </w:rPr>
        <w:t xml:space="preserve"> דהרי הוא הלכה מוסכמת דמהני רוב בשחיטה, ואף </w:t>
      </w:r>
      <w:r w:rsidRPr="00AA31C2">
        <w:rPr>
          <w:rStyle w:val="af9"/>
          <w:rFonts w:hint="cs"/>
          <w:rtl/>
        </w:rPr>
        <w:t>רש"י לקמן</w:t>
      </w:r>
      <w:r>
        <w:rPr>
          <w:rFonts w:hint="cs"/>
          <w:rtl/>
        </w:rPr>
        <w:t xml:space="preserve"> </w:t>
      </w:r>
      <w:r w:rsidRPr="00257A45">
        <w:rPr>
          <w:rStyle w:val="af7"/>
          <w:rFonts w:eastAsia="Guttman Hodes" w:hint="cs"/>
          <w:rtl/>
        </w:rPr>
        <w:t>(ל: ד"ה החליד)</w:t>
      </w:r>
      <w:r>
        <w:rPr>
          <w:rFonts w:hint="cs"/>
          <w:rtl/>
        </w:rPr>
        <w:t xml:space="preserve"> כ"כ בתו"ד, אף דפסק דבשחט ב' שלישים והגרים שליש פסול, ועוד דא"כ מבואר דלכל האמוראים דס"ל דמהני רוב בשחיטה, לא שייך להסתפק בחלדה ושהייה מיעוט בתרא, דאחר ששחט רוב נגמרה השחיטה.</w:t>
      </w:r>
    </w:p>
    <w:p w14:paraId="402D5464" w14:textId="77777777" w:rsidR="00436F39" w:rsidRDefault="00436F39" w:rsidP="006D6D32">
      <w:pPr>
        <w:pStyle w:val="a3"/>
        <w:rPr>
          <w:rtl/>
        </w:rPr>
      </w:pPr>
      <w:bookmarkStart w:id="14928" w:name="_Toc533544432"/>
      <w:bookmarkStart w:id="14929" w:name="_Toc533544629"/>
      <w:bookmarkStart w:id="14930" w:name="_Toc19390962"/>
      <w:bookmarkStart w:id="14931" w:name="_Toc19394459"/>
      <w:r>
        <w:rPr>
          <w:rFonts w:hint="cs"/>
          <w:rtl/>
        </w:rPr>
        <w:t>דברי המשנת ר"א דמוכח דמעשה השחיטה הוא מעשה אחד ויש למיעו"ב שם שחיטה ופוסל</w:t>
      </w:r>
      <w:bookmarkEnd w:id="14928"/>
      <w:bookmarkEnd w:id="14929"/>
      <w:bookmarkEnd w:id="14930"/>
      <w:bookmarkEnd w:id="14931"/>
    </w:p>
    <w:p w14:paraId="260B614A" w14:textId="77777777" w:rsidR="00436F39" w:rsidRDefault="00436F39" w:rsidP="00223668">
      <w:pPr>
        <w:pStyle w:val="a0"/>
        <w:rPr>
          <w:rtl/>
        </w:rPr>
      </w:pPr>
      <w:bookmarkStart w:id="14932" w:name="_Ref532463536"/>
      <w:r>
        <w:rPr>
          <w:rFonts w:hint="cs"/>
          <w:rtl/>
        </w:rPr>
        <w:t xml:space="preserve">וכתב </w:t>
      </w:r>
      <w:r w:rsidRPr="00AA31C2">
        <w:rPr>
          <w:rStyle w:val="af9"/>
          <w:rFonts w:hint="cs"/>
          <w:rtl/>
        </w:rPr>
        <w:t>המשנת ר"א</w:t>
      </w:r>
      <w:r>
        <w:rPr>
          <w:rFonts w:hint="cs"/>
          <w:rtl/>
        </w:rPr>
        <w:t xml:space="preserve"> </w:t>
      </w:r>
      <w:r w:rsidRPr="00257A45">
        <w:rPr>
          <w:rStyle w:val="af7"/>
          <w:rFonts w:eastAsia="Guttman Hodes" w:hint="cs"/>
          <w:rtl/>
        </w:rPr>
        <w:t>(סי' ג' אות א' ד"ה ואשר)</w:t>
      </w:r>
      <w:r>
        <w:rPr>
          <w:rFonts w:hint="cs"/>
          <w:rtl/>
        </w:rPr>
        <w:t xml:space="preserve"> דמהא דמסתפקת הגמ' בחלדה ושהייה במיעוט בתרא, מבואר דין חדש דכל מעשה השחיטה, חשיב כמעשה אחד, ולכן אף דסגי בשחיטת רוב סימן, מ"מ אם המשיך לשחוט, חל על המיעוט בתרא שם שחיטה, ופסולי שחיטה דחלדה או שהייה, אינם רק חסרון בהכשר שחיטה, אלא הם עושים חלות פסול בשחיטה, ולכן אף במיעוט שכבר הוכשרה הבהמה, מ"מ כיון שיש לו שם שחיטה, נאמרו בו הלכות פסולי שחיטה.</w:t>
      </w:r>
      <w:bookmarkEnd w:id="14932"/>
    </w:p>
    <w:p w14:paraId="1DA00902" w14:textId="77777777" w:rsidR="00436F39" w:rsidRDefault="00436F39" w:rsidP="006D6D32">
      <w:pPr>
        <w:pStyle w:val="a3"/>
        <w:rPr>
          <w:rtl/>
        </w:rPr>
      </w:pPr>
      <w:bookmarkStart w:id="14933" w:name="_Toc533544433"/>
      <w:bookmarkStart w:id="14934" w:name="_Toc533544630"/>
      <w:bookmarkStart w:id="14935" w:name="_Toc19390963"/>
      <w:bookmarkStart w:id="14936" w:name="_Toc19394460"/>
      <w:r>
        <w:rPr>
          <w:rFonts w:hint="cs"/>
          <w:rtl/>
        </w:rPr>
        <w:t>ביאור המשנת ר"א דלפי"ז אף לל"ק דר"ה מודו רבנן דמהני רובו ככולו ואפ"ה המיעו"ב פוסל</w:t>
      </w:r>
      <w:bookmarkEnd w:id="14933"/>
      <w:bookmarkEnd w:id="14934"/>
      <w:bookmarkEnd w:id="14935"/>
      <w:bookmarkEnd w:id="14936"/>
    </w:p>
    <w:p w14:paraId="1F866340" w14:textId="77777777" w:rsidR="00436F39" w:rsidRDefault="00436F39" w:rsidP="00223668">
      <w:pPr>
        <w:pStyle w:val="a0"/>
        <w:rPr>
          <w:rtl/>
        </w:rPr>
      </w:pPr>
      <w:r>
        <w:rPr>
          <w:rFonts w:hint="cs"/>
          <w:rtl/>
        </w:rPr>
        <w:t xml:space="preserve">וכתב </w:t>
      </w:r>
      <w:r w:rsidRPr="00AA31C2">
        <w:rPr>
          <w:rStyle w:val="af9"/>
          <w:rFonts w:hint="cs"/>
          <w:rtl/>
        </w:rPr>
        <w:t>המשנת ר"א</w:t>
      </w:r>
      <w:r>
        <w:rPr>
          <w:rFonts w:hint="cs"/>
          <w:rtl/>
        </w:rPr>
        <w:t xml:space="preserve"> דא"כ אפש"ל דאף לל"ק דרב הונא מודו רבנן דמהני רוב בשחיטה, ואפ"ה פסלי בהגרים בשליש האחרון, כיון שהוא חלק ממעשה השחיטה.</w:t>
      </w:r>
    </w:p>
    <w:p w14:paraId="019A59B5" w14:textId="77777777" w:rsidR="00436F39" w:rsidRPr="00AA7125" w:rsidRDefault="00436F39" w:rsidP="00BF39B2">
      <w:pPr>
        <w:pStyle w:val="1"/>
        <w:rPr>
          <w:rtl/>
        </w:rPr>
      </w:pPr>
      <w:bookmarkStart w:id="14937" w:name="_Toc533544434"/>
      <w:bookmarkStart w:id="14938" w:name="_Toc533544631"/>
      <w:bookmarkStart w:id="14939" w:name="_Toc19390964"/>
      <w:bookmarkStart w:id="14940" w:name="_Toc19394461"/>
      <w:r>
        <w:rPr>
          <w:rFonts w:hint="cs"/>
          <w:rtl/>
        </w:rPr>
        <w:t>ביאור המשנת ר"א דלריבר"י ורבנן השחיטה היא מעשה אחד</w:t>
      </w:r>
      <w:bookmarkEnd w:id="14937"/>
      <w:bookmarkEnd w:id="14938"/>
      <w:bookmarkEnd w:id="14939"/>
      <w:bookmarkEnd w:id="14940"/>
    </w:p>
    <w:p w14:paraId="197024DC" w14:textId="77777777" w:rsidR="00436F39" w:rsidRPr="00BC5463" w:rsidRDefault="00436F39" w:rsidP="006D6D32">
      <w:pPr>
        <w:pStyle w:val="a3"/>
        <w:rPr>
          <w:rtl/>
        </w:rPr>
      </w:pPr>
      <w:bookmarkStart w:id="14941" w:name="_Toc533544435"/>
      <w:bookmarkStart w:id="14942" w:name="_Toc533544632"/>
      <w:bookmarkStart w:id="14943" w:name="_Toc19390965"/>
      <w:bookmarkStart w:id="14944" w:name="_Toc19394462"/>
      <w:r>
        <w:rPr>
          <w:rFonts w:hint="cs"/>
          <w:rtl/>
        </w:rPr>
        <w:t>דברי המשנת ר"א דריבר"י מכשיר בל"ב במיעו"ק דאף שהוא במעשה השחיטה</w:t>
      </w:r>
      <w:r w:rsidRPr="000A46D0">
        <w:rPr>
          <w:rFonts w:hint="cs"/>
          <w:rtl/>
        </w:rPr>
        <w:t xml:space="preserve"> </w:t>
      </w:r>
      <w:r>
        <w:rPr>
          <w:rFonts w:hint="cs"/>
          <w:rtl/>
        </w:rPr>
        <w:t>אין בו</w:t>
      </w:r>
      <w:r w:rsidRPr="000A46D0">
        <w:rPr>
          <w:rFonts w:hint="cs"/>
          <w:rtl/>
        </w:rPr>
        <w:t xml:space="preserve"> </w:t>
      </w:r>
      <w:r>
        <w:rPr>
          <w:rFonts w:hint="cs"/>
          <w:rtl/>
        </w:rPr>
        <w:t>פסול שחיטה</w:t>
      </w:r>
      <w:bookmarkEnd w:id="14941"/>
      <w:bookmarkEnd w:id="14942"/>
      <w:bookmarkEnd w:id="14943"/>
      <w:bookmarkEnd w:id="14944"/>
    </w:p>
    <w:p w14:paraId="7E42D6EC" w14:textId="77777777" w:rsidR="00436F39" w:rsidRDefault="00436F39" w:rsidP="00223668">
      <w:pPr>
        <w:pStyle w:val="a0"/>
        <w:rPr>
          <w:rtl/>
        </w:rPr>
      </w:pPr>
      <w:bookmarkStart w:id="14945" w:name="_Ref532463451"/>
      <w:r>
        <w:rPr>
          <w:rFonts w:hint="cs"/>
          <w:rtl/>
        </w:rPr>
        <w:t xml:space="preserve">וכתב </w:t>
      </w:r>
      <w:r w:rsidRPr="00BC5463">
        <w:rPr>
          <w:rStyle w:val="af9"/>
          <w:rFonts w:hint="cs"/>
          <w:rtl/>
        </w:rPr>
        <w:t>המשנת ר"א</w:t>
      </w:r>
      <w:r>
        <w:rPr>
          <w:rFonts w:hint="cs"/>
          <w:rtl/>
        </w:rPr>
        <w:t xml:space="preserve"> </w:t>
      </w:r>
      <w:r w:rsidRPr="00257A45">
        <w:rPr>
          <w:rStyle w:val="af7"/>
          <w:rFonts w:eastAsia="Guttman Hodes" w:hint="cs"/>
          <w:rtl/>
        </w:rPr>
        <w:t>(סי' ג' אות א' ד"ה ולפי"ז)</w:t>
      </w:r>
      <w:r>
        <w:rPr>
          <w:rFonts w:hint="cs"/>
          <w:rtl/>
        </w:rPr>
        <w:t xml:space="preserve"> דלפי ביאורו </w:t>
      </w:r>
      <w:r w:rsidRPr="00257A45">
        <w:rPr>
          <w:rStyle w:val="af7"/>
          <w:rFonts w:eastAsia="Guttman Hodes" w:hint="cs"/>
          <w:rtl/>
        </w:rPr>
        <w:t xml:space="preserve">(עי' אות </w:t>
      </w:r>
      <w:r w:rsidRPr="00822953">
        <w:rPr>
          <w:rStyle w:val="af7"/>
          <w:rFonts w:eastAsia="Guttman Hodes"/>
          <w:rtl/>
        </w:rPr>
        <w:fldChar w:fldCharType="begin"/>
      </w:r>
      <w:r w:rsidRPr="00822953">
        <w:rPr>
          <w:rStyle w:val="af7"/>
          <w:rFonts w:eastAsia="Guttman Hodes"/>
          <w:rtl/>
        </w:rPr>
        <w:instrText xml:space="preserve"> </w:instrText>
      </w:r>
      <w:r w:rsidRPr="00822953">
        <w:rPr>
          <w:rStyle w:val="af7"/>
          <w:rFonts w:eastAsia="Guttman Hodes" w:hint="cs"/>
        </w:rPr>
        <w:instrText>REF</w:instrText>
      </w:r>
      <w:r w:rsidRPr="00822953">
        <w:rPr>
          <w:rStyle w:val="af7"/>
          <w:rFonts w:eastAsia="Guttman Hodes" w:hint="cs"/>
          <w:rtl/>
        </w:rPr>
        <w:instrText xml:space="preserve"> _</w:instrText>
      </w:r>
      <w:r w:rsidRPr="00822953">
        <w:rPr>
          <w:rStyle w:val="af7"/>
          <w:rFonts w:eastAsia="Guttman Hodes" w:hint="cs"/>
        </w:rPr>
        <w:instrText>Ref532463536 \r \h</w:instrText>
      </w:r>
      <w:r w:rsidRPr="00822953">
        <w:rPr>
          <w:rStyle w:val="af7"/>
          <w:rFonts w:eastAsia="Guttman Hodes"/>
          <w:rtl/>
        </w:rPr>
        <w:instrText xml:space="preserve"> </w:instrText>
      </w:r>
      <w:r w:rsidRPr="00822953">
        <w:rPr>
          <w:rStyle w:val="af7"/>
          <w:rFonts w:eastAsia="Guttman Hodes"/>
          <w:rtl/>
        </w:rPr>
      </w:r>
      <w:r w:rsidRPr="00822953">
        <w:rPr>
          <w:rStyle w:val="af7"/>
          <w:rFonts w:eastAsia="Guttman Hodes"/>
          <w:rtl/>
        </w:rPr>
        <w:fldChar w:fldCharType="separate"/>
      </w:r>
      <w:r w:rsidR="00345400">
        <w:rPr>
          <w:rStyle w:val="af7"/>
          <w:rFonts w:eastAsia="Guttman Hodes"/>
          <w:cs/>
        </w:rPr>
        <w:t>‎</w:t>
      </w:r>
      <w:r w:rsidR="00345400">
        <w:rPr>
          <w:rStyle w:val="af7"/>
          <w:rFonts w:eastAsia="Guttman Hodes"/>
          <w:rtl/>
        </w:rPr>
        <w:t>ק)</w:t>
      </w:r>
      <w:r w:rsidRPr="00822953">
        <w:rPr>
          <w:rStyle w:val="af7"/>
          <w:rFonts w:eastAsia="Guttman Hodes"/>
          <w:rtl/>
        </w:rPr>
        <w:fldChar w:fldCharType="end"/>
      </w:r>
      <w:r>
        <w:rPr>
          <w:rFonts w:hint="cs"/>
          <w:rtl/>
        </w:rPr>
        <w:t xml:space="preserve"> בספק הגמ' לקמן </w:t>
      </w:r>
      <w:r w:rsidRPr="00257A45">
        <w:rPr>
          <w:rStyle w:val="af7"/>
          <w:rFonts w:eastAsia="Guttman Hodes" w:hint="cs"/>
          <w:rtl/>
        </w:rPr>
        <w:t>(ל:)</w:t>
      </w:r>
      <w:r>
        <w:rPr>
          <w:rFonts w:hint="cs"/>
          <w:rtl/>
        </w:rPr>
        <w:t xml:space="preserve"> דבכל שחיטת מיעוט שיש לו שם של מעשה שחיטה, והוא מעשה אחד וההגרמה בו פוסלת את כל מעשה השחיטה, א"כ צ"ל דהא דלל"ב הכשיר ריבר"י בהגרים שליש ושחט ב' שלישים, היינו כיון שהמיעוט קמא אינו נחשב שחיטה כמו בחצי קנה פגום, דכשר אף שהמיעוט קמא נפגם שלא בשחיטה, ולכן אף הגרמה אינה פוסלת בו, דבתחילת שחיטה לא שייך פסול הגרמה, והוא כחצי קנה פגום, שאפשר להכשיר את השחיטה ע"י ב' השלישים שישחט בסוף.</w:t>
      </w:r>
    </w:p>
    <w:p w14:paraId="653C209E" w14:textId="77777777" w:rsidR="00436F39" w:rsidRPr="000A46D0" w:rsidRDefault="00436F39" w:rsidP="006D6D32">
      <w:pPr>
        <w:pStyle w:val="a3"/>
      </w:pPr>
      <w:bookmarkStart w:id="14946" w:name="_Toc533544436"/>
      <w:bookmarkStart w:id="14947" w:name="_Toc533544633"/>
      <w:bookmarkStart w:id="14948" w:name="_Toc19390966"/>
      <w:bookmarkStart w:id="14949" w:name="_Toc19394463"/>
      <w:r>
        <w:rPr>
          <w:rFonts w:hint="cs"/>
          <w:rtl/>
        </w:rPr>
        <w:t>דברי המשנת ר"א דרבנן פסלי בהגרמה במיעו"ק כיון שלא יצאה החיות ע"י שחיטת רוב סימן</w:t>
      </w:r>
      <w:bookmarkEnd w:id="14946"/>
      <w:bookmarkEnd w:id="14947"/>
      <w:bookmarkEnd w:id="14948"/>
      <w:bookmarkEnd w:id="14949"/>
    </w:p>
    <w:p w14:paraId="4EBC3FD0" w14:textId="77777777" w:rsidR="00436F39" w:rsidRDefault="00436F39" w:rsidP="00223668">
      <w:pPr>
        <w:pStyle w:val="a0"/>
        <w:rPr>
          <w:rtl/>
        </w:rPr>
      </w:pPr>
      <w:r>
        <w:rPr>
          <w:rFonts w:hint="cs"/>
          <w:rtl/>
        </w:rPr>
        <w:t xml:space="preserve">ובדעת רבנן דפסלי לל"ב בהגרים שליש ושחט ב' שלישים, ביאר </w:t>
      </w:r>
      <w:r w:rsidRPr="00BC5463">
        <w:rPr>
          <w:rStyle w:val="af9"/>
          <w:rFonts w:hint="cs"/>
          <w:rtl/>
        </w:rPr>
        <w:t>המשנת ר"א</w:t>
      </w:r>
      <w:r>
        <w:rPr>
          <w:rFonts w:hint="cs"/>
          <w:rtl/>
        </w:rPr>
        <w:t xml:space="preserve"> דכיון דס"ל דהכשר שחיטה הוא דוקא כשיצאה החיות היא ע"י רוב שחיטה, א"כ כשהגרים במיעוט קמא בשעת יציאת החיות לא נשחט הרוב, וההגרמה אינה במקום שחיטה, לכן שחיטתו פסולה, וכמבואר בגמ' דבסברות אלו נחלקו ריבר"י ורבנן.</w:t>
      </w:r>
      <w:bookmarkEnd w:id="14945"/>
    </w:p>
    <w:p w14:paraId="26E8F66A" w14:textId="77777777" w:rsidR="00436F39" w:rsidRDefault="00436F39" w:rsidP="006D6D32">
      <w:pPr>
        <w:pStyle w:val="a3"/>
        <w:rPr>
          <w:rtl/>
        </w:rPr>
      </w:pPr>
      <w:bookmarkStart w:id="14950" w:name="_Toc533544437"/>
      <w:bookmarkStart w:id="14951" w:name="_Toc533544634"/>
      <w:bookmarkStart w:id="14952" w:name="_Toc19390967"/>
      <w:bookmarkStart w:id="14953" w:name="_Toc19394464"/>
      <w:r>
        <w:rPr>
          <w:rFonts w:hint="cs"/>
          <w:rtl/>
        </w:rPr>
        <w:t>דחיית המשנת ר"א דלל"ב בשחט ב' שלישים והגרים שליש כשר מוכח דהמיעו"ב אינו מעשה אחד</w:t>
      </w:r>
      <w:bookmarkEnd w:id="14950"/>
      <w:bookmarkEnd w:id="14951"/>
      <w:bookmarkEnd w:id="14952"/>
      <w:bookmarkEnd w:id="14953"/>
    </w:p>
    <w:p w14:paraId="524210E8" w14:textId="77777777" w:rsidR="00436F39" w:rsidRDefault="00436F39" w:rsidP="00223668">
      <w:pPr>
        <w:pStyle w:val="a0"/>
        <w:rPr>
          <w:rtl/>
        </w:rPr>
      </w:pPr>
      <w:bookmarkStart w:id="14954" w:name="_Ref532463444"/>
      <w:r>
        <w:rPr>
          <w:rFonts w:hint="cs"/>
          <w:rtl/>
        </w:rPr>
        <w:t xml:space="preserve">אך דחה </w:t>
      </w:r>
      <w:r w:rsidRPr="00BC5463">
        <w:rPr>
          <w:rStyle w:val="af9"/>
          <w:rFonts w:hint="cs"/>
          <w:rtl/>
        </w:rPr>
        <w:t>המשנת ר"א</w:t>
      </w:r>
      <w:r>
        <w:rPr>
          <w:rFonts w:hint="cs"/>
          <w:rtl/>
        </w:rPr>
        <w:t xml:space="preserve"> דא"כ היאך אמרינן בגמ' דלל"ב דרב הונא בשחט ב' שלישים והגרים שליש כשר</w:t>
      </w:r>
      <w:r w:rsidRPr="00DE2D83">
        <w:rPr>
          <w:rFonts w:hint="cs"/>
          <w:rtl/>
        </w:rPr>
        <w:t xml:space="preserve"> </w:t>
      </w:r>
      <w:r>
        <w:rPr>
          <w:rFonts w:hint="cs"/>
          <w:rtl/>
        </w:rPr>
        <w:t>לכו"ע, הא מסברא היה צריך לומר להיפך דלכו"ע פסול, דכיון ששחט את הב' שלישים הראשונים בכשרות, יש למיעוט בתרא שם שחיטה, ונאמרו בו הלכות פסולי שחיטה, וכיון שמעשה השחיטה הוא מעשה אחד, כל השחיטה נפסלת.</w:t>
      </w:r>
      <w:bookmarkEnd w:id="14954"/>
    </w:p>
    <w:p w14:paraId="4B8F6A4C" w14:textId="77777777" w:rsidR="00D5430D" w:rsidRDefault="00D5430D" w:rsidP="006D6D32">
      <w:pPr>
        <w:pStyle w:val="a3"/>
        <w:rPr>
          <w:rtl/>
        </w:rPr>
      </w:pPr>
    </w:p>
    <w:p w14:paraId="57EDD387" w14:textId="77777777" w:rsidR="00D5430D" w:rsidRDefault="00D5430D" w:rsidP="00223668">
      <w:pPr>
        <w:pStyle w:val="a0"/>
        <w:numPr>
          <w:ilvl w:val="0"/>
          <w:numId w:val="0"/>
        </w:numPr>
        <w:rPr>
          <w:rtl/>
        </w:rPr>
      </w:pPr>
    </w:p>
    <w:p w14:paraId="59D8CDCA" w14:textId="77777777" w:rsidR="00D5430D" w:rsidRPr="00D5430D" w:rsidRDefault="00D5430D" w:rsidP="006D6D32">
      <w:pPr>
        <w:pStyle w:val="a3"/>
        <w:rPr>
          <w:rtl/>
        </w:rPr>
      </w:pPr>
    </w:p>
    <w:p w14:paraId="6D5B9FDD" w14:textId="77777777" w:rsidR="00436F39" w:rsidRPr="00AB03DA" w:rsidRDefault="00436F39" w:rsidP="00BF39B2">
      <w:pPr>
        <w:pStyle w:val="1"/>
        <w:rPr>
          <w:rtl/>
        </w:rPr>
      </w:pPr>
      <w:bookmarkStart w:id="14955" w:name="_Toc532550677"/>
      <w:bookmarkStart w:id="14956" w:name="_Toc532550743"/>
      <w:bookmarkStart w:id="14957" w:name="_Toc532810073"/>
      <w:bookmarkStart w:id="14958" w:name="_Toc533413328"/>
      <w:bookmarkStart w:id="14959" w:name="_Toc533441223"/>
      <w:bookmarkStart w:id="14960" w:name="_Toc533441269"/>
      <w:bookmarkStart w:id="14961" w:name="_Toc533490192"/>
      <w:bookmarkStart w:id="14962" w:name="_Toc533506170"/>
      <w:bookmarkStart w:id="14963" w:name="_Toc533544438"/>
      <w:bookmarkStart w:id="14964" w:name="_Toc533544635"/>
      <w:bookmarkStart w:id="14965" w:name="_Toc19390968"/>
      <w:bookmarkStart w:id="14966" w:name="_Toc19394465"/>
      <w:r w:rsidRPr="00AB03DA">
        <w:rPr>
          <w:rFonts w:hint="cs"/>
          <w:rtl/>
        </w:rPr>
        <w:t xml:space="preserve">ביאור המשנת ר"א דסוגיין </w:t>
      </w:r>
      <w:r>
        <w:rPr>
          <w:rFonts w:hint="cs"/>
          <w:rtl/>
        </w:rPr>
        <w:t>סברה</w:t>
      </w:r>
      <w:r w:rsidRPr="00AB03DA">
        <w:rPr>
          <w:rFonts w:hint="cs"/>
          <w:rtl/>
        </w:rPr>
        <w:t xml:space="preserve"> כצד </w:t>
      </w:r>
      <w:bookmarkEnd w:id="14955"/>
      <w:bookmarkEnd w:id="14956"/>
      <w:bookmarkEnd w:id="14957"/>
      <w:bookmarkEnd w:id="14958"/>
      <w:bookmarkEnd w:id="14959"/>
      <w:bookmarkEnd w:id="14960"/>
      <w:bookmarkEnd w:id="14961"/>
      <w:bookmarkEnd w:id="14962"/>
      <w:r w:rsidRPr="00AB03DA">
        <w:rPr>
          <w:rFonts w:hint="cs"/>
          <w:rtl/>
        </w:rPr>
        <w:t>דמיעו"ב אינו פוסל</w:t>
      </w:r>
      <w:bookmarkEnd w:id="14963"/>
      <w:bookmarkEnd w:id="14964"/>
      <w:bookmarkEnd w:id="14965"/>
      <w:bookmarkEnd w:id="14966"/>
    </w:p>
    <w:p w14:paraId="6F10C72F" w14:textId="77777777" w:rsidR="00436F39" w:rsidRPr="00E33BB1" w:rsidRDefault="00436F39" w:rsidP="006D6D32">
      <w:pPr>
        <w:pStyle w:val="a3"/>
        <w:rPr>
          <w:rtl/>
        </w:rPr>
      </w:pPr>
      <w:bookmarkStart w:id="14967" w:name="_Toc533544439"/>
      <w:bookmarkStart w:id="14968" w:name="_Toc533544636"/>
      <w:bookmarkStart w:id="14969" w:name="_Toc19390969"/>
      <w:bookmarkStart w:id="14970" w:name="_Toc19394466"/>
      <w:r>
        <w:rPr>
          <w:rFonts w:hint="cs"/>
          <w:rtl/>
        </w:rPr>
        <w:t>ביאור המשנת ר"א דהגמ' בסוגיין סברה כצד דמיעו"ב אינו פוסל ואין לו שם שחיטה</w:t>
      </w:r>
      <w:bookmarkEnd w:id="14967"/>
      <w:bookmarkEnd w:id="14968"/>
      <w:bookmarkEnd w:id="14969"/>
      <w:bookmarkEnd w:id="14970"/>
    </w:p>
    <w:p w14:paraId="71B65779" w14:textId="77777777" w:rsidR="00436F39" w:rsidRDefault="00436F39" w:rsidP="00223668">
      <w:pPr>
        <w:pStyle w:val="a0"/>
        <w:rPr>
          <w:rtl/>
        </w:rPr>
      </w:pPr>
      <w:r>
        <w:rPr>
          <w:rFonts w:hint="cs"/>
          <w:rtl/>
        </w:rPr>
        <w:t xml:space="preserve">אלא כתב </w:t>
      </w:r>
      <w:r w:rsidRPr="00F56019">
        <w:rPr>
          <w:rStyle w:val="af9"/>
          <w:rFonts w:hint="cs"/>
          <w:rtl/>
        </w:rPr>
        <w:t>המשנת ר"א</w:t>
      </w:r>
      <w:r>
        <w:rPr>
          <w:rFonts w:hint="cs"/>
          <w:rtl/>
        </w:rPr>
        <w:t xml:space="preserve"> דמוכח דהגמ' הכא סברה  בדעת הל"ב כמו הצד שלא שייך כלל לפסול במיעוט בתרא, דאחר שנשחטו רוב הסימנים בכשרות, אין לשחיטה במיעוט בתרא שם שחיטה.</w:t>
      </w:r>
    </w:p>
    <w:p w14:paraId="7B46B178" w14:textId="77777777" w:rsidR="00436F39" w:rsidRDefault="00436F39" w:rsidP="006D6D32">
      <w:pPr>
        <w:pStyle w:val="a3"/>
        <w:rPr>
          <w:rtl/>
        </w:rPr>
      </w:pPr>
      <w:bookmarkStart w:id="14971" w:name="_Toc533544440"/>
      <w:bookmarkStart w:id="14972" w:name="_Toc533544637"/>
      <w:bookmarkStart w:id="14973" w:name="_Toc19390970"/>
      <w:bookmarkStart w:id="14974" w:name="_Toc19394467"/>
      <w:r>
        <w:rPr>
          <w:rFonts w:hint="cs"/>
          <w:rtl/>
        </w:rPr>
        <w:t>דברי המשנת ר"א דכן מוכח מדאמרין דלרבנן לא מהני רובו ככולו בשחיטה ולא דפסלי במיעו"ב</w:t>
      </w:r>
      <w:bookmarkEnd w:id="14971"/>
      <w:bookmarkEnd w:id="14972"/>
      <w:bookmarkEnd w:id="14973"/>
      <w:bookmarkEnd w:id="14974"/>
    </w:p>
    <w:p w14:paraId="621333D0" w14:textId="77777777" w:rsidR="00436F39" w:rsidRDefault="00436F39" w:rsidP="00223668">
      <w:pPr>
        <w:pStyle w:val="a0"/>
        <w:rPr>
          <w:rtl/>
        </w:rPr>
      </w:pPr>
      <w:r>
        <w:rPr>
          <w:rFonts w:hint="cs"/>
          <w:rtl/>
        </w:rPr>
        <w:t xml:space="preserve">וכתב </w:t>
      </w:r>
      <w:r w:rsidRPr="00BC5463">
        <w:rPr>
          <w:rStyle w:val="af9"/>
          <w:rFonts w:hint="cs"/>
          <w:rtl/>
        </w:rPr>
        <w:t>המשנת ר"א</w:t>
      </w:r>
      <w:r>
        <w:rPr>
          <w:rFonts w:hint="cs"/>
          <w:rtl/>
        </w:rPr>
        <w:t xml:space="preserve"> דכן מוכח מהא דאמרינן בגמ' דלל"ק פסלי רבנן, כיון דס"ל דבשחיטה לא אמרינן דרובו של סימן ככולו, ואי נימא דמיעוט בתרא הוא חלק ממעשה השחיטה, והוא פוסל את כל השחיטה, היה לגמ' לומר דמודו רבנן דמהני רוב בשחיטה, אלא דהשחיטה נפסלה ע"י המיעוט בתרא, אלא מוכח דהגמ' סברה כמו הצד שמיעוט בתרא אינו חלק ממעשה השחיטה, ולכן אמרינן דלל"ב בשחט ב' שלישים והגרים שליש כשר לכו"ע.</w:t>
      </w:r>
    </w:p>
    <w:p w14:paraId="15B7B012" w14:textId="77777777" w:rsidR="00436F39" w:rsidRPr="005577DB" w:rsidRDefault="00436F39" w:rsidP="006D6D32">
      <w:pPr>
        <w:pStyle w:val="a3"/>
        <w:rPr>
          <w:rtl/>
        </w:rPr>
      </w:pPr>
      <w:bookmarkStart w:id="14975" w:name="_Toc533544441"/>
      <w:bookmarkStart w:id="14976" w:name="_Toc533544638"/>
      <w:bookmarkStart w:id="14977" w:name="_Toc19390971"/>
      <w:bookmarkStart w:id="14978" w:name="_Toc19394468"/>
      <w:r>
        <w:rPr>
          <w:rFonts w:hint="cs"/>
          <w:rtl/>
        </w:rPr>
        <w:t>תירוץ המשנת ר"א על קושית הרא"ש דרש"י פסק כספק הגמ' לקמן שיש למיעו"ב שם שחיטה</w:t>
      </w:r>
      <w:bookmarkEnd w:id="14975"/>
      <w:bookmarkEnd w:id="14976"/>
      <w:bookmarkEnd w:id="14977"/>
      <w:bookmarkEnd w:id="14978"/>
    </w:p>
    <w:p w14:paraId="42EA5F88" w14:textId="77777777" w:rsidR="00436F39" w:rsidRPr="00B12338" w:rsidRDefault="00436F39" w:rsidP="00223668">
      <w:pPr>
        <w:pStyle w:val="a0"/>
        <w:rPr>
          <w:rtl/>
        </w:rPr>
      </w:pPr>
      <w:r>
        <w:rPr>
          <w:rFonts w:hint="cs"/>
          <w:rtl/>
        </w:rPr>
        <w:t xml:space="preserve">ובזה תירץ </w:t>
      </w:r>
      <w:r w:rsidRPr="00BC5463">
        <w:rPr>
          <w:rStyle w:val="af9"/>
          <w:rFonts w:hint="cs"/>
          <w:rtl/>
        </w:rPr>
        <w:t>המשנת ר"א</w:t>
      </w:r>
      <w:r>
        <w:rPr>
          <w:rFonts w:hint="cs"/>
          <w:rtl/>
        </w:rPr>
        <w:t xml:space="preserve"> את קושית</w:t>
      </w:r>
      <w:r w:rsidRPr="00BC5463">
        <w:rPr>
          <w:rStyle w:val="af9"/>
          <w:rFonts w:hint="cs"/>
          <w:rtl/>
        </w:rPr>
        <w:t xml:space="preserve"> הרא"ש</w:t>
      </w:r>
      <w:r>
        <w:rPr>
          <w:rFonts w:hint="cs"/>
          <w:rtl/>
        </w:rPr>
        <w:t xml:space="preserve"> </w:t>
      </w:r>
      <w:r w:rsidRPr="00257A45">
        <w:rPr>
          <w:rStyle w:val="af7"/>
          <w:rFonts w:eastAsia="Guttman Hodes" w:hint="cs"/>
          <w:rtl/>
        </w:rPr>
        <w:t xml:space="preserve">(עי' אות </w:t>
      </w:r>
      <w:r w:rsidRPr="00822953">
        <w:rPr>
          <w:rStyle w:val="af7"/>
          <w:rFonts w:eastAsia="Guttman Hodes"/>
          <w:rtl/>
        </w:rPr>
        <w:fldChar w:fldCharType="begin"/>
      </w:r>
      <w:r w:rsidRPr="00822953">
        <w:rPr>
          <w:rStyle w:val="af7"/>
          <w:rFonts w:eastAsia="Guttman Hodes"/>
          <w:rtl/>
        </w:rPr>
        <w:instrText xml:space="preserve"> </w:instrText>
      </w:r>
      <w:r w:rsidRPr="00822953">
        <w:rPr>
          <w:rStyle w:val="af7"/>
          <w:rFonts w:eastAsia="Guttman Hodes" w:hint="cs"/>
        </w:rPr>
        <w:instrText>REF</w:instrText>
      </w:r>
      <w:r w:rsidRPr="00822953">
        <w:rPr>
          <w:rStyle w:val="af7"/>
          <w:rFonts w:eastAsia="Guttman Hodes" w:hint="cs"/>
          <w:rtl/>
        </w:rPr>
        <w:instrText xml:space="preserve"> _</w:instrText>
      </w:r>
      <w:r w:rsidRPr="00822953">
        <w:rPr>
          <w:rStyle w:val="af7"/>
          <w:rFonts w:eastAsia="Guttman Hodes" w:hint="cs"/>
        </w:rPr>
        <w:instrText>Ref532364658 \r \h</w:instrText>
      </w:r>
      <w:r w:rsidRPr="00822953">
        <w:rPr>
          <w:rStyle w:val="af7"/>
          <w:rFonts w:eastAsia="Guttman Hodes"/>
          <w:rtl/>
        </w:rPr>
        <w:instrText xml:space="preserve"> </w:instrText>
      </w:r>
      <w:r w:rsidRPr="00822953">
        <w:rPr>
          <w:rStyle w:val="af7"/>
          <w:rFonts w:eastAsia="Guttman Hodes"/>
          <w:rtl/>
        </w:rPr>
      </w:r>
      <w:r w:rsidRPr="00822953">
        <w:rPr>
          <w:rStyle w:val="af7"/>
          <w:rFonts w:eastAsia="Guttman Hodes"/>
          <w:rtl/>
        </w:rPr>
        <w:fldChar w:fldCharType="separate"/>
      </w:r>
      <w:r w:rsidR="00345400">
        <w:rPr>
          <w:rStyle w:val="af7"/>
          <w:rFonts w:eastAsia="Guttman Hodes"/>
          <w:cs/>
        </w:rPr>
        <w:t>‎</w:t>
      </w:r>
      <w:r w:rsidR="00345400">
        <w:rPr>
          <w:rStyle w:val="af7"/>
          <w:rFonts w:eastAsia="Guttman Hodes"/>
          <w:rtl/>
        </w:rPr>
        <w:t>מח)</w:t>
      </w:r>
      <w:r w:rsidRPr="00822953">
        <w:rPr>
          <w:rStyle w:val="af7"/>
          <w:rFonts w:eastAsia="Guttman Hodes"/>
          <w:rtl/>
        </w:rPr>
        <w:fldChar w:fldCharType="end"/>
      </w:r>
      <w:r>
        <w:rPr>
          <w:rFonts w:hint="cs"/>
          <w:rtl/>
        </w:rPr>
        <w:t xml:space="preserve"> על </w:t>
      </w:r>
      <w:r w:rsidRPr="00BC5463">
        <w:rPr>
          <w:rStyle w:val="af9"/>
          <w:rFonts w:hint="cs"/>
          <w:rtl/>
        </w:rPr>
        <w:t>רש"י</w:t>
      </w:r>
      <w:r>
        <w:rPr>
          <w:rFonts w:hint="cs"/>
          <w:rtl/>
        </w:rPr>
        <w:t xml:space="preserve">, דבסוגיין מבואר דקיי"ל כריבר"י דלכל הלישנות הכשיר בשחט ב' שלישים והגרים שליש, דכיון דהגמ' בסוגיין היא כמו הצד </w:t>
      </w:r>
      <w:r w:rsidRPr="00C364FB">
        <w:rPr>
          <w:rStyle w:val="afb"/>
          <w:rFonts w:hint="cs"/>
          <w:rtl/>
        </w:rPr>
        <w:t>[בספק בגמ' לקמן</w:t>
      </w:r>
      <w:r>
        <w:rPr>
          <w:rStyle w:val="aff6"/>
          <w:rFonts w:hint="cs"/>
          <w:rtl/>
        </w:rPr>
        <w:t xml:space="preserve"> </w:t>
      </w:r>
      <w:r w:rsidRPr="000B533C">
        <w:rPr>
          <w:rStyle w:val="aff6"/>
          <w:rFonts w:hint="cs"/>
          <w:rtl/>
        </w:rPr>
        <w:t>(ל:)</w:t>
      </w:r>
      <w:r w:rsidRPr="00C364FB">
        <w:rPr>
          <w:rStyle w:val="afb"/>
          <w:rFonts w:hint="cs"/>
          <w:rtl/>
        </w:rPr>
        <w:t>]</w:t>
      </w:r>
      <w:r>
        <w:rPr>
          <w:rFonts w:hint="cs"/>
          <w:rtl/>
        </w:rPr>
        <w:t xml:space="preserve"> דאין למיעוט בתרא שם שחיטה, לכן מכשיר ריבר"י, אבל כיון שרש"י פסק דצריך להחמיר בספק שנשאר בתיקו, ממילא מבואר להיפך דלצד שיש למיעוט בתרא שם שחיטה, לל"ב צריך לפסול לכו"ע </w:t>
      </w:r>
      <w:r w:rsidRPr="00257A45">
        <w:rPr>
          <w:rStyle w:val="af7"/>
          <w:rFonts w:eastAsia="Guttman Hodes" w:hint="cs"/>
          <w:rtl/>
        </w:rPr>
        <w:t xml:space="preserve">(עי' אות </w:t>
      </w:r>
      <w:r w:rsidRPr="00822953">
        <w:rPr>
          <w:rStyle w:val="af7"/>
          <w:rFonts w:eastAsia="Guttman Hodes"/>
          <w:rtl/>
        </w:rPr>
        <w:fldChar w:fldCharType="begin"/>
      </w:r>
      <w:r w:rsidRPr="00822953">
        <w:rPr>
          <w:rStyle w:val="af7"/>
          <w:rFonts w:eastAsia="Guttman Hodes"/>
          <w:rtl/>
        </w:rPr>
        <w:instrText xml:space="preserve"> </w:instrText>
      </w:r>
      <w:r w:rsidRPr="00822953">
        <w:rPr>
          <w:rStyle w:val="af7"/>
          <w:rFonts w:eastAsia="Guttman Hodes" w:hint="cs"/>
        </w:rPr>
        <w:instrText>REF</w:instrText>
      </w:r>
      <w:r w:rsidRPr="00822953">
        <w:rPr>
          <w:rStyle w:val="af7"/>
          <w:rFonts w:eastAsia="Guttman Hodes" w:hint="cs"/>
          <w:rtl/>
        </w:rPr>
        <w:instrText xml:space="preserve"> _</w:instrText>
      </w:r>
      <w:r w:rsidRPr="00822953">
        <w:rPr>
          <w:rStyle w:val="af7"/>
          <w:rFonts w:eastAsia="Guttman Hodes" w:hint="cs"/>
        </w:rPr>
        <w:instrText>Ref532463444 \r \h</w:instrText>
      </w:r>
      <w:r w:rsidRPr="00822953">
        <w:rPr>
          <w:rStyle w:val="af7"/>
          <w:rFonts w:eastAsia="Guttman Hodes"/>
          <w:rtl/>
        </w:rPr>
        <w:instrText xml:space="preserve"> </w:instrText>
      </w:r>
      <w:r w:rsidRPr="00822953">
        <w:rPr>
          <w:rStyle w:val="af7"/>
          <w:rFonts w:eastAsia="Guttman Hodes"/>
          <w:rtl/>
        </w:rPr>
      </w:r>
      <w:r w:rsidRPr="00822953">
        <w:rPr>
          <w:rStyle w:val="af7"/>
          <w:rFonts w:eastAsia="Guttman Hodes"/>
          <w:rtl/>
        </w:rPr>
        <w:fldChar w:fldCharType="separate"/>
      </w:r>
      <w:r w:rsidR="00345400">
        <w:rPr>
          <w:rStyle w:val="af7"/>
          <w:rFonts w:eastAsia="Guttman Hodes"/>
          <w:cs/>
        </w:rPr>
        <w:t>‎</w:t>
      </w:r>
      <w:r w:rsidR="00345400">
        <w:rPr>
          <w:rStyle w:val="af7"/>
          <w:rFonts w:eastAsia="Guttman Hodes"/>
          <w:rtl/>
        </w:rPr>
        <w:t>קד)</w:t>
      </w:r>
      <w:r w:rsidRPr="00822953">
        <w:rPr>
          <w:rStyle w:val="af7"/>
          <w:rFonts w:eastAsia="Guttman Hodes"/>
          <w:rtl/>
        </w:rPr>
        <w:fldChar w:fldCharType="end"/>
      </w:r>
      <w:r>
        <w:rPr>
          <w:rFonts w:hint="cs"/>
          <w:rtl/>
        </w:rPr>
        <w:t xml:space="preserve">, והא דהכשיר ריבר"י בהגרים במיעוט קמא, הוא כיון שאין לו שם שחיטה </w:t>
      </w:r>
      <w:r w:rsidRPr="00257A45">
        <w:rPr>
          <w:rStyle w:val="af7"/>
          <w:rFonts w:eastAsia="Guttman Hodes" w:hint="cs"/>
          <w:rtl/>
        </w:rPr>
        <w:t xml:space="preserve">(עי' אות </w:t>
      </w:r>
      <w:r w:rsidRPr="00822953">
        <w:rPr>
          <w:rStyle w:val="af7"/>
          <w:rFonts w:eastAsia="Guttman Hodes"/>
          <w:rtl/>
        </w:rPr>
        <w:fldChar w:fldCharType="begin"/>
      </w:r>
      <w:r w:rsidRPr="00822953">
        <w:rPr>
          <w:rStyle w:val="af7"/>
          <w:rFonts w:eastAsia="Guttman Hodes"/>
          <w:rtl/>
        </w:rPr>
        <w:instrText xml:space="preserve"> </w:instrText>
      </w:r>
      <w:r w:rsidRPr="00822953">
        <w:rPr>
          <w:rStyle w:val="af7"/>
          <w:rFonts w:eastAsia="Guttman Hodes" w:hint="cs"/>
        </w:rPr>
        <w:instrText>REF</w:instrText>
      </w:r>
      <w:r w:rsidRPr="00822953">
        <w:rPr>
          <w:rStyle w:val="af7"/>
          <w:rFonts w:eastAsia="Guttman Hodes" w:hint="cs"/>
          <w:rtl/>
        </w:rPr>
        <w:instrText xml:space="preserve"> _</w:instrText>
      </w:r>
      <w:r w:rsidRPr="00822953">
        <w:rPr>
          <w:rStyle w:val="af7"/>
          <w:rFonts w:eastAsia="Guttman Hodes" w:hint="cs"/>
        </w:rPr>
        <w:instrText>Ref532463451 \r \h</w:instrText>
      </w:r>
      <w:r w:rsidRPr="00822953">
        <w:rPr>
          <w:rStyle w:val="af7"/>
          <w:rFonts w:eastAsia="Guttman Hodes"/>
          <w:rtl/>
        </w:rPr>
        <w:instrText xml:space="preserve"> </w:instrText>
      </w:r>
      <w:r w:rsidRPr="00822953">
        <w:rPr>
          <w:rStyle w:val="af7"/>
          <w:rFonts w:eastAsia="Guttman Hodes"/>
          <w:rtl/>
        </w:rPr>
      </w:r>
      <w:r w:rsidRPr="00822953">
        <w:rPr>
          <w:rStyle w:val="af7"/>
          <w:rFonts w:eastAsia="Guttman Hodes"/>
          <w:rtl/>
        </w:rPr>
        <w:fldChar w:fldCharType="separate"/>
      </w:r>
      <w:r w:rsidR="00345400">
        <w:rPr>
          <w:rStyle w:val="af7"/>
          <w:rFonts w:eastAsia="Guttman Hodes"/>
          <w:cs/>
        </w:rPr>
        <w:t>‎</w:t>
      </w:r>
      <w:r w:rsidR="00345400">
        <w:rPr>
          <w:rStyle w:val="af7"/>
          <w:rFonts w:eastAsia="Guttman Hodes"/>
          <w:rtl/>
        </w:rPr>
        <w:t>קב)</w:t>
      </w:r>
      <w:r w:rsidRPr="00822953">
        <w:rPr>
          <w:rStyle w:val="af7"/>
          <w:rFonts w:eastAsia="Guttman Hodes"/>
          <w:rtl/>
        </w:rPr>
        <w:fldChar w:fldCharType="end"/>
      </w:r>
      <w:r>
        <w:rPr>
          <w:rFonts w:hint="cs"/>
          <w:rtl/>
        </w:rPr>
        <w:t>.</w:t>
      </w:r>
    </w:p>
    <w:p w14:paraId="345FB8B4" w14:textId="77777777" w:rsidR="00436F39" w:rsidRPr="00181500" w:rsidRDefault="00436F39" w:rsidP="006D6D32">
      <w:pPr>
        <w:pStyle w:val="a3"/>
        <w:rPr>
          <w:rtl/>
        </w:rPr>
        <w:sectPr w:rsidR="00436F39" w:rsidRPr="00181500" w:rsidSect="00E53A7C">
          <w:type w:val="continuous"/>
          <w:pgSz w:w="11906" w:h="16838"/>
          <w:pgMar w:top="720" w:right="720" w:bottom="720" w:left="720" w:header="283" w:footer="283" w:gutter="0"/>
          <w:cols w:num="2" w:space="567"/>
          <w:titlePg/>
          <w:bidi/>
          <w:rtlGutter/>
          <w:docGrid w:linePitch="299"/>
        </w:sectPr>
      </w:pPr>
    </w:p>
    <w:p w14:paraId="573D9221" w14:textId="77777777" w:rsidR="00436F39" w:rsidRDefault="00436F39" w:rsidP="00223668">
      <w:pPr>
        <w:pStyle w:val="a0"/>
        <w:numPr>
          <w:ilvl w:val="0"/>
          <w:numId w:val="0"/>
        </w:numPr>
        <w:sectPr w:rsidR="00436F39" w:rsidSect="00436F39">
          <w:type w:val="continuous"/>
          <w:pgSz w:w="11906" w:h="16838"/>
          <w:pgMar w:top="720" w:right="720" w:bottom="720" w:left="720" w:header="283" w:footer="283" w:gutter="0"/>
          <w:cols w:space="567"/>
          <w:bidi/>
          <w:rtlGutter/>
          <w:docGrid w:linePitch="299"/>
        </w:sectPr>
      </w:pPr>
    </w:p>
    <w:p w14:paraId="701BD36D" w14:textId="77777777" w:rsidR="00436F39" w:rsidRPr="00D11674" w:rsidRDefault="00436F39" w:rsidP="00436F39">
      <w:pPr>
        <w:pStyle w:val="ad"/>
        <w:spacing w:before="120" w:after="120" w:line="240" w:lineRule="auto"/>
        <w:ind w:left="0"/>
        <w:contextualSpacing w:val="0"/>
        <w:rPr>
          <w:rFonts w:ascii="Guttman Rashi" w:eastAsia="Guttman Rashi" w:hAnsi="Guttman Rashi" w:cs="Guttman Rashi"/>
          <w:noProof/>
          <w:sz w:val="10"/>
          <w:szCs w:val="10"/>
        </w:rPr>
        <w:sectPr w:rsidR="00436F39" w:rsidRPr="00D11674" w:rsidSect="00834C78">
          <w:type w:val="continuous"/>
          <w:pgSz w:w="11906" w:h="16838"/>
          <w:pgMar w:top="720" w:right="720" w:bottom="720" w:left="720" w:header="283" w:footer="283" w:gutter="0"/>
          <w:cols w:num="2" w:space="567"/>
          <w:bidi/>
          <w:rtlGutter/>
          <w:docGrid w:linePitch="299"/>
        </w:sectPr>
      </w:pPr>
      <w:r w:rsidRPr="00054D24">
        <w:rPr>
          <w:rStyle w:val="aff6"/>
          <w:rtl/>
        </w:rPr>
        <w:t>.</w:t>
      </w:r>
    </w:p>
    <w:p w14:paraId="768AFBD3" w14:textId="77777777" w:rsidR="00E53A7C" w:rsidRDefault="00E53A7C" w:rsidP="00436F39">
      <w:pPr>
        <w:pStyle w:val="ad"/>
        <w:tabs>
          <w:tab w:val="left" w:pos="1163"/>
        </w:tabs>
        <w:spacing w:before="120" w:after="120" w:line="240" w:lineRule="auto"/>
        <w:ind w:left="0"/>
        <w:contextualSpacing w:val="0"/>
        <w:rPr>
          <w:rFonts w:ascii="Guttman Hodes" w:eastAsia="Guttman Hodes" w:hAnsi="Guttman Hodes" w:cs="Guttman Hodes"/>
          <w:noProof/>
          <w:sz w:val="18"/>
          <w:szCs w:val="18"/>
        </w:rPr>
        <w:sectPr w:rsidR="00E53A7C" w:rsidSect="00834C78">
          <w:type w:val="continuous"/>
          <w:pgSz w:w="11906" w:h="16838"/>
          <w:pgMar w:top="720" w:right="720" w:bottom="720" w:left="720" w:header="283" w:footer="283" w:gutter="0"/>
          <w:cols w:space="567"/>
          <w:bidi/>
          <w:rtlGutter/>
          <w:docGrid w:linePitch="299"/>
        </w:sectPr>
      </w:pPr>
    </w:p>
    <w:p w14:paraId="4CEBB7FA" w14:textId="77777777" w:rsidR="00436F39" w:rsidRPr="00A7241B" w:rsidRDefault="004B65FC" w:rsidP="00436F39">
      <w:pPr>
        <w:pStyle w:val="ad"/>
        <w:tabs>
          <w:tab w:val="left" w:pos="1163"/>
        </w:tabs>
        <w:spacing w:before="120" w:after="120" w:line="240" w:lineRule="auto"/>
        <w:ind w:left="0"/>
        <w:contextualSpacing w:val="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564354BE">
          <v:shape id="_x0000_i1041" type="#_x0000_t75" style="width:409.4pt;height:4.45pt" o:hrpct="0" o:hralign="center" o:hr="t">
            <v:imagedata r:id="rId21" o:title="BD14845_"/>
          </v:shape>
        </w:pict>
      </w:r>
      <w:r w:rsidR="00436F39" w:rsidRPr="00A7241B">
        <w:rPr>
          <w:rFonts w:ascii="Guttman Hodes" w:eastAsia="Guttman Hodes" w:hAnsi="Guttman Hodes" w:cs="Guttman Hodes" w:hint="cs"/>
          <w:noProof/>
          <w:sz w:val="18"/>
          <w:szCs w:val="18"/>
          <w:rtl/>
        </w:rPr>
        <w:t xml:space="preserve"> </w:t>
      </w:r>
    </w:p>
    <w:p w14:paraId="09FDC212" w14:textId="77777777" w:rsidR="00436F39" w:rsidRDefault="00436F39" w:rsidP="006D6D32">
      <w:pPr>
        <w:pStyle w:val="afe"/>
        <w:rPr>
          <w:rtl/>
        </w:rPr>
      </w:pPr>
      <w:bookmarkStart w:id="14979" w:name="_Toc532550685"/>
      <w:bookmarkStart w:id="14980" w:name="_Toc532550751"/>
      <w:bookmarkStart w:id="14981" w:name="_Toc532810081"/>
      <w:bookmarkStart w:id="14982" w:name="_Toc533413335"/>
      <w:bookmarkStart w:id="14983" w:name="_Toc533441231"/>
      <w:bookmarkStart w:id="14984" w:name="_Toc533441277"/>
      <w:bookmarkStart w:id="14985" w:name="_Toc533490200"/>
      <w:bookmarkStart w:id="14986" w:name="_Toc533506178"/>
      <w:bookmarkStart w:id="14987" w:name="_Toc533544449"/>
      <w:bookmarkStart w:id="14988" w:name="_Toc533544646"/>
      <w:bookmarkStart w:id="14989" w:name="_Toc19435931"/>
      <w:bookmarkStart w:id="14990" w:name="_Toc20081158"/>
      <w:r w:rsidRPr="0075165B">
        <w:rPr>
          <w:rFonts w:hint="cs"/>
          <w:rtl/>
        </w:rPr>
        <w:t>מראי מקומות וביאורים על הרמב"ם</w:t>
      </w:r>
      <w:bookmarkEnd w:id="14979"/>
      <w:bookmarkEnd w:id="14980"/>
      <w:bookmarkEnd w:id="14981"/>
      <w:bookmarkEnd w:id="14982"/>
      <w:bookmarkEnd w:id="14983"/>
      <w:bookmarkEnd w:id="14984"/>
      <w:bookmarkEnd w:id="14985"/>
      <w:bookmarkEnd w:id="14986"/>
      <w:bookmarkEnd w:id="14987"/>
      <w:bookmarkEnd w:id="14988"/>
      <w:bookmarkEnd w:id="14989"/>
      <w:bookmarkEnd w:id="14990"/>
    </w:p>
    <w:p w14:paraId="670AF49E" w14:textId="77777777" w:rsidR="00436F39" w:rsidRDefault="00436F39" w:rsidP="00436F39">
      <w:pPr>
        <w:tabs>
          <w:tab w:val="left" w:pos="1163"/>
        </w:tabs>
        <w:spacing w:before="120" w:after="120" w:line="240" w:lineRule="auto"/>
        <w:ind w:left="0"/>
        <w:rPr>
          <w:rFonts w:cs="FrankRuehl"/>
          <w:sz w:val="20"/>
          <w:rtl/>
        </w:rPr>
        <w:sectPr w:rsidR="00436F39" w:rsidSect="00E53A7C">
          <w:pgSz w:w="11906" w:h="16838"/>
          <w:pgMar w:top="720" w:right="720" w:bottom="720" w:left="720" w:header="283" w:footer="283" w:gutter="0"/>
          <w:cols w:space="567"/>
          <w:bidi/>
          <w:rtlGutter/>
          <w:docGrid w:linePitch="299"/>
        </w:sectPr>
      </w:pPr>
    </w:p>
    <w:p w14:paraId="2A574790" w14:textId="77777777" w:rsidR="00436F39" w:rsidRDefault="00436F39" w:rsidP="00BF39B2">
      <w:pPr>
        <w:pStyle w:val="1"/>
        <w:rPr>
          <w:rtl/>
        </w:rPr>
      </w:pPr>
      <w:bookmarkStart w:id="14991" w:name="_Toc532550686"/>
      <w:bookmarkStart w:id="14992" w:name="_Toc532550752"/>
      <w:bookmarkStart w:id="14993" w:name="_Toc532810082"/>
      <w:bookmarkStart w:id="14994" w:name="_Toc533413336"/>
      <w:bookmarkStart w:id="14995" w:name="_Toc533441232"/>
      <w:bookmarkStart w:id="14996" w:name="_Toc533441278"/>
      <w:bookmarkStart w:id="14997" w:name="_Toc533490201"/>
      <w:bookmarkStart w:id="14998" w:name="_Toc533506179"/>
      <w:bookmarkStart w:id="14999" w:name="_Toc533544450"/>
      <w:bookmarkStart w:id="15000" w:name="_Toc533544647"/>
      <w:bookmarkStart w:id="15001" w:name="_Toc19390972"/>
      <w:bookmarkStart w:id="15002" w:name="_Toc19394469"/>
      <w:r>
        <w:rPr>
          <w:rFonts w:hint="cs"/>
          <w:rtl/>
        </w:rPr>
        <w:t>דעת הרמב"ם</w:t>
      </w:r>
      <w:bookmarkEnd w:id="14991"/>
      <w:bookmarkEnd w:id="14992"/>
      <w:bookmarkEnd w:id="14993"/>
      <w:bookmarkEnd w:id="14994"/>
      <w:bookmarkEnd w:id="14995"/>
      <w:bookmarkEnd w:id="14996"/>
      <w:bookmarkEnd w:id="14997"/>
      <w:bookmarkEnd w:id="14998"/>
      <w:r>
        <w:rPr>
          <w:rFonts w:hint="cs"/>
          <w:rtl/>
        </w:rPr>
        <w:t xml:space="preserve"> דהגרמה ודריסה במיעו"ב אינם פוסלות</w:t>
      </w:r>
      <w:bookmarkEnd w:id="14999"/>
      <w:bookmarkEnd w:id="15000"/>
      <w:bookmarkEnd w:id="15001"/>
      <w:bookmarkEnd w:id="15002"/>
    </w:p>
    <w:p w14:paraId="716123F2" w14:textId="77777777" w:rsidR="00436F39" w:rsidRDefault="00436F39" w:rsidP="006D6D32">
      <w:pPr>
        <w:pStyle w:val="a3"/>
        <w:rPr>
          <w:rtl/>
        </w:rPr>
      </w:pPr>
      <w:bookmarkStart w:id="15003" w:name="_Toc533413337"/>
      <w:bookmarkStart w:id="15004" w:name="_Toc533441233"/>
      <w:bookmarkStart w:id="15005" w:name="_Toc533441279"/>
      <w:bookmarkStart w:id="15006" w:name="_Toc533490202"/>
      <w:bookmarkStart w:id="15007" w:name="_Toc533506180"/>
      <w:bookmarkStart w:id="15008" w:name="_Toc533544451"/>
      <w:bookmarkStart w:id="15009" w:name="_Toc533544648"/>
      <w:bookmarkStart w:id="15010" w:name="_Toc19390973"/>
      <w:bookmarkStart w:id="15011" w:name="_Toc19394470"/>
      <w:r>
        <w:rPr>
          <w:rFonts w:hint="cs"/>
          <w:rtl/>
        </w:rPr>
        <w:t>דברי הרמב"ם</w:t>
      </w:r>
      <w:bookmarkEnd w:id="15003"/>
      <w:bookmarkEnd w:id="15004"/>
      <w:bookmarkEnd w:id="15005"/>
      <w:bookmarkEnd w:id="15006"/>
      <w:bookmarkEnd w:id="15007"/>
      <w:r>
        <w:rPr>
          <w:rFonts w:hint="cs"/>
          <w:rtl/>
        </w:rPr>
        <w:t xml:space="preserve"> דשחיטת מיעוט בתרא בדריסה או בהגרמה אינה פוסלת אחר שחיטת הרוב</w:t>
      </w:r>
      <w:bookmarkEnd w:id="15008"/>
      <w:bookmarkEnd w:id="15009"/>
      <w:bookmarkEnd w:id="15010"/>
      <w:bookmarkEnd w:id="15011"/>
    </w:p>
    <w:p w14:paraId="36ACE371" w14:textId="77777777" w:rsidR="00436F39" w:rsidRDefault="00436F39" w:rsidP="00223668">
      <w:pPr>
        <w:pStyle w:val="a0"/>
      </w:pPr>
      <w:bookmarkStart w:id="15012" w:name="_Ref533417924"/>
      <w:r>
        <w:rPr>
          <w:rFonts w:hint="cs"/>
          <w:rtl/>
        </w:rPr>
        <w:t xml:space="preserve">כתב </w:t>
      </w:r>
      <w:r w:rsidRPr="00B8543B">
        <w:rPr>
          <w:rStyle w:val="af9"/>
          <w:rFonts w:hint="cs"/>
          <w:rtl/>
        </w:rPr>
        <w:t>הרמב"ם</w:t>
      </w:r>
      <w:r>
        <w:rPr>
          <w:rFonts w:hint="cs"/>
          <w:rtl/>
        </w:rPr>
        <w:t xml:space="preserve"> </w:t>
      </w:r>
      <w:r w:rsidRPr="00257A45">
        <w:rPr>
          <w:rStyle w:val="af7"/>
          <w:rFonts w:eastAsia="Guttman Hodes" w:hint="cs"/>
          <w:rtl/>
        </w:rPr>
        <w:t>(שחיטה פ"ג הי"ג)</w:t>
      </w:r>
      <w:r>
        <w:rPr>
          <w:rFonts w:hint="cs"/>
          <w:rtl/>
        </w:rPr>
        <w:t xml:space="preserve"> דאם שחט את רוב הסימנים, והשלים את שחיטת המיעוט בדריסה או בהגרמה, השחיטה כשרה כיון ששחט את השיעור כראוי.</w:t>
      </w:r>
      <w:bookmarkEnd w:id="15012"/>
      <w:r>
        <w:rPr>
          <w:rFonts w:hint="cs"/>
          <w:rtl/>
        </w:rPr>
        <w:t xml:space="preserve"> </w:t>
      </w:r>
    </w:p>
    <w:p w14:paraId="219E2884" w14:textId="77777777" w:rsidR="00436F39" w:rsidRDefault="00436F39" w:rsidP="006D6D32">
      <w:pPr>
        <w:pStyle w:val="a3"/>
        <w:rPr>
          <w:rtl/>
        </w:rPr>
      </w:pPr>
      <w:bookmarkStart w:id="15013" w:name="_Toc533544452"/>
      <w:bookmarkStart w:id="15014" w:name="_Toc533544649"/>
      <w:bookmarkStart w:id="15015" w:name="_Toc19390974"/>
      <w:bookmarkStart w:id="15016" w:name="_Toc19394471"/>
      <w:r>
        <w:rPr>
          <w:rFonts w:hint="cs"/>
          <w:rtl/>
        </w:rPr>
        <w:t>ביאור הכס"מ בהא דפסק הרמב"ם כל"ב דרב הונא</w:t>
      </w:r>
      <w:bookmarkEnd w:id="15013"/>
      <w:bookmarkEnd w:id="15014"/>
      <w:bookmarkEnd w:id="15015"/>
      <w:bookmarkEnd w:id="15016"/>
    </w:p>
    <w:p w14:paraId="4B8507D9" w14:textId="77777777" w:rsidR="00436F39" w:rsidRDefault="00436F39" w:rsidP="00223668">
      <w:pPr>
        <w:pStyle w:val="a0"/>
        <w:rPr>
          <w:rtl/>
        </w:rPr>
      </w:pPr>
      <w:r>
        <w:rPr>
          <w:rFonts w:hint="cs"/>
          <w:rtl/>
        </w:rPr>
        <w:t xml:space="preserve">וכתב </w:t>
      </w:r>
      <w:r w:rsidRPr="00ED5EDC">
        <w:rPr>
          <w:rStyle w:val="af9"/>
          <w:rFonts w:hint="cs"/>
          <w:rtl/>
        </w:rPr>
        <w:t>הכס"מ</w:t>
      </w:r>
      <w:r w:rsidRPr="00ED5EDC">
        <w:rPr>
          <w:rStyle w:val="af7"/>
          <w:rFonts w:eastAsia="Guttman Hodes" w:hint="cs"/>
          <w:rtl/>
        </w:rPr>
        <w:t xml:space="preserve"> (שחיטה פ"ג הי"ג) </w:t>
      </w:r>
      <w:r w:rsidRPr="00ED5EDC">
        <w:rPr>
          <w:rStyle w:val="af9"/>
          <w:rFonts w:hint="cs"/>
          <w:rtl/>
        </w:rPr>
        <w:t>דהרמב"ם</w:t>
      </w:r>
      <w:r>
        <w:rPr>
          <w:rFonts w:hint="cs"/>
          <w:rtl/>
        </w:rPr>
        <w:t xml:space="preserve"> פסק כל"ב דרב הונא, כיון דדרכו של </w:t>
      </w:r>
      <w:r w:rsidRPr="00893E0F">
        <w:rPr>
          <w:rStyle w:val="af9"/>
          <w:rFonts w:hint="cs"/>
          <w:rtl/>
        </w:rPr>
        <w:t>הרמב"ם</w:t>
      </w:r>
      <w:r>
        <w:rPr>
          <w:rFonts w:hint="cs"/>
          <w:rtl/>
        </w:rPr>
        <w:t xml:space="preserve"> לפסוק כל"ב, וכן כיון שהטעם של הל"ב הוא מסתבר, דהל"ב היא כדין רובו ככולו דקיי"ל דבשחיטה מהני רובו ככולו, וכן משמע מקושית רב חסדא דהסברא היא כל"ב, והקשה עליו מהיכן מוכח דדיון רובו ככולו בשחיטה הוא לכו"ע אולי זהו דעת ריבר"י, אבל בל"ק הקשה רב חסדא מסברא דנימא איפכא, דהיינו דמסברא משמע כל"ב ולא כל"ק, והוסיף </w:t>
      </w:r>
      <w:r w:rsidRPr="00893E0F">
        <w:rPr>
          <w:rStyle w:val="af9"/>
          <w:rFonts w:hint="cs"/>
          <w:rtl/>
        </w:rPr>
        <w:t>הכס"מ</w:t>
      </w:r>
      <w:r>
        <w:rPr>
          <w:rFonts w:hint="cs"/>
          <w:rtl/>
        </w:rPr>
        <w:t xml:space="preserve"> דכן מבואר בתוספתא </w:t>
      </w:r>
      <w:r w:rsidRPr="00ED5EDC">
        <w:rPr>
          <w:rStyle w:val="af7"/>
          <w:rFonts w:eastAsia="Guttman Hodes" w:hint="cs"/>
          <w:rtl/>
        </w:rPr>
        <w:t>(פ"ב ה"א)</w:t>
      </w:r>
      <w:r>
        <w:rPr>
          <w:rFonts w:hint="cs"/>
          <w:rtl/>
        </w:rPr>
        <w:t xml:space="preserve"> [שהביאו </w:t>
      </w:r>
      <w:r w:rsidRPr="0085402B">
        <w:rPr>
          <w:rStyle w:val="af9"/>
          <w:rFonts w:hint="cs"/>
          <w:rtl/>
        </w:rPr>
        <w:t xml:space="preserve">התוס' </w:t>
      </w:r>
      <w:r w:rsidRPr="0085402B">
        <w:rPr>
          <w:rStyle w:val="af7"/>
          <w:rFonts w:eastAsia="Guttman Hodes" w:hint="cs"/>
          <w:rtl/>
        </w:rPr>
        <w:t xml:space="preserve">(עי' אות </w:t>
      </w:r>
      <w:r w:rsidRPr="0085402B">
        <w:rPr>
          <w:rStyle w:val="af7"/>
          <w:rFonts w:eastAsia="Guttman Hodes"/>
          <w:rtl/>
        </w:rPr>
        <w:fldChar w:fldCharType="begin"/>
      </w:r>
      <w:r w:rsidRPr="0085402B">
        <w:rPr>
          <w:rStyle w:val="af7"/>
          <w:rFonts w:eastAsia="Guttman Hodes"/>
          <w:rtl/>
        </w:rPr>
        <w:instrText xml:space="preserve"> </w:instrText>
      </w:r>
      <w:r w:rsidRPr="0085402B">
        <w:rPr>
          <w:rStyle w:val="af7"/>
          <w:rFonts w:eastAsia="Guttman Hodes" w:hint="cs"/>
        </w:rPr>
        <w:instrText>REF</w:instrText>
      </w:r>
      <w:r w:rsidRPr="0085402B">
        <w:rPr>
          <w:rStyle w:val="af7"/>
          <w:rFonts w:eastAsia="Guttman Hodes" w:hint="cs"/>
          <w:rtl/>
        </w:rPr>
        <w:instrText xml:space="preserve"> _</w:instrText>
      </w:r>
      <w:r w:rsidRPr="0085402B">
        <w:rPr>
          <w:rStyle w:val="af7"/>
          <w:rFonts w:eastAsia="Guttman Hodes" w:hint="cs"/>
        </w:rPr>
        <w:instrText>Ref533538706 \r \h</w:instrText>
      </w:r>
      <w:r w:rsidRPr="0085402B">
        <w:rPr>
          <w:rStyle w:val="af7"/>
          <w:rFonts w:eastAsia="Guttman Hodes"/>
          <w:rtl/>
        </w:rPr>
        <w:instrText xml:space="preserve"> </w:instrText>
      </w:r>
      <w:r w:rsidRPr="0085402B">
        <w:rPr>
          <w:rStyle w:val="af7"/>
          <w:rFonts w:eastAsia="Guttman Hodes"/>
          <w:rtl/>
        </w:rPr>
      </w:r>
      <w:r w:rsidRPr="0085402B">
        <w:rPr>
          <w:rStyle w:val="af7"/>
          <w:rFonts w:eastAsia="Guttman Hodes"/>
          <w:rtl/>
        </w:rPr>
        <w:fldChar w:fldCharType="separate"/>
      </w:r>
      <w:r w:rsidR="00345400">
        <w:rPr>
          <w:rStyle w:val="af7"/>
          <w:rFonts w:eastAsia="Guttman Hodes"/>
          <w:cs/>
        </w:rPr>
        <w:t>‎</w:t>
      </w:r>
      <w:r w:rsidR="00345400">
        <w:rPr>
          <w:rStyle w:val="af7"/>
          <w:rFonts w:eastAsia="Guttman Hodes"/>
          <w:rtl/>
        </w:rPr>
        <w:t>נ)</w:t>
      </w:r>
      <w:r w:rsidRPr="0085402B">
        <w:rPr>
          <w:rStyle w:val="af7"/>
          <w:rFonts w:eastAsia="Guttman Hodes"/>
          <w:rtl/>
        </w:rPr>
        <w:fldChar w:fldCharType="end"/>
      </w:r>
      <w:r>
        <w:rPr>
          <w:rFonts w:hint="cs"/>
          <w:rtl/>
        </w:rPr>
        <w:t>] דהשוחט רוב גרוגרת בעוף, דאף אם גמר את השחיטה לאחר זמן מרובה שחיטתו כשרה, ומבואר דשחיטת רוב הסימן היא כשחיטת כולו.</w:t>
      </w:r>
    </w:p>
    <w:p w14:paraId="498AFD01" w14:textId="77777777" w:rsidR="00436F39" w:rsidRPr="00363D14" w:rsidRDefault="00436F39" w:rsidP="00BF39B2">
      <w:pPr>
        <w:pStyle w:val="1"/>
        <w:rPr>
          <w:rtl/>
        </w:rPr>
      </w:pPr>
      <w:bookmarkStart w:id="15017" w:name="_Toc533544453"/>
      <w:bookmarkStart w:id="15018" w:name="_Toc533544650"/>
      <w:bookmarkStart w:id="15019" w:name="_Toc19390975"/>
      <w:bookmarkStart w:id="15020" w:name="_Toc19394472"/>
      <w:r>
        <w:rPr>
          <w:rFonts w:hint="cs"/>
          <w:rtl/>
        </w:rPr>
        <w:t>דעת הרמב"ם דקיי"ל בהגרמה כרב יהודה ולא כרב הונא</w:t>
      </w:r>
      <w:bookmarkEnd w:id="15017"/>
      <w:bookmarkEnd w:id="15018"/>
      <w:bookmarkEnd w:id="15019"/>
      <w:bookmarkEnd w:id="15020"/>
    </w:p>
    <w:p w14:paraId="7418DBCA" w14:textId="77777777" w:rsidR="00436F39" w:rsidRDefault="00436F39" w:rsidP="006D6D32">
      <w:pPr>
        <w:pStyle w:val="a3"/>
      </w:pPr>
      <w:bookmarkStart w:id="15021" w:name="_Toc533544454"/>
      <w:bookmarkStart w:id="15022" w:name="_Toc533544651"/>
      <w:bookmarkStart w:id="15023" w:name="_Toc19390976"/>
      <w:bookmarkStart w:id="15024" w:name="_Toc19394473"/>
      <w:r>
        <w:rPr>
          <w:rFonts w:hint="cs"/>
          <w:rtl/>
        </w:rPr>
        <w:t>דברי הרמב"ם דבהגרים במיעו"ק וכן בשחט והגרים ושחט כשר ובהגרים ושחט והגרים פסול</w:t>
      </w:r>
      <w:bookmarkEnd w:id="15021"/>
      <w:bookmarkEnd w:id="15022"/>
      <w:bookmarkEnd w:id="15023"/>
      <w:bookmarkEnd w:id="15024"/>
    </w:p>
    <w:p w14:paraId="78B4B8B5" w14:textId="77777777" w:rsidR="00436F39" w:rsidRDefault="00436F39" w:rsidP="00223668">
      <w:pPr>
        <w:pStyle w:val="a0"/>
        <w:rPr>
          <w:rtl/>
        </w:rPr>
      </w:pPr>
      <w:bookmarkStart w:id="15025" w:name="_Ref533417912"/>
      <w:r>
        <w:rPr>
          <w:rFonts w:hint="cs"/>
          <w:rtl/>
        </w:rPr>
        <w:t xml:space="preserve">ובהגרים שליש בתחילת השחיטה ושחט ב' שלישים, כתב </w:t>
      </w:r>
      <w:r w:rsidRPr="00B8543B">
        <w:rPr>
          <w:rStyle w:val="af9"/>
          <w:rFonts w:hint="cs"/>
          <w:rtl/>
        </w:rPr>
        <w:t>הרמב"ם</w:t>
      </w:r>
      <w:r>
        <w:rPr>
          <w:rFonts w:hint="cs"/>
          <w:rtl/>
        </w:rPr>
        <w:t xml:space="preserve"> </w:t>
      </w:r>
      <w:r w:rsidRPr="00257A45">
        <w:rPr>
          <w:rStyle w:val="af7"/>
          <w:rFonts w:eastAsia="Guttman Hodes" w:hint="cs"/>
          <w:rtl/>
        </w:rPr>
        <w:t>(שחיטה פ"ג הי"ג)</w:t>
      </w:r>
      <w:r>
        <w:rPr>
          <w:rFonts w:hint="cs"/>
          <w:rtl/>
        </w:rPr>
        <w:t xml:space="preserve"> דשחיטתו כשרה, וכן בשחט והגרים ושחט שחיטתו כשרה, אבל בהגרים ושחט והגרים, שחיטתו פסולה.</w:t>
      </w:r>
      <w:bookmarkEnd w:id="15025"/>
    </w:p>
    <w:p w14:paraId="481F0059" w14:textId="77777777" w:rsidR="00436F39" w:rsidRPr="00C21953" w:rsidRDefault="00436F39" w:rsidP="006D6D32">
      <w:pPr>
        <w:pStyle w:val="a3"/>
        <w:rPr>
          <w:rtl/>
        </w:rPr>
      </w:pPr>
      <w:bookmarkStart w:id="15026" w:name="_Toc533544455"/>
      <w:bookmarkStart w:id="15027" w:name="_Toc533544652"/>
      <w:bookmarkStart w:id="15028" w:name="_Toc19390977"/>
      <w:bookmarkStart w:id="15029" w:name="_Toc19394474"/>
      <w:r>
        <w:rPr>
          <w:rFonts w:hint="cs"/>
          <w:rtl/>
        </w:rPr>
        <w:t>דברי ההג"מ והכס"מ דהרמב"ם פסק כרב יהודה ולא כרב הונא</w:t>
      </w:r>
      <w:bookmarkEnd w:id="15026"/>
      <w:bookmarkEnd w:id="15027"/>
      <w:bookmarkEnd w:id="15028"/>
      <w:bookmarkEnd w:id="15029"/>
    </w:p>
    <w:p w14:paraId="685D3544" w14:textId="77777777" w:rsidR="00436F39" w:rsidRDefault="00436F39" w:rsidP="00223668">
      <w:pPr>
        <w:pStyle w:val="a0"/>
        <w:rPr>
          <w:rtl/>
        </w:rPr>
      </w:pPr>
      <w:r>
        <w:rPr>
          <w:rFonts w:hint="cs"/>
          <w:rtl/>
        </w:rPr>
        <w:t xml:space="preserve">וכתב </w:t>
      </w:r>
      <w:r w:rsidRPr="00ED5EDC">
        <w:rPr>
          <w:rStyle w:val="af9"/>
          <w:rFonts w:hint="cs"/>
          <w:rtl/>
        </w:rPr>
        <w:t>ההג"מ</w:t>
      </w:r>
      <w:r w:rsidRPr="00ED5EDC">
        <w:rPr>
          <w:rStyle w:val="af7"/>
          <w:rFonts w:eastAsia="Guttman Hodes" w:hint="cs"/>
          <w:rtl/>
        </w:rPr>
        <w:t xml:space="preserve"> (שחיטה פ"ג הי"ג) </w:t>
      </w:r>
      <w:r>
        <w:rPr>
          <w:rFonts w:hint="cs"/>
          <w:rtl/>
        </w:rPr>
        <w:t xml:space="preserve">דבשחט והגרים ושחט, וכן בהגרים ושחט והגרים, פסק </w:t>
      </w:r>
      <w:r w:rsidRPr="00ED5EDC">
        <w:rPr>
          <w:rStyle w:val="af9"/>
          <w:rFonts w:hint="cs"/>
          <w:rtl/>
        </w:rPr>
        <w:t>הרמב"ם</w:t>
      </w:r>
      <w:r>
        <w:rPr>
          <w:rFonts w:hint="cs"/>
          <w:rtl/>
        </w:rPr>
        <w:t xml:space="preserve"> </w:t>
      </w:r>
      <w:r w:rsidRPr="002D5064">
        <w:rPr>
          <w:rStyle w:val="af7"/>
          <w:rFonts w:eastAsia="Guttman Hodes" w:hint="cs"/>
          <w:rtl/>
        </w:rPr>
        <w:t xml:space="preserve">(עי' אות </w:t>
      </w:r>
      <w:r w:rsidRPr="002D5064">
        <w:rPr>
          <w:rStyle w:val="af7"/>
          <w:rFonts w:eastAsia="Guttman Hodes"/>
          <w:rtl/>
        </w:rPr>
        <w:fldChar w:fldCharType="begin"/>
      </w:r>
      <w:r w:rsidRPr="002D5064">
        <w:rPr>
          <w:rStyle w:val="af7"/>
          <w:rFonts w:eastAsia="Guttman Hodes"/>
          <w:rtl/>
        </w:rPr>
        <w:instrText xml:space="preserve"> </w:instrText>
      </w:r>
      <w:r w:rsidRPr="002D5064">
        <w:rPr>
          <w:rStyle w:val="af7"/>
          <w:rFonts w:eastAsia="Guttman Hodes" w:hint="cs"/>
        </w:rPr>
        <w:instrText>REF</w:instrText>
      </w:r>
      <w:r w:rsidRPr="002D5064">
        <w:rPr>
          <w:rStyle w:val="af7"/>
          <w:rFonts w:eastAsia="Guttman Hodes" w:hint="cs"/>
          <w:rtl/>
        </w:rPr>
        <w:instrText xml:space="preserve"> _</w:instrText>
      </w:r>
      <w:r w:rsidRPr="002D5064">
        <w:rPr>
          <w:rStyle w:val="af7"/>
          <w:rFonts w:eastAsia="Guttman Hodes" w:hint="cs"/>
        </w:rPr>
        <w:instrText>Ref533417912 \r \h</w:instrText>
      </w:r>
      <w:r w:rsidRPr="002D5064">
        <w:rPr>
          <w:rStyle w:val="af7"/>
          <w:rFonts w:eastAsia="Guttman Hodes"/>
          <w:rtl/>
        </w:rPr>
        <w:instrText xml:space="preserve"> </w:instrText>
      </w:r>
      <w:r w:rsidRPr="002D5064">
        <w:rPr>
          <w:rStyle w:val="af7"/>
          <w:rFonts w:eastAsia="Guttman Hodes"/>
          <w:rtl/>
        </w:rPr>
      </w:r>
      <w:r w:rsidRPr="002D5064">
        <w:rPr>
          <w:rStyle w:val="af7"/>
          <w:rFonts w:eastAsia="Guttman Hodes"/>
          <w:rtl/>
        </w:rPr>
        <w:fldChar w:fldCharType="separate"/>
      </w:r>
      <w:r w:rsidR="00345400">
        <w:rPr>
          <w:rStyle w:val="af7"/>
          <w:rFonts w:eastAsia="Guttman Hodes"/>
          <w:cs/>
        </w:rPr>
        <w:t>‎</w:t>
      </w:r>
      <w:r w:rsidR="00345400">
        <w:rPr>
          <w:rStyle w:val="af7"/>
          <w:rFonts w:eastAsia="Guttman Hodes"/>
          <w:rtl/>
        </w:rPr>
        <w:t>קי)</w:t>
      </w:r>
      <w:r w:rsidRPr="002D5064">
        <w:rPr>
          <w:rStyle w:val="af7"/>
          <w:rFonts w:eastAsia="Guttman Hodes"/>
          <w:rtl/>
        </w:rPr>
        <w:fldChar w:fldCharType="end"/>
      </w:r>
      <w:r>
        <w:rPr>
          <w:rFonts w:hint="cs"/>
          <w:rtl/>
        </w:rPr>
        <w:t xml:space="preserve"> כרב יהודה, דהא רב הונא חזר בו, כיון שרב יהודה אמר כן בשם רב, וכ"כ </w:t>
      </w:r>
      <w:r w:rsidRPr="00ED5EDC">
        <w:rPr>
          <w:rStyle w:val="af9"/>
          <w:rFonts w:hint="cs"/>
          <w:rtl/>
        </w:rPr>
        <w:t>הכס"מ</w:t>
      </w:r>
      <w:r>
        <w:rPr>
          <w:rFonts w:hint="cs"/>
          <w:rtl/>
        </w:rPr>
        <w:t xml:space="preserve"> </w:t>
      </w:r>
      <w:r w:rsidRPr="00ED5EDC">
        <w:rPr>
          <w:rStyle w:val="af7"/>
          <w:rFonts w:eastAsia="Guttman Hodes" w:hint="cs"/>
          <w:rtl/>
        </w:rPr>
        <w:t>(שחיטה פ"ג הי"ג)</w:t>
      </w:r>
      <w:r>
        <w:rPr>
          <w:rFonts w:hint="cs"/>
          <w:rtl/>
        </w:rPr>
        <w:t>.</w:t>
      </w:r>
    </w:p>
    <w:p w14:paraId="5AD150DC" w14:textId="77777777" w:rsidR="00436F39" w:rsidRPr="00A454B7" w:rsidRDefault="00436F39" w:rsidP="006D6D32">
      <w:pPr>
        <w:pStyle w:val="a3"/>
        <w:rPr>
          <w:rtl/>
        </w:rPr>
      </w:pPr>
      <w:bookmarkStart w:id="15030" w:name="_Toc533544456"/>
      <w:bookmarkStart w:id="15031" w:name="_Toc533544653"/>
      <w:bookmarkStart w:id="15032" w:name="_Toc19390978"/>
      <w:bookmarkStart w:id="15033" w:name="_Toc19394475"/>
      <w:r>
        <w:rPr>
          <w:rFonts w:hint="cs"/>
          <w:rtl/>
        </w:rPr>
        <w:t>דברי הר"ן דסבר הרמב"ם דריו"ח הודה לדברי רב יהודה</w:t>
      </w:r>
      <w:bookmarkEnd w:id="15030"/>
      <w:bookmarkEnd w:id="15031"/>
      <w:bookmarkEnd w:id="15032"/>
      <w:bookmarkEnd w:id="15033"/>
    </w:p>
    <w:p w14:paraId="2B17FBFD" w14:textId="77777777" w:rsidR="00436F39" w:rsidRDefault="00436F39" w:rsidP="00223668">
      <w:pPr>
        <w:pStyle w:val="a0"/>
        <w:rPr>
          <w:rtl/>
        </w:rPr>
      </w:pPr>
      <w:r>
        <w:rPr>
          <w:rFonts w:hint="cs"/>
          <w:rtl/>
        </w:rPr>
        <w:t xml:space="preserve">וכתב </w:t>
      </w:r>
      <w:bookmarkStart w:id="15034" w:name="_Ref533366582"/>
      <w:r w:rsidRPr="00893E0F">
        <w:rPr>
          <w:rStyle w:val="af9"/>
          <w:rFonts w:hint="cs"/>
          <w:rtl/>
        </w:rPr>
        <w:t>הר</w:t>
      </w:r>
      <w:r w:rsidRPr="00C13EF2">
        <w:rPr>
          <w:rStyle w:val="af9"/>
          <w:rFonts w:hint="cs"/>
          <w:rtl/>
        </w:rPr>
        <w:t xml:space="preserve">"ן בחי' </w:t>
      </w:r>
      <w:r w:rsidRPr="00A454B7">
        <w:rPr>
          <w:rStyle w:val="af7"/>
          <w:rFonts w:eastAsia="Guttman Hodes" w:hint="cs"/>
          <w:rtl/>
        </w:rPr>
        <w:t>(</w:t>
      </w:r>
      <w:r>
        <w:rPr>
          <w:rStyle w:val="af7"/>
          <w:rFonts w:eastAsia="Guttman Hodes" w:hint="cs"/>
          <w:rtl/>
        </w:rPr>
        <w:t xml:space="preserve">יט. </w:t>
      </w:r>
      <w:r w:rsidRPr="00A454B7">
        <w:rPr>
          <w:rStyle w:val="af7"/>
          <w:rFonts w:eastAsia="Guttman Hodes" w:hint="cs"/>
          <w:rtl/>
        </w:rPr>
        <w:t>ד"ה ולענין)</w:t>
      </w:r>
      <w:r w:rsidRPr="00C13EF2">
        <w:rPr>
          <w:rFonts w:hint="cs"/>
          <w:rtl/>
        </w:rPr>
        <w:t xml:space="preserve"> דמשמע דס"ל </w:t>
      </w:r>
      <w:r w:rsidRPr="00C13EF2">
        <w:rPr>
          <w:rStyle w:val="af9"/>
          <w:rFonts w:hint="cs"/>
          <w:rtl/>
        </w:rPr>
        <w:t>להרמב"ם</w:t>
      </w:r>
      <w:r w:rsidRPr="00C13EF2">
        <w:rPr>
          <w:rFonts w:hint="cs"/>
          <w:rtl/>
        </w:rPr>
        <w:t xml:space="preserve"> דכיון שרב אמי אמר כדברי רב יהודה לפני ר"א, ור"א אמרה לפני ריו"ח, וחלקו עליו רק לענין נקב, א"כ משמע דבשאר הדברים ס"ל לריו"ח כרב יהודה</w:t>
      </w:r>
      <w:r>
        <w:rPr>
          <w:rFonts w:hint="cs"/>
          <w:rtl/>
        </w:rPr>
        <w:t xml:space="preserve">, וכ"כ </w:t>
      </w:r>
      <w:r w:rsidRPr="00ED5EDC">
        <w:rPr>
          <w:rStyle w:val="af9"/>
          <w:rFonts w:hint="cs"/>
          <w:rtl/>
        </w:rPr>
        <w:t>הכס"מ</w:t>
      </w:r>
      <w:r>
        <w:rPr>
          <w:rFonts w:hint="cs"/>
          <w:rtl/>
        </w:rPr>
        <w:t xml:space="preserve"> </w:t>
      </w:r>
      <w:r w:rsidRPr="00ED5EDC">
        <w:rPr>
          <w:rStyle w:val="af7"/>
          <w:rFonts w:eastAsia="Guttman Hodes" w:hint="cs"/>
          <w:rtl/>
        </w:rPr>
        <w:t>(שחיטה פ"ג הי"ג)</w:t>
      </w:r>
      <w:r w:rsidRPr="00C13EF2">
        <w:rPr>
          <w:rFonts w:hint="cs"/>
          <w:rtl/>
        </w:rPr>
        <w:t>.</w:t>
      </w:r>
      <w:bookmarkEnd w:id="15034"/>
    </w:p>
    <w:p w14:paraId="522ADA3F" w14:textId="77777777" w:rsidR="00436F39" w:rsidRPr="00BB774F" w:rsidRDefault="00436F39" w:rsidP="006D6D32">
      <w:pPr>
        <w:pStyle w:val="a3"/>
        <w:rPr>
          <w:rtl/>
        </w:rPr>
      </w:pPr>
      <w:bookmarkStart w:id="15035" w:name="_Toc533544457"/>
      <w:bookmarkStart w:id="15036" w:name="_Toc533544654"/>
      <w:bookmarkStart w:id="15037" w:name="_Toc19390979"/>
      <w:bookmarkStart w:id="15038" w:name="_Toc19394476"/>
      <w:r>
        <w:rPr>
          <w:rFonts w:hint="cs"/>
          <w:rtl/>
        </w:rPr>
        <w:t>דחיית הרמב"ן והר"ן דאין להוכיח מדברי ריו"ח דמודה לרב יהודה</w:t>
      </w:r>
      <w:bookmarkEnd w:id="15035"/>
      <w:bookmarkEnd w:id="15036"/>
      <w:bookmarkEnd w:id="15037"/>
      <w:bookmarkEnd w:id="15038"/>
    </w:p>
    <w:p w14:paraId="51038BB6" w14:textId="77777777" w:rsidR="00436F39" w:rsidRPr="00C13EF2" w:rsidRDefault="00436F39" w:rsidP="00223668">
      <w:pPr>
        <w:pStyle w:val="a0"/>
        <w:rPr>
          <w:rtl/>
        </w:rPr>
      </w:pPr>
      <w:r w:rsidRPr="00C13EF2">
        <w:rPr>
          <w:rFonts w:hint="cs"/>
          <w:rtl/>
        </w:rPr>
        <w:t xml:space="preserve">ודחו </w:t>
      </w:r>
      <w:r w:rsidRPr="00C13EF2">
        <w:rPr>
          <w:rStyle w:val="af9"/>
          <w:rFonts w:hint="cs"/>
          <w:rtl/>
        </w:rPr>
        <w:t>הרמב"ן</w:t>
      </w:r>
      <w:r w:rsidRPr="00C13EF2">
        <w:rPr>
          <w:rFonts w:hint="cs"/>
          <w:rtl/>
        </w:rPr>
        <w:t xml:space="preserve"> </w:t>
      </w:r>
      <w:r w:rsidRPr="00C13EF2">
        <w:rPr>
          <w:rStyle w:val="af7"/>
          <w:rFonts w:eastAsia="Guttman Hodes" w:hint="cs"/>
          <w:rtl/>
        </w:rPr>
        <w:t>(</w:t>
      </w:r>
      <w:r>
        <w:rPr>
          <w:rStyle w:val="af7"/>
          <w:rFonts w:eastAsia="Guttman Hodes" w:hint="cs"/>
          <w:rtl/>
        </w:rPr>
        <w:t xml:space="preserve">יט. </w:t>
      </w:r>
      <w:r w:rsidRPr="00C13EF2">
        <w:rPr>
          <w:rStyle w:val="af7"/>
          <w:rFonts w:eastAsia="Guttman Hodes" w:hint="cs"/>
          <w:rtl/>
        </w:rPr>
        <w:t>ד"ה ולענין)</w:t>
      </w:r>
      <w:r w:rsidRPr="00C13EF2">
        <w:rPr>
          <w:rFonts w:hint="cs"/>
          <w:rtl/>
        </w:rPr>
        <w:t xml:space="preserve"> </w:t>
      </w:r>
      <w:r w:rsidRPr="00C13EF2">
        <w:rPr>
          <w:rStyle w:val="af9"/>
          <w:rFonts w:hint="cs"/>
          <w:rtl/>
        </w:rPr>
        <w:t>והר"ן בחי'</w:t>
      </w:r>
      <w:r w:rsidRPr="00C13EF2">
        <w:rPr>
          <w:rFonts w:hint="cs"/>
          <w:rtl/>
        </w:rPr>
        <w:t xml:space="preserve"> </w:t>
      </w:r>
      <w:r w:rsidRPr="00C13EF2">
        <w:rPr>
          <w:rStyle w:val="af7"/>
          <w:rFonts w:eastAsia="Guttman Hodes" w:hint="cs"/>
          <w:rtl/>
        </w:rPr>
        <w:t>(</w:t>
      </w:r>
      <w:r>
        <w:rPr>
          <w:rStyle w:val="af7"/>
          <w:rFonts w:eastAsia="Guttman Hodes" w:hint="cs"/>
          <w:rtl/>
        </w:rPr>
        <w:t xml:space="preserve">יט. </w:t>
      </w:r>
      <w:r w:rsidRPr="00C13EF2">
        <w:rPr>
          <w:rStyle w:val="af7"/>
          <w:rFonts w:eastAsia="Guttman Hodes" w:hint="cs"/>
          <w:rtl/>
        </w:rPr>
        <w:t>ד"ה ולענין)</w:t>
      </w:r>
      <w:r w:rsidRPr="00C13EF2">
        <w:rPr>
          <w:rFonts w:hint="cs"/>
          <w:rtl/>
        </w:rPr>
        <w:t xml:space="preserve"> דאין להוכיח מדברי ריו"ח דבשאר הדברים ס"ל כרב יהודה, דמה שדחה את דברי ר"א בנקב, הוא כיון דבדין נקב מצא ריו"ח מה להקשות עליו, ובשאר הדברים אף שלא ס"ל כוותיה מ"מ לא מצא מה לפרש בזה.</w:t>
      </w:r>
    </w:p>
    <w:p w14:paraId="1013A361" w14:textId="77777777" w:rsidR="00436F39" w:rsidRDefault="00436F39" w:rsidP="00BF39B2">
      <w:pPr>
        <w:pStyle w:val="1"/>
        <w:rPr>
          <w:rtl/>
        </w:rPr>
      </w:pPr>
      <w:bookmarkStart w:id="15039" w:name="_Toc533544458"/>
      <w:bookmarkStart w:id="15040" w:name="_Toc533544655"/>
      <w:bookmarkStart w:id="15041" w:name="_Toc19390980"/>
      <w:bookmarkStart w:id="15042" w:name="_Toc19394477"/>
      <w:r>
        <w:rPr>
          <w:rFonts w:hint="cs"/>
          <w:rtl/>
        </w:rPr>
        <w:t>דעת הרמב"ם דשהייה אינה פוסלת במיעוט בתרא</w:t>
      </w:r>
      <w:bookmarkEnd w:id="15039"/>
      <w:bookmarkEnd w:id="15040"/>
      <w:bookmarkEnd w:id="15041"/>
      <w:bookmarkEnd w:id="15042"/>
    </w:p>
    <w:p w14:paraId="5C6F870B" w14:textId="77777777" w:rsidR="00436F39" w:rsidRDefault="00436F39" w:rsidP="006D6D32">
      <w:pPr>
        <w:pStyle w:val="a3"/>
        <w:rPr>
          <w:rtl/>
        </w:rPr>
      </w:pPr>
      <w:bookmarkStart w:id="15043" w:name="_Toc533544459"/>
      <w:bookmarkStart w:id="15044" w:name="_Toc533544656"/>
      <w:bookmarkStart w:id="15045" w:name="_Toc19390981"/>
      <w:bookmarkStart w:id="15046" w:name="_Toc19394478"/>
      <w:r>
        <w:rPr>
          <w:rFonts w:hint="cs"/>
          <w:rtl/>
        </w:rPr>
        <w:t>דברי הרמב"ם דשהייה במיעו"ב הוא כמחתך בבשר השחוטה וכשר</w:t>
      </w:r>
      <w:bookmarkEnd w:id="15043"/>
      <w:bookmarkEnd w:id="15044"/>
      <w:bookmarkEnd w:id="15045"/>
      <w:bookmarkEnd w:id="15046"/>
    </w:p>
    <w:p w14:paraId="3D9CA3C9" w14:textId="77777777" w:rsidR="00436F39" w:rsidRPr="00FF077A" w:rsidRDefault="00436F39" w:rsidP="00223668">
      <w:pPr>
        <w:pStyle w:val="a0"/>
        <w:rPr>
          <w:rtl/>
        </w:rPr>
      </w:pPr>
      <w:r>
        <w:rPr>
          <w:rFonts w:hint="cs"/>
          <w:rtl/>
        </w:rPr>
        <w:t xml:space="preserve">ובדין שהייה במיעוט בתרא, כתב </w:t>
      </w:r>
      <w:r w:rsidRPr="00C57FDB">
        <w:rPr>
          <w:rStyle w:val="af9"/>
          <w:rFonts w:hint="cs"/>
          <w:rtl/>
        </w:rPr>
        <w:t>הרמב"ם</w:t>
      </w:r>
      <w:r>
        <w:rPr>
          <w:rFonts w:hint="cs"/>
          <w:rtl/>
        </w:rPr>
        <w:t xml:space="preserve"> </w:t>
      </w:r>
      <w:r w:rsidRPr="00C57FDB">
        <w:rPr>
          <w:rStyle w:val="af7"/>
          <w:rFonts w:eastAsia="Guttman Hodes" w:hint="cs"/>
          <w:rtl/>
        </w:rPr>
        <w:t>(שחיטה פ"ג ה"ה)</w:t>
      </w:r>
      <w:r>
        <w:rPr>
          <w:rFonts w:hint="cs"/>
          <w:rtl/>
        </w:rPr>
        <w:t xml:space="preserve"> דאחר ששחט את רוב הסימן, אף אם שהה חצי היום, ואח"כ גמר את חתיכת המיעוט בתרא, שחיטתו כשרה, דכיון ששחט כראוי את שיעור השחיטה, מה שחותך אח"כ במיעוט בתרא, הוא כמחתך בבשר שחוטה.</w:t>
      </w:r>
    </w:p>
    <w:p w14:paraId="3D443A59" w14:textId="77777777" w:rsidR="00436F39" w:rsidRPr="00C21953" w:rsidRDefault="00436F39" w:rsidP="006D6D32">
      <w:pPr>
        <w:pStyle w:val="a3"/>
        <w:rPr>
          <w:rtl/>
        </w:rPr>
      </w:pPr>
      <w:bookmarkStart w:id="15047" w:name="_Toc533544460"/>
      <w:bookmarkStart w:id="15048" w:name="_Toc533544657"/>
      <w:bookmarkStart w:id="15049" w:name="_Toc19390982"/>
      <w:bookmarkStart w:id="15050" w:name="_Toc19394479"/>
      <w:r>
        <w:rPr>
          <w:rFonts w:hint="cs"/>
          <w:rtl/>
        </w:rPr>
        <w:t>דברי ההג"מ והכס"מ דהרמב"ם כתוספתא שמכשירה בשהייה במיעוט בתרא</w:t>
      </w:r>
      <w:bookmarkEnd w:id="15047"/>
      <w:bookmarkEnd w:id="15048"/>
      <w:bookmarkEnd w:id="15049"/>
      <w:bookmarkEnd w:id="15050"/>
    </w:p>
    <w:p w14:paraId="7D7F4A7C" w14:textId="77777777" w:rsidR="00436F39" w:rsidRDefault="00436F39" w:rsidP="00223668">
      <w:pPr>
        <w:pStyle w:val="a0"/>
        <w:rPr>
          <w:rtl/>
        </w:rPr>
      </w:pPr>
      <w:r>
        <w:rPr>
          <w:rFonts w:hint="cs"/>
          <w:rtl/>
        </w:rPr>
        <w:t xml:space="preserve">וכתבו </w:t>
      </w:r>
      <w:r w:rsidRPr="00ED5EDC">
        <w:rPr>
          <w:rStyle w:val="af9"/>
          <w:rFonts w:hint="cs"/>
          <w:rtl/>
        </w:rPr>
        <w:t>ההג"מ</w:t>
      </w:r>
      <w:r w:rsidRPr="00ED5EDC">
        <w:rPr>
          <w:rStyle w:val="af7"/>
          <w:rFonts w:eastAsia="Guttman Hodes" w:hint="cs"/>
          <w:rtl/>
        </w:rPr>
        <w:t xml:space="preserve"> (שחיטה פ"ג ה"</w:t>
      </w:r>
      <w:r>
        <w:rPr>
          <w:rStyle w:val="af7"/>
          <w:rFonts w:eastAsia="Guttman Hodes" w:hint="cs"/>
          <w:rtl/>
        </w:rPr>
        <w:t>ה</w:t>
      </w:r>
      <w:r w:rsidRPr="00ED5EDC">
        <w:rPr>
          <w:rStyle w:val="af7"/>
          <w:rFonts w:eastAsia="Guttman Hodes" w:hint="cs"/>
          <w:rtl/>
        </w:rPr>
        <w:t xml:space="preserve">) </w:t>
      </w:r>
      <w:r>
        <w:rPr>
          <w:rStyle w:val="af9"/>
          <w:rFonts w:hint="cs"/>
          <w:rtl/>
        </w:rPr>
        <w:t>ו</w:t>
      </w:r>
      <w:r w:rsidRPr="00ED5EDC">
        <w:rPr>
          <w:rStyle w:val="af9"/>
          <w:rFonts w:hint="cs"/>
          <w:rtl/>
        </w:rPr>
        <w:t>הכס"מ</w:t>
      </w:r>
      <w:r>
        <w:rPr>
          <w:rFonts w:hint="cs"/>
          <w:rtl/>
        </w:rPr>
        <w:t xml:space="preserve"> </w:t>
      </w:r>
      <w:r w:rsidRPr="00ED5EDC">
        <w:rPr>
          <w:rStyle w:val="af7"/>
          <w:rFonts w:eastAsia="Guttman Hodes" w:hint="cs"/>
          <w:rtl/>
        </w:rPr>
        <w:t>(שחיטה פ"ג ה"</w:t>
      </w:r>
      <w:r>
        <w:rPr>
          <w:rStyle w:val="af7"/>
          <w:rFonts w:eastAsia="Guttman Hodes" w:hint="cs"/>
          <w:rtl/>
        </w:rPr>
        <w:t>ה</w:t>
      </w:r>
      <w:r w:rsidRPr="00ED5EDC">
        <w:rPr>
          <w:rStyle w:val="af7"/>
          <w:rFonts w:eastAsia="Guttman Hodes" w:hint="cs"/>
          <w:rtl/>
        </w:rPr>
        <w:t>)</w:t>
      </w:r>
      <w:r>
        <w:rPr>
          <w:rFonts w:hint="cs"/>
          <w:rtl/>
        </w:rPr>
        <w:t xml:space="preserve"> דפסק </w:t>
      </w:r>
      <w:r w:rsidRPr="00ED5EDC">
        <w:rPr>
          <w:rStyle w:val="af9"/>
          <w:rFonts w:hint="cs"/>
          <w:rtl/>
        </w:rPr>
        <w:t>הרמב"ם</w:t>
      </w:r>
      <w:r>
        <w:rPr>
          <w:rFonts w:hint="cs"/>
          <w:rtl/>
        </w:rPr>
        <w:t xml:space="preserve"> כדאיתא בתוספתא </w:t>
      </w:r>
      <w:r w:rsidRPr="00ED5EDC">
        <w:rPr>
          <w:rStyle w:val="af7"/>
          <w:rFonts w:eastAsia="Guttman Hodes" w:hint="cs"/>
          <w:rtl/>
        </w:rPr>
        <w:t>(פ"ב ה"א)</w:t>
      </w:r>
      <w:r>
        <w:rPr>
          <w:rFonts w:hint="cs"/>
          <w:rtl/>
        </w:rPr>
        <w:t xml:space="preserve"> שהביאו </w:t>
      </w:r>
      <w:r w:rsidRPr="0085402B">
        <w:rPr>
          <w:rStyle w:val="af9"/>
          <w:rFonts w:hint="cs"/>
          <w:rtl/>
        </w:rPr>
        <w:t xml:space="preserve">התוס' </w:t>
      </w:r>
      <w:r w:rsidRPr="0085402B">
        <w:rPr>
          <w:rStyle w:val="af7"/>
          <w:rFonts w:eastAsia="Guttman Hodes" w:hint="cs"/>
          <w:rtl/>
        </w:rPr>
        <w:t xml:space="preserve">(עי' אות </w:t>
      </w:r>
      <w:r w:rsidRPr="0085402B">
        <w:rPr>
          <w:rStyle w:val="af7"/>
          <w:rFonts w:eastAsia="Guttman Hodes"/>
          <w:rtl/>
        </w:rPr>
        <w:fldChar w:fldCharType="begin"/>
      </w:r>
      <w:r w:rsidRPr="0085402B">
        <w:rPr>
          <w:rStyle w:val="af7"/>
          <w:rFonts w:eastAsia="Guttman Hodes"/>
          <w:rtl/>
        </w:rPr>
        <w:instrText xml:space="preserve"> </w:instrText>
      </w:r>
      <w:r w:rsidRPr="0085402B">
        <w:rPr>
          <w:rStyle w:val="af7"/>
          <w:rFonts w:eastAsia="Guttman Hodes" w:hint="cs"/>
        </w:rPr>
        <w:instrText>REF</w:instrText>
      </w:r>
      <w:r w:rsidRPr="0085402B">
        <w:rPr>
          <w:rStyle w:val="af7"/>
          <w:rFonts w:eastAsia="Guttman Hodes" w:hint="cs"/>
          <w:rtl/>
        </w:rPr>
        <w:instrText xml:space="preserve"> _</w:instrText>
      </w:r>
      <w:r w:rsidRPr="0085402B">
        <w:rPr>
          <w:rStyle w:val="af7"/>
          <w:rFonts w:eastAsia="Guttman Hodes" w:hint="cs"/>
        </w:rPr>
        <w:instrText>Ref533538706 \r \h</w:instrText>
      </w:r>
      <w:r w:rsidRPr="0085402B">
        <w:rPr>
          <w:rStyle w:val="af7"/>
          <w:rFonts w:eastAsia="Guttman Hodes"/>
          <w:rtl/>
        </w:rPr>
        <w:instrText xml:space="preserve"> </w:instrText>
      </w:r>
      <w:r w:rsidRPr="0085402B">
        <w:rPr>
          <w:rStyle w:val="af7"/>
          <w:rFonts w:eastAsia="Guttman Hodes"/>
          <w:rtl/>
        </w:rPr>
      </w:r>
      <w:r w:rsidRPr="0085402B">
        <w:rPr>
          <w:rStyle w:val="af7"/>
          <w:rFonts w:eastAsia="Guttman Hodes"/>
          <w:rtl/>
        </w:rPr>
        <w:fldChar w:fldCharType="separate"/>
      </w:r>
      <w:r w:rsidR="00345400">
        <w:rPr>
          <w:rStyle w:val="af7"/>
          <w:rFonts w:eastAsia="Guttman Hodes"/>
          <w:cs/>
        </w:rPr>
        <w:t>‎</w:t>
      </w:r>
      <w:r w:rsidR="00345400">
        <w:rPr>
          <w:rStyle w:val="af7"/>
          <w:rFonts w:eastAsia="Guttman Hodes"/>
          <w:rtl/>
        </w:rPr>
        <w:t>נ)</w:t>
      </w:r>
      <w:r w:rsidRPr="0085402B">
        <w:rPr>
          <w:rStyle w:val="af7"/>
          <w:rFonts w:eastAsia="Guttman Hodes"/>
          <w:rtl/>
        </w:rPr>
        <w:fldChar w:fldCharType="end"/>
      </w:r>
      <w:r>
        <w:rPr>
          <w:rFonts w:hint="cs"/>
          <w:rtl/>
        </w:rPr>
        <w:t xml:space="preserve"> דהשוחט רוב גרוגרת בעוף, דאף אם גמר את השחיטה לאחר זמן מרובה שחיטתו כשרה, ומבואר דשהייה במיעוט בתרא אינה פוסלת, ודלא </w:t>
      </w:r>
      <w:r w:rsidRPr="00E84B39">
        <w:rPr>
          <w:rStyle w:val="af9"/>
          <w:rFonts w:hint="cs"/>
          <w:rtl/>
        </w:rPr>
        <w:t>כרש"י</w:t>
      </w:r>
      <w:r>
        <w:rPr>
          <w:rFonts w:hint="cs"/>
          <w:rtl/>
        </w:rPr>
        <w:t xml:space="preserve"> </w:t>
      </w:r>
      <w:r w:rsidRPr="00E84B39">
        <w:rPr>
          <w:rStyle w:val="af7"/>
          <w:rFonts w:eastAsia="Guttman Hodes" w:hint="cs"/>
          <w:rtl/>
        </w:rPr>
        <w:t xml:space="preserve">(עי' אות </w:t>
      </w:r>
      <w:r w:rsidRPr="00E84B39">
        <w:rPr>
          <w:rStyle w:val="af7"/>
          <w:rFonts w:eastAsia="Guttman Hodes"/>
          <w:rtl/>
        </w:rPr>
        <w:fldChar w:fldCharType="begin"/>
      </w:r>
      <w:r w:rsidRPr="00E84B39">
        <w:rPr>
          <w:rStyle w:val="af7"/>
          <w:rFonts w:eastAsia="Guttman Hodes"/>
          <w:rtl/>
        </w:rPr>
        <w:instrText xml:space="preserve"> </w:instrText>
      </w:r>
      <w:r w:rsidRPr="00E84B39">
        <w:rPr>
          <w:rStyle w:val="af7"/>
          <w:rFonts w:eastAsia="Guttman Hodes" w:hint="cs"/>
        </w:rPr>
        <w:instrText>REF</w:instrText>
      </w:r>
      <w:r w:rsidRPr="00E84B39">
        <w:rPr>
          <w:rStyle w:val="af7"/>
          <w:rFonts w:eastAsia="Guttman Hodes" w:hint="cs"/>
          <w:rtl/>
        </w:rPr>
        <w:instrText xml:space="preserve"> _</w:instrText>
      </w:r>
      <w:r w:rsidRPr="00E84B39">
        <w:rPr>
          <w:rStyle w:val="af7"/>
          <w:rFonts w:eastAsia="Guttman Hodes" w:hint="cs"/>
        </w:rPr>
        <w:instrText>Ref532364765 \r \h</w:instrText>
      </w:r>
      <w:r w:rsidRPr="00E84B39">
        <w:rPr>
          <w:rStyle w:val="af7"/>
          <w:rFonts w:eastAsia="Guttman Hodes"/>
          <w:rtl/>
        </w:rPr>
        <w:instrText xml:space="preserve"> </w:instrText>
      </w:r>
      <w:r w:rsidRPr="00E84B39">
        <w:rPr>
          <w:rStyle w:val="af7"/>
          <w:rFonts w:eastAsia="Guttman Hodes"/>
          <w:rtl/>
        </w:rPr>
      </w:r>
      <w:r w:rsidRPr="00E84B39">
        <w:rPr>
          <w:rStyle w:val="af7"/>
          <w:rFonts w:eastAsia="Guttman Hodes"/>
          <w:rtl/>
        </w:rPr>
        <w:fldChar w:fldCharType="separate"/>
      </w:r>
      <w:r w:rsidR="00345400">
        <w:rPr>
          <w:rStyle w:val="af7"/>
          <w:rFonts w:eastAsia="Guttman Hodes"/>
          <w:cs/>
        </w:rPr>
        <w:t>‎</w:t>
      </w:r>
      <w:r w:rsidR="00345400">
        <w:rPr>
          <w:rStyle w:val="af7"/>
          <w:rFonts w:eastAsia="Guttman Hodes"/>
          <w:rtl/>
        </w:rPr>
        <w:t>ח)</w:t>
      </w:r>
      <w:r w:rsidRPr="00E84B39">
        <w:rPr>
          <w:rStyle w:val="af7"/>
          <w:rFonts w:eastAsia="Guttman Hodes"/>
          <w:rtl/>
        </w:rPr>
        <w:fldChar w:fldCharType="end"/>
      </w:r>
      <w:r>
        <w:rPr>
          <w:rFonts w:hint="cs"/>
          <w:rtl/>
        </w:rPr>
        <w:t>.</w:t>
      </w:r>
    </w:p>
    <w:p w14:paraId="1759754E" w14:textId="77777777" w:rsidR="00436F39" w:rsidRDefault="00436F39" w:rsidP="00BF39B2">
      <w:pPr>
        <w:pStyle w:val="1"/>
        <w:rPr>
          <w:rtl/>
        </w:rPr>
      </w:pPr>
      <w:bookmarkStart w:id="15051" w:name="_Toc533544461"/>
      <w:bookmarkStart w:id="15052" w:name="_Toc533544658"/>
      <w:bookmarkStart w:id="15053" w:name="_Toc19390983"/>
      <w:bookmarkStart w:id="15054" w:name="_Toc19394480"/>
      <w:r>
        <w:rPr>
          <w:rFonts w:hint="cs"/>
          <w:rtl/>
        </w:rPr>
        <w:t>דעת הרמב"ם דדריסה וחלדה פוסלות בתחילה ובאמצע</w:t>
      </w:r>
      <w:bookmarkEnd w:id="15051"/>
      <w:bookmarkEnd w:id="15052"/>
      <w:bookmarkEnd w:id="15053"/>
      <w:bookmarkEnd w:id="15054"/>
    </w:p>
    <w:p w14:paraId="5DF5E75C" w14:textId="77777777" w:rsidR="00436F39" w:rsidRDefault="00436F39" w:rsidP="006D6D32">
      <w:pPr>
        <w:pStyle w:val="a3"/>
        <w:rPr>
          <w:rtl/>
        </w:rPr>
      </w:pPr>
      <w:bookmarkStart w:id="15055" w:name="_Toc533544462"/>
      <w:bookmarkStart w:id="15056" w:name="_Toc533544659"/>
      <w:bookmarkStart w:id="15057" w:name="_Toc19390984"/>
      <w:bookmarkStart w:id="15058" w:name="_Toc19394481"/>
      <w:r>
        <w:rPr>
          <w:rFonts w:hint="cs"/>
          <w:rtl/>
        </w:rPr>
        <w:t>דברי הרמב"ם דבדריסה וחלדה בין בשליש הראשון ובין בשליש האמצעי השחיטה פסולה</w:t>
      </w:r>
      <w:bookmarkEnd w:id="15055"/>
      <w:bookmarkEnd w:id="15056"/>
      <w:bookmarkEnd w:id="15057"/>
      <w:bookmarkEnd w:id="15058"/>
    </w:p>
    <w:p w14:paraId="3DB98CD6" w14:textId="77777777" w:rsidR="00436F39" w:rsidRDefault="00436F39" w:rsidP="00223668">
      <w:pPr>
        <w:pStyle w:val="a0"/>
        <w:rPr>
          <w:rtl/>
        </w:rPr>
      </w:pPr>
      <w:r>
        <w:rPr>
          <w:rFonts w:hint="cs"/>
          <w:rtl/>
        </w:rPr>
        <w:t xml:space="preserve">ובדריסה וחלדה, כתב </w:t>
      </w:r>
      <w:r w:rsidRPr="00402769">
        <w:rPr>
          <w:rStyle w:val="af9"/>
          <w:rFonts w:hint="cs"/>
          <w:rtl/>
        </w:rPr>
        <w:t>הרמב"ם</w:t>
      </w:r>
      <w:r>
        <w:rPr>
          <w:rFonts w:hint="cs"/>
          <w:rtl/>
        </w:rPr>
        <w:t xml:space="preserve"> </w:t>
      </w:r>
      <w:r w:rsidRPr="00257A45">
        <w:rPr>
          <w:rStyle w:val="af7"/>
          <w:rFonts w:eastAsia="Guttman Hodes" w:hint="cs"/>
          <w:rtl/>
        </w:rPr>
        <w:t>(שחיטה פ"ג הי"ג)</w:t>
      </w:r>
      <w:r>
        <w:rPr>
          <w:rFonts w:hint="cs"/>
          <w:rtl/>
        </w:rPr>
        <w:t xml:space="preserve"> דבין דאם דרס או החליד בשליש הראשון או בשליש האמצעי, שחיטתו פסולה, ועי' בדברי </w:t>
      </w:r>
      <w:r w:rsidRPr="00BB774F">
        <w:rPr>
          <w:rStyle w:val="af9"/>
          <w:rFonts w:hint="cs"/>
          <w:rtl/>
        </w:rPr>
        <w:t>הריב"ש</w:t>
      </w:r>
      <w:r>
        <w:rPr>
          <w:rFonts w:hint="cs"/>
          <w:rtl/>
        </w:rPr>
        <w:t xml:space="preserve"> </w:t>
      </w:r>
      <w:r w:rsidRPr="00BB774F">
        <w:rPr>
          <w:rStyle w:val="af7"/>
          <w:rFonts w:eastAsia="Guttman Hodes" w:hint="cs"/>
          <w:rtl/>
        </w:rPr>
        <w:t>(קפ"ז, קצ"ב)</w:t>
      </w:r>
      <w:r>
        <w:rPr>
          <w:rFonts w:hint="cs"/>
          <w:rtl/>
        </w:rPr>
        <w:t xml:space="preserve"> </w:t>
      </w:r>
      <w:r>
        <w:rPr>
          <w:rStyle w:val="af9"/>
          <w:rFonts w:hint="cs"/>
          <w:rtl/>
        </w:rPr>
        <w:t>ו</w:t>
      </w:r>
      <w:r w:rsidRPr="00ED5EDC">
        <w:rPr>
          <w:rStyle w:val="af9"/>
          <w:rFonts w:hint="cs"/>
          <w:rtl/>
        </w:rPr>
        <w:t>הכס"מ</w:t>
      </w:r>
      <w:r w:rsidRPr="00ED5EDC">
        <w:rPr>
          <w:rStyle w:val="af7"/>
          <w:rFonts w:eastAsia="Guttman Hodes" w:hint="cs"/>
          <w:rtl/>
        </w:rPr>
        <w:t xml:space="preserve"> (שחיטה פ"ג הי"ג) </w:t>
      </w:r>
      <w:r>
        <w:rPr>
          <w:rStyle w:val="af9"/>
          <w:rFonts w:hint="cs"/>
          <w:rtl/>
        </w:rPr>
        <w:t>ו</w:t>
      </w:r>
      <w:r w:rsidRPr="00ED5EDC">
        <w:rPr>
          <w:rStyle w:val="af9"/>
          <w:rFonts w:hint="cs"/>
          <w:rtl/>
        </w:rPr>
        <w:t>ה</w:t>
      </w:r>
      <w:r>
        <w:rPr>
          <w:rStyle w:val="af9"/>
          <w:rFonts w:hint="cs"/>
          <w:rtl/>
        </w:rPr>
        <w:t>לח</w:t>
      </w:r>
      <w:r w:rsidRPr="00ED5EDC">
        <w:rPr>
          <w:rStyle w:val="af9"/>
          <w:rFonts w:hint="cs"/>
          <w:rtl/>
        </w:rPr>
        <w:t>"מ</w:t>
      </w:r>
      <w:r w:rsidRPr="00ED5EDC">
        <w:rPr>
          <w:rStyle w:val="af7"/>
          <w:rFonts w:eastAsia="Guttman Hodes" w:hint="cs"/>
          <w:rtl/>
        </w:rPr>
        <w:t xml:space="preserve"> (שחיטה פ"ג הי"ג) </w:t>
      </w:r>
      <w:r>
        <w:rPr>
          <w:rStyle w:val="af9"/>
          <w:rFonts w:hint="cs"/>
          <w:rtl/>
        </w:rPr>
        <w:t xml:space="preserve">והש"ך </w:t>
      </w:r>
      <w:r>
        <w:rPr>
          <w:rStyle w:val="af7"/>
          <w:rFonts w:eastAsia="Guttman Hodes" w:hint="cs"/>
          <w:rtl/>
        </w:rPr>
        <w:t xml:space="preserve">(סי' כ"ד סקי"ח) </w:t>
      </w:r>
      <w:r>
        <w:rPr>
          <w:rStyle w:val="af9"/>
          <w:rFonts w:hint="cs"/>
          <w:rtl/>
        </w:rPr>
        <w:t>ו</w:t>
      </w:r>
      <w:r w:rsidRPr="00ED5EDC">
        <w:rPr>
          <w:rStyle w:val="af9"/>
          <w:rFonts w:hint="cs"/>
          <w:rtl/>
        </w:rPr>
        <w:t>ה</w:t>
      </w:r>
      <w:r>
        <w:rPr>
          <w:rStyle w:val="af9"/>
          <w:rFonts w:hint="cs"/>
          <w:rtl/>
        </w:rPr>
        <w:t>או</w:t>
      </w:r>
      <w:r w:rsidRPr="00ED5EDC">
        <w:rPr>
          <w:rStyle w:val="af9"/>
          <w:rFonts w:hint="cs"/>
          <w:rtl/>
        </w:rPr>
        <w:t>"</w:t>
      </w:r>
      <w:r>
        <w:rPr>
          <w:rStyle w:val="af9"/>
          <w:rFonts w:hint="cs"/>
          <w:rtl/>
        </w:rPr>
        <w:t>ש</w:t>
      </w:r>
      <w:r w:rsidRPr="00ED5EDC">
        <w:rPr>
          <w:rStyle w:val="af7"/>
          <w:rFonts w:eastAsia="Guttman Hodes" w:hint="cs"/>
          <w:rtl/>
        </w:rPr>
        <w:t xml:space="preserve"> (שחיטה פ"ג הי"ג) </w:t>
      </w:r>
      <w:r>
        <w:rPr>
          <w:rFonts w:hint="cs"/>
          <w:rtl/>
        </w:rPr>
        <w:t xml:space="preserve">במה שביארו בדעת </w:t>
      </w:r>
      <w:r w:rsidRPr="00BB774F">
        <w:rPr>
          <w:rStyle w:val="af9"/>
          <w:rFonts w:hint="cs"/>
          <w:rtl/>
        </w:rPr>
        <w:t>הרמב"ם</w:t>
      </w:r>
      <w:r>
        <w:rPr>
          <w:rFonts w:hint="cs"/>
          <w:rtl/>
        </w:rPr>
        <w:t xml:space="preserve"> בחלדה ודריסה במיעוט סימנים.</w:t>
      </w:r>
    </w:p>
    <w:p w14:paraId="125CD479" w14:textId="77777777" w:rsidR="00436F39" w:rsidRDefault="00436F39" w:rsidP="00BF39B2">
      <w:pPr>
        <w:pStyle w:val="1"/>
        <w:rPr>
          <w:rtl/>
        </w:rPr>
      </w:pPr>
      <w:bookmarkStart w:id="15059" w:name="_Toc533544463"/>
      <w:bookmarkStart w:id="15060" w:name="_Toc533544660"/>
      <w:bookmarkStart w:id="15061" w:name="_Toc19390985"/>
      <w:bookmarkStart w:id="15062" w:name="_Toc19394482"/>
      <w:r>
        <w:rPr>
          <w:rFonts w:hint="cs"/>
          <w:rtl/>
        </w:rPr>
        <w:t>פלוגתת הכס"מ וה</w:t>
      </w:r>
      <w:r w:rsidR="00345400">
        <w:rPr>
          <w:rFonts w:hint="cs"/>
          <w:rtl/>
        </w:rPr>
        <w:t>פלתי</w:t>
      </w:r>
      <w:r>
        <w:rPr>
          <w:rFonts w:hint="cs"/>
          <w:rtl/>
        </w:rPr>
        <w:t xml:space="preserve"> בנפסקה הגרוגרת במקום הגרמה</w:t>
      </w:r>
      <w:bookmarkEnd w:id="15059"/>
      <w:bookmarkEnd w:id="15060"/>
      <w:bookmarkEnd w:id="15061"/>
      <w:bookmarkEnd w:id="15062"/>
    </w:p>
    <w:p w14:paraId="0E4FDA8F" w14:textId="77777777" w:rsidR="00436F39" w:rsidRPr="00C9329D" w:rsidRDefault="00436F39" w:rsidP="006D6D32">
      <w:pPr>
        <w:pStyle w:val="a3"/>
        <w:rPr>
          <w:rtl/>
        </w:rPr>
      </w:pPr>
      <w:bookmarkStart w:id="15063" w:name="_Toc533544464"/>
      <w:bookmarkStart w:id="15064" w:name="_Toc533544661"/>
      <w:bookmarkStart w:id="15065" w:name="_Toc19390986"/>
      <w:bookmarkStart w:id="15066" w:name="_Toc19394483"/>
      <w:r>
        <w:rPr>
          <w:rFonts w:hint="cs"/>
          <w:rtl/>
        </w:rPr>
        <w:t>דברי הרמב"ם דגרוגרת שנפסקה במקום הראוי לשחיטה הוי נבילה</w:t>
      </w:r>
      <w:bookmarkEnd w:id="15063"/>
      <w:bookmarkEnd w:id="15064"/>
      <w:bookmarkEnd w:id="15065"/>
      <w:bookmarkEnd w:id="15066"/>
    </w:p>
    <w:p w14:paraId="2880670F" w14:textId="77777777" w:rsidR="00436F39" w:rsidRDefault="00436F39" w:rsidP="00223668">
      <w:pPr>
        <w:pStyle w:val="a0"/>
        <w:rPr>
          <w:rtl/>
        </w:rPr>
      </w:pPr>
      <w:r>
        <w:rPr>
          <w:rFonts w:hint="cs"/>
          <w:rtl/>
        </w:rPr>
        <w:t xml:space="preserve">כתב </w:t>
      </w:r>
      <w:r w:rsidRPr="004D11C5">
        <w:rPr>
          <w:rStyle w:val="af9"/>
          <w:rFonts w:hint="cs"/>
          <w:rtl/>
        </w:rPr>
        <w:t>הרמב"ם</w:t>
      </w:r>
      <w:r>
        <w:rPr>
          <w:rFonts w:hint="cs"/>
          <w:rtl/>
        </w:rPr>
        <w:t xml:space="preserve"> </w:t>
      </w:r>
      <w:r w:rsidRPr="00257A45">
        <w:rPr>
          <w:rStyle w:val="af7"/>
          <w:rFonts w:eastAsia="Guttman Hodes" w:hint="cs"/>
          <w:rtl/>
        </w:rPr>
        <w:t>(שחיטה פ"ג הכ"ג)</w:t>
      </w:r>
      <w:r>
        <w:rPr>
          <w:rFonts w:hint="cs"/>
          <w:rtl/>
        </w:rPr>
        <w:t xml:space="preserve"> דגרוגרת שנפסק רוב חללה במקום הראוי לשחיטה הרי היא נבילה.</w:t>
      </w:r>
    </w:p>
    <w:p w14:paraId="60FE6C62" w14:textId="77777777" w:rsidR="00436F39" w:rsidRPr="00355C4F" w:rsidRDefault="00436F39" w:rsidP="006D6D32">
      <w:pPr>
        <w:pStyle w:val="a3"/>
        <w:rPr>
          <w:rtl/>
        </w:rPr>
      </w:pPr>
      <w:bookmarkStart w:id="15067" w:name="_Toc533544465"/>
      <w:bookmarkStart w:id="15068" w:name="_Toc533544662"/>
      <w:bookmarkStart w:id="15069" w:name="_Toc19390987"/>
      <w:bookmarkStart w:id="15070" w:name="_Toc19394484"/>
      <w:r>
        <w:rPr>
          <w:rFonts w:hint="cs"/>
          <w:rtl/>
        </w:rPr>
        <w:t>דברי הכס"מ והפר"ח דבנפסקה במקום שאינו ראוי לשחיטה היא טריפה ולא נבילה</w:t>
      </w:r>
      <w:bookmarkEnd w:id="15067"/>
      <w:bookmarkEnd w:id="15068"/>
      <w:bookmarkEnd w:id="15069"/>
      <w:bookmarkEnd w:id="15070"/>
    </w:p>
    <w:p w14:paraId="1B90E5D0" w14:textId="77777777" w:rsidR="00436F39" w:rsidRDefault="00436F39" w:rsidP="00223668">
      <w:pPr>
        <w:pStyle w:val="a0"/>
        <w:rPr>
          <w:rtl/>
        </w:rPr>
      </w:pPr>
      <w:bookmarkStart w:id="15071" w:name="_Ref533540348"/>
      <w:r>
        <w:rPr>
          <w:rFonts w:hint="cs"/>
          <w:rtl/>
        </w:rPr>
        <w:t xml:space="preserve">וכתבו </w:t>
      </w:r>
      <w:r w:rsidRPr="004D11C5">
        <w:rPr>
          <w:rStyle w:val="af9"/>
          <w:rFonts w:hint="cs"/>
          <w:rtl/>
        </w:rPr>
        <w:t>הכס"מ</w:t>
      </w:r>
      <w:r>
        <w:rPr>
          <w:rFonts w:hint="cs"/>
          <w:rtl/>
        </w:rPr>
        <w:t xml:space="preserve"> </w:t>
      </w:r>
      <w:r w:rsidRPr="00257A45">
        <w:rPr>
          <w:rStyle w:val="af7"/>
          <w:rFonts w:eastAsia="Guttman Hodes" w:hint="cs"/>
          <w:rtl/>
        </w:rPr>
        <w:t xml:space="preserve">(שחיטה פ"ג </w:t>
      </w:r>
      <w:r w:rsidRPr="00A208FF">
        <w:rPr>
          <w:rStyle w:val="af7"/>
          <w:rFonts w:eastAsia="Guttman Hodes" w:hint="cs"/>
          <w:rtl/>
        </w:rPr>
        <w:t>הכ"ג)</w:t>
      </w:r>
      <w:r w:rsidRPr="00A208FF">
        <w:rPr>
          <w:rFonts w:hint="cs"/>
          <w:rtl/>
        </w:rPr>
        <w:t xml:space="preserve"> </w:t>
      </w:r>
      <w:r w:rsidRPr="00A208FF">
        <w:rPr>
          <w:rStyle w:val="af9"/>
          <w:rFonts w:hint="cs"/>
          <w:rtl/>
        </w:rPr>
        <w:t xml:space="preserve">והפר"ח </w:t>
      </w:r>
      <w:r w:rsidRPr="00A208FF">
        <w:rPr>
          <w:rStyle w:val="af7"/>
          <w:rFonts w:eastAsia="Guttman Hodes" w:hint="cs"/>
          <w:rtl/>
        </w:rPr>
        <w:t xml:space="preserve">(סי' כ"ד סוס"ק ה') </w:t>
      </w:r>
      <w:r w:rsidRPr="00A208FF">
        <w:rPr>
          <w:rFonts w:hint="cs"/>
          <w:rtl/>
        </w:rPr>
        <w:t xml:space="preserve">דכוונת </w:t>
      </w:r>
      <w:r w:rsidRPr="00A208FF">
        <w:rPr>
          <w:rStyle w:val="af9"/>
          <w:rFonts w:hint="cs"/>
          <w:rtl/>
        </w:rPr>
        <w:t>הרמב"ם</w:t>
      </w:r>
      <w:r w:rsidRPr="00A208FF">
        <w:rPr>
          <w:rFonts w:hint="cs"/>
          <w:rtl/>
        </w:rPr>
        <w:t xml:space="preserve"> לומר דאם נפסקה למעלה מ</w:t>
      </w:r>
      <w:r>
        <w:rPr>
          <w:rFonts w:hint="cs"/>
          <w:rtl/>
        </w:rPr>
        <w:t xml:space="preserve">מקום השחיטה, או למטה ממנה היא טריפה ולא נבילה, והקשה </w:t>
      </w:r>
      <w:r w:rsidRPr="00FC0F7D">
        <w:rPr>
          <w:rStyle w:val="af9"/>
          <w:rFonts w:hint="cs"/>
          <w:rtl/>
        </w:rPr>
        <w:t>הכס"מ</w:t>
      </w:r>
      <w:r>
        <w:rPr>
          <w:rFonts w:hint="cs"/>
          <w:rtl/>
        </w:rPr>
        <w:t xml:space="preserve"> דהרי פסק </w:t>
      </w:r>
      <w:r w:rsidRPr="004D11C5">
        <w:rPr>
          <w:rStyle w:val="af9"/>
          <w:rFonts w:hint="cs"/>
          <w:rtl/>
        </w:rPr>
        <w:t>הרמב"ם</w:t>
      </w:r>
      <w:r>
        <w:rPr>
          <w:rFonts w:hint="cs"/>
          <w:rtl/>
        </w:rPr>
        <w:t xml:space="preserve"> </w:t>
      </w:r>
      <w:r w:rsidRPr="00257A45">
        <w:rPr>
          <w:rStyle w:val="af7"/>
          <w:rFonts w:eastAsia="Guttman Hodes" w:hint="cs"/>
          <w:rtl/>
        </w:rPr>
        <w:t>(</w:t>
      </w:r>
      <w:r>
        <w:rPr>
          <w:rStyle w:val="af7"/>
          <w:rFonts w:eastAsia="Guttman Hodes" w:hint="cs"/>
          <w:rtl/>
        </w:rPr>
        <w:t>שחיטה פ"ג הי"ב)</w:t>
      </w:r>
      <w:r>
        <w:rPr>
          <w:rFonts w:hint="cs"/>
          <w:rtl/>
        </w:rPr>
        <w:t xml:space="preserve"> דבהגרמה כל שלא שייר בחיטי הוי נבילה, ומבואר דאף שאינו במקום שחיטה השחיטה פסולה, ופסולה היינו נבילה ולא  טריפה, [כדכתב </w:t>
      </w:r>
      <w:r w:rsidRPr="00DE0182">
        <w:rPr>
          <w:rStyle w:val="af9"/>
          <w:rFonts w:hint="cs"/>
          <w:rtl/>
        </w:rPr>
        <w:t>הרמב"ם</w:t>
      </w:r>
      <w:r>
        <w:rPr>
          <w:rFonts w:hint="cs"/>
          <w:rtl/>
        </w:rPr>
        <w:t xml:space="preserve"> </w:t>
      </w:r>
      <w:r w:rsidRPr="00257A45">
        <w:rPr>
          <w:rStyle w:val="af7"/>
          <w:rFonts w:eastAsia="Guttman Hodes" w:hint="cs"/>
          <w:rtl/>
        </w:rPr>
        <w:t>(שחיטה פ"ג הי"ח)</w:t>
      </w:r>
      <w:r>
        <w:rPr>
          <w:rFonts w:hint="cs"/>
          <w:rtl/>
        </w:rPr>
        <w:t>].</w:t>
      </w:r>
      <w:bookmarkEnd w:id="15071"/>
    </w:p>
    <w:p w14:paraId="20CD19DB" w14:textId="77777777" w:rsidR="00436F39" w:rsidRDefault="00436F39" w:rsidP="006D6D32">
      <w:pPr>
        <w:pStyle w:val="a3"/>
        <w:rPr>
          <w:rtl/>
        </w:rPr>
      </w:pPr>
      <w:bookmarkStart w:id="15072" w:name="_Toc533544466"/>
      <w:bookmarkStart w:id="15073" w:name="_Toc533544663"/>
      <w:bookmarkStart w:id="15074" w:name="_Toc19390988"/>
      <w:bookmarkStart w:id="15075" w:name="_Toc19394485"/>
      <w:r>
        <w:rPr>
          <w:rFonts w:hint="cs"/>
          <w:rtl/>
        </w:rPr>
        <w:t>קושית ה</w:t>
      </w:r>
      <w:r w:rsidR="00345400">
        <w:rPr>
          <w:rFonts w:hint="cs"/>
          <w:rtl/>
        </w:rPr>
        <w:t>פלתי</w:t>
      </w:r>
      <w:r>
        <w:rPr>
          <w:rFonts w:hint="cs"/>
          <w:rtl/>
        </w:rPr>
        <w:t xml:space="preserve"> על הכס"מ דהיאך מכשיר בשחט בשליש הא לא יצאה החיות דלא שחט רוב סימן</w:t>
      </w:r>
      <w:bookmarkEnd w:id="15072"/>
      <w:bookmarkEnd w:id="15073"/>
      <w:bookmarkEnd w:id="15074"/>
      <w:bookmarkEnd w:id="15075"/>
    </w:p>
    <w:p w14:paraId="7765B05C" w14:textId="77777777" w:rsidR="00436F39" w:rsidRDefault="00436F39" w:rsidP="00223668">
      <w:pPr>
        <w:pStyle w:val="a0"/>
        <w:rPr>
          <w:rtl/>
        </w:rPr>
      </w:pPr>
      <w:bookmarkStart w:id="15076" w:name="_Ref533529214"/>
      <w:bookmarkStart w:id="15077" w:name="_Toc532302174"/>
      <w:bookmarkStart w:id="15078" w:name="_Toc532453969"/>
      <w:bookmarkStart w:id="15079" w:name="_Toc532454003"/>
      <w:bookmarkStart w:id="15080" w:name="_Toc532550662"/>
      <w:bookmarkStart w:id="15081" w:name="_Toc532550728"/>
      <w:r>
        <w:rPr>
          <w:rStyle w:val="af9"/>
          <w:rFonts w:hint="cs"/>
          <w:rtl/>
        </w:rPr>
        <w:t>ו</w:t>
      </w:r>
      <w:r w:rsidRPr="00F65799">
        <w:rPr>
          <w:rStyle w:val="af9"/>
          <w:rFonts w:hint="cs"/>
          <w:rtl/>
        </w:rPr>
        <w:t>ה</w:t>
      </w:r>
      <w:r w:rsidR="00345400">
        <w:rPr>
          <w:rStyle w:val="af9"/>
          <w:rFonts w:hint="cs"/>
          <w:rtl/>
        </w:rPr>
        <w:t>פלתי</w:t>
      </w:r>
      <w:r>
        <w:rPr>
          <w:rFonts w:hint="cs"/>
          <w:rtl/>
        </w:rPr>
        <w:t xml:space="preserve"> </w:t>
      </w:r>
      <w:r w:rsidRPr="00DA4540">
        <w:rPr>
          <w:rStyle w:val="af7"/>
          <w:rFonts w:eastAsia="Guttman Hodes" w:hint="cs"/>
          <w:rtl/>
        </w:rPr>
        <w:t xml:space="preserve">(סי' כ' סק"ג) </w:t>
      </w:r>
      <w:r>
        <w:rPr>
          <w:rFonts w:hint="cs"/>
          <w:rtl/>
        </w:rPr>
        <w:t xml:space="preserve">הקשה על </w:t>
      </w:r>
      <w:r w:rsidRPr="003C422C">
        <w:rPr>
          <w:rStyle w:val="af9"/>
          <w:rFonts w:hint="cs"/>
          <w:rtl/>
        </w:rPr>
        <w:t>הכס"מ והפר"ח</w:t>
      </w:r>
      <w:r>
        <w:rPr>
          <w:rFonts w:hint="cs"/>
          <w:rtl/>
        </w:rPr>
        <w:t xml:space="preserve"> </w:t>
      </w:r>
      <w:bookmarkEnd w:id="15076"/>
      <w:r>
        <w:rPr>
          <w:rFonts w:hint="cs"/>
          <w:rtl/>
        </w:rPr>
        <w:t xml:space="preserve">דא"כ היאך מכשיר רב הונא, בהגרים ושחט והגרים, מחמת דבשליש האמצעי יוצאת החיות, הא כיון שהגרמת השליש הוא במקום שמטריף אותה, א"כ ע"י השליש הראשון אין החיות יוצאת כלל, </w:t>
      </w:r>
      <w:r w:rsidRPr="00D52579">
        <w:rPr>
          <w:rStyle w:val="afb"/>
          <w:rFonts w:hint="cs"/>
          <w:rtl/>
        </w:rPr>
        <w:t>[ד</w:t>
      </w:r>
      <w:r>
        <w:rPr>
          <w:rStyle w:val="afb"/>
          <w:rFonts w:hint="cs"/>
          <w:rtl/>
        </w:rPr>
        <w:t>ב</w:t>
      </w:r>
      <w:r w:rsidRPr="00D52579">
        <w:rPr>
          <w:rStyle w:val="afb"/>
          <w:rFonts w:hint="cs"/>
          <w:rtl/>
        </w:rPr>
        <w:t xml:space="preserve">מקום </w:t>
      </w:r>
      <w:r>
        <w:rPr>
          <w:rStyle w:val="afb"/>
          <w:rFonts w:hint="cs"/>
          <w:rtl/>
        </w:rPr>
        <w:t>שנעשית טריפה</w:t>
      </w:r>
      <w:r w:rsidRPr="00D52579">
        <w:rPr>
          <w:rStyle w:val="afb"/>
          <w:rFonts w:hint="cs"/>
          <w:rtl/>
        </w:rPr>
        <w:t xml:space="preserve"> </w:t>
      </w:r>
      <w:r>
        <w:rPr>
          <w:rStyle w:val="afb"/>
          <w:rFonts w:hint="cs"/>
          <w:rtl/>
        </w:rPr>
        <w:t>ואינה  נעשית נבילה</w:t>
      </w:r>
      <w:r w:rsidRPr="00D52579">
        <w:rPr>
          <w:rStyle w:val="afb"/>
          <w:rFonts w:hint="cs"/>
          <w:rtl/>
        </w:rPr>
        <w:t xml:space="preserve">, אין בו יציאת חיות], </w:t>
      </w:r>
      <w:r>
        <w:rPr>
          <w:rFonts w:hint="cs"/>
          <w:rtl/>
        </w:rPr>
        <w:t>ובשליש השני ששחט במקום שחיטה לא סגי כיון שאינו רוב סימן, וא"כ לא יצא החיות בין מהשליש הראשון שאינו במקום שחיטה, ובין מהשליש השני שאינו רוב סימן.</w:t>
      </w:r>
    </w:p>
    <w:p w14:paraId="132BB668" w14:textId="77777777" w:rsidR="00436F39" w:rsidRDefault="00436F39" w:rsidP="006D6D32">
      <w:pPr>
        <w:pStyle w:val="a3"/>
        <w:rPr>
          <w:rtl/>
        </w:rPr>
      </w:pPr>
      <w:bookmarkStart w:id="15082" w:name="_Toc533544467"/>
      <w:bookmarkStart w:id="15083" w:name="_Toc533544664"/>
      <w:bookmarkStart w:id="15084" w:name="_Toc19390989"/>
      <w:bookmarkStart w:id="15085" w:name="_Toc19394486"/>
      <w:r>
        <w:rPr>
          <w:rFonts w:hint="cs"/>
          <w:rtl/>
        </w:rPr>
        <w:t>דבריה</w:t>
      </w:r>
      <w:r w:rsidR="00345400">
        <w:rPr>
          <w:rFonts w:hint="cs"/>
          <w:rtl/>
        </w:rPr>
        <w:t>פלתי</w:t>
      </w:r>
      <w:r>
        <w:rPr>
          <w:rFonts w:hint="cs"/>
          <w:rtl/>
        </w:rPr>
        <w:t xml:space="preserve"> דאף במקום ההגרמה יוצאת החיות ובנפסק שם רוב הגרורגת הוי נבילה</w:t>
      </w:r>
      <w:bookmarkEnd w:id="15082"/>
      <w:bookmarkEnd w:id="15083"/>
      <w:bookmarkEnd w:id="15084"/>
      <w:bookmarkEnd w:id="15085"/>
    </w:p>
    <w:p w14:paraId="0F01665C" w14:textId="77777777" w:rsidR="00436F39" w:rsidRPr="004539D4" w:rsidRDefault="00436F39" w:rsidP="00223668">
      <w:pPr>
        <w:pStyle w:val="a0"/>
        <w:rPr>
          <w:rtl/>
        </w:rPr>
      </w:pPr>
      <w:bookmarkStart w:id="15086" w:name="_Ref533529199"/>
      <w:r>
        <w:rPr>
          <w:rFonts w:hint="cs"/>
          <w:rtl/>
        </w:rPr>
        <w:t xml:space="preserve">אלא כתב </w:t>
      </w:r>
      <w:r w:rsidRPr="00F65799">
        <w:rPr>
          <w:rStyle w:val="af9"/>
          <w:rFonts w:hint="cs"/>
          <w:rtl/>
        </w:rPr>
        <w:t>ה</w:t>
      </w:r>
      <w:r w:rsidR="00345400">
        <w:rPr>
          <w:rStyle w:val="af9"/>
          <w:rFonts w:hint="cs"/>
          <w:rtl/>
        </w:rPr>
        <w:t>פלתי</w:t>
      </w:r>
      <w:r>
        <w:rPr>
          <w:rFonts w:hint="cs"/>
          <w:rtl/>
        </w:rPr>
        <w:t xml:space="preserve"> דמוכח דאף במקום הגרמה יוצאת החיות, ולכן כל שנפסק רוב הקנה היא נעשית נבילה, ועיי"ש במה שדחה את דיוק </w:t>
      </w:r>
      <w:r w:rsidRPr="0018185D">
        <w:rPr>
          <w:rStyle w:val="af9"/>
          <w:rFonts w:hint="cs"/>
          <w:rtl/>
        </w:rPr>
        <w:t>הכס"מ</w:t>
      </w:r>
      <w:r>
        <w:rPr>
          <w:rFonts w:hint="cs"/>
          <w:rtl/>
        </w:rPr>
        <w:t xml:space="preserve"> </w:t>
      </w:r>
      <w:r w:rsidRPr="0033077D">
        <w:rPr>
          <w:rStyle w:val="af7"/>
          <w:rFonts w:eastAsia="Guttman Hodes" w:hint="cs"/>
          <w:rtl/>
        </w:rPr>
        <w:t xml:space="preserve">(עי' אות </w:t>
      </w:r>
      <w:r w:rsidRPr="0033077D">
        <w:rPr>
          <w:rStyle w:val="af7"/>
          <w:rFonts w:eastAsia="Guttman Hodes"/>
          <w:rtl/>
        </w:rPr>
        <w:fldChar w:fldCharType="begin"/>
      </w:r>
      <w:r w:rsidRPr="0033077D">
        <w:rPr>
          <w:rStyle w:val="af7"/>
          <w:rFonts w:eastAsia="Guttman Hodes"/>
          <w:rtl/>
        </w:rPr>
        <w:instrText xml:space="preserve"> </w:instrText>
      </w:r>
      <w:r w:rsidRPr="0033077D">
        <w:rPr>
          <w:rStyle w:val="af7"/>
          <w:rFonts w:eastAsia="Guttman Hodes" w:hint="cs"/>
        </w:rPr>
        <w:instrText>REF</w:instrText>
      </w:r>
      <w:r w:rsidRPr="0033077D">
        <w:rPr>
          <w:rStyle w:val="af7"/>
          <w:rFonts w:eastAsia="Guttman Hodes" w:hint="cs"/>
          <w:rtl/>
        </w:rPr>
        <w:instrText xml:space="preserve"> _</w:instrText>
      </w:r>
      <w:r w:rsidRPr="0033077D">
        <w:rPr>
          <w:rStyle w:val="af7"/>
          <w:rFonts w:eastAsia="Guttman Hodes" w:hint="cs"/>
        </w:rPr>
        <w:instrText>Ref533540348 \r \h</w:instrText>
      </w:r>
      <w:r w:rsidRPr="0033077D">
        <w:rPr>
          <w:rStyle w:val="af7"/>
          <w:rFonts w:eastAsia="Guttman Hodes"/>
          <w:rtl/>
        </w:rPr>
        <w:instrText xml:space="preserve"> </w:instrText>
      </w:r>
      <w:r w:rsidRPr="0033077D">
        <w:rPr>
          <w:rStyle w:val="af7"/>
          <w:rFonts w:eastAsia="Guttman Hodes"/>
          <w:rtl/>
        </w:rPr>
      </w:r>
      <w:r w:rsidRPr="0033077D">
        <w:rPr>
          <w:rStyle w:val="af7"/>
          <w:rFonts w:eastAsia="Guttman Hodes"/>
          <w:rtl/>
        </w:rPr>
        <w:fldChar w:fldCharType="separate"/>
      </w:r>
      <w:r w:rsidR="00345400">
        <w:rPr>
          <w:rStyle w:val="af7"/>
          <w:rFonts w:eastAsia="Guttman Hodes"/>
          <w:cs/>
        </w:rPr>
        <w:t>‎</w:t>
      </w:r>
      <w:r w:rsidR="00345400">
        <w:rPr>
          <w:rStyle w:val="af7"/>
          <w:rFonts w:eastAsia="Guttman Hodes"/>
          <w:rtl/>
        </w:rPr>
        <w:t>קיח)</w:t>
      </w:r>
      <w:r w:rsidRPr="0033077D">
        <w:rPr>
          <w:rStyle w:val="af7"/>
          <w:rFonts w:eastAsia="Guttman Hodes"/>
          <w:rtl/>
        </w:rPr>
        <w:fldChar w:fldCharType="end"/>
      </w:r>
      <w:r>
        <w:rPr>
          <w:rFonts w:hint="cs"/>
          <w:rtl/>
        </w:rPr>
        <w:t xml:space="preserve"> מדברי </w:t>
      </w:r>
      <w:r w:rsidRPr="0018185D">
        <w:rPr>
          <w:rStyle w:val="af9"/>
          <w:rFonts w:hint="cs"/>
          <w:rtl/>
        </w:rPr>
        <w:t>הרמב"ם</w:t>
      </w:r>
      <w:r>
        <w:rPr>
          <w:rFonts w:hint="cs"/>
          <w:rtl/>
        </w:rPr>
        <w:t>.</w:t>
      </w:r>
      <w:bookmarkEnd w:id="15077"/>
      <w:bookmarkEnd w:id="15078"/>
      <w:bookmarkEnd w:id="15079"/>
      <w:bookmarkEnd w:id="15080"/>
      <w:bookmarkEnd w:id="15081"/>
      <w:bookmarkEnd w:id="15086"/>
    </w:p>
    <w:p w14:paraId="43C0A233" w14:textId="77777777" w:rsidR="00436F39" w:rsidRDefault="00436F39" w:rsidP="006D6D32">
      <w:pPr>
        <w:pStyle w:val="a3"/>
        <w:rPr>
          <w:rtl/>
        </w:rPr>
      </w:pPr>
      <w:bookmarkStart w:id="15087" w:name="_Toc533544468"/>
      <w:bookmarkStart w:id="15088" w:name="_Toc533544665"/>
      <w:bookmarkStart w:id="15089" w:name="_Toc19390990"/>
      <w:bookmarkStart w:id="15090" w:name="_Toc19394487"/>
      <w:r>
        <w:rPr>
          <w:rFonts w:hint="cs"/>
          <w:rtl/>
        </w:rPr>
        <w:t>דברי הפרמ"ג דאף דנפקא חיותא בהגרמה אינה נעשית נבילה בכך</w:t>
      </w:r>
      <w:bookmarkEnd w:id="15087"/>
      <w:bookmarkEnd w:id="15088"/>
      <w:bookmarkEnd w:id="15089"/>
      <w:bookmarkEnd w:id="15090"/>
    </w:p>
    <w:p w14:paraId="501B6301" w14:textId="77777777" w:rsidR="00436F39" w:rsidRPr="000C2B69" w:rsidRDefault="00436F39" w:rsidP="00223668">
      <w:pPr>
        <w:pStyle w:val="a0"/>
        <w:rPr>
          <w:rtl/>
        </w:rPr>
      </w:pPr>
      <w:r w:rsidRPr="00FD758B">
        <w:rPr>
          <w:rStyle w:val="af9"/>
          <w:rFonts w:hint="cs"/>
          <w:rtl/>
        </w:rPr>
        <w:t xml:space="preserve">והפרמ"ג </w:t>
      </w:r>
      <w:r w:rsidRPr="00C31AB5">
        <w:rPr>
          <w:rStyle w:val="af7"/>
          <w:rFonts w:eastAsia="Guttman Hodes" w:hint="cs"/>
          <w:rtl/>
        </w:rPr>
        <w:t>(סי כ' שפתי דעת סק"ה)</w:t>
      </w:r>
      <w:r>
        <w:rPr>
          <w:rFonts w:hint="cs"/>
          <w:rtl/>
        </w:rPr>
        <w:t xml:space="preserve"> דחה את דברי </w:t>
      </w:r>
      <w:r w:rsidRPr="00FD758B">
        <w:rPr>
          <w:rStyle w:val="af9"/>
          <w:rFonts w:hint="cs"/>
          <w:rtl/>
        </w:rPr>
        <w:t>ה</w:t>
      </w:r>
      <w:r w:rsidR="00345400">
        <w:rPr>
          <w:rStyle w:val="af9"/>
          <w:rFonts w:hint="cs"/>
          <w:rtl/>
        </w:rPr>
        <w:t>פלתי</w:t>
      </w:r>
      <w:r>
        <w:rPr>
          <w:rFonts w:hint="cs"/>
          <w:rtl/>
        </w:rPr>
        <w:t xml:space="preserve"> דהא דאינה נעשית נבילה אינו שייך כלל להא דנפקא חיותא, דאף בהגרים ושחט והגרים יוצאת החיות לאח"ז, ואפ"ה מהני השחיטה לטהרה מידי נבילה, אף אם אין השחיטה כשרה דדין נבילה הוא גזיה"כ.</w:t>
      </w:r>
    </w:p>
    <w:p w14:paraId="45B20D75" w14:textId="77777777" w:rsidR="00436F39" w:rsidRPr="00765858" w:rsidRDefault="00436F39" w:rsidP="00BF39B2">
      <w:pPr>
        <w:pStyle w:val="1"/>
        <w:rPr>
          <w:rtl/>
        </w:rPr>
      </w:pPr>
      <w:bookmarkStart w:id="15091" w:name="_Toc533544469"/>
      <w:bookmarkStart w:id="15092" w:name="_Toc533544666"/>
      <w:bookmarkStart w:id="15093" w:name="_Toc19390991"/>
      <w:bookmarkStart w:id="15094" w:name="_Toc19394488"/>
      <w:r>
        <w:rPr>
          <w:rFonts w:hint="cs"/>
          <w:rtl/>
        </w:rPr>
        <w:t>ביאור האו"ש בדברי רב יהודה לדעת הכס"מ והפר"ח</w:t>
      </w:r>
      <w:bookmarkEnd w:id="15091"/>
      <w:bookmarkEnd w:id="15092"/>
      <w:bookmarkEnd w:id="15093"/>
      <w:bookmarkEnd w:id="15094"/>
    </w:p>
    <w:p w14:paraId="5ABB1127" w14:textId="77777777" w:rsidR="00436F39" w:rsidRDefault="00436F39" w:rsidP="006D6D32">
      <w:pPr>
        <w:pStyle w:val="a3"/>
        <w:rPr>
          <w:rtl/>
        </w:rPr>
      </w:pPr>
      <w:bookmarkStart w:id="15095" w:name="_Toc533544470"/>
      <w:bookmarkStart w:id="15096" w:name="_Toc533544667"/>
      <w:bookmarkStart w:id="15097" w:name="_Toc19390992"/>
      <w:bookmarkStart w:id="15098" w:name="_Toc19394489"/>
      <w:r>
        <w:rPr>
          <w:rFonts w:hint="cs"/>
          <w:rtl/>
        </w:rPr>
        <w:t>קושית האו"ש דאחר שנפסק רוב הקנה הוי נבילה מחיים והאיך מהני המיעו"ב להכשירה</w:t>
      </w:r>
      <w:bookmarkEnd w:id="15095"/>
      <w:bookmarkEnd w:id="15096"/>
      <w:bookmarkEnd w:id="15097"/>
      <w:bookmarkEnd w:id="15098"/>
    </w:p>
    <w:p w14:paraId="558DE23A" w14:textId="77777777" w:rsidR="00436F39" w:rsidRDefault="00436F39" w:rsidP="00223668">
      <w:pPr>
        <w:pStyle w:val="a0"/>
        <w:rPr>
          <w:rtl/>
        </w:rPr>
      </w:pPr>
      <w:r>
        <w:rPr>
          <w:rFonts w:hint="cs"/>
          <w:rtl/>
        </w:rPr>
        <w:t xml:space="preserve">והקשה </w:t>
      </w:r>
      <w:r w:rsidRPr="00FB561C">
        <w:rPr>
          <w:rStyle w:val="af9"/>
          <w:rFonts w:hint="cs"/>
          <w:rtl/>
        </w:rPr>
        <w:t xml:space="preserve">האו"ש </w:t>
      </w:r>
      <w:r w:rsidRPr="00FB561C">
        <w:rPr>
          <w:rStyle w:val="af7"/>
          <w:rFonts w:eastAsia="Guttman Hodes" w:hint="cs"/>
          <w:rtl/>
        </w:rPr>
        <w:t>(שחיטה פ"ג הי"ג)</w:t>
      </w:r>
      <w:r>
        <w:rPr>
          <w:rFonts w:hint="cs"/>
          <w:rtl/>
        </w:rPr>
        <w:t xml:space="preserve"> על </w:t>
      </w:r>
      <w:r w:rsidRPr="00914E77">
        <w:rPr>
          <w:rStyle w:val="af9"/>
          <w:rFonts w:hint="cs"/>
          <w:rtl/>
        </w:rPr>
        <w:t>הכס"מ והפר"ח</w:t>
      </w:r>
      <w:r>
        <w:rPr>
          <w:rFonts w:hint="cs"/>
          <w:rtl/>
        </w:rPr>
        <w:t xml:space="preserve"> </w:t>
      </w:r>
      <w:r w:rsidRPr="00914E77">
        <w:rPr>
          <w:rStyle w:val="af7"/>
          <w:rFonts w:eastAsia="Guttman Hodes" w:hint="cs"/>
          <w:rtl/>
        </w:rPr>
        <w:t xml:space="preserve">(עי' אות </w:t>
      </w:r>
      <w:r w:rsidRPr="00914E77">
        <w:rPr>
          <w:rStyle w:val="af7"/>
          <w:rFonts w:eastAsia="Guttman Hodes"/>
          <w:rtl/>
        </w:rPr>
        <w:fldChar w:fldCharType="begin"/>
      </w:r>
      <w:r w:rsidRPr="00914E77">
        <w:rPr>
          <w:rStyle w:val="af7"/>
          <w:rFonts w:eastAsia="Guttman Hodes"/>
          <w:rtl/>
        </w:rPr>
        <w:instrText xml:space="preserve"> </w:instrText>
      </w:r>
      <w:r w:rsidRPr="00914E77">
        <w:rPr>
          <w:rStyle w:val="af7"/>
          <w:rFonts w:eastAsia="Guttman Hodes" w:hint="cs"/>
        </w:rPr>
        <w:instrText>REF</w:instrText>
      </w:r>
      <w:r w:rsidRPr="00914E77">
        <w:rPr>
          <w:rStyle w:val="af7"/>
          <w:rFonts w:eastAsia="Guttman Hodes" w:hint="cs"/>
          <w:rtl/>
        </w:rPr>
        <w:instrText xml:space="preserve"> _</w:instrText>
      </w:r>
      <w:r w:rsidRPr="00914E77">
        <w:rPr>
          <w:rStyle w:val="af7"/>
          <w:rFonts w:eastAsia="Guttman Hodes" w:hint="cs"/>
        </w:rPr>
        <w:instrText>Ref533540348 \r \h</w:instrText>
      </w:r>
      <w:r w:rsidRPr="00914E77">
        <w:rPr>
          <w:rStyle w:val="af7"/>
          <w:rFonts w:eastAsia="Guttman Hodes"/>
          <w:rtl/>
        </w:rPr>
        <w:instrText xml:space="preserve"> </w:instrText>
      </w:r>
      <w:r w:rsidRPr="00914E77">
        <w:rPr>
          <w:rStyle w:val="af7"/>
          <w:rFonts w:eastAsia="Guttman Hodes"/>
          <w:rtl/>
        </w:rPr>
      </w:r>
      <w:r w:rsidRPr="00914E77">
        <w:rPr>
          <w:rStyle w:val="af7"/>
          <w:rFonts w:eastAsia="Guttman Hodes"/>
          <w:rtl/>
        </w:rPr>
        <w:fldChar w:fldCharType="separate"/>
      </w:r>
      <w:r w:rsidR="00345400">
        <w:rPr>
          <w:rStyle w:val="af7"/>
          <w:rFonts w:eastAsia="Guttman Hodes"/>
          <w:cs/>
        </w:rPr>
        <w:t>‎</w:t>
      </w:r>
      <w:r w:rsidR="00345400">
        <w:rPr>
          <w:rStyle w:val="af7"/>
          <w:rFonts w:eastAsia="Guttman Hodes"/>
          <w:rtl/>
        </w:rPr>
        <w:t>קיח)</w:t>
      </w:r>
      <w:r w:rsidRPr="00914E77">
        <w:rPr>
          <w:rStyle w:val="af7"/>
          <w:rFonts w:eastAsia="Guttman Hodes"/>
          <w:rtl/>
        </w:rPr>
        <w:fldChar w:fldCharType="end"/>
      </w:r>
      <w:r>
        <w:rPr>
          <w:rFonts w:hint="cs"/>
          <w:rtl/>
        </w:rPr>
        <w:t xml:space="preserve"> דביארו בדעת הרמב"ם דפסוקת הגרוגרת שלא במקום שחיטה הוי נבילה, דא"כ היאך פסק </w:t>
      </w:r>
      <w:r w:rsidRPr="00914E77">
        <w:rPr>
          <w:rStyle w:val="af9"/>
          <w:rFonts w:hint="cs"/>
          <w:rtl/>
        </w:rPr>
        <w:t>הרמב"ם</w:t>
      </w:r>
      <w:r>
        <w:rPr>
          <w:rFonts w:hint="cs"/>
          <w:rtl/>
        </w:rPr>
        <w:t xml:space="preserve"> </w:t>
      </w:r>
      <w:r w:rsidRPr="00914E77">
        <w:rPr>
          <w:rStyle w:val="af7"/>
          <w:rFonts w:eastAsia="Guttman Hodes" w:hint="cs"/>
          <w:rtl/>
        </w:rPr>
        <w:t xml:space="preserve">(עי' אות </w:t>
      </w:r>
      <w:r w:rsidRPr="00914E77">
        <w:rPr>
          <w:rStyle w:val="af7"/>
          <w:rFonts w:eastAsia="Guttman Hodes"/>
          <w:rtl/>
        </w:rPr>
        <w:fldChar w:fldCharType="begin"/>
      </w:r>
      <w:r w:rsidRPr="00914E77">
        <w:rPr>
          <w:rStyle w:val="af7"/>
          <w:rFonts w:eastAsia="Guttman Hodes"/>
          <w:rtl/>
        </w:rPr>
        <w:instrText xml:space="preserve"> </w:instrText>
      </w:r>
      <w:r w:rsidRPr="00914E77">
        <w:rPr>
          <w:rStyle w:val="af7"/>
          <w:rFonts w:eastAsia="Guttman Hodes" w:hint="cs"/>
        </w:rPr>
        <w:instrText>REF</w:instrText>
      </w:r>
      <w:r w:rsidRPr="00914E77">
        <w:rPr>
          <w:rStyle w:val="af7"/>
          <w:rFonts w:eastAsia="Guttman Hodes" w:hint="cs"/>
          <w:rtl/>
        </w:rPr>
        <w:instrText xml:space="preserve"> _</w:instrText>
      </w:r>
      <w:r w:rsidRPr="00914E77">
        <w:rPr>
          <w:rStyle w:val="af7"/>
          <w:rFonts w:eastAsia="Guttman Hodes" w:hint="cs"/>
        </w:rPr>
        <w:instrText>Ref533417912 \r \h</w:instrText>
      </w:r>
      <w:r w:rsidRPr="00914E77">
        <w:rPr>
          <w:rStyle w:val="af7"/>
          <w:rFonts w:eastAsia="Guttman Hodes"/>
          <w:rtl/>
        </w:rPr>
        <w:instrText xml:space="preserve"> </w:instrText>
      </w:r>
      <w:r w:rsidRPr="00914E77">
        <w:rPr>
          <w:rStyle w:val="af7"/>
          <w:rFonts w:eastAsia="Guttman Hodes"/>
          <w:rtl/>
        </w:rPr>
      </w:r>
      <w:r w:rsidRPr="00914E77">
        <w:rPr>
          <w:rStyle w:val="af7"/>
          <w:rFonts w:eastAsia="Guttman Hodes"/>
          <w:rtl/>
        </w:rPr>
        <w:fldChar w:fldCharType="separate"/>
      </w:r>
      <w:r w:rsidR="00345400">
        <w:rPr>
          <w:rStyle w:val="af7"/>
          <w:rFonts w:eastAsia="Guttman Hodes"/>
          <w:cs/>
        </w:rPr>
        <w:t>‎</w:t>
      </w:r>
      <w:r w:rsidR="00345400">
        <w:rPr>
          <w:rStyle w:val="af7"/>
          <w:rFonts w:eastAsia="Guttman Hodes"/>
          <w:rtl/>
        </w:rPr>
        <w:t>קי)</w:t>
      </w:r>
      <w:r w:rsidRPr="00914E77">
        <w:rPr>
          <w:rStyle w:val="af7"/>
          <w:rFonts w:eastAsia="Guttman Hodes"/>
          <w:rtl/>
        </w:rPr>
        <w:fldChar w:fldCharType="end"/>
      </w:r>
      <w:r>
        <w:rPr>
          <w:rFonts w:hint="cs"/>
          <w:rtl/>
        </w:rPr>
        <w:t xml:space="preserve"> כרב יהודה, הא אם הגרים שליש ושחט שליש ולא שחט את השליש האחרון, מודה רב יהודה דהיא נבילה, וכיון שנפסק רוב הקנה, חשיבא כנבילה מחיים, וא"כ אמאי פסק הרמב"ם דבהגרים ושחט והגרים כשר, דהאיך אפשר להכשירה ע"י שחיטת השליש האחרון, אחר שנעשית נבילה.</w:t>
      </w:r>
    </w:p>
    <w:p w14:paraId="3F2CBBD6" w14:textId="77777777" w:rsidR="00436F39" w:rsidRDefault="00436F39" w:rsidP="006D6D32">
      <w:pPr>
        <w:pStyle w:val="a3"/>
        <w:rPr>
          <w:rtl/>
        </w:rPr>
      </w:pPr>
      <w:bookmarkStart w:id="15099" w:name="_Toc533544471"/>
      <w:bookmarkStart w:id="15100" w:name="_Toc533544668"/>
      <w:bookmarkStart w:id="15101" w:name="_Toc19390993"/>
      <w:bookmarkStart w:id="15102" w:name="_Toc19394490"/>
      <w:r>
        <w:rPr>
          <w:rFonts w:hint="cs"/>
          <w:rtl/>
        </w:rPr>
        <w:t>דברי האו"ש דהגרמה שאינה בדרך שחיטה לא דמי לנקובת הושט בשחיטה דמותרת</w:t>
      </w:r>
      <w:bookmarkEnd w:id="15099"/>
      <w:bookmarkEnd w:id="15100"/>
      <w:bookmarkEnd w:id="15101"/>
      <w:bookmarkEnd w:id="15102"/>
    </w:p>
    <w:p w14:paraId="322EE8BE" w14:textId="77777777" w:rsidR="00436F39" w:rsidRDefault="00436F39" w:rsidP="00223668">
      <w:pPr>
        <w:pStyle w:val="a0"/>
        <w:rPr>
          <w:rtl/>
        </w:rPr>
      </w:pPr>
      <w:r>
        <w:rPr>
          <w:rFonts w:hint="cs"/>
          <w:rtl/>
        </w:rPr>
        <w:t xml:space="preserve">וכתב </w:t>
      </w:r>
      <w:r w:rsidRPr="00FB561C">
        <w:rPr>
          <w:rStyle w:val="af9"/>
          <w:rFonts w:hint="cs"/>
          <w:rtl/>
        </w:rPr>
        <w:t>האו"ש</w:t>
      </w:r>
      <w:r>
        <w:rPr>
          <w:rFonts w:hint="cs"/>
          <w:rtl/>
        </w:rPr>
        <w:t xml:space="preserve"> דא"א לומר דכן מצינו בנקובת הושט, דחשיבא נבילה מחיים ואפ"ה כששוחט את רוב הושט השחיטה כשרה, וכן כששוחט בבהמה את הקנה ואח"כ את הושט, דאף שכבר נפסק הקנה מ"מ השחיטה כשרה. וביאר </w:t>
      </w:r>
      <w:r w:rsidRPr="00516B33">
        <w:rPr>
          <w:rStyle w:val="af9"/>
          <w:rFonts w:hint="cs"/>
          <w:rtl/>
        </w:rPr>
        <w:t>האו"ש</w:t>
      </w:r>
      <w:r>
        <w:rPr>
          <w:rFonts w:hint="cs"/>
          <w:rtl/>
        </w:rPr>
        <w:t xml:space="preserve"> דלא דמי להגרמה, כיון דבנקובת הושט ובשחיטת קנה לפני הושט, הוי דרך שחיטה, ולכן אף שחשיבא נבילה מחיים אפשר להכשירה כשעושה כן בדרך שחיטה, אבל הכא כשהגרים בשליש השני שלא בדרך שחיטה, ואינו במקום שחיטה, כדמוכח מהא דבשחט שליש והגרים שליש פסולה, וא"כ כשנפסק רוב הקנה ע"י השליש האמצעי נעשית נבילה מחיים שלא בדרך שחיטה, והיאך אפשר להכשירה ע"י השליש האחרון.</w:t>
      </w:r>
    </w:p>
    <w:p w14:paraId="4CA39F5C" w14:textId="77777777" w:rsidR="00436F39" w:rsidRDefault="00436F39" w:rsidP="006D6D32">
      <w:pPr>
        <w:pStyle w:val="a3"/>
        <w:rPr>
          <w:rtl/>
        </w:rPr>
      </w:pPr>
      <w:bookmarkStart w:id="15103" w:name="_Toc533544472"/>
      <w:bookmarkStart w:id="15104" w:name="_Toc533544669"/>
      <w:bookmarkStart w:id="15105" w:name="_Toc19390994"/>
      <w:bookmarkStart w:id="15106" w:name="_Toc19394491"/>
      <w:r>
        <w:rPr>
          <w:rFonts w:hint="cs"/>
          <w:rtl/>
        </w:rPr>
        <w:t>תירוץ האו"ש דכיון דפסיקת הרוב היא גם ע"י שחיטת השליש הראשון הוי דרך שחיטה</w:t>
      </w:r>
      <w:bookmarkEnd w:id="15103"/>
      <w:bookmarkEnd w:id="15104"/>
      <w:bookmarkEnd w:id="15105"/>
      <w:bookmarkEnd w:id="15106"/>
    </w:p>
    <w:p w14:paraId="3C255A33" w14:textId="77777777" w:rsidR="00436F39" w:rsidRDefault="00436F39" w:rsidP="00223668">
      <w:pPr>
        <w:pStyle w:val="a0"/>
        <w:rPr>
          <w:rtl/>
        </w:rPr>
      </w:pPr>
      <w:r>
        <w:rPr>
          <w:rFonts w:hint="cs"/>
          <w:rtl/>
        </w:rPr>
        <w:t xml:space="preserve">ותירץ </w:t>
      </w:r>
      <w:r w:rsidRPr="00FB561C">
        <w:rPr>
          <w:rStyle w:val="af9"/>
          <w:rFonts w:hint="cs"/>
          <w:rtl/>
        </w:rPr>
        <w:t>האו"ש</w:t>
      </w:r>
      <w:r>
        <w:rPr>
          <w:rFonts w:hint="cs"/>
          <w:rtl/>
        </w:rPr>
        <w:t xml:space="preserve"> דכיון דהא דנפסק רוב הקנה הוא גם ע"י שחיטת השליש הראשון, לכן לא חשיב דנפסק הקנה ונעשית נבילה רק ע"י הגרמת השליש האמצעי, אלא בצירוף שחיטת השליש הראשון, </w:t>
      </w:r>
      <w:r w:rsidRPr="00DB4124">
        <w:rPr>
          <w:rStyle w:val="afb"/>
          <w:rFonts w:hint="cs"/>
          <w:rtl/>
        </w:rPr>
        <w:t>[ומהני השליש הראשון לטהרה מידי נבילה],</w:t>
      </w:r>
      <w:r>
        <w:rPr>
          <w:rFonts w:hint="cs"/>
          <w:rtl/>
        </w:rPr>
        <w:t xml:space="preserve"> דאם היה מגרים רק את השליש השני הייתה הבהמה כשרה לגמרי, ולכן יכול השליש האחרון להצטרף לשליש הראשון ולהכשיר את הבהמה, </w:t>
      </w:r>
      <w:r w:rsidRPr="0033077D">
        <w:rPr>
          <w:rStyle w:val="afb"/>
          <w:rFonts w:hint="cs"/>
          <w:rtl/>
        </w:rPr>
        <w:t>[דנעשית נבילה בדרך שחיטה כנקובת הושט]</w:t>
      </w:r>
      <w:r>
        <w:rPr>
          <w:rFonts w:hint="cs"/>
          <w:rtl/>
        </w:rPr>
        <w:t>.</w:t>
      </w:r>
    </w:p>
    <w:p w14:paraId="00021ED6" w14:textId="77777777" w:rsidR="00436F39" w:rsidRDefault="00436F39" w:rsidP="006D6D32">
      <w:pPr>
        <w:pStyle w:val="a3"/>
        <w:rPr>
          <w:rtl/>
        </w:rPr>
      </w:pPr>
      <w:bookmarkStart w:id="15107" w:name="_Toc533544473"/>
      <w:bookmarkStart w:id="15108" w:name="_Toc533544670"/>
      <w:bookmarkStart w:id="15109" w:name="_Toc19390995"/>
      <w:bookmarkStart w:id="15110" w:name="_Toc19394492"/>
      <w:r>
        <w:rPr>
          <w:rFonts w:hint="cs"/>
          <w:rtl/>
        </w:rPr>
        <w:t>דברי האו"ש דלה</w:t>
      </w:r>
      <w:r w:rsidR="00345400">
        <w:rPr>
          <w:rFonts w:hint="cs"/>
          <w:rtl/>
        </w:rPr>
        <w:t>פלתי</w:t>
      </w:r>
      <w:r>
        <w:rPr>
          <w:rFonts w:hint="cs"/>
          <w:rtl/>
        </w:rPr>
        <w:t xml:space="preserve"> שאינה נעשית נבילה במקום הגרמה מבואר היאך השליש האחרון מכשיר</w:t>
      </w:r>
      <w:bookmarkEnd w:id="15107"/>
      <w:bookmarkEnd w:id="15108"/>
      <w:bookmarkEnd w:id="15109"/>
      <w:bookmarkEnd w:id="15110"/>
      <w:r>
        <w:rPr>
          <w:rFonts w:hint="cs"/>
          <w:rtl/>
        </w:rPr>
        <w:t xml:space="preserve"> </w:t>
      </w:r>
    </w:p>
    <w:p w14:paraId="6C65B615" w14:textId="77777777" w:rsidR="00436F39" w:rsidRPr="004B1784" w:rsidRDefault="00436F39" w:rsidP="00223668">
      <w:pPr>
        <w:pStyle w:val="a0"/>
        <w:rPr>
          <w:rtl/>
        </w:rPr>
      </w:pPr>
      <w:r>
        <w:rPr>
          <w:rFonts w:hint="cs"/>
          <w:rtl/>
        </w:rPr>
        <w:t xml:space="preserve">וכתב </w:t>
      </w:r>
      <w:r w:rsidRPr="0033077D">
        <w:rPr>
          <w:rStyle w:val="af9"/>
          <w:rFonts w:hint="cs"/>
          <w:rtl/>
        </w:rPr>
        <w:t xml:space="preserve">האו"ש </w:t>
      </w:r>
      <w:r>
        <w:rPr>
          <w:rFonts w:hint="cs"/>
          <w:rtl/>
        </w:rPr>
        <w:t xml:space="preserve">דלדעת </w:t>
      </w:r>
      <w:r w:rsidRPr="0033077D">
        <w:rPr>
          <w:rStyle w:val="af9"/>
          <w:rFonts w:hint="cs"/>
          <w:rtl/>
        </w:rPr>
        <w:t>ה</w:t>
      </w:r>
      <w:r w:rsidR="00345400">
        <w:rPr>
          <w:rStyle w:val="af9"/>
          <w:rFonts w:hint="cs"/>
          <w:rtl/>
        </w:rPr>
        <w:t>פלתי</w:t>
      </w:r>
      <w:r>
        <w:rPr>
          <w:rFonts w:hint="cs"/>
          <w:rtl/>
        </w:rPr>
        <w:t xml:space="preserve"> </w:t>
      </w:r>
      <w:r w:rsidRPr="0033077D">
        <w:rPr>
          <w:rStyle w:val="af7"/>
          <w:rFonts w:eastAsia="Guttman Hodes" w:hint="cs"/>
          <w:rtl/>
        </w:rPr>
        <w:t xml:space="preserve">(עי' אות </w:t>
      </w:r>
      <w:r w:rsidRPr="0033077D">
        <w:rPr>
          <w:rStyle w:val="af7"/>
          <w:rFonts w:eastAsia="Guttman Hodes"/>
          <w:rtl/>
        </w:rPr>
        <w:fldChar w:fldCharType="begin"/>
      </w:r>
      <w:r w:rsidRPr="0033077D">
        <w:rPr>
          <w:rStyle w:val="af7"/>
          <w:rFonts w:eastAsia="Guttman Hodes"/>
          <w:rtl/>
        </w:rPr>
        <w:instrText xml:space="preserve"> </w:instrText>
      </w:r>
      <w:r w:rsidRPr="0033077D">
        <w:rPr>
          <w:rStyle w:val="af7"/>
          <w:rFonts w:eastAsia="Guttman Hodes" w:hint="cs"/>
        </w:rPr>
        <w:instrText>REF</w:instrText>
      </w:r>
      <w:r w:rsidRPr="0033077D">
        <w:rPr>
          <w:rStyle w:val="af7"/>
          <w:rFonts w:eastAsia="Guttman Hodes" w:hint="cs"/>
          <w:rtl/>
        </w:rPr>
        <w:instrText xml:space="preserve"> _</w:instrText>
      </w:r>
      <w:r w:rsidRPr="0033077D">
        <w:rPr>
          <w:rStyle w:val="af7"/>
          <w:rFonts w:eastAsia="Guttman Hodes" w:hint="cs"/>
        </w:rPr>
        <w:instrText>Ref533529199 \r \h</w:instrText>
      </w:r>
      <w:r w:rsidRPr="0033077D">
        <w:rPr>
          <w:rStyle w:val="af7"/>
          <w:rFonts w:eastAsia="Guttman Hodes"/>
          <w:rtl/>
        </w:rPr>
        <w:instrText xml:space="preserve"> </w:instrText>
      </w:r>
      <w:r w:rsidRPr="0033077D">
        <w:rPr>
          <w:rStyle w:val="af7"/>
          <w:rFonts w:eastAsia="Guttman Hodes"/>
          <w:rtl/>
        </w:rPr>
      </w:r>
      <w:r w:rsidRPr="0033077D">
        <w:rPr>
          <w:rStyle w:val="af7"/>
          <w:rFonts w:eastAsia="Guttman Hodes"/>
          <w:rtl/>
        </w:rPr>
        <w:fldChar w:fldCharType="separate"/>
      </w:r>
      <w:r w:rsidR="00345400">
        <w:rPr>
          <w:rStyle w:val="af7"/>
          <w:rFonts w:eastAsia="Guttman Hodes"/>
          <w:cs/>
        </w:rPr>
        <w:t>‎</w:t>
      </w:r>
      <w:r w:rsidR="00345400">
        <w:rPr>
          <w:rStyle w:val="af7"/>
          <w:rFonts w:eastAsia="Guttman Hodes"/>
          <w:rtl/>
        </w:rPr>
        <w:t>קכ)</w:t>
      </w:r>
      <w:r w:rsidRPr="0033077D">
        <w:rPr>
          <w:rStyle w:val="af7"/>
          <w:rFonts w:eastAsia="Guttman Hodes"/>
          <w:rtl/>
        </w:rPr>
        <w:fldChar w:fldCharType="end"/>
      </w:r>
      <w:r>
        <w:rPr>
          <w:rFonts w:hint="cs"/>
          <w:rtl/>
        </w:rPr>
        <w:t xml:space="preserve"> דפסוקת הגרוגרת שלא במקום שחיטה אינה נעשית נבילה, א"כ מבוארים שפיר דברי רב יהודה דאף שנפסקה רוב הגרוגרת מהני השליש האחרון להכשיר.</w:t>
      </w:r>
    </w:p>
    <w:p w14:paraId="15072245" w14:textId="77777777" w:rsidR="00436F39" w:rsidRPr="00467E1A" w:rsidRDefault="00436F39" w:rsidP="006D6D32">
      <w:pPr>
        <w:pStyle w:val="a3"/>
        <w:rPr>
          <w:rtl/>
        </w:rPr>
        <w:sectPr w:rsidR="00436F39" w:rsidRPr="00467E1A" w:rsidSect="00D5430D">
          <w:type w:val="continuous"/>
          <w:pgSz w:w="11906" w:h="16838"/>
          <w:pgMar w:top="720" w:right="720" w:bottom="720" w:left="720" w:header="283" w:footer="283" w:gutter="0"/>
          <w:pgNumType w:fmt="hebrew1"/>
          <w:cols w:num="2" w:space="567"/>
          <w:titlePg/>
          <w:bidi/>
          <w:rtlGutter/>
          <w:docGrid w:linePitch="299"/>
        </w:sectPr>
      </w:pPr>
    </w:p>
    <w:p w14:paraId="4DBA5BDA" w14:textId="77777777" w:rsidR="00436F39" w:rsidRDefault="00436F39" w:rsidP="00436F39">
      <w:pPr>
        <w:tabs>
          <w:tab w:val="left" w:pos="1163"/>
        </w:tabs>
        <w:spacing w:after="120" w:line="240" w:lineRule="auto"/>
        <w:ind w:left="0"/>
        <w:rPr>
          <w:rFonts w:ascii="Guttman Hodes" w:eastAsia="Guttman Hodes" w:hAnsi="Guttman Hodes" w:cs="Guttman Hodes"/>
          <w:noProof/>
          <w:sz w:val="18"/>
          <w:szCs w:val="18"/>
        </w:rPr>
        <w:sectPr w:rsidR="00436F39" w:rsidSect="00436F39">
          <w:type w:val="continuous"/>
          <w:pgSz w:w="11906" w:h="16838"/>
          <w:pgMar w:top="720" w:right="720" w:bottom="720" w:left="720" w:header="283" w:footer="283" w:gutter="0"/>
          <w:cols w:space="567"/>
          <w:titlePg/>
          <w:bidi/>
          <w:rtlGutter/>
          <w:docGrid w:linePitch="299"/>
        </w:sectPr>
      </w:pPr>
    </w:p>
    <w:p w14:paraId="0162892D" w14:textId="77777777" w:rsidR="00436F39" w:rsidRPr="0061208F" w:rsidRDefault="004B65FC" w:rsidP="00436F39">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7016E9F7">
          <v:shape id="_x0000_i1042" type="#_x0000_t75" style="width:404.55pt;height:6.8pt" o:hrpct="0" o:hralign="center" o:hr="t">
            <v:imagedata r:id="rId21" o:title="BD14845_"/>
          </v:shape>
        </w:pict>
      </w:r>
      <w:r w:rsidR="00436F39" w:rsidRPr="0061208F">
        <w:rPr>
          <w:rFonts w:ascii="Guttman Hodes" w:eastAsia="Guttman Hodes" w:hAnsi="Guttman Hodes" w:cs="Guttman Hodes" w:hint="cs"/>
          <w:noProof/>
          <w:sz w:val="18"/>
          <w:szCs w:val="18"/>
          <w:rtl/>
        </w:rPr>
        <w:t xml:space="preserve"> </w:t>
      </w:r>
    </w:p>
    <w:p w14:paraId="3C3521B2" w14:textId="77777777" w:rsidR="00436F39" w:rsidRPr="004B27F1" w:rsidRDefault="00436F39" w:rsidP="006D6D32">
      <w:pPr>
        <w:pStyle w:val="afe"/>
        <w:rPr>
          <w:rtl/>
        </w:rPr>
      </w:pPr>
      <w:bookmarkStart w:id="15111" w:name="_Toc533490204"/>
      <w:bookmarkStart w:id="15112" w:name="_Toc533506182"/>
      <w:bookmarkStart w:id="15113" w:name="_Toc533544474"/>
      <w:bookmarkStart w:id="15114" w:name="_Toc533544671"/>
      <w:bookmarkStart w:id="15115" w:name="_Toc19435932"/>
      <w:bookmarkStart w:id="15116" w:name="_Toc20081159"/>
      <w:r>
        <w:rPr>
          <w:rFonts w:hint="cs"/>
          <w:rtl/>
        </w:rPr>
        <w:t>ביאורי ראשי הישיבות על הרמב"ם</w:t>
      </w:r>
      <w:bookmarkEnd w:id="15111"/>
      <w:bookmarkEnd w:id="15112"/>
      <w:bookmarkEnd w:id="15113"/>
      <w:bookmarkEnd w:id="15114"/>
      <w:bookmarkEnd w:id="15115"/>
      <w:bookmarkEnd w:id="15116"/>
    </w:p>
    <w:p w14:paraId="5D5A72CB" w14:textId="77777777" w:rsidR="00436F39" w:rsidRDefault="00436F39" w:rsidP="006D6D32">
      <w:pPr>
        <w:pStyle w:val="a3"/>
        <w:rPr>
          <w:rtl/>
        </w:rPr>
        <w:sectPr w:rsidR="00436F39" w:rsidSect="00E53A7C">
          <w:pgSz w:w="11906" w:h="16838"/>
          <w:pgMar w:top="720" w:right="720" w:bottom="720" w:left="720" w:header="283" w:footer="283" w:gutter="0"/>
          <w:cols w:space="567"/>
          <w:bidi/>
          <w:rtlGutter/>
          <w:docGrid w:linePitch="299"/>
        </w:sectPr>
      </w:pPr>
    </w:p>
    <w:p w14:paraId="71F2C5D6" w14:textId="77777777" w:rsidR="00436F39" w:rsidRDefault="00436F39" w:rsidP="006D6D32">
      <w:pPr>
        <w:pStyle w:val="afe"/>
        <w:rPr>
          <w:rtl/>
        </w:rPr>
      </w:pPr>
      <w:bookmarkStart w:id="15117" w:name="_Toc533544475"/>
      <w:bookmarkStart w:id="15118" w:name="_Toc533544672"/>
      <w:bookmarkStart w:id="15119" w:name="_Toc19435933"/>
      <w:bookmarkStart w:id="15120" w:name="_Toc20081160"/>
      <w:r w:rsidRPr="00DC1571">
        <w:rPr>
          <w:rFonts w:hint="cs"/>
          <w:rtl/>
        </w:rPr>
        <w:t xml:space="preserve">ביציאת החיות </w:t>
      </w:r>
      <w:r>
        <w:rPr>
          <w:rFonts w:hint="cs"/>
          <w:rtl/>
        </w:rPr>
        <w:t>לדעת</w:t>
      </w:r>
      <w:r w:rsidRPr="00DC1571">
        <w:rPr>
          <w:rFonts w:hint="cs"/>
          <w:rtl/>
        </w:rPr>
        <w:t xml:space="preserve"> הפר"ח וה</w:t>
      </w:r>
      <w:r w:rsidR="00345400">
        <w:rPr>
          <w:rFonts w:hint="cs"/>
          <w:rtl/>
        </w:rPr>
        <w:t>פלתי</w:t>
      </w:r>
      <w:bookmarkEnd w:id="15117"/>
      <w:bookmarkEnd w:id="15118"/>
      <w:bookmarkEnd w:id="15119"/>
      <w:bookmarkEnd w:id="15120"/>
      <w:r w:rsidRPr="00DC1571">
        <w:rPr>
          <w:rFonts w:hint="cs"/>
          <w:rtl/>
        </w:rPr>
        <w:t xml:space="preserve"> </w:t>
      </w:r>
    </w:p>
    <w:p w14:paraId="099C98C2" w14:textId="77777777" w:rsidR="00436F39" w:rsidRDefault="00436F39" w:rsidP="00BF39B2">
      <w:pPr>
        <w:pStyle w:val="1"/>
        <w:rPr>
          <w:rtl/>
        </w:rPr>
      </w:pPr>
      <w:bookmarkStart w:id="15121" w:name="_Toc533544476"/>
      <w:bookmarkStart w:id="15122" w:name="_Toc533544673"/>
      <w:bookmarkStart w:id="15123" w:name="_Toc19390996"/>
      <w:bookmarkStart w:id="15124" w:name="_Toc19394493"/>
      <w:r>
        <w:rPr>
          <w:rFonts w:hint="cs"/>
          <w:rtl/>
        </w:rPr>
        <w:t>דברי האמרי משה בפלוגתת ה</w:t>
      </w:r>
      <w:r w:rsidR="00345400">
        <w:rPr>
          <w:rFonts w:hint="cs"/>
          <w:rtl/>
        </w:rPr>
        <w:t>פלתי</w:t>
      </w:r>
      <w:r>
        <w:rPr>
          <w:rFonts w:hint="cs"/>
          <w:rtl/>
        </w:rPr>
        <w:t xml:space="preserve"> והפר"ח ביציאת החיות</w:t>
      </w:r>
      <w:bookmarkEnd w:id="15121"/>
      <w:bookmarkEnd w:id="15122"/>
      <w:bookmarkEnd w:id="15123"/>
      <w:bookmarkEnd w:id="15124"/>
    </w:p>
    <w:p w14:paraId="579D013F" w14:textId="77777777" w:rsidR="00436F39" w:rsidRPr="00DF6CCC" w:rsidRDefault="00436F39" w:rsidP="006D6D32">
      <w:pPr>
        <w:pStyle w:val="a3"/>
      </w:pPr>
      <w:bookmarkStart w:id="15125" w:name="_Toc533544477"/>
      <w:bookmarkStart w:id="15126" w:name="_Toc533544674"/>
      <w:bookmarkStart w:id="15127" w:name="_Toc19390997"/>
      <w:bookmarkStart w:id="15128" w:name="_Toc19394494"/>
      <w:r>
        <w:rPr>
          <w:rFonts w:hint="cs"/>
          <w:rtl/>
        </w:rPr>
        <w:t>קושית האמרי משה דלה</w:t>
      </w:r>
      <w:r w:rsidR="00345400">
        <w:rPr>
          <w:rFonts w:hint="cs"/>
          <w:rtl/>
        </w:rPr>
        <w:t>פלתי</w:t>
      </w:r>
      <w:r>
        <w:rPr>
          <w:rFonts w:hint="cs"/>
          <w:rtl/>
        </w:rPr>
        <w:t xml:space="preserve"> אף לדעת ר"ת יש שהייה בעוף אחר שהגרים בשליש האמצעי</w:t>
      </w:r>
      <w:bookmarkEnd w:id="15125"/>
      <w:bookmarkEnd w:id="15126"/>
      <w:bookmarkEnd w:id="15127"/>
      <w:bookmarkEnd w:id="15128"/>
    </w:p>
    <w:p w14:paraId="3D45C59F" w14:textId="77777777" w:rsidR="00436F39" w:rsidRDefault="00436F39" w:rsidP="00223668">
      <w:pPr>
        <w:pStyle w:val="a0"/>
        <w:rPr>
          <w:rtl/>
        </w:rPr>
      </w:pPr>
      <w:r>
        <w:rPr>
          <w:rFonts w:hint="cs"/>
          <w:rtl/>
        </w:rPr>
        <w:t xml:space="preserve">בדברי </w:t>
      </w:r>
      <w:r w:rsidRPr="0079723D">
        <w:rPr>
          <w:rStyle w:val="af9"/>
          <w:rFonts w:hint="cs"/>
          <w:rtl/>
        </w:rPr>
        <w:t>ה</w:t>
      </w:r>
      <w:r w:rsidR="00345400">
        <w:rPr>
          <w:rStyle w:val="af9"/>
          <w:rFonts w:hint="cs"/>
          <w:rtl/>
        </w:rPr>
        <w:t>פלתי</w:t>
      </w:r>
      <w:r>
        <w:rPr>
          <w:rFonts w:hint="cs"/>
          <w:rtl/>
        </w:rPr>
        <w:t xml:space="preserve"> </w:t>
      </w:r>
      <w:r w:rsidRPr="0079723D">
        <w:rPr>
          <w:rStyle w:val="af7"/>
          <w:rFonts w:eastAsia="Guttman Hodes" w:hint="cs"/>
          <w:rtl/>
        </w:rPr>
        <w:t xml:space="preserve">(עי' אות </w:t>
      </w:r>
      <w:r w:rsidRPr="0079723D">
        <w:rPr>
          <w:rStyle w:val="af7"/>
          <w:rFonts w:eastAsia="Guttman Hodes"/>
          <w:rtl/>
        </w:rPr>
        <w:fldChar w:fldCharType="begin"/>
      </w:r>
      <w:r w:rsidRPr="0079723D">
        <w:rPr>
          <w:rStyle w:val="af7"/>
          <w:rFonts w:eastAsia="Guttman Hodes"/>
          <w:rtl/>
        </w:rPr>
        <w:instrText xml:space="preserve"> </w:instrText>
      </w:r>
      <w:r w:rsidRPr="0079723D">
        <w:rPr>
          <w:rStyle w:val="af7"/>
          <w:rFonts w:eastAsia="Guttman Hodes" w:hint="cs"/>
        </w:rPr>
        <w:instrText>REF</w:instrText>
      </w:r>
      <w:r w:rsidRPr="0079723D">
        <w:rPr>
          <w:rStyle w:val="af7"/>
          <w:rFonts w:eastAsia="Guttman Hodes" w:hint="cs"/>
          <w:rtl/>
        </w:rPr>
        <w:instrText xml:space="preserve"> _</w:instrText>
      </w:r>
      <w:r w:rsidRPr="0079723D">
        <w:rPr>
          <w:rStyle w:val="af7"/>
          <w:rFonts w:eastAsia="Guttman Hodes" w:hint="cs"/>
        </w:rPr>
        <w:instrText>Ref533529199 \r \h</w:instrText>
      </w:r>
      <w:r w:rsidRPr="0079723D">
        <w:rPr>
          <w:rStyle w:val="af7"/>
          <w:rFonts w:eastAsia="Guttman Hodes"/>
          <w:rtl/>
        </w:rPr>
        <w:instrText xml:space="preserve"> </w:instrText>
      </w:r>
      <w:r w:rsidRPr="0079723D">
        <w:rPr>
          <w:rStyle w:val="af7"/>
          <w:rFonts w:eastAsia="Guttman Hodes"/>
          <w:rtl/>
        </w:rPr>
      </w:r>
      <w:r w:rsidRPr="0079723D">
        <w:rPr>
          <w:rStyle w:val="af7"/>
          <w:rFonts w:eastAsia="Guttman Hodes"/>
          <w:rtl/>
        </w:rPr>
        <w:fldChar w:fldCharType="separate"/>
      </w:r>
      <w:r w:rsidR="00345400">
        <w:rPr>
          <w:rStyle w:val="af7"/>
          <w:rFonts w:eastAsia="Guttman Hodes"/>
          <w:cs/>
        </w:rPr>
        <w:t>‎</w:t>
      </w:r>
      <w:r w:rsidR="00345400">
        <w:rPr>
          <w:rStyle w:val="af7"/>
          <w:rFonts w:eastAsia="Guttman Hodes"/>
          <w:rtl/>
        </w:rPr>
        <w:t>קכ)</w:t>
      </w:r>
      <w:r w:rsidRPr="0079723D">
        <w:rPr>
          <w:rStyle w:val="af7"/>
          <w:rFonts w:eastAsia="Guttman Hodes"/>
          <w:rtl/>
        </w:rPr>
        <w:fldChar w:fldCharType="end"/>
      </w:r>
      <w:r w:rsidRPr="0079723D">
        <w:rPr>
          <w:rStyle w:val="af7"/>
          <w:rFonts w:eastAsia="Guttman Hodes" w:hint="cs"/>
          <w:rtl/>
        </w:rPr>
        <w:t xml:space="preserve"> </w:t>
      </w:r>
      <w:r>
        <w:rPr>
          <w:rFonts w:hint="cs"/>
          <w:rtl/>
        </w:rPr>
        <w:t xml:space="preserve">דפסוקת הגרוגרת הוי נבילה, הקשה </w:t>
      </w:r>
      <w:r w:rsidRPr="0079723D">
        <w:rPr>
          <w:rStyle w:val="af9"/>
          <w:rFonts w:hint="cs"/>
          <w:rtl/>
        </w:rPr>
        <w:t xml:space="preserve">האמרי משה </w:t>
      </w:r>
      <w:r w:rsidRPr="0079723D">
        <w:rPr>
          <w:rStyle w:val="af7"/>
          <w:rFonts w:eastAsia="Guttman Hodes" w:hint="cs"/>
          <w:rtl/>
        </w:rPr>
        <w:t xml:space="preserve">(סי' ב' אות א') </w:t>
      </w:r>
      <w:r>
        <w:rPr>
          <w:rFonts w:hint="cs"/>
          <w:rtl/>
        </w:rPr>
        <w:t xml:space="preserve">דהרי כתבו </w:t>
      </w:r>
      <w:r w:rsidRPr="0079723D">
        <w:rPr>
          <w:rStyle w:val="af9"/>
          <w:rFonts w:hint="cs"/>
          <w:rtl/>
        </w:rPr>
        <w:t xml:space="preserve">התוס' לקמן </w:t>
      </w:r>
      <w:r w:rsidRPr="0079723D">
        <w:rPr>
          <w:rStyle w:val="af7"/>
          <w:rFonts w:eastAsia="Guttman Hodes" w:hint="cs"/>
          <w:rtl/>
        </w:rPr>
        <w:t xml:space="preserve">(עי' אות </w:t>
      </w:r>
      <w:r w:rsidRPr="0079723D">
        <w:rPr>
          <w:rStyle w:val="af7"/>
          <w:rFonts w:eastAsia="Guttman Hodes"/>
          <w:rtl/>
        </w:rPr>
        <w:fldChar w:fldCharType="begin"/>
      </w:r>
      <w:r w:rsidRPr="0079723D">
        <w:rPr>
          <w:rStyle w:val="af7"/>
          <w:rFonts w:eastAsia="Guttman Hodes"/>
          <w:rtl/>
        </w:rPr>
        <w:instrText xml:space="preserve"> </w:instrText>
      </w:r>
      <w:r w:rsidRPr="0079723D">
        <w:rPr>
          <w:rStyle w:val="af7"/>
          <w:rFonts w:eastAsia="Guttman Hodes" w:hint="cs"/>
        </w:rPr>
        <w:instrText>REF</w:instrText>
      </w:r>
      <w:r w:rsidRPr="0079723D">
        <w:rPr>
          <w:rStyle w:val="af7"/>
          <w:rFonts w:eastAsia="Guttman Hodes" w:hint="cs"/>
          <w:rtl/>
        </w:rPr>
        <w:instrText xml:space="preserve"> _</w:instrText>
      </w:r>
      <w:r w:rsidRPr="0079723D">
        <w:rPr>
          <w:rStyle w:val="af7"/>
          <w:rFonts w:eastAsia="Guttman Hodes" w:hint="cs"/>
        </w:rPr>
        <w:instrText>Ref533529241 \r \h</w:instrText>
      </w:r>
      <w:r w:rsidRPr="0079723D">
        <w:rPr>
          <w:rStyle w:val="af7"/>
          <w:rFonts w:eastAsia="Guttman Hodes"/>
          <w:rtl/>
        </w:rPr>
        <w:instrText xml:space="preserve"> </w:instrText>
      </w:r>
      <w:r w:rsidRPr="0079723D">
        <w:rPr>
          <w:rStyle w:val="af7"/>
          <w:rFonts w:eastAsia="Guttman Hodes"/>
          <w:rtl/>
        </w:rPr>
      </w:r>
      <w:r w:rsidRPr="0079723D">
        <w:rPr>
          <w:rStyle w:val="af7"/>
          <w:rFonts w:eastAsia="Guttman Hodes"/>
          <w:rtl/>
        </w:rPr>
        <w:fldChar w:fldCharType="separate"/>
      </w:r>
      <w:r w:rsidR="00345400">
        <w:rPr>
          <w:rStyle w:val="af7"/>
          <w:rFonts w:eastAsia="Guttman Hodes"/>
          <w:cs/>
        </w:rPr>
        <w:t>‎</w:t>
      </w:r>
      <w:r w:rsidR="00345400">
        <w:rPr>
          <w:rStyle w:val="af7"/>
          <w:rFonts w:eastAsia="Guttman Hodes"/>
          <w:rtl/>
        </w:rPr>
        <w:t>סג)</w:t>
      </w:r>
      <w:r w:rsidRPr="0079723D">
        <w:rPr>
          <w:rStyle w:val="af7"/>
          <w:rFonts w:eastAsia="Guttman Hodes"/>
          <w:rtl/>
        </w:rPr>
        <w:fldChar w:fldCharType="end"/>
      </w:r>
      <w:r>
        <w:rPr>
          <w:rFonts w:hint="cs"/>
          <w:rtl/>
        </w:rPr>
        <w:t xml:space="preserve"> דלדעת ר</w:t>
      </w:r>
      <w:r w:rsidRPr="0079723D">
        <w:rPr>
          <w:rStyle w:val="af9"/>
          <w:rFonts w:hint="cs"/>
          <w:rtl/>
        </w:rPr>
        <w:t xml:space="preserve">"ת </w:t>
      </w:r>
      <w:r>
        <w:rPr>
          <w:rFonts w:hint="cs"/>
          <w:rtl/>
        </w:rPr>
        <w:t xml:space="preserve">להצד דשהייה אינה פוסלת במיעוט קמא, לא שייך פסול שהייה בעוף מדאו', כיון שהוא כשר בסימן אחד, וכתב </w:t>
      </w:r>
      <w:r w:rsidRPr="00FA4B6A">
        <w:rPr>
          <w:rStyle w:val="af9"/>
          <w:rFonts w:hint="cs"/>
          <w:rtl/>
        </w:rPr>
        <w:t>הרא"ש</w:t>
      </w:r>
      <w:r>
        <w:rPr>
          <w:rFonts w:hint="cs"/>
          <w:rtl/>
        </w:rPr>
        <w:t xml:space="preserve"> </w:t>
      </w:r>
      <w:r w:rsidRPr="00DF6CCC">
        <w:rPr>
          <w:rStyle w:val="af7"/>
          <w:rFonts w:eastAsia="Guttman Hodes" w:hint="cs"/>
          <w:rtl/>
        </w:rPr>
        <w:t>(פ"ב ה"ו)</w:t>
      </w:r>
      <w:r>
        <w:rPr>
          <w:rFonts w:hint="cs"/>
          <w:rtl/>
        </w:rPr>
        <w:t xml:space="preserve"> דהצד דלא שייך שהייה במיעוט קמא הוא כיון שאינה נעשית בו נבילה, והרי לדעת </w:t>
      </w:r>
      <w:r w:rsidRPr="0079723D">
        <w:rPr>
          <w:rStyle w:val="af9"/>
          <w:rFonts w:hint="cs"/>
          <w:rtl/>
        </w:rPr>
        <w:t>ה</w:t>
      </w:r>
      <w:r w:rsidR="00345400">
        <w:rPr>
          <w:rStyle w:val="af9"/>
          <w:rFonts w:hint="cs"/>
          <w:rtl/>
        </w:rPr>
        <w:t>פלתי</w:t>
      </w:r>
      <w:r>
        <w:rPr>
          <w:rFonts w:hint="cs"/>
          <w:rtl/>
        </w:rPr>
        <w:t xml:space="preserve"> דהוכיח דבהגרמה ג"כ נפקא חיותא, ולכן הוי נבילה, א"כ אף בעוף יש פסול שהייה, בשחט והגרים ושחט, דכשהגרים בשליש האמצעי הוי נבילה, ואם שהה ואח"כ שחט את השליש האחרון, אף ששחט את רוב הסימן יפסל בשהייה.</w:t>
      </w:r>
    </w:p>
    <w:p w14:paraId="38BB48A4" w14:textId="77777777" w:rsidR="00436F39" w:rsidRDefault="00436F39" w:rsidP="006D6D32">
      <w:pPr>
        <w:pStyle w:val="a3"/>
        <w:rPr>
          <w:rtl/>
        </w:rPr>
      </w:pPr>
      <w:bookmarkStart w:id="15129" w:name="_Toc533544478"/>
      <w:bookmarkStart w:id="15130" w:name="_Toc533544675"/>
      <w:bookmarkStart w:id="15131" w:name="_Toc19390998"/>
      <w:bookmarkStart w:id="15132" w:name="_Toc19394495"/>
      <w:r>
        <w:rPr>
          <w:rFonts w:hint="cs"/>
          <w:rtl/>
        </w:rPr>
        <w:t>קושית האמרי משה על ה</w:t>
      </w:r>
      <w:r w:rsidR="00345400">
        <w:rPr>
          <w:rFonts w:hint="cs"/>
          <w:rtl/>
        </w:rPr>
        <w:t>פלתי</w:t>
      </w:r>
      <w:r>
        <w:rPr>
          <w:rFonts w:hint="cs"/>
          <w:rtl/>
        </w:rPr>
        <w:t xml:space="preserve"> דאחר שנעשית נבילה היאך מהני השליש האחרון להכשיר</w:t>
      </w:r>
      <w:bookmarkEnd w:id="15129"/>
      <w:bookmarkEnd w:id="15130"/>
      <w:bookmarkEnd w:id="15131"/>
      <w:bookmarkEnd w:id="15132"/>
    </w:p>
    <w:p w14:paraId="03DE9A4B" w14:textId="77777777" w:rsidR="00436F39" w:rsidRPr="0057684D" w:rsidRDefault="00436F39" w:rsidP="00223668">
      <w:pPr>
        <w:pStyle w:val="a0"/>
        <w:rPr>
          <w:rtl/>
        </w:rPr>
      </w:pPr>
      <w:bookmarkStart w:id="15133" w:name="_Ref533545489"/>
      <w:r>
        <w:rPr>
          <w:rFonts w:hint="cs"/>
          <w:rtl/>
        </w:rPr>
        <w:t xml:space="preserve">ובעיקר דברי </w:t>
      </w:r>
      <w:r w:rsidRPr="0079723D">
        <w:rPr>
          <w:rStyle w:val="af9"/>
          <w:rFonts w:hint="cs"/>
          <w:rtl/>
        </w:rPr>
        <w:t>ה</w:t>
      </w:r>
      <w:r w:rsidR="00345400">
        <w:rPr>
          <w:rStyle w:val="af9"/>
          <w:rFonts w:hint="cs"/>
          <w:rtl/>
        </w:rPr>
        <w:t>פלתי</w:t>
      </w:r>
      <w:r w:rsidRPr="0079723D">
        <w:rPr>
          <w:rStyle w:val="af9"/>
          <w:rFonts w:hint="cs"/>
          <w:rtl/>
        </w:rPr>
        <w:t xml:space="preserve"> </w:t>
      </w:r>
      <w:r>
        <w:rPr>
          <w:rFonts w:hint="cs"/>
          <w:rtl/>
        </w:rPr>
        <w:t xml:space="preserve">דאף בפסוקת הגרוגרת שלא במקום שחיטה נפקא חיותא, הקשה </w:t>
      </w:r>
      <w:r w:rsidRPr="0079723D">
        <w:rPr>
          <w:rStyle w:val="af9"/>
          <w:rFonts w:hint="cs"/>
          <w:rtl/>
        </w:rPr>
        <w:t xml:space="preserve">האמרי משה </w:t>
      </w:r>
      <w:r>
        <w:rPr>
          <w:rFonts w:hint="cs"/>
          <w:rtl/>
        </w:rPr>
        <w:t>דא"כ האיך מהני השליש האחרון להכשיר בשחט והגרים ושחט, הא כיון שיצאה החיות בשליש האמצעי, חשיב הסימן כמנח בדיקולא.</w:t>
      </w:r>
      <w:r w:rsidRPr="00981821">
        <w:rPr>
          <w:rFonts w:hint="cs"/>
          <w:rtl/>
        </w:rPr>
        <w:t xml:space="preserve"> </w:t>
      </w:r>
      <w:r>
        <w:rPr>
          <w:rFonts w:hint="cs"/>
          <w:rtl/>
        </w:rPr>
        <w:t xml:space="preserve">והביא </w:t>
      </w:r>
      <w:r w:rsidRPr="004B27F1">
        <w:rPr>
          <w:rStyle w:val="af9"/>
          <w:rFonts w:hint="cs"/>
          <w:rtl/>
        </w:rPr>
        <w:t>האמרי משה</w:t>
      </w:r>
      <w:r>
        <w:rPr>
          <w:rFonts w:hint="cs"/>
          <w:rtl/>
        </w:rPr>
        <w:t xml:space="preserve"> דכתבו </w:t>
      </w:r>
      <w:r w:rsidRPr="004B27F1">
        <w:rPr>
          <w:rStyle w:val="af9"/>
          <w:rFonts w:hint="cs"/>
          <w:rtl/>
        </w:rPr>
        <w:t>הראשונים לקמן</w:t>
      </w:r>
      <w:r>
        <w:rPr>
          <w:rFonts w:hint="cs"/>
          <w:rtl/>
        </w:rPr>
        <w:t xml:space="preserve"> </w:t>
      </w:r>
      <w:r w:rsidRPr="00787761">
        <w:rPr>
          <w:rStyle w:val="af7"/>
          <w:rFonts w:eastAsia="Guttman Hodes" w:hint="cs"/>
          <w:rtl/>
        </w:rPr>
        <w:t>(לב.)</w:t>
      </w:r>
      <w:r>
        <w:rPr>
          <w:rFonts w:hint="cs"/>
          <w:rtl/>
        </w:rPr>
        <w:t xml:space="preserve"> דאף דלא קיי"ל כר"ז דאחר שחיטת רוב סימן הבהמה כמנחא בדיקולא, ולא שייך בה טריפה, מ"מ אף לדידן הסימן עצמו חשיב כמאן דמנח בדיקולא.</w:t>
      </w:r>
      <w:bookmarkEnd w:id="15133"/>
    </w:p>
    <w:p w14:paraId="0DD1D324" w14:textId="77777777" w:rsidR="00436F39" w:rsidRDefault="00436F39" w:rsidP="006D6D32">
      <w:pPr>
        <w:pStyle w:val="a3"/>
        <w:rPr>
          <w:rtl/>
        </w:rPr>
      </w:pPr>
      <w:bookmarkStart w:id="15134" w:name="_Toc533544479"/>
      <w:bookmarkStart w:id="15135" w:name="_Toc533544676"/>
      <w:bookmarkStart w:id="15136" w:name="_Toc19390999"/>
      <w:bookmarkStart w:id="15137" w:name="_Toc19394496"/>
      <w:r>
        <w:rPr>
          <w:rFonts w:hint="cs"/>
          <w:rtl/>
        </w:rPr>
        <w:t>דברי האמרי משה דלהפר"ח מיושב דאינה נעשית נבילה בשליש האמצעי</w:t>
      </w:r>
      <w:bookmarkEnd w:id="15134"/>
      <w:bookmarkEnd w:id="15135"/>
      <w:bookmarkEnd w:id="15136"/>
      <w:bookmarkEnd w:id="15137"/>
    </w:p>
    <w:p w14:paraId="459DBFC7" w14:textId="77777777" w:rsidR="00436F39" w:rsidRDefault="00436F39" w:rsidP="00223668">
      <w:pPr>
        <w:pStyle w:val="a0"/>
        <w:rPr>
          <w:rtl/>
        </w:rPr>
      </w:pPr>
      <w:r>
        <w:rPr>
          <w:rFonts w:hint="cs"/>
          <w:rtl/>
        </w:rPr>
        <w:t xml:space="preserve">וכתב </w:t>
      </w:r>
      <w:r w:rsidRPr="0079723D">
        <w:rPr>
          <w:rStyle w:val="af9"/>
          <w:rFonts w:hint="cs"/>
          <w:rtl/>
        </w:rPr>
        <w:t>האמרי משה</w:t>
      </w:r>
      <w:r w:rsidRPr="0079723D">
        <w:rPr>
          <w:rStyle w:val="af7"/>
          <w:rFonts w:eastAsia="Guttman Hodes" w:hint="cs"/>
          <w:rtl/>
        </w:rPr>
        <w:t xml:space="preserve"> (סי' ב' אות ב' ד"ה ולכאו') </w:t>
      </w:r>
      <w:r>
        <w:rPr>
          <w:rFonts w:hint="cs"/>
          <w:rtl/>
        </w:rPr>
        <w:t xml:space="preserve">דלדעת </w:t>
      </w:r>
      <w:r w:rsidRPr="0079723D">
        <w:rPr>
          <w:rStyle w:val="af9"/>
          <w:rFonts w:hint="cs"/>
          <w:rtl/>
        </w:rPr>
        <w:t xml:space="preserve">הפר"ח </w:t>
      </w:r>
      <w:r w:rsidRPr="0079723D">
        <w:rPr>
          <w:rStyle w:val="af7"/>
          <w:rFonts w:eastAsia="Guttman Hodes" w:hint="cs"/>
          <w:rtl/>
        </w:rPr>
        <w:t xml:space="preserve">(עי' אות </w:t>
      </w:r>
      <w:r w:rsidRPr="0079723D">
        <w:rPr>
          <w:rStyle w:val="af7"/>
          <w:rFonts w:eastAsia="Guttman Hodes"/>
          <w:rtl/>
        </w:rPr>
        <w:fldChar w:fldCharType="begin"/>
      </w:r>
      <w:r w:rsidRPr="0079723D">
        <w:rPr>
          <w:rStyle w:val="af7"/>
          <w:rFonts w:eastAsia="Guttman Hodes"/>
          <w:rtl/>
        </w:rPr>
        <w:instrText xml:space="preserve"> </w:instrText>
      </w:r>
      <w:r w:rsidRPr="0079723D">
        <w:rPr>
          <w:rStyle w:val="af7"/>
          <w:rFonts w:eastAsia="Guttman Hodes" w:hint="cs"/>
        </w:rPr>
        <w:instrText>REF</w:instrText>
      </w:r>
      <w:r w:rsidRPr="0079723D">
        <w:rPr>
          <w:rStyle w:val="af7"/>
          <w:rFonts w:eastAsia="Guttman Hodes" w:hint="cs"/>
          <w:rtl/>
        </w:rPr>
        <w:instrText xml:space="preserve"> _</w:instrText>
      </w:r>
      <w:r w:rsidRPr="0079723D">
        <w:rPr>
          <w:rStyle w:val="af7"/>
          <w:rFonts w:eastAsia="Guttman Hodes" w:hint="cs"/>
        </w:rPr>
        <w:instrText>Ref533529214 \r \h</w:instrText>
      </w:r>
      <w:r w:rsidRPr="0079723D">
        <w:rPr>
          <w:rStyle w:val="af7"/>
          <w:rFonts w:eastAsia="Guttman Hodes"/>
          <w:rtl/>
        </w:rPr>
        <w:instrText xml:space="preserve"> </w:instrText>
      </w:r>
      <w:r w:rsidRPr="0079723D">
        <w:rPr>
          <w:rStyle w:val="af7"/>
          <w:rFonts w:eastAsia="Guttman Hodes"/>
          <w:rtl/>
        </w:rPr>
      </w:r>
      <w:r w:rsidRPr="0079723D">
        <w:rPr>
          <w:rStyle w:val="af7"/>
          <w:rFonts w:eastAsia="Guttman Hodes"/>
          <w:rtl/>
        </w:rPr>
        <w:fldChar w:fldCharType="separate"/>
      </w:r>
      <w:r w:rsidR="00345400">
        <w:rPr>
          <w:rStyle w:val="af7"/>
          <w:rFonts w:eastAsia="Guttman Hodes"/>
          <w:cs/>
        </w:rPr>
        <w:t>‎</w:t>
      </w:r>
      <w:r w:rsidR="00345400">
        <w:rPr>
          <w:rStyle w:val="af7"/>
          <w:rFonts w:eastAsia="Guttman Hodes"/>
          <w:rtl/>
        </w:rPr>
        <w:t>קיט)</w:t>
      </w:r>
      <w:r w:rsidRPr="0079723D">
        <w:rPr>
          <w:rStyle w:val="af7"/>
          <w:rFonts w:eastAsia="Guttman Hodes"/>
          <w:rtl/>
        </w:rPr>
        <w:fldChar w:fldCharType="end"/>
      </w:r>
      <w:r>
        <w:rPr>
          <w:rFonts w:hint="cs"/>
          <w:rtl/>
        </w:rPr>
        <w:t xml:space="preserve"> דפסוקת הגרוגרת שלא במקום שחיטה, היא טריפה ולא נבילה, א"כ מבואר דבשחט והגרים ושחט לא נפקא חיותא, ולכן מהני השליש האחרון להכשיר, דלא חשיב הסימן כמנח בדיקולא.</w:t>
      </w:r>
    </w:p>
    <w:p w14:paraId="4FD31BDF" w14:textId="77777777" w:rsidR="00436F39" w:rsidRDefault="00436F39" w:rsidP="006D6D32">
      <w:pPr>
        <w:pStyle w:val="a3"/>
        <w:rPr>
          <w:rtl/>
        </w:rPr>
      </w:pPr>
      <w:bookmarkStart w:id="15138" w:name="_Toc533544480"/>
      <w:bookmarkStart w:id="15139" w:name="_Toc533544677"/>
      <w:bookmarkStart w:id="15140" w:name="_Toc19391000"/>
      <w:bookmarkStart w:id="15141" w:name="_Toc19394497"/>
      <w:r>
        <w:rPr>
          <w:rFonts w:hint="cs"/>
          <w:rtl/>
        </w:rPr>
        <w:t>דברי האמרי משה דלהפר"ח מבוארים דברי התוס' דלר"ת לא שייכא שהייה בעוף</w:t>
      </w:r>
      <w:bookmarkEnd w:id="15138"/>
      <w:bookmarkEnd w:id="15139"/>
      <w:bookmarkEnd w:id="15140"/>
      <w:bookmarkEnd w:id="15141"/>
    </w:p>
    <w:p w14:paraId="70E10709" w14:textId="77777777" w:rsidR="00436F39" w:rsidRPr="00E96841" w:rsidRDefault="00436F39" w:rsidP="00223668">
      <w:pPr>
        <w:pStyle w:val="a0"/>
        <w:rPr>
          <w:rtl/>
        </w:rPr>
      </w:pPr>
      <w:r>
        <w:rPr>
          <w:rFonts w:hint="cs"/>
          <w:rtl/>
        </w:rPr>
        <w:t xml:space="preserve">והוסיף </w:t>
      </w:r>
      <w:r w:rsidRPr="0079723D">
        <w:rPr>
          <w:rStyle w:val="af9"/>
          <w:rFonts w:hint="cs"/>
          <w:rtl/>
        </w:rPr>
        <w:t>האמרי משה</w:t>
      </w:r>
      <w:r>
        <w:rPr>
          <w:rFonts w:hint="cs"/>
          <w:rtl/>
        </w:rPr>
        <w:t xml:space="preserve"> דכן לדעת </w:t>
      </w:r>
      <w:r w:rsidRPr="0079723D">
        <w:rPr>
          <w:rStyle w:val="af9"/>
          <w:rFonts w:hint="cs"/>
          <w:rtl/>
        </w:rPr>
        <w:t>הפר"ח</w:t>
      </w:r>
      <w:r>
        <w:rPr>
          <w:rFonts w:hint="cs"/>
          <w:rtl/>
        </w:rPr>
        <w:t xml:space="preserve"> מבוארים דברי </w:t>
      </w:r>
      <w:r w:rsidRPr="0079723D">
        <w:rPr>
          <w:rStyle w:val="af9"/>
          <w:rFonts w:hint="cs"/>
          <w:rtl/>
        </w:rPr>
        <w:t>התוס'</w:t>
      </w:r>
      <w:r>
        <w:rPr>
          <w:rFonts w:hint="cs"/>
          <w:rtl/>
        </w:rPr>
        <w:t xml:space="preserve"> </w:t>
      </w:r>
      <w:r w:rsidRPr="0079723D">
        <w:rPr>
          <w:rStyle w:val="af7"/>
          <w:rFonts w:eastAsia="Guttman Hodes" w:hint="cs"/>
          <w:rtl/>
        </w:rPr>
        <w:t xml:space="preserve">(עי' אות </w:t>
      </w:r>
      <w:r w:rsidRPr="0079723D">
        <w:rPr>
          <w:rStyle w:val="af7"/>
          <w:rFonts w:eastAsia="Guttman Hodes"/>
          <w:rtl/>
        </w:rPr>
        <w:fldChar w:fldCharType="begin"/>
      </w:r>
      <w:r w:rsidRPr="0079723D">
        <w:rPr>
          <w:rStyle w:val="af7"/>
          <w:rFonts w:eastAsia="Guttman Hodes"/>
          <w:rtl/>
        </w:rPr>
        <w:instrText xml:space="preserve"> </w:instrText>
      </w:r>
      <w:r w:rsidRPr="0079723D">
        <w:rPr>
          <w:rStyle w:val="af7"/>
          <w:rFonts w:eastAsia="Guttman Hodes" w:hint="cs"/>
        </w:rPr>
        <w:instrText>REF</w:instrText>
      </w:r>
      <w:r w:rsidRPr="0079723D">
        <w:rPr>
          <w:rStyle w:val="af7"/>
          <w:rFonts w:eastAsia="Guttman Hodes" w:hint="cs"/>
          <w:rtl/>
        </w:rPr>
        <w:instrText xml:space="preserve"> _</w:instrText>
      </w:r>
      <w:r w:rsidRPr="0079723D">
        <w:rPr>
          <w:rStyle w:val="af7"/>
          <w:rFonts w:eastAsia="Guttman Hodes" w:hint="cs"/>
        </w:rPr>
        <w:instrText>Ref533529241 \r \h</w:instrText>
      </w:r>
      <w:r w:rsidRPr="0079723D">
        <w:rPr>
          <w:rStyle w:val="af7"/>
          <w:rFonts w:eastAsia="Guttman Hodes"/>
          <w:rtl/>
        </w:rPr>
        <w:instrText xml:space="preserve"> </w:instrText>
      </w:r>
      <w:r w:rsidRPr="0079723D">
        <w:rPr>
          <w:rStyle w:val="af7"/>
          <w:rFonts w:eastAsia="Guttman Hodes"/>
          <w:rtl/>
        </w:rPr>
      </w:r>
      <w:r w:rsidRPr="0079723D">
        <w:rPr>
          <w:rStyle w:val="af7"/>
          <w:rFonts w:eastAsia="Guttman Hodes"/>
          <w:rtl/>
        </w:rPr>
        <w:fldChar w:fldCharType="separate"/>
      </w:r>
      <w:r w:rsidR="00345400">
        <w:rPr>
          <w:rStyle w:val="af7"/>
          <w:rFonts w:eastAsia="Guttman Hodes"/>
          <w:cs/>
        </w:rPr>
        <w:t>‎</w:t>
      </w:r>
      <w:r w:rsidR="00345400">
        <w:rPr>
          <w:rStyle w:val="af7"/>
          <w:rFonts w:eastAsia="Guttman Hodes"/>
          <w:rtl/>
        </w:rPr>
        <w:t>סג)</w:t>
      </w:r>
      <w:r w:rsidRPr="0079723D">
        <w:rPr>
          <w:rStyle w:val="af7"/>
          <w:rFonts w:eastAsia="Guttman Hodes"/>
          <w:rtl/>
        </w:rPr>
        <w:fldChar w:fldCharType="end"/>
      </w:r>
      <w:r>
        <w:rPr>
          <w:rFonts w:hint="cs"/>
          <w:rtl/>
        </w:rPr>
        <w:t xml:space="preserve"> דכתבו דלדעת </w:t>
      </w:r>
      <w:r w:rsidRPr="0079723D">
        <w:rPr>
          <w:rStyle w:val="af9"/>
          <w:rFonts w:hint="cs"/>
          <w:rtl/>
        </w:rPr>
        <w:t>ר"ת</w:t>
      </w:r>
      <w:r>
        <w:rPr>
          <w:rFonts w:hint="cs"/>
          <w:rtl/>
        </w:rPr>
        <w:t xml:space="preserve"> לא שייך שהייה בעוף מדאו', דכשהגרים בשליש האמצעי אינה נעשית נבילה, וא"כ לדעת </w:t>
      </w:r>
      <w:r w:rsidRPr="0079723D">
        <w:rPr>
          <w:rStyle w:val="af9"/>
          <w:rFonts w:hint="cs"/>
          <w:rtl/>
        </w:rPr>
        <w:t>ר"ת</w:t>
      </w:r>
      <w:r>
        <w:rPr>
          <w:rFonts w:hint="cs"/>
          <w:rtl/>
        </w:rPr>
        <w:t xml:space="preserve"> אין בכה"ג פסול שהייה. </w:t>
      </w:r>
    </w:p>
    <w:p w14:paraId="03D7D9FC" w14:textId="77777777" w:rsidR="00436F39" w:rsidRDefault="00436F39" w:rsidP="00BF39B2">
      <w:pPr>
        <w:pStyle w:val="1"/>
        <w:rPr>
          <w:rtl/>
        </w:rPr>
      </w:pPr>
      <w:bookmarkStart w:id="15142" w:name="_Toc533490206"/>
      <w:bookmarkStart w:id="15143" w:name="_Toc533506184"/>
      <w:bookmarkStart w:id="15144" w:name="_Toc533544481"/>
      <w:bookmarkStart w:id="15145" w:name="_Toc533544678"/>
      <w:bookmarkStart w:id="15146" w:name="_Toc19391001"/>
      <w:bookmarkStart w:id="15147" w:name="_Toc19394498"/>
      <w:r>
        <w:rPr>
          <w:rFonts w:hint="cs"/>
          <w:rtl/>
        </w:rPr>
        <w:t xml:space="preserve">דברי האמרי משה </w:t>
      </w:r>
      <w:bookmarkEnd w:id="15142"/>
      <w:bookmarkEnd w:id="15143"/>
      <w:r>
        <w:rPr>
          <w:rFonts w:hint="cs"/>
          <w:rtl/>
        </w:rPr>
        <w:t>דמהא דמיעו"ב פוסל מוכח דיש בו שחיטה</w:t>
      </w:r>
      <w:bookmarkEnd w:id="15144"/>
      <w:bookmarkEnd w:id="15145"/>
      <w:bookmarkEnd w:id="15146"/>
      <w:bookmarkEnd w:id="15147"/>
    </w:p>
    <w:p w14:paraId="0AD259D0" w14:textId="77777777" w:rsidR="00436F39" w:rsidRDefault="00436F39" w:rsidP="006D6D32">
      <w:pPr>
        <w:pStyle w:val="a3"/>
        <w:rPr>
          <w:rtl/>
        </w:rPr>
      </w:pPr>
      <w:bookmarkStart w:id="15148" w:name="_Toc533490207"/>
      <w:bookmarkStart w:id="15149" w:name="_Toc533506185"/>
      <w:bookmarkStart w:id="15150" w:name="_Toc533544482"/>
      <w:bookmarkStart w:id="15151" w:name="_Toc533544679"/>
      <w:bookmarkStart w:id="15152" w:name="_Toc19391002"/>
      <w:bookmarkStart w:id="15153" w:name="_Toc19394499"/>
      <w:r>
        <w:rPr>
          <w:rFonts w:hint="cs"/>
          <w:rtl/>
        </w:rPr>
        <w:t>ביאור האמרי משה דכששוחט את כל הסימן אף השליש האחרון בכלל ההכשר שחיטה</w:t>
      </w:r>
      <w:bookmarkEnd w:id="15148"/>
      <w:bookmarkEnd w:id="15149"/>
      <w:bookmarkEnd w:id="15150"/>
      <w:bookmarkEnd w:id="15151"/>
      <w:bookmarkEnd w:id="15152"/>
      <w:bookmarkEnd w:id="15153"/>
    </w:p>
    <w:p w14:paraId="42CC3C0E" w14:textId="77777777" w:rsidR="00436F39" w:rsidRDefault="00436F39" w:rsidP="00223668">
      <w:pPr>
        <w:pStyle w:val="a0"/>
        <w:rPr>
          <w:rtl/>
        </w:rPr>
      </w:pPr>
      <w:r>
        <w:rPr>
          <w:rFonts w:hint="cs"/>
          <w:rtl/>
        </w:rPr>
        <w:t xml:space="preserve">וביאר </w:t>
      </w:r>
      <w:r w:rsidRPr="004B27F1">
        <w:rPr>
          <w:rStyle w:val="af9"/>
          <w:rFonts w:hint="cs"/>
          <w:rtl/>
        </w:rPr>
        <w:t>האמרי משה</w:t>
      </w:r>
      <w:r>
        <w:rPr>
          <w:rFonts w:hint="cs"/>
          <w:rtl/>
        </w:rPr>
        <w:t xml:space="preserve"> דלדעת </w:t>
      </w:r>
      <w:r w:rsidRPr="008C47EE">
        <w:rPr>
          <w:rStyle w:val="af9"/>
          <w:rFonts w:hint="cs"/>
          <w:rtl/>
        </w:rPr>
        <w:t>ה</w:t>
      </w:r>
      <w:r w:rsidR="00345400">
        <w:rPr>
          <w:rStyle w:val="af9"/>
          <w:rFonts w:hint="cs"/>
          <w:rtl/>
        </w:rPr>
        <w:t>פלתי</w:t>
      </w:r>
      <w:r>
        <w:rPr>
          <w:rFonts w:hint="cs"/>
          <w:rtl/>
        </w:rPr>
        <w:t xml:space="preserve"> צ"ל דכיון דמדאו' צריך לשחוט לכתחילה את כל הסימן, והא דהשחיטה כשרה בשחיטת רוב הסימן הוא מדין רובו ככולו, ולכן כששוחט את כל הסימן, אף השליש האחרון הוא בכלל ההכשר שחיטה, וכדביארו </w:t>
      </w:r>
      <w:r w:rsidRPr="000847B6">
        <w:rPr>
          <w:rStyle w:val="af9"/>
          <w:rFonts w:hint="cs"/>
          <w:rtl/>
        </w:rPr>
        <w:t>האחרונים</w:t>
      </w:r>
      <w:r>
        <w:rPr>
          <w:rFonts w:hint="cs"/>
          <w:rtl/>
        </w:rPr>
        <w:t xml:space="preserve"> בדעת </w:t>
      </w:r>
      <w:r w:rsidRPr="000847B6">
        <w:rPr>
          <w:rStyle w:val="af9"/>
          <w:rFonts w:hint="cs"/>
          <w:rtl/>
        </w:rPr>
        <w:t>רש"י</w:t>
      </w:r>
      <w:r>
        <w:rPr>
          <w:rFonts w:hint="cs"/>
          <w:rtl/>
        </w:rPr>
        <w:t xml:space="preserve"> דפוסל במיעוט בתרא כיון שאף המיעוט בתרא הוא בכלל ההכשר שחיטה, ורק כששוחט את רוב הסימן והניחו אחר שחיטת הרוב, אמרינן דרובו ככולו.</w:t>
      </w:r>
    </w:p>
    <w:p w14:paraId="3028C778" w14:textId="77777777" w:rsidR="00436F39" w:rsidRPr="00DE7A0C" w:rsidRDefault="00436F39" w:rsidP="006D6D32">
      <w:pPr>
        <w:pStyle w:val="a3"/>
      </w:pPr>
      <w:bookmarkStart w:id="15154" w:name="_Toc533544483"/>
      <w:bookmarkStart w:id="15155" w:name="_Toc533544680"/>
      <w:bookmarkStart w:id="15156" w:name="_Toc19391003"/>
      <w:bookmarkStart w:id="15157" w:name="_Toc19394500"/>
      <w:r>
        <w:rPr>
          <w:rFonts w:hint="cs"/>
          <w:rtl/>
        </w:rPr>
        <w:t>דברי האמרי משה דלה</w:t>
      </w:r>
      <w:r w:rsidR="00345400">
        <w:rPr>
          <w:rFonts w:hint="cs"/>
          <w:rtl/>
        </w:rPr>
        <w:t>פלתי</w:t>
      </w:r>
      <w:r>
        <w:rPr>
          <w:rFonts w:hint="cs"/>
          <w:rtl/>
        </w:rPr>
        <w:t xml:space="preserve"> כמו דהמיעו"ב פוסל דהוא בכלל הכשר שחיטה כך מהני להכשיר</w:t>
      </w:r>
      <w:bookmarkEnd w:id="15154"/>
      <w:bookmarkEnd w:id="15155"/>
      <w:bookmarkEnd w:id="15156"/>
      <w:bookmarkEnd w:id="15157"/>
    </w:p>
    <w:p w14:paraId="27790D07" w14:textId="77777777" w:rsidR="00436F39" w:rsidRDefault="00436F39" w:rsidP="00223668">
      <w:pPr>
        <w:pStyle w:val="a0"/>
        <w:rPr>
          <w:rtl/>
        </w:rPr>
      </w:pPr>
      <w:r>
        <w:rPr>
          <w:rFonts w:hint="cs"/>
          <w:rtl/>
        </w:rPr>
        <w:t xml:space="preserve">וכתב </w:t>
      </w:r>
      <w:r w:rsidRPr="00C957BF">
        <w:rPr>
          <w:rStyle w:val="af9"/>
          <w:rFonts w:hint="cs"/>
          <w:rtl/>
        </w:rPr>
        <w:t>האמרי משה</w:t>
      </w:r>
      <w:r>
        <w:rPr>
          <w:rFonts w:hint="cs"/>
          <w:rtl/>
        </w:rPr>
        <w:t xml:space="preserve"> דלכן אף לענין הכשר שחיטה לדעת </w:t>
      </w:r>
      <w:r w:rsidRPr="00014148">
        <w:rPr>
          <w:rStyle w:val="af9"/>
          <w:rFonts w:hint="cs"/>
          <w:rtl/>
        </w:rPr>
        <w:t>ה</w:t>
      </w:r>
      <w:r w:rsidR="00345400">
        <w:rPr>
          <w:rStyle w:val="af9"/>
          <w:rFonts w:hint="cs"/>
          <w:rtl/>
        </w:rPr>
        <w:t>פלתי</w:t>
      </w:r>
      <w:r>
        <w:rPr>
          <w:rFonts w:hint="cs"/>
          <w:rtl/>
        </w:rPr>
        <w:t xml:space="preserve"> כיון שגמר את כל השחיטה, אף השליש האחרון מצטרף לרוב להכשיר את השחיטה, כיון שבשעת ההכשר שחיטה אף למיעוט בתרא יש דין שחיטה.</w:t>
      </w:r>
    </w:p>
    <w:p w14:paraId="69F5957D" w14:textId="77777777" w:rsidR="00436F39" w:rsidRDefault="00436F39" w:rsidP="00BF39B2">
      <w:pPr>
        <w:pStyle w:val="1"/>
        <w:rPr>
          <w:rtl/>
        </w:rPr>
      </w:pPr>
      <w:bookmarkStart w:id="15158" w:name="_Toc533544484"/>
      <w:bookmarkStart w:id="15159" w:name="_Toc533544681"/>
      <w:bookmarkStart w:id="15160" w:name="_Toc19391004"/>
      <w:bookmarkStart w:id="15161" w:name="_Toc19394501"/>
      <w:bookmarkStart w:id="15162" w:name="_Toc533490208"/>
      <w:bookmarkStart w:id="15163" w:name="_Toc533506186"/>
      <w:r>
        <w:rPr>
          <w:rFonts w:hint="cs"/>
          <w:rtl/>
        </w:rPr>
        <w:t>דברי האמרי משה דהמכשירים במיעו"ב היינו רק כשנשחט הרוב</w:t>
      </w:r>
      <w:bookmarkEnd w:id="15158"/>
      <w:bookmarkEnd w:id="15159"/>
      <w:bookmarkEnd w:id="15160"/>
      <w:bookmarkEnd w:id="15161"/>
    </w:p>
    <w:p w14:paraId="0D74D559" w14:textId="77777777" w:rsidR="00436F39" w:rsidRDefault="00436F39" w:rsidP="006D6D32">
      <w:pPr>
        <w:pStyle w:val="a3"/>
        <w:rPr>
          <w:rtl/>
        </w:rPr>
      </w:pPr>
      <w:bookmarkStart w:id="15164" w:name="_Toc533544485"/>
      <w:bookmarkStart w:id="15165" w:name="_Toc533544682"/>
      <w:bookmarkStart w:id="15166" w:name="_Toc19391005"/>
      <w:bookmarkStart w:id="15167" w:name="_Toc19394502"/>
      <w:r>
        <w:rPr>
          <w:rFonts w:hint="cs"/>
          <w:rtl/>
        </w:rPr>
        <w:t xml:space="preserve">דברי האמרי משה </w:t>
      </w:r>
      <w:bookmarkEnd w:id="15162"/>
      <w:bookmarkEnd w:id="15163"/>
      <w:r>
        <w:rPr>
          <w:rFonts w:hint="cs"/>
          <w:rtl/>
        </w:rPr>
        <w:t>דאף למכשירים במיעו"ב זהו דוקא כשהיה הכשר שחיטה ע"י הרוב</w:t>
      </w:r>
      <w:bookmarkEnd w:id="15164"/>
      <w:bookmarkEnd w:id="15165"/>
      <w:bookmarkEnd w:id="15166"/>
      <w:bookmarkEnd w:id="15167"/>
      <w:r>
        <w:rPr>
          <w:rFonts w:hint="cs"/>
          <w:rtl/>
        </w:rPr>
        <w:t xml:space="preserve"> </w:t>
      </w:r>
    </w:p>
    <w:p w14:paraId="56297140" w14:textId="77777777" w:rsidR="00436F39" w:rsidRDefault="00436F39" w:rsidP="00223668">
      <w:pPr>
        <w:pStyle w:val="a0"/>
        <w:rPr>
          <w:rtl/>
        </w:rPr>
      </w:pPr>
      <w:r>
        <w:rPr>
          <w:rFonts w:hint="cs"/>
          <w:rtl/>
        </w:rPr>
        <w:t xml:space="preserve">וכתב </w:t>
      </w:r>
      <w:r w:rsidRPr="0079723D">
        <w:rPr>
          <w:rStyle w:val="af9"/>
          <w:rFonts w:hint="cs"/>
          <w:rtl/>
        </w:rPr>
        <w:t xml:space="preserve">האמרי משה </w:t>
      </w:r>
      <w:r>
        <w:rPr>
          <w:rFonts w:hint="cs"/>
          <w:rtl/>
        </w:rPr>
        <w:t xml:space="preserve">דאף לדעת </w:t>
      </w:r>
      <w:r w:rsidRPr="0079723D">
        <w:rPr>
          <w:rStyle w:val="af9"/>
          <w:rFonts w:hint="cs"/>
          <w:rtl/>
        </w:rPr>
        <w:t>הראשונים</w:t>
      </w:r>
      <w:r>
        <w:rPr>
          <w:rFonts w:hint="cs"/>
          <w:rtl/>
        </w:rPr>
        <w:t xml:space="preserve"> </w:t>
      </w:r>
      <w:r w:rsidRPr="00F94D09">
        <w:rPr>
          <w:rStyle w:val="afb"/>
          <w:rFonts w:hint="cs"/>
          <w:rtl/>
        </w:rPr>
        <w:t>[</w:t>
      </w:r>
      <w:r w:rsidRPr="00F94D09">
        <w:rPr>
          <w:rStyle w:val="affa"/>
          <w:rFonts w:hint="cs"/>
          <w:rtl/>
        </w:rPr>
        <w:t>התוס' והרמב"ן והרשב"א</w:t>
      </w:r>
      <w:r w:rsidRPr="00F94D09">
        <w:rPr>
          <w:rStyle w:val="afb"/>
          <w:rFonts w:hint="cs"/>
          <w:rtl/>
        </w:rPr>
        <w:t xml:space="preserve"> </w:t>
      </w:r>
      <w:r w:rsidRPr="00407592">
        <w:rPr>
          <w:rStyle w:val="aff6"/>
          <w:rFonts w:hint="cs"/>
          <w:rtl/>
        </w:rPr>
        <w:t xml:space="preserve">(עי' אות </w:t>
      </w:r>
      <w:r w:rsidRPr="00407592">
        <w:rPr>
          <w:rStyle w:val="aff6"/>
          <w:rtl/>
        </w:rPr>
        <w:fldChar w:fldCharType="begin"/>
      </w:r>
      <w:r w:rsidRPr="00407592">
        <w:rPr>
          <w:rStyle w:val="aff6"/>
          <w:rtl/>
        </w:rPr>
        <w:instrText xml:space="preserve"> </w:instrText>
      </w:r>
      <w:r w:rsidRPr="00407592">
        <w:rPr>
          <w:rStyle w:val="aff6"/>
          <w:rFonts w:hint="cs"/>
        </w:rPr>
        <w:instrText>REF</w:instrText>
      </w:r>
      <w:r w:rsidRPr="00407592">
        <w:rPr>
          <w:rStyle w:val="aff6"/>
          <w:rFonts w:hint="cs"/>
          <w:rtl/>
        </w:rPr>
        <w:instrText xml:space="preserve"> _</w:instrText>
      </w:r>
      <w:r w:rsidRPr="00407592">
        <w:rPr>
          <w:rStyle w:val="aff6"/>
          <w:rFonts w:hint="cs"/>
        </w:rPr>
        <w:instrText>Ref533543034 \r \h</w:instrText>
      </w:r>
      <w:r w:rsidRPr="00407592">
        <w:rPr>
          <w:rStyle w:val="aff6"/>
          <w:rtl/>
        </w:rPr>
        <w:instrText xml:space="preserve"> </w:instrText>
      </w:r>
      <w:r w:rsidRPr="00407592">
        <w:rPr>
          <w:rStyle w:val="aff6"/>
          <w:rtl/>
        </w:rPr>
      </w:r>
      <w:r w:rsidRPr="00407592">
        <w:rPr>
          <w:rStyle w:val="aff6"/>
          <w:rtl/>
        </w:rPr>
        <w:fldChar w:fldCharType="separate"/>
      </w:r>
      <w:r w:rsidR="00345400">
        <w:rPr>
          <w:rStyle w:val="aff6"/>
          <w:cs/>
        </w:rPr>
        <w:t>‎</w:t>
      </w:r>
      <w:r w:rsidR="00345400">
        <w:rPr>
          <w:rStyle w:val="aff6"/>
          <w:rtl/>
        </w:rPr>
        <w:t>סא)</w:t>
      </w:r>
      <w:r w:rsidRPr="00407592">
        <w:rPr>
          <w:rStyle w:val="aff6"/>
          <w:rtl/>
        </w:rPr>
        <w:fldChar w:fldCharType="end"/>
      </w:r>
      <w:r w:rsidRPr="00F94D09">
        <w:rPr>
          <w:rStyle w:val="afb"/>
          <w:rFonts w:hint="cs"/>
          <w:rtl/>
        </w:rPr>
        <w:t>]</w:t>
      </w:r>
      <w:r>
        <w:rPr>
          <w:rFonts w:hint="cs"/>
          <w:rtl/>
        </w:rPr>
        <w:t xml:space="preserve"> דס"ל דשהייה במיעוט בתרא אינה פוסלת, זהו דוקא לענין פסול, דכיון ששחט את רוב הסימן, והשחיטה כשרה מדין רובו ככולו, א"כ שחיטת המיעוט בתרא מיותרת.</w:t>
      </w:r>
    </w:p>
    <w:p w14:paraId="0EEA8DC1" w14:textId="77777777" w:rsidR="00436F39" w:rsidRPr="00407592" w:rsidRDefault="00436F39" w:rsidP="006D6D32">
      <w:pPr>
        <w:pStyle w:val="a3"/>
      </w:pPr>
      <w:bookmarkStart w:id="15168" w:name="_Toc533544486"/>
      <w:bookmarkStart w:id="15169" w:name="_Toc533544683"/>
      <w:bookmarkStart w:id="15170" w:name="_Toc19391006"/>
      <w:bookmarkStart w:id="15171" w:name="_Toc19394503"/>
      <w:r>
        <w:rPr>
          <w:rFonts w:hint="cs"/>
          <w:rtl/>
        </w:rPr>
        <w:t>דברי האמרי משה דבשחט והגרים ושחט לכו"ע המיעו"ב מצטרף להכשיר כיון שלא נשחט הרוב</w:t>
      </w:r>
      <w:bookmarkEnd w:id="15168"/>
      <w:bookmarkEnd w:id="15169"/>
      <w:bookmarkEnd w:id="15170"/>
      <w:bookmarkEnd w:id="15171"/>
    </w:p>
    <w:p w14:paraId="574CCEFF" w14:textId="77777777" w:rsidR="00436F39" w:rsidRDefault="00436F39" w:rsidP="00223668">
      <w:pPr>
        <w:pStyle w:val="a0"/>
        <w:rPr>
          <w:rtl/>
        </w:rPr>
      </w:pPr>
      <w:r>
        <w:rPr>
          <w:rFonts w:hint="cs"/>
          <w:rtl/>
        </w:rPr>
        <w:t xml:space="preserve">וכתב </w:t>
      </w:r>
      <w:r w:rsidRPr="004B27F1">
        <w:rPr>
          <w:rStyle w:val="af9"/>
          <w:rFonts w:hint="cs"/>
          <w:rtl/>
        </w:rPr>
        <w:t>האמרי משה</w:t>
      </w:r>
      <w:r>
        <w:rPr>
          <w:rFonts w:hint="cs"/>
          <w:rtl/>
        </w:rPr>
        <w:t xml:space="preserve"> דאף </w:t>
      </w:r>
      <w:r>
        <w:rPr>
          <w:rStyle w:val="af9"/>
          <w:rFonts w:hint="cs"/>
          <w:rtl/>
        </w:rPr>
        <w:t>ה</w:t>
      </w:r>
      <w:r w:rsidRPr="007E3A52">
        <w:rPr>
          <w:rStyle w:val="af9"/>
          <w:rFonts w:hint="cs"/>
          <w:rtl/>
        </w:rPr>
        <w:t>ראשונים</w:t>
      </w:r>
      <w:r w:rsidRPr="00407592">
        <w:rPr>
          <w:rStyle w:val="afb"/>
          <w:rFonts w:hint="cs"/>
          <w:rtl/>
        </w:rPr>
        <w:t xml:space="preserve"> </w:t>
      </w:r>
      <w:r w:rsidRPr="00F94D09">
        <w:rPr>
          <w:rStyle w:val="afb"/>
          <w:rFonts w:hint="cs"/>
          <w:rtl/>
        </w:rPr>
        <w:t>[</w:t>
      </w:r>
      <w:r w:rsidRPr="00F94D09">
        <w:rPr>
          <w:rStyle w:val="affa"/>
          <w:rFonts w:hint="cs"/>
          <w:rtl/>
        </w:rPr>
        <w:t>התוס' והרמב"ן והרשב"א</w:t>
      </w:r>
      <w:r w:rsidRPr="00F94D09">
        <w:rPr>
          <w:rStyle w:val="afb"/>
          <w:rFonts w:hint="cs"/>
          <w:rtl/>
        </w:rPr>
        <w:t xml:space="preserve"> </w:t>
      </w:r>
      <w:r w:rsidRPr="00407592">
        <w:rPr>
          <w:rStyle w:val="aff6"/>
          <w:rFonts w:hint="cs"/>
          <w:rtl/>
        </w:rPr>
        <w:t xml:space="preserve">(עי' אות </w:t>
      </w:r>
      <w:r w:rsidRPr="00407592">
        <w:rPr>
          <w:rStyle w:val="aff6"/>
          <w:rtl/>
        </w:rPr>
        <w:fldChar w:fldCharType="begin"/>
      </w:r>
      <w:r w:rsidRPr="00407592">
        <w:rPr>
          <w:rStyle w:val="aff6"/>
          <w:rtl/>
        </w:rPr>
        <w:instrText xml:space="preserve"> </w:instrText>
      </w:r>
      <w:r w:rsidRPr="00407592">
        <w:rPr>
          <w:rStyle w:val="aff6"/>
          <w:rFonts w:hint="cs"/>
        </w:rPr>
        <w:instrText>REF</w:instrText>
      </w:r>
      <w:r w:rsidRPr="00407592">
        <w:rPr>
          <w:rStyle w:val="aff6"/>
          <w:rFonts w:hint="cs"/>
          <w:rtl/>
        </w:rPr>
        <w:instrText xml:space="preserve"> _</w:instrText>
      </w:r>
      <w:r w:rsidRPr="00407592">
        <w:rPr>
          <w:rStyle w:val="aff6"/>
          <w:rFonts w:hint="cs"/>
        </w:rPr>
        <w:instrText>Ref533543034 \r \h</w:instrText>
      </w:r>
      <w:r w:rsidRPr="00407592">
        <w:rPr>
          <w:rStyle w:val="aff6"/>
          <w:rtl/>
        </w:rPr>
        <w:instrText xml:space="preserve"> </w:instrText>
      </w:r>
      <w:r w:rsidRPr="00407592">
        <w:rPr>
          <w:rStyle w:val="aff6"/>
          <w:rtl/>
        </w:rPr>
      </w:r>
      <w:r w:rsidRPr="00407592">
        <w:rPr>
          <w:rStyle w:val="aff6"/>
          <w:rtl/>
        </w:rPr>
        <w:fldChar w:fldCharType="separate"/>
      </w:r>
      <w:r w:rsidR="00345400">
        <w:rPr>
          <w:rStyle w:val="aff6"/>
          <w:cs/>
        </w:rPr>
        <w:t>‎</w:t>
      </w:r>
      <w:r w:rsidR="00345400">
        <w:rPr>
          <w:rStyle w:val="aff6"/>
          <w:rtl/>
        </w:rPr>
        <w:t>סא)</w:t>
      </w:r>
      <w:r w:rsidRPr="00407592">
        <w:rPr>
          <w:rStyle w:val="aff6"/>
          <w:rtl/>
        </w:rPr>
        <w:fldChar w:fldCharType="end"/>
      </w:r>
      <w:r w:rsidRPr="00F94D09">
        <w:rPr>
          <w:rStyle w:val="afb"/>
          <w:rFonts w:hint="cs"/>
          <w:rtl/>
        </w:rPr>
        <w:t>]</w:t>
      </w:r>
      <w:r>
        <w:rPr>
          <w:rFonts w:hint="cs"/>
          <w:rtl/>
        </w:rPr>
        <w:t xml:space="preserve"> דס"ל דשהייה במיעוט בתרא אינה פוסלת, מודו דבשחט והגרים ושחט, השליש האחרון מצטרף להכשיר את השחיטה, כיון שעדיין לא היה הכשר שחיטה, דבלא המיעוט בתרא דאין רוב בשחיטה, וא"א להכשיר את השחיטה ע"י רובו ככולו.</w:t>
      </w:r>
    </w:p>
    <w:p w14:paraId="38ADFB15" w14:textId="77777777" w:rsidR="00436F39" w:rsidRPr="00286E55" w:rsidRDefault="00436F39" w:rsidP="006D6D32">
      <w:pPr>
        <w:pStyle w:val="a3"/>
        <w:rPr>
          <w:rtl/>
        </w:rPr>
      </w:pPr>
      <w:bookmarkStart w:id="15172" w:name="_Toc533490209"/>
      <w:bookmarkStart w:id="15173" w:name="_Toc533506187"/>
      <w:bookmarkStart w:id="15174" w:name="_Toc533544487"/>
      <w:bookmarkStart w:id="15175" w:name="_Toc533544684"/>
      <w:bookmarkStart w:id="15176" w:name="_Toc19391007"/>
      <w:bookmarkStart w:id="15177" w:name="_Toc19394504"/>
      <w:r>
        <w:rPr>
          <w:rFonts w:hint="cs"/>
          <w:rtl/>
        </w:rPr>
        <w:t>תירוץ האמרי משה דכל שלא נשחט השליש האחרון יש לו דין שחיטה ואינו כמנח בדיקולא</w:t>
      </w:r>
      <w:bookmarkEnd w:id="15172"/>
      <w:bookmarkEnd w:id="15173"/>
      <w:bookmarkEnd w:id="15174"/>
      <w:bookmarkEnd w:id="15175"/>
      <w:bookmarkEnd w:id="15176"/>
      <w:bookmarkEnd w:id="15177"/>
    </w:p>
    <w:p w14:paraId="0586246E" w14:textId="77777777" w:rsidR="00436F39" w:rsidRDefault="00436F39" w:rsidP="00223668">
      <w:pPr>
        <w:pStyle w:val="a0"/>
        <w:rPr>
          <w:rtl/>
        </w:rPr>
      </w:pPr>
      <w:r>
        <w:rPr>
          <w:rFonts w:hint="cs"/>
          <w:rtl/>
        </w:rPr>
        <w:t xml:space="preserve">ובזה תירץ </w:t>
      </w:r>
      <w:r w:rsidRPr="004B27F1">
        <w:rPr>
          <w:rStyle w:val="af9"/>
          <w:rFonts w:hint="cs"/>
          <w:rtl/>
        </w:rPr>
        <w:t>האמרי</w:t>
      </w:r>
      <w:r w:rsidRPr="00BC0C0B">
        <w:rPr>
          <w:rStyle w:val="af9"/>
          <w:rFonts w:hint="cs"/>
          <w:rtl/>
        </w:rPr>
        <w:t xml:space="preserve"> משה</w:t>
      </w:r>
      <w:r>
        <w:rPr>
          <w:rFonts w:hint="cs"/>
          <w:rtl/>
        </w:rPr>
        <w:t xml:space="preserve"> את קושייתו על </w:t>
      </w:r>
      <w:r w:rsidRPr="005E2595">
        <w:rPr>
          <w:rStyle w:val="af9"/>
          <w:rFonts w:hint="cs"/>
          <w:rtl/>
        </w:rPr>
        <w:t>ה</w:t>
      </w:r>
      <w:r w:rsidR="00345400">
        <w:rPr>
          <w:rStyle w:val="af9"/>
          <w:rFonts w:hint="cs"/>
          <w:rtl/>
        </w:rPr>
        <w:t>פלתי</w:t>
      </w:r>
      <w:r w:rsidRPr="005E2595">
        <w:rPr>
          <w:rStyle w:val="af9"/>
          <w:rFonts w:hint="cs"/>
          <w:rtl/>
        </w:rPr>
        <w:t xml:space="preserve"> </w:t>
      </w:r>
      <w:r>
        <w:rPr>
          <w:rFonts w:hint="cs"/>
          <w:rtl/>
        </w:rPr>
        <w:t xml:space="preserve">דאחר שחיטת רוב הסימן הוי כמנח בדיקולא, דשחיטת השליש האחרון לא דמי לדברי </w:t>
      </w:r>
      <w:r w:rsidRPr="004B27F1">
        <w:rPr>
          <w:rStyle w:val="af9"/>
          <w:rFonts w:hint="cs"/>
          <w:rtl/>
        </w:rPr>
        <w:t>הראשונים לקמן</w:t>
      </w:r>
      <w:r>
        <w:rPr>
          <w:rFonts w:hint="cs"/>
          <w:rtl/>
        </w:rPr>
        <w:t xml:space="preserve"> </w:t>
      </w:r>
      <w:r w:rsidRPr="00787761">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Ref533545489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קכז)</w:t>
      </w:r>
      <w:r>
        <w:rPr>
          <w:rStyle w:val="af7"/>
          <w:rFonts w:eastAsia="Guttman Hodes"/>
          <w:rtl/>
        </w:rPr>
        <w:fldChar w:fldCharType="end"/>
      </w:r>
      <w:r w:rsidRPr="00787761">
        <w:rPr>
          <w:rStyle w:val="af7"/>
          <w:rFonts w:eastAsia="Guttman Hodes" w:hint="cs"/>
          <w:rtl/>
        </w:rPr>
        <w:t xml:space="preserve"> </w:t>
      </w:r>
      <w:r>
        <w:rPr>
          <w:rFonts w:hint="cs"/>
          <w:rtl/>
        </w:rPr>
        <w:t xml:space="preserve">דכתבו לענין טריפה חשיב הסימן כמנח בדיקולא, דהיינו רק במקום שנחתך, אבל בשליש האחרון שלא נחתך ועדיין הוא שלם ויש בו דין שחיטה </w:t>
      </w:r>
      <w:r w:rsidRPr="00787761">
        <w:rPr>
          <w:rStyle w:val="afb"/>
          <w:rFonts w:hint="cs"/>
          <w:rtl/>
        </w:rPr>
        <w:t>[לכתחילה]</w:t>
      </w:r>
      <w:r>
        <w:rPr>
          <w:rFonts w:hint="cs"/>
          <w:rtl/>
        </w:rPr>
        <w:t>, ואפשר לשוחטו בדרך שחיטה, לא חשיב שהוא כמנח בדיקולא.</w:t>
      </w:r>
    </w:p>
    <w:p w14:paraId="06305499" w14:textId="77777777" w:rsidR="00436F39" w:rsidRPr="005A4ECB" w:rsidRDefault="00436F39" w:rsidP="006D6D32">
      <w:pPr>
        <w:pStyle w:val="a3"/>
        <w:rPr>
          <w:rtl/>
        </w:rPr>
      </w:pPr>
      <w:bookmarkStart w:id="15178" w:name="_Toc533490210"/>
      <w:bookmarkStart w:id="15179" w:name="_Toc533506188"/>
      <w:bookmarkStart w:id="15180" w:name="_Toc533544488"/>
      <w:bookmarkStart w:id="15181" w:name="_Toc533544685"/>
      <w:bookmarkStart w:id="15182" w:name="_Toc19391008"/>
      <w:bookmarkStart w:id="15183" w:name="_Toc19394505"/>
      <w:r>
        <w:rPr>
          <w:rFonts w:hint="cs"/>
          <w:rtl/>
        </w:rPr>
        <w:t>דברי האמרי משה דאף שנפסק רוב הקנה לא דרובו ככולו דלענין פסיקה הוא חלק מהצואר</w:t>
      </w:r>
      <w:bookmarkEnd w:id="15178"/>
      <w:bookmarkEnd w:id="15179"/>
      <w:bookmarkEnd w:id="15180"/>
      <w:bookmarkEnd w:id="15181"/>
      <w:bookmarkEnd w:id="15182"/>
      <w:bookmarkEnd w:id="15183"/>
    </w:p>
    <w:p w14:paraId="072A33BF" w14:textId="77777777" w:rsidR="00436F39" w:rsidRDefault="00436F39" w:rsidP="00223668">
      <w:pPr>
        <w:pStyle w:val="a0"/>
        <w:rPr>
          <w:rtl/>
        </w:rPr>
      </w:pPr>
      <w:r>
        <w:rPr>
          <w:rFonts w:hint="cs"/>
          <w:rtl/>
        </w:rPr>
        <w:t xml:space="preserve">והוסיף </w:t>
      </w:r>
      <w:r w:rsidRPr="004B27F1">
        <w:rPr>
          <w:rStyle w:val="af9"/>
          <w:rFonts w:hint="cs"/>
          <w:rtl/>
        </w:rPr>
        <w:t>האמרי משה</w:t>
      </w:r>
      <w:r>
        <w:rPr>
          <w:rFonts w:hint="cs"/>
          <w:rtl/>
        </w:rPr>
        <w:t xml:space="preserve"> דא"א לומר דכיון שנפסק רוב הסימן, חשיב שכולו נפסק מדין רובו ככולו, דהא למעשה אינו פסוק בכולו, ועוד דדוקא לענין דין שחיטה חשיב הסימן כדבר בפנ"ע ששייך לדון בו רובו ככולו, כיון שהכשר השחיטה תלויה רק בסימן, אבל לענין פסיקת הסימן, לא דנים רק את הסימן לבדו אלא את כל הצואר שהוא חלק ממנו, ורוב הצואר לא נפסק.</w:t>
      </w:r>
    </w:p>
    <w:p w14:paraId="790FE8C5" w14:textId="77777777" w:rsidR="00436F39" w:rsidRDefault="00436F39" w:rsidP="00BF39B2">
      <w:pPr>
        <w:pStyle w:val="1"/>
        <w:rPr>
          <w:rtl/>
        </w:rPr>
      </w:pPr>
      <w:bookmarkStart w:id="15184" w:name="_Toc533544489"/>
      <w:bookmarkStart w:id="15185" w:name="_Toc533544686"/>
      <w:bookmarkStart w:id="15186" w:name="_Toc19391009"/>
      <w:bookmarkStart w:id="15187" w:name="_Toc19394506"/>
      <w:r>
        <w:rPr>
          <w:rFonts w:hint="cs"/>
          <w:rtl/>
        </w:rPr>
        <w:t>דברי המשנת ר"א דא"א להוכיח מפסול מיעו"ב דמהני להכשיר</w:t>
      </w:r>
      <w:bookmarkEnd w:id="15184"/>
      <w:bookmarkEnd w:id="15185"/>
      <w:bookmarkEnd w:id="15186"/>
      <w:bookmarkEnd w:id="15187"/>
    </w:p>
    <w:p w14:paraId="7261CB38" w14:textId="77777777" w:rsidR="00436F39" w:rsidRDefault="00436F39" w:rsidP="006D6D32">
      <w:pPr>
        <w:pStyle w:val="a3"/>
        <w:rPr>
          <w:rtl/>
        </w:rPr>
      </w:pPr>
      <w:bookmarkStart w:id="15188" w:name="_Toc533544490"/>
      <w:bookmarkStart w:id="15189" w:name="_Toc533544687"/>
      <w:bookmarkStart w:id="15190" w:name="_Toc19391010"/>
      <w:bookmarkStart w:id="15191" w:name="_Toc19394507"/>
      <w:r>
        <w:rPr>
          <w:rFonts w:hint="cs"/>
          <w:rtl/>
        </w:rPr>
        <w:t>דברי המשנת ר"א דא"א להוכיח מהפסול במיעו"ב דמהני המיעו"ב להכשיר</w:t>
      </w:r>
      <w:bookmarkEnd w:id="15188"/>
      <w:bookmarkEnd w:id="15189"/>
      <w:bookmarkEnd w:id="15190"/>
      <w:bookmarkEnd w:id="15191"/>
    </w:p>
    <w:p w14:paraId="2CBE14B6" w14:textId="77777777" w:rsidR="00E53A7C" w:rsidRDefault="00436F39" w:rsidP="00223668">
      <w:pPr>
        <w:pStyle w:val="a0"/>
        <w:rPr>
          <w:rtl/>
        </w:rPr>
        <w:sectPr w:rsidR="00E53A7C" w:rsidSect="005049E2">
          <w:type w:val="continuous"/>
          <w:pgSz w:w="11906" w:h="16838"/>
          <w:pgMar w:top="720" w:right="720" w:bottom="720" w:left="720" w:header="283" w:footer="283" w:gutter="0"/>
          <w:cols w:num="2" w:space="567"/>
          <w:titlePg/>
          <w:bidi/>
          <w:rtlGutter/>
          <w:docGrid w:linePitch="299"/>
        </w:sectPr>
      </w:pPr>
      <w:r>
        <w:rPr>
          <w:rFonts w:hint="cs"/>
          <w:rtl/>
        </w:rPr>
        <w:t xml:space="preserve">אמנם </w:t>
      </w:r>
      <w:r w:rsidRPr="008C47EE">
        <w:rPr>
          <w:rStyle w:val="af9"/>
          <w:rFonts w:hint="cs"/>
          <w:rtl/>
        </w:rPr>
        <w:t>במשנת ר"א</w:t>
      </w:r>
      <w:r>
        <w:rPr>
          <w:rFonts w:hint="cs"/>
          <w:rtl/>
        </w:rPr>
        <w:t xml:space="preserve"> </w:t>
      </w:r>
      <w:r w:rsidRPr="00902478">
        <w:rPr>
          <w:rStyle w:val="af7"/>
          <w:rFonts w:eastAsia="Guttman Hodes" w:hint="cs"/>
          <w:rtl/>
        </w:rPr>
        <w:t>(סי' ג' אות ד' ד"ה ובעיקר)</w:t>
      </w:r>
      <w:r>
        <w:rPr>
          <w:rFonts w:hint="cs"/>
          <w:rtl/>
        </w:rPr>
        <w:t xml:space="preserve"> כתב דמהא דס"ל </w:t>
      </w:r>
      <w:r w:rsidRPr="008C47EE">
        <w:rPr>
          <w:rStyle w:val="af9"/>
          <w:rFonts w:hint="cs"/>
          <w:rtl/>
        </w:rPr>
        <w:t>לרש"י</w:t>
      </w:r>
      <w:r>
        <w:rPr>
          <w:rFonts w:hint="cs"/>
          <w:rtl/>
        </w:rPr>
        <w:t xml:space="preserve"> דשהייה פוסלת במיעו"ב, א"א להוכיח דס"ל דאף שנשחט הרוב עדיין יש חיות במיעוט בתרא, דהא אפש"ל דס"ל </w:t>
      </w:r>
      <w:r w:rsidRPr="000847B6">
        <w:rPr>
          <w:rStyle w:val="af9"/>
          <w:rFonts w:hint="cs"/>
          <w:rtl/>
        </w:rPr>
        <w:t>לרש"י</w:t>
      </w:r>
      <w:r>
        <w:rPr>
          <w:rFonts w:hint="cs"/>
          <w:rtl/>
        </w:rPr>
        <w:t xml:space="preserve"> דהפסול הוא מדרבנן כדביארו </w:t>
      </w:r>
      <w:r w:rsidRPr="008C47EE">
        <w:rPr>
          <w:rStyle w:val="af9"/>
          <w:rFonts w:hint="cs"/>
          <w:rtl/>
        </w:rPr>
        <w:t>הרשב"א</w:t>
      </w:r>
      <w:r>
        <w:rPr>
          <w:rFonts w:hint="cs"/>
          <w:rtl/>
        </w:rPr>
        <w:t xml:space="preserve"> </w:t>
      </w:r>
      <w:r w:rsidRPr="00C957BF">
        <w:rPr>
          <w:rStyle w:val="af7"/>
          <w:rFonts w:eastAsia="Guttman Hodes" w:hint="cs"/>
          <w:rtl/>
        </w:rPr>
        <w:t xml:space="preserve">(עי' אות </w:t>
      </w:r>
      <w:r w:rsidRPr="00C957BF">
        <w:rPr>
          <w:rStyle w:val="af7"/>
          <w:rFonts w:eastAsia="Guttman Hodes"/>
          <w:rtl/>
        </w:rPr>
        <w:fldChar w:fldCharType="begin"/>
      </w:r>
      <w:r w:rsidRPr="00C957BF">
        <w:rPr>
          <w:rStyle w:val="af7"/>
          <w:rFonts w:eastAsia="Guttman Hodes"/>
          <w:rtl/>
        </w:rPr>
        <w:instrText xml:space="preserve"> </w:instrText>
      </w:r>
      <w:r w:rsidRPr="00C957BF">
        <w:rPr>
          <w:rStyle w:val="af7"/>
          <w:rFonts w:eastAsia="Guttman Hodes" w:hint="cs"/>
        </w:rPr>
        <w:instrText>REF</w:instrText>
      </w:r>
      <w:r w:rsidRPr="00C957BF">
        <w:rPr>
          <w:rStyle w:val="af7"/>
          <w:rFonts w:eastAsia="Guttman Hodes" w:hint="cs"/>
          <w:rtl/>
        </w:rPr>
        <w:instrText xml:space="preserve"> _</w:instrText>
      </w:r>
      <w:r w:rsidRPr="00C957BF">
        <w:rPr>
          <w:rStyle w:val="af7"/>
          <w:rFonts w:eastAsia="Guttman Hodes" w:hint="cs"/>
        </w:rPr>
        <w:instrText>Ref533520907 \r \h</w:instrText>
      </w:r>
      <w:r w:rsidRPr="00C957BF">
        <w:rPr>
          <w:rStyle w:val="af7"/>
          <w:rFonts w:eastAsia="Guttman Hodes"/>
          <w:rtl/>
        </w:rPr>
        <w:instrText xml:space="preserve"> </w:instrText>
      </w:r>
      <w:r w:rsidRPr="00C957BF">
        <w:rPr>
          <w:rStyle w:val="af7"/>
          <w:rFonts w:eastAsia="Guttman Hodes"/>
          <w:rtl/>
        </w:rPr>
      </w:r>
      <w:r w:rsidRPr="00C957BF">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C957BF">
        <w:rPr>
          <w:rStyle w:val="af7"/>
          <w:rFonts w:eastAsia="Guttman Hodes"/>
          <w:rtl/>
        </w:rPr>
        <w:fldChar w:fldCharType="end"/>
      </w:r>
      <w:r>
        <w:rPr>
          <w:rFonts w:hint="cs"/>
          <w:rtl/>
        </w:rPr>
        <w:t xml:space="preserve"> </w:t>
      </w:r>
      <w:r w:rsidRPr="008C47EE">
        <w:rPr>
          <w:rStyle w:val="af9"/>
          <w:rFonts w:hint="cs"/>
          <w:rtl/>
        </w:rPr>
        <w:t>והיש"ש</w:t>
      </w:r>
      <w:r>
        <w:rPr>
          <w:rFonts w:hint="cs"/>
          <w:rtl/>
        </w:rPr>
        <w:t xml:space="preserve"> </w:t>
      </w:r>
      <w:r w:rsidRPr="00C957BF">
        <w:rPr>
          <w:rStyle w:val="af7"/>
          <w:rFonts w:eastAsia="Guttman Hodes" w:hint="cs"/>
          <w:rtl/>
        </w:rPr>
        <w:t xml:space="preserve">(עי' אות </w:t>
      </w:r>
      <w:r w:rsidRPr="00C957BF">
        <w:rPr>
          <w:rStyle w:val="af7"/>
          <w:rFonts w:eastAsia="Guttman Hodes"/>
          <w:rtl/>
        </w:rPr>
        <w:fldChar w:fldCharType="begin"/>
      </w:r>
      <w:r w:rsidRPr="00C957BF">
        <w:rPr>
          <w:rStyle w:val="af7"/>
          <w:rFonts w:eastAsia="Guttman Hodes"/>
          <w:rtl/>
        </w:rPr>
        <w:instrText xml:space="preserve"> </w:instrText>
      </w:r>
      <w:r w:rsidRPr="00C957BF">
        <w:rPr>
          <w:rStyle w:val="af7"/>
          <w:rFonts w:eastAsia="Guttman Hodes" w:hint="cs"/>
        </w:rPr>
        <w:instrText>REF</w:instrText>
      </w:r>
      <w:r w:rsidRPr="00C957BF">
        <w:rPr>
          <w:rStyle w:val="af7"/>
          <w:rFonts w:eastAsia="Guttman Hodes" w:hint="cs"/>
          <w:rtl/>
        </w:rPr>
        <w:instrText xml:space="preserve"> _</w:instrText>
      </w:r>
      <w:r w:rsidRPr="00C957BF">
        <w:rPr>
          <w:rStyle w:val="af7"/>
          <w:rFonts w:eastAsia="Guttman Hodes" w:hint="cs"/>
        </w:rPr>
        <w:instrText>Ref533520921 \r \h</w:instrText>
      </w:r>
      <w:r w:rsidRPr="00C957BF">
        <w:rPr>
          <w:rStyle w:val="af7"/>
          <w:rFonts w:eastAsia="Guttman Hodes"/>
          <w:rtl/>
        </w:rPr>
        <w:instrText xml:space="preserve"> </w:instrText>
      </w:r>
      <w:r w:rsidRPr="00C957BF">
        <w:rPr>
          <w:rStyle w:val="af7"/>
          <w:rFonts w:eastAsia="Guttman Hodes"/>
          <w:rtl/>
        </w:rPr>
      </w:r>
      <w:r w:rsidRPr="00C957BF">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sidRPr="00C957BF">
        <w:rPr>
          <w:rStyle w:val="af7"/>
          <w:rFonts w:eastAsia="Guttman Hodes"/>
          <w:rtl/>
        </w:rPr>
        <w:fldChar w:fldCharType="end"/>
      </w:r>
      <w:r>
        <w:rPr>
          <w:rFonts w:hint="cs"/>
          <w:rtl/>
        </w:rPr>
        <w:t xml:space="preserve"> אבל מדאו' אחר שנפסק רוב הסימן חשיב שכולו נפסק, וכתב המשנת ר"א דאף להסוברים דהפסול במיעוט בתרא </w:t>
      </w:r>
      <w:r w:rsidRPr="008C47EE">
        <w:rPr>
          <w:rStyle w:val="af9"/>
          <w:rFonts w:hint="cs"/>
          <w:rtl/>
        </w:rPr>
        <w:t>לרש"י</w:t>
      </w:r>
      <w:r>
        <w:rPr>
          <w:rFonts w:hint="cs"/>
          <w:rtl/>
        </w:rPr>
        <w:t xml:space="preserve"> הוא מדאו', ג"כ א"א להוכיח מהא דמיעוט בתרא פוסל, דיש חיות במיעוט בתרא אף בשביל להכשיר. </w:t>
      </w:r>
    </w:p>
    <w:p w14:paraId="132D5D37" w14:textId="77777777" w:rsidR="003D504D" w:rsidRDefault="003D504D" w:rsidP="00223668">
      <w:pPr>
        <w:pStyle w:val="a0"/>
        <w:rPr>
          <w:rtl/>
        </w:rPr>
        <w:sectPr w:rsidR="003D504D" w:rsidSect="005049E2">
          <w:type w:val="continuous"/>
          <w:pgSz w:w="11906" w:h="16838"/>
          <w:pgMar w:top="720" w:right="720" w:bottom="720" w:left="720" w:header="283" w:footer="283" w:gutter="0"/>
          <w:cols w:num="2" w:space="567"/>
          <w:titlePg/>
          <w:bidi/>
          <w:rtlGutter/>
          <w:docGrid w:linePitch="299"/>
        </w:sectPr>
      </w:pPr>
    </w:p>
    <w:p w14:paraId="4E5DCB51" w14:textId="77777777" w:rsidR="00436F39" w:rsidRDefault="003C298A" w:rsidP="00223668">
      <w:pPr>
        <w:pStyle w:val="a0"/>
        <w:numPr>
          <w:ilvl w:val="0"/>
          <w:numId w:val="0"/>
        </w:numPr>
        <w:rPr>
          <w:rtl/>
        </w:rPr>
        <w:sectPr w:rsidR="00436F39" w:rsidSect="00C52347">
          <w:headerReference w:type="default" r:id="rId96"/>
          <w:headerReference w:type="first" r:id="rId97"/>
          <w:pgSz w:w="11906" w:h="16838"/>
          <w:pgMar w:top="720" w:right="720" w:bottom="720" w:left="720" w:header="283" w:footer="283" w:gutter="0"/>
          <w:cols w:num="2" w:space="567"/>
          <w:bidi/>
          <w:rtlGutter/>
          <w:docGrid w:linePitch="299"/>
        </w:sectPr>
      </w:pPr>
      <w:r>
        <mc:AlternateContent>
          <mc:Choice Requires="wps">
            <w:drawing>
              <wp:anchor distT="0" distB="0" distL="114300" distR="114300" simplePos="0" relativeHeight="251673600" behindDoc="1" locked="0" layoutInCell="1" allowOverlap="1" wp14:anchorId="3A1AACFB" wp14:editId="2C6AE397">
                <wp:simplePos x="0" y="0"/>
                <wp:positionH relativeFrom="column">
                  <wp:posOffset>-3546427</wp:posOffset>
                </wp:positionH>
                <wp:positionV relativeFrom="paragraph">
                  <wp:posOffset>215660</wp:posOffset>
                </wp:positionV>
                <wp:extent cx="6686550" cy="2950234"/>
                <wp:effectExtent l="19050" t="19050" r="19050" b="21590"/>
                <wp:wrapNone/>
                <wp:docPr id="52" name="מלבן מעוגל 52"/>
                <wp:cNvGraphicFramePr/>
                <a:graphic xmlns:a="http://schemas.openxmlformats.org/drawingml/2006/main">
                  <a:graphicData uri="http://schemas.microsoft.com/office/word/2010/wordprocessingShape">
                    <wps:wsp>
                      <wps:cNvSpPr/>
                      <wps:spPr>
                        <a:xfrm>
                          <a:off x="0" y="0"/>
                          <a:ext cx="6686550" cy="2950234"/>
                        </a:xfrm>
                        <a:prstGeom prst="roundRect">
                          <a:avLst/>
                        </a:prstGeom>
                        <a:noFill/>
                        <a:ln w="31750" cap="rnd" cmpd="tri">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4040821" w14:textId="77777777" w:rsidR="00345400" w:rsidRDefault="00345400" w:rsidP="003C298A">
                            <w:pPr>
                              <w:ind w:left="0"/>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מלבן מעוגל 52" o:spid="_x0000_s1031" style="position:absolute;left:0;text-align:left;margin-left:-279.25pt;margin-top:17pt;width:526.5pt;height:232.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" filled="f" strokecolor="black [3213]" strokeweight="2.5pt">
                <v:stroke linestyle="thickBetweenThin" endcap="round"/>
                <v:textbox>
                  <w:txbxContent>
                    <w:p w:rsidR="00345400" w:rsidRDefault="00345400" w:rsidP="003C298A">
                      <w:pPr>
                        <w:ind w:left="0"/>
                      </w:pPr>
                    </w:p>
                  </w:txbxContent>
                </v:textbox>
              </v:roundrect>
            </w:pict>
          </mc:Fallback>
        </mc:AlternateContent>
      </w:r>
    </w:p>
    <w:p w14:paraId="7F4DAF13" w14:textId="77777777" w:rsidR="008D3BEF" w:rsidRDefault="008D3BEF" w:rsidP="008D3BEF">
      <w:pPr>
        <w:ind w:left="0"/>
        <w:jc w:val="center"/>
        <w:rPr>
          <w:rFonts w:cs="Guttman Hodes"/>
          <w:sz w:val="32"/>
          <w:szCs w:val="32"/>
        </w:rPr>
      </w:pPr>
    </w:p>
    <w:p w14:paraId="62426522" w14:textId="77777777" w:rsidR="008D3BEF" w:rsidRDefault="008D3BEF" w:rsidP="008D3BEF">
      <w:pPr>
        <w:ind w:left="0"/>
        <w:jc w:val="center"/>
        <w:rPr>
          <w:rFonts w:cs="Guttman Hodes"/>
          <w:sz w:val="32"/>
          <w:szCs w:val="32"/>
          <w:rtl/>
        </w:rPr>
      </w:pPr>
    </w:p>
    <w:p w14:paraId="282EC5A9" w14:textId="77777777" w:rsidR="008D3BEF" w:rsidRDefault="008D3BEF" w:rsidP="008D3BEF">
      <w:pPr>
        <w:ind w:left="0"/>
        <w:jc w:val="center"/>
        <w:rPr>
          <w:rFonts w:cs="Guttman Hodes"/>
          <w:sz w:val="32"/>
          <w:szCs w:val="32"/>
          <w:rtl/>
        </w:rPr>
      </w:pPr>
    </w:p>
    <w:p w14:paraId="2561A4FC" w14:textId="77777777" w:rsidR="00713E55" w:rsidRDefault="00713E55" w:rsidP="00713E55">
      <w:pPr>
        <w:pStyle w:val="a9"/>
        <w:ind w:left="0"/>
        <w:jc w:val="center"/>
        <w:rPr>
          <w:rFonts w:cs="Guttman Hodes"/>
          <w:b/>
          <w:bCs/>
          <w:sz w:val="44"/>
          <w:szCs w:val="44"/>
        </w:rPr>
      </w:pPr>
      <w:r w:rsidRPr="00713E55">
        <w:rPr>
          <w:rFonts w:cs="Guttman Hodes"/>
          <w:b/>
          <w:bCs/>
          <w:sz w:val="96"/>
          <w:szCs w:val="96"/>
          <w:rtl/>
        </w:rPr>
        <w:t>פרק בהמה המקשה</w:t>
      </w:r>
      <w:r w:rsidRPr="00713E55">
        <w:rPr>
          <w:rFonts w:cs="Guttman Hodes" w:hint="cs"/>
          <w:b/>
          <w:bCs/>
          <w:sz w:val="96"/>
          <w:szCs w:val="96"/>
          <w:rtl/>
        </w:rPr>
        <w:t xml:space="preserve"> </w:t>
      </w:r>
    </w:p>
    <w:p w14:paraId="2E03210E" w14:textId="77777777" w:rsidR="008D3BEF" w:rsidRDefault="008D3BEF" w:rsidP="008D3BEF">
      <w:pPr>
        <w:ind w:left="0"/>
        <w:jc w:val="center"/>
        <w:rPr>
          <w:rFonts w:cs="Guttman Hodes"/>
          <w:b/>
          <w:bCs/>
          <w:sz w:val="44"/>
          <w:szCs w:val="44"/>
          <w:rtl/>
        </w:rPr>
      </w:pPr>
    </w:p>
    <w:p w14:paraId="4917D0D4" w14:textId="77777777" w:rsidR="008D3BEF" w:rsidRDefault="008D3BEF" w:rsidP="008D3BEF">
      <w:pPr>
        <w:ind w:left="0"/>
        <w:jc w:val="center"/>
        <w:rPr>
          <w:rFonts w:cs="Guttman Hodes"/>
          <w:b/>
          <w:bCs/>
          <w:sz w:val="32"/>
          <w:szCs w:val="32"/>
          <w:rtl/>
        </w:rPr>
      </w:pPr>
    </w:p>
    <w:p w14:paraId="31B33E71" w14:textId="77777777" w:rsidR="008D3BEF" w:rsidRDefault="008D3BEF" w:rsidP="008D3BEF">
      <w:pPr>
        <w:spacing w:line="240" w:lineRule="auto"/>
        <w:ind w:left="0"/>
        <w:jc w:val="center"/>
        <w:rPr>
          <w:rFonts w:ascii="Guttman Hodes" w:eastAsia="Guttman Hodes" w:hAnsi="Guttman Hodes" w:cs="Guttman Hodes"/>
          <w:b/>
          <w:bCs/>
          <w:rtl/>
        </w:rPr>
      </w:pPr>
    </w:p>
    <w:p w14:paraId="446F3E55" w14:textId="77777777" w:rsidR="008D3BEF" w:rsidRPr="00713E55" w:rsidRDefault="008D3BEF" w:rsidP="008D3BEF">
      <w:pPr>
        <w:bidi w:val="0"/>
        <w:spacing w:line="240" w:lineRule="auto"/>
        <w:ind w:left="0"/>
        <w:jc w:val="left"/>
        <w:rPr>
          <w:rFonts w:eastAsia="Guttman Hodes" w:cs="Guttman Hodes"/>
          <w:b/>
          <w:bCs/>
          <w:rtl/>
        </w:rPr>
        <w:sectPr w:rsidR="008D3BEF" w:rsidRPr="00713E55" w:rsidSect="008D3BEF">
          <w:type w:val="continuous"/>
          <w:pgSz w:w="11906" w:h="16838"/>
          <w:pgMar w:top="720" w:right="720" w:bottom="720" w:left="720" w:header="283" w:footer="283" w:gutter="0"/>
          <w:pgNumType w:fmt="hebrew1"/>
          <w:cols w:space="720"/>
          <w:bidi/>
          <w:rtlGutter/>
        </w:sectPr>
      </w:pPr>
    </w:p>
    <w:p w14:paraId="7AB70F14" w14:textId="77777777" w:rsidR="003D504D" w:rsidRDefault="003D504D" w:rsidP="003D504D">
      <w:pPr>
        <w:pStyle w:val="a3"/>
        <w:rPr>
          <w:rtl/>
        </w:rPr>
        <w:sectPr w:rsidR="003D504D" w:rsidSect="005049E2">
          <w:headerReference w:type="default" r:id="rId98"/>
          <w:headerReference w:type="first" r:id="rId99"/>
          <w:footerReference w:type="first" r:id="rId100"/>
          <w:type w:val="continuous"/>
          <w:pgSz w:w="11906" w:h="16838"/>
          <w:pgMar w:top="720" w:right="720" w:bottom="720" w:left="720" w:header="283" w:footer="283" w:gutter="0"/>
          <w:cols w:num="2" w:space="567"/>
          <w:titlePg/>
          <w:bidi/>
          <w:rtlGutter/>
          <w:docGrid w:linePitch="299"/>
        </w:sectPr>
      </w:pPr>
    </w:p>
    <w:p w14:paraId="5BCA680D" w14:textId="77777777" w:rsidR="003C298A" w:rsidRDefault="003C298A" w:rsidP="003D504D">
      <w:pPr>
        <w:pStyle w:val="afd"/>
        <w:spacing w:before="0" w:after="120"/>
        <w:rPr>
          <w:rtl/>
        </w:rPr>
        <w:sectPr w:rsidR="003C298A" w:rsidSect="00472DB3">
          <w:headerReference w:type="default" r:id="rId101"/>
          <w:footerReference w:type="default" r:id="rId102"/>
          <w:headerReference w:type="first" r:id="rId103"/>
          <w:footerReference w:type="first" r:id="rId104"/>
          <w:pgSz w:w="11906" w:h="16838"/>
          <w:pgMar w:top="720" w:right="720" w:bottom="720" w:left="720" w:header="283" w:footer="283" w:gutter="0"/>
          <w:cols w:space="113"/>
          <w:bidi/>
          <w:rtlGutter/>
          <w:docGrid w:linePitch="299"/>
        </w:sectPr>
      </w:pPr>
      <w:bookmarkStart w:id="15192" w:name="_Toc533585372"/>
      <w:bookmarkStart w:id="15193" w:name="_Toc535089788"/>
      <w:bookmarkStart w:id="15194" w:name="_Toc533585359"/>
      <w:bookmarkStart w:id="15195" w:name="_Toc535095874"/>
      <w:bookmarkStart w:id="15196" w:name="_Toc535302102"/>
      <w:bookmarkStart w:id="15197" w:name="_Toc535526160"/>
      <w:bookmarkStart w:id="15198" w:name="_Toc535574854"/>
      <w:bookmarkStart w:id="15199" w:name="_Toc535702310"/>
      <w:bookmarkStart w:id="15200" w:name="_Toc535750452"/>
      <w:bookmarkStart w:id="15201" w:name="_Toc5356374"/>
      <w:bookmarkStart w:id="15202" w:name="_Ref535228171"/>
    </w:p>
    <w:p w14:paraId="7F06A93D" w14:textId="77777777" w:rsidR="003D504D" w:rsidRDefault="003D504D" w:rsidP="00F31AA3">
      <w:pPr>
        <w:pStyle w:val="afd"/>
        <w:spacing w:before="0" w:after="120"/>
        <w:rPr>
          <w:rtl/>
        </w:rPr>
      </w:pPr>
      <w:bookmarkStart w:id="15203" w:name="_Toc16669757"/>
      <w:bookmarkStart w:id="15204" w:name="_Toc19435934"/>
      <w:bookmarkStart w:id="15205" w:name="_Toc20081161"/>
      <w:r>
        <w:rPr>
          <w:rFonts w:hint="cs"/>
          <w:rtl/>
        </w:rPr>
        <w:t>סימן</w:t>
      </w:r>
      <w:bookmarkEnd w:id="15192"/>
      <w:bookmarkEnd w:id="15193"/>
      <w:r>
        <w:rPr>
          <w:rFonts w:hint="cs"/>
          <w:rtl/>
        </w:rPr>
        <w:t xml:space="preserve"> </w:t>
      </w:r>
      <w:bookmarkEnd w:id="15194"/>
      <w:r w:rsidR="00472DB3">
        <w:rPr>
          <w:rFonts w:hint="cs"/>
          <w:rtl/>
        </w:rPr>
        <w:t>ט"ו</w:t>
      </w:r>
      <w:bookmarkStart w:id="15206" w:name="_Toc535095875"/>
      <w:bookmarkStart w:id="15207" w:name="_Toc535302103"/>
      <w:bookmarkStart w:id="15208" w:name="_Toc535526161"/>
      <w:bookmarkStart w:id="15209" w:name="_Toc535574855"/>
      <w:bookmarkStart w:id="15210" w:name="_Toc535702311"/>
      <w:bookmarkStart w:id="15211" w:name="_Toc535750453"/>
      <w:bookmarkEnd w:id="15195"/>
      <w:bookmarkEnd w:id="15196"/>
      <w:bookmarkEnd w:id="15197"/>
      <w:bookmarkEnd w:id="15198"/>
      <w:bookmarkEnd w:id="15199"/>
      <w:bookmarkEnd w:id="15200"/>
      <w:bookmarkEnd w:id="15201"/>
      <w:bookmarkEnd w:id="15203"/>
      <w:bookmarkEnd w:id="15204"/>
      <w:bookmarkEnd w:id="15205"/>
    </w:p>
    <w:p w14:paraId="3D97864A" w14:textId="77777777" w:rsidR="003D504D" w:rsidRPr="00350D47" w:rsidRDefault="003D504D" w:rsidP="003D504D">
      <w:pPr>
        <w:pStyle w:val="afd"/>
        <w:spacing w:before="0" w:after="120"/>
        <w:rPr>
          <w:rtl/>
        </w:rPr>
      </w:pPr>
      <w:bookmarkStart w:id="15212" w:name="_Toc5356375"/>
      <w:bookmarkStart w:id="15213" w:name="_Toc16669758"/>
      <w:bookmarkStart w:id="15214" w:name="_Toc19435935"/>
      <w:bookmarkStart w:id="15215" w:name="_Toc20081162"/>
      <w:r>
        <w:rPr>
          <w:rFonts w:hint="cs"/>
          <w:rtl/>
        </w:rPr>
        <w:t>סוגיא דאבר היוצא (א')</w:t>
      </w:r>
      <w:bookmarkEnd w:id="15212"/>
      <w:bookmarkEnd w:id="15213"/>
      <w:bookmarkEnd w:id="15214"/>
      <w:bookmarkEnd w:id="15215"/>
    </w:p>
    <w:p w14:paraId="7907ABE8" w14:textId="77777777" w:rsidR="003D504D" w:rsidRDefault="003D504D" w:rsidP="003D504D">
      <w:pPr>
        <w:pStyle w:val="afd"/>
        <w:spacing w:before="0" w:after="120"/>
        <w:rPr>
          <w:rtl/>
        </w:rPr>
      </w:pPr>
      <w:bookmarkStart w:id="15216" w:name="_Toc5356376"/>
      <w:bookmarkStart w:id="15217" w:name="_Toc16669759"/>
      <w:bookmarkStart w:id="15218" w:name="_Toc19435936"/>
      <w:bookmarkStart w:id="15219" w:name="_Toc20081163"/>
      <w:r>
        <w:rPr>
          <w:rFonts w:hint="cs"/>
          <w:rtl/>
        </w:rPr>
        <w:t xml:space="preserve">בהיתר חותך מעובר שבמעיה </w:t>
      </w:r>
      <w:bookmarkEnd w:id="15206"/>
      <w:r>
        <w:rPr>
          <w:rFonts w:hint="cs"/>
          <w:rtl/>
        </w:rPr>
        <w:t>ובאיסור אבר היוצא</w:t>
      </w:r>
      <w:bookmarkEnd w:id="15207"/>
      <w:bookmarkEnd w:id="15208"/>
      <w:r>
        <w:rPr>
          <w:rFonts w:hint="cs"/>
          <w:rtl/>
        </w:rPr>
        <w:t xml:space="preserve"> ומקום חתך</w:t>
      </w:r>
      <w:bookmarkEnd w:id="15209"/>
      <w:bookmarkEnd w:id="15210"/>
      <w:bookmarkEnd w:id="15211"/>
      <w:bookmarkEnd w:id="15216"/>
      <w:bookmarkEnd w:id="15217"/>
      <w:bookmarkEnd w:id="15218"/>
      <w:bookmarkEnd w:id="15219"/>
    </w:p>
    <w:p w14:paraId="365ADA1E" w14:textId="77777777" w:rsidR="003D504D" w:rsidRDefault="000A0C31" w:rsidP="003D504D">
      <w:pPr>
        <w:pStyle w:val="2"/>
        <w:keepNext w:val="0"/>
        <w:keepLines w:val="0"/>
        <w:rPr>
          <w:rtl/>
        </w:rPr>
      </w:pPr>
      <w:r>
        <w:rPr>
          <w:rtl/>
        </w:rPr>
        <w:t>מפתח הסוגיא</w:t>
      </w:r>
    </w:p>
    <w:p w14:paraId="566E8E09" w14:textId="77777777" w:rsidR="003D504D" w:rsidRDefault="003D504D" w:rsidP="003D504D">
      <w:pPr>
        <w:pStyle w:val="aff4"/>
        <w:rPr>
          <w:rtl/>
        </w:rPr>
        <w:sectPr w:rsidR="003D504D" w:rsidSect="00472DB3">
          <w:headerReference w:type="default" r:id="rId105"/>
          <w:pgSz w:w="11906" w:h="16838"/>
          <w:pgMar w:top="720" w:right="720" w:bottom="720" w:left="720" w:header="283" w:footer="283" w:gutter="0"/>
          <w:cols w:space="113"/>
          <w:bidi/>
          <w:rtlGutter/>
          <w:docGrid w:linePitch="299"/>
        </w:sectPr>
      </w:pPr>
    </w:p>
    <w:p w14:paraId="6A4BC0A4" w14:textId="77777777" w:rsidR="003D504D" w:rsidRDefault="003D504D" w:rsidP="003D504D">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bookmarkStart w:id="15220" w:name="_Toc19435938"/>
      <w:r>
        <w:rPr>
          <w:noProof/>
          <w:rtl/>
        </w:rPr>
        <w:t>מראי מקומות וביאורים על הסוגיא</w:t>
      </w:r>
      <w:bookmarkEnd w:id="15220"/>
    </w:p>
    <w:p w14:paraId="772A3774" w14:textId="77777777" w:rsidR="003D504D" w:rsidRDefault="003D504D" w:rsidP="003D504D">
      <w:pPr>
        <w:pStyle w:val="2"/>
        <w:rPr>
          <w:rFonts w:eastAsiaTheme="minorEastAsia" w:cstheme="minorBidi"/>
          <w:i/>
          <w:iCs/>
          <w:noProof/>
          <w:sz w:val="22"/>
          <w:szCs w:val="22"/>
          <w:rtl/>
        </w:rPr>
      </w:pPr>
      <w:bookmarkStart w:id="15221" w:name="_Toc19435939"/>
      <w:r>
        <w:rPr>
          <w:noProof/>
          <w:rtl/>
        </w:rPr>
        <w:t>בגדר ההיתר בחתך מעובר שבמעיה</w:t>
      </w:r>
      <w:bookmarkEnd w:id="15221"/>
    </w:p>
    <w:p w14:paraId="299E6237" w14:textId="77777777" w:rsidR="003D504D" w:rsidRDefault="003D504D" w:rsidP="003D504D">
      <w:pPr>
        <w:pStyle w:val="aff4"/>
        <w:rPr>
          <w:rFonts w:eastAsiaTheme="minorEastAsia" w:cstheme="minorBidi"/>
          <w:i/>
          <w:iCs/>
          <w:noProof/>
          <w:sz w:val="22"/>
          <w:szCs w:val="22"/>
          <w:rtl/>
        </w:rPr>
      </w:pPr>
      <w:bookmarkStart w:id="15222" w:name="_Toc19435940"/>
      <w:bookmarkStart w:id="15223" w:name="_Toc20081164"/>
      <w:r>
        <w:rPr>
          <w:noProof/>
          <w:rtl/>
        </w:rPr>
        <w:t>דברי רש"י והמאירי בהיתר חותך מעובר שבמעיה</w:t>
      </w:r>
      <w:bookmarkEnd w:id="15222"/>
      <w:bookmarkEnd w:id="15223"/>
    </w:p>
    <w:p w14:paraId="3C2AA23C" w14:textId="77777777" w:rsidR="003D504D" w:rsidRPr="005077A7" w:rsidRDefault="003D504D" w:rsidP="00E12979">
      <w:pPr>
        <w:pStyle w:val="a"/>
        <w:numPr>
          <w:ilvl w:val="0"/>
          <w:numId w:val="32"/>
        </w:numPr>
        <w:rPr>
          <w:rFonts w:eastAsiaTheme="minorEastAsia" w:cstheme="minorBidi"/>
          <w:sz w:val="22"/>
          <w:szCs w:val="22"/>
          <w:rtl/>
        </w:rPr>
      </w:pPr>
      <w:r>
        <w:rPr>
          <w:rtl/>
        </w:rPr>
        <w:t>דברי רש"י דבחתך מהועובר והניח בתוך הבהמה ושחטה מותר מההיתר דבן פקועה</w:t>
      </w:r>
    </w:p>
    <w:p w14:paraId="4A9EB1DC" w14:textId="77777777" w:rsidR="003D504D" w:rsidRDefault="003D504D" w:rsidP="005077A7">
      <w:pPr>
        <w:pStyle w:val="a"/>
        <w:rPr>
          <w:rFonts w:eastAsiaTheme="minorEastAsia" w:cstheme="minorBidi"/>
          <w:sz w:val="22"/>
          <w:szCs w:val="22"/>
          <w:rtl/>
        </w:rPr>
      </w:pPr>
      <w:r>
        <w:rPr>
          <w:rtl/>
        </w:rPr>
        <w:t>דברי רש"י דבחותך מהבהמה עצמה ילפינן דאסור אף שהניח את החתיכה בתוכה ושחטה</w:t>
      </w:r>
    </w:p>
    <w:p w14:paraId="451A2B80" w14:textId="77777777" w:rsidR="003D504D" w:rsidRDefault="003D504D" w:rsidP="005077A7">
      <w:pPr>
        <w:pStyle w:val="a"/>
        <w:rPr>
          <w:rFonts w:eastAsiaTheme="minorEastAsia" w:cstheme="minorBidi"/>
          <w:sz w:val="22"/>
          <w:szCs w:val="22"/>
          <w:rtl/>
        </w:rPr>
      </w:pPr>
      <w:r>
        <w:rPr>
          <w:rtl/>
        </w:rPr>
        <w:t>ביאור המאירי דבחותך מעובר מותר דאינו בכלל אבמה"ח אבל חתיכה מהבהמה אסורה באבמה"ח</w:t>
      </w:r>
    </w:p>
    <w:p w14:paraId="18039A87" w14:textId="77777777" w:rsidR="003D504D" w:rsidRDefault="003D504D" w:rsidP="003D504D">
      <w:pPr>
        <w:pStyle w:val="aff4"/>
        <w:rPr>
          <w:rFonts w:eastAsiaTheme="minorEastAsia" w:cstheme="minorBidi"/>
          <w:i/>
          <w:iCs/>
          <w:noProof/>
          <w:sz w:val="22"/>
          <w:szCs w:val="22"/>
          <w:rtl/>
        </w:rPr>
      </w:pPr>
      <w:bookmarkStart w:id="15224" w:name="_Toc19435941"/>
      <w:bookmarkStart w:id="15225" w:name="_Toc20081165"/>
      <w:r>
        <w:rPr>
          <w:noProof/>
          <w:rtl/>
        </w:rPr>
        <w:t>חקירת האחרונים בגדר היתר "כל בבהמה"</w:t>
      </w:r>
      <w:bookmarkEnd w:id="15224"/>
      <w:bookmarkEnd w:id="15225"/>
    </w:p>
    <w:p w14:paraId="5D4BFC64" w14:textId="77777777" w:rsidR="003D504D" w:rsidRDefault="003D504D" w:rsidP="005077A7">
      <w:pPr>
        <w:pStyle w:val="a"/>
        <w:rPr>
          <w:rFonts w:eastAsiaTheme="minorEastAsia" w:cstheme="minorBidi"/>
          <w:sz w:val="22"/>
          <w:szCs w:val="22"/>
          <w:rtl/>
        </w:rPr>
      </w:pPr>
      <w:r>
        <w:rPr>
          <w:rtl/>
        </w:rPr>
        <w:t>חקירת האחרונים אי בן פקועה חשיב כשחוט או שיש בו היתר מיוחד</w:t>
      </w:r>
    </w:p>
    <w:p w14:paraId="471E6FE1" w14:textId="77777777" w:rsidR="003D504D" w:rsidRDefault="003D504D" w:rsidP="003D504D">
      <w:pPr>
        <w:pStyle w:val="aff4"/>
        <w:rPr>
          <w:rFonts w:eastAsiaTheme="minorEastAsia" w:cstheme="minorBidi"/>
          <w:i/>
          <w:iCs/>
          <w:noProof/>
          <w:sz w:val="22"/>
          <w:szCs w:val="22"/>
          <w:rtl/>
        </w:rPr>
      </w:pPr>
      <w:bookmarkStart w:id="15226" w:name="_Toc19435942"/>
      <w:bookmarkStart w:id="15227" w:name="_Toc20081166"/>
      <w:r>
        <w:rPr>
          <w:noProof/>
          <w:rtl/>
        </w:rPr>
        <w:t>דעת הרא"ש דחותך מעובר מותר מגזיה"כ כשאר איסורים</w:t>
      </w:r>
      <w:bookmarkEnd w:id="15226"/>
      <w:bookmarkEnd w:id="15227"/>
    </w:p>
    <w:p w14:paraId="75B6E5A0" w14:textId="77777777" w:rsidR="003D504D" w:rsidRDefault="003D504D" w:rsidP="005077A7">
      <w:pPr>
        <w:pStyle w:val="a"/>
        <w:rPr>
          <w:rFonts w:eastAsiaTheme="minorEastAsia" w:cstheme="minorBidi"/>
          <w:sz w:val="22"/>
          <w:szCs w:val="22"/>
          <w:rtl/>
        </w:rPr>
      </w:pPr>
      <w:r>
        <w:rPr>
          <w:rtl/>
        </w:rPr>
        <w:t>דברי הרא"ש דמההיתר בחותך מעובר מוכח דההיתר בבן פקועה הוא מגזיה"כ "כל בבהמה"</w:t>
      </w:r>
    </w:p>
    <w:p w14:paraId="049411A1" w14:textId="77777777" w:rsidR="003D504D" w:rsidRDefault="003D504D" w:rsidP="005077A7">
      <w:pPr>
        <w:pStyle w:val="a"/>
        <w:rPr>
          <w:rFonts w:eastAsiaTheme="minorEastAsia" w:cstheme="minorBidi"/>
          <w:sz w:val="22"/>
          <w:szCs w:val="22"/>
          <w:rtl/>
        </w:rPr>
      </w:pPr>
      <w:r>
        <w:rPr>
          <w:rtl/>
        </w:rPr>
        <w:t>ביאור הנאות יעקב דכוונת הרא"ש שיש היתר בבן פקועה לכל האיסורים שבו ולא חשיב כשחוט</w:t>
      </w:r>
    </w:p>
    <w:p w14:paraId="3F75138C" w14:textId="77777777" w:rsidR="003D504D" w:rsidRDefault="003D504D" w:rsidP="005077A7">
      <w:pPr>
        <w:pStyle w:val="a"/>
        <w:rPr>
          <w:rFonts w:eastAsiaTheme="minorEastAsia" w:cstheme="minorBidi"/>
          <w:sz w:val="22"/>
          <w:szCs w:val="22"/>
          <w:rtl/>
        </w:rPr>
      </w:pPr>
      <w:r>
        <w:rPr>
          <w:rtl/>
        </w:rPr>
        <w:t>דברי הרא"ש דאף החלב של העובר מותר מגזיה"כ ומדינא אף דמו היה צריך להיות מותר</w:t>
      </w:r>
    </w:p>
    <w:p w14:paraId="097BB555" w14:textId="77777777" w:rsidR="003D504D" w:rsidRDefault="003D504D" w:rsidP="005077A7">
      <w:pPr>
        <w:pStyle w:val="a"/>
        <w:rPr>
          <w:rFonts w:eastAsiaTheme="minorEastAsia" w:cstheme="minorBidi"/>
          <w:sz w:val="22"/>
          <w:szCs w:val="22"/>
          <w:rtl/>
        </w:rPr>
      </w:pPr>
      <w:r>
        <w:rPr>
          <w:rtl/>
        </w:rPr>
        <w:t>דברי הנאות יעקב דלדעת הרא"ש כל היאסורים שבעובר מותרים בשחיטת אמו</w:t>
      </w:r>
    </w:p>
    <w:p w14:paraId="69E83EB1" w14:textId="77777777" w:rsidR="003D504D" w:rsidRDefault="003D504D" w:rsidP="003D504D">
      <w:pPr>
        <w:pStyle w:val="aff4"/>
        <w:rPr>
          <w:rFonts w:eastAsiaTheme="minorEastAsia" w:cstheme="minorBidi"/>
          <w:i/>
          <w:iCs/>
          <w:noProof/>
          <w:sz w:val="22"/>
          <w:szCs w:val="22"/>
          <w:rtl/>
        </w:rPr>
      </w:pPr>
      <w:bookmarkStart w:id="15228" w:name="_Toc19435943"/>
      <w:bookmarkStart w:id="15229" w:name="_Toc20081167"/>
      <w:r>
        <w:rPr>
          <w:rFonts w:hint="cs"/>
          <w:rtl/>
        </w:rPr>
        <w:t>פלוגתת הפרי תואר והתבו"ש אי ההיתר הוא אף בנולד העובר</w:t>
      </w:r>
      <w:bookmarkEnd w:id="15228"/>
      <w:bookmarkEnd w:id="15229"/>
    </w:p>
    <w:p w14:paraId="0DB9EAB7" w14:textId="77777777" w:rsidR="003D504D" w:rsidRDefault="003D504D" w:rsidP="005077A7">
      <w:pPr>
        <w:pStyle w:val="a"/>
      </w:pPr>
      <w:r>
        <w:rPr>
          <w:rtl/>
        </w:rPr>
        <w:t>דברי הפרי תואר דבחותך מעובר החתיכה שבתוכה מותרת אף אם נולד העובר לפני השחיטה</w:t>
      </w:r>
    </w:p>
    <w:p w14:paraId="306E1CDD" w14:textId="77777777" w:rsidR="003D504D" w:rsidRPr="0024609B" w:rsidRDefault="003D504D" w:rsidP="005077A7">
      <w:pPr>
        <w:pStyle w:val="a"/>
        <w:rPr>
          <w:rtl/>
        </w:rPr>
      </w:pPr>
      <w:r>
        <w:rPr>
          <w:rFonts w:hint="cs"/>
          <w:rtl/>
        </w:rPr>
        <w:t>דברי התבו"ש וה</w:t>
      </w:r>
      <w:r w:rsidR="00345400">
        <w:rPr>
          <w:rFonts w:hint="cs"/>
          <w:rtl/>
        </w:rPr>
        <w:t>פלתי</w:t>
      </w:r>
      <w:r>
        <w:rPr>
          <w:rFonts w:hint="cs"/>
          <w:rtl/>
        </w:rPr>
        <w:t xml:space="preserve"> דבחותך מעובר החתיכה שבתוכה אסורה אם נולד העובר לפני השחיטה</w:t>
      </w:r>
    </w:p>
    <w:p w14:paraId="0B560E79" w14:textId="77777777" w:rsidR="003D504D" w:rsidRDefault="003D504D" w:rsidP="003D504D">
      <w:pPr>
        <w:pStyle w:val="aff4"/>
        <w:rPr>
          <w:rFonts w:eastAsiaTheme="minorEastAsia" w:cstheme="minorBidi"/>
          <w:i/>
          <w:iCs/>
          <w:noProof/>
          <w:sz w:val="22"/>
          <w:szCs w:val="22"/>
          <w:rtl/>
        </w:rPr>
      </w:pPr>
      <w:bookmarkStart w:id="15230" w:name="_Toc19435944"/>
      <w:bookmarkStart w:id="15231" w:name="_Toc20081168"/>
      <w:r>
        <w:rPr>
          <w:noProof/>
          <w:rtl/>
        </w:rPr>
        <w:t>דעת הסוברים דהיתר "כל בבהמה" מתיר אף בנמצא טריפה</w:t>
      </w:r>
      <w:bookmarkEnd w:id="15230"/>
      <w:bookmarkEnd w:id="15231"/>
    </w:p>
    <w:p w14:paraId="7F75F6AB" w14:textId="77777777" w:rsidR="003D504D" w:rsidRDefault="003D504D" w:rsidP="005077A7">
      <w:pPr>
        <w:pStyle w:val="a"/>
        <w:rPr>
          <w:rFonts w:eastAsiaTheme="minorEastAsia" w:cstheme="minorBidi"/>
          <w:sz w:val="22"/>
          <w:szCs w:val="22"/>
          <w:rtl/>
        </w:rPr>
      </w:pPr>
      <w:r>
        <w:rPr>
          <w:rtl/>
        </w:rPr>
        <w:t>דברי הר"ן דחותך מעובר שבמעיה מותר מדין "כל בבהמה"  כמו במת העובר או נמצא טריפה</w:t>
      </w:r>
    </w:p>
    <w:p w14:paraId="6B84FF98" w14:textId="77777777" w:rsidR="003D504D" w:rsidRDefault="003D504D" w:rsidP="005077A7">
      <w:pPr>
        <w:pStyle w:val="a"/>
        <w:rPr>
          <w:rFonts w:eastAsiaTheme="minorEastAsia" w:cstheme="minorBidi"/>
          <w:sz w:val="22"/>
          <w:szCs w:val="22"/>
          <w:rtl/>
        </w:rPr>
      </w:pPr>
      <w:r>
        <w:rPr>
          <w:rtl/>
        </w:rPr>
        <w:t>דברי ההג' אשר"י בשם רבינו שמואל דשחיטת האם מתרת אף בנמצא העובר טריפה</w:t>
      </w:r>
    </w:p>
    <w:p w14:paraId="684E65A0" w14:textId="77777777" w:rsidR="003D504D" w:rsidRDefault="003D504D" w:rsidP="005077A7">
      <w:pPr>
        <w:pStyle w:val="a"/>
        <w:rPr>
          <w:rFonts w:eastAsiaTheme="minorEastAsia" w:cstheme="minorBidi"/>
          <w:sz w:val="22"/>
          <w:szCs w:val="22"/>
          <w:rtl/>
        </w:rPr>
      </w:pPr>
      <w:r>
        <w:rPr>
          <w:rtl/>
        </w:rPr>
        <w:t>ביאור האו"ש והנאות יעקב דס"ל דאין העובר חשיב כשחוט אלא הותרו כל האיסורים שבו</w:t>
      </w:r>
    </w:p>
    <w:p w14:paraId="229D8B43" w14:textId="77777777" w:rsidR="003D504D" w:rsidRDefault="003D504D" w:rsidP="003D504D">
      <w:pPr>
        <w:pStyle w:val="aff4"/>
        <w:rPr>
          <w:rFonts w:eastAsiaTheme="minorEastAsia" w:cstheme="minorBidi"/>
          <w:i/>
          <w:iCs/>
          <w:noProof/>
          <w:sz w:val="22"/>
          <w:szCs w:val="22"/>
          <w:rtl/>
        </w:rPr>
      </w:pPr>
      <w:bookmarkStart w:id="15232" w:name="_Toc19435945"/>
      <w:bookmarkStart w:id="15233" w:name="_Toc20081169"/>
      <w:r>
        <w:rPr>
          <w:noProof/>
          <w:rtl/>
        </w:rPr>
        <w:t>דעת הראבי"ה דהיתר בהמה בבהמה היינו דחשיב כשחוט</w:t>
      </w:r>
      <w:bookmarkEnd w:id="15232"/>
      <w:bookmarkEnd w:id="15233"/>
    </w:p>
    <w:p w14:paraId="10F43E8B" w14:textId="77777777" w:rsidR="003D504D" w:rsidRDefault="003D504D" w:rsidP="005077A7">
      <w:pPr>
        <w:pStyle w:val="a"/>
        <w:rPr>
          <w:rFonts w:eastAsiaTheme="minorEastAsia" w:cstheme="minorBidi"/>
          <w:sz w:val="22"/>
          <w:szCs w:val="22"/>
          <w:rtl/>
        </w:rPr>
      </w:pPr>
      <w:r>
        <w:rPr>
          <w:rtl/>
        </w:rPr>
        <w:t>דעת הראבי"ה דעובר שנמצא חי והוא טריפה אסור</w:t>
      </w:r>
    </w:p>
    <w:p w14:paraId="05100CA1" w14:textId="77777777" w:rsidR="003D504D" w:rsidRDefault="003D504D" w:rsidP="005077A7">
      <w:pPr>
        <w:pStyle w:val="a"/>
        <w:rPr>
          <w:rFonts w:eastAsiaTheme="minorEastAsia" w:cstheme="minorBidi"/>
          <w:sz w:val="22"/>
          <w:szCs w:val="22"/>
          <w:rtl/>
        </w:rPr>
      </w:pPr>
      <w:r>
        <w:rPr>
          <w:rtl/>
        </w:rPr>
        <w:t>ביאור הראבי"ה דהיתר "כל בבהמה" מתיר רק לענין שחיטה ולא לשאר איסורים</w:t>
      </w:r>
    </w:p>
    <w:p w14:paraId="53C11D75" w14:textId="77777777" w:rsidR="003D504D" w:rsidRDefault="003D504D" w:rsidP="005077A7">
      <w:pPr>
        <w:pStyle w:val="a"/>
        <w:rPr>
          <w:rFonts w:eastAsiaTheme="minorEastAsia" w:cstheme="minorBidi"/>
          <w:sz w:val="22"/>
          <w:szCs w:val="22"/>
          <w:rtl/>
        </w:rPr>
      </w:pPr>
      <w:r>
        <w:rPr>
          <w:rtl/>
        </w:rPr>
        <w:t>קושית הרדב"ז דכיון שהותר בשחיטת אמו אינו טעון שחיטה כלל ואינו אסור בטריפה</w:t>
      </w:r>
    </w:p>
    <w:p w14:paraId="3293E859" w14:textId="77777777" w:rsidR="003D504D" w:rsidRDefault="003D504D" w:rsidP="005077A7">
      <w:pPr>
        <w:pStyle w:val="a"/>
        <w:rPr>
          <w:rFonts w:eastAsiaTheme="minorEastAsia" w:cstheme="minorBidi"/>
          <w:sz w:val="22"/>
          <w:szCs w:val="22"/>
          <w:rtl/>
        </w:rPr>
      </w:pPr>
      <w:r>
        <w:rPr>
          <w:rtl/>
        </w:rPr>
        <w:t>ביאור הנאות יעקב דלהראבי"ה ההיתר בבן פקועה הוא דחשיב כשחוט ואינו מתיר טריפה</w:t>
      </w:r>
    </w:p>
    <w:p w14:paraId="6F4565D0" w14:textId="77777777" w:rsidR="003D504D" w:rsidRDefault="003D504D" w:rsidP="003D504D">
      <w:pPr>
        <w:pStyle w:val="aff4"/>
        <w:rPr>
          <w:rFonts w:eastAsiaTheme="minorEastAsia" w:cstheme="minorBidi"/>
          <w:i/>
          <w:iCs/>
          <w:noProof/>
          <w:sz w:val="22"/>
          <w:szCs w:val="22"/>
          <w:rtl/>
        </w:rPr>
      </w:pPr>
      <w:bookmarkStart w:id="15234" w:name="_Toc19435946"/>
      <w:bookmarkStart w:id="15235" w:name="_Toc20081170"/>
      <w:r>
        <w:rPr>
          <w:noProof/>
          <w:rtl/>
        </w:rPr>
        <w:t>ביאור הבכור שור דלהראבי"ה יש ב' דינים בהיתר בן פקועה</w:t>
      </w:r>
      <w:bookmarkEnd w:id="15234"/>
      <w:bookmarkEnd w:id="15235"/>
    </w:p>
    <w:p w14:paraId="545FC157" w14:textId="77777777" w:rsidR="003D504D" w:rsidRDefault="003D504D" w:rsidP="005077A7">
      <w:pPr>
        <w:pStyle w:val="a"/>
        <w:rPr>
          <w:rFonts w:eastAsiaTheme="minorEastAsia" w:cstheme="minorBidi"/>
          <w:sz w:val="22"/>
          <w:szCs w:val="22"/>
          <w:rtl/>
        </w:rPr>
      </w:pPr>
      <w:r>
        <w:rPr>
          <w:rtl/>
        </w:rPr>
        <w:t>דברי הבכור שור דלהראבי"ה נאמר בעובר  היתר "כל בבהמה" רק כשאין לו שחיטה מצד עצמו</w:t>
      </w:r>
    </w:p>
    <w:p w14:paraId="78890C48" w14:textId="77777777" w:rsidR="003D504D" w:rsidRDefault="003D504D" w:rsidP="005077A7">
      <w:pPr>
        <w:pStyle w:val="a"/>
        <w:rPr>
          <w:rFonts w:eastAsiaTheme="minorEastAsia" w:cstheme="minorBidi"/>
          <w:sz w:val="22"/>
          <w:szCs w:val="22"/>
          <w:rtl/>
        </w:rPr>
      </w:pPr>
      <w:r>
        <w:rPr>
          <w:rtl/>
        </w:rPr>
        <w:t>דברי הבכור שור דבעובר שראוי לשחיטה מצד עצמו דינו כשחוט דד' סימנים אכשר ביה רחמנא</w:t>
      </w:r>
    </w:p>
    <w:p w14:paraId="3CA912A7" w14:textId="77777777" w:rsidR="003D504D" w:rsidRDefault="003D504D" w:rsidP="003D504D">
      <w:pPr>
        <w:pStyle w:val="aff4"/>
        <w:rPr>
          <w:rFonts w:eastAsiaTheme="minorEastAsia" w:cstheme="minorBidi"/>
          <w:i/>
          <w:iCs/>
          <w:noProof/>
          <w:sz w:val="22"/>
          <w:szCs w:val="22"/>
          <w:rtl/>
        </w:rPr>
      </w:pPr>
      <w:bookmarkStart w:id="15236" w:name="_Toc19435947"/>
      <w:bookmarkStart w:id="15237" w:name="_Toc20081171"/>
      <w:r>
        <w:rPr>
          <w:noProof/>
          <w:rtl/>
        </w:rPr>
        <w:t>דברי התוס' הרא"ש והשיטמ"ק בב"ק דבן פקועה חשיב כשחוט</w:t>
      </w:r>
      <w:bookmarkEnd w:id="15236"/>
      <w:bookmarkEnd w:id="15237"/>
    </w:p>
    <w:p w14:paraId="3D3D6B1B" w14:textId="77777777" w:rsidR="003D504D" w:rsidRDefault="003D504D" w:rsidP="005077A7">
      <w:pPr>
        <w:pStyle w:val="a"/>
        <w:rPr>
          <w:rFonts w:eastAsiaTheme="minorEastAsia" w:cstheme="minorBidi"/>
          <w:sz w:val="22"/>
          <w:szCs w:val="22"/>
          <w:rtl/>
        </w:rPr>
      </w:pPr>
      <w:r>
        <w:rPr>
          <w:rtl/>
        </w:rPr>
        <w:t>דברי התוס' רא"ש והתוס' שאנץ ורבינו ישעיה בב"ק דבן פקועה חשיב כשחוט</w:t>
      </w:r>
    </w:p>
    <w:p w14:paraId="7842CDDC" w14:textId="77777777" w:rsidR="003D504D" w:rsidRDefault="003D504D" w:rsidP="003D504D">
      <w:pPr>
        <w:pStyle w:val="2"/>
        <w:rPr>
          <w:rFonts w:eastAsiaTheme="minorEastAsia" w:cstheme="minorBidi"/>
          <w:i/>
          <w:iCs/>
          <w:noProof/>
          <w:sz w:val="22"/>
          <w:szCs w:val="22"/>
          <w:rtl/>
        </w:rPr>
      </w:pPr>
      <w:bookmarkStart w:id="15238" w:name="_Toc19435948"/>
      <w:r>
        <w:rPr>
          <w:noProof/>
          <w:rtl/>
        </w:rPr>
        <w:t>בגדר האיסור באבר היוצא</w:t>
      </w:r>
      <w:bookmarkEnd w:id="15238"/>
    </w:p>
    <w:p w14:paraId="35E07612" w14:textId="77777777" w:rsidR="003D504D" w:rsidRDefault="003D504D" w:rsidP="003D504D">
      <w:pPr>
        <w:pStyle w:val="aff4"/>
        <w:rPr>
          <w:rFonts w:eastAsiaTheme="minorEastAsia" w:cstheme="minorBidi"/>
          <w:i/>
          <w:iCs/>
          <w:noProof/>
          <w:sz w:val="22"/>
          <w:szCs w:val="22"/>
          <w:rtl/>
        </w:rPr>
      </w:pPr>
      <w:bookmarkStart w:id="15239" w:name="_Toc19435949"/>
      <w:bookmarkStart w:id="15240" w:name="_Toc20081172"/>
      <w:r>
        <w:rPr>
          <w:noProof/>
          <w:rtl/>
        </w:rPr>
        <w:t>חקירת הפרמ"ג אי אסור בטריפה או באבר מן החי</w:t>
      </w:r>
      <w:bookmarkEnd w:id="15239"/>
      <w:bookmarkEnd w:id="15240"/>
    </w:p>
    <w:p w14:paraId="7F1E61D5" w14:textId="77777777" w:rsidR="003D504D" w:rsidRDefault="003D504D" w:rsidP="005077A7">
      <w:pPr>
        <w:pStyle w:val="a"/>
        <w:rPr>
          <w:rFonts w:eastAsiaTheme="minorEastAsia" w:cstheme="minorBidi"/>
          <w:sz w:val="22"/>
          <w:szCs w:val="22"/>
          <w:rtl/>
        </w:rPr>
      </w:pPr>
      <w:r>
        <w:rPr>
          <w:rtl/>
        </w:rPr>
        <w:t>חקירת הפרמ"ג אי אבר היוצא לא מהני ליה שחיטה ואסור באבמה"ח או שיש בו איסור טריפה</w:t>
      </w:r>
    </w:p>
    <w:p w14:paraId="4B9C2BA7" w14:textId="77777777" w:rsidR="003D504D" w:rsidRDefault="003D504D" w:rsidP="005077A7">
      <w:pPr>
        <w:pStyle w:val="a"/>
        <w:rPr>
          <w:rFonts w:eastAsiaTheme="minorEastAsia" w:cstheme="minorBidi"/>
          <w:sz w:val="22"/>
          <w:szCs w:val="22"/>
          <w:rtl/>
        </w:rPr>
      </w:pPr>
      <w:r>
        <w:rPr>
          <w:rtl/>
        </w:rPr>
        <w:t>דברי הט"ז דכל שיצא מחוץ למחיצת אמו אין השחיטה מתירתו</w:t>
      </w:r>
    </w:p>
    <w:p w14:paraId="41438880" w14:textId="77777777" w:rsidR="003D504D" w:rsidRPr="008A2719" w:rsidRDefault="003D504D" w:rsidP="003D504D">
      <w:pPr>
        <w:pStyle w:val="aff4"/>
        <w:rPr>
          <w:rtl/>
        </w:rPr>
      </w:pPr>
      <w:bookmarkStart w:id="15241" w:name="_Toc19435950"/>
      <w:bookmarkStart w:id="15242" w:name="_Toc20081173"/>
      <w:r>
        <w:rPr>
          <w:noProof/>
          <w:rtl/>
        </w:rPr>
        <w:t>דברי הפרמ"ג דלהרמב"ם והראב"ד אס</w:t>
      </w:r>
      <w:r w:rsidRPr="008A2719">
        <w:rPr>
          <w:rtl/>
        </w:rPr>
        <w:t>ור ב</w:t>
      </w:r>
      <w:r w:rsidRPr="008A2719">
        <w:rPr>
          <w:rFonts w:hint="cs"/>
          <w:rtl/>
        </w:rPr>
        <w:t>טריפה</w:t>
      </w:r>
      <w:bookmarkEnd w:id="15241"/>
      <w:bookmarkEnd w:id="15242"/>
    </w:p>
    <w:p w14:paraId="56D86061" w14:textId="77777777" w:rsidR="003D504D" w:rsidRDefault="003D504D" w:rsidP="005077A7">
      <w:pPr>
        <w:pStyle w:val="a"/>
        <w:rPr>
          <w:rFonts w:eastAsiaTheme="minorEastAsia" w:cstheme="minorBidi"/>
          <w:sz w:val="22"/>
          <w:szCs w:val="22"/>
          <w:rtl/>
        </w:rPr>
      </w:pPr>
      <w:r>
        <w:rPr>
          <w:rtl/>
        </w:rPr>
        <w:t>דברי הפרמ"ג דלהרמב"ם והראב"ד מהני השחיטה אף לאבר היוצא ואסור באיסור טריפה</w:t>
      </w:r>
    </w:p>
    <w:p w14:paraId="45F646D3" w14:textId="77777777" w:rsidR="003D504D" w:rsidRDefault="003D504D" w:rsidP="003D504D">
      <w:pPr>
        <w:pStyle w:val="aff4"/>
        <w:rPr>
          <w:rFonts w:eastAsiaTheme="minorEastAsia" w:cstheme="minorBidi"/>
          <w:i/>
          <w:iCs/>
          <w:noProof/>
          <w:sz w:val="22"/>
          <w:szCs w:val="22"/>
          <w:rtl/>
        </w:rPr>
      </w:pPr>
      <w:bookmarkStart w:id="15243" w:name="_Toc19435951"/>
      <w:bookmarkStart w:id="15244" w:name="_Toc20081174"/>
      <w:r>
        <w:rPr>
          <w:noProof/>
          <w:rtl/>
        </w:rPr>
        <w:t>דברי הרשב"א דהאבר חשיב כחי שאין לו תקנה בשחיטה</w:t>
      </w:r>
      <w:bookmarkEnd w:id="15243"/>
      <w:bookmarkEnd w:id="15244"/>
    </w:p>
    <w:p w14:paraId="1407E179" w14:textId="77777777" w:rsidR="003D504D" w:rsidRDefault="003D504D" w:rsidP="005077A7">
      <w:pPr>
        <w:pStyle w:val="a"/>
        <w:rPr>
          <w:rFonts w:eastAsiaTheme="minorEastAsia" w:cstheme="minorBidi"/>
          <w:sz w:val="22"/>
          <w:szCs w:val="22"/>
          <w:rtl/>
        </w:rPr>
      </w:pPr>
      <w:r>
        <w:rPr>
          <w:rtl/>
        </w:rPr>
        <w:t>קושית הרשב"א מה הצד בגמ' להתיר שתית חלב שבא מכח אבר היוצא הא הוא כחלב טריפה</w:t>
      </w:r>
    </w:p>
    <w:p w14:paraId="0D61AA1D" w14:textId="77777777" w:rsidR="003D504D" w:rsidRDefault="003D504D" w:rsidP="005077A7">
      <w:pPr>
        <w:pStyle w:val="a"/>
        <w:rPr>
          <w:rFonts w:eastAsiaTheme="minorEastAsia" w:cstheme="minorBidi"/>
          <w:sz w:val="22"/>
          <w:szCs w:val="22"/>
          <w:rtl/>
        </w:rPr>
      </w:pPr>
      <w:r>
        <w:rPr>
          <w:rtl/>
        </w:rPr>
        <w:t>דברי הרשב"א דאבר היוצא אינו אסור מדין טריפה אלא מדין אבר מן החי דלא מהני ליה השחיטה</w:t>
      </w:r>
    </w:p>
    <w:p w14:paraId="76C7D520" w14:textId="77777777" w:rsidR="003D504D" w:rsidRDefault="003D504D" w:rsidP="005077A7">
      <w:pPr>
        <w:pStyle w:val="a"/>
        <w:rPr>
          <w:rFonts w:eastAsiaTheme="minorEastAsia" w:cstheme="minorBidi"/>
          <w:sz w:val="22"/>
          <w:szCs w:val="22"/>
          <w:rtl/>
        </w:rPr>
      </w:pPr>
      <w:r>
        <w:rPr>
          <w:rtl/>
        </w:rPr>
        <w:t>ביאור הרשב"א בספק הגמ' אי האבר הוא כאבמה"ח או דכיון שאין לו תקנה בשחיטה חלבו אסור</w:t>
      </w:r>
    </w:p>
    <w:p w14:paraId="6B482E79" w14:textId="77777777" w:rsidR="003D504D" w:rsidRDefault="003D504D" w:rsidP="003D504D">
      <w:pPr>
        <w:pStyle w:val="aff4"/>
        <w:rPr>
          <w:rFonts w:eastAsiaTheme="minorEastAsia" w:cstheme="minorBidi"/>
          <w:i/>
          <w:iCs/>
          <w:noProof/>
          <w:sz w:val="22"/>
          <w:szCs w:val="22"/>
          <w:rtl/>
        </w:rPr>
      </w:pPr>
      <w:bookmarkStart w:id="15245" w:name="_Toc19435952"/>
      <w:bookmarkStart w:id="15246" w:name="_Toc20081175"/>
      <w:r>
        <w:rPr>
          <w:noProof/>
          <w:rtl/>
        </w:rPr>
        <w:t>דברי הש"ך דלדעת הרשב"א האיסור הוא מדין אבר מן החי</w:t>
      </w:r>
      <w:bookmarkEnd w:id="15245"/>
      <w:bookmarkEnd w:id="15246"/>
    </w:p>
    <w:p w14:paraId="4B2BCFEB" w14:textId="77777777" w:rsidR="003D504D" w:rsidRDefault="003D504D" w:rsidP="005077A7">
      <w:pPr>
        <w:pStyle w:val="a"/>
        <w:rPr>
          <w:rFonts w:eastAsiaTheme="minorEastAsia" w:cstheme="minorBidi"/>
          <w:sz w:val="22"/>
          <w:szCs w:val="22"/>
          <w:rtl/>
        </w:rPr>
      </w:pPr>
      <w:r>
        <w:rPr>
          <w:rtl/>
        </w:rPr>
        <w:t>דברי הש"ך דלדעת הרשב"א האיסור באבר היוצא הוא מדין אבמה"ח ולא מדין טריפה</w:t>
      </w:r>
    </w:p>
    <w:p w14:paraId="6AD43CDD" w14:textId="77777777" w:rsidR="003D504D" w:rsidRDefault="003D504D" w:rsidP="003D504D">
      <w:pPr>
        <w:pStyle w:val="aff4"/>
        <w:rPr>
          <w:rFonts w:eastAsiaTheme="minorEastAsia" w:cstheme="minorBidi"/>
          <w:i/>
          <w:iCs/>
          <w:noProof/>
          <w:sz w:val="22"/>
          <w:szCs w:val="22"/>
          <w:rtl/>
        </w:rPr>
      </w:pPr>
      <w:bookmarkStart w:id="15247" w:name="_Toc19435953"/>
      <w:bookmarkStart w:id="15248" w:name="_Toc20081176"/>
      <w:r>
        <w:rPr>
          <w:noProof/>
          <w:rtl/>
        </w:rPr>
        <w:t>ביאור הפרמ"ג דאף לדעת הרשב"א אסור מדין טריפה</w:t>
      </w:r>
      <w:bookmarkEnd w:id="15247"/>
      <w:bookmarkEnd w:id="15248"/>
    </w:p>
    <w:p w14:paraId="6B2FE9F6" w14:textId="77777777" w:rsidR="003D504D" w:rsidRDefault="003D504D" w:rsidP="005077A7">
      <w:pPr>
        <w:pStyle w:val="a"/>
        <w:rPr>
          <w:rFonts w:eastAsiaTheme="minorEastAsia" w:cstheme="minorBidi"/>
          <w:sz w:val="22"/>
          <w:szCs w:val="22"/>
          <w:rtl/>
        </w:rPr>
      </w:pPr>
      <w:r>
        <w:rPr>
          <w:rtl/>
        </w:rPr>
        <w:t>דברי הפרמ"ג  דבתוה"ב הקצר משמע דאסור מדין טריפה ודלא כפשטות הרשב"א בחי'</w:t>
      </w:r>
    </w:p>
    <w:p w14:paraId="282F6FFD" w14:textId="77777777" w:rsidR="003D504D" w:rsidRDefault="003D504D" w:rsidP="005077A7">
      <w:pPr>
        <w:pStyle w:val="a"/>
        <w:rPr>
          <w:rFonts w:eastAsiaTheme="minorEastAsia" w:cstheme="minorBidi"/>
          <w:sz w:val="22"/>
          <w:szCs w:val="22"/>
          <w:rtl/>
        </w:rPr>
      </w:pPr>
      <w:r>
        <w:rPr>
          <w:rtl/>
        </w:rPr>
        <w:t>ביאור הפרמ"ג ברשב"א דהאיסור טריפה אינו מצד עצמו אלא מחמת שיש בו לתא דחיות</w:t>
      </w:r>
    </w:p>
    <w:p w14:paraId="3EE80CDC" w14:textId="77777777" w:rsidR="003D504D" w:rsidRDefault="003D504D" w:rsidP="005077A7">
      <w:pPr>
        <w:pStyle w:val="a"/>
        <w:rPr>
          <w:rFonts w:eastAsiaTheme="minorEastAsia" w:cstheme="minorBidi"/>
          <w:sz w:val="22"/>
          <w:szCs w:val="22"/>
          <w:rtl/>
        </w:rPr>
      </w:pPr>
      <w:r>
        <w:rPr>
          <w:rtl/>
        </w:rPr>
        <w:t>ביאור הפרמ"ג דהצד לאסור את החלב הוא כיון שאיסורו הוא משום לתא דחיות שאין לה תקנה</w:t>
      </w:r>
    </w:p>
    <w:p w14:paraId="6742267E" w14:textId="77777777" w:rsidR="003D504D" w:rsidRDefault="003D504D" w:rsidP="003D504D">
      <w:pPr>
        <w:pStyle w:val="aff4"/>
        <w:rPr>
          <w:rFonts w:eastAsiaTheme="minorEastAsia" w:cstheme="minorBidi"/>
          <w:i/>
          <w:iCs/>
          <w:noProof/>
          <w:sz w:val="22"/>
          <w:szCs w:val="22"/>
          <w:rtl/>
        </w:rPr>
      </w:pPr>
      <w:bookmarkStart w:id="15249" w:name="_Toc19435954"/>
      <w:bookmarkStart w:id="15250" w:name="_Toc20081177"/>
      <w:r>
        <w:rPr>
          <w:noProof/>
          <w:rtl/>
        </w:rPr>
        <w:t>דברי הב"ח דהספק בגמ' אי אסור מדין טריפה או מאבמה"ח</w:t>
      </w:r>
      <w:bookmarkEnd w:id="15249"/>
      <w:bookmarkEnd w:id="15250"/>
    </w:p>
    <w:p w14:paraId="6FCB900E" w14:textId="77777777" w:rsidR="003D504D" w:rsidRDefault="003D504D" w:rsidP="005077A7">
      <w:pPr>
        <w:pStyle w:val="a"/>
        <w:rPr>
          <w:rFonts w:eastAsiaTheme="minorEastAsia" w:cstheme="minorBidi"/>
          <w:sz w:val="22"/>
          <w:szCs w:val="22"/>
          <w:rtl/>
        </w:rPr>
      </w:pPr>
      <w:r>
        <w:rPr>
          <w:rtl/>
        </w:rPr>
        <w:t>קושית הב"ח דאף בבן פקועה שבא על בהמה בעלמא שאין לו תקנה בשחיטה צריך לאסור את חלבו</w:t>
      </w:r>
    </w:p>
    <w:p w14:paraId="6F625295" w14:textId="77777777" w:rsidR="003D504D" w:rsidRDefault="003D504D" w:rsidP="005077A7">
      <w:pPr>
        <w:pStyle w:val="a"/>
        <w:rPr>
          <w:rFonts w:eastAsiaTheme="minorEastAsia" w:cstheme="minorBidi"/>
          <w:sz w:val="22"/>
          <w:szCs w:val="22"/>
          <w:rtl/>
        </w:rPr>
      </w:pPr>
      <w:r>
        <w:rPr>
          <w:rtl/>
        </w:rPr>
        <w:t>ביאור הב"ח דהספק בגמ' לענין חלב הבא מכח אבר היוצא הוא אי אסור בטריפה או באבר מן החי</w:t>
      </w:r>
    </w:p>
    <w:p w14:paraId="2A0714BE" w14:textId="77777777" w:rsidR="003D504D" w:rsidRDefault="003D504D" w:rsidP="005077A7">
      <w:pPr>
        <w:pStyle w:val="a"/>
        <w:rPr>
          <w:rFonts w:eastAsiaTheme="minorEastAsia" w:cstheme="minorBidi"/>
          <w:sz w:val="22"/>
          <w:szCs w:val="22"/>
          <w:rtl/>
        </w:rPr>
      </w:pPr>
      <w:r>
        <w:rPr>
          <w:rtl/>
        </w:rPr>
        <w:t>דחיית הש"ך דלא משמע בגמ' כלל כביאור הב"ח אלא הביאור בספק הוא כדברי הרשב"א</w:t>
      </w:r>
    </w:p>
    <w:p w14:paraId="6CB3852D" w14:textId="77777777" w:rsidR="003D504D" w:rsidRDefault="003D504D" w:rsidP="003D504D">
      <w:pPr>
        <w:pStyle w:val="aff4"/>
        <w:rPr>
          <w:rFonts w:eastAsiaTheme="minorEastAsia" w:cstheme="minorBidi"/>
          <w:i/>
          <w:iCs/>
          <w:noProof/>
          <w:sz w:val="22"/>
          <w:szCs w:val="22"/>
          <w:rtl/>
        </w:rPr>
      </w:pPr>
      <w:bookmarkStart w:id="15251" w:name="_Toc19435955"/>
      <w:bookmarkStart w:id="15252" w:name="_Toc20081178"/>
      <w:r>
        <w:rPr>
          <w:noProof/>
          <w:rtl/>
        </w:rPr>
        <w:t>בדעת רש"י ותוס' ורבינו גרשום בגדר האיסור באבר היוצא</w:t>
      </w:r>
      <w:bookmarkEnd w:id="15251"/>
      <w:bookmarkEnd w:id="15252"/>
    </w:p>
    <w:p w14:paraId="3E090C7A" w14:textId="77777777" w:rsidR="003D504D" w:rsidRDefault="003D504D" w:rsidP="005077A7">
      <w:pPr>
        <w:pStyle w:val="a"/>
        <w:rPr>
          <w:rFonts w:eastAsiaTheme="minorEastAsia" w:cstheme="minorBidi"/>
          <w:sz w:val="22"/>
          <w:szCs w:val="22"/>
          <w:rtl/>
        </w:rPr>
      </w:pPr>
      <w:r>
        <w:rPr>
          <w:rtl/>
        </w:rPr>
        <w:t>דברי המשנת ר"א דלרש"י אסור מדין טריפה ולתוס' אסור מדין אבמה"ח</w:t>
      </w:r>
    </w:p>
    <w:p w14:paraId="7C308B58" w14:textId="77777777" w:rsidR="003D504D" w:rsidRDefault="003D504D" w:rsidP="005077A7">
      <w:pPr>
        <w:pStyle w:val="a"/>
        <w:rPr>
          <w:rFonts w:eastAsiaTheme="minorEastAsia" w:cstheme="minorBidi"/>
          <w:sz w:val="22"/>
          <w:szCs w:val="22"/>
          <w:rtl/>
        </w:rPr>
      </w:pPr>
      <w:r>
        <w:rPr>
          <w:rtl/>
        </w:rPr>
        <w:t>ביאור המשנת ר"א בדעת רבינו גרשום דהאיסור באבר היוצא הוא מדין טריפה ולא מאבמה"ח</w:t>
      </w:r>
    </w:p>
    <w:p w14:paraId="6D5EA5CD" w14:textId="77777777" w:rsidR="003D504D" w:rsidRPr="00132811" w:rsidRDefault="003D504D" w:rsidP="005077A7">
      <w:pPr>
        <w:pStyle w:val="a"/>
        <w:rPr>
          <w:rFonts w:eastAsiaTheme="minorEastAsia" w:cstheme="minorBidi"/>
          <w:sz w:val="22"/>
          <w:szCs w:val="22"/>
        </w:rPr>
      </w:pPr>
      <w:r>
        <w:rPr>
          <w:rtl/>
        </w:rPr>
        <w:t>דברי הרי"ד דהאיסור הוא כאבמה"ח ואין לו תקנה בחזרה כטריפה</w:t>
      </w:r>
    </w:p>
    <w:p w14:paraId="630BACF8" w14:textId="77777777" w:rsidR="003D504D" w:rsidRDefault="003D504D" w:rsidP="005077A7">
      <w:pPr>
        <w:pStyle w:val="a"/>
        <w:rPr>
          <w:rtl/>
        </w:rPr>
      </w:pPr>
      <w:r>
        <w:rPr>
          <w:rFonts w:hint="cs"/>
          <w:rtl/>
        </w:rPr>
        <w:t>משמעות התוס' דהאבר היוצא אסור מדין יוצא אף לריו"ח שאינו  מדין טריפה</w:t>
      </w:r>
    </w:p>
    <w:p w14:paraId="51F79DE7" w14:textId="77777777" w:rsidR="003D504D" w:rsidRPr="00132811" w:rsidRDefault="003D504D" w:rsidP="005077A7">
      <w:pPr>
        <w:pStyle w:val="a"/>
        <w:rPr>
          <w:rtl/>
        </w:rPr>
      </w:pPr>
      <w:r>
        <w:rPr>
          <w:rFonts w:hint="cs"/>
          <w:rtl/>
        </w:rPr>
        <w:t>משמעות הר"ן דלריו"ח האבר שבחוץ אינו אסור מדין טריפה כלל</w:t>
      </w:r>
    </w:p>
    <w:p w14:paraId="237191C5" w14:textId="77777777" w:rsidR="003D504D" w:rsidRDefault="003D504D" w:rsidP="003D504D">
      <w:pPr>
        <w:pStyle w:val="2"/>
        <w:rPr>
          <w:rFonts w:eastAsiaTheme="minorEastAsia" w:cstheme="minorBidi"/>
          <w:i/>
          <w:iCs/>
          <w:noProof/>
          <w:sz w:val="22"/>
          <w:szCs w:val="22"/>
          <w:rtl/>
        </w:rPr>
      </w:pPr>
      <w:bookmarkStart w:id="15253" w:name="_Toc19435956"/>
      <w:r>
        <w:rPr>
          <w:noProof/>
          <w:rtl/>
        </w:rPr>
        <w:t>בגדר איסור אבר היוצא שלא החזירו</w:t>
      </w:r>
      <w:bookmarkEnd w:id="15253"/>
    </w:p>
    <w:p w14:paraId="56F1E6CA" w14:textId="77777777" w:rsidR="003D504D" w:rsidRDefault="003D504D" w:rsidP="003D504D">
      <w:pPr>
        <w:pStyle w:val="aff4"/>
        <w:rPr>
          <w:rFonts w:eastAsiaTheme="minorEastAsia" w:cstheme="minorBidi"/>
          <w:i/>
          <w:iCs/>
          <w:noProof/>
          <w:sz w:val="22"/>
          <w:szCs w:val="22"/>
          <w:rtl/>
        </w:rPr>
      </w:pPr>
      <w:bookmarkStart w:id="15254" w:name="_Toc19435957"/>
      <w:bookmarkStart w:id="15255" w:name="_Toc20081179"/>
      <w:r>
        <w:rPr>
          <w:noProof/>
          <w:rtl/>
        </w:rPr>
        <w:t>דעת רש"י דבלא החזירו אין היתר "כל בבהמה"</w:t>
      </w:r>
      <w:bookmarkEnd w:id="15254"/>
      <w:bookmarkEnd w:id="15255"/>
    </w:p>
    <w:p w14:paraId="192FC461" w14:textId="77777777" w:rsidR="003D504D" w:rsidRDefault="003D504D" w:rsidP="005077A7">
      <w:pPr>
        <w:pStyle w:val="a"/>
        <w:rPr>
          <w:rFonts w:eastAsiaTheme="minorEastAsia" w:cstheme="minorBidi"/>
          <w:sz w:val="22"/>
          <w:szCs w:val="22"/>
          <w:rtl/>
        </w:rPr>
      </w:pPr>
      <w:r>
        <w:rPr>
          <w:rtl/>
        </w:rPr>
        <w:t>דברי רש"י דאבר היוצא ומקום החתך שלא החזירו אין בהם היתר "כל בבהמה"</w:t>
      </w:r>
    </w:p>
    <w:p w14:paraId="588D6D6A" w14:textId="77777777" w:rsidR="003D504D" w:rsidRDefault="003D504D" w:rsidP="005077A7">
      <w:pPr>
        <w:pStyle w:val="a"/>
        <w:rPr>
          <w:rFonts w:eastAsiaTheme="minorEastAsia" w:cstheme="minorBidi"/>
          <w:sz w:val="22"/>
          <w:szCs w:val="22"/>
          <w:rtl/>
        </w:rPr>
      </w:pPr>
      <w:r>
        <w:rPr>
          <w:rtl/>
        </w:rPr>
        <w:t>מבואר מדברי הפרמ"ג דלהט"ז כל שלא החזיר את האבר א"צ לאוסרו מדין בשר בשדה טריפה</w:t>
      </w:r>
    </w:p>
    <w:p w14:paraId="44AB73D8" w14:textId="77777777" w:rsidR="003D504D" w:rsidRDefault="003D504D" w:rsidP="005077A7">
      <w:pPr>
        <w:pStyle w:val="a"/>
        <w:rPr>
          <w:rFonts w:eastAsiaTheme="minorEastAsia" w:cstheme="minorBidi"/>
          <w:sz w:val="22"/>
          <w:szCs w:val="22"/>
          <w:rtl/>
        </w:rPr>
      </w:pPr>
      <w:r>
        <w:rPr>
          <w:rtl/>
        </w:rPr>
        <w:t>דברי הפרמ"ג דמבואר ברמב"ם דהשחיטה מהני אף לאבר היוצא שלא החזירו</w:t>
      </w:r>
    </w:p>
    <w:p w14:paraId="0087F45F" w14:textId="77777777" w:rsidR="003D504D" w:rsidRDefault="003D504D" w:rsidP="005077A7">
      <w:pPr>
        <w:pStyle w:val="a"/>
        <w:rPr>
          <w:rFonts w:eastAsiaTheme="minorEastAsia" w:cstheme="minorBidi"/>
          <w:sz w:val="22"/>
          <w:szCs w:val="22"/>
          <w:rtl/>
        </w:rPr>
      </w:pPr>
      <w:r>
        <w:rPr>
          <w:rtl/>
        </w:rPr>
        <w:t>דברי הסמ"ק דאף בלא החזירו אסור כאבמה"ח ואזהרתו מדין "בשר בשדה טריפה"</w:t>
      </w:r>
    </w:p>
    <w:p w14:paraId="7AB69E40" w14:textId="77777777" w:rsidR="003D504D" w:rsidRDefault="003D504D" w:rsidP="003D504D">
      <w:pPr>
        <w:pStyle w:val="aff4"/>
        <w:rPr>
          <w:rFonts w:eastAsiaTheme="minorEastAsia" w:cstheme="minorBidi"/>
          <w:noProof/>
          <w:sz w:val="22"/>
          <w:szCs w:val="22"/>
          <w:rtl/>
        </w:rPr>
      </w:pPr>
      <w:bookmarkStart w:id="15256" w:name="_Toc19435958"/>
      <w:bookmarkStart w:id="15257" w:name="_Toc20081180"/>
      <w:r w:rsidRPr="00F23057">
        <w:rPr>
          <w:noProof/>
          <w:rtl/>
        </w:rPr>
        <w:t>בדין אבר היוצא כשנמצאת האם טריפה ונשחט הולד</w:t>
      </w:r>
      <w:bookmarkEnd w:id="15256"/>
      <w:bookmarkEnd w:id="15257"/>
    </w:p>
    <w:p w14:paraId="4AE1F0DD" w14:textId="77777777" w:rsidR="003D504D" w:rsidRDefault="003D504D" w:rsidP="005077A7">
      <w:pPr>
        <w:pStyle w:val="a"/>
        <w:rPr>
          <w:rFonts w:eastAsiaTheme="minorEastAsia" w:cstheme="minorBidi"/>
          <w:sz w:val="22"/>
          <w:szCs w:val="22"/>
          <w:rtl/>
        </w:rPr>
      </w:pPr>
      <w:r>
        <w:rPr>
          <w:rtl/>
        </w:rPr>
        <w:t>פלו</w:t>
      </w:r>
      <w:r>
        <w:rPr>
          <w:rFonts w:hint="cs"/>
          <w:rtl/>
        </w:rPr>
        <w:t>ג</w:t>
      </w:r>
      <w:r>
        <w:rPr>
          <w:rtl/>
        </w:rPr>
        <w:t>תת הב"ח והש"ך עם הפר"ח באבר היוצא כשנמצאת האם טריפה ונשחט הולד</w:t>
      </w:r>
    </w:p>
    <w:p w14:paraId="58E23E27" w14:textId="77777777" w:rsidR="003D504D" w:rsidRDefault="003D504D" w:rsidP="003D504D">
      <w:pPr>
        <w:pStyle w:val="2"/>
        <w:rPr>
          <w:rFonts w:eastAsiaTheme="minorEastAsia" w:cstheme="minorBidi"/>
          <w:i/>
          <w:iCs/>
          <w:noProof/>
          <w:sz w:val="22"/>
          <w:szCs w:val="22"/>
          <w:rtl/>
        </w:rPr>
      </w:pPr>
      <w:bookmarkStart w:id="15258" w:name="_Toc19435959"/>
      <w:r>
        <w:rPr>
          <w:noProof/>
          <w:rtl/>
        </w:rPr>
        <w:t>בדין אבר היוצא כשנולד לפני השחיטה</w:t>
      </w:r>
      <w:bookmarkEnd w:id="15258"/>
    </w:p>
    <w:p w14:paraId="7A773F46" w14:textId="77777777" w:rsidR="003D504D" w:rsidRDefault="003D504D" w:rsidP="003D504D">
      <w:pPr>
        <w:pStyle w:val="aff4"/>
        <w:rPr>
          <w:rFonts w:eastAsiaTheme="minorEastAsia" w:cstheme="minorBidi"/>
          <w:i/>
          <w:iCs/>
          <w:noProof/>
          <w:sz w:val="22"/>
          <w:szCs w:val="22"/>
          <w:rtl/>
        </w:rPr>
      </w:pPr>
      <w:bookmarkStart w:id="15259" w:name="_Toc19435960"/>
      <w:bookmarkStart w:id="15260" w:name="_Toc20081181"/>
      <w:r>
        <w:rPr>
          <w:noProof/>
          <w:rtl/>
        </w:rPr>
        <w:t>דעת רש"י דאבר היוצא אסור רק בשעת שחיטה</w:t>
      </w:r>
      <w:bookmarkEnd w:id="15259"/>
      <w:bookmarkEnd w:id="15260"/>
    </w:p>
    <w:p w14:paraId="4BC349DA" w14:textId="77777777" w:rsidR="003D504D" w:rsidRDefault="003D504D" w:rsidP="005077A7">
      <w:pPr>
        <w:pStyle w:val="a"/>
        <w:rPr>
          <w:rFonts w:eastAsiaTheme="minorEastAsia" w:cstheme="minorBidi"/>
          <w:sz w:val="22"/>
          <w:szCs w:val="22"/>
          <w:rtl/>
        </w:rPr>
      </w:pPr>
      <w:r>
        <w:rPr>
          <w:rtl/>
        </w:rPr>
        <w:t>דברי רש"י דהאיסור באבר היוצא  כשהוציאו בשעת השחיטה</w:t>
      </w:r>
    </w:p>
    <w:p w14:paraId="1DF51FEA" w14:textId="77777777" w:rsidR="003D504D" w:rsidRDefault="003D504D" w:rsidP="005077A7">
      <w:pPr>
        <w:pStyle w:val="a"/>
        <w:rPr>
          <w:rFonts w:eastAsiaTheme="minorEastAsia" w:cstheme="minorBidi"/>
          <w:sz w:val="22"/>
          <w:szCs w:val="22"/>
          <w:rtl/>
        </w:rPr>
      </w:pPr>
      <w:r>
        <w:rPr>
          <w:rtl/>
        </w:rPr>
        <w:t>ביאור המהר"ם והראש יוסף דכוונת רש"י לומר שאם הוציא אבר ונולד לפני השחיטה מותר</w:t>
      </w:r>
    </w:p>
    <w:p w14:paraId="5FD6272D" w14:textId="77777777" w:rsidR="003D504D" w:rsidRDefault="003D504D" w:rsidP="005077A7">
      <w:pPr>
        <w:pStyle w:val="a"/>
        <w:rPr>
          <w:rFonts w:eastAsiaTheme="minorEastAsia" w:cstheme="minorBidi"/>
          <w:sz w:val="22"/>
          <w:szCs w:val="22"/>
          <w:rtl/>
        </w:rPr>
      </w:pPr>
      <w:r>
        <w:rPr>
          <w:rtl/>
        </w:rPr>
        <w:t>ביאור הכרתי דכיון שנולד ונשחט העובר התברר למפרע שלא יצא חוץ למחיצתו כלל</w:t>
      </w:r>
    </w:p>
    <w:p w14:paraId="35A9DB04" w14:textId="77777777" w:rsidR="003D504D" w:rsidRDefault="003D504D" w:rsidP="005077A7">
      <w:pPr>
        <w:pStyle w:val="a"/>
        <w:rPr>
          <w:rFonts w:eastAsiaTheme="minorEastAsia" w:cstheme="minorBidi"/>
          <w:sz w:val="22"/>
          <w:szCs w:val="22"/>
          <w:rtl/>
        </w:rPr>
      </w:pPr>
      <w:r>
        <w:rPr>
          <w:rtl/>
        </w:rPr>
        <w:t>דברי הכל בו בשם י"א דבנולד העובר לפני השחיטה כיון שחייב שחיטה מצד עצמו האבר מותר</w:t>
      </w:r>
    </w:p>
    <w:p w14:paraId="5043F0FC" w14:textId="77777777" w:rsidR="003D504D" w:rsidRDefault="003D504D" w:rsidP="005077A7">
      <w:pPr>
        <w:pStyle w:val="a"/>
        <w:rPr>
          <w:rFonts w:eastAsiaTheme="minorEastAsia" w:cstheme="minorBidi"/>
          <w:sz w:val="22"/>
          <w:szCs w:val="22"/>
          <w:rtl/>
        </w:rPr>
      </w:pPr>
      <w:r>
        <w:rPr>
          <w:rtl/>
        </w:rPr>
        <w:t>דברי הכס"מ דברשב"א מבואר דאבר היוצא מותר אם נולד לפני שנשחטה אמו</w:t>
      </w:r>
    </w:p>
    <w:p w14:paraId="5980C6CA" w14:textId="77777777" w:rsidR="003D504D" w:rsidRDefault="003D504D" w:rsidP="003D504D">
      <w:pPr>
        <w:pStyle w:val="aff4"/>
        <w:rPr>
          <w:rFonts w:eastAsiaTheme="minorEastAsia" w:cstheme="minorBidi"/>
          <w:i/>
          <w:iCs/>
          <w:noProof/>
          <w:sz w:val="22"/>
          <w:szCs w:val="22"/>
          <w:rtl/>
        </w:rPr>
      </w:pPr>
      <w:bookmarkStart w:id="15261" w:name="_Toc19435961"/>
      <w:bookmarkStart w:id="15262" w:name="_Toc20081182"/>
      <w:r>
        <w:rPr>
          <w:noProof/>
          <w:rtl/>
        </w:rPr>
        <w:t>משמעות דברי הרמב"ם דאף בנולד לפני השחיטה אסור</w:t>
      </w:r>
      <w:bookmarkEnd w:id="15261"/>
      <w:bookmarkEnd w:id="15262"/>
    </w:p>
    <w:p w14:paraId="3C572C05" w14:textId="77777777" w:rsidR="003D504D" w:rsidRDefault="003D504D" w:rsidP="005077A7">
      <w:pPr>
        <w:pStyle w:val="a"/>
        <w:rPr>
          <w:rFonts w:eastAsiaTheme="minorEastAsia" w:cstheme="minorBidi"/>
          <w:sz w:val="22"/>
          <w:szCs w:val="22"/>
          <w:rtl/>
        </w:rPr>
      </w:pPr>
      <w:r>
        <w:rPr>
          <w:rtl/>
        </w:rPr>
        <w:t>דברי הכס"מ דבכל בו משמע דהרמב"ם אוסר בנולד לפני השחיטה ודחיית הכס"מ דהרמב"ם מתיר</w:t>
      </w:r>
    </w:p>
    <w:p w14:paraId="77408039" w14:textId="77777777" w:rsidR="003D504D" w:rsidRDefault="003D504D" w:rsidP="003D504D">
      <w:pPr>
        <w:pStyle w:val="2"/>
        <w:rPr>
          <w:rFonts w:eastAsiaTheme="minorEastAsia" w:cstheme="minorBidi"/>
          <w:i/>
          <w:iCs/>
          <w:noProof/>
          <w:sz w:val="22"/>
          <w:szCs w:val="22"/>
          <w:rtl/>
        </w:rPr>
      </w:pPr>
      <w:bookmarkStart w:id="15263" w:name="_Toc19435962"/>
      <w:r>
        <w:rPr>
          <w:noProof/>
          <w:rtl/>
        </w:rPr>
        <w:t>בגדר איסור מקום חתך</w:t>
      </w:r>
      <w:bookmarkEnd w:id="15263"/>
    </w:p>
    <w:p w14:paraId="008404B2" w14:textId="77777777" w:rsidR="003D504D" w:rsidRDefault="003D504D" w:rsidP="003D504D">
      <w:pPr>
        <w:pStyle w:val="aff4"/>
        <w:rPr>
          <w:rFonts w:eastAsiaTheme="minorEastAsia" w:cstheme="minorBidi"/>
          <w:i/>
          <w:iCs/>
          <w:noProof/>
          <w:sz w:val="22"/>
          <w:szCs w:val="22"/>
          <w:rtl/>
        </w:rPr>
      </w:pPr>
      <w:bookmarkStart w:id="15264" w:name="_Toc19435963"/>
      <w:bookmarkStart w:id="15265" w:name="_Toc20081183"/>
      <w:r>
        <w:rPr>
          <w:noProof/>
          <w:rtl/>
        </w:rPr>
        <w:t>בדברי רש"י דמקום החתך אינו בכלל היתר "כל בבהמה"</w:t>
      </w:r>
      <w:bookmarkEnd w:id="15264"/>
      <w:bookmarkEnd w:id="15265"/>
    </w:p>
    <w:p w14:paraId="63B4C90C" w14:textId="77777777" w:rsidR="003D504D" w:rsidRDefault="003D504D" w:rsidP="005077A7">
      <w:pPr>
        <w:pStyle w:val="a"/>
        <w:rPr>
          <w:rFonts w:eastAsiaTheme="minorEastAsia" w:cstheme="minorBidi"/>
          <w:sz w:val="22"/>
          <w:szCs w:val="22"/>
          <w:rtl/>
        </w:rPr>
      </w:pPr>
      <w:r>
        <w:rPr>
          <w:rtl/>
        </w:rPr>
        <w:t>דברי רש"י דבמקום החתך אין איסור בשר בשדה טריפה ואין היתר בהמה בבהמה</w:t>
      </w:r>
    </w:p>
    <w:p w14:paraId="2991CDE5" w14:textId="77777777" w:rsidR="003D504D" w:rsidRDefault="003D504D" w:rsidP="005077A7">
      <w:pPr>
        <w:pStyle w:val="a"/>
        <w:rPr>
          <w:rFonts w:eastAsiaTheme="minorEastAsia" w:cstheme="minorBidi"/>
          <w:sz w:val="22"/>
          <w:szCs w:val="22"/>
          <w:rtl/>
        </w:rPr>
      </w:pPr>
      <w:r>
        <w:rPr>
          <w:rtl/>
        </w:rPr>
        <w:t>ביאור הר"ן ברש"י דמקום החתך לא יצא חוץ למחיצה אך בלא החזירו אסור דאינו בתוך הבהמה</w:t>
      </w:r>
    </w:p>
    <w:p w14:paraId="599484C9" w14:textId="77777777" w:rsidR="003D504D" w:rsidRDefault="003D504D" w:rsidP="005077A7">
      <w:pPr>
        <w:pStyle w:val="a"/>
        <w:rPr>
          <w:rFonts w:eastAsiaTheme="minorEastAsia" w:cstheme="minorBidi"/>
          <w:sz w:val="22"/>
          <w:szCs w:val="22"/>
          <w:rtl/>
        </w:rPr>
      </w:pPr>
      <w:r>
        <w:rPr>
          <w:rtl/>
        </w:rPr>
        <w:t>דברי הרשב"א דמקום החתך אינו בכלל היתר "כל בבהמה" כיון שאינו ממש בפנים</w:t>
      </w:r>
    </w:p>
    <w:p w14:paraId="31B6EE82" w14:textId="77777777" w:rsidR="003D504D" w:rsidRDefault="003D504D" w:rsidP="005077A7">
      <w:pPr>
        <w:pStyle w:val="a"/>
        <w:rPr>
          <w:rFonts w:eastAsiaTheme="minorEastAsia" w:cstheme="minorBidi"/>
          <w:sz w:val="22"/>
          <w:szCs w:val="22"/>
          <w:rtl/>
        </w:rPr>
      </w:pPr>
      <w:r>
        <w:rPr>
          <w:rtl/>
        </w:rPr>
        <w:t>ביאור הרי"ד דכיון שמקום החתך אינו אסור כטריפה אם החזירו מותר דהוא בתוך הבהמה</w:t>
      </w:r>
    </w:p>
    <w:p w14:paraId="51E8C2BF" w14:textId="77777777" w:rsidR="003D504D" w:rsidRDefault="003D504D" w:rsidP="003D504D">
      <w:pPr>
        <w:pStyle w:val="aff4"/>
        <w:rPr>
          <w:rFonts w:eastAsiaTheme="minorEastAsia" w:cstheme="minorBidi"/>
          <w:i/>
          <w:iCs/>
          <w:noProof/>
          <w:sz w:val="22"/>
          <w:szCs w:val="22"/>
          <w:rtl/>
        </w:rPr>
      </w:pPr>
      <w:bookmarkStart w:id="15266" w:name="_Toc19435964"/>
      <w:bookmarkStart w:id="15267" w:name="_Toc20081184"/>
      <w:r>
        <w:rPr>
          <w:noProof/>
          <w:rtl/>
        </w:rPr>
        <w:t>ביאורי הר"ן באיסור מקום חתך</w:t>
      </w:r>
      <w:bookmarkEnd w:id="15266"/>
      <w:bookmarkEnd w:id="15267"/>
    </w:p>
    <w:p w14:paraId="69840B33" w14:textId="77777777" w:rsidR="003D504D" w:rsidRDefault="003D504D" w:rsidP="005077A7">
      <w:pPr>
        <w:pStyle w:val="a"/>
        <w:rPr>
          <w:rFonts w:eastAsiaTheme="minorEastAsia" w:cstheme="minorBidi"/>
          <w:sz w:val="22"/>
          <w:szCs w:val="22"/>
          <w:rtl/>
        </w:rPr>
      </w:pPr>
      <w:r>
        <w:rPr>
          <w:rtl/>
        </w:rPr>
        <w:t>קושית הר"ן על רש"י דאי מקום החתך אינו בתוך הבהמה א"כ חשיב שיצא מחוץ למחיצתו</w:t>
      </w:r>
    </w:p>
    <w:p w14:paraId="09AEA05D" w14:textId="77777777" w:rsidR="003D504D" w:rsidRDefault="003D504D" w:rsidP="005077A7">
      <w:pPr>
        <w:pStyle w:val="a"/>
        <w:rPr>
          <w:rFonts w:eastAsiaTheme="minorEastAsia" w:cstheme="minorBidi"/>
          <w:sz w:val="22"/>
          <w:szCs w:val="22"/>
          <w:rtl/>
        </w:rPr>
      </w:pPr>
      <w:r>
        <w:rPr>
          <w:rtl/>
        </w:rPr>
        <w:t>דברי הר"ן בתי' הא' דהאיסור בבשר בשדה היינו דוקא בבשר הגלוי</w:t>
      </w:r>
    </w:p>
    <w:p w14:paraId="0B4AB46E" w14:textId="77777777" w:rsidR="003D504D" w:rsidRDefault="003D504D" w:rsidP="005077A7">
      <w:pPr>
        <w:pStyle w:val="a"/>
        <w:rPr>
          <w:rFonts w:eastAsiaTheme="minorEastAsia" w:cstheme="minorBidi"/>
          <w:sz w:val="22"/>
          <w:szCs w:val="22"/>
          <w:rtl/>
        </w:rPr>
      </w:pPr>
      <w:r>
        <w:rPr>
          <w:rtl/>
        </w:rPr>
        <w:t>דברי הר"ן בתי' הב' דאף שמקום החתך יצא מחוץ למחיצתו יש ילפותא להתירו בהחזיר את האבר</w:t>
      </w:r>
    </w:p>
    <w:p w14:paraId="4BF88C9E" w14:textId="77777777" w:rsidR="003D504D" w:rsidRDefault="003D504D" w:rsidP="003D504D">
      <w:pPr>
        <w:pStyle w:val="aff4"/>
        <w:rPr>
          <w:rFonts w:eastAsiaTheme="minorEastAsia" w:cstheme="minorBidi"/>
          <w:i/>
          <w:iCs/>
          <w:noProof/>
          <w:sz w:val="22"/>
          <w:szCs w:val="22"/>
          <w:rtl/>
        </w:rPr>
      </w:pPr>
      <w:bookmarkStart w:id="15268" w:name="_Toc19435965"/>
      <w:bookmarkStart w:id="15269" w:name="_Toc20081185"/>
      <w:r>
        <w:rPr>
          <w:noProof/>
          <w:rtl/>
        </w:rPr>
        <w:t>דברי הט"ז והתבו"ש דלרש"י מקום החתך אינו אסור כטריפה</w:t>
      </w:r>
      <w:bookmarkEnd w:id="15268"/>
      <w:bookmarkEnd w:id="15269"/>
    </w:p>
    <w:p w14:paraId="19376D21" w14:textId="77777777" w:rsidR="003D504D" w:rsidRDefault="003D504D" w:rsidP="005077A7">
      <w:pPr>
        <w:pStyle w:val="a"/>
        <w:rPr>
          <w:rFonts w:eastAsiaTheme="minorEastAsia" w:cstheme="minorBidi"/>
          <w:sz w:val="22"/>
          <w:szCs w:val="22"/>
          <w:rtl/>
        </w:rPr>
      </w:pPr>
      <w:r>
        <w:rPr>
          <w:rtl/>
        </w:rPr>
        <w:t>דברי הפרמ"ג דהט"ז ביאר ברש"י דאיסור מקום חתך הוא רק מחמת שלא מהני לו השחיטה</w:t>
      </w:r>
    </w:p>
    <w:p w14:paraId="7E625BC2" w14:textId="77777777" w:rsidR="003D504D" w:rsidRDefault="003D504D" w:rsidP="003D504D">
      <w:pPr>
        <w:pStyle w:val="aff4"/>
        <w:rPr>
          <w:rFonts w:eastAsiaTheme="minorEastAsia" w:cstheme="minorBidi"/>
          <w:i/>
          <w:iCs/>
          <w:noProof/>
          <w:sz w:val="22"/>
          <w:szCs w:val="22"/>
          <w:rtl/>
        </w:rPr>
      </w:pPr>
      <w:bookmarkStart w:id="15270" w:name="_Toc19435966"/>
      <w:bookmarkStart w:id="15271" w:name="_Toc20081186"/>
      <w:r>
        <w:rPr>
          <w:noProof/>
          <w:rtl/>
        </w:rPr>
        <w:t>דברי הפרמ"ג דלהרמב"ם ורש"י מהני שחיטה למקום חתך</w:t>
      </w:r>
      <w:bookmarkEnd w:id="15270"/>
      <w:bookmarkEnd w:id="15271"/>
    </w:p>
    <w:p w14:paraId="1E671A57" w14:textId="77777777" w:rsidR="003D504D" w:rsidRDefault="003D504D" w:rsidP="005077A7">
      <w:pPr>
        <w:pStyle w:val="a"/>
        <w:rPr>
          <w:rFonts w:eastAsiaTheme="minorEastAsia" w:cstheme="minorBidi"/>
          <w:sz w:val="22"/>
          <w:szCs w:val="22"/>
          <w:rtl/>
        </w:rPr>
      </w:pPr>
      <w:r>
        <w:rPr>
          <w:rtl/>
        </w:rPr>
        <w:t>דברי הפרמ"ג דברמב"ם מוכח דמהני שחיטה לאבר היוצא בלא החזירו וכ"ש למקום חתך</w:t>
      </w:r>
    </w:p>
    <w:p w14:paraId="746A2EA1" w14:textId="77777777" w:rsidR="003D504D" w:rsidRDefault="003D504D" w:rsidP="005077A7">
      <w:pPr>
        <w:pStyle w:val="a"/>
        <w:rPr>
          <w:rFonts w:eastAsiaTheme="minorEastAsia" w:cstheme="minorBidi"/>
          <w:sz w:val="22"/>
          <w:szCs w:val="22"/>
          <w:rtl/>
        </w:rPr>
      </w:pPr>
      <w:r>
        <w:rPr>
          <w:rtl/>
        </w:rPr>
        <w:t>דברי הפרמ"ג דלהרמב"ם האיסור במקום חתך הוא מדין "בשר בשדה טריפה"</w:t>
      </w:r>
    </w:p>
    <w:p w14:paraId="288BCB14" w14:textId="77777777" w:rsidR="003D504D" w:rsidRDefault="003D504D" w:rsidP="005077A7">
      <w:pPr>
        <w:pStyle w:val="a"/>
        <w:rPr>
          <w:rFonts w:eastAsiaTheme="minorEastAsia" w:cstheme="minorBidi"/>
          <w:sz w:val="22"/>
          <w:szCs w:val="22"/>
          <w:rtl/>
        </w:rPr>
      </w:pPr>
      <w:r>
        <w:rPr>
          <w:rtl/>
        </w:rPr>
        <w:t>דברי הפרמ"ג דמ"ש רש"י דלא מהני שחיטה למקום חתך הוא רק לר"מ אבל לרבנן אסור מדין טריפה</w:t>
      </w:r>
    </w:p>
    <w:p w14:paraId="15FA8A05" w14:textId="77777777" w:rsidR="003D504D" w:rsidRDefault="003D504D" w:rsidP="003D504D">
      <w:pPr>
        <w:pStyle w:val="aff4"/>
        <w:rPr>
          <w:rFonts w:eastAsiaTheme="minorEastAsia" w:cstheme="minorBidi"/>
          <w:i/>
          <w:iCs/>
          <w:noProof/>
          <w:sz w:val="22"/>
          <w:szCs w:val="22"/>
          <w:rtl/>
        </w:rPr>
      </w:pPr>
      <w:bookmarkStart w:id="15272" w:name="_Toc19435967"/>
      <w:bookmarkStart w:id="15273" w:name="_Toc20081187"/>
      <w:r>
        <w:rPr>
          <w:noProof/>
          <w:rtl/>
        </w:rPr>
        <w:t>דברי הלבוש דמקום חתך חשיב כראה פני השדה</w:t>
      </w:r>
      <w:bookmarkEnd w:id="15272"/>
      <w:bookmarkEnd w:id="15273"/>
    </w:p>
    <w:p w14:paraId="478DADCB" w14:textId="77777777" w:rsidR="003D504D" w:rsidRDefault="003D504D" w:rsidP="005077A7">
      <w:pPr>
        <w:pStyle w:val="a"/>
        <w:rPr>
          <w:rFonts w:eastAsiaTheme="minorEastAsia" w:cstheme="minorBidi"/>
          <w:sz w:val="22"/>
          <w:szCs w:val="22"/>
          <w:rtl/>
        </w:rPr>
      </w:pPr>
      <w:r>
        <w:rPr>
          <w:rtl/>
        </w:rPr>
        <w:t>דברי הלבוש דמקום החתך כשלא החזירו חשיב כראה פני השדה אם היה נחתך לפני השחיטה</w:t>
      </w:r>
    </w:p>
    <w:p w14:paraId="215125A1" w14:textId="77777777" w:rsidR="003D504D" w:rsidRDefault="003D504D" w:rsidP="003D504D">
      <w:pPr>
        <w:pStyle w:val="aff4"/>
        <w:rPr>
          <w:rFonts w:eastAsiaTheme="minorEastAsia" w:cstheme="minorBidi"/>
          <w:i/>
          <w:iCs/>
          <w:noProof/>
          <w:sz w:val="22"/>
          <w:szCs w:val="22"/>
          <w:rtl/>
        </w:rPr>
      </w:pPr>
      <w:bookmarkStart w:id="15274" w:name="_Toc19435968"/>
      <w:bookmarkStart w:id="15275" w:name="_Toc20081188"/>
      <w:r>
        <w:rPr>
          <w:noProof/>
          <w:rtl/>
        </w:rPr>
        <w:t>ביאור התבו"ש בלבוש דרק בשחיטה מקום החתך חשיב כגלוי</w:t>
      </w:r>
      <w:bookmarkEnd w:id="15274"/>
      <w:bookmarkEnd w:id="15275"/>
    </w:p>
    <w:p w14:paraId="411D6602" w14:textId="77777777" w:rsidR="003D504D" w:rsidRDefault="003D504D" w:rsidP="005077A7">
      <w:pPr>
        <w:pStyle w:val="a"/>
        <w:rPr>
          <w:rFonts w:eastAsiaTheme="minorEastAsia" w:cstheme="minorBidi"/>
          <w:sz w:val="22"/>
          <w:szCs w:val="22"/>
          <w:rtl/>
        </w:rPr>
      </w:pPr>
      <w:r>
        <w:rPr>
          <w:rtl/>
        </w:rPr>
        <w:t>דברי התבו"ש דלדעת הלבוש אם הוציא אבר שרואה את פני השדה ולא יצא חוץ למחיצה אסור</w:t>
      </w:r>
    </w:p>
    <w:p w14:paraId="1FDF305F" w14:textId="77777777" w:rsidR="003D504D" w:rsidRDefault="003D504D" w:rsidP="005077A7">
      <w:pPr>
        <w:pStyle w:val="a"/>
        <w:rPr>
          <w:rFonts w:eastAsiaTheme="minorEastAsia" w:cstheme="minorBidi"/>
          <w:sz w:val="22"/>
          <w:szCs w:val="22"/>
          <w:rtl/>
        </w:rPr>
      </w:pPr>
      <w:r>
        <w:rPr>
          <w:rtl/>
        </w:rPr>
        <w:t>קושית התבו"ש דאי מקום החתך חשיב כרואה את פני השדה אמאי בהחזיר את האבר מותר</w:t>
      </w:r>
    </w:p>
    <w:p w14:paraId="504F7797" w14:textId="77777777" w:rsidR="003D504D" w:rsidRDefault="003D504D" w:rsidP="005077A7">
      <w:pPr>
        <w:pStyle w:val="a"/>
        <w:rPr>
          <w:rFonts w:eastAsiaTheme="minorEastAsia" w:cstheme="minorBidi"/>
          <w:sz w:val="22"/>
          <w:szCs w:val="22"/>
          <w:rtl/>
        </w:rPr>
      </w:pPr>
      <w:r>
        <w:rPr>
          <w:rtl/>
        </w:rPr>
        <w:t>דברי התבו"ש דלפני השחיטה מודה הלבוש דמקום החתך מכוסה ע"י האבר ואינו גלוי</w:t>
      </w:r>
    </w:p>
    <w:p w14:paraId="13ABB5D9" w14:textId="77777777" w:rsidR="003D504D" w:rsidRDefault="003D504D" w:rsidP="005077A7">
      <w:pPr>
        <w:pStyle w:val="a"/>
        <w:rPr>
          <w:rFonts w:eastAsiaTheme="minorEastAsia" w:cstheme="minorBidi"/>
          <w:sz w:val="22"/>
          <w:szCs w:val="22"/>
          <w:rtl/>
        </w:rPr>
      </w:pPr>
      <w:r>
        <w:rPr>
          <w:rtl/>
        </w:rPr>
        <w:t>ביאור התבו"ש בלבוש דבשחיטה נעשה אוכל וחשיב שנחתך האבר ומקום החתך נעשה גלוי</w:t>
      </w:r>
    </w:p>
    <w:p w14:paraId="3D6BFF14" w14:textId="77777777" w:rsidR="003D504D" w:rsidRDefault="003D504D" w:rsidP="005077A7">
      <w:pPr>
        <w:pStyle w:val="a"/>
        <w:rPr>
          <w:rFonts w:eastAsiaTheme="minorEastAsia" w:cstheme="minorBidi"/>
          <w:sz w:val="22"/>
          <w:szCs w:val="22"/>
          <w:rtl/>
        </w:rPr>
      </w:pPr>
      <w:r>
        <w:rPr>
          <w:rtl/>
        </w:rPr>
        <w:t>דחיית התבו"ש דדין אוכל אינו מחשיב שנחתך ושעת השחיטה אינה מחשיבה את האבר כגלוי</w:t>
      </w:r>
    </w:p>
    <w:p w14:paraId="73257369" w14:textId="77777777" w:rsidR="003D504D" w:rsidRDefault="003D504D" w:rsidP="005077A7">
      <w:pPr>
        <w:pStyle w:val="a"/>
        <w:rPr>
          <w:rFonts w:eastAsiaTheme="minorEastAsia" w:cstheme="minorBidi"/>
          <w:sz w:val="22"/>
          <w:szCs w:val="22"/>
          <w:rtl/>
        </w:rPr>
      </w:pPr>
      <w:r>
        <w:rPr>
          <w:rtl/>
        </w:rPr>
        <w:t>דברי התבו"ש דבמקום חתך אין היתר "כל בבהמה" ולפי"ז אבר שנראה בחוץ ולא יצא מותר</w:t>
      </w:r>
    </w:p>
    <w:p w14:paraId="7EC9787B" w14:textId="77777777" w:rsidR="003D504D" w:rsidRDefault="003D504D" w:rsidP="005077A7">
      <w:pPr>
        <w:pStyle w:val="a"/>
        <w:rPr>
          <w:rFonts w:eastAsiaTheme="minorEastAsia" w:cstheme="minorBidi"/>
          <w:sz w:val="22"/>
          <w:szCs w:val="22"/>
          <w:rtl/>
        </w:rPr>
      </w:pPr>
      <w:r>
        <w:rPr>
          <w:rtl/>
        </w:rPr>
        <w:t>דברי הפרמ"ג דהאיסור במקום החתך הוא דחשיב כגלוי ומדין בשר בשדה טריפה</w:t>
      </w:r>
    </w:p>
    <w:p w14:paraId="121FF1E9" w14:textId="77777777" w:rsidR="003D504D" w:rsidRDefault="003D504D" w:rsidP="003D504D">
      <w:pPr>
        <w:pStyle w:val="2"/>
        <w:rPr>
          <w:rFonts w:eastAsiaTheme="minorEastAsia" w:cstheme="minorBidi"/>
          <w:i/>
          <w:iCs/>
          <w:noProof/>
          <w:sz w:val="22"/>
          <w:szCs w:val="22"/>
          <w:rtl/>
        </w:rPr>
      </w:pPr>
      <w:bookmarkStart w:id="15276" w:name="_Toc19435969"/>
      <w:r>
        <w:rPr>
          <w:noProof/>
          <w:rtl/>
        </w:rPr>
        <w:t>ביאורי ראשי הישיבות על הסוגיא</w:t>
      </w:r>
      <w:bookmarkEnd w:id="15276"/>
    </w:p>
    <w:p w14:paraId="6E90286C" w14:textId="77777777" w:rsidR="003D504D" w:rsidRDefault="003D504D" w:rsidP="003D504D">
      <w:pPr>
        <w:pStyle w:val="2"/>
        <w:rPr>
          <w:rFonts w:eastAsiaTheme="minorEastAsia" w:cstheme="minorBidi"/>
          <w:i/>
          <w:iCs/>
          <w:noProof/>
          <w:sz w:val="22"/>
          <w:szCs w:val="22"/>
          <w:rtl/>
        </w:rPr>
      </w:pPr>
      <w:bookmarkStart w:id="15277" w:name="_Toc19435970"/>
      <w:r>
        <w:rPr>
          <w:noProof/>
          <w:rtl/>
        </w:rPr>
        <w:t>בגדר ההיתר בחתך מעובר שבמעיה</w:t>
      </w:r>
      <w:bookmarkEnd w:id="15277"/>
    </w:p>
    <w:p w14:paraId="2B6B9A97" w14:textId="77777777" w:rsidR="003D504D" w:rsidRDefault="003D504D" w:rsidP="003D504D">
      <w:pPr>
        <w:pStyle w:val="aff4"/>
        <w:rPr>
          <w:rFonts w:eastAsiaTheme="minorEastAsia" w:cstheme="minorBidi"/>
          <w:i/>
          <w:iCs/>
          <w:noProof/>
          <w:sz w:val="22"/>
          <w:szCs w:val="22"/>
          <w:rtl/>
        </w:rPr>
      </w:pPr>
      <w:bookmarkStart w:id="15278" w:name="_Toc19435971"/>
      <w:bookmarkStart w:id="15279" w:name="_Toc20081189"/>
      <w:r>
        <w:rPr>
          <w:noProof/>
          <w:rtl/>
        </w:rPr>
        <w:t>דברי השער"י דמוכח שיש דין היתר ולא סגי שסימניו כשחוטים</w:t>
      </w:r>
      <w:bookmarkEnd w:id="15278"/>
      <w:bookmarkEnd w:id="15279"/>
    </w:p>
    <w:p w14:paraId="5A16674C" w14:textId="77777777" w:rsidR="003D504D" w:rsidRDefault="003D504D" w:rsidP="005077A7">
      <w:pPr>
        <w:pStyle w:val="a"/>
        <w:rPr>
          <w:rFonts w:eastAsiaTheme="minorEastAsia" w:cstheme="minorBidi"/>
          <w:sz w:val="22"/>
          <w:szCs w:val="22"/>
          <w:rtl/>
        </w:rPr>
      </w:pPr>
      <w:r>
        <w:rPr>
          <w:rtl/>
        </w:rPr>
        <w:t>חקירת השער"י אי סימני האם הם כסימני הולד והבן פקועה חשיב כשחוט  או שיש בו דין היתר</w:t>
      </w:r>
    </w:p>
    <w:p w14:paraId="2885C3A6" w14:textId="77777777" w:rsidR="003D504D" w:rsidRDefault="003D504D" w:rsidP="005077A7">
      <w:pPr>
        <w:pStyle w:val="a"/>
        <w:rPr>
          <w:rFonts w:eastAsiaTheme="minorEastAsia" w:cstheme="minorBidi"/>
          <w:sz w:val="22"/>
          <w:szCs w:val="22"/>
          <w:rtl/>
        </w:rPr>
      </w:pPr>
      <w:r>
        <w:rPr>
          <w:rtl/>
        </w:rPr>
        <w:t>דברי השער"י דבחותך מעובר שבמעיה מוכח דהוא היתר מגזיה"כ ואינו כשחוט</w:t>
      </w:r>
    </w:p>
    <w:p w14:paraId="2EAF8681" w14:textId="77777777" w:rsidR="003D504D" w:rsidRDefault="003D504D" w:rsidP="005077A7">
      <w:pPr>
        <w:pStyle w:val="a"/>
        <w:rPr>
          <w:rFonts w:eastAsiaTheme="minorEastAsia" w:cstheme="minorBidi"/>
          <w:sz w:val="22"/>
          <w:szCs w:val="22"/>
          <w:rtl/>
        </w:rPr>
      </w:pPr>
      <w:r>
        <w:rPr>
          <w:rtl/>
        </w:rPr>
        <w:t>ביאור השער"י דאף דסימני העובר חשיבי כשחוטים מ"מ יש היתר אף בחותך שלא שייך ביה שחיטה</w:t>
      </w:r>
    </w:p>
    <w:p w14:paraId="1EC7DC7B" w14:textId="77777777" w:rsidR="003D504D" w:rsidRDefault="003D504D" w:rsidP="003D504D">
      <w:pPr>
        <w:pStyle w:val="aff4"/>
        <w:rPr>
          <w:rFonts w:eastAsiaTheme="minorEastAsia" w:cstheme="minorBidi"/>
          <w:i/>
          <w:iCs/>
          <w:noProof/>
          <w:sz w:val="22"/>
          <w:szCs w:val="22"/>
          <w:rtl/>
        </w:rPr>
      </w:pPr>
      <w:bookmarkStart w:id="15280" w:name="_Toc19435972"/>
      <w:bookmarkStart w:id="15281" w:name="_Toc20081190"/>
      <w:r>
        <w:rPr>
          <w:noProof/>
          <w:rtl/>
        </w:rPr>
        <w:t>דברי השער"י דמביאור רש"י במקום חתך מוכח דאינו כשחוט</w:t>
      </w:r>
      <w:bookmarkEnd w:id="15280"/>
      <w:bookmarkEnd w:id="15281"/>
    </w:p>
    <w:p w14:paraId="74621773" w14:textId="77777777" w:rsidR="003D504D" w:rsidRDefault="003D504D" w:rsidP="005077A7">
      <w:pPr>
        <w:pStyle w:val="a"/>
        <w:rPr>
          <w:rFonts w:eastAsiaTheme="minorEastAsia" w:cstheme="minorBidi"/>
          <w:sz w:val="22"/>
          <w:szCs w:val="22"/>
          <w:rtl/>
        </w:rPr>
      </w:pPr>
      <w:r>
        <w:rPr>
          <w:rtl/>
        </w:rPr>
        <w:t>דברי השער"י דלרש"י דמקום חתך אינו אסור כטריפה מוכח שאינו כשחוט ולכן ל"מ השחיטה</w:t>
      </w:r>
    </w:p>
    <w:p w14:paraId="722A7C87" w14:textId="77777777" w:rsidR="003D504D" w:rsidRDefault="003D504D" w:rsidP="003D504D">
      <w:pPr>
        <w:pStyle w:val="aff4"/>
        <w:rPr>
          <w:rFonts w:eastAsiaTheme="minorEastAsia" w:cstheme="minorBidi"/>
          <w:i/>
          <w:iCs/>
          <w:noProof/>
          <w:sz w:val="22"/>
          <w:szCs w:val="22"/>
          <w:rtl/>
        </w:rPr>
      </w:pPr>
      <w:bookmarkStart w:id="15282" w:name="_Toc19435973"/>
      <w:bookmarkStart w:id="15283" w:name="_Toc20081191"/>
      <w:r>
        <w:rPr>
          <w:noProof/>
          <w:rtl/>
        </w:rPr>
        <w:t>ביאור הקה"י דהוא כאבר מאבריה וכשאר אבריה שהם שחוטים</w:t>
      </w:r>
      <w:bookmarkEnd w:id="15282"/>
      <w:bookmarkEnd w:id="15283"/>
    </w:p>
    <w:p w14:paraId="62F83AA8" w14:textId="77777777" w:rsidR="003D504D" w:rsidRDefault="003D504D" w:rsidP="005077A7">
      <w:pPr>
        <w:pStyle w:val="a"/>
        <w:rPr>
          <w:rFonts w:eastAsiaTheme="minorEastAsia" w:cstheme="minorBidi"/>
          <w:sz w:val="22"/>
          <w:szCs w:val="22"/>
          <w:rtl/>
        </w:rPr>
      </w:pPr>
      <w:r>
        <w:rPr>
          <w:rtl/>
        </w:rPr>
        <w:t>דברי הקה"י דמחותך מעובר מוכח דשחיטת האם מתירה בולד אף איסורים שאין בהם שחיטה</w:t>
      </w:r>
    </w:p>
    <w:p w14:paraId="67EF235C" w14:textId="77777777" w:rsidR="003D504D" w:rsidRDefault="003D504D" w:rsidP="005077A7">
      <w:pPr>
        <w:pStyle w:val="a"/>
        <w:rPr>
          <w:rFonts w:eastAsiaTheme="minorEastAsia" w:cstheme="minorBidi"/>
          <w:sz w:val="22"/>
          <w:szCs w:val="22"/>
          <w:rtl/>
        </w:rPr>
      </w:pPr>
      <w:r>
        <w:rPr>
          <w:rtl/>
        </w:rPr>
        <w:t>קושית הקה"י דמבואר דיש בעובר ב' דינים גם שהוא שחוט וגם דין היתר ומהיכן ילפינן ב' דינים</w:t>
      </w:r>
    </w:p>
    <w:p w14:paraId="5C2C6294" w14:textId="77777777" w:rsidR="003D504D" w:rsidRDefault="003D504D" w:rsidP="005077A7">
      <w:pPr>
        <w:pStyle w:val="a"/>
        <w:rPr>
          <w:rFonts w:eastAsiaTheme="minorEastAsia" w:cstheme="minorBidi"/>
          <w:sz w:val="22"/>
          <w:szCs w:val="22"/>
          <w:rtl/>
        </w:rPr>
      </w:pPr>
      <w:r>
        <w:rPr>
          <w:rtl/>
        </w:rPr>
        <w:t>ביאור הקה"י דהוא דין אחד שההיתר הוא דדינו כאבר מאברי אמו שכל אבריה דינם כשחוטים</w:t>
      </w:r>
    </w:p>
    <w:p w14:paraId="2DCE9FA8" w14:textId="77777777" w:rsidR="003D504D" w:rsidRDefault="003D504D" w:rsidP="003D504D">
      <w:pPr>
        <w:pStyle w:val="2"/>
        <w:rPr>
          <w:rFonts w:eastAsiaTheme="minorEastAsia" w:cstheme="minorBidi"/>
          <w:i/>
          <w:iCs/>
          <w:noProof/>
          <w:sz w:val="22"/>
          <w:szCs w:val="22"/>
          <w:rtl/>
        </w:rPr>
      </w:pPr>
      <w:bookmarkStart w:id="15284" w:name="_Toc19435974"/>
      <w:r>
        <w:rPr>
          <w:noProof/>
          <w:rtl/>
        </w:rPr>
        <w:t>בגדר האיסור באבר היוצא</w:t>
      </w:r>
      <w:bookmarkEnd w:id="15284"/>
    </w:p>
    <w:p w14:paraId="6ACFCC57" w14:textId="77777777" w:rsidR="003D504D" w:rsidRDefault="003D504D" w:rsidP="003D504D">
      <w:pPr>
        <w:pStyle w:val="aff4"/>
        <w:rPr>
          <w:rFonts w:eastAsiaTheme="minorEastAsia" w:cstheme="minorBidi"/>
          <w:i/>
          <w:iCs/>
          <w:noProof/>
          <w:sz w:val="22"/>
          <w:szCs w:val="22"/>
          <w:rtl/>
        </w:rPr>
      </w:pPr>
      <w:bookmarkStart w:id="15285" w:name="_Toc19435975"/>
      <w:bookmarkStart w:id="15286" w:name="_Toc20081192"/>
      <w:r>
        <w:rPr>
          <w:noProof/>
          <w:rtl/>
        </w:rPr>
        <w:t>הוכחת האמרי משה מפלוגתת ר"מ ורבנן</w:t>
      </w:r>
      <w:bookmarkEnd w:id="15285"/>
      <w:bookmarkEnd w:id="15286"/>
    </w:p>
    <w:p w14:paraId="40DF1D6B" w14:textId="77777777" w:rsidR="003D504D" w:rsidRDefault="003D504D" w:rsidP="005077A7">
      <w:pPr>
        <w:pStyle w:val="a"/>
        <w:rPr>
          <w:rFonts w:eastAsiaTheme="minorEastAsia" w:cstheme="minorBidi"/>
          <w:sz w:val="22"/>
          <w:szCs w:val="22"/>
          <w:rtl/>
        </w:rPr>
      </w:pPr>
      <w:r>
        <w:rPr>
          <w:rtl/>
        </w:rPr>
        <w:t>חקירת האמרי משה אי השחיטה חלה על העובר שהוא כאבר דאמו או שיש בו היתר לכל האיסורים</w:t>
      </w:r>
    </w:p>
    <w:p w14:paraId="4A78566E" w14:textId="77777777" w:rsidR="003D504D" w:rsidRDefault="003D504D" w:rsidP="005077A7">
      <w:pPr>
        <w:pStyle w:val="a"/>
        <w:rPr>
          <w:rFonts w:eastAsiaTheme="minorEastAsia" w:cstheme="minorBidi"/>
          <w:sz w:val="22"/>
          <w:szCs w:val="22"/>
          <w:rtl/>
        </w:rPr>
      </w:pPr>
      <w:r>
        <w:rPr>
          <w:rtl/>
        </w:rPr>
        <w:t>דברי האמרי משה דמהא דשחיטה מטהרת את האבר היוצא מידי נבילה מוכח דדינו כשחוט</w:t>
      </w:r>
    </w:p>
    <w:p w14:paraId="05989B85" w14:textId="77777777" w:rsidR="003D504D" w:rsidRDefault="003D504D" w:rsidP="003D504D">
      <w:pPr>
        <w:pStyle w:val="aff4"/>
        <w:rPr>
          <w:rFonts w:eastAsiaTheme="minorEastAsia" w:cstheme="minorBidi"/>
          <w:i/>
          <w:iCs/>
          <w:noProof/>
          <w:sz w:val="22"/>
          <w:szCs w:val="22"/>
          <w:rtl/>
        </w:rPr>
      </w:pPr>
      <w:bookmarkStart w:id="15287" w:name="_Toc19435976"/>
      <w:bookmarkStart w:id="15288" w:name="_Toc20081193"/>
      <w:r>
        <w:rPr>
          <w:noProof/>
          <w:rtl/>
        </w:rPr>
        <w:t>דברי האמרי משה דמשמע בהרשב"א דהעובר אינו כשחוט</w:t>
      </w:r>
      <w:bookmarkEnd w:id="15287"/>
      <w:bookmarkEnd w:id="15288"/>
    </w:p>
    <w:p w14:paraId="4A9303D3" w14:textId="77777777" w:rsidR="003D504D" w:rsidRDefault="003D504D" w:rsidP="005077A7">
      <w:pPr>
        <w:pStyle w:val="a"/>
        <w:rPr>
          <w:rFonts w:eastAsiaTheme="minorEastAsia" w:cstheme="minorBidi"/>
          <w:sz w:val="22"/>
          <w:szCs w:val="22"/>
          <w:rtl/>
        </w:rPr>
      </w:pPr>
      <w:r>
        <w:rPr>
          <w:rtl/>
        </w:rPr>
        <w:t>דברי האמרי משה דמבואר ברשב"א דהעובר אינו כשחוט אלא יש בו דין היתר מגזיה"כ</w:t>
      </w:r>
    </w:p>
    <w:p w14:paraId="05068C93" w14:textId="77777777" w:rsidR="003D504D" w:rsidRDefault="003D504D" w:rsidP="005077A7">
      <w:pPr>
        <w:pStyle w:val="a"/>
        <w:rPr>
          <w:rFonts w:eastAsiaTheme="minorEastAsia" w:cstheme="minorBidi"/>
          <w:sz w:val="22"/>
          <w:szCs w:val="22"/>
          <w:rtl/>
        </w:rPr>
      </w:pPr>
      <w:r>
        <w:rPr>
          <w:rtl/>
        </w:rPr>
        <w:t>דחיית האמרי משה דאי העובר אינו כשחוט האבר היוצא אסור ממילא וא"צ קרא לאוסרו</w:t>
      </w:r>
    </w:p>
    <w:p w14:paraId="674B8B7D" w14:textId="77777777" w:rsidR="003D504D" w:rsidRDefault="003D504D" w:rsidP="003D504D">
      <w:pPr>
        <w:pStyle w:val="aff4"/>
        <w:rPr>
          <w:rFonts w:eastAsiaTheme="minorEastAsia" w:cstheme="minorBidi"/>
          <w:i/>
          <w:iCs/>
          <w:noProof/>
          <w:sz w:val="22"/>
          <w:szCs w:val="22"/>
          <w:rtl/>
        </w:rPr>
      </w:pPr>
      <w:bookmarkStart w:id="15289" w:name="_Toc19435977"/>
      <w:bookmarkStart w:id="15290" w:name="_Toc20081194"/>
      <w:r>
        <w:rPr>
          <w:noProof/>
          <w:rtl/>
        </w:rPr>
        <w:t>ביאור האמרי משה דאף לדעת הרשב"א דינו כשחוט</w:t>
      </w:r>
      <w:bookmarkEnd w:id="15289"/>
      <w:bookmarkEnd w:id="15290"/>
    </w:p>
    <w:p w14:paraId="58331B11" w14:textId="77777777" w:rsidR="003D504D" w:rsidRDefault="003D504D" w:rsidP="005077A7">
      <w:pPr>
        <w:pStyle w:val="a"/>
        <w:rPr>
          <w:rFonts w:eastAsiaTheme="minorEastAsia" w:cstheme="minorBidi"/>
          <w:sz w:val="22"/>
          <w:szCs w:val="22"/>
          <w:rtl/>
        </w:rPr>
      </w:pPr>
      <w:r>
        <w:rPr>
          <w:rtl/>
        </w:rPr>
        <w:t>ביאור האמרי משה דכוונת הרשב"א לומר דאין באבר איסור מצד עצמו אלא שלא חלה השחיטה</w:t>
      </w:r>
    </w:p>
    <w:p w14:paraId="3BA24127" w14:textId="77777777" w:rsidR="003D504D" w:rsidRDefault="003D504D" w:rsidP="003D504D">
      <w:pPr>
        <w:pStyle w:val="2"/>
        <w:rPr>
          <w:rFonts w:eastAsiaTheme="minorEastAsia" w:cstheme="minorBidi"/>
          <w:i/>
          <w:iCs/>
          <w:noProof/>
          <w:sz w:val="22"/>
          <w:szCs w:val="22"/>
          <w:rtl/>
        </w:rPr>
      </w:pPr>
      <w:bookmarkStart w:id="15291" w:name="_Toc19435978"/>
      <w:r>
        <w:rPr>
          <w:noProof/>
          <w:rtl/>
        </w:rPr>
        <w:t>באיסור מקום חתך</w:t>
      </w:r>
      <w:bookmarkEnd w:id="15291"/>
    </w:p>
    <w:p w14:paraId="5AAA572C" w14:textId="77777777" w:rsidR="003D504D" w:rsidRDefault="003D504D" w:rsidP="003D504D">
      <w:pPr>
        <w:pStyle w:val="aff4"/>
        <w:rPr>
          <w:rFonts w:eastAsiaTheme="minorEastAsia" w:cstheme="minorBidi"/>
          <w:i/>
          <w:iCs/>
          <w:noProof/>
          <w:sz w:val="22"/>
          <w:szCs w:val="22"/>
          <w:rtl/>
        </w:rPr>
      </w:pPr>
      <w:bookmarkStart w:id="15292" w:name="_Toc19435979"/>
      <w:bookmarkStart w:id="15293" w:name="_Toc20081195"/>
      <w:r>
        <w:rPr>
          <w:noProof/>
          <w:rtl/>
        </w:rPr>
        <w:t>דברי האבי עזרי והגרש"ר בביאור דעת רש"י</w:t>
      </w:r>
      <w:bookmarkEnd w:id="15292"/>
      <w:bookmarkEnd w:id="15293"/>
    </w:p>
    <w:p w14:paraId="53DF234D" w14:textId="77777777" w:rsidR="003D504D" w:rsidRDefault="003D504D" w:rsidP="005077A7">
      <w:pPr>
        <w:pStyle w:val="a"/>
        <w:rPr>
          <w:rFonts w:eastAsiaTheme="minorEastAsia" w:cstheme="minorBidi"/>
          <w:sz w:val="22"/>
          <w:szCs w:val="22"/>
          <w:rtl/>
        </w:rPr>
      </w:pPr>
      <w:r>
        <w:rPr>
          <w:rtl/>
        </w:rPr>
        <w:t>קושית האבי עזרי דמהשחיטה מתירה מנבילה קשה על דברי רש"י דמקום חתך אינו בכלל השחיטה</w:t>
      </w:r>
    </w:p>
    <w:p w14:paraId="325A2587" w14:textId="77777777" w:rsidR="003D504D" w:rsidRDefault="003D504D" w:rsidP="005077A7">
      <w:pPr>
        <w:pStyle w:val="a"/>
        <w:rPr>
          <w:rFonts w:eastAsiaTheme="minorEastAsia" w:cstheme="minorBidi"/>
          <w:sz w:val="22"/>
          <w:szCs w:val="22"/>
          <w:rtl/>
        </w:rPr>
      </w:pPr>
      <w:r>
        <w:rPr>
          <w:rtl/>
        </w:rPr>
        <w:t>דברי האבי עזרי דמבואר דבמקום חתך יש איסור אף שהוא בכלל השחיטה</w:t>
      </w:r>
    </w:p>
    <w:p w14:paraId="475E7CBE" w14:textId="77777777" w:rsidR="003D504D" w:rsidRDefault="003D504D" w:rsidP="005077A7">
      <w:pPr>
        <w:pStyle w:val="a"/>
        <w:rPr>
          <w:rFonts w:eastAsiaTheme="minorEastAsia" w:cstheme="minorBidi"/>
          <w:sz w:val="22"/>
          <w:szCs w:val="22"/>
          <w:rtl/>
        </w:rPr>
      </w:pPr>
      <w:r>
        <w:rPr>
          <w:rtl/>
        </w:rPr>
        <w:t>דברי האבי עזרי דאפש"ל דדברי רש"י הם לפני הילפותא לאיסור במקום חתך</w:t>
      </w:r>
    </w:p>
    <w:p w14:paraId="0EE4508E" w14:textId="77777777" w:rsidR="003D504D" w:rsidRDefault="003D504D" w:rsidP="005077A7">
      <w:pPr>
        <w:pStyle w:val="a"/>
        <w:rPr>
          <w:rFonts w:eastAsiaTheme="minorEastAsia" w:cstheme="minorBidi"/>
          <w:sz w:val="22"/>
          <w:szCs w:val="22"/>
          <w:rtl/>
        </w:rPr>
      </w:pPr>
      <w:r>
        <w:rPr>
          <w:rtl/>
        </w:rPr>
        <w:t>תירוץ האבי עזרי דהשחיטה מטהרת באבר היוצא ומקום חתך רק לטומאה ולא לאכילה</w:t>
      </w:r>
    </w:p>
    <w:p w14:paraId="67F30EA8" w14:textId="77777777" w:rsidR="003D504D" w:rsidRDefault="003D504D" w:rsidP="005077A7">
      <w:pPr>
        <w:pStyle w:val="a"/>
        <w:rPr>
          <w:rFonts w:eastAsiaTheme="minorEastAsia" w:cstheme="minorBidi"/>
          <w:sz w:val="22"/>
          <w:szCs w:val="22"/>
          <w:rtl/>
        </w:rPr>
      </w:pPr>
      <w:r>
        <w:rPr>
          <w:rtl/>
        </w:rPr>
        <w:t>ביאור הגרש"ר דכיון שהעובר נשחט אף האבר נשחט לטומאה אך אינו בכלל שחיטה להיתר אכילה</w:t>
      </w:r>
    </w:p>
    <w:p w14:paraId="72863046" w14:textId="77777777" w:rsidR="003D504D" w:rsidRDefault="003D504D" w:rsidP="005077A7">
      <w:pPr>
        <w:pStyle w:val="a"/>
        <w:rPr>
          <w:rFonts w:eastAsiaTheme="minorEastAsia" w:cstheme="minorBidi"/>
          <w:sz w:val="22"/>
          <w:szCs w:val="22"/>
          <w:rtl/>
        </w:rPr>
      </w:pPr>
      <w:r>
        <w:rPr>
          <w:rtl/>
        </w:rPr>
        <w:t>דברי הגרש"ר דע"י השחיטה הותר איסור אבמה"ח על האבר ונאסר באיסור יוצא</w:t>
      </w:r>
    </w:p>
    <w:p w14:paraId="20F6E731" w14:textId="77777777" w:rsidR="003D504D" w:rsidRDefault="003D504D" w:rsidP="003D504D">
      <w:pPr>
        <w:pStyle w:val="2"/>
        <w:rPr>
          <w:rFonts w:eastAsiaTheme="minorEastAsia" w:cstheme="minorBidi"/>
          <w:i/>
          <w:iCs/>
          <w:noProof/>
          <w:sz w:val="22"/>
          <w:szCs w:val="22"/>
          <w:rtl/>
        </w:rPr>
      </w:pPr>
      <w:bookmarkStart w:id="15294" w:name="_Toc19435980"/>
      <w:r>
        <w:rPr>
          <w:noProof/>
          <w:rtl/>
        </w:rPr>
        <w:t>בדעת ריו"ח דבהחזיר את האבר מותר</w:t>
      </w:r>
      <w:bookmarkEnd w:id="15294"/>
    </w:p>
    <w:p w14:paraId="3B0FFCB9" w14:textId="77777777" w:rsidR="003D504D" w:rsidRDefault="003D504D" w:rsidP="003D504D">
      <w:pPr>
        <w:pStyle w:val="aff4"/>
        <w:rPr>
          <w:rFonts w:eastAsiaTheme="minorEastAsia" w:cstheme="minorBidi"/>
          <w:i/>
          <w:iCs/>
          <w:noProof/>
          <w:sz w:val="22"/>
          <w:szCs w:val="22"/>
          <w:rtl/>
        </w:rPr>
      </w:pPr>
      <w:bookmarkStart w:id="15295" w:name="_Toc19435981"/>
      <w:bookmarkStart w:id="15296" w:name="_Toc20081196"/>
      <w:r>
        <w:rPr>
          <w:noProof/>
          <w:rtl/>
        </w:rPr>
        <w:t>חקירת הגרש"ר בפלוגתת רב וריו"ח</w:t>
      </w:r>
      <w:bookmarkEnd w:id="15295"/>
      <w:bookmarkEnd w:id="15296"/>
    </w:p>
    <w:p w14:paraId="6F5F0857" w14:textId="77777777" w:rsidR="003D504D" w:rsidRDefault="003D504D" w:rsidP="005077A7">
      <w:pPr>
        <w:pStyle w:val="a"/>
        <w:rPr>
          <w:rFonts w:eastAsiaTheme="minorEastAsia" w:cstheme="minorBidi"/>
          <w:sz w:val="22"/>
          <w:szCs w:val="22"/>
          <w:rtl/>
        </w:rPr>
      </w:pPr>
      <w:r>
        <w:rPr>
          <w:rtl/>
        </w:rPr>
        <w:t>הצד הא' בגרש"ר דפלוגתת רב וריו"ח אם חל איסור לפני השחיטה ולא נחלקו אי מהני חזרה</w:t>
      </w:r>
    </w:p>
    <w:p w14:paraId="2BCFE838" w14:textId="77777777" w:rsidR="003D504D" w:rsidRDefault="003D504D" w:rsidP="005077A7">
      <w:pPr>
        <w:pStyle w:val="a"/>
        <w:rPr>
          <w:rFonts w:eastAsiaTheme="minorEastAsia" w:cstheme="minorBidi"/>
          <w:sz w:val="22"/>
          <w:szCs w:val="22"/>
          <w:rtl/>
        </w:rPr>
      </w:pPr>
      <w:r>
        <w:rPr>
          <w:rtl/>
        </w:rPr>
        <w:t>הצד הב' בגרש"ר דלכו"ע חל איסור בחוץ ונחלקו אי ע"י החזרה פוקע האיסור</w:t>
      </w:r>
    </w:p>
    <w:p w14:paraId="620C747F" w14:textId="77777777" w:rsidR="003D504D" w:rsidRDefault="003D504D" w:rsidP="003D504D">
      <w:pPr>
        <w:pStyle w:val="2"/>
        <w:rPr>
          <w:rFonts w:eastAsiaTheme="minorEastAsia" w:cstheme="minorBidi"/>
          <w:i/>
          <w:iCs/>
          <w:noProof/>
          <w:sz w:val="22"/>
          <w:szCs w:val="22"/>
          <w:rtl/>
        </w:rPr>
      </w:pPr>
      <w:bookmarkStart w:id="15297" w:name="_Toc19435982"/>
      <w:r>
        <w:rPr>
          <w:noProof/>
          <w:rtl/>
        </w:rPr>
        <w:t>מראי מקומות וביאורים על הרמב"ם</w:t>
      </w:r>
      <w:bookmarkEnd w:id="15297"/>
    </w:p>
    <w:p w14:paraId="12DE2945" w14:textId="77777777" w:rsidR="003D504D" w:rsidRDefault="003D504D" w:rsidP="003D504D">
      <w:pPr>
        <w:pStyle w:val="2"/>
        <w:rPr>
          <w:rFonts w:eastAsiaTheme="minorEastAsia" w:cstheme="minorBidi"/>
          <w:i/>
          <w:iCs/>
          <w:noProof/>
          <w:sz w:val="22"/>
          <w:szCs w:val="22"/>
          <w:rtl/>
        </w:rPr>
      </w:pPr>
      <w:bookmarkStart w:id="15298" w:name="_Toc19435983"/>
      <w:r>
        <w:rPr>
          <w:noProof/>
          <w:rtl/>
        </w:rPr>
        <w:t>בגדר האיסור באבר היוצא</w:t>
      </w:r>
      <w:bookmarkEnd w:id="15298"/>
    </w:p>
    <w:p w14:paraId="6FE1FC94" w14:textId="77777777" w:rsidR="003D504D" w:rsidRDefault="003D504D" w:rsidP="003D504D">
      <w:pPr>
        <w:pStyle w:val="aff4"/>
        <w:rPr>
          <w:rFonts w:eastAsiaTheme="minorEastAsia" w:cstheme="minorBidi"/>
          <w:i/>
          <w:iCs/>
          <w:noProof/>
          <w:sz w:val="22"/>
          <w:szCs w:val="22"/>
          <w:rtl/>
        </w:rPr>
      </w:pPr>
      <w:bookmarkStart w:id="15299" w:name="_Toc19435984"/>
      <w:bookmarkStart w:id="15300" w:name="_Toc20081197"/>
      <w:r>
        <w:rPr>
          <w:noProof/>
          <w:rtl/>
        </w:rPr>
        <w:t>דברי הרמב"ם דאבר היוצא כפורש מהחי ונעשה טריפה</w:t>
      </w:r>
      <w:bookmarkEnd w:id="15299"/>
      <w:bookmarkEnd w:id="15300"/>
    </w:p>
    <w:p w14:paraId="4BA3A2AA" w14:textId="77777777" w:rsidR="003D504D" w:rsidRDefault="003D504D" w:rsidP="005077A7">
      <w:pPr>
        <w:pStyle w:val="a"/>
        <w:rPr>
          <w:rFonts w:eastAsiaTheme="minorEastAsia" w:cstheme="minorBidi"/>
          <w:sz w:val="22"/>
          <w:szCs w:val="22"/>
          <w:rtl/>
        </w:rPr>
      </w:pPr>
      <w:r>
        <w:rPr>
          <w:rtl/>
        </w:rPr>
        <w:t>דברי הרמב"ם דהאבר היוצא אסור כבשר שפירש מהחי דכשיצא חוץ למחיצתו נעשה טריפה</w:t>
      </w:r>
    </w:p>
    <w:p w14:paraId="5FA438FC" w14:textId="77777777" w:rsidR="003D504D" w:rsidRDefault="003D504D" w:rsidP="005077A7">
      <w:pPr>
        <w:pStyle w:val="a"/>
        <w:rPr>
          <w:rFonts w:eastAsiaTheme="minorEastAsia" w:cstheme="minorBidi"/>
          <w:sz w:val="22"/>
          <w:szCs w:val="22"/>
          <w:rtl/>
        </w:rPr>
      </w:pPr>
      <w:r>
        <w:rPr>
          <w:rtl/>
        </w:rPr>
        <w:t>דברי הרמב"ם בסה"מ דאבר היוצא אסור כטריפה ולוקין עליו מדין בשר בשדה טריפה</w:t>
      </w:r>
    </w:p>
    <w:p w14:paraId="3A2B0499" w14:textId="77777777" w:rsidR="003D504D" w:rsidRDefault="003D504D" w:rsidP="003D504D">
      <w:pPr>
        <w:pStyle w:val="aff4"/>
        <w:rPr>
          <w:rFonts w:eastAsiaTheme="minorEastAsia" w:cstheme="minorBidi"/>
          <w:i/>
          <w:iCs/>
          <w:noProof/>
          <w:sz w:val="22"/>
          <w:szCs w:val="22"/>
          <w:rtl/>
        </w:rPr>
      </w:pPr>
      <w:bookmarkStart w:id="15301" w:name="_Toc19435985"/>
      <w:bookmarkStart w:id="15302" w:name="_Toc20081198"/>
      <w:r>
        <w:rPr>
          <w:noProof/>
          <w:rtl/>
        </w:rPr>
        <w:t>פלוגתת הרמב"ם והראב"ד במלקות באבר היוצא אחר שחיטה</w:t>
      </w:r>
      <w:bookmarkEnd w:id="15301"/>
      <w:bookmarkEnd w:id="15302"/>
    </w:p>
    <w:p w14:paraId="1F5C2E63" w14:textId="77777777" w:rsidR="003D504D" w:rsidRDefault="003D504D" w:rsidP="005077A7">
      <w:pPr>
        <w:pStyle w:val="a"/>
        <w:rPr>
          <w:rFonts w:eastAsiaTheme="minorEastAsia" w:cstheme="minorBidi"/>
          <w:sz w:val="22"/>
          <w:szCs w:val="22"/>
          <w:rtl/>
        </w:rPr>
      </w:pPr>
      <w:r>
        <w:rPr>
          <w:rtl/>
        </w:rPr>
        <w:t>דברי הרמב"ם דאבר היוצא שחתכו אחר שחיטת אמו אין בו מלקות מדין אבמה"ח</w:t>
      </w:r>
    </w:p>
    <w:p w14:paraId="2E6C4669" w14:textId="77777777" w:rsidR="003D504D" w:rsidRDefault="003D504D" w:rsidP="005077A7">
      <w:pPr>
        <w:pStyle w:val="a"/>
        <w:rPr>
          <w:rFonts w:eastAsiaTheme="minorEastAsia" w:cstheme="minorBidi"/>
          <w:sz w:val="22"/>
          <w:szCs w:val="22"/>
          <w:rtl/>
        </w:rPr>
      </w:pPr>
      <w:r>
        <w:rPr>
          <w:rtl/>
        </w:rPr>
        <w:t>דברי הראב"ד דבאבר היוצא שחתכו אחר שחיטת אמו לוקה מדין טריפה</w:t>
      </w:r>
    </w:p>
    <w:p w14:paraId="0AD5F7B3" w14:textId="77777777" w:rsidR="003D504D" w:rsidRDefault="003D504D" w:rsidP="003D504D">
      <w:pPr>
        <w:pStyle w:val="aff4"/>
        <w:rPr>
          <w:rFonts w:eastAsiaTheme="minorEastAsia" w:cstheme="minorBidi"/>
          <w:i/>
          <w:iCs/>
          <w:noProof/>
          <w:sz w:val="22"/>
          <w:szCs w:val="22"/>
          <w:rtl/>
        </w:rPr>
      </w:pPr>
      <w:bookmarkStart w:id="15303" w:name="_Toc19435986"/>
      <w:bookmarkStart w:id="15304" w:name="_Toc20081199"/>
      <w:r>
        <w:rPr>
          <w:noProof/>
          <w:rtl/>
        </w:rPr>
        <w:t>ביאור המ"מ דלהרמב"ם אחר שחיטה דין האבר כחצי שיעור</w:t>
      </w:r>
      <w:bookmarkEnd w:id="15303"/>
      <w:bookmarkEnd w:id="15304"/>
    </w:p>
    <w:p w14:paraId="4D8C416D" w14:textId="77777777" w:rsidR="003D504D" w:rsidRDefault="003D504D" w:rsidP="005077A7">
      <w:pPr>
        <w:pStyle w:val="a"/>
        <w:rPr>
          <w:rFonts w:eastAsiaTheme="minorEastAsia" w:cstheme="minorBidi"/>
          <w:sz w:val="22"/>
          <w:szCs w:val="22"/>
          <w:rtl/>
        </w:rPr>
      </w:pPr>
      <w:r>
        <w:rPr>
          <w:rtl/>
        </w:rPr>
        <w:t>דברי המ"מ דלהרמב"ם אבר היוצא הוא כאבר המדולדל שאין בו מלקות</w:t>
      </w:r>
    </w:p>
    <w:p w14:paraId="18B6E3AB" w14:textId="77777777" w:rsidR="003D504D" w:rsidRDefault="003D504D" w:rsidP="005077A7">
      <w:pPr>
        <w:pStyle w:val="a"/>
        <w:rPr>
          <w:rFonts w:eastAsiaTheme="minorEastAsia" w:cstheme="minorBidi"/>
          <w:sz w:val="22"/>
          <w:szCs w:val="22"/>
          <w:rtl/>
        </w:rPr>
      </w:pPr>
      <w:r>
        <w:rPr>
          <w:rtl/>
        </w:rPr>
        <w:t>ביאור המ"מ דס"ל להרמב"ם דאבר היוצא הוא כחצי שיעור דאסור מדאו' ואין בו מלקות</w:t>
      </w:r>
    </w:p>
    <w:p w14:paraId="3B48CE45" w14:textId="77777777" w:rsidR="003D504D" w:rsidRDefault="003D504D" w:rsidP="003D504D">
      <w:pPr>
        <w:pStyle w:val="aff4"/>
        <w:rPr>
          <w:rFonts w:eastAsiaTheme="minorEastAsia" w:cstheme="minorBidi"/>
          <w:i/>
          <w:iCs/>
          <w:noProof/>
          <w:sz w:val="22"/>
          <w:szCs w:val="22"/>
          <w:rtl/>
        </w:rPr>
      </w:pPr>
      <w:bookmarkStart w:id="15305" w:name="_Toc19435987"/>
      <w:bookmarkStart w:id="15306" w:name="_Toc20081200"/>
      <w:r>
        <w:rPr>
          <w:rFonts w:hint="cs"/>
          <w:noProof/>
          <w:rtl/>
        </w:rPr>
        <w:t>ב</w:t>
      </w:r>
      <w:r>
        <w:rPr>
          <w:noProof/>
          <w:rtl/>
        </w:rPr>
        <w:t>יאור הפר"ח דאין לוקין באבר היוצא דהוא לאו שבכללות</w:t>
      </w:r>
      <w:bookmarkEnd w:id="15305"/>
      <w:bookmarkEnd w:id="15306"/>
    </w:p>
    <w:p w14:paraId="731DFAEA" w14:textId="77777777" w:rsidR="003D504D" w:rsidRDefault="003D504D" w:rsidP="005077A7">
      <w:pPr>
        <w:pStyle w:val="a"/>
        <w:rPr>
          <w:rFonts w:eastAsiaTheme="minorEastAsia" w:cstheme="minorBidi"/>
          <w:sz w:val="22"/>
          <w:szCs w:val="22"/>
          <w:rtl/>
        </w:rPr>
      </w:pPr>
      <w:r>
        <w:rPr>
          <w:rtl/>
        </w:rPr>
        <w:t>דברי הפר"ח דלדעת הרמב"ם אין לוקין באבר היוצא כיון שהוא לאו שבכללות</w:t>
      </w:r>
    </w:p>
    <w:p w14:paraId="602FD8A5" w14:textId="77777777" w:rsidR="003D504D" w:rsidRDefault="003D504D" w:rsidP="003D504D">
      <w:pPr>
        <w:pStyle w:val="aff4"/>
        <w:rPr>
          <w:rFonts w:eastAsiaTheme="minorEastAsia" w:cstheme="minorBidi"/>
          <w:i/>
          <w:iCs/>
          <w:noProof/>
          <w:sz w:val="22"/>
          <w:szCs w:val="22"/>
          <w:rtl/>
        </w:rPr>
      </w:pPr>
      <w:bookmarkStart w:id="15307" w:name="_Toc19435988"/>
      <w:bookmarkStart w:id="15308" w:name="_Toc20081201"/>
      <w:r>
        <w:rPr>
          <w:noProof/>
          <w:rtl/>
        </w:rPr>
        <w:t>דברי הכס"מ דלהרמב"ם לוקין מדין טריפה ויש בו ב' איסורים</w:t>
      </w:r>
      <w:bookmarkEnd w:id="15307"/>
      <w:bookmarkEnd w:id="15308"/>
    </w:p>
    <w:p w14:paraId="269712AD" w14:textId="77777777" w:rsidR="003D504D" w:rsidRDefault="003D504D" w:rsidP="005077A7">
      <w:pPr>
        <w:pStyle w:val="a"/>
        <w:rPr>
          <w:rFonts w:eastAsiaTheme="minorEastAsia" w:cstheme="minorBidi"/>
          <w:sz w:val="22"/>
          <w:szCs w:val="22"/>
          <w:rtl/>
        </w:rPr>
      </w:pPr>
      <w:r>
        <w:rPr>
          <w:rtl/>
        </w:rPr>
        <w:t>קושית הכס"מ דהרמב"ם כתב דאבר היוצא אסור מדין טריפה ואח"כ כתב דלוקין מדין אבמה"ח</w:t>
      </w:r>
    </w:p>
    <w:p w14:paraId="0CB43D6F" w14:textId="77777777" w:rsidR="003D504D" w:rsidRDefault="003D504D" w:rsidP="005077A7">
      <w:pPr>
        <w:pStyle w:val="a"/>
        <w:rPr>
          <w:rFonts w:eastAsiaTheme="minorEastAsia" w:cstheme="minorBidi"/>
          <w:sz w:val="22"/>
          <w:szCs w:val="22"/>
          <w:rtl/>
        </w:rPr>
      </w:pPr>
      <w:r>
        <w:rPr>
          <w:rtl/>
        </w:rPr>
        <w:t>דברי הלח"מ דס"ל להרמב"ם שהאבר אסור גם באבמה"ח וגם באיסור טריפה</w:t>
      </w:r>
    </w:p>
    <w:p w14:paraId="79A582D8" w14:textId="77777777" w:rsidR="003D504D" w:rsidRDefault="003D504D" w:rsidP="005077A7">
      <w:pPr>
        <w:pStyle w:val="a"/>
        <w:rPr>
          <w:rFonts w:eastAsiaTheme="minorEastAsia" w:cstheme="minorBidi"/>
          <w:sz w:val="22"/>
          <w:szCs w:val="22"/>
          <w:rtl/>
        </w:rPr>
      </w:pPr>
      <w:r>
        <w:rPr>
          <w:rtl/>
        </w:rPr>
        <w:t>דברי הפרמ"ג דלהכס"מ בדעת הרמב"ם אף אחר שחיטה לוקין על האבר מדין טריפה ולא מאבמה"ח</w:t>
      </w:r>
    </w:p>
    <w:p w14:paraId="5D998929" w14:textId="77777777" w:rsidR="003D504D" w:rsidRDefault="003D504D" w:rsidP="003D504D">
      <w:pPr>
        <w:pStyle w:val="aff4"/>
        <w:rPr>
          <w:rFonts w:eastAsiaTheme="minorEastAsia" w:cstheme="minorBidi"/>
          <w:i/>
          <w:iCs/>
          <w:noProof/>
          <w:sz w:val="22"/>
          <w:szCs w:val="22"/>
          <w:rtl/>
        </w:rPr>
      </w:pPr>
      <w:bookmarkStart w:id="15309" w:name="_Toc19435989"/>
      <w:bookmarkStart w:id="15310" w:name="_Toc20081202"/>
      <w:r>
        <w:rPr>
          <w:noProof/>
          <w:rtl/>
        </w:rPr>
        <w:t>ביאור הלח"מ בדברי הרמב"ם והראב"ד</w:t>
      </w:r>
      <w:bookmarkEnd w:id="15309"/>
      <w:bookmarkEnd w:id="15310"/>
    </w:p>
    <w:p w14:paraId="662FCAED" w14:textId="77777777" w:rsidR="003D504D" w:rsidRDefault="003D504D" w:rsidP="005077A7">
      <w:pPr>
        <w:pStyle w:val="a"/>
        <w:rPr>
          <w:rFonts w:eastAsiaTheme="minorEastAsia" w:cstheme="minorBidi"/>
          <w:sz w:val="22"/>
          <w:szCs w:val="22"/>
          <w:rtl/>
        </w:rPr>
      </w:pPr>
      <w:r>
        <w:rPr>
          <w:rtl/>
        </w:rPr>
        <w:t>ביאור הלח"מ בקושית הראב"ד דאף דלוקין מטריפה לא היה להרמב"ם לומר דאין לוקין מאבמה"ח</w:t>
      </w:r>
    </w:p>
    <w:p w14:paraId="5288C88D" w14:textId="77777777" w:rsidR="003D504D" w:rsidRDefault="003D504D" w:rsidP="005077A7">
      <w:pPr>
        <w:pStyle w:val="a"/>
        <w:rPr>
          <w:rFonts w:eastAsiaTheme="minorEastAsia" w:cstheme="minorBidi"/>
          <w:sz w:val="22"/>
          <w:szCs w:val="22"/>
          <w:rtl/>
        </w:rPr>
      </w:pPr>
      <w:r>
        <w:rPr>
          <w:rtl/>
        </w:rPr>
        <w:t>תירוץ הלח"מ דכוונת הרמב"ם לומר מאיזה דין לוקין ונ"מ דאין ב' מלקות וכן להתראה</w:t>
      </w:r>
    </w:p>
    <w:p w14:paraId="6482BCFC" w14:textId="77777777" w:rsidR="003D504D" w:rsidRDefault="003D504D" w:rsidP="003D504D">
      <w:pPr>
        <w:pStyle w:val="aff4"/>
        <w:rPr>
          <w:rFonts w:eastAsiaTheme="minorEastAsia" w:cstheme="minorBidi"/>
          <w:i/>
          <w:iCs/>
          <w:noProof/>
          <w:sz w:val="22"/>
          <w:szCs w:val="22"/>
          <w:rtl/>
        </w:rPr>
      </w:pPr>
      <w:bookmarkStart w:id="15311" w:name="_Toc19435990"/>
      <w:bookmarkStart w:id="15312" w:name="_Toc20081203"/>
      <w:r>
        <w:rPr>
          <w:noProof/>
          <w:rtl/>
        </w:rPr>
        <w:t>ביאור הפרמ"ג ברמב"ם דלאבמה"ח חשיב שהאבר בתוך הבהמה</w:t>
      </w:r>
      <w:bookmarkEnd w:id="15311"/>
      <w:bookmarkEnd w:id="15312"/>
    </w:p>
    <w:p w14:paraId="069901BE" w14:textId="77777777" w:rsidR="003D504D" w:rsidRDefault="003D504D" w:rsidP="005077A7">
      <w:pPr>
        <w:pStyle w:val="a"/>
        <w:rPr>
          <w:rFonts w:eastAsiaTheme="minorEastAsia" w:cstheme="minorBidi"/>
          <w:sz w:val="22"/>
          <w:szCs w:val="22"/>
          <w:rtl/>
        </w:rPr>
      </w:pPr>
      <w:r>
        <w:rPr>
          <w:rtl/>
        </w:rPr>
        <w:t>ביאור הפרמ"ג דכיון שאין לידה לאברים אף האבר שבחוץ חשיב כבפנים לענין איסור אבמה"ח</w:t>
      </w:r>
    </w:p>
    <w:p w14:paraId="36E4829B" w14:textId="77777777" w:rsidR="003D504D" w:rsidRDefault="003D504D" w:rsidP="005077A7">
      <w:pPr>
        <w:pStyle w:val="a"/>
        <w:rPr>
          <w:rFonts w:eastAsiaTheme="minorEastAsia" w:cstheme="minorBidi"/>
          <w:sz w:val="22"/>
          <w:szCs w:val="22"/>
          <w:rtl/>
        </w:rPr>
      </w:pPr>
      <w:r>
        <w:rPr>
          <w:rtl/>
        </w:rPr>
        <w:t>דברי הפרמ"ג דבחיי האם האבר הוא כאבמה"ח אף אם העובר עצמו מת ובנשחטה הוא כטריפה</w:t>
      </w:r>
    </w:p>
    <w:p w14:paraId="77735111" w14:textId="77777777" w:rsidR="003D504D" w:rsidRDefault="003D504D" w:rsidP="005077A7">
      <w:pPr>
        <w:pStyle w:val="a"/>
        <w:rPr>
          <w:rFonts w:eastAsiaTheme="minorEastAsia" w:cstheme="minorBidi"/>
          <w:sz w:val="22"/>
          <w:szCs w:val="22"/>
          <w:rtl/>
        </w:rPr>
      </w:pPr>
      <w:r>
        <w:rPr>
          <w:rtl/>
        </w:rPr>
        <w:t>דברי הפרמ"ג דנ"מ לדידן אם אסור באבמה"ח או בטריפה לענין להושיטו לבן נח</w:t>
      </w:r>
    </w:p>
    <w:p w14:paraId="1DF9F46F" w14:textId="77777777" w:rsidR="003D504D" w:rsidRDefault="003D504D" w:rsidP="003D504D">
      <w:pPr>
        <w:pStyle w:val="2"/>
        <w:rPr>
          <w:rFonts w:eastAsiaTheme="minorEastAsia" w:cstheme="minorBidi"/>
          <w:i/>
          <w:iCs/>
          <w:noProof/>
          <w:sz w:val="22"/>
          <w:szCs w:val="22"/>
          <w:rtl/>
        </w:rPr>
      </w:pPr>
      <w:bookmarkStart w:id="15313" w:name="_Toc19435991"/>
      <w:r>
        <w:rPr>
          <w:noProof/>
          <w:rtl/>
        </w:rPr>
        <w:t>בדין אבר היוצא בנולד לפני שנשחטה אמו</w:t>
      </w:r>
      <w:bookmarkEnd w:id="15313"/>
    </w:p>
    <w:p w14:paraId="19231886" w14:textId="77777777" w:rsidR="003D504D" w:rsidRDefault="003D504D" w:rsidP="003D504D">
      <w:pPr>
        <w:pStyle w:val="aff4"/>
        <w:rPr>
          <w:rFonts w:eastAsiaTheme="minorEastAsia" w:cstheme="minorBidi"/>
          <w:i/>
          <w:iCs/>
          <w:noProof/>
          <w:sz w:val="22"/>
          <w:szCs w:val="22"/>
          <w:rtl/>
        </w:rPr>
      </w:pPr>
      <w:bookmarkStart w:id="15314" w:name="_Toc19435992"/>
      <w:bookmarkStart w:id="15315" w:name="_Toc20081204"/>
      <w:r>
        <w:rPr>
          <w:noProof/>
          <w:rtl/>
        </w:rPr>
        <w:t>פלוגתת הכל בו והכס"מ בדעת הרמב"ם</w:t>
      </w:r>
      <w:bookmarkEnd w:id="15314"/>
      <w:bookmarkEnd w:id="15315"/>
    </w:p>
    <w:p w14:paraId="72708A1E" w14:textId="77777777" w:rsidR="003D504D" w:rsidRDefault="003D504D" w:rsidP="005077A7">
      <w:pPr>
        <w:pStyle w:val="a"/>
        <w:rPr>
          <w:rFonts w:eastAsiaTheme="minorEastAsia" w:cstheme="minorBidi"/>
          <w:sz w:val="22"/>
          <w:szCs w:val="22"/>
          <w:rtl/>
        </w:rPr>
      </w:pPr>
      <w:r>
        <w:rPr>
          <w:rtl/>
        </w:rPr>
        <w:t>דברי ביאור הכל בו בשם י"א דאבר היוצא מותר אם נולד לפני שנשחטה אמו ודלא כהרמב"ם</w:t>
      </w:r>
    </w:p>
    <w:p w14:paraId="626F9F00" w14:textId="77777777" w:rsidR="003D504D" w:rsidRDefault="003D504D" w:rsidP="005077A7">
      <w:pPr>
        <w:pStyle w:val="a"/>
        <w:rPr>
          <w:rFonts w:eastAsiaTheme="minorEastAsia" w:cstheme="minorBidi"/>
          <w:sz w:val="22"/>
          <w:szCs w:val="22"/>
          <w:rtl/>
        </w:rPr>
      </w:pPr>
      <w:r>
        <w:rPr>
          <w:rtl/>
        </w:rPr>
        <w:t>דברי הכס"מ דהכל בו ביאר בדעת הרמב"ם דאבר היוצא אסור אף אם נולד לפני שנשחטה אמו</w:t>
      </w:r>
    </w:p>
    <w:p w14:paraId="6F33B7D0" w14:textId="77777777" w:rsidR="003D504D" w:rsidRDefault="003D504D" w:rsidP="005077A7">
      <w:pPr>
        <w:pStyle w:val="a"/>
        <w:rPr>
          <w:rFonts w:eastAsiaTheme="minorEastAsia" w:cstheme="minorBidi"/>
          <w:sz w:val="22"/>
          <w:szCs w:val="22"/>
          <w:rtl/>
        </w:rPr>
      </w:pPr>
      <w:r>
        <w:rPr>
          <w:rtl/>
        </w:rPr>
        <w:t>קושית הכס"מ דאי אבר היוצא אסור אף לפני שנשחטה האם הרבה בהמות אסורות</w:t>
      </w:r>
    </w:p>
    <w:p w14:paraId="2E1F8739" w14:textId="77777777" w:rsidR="003D504D" w:rsidRDefault="003D504D" w:rsidP="005077A7">
      <w:pPr>
        <w:pStyle w:val="a"/>
        <w:rPr>
          <w:rFonts w:eastAsiaTheme="minorEastAsia" w:cstheme="minorBidi"/>
          <w:sz w:val="22"/>
          <w:szCs w:val="22"/>
          <w:rtl/>
        </w:rPr>
      </w:pPr>
      <w:r>
        <w:rPr>
          <w:rtl/>
        </w:rPr>
        <w:t>דחיית הכס"מ דאף לדעת הרמב"ם אבר היוצא מותר אם נולד לפני שנשחטה אמו</w:t>
      </w:r>
    </w:p>
    <w:p w14:paraId="0A935579" w14:textId="77777777" w:rsidR="003D504D" w:rsidRDefault="003D504D" w:rsidP="005077A7">
      <w:pPr>
        <w:pStyle w:val="a"/>
        <w:rPr>
          <w:rFonts w:eastAsiaTheme="minorEastAsia" w:cstheme="minorBidi"/>
          <w:sz w:val="22"/>
          <w:szCs w:val="22"/>
          <w:rtl/>
        </w:rPr>
      </w:pPr>
      <w:r>
        <w:rPr>
          <w:rtl/>
        </w:rPr>
        <w:t>ביאור הב"ח בלשון הרמב"ם דיצא אחר השחיטה בדרך לידה</w:t>
      </w:r>
    </w:p>
    <w:p w14:paraId="5142CC89" w14:textId="77777777" w:rsidR="003D504D" w:rsidRDefault="003D504D" w:rsidP="005077A7">
      <w:pPr>
        <w:pStyle w:val="a"/>
        <w:rPr>
          <w:rFonts w:eastAsiaTheme="minorEastAsia" w:cstheme="minorBidi"/>
          <w:sz w:val="22"/>
          <w:szCs w:val="22"/>
          <w:rtl/>
        </w:rPr>
      </w:pPr>
      <w:r>
        <w:rPr>
          <w:rtl/>
        </w:rPr>
        <w:t>דברי הכס"מ דבסמ"ג מבואר דלהרמב"ם אבר היוצא מותר אם נולד לפני שנשחטה אמו</w:t>
      </w:r>
    </w:p>
    <w:p w14:paraId="0AAD8BD9" w14:textId="77777777" w:rsidR="003D504D" w:rsidRDefault="003D504D" w:rsidP="003D504D">
      <w:pPr>
        <w:pStyle w:val="aff4"/>
        <w:rPr>
          <w:rFonts w:eastAsiaTheme="minorEastAsia" w:cstheme="minorBidi"/>
          <w:i/>
          <w:iCs/>
          <w:noProof/>
          <w:sz w:val="22"/>
          <w:szCs w:val="22"/>
          <w:rtl/>
        </w:rPr>
      </w:pPr>
      <w:bookmarkStart w:id="15316" w:name="_Toc19435993"/>
      <w:bookmarkStart w:id="15317" w:name="_Toc20081205"/>
      <w:r>
        <w:rPr>
          <w:noProof/>
          <w:rtl/>
        </w:rPr>
        <w:t>ביאור הפרי תואר ברמב"ם דאחר שנאסר א"א להתירו בנולד</w:t>
      </w:r>
      <w:bookmarkEnd w:id="15316"/>
      <w:bookmarkEnd w:id="15317"/>
    </w:p>
    <w:p w14:paraId="3EDAC2C6" w14:textId="77777777" w:rsidR="003D504D" w:rsidRDefault="003D504D" w:rsidP="005077A7">
      <w:pPr>
        <w:pStyle w:val="a"/>
        <w:rPr>
          <w:rFonts w:eastAsiaTheme="minorEastAsia" w:cstheme="minorBidi"/>
          <w:sz w:val="22"/>
          <w:szCs w:val="22"/>
          <w:rtl/>
        </w:rPr>
      </w:pPr>
      <w:r>
        <w:rPr>
          <w:rtl/>
        </w:rPr>
        <w:t>דברי הפרי תואר דמדכתב הרמב"ם דהוא כבשר הפורש מן החי מוכח כהבנת הכל בו דאסור</w:t>
      </w:r>
    </w:p>
    <w:p w14:paraId="696EEF95" w14:textId="77777777" w:rsidR="003D504D" w:rsidRDefault="003D504D" w:rsidP="005077A7">
      <w:pPr>
        <w:pStyle w:val="a"/>
        <w:rPr>
          <w:rFonts w:eastAsiaTheme="minorEastAsia" w:cstheme="minorBidi"/>
          <w:sz w:val="22"/>
          <w:szCs w:val="22"/>
          <w:rtl/>
        </w:rPr>
      </w:pPr>
      <w:r>
        <w:rPr>
          <w:rtl/>
        </w:rPr>
        <w:t>ביאור הפרי תואר דס"ל להרמב"ם דכיון שהאבר כטריפה אין לו תקנה אף אם נולד אח"כ</w:t>
      </w:r>
    </w:p>
    <w:p w14:paraId="5FEA162C" w14:textId="77777777" w:rsidR="003D504D" w:rsidRDefault="003D504D" w:rsidP="005077A7">
      <w:pPr>
        <w:pStyle w:val="a"/>
        <w:rPr>
          <w:rFonts w:eastAsiaTheme="minorEastAsia" w:cstheme="minorBidi"/>
          <w:sz w:val="22"/>
          <w:szCs w:val="22"/>
          <w:rtl/>
        </w:rPr>
      </w:pPr>
      <w:r>
        <w:rPr>
          <w:rtl/>
        </w:rPr>
        <w:t>תירוץ הפרי תואר על קושית הב"י דהאיסור הוא רק בהוציאו בדרך לידה</w:t>
      </w:r>
    </w:p>
    <w:p w14:paraId="3261772B" w14:textId="77777777" w:rsidR="003D504D" w:rsidRDefault="003D504D" w:rsidP="003D504D">
      <w:pPr>
        <w:pStyle w:val="2"/>
        <w:rPr>
          <w:rFonts w:eastAsiaTheme="minorEastAsia" w:cstheme="minorBidi"/>
          <w:i/>
          <w:iCs/>
          <w:noProof/>
          <w:sz w:val="22"/>
          <w:szCs w:val="22"/>
          <w:rtl/>
        </w:rPr>
      </w:pPr>
      <w:bookmarkStart w:id="15318" w:name="_Toc19435994"/>
      <w:r>
        <w:rPr>
          <w:noProof/>
          <w:rtl/>
        </w:rPr>
        <w:t>ביאורי ראשי הישיבות על הרמב"ם</w:t>
      </w:r>
      <w:bookmarkEnd w:id="15318"/>
    </w:p>
    <w:p w14:paraId="602576A6" w14:textId="77777777" w:rsidR="003D504D" w:rsidRDefault="003D504D" w:rsidP="003D504D">
      <w:pPr>
        <w:pStyle w:val="2"/>
        <w:rPr>
          <w:rFonts w:eastAsiaTheme="minorEastAsia" w:cstheme="minorBidi"/>
          <w:i/>
          <w:iCs/>
          <w:noProof/>
          <w:sz w:val="22"/>
          <w:szCs w:val="22"/>
          <w:rtl/>
        </w:rPr>
      </w:pPr>
      <w:bookmarkStart w:id="15319" w:name="_Toc19435995"/>
      <w:r>
        <w:rPr>
          <w:noProof/>
          <w:rtl/>
        </w:rPr>
        <w:t>בגדר האיסור באבר היוצא</w:t>
      </w:r>
      <w:bookmarkEnd w:id="15319"/>
    </w:p>
    <w:p w14:paraId="1845A9D4" w14:textId="77777777" w:rsidR="003D504D" w:rsidRDefault="003D504D" w:rsidP="003D504D">
      <w:pPr>
        <w:pStyle w:val="aff4"/>
        <w:rPr>
          <w:rFonts w:eastAsiaTheme="minorEastAsia" w:cstheme="minorBidi"/>
          <w:i/>
          <w:iCs/>
          <w:noProof/>
          <w:sz w:val="22"/>
          <w:szCs w:val="22"/>
          <w:rtl/>
        </w:rPr>
      </w:pPr>
      <w:bookmarkStart w:id="15320" w:name="_Toc19435996"/>
      <w:bookmarkStart w:id="15321" w:name="_Toc20081206"/>
      <w:r>
        <w:rPr>
          <w:noProof/>
          <w:rtl/>
        </w:rPr>
        <w:t>ביאור הגר"ח בדעת הרמב"ם דאין לוקין באבר היוצא שנשחט</w:t>
      </w:r>
      <w:bookmarkEnd w:id="15320"/>
      <w:bookmarkEnd w:id="15321"/>
    </w:p>
    <w:p w14:paraId="4390F698" w14:textId="77777777" w:rsidR="003D504D" w:rsidRDefault="003D504D" w:rsidP="005077A7">
      <w:pPr>
        <w:pStyle w:val="a"/>
        <w:rPr>
          <w:rFonts w:eastAsiaTheme="minorEastAsia" w:cstheme="minorBidi"/>
          <w:sz w:val="22"/>
          <w:szCs w:val="22"/>
          <w:rtl/>
        </w:rPr>
      </w:pPr>
      <w:r>
        <w:rPr>
          <w:rtl/>
        </w:rPr>
        <w:t>דברי הגר"ח דלהרמב"ם האבר אסור מכח צירוף ב' איסורים אבמה"ח  וגם בשר בשדה טריפה</w:t>
      </w:r>
    </w:p>
    <w:p w14:paraId="2B50F11F" w14:textId="77777777" w:rsidR="003D504D" w:rsidRDefault="003D504D" w:rsidP="005077A7">
      <w:pPr>
        <w:pStyle w:val="a"/>
        <w:rPr>
          <w:rFonts w:eastAsiaTheme="minorEastAsia" w:cstheme="minorBidi"/>
          <w:sz w:val="22"/>
          <w:szCs w:val="22"/>
          <w:rtl/>
        </w:rPr>
      </w:pPr>
      <w:r>
        <w:rPr>
          <w:rtl/>
        </w:rPr>
        <w:t>דברי הגר"ח דמספק הגמ' בשתית חלב מוכח דלולא איסור אבמה"ח לא היה נאסר בטריפה</w:t>
      </w:r>
    </w:p>
    <w:p w14:paraId="5B3F0C2D" w14:textId="77777777" w:rsidR="003D504D" w:rsidRDefault="003D504D" w:rsidP="005077A7">
      <w:pPr>
        <w:pStyle w:val="a"/>
        <w:rPr>
          <w:rFonts w:eastAsiaTheme="minorEastAsia" w:cstheme="minorBidi"/>
          <w:sz w:val="22"/>
          <w:szCs w:val="22"/>
          <w:rtl/>
        </w:rPr>
      </w:pPr>
      <w:r>
        <w:rPr>
          <w:rtl/>
        </w:rPr>
        <w:t>ביאור הגר"ח דלהרמב"ם אין מלקות כיון שאין ב' לאוין מצטרפין למלקות</w:t>
      </w:r>
    </w:p>
    <w:p w14:paraId="1CC2F2FE" w14:textId="77777777" w:rsidR="003D504D" w:rsidRDefault="003D504D" w:rsidP="005077A7">
      <w:pPr>
        <w:pStyle w:val="a"/>
        <w:rPr>
          <w:rFonts w:eastAsiaTheme="minorEastAsia" w:cstheme="minorBidi"/>
          <w:sz w:val="22"/>
          <w:szCs w:val="22"/>
          <w:rtl/>
        </w:rPr>
      </w:pPr>
      <w:r>
        <w:rPr>
          <w:rtl/>
        </w:rPr>
        <w:t>ביאור הגר"ח בפלוגתת הרמב"ם והראב"ד אי חשיב כאיסור אחד או כצירוף של ב' איסורים</w:t>
      </w:r>
    </w:p>
    <w:p w14:paraId="7DF0A92D" w14:textId="77777777" w:rsidR="003D504D" w:rsidRDefault="003D504D" w:rsidP="003D504D">
      <w:pPr>
        <w:pStyle w:val="aff4"/>
        <w:rPr>
          <w:rFonts w:eastAsiaTheme="minorEastAsia" w:cstheme="minorBidi"/>
          <w:i/>
          <w:iCs/>
          <w:noProof/>
          <w:sz w:val="22"/>
          <w:szCs w:val="22"/>
          <w:rtl/>
        </w:rPr>
      </w:pPr>
      <w:bookmarkStart w:id="15322" w:name="_Toc19435997"/>
      <w:bookmarkStart w:id="15323" w:name="_Toc20081207"/>
      <w:r>
        <w:rPr>
          <w:noProof/>
          <w:rtl/>
        </w:rPr>
        <w:t>דברי האמר"מ דמשמע ברמב"ם ובראב"ד דהשחיטה מהני לאבר</w:t>
      </w:r>
      <w:bookmarkEnd w:id="15322"/>
      <w:bookmarkEnd w:id="15323"/>
    </w:p>
    <w:p w14:paraId="14971850" w14:textId="77777777" w:rsidR="003D504D" w:rsidRDefault="003D504D" w:rsidP="005077A7">
      <w:pPr>
        <w:pStyle w:val="a"/>
        <w:rPr>
          <w:rFonts w:eastAsiaTheme="minorEastAsia" w:cstheme="minorBidi"/>
          <w:sz w:val="22"/>
          <w:szCs w:val="22"/>
          <w:rtl/>
        </w:rPr>
      </w:pPr>
      <w:r>
        <w:rPr>
          <w:rtl/>
        </w:rPr>
        <w:t>דברי האמרי משה דלהרמב"ם והראב"ד אסור מדין טריפה והשחיטה מתירתו מאבמה"ח</w:t>
      </w:r>
    </w:p>
    <w:p w14:paraId="038C7D5F" w14:textId="77777777" w:rsidR="003D504D" w:rsidRDefault="003D504D" w:rsidP="005077A7">
      <w:pPr>
        <w:pStyle w:val="a"/>
        <w:rPr>
          <w:rFonts w:eastAsiaTheme="minorEastAsia" w:cstheme="minorBidi"/>
          <w:sz w:val="22"/>
          <w:szCs w:val="22"/>
          <w:rtl/>
        </w:rPr>
      </w:pPr>
      <w:r>
        <w:rPr>
          <w:rtl/>
        </w:rPr>
        <w:t>דברי האמרי משה דלפי"ז קשה על הרמב"ם והראב"ד את קושית הרשב"א מספק הגמ' בחלב</w:t>
      </w:r>
    </w:p>
    <w:p w14:paraId="3FB263DA" w14:textId="77777777" w:rsidR="003D504D" w:rsidRDefault="003D504D" w:rsidP="003D504D">
      <w:pPr>
        <w:pStyle w:val="aff4"/>
        <w:rPr>
          <w:rFonts w:eastAsiaTheme="minorEastAsia" w:cstheme="minorBidi"/>
          <w:i/>
          <w:iCs/>
          <w:noProof/>
          <w:sz w:val="22"/>
          <w:szCs w:val="22"/>
          <w:rtl/>
        </w:rPr>
      </w:pPr>
      <w:bookmarkStart w:id="15324" w:name="_Toc19435998"/>
      <w:bookmarkStart w:id="15325" w:name="_Toc20081208"/>
      <w:r>
        <w:rPr>
          <w:noProof/>
          <w:rtl/>
        </w:rPr>
        <w:t>דברי האמרי משה דמשמע בראב"ד דמהני שחיטה לאבר היוצא</w:t>
      </w:r>
      <w:bookmarkEnd w:id="15324"/>
      <w:bookmarkEnd w:id="15325"/>
    </w:p>
    <w:p w14:paraId="39AD80D5" w14:textId="77777777" w:rsidR="003D504D" w:rsidRDefault="003D504D" w:rsidP="005077A7">
      <w:pPr>
        <w:pStyle w:val="a"/>
        <w:rPr>
          <w:rFonts w:eastAsiaTheme="minorEastAsia" w:cstheme="minorBidi"/>
          <w:sz w:val="22"/>
          <w:szCs w:val="22"/>
          <w:rtl/>
        </w:rPr>
      </w:pPr>
      <w:r>
        <w:rPr>
          <w:rtl/>
        </w:rPr>
        <w:t>דברי האמרי משה דלהראב"ד השחיטה מתירה את האבר באכילה מדין אבמה"ח ואסור בטריפה</w:t>
      </w:r>
    </w:p>
    <w:p w14:paraId="50342EAA" w14:textId="77777777" w:rsidR="003D504D" w:rsidRDefault="003D504D" w:rsidP="005077A7">
      <w:pPr>
        <w:pStyle w:val="a"/>
        <w:rPr>
          <w:rFonts w:eastAsiaTheme="minorEastAsia" w:cstheme="minorBidi"/>
          <w:sz w:val="22"/>
          <w:szCs w:val="22"/>
          <w:rtl/>
        </w:rPr>
      </w:pPr>
      <w:r>
        <w:rPr>
          <w:rtl/>
        </w:rPr>
        <w:t>דחיית האמרי משה דמאיסור מקום חתך מוכח דאף להראב"ד לא חלה שחיטה על האבר היוצא</w:t>
      </w:r>
    </w:p>
    <w:p w14:paraId="7CEF0DF0" w14:textId="77777777" w:rsidR="003D504D" w:rsidRDefault="003D504D" w:rsidP="003D504D">
      <w:pPr>
        <w:pStyle w:val="aff4"/>
        <w:rPr>
          <w:rFonts w:eastAsiaTheme="minorEastAsia" w:cstheme="minorBidi"/>
          <w:i/>
          <w:iCs/>
          <w:noProof/>
          <w:sz w:val="22"/>
          <w:szCs w:val="22"/>
          <w:rtl/>
        </w:rPr>
      </w:pPr>
      <w:bookmarkStart w:id="15326" w:name="_Toc19435999"/>
      <w:bookmarkStart w:id="15327" w:name="_Toc20081209"/>
      <w:r>
        <w:rPr>
          <w:noProof/>
          <w:rtl/>
        </w:rPr>
        <w:t>ביאור האמרי משה בדעת הרמב"ם והראב"ד</w:t>
      </w:r>
      <w:bookmarkEnd w:id="15326"/>
      <w:bookmarkEnd w:id="15327"/>
    </w:p>
    <w:p w14:paraId="79F6BCC0" w14:textId="77777777" w:rsidR="003D504D" w:rsidRDefault="003D504D" w:rsidP="005077A7">
      <w:pPr>
        <w:pStyle w:val="a"/>
        <w:rPr>
          <w:rFonts w:eastAsiaTheme="minorEastAsia" w:cstheme="minorBidi"/>
          <w:sz w:val="22"/>
          <w:szCs w:val="22"/>
          <w:rtl/>
        </w:rPr>
      </w:pPr>
      <w:r>
        <w:rPr>
          <w:rtl/>
        </w:rPr>
        <w:t>דברי האמר"מ דלהרמב"ם והראב"ד דל"מ שחיטה לאבר אך אינו אבמה"ח כיון שאינו כנבילה</w:t>
      </w:r>
    </w:p>
    <w:p w14:paraId="09B408AA" w14:textId="77777777" w:rsidR="003D504D" w:rsidRDefault="003D504D" w:rsidP="005077A7">
      <w:pPr>
        <w:pStyle w:val="a"/>
        <w:rPr>
          <w:rFonts w:eastAsiaTheme="minorEastAsia" w:cstheme="minorBidi"/>
          <w:sz w:val="22"/>
          <w:szCs w:val="22"/>
          <w:rtl/>
        </w:rPr>
      </w:pPr>
      <w:r>
        <w:rPr>
          <w:rtl/>
        </w:rPr>
        <w:t>דברי האמרי משה דכיון שהעובר כשחוט לא שייך לאסור את האבר שיצא ממנו באבמה"ח</w:t>
      </w:r>
    </w:p>
    <w:p w14:paraId="5ABD1F6C" w14:textId="77777777" w:rsidR="003D504D" w:rsidRDefault="003D504D" w:rsidP="005077A7">
      <w:pPr>
        <w:pStyle w:val="a"/>
        <w:rPr>
          <w:rFonts w:eastAsiaTheme="minorEastAsia" w:cstheme="minorBidi"/>
          <w:sz w:val="22"/>
          <w:szCs w:val="22"/>
          <w:rtl/>
        </w:rPr>
      </w:pPr>
      <w:r>
        <w:rPr>
          <w:rtl/>
        </w:rPr>
        <w:t>דברי האמרי משה דגלי קרא דבשר בשדה טריפה דלענין אכילה ל"מ השחיטה והוי כבשר מהחי</w:t>
      </w:r>
    </w:p>
    <w:p w14:paraId="246B5EE2" w14:textId="77777777" w:rsidR="003D504D" w:rsidRDefault="003D504D" w:rsidP="005077A7">
      <w:pPr>
        <w:pStyle w:val="a"/>
        <w:rPr>
          <w:rFonts w:eastAsiaTheme="minorEastAsia" w:cstheme="minorBidi"/>
          <w:sz w:val="22"/>
          <w:szCs w:val="22"/>
          <w:rtl/>
        </w:rPr>
      </w:pPr>
      <w:r>
        <w:rPr>
          <w:rtl/>
        </w:rPr>
        <w:t>ביאור האמרי משה דמקום חתך שלא יצא אינו בכלל מה שגילתה תורה דאסור ולכן מהני חזרה</w:t>
      </w:r>
    </w:p>
    <w:p w14:paraId="4623C61D" w14:textId="77777777" w:rsidR="003D504D" w:rsidRDefault="003D504D" w:rsidP="005077A7">
      <w:pPr>
        <w:pStyle w:val="a"/>
        <w:rPr>
          <w:rFonts w:eastAsiaTheme="minorEastAsia" w:cstheme="minorBidi"/>
          <w:sz w:val="22"/>
          <w:szCs w:val="22"/>
          <w:rtl/>
        </w:rPr>
      </w:pPr>
      <w:r>
        <w:rPr>
          <w:rtl/>
        </w:rPr>
        <w:t>ישוב האמרי משה לדעת הרמב"ם והראב"ד מקושית הרשב"א דגילתה תורה שהוא כאבמה"ח</w:t>
      </w:r>
    </w:p>
    <w:p w14:paraId="65742159" w14:textId="77777777" w:rsidR="003D504D" w:rsidRDefault="003D504D" w:rsidP="003D504D">
      <w:pPr>
        <w:pStyle w:val="aff4"/>
        <w:rPr>
          <w:rFonts w:eastAsiaTheme="minorEastAsia" w:cstheme="minorBidi"/>
          <w:i/>
          <w:iCs/>
          <w:noProof/>
          <w:sz w:val="22"/>
          <w:szCs w:val="22"/>
          <w:rtl/>
        </w:rPr>
      </w:pPr>
      <w:bookmarkStart w:id="15328" w:name="_Toc19436000"/>
      <w:bookmarkStart w:id="15329" w:name="_Toc20081210"/>
      <w:r>
        <w:rPr>
          <w:noProof/>
          <w:rtl/>
        </w:rPr>
        <w:t>מסקנת האמרי משה דאף להרמב"ם והראב"ד חשיב כשחוט</w:t>
      </w:r>
      <w:bookmarkEnd w:id="15328"/>
      <w:bookmarkEnd w:id="15329"/>
    </w:p>
    <w:p w14:paraId="333032DE" w14:textId="77777777" w:rsidR="003D504D" w:rsidRDefault="003D504D" w:rsidP="005077A7">
      <w:pPr>
        <w:pStyle w:val="a"/>
        <w:rPr>
          <w:rFonts w:eastAsiaTheme="minorEastAsia" w:cstheme="minorBidi"/>
          <w:sz w:val="22"/>
          <w:szCs w:val="22"/>
          <w:rtl/>
        </w:rPr>
      </w:pPr>
      <w:r>
        <w:rPr>
          <w:rtl/>
        </w:rPr>
        <w:t>דחיית האמרי משה דמוכח דדינו כשחוט מספק הגמ' לקמן בזרעו של ב"פ שיש בו אבר היוצא</w:t>
      </w:r>
    </w:p>
    <w:p w14:paraId="5B1C38D3" w14:textId="77777777" w:rsidR="003D504D" w:rsidRDefault="003D504D" w:rsidP="005077A7">
      <w:pPr>
        <w:pStyle w:val="a"/>
        <w:rPr>
          <w:rFonts w:eastAsiaTheme="minorEastAsia" w:cstheme="minorBidi"/>
          <w:sz w:val="22"/>
          <w:szCs w:val="22"/>
          <w:rtl/>
        </w:rPr>
      </w:pPr>
      <w:r>
        <w:rPr>
          <w:rtl/>
        </w:rPr>
        <w:t>ביאור האמרי משה דא"א לחלק את השחיטה וכיון דהעובר שבפנים כשחוט כולו חשיב שחוט</w:t>
      </w:r>
    </w:p>
    <w:p w14:paraId="64BCF01C" w14:textId="77777777" w:rsidR="003D504D" w:rsidRDefault="003D504D" w:rsidP="005077A7">
      <w:pPr>
        <w:pStyle w:val="a"/>
        <w:rPr>
          <w:rFonts w:eastAsiaTheme="minorEastAsia" w:cstheme="minorBidi"/>
          <w:sz w:val="22"/>
          <w:szCs w:val="22"/>
          <w:rtl/>
        </w:rPr>
      </w:pPr>
      <w:r>
        <w:rPr>
          <w:rtl/>
        </w:rPr>
        <w:t>דברי האמרי משה דהצד דזרעו של ב"פ שיש בו אבר היוצא מותר בלא שחיטה דאף האב כשחוט</w:t>
      </w:r>
    </w:p>
    <w:p w14:paraId="3F544CDF" w14:textId="77777777" w:rsidR="003D504D" w:rsidRDefault="003D504D" w:rsidP="005077A7">
      <w:pPr>
        <w:pStyle w:val="a"/>
        <w:rPr>
          <w:rFonts w:eastAsiaTheme="minorEastAsia" w:cstheme="minorBidi"/>
          <w:sz w:val="22"/>
          <w:szCs w:val="22"/>
          <w:rtl/>
        </w:rPr>
        <w:sectPr w:rsidR="003D504D" w:rsidSect="003D504D">
          <w:type w:val="continuous"/>
          <w:pgSz w:w="11906" w:h="16838"/>
          <w:pgMar w:top="720" w:right="720" w:bottom="720" w:left="720" w:header="283" w:footer="283" w:gutter="0"/>
          <w:cols w:num="2" w:space="113"/>
          <w:bidi/>
          <w:rtlGutter/>
          <w:docGrid w:linePitch="299"/>
        </w:sectPr>
      </w:pPr>
      <w:r>
        <w:rPr>
          <w:rtl/>
        </w:rPr>
        <w:t>ישוב האמרי משה לדעת הרמב"ם והראב"ד מקושית הרשב"א דאיסורו מחסרון שחיטה כאבמה"ח</w:t>
      </w:r>
    </w:p>
    <w:p w14:paraId="2015D3AA" w14:textId="77777777" w:rsidR="003D504D" w:rsidRDefault="003D504D" w:rsidP="003D504D">
      <w:pPr>
        <w:pStyle w:val="aff4"/>
        <w:rPr>
          <w:rtl/>
        </w:rPr>
        <w:sectPr w:rsidR="003D504D" w:rsidSect="007C6A7B">
          <w:type w:val="continuous"/>
          <w:pgSz w:w="11906" w:h="16838"/>
          <w:pgMar w:top="720" w:right="720" w:bottom="720" w:left="720" w:header="283" w:footer="283" w:gutter="0"/>
          <w:cols w:num="2" w:space="113"/>
          <w:bidi/>
          <w:rtlGutter/>
          <w:docGrid w:linePitch="299"/>
        </w:sectPr>
      </w:pPr>
      <w:r>
        <w:rPr>
          <w:rtl/>
        </w:rPr>
        <w:fldChar w:fldCharType="end"/>
      </w:r>
    </w:p>
    <w:p w14:paraId="0065F3A2" w14:textId="77777777" w:rsidR="003D504D" w:rsidRDefault="003D504D" w:rsidP="003D504D">
      <w:pPr>
        <w:pStyle w:val="afe"/>
        <w:rPr>
          <w:rtl/>
        </w:rPr>
      </w:pPr>
      <w:bookmarkStart w:id="15330" w:name="_Toc533585363"/>
      <w:bookmarkStart w:id="15331" w:name="_Toc533585374"/>
      <w:bookmarkStart w:id="15332" w:name="_Toc535089791"/>
      <w:bookmarkStart w:id="15333" w:name="_Toc535095877"/>
      <w:bookmarkStart w:id="15334" w:name="_Toc535302105"/>
      <w:bookmarkStart w:id="15335" w:name="_Toc535526163"/>
      <w:bookmarkStart w:id="15336" w:name="_Toc535574857"/>
      <w:bookmarkStart w:id="15337" w:name="_Toc535702313"/>
      <w:bookmarkStart w:id="15338" w:name="_Toc535750455"/>
      <w:bookmarkStart w:id="15339" w:name="_Toc19436001"/>
      <w:bookmarkStart w:id="15340" w:name="_Toc20081211"/>
      <w:r>
        <w:rPr>
          <w:rFonts w:hint="cs"/>
          <w:rtl/>
        </w:rPr>
        <w:t>מראי מקומות וביאורים על הסוגיא</w:t>
      </w:r>
      <w:bookmarkEnd w:id="15330"/>
      <w:bookmarkEnd w:id="15331"/>
      <w:bookmarkEnd w:id="15332"/>
      <w:bookmarkEnd w:id="15333"/>
      <w:bookmarkEnd w:id="15334"/>
      <w:bookmarkEnd w:id="15335"/>
      <w:bookmarkEnd w:id="15336"/>
      <w:bookmarkEnd w:id="15337"/>
      <w:bookmarkEnd w:id="15338"/>
      <w:bookmarkEnd w:id="15339"/>
      <w:bookmarkEnd w:id="15340"/>
    </w:p>
    <w:p w14:paraId="62403D48" w14:textId="77777777" w:rsidR="003D504D" w:rsidRPr="0065105E" w:rsidRDefault="003D504D" w:rsidP="003D504D">
      <w:pPr>
        <w:pStyle w:val="2"/>
        <w:keepNext w:val="0"/>
        <w:keepLines w:val="0"/>
        <w:bidi w:val="0"/>
        <w:rPr>
          <w:rFonts w:asciiTheme="minorHAnsi" w:hAnsiTheme="minorHAnsi"/>
          <w:bCs/>
          <w:sz w:val="18"/>
          <w:szCs w:val="28"/>
          <w:rtl/>
        </w:rPr>
        <w:sectPr w:rsidR="003D504D" w:rsidRPr="0065105E" w:rsidSect="003D504D">
          <w:pgSz w:w="11906" w:h="16838"/>
          <w:pgMar w:top="720" w:right="720" w:bottom="720" w:left="720" w:header="283" w:footer="283" w:gutter="0"/>
          <w:cols w:space="720"/>
          <w:bidi/>
          <w:rtlGutter/>
          <w:docGrid w:linePitch="299"/>
        </w:sectPr>
      </w:pPr>
    </w:p>
    <w:p w14:paraId="557BCC2C" w14:textId="77777777" w:rsidR="003D504D" w:rsidRDefault="003D504D" w:rsidP="003D504D">
      <w:pPr>
        <w:pStyle w:val="afe"/>
        <w:rPr>
          <w:rtl/>
        </w:rPr>
      </w:pPr>
      <w:bookmarkStart w:id="15341" w:name="_Toc535089792"/>
      <w:bookmarkStart w:id="15342" w:name="_Toc535095878"/>
      <w:bookmarkStart w:id="15343" w:name="_Toc535302106"/>
      <w:bookmarkStart w:id="15344" w:name="_Toc535526164"/>
      <w:bookmarkStart w:id="15345" w:name="_Toc535574858"/>
      <w:bookmarkStart w:id="15346" w:name="_Toc535702314"/>
      <w:bookmarkStart w:id="15347" w:name="_Toc535750456"/>
      <w:bookmarkStart w:id="15348" w:name="_Toc19436002"/>
      <w:bookmarkStart w:id="15349" w:name="_Toc20081212"/>
      <w:r>
        <w:rPr>
          <w:rFonts w:hint="cs"/>
          <w:rtl/>
        </w:rPr>
        <w:t>בגדר ההיתר בחתך מעובר שבמעיה</w:t>
      </w:r>
      <w:bookmarkEnd w:id="15341"/>
      <w:bookmarkEnd w:id="15342"/>
      <w:bookmarkEnd w:id="15343"/>
      <w:bookmarkEnd w:id="15344"/>
      <w:bookmarkEnd w:id="15345"/>
      <w:bookmarkEnd w:id="15346"/>
      <w:bookmarkEnd w:id="15347"/>
      <w:bookmarkEnd w:id="15348"/>
      <w:bookmarkEnd w:id="15349"/>
    </w:p>
    <w:p w14:paraId="0954941F" w14:textId="77777777" w:rsidR="003D504D" w:rsidRPr="00573D2B" w:rsidRDefault="003D504D" w:rsidP="00BF39B2">
      <w:pPr>
        <w:pStyle w:val="1"/>
        <w:rPr>
          <w:rtl/>
        </w:rPr>
      </w:pPr>
      <w:bookmarkStart w:id="15350" w:name="_Toc535089793"/>
      <w:bookmarkStart w:id="15351" w:name="_Toc535095879"/>
      <w:bookmarkStart w:id="15352" w:name="_Toc535302107"/>
      <w:bookmarkStart w:id="15353" w:name="_Toc535526165"/>
      <w:bookmarkStart w:id="15354" w:name="_Toc535574859"/>
      <w:bookmarkStart w:id="15355" w:name="_Toc535702315"/>
      <w:bookmarkStart w:id="15356" w:name="_Toc535750457"/>
      <w:bookmarkStart w:id="15357" w:name="_Toc19391011"/>
      <w:bookmarkStart w:id="15358" w:name="_Toc19394508"/>
      <w:r>
        <w:rPr>
          <w:rFonts w:hint="cs"/>
          <w:rtl/>
        </w:rPr>
        <w:t>דברי רש"י והמאירי בהיתר חותך מעובר שבמעיה</w:t>
      </w:r>
      <w:bookmarkEnd w:id="15350"/>
      <w:bookmarkEnd w:id="15351"/>
      <w:bookmarkEnd w:id="15352"/>
      <w:bookmarkEnd w:id="15353"/>
      <w:bookmarkEnd w:id="15354"/>
      <w:bookmarkEnd w:id="15355"/>
      <w:bookmarkEnd w:id="15356"/>
      <w:bookmarkEnd w:id="15357"/>
      <w:bookmarkEnd w:id="15358"/>
    </w:p>
    <w:p w14:paraId="0CC31E77" w14:textId="77777777" w:rsidR="003D504D" w:rsidRDefault="003D504D" w:rsidP="003D504D">
      <w:pPr>
        <w:pStyle w:val="a3"/>
        <w:rPr>
          <w:rtl/>
        </w:rPr>
      </w:pPr>
      <w:bookmarkStart w:id="15359" w:name="_Toc535526166"/>
      <w:bookmarkStart w:id="15360" w:name="_Toc535574860"/>
      <w:bookmarkStart w:id="15361" w:name="_Toc535702316"/>
      <w:bookmarkStart w:id="15362" w:name="_Toc535750458"/>
      <w:bookmarkStart w:id="15363" w:name="_Toc19391012"/>
      <w:bookmarkStart w:id="15364" w:name="_Toc19394509"/>
      <w:r>
        <w:rPr>
          <w:rFonts w:hint="cs"/>
          <w:rtl/>
        </w:rPr>
        <w:t>דברי רש"י דבחתך מהועובר והניח בתוך הבהמה ושחטה מותר מההיתר דבן פקועה</w:t>
      </w:r>
      <w:bookmarkEnd w:id="15359"/>
      <w:bookmarkEnd w:id="15360"/>
      <w:bookmarkEnd w:id="15361"/>
      <w:bookmarkEnd w:id="15362"/>
      <w:bookmarkEnd w:id="15363"/>
      <w:bookmarkEnd w:id="15364"/>
    </w:p>
    <w:p w14:paraId="34746D5C" w14:textId="77777777" w:rsidR="003D504D" w:rsidRDefault="003D504D" w:rsidP="00E12979">
      <w:pPr>
        <w:pStyle w:val="a0"/>
        <w:numPr>
          <w:ilvl w:val="0"/>
          <w:numId w:val="33"/>
        </w:numPr>
        <w:rPr>
          <w:rStyle w:val="afb"/>
          <w:rtl/>
        </w:rPr>
      </w:pPr>
      <w:r>
        <w:rPr>
          <w:rFonts w:hint="cs"/>
          <w:rtl/>
        </w:rPr>
        <w:t xml:space="preserve">בהיתר חותך מעובר שבמעיה ביאר </w:t>
      </w:r>
      <w:r w:rsidRPr="00607A43">
        <w:rPr>
          <w:rStyle w:val="af9"/>
          <w:rFonts w:hint="cs"/>
          <w:rtl/>
        </w:rPr>
        <w:t>רש"י</w:t>
      </w:r>
      <w:r>
        <w:rPr>
          <w:rFonts w:hint="cs"/>
          <w:rtl/>
        </w:rPr>
        <w:t xml:space="preserve"> </w:t>
      </w:r>
      <w:r w:rsidRPr="00223668">
        <w:rPr>
          <w:rStyle w:val="af7"/>
          <w:rFonts w:eastAsia="Guttman Hodes" w:hint="cs"/>
          <w:rtl/>
        </w:rPr>
        <w:t>(ד"ה חותך)</w:t>
      </w:r>
      <w:r>
        <w:rPr>
          <w:rFonts w:hint="cs"/>
          <w:rtl/>
        </w:rPr>
        <w:t xml:space="preserve"> דחתך את החתיכה מהעובר,</w:t>
      </w:r>
      <w:r w:rsidRPr="009B34E0">
        <w:rPr>
          <w:rStyle w:val="afb"/>
          <w:rFonts w:hint="cs"/>
          <w:rtl/>
        </w:rPr>
        <w:t xml:space="preserve"> [ולא הוציאה מהבהמה], </w:t>
      </w:r>
      <w:r>
        <w:rPr>
          <w:rFonts w:hint="cs"/>
          <w:rtl/>
        </w:rPr>
        <w:t xml:space="preserve">והניח את החתיכה בתוך האם ושחט את האם, וכתב </w:t>
      </w:r>
      <w:r w:rsidRPr="00607A43">
        <w:rPr>
          <w:rStyle w:val="af9"/>
          <w:rFonts w:hint="cs"/>
          <w:rtl/>
        </w:rPr>
        <w:t>רש"י</w:t>
      </w:r>
      <w:r>
        <w:rPr>
          <w:rFonts w:hint="cs"/>
          <w:rtl/>
        </w:rPr>
        <w:t xml:space="preserve"> </w:t>
      </w:r>
      <w:r w:rsidRPr="00223668">
        <w:rPr>
          <w:rStyle w:val="af7"/>
          <w:rFonts w:eastAsia="Guttman Hodes" w:hint="cs"/>
          <w:rtl/>
        </w:rPr>
        <w:t>(ד"ה מותר)</w:t>
      </w:r>
      <w:r>
        <w:rPr>
          <w:rFonts w:hint="cs"/>
          <w:rtl/>
        </w:rPr>
        <w:t xml:space="preserve"> דההיתר הוא כדילפינן לה בגמ' לקמן </w:t>
      </w:r>
      <w:r w:rsidRPr="00223668">
        <w:rPr>
          <w:rStyle w:val="af7"/>
          <w:rFonts w:eastAsia="Guttman Hodes" w:hint="cs"/>
          <w:rtl/>
        </w:rPr>
        <w:t>(סט.)</w:t>
      </w:r>
      <w:r>
        <w:rPr>
          <w:rFonts w:hint="cs"/>
          <w:rtl/>
        </w:rPr>
        <w:t xml:space="preserve"> מכל בבהמה תאכלו. </w:t>
      </w:r>
      <w:r w:rsidRPr="00EE3390">
        <w:rPr>
          <w:rStyle w:val="afb"/>
          <w:rFonts w:hint="cs"/>
          <w:rtl/>
        </w:rPr>
        <w:t>[שהוא ההיתר בכל שחיטת בן פקועה]</w:t>
      </w:r>
      <w:r>
        <w:rPr>
          <w:rStyle w:val="afb"/>
          <w:rFonts w:hint="cs"/>
          <w:rtl/>
        </w:rPr>
        <w:t>.</w:t>
      </w:r>
    </w:p>
    <w:p w14:paraId="719429C0" w14:textId="77777777" w:rsidR="003D504D" w:rsidRPr="00736D9D" w:rsidRDefault="003D504D" w:rsidP="003D504D">
      <w:pPr>
        <w:pStyle w:val="a3"/>
      </w:pPr>
      <w:bookmarkStart w:id="15365" w:name="_Toc535526167"/>
      <w:bookmarkStart w:id="15366" w:name="_Toc535574861"/>
      <w:bookmarkStart w:id="15367" w:name="_Toc535702317"/>
      <w:bookmarkStart w:id="15368" w:name="_Toc535750459"/>
      <w:bookmarkStart w:id="15369" w:name="_Toc19391013"/>
      <w:bookmarkStart w:id="15370" w:name="_Toc19394510"/>
      <w:r>
        <w:rPr>
          <w:rFonts w:hint="cs"/>
          <w:rtl/>
        </w:rPr>
        <w:t>דברי רש"י דבחותך מהבהמה עצמה ילפינן דאסור</w:t>
      </w:r>
      <w:r w:rsidRPr="00731BD7">
        <w:rPr>
          <w:rFonts w:hint="cs"/>
          <w:rtl/>
        </w:rPr>
        <w:t xml:space="preserve"> </w:t>
      </w:r>
      <w:r>
        <w:rPr>
          <w:rFonts w:hint="cs"/>
          <w:rtl/>
        </w:rPr>
        <w:t>אף שהניח את החתיכה בתוכה ושחטה</w:t>
      </w:r>
      <w:bookmarkEnd w:id="15365"/>
      <w:bookmarkEnd w:id="15366"/>
      <w:bookmarkEnd w:id="15367"/>
      <w:bookmarkEnd w:id="15368"/>
      <w:bookmarkEnd w:id="15369"/>
      <w:bookmarkEnd w:id="15370"/>
    </w:p>
    <w:p w14:paraId="5C12A7F4" w14:textId="77777777" w:rsidR="003D504D" w:rsidRDefault="003D504D" w:rsidP="00223668">
      <w:pPr>
        <w:pStyle w:val="a0"/>
        <w:rPr>
          <w:rtl/>
        </w:rPr>
      </w:pPr>
      <w:r>
        <w:rPr>
          <w:rFonts w:hint="cs"/>
          <w:rtl/>
        </w:rPr>
        <w:t xml:space="preserve">ובאיסור חותך </w:t>
      </w:r>
      <w:r>
        <w:rPr>
          <w:rtl/>
        </w:rPr>
        <w:t xml:space="preserve">מן הטחול ומן הכליות של </w:t>
      </w:r>
      <w:r>
        <w:rPr>
          <w:rFonts w:hint="cs"/>
          <w:rtl/>
        </w:rPr>
        <w:t>ה</w:t>
      </w:r>
      <w:r>
        <w:rPr>
          <w:rtl/>
        </w:rPr>
        <w:t>בהמה עצמה</w:t>
      </w:r>
      <w:r>
        <w:rPr>
          <w:rFonts w:hint="cs"/>
          <w:rtl/>
        </w:rPr>
        <w:t xml:space="preserve">, איתא בגמ' לקמן </w:t>
      </w:r>
      <w:r w:rsidRPr="00BB4E5E">
        <w:rPr>
          <w:rStyle w:val="af7"/>
          <w:rFonts w:eastAsia="Guttman Hodes" w:hint="cs"/>
          <w:rtl/>
        </w:rPr>
        <w:t>(סט.)</w:t>
      </w:r>
      <w:r>
        <w:rPr>
          <w:rFonts w:hint="cs"/>
          <w:rtl/>
        </w:rPr>
        <w:t xml:space="preserve"> דילפינן מהפסו' "אותה תאכלו" דדוקא כשהיא שלמה ולא חסרה, וביאר </w:t>
      </w:r>
      <w:r w:rsidRPr="00607A43">
        <w:rPr>
          <w:rStyle w:val="af9"/>
          <w:rFonts w:hint="cs"/>
          <w:rtl/>
        </w:rPr>
        <w:t>רש"י</w:t>
      </w:r>
      <w:r>
        <w:rPr>
          <w:rStyle w:val="af9"/>
          <w:rFonts w:hint="cs"/>
          <w:rtl/>
        </w:rPr>
        <w:t xml:space="preserve"> לקמן </w:t>
      </w:r>
      <w:r w:rsidRPr="00BB4E5E">
        <w:rPr>
          <w:rStyle w:val="af7"/>
          <w:rFonts w:eastAsia="Guttman Hodes" w:hint="cs"/>
          <w:rtl/>
        </w:rPr>
        <w:t>(סט. ד"ה אותה)</w:t>
      </w:r>
      <w:r>
        <w:rPr>
          <w:rStyle w:val="af9"/>
          <w:rFonts w:hint="cs"/>
          <w:rtl/>
        </w:rPr>
        <w:t xml:space="preserve"> </w:t>
      </w:r>
      <w:r w:rsidRPr="00BB4E5E">
        <w:rPr>
          <w:rFonts w:hint="cs"/>
          <w:rtl/>
        </w:rPr>
        <w:t>דכשהיא שלמה מותר לאכול את מה שבתוכה, אבל בחסרה שנחתך מגופה אסור, וכתב</w:t>
      </w:r>
      <w:r>
        <w:rPr>
          <w:rFonts w:hint="cs"/>
          <w:rtl/>
        </w:rPr>
        <w:t xml:space="preserve"> </w:t>
      </w:r>
      <w:r w:rsidRPr="00607A43">
        <w:rPr>
          <w:rStyle w:val="af9"/>
          <w:rFonts w:hint="cs"/>
          <w:rtl/>
        </w:rPr>
        <w:t>רש"י</w:t>
      </w:r>
      <w:r>
        <w:rPr>
          <w:rFonts w:hint="cs"/>
          <w:rtl/>
        </w:rPr>
        <w:t xml:space="preserve"> </w:t>
      </w:r>
      <w:r w:rsidRPr="00607A43">
        <w:rPr>
          <w:rStyle w:val="af7"/>
          <w:rFonts w:eastAsia="Guttman Hodes" w:hint="cs"/>
          <w:rtl/>
        </w:rPr>
        <w:t>(</w:t>
      </w:r>
      <w:r>
        <w:rPr>
          <w:rStyle w:val="af7"/>
          <w:rFonts w:eastAsia="Guttman Hodes" w:hint="cs"/>
          <w:rtl/>
        </w:rPr>
        <w:t xml:space="preserve">במתני' </w:t>
      </w:r>
      <w:r w:rsidRPr="00607A43">
        <w:rPr>
          <w:rStyle w:val="af7"/>
          <w:rFonts w:eastAsia="Guttman Hodes" w:hint="cs"/>
          <w:rtl/>
        </w:rPr>
        <w:t>ד"ה אסור)</w:t>
      </w:r>
      <w:r>
        <w:rPr>
          <w:rFonts w:hint="cs"/>
          <w:rtl/>
        </w:rPr>
        <w:t xml:space="preserve"> דאף שהניח את החתיכה בתוך הבהמה ושחטה, מ"מ לא הותרה החתיכה בשחיטת הבהמה.</w:t>
      </w:r>
    </w:p>
    <w:p w14:paraId="52C2298F" w14:textId="77777777" w:rsidR="003D504D" w:rsidRPr="00FB13E0" w:rsidRDefault="003D504D" w:rsidP="003D504D">
      <w:pPr>
        <w:pStyle w:val="a3"/>
        <w:rPr>
          <w:rtl/>
        </w:rPr>
      </w:pPr>
      <w:bookmarkStart w:id="15371" w:name="_Toc535526168"/>
      <w:bookmarkStart w:id="15372" w:name="_Toc535574862"/>
      <w:bookmarkStart w:id="15373" w:name="_Toc535702318"/>
      <w:bookmarkStart w:id="15374" w:name="_Toc535750460"/>
      <w:bookmarkStart w:id="15375" w:name="_Toc19391014"/>
      <w:bookmarkStart w:id="15376" w:name="_Toc19394511"/>
      <w:r>
        <w:rPr>
          <w:rFonts w:hint="cs"/>
          <w:rtl/>
        </w:rPr>
        <w:t>ביאור המאירי דבחותך מעובר מותר דאינו בכלל אבמה"ח אבל חתיכה מהבהמה אסורה באבמה"ח</w:t>
      </w:r>
      <w:bookmarkEnd w:id="15371"/>
      <w:bookmarkEnd w:id="15372"/>
      <w:bookmarkEnd w:id="15373"/>
      <w:bookmarkEnd w:id="15374"/>
      <w:bookmarkEnd w:id="15375"/>
      <w:bookmarkEnd w:id="15376"/>
    </w:p>
    <w:p w14:paraId="7DC13EB1" w14:textId="77777777" w:rsidR="003D504D" w:rsidRDefault="003D504D" w:rsidP="00223668">
      <w:pPr>
        <w:pStyle w:val="a0"/>
        <w:rPr>
          <w:rtl/>
        </w:rPr>
      </w:pPr>
      <w:r>
        <w:rPr>
          <w:rFonts w:hint="cs"/>
          <w:rtl/>
        </w:rPr>
        <w:t xml:space="preserve">וביאר </w:t>
      </w:r>
      <w:r w:rsidRPr="00FB13E0">
        <w:rPr>
          <w:rStyle w:val="af9"/>
          <w:rFonts w:hint="cs"/>
          <w:rtl/>
        </w:rPr>
        <w:t>המאירי</w:t>
      </w:r>
      <w:r>
        <w:rPr>
          <w:rFonts w:hint="cs"/>
          <w:rtl/>
        </w:rPr>
        <w:t xml:space="preserve"> </w:t>
      </w:r>
      <w:r w:rsidRPr="00FB13E0">
        <w:rPr>
          <w:rStyle w:val="af7"/>
          <w:rFonts w:eastAsia="Guttman Hodes" w:hint="cs"/>
          <w:rtl/>
        </w:rPr>
        <w:t>(סוד"ה אמר המאירי)</w:t>
      </w:r>
      <w:r>
        <w:rPr>
          <w:rFonts w:hint="cs"/>
          <w:rtl/>
        </w:rPr>
        <w:t xml:space="preserve"> דההיתר בחותך מעובר שבמעיה, הוא כיון שהעובר אינו בכלל האיסור אבר מן החי שיש בבהמה, דהרי אף אם מצאו מת בתוכה מותר, ולכן אף כשחתך ממנו חתיכה ונשחטה האם אין איסור בחתיכה, משא"כ בחותך </w:t>
      </w:r>
      <w:r>
        <w:rPr>
          <w:rtl/>
        </w:rPr>
        <w:t xml:space="preserve">מן הטחול ומן הכליות של </w:t>
      </w:r>
      <w:r>
        <w:rPr>
          <w:rFonts w:hint="cs"/>
          <w:rtl/>
        </w:rPr>
        <w:t>ה</w:t>
      </w:r>
      <w:r>
        <w:rPr>
          <w:rtl/>
        </w:rPr>
        <w:t xml:space="preserve">בהמה </w:t>
      </w:r>
      <w:r>
        <w:rPr>
          <w:rFonts w:hint="cs"/>
          <w:rtl/>
        </w:rPr>
        <w:t>עצמה, דאסור כיון שבדבר שבגופה יש איסור אבר מן החי.</w:t>
      </w:r>
    </w:p>
    <w:p w14:paraId="798F1425" w14:textId="77777777" w:rsidR="003D504D" w:rsidRDefault="003D504D" w:rsidP="00BF39B2">
      <w:pPr>
        <w:pStyle w:val="1"/>
        <w:rPr>
          <w:rtl/>
        </w:rPr>
      </w:pPr>
      <w:bookmarkStart w:id="15377" w:name="_Toc535089794"/>
      <w:bookmarkStart w:id="15378" w:name="_Toc535095881"/>
      <w:bookmarkStart w:id="15379" w:name="_Toc535302109"/>
      <w:bookmarkStart w:id="15380" w:name="_Toc535526169"/>
      <w:bookmarkStart w:id="15381" w:name="_Toc535574863"/>
      <w:bookmarkStart w:id="15382" w:name="_Toc535702319"/>
      <w:bookmarkStart w:id="15383" w:name="_Toc535750461"/>
      <w:bookmarkStart w:id="15384" w:name="_Toc19391015"/>
      <w:bookmarkStart w:id="15385" w:name="_Toc19394512"/>
      <w:r>
        <w:rPr>
          <w:rFonts w:hint="cs"/>
          <w:rtl/>
        </w:rPr>
        <w:t xml:space="preserve">חקירת האחרונים בגדר היתר </w:t>
      </w:r>
      <w:r>
        <w:rPr>
          <w:rtl/>
        </w:rPr>
        <w:t>"</w:t>
      </w:r>
      <w:r>
        <w:rPr>
          <w:rFonts w:hint="cs"/>
          <w:rtl/>
        </w:rPr>
        <w:t>כל בבהמה</w:t>
      </w:r>
      <w:r>
        <w:rPr>
          <w:rtl/>
        </w:rPr>
        <w:t>"</w:t>
      </w:r>
      <w:bookmarkEnd w:id="15377"/>
      <w:r>
        <w:rPr>
          <w:rStyle w:val="af1"/>
          <w:rtl/>
        </w:rPr>
        <w:footnoteReference w:id="98"/>
      </w:r>
      <w:bookmarkEnd w:id="15378"/>
      <w:bookmarkEnd w:id="15379"/>
      <w:bookmarkEnd w:id="15380"/>
      <w:bookmarkEnd w:id="15381"/>
      <w:bookmarkEnd w:id="15382"/>
      <w:bookmarkEnd w:id="15383"/>
      <w:bookmarkEnd w:id="15384"/>
      <w:bookmarkEnd w:id="15385"/>
    </w:p>
    <w:p w14:paraId="0104B56C" w14:textId="77777777" w:rsidR="003D504D" w:rsidRPr="002077B7" w:rsidRDefault="003D504D" w:rsidP="003D504D">
      <w:pPr>
        <w:pStyle w:val="a3"/>
        <w:rPr>
          <w:rtl/>
        </w:rPr>
      </w:pPr>
      <w:bookmarkStart w:id="15386" w:name="_Toc535526170"/>
      <w:bookmarkStart w:id="15387" w:name="_Toc535574864"/>
      <w:bookmarkStart w:id="15388" w:name="_Toc535702320"/>
      <w:bookmarkStart w:id="15389" w:name="_Toc535750462"/>
      <w:bookmarkStart w:id="15390" w:name="_Toc19391016"/>
      <w:bookmarkStart w:id="15391" w:name="_Toc19394513"/>
      <w:r>
        <w:rPr>
          <w:rFonts w:hint="cs"/>
          <w:rtl/>
        </w:rPr>
        <w:t>חקירת האחרונים אי בן פקועה חשיב כשחוט או שיש בו היתר מיוחד</w:t>
      </w:r>
      <w:bookmarkEnd w:id="15386"/>
      <w:bookmarkEnd w:id="15387"/>
      <w:bookmarkEnd w:id="15388"/>
      <w:bookmarkEnd w:id="15389"/>
      <w:bookmarkEnd w:id="15390"/>
      <w:bookmarkEnd w:id="15391"/>
    </w:p>
    <w:p w14:paraId="2CB0ABF4" w14:textId="77777777" w:rsidR="003D504D" w:rsidRPr="008328B4" w:rsidRDefault="003D504D" w:rsidP="00223668">
      <w:pPr>
        <w:pStyle w:val="a0"/>
      </w:pPr>
      <w:bookmarkStart w:id="15392" w:name="_Ref535511819"/>
      <w:r>
        <w:rPr>
          <w:rFonts w:hint="cs"/>
          <w:rtl/>
        </w:rPr>
        <w:t xml:space="preserve">והנה </w:t>
      </w:r>
      <w:r w:rsidRPr="003708C0">
        <w:rPr>
          <w:rStyle w:val="af9"/>
          <w:rFonts w:hint="cs"/>
          <w:rtl/>
        </w:rPr>
        <w:t>באתוון דאורייתא</w:t>
      </w:r>
      <w:r>
        <w:rPr>
          <w:rFonts w:hint="cs"/>
          <w:rtl/>
        </w:rPr>
        <w:t xml:space="preserve"> </w:t>
      </w:r>
      <w:r w:rsidRPr="00B81155">
        <w:rPr>
          <w:rStyle w:val="af7"/>
          <w:rFonts w:eastAsia="Guttman Hodes" w:hint="cs"/>
          <w:rtl/>
        </w:rPr>
        <w:t>(כלל י"ד)</w:t>
      </w:r>
      <w:r>
        <w:rPr>
          <w:rFonts w:hint="cs"/>
          <w:rtl/>
        </w:rPr>
        <w:t xml:space="preserve"> כתב דיש להסתפק בגדר היתר בן פקועה, אי חשיב דע"י שחיטת אמו חשיב שהוא נשחט, או דבאמת העובר אינו שחוט כלל, ומדיני שחיטה היה צריך להיות אסור, אלא שיש בו היתר </w:t>
      </w:r>
      <w:r>
        <w:rPr>
          <w:rtl/>
        </w:rPr>
        <w:t>"</w:t>
      </w:r>
      <w:r>
        <w:rPr>
          <w:rFonts w:hint="cs"/>
          <w:rtl/>
        </w:rPr>
        <w:t>כל בבהמה</w:t>
      </w:r>
      <w:r>
        <w:rPr>
          <w:rtl/>
        </w:rPr>
        <w:t>"</w:t>
      </w:r>
      <w:r>
        <w:rPr>
          <w:rFonts w:hint="cs"/>
          <w:rtl/>
        </w:rPr>
        <w:t xml:space="preserve"> דהתירה תורה עובר שנמצא במעי אמו </w:t>
      </w:r>
      <w:r w:rsidRPr="000B20E6">
        <w:rPr>
          <w:rFonts w:hint="cs"/>
          <w:rtl/>
        </w:rPr>
        <w:t>בשעת שחיטתו,</w:t>
      </w:r>
      <w:r w:rsidRPr="00E55790">
        <w:rPr>
          <w:rFonts w:hint="cs"/>
          <w:rtl/>
        </w:rPr>
        <w:t xml:space="preserve"> </w:t>
      </w:r>
      <w:r w:rsidRPr="000B20E6">
        <w:rPr>
          <w:rFonts w:hint="cs"/>
          <w:rtl/>
        </w:rPr>
        <w:t xml:space="preserve">וכן דנו בחקירה זו </w:t>
      </w:r>
      <w:r w:rsidRPr="000B20E6">
        <w:rPr>
          <w:rStyle w:val="af9"/>
          <w:rFonts w:hint="cs"/>
          <w:rtl/>
        </w:rPr>
        <w:t>האמרי משה</w:t>
      </w:r>
      <w:r w:rsidRPr="000B20E6">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Ref535750644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עו)</w:t>
      </w:r>
      <w:r>
        <w:rPr>
          <w:rStyle w:val="af7"/>
          <w:rFonts w:eastAsia="Guttman Hodes"/>
          <w:rtl/>
        </w:rPr>
        <w:fldChar w:fldCharType="end"/>
      </w:r>
      <w:r>
        <w:rPr>
          <w:rStyle w:val="af7"/>
          <w:rFonts w:eastAsia="Guttman Hodes" w:hint="cs"/>
          <w:rtl/>
        </w:rPr>
        <w:t xml:space="preserve"> </w:t>
      </w:r>
      <w:r w:rsidRPr="000B20E6">
        <w:rPr>
          <w:rStyle w:val="af9"/>
          <w:rFonts w:hint="cs"/>
          <w:rtl/>
        </w:rPr>
        <w:t>והשער"י</w:t>
      </w:r>
      <w:r w:rsidRPr="000B20E6">
        <w:rPr>
          <w:rFonts w:hint="cs"/>
          <w:rtl/>
        </w:rPr>
        <w:t xml:space="preserve"> </w:t>
      </w:r>
      <w:r w:rsidRPr="006F06D4">
        <w:rPr>
          <w:rStyle w:val="af7"/>
          <w:rFonts w:eastAsia="Guttman Hodes" w:hint="cs"/>
          <w:rtl/>
        </w:rPr>
        <w:t xml:space="preserve">(עי' אות </w:t>
      </w:r>
      <w:r w:rsidRPr="006F06D4">
        <w:rPr>
          <w:rStyle w:val="af7"/>
          <w:rFonts w:eastAsia="Guttman Hodes"/>
          <w:rtl/>
        </w:rPr>
        <w:fldChar w:fldCharType="begin"/>
      </w:r>
      <w:r w:rsidRPr="006F06D4">
        <w:rPr>
          <w:rStyle w:val="af7"/>
          <w:rFonts w:eastAsia="Guttman Hodes"/>
          <w:rtl/>
        </w:rPr>
        <w:instrText xml:space="preserve"> </w:instrText>
      </w:r>
      <w:r w:rsidRPr="006F06D4">
        <w:rPr>
          <w:rStyle w:val="af7"/>
          <w:rFonts w:eastAsia="Guttman Hodes" w:hint="cs"/>
        </w:rPr>
        <w:instrText>REF</w:instrText>
      </w:r>
      <w:r w:rsidRPr="006F06D4">
        <w:rPr>
          <w:rStyle w:val="af7"/>
          <w:rFonts w:eastAsia="Guttman Hodes" w:hint="cs"/>
          <w:rtl/>
        </w:rPr>
        <w:instrText xml:space="preserve"> _</w:instrText>
      </w:r>
      <w:r w:rsidRPr="006F06D4">
        <w:rPr>
          <w:rStyle w:val="af7"/>
          <w:rFonts w:eastAsia="Guttman Hodes" w:hint="cs"/>
        </w:rPr>
        <w:instrText>Ref535486265 \r \h</w:instrText>
      </w:r>
      <w:r w:rsidRPr="006F06D4">
        <w:rPr>
          <w:rStyle w:val="af7"/>
          <w:rFonts w:eastAsia="Guttman Hodes"/>
          <w:rtl/>
        </w:rPr>
        <w:instrText xml:space="preserve"> </w:instrText>
      </w:r>
      <w:r w:rsidRPr="006F06D4">
        <w:rPr>
          <w:rStyle w:val="af7"/>
          <w:rFonts w:eastAsia="Guttman Hodes"/>
          <w:rtl/>
        </w:rPr>
      </w:r>
      <w:r w:rsidRPr="006F06D4">
        <w:rPr>
          <w:rStyle w:val="af7"/>
          <w:rFonts w:eastAsia="Guttman Hodes"/>
          <w:rtl/>
        </w:rPr>
        <w:fldChar w:fldCharType="separate"/>
      </w:r>
      <w:r w:rsidR="00345400">
        <w:rPr>
          <w:rStyle w:val="af7"/>
          <w:rFonts w:eastAsia="Guttman Hodes"/>
          <w:cs/>
        </w:rPr>
        <w:t>‎</w:t>
      </w:r>
      <w:r w:rsidR="00345400">
        <w:rPr>
          <w:rStyle w:val="af7"/>
          <w:rFonts w:eastAsia="Guttman Hodes"/>
          <w:rtl/>
        </w:rPr>
        <w:t>סט)</w:t>
      </w:r>
      <w:r w:rsidRPr="006F06D4">
        <w:rPr>
          <w:rStyle w:val="af7"/>
          <w:rFonts w:eastAsia="Guttman Hodes"/>
          <w:rtl/>
        </w:rPr>
        <w:fldChar w:fldCharType="end"/>
      </w:r>
      <w:r w:rsidRPr="000B20E6">
        <w:rPr>
          <w:rFonts w:hint="cs"/>
          <w:rtl/>
        </w:rPr>
        <w:t xml:space="preserve"> </w:t>
      </w:r>
      <w:r w:rsidRPr="000B20E6">
        <w:rPr>
          <w:rStyle w:val="af9"/>
          <w:rFonts w:hint="cs"/>
          <w:rtl/>
        </w:rPr>
        <w:t>והזכר יצחק</w:t>
      </w:r>
      <w:r w:rsidRPr="000B20E6">
        <w:rPr>
          <w:rFonts w:hint="cs"/>
          <w:rtl/>
        </w:rPr>
        <w:t xml:space="preserve"> </w:t>
      </w:r>
      <w:r w:rsidRPr="006F06D4">
        <w:rPr>
          <w:rStyle w:val="af7"/>
          <w:rFonts w:eastAsia="Guttman Hodes" w:hint="cs"/>
          <w:rtl/>
        </w:rPr>
        <w:t>(ח"א סי' ל"ה)</w:t>
      </w:r>
      <w:r>
        <w:rPr>
          <w:rFonts w:hint="cs"/>
          <w:rtl/>
        </w:rPr>
        <w:t xml:space="preserve"> </w:t>
      </w:r>
      <w:r w:rsidRPr="000B20E6">
        <w:rPr>
          <w:rStyle w:val="af9"/>
          <w:rFonts w:hint="cs"/>
          <w:rtl/>
        </w:rPr>
        <w:t>והגרי"ז</w:t>
      </w:r>
      <w:r w:rsidRPr="000B20E6">
        <w:rPr>
          <w:rFonts w:hint="cs"/>
          <w:rtl/>
        </w:rPr>
        <w:t xml:space="preserve"> </w:t>
      </w:r>
      <w:r w:rsidRPr="000B20E6">
        <w:rPr>
          <w:rStyle w:val="af7"/>
          <w:rFonts w:eastAsia="Guttman Hodes" w:hint="cs"/>
          <w:rtl/>
        </w:rPr>
        <w:t xml:space="preserve">(בחי' מרן רי"ז הלוי במכתבים עמ' ע"ט ד"ה מכתבו) </w:t>
      </w:r>
      <w:r w:rsidRPr="000B20E6">
        <w:rPr>
          <w:rStyle w:val="af9"/>
          <w:rFonts w:hint="cs"/>
          <w:rtl/>
        </w:rPr>
        <w:t>והחזון יחזקאל</w:t>
      </w:r>
      <w:r w:rsidRPr="000B20E6">
        <w:rPr>
          <w:rFonts w:hint="cs"/>
          <w:rtl/>
        </w:rPr>
        <w:t xml:space="preserve"> </w:t>
      </w:r>
      <w:r w:rsidRPr="000B20E6">
        <w:rPr>
          <w:rStyle w:val="af7"/>
          <w:rFonts w:eastAsia="Guttman Hodes" w:hint="cs"/>
          <w:rtl/>
        </w:rPr>
        <w:t xml:space="preserve">(פ"ד ה"ג) </w:t>
      </w:r>
      <w:r w:rsidRPr="000B20E6">
        <w:rPr>
          <w:rStyle w:val="af9"/>
          <w:rFonts w:hint="cs"/>
          <w:rtl/>
        </w:rPr>
        <w:t>והאבי עזרי</w:t>
      </w:r>
      <w:r w:rsidRPr="00EA375A">
        <w:rPr>
          <w:rFonts w:hint="cs"/>
          <w:rtl/>
        </w:rPr>
        <w:t xml:space="preserve"> </w:t>
      </w:r>
      <w:r w:rsidRPr="00EA375A">
        <w:rPr>
          <w:rStyle w:val="af7"/>
          <w:rFonts w:eastAsia="Guttman Hodes" w:hint="cs"/>
          <w:rtl/>
        </w:rPr>
        <w:t>(טומאת מת פכ"ה ה"ט ד"ה והנראה בזה)</w:t>
      </w:r>
      <w:r>
        <w:rPr>
          <w:rFonts w:hint="cs"/>
          <w:rtl/>
        </w:rPr>
        <w:t xml:space="preserve">, וע"ע בדברי </w:t>
      </w:r>
      <w:r w:rsidRPr="001062AA">
        <w:rPr>
          <w:rStyle w:val="af9"/>
          <w:rFonts w:hint="cs"/>
          <w:rtl/>
        </w:rPr>
        <w:t>הגרא"ו</w:t>
      </w:r>
      <w:r>
        <w:rPr>
          <w:rFonts w:hint="cs"/>
          <w:rtl/>
        </w:rPr>
        <w:t xml:space="preserve"> </w:t>
      </w:r>
      <w:r w:rsidRPr="001062AA">
        <w:rPr>
          <w:rStyle w:val="af7"/>
          <w:rFonts w:eastAsia="Guttman Hodes" w:hint="cs"/>
          <w:rtl/>
        </w:rPr>
        <w:t xml:space="preserve">(בספר קובץ ענינים לקמן עד. ד"ה אר"ח, שיעורי הגר"א וסרמן </w:t>
      </w:r>
      <w:r w:rsidRPr="001062AA">
        <w:rPr>
          <w:rStyle w:val="af7"/>
          <w:rFonts w:eastAsia="Guttman Rashi" w:hint="cs"/>
          <w:rtl/>
        </w:rPr>
        <w:t>חולין סי' ו' א' ד"ה אלא</w:t>
      </w:r>
      <w:r w:rsidRPr="001062AA">
        <w:rPr>
          <w:rStyle w:val="af7"/>
          <w:rFonts w:eastAsia="Guttman Hodes" w:hint="cs"/>
          <w:rtl/>
        </w:rPr>
        <w:t>, וע"ע בקובץ ענינים סח: ד"ה ה"מ)</w:t>
      </w:r>
      <w:r>
        <w:rPr>
          <w:rFonts w:hint="cs"/>
          <w:rtl/>
        </w:rPr>
        <w:t xml:space="preserve"> דהוסיף לבאר דהצד שיש היתר בעובר, היינו דמעיקרא אין לו דין שחיטה כלל, כדגים שמותרים בלא שחיטה.</w:t>
      </w:r>
      <w:r w:rsidRPr="000B20E6">
        <w:rPr>
          <w:rFonts w:hint="cs"/>
          <w:rtl/>
        </w:rPr>
        <w:t xml:space="preserve"> </w:t>
      </w:r>
      <w:r w:rsidRPr="00EA375A">
        <w:rPr>
          <w:rFonts w:hint="cs"/>
          <w:rtl/>
        </w:rPr>
        <w:t>ועי'</w:t>
      </w:r>
      <w:r w:rsidRPr="008328B4">
        <w:rPr>
          <w:rFonts w:hint="cs"/>
          <w:rtl/>
        </w:rPr>
        <w:t xml:space="preserve"> במה שביאר </w:t>
      </w:r>
      <w:r w:rsidRPr="008328B4">
        <w:rPr>
          <w:rStyle w:val="af9"/>
          <w:rFonts w:hint="cs"/>
          <w:rtl/>
        </w:rPr>
        <w:t>הקה"י</w:t>
      </w:r>
      <w:r w:rsidRPr="008328B4">
        <w:rPr>
          <w:rFonts w:hint="cs"/>
          <w:rtl/>
        </w:rPr>
        <w:t xml:space="preserve"> </w:t>
      </w:r>
      <w:r w:rsidRPr="008328B4">
        <w:rPr>
          <w:rStyle w:val="af7"/>
          <w:rFonts w:eastAsia="Guttman Hodes" w:hint="cs"/>
          <w:rtl/>
        </w:rPr>
        <w:t xml:space="preserve">(עי' אות </w:t>
      </w:r>
      <w:r w:rsidRPr="008328B4">
        <w:rPr>
          <w:rStyle w:val="af7"/>
          <w:rFonts w:eastAsia="Guttman Hodes"/>
          <w:rtl/>
        </w:rPr>
        <w:fldChar w:fldCharType="begin"/>
      </w:r>
      <w:r w:rsidRPr="008328B4">
        <w:rPr>
          <w:rStyle w:val="af7"/>
          <w:rFonts w:eastAsia="Guttman Hodes"/>
          <w:rtl/>
        </w:rPr>
        <w:instrText xml:space="preserve"> </w:instrText>
      </w:r>
      <w:r w:rsidRPr="008328B4">
        <w:rPr>
          <w:rStyle w:val="af7"/>
          <w:rFonts w:eastAsia="Guttman Hodes" w:hint="cs"/>
        </w:rPr>
        <w:instrText>REF</w:instrText>
      </w:r>
      <w:r w:rsidRPr="008328B4">
        <w:rPr>
          <w:rStyle w:val="af7"/>
          <w:rFonts w:eastAsia="Guttman Hodes" w:hint="cs"/>
          <w:rtl/>
        </w:rPr>
        <w:instrText xml:space="preserve"> _</w:instrText>
      </w:r>
      <w:r w:rsidRPr="008328B4">
        <w:rPr>
          <w:rStyle w:val="af7"/>
          <w:rFonts w:eastAsia="Guttman Hodes" w:hint="cs"/>
        </w:rPr>
        <w:instrText>Ref535095832 \r \h</w:instrText>
      </w:r>
      <w:r w:rsidRPr="008328B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8328B4">
        <w:rPr>
          <w:rStyle w:val="af7"/>
          <w:rFonts w:eastAsia="Guttman Hodes"/>
          <w:rtl/>
        </w:rPr>
      </w:r>
      <w:r w:rsidRPr="008328B4">
        <w:rPr>
          <w:rStyle w:val="af7"/>
          <w:rFonts w:eastAsia="Guttman Hodes"/>
          <w:rtl/>
        </w:rPr>
        <w:fldChar w:fldCharType="separate"/>
      </w:r>
      <w:r w:rsidR="00345400">
        <w:rPr>
          <w:rStyle w:val="af7"/>
          <w:rFonts w:eastAsia="Guttman Hodes"/>
          <w:cs/>
        </w:rPr>
        <w:t>‎</w:t>
      </w:r>
      <w:r w:rsidR="00345400">
        <w:rPr>
          <w:rStyle w:val="af7"/>
          <w:rFonts w:eastAsia="Guttman Hodes"/>
          <w:rtl/>
        </w:rPr>
        <w:t>עג)</w:t>
      </w:r>
      <w:r w:rsidRPr="008328B4">
        <w:rPr>
          <w:rStyle w:val="af7"/>
          <w:rFonts w:eastAsia="Guttman Hodes"/>
          <w:rtl/>
        </w:rPr>
        <w:fldChar w:fldCharType="end"/>
      </w:r>
      <w:r w:rsidRPr="008328B4">
        <w:rPr>
          <w:rFonts w:hint="cs"/>
          <w:rtl/>
        </w:rPr>
        <w:t xml:space="preserve"> דיש בעובר ב' דינים שונים</w:t>
      </w:r>
      <w:r>
        <w:rPr>
          <w:rFonts w:hint="cs"/>
          <w:rtl/>
        </w:rPr>
        <w:t>, שהם מכח דין אחד</w:t>
      </w:r>
      <w:r w:rsidRPr="008328B4">
        <w:rPr>
          <w:rFonts w:hint="cs"/>
          <w:rtl/>
        </w:rPr>
        <w:t>.</w:t>
      </w:r>
      <w:r>
        <w:rPr>
          <w:rFonts w:hint="cs"/>
          <w:rtl/>
        </w:rPr>
        <w:t xml:space="preserve"> [ועי' בדברי </w:t>
      </w:r>
      <w:r w:rsidRPr="00194174">
        <w:rPr>
          <w:rStyle w:val="af9"/>
          <w:rFonts w:hint="cs"/>
          <w:rtl/>
        </w:rPr>
        <w:t>הבעה"מ לקמן</w:t>
      </w:r>
      <w:r>
        <w:rPr>
          <w:rFonts w:hint="cs"/>
          <w:rtl/>
        </w:rPr>
        <w:t xml:space="preserve"> </w:t>
      </w:r>
      <w:r w:rsidRPr="00194174">
        <w:rPr>
          <w:rStyle w:val="af7"/>
          <w:rFonts w:eastAsia="Guttman Hodes" w:hint="cs"/>
          <w:rtl/>
        </w:rPr>
        <w:t xml:space="preserve">(כה. מדפי הרי"ף ד"ה מאן) </w:t>
      </w:r>
      <w:r>
        <w:rPr>
          <w:rFonts w:hint="cs"/>
          <w:rtl/>
        </w:rPr>
        <w:t>דמשמע דס"ל דנחלקו בזה ריו"ח ור"ל].</w:t>
      </w:r>
      <w:bookmarkEnd w:id="15392"/>
    </w:p>
    <w:p w14:paraId="10C18091" w14:textId="77777777" w:rsidR="003D504D" w:rsidRPr="00573D2B" w:rsidRDefault="003D504D" w:rsidP="00BF39B2">
      <w:pPr>
        <w:pStyle w:val="1"/>
        <w:rPr>
          <w:rtl/>
        </w:rPr>
      </w:pPr>
      <w:bookmarkStart w:id="15393" w:name="_Toc535089795"/>
      <w:bookmarkStart w:id="15394" w:name="_Toc535095882"/>
      <w:bookmarkStart w:id="15395" w:name="_Toc535302110"/>
      <w:bookmarkStart w:id="15396" w:name="_Toc535526171"/>
      <w:bookmarkStart w:id="15397" w:name="_Toc535574865"/>
      <w:bookmarkStart w:id="15398" w:name="_Toc535702321"/>
      <w:bookmarkStart w:id="15399" w:name="_Toc535750463"/>
      <w:bookmarkStart w:id="15400" w:name="_Toc19391017"/>
      <w:bookmarkStart w:id="15401" w:name="_Toc19394514"/>
      <w:r w:rsidRPr="00573D2B">
        <w:rPr>
          <w:rFonts w:hint="cs"/>
          <w:rtl/>
        </w:rPr>
        <w:t>דעת הרא"ש</w:t>
      </w:r>
      <w:r>
        <w:rPr>
          <w:rFonts w:hint="cs"/>
          <w:rtl/>
        </w:rPr>
        <w:t xml:space="preserve"> דחותך מעובר מותר מגזיה"כ</w:t>
      </w:r>
      <w:bookmarkEnd w:id="15393"/>
      <w:bookmarkEnd w:id="15394"/>
      <w:bookmarkEnd w:id="15395"/>
      <w:r>
        <w:rPr>
          <w:rFonts w:hint="cs"/>
          <w:rtl/>
        </w:rPr>
        <w:t xml:space="preserve"> כשאר איסורים</w:t>
      </w:r>
      <w:bookmarkEnd w:id="15396"/>
      <w:bookmarkEnd w:id="15397"/>
      <w:bookmarkEnd w:id="15398"/>
      <w:bookmarkEnd w:id="15399"/>
      <w:bookmarkEnd w:id="15400"/>
      <w:bookmarkEnd w:id="15401"/>
    </w:p>
    <w:p w14:paraId="6A6E003F" w14:textId="77777777" w:rsidR="003D504D" w:rsidRPr="006520CF" w:rsidRDefault="003D504D" w:rsidP="003D504D">
      <w:pPr>
        <w:pStyle w:val="a3"/>
        <w:rPr>
          <w:rtl/>
        </w:rPr>
      </w:pPr>
      <w:bookmarkStart w:id="15402" w:name="_Toc535526172"/>
      <w:bookmarkStart w:id="15403" w:name="_Toc535574866"/>
      <w:bookmarkStart w:id="15404" w:name="_Toc535702322"/>
      <w:bookmarkStart w:id="15405" w:name="_Toc535750464"/>
      <w:bookmarkStart w:id="15406" w:name="_Toc19391018"/>
      <w:bookmarkStart w:id="15407" w:name="_Toc19394515"/>
      <w:r>
        <w:rPr>
          <w:rFonts w:hint="cs"/>
          <w:rtl/>
        </w:rPr>
        <w:t xml:space="preserve">דברי הרא"ש דמההיתר בחותך מעובר מוכח דההיתר בבן פקועה הוא מגזיה"כ </w:t>
      </w:r>
      <w:r>
        <w:rPr>
          <w:rtl/>
        </w:rPr>
        <w:t>"</w:t>
      </w:r>
      <w:r>
        <w:rPr>
          <w:rFonts w:hint="cs"/>
          <w:rtl/>
        </w:rPr>
        <w:t>כל בבהמה</w:t>
      </w:r>
      <w:r>
        <w:rPr>
          <w:rtl/>
        </w:rPr>
        <w:t>"</w:t>
      </w:r>
      <w:bookmarkEnd w:id="15402"/>
      <w:bookmarkEnd w:id="15403"/>
      <w:bookmarkEnd w:id="15404"/>
      <w:bookmarkEnd w:id="15405"/>
      <w:bookmarkEnd w:id="15406"/>
      <w:bookmarkEnd w:id="15407"/>
    </w:p>
    <w:p w14:paraId="190C509C" w14:textId="77777777" w:rsidR="003D504D" w:rsidRDefault="003D504D" w:rsidP="00223668">
      <w:pPr>
        <w:pStyle w:val="a0"/>
        <w:rPr>
          <w:rtl/>
        </w:rPr>
      </w:pPr>
      <w:r>
        <w:rPr>
          <w:rtl/>
        </w:rPr>
        <w:t xml:space="preserve">כתב </w:t>
      </w:r>
      <w:r>
        <w:rPr>
          <w:rStyle w:val="af9"/>
          <w:rtl/>
        </w:rPr>
        <w:t xml:space="preserve">הרא"ש לקמן </w:t>
      </w:r>
      <w:r>
        <w:rPr>
          <w:rStyle w:val="af7"/>
          <w:rFonts w:eastAsiaTheme="minorHAnsi" w:hint="cs"/>
          <w:rtl/>
        </w:rPr>
        <w:t>(סי' ה')</w:t>
      </w:r>
      <w:r>
        <w:rPr>
          <w:rtl/>
        </w:rPr>
        <w:t xml:space="preserve"> דמהא דאיתא במתני' דהחותך מעובר במעי בהמה ושחטה מותר באכילה, </w:t>
      </w:r>
      <w:r>
        <w:rPr>
          <w:rFonts w:hint="cs"/>
          <w:rtl/>
        </w:rPr>
        <w:t xml:space="preserve">אבל </w:t>
      </w:r>
      <w:r>
        <w:rPr>
          <w:rtl/>
        </w:rPr>
        <w:t xml:space="preserve">אם חתך מן הטחול ומן הכליות של </w:t>
      </w:r>
      <w:r>
        <w:rPr>
          <w:rFonts w:hint="cs"/>
          <w:rtl/>
        </w:rPr>
        <w:t>ה</w:t>
      </w:r>
      <w:r>
        <w:rPr>
          <w:rtl/>
        </w:rPr>
        <w:t xml:space="preserve">בהמה עצמה </w:t>
      </w:r>
      <w:r w:rsidRPr="006F1A80">
        <w:rPr>
          <w:rStyle w:val="afb"/>
          <w:rFonts w:hint="cs"/>
          <w:rtl/>
        </w:rPr>
        <w:t>[והניחה בתוך מעיה ושחטה]</w:t>
      </w:r>
      <w:r>
        <w:rPr>
          <w:rFonts w:hint="cs"/>
          <w:rtl/>
        </w:rPr>
        <w:t xml:space="preserve"> </w:t>
      </w:r>
      <w:r>
        <w:rPr>
          <w:rtl/>
        </w:rPr>
        <w:t>אסור באכילה, מבואר דבבן פקועה יש גזיה</w:t>
      </w:r>
      <w:r>
        <w:rPr>
          <w:rFonts w:hint="cs"/>
          <w:rtl/>
        </w:rPr>
        <w:t>"</w:t>
      </w:r>
      <w:r>
        <w:rPr>
          <w:rtl/>
        </w:rPr>
        <w:t xml:space="preserve">כ שמתירתו דנאמר בו </w:t>
      </w:r>
      <w:r>
        <w:rPr>
          <w:rFonts w:hint="cs"/>
          <w:rtl/>
        </w:rPr>
        <w:t xml:space="preserve">היתר </w:t>
      </w:r>
      <w:r>
        <w:rPr>
          <w:rtl/>
        </w:rPr>
        <w:t>"</w:t>
      </w:r>
      <w:r>
        <w:rPr>
          <w:rFonts w:hint="cs"/>
          <w:rtl/>
        </w:rPr>
        <w:t>כל בבהמה</w:t>
      </w:r>
      <w:r>
        <w:rPr>
          <w:rtl/>
        </w:rPr>
        <w:t>".</w:t>
      </w:r>
    </w:p>
    <w:p w14:paraId="087D390E" w14:textId="77777777" w:rsidR="003D504D" w:rsidRPr="006D4C29" w:rsidRDefault="003D504D" w:rsidP="003D504D">
      <w:pPr>
        <w:pStyle w:val="a3"/>
        <w:rPr>
          <w:rtl/>
        </w:rPr>
      </w:pPr>
      <w:bookmarkStart w:id="15408" w:name="_Toc535526173"/>
      <w:bookmarkStart w:id="15409" w:name="_Toc535574867"/>
      <w:bookmarkStart w:id="15410" w:name="_Toc535702323"/>
      <w:bookmarkStart w:id="15411" w:name="_Toc535750465"/>
      <w:bookmarkStart w:id="15412" w:name="_Toc19391019"/>
      <w:bookmarkStart w:id="15413" w:name="_Toc19394516"/>
      <w:r>
        <w:rPr>
          <w:rFonts w:hint="cs"/>
          <w:rtl/>
        </w:rPr>
        <w:t>ביאור הנאות יעקב דכוונת הרא"ש שיש היתר בבן פקועה לכל האיסורים שבו ולא חשיב כשחוט</w:t>
      </w:r>
      <w:bookmarkEnd w:id="15408"/>
      <w:bookmarkEnd w:id="15409"/>
      <w:bookmarkEnd w:id="15410"/>
      <w:bookmarkEnd w:id="15411"/>
      <w:bookmarkEnd w:id="15412"/>
      <w:bookmarkEnd w:id="15413"/>
    </w:p>
    <w:p w14:paraId="47029365" w14:textId="77777777" w:rsidR="003D504D" w:rsidRPr="002A09B2" w:rsidRDefault="003D504D" w:rsidP="00223668">
      <w:pPr>
        <w:pStyle w:val="a0"/>
        <w:rPr>
          <w:rStyle w:val="afb"/>
          <w:rtl/>
        </w:rPr>
      </w:pPr>
      <w:bookmarkStart w:id="15414" w:name="_Ref534965705"/>
      <w:r w:rsidRPr="006D4C29">
        <w:rPr>
          <w:rtl/>
        </w:rPr>
        <w:t xml:space="preserve">וכתב </w:t>
      </w:r>
      <w:r w:rsidRPr="006D4C29">
        <w:rPr>
          <w:rStyle w:val="af9"/>
          <w:rtl/>
        </w:rPr>
        <w:t>הנאות יעקב</w:t>
      </w:r>
      <w:r w:rsidRPr="006D4C29">
        <w:rPr>
          <w:rtl/>
        </w:rPr>
        <w:t xml:space="preserve"> </w:t>
      </w:r>
      <w:r w:rsidRPr="006D4C29">
        <w:rPr>
          <w:rStyle w:val="af7"/>
          <w:rFonts w:eastAsiaTheme="minorHAnsi" w:hint="cs"/>
          <w:rtl/>
        </w:rPr>
        <w:t>(סי' כ"ב ס"ק ו' ד"ה ולדידי)</w:t>
      </w:r>
      <w:r w:rsidRPr="006D4C29">
        <w:rPr>
          <w:rtl/>
        </w:rPr>
        <w:t xml:space="preserve"> דמבואר מדברי </w:t>
      </w:r>
      <w:r w:rsidRPr="006D4C29">
        <w:rPr>
          <w:rStyle w:val="af9"/>
          <w:rtl/>
        </w:rPr>
        <w:t>הרא"ש</w:t>
      </w:r>
      <w:r w:rsidRPr="006D4C29">
        <w:rPr>
          <w:rtl/>
        </w:rPr>
        <w:t xml:space="preserve"> דבבן פקועה יש היתר מיוחד דמתיר את כל האיסורים שבו, ואינו רק מדין שחיטת אמו דחשיב שהוא עצמו שחוט, דהא א</w:t>
      </w:r>
      <w:r w:rsidRPr="006D4C29">
        <w:rPr>
          <w:rFonts w:hint="cs"/>
          <w:rtl/>
        </w:rPr>
        <w:t>"</w:t>
      </w:r>
      <w:r w:rsidRPr="006D4C29">
        <w:rPr>
          <w:rtl/>
        </w:rPr>
        <w:t>א לומר שהחתיכה חשיבא שנשחטה</w:t>
      </w:r>
      <w:r>
        <w:rPr>
          <w:rFonts w:hint="cs"/>
          <w:rtl/>
        </w:rPr>
        <w:t xml:space="preserve">, </w:t>
      </w:r>
      <w:r w:rsidRPr="008B485B">
        <w:rPr>
          <w:rStyle w:val="afb"/>
          <w:rFonts w:hint="cs"/>
          <w:rtl/>
        </w:rPr>
        <w:t>[דהא אין  לה סימנים שתשחט בהם]</w:t>
      </w:r>
      <w:r w:rsidRPr="006D4C29">
        <w:rPr>
          <w:rtl/>
        </w:rPr>
        <w:t>. וכ</w:t>
      </w:r>
      <w:r w:rsidRPr="006D4C29">
        <w:rPr>
          <w:rFonts w:hint="cs"/>
          <w:rtl/>
        </w:rPr>
        <w:t>"</w:t>
      </w:r>
      <w:r w:rsidRPr="006D4C29">
        <w:rPr>
          <w:rtl/>
        </w:rPr>
        <w:t xml:space="preserve">כ </w:t>
      </w:r>
      <w:r w:rsidRPr="006D4C29">
        <w:rPr>
          <w:rStyle w:val="af9"/>
          <w:rtl/>
        </w:rPr>
        <w:t>השער"י</w:t>
      </w:r>
      <w:r w:rsidRPr="006D4C29">
        <w:rPr>
          <w:rtl/>
        </w:rPr>
        <w:t xml:space="preserve"> </w:t>
      </w:r>
      <w:r w:rsidRPr="006D4C29">
        <w:rPr>
          <w:rStyle w:val="af7"/>
          <w:rFonts w:eastAsiaTheme="minorHAnsi" w:hint="cs"/>
          <w:rtl/>
        </w:rPr>
        <w:t xml:space="preserve">(עי' אות </w:t>
      </w:r>
      <w:r w:rsidRPr="006D4C29">
        <w:rPr>
          <w:rStyle w:val="af7"/>
          <w:rFonts w:eastAsiaTheme="minorHAnsi" w:hint="cs"/>
          <w:rtl/>
        </w:rPr>
        <w:fldChar w:fldCharType="begin"/>
      </w:r>
      <w:r w:rsidRPr="006D4C29">
        <w:rPr>
          <w:rStyle w:val="af7"/>
          <w:rFonts w:eastAsiaTheme="minorHAnsi" w:hint="cs"/>
          <w:rtl/>
        </w:rPr>
        <w:instrText xml:space="preserve"> </w:instrText>
      </w:r>
      <w:r w:rsidRPr="006D4C29">
        <w:rPr>
          <w:rStyle w:val="af7"/>
          <w:rFonts w:eastAsiaTheme="minorHAnsi"/>
        </w:rPr>
        <w:instrText>REF</w:instrText>
      </w:r>
      <w:r w:rsidRPr="006D4C29">
        <w:rPr>
          <w:rStyle w:val="af7"/>
          <w:rFonts w:eastAsiaTheme="minorHAnsi" w:hint="cs"/>
          <w:rtl/>
        </w:rPr>
        <w:instrText xml:space="preserve"> _</w:instrText>
      </w:r>
      <w:r w:rsidRPr="006D4C29">
        <w:rPr>
          <w:rStyle w:val="af7"/>
          <w:rFonts w:eastAsiaTheme="minorHAnsi"/>
        </w:rPr>
        <w:instrText>Ref533699864 \r \h</w:instrText>
      </w:r>
      <w:r w:rsidRPr="006D4C29">
        <w:rPr>
          <w:rStyle w:val="af7"/>
          <w:rFonts w:eastAsiaTheme="minorHAnsi" w:hint="cs"/>
          <w:rtl/>
        </w:rPr>
        <w:instrText xml:space="preserve"> </w:instrText>
      </w:r>
      <w:r>
        <w:rPr>
          <w:rStyle w:val="af7"/>
          <w:rFonts w:eastAsiaTheme="minorHAnsi"/>
          <w:rtl/>
        </w:rPr>
        <w:instrText xml:space="preserve"> \* </w:instrText>
      </w:r>
      <w:r>
        <w:rPr>
          <w:rStyle w:val="af7"/>
          <w:rFonts w:eastAsiaTheme="minorHAnsi"/>
        </w:rPr>
        <w:instrText>MERGEFORMAT</w:instrText>
      </w:r>
      <w:r>
        <w:rPr>
          <w:rStyle w:val="af7"/>
          <w:rFonts w:eastAsiaTheme="minorHAnsi"/>
          <w:rtl/>
        </w:rPr>
        <w:instrText xml:space="preserve"> </w:instrText>
      </w:r>
      <w:r w:rsidRPr="006D4C29">
        <w:rPr>
          <w:rStyle w:val="af7"/>
          <w:rFonts w:eastAsiaTheme="minorHAnsi" w:hint="cs"/>
          <w:rtl/>
        </w:rPr>
      </w:r>
      <w:r w:rsidRPr="006D4C29">
        <w:rPr>
          <w:rStyle w:val="af7"/>
          <w:rFonts w:eastAsiaTheme="minorHAnsi" w:hint="cs"/>
          <w:rtl/>
        </w:rPr>
        <w:fldChar w:fldCharType="separate"/>
      </w:r>
      <w:r w:rsidR="00345400">
        <w:rPr>
          <w:rStyle w:val="af7"/>
          <w:rFonts w:eastAsiaTheme="minorHAnsi" w:hint="eastAsia"/>
          <w:cs/>
        </w:rPr>
        <w:t>‎</w:t>
      </w:r>
      <w:r w:rsidR="00345400">
        <w:rPr>
          <w:rStyle w:val="af7"/>
          <w:rFonts w:eastAsiaTheme="minorHAnsi" w:hint="eastAsia"/>
          <w:rtl/>
        </w:rPr>
        <w:t>ע</w:t>
      </w:r>
      <w:r w:rsidR="00345400">
        <w:rPr>
          <w:rStyle w:val="af7"/>
          <w:rFonts w:eastAsiaTheme="minorHAnsi"/>
          <w:rtl/>
        </w:rPr>
        <w:t>)</w:t>
      </w:r>
      <w:r w:rsidRPr="006D4C29">
        <w:rPr>
          <w:rStyle w:val="af7"/>
          <w:rFonts w:eastAsiaTheme="minorHAnsi" w:hint="cs"/>
          <w:rtl/>
        </w:rPr>
        <w:fldChar w:fldCharType="end"/>
      </w:r>
      <w:r w:rsidRPr="006D4C29">
        <w:rPr>
          <w:rtl/>
        </w:rPr>
        <w:t xml:space="preserve"> </w:t>
      </w:r>
      <w:r>
        <w:rPr>
          <w:rFonts w:hint="cs"/>
          <w:rtl/>
        </w:rPr>
        <w:t xml:space="preserve">דזהו הביאור בהיתר חותך מעובר במעי אמו, ועי' במה שביאר </w:t>
      </w:r>
      <w:r w:rsidRPr="00E86DB4">
        <w:rPr>
          <w:rStyle w:val="af9"/>
          <w:rFonts w:hint="cs"/>
          <w:rtl/>
        </w:rPr>
        <w:t>הקה"י</w:t>
      </w:r>
      <w:r>
        <w:rPr>
          <w:rFonts w:hint="cs"/>
          <w:rtl/>
        </w:rPr>
        <w:t xml:space="preserve"> </w:t>
      </w:r>
      <w:r w:rsidRPr="00E86DB4">
        <w:rPr>
          <w:rStyle w:val="af7"/>
          <w:rFonts w:eastAsia="Guttman Hodes" w:hint="cs"/>
          <w:rtl/>
        </w:rPr>
        <w:t xml:space="preserve">(עי' אות </w:t>
      </w:r>
      <w:r w:rsidRPr="00E86DB4">
        <w:rPr>
          <w:rStyle w:val="af7"/>
          <w:rFonts w:eastAsia="Guttman Hodes"/>
          <w:rtl/>
        </w:rPr>
        <w:fldChar w:fldCharType="begin"/>
      </w:r>
      <w:r w:rsidRPr="00E86DB4">
        <w:rPr>
          <w:rStyle w:val="af7"/>
          <w:rFonts w:eastAsia="Guttman Hodes"/>
          <w:rtl/>
        </w:rPr>
        <w:instrText xml:space="preserve"> </w:instrText>
      </w:r>
      <w:r w:rsidRPr="00E86DB4">
        <w:rPr>
          <w:rStyle w:val="af7"/>
          <w:rFonts w:eastAsia="Guttman Hodes"/>
        </w:rPr>
        <w:instrText>REF</w:instrText>
      </w:r>
      <w:r w:rsidRPr="00E86DB4">
        <w:rPr>
          <w:rStyle w:val="af7"/>
          <w:rFonts w:eastAsia="Guttman Hodes"/>
          <w:rtl/>
        </w:rPr>
        <w:instrText xml:space="preserve"> _</w:instrText>
      </w:r>
      <w:r w:rsidRPr="00E86DB4">
        <w:rPr>
          <w:rStyle w:val="af7"/>
          <w:rFonts w:eastAsia="Guttman Hodes"/>
        </w:rPr>
        <w:instrText>Ref533930894 \r \h</w:instrText>
      </w:r>
      <w:r w:rsidRPr="00E86DB4">
        <w:rPr>
          <w:rStyle w:val="af7"/>
          <w:rFonts w:eastAsia="Guttman Hodes"/>
          <w:rtl/>
        </w:rPr>
        <w:instrText xml:space="preserve"> </w:instrText>
      </w:r>
      <w:r w:rsidRPr="00E86DB4">
        <w:rPr>
          <w:rStyle w:val="af7"/>
          <w:rFonts w:eastAsia="Guttman Hodes"/>
          <w:rtl/>
        </w:rPr>
      </w:r>
      <w:r w:rsidRPr="00E86DB4">
        <w:rPr>
          <w:rStyle w:val="af7"/>
          <w:rFonts w:eastAsia="Guttman Hodes"/>
          <w:rtl/>
        </w:rPr>
        <w:fldChar w:fldCharType="separate"/>
      </w:r>
      <w:r w:rsidR="00345400">
        <w:rPr>
          <w:rStyle w:val="af7"/>
          <w:rFonts w:eastAsia="Guttman Hodes"/>
          <w:cs/>
        </w:rPr>
        <w:t>‎</w:t>
      </w:r>
      <w:r w:rsidR="00345400">
        <w:rPr>
          <w:rStyle w:val="af7"/>
          <w:rFonts w:eastAsia="Guttman Hodes"/>
          <w:rtl/>
        </w:rPr>
        <w:t>עג)</w:t>
      </w:r>
      <w:r w:rsidRPr="00E86DB4">
        <w:rPr>
          <w:rStyle w:val="af7"/>
          <w:rFonts w:eastAsia="Guttman Hodes"/>
          <w:rtl/>
        </w:rPr>
        <w:fldChar w:fldCharType="end"/>
      </w:r>
      <w:r>
        <w:rPr>
          <w:rStyle w:val="af1"/>
          <w:rtl/>
        </w:rPr>
        <w:footnoteReference w:id="99"/>
      </w:r>
      <w:r w:rsidRPr="006D4C29">
        <w:rPr>
          <w:rtl/>
        </w:rPr>
        <w:t>.</w:t>
      </w:r>
      <w:bookmarkEnd w:id="15414"/>
    </w:p>
    <w:p w14:paraId="48DD6434" w14:textId="77777777" w:rsidR="003D504D" w:rsidRPr="00FD1F1F" w:rsidRDefault="003D504D" w:rsidP="003D504D">
      <w:pPr>
        <w:pStyle w:val="a3"/>
      </w:pPr>
      <w:bookmarkStart w:id="15415" w:name="_Toc535526174"/>
      <w:bookmarkStart w:id="15416" w:name="_Toc535574868"/>
      <w:bookmarkStart w:id="15417" w:name="_Toc535702324"/>
      <w:bookmarkStart w:id="15418" w:name="_Toc535750466"/>
      <w:bookmarkStart w:id="15419" w:name="_Toc19391020"/>
      <w:bookmarkStart w:id="15420" w:name="_Toc19394517"/>
      <w:r>
        <w:rPr>
          <w:rFonts w:hint="cs"/>
          <w:rtl/>
        </w:rPr>
        <w:t>דברי הרא"ש דאף החלב של העובר מותר מגזיה"כ ומדינא אף דמו היה צריך להיות מותר</w:t>
      </w:r>
      <w:bookmarkEnd w:id="15415"/>
      <w:bookmarkEnd w:id="15416"/>
      <w:bookmarkEnd w:id="15417"/>
      <w:bookmarkEnd w:id="15418"/>
      <w:bookmarkEnd w:id="15419"/>
      <w:bookmarkEnd w:id="15420"/>
    </w:p>
    <w:p w14:paraId="705A08E9" w14:textId="77777777" w:rsidR="003D504D" w:rsidRDefault="003D504D" w:rsidP="00223668">
      <w:pPr>
        <w:pStyle w:val="a0"/>
        <w:rPr>
          <w:rtl/>
        </w:rPr>
      </w:pPr>
      <w:r>
        <w:rPr>
          <w:rFonts w:hint="cs"/>
          <w:rtl/>
        </w:rPr>
        <w:t xml:space="preserve">ועו"כ </w:t>
      </w:r>
      <w:r w:rsidRPr="00FD1F1F">
        <w:rPr>
          <w:rStyle w:val="af9"/>
          <w:rFonts w:hint="cs"/>
          <w:rtl/>
        </w:rPr>
        <w:t>הרא"ש</w:t>
      </w:r>
      <w:r>
        <w:rPr>
          <w:rFonts w:hint="cs"/>
          <w:rtl/>
        </w:rPr>
        <w:t xml:space="preserve"> דכיון שיש בו היתר </w:t>
      </w:r>
      <w:r>
        <w:rPr>
          <w:rtl/>
        </w:rPr>
        <w:t>"</w:t>
      </w:r>
      <w:r>
        <w:rPr>
          <w:rFonts w:hint="cs"/>
          <w:rtl/>
        </w:rPr>
        <w:t>כל בבהמה</w:t>
      </w:r>
      <w:r>
        <w:rPr>
          <w:rtl/>
        </w:rPr>
        <w:t>"</w:t>
      </w:r>
      <w:r>
        <w:rPr>
          <w:rFonts w:hint="cs"/>
          <w:rtl/>
        </w:rPr>
        <w:t xml:space="preserve"> אף חלבו מותר בשחיטת אמו,</w:t>
      </w:r>
      <w:r w:rsidRPr="003708C0">
        <w:rPr>
          <w:rStyle w:val="afb"/>
          <w:rFonts w:hint="cs"/>
          <w:rtl/>
        </w:rPr>
        <w:t xml:space="preserve"> [אף לדעת ריו"ח</w:t>
      </w:r>
      <w:r>
        <w:rPr>
          <w:rStyle w:val="afb"/>
          <w:rFonts w:hint="cs"/>
          <w:rtl/>
        </w:rPr>
        <w:t xml:space="preserve"> לקמן </w:t>
      </w:r>
      <w:r w:rsidRPr="009C202D">
        <w:rPr>
          <w:rStyle w:val="aff6"/>
          <w:rFonts w:hint="cs"/>
          <w:rtl/>
        </w:rPr>
        <w:t xml:space="preserve">(עד:) </w:t>
      </w:r>
      <w:r w:rsidRPr="003708C0">
        <w:rPr>
          <w:rStyle w:val="afb"/>
          <w:rFonts w:hint="cs"/>
          <w:rtl/>
        </w:rPr>
        <w:t xml:space="preserve">דס"ל דיש בו דין חלב, ואם הושיט ידו למעי בהמה ותלש חלב מהעובר, חייב כרת, מ"מ כתב </w:t>
      </w:r>
      <w:r w:rsidRPr="003708C0">
        <w:rPr>
          <w:rStyle w:val="affa"/>
          <w:rFonts w:hint="cs"/>
          <w:rtl/>
        </w:rPr>
        <w:t>הרא"ש</w:t>
      </w:r>
      <w:r w:rsidRPr="003708C0">
        <w:rPr>
          <w:rStyle w:val="afb"/>
          <w:rFonts w:hint="cs"/>
          <w:rtl/>
        </w:rPr>
        <w:t xml:space="preserve"> דמודה ריו"ח </w:t>
      </w:r>
      <w:r>
        <w:rPr>
          <w:rStyle w:val="afb"/>
          <w:rFonts w:hint="cs"/>
          <w:rtl/>
        </w:rPr>
        <w:t xml:space="preserve">דלדעת רבי יהודה </w:t>
      </w:r>
      <w:r w:rsidRPr="003708C0">
        <w:rPr>
          <w:rStyle w:val="afb"/>
          <w:rFonts w:hint="cs"/>
          <w:rtl/>
        </w:rPr>
        <w:t>הותר חלבו בשחיטת אמו]</w:t>
      </w:r>
      <w:r>
        <w:rPr>
          <w:rStyle w:val="afb"/>
          <w:rFonts w:hint="cs"/>
          <w:rtl/>
        </w:rPr>
        <w:t>.</w:t>
      </w:r>
      <w:r w:rsidRPr="0042649E">
        <w:rPr>
          <w:rFonts w:hint="cs"/>
        </w:rPr>
        <w:t xml:space="preserve"> </w:t>
      </w:r>
      <w:r w:rsidRPr="0042649E">
        <w:rPr>
          <w:rFonts w:hint="cs"/>
          <w:rtl/>
        </w:rPr>
        <w:t>והו</w:t>
      </w:r>
      <w:r>
        <w:rPr>
          <w:rFonts w:hint="cs"/>
          <w:rtl/>
        </w:rPr>
        <w:t xml:space="preserve">סיף </w:t>
      </w:r>
      <w:r w:rsidRPr="003708C0">
        <w:rPr>
          <w:rStyle w:val="af9"/>
          <w:rFonts w:hint="cs"/>
          <w:rtl/>
        </w:rPr>
        <w:t>הרא"ש</w:t>
      </w:r>
      <w:r>
        <w:rPr>
          <w:rFonts w:hint="cs"/>
          <w:rtl/>
        </w:rPr>
        <w:t xml:space="preserve"> דאף דמו של העובר צריך להיות מותר מדין היתר </w:t>
      </w:r>
      <w:r>
        <w:rPr>
          <w:rtl/>
        </w:rPr>
        <w:t>"</w:t>
      </w:r>
      <w:r>
        <w:rPr>
          <w:rFonts w:hint="cs"/>
          <w:rtl/>
        </w:rPr>
        <w:t>כל בבהמה</w:t>
      </w:r>
      <w:r>
        <w:rPr>
          <w:rtl/>
        </w:rPr>
        <w:t>"</w:t>
      </w:r>
      <w:r>
        <w:rPr>
          <w:rFonts w:hint="cs"/>
          <w:rtl/>
        </w:rPr>
        <w:t xml:space="preserve">, אלא דכיון שהדם נבלע בכל הגוף, חשיב כדם האברים של הבהמה </w:t>
      </w:r>
      <w:r w:rsidRPr="00F6212D">
        <w:rPr>
          <w:rFonts w:hint="cs"/>
          <w:rtl/>
        </w:rPr>
        <w:t>עצמה</w:t>
      </w:r>
      <w:r>
        <w:rPr>
          <w:rFonts w:hint="cs"/>
          <w:rtl/>
        </w:rPr>
        <w:t xml:space="preserve">, ולכן דמו אסור, ועי' במה שביאר </w:t>
      </w:r>
      <w:r w:rsidRPr="00A50E03">
        <w:rPr>
          <w:rStyle w:val="af9"/>
          <w:rFonts w:hint="cs"/>
          <w:rtl/>
        </w:rPr>
        <w:t>הגרש"ר</w:t>
      </w:r>
      <w:r>
        <w:rPr>
          <w:rFonts w:hint="cs"/>
          <w:rtl/>
        </w:rPr>
        <w:t xml:space="preserve"> </w:t>
      </w:r>
      <w:r w:rsidRPr="00A50E03">
        <w:rPr>
          <w:rStyle w:val="af7"/>
          <w:rFonts w:eastAsia="Guttman Hodes" w:hint="cs"/>
          <w:rtl/>
        </w:rPr>
        <w:t>(זכרון שמואל סי' ע"ד</w:t>
      </w:r>
      <w:r>
        <w:rPr>
          <w:rStyle w:val="af7"/>
          <w:rFonts w:eastAsia="Guttman Hodes" w:hint="cs"/>
          <w:rtl/>
        </w:rPr>
        <w:t xml:space="preserve"> ד')</w:t>
      </w:r>
      <w:r>
        <w:rPr>
          <w:rFonts w:hint="cs"/>
          <w:rtl/>
        </w:rPr>
        <w:t xml:space="preserve"> בדברי </w:t>
      </w:r>
      <w:r w:rsidRPr="0015396B">
        <w:rPr>
          <w:rStyle w:val="af9"/>
          <w:rFonts w:hint="cs"/>
          <w:rtl/>
        </w:rPr>
        <w:t>הרא"ש</w:t>
      </w:r>
      <w:r>
        <w:rPr>
          <w:rFonts w:hint="cs"/>
          <w:rtl/>
        </w:rPr>
        <w:t xml:space="preserve"> בחילוק בין דמו לחותך מעובר שבמעיה.</w:t>
      </w:r>
    </w:p>
    <w:p w14:paraId="4914D3AC" w14:textId="77777777" w:rsidR="003D504D" w:rsidRPr="00C41490" w:rsidRDefault="003D504D" w:rsidP="003D504D">
      <w:pPr>
        <w:pStyle w:val="a3"/>
      </w:pPr>
      <w:bookmarkStart w:id="15421" w:name="_Toc535526175"/>
      <w:bookmarkStart w:id="15422" w:name="_Toc535574869"/>
      <w:bookmarkStart w:id="15423" w:name="_Toc535702325"/>
      <w:bookmarkStart w:id="15424" w:name="_Toc535750467"/>
      <w:bookmarkStart w:id="15425" w:name="_Toc19391021"/>
      <w:bookmarkStart w:id="15426" w:name="_Toc19394518"/>
      <w:r>
        <w:rPr>
          <w:rFonts w:hint="cs"/>
          <w:rtl/>
        </w:rPr>
        <w:t>דברי הנאות יעקב דלדעת הרא"ש כל היאסורים שבעובר מותרים בשחיטת אמו</w:t>
      </w:r>
      <w:bookmarkEnd w:id="15421"/>
      <w:bookmarkEnd w:id="15422"/>
      <w:bookmarkEnd w:id="15423"/>
      <w:bookmarkEnd w:id="15424"/>
      <w:bookmarkEnd w:id="15425"/>
      <w:bookmarkEnd w:id="15426"/>
    </w:p>
    <w:p w14:paraId="3F093F3B" w14:textId="77777777" w:rsidR="003D504D" w:rsidRDefault="003D504D" w:rsidP="00223668">
      <w:pPr>
        <w:pStyle w:val="a0"/>
        <w:rPr>
          <w:rtl/>
        </w:rPr>
      </w:pPr>
      <w:r>
        <w:rPr>
          <w:rFonts w:hint="cs"/>
          <w:rtl/>
        </w:rPr>
        <w:t xml:space="preserve">וביאר </w:t>
      </w:r>
      <w:r w:rsidRPr="006D4C29">
        <w:rPr>
          <w:rStyle w:val="af9"/>
          <w:rtl/>
        </w:rPr>
        <w:t>הנאות יעקב</w:t>
      </w:r>
      <w:r w:rsidRPr="006D4C29">
        <w:rPr>
          <w:rtl/>
        </w:rPr>
        <w:t xml:space="preserve"> </w:t>
      </w:r>
      <w:r w:rsidRPr="006D4C29">
        <w:rPr>
          <w:rStyle w:val="af7"/>
          <w:rFonts w:eastAsiaTheme="minorHAnsi" w:hint="cs"/>
          <w:rtl/>
        </w:rPr>
        <w:t>(סי' כ"ב ס"ק ו' ד"ה ולדידי)</w:t>
      </w:r>
      <w:r w:rsidRPr="006D4C29">
        <w:rPr>
          <w:rtl/>
        </w:rPr>
        <w:t xml:space="preserve"> </w:t>
      </w:r>
      <w:r>
        <w:rPr>
          <w:rFonts w:hint="cs"/>
          <w:rtl/>
        </w:rPr>
        <w:t xml:space="preserve">דס"ל </w:t>
      </w:r>
      <w:r w:rsidRPr="007A303F">
        <w:rPr>
          <w:rStyle w:val="af9"/>
          <w:rFonts w:hint="cs"/>
          <w:rtl/>
        </w:rPr>
        <w:t>להרא"ש</w:t>
      </w:r>
      <w:r>
        <w:rPr>
          <w:rFonts w:hint="cs"/>
          <w:rtl/>
        </w:rPr>
        <w:t xml:space="preserve"> דע"י היתר </w:t>
      </w:r>
      <w:r>
        <w:rPr>
          <w:rtl/>
        </w:rPr>
        <w:t>"</w:t>
      </w:r>
      <w:r>
        <w:rPr>
          <w:rFonts w:hint="cs"/>
          <w:rtl/>
        </w:rPr>
        <w:t>כל בבהמה</w:t>
      </w:r>
      <w:r>
        <w:rPr>
          <w:rtl/>
        </w:rPr>
        <w:t>"</w:t>
      </w:r>
      <w:r>
        <w:rPr>
          <w:rFonts w:hint="cs"/>
          <w:rtl/>
        </w:rPr>
        <w:t>, הותרו כל האיסורים שבעובר בשחיטת אמו, ואף החלב והדם של העובר הותרו ע"י שחיטת אמו</w:t>
      </w:r>
      <w:r w:rsidRPr="00F6212D">
        <w:rPr>
          <w:rFonts w:hint="cs"/>
          <w:rtl/>
        </w:rPr>
        <w:t>.</w:t>
      </w:r>
    </w:p>
    <w:p w14:paraId="60CB9ACA" w14:textId="77777777" w:rsidR="003D504D" w:rsidRPr="002D16ED" w:rsidRDefault="003D504D" w:rsidP="00BF39B2">
      <w:pPr>
        <w:pStyle w:val="1"/>
        <w:rPr>
          <w:rtl/>
        </w:rPr>
      </w:pPr>
      <w:bookmarkStart w:id="15427" w:name="_Toc535302108"/>
      <w:bookmarkStart w:id="15428" w:name="_Toc535526176"/>
      <w:bookmarkStart w:id="15429" w:name="_Toc535574870"/>
      <w:bookmarkStart w:id="15430" w:name="_Toc535702326"/>
      <w:bookmarkStart w:id="15431" w:name="_Toc535750468"/>
      <w:bookmarkStart w:id="15432" w:name="_Toc19391022"/>
      <w:bookmarkStart w:id="15433" w:name="_Toc19394519"/>
      <w:r>
        <w:rPr>
          <w:rFonts w:hint="cs"/>
          <w:rtl/>
        </w:rPr>
        <w:t>פלוגתת הפרי תואר והתבו"ש אי ההיתר הוא אף בנולד העובר</w:t>
      </w:r>
      <w:bookmarkEnd w:id="15427"/>
      <w:bookmarkEnd w:id="15428"/>
      <w:bookmarkEnd w:id="15429"/>
      <w:bookmarkEnd w:id="15430"/>
      <w:bookmarkEnd w:id="15431"/>
      <w:bookmarkEnd w:id="15432"/>
      <w:bookmarkEnd w:id="15433"/>
    </w:p>
    <w:p w14:paraId="7DFE27D9" w14:textId="77777777" w:rsidR="003D504D" w:rsidRDefault="003D504D" w:rsidP="003D504D">
      <w:pPr>
        <w:pStyle w:val="a3"/>
        <w:rPr>
          <w:rtl/>
        </w:rPr>
      </w:pPr>
      <w:bookmarkStart w:id="15434" w:name="_Toc535526177"/>
      <w:bookmarkStart w:id="15435" w:name="_Toc535574871"/>
      <w:bookmarkStart w:id="15436" w:name="_Toc535702327"/>
      <w:bookmarkStart w:id="15437" w:name="_Toc535750469"/>
      <w:bookmarkStart w:id="15438" w:name="_Toc19391023"/>
      <w:bookmarkStart w:id="15439" w:name="_Toc19394520"/>
      <w:r>
        <w:rPr>
          <w:rFonts w:hint="cs"/>
          <w:rtl/>
        </w:rPr>
        <w:t>דברי הפרי תואר דבחותך מעובר החתיכה שבתוכה מותרת אף אם נולד העובר לפני השחיטה</w:t>
      </w:r>
      <w:bookmarkEnd w:id="15434"/>
      <w:bookmarkEnd w:id="15435"/>
      <w:bookmarkEnd w:id="15436"/>
      <w:bookmarkEnd w:id="15437"/>
      <w:bookmarkEnd w:id="15438"/>
      <w:bookmarkEnd w:id="15439"/>
    </w:p>
    <w:p w14:paraId="1A4BA253" w14:textId="77777777" w:rsidR="003D504D" w:rsidRDefault="003D504D" w:rsidP="00223668">
      <w:pPr>
        <w:pStyle w:val="a0"/>
        <w:rPr>
          <w:rStyle w:val="afb"/>
          <w:rtl/>
        </w:rPr>
      </w:pPr>
      <w:r>
        <w:rPr>
          <w:rFonts w:hint="cs"/>
          <w:rtl/>
        </w:rPr>
        <w:t xml:space="preserve">ועי' בדברי </w:t>
      </w:r>
      <w:r w:rsidRPr="003471EF">
        <w:rPr>
          <w:rStyle w:val="af9"/>
          <w:rtl/>
        </w:rPr>
        <w:t>הפרי תואר [לבעל האוה"ח]</w:t>
      </w:r>
      <w:r w:rsidRPr="003471EF">
        <w:rPr>
          <w:rStyle w:val="af9"/>
          <w:rFonts w:hint="cs"/>
          <w:rtl/>
        </w:rPr>
        <w:t xml:space="preserve"> </w:t>
      </w:r>
      <w:r w:rsidRPr="002C0C4D">
        <w:rPr>
          <w:rStyle w:val="af7"/>
          <w:rFonts w:eastAsia="Guttman Hodes" w:hint="cs"/>
          <w:rtl/>
        </w:rPr>
        <w:t>(</w:t>
      </w:r>
      <w:r>
        <w:rPr>
          <w:rStyle w:val="af1"/>
          <w:rtl/>
        </w:rPr>
        <w:footnoteReference w:id="100"/>
      </w:r>
      <w:r w:rsidRPr="002C0C4D">
        <w:rPr>
          <w:rStyle w:val="af7"/>
          <w:rFonts w:eastAsia="Guttman Hodes" w:hint="cs"/>
          <w:rtl/>
        </w:rPr>
        <w:t xml:space="preserve">סי' </w:t>
      </w:r>
      <w:r w:rsidRPr="00FE7220">
        <w:rPr>
          <w:rStyle w:val="af7"/>
          <w:rFonts w:eastAsia="Guttman Hodes" w:hint="cs"/>
          <w:rtl/>
        </w:rPr>
        <w:t xml:space="preserve">י"ד </w:t>
      </w:r>
      <w:r>
        <w:rPr>
          <w:rStyle w:val="af7"/>
          <w:rFonts w:eastAsia="Guttman Hodes" w:hint="cs"/>
          <w:rtl/>
        </w:rPr>
        <w:t>ד</w:t>
      </w:r>
      <w:r w:rsidRPr="00FE7220">
        <w:rPr>
          <w:rStyle w:val="af7"/>
          <w:rFonts w:eastAsia="Guttman Hodes" w:hint="cs"/>
          <w:rtl/>
        </w:rPr>
        <w:t>')</w:t>
      </w:r>
      <w:r>
        <w:rPr>
          <w:rFonts w:hint="cs"/>
          <w:rtl/>
        </w:rPr>
        <w:t xml:space="preserve"> דכתב דאם חתך מהעובר שבמעיה, ואח"כ נולד רוב העובר לפני שנשחטה אמו, מ"מ האבר מותר, דכיון שהותר האבר מדין </w:t>
      </w:r>
      <w:r>
        <w:rPr>
          <w:rtl/>
        </w:rPr>
        <w:t>"</w:t>
      </w:r>
      <w:r>
        <w:rPr>
          <w:rFonts w:hint="cs"/>
          <w:rtl/>
        </w:rPr>
        <w:t>כל בבהמה</w:t>
      </w:r>
      <w:r>
        <w:rPr>
          <w:rtl/>
        </w:rPr>
        <w:t>"</w:t>
      </w:r>
      <w:r>
        <w:rPr>
          <w:rFonts w:hint="cs"/>
          <w:rtl/>
        </w:rPr>
        <w:t xml:space="preserve">, אינו שייך לעובר כלל, ואף שנאסר העובר כשנולד אינו יכול לאסור את האבר שנחתך ממנו, והוסיף </w:t>
      </w:r>
      <w:r w:rsidRPr="00FE7220">
        <w:rPr>
          <w:rStyle w:val="af9"/>
          <w:rFonts w:hint="cs"/>
          <w:rtl/>
        </w:rPr>
        <w:t>ה</w:t>
      </w:r>
      <w:r>
        <w:rPr>
          <w:rStyle w:val="af9"/>
          <w:rFonts w:hint="cs"/>
          <w:rtl/>
        </w:rPr>
        <w:t xml:space="preserve">פרי תואר </w:t>
      </w:r>
      <w:r>
        <w:rPr>
          <w:rFonts w:hint="cs"/>
          <w:rtl/>
        </w:rPr>
        <w:t xml:space="preserve"> דאם הושיט ידו למעי בהמה וחתך את העובר אברים אברים, ויצאו רובם, דיש לעובר דין ילוד ואסור, מ"מ האברים שנשארו בפנים בזמן השחיטה לא נאסרו, דכל אבר ואבר יש לו דין עובר בפנ"ע. </w:t>
      </w:r>
      <w:r w:rsidRPr="0051465F">
        <w:rPr>
          <w:rStyle w:val="afb"/>
          <w:rFonts w:hint="cs"/>
          <w:rtl/>
        </w:rPr>
        <w:t>[ומבואר מדברי</w:t>
      </w:r>
      <w:r>
        <w:rPr>
          <w:rStyle w:val="afb"/>
          <w:rFonts w:hint="cs"/>
          <w:rtl/>
        </w:rPr>
        <w:t xml:space="preserve"> </w:t>
      </w:r>
      <w:r w:rsidRPr="0051465F">
        <w:rPr>
          <w:rStyle w:val="affa"/>
          <w:rFonts w:hint="cs"/>
          <w:rtl/>
        </w:rPr>
        <w:t>הפרי תואר</w:t>
      </w:r>
      <w:r w:rsidRPr="0051465F">
        <w:rPr>
          <w:rStyle w:val="afb"/>
          <w:rFonts w:hint="cs"/>
          <w:rtl/>
        </w:rPr>
        <w:t xml:space="preserve"> דאף שהעובר לא נשחט כלל, דהא נולד לפני השחיטה, מ"מ החתיכה ממנו שנשארה בתוך הבהמה, מותרת מהיתר </w:t>
      </w:r>
      <w:r>
        <w:rPr>
          <w:rStyle w:val="afb"/>
          <w:rtl/>
        </w:rPr>
        <w:t>"</w:t>
      </w:r>
      <w:r>
        <w:rPr>
          <w:rStyle w:val="afb"/>
          <w:rFonts w:hint="cs"/>
          <w:rtl/>
        </w:rPr>
        <w:t>כל בבהמה</w:t>
      </w:r>
      <w:r>
        <w:rPr>
          <w:rStyle w:val="afb"/>
          <w:rtl/>
        </w:rPr>
        <w:t>"</w:t>
      </w:r>
      <w:r w:rsidRPr="0051465F">
        <w:rPr>
          <w:rStyle w:val="afb"/>
          <w:rFonts w:hint="cs"/>
          <w:rtl/>
        </w:rPr>
        <w:t>].</w:t>
      </w:r>
    </w:p>
    <w:p w14:paraId="629F129B" w14:textId="77777777" w:rsidR="002968AD" w:rsidRDefault="002968AD" w:rsidP="003D504D">
      <w:pPr>
        <w:pStyle w:val="a3"/>
        <w:rPr>
          <w:rtl/>
        </w:rPr>
      </w:pPr>
    </w:p>
    <w:p w14:paraId="0B99B6F4" w14:textId="77777777" w:rsidR="003D504D" w:rsidRDefault="003D504D" w:rsidP="003D504D">
      <w:pPr>
        <w:pStyle w:val="a3"/>
        <w:rPr>
          <w:rtl/>
        </w:rPr>
      </w:pPr>
      <w:bookmarkStart w:id="15440" w:name="_Toc19391024"/>
      <w:bookmarkStart w:id="15441" w:name="_Toc19394521"/>
      <w:r>
        <w:rPr>
          <w:rFonts w:hint="cs"/>
          <w:rtl/>
        </w:rPr>
        <w:t>דברי התבו"ש וה</w:t>
      </w:r>
      <w:r w:rsidR="00345400">
        <w:rPr>
          <w:rFonts w:hint="cs"/>
          <w:rtl/>
        </w:rPr>
        <w:t>פלתי</w:t>
      </w:r>
      <w:r>
        <w:rPr>
          <w:rFonts w:hint="cs"/>
          <w:rtl/>
        </w:rPr>
        <w:t xml:space="preserve"> דבחותך מעובר החתיכה שבתוכה אסורה אם נולד העובר לפני השחיטה</w:t>
      </w:r>
      <w:bookmarkEnd w:id="15440"/>
      <w:bookmarkEnd w:id="15441"/>
    </w:p>
    <w:p w14:paraId="230C5EAC" w14:textId="77777777" w:rsidR="003D504D" w:rsidRDefault="003D504D" w:rsidP="00223668">
      <w:pPr>
        <w:pStyle w:val="a0"/>
      </w:pPr>
      <w:r>
        <w:rPr>
          <w:rFonts w:hint="cs"/>
          <w:rtl/>
        </w:rPr>
        <w:t xml:space="preserve">אבל </w:t>
      </w:r>
      <w:r w:rsidRPr="009A5928">
        <w:rPr>
          <w:rStyle w:val="af9"/>
          <w:rFonts w:hint="cs"/>
          <w:rtl/>
        </w:rPr>
        <w:t xml:space="preserve">התבו"ש </w:t>
      </w:r>
      <w:r w:rsidRPr="00D9745F">
        <w:rPr>
          <w:rStyle w:val="af7"/>
          <w:rFonts w:eastAsia="Guttman Hodes" w:hint="cs"/>
          <w:rtl/>
        </w:rPr>
        <w:t>(סי' י</w:t>
      </w:r>
      <w:r w:rsidRPr="00D9745F">
        <w:rPr>
          <w:rStyle w:val="af7"/>
          <w:rFonts w:eastAsia="Guttman Hodes"/>
          <w:rtl/>
        </w:rPr>
        <w:t>"</w:t>
      </w:r>
      <w:r w:rsidRPr="00D9745F">
        <w:rPr>
          <w:rStyle w:val="af7"/>
          <w:rFonts w:eastAsia="Guttman Hodes" w:hint="cs"/>
          <w:rtl/>
        </w:rPr>
        <w:t>ד סקי"ד)</w:t>
      </w:r>
      <w:r>
        <w:rPr>
          <w:rFonts w:hint="cs"/>
          <w:rtl/>
        </w:rPr>
        <w:t xml:space="preserve"> </w:t>
      </w:r>
      <w:r>
        <w:rPr>
          <w:rStyle w:val="af9"/>
          <w:rFonts w:hint="cs"/>
          <w:rtl/>
        </w:rPr>
        <w:t>ו</w:t>
      </w:r>
      <w:r w:rsidRPr="002319DF">
        <w:rPr>
          <w:rStyle w:val="af9"/>
          <w:rFonts w:hint="cs"/>
          <w:rtl/>
        </w:rPr>
        <w:t>ה</w:t>
      </w:r>
      <w:r w:rsidR="00345400">
        <w:rPr>
          <w:rStyle w:val="af9"/>
          <w:rFonts w:hint="cs"/>
          <w:rtl/>
        </w:rPr>
        <w:t>פלתי</w:t>
      </w:r>
      <w:r w:rsidRPr="002319DF">
        <w:rPr>
          <w:rFonts w:hint="cs"/>
          <w:rtl/>
        </w:rPr>
        <w:t xml:space="preserve"> </w:t>
      </w:r>
      <w:r w:rsidRPr="002319DF">
        <w:rPr>
          <w:rStyle w:val="af7"/>
          <w:rFonts w:eastAsia="Guttman Hodes" w:hint="cs"/>
          <w:rtl/>
        </w:rPr>
        <w:t>(סי' י"ד ס</w:t>
      </w:r>
      <w:r>
        <w:rPr>
          <w:rStyle w:val="af7"/>
          <w:rFonts w:eastAsia="Guttman Hodes" w:hint="cs"/>
          <w:rtl/>
        </w:rPr>
        <w:t xml:space="preserve">וס"ק </w:t>
      </w:r>
      <w:r w:rsidRPr="002319DF">
        <w:rPr>
          <w:rStyle w:val="af7"/>
          <w:rFonts w:eastAsia="Guttman Hodes" w:hint="cs"/>
          <w:rtl/>
        </w:rPr>
        <w:t>ד</w:t>
      </w:r>
      <w:r>
        <w:rPr>
          <w:rStyle w:val="af7"/>
          <w:rFonts w:eastAsia="Guttman Hodes" w:hint="cs"/>
          <w:rtl/>
        </w:rPr>
        <w:t>'</w:t>
      </w:r>
      <w:r w:rsidRPr="002319DF">
        <w:rPr>
          <w:rStyle w:val="af7"/>
          <w:rFonts w:eastAsia="Guttman Hodes" w:hint="cs"/>
          <w:rtl/>
        </w:rPr>
        <w:t>)</w:t>
      </w:r>
      <w:r>
        <w:rPr>
          <w:rStyle w:val="af7"/>
          <w:rFonts w:eastAsia="Guttman Hodes" w:hint="cs"/>
          <w:rtl/>
        </w:rPr>
        <w:t xml:space="preserve"> </w:t>
      </w:r>
      <w:r>
        <w:rPr>
          <w:rFonts w:hint="cs"/>
          <w:rtl/>
        </w:rPr>
        <w:t>כתבו דההיתר ב</w:t>
      </w:r>
      <w:r w:rsidRPr="002319DF">
        <w:rPr>
          <w:rFonts w:hint="cs"/>
          <w:rtl/>
        </w:rPr>
        <w:t xml:space="preserve">חותך מעובר שבמעיה, הוא דוקא כשהעובר נשאר ג"כ במעי אמו, </w:t>
      </w:r>
      <w:r>
        <w:rPr>
          <w:rFonts w:hint="cs"/>
          <w:rtl/>
        </w:rPr>
        <w:t xml:space="preserve">אבל אם נולד העובר לפני שנשחטה האם, לא מהני שחיטתה להתיר את החתיכות מהעובר שנשארו בפנים, </w:t>
      </w:r>
      <w:r w:rsidRPr="002319DF">
        <w:rPr>
          <w:rFonts w:hint="cs"/>
          <w:rtl/>
        </w:rPr>
        <w:t>ו</w:t>
      </w:r>
      <w:r>
        <w:rPr>
          <w:rFonts w:hint="cs"/>
          <w:rtl/>
        </w:rPr>
        <w:t xml:space="preserve">כתב </w:t>
      </w:r>
      <w:r w:rsidRPr="0059481E">
        <w:rPr>
          <w:rStyle w:val="af9"/>
          <w:rFonts w:hint="cs"/>
          <w:rtl/>
        </w:rPr>
        <w:t>התבו"ש</w:t>
      </w:r>
      <w:r>
        <w:rPr>
          <w:rFonts w:hint="cs"/>
          <w:rtl/>
        </w:rPr>
        <w:t xml:space="preserve"> ד</w:t>
      </w:r>
      <w:r w:rsidRPr="002319DF">
        <w:rPr>
          <w:rFonts w:hint="cs"/>
          <w:rtl/>
        </w:rPr>
        <w:t>החידוש במתני' דבשחתך מהולד אינו כחתך מהבהמה עצמה שהוא אבר מן החי</w:t>
      </w:r>
      <w:r>
        <w:rPr>
          <w:rStyle w:val="af1"/>
          <w:rtl/>
        </w:rPr>
        <w:footnoteReference w:id="101"/>
      </w:r>
      <w:r>
        <w:rPr>
          <w:rFonts w:hint="cs"/>
          <w:rtl/>
        </w:rPr>
        <w:t>.</w:t>
      </w:r>
      <w:r w:rsidRPr="002319DF">
        <w:rPr>
          <w:rFonts w:hint="cs"/>
          <w:rtl/>
        </w:rPr>
        <w:t xml:space="preserve"> </w:t>
      </w:r>
    </w:p>
    <w:p w14:paraId="2C98B085" w14:textId="77777777" w:rsidR="003D504D" w:rsidRPr="00573D2B" w:rsidRDefault="003D504D" w:rsidP="00BF39B2">
      <w:pPr>
        <w:pStyle w:val="1"/>
        <w:rPr>
          <w:rtl/>
        </w:rPr>
      </w:pPr>
      <w:bookmarkStart w:id="15442" w:name="_Toc535089797"/>
      <w:bookmarkStart w:id="15443" w:name="_Toc535095884"/>
      <w:bookmarkStart w:id="15444" w:name="_Toc535302112"/>
      <w:bookmarkStart w:id="15445" w:name="_Toc535526178"/>
      <w:bookmarkStart w:id="15446" w:name="_Toc535574872"/>
      <w:bookmarkStart w:id="15447" w:name="_Toc535702328"/>
      <w:bookmarkStart w:id="15448" w:name="_Toc535750470"/>
      <w:bookmarkStart w:id="15449" w:name="_Toc19391025"/>
      <w:bookmarkStart w:id="15450" w:name="_Toc19394522"/>
      <w:r w:rsidRPr="00573D2B">
        <w:rPr>
          <w:rFonts w:hint="cs"/>
          <w:rtl/>
        </w:rPr>
        <w:t xml:space="preserve">דעת </w:t>
      </w:r>
      <w:r>
        <w:rPr>
          <w:rFonts w:hint="cs"/>
          <w:rtl/>
        </w:rPr>
        <w:t xml:space="preserve">הסוברים דהיתר </w:t>
      </w:r>
      <w:r>
        <w:rPr>
          <w:rtl/>
        </w:rPr>
        <w:t>"</w:t>
      </w:r>
      <w:r>
        <w:rPr>
          <w:rFonts w:hint="cs"/>
          <w:rtl/>
        </w:rPr>
        <w:t>כל בבהמה</w:t>
      </w:r>
      <w:r>
        <w:rPr>
          <w:rtl/>
        </w:rPr>
        <w:t>"</w:t>
      </w:r>
      <w:r>
        <w:rPr>
          <w:rFonts w:hint="cs"/>
          <w:rtl/>
        </w:rPr>
        <w:t xml:space="preserve"> מתיר אף בנמצא טריפה</w:t>
      </w:r>
      <w:bookmarkEnd w:id="15442"/>
      <w:bookmarkEnd w:id="15443"/>
      <w:bookmarkEnd w:id="15444"/>
      <w:bookmarkEnd w:id="15445"/>
      <w:bookmarkEnd w:id="15446"/>
      <w:bookmarkEnd w:id="15447"/>
      <w:bookmarkEnd w:id="15448"/>
      <w:bookmarkEnd w:id="15449"/>
      <w:bookmarkEnd w:id="15450"/>
      <w:r>
        <w:rPr>
          <w:rFonts w:hint="cs"/>
          <w:rtl/>
        </w:rPr>
        <w:t xml:space="preserve">  </w:t>
      </w:r>
    </w:p>
    <w:p w14:paraId="78B8B574" w14:textId="77777777" w:rsidR="003D504D" w:rsidRPr="00313938" w:rsidRDefault="003D504D" w:rsidP="003D504D">
      <w:pPr>
        <w:pStyle w:val="a3"/>
        <w:rPr>
          <w:rtl/>
        </w:rPr>
      </w:pPr>
      <w:bookmarkStart w:id="15451" w:name="_Toc535526179"/>
      <w:bookmarkStart w:id="15452" w:name="_Toc535574873"/>
      <w:bookmarkStart w:id="15453" w:name="_Toc535702329"/>
      <w:bookmarkStart w:id="15454" w:name="_Toc535750471"/>
      <w:bookmarkStart w:id="15455" w:name="_Toc19391026"/>
      <w:bookmarkStart w:id="15456" w:name="_Toc19394523"/>
      <w:r w:rsidRPr="00313938">
        <w:rPr>
          <w:rFonts w:hint="cs"/>
          <w:rtl/>
        </w:rPr>
        <w:t xml:space="preserve">דברי הר"ן </w:t>
      </w:r>
      <w:r>
        <w:rPr>
          <w:rFonts w:hint="cs"/>
          <w:rtl/>
        </w:rPr>
        <w:t>דחותך מעובר שבמעיה מותר מדין</w:t>
      </w:r>
      <w:r w:rsidRPr="00313938">
        <w:rPr>
          <w:rFonts w:hint="cs"/>
          <w:rtl/>
        </w:rPr>
        <w:t xml:space="preserve"> </w:t>
      </w:r>
      <w:r>
        <w:rPr>
          <w:rtl/>
        </w:rPr>
        <w:t>"</w:t>
      </w:r>
      <w:r>
        <w:rPr>
          <w:rFonts w:hint="cs"/>
          <w:rtl/>
        </w:rPr>
        <w:t>כל בבהמה</w:t>
      </w:r>
      <w:r>
        <w:rPr>
          <w:rtl/>
        </w:rPr>
        <w:t>"</w:t>
      </w:r>
      <w:r w:rsidRPr="00313938">
        <w:rPr>
          <w:rFonts w:hint="cs"/>
          <w:rtl/>
        </w:rPr>
        <w:t xml:space="preserve"> </w:t>
      </w:r>
      <w:r>
        <w:rPr>
          <w:rFonts w:hint="cs"/>
          <w:rtl/>
        </w:rPr>
        <w:t>כמו ב</w:t>
      </w:r>
      <w:r w:rsidRPr="00313938">
        <w:rPr>
          <w:rFonts w:hint="cs"/>
          <w:rtl/>
        </w:rPr>
        <w:t xml:space="preserve">מת </w:t>
      </w:r>
      <w:r>
        <w:rPr>
          <w:rFonts w:hint="cs"/>
          <w:rtl/>
        </w:rPr>
        <w:t xml:space="preserve">העובר או </w:t>
      </w:r>
      <w:r w:rsidRPr="00313938">
        <w:rPr>
          <w:rFonts w:hint="cs"/>
          <w:rtl/>
        </w:rPr>
        <w:t>נמצא טריפה</w:t>
      </w:r>
      <w:bookmarkEnd w:id="15451"/>
      <w:bookmarkEnd w:id="15452"/>
      <w:bookmarkEnd w:id="15453"/>
      <w:bookmarkEnd w:id="15454"/>
      <w:bookmarkEnd w:id="15455"/>
      <w:bookmarkEnd w:id="15456"/>
    </w:p>
    <w:p w14:paraId="61162CDB" w14:textId="77777777" w:rsidR="003D504D" w:rsidRPr="002C4FB3" w:rsidRDefault="003D504D" w:rsidP="00223668">
      <w:pPr>
        <w:pStyle w:val="a0"/>
        <w:rPr>
          <w:rtl/>
        </w:rPr>
      </w:pPr>
      <w:bookmarkStart w:id="15457" w:name="_Toc535089796"/>
      <w:bookmarkStart w:id="15458" w:name="_Toc535095883"/>
      <w:bookmarkStart w:id="15459" w:name="_Toc535302111"/>
      <w:r w:rsidRPr="002C4FB3">
        <w:rPr>
          <w:rFonts w:hint="cs"/>
          <w:rtl/>
        </w:rPr>
        <w:t xml:space="preserve">כתב </w:t>
      </w:r>
      <w:r w:rsidRPr="006F5D4B">
        <w:rPr>
          <w:rStyle w:val="af9"/>
          <w:rFonts w:hint="cs"/>
          <w:rtl/>
        </w:rPr>
        <w:t>הר"ן על הרי"ף</w:t>
      </w:r>
      <w:r w:rsidRPr="002C4FB3">
        <w:rPr>
          <w:rFonts w:hint="cs"/>
          <w:rtl/>
        </w:rPr>
        <w:t xml:space="preserve"> </w:t>
      </w:r>
      <w:r w:rsidRPr="006F5D4B">
        <w:rPr>
          <w:rStyle w:val="af7"/>
          <w:rFonts w:eastAsia="Guttman Hodes" w:hint="cs"/>
          <w:rtl/>
        </w:rPr>
        <w:t>(כד. מדפי הרי"ף ד"ה חותך)</w:t>
      </w:r>
      <w:r w:rsidRPr="002C4FB3">
        <w:rPr>
          <w:rFonts w:hint="cs"/>
          <w:rtl/>
        </w:rPr>
        <w:t xml:space="preserve"> </w:t>
      </w:r>
      <w:r>
        <w:rPr>
          <w:rFonts w:hint="cs"/>
          <w:rtl/>
        </w:rPr>
        <w:t xml:space="preserve">דההיתר בחותך מעובר שבמעיה, הוא מדין היתר </w:t>
      </w:r>
      <w:r>
        <w:rPr>
          <w:rtl/>
        </w:rPr>
        <w:t>"</w:t>
      </w:r>
      <w:r>
        <w:rPr>
          <w:rFonts w:hint="cs"/>
          <w:rtl/>
        </w:rPr>
        <w:t>כל בבהמה</w:t>
      </w:r>
      <w:r>
        <w:rPr>
          <w:rtl/>
        </w:rPr>
        <w:t>"</w:t>
      </w:r>
      <w:r>
        <w:rPr>
          <w:rFonts w:hint="cs"/>
          <w:rtl/>
        </w:rPr>
        <w:t xml:space="preserve">, דשחיטת אמו מתירתו בין חי ובין מת בין שלם ובין מחותך, והוסיף </w:t>
      </w:r>
      <w:r w:rsidRPr="006F5D4B">
        <w:rPr>
          <w:rStyle w:val="af9"/>
          <w:rFonts w:hint="cs"/>
          <w:rtl/>
        </w:rPr>
        <w:t>הר"ן על הרי"ף</w:t>
      </w:r>
      <w:r>
        <w:rPr>
          <w:rFonts w:hint="cs"/>
          <w:rtl/>
        </w:rPr>
        <w:t xml:space="preserve"> דאף אם נמצא העובר טריפה הוא מותר, דכ"ז שהוא במעי אמו אין בו איסור טריפה כלל, דהא אף אם היה מת שחיטת אמו מתירתו, וכ"כ </w:t>
      </w:r>
      <w:r w:rsidRPr="00F94FF2">
        <w:rPr>
          <w:rStyle w:val="af9"/>
          <w:rFonts w:hint="cs"/>
          <w:rtl/>
        </w:rPr>
        <w:t>הרא"ה ב</w:t>
      </w:r>
      <w:r>
        <w:rPr>
          <w:rFonts w:hint="cs"/>
          <w:rtl/>
        </w:rPr>
        <w:t xml:space="preserve">חי' </w:t>
      </w:r>
      <w:r w:rsidRPr="00F94FF2">
        <w:rPr>
          <w:rStyle w:val="af7"/>
          <w:rFonts w:eastAsia="Guttman Hodes" w:hint="cs"/>
          <w:rtl/>
        </w:rPr>
        <w:t>(ד"ה בהמה המקשה)</w:t>
      </w:r>
      <w:r>
        <w:rPr>
          <w:rFonts w:hint="cs"/>
          <w:rtl/>
        </w:rPr>
        <w:t>.</w:t>
      </w:r>
    </w:p>
    <w:p w14:paraId="2AC3C85E" w14:textId="77777777" w:rsidR="003D504D" w:rsidRDefault="003D504D" w:rsidP="003D504D">
      <w:pPr>
        <w:pStyle w:val="a3"/>
        <w:rPr>
          <w:rtl/>
        </w:rPr>
      </w:pPr>
      <w:bookmarkStart w:id="15460" w:name="_Toc535526180"/>
      <w:bookmarkStart w:id="15461" w:name="_Toc535574874"/>
      <w:bookmarkStart w:id="15462" w:name="_Toc535702330"/>
      <w:bookmarkStart w:id="15463" w:name="_Toc535750472"/>
      <w:bookmarkStart w:id="15464" w:name="_Toc19391027"/>
      <w:bookmarkStart w:id="15465" w:name="_Toc19394524"/>
      <w:r>
        <w:rPr>
          <w:rFonts w:hint="cs"/>
          <w:rtl/>
        </w:rPr>
        <w:t>דברי ההג' אשר"י בשם רבינו שמואל דשחיטת האם מתרת אף בנמצא העובר טריפה</w:t>
      </w:r>
      <w:bookmarkEnd w:id="15460"/>
      <w:bookmarkEnd w:id="15461"/>
      <w:bookmarkEnd w:id="15462"/>
      <w:bookmarkEnd w:id="15463"/>
      <w:bookmarkEnd w:id="15464"/>
      <w:bookmarkEnd w:id="15465"/>
    </w:p>
    <w:p w14:paraId="33EA8CD3" w14:textId="77777777" w:rsidR="003D504D" w:rsidRDefault="003D504D" w:rsidP="00223668">
      <w:pPr>
        <w:pStyle w:val="a0"/>
        <w:rPr>
          <w:rtl/>
        </w:rPr>
      </w:pPr>
      <w:r>
        <w:rPr>
          <w:rFonts w:hint="cs"/>
          <w:rtl/>
        </w:rPr>
        <w:t xml:space="preserve">וכן הביא </w:t>
      </w:r>
      <w:r w:rsidRPr="0051751A">
        <w:rPr>
          <w:rStyle w:val="af9"/>
          <w:rFonts w:hint="cs"/>
          <w:rtl/>
        </w:rPr>
        <w:t>ההג' אשר"י</w:t>
      </w:r>
      <w:r>
        <w:rPr>
          <w:rFonts w:hint="cs"/>
          <w:rtl/>
        </w:rPr>
        <w:t xml:space="preserve"> </w:t>
      </w:r>
      <w:r w:rsidRPr="0051751A">
        <w:rPr>
          <w:rStyle w:val="af7"/>
          <w:rFonts w:eastAsia="Guttman Hodes" w:hint="cs"/>
          <w:rtl/>
        </w:rPr>
        <w:t xml:space="preserve">(על הרא"ש לקמן סי' ה') </w:t>
      </w:r>
      <w:r>
        <w:rPr>
          <w:rFonts w:hint="cs"/>
          <w:rtl/>
        </w:rPr>
        <w:t xml:space="preserve">את דברי </w:t>
      </w:r>
      <w:r w:rsidRPr="0051751A">
        <w:rPr>
          <w:rStyle w:val="af9"/>
          <w:rFonts w:hint="cs"/>
          <w:rtl/>
        </w:rPr>
        <w:t>האו"ז</w:t>
      </w:r>
      <w:r>
        <w:rPr>
          <w:rFonts w:hint="cs"/>
          <w:rtl/>
        </w:rPr>
        <w:t xml:space="preserve"> </w:t>
      </w:r>
      <w:r w:rsidRPr="0051751A">
        <w:rPr>
          <w:rStyle w:val="af7"/>
          <w:rFonts w:eastAsia="Guttman Hodes" w:hint="cs"/>
          <w:rtl/>
        </w:rPr>
        <w:t>(ח"א סי' ת"מ</w:t>
      </w:r>
      <w:r w:rsidRPr="00503FCB">
        <w:rPr>
          <w:vertAlign w:val="superscript"/>
          <w:rtl/>
        </w:rPr>
        <w:fldChar w:fldCharType="begin"/>
      </w:r>
      <w:r w:rsidRPr="00503FCB">
        <w:rPr>
          <w:vertAlign w:val="superscript"/>
          <w:rtl/>
        </w:rPr>
        <w:instrText xml:space="preserve"> </w:instrText>
      </w:r>
      <w:r w:rsidRPr="00503FCB">
        <w:rPr>
          <w:rFonts w:hint="cs"/>
          <w:vertAlign w:val="superscript"/>
        </w:rPr>
        <w:instrText>NOTEREF</w:instrText>
      </w:r>
      <w:r w:rsidRPr="00503FCB">
        <w:rPr>
          <w:rFonts w:hint="cs"/>
          <w:vertAlign w:val="superscript"/>
          <w:rtl/>
        </w:rPr>
        <w:instrText xml:space="preserve"> _</w:instrText>
      </w:r>
      <w:r w:rsidRPr="00503FCB">
        <w:rPr>
          <w:rFonts w:hint="cs"/>
          <w:vertAlign w:val="superscript"/>
        </w:rPr>
        <w:instrText>Ref534971335 \h</w:instrText>
      </w:r>
      <w:r w:rsidRPr="00503FCB">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503FCB">
        <w:rPr>
          <w:vertAlign w:val="superscript"/>
          <w:rtl/>
        </w:rPr>
      </w:r>
      <w:r w:rsidRPr="00503FCB">
        <w:rPr>
          <w:vertAlign w:val="superscript"/>
          <w:rtl/>
        </w:rPr>
        <w:fldChar w:fldCharType="separate"/>
      </w:r>
      <w:r w:rsidR="00345400">
        <w:rPr>
          <w:vertAlign w:val="superscript"/>
          <w:rtl/>
        </w:rPr>
        <w:t>102</w:t>
      </w:r>
      <w:r w:rsidRPr="00503FCB">
        <w:rPr>
          <w:vertAlign w:val="superscript"/>
          <w:rtl/>
        </w:rPr>
        <w:fldChar w:fldCharType="end"/>
      </w:r>
      <w:r w:rsidRPr="00503FCB">
        <w:rPr>
          <w:rStyle w:val="af7"/>
          <w:rFonts w:eastAsia="Guttman Hodes" w:hint="cs"/>
          <w:rtl/>
        </w:rPr>
        <w:t xml:space="preserve">) </w:t>
      </w:r>
      <w:r>
        <w:rPr>
          <w:rFonts w:hint="cs"/>
          <w:rtl/>
        </w:rPr>
        <w:t xml:space="preserve">שכתב בשם </w:t>
      </w:r>
      <w:r w:rsidRPr="005863D3">
        <w:rPr>
          <w:rStyle w:val="af9"/>
          <w:rFonts w:hint="cs"/>
          <w:rtl/>
        </w:rPr>
        <w:t>רבינו ש</w:t>
      </w:r>
      <w:r w:rsidRPr="0051751A">
        <w:rPr>
          <w:rStyle w:val="af9"/>
          <w:rFonts w:hint="cs"/>
          <w:rtl/>
        </w:rPr>
        <w:t>מואל בר נטרונאי</w:t>
      </w:r>
      <w:r>
        <w:rPr>
          <w:rFonts w:hint="cs"/>
          <w:rtl/>
        </w:rPr>
        <w:t xml:space="preserve"> דאף כשנמצא העובר טריפה מותר, כיון שיש בו היתר </w:t>
      </w:r>
      <w:r>
        <w:rPr>
          <w:rtl/>
        </w:rPr>
        <w:t>"</w:t>
      </w:r>
      <w:r>
        <w:rPr>
          <w:rFonts w:hint="cs"/>
          <w:rtl/>
        </w:rPr>
        <w:t>כל בבהמה</w:t>
      </w:r>
      <w:r>
        <w:rPr>
          <w:rtl/>
        </w:rPr>
        <w:t>"</w:t>
      </w:r>
      <w:r>
        <w:rPr>
          <w:rFonts w:hint="cs"/>
          <w:rtl/>
        </w:rPr>
        <w:t>, דכמו ששחיטת אמו מתרת את העובר אף כשנמצא מת, ה"ה דשחיטת האם מתרת את העובר כשנמצא טריפה דלא גרע מנמצא מת.</w:t>
      </w:r>
    </w:p>
    <w:p w14:paraId="482949DA" w14:textId="77777777" w:rsidR="003D504D" w:rsidRPr="006C4C8D" w:rsidRDefault="003D504D" w:rsidP="003D504D">
      <w:pPr>
        <w:pStyle w:val="a3"/>
      </w:pPr>
      <w:bookmarkStart w:id="15466" w:name="_Toc535526181"/>
      <w:bookmarkStart w:id="15467" w:name="_Toc535574875"/>
      <w:bookmarkStart w:id="15468" w:name="_Toc535702331"/>
      <w:bookmarkStart w:id="15469" w:name="_Toc535750473"/>
      <w:bookmarkStart w:id="15470" w:name="_Toc19391028"/>
      <w:bookmarkStart w:id="15471" w:name="_Toc19394525"/>
      <w:r>
        <w:rPr>
          <w:rFonts w:hint="cs"/>
          <w:rtl/>
        </w:rPr>
        <w:t>ביאור האו"ש והנאות יעקב דס"ל דאין העובר חשיב כשחוט אלא הותרו כל האיסורים שבו</w:t>
      </w:r>
      <w:bookmarkEnd w:id="15466"/>
      <w:bookmarkEnd w:id="15467"/>
      <w:bookmarkEnd w:id="15468"/>
      <w:bookmarkEnd w:id="15469"/>
      <w:bookmarkEnd w:id="15470"/>
      <w:bookmarkEnd w:id="15471"/>
    </w:p>
    <w:p w14:paraId="730309CF" w14:textId="77777777" w:rsidR="003D504D" w:rsidRDefault="003D504D" w:rsidP="00223668">
      <w:pPr>
        <w:pStyle w:val="a0"/>
        <w:rPr>
          <w:rtl/>
        </w:rPr>
      </w:pPr>
      <w:r>
        <w:rPr>
          <w:rFonts w:hint="cs"/>
          <w:rtl/>
        </w:rPr>
        <w:t xml:space="preserve">וביאר </w:t>
      </w:r>
      <w:r w:rsidRPr="006C4C8D">
        <w:rPr>
          <w:rStyle w:val="af9"/>
          <w:rFonts w:hint="cs"/>
          <w:rtl/>
        </w:rPr>
        <w:t>האו"ש</w:t>
      </w:r>
      <w:r w:rsidRPr="00B5698A">
        <w:rPr>
          <w:rFonts w:hint="cs"/>
          <w:rtl/>
        </w:rPr>
        <w:t xml:space="preserve"> </w:t>
      </w:r>
      <w:r w:rsidRPr="006C4C8D">
        <w:rPr>
          <w:rStyle w:val="af7"/>
          <w:rFonts w:eastAsia="Guttman Hodes" w:hint="cs"/>
          <w:rtl/>
        </w:rPr>
        <w:t>(מקואות פ"א ה"ח בהגה"ה)</w:t>
      </w:r>
      <w:r w:rsidRPr="00B5698A">
        <w:rPr>
          <w:rFonts w:hint="cs"/>
          <w:rtl/>
        </w:rPr>
        <w:t xml:space="preserve"> </w:t>
      </w:r>
      <w:r>
        <w:rPr>
          <w:rFonts w:hint="cs"/>
          <w:rtl/>
        </w:rPr>
        <w:t xml:space="preserve">דדעת </w:t>
      </w:r>
      <w:r w:rsidRPr="005863D3">
        <w:rPr>
          <w:rStyle w:val="af9"/>
          <w:rFonts w:hint="cs"/>
          <w:rtl/>
        </w:rPr>
        <w:t>הראשונים</w:t>
      </w:r>
      <w:r>
        <w:rPr>
          <w:rFonts w:hint="cs"/>
          <w:rtl/>
        </w:rPr>
        <w:t xml:space="preserve"> שהתירו בנמצא העובר טריפה, הוא כיון דהיתר בן פקועה אינו מחמת שחשיב שנשחט בשחיטת אמו, אלא ד</w:t>
      </w:r>
      <w:r w:rsidRPr="00B5698A">
        <w:rPr>
          <w:rFonts w:hint="cs"/>
          <w:rtl/>
        </w:rPr>
        <w:t xml:space="preserve">שחיטת אמו מתירתו מדין </w:t>
      </w:r>
      <w:r>
        <w:rPr>
          <w:rtl/>
        </w:rPr>
        <w:t>"</w:t>
      </w:r>
      <w:r>
        <w:rPr>
          <w:rFonts w:hint="cs"/>
          <w:rtl/>
        </w:rPr>
        <w:t>כל בבהמה</w:t>
      </w:r>
      <w:r>
        <w:rPr>
          <w:rtl/>
        </w:rPr>
        <w:t>"</w:t>
      </w:r>
      <w:r w:rsidRPr="00B5698A">
        <w:rPr>
          <w:rFonts w:hint="cs"/>
          <w:rtl/>
        </w:rPr>
        <w:t>,</w:t>
      </w:r>
      <w:r>
        <w:rPr>
          <w:rFonts w:hint="cs"/>
          <w:rtl/>
        </w:rPr>
        <w:t xml:space="preserve"> דחשיב כאחד מאבריה, וכיון שבשחיטת הבהמה היא מותרת אף בלא כוונה, ה"ה דהעובר מותר אף כשאינו מתכוון להתירו, וכ"כ </w:t>
      </w:r>
      <w:r w:rsidRPr="005863D3">
        <w:rPr>
          <w:rStyle w:val="af9"/>
          <w:rFonts w:hint="cs"/>
          <w:rtl/>
        </w:rPr>
        <w:t>הנאות יעקב</w:t>
      </w:r>
      <w:r>
        <w:rPr>
          <w:rFonts w:hint="cs"/>
          <w:rtl/>
        </w:rPr>
        <w:t xml:space="preserve"> </w:t>
      </w:r>
      <w:r w:rsidRPr="006C4C8D">
        <w:rPr>
          <w:rStyle w:val="af7"/>
          <w:rFonts w:eastAsia="Guttman Hodes" w:hint="cs"/>
          <w:rtl/>
        </w:rPr>
        <w:t>(סי' כ"ב ס"ק ו' ד"ה ולדידי)</w:t>
      </w:r>
      <w:r>
        <w:rPr>
          <w:rFonts w:hint="cs"/>
          <w:rtl/>
        </w:rPr>
        <w:t xml:space="preserve"> דס"ל דע"י היתר </w:t>
      </w:r>
      <w:r>
        <w:rPr>
          <w:rtl/>
        </w:rPr>
        <w:t>"</w:t>
      </w:r>
      <w:r>
        <w:rPr>
          <w:rFonts w:hint="cs"/>
          <w:rtl/>
        </w:rPr>
        <w:t>כל בבהמה</w:t>
      </w:r>
      <w:r>
        <w:rPr>
          <w:rtl/>
        </w:rPr>
        <w:t>"</w:t>
      </w:r>
      <w:r>
        <w:rPr>
          <w:rFonts w:hint="cs"/>
          <w:rtl/>
        </w:rPr>
        <w:t xml:space="preserve"> הותרו כל האיסורים שבו ולכן אף שנמצא העובר טריפה הוא מותר. </w:t>
      </w:r>
    </w:p>
    <w:p w14:paraId="569C2D54" w14:textId="77777777" w:rsidR="003D504D" w:rsidRPr="005F4848" w:rsidRDefault="003D504D" w:rsidP="00BF39B2">
      <w:pPr>
        <w:pStyle w:val="1"/>
      </w:pPr>
      <w:bookmarkStart w:id="15472" w:name="_Toc535526182"/>
      <w:bookmarkStart w:id="15473" w:name="_Toc535574876"/>
      <w:bookmarkStart w:id="15474" w:name="_Toc535702332"/>
      <w:bookmarkStart w:id="15475" w:name="_Toc535750474"/>
      <w:bookmarkStart w:id="15476" w:name="_Toc19391029"/>
      <w:bookmarkStart w:id="15477" w:name="_Toc19394526"/>
      <w:r>
        <w:rPr>
          <w:rFonts w:hint="cs"/>
          <w:rtl/>
        </w:rPr>
        <w:t xml:space="preserve">דעת הראבי"ה דהיתר בהמה בבהמה </w:t>
      </w:r>
      <w:bookmarkEnd w:id="15457"/>
      <w:bookmarkEnd w:id="15458"/>
      <w:bookmarkEnd w:id="15459"/>
      <w:r>
        <w:rPr>
          <w:rFonts w:hint="cs"/>
          <w:rtl/>
        </w:rPr>
        <w:t>היינו דחשיב כשחוט</w:t>
      </w:r>
      <w:bookmarkEnd w:id="15472"/>
      <w:bookmarkEnd w:id="15473"/>
      <w:bookmarkEnd w:id="15474"/>
      <w:bookmarkEnd w:id="15475"/>
      <w:bookmarkEnd w:id="15476"/>
      <w:bookmarkEnd w:id="15477"/>
    </w:p>
    <w:p w14:paraId="4083D558" w14:textId="77777777" w:rsidR="003D504D" w:rsidRDefault="003D504D" w:rsidP="003D504D">
      <w:pPr>
        <w:pStyle w:val="a3"/>
        <w:rPr>
          <w:rtl/>
        </w:rPr>
      </w:pPr>
      <w:bookmarkStart w:id="15478" w:name="_Toc535526183"/>
      <w:bookmarkStart w:id="15479" w:name="_Toc535574877"/>
      <w:bookmarkStart w:id="15480" w:name="_Toc535702333"/>
      <w:bookmarkStart w:id="15481" w:name="_Toc535750475"/>
      <w:bookmarkStart w:id="15482" w:name="_Toc19391030"/>
      <w:bookmarkStart w:id="15483" w:name="_Toc19394527"/>
      <w:r>
        <w:rPr>
          <w:rFonts w:hint="cs"/>
          <w:rtl/>
        </w:rPr>
        <w:t>דעת הראבי"ה דעובר שנמצא חי והוא טריפה אסור</w:t>
      </w:r>
      <w:bookmarkEnd w:id="15478"/>
      <w:bookmarkEnd w:id="15479"/>
      <w:bookmarkEnd w:id="15480"/>
      <w:bookmarkEnd w:id="15481"/>
      <w:bookmarkEnd w:id="15482"/>
      <w:bookmarkEnd w:id="15483"/>
    </w:p>
    <w:p w14:paraId="1C9C650A" w14:textId="77777777" w:rsidR="003D504D" w:rsidRPr="00EF4FD3" w:rsidRDefault="003D504D" w:rsidP="00223668">
      <w:pPr>
        <w:pStyle w:val="a0"/>
        <w:rPr>
          <w:rStyle w:val="afb"/>
          <w:rtl/>
        </w:rPr>
      </w:pPr>
      <w:r>
        <w:rPr>
          <w:rFonts w:hint="cs"/>
          <w:rtl/>
        </w:rPr>
        <w:t xml:space="preserve">אך הביא </w:t>
      </w:r>
      <w:r w:rsidRPr="0051751A">
        <w:rPr>
          <w:rStyle w:val="af9"/>
          <w:rFonts w:hint="cs"/>
          <w:rtl/>
        </w:rPr>
        <w:t>ההג' אשר"י</w:t>
      </w:r>
      <w:r>
        <w:rPr>
          <w:rFonts w:hint="cs"/>
          <w:rtl/>
        </w:rPr>
        <w:t xml:space="preserve"> </w:t>
      </w:r>
      <w:r w:rsidRPr="0051751A">
        <w:rPr>
          <w:rStyle w:val="af7"/>
          <w:rFonts w:eastAsia="Guttman Hodes" w:hint="cs"/>
          <w:rtl/>
        </w:rPr>
        <w:t xml:space="preserve">(על הרא"ש לקמן סי' ה') </w:t>
      </w:r>
      <w:r>
        <w:rPr>
          <w:rFonts w:hint="cs"/>
          <w:rtl/>
        </w:rPr>
        <w:t xml:space="preserve">את דברי </w:t>
      </w:r>
      <w:r w:rsidRPr="0051751A">
        <w:rPr>
          <w:rStyle w:val="af9"/>
          <w:rFonts w:hint="cs"/>
          <w:rtl/>
        </w:rPr>
        <w:t>האו"ז</w:t>
      </w:r>
      <w:r>
        <w:rPr>
          <w:rFonts w:hint="cs"/>
          <w:rtl/>
        </w:rPr>
        <w:t xml:space="preserve"> </w:t>
      </w:r>
      <w:r w:rsidRPr="0051751A">
        <w:rPr>
          <w:rStyle w:val="af7"/>
          <w:rFonts w:eastAsia="Guttman Hodes" w:hint="cs"/>
          <w:rtl/>
        </w:rPr>
        <w:t>(ח"א סי' ת"מ</w:t>
      </w:r>
      <w:bookmarkStart w:id="15484" w:name="_Ref534971335"/>
      <w:r>
        <w:rPr>
          <w:rStyle w:val="af1"/>
          <w:rtl/>
        </w:rPr>
        <w:footnoteReference w:id="102"/>
      </w:r>
      <w:bookmarkEnd w:id="15484"/>
      <w:r w:rsidRPr="00503FCB">
        <w:rPr>
          <w:rStyle w:val="af7"/>
          <w:rFonts w:eastAsia="Guttman Hodes" w:hint="cs"/>
          <w:rtl/>
        </w:rPr>
        <w:t>)</w:t>
      </w:r>
      <w:r>
        <w:rPr>
          <w:rFonts w:hint="cs"/>
          <w:rtl/>
        </w:rPr>
        <w:t xml:space="preserve"> שכתב בשם </w:t>
      </w:r>
      <w:r w:rsidRPr="0051751A">
        <w:rPr>
          <w:rStyle w:val="af9"/>
          <w:rFonts w:hint="cs"/>
          <w:rtl/>
        </w:rPr>
        <w:t>הראבי"ה</w:t>
      </w:r>
      <w:r>
        <w:rPr>
          <w:rFonts w:hint="cs"/>
          <w:rtl/>
        </w:rPr>
        <w:t xml:space="preserve"> </w:t>
      </w:r>
      <w:r w:rsidRPr="0051751A">
        <w:rPr>
          <w:rStyle w:val="af7"/>
          <w:rFonts w:eastAsia="Guttman Hodes" w:hint="cs"/>
          <w:rtl/>
        </w:rPr>
        <w:t>(אלף צ"ו</w:t>
      </w:r>
      <w:r>
        <w:rPr>
          <w:rStyle w:val="af1"/>
          <w:rtl/>
        </w:rPr>
        <w:footnoteReference w:id="103"/>
      </w:r>
      <w:r w:rsidRPr="00A9083A">
        <w:rPr>
          <w:rStyle w:val="af7"/>
          <w:rFonts w:eastAsia="Guttman Hodes" w:hint="cs"/>
          <w:rtl/>
        </w:rPr>
        <w:t xml:space="preserve">) </w:t>
      </w:r>
      <w:r>
        <w:rPr>
          <w:rFonts w:hint="cs"/>
          <w:rtl/>
        </w:rPr>
        <w:t xml:space="preserve">דבן פקועה חי שנמצא טריפה, אין שחיטת אמו מטהרתו. </w:t>
      </w:r>
      <w:r w:rsidRPr="000E53C5">
        <w:rPr>
          <w:rStyle w:val="afb"/>
          <w:rFonts w:hint="cs"/>
          <w:rtl/>
        </w:rPr>
        <w:t xml:space="preserve">[עיי"ש </w:t>
      </w:r>
      <w:r w:rsidRPr="000E53C5">
        <w:rPr>
          <w:rStyle w:val="affa"/>
          <w:rFonts w:hint="cs"/>
          <w:rtl/>
        </w:rPr>
        <w:t>באו"ז</w:t>
      </w:r>
      <w:r>
        <w:rPr>
          <w:rStyle w:val="affa"/>
          <w:rFonts w:hint="cs"/>
          <w:rtl/>
        </w:rPr>
        <w:t xml:space="preserve"> ובראבי"ה</w:t>
      </w:r>
      <w:r w:rsidRPr="000E53C5">
        <w:rPr>
          <w:rStyle w:val="afb"/>
          <w:rFonts w:hint="cs"/>
          <w:rtl/>
        </w:rPr>
        <w:t xml:space="preserve"> שהביא</w:t>
      </w:r>
      <w:r>
        <w:rPr>
          <w:rStyle w:val="afb"/>
          <w:rFonts w:hint="cs"/>
          <w:rtl/>
        </w:rPr>
        <w:t>ו</w:t>
      </w:r>
      <w:r w:rsidRPr="000E53C5">
        <w:rPr>
          <w:rStyle w:val="afb"/>
          <w:rFonts w:hint="cs"/>
          <w:rtl/>
        </w:rPr>
        <w:t xml:space="preserve"> ראיה לזה מהגמ' לקמן </w:t>
      </w:r>
      <w:r w:rsidRPr="000E53C5">
        <w:rPr>
          <w:rStyle w:val="aff6"/>
          <w:rFonts w:hint="cs"/>
          <w:rtl/>
        </w:rPr>
        <w:t>(עב:, עד.)</w:t>
      </w:r>
      <w:r w:rsidRPr="00EF4FD3">
        <w:rPr>
          <w:rStyle w:val="afb"/>
          <w:rFonts w:hint="cs"/>
          <w:rtl/>
        </w:rPr>
        <w:t>].</w:t>
      </w:r>
    </w:p>
    <w:p w14:paraId="36DD02D4" w14:textId="77777777" w:rsidR="003D504D" w:rsidRPr="008550AC" w:rsidRDefault="003D504D" w:rsidP="003D504D">
      <w:pPr>
        <w:pStyle w:val="a3"/>
      </w:pPr>
      <w:bookmarkStart w:id="15485" w:name="_Toc535526184"/>
      <w:bookmarkStart w:id="15486" w:name="_Toc535574878"/>
      <w:bookmarkStart w:id="15487" w:name="_Toc535702334"/>
      <w:bookmarkStart w:id="15488" w:name="_Toc535750476"/>
      <w:bookmarkStart w:id="15489" w:name="_Toc19391031"/>
      <w:bookmarkStart w:id="15490" w:name="_Toc19394528"/>
      <w:r>
        <w:rPr>
          <w:rFonts w:hint="cs"/>
          <w:rtl/>
        </w:rPr>
        <w:t xml:space="preserve">ביאור הראבי"ה דהיתר </w:t>
      </w:r>
      <w:r>
        <w:rPr>
          <w:rtl/>
        </w:rPr>
        <w:t>"</w:t>
      </w:r>
      <w:r>
        <w:rPr>
          <w:rFonts w:hint="cs"/>
          <w:rtl/>
        </w:rPr>
        <w:t>כל בבהמה</w:t>
      </w:r>
      <w:r>
        <w:rPr>
          <w:rtl/>
        </w:rPr>
        <w:t>"</w:t>
      </w:r>
      <w:r>
        <w:rPr>
          <w:rFonts w:hint="cs"/>
          <w:rtl/>
        </w:rPr>
        <w:t xml:space="preserve"> מתיר רק לענין שחיטה ולא לשאר איסורים</w:t>
      </w:r>
      <w:bookmarkEnd w:id="15485"/>
      <w:bookmarkEnd w:id="15486"/>
      <w:bookmarkEnd w:id="15487"/>
      <w:bookmarkEnd w:id="15488"/>
      <w:bookmarkEnd w:id="15489"/>
      <w:bookmarkEnd w:id="15490"/>
    </w:p>
    <w:p w14:paraId="57C262D2" w14:textId="77777777" w:rsidR="003D504D" w:rsidRDefault="003D504D" w:rsidP="00223668">
      <w:pPr>
        <w:pStyle w:val="a0"/>
        <w:rPr>
          <w:rtl/>
        </w:rPr>
      </w:pPr>
      <w:r>
        <w:rPr>
          <w:rFonts w:hint="cs"/>
          <w:rtl/>
        </w:rPr>
        <w:t xml:space="preserve">וביאר </w:t>
      </w:r>
      <w:r w:rsidRPr="0051751A">
        <w:rPr>
          <w:rStyle w:val="af9"/>
          <w:rFonts w:hint="cs"/>
          <w:rtl/>
        </w:rPr>
        <w:t>הראבי"ה</w:t>
      </w:r>
      <w:r>
        <w:rPr>
          <w:rFonts w:hint="cs"/>
          <w:rtl/>
        </w:rPr>
        <w:t xml:space="preserve"> דדין היתר </w:t>
      </w:r>
      <w:r>
        <w:rPr>
          <w:rtl/>
        </w:rPr>
        <w:t>"</w:t>
      </w:r>
      <w:r>
        <w:rPr>
          <w:rFonts w:hint="cs"/>
          <w:rtl/>
        </w:rPr>
        <w:t>כל בבהמה</w:t>
      </w:r>
      <w:r>
        <w:rPr>
          <w:rtl/>
        </w:rPr>
        <w:t>"</w:t>
      </w:r>
      <w:r>
        <w:rPr>
          <w:rFonts w:hint="cs"/>
          <w:rtl/>
        </w:rPr>
        <w:t>, נאמר רק לענין שחיטה, שבן פקועה אינו טעון שחיטה, אבל אי"ז מתיר לאוכלו טריפה, וכן אינו מתיר את דמו, ויש ילפותא מיוחדת להתיר את חלבו וגידו.</w:t>
      </w:r>
    </w:p>
    <w:p w14:paraId="5755EA07" w14:textId="77777777" w:rsidR="003D504D" w:rsidRDefault="003D504D" w:rsidP="003D504D">
      <w:pPr>
        <w:pStyle w:val="a3"/>
        <w:rPr>
          <w:rtl/>
        </w:rPr>
      </w:pPr>
      <w:bookmarkStart w:id="15491" w:name="_Toc535526185"/>
      <w:bookmarkStart w:id="15492" w:name="_Toc535574879"/>
      <w:bookmarkStart w:id="15493" w:name="_Toc535702335"/>
      <w:bookmarkStart w:id="15494" w:name="_Toc535750477"/>
      <w:bookmarkStart w:id="15495" w:name="_Toc19391032"/>
      <w:bookmarkStart w:id="15496" w:name="_Toc19394529"/>
      <w:r>
        <w:rPr>
          <w:rFonts w:hint="cs"/>
          <w:rtl/>
        </w:rPr>
        <w:t>קושית הרדב"ז דכיון שהותר בשחיטת אמו אינו טעון שחיטה כלל ואינו אסור בטריפה</w:t>
      </w:r>
      <w:bookmarkEnd w:id="15491"/>
      <w:bookmarkEnd w:id="15492"/>
      <w:bookmarkEnd w:id="15493"/>
      <w:bookmarkEnd w:id="15494"/>
      <w:bookmarkEnd w:id="15495"/>
      <w:bookmarkEnd w:id="15496"/>
    </w:p>
    <w:p w14:paraId="16000349" w14:textId="77777777" w:rsidR="003D504D" w:rsidRDefault="003D504D" w:rsidP="00223668">
      <w:pPr>
        <w:pStyle w:val="a0"/>
        <w:rPr>
          <w:rtl/>
        </w:rPr>
      </w:pPr>
      <w:r>
        <w:rPr>
          <w:rFonts w:hint="cs"/>
          <w:rtl/>
        </w:rPr>
        <w:t xml:space="preserve">והקשה </w:t>
      </w:r>
      <w:r w:rsidRPr="00363FCA">
        <w:rPr>
          <w:rStyle w:val="af9"/>
          <w:rFonts w:hint="cs"/>
          <w:rtl/>
        </w:rPr>
        <w:t>הרדב"ז</w:t>
      </w:r>
      <w:r>
        <w:rPr>
          <w:rFonts w:hint="cs"/>
          <w:rtl/>
        </w:rPr>
        <w:t xml:space="preserve"> </w:t>
      </w:r>
      <w:r w:rsidRPr="00363FCA">
        <w:rPr>
          <w:rStyle w:val="af7"/>
          <w:rFonts w:eastAsia="Guttman Hodes" w:hint="cs"/>
          <w:rtl/>
        </w:rPr>
        <w:t xml:space="preserve">(שו"ת ח"א סי' ק"צ) </w:t>
      </w:r>
      <w:r>
        <w:rPr>
          <w:rFonts w:hint="cs"/>
          <w:rtl/>
        </w:rPr>
        <w:t xml:space="preserve">על האו"ז שכתב דרק </w:t>
      </w:r>
      <w:r w:rsidRPr="005863D3">
        <w:rPr>
          <w:rStyle w:val="af9"/>
          <w:rFonts w:hint="cs"/>
          <w:rtl/>
        </w:rPr>
        <w:t>רבינו ש</w:t>
      </w:r>
      <w:r w:rsidRPr="0051751A">
        <w:rPr>
          <w:rStyle w:val="af9"/>
          <w:rFonts w:hint="cs"/>
          <w:rtl/>
        </w:rPr>
        <w:t>מואל בר נטרונאי</w:t>
      </w:r>
      <w:r>
        <w:rPr>
          <w:rFonts w:hint="cs"/>
          <w:rtl/>
        </w:rPr>
        <w:t xml:space="preserve"> פליג על </w:t>
      </w:r>
      <w:r w:rsidRPr="00363FCA">
        <w:rPr>
          <w:rStyle w:val="af9"/>
          <w:rFonts w:hint="cs"/>
          <w:rtl/>
        </w:rPr>
        <w:t>הראבי"ה</w:t>
      </w:r>
      <w:r>
        <w:rPr>
          <w:rFonts w:hint="cs"/>
          <w:rtl/>
        </w:rPr>
        <w:t xml:space="preserve">, הרי כו"ע פליגי עליה  דהא לדידן דקיי"ל </w:t>
      </w:r>
      <w:r w:rsidRPr="003716BE">
        <w:rPr>
          <w:rStyle w:val="afb"/>
          <w:rFonts w:hint="cs"/>
          <w:rtl/>
        </w:rPr>
        <w:t xml:space="preserve">[כדעת רבי יהודה אף בנמצא חי] </w:t>
      </w:r>
      <w:r>
        <w:rPr>
          <w:rFonts w:hint="cs"/>
          <w:rtl/>
        </w:rPr>
        <w:t xml:space="preserve">דשחיטת אמו מטהרתו, וא"כ פשיטא דהשחיטה מתירה אף אם העובר הוא טריפה, דהא אינו טעון שחיטה, </w:t>
      </w:r>
      <w:r w:rsidRPr="00363FCA">
        <w:rPr>
          <w:rStyle w:val="afb"/>
          <w:rFonts w:hint="cs"/>
          <w:rtl/>
        </w:rPr>
        <w:t xml:space="preserve">[ועיי"ש שדחק </w:t>
      </w:r>
      <w:r w:rsidRPr="00363FCA">
        <w:rPr>
          <w:rStyle w:val="affa"/>
          <w:rFonts w:hint="cs"/>
          <w:rtl/>
        </w:rPr>
        <w:t>הרדב"ז</w:t>
      </w:r>
      <w:r w:rsidRPr="00363FCA">
        <w:rPr>
          <w:rStyle w:val="afb"/>
          <w:rFonts w:hint="cs"/>
          <w:rtl/>
        </w:rPr>
        <w:t xml:space="preserve"> </w:t>
      </w:r>
      <w:r>
        <w:rPr>
          <w:rStyle w:val="afb"/>
          <w:rFonts w:hint="cs"/>
          <w:rtl/>
        </w:rPr>
        <w:t xml:space="preserve">דפלוגתת </w:t>
      </w:r>
      <w:r w:rsidRPr="006409DD">
        <w:rPr>
          <w:rStyle w:val="affa"/>
          <w:rFonts w:hint="cs"/>
          <w:rtl/>
        </w:rPr>
        <w:t xml:space="preserve">רבינו שמואל בר נטרונאי </w:t>
      </w:r>
      <w:r>
        <w:rPr>
          <w:rStyle w:val="affa"/>
          <w:rFonts w:hint="cs"/>
          <w:rtl/>
        </w:rPr>
        <w:t>ו</w:t>
      </w:r>
      <w:r w:rsidRPr="006409DD">
        <w:rPr>
          <w:rStyle w:val="affa"/>
          <w:rFonts w:hint="cs"/>
          <w:rtl/>
        </w:rPr>
        <w:t>הראבי</w:t>
      </w:r>
      <w:r w:rsidRPr="00363FCA">
        <w:rPr>
          <w:rStyle w:val="affa"/>
          <w:rFonts w:hint="cs"/>
          <w:rtl/>
        </w:rPr>
        <w:t>"ה</w:t>
      </w:r>
      <w:r w:rsidRPr="00363FCA">
        <w:rPr>
          <w:rStyle w:val="afb"/>
          <w:rFonts w:hint="cs"/>
          <w:rtl/>
        </w:rPr>
        <w:t xml:space="preserve"> ה</w:t>
      </w:r>
      <w:r>
        <w:rPr>
          <w:rStyle w:val="afb"/>
          <w:rFonts w:hint="cs"/>
          <w:rtl/>
        </w:rPr>
        <w:t>י</w:t>
      </w:r>
      <w:r w:rsidRPr="00363FCA">
        <w:rPr>
          <w:rStyle w:val="afb"/>
          <w:rFonts w:hint="cs"/>
          <w:rtl/>
        </w:rPr>
        <w:t xml:space="preserve">א רק בנטרף אחר שנשחטה אמו, </w:t>
      </w:r>
      <w:r>
        <w:rPr>
          <w:rStyle w:val="afb"/>
          <w:rFonts w:hint="cs"/>
          <w:rtl/>
        </w:rPr>
        <w:t xml:space="preserve">אי </w:t>
      </w:r>
      <w:r w:rsidRPr="00363FCA">
        <w:rPr>
          <w:rStyle w:val="afb"/>
          <w:rFonts w:hint="cs"/>
          <w:rtl/>
        </w:rPr>
        <w:t>אסור מדרבנן]</w:t>
      </w:r>
      <w:r>
        <w:rPr>
          <w:rStyle w:val="af1"/>
          <w:rtl/>
        </w:rPr>
        <w:footnoteReference w:id="104"/>
      </w:r>
      <w:r>
        <w:rPr>
          <w:rFonts w:hint="cs"/>
          <w:rtl/>
        </w:rPr>
        <w:t>.</w:t>
      </w:r>
    </w:p>
    <w:p w14:paraId="198ABAD9" w14:textId="77777777" w:rsidR="003D504D" w:rsidRPr="00642F9C" w:rsidRDefault="003D504D" w:rsidP="003D504D">
      <w:pPr>
        <w:pStyle w:val="a3"/>
        <w:rPr>
          <w:rtl/>
        </w:rPr>
      </w:pPr>
      <w:bookmarkStart w:id="15497" w:name="_Toc535526186"/>
      <w:bookmarkStart w:id="15498" w:name="_Toc535574880"/>
      <w:bookmarkStart w:id="15499" w:name="_Toc535702336"/>
      <w:bookmarkStart w:id="15500" w:name="_Toc535750478"/>
      <w:bookmarkStart w:id="15501" w:name="_Toc19391033"/>
      <w:bookmarkStart w:id="15502" w:name="_Toc19394530"/>
      <w:r>
        <w:rPr>
          <w:rFonts w:hint="cs"/>
          <w:rtl/>
        </w:rPr>
        <w:t>ביאור הנאות יעקב דלהראבי"ה ההיתר בבן פקועה הוא דחשיב כשחוט ואינו מתיר טריפה</w:t>
      </w:r>
      <w:bookmarkEnd w:id="15497"/>
      <w:bookmarkEnd w:id="15498"/>
      <w:bookmarkEnd w:id="15499"/>
      <w:bookmarkEnd w:id="15500"/>
      <w:bookmarkEnd w:id="15501"/>
      <w:bookmarkEnd w:id="15502"/>
    </w:p>
    <w:p w14:paraId="7A2EDA90" w14:textId="77777777" w:rsidR="003D504D" w:rsidRDefault="003D504D" w:rsidP="00223668">
      <w:pPr>
        <w:pStyle w:val="a0"/>
        <w:rPr>
          <w:rtl/>
        </w:rPr>
      </w:pPr>
      <w:r>
        <w:rPr>
          <w:rFonts w:hint="cs"/>
          <w:rtl/>
        </w:rPr>
        <w:t xml:space="preserve">וביאר </w:t>
      </w:r>
      <w:r w:rsidRPr="0051751A">
        <w:rPr>
          <w:rStyle w:val="af9"/>
          <w:rFonts w:hint="cs"/>
          <w:rtl/>
        </w:rPr>
        <w:t>הנאות יעקב</w:t>
      </w:r>
      <w:r>
        <w:rPr>
          <w:rFonts w:hint="cs"/>
          <w:rtl/>
        </w:rPr>
        <w:t xml:space="preserve"> </w:t>
      </w:r>
      <w:r w:rsidRPr="0051751A">
        <w:rPr>
          <w:rStyle w:val="af7"/>
          <w:rFonts w:eastAsia="Guttman Hodes" w:hint="cs"/>
          <w:rtl/>
        </w:rPr>
        <w:t xml:space="preserve">(סי' כ"ב ס"ק ו' ד"ה ולדידי בסוגריים) </w:t>
      </w:r>
      <w:r>
        <w:rPr>
          <w:rFonts w:hint="cs"/>
          <w:rtl/>
        </w:rPr>
        <w:t xml:space="preserve">דס"ל </w:t>
      </w:r>
      <w:r>
        <w:rPr>
          <w:rStyle w:val="af9"/>
          <w:rFonts w:hint="cs"/>
          <w:rtl/>
        </w:rPr>
        <w:t>ל</w:t>
      </w:r>
      <w:r w:rsidRPr="0051751A">
        <w:rPr>
          <w:rStyle w:val="af9"/>
          <w:rFonts w:hint="cs"/>
          <w:rtl/>
        </w:rPr>
        <w:t>הראבי"ה</w:t>
      </w:r>
      <w:r>
        <w:rPr>
          <w:rFonts w:hint="cs"/>
          <w:rtl/>
        </w:rPr>
        <w:t xml:space="preserve"> דההיתר דבן פקועה בשחיטת אמו, הוא דחשיב שהעובר עצמו נשחט, ולכן אם נמצא העובר טריפה לא מהניא ליה שחיטתו. </w:t>
      </w:r>
    </w:p>
    <w:p w14:paraId="7283CE4E" w14:textId="77777777" w:rsidR="003D504D" w:rsidRPr="00B2717B" w:rsidRDefault="003D504D" w:rsidP="00BF39B2">
      <w:pPr>
        <w:pStyle w:val="1"/>
        <w:rPr>
          <w:rtl/>
        </w:rPr>
      </w:pPr>
      <w:bookmarkStart w:id="15503" w:name="_Toc535526187"/>
      <w:bookmarkStart w:id="15504" w:name="_Toc535574881"/>
      <w:bookmarkStart w:id="15505" w:name="_Toc535702337"/>
      <w:bookmarkStart w:id="15506" w:name="_Toc535750479"/>
      <w:bookmarkStart w:id="15507" w:name="_Toc19391034"/>
      <w:bookmarkStart w:id="15508" w:name="_Toc19394531"/>
      <w:r>
        <w:rPr>
          <w:rFonts w:hint="cs"/>
          <w:rtl/>
        </w:rPr>
        <w:t>ביאור הבכור שור דלהראבי"ה יש ב' דינים בהיתר בן פקועה</w:t>
      </w:r>
      <w:bookmarkEnd w:id="15503"/>
      <w:bookmarkEnd w:id="15504"/>
      <w:bookmarkEnd w:id="15505"/>
      <w:bookmarkEnd w:id="15506"/>
      <w:bookmarkEnd w:id="15507"/>
      <w:bookmarkEnd w:id="15508"/>
    </w:p>
    <w:p w14:paraId="458E7A40" w14:textId="77777777" w:rsidR="003D504D" w:rsidRDefault="003D504D" w:rsidP="003D504D">
      <w:pPr>
        <w:pStyle w:val="a3"/>
        <w:rPr>
          <w:rtl/>
        </w:rPr>
      </w:pPr>
      <w:bookmarkStart w:id="15509" w:name="_Toc535526188"/>
      <w:bookmarkStart w:id="15510" w:name="_Toc535574882"/>
      <w:bookmarkStart w:id="15511" w:name="_Toc535702338"/>
      <w:bookmarkStart w:id="15512" w:name="_Toc535750480"/>
      <w:bookmarkStart w:id="15513" w:name="_Toc19391035"/>
      <w:bookmarkStart w:id="15514" w:name="_Toc19394532"/>
      <w:r>
        <w:rPr>
          <w:rFonts w:hint="cs"/>
          <w:rtl/>
        </w:rPr>
        <w:t xml:space="preserve">דברי הבכור שור דלהראבי"ה נאמר בעובר  היתר </w:t>
      </w:r>
      <w:r>
        <w:rPr>
          <w:rtl/>
        </w:rPr>
        <w:t>"</w:t>
      </w:r>
      <w:r>
        <w:rPr>
          <w:rFonts w:hint="cs"/>
          <w:rtl/>
        </w:rPr>
        <w:t>כל בבהמה</w:t>
      </w:r>
      <w:r>
        <w:rPr>
          <w:rtl/>
        </w:rPr>
        <w:t>"</w:t>
      </w:r>
      <w:r>
        <w:rPr>
          <w:rFonts w:hint="cs"/>
          <w:rtl/>
        </w:rPr>
        <w:t xml:space="preserve"> רק כשאין לו שחיטה מצד עצמו</w:t>
      </w:r>
      <w:bookmarkEnd w:id="15509"/>
      <w:bookmarkEnd w:id="15510"/>
      <w:bookmarkEnd w:id="15511"/>
      <w:bookmarkEnd w:id="15512"/>
      <w:bookmarkEnd w:id="15513"/>
      <w:bookmarkEnd w:id="15514"/>
      <w:r>
        <w:rPr>
          <w:rFonts w:hint="cs"/>
          <w:rtl/>
        </w:rPr>
        <w:t xml:space="preserve"> </w:t>
      </w:r>
    </w:p>
    <w:p w14:paraId="05F4C318" w14:textId="77777777" w:rsidR="003D504D" w:rsidRDefault="003D504D" w:rsidP="00223668">
      <w:pPr>
        <w:pStyle w:val="a0"/>
        <w:rPr>
          <w:rtl/>
        </w:rPr>
      </w:pPr>
      <w:r>
        <w:rPr>
          <w:rStyle w:val="af9"/>
          <w:rFonts w:hint="cs"/>
          <w:rtl/>
        </w:rPr>
        <w:t>ו</w:t>
      </w:r>
      <w:r w:rsidRPr="00B83F77">
        <w:rPr>
          <w:rStyle w:val="af9"/>
          <w:rFonts w:hint="cs"/>
          <w:rtl/>
        </w:rPr>
        <w:t>הבכור שור לקמן</w:t>
      </w:r>
      <w:r>
        <w:rPr>
          <w:rFonts w:hint="cs"/>
          <w:rtl/>
        </w:rPr>
        <w:t xml:space="preserve"> </w:t>
      </w:r>
      <w:r w:rsidRPr="00B83F77">
        <w:rPr>
          <w:rStyle w:val="af7"/>
          <w:rFonts w:eastAsia="Guttman Hodes" w:hint="cs"/>
          <w:rtl/>
        </w:rPr>
        <w:t>(עד. ד"ה מצא, נד' בסוף התבו"ש)</w:t>
      </w:r>
      <w:r>
        <w:rPr>
          <w:rFonts w:hint="cs"/>
          <w:rtl/>
        </w:rPr>
        <w:t xml:space="preserve"> ביאר דס"ל </w:t>
      </w:r>
      <w:r w:rsidRPr="00B83F77">
        <w:rPr>
          <w:rStyle w:val="af9"/>
          <w:rFonts w:hint="cs"/>
          <w:rtl/>
        </w:rPr>
        <w:t>להראבי"ה</w:t>
      </w:r>
      <w:r>
        <w:rPr>
          <w:rFonts w:hint="cs"/>
          <w:rtl/>
        </w:rPr>
        <w:t xml:space="preserve"> דכל מה שיש היתר בבן פקועה </w:t>
      </w:r>
      <w:r w:rsidRPr="00B83F77">
        <w:rPr>
          <w:rStyle w:val="afb"/>
          <w:rFonts w:hint="cs"/>
          <w:rtl/>
        </w:rPr>
        <w:t xml:space="preserve">[מדין </w:t>
      </w:r>
      <w:r>
        <w:rPr>
          <w:rStyle w:val="afb"/>
          <w:rtl/>
        </w:rPr>
        <w:t>"</w:t>
      </w:r>
      <w:r>
        <w:rPr>
          <w:rStyle w:val="afb"/>
          <w:rFonts w:hint="cs"/>
          <w:rtl/>
        </w:rPr>
        <w:t>כל בבהמה</w:t>
      </w:r>
      <w:r>
        <w:rPr>
          <w:rStyle w:val="afb"/>
          <w:rtl/>
        </w:rPr>
        <w:t>"</w:t>
      </w:r>
      <w:r w:rsidRPr="00B83F77">
        <w:rPr>
          <w:rStyle w:val="afb"/>
          <w:rFonts w:hint="cs"/>
          <w:rtl/>
        </w:rPr>
        <w:t>]</w:t>
      </w:r>
      <w:r>
        <w:rPr>
          <w:rFonts w:hint="cs"/>
          <w:rtl/>
        </w:rPr>
        <w:t xml:space="preserve"> דחשיב כאבר מאברי אמו, זהו דוקא כשאינו ראוי לשחיטה מצד עצמו, דהיינו בבן שמונה חי, או בבן תשעה מת.</w:t>
      </w:r>
    </w:p>
    <w:p w14:paraId="19ED1B08" w14:textId="77777777" w:rsidR="003D504D" w:rsidRPr="00CB3FF8" w:rsidRDefault="003D504D" w:rsidP="003D504D">
      <w:pPr>
        <w:pStyle w:val="a3"/>
      </w:pPr>
      <w:bookmarkStart w:id="15515" w:name="_Toc535526189"/>
      <w:bookmarkStart w:id="15516" w:name="_Toc535574883"/>
      <w:bookmarkStart w:id="15517" w:name="_Toc535702339"/>
      <w:bookmarkStart w:id="15518" w:name="_Toc535750481"/>
      <w:bookmarkStart w:id="15519" w:name="_Toc19391036"/>
      <w:bookmarkStart w:id="15520" w:name="_Toc19394533"/>
      <w:r>
        <w:rPr>
          <w:rFonts w:hint="cs"/>
          <w:rtl/>
        </w:rPr>
        <w:t>דברי הבכור שור דבעובר שראוי לשחיטה מצד עצמו דינו כשחוט דד' סימנים אכשר ביה רחמנא</w:t>
      </w:r>
      <w:bookmarkEnd w:id="15515"/>
      <w:bookmarkEnd w:id="15516"/>
      <w:bookmarkEnd w:id="15517"/>
      <w:bookmarkEnd w:id="15518"/>
      <w:bookmarkEnd w:id="15519"/>
      <w:bookmarkEnd w:id="15520"/>
    </w:p>
    <w:p w14:paraId="3832B4EF" w14:textId="77777777" w:rsidR="003D504D" w:rsidRDefault="003D504D" w:rsidP="00223668">
      <w:pPr>
        <w:pStyle w:val="a0"/>
        <w:rPr>
          <w:rtl/>
        </w:rPr>
      </w:pPr>
      <w:r>
        <w:rPr>
          <w:rFonts w:hint="cs"/>
          <w:rtl/>
        </w:rPr>
        <w:t xml:space="preserve">אבל בבן תשעה חי שראוי לשחיטה מצד עצמו, ביאר </w:t>
      </w:r>
      <w:r w:rsidRPr="00CB3FF8">
        <w:rPr>
          <w:rStyle w:val="af9"/>
          <w:rFonts w:hint="cs"/>
          <w:rtl/>
        </w:rPr>
        <w:t>הבכור שור</w:t>
      </w:r>
      <w:r>
        <w:rPr>
          <w:rFonts w:hint="cs"/>
          <w:rtl/>
        </w:rPr>
        <w:t xml:space="preserve"> דס"ל </w:t>
      </w:r>
      <w:r w:rsidRPr="00CB3FF8">
        <w:rPr>
          <w:rStyle w:val="af9"/>
          <w:rFonts w:hint="cs"/>
          <w:rtl/>
        </w:rPr>
        <w:t>להראבי"ה</w:t>
      </w:r>
      <w:r>
        <w:rPr>
          <w:rFonts w:hint="cs"/>
          <w:rtl/>
        </w:rPr>
        <w:t xml:space="preserve"> דאינו מותר מדין אבר מאברי אמו, אלא הוא טעון שחיטה, וחשיב שנשחט בשחיטת אמו, דד' סימנים אכשר ביה רחמנא, ולכן כשנמצא טריפה אסור, ככל טריפה שנשחטה.</w:t>
      </w:r>
    </w:p>
    <w:p w14:paraId="0C54030E" w14:textId="77777777" w:rsidR="003D504D" w:rsidRDefault="003D504D" w:rsidP="00BF39B2">
      <w:pPr>
        <w:pStyle w:val="1"/>
        <w:rPr>
          <w:rtl/>
        </w:rPr>
      </w:pPr>
      <w:bookmarkStart w:id="15521" w:name="_Toc535302113"/>
      <w:bookmarkStart w:id="15522" w:name="_Toc535526190"/>
      <w:bookmarkStart w:id="15523" w:name="_Toc535574884"/>
      <w:bookmarkStart w:id="15524" w:name="_Toc535702340"/>
      <w:bookmarkStart w:id="15525" w:name="_Toc535750482"/>
      <w:bookmarkStart w:id="15526" w:name="_Toc19391037"/>
      <w:bookmarkStart w:id="15527" w:name="_Toc19394534"/>
      <w:r w:rsidRPr="0079032D">
        <w:rPr>
          <w:rFonts w:hint="cs"/>
          <w:rtl/>
        </w:rPr>
        <w:t xml:space="preserve">דברי </w:t>
      </w:r>
      <w:r>
        <w:rPr>
          <w:rFonts w:hint="cs"/>
          <w:rtl/>
        </w:rPr>
        <w:t>התוס' הרא"ש והשיטמ"ק בב"ק דבן פקועה חשיב כשחוט</w:t>
      </w:r>
      <w:bookmarkEnd w:id="15521"/>
      <w:bookmarkEnd w:id="15522"/>
      <w:bookmarkEnd w:id="15523"/>
      <w:bookmarkEnd w:id="15524"/>
      <w:bookmarkEnd w:id="15525"/>
      <w:bookmarkEnd w:id="15526"/>
      <w:bookmarkEnd w:id="15527"/>
    </w:p>
    <w:p w14:paraId="0E05D57B" w14:textId="77777777" w:rsidR="003D504D" w:rsidRDefault="003D504D" w:rsidP="003D504D">
      <w:pPr>
        <w:pStyle w:val="a3"/>
        <w:rPr>
          <w:rtl/>
        </w:rPr>
      </w:pPr>
      <w:bookmarkStart w:id="15528" w:name="_Toc535526191"/>
      <w:bookmarkStart w:id="15529" w:name="_Toc535574885"/>
      <w:bookmarkStart w:id="15530" w:name="_Toc535702341"/>
      <w:bookmarkStart w:id="15531" w:name="_Toc535750483"/>
      <w:bookmarkStart w:id="15532" w:name="_Toc19391038"/>
      <w:bookmarkStart w:id="15533" w:name="_Toc19394535"/>
      <w:r>
        <w:rPr>
          <w:rFonts w:hint="cs"/>
          <w:rtl/>
        </w:rPr>
        <w:t>דברי התוס' רא"ש והתוס' שאנץ ורבינו ישעיה בב"ק דבן פקועה חשיב כשחוט</w:t>
      </w:r>
      <w:bookmarkEnd w:id="15528"/>
      <w:bookmarkEnd w:id="15529"/>
      <w:bookmarkEnd w:id="15530"/>
      <w:bookmarkEnd w:id="15531"/>
      <w:bookmarkEnd w:id="15532"/>
      <w:bookmarkEnd w:id="15533"/>
    </w:p>
    <w:p w14:paraId="10DB754D" w14:textId="77777777" w:rsidR="003D504D" w:rsidRDefault="003D504D" w:rsidP="00223668">
      <w:pPr>
        <w:pStyle w:val="a0"/>
        <w:rPr>
          <w:rtl/>
        </w:rPr>
      </w:pPr>
      <w:r>
        <w:rPr>
          <w:rFonts w:hint="cs"/>
          <w:rtl/>
        </w:rPr>
        <w:t xml:space="preserve">ויעוי' עוד בדברי </w:t>
      </w:r>
      <w:r w:rsidRPr="0079032D">
        <w:rPr>
          <w:rStyle w:val="af9"/>
          <w:rFonts w:hint="cs"/>
          <w:rtl/>
        </w:rPr>
        <w:t xml:space="preserve">התוס' הרא"ש בב"ק </w:t>
      </w:r>
      <w:r w:rsidRPr="0079032D">
        <w:rPr>
          <w:rStyle w:val="af7"/>
          <w:rFonts w:eastAsia="Guttman Hodes" w:hint="cs"/>
          <w:rtl/>
        </w:rPr>
        <w:t>(מא. ד"ה איני)</w:t>
      </w:r>
      <w:r>
        <w:rPr>
          <w:rFonts w:hint="cs"/>
          <w:rtl/>
        </w:rPr>
        <w:t xml:space="preserve"> דכתב דבן פקועה חשיב כשחוט, וכ"כ </w:t>
      </w:r>
      <w:r w:rsidRPr="0079032D">
        <w:rPr>
          <w:rStyle w:val="af9"/>
          <w:rFonts w:hint="cs"/>
          <w:rtl/>
        </w:rPr>
        <w:t xml:space="preserve">השיטמ"ק בב"ק </w:t>
      </w:r>
      <w:r w:rsidRPr="0079032D">
        <w:rPr>
          <w:rStyle w:val="af7"/>
          <w:rFonts w:eastAsia="Guttman Hodes" w:hint="cs"/>
          <w:rtl/>
        </w:rPr>
        <w:t>(מא.)</w:t>
      </w:r>
      <w:r>
        <w:rPr>
          <w:rFonts w:hint="cs"/>
          <w:rtl/>
        </w:rPr>
        <w:t xml:space="preserve"> בשם </w:t>
      </w:r>
      <w:r w:rsidRPr="0079032D">
        <w:rPr>
          <w:rStyle w:val="af9"/>
          <w:rFonts w:hint="cs"/>
          <w:rtl/>
        </w:rPr>
        <w:t xml:space="preserve">התוס' שאנץ </w:t>
      </w:r>
      <w:r w:rsidRPr="0079032D">
        <w:rPr>
          <w:rStyle w:val="af7"/>
          <w:rFonts w:eastAsia="Guttman Hodes" w:hint="cs"/>
          <w:rtl/>
        </w:rPr>
        <w:t>(ד"ה איני)</w:t>
      </w:r>
      <w:r>
        <w:rPr>
          <w:rFonts w:hint="cs"/>
          <w:rtl/>
        </w:rPr>
        <w:t xml:space="preserve"> </w:t>
      </w:r>
      <w:r w:rsidRPr="0079032D">
        <w:rPr>
          <w:rStyle w:val="af9"/>
          <w:rFonts w:hint="cs"/>
          <w:rtl/>
        </w:rPr>
        <w:t xml:space="preserve">ורבינו ישעיה </w:t>
      </w:r>
      <w:r w:rsidRPr="0079032D">
        <w:rPr>
          <w:rStyle w:val="af7"/>
          <w:rFonts w:eastAsia="Guttman Hodes" w:hint="cs"/>
          <w:rtl/>
        </w:rPr>
        <w:t>(ד"ה ורבינו ישעיה)</w:t>
      </w:r>
      <w:r>
        <w:rPr>
          <w:rFonts w:hint="cs"/>
          <w:rtl/>
        </w:rPr>
        <w:t>.</w:t>
      </w:r>
    </w:p>
    <w:p w14:paraId="4E2FC57E" w14:textId="77777777" w:rsidR="003D504D" w:rsidRPr="001939C9" w:rsidRDefault="003D504D" w:rsidP="003D504D">
      <w:pPr>
        <w:pStyle w:val="afe"/>
        <w:rPr>
          <w:rtl/>
        </w:rPr>
      </w:pPr>
      <w:bookmarkStart w:id="15534" w:name="_Toc535178748"/>
      <w:bookmarkStart w:id="15535" w:name="_Toc535302117"/>
      <w:bookmarkStart w:id="15536" w:name="_Toc535526192"/>
      <w:bookmarkStart w:id="15537" w:name="_Toc535574886"/>
      <w:bookmarkStart w:id="15538" w:name="_Toc535702342"/>
      <w:bookmarkStart w:id="15539" w:name="_Toc535750484"/>
      <w:bookmarkStart w:id="15540" w:name="_Toc19436003"/>
      <w:bookmarkStart w:id="15541" w:name="_Toc20081213"/>
      <w:r>
        <w:rPr>
          <w:rFonts w:hint="cs"/>
          <w:rtl/>
        </w:rPr>
        <w:t>בגדר האיסור באבר היוצא</w:t>
      </w:r>
      <w:bookmarkEnd w:id="15534"/>
      <w:bookmarkEnd w:id="15535"/>
      <w:bookmarkEnd w:id="15536"/>
      <w:bookmarkEnd w:id="15537"/>
      <w:bookmarkEnd w:id="15538"/>
      <w:bookmarkEnd w:id="15539"/>
      <w:bookmarkEnd w:id="15540"/>
      <w:bookmarkEnd w:id="15541"/>
    </w:p>
    <w:p w14:paraId="19B8474C" w14:textId="77777777" w:rsidR="003D504D" w:rsidRDefault="003D504D" w:rsidP="00BF39B2">
      <w:pPr>
        <w:pStyle w:val="1"/>
        <w:rPr>
          <w:rtl/>
        </w:rPr>
      </w:pPr>
      <w:bookmarkStart w:id="15542" w:name="_Toc535178749"/>
      <w:bookmarkStart w:id="15543" w:name="_Toc535302118"/>
      <w:bookmarkStart w:id="15544" w:name="_Toc535526193"/>
      <w:bookmarkStart w:id="15545" w:name="_Toc535574887"/>
      <w:bookmarkStart w:id="15546" w:name="_Toc535702343"/>
      <w:bookmarkStart w:id="15547" w:name="_Toc535750485"/>
      <w:bookmarkStart w:id="15548" w:name="_Toc19391039"/>
      <w:bookmarkStart w:id="15549" w:name="_Toc19394536"/>
      <w:r>
        <w:rPr>
          <w:rFonts w:hint="cs"/>
          <w:rtl/>
        </w:rPr>
        <w:t>חקירת הפרמ"ג</w:t>
      </w:r>
      <w:bookmarkEnd w:id="15542"/>
      <w:bookmarkEnd w:id="15543"/>
      <w:r>
        <w:rPr>
          <w:rFonts w:hint="cs"/>
          <w:rtl/>
        </w:rPr>
        <w:t xml:space="preserve"> אי אסור בטריפה או באבר מן החי</w:t>
      </w:r>
      <w:bookmarkEnd w:id="15544"/>
      <w:bookmarkEnd w:id="15545"/>
      <w:bookmarkEnd w:id="15546"/>
      <w:bookmarkEnd w:id="15547"/>
      <w:bookmarkEnd w:id="15548"/>
      <w:bookmarkEnd w:id="15549"/>
    </w:p>
    <w:p w14:paraId="4D93DDE3" w14:textId="77777777" w:rsidR="003D504D" w:rsidRDefault="003D504D" w:rsidP="003D504D">
      <w:pPr>
        <w:pStyle w:val="a3"/>
        <w:rPr>
          <w:rtl/>
        </w:rPr>
      </w:pPr>
      <w:bookmarkStart w:id="15550" w:name="_Toc535526194"/>
      <w:bookmarkStart w:id="15551" w:name="_Toc535574888"/>
      <w:bookmarkStart w:id="15552" w:name="_Toc535702344"/>
      <w:bookmarkStart w:id="15553" w:name="_Toc535750486"/>
      <w:bookmarkStart w:id="15554" w:name="_Toc19391040"/>
      <w:bookmarkStart w:id="15555" w:name="_Toc19394537"/>
      <w:r>
        <w:rPr>
          <w:rFonts w:hint="cs"/>
          <w:rtl/>
        </w:rPr>
        <w:t>חקירת הפרמ"ג אי אבר היוצא לא מהני ליה שחיטה ואסור באבמה"ח או שיש בו איסור טריפה</w:t>
      </w:r>
      <w:bookmarkEnd w:id="15550"/>
      <w:bookmarkEnd w:id="15551"/>
      <w:bookmarkEnd w:id="15552"/>
      <w:bookmarkEnd w:id="15553"/>
      <w:bookmarkEnd w:id="15554"/>
      <w:bookmarkEnd w:id="15555"/>
    </w:p>
    <w:p w14:paraId="3CB43EE8" w14:textId="77777777" w:rsidR="003D504D" w:rsidRDefault="003D504D" w:rsidP="00223668">
      <w:pPr>
        <w:pStyle w:val="a0"/>
        <w:rPr>
          <w:rtl/>
        </w:rPr>
      </w:pPr>
      <w:r>
        <w:rPr>
          <w:rFonts w:hint="cs"/>
          <w:rtl/>
        </w:rPr>
        <w:t xml:space="preserve">חקר </w:t>
      </w:r>
      <w:r w:rsidRPr="00F23555">
        <w:rPr>
          <w:rStyle w:val="af9"/>
          <w:rFonts w:hint="cs"/>
          <w:rtl/>
        </w:rPr>
        <w:t>הפרמ"ג</w:t>
      </w:r>
      <w:r w:rsidRPr="00B23835">
        <w:rPr>
          <w:rFonts w:hint="cs"/>
          <w:rtl/>
        </w:rPr>
        <w:t xml:space="preserve"> </w:t>
      </w:r>
      <w:r w:rsidRPr="00F23555">
        <w:rPr>
          <w:rStyle w:val="af7"/>
          <w:rFonts w:eastAsia="Guttman Hodes" w:hint="cs"/>
          <w:rtl/>
        </w:rPr>
        <w:t xml:space="preserve">(סי' י"ד </w:t>
      </w:r>
      <w:r>
        <w:rPr>
          <w:rStyle w:val="af7"/>
          <w:rFonts w:eastAsia="Guttman Hodes" w:hint="cs"/>
          <w:rtl/>
        </w:rPr>
        <w:t xml:space="preserve">משב"ז </w:t>
      </w:r>
      <w:r w:rsidRPr="00F23555">
        <w:rPr>
          <w:rStyle w:val="af7"/>
          <w:rFonts w:eastAsia="Guttman Hodes" w:hint="cs"/>
          <w:rtl/>
        </w:rPr>
        <w:t>סק"ב)</w:t>
      </w:r>
      <w:r w:rsidRPr="00B23835">
        <w:rPr>
          <w:rFonts w:hint="cs"/>
          <w:rtl/>
        </w:rPr>
        <w:t xml:space="preserve"> </w:t>
      </w:r>
      <w:r>
        <w:rPr>
          <w:rFonts w:hint="cs"/>
          <w:rtl/>
        </w:rPr>
        <w:t xml:space="preserve">בגדר האיסור באבר היוצא, אי הוא מדין אבר מן החי, דהיינו שלא </w:t>
      </w:r>
      <w:r w:rsidRPr="00CD4BC4">
        <w:rPr>
          <w:rFonts w:hint="cs"/>
          <w:rtl/>
        </w:rPr>
        <w:t xml:space="preserve">הועילה לו שחיטת אמו, כיון </w:t>
      </w:r>
      <w:r>
        <w:rPr>
          <w:rFonts w:hint="cs"/>
          <w:rtl/>
        </w:rPr>
        <w:t>יצא מחוץ ל</w:t>
      </w:r>
      <w:r w:rsidRPr="00CD4BC4">
        <w:rPr>
          <w:rFonts w:hint="cs"/>
          <w:rtl/>
        </w:rPr>
        <w:t>מחיצות</w:t>
      </w:r>
      <w:r>
        <w:rPr>
          <w:rFonts w:hint="cs"/>
          <w:rtl/>
        </w:rPr>
        <w:t xml:space="preserve">, או דאין בו איסור אבר מן החי, דשחיטת אמו מהניא ליה אף כשהאבר מחוץ למחיצות </w:t>
      </w:r>
      <w:r w:rsidRPr="0069182C">
        <w:rPr>
          <w:rStyle w:val="afb"/>
          <w:rFonts w:hint="cs"/>
          <w:rtl/>
        </w:rPr>
        <w:t>[דאין לידה לאברים]</w:t>
      </w:r>
      <w:r>
        <w:rPr>
          <w:rFonts w:hint="cs"/>
          <w:rtl/>
        </w:rPr>
        <w:t>,</w:t>
      </w:r>
      <w:r w:rsidRPr="00CD4BC4">
        <w:rPr>
          <w:rFonts w:hint="cs"/>
          <w:rtl/>
        </w:rPr>
        <w:t xml:space="preserve"> </w:t>
      </w:r>
      <w:r>
        <w:rPr>
          <w:rFonts w:hint="cs"/>
          <w:rtl/>
        </w:rPr>
        <w:t>ויש בו איוסר חדש דאסור ב</w:t>
      </w:r>
      <w:r w:rsidRPr="00CD4BC4">
        <w:rPr>
          <w:rFonts w:hint="cs"/>
          <w:rtl/>
        </w:rPr>
        <w:t xml:space="preserve">דין טריפה, </w:t>
      </w:r>
      <w:r>
        <w:rPr>
          <w:rFonts w:hint="cs"/>
          <w:rtl/>
        </w:rPr>
        <w:t>[</w:t>
      </w:r>
      <w:r w:rsidRPr="00CD4BC4">
        <w:rPr>
          <w:rFonts w:hint="cs"/>
          <w:rtl/>
        </w:rPr>
        <w:t>ו</w:t>
      </w:r>
      <w:r>
        <w:rPr>
          <w:rFonts w:hint="cs"/>
          <w:rtl/>
        </w:rPr>
        <w:t xml:space="preserve">הוסיף </w:t>
      </w:r>
      <w:r w:rsidRPr="00CD4BC4">
        <w:rPr>
          <w:rStyle w:val="af9"/>
          <w:rFonts w:hint="cs"/>
          <w:rtl/>
        </w:rPr>
        <w:t>הפרמ"ג</w:t>
      </w:r>
      <w:r>
        <w:rPr>
          <w:rFonts w:hint="cs"/>
          <w:rtl/>
        </w:rPr>
        <w:t xml:space="preserve"> ד</w:t>
      </w:r>
      <w:r w:rsidRPr="00CD4BC4">
        <w:rPr>
          <w:rFonts w:hint="cs"/>
          <w:rtl/>
        </w:rPr>
        <w:t>ע</w:t>
      </w:r>
      <w:r>
        <w:rPr>
          <w:rFonts w:hint="cs"/>
          <w:rtl/>
        </w:rPr>
        <w:t>ובר מת אסור מדין נבילה].</w:t>
      </w:r>
    </w:p>
    <w:p w14:paraId="69DE2445" w14:textId="77777777" w:rsidR="003D504D" w:rsidRDefault="003D504D" w:rsidP="003D504D">
      <w:pPr>
        <w:pStyle w:val="a3"/>
        <w:rPr>
          <w:rtl/>
        </w:rPr>
      </w:pPr>
      <w:bookmarkStart w:id="15556" w:name="_Toc535702345"/>
      <w:bookmarkStart w:id="15557" w:name="_Toc535750487"/>
      <w:bookmarkStart w:id="15558" w:name="_Toc19391041"/>
      <w:bookmarkStart w:id="15559" w:name="_Toc19394538"/>
      <w:r>
        <w:rPr>
          <w:rFonts w:hint="cs"/>
          <w:rtl/>
        </w:rPr>
        <w:t>דברי הט"ז דכל שיצא מחוץ למחיצת אמו אין השחיטה מתירתו</w:t>
      </w:r>
      <w:bookmarkEnd w:id="15556"/>
      <w:bookmarkEnd w:id="15557"/>
      <w:bookmarkEnd w:id="15558"/>
      <w:bookmarkEnd w:id="15559"/>
    </w:p>
    <w:p w14:paraId="0A224AAE" w14:textId="77777777" w:rsidR="003D504D" w:rsidRDefault="003D504D" w:rsidP="00223668">
      <w:pPr>
        <w:pStyle w:val="a0"/>
        <w:rPr>
          <w:rtl/>
        </w:rPr>
      </w:pPr>
      <w:r>
        <w:rPr>
          <w:rtl/>
        </w:rPr>
        <w:t xml:space="preserve">ועי' </w:t>
      </w:r>
      <w:r>
        <w:rPr>
          <w:rStyle w:val="af9"/>
          <w:rtl/>
        </w:rPr>
        <w:t>בט"ז</w:t>
      </w:r>
      <w:r>
        <w:rPr>
          <w:rtl/>
        </w:rPr>
        <w:t xml:space="preserve"> </w:t>
      </w:r>
      <w:r>
        <w:rPr>
          <w:rStyle w:val="af7"/>
          <w:rFonts w:eastAsia="Guttman Hodes" w:hint="cs"/>
          <w:rtl/>
        </w:rPr>
        <w:t>(סי' י"ד סק"ב)</w:t>
      </w:r>
      <w:r>
        <w:rPr>
          <w:rtl/>
        </w:rPr>
        <w:t xml:space="preserve"> דביאר דהאיסור ביוצא חוץ למחיצתו, היינו דמחיצת הרחם הוא מחיצת העובר להתירו בשחיטת אמו, וכל שיצא מחוץ למחיצתו דהיינו לאויר העולם, אין לו היתר בשחיטת אמו, והוסיף </w:t>
      </w:r>
      <w:r>
        <w:rPr>
          <w:rStyle w:val="af9"/>
          <w:rtl/>
        </w:rPr>
        <w:t>הפרמ"ג</w:t>
      </w:r>
      <w:r>
        <w:rPr>
          <w:rtl/>
        </w:rPr>
        <w:t xml:space="preserve"> </w:t>
      </w:r>
      <w:r>
        <w:rPr>
          <w:rStyle w:val="af7"/>
          <w:rFonts w:eastAsia="Guttman Hodes" w:hint="cs"/>
          <w:rtl/>
        </w:rPr>
        <w:t>(סי' י"ד משב"ז סק"ב)</w:t>
      </w:r>
      <w:r>
        <w:rPr>
          <w:rtl/>
        </w:rPr>
        <w:t xml:space="preserve"> דאף שחיטת עצמו אינה מתירתו דסימניו כשחוטים.</w:t>
      </w:r>
    </w:p>
    <w:p w14:paraId="60979FFE" w14:textId="77777777" w:rsidR="003D504D" w:rsidRDefault="003D504D" w:rsidP="00BF39B2">
      <w:pPr>
        <w:pStyle w:val="1"/>
        <w:rPr>
          <w:rtl/>
        </w:rPr>
      </w:pPr>
      <w:bookmarkStart w:id="15560" w:name="_Toc535526195"/>
      <w:bookmarkStart w:id="15561" w:name="_Toc535574889"/>
      <w:bookmarkStart w:id="15562" w:name="_Toc535702346"/>
      <w:bookmarkStart w:id="15563" w:name="_Toc535750488"/>
      <w:bookmarkStart w:id="15564" w:name="_Toc19391042"/>
      <w:bookmarkStart w:id="15565" w:name="_Toc19394539"/>
      <w:r>
        <w:rPr>
          <w:rFonts w:hint="cs"/>
          <w:rtl/>
        </w:rPr>
        <w:t>דברי הפרמ"ג דלהרמב"ם והראב"ד אסור ב</w:t>
      </w:r>
      <w:bookmarkEnd w:id="15560"/>
      <w:bookmarkEnd w:id="15561"/>
      <w:bookmarkEnd w:id="15562"/>
      <w:bookmarkEnd w:id="15563"/>
      <w:r>
        <w:rPr>
          <w:rFonts w:hint="cs"/>
          <w:rtl/>
        </w:rPr>
        <w:t>טריפה</w:t>
      </w:r>
      <w:bookmarkEnd w:id="15564"/>
      <w:bookmarkEnd w:id="15565"/>
    </w:p>
    <w:p w14:paraId="33E1C89D" w14:textId="77777777" w:rsidR="003D504D" w:rsidRPr="00010D62" w:rsidRDefault="003D504D" w:rsidP="003D504D">
      <w:pPr>
        <w:pStyle w:val="a3"/>
      </w:pPr>
      <w:bookmarkStart w:id="15566" w:name="_Toc535526196"/>
      <w:bookmarkStart w:id="15567" w:name="_Toc535574890"/>
      <w:bookmarkStart w:id="15568" w:name="_Toc535702347"/>
      <w:bookmarkStart w:id="15569" w:name="_Toc535750489"/>
      <w:bookmarkStart w:id="15570" w:name="_Toc19391043"/>
      <w:bookmarkStart w:id="15571" w:name="_Toc19394540"/>
      <w:r>
        <w:rPr>
          <w:rFonts w:hint="cs"/>
          <w:rtl/>
        </w:rPr>
        <w:t>דברי הפרמ"ג דלהרמב"ם והראב"ד מהני השחיטה אף לאבר היוצא ואסור באיסור טריפה</w:t>
      </w:r>
      <w:bookmarkEnd w:id="15566"/>
      <w:bookmarkEnd w:id="15567"/>
      <w:bookmarkEnd w:id="15568"/>
      <w:bookmarkEnd w:id="15569"/>
      <w:bookmarkEnd w:id="15570"/>
      <w:bookmarkEnd w:id="15571"/>
    </w:p>
    <w:p w14:paraId="77D9F3BE" w14:textId="77777777" w:rsidR="003D504D" w:rsidRDefault="003D504D" w:rsidP="00223668">
      <w:pPr>
        <w:pStyle w:val="a0"/>
        <w:rPr>
          <w:rtl/>
        </w:rPr>
      </w:pPr>
      <w:r>
        <w:rPr>
          <w:rFonts w:hint="cs"/>
          <w:rtl/>
        </w:rPr>
        <w:t xml:space="preserve">וכתב </w:t>
      </w:r>
      <w:r w:rsidRPr="000B75A3">
        <w:rPr>
          <w:rStyle w:val="af9"/>
          <w:rFonts w:hint="cs"/>
          <w:rtl/>
        </w:rPr>
        <w:t>הפרמ"ג</w:t>
      </w:r>
      <w:r>
        <w:rPr>
          <w:rFonts w:hint="cs"/>
          <w:rtl/>
        </w:rPr>
        <w:t xml:space="preserve"> </w:t>
      </w:r>
      <w:r w:rsidRPr="000B75A3">
        <w:rPr>
          <w:rStyle w:val="af7"/>
          <w:rFonts w:eastAsia="Guttman Hodes" w:hint="cs"/>
          <w:rtl/>
        </w:rPr>
        <w:t xml:space="preserve">(עי' אות </w:t>
      </w:r>
      <w:r w:rsidRPr="000B75A3">
        <w:rPr>
          <w:rStyle w:val="af7"/>
          <w:rFonts w:eastAsia="Guttman Hodes"/>
          <w:rtl/>
        </w:rPr>
        <w:fldChar w:fldCharType="begin"/>
      </w:r>
      <w:r w:rsidRPr="000B75A3">
        <w:rPr>
          <w:rStyle w:val="af7"/>
          <w:rFonts w:eastAsia="Guttman Hodes"/>
          <w:rtl/>
        </w:rPr>
        <w:instrText xml:space="preserve"> </w:instrText>
      </w:r>
      <w:r w:rsidRPr="000B75A3">
        <w:rPr>
          <w:rStyle w:val="af7"/>
          <w:rFonts w:eastAsia="Guttman Hodes" w:hint="cs"/>
        </w:rPr>
        <w:instrText>REF</w:instrText>
      </w:r>
      <w:r w:rsidRPr="000B75A3">
        <w:rPr>
          <w:rStyle w:val="af7"/>
          <w:rFonts w:eastAsia="Guttman Hodes" w:hint="cs"/>
          <w:rtl/>
        </w:rPr>
        <w:instrText xml:space="preserve"> _</w:instrText>
      </w:r>
      <w:r w:rsidRPr="000B75A3">
        <w:rPr>
          <w:rStyle w:val="af7"/>
          <w:rFonts w:eastAsia="Guttman Hodes" w:hint="cs"/>
        </w:rPr>
        <w:instrText>Ref535312942 \r \h</w:instrText>
      </w:r>
      <w:r w:rsidRPr="000B75A3">
        <w:rPr>
          <w:rStyle w:val="af7"/>
          <w:rFonts w:eastAsia="Guttman Hodes"/>
          <w:rtl/>
        </w:rPr>
        <w:instrText xml:space="preserve"> </w:instrText>
      </w:r>
      <w:r w:rsidRPr="000B75A3">
        <w:rPr>
          <w:rStyle w:val="af7"/>
          <w:rFonts w:eastAsia="Guttman Hodes"/>
          <w:rtl/>
        </w:rPr>
      </w:r>
      <w:r w:rsidRPr="000B75A3">
        <w:rPr>
          <w:rStyle w:val="af7"/>
          <w:rFonts w:eastAsia="Guttman Hodes"/>
          <w:rtl/>
        </w:rPr>
        <w:fldChar w:fldCharType="separate"/>
      </w:r>
      <w:r w:rsidR="00345400">
        <w:rPr>
          <w:rStyle w:val="af7"/>
          <w:rFonts w:eastAsia="Guttman Hodes"/>
          <w:cs/>
        </w:rPr>
        <w:t>‎</w:t>
      </w:r>
      <w:r w:rsidR="00345400">
        <w:rPr>
          <w:rStyle w:val="af7"/>
          <w:rFonts w:eastAsia="Guttman Hodes"/>
          <w:rtl/>
        </w:rPr>
        <w:t>קא)</w:t>
      </w:r>
      <w:r w:rsidRPr="000B75A3">
        <w:rPr>
          <w:rStyle w:val="af7"/>
          <w:rFonts w:eastAsia="Guttman Hodes"/>
          <w:rtl/>
        </w:rPr>
        <w:fldChar w:fldCharType="end"/>
      </w:r>
      <w:r>
        <w:rPr>
          <w:rFonts w:hint="cs"/>
          <w:rtl/>
        </w:rPr>
        <w:t xml:space="preserve"> דמדברי </w:t>
      </w:r>
      <w:r w:rsidRPr="000B75A3">
        <w:rPr>
          <w:rStyle w:val="af9"/>
          <w:rFonts w:hint="cs"/>
          <w:rtl/>
        </w:rPr>
        <w:t>הרמב"ם</w:t>
      </w:r>
      <w:r>
        <w:rPr>
          <w:rFonts w:hint="cs"/>
          <w:rtl/>
        </w:rPr>
        <w:t xml:space="preserve"> </w:t>
      </w:r>
      <w:r w:rsidRPr="000B75A3">
        <w:rPr>
          <w:rStyle w:val="af7"/>
          <w:rFonts w:eastAsia="Guttman Hodes" w:hint="cs"/>
          <w:rtl/>
        </w:rPr>
        <w:t xml:space="preserve">(עי' אות </w:t>
      </w:r>
      <w:r w:rsidRPr="000B75A3">
        <w:rPr>
          <w:rStyle w:val="af7"/>
          <w:rFonts w:eastAsia="Guttman Hodes"/>
          <w:rtl/>
        </w:rPr>
        <w:fldChar w:fldCharType="begin"/>
      </w:r>
      <w:r w:rsidRPr="000B75A3">
        <w:rPr>
          <w:rStyle w:val="af7"/>
          <w:rFonts w:eastAsia="Guttman Hodes"/>
          <w:rtl/>
        </w:rPr>
        <w:instrText xml:space="preserve"> </w:instrText>
      </w:r>
      <w:r w:rsidRPr="000B75A3">
        <w:rPr>
          <w:rStyle w:val="af7"/>
          <w:rFonts w:eastAsia="Guttman Hodes" w:hint="cs"/>
        </w:rPr>
        <w:instrText>REF</w:instrText>
      </w:r>
      <w:r w:rsidRPr="000B75A3">
        <w:rPr>
          <w:rStyle w:val="af7"/>
          <w:rFonts w:eastAsia="Guttman Hodes" w:hint="cs"/>
          <w:rtl/>
        </w:rPr>
        <w:instrText xml:space="preserve"> _</w:instrText>
      </w:r>
      <w:r w:rsidRPr="000B75A3">
        <w:rPr>
          <w:rStyle w:val="af7"/>
          <w:rFonts w:eastAsia="Guttman Hodes" w:hint="cs"/>
        </w:rPr>
        <w:instrText>Ref535312984 \r \h</w:instrText>
      </w:r>
      <w:r w:rsidRPr="000B75A3">
        <w:rPr>
          <w:rStyle w:val="af7"/>
          <w:rFonts w:eastAsia="Guttman Hodes"/>
          <w:rtl/>
        </w:rPr>
        <w:instrText xml:space="preserve"> </w:instrText>
      </w:r>
      <w:r w:rsidRPr="000B75A3">
        <w:rPr>
          <w:rStyle w:val="af7"/>
          <w:rFonts w:eastAsia="Guttman Hodes"/>
          <w:rtl/>
        </w:rPr>
      </w:r>
      <w:r w:rsidRPr="000B75A3">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0B75A3">
        <w:rPr>
          <w:rStyle w:val="af7"/>
          <w:rFonts w:eastAsia="Guttman Hodes"/>
          <w:rtl/>
        </w:rPr>
        <w:fldChar w:fldCharType="end"/>
      </w:r>
      <w:r>
        <w:rPr>
          <w:rFonts w:hint="cs"/>
          <w:rtl/>
        </w:rPr>
        <w:t xml:space="preserve"> </w:t>
      </w:r>
      <w:r w:rsidRPr="000B75A3">
        <w:rPr>
          <w:rStyle w:val="af9"/>
          <w:rFonts w:hint="cs"/>
          <w:rtl/>
        </w:rPr>
        <w:t>והראב"ד</w:t>
      </w:r>
      <w:r>
        <w:rPr>
          <w:rFonts w:hint="cs"/>
          <w:rtl/>
        </w:rPr>
        <w:t xml:space="preserve"> </w:t>
      </w:r>
      <w:r w:rsidRPr="000B75A3">
        <w:rPr>
          <w:rStyle w:val="af7"/>
          <w:rFonts w:eastAsia="Guttman Hodes" w:hint="cs"/>
          <w:rtl/>
        </w:rPr>
        <w:t xml:space="preserve">(עי' אות </w:t>
      </w:r>
      <w:r w:rsidRPr="000B75A3">
        <w:rPr>
          <w:rStyle w:val="af7"/>
          <w:rFonts w:eastAsia="Guttman Hodes"/>
          <w:rtl/>
        </w:rPr>
        <w:fldChar w:fldCharType="begin"/>
      </w:r>
      <w:r w:rsidRPr="000B75A3">
        <w:rPr>
          <w:rStyle w:val="af7"/>
          <w:rFonts w:eastAsia="Guttman Hodes"/>
          <w:rtl/>
        </w:rPr>
        <w:instrText xml:space="preserve"> </w:instrText>
      </w:r>
      <w:r w:rsidRPr="000B75A3">
        <w:rPr>
          <w:rStyle w:val="af7"/>
          <w:rFonts w:eastAsia="Guttman Hodes" w:hint="cs"/>
        </w:rPr>
        <w:instrText>REF</w:instrText>
      </w:r>
      <w:r w:rsidRPr="000B75A3">
        <w:rPr>
          <w:rStyle w:val="af7"/>
          <w:rFonts w:eastAsia="Guttman Hodes" w:hint="cs"/>
          <w:rtl/>
        </w:rPr>
        <w:instrText xml:space="preserve"> _</w:instrText>
      </w:r>
      <w:r w:rsidRPr="000B75A3">
        <w:rPr>
          <w:rStyle w:val="af7"/>
          <w:rFonts w:eastAsia="Guttman Hodes" w:hint="cs"/>
        </w:rPr>
        <w:instrText>Ref535228133 \r \h</w:instrText>
      </w:r>
      <w:r w:rsidRPr="000B75A3">
        <w:rPr>
          <w:rStyle w:val="af7"/>
          <w:rFonts w:eastAsia="Guttman Hodes"/>
          <w:rtl/>
        </w:rPr>
        <w:instrText xml:space="preserve"> </w:instrText>
      </w:r>
      <w:r w:rsidRPr="000B75A3">
        <w:rPr>
          <w:rStyle w:val="af7"/>
          <w:rFonts w:eastAsia="Guttman Hodes"/>
          <w:rtl/>
        </w:rPr>
      </w:r>
      <w:r w:rsidRPr="000B75A3">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0B75A3">
        <w:rPr>
          <w:rStyle w:val="af7"/>
          <w:rFonts w:eastAsia="Guttman Hodes"/>
          <w:rtl/>
        </w:rPr>
        <w:fldChar w:fldCharType="end"/>
      </w:r>
      <w:r>
        <w:rPr>
          <w:rFonts w:hint="cs"/>
          <w:rtl/>
        </w:rPr>
        <w:t xml:space="preserve"> מבואר דהאיסור באבר היוצא הוא מדין טריפה, ולא מדין אבר מן החי, דשחיטת האם מהני להתירו מאיסור אבר מן החי, אף בלא החזיר את האבר, דכיון שאין לידה לאברים, והאבר שבחוץ שדינן ליה בפנים וחשיב שהוא בתוך הבהמה, ומהני השחיטה להתיר את העובר דאינו אבר מן החי, אף האבר היוצא מותר.</w:t>
      </w:r>
    </w:p>
    <w:p w14:paraId="7F68AF83" w14:textId="77777777" w:rsidR="003D504D" w:rsidRDefault="003D504D" w:rsidP="00BF39B2">
      <w:pPr>
        <w:pStyle w:val="1"/>
        <w:rPr>
          <w:rtl/>
        </w:rPr>
      </w:pPr>
      <w:bookmarkStart w:id="15572" w:name="_Toc535178750"/>
      <w:bookmarkStart w:id="15573" w:name="_Toc535302119"/>
      <w:bookmarkStart w:id="15574" w:name="_Toc535526197"/>
      <w:bookmarkStart w:id="15575" w:name="_Toc535574891"/>
      <w:bookmarkStart w:id="15576" w:name="_Toc535702348"/>
      <w:bookmarkStart w:id="15577" w:name="_Toc535750490"/>
      <w:bookmarkStart w:id="15578" w:name="_Toc19391044"/>
      <w:bookmarkStart w:id="15579" w:name="_Toc19394541"/>
      <w:r>
        <w:rPr>
          <w:rFonts w:hint="cs"/>
          <w:rtl/>
        </w:rPr>
        <w:t>דברי הרשב"א דהאבר חשיב כחי שאין לו תקנה בשחיטה</w:t>
      </w:r>
      <w:bookmarkEnd w:id="15572"/>
      <w:bookmarkEnd w:id="15573"/>
      <w:bookmarkEnd w:id="15574"/>
      <w:bookmarkEnd w:id="15575"/>
      <w:bookmarkEnd w:id="15576"/>
      <w:bookmarkEnd w:id="15577"/>
      <w:bookmarkEnd w:id="15578"/>
      <w:bookmarkEnd w:id="15579"/>
    </w:p>
    <w:p w14:paraId="6E223F94" w14:textId="77777777" w:rsidR="003D504D" w:rsidRPr="001939C9" w:rsidRDefault="003D504D" w:rsidP="003D504D">
      <w:pPr>
        <w:pStyle w:val="a3"/>
        <w:rPr>
          <w:rtl/>
        </w:rPr>
      </w:pPr>
      <w:bookmarkStart w:id="15580" w:name="_Toc535526198"/>
      <w:bookmarkStart w:id="15581" w:name="_Toc535574892"/>
      <w:bookmarkStart w:id="15582" w:name="_Toc535702349"/>
      <w:bookmarkStart w:id="15583" w:name="_Toc535750491"/>
      <w:bookmarkStart w:id="15584" w:name="_Toc19391045"/>
      <w:bookmarkStart w:id="15585" w:name="_Toc19394542"/>
      <w:r>
        <w:rPr>
          <w:rFonts w:hint="cs"/>
          <w:rtl/>
        </w:rPr>
        <w:t>קושית הרשב"א מה הצד בגמ' להתיר שתית חלב שבא מכח אבר היוצא הא הוא כחלב טריפה</w:t>
      </w:r>
      <w:bookmarkEnd w:id="15580"/>
      <w:bookmarkEnd w:id="15581"/>
      <w:bookmarkEnd w:id="15582"/>
      <w:bookmarkEnd w:id="15583"/>
      <w:bookmarkEnd w:id="15584"/>
      <w:bookmarkEnd w:id="15585"/>
    </w:p>
    <w:p w14:paraId="32EE0EDF" w14:textId="77777777" w:rsidR="003D504D" w:rsidRDefault="003D504D" w:rsidP="00223668">
      <w:pPr>
        <w:pStyle w:val="a0"/>
        <w:rPr>
          <w:rtl/>
        </w:rPr>
      </w:pPr>
      <w:bookmarkStart w:id="15586" w:name="_Ref535230332"/>
      <w:r>
        <w:rPr>
          <w:rFonts w:hint="cs"/>
          <w:rtl/>
        </w:rPr>
        <w:t xml:space="preserve">הגמ' לקמן </w:t>
      </w:r>
      <w:r w:rsidRPr="001939C9">
        <w:rPr>
          <w:rStyle w:val="af7"/>
          <w:rFonts w:eastAsia="Guttman Hodes" w:hint="cs"/>
          <w:rtl/>
        </w:rPr>
        <w:t xml:space="preserve">(סט.) </w:t>
      </w:r>
      <w:r>
        <w:rPr>
          <w:rFonts w:hint="cs"/>
          <w:rtl/>
        </w:rPr>
        <w:t xml:space="preserve">מסתפקת האם מותר לשתות את החלב של בן פקועה שאברו אסור מדין אבר היוצא, ככל חלב מן החי, או דההיתר בכל חלב הוא כיון שיש לבהמה היתר בשחיטה, אבל באבר היוצא שאין לו תקנה בשחיטה, אף החלב שלו אסור, והניחה הגמ' בתיקו, והקשה </w:t>
      </w:r>
      <w:r w:rsidRPr="001939C9">
        <w:rPr>
          <w:rStyle w:val="af9"/>
          <w:rFonts w:hint="cs"/>
          <w:rtl/>
        </w:rPr>
        <w:t>הרשב"א בחי'</w:t>
      </w:r>
      <w:r>
        <w:rPr>
          <w:rFonts w:hint="cs"/>
          <w:rtl/>
        </w:rPr>
        <w:t xml:space="preserve"> </w:t>
      </w:r>
      <w:r w:rsidRPr="001939C9">
        <w:rPr>
          <w:rStyle w:val="af7"/>
          <w:rFonts w:eastAsia="Guttman Hodes" w:hint="cs"/>
          <w:rtl/>
        </w:rPr>
        <w:t xml:space="preserve">(סט. ד"ה אלא כל) </w:t>
      </w:r>
      <w:r w:rsidRPr="001939C9">
        <w:rPr>
          <w:rStyle w:val="af9"/>
          <w:rFonts w:hint="cs"/>
          <w:rtl/>
        </w:rPr>
        <w:t>ובתוה"ב</w:t>
      </w:r>
      <w:r w:rsidRPr="00DE57F1">
        <w:rPr>
          <w:rStyle w:val="af9"/>
          <w:rFonts w:hint="cs"/>
          <w:rtl/>
        </w:rPr>
        <w:t xml:space="preserve"> </w:t>
      </w:r>
      <w:r>
        <w:rPr>
          <w:rStyle w:val="af9"/>
          <w:rFonts w:hint="cs"/>
          <w:rtl/>
        </w:rPr>
        <w:t>הארוך</w:t>
      </w:r>
      <w:r>
        <w:rPr>
          <w:rFonts w:hint="cs"/>
          <w:rtl/>
        </w:rPr>
        <w:t xml:space="preserve"> </w:t>
      </w:r>
      <w:r w:rsidRPr="001939C9">
        <w:rPr>
          <w:rStyle w:val="af7"/>
          <w:rFonts w:eastAsia="Guttman Hodes" w:hint="cs"/>
          <w:rtl/>
        </w:rPr>
        <w:t xml:space="preserve">(ב"ב ש"ג דף נה. מדה"ס) </w:t>
      </w:r>
      <w:r>
        <w:rPr>
          <w:rFonts w:hint="cs"/>
          <w:rtl/>
        </w:rPr>
        <w:t xml:space="preserve">דכיון שהאבר היוצא אסור כטריפה, א"כ פשיטא שהחלב שלו אסור בשתיה, ככל חלב טריפה דאסור, ועי' במ"ש </w:t>
      </w:r>
      <w:r w:rsidRPr="007938D5">
        <w:rPr>
          <w:rStyle w:val="af9"/>
          <w:rFonts w:hint="cs"/>
          <w:rtl/>
        </w:rPr>
        <w:t>הגר"ח</w:t>
      </w:r>
      <w:r>
        <w:rPr>
          <w:rFonts w:hint="cs"/>
          <w:rtl/>
        </w:rPr>
        <w:t xml:space="preserve"> </w:t>
      </w:r>
      <w:r w:rsidRPr="007938D5">
        <w:rPr>
          <w:rStyle w:val="af7"/>
          <w:rFonts w:eastAsia="Guttman Hodes" w:hint="cs"/>
          <w:rtl/>
        </w:rPr>
        <w:t xml:space="preserve">(עי' אות </w:t>
      </w:r>
      <w:r w:rsidRPr="007938D5">
        <w:rPr>
          <w:rStyle w:val="af7"/>
          <w:rFonts w:eastAsia="Guttman Hodes"/>
          <w:rtl/>
        </w:rPr>
        <w:fldChar w:fldCharType="begin"/>
      </w:r>
      <w:r w:rsidRPr="007938D5">
        <w:rPr>
          <w:rStyle w:val="af7"/>
          <w:rFonts w:eastAsia="Guttman Hodes"/>
          <w:rtl/>
        </w:rPr>
        <w:instrText xml:space="preserve"> </w:instrText>
      </w:r>
      <w:r w:rsidRPr="007938D5">
        <w:rPr>
          <w:rStyle w:val="af7"/>
          <w:rFonts w:eastAsia="Guttman Hodes" w:hint="cs"/>
        </w:rPr>
        <w:instrText>REF</w:instrText>
      </w:r>
      <w:r w:rsidRPr="007938D5">
        <w:rPr>
          <w:rStyle w:val="af7"/>
          <w:rFonts w:eastAsia="Guttman Hodes" w:hint="cs"/>
          <w:rtl/>
        </w:rPr>
        <w:instrText xml:space="preserve"> _</w:instrText>
      </w:r>
      <w:r w:rsidRPr="007938D5">
        <w:rPr>
          <w:rStyle w:val="af7"/>
          <w:rFonts w:eastAsia="Guttman Hodes" w:hint="cs"/>
        </w:rPr>
        <w:instrText>Ref535572010 \r \h</w:instrText>
      </w:r>
      <w:r w:rsidRPr="007938D5">
        <w:rPr>
          <w:rStyle w:val="af7"/>
          <w:rFonts w:eastAsia="Guttman Hodes"/>
          <w:rtl/>
        </w:rPr>
        <w:instrText xml:space="preserve"> </w:instrText>
      </w:r>
      <w:r w:rsidRPr="007938D5">
        <w:rPr>
          <w:rStyle w:val="af7"/>
          <w:rFonts w:eastAsia="Guttman Hodes"/>
          <w:rtl/>
        </w:rPr>
      </w:r>
      <w:r w:rsidRPr="007938D5">
        <w:rPr>
          <w:rStyle w:val="af7"/>
          <w:rFonts w:eastAsia="Guttman Hodes"/>
          <w:rtl/>
        </w:rPr>
        <w:fldChar w:fldCharType="separate"/>
      </w:r>
      <w:r w:rsidR="00345400">
        <w:rPr>
          <w:rStyle w:val="af7"/>
          <w:rFonts w:eastAsia="Guttman Hodes"/>
          <w:cs/>
        </w:rPr>
        <w:t>‎</w:t>
      </w:r>
      <w:r w:rsidR="00345400">
        <w:rPr>
          <w:rStyle w:val="af7"/>
          <w:rFonts w:eastAsia="Guttman Hodes"/>
          <w:rtl/>
        </w:rPr>
        <w:t>קיד)</w:t>
      </w:r>
      <w:r w:rsidRPr="007938D5">
        <w:rPr>
          <w:rStyle w:val="af7"/>
          <w:rFonts w:eastAsia="Guttman Hodes"/>
          <w:rtl/>
        </w:rPr>
        <w:fldChar w:fldCharType="end"/>
      </w:r>
      <w:r>
        <w:rPr>
          <w:rFonts w:hint="cs"/>
          <w:rtl/>
        </w:rPr>
        <w:t xml:space="preserve"> בדעת </w:t>
      </w:r>
      <w:r w:rsidRPr="007938D5">
        <w:rPr>
          <w:rStyle w:val="af9"/>
          <w:rFonts w:hint="cs"/>
          <w:rtl/>
        </w:rPr>
        <w:t>הרמב"ם</w:t>
      </w:r>
      <w:r>
        <w:rPr>
          <w:rFonts w:hint="cs"/>
          <w:rtl/>
        </w:rPr>
        <w:t>.</w:t>
      </w:r>
      <w:bookmarkEnd w:id="15586"/>
    </w:p>
    <w:p w14:paraId="71BD4F75" w14:textId="77777777" w:rsidR="003D504D" w:rsidRDefault="003D504D" w:rsidP="003D504D">
      <w:pPr>
        <w:pStyle w:val="a3"/>
        <w:rPr>
          <w:rtl/>
        </w:rPr>
      </w:pPr>
      <w:bookmarkStart w:id="15587" w:name="_Toc535526199"/>
      <w:bookmarkStart w:id="15588" w:name="_Toc535574893"/>
      <w:bookmarkStart w:id="15589" w:name="_Toc535702350"/>
      <w:bookmarkStart w:id="15590" w:name="_Toc535750492"/>
      <w:bookmarkStart w:id="15591" w:name="_Toc19391046"/>
      <w:bookmarkStart w:id="15592" w:name="_Toc19394543"/>
      <w:r>
        <w:rPr>
          <w:rFonts w:hint="cs"/>
          <w:rtl/>
        </w:rPr>
        <w:t>דברי הרשב"א דאבר היוצא אינו אסור מדין טריפה אלא מדין אבר מן החי דלא מהני ליה השחיטה</w:t>
      </w:r>
      <w:bookmarkEnd w:id="15587"/>
      <w:bookmarkEnd w:id="15588"/>
      <w:bookmarkEnd w:id="15589"/>
      <w:bookmarkEnd w:id="15590"/>
      <w:bookmarkEnd w:id="15591"/>
      <w:bookmarkEnd w:id="15592"/>
    </w:p>
    <w:p w14:paraId="069E4287" w14:textId="77777777" w:rsidR="003D504D" w:rsidRPr="0039184D" w:rsidRDefault="003D504D" w:rsidP="00223668">
      <w:pPr>
        <w:pStyle w:val="a0"/>
        <w:rPr>
          <w:rStyle w:val="afb"/>
          <w:rtl/>
        </w:rPr>
      </w:pPr>
      <w:bookmarkStart w:id="15593" w:name="_Ref535228443"/>
      <w:r>
        <w:rPr>
          <w:rFonts w:hint="cs"/>
          <w:rtl/>
        </w:rPr>
        <w:t xml:space="preserve">אלא ביאר </w:t>
      </w:r>
      <w:r w:rsidRPr="001939C9">
        <w:rPr>
          <w:rStyle w:val="af9"/>
          <w:rFonts w:hint="cs"/>
          <w:rtl/>
        </w:rPr>
        <w:t>הרשב"א בחי' ובתוה"ב</w:t>
      </w:r>
      <w:r>
        <w:rPr>
          <w:rFonts w:hint="cs"/>
          <w:rtl/>
        </w:rPr>
        <w:t xml:space="preserve"> </w:t>
      </w:r>
      <w:r>
        <w:rPr>
          <w:rStyle w:val="af9"/>
          <w:rFonts w:hint="cs"/>
          <w:rtl/>
        </w:rPr>
        <w:t>הארוך</w:t>
      </w:r>
      <w:r>
        <w:rPr>
          <w:rFonts w:hint="cs"/>
          <w:rtl/>
        </w:rPr>
        <w:t xml:space="preserve"> דבאמת האיסור באבר היוצא אינו אסור מצד עצמו כמו טריפה, אלא האיסור באבר היוצא הוא מחמת דכל הבן פקועה חשיב כבשר שמונח בדיקולא, ורק האבר היוצא שלא הועילה לו שחיטת אמו, עדיין נחשב כחי, ולכן האבר אסור דאין לו סימנים שאפשר לשוחטם ולהתירו בהם. </w:t>
      </w:r>
      <w:r w:rsidRPr="0039184D">
        <w:rPr>
          <w:rStyle w:val="afb"/>
          <w:rFonts w:hint="cs"/>
          <w:rtl/>
        </w:rPr>
        <w:t>[</w:t>
      </w:r>
      <w:r>
        <w:rPr>
          <w:rStyle w:val="afb"/>
          <w:rFonts w:hint="cs"/>
          <w:rtl/>
        </w:rPr>
        <w:t>וע</w:t>
      </w:r>
      <w:r w:rsidRPr="0039184D">
        <w:rPr>
          <w:rStyle w:val="afb"/>
          <w:rFonts w:hint="cs"/>
          <w:rtl/>
        </w:rPr>
        <w:t xml:space="preserve">י' בדברי </w:t>
      </w:r>
      <w:r w:rsidRPr="0039184D">
        <w:rPr>
          <w:rStyle w:val="affa"/>
          <w:rFonts w:hint="cs"/>
          <w:rtl/>
        </w:rPr>
        <w:t>הרשב"א לקמן</w:t>
      </w:r>
      <w:r w:rsidRPr="0039184D">
        <w:rPr>
          <w:rStyle w:val="afb"/>
          <w:rFonts w:hint="cs"/>
          <w:rtl/>
        </w:rPr>
        <w:t xml:space="preserve"> </w:t>
      </w:r>
      <w:r w:rsidRPr="0039184D">
        <w:rPr>
          <w:rStyle w:val="aff6"/>
          <w:rFonts w:hint="cs"/>
          <w:rtl/>
        </w:rPr>
        <w:t xml:space="preserve">(עי' אות </w:t>
      </w:r>
      <w:r w:rsidRPr="0039184D">
        <w:rPr>
          <w:rStyle w:val="aff6"/>
          <w:rtl/>
        </w:rPr>
        <w:fldChar w:fldCharType="begin"/>
      </w:r>
      <w:r w:rsidRPr="0039184D">
        <w:rPr>
          <w:rStyle w:val="aff6"/>
          <w:rtl/>
        </w:rPr>
        <w:instrText xml:space="preserve"> </w:instrText>
      </w:r>
      <w:r w:rsidRPr="0039184D">
        <w:rPr>
          <w:rStyle w:val="aff6"/>
          <w:rFonts w:hint="cs"/>
        </w:rPr>
        <w:instrText>REF</w:instrText>
      </w:r>
      <w:r w:rsidRPr="0039184D">
        <w:rPr>
          <w:rStyle w:val="aff6"/>
          <w:rFonts w:hint="cs"/>
          <w:rtl/>
        </w:rPr>
        <w:instrText xml:space="preserve"> _</w:instrText>
      </w:r>
      <w:r w:rsidRPr="0039184D">
        <w:rPr>
          <w:rStyle w:val="aff6"/>
          <w:rFonts w:hint="cs"/>
        </w:rPr>
        <w:instrText>Ref535165651 \r \h</w:instrText>
      </w:r>
      <w:r w:rsidRPr="0039184D">
        <w:rPr>
          <w:rStyle w:val="aff6"/>
          <w:rtl/>
        </w:rPr>
        <w:instrText xml:space="preserve"> </w:instrText>
      </w:r>
      <w:r w:rsidRPr="0039184D">
        <w:rPr>
          <w:rStyle w:val="aff6"/>
          <w:rtl/>
        </w:rPr>
      </w:r>
      <w:r w:rsidRPr="0039184D">
        <w:rPr>
          <w:rStyle w:val="aff6"/>
          <w:rtl/>
        </w:rPr>
        <w:fldChar w:fldCharType="separate"/>
      </w:r>
      <w:r w:rsidR="00345400">
        <w:rPr>
          <w:rStyle w:val="aff6"/>
          <w:cs/>
        </w:rPr>
        <w:t>‎</w:t>
      </w:r>
      <w:r w:rsidR="00345400">
        <w:rPr>
          <w:rStyle w:val="aff6"/>
          <w:rtl/>
        </w:rPr>
        <w:t>נב)</w:t>
      </w:r>
      <w:r w:rsidRPr="0039184D">
        <w:rPr>
          <w:rStyle w:val="aff6"/>
          <w:rtl/>
        </w:rPr>
        <w:fldChar w:fldCharType="end"/>
      </w:r>
      <w:r w:rsidRPr="0039184D">
        <w:rPr>
          <w:rStyle w:val="afb"/>
          <w:rFonts w:hint="cs"/>
          <w:rtl/>
        </w:rPr>
        <w:t xml:space="preserve"> דמ</w:t>
      </w:r>
      <w:r>
        <w:rPr>
          <w:rStyle w:val="afb"/>
          <w:rFonts w:hint="cs"/>
          <w:rtl/>
        </w:rPr>
        <w:t>בואר ב</w:t>
      </w:r>
      <w:r w:rsidRPr="0039184D">
        <w:rPr>
          <w:rStyle w:val="afb"/>
          <w:rFonts w:hint="cs"/>
          <w:rtl/>
        </w:rPr>
        <w:t>דבריו שיש איסור בפנ"ע באבר היוצא</w:t>
      </w:r>
      <w:r>
        <w:rPr>
          <w:rStyle w:val="afb"/>
          <w:rFonts w:hint="cs"/>
          <w:rtl/>
        </w:rPr>
        <w:t>, ואין האיסור רק מחמת שלא נשחט, כמקום חתך דלא מהני ליה שחיטה</w:t>
      </w:r>
      <w:r w:rsidRPr="0039184D">
        <w:rPr>
          <w:rStyle w:val="afb"/>
          <w:rFonts w:hint="cs"/>
          <w:rtl/>
        </w:rPr>
        <w:t>].</w:t>
      </w:r>
      <w:bookmarkEnd w:id="15593"/>
    </w:p>
    <w:p w14:paraId="006AF4D0" w14:textId="77777777" w:rsidR="003D504D" w:rsidRDefault="003D504D" w:rsidP="003D504D">
      <w:pPr>
        <w:pStyle w:val="a3"/>
        <w:rPr>
          <w:rtl/>
        </w:rPr>
      </w:pPr>
      <w:bookmarkStart w:id="15594" w:name="_Toc535526200"/>
      <w:bookmarkStart w:id="15595" w:name="_Toc535574894"/>
      <w:bookmarkStart w:id="15596" w:name="_Toc535702351"/>
      <w:bookmarkStart w:id="15597" w:name="_Toc535750493"/>
      <w:bookmarkStart w:id="15598" w:name="_Toc19391047"/>
      <w:bookmarkStart w:id="15599" w:name="_Toc19394544"/>
      <w:r>
        <w:rPr>
          <w:rFonts w:hint="cs"/>
          <w:rtl/>
        </w:rPr>
        <w:t>ביאור הרשב"א בספק הגמ' אי האבר הוא כאבמה"ח או דכיון שאין לו תקנה בשחיטה חלבו אסור</w:t>
      </w:r>
      <w:bookmarkEnd w:id="15594"/>
      <w:bookmarkEnd w:id="15595"/>
      <w:bookmarkEnd w:id="15596"/>
      <w:bookmarkEnd w:id="15597"/>
      <w:bookmarkEnd w:id="15598"/>
      <w:bookmarkEnd w:id="15599"/>
    </w:p>
    <w:p w14:paraId="223E72C8" w14:textId="77777777" w:rsidR="003D504D" w:rsidRDefault="003D504D" w:rsidP="00223668">
      <w:pPr>
        <w:pStyle w:val="a0"/>
        <w:rPr>
          <w:rtl/>
        </w:rPr>
      </w:pPr>
      <w:r>
        <w:rPr>
          <w:rFonts w:hint="cs"/>
          <w:rtl/>
        </w:rPr>
        <w:t xml:space="preserve">ובזה ביאר </w:t>
      </w:r>
      <w:r w:rsidRPr="001939C9">
        <w:rPr>
          <w:rStyle w:val="af9"/>
          <w:rFonts w:hint="cs"/>
          <w:rtl/>
        </w:rPr>
        <w:t>הרשב"א בחי' ובתוה"ב</w:t>
      </w:r>
      <w:r>
        <w:rPr>
          <w:rStyle w:val="af9"/>
          <w:rFonts w:hint="cs"/>
          <w:rtl/>
        </w:rPr>
        <w:t xml:space="preserve"> הארוך</w:t>
      </w:r>
      <w:r>
        <w:rPr>
          <w:rFonts w:hint="cs"/>
          <w:rtl/>
        </w:rPr>
        <w:t xml:space="preserve"> את ספק הגמ' לקמן אם מותר לשתות את חלבו, אי כיון דמותר לשתות חלב הבא מן החי, ה"ה דמותר לשתות את החלב שבא גם מכח האבר היוצא, דהוא כחלב הבא מהחי, דאין חילוק בין חלב שבא מכח אבר אחד שהוא כחי, לבין חלב שבא מבהמה שכולה חיה, או דההיתר בכל חלב מהחי, הוא כיון דהאיסור אבר מן החי שבכל בהמה הוא חיות גרועה, דעומד</w:t>
      </w:r>
      <w:r w:rsidRPr="00177B06">
        <w:rPr>
          <w:rFonts w:hint="cs"/>
          <w:rtl/>
        </w:rPr>
        <w:t xml:space="preserve"> </w:t>
      </w:r>
      <w:r>
        <w:rPr>
          <w:rFonts w:hint="cs"/>
          <w:rtl/>
        </w:rPr>
        <w:t xml:space="preserve">האיסור להיות מתוקן ע"י שחיטה, ולכן אף מחיים חלבה מותר, אבל באבר היוצא, שלעולם אין תקנה לחיות שלו, א"כ אף חלבו יהיה אסור, וכ"כ </w:t>
      </w:r>
      <w:r w:rsidRPr="001C1F84">
        <w:rPr>
          <w:rStyle w:val="af9"/>
          <w:rFonts w:hint="cs"/>
          <w:rtl/>
        </w:rPr>
        <w:t>הר"ן על הרי"ף</w:t>
      </w:r>
      <w:r>
        <w:rPr>
          <w:rFonts w:hint="cs"/>
          <w:rtl/>
        </w:rPr>
        <w:t xml:space="preserve"> </w:t>
      </w:r>
      <w:r w:rsidRPr="001C1F84">
        <w:rPr>
          <w:rStyle w:val="af7"/>
          <w:rFonts w:eastAsia="Guttman Hodes" w:hint="cs"/>
          <w:rtl/>
        </w:rPr>
        <w:t>(כד. מדפי הרי"ף ד"ה גרסי')</w:t>
      </w:r>
      <w:r>
        <w:rPr>
          <w:rFonts w:hint="cs"/>
          <w:rtl/>
        </w:rPr>
        <w:t xml:space="preserve">, ועי' במה שביאר </w:t>
      </w:r>
      <w:r w:rsidRPr="005D5219">
        <w:rPr>
          <w:rStyle w:val="af9"/>
          <w:rFonts w:hint="cs"/>
          <w:rtl/>
        </w:rPr>
        <w:t>האמרי משה</w:t>
      </w:r>
      <w:r>
        <w:rPr>
          <w:rFonts w:hint="cs"/>
          <w:rtl/>
        </w:rPr>
        <w:t xml:space="preserve"> </w:t>
      </w:r>
      <w:r w:rsidRPr="005D5219">
        <w:rPr>
          <w:rStyle w:val="af7"/>
          <w:rFonts w:eastAsia="Guttman Hodes" w:hint="cs"/>
          <w:rtl/>
        </w:rPr>
        <w:t xml:space="preserve">(עי' אות </w:t>
      </w:r>
      <w:r w:rsidRPr="005D5219">
        <w:rPr>
          <w:rStyle w:val="af7"/>
          <w:rFonts w:eastAsia="Guttman Hodes"/>
          <w:rtl/>
        </w:rPr>
        <w:fldChar w:fldCharType="begin"/>
      </w:r>
      <w:r w:rsidRPr="005D5219">
        <w:rPr>
          <w:rStyle w:val="af7"/>
          <w:rFonts w:eastAsia="Guttman Hodes"/>
          <w:rtl/>
        </w:rPr>
        <w:instrText xml:space="preserve"> </w:instrText>
      </w:r>
      <w:r w:rsidRPr="005D5219">
        <w:rPr>
          <w:rStyle w:val="af7"/>
          <w:rFonts w:eastAsia="Guttman Hodes" w:hint="cs"/>
        </w:rPr>
        <w:instrText>REF</w:instrText>
      </w:r>
      <w:r w:rsidRPr="005D5219">
        <w:rPr>
          <w:rStyle w:val="af7"/>
          <w:rFonts w:eastAsia="Guttman Hodes" w:hint="cs"/>
          <w:rtl/>
        </w:rPr>
        <w:instrText xml:space="preserve"> _</w:instrText>
      </w:r>
      <w:r w:rsidRPr="005D5219">
        <w:rPr>
          <w:rStyle w:val="af7"/>
          <w:rFonts w:eastAsia="Guttman Hodes" w:hint="cs"/>
        </w:rPr>
        <w:instrText>Ref535228559 \r \h</w:instrText>
      </w:r>
      <w:r w:rsidRPr="005D5219">
        <w:rPr>
          <w:rStyle w:val="af7"/>
          <w:rFonts w:eastAsia="Guttman Hodes"/>
          <w:rtl/>
        </w:rPr>
        <w:instrText xml:space="preserve"> </w:instrText>
      </w:r>
      <w:r w:rsidRPr="005D5219">
        <w:rPr>
          <w:rStyle w:val="af7"/>
          <w:rFonts w:eastAsia="Guttman Hodes"/>
          <w:rtl/>
        </w:rPr>
      </w:r>
      <w:r w:rsidRPr="005D5219">
        <w:rPr>
          <w:rStyle w:val="af7"/>
          <w:rFonts w:eastAsia="Guttman Hodes"/>
          <w:rtl/>
        </w:rPr>
        <w:fldChar w:fldCharType="separate"/>
      </w:r>
      <w:r w:rsidR="00345400">
        <w:rPr>
          <w:rStyle w:val="af7"/>
          <w:rFonts w:eastAsia="Guttman Hodes"/>
          <w:cs/>
        </w:rPr>
        <w:t>‎</w:t>
      </w:r>
      <w:r w:rsidR="00345400">
        <w:rPr>
          <w:rStyle w:val="af7"/>
          <w:rFonts w:eastAsia="Guttman Hodes"/>
          <w:rtl/>
        </w:rPr>
        <w:t>עח)</w:t>
      </w:r>
      <w:r w:rsidRPr="005D5219">
        <w:rPr>
          <w:rStyle w:val="af7"/>
          <w:rFonts w:eastAsia="Guttman Hodes"/>
          <w:rtl/>
        </w:rPr>
        <w:fldChar w:fldCharType="end"/>
      </w:r>
      <w:r>
        <w:rPr>
          <w:rFonts w:hint="cs"/>
          <w:rtl/>
        </w:rPr>
        <w:t xml:space="preserve"> בדברי </w:t>
      </w:r>
      <w:r w:rsidRPr="001C1F84">
        <w:rPr>
          <w:rStyle w:val="af9"/>
          <w:rFonts w:hint="cs"/>
          <w:rtl/>
        </w:rPr>
        <w:t>הרשב"א</w:t>
      </w:r>
      <w:r>
        <w:rPr>
          <w:rFonts w:hint="cs"/>
          <w:rtl/>
        </w:rPr>
        <w:t>.</w:t>
      </w:r>
    </w:p>
    <w:p w14:paraId="50C6245E" w14:textId="77777777" w:rsidR="003D504D" w:rsidRPr="005F5624" w:rsidRDefault="003D504D" w:rsidP="00BF39B2">
      <w:pPr>
        <w:pStyle w:val="1"/>
        <w:rPr>
          <w:rtl/>
        </w:rPr>
      </w:pPr>
      <w:bookmarkStart w:id="15600" w:name="_Toc535526201"/>
      <w:bookmarkStart w:id="15601" w:name="_Toc535574895"/>
      <w:bookmarkStart w:id="15602" w:name="_Toc535702352"/>
      <w:bookmarkStart w:id="15603" w:name="_Toc535750494"/>
      <w:bookmarkStart w:id="15604" w:name="_Toc19391048"/>
      <w:bookmarkStart w:id="15605" w:name="_Toc19394545"/>
      <w:r>
        <w:rPr>
          <w:rFonts w:hint="cs"/>
          <w:rtl/>
        </w:rPr>
        <w:t>דברי הש"ך דלדעת הרשב"א האיסור הוא מדין אבר מן החי</w:t>
      </w:r>
      <w:bookmarkEnd w:id="15600"/>
      <w:bookmarkEnd w:id="15601"/>
      <w:bookmarkEnd w:id="15602"/>
      <w:bookmarkEnd w:id="15603"/>
      <w:bookmarkEnd w:id="15604"/>
      <w:bookmarkEnd w:id="15605"/>
    </w:p>
    <w:p w14:paraId="5C6E1AF4" w14:textId="77777777" w:rsidR="003D504D" w:rsidRPr="00DC0658" w:rsidRDefault="003D504D" w:rsidP="003D504D">
      <w:pPr>
        <w:pStyle w:val="a3"/>
      </w:pPr>
      <w:bookmarkStart w:id="15606" w:name="_Toc535526202"/>
      <w:bookmarkStart w:id="15607" w:name="_Toc535574896"/>
      <w:bookmarkStart w:id="15608" w:name="_Toc535702353"/>
      <w:bookmarkStart w:id="15609" w:name="_Toc535750495"/>
      <w:bookmarkStart w:id="15610" w:name="_Toc19391049"/>
      <w:bookmarkStart w:id="15611" w:name="_Toc19394546"/>
      <w:r>
        <w:rPr>
          <w:rFonts w:hint="cs"/>
          <w:rtl/>
        </w:rPr>
        <w:t>דברי הש"ך דלדעת הרשב"א האיסור באבר היוצא הוא מדין אבמה"ח ולא מדין טריפה</w:t>
      </w:r>
      <w:bookmarkEnd w:id="15606"/>
      <w:bookmarkEnd w:id="15607"/>
      <w:bookmarkEnd w:id="15608"/>
      <w:bookmarkEnd w:id="15609"/>
      <w:bookmarkEnd w:id="15610"/>
      <w:bookmarkEnd w:id="15611"/>
    </w:p>
    <w:p w14:paraId="070CDAE9" w14:textId="77777777" w:rsidR="003D504D" w:rsidRDefault="003D504D" w:rsidP="00223668">
      <w:pPr>
        <w:pStyle w:val="a0"/>
        <w:rPr>
          <w:rtl/>
        </w:rPr>
      </w:pPr>
      <w:bookmarkStart w:id="15612" w:name="_Ref535182131"/>
      <w:r w:rsidRPr="00703852">
        <w:rPr>
          <w:rFonts w:hint="cs"/>
          <w:rtl/>
        </w:rPr>
        <w:t>ו</w:t>
      </w:r>
      <w:r>
        <w:rPr>
          <w:rFonts w:hint="cs"/>
          <w:rtl/>
        </w:rPr>
        <w:t xml:space="preserve">כתב </w:t>
      </w:r>
      <w:r w:rsidRPr="004B171E">
        <w:rPr>
          <w:rStyle w:val="af9"/>
          <w:rFonts w:hint="cs"/>
          <w:rtl/>
        </w:rPr>
        <w:t>הש"ך</w:t>
      </w:r>
      <w:r w:rsidRPr="00703852">
        <w:rPr>
          <w:rFonts w:hint="cs"/>
          <w:rtl/>
        </w:rPr>
        <w:t xml:space="preserve"> </w:t>
      </w:r>
      <w:r w:rsidRPr="004B171E">
        <w:rPr>
          <w:rStyle w:val="af7"/>
          <w:rFonts w:eastAsia="Guttman Hodes" w:hint="cs"/>
          <w:rtl/>
        </w:rPr>
        <w:t>(סי' י"ד סקי"א)</w:t>
      </w:r>
      <w:r w:rsidRPr="00703852">
        <w:rPr>
          <w:rFonts w:hint="cs"/>
          <w:rtl/>
        </w:rPr>
        <w:t xml:space="preserve"> </w:t>
      </w:r>
      <w:r>
        <w:rPr>
          <w:rFonts w:hint="cs"/>
          <w:rtl/>
        </w:rPr>
        <w:t xml:space="preserve">דמבואר מדברי </w:t>
      </w:r>
      <w:r w:rsidRPr="00C903F1">
        <w:rPr>
          <w:rStyle w:val="af9"/>
          <w:rFonts w:hint="cs"/>
          <w:rtl/>
        </w:rPr>
        <w:t>הרשב"א בחי' ובתוה"ב</w:t>
      </w:r>
      <w:r>
        <w:rPr>
          <w:rStyle w:val="af9"/>
          <w:rFonts w:hint="cs"/>
          <w:rtl/>
        </w:rPr>
        <w:t xml:space="preserve"> הארוך</w:t>
      </w:r>
      <w:r w:rsidRPr="00C903F1">
        <w:rPr>
          <w:rStyle w:val="af9"/>
          <w:rFonts w:hint="cs"/>
          <w:rtl/>
        </w:rPr>
        <w:t xml:space="preserve"> </w:t>
      </w:r>
      <w:r>
        <w:rPr>
          <w:rFonts w:hint="cs"/>
          <w:rtl/>
        </w:rPr>
        <w:t>דהספק הגמ' הוא מחמת דהאיסור באבר היוצא הוא מדין אבר מן החי, ואינו איסור טריפה.</w:t>
      </w:r>
      <w:bookmarkEnd w:id="15612"/>
    </w:p>
    <w:p w14:paraId="1336CF13" w14:textId="77777777" w:rsidR="003D504D" w:rsidRPr="005F5624" w:rsidRDefault="003D504D" w:rsidP="00BF39B2">
      <w:pPr>
        <w:pStyle w:val="1"/>
        <w:rPr>
          <w:rtl/>
        </w:rPr>
      </w:pPr>
      <w:bookmarkStart w:id="15613" w:name="_Toc535526203"/>
      <w:bookmarkStart w:id="15614" w:name="_Toc535574897"/>
      <w:bookmarkStart w:id="15615" w:name="_Toc535702354"/>
      <w:bookmarkStart w:id="15616" w:name="_Toc535750496"/>
      <w:bookmarkStart w:id="15617" w:name="_Toc19391050"/>
      <w:bookmarkStart w:id="15618" w:name="_Toc19394547"/>
      <w:r>
        <w:rPr>
          <w:rFonts w:hint="cs"/>
          <w:rtl/>
        </w:rPr>
        <w:t>ביאור הפרמ"ג דאף לדעת הרשב"א אסור מדין טריפה</w:t>
      </w:r>
      <w:bookmarkEnd w:id="15613"/>
      <w:bookmarkEnd w:id="15614"/>
      <w:bookmarkEnd w:id="15615"/>
      <w:bookmarkEnd w:id="15616"/>
      <w:bookmarkEnd w:id="15617"/>
      <w:bookmarkEnd w:id="15618"/>
    </w:p>
    <w:p w14:paraId="38B2C8BF" w14:textId="77777777" w:rsidR="003D504D" w:rsidRDefault="003D504D" w:rsidP="003D504D">
      <w:pPr>
        <w:pStyle w:val="a3"/>
        <w:rPr>
          <w:rtl/>
        </w:rPr>
      </w:pPr>
      <w:bookmarkStart w:id="15619" w:name="_Toc535526204"/>
      <w:bookmarkStart w:id="15620" w:name="_Toc535574898"/>
      <w:bookmarkStart w:id="15621" w:name="_Toc535702355"/>
      <w:bookmarkStart w:id="15622" w:name="_Toc535750497"/>
      <w:bookmarkStart w:id="15623" w:name="_Toc19391051"/>
      <w:bookmarkStart w:id="15624" w:name="_Toc19394548"/>
      <w:r>
        <w:rPr>
          <w:rFonts w:hint="cs"/>
          <w:rtl/>
        </w:rPr>
        <w:t>דברי הפרמ"ג  דבתוה"ב הקצר משמע דאסור מדין טריפה ודלא כפשטות הרשב"א בחי'</w:t>
      </w:r>
      <w:bookmarkEnd w:id="15619"/>
      <w:bookmarkEnd w:id="15620"/>
      <w:bookmarkEnd w:id="15621"/>
      <w:bookmarkEnd w:id="15622"/>
      <w:bookmarkEnd w:id="15623"/>
      <w:bookmarkEnd w:id="15624"/>
    </w:p>
    <w:p w14:paraId="3DCC0DBF" w14:textId="77777777" w:rsidR="003D504D" w:rsidRDefault="003D504D" w:rsidP="00223668">
      <w:pPr>
        <w:pStyle w:val="a0"/>
        <w:rPr>
          <w:rtl/>
        </w:rPr>
      </w:pPr>
      <w:r>
        <w:rPr>
          <w:rFonts w:hint="cs"/>
          <w:rtl/>
        </w:rPr>
        <w:t xml:space="preserve">וכ"כ </w:t>
      </w:r>
      <w:r w:rsidRPr="00C903F1">
        <w:rPr>
          <w:rStyle w:val="af9"/>
          <w:rFonts w:hint="cs"/>
          <w:rtl/>
        </w:rPr>
        <w:t xml:space="preserve">הפרמ"ג </w:t>
      </w:r>
      <w:r w:rsidRPr="00DC0658">
        <w:rPr>
          <w:rStyle w:val="af7"/>
          <w:rFonts w:eastAsia="Guttman Hodes" w:hint="cs"/>
          <w:rtl/>
        </w:rPr>
        <w:t xml:space="preserve">(סי' י"ד </w:t>
      </w:r>
      <w:r>
        <w:rPr>
          <w:rStyle w:val="af7"/>
          <w:rFonts w:eastAsia="Guttman Hodes" w:hint="cs"/>
          <w:rtl/>
        </w:rPr>
        <w:t xml:space="preserve">משב"ז </w:t>
      </w:r>
      <w:r w:rsidRPr="00DC0658">
        <w:rPr>
          <w:rStyle w:val="af7"/>
          <w:rFonts w:eastAsia="Guttman Hodes" w:hint="cs"/>
          <w:rtl/>
        </w:rPr>
        <w:t xml:space="preserve">סק"ב) </w:t>
      </w:r>
      <w:r>
        <w:rPr>
          <w:rFonts w:hint="cs"/>
          <w:rtl/>
        </w:rPr>
        <w:t xml:space="preserve">דמשמע מדברי </w:t>
      </w:r>
      <w:r w:rsidRPr="00C903F1">
        <w:rPr>
          <w:rStyle w:val="af9"/>
          <w:rFonts w:hint="cs"/>
          <w:rtl/>
        </w:rPr>
        <w:t>הרשב"א בחי' ובתוה"ב</w:t>
      </w:r>
      <w:r>
        <w:rPr>
          <w:rStyle w:val="af9"/>
          <w:rFonts w:hint="cs"/>
          <w:rtl/>
        </w:rPr>
        <w:t xml:space="preserve"> הארוך</w:t>
      </w:r>
      <w:r w:rsidRPr="00C903F1">
        <w:rPr>
          <w:rStyle w:val="af9"/>
          <w:rFonts w:hint="cs"/>
          <w:rtl/>
        </w:rPr>
        <w:t xml:space="preserve"> </w:t>
      </w:r>
      <w:r>
        <w:rPr>
          <w:rFonts w:hint="cs"/>
          <w:rtl/>
        </w:rPr>
        <w:t xml:space="preserve">דהאיסור באבר היוצא הוא מדין אבר מן החי, אך הביא </w:t>
      </w:r>
      <w:r w:rsidRPr="000A7DE0">
        <w:rPr>
          <w:rStyle w:val="af9"/>
          <w:rFonts w:hint="cs"/>
          <w:rtl/>
        </w:rPr>
        <w:t>הפרמ"ג</w:t>
      </w:r>
      <w:r>
        <w:rPr>
          <w:rFonts w:hint="cs"/>
          <w:rtl/>
        </w:rPr>
        <w:t xml:space="preserve"> את דברי </w:t>
      </w:r>
      <w:r w:rsidRPr="00C903F1">
        <w:rPr>
          <w:rStyle w:val="af9"/>
          <w:rFonts w:hint="cs"/>
          <w:rtl/>
        </w:rPr>
        <w:t xml:space="preserve">הרשב"א בתוה"ב הקצר </w:t>
      </w:r>
      <w:r w:rsidRPr="00DC0658">
        <w:rPr>
          <w:rStyle w:val="af7"/>
          <w:rFonts w:eastAsia="Guttman Hodes" w:hint="cs"/>
          <w:rtl/>
        </w:rPr>
        <w:t>(ב"ב סוף ש"ג דף נה. מדה"ס)</w:t>
      </w:r>
      <w:r>
        <w:rPr>
          <w:rFonts w:hint="cs"/>
          <w:rtl/>
        </w:rPr>
        <w:t xml:space="preserve"> דכתב בסתמא דאסור</w:t>
      </w:r>
      <w:r w:rsidRPr="00157190">
        <w:rPr>
          <w:rFonts w:hint="cs"/>
          <w:rtl/>
        </w:rPr>
        <w:t xml:space="preserve"> </w:t>
      </w:r>
      <w:r>
        <w:rPr>
          <w:rFonts w:hint="cs"/>
          <w:rtl/>
        </w:rPr>
        <w:t xml:space="preserve">לשתות את חלבו, כיון שהוא אסור כטריפה, ומשמע מדבריו דהאיסור באבר היוצא הוא מדין טריפה, </w:t>
      </w:r>
      <w:r w:rsidRPr="00C903F1">
        <w:rPr>
          <w:rStyle w:val="afb"/>
          <w:rFonts w:hint="cs"/>
          <w:rtl/>
        </w:rPr>
        <w:t>[ולא מדין אבר מן החי]</w:t>
      </w:r>
      <w:r>
        <w:rPr>
          <w:rFonts w:hint="cs"/>
          <w:rtl/>
        </w:rPr>
        <w:t>.</w:t>
      </w:r>
    </w:p>
    <w:p w14:paraId="5838215E" w14:textId="77777777" w:rsidR="003D504D" w:rsidRDefault="003D504D" w:rsidP="003D504D">
      <w:pPr>
        <w:pStyle w:val="a3"/>
        <w:rPr>
          <w:rtl/>
        </w:rPr>
      </w:pPr>
      <w:bookmarkStart w:id="15625" w:name="_Toc535526205"/>
      <w:bookmarkStart w:id="15626" w:name="_Toc535574899"/>
      <w:bookmarkStart w:id="15627" w:name="_Toc535702356"/>
      <w:bookmarkStart w:id="15628" w:name="_Toc535750498"/>
      <w:bookmarkStart w:id="15629" w:name="_Toc19391052"/>
      <w:bookmarkStart w:id="15630" w:name="_Toc19394549"/>
      <w:r>
        <w:rPr>
          <w:rFonts w:hint="cs"/>
          <w:rtl/>
        </w:rPr>
        <w:t>ביאור הפרמ"ג ברשב"א דהאיסור טריפה אינו מצד עצמו אלא מחמת שיש בו לתא דחיות</w:t>
      </w:r>
      <w:bookmarkEnd w:id="15625"/>
      <w:bookmarkEnd w:id="15626"/>
      <w:bookmarkEnd w:id="15627"/>
      <w:bookmarkEnd w:id="15628"/>
      <w:bookmarkEnd w:id="15629"/>
      <w:bookmarkEnd w:id="15630"/>
    </w:p>
    <w:p w14:paraId="7C64E9D6" w14:textId="77777777" w:rsidR="003D504D" w:rsidRPr="003D08B0" w:rsidRDefault="003D504D" w:rsidP="00223668">
      <w:pPr>
        <w:pStyle w:val="a0"/>
        <w:rPr>
          <w:rtl/>
        </w:rPr>
      </w:pPr>
      <w:r>
        <w:rPr>
          <w:rFonts w:hint="cs"/>
          <w:rtl/>
        </w:rPr>
        <w:t xml:space="preserve">אלא כתב </w:t>
      </w:r>
      <w:r w:rsidRPr="00041AD3">
        <w:rPr>
          <w:rStyle w:val="af9"/>
          <w:rFonts w:hint="cs"/>
          <w:rtl/>
        </w:rPr>
        <w:t>הפרמ"ג</w:t>
      </w:r>
      <w:r>
        <w:rPr>
          <w:rFonts w:hint="cs"/>
          <w:rtl/>
        </w:rPr>
        <w:t xml:space="preserve"> </w:t>
      </w:r>
      <w:r w:rsidRPr="00C903F1">
        <w:rPr>
          <w:rStyle w:val="af7"/>
          <w:rFonts w:eastAsia="Guttman Hodes" w:hint="cs"/>
          <w:rtl/>
        </w:rPr>
        <w:t xml:space="preserve">(סי' י"ד </w:t>
      </w:r>
      <w:r>
        <w:rPr>
          <w:rStyle w:val="af7"/>
          <w:rFonts w:eastAsia="Guttman Hodes" w:hint="cs"/>
          <w:rtl/>
        </w:rPr>
        <w:t xml:space="preserve">משב"ז </w:t>
      </w:r>
      <w:r w:rsidRPr="00C903F1">
        <w:rPr>
          <w:rStyle w:val="af7"/>
          <w:rFonts w:eastAsia="Guttman Hodes" w:hint="cs"/>
          <w:rtl/>
        </w:rPr>
        <w:t>ס</w:t>
      </w:r>
      <w:r>
        <w:rPr>
          <w:rStyle w:val="af7"/>
          <w:rFonts w:eastAsia="Guttman Hodes" w:hint="cs"/>
          <w:rtl/>
        </w:rPr>
        <w:t>וס"</w:t>
      </w:r>
      <w:r w:rsidRPr="00C903F1">
        <w:rPr>
          <w:rStyle w:val="af7"/>
          <w:rFonts w:eastAsia="Guttman Hodes" w:hint="cs"/>
          <w:rtl/>
        </w:rPr>
        <w:t>ק</w:t>
      </w:r>
      <w:r>
        <w:rPr>
          <w:rStyle w:val="af7"/>
          <w:rFonts w:eastAsia="Guttman Hodes" w:hint="cs"/>
          <w:rtl/>
        </w:rPr>
        <w:t xml:space="preserve"> </w:t>
      </w:r>
      <w:r w:rsidRPr="00C903F1">
        <w:rPr>
          <w:rStyle w:val="af7"/>
          <w:rFonts w:eastAsia="Guttman Hodes" w:hint="cs"/>
          <w:rtl/>
        </w:rPr>
        <w:t>ב</w:t>
      </w:r>
      <w:r>
        <w:rPr>
          <w:rStyle w:val="af7"/>
          <w:rFonts w:eastAsia="Guttman Hodes" w:hint="cs"/>
          <w:rtl/>
        </w:rPr>
        <w:t>'</w:t>
      </w:r>
      <w:r w:rsidRPr="00C903F1">
        <w:rPr>
          <w:rStyle w:val="af7"/>
          <w:rFonts w:eastAsia="Guttman Hodes" w:hint="cs"/>
          <w:rtl/>
        </w:rPr>
        <w:t xml:space="preserve">) </w:t>
      </w:r>
      <w:r>
        <w:rPr>
          <w:rFonts w:hint="cs"/>
          <w:rtl/>
        </w:rPr>
        <w:t xml:space="preserve">דס"ל </w:t>
      </w:r>
      <w:r w:rsidRPr="00041AD3">
        <w:rPr>
          <w:rStyle w:val="af9"/>
          <w:rFonts w:hint="cs"/>
          <w:rtl/>
        </w:rPr>
        <w:t>להרשב"א</w:t>
      </w:r>
      <w:r>
        <w:rPr>
          <w:rFonts w:hint="cs"/>
          <w:rtl/>
        </w:rPr>
        <w:t xml:space="preserve"> דהאיסור באבר הוא מדין טריפה ולא מדין אבר מן החי כמבואר בדברי </w:t>
      </w:r>
      <w:r w:rsidRPr="00041AD3">
        <w:rPr>
          <w:rStyle w:val="af9"/>
          <w:rFonts w:hint="cs"/>
          <w:rtl/>
        </w:rPr>
        <w:t>הרשב"א בתוה"ב הקצר</w:t>
      </w:r>
      <w:r>
        <w:rPr>
          <w:rFonts w:hint="cs"/>
          <w:rtl/>
        </w:rPr>
        <w:t xml:space="preserve">, וביאר </w:t>
      </w:r>
      <w:r w:rsidRPr="00041AD3">
        <w:rPr>
          <w:rStyle w:val="af9"/>
          <w:rFonts w:hint="cs"/>
          <w:rtl/>
        </w:rPr>
        <w:t>הפרמ"ג</w:t>
      </w:r>
      <w:r>
        <w:rPr>
          <w:rFonts w:hint="cs"/>
          <w:rtl/>
        </w:rPr>
        <w:t xml:space="preserve"> דמ"ש </w:t>
      </w:r>
      <w:r w:rsidRPr="00041AD3">
        <w:rPr>
          <w:rStyle w:val="af9"/>
          <w:rFonts w:hint="cs"/>
          <w:rtl/>
        </w:rPr>
        <w:t>הרשב"א בחי' ובתוה"ב הארוך</w:t>
      </w:r>
      <w:r>
        <w:rPr>
          <w:rFonts w:hint="cs"/>
          <w:rtl/>
        </w:rPr>
        <w:t xml:space="preserve"> שאין בו איסור טריפה מצד עצמו, כוונת </w:t>
      </w:r>
      <w:r w:rsidRPr="00041AD3">
        <w:rPr>
          <w:rStyle w:val="af9"/>
          <w:rFonts w:hint="cs"/>
          <w:rtl/>
        </w:rPr>
        <w:t>הרשב"א</w:t>
      </w:r>
      <w:r>
        <w:rPr>
          <w:rFonts w:hint="cs"/>
          <w:rtl/>
        </w:rPr>
        <w:t xml:space="preserve"> לומר שהוא עצמו אינו טריפה, ולכן האיסור שבו אינו מצד עצמו, אלא שיש גזיה"כ "בשר בשדה טריפה" דאף שאינו בכלל אבר מן החי, מ"מ אסרתו תורה כטריפה, והאיסור שלו הוא משום "לתא </w:t>
      </w:r>
      <w:r w:rsidRPr="003D08B0">
        <w:rPr>
          <w:rFonts w:hint="cs"/>
          <w:rtl/>
        </w:rPr>
        <w:t>דחיות".</w:t>
      </w:r>
    </w:p>
    <w:p w14:paraId="466BBD03" w14:textId="77777777" w:rsidR="003D504D" w:rsidRDefault="003D504D" w:rsidP="003D504D">
      <w:pPr>
        <w:pStyle w:val="a3"/>
        <w:rPr>
          <w:rtl/>
        </w:rPr>
      </w:pPr>
      <w:bookmarkStart w:id="15631" w:name="_Toc535526206"/>
      <w:bookmarkStart w:id="15632" w:name="_Toc535574900"/>
      <w:bookmarkStart w:id="15633" w:name="_Toc535702357"/>
      <w:bookmarkStart w:id="15634" w:name="_Toc535750499"/>
      <w:bookmarkStart w:id="15635" w:name="_Toc19391053"/>
      <w:bookmarkStart w:id="15636" w:name="_Toc19394550"/>
      <w:r>
        <w:rPr>
          <w:rFonts w:hint="cs"/>
          <w:rtl/>
        </w:rPr>
        <w:t>ביאור הפרמ"ג דהצד לאסור את החלב הוא כיון שאיסורו הוא משום לתא דחיות שאין לה תקנה</w:t>
      </w:r>
      <w:bookmarkEnd w:id="15631"/>
      <w:bookmarkEnd w:id="15632"/>
      <w:bookmarkEnd w:id="15633"/>
      <w:bookmarkEnd w:id="15634"/>
      <w:bookmarkEnd w:id="15635"/>
      <w:bookmarkEnd w:id="15636"/>
    </w:p>
    <w:p w14:paraId="2E3F091D" w14:textId="77777777" w:rsidR="003D504D" w:rsidRDefault="003D504D" w:rsidP="00223668">
      <w:pPr>
        <w:pStyle w:val="a0"/>
        <w:rPr>
          <w:rtl/>
        </w:rPr>
      </w:pPr>
      <w:r>
        <w:rPr>
          <w:rFonts w:hint="cs"/>
          <w:rtl/>
        </w:rPr>
        <w:t xml:space="preserve">ובזה ביאר </w:t>
      </w:r>
      <w:r w:rsidRPr="00041AD3">
        <w:rPr>
          <w:rStyle w:val="af9"/>
          <w:rFonts w:hint="cs"/>
          <w:rtl/>
        </w:rPr>
        <w:t>הפרמ"ג</w:t>
      </w:r>
      <w:r>
        <w:rPr>
          <w:rFonts w:hint="cs"/>
          <w:rtl/>
        </w:rPr>
        <w:t xml:space="preserve"> את דברי </w:t>
      </w:r>
      <w:r w:rsidRPr="00041AD3">
        <w:rPr>
          <w:rStyle w:val="af9"/>
          <w:rFonts w:hint="cs"/>
          <w:rtl/>
        </w:rPr>
        <w:t>הרשב"א בחי' ובתוה"ב הארוך</w:t>
      </w:r>
      <w:r>
        <w:rPr>
          <w:rFonts w:hint="cs"/>
          <w:rtl/>
        </w:rPr>
        <w:t xml:space="preserve"> בביאור ספק הגמ' האם מותר לשתות חלב שבא מכח אבר היוצא, אי כיון דמותר לשתות חלב מן החי, כ"ש חלב שבא מכח אבר היוצא שהוא טריפה מחמת לתא דאיסור אבר מן החי, או דההיתר לשתות חלב הוא דוקא בחלב מן החי שיש לו תקנה בשחיטה, והוסיף </w:t>
      </w:r>
      <w:r w:rsidRPr="00041AD3">
        <w:rPr>
          <w:rStyle w:val="af9"/>
          <w:rFonts w:hint="cs"/>
          <w:rtl/>
        </w:rPr>
        <w:t>הפרמ"ג</w:t>
      </w:r>
      <w:r>
        <w:rPr>
          <w:rFonts w:hint="cs"/>
          <w:rtl/>
        </w:rPr>
        <w:t xml:space="preserve"> דכן מדויק בדברי </w:t>
      </w:r>
      <w:r w:rsidRPr="00041AD3">
        <w:rPr>
          <w:rStyle w:val="af9"/>
          <w:rFonts w:hint="cs"/>
          <w:rtl/>
        </w:rPr>
        <w:t>הרשב"א בחי' ובתוה"ב הארוך</w:t>
      </w:r>
      <w:r>
        <w:rPr>
          <w:rFonts w:hint="cs"/>
          <w:rtl/>
        </w:rPr>
        <w:t xml:space="preserve"> דכתב דבאבר אין איסור מצד עצמו כטריפה, דהיינו דאיסורו הוא מחמת שהוא חי, ונתנה לו תורה דין טריפה, אך לא נולד בו כל טריפה, שיהיה בו איסור טריפה מצד עצמו.</w:t>
      </w:r>
    </w:p>
    <w:p w14:paraId="434D5C07" w14:textId="77777777" w:rsidR="003D504D" w:rsidRDefault="003D504D" w:rsidP="00BF39B2">
      <w:pPr>
        <w:pStyle w:val="1"/>
        <w:rPr>
          <w:rtl/>
        </w:rPr>
      </w:pPr>
      <w:bookmarkStart w:id="15637" w:name="_Toc535526207"/>
      <w:bookmarkStart w:id="15638" w:name="_Toc535574901"/>
      <w:bookmarkStart w:id="15639" w:name="_Toc535702358"/>
      <w:bookmarkStart w:id="15640" w:name="_Toc535750500"/>
      <w:bookmarkStart w:id="15641" w:name="_Toc19391054"/>
      <w:bookmarkStart w:id="15642" w:name="_Toc19394551"/>
      <w:r>
        <w:rPr>
          <w:rFonts w:hint="cs"/>
          <w:rtl/>
        </w:rPr>
        <w:t>דברי הב"ח דהספק בגמ' אי אסור מדין טריפה או מאבמה"ח</w:t>
      </w:r>
      <w:bookmarkEnd w:id="15637"/>
      <w:bookmarkEnd w:id="15638"/>
      <w:bookmarkEnd w:id="15639"/>
      <w:bookmarkEnd w:id="15640"/>
      <w:bookmarkEnd w:id="15641"/>
      <w:bookmarkEnd w:id="15642"/>
    </w:p>
    <w:p w14:paraId="09D03EC1" w14:textId="77777777" w:rsidR="003D504D" w:rsidRDefault="003D504D" w:rsidP="003D504D">
      <w:pPr>
        <w:pStyle w:val="a3"/>
        <w:rPr>
          <w:rtl/>
        </w:rPr>
      </w:pPr>
      <w:bookmarkStart w:id="15643" w:name="_Toc535526208"/>
      <w:bookmarkStart w:id="15644" w:name="_Toc535574902"/>
      <w:bookmarkStart w:id="15645" w:name="_Toc535702359"/>
      <w:bookmarkStart w:id="15646" w:name="_Toc535750501"/>
      <w:bookmarkStart w:id="15647" w:name="_Toc19391055"/>
      <w:bookmarkStart w:id="15648" w:name="_Toc19394552"/>
      <w:r>
        <w:rPr>
          <w:rFonts w:hint="cs"/>
          <w:rtl/>
        </w:rPr>
        <w:t>קושית הב"ח דאף בבן פקועה שבא על בהמה בעלמא שאין לו תקנה בשחיטה צריך לאסור את חלבו</w:t>
      </w:r>
      <w:bookmarkEnd w:id="15643"/>
      <w:bookmarkEnd w:id="15644"/>
      <w:bookmarkEnd w:id="15645"/>
      <w:bookmarkEnd w:id="15646"/>
      <w:bookmarkEnd w:id="15647"/>
      <w:bookmarkEnd w:id="15648"/>
    </w:p>
    <w:p w14:paraId="15042D29" w14:textId="77777777" w:rsidR="003D504D" w:rsidRDefault="003D504D" w:rsidP="00223668">
      <w:pPr>
        <w:pStyle w:val="a0"/>
        <w:rPr>
          <w:rtl/>
        </w:rPr>
      </w:pPr>
      <w:bookmarkStart w:id="15649" w:name="_Toc535178751"/>
      <w:r>
        <w:rPr>
          <w:rFonts w:hint="cs"/>
          <w:rtl/>
        </w:rPr>
        <w:t xml:space="preserve">הקשה </w:t>
      </w:r>
      <w:r w:rsidRPr="008547B0">
        <w:rPr>
          <w:rStyle w:val="af9"/>
          <w:rFonts w:hint="cs"/>
          <w:rtl/>
        </w:rPr>
        <w:t>הב"ח</w:t>
      </w:r>
      <w:r>
        <w:rPr>
          <w:rFonts w:hint="cs"/>
          <w:rtl/>
        </w:rPr>
        <w:t xml:space="preserve"> </w:t>
      </w:r>
      <w:r w:rsidRPr="008547B0">
        <w:rPr>
          <w:rStyle w:val="af7"/>
          <w:rFonts w:eastAsia="Guttman Hodes" w:hint="cs"/>
          <w:rtl/>
        </w:rPr>
        <w:t xml:space="preserve">(סי' י"ד ז') </w:t>
      </w:r>
      <w:r>
        <w:rPr>
          <w:rFonts w:hint="cs"/>
          <w:rtl/>
        </w:rPr>
        <w:t>אמאי הגמ' מסתפקת אי מותר לשתות את חלבו, רק</w:t>
      </w:r>
      <w:r w:rsidRPr="00BB1D89">
        <w:rPr>
          <w:rFonts w:hint="cs"/>
          <w:rtl/>
        </w:rPr>
        <w:t xml:space="preserve"> </w:t>
      </w:r>
      <w:r>
        <w:rPr>
          <w:rFonts w:hint="cs"/>
          <w:rtl/>
        </w:rPr>
        <w:t>לענין חלב הבא מכח אבר היוצא, ואינה מסתפקת אף לענין בן פקועה שבא על בהמה מעלמא והוליד, שאין לולד תקנה בשחיטה.</w:t>
      </w:r>
    </w:p>
    <w:p w14:paraId="5C453677" w14:textId="77777777" w:rsidR="003D504D" w:rsidRPr="006511D6" w:rsidRDefault="003D504D" w:rsidP="003D504D">
      <w:pPr>
        <w:pStyle w:val="a3"/>
        <w:rPr>
          <w:rtl/>
        </w:rPr>
      </w:pPr>
      <w:bookmarkStart w:id="15650" w:name="_Toc535302120"/>
      <w:bookmarkStart w:id="15651" w:name="_Toc535526209"/>
      <w:bookmarkStart w:id="15652" w:name="_Toc535574903"/>
      <w:bookmarkStart w:id="15653" w:name="_Toc535702360"/>
      <w:bookmarkStart w:id="15654" w:name="_Toc535750502"/>
      <w:bookmarkStart w:id="15655" w:name="_Toc19391056"/>
      <w:bookmarkStart w:id="15656" w:name="_Toc19394553"/>
      <w:r>
        <w:rPr>
          <w:rFonts w:hint="cs"/>
          <w:rtl/>
        </w:rPr>
        <w:t>ביאור הב"ח דהספק בגמ' לענין חלב הבא מכח אבר היוצא הוא אי אסור בטריפה או באבר מן החי</w:t>
      </w:r>
      <w:bookmarkEnd w:id="15650"/>
      <w:bookmarkEnd w:id="15651"/>
      <w:bookmarkEnd w:id="15652"/>
      <w:bookmarkEnd w:id="15653"/>
      <w:bookmarkEnd w:id="15654"/>
      <w:bookmarkEnd w:id="15655"/>
      <w:bookmarkEnd w:id="15656"/>
    </w:p>
    <w:p w14:paraId="66475263" w14:textId="77777777" w:rsidR="003D504D" w:rsidRDefault="003D504D" w:rsidP="00223668">
      <w:pPr>
        <w:pStyle w:val="a0"/>
        <w:rPr>
          <w:rtl/>
        </w:rPr>
      </w:pPr>
      <w:r>
        <w:rPr>
          <w:rFonts w:hint="cs"/>
          <w:rtl/>
        </w:rPr>
        <w:t xml:space="preserve">ותירץ </w:t>
      </w:r>
      <w:r w:rsidRPr="008547B0">
        <w:rPr>
          <w:rStyle w:val="af9"/>
          <w:rFonts w:hint="cs"/>
          <w:rtl/>
        </w:rPr>
        <w:t>הב"ח</w:t>
      </w:r>
      <w:r>
        <w:rPr>
          <w:rFonts w:hint="cs"/>
          <w:rtl/>
        </w:rPr>
        <w:t xml:space="preserve"> דבאבר היוצא שהוא כטריפה, הספק הגמ' הוא האם דינו ככל טריפה שחלבה אסור, או שאינו טריפה ממש ואיסורו הוא מדין אבר מן החי, והתורה קראה לו טריפה, רק לענין שא"א לתקנו אף אם החזיר את האבר, וא"כ מותר לשתות את חלבו, אבל בולד שאין לו תקנה, פשיטא דחלבו מותר, דבחייו אין לו כל איסור טריפה, אלא שא"א לתקנו בשחיטה</w:t>
      </w:r>
      <w:r w:rsidRPr="006511D6">
        <w:rPr>
          <w:rFonts w:hint="cs"/>
          <w:rtl/>
        </w:rPr>
        <w:t xml:space="preserve">, </w:t>
      </w:r>
      <w:r>
        <w:rPr>
          <w:rFonts w:hint="cs"/>
          <w:rtl/>
        </w:rPr>
        <w:t>ודמי לשמוטה שאינה טריפה,</w:t>
      </w:r>
      <w:r w:rsidRPr="006511D6">
        <w:rPr>
          <w:rFonts w:hint="cs"/>
          <w:rtl/>
        </w:rPr>
        <w:t xml:space="preserve"> אך לא מהני לה שחיטה. </w:t>
      </w:r>
    </w:p>
    <w:p w14:paraId="59309407" w14:textId="77777777" w:rsidR="003D504D" w:rsidRDefault="003D504D" w:rsidP="003D504D">
      <w:pPr>
        <w:pStyle w:val="a3"/>
        <w:rPr>
          <w:rtl/>
        </w:rPr>
      </w:pPr>
      <w:bookmarkStart w:id="15657" w:name="_Toc535526210"/>
      <w:bookmarkStart w:id="15658" w:name="_Toc535574904"/>
      <w:bookmarkStart w:id="15659" w:name="_Toc535702361"/>
      <w:bookmarkStart w:id="15660" w:name="_Toc535750503"/>
      <w:bookmarkStart w:id="15661" w:name="_Toc19391057"/>
      <w:bookmarkStart w:id="15662" w:name="_Toc19394554"/>
      <w:r>
        <w:rPr>
          <w:rFonts w:hint="cs"/>
          <w:rtl/>
        </w:rPr>
        <w:t>דחיית הש"ך דלא משמע בגמ' כלל כביאור הב"ח אלא הביאור בספק הוא כדברי הרשב"א</w:t>
      </w:r>
      <w:bookmarkEnd w:id="15657"/>
      <w:bookmarkEnd w:id="15658"/>
      <w:bookmarkEnd w:id="15659"/>
      <w:bookmarkEnd w:id="15660"/>
      <w:bookmarkEnd w:id="15661"/>
      <w:bookmarkEnd w:id="15662"/>
    </w:p>
    <w:p w14:paraId="37ABB83F" w14:textId="77777777" w:rsidR="003D504D" w:rsidRDefault="003D504D" w:rsidP="00223668">
      <w:pPr>
        <w:pStyle w:val="a0"/>
        <w:rPr>
          <w:rtl/>
        </w:rPr>
      </w:pPr>
      <w:r w:rsidRPr="00703852">
        <w:rPr>
          <w:rFonts w:hint="cs"/>
          <w:rtl/>
        </w:rPr>
        <w:t>ו</w:t>
      </w:r>
      <w:r>
        <w:rPr>
          <w:rFonts w:hint="cs"/>
          <w:rtl/>
        </w:rPr>
        <w:t xml:space="preserve">דחה </w:t>
      </w:r>
      <w:r w:rsidRPr="008547B0">
        <w:rPr>
          <w:rStyle w:val="af9"/>
          <w:rFonts w:hint="cs"/>
          <w:rtl/>
        </w:rPr>
        <w:t>הש"ך</w:t>
      </w:r>
      <w:r w:rsidRPr="00703852">
        <w:rPr>
          <w:rFonts w:hint="cs"/>
          <w:rtl/>
        </w:rPr>
        <w:t xml:space="preserve"> </w:t>
      </w:r>
      <w:r w:rsidRPr="008547B0">
        <w:rPr>
          <w:rStyle w:val="af7"/>
          <w:rFonts w:eastAsia="Guttman Hodes" w:hint="cs"/>
          <w:rtl/>
        </w:rPr>
        <w:t xml:space="preserve">(סי' י"ד סקי"א) </w:t>
      </w:r>
      <w:r>
        <w:rPr>
          <w:rFonts w:hint="cs"/>
          <w:rtl/>
        </w:rPr>
        <w:t xml:space="preserve">את דברי </w:t>
      </w:r>
      <w:r w:rsidRPr="008547B0">
        <w:rPr>
          <w:rStyle w:val="af9"/>
          <w:rFonts w:hint="cs"/>
          <w:rtl/>
        </w:rPr>
        <w:t>הב"ח</w:t>
      </w:r>
      <w:r>
        <w:rPr>
          <w:rFonts w:hint="cs"/>
          <w:rtl/>
        </w:rPr>
        <w:t xml:space="preserve"> דלא משמע בגמ' כלל שזהו הספק, </w:t>
      </w:r>
      <w:r w:rsidRPr="008547B0">
        <w:rPr>
          <w:rStyle w:val="afb"/>
          <w:rFonts w:hint="cs"/>
          <w:rtl/>
        </w:rPr>
        <w:t xml:space="preserve">[ועוד דחה </w:t>
      </w:r>
      <w:r w:rsidRPr="008547B0">
        <w:rPr>
          <w:rStyle w:val="affa"/>
          <w:rFonts w:hint="cs"/>
          <w:rtl/>
        </w:rPr>
        <w:t>הש"ך</w:t>
      </w:r>
      <w:r w:rsidRPr="008547B0">
        <w:rPr>
          <w:rStyle w:val="afb"/>
          <w:rFonts w:hint="cs"/>
          <w:rtl/>
        </w:rPr>
        <w:t xml:space="preserve"> דלא דמי לשמוטה</w:t>
      </w:r>
      <w:r>
        <w:rPr>
          <w:rStyle w:val="afb"/>
          <w:rFonts w:hint="cs"/>
          <w:rtl/>
        </w:rPr>
        <w:t>,</w:t>
      </w:r>
      <w:r w:rsidRPr="008547B0">
        <w:rPr>
          <w:rStyle w:val="afb"/>
          <w:rFonts w:hint="cs"/>
          <w:rtl/>
        </w:rPr>
        <w:t xml:space="preserve"> עיי"ש בדבריו], </w:t>
      </w:r>
      <w:r>
        <w:rPr>
          <w:rFonts w:hint="cs"/>
          <w:rtl/>
        </w:rPr>
        <w:t xml:space="preserve">אלא כתב </w:t>
      </w:r>
      <w:r w:rsidRPr="008547B0">
        <w:rPr>
          <w:rStyle w:val="af9"/>
          <w:rFonts w:hint="cs"/>
          <w:rtl/>
        </w:rPr>
        <w:t>הש"ך</w:t>
      </w:r>
      <w:r>
        <w:rPr>
          <w:rFonts w:hint="cs"/>
          <w:rtl/>
        </w:rPr>
        <w:t xml:space="preserve"> דספק הגמ' הוא מחמת דהאיסור באבר היוצא הוא מדין אבר מן החי, ואינו איסור טריפה, וכדביאר </w:t>
      </w:r>
      <w:r w:rsidRPr="004B171E">
        <w:rPr>
          <w:rStyle w:val="af9"/>
          <w:rFonts w:hint="cs"/>
          <w:rtl/>
        </w:rPr>
        <w:t>הש"ך</w:t>
      </w:r>
      <w:r w:rsidRPr="00703852">
        <w:rPr>
          <w:rFonts w:hint="cs"/>
          <w:rtl/>
        </w:rPr>
        <w:t xml:space="preserve"> </w:t>
      </w:r>
      <w:r>
        <w:rPr>
          <w:rFonts w:hint="cs"/>
          <w:rtl/>
        </w:rPr>
        <w:t xml:space="preserve">בדברי </w:t>
      </w:r>
      <w:r w:rsidRPr="00C903F1">
        <w:rPr>
          <w:rStyle w:val="af9"/>
          <w:rFonts w:hint="cs"/>
          <w:rtl/>
        </w:rPr>
        <w:t xml:space="preserve">הרשב"א </w:t>
      </w:r>
      <w:r w:rsidRPr="005D779C">
        <w:rPr>
          <w:rStyle w:val="af7"/>
          <w:rFonts w:eastAsia="Guttman Hodes" w:hint="cs"/>
          <w:rtl/>
        </w:rPr>
        <w:t xml:space="preserve">(עי' אות </w:t>
      </w:r>
      <w:r w:rsidRPr="005D779C">
        <w:rPr>
          <w:rStyle w:val="af7"/>
          <w:rFonts w:eastAsia="Guttman Hodes"/>
          <w:rtl/>
        </w:rPr>
        <w:fldChar w:fldCharType="begin"/>
      </w:r>
      <w:r w:rsidRPr="005D779C">
        <w:rPr>
          <w:rStyle w:val="af7"/>
          <w:rFonts w:eastAsia="Guttman Hodes"/>
          <w:rtl/>
        </w:rPr>
        <w:instrText xml:space="preserve"> </w:instrText>
      </w:r>
      <w:r w:rsidRPr="005D779C">
        <w:rPr>
          <w:rStyle w:val="af7"/>
          <w:rFonts w:eastAsia="Guttman Hodes" w:hint="cs"/>
        </w:rPr>
        <w:instrText>REF</w:instrText>
      </w:r>
      <w:r w:rsidRPr="005D779C">
        <w:rPr>
          <w:rStyle w:val="af7"/>
          <w:rFonts w:eastAsia="Guttman Hodes" w:hint="cs"/>
          <w:rtl/>
        </w:rPr>
        <w:instrText xml:space="preserve"> _</w:instrText>
      </w:r>
      <w:r w:rsidRPr="005D779C">
        <w:rPr>
          <w:rStyle w:val="af7"/>
          <w:rFonts w:eastAsia="Guttman Hodes" w:hint="cs"/>
        </w:rPr>
        <w:instrText>Ref535182131 \r \h</w:instrText>
      </w:r>
      <w:r w:rsidRPr="005D779C">
        <w:rPr>
          <w:rStyle w:val="af7"/>
          <w:rFonts w:eastAsia="Guttman Hodes"/>
          <w:rtl/>
        </w:rPr>
        <w:instrText xml:space="preserve"> </w:instrText>
      </w:r>
      <w:r w:rsidRPr="005D779C">
        <w:rPr>
          <w:rStyle w:val="af7"/>
          <w:rFonts w:eastAsia="Guttman Hodes"/>
          <w:rtl/>
        </w:rPr>
      </w:r>
      <w:r w:rsidRPr="005D779C">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5D779C">
        <w:rPr>
          <w:rStyle w:val="af7"/>
          <w:rFonts w:eastAsia="Guttman Hodes"/>
          <w:rtl/>
        </w:rPr>
        <w:fldChar w:fldCharType="end"/>
      </w:r>
      <w:r>
        <w:rPr>
          <w:rFonts w:hint="cs"/>
          <w:rtl/>
        </w:rPr>
        <w:t>,</w:t>
      </w:r>
      <w:r w:rsidRPr="005D779C">
        <w:rPr>
          <w:rFonts w:hint="cs"/>
          <w:rtl/>
        </w:rPr>
        <w:t xml:space="preserve"> </w:t>
      </w:r>
      <w:r>
        <w:rPr>
          <w:rFonts w:hint="cs"/>
          <w:rtl/>
        </w:rPr>
        <w:t>אבל בולד הנולד מבן פקועה ובהמה מעלמא</w:t>
      </w:r>
      <w:r w:rsidRPr="005D779C">
        <w:rPr>
          <w:rFonts w:hint="cs"/>
          <w:rtl/>
        </w:rPr>
        <w:t xml:space="preserve"> </w:t>
      </w:r>
      <w:r>
        <w:rPr>
          <w:rFonts w:hint="cs"/>
          <w:rtl/>
        </w:rPr>
        <w:t xml:space="preserve">כתב </w:t>
      </w:r>
      <w:r w:rsidRPr="008547B0">
        <w:rPr>
          <w:rStyle w:val="af9"/>
          <w:rFonts w:hint="cs"/>
          <w:rtl/>
        </w:rPr>
        <w:t>הש"ך</w:t>
      </w:r>
      <w:r>
        <w:rPr>
          <w:rFonts w:hint="cs"/>
          <w:rtl/>
        </w:rPr>
        <w:t xml:space="preserve"> דכיון שאין לו תקנה לעולם, פשיטא שאסור, דסימן אחד שלה דינו כשחוט.</w:t>
      </w:r>
    </w:p>
    <w:p w14:paraId="51C80B59" w14:textId="77777777" w:rsidR="003D504D" w:rsidRDefault="003D504D" w:rsidP="00BF39B2">
      <w:pPr>
        <w:pStyle w:val="1"/>
        <w:rPr>
          <w:rtl/>
        </w:rPr>
      </w:pPr>
      <w:bookmarkStart w:id="15663" w:name="_Toc535526211"/>
      <w:bookmarkStart w:id="15664" w:name="_Toc535574905"/>
      <w:bookmarkStart w:id="15665" w:name="_Toc535702362"/>
      <w:bookmarkStart w:id="15666" w:name="_Toc535750504"/>
      <w:bookmarkStart w:id="15667" w:name="_Toc19391058"/>
      <w:bookmarkStart w:id="15668" w:name="_Toc19394555"/>
      <w:r>
        <w:rPr>
          <w:rFonts w:hint="cs"/>
          <w:rtl/>
        </w:rPr>
        <w:t>בדעת רש"י ותוס' ורבינו גרשום בגדר האיסור באבר היוצא</w:t>
      </w:r>
      <w:bookmarkEnd w:id="15663"/>
      <w:bookmarkEnd w:id="15664"/>
      <w:bookmarkEnd w:id="15665"/>
      <w:bookmarkEnd w:id="15666"/>
      <w:bookmarkEnd w:id="15667"/>
      <w:bookmarkEnd w:id="15668"/>
    </w:p>
    <w:p w14:paraId="02683399" w14:textId="77777777" w:rsidR="003D504D" w:rsidRDefault="003D504D" w:rsidP="003D504D">
      <w:pPr>
        <w:pStyle w:val="a3"/>
        <w:rPr>
          <w:rtl/>
        </w:rPr>
      </w:pPr>
      <w:bookmarkStart w:id="15669" w:name="_Toc535526212"/>
      <w:bookmarkStart w:id="15670" w:name="_Toc535574906"/>
      <w:bookmarkStart w:id="15671" w:name="_Toc535702363"/>
      <w:bookmarkStart w:id="15672" w:name="_Toc535750505"/>
      <w:bookmarkStart w:id="15673" w:name="_Toc19391059"/>
      <w:bookmarkStart w:id="15674" w:name="_Toc19394556"/>
      <w:r>
        <w:rPr>
          <w:rFonts w:hint="cs"/>
          <w:rtl/>
        </w:rPr>
        <w:t>דברי המשנת ר"א דלרש"י אסור מדין טריפה ולתוס' אסור מדין אבמה"ח</w:t>
      </w:r>
      <w:bookmarkEnd w:id="15669"/>
      <w:bookmarkEnd w:id="15670"/>
      <w:bookmarkEnd w:id="15671"/>
      <w:bookmarkEnd w:id="15672"/>
      <w:bookmarkEnd w:id="15673"/>
      <w:bookmarkEnd w:id="15674"/>
    </w:p>
    <w:p w14:paraId="72901506" w14:textId="77777777" w:rsidR="003D504D" w:rsidRDefault="003D504D" w:rsidP="00223668">
      <w:pPr>
        <w:pStyle w:val="a0"/>
        <w:rPr>
          <w:rtl/>
        </w:rPr>
      </w:pPr>
      <w:bookmarkStart w:id="15675" w:name="_Toc535302121"/>
      <w:bookmarkStart w:id="15676" w:name="_Toc535178752"/>
      <w:bookmarkEnd w:id="15649"/>
      <w:r w:rsidRPr="0023332E">
        <w:rPr>
          <w:rFonts w:hint="cs"/>
          <w:rtl/>
        </w:rPr>
        <w:t xml:space="preserve">ועי' בדברי </w:t>
      </w:r>
      <w:r w:rsidRPr="0023332E">
        <w:rPr>
          <w:rStyle w:val="af9"/>
          <w:rFonts w:hint="cs"/>
          <w:rtl/>
        </w:rPr>
        <w:t>המשנת ר"א</w:t>
      </w:r>
      <w:r w:rsidRPr="0023332E">
        <w:rPr>
          <w:rStyle w:val="af7"/>
          <w:rFonts w:eastAsia="Guttman Hodes" w:hint="cs"/>
          <w:rtl/>
        </w:rPr>
        <w:t xml:space="preserve"> (סי' ד' אות א' ד"ה אכן) </w:t>
      </w:r>
      <w:r w:rsidRPr="0023332E">
        <w:rPr>
          <w:rFonts w:hint="cs"/>
          <w:rtl/>
        </w:rPr>
        <w:t xml:space="preserve">דכתב דבדברי </w:t>
      </w:r>
      <w:r w:rsidRPr="0023332E">
        <w:rPr>
          <w:rStyle w:val="af9"/>
          <w:rFonts w:hint="cs"/>
          <w:rtl/>
        </w:rPr>
        <w:t>רש"י לקמן</w:t>
      </w:r>
      <w:r w:rsidRPr="0023332E">
        <w:rPr>
          <w:rFonts w:hint="cs"/>
          <w:rtl/>
        </w:rPr>
        <w:t xml:space="preserve"> </w:t>
      </w:r>
      <w:r w:rsidRPr="0023332E">
        <w:rPr>
          <w:rStyle w:val="af7"/>
          <w:rFonts w:eastAsia="Guttman Hodes" w:hint="cs"/>
          <w:rtl/>
        </w:rPr>
        <w:t xml:space="preserve">(עה: ד"ה אין לו) </w:t>
      </w:r>
      <w:r w:rsidRPr="0023332E">
        <w:rPr>
          <w:rFonts w:hint="cs"/>
          <w:rtl/>
        </w:rPr>
        <w:t xml:space="preserve">מבואר דהאיסור באבר היוצא הוא מדין טריפה ולא מדין איסור אבר מן החי, אבל בדברי </w:t>
      </w:r>
      <w:r w:rsidRPr="0023332E">
        <w:rPr>
          <w:rStyle w:val="af9"/>
          <w:rFonts w:hint="cs"/>
          <w:rtl/>
        </w:rPr>
        <w:t>התוס' לקמן</w:t>
      </w:r>
      <w:r w:rsidRPr="0023332E">
        <w:rPr>
          <w:rFonts w:hint="cs"/>
          <w:rtl/>
        </w:rPr>
        <w:t xml:space="preserve"> </w:t>
      </w:r>
      <w:r w:rsidRPr="0023332E">
        <w:rPr>
          <w:rStyle w:val="af7"/>
          <w:rFonts w:eastAsia="Guttman Hodes" w:hint="cs"/>
          <w:rtl/>
        </w:rPr>
        <w:t xml:space="preserve">(סט. ד"ה בן פקועה) </w:t>
      </w:r>
      <w:r w:rsidRPr="0023332E">
        <w:rPr>
          <w:rFonts w:hint="cs"/>
          <w:rtl/>
        </w:rPr>
        <w:t>מבואר דהאיסור באבר היוצא הוא כיון שיש בו חסרון בשחיטה ו</w:t>
      </w:r>
      <w:r>
        <w:rPr>
          <w:rFonts w:hint="cs"/>
          <w:rtl/>
        </w:rPr>
        <w:t xml:space="preserve">אסור מדין אבר מן החי, ולא מדין טריפה, עיי"ש במה שהאריך טובא בזה, וכ"כ </w:t>
      </w:r>
      <w:r w:rsidRPr="00D87D5D">
        <w:rPr>
          <w:rStyle w:val="af9"/>
          <w:rFonts w:hint="cs"/>
          <w:rtl/>
        </w:rPr>
        <w:t>האמרי משה</w:t>
      </w:r>
      <w:r>
        <w:rPr>
          <w:rFonts w:hint="cs"/>
          <w:rtl/>
        </w:rPr>
        <w:t xml:space="preserve"> </w:t>
      </w:r>
      <w:r w:rsidRPr="0098677B">
        <w:rPr>
          <w:rStyle w:val="af7"/>
          <w:rFonts w:eastAsia="Guttman Hodes" w:hint="cs"/>
          <w:rtl/>
        </w:rPr>
        <w:t xml:space="preserve">(סי' ד' </w:t>
      </w:r>
      <w:r>
        <w:rPr>
          <w:rStyle w:val="af7"/>
          <w:rFonts w:eastAsia="Guttman Hodes" w:hint="cs"/>
          <w:rtl/>
        </w:rPr>
        <w:t xml:space="preserve">אות י"ח, סוף </w:t>
      </w:r>
      <w:r w:rsidRPr="0098677B">
        <w:rPr>
          <w:rStyle w:val="af7"/>
          <w:rFonts w:eastAsia="Guttman Hodes" w:hint="cs"/>
          <w:rtl/>
        </w:rPr>
        <w:t xml:space="preserve">אות </w:t>
      </w:r>
      <w:r>
        <w:rPr>
          <w:rStyle w:val="af7"/>
          <w:rFonts w:eastAsia="Guttman Hodes" w:hint="cs"/>
          <w:rtl/>
        </w:rPr>
        <w:t>ל</w:t>
      </w:r>
      <w:r w:rsidRPr="0098677B">
        <w:rPr>
          <w:rStyle w:val="af7"/>
          <w:rFonts w:eastAsia="Guttman Hodes" w:hint="cs"/>
          <w:rtl/>
        </w:rPr>
        <w:t>')</w:t>
      </w:r>
      <w:r>
        <w:rPr>
          <w:rFonts w:hint="cs"/>
          <w:rtl/>
        </w:rPr>
        <w:t xml:space="preserve"> בדעת </w:t>
      </w:r>
      <w:r w:rsidRPr="00D87D5D">
        <w:rPr>
          <w:rStyle w:val="af9"/>
          <w:rFonts w:hint="cs"/>
          <w:rtl/>
        </w:rPr>
        <w:t>התוס' לקמן</w:t>
      </w:r>
      <w:r>
        <w:rPr>
          <w:rFonts w:hint="cs"/>
          <w:rtl/>
        </w:rPr>
        <w:t>.</w:t>
      </w:r>
    </w:p>
    <w:p w14:paraId="1C8379FA" w14:textId="77777777" w:rsidR="002968AD" w:rsidRPr="002968AD" w:rsidRDefault="002968AD" w:rsidP="002968AD">
      <w:pPr>
        <w:pStyle w:val="a3"/>
        <w:rPr>
          <w:rtl/>
        </w:rPr>
      </w:pPr>
    </w:p>
    <w:p w14:paraId="7AEB1A7F" w14:textId="77777777" w:rsidR="003D504D" w:rsidRDefault="003D504D" w:rsidP="003D504D">
      <w:pPr>
        <w:pStyle w:val="a3"/>
        <w:rPr>
          <w:rtl/>
        </w:rPr>
      </w:pPr>
      <w:bookmarkStart w:id="15677" w:name="_Toc535750506"/>
      <w:bookmarkStart w:id="15678" w:name="_Toc19391060"/>
      <w:bookmarkStart w:id="15679" w:name="_Toc19394557"/>
      <w:r>
        <w:rPr>
          <w:rFonts w:hint="cs"/>
          <w:rtl/>
        </w:rPr>
        <w:t>ביאור המשנת ר"א בדעת רבינו גרשום דהאיסור באבר היוצא הוא מדין טריפה ולא מאבמה"ח</w:t>
      </w:r>
      <w:bookmarkEnd w:id="15677"/>
      <w:bookmarkEnd w:id="15678"/>
      <w:bookmarkEnd w:id="15679"/>
    </w:p>
    <w:p w14:paraId="2864808F" w14:textId="77777777" w:rsidR="003D504D" w:rsidRDefault="003D504D" w:rsidP="00223668">
      <w:pPr>
        <w:pStyle w:val="a0"/>
        <w:rPr>
          <w:rtl/>
        </w:rPr>
      </w:pPr>
      <w:bookmarkStart w:id="15680" w:name="_Toc535526213"/>
      <w:bookmarkStart w:id="15681" w:name="_Toc535574907"/>
      <w:bookmarkStart w:id="15682" w:name="_Toc535702364"/>
      <w:r>
        <w:rPr>
          <w:rFonts w:hint="cs"/>
          <w:rtl/>
        </w:rPr>
        <w:t xml:space="preserve">הביא </w:t>
      </w:r>
      <w:r w:rsidRPr="007E15F1">
        <w:rPr>
          <w:rStyle w:val="af9"/>
          <w:rFonts w:hint="cs"/>
          <w:rtl/>
        </w:rPr>
        <w:t>המשנת ר"א</w:t>
      </w:r>
      <w:r>
        <w:rPr>
          <w:rFonts w:hint="cs"/>
          <w:rtl/>
        </w:rPr>
        <w:t xml:space="preserve"> </w:t>
      </w:r>
      <w:r w:rsidRPr="007E15F1">
        <w:rPr>
          <w:rStyle w:val="af7"/>
          <w:rFonts w:eastAsia="Guttman Hodes" w:hint="cs"/>
          <w:rtl/>
        </w:rPr>
        <w:t>(סי' ד' אות א' ד"ה אך)</w:t>
      </w:r>
      <w:r>
        <w:rPr>
          <w:rFonts w:hint="cs"/>
          <w:rtl/>
        </w:rPr>
        <w:t xml:space="preserve"> דבספק </w:t>
      </w:r>
      <w:r w:rsidRPr="007E15F1">
        <w:rPr>
          <w:rFonts w:hint="cs"/>
          <w:rtl/>
        </w:rPr>
        <w:t>הגמ' לקמן</w:t>
      </w:r>
      <w:r>
        <w:rPr>
          <w:rFonts w:hint="cs"/>
          <w:rtl/>
        </w:rPr>
        <w:t xml:space="preserve"> </w:t>
      </w:r>
      <w:r w:rsidRPr="007E15F1">
        <w:rPr>
          <w:rStyle w:val="af7"/>
          <w:rFonts w:eastAsia="Guttman Hodes" w:hint="cs"/>
          <w:rtl/>
        </w:rPr>
        <w:t>(סט.)</w:t>
      </w:r>
      <w:r>
        <w:rPr>
          <w:rFonts w:hint="cs"/>
          <w:rtl/>
        </w:rPr>
        <w:t xml:space="preserve"> האם מותר לשתות חלב שבא מכח אבר היוצא, דבצד שאסור כיון שאין לאבר היוצא לו תקנה, ביאר </w:t>
      </w:r>
      <w:r w:rsidRPr="007E15F1">
        <w:rPr>
          <w:rStyle w:val="af9"/>
          <w:rFonts w:hint="cs"/>
          <w:rtl/>
        </w:rPr>
        <w:t>רבינו גרשום לקמן</w:t>
      </w:r>
      <w:r>
        <w:rPr>
          <w:rFonts w:hint="cs"/>
          <w:rtl/>
        </w:rPr>
        <w:t xml:space="preserve"> </w:t>
      </w:r>
      <w:r w:rsidRPr="007E15F1">
        <w:rPr>
          <w:rStyle w:val="af7"/>
          <w:rFonts w:eastAsia="Guttman Hodes" w:hint="cs"/>
          <w:rtl/>
        </w:rPr>
        <w:t>(סט. ד"ה הכא)</w:t>
      </w:r>
      <w:r>
        <w:rPr>
          <w:rFonts w:hint="cs"/>
          <w:rtl/>
        </w:rPr>
        <w:t xml:space="preserve"> דאין תקנה לאיסורו היינו שאיסור יוצא אין לו תקנה בשחיטה, וכתב </w:t>
      </w:r>
      <w:r w:rsidRPr="007E15F1">
        <w:rPr>
          <w:rStyle w:val="af9"/>
          <w:rFonts w:hint="cs"/>
          <w:rtl/>
        </w:rPr>
        <w:t>המשנת ר"א</w:t>
      </w:r>
      <w:r>
        <w:rPr>
          <w:rFonts w:hint="cs"/>
          <w:rtl/>
        </w:rPr>
        <w:t xml:space="preserve"> דמבואר מדברי </w:t>
      </w:r>
      <w:r w:rsidRPr="007E15F1">
        <w:rPr>
          <w:rStyle w:val="af9"/>
          <w:rFonts w:hint="cs"/>
          <w:rtl/>
        </w:rPr>
        <w:t>רבינו גרשום</w:t>
      </w:r>
      <w:r>
        <w:rPr>
          <w:rFonts w:hint="cs"/>
          <w:rtl/>
        </w:rPr>
        <w:t xml:space="preserve"> דהאיסור באבר היוצא אינו מחמת חסרון בשחיטה, אלא דאסור באיסור טריפה מדין "בשר בשדה טריפה".</w:t>
      </w:r>
    </w:p>
    <w:p w14:paraId="32A4C2B2" w14:textId="77777777" w:rsidR="003D504D" w:rsidRDefault="003D504D" w:rsidP="003D504D">
      <w:pPr>
        <w:pStyle w:val="a3"/>
        <w:rPr>
          <w:rtl/>
        </w:rPr>
      </w:pPr>
      <w:bookmarkStart w:id="15683" w:name="_Toc19391061"/>
      <w:bookmarkStart w:id="15684" w:name="_Toc19394558"/>
      <w:bookmarkStart w:id="15685" w:name="_Toc535750507"/>
      <w:r>
        <w:rPr>
          <w:rFonts w:hint="cs"/>
          <w:rtl/>
        </w:rPr>
        <w:t>דברי הרי"ד דהאיסור הוא כאבמה"ח ואין לו תקנה בחזרה כטריפה</w:t>
      </w:r>
      <w:bookmarkEnd w:id="15683"/>
      <w:bookmarkEnd w:id="15684"/>
    </w:p>
    <w:p w14:paraId="75CDEAD9" w14:textId="77777777" w:rsidR="003D504D" w:rsidRPr="000F6C07" w:rsidRDefault="003D504D" w:rsidP="00223668">
      <w:pPr>
        <w:pStyle w:val="a0"/>
        <w:rPr>
          <w:rtl/>
        </w:rPr>
      </w:pPr>
      <w:r w:rsidRPr="00B13441">
        <w:rPr>
          <w:rStyle w:val="af9"/>
          <w:rFonts w:hint="cs"/>
          <w:rtl/>
        </w:rPr>
        <w:t>ובפסקי הרי"ד</w:t>
      </w:r>
      <w:r>
        <w:rPr>
          <w:rFonts w:hint="cs"/>
          <w:rtl/>
        </w:rPr>
        <w:t xml:space="preserve"> </w:t>
      </w:r>
      <w:r w:rsidRPr="00B13441">
        <w:rPr>
          <w:rStyle w:val="af7"/>
          <w:rFonts w:eastAsia="Guttman Hodes" w:hint="cs"/>
          <w:rtl/>
        </w:rPr>
        <w:t>(ד"ה אמר רב</w:t>
      </w:r>
      <w:r>
        <w:rPr>
          <w:rStyle w:val="af1"/>
          <w:rtl/>
        </w:rPr>
        <w:footnoteReference w:id="105"/>
      </w:r>
      <w:r w:rsidRPr="00A9083A">
        <w:rPr>
          <w:rStyle w:val="af7"/>
          <w:rFonts w:eastAsia="Guttman Hodes" w:hint="cs"/>
          <w:rtl/>
        </w:rPr>
        <w:t xml:space="preserve">) </w:t>
      </w:r>
      <w:r>
        <w:rPr>
          <w:rFonts w:hint="cs"/>
          <w:rtl/>
        </w:rPr>
        <w:t>כתב דהאבר היוצא דינו כאבר מן החי, ואף אם החזירו אסור, דהוא נעשה כטריפה שאין לה תקנה.</w:t>
      </w:r>
    </w:p>
    <w:p w14:paraId="77B76BE8" w14:textId="77777777" w:rsidR="003D504D" w:rsidRDefault="003D504D" w:rsidP="003D504D">
      <w:pPr>
        <w:pStyle w:val="a3"/>
        <w:rPr>
          <w:rtl/>
        </w:rPr>
      </w:pPr>
      <w:bookmarkStart w:id="15686" w:name="_Toc19391062"/>
      <w:bookmarkStart w:id="15687" w:name="_Toc19394559"/>
      <w:r>
        <w:rPr>
          <w:rFonts w:hint="cs"/>
          <w:rtl/>
        </w:rPr>
        <w:t>משמעות התוס' דהאבר היוצא אסור מדין יוצא אף לריו"ח שאינו  מדין טריפה</w:t>
      </w:r>
      <w:bookmarkEnd w:id="15686"/>
      <w:bookmarkEnd w:id="15687"/>
    </w:p>
    <w:p w14:paraId="52B3A4D5" w14:textId="77777777" w:rsidR="003D504D" w:rsidRPr="007C1AD6" w:rsidRDefault="003D504D" w:rsidP="00223668">
      <w:pPr>
        <w:pStyle w:val="a0"/>
        <w:rPr>
          <w:sz w:val="10"/>
          <w:szCs w:val="14"/>
          <w:rtl/>
        </w:rPr>
      </w:pPr>
      <w:r>
        <w:rPr>
          <w:rFonts w:hint="cs"/>
          <w:rtl/>
        </w:rPr>
        <w:t xml:space="preserve">וע"ע בדברי </w:t>
      </w:r>
      <w:r w:rsidRPr="005B179A">
        <w:rPr>
          <w:rStyle w:val="af9"/>
          <w:rFonts w:hint="cs"/>
          <w:rtl/>
        </w:rPr>
        <w:t>התוס'</w:t>
      </w:r>
      <w:r>
        <w:rPr>
          <w:rStyle w:val="af9"/>
          <w:rFonts w:hint="cs"/>
          <w:rtl/>
        </w:rPr>
        <w:t xml:space="preserve"> לקמן</w:t>
      </w:r>
      <w:r w:rsidRPr="00780C12">
        <w:rPr>
          <w:rFonts w:hint="cs"/>
          <w:rtl/>
        </w:rPr>
        <w:t xml:space="preserve"> </w:t>
      </w:r>
      <w:r w:rsidRPr="005B179A">
        <w:rPr>
          <w:rStyle w:val="af7"/>
          <w:rFonts w:eastAsia="Guttman Hodes" w:hint="cs"/>
          <w:rtl/>
        </w:rPr>
        <w:t>(</w:t>
      </w:r>
      <w:r>
        <w:rPr>
          <w:rStyle w:val="af7"/>
          <w:rFonts w:eastAsia="Guttman Hodes" w:hint="cs"/>
          <w:rtl/>
        </w:rPr>
        <w:t xml:space="preserve">סח: </w:t>
      </w:r>
      <w:r w:rsidRPr="005B179A">
        <w:rPr>
          <w:rStyle w:val="af7"/>
          <w:rFonts w:eastAsia="Guttman Hodes" w:hint="cs"/>
          <w:rtl/>
        </w:rPr>
        <w:t>ד"ה הכל)</w:t>
      </w:r>
      <w:r w:rsidRPr="00780C12">
        <w:rPr>
          <w:rFonts w:hint="cs"/>
          <w:rtl/>
        </w:rPr>
        <w:t xml:space="preserve"> כתבו דלדברי ריו"ח דמתיר בחזרת האבר, צ"ל דהוא מעמיד את דין יוצא דקרי לה רחמנא "טריפה" לדבר אחר</w:t>
      </w:r>
      <w:r>
        <w:rPr>
          <w:rFonts w:hint="cs"/>
          <w:rtl/>
        </w:rPr>
        <w:t xml:space="preserve">. </w:t>
      </w:r>
      <w:r w:rsidRPr="005B179A">
        <w:rPr>
          <w:rStyle w:val="afb"/>
          <w:rFonts w:hint="cs"/>
          <w:rtl/>
        </w:rPr>
        <w:t xml:space="preserve">[ומבואר מדברי </w:t>
      </w:r>
      <w:r w:rsidRPr="007C1AD6">
        <w:rPr>
          <w:rStyle w:val="affa"/>
          <w:rFonts w:hint="cs"/>
          <w:rtl/>
        </w:rPr>
        <w:t xml:space="preserve">התוס' </w:t>
      </w:r>
      <w:r w:rsidRPr="005B179A">
        <w:rPr>
          <w:rStyle w:val="afb"/>
          <w:rFonts w:hint="cs"/>
          <w:rtl/>
        </w:rPr>
        <w:t>דאף לריו"ח האיסור באבר היוצא שלא חזר, הוא מדין "בשר בשדה", אך אינו מדין "טריפה"]</w:t>
      </w:r>
      <w:r>
        <w:rPr>
          <w:rStyle w:val="afb"/>
          <w:rFonts w:hint="cs"/>
          <w:rtl/>
        </w:rPr>
        <w:t>.</w:t>
      </w:r>
    </w:p>
    <w:p w14:paraId="50C75B77" w14:textId="77777777" w:rsidR="003D504D" w:rsidRPr="007C1AD6" w:rsidRDefault="003D504D" w:rsidP="003D504D">
      <w:pPr>
        <w:pStyle w:val="a3"/>
      </w:pPr>
      <w:bookmarkStart w:id="15688" w:name="_Toc19391063"/>
      <w:bookmarkStart w:id="15689" w:name="_Toc19394560"/>
      <w:r>
        <w:rPr>
          <w:rFonts w:hint="cs"/>
          <w:rtl/>
        </w:rPr>
        <w:t>משמעות הר"ן דלריו"ח האבר שבחוץ אינו אסור מדין טריפה כלל</w:t>
      </w:r>
      <w:bookmarkEnd w:id="15688"/>
      <w:bookmarkEnd w:id="15689"/>
    </w:p>
    <w:p w14:paraId="0B0CC724" w14:textId="77777777" w:rsidR="003D504D" w:rsidRPr="005B179A" w:rsidRDefault="003D504D" w:rsidP="00223668">
      <w:pPr>
        <w:pStyle w:val="a0"/>
        <w:rPr>
          <w:rStyle w:val="afb"/>
          <w:rtl/>
        </w:rPr>
      </w:pPr>
      <w:r w:rsidRPr="00780C12">
        <w:rPr>
          <w:rFonts w:hint="cs"/>
          <w:rtl/>
        </w:rPr>
        <w:t xml:space="preserve">אבל </w:t>
      </w:r>
      <w:r w:rsidRPr="005B179A">
        <w:rPr>
          <w:rStyle w:val="af9"/>
          <w:rFonts w:hint="cs"/>
          <w:rtl/>
        </w:rPr>
        <w:t>הר"ן בחי'</w:t>
      </w:r>
      <w:r>
        <w:rPr>
          <w:rStyle w:val="af9"/>
          <w:rFonts w:hint="cs"/>
          <w:rtl/>
        </w:rPr>
        <w:t xml:space="preserve"> לקמן</w:t>
      </w:r>
      <w:r w:rsidRPr="00780C12">
        <w:rPr>
          <w:rFonts w:hint="cs"/>
          <w:rtl/>
        </w:rPr>
        <w:t xml:space="preserve"> </w:t>
      </w:r>
      <w:r w:rsidRPr="005B179A">
        <w:rPr>
          <w:rStyle w:val="af7"/>
          <w:rFonts w:eastAsia="Guttman Hodes" w:hint="cs"/>
          <w:rtl/>
        </w:rPr>
        <w:t>(</w:t>
      </w:r>
      <w:r>
        <w:rPr>
          <w:rStyle w:val="af7"/>
          <w:rFonts w:eastAsia="Guttman Hodes" w:hint="cs"/>
          <w:rtl/>
        </w:rPr>
        <w:t xml:space="preserve">סח: </w:t>
      </w:r>
      <w:r w:rsidRPr="005B179A">
        <w:rPr>
          <w:rStyle w:val="af7"/>
          <w:rFonts w:eastAsia="Guttman Hodes" w:hint="cs"/>
          <w:rtl/>
        </w:rPr>
        <w:t>ד"ה חטאת)</w:t>
      </w:r>
      <w:r w:rsidRPr="00780C12">
        <w:rPr>
          <w:rFonts w:hint="cs"/>
          <w:rtl/>
        </w:rPr>
        <w:t xml:space="preserve"> כתב דלריו"ח גלי קרא ב"חטאת" דהלאו ביוצא הוא רק לענין חטאת, אך את הפסוק "טריפה", אף למסקנת ריו"ח נשארת הדרשה </w:t>
      </w:r>
      <w:r>
        <w:rPr>
          <w:rFonts w:hint="cs"/>
          <w:rtl/>
        </w:rPr>
        <w:t xml:space="preserve">לענין דין יוצא בחטאת. </w:t>
      </w:r>
      <w:r w:rsidRPr="005B179A">
        <w:rPr>
          <w:rStyle w:val="afb"/>
          <w:rFonts w:hint="cs"/>
          <w:rtl/>
        </w:rPr>
        <w:t xml:space="preserve">[ומבואר מדברי </w:t>
      </w:r>
      <w:r w:rsidRPr="005B179A">
        <w:rPr>
          <w:rStyle w:val="affa"/>
          <w:rFonts w:hint="cs"/>
          <w:rtl/>
        </w:rPr>
        <w:t>הר"ן</w:t>
      </w:r>
      <w:r w:rsidRPr="005B179A">
        <w:rPr>
          <w:rStyle w:val="afb"/>
          <w:rFonts w:hint="cs"/>
          <w:rtl/>
        </w:rPr>
        <w:t xml:space="preserve"> דלדעת ריו"ח האיסור באבר היוצא שלא חזר, אינו מדין "בשר בשדה טריפה" כלל, דדין יוצא לדעת ריו"ח הוא רק לענין חטאת</w:t>
      </w:r>
      <w:r>
        <w:rPr>
          <w:rStyle w:val="afb"/>
          <w:rFonts w:hint="cs"/>
          <w:rtl/>
        </w:rPr>
        <w:t xml:space="preserve">, וא"כ איסורו הוא כיון שאינו בכלל היתר </w:t>
      </w:r>
      <w:r>
        <w:rPr>
          <w:rStyle w:val="afb"/>
          <w:rtl/>
        </w:rPr>
        <w:t>"</w:t>
      </w:r>
      <w:r>
        <w:rPr>
          <w:rStyle w:val="afb"/>
          <w:rFonts w:hint="cs"/>
          <w:rtl/>
        </w:rPr>
        <w:t>כל בבהמה</w:t>
      </w:r>
      <w:r>
        <w:rPr>
          <w:rStyle w:val="afb"/>
          <w:rtl/>
        </w:rPr>
        <w:t>"</w:t>
      </w:r>
      <w:r w:rsidRPr="005B179A">
        <w:rPr>
          <w:rStyle w:val="afb"/>
          <w:rFonts w:hint="cs"/>
          <w:rtl/>
        </w:rPr>
        <w:t>].</w:t>
      </w:r>
    </w:p>
    <w:p w14:paraId="04405A91" w14:textId="77777777" w:rsidR="003D504D" w:rsidRPr="001939C9" w:rsidRDefault="003D504D" w:rsidP="003D504D">
      <w:pPr>
        <w:pStyle w:val="afe"/>
        <w:rPr>
          <w:rtl/>
        </w:rPr>
      </w:pPr>
      <w:bookmarkStart w:id="15690" w:name="_Toc535526214"/>
      <w:bookmarkStart w:id="15691" w:name="_Toc535574908"/>
      <w:bookmarkStart w:id="15692" w:name="_Toc535702365"/>
      <w:bookmarkStart w:id="15693" w:name="_Toc535750508"/>
      <w:bookmarkStart w:id="15694" w:name="_Toc19436004"/>
      <w:bookmarkStart w:id="15695" w:name="_Toc20081214"/>
      <w:bookmarkEnd w:id="15680"/>
      <w:bookmarkEnd w:id="15681"/>
      <w:bookmarkEnd w:id="15682"/>
      <w:bookmarkEnd w:id="15685"/>
      <w:r>
        <w:rPr>
          <w:rFonts w:hint="cs"/>
          <w:rtl/>
        </w:rPr>
        <w:t>בגדר איסור אבר היוצא שלא החזירו</w:t>
      </w:r>
      <w:bookmarkEnd w:id="15690"/>
      <w:bookmarkEnd w:id="15691"/>
      <w:bookmarkEnd w:id="15692"/>
      <w:bookmarkEnd w:id="15693"/>
      <w:bookmarkEnd w:id="15694"/>
      <w:bookmarkEnd w:id="15695"/>
      <w:r>
        <w:rPr>
          <w:rFonts w:hint="cs"/>
          <w:rtl/>
        </w:rPr>
        <w:t xml:space="preserve"> </w:t>
      </w:r>
      <w:bookmarkEnd w:id="15675"/>
    </w:p>
    <w:p w14:paraId="33DF1FC7" w14:textId="77777777" w:rsidR="003D504D" w:rsidRDefault="003D504D" w:rsidP="00BF39B2">
      <w:pPr>
        <w:pStyle w:val="1"/>
        <w:rPr>
          <w:rtl/>
        </w:rPr>
      </w:pPr>
      <w:bookmarkStart w:id="15696" w:name="_Toc535302122"/>
      <w:bookmarkStart w:id="15697" w:name="_Toc535526215"/>
      <w:bookmarkStart w:id="15698" w:name="_Toc535574909"/>
      <w:bookmarkStart w:id="15699" w:name="_Toc535702366"/>
      <w:bookmarkStart w:id="15700" w:name="_Toc535750509"/>
      <w:bookmarkStart w:id="15701" w:name="_Toc19391064"/>
      <w:bookmarkStart w:id="15702" w:name="_Toc19394561"/>
      <w:r>
        <w:rPr>
          <w:rFonts w:hint="cs"/>
          <w:rtl/>
        </w:rPr>
        <w:t>דעת רש"י</w:t>
      </w:r>
      <w:bookmarkEnd w:id="15676"/>
      <w:bookmarkEnd w:id="15696"/>
      <w:r>
        <w:rPr>
          <w:rFonts w:hint="cs"/>
          <w:rtl/>
        </w:rPr>
        <w:t xml:space="preserve"> דבלא החזירו אין היתר </w:t>
      </w:r>
      <w:r>
        <w:rPr>
          <w:rtl/>
        </w:rPr>
        <w:t>"</w:t>
      </w:r>
      <w:r>
        <w:rPr>
          <w:rFonts w:hint="cs"/>
          <w:rtl/>
        </w:rPr>
        <w:t>כל בבהמה</w:t>
      </w:r>
      <w:r>
        <w:rPr>
          <w:rtl/>
        </w:rPr>
        <w:t>"</w:t>
      </w:r>
      <w:bookmarkEnd w:id="15697"/>
      <w:bookmarkEnd w:id="15698"/>
      <w:bookmarkEnd w:id="15699"/>
      <w:bookmarkEnd w:id="15700"/>
      <w:bookmarkEnd w:id="15701"/>
      <w:bookmarkEnd w:id="15702"/>
    </w:p>
    <w:p w14:paraId="11D2EA7D" w14:textId="77777777" w:rsidR="003D504D" w:rsidRDefault="003D504D" w:rsidP="003D504D">
      <w:pPr>
        <w:pStyle w:val="a3"/>
        <w:rPr>
          <w:rtl/>
        </w:rPr>
      </w:pPr>
      <w:bookmarkStart w:id="15703" w:name="_Toc535526216"/>
      <w:bookmarkStart w:id="15704" w:name="_Toc535574910"/>
      <w:bookmarkStart w:id="15705" w:name="_Toc535702367"/>
      <w:bookmarkStart w:id="15706" w:name="_Toc535750510"/>
      <w:bookmarkStart w:id="15707" w:name="_Toc19391065"/>
      <w:bookmarkStart w:id="15708" w:name="_Toc19394562"/>
      <w:r>
        <w:rPr>
          <w:rFonts w:hint="cs"/>
          <w:rtl/>
        </w:rPr>
        <w:t xml:space="preserve">דברי רש"י דאבר היוצא ומקום החתך שלא החזירו אין בהם היתר </w:t>
      </w:r>
      <w:r>
        <w:rPr>
          <w:rtl/>
        </w:rPr>
        <w:t>"</w:t>
      </w:r>
      <w:r>
        <w:rPr>
          <w:rFonts w:hint="cs"/>
          <w:rtl/>
        </w:rPr>
        <w:t>כל בבהמה</w:t>
      </w:r>
      <w:r>
        <w:rPr>
          <w:rtl/>
        </w:rPr>
        <w:t>"</w:t>
      </w:r>
      <w:bookmarkEnd w:id="15703"/>
      <w:bookmarkEnd w:id="15704"/>
      <w:bookmarkEnd w:id="15705"/>
      <w:bookmarkEnd w:id="15706"/>
      <w:bookmarkEnd w:id="15707"/>
      <w:bookmarkEnd w:id="15708"/>
      <w:r>
        <w:rPr>
          <w:rFonts w:hint="cs"/>
          <w:rtl/>
        </w:rPr>
        <w:t xml:space="preserve"> </w:t>
      </w:r>
    </w:p>
    <w:p w14:paraId="637A850A" w14:textId="77777777" w:rsidR="003D504D" w:rsidRDefault="003D504D" w:rsidP="00223668">
      <w:pPr>
        <w:pStyle w:val="a0"/>
        <w:rPr>
          <w:rtl/>
        </w:rPr>
      </w:pPr>
      <w:bookmarkStart w:id="15709" w:name="_Ref535315660"/>
      <w:r>
        <w:rPr>
          <w:rFonts w:hint="cs"/>
          <w:rtl/>
        </w:rPr>
        <w:t xml:space="preserve">כתב </w:t>
      </w:r>
      <w:r w:rsidRPr="00F506D8">
        <w:rPr>
          <w:rStyle w:val="af9"/>
          <w:rFonts w:hint="cs"/>
          <w:rtl/>
        </w:rPr>
        <w:t>רש"י</w:t>
      </w:r>
      <w:r>
        <w:rPr>
          <w:rFonts w:hint="cs"/>
          <w:rtl/>
        </w:rPr>
        <w:t xml:space="preserve"> </w:t>
      </w:r>
      <w:r w:rsidRPr="00F506D8">
        <w:rPr>
          <w:rStyle w:val="af7"/>
          <w:rFonts w:eastAsia="Guttman Hodes" w:hint="cs"/>
          <w:rtl/>
        </w:rPr>
        <w:t>(ד"ה לעולם)</w:t>
      </w:r>
      <w:r>
        <w:rPr>
          <w:rFonts w:hint="cs"/>
          <w:rtl/>
        </w:rPr>
        <w:t xml:space="preserve"> דאבר היוצא שלא החזירו מקום החתך אסור, דכיון שאינו בתוך הבהמה, אינו בכלל היתר </w:t>
      </w:r>
      <w:r>
        <w:rPr>
          <w:rtl/>
        </w:rPr>
        <w:t>"</w:t>
      </w:r>
      <w:r>
        <w:rPr>
          <w:rFonts w:hint="cs"/>
          <w:rtl/>
        </w:rPr>
        <w:t>כל בבהמה</w:t>
      </w:r>
      <w:r>
        <w:rPr>
          <w:rtl/>
        </w:rPr>
        <w:t>"</w:t>
      </w:r>
      <w:r>
        <w:rPr>
          <w:rFonts w:hint="cs"/>
          <w:rtl/>
        </w:rPr>
        <w:t xml:space="preserve">, ובאבר היוצא שהחזירו מקום חתך מותר, דהוא בכלל </w:t>
      </w:r>
      <w:r>
        <w:rPr>
          <w:rtl/>
        </w:rPr>
        <w:t>"</w:t>
      </w:r>
      <w:r>
        <w:rPr>
          <w:rFonts w:hint="cs"/>
          <w:rtl/>
        </w:rPr>
        <w:t>כל בבהמה</w:t>
      </w:r>
      <w:r>
        <w:rPr>
          <w:rtl/>
        </w:rPr>
        <w:t>"</w:t>
      </w:r>
      <w:r>
        <w:rPr>
          <w:rFonts w:hint="cs"/>
          <w:rtl/>
        </w:rPr>
        <w:t xml:space="preserve">, וביאר </w:t>
      </w:r>
      <w:r w:rsidRPr="00020D08">
        <w:rPr>
          <w:rStyle w:val="af9"/>
          <w:rFonts w:hint="cs"/>
          <w:rtl/>
        </w:rPr>
        <w:t>רש"י</w:t>
      </w:r>
      <w:r>
        <w:rPr>
          <w:rFonts w:hint="cs"/>
          <w:rtl/>
        </w:rPr>
        <w:t xml:space="preserve"> דבמקום החתך אין איסור "בשר בשדה טריפה" כמו האיסור באבר היוצא, דהא מקום החתך לא יצא חוץ למחיצתו, ועי' בדברי </w:t>
      </w:r>
      <w:r w:rsidRPr="0027691E">
        <w:rPr>
          <w:rStyle w:val="af9"/>
          <w:rFonts w:hint="cs"/>
          <w:rtl/>
        </w:rPr>
        <w:t>השער"י</w:t>
      </w:r>
      <w:r>
        <w:rPr>
          <w:rFonts w:hint="cs"/>
          <w:rtl/>
        </w:rPr>
        <w:t xml:space="preserve"> </w:t>
      </w:r>
      <w:r w:rsidRPr="0027691E">
        <w:rPr>
          <w:rStyle w:val="af7"/>
          <w:rFonts w:eastAsia="Guttman Hodes" w:hint="cs"/>
          <w:rtl/>
        </w:rPr>
        <w:t xml:space="preserve">(עי' אות </w:t>
      </w:r>
      <w:r w:rsidRPr="0027691E">
        <w:rPr>
          <w:rStyle w:val="af7"/>
          <w:rFonts w:eastAsia="Guttman Hodes"/>
          <w:rtl/>
        </w:rPr>
        <w:fldChar w:fldCharType="begin"/>
      </w:r>
      <w:r w:rsidRPr="0027691E">
        <w:rPr>
          <w:rStyle w:val="af7"/>
          <w:rFonts w:eastAsia="Guttman Hodes"/>
          <w:rtl/>
        </w:rPr>
        <w:instrText xml:space="preserve"> </w:instrText>
      </w:r>
      <w:r w:rsidRPr="0027691E">
        <w:rPr>
          <w:rStyle w:val="af7"/>
          <w:rFonts w:eastAsia="Guttman Hodes" w:hint="cs"/>
        </w:rPr>
        <w:instrText>REF</w:instrText>
      </w:r>
      <w:r w:rsidRPr="0027691E">
        <w:rPr>
          <w:rStyle w:val="af7"/>
          <w:rFonts w:eastAsia="Guttman Hodes" w:hint="cs"/>
          <w:rtl/>
        </w:rPr>
        <w:instrText xml:space="preserve"> _</w:instrText>
      </w:r>
      <w:r w:rsidRPr="0027691E">
        <w:rPr>
          <w:rStyle w:val="af7"/>
          <w:rFonts w:eastAsia="Guttman Hodes" w:hint="cs"/>
        </w:rPr>
        <w:instrText>Ref535315708 \r \h</w:instrText>
      </w:r>
      <w:r w:rsidRPr="0027691E">
        <w:rPr>
          <w:rStyle w:val="af7"/>
          <w:rFonts w:eastAsia="Guttman Hodes"/>
          <w:rtl/>
        </w:rPr>
        <w:instrText xml:space="preserve"> </w:instrText>
      </w:r>
      <w:r w:rsidRPr="0027691E">
        <w:rPr>
          <w:rStyle w:val="af7"/>
          <w:rFonts w:eastAsia="Guttman Hodes"/>
          <w:rtl/>
        </w:rPr>
      </w:r>
      <w:r w:rsidRPr="0027691E">
        <w:rPr>
          <w:rStyle w:val="af7"/>
          <w:rFonts w:eastAsia="Guttman Hodes"/>
          <w:rtl/>
        </w:rPr>
        <w:fldChar w:fldCharType="separate"/>
      </w:r>
      <w:r w:rsidR="00345400">
        <w:rPr>
          <w:rStyle w:val="af7"/>
          <w:rFonts w:eastAsia="Guttman Hodes"/>
          <w:cs/>
        </w:rPr>
        <w:t>‎</w:t>
      </w:r>
      <w:r w:rsidR="00345400">
        <w:rPr>
          <w:rStyle w:val="af7"/>
          <w:rFonts w:eastAsia="Guttman Hodes"/>
          <w:rtl/>
        </w:rPr>
        <w:t>עב)</w:t>
      </w:r>
      <w:r w:rsidRPr="0027691E">
        <w:rPr>
          <w:rStyle w:val="af7"/>
          <w:rFonts w:eastAsia="Guttman Hodes"/>
          <w:rtl/>
        </w:rPr>
        <w:fldChar w:fldCharType="end"/>
      </w:r>
      <w:r>
        <w:rPr>
          <w:rFonts w:hint="cs"/>
          <w:rtl/>
        </w:rPr>
        <w:t>.</w:t>
      </w:r>
      <w:bookmarkEnd w:id="15709"/>
    </w:p>
    <w:p w14:paraId="6E4EC358" w14:textId="77777777" w:rsidR="003D504D" w:rsidRDefault="003D504D" w:rsidP="003D504D">
      <w:pPr>
        <w:pStyle w:val="a3"/>
        <w:rPr>
          <w:rtl/>
        </w:rPr>
      </w:pPr>
      <w:bookmarkStart w:id="15710" w:name="_Toc535526217"/>
      <w:bookmarkStart w:id="15711" w:name="_Toc535574911"/>
      <w:bookmarkStart w:id="15712" w:name="_Toc535702368"/>
      <w:bookmarkStart w:id="15713" w:name="_Toc535750511"/>
      <w:bookmarkStart w:id="15714" w:name="_Toc19391066"/>
      <w:bookmarkStart w:id="15715" w:name="_Toc19394563"/>
      <w:r>
        <w:rPr>
          <w:rFonts w:hint="cs"/>
          <w:rtl/>
        </w:rPr>
        <w:t>מבואר מדברי הפרמ"ג דלהט"ז כל שלא החזיר את האבר א"צ לאוסרו מדין בשר בשדה טריפה</w:t>
      </w:r>
      <w:bookmarkEnd w:id="15710"/>
      <w:bookmarkEnd w:id="15711"/>
      <w:bookmarkEnd w:id="15712"/>
      <w:bookmarkEnd w:id="15713"/>
      <w:bookmarkEnd w:id="15714"/>
      <w:bookmarkEnd w:id="15715"/>
    </w:p>
    <w:p w14:paraId="5EA90AB1" w14:textId="77777777" w:rsidR="003D504D" w:rsidRPr="000D39B9" w:rsidRDefault="003D504D" w:rsidP="00223668">
      <w:pPr>
        <w:pStyle w:val="a0"/>
        <w:rPr>
          <w:rStyle w:val="afb"/>
          <w:rtl/>
        </w:rPr>
      </w:pPr>
      <w:bookmarkStart w:id="15716" w:name="_Ref535351807"/>
      <w:r>
        <w:rPr>
          <w:rFonts w:hint="cs"/>
          <w:rtl/>
        </w:rPr>
        <w:t xml:space="preserve">וכתב </w:t>
      </w:r>
      <w:r>
        <w:rPr>
          <w:rStyle w:val="af9"/>
          <w:rFonts w:hint="cs"/>
          <w:rtl/>
        </w:rPr>
        <w:t>ה</w:t>
      </w:r>
      <w:r w:rsidRPr="00BF0B6D">
        <w:rPr>
          <w:rStyle w:val="af9"/>
          <w:rFonts w:hint="cs"/>
          <w:rtl/>
        </w:rPr>
        <w:t>ט"ז</w:t>
      </w:r>
      <w:r>
        <w:rPr>
          <w:rFonts w:hint="cs"/>
          <w:rtl/>
        </w:rPr>
        <w:t xml:space="preserve"> </w:t>
      </w:r>
      <w:r w:rsidRPr="004F7073">
        <w:rPr>
          <w:rStyle w:val="af7"/>
          <w:rFonts w:eastAsia="Guttman Hodes" w:hint="cs"/>
          <w:rtl/>
        </w:rPr>
        <w:t xml:space="preserve">(סי' י"ד סק"ג) </w:t>
      </w:r>
      <w:r>
        <w:rPr>
          <w:rFonts w:hint="cs"/>
          <w:rtl/>
        </w:rPr>
        <w:t xml:space="preserve">דבחזיר את האבר מקום החתך מותר, דהוא בכלל היתר </w:t>
      </w:r>
      <w:r>
        <w:rPr>
          <w:rtl/>
        </w:rPr>
        <w:t>"</w:t>
      </w:r>
      <w:r>
        <w:rPr>
          <w:rFonts w:hint="cs"/>
          <w:rtl/>
        </w:rPr>
        <w:t>כל בבהמה</w:t>
      </w:r>
      <w:r>
        <w:rPr>
          <w:rtl/>
        </w:rPr>
        <w:t>"</w:t>
      </w:r>
      <w:r>
        <w:rPr>
          <w:rFonts w:hint="cs"/>
          <w:rtl/>
        </w:rPr>
        <w:t xml:space="preserve">, ובלא החזירו אסור, דאינו בכלל היתר </w:t>
      </w:r>
      <w:r>
        <w:rPr>
          <w:rtl/>
        </w:rPr>
        <w:t>"</w:t>
      </w:r>
      <w:r>
        <w:rPr>
          <w:rFonts w:hint="cs"/>
          <w:rtl/>
        </w:rPr>
        <w:t>כל בבהמה</w:t>
      </w:r>
      <w:r>
        <w:rPr>
          <w:rtl/>
        </w:rPr>
        <w:t>"</w:t>
      </w:r>
      <w:r>
        <w:rPr>
          <w:rFonts w:hint="cs"/>
          <w:rtl/>
        </w:rPr>
        <w:t xml:space="preserve">, </w:t>
      </w:r>
      <w:r w:rsidRPr="00AC2F9E">
        <w:rPr>
          <w:rFonts w:hint="cs"/>
          <w:rtl/>
        </w:rPr>
        <w:t xml:space="preserve">וכתב </w:t>
      </w:r>
      <w:r w:rsidRPr="00AC2F9E">
        <w:rPr>
          <w:rStyle w:val="af9"/>
          <w:rFonts w:hint="cs"/>
          <w:rtl/>
        </w:rPr>
        <w:t>הפרמ"ג</w:t>
      </w:r>
      <w:r w:rsidRPr="00AC2F9E">
        <w:rPr>
          <w:rFonts w:hint="cs"/>
          <w:rtl/>
        </w:rPr>
        <w:t xml:space="preserve"> </w:t>
      </w:r>
      <w:r w:rsidRPr="00AC2F9E">
        <w:rPr>
          <w:rStyle w:val="af7"/>
          <w:rFonts w:eastAsia="Guttman Hodes" w:hint="cs"/>
          <w:rtl/>
        </w:rPr>
        <w:t>(סי' י"ד משב"ז סק"ג)</w:t>
      </w:r>
      <w:r>
        <w:rPr>
          <w:rFonts w:hint="cs"/>
          <w:rtl/>
        </w:rPr>
        <w:t xml:space="preserve"> </w:t>
      </w:r>
      <w:r w:rsidRPr="004F7073">
        <w:rPr>
          <w:rStyle w:val="af9"/>
          <w:rFonts w:hint="cs"/>
          <w:rtl/>
        </w:rPr>
        <w:t>דהט"ז</w:t>
      </w:r>
      <w:r>
        <w:rPr>
          <w:rFonts w:hint="cs"/>
          <w:rtl/>
        </w:rPr>
        <w:t xml:space="preserve"> ביאר כדברי </w:t>
      </w:r>
      <w:r w:rsidRPr="004F7073">
        <w:rPr>
          <w:rStyle w:val="af9"/>
          <w:rFonts w:hint="cs"/>
          <w:rtl/>
        </w:rPr>
        <w:t>רש"י</w:t>
      </w:r>
      <w:r>
        <w:rPr>
          <w:rFonts w:hint="cs"/>
          <w:rtl/>
        </w:rPr>
        <w:t xml:space="preserve"> </w:t>
      </w:r>
      <w:r w:rsidRPr="004F7073">
        <w:rPr>
          <w:rStyle w:val="af7"/>
          <w:rFonts w:eastAsia="Guttman Hodes" w:hint="cs"/>
          <w:rtl/>
        </w:rPr>
        <w:t xml:space="preserve">(עי' אות </w:t>
      </w:r>
      <w:r w:rsidRPr="004F7073">
        <w:rPr>
          <w:rStyle w:val="af7"/>
          <w:rFonts w:eastAsia="Guttman Hodes"/>
          <w:rtl/>
        </w:rPr>
        <w:fldChar w:fldCharType="begin"/>
      </w:r>
      <w:r w:rsidRPr="004F7073">
        <w:rPr>
          <w:rStyle w:val="af7"/>
          <w:rFonts w:eastAsia="Guttman Hodes"/>
          <w:rtl/>
        </w:rPr>
        <w:instrText xml:space="preserve"> </w:instrText>
      </w:r>
      <w:r w:rsidRPr="004F7073">
        <w:rPr>
          <w:rStyle w:val="af7"/>
          <w:rFonts w:eastAsia="Guttman Hodes" w:hint="cs"/>
        </w:rPr>
        <w:instrText>REF</w:instrText>
      </w:r>
      <w:r w:rsidRPr="004F7073">
        <w:rPr>
          <w:rStyle w:val="af7"/>
          <w:rFonts w:eastAsia="Guttman Hodes" w:hint="cs"/>
          <w:rtl/>
        </w:rPr>
        <w:instrText xml:space="preserve"> _</w:instrText>
      </w:r>
      <w:r w:rsidRPr="004F7073">
        <w:rPr>
          <w:rStyle w:val="af7"/>
          <w:rFonts w:eastAsia="Guttman Hodes" w:hint="cs"/>
        </w:rPr>
        <w:instrText>Ref535315660 \r \h</w:instrText>
      </w:r>
      <w:r w:rsidRPr="004F7073">
        <w:rPr>
          <w:rStyle w:val="af7"/>
          <w:rFonts w:eastAsia="Guttman Hodes"/>
          <w:rtl/>
        </w:rPr>
        <w:instrText xml:space="preserve"> </w:instrText>
      </w:r>
      <w:r w:rsidRPr="004F7073">
        <w:rPr>
          <w:rStyle w:val="af7"/>
          <w:rFonts w:eastAsia="Guttman Hodes"/>
          <w:rtl/>
        </w:rPr>
      </w:r>
      <w:r w:rsidRPr="004F7073">
        <w:rPr>
          <w:rStyle w:val="af7"/>
          <w:rFonts w:eastAsia="Guttman Hodes"/>
          <w:rtl/>
        </w:rPr>
        <w:fldChar w:fldCharType="separate"/>
      </w:r>
      <w:r w:rsidR="00345400">
        <w:rPr>
          <w:rStyle w:val="af7"/>
          <w:rFonts w:eastAsia="Guttman Hodes"/>
          <w:cs/>
        </w:rPr>
        <w:t>‎</w:t>
      </w:r>
      <w:r w:rsidR="00345400">
        <w:rPr>
          <w:rStyle w:val="af7"/>
          <w:rFonts w:eastAsia="Guttman Hodes"/>
          <w:rtl/>
        </w:rPr>
        <w:t>לט)</w:t>
      </w:r>
      <w:r w:rsidRPr="004F7073">
        <w:rPr>
          <w:rStyle w:val="af7"/>
          <w:rFonts w:eastAsia="Guttman Hodes"/>
          <w:rtl/>
        </w:rPr>
        <w:fldChar w:fldCharType="end"/>
      </w:r>
      <w:r>
        <w:rPr>
          <w:rFonts w:hint="cs"/>
          <w:rtl/>
        </w:rPr>
        <w:t xml:space="preserve">, דמקום החתך אינו בכלל איסור "בשר בשדה טריפה", ולכן בהחזירו מותר, ובלא החזירו אסור כיון שאינו </w:t>
      </w:r>
      <w:r w:rsidRPr="00824F94">
        <w:rPr>
          <w:rFonts w:hint="cs"/>
          <w:rtl/>
        </w:rPr>
        <w:t xml:space="preserve">בכלל היתר </w:t>
      </w:r>
      <w:r>
        <w:rPr>
          <w:rtl/>
        </w:rPr>
        <w:t>"</w:t>
      </w:r>
      <w:r>
        <w:rPr>
          <w:rFonts w:hint="cs"/>
          <w:rtl/>
        </w:rPr>
        <w:t>כל בבהמה</w:t>
      </w:r>
      <w:r>
        <w:rPr>
          <w:rtl/>
        </w:rPr>
        <w:t>"</w:t>
      </w:r>
      <w:r w:rsidRPr="00824F94">
        <w:rPr>
          <w:rFonts w:hint="cs"/>
          <w:rtl/>
        </w:rPr>
        <w:t xml:space="preserve">, ומבואר </w:t>
      </w:r>
      <w:r>
        <w:rPr>
          <w:rFonts w:hint="cs"/>
          <w:rtl/>
        </w:rPr>
        <w:t xml:space="preserve">מדברי </w:t>
      </w:r>
      <w:r w:rsidRPr="00AC2F9E">
        <w:rPr>
          <w:rStyle w:val="af9"/>
          <w:rFonts w:hint="cs"/>
          <w:rtl/>
        </w:rPr>
        <w:t>הפרמ"ג</w:t>
      </w:r>
      <w:r w:rsidRPr="00AC2F9E">
        <w:rPr>
          <w:rFonts w:hint="cs"/>
          <w:rtl/>
        </w:rPr>
        <w:t xml:space="preserve"> </w:t>
      </w:r>
      <w:r>
        <w:rPr>
          <w:rFonts w:hint="cs"/>
          <w:rtl/>
        </w:rPr>
        <w:t xml:space="preserve">דלפי"ז אבר היוצא </w:t>
      </w:r>
      <w:r w:rsidRPr="00824F94">
        <w:rPr>
          <w:rFonts w:hint="cs"/>
          <w:rtl/>
        </w:rPr>
        <w:t xml:space="preserve">שלא החזירו אף האבר עצמו אינו בכלל </w:t>
      </w:r>
      <w:r>
        <w:rPr>
          <w:rFonts w:hint="cs"/>
          <w:rtl/>
        </w:rPr>
        <w:t xml:space="preserve">היתר </w:t>
      </w:r>
      <w:r>
        <w:rPr>
          <w:rtl/>
        </w:rPr>
        <w:t>"</w:t>
      </w:r>
      <w:r>
        <w:rPr>
          <w:rFonts w:hint="cs"/>
          <w:rtl/>
        </w:rPr>
        <w:t>כל בבהמה</w:t>
      </w:r>
      <w:r>
        <w:rPr>
          <w:rtl/>
        </w:rPr>
        <w:t>"</w:t>
      </w:r>
      <w:r>
        <w:rPr>
          <w:rFonts w:hint="cs"/>
          <w:rtl/>
        </w:rPr>
        <w:t xml:space="preserve"> ,</w:t>
      </w:r>
      <w:r w:rsidRPr="00824F94">
        <w:rPr>
          <w:rFonts w:hint="cs"/>
          <w:rtl/>
        </w:rPr>
        <w:t xml:space="preserve"> וא"צ לאסרו מדין "בשר בשדה טריפה. </w:t>
      </w:r>
      <w:r w:rsidRPr="000D39B9">
        <w:rPr>
          <w:rStyle w:val="afb"/>
          <w:rFonts w:hint="cs"/>
          <w:rtl/>
        </w:rPr>
        <w:t xml:space="preserve">[אך עיי"ש </w:t>
      </w:r>
      <w:r w:rsidRPr="000D39B9">
        <w:rPr>
          <w:rStyle w:val="affa"/>
          <w:rFonts w:hint="cs"/>
          <w:rtl/>
        </w:rPr>
        <w:t>בפרמ"ג</w:t>
      </w:r>
      <w:r w:rsidRPr="000D39B9">
        <w:rPr>
          <w:rStyle w:val="afb"/>
          <w:rFonts w:hint="cs"/>
          <w:rtl/>
        </w:rPr>
        <w:t xml:space="preserve"> דדחה </w:t>
      </w:r>
      <w:r>
        <w:rPr>
          <w:rStyle w:val="afb"/>
          <w:rFonts w:hint="cs"/>
          <w:rtl/>
        </w:rPr>
        <w:t xml:space="preserve">את דברי </w:t>
      </w:r>
      <w:r w:rsidRPr="000D39B9">
        <w:rPr>
          <w:rStyle w:val="affa"/>
          <w:rFonts w:hint="cs"/>
          <w:rtl/>
        </w:rPr>
        <w:t>הט"ז</w:t>
      </w:r>
      <w:r>
        <w:rPr>
          <w:rStyle w:val="afb"/>
          <w:rFonts w:hint="cs"/>
          <w:rtl/>
        </w:rPr>
        <w:t xml:space="preserve"> וכתב </w:t>
      </w:r>
      <w:r>
        <w:rPr>
          <w:rStyle w:val="affa"/>
          <w:rFonts w:hint="cs"/>
          <w:rtl/>
        </w:rPr>
        <w:t>ה</w:t>
      </w:r>
      <w:r w:rsidRPr="000D39B9">
        <w:rPr>
          <w:rStyle w:val="affa"/>
          <w:rFonts w:hint="cs"/>
          <w:rtl/>
        </w:rPr>
        <w:t>פרמ"ג</w:t>
      </w:r>
      <w:r w:rsidRPr="000D39B9">
        <w:rPr>
          <w:rStyle w:val="afb"/>
          <w:rFonts w:hint="cs"/>
          <w:rtl/>
        </w:rPr>
        <w:t xml:space="preserve"> דדברי </w:t>
      </w:r>
      <w:r w:rsidRPr="000D39B9">
        <w:rPr>
          <w:rStyle w:val="affa"/>
          <w:rFonts w:hint="cs"/>
          <w:rtl/>
        </w:rPr>
        <w:t>רש"י</w:t>
      </w:r>
      <w:r w:rsidRPr="000D39B9">
        <w:rPr>
          <w:rStyle w:val="afb"/>
          <w:rFonts w:hint="cs"/>
          <w:rtl/>
        </w:rPr>
        <w:t xml:space="preserve"> הם אליבא דר"מ ולא להלכה].</w:t>
      </w:r>
      <w:bookmarkEnd w:id="15716"/>
    </w:p>
    <w:p w14:paraId="160C0EBB" w14:textId="77777777" w:rsidR="003D504D" w:rsidRDefault="003D504D" w:rsidP="003D504D">
      <w:pPr>
        <w:pStyle w:val="a3"/>
        <w:rPr>
          <w:rtl/>
        </w:rPr>
      </w:pPr>
      <w:bookmarkStart w:id="15717" w:name="_Toc535526218"/>
      <w:bookmarkStart w:id="15718" w:name="_Toc535574912"/>
      <w:bookmarkStart w:id="15719" w:name="_Toc535702369"/>
      <w:bookmarkStart w:id="15720" w:name="_Toc535750512"/>
      <w:bookmarkStart w:id="15721" w:name="_Toc19391067"/>
      <w:bookmarkStart w:id="15722" w:name="_Toc19394564"/>
      <w:r>
        <w:rPr>
          <w:rFonts w:hint="cs"/>
          <w:rtl/>
        </w:rPr>
        <w:t>דברי הפרמ"ג דמבואר ברמב"ם דהשחיטה מהני אף לאבר היוצא שלא החזירו</w:t>
      </w:r>
      <w:bookmarkEnd w:id="15717"/>
      <w:bookmarkEnd w:id="15718"/>
      <w:bookmarkEnd w:id="15719"/>
      <w:bookmarkEnd w:id="15720"/>
      <w:bookmarkEnd w:id="15721"/>
      <w:bookmarkEnd w:id="15722"/>
    </w:p>
    <w:p w14:paraId="679DDB05" w14:textId="77777777" w:rsidR="003D504D" w:rsidRDefault="003D504D" w:rsidP="00223668">
      <w:pPr>
        <w:pStyle w:val="a0"/>
        <w:rPr>
          <w:rtl/>
        </w:rPr>
      </w:pPr>
      <w:bookmarkStart w:id="15723" w:name="_Ref535351798"/>
      <w:r>
        <w:rPr>
          <w:rFonts w:hint="cs"/>
          <w:rtl/>
        </w:rPr>
        <w:t xml:space="preserve">וכתב </w:t>
      </w:r>
      <w:r w:rsidRPr="001D4D03">
        <w:rPr>
          <w:rStyle w:val="af9"/>
          <w:rFonts w:hint="cs"/>
          <w:rtl/>
        </w:rPr>
        <w:t>הפרמ"ג</w:t>
      </w:r>
      <w:r>
        <w:rPr>
          <w:rFonts w:hint="cs"/>
          <w:rtl/>
        </w:rPr>
        <w:t xml:space="preserve"> דלפי המבואר בדברי </w:t>
      </w:r>
      <w:r w:rsidRPr="001D4D03">
        <w:rPr>
          <w:rStyle w:val="af9"/>
          <w:rFonts w:hint="cs"/>
          <w:rtl/>
        </w:rPr>
        <w:t>הרמב"ם</w:t>
      </w:r>
      <w:r>
        <w:rPr>
          <w:rFonts w:hint="cs"/>
          <w:rtl/>
        </w:rPr>
        <w:t xml:space="preserve"> </w:t>
      </w:r>
      <w:r w:rsidRPr="001D4D03">
        <w:rPr>
          <w:rStyle w:val="af7"/>
          <w:rFonts w:eastAsia="Guttman Hodes" w:hint="cs"/>
          <w:rtl/>
        </w:rPr>
        <w:t xml:space="preserve">(עי' אות </w:t>
      </w:r>
      <w:r w:rsidRPr="001D4D03">
        <w:rPr>
          <w:rStyle w:val="af7"/>
          <w:rFonts w:eastAsia="Guttman Hodes"/>
          <w:rtl/>
        </w:rPr>
        <w:fldChar w:fldCharType="begin"/>
      </w:r>
      <w:r w:rsidRPr="001D4D03">
        <w:rPr>
          <w:rStyle w:val="af7"/>
          <w:rFonts w:eastAsia="Guttman Hodes"/>
          <w:rtl/>
        </w:rPr>
        <w:instrText xml:space="preserve"> </w:instrText>
      </w:r>
      <w:r w:rsidRPr="001D4D03">
        <w:rPr>
          <w:rStyle w:val="af7"/>
          <w:rFonts w:eastAsia="Guttman Hodes" w:hint="cs"/>
        </w:rPr>
        <w:instrText>REF</w:instrText>
      </w:r>
      <w:r w:rsidRPr="001D4D03">
        <w:rPr>
          <w:rStyle w:val="af7"/>
          <w:rFonts w:eastAsia="Guttman Hodes" w:hint="cs"/>
          <w:rtl/>
        </w:rPr>
        <w:instrText xml:space="preserve"> _</w:instrText>
      </w:r>
      <w:r w:rsidRPr="001D4D03">
        <w:rPr>
          <w:rStyle w:val="af7"/>
          <w:rFonts w:eastAsia="Guttman Hodes" w:hint="cs"/>
        </w:rPr>
        <w:instrText>Ref535312942 \r \h</w:instrText>
      </w:r>
      <w:r w:rsidRPr="001D4D03">
        <w:rPr>
          <w:rStyle w:val="af7"/>
          <w:rFonts w:eastAsia="Guttman Hodes"/>
          <w:rtl/>
        </w:rPr>
        <w:instrText xml:space="preserve"> </w:instrText>
      </w:r>
      <w:r w:rsidRPr="001D4D03">
        <w:rPr>
          <w:rStyle w:val="af7"/>
          <w:rFonts w:eastAsia="Guttman Hodes"/>
          <w:rtl/>
        </w:rPr>
      </w:r>
      <w:r w:rsidRPr="001D4D03">
        <w:rPr>
          <w:rStyle w:val="af7"/>
          <w:rFonts w:eastAsia="Guttman Hodes"/>
          <w:rtl/>
        </w:rPr>
        <w:fldChar w:fldCharType="separate"/>
      </w:r>
      <w:r w:rsidR="00345400">
        <w:rPr>
          <w:rStyle w:val="af7"/>
          <w:rFonts w:eastAsia="Guttman Hodes"/>
          <w:cs/>
        </w:rPr>
        <w:t>‎</w:t>
      </w:r>
      <w:r w:rsidR="00345400">
        <w:rPr>
          <w:rStyle w:val="af7"/>
          <w:rFonts w:eastAsia="Guttman Hodes"/>
          <w:rtl/>
        </w:rPr>
        <w:t>קא)</w:t>
      </w:r>
      <w:r w:rsidRPr="001D4D03">
        <w:rPr>
          <w:rStyle w:val="af7"/>
          <w:rFonts w:eastAsia="Guttman Hodes"/>
          <w:rtl/>
        </w:rPr>
        <w:fldChar w:fldCharType="end"/>
      </w:r>
      <w:r>
        <w:rPr>
          <w:rFonts w:hint="cs"/>
          <w:rtl/>
        </w:rPr>
        <w:t xml:space="preserve"> דאבר היוצא אסור באיסור טריפה ולא באבר מן החי, ומשמע דאף בלא החזירו, אין בו איסור אבר מן החי, א"כ מוכח דשחיטת האם מהני אף לאבר היוצא</w:t>
      </w:r>
      <w:r w:rsidRPr="003F25A2">
        <w:rPr>
          <w:rFonts w:hint="cs"/>
          <w:rtl/>
        </w:rPr>
        <w:t xml:space="preserve"> </w:t>
      </w:r>
      <w:r>
        <w:rPr>
          <w:rFonts w:hint="cs"/>
          <w:rtl/>
        </w:rPr>
        <w:t xml:space="preserve">אף בלא </w:t>
      </w:r>
      <w:r w:rsidRPr="00D87D5D">
        <w:rPr>
          <w:rFonts w:hint="cs"/>
          <w:rtl/>
        </w:rPr>
        <w:t xml:space="preserve">החזירו, וא"כ אף כשלא החזירו האבר עצמו הוא בכלל היתר </w:t>
      </w:r>
      <w:r>
        <w:rPr>
          <w:rtl/>
        </w:rPr>
        <w:t>"</w:t>
      </w:r>
      <w:r>
        <w:rPr>
          <w:rFonts w:hint="cs"/>
          <w:rtl/>
        </w:rPr>
        <w:t>כל בבהמה</w:t>
      </w:r>
      <w:r>
        <w:rPr>
          <w:rtl/>
        </w:rPr>
        <w:t>"</w:t>
      </w:r>
      <w:r w:rsidRPr="00D87D5D">
        <w:rPr>
          <w:rFonts w:hint="cs"/>
          <w:rtl/>
        </w:rPr>
        <w:t xml:space="preserve">, </w:t>
      </w:r>
      <w:r>
        <w:rPr>
          <w:rFonts w:hint="cs"/>
          <w:rtl/>
        </w:rPr>
        <w:t xml:space="preserve">ומותר בשחיטת האם </w:t>
      </w:r>
      <w:r w:rsidRPr="00D87D5D">
        <w:rPr>
          <w:rFonts w:hint="cs"/>
          <w:rtl/>
        </w:rPr>
        <w:t>מאיסור אבר מן החי, וא</w:t>
      </w:r>
      <w:r>
        <w:rPr>
          <w:rFonts w:hint="cs"/>
          <w:rtl/>
        </w:rPr>
        <w:t>י</w:t>
      </w:r>
      <w:r w:rsidRPr="00D87D5D">
        <w:rPr>
          <w:rFonts w:hint="cs"/>
          <w:rtl/>
        </w:rPr>
        <w:t xml:space="preserve">סרו </w:t>
      </w:r>
      <w:r>
        <w:rPr>
          <w:rFonts w:hint="cs"/>
          <w:rtl/>
        </w:rPr>
        <w:t xml:space="preserve">הוא </w:t>
      </w:r>
      <w:r w:rsidRPr="00D87D5D">
        <w:rPr>
          <w:rFonts w:hint="cs"/>
          <w:rtl/>
        </w:rPr>
        <w:t xml:space="preserve">רק מדין "בשר בשדה טריפה", ועי' בדברי </w:t>
      </w:r>
      <w:r w:rsidRPr="00D87D5D">
        <w:rPr>
          <w:rStyle w:val="af9"/>
          <w:rFonts w:hint="cs"/>
          <w:rtl/>
        </w:rPr>
        <w:t>האמרי משה</w:t>
      </w:r>
      <w:r w:rsidRPr="00D87D5D">
        <w:rPr>
          <w:rFonts w:hint="cs"/>
          <w:rtl/>
        </w:rPr>
        <w:t xml:space="preserve"> </w:t>
      </w:r>
      <w:r w:rsidRPr="00D87D5D">
        <w:rPr>
          <w:rStyle w:val="af7"/>
          <w:rFonts w:eastAsia="Guttman Hodes" w:hint="cs"/>
          <w:rtl/>
        </w:rPr>
        <w:t xml:space="preserve">(עי' אות </w:t>
      </w:r>
      <w:r w:rsidRPr="00D87D5D">
        <w:rPr>
          <w:rStyle w:val="af7"/>
          <w:rFonts w:eastAsia="Guttman Hodes"/>
          <w:rtl/>
        </w:rPr>
        <w:fldChar w:fldCharType="begin"/>
      </w:r>
      <w:r w:rsidRPr="00D87D5D">
        <w:rPr>
          <w:rStyle w:val="af7"/>
          <w:rFonts w:eastAsia="Guttman Hodes"/>
          <w:rtl/>
        </w:rPr>
        <w:instrText xml:space="preserve"> </w:instrText>
      </w:r>
      <w:r w:rsidRPr="00D87D5D">
        <w:rPr>
          <w:rStyle w:val="af7"/>
          <w:rFonts w:eastAsia="Guttman Hodes" w:hint="cs"/>
        </w:rPr>
        <w:instrText>REF</w:instrText>
      </w:r>
      <w:r w:rsidRPr="00D87D5D">
        <w:rPr>
          <w:rStyle w:val="af7"/>
          <w:rFonts w:eastAsia="Guttman Hodes" w:hint="cs"/>
          <w:rtl/>
        </w:rPr>
        <w:instrText xml:space="preserve"> _</w:instrText>
      </w:r>
      <w:r w:rsidRPr="00D87D5D">
        <w:rPr>
          <w:rStyle w:val="af7"/>
          <w:rFonts w:eastAsia="Guttman Hodes" w:hint="cs"/>
        </w:rPr>
        <w:instrText>Ref535350798 \r \h</w:instrText>
      </w:r>
      <w:r w:rsidRPr="00D87D5D">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D87D5D">
        <w:rPr>
          <w:rStyle w:val="af7"/>
          <w:rFonts w:eastAsia="Guttman Hodes"/>
          <w:rtl/>
        </w:rPr>
      </w:r>
      <w:r w:rsidRPr="00D87D5D">
        <w:rPr>
          <w:rStyle w:val="af7"/>
          <w:rFonts w:eastAsia="Guttman Hodes"/>
          <w:rtl/>
        </w:rPr>
        <w:fldChar w:fldCharType="separate"/>
      </w:r>
      <w:r w:rsidR="00345400">
        <w:rPr>
          <w:rStyle w:val="af7"/>
          <w:rFonts w:eastAsia="Guttman Hodes"/>
          <w:cs/>
        </w:rPr>
        <w:t>‎</w:t>
      </w:r>
      <w:r w:rsidR="00345400">
        <w:rPr>
          <w:rStyle w:val="af7"/>
          <w:rFonts w:eastAsia="Guttman Hodes"/>
          <w:rtl/>
        </w:rPr>
        <w:t>קכא)</w:t>
      </w:r>
      <w:r w:rsidRPr="00D87D5D">
        <w:rPr>
          <w:rStyle w:val="af7"/>
          <w:rFonts w:eastAsia="Guttman Hodes"/>
          <w:rtl/>
        </w:rPr>
        <w:fldChar w:fldCharType="end"/>
      </w:r>
      <w:r w:rsidRPr="00D87D5D">
        <w:rPr>
          <w:rFonts w:hint="cs"/>
          <w:rtl/>
        </w:rPr>
        <w:t xml:space="preserve"> במה שדן באריכות אי לדעת </w:t>
      </w:r>
      <w:r w:rsidRPr="00D87D5D">
        <w:rPr>
          <w:rStyle w:val="af9"/>
          <w:rFonts w:hint="cs"/>
          <w:rtl/>
        </w:rPr>
        <w:t>הרמב"ם</w:t>
      </w:r>
      <w:r w:rsidRPr="00D87D5D">
        <w:rPr>
          <w:rFonts w:hint="cs"/>
          <w:rtl/>
        </w:rPr>
        <w:t xml:space="preserve"> מהני השחיטה אף לאבר היוצא. </w:t>
      </w:r>
      <w:r w:rsidRPr="00D87D5D">
        <w:rPr>
          <w:rStyle w:val="afb"/>
          <w:rFonts w:hint="cs"/>
          <w:rtl/>
        </w:rPr>
        <w:t xml:space="preserve">[ובאיסור במקום החתך, עי' בדברי </w:t>
      </w:r>
      <w:r w:rsidRPr="00D87D5D">
        <w:rPr>
          <w:rStyle w:val="affa"/>
          <w:rFonts w:hint="cs"/>
          <w:rtl/>
        </w:rPr>
        <w:t xml:space="preserve">הפרמ"ג </w:t>
      </w:r>
      <w:r w:rsidRPr="0072086A">
        <w:rPr>
          <w:rStyle w:val="aff6"/>
          <w:rFonts w:hint="cs"/>
          <w:rtl/>
        </w:rPr>
        <w:t xml:space="preserve">(עי' אות </w:t>
      </w:r>
      <w:r w:rsidRPr="0072086A">
        <w:rPr>
          <w:rStyle w:val="aff6"/>
          <w:rtl/>
        </w:rPr>
        <w:fldChar w:fldCharType="begin"/>
      </w:r>
      <w:r w:rsidRPr="0072086A">
        <w:rPr>
          <w:rStyle w:val="aff6"/>
          <w:rtl/>
        </w:rPr>
        <w:instrText xml:space="preserve"> </w:instrText>
      </w:r>
      <w:r w:rsidRPr="0072086A">
        <w:rPr>
          <w:rStyle w:val="aff6"/>
          <w:rFonts w:hint="cs"/>
        </w:rPr>
        <w:instrText>REF</w:instrText>
      </w:r>
      <w:r w:rsidRPr="0072086A">
        <w:rPr>
          <w:rStyle w:val="aff6"/>
          <w:rFonts w:hint="cs"/>
          <w:rtl/>
        </w:rPr>
        <w:instrText xml:space="preserve"> _</w:instrText>
      </w:r>
      <w:r w:rsidRPr="0072086A">
        <w:rPr>
          <w:rStyle w:val="aff6"/>
          <w:rFonts w:hint="cs"/>
        </w:rPr>
        <w:instrText>Ref535517252 \r \h</w:instrText>
      </w:r>
      <w:r w:rsidRPr="0072086A">
        <w:rPr>
          <w:rStyle w:val="aff6"/>
          <w:rtl/>
        </w:rPr>
        <w:instrText xml:space="preserve"> </w:instrText>
      </w:r>
      <w:r w:rsidRPr="0072086A">
        <w:rPr>
          <w:rStyle w:val="aff6"/>
          <w:rtl/>
        </w:rPr>
      </w:r>
      <w:r w:rsidRPr="0072086A">
        <w:rPr>
          <w:rStyle w:val="aff6"/>
          <w:rtl/>
        </w:rPr>
        <w:fldChar w:fldCharType="separate"/>
      </w:r>
      <w:r w:rsidR="00345400">
        <w:rPr>
          <w:rStyle w:val="aff6"/>
          <w:cs/>
        </w:rPr>
        <w:t>‎</w:t>
      </w:r>
      <w:r w:rsidR="00345400">
        <w:rPr>
          <w:rStyle w:val="aff6"/>
          <w:rtl/>
        </w:rPr>
        <w:t>נח)</w:t>
      </w:r>
      <w:r w:rsidRPr="0072086A">
        <w:rPr>
          <w:rStyle w:val="aff6"/>
          <w:rtl/>
        </w:rPr>
        <w:fldChar w:fldCharType="end"/>
      </w:r>
      <w:r>
        <w:rPr>
          <w:rStyle w:val="afb"/>
          <w:rFonts w:hint="cs"/>
          <w:rtl/>
        </w:rPr>
        <w:t>]</w:t>
      </w:r>
      <w:r w:rsidRPr="0072086A">
        <w:rPr>
          <w:rFonts w:hint="cs"/>
          <w:rtl/>
        </w:rPr>
        <w:t>.</w:t>
      </w:r>
    </w:p>
    <w:p w14:paraId="2DE84CC6" w14:textId="77777777" w:rsidR="003D504D" w:rsidRPr="00550196" w:rsidRDefault="003D504D" w:rsidP="003D504D">
      <w:pPr>
        <w:pStyle w:val="a3"/>
        <w:rPr>
          <w:rtl/>
        </w:rPr>
      </w:pPr>
    </w:p>
    <w:p w14:paraId="43D6085E" w14:textId="77777777" w:rsidR="003D504D" w:rsidRDefault="003D504D" w:rsidP="003D504D">
      <w:pPr>
        <w:pStyle w:val="a3"/>
        <w:rPr>
          <w:rtl/>
        </w:rPr>
      </w:pPr>
      <w:bookmarkStart w:id="15724" w:name="_Toc535750513"/>
      <w:bookmarkStart w:id="15725" w:name="_Toc19391068"/>
      <w:bookmarkStart w:id="15726" w:name="_Toc19394565"/>
      <w:r>
        <w:rPr>
          <w:rFonts w:hint="cs"/>
          <w:rtl/>
        </w:rPr>
        <w:t>דברי הסמ"ק דאף בלא החזירו אסור כאבמה"ח ואזהרתו מדין "בשר בשדה טריפה"</w:t>
      </w:r>
      <w:bookmarkEnd w:id="15724"/>
      <w:bookmarkEnd w:id="15725"/>
      <w:bookmarkEnd w:id="15726"/>
    </w:p>
    <w:p w14:paraId="050BE015" w14:textId="77777777" w:rsidR="003D504D" w:rsidRDefault="003D504D" w:rsidP="00223668">
      <w:pPr>
        <w:pStyle w:val="a0"/>
        <w:rPr>
          <w:rtl/>
        </w:rPr>
      </w:pPr>
      <w:bookmarkStart w:id="15727" w:name="_Toc533613921"/>
      <w:bookmarkStart w:id="15728" w:name="_Toc535178745"/>
      <w:bookmarkStart w:id="15729" w:name="_Toc535302114"/>
      <w:bookmarkStart w:id="15730" w:name="_Toc535526219"/>
      <w:bookmarkStart w:id="15731" w:name="_Toc535574913"/>
      <w:bookmarkStart w:id="15732" w:name="_Toc535702370"/>
      <w:bookmarkEnd w:id="15723"/>
      <w:r w:rsidRPr="00841B54">
        <w:rPr>
          <w:rStyle w:val="af9"/>
          <w:rFonts w:hint="cs"/>
          <w:rtl/>
        </w:rPr>
        <w:t>והסמ"ק</w:t>
      </w:r>
      <w:r>
        <w:rPr>
          <w:rFonts w:hint="cs"/>
          <w:rtl/>
        </w:rPr>
        <w:t xml:space="preserve"> </w:t>
      </w:r>
      <w:r w:rsidRPr="00C716E8">
        <w:rPr>
          <w:rStyle w:val="af7"/>
          <w:rFonts w:eastAsia="Guttman Hodes" w:hint="cs"/>
          <w:rtl/>
        </w:rPr>
        <w:t>(מצוה ר'</w:t>
      </w:r>
      <w:r>
        <w:rPr>
          <w:rStyle w:val="af1"/>
          <w:rtl/>
        </w:rPr>
        <w:footnoteReference w:id="106"/>
      </w:r>
      <w:r w:rsidRPr="00503FCB">
        <w:rPr>
          <w:rStyle w:val="af7"/>
          <w:rFonts w:eastAsia="Guttman Hodes" w:hint="cs"/>
          <w:rtl/>
        </w:rPr>
        <w:t>)</w:t>
      </w:r>
      <w:r>
        <w:rPr>
          <w:rFonts w:hint="cs"/>
          <w:rtl/>
        </w:rPr>
        <w:t xml:space="preserve"> כתב דבין אם החזיר את האבר, ובין אם לא החזירו, אסור האבר היוצא כאבר מן החי, אבל אזהרתו הוא מדין "בשר בשדה טריפה".</w:t>
      </w:r>
    </w:p>
    <w:p w14:paraId="33A0489E" w14:textId="77777777" w:rsidR="003D504D" w:rsidRPr="007547F5" w:rsidRDefault="003D504D" w:rsidP="00BF39B2">
      <w:pPr>
        <w:pStyle w:val="1"/>
        <w:rPr>
          <w:rtl/>
        </w:rPr>
      </w:pPr>
      <w:bookmarkStart w:id="15733" w:name="_Toc535750514"/>
      <w:bookmarkStart w:id="15734" w:name="_Toc19391069"/>
      <w:bookmarkStart w:id="15735" w:name="_Toc19394566"/>
      <w:r w:rsidRPr="00AF44AB">
        <w:rPr>
          <w:rFonts w:hint="cs"/>
          <w:rtl/>
        </w:rPr>
        <w:t>בדין אבר היוצא כשנמצאת האם טריפה ונשחט הולד</w:t>
      </w:r>
      <w:bookmarkEnd w:id="15733"/>
      <w:bookmarkEnd w:id="15734"/>
      <w:bookmarkEnd w:id="15735"/>
    </w:p>
    <w:p w14:paraId="270E97B6" w14:textId="77777777" w:rsidR="003D504D" w:rsidRDefault="003D504D" w:rsidP="003D504D">
      <w:pPr>
        <w:pStyle w:val="a3"/>
        <w:rPr>
          <w:rtl/>
        </w:rPr>
      </w:pPr>
      <w:bookmarkStart w:id="15736" w:name="_Toc535750515"/>
      <w:bookmarkStart w:id="15737" w:name="_Toc19391070"/>
      <w:bookmarkStart w:id="15738" w:name="_Toc19394567"/>
      <w:r>
        <w:rPr>
          <w:rFonts w:hint="cs"/>
          <w:rtl/>
        </w:rPr>
        <w:t>פלוגתת הב"ח והש"ך עם הפר"ח באבר היוצא כשנמצאת האם טריפה ונשחט הולד</w:t>
      </w:r>
      <w:bookmarkEnd w:id="15736"/>
      <w:bookmarkEnd w:id="15737"/>
      <w:bookmarkEnd w:id="15738"/>
    </w:p>
    <w:p w14:paraId="75DEF170" w14:textId="77777777" w:rsidR="003D504D" w:rsidRPr="00017D04" w:rsidRDefault="003D504D" w:rsidP="00223668">
      <w:pPr>
        <w:pStyle w:val="a0"/>
        <w:rPr>
          <w:rtl/>
        </w:rPr>
      </w:pPr>
      <w:r>
        <w:rPr>
          <w:rFonts w:hint="cs"/>
          <w:rtl/>
        </w:rPr>
        <w:t>כתבו</w:t>
      </w:r>
      <w:r w:rsidRPr="00017D04">
        <w:rPr>
          <w:rtl/>
        </w:rPr>
        <w:t xml:space="preserve"> </w:t>
      </w:r>
      <w:r w:rsidRPr="00253ECF">
        <w:rPr>
          <w:rStyle w:val="af9"/>
          <w:rtl/>
        </w:rPr>
        <w:t>הב"ח</w:t>
      </w:r>
      <w:r w:rsidRPr="00017D04">
        <w:rPr>
          <w:rtl/>
        </w:rPr>
        <w:t xml:space="preserve"> </w:t>
      </w:r>
      <w:r w:rsidRPr="00253ECF">
        <w:rPr>
          <w:rStyle w:val="af7"/>
          <w:rFonts w:eastAsia="Guttman Hodes"/>
          <w:rtl/>
        </w:rPr>
        <w:t xml:space="preserve">(סי' י"ד </w:t>
      </w:r>
      <w:r w:rsidRPr="00253ECF">
        <w:rPr>
          <w:rStyle w:val="af7"/>
          <w:rFonts w:eastAsia="Guttman Hodes" w:hint="cs"/>
          <w:rtl/>
        </w:rPr>
        <w:t xml:space="preserve">ד' </w:t>
      </w:r>
      <w:r w:rsidRPr="00253ECF">
        <w:rPr>
          <w:rStyle w:val="af7"/>
          <w:rFonts w:eastAsia="Guttman Hodes"/>
          <w:rtl/>
        </w:rPr>
        <w:t>ד"ה ומ"ש ואם יצא)</w:t>
      </w:r>
      <w:r w:rsidRPr="00017D04">
        <w:rPr>
          <w:rtl/>
        </w:rPr>
        <w:t xml:space="preserve"> </w:t>
      </w:r>
      <w:r w:rsidRPr="00253ECF">
        <w:rPr>
          <w:rStyle w:val="af9"/>
          <w:rtl/>
        </w:rPr>
        <w:t>והש"ך</w:t>
      </w:r>
      <w:r w:rsidRPr="00017D04">
        <w:rPr>
          <w:rtl/>
        </w:rPr>
        <w:t xml:space="preserve"> </w:t>
      </w:r>
      <w:r w:rsidRPr="00253ECF">
        <w:rPr>
          <w:rStyle w:val="af7"/>
          <w:rFonts w:eastAsia="Guttman Hodes"/>
          <w:rtl/>
        </w:rPr>
        <w:t>(סי' י"ד סק"ז)</w:t>
      </w:r>
      <w:r w:rsidRPr="00017D04">
        <w:rPr>
          <w:rtl/>
        </w:rPr>
        <w:t xml:space="preserve"> </w:t>
      </w:r>
      <w:r>
        <w:rPr>
          <w:rFonts w:hint="cs"/>
          <w:rtl/>
        </w:rPr>
        <w:t>דהיכא שנמצאת האם טריפה, האבר היוצא אסור לעולם, ואף אם נשחט הולד, לא מהני שחיטתו להתיר את האבר. אבל</w:t>
      </w:r>
      <w:r w:rsidRPr="00017D04">
        <w:rPr>
          <w:rtl/>
        </w:rPr>
        <w:t xml:space="preserve"> </w:t>
      </w:r>
      <w:r w:rsidRPr="00253ECF">
        <w:rPr>
          <w:rStyle w:val="af9"/>
          <w:rtl/>
        </w:rPr>
        <w:t>הפר"ח</w:t>
      </w:r>
      <w:r w:rsidRPr="00017D04">
        <w:rPr>
          <w:rtl/>
        </w:rPr>
        <w:t xml:space="preserve"> </w:t>
      </w:r>
      <w:r w:rsidRPr="00253ECF">
        <w:rPr>
          <w:rStyle w:val="af7"/>
          <w:rFonts w:eastAsia="Guttman Hodes"/>
          <w:rtl/>
        </w:rPr>
        <w:t>(סי' י"ד ס</w:t>
      </w:r>
      <w:r w:rsidRPr="00253ECF">
        <w:rPr>
          <w:rStyle w:val="af7"/>
          <w:rFonts w:eastAsia="Guttman Hodes" w:hint="cs"/>
          <w:rtl/>
        </w:rPr>
        <w:t>ק"ה</w:t>
      </w:r>
      <w:r w:rsidRPr="00253ECF">
        <w:rPr>
          <w:rStyle w:val="af7"/>
          <w:rFonts w:eastAsia="Guttman Hodes"/>
          <w:rtl/>
        </w:rPr>
        <w:t>)</w:t>
      </w:r>
      <w:r w:rsidRPr="00017D04">
        <w:rPr>
          <w:rtl/>
        </w:rPr>
        <w:t xml:space="preserve"> </w:t>
      </w:r>
      <w:r>
        <w:rPr>
          <w:rFonts w:hint="cs"/>
          <w:rtl/>
        </w:rPr>
        <w:t>כתב דהיכא שנמצאת האם טריפה, אם נשחט הולד מהני שחיטתו להתיר את האבר</w:t>
      </w:r>
      <w:r w:rsidRPr="00A93F5B">
        <w:rPr>
          <w:rFonts w:hint="cs"/>
          <w:rtl/>
        </w:rPr>
        <w:t xml:space="preserve"> </w:t>
      </w:r>
      <w:r>
        <w:rPr>
          <w:rFonts w:hint="cs"/>
          <w:rtl/>
        </w:rPr>
        <w:t>היוצא</w:t>
      </w:r>
      <w:r w:rsidRPr="00017D04">
        <w:rPr>
          <w:rtl/>
        </w:rPr>
        <w:t xml:space="preserve">, </w:t>
      </w:r>
      <w:r>
        <w:rPr>
          <w:rFonts w:hint="cs"/>
          <w:rtl/>
        </w:rPr>
        <w:t xml:space="preserve">וכתב </w:t>
      </w:r>
      <w:r w:rsidRPr="00253ECF">
        <w:rPr>
          <w:rStyle w:val="af9"/>
          <w:rtl/>
        </w:rPr>
        <w:t>הפר"ח</w:t>
      </w:r>
      <w:r w:rsidRPr="00017D04">
        <w:rPr>
          <w:rtl/>
        </w:rPr>
        <w:t xml:space="preserve"> </w:t>
      </w:r>
      <w:r>
        <w:rPr>
          <w:rFonts w:hint="cs"/>
          <w:rtl/>
        </w:rPr>
        <w:t xml:space="preserve">דכן מוכח בגמ' לקמן </w:t>
      </w:r>
      <w:r w:rsidRPr="00253ECF">
        <w:rPr>
          <w:rStyle w:val="af7"/>
          <w:rFonts w:eastAsia="Guttman Hodes" w:hint="cs"/>
          <w:rtl/>
        </w:rPr>
        <w:t>(סט.)</w:t>
      </w:r>
      <w:r>
        <w:rPr>
          <w:rFonts w:hint="cs"/>
          <w:rtl/>
        </w:rPr>
        <w:t xml:space="preserve">, וכן בדברי </w:t>
      </w:r>
      <w:r w:rsidRPr="00253ECF">
        <w:rPr>
          <w:rStyle w:val="af9"/>
          <w:rFonts w:hint="cs"/>
          <w:rtl/>
        </w:rPr>
        <w:t>הראשונים</w:t>
      </w:r>
      <w:r>
        <w:rPr>
          <w:rFonts w:hint="cs"/>
          <w:rtl/>
        </w:rPr>
        <w:t xml:space="preserve">. ועי' </w:t>
      </w:r>
      <w:r w:rsidRPr="00017D04">
        <w:rPr>
          <w:rtl/>
        </w:rPr>
        <w:t xml:space="preserve">במה שביארו </w:t>
      </w:r>
      <w:r>
        <w:rPr>
          <w:rFonts w:hint="cs"/>
          <w:rtl/>
        </w:rPr>
        <w:t xml:space="preserve">בזה </w:t>
      </w:r>
      <w:r w:rsidRPr="00253ECF">
        <w:rPr>
          <w:rStyle w:val="af9"/>
          <w:rtl/>
        </w:rPr>
        <w:t>התבו"ש</w:t>
      </w:r>
      <w:r w:rsidRPr="00017D04">
        <w:rPr>
          <w:rtl/>
        </w:rPr>
        <w:t xml:space="preserve"> </w:t>
      </w:r>
      <w:r w:rsidRPr="00253ECF">
        <w:rPr>
          <w:rStyle w:val="af7"/>
          <w:rFonts w:eastAsia="Guttman Hodes" w:hint="cs"/>
          <w:rtl/>
        </w:rPr>
        <w:t xml:space="preserve">(סי' </w:t>
      </w:r>
      <w:r>
        <w:rPr>
          <w:rStyle w:val="af7"/>
          <w:rFonts w:eastAsia="Guttman Hodes" w:hint="cs"/>
          <w:rtl/>
        </w:rPr>
        <w:t>י</w:t>
      </w:r>
      <w:r>
        <w:rPr>
          <w:rStyle w:val="af7"/>
          <w:rFonts w:eastAsia="Guttman Hodes"/>
          <w:rtl/>
        </w:rPr>
        <w:t>"</w:t>
      </w:r>
      <w:r>
        <w:rPr>
          <w:rStyle w:val="af7"/>
          <w:rFonts w:eastAsia="Guttman Hodes" w:hint="cs"/>
          <w:rtl/>
        </w:rPr>
        <w:t>ד</w:t>
      </w:r>
      <w:r w:rsidRPr="00F15D6B">
        <w:rPr>
          <w:rStyle w:val="af7"/>
          <w:rFonts w:eastAsia="Guttman Hodes"/>
          <w:rtl/>
        </w:rPr>
        <w:t xml:space="preserve"> </w:t>
      </w:r>
      <w:r w:rsidRPr="00253ECF">
        <w:rPr>
          <w:rStyle w:val="af7"/>
          <w:rFonts w:eastAsia="Guttman Hodes" w:hint="cs"/>
          <w:rtl/>
        </w:rPr>
        <w:t>סק"ח)</w:t>
      </w:r>
      <w:r>
        <w:rPr>
          <w:rFonts w:hint="cs"/>
          <w:rtl/>
        </w:rPr>
        <w:t xml:space="preserve"> </w:t>
      </w:r>
      <w:r w:rsidRPr="00253ECF">
        <w:rPr>
          <w:rStyle w:val="af9"/>
          <w:rtl/>
        </w:rPr>
        <w:t>ו</w:t>
      </w:r>
      <w:r w:rsidRPr="00253ECF">
        <w:rPr>
          <w:rStyle w:val="af9"/>
          <w:rFonts w:hint="cs"/>
          <w:rtl/>
        </w:rPr>
        <w:t>ה</w:t>
      </w:r>
      <w:r w:rsidRPr="00253ECF">
        <w:rPr>
          <w:rStyle w:val="af9"/>
          <w:rtl/>
        </w:rPr>
        <w:t>לבושי שרד</w:t>
      </w:r>
      <w:r w:rsidRPr="00017D04">
        <w:rPr>
          <w:rtl/>
        </w:rPr>
        <w:t xml:space="preserve"> </w:t>
      </w:r>
      <w:r w:rsidRPr="00253ECF">
        <w:rPr>
          <w:rStyle w:val="af7"/>
          <w:rFonts w:eastAsia="Guttman Hodes"/>
          <w:rtl/>
        </w:rPr>
        <w:t>(</w:t>
      </w:r>
      <w:r w:rsidRPr="00253ECF">
        <w:rPr>
          <w:rStyle w:val="af7"/>
          <w:rFonts w:eastAsia="Guttman Hodes" w:hint="cs"/>
          <w:rtl/>
        </w:rPr>
        <w:t>סי</w:t>
      </w:r>
      <w:r>
        <w:rPr>
          <w:rStyle w:val="af7"/>
          <w:rFonts w:eastAsia="Guttman Hodes" w:hint="cs"/>
          <w:rtl/>
        </w:rPr>
        <w:t>'</w:t>
      </w:r>
      <w:r w:rsidRPr="00253ECF">
        <w:rPr>
          <w:rStyle w:val="af7"/>
          <w:rFonts w:eastAsia="Guttman Hodes" w:hint="cs"/>
          <w:rtl/>
        </w:rPr>
        <w:t xml:space="preserve"> י"ד </w:t>
      </w:r>
      <w:r w:rsidRPr="00253ECF">
        <w:rPr>
          <w:rStyle w:val="af7"/>
          <w:rFonts w:eastAsia="Guttman Hodes"/>
          <w:rtl/>
        </w:rPr>
        <w:t>על הש"ך סק"ז)</w:t>
      </w:r>
      <w:r>
        <w:rPr>
          <w:rtl/>
        </w:rPr>
        <w:t xml:space="preserve"> </w:t>
      </w:r>
      <w:r w:rsidRPr="00253ECF">
        <w:rPr>
          <w:rStyle w:val="af9"/>
          <w:rtl/>
        </w:rPr>
        <w:t>והפרמ"ג</w:t>
      </w:r>
      <w:r>
        <w:rPr>
          <w:rtl/>
        </w:rPr>
        <w:t xml:space="preserve"> </w:t>
      </w:r>
      <w:r w:rsidRPr="00253ECF">
        <w:rPr>
          <w:rStyle w:val="af7"/>
          <w:rFonts w:eastAsia="Guttman Hodes"/>
          <w:rtl/>
        </w:rPr>
        <w:t>(סי' י"ד שפ"ד סק"ז)</w:t>
      </w:r>
      <w:r w:rsidRPr="00017D04">
        <w:rPr>
          <w:rtl/>
        </w:rPr>
        <w:t>, ו</w:t>
      </w:r>
      <w:r>
        <w:rPr>
          <w:rFonts w:hint="cs"/>
          <w:rtl/>
        </w:rPr>
        <w:t xml:space="preserve">ע"ע </w:t>
      </w:r>
      <w:r w:rsidRPr="00253ECF">
        <w:rPr>
          <w:rStyle w:val="af9"/>
          <w:rtl/>
        </w:rPr>
        <w:t>באמרי משה</w:t>
      </w:r>
      <w:r w:rsidRPr="00017D04">
        <w:rPr>
          <w:rtl/>
        </w:rPr>
        <w:t xml:space="preserve"> </w:t>
      </w:r>
      <w:r w:rsidRPr="00253ECF">
        <w:rPr>
          <w:rStyle w:val="af7"/>
          <w:rFonts w:eastAsia="Guttman Hodes" w:hint="cs"/>
          <w:rtl/>
        </w:rPr>
        <w:t>(סי' ד' אות ל')</w:t>
      </w:r>
      <w:r>
        <w:rPr>
          <w:rFonts w:hint="cs"/>
          <w:rtl/>
        </w:rPr>
        <w:t xml:space="preserve"> </w:t>
      </w:r>
      <w:r w:rsidRPr="00253ECF">
        <w:rPr>
          <w:rStyle w:val="af9"/>
          <w:rtl/>
        </w:rPr>
        <w:t>ו</w:t>
      </w:r>
      <w:r w:rsidRPr="00253ECF">
        <w:rPr>
          <w:rStyle w:val="af9"/>
          <w:rFonts w:hint="cs"/>
          <w:rtl/>
        </w:rPr>
        <w:t>ב</w:t>
      </w:r>
      <w:r w:rsidRPr="00253ECF">
        <w:rPr>
          <w:rStyle w:val="af9"/>
          <w:rtl/>
        </w:rPr>
        <w:t>משנת ר"א</w:t>
      </w:r>
      <w:r w:rsidRPr="00017D04">
        <w:rPr>
          <w:rtl/>
        </w:rPr>
        <w:t xml:space="preserve"> </w:t>
      </w:r>
      <w:r w:rsidRPr="00CF152F">
        <w:rPr>
          <w:rStyle w:val="af7"/>
          <w:rFonts w:eastAsia="Guttman Hodes" w:hint="cs"/>
          <w:rtl/>
        </w:rPr>
        <w:t>(חולין סי' ד' אות ג')</w:t>
      </w:r>
      <w:r>
        <w:rPr>
          <w:rFonts w:hint="cs"/>
          <w:rtl/>
        </w:rPr>
        <w:t xml:space="preserve"> דביארו דנחלקו אי החיוב באבר היוצא הוא מחמת חסרון בשחיטה, או מדין טריפה.</w:t>
      </w:r>
    </w:p>
    <w:p w14:paraId="04E14B1B" w14:textId="77777777" w:rsidR="003D504D" w:rsidRDefault="003D504D" w:rsidP="003D504D">
      <w:pPr>
        <w:pStyle w:val="afe"/>
        <w:rPr>
          <w:rtl/>
        </w:rPr>
      </w:pPr>
      <w:bookmarkStart w:id="15739" w:name="_Toc535750516"/>
      <w:bookmarkStart w:id="15740" w:name="_Toc19436005"/>
      <w:bookmarkStart w:id="15741" w:name="_Toc20081215"/>
      <w:r>
        <w:rPr>
          <w:rFonts w:hint="cs"/>
          <w:rtl/>
        </w:rPr>
        <w:t>בדין</w:t>
      </w:r>
      <w:r w:rsidRPr="001758FC">
        <w:rPr>
          <w:rFonts w:hint="cs"/>
          <w:rtl/>
        </w:rPr>
        <w:t xml:space="preserve"> אבר היוצא</w:t>
      </w:r>
      <w:bookmarkEnd w:id="15727"/>
      <w:bookmarkEnd w:id="15728"/>
      <w:bookmarkEnd w:id="15729"/>
      <w:r>
        <w:rPr>
          <w:rFonts w:hint="cs"/>
          <w:rtl/>
        </w:rPr>
        <w:t xml:space="preserve"> כשנולד לפני השחיטה</w:t>
      </w:r>
      <w:bookmarkEnd w:id="15730"/>
      <w:bookmarkEnd w:id="15731"/>
      <w:bookmarkEnd w:id="15732"/>
      <w:bookmarkEnd w:id="15739"/>
      <w:bookmarkEnd w:id="15740"/>
      <w:bookmarkEnd w:id="15741"/>
    </w:p>
    <w:p w14:paraId="520AF032" w14:textId="77777777" w:rsidR="003D504D" w:rsidRDefault="003D504D" w:rsidP="00BF39B2">
      <w:pPr>
        <w:pStyle w:val="1"/>
        <w:rPr>
          <w:rtl/>
        </w:rPr>
      </w:pPr>
      <w:bookmarkStart w:id="15742" w:name="_Toc533613922"/>
      <w:bookmarkStart w:id="15743" w:name="_Toc535178746"/>
      <w:bookmarkStart w:id="15744" w:name="_Toc535302115"/>
      <w:bookmarkStart w:id="15745" w:name="_Toc535526220"/>
      <w:bookmarkStart w:id="15746" w:name="_Toc535574914"/>
      <w:bookmarkStart w:id="15747" w:name="_Toc535702371"/>
      <w:bookmarkStart w:id="15748" w:name="_Toc535750517"/>
      <w:bookmarkStart w:id="15749" w:name="_Toc19391071"/>
      <w:bookmarkStart w:id="15750" w:name="_Toc19394568"/>
      <w:r>
        <w:rPr>
          <w:rFonts w:hint="cs"/>
          <w:rtl/>
        </w:rPr>
        <w:t>דעת רש"י דאבר היוצא אסור רק בשעת שחיטה</w:t>
      </w:r>
      <w:bookmarkEnd w:id="15742"/>
      <w:bookmarkEnd w:id="15743"/>
      <w:bookmarkEnd w:id="15744"/>
      <w:bookmarkEnd w:id="15745"/>
      <w:bookmarkEnd w:id="15746"/>
      <w:bookmarkEnd w:id="15747"/>
      <w:bookmarkEnd w:id="15748"/>
      <w:bookmarkEnd w:id="15749"/>
      <w:bookmarkEnd w:id="15750"/>
    </w:p>
    <w:p w14:paraId="08ADA082" w14:textId="77777777" w:rsidR="003D504D" w:rsidRPr="006C2909" w:rsidRDefault="003D504D" w:rsidP="003D504D">
      <w:pPr>
        <w:pStyle w:val="a3"/>
        <w:rPr>
          <w:rtl/>
        </w:rPr>
      </w:pPr>
      <w:bookmarkStart w:id="15751" w:name="_Toc535526221"/>
      <w:bookmarkStart w:id="15752" w:name="_Toc535574915"/>
      <w:bookmarkStart w:id="15753" w:name="_Toc535702372"/>
      <w:bookmarkStart w:id="15754" w:name="_Toc535750518"/>
      <w:bookmarkStart w:id="15755" w:name="_Toc19391072"/>
      <w:bookmarkStart w:id="15756" w:name="_Toc19394569"/>
      <w:r>
        <w:rPr>
          <w:rFonts w:hint="cs"/>
          <w:rtl/>
        </w:rPr>
        <w:t>דברי רש"י דהאיסור באבר היוצא  כשהוציאו בשעת השחיטה</w:t>
      </w:r>
      <w:bookmarkEnd w:id="15751"/>
      <w:bookmarkEnd w:id="15752"/>
      <w:bookmarkEnd w:id="15753"/>
      <w:bookmarkEnd w:id="15754"/>
      <w:bookmarkEnd w:id="15755"/>
      <w:bookmarkEnd w:id="15756"/>
    </w:p>
    <w:p w14:paraId="07F355C0" w14:textId="77777777" w:rsidR="003D504D" w:rsidRDefault="003D504D" w:rsidP="00223668">
      <w:pPr>
        <w:pStyle w:val="a0"/>
        <w:rPr>
          <w:rtl/>
        </w:rPr>
      </w:pPr>
      <w:r>
        <w:rPr>
          <w:rFonts w:hint="cs"/>
          <w:rtl/>
        </w:rPr>
        <w:t xml:space="preserve"> </w:t>
      </w:r>
      <w:bookmarkStart w:id="15757" w:name="_Ref535695973"/>
      <w:r>
        <w:rPr>
          <w:rFonts w:hint="cs"/>
          <w:rtl/>
        </w:rPr>
        <w:t xml:space="preserve">כתב </w:t>
      </w:r>
      <w:r w:rsidRPr="00AA1FB2">
        <w:rPr>
          <w:rStyle w:val="af9"/>
          <w:rFonts w:hint="cs"/>
          <w:rtl/>
        </w:rPr>
        <w:t>רש"י</w:t>
      </w:r>
      <w:r>
        <w:rPr>
          <w:rFonts w:hint="cs"/>
          <w:rtl/>
        </w:rPr>
        <w:t xml:space="preserve"> </w:t>
      </w:r>
      <w:r w:rsidRPr="00AA1FB2">
        <w:rPr>
          <w:rStyle w:val="af7"/>
          <w:rFonts w:eastAsia="Guttman Hodes" w:hint="cs"/>
          <w:rtl/>
        </w:rPr>
        <w:t>(ד"ה בהמה)</w:t>
      </w:r>
      <w:r>
        <w:rPr>
          <w:rFonts w:hint="cs"/>
          <w:rtl/>
        </w:rPr>
        <w:t xml:space="preserve"> דהעובר הוציא את ידו בשעת שחיטה, והחזירו לפני השחיטה.</w:t>
      </w:r>
      <w:bookmarkEnd w:id="15757"/>
    </w:p>
    <w:p w14:paraId="1D2D54E9" w14:textId="77777777" w:rsidR="003D504D" w:rsidRDefault="003D504D" w:rsidP="003D504D">
      <w:pPr>
        <w:pStyle w:val="a3"/>
        <w:rPr>
          <w:rtl/>
        </w:rPr>
      </w:pPr>
      <w:bookmarkStart w:id="15758" w:name="_Toc535526222"/>
      <w:bookmarkStart w:id="15759" w:name="_Toc535574916"/>
      <w:bookmarkStart w:id="15760" w:name="_Toc535702373"/>
      <w:bookmarkStart w:id="15761" w:name="_Toc535750519"/>
      <w:bookmarkStart w:id="15762" w:name="_Toc19391073"/>
      <w:bookmarkStart w:id="15763" w:name="_Toc19394570"/>
      <w:r>
        <w:rPr>
          <w:rFonts w:hint="cs"/>
          <w:rtl/>
        </w:rPr>
        <w:t>ביאור המהר"ם והראש יוסף דכוונת רש"י לומר שאם הוציא אבר ונולד לפני השחיטה מותר</w:t>
      </w:r>
      <w:bookmarkEnd w:id="15758"/>
      <w:bookmarkEnd w:id="15759"/>
      <w:bookmarkEnd w:id="15760"/>
      <w:bookmarkEnd w:id="15761"/>
      <w:bookmarkEnd w:id="15762"/>
      <w:bookmarkEnd w:id="15763"/>
    </w:p>
    <w:p w14:paraId="6F1F1DEC" w14:textId="77777777" w:rsidR="003D504D" w:rsidRDefault="003D504D" w:rsidP="00223668">
      <w:pPr>
        <w:pStyle w:val="a0"/>
        <w:rPr>
          <w:rtl/>
        </w:rPr>
      </w:pPr>
      <w:bookmarkStart w:id="15764" w:name="_Ref535509703"/>
      <w:r>
        <w:rPr>
          <w:rFonts w:hint="cs"/>
          <w:rtl/>
        </w:rPr>
        <w:t xml:space="preserve">וביאר </w:t>
      </w:r>
      <w:r w:rsidRPr="00AA1FB2">
        <w:rPr>
          <w:rStyle w:val="af9"/>
          <w:rFonts w:hint="cs"/>
          <w:rtl/>
        </w:rPr>
        <w:t>המהר"ם</w:t>
      </w:r>
      <w:r>
        <w:rPr>
          <w:rFonts w:hint="cs"/>
          <w:rtl/>
        </w:rPr>
        <w:t xml:space="preserve"> </w:t>
      </w:r>
      <w:r w:rsidRPr="00AA1FB2">
        <w:rPr>
          <w:rStyle w:val="af7"/>
          <w:rFonts w:eastAsia="Guttman Hodes" w:hint="cs"/>
          <w:rtl/>
        </w:rPr>
        <w:t>(על רש"י ד"ה בהמה)</w:t>
      </w:r>
      <w:r>
        <w:rPr>
          <w:rFonts w:hint="cs"/>
          <w:rtl/>
        </w:rPr>
        <w:t xml:space="preserve"> דכוונת </w:t>
      </w:r>
      <w:r w:rsidRPr="00AA1FB2">
        <w:rPr>
          <w:rStyle w:val="af9"/>
          <w:rFonts w:hint="cs"/>
          <w:rtl/>
        </w:rPr>
        <w:t>רש"י</w:t>
      </w:r>
      <w:r>
        <w:rPr>
          <w:rFonts w:hint="cs"/>
          <w:rtl/>
        </w:rPr>
        <w:t xml:space="preserve"> לומר דדין אבר היוצא שייך דוקא בשעת שחיטה, אבל שלא בשעת שחיטה, אם הוציא העובר כמה אברים לפני שנולד </w:t>
      </w:r>
      <w:r w:rsidRPr="00326D89">
        <w:rPr>
          <w:rStyle w:val="afb"/>
          <w:rFonts w:hint="cs"/>
          <w:rtl/>
        </w:rPr>
        <w:t>[דהיינו דאחר שיצא האבר</w:t>
      </w:r>
      <w:r>
        <w:rPr>
          <w:rStyle w:val="afb"/>
          <w:rFonts w:hint="cs"/>
          <w:rtl/>
        </w:rPr>
        <w:t>,</w:t>
      </w:r>
      <w:r w:rsidRPr="00326D89">
        <w:rPr>
          <w:rStyle w:val="afb"/>
          <w:rFonts w:hint="cs"/>
          <w:rtl/>
        </w:rPr>
        <w:t xml:space="preserve"> נולד העובר לפני שנשחטה אמו]</w:t>
      </w:r>
      <w:r>
        <w:rPr>
          <w:rFonts w:hint="cs"/>
          <w:rtl/>
        </w:rPr>
        <w:t xml:space="preserve">, אין בזה איסור דאבר היוצא, דכ"מ דחשיב כיוצא חוץ למחיצתו היינו בשעת שחיטה, דמחיצת האם מתירתו, אבל שלא בשעת שחיטה לא יצא מחוץ למחיצתו כלל, דחייב שחיטה מצד עצמו, ואינו ניתר בשחיטת האם, וכ"כ </w:t>
      </w:r>
      <w:r w:rsidRPr="00243E32">
        <w:rPr>
          <w:rStyle w:val="af9"/>
          <w:rFonts w:hint="cs"/>
          <w:rtl/>
        </w:rPr>
        <w:t>הראש יוסף</w:t>
      </w:r>
      <w:r>
        <w:rPr>
          <w:rFonts w:hint="cs"/>
          <w:rtl/>
        </w:rPr>
        <w:t xml:space="preserve"> </w:t>
      </w:r>
      <w:r w:rsidRPr="00AA1FB2">
        <w:rPr>
          <w:rStyle w:val="af7"/>
          <w:rFonts w:eastAsia="Guttman Hodes" w:hint="cs"/>
          <w:rtl/>
        </w:rPr>
        <w:t>(על רש"י ד"ה בהמה)</w:t>
      </w:r>
      <w:r>
        <w:rPr>
          <w:rStyle w:val="af7"/>
          <w:rFonts w:eastAsia="Guttman Hodes" w:hint="cs"/>
          <w:rtl/>
        </w:rPr>
        <w:t xml:space="preserve">, </w:t>
      </w:r>
      <w:r>
        <w:rPr>
          <w:rFonts w:hint="cs"/>
          <w:rtl/>
        </w:rPr>
        <w:t xml:space="preserve">ועי' בדברי </w:t>
      </w:r>
      <w:r w:rsidRPr="00AA1FB2">
        <w:rPr>
          <w:rStyle w:val="af9"/>
          <w:rFonts w:hint="cs"/>
          <w:rtl/>
        </w:rPr>
        <w:t>המהר"ם</w:t>
      </w:r>
      <w:r>
        <w:rPr>
          <w:rFonts w:hint="cs"/>
          <w:rtl/>
        </w:rPr>
        <w:t xml:space="preserve"> דדכתב דכן מבואר בגמ' לקמן </w:t>
      </w:r>
      <w:r w:rsidRPr="00AA1FB2">
        <w:rPr>
          <w:rStyle w:val="af7"/>
          <w:rFonts w:eastAsia="Guttman Hodes" w:hint="cs"/>
          <w:rtl/>
        </w:rPr>
        <w:t>(סט.)</w:t>
      </w:r>
      <w:r>
        <w:rPr>
          <w:rFonts w:hint="cs"/>
          <w:rtl/>
        </w:rPr>
        <w:t>.</w:t>
      </w:r>
      <w:bookmarkEnd w:id="15764"/>
    </w:p>
    <w:p w14:paraId="17CBD82E" w14:textId="77777777" w:rsidR="003D504D" w:rsidRPr="00326D89" w:rsidRDefault="003D504D" w:rsidP="003D504D">
      <w:pPr>
        <w:pStyle w:val="a3"/>
        <w:rPr>
          <w:rtl/>
        </w:rPr>
      </w:pPr>
      <w:bookmarkStart w:id="15765" w:name="_Toc535526223"/>
      <w:bookmarkStart w:id="15766" w:name="_Toc535574917"/>
      <w:bookmarkStart w:id="15767" w:name="_Toc535702374"/>
      <w:bookmarkStart w:id="15768" w:name="_Toc535750520"/>
      <w:bookmarkStart w:id="15769" w:name="_Toc19391074"/>
      <w:bookmarkStart w:id="15770" w:name="_Toc19394571"/>
      <w:r>
        <w:rPr>
          <w:rFonts w:hint="cs"/>
          <w:noProof/>
          <w:rtl/>
        </w:rPr>
        <w:t>ביאור הכרתי דכיון שנולד ונשחט העובר התברר למפרע שלא יצא חוץ למחיצתו כלל</w:t>
      </w:r>
      <w:bookmarkEnd w:id="15765"/>
      <w:bookmarkEnd w:id="15766"/>
      <w:bookmarkEnd w:id="15767"/>
      <w:bookmarkEnd w:id="15768"/>
      <w:bookmarkEnd w:id="15769"/>
      <w:bookmarkEnd w:id="15770"/>
    </w:p>
    <w:p w14:paraId="0231107E" w14:textId="77777777" w:rsidR="003D504D" w:rsidRPr="00412CB4" w:rsidRDefault="003D504D" w:rsidP="00223668">
      <w:pPr>
        <w:pStyle w:val="a0"/>
        <w:rPr>
          <w:rStyle w:val="afb"/>
          <w:rtl/>
        </w:rPr>
      </w:pPr>
      <w:bookmarkStart w:id="15771" w:name="_Toc533613923"/>
      <w:r>
        <w:rPr>
          <w:rStyle w:val="af9"/>
          <w:rFonts w:hint="cs"/>
          <w:rtl/>
        </w:rPr>
        <w:t>ו</w:t>
      </w:r>
      <w:r w:rsidRPr="00412CB4">
        <w:rPr>
          <w:rStyle w:val="af9"/>
          <w:rFonts w:hint="cs"/>
          <w:rtl/>
        </w:rPr>
        <w:t>הכרתי</w:t>
      </w:r>
      <w:r>
        <w:rPr>
          <w:rFonts w:hint="cs"/>
          <w:rtl/>
        </w:rPr>
        <w:t xml:space="preserve"> </w:t>
      </w:r>
      <w:r w:rsidRPr="00412CB4">
        <w:rPr>
          <w:rStyle w:val="af7"/>
          <w:rFonts w:eastAsia="Guttman Hodes" w:hint="cs"/>
          <w:rtl/>
        </w:rPr>
        <w:t>(סי' י"ד סק"ה)</w:t>
      </w:r>
      <w:r>
        <w:rPr>
          <w:rFonts w:hint="cs"/>
          <w:rtl/>
        </w:rPr>
        <w:t xml:space="preserve"> ביאר דאף שיצא האבר חוץ למחיצתו, מ"מ כיון שנולד העובר ואח"כ נשחט בשחיטת עצמו, התברר למפרע שלא יצא האבר מחוץ למחיצתו כלל. </w:t>
      </w:r>
      <w:r w:rsidRPr="00412CB4">
        <w:rPr>
          <w:rStyle w:val="afb"/>
          <w:rFonts w:hint="cs"/>
          <w:rtl/>
        </w:rPr>
        <w:t>[דמחיצת האם אינה מחיצתו כיון שנשחט בעצמו].</w:t>
      </w:r>
    </w:p>
    <w:p w14:paraId="2F525298" w14:textId="77777777" w:rsidR="003D504D" w:rsidRPr="000916D8" w:rsidRDefault="003D504D" w:rsidP="003D504D">
      <w:pPr>
        <w:pStyle w:val="a3"/>
        <w:rPr>
          <w:rtl/>
        </w:rPr>
      </w:pPr>
      <w:bookmarkStart w:id="15772" w:name="_Toc535526224"/>
      <w:bookmarkStart w:id="15773" w:name="_Toc535574918"/>
      <w:bookmarkStart w:id="15774" w:name="_Toc535702375"/>
      <w:bookmarkStart w:id="15775" w:name="_Toc535750521"/>
      <w:bookmarkStart w:id="15776" w:name="_Toc19391075"/>
      <w:bookmarkStart w:id="15777" w:name="_Toc19394572"/>
      <w:bookmarkStart w:id="15778" w:name="_Toc535178747"/>
      <w:bookmarkStart w:id="15779" w:name="_Toc535302116"/>
      <w:bookmarkEnd w:id="15771"/>
      <w:r>
        <w:rPr>
          <w:rFonts w:hint="cs"/>
          <w:rtl/>
        </w:rPr>
        <w:t>דברי הכל בו בשם י"א דבנולד העובר לפני השחיטה כיון שחייב שחיטה מצד עצמו האבר מותר</w:t>
      </w:r>
      <w:bookmarkEnd w:id="15772"/>
      <w:bookmarkEnd w:id="15773"/>
      <w:bookmarkEnd w:id="15774"/>
      <w:bookmarkEnd w:id="15775"/>
      <w:bookmarkEnd w:id="15776"/>
      <w:bookmarkEnd w:id="15777"/>
      <w:r>
        <w:rPr>
          <w:rFonts w:hint="cs"/>
          <w:rtl/>
        </w:rPr>
        <w:t xml:space="preserve"> </w:t>
      </w:r>
    </w:p>
    <w:p w14:paraId="04375A21" w14:textId="77777777" w:rsidR="003D504D" w:rsidRDefault="003D504D" w:rsidP="00223668">
      <w:pPr>
        <w:pStyle w:val="a0"/>
        <w:rPr>
          <w:rtl/>
        </w:rPr>
      </w:pPr>
      <w:r>
        <w:rPr>
          <w:rFonts w:hint="cs"/>
          <w:rtl/>
        </w:rPr>
        <w:t>וכ"כ</w:t>
      </w:r>
      <w:r w:rsidRPr="001E40A3">
        <w:rPr>
          <w:rFonts w:hint="cs"/>
          <w:rtl/>
        </w:rPr>
        <w:t xml:space="preserve"> </w:t>
      </w:r>
      <w:r w:rsidRPr="000916D8">
        <w:rPr>
          <w:rStyle w:val="af9"/>
          <w:rFonts w:hint="cs"/>
          <w:rtl/>
        </w:rPr>
        <w:t>הכל בו</w:t>
      </w:r>
      <w:r>
        <w:rPr>
          <w:rFonts w:hint="cs"/>
          <w:rtl/>
        </w:rPr>
        <w:t xml:space="preserve"> </w:t>
      </w:r>
      <w:r w:rsidRPr="009C4DA5">
        <w:rPr>
          <w:rStyle w:val="af7"/>
          <w:rFonts w:eastAsia="Guttman Hodes" w:hint="cs"/>
          <w:rtl/>
        </w:rPr>
        <w:t>(סי' ק"ב ד"ה מושיט</w:t>
      </w:r>
      <w:r w:rsidRPr="00736B49">
        <w:rPr>
          <w:rStyle w:val="af1"/>
          <w:rtl/>
        </w:rPr>
        <w:footnoteReference w:id="107"/>
      </w:r>
      <w:r w:rsidRPr="00736B49">
        <w:rPr>
          <w:rStyle w:val="af7"/>
          <w:rFonts w:eastAsia="Guttman Hodes" w:hint="cs"/>
          <w:rtl/>
        </w:rPr>
        <w:t>)</w:t>
      </w:r>
      <w:r>
        <w:rPr>
          <w:rFonts w:hint="cs"/>
          <w:rtl/>
        </w:rPr>
        <w:t xml:space="preserve"> </w:t>
      </w:r>
      <w:r w:rsidRPr="001E40A3">
        <w:rPr>
          <w:rStyle w:val="af9"/>
          <w:rFonts w:hint="cs"/>
          <w:rtl/>
        </w:rPr>
        <w:t>והארחות חיים</w:t>
      </w:r>
      <w:r>
        <w:rPr>
          <w:rFonts w:hint="cs"/>
          <w:rtl/>
        </w:rPr>
        <w:t xml:space="preserve"> </w:t>
      </w:r>
      <w:r w:rsidRPr="00593525">
        <w:rPr>
          <w:rStyle w:val="af7"/>
          <w:rFonts w:eastAsia="Guttman Hodes" w:hint="cs"/>
          <w:rtl/>
        </w:rPr>
        <w:t>(</w:t>
      </w:r>
      <w:r>
        <w:rPr>
          <w:rStyle w:val="af7"/>
          <w:rFonts w:eastAsia="Guttman Hodes" w:hint="cs"/>
          <w:rtl/>
        </w:rPr>
        <w:t xml:space="preserve">סי' ל' אות </w:t>
      </w:r>
      <w:r w:rsidRPr="00593525">
        <w:rPr>
          <w:rStyle w:val="af7"/>
          <w:rFonts w:eastAsia="Guttman Hodes" w:hint="cs"/>
          <w:rtl/>
        </w:rPr>
        <w:t>א'</w:t>
      </w:r>
      <w:r>
        <w:rPr>
          <w:rStyle w:val="af7"/>
          <w:rFonts w:eastAsia="Guttman Hodes" w:hint="cs"/>
          <w:rtl/>
        </w:rPr>
        <w:t xml:space="preserve"> ד"ה המושיט</w:t>
      </w:r>
      <w:r w:rsidRPr="00F9563F">
        <w:rPr>
          <w:vertAlign w:val="superscript"/>
          <w:rtl/>
        </w:rPr>
        <w:fldChar w:fldCharType="begin"/>
      </w:r>
      <w:r w:rsidRPr="00F9563F">
        <w:rPr>
          <w:vertAlign w:val="superscript"/>
          <w:rtl/>
        </w:rPr>
        <w:instrText xml:space="preserve"> </w:instrText>
      </w:r>
      <w:r w:rsidRPr="00F9563F">
        <w:rPr>
          <w:rFonts w:hint="cs"/>
          <w:vertAlign w:val="superscript"/>
        </w:rPr>
        <w:instrText>NOTEREF</w:instrText>
      </w:r>
      <w:r w:rsidRPr="00F9563F">
        <w:rPr>
          <w:rFonts w:hint="cs"/>
          <w:vertAlign w:val="superscript"/>
          <w:rtl/>
        </w:rPr>
        <w:instrText xml:space="preserve"> _</w:instrText>
      </w:r>
      <w:r w:rsidRPr="00F9563F">
        <w:rPr>
          <w:rFonts w:hint="cs"/>
          <w:vertAlign w:val="superscript"/>
        </w:rPr>
        <w:instrText>Ref533613765 \h</w:instrText>
      </w:r>
      <w:r w:rsidRPr="00F9563F">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F9563F">
        <w:rPr>
          <w:vertAlign w:val="superscript"/>
          <w:rtl/>
        </w:rPr>
      </w:r>
      <w:r w:rsidRPr="00F9563F">
        <w:rPr>
          <w:vertAlign w:val="superscript"/>
          <w:rtl/>
        </w:rPr>
        <w:fldChar w:fldCharType="separate"/>
      </w:r>
      <w:r w:rsidR="00345400">
        <w:rPr>
          <w:vertAlign w:val="superscript"/>
          <w:rtl/>
        </w:rPr>
        <w:t>108</w:t>
      </w:r>
      <w:r w:rsidRPr="00F9563F">
        <w:rPr>
          <w:vertAlign w:val="superscript"/>
          <w:rtl/>
        </w:rPr>
        <w:fldChar w:fldCharType="end"/>
      </w:r>
      <w:r w:rsidRPr="00F9563F">
        <w:rPr>
          <w:rStyle w:val="af7"/>
          <w:rFonts w:eastAsia="Guttman Hodes" w:hint="cs"/>
          <w:rtl/>
        </w:rPr>
        <w:t xml:space="preserve">) </w:t>
      </w:r>
      <w:r>
        <w:rPr>
          <w:rFonts w:hint="cs"/>
          <w:rtl/>
        </w:rPr>
        <w:t xml:space="preserve">בשם </w:t>
      </w:r>
      <w:r>
        <w:rPr>
          <w:rStyle w:val="af9"/>
          <w:rFonts w:hint="cs"/>
          <w:rtl/>
        </w:rPr>
        <w:t>י"א</w:t>
      </w:r>
      <w:r>
        <w:rPr>
          <w:rFonts w:hint="cs"/>
          <w:rtl/>
        </w:rPr>
        <w:t xml:space="preserve"> דאם נולד העובר לפני שנשחטה אמו, אף האבר היוצא מותר, דכיון שהוא חייב שחיטה מצד עצמו, שחיטתו מתירה אף את האבר שיצא, ופסק </w:t>
      </w:r>
      <w:r w:rsidRPr="00A13D70">
        <w:rPr>
          <w:rStyle w:val="af9"/>
          <w:rFonts w:hint="cs"/>
          <w:rtl/>
        </w:rPr>
        <w:t>הרמ"א</w:t>
      </w:r>
      <w:r>
        <w:rPr>
          <w:rFonts w:hint="cs"/>
          <w:rtl/>
        </w:rPr>
        <w:t xml:space="preserve"> </w:t>
      </w:r>
      <w:r w:rsidRPr="00A13D70">
        <w:rPr>
          <w:rStyle w:val="af7"/>
          <w:rFonts w:eastAsia="Guttman Hodes" w:hint="cs"/>
          <w:rtl/>
        </w:rPr>
        <w:t>(סי' י"ד ב')</w:t>
      </w:r>
      <w:r>
        <w:rPr>
          <w:rFonts w:hint="cs"/>
          <w:rtl/>
        </w:rPr>
        <w:t xml:space="preserve"> כדעת </w:t>
      </w:r>
      <w:r w:rsidRPr="00A13D70">
        <w:rPr>
          <w:rStyle w:val="af9"/>
          <w:rFonts w:hint="cs"/>
          <w:rtl/>
        </w:rPr>
        <w:t>הכל בו</w:t>
      </w:r>
      <w:r>
        <w:rPr>
          <w:rFonts w:hint="cs"/>
          <w:rtl/>
        </w:rPr>
        <w:t xml:space="preserve"> בשם </w:t>
      </w:r>
      <w:r>
        <w:rPr>
          <w:rStyle w:val="af9"/>
          <w:rFonts w:hint="cs"/>
          <w:rtl/>
        </w:rPr>
        <w:t>י"א</w:t>
      </w:r>
      <w:r>
        <w:rPr>
          <w:rFonts w:hint="cs"/>
          <w:rtl/>
        </w:rPr>
        <w:t xml:space="preserve"> דכל שנולד העובר ונשחט, שחיטת עצמו מתירה הכל, </w:t>
      </w:r>
      <w:r w:rsidRPr="002E4AA2">
        <w:rPr>
          <w:rFonts w:hint="cs"/>
          <w:rtl/>
        </w:rPr>
        <w:t>ו</w:t>
      </w:r>
      <w:r>
        <w:rPr>
          <w:rFonts w:hint="cs"/>
          <w:rtl/>
        </w:rPr>
        <w:t xml:space="preserve">עי' בדברי </w:t>
      </w:r>
      <w:r w:rsidRPr="002E4AA2">
        <w:rPr>
          <w:rStyle w:val="af9"/>
          <w:rFonts w:hint="cs"/>
          <w:rtl/>
        </w:rPr>
        <w:t>הגר"א</w:t>
      </w:r>
      <w:r w:rsidRPr="002E4AA2">
        <w:rPr>
          <w:rFonts w:hint="cs"/>
          <w:rtl/>
        </w:rPr>
        <w:t xml:space="preserve"> </w:t>
      </w:r>
      <w:r w:rsidRPr="002E4AA2">
        <w:rPr>
          <w:rStyle w:val="af7"/>
          <w:rFonts w:eastAsia="Guttman Hodes" w:hint="cs"/>
          <w:rtl/>
        </w:rPr>
        <w:t xml:space="preserve">(סי' י"ד סק"ד) </w:t>
      </w:r>
      <w:r>
        <w:rPr>
          <w:rFonts w:hint="cs"/>
          <w:rtl/>
        </w:rPr>
        <w:t xml:space="preserve">דכתב </w:t>
      </w:r>
      <w:r w:rsidRPr="002E4AA2">
        <w:rPr>
          <w:rFonts w:hint="cs"/>
          <w:rtl/>
        </w:rPr>
        <w:t xml:space="preserve">דכן מוכח בגמ' לקמן </w:t>
      </w:r>
      <w:r w:rsidRPr="002E4AA2">
        <w:rPr>
          <w:rStyle w:val="af7"/>
          <w:rFonts w:eastAsia="Guttman Hodes" w:hint="cs"/>
          <w:rtl/>
        </w:rPr>
        <w:t>(סט.)</w:t>
      </w:r>
      <w:r>
        <w:rPr>
          <w:rFonts w:hint="cs"/>
          <w:rtl/>
        </w:rPr>
        <w:t xml:space="preserve"> ובדברי </w:t>
      </w:r>
      <w:r w:rsidRPr="00BF2CA2">
        <w:rPr>
          <w:rStyle w:val="af9"/>
          <w:rFonts w:hint="cs"/>
          <w:rtl/>
        </w:rPr>
        <w:t>רש"י לקמן</w:t>
      </w:r>
      <w:r>
        <w:rPr>
          <w:rFonts w:hint="cs"/>
          <w:rtl/>
        </w:rPr>
        <w:t xml:space="preserve"> </w:t>
      </w:r>
      <w:r w:rsidRPr="00BF2CA2">
        <w:rPr>
          <w:rStyle w:val="af7"/>
          <w:rFonts w:eastAsia="Guttman Hodes" w:hint="cs"/>
          <w:rtl/>
        </w:rPr>
        <w:t>(סט. ד"ה אבן פקועה)</w:t>
      </w:r>
      <w:r>
        <w:rPr>
          <w:rFonts w:hint="cs"/>
          <w:rtl/>
        </w:rPr>
        <w:t>.</w:t>
      </w:r>
    </w:p>
    <w:p w14:paraId="5A89645A" w14:textId="77777777" w:rsidR="003D504D" w:rsidRDefault="003D504D" w:rsidP="003D504D">
      <w:pPr>
        <w:pStyle w:val="a3"/>
        <w:rPr>
          <w:rtl/>
        </w:rPr>
      </w:pPr>
      <w:bookmarkStart w:id="15780" w:name="_Toc535702376"/>
      <w:bookmarkStart w:id="15781" w:name="_Toc535750522"/>
      <w:bookmarkStart w:id="15782" w:name="_Toc19391076"/>
      <w:bookmarkStart w:id="15783" w:name="_Toc19394573"/>
      <w:r>
        <w:rPr>
          <w:rFonts w:hint="cs"/>
          <w:rtl/>
        </w:rPr>
        <w:t>דברי הכס"מ דברשב"א מבואר</w:t>
      </w:r>
      <w:r w:rsidRPr="00EC4E24">
        <w:rPr>
          <w:rFonts w:hint="cs"/>
          <w:rtl/>
        </w:rPr>
        <w:t xml:space="preserve"> </w:t>
      </w:r>
      <w:r>
        <w:rPr>
          <w:rFonts w:hint="cs"/>
          <w:rtl/>
        </w:rPr>
        <w:t>דאבר היוצא מותר אם נולד לפני שנשחטה אמו</w:t>
      </w:r>
      <w:bookmarkEnd w:id="15780"/>
      <w:bookmarkEnd w:id="15781"/>
      <w:bookmarkEnd w:id="15782"/>
      <w:bookmarkEnd w:id="15783"/>
    </w:p>
    <w:p w14:paraId="63DBABA8" w14:textId="77777777" w:rsidR="003D504D" w:rsidRPr="005849A5" w:rsidRDefault="003D504D" w:rsidP="00223668">
      <w:pPr>
        <w:pStyle w:val="a0"/>
        <w:rPr>
          <w:rtl/>
        </w:rPr>
      </w:pPr>
      <w:bookmarkStart w:id="15784" w:name="_Ref535697473"/>
      <w:r>
        <w:rPr>
          <w:rFonts w:hint="cs"/>
          <w:rtl/>
        </w:rPr>
        <w:t xml:space="preserve">וכתב </w:t>
      </w:r>
      <w:r>
        <w:rPr>
          <w:rStyle w:val="af9"/>
          <w:rFonts w:hint="cs"/>
          <w:rtl/>
        </w:rPr>
        <w:t>ה</w:t>
      </w:r>
      <w:r w:rsidRPr="000916D8">
        <w:rPr>
          <w:rStyle w:val="af9"/>
          <w:rFonts w:hint="cs"/>
          <w:rtl/>
        </w:rPr>
        <w:t>כס"מ</w:t>
      </w:r>
      <w:r>
        <w:rPr>
          <w:rFonts w:hint="cs"/>
          <w:rtl/>
        </w:rPr>
        <w:t xml:space="preserve"> </w:t>
      </w:r>
      <w:r w:rsidRPr="009C4DA5">
        <w:rPr>
          <w:rStyle w:val="af7"/>
          <w:rFonts w:eastAsia="Guttman Hodes" w:hint="cs"/>
          <w:rtl/>
        </w:rPr>
        <w:t>(מאכ"א פ"ה ה"ט)</w:t>
      </w:r>
      <w:r>
        <w:rPr>
          <w:rFonts w:hint="cs"/>
          <w:rtl/>
        </w:rPr>
        <w:t xml:space="preserve"> </w:t>
      </w:r>
      <w:r w:rsidRPr="00B468D6">
        <w:rPr>
          <w:rStyle w:val="af9"/>
          <w:rFonts w:hint="cs"/>
          <w:rtl/>
        </w:rPr>
        <w:t>ו</w:t>
      </w:r>
      <w:r>
        <w:rPr>
          <w:rStyle w:val="af9"/>
          <w:rFonts w:hint="cs"/>
          <w:rtl/>
        </w:rPr>
        <w:t>ה</w:t>
      </w:r>
      <w:r w:rsidRPr="00B468D6">
        <w:rPr>
          <w:rStyle w:val="af9"/>
          <w:rFonts w:hint="cs"/>
          <w:rtl/>
        </w:rPr>
        <w:t>ב"י</w:t>
      </w:r>
      <w:r>
        <w:rPr>
          <w:rFonts w:hint="cs"/>
          <w:rtl/>
        </w:rPr>
        <w:t xml:space="preserve"> </w:t>
      </w:r>
      <w:r w:rsidRPr="00B468D6">
        <w:rPr>
          <w:rStyle w:val="af7"/>
          <w:rFonts w:eastAsia="Guttman Hodes" w:hint="cs"/>
          <w:rtl/>
        </w:rPr>
        <w:t>(סי' י"ד ב'</w:t>
      </w:r>
      <w:r>
        <w:rPr>
          <w:rStyle w:val="af7"/>
          <w:rFonts w:eastAsia="Guttman Hodes" w:hint="cs"/>
          <w:rtl/>
        </w:rPr>
        <w:t xml:space="preserve"> ד"ה ולכאו'</w:t>
      </w:r>
      <w:r w:rsidRPr="00B468D6">
        <w:rPr>
          <w:rStyle w:val="af7"/>
          <w:rFonts w:eastAsia="Guttman Hodes" w:hint="cs"/>
          <w:rtl/>
        </w:rPr>
        <w:t>)</w:t>
      </w:r>
      <w:r>
        <w:rPr>
          <w:rFonts w:hint="cs"/>
          <w:rtl/>
        </w:rPr>
        <w:t xml:space="preserve"> דבדברי </w:t>
      </w:r>
      <w:r w:rsidRPr="006E030A">
        <w:rPr>
          <w:rStyle w:val="af9"/>
          <w:rFonts w:hint="cs"/>
          <w:rtl/>
        </w:rPr>
        <w:t>הרשב"א בתוה"ב</w:t>
      </w:r>
      <w:r>
        <w:rPr>
          <w:rFonts w:hint="cs"/>
          <w:rtl/>
        </w:rPr>
        <w:t xml:space="preserve"> </w:t>
      </w:r>
      <w:r w:rsidRPr="006E030A">
        <w:rPr>
          <w:rStyle w:val="af7"/>
          <w:rFonts w:eastAsia="Guttman Hodes" w:hint="cs"/>
          <w:rtl/>
        </w:rPr>
        <w:t>(ב"ב ש"ג דף כח: מדה"ס)</w:t>
      </w:r>
      <w:r>
        <w:rPr>
          <w:rFonts w:hint="cs"/>
          <w:rtl/>
        </w:rPr>
        <w:t xml:space="preserve"> מבואר דאם נולד העובר לפני שחיטת אמו, אין בו איסור אבר היוצא, דכתב </w:t>
      </w:r>
      <w:r w:rsidRPr="006E030A">
        <w:rPr>
          <w:rStyle w:val="af9"/>
          <w:rFonts w:hint="cs"/>
          <w:rtl/>
        </w:rPr>
        <w:t xml:space="preserve">הרשב"א </w:t>
      </w:r>
      <w:r>
        <w:rPr>
          <w:rFonts w:hint="cs"/>
          <w:rtl/>
        </w:rPr>
        <w:t xml:space="preserve">בהיתר בן פקועה, דאם לפני שחיטת אמו הוציא העובר את ידו, אסור מדין אבר היוצא, ומבואר דדין אבר היוצא נאמר רק בבן פקועה, </w:t>
      </w:r>
      <w:r>
        <w:rPr>
          <w:rtl/>
        </w:rPr>
        <w:t xml:space="preserve">וכתב </w:t>
      </w:r>
      <w:r>
        <w:rPr>
          <w:rStyle w:val="af9"/>
          <w:rtl/>
        </w:rPr>
        <w:t>בכס"מ ובב"י</w:t>
      </w:r>
      <w:r>
        <w:rPr>
          <w:rtl/>
        </w:rPr>
        <w:t xml:space="preserve"> דכן מבואר בדברי </w:t>
      </w:r>
      <w:r>
        <w:rPr>
          <w:rStyle w:val="af9"/>
          <w:rFonts w:hint="cs"/>
          <w:rtl/>
        </w:rPr>
        <w:t xml:space="preserve">הסמ"ג </w:t>
      </w:r>
      <w:r w:rsidRPr="00B32C3E">
        <w:rPr>
          <w:rStyle w:val="af7"/>
          <w:rFonts w:eastAsia="Guttman Hodes" w:hint="cs"/>
          <w:rtl/>
        </w:rPr>
        <w:t xml:space="preserve">(עי' אות </w:t>
      </w:r>
      <w:r w:rsidRPr="00B32C3E">
        <w:rPr>
          <w:rStyle w:val="af7"/>
          <w:rFonts w:eastAsia="Guttman Hodes"/>
          <w:rtl/>
        </w:rPr>
        <w:fldChar w:fldCharType="begin"/>
      </w:r>
      <w:r w:rsidRPr="00B32C3E">
        <w:rPr>
          <w:rStyle w:val="af7"/>
          <w:rFonts w:eastAsia="Guttman Hodes"/>
          <w:rtl/>
        </w:rPr>
        <w:instrText xml:space="preserve"> </w:instrText>
      </w:r>
      <w:r w:rsidRPr="00B32C3E">
        <w:rPr>
          <w:rStyle w:val="af7"/>
          <w:rFonts w:eastAsia="Guttman Hodes" w:hint="cs"/>
        </w:rPr>
        <w:instrText>REF</w:instrText>
      </w:r>
      <w:r w:rsidRPr="00B32C3E">
        <w:rPr>
          <w:rStyle w:val="af7"/>
          <w:rFonts w:eastAsia="Guttman Hodes" w:hint="cs"/>
          <w:rtl/>
        </w:rPr>
        <w:instrText xml:space="preserve"> _</w:instrText>
      </w:r>
      <w:r w:rsidRPr="00B32C3E">
        <w:rPr>
          <w:rStyle w:val="af7"/>
          <w:rFonts w:eastAsia="Guttman Hodes" w:hint="cs"/>
        </w:rPr>
        <w:instrText>Ref535696846 \r \h</w:instrText>
      </w:r>
      <w:r w:rsidRPr="00B32C3E">
        <w:rPr>
          <w:rStyle w:val="af7"/>
          <w:rFonts w:eastAsia="Guttman Hodes"/>
          <w:rtl/>
        </w:rPr>
        <w:instrText xml:space="preserve"> </w:instrText>
      </w:r>
      <w:r w:rsidRPr="00B32C3E">
        <w:rPr>
          <w:rStyle w:val="af7"/>
          <w:rFonts w:eastAsia="Guttman Hodes"/>
          <w:rtl/>
        </w:rPr>
      </w:r>
      <w:r w:rsidRPr="00B32C3E">
        <w:rPr>
          <w:rStyle w:val="af7"/>
          <w:rFonts w:eastAsia="Guttman Hodes"/>
          <w:rtl/>
        </w:rPr>
        <w:fldChar w:fldCharType="separate"/>
      </w:r>
      <w:r w:rsidR="00345400">
        <w:rPr>
          <w:rStyle w:val="af7"/>
          <w:rFonts w:eastAsia="Guttman Hodes"/>
          <w:cs/>
        </w:rPr>
        <w:t>‎</w:t>
      </w:r>
      <w:r w:rsidR="00345400">
        <w:rPr>
          <w:rStyle w:val="af7"/>
          <w:rFonts w:eastAsia="Guttman Hodes"/>
          <w:rtl/>
        </w:rPr>
        <w:t>קט)</w:t>
      </w:r>
      <w:r w:rsidRPr="00B32C3E">
        <w:rPr>
          <w:rStyle w:val="af7"/>
          <w:rFonts w:eastAsia="Guttman Hodes"/>
          <w:rtl/>
        </w:rPr>
        <w:fldChar w:fldCharType="end"/>
      </w:r>
      <w:r>
        <w:rPr>
          <w:rFonts w:hint="cs"/>
          <w:rtl/>
        </w:rPr>
        <w:t>.</w:t>
      </w:r>
      <w:bookmarkEnd w:id="15784"/>
    </w:p>
    <w:p w14:paraId="7D553980" w14:textId="77777777" w:rsidR="003D504D" w:rsidRDefault="003D504D" w:rsidP="00BF39B2">
      <w:pPr>
        <w:pStyle w:val="1"/>
        <w:rPr>
          <w:rtl/>
        </w:rPr>
      </w:pPr>
      <w:bookmarkStart w:id="15785" w:name="_Toc535526225"/>
      <w:bookmarkStart w:id="15786" w:name="_Toc535574919"/>
      <w:bookmarkStart w:id="15787" w:name="_Toc535702377"/>
      <w:bookmarkStart w:id="15788" w:name="_Toc535750523"/>
      <w:bookmarkStart w:id="15789" w:name="_Toc19391077"/>
      <w:bookmarkStart w:id="15790" w:name="_Toc19394574"/>
      <w:r>
        <w:rPr>
          <w:rFonts w:hint="cs"/>
          <w:rtl/>
        </w:rPr>
        <w:t xml:space="preserve">משמעות דברי הרמב"ם </w:t>
      </w:r>
      <w:bookmarkEnd w:id="15778"/>
      <w:bookmarkEnd w:id="15779"/>
      <w:r>
        <w:rPr>
          <w:rFonts w:hint="cs"/>
          <w:rtl/>
        </w:rPr>
        <w:t>דאף בנולד לפני השחיטה אסור</w:t>
      </w:r>
      <w:bookmarkEnd w:id="15785"/>
      <w:bookmarkEnd w:id="15786"/>
      <w:bookmarkEnd w:id="15787"/>
      <w:bookmarkEnd w:id="15788"/>
      <w:bookmarkEnd w:id="15789"/>
      <w:bookmarkEnd w:id="15790"/>
    </w:p>
    <w:p w14:paraId="498BCBCD" w14:textId="77777777" w:rsidR="003D504D" w:rsidRDefault="003D504D" w:rsidP="003D504D">
      <w:pPr>
        <w:pStyle w:val="a3"/>
      </w:pPr>
      <w:bookmarkStart w:id="15791" w:name="_Toc535526226"/>
      <w:bookmarkStart w:id="15792" w:name="_Toc535574920"/>
      <w:bookmarkStart w:id="15793" w:name="_Toc535702378"/>
      <w:bookmarkStart w:id="15794" w:name="_Toc535750524"/>
      <w:bookmarkStart w:id="15795" w:name="_Toc19391078"/>
      <w:bookmarkStart w:id="15796" w:name="_Toc19394575"/>
      <w:r>
        <w:rPr>
          <w:rFonts w:hint="cs"/>
          <w:rtl/>
        </w:rPr>
        <w:t>דברי הכס"מ דבכל בו משמע דהרמב"ם אוסר בנולד לפני השחיטה ודחיית הכס"מ דהרמב"ם מתיר</w:t>
      </w:r>
      <w:bookmarkEnd w:id="15791"/>
      <w:bookmarkEnd w:id="15792"/>
      <w:bookmarkEnd w:id="15793"/>
      <w:bookmarkEnd w:id="15794"/>
      <w:bookmarkEnd w:id="15795"/>
      <w:bookmarkEnd w:id="15796"/>
    </w:p>
    <w:p w14:paraId="13164B52" w14:textId="77777777" w:rsidR="003D504D" w:rsidRDefault="003D504D" w:rsidP="00223668">
      <w:pPr>
        <w:pStyle w:val="a0"/>
        <w:rPr>
          <w:rtl/>
        </w:rPr>
      </w:pPr>
      <w:r w:rsidRPr="001E40A3">
        <w:rPr>
          <w:rFonts w:hint="cs"/>
          <w:rtl/>
        </w:rPr>
        <w:t>ו</w:t>
      </w:r>
      <w:r>
        <w:rPr>
          <w:rFonts w:hint="cs"/>
          <w:rtl/>
        </w:rPr>
        <w:t xml:space="preserve">ע"ע בדברי </w:t>
      </w:r>
      <w:r w:rsidRPr="000916D8">
        <w:rPr>
          <w:rStyle w:val="af9"/>
          <w:rFonts w:hint="cs"/>
          <w:rtl/>
        </w:rPr>
        <w:t>הכל בו</w:t>
      </w:r>
      <w:r>
        <w:rPr>
          <w:rFonts w:hint="cs"/>
          <w:rtl/>
        </w:rPr>
        <w:t xml:space="preserve"> </w:t>
      </w:r>
      <w:r w:rsidRPr="009C4DA5">
        <w:rPr>
          <w:rStyle w:val="af7"/>
          <w:rFonts w:eastAsia="Guttman Hodes" w:hint="cs"/>
          <w:rtl/>
        </w:rPr>
        <w:t>(סי' ק"ב ד"ה מושיט</w:t>
      </w:r>
      <w:bookmarkStart w:id="15797" w:name="_Ref533613765"/>
      <w:r w:rsidRPr="00736B49">
        <w:rPr>
          <w:rStyle w:val="af1"/>
          <w:rtl/>
        </w:rPr>
        <w:footnoteReference w:id="108"/>
      </w:r>
      <w:bookmarkEnd w:id="15797"/>
      <w:r w:rsidRPr="00736B49">
        <w:rPr>
          <w:rStyle w:val="af7"/>
          <w:rFonts w:eastAsia="Guttman Hodes" w:hint="cs"/>
          <w:rtl/>
        </w:rPr>
        <w:t>)</w:t>
      </w:r>
      <w:r>
        <w:rPr>
          <w:rFonts w:hint="cs"/>
          <w:rtl/>
        </w:rPr>
        <w:t xml:space="preserve"> </w:t>
      </w:r>
      <w:r w:rsidRPr="001E40A3">
        <w:rPr>
          <w:rStyle w:val="af9"/>
          <w:rFonts w:hint="cs"/>
          <w:rtl/>
        </w:rPr>
        <w:t>והארחות חיים</w:t>
      </w:r>
      <w:r>
        <w:rPr>
          <w:rFonts w:hint="cs"/>
          <w:rtl/>
        </w:rPr>
        <w:t xml:space="preserve"> </w:t>
      </w:r>
      <w:r w:rsidRPr="00593525">
        <w:rPr>
          <w:rStyle w:val="af7"/>
          <w:rFonts w:eastAsia="Guttman Hodes" w:hint="cs"/>
          <w:rtl/>
        </w:rPr>
        <w:t>(</w:t>
      </w:r>
      <w:r>
        <w:rPr>
          <w:rStyle w:val="af7"/>
          <w:rFonts w:eastAsia="Guttman Hodes" w:hint="cs"/>
          <w:rtl/>
        </w:rPr>
        <w:t xml:space="preserve">סי' ל' אות </w:t>
      </w:r>
      <w:r w:rsidRPr="00593525">
        <w:rPr>
          <w:rStyle w:val="af7"/>
          <w:rFonts w:eastAsia="Guttman Hodes" w:hint="cs"/>
          <w:rtl/>
        </w:rPr>
        <w:t>א'</w:t>
      </w:r>
      <w:r>
        <w:rPr>
          <w:rStyle w:val="af7"/>
          <w:rFonts w:eastAsia="Guttman Hodes" w:hint="cs"/>
          <w:rtl/>
        </w:rPr>
        <w:t xml:space="preserve"> ד"ה המושיט</w:t>
      </w:r>
      <w:r w:rsidRPr="00F9563F">
        <w:rPr>
          <w:vertAlign w:val="superscript"/>
          <w:rtl/>
        </w:rPr>
        <w:fldChar w:fldCharType="begin"/>
      </w:r>
      <w:r w:rsidRPr="00F9563F">
        <w:rPr>
          <w:vertAlign w:val="superscript"/>
          <w:rtl/>
        </w:rPr>
        <w:instrText xml:space="preserve"> </w:instrText>
      </w:r>
      <w:r w:rsidRPr="00F9563F">
        <w:rPr>
          <w:rFonts w:hint="cs"/>
          <w:vertAlign w:val="superscript"/>
        </w:rPr>
        <w:instrText>NOTEREF</w:instrText>
      </w:r>
      <w:r w:rsidRPr="00F9563F">
        <w:rPr>
          <w:rFonts w:hint="cs"/>
          <w:vertAlign w:val="superscript"/>
          <w:rtl/>
        </w:rPr>
        <w:instrText xml:space="preserve"> _</w:instrText>
      </w:r>
      <w:r w:rsidRPr="00F9563F">
        <w:rPr>
          <w:rFonts w:hint="cs"/>
          <w:vertAlign w:val="superscript"/>
        </w:rPr>
        <w:instrText>Ref533613765 \h</w:instrText>
      </w:r>
      <w:r w:rsidRPr="00F9563F">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F9563F">
        <w:rPr>
          <w:vertAlign w:val="superscript"/>
          <w:rtl/>
        </w:rPr>
      </w:r>
      <w:r w:rsidRPr="00F9563F">
        <w:rPr>
          <w:vertAlign w:val="superscript"/>
          <w:rtl/>
        </w:rPr>
        <w:fldChar w:fldCharType="separate"/>
      </w:r>
      <w:r w:rsidR="00345400">
        <w:rPr>
          <w:vertAlign w:val="superscript"/>
          <w:rtl/>
        </w:rPr>
        <w:t>108</w:t>
      </w:r>
      <w:r w:rsidRPr="00F9563F">
        <w:rPr>
          <w:vertAlign w:val="superscript"/>
          <w:rtl/>
        </w:rPr>
        <w:fldChar w:fldCharType="end"/>
      </w:r>
      <w:r w:rsidRPr="00F9563F">
        <w:rPr>
          <w:rStyle w:val="af7"/>
          <w:rFonts w:eastAsia="Guttman Hodes" w:hint="cs"/>
          <w:rtl/>
        </w:rPr>
        <w:t xml:space="preserve">) </w:t>
      </w:r>
      <w:r>
        <w:rPr>
          <w:rFonts w:hint="cs"/>
          <w:rtl/>
        </w:rPr>
        <w:t>ד</w:t>
      </w:r>
      <w:r w:rsidRPr="001E40A3">
        <w:rPr>
          <w:rFonts w:hint="cs"/>
          <w:rtl/>
        </w:rPr>
        <w:t xml:space="preserve">הביאו </w:t>
      </w:r>
      <w:r>
        <w:rPr>
          <w:rFonts w:hint="cs"/>
          <w:rtl/>
        </w:rPr>
        <w:t xml:space="preserve">את דברי </w:t>
      </w:r>
      <w:r w:rsidRPr="000916D8">
        <w:rPr>
          <w:rStyle w:val="af9"/>
          <w:rFonts w:hint="cs"/>
          <w:rtl/>
        </w:rPr>
        <w:t>הרמב"ם</w:t>
      </w:r>
      <w:r>
        <w:rPr>
          <w:rFonts w:hint="cs"/>
          <w:rtl/>
        </w:rPr>
        <w:t xml:space="preserve"> </w:t>
      </w:r>
      <w:r w:rsidRPr="00497F41">
        <w:rPr>
          <w:rStyle w:val="af7"/>
          <w:rFonts w:eastAsia="Guttman Hodes" w:hint="cs"/>
          <w:rtl/>
        </w:rPr>
        <w:t xml:space="preserve">(עי' אות </w:t>
      </w:r>
      <w:r w:rsidRPr="00497F41">
        <w:rPr>
          <w:rStyle w:val="af7"/>
          <w:rFonts w:eastAsia="Guttman Hodes"/>
          <w:rtl/>
        </w:rPr>
        <w:fldChar w:fldCharType="begin"/>
      </w:r>
      <w:r w:rsidRPr="00497F41">
        <w:rPr>
          <w:rStyle w:val="af7"/>
          <w:rFonts w:eastAsia="Guttman Hodes"/>
          <w:rtl/>
        </w:rPr>
        <w:instrText xml:space="preserve"> </w:instrText>
      </w:r>
      <w:r w:rsidRPr="00497F41">
        <w:rPr>
          <w:rStyle w:val="af7"/>
          <w:rFonts w:eastAsia="Guttman Hodes" w:hint="cs"/>
        </w:rPr>
        <w:instrText>REF</w:instrText>
      </w:r>
      <w:r w:rsidRPr="00497F41">
        <w:rPr>
          <w:rStyle w:val="af7"/>
          <w:rFonts w:eastAsia="Guttman Hodes" w:hint="cs"/>
          <w:rtl/>
        </w:rPr>
        <w:instrText xml:space="preserve"> _</w:instrText>
      </w:r>
      <w:r w:rsidRPr="00497F41">
        <w:rPr>
          <w:rStyle w:val="af7"/>
          <w:rFonts w:eastAsia="Guttman Hodes" w:hint="cs"/>
        </w:rPr>
        <w:instrText>Ref535509898 \r \h</w:instrText>
      </w:r>
      <w:r w:rsidRPr="00497F41">
        <w:rPr>
          <w:rStyle w:val="af7"/>
          <w:rFonts w:eastAsia="Guttman Hodes"/>
          <w:rtl/>
        </w:rPr>
        <w:instrText xml:space="preserve"> </w:instrText>
      </w:r>
      <w:r w:rsidRPr="00497F41">
        <w:rPr>
          <w:rStyle w:val="af7"/>
          <w:rFonts w:eastAsia="Guttman Hodes"/>
          <w:rtl/>
        </w:rPr>
      </w:r>
      <w:r w:rsidRPr="00497F41">
        <w:rPr>
          <w:rStyle w:val="af7"/>
          <w:rFonts w:eastAsia="Guttman Hodes"/>
          <w:rtl/>
        </w:rPr>
        <w:fldChar w:fldCharType="separate"/>
      </w:r>
      <w:r w:rsidR="00345400">
        <w:rPr>
          <w:rStyle w:val="af7"/>
          <w:rFonts w:eastAsia="Guttman Hodes"/>
          <w:cs/>
        </w:rPr>
        <w:t>‎</w:t>
      </w:r>
      <w:r w:rsidR="00345400">
        <w:rPr>
          <w:rStyle w:val="af7"/>
          <w:rFonts w:eastAsia="Guttman Hodes"/>
          <w:rtl/>
        </w:rPr>
        <w:t>קד)</w:t>
      </w:r>
      <w:r w:rsidRPr="00497F41">
        <w:rPr>
          <w:rStyle w:val="af7"/>
          <w:rFonts w:eastAsia="Guttman Hodes"/>
          <w:rtl/>
        </w:rPr>
        <w:fldChar w:fldCharType="end"/>
      </w:r>
      <w:r>
        <w:rPr>
          <w:rFonts w:hint="cs"/>
          <w:rtl/>
        </w:rPr>
        <w:t xml:space="preserve">, וכתבו </w:t>
      </w:r>
      <w:r w:rsidRPr="000916D8">
        <w:rPr>
          <w:rStyle w:val="af9"/>
          <w:rFonts w:hint="cs"/>
          <w:rtl/>
        </w:rPr>
        <w:t>הכל בו</w:t>
      </w:r>
      <w:r>
        <w:rPr>
          <w:rFonts w:hint="cs"/>
          <w:rtl/>
        </w:rPr>
        <w:t xml:space="preserve"> </w:t>
      </w:r>
      <w:r w:rsidRPr="001E40A3">
        <w:rPr>
          <w:rStyle w:val="af9"/>
          <w:rFonts w:hint="cs"/>
          <w:rtl/>
        </w:rPr>
        <w:t>והארחות חיים</w:t>
      </w:r>
      <w:r>
        <w:rPr>
          <w:rFonts w:hint="cs"/>
          <w:rtl/>
        </w:rPr>
        <w:t xml:space="preserve"> </w:t>
      </w:r>
      <w:r w:rsidRPr="00A13D70">
        <w:rPr>
          <w:rStyle w:val="af9"/>
          <w:rFonts w:hint="cs"/>
          <w:rtl/>
        </w:rPr>
        <w:t>דיש חולקין</w:t>
      </w:r>
      <w:r>
        <w:rPr>
          <w:rFonts w:hint="cs"/>
          <w:rtl/>
        </w:rPr>
        <w:t xml:space="preserve"> על </w:t>
      </w:r>
      <w:r w:rsidRPr="000916D8">
        <w:rPr>
          <w:rStyle w:val="af9"/>
          <w:rFonts w:hint="cs"/>
          <w:rtl/>
        </w:rPr>
        <w:t>הרמב"ם</w:t>
      </w:r>
      <w:r>
        <w:rPr>
          <w:rFonts w:hint="cs"/>
          <w:rtl/>
        </w:rPr>
        <w:t xml:space="preserve"> ומתירים בנולד לפני שנשחטה אמו, וכתב </w:t>
      </w:r>
      <w:r w:rsidRPr="00497F41">
        <w:rPr>
          <w:rStyle w:val="af9"/>
          <w:rFonts w:hint="cs"/>
          <w:rtl/>
        </w:rPr>
        <w:t>הכס"מ</w:t>
      </w:r>
      <w:r>
        <w:rPr>
          <w:rFonts w:hint="cs"/>
          <w:rtl/>
        </w:rPr>
        <w:t xml:space="preserve"> </w:t>
      </w:r>
      <w:r w:rsidRPr="00497F41">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Ref535696818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קה)</w:t>
      </w:r>
      <w:r>
        <w:rPr>
          <w:rStyle w:val="af7"/>
          <w:rFonts w:eastAsia="Guttman Hodes"/>
          <w:rtl/>
        </w:rPr>
        <w:fldChar w:fldCharType="end"/>
      </w:r>
      <w:r>
        <w:rPr>
          <w:rStyle w:val="af7"/>
          <w:rFonts w:eastAsia="Guttman Hodes" w:hint="cs"/>
          <w:rtl/>
        </w:rPr>
        <w:t xml:space="preserve"> </w:t>
      </w:r>
      <w:r>
        <w:rPr>
          <w:rFonts w:hint="cs"/>
          <w:rtl/>
        </w:rPr>
        <w:t xml:space="preserve">דמשמע מדברי </w:t>
      </w:r>
      <w:r w:rsidRPr="00497F41">
        <w:rPr>
          <w:rStyle w:val="af9"/>
          <w:rFonts w:hint="cs"/>
          <w:rtl/>
        </w:rPr>
        <w:t>הכל בו</w:t>
      </w:r>
      <w:r>
        <w:rPr>
          <w:rFonts w:hint="cs"/>
          <w:rtl/>
        </w:rPr>
        <w:t xml:space="preserve"> דלדעת </w:t>
      </w:r>
      <w:r w:rsidRPr="00497F41">
        <w:rPr>
          <w:rStyle w:val="af9"/>
          <w:rFonts w:hint="cs"/>
          <w:rtl/>
        </w:rPr>
        <w:t>הרמב"ם</w:t>
      </w:r>
      <w:r>
        <w:rPr>
          <w:rFonts w:hint="cs"/>
          <w:rtl/>
        </w:rPr>
        <w:t xml:space="preserve"> איסור אבר היוצא, הוא אף בנולד העובר לפני שחיטת אמו, ועי' במה שדחה </w:t>
      </w:r>
      <w:r w:rsidRPr="00497F41">
        <w:rPr>
          <w:rStyle w:val="af9"/>
          <w:rFonts w:hint="cs"/>
          <w:rtl/>
        </w:rPr>
        <w:t>הכס"מ</w:t>
      </w:r>
      <w:r>
        <w:rPr>
          <w:rFonts w:hint="cs"/>
          <w:rtl/>
        </w:rPr>
        <w:t xml:space="preserve"> </w:t>
      </w:r>
      <w:r w:rsidRPr="00497F41">
        <w:rPr>
          <w:rStyle w:val="af7"/>
          <w:rFonts w:eastAsia="Guttman Hodes" w:hint="cs"/>
          <w:rtl/>
        </w:rPr>
        <w:t xml:space="preserve">(עי' אות </w:t>
      </w:r>
      <w:r w:rsidRPr="00497F41">
        <w:rPr>
          <w:rStyle w:val="af7"/>
          <w:rFonts w:eastAsia="Guttman Hodes"/>
          <w:rtl/>
        </w:rPr>
        <w:fldChar w:fldCharType="begin"/>
      </w:r>
      <w:r w:rsidRPr="00497F41">
        <w:rPr>
          <w:rStyle w:val="af7"/>
          <w:rFonts w:eastAsia="Guttman Hodes"/>
          <w:rtl/>
        </w:rPr>
        <w:instrText xml:space="preserve"> </w:instrText>
      </w:r>
      <w:r w:rsidRPr="00497F41">
        <w:rPr>
          <w:rStyle w:val="af7"/>
          <w:rFonts w:eastAsia="Guttman Hodes" w:hint="cs"/>
        </w:rPr>
        <w:instrText>REF</w:instrText>
      </w:r>
      <w:r w:rsidRPr="00497F41">
        <w:rPr>
          <w:rStyle w:val="af7"/>
          <w:rFonts w:eastAsia="Guttman Hodes" w:hint="cs"/>
          <w:rtl/>
        </w:rPr>
        <w:instrText xml:space="preserve"> _</w:instrText>
      </w:r>
      <w:r w:rsidRPr="00497F41">
        <w:rPr>
          <w:rStyle w:val="af7"/>
          <w:rFonts w:eastAsia="Guttman Hodes" w:hint="cs"/>
        </w:rPr>
        <w:instrText>Ref535168119 \r \h</w:instrText>
      </w:r>
      <w:r w:rsidRPr="00497F41">
        <w:rPr>
          <w:rStyle w:val="af7"/>
          <w:rFonts w:eastAsia="Guttman Hodes"/>
          <w:rtl/>
        </w:rPr>
        <w:instrText xml:space="preserve"> </w:instrText>
      </w:r>
      <w:r w:rsidRPr="00497F41">
        <w:rPr>
          <w:rStyle w:val="af7"/>
          <w:rFonts w:eastAsia="Guttman Hodes"/>
          <w:rtl/>
        </w:rPr>
      </w:r>
      <w:r w:rsidRPr="00497F41">
        <w:rPr>
          <w:rStyle w:val="af7"/>
          <w:rFonts w:eastAsia="Guttman Hodes"/>
          <w:rtl/>
        </w:rPr>
        <w:fldChar w:fldCharType="separate"/>
      </w:r>
      <w:r w:rsidR="00345400">
        <w:rPr>
          <w:rStyle w:val="af7"/>
          <w:rFonts w:eastAsia="Guttman Hodes"/>
          <w:cs/>
        </w:rPr>
        <w:t>‎</w:t>
      </w:r>
      <w:r w:rsidR="00345400">
        <w:rPr>
          <w:rStyle w:val="af7"/>
          <w:rFonts w:eastAsia="Guttman Hodes"/>
          <w:rtl/>
        </w:rPr>
        <w:t>קו)</w:t>
      </w:r>
      <w:r w:rsidRPr="00497F41">
        <w:rPr>
          <w:rStyle w:val="af7"/>
          <w:rFonts w:eastAsia="Guttman Hodes"/>
          <w:rtl/>
        </w:rPr>
        <w:fldChar w:fldCharType="end"/>
      </w:r>
      <w:r>
        <w:rPr>
          <w:rFonts w:hint="cs"/>
          <w:rtl/>
        </w:rPr>
        <w:t xml:space="preserve"> דאי"ז כוונת </w:t>
      </w:r>
      <w:r w:rsidRPr="00497F41">
        <w:rPr>
          <w:rStyle w:val="af9"/>
          <w:rFonts w:hint="cs"/>
          <w:rtl/>
        </w:rPr>
        <w:t>הרמב"ם</w:t>
      </w:r>
      <w:r>
        <w:rPr>
          <w:rFonts w:hint="cs"/>
          <w:rtl/>
        </w:rPr>
        <w:t xml:space="preserve">, אבל </w:t>
      </w:r>
      <w:r w:rsidRPr="003471EF">
        <w:rPr>
          <w:rStyle w:val="af9"/>
          <w:rtl/>
        </w:rPr>
        <w:t>הפרי תואר [לבעל האוה"ח]</w:t>
      </w:r>
      <w:r w:rsidRPr="003471EF">
        <w:rPr>
          <w:rStyle w:val="af9"/>
          <w:rFonts w:hint="cs"/>
          <w:rtl/>
        </w:rPr>
        <w:t xml:space="preserve"> </w:t>
      </w:r>
      <w:r w:rsidRPr="00497F41">
        <w:rPr>
          <w:rStyle w:val="af7"/>
          <w:rFonts w:eastAsia="Guttman Hodes" w:hint="cs"/>
          <w:rtl/>
        </w:rPr>
        <w:t xml:space="preserve">(עי' אות </w:t>
      </w:r>
      <w:r w:rsidRPr="00497F41">
        <w:rPr>
          <w:rStyle w:val="af7"/>
          <w:rFonts w:eastAsia="Guttman Hodes"/>
          <w:rtl/>
        </w:rPr>
        <w:fldChar w:fldCharType="begin"/>
      </w:r>
      <w:r w:rsidRPr="00497F41">
        <w:rPr>
          <w:rStyle w:val="af7"/>
          <w:rFonts w:eastAsia="Guttman Hodes"/>
          <w:rtl/>
        </w:rPr>
        <w:instrText xml:space="preserve"> </w:instrText>
      </w:r>
      <w:r w:rsidRPr="00497F41">
        <w:rPr>
          <w:rStyle w:val="af7"/>
          <w:rFonts w:eastAsia="Guttman Hodes" w:hint="cs"/>
        </w:rPr>
        <w:instrText>REF</w:instrText>
      </w:r>
      <w:r w:rsidRPr="00497F41">
        <w:rPr>
          <w:rStyle w:val="af7"/>
          <w:rFonts w:eastAsia="Guttman Hodes" w:hint="cs"/>
          <w:rtl/>
        </w:rPr>
        <w:instrText xml:space="preserve"> _</w:instrText>
      </w:r>
      <w:r w:rsidRPr="00497F41">
        <w:rPr>
          <w:rStyle w:val="af7"/>
          <w:rFonts w:eastAsia="Guttman Hodes" w:hint="cs"/>
        </w:rPr>
        <w:instrText>Ref535509928 \r \h</w:instrText>
      </w:r>
      <w:r w:rsidRPr="00497F41">
        <w:rPr>
          <w:rStyle w:val="af7"/>
          <w:rFonts w:eastAsia="Guttman Hodes"/>
          <w:rtl/>
        </w:rPr>
        <w:instrText xml:space="preserve"> </w:instrText>
      </w:r>
      <w:r w:rsidRPr="00497F41">
        <w:rPr>
          <w:rStyle w:val="af7"/>
          <w:rFonts w:eastAsia="Guttman Hodes"/>
          <w:rtl/>
        </w:rPr>
      </w:r>
      <w:r w:rsidRPr="00497F41">
        <w:rPr>
          <w:rStyle w:val="af7"/>
          <w:rFonts w:eastAsia="Guttman Hodes"/>
          <w:rtl/>
        </w:rPr>
        <w:fldChar w:fldCharType="separate"/>
      </w:r>
      <w:r w:rsidR="00345400">
        <w:rPr>
          <w:rStyle w:val="af7"/>
          <w:rFonts w:eastAsia="Guttman Hodes"/>
          <w:cs/>
        </w:rPr>
        <w:t>‎</w:t>
      </w:r>
      <w:r w:rsidR="00345400">
        <w:rPr>
          <w:rStyle w:val="af7"/>
          <w:rFonts w:eastAsia="Guttman Hodes"/>
          <w:rtl/>
        </w:rPr>
        <w:t>קי)</w:t>
      </w:r>
      <w:r w:rsidRPr="00497F41">
        <w:rPr>
          <w:rStyle w:val="af7"/>
          <w:rFonts w:eastAsia="Guttman Hodes"/>
          <w:rtl/>
        </w:rPr>
        <w:fldChar w:fldCharType="end"/>
      </w:r>
      <w:r>
        <w:rPr>
          <w:rFonts w:hint="cs"/>
          <w:rtl/>
        </w:rPr>
        <w:t xml:space="preserve"> ביאר בדעת </w:t>
      </w:r>
      <w:r w:rsidRPr="00497F41">
        <w:rPr>
          <w:rStyle w:val="af9"/>
          <w:rFonts w:hint="cs"/>
          <w:rtl/>
        </w:rPr>
        <w:t>הרמב"ם</w:t>
      </w:r>
      <w:r>
        <w:rPr>
          <w:rFonts w:hint="cs"/>
          <w:rtl/>
        </w:rPr>
        <w:t xml:space="preserve"> דאוסר, וכמבואר בדברי </w:t>
      </w:r>
      <w:r w:rsidRPr="00497F41">
        <w:rPr>
          <w:rStyle w:val="af9"/>
          <w:rFonts w:hint="cs"/>
          <w:rtl/>
        </w:rPr>
        <w:t>הכל בו</w:t>
      </w:r>
      <w:r>
        <w:rPr>
          <w:rFonts w:hint="cs"/>
          <w:rtl/>
        </w:rPr>
        <w:t>.</w:t>
      </w:r>
    </w:p>
    <w:p w14:paraId="59544614" w14:textId="77777777" w:rsidR="003D504D" w:rsidRPr="001939C9" w:rsidRDefault="003D504D" w:rsidP="003D504D">
      <w:pPr>
        <w:pStyle w:val="afe"/>
        <w:rPr>
          <w:rtl/>
        </w:rPr>
      </w:pPr>
      <w:bookmarkStart w:id="15798" w:name="_Toc535526227"/>
      <w:bookmarkStart w:id="15799" w:name="_Toc535574921"/>
      <w:bookmarkStart w:id="15800" w:name="_Toc535702379"/>
      <w:bookmarkStart w:id="15801" w:name="_Toc535750525"/>
      <w:bookmarkStart w:id="15802" w:name="_Toc19436006"/>
      <w:bookmarkStart w:id="15803" w:name="_Toc20081216"/>
      <w:r>
        <w:rPr>
          <w:rFonts w:hint="cs"/>
          <w:rtl/>
        </w:rPr>
        <w:t>בגדר איסור מקום חתך</w:t>
      </w:r>
      <w:bookmarkEnd w:id="15798"/>
      <w:bookmarkEnd w:id="15799"/>
      <w:bookmarkEnd w:id="15800"/>
      <w:bookmarkEnd w:id="15801"/>
      <w:bookmarkEnd w:id="15802"/>
      <w:bookmarkEnd w:id="15803"/>
    </w:p>
    <w:p w14:paraId="11115D70" w14:textId="77777777" w:rsidR="003D504D" w:rsidRDefault="003D504D" w:rsidP="00BF39B2">
      <w:pPr>
        <w:pStyle w:val="1"/>
        <w:rPr>
          <w:rtl/>
        </w:rPr>
      </w:pPr>
      <w:bookmarkStart w:id="15804" w:name="_Toc535526228"/>
      <w:bookmarkStart w:id="15805" w:name="_Toc535574922"/>
      <w:bookmarkStart w:id="15806" w:name="_Toc535702380"/>
      <w:bookmarkStart w:id="15807" w:name="_Toc535750526"/>
      <w:bookmarkStart w:id="15808" w:name="_Toc19391079"/>
      <w:bookmarkStart w:id="15809" w:name="_Toc19394576"/>
      <w:r>
        <w:rPr>
          <w:rFonts w:hint="cs"/>
          <w:rtl/>
        </w:rPr>
        <w:t xml:space="preserve">בדברי רש"י דמקום החתך אינו בכלל היתר </w:t>
      </w:r>
      <w:bookmarkEnd w:id="15804"/>
      <w:bookmarkEnd w:id="15805"/>
      <w:bookmarkEnd w:id="15806"/>
      <w:bookmarkEnd w:id="15807"/>
      <w:r w:rsidRPr="00FA4775">
        <w:rPr>
          <w:rtl/>
        </w:rPr>
        <w:t>"בהמה בבהמה"</w:t>
      </w:r>
      <w:bookmarkEnd w:id="15808"/>
      <w:bookmarkEnd w:id="15809"/>
    </w:p>
    <w:p w14:paraId="623A41F1" w14:textId="77777777" w:rsidR="003D504D" w:rsidRDefault="003D504D" w:rsidP="003D504D">
      <w:pPr>
        <w:pStyle w:val="a3"/>
        <w:rPr>
          <w:rtl/>
        </w:rPr>
      </w:pPr>
      <w:bookmarkStart w:id="15810" w:name="_Toc535526229"/>
      <w:bookmarkStart w:id="15811" w:name="_Toc535574923"/>
      <w:bookmarkStart w:id="15812" w:name="_Toc535702381"/>
      <w:bookmarkStart w:id="15813" w:name="_Toc535750527"/>
      <w:bookmarkStart w:id="15814" w:name="_Toc19391080"/>
      <w:bookmarkStart w:id="15815" w:name="_Toc19394577"/>
      <w:r>
        <w:rPr>
          <w:rFonts w:hint="cs"/>
          <w:rtl/>
        </w:rPr>
        <w:t>דברי רש"י דבמקום החתך אין איסור בשר בשדה טריפה ואין היתר בהמה בבהמה</w:t>
      </w:r>
      <w:bookmarkEnd w:id="15810"/>
      <w:bookmarkEnd w:id="15811"/>
      <w:bookmarkEnd w:id="15812"/>
      <w:bookmarkEnd w:id="15813"/>
      <w:bookmarkEnd w:id="15814"/>
      <w:bookmarkEnd w:id="15815"/>
    </w:p>
    <w:p w14:paraId="7000937D" w14:textId="77777777" w:rsidR="003D504D" w:rsidRPr="00BC057C" w:rsidRDefault="003D504D" w:rsidP="00223668">
      <w:pPr>
        <w:pStyle w:val="a0"/>
        <w:rPr>
          <w:rStyle w:val="afb"/>
          <w:rtl/>
        </w:rPr>
      </w:pPr>
      <w:bookmarkStart w:id="15816" w:name="_Ref535353143"/>
      <w:r>
        <w:rPr>
          <w:rFonts w:hint="cs"/>
          <w:rtl/>
        </w:rPr>
        <w:t xml:space="preserve">כתב </w:t>
      </w:r>
      <w:r w:rsidRPr="00F506D8">
        <w:rPr>
          <w:rStyle w:val="af9"/>
          <w:rFonts w:hint="cs"/>
          <w:rtl/>
        </w:rPr>
        <w:t>רש"י</w:t>
      </w:r>
      <w:r>
        <w:rPr>
          <w:rFonts w:hint="cs"/>
          <w:rtl/>
        </w:rPr>
        <w:t xml:space="preserve"> </w:t>
      </w:r>
      <w:r w:rsidRPr="00F506D8">
        <w:rPr>
          <w:rStyle w:val="af7"/>
          <w:rFonts w:eastAsia="Guttman Hodes" w:hint="cs"/>
          <w:rtl/>
        </w:rPr>
        <w:t>(ד"ה לעולם)</w:t>
      </w:r>
      <w:r>
        <w:rPr>
          <w:rFonts w:hint="cs"/>
          <w:rtl/>
        </w:rPr>
        <w:t xml:space="preserve"> דאבר היוצא שלא החזירו מקום החתך אסור, דכיון שעומד על שפת הרחם לא קרינא ביה </w:t>
      </w:r>
      <w:r w:rsidRPr="00FA4775">
        <w:rPr>
          <w:rtl/>
        </w:rPr>
        <w:t>"בהמה בבהמה"</w:t>
      </w:r>
      <w:r w:rsidRPr="00FA4775">
        <w:rPr>
          <w:rFonts w:hint="cs"/>
          <w:rtl/>
        </w:rPr>
        <w:t xml:space="preserve"> </w:t>
      </w:r>
      <w:r>
        <w:rPr>
          <w:rFonts w:hint="cs"/>
          <w:rtl/>
        </w:rPr>
        <w:t xml:space="preserve">שאינו בתוכה, ובאבר היוצא שהחזירו אין איסור במקום חתך, דקרינן ביה </w:t>
      </w:r>
      <w:r w:rsidRPr="00FA4775">
        <w:rPr>
          <w:rtl/>
        </w:rPr>
        <w:t>"בהמה בבהמה"</w:t>
      </w:r>
      <w:r>
        <w:rPr>
          <w:rFonts w:hint="cs"/>
          <w:rtl/>
        </w:rPr>
        <w:t xml:space="preserve">, ואין בו איסור "בשר בשדה טריפה" דלא יצא חוץ למחיצתו, ועי' בדברי </w:t>
      </w:r>
      <w:r w:rsidRPr="0027691E">
        <w:rPr>
          <w:rStyle w:val="af9"/>
          <w:rFonts w:hint="cs"/>
          <w:rtl/>
        </w:rPr>
        <w:t>השער"י</w:t>
      </w:r>
      <w:r>
        <w:rPr>
          <w:rFonts w:hint="cs"/>
          <w:rtl/>
        </w:rPr>
        <w:t xml:space="preserve"> </w:t>
      </w:r>
      <w:r w:rsidRPr="0027691E">
        <w:rPr>
          <w:rStyle w:val="af7"/>
          <w:rFonts w:eastAsia="Guttman Hodes" w:hint="cs"/>
          <w:rtl/>
        </w:rPr>
        <w:t xml:space="preserve">(עי' אות </w:t>
      </w:r>
      <w:r w:rsidRPr="0027691E">
        <w:rPr>
          <w:rStyle w:val="af7"/>
          <w:rFonts w:eastAsia="Guttman Hodes"/>
          <w:rtl/>
        </w:rPr>
        <w:fldChar w:fldCharType="begin"/>
      </w:r>
      <w:r w:rsidRPr="0027691E">
        <w:rPr>
          <w:rStyle w:val="af7"/>
          <w:rFonts w:eastAsia="Guttman Hodes"/>
          <w:rtl/>
        </w:rPr>
        <w:instrText xml:space="preserve"> </w:instrText>
      </w:r>
      <w:r w:rsidRPr="0027691E">
        <w:rPr>
          <w:rStyle w:val="af7"/>
          <w:rFonts w:eastAsia="Guttman Hodes" w:hint="cs"/>
        </w:rPr>
        <w:instrText>REF</w:instrText>
      </w:r>
      <w:r w:rsidRPr="0027691E">
        <w:rPr>
          <w:rStyle w:val="af7"/>
          <w:rFonts w:eastAsia="Guttman Hodes" w:hint="cs"/>
          <w:rtl/>
        </w:rPr>
        <w:instrText xml:space="preserve"> _</w:instrText>
      </w:r>
      <w:r w:rsidRPr="0027691E">
        <w:rPr>
          <w:rStyle w:val="af7"/>
          <w:rFonts w:eastAsia="Guttman Hodes" w:hint="cs"/>
        </w:rPr>
        <w:instrText>Ref535315708 \r \h</w:instrText>
      </w:r>
      <w:r w:rsidRPr="0027691E">
        <w:rPr>
          <w:rStyle w:val="af7"/>
          <w:rFonts w:eastAsia="Guttman Hodes"/>
          <w:rtl/>
        </w:rPr>
        <w:instrText xml:space="preserve"> </w:instrText>
      </w:r>
      <w:r w:rsidRPr="0027691E">
        <w:rPr>
          <w:rStyle w:val="af7"/>
          <w:rFonts w:eastAsia="Guttman Hodes"/>
          <w:rtl/>
        </w:rPr>
      </w:r>
      <w:r w:rsidRPr="0027691E">
        <w:rPr>
          <w:rStyle w:val="af7"/>
          <w:rFonts w:eastAsia="Guttman Hodes"/>
          <w:rtl/>
        </w:rPr>
        <w:fldChar w:fldCharType="separate"/>
      </w:r>
      <w:r w:rsidR="00345400">
        <w:rPr>
          <w:rStyle w:val="af7"/>
          <w:rFonts w:eastAsia="Guttman Hodes"/>
          <w:cs/>
        </w:rPr>
        <w:t>‎</w:t>
      </w:r>
      <w:r w:rsidR="00345400">
        <w:rPr>
          <w:rStyle w:val="af7"/>
          <w:rFonts w:eastAsia="Guttman Hodes"/>
          <w:rtl/>
        </w:rPr>
        <w:t>עב)</w:t>
      </w:r>
      <w:r w:rsidRPr="0027691E">
        <w:rPr>
          <w:rStyle w:val="af7"/>
          <w:rFonts w:eastAsia="Guttman Hodes"/>
          <w:rtl/>
        </w:rPr>
        <w:fldChar w:fldCharType="end"/>
      </w:r>
      <w:r>
        <w:rPr>
          <w:rFonts w:hint="cs"/>
          <w:rtl/>
        </w:rPr>
        <w:t>.</w:t>
      </w:r>
      <w:bookmarkEnd w:id="15816"/>
      <w:r w:rsidRPr="00BC057C">
        <w:rPr>
          <w:rFonts w:hint="cs"/>
          <w:rtl/>
        </w:rPr>
        <w:t xml:space="preserve"> </w:t>
      </w:r>
      <w:r w:rsidRPr="00BC057C">
        <w:rPr>
          <w:rStyle w:val="afb"/>
          <w:rFonts w:hint="cs"/>
          <w:rtl/>
        </w:rPr>
        <w:t xml:space="preserve">[ועי' </w:t>
      </w:r>
      <w:r w:rsidRPr="00BC057C">
        <w:rPr>
          <w:rStyle w:val="affa"/>
          <w:rFonts w:hint="cs"/>
          <w:rtl/>
        </w:rPr>
        <w:t>בט"ז</w:t>
      </w:r>
      <w:r w:rsidRPr="00BC057C">
        <w:rPr>
          <w:rStyle w:val="afb"/>
          <w:rFonts w:hint="cs"/>
          <w:rtl/>
        </w:rPr>
        <w:t xml:space="preserve"> </w:t>
      </w:r>
      <w:r w:rsidRPr="00BC057C">
        <w:rPr>
          <w:rStyle w:val="aff6"/>
          <w:rFonts w:hint="cs"/>
          <w:rtl/>
        </w:rPr>
        <w:t>(סי' י"ד סק"ב)</w:t>
      </w:r>
      <w:r w:rsidRPr="00BC057C">
        <w:rPr>
          <w:rStyle w:val="afb"/>
          <w:rFonts w:hint="cs"/>
          <w:rtl/>
        </w:rPr>
        <w:t xml:space="preserve"> דביאר דהאיסור ביוצא חוץ למחיצתו, היינו דמחיצת הרחם הוא מחיצת העובר להתירו בשחיטת אמו, וכל שיצא מחוץ למחיצתו דהיינו לאויר העולם, אין לו היתר בשחיטת אמו, והוסיף </w:t>
      </w:r>
      <w:r w:rsidRPr="00BC057C">
        <w:rPr>
          <w:rStyle w:val="affa"/>
          <w:rFonts w:hint="cs"/>
          <w:rtl/>
        </w:rPr>
        <w:t>הפרמ"ג</w:t>
      </w:r>
      <w:r w:rsidRPr="00BC057C">
        <w:rPr>
          <w:rStyle w:val="afb"/>
          <w:rFonts w:hint="cs"/>
          <w:rtl/>
        </w:rPr>
        <w:t xml:space="preserve"> </w:t>
      </w:r>
      <w:r w:rsidRPr="00BC057C">
        <w:rPr>
          <w:rStyle w:val="aff6"/>
          <w:rFonts w:hint="cs"/>
          <w:rtl/>
        </w:rPr>
        <w:t>(סי' י"ד משב"ז סק"ב)</w:t>
      </w:r>
      <w:r w:rsidRPr="00BC057C">
        <w:rPr>
          <w:rStyle w:val="afb"/>
          <w:rFonts w:hint="cs"/>
          <w:rtl/>
        </w:rPr>
        <w:t xml:space="preserve"> דאף שחיטת עצמו אינה מתירתו דסימניו כשחוטים].</w:t>
      </w:r>
    </w:p>
    <w:p w14:paraId="6127138D" w14:textId="77777777" w:rsidR="003D504D" w:rsidRPr="00A933E7" w:rsidRDefault="003D504D" w:rsidP="003D504D">
      <w:pPr>
        <w:pStyle w:val="a3"/>
        <w:rPr>
          <w:rtl/>
        </w:rPr>
      </w:pPr>
      <w:bookmarkStart w:id="15817" w:name="_Toc535526230"/>
      <w:bookmarkStart w:id="15818" w:name="_Toc535574924"/>
      <w:bookmarkStart w:id="15819" w:name="_Toc535702382"/>
      <w:bookmarkStart w:id="15820" w:name="_Toc535750528"/>
      <w:bookmarkStart w:id="15821" w:name="_Toc19391081"/>
      <w:bookmarkStart w:id="15822" w:name="_Toc19394578"/>
      <w:r>
        <w:rPr>
          <w:rFonts w:hint="cs"/>
          <w:rtl/>
        </w:rPr>
        <w:t>ביאור הר"ן ברש"י דמקום החתך לא יצא חוץ למחיצה אך בלא החזירו אסור דאינו בתוך הבהמה</w:t>
      </w:r>
      <w:bookmarkEnd w:id="15817"/>
      <w:bookmarkEnd w:id="15818"/>
      <w:bookmarkEnd w:id="15819"/>
      <w:bookmarkEnd w:id="15820"/>
      <w:bookmarkEnd w:id="15821"/>
      <w:bookmarkEnd w:id="15822"/>
    </w:p>
    <w:p w14:paraId="3325ECDA" w14:textId="77777777" w:rsidR="003D504D" w:rsidRDefault="003D504D" w:rsidP="00223668">
      <w:pPr>
        <w:pStyle w:val="a0"/>
        <w:rPr>
          <w:rtl/>
        </w:rPr>
      </w:pPr>
      <w:r>
        <w:rPr>
          <w:rFonts w:hint="cs"/>
          <w:rtl/>
        </w:rPr>
        <w:t xml:space="preserve">וביאר </w:t>
      </w:r>
      <w:r w:rsidRPr="00F506D8">
        <w:rPr>
          <w:rStyle w:val="af9"/>
          <w:rFonts w:hint="cs"/>
          <w:rtl/>
        </w:rPr>
        <w:t>הר"ן בחי'</w:t>
      </w:r>
      <w:r>
        <w:rPr>
          <w:rFonts w:hint="cs"/>
          <w:rtl/>
        </w:rPr>
        <w:t xml:space="preserve"> </w:t>
      </w:r>
      <w:r w:rsidRPr="00F506D8">
        <w:rPr>
          <w:rStyle w:val="af7"/>
          <w:rFonts w:eastAsia="Guttman Hodes" w:hint="cs"/>
          <w:rtl/>
        </w:rPr>
        <w:t>(ד"ה לא נצרכה)</w:t>
      </w:r>
      <w:r>
        <w:rPr>
          <w:rFonts w:hint="cs"/>
          <w:rtl/>
        </w:rPr>
        <w:t xml:space="preserve"> את דברי </w:t>
      </w:r>
      <w:r w:rsidRPr="00F506D8">
        <w:rPr>
          <w:rStyle w:val="af9"/>
          <w:rFonts w:hint="cs"/>
          <w:rtl/>
        </w:rPr>
        <w:t>רש"י</w:t>
      </w:r>
      <w:r>
        <w:rPr>
          <w:rFonts w:hint="cs"/>
          <w:rtl/>
        </w:rPr>
        <w:t xml:space="preserve"> דבמקום החתך אינו כאבר היוצא שאין לו היתר, כיון שלא יצא חוץ למחיצתו ואין בו איסור "בשר בשדה טריפה", אך מ"מ כל שלא החזיר את האבר מקום החתך אסור, דכיון שאין הבהמה מקיפה את מקום החתך מכל הצדדים, אינו בכלל </w:t>
      </w:r>
      <w:r>
        <w:rPr>
          <w:rtl/>
        </w:rPr>
        <w:t>"</w:t>
      </w:r>
      <w:r>
        <w:rPr>
          <w:rFonts w:hint="cs"/>
          <w:rtl/>
        </w:rPr>
        <w:t>כל בבהמה</w:t>
      </w:r>
      <w:r>
        <w:rPr>
          <w:rtl/>
        </w:rPr>
        <w:t>"</w:t>
      </w:r>
      <w:r>
        <w:rPr>
          <w:rFonts w:hint="cs"/>
          <w:rtl/>
        </w:rPr>
        <w:t xml:space="preserve">, ובהחזירו מקום החתך מותר דעכשיו שהוא בתוך הבהמה, קרינן ביה </w:t>
      </w:r>
      <w:r w:rsidRPr="00FA4775">
        <w:rPr>
          <w:rtl/>
        </w:rPr>
        <w:t>"בהמה בבהמה"</w:t>
      </w:r>
      <w:r>
        <w:rPr>
          <w:rFonts w:hint="cs"/>
          <w:rtl/>
        </w:rPr>
        <w:t>, משא"כ באבר עצמו דלעולם אסור, כיון שיצא חוץ למחיצתו והוא כטריפה שאין לה היתר.</w:t>
      </w:r>
    </w:p>
    <w:p w14:paraId="50FC3EDC" w14:textId="77777777" w:rsidR="003D504D" w:rsidRDefault="003D504D" w:rsidP="003D504D">
      <w:pPr>
        <w:pStyle w:val="a3"/>
        <w:rPr>
          <w:rtl/>
        </w:rPr>
      </w:pPr>
      <w:bookmarkStart w:id="15823" w:name="_Toc535526231"/>
      <w:bookmarkStart w:id="15824" w:name="_Toc535574925"/>
      <w:bookmarkStart w:id="15825" w:name="_Toc535702383"/>
      <w:bookmarkStart w:id="15826" w:name="_Toc535750529"/>
      <w:bookmarkStart w:id="15827" w:name="_Toc19391082"/>
      <w:bookmarkStart w:id="15828" w:name="_Toc19394579"/>
      <w:r>
        <w:rPr>
          <w:rFonts w:hint="cs"/>
          <w:rtl/>
        </w:rPr>
        <w:t xml:space="preserve">דברי הרשב"א דמקום החתך אינו בכלל היתר </w:t>
      </w:r>
      <w:r>
        <w:rPr>
          <w:rtl/>
        </w:rPr>
        <w:t>"</w:t>
      </w:r>
      <w:r>
        <w:rPr>
          <w:rFonts w:hint="cs"/>
          <w:rtl/>
        </w:rPr>
        <w:t>כל בבהמה</w:t>
      </w:r>
      <w:r>
        <w:rPr>
          <w:rtl/>
        </w:rPr>
        <w:t>"</w:t>
      </w:r>
      <w:r>
        <w:rPr>
          <w:rFonts w:hint="cs"/>
          <w:rtl/>
        </w:rPr>
        <w:t xml:space="preserve"> כיון שאינו ממש בפנים</w:t>
      </w:r>
      <w:bookmarkEnd w:id="15823"/>
      <w:bookmarkEnd w:id="15824"/>
      <w:bookmarkEnd w:id="15825"/>
      <w:bookmarkEnd w:id="15826"/>
      <w:bookmarkEnd w:id="15827"/>
      <w:bookmarkEnd w:id="15828"/>
    </w:p>
    <w:p w14:paraId="78046BB0" w14:textId="77777777" w:rsidR="003D504D" w:rsidRDefault="003D504D" w:rsidP="00223668">
      <w:pPr>
        <w:pStyle w:val="a0"/>
        <w:rPr>
          <w:rtl/>
        </w:rPr>
      </w:pPr>
      <w:bookmarkStart w:id="15829" w:name="_Ref535165651"/>
      <w:r>
        <w:rPr>
          <w:rFonts w:hint="cs"/>
          <w:rtl/>
        </w:rPr>
        <w:t xml:space="preserve">וכ"כ </w:t>
      </w:r>
      <w:r w:rsidRPr="008058D6">
        <w:rPr>
          <w:rStyle w:val="af9"/>
          <w:rFonts w:hint="cs"/>
          <w:rtl/>
        </w:rPr>
        <w:t>הרשב"א לקמן</w:t>
      </w:r>
      <w:r>
        <w:rPr>
          <w:rFonts w:hint="cs"/>
          <w:rtl/>
        </w:rPr>
        <w:t xml:space="preserve"> </w:t>
      </w:r>
      <w:r w:rsidRPr="008058D6">
        <w:rPr>
          <w:rStyle w:val="af7"/>
          <w:rFonts w:eastAsia="Guttman Hodes" w:hint="cs"/>
          <w:rtl/>
        </w:rPr>
        <w:t xml:space="preserve">(עד. ד"ה הוציא ידו) </w:t>
      </w:r>
      <w:r>
        <w:rPr>
          <w:rFonts w:hint="cs"/>
          <w:rtl/>
        </w:rPr>
        <w:t xml:space="preserve">דבאבר היוצא שלא החזירו, האבר אסור מדין "בשר בשדה טריפה", ומקום החתך אינו בכלל איסור "בשר בשדה טריפה", אך מ"מ אינו בכלל היתר </w:t>
      </w:r>
      <w:r>
        <w:rPr>
          <w:rtl/>
        </w:rPr>
        <w:t>"</w:t>
      </w:r>
      <w:r>
        <w:rPr>
          <w:rFonts w:hint="cs"/>
          <w:rtl/>
        </w:rPr>
        <w:t>כל בבהמה</w:t>
      </w:r>
      <w:r>
        <w:rPr>
          <w:rtl/>
        </w:rPr>
        <w:t>"</w:t>
      </w:r>
      <w:r>
        <w:rPr>
          <w:rFonts w:hint="cs"/>
          <w:rtl/>
        </w:rPr>
        <w:t>, כיון שאינו בפנים ממש.</w:t>
      </w:r>
      <w:bookmarkEnd w:id="15829"/>
    </w:p>
    <w:p w14:paraId="5CA4431C" w14:textId="77777777" w:rsidR="003D504D" w:rsidRPr="00B13441" w:rsidRDefault="003D504D" w:rsidP="003D504D">
      <w:pPr>
        <w:pStyle w:val="a3"/>
        <w:rPr>
          <w:rtl/>
        </w:rPr>
      </w:pPr>
      <w:bookmarkStart w:id="15830" w:name="_Toc535526232"/>
      <w:bookmarkStart w:id="15831" w:name="_Toc535574926"/>
      <w:bookmarkStart w:id="15832" w:name="_Toc535702384"/>
      <w:bookmarkStart w:id="15833" w:name="_Toc535750530"/>
      <w:bookmarkStart w:id="15834" w:name="_Toc19391083"/>
      <w:bookmarkStart w:id="15835" w:name="_Toc19394580"/>
      <w:r>
        <w:rPr>
          <w:rFonts w:hint="cs"/>
          <w:rtl/>
        </w:rPr>
        <w:t>ביאור הרי"ד דכיון שמקום החתך אינו אסור כטריפה אם החזירו מותר דהוא בתוך הבהמה</w:t>
      </w:r>
      <w:bookmarkEnd w:id="15830"/>
      <w:bookmarkEnd w:id="15831"/>
      <w:bookmarkEnd w:id="15832"/>
      <w:bookmarkEnd w:id="15833"/>
      <w:bookmarkEnd w:id="15834"/>
      <w:bookmarkEnd w:id="15835"/>
      <w:r>
        <w:rPr>
          <w:rFonts w:hint="cs"/>
          <w:rtl/>
        </w:rPr>
        <w:t xml:space="preserve"> </w:t>
      </w:r>
    </w:p>
    <w:p w14:paraId="24AF72E6" w14:textId="77777777" w:rsidR="003D504D" w:rsidRDefault="003D504D" w:rsidP="00223668">
      <w:pPr>
        <w:pStyle w:val="a0"/>
        <w:rPr>
          <w:rtl/>
        </w:rPr>
      </w:pPr>
      <w:r>
        <w:rPr>
          <w:rFonts w:hint="cs"/>
          <w:rtl/>
        </w:rPr>
        <w:t xml:space="preserve">וכ"כ </w:t>
      </w:r>
      <w:r w:rsidRPr="00B13441">
        <w:rPr>
          <w:rStyle w:val="af9"/>
          <w:rFonts w:hint="cs"/>
          <w:rtl/>
        </w:rPr>
        <w:t>בפסקי הרי"ד</w:t>
      </w:r>
      <w:r>
        <w:rPr>
          <w:rFonts w:hint="cs"/>
          <w:rtl/>
        </w:rPr>
        <w:t xml:space="preserve"> </w:t>
      </w:r>
      <w:r w:rsidRPr="00B13441">
        <w:rPr>
          <w:rStyle w:val="af7"/>
          <w:rFonts w:eastAsia="Guttman Hodes" w:hint="cs"/>
          <w:rtl/>
        </w:rPr>
        <w:t>(ד"ה אמר רב</w:t>
      </w:r>
      <w:r>
        <w:rPr>
          <w:rStyle w:val="af1"/>
          <w:rtl/>
        </w:rPr>
        <w:footnoteReference w:id="109"/>
      </w:r>
      <w:r w:rsidRPr="00A9083A">
        <w:rPr>
          <w:rStyle w:val="af7"/>
          <w:rFonts w:eastAsia="Guttman Hodes" w:hint="cs"/>
          <w:rtl/>
        </w:rPr>
        <w:t xml:space="preserve">) </w:t>
      </w:r>
      <w:r>
        <w:rPr>
          <w:rFonts w:hint="cs"/>
          <w:rtl/>
        </w:rPr>
        <w:t xml:space="preserve">דמקום החתך אינו בכלל היתר </w:t>
      </w:r>
      <w:r>
        <w:rPr>
          <w:rtl/>
        </w:rPr>
        <w:t>"</w:t>
      </w:r>
      <w:r>
        <w:rPr>
          <w:rFonts w:hint="cs"/>
          <w:rtl/>
        </w:rPr>
        <w:t>כל בבהמה</w:t>
      </w:r>
      <w:r>
        <w:rPr>
          <w:rtl/>
        </w:rPr>
        <w:t>"</w:t>
      </w:r>
      <w:r>
        <w:rPr>
          <w:rFonts w:hint="cs"/>
          <w:rtl/>
        </w:rPr>
        <w:t xml:space="preserve">, אך גם אינו בכלל איסור "בשר בשדה טריפה", וביאר </w:t>
      </w:r>
      <w:r w:rsidRPr="00B13441">
        <w:rPr>
          <w:rStyle w:val="af9"/>
          <w:rFonts w:hint="cs"/>
          <w:rtl/>
        </w:rPr>
        <w:t>בפסקי הרי"ד</w:t>
      </w:r>
      <w:r>
        <w:rPr>
          <w:rFonts w:hint="cs"/>
          <w:rtl/>
        </w:rPr>
        <w:t xml:space="preserve"> דלכן בהחזיר את האבר מקום החתך מותר, דכיון שלא יצא מחוץ למחיצות אין בו איסור, וכיון שהחזירו לתוך הבהמה מהני ליה השחיטה, אבל האבר עצמו שיש בו איסור "בשר בשדה טריפה", אף אם החזירו הוא אסור, דהוא כטריפה שאין לה תקנה.</w:t>
      </w:r>
    </w:p>
    <w:p w14:paraId="79D7A057" w14:textId="77777777" w:rsidR="003D504D" w:rsidRDefault="003D504D" w:rsidP="00BF39B2">
      <w:pPr>
        <w:pStyle w:val="1"/>
        <w:rPr>
          <w:rtl/>
        </w:rPr>
      </w:pPr>
      <w:bookmarkStart w:id="15836" w:name="_Toc535526233"/>
      <w:bookmarkStart w:id="15837" w:name="_Toc535574927"/>
      <w:bookmarkStart w:id="15838" w:name="_Toc535702385"/>
      <w:bookmarkStart w:id="15839" w:name="_Toc535750531"/>
      <w:bookmarkStart w:id="15840" w:name="_Toc19391084"/>
      <w:bookmarkStart w:id="15841" w:name="_Toc19394581"/>
      <w:r>
        <w:rPr>
          <w:rFonts w:hint="cs"/>
          <w:rtl/>
        </w:rPr>
        <w:t>ביאורי הר"ן באיסור מקום חתך</w:t>
      </w:r>
      <w:bookmarkEnd w:id="15836"/>
      <w:bookmarkEnd w:id="15837"/>
      <w:bookmarkEnd w:id="15838"/>
      <w:bookmarkEnd w:id="15839"/>
      <w:bookmarkEnd w:id="15840"/>
      <w:bookmarkEnd w:id="15841"/>
    </w:p>
    <w:p w14:paraId="602F320C" w14:textId="77777777" w:rsidR="003D504D" w:rsidRDefault="003D504D" w:rsidP="003D504D">
      <w:pPr>
        <w:pStyle w:val="a3"/>
        <w:rPr>
          <w:rtl/>
        </w:rPr>
      </w:pPr>
      <w:bookmarkStart w:id="15842" w:name="_Toc535526234"/>
      <w:bookmarkStart w:id="15843" w:name="_Toc535574928"/>
      <w:bookmarkStart w:id="15844" w:name="_Toc535702386"/>
      <w:bookmarkStart w:id="15845" w:name="_Toc535750532"/>
      <w:bookmarkStart w:id="15846" w:name="_Toc19391085"/>
      <w:bookmarkStart w:id="15847" w:name="_Toc19394582"/>
      <w:r>
        <w:rPr>
          <w:rFonts w:hint="cs"/>
          <w:rtl/>
        </w:rPr>
        <w:t>קושית הר"ן על רש"י דאי מקום החתך אינו בתוך הבהמה א"כ חשיב שיצא מחוץ למחיצתו</w:t>
      </w:r>
      <w:bookmarkEnd w:id="15842"/>
      <w:bookmarkEnd w:id="15843"/>
      <w:bookmarkEnd w:id="15844"/>
      <w:bookmarkEnd w:id="15845"/>
      <w:bookmarkEnd w:id="15846"/>
      <w:bookmarkEnd w:id="15847"/>
    </w:p>
    <w:p w14:paraId="0D9FEDB9" w14:textId="77777777" w:rsidR="003D504D" w:rsidRDefault="003D504D" w:rsidP="00223668">
      <w:pPr>
        <w:pStyle w:val="a0"/>
        <w:rPr>
          <w:rtl/>
        </w:rPr>
      </w:pPr>
      <w:r>
        <w:rPr>
          <w:rFonts w:hint="cs"/>
          <w:rtl/>
        </w:rPr>
        <w:t xml:space="preserve">והקשה </w:t>
      </w:r>
      <w:r w:rsidRPr="00F506D8">
        <w:rPr>
          <w:rStyle w:val="af9"/>
          <w:rFonts w:hint="cs"/>
          <w:rtl/>
        </w:rPr>
        <w:t>הר"ן בחי'</w:t>
      </w:r>
      <w:r>
        <w:rPr>
          <w:rFonts w:hint="cs"/>
          <w:rtl/>
        </w:rPr>
        <w:t xml:space="preserve"> על </w:t>
      </w:r>
      <w:r w:rsidRPr="00F506D8">
        <w:rPr>
          <w:rStyle w:val="af9"/>
          <w:rFonts w:hint="cs"/>
          <w:rtl/>
        </w:rPr>
        <w:t>רש"י</w:t>
      </w:r>
      <w:r>
        <w:rPr>
          <w:rFonts w:hint="cs"/>
          <w:rtl/>
        </w:rPr>
        <w:t xml:space="preserve"> דאי במקום חתך לא קרינן ביה </w:t>
      </w:r>
      <w:r>
        <w:rPr>
          <w:rtl/>
        </w:rPr>
        <w:t>"</w:t>
      </w:r>
      <w:r>
        <w:rPr>
          <w:rFonts w:hint="cs"/>
          <w:rtl/>
        </w:rPr>
        <w:t>כל בבהמה</w:t>
      </w:r>
      <w:r>
        <w:rPr>
          <w:rtl/>
        </w:rPr>
        <w:t>"</w:t>
      </w:r>
      <w:r>
        <w:rPr>
          <w:rFonts w:hint="cs"/>
          <w:rtl/>
        </w:rPr>
        <w:t xml:space="preserve">, א"כ הוא יצא חוץ למחיצתו, דהרי לדברי </w:t>
      </w:r>
      <w:r w:rsidRPr="00F506D8">
        <w:rPr>
          <w:rStyle w:val="af9"/>
          <w:rFonts w:hint="cs"/>
          <w:rtl/>
        </w:rPr>
        <w:t>רש"י</w:t>
      </w:r>
      <w:r>
        <w:rPr>
          <w:rFonts w:hint="cs"/>
          <w:rtl/>
        </w:rPr>
        <w:t xml:space="preserve"> מחיצת העובר היא ממקום החתך </w:t>
      </w:r>
      <w:r w:rsidRPr="00F506D8">
        <w:rPr>
          <w:rStyle w:val="afb"/>
          <w:rFonts w:hint="cs"/>
          <w:rtl/>
        </w:rPr>
        <w:t>[דהיינו ממקום החתך ולפנים]</w:t>
      </w:r>
      <w:r>
        <w:rPr>
          <w:rFonts w:hint="cs"/>
          <w:rtl/>
        </w:rPr>
        <w:t>, וא"כ אין כל חילוק בין מקום החתך לשאר האבר שיצא.</w:t>
      </w:r>
    </w:p>
    <w:p w14:paraId="4B6F933F" w14:textId="77777777" w:rsidR="003D504D" w:rsidRDefault="003D504D" w:rsidP="003D504D">
      <w:pPr>
        <w:pStyle w:val="a3"/>
        <w:rPr>
          <w:rtl/>
        </w:rPr>
      </w:pPr>
      <w:bookmarkStart w:id="15848" w:name="_Toc535526235"/>
      <w:bookmarkStart w:id="15849" w:name="_Toc535574929"/>
      <w:bookmarkStart w:id="15850" w:name="_Toc535702387"/>
      <w:bookmarkStart w:id="15851" w:name="_Toc535750533"/>
      <w:bookmarkStart w:id="15852" w:name="_Toc19391086"/>
      <w:bookmarkStart w:id="15853" w:name="_Toc19394583"/>
      <w:r>
        <w:rPr>
          <w:rFonts w:hint="cs"/>
          <w:rtl/>
        </w:rPr>
        <w:t>דברי הר"ן בתי' הא' דהאיסור בבשר בשדה היינו דוקא בבשר הגלוי</w:t>
      </w:r>
      <w:bookmarkEnd w:id="15848"/>
      <w:bookmarkEnd w:id="15849"/>
      <w:bookmarkEnd w:id="15850"/>
      <w:bookmarkEnd w:id="15851"/>
      <w:bookmarkEnd w:id="15852"/>
      <w:bookmarkEnd w:id="15853"/>
    </w:p>
    <w:p w14:paraId="1270A4D7" w14:textId="77777777" w:rsidR="003D504D" w:rsidRDefault="003D504D" w:rsidP="00223668">
      <w:pPr>
        <w:pStyle w:val="a0"/>
        <w:rPr>
          <w:rtl/>
        </w:rPr>
      </w:pPr>
      <w:r>
        <w:rPr>
          <w:rFonts w:hint="cs"/>
          <w:rtl/>
        </w:rPr>
        <w:t xml:space="preserve">וכתב </w:t>
      </w:r>
      <w:r w:rsidRPr="00F506D8">
        <w:rPr>
          <w:rStyle w:val="af9"/>
          <w:rFonts w:hint="cs"/>
          <w:rtl/>
        </w:rPr>
        <w:t>הר"ן בחי' בתירוצו</w:t>
      </w:r>
      <w:r>
        <w:rPr>
          <w:rFonts w:hint="cs"/>
          <w:rtl/>
        </w:rPr>
        <w:t xml:space="preserve"> </w:t>
      </w:r>
      <w:r w:rsidRPr="00041553">
        <w:rPr>
          <w:rStyle w:val="af9"/>
          <w:rFonts w:hint="cs"/>
          <w:rtl/>
        </w:rPr>
        <w:t xml:space="preserve">הראשון </w:t>
      </w:r>
      <w:r>
        <w:rPr>
          <w:rFonts w:hint="cs"/>
          <w:rtl/>
        </w:rPr>
        <w:t xml:space="preserve">דאפש"ל דמשמעות הפסו' "בשר בשדה טריפה" היא לאסור בשר הגלוי, כמו דילפינן בגמ' לקמן </w:t>
      </w:r>
      <w:r w:rsidRPr="00F506D8">
        <w:rPr>
          <w:rStyle w:val="af7"/>
          <w:rFonts w:eastAsia="Guttman Hodes" w:hint="cs"/>
          <w:rtl/>
        </w:rPr>
        <w:t>(עב.)</w:t>
      </w:r>
      <w:r>
        <w:rPr>
          <w:rFonts w:hint="cs"/>
          <w:rtl/>
        </w:rPr>
        <w:t xml:space="preserve"> מהפסו' "על פני השדה" דעובר מת במעי אשה אינו מטמא, </w:t>
      </w:r>
      <w:r w:rsidRPr="00F506D8">
        <w:rPr>
          <w:rStyle w:val="afb"/>
          <w:rFonts w:hint="cs"/>
          <w:rtl/>
        </w:rPr>
        <w:t xml:space="preserve">[וכדביאר </w:t>
      </w:r>
      <w:r w:rsidRPr="00F506D8">
        <w:rPr>
          <w:rStyle w:val="affa"/>
          <w:rFonts w:hint="cs"/>
          <w:rtl/>
        </w:rPr>
        <w:t>רש"י לקמן</w:t>
      </w:r>
      <w:r w:rsidRPr="00F506D8">
        <w:rPr>
          <w:rStyle w:val="afb"/>
          <w:rFonts w:hint="cs"/>
          <w:rtl/>
        </w:rPr>
        <w:t xml:space="preserve"> </w:t>
      </w:r>
      <w:r w:rsidRPr="00F506D8">
        <w:rPr>
          <w:rStyle w:val="aff6"/>
          <w:rFonts w:hint="cs"/>
          <w:rtl/>
        </w:rPr>
        <w:t>(עב. ד"ה על)</w:t>
      </w:r>
      <w:r w:rsidRPr="00F506D8">
        <w:rPr>
          <w:rStyle w:val="afb"/>
          <w:rFonts w:hint="cs"/>
          <w:rtl/>
        </w:rPr>
        <w:t xml:space="preserve"> דעל פני השדה משמע שהוא גלוי]</w:t>
      </w:r>
      <w:r>
        <w:rPr>
          <w:rFonts w:hint="cs"/>
          <w:rtl/>
        </w:rPr>
        <w:t xml:space="preserve">, וכעי"ז כתב </w:t>
      </w:r>
      <w:r w:rsidRPr="00444C84">
        <w:rPr>
          <w:rStyle w:val="af9"/>
          <w:rFonts w:hint="cs"/>
          <w:rtl/>
        </w:rPr>
        <w:t>הרש"ש</w:t>
      </w:r>
      <w:r>
        <w:rPr>
          <w:rFonts w:hint="cs"/>
          <w:rtl/>
        </w:rPr>
        <w:t xml:space="preserve"> </w:t>
      </w:r>
      <w:r w:rsidRPr="00444C84">
        <w:rPr>
          <w:rStyle w:val="af7"/>
          <w:rFonts w:eastAsia="Guttman Hodes" w:hint="cs"/>
          <w:rtl/>
        </w:rPr>
        <w:t>(ד"ה ה"נ)</w:t>
      </w:r>
      <w:r>
        <w:rPr>
          <w:rFonts w:hint="cs"/>
          <w:rtl/>
        </w:rPr>
        <w:t>.</w:t>
      </w:r>
    </w:p>
    <w:p w14:paraId="0670947D" w14:textId="77777777" w:rsidR="003D504D" w:rsidRDefault="003D504D" w:rsidP="003D504D">
      <w:pPr>
        <w:pStyle w:val="a3"/>
        <w:rPr>
          <w:rtl/>
        </w:rPr>
      </w:pPr>
      <w:bookmarkStart w:id="15854" w:name="_Toc535526236"/>
      <w:bookmarkStart w:id="15855" w:name="_Toc535574930"/>
      <w:bookmarkStart w:id="15856" w:name="_Toc535702388"/>
      <w:bookmarkStart w:id="15857" w:name="_Toc535750534"/>
      <w:bookmarkStart w:id="15858" w:name="_Toc19391087"/>
      <w:bookmarkStart w:id="15859" w:name="_Toc19394584"/>
      <w:r>
        <w:rPr>
          <w:rFonts w:hint="cs"/>
          <w:rtl/>
        </w:rPr>
        <w:t>דברי הר"ן בתי' הב' דאף שמקום החתך יצא מחוץ למחיצתו יש ילפותא להתירו בהחזיר את האבר</w:t>
      </w:r>
      <w:bookmarkEnd w:id="15854"/>
      <w:bookmarkEnd w:id="15855"/>
      <w:bookmarkEnd w:id="15856"/>
      <w:bookmarkEnd w:id="15857"/>
      <w:bookmarkEnd w:id="15858"/>
      <w:bookmarkEnd w:id="15859"/>
    </w:p>
    <w:p w14:paraId="27FD44B8" w14:textId="77777777" w:rsidR="003D504D" w:rsidRDefault="003D504D" w:rsidP="00223668">
      <w:pPr>
        <w:pStyle w:val="a0"/>
        <w:rPr>
          <w:rtl/>
        </w:rPr>
      </w:pPr>
      <w:bookmarkStart w:id="15860" w:name="_Toc535302123"/>
      <w:bookmarkStart w:id="15861" w:name="_Ref535694196"/>
      <w:r>
        <w:rPr>
          <w:rFonts w:hint="cs"/>
          <w:rtl/>
        </w:rPr>
        <w:t xml:space="preserve">ועוד כתב </w:t>
      </w:r>
      <w:r w:rsidRPr="00F506D8">
        <w:rPr>
          <w:rStyle w:val="af9"/>
          <w:rFonts w:hint="cs"/>
          <w:rtl/>
        </w:rPr>
        <w:t>הר"ן בחי' בתירוצו השני</w:t>
      </w:r>
      <w:r>
        <w:rPr>
          <w:rFonts w:hint="cs"/>
          <w:rtl/>
        </w:rPr>
        <w:t xml:space="preserve"> דבאמת מצד האיסור דאבר היוצא, צריך לאסור גם את מקום החתך</w:t>
      </w:r>
      <w:r w:rsidRPr="00F506D8">
        <w:rPr>
          <w:rStyle w:val="afb"/>
          <w:rFonts w:hint="cs"/>
          <w:rtl/>
        </w:rPr>
        <w:t>, [דיצא חוץ למחיצתו והוא בכלל "בשר בשדה טריפה"]</w:t>
      </w:r>
      <w:r>
        <w:rPr>
          <w:rFonts w:hint="cs"/>
          <w:rtl/>
        </w:rPr>
        <w:t>, אלא שיש היתר מיוחד למקום חתך מהפסו' מהילפותא "פרסה החזיר אכול", והגמ' העמידה את הילפותא הזו במקום חתך, כיון שלא יצא לגמרי כמו האבר עצמו.</w:t>
      </w:r>
      <w:bookmarkEnd w:id="15860"/>
      <w:bookmarkEnd w:id="15861"/>
    </w:p>
    <w:p w14:paraId="3A42215C" w14:textId="77777777" w:rsidR="003D504D" w:rsidRDefault="003D504D" w:rsidP="00BF39B2">
      <w:pPr>
        <w:pStyle w:val="1"/>
        <w:rPr>
          <w:rtl/>
        </w:rPr>
      </w:pPr>
      <w:bookmarkStart w:id="15862" w:name="_Toc535526237"/>
      <w:bookmarkStart w:id="15863" w:name="_Toc535574931"/>
      <w:bookmarkStart w:id="15864" w:name="_Toc535702389"/>
      <w:bookmarkStart w:id="15865" w:name="_Toc535750535"/>
      <w:bookmarkStart w:id="15866" w:name="_Toc19391088"/>
      <w:bookmarkStart w:id="15867" w:name="_Toc19394585"/>
      <w:r w:rsidRPr="00611E95">
        <w:rPr>
          <w:rFonts w:hint="cs"/>
          <w:rtl/>
        </w:rPr>
        <w:t xml:space="preserve">דברי הט"ז והתבו"ש </w:t>
      </w:r>
      <w:r>
        <w:rPr>
          <w:rFonts w:hint="cs"/>
          <w:rtl/>
        </w:rPr>
        <w:t>דל</w:t>
      </w:r>
      <w:r w:rsidRPr="00611E95">
        <w:rPr>
          <w:rFonts w:hint="cs"/>
          <w:rtl/>
        </w:rPr>
        <w:t>רש"י</w:t>
      </w:r>
      <w:r>
        <w:rPr>
          <w:rFonts w:hint="cs"/>
          <w:rtl/>
        </w:rPr>
        <w:t xml:space="preserve"> מקום החתך אינו אסור כטריפה</w:t>
      </w:r>
      <w:bookmarkEnd w:id="15862"/>
      <w:bookmarkEnd w:id="15863"/>
      <w:bookmarkEnd w:id="15864"/>
      <w:bookmarkEnd w:id="15865"/>
      <w:bookmarkEnd w:id="15866"/>
      <w:bookmarkEnd w:id="15867"/>
    </w:p>
    <w:p w14:paraId="16068A16" w14:textId="77777777" w:rsidR="003D504D" w:rsidRDefault="003D504D" w:rsidP="003D504D">
      <w:pPr>
        <w:pStyle w:val="a3"/>
        <w:rPr>
          <w:rtl/>
        </w:rPr>
      </w:pPr>
      <w:bookmarkStart w:id="15868" w:name="_Toc535526238"/>
      <w:bookmarkStart w:id="15869" w:name="_Toc535574932"/>
      <w:bookmarkStart w:id="15870" w:name="_Toc535702390"/>
      <w:bookmarkStart w:id="15871" w:name="_Toc535750536"/>
      <w:bookmarkStart w:id="15872" w:name="_Toc19391089"/>
      <w:bookmarkStart w:id="15873" w:name="_Toc19394586"/>
      <w:r>
        <w:rPr>
          <w:rFonts w:hint="cs"/>
          <w:rtl/>
        </w:rPr>
        <w:t>דברי הפרמ"ג דהט"ז ביאר ברש"י דאיסור מקום חתך הוא רק מחמת שלא מהני לו השחיטה</w:t>
      </w:r>
      <w:bookmarkEnd w:id="15868"/>
      <w:bookmarkEnd w:id="15869"/>
      <w:bookmarkEnd w:id="15870"/>
      <w:bookmarkEnd w:id="15871"/>
      <w:bookmarkEnd w:id="15872"/>
      <w:bookmarkEnd w:id="15873"/>
    </w:p>
    <w:p w14:paraId="13EC224C" w14:textId="77777777" w:rsidR="003D504D" w:rsidRDefault="003D504D" w:rsidP="00223668">
      <w:pPr>
        <w:pStyle w:val="a0"/>
        <w:rPr>
          <w:rtl/>
        </w:rPr>
      </w:pPr>
      <w:r>
        <w:rPr>
          <w:rFonts w:hint="cs"/>
          <w:rtl/>
        </w:rPr>
        <w:t xml:space="preserve">וכתב </w:t>
      </w:r>
      <w:r>
        <w:rPr>
          <w:rStyle w:val="af9"/>
          <w:rFonts w:hint="cs"/>
          <w:rtl/>
        </w:rPr>
        <w:t>ה</w:t>
      </w:r>
      <w:r w:rsidRPr="00BF0B6D">
        <w:rPr>
          <w:rStyle w:val="af9"/>
          <w:rFonts w:hint="cs"/>
          <w:rtl/>
        </w:rPr>
        <w:t>ט"ז</w:t>
      </w:r>
      <w:r>
        <w:rPr>
          <w:rFonts w:hint="cs"/>
          <w:rtl/>
        </w:rPr>
        <w:t xml:space="preserve"> </w:t>
      </w:r>
      <w:r w:rsidRPr="004F7073">
        <w:rPr>
          <w:rStyle w:val="af7"/>
          <w:rFonts w:eastAsia="Guttman Hodes" w:hint="cs"/>
          <w:rtl/>
        </w:rPr>
        <w:t xml:space="preserve">(סי' י"ד סק"ג) </w:t>
      </w:r>
      <w:r>
        <w:rPr>
          <w:rFonts w:hint="cs"/>
          <w:rtl/>
        </w:rPr>
        <w:t xml:space="preserve">דבחזיר את האבר מקום החתך מותר, דהוא בכלל היתר </w:t>
      </w:r>
      <w:r>
        <w:rPr>
          <w:rtl/>
        </w:rPr>
        <w:t>"</w:t>
      </w:r>
      <w:r>
        <w:rPr>
          <w:rFonts w:hint="cs"/>
          <w:rtl/>
        </w:rPr>
        <w:t>כל בבהמה</w:t>
      </w:r>
      <w:r>
        <w:rPr>
          <w:rtl/>
        </w:rPr>
        <w:t>"</w:t>
      </w:r>
      <w:r>
        <w:rPr>
          <w:rFonts w:hint="cs"/>
          <w:rtl/>
        </w:rPr>
        <w:t xml:space="preserve">, ובלא החזירו אסור, דאינו בכלל היתר </w:t>
      </w:r>
      <w:r>
        <w:rPr>
          <w:rtl/>
        </w:rPr>
        <w:t>"</w:t>
      </w:r>
      <w:r>
        <w:rPr>
          <w:rFonts w:hint="cs"/>
          <w:rtl/>
        </w:rPr>
        <w:t>כל בבהמה</w:t>
      </w:r>
      <w:r>
        <w:rPr>
          <w:rtl/>
        </w:rPr>
        <w:t>"</w:t>
      </w:r>
      <w:r>
        <w:rPr>
          <w:rFonts w:hint="cs"/>
          <w:rtl/>
        </w:rPr>
        <w:t xml:space="preserve">, </w:t>
      </w:r>
      <w:r w:rsidRPr="00AC2F9E">
        <w:rPr>
          <w:rFonts w:hint="cs"/>
          <w:rtl/>
        </w:rPr>
        <w:t xml:space="preserve">וכתב </w:t>
      </w:r>
      <w:r w:rsidRPr="00AC2F9E">
        <w:rPr>
          <w:rStyle w:val="af9"/>
          <w:rFonts w:hint="cs"/>
          <w:rtl/>
        </w:rPr>
        <w:t>הפרמ"ג</w:t>
      </w:r>
      <w:r w:rsidRPr="00AC2F9E">
        <w:rPr>
          <w:rFonts w:hint="cs"/>
          <w:rtl/>
        </w:rPr>
        <w:t xml:space="preserve"> </w:t>
      </w:r>
      <w:r w:rsidRPr="00AC2F9E">
        <w:rPr>
          <w:rStyle w:val="af7"/>
          <w:rFonts w:eastAsia="Guttman Hodes" w:hint="cs"/>
          <w:rtl/>
        </w:rPr>
        <w:t>(סי' י"ד משב"ז סק"ג)</w:t>
      </w:r>
      <w:r>
        <w:rPr>
          <w:rFonts w:hint="cs"/>
          <w:rtl/>
        </w:rPr>
        <w:t xml:space="preserve"> </w:t>
      </w:r>
      <w:r w:rsidRPr="004F7073">
        <w:rPr>
          <w:rStyle w:val="af9"/>
          <w:rFonts w:hint="cs"/>
          <w:rtl/>
        </w:rPr>
        <w:t>דהט"ז</w:t>
      </w:r>
      <w:r>
        <w:rPr>
          <w:rFonts w:hint="cs"/>
          <w:rtl/>
        </w:rPr>
        <w:t xml:space="preserve"> ביאר כדברי </w:t>
      </w:r>
      <w:r w:rsidRPr="004F7073">
        <w:rPr>
          <w:rStyle w:val="af9"/>
          <w:rFonts w:hint="cs"/>
          <w:rtl/>
        </w:rPr>
        <w:t>רש"י</w:t>
      </w:r>
      <w:r>
        <w:rPr>
          <w:rFonts w:hint="cs"/>
          <w:rtl/>
        </w:rPr>
        <w:t xml:space="preserve"> </w:t>
      </w:r>
      <w:r w:rsidRPr="004F7073">
        <w:rPr>
          <w:rStyle w:val="af7"/>
          <w:rFonts w:eastAsia="Guttman Hodes" w:hint="cs"/>
          <w:rtl/>
        </w:rPr>
        <w:t xml:space="preserve">(עי' אות </w:t>
      </w:r>
      <w:r w:rsidRPr="004F7073">
        <w:rPr>
          <w:rStyle w:val="af7"/>
          <w:rFonts w:eastAsia="Guttman Hodes"/>
          <w:rtl/>
        </w:rPr>
        <w:fldChar w:fldCharType="begin"/>
      </w:r>
      <w:r w:rsidRPr="004F7073">
        <w:rPr>
          <w:rStyle w:val="af7"/>
          <w:rFonts w:eastAsia="Guttman Hodes"/>
          <w:rtl/>
        </w:rPr>
        <w:instrText xml:space="preserve"> </w:instrText>
      </w:r>
      <w:r w:rsidRPr="004F7073">
        <w:rPr>
          <w:rStyle w:val="af7"/>
          <w:rFonts w:eastAsia="Guttman Hodes" w:hint="cs"/>
        </w:rPr>
        <w:instrText>REF</w:instrText>
      </w:r>
      <w:r w:rsidRPr="004F7073">
        <w:rPr>
          <w:rStyle w:val="af7"/>
          <w:rFonts w:eastAsia="Guttman Hodes" w:hint="cs"/>
          <w:rtl/>
        </w:rPr>
        <w:instrText xml:space="preserve"> _</w:instrText>
      </w:r>
      <w:r w:rsidRPr="004F7073">
        <w:rPr>
          <w:rStyle w:val="af7"/>
          <w:rFonts w:eastAsia="Guttman Hodes" w:hint="cs"/>
        </w:rPr>
        <w:instrText>Ref535315660 \r \h</w:instrText>
      </w:r>
      <w:r w:rsidRPr="004F7073">
        <w:rPr>
          <w:rStyle w:val="af7"/>
          <w:rFonts w:eastAsia="Guttman Hodes"/>
          <w:rtl/>
        </w:rPr>
        <w:instrText xml:space="preserve"> </w:instrText>
      </w:r>
      <w:r w:rsidRPr="004F7073">
        <w:rPr>
          <w:rStyle w:val="af7"/>
          <w:rFonts w:eastAsia="Guttman Hodes"/>
          <w:rtl/>
        </w:rPr>
      </w:r>
      <w:r w:rsidRPr="004F7073">
        <w:rPr>
          <w:rStyle w:val="af7"/>
          <w:rFonts w:eastAsia="Guttman Hodes"/>
          <w:rtl/>
        </w:rPr>
        <w:fldChar w:fldCharType="separate"/>
      </w:r>
      <w:r w:rsidR="00345400">
        <w:rPr>
          <w:rStyle w:val="af7"/>
          <w:rFonts w:eastAsia="Guttman Hodes"/>
          <w:cs/>
        </w:rPr>
        <w:t>‎</w:t>
      </w:r>
      <w:r w:rsidR="00345400">
        <w:rPr>
          <w:rStyle w:val="af7"/>
          <w:rFonts w:eastAsia="Guttman Hodes"/>
          <w:rtl/>
        </w:rPr>
        <w:t>לט)</w:t>
      </w:r>
      <w:r w:rsidRPr="004F7073">
        <w:rPr>
          <w:rStyle w:val="af7"/>
          <w:rFonts w:eastAsia="Guttman Hodes"/>
          <w:rtl/>
        </w:rPr>
        <w:fldChar w:fldCharType="end"/>
      </w:r>
      <w:r>
        <w:rPr>
          <w:rFonts w:hint="cs"/>
          <w:rtl/>
        </w:rPr>
        <w:t xml:space="preserve">, דמקום החתך אינו בכלל איסור "בשר בשדה טריפה", ולכן בהחזירו מותר, ובלא החזירו אסור כיון שאינו </w:t>
      </w:r>
      <w:r w:rsidRPr="00824F94">
        <w:rPr>
          <w:rFonts w:hint="cs"/>
          <w:rtl/>
        </w:rPr>
        <w:t xml:space="preserve">בכלל היתר </w:t>
      </w:r>
      <w:r>
        <w:rPr>
          <w:rtl/>
        </w:rPr>
        <w:t>"</w:t>
      </w:r>
      <w:r>
        <w:rPr>
          <w:rFonts w:hint="cs"/>
          <w:rtl/>
        </w:rPr>
        <w:t>כל בבהמה</w:t>
      </w:r>
      <w:r>
        <w:rPr>
          <w:rtl/>
        </w:rPr>
        <w:t>"</w:t>
      </w:r>
      <w:r>
        <w:rPr>
          <w:rFonts w:hint="cs"/>
          <w:rtl/>
        </w:rPr>
        <w:t xml:space="preserve">, וכן ביאר </w:t>
      </w:r>
      <w:r w:rsidRPr="00A77160">
        <w:rPr>
          <w:rStyle w:val="af9"/>
          <w:rFonts w:hint="cs"/>
          <w:rtl/>
        </w:rPr>
        <w:t>התבו"ש</w:t>
      </w:r>
      <w:r>
        <w:rPr>
          <w:rFonts w:hint="cs"/>
          <w:rtl/>
        </w:rPr>
        <w:t xml:space="preserve"> </w:t>
      </w:r>
      <w:r w:rsidRPr="00A77160">
        <w:rPr>
          <w:rStyle w:val="af7"/>
          <w:rFonts w:eastAsia="Guttman Hodes" w:hint="cs"/>
          <w:rtl/>
        </w:rPr>
        <w:t xml:space="preserve">(עי' אות </w:t>
      </w:r>
      <w:r w:rsidRPr="00A77160">
        <w:rPr>
          <w:rStyle w:val="af7"/>
          <w:rFonts w:eastAsia="Guttman Hodes"/>
          <w:rtl/>
        </w:rPr>
        <w:fldChar w:fldCharType="begin"/>
      </w:r>
      <w:r w:rsidRPr="00A77160">
        <w:rPr>
          <w:rStyle w:val="af7"/>
          <w:rFonts w:eastAsia="Guttman Hodes"/>
          <w:rtl/>
        </w:rPr>
        <w:instrText xml:space="preserve"> </w:instrText>
      </w:r>
      <w:r w:rsidRPr="00A77160">
        <w:rPr>
          <w:rStyle w:val="af7"/>
          <w:rFonts w:eastAsia="Guttman Hodes" w:hint="cs"/>
        </w:rPr>
        <w:instrText>REF</w:instrText>
      </w:r>
      <w:r w:rsidRPr="00A77160">
        <w:rPr>
          <w:rStyle w:val="af7"/>
          <w:rFonts w:eastAsia="Guttman Hodes" w:hint="cs"/>
          <w:rtl/>
        </w:rPr>
        <w:instrText xml:space="preserve"> _</w:instrText>
      </w:r>
      <w:r w:rsidRPr="00A77160">
        <w:rPr>
          <w:rStyle w:val="af7"/>
          <w:rFonts w:eastAsia="Guttman Hodes" w:hint="cs"/>
        </w:rPr>
        <w:instrText>Ref535516981 \r \h</w:instrText>
      </w:r>
      <w:r w:rsidRPr="00A77160">
        <w:rPr>
          <w:rStyle w:val="af7"/>
          <w:rFonts w:eastAsia="Guttman Hodes"/>
          <w:rtl/>
        </w:rPr>
        <w:instrText xml:space="preserve"> </w:instrText>
      </w:r>
      <w:r w:rsidRPr="00A77160">
        <w:rPr>
          <w:rStyle w:val="af7"/>
          <w:rFonts w:eastAsia="Guttman Hodes"/>
          <w:rtl/>
        </w:rPr>
      </w:r>
      <w:r w:rsidRPr="00A77160">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A77160">
        <w:rPr>
          <w:rStyle w:val="af7"/>
          <w:rFonts w:eastAsia="Guttman Hodes"/>
          <w:rtl/>
        </w:rPr>
        <w:fldChar w:fldCharType="end"/>
      </w:r>
      <w:r w:rsidRPr="00A77160">
        <w:rPr>
          <w:rStyle w:val="af7"/>
          <w:rFonts w:eastAsia="Guttman Hodes" w:hint="cs"/>
          <w:rtl/>
        </w:rPr>
        <w:t xml:space="preserve"> </w:t>
      </w:r>
      <w:r>
        <w:rPr>
          <w:rFonts w:hint="cs"/>
          <w:rtl/>
        </w:rPr>
        <w:t xml:space="preserve">בדעת </w:t>
      </w:r>
      <w:r w:rsidRPr="00A77160">
        <w:rPr>
          <w:rStyle w:val="af9"/>
          <w:rFonts w:hint="cs"/>
          <w:rtl/>
        </w:rPr>
        <w:t>רש"י</w:t>
      </w:r>
      <w:r>
        <w:rPr>
          <w:rFonts w:hint="cs"/>
          <w:rtl/>
        </w:rPr>
        <w:t>.</w:t>
      </w:r>
    </w:p>
    <w:p w14:paraId="64EC68D7" w14:textId="77777777" w:rsidR="003D504D" w:rsidRPr="00291C80" w:rsidRDefault="003D504D" w:rsidP="00BF39B2">
      <w:pPr>
        <w:pStyle w:val="1"/>
        <w:rPr>
          <w:rtl/>
        </w:rPr>
      </w:pPr>
      <w:bookmarkStart w:id="15874" w:name="_Toc535526239"/>
      <w:bookmarkStart w:id="15875" w:name="_Toc535574933"/>
      <w:bookmarkStart w:id="15876" w:name="_Toc535702391"/>
      <w:bookmarkStart w:id="15877" w:name="_Toc535750537"/>
      <w:bookmarkStart w:id="15878" w:name="_Toc19391090"/>
      <w:bookmarkStart w:id="15879" w:name="_Toc19394587"/>
      <w:r>
        <w:rPr>
          <w:rFonts w:hint="cs"/>
          <w:rtl/>
        </w:rPr>
        <w:t>דברי הפרמ"ג דלהרמב"ם ורש"י מהני שחיטה למקום חתך</w:t>
      </w:r>
      <w:bookmarkEnd w:id="15874"/>
      <w:bookmarkEnd w:id="15875"/>
      <w:bookmarkEnd w:id="15876"/>
      <w:bookmarkEnd w:id="15877"/>
      <w:bookmarkEnd w:id="15878"/>
      <w:bookmarkEnd w:id="15879"/>
    </w:p>
    <w:p w14:paraId="5C7EF8E3" w14:textId="77777777" w:rsidR="003D504D" w:rsidRDefault="003D504D" w:rsidP="003D504D">
      <w:pPr>
        <w:pStyle w:val="a3"/>
        <w:rPr>
          <w:rtl/>
        </w:rPr>
      </w:pPr>
      <w:bookmarkStart w:id="15880" w:name="_Toc535526240"/>
      <w:bookmarkStart w:id="15881" w:name="_Toc535574934"/>
      <w:bookmarkStart w:id="15882" w:name="_Toc535702392"/>
      <w:bookmarkStart w:id="15883" w:name="_Toc535750538"/>
      <w:bookmarkStart w:id="15884" w:name="_Toc19391091"/>
      <w:bookmarkStart w:id="15885" w:name="_Toc19394588"/>
      <w:r>
        <w:rPr>
          <w:rFonts w:hint="cs"/>
          <w:rtl/>
        </w:rPr>
        <w:t>דברי הפרמ"ג דברמב"ם מוכח דמהני שחיטה לאבר היוצא בלא החזירו וכ"ש למקום חתך</w:t>
      </w:r>
      <w:bookmarkEnd w:id="15880"/>
      <w:bookmarkEnd w:id="15881"/>
      <w:bookmarkEnd w:id="15882"/>
      <w:bookmarkEnd w:id="15883"/>
      <w:bookmarkEnd w:id="15884"/>
      <w:bookmarkEnd w:id="15885"/>
    </w:p>
    <w:p w14:paraId="0E1F152D" w14:textId="77777777" w:rsidR="003D504D" w:rsidRDefault="003D504D" w:rsidP="00223668">
      <w:pPr>
        <w:pStyle w:val="a0"/>
        <w:rPr>
          <w:rtl/>
        </w:rPr>
      </w:pPr>
      <w:bookmarkStart w:id="15886" w:name="_Ref535517252"/>
      <w:r>
        <w:rPr>
          <w:rFonts w:hint="cs"/>
          <w:rtl/>
        </w:rPr>
        <w:t xml:space="preserve">אך כתב </w:t>
      </w:r>
      <w:r w:rsidRPr="00AC2F9E">
        <w:rPr>
          <w:rStyle w:val="af9"/>
          <w:rFonts w:hint="cs"/>
          <w:rtl/>
        </w:rPr>
        <w:t>הפרמ"ג</w:t>
      </w:r>
      <w:r w:rsidRPr="00AC2F9E">
        <w:rPr>
          <w:rFonts w:hint="cs"/>
          <w:rtl/>
        </w:rPr>
        <w:t xml:space="preserve"> </w:t>
      </w:r>
      <w:r w:rsidRPr="00AC2F9E">
        <w:rPr>
          <w:rStyle w:val="af7"/>
          <w:rFonts w:eastAsia="Guttman Hodes" w:hint="cs"/>
          <w:rtl/>
        </w:rPr>
        <w:t>(סי' י"ד משב"ז סק"ג)</w:t>
      </w:r>
      <w:r>
        <w:rPr>
          <w:rFonts w:hint="cs"/>
          <w:rtl/>
        </w:rPr>
        <w:t xml:space="preserve"> דלפי המבואר בדברי </w:t>
      </w:r>
      <w:r w:rsidRPr="002256B8">
        <w:rPr>
          <w:rStyle w:val="af9"/>
          <w:rFonts w:hint="cs"/>
          <w:rtl/>
        </w:rPr>
        <w:t>הרמב"ם</w:t>
      </w:r>
      <w:r>
        <w:rPr>
          <w:rFonts w:hint="cs"/>
          <w:rtl/>
        </w:rPr>
        <w:t xml:space="preserve"> </w:t>
      </w:r>
      <w:r w:rsidRPr="002256B8">
        <w:rPr>
          <w:rStyle w:val="af7"/>
          <w:rFonts w:eastAsia="Guttman Hodes" w:hint="cs"/>
          <w:rtl/>
        </w:rPr>
        <w:t xml:space="preserve">(עי' אות </w:t>
      </w:r>
      <w:r w:rsidRPr="002256B8">
        <w:rPr>
          <w:rStyle w:val="af7"/>
          <w:rFonts w:eastAsia="Guttman Hodes"/>
          <w:rtl/>
        </w:rPr>
        <w:fldChar w:fldCharType="begin"/>
      </w:r>
      <w:r w:rsidRPr="002256B8">
        <w:rPr>
          <w:rStyle w:val="af7"/>
          <w:rFonts w:eastAsia="Guttman Hodes"/>
          <w:rtl/>
        </w:rPr>
        <w:instrText xml:space="preserve"> </w:instrText>
      </w:r>
      <w:r w:rsidRPr="002256B8">
        <w:rPr>
          <w:rStyle w:val="af7"/>
          <w:rFonts w:eastAsia="Guttman Hodes" w:hint="cs"/>
        </w:rPr>
        <w:instrText>REF</w:instrText>
      </w:r>
      <w:r w:rsidRPr="002256B8">
        <w:rPr>
          <w:rStyle w:val="af7"/>
          <w:rFonts w:eastAsia="Guttman Hodes" w:hint="cs"/>
          <w:rtl/>
        </w:rPr>
        <w:instrText xml:space="preserve"> _</w:instrText>
      </w:r>
      <w:r w:rsidRPr="002256B8">
        <w:rPr>
          <w:rStyle w:val="af7"/>
          <w:rFonts w:eastAsia="Guttman Hodes" w:hint="cs"/>
        </w:rPr>
        <w:instrText>Ref535511719 \r \h</w:instrText>
      </w:r>
      <w:r w:rsidRPr="002256B8">
        <w:rPr>
          <w:rStyle w:val="af7"/>
          <w:rFonts w:eastAsia="Guttman Hodes"/>
          <w:rtl/>
        </w:rPr>
        <w:instrText xml:space="preserve"> </w:instrText>
      </w:r>
      <w:r w:rsidRPr="002256B8">
        <w:rPr>
          <w:rStyle w:val="af7"/>
          <w:rFonts w:eastAsia="Guttman Hodes"/>
          <w:rtl/>
        </w:rPr>
      </w:r>
      <w:r w:rsidRPr="002256B8">
        <w:rPr>
          <w:rStyle w:val="af7"/>
          <w:rFonts w:eastAsia="Guttman Hodes"/>
          <w:rtl/>
        </w:rPr>
        <w:fldChar w:fldCharType="separate"/>
      </w:r>
      <w:r w:rsidR="00345400">
        <w:rPr>
          <w:rStyle w:val="af7"/>
          <w:rFonts w:eastAsia="Guttman Hodes"/>
          <w:cs/>
        </w:rPr>
        <w:t>‎</w:t>
      </w:r>
      <w:r w:rsidR="00345400">
        <w:rPr>
          <w:rStyle w:val="af7"/>
          <w:rFonts w:eastAsia="Guttman Hodes"/>
          <w:rtl/>
        </w:rPr>
        <w:t>קב)</w:t>
      </w:r>
      <w:r w:rsidRPr="002256B8">
        <w:rPr>
          <w:rStyle w:val="af7"/>
          <w:rFonts w:eastAsia="Guttman Hodes"/>
          <w:rtl/>
        </w:rPr>
        <w:fldChar w:fldCharType="end"/>
      </w:r>
      <w:r>
        <w:rPr>
          <w:rFonts w:hint="cs"/>
          <w:rtl/>
        </w:rPr>
        <w:t xml:space="preserve"> דאבר היוצא אסור באיסור טריפה ולא באבר מן החי, ומשמע דאף בלא החזירו, אין בו ואיסור אבר מן החי, א"כ מוכח דאך כשלא החזיר את האבר מהני שחיטת האם לאבר היוצא, וא"כ אף האבר עצמו בכלל היתר </w:t>
      </w:r>
      <w:r>
        <w:rPr>
          <w:rtl/>
        </w:rPr>
        <w:t>"</w:t>
      </w:r>
      <w:r>
        <w:rPr>
          <w:rFonts w:hint="cs"/>
          <w:rtl/>
        </w:rPr>
        <w:t>כל בבהמה</w:t>
      </w:r>
      <w:r>
        <w:rPr>
          <w:rtl/>
        </w:rPr>
        <w:t>"</w:t>
      </w:r>
      <w:r>
        <w:rPr>
          <w:rFonts w:hint="cs"/>
          <w:rtl/>
        </w:rPr>
        <w:t xml:space="preserve">, להתירו מאיסור אבר מן החי, ואסור רק מדין "בשר בשדה טריפה", וכתב </w:t>
      </w:r>
      <w:r w:rsidRPr="002256B8">
        <w:rPr>
          <w:rStyle w:val="af9"/>
          <w:rFonts w:hint="cs"/>
          <w:rtl/>
        </w:rPr>
        <w:t>הפרמ"ג</w:t>
      </w:r>
      <w:r>
        <w:rPr>
          <w:rFonts w:hint="cs"/>
          <w:rtl/>
        </w:rPr>
        <w:t xml:space="preserve"> דלדברי </w:t>
      </w:r>
      <w:r w:rsidRPr="00AF2935">
        <w:rPr>
          <w:rStyle w:val="af9"/>
          <w:rFonts w:hint="cs"/>
          <w:rtl/>
        </w:rPr>
        <w:t>הט"ז</w:t>
      </w:r>
      <w:r>
        <w:rPr>
          <w:rFonts w:hint="cs"/>
          <w:rtl/>
        </w:rPr>
        <w:t xml:space="preserve"> דבמקום חתך אין איסור "בשר בשדה טריפה", א"כ </w:t>
      </w:r>
      <w:r w:rsidRPr="0088592C">
        <w:rPr>
          <w:rStyle w:val="af9"/>
          <w:rFonts w:hint="cs"/>
          <w:rtl/>
        </w:rPr>
        <w:t>להרמב"ם</w:t>
      </w:r>
      <w:r>
        <w:rPr>
          <w:rFonts w:hint="cs"/>
          <w:rtl/>
        </w:rPr>
        <w:t xml:space="preserve"> ודאי דהשחיטה מתירה את מקום החתך, דהוא בכלל היתר </w:t>
      </w:r>
      <w:r>
        <w:rPr>
          <w:rtl/>
        </w:rPr>
        <w:t>"</w:t>
      </w:r>
      <w:r>
        <w:rPr>
          <w:rFonts w:hint="cs"/>
          <w:rtl/>
        </w:rPr>
        <w:t>כל בבהמה</w:t>
      </w:r>
      <w:r>
        <w:rPr>
          <w:rtl/>
        </w:rPr>
        <w:t>"</w:t>
      </w:r>
      <w:r>
        <w:rPr>
          <w:rFonts w:hint="cs"/>
          <w:rtl/>
        </w:rPr>
        <w:t>.</w:t>
      </w:r>
      <w:bookmarkEnd w:id="15886"/>
    </w:p>
    <w:p w14:paraId="597C2AB9" w14:textId="77777777" w:rsidR="003D504D" w:rsidRPr="0088592C" w:rsidRDefault="003D504D" w:rsidP="003D504D">
      <w:pPr>
        <w:pStyle w:val="a3"/>
      </w:pPr>
      <w:bookmarkStart w:id="15887" w:name="_Toc535526241"/>
      <w:bookmarkStart w:id="15888" w:name="_Toc535574935"/>
      <w:bookmarkStart w:id="15889" w:name="_Toc535702393"/>
      <w:bookmarkStart w:id="15890" w:name="_Toc535750539"/>
      <w:bookmarkStart w:id="15891" w:name="_Toc19391092"/>
      <w:bookmarkStart w:id="15892" w:name="_Toc19394589"/>
      <w:r>
        <w:rPr>
          <w:rFonts w:hint="cs"/>
          <w:rtl/>
        </w:rPr>
        <w:t>דברי הפרמ"ג דלהרמב"ם האיסור במקום חתך הוא מדין "בשר בשדה טריפה"</w:t>
      </w:r>
      <w:bookmarkEnd w:id="15887"/>
      <w:bookmarkEnd w:id="15888"/>
      <w:bookmarkEnd w:id="15889"/>
      <w:bookmarkEnd w:id="15890"/>
      <w:bookmarkEnd w:id="15891"/>
      <w:bookmarkEnd w:id="15892"/>
    </w:p>
    <w:p w14:paraId="0B7FF113" w14:textId="77777777" w:rsidR="003D504D" w:rsidRDefault="003D504D" w:rsidP="00223668">
      <w:pPr>
        <w:pStyle w:val="a0"/>
        <w:rPr>
          <w:rtl/>
        </w:rPr>
      </w:pPr>
      <w:r>
        <w:rPr>
          <w:rFonts w:hint="cs"/>
          <w:rtl/>
        </w:rPr>
        <w:t xml:space="preserve">אלא כתב </w:t>
      </w:r>
      <w:r w:rsidRPr="002256B8">
        <w:rPr>
          <w:rStyle w:val="af9"/>
          <w:rFonts w:hint="cs"/>
          <w:rtl/>
        </w:rPr>
        <w:t>הפרמ"ג</w:t>
      </w:r>
      <w:r>
        <w:rPr>
          <w:rFonts w:hint="cs"/>
          <w:rtl/>
        </w:rPr>
        <w:t xml:space="preserve"> </w:t>
      </w:r>
      <w:r w:rsidRPr="0072086A">
        <w:rPr>
          <w:rStyle w:val="af7"/>
          <w:rFonts w:eastAsia="Guttman Hodes" w:hint="cs"/>
          <w:rtl/>
        </w:rPr>
        <w:t xml:space="preserve">(עי' אות </w:t>
      </w:r>
      <w:r w:rsidRPr="0072086A">
        <w:rPr>
          <w:rStyle w:val="af7"/>
          <w:rFonts w:eastAsia="Guttman Hodes"/>
          <w:rtl/>
        </w:rPr>
        <w:fldChar w:fldCharType="begin"/>
      </w:r>
      <w:r w:rsidRPr="0072086A">
        <w:rPr>
          <w:rStyle w:val="af7"/>
          <w:rFonts w:eastAsia="Guttman Hodes"/>
          <w:rtl/>
        </w:rPr>
        <w:instrText xml:space="preserve"> </w:instrText>
      </w:r>
      <w:r w:rsidRPr="0072086A">
        <w:rPr>
          <w:rStyle w:val="af7"/>
          <w:rFonts w:eastAsia="Guttman Hodes" w:hint="cs"/>
        </w:rPr>
        <w:instrText>REF</w:instrText>
      </w:r>
      <w:r w:rsidRPr="0072086A">
        <w:rPr>
          <w:rStyle w:val="af7"/>
          <w:rFonts w:eastAsia="Guttman Hodes" w:hint="cs"/>
          <w:rtl/>
        </w:rPr>
        <w:instrText xml:space="preserve"> _</w:instrText>
      </w:r>
      <w:r w:rsidRPr="0072086A">
        <w:rPr>
          <w:rStyle w:val="af7"/>
          <w:rFonts w:eastAsia="Guttman Hodes" w:hint="cs"/>
        </w:rPr>
        <w:instrText>Ref535524883 \r \h</w:instrText>
      </w:r>
      <w:r w:rsidRPr="0072086A">
        <w:rPr>
          <w:rStyle w:val="af7"/>
          <w:rFonts w:eastAsia="Guttman Hodes"/>
          <w:rtl/>
        </w:rPr>
        <w:instrText xml:space="preserve"> </w:instrText>
      </w:r>
      <w:r w:rsidRPr="0072086A">
        <w:rPr>
          <w:rStyle w:val="af7"/>
          <w:rFonts w:eastAsia="Guttman Hodes"/>
          <w:rtl/>
        </w:rPr>
      </w:r>
      <w:r w:rsidRPr="0072086A">
        <w:rPr>
          <w:rStyle w:val="af7"/>
          <w:rFonts w:eastAsia="Guttman Hodes"/>
          <w:rtl/>
        </w:rPr>
        <w:fldChar w:fldCharType="separate"/>
      </w:r>
      <w:r w:rsidR="00345400">
        <w:rPr>
          <w:rStyle w:val="af7"/>
          <w:rFonts w:eastAsia="Guttman Hodes"/>
          <w:cs/>
        </w:rPr>
        <w:t>‎</w:t>
      </w:r>
      <w:r w:rsidR="00345400">
        <w:rPr>
          <w:rStyle w:val="af7"/>
          <w:rFonts w:eastAsia="Guttman Hodes"/>
          <w:rtl/>
        </w:rPr>
        <w:t>סח)</w:t>
      </w:r>
      <w:r w:rsidRPr="0072086A">
        <w:rPr>
          <w:rStyle w:val="af7"/>
          <w:rFonts w:eastAsia="Guttman Hodes"/>
          <w:rtl/>
        </w:rPr>
        <w:fldChar w:fldCharType="end"/>
      </w:r>
      <w:r>
        <w:rPr>
          <w:rFonts w:hint="cs"/>
          <w:rtl/>
        </w:rPr>
        <w:t xml:space="preserve"> דמוכח מדברי </w:t>
      </w:r>
      <w:r w:rsidRPr="00AF2935">
        <w:rPr>
          <w:rStyle w:val="af9"/>
          <w:rFonts w:hint="cs"/>
          <w:rtl/>
        </w:rPr>
        <w:t>הרמב"ם</w:t>
      </w:r>
      <w:r>
        <w:rPr>
          <w:rFonts w:hint="cs"/>
          <w:rtl/>
        </w:rPr>
        <w:t xml:space="preserve"> דהאיסור במקום חתך הוא כדכתב </w:t>
      </w:r>
      <w:r w:rsidRPr="002256B8">
        <w:rPr>
          <w:rStyle w:val="af9"/>
          <w:rFonts w:hint="cs"/>
          <w:rtl/>
        </w:rPr>
        <w:t>הלבוש</w:t>
      </w:r>
      <w:r>
        <w:rPr>
          <w:rFonts w:hint="cs"/>
          <w:rtl/>
        </w:rPr>
        <w:t xml:space="preserve"> </w:t>
      </w:r>
      <w:r w:rsidRPr="0088592C">
        <w:rPr>
          <w:rStyle w:val="af7"/>
          <w:rFonts w:eastAsia="Guttman Hodes" w:hint="cs"/>
          <w:rtl/>
        </w:rPr>
        <w:t xml:space="preserve">(עי' אות </w:t>
      </w:r>
      <w:r w:rsidRPr="0088592C">
        <w:rPr>
          <w:rStyle w:val="af7"/>
          <w:rFonts w:eastAsia="Guttman Hodes"/>
          <w:rtl/>
        </w:rPr>
        <w:fldChar w:fldCharType="begin"/>
      </w:r>
      <w:r w:rsidRPr="0088592C">
        <w:rPr>
          <w:rStyle w:val="af7"/>
          <w:rFonts w:eastAsia="Guttman Hodes"/>
          <w:rtl/>
        </w:rPr>
        <w:instrText xml:space="preserve"> </w:instrText>
      </w:r>
      <w:r w:rsidRPr="0088592C">
        <w:rPr>
          <w:rStyle w:val="af7"/>
          <w:rFonts w:eastAsia="Guttman Hodes" w:hint="cs"/>
        </w:rPr>
        <w:instrText>REF</w:instrText>
      </w:r>
      <w:r w:rsidRPr="0088592C">
        <w:rPr>
          <w:rStyle w:val="af7"/>
          <w:rFonts w:eastAsia="Guttman Hodes" w:hint="cs"/>
          <w:rtl/>
        </w:rPr>
        <w:instrText xml:space="preserve"> _</w:instrText>
      </w:r>
      <w:r w:rsidRPr="0088592C">
        <w:rPr>
          <w:rStyle w:val="af7"/>
          <w:rFonts w:eastAsia="Guttman Hodes" w:hint="cs"/>
        </w:rPr>
        <w:instrText>Ref535514592 \r \h</w:instrText>
      </w:r>
      <w:r w:rsidRPr="0088592C">
        <w:rPr>
          <w:rStyle w:val="af7"/>
          <w:rFonts w:eastAsia="Guttman Hodes"/>
          <w:rtl/>
        </w:rPr>
        <w:instrText xml:space="preserve"> </w:instrText>
      </w:r>
      <w:r w:rsidRPr="0088592C">
        <w:rPr>
          <w:rStyle w:val="af7"/>
          <w:rFonts w:eastAsia="Guttman Hodes"/>
          <w:rtl/>
        </w:rPr>
      </w:r>
      <w:r w:rsidRPr="0088592C">
        <w:rPr>
          <w:rStyle w:val="af7"/>
          <w:rFonts w:eastAsia="Guttman Hodes"/>
          <w:rtl/>
        </w:rPr>
        <w:fldChar w:fldCharType="separate"/>
      </w:r>
      <w:r w:rsidR="00345400">
        <w:rPr>
          <w:rStyle w:val="af7"/>
          <w:rFonts w:eastAsia="Guttman Hodes"/>
          <w:cs/>
        </w:rPr>
        <w:t>‎</w:t>
      </w:r>
      <w:r w:rsidR="00345400">
        <w:rPr>
          <w:rStyle w:val="af7"/>
          <w:rFonts w:eastAsia="Guttman Hodes"/>
          <w:rtl/>
        </w:rPr>
        <w:t>סא)</w:t>
      </w:r>
      <w:r w:rsidRPr="0088592C">
        <w:rPr>
          <w:rStyle w:val="af7"/>
          <w:rFonts w:eastAsia="Guttman Hodes"/>
          <w:rtl/>
        </w:rPr>
        <w:fldChar w:fldCharType="end"/>
      </w:r>
      <w:r>
        <w:rPr>
          <w:rFonts w:hint="cs"/>
          <w:rtl/>
        </w:rPr>
        <w:t xml:space="preserve"> דאף במקום החתך יש איסור "בשר בשדה טריפה".</w:t>
      </w:r>
    </w:p>
    <w:p w14:paraId="46500EAA" w14:textId="77777777" w:rsidR="003D504D" w:rsidRDefault="003D504D" w:rsidP="003D504D">
      <w:pPr>
        <w:pStyle w:val="a3"/>
        <w:rPr>
          <w:rtl/>
        </w:rPr>
      </w:pPr>
      <w:bookmarkStart w:id="15893" w:name="_Toc535526242"/>
      <w:bookmarkStart w:id="15894" w:name="_Toc535574936"/>
      <w:bookmarkStart w:id="15895" w:name="_Toc535702394"/>
      <w:bookmarkStart w:id="15896" w:name="_Toc535750540"/>
      <w:bookmarkStart w:id="15897" w:name="_Toc19391093"/>
      <w:bookmarkStart w:id="15898" w:name="_Toc19394590"/>
      <w:r>
        <w:rPr>
          <w:rFonts w:hint="cs"/>
          <w:rtl/>
        </w:rPr>
        <w:t>דברי הפרמ"ג דמ"ש רש"י דלא מהני שחיטה למקום חתך הוא רק לר"מ אבל לרבנן אסור מדין טריפה</w:t>
      </w:r>
      <w:bookmarkEnd w:id="15893"/>
      <w:bookmarkEnd w:id="15894"/>
      <w:bookmarkEnd w:id="15895"/>
      <w:bookmarkEnd w:id="15896"/>
      <w:bookmarkEnd w:id="15897"/>
      <w:bookmarkEnd w:id="15898"/>
    </w:p>
    <w:p w14:paraId="084F6268" w14:textId="77777777" w:rsidR="003D504D" w:rsidRDefault="003D504D" w:rsidP="00223668">
      <w:pPr>
        <w:pStyle w:val="a0"/>
      </w:pPr>
      <w:bookmarkStart w:id="15899" w:name="_Ref535517262"/>
      <w:r>
        <w:rPr>
          <w:rFonts w:hint="cs"/>
          <w:rtl/>
        </w:rPr>
        <w:t xml:space="preserve">וכתב </w:t>
      </w:r>
      <w:r w:rsidRPr="002256B8">
        <w:rPr>
          <w:rStyle w:val="af9"/>
          <w:rFonts w:hint="cs"/>
          <w:rtl/>
        </w:rPr>
        <w:t>הפרמ"ג</w:t>
      </w:r>
      <w:r>
        <w:rPr>
          <w:rFonts w:hint="cs"/>
          <w:rtl/>
        </w:rPr>
        <w:t xml:space="preserve"> דאף לדעת </w:t>
      </w:r>
      <w:r w:rsidRPr="002256B8">
        <w:rPr>
          <w:rStyle w:val="af9"/>
          <w:rFonts w:hint="cs"/>
          <w:rtl/>
        </w:rPr>
        <w:t>רש"י</w:t>
      </w:r>
      <w:r>
        <w:rPr>
          <w:rFonts w:hint="cs"/>
          <w:rtl/>
        </w:rPr>
        <w:t xml:space="preserve"> צ"ל דמקום חתך הוא בכלל "בשר בשדה טריפה", ומ"ש </w:t>
      </w:r>
      <w:r w:rsidRPr="00AE4FDD">
        <w:rPr>
          <w:rStyle w:val="af9"/>
          <w:rFonts w:hint="cs"/>
          <w:rtl/>
        </w:rPr>
        <w:t>רש"י</w:t>
      </w:r>
      <w:r>
        <w:rPr>
          <w:rFonts w:hint="cs"/>
          <w:rtl/>
        </w:rPr>
        <w:t xml:space="preserve"> </w:t>
      </w:r>
      <w:r w:rsidRPr="00AE4FDD">
        <w:rPr>
          <w:rStyle w:val="af7"/>
          <w:rFonts w:eastAsia="Guttman Hodes" w:hint="cs"/>
          <w:rtl/>
        </w:rPr>
        <w:t xml:space="preserve">(עי' אות </w:t>
      </w:r>
      <w:r w:rsidRPr="00AE4FDD">
        <w:rPr>
          <w:rStyle w:val="af7"/>
          <w:rFonts w:eastAsia="Guttman Hodes"/>
          <w:rtl/>
        </w:rPr>
        <w:fldChar w:fldCharType="begin"/>
      </w:r>
      <w:r w:rsidRPr="00AE4FDD">
        <w:rPr>
          <w:rStyle w:val="af7"/>
          <w:rFonts w:eastAsia="Guttman Hodes"/>
          <w:rtl/>
        </w:rPr>
        <w:instrText xml:space="preserve"> </w:instrText>
      </w:r>
      <w:r w:rsidRPr="00AE4FDD">
        <w:rPr>
          <w:rStyle w:val="af7"/>
          <w:rFonts w:eastAsia="Guttman Hodes" w:hint="cs"/>
        </w:rPr>
        <w:instrText>REF</w:instrText>
      </w:r>
      <w:r w:rsidRPr="00AE4FDD">
        <w:rPr>
          <w:rStyle w:val="af7"/>
          <w:rFonts w:eastAsia="Guttman Hodes" w:hint="cs"/>
          <w:rtl/>
        </w:rPr>
        <w:instrText xml:space="preserve"> _</w:instrText>
      </w:r>
      <w:r w:rsidRPr="00AE4FDD">
        <w:rPr>
          <w:rStyle w:val="af7"/>
          <w:rFonts w:eastAsia="Guttman Hodes" w:hint="cs"/>
        </w:rPr>
        <w:instrText>Ref535353143 \r \h</w:instrText>
      </w:r>
      <w:r w:rsidRPr="00AE4FDD">
        <w:rPr>
          <w:rStyle w:val="af7"/>
          <w:rFonts w:eastAsia="Guttman Hodes"/>
          <w:rtl/>
        </w:rPr>
        <w:instrText xml:space="preserve"> </w:instrText>
      </w:r>
      <w:r w:rsidRPr="00AE4FDD">
        <w:rPr>
          <w:rStyle w:val="af7"/>
          <w:rFonts w:eastAsia="Guttman Hodes"/>
          <w:rtl/>
        </w:rPr>
      </w:r>
      <w:r w:rsidRPr="00AE4FDD">
        <w:rPr>
          <w:rStyle w:val="af7"/>
          <w:rFonts w:eastAsia="Guttman Hodes"/>
          <w:rtl/>
        </w:rPr>
        <w:fldChar w:fldCharType="separate"/>
      </w:r>
      <w:r w:rsidR="00345400">
        <w:rPr>
          <w:rStyle w:val="af7"/>
          <w:rFonts w:eastAsia="Guttman Hodes"/>
          <w:cs/>
        </w:rPr>
        <w:t>‎</w:t>
      </w:r>
      <w:r w:rsidR="00345400">
        <w:rPr>
          <w:rStyle w:val="af7"/>
          <w:rFonts w:eastAsia="Guttman Hodes"/>
          <w:rtl/>
        </w:rPr>
        <w:t>נ)</w:t>
      </w:r>
      <w:r w:rsidRPr="00AE4FDD">
        <w:rPr>
          <w:rStyle w:val="af7"/>
          <w:rFonts w:eastAsia="Guttman Hodes"/>
          <w:rtl/>
        </w:rPr>
        <w:fldChar w:fldCharType="end"/>
      </w:r>
      <w:r>
        <w:rPr>
          <w:rFonts w:hint="cs"/>
          <w:rtl/>
        </w:rPr>
        <w:t xml:space="preserve"> דמקום חתך אינן בכלל האיסור, היינו בביאור המשנה והברייתא שהם כדעת ר"מ לקמן </w:t>
      </w:r>
      <w:r w:rsidRPr="00D317C7">
        <w:rPr>
          <w:rStyle w:val="af7"/>
          <w:rFonts w:eastAsia="Guttman Hodes" w:hint="cs"/>
          <w:rtl/>
        </w:rPr>
        <w:t>(עב.)</w:t>
      </w:r>
      <w:r>
        <w:rPr>
          <w:rFonts w:hint="cs"/>
          <w:rtl/>
        </w:rPr>
        <w:t xml:space="preserve">, דס"ל דמגע אבר היוצא הוא כמגע נבילה, דהיינו דלא מהני ליה שחיטה, ומבואר דאינו בכלל היתר </w:t>
      </w:r>
      <w:r>
        <w:rPr>
          <w:rtl/>
        </w:rPr>
        <w:t>"</w:t>
      </w:r>
      <w:r>
        <w:rPr>
          <w:rFonts w:hint="cs"/>
          <w:rtl/>
        </w:rPr>
        <w:t>כל בבהמה</w:t>
      </w:r>
      <w:r>
        <w:rPr>
          <w:rtl/>
        </w:rPr>
        <w:t>"</w:t>
      </w:r>
      <w:r>
        <w:rPr>
          <w:rFonts w:hint="cs"/>
          <w:rtl/>
        </w:rPr>
        <w:t xml:space="preserve">, אבל לרבנן לקמן </w:t>
      </w:r>
      <w:r w:rsidRPr="00D317C7">
        <w:rPr>
          <w:rStyle w:val="af7"/>
          <w:rFonts w:eastAsia="Guttman Hodes" w:hint="cs"/>
          <w:rtl/>
        </w:rPr>
        <w:t>(עב.)</w:t>
      </w:r>
      <w:r>
        <w:rPr>
          <w:rFonts w:hint="cs"/>
          <w:rtl/>
        </w:rPr>
        <w:t xml:space="preserve"> דס"ל דמגע אבר היוצא הוא כמגע שחוטה, מוכח דמהני ליה שחיטה והוא בכלל היתר </w:t>
      </w:r>
      <w:r>
        <w:rPr>
          <w:rtl/>
        </w:rPr>
        <w:t>"</w:t>
      </w:r>
      <w:r>
        <w:rPr>
          <w:rFonts w:hint="cs"/>
          <w:rtl/>
        </w:rPr>
        <w:t>כל בבהמה</w:t>
      </w:r>
      <w:r>
        <w:rPr>
          <w:rtl/>
        </w:rPr>
        <w:t>"</w:t>
      </w:r>
      <w:r>
        <w:rPr>
          <w:rFonts w:hint="cs"/>
          <w:rtl/>
        </w:rPr>
        <w:t>, ואסור מדין "בשר בשדה טריפה", ואף מקום החתך בלא החזירו אסור מדין "בשר בשדה טריפה" עיי"ש בדבריו.</w:t>
      </w:r>
      <w:bookmarkEnd w:id="15899"/>
    </w:p>
    <w:p w14:paraId="687EF0AB" w14:textId="77777777" w:rsidR="003D504D" w:rsidRPr="00F9746F" w:rsidRDefault="003D504D" w:rsidP="00BF39B2">
      <w:pPr>
        <w:pStyle w:val="1"/>
        <w:rPr>
          <w:rtl/>
        </w:rPr>
      </w:pPr>
      <w:bookmarkStart w:id="15900" w:name="_Toc535526243"/>
      <w:bookmarkStart w:id="15901" w:name="_Toc535574937"/>
      <w:bookmarkStart w:id="15902" w:name="_Toc535702395"/>
      <w:bookmarkStart w:id="15903" w:name="_Toc535750541"/>
      <w:bookmarkStart w:id="15904" w:name="_Toc19391094"/>
      <w:bookmarkStart w:id="15905" w:name="_Toc19394591"/>
      <w:r>
        <w:rPr>
          <w:rFonts w:hint="cs"/>
          <w:rtl/>
        </w:rPr>
        <w:t>דברי הלבוש דמקום חתך חשיב כראה פני השדה</w:t>
      </w:r>
      <w:bookmarkEnd w:id="15900"/>
      <w:bookmarkEnd w:id="15901"/>
      <w:bookmarkEnd w:id="15902"/>
      <w:bookmarkEnd w:id="15903"/>
      <w:bookmarkEnd w:id="15904"/>
      <w:bookmarkEnd w:id="15905"/>
      <w:r>
        <w:rPr>
          <w:rFonts w:hint="cs"/>
          <w:rtl/>
        </w:rPr>
        <w:t xml:space="preserve"> </w:t>
      </w:r>
    </w:p>
    <w:p w14:paraId="68E3B57F" w14:textId="77777777" w:rsidR="003D504D" w:rsidRDefault="003D504D" w:rsidP="003D504D">
      <w:pPr>
        <w:pStyle w:val="a3"/>
        <w:rPr>
          <w:rtl/>
        </w:rPr>
      </w:pPr>
      <w:bookmarkStart w:id="15906" w:name="_Toc535526244"/>
      <w:bookmarkStart w:id="15907" w:name="_Toc535574938"/>
      <w:bookmarkStart w:id="15908" w:name="_Toc535702396"/>
      <w:bookmarkStart w:id="15909" w:name="_Toc535750542"/>
      <w:bookmarkStart w:id="15910" w:name="_Toc19391095"/>
      <w:bookmarkStart w:id="15911" w:name="_Toc19394592"/>
      <w:r>
        <w:rPr>
          <w:rFonts w:hint="cs"/>
          <w:rtl/>
        </w:rPr>
        <w:t>דברי הלבוש דמקום החתך כשלא החזירו חשיב כראה פני השדה אם היה נחתך לפני השחיטה</w:t>
      </w:r>
      <w:bookmarkEnd w:id="15906"/>
      <w:bookmarkEnd w:id="15907"/>
      <w:bookmarkEnd w:id="15908"/>
      <w:bookmarkEnd w:id="15909"/>
      <w:bookmarkEnd w:id="15910"/>
      <w:bookmarkEnd w:id="15911"/>
    </w:p>
    <w:p w14:paraId="02B6C020" w14:textId="77777777" w:rsidR="003D504D" w:rsidRDefault="003D504D" w:rsidP="00223668">
      <w:pPr>
        <w:pStyle w:val="a0"/>
        <w:rPr>
          <w:rtl/>
        </w:rPr>
      </w:pPr>
      <w:bookmarkStart w:id="15912" w:name="_Ref535514592"/>
      <w:r>
        <w:rPr>
          <w:rFonts w:hint="cs"/>
          <w:rtl/>
        </w:rPr>
        <w:t xml:space="preserve">כתב </w:t>
      </w:r>
      <w:r w:rsidRPr="00760352">
        <w:rPr>
          <w:rStyle w:val="af9"/>
          <w:rFonts w:hint="cs"/>
          <w:rtl/>
        </w:rPr>
        <w:t>הלבוש</w:t>
      </w:r>
      <w:r>
        <w:rPr>
          <w:rFonts w:hint="cs"/>
          <w:rtl/>
        </w:rPr>
        <w:t xml:space="preserve"> </w:t>
      </w:r>
      <w:r w:rsidRPr="00760352">
        <w:rPr>
          <w:rStyle w:val="af7"/>
          <w:rFonts w:eastAsia="Guttman Hodes" w:hint="cs"/>
          <w:rtl/>
        </w:rPr>
        <w:t>(סי' י"ד ב')</w:t>
      </w:r>
      <w:r>
        <w:rPr>
          <w:rFonts w:hint="cs"/>
          <w:rtl/>
        </w:rPr>
        <w:t xml:space="preserve"> דבהחזיר את האבר, מקום החתך מותר, דכיון שלא יצא לאויר העולם אינו בכלל איסור "בשר בשדה טריפה", ובלא החזיר מקום החתך אסור, דאינו בכלל היתר </w:t>
      </w:r>
      <w:r>
        <w:rPr>
          <w:rtl/>
        </w:rPr>
        <w:t>"</w:t>
      </w:r>
      <w:r>
        <w:rPr>
          <w:rFonts w:hint="cs"/>
          <w:rtl/>
        </w:rPr>
        <w:t>כל בבהמה</w:t>
      </w:r>
      <w:r>
        <w:rPr>
          <w:rtl/>
        </w:rPr>
        <w:t>"</w:t>
      </w:r>
      <w:r>
        <w:rPr>
          <w:rFonts w:hint="cs"/>
          <w:rtl/>
        </w:rPr>
        <w:t xml:space="preserve">, וביאר </w:t>
      </w:r>
      <w:r w:rsidRPr="005205CC">
        <w:rPr>
          <w:rStyle w:val="af9"/>
          <w:rFonts w:hint="cs"/>
          <w:rtl/>
        </w:rPr>
        <w:t xml:space="preserve">הלבוש </w:t>
      </w:r>
      <w:r>
        <w:rPr>
          <w:rFonts w:hint="cs"/>
          <w:rtl/>
        </w:rPr>
        <w:t xml:space="preserve">דחשיב כאילו מקום החתך ראה את פני השדה, אם היה נחתך </w:t>
      </w:r>
      <w:r w:rsidRPr="005205CC">
        <w:rPr>
          <w:rStyle w:val="afb"/>
          <w:rFonts w:hint="cs"/>
          <w:rtl/>
        </w:rPr>
        <w:t>[האבר]</w:t>
      </w:r>
      <w:r>
        <w:rPr>
          <w:rFonts w:hint="cs"/>
          <w:rtl/>
        </w:rPr>
        <w:t xml:space="preserve"> לפני השחיטה.</w:t>
      </w:r>
      <w:bookmarkEnd w:id="15912"/>
    </w:p>
    <w:p w14:paraId="37F5502F" w14:textId="77777777" w:rsidR="003D504D" w:rsidRPr="005C3FDF" w:rsidRDefault="003D504D" w:rsidP="00BF39B2">
      <w:pPr>
        <w:pStyle w:val="1"/>
        <w:rPr>
          <w:rtl/>
        </w:rPr>
      </w:pPr>
      <w:bookmarkStart w:id="15913" w:name="_Toc535526245"/>
      <w:bookmarkStart w:id="15914" w:name="_Toc535574939"/>
      <w:bookmarkStart w:id="15915" w:name="_Toc535702397"/>
      <w:bookmarkStart w:id="15916" w:name="_Toc535750543"/>
      <w:bookmarkStart w:id="15917" w:name="_Toc19391096"/>
      <w:bookmarkStart w:id="15918" w:name="_Toc19394593"/>
      <w:r>
        <w:rPr>
          <w:rFonts w:hint="cs"/>
          <w:rtl/>
        </w:rPr>
        <w:t>ביאור התבו"ש בלבוש דרק בשחיטה מקום החתך חשיב כגלוי</w:t>
      </w:r>
      <w:bookmarkEnd w:id="15913"/>
      <w:bookmarkEnd w:id="15914"/>
      <w:bookmarkEnd w:id="15915"/>
      <w:bookmarkEnd w:id="15916"/>
      <w:bookmarkEnd w:id="15917"/>
      <w:bookmarkEnd w:id="15918"/>
    </w:p>
    <w:p w14:paraId="5911FCA2" w14:textId="77777777" w:rsidR="003D504D" w:rsidRDefault="003D504D" w:rsidP="003D504D">
      <w:pPr>
        <w:pStyle w:val="a3"/>
        <w:rPr>
          <w:rtl/>
        </w:rPr>
      </w:pPr>
      <w:bookmarkStart w:id="15919" w:name="_Toc535526246"/>
      <w:bookmarkStart w:id="15920" w:name="_Toc535574940"/>
      <w:bookmarkStart w:id="15921" w:name="_Toc535702398"/>
      <w:bookmarkStart w:id="15922" w:name="_Toc535750544"/>
      <w:bookmarkStart w:id="15923" w:name="_Toc19391097"/>
      <w:bookmarkStart w:id="15924" w:name="_Toc19394594"/>
      <w:r>
        <w:rPr>
          <w:rFonts w:hint="cs"/>
          <w:rtl/>
        </w:rPr>
        <w:t>דברי התבו"ש דלדעת הלבוש אם הוציא אבר שרואה את פני השדה ולא יצא חוץ למחיצה אסור</w:t>
      </w:r>
      <w:bookmarkEnd w:id="15919"/>
      <w:bookmarkEnd w:id="15920"/>
      <w:bookmarkEnd w:id="15921"/>
      <w:bookmarkEnd w:id="15922"/>
      <w:bookmarkEnd w:id="15923"/>
      <w:bookmarkEnd w:id="15924"/>
    </w:p>
    <w:p w14:paraId="2215B05D" w14:textId="77777777" w:rsidR="003D504D" w:rsidRDefault="003D504D" w:rsidP="00223668">
      <w:pPr>
        <w:pStyle w:val="a0"/>
        <w:rPr>
          <w:rtl/>
        </w:rPr>
      </w:pPr>
      <w:bookmarkStart w:id="15925" w:name="_Ref535522662"/>
      <w:r>
        <w:rPr>
          <w:rFonts w:hint="cs"/>
          <w:rtl/>
        </w:rPr>
        <w:t xml:space="preserve">וכתב </w:t>
      </w:r>
      <w:r w:rsidRPr="00D9026F">
        <w:rPr>
          <w:rStyle w:val="af9"/>
          <w:rFonts w:hint="cs"/>
          <w:rtl/>
        </w:rPr>
        <w:t xml:space="preserve">התבו"ש </w:t>
      </w:r>
      <w:r w:rsidRPr="00D9026F">
        <w:rPr>
          <w:rStyle w:val="af7"/>
          <w:rFonts w:eastAsia="Guttman Hodes" w:hint="cs"/>
          <w:rtl/>
        </w:rPr>
        <w:t xml:space="preserve">(סי' </w:t>
      </w:r>
      <w:r>
        <w:rPr>
          <w:rStyle w:val="af7"/>
          <w:rFonts w:eastAsia="Guttman Hodes" w:hint="cs"/>
          <w:rtl/>
        </w:rPr>
        <w:t>י</w:t>
      </w:r>
      <w:r>
        <w:rPr>
          <w:rStyle w:val="af7"/>
          <w:rFonts w:eastAsia="Guttman Hodes"/>
          <w:rtl/>
        </w:rPr>
        <w:t>"</w:t>
      </w:r>
      <w:r>
        <w:rPr>
          <w:rStyle w:val="af7"/>
          <w:rFonts w:eastAsia="Guttman Hodes" w:hint="cs"/>
          <w:rtl/>
        </w:rPr>
        <w:t>ד</w:t>
      </w:r>
      <w:r w:rsidRPr="00F15D6B">
        <w:rPr>
          <w:rStyle w:val="af7"/>
          <w:rFonts w:eastAsia="Guttman Hodes"/>
          <w:rtl/>
        </w:rPr>
        <w:t xml:space="preserve"> </w:t>
      </w:r>
      <w:r w:rsidRPr="00D9026F">
        <w:rPr>
          <w:rStyle w:val="af7"/>
          <w:rFonts w:eastAsia="Guttman Hodes" w:hint="cs"/>
          <w:rtl/>
        </w:rPr>
        <w:t>סק"ט)</w:t>
      </w:r>
      <w:r>
        <w:rPr>
          <w:rFonts w:hint="cs"/>
          <w:rtl/>
        </w:rPr>
        <w:t xml:space="preserve"> דמבואר מדברי </w:t>
      </w:r>
      <w:r w:rsidRPr="00D9026F">
        <w:rPr>
          <w:rStyle w:val="af9"/>
          <w:rFonts w:hint="cs"/>
          <w:rtl/>
        </w:rPr>
        <w:t>הלבוש</w:t>
      </w:r>
      <w:r>
        <w:rPr>
          <w:rFonts w:hint="cs"/>
          <w:rtl/>
        </w:rPr>
        <w:t xml:space="preserve">, דאם הוציא העובר אבר עד שפת הרחם, אך לא יצא מחוץ למחיצת אמו, דהאבר אסור מדין "בשר בשדה טריפה", דהא האבר ראה את פני השדה, וכיון דמקום החתך שלא היה נראה ממש לבחוץ </w:t>
      </w:r>
      <w:r w:rsidRPr="00D9026F">
        <w:rPr>
          <w:rStyle w:val="afb"/>
          <w:rFonts w:hint="cs"/>
          <w:rtl/>
        </w:rPr>
        <w:t xml:space="preserve">[דהאבר היוצא עצמו מכסה את מקום החתך] </w:t>
      </w:r>
      <w:r>
        <w:rPr>
          <w:rFonts w:hint="cs"/>
          <w:rtl/>
        </w:rPr>
        <w:t>אסור, א"כ כ"ש כשהאבר עצמו היה נראה לבחוץ דאסור.</w:t>
      </w:r>
      <w:bookmarkEnd w:id="15925"/>
    </w:p>
    <w:p w14:paraId="351BADA3" w14:textId="77777777" w:rsidR="003D504D" w:rsidRPr="00B400BB" w:rsidRDefault="003D504D" w:rsidP="003D504D">
      <w:pPr>
        <w:pStyle w:val="a3"/>
        <w:rPr>
          <w:rtl/>
        </w:rPr>
      </w:pPr>
      <w:bookmarkStart w:id="15926" w:name="_Toc535526247"/>
      <w:bookmarkStart w:id="15927" w:name="_Toc535574941"/>
      <w:bookmarkStart w:id="15928" w:name="_Toc535702399"/>
      <w:bookmarkStart w:id="15929" w:name="_Toc535750545"/>
      <w:bookmarkStart w:id="15930" w:name="_Toc19391098"/>
      <w:bookmarkStart w:id="15931" w:name="_Toc19394595"/>
      <w:r>
        <w:rPr>
          <w:rFonts w:hint="cs"/>
          <w:rtl/>
        </w:rPr>
        <w:t>קושית התבו"ש דאי מקום החתך חשיב כרואה את פני השדה אמאי בהחזיר את האבר מותר</w:t>
      </w:r>
      <w:bookmarkEnd w:id="15926"/>
      <w:bookmarkEnd w:id="15927"/>
      <w:bookmarkEnd w:id="15928"/>
      <w:bookmarkEnd w:id="15929"/>
      <w:bookmarkEnd w:id="15930"/>
      <w:bookmarkEnd w:id="15931"/>
    </w:p>
    <w:p w14:paraId="01E1157E" w14:textId="77777777" w:rsidR="003D504D" w:rsidRDefault="003D504D" w:rsidP="00223668">
      <w:pPr>
        <w:pStyle w:val="a0"/>
        <w:rPr>
          <w:rtl/>
        </w:rPr>
      </w:pPr>
      <w:r>
        <w:rPr>
          <w:rFonts w:hint="cs"/>
          <w:rtl/>
        </w:rPr>
        <w:t xml:space="preserve">אך הקשה </w:t>
      </w:r>
      <w:r w:rsidRPr="00D9026F">
        <w:rPr>
          <w:rStyle w:val="af9"/>
          <w:rFonts w:hint="cs"/>
          <w:rtl/>
        </w:rPr>
        <w:t xml:space="preserve">התבו"ש </w:t>
      </w:r>
      <w:r>
        <w:rPr>
          <w:rFonts w:hint="cs"/>
          <w:rtl/>
        </w:rPr>
        <w:t>דאי מקום החתך חשיב כראה פני השדה, אמאי בהחזיר העובר את האבר מקום החתך מותר, הא נאסר מדין "בשר בשדה טריפה", וחזרה לא מהני להתירו.</w:t>
      </w:r>
    </w:p>
    <w:p w14:paraId="33023CFE" w14:textId="77777777" w:rsidR="003D504D" w:rsidRDefault="003D504D" w:rsidP="003D504D">
      <w:pPr>
        <w:pStyle w:val="a3"/>
        <w:rPr>
          <w:rtl/>
        </w:rPr>
      </w:pPr>
      <w:bookmarkStart w:id="15932" w:name="_Toc535526248"/>
      <w:bookmarkStart w:id="15933" w:name="_Toc535574942"/>
      <w:bookmarkStart w:id="15934" w:name="_Toc535702400"/>
      <w:bookmarkStart w:id="15935" w:name="_Toc535750546"/>
      <w:bookmarkStart w:id="15936" w:name="_Toc19391099"/>
      <w:bookmarkStart w:id="15937" w:name="_Toc19394596"/>
      <w:r>
        <w:rPr>
          <w:rFonts w:hint="cs"/>
          <w:rtl/>
        </w:rPr>
        <w:t>דברי התבו"ש דלפני השחיטה מודה הלבוש דמקום החתך מכוסה ע"י האבר ואינו גלוי</w:t>
      </w:r>
      <w:bookmarkEnd w:id="15932"/>
      <w:bookmarkEnd w:id="15933"/>
      <w:bookmarkEnd w:id="15934"/>
      <w:bookmarkEnd w:id="15935"/>
      <w:bookmarkEnd w:id="15936"/>
      <w:bookmarkEnd w:id="15937"/>
    </w:p>
    <w:p w14:paraId="77EABB48" w14:textId="77777777" w:rsidR="003D504D" w:rsidRDefault="003D504D" w:rsidP="00223668">
      <w:pPr>
        <w:pStyle w:val="a0"/>
        <w:rPr>
          <w:rtl/>
        </w:rPr>
      </w:pPr>
      <w:bookmarkStart w:id="15938" w:name="_Ref535523170"/>
      <w:r>
        <w:rPr>
          <w:rFonts w:hint="cs"/>
          <w:rtl/>
        </w:rPr>
        <w:t xml:space="preserve">וכתב </w:t>
      </w:r>
      <w:r w:rsidRPr="00D9026F">
        <w:rPr>
          <w:rStyle w:val="af9"/>
          <w:rFonts w:hint="cs"/>
          <w:rtl/>
        </w:rPr>
        <w:t xml:space="preserve">התבו"ש </w:t>
      </w:r>
      <w:r>
        <w:rPr>
          <w:rFonts w:hint="cs"/>
          <w:rtl/>
        </w:rPr>
        <w:t xml:space="preserve">דאפשר לבאר בדוחק דאף לדעת </w:t>
      </w:r>
      <w:r w:rsidRPr="00D9026F">
        <w:rPr>
          <w:rStyle w:val="af9"/>
          <w:rFonts w:hint="cs"/>
          <w:rtl/>
        </w:rPr>
        <w:t xml:space="preserve">הלבוש </w:t>
      </w:r>
      <w:r>
        <w:rPr>
          <w:rFonts w:hint="cs"/>
          <w:rtl/>
        </w:rPr>
        <w:t>לפני השחיטה אין במקום החתך</w:t>
      </w:r>
      <w:r w:rsidRPr="003B524D">
        <w:rPr>
          <w:rFonts w:hint="cs"/>
          <w:rtl/>
        </w:rPr>
        <w:t xml:space="preserve"> </w:t>
      </w:r>
      <w:r>
        <w:rPr>
          <w:rFonts w:hint="cs"/>
          <w:rtl/>
        </w:rPr>
        <w:t>בו איסור "בשר בשדה טריפה", כיון שמקום החתך היה מכוסה ע"י האבר היוצא, ולכן כשהחזירו לפני השחיטה, הוא מותר.</w:t>
      </w:r>
      <w:bookmarkEnd w:id="15938"/>
    </w:p>
    <w:p w14:paraId="031FB64A" w14:textId="77777777" w:rsidR="003D504D" w:rsidRPr="003B524D" w:rsidRDefault="003D504D" w:rsidP="003D504D">
      <w:pPr>
        <w:pStyle w:val="a3"/>
        <w:rPr>
          <w:rtl/>
        </w:rPr>
      </w:pPr>
      <w:bookmarkStart w:id="15939" w:name="_Toc535526249"/>
      <w:bookmarkStart w:id="15940" w:name="_Toc535574943"/>
      <w:bookmarkStart w:id="15941" w:name="_Toc535702401"/>
      <w:bookmarkStart w:id="15942" w:name="_Toc535750547"/>
      <w:bookmarkStart w:id="15943" w:name="_Toc19391100"/>
      <w:bookmarkStart w:id="15944" w:name="_Toc19394597"/>
      <w:r>
        <w:rPr>
          <w:rFonts w:hint="cs"/>
          <w:rtl/>
        </w:rPr>
        <w:t>ביאור התבו"ש בלבוש דבשחיטה נעשה אוכל וחשיב שנחתך האבר ומקום החתך נעשה גלוי</w:t>
      </w:r>
      <w:bookmarkEnd w:id="15939"/>
      <w:bookmarkEnd w:id="15940"/>
      <w:bookmarkEnd w:id="15941"/>
      <w:bookmarkEnd w:id="15942"/>
      <w:bookmarkEnd w:id="15943"/>
      <w:bookmarkEnd w:id="15944"/>
    </w:p>
    <w:p w14:paraId="72A0F58B" w14:textId="77777777" w:rsidR="003D504D" w:rsidRDefault="003D504D" w:rsidP="00223668">
      <w:pPr>
        <w:pStyle w:val="a0"/>
        <w:rPr>
          <w:rtl/>
        </w:rPr>
      </w:pPr>
      <w:r>
        <w:rPr>
          <w:rFonts w:hint="cs"/>
          <w:rtl/>
        </w:rPr>
        <w:t xml:space="preserve">וכתב </w:t>
      </w:r>
      <w:r w:rsidRPr="00D9026F">
        <w:rPr>
          <w:rStyle w:val="af9"/>
          <w:rFonts w:hint="cs"/>
          <w:rtl/>
        </w:rPr>
        <w:t xml:space="preserve">התבו"ש </w:t>
      </w:r>
      <w:r>
        <w:rPr>
          <w:rFonts w:hint="cs"/>
          <w:rtl/>
        </w:rPr>
        <w:t xml:space="preserve">דכ"מ דכתב </w:t>
      </w:r>
      <w:r w:rsidRPr="00D9026F">
        <w:rPr>
          <w:rStyle w:val="af9"/>
          <w:rFonts w:hint="cs"/>
          <w:rtl/>
        </w:rPr>
        <w:t>הלבוש</w:t>
      </w:r>
      <w:r>
        <w:rPr>
          <w:rFonts w:hint="cs"/>
          <w:rtl/>
        </w:rPr>
        <w:t xml:space="preserve"> דמקום החתך חשיב כאילו ראה את פני השדה ויש בו איסור "בשר בשדה טריפה", זהו דוקא כשלא החזיר את האבר, דהא בשעת השחיטה מקום החתך והאבר היוצא חשיבי כאוכל, ואיתא בגמ' לקמן </w:t>
      </w:r>
      <w:r w:rsidRPr="00D9026F">
        <w:rPr>
          <w:rStyle w:val="af7"/>
          <w:rFonts w:eastAsia="Guttman Hodes" w:hint="cs"/>
          <w:rtl/>
        </w:rPr>
        <w:t>(עג.)</w:t>
      </w:r>
      <w:r>
        <w:rPr>
          <w:rFonts w:hint="cs"/>
          <w:rtl/>
        </w:rPr>
        <w:t xml:space="preserve"> "דחיבורי אוכלין כמאן דמפרתי דמי", וכתב </w:t>
      </w:r>
      <w:r w:rsidRPr="00D9026F">
        <w:rPr>
          <w:rStyle w:val="af9"/>
          <w:rFonts w:hint="cs"/>
          <w:rtl/>
        </w:rPr>
        <w:t xml:space="preserve">התבו"ש </w:t>
      </w:r>
      <w:r>
        <w:rPr>
          <w:rFonts w:hint="cs"/>
          <w:rtl/>
        </w:rPr>
        <w:t xml:space="preserve">דזו כוונת </w:t>
      </w:r>
      <w:r w:rsidRPr="004F43FE">
        <w:rPr>
          <w:rStyle w:val="af9"/>
          <w:rFonts w:hint="cs"/>
          <w:rtl/>
        </w:rPr>
        <w:t xml:space="preserve">הלבוש </w:t>
      </w:r>
      <w:r>
        <w:rPr>
          <w:rFonts w:hint="cs"/>
          <w:rtl/>
        </w:rPr>
        <w:t>דחשיב שמקום החתך ראה את פני השדה, דכיון שנעשה אוכל אינו מחובר לאבר היוצא, והאבר היוצא אינו מכסה את מקום החתך, וחשיב כגלוי על פני השדה, וכיון שבבת אחת נעשה מקום החתך אוכל, ובאותו הזמן חשיב שראה את פני השדה, לכן הוא אסור.</w:t>
      </w:r>
    </w:p>
    <w:p w14:paraId="23F8CC56" w14:textId="77777777" w:rsidR="003D504D" w:rsidRDefault="003D504D" w:rsidP="003D504D">
      <w:pPr>
        <w:pStyle w:val="a3"/>
        <w:rPr>
          <w:rtl/>
        </w:rPr>
      </w:pPr>
      <w:bookmarkStart w:id="15945" w:name="_Toc535526250"/>
      <w:bookmarkStart w:id="15946" w:name="_Toc535574944"/>
      <w:bookmarkStart w:id="15947" w:name="_Toc535702402"/>
      <w:bookmarkStart w:id="15948" w:name="_Toc535750548"/>
      <w:bookmarkStart w:id="15949" w:name="_Toc19391101"/>
      <w:bookmarkStart w:id="15950" w:name="_Toc19394598"/>
      <w:r>
        <w:rPr>
          <w:rFonts w:hint="cs"/>
          <w:rtl/>
        </w:rPr>
        <w:t>דחיית התבו"ש דדין אוכל אינו מחשיב שנחתך ושעת השחיטה אינה מחשיבה את האבר כגלוי</w:t>
      </w:r>
      <w:bookmarkEnd w:id="15945"/>
      <w:bookmarkEnd w:id="15946"/>
      <w:bookmarkEnd w:id="15947"/>
      <w:bookmarkEnd w:id="15948"/>
      <w:bookmarkEnd w:id="15949"/>
      <w:bookmarkEnd w:id="15950"/>
      <w:r>
        <w:rPr>
          <w:rFonts w:hint="cs"/>
          <w:rtl/>
        </w:rPr>
        <w:t xml:space="preserve"> </w:t>
      </w:r>
    </w:p>
    <w:p w14:paraId="1AC3CCF2" w14:textId="77777777" w:rsidR="003D504D" w:rsidRDefault="003D504D" w:rsidP="00223668">
      <w:pPr>
        <w:pStyle w:val="a0"/>
        <w:rPr>
          <w:rtl/>
        </w:rPr>
      </w:pPr>
      <w:r>
        <w:rPr>
          <w:rFonts w:hint="cs"/>
          <w:rtl/>
        </w:rPr>
        <w:t xml:space="preserve">אך כתב </w:t>
      </w:r>
      <w:r w:rsidRPr="00D9026F">
        <w:rPr>
          <w:rStyle w:val="af9"/>
          <w:rFonts w:hint="cs"/>
          <w:rtl/>
        </w:rPr>
        <w:t xml:space="preserve">התבו"ש </w:t>
      </w:r>
      <w:r>
        <w:rPr>
          <w:rFonts w:hint="cs"/>
          <w:rtl/>
        </w:rPr>
        <w:t xml:space="preserve">דלא משמע כן בלשון </w:t>
      </w:r>
      <w:r w:rsidRPr="00D9026F">
        <w:rPr>
          <w:rStyle w:val="af9"/>
          <w:rFonts w:hint="cs"/>
          <w:rtl/>
        </w:rPr>
        <w:t>הלבוש</w:t>
      </w:r>
      <w:r>
        <w:rPr>
          <w:rFonts w:hint="cs"/>
          <w:rtl/>
        </w:rPr>
        <w:t xml:space="preserve">, ועוד דחה </w:t>
      </w:r>
      <w:r w:rsidRPr="00D9026F">
        <w:rPr>
          <w:rStyle w:val="af9"/>
          <w:rFonts w:hint="cs"/>
          <w:rtl/>
        </w:rPr>
        <w:t xml:space="preserve">התבו"ש </w:t>
      </w:r>
      <w:r>
        <w:rPr>
          <w:rFonts w:hint="cs"/>
          <w:rtl/>
        </w:rPr>
        <w:t xml:space="preserve">דהא "דחיבורי אוכלין כמאן דמפרתי דמי", אינו מחמת שיש לו דין אוכל, אלא כמבואר </w:t>
      </w:r>
      <w:r w:rsidRPr="00D9026F">
        <w:rPr>
          <w:rStyle w:val="af9"/>
          <w:rFonts w:hint="cs"/>
          <w:rtl/>
        </w:rPr>
        <w:t xml:space="preserve">ברש"י לקמן </w:t>
      </w:r>
      <w:r w:rsidRPr="00D9026F">
        <w:rPr>
          <w:rStyle w:val="af7"/>
          <w:rFonts w:eastAsia="Guttman Hodes" w:hint="cs"/>
          <w:rtl/>
        </w:rPr>
        <w:t>(עג. ד"ה חבורי)</w:t>
      </w:r>
      <w:r>
        <w:rPr>
          <w:rFonts w:hint="cs"/>
          <w:rtl/>
        </w:rPr>
        <w:t xml:space="preserve"> דדבר רך לא חשיב חיבור, וא"כ אין חילוק בין החזיר ללא החזיר, ועיי"ש עוד בדברי </w:t>
      </w:r>
      <w:r w:rsidRPr="00D23CD8">
        <w:rPr>
          <w:rStyle w:val="af9"/>
          <w:rFonts w:hint="cs"/>
          <w:rtl/>
        </w:rPr>
        <w:t>התבו"ש</w:t>
      </w:r>
      <w:r>
        <w:rPr>
          <w:rFonts w:hint="cs"/>
          <w:rtl/>
        </w:rPr>
        <w:t xml:space="preserve"> במה שהקשה מאיסור קדשים.</w:t>
      </w:r>
    </w:p>
    <w:p w14:paraId="649A2140" w14:textId="77777777" w:rsidR="003D504D" w:rsidRPr="00D9026F" w:rsidRDefault="003D504D" w:rsidP="003D504D">
      <w:pPr>
        <w:pStyle w:val="a3"/>
      </w:pPr>
      <w:bookmarkStart w:id="15951" w:name="_Toc535526251"/>
      <w:bookmarkStart w:id="15952" w:name="_Toc535574945"/>
      <w:bookmarkStart w:id="15953" w:name="_Toc535702403"/>
      <w:bookmarkStart w:id="15954" w:name="_Toc535750549"/>
      <w:bookmarkStart w:id="15955" w:name="_Toc19391102"/>
      <w:bookmarkStart w:id="15956" w:name="_Toc19394599"/>
      <w:r>
        <w:rPr>
          <w:rFonts w:hint="cs"/>
          <w:rtl/>
        </w:rPr>
        <w:t xml:space="preserve">דברי התבו"ש דבמקום חתך אין היתר </w:t>
      </w:r>
      <w:r>
        <w:rPr>
          <w:rtl/>
        </w:rPr>
        <w:t>"</w:t>
      </w:r>
      <w:r>
        <w:rPr>
          <w:rFonts w:hint="cs"/>
          <w:rtl/>
        </w:rPr>
        <w:t>כל בבהמה</w:t>
      </w:r>
      <w:r>
        <w:rPr>
          <w:rtl/>
        </w:rPr>
        <w:t>"</w:t>
      </w:r>
      <w:r>
        <w:rPr>
          <w:rFonts w:hint="cs"/>
          <w:rtl/>
        </w:rPr>
        <w:t xml:space="preserve"> ולפי"ז אבר שנראה בחוץ ולא יצא מותר</w:t>
      </w:r>
      <w:bookmarkEnd w:id="15951"/>
      <w:bookmarkEnd w:id="15952"/>
      <w:bookmarkEnd w:id="15953"/>
      <w:bookmarkEnd w:id="15954"/>
      <w:bookmarkEnd w:id="15955"/>
      <w:bookmarkEnd w:id="15956"/>
      <w:r>
        <w:rPr>
          <w:rFonts w:hint="cs"/>
          <w:rtl/>
        </w:rPr>
        <w:t xml:space="preserve">  </w:t>
      </w:r>
    </w:p>
    <w:p w14:paraId="07FA7D14" w14:textId="77777777" w:rsidR="003D504D" w:rsidRPr="0099419A" w:rsidRDefault="003D504D" w:rsidP="00223668">
      <w:pPr>
        <w:pStyle w:val="a0"/>
        <w:rPr>
          <w:rtl/>
        </w:rPr>
      </w:pPr>
      <w:bookmarkStart w:id="15957" w:name="_Ref535516981"/>
      <w:r>
        <w:rPr>
          <w:rFonts w:hint="cs"/>
          <w:rtl/>
        </w:rPr>
        <w:t xml:space="preserve">אלא כתב </w:t>
      </w:r>
      <w:r w:rsidRPr="00D9026F">
        <w:rPr>
          <w:rStyle w:val="af9"/>
          <w:rFonts w:hint="cs"/>
          <w:rtl/>
        </w:rPr>
        <w:t xml:space="preserve">התבו"ש </w:t>
      </w:r>
      <w:r>
        <w:rPr>
          <w:rFonts w:hint="cs"/>
          <w:rtl/>
        </w:rPr>
        <w:t xml:space="preserve">דהאיסור במקום החתך הוא כמבואר </w:t>
      </w:r>
      <w:r w:rsidRPr="00D9026F">
        <w:rPr>
          <w:rStyle w:val="af9"/>
          <w:rFonts w:hint="cs"/>
          <w:rtl/>
        </w:rPr>
        <w:t xml:space="preserve">ברש"י </w:t>
      </w:r>
      <w:r w:rsidRPr="00A77160">
        <w:rPr>
          <w:rStyle w:val="af7"/>
          <w:rFonts w:eastAsia="Guttman Hodes" w:hint="cs"/>
          <w:rtl/>
        </w:rPr>
        <w:t xml:space="preserve">(עי' אות </w:t>
      </w:r>
      <w:r w:rsidRPr="00A77160">
        <w:rPr>
          <w:rStyle w:val="af7"/>
          <w:rFonts w:eastAsia="Guttman Hodes"/>
          <w:rtl/>
        </w:rPr>
        <w:fldChar w:fldCharType="begin"/>
      </w:r>
      <w:r w:rsidRPr="00A77160">
        <w:rPr>
          <w:rStyle w:val="af7"/>
          <w:rFonts w:eastAsia="Guttman Hodes"/>
          <w:rtl/>
        </w:rPr>
        <w:instrText xml:space="preserve"> </w:instrText>
      </w:r>
      <w:r w:rsidRPr="00A77160">
        <w:rPr>
          <w:rStyle w:val="af7"/>
          <w:rFonts w:eastAsia="Guttman Hodes" w:hint="cs"/>
        </w:rPr>
        <w:instrText>REF</w:instrText>
      </w:r>
      <w:r w:rsidRPr="00A77160">
        <w:rPr>
          <w:rStyle w:val="af7"/>
          <w:rFonts w:eastAsia="Guttman Hodes" w:hint="cs"/>
          <w:rtl/>
        </w:rPr>
        <w:instrText xml:space="preserve"> _</w:instrText>
      </w:r>
      <w:r w:rsidRPr="00A77160">
        <w:rPr>
          <w:rStyle w:val="af7"/>
          <w:rFonts w:eastAsia="Guttman Hodes" w:hint="cs"/>
        </w:rPr>
        <w:instrText>Ref535353143 \r \h</w:instrText>
      </w:r>
      <w:r w:rsidRPr="00A77160">
        <w:rPr>
          <w:rStyle w:val="af7"/>
          <w:rFonts w:eastAsia="Guttman Hodes"/>
          <w:rtl/>
        </w:rPr>
        <w:instrText xml:space="preserve"> </w:instrText>
      </w:r>
      <w:r w:rsidRPr="00A77160">
        <w:rPr>
          <w:rStyle w:val="af7"/>
          <w:rFonts w:eastAsia="Guttman Hodes"/>
          <w:rtl/>
        </w:rPr>
      </w:r>
      <w:r w:rsidRPr="00A77160">
        <w:rPr>
          <w:rStyle w:val="af7"/>
          <w:rFonts w:eastAsia="Guttman Hodes"/>
          <w:rtl/>
        </w:rPr>
        <w:fldChar w:fldCharType="separate"/>
      </w:r>
      <w:r w:rsidR="00345400">
        <w:rPr>
          <w:rStyle w:val="af7"/>
          <w:rFonts w:eastAsia="Guttman Hodes"/>
          <w:cs/>
        </w:rPr>
        <w:t>‎</w:t>
      </w:r>
      <w:r w:rsidR="00345400">
        <w:rPr>
          <w:rStyle w:val="af7"/>
          <w:rFonts w:eastAsia="Guttman Hodes"/>
          <w:rtl/>
        </w:rPr>
        <w:t>נ)</w:t>
      </w:r>
      <w:r w:rsidRPr="00A77160">
        <w:rPr>
          <w:rStyle w:val="af7"/>
          <w:rFonts w:eastAsia="Guttman Hodes"/>
          <w:rtl/>
        </w:rPr>
        <w:fldChar w:fldCharType="end"/>
      </w:r>
      <w:r>
        <w:rPr>
          <w:rFonts w:hint="cs"/>
          <w:rtl/>
        </w:rPr>
        <w:t xml:space="preserve"> דאינו בכלל היתר </w:t>
      </w:r>
      <w:r>
        <w:rPr>
          <w:rtl/>
        </w:rPr>
        <w:t>"</w:t>
      </w:r>
      <w:r>
        <w:rPr>
          <w:rFonts w:hint="cs"/>
          <w:rtl/>
        </w:rPr>
        <w:t>כל בבהמה</w:t>
      </w:r>
      <w:r>
        <w:rPr>
          <w:rtl/>
        </w:rPr>
        <w:t>"</w:t>
      </w:r>
      <w:r>
        <w:rPr>
          <w:rFonts w:hint="cs"/>
          <w:rtl/>
        </w:rPr>
        <w:t xml:space="preserve">, אך גם אינו בכלל איסור "בשר בשדה </w:t>
      </w:r>
      <w:r w:rsidRPr="0099419A">
        <w:rPr>
          <w:rFonts w:hint="cs"/>
          <w:rtl/>
        </w:rPr>
        <w:t xml:space="preserve">טריפה", וכתב </w:t>
      </w:r>
      <w:r w:rsidRPr="0099419A">
        <w:rPr>
          <w:rStyle w:val="af9"/>
          <w:rFonts w:hint="cs"/>
          <w:rtl/>
        </w:rPr>
        <w:t xml:space="preserve">התבו"ש </w:t>
      </w:r>
      <w:r w:rsidRPr="0099419A">
        <w:rPr>
          <w:rFonts w:hint="cs"/>
          <w:rtl/>
        </w:rPr>
        <w:t xml:space="preserve">דלפי"ז אם יצא האבר עד שפת הרחם וראה את פני השדה, אך לא יצא ממקום המחיצות, הוא מותר דהוא בכלל היתר </w:t>
      </w:r>
      <w:r>
        <w:rPr>
          <w:rtl/>
        </w:rPr>
        <w:t>"</w:t>
      </w:r>
      <w:r>
        <w:rPr>
          <w:rFonts w:hint="cs"/>
          <w:rtl/>
        </w:rPr>
        <w:t>כל בבהמה</w:t>
      </w:r>
      <w:r>
        <w:rPr>
          <w:rtl/>
        </w:rPr>
        <w:t>"</w:t>
      </w:r>
      <w:r w:rsidRPr="0099419A">
        <w:rPr>
          <w:rFonts w:hint="cs"/>
          <w:rtl/>
        </w:rPr>
        <w:t xml:space="preserve">, ודלא כמבואר מדברי </w:t>
      </w:r>
      <w:r w:rsidRPr="0099419A">
        <w:rPr>
          <w:rStyle w:val="af9"/>
          <w:rFonts w:hint="cs"/>
          <w:rtl/>
        </w:rPr>
        <w:t>הלבוש</w:t>
      </w:r>
      <w:r w:rsidRPr="0099419A">
        <w:rPr>
          <w:rFonts w:hint="cs"/>
          <w:rtl/>
        </w:rPr>
        <w:t xml:space="preserve"> </w:t>
      </w:r>
      <w:r w:rsidRPr="0099419A">
        <w:rPr>
          <w:rStyle w:val="af7"/>
          <w:rFonts w:eastAsia="Guttman Hodes" w:hint="cs"/>
          <w:rtl/>
        </w:rPr>
        <w:t xml:space="preserve">(עי' אות </w:t>
      </w:r>
      <w:r w:rsidRPr="0099419A">
        <w:rPr>
          <w:rStyle w:val="af7"/>
          <w:rFonts w:eastAsia="Guttman Hodes"/>
          <w:rtl/>
        </w:rPr>
        <w:fldChar w:fldCharType="begin"/>
      </w:r>
      <w:r w:rsidRPr="0099419A">
        <w:rPr>
          <w:rStyle w:val="af7"/>
          <w:rFonts w:eastAsia="Guttman Hodes"/>
          <w:rtl/>
        </w:rPr>
        <w:instrText xml:space="preserve"> </w:instrText>
      </w:r>
      <w:r w:rsidRPr="0099419A">
        <w:rPr>
          <w:rStyle w:val="af7"/>
          <w:rFonts w:eastAsia="Guttman Hodes" w:hint="cs"/>
        </w:rPr>
        <w:instrText>REF</w:instrText>
      </w:r>
      <w:r w:rsidRPr="0099419A">
        <w:rPr>
          <w:rStyle w:val="af7"/>
          <w:rFonts w:eastAsia="Guttman Hodes" w:hint="cs"/>
          <w:rtl/>
        </w:rPr>
        <w:instrText xml:space="preserve"> _</w:instrText>
      </w:r>
      <w:r w:rsidRPr="0099419A">
        <w:rPr>
          <w:rStyle w:val="af7"/>
          <w:rFonts w:eastAsia="Guttman Hodes" w:hint="cs"/>
        </w:rPr>
        <w:instrText>Ref535522662 \r \h</w:instrText>
      </w:r>
      <w:r w:rsidRPr="0099419A">
        <w:rPr>
          <w:rStyle w:val="af7"/>
          <w:rFonts w:eastAsia="Guttman Hodes"/>
          <w:rtl/>
        </w:rPr>
        <w:instrText xml:space="preserve">  \* </w:instrText>
      </w:r>
      <w:r w:rsidRPr="0099419A">
        <w:rPr>
          <w:rStyle w:val="af7"/>
          <w:rFonts w:eastAsia="Guttman Hodes"/>
        </w:rPr>
        <w:instrText>MERGEFORMAT</w:instrText>
      </w:r>
      <w:r w:rsidRPr="0099419A">
        <w:rPr>
          <w:rStyle w:val="af7"/>
          <w:rFonts w:eastAsia="Guttman Hodes"/>
          <w:rtl/>
        </w:rPr>
        <w:instrText xml:space="preserve"> </w:instrText>
      </w:r>
      <w:r w:rsidRPr="0099419A">
        <w:rPr>
          <w:rStyle w:val="af7"/>
          <w:rFonts w:eastAsia="Guttman Hodes"/>
          <w:rtl/>
        </w:rPr>
      </w:r>
      <w:r w:rsidRPr="0099419A">
        <w:rPr>
          <w:rStyle w:val="af7"/>
          <w:rFonts w:eastAsia="Guttman Hodes"/>
          <w:rtl/>
        </w:rPr>
        <w:fldChar w:fldCharType="separate"/>
      </w:r>
      <w:r w:rsidR="00345400">
        <w:rPr>
          <w:rStyle w:val="af7"/>
          <w:rFonts w:eastAsia="Guttman Hodes"/>
          <w:cs/>
        </w:rPr>
        <w:t>‎</w:t>
      </w:r>
      <w:r w:rsidR="00345400">
        <w:rPr>
          <w:rStyle w:val="af7"/>
          <w:rFonts w:eastAsia="Guttman Hodes"/>
          <w:rtl/>
        </w:rPr>
        <w:t>סב)</w:t>
      </w:r>
      <w:r w:rsidRPr="0099419A">
        <w:rPr>
          <w:rStyle w:val="af7"/>
          <w:rFonts w:eastAsia="Guttman Hodes"/>
          <w:rtl/>
        </w:rPr>
        <w:fldChar w:fldCharType="end"/>
      </w:r>
      <w:r w:rsidRPr="0099419A">
        <w:rPr>
          <w:rFonts w:hint="cs"/>
          <w:rtl/>
        </w:rPr>
        <w:t>.</w:t>
      </w:r>
      <w:bookmarkEnd w:id="15957"/>
    </w:p>
    <w:p w14:paraId="2F9D202A" w14:textId="77777777" w:rsidR="003D504D" w:rsidRPr="0099419A" w:rsidRDefault="003D504D" w:rsidP="003D504D">
      <w:pPr>
        <w:pStyle w:val="a3"/>
        <w:rPr>
          <w:rtl/>
        </w:rPr>
      </w:pPr>
      <w:bookmarkStart w:id="15958" w:name="_Toc535526252"/>
      <w:bookmarkStart w:id="15959" w:name="_Toc535574946"/>
      <w:bookmarkStart w:id="15960" w:name="_Toc535702404"/>
      <w:bookmarkStart w:id="15961" w:name="_Toc535750550"/>
      <w:bookmarkStart w:id="15962" w:name="_Toc19391103"/>
      <w:bookmarkStart w:id="15963" w:name="_Toc19394600"/>
      <w:r w:rsidRPr="0099419A">
        <w:rPr>
          <w:rFonts w:hint="cs"/>
          <w:rtl/>
        </w:rPr>
        <w:t>דברי הפרמ"ג דהאיסור במקום החתך הוא דחשיב כגלוי ומדין בשר בשדה טריפה</w:t>
      </w:r>
      <w:bookmarkEnd w:id="15958"/>
      <w:bookmarkEnd w:id="15959"/>
      <w:bookmarkEnd w:id="15960"/>
      <w:bookmarkEnd w:id="15961"/>
      <w:bookmarkEnd w:id="15962"/>
      <w:bookmarkEnd w:id="15963"/>
    </w:p>
    <w:p w14:paraId="39E7B211" w14:textId="77777777" w:rsidR="003D504D" w:rsidRPr="0099419A" w:rsidRDefault="003D504D" w:rsidP="00223668">
      <w:pPr>
        <w:pStyle w:val="a0"/>
        <w:rPr>
          <w:rtl/>
        </w:rPr>
        <w:sectPr w:rsidR="003D504D" w:rsidRPr="0099419A" w:rsidSect="005049E2">
          <w:type w:val="continuous"/>
          <w:pgSz w:w="11906" w:h="16838"/>
          <w:pgMar w:top="720" w:right="720" w:bottom="720" w:left="720" w:header="283" w:footer="283" w:gutter="0"/>
          <w:cols w:num="2" w:space="567"/>
          <w:titlePg/>
          <w:bidi/>
          <w:rtlGutter/>
          <w:docGrid w:linePitch="299"/>
        </w:sectPr>
      </w:pPr>
      <w:bookmarkStart w:id="15964" w:name="_Ref535524883"/>
      <w:r w:rsidRPr="0099419A">
        <w:rPr>
          <w:rFonts w:hint="cs"/>
          <w:rtl/>
        </w:rPr>
        <w:t xml:space="preserve">אבל </w:t>
      </w:r>
      <w:r w:rsidRPr="0099419A">
        <w:rPr>
          <w:rStyle w:val="af9"/>
          <w:rFonts w:hint="cs"/>
          <w:rtl/>
        </w:rPr>
        <w:t>הפרמ"ג</w:t>
      </w:r>
      <w:r w:rsidRPr="0099419A">
        <w:rPr>
          <w:rFonts w:hint="cs"/>
          <w:rtl/>
        </w:rPr>
        <w:t xml:space="preserve"> </w:t>
      </w:r>
      <w:r w:rsidRPr="0099419A">
        <w:rPr>
          <w:rStyle w:val="af7"/>
          <w:rFonts w:eastAsia="Guttman Hodes" w:hint="cs"/>
          <w:rtl/>
        </w:rPr>
        <w:t>(סי' י"ד משב"ז סק"ג)</w:t>
      </w:r>
      <w:r w:rsidRPr="0099419A">
        <w:rPr>
          <w:rFonts w:hint="cs"/>
          <w:rtl/>
        </w:rPr>
        <w:t xml:space="preserve"> דחה את דברי </w:t>
      </w:r>
      <w:r w:rsidRPr="0099419A">
        <w:rPr>
          <w:rStyle w:val="af9"/>
          <w:rFonts w:hint="cs"/>
          <w:rtl/>
        </w:rPr>
        <w:t>התבו"ש</w:t>
      </w:r>
      <w:r w:rsidRPr="0099419A">
        <w:rPr>
          <w:rFonts w:hint="cs"/>
          <w:rtl/>
        </w:rPr>
        <w:t xml:space="preserve">, וכתב </w:t>
      </w:r>
      <w:r w:rsidRPr="0099419A">
        <w:rPr>
          <w:rStyle w:val="af9"/>
          <w:rFonts w:hint="cs"/>
          <w:rtl/>
        </w:rPr>
        <w:t>הפרמ"ג</w:t>
      </w:r>
      <w:r w:rsidRPr="0099419A">
        <w:rPr>
          <w:rFonts w:hint="cs"/>
          <w:rtl/>
        </w:rPr>
        <w:t xml:space="preserve"> </w:t>
      </w:r>
      <w:r w:rsidRPr="0099419A">
        <w:rPr>
          <w:rStyle w:val="af7"/>
          <w:rFonts w:eastAsia="Guttman Hodes" w:hint="cs"/>
          <w:rtl/>
        </w:rPr>
        <w:t xml:space="preserve">(עי' אות </w:t>
      </w:r>
      <w:r w:rsidRPr="0099419A">
        <w:rPr>
          <w:rStyle w:val="af7"/>
          <w:rFonts w:eastAsia="Guttman Hodes"/>
          <w:rtl/>
        </w:rPr>
        <w:fldChar w:fldCharType="begin"/>
      </w:r>
      <w:r w:rsidRPr="0099419A">
        <w:rPr>
          <w:rStyle w:val="af7"/>
          <w:rFonts w:eastAsia="Guttman Hodes"/>
          <w:rtl/>
        </w:rPr>
        <w:instrText xml:space="preserve"> </w:instrText>
      </w:r>
      <w:r w:rsidRPr="0099419A">
        <w:rPr>
          <w:rStyle w:val="af7"/>
          <w:rFonts w:eastAsia="Guttman Hodes" w:hint="cs"/>
        </w:rPr>
        <w:instrText>REF</w:instrText>
      </w:r>
      <w:r w:rsidRPr="0099419A">
        <w:rPr>
          <w:rStyle w:val="af7"/>
          <w:rFonts w:eastAsia="Guttman Hodes" w:hint="cs"/>
          <w:rtl/>
        </w:rPr>
        <w:instrText xml:space="preserve"> _</w:instrText>
      </w:r>
      <w:r w:rsidRPr="0099419A">
        <w:rPr>
          <w:rStyle w:val="af7"/>
          <w:rFonts w:eastAsia="Guttman Hodes" w:hint="cs"/>
        </w:rPr>
        <w:instrText>Ref535517252 \r \h</w:instrText>
      </w:r>
      <w:r w:rsidRPr="0099419A">
        <w:rPr>
          <w:rStyle w:val="af7"/>
          <w:rFonts w:eastAsia="Guttman Hodes"/>
          <w:rtl/>
        </w:rPr>
        <w:instrText xml:space="preserve">  \* </w:instrText>
      </w:r>
      <w:r w:rsidRPr="0099419A">
        <w:rPr>
          <w:rStyle w:val="af7"/>
          <w:rFonts w:eastAsia="Guttman Hodes"/>
        </w:rPr>
        <w:instrText>MERGEFORMAT</w:instrText>
      </w:r>
      <w:r w:rsidRPr="0099419A">
        <w:rPr>
          <w:rStyle w:val="af7"/>
          <w:rFonts w:eastAsia="Guttman Hodes"/>
          <w:rtl/>
        </w:rPr>
        <w:instrText xml:space="preserve"> </w:instrText>
      </w:r>
      <w:r w:rsidRPr="0099419A">
        <w:rPr>
          <w:rStyle w:val="af7"/>
          <w:rFonts w:eastAsia="Guttman Hodes"/>
          <w:rtl/>
        </w:rPr>
      </w:r>
      <w:r w:rsidRPr="0099419A">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99419A">
        <w:rPr>
          <w:rStyle w:val="af7"/>
          <w:rFonts w:eastAsia="Guttman Hodes"/>
          <w:rtl/>
        </w:rPr>
        <w:fldChar w:fldCharType="end"/>
      </w:r>
      <w:r w:rsidRPr="0099419A">
        <w:rPr>
          <w:rFonts w:hint="cs"/>
          <w:rtl/>
        </w:rPr>
        <w:t xml:space="preserve"> </w:t>
      </w:r>
      <w:r w:rsidRPr="0099419A">
        <w:rPr>
          <w:rStyle w:val="af9"/>
          <w:rFonts w:hint="cs"/>
          <w:rtl/>
        </w:rPr>
        <w:t>דברמב"ם</w:t>
      </w:r>
      <w:r w:rsidRPr="0099419A">
        <w:rPr>
          <w:rFonts w:hint="cs"/>
          <w:rtl/>
        </w:rPr>
        <w:t xml:space="preserve"> מוכח דהאיסור במקום החתך הוא מדין "בשר בשדה טריפה", וכדברי </w:t>
      </w:r>
      <w:r w:rsidRPr="0099419A">
        <w:rPr>
          <w:rStyle w:val="af9"/>
          <w:rFonts w:hint="cs"/>
          <w:rtl/>
        </w:rPr>
        <w:t>הלבוש</w:t>
      </w:r>
      <w:r w:rsidRPr="0099419A">
        <w:rPr>
          <w:rFonts w:hint="cs"/>
          <w:rtl/>
        </w:rPr>
        <w:t xml:space="preserve">, </w:t>
      </w:r>
      <w:r w:rsidRPr="0099419A">
        <w:rPr>
          <w:rStyle w:val="afb"/>
          <w:rFonts w:hint="cs"/>
          <w:rtl/>
        </w:rPr>
        <w:t xml:space="preserve">[ומשמע </w:t>
      </w:r>
      <w:r w:rsidRPr="0099419A">
        <w:rPr>
          <w:rStyle w:val="affa"/>
          <w:rFonts w:hint="cs"/>
          <w:rtl/>
        </w:rPr>
        <w:t xml:space="preserve">בפרמ"ג </w:t>
      </w:r>
      <w:r w:rsidRPr="0099419A">
        <w:rPr>
          <w:rStyle w:val="afb"/>
          <w:rFonts w:hint="cs"/>
          <w:rtl/>
        </w:rPr>
        <w:t xml:space="preserve">דהביאור בדברי </w:t>
      </w:r>
      <w:r w:rsidRPr="0099419A">
        <w:rPr>
          <w:rStyle w:val="affa"/>
          <w:rFonts w:hint="cs"/>
          <w:rtl/>
        </w:rPr>
        <w:t>הלבוש</w:t>
      </w:r>
      <w:r w:rsidRPr="0099419A">
        <w:rPr>
          <w:rStyle w:val="afb"/>
          <w:rFonts w:hint="cs"/>
          <w:rtl/>
        </w:rPr>
        <w:t xml:space="preserve"> הוא כמ"ש </w:t>
      </w:r>
      <w:r w:rsidRPr="0099419A">
        <w:rPr>
          <w:rStyle w:val="affa"/>
          <w:rFonts w:hint="cs"/>
          <w:rtl/>
        </w:rPr>
        <w:t xml:space="preserve">התבו"ש </w:t>
      </w:r>
      <w:r w:rsidRPr="0099419A">
        <w:rPr>
          <w:rStyle w:val="aff6"/>
          <w:rFonts w:hint="cs"/>
          <w:rtl/>
        </w:rPr>
        <w:t xml:space="preserve">(עי' אות </w:t>
      </w:r>
      <w:r w:rsidRPr="0099419A">
        <w:rPr>
          <w:rStyle w:val="aff6"/>
          <w:rtl/>
        </w:rPr>
        <w:fldChar w:fldCharType="begin"/>
      </w:r>
      <w:r w:rsidRPr="0099419A">
        <w:rPr>
          <w:rStyle w:val="aff6"/>
          <w:rtl/>
        </w:rPr>
        <w:instrText xml:space="preserve"> </w:instrText>
      </w:r>
      <w:r w:rsidRPr="0099419A">
        <w:rPr>
          <w:rStyle w:val="aff6"/>
          <w:rFonts w:hint="cs"/>
        </w:rPr>
        <w:instrText>REF</w:instrText>
      </w:r>
      <w:r w:rsidRPr="0099419A">
        <w:rPr>
          <w:rStyle w:val="aff6"/>
          <w:rFonts w:hint="cs"/>
          <w:rtl/>
        </w:rPr>
        <w:instrText xml:space="preserve"> _</w:instrText>
      </w:r>
      <w:r w:rsidRPr="0099419A">
        <w:rPr>
          <w:rStyle w:val="aff6"/>
          <w:rFonts w:hint="cs"/>
        </w:rPr>
        <w:instrText>Ref535523170 \r \h</w:instrText>
      </w:r>
      <w:r w:rsidRPr="0099419A">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99419A">
        <w:rPr>
          <w:rStyle w:val="aff6"/>
          <w:rtl/>
        </w:rPr>
      </w:r>
      <w:r w:rsidRPr="0099419A">
        <w:rPr>
          <w:rStyle w:val="aff6"/>
          <w:rtl/>
        </w:rPr>
        <w:fldChar w:fldCharType="separate"/>
      </w:r>
      <w:r w:rsidR="00345400">
        <w:rPr>
          <w:rStyle w:val="aff6"/>
          <w:cs/>
        </w:rPr>
        <w:t>‎</w:t>
      </w:r>
      <w:r w:rsidR="00345400">
        <w:rPr>
          <w:rStyle w:val="aff6"/>
          <w:rtl/>
        </w:rPr>
        <w:t>סד)</w:t>
      </w:r>
      <w:r w:rsidRPr="0099419A">
        <w:rPr>
          <w:rStyle w:val="aff6"/>
          <w:rtl/>
        </w:rPr>
        <w:fldChar w:fldCharType="end"/>
      </w:r>
      <w:r w:rsidRPr="0099419A">
        <w:rPr>
          <w:rStyle w:val="afb"/>
          <w:rFonts w:hint="cs"/>
          <w:rtl/>
        </w:rPr>
        <w:t>],</w:t>
      </w:r>
      <w:r w:rsidRPr="0099419A">
        <w:rPr>
          <w:rFonts w:hint="cs"/>
          <w:rtl/>
        </w:rPr>
        <w:t xml:space="preserve"> וכתב </w:t>
      </w:r>
      <w:r w:rsidRPr="0099419A">
        <w:rPr>
          <w:rStyle w:val="af9"/>
          <w:rFonts w:hint="cs"/>
          <w:rtl/>
        </w:rPr>
        <w:t>הפרמ"ג</w:t>
      </w:r>
      <w:r w:rsidRPr="0099419A">
        <w:rPr>
          <w:rFonts w:hint="cs"/>
          <w:rtl/>
        </w:rPr>
        <w:t xml:space="preserve"> דלפי"ז אם הוציא אבר עד שפת הרחם שראה את פני השדה אסור, אף שלא יצא מחוץ למחיצות, והוסיף </w:t>
      </w:r>
      <w:r w:rsidRPr="0099419A">
        <w:rPr>
          <w:rStyle w:val="af9"/>
          <w:rFonts w:hint="cs"/>
          <w:rtl/>
        </w:rPr>
        <w:t>הפרמ"ג</w:t>
      </w:r>
      <w:r w:rsidRPr="0099419A">
        <w:rPr>
          <w:rFonts w:hint="cs"/>
          <w:rtl/>
        </w:rPr>
        <w:t xml:space="preserve"> </w:t>
      </w:r>
      <w:r w:rsidRPr="0099419A">
        <w:rPr>
          <w:rStyle w:val="af7"/>
          <w:rFonts w:eastAsia="Guttman Hodes" w:hint="cs"/>
          <w:rtl/>
        </w:rPr>
        <w:t xml:space="preserve">(עי' אות </w:t>
      </w:r>
      <w:r w:rsidRPr="0099419A">
        <w:rPr>
          <w:rStyle w:val="af7"/>
          <w:rFonts w:eastAsia="Guttman Hodes"/>
          <w:rtl/>
        </w:rPr>
        <w:fldChar w:fldCharType="begin"/>
      </w:r>
      <w:r w:rsidRPr="0099419A">
        <w:rPr>
          <w:rStyle w:val="af7"/>
          <w:rFonts w:eastAsia="Guttman Hodes"/>
          <w:rtl/>
        </w:rPr>
        <w:instrText xml:space="preserve"> </w:instrText>
      </w:r>
      <w:r w:rsidRPr="0099419A">
        <w:rPr>
          <w:rStyle w:val="af7"/>
          <w:rFonts w:eastAsia="Guttman Hodes" w:hint="cs"/>
        </w:rPr>
        <w:instrText>REF</w:instrText>
      </w:r>
      <w:r w:rsidRPr="0099419A">
        <w:rPr>
          <w:rStyle w:val="af7"/>
          <w:rFonts w:eastAsia="Guttman Hodes" w:hint="cs"/>
          <w:rtl/>
        </w:rPr>
        <w:instrText xml:space="preserve"> _</w:instrText>
      </w:r>
      <w:r w:rsidRPr="0099419A">
        <w:rPr>
          <w:rStyle w:val="af7"/>
          <w:rFonts w:eastAsia="Guttman Hodes" w:hint="cs"/>
        </w:rPr>
        <w:instrText>Ref535517262 \r \h</w:instrText>
      </w:r>
      <w:r w:rsidRPr="0099419A">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99419A">
        <w:rPr>
          <w:rStyle w:val="af7"/>
          <w:rFonts w:eastAsia="Guttman Hodes"/>
          <w:rtl/>
        </w:rPr>
      </w:r>
      <w:r w:rsidRPr="0099419A">
        <w:rPr>
          <w:rStyle w:val="af7"/>
          <w:rFonts w:eastAsia="Guttman Hodes"/>
          <w:rtl/>
        </w:rPr>
        <w:fldChar w:fldCharType="separate"/>
      </w:r>
      <w:r w:rsidR="00345400">
        <w:rPr>
          <w:rStyle w:val="af7"/>
          <w:rFonts w:eastAsia="Guttman Hodes"/>
          <w:cs/>
        </w:rPr>
        <w:t>‎</w:t>
      </w:r>
      <w:r w:rsidR="00345400">
        <w:rPr>
          <w:rStyle w:val="af7"/>
          <w:rFonts w:eastAsia="Guttman Hodes"/>
          <w:rtl/>
        </w:rPr>
        <w:t>ס)</w:t>
      </w:r>
      <w:r w:rsidRPr="0099419A">
        <w:rPr>
          <w:rStyle w:val="af7"/>
          <w:rFonts w:eastAsia="Guttman Hodes"/>
          <w:rtl/>
        </w:rPr>
        <w:fldChar w:fldCharType="end"/>
      </w:r>
      <w:r w:rsidRPr="0099419A">
        <w:rPr>
          <w:rStyle w:val="af7"/>
          <w:rFonts w:eastAsia="Guttman Hodes" w:hint="cs"/>
          <w:rtl/>
        </w:rPr>
        <w:t xml:space="preserve"> </w:t>
      </w:r>
      <w:r w:rsidRPr="0099419A">
        <w:rPr>
          <w:rFonts w:hint="cs"/>
          <w:rtl/>
        </w:rPr>
        <w:t xml:space="preserve">דאף </w:t>
      </w:r>
      <w:r w:rsidRPr="0099419A">
        <w:rPr>
          <w:rStyle w:val="af9"/>
          <w:rFonts w:hint="cs"/>
          <w:rtl/>
        </w:rPr>
        <w:t>רש"י</w:t>
      </w:r>
      <w:r w:rsidRPr="0099419A">
        <w:rPr>
          <w:rFonts w:hint="cs"/>
          <w:rtl/>
        </w:rPr>
        <w:t xml:space="preserve"> ס"ל כביאור </w:t>
      </w:r>
      <w:r w:rsidRPr="0099419A">
        <w:rPr>
          <w:rStyle w:val="af9"/>
          <w:rFonts w:hint="cs"/>
          <w:rtl/>
        </w:rPr>
        <w:t>הלבוש</w:t>
      </w:r>
      <w:r w:rsidRPr="0099419A">
        <w:rPr>
          <w:rFonts w:hint="cs"/>
          <w:rtl/>
        </w:rPr>
        <w:t>.</w:t>
      </w:r>
      <w:bookmarkEnd w:id="15964"/>
    </w:p>
    <w:p w14:paraId="08A7029B" w14:textId="77777777" w:rsidR="003D504D" w:rsidRDefault="003D504D" w:rsidP="003D504D">
      <w:pPr>
        <w:tabs>
          <w:tab w:val="left" w:pos="1163"/>
        </w:tabs>
        <w:spacing w:after="120" w:line="240" w:lineRule="auto"/>
        <w:ind w:left="0"/>
        <w:rPr>
          <w:rFonts w:ascii="Guttman Hodes" w:eastAsia="Guttman Hodes" w:hAnsi="Guttman Hodes" w:cs="Guttman Hodes"/>
          <w:noProof/>
          <w:sz w:val="18"/>
          <w:szCs w:val="18"/>
        </w:rPr>
        <w:sectPr w:rsidR="003D504D" w:rsidSect="007452E4">
          <w:type w:val="continuous"/>
          <w:pgSz w:w="11906" w:h="16838"/>
          <w:pgMar w:top="720" w:right="720" w:bottom="720" w:left="720" w:header="283" w:footer="283" w:gutter="0"/>
          <w:cols w:space="567"/>
          <w:bidi/>
          <w:rtlGutter/>
          <w:docGrid w:linePitch="299"/>
        </w:sectPr>
      </w:pPr>
    </w:p>
    <w:p w14:paraId="0A1BB247" w14:textId="77777777" w:rsidR="003D504D" w:rsidRPr="0099419A" w:rsidRDefault="004B65FC" w:rsidP="003D504D">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1BA9D97F">
          <v:shape id="_x0000_i1043" type="#_x0000_t75" style="width:404.55pt;height:6.8pt" o:hrpct="0" o:hralign="center" o:hr="t">
            <v:imagedata r:id="rId21" o:title="BD14845_"/>
          </v:shape>
        </w:pict>
      </w:r>
      <w:r w:rsidR="003D504D" w:rsidRPr="0099419A">
        <w:rPr>
          <w:rFonts w:ascii="Guttman Hodes" w:eastAsia="Guttman Hodes" w:hAnsi="Guttman Hodes" w:cs="Guttman Hodes" w:hint="cs"/>
          <w:noProof/>
          <w:sz w:val="18"/>
          <w:szCs w:val="18"/>
          <w:rtl/>
        </w:rPr>
        <w:t xml:space="preserve"> </w:t>
      </w:r>
    </w:p>
    <w:p w14:paraId="63930995" w14:textId="77777777" w:rsidR="003D504D" w:rsidRPr="0099419A" w:rsidRDefault="003D504D" w:rsidP="003D504D">
      <w:pPr>
        <w:pStyle w:val="afe"/>
        <w:rPr>
          <w:rtl/>
        </w:rPr>
      </w:pPr>
      <w:bookmarkStart w:id="15965" w:name="_Toc535089799"/>
      <w:bookmarkStart w:id="15966" w:name="_Toc535095885"/>
      <w:bookmarkStart w:id="15967" w:name="_Toc535302124"/>
      <w:bookmarkStart w:id="15968" w:name="_Toc535526253"/>
      <w:bookmarkStart w:id="15969" w:name="_Toc535574947"/>
      <w:bookmarkStart w:id="15970" w:name="_Toc535702406"/>
      <w:bookmarkStart w:id="15971" w:name="_Toc535750551"/>
      <w:bookmarkStart w:id="15972" w:name="_Toc19436007"/>
      <w:bookmarkStart w:id="15973" w:name="_Toc20081217"/>
      <w:r w:rsidRPr="0099419A">
        <w:rPr>
          <w:rFonts w:hint="cs"/>
          <w:rtl/>
        </w:rPr>
        <w:t>ביאורי ראשי הישיבות על הסוגיא</w:t>
      </w:r>
      <w:bookmarkEnd w:id="15965"/>
      <w:bookmarkEnd w:id="15966"/>
      <w:bookmarkEnd w:id="15967"/>
      <w:bookmarkEnd w:id="15968"/>
      <w:bookmarkEnd w:id="15969"/>
      <w:bookmarkEnd w:id="15970"/>
      <w:bookmarkEnd w:id="15971"/>
      <w:bookmarkEnd w:id="15972"/>
      <w:bookmarkEnd w:id="15973"/>
    </w:p>
    <w:p w14:paraId="1AE39763" w14:textId="77777777" w:rsidR="003D504D" w:rsidRPr="0099419A" w:rsidRDefault="003D504D" w:rsidP="003D504D">
      <w:pPr>
        <w:pStyle w:val="afe"/>
        <w:rPr>
          <w:rtl/>
        </w:rPr>
        <w:sectPr w:rsidR="003D504D" w:rsidRPr="0099419A" w:rsidSect="003D504D">
          <w:pgSz w:w="11906" w:h="16838"/>
          <w:pgMar w:top="720" w:right="720" w:bottom="720" w:left="720" w:header="283" w:footer="283" w:gutter="0"/>
          <w:cols w:space="567"/>
          <w:bidi/>
          <w:rtlGutter/>
          <w:docGrid w:linePitch="299"/>
        </w:sectPr>
      </w:pPr>
    </w:p>
    <w:p w14:paraId="283366EA" w14:textId="77777777" w:rsidR="003D504D" w:rsidRDefault="003D504D" w:rsidP="003D504D">
      <w:pPr>
        <w:pStyle w:val="afe"/>
        <w:rPr>
          <w:rtl/>
        </w:rPr>
      </w:pPr>
      <w:bookmarkStart w:id="15974" w:name="_Toc535089800"/>
      <w:bookmarkStart w:id="15975" w:name="_Toc535095886"/>
      <w:bookmarkStart w:id="15976" w:name="_Toc535302125"/>
      <w:bookmarkStart w:id="15977" w:name="_Toc535526254"/>
      <w:bookmarkStart w:id="15978" w:name="_Toc535574948"/>
      <w:bookmarkStart w:id="15979" w:name="_Toc535702407"/>
      <w:bookmarkStart w:id="15980" w:name="_Toc535750552"/>
      <w:bookmarkStart w:id="15981" w:name="_Toc19436008"/>
      <w:bookmarkStart w:id="15982" w:name="_Toc20081218"/>
      <w:r w:rsidRPr="0099419A">
        <w:rPr>
          <w:rFonts w:hint="cs"/>
          <w:rtl/>
        </w:rPr>
        <w:t>בגדר ההיתר בחתך מעובר שבמעיה</w:t>
      </w:r>
      <w:bookmarkEnd w:id="15974"/>
      <w:bookmarkEnd w:id="15975"/>
      <w:bookmarkEnd w:id="15976"/>
      <w:bookmarkEnd w:id="15977"/>
      <w:bookmarkEnd w:id="15978"/>
      <w:bookmarkEnd w:id="15979"/>
      <w:bookmarkEnd w:id="15980"/>
      <w:bookmarkEnd w:id="15981"/>
      <w:bookmarkEnd w:id="15982"/>
    </w:p>
    <w:p w14:paraId="56FFF074" w14:textId="77777777" w:rsidR="003D504D" w:rsidRDefault="003D504D" w:rsidP="00BF39B2">
      <w:pPr>
        <w:pStyle w:val="1"/>
        <w:rPr>
          <w:rtl/>
        </w:rPr>
      </w:pPr>
      <w:bookmarkStart w:id="15983" w:name="_Toc535089801"/>
      <w:bookmarkStart w:id="15984" w:name="_Toc535095887"/>
      <w:bookmarkStart w:id="15985" w:name="_Toc535302126"/>
      <w:bookmarkStart w:id="15986" w:name="_Toc535526255"/>
      <w:bookmarkStart w:id="15987" w:name="_Toc535574949"/>
      <w:bookmarkStart w:id="15988" w:name="_Toc535702408"/>
      <w:bookmarkStart w:id="15989" w:name="_Toc535750553"/>
      <w:bookmarkStart w:id="15990" w:name="_Toc19391104"/>
      <w:bookmarkStart w:id="15991" w:name="_Toc19394601"/>
      <w:r>
        <w:rPr>
          <w:rFonts w:hint="cs"/>
          <w:rtl/>
        </w:rPr>
        <w:t>דברי השער"י</w:t>
      </w:r>
      <w:bookmarkEnd w:id="15983"/>
      <w:bookmarkEnd w:id="15984"/>
      <w:bookmarkEnd w:id="15985"/>
      <w:bookmarkEnd w:id="15986"/>
      <w:r>
        <w:rPr>
          <w:rFonts w:hint="cs"/>
          <w:rtl/>
        </w:rPr>
        <w:t xml:space="preserve"> דמוכח שיש דין היתר ולא סגי שסימניו כשחוטים</w:t>
      </w:r>
      <w:bookmarkEnd w:id="15987"/>
      <w:bookmarkEnd w:id="15988"/>
      <w:bookmarkEnd w:id="15989"/>
      <w:bookmarkEnd w:id="15990"/>
      <w:bookmarkEnd w:id="15991"/>
    </w:p>
    <w:p w14:paraId="33B87CFD" w14:textId="77777777" w:rsidR="003D504D" w:rsidRPr="00D145C4" w:rsidRDefault="003D504D" w:rsidP="003D504D">
      <w:pPr>
        <w:pStyle w:val="a3"/>
        <w:rPr>
          <w:rtl/>
        </w:rPr>
      </w:pPr>
      <w:bookmarkStart w:id="15992" w:name="_Toc535526256"/>
      <w:bookmarkStart w:id="15993" w:name="_Toc535574950"/>
      <w:bookmarkStart w:id="15994" w:name="_Toc535702409"/>
      <w:bookmarkStart w:id="15995" w:name="_Toc535750554"/>
      <w:bookmarkStart w:id="15996" w:name="_Toc19391105"/>
      <w:bookmarkStart w:id="15997" w:name="_Toc19394602"/>
      <w:r>
        <w:rPr>
          <w:rFonts w:hint="cs"/>
          <w:rtl/>
        </w:rPr>
        <w:t>חקירת השער"י אי סימני האם הם כסימני הולד והבן פקועה חשיב כשחוט  או שיש בו דין היתר</w:t>
      </w:r>
      <w:bookmarkEnd w:id="15992"/>
      <w:bookmarkEnd w:id="15993"/>
      <w:bookmarkEnd w:id="15994"/>
      <w:bookmarkEnd w:id="15995"/>
      <w:bookmarkEnd w:id="15996"/>
      <w:bookmarkEnd w:id="15997"/>
    </w:p>
    <w:p w14:paraId="479FD080" w14:textId="77777777" w:rsidR="003D504D" w:rsidRDefault="003D504D" w:rsidP="00223668">
      <w:pPr>
        <w:pStyle w:val="a0"/>
        <w:rPr>
          <w:rtl/>
        </w:rPr>
      </w:pPr>
      <w:bookmarkStart w:id="15998" w:name="_Ref535486265"/>
      <w:r>
        <w:rPr>
          <w:rFonts w:hint="cs"/>
          <w:rtl/>
        </w:rPr>
        <w:t xml:space="preserve">חקר </w:t>
      </w:r>
      <w:r w:rsidRPr="00B767E6">
        <w:rPr>
          <w:rStyle w:val="af9"/>
          <w:rFonts w:hint="cs"/>
          <w:rtl/>
        </w:rPr>
        <w:t>השער"י</w:t>
      </w:r>
      <w:r>
        <w:rPr>
          <w:rFonts w:hint="cs"/>
          <w:rtl/>
        </w:rPr>
        <w:t xml:space="preserve"> </w:t>
      </w:r>
      <w:r w:rsidRPr="0083533B">
        <w:rPr>
          <w:rStyle w:val="af7"/>
          <w:rFonts w:eastAsia="Guttman Hodes" w:hint="cs"/>
          <w:rtl/>
        </w:rPr>
        <w:t>(</w:t>
      </w:r>
      <w:r w:rsidRPr="00AA7D22">
        <w:rPr>
          <w:rStyle w:val="af7"/>
          <w:rFonts w:eastAsia="Guttman Hodes"/>
          <w:rtl/>
        </w:rPr>
        <w:t xml:space="preserve">שער החזקות פכ"ב </w:t>
      </w:r>
      <w:r w:rsidRPr="0083533B">
        <w:rPr>
          <w:rStyle w:val="af7"/>
          <w:rFonts w:eastAsia="Guttman Hodes" w:hint="cs"/>
          <w:rtl/>
        </w:rPr>
        <w:t>ד"ה ותחילה)</w:t>
      </w:r>
      <w:r>
        <w:rPr>
          <w:rFonts w:hint="cs"/>
          <w:rtl/>
        </w:rPr>
        <w:t xml:space="preserve"> [</w:t>
      </w:r>
      <w:r w:rsidRPr="00E928C1">
        <w:rPr>
          <w:rStyle w:val="af9"/>
          <w:rFonts w:hint="cs"/>
          <w:rtl/>
        </w:rPr>
        <w:t>כאתוון דאורייתא</w:t>
      </w:r>
      <w:r>
        <w:rPr>
          <w:rFonts w:hint="cs"/>
          <w:rtl/>
        </w:rPr>
        <w:t xml:space="preserve"> </w:t>
      </w:r>
      <w:r w:rsidRPr="00E928C1">
        <w:rPr>
          <w:rStyle w:val="af7"/>
          <w:rFonts w:eastAsia="Guttman Hodes" w:hint="cs"/>
          <w:rtl/>
        </w:rPr>
        <w:t xml:space="preserve">(עי' אות </w:t>
      </w:r>
      <w:r w:rsidRPr="00E928C1">
        <w:rPr>
          <w:rStyle w:val="af7"/>
          <w:rFonts w:eastAsia="Guttman Hodes"/>
          <w:rtl/>
        </w:rPr>
        <w:fldChar w:fldCharType="begin"/>
      </w:r>
      <w:r w:rsidRPr="00E928C1">
        <w:rPr>
          <w:rStyle w:val="af7"/>
          <w:rFonts w:eastAsia="Guttman Hodes"/>
          <w:rtl/>
        </w:rPr>
        <w:instrText xml:space="preserve"> </w:instrText>
      </w:r>
      <w:r w:rsidRPr="00E928C1">
        <w:rPr>
          <w:rStyle w:val="af7"/>
          <w:rFonts w:eastAsia="Guttman Hodes" w:hint="cs"/>
        </w:rPr>
        <w:instrText>REF</w:instrText>
      </w:r>
      <w:r w:rsidRPr="00E928C1">
        <w:rPr>
          <w:rStyle w:val="af7"/>
          <w:rFonts w:eastAsia="Guttman Hodes" w:hint="cs"/>
          <w:rtl/>
        </w:rPr>
        <w:instrText xml:space="preserve"> _</w:instrText>
      </w:r>
      <w:r w:rsidRPr="00E928C1">
        <w:rPr>
          <w:rStyle w:val="af7"/>
          <w:rFonts w:eastAsia="Guttman Hodes" w:hint="cs"/>
        </w:rPr>
        <w:instrText>Ref535511819 \r \h</w:instrText>
      </w:r>
      <w:r w:rsidRPr="00E928C1">
        <w:rPr>
          <w:rStyle w:val="af7"/>
          <w:rFonts w:eastAsia="Guttman Hodes"/>
          <w:rtl/>
        </w:rPr>
        <w:instrText xml:space="preserve"> </w:instrText>
      </w:r>
      <w:r w:rsidRPr="00E928C1">
        <w:rPr>
          <w:rStyle w:val="af7"/>
          <w:rFonts w:eastAsia="Guttman Hodes"/>
          <w:rtl/>
        </w:rPr>
      </w:r>
      <w:r w:rsidRPr="00E928C1">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E928C1">
        <w:rPr>
          <w:rStyle w:val="af7"/>
          <w:rFonts w:eastAsia="Guttman Hodes"/>
          <w:rtl/>
        </w:rPr>
        <w:fldChar w:fldCharType="end"/>
      </w:r>
      <w:r>
        <w:rPr>
          <w:rFonts w:hint="cs"/>
          <w:rtl/>
        </w:rPr>
        <w:t xml:space="preserve">] בגדר היתר דבן פקועה אי שחיטת האם עצמה מתירה את הולד, כדאיתא בגמ' לקמן </w:t>
      </w:r>
      <w:r w:rsidRPr="00B767E6">
        <w:rPr>
          <w:rStyle w:val="af7"/>
          <w:rFonts w:eastAsia="Guttman Hodes" w:hint="cs"/>
          <w:rtl/>
        </w:rPr>
        <w:t>(עד.)</w:t>
      </w:r>
      <w:r>
        <w:rPr>
          <w:rFonts w:hint="cs"/>
          <w:rtl/>
        </w:rPr>
        <w:t xml:space="preserve"> דהכשירה בו תורה ד' סימנים, והסימנים של האם חשיבי כסימני העובר, ושחיטתם היא כשחיטת הולד, או דכיון שהותרה האם באכילה יש גזיה"כ דהותר הולד מדין </w:t>
      </w:r>
      <w:r>
        <w:rPr>
          <w:rtl/>
        </w:rPr>
        <w:t>"</w:t>
      </w:r>
      <w:r>
        <w:rPr>
          <w:rFonts w:hint="cs"/>
          <w:rtl/>
        </w:rPr>
        <w:t>כל בבהמה</w:t>
      </w:r>
      <w:r>
        <w:rPr>
          <w:rtl/>
        </w:rPr>
        <w:t>"</w:t>
      </w:r>
      <w:r>
        <w:rPr>
          <w:rFonts w:hint="cs"/>
          <w:rtl/>
        </w:rPr>
        <w:t>.</w:t>
      </w:r>
      <w:bookmarkEnd w:id="15998"/>
    </w:p>
    <w:p w14:paraId="590E8921" w14:textId="77777777" w:rsidR="003D504D" w:rsidRPr="008D787F" w:rsidRDefault="003D504D" w:rsidP="003D504D">
      <w:pPr>
        <w:pStyle w:val="a3"/>
        <w:rPr>
          <w:rtl/>
        </w:rPr>
      </w:pPr>
      <w:bookmarkStart w:id="15999" w:name="_Toc535526257"/>
      <w:bookmarkStart w:id="16000" w:name="_Toc535574951"/>
      <w:bookmarkStart w:id="16001" w:name="_Toc535702410"/>
      <w:bookmarkStart w:id="16002" w:name="_Toc535750555"/>
      <w:bookmarkStart w:id="16003" w:name="_Toc19391106"/>
      <w:bookmarkStart w:id="16004" w:name="_Toc19394603"/>
      <w:r>
        <w:rPr>
          <w:rFonts w:hint="cs"/>
          <w:rtl/>
        </w:rPr>
        <w:t>דברי השער"י דבחותך מעובר שבמעיה מוכח דהוא היתר מגזיה"כ ואינו כשחוט</w:t>
      </w:r>
      <w:bookmarkEnd w:id="15999"/>
      <w:bookmarkEnd w:id="16000"/>
      <w:bookmarkEnd w:id="16001"/>
      <w:bookmarkEnd w:id="16002"/>
      <w:bookmarkEnd w:id="16003"/>
      <w:bookmarkEnd w:id="16004"/>
    </w:p>
    <w:p w14:paraId="1DAF8D88" w14:textId="77777777" w:rsidR="003D504D" w:rsidRDefault="003D504D" w:rsidP="00223668">
      <w:pPr>
        <w:pStyle w:val="a0"/>
        <w:rPr>
          <w:rtl/>
        </w:rPr>
      </w:pPr>
      <w:bookmarkStart w:id="16005" w:name="_Ref535525039"/>
      <w:r>
        <w:rPr>
          <w:rFonts w:hint="cs"/>
          <w:rtl/>
        </w:rPr>
        <w:t xml:space="preserve">וכתב </w:t>
      </w:r>
      <w:r w:rsidRPr="0083533B">
        <w:rPr>
          <w:rStyle w:val="af9"/>
          <w:rFonts w:hint="cs"/>
          <w:rtl/>
        </w:rPr>
        <w:t>השער"י</w:t>
      </w:r>
      <w:r>
        <w:rPr>
          <w:rFonts w:hint="cs"/>
          <w:rtl/>
        </w:rPr>
        <w:t xml:space="preserve"> </w:t>
      </w:r>
      <w:bookmarkStart w:id="16006" w:name="_Ref533699864"/>
      <w:r>
        <w:rPr>
          <w:rFonts w:hint="cs"/>
          <w:rtl/>
        </w:rPr>
        <w:t xml:space="preserve">דמהא דאיתא במתני' דהחותך מעובר במעי בהמה ושחטה מותר באכילה, ובחותך </w:t>
      </w:r>
      <w:r>
        <w:rPr>
          <w:rtl/>
        </w:rPr>
        <w:t xml:space="preserve">מן הטחול ומן הכליות של </w:t>
      </w:r>
      <w:r>
        <w:rPr>
          <w:rFonts w:hint="cs"/>
          <w:rtl/>
        </w:rPr>
        <w:t>ה</w:t>
      </w:r>
      <w:r>
        <w:rPr>
          <w:rtl/>
        </w:rPr>
        <w:t>בהמה עצמה</w:t>
      </w:r>
      <w:r>
        <w:rPr>
          <w:rFonts w:hint="cs"/>
          <w:rtl/>
        </w:rPr>
        <w:t xml:space="preserve"> אסור באכילה, מוכח דההיתר של בן פקועה הוא דכיון שהותרה האם באכילה יש גזיה"כ דהותר הולד מדין </w:t>
      </w:r>
      <w:r>
        <w:rPr>
          <w:rtl/>
        </w:rPr>
        <w:t>"</w:t>
      </w:r>
      <w:r>
        <w:rPr>
          <w:rFonts w:hint="cs"/>
          <w:rtl/>
        </w:rPr>
        <w:t>כל בבהמה</w:t>
      </w:r>
      <w:r>
        <w:rPr>
          <w:rtl/>
        </w:rPr>
        <w:t>"</w:t>
      </w:r>
      <w:r>
        <w:rPr>
          <w:rFonts w:hint="cs"/>
          <w:rtl/>
        </w:rPr>
        <w:t>.</w:t>
      </w:r>
      <w:bookmarkEnd w:id="16005"/>
      <w:bookmarkEnd w:id="16006"/>
    </w:p>
    <w:p w14:paraId="72D56C60" w14:textId="77777777" w:rsidR="003D504D" w:rsidRPr="00B4627E" w:rsidRDefault="003D504D" w:rsidP="003D504D">
      <w:pPr>
        <w:pStyle w:val="a3"/>
        <w:rPr>
          <w:rtl/>
        </w:rPr>
      </w:pPr>
      <w:bookmarkStart w:id="16007" w:name="_Toc535526258"/>
      <w:bookmarkStart w:id="16008" w:name="_Toc535574952"/>
      <w:bookmarkStart w:id="16009" w:name="_Toc535702411"/>
      <w:bookmarkStart w:id="16010" w:name="_Toc535750556"/>
      <w:bookmarkStart w:id="16011" w:name="_Toc19391107"/>
      <w:bookmarkStart w:id="16012" w:name="_Toc19394604"/>
      <w:r>
        <w:rPr>
          <w:rFonts w:hint="cs"/>
          <w:rtl/>
        </w:rPr>
        <w:t>ביאור השער"י דאף דסימני העובר חשיבי כשחוטים מ"מ יש היתר אף בחותך שלא שייך ביה שחיטה</w:t>
      </w:r>
      <w:bookmarkEnd w:id="16007"/>
      <w:bookmarkEnd w:id="16008"/>
      <w:bookmarkEnd w:id="16009"/>
      <w:bookmarkEnd w:id="16010"/>
      <w:bookmarkEnd w:id="16011"/>
      <w:bookmarkEnd w:id="16012"/>
    </w:p>
    <w:p w14:paraId="00AB9424" w14:textId="77777777" w:rsidR="003D504D" w:rsidRDefault="003D504D" w:rsidP="00223668">
      <w:pPr>
        <w:pStyle w:val="a0"/>
        <w:rPr>
          <w:rtl/>
        </w:rPr>
      </w:pPr>
      <w:r>
        <w:rPr>
          <w:rFonts w:hint="cs"/>
          <w:rtl/>
        </w:rPr>
        <w:t xml:space="preserve">וביאר </w:t>
      </w:r>
      <w:r w:rsidRPr="0083533B">
        <w:rPr>
          <w:rStyle w:val="af9"/>
          <w:rFonts w:hint="cs"/>
          <w:rtl/>
        </w:rPr>
        <w:t>השער"י</w:t>
      </w:r>
      <w:r>
        <w:rPr>
          <w:rFonts w:hint="cs"/>
          <w:rtl/>
        </w:rPr>
        <w:t xml:space="preserve"> דאף דאיתא בגמ' לקמן </w:t>
      </w:r>
      <w:r w:rsidRPr="0083533B">
        <w:rPr>
          <w:rStyle w:val="af7"/>
          <w:rFonts w:eastAsia="Guttman Hodes" w:hint="cs"/>
          <w:rtl/>
        </w:rPr>
        <w:t>(עד.)</w:t>
      </w:r>
      <w:r>
        <w:rPr>
          <w:rFonts w:hint="cs"/>
          <w:rtl/>
        </w:rPr>
        <w:t xml:space="preserve"> דהכשירה תורה בבן פקועה ד' סימנים, ומבואר דההיתר דבן פקועה הוא ע"י שחיטת האם דשחיטת האם עצמה מתירה את הולד, והסימנים של האם חשיבי כסימני העובר, ושחיטתם היא כשחיטת הולד, מ"מ ממתני' מוכח דההיתר דבן פקועה אינו רק ע"י שחיטת האם, דהא א"א לומר דכיון שנשחטה האם חשיב שנשחטו אברי העובר שנחתכו ממנו, דהא לא שייך בהם שחיטה כלל, וא"א להתירם מדין ד' סימנים, ומוכח שיש גזיה"כ דכיון שהותרה האם באכילה הותר הולד מדין </w:t>
      </w:r>
      <w:r>
        <w:rPr>
          <w:rtl/>
        </w:rPr>
        <w:t>"</w:t>
      </w:r>
      <w:r>
        <w:rPr>
          <w:rFonts w:hint="cs"/>
          <w:rtl/>
        </w:rPr>
        <w:t>כל בבהמה</w:t>
      </w:r>
      <w:r>
        <w:rPr>
          <w:rtl/>
        </w:rPr>
        <w:t>"</w:t>
      </w:r>
      <w:r>
        <w:rPr>
          <w:rFonts w:hint="cs"/>
          <w:rtl/>
        </w:rPr>
        <w:t xml:space="preserve">, ועי' בדברי </w:t>
      </w:r>
      <w:r w:rsidRPr="00444B00">
        <w:rPr>
          <w:rStyle w:val="af9"/>
          <w:rFonts w:hint="cs"/>
          <w:rtl/>
        </w:rPr>
        <w:t>ה</w:t>
      </w:r>
      <w:r>
        <w:rPr>
          <w:rStyle w:val="af9"/>
          <w:rFonts w:hint="cs"/>
          <w:rtl/>
        </w:rPr>
        <w:t>קה</w:t>
      </w:r>
      <w:r w:rsidRPr="00444B00">
        <w:rPr>
          <w:rStyle w:val="af9"/>
          <w:rFonts w:hint="cs"/>
          <w:rtl/>
        </w:rPr>
        <w:t>"י</w:t>
      </w:r>
      <w:r>
        <w:rPr>
          <w:rFonts w:hint="cs"/>
          <w:rtl/>
        </w:rPr>
        <w:t xml:space="preserve"> </w:t>
      </w:r>
      <w:r w:rsidRPr="00444B00">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Ref535525075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עג)</w:t>
      </w:r>
      <w:r>
        <w:rPr>
          <w:rStyle w:val="af7"/>
          <w:rFonts w:eastAsia="Guttman Hodes"/>
          <w:rtl/>
        </w:rPr>
        <w:fldChar w:fldCharType="end"/>
      </w:r>
      <w:r>
        <w:rPr>
          <w:rFonts w:hint="cs"/>
          <w:rtl/>
        </w:rPr>
        <w:t>.</w:t>
      </w:r>
    </w:p>
    <w:p w14:paraId="515EE6E5" w14:textId="77777777" w:rsidR="003D504D" w:rsidRDefault="003D504D" w:rsidP="00BF39B2">
      <w:pPr>
        <w:pStyle w:val="1"/>
        <w:rPr>
          <w:rtl/>
        </w:rPr>
      </w:pPr>
      <w:bookmarkStart w:id="16013" w:name="_Toc535526259"/>
      <w:bookmarkStart w:id="16014" w:name="_Toc535574953"/>
      <w:bookmarkStart w:id="16015" w:name="_Toc535702412"/>
      <w:bookmarkStart w:id="16016" w:name="_Toc535750557"/>
      <w:bookmarkStart w:id="16017" w:name="_Toc19391108"/>
      <w:bookmarkStart w:id="16018" w:name="_Toc19394605"/>
      <w:bookmarkStart w:id="16019" w:name="_Toc535095888"/>
      <w:bookmarkStart w:id="16020" w:name="_Toc535302127"/>
      <w:r>
        <w:rPr>
          <w:rFonts w:hint="cs"/>
          <w:rtl/>
        </w:rPr>
        <w:t>דברי השער"י דמביאור רש"י במקום חתך מוכח דאינו כשחוט</w:t>
      </w:r>
      <w:bookmarkEnd w:id="16013"/>
      <w:bookmarkEnd w:id="16014"/>
      <w:bookmarkEnd w:id="16015"/>
      <w:bookmarkEnd w:id="16016"/>
      <w:bookmarkEnd w:id="16017"/>
      <w:bookmarkEnd w:id="16018"/>
    </w:p>
    <w:p w14:paraId="40CCB36A" w14:textId="77777777" w:rsidR="003D504D" w:rsidRDefault="003D504D" w:rsidP="003D504D">
      <w:pPr>
        <w:pStyle w:val="a3"/>
        <w:rPr>
          <w:rtl/>
        </w:rPr>
      </w:pPr>
      <w:bookmarkStart w:id="16021" w:name="_Toc535526260"/>
      <w:bookmarkStart w:id="16022" w:name="_Toc535574954"/>
      <w:bookmarkStart w:id="16023" w:name="_Toc535702413"/>
      <w:bookmarkStart w:id="16024" w:name="_Toc535750558"/>
      <w:bookmarkStart w:id="16025" w:name="_Toc19391109"/>
      <w:bookmarkStart w:id="16026" w:name="_Toc19394606"/>
      <w:r>
        <w:rPr>
          <w:rFonts w:hint="cs"/>
          <w:rtl/>
        </w:rPr>
        <w:t>דברי השער"י דלרש"י דמקום חתך אינו אסור כטריפה מוכח שאינו כשחוט ולכן ל"מ השחיטה</w:t>
      </w:r>
      <w:bookmarkEnd w:id="16021"/>
      <w:bookmarkEnd w:id="16022"/>
      <w:bookmarkEnd w:id="16023"/>
      <w:bookmarkEnd w:id="16024"/>
      <w:bookmarkEnd w:id="16025"/>
      <w:bookmarkEnd w:id="16026"/>
      <w:r>
        <w:rPr>
          <w:rFonts w:hint="cs"/>
          <w:rtl/>
        </w:rPr>
        <w:t xml:space="preserve"> </w:t>
      </w:r>
    </w:p>
    <w:p w14:paraId="080BAEBF" w14:textId="77777777" w:rsidR="003D504D" w:rsidRDefault="003D504D" w:rsidP="00223668">
      <w:pPr>
        <w:pStyle w:val="a0"/>
        <w:rPr>
          <w:rtl/>
        </w:rPr>
      </w:pPr>
      <w:bookmarkStart w:id="16027" w:name="_Ref535315708"/>
      <w:r>
        <w:rPr>
          <w:rFonts w:hint="cs"/>
          <w:rtl/>
        </w:rPr>
        <w:t xml:space="preserve">בדברי </w:t>
      </w:r>
      <w:r w:rsidRPr="00881BF0">
        <w:rPr>
          <w:rStyle w:val="af9"/>
          <w:rFonts w:hint="cs"/>
          <w:rtl/>
        </w:rPr>
        <w:t>רש"י</w:t>
      </w:r>
      <w:r>
        <w:rPr>
          <w:rFonts w:hint="cs"/>
          <w:rtl/>
        </w:rPr>
        <w:t xml:space="preserve"> </w:t>
      </w:r>
      <w:r w:rsidRPr="0027691E">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Ref535353143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נ)</w:t>
      </w:r>
      <w:r>
        <w:rPr>
          <w:rStyle w:val="af7"/>
          <w:rFonts w:eastAsia="Guttman Hodes"/>
          <w:rtl/>
        </w:rPr>
        <w:fldChar w:fldCharType="end"/>
      </w:r>
      <w:r>
        <w:rPr>
          <w:rStyle w:val="af7"/>
          <w:rFonts w:eastAsia="Guttman Hodes" w:hint="cs"/>
          <w:rtl/>
        </w:rPr>
        <w:t xml:space="preserve"> </w:t>
      </w:r>
      <w:r>
        <w:rPr>
          <w:rFonts w:hint="cs"/>
          <w:rtl/>
        </w:rPr>
        <w:t xml:space="preserve">דכתב דמקום חתך אינו בכלל איסור "בשר בשדה טריפה" אך אינו בכלל היתר </w:t>
      </w:r>
      <w:r>
        <w:rPr>
          <w:rtl/>
        </w:rPr>
        <w:t>"</w:t>
      </w:r>
      <w:r>
        <w:rPr>
          <w:rFonts w:hint="cs"/>
          <w:rtl/>
        </w:rPr>
        <w:t>כל בבהמה</w:t>
      </w:r>
      <w:r>
        <w:rPr>
          <w:rtl/>
        </w:rPr>
        <w:t>"</w:t>
      </w:r>
      <w:r>
        <w:rPr>
          <w:rFonts w:hint="cs"/>
          <w:rtl/>
        </w:rPr>
        <w:t xml:space="preserve">, ולכן כשהאבר נשאר בחוץ בשעת שחיטה, מקום חתך אסור, דאינו בכלל היתר </w:t>
      </w:r>
      <w:r>
        <w:rPr>
          <w:rtl/>
        </w:rPr>
        <w:t>"</w:t>
      </w:r>
      <w:r>
        <w:rPr>
          <w:rFonts w:hint="cs"/>
          <w:rtl/>
        </w:rPr>
        <w:t>כל בבהמה</w:t>
      </w:r>
      <w:r>
        <w:rPr>
          <w:rtl/>
        </w:rPr>
        <w:t>"</w:t>
      </w:r>
      <w:r>
        <w:rPr>
          <w:rFonts w:hint="cs"/>
          <w:rtl/>
        </w:rPr>
        <w:t xml:space="preserve">, ובהחזיר את האבר, מקום החתך מותר, דלא נאסר כאבר היוצא, כתב </w:t>
      </w:r>
      <w:r w:rsidRPr="00881BF0">
        <w:rPr>
          <w:rStyle w:val="af9"/>
          <w:rFonts w:hint="cs"/>
          <w:rtl/>
        </w:rPr>
        <w:t>השער"י</w:t>
      </w:r>
      <w:r>
        <w:rPr>
          <w:rFonts w:hint="cs"/>
          <w:rtl/>
        </w:rPr>
        <w:t xml:space="preserve"> </w:t>
      </w:r>
      <w:r w:rsidRPr="0027691E">
        <w:rPr>
          <w:rStyle w:val="af7"/>
          <w:rFonts w:eastAsia="Guttman Hodes" w:hint="cs"/>
          <w:rtl/>
        </w:rPr>
        <w:t>(שער החזקות פכ"ב ד"ה ותחילה)</w:t>
      </w:r>
      <w:r>
        <w:rPr>
          <w:rFonts w:hint="cs"/>
          <w:rtl/>
        </w:rPr>
        <w:t xml:space="preserve"> דמבואר מזה דההיתר בכל בן פקועה אינו מחמת דחשיב שנשחט בשחיטת אמו, דאי העובר חשיב כשחוט א"כ אף מקום החתך צריך להיות מותר, דהא אינו בכלל איסור "בשר בשדה טריפה", אלא מוכח דההיתר הוא מגזיה"כ </w:t>
      </w:r>
      <w:r>
        <w:rPr>
          <w:rtl/>
        </w:rPr>
        <w:t>"</w:t>
      </w:r>
      <w:r>
        <w:rPr>
          <w:rFonts w:hint="cs"/>
          <w:rtl/>
        </w:rPr>
        <w:t>כל בבהמה</w:t>
      </w:r>
      <w:r>
        <w:rPr>
          <w:rtl/>
        </w:rPr>
        <w:t>"</w:t>
      </w:r>
      <w:r>
        <w:rPr>
          <w:rFonts w:hint="cs"/>
          <w:rtl/>
        </w:rPr>
        <w:t xml:space="preserve">, וא"כ אף שאין איסור על מקום החתך, מ"מ כל שלא החזיר את האבר, מקום החתך אינו בכלל היתר </w:t>
      </w:r>
      <w:r>
        <w:rPr>
          <w:rtl/>
        </w:rPr>
        <w:t>"</w:t>
      </w:r>
      <w:r>
        <w:rPr>
          <w:rFonts w:hint="cs"/>
          <w:rtl/>
        </w:rPr>
        <w:t>כל בבהמה</w:t>
      </w:r>
      <w:r>
        <w:rPr>
          <w:rtl/>
        </w:rPr>
        <w:t>"</w:t>
      </w:r>
      <w:r>
        <w:rPr>
          <w:rFonts w:hint="cs"/>
          <w:rtl/>
        </w:rPr>
        <w:t>, ולכן לא מהני שחיטת האם להתירו ואסור.</w:t>
      </w:r>
      <w:bookmarkEnd w:id="16027"/>
    </w:p>
    <w:p w14:paraId="433B8292" w14:textId="77777777" w:rsidR="003D504D" w:rsidRPr="00245892" w:rsidRDefault="003D504D" w:rsidP="00BF39B2">
      <w:pPr>
        <w:pStyle w:val="1"/>
        <w:rPr>
          <w:rtl/>
        </w:rPr>
      </w:pPr>
      <w:bookmarkStart w:id="16028" w:name="_Toc535526261"/>
      <w:bookmarkStart w:id="16029" w:name="_Toc535574955"/>
      <w:bookmarkStart w:id="16030" w:name="_Toc535702414"/>
      <w:bookmarkStart w:id="16031" w:name="_Toc535750559"/>
      <w:bookmarkStart w:id="16032" w:name="_Toc19391110"/>
      <w:bookmarkStart w:id="16033" w:name="_Toc19394607"/>
      <w:r>
        <w:rPr>
          <w:rFonts w:hint="cs"/>
          <w:rtl/>
        </w:rPr>
        <w:t>ביאור הקה"י דהוא כאבר מאבריה וכשאר אבריה שהם שחוטים</w:t>
      </w:r>
      <w:bookmarkEnd w:id="16019"/>
      <w:bookmarkEnd w:id="16020"/>
      <w:bookmarkEnd w:id="16028"/>
      <w:bookmarkEnd w:id="16029"/>
      <w:bookmarkEnd w:id="16030"/>
      <w:bookmarkEnd w:id="16031"/>
      <w:bookmarkEnd w:id="16032"/>
      <w:bookmarkEnd w:id="16033"/>
    </w:p>
    <w:p w14:paraId="5D0CE2D2" w14:textId="77777777" w:rsidR="003D504D" w:rsidRDefault="003D504D" w:rsidP="003D504D">
      <w:pPr>
        <w:pStyle w:val="a3"/>
        <w:rPr>
          <w:rtl/>
        </w:rPr>
      </w:pPr>
      <w:bookmarkStart w:id="16034" w:name="_Toc535526262"/>
      <w:bookmarkStart w:id="16035" w:name="_Toc535574956"/>
      <w:bookmarkStart w:id="16036" w:name="_Toc535702415"/>
      <w:bookmarkStart w:id="16037" w:name="_Toc535750560"/>
      <w:bookmarkStart w:id="16038" w:name="_Toc19391111"/>
      <w:bookmarkStart w:id="16039" w:name="_Toc19394608"/>
      <w:r>
        <w:rPr>
          <w:rFonts w:hint="cs"/>
          <w:rtl/>
        </w:rPr>
        <w:t>דברי הקה"י דמחותך מעובר מוכח דשחיטת האם מתירה בולד אף איסורים שאין בהם שחיטה</w:t>
      </w:r>
      <w:bookmarkEnd w:id="16034"/>
      <w:bookmarkEnd w:id="16035"/>
      <w:bookmarkEnd w:id="16036"/>
      <w:bookmarkEnd w:id="16037"/>
      <w:bookmarkEnd w:id="16038"/>
      <w:bookmarkEnd w:id="16039"/>
    </w:p>
    <w:p w14:paraId="52666C94" w14:textId="77777777" w:rsidR="003D504D" w:rsidRDefault="003D504D" w:rsidP="00223668">
      <w:pPr>
        <w:pStyle w:val="a0"/>
        <w:rPr>
          <w:rtl/>
        </w:rPr>
      </w:pPr>
      <w:bookmarkStart w:id="16040" w:name="_Ref535525075"/>
      <w:bookmarkStart w:id="16041" w:name="_Ref533930894"/>
      <w:bookmarkStart w:id="16042" w:name="_Ref535095832"/>
      <w:r>
        <w:rPr>
          <w:rFonts w:hint="cs"/>
          <w:rtl/>
        </w:rPr>
        <w:t xml:space="preserve">כתב </w:t>
      </w:r>
      <w:r w:rsidRPr="00AF4419">
        <w:rPr>
          <w:rStyle w:val="af9"/>
          <w:rFonts w:hint="cs"/>
          <w:rtl/>
        </w:rPr>
        <w:t>הקה"י</w:t>
      </w:r>
      <w:r>
        <w:rPr>
          <w:rFonts w:hint="cs"/>
          <w:rtl/>
        </w:rPr>
        <w:t xml:space="preserve"> </w:t>
      </w:r>
      <w:r w:rsidRPr="00AF4419">
        <w:rPr>
          <w:rStyle w:val="af7"/>
          <w:rFonts w:eastAsia="Guttman Hodes" w:hint="cs"/>
          <w:rtl/>
        </w:rPr>
        <w:t xml:space="preserve">(סי' י"ט אות ג' </w:t>
      </w:r>
      <w:r>
        <w:rPr>
          <w:rStyle w:val="af7"/>
          <w:rFonts w:eastAsia="Guttman Hodes" w:hint="cs"/>
          <w:rtl/>
        </w:rPr>
        <w:t>סו</w:t>
      </w:r>
      <w:r w:rsidRPr="00AF4419">
        <w:rPr>
          <w:rStyle w:val="af7"/>
          <w:rFonts w:eastAsia="Guttman Hodes" w:hint="cs"/>
          <w:rtl/>
        </w:rPr>
        <w:t>ד"ה ובזה)</w:t>
      </w:r>
      <w:r>
        <w:rPr>
          <w:rFonts w:hint="cs"/>
          <w:rtl/>
        </w:rPr>
        <w:t xml:space="preserve"> דמהא דמותר לאכול את החתיכה שחתך מהעובר במעי אמו, מבואר דששחיטת האם עושה "היתר" בוולד, ובכחה להתיר אף איסורים שאינם מותרים ע"י שחיטה, דהא במה שחתך מהעובר לא שייך שחיטה, ועי' בדברי השער"י (עי' אות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Ref535525039 \r \h</w:instrText>
      </w:r>
      <w:r>
        <w:rPr>
          <w:rtl/>
        </w:rPr>
        <w:instrText xml:space="preserve"> </w:instrText>
      </w:r>
      <w:r>
        <w:rPr>
          <w:rtl/>
        </w:rPr>
      </w:r>
      <w:r>
        <w:rPr>
          <w:rtl/>
        </w:rPr>
        <w:fldChar w:fldCharType="separate"/>
      </w:r>
      <w:r w:rsidR="00345400">
        <w:rPr>
          <w:cs/>
        </w:rPr>
        <w:t>‎</w:t>
      </w:r>
      <w:r w:rsidR="00345400">
        <w:rPr>
          <w:rtl/>
        </w:rPr>
        <w:t>ע)</w:t>
      </w:r>
      <w:r>
        <w:rPr>
          <w:rtl/>
        </w:rPr>
        <w:fldChar w:fldCharType="end"/>
      </w:r>
      <w:r>
        <w:rPr>
          <w:rFonts w:hint="cs"/>
          <w:rtl/>
        </w:rPr>
        <w:t>.</w:t>
      </w:r>
      <w:bookmarkEnd w:id="16040"/>
    </w:p>
    <w:p w14:paraId="3E603EE2" w14:textId="77777777" w:rsidR="003D504D" w:rsidRPr="003700DC" w:rsidRDefault="003D504D" w:rsidP="003D504D">
      <w:pPr>
        <w:pStyle w:val="a3"/>
      </w:pPr>
      <w:bookmarkStart w:id="16043" w:name="_Toc535526263"/>
      <w:bookmarkStart w:id="16044" w:name="_Toc535574957"/>
      <w:bookmarkStart w:id="16045" w:name="_Toc535702416"/>
      <w:bookmarkStart w:id="16046" w:name="_Toc535750561"/>
      <w:bookmarkStart w:id="16047" w:name="_Toc19391112"/>
      <w:bookmarkStart w:id="16048" w:name="_Toc19394609"/>
      <w:r>
        <w:rPr>
          <w:rFonts w:hint="cs"/>
          <w:rtl/>
        </w:rPr>
        <w:t>קושית הקה"י דמבואר דיש בעובר ב' דינים גם שהוא שחוט וגם דין היתר ומהיכן ילפינן ב' דינים</w:t>
      </w:r>
      <w:bookmarkEnd w:id="16043"/>
      <w:bookmarkEnd w:id="16044"/>
      <w:bookmarkEnd w:id="16045"/>
      <w:bookmarkEnd w:id="16046"/>
      <w:bookmarkEnd w:id="16047"/>
      <w:bookmarkEnd w:id="16048"/>
    </w:p>
    <w:p w14:paraId="0D594B22" w14:textId="77777777" w:rsidR="003D504D" w:rsidRDefault="003D504D" w:rsidP="00223668">
      <w:pPr>
        <w:pStyle w:val="a0"/>
        <w:rPr>
          <w:rtl/>
        </w:rPr>
      </w:pPr>
      <w:r>
        <w:rPr>
          <w:rFonts w:hint="cs"/>
          <w:rtl/>
        </w:rPr>
        <w:t xml:space="preserve">ועיי"ש בדברי </w:t>
      </w:r>
      <w:r w:rsidRPr="003700DC">
        <w:rPr>
          <w:rStyle w:val="af9"/>
          <w:rFonts w:hint="cs"/>
          <w:rtl/>
        </w:rPr>
        <w:t>הקה"י</w:t>
      </w:r>
      <w:r>
        <w:rPr>
          <w:rFonts w:hint="cs"/>
          <w:rtl/>
        </w:rPr>
        <w:t xml:space="preserve"> דכתב להוכיח דיש</w:t>
      </w:r>
      <w:bookmarkEnd w:id="16041"/>
      <w:r>
        <w:rPr>
          <w:rFonts w:hint="cs"/>
          <w:rtl/>
        </w:rPr>
        <w:t xml:space="preserve">  דיש ב' דינים בבן פקועה, גם את היתר </w:t>
      </w:r>
      <w:r>
        <w:rPr>
          <w:rtl/>
        </w:rPr>
        <w:t>"</w:t>
      </w:r>
      <w:r>
        <w:rPr>
          <w:rFonts w:hint="cs"/>
          <w:rtl/>
        </w:rPr>
        <w:t>כל בבהמה</w:t>
      </w:r>
      <w:r>
        <w:rPr>
          <w:rtl/>
        </w:rPr>
        <w:t>"</w:t>
      </w:r>
      <w:r>
        <w:rPr>
          <w:rFonts w:hint="cs"/>
          <w:rtl/>
        </w:rPr>
        <w:t xml:space="preserve">, וגם דחשיב כשחוט, והקשה </w:t>
      </w:r>
      <w:r w:rsidRPr="003700DC">
        <w:rPr>
          <w:rStyle w:val="af9"/>
          <w:rFonts w:hint="cs"/>
          <w:rtl/>
        </w:rPr>
        <w:t>הקה"י</w:t>
      </w:r>
      <w:r>
        <w:rPr>
          <w:rFonts w:hint="cs"/>
          <w:rtl/>
        </w:rPr>
        <w:t xml:space="preserve"> מהיכן ילפינן ב' דינים שונים.</w:t>
      </w:r>
      <w:bookmarkEnd w:id="16042"/>
    </w:p>
    <w:p w14:paraId="35A40176" w14:textId="77777777" w:rsidR="003D504D" w:rsidRDefault="003D504D" w:rsidP="003D504D">
      <w:pPr>
        <w:pStyle w:val="a3"/>
        <w:rPr>
          <w:rtl/>
        </w:rPr>
      </w:pPr>
      <w:bookmarkStart w:id="16049" w:name="_Toc535526264"/>
      <w:bookmarkStart w:id="16050" w:name="_Toc535574958"/>
      <w:bookmarkStart w:id="16051" w:name="_Toc535702417"/>
      <w:bookmarkStart w:id="16052" w:name="_Toc535750562"/>
      <w:bookmarkStart w:id="16053" w:name="_Toc19391113"/>
      <w:bookmarkStart w:id="16054" w:name="_Toc19394610"/>
      <w:r>
        <w:rPr>
          <w:rFonts w:hint="cs"/>
          <w:rtl/>
        </w:rPr>
        <w:t>ביאור הקה"י דהוא דין אחד שההיתר הוא דדינו כאבר מאברי אמו שכל אבריה דינם כשחוטים</w:t>
      </w:r>
      <w:bookmarkEnd w:id="16049"/>
      <w:bookmarkEnd w:id="16050"/>
      <w:bookmarkEnd w:id="16051"/>
      <w:bookmarkEnd w:id="16052"/>
      <w:bookmarkEnd w:id="16053"/>
      <w:bookmarkEnd w:id="16054"/>
    </w:p>
    <w:p w14:paraId="6FD8E8DA" w14:textId="77777777" w:rsidR="003D504D" w:rsidRDefault="003D504D" w:rsidP="00223668">
      <w:pPr>
        <w:pStyle w:val="a0"/>
        <w:rPr>
          <w:rStyle w:val="afb"/>
          <w:rtl/>
        </w:rPr>
      </w:pPr>
      <w:r>
        <w:rPr>
          <w:rFonts w:hint="cs"/>
          <w:rtl/>
        </w:rPr>
        <w:t xml:space="preserve">אלא ביאר </w:t>
      </w:r>
      <w:r w:rsidRPr="00AF4419">
        <w:rPr>
          <w:rStyle w:val="af9"/>
          <w:rFonts w:hint="cs"/>
          <w:rtl/>
        </w:rPr>
        <w:t>הקה"י</w:t>
      </w:r>
      <w:r>
        <w:rPr>
          <w:rFonts w:hint="cs"/>
          <w:rtl/>
        </w:rPr>
        <w:t xml:space="preserve"> </w:t>
      </w:r>
      <w:r w:rsidRPr="00AF4419">
        <w:rPr>
          <w:rStyle w:val="af7"/>
          <w:rFonts w:eastAsia="Guttman Hodes" w:hint="cs"/>
          <w:rtl/>
        </w:rPr>
        <w:t xml:space="preserve">(סי' י"ט אות ג' ד"ה </w:t>
      </w:r>
      <w:r>
        <w:rPr>
          <w:rStyle w:val="af7"/>
          <w:rFonts w:eastAsia="Guttman Hodes" w:hint="cs"/>
          <w:rtl/>
        </w:rPr>
        <w:t>אבל</w:t>
      </w:r>
      <w:r w:rsidRPr="00AF4419">
        <w:rPr>
          <w:rStyle w:val="af7"/>
          <w:rFonts w:eastAsia="Guttman Hodes" w:hint="cs"/>
          <w:rtl/>
        </w:rPr>
        <w:t>)</w:t>
      </w:r>
      <w:r>
        <w:rPr>
          <w:rFonts w:hint="cs"/>
          <w:rtl/>
        </w:rPr>
        <w:t xml:space="preserve"> דאי"ז ב' דינים שונים, אלא דדין בן פקועה הוא דע"י שחיטת אמו חשיב כאבר מאבריה, ולא כבהמה בפנ"ע, ולכן כמו ששאר אברי הבהמה דינם כשחוטים, אף העובר דינו כשחוט, ואף בנמצא מת שלא מהני לו שחיטה כבהמה בפנ"ע, מ"מ כיון שהוא כאבר מאברי אמו, אין לו דין מת כלל, דהא אמו חיה והוא כאבר של בהמה חיה שנשחטה, </w:t>
      </w:r>
      <w:r w:rsidRPr="008328B4">
        <w:rPr>
          <w:rStyle w:val="afb"/>
          <w:rFonts w:hint="cs"/>
          <w:rtl/>
        </w:rPr>
        <w:t>[ו</w:t>
      </w:r>
      <w:r>
        <w:rPr>
          <w:rStyle w:val="afb"/>
          <w:rFonts w:hint="cs"/>
          <w:rtl/>
        </w:rPr>
        <w:t xml:space="preserve">כתב </w:t>
      </w:r>
      <w:r w:rsidRPr="008328B4">
        <w:rPr>
          <w:rStyle w:val="affa"/>
          <w:rFonts w:hint="cs"/>
          <w:rtl/>
        </w:rPr>
        <w:t>הקה"י</w:t>
      </w:r>
      <w:r>
        <w:rPr>
          <w:rStyle w:val="afb"/>
          <w:rFonts w:hint="cs"/>
          <w:rtl/>
        </w:rPr>
        <w:t xml:space="preserve"> ד</w:t>
      </w:r>
      <w:r w:rsidRPr="008328B4">
        <w:rPr>
          <w:rStyle w:val="afb"/>
          <w:rFonts w:hint="cs"/>
          <w:rtl/>
        </w:rPr>
        <w:t>הא דחלבו וגידו מותרים, היינו כיון שהוא אבר מהאם, חלבו אינו חלב שעל הקרב, וגידו אינו גיד הנשה]</w:t>
      </w:r>
      <w:r>
        <w:rPr>
          <w:rStyle w:val="afb"/>
          <w:rFonts w:hint="cs"/>
          <w:rtl/>
        </w:rPr>
        <w:t>.</w:t>
      </w:r>
    </w:p>
    <w:p w14:paraId="6F69DCFE" w14:textId="77777777" w:rsidR="003D504D" w:rsidRDefault="003D504D" w:rsidP="003D504D">
      <w:pPr>
        <w:pStyle w:val="afe"/>
        <w:rPr>
          <w:rtl/>
        </w:rPr>
      </w:pPr>
      <w:bookmarkStart w:id="16055" w:name="_Toc535302128"/>
      <w:bookmarkStart w:id="16056" w:name="_Toc535526265"/>
      <w:bookmarkStart w:id="16057" w:name="_Toc535574959"/>
      <w:bookmarkStart w:id="16058" w:name="_Toc535702418"/>
      <w:bookmarkStart w:id="16059" w:name="_Toc535750563"/>
      <w:bookmarkStart w:id="16060" w:name="_Toc19436009"/>
      <w:bookmarkStart w:id="16061" w:name="_Toc20081219"/>
      <w:r>
        <w:rPr>
          <w:rFonts w:hint="cs"/>
          <w:rtl/>
        </w:rPr>
        <w:t>בגדר האיסור באבר היוצא</w:t>
      </w:r>
      <w:bookmarkEnd w:id="16055"/>
      <w:bookmarkEnd w:id="16056"/>
      <w:bookmarkEnd w:id="16057"/>
      <w:bookmarkEnd w:id="16058"/>
      <w:bookmarkEnd w:id="16059"/>
      <w:bookmarkEnd w:id="16060"/>
      <w:bookmarkEnd w:id="16061"/>
    </w:p>
    <w:p w14:paraId="4B4FE865" w14:textId="77777777" w:rsidR="003D504D" w:rsidRPr="0098677B" w:rsidRDefault="003D504D" w:rsidP="00BF39B2">
      <w:pPr>
        <w:pStyle w:val="1"/>
        <w:rPr>
          <w:rtl/>
        </w:rPr>
      </w:pPr>
      <w:bookmarkStart w:id="16062" w:name="_Toc535526266"/>
      <w:bookmarkStart w:id="16063" w:name="_Toc535574960"/>
      <w:bookmarkStart w:id="16064" w:name="_Toc535702419"/>
      <w:bookmarkStart w:id="16065" w:name="_Toc535750564"/>
      <w:bookmarkStart w:id="16066" w:name="_Toc19391114"/>
      <w:bookmarkStart w:id="16067" w:name="_Toc19394611"/>
      <w:r w:rsidRPr="0098677B">
        <w:rPr>
          <w:rFonts w:hint="cs"/>
          <w:rtl/>
        </w:rPr>
        <w:t>הוכחת האמרי משה מפלוגתת ר"מ ורבנן</w:t>
      </w:r>
      <w:bookmarkEnd w:id="16062"/>
      <w:bookmarkEnd w:id="16063"/>
      <w:bookmarkEnd w:id="16064"/>
      <w:bookmarkEnd w:id="16065"/>
      <w:bookmarkEnd w:id="16066"/>
      <w:bookmarkEnd w:id="16067"/>
    </w:p>
    <w:p w14:paraId="539348BA" w14:textId="77777777" w:rsidR="003D504D" w:rsidRPr="0098677B" w:rsidRDefault="003D504D" w:rsidP="003D504D">
      <w:pPr>
        <w:pStyle w:val="a3"/>
        <w:rPr>
          <w:rtl/>
        </w:rPr>
      </w:pPr>
      <w:bookmarkStart w:id="16068" w:name="_Toc535526267"/>
      <w:bookmarkStart w:id="16069" w:name="_Toc535574961"/>
      <w:bookmarkStart w:id="16070" w:name="_Toc535702420"/>
      <w:bookmarkStart w:id="16071" w:name="_Toc535750565"/>
      <w:bookmarkStart w:id="16072" w:name="_Toc19391115"/>
      <w:bookmarkStart w:id="16073" w:name="_Toc19394612"/>
      <w:bookmarkStart w:id="16074" w:name="_Toc535302129"/>
      <w:r>
        <w:rPr>
          <w:rFonts w:hint="cs"/>
          <w:rtl/>
        </w:rPr>
        <w:t>חקירת האמרי משה אי השחיטה חלה על העובר שהוא כאבר דאמו או שיש בו היתר לכל האיסורים</w:t>
      </w:r>
      <w:bookmarkEnd w:id="16068"/>
      <w:bookmarkEnd w:id="16069"/>
      <w:bookmarkEnd w:id="16070"/>
      <w:bookmarkEnd w:id="16071"/>
      <w:bookmarkEnd w:id="16072"/>
      <w:bookmarkEnd w:id="16073"/>
    </w:p>
    <w:p w14:paraId="5459DFD6" w14:textId="77777777" w:rsidR="003D504D" w:rsidRPr="0098677B" w:rsidRDefault="003D504D" w:rsidP="00223668">
      <w:pPr>
        <w:pStyle w:val="a0"/>
        <w:rPr>
          <w:rtl/>
        </w:rPr>
      </w:pPr>
      <w:bookmarkStart w:id="16075" w:name="_Ref535750644"/>
      <w:r w:rsidRPr="0098677B">
        <w:rPr>
          <w:rFonts w:hint="cs"/>
          <w:rtl/>
        </w:rPr>
        <w:t xml:space="preserve">חקר </w:t>
      </w:r>
      <w:r w:rsidRPr="0098677B">
        <w:rPr>
          <w:rStyle w:val="af9"/>
          <w:rFonts w:hint="cs"/>
          <w:rtl/>
        </w:rPr>
        <w:t>האמרי משה</w:t>
      </w:r>
      <w:r w:rsidRPr="0098677B">
        <w:rPr>
          <w:rFonts w:hint="cs"/>
          <w:rtl/>
        </w:rPr>
        <w:t xml:space="preserve"> </w:t>
      </w:r>
      <w:r w:rsidRPr="0098677B">
        <w:rPr>
          <w:rStyle w:val="af7"/>
          <w:rFonts w:eastAsia="Guttman Hodes" w:hint="cs"/>
          <w:rtl/>
        </w:rPr>
        <w:t>(סי' ד' אות א' ד"ה והנראה)</w:t>
      </w:r>
      <w:r w:rsidRPr="0098677B">
        <w:rPr>
          <w:rFonts w:hint="cs"/>
          <w:rtl/>
        </w:rPr>
        <w:t xml:space="preserve"> </w:t>
      </w:r>
      <w:r>
        <w:rPr>
          <w:rFonts w:hint="cs"/>
          <w:rtl/>
        </w:rPr>
        <w:t>[</w:t>
      </w:r>
      <w:r w:rsidRPr="00E928C1">
        <w:rPr>
          <w:rStyle w:val="af9"/>
          <w:rFonts w:hint="cs"/>
          <w:rtl/>
        </w:rPr>
        <w:t>כאתוון דאורייתא</w:t>
      </w:r>
      <w:r>
        <w:rPr>
          <w:rFonts w:hint="cs"/>
          <w:rtl/>
        </w:rPr>
        <w:t xml:space="preserve"> </w:t>
      </w:r>
      <w:r w:rsidRPr="0098677B">
        <w:rPr>
          <w:rStyle w:val="af7"/>
          <w:rFonts w:eastAsia="Guttman Hodes" w:hint="cs"/>
          <w:rtl/>
        </w:rPr>
        <w:t xml:space="preserve">(עי' אות </w:t>
      </w:r>
      <w:r w:rsidRPr="0098677B">
        <w:rPr>
          <w:rStyle w:val="af7"/>
          <w:rFonts w:eastAsia="Guttman Hodes"/>
          <w:rtl/>
        </w:rPr>
        <w:fldChar w:fldCharType="begin"/>
      </w:r>
      <w:r w:rsidRPr="0098677B">
        <w:rPr>
          <w:rStyle w:val="af7"/>
          <w:rFonts w:eastAsia="Guttman Hodes"/>
          <w:rtl/>
        </w:rPr>
        <w:instrText xml:space="preserve"> </w:instrText>
      </w:r>
      <w:r w:rsidRPr="0098677B">
        <w:rPr>
          <w:rStyle w:val="af7"/>
          <w:rFonts w:eastAsia="Guttman Hodes" w:hint="cs"/>
        </w:rPr>
        <w:instrText>REF</w:instrText>
      </w:r>
      <w:r w:rsidRPr="0098677B">
        <w:rPr>
          <w:rStyle w:val="af7"/>
          <w:rFonts w:eastAsia="Guttman Hodes" w:hint="cs"/>
          <w:rtl/>
        </w:rPr>
        <w:instrText xml:space="preserve"> _</w:instrText>
      </w:r>
      <w:r w:rsidRPr="0098677B">
        <w:rPr>
          <w:rStyle w:val="af7"/>
          <w:rFonts w:eastAsia="Guttman Hodes" w:hint="cs"/>
        </w:rPr>
        <w:instrText>Ref535511819 \r \h</w:instrText>
      </w:r>
      <w:r w:rsidRPr="0098677B">
        <w:rPr>
          <w:rStyle w:val="af7"/>
          <w:rFonts w:eastAsia="Guttman Hodes"/>
          <w:rtl/>
        </w:rPr>
        <w:instrText xml:space="preserve"> </w:instrText>
      </w:r>
      <w:r w:rsidRPr="0098677B">
        <w:rPr>
          <w:rStyle w:val="af7"/>
          <w:rFonts w:eastAsia="Guttman Hodes"/>
          <w:rtl/>
        </w:rPr>
      </w:r>
      <w:r w:rsidRPr="0098677B">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98677B">
        <w:rPr>
          <w:rStyle w:val="af7"/>
          <w:rFonts w:eastAsia="Guttman Hodes"/>
          <w:rtl/>
        </w:rPr>
        <w:fldChar w:fldCharType="end"/>
      </w:r>
      <w:r>
        <w:rPr>
          <w:rFonts w:hint="cs"/>
          <w:rtl/>
        </w:rPr>
        <w:t xml:space="preserve">] </w:t>
      </w:r>
      <w:r w:rsidRPr="0098677B">
        <w:rPr>
          <w:rFonts w:hint="cs"/>
          <w:rtl/>
        </w:rPr>
        <w:t>בגדר ההיתר דבן פקועה, אי כיון שהוא אבר מאברי אמו, שחיטת אמו חלה גם עליו, ועי"ז חשיבי סימניו כשחוטים, וא"כ כל ההיתר שבו הוא דהוא שחוט ואין בו איסור אבר מן החי, אך בשאר איסורים כחלב ודם דשחיטה אינה מתירתם, אין בו כל היתר.</w:t>
      </w:r>
      <w:r>
        <w:rPr>
          <w:rFonts w:hint="cs"/>
          <w:rtl/>
        </w:rPr>
        <w:t xml:space="preserve"> או </w:t>
      </w:r>
      <w:r w:rsidRPr="0098677B">
        <w:rPr>
          <w:rFonts w:hint="cs"/>
          <w:rtl/>
        </w:rPr>
        <w:t xml:space="preserve">יש גזיה"כ </w:t>
      </w:r>
      <w:r>
        <w:rPr>
          <w:rtl/>
        </w:rPr>
        <w:t>"</w:t>
      </w:r>
      <w:r>
        <w:rPr>
          <w:rFonts w:hint="cs"/>
          <w:rtl/>
        </w:rPr>
        <w:t>כל בבהמה</w:t>
      </w:r>
      <w:r>
        <w:rPr>
          <w:rtl/>
        </w:rPr>
        <w:t>"</w:t>
      </w:r>
      <w:r w:rsidRPr="0098677B">
        <w:rPr>
          <w:rFonts w:hint="cs"/>
          <w:rtl/>
        </w:rPr>
        <w:t>, דכל דבר שבתוך הבהמה מותר באכילה, ואף שלא חלה שחיטה על העובר כלל, מ"מ הותרו כל האיסורים שבו, בין באיסור אבר מן החי שמותר בשחיטה, ובין בשאר האיסורים.</w:t>
      </w:r>
      <w:bookmarkEnd w:id="16075"/>
    </w:p>
    <w:p w14:paraId="16ECED89" w14:textId="77777777" w:rsidR="003D504D" w:rsidRPr="0098677B" w:rsidRDefault="003D504D" w:rsidP="003D504D">
      <w:pPr>
        <w:pStyle w:val="a3"/>
        <w:rPr>
          <w:rtl/>
        </w:rPr>
      </w:pPr>
      <w:bookmarkStart w:id="16076" w:name="_Toc535526268"/>
      <w:bookmarkStart w:id="16077" w:name="_Toc535574962"/>
      <w:bookmarkStart w:id="16078" w:name="_Toc535702421"/>
      <w:bookmarkStart w:id="16079" w:name="_Toc535750566"/>
      <w:bookmarkStart w:id="16080" w:name="_Toc19391116"/>
      <w:bookmarkStart w:id="16081" w:name="_Toc19394613"/>
      <w:r>
        <w:rPr>
          <w:rFonts w:hint="cs"/>
          <w:rtl/>
        </w:rPr>
        <w:t>דברי האמרי משה דמהא דשחיטה מטהרת את האבר היוצא מידי נבילה מוכח דדינו כשחוט</w:t>
      </w:r>
      <w:bookmarkEnd w:id="16076"/>
      <w:bookmarkEnd w:id="16077"/>
      <w:bookmarkEnd w:id="16078"/>
      <w:bookmarkEnd w:id="16079"/>
      <w:bookmarkEnd w:id="16080"/>
      <w:bookmarkEnd w:id="16081"/>
    </w:p>
    <w:p w14:paraId="1A615D9D" w14:textId="77777777" w:rsidR="003D504D" w:rsidRPr="0098677B" w:rsidRDefault="003D504D" w:rsidP="00223668">
      <w:pPr>
        <w:pStyle w:val="a0"/>
        <w:rPr>
          <w:rtl/>
        </w:rPr>
      </w:pPr>
      <w:r w:rsidRPr="0098677B">
        <w:rPr>
          <w:rFonts w:hint="cs"/>
          <w:rtl/>
        </w:rPr>
        <w:t xml:space="preserve">וכתב </w:t>
      </w:r>
      <w:r w:rsidRPr="0098677B">
        <w:rPr>
          <w:rStyle w:val="af9"/>
          <w:rFonts w:hint="cs"/>
          <w:rtl/>
        </w:rPr>
        <w:t>האמרי משה</w:t>
      </w:r>
      <w:r w:rsidRPr="0098677B">
        <w:rPr>
          <w:rFonts w:hint="cs"/>
          <w:rtl/>
        </w:rPr>
        <w:t xml:space="preserve"> דמוכח כהצד דשחיטת אמו חלה עליו, מהא דאיתא במתני' לקמן </w:t>
      </w:r>
      <w:r w:rsidRPr="0098677B">
        <w:rPr>
          <w:rStyle w:val="af7"/>
          <w:rFonts w:eastAsia="Guttman Hodes" w:hint="cs"/>
          <w:rtl/>
        </w:rPr>
        <w:t xml:space="preserve">(עב:) </w:t>
      </w:r>
      <w:r w:rsidRPr="0098677B">
        <w:rPr>
          <w:rFonts w:hint="cs"/>
          <w:rtl/>
        </w:rPr>
        <w:t xml:space="preserve">דלדעת רבנן שחיטת אבר היוצא מטהרתו מידי נבילה, מבואר דחלה עליו שחיטה, דהא האבר היוצא לא היה במחיצת הבהמה, ואין בו את היתר </w:t>
      </w:r>
      <w:r>
        <w:rPr>
          <w:rtl/>
        </w:rPr>
        <w:t>"</w:t>
      </w:r>
      <w:r>
        <w:rPr>
          <w:rFonts w:hint="cs"/>
          <w:rtl/>
        </w:rPr>
        <w:t>כל בבהמה</w:t>
      </w:r>
      <w:r>
        <w:rPr>
          <w:rtl/>
        </w:rPr>
        <w:t>"</w:t>
      </w:r>
      <w:r w:rsidRPr="0098677B">
        <w:rPr>
          <w:rFonts w:hint="cs"/>
          <w:rtl/>
        </w:rPr>
        <w:t>, ומוכח דכיון דשחיטת אמו חלה עליו, וכיון שהעובר כשחוט, שחיטתו מטהרת את האבר היוצא מאיסור נבילה, ואסור באכילה רק מדין אבר היוצא.</w:t>
      </w:r>
    </w:p>
    <w:p w14:paraId="24511665" w14:textId="77777777" w:rsidR="003D504D" w:rsidRDefault="003D504D" w:rsidP="00BF39B2">
      <w:pPr>
        <w:pStyle w:val="1"/>
        <w:rPr>
          <w:rtl/>
        </w:rPr>
      </w:pPr>
      <w:bookmarkStart w:id="16082" w:name="_Toc535526269"/>
      <w:bookmarkStart w:id="16083" w:name="_Toc535574963"/>
      <w:bookmarkStart w:id="16084" w:name="_Toc535702422"/>
      <w:bookmarkStart w:id="16085" w:name="_Toc535750567"/>
      <w:bookmarkStart w:id="16086" w:name="_Toc19391117"/>
      <w:bookmarkStart w:id="16087" w:name="_Toc19394614"/>
      <w:r w:rsidRPr="0098677B">
        <w:rPr>
          <w:rFonts w:hint="cs"/>
          <w:rtl/>
        </w:rPr>
        <w:t xml:space="preserve">דברי האמרי משה </w:t>
      </w:r>
      <w:r>
        <w:rPr>
          <w:rFonts w:hint="cs"/>
          <w:rtl/>
        </w:rPr>
        <w:t>דמשמע ב</w:t>
      </w:r>
      <w:r w:rsidRPr="0098677B">
        <w:rPr>
          <w:rFonts w:hint="cs"/>
          <w:rtl/>
        </w:rPr>
        <w:t>הרשב"א</w:t>
      </w:r>
      <w:bookmarkEnd w:id="16074"/>
      <w:r>
        <w:rPr>
          <w:rFonts w:hint="cs"/>
          <w:rtl/>
        </w:rPr>
        <w:t xml:space="preserve"> דהעובר אינו כשחוט</w:t>
      </w:r>
      <w:bookmarkEnd w:id="16082"/>
      <w:bookmarkEnd w:id="16083"/>
      <w:bookmarkEnd w:id="16084"/>
      <w:bookmarkEnd w:id="16085"/>
      <w:bookmarkEnd w:id="16086"/>
      <w:bookmarkEnd w:id="16087"/>
    </w:p>
    <w:p w14:paraId="55D4E9AC" w14:textId="77777777" w:rsidR="003D504D" w:rsidRDefault="003D504D" w:rsidP="003D504D">
      <w:pPr>
        <w:pStyle w:val="a3"/>
      </w:pPr>
      <w:bookmarkStart w:id="16088" w:name="_Toc535526270"/>
      <w:bookmarkStart w:id="16089" w:name="_Toc535574964"/>
      <w:bookmarkStart w:id="16090" w:name="_Toc535702423"/>
      <w:bookmarkStart w:id="16091" w:name="_Toc535750568"/>
      <w:bookmarkStart w:id="16092" w:name="_Toc19391118"/>
      <w:bookmarkStart w:id="16093" w:name="_Toc19394615"/>
      <w:r>
        <w:rPr>
          <w:rFonts w:hint="cs"/>
          <w:rtl/>
        </w:rPr>
        <w:t>דברי האמרי משה דמבואר ברשב"א דהעובר אינו כשחוט אלא יש בו דין היתר מגזיה"כ</w:t>
      </w:r>
      <w:bookmarkEnd w:id="16088"/>
      <w:bookmarkEnd w:id="16089"/>
      <w:bookmarkEnd w:id="16090"/>
      <w:bookmarkEnd w:id="16091"/>
      <w:bookmarkEnd w:id="16092"/>
      <w:bookmarkEnd w:id="16093"/>
    </w:p>
    <w:p w14:paraId="6415422D" w14:textId="77777777" w:rsidR="003D504D" w:rsidRPr="00021533" w:rsidRDefault="003D504D" w:rsidP="00223668">
      <w:pPr>
        <w:pStyle w:val="a0"/>
      </w:pPr>
      <w:bookmarkStart w:id="16094" w:name="_Ref535228559"/>
      <w:r>
        <w:rPr>
          <w:rFonts w:hint="cs"/>
          <w:rtl/>
        </w:rPr>
        <w:t xml:space="preserve">בדברי </w:t>
      </w:r>
      <w:r w:rsidRPr="00541EB9">
        <w:rPr>
          <w:rStyle w:val="af9"/>
          <w:rFonts w:hint="cs"/>
          <w:rtl/>
        </w:rPr>
        <w:t>הרשב"א בחי' ובתוה"ב</w:t>
      </w:r>
      <w:r>
        <w:rPr>
          <w:rFonts w:hint="cs"/>
          <w:rtl/>
        </w:rPr>
        <w:t xml:space="preserve"> </w:t>
      </w:r>
      <w:r w:rsidRPr="00541EB9">
        <w:rPr>
          <w:rStyle w:val="af7"/>
          <w:rFonts w:eastAsia="Guttman Hodes" w:hint="cs"/>
          <w:rtl/>
        </w:rPr>
        <w:t xml:space="preserve">(עי' אות </w:t>
      </w:r>
      <w:r w:rsidRPr="00541EB9">
        <w:rPr>
          <w:rStyle w:val="af7"/>
          <w:rFonts w:eastAsia="Guttman Hodes"/>
          <w:rtl/>
        </w:rPr>
        <w:fldChar w:fldCharType="begin"/>
      </w:r>
      <w:r w:rsidRPr="00541EB9">
        <w:rPr>
          <w:rStyle w:val="af7"/>
          <w:rFonts w:eastAsia="Guttman Hodes"/>
          <w:rtl/>
        </w:rPr>
        <w:instrText xml:space="preserve"> </w:instrText>
      </w:r>
      <w:r w:rsidRPr="00541EB9">
        <w:rPr>
          <w:rStyle w:val="af7"/>
          <w:rFonts w:eastAsia="Guttman Hodes" w:hint="cs"/>
        </w:rPr>
        <w:instrText>REF</w:instrText>
      </w:r>
      <w:r w:rsidRPr="00541EB9">
        <w:rPr>
          <w:rStyle w:val="af7"/>
          <w:rFonts w:eastAsia="Guttman Hodes" w:hint="cs"/>
          <w:rtl/>
        </w:rPr>
        <w:instrText xml:space="preserve"> _</w:instrText>
      </w:r>
      <w:r w:rsidRPr="00541EB9">
        <w:rPr>
          <w:rStyle w:val="af7"/>
          <w:rFonts w:eastAsia="Guttman Hodes" w:hint="cs"/>
        </w:rPr>
        <w:instrText>Ref535228443 \r \h</w:instrText>
      </w:r>
      <w:r w:rsidRPr="00541EB9">
        <w:rPr>
          <w:rStyle w:val="af7"/>
          <w:rFonts w:eastAsia="Guttman Hodes"/>
          <w:rtl/>
        </w:rPr>
        <w:instrText xml:space="preserve"> </w:instrText>
      </w:r>
      <w:r w:rsidRPr="00541EB9">
        <w:rPr>
          <w:rStyle w:val="af7"/>
          <w:rFonts w:eastAsia="Guttman Hodes"/>
          <w:rtl/>
        </w:rPr>
      </w:r>
      <w:r w:rsidRPr="00541EB9">
        <w:rPr>
          <w:rStyle w:val="af7"/>
          <w:rFonts w:eastAsia="Guttman Hodes"/>
          <w:rtl/>
        </w:rPr>
        <w:fldChar w:fldCharType="separate"/>
      </w:r>
      <w:r w:rsidR="00345400">
        <w:rPr>
          <w:rStyle w:val="af7"/>
          <w:rFonts w:eastAsia="Guttman Hodes"/>
          <w:cs/>
        </w:rPr>
        <w:t>‎</w:t>
      </w:r>
      <w:r w:rsidR="00345400">
        <w:rPr>
          <w:rStyle w:val="af7"/>
          <w:rFonts w:eastAsia="Guttman Hodes"/>
          <w:rtl/>
        </w:rPr>
        <w:t>כה)</w:t>
      </w:r>
      <w:r w:rsidRPr="00541EB9">
        <w:rPr>
          <w:rStyle w:val="af7"/>
          <w:rFonts w:eastAsia="Guttman Hodes"/>
          <w:rtl/>
        </w:rPr>
        <w:fldChar w:fldCharType="end"/>
      </w:r>
      <w:r>
        <w:rPr>
          <w:rFonts w:hint="cs"/>
          <w:rtl/>
        </w:rPr>
        <w:t xml:space="preserve"> בביאור ספק הגמ' לענין אם מותר לשתות חלב הבא מכח אבר היוצא, כתב </w:t>
      </w:r>
      <w:r w:rsidRPr="00541EB9">
        <w:rPr>
          <w:rStyle w:val="af9"/>
          <w:rFonts w:hint="cs"/>
          <w:rtl/>
        </w:rPr>
        <w:t>האמרי משה</w:t>
      </w:r>
      <w:r>
        <w:rPr>
          <w:rFonts w:hint="cs"/>
          <w:rtl/>
        </w:rPr>
        <w:t xml:space="preserve"> </w:t>
      </w:r>
      <w:r w:rsidRPr="00541EB9">
        <w:rPr>
          <w:rStyle w:val="af7"/>
          <w:rFonts w:eastAsia="Guttman Hodes" w:hint="cs"/>
          <w:rtl/>
        </w:rPr>
        <w:t>(סי' ד' אות כ"ד)</w:t>
      </w:r>
      <w:r>
        <w:rPr>
          <w:rFonts w:hint="cs"/>
          <w:rtl/>
        </w:rPr>
        <w:t xml:space="preserve"> דמבואר מדברי </w:t>
      </w:r>
      <w:r w:rsidRPr="00541EB9">
        <w:rPr>
          <w:rStyle w:val="af9"/>
          <w:rFonts w:hint="cs"/>
          <w:rtl/>
        </w:rPr>
        <w:t>הרשב"א</w:t>
      </w:r>
      <w:r>
        <w:rPr>
          <w:rFonts w:hint="cs"/>
          <w:rtl/>
        </w:rPr>
        <w:t xml:space="preserve"> דהאיסור באבר היוצא הוא מדין אבר מן החי, והוסיף </w:t>
      </w:r>
      <w:r w:rsidRPr="00541EB9">
        <w:rPr>
          <w:rStyle w:val="af9"/>
          <w:rFonts w:hint="cs"/>
          <w:rtl/>
        </w:rPr>
        <w:t>האמרי משה</w:t>
      </w:r>
      <w:r>
        <w:rPr>
          <w:rFonts w:hint="cs"/>
          <w:rtl/>
        </w:rPr>
        <w:t xml:space="preserve"> דכן משמע </w:t>
      </w:r>
      <w:r w:rsidRPr="000011BD">
        <w:rPr>
          <w:rStyle w:val="af9"/>
          <w:rFonts w:hint="cs"/>
          <w:rtl/>
        </w:rPr>
        <w:t>ברוב הראשונים</w:t>
      </w:r>
      <w:r>
        <w:rPr>
          <w:rFonts w:hint="cs"/>
          <w:rtl/>
        </w:rPr>
        <w:t xml:space="preserve">, וכתב </w:t>
      </w:r>
      <w:r w:rsidRPr="00541EB9">
        <w:rPr>
          <w:rStyle w:val="af9"/>
          <w:rFonts w:hint="cs"/>
          <w:rtl/>
        </w:rPr>
        <w:t>האמרי משה</w:t>
      </w:r>
      <w:r>
        <w:rPr>
          <w:rFonts w:hint="cs"/>
          <w:rtl/>
        </w:rPr>
        <w:t xml:space="preserve"> דמשמע דס"ל </w:t>
      </w:r>
      <w:r w:rsidRPr="00541EB9">
        <w:rPr>
          <w:rStyle w:val="af9"/>
          <w:rFonts w:hint="cs"/>
          <w:rtl/>
        </w:rPr>
        <w:t>להרשב"א ורוב הראשונים</w:t>
      </w:r>
      <w:r>
        <w:rPr>
          <w:rFonts w:hint="cs"/>
          <w:rtl/>
        </w:rPr>
        <w:t xml:space="preserve"> דלא חל על העובר דין שחיטה כלל, ואינו כשחוט, אלא שיש בו דין היתר </w:t>
      </w:r>
      <w:r>
        <w:rPr>
          <w:rtl/>
        </w:rPr>
        <w:t>"</w:t>
      </w:r>
      <w:r>
        <w:rPr>
          <w:rFonts w:hint="cs"/>
          <w:rtl/>
        </w:rPr>
        <w:t>כל בבהמה</w:t>
      </w:r>
      <w:r>
        <w:rPr>
          <w:rtl/>
        </w:rPr>
        <w:t>"</w:t>
      </w:r>
      <w:r>
        <w:rPr>
          <w:rFonts w:hint="cs"/>
          <w:rtl/>
        </w:rPr>
        <w:t xml:space="preserve">, שמתיר את כל האיסורים שבבהמה, כחלב וגיד שא"א להתירם אף אם העובר נחשב כשחוט, וממילא אין על האבר היוצא דין שחוט, דאף העובר עצמו אינו כשחוט, ועי' בדברי </w:t>
      </w:r>
      <w:r w:rsidRPr="00541EB9">
        <w:rPr>
          <w:rStyle w:val="af9"/>
          <w:rFonts w:hint="cs"/>
          <w:rtl/>
        </w:rPr>
        <w:t>הא</w:t>
      </w:r>
      <w:r>
        <w:rPr>
          <w:rStyle w:val="af9"/>
          <w:rFonts w:hint="cs"/>
          <w:rtl/>
        </w:rPr>
        <w:t>מרי משה</w:t>
      </w:r>
      <w:r>
        <w:rPr>
          <w:rFonts w:hint="cs"/>
          <w:rtl/>
        </w:rPr>
        <w:t xml:space="preserve"> דכתב דמדברי</w:t>
      </w:r>
      <w:r w:rsidRPr="00541EB9">
        <w:rPr>
          <w:rStyle w:val="afb"/>
          <w:rFonts w:hint="cs"/>
          <w:rtl/>
        </w:rPr>
        <w:t xml:space="preserve"> </w:t>
      </w:r>
      <w:r w:rsidRPr="00021533">
        <w:rPr>
          <w:rStyle w:val="af9"/>
          <w:rFonts w:hint="cs"/>
          <w:rtl/>
        </w:rPr>
        <w:t>הרמב"ם והראב"ד</w:t>
      </w:r>
      <w:r w:rsidRPr="00541EB9">
        <w:rPr>
          <w:rStyle w:val="afb"/>
          <w:rFonts w:hint="cs"/>
          <w:rtl/>
        </w:rPr>
        <w:t xml:space="preserve"> </w:t>
      </w:r>
      <w:r w:rsidRPr="00021533">
        <w:rPr>
          <w:rStyle w:val="af7"/>
          <w:rFonts w:eastAsia="Guttman Rashi" w:hint="cs"/>
          <w:rtl/>
        </w:rPr>
        <w:t xml:space="preserve">(עי' אות </w:t>
      </w:r>
      <w:r w:rsidRPr="00021533">
        <w:rPr>
          <w:rStyle w:val="af7"/>
          <w:rFonts w:eastAsia="Guttman Rashi"/>
          <w:rtl/>
        </w:rPr>
        <w:fldChar w:fldCharType="begin"/>
      </w:r>
      <w:r w:rsidRPr="00021533">
        <w:rPr>
          <w:rStyle w:val="af7"/>
          <w:rFonts w:eastAsia="Guttman Rashi"/>
          <w:rtl/>
        </w:rPr>
        <w:instrText xml:space="preserve"> </w:instrText>
      </w:r>
      <w:r w:rsidRPr="00021533">
        <w:rPr>
          <w:rStyle w:val="af7"/>
          <w:rFonts w:eastAsia="Guttman Rashi" w:hint="cs"/>
        </w:rPr>
        <w:instrText>REF</w:instrText>
      </w:r>
      <w:r w:rsidRPr="00021533">
        <w:rPr>
          <w:rStyle w:val="af7"/>
          <w:rFonts w:eastAsia="Guttman Rashi" w:hint="cs"/>
          <w:rtl/>
        </w:rPr>
        <w:instrText xml:space="preserve"> _</w:instrText>
      </w:r>
      <w:r w:rsidRPr="00021533">
        <w:rPr>
          <w:rStyle w:val="af7"/>
          <w:rFonts w:eastAsia="Guttman Rashi" w:hint="cs"/>
        </w:rPr>
        <w:instrText>Ref535228393 \r \h</w:instrText>
      </w:r>
      <w:r w:rsidRPr="00021533">
        <w:rPr>
          <w:rStyle w:val="af7"/>
          <w:rFonts w:eastAsia="Guttman Rashi"/>
          <w:rtl/>
        </w:rPr>
        <w:instrText xml:space="preserve"> </w:instrText>
      </w:r>
      <w:r w:rsidRPr="00021533">
        <w:rPr>
          <w:rStyle w:val="af7"/>
          <w:rFonts w:eastAsia="Guttman Rashi"/>
          <w:rtl/>
        </w:rPr>
      </w:r>
      <w:r w:rsidRPr="00021533">
        <w:rPr>
          <w:rStyle w:val="af7"/>
          <w:rFonts w:eastAsia="Guttman Rashi"/>
          <w:rtl/>
        </w:rPr>
        <w:fldChar w:fldCharType="separate"/>
      </w:r>
      <w:r w:rsidR="00345400">
        <w:rPr>
          <w:rStyle w:val="af7"/>
          <w:rFonts w:eastAsia="Guttman Rashi"/>
          <w:cs/>
        </w:rPr>
        <w:t>‎</w:t>
      </w:r>
      <w:r w:rsidR="00345400">
        <w:rPr>
          <w:rStyle w:val="af7"/>
          <w:rFonts w:eastAsia="Guttman Rashi"/>
          <w:rtl/>
        </w:rPr>
        <w:t>קיז)</w:t>
      </w:r>
      <w:r w:rsidRPr="00021533">
        <w:rPr>
          <w:rStyle w:val="af7"/>
          <w:rFonts w:eastAsia="Guttman Rashi"/>
          <w:rtl/>
        </w:rPr>
        <w:fldChar w:fldCharType="end"/>
      </w:r>
      <w:r>
        <w:rPr>
          <w:rStyle w:val="afb"/>
          <w:rFonts w:hint="cs"/>
          <w:rtl/>
        </w:rPr>
        <w:t xml:space="preserve"> </w:t>
      </w:r>
      <w:r w:rsidRPr="00021533">
        <w:rPr>
          <w:rFonts w:hint="cs"/>
          <w:rtl/>
        </w:rPr>
        <w:t>מבואר דדינו כשחוט.</w:t>
      </w:r>
      <w:bookmarkEnd w:id="16094"/>
    </w:p>
    <w:p w14:paraId="1E989842" w14:textId="77777777" w:rsidR="003D504D" w:rsidRDefault="003D504D" w:rsidP="003D504D">
      <w:pPr>
        <w:pStyle w:val="a3"/>
        <w:rPr>
          <w:rtl/>
        </w:rPr>
      </w:pPr>
      <w:bookmarkStart w:id="16095" w:name="_Toc535526271"/>
      <w:bookmarkStart w:id="16096" w:name="_Toc535574965"/>
      <w:bookmarkStart w:id="16097" w:name="_Toc535702424"/>
      <w:bookmarkStart w:id="16098" w:name="_Toc535750569"/>
      <w:bookmarkStart w:id="16099" w:name="_Toc19391119"/>
      <w:bookmarkStart w:id="16100" w:name="_Toc19394616"/>
      <w:r>
        <w:rPr>
          <w:rFonts w:hint="cs"/>
          <w:rtl/>
        </w:rPr>
        <w:t>דחיית האמרי משה דאי העובר אינו כשחוט האבר היוצא אסור ממילא וא"צ קרא לאוסרו</w:t>
      </w:r>
      <w:bookmarkEnd w:id="16095"/>
      <w:bookmarkEnd w:id="16096"/>
      <w:bookmarkEnd w:id="16097"/>
      <w:bookmarkEnd w:id="16098"/>
      <w:bookmarkEnd w:id="16099"/>
      <w:bookmarkEnd w:id="16100"/>
    </w:p>
    <w:p w14:paraId="5F15E2A2" w14:textId="77777777" w:rsidR="003D504D" w:rsidRDefault="003D504D" w:rsidP="00223668">
      <w:pPr>
        <w:pStyle w:val="a0"/>
        <w:rPr>
          <w:rtl/>
        </w:rPr>
      </w:pPr>
      <w:r>
        <w:rPr>
          <w:rFonts w:hint="cs"/>
          <w:rtl/>
        </w:rPr>
        <w:t xml:space="preserve">אך דחה </w:t>
      </w:r>
      <w:r w:rsidRPr="00541EB9">
        <w:rPr>
          <w:rStyle w:val="af9"/>
          <w:rFonts w:hint="cs"/>
          <w:rtl/>
        </w:rPr>
        <w:t>האמרי משה</w:t>
      </w:r>
      <w:r>
        <w:rPr>
          <w:rFonts w:hint="cs"/>
          <w:rtl/>
        </w:rPr>
        <w:t xml:space="preserve"> דא"כ אמאי הוצרכה התורה לאסור את האבר היוצא מדין "בשר בשדה טריפה", הא בלא"ה א"א להתירו, כיון שאינו בתוך הבהמה, ואין בו היתר </w:t>
      </w:r>
      <w:r>
        <w:rPr>
          <w:rtl/>
        </w:rPr>
        <w:t>"</w:t>
      </w:r>
      <w:r>
        <w:rPr>
          <w:rFonts w:hint="cs"/>
          <w:rtl/>
        </w:rPr>
        <w:t>כל בבהמה</w:t>
      </w:r>
      <w:r>
        <w:rPr>
          <w:rtl/>
        </w:rPr>
        <w:t>"</w:t>
      </w:r>
      <w:r>
        <w:rPr>
          <w:rFonts w:hint="cs"/>
          <w:rtl/>
        </w:rPr>
        <w:t xml:space="preserve">, </w:t>
      </w:r>
      <w:r>
        <w:rPr>
          <w:rStyle w:val="afb"/>
          <w:rtl/>
        </w:rPr>
        <w:t xml:space="preserve">[וכתב </w:t>
      </w:r>
      <w:r w:rsidRPr="00541EB9">
        <w:rPr>
          <w:rStyle w:val="affa"/>
          <w:rtl/>
        </w:rPr>
        <w:t xml:space="preserve">האמרי משה </w:t>
      </w:r>
      <w:r>
        <w:rPr>
          <w:rStyle w:val="afb"/>
          <w:rtl/>
        </w:rPr>
        <w:t>דאפשר לתרץ דבלא הפסו' הו"א דע"י היתר "כל בבהמה" חל על העובר דין שחוט, וא"כ אף האבר היוצא הוא כשחוט, ואחר שאסרה תורה את האבר היוצא מהפס' "בשר בשדה טריפה</w:t>
      </w:r>
      <w:r w:rsidRPr="00262D34">
        <w:rPr>
          <w:rStyle w:val="afb"/>
          <w:rtl/>
        </w:rPr>
        <w:t xml:space="preserve">, א"כ מבואר דגלי קרא דההיתר אינו מדין שחוט, אלא דמחיצת האם מתירתו, ולכן האבר היוצא אסור, אך כתב </w:t>
      </w:r>
      <w:r w:rsidRPr="00262D34">
        <w:rPr>
          <w:rStyle w:val="affa"/>
          <w:rtl/>
        </w:rPr>
        <w:t xml:space="preserve">האמרי משה </w:t>
      </w:r>
      <w:r w:rsidRPr="00262D34">
        <w:rPr>
          <w:rStyle w:val="afb"/>
          <w:rtl/>
        </w:rPr>
        <w:t>דדוחק לבאר כן],</w:t>
      </w:r>
      <w:r w:rsidRPr="00262D34">
        <w:rPr>
          <w:rFonts w:hint="cs"/>
          <w:rtl/>
        </w:rPr>
        <w:t xml:space="preserve"> ועיי"ש בדברי </w:t>
      </w:r>
      <w:r w:rsidRPr="00262D34">
        <w:rPr>
          <w:rStyle w:val="af9"/>
          <w:rFonts w:hint="cs"/>
          <w:rtl/>
        </w:rPr>
        <w:t>האמרי משה</w:t>
      </w:r>
      <w:r w:rsidRPr="00262D34">
        <w:rPr>
          <w:rFonts w:hint="cs"/>
          <w:rtl/>
        </w:rPr>
        <w:t xml:space="preserve"> במה שהוסיף להוכיח דא"א לבאר כן בדעת </w:t>
      </w:r>
      <w:r w:rsidRPr="00262D34">
        <w:rPr>
          <w:rStyle w:val="af9"/>
          <w:rFonts w:hint="cs"/>
          <w:rtl/>
        </w:rPr>
        <w:t>הרשב"א</w:t>
      </w:r>
      <w:r w:rsidRPr="00262D34">
        <w:rPr>
          <w:rFonts w:hint="cs"/>
          <w:rtl/>
        </w:rPr>
        <w:t xml:space="preserve">, מהא דמהני השחיטה לטהר את האבר היוצא מדין נבילה, כדתני' במתני' לקמן </w:t>
      </w:r>
      <w:r w:rsidRPr="00262D34">
        <w:rPr>
          <w:rStyle w:val="af7"/>
          <w:rFonts w:eastAsia="Guttman Hodes" w:hint="cs"/>
          <w:rtl/>
        </w:rPr>
        <w:t>(עב.)</w:t>
      </w:r>
      <w:r w:rsidRPr="00262D34">
        <w:rPr>
          <w:rFonts w:hint="cs"/>
          <w:rtl/>
        </w:rPr>
        <w:t>.</w:t>
      </w:r>
    </w:p>
    <w:p w14:paraId="65A445B4" w14:textId="77777777" w:rsidR="003D504D" w:rsidRPr="00262D34" w:rsidRDefault="003D504D" w:rsidP="00BF39B2">
      <w:pPr>
        <w:pStyle w:val="1"/>
        <w:rPr>
          <w:rtl/>
        </w:rPr>
      </w:pPr>
      <w:bookmarkStart w:id="16101" w:name="_Toc535526272"/>
      <w:bookmarkStart w:id="16102" w:name="_Toc535574966"/>
      <w:bookmarkStart w:id="16103" w:name="_Toc535702425"/>
      <w:bookmarkStart w:id="16104" w:name="_Toc535750570"/>
      <w:bookmarkStart w:id="16105" w:name="_Toc19391120"/>
      <w:bookmarkStart w:id="16106" w:name="_Toc19394617"/>
      <w:r>
        <w:rPr>
          <w:rFonts w:hint="cs"/>
          <w:rtl/>
        </w:rPr>
        <w:t>ביאור האמרי משה דאף לדעת הרשב"א דינו כשחוט</w:t>
      </w:r>
      <w:bookmarkEnd w:id="16101"/>
      <w:bookmarkEnd w:id="16102"/>
      <w:bookmarkEnd w:id="16103"/>
      <w:bookmarkEnd w:id="16104"/>
      <w:bookmarkEnd w:id="16105"/>
      <w:bookmarkEnd w:id="16106"/>
    </w:p>
    <w:p w14:paraId="6A12F6F6" w14:textId="77777777" w:rsidR="003D504D" w:rsidRPr="00262D34" w:rsidRDefault="003D504D" w:rsidP="003D504D">
      <w:pPr>
        <w:pStyle w:val="a3"/>
        <w:rPr>
          <w:rtl/>
        </w:rPr>
      </w:pPr>
      <w:bookmarkStart w:id="16107" w:name="_Toc535526273"/>
      <w:bookmarkStart w:id="16108" w:name="_Toc535574967"/>
      <w:bookmarkStart w:id="16109" w:name="_Toc535702426"/>
      <w:bookmarkStart w:id="16110" w:name="_Toc535750571"/>
      <w:bookmarkStart w:id="16111" w:name="_Toc19391121"/>
      <w:bookmarkStart w:id="16112" w:name="_Toc19394618"/>
      <w:r>
        <w:rPr>
          <w:rFonts w:hint="cs"/>
          <w:rtl/>
        </w:rPr>
        <w:t>ביאור האמרי משה דכוונת הרשב"א לומר דאין באבר איסור מצד עצמו אלא שלא חלה השחיטה</w:t>
      </w:r>
      <w:bookmarkEnd w:id="16107"/>
      <w:bookmarkEnd w:id="16108"/>
      <w:bookmarkEnd w:id="16109"/>
      <w:bookmarkEnd w:id="16110"/>
      <w:bookmarkEnd w:id="16111"/>
      <w:bookmarkEnd w:id="16112"/>
    </w:p>
    <w:p w14:paraId="74991CC5" w14:textId="77777777" w:rsidR="003D504D" w:rsidRDefault="003D504D" w:rsidP="00223668">
      <w:pPr>
        <w:pStyle w:val="a0"/>
        <w:rPr>
          <w:rStyle w:val="afb"/>
          <w:rtl/>
        </w:rPr>
      </w:pPr>
      <w:r w:rsidRPr="00262D34">
        <w:rPr>
          <w:rFonts w:hint="cs"/>
          <w:rtl/>
        </w:rPr>
        <w:t xml:space="preserve">אלא ביאר </w:t>
      </w:r>
      <w:r w:rsidRPr="00262D34">
        <w:rPr>
          <w:rStyle w:val="af9"/>
          <w:rFonts w:hint="cs"/>
          <w:rtl/>
        </w:rPr>
        <w:t>האמרי משה</w:t>
      </w:r>
      <w:r w:rsidRPr="00262D34">
        <w:rPr>
          <w:rFonts w:hint="cs"/>
          <w:rtl/>
        </w:rPr>
        <w:t xml:space="preserve"> דמוכח דלכו"ע יש לעובר דין שחוט, כמשמעות הגמ' לקמן </w:t>
      </w:r>
      <w:r w:rsidRPr="00262D34">
        <w:rPr>
          <w:rStyle w:val="af7"/>
          <w:rFonts w:eastAsia="Guttman Hodes" w:hint="cs"/>
          <w:rtl/>
        </w:rPr>
        <w:t>(עה:)</w:t>
      </w:r>
      <w:r w:rsidRPr="00262D34">
        <w:rPr>
          <w:rFonts w:hint="cs"/>
          <w:rtl/>
        </w:rPr>
        <w:t xml:space="preserve"> דד' סימנים אכשר ביה רחמנא, ואף לאבר היוצא מהני השחיטה להתירו מדין נבילה, אך לענין אכילה יש איסור "בשר בשדה טריפה" דהאבר </w:t>
      </w:r>
      <w:r>
        <w:rPr>
          <w:rFonts w:hint="cs"/>
          <w:rtl/>
        </w:rPr>
        <w:t xml:space="preserve">היוצא הוא </w:t>
      </w:r>
      <w:r w:rsidRPr="00262D34">
        <w:rPr>
          <w:rFonts w:hint="cs"/>
          <w:rtl/>
        </w:rPr>
        <w:t xml:space="preserve">כטריפה, וכוונת </w:t>
      </w:r>
      <w:r w:rsidRPr="00262D34">
        <w:rPr>
          <w:rStyle w:val="af9"/>
          <w:rFonts w:hint="cs"/>
          <w:rtl/>
        </w:rPr>
        <w:t>הרשב"א</w:t>
      </w:r>
      <w:r w:rsidRPr="00262D34">
        <w:rPr>
          <w:rFonts w:hint="cs"/>
          <w:rtl/>
        </w:rPr>
        <w:t xml:space="preserve"> </w:t>
      </w:r>
      <w:r w:rsidRPr="00262D34">
        <w:rPr>
          <w:rStyle w:val="af7"/>
          <w:rFonts w:eastAsia="Guttman Hodes" w:hint="cs"/>
          <w:rtl/>
        </w:rPr>
        <w:t xml:space="preserve">(עי' אות </w:t>
      </w:r>
      <w:r w:rsidRPr="00262D34">
        <w:rPr>
          <w:rStyle w:val="af7"/>
          <w:rFonts w:eastAsia="Guttman Hodes"/>
          <w:rtl/>
        </w:rPr>
        <w:fldChar w:fldCharType="begin"/>
      </w:r>
      <w:r w:rsidRPr="00262D34">
        <w:rPr>
          <w:rStyle w:val="af7"/>
          <w:rFonts w:eastAsia="Guttman Hodes"/>
          <w:rtl/>
        </w:rPr>
        <w:instrText xml:space="preserve"> </w:instrText>
      </w:r>
      <w:r w:rsidRPr="00262D34">
        <w:rPr>
          <w:rStyle w:val="af7"/>
          <w:rFonts w:eastAsia="Guttman Hodes" w:hint="cs"/>
        </w:rPr>
        <w:instrText>REF</w:instrText>
      </w:r>
      <w:r w:rsidRPr="00262D34">
        <w:rPr>
          <w:rStyle w:val="af7"/>
          <w:rFonts w:eastAsia="Guttman Hodes" w:hint="cs"/>
          <w:rtl/>
        </w:rPr>
        <w:instrText xml:space="preserve"> _</w:instrText>
      </w:r>
      <w:r w:rsidRPr="00262D34">
        <w:rPr>
          <w:rStyle w:val="af7"/>
          <w:rFonts w:eastAsia="Guttman Hodes" w:hint="cs"/>
        </w:rPr>
        <w:instrText>Ref535228443 \r \h</w:instrText>
      </w:r>
      <w:r w:rsidRPr="00262D3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262D34">
        <w:rPr>
          <w:rStyle w:val="af7"/>
          <w:rFonts w:eastAsia="Guttman Hodes"/>
          <w:rtl/>
        </w:rPr>
      </w:r>
      <w:r w:rsidRPr="00262D34">
        <w:rPr>
          <w:rStyle w:val="af7"/>
          <w:rFonts w:eastAsia="Guttman Hodes"/>
          <w:rtl/>
        </w:rPr>
        <w:fldChar w:fldCharType="separate"/>
      </w:r>
      <w:r w:rsidR="00345400">
        <w:rPr>
          <w:rStyle w:val="af7"/>
          <w:rFonts w:eastAsia="Guttman Hodes"/>
          <w:cs/>
        </w:rPr>
        <w:t>‎</w:t>
      </w:r>
      <w:r w:rsidR="00345400">
        <w:rPr>
          <w:rStyle w:val="af7"/>
          <w:rFonts w:eastAsia="Guttman Hodes"/>
          <w:rtl/>
        </w:rPr>
        <w:t>כה)</w:t>
      </w:r>
      <w:r w:rsidRPr="00262D34">
        <w:rPr>
          <w:rStyle w:val="af7"/>
          <w:rFonts w:eastAsia="Guttman Hodes"/>
          <w:rtl/>
        </w:rPr>
        <w:fldChar w:fldCharType="end"/>
      </w:r>
      <w:r w:rsidRPr="00262D34">
        <w:rPr>
          <w:rFonts w:hint="cs"/>
          <w:rtl/>
        </w:rPr>
        <w:t xml:space="preserve"> לומר דאינו איסור בפנ"ע כטריפה, אלא דחשיב שהאבר נחתך מהעובר לפני השחיטה </w:t>
      </w:r>
      <w:r w:rsidRPr="00262D34">
        <w:rPr>
          <w:rStyle w:val="afb"/>
          <w:rFonts w:hint="cs"/>
          <w:rtl/>
        </w:rPr>
        <w:t>[לענין איסור אכילה]</w:t>
      </w:r>
      <w:r w:rsidRPr="00262D34">
        <w:rPr>
          <w:rFonts w:hint="cs"/>
          <w:rtl/>
        </w:rPr>
        <w:t xml:space="preserve">, וממילא לא חלה השחיטה על האבר היוצא והוא כאבר מן החי. </w:t>
      </w:r>
      <w:r w:rsidRPr="00262D34">
        <w:rPr>
          <w:rStyle w:val="afb"/>
          <w:rFonts w:hint="cs"/>
          <w:rtl/>
        </w:rPr>
        <w:t xml:space="preserve">[וע"ע בדברי </w:t>
      </w:r>
      <w:r w:rsidRPr="00262D34">
        <w:rPr>
          <w:rStyle w:val="affa"/>
          <w:rFonts w:hint="cs"/>
          <w:rtl/>
        </w:rPr>
        <w:t>האמרי משה</w:t>
      </w:r>
      <w:r w:rsidRPr="00262D34">
        <w:rPr>
          <w:rStyle w:val="afb"/>
          <w:rFonts w:hint="cs"/>
          <w:rtl/>
        </w:rPr>
        <w:t xml:space="preserve"> </w:t>
      </w:r>
      <w:r w:rsidRPr="00262D34">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Ref535750645 \r \h</w:instrText>
      </w:r>
      <w:r>
        <w:rPr>
          <w:rStyle w:val="aff6"/>
          <w:rtl/>
        </w:rPr>
        <w:instrText xml:space="preserve"> </w:instrText>
      </w:r>
      <w:r>
        <w:rPr>
          <w:rStyle w:val="aff6"/>
          <w:rtl/>
        </w:rPr>
      </w:r>
      <w:r>
        <w:rPr>
          <w:rStyle w:val="aff6"/>
          <w:rtl/>
        </w:rPr>
        <w:fldChar w:fldCharType="separate"/>
      </w:r>
      <w:r w:rsidR="00345400">
        <w:rPr>
          <w:rStyle w:val="aff6"/>
          <w:cs/>
        </w:rPr>
        <w:t>‎</w:t>
      </w:r>
      <w:r w:rsidR="00345400">
        <w:rPr>
          <w:rStyle w:val="aff6"/>
          <w:rtl/>
        </w:rPr>
        <w:t>קכט)</w:t>
      </w:r>
      <w:r>
        <w:rPr>
          <w:rStyle w:val="aff6"/>
          <w:rtl/>
        </w:rPr>
        <w:fldChar w:fldCharType="end"/>
      </w:r>
      <w:r>
        <w:rPr>
          <w:rStyle w:val="aff6"/>
          <w:rFonts w:hint="cs"/>
          <w:rtl/>
        </w:rPr>
        <w:t xml:space="preserve"> </w:t>
      </w:r>
      <w:r w:rsidRPr="00262D34">
        <w:rPr>
          <w:rStyle w:val="aff6"/>
          <w:rtl/>
        </w:rPr>
        <w:fldChar w:fldCharType="begin"/>
      </w:r>
      <w:r w:rsidRPr="00262D34">
        <w:rPr>
          <w:rStyle w:val="aff6"/>
          <w:rtl/>
        </w:rPr>
        <w:instrText xml:space="preserve"> </w:instrText>
      </w:r>
      <w:r w:rsidRPr="00262D34">
        <w:rPr>
          <w:rStyle w:val="aff6"/>
          <w:rFonts w:hint="cs"/>
        </w:rPr>
        <w:instrText>REF</w:instrText>
      </w:r>
      <w:r w:rsidRPr="00262D34">
        <w:rPr>
          <w:rStyle w:val="aff6"/>
          <w:rFonts w:hint="cs"/>
          <w:rtl/>
        </w:rPr>
        <w:instrText xml:space="preserve"> _</w:instrText>
      </w:r>
      <w:r w:rsidRPr="00262D34">
        <w:rPr>
          <w:rStyle w:val="aff6"/>
          <w:rFonts w:hint="cs"/>
        </w:rPr>
        <w:instrText>Ref535252383 \r \h</w:instrText>
      </w:r>
      <w:r w:rsidRPr="00262D34">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262D34">
        <w:rPr>
          <w:rStyle w:val="aff6"/>
          <w:rtl/>
        </w:rPr>
      </w:r>
      <w:r w:rsidRPr="00262D34">
        <w:rPr>
          <w:rStyle w:val="aff6"/>
          <w:rtl/>
        </w:rPr>
        <w:fldChar w:fldCharType="separate"/>
      </w:r>
      <w:r w:rsidR="00345400">
        <w:rPr>
          <w:rStyle w:val="aff6"/>
          <w:cs/>
        </w:rPr>
        <w:t>‎</w:t>
      </w:r>
      <w:r w:rsidR="00345400">
        <w:rPr>
          <w:rStyle w:val="aff6"/>
        </w:rPr>
        <w:t>0</w:t>
      </w:r>
      <w:r w:rsidRPr="00262D34">
        <w:rPr>
          <w:rStyle w:val="aff6"/>
          <w:rtl/>
        </w:rPr>
        <w:fldChar w:fldCharType="end"/>
      </w:r>
      <w:r w:rsidRPr="00262D34">
        <w:rPr>
          <w:rStyle w:val="afb"/>
          <w:rFonts w:hint="cs"/>
          <w:rtl/>
        </w:rPr>
        <w:t xml:space="preserve">דכתב דלדעת </w:t>
      </w:r>
      <w:r w:rsidRPr="00262D34">
        <w:rPr>
          <w:rStyle w:val="affa"/>
          <w:rFonts w:hint="cs"/>
          <w:rtl/>
        </w:rPr>
        <w:t>הרשב"א</w:t>
      </w:r>
      <w:r w:rsidRPr="00262D34">
        <w:rPr>
          <w:rStyle w:val="afb"/>
          <w:rFonts w:hint="cs"/>
          <w:rtl/>
        </w:rPr>
        <w:t xml:space="preserve"> אם היתה אפשרות לשחוט את האבר היוצא היה מותר</w:t>
      </w:r>
      <w:r>
        <w:rPr>
          <w:rStyle w:val="afb"/>
          <w:rFonts w:hint="cs"/>
          <w:rtl/>
        </w:rPr>
        <w:t xml:space="preserve">, וע"ע במ"ש בנדון זה </w:t>
      </w:r>
      <w:r w:rsidRPr="00834844">
        <w:rPr>
          <w:rStyle w:val="affa"/>
          <w:rFonts w:hint="cs"/>
          <w:rtl/>
        </w:rPr>
        <w:t>בגנזי הגר"ח</w:t>
      </w:r>
      <w:r>
        <w:rPr>
          <w:rStyle w:val="afb"/>
          <w:rFonts w:hint="cs"/>
          <w:rtl/>
        </w:rPr>
        <w:t xml:space="preserve"> </w:t>
      </w:r>
      <w:r w:rsidRPr="00834844">
        <w:rPr>
          <w:rStyle w:val="aff6"/>
          <w:rFonts w:hint="cs"/>
          <w:rtl/>
        </w:rPr>
        <w:t>(סי' ס"ה)</w:t>
      </w:r>
      <w:r w:rsidRPr="00262D34">
        <w:rPr>
          <w:rStyle w:val="afb"/>
          <w:rFonts w:hint="cs"/>
          <w:rtl/>
        </w:rPr>
        <w:t>.</w:t>
      </w:r>
    </w:p>
    <w:p w14:paraId="30F1B6DD" w14:textId="77777777" w:rsidR="003D504D" w:rsidRDefault="003D504D" w:rsidP="003D504D">
      <w:pPr>
        <w:pStyle w:val="afe"/>
        <w:rPr>
          <w:rtl/>
        </w:rPr>
      </w:pPr>
      <w:bookmarkStart w:id="16113" w:name="_Toc535574968"/>
      <w:bookmarkStart w:id="16114" w:name="_Toc535702427"/>
      <w:bookmarkStart w:id="16115" w:name="_Toc535750572"/>
      <w:bookmarkStart w:id="16116" w:name="_Toc19436010"/>
      <w:bookmarkStart w:id="16117" w:name="_Toc20081220"/>
      <w:r>
        <w:rPr>
          <w:rFonts w:hint="cs"/>
          <w:rtl/>
        </w:rPr>
        <w:t>באיסור מקום חתך</w:t>
      </w:r>
      <w:bookmarkEnd w:id="16113"/>
      <w:bookmarkEnd w:id="16114"/>
      <w:bookmarkEnd w:id="16115"/>
      <w:bookmarkEnd w:id="16116"/>
      <w:bookmarkEnd w:id="16117"/>
    </w:p>
    <w:p w14:paraId="44011B85" w14:textId="77777777" w:rsidR="003D504D" w:rsidRDefault="003D504D" w:rsidP="00BF39B2">
      <w:pPr>
        <w:pStyle w:val="1"/>
        <w:rPr>
          <w:rtl/>
        </w:rPr>
      </w:pPr>
      <w:bookmarkStart w:id="16118" w:name="_Toc535574969"/>
      <w:bookmarkStart w:id="16119" w:name="_Toc535702428"/>
      <w:bookmarkStart w:id="16120" w:name="_Toc535750573"/>
      <w:bookmarkStart w:id="16121" w:name="_Toc19391122"/>
      <w:bookmarkStart w:id="16122" w:name="_Toc19394619"/>
      <w:r>
        <w:rPr>
          <w:rFonts w:hint="cs"/>
          <w:rtl/>
        </w:rPr>
        <w:t>דברי האבי עזרי והגרש"ר בביאור דעת רש"י</w:t>
      </w:r>
      <w:bookmarkEnd w:id="16118"/>
      <w:bookmarkEnd w:id="16119"/>
      <w:bookmarkEnd w:id="16120"/>
      <w:bookmarkEnd w:id="16121"/>
      <w:bookmarkEnd w:id="16122"/>
    </w:p>
    <w:p w14:paraId="798991FB" w14:textId="77777777" w:rsidR="003D504D" w:rsidRDefault="003D504D" w:rsidP="003D504D">
      <w:pPr>
        <w:pStyle w:val="a3"/>
        <w:rPr>
          <w:rtl/>
        </w:rPr>
      </w:pPr>
      <w:bookmarkStart w:id="16123" w:name="_Toc535702429"/>
      <w:bookmarkStart w:id="16124" w:name="_Toc535750574"/>
      <w:bookmarkStart w:id="16125" w:name="_Toc19391123"/>
      <w:bookmarkStart w:id="16126" w:name="_Toc19394620"/>
      <w:r>
        <w:rPr>
          <w:rFonts w:hint="cs"/>
          <w:rtl/>
        </w:rPr>
        <w:t>קושית האבי עזרי דמהשחיטה מתירה מנבילה קשה על דברי רש"י דמקום חתך אינו בכלל השחיטה</w:t>
      </w:r>
      <w:bookmarkEnd w:id="16123"/>
      <w:bookmarkEnd w:id="16124"/>
      <w:bookmarkEnd w:id="16125"/>
      <w:bookmarkEnd w:id="16126"/>
      <w:r>
        <w:rPr>
          <w:rFonts w:hint="cs"/>
          <w:rtl/>
        </w:rPr>
        <w:t xml:space="preserve"> </w:t>
      </w:r>
    </w:p>
    <w:p w14:paraId="2DB25421" w14:textId="77777777" w:rsidR="003D504D" w:rsidRPr="00E01A02" w:rsidRDefault="003D504D" w:rsidP="00223668">
      <w:pPr>
        <w:pStyle w:val="a0"/>
        <w:rPr>
          <w:rtl/>
        </w:rPr>
      </w:pPr>
      <w:r>
        <w:rPr>
          <w:rFonts w:hint="cs"/>
          <w:rtl/>
        </w:rPr>
        <w:t xml:space="preserve">בדברי </w:t>
      </w:r>
      <w:r w:rsidRPr="00881BF0">
        <w:rPr>
          <w:rStyle w:val="af9"/>
          <w:rFonts w:hint="cs"/>
          <w:rtl/>
        </w:rPr>
        <w:t>רש"י</w:t>
      </w:r>
      <w:r>
        <w:rPr>
          <w:rFonts w:hint="cs"/>
          <w:rtl/>
        </w:rPr>
        <w:t xml:space="preserve"> </w:t>
      </w:r>
      <w:r w:rsidRPr="0027691E">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Ref535353143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נ)</w:t>
      </w:r>
      <w:r>
        <w:rPr>
          <w:rStyle w:val="af7"/>
          <w:rFonts w:eastAsia="Guttman Hodes"/>
          <w:rtl/>
        </w:rPr>
        <w:fldChar w:fldCharType="end"/>
      </w:r>
      <w:r>
        <w:rPr>
          <w:rStyle w:val="af7"/>
          <w:rFonts w:eastAsia="Guttman Hodes" w:hint="cs"/>
          <w:rtl/>
        </w:rPr>
        <w:t xml:space="preserve"> </w:t>
      </w:r>
      <w:r>
        <w:rPr>
          <w:rFonts w:hint="cs"/>
          <w:rtl/>
        </w:rPr>
        <w:t xml:space="preserve">דכתב דמקום חתך אינו בכלל איסור "בשר בשדה טריפה" אך אינו בכלל היתר </w:t>
      </w:r>
      <w:r>
        <w:rPr>
          <w:rtl/>
        </w:rPr>
        <w:t>"</w:t>
      </w:r>
      <w:r>
        <w:rPr>
          <w:rFonts w:hint="cs"/>
          <w:rtl/>
        </w:rPr>
        <w:t>כל בבהמה</w:t>
      </w:r>
      <w:r>
        <w:rPr>
          <w:rtl/>
        </w:rPr>
        <w:t>"</w:t>
      </w:r>
      <w:r>
        <w:rPr>
          <w:rFonts w:hint="cs"/>
          <w:rtl/>
        </w:rPr>
        <w:t xml:space="preserve">, ולכן כשהאבר נשאר בחוץ בשעת שחיטה, </w:t>
      </w:r>
      <w:r w:rsidRPr="00E01A02">
        <w:rPr>
          <w:rFonts w:hint="cs"/>
          <w:rtl/>
        </w:rPr>
        <w:t xml:space="preserve">מקום חתך אסור, דאינו בכלל היתר </w:t>
      </w:r>
      <w:r>
        <w:rPr>
          <w:rtl/>
        </w:rPr>
        <w:t>"</w:t>
      </w:r>
      <w:r>
        <w:rPr>
          <w:rFonts w:hint="cs"/>
          <w:rtl/>
        </w:rPr>
        <w:t>כל בבהמה</w:t>
      </w:r>
      <w:r>
        <w:rPr>
          <w:rtl/>
        </w:rPr>
        <w:t>"</w:t>
      </w:r>
      <w:r w:rsidRPr="00E01A02">
        <w:rPr>
          <w:rFonts w:hint="cs"/>
          <w:rtl/>
        </w:rPr>
        <w:t xml:space="preserve">, ובהחזיר את האבר, מקום החתך מותר, דלא נאסר כאבר היוצא, הקשה </w:t>
      </w:r>
      <w:r w:rsidRPr="00EE3051">
        <w:rPr>
          <w:rStyle w:val="af9"/>
          <w:rFonts w:hint="cs"/>
          <w:rtl/>
        </w:rPr>
        <w:t>האבי עזרי</w:t>
      </w:r>
      <w:r w:rsidRPr="00E01A02">
        <w:rPr>
          <w:rFonts w:hint="cs"/>
          <w:rtl/>
        </w:rPr>
        <w:t xml:space="preserve"> </w:t>
      </w:r>
      <w:r w:rsidRPr="005C22FC">
        <w:rPr>
          <w:rStyle w:val="af7"/>
          <w:rFonts w:eastAsia="Guttman Hodes" w:hint="cs"/>
          <w:rtl/>
        </w:rPr>
        <w:t>(אבות הטומאות פ"ב ה"ט)</w:t>
      </w:r>
      <w:r w:rsidRPr="00E01A02">
        <w:rPr>
          <w:rFonts w:hint="cs"/>
          <w:rtl/>
        </w:rPr>
        <w:t xml:space="preserve"> על </w:t>
      </w:r>
      <w:r w:rsidRPr="00EE3051">
        <w:rPr>
          <w:rStyle w:val="af9"/>
          <w:rFonts w:hint="cs"/>
          <w:rtl/>
        </w:rPr>
        <w:t>רש"י</w:t>
      </w:r>
      <w:r w:rsidRPr="00E01A02">
        <w:rPr>
          <w:rFonts w:hint="cs"/>
          <w:rtl/>
        </w:rPr>
        <w:t xml:space="preserve"> דמהא דלדעת רבנן </w:t>
      </w:r>
      <w:r>
        <w:rPr>
          <w:rFonts w:hint="cs"/>
          <w:rtl/>
        </w:rPr>
        <w:t xml:space="preserve">במתני' לקמן </w:t>
      </w:r>
      <w:r w:rsidRPr="005715C7">
        <w:rPr>
          <w:rStyle w:val="af7"/>
          <w:rFonts w:eastAsia="Guttman Hodes" w:hint="cs"/>
          <w:rtl/>
        </w:rPr>
        <w:t>(עב.)</w:t>
      </w:r>
      <w:r>
        <w:rPr>
          <w:rFonts w:hint="cs"/>
          <w:rtl/>
        </w:rPr>
        <w:t xml:space="preserve"> </w:t>
      </w:r>
      <w:r w:rsidRPr="00E01A02">
        <w:rPr>
          <w:rFonts w:hint="cs"/>
          <w:rtl/>
        </w:rPr>
        <w:t>השחיטה מהני לטהר את האבר מידי נבילה, ואינו כאבר מן החי, מוכח דמהני השחיטה אף לאבר היוצא, וכ"ש דמהני השחיטה למקום חתך, וכיון שבמקום חתך אין איסור מדין "בשר בשדה טריפה", אמאי אין השחיטה מתירתו, אף כשלא החזיר את האבר.</w:t>
      </w:r>
    </w:p>
    <w:p w14:paraId="2D5238E7" w14:textId="77777777" w:rsidR="003D504D" w:rsidRDefault="003D504D" w:rsidP="003D504D">
      <w:pPr>
        <w:pStyle w:val="a3"/>
        <w:rPr>
          <w:rtl/>
        </w:rPr>
      </w:pPr>
      <w:bookmarkStart w:id="16127" w:name="_Toc535702430"/>
      <w:bookmarkStart w:id="16128" w:name="_Toc535750575"/>
      <w:bookmarkStart w:id="16129" w:name="_Toc19391124"/>
      <w:bookmarkStart w:id="16130" w:name="_Toc19394621"/>
      <w:r>
        <w:rPr>
          <w:rFonts w:hint="cs"/>
          <w:rtl/>
        </w:rPr>
        <w:t>דברי האבי עזרי דמבואר דבמקום חתך יש איסור אף שהוא בכלל השחיטה</w:t>
      </w:r>
      <w:bookmarkEnd w:id="16127"/>
      <w:bookmarkEnd w:id="16128"/>
      <w:bookmarkEnd w:id="16129"/>
      <w:bookmarkEnd w:id="16130"/>
    </w:p>
    <w:p w14:paraId="465DB143" w14:textId="77777777" w:rsidR="003D504D" w:rsidRDefault="003D504D" w:rsidP="00223668">
      <w:pPr>
        <w:pStyle w:val="a0"/>
        <w:rPr>
          <w:rtl/>
        </w:rPr>
      </w:pPr>
      <w:r>
        <w:rPr>
          <w:rFonts w:hint="cs"/>
          <w:rtl/>
        </w:rPr>
        <w:t xml:space="preserve">וכתב </w:t>
      </w:r>
      <w:r w:rsidRPr="00EE3051">
        <w:rPr>
          <w:rStyle w:val="af9"/>
          <w:rFonts w:hint="cs"/>
          <w:rtl/>
        </w:rPr>
        <w:t>האבי עזרי</w:t>
      </w:r>
      <w:r>
        <w:rPr>
          <w:rFonts w:hint="cs"/>
          <w:rtl/>
        </w:rPr>
        <w:t xml:space="preserve"> דמוכח </w:t>
      </w:r>
      <w:r w:rsidRPr="007D3543">
        <w:rPr>
          <w:rStyle w:val="afb"/>
          <w:rFonts w:hint="cs"/>
          <w:rtl/>
        </w:rPr>
        <w:t>[כ</w:t>
      </w:r>
      <w:r>
        <w:rPr>
          <w:rStyle w:val="afb"/>
          <w:rFonts w:hint="cs"/>
          <w:rtl/>
        </w:rPr>
        <w:t xml:space="preserve">דכתב </w:t>
      </w:r>
      <w:r w:rsidRPr="007D3543">
        <w:rPr>
          <w:rStyle w:val="affa"/>
          <w:rFonts w:hint="cs"/>
          <w:rtl/>
        </w:rPr>
        <w:t>הר"ן בתירוץ הב'</w:t>
      </w:r>
      <w:r w:rsidRPr="007D3543">
        <w:rPr>
          <w:rStyle w:val="afb"/>
          <w:rFonts w:hint="cs"/>
          <w:rtl/>
        </w:rPr>
        <w:t xml:space="preserve"> </w:t>
      </w:r>
      <w:r w:rsidRPr="007D3543">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Ref535694196 \r \h</w:instrText>
      </w:r>
      <w:r>
        <w:rPr>
          <w:rStyle w:val="aff6"/>
          <w:rtl/>
        </w:rPr>
        <w:instrText xml:space="preserve"> </w:instrText>
      </w:r>
      <w:r>
        <w:rPr>
          <w:rStyle w:val="aff6"/>
          <w:rtl/>
        </w:rPr>
      </w:r>
      <w:r>
        <w:rPr>
          <w:rStyle w:val="aff6"/>
          <w:rtl/>
        </w:rPr>
        <w:fldChar w:fldCharType="separate"/>
      </w:r>
      <w:r w:rsidR="00345400">
        <w:rPr>
          <w:rStyle w:val="aff6"/>
          <w:cs/>
        </w:rPr>
        <w:t>‎</w:t>
      </w:r>
      <w:r w:rsidR="00345400">
        <w:rPr>
          <w:rStyle w:val="aff6"/>
          <w:rtl/>
        </w:rPr>
        <w:t>נו)</w:t>
      </w:r>
      <w:r>
        <w:rPr>
          <w:rStyle w:val="aff6"/>
          <w:rtl/>
        </w:rPr>
        <w:fldChar w:fldCharType="end"/>
      </w:r>
      <w:r w:rsidRPr="007D3543">
        <w:rPr>
          <w:rStyle w:val="afb"/>
          <w:rFonts w:hint="cs"/>
          <w:rtl/>
        </w:rPr>
        <w:t>]</w:t>
      </w:r>
      <w:r>
        <w:rPr>
          <w:rFonts w:hint="cs"/>
          <w:rtl/>
        </w:rPr>
        <w:t xml:space="preserve"> דמקום החתך הוא בכלל היתר </w:t>
      </w:r>
      <w:r>
        <w:rPr>
          <w:rtl/>
        </w:rPr>
        <w:t>"</w:t>
      </w:r>
      <w:r>
        <w:rPr>
          <w:rFonts w:hint="cs"/>
          <w:rtl/>
        </w:rPr>
        <w:t>כל בבהמה</w:t>
      </w:r>
      <w:r>
        <w:rPr>
          <w:rtl/>
        </w:rPr>
        <w:t>"</w:t>
      </w:r>
      <w:r>
        <w:rPr>
          <w:rFonts w:hint="cs"/>
          <w:rtl/>
        </w:rPr>
        <w:t xml:space="preserve">, אלא דכיון שיש היתר מיוחד במקום חתך כשהחזיר את האבר מהילפותא "פרסה החזיר אכול", וא"כ מבואר דבלא החזיר את האבר יש איסור במקום החתך, כמו שהאבר עצמו אסור, אעפ"י שהוא בכלל היתר </w:t>
      </w:r>
      <w:r>
        <w:rPr>
          <w:rtl/>
        </w:rPr>
        <w:t>"</w:t>
      </w:r>
      <w:r>
        <w:rPr>
          <w:rFonts w:hint="cs"/>
          <w:rtl/>
        </w:rPr>
        <w:t>כל בבהמה</w:t>
      </w:r>
      <w:r>
        <w:rPr>
          <w:rtl/>
        </w:rPr>
        <w:t>"</w:t>
      </w:r>
      <w:r>
        <w:rPr>
          <w:rFonts w:hint="cs"/>
          <w:rtl/>
        </w:rPr>
        <w:t>.</w:t>
      </w:r>
    </w:p>
    <w:p w14:paraId="13662BC9" w14:textId="77777777" w:rsidR="003D504D" w:rsidRDefault="003D504D" w:rsidP="003D504D">
      <w:pPr>
        <w:pStyle w:val="a3"/>
        <w:rPr>
          <w:rtl/>
        </w:rPr>
      </w:pPr>
      <w:bookmarkStart w:id="16131" w:name="_Toc535702431"/>
      <w:bookmarkStart w:id="16132" w:name="_Toc535750576"/>
      <w:bookmarkStart w:id="16133" w:name="_Toc19391125"/>
      <w:bookmarkStart w:id="16134" w:name="_Toc19394622"/>
      <w:r>
        <w:rPr>
          <w:rFonts w:hint="cs"/>
          <w:rtl/>
        </w:rPr>
        <w:t>דברי האבי עזרי דאפש"ל דדברי רש"י הם לפני הילפותא לאיסור במקום חתך</w:t>
      </w:r>
      <w:bookmarkEnd w:id="16131"/>
      <w:bookmarkEnd w:id="16132"/>
      <w:bookmarkEnd w:id="16133"/>
      <w:bookmarkEnd w:id="16134"/>
      <w:r>
        <w:rPr>
          <w:rFonts w:hint="cs"/>
          <w:rtl/>
        </w:rPr>
        <w:t xml:space="preserve"> </w:t>
      </w:r>
    </w:p>
    <w:p w14:paraId="51AA8CB2" w14:textId="77777777" w:rsidR="003D504D" w:rsidRPr="0001654C" w:rsidRDefault="003D504D" w:rsidP="00223668">
      <w:pPr>
        <w:pStyle w:val="a0"/>
        <w:rPr>
          <w:rtl/>
        </w:rPr>
      </w:pPr>
      <w:r>
        <w:rPr>
          <w:rFonts w:hint="cs"/>
          <w:rtl/>
        </w:rPr>
        <w:t xml:space="preserve">והוסיף </w:t>
      </w:r>
      <w:r w:rsidRPr="00EE3051">
        <w:rPr>
          <w:rStyle w:val="af9"/>
          <w:rFonts w:hint="cs"/>
          <w:rtl/>
        </w:rPr>
        <w:t>האבי עזרי</w:t>
      </w:r>
      <w:r>
        <w:rPr>
          <w:rFonts w:hint="cs"/>
          <w:rtl/>
        </w:rPr>
        <w:t xml:space="preserve"> דאפש"ל דמ"ש </w:t>
      </w:r>
      <w:r w:rsidRPr="00881BF0">
        <w:rPr>
          <w:rStyle w:val="af9"/>
          <w:rFonts w:hint="cs"/>
          <w:rtl/>
        </w:rPr>
        <w:t>רש"י</w:t>
      </w:r>
      <w:r>
        <w:rPr>
          <w:rFonts w:hint="cs"/>
          <w:rtl/>
        </w:rPr>
        <w:t xml:space="preserve"> </w:t>
      </w:r>
      <w:r w:rsidRPr="0027691E">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Ref535353143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נ)</w:t>
      </w:r>
      <w:r>
        <w:rPr>
          <w:rStyle w:val="af7"/>
          <w:rFonts w:eastAsia="Guttman Hodes"/>
          <w:rtl/>
        </w:rPr>
        <w:fldChar w:fldCharType="end"/>
      </w:r>
      <w:r>
        <w:rPr>
          <w:rStyle w:val="af7"/>
          <w:rFonts w:eastAsia="Guttman Hodes" w:hint="cs"/>
          <w:rtl/>
        </w:rPr>
        <w:t xml:space="preserve"> </w:t>
      </w:r>
      <w:r>
        <w:rPr>
          <w:rFonts w:hint="cs"/>
          <w:rtl/>
        </w:rPr>
        <w:t xml:space="preserve">דמקום חתך אינו בכלל היתר </w:t>
      </w:r>
      <w:r>
        <w:rPr>
          <w:rtl/>
        </w:rPr>
        <w:t>"</w:t>
      </w:r>
      <w:r>
        <w:rPr>
          <w:rFonts w:hint="cs"/>
          <w:rtl/>
        </w:rPr>
        <w:t>כל בבהמה</w:t>
      </w:r>
      <w:r>
        <w:rPr>
          <w:rtl/>
        </w:rPr>
        <w:t>"</w:t>
      </w:r>
      <w:r>
        <w:rPr>
          <w:rFonts w:hint="cs"/>
          <w:rtl/>
        </w:rPr>
        <w:t>, הוא רק לפני הילפותא "פרסה החזיר אכול".</w:t>
      </w:r>
    </w:p>
    <w:p w14:paraId="16E457DE" w14:textId="77777777" w:rsidR="003D504D" w:rsidRDefault="003D504D" w:rsidP="003D504D">
      <w:pPr>
        <w:pStyle w:val="a3"/>
        <w:rPr>
          <w:rtl/>
        </w:rPr>
      </w:pPr>
      <w:bookmarkStart w:id="16135" w:name="_Toc535702432"/>
      <w:bookmarkStart w:id="16136" w:name="_Toc535750577"/>
      <w:bookmarkStart w:id="16137" w:name="_Toc19391126"/>
      <w:bookmarkStart w:id="16138" w:name="_Toc19394623"/>
      <w:r>
        <w:rPr>
          <w:rFonts w:hint="cs"/>
          <w:rtl/>
        </w:rPr>
        <w:t>תירוץ האבי עזרי דהשחיטה מטהרת באבר היוצא ומקום חתך רק לטומאה ולא לאכילה</w:t>
      </w:r>
      <w:bookmarkEnd w:id="16135"/>
      <w:bookmarkEnd w:id="16136"/>
      <w:bookmarkEnd w:id="16137"/>
      <w:bookmarkEnd w:id="16138"/>
    </w:p>
    <w:p w14:paraId="510B92E6" w14:textId="77777777" w:rsidR="003D504D" w:rsidRDefault="003D504D" w:rsidP="00223668">
      <w:pPr>
        <w:pStyle w:val="a0"/>
        <w:rPr>
          <w:rtl/>
        </w:rPr>
      </w:pPr>
      <w:r w:rsidRPr="005C22FC">
        <w:rPr>
          <w:rtl/>
        </w:rPr>
        <w:t xml:space="preserve">וכתב </w:t>
      </w:r>
      <w:r w:rsidRPr="005C22FC">
        <w:rPr>
          <w:rStyle w:val="af9"/>
          <w:rFonts w:hint="cs"/>
          <w:rtl/>
        </w:rPr>
        <w:t>האבי עזרי</w:t>
      </w:r>
      <w:r w:rsidRPr="005C22FC">
        <w:rPr>
          <w:rFonts w:hint="cs"/>
          <w:rtl/>
        </w:rPr>
        <w:t xml:space="preserve"> </w:t>
      </w:r>
      <w:r w:rsidRPr="005C22FC">
        <w:rPr>
          <w:rStyle w:val="af7"/>
          <w:rFonts w:eastAsia="Guttman Hodes" w:hint="cs"/>
          <w:rtl/>
        </w:rPr>
        <w:t>(אבות הטומאות פ"ב ה"ט</w:t>
      </w:r>
      <w:r>
        <w:rPr>
          <w:rStyle w:val="af7"/>
          <w:rFonts w:eastAsia="Guttman Hodes" w:hint="cs"/>
          <w:rtl/>
        </w:rPr>
        <w:t xml:space="preserve"> ד"ה והנה לכאו'</w:t>
      </w:r>
      <w:r w:rsidRPr="005C22FC">
        <w:rPr>
          <w:rStyle w:val="af7"/>
          <w:rFonts w:eastAsia="Guttman Hodes" w:hint="cs"/>
          <w:rtl/>
        </w:rPr>
        <w:t>)</w:t>
      </w:r>
      <w:r w:rsidRPr="00E01A02">
        <w:rPr>
          <w:rFonts w:hint="cs"/>
          <w:rtl/>
        </w:rPr>
        <w:t xml:space="preserve"> </w:t>
      </w:r>
      <w:r w:rsidRPr="005C22FC">
        <w:rPr>
          <w:rFonts w:hint="cs"/>
          <w:rtl/>
        </w:rPr>
        <w:t>דאפש</w:t>
      </w:r>
      <w:r>
        <w:rPr>
          <w:rFonts w:hint="cs"/>
          <w:rtl/>
        </w:rPr>
        <w:t xml:space="preserve">ר לתרץ את דברי </w:t>
      </w:r>
      <w:r w:rsidRPr="005C22FC">
        <w:rPr>
          <w:rStyle w:val="af9"/>
          <w:rFonts w:hint="cs"/>
          <w:rtl/>
        </w:rPr>
        <w:t xml:space="preserve">רש"י </w:t>
      </w:r>
      <w:r w:rsidRPr="005C22FC">
        <w:rPr>
          <w:rFonts w:hint="cs"/>
          <w:rtl/>
        </w:rPr>
        <w:t xml:space="preserve">דדוקא לענין טומאה מהני השחיטה, לטהר את האבר מטומאת נבילה וממגע אבר מן החי, אבל לענין אכילה, לא מהני השחיטה לאבר כלל, כיון שאינו בכלל </w:t>
      </w:r>
      <w:r>
        <w:rPr>
          <w:rtl/>
        </w:rPr>
        <w:t>"</w:t>
      </w:r>
      <w:r>
        <w:rPr>
          <w:rFonts w:hint="cs"/>
          <w:rtl/>
        </w:rPr>
        <w:t>כל בבהמה</w:t>
      </w:r>
      <w:r>
        <w:rPr>
          <w:rtl/>
        </w:rPr>
        <w:t>"</w:t>
      </w:r>
      <w:r w:rsidRPr="005C22FC">
        <w:rPr>
          <w:rFonts w:hint="cs"/>
          <w:rtl/>
        </w:rPr>
        <w:t>, וה"ה למקום חתך דלענין אכילה אינו כשחוט כלל</w:t>
      </w:r>
      <w:r>
        <w:rPr>
          <w:rFonts w:hint="cs"/>
          <w:rtl/>
        </w:rPr>
        <w:t xml:space="preserve">, ועיי"ש </w:t>
      </w:r>
      <w:r w:rsidRPr="00200064">
        <w:rPr>
          <w:rStyle w:val="af9"/>
          <w:rFonts w:hint="cs"/>
          <w:rtl/>
        </w:rPr>
        <w:t>באבי עזרי</w:t>
      </w:r>
      <w:r>
        <w:rPr>
          <w:rFonts w:hint="cs"/>
          <w:rtl/>
        </w:rPr>
        <w:t xml:space="preserve"> במה שהוסיף להקשות בזה</w:t>
      </w:r>
      <w:r w:rsidRPr="005C22FC">
        <w:rPr>
          <w:rFonts w:hint="cs"/>
          <w:rtl/>
        </w:rPr>
        <w:t>.</w:t>
      </w:r>
    </w:p>
    <w:p w14:paraId="440F64AF" w14:textId="77777777" w:rsidR="003D504D" w:rsidRDefault="003D504D" w:rsidP="003D504D">
      <w:pPr>
        <w:pStyle w:val="a3"/>
        <w:rPr>
          <w:rtl/>
        </w:rPr>
      </w:pPr>
      <w:bookmarkStart w:id="16139" w:name="_Toc535702433"/>
      <w:bookmarkStart w:id="16140" w:name="_Toc535750578"/>
      <w:bookmarkStart w:id="16141" w:name="_Toc19391127"/>
      <w:bookmarkStart w:id="16142" w:name="_Toc19394624"/>
      <w:r>
        <w:rPr>
          <w:rFonts w:hint="cs"/>
          <w:rtl/>
        </w:rPr>
        <w:t>ביאור הגרש"ר דכיון שהעובר נשחט אף האבר נשחט לטומאה אך אינו בכלל שחיטה להיתר אכילה</w:t>
      </w:r>
      <w:bookmarkEnd w:id="16139"/>
      <w:bookmarkEnd w:id="16140"/>
      <w:bookmarkEnd w:id="16141"/>
      <w:bookmarkEnd w:id="16142"/>
    </w:p>
    <w:p w14:paraId="1D967354" w14:textId="77777777" w:rsidR="003D504D" w:rsidRDefault="003D504D" w:rsidP="00223668">
      <w:pPr>
        <w:pStyle w:val="a0"/>
        <w:rPr>
          <w:rtl/>
        </w:rPr>
      </w:pPr>
      <w:r w:rsidRPr="00037655">
        <w:rPr>
          <w:rStyle w:val="af9"/>
          <w:rFonts w:hint="cs"/>
          <w:rtl/>
        </w:rPr>
        <w:t>ו</w:t>
      </w:r>
      <w:r w:rsidRPr="00037655">
        <w:rPr>
          <w:rStyle w:val="af9"/>
          <w:rtl/>
        </w:rPr>
        <w:t>הגרש"ר</w:t>
      </w:r>
      <w:r w:rsidRPr="00DF08AD">
        <w:rPr>
          <w:rtl/>
        </w:rPr>
        <w:t xml:space="preserve"> </w:t>
      </w:r>
      <w:r w:rsidRPr="00037655">
        <w:rPr>
          <w:rStyle w:val="af7"/>
          <w:rFonts w:eastAsia="Guttman Hodes"/>
          <w:rtl/>
        </w:rPr>
        <w:t xml:space="preserve">(זכרון שמואל סי' ע"ד </w:t>
      </w:r>
      <w:r w:rsidRPr="00037655">
        <w:rPr>
          <w:rStyle w:val="af7"/>
          <w:rFonts w:eastAsia="Guttman Hodes" w:hint="cs"/>
          <w:rtl/>
        </w:rPr>
        <w:t>ד' ד"ה ועוד נראה</w:t>
      </w:r>
      <w:r w:rsidRPr="00037655">
        <w:rPr>
          <w:rStyle w:val="af7"/>
          <w:rFonts w:eastAsia="Guttman Hodes"/>
          <w:rtl/>
        </w:rPr>
        <w:t>)</w:t>
      </w:r>
      <w:r w:rsidRPr="00DF08AD">
        <w:rPr>
          <w:rtl/>
        </w:rPr>
        <w:t xml:space="preserve"> </w:t>
      </w:r>
      <w:r>
        <w:rPr>
          <w:rFonts w:hint="cs"/>
          <w:rtl/>
        </w:rPr>
        <w:t xml:space="preserve">תירץ דס"ל </w:t>
      </w:r>
      <w:r w:rsidRPr="00037655">
        <w:rPr>
          <w:rStyle w:val="af9"/>
          <w:rFonts w:hint="cs"/>
          <w:rtl/>
        </w:rPr>
        <w:t>לרש"י</w:t>
      </w:r>
      <w:r>
        <w:rPr>
          <w:rFonts w:hint="cs"/>
          <w:rtl/>
        </w:rPr>
        <w:t xml:space="preserve"> </w:t>
      </w:r>
      <w:r w:rsidRPr="0027691E">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Ref535353143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נ)</w:t>
      </w:r>
      <w:r>
        <w:rPr>
          <w:rStyle w:val="af7"/>
          <w:rFonts w:eastAsia="Guttman Hodes"/>
          <w:rtl/>
        </w:rPr>
        <w:fldChar w:fldCharType="end"/>
      </w:r>
      <w:r>
        <w:rPr>
          <w:rStyle w:val="af7"/>
          <w:rFonts w:eastAsia="Guttman Hodes" w:hint="cs"/>
          <w:rtl/>
        </w:rPr>
        <w:t xml:space="preserve"> </w:t>
      </w:r>
      <w:r>
        <w:rPr>
          <w:rFonts w:hint="cs"/>
          <w:rtl/>
        </w:rPr>
        <w:t xml:space="preserve">דהא דהשחיטה מטהרת את האבר מידי נבילה לדעת רבנן, היינו דכיון שהיא מעשה שחיטה על העובר, א"כ אף האבר היוצא ומקום החתך הם בכלל השחיטה, אך מ"מ לענין אכילה אין השחיטה מתירה את האבר היוצא ואת מקום החתך, כיון שאינם בכלל היתר </w:t>
      </w:r>
      <w:r>
        <w:rPr>
          <w:rtl/>
        </w:rPr>
        <w:t>"</w:t>
      </w:r>
      <w:r>
        <w:rPr>
          <w:rFonts w:hint="cs"/>
          <w:rtl/>
        </w:rPr>
        <w:t>כל בבהמה</w:t>
      </w:r>
      <w:r>
        <w:rPr>
          <w:rtl/>
        </w:rPr>
        <w:t>"</w:t>
      </w:r>
      <w:r>
        <w:rPr>
          <w:rFonts w:hint="cs"/>
          <w:rtl/>
        </w:rPr>
        <w:t>.</w:t>
      </w:r>
    </w:p>
    <w:p w14:paraId="2FD32A9E" w14:textId="77777777" w:rsidR="003D504D" w:rsidRDefault="003D504D" w:rsidP="003D504D">
      <w:pPr>
        <w:pStyle w:val="a3"/>
        <w:rPr>
          <w:rtl/>
        </w:rPr>
      </w:pPr>
      <w:bookmarkStart w:id="16143" w:name="_Toc535702434"/>
      <w:bookmarkStart w:id="16144" w:name="_Toc535750579"/>
      <w:bookmarkStart w:id="16145" w:name="_Toc19391128"/>
      <w:bookmarkStart w:id="16146" w:name="_Toc19394625"/>
      <w:r>
        <w:rPr>
          <w:rFonts w:hint="cs"/>
          <w:rtl/>
        </w:rPr>
        <w:t>דברי הגרש"ר דע"י השחיטה הותר איסור אבמה"ח על האבר ונאסר באיסור יוצא</w:t>
      </w:r>
      <w:bookmarkEnd w:id="16143"/>
      <w:bookmarkEnd w:id="16144"/>
      <w:bookmarkEnd w:id="16145"/>
      <w:bookmarkEnd w:id="16146"/>
    </w:p>
    <w:p w14:paraId="5316C5B7" w14:textId="77777777" w:rsidR="003D504D" w:rsidRDefault="003D504D" w:rsidP="00223668">
      <w:pPr>
        <w:pStyle w:val="a0"/>
        <w:rPr>
          <w:rtl/>
        </w:rPr>
      </w:pPr>
      <w:r>
        <w:rPr>
          <w:rFonts w:hint="cs"/>
          <w:rtl/>
        </w:rPr>
        <w:t xml:space="preserve">וכתב </w:t>
      </w:r>
      <w:r w:rsidRPr="00037655">
        <w:rPr>
          <w:rStyle w:val="af9"/>
          <w:rtl/>
        </w:rPr>
        <w:t>הגרש"ר</w:t>
      </w:r>
      <w:r w:rsidRPr="00DF08AD">
        <w:rPr>
          <w:rtl/>
        </w:rPr>
        <w:t xml:space="preserve"> </w:t>
      </w:r>
      <w:r w:rsidRPr="00037655">
        <w:rPr>
          <w:rStyle w:val="af7"/>
          <w:rFonts w:eastAsia="Guttman Hodes"/>
          <w:rtl/>
        </w:rPr>
        <w:t>(</w:t>
      </w:r>
      <w:r w:rsidRPr="00921920">
        <w:rPr>
          <w:rStyle w:val="af7"/>
          <w:rFonts w:eastAsia="Guttman Hodes"/>
          <w:rtl/>
        </w:rPr>
        <w:t xml:space="preserve">זכרון שמואל סי' ע"ד </w:t>
      </w:r>
      <w:r w:rsidRPr="00921920">
        <w:rPr>
          <w:rStyle w:val="af7"/>
          <w:rFonts w:eastAsia="Guttman Hodes" w:hint="cs"/>
          <w:rtl/>
        </w:rPr>
        <w:t>ד' ד"ה ועל כן)</w:t>
      </w:r>
      <w:r>
        <w:rPr>
          <w:rFonts w:hint="cs"/>
          <w:rtl/>
        </w:rPr>
        <w:t xml:space="preserve"> דלפי"ז חל על האבר היוצא דין אבר מן החי, אלא דמ"מ כיון שהיה מעשה שחיטה בעובר, שמועיל  מדין כל בההמה אף לאבר היוצא </w:t>
      </w:r>
      <w:r w:rsidRPr="00921920">
        <w:rPr>
          <w:rStyle w:val="afb"/>
          <w:rFonts w:hint="cs"/>
          <w:rtl/>
        </w:rPr>
        <w:t>[לטהרו מנבילה]</w:t>
      </w:r>
      <w:r>
        <w:rPr>
          <w:rFonts w:hint="cs"/>
          <w:rtl/>
        </w:rPr>
        <w:t xml:space="preserve">, לכן הותר האיסור בפועל מדין אבר מן החי, ולכן האבר היוצא אסור רק מדין יוצא, וכדכתב </w:t>
      </w:r>
      <w:r w:rsidRPr="00921920">
        <w:rPr>
          <w:rStyle w:val="af9"/>
          <w:rFonts w:hint="cs"/>
          <w:rtl/>
        </w:rPr>
        <w:t>הפרמ"ג</w:t>
      </w:r>
      <w:r>
        <w:rPr>
          <w:rFonts w:hint="cs"/>
          <w:rtl/>
        </w:rPr>
        <w:t xml:space="preserve"> </w:t>
      </w:r>
      <w:r w:rsidRPr="00D47031">
        <w:rPr>
          <w:rStyle w:val="af7"/>
          <w:rFonts w:eastAsia="Guttman Hodes" w:hint="cs"/>
          <w:rtl/>
        </w:rPr>
        <w:t xml:space="preserve">(עי' אות </w:t>
      </w:r>
      <w:r w:rsidRPr="00D47031">
        <w:rPr>
          <w:rStyle w:val="af7"/>
          <w:rFonts w:eastAsia="Guttman Hodes"/>
          <w:rtl/>
        </w:rPr>
        <w:fldChar w:fldCharType="begin"/>
      </w:r>
      <w:r w:rsidRPr="00D47031">
        <w:rPr>
          <w:rStyle w:val="af7"/>
          <w:rFonts w:eastAsia="Guttman Hodes"/>
          <w:rtl/>
        </w:rPr>
        <w:instrText xml:space="preserve"> </w:instrText>
      </w:r>
      <w:r w:rsidRPr="00D47031">
        <w:rPr>
          <w:rStyle w:val="af7"/>
          <w:rFonts w:eastAsia="Guttman Hodes" w:hint="cs"/>
        </w:rPr>
        <w:instrText>REF</w:instrText>
      </w:r>
      <w:r w:rsidRPr="00D47031">
        <w:rPr>
          <w:rStyle w:val="af7"/>
          <w:rFonts w:eastAsia="Guttman Hodes" w:hint="cs"/>
          <w:rtl/>
        </w:rPr>
        <w:instrText xml:space="preserve"> _</w:instrText>
      </w:r>
      <w:r w:rsidRPr="00D47031">
        <w:rPr>
          <w:rStyle w:val="af7"/>
          <w:rFonts w:eastAsia="Guttman Hodes" w:hint="cs"/>
        </w:rPr>
        <w:instrText>Ref535517262 \r \h</w:instrText>
      </w:r>
      <w:r w:rsidRPr="00D47031">
        <w:rPr>
          <w:rStyle w:val="af7"/>
          <w:rFonts w:eastAsia="Guttman Hodes"/>
          <w:rtl/>
        </w:rPr>
        <w:instrText xml:space="preserve"> </w:instrText>
      </w:r>
      <w:r w:rsidRPr="00D47031">
        <w:rPr>
          <w:rStyle w:val="af7"/>
          <w:rFonts w:eastAsia="Guttman Hodes"/>
          <w:rtl/>
        </w:rPr>
      </w:r>
      <w:r w:rsidRPr="00D47031">
        <w:rPr>
          <w:rStyle w:val="af7"/>
          <w:rFonts w:eastAsia="Guttman Hodes"/>
          <w:rtl/>
        </w:rPr>
        <w:fldChar w:fldCharType="separate"/>
      </w:r>
      <w:r w:rsidR="00345400">
        <w:rPr>
          <w:rStyle w:val="af7"/>
          <w:rFonts w:eastAsia="Guttman Hodes"/>
          <w:cs/>
        </w:rPr>
        <w:t>‎</w:t>
      </w:r>
      <w:r w:rsidR="00345400">
        <w:rPr>
          <w:rStyle w:val="af7"/>
          <w:rFonts w:eastAsia="Guttman Hodes"/>
          <w:rtl/>
        </w:rPr>
        <w:t>ס)</w:t>
      </w:r>
      <w:r w:rsidRPr="00D47031">
        <w:rPr>
          <w:rStyle w:val="af7"/>
          <w:rFonts w:eastAsia="Guttman Hodes"/>
          <w:rtl/>
        </w:rPr>
        <w:fldChar w:fldCharType="end"/>
      </w:r>
      <w:r>
        <w:rPr>
          <w:rFonts w:hint="cs"/>
          <w:rtl/>
        </w:rPr>
        <w:t xml:space="preserve"> דאף לדעת </w:t>
      </w:r>
      <w:r w:rsidRPr="00921920">
        <w:rPr>
          <w:rStyle w:val="af9"/>
          <w:rFonts w:hint="cs"/>
          <w:rtl/>
        </w:rPr>
        <w:t>רש"י</w:t>
      </w:r>
      <w:r>
        <w:rPr>
          <w:rFonts w:hint="cs"/>
          <w:rtl/>
        </w:rPr>
        <w:t xml:space="preserve"> מהני השחיטה על האבר היוצא, וע"ע בדברי </w:t>
      </w:r>
      <w:r w:rsidRPr="006A2D81">
        <w:rPr>
          <w:rStyle w:val="af9"/>
          <w:rFonts w:hint="cs"/>
          <w:rtl/>
        </w:rPr>
        <w:t>הגרא"ו</w:t>
      </w:r>
      <w:r>
        <w:rPr>
          <w:rFonts w:hint="cs"/>
          <w:rtl/>
        </w:rPr>
        <w:t xml:space="preserve"> </w:t>
      </w:r>
      <w:r w:rsidRPr="006A2D81">
        <w:rPr>
          <w:rStyle w:val="af7"/>
          <w:rFonts w:eastAsia="Guttman Hodes" w:hint="cs"/>
          <w:rtl/>
        </w:rPr>
        <w:t>(בספר שיעורי הגר"א וסרמן חולין סי' י'</w:t>
      </w:r>
      <w:r>
        <w:rPr>
          <w:rStyle w:val="af7"/>
          <w:rFonts w:eastAsia="Guttman Hodes" w:hint="cs"/>
          <w:rtl/>
        </w:rPr>
        <w:t>, בספר קובץ ענינים לקמן עב. ד"ה מתני'</w:t>
      </w:r>
      <w:r w:rsidRPr="006A2D81">
        <w:rPr>
          <w:rStyle w:val="af7"/>
          <w:rFonts w:eastAsia="Guttman Hodes" w:hint="cs"/>
          <w:rtl/>
        </w:rPr>
        <w:t>)</w:t>
      </w:r>
      <w:r>
        <w:rPr>
          <w:rFonts w:hint="cs"/>
          <w:rtl/>
        </w:rPr>
        <w:t xml:space="preserve"> במ"ש בזה.</w:t>
      </w:r>
    </w:p>
    <w:p w14:paraId="2BABE0E9" w14:textId="77777777" w:rsidR="003D504D" w:rsidRDefault="003D504D" w:rsidP="00BF39B2">
      <w:pPr>
        <w:pStyle w:val="1"/>
      </w:pPr>
      <w:bookmarkStart w:id="16147" w:name="_Toc19391129"/>
      <w:bookmarkStart w:id="16148" w:name="_Toc19394626"/>
      <w:r>
        <w:rPr>
          <w:rFonts w:hint="cs"/>
          <w:rtl/>
        </w:rPr>
        <w:t>חקירת הגרש"ר בפלוגתת רב וריו"ח</w:t>
      </w:r>
      <w:bookmarkEnd w:id="16147"/>
      <w:bookmarkEnd w:id="16148"/>
    </w:p>
    <w:p w14:paraId="7BE025E7" w14:textId="77777777" w:rsidR="003D504D" w:rsidRDefault="003D504D" w:rsidP="003D504D">
      <w:pPr>
        <w:pStyle w:val="a3"/>
        <w:rPr>
          <w:rtl/>
        </w:rPr>
      </w:pPr>
      <w:bookmarkStart w:id="16149" w:name="_Toc19391130"/>
      <w:bookmarkStart w:id="16150" w:name="_Toc19394627"/>
      <w:r>
        <w:rPr>
          <w:rFonts w:hint="cs"/>
          <w:rtl/>
        </w:rPr>
        <w:t>הצד הא' בגרש"ר דפלוגתת רב וריו"ח אם חל איסור לפני השחיטה ולא נחלקו אי מהני חזרה</w:t>
      </w:r>
      <w:bookmarkEnd w:id="16149"/>
      <w:bookmarkEnd w:id="16150"/>
      <w:r>
        <w:rPr>
          <w:rFonts w:hint="cs"/>
          <w:rtl/>
        </w:rPr>
        <w:t xml:space="preserve"> </w:t>
      </w:r>
    </w:p>
    <w:p w14:paraId="611B1843" w14:textId="77777777" w:rsidR="003D504D" w:rsidRDefault="003D504D" w:rsidP="00223668">
      <w:pPr>
        <w:pStyle w:val="a0"/>
        <w:rPr>
          <w:rtl/>
        </w:rPr>
      </w:pPr>
      <w:r>
        <w:rPr>
          <w:rFonts w:hint="cs"/>
          <w:rtl/>
        </w:rPr>
        <w:t xml:space="preserve">חקר </w:t>
      </w:r>
      <w:r>
        <w:rPr>
          <w:rStyle w:val="af9"/>
          <w:rtl/>
        </w:rPr>
        <w:t>הגרש"ר</w:t>
      </w:r>
      <w:r>
        <w:rPr>
          <w:rFonts w:hint="cs"/>
          <w:rtl/>
        </w:rPr>
        <w:t xml:space="preserve"> </w:t>
      </w:r>
      <w:r>
        <w:rPr>
          <w:rStyle w:val="af7"/>
          <w:rFonts w:eastAsia="Guttman Hodes" w:hint="cs"/>
          <w:rtl/>
        </w:rPr>
        <w:t>(זכרון שמואל סי' ע"ד א')</w:t>
      </w:r>
      <w:r>
        <w:rPr>
          <w:rFonts w:hint="cs"/>
          <w:rtl/>
        </w:rPr>
        <w:t xml:space="preserve"> בדעת ריו"ח דס"ל דאבר היוצא שהחזירו מותר, אי ס"ל לריו"ח שלא חל על האבר כל איסור בשעת יציאתו לאויר העולם, דאיסור "בשר בשדה טריפה" חל רק בשעת השחיטה, ולכן בלא החזירו שלא היה בתוך הבהמה בזמן השחיטה, הוא אסור, ורב ס"ל דכשיצא האבר חל עליו איסור "בשר בשדה טריפה", ולכן אף אם החזירו אסור, דהופקע מכלל ההית דשחיטת אמו, וכתב </w:t>
      </w:r>
      <w:r>
        <w:rPr>
          <w:rStyle w:val="af9"/>
          <w:rtl/>
        </w:rPr>
        <w:t>הגרש"ר</w:t>
      </w:r>
      <w:r>
        <w:rPr>
          <w:rFonts w:hint="cs"/>
          <w:rtl/>
        </w:rPr>
        <w:t xml:space="preserve"> דלפי"ז לכו"ע לא מהני חזרה להתיר איסור שחל על האבר, ונחלקו האם חל איסור על האבר בחוץ, או דרק בשעת השחיטה חל האיסור.</w:t>
      </w:r>
    </w:p>
    <w:p w14:paraId="677E9A3B" w14:textId="77777777" w:rsidR="003D504D" w:rsidRDefault="003D504D" w:rsidP="003D504D">
      <w:pPr>
        <w:pStyle w:val="a3"/>
        <w:rPr>
          <w:rtl/>
        </w:rPr>
      </w:pPr>
      <w:bookmarkStart w:id="16151" w:name="_Toc19391131"/>
      <w:bookmarkStart w:id="16152" w:name="_Toc19394628"/>
      <w:r>
        <w:rPr>
          <w:rFonts w:hint="cs"/>
          <w:rtl/>
        </w:rPr>
        <w:t>הצד הב' בגרש"ר דלכו"ע חל איסור בחוץ ונחלקו אי ע"י החזרה פוקע האיסור</w:t>
      </w:r>
      <w:bookmarkEnd w:id="16151"/>
      <w:bookmarkEnd w:id="16152"/>
    </w:p>
    <w:p w14:paraId="7EEFA5BE" w14:textId="77777777" w:rsidR="003D504D" w:rsidRDefault="003D504D" w:rsidP="00223668">
      <w:pPr>
        <w:pStyle w:val="a0"/>
        <w:rPr>
          <w:rtl/>
        </w:rPr>
      </w:pPr>
      <w:r>
        <w:rPr>
          <w:rFonts w:hint="cs"/>
          <w:rtl/>
        </w:rPr>
        <w:t xml:space="preserve">והצד השני כתב </w:t>
      </w:r>
      <w:r>
        <w:rPr>
          <w:rStyle w:val="af9"/>
          <w:rtl/>
        </w:rPr>
        <w:t>הגרש"ר</w:t>
      </w:r>
      <w:r>
        <w:rPr>
          <w:rFonts w:hint="cs"/>
          <w:rtl/>
        </w:rPr>
        <w:t xml:space="preserve"> דאף ריו"ח מודה דבשעת יציאת האבר לאויר העולם נאסר, אך ס"ל לריו"ח דכשהחזיר את האבר לתוך הבהמה הותר האיסור, כיון שקרינן ביה </w:t>
      </w:r>
      <w:r>
        <w:rPr>
          <w:rtl/>
        </w:rPr>
        <w:t>"</w:t>
      </w:r>
      <w:r>
        <w:rPr>
          <w:rFonts w:hint="cs"/>
          <w:rtl/>
        </w:rPr>
        <w:t>כל בבהמה</w:t>
      </w:r>
      <w:r>
        <w:rPr>
          <w:rtl/>
        </w:rPr>
        <w:t>"</w:t>
      </w:r>
      <w:r>
        <w:rPr>
          <w:rFonts w:hint="cs"/>
          <w:rtl/>
        </w:rPr>
        <w:t xml:space="preserve">, וממילא הוא חוזר להיות בכלל ההיתר בשחיטת אמו, דהוא בטל לגבי אמו ופוקע ממנו איסור יוצא, ועיי"ש בדברי </w:t>
      </w:r>
      <w:r>
        <w:rPr>
          <w:rStyle w:val="af9"/>
          <w:rtl/>
        </w:rPr>
        <w:t>הגרש"ר</w:t>
      </w:r>
      <w:r>
        <w:rPr>
          <w:rFonts w:hint="cs"/>
          <w:rtl/>
        </w:rPr>
        <w:t xml:space="preserve"> שהאריך בזה, וע"ע בדברי </w:t>
      </w:r>
      <w:r>
        <w:rPr>
          <w:rStyle w:val="af9"/>
          <w:rtl/>
        </w:rPr>
        <w:t>התוס'</w:t>
      </w:r>
      <w:r>
        <w:rPr>
          <w:rFonts w:hint="cs"/>
          <w:rtl/>
        </w:rPr>
        <w:t xml:space="preserve"> </w:t>
      </w:r>
      <w:r>
        <w:rPr>
          <w:rStyle w:val="af7"/>
          <w:rFonts w:eastAsia="Guttman Hodes" w:hint="cs"/>
          <w:rtl/>
        </w:rPr>
        <w:t xml:space="preserve">(סח: ד"ה הכל) </w:t>
      </w:r>
      <w:r>
        <w:rPr>
          <w:rStyle w:val="af9"/>
          <w:rtl/>
        </w:rPr>
        <w:t>והר"ן בחי'</w:t>
      </w:r>
      <w:r>
        <w:rPr>
          <w:rFonts w:hint="cs"/>
          <w:rtl/>
        </w:rPr>
        <w:t xml:space="preserve"> </w:t>
      </w:r>
      <w:r>
        <w:rPr>
          <w:rStyle w:val="af7"/>
          <w:rFonts w:eastAsia="Guttman Hodes" w:hint="cs"/>
          <w:rtl/>
        </w:rPr>
        <w:t>(סח: ד"ה חטאת)</w:t>
      </w:r>
      <w:r>
        <w:rPr>
          <w:rFonts w:hint="cs"/>
          <w:rtl/>
        </w:rPr>
        <w:t>.</w:t>
      </w:r>
    </w:p>
    <w:p w14:paraId="4AB661D5" w14:textId="77777777" w:rsidR="003D504D" w:rsidRPr="0003556C" w:rsidRDefault="003D504D" w:rsidP="00223668">
      <w:pPr>
        <w:pStyle w:val="a0"/>
        <w:numPr>
          <w:ilvl w:val="0"/>
          <w:numId w:val="0"/>
        </w:numPr>
        <w:rPr>
          <w:rtl/>
        </w:rPr>
      </w:pPr>
    </w:p>
    <w:p w14:paraId="51D4134D" w14:textId="77777777" w:rsidR="003D504D" w:rsidRPr="00892674" w:rsidRDefault="003D504D" w:rsidP="003D504D">
      <w:pPr>
        <w:pStyle w:val="a3"/>
        <w:rPr>
          <w:rtl/>
        </w:rPr>
        <w:sectPr w:rsidR="003D504D" w:rsidRPr="00892674" w:rsidSect="005049E2">
          <w:type w:val="continuous"/>
          <w:pgSz w:w="11906" w:h="16838"/>
          <w:pgMar w:top="720" w:right="720" w:bottom="720" w:left="720" w:header="283" w:footer="283" w:gutter="0"/>
          <w:cols w:num="2" w:space="567"/>
          <w:titlePg/>
          <w:bidi/>
          <w:rtlGutter/>
          <w:docGrid w:linePitch="299"/>
        </w:sectPr>
      </w:pPr>
    </w:p>
    <w:p w14:paraId="4FF55287" w14:textId="77777777" w:rsidR="003D504D" w:rsidRDefault="003D504D" w:rsidP="003D504D">
      <w:pPr>
        <w:pStyle w:val="ad"/>
        <w:tabs>
          <w:tab w:val="left" w:pos="1163"/>
        </w:tabs>
        <w:spacing w:before="120" w:after="120" w:line="240" w:lineRule="auto"/>
        <w:ind w:left="0"/>
        <w:contextualSpacing w:val="0"/>
        <w:rPr>
          <w:rFonts w:ascii="Guttman Hodes" w:eastAsia="Guttman Hodes" w:hAnsi="Guttman Hodes" w:cs="Guttman Hodes"/>
          <w:noProof/>
          <w:sz w:val="18"/>
          <w:szCs w:val="18"/>
        </w:rPr>
        <w:sectPr w:rsidR="003D504D" w:rsidSect="00834C78">
          <w:type w:val="continuous"/>
          <w:pgSz w:w="11906" w:h="16838"/>
          <w:pgMar w:top="720" w:right="720" w:bottom="720" w:left="720" w:header="283" w:footer="283" w:gutter="0"/>
          <w:cols w:space="567"/>
          <w:bidi/>
          <w:rtlGutter/>
          <w:docGrid w:linePitch="299"/>
        </w:sectPr>
      </w:pPr>
    </w:p>
    <w:p w14:paraId="116BF1EB" w14:textId="77777777" w:rsidR="003D504D" w:rsidRPr="00A7241B" w:rsidRDefault="004B65FC" w:rsidP="003D504D">
      <w:pPr>
        <w:pStyle w:val="ad"/>
        <w:tabs>
          <w:tab w:val="left" w:pos="1163"/>
        </w:tabs>
        <w:spacing w:before="120" w:after="120" w:line="240" w:lineRule="auto"/>
        <w:ind w:left="0"/>
        <w:contextualSpacing w:val="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5E09951B">
          <v:shape id="_x0000_i1044" type="#_x0000_t75" style="width:409.4pt;height:4.45pt" o:hrpct="0" o:hralign="center" o:hr="t">
            <v:imagedata r:id="rId21" o:title="BD14845_"/>
          </v:shape>
        </w:pict>
      </w:r>
    </w:p>
    <w:p w14:paraId="752C74EC" w14:textId="77777777" w:rsidR="003D504D" w:rsidRDefault="003D504D" w:rsidP="003D504D">
      <w:pPr>
        <w:pStyle w:val="afe"/>
        <w:rPr>
          <w:rtl/>
        </w:rPr>
      </w:pPr>
      <w:bookmarkStart w:id="16153" w:name="_Toc535178753"/>
      <w:bookmarkStart w:id="16154" w:name="_Toc535302130"/>
      <w:bookmarkStart w:id="16155" w:name="_Toc535526274"/>
      <w:bookmarkStart w:id="16156" w:name="_Toc535574972"/>
      <w:bookmarkStart w:id="16157" w:name="_Toc535702439"/>
      <w:bookmarkStart w:id="16158" w:name="_Toc535750584"/>
      <w:bookmarkStart w:id="16159" w:name="_Toc19436011"/>
      <w:bookmarkStart w:id="16160" w:name="_Toc20081221"/>
      <w:r w:rsidRPr="0075165B">
        <w:rPr>
          <w:rFonts w:hint="cs"/>
          <w:rtl/>
        </w:rPr>
        <w:t>מראי מקומות וביאורים על הרמב"ם</w:t>
      </w:r>
      <w:bookmarkEnd w:id="16153"/>
      <w:bookmarkEnd w:id="16154"/>
      <w:bookmarkEnd w:id="16155"/>
      <w:bookmarkEnd w:id="16156"/>
      <w:bookmarkEnd w:id="16157"/>
      <w:bookmarkEnd w:id="16158"/>
      <w:bookmarkEnd w:id="16159"/>
      <w:bookmarkEnd w:id="16160"/>
    </w:p>
    <w:p w14:paraId="458E768C" w14:textId="77777777" w:rsidR="003D504D" w:rsidRDefault="003D504D" w:rsidP="003D504D">
      <w:pPr>
        <w:tabs>
          <w:tab w:val="left" w:pos="1163"/>
        </w:tabs>
        <w:spacing w:before="120" w:after="120" w:line="240" w:lineRule="auto"/>
        <w:ind w:left="0"/>
        <w:rPr>
          <w:rFonts w:cs="FrankRuehl"/>
          <w:sz w:val="20"/>
          <w:rtl/>
        </w:rPr>
        <w:sectPr w:rsidR="003D504D" w:rsidSect="003D504D">
          <w:pgSz w:w="11906" w:h="16838"/>
          <w:pgMar w:top="720" w:right="720" w:bottom="720" w:left="720" w:header="283" w:footer="283" w:gutter="0"/>
          <w:cols w:space="567"/>
          <w:bidi/>
          <w:rtlGutter/>
          <w:docGrid w:linePitch="299"/>
        </w:sectPr>
      </w:pPr>
    </w:p>
    <w:p w14:paraId="0566B998" w14:textId="77777777" w:rsidR="003D504D" w:rsidRPr="001939C9" w:rsidRDefault="003D504D" w:rsidP="003D504D">
      <w:pPr>
        <w:pStyle w:val="afe"/>
        <w:rPr>
          <w:rtl/>
        </w:rPr>
      </w:pPr>
      <w:bookmarkStart w:id="16161" w:name="_Toc535302134"/>
      <w:bookmarkStart w:id="16162" w:name="_Toc535526275"/>
      <w:bookmarkStart w:id="16163" w:name="_Toc535574973"/>
      <w:bookmarkStart w:id="16164" w:name="_Toc535702440"/>
      <w:bookmarkStart w:id="16165" w:name="_Toc535750585"/>
      <w:bookmarkStart w:id="16166" w:name="_Toc19436012"/>
      <w:bookmarkStart w:id="16167" w:name="_Toc20081222"/>
      <w:bookmarkStart w:id="16168" w:name="_Toc535178756"/>
      <w:bookmarkStart w:id="16169" w:name="_Toc535178754"/>
      <w:bookmarkStart w:id="16170" w:name="_Toc535302131"/>
      <w:r>
        <w:rPr>
          <w:rFonts w:hint="cs"/>
          <w:rtl/>
        </w:rPr>
        <w:t>בגדר האיסור באבר היוצא</w:t>
      </w:r>
      <w:bookmarkEnd w:id="16161"/>
      <w:bookmarkEnd w:id="16162"/>
      <w:bookmarkEnd w:id="16163"/>
      <w:bookmarkEnd w:id="16164"/>
      <w:bookmarkEnd w:id="16165"/>
      <w:bookmarkEnd w:id="16166"/>
      <w:bookmarkEnd w:id="16167"/>
    </w:p>
    <w:p w14:paraId="50EAC2CD" w14:textId="77777777" w:rsidR="003D504D" w:rsidRDefault="003D504D" w:rsidP="00BF39B2">
      <w:pPr>
        <w:pStyle w:val="1"/>
        <w:rPr>
          <w:rtl/>
        </w:rPr>
      </w:pPr>
      <w:bookmarkStart w:id="16171" w:name="_Toc535302132"/>
      <w:bookmarkStart w:id="16172" w:name="_Toc535526276"/>
      <w:bookmarkStart w:id="16173" w:name="_Toc535574974"/>
      <w:bookmarkStart w:id="16174" w:name="_Toc535702441"/>
      <w:bookmarkStart w:id="16175" w:name="_Toc535750586"/>
      <w:bookmarkStart w:id="16176" w:name="_Toc19391132"/>
      <w:bookmarkStart w:id="16177" w:name="_Toc19394629"/>
      <w:bookmarkStart w:id="16178" w:name="_Toc535302135"/>
      <w:r>
        <w:rPr>
          <w:rFonts w:hint="cs"/>
          <w:rtl/>
        </w:rPr>
        <w:t xml:space="preserve">דברי הרמב"ם </w:t>
      </w:r>
      <w:bookmarkEnd w:id="16171"/>
      <w:r>
        <w:rPr>
          <w:rFonts w:hint="cs"/>
          <w:rtl/>
        </w:rPr>
        <w:t>דאבר היוצא כפורש מהחי ונעשה טריפה</w:t>
      </w:r>
      <w:bookmarkEnd w:id="16172"/>
      <w:bookmarkEnd w:id="16173"/>
      <w:bookmarkEnd w:id="16174"/>
      <w:bookmarkEnd w:id="16175"/>
      <w:bookmarkEnd w:id="16176"/>
      <w:bookmarkEnd w:id="16177"/>
    </w:p>
    <w:p w14:paraId="5940105B" w14:textId="77777777" w:rsidR="003D504D" w:rsidRPr="004A0152" w:rsidRDefault="003D504D" w:rsidP="003D504D">
      <w:pPr>
        <w:pStyle w:val="a3"/>
        <w:rPr>
          <w:rtl/>
        </w:rPr>
      </w:pPr>
      <w:bookmarkStart w:id="16179" w:name="_Toc535526277"/>
      <w:bookmarkStart w:id="16180" w:name="_Toc535574975"/>
      <w:bookmarkStart w:id="16181" w:name="_Toc535702442"/>
      <w:bookmarkStart w:id="16182" w:name="_Toc535750587"/>
      <w:bookmarkStart w:id="16183" w:name="_Toc19391133"/>
      <w:bookmarkStart w:id="16184" w:name="_Toc19394630"/>
      <w:r>
        <w:rPr>
          <w:rFonts w:hint="cs"/>
          <w:rtl/>
        </w:rPr>
        <w:t>דברי הרמב"ם דהאבר היוצא אסור כבשר שפירש מהחי דכשיצא חוץ למחיצתו נעשה טריפה</w:t>
      </w:r>
      <w:bookmarkEnd w:id="16179"/>
      <w:bookmarkEnd w:id="16180"/>
      <w:bookmarkEnd w:id="16181"/>
      <w:bookmarkEnd w:id="16182"/>
      <w:bookmarkEnd w:id="16183"/>
      <w:bookmarkEnd w:id="16184"/>
    </w:p>
    <w:p w14:paraId="09C063C1" w14:textId="77777777" w:rsidR="003D504D" w:rsidRDefault="003D504D" w:rsidP="00223668">
      <w:pPr>
        <w:pStyle w:val="a0"/>
        <w:rPr>
          <w:rtl/>
        </w:rPr>
      </w:pPr>
      <w:bookmarkStart w:id="16185" w:name="_Ref535695716"/>
      <w:r>
        <w:rPr>
          <w:rFonts w:hint="cs"/>
          <w:rtl/>
        </w:rPr>
        <w:t xml:space="preserve">כתב </w:t>
      </w:r>
      <w:r w:rsidRPr="00344CBE">
        <w:rPr>
          <w:rStyle w:val="af9"/>
          <w:rFonts w:hint="cs"/>
          <w:rtl/>
        </w:rPr>
        <w:t xml:space="preserve">הרמב"ם </w:t>
      </w:r>
      <w:r w:rsidRPr="00F509F8">
        <w:rPr>
          <w:rStyle w:val="af7"/>
          <w:rFonts w:eastAsia="Guttman Hodes" w:hint="cs"/>
          <w:rtl/>
        </w:rPr>
        <w:t>(מאכ"א פ"ה ה"ט)</w:t>
      </w:r>
      <w:r>
        <w:rPr>
          <w:rFonts w:hint="cs"/>
          <w:rtl/>
        </w:rPr>
        <w:t xml:space="preserve"> דעובר שהוציא אבר </w:t>
      </w:r>
      <w:bookmarkStart w:id="16186" w:name="_Ref535166862"/>
      <w:r>
        <w:rPr>
          <w:rFonts w:hint="cs"/>
          <w:rtl/>
        </w:rPr>
        <w:t>אסור האבר לעולם, ואף אם החזיר העובר את האבר למעי אמו, ואח"כ נשחט, או שנולד וחי כמה שנים, אסור האבר מדין טריפה, דבשר שיצא חוץ למחיצתו אסור, כבשר שפרש מן החי, כדילפינן מבשר בשדה טריפה, דכיון שיצא למקום שהוא בשבילו כשדה, נעשה  טריפה.</w:t>
      </w:r>
      <w:bookmarkEnd w:id="16185"/>
      <w:bookmarkEnd w:id="16186"/>
    </w:p>
    <w:p w14:paraId="34BF9DC8" w14:textId="77777777" w:rsidR="003D504D" w:rsidRDefault="003D504D" w:rsidP="003D504D">
      <w:pPr>
        <w:pStyle w:val="a3"/>
        <w:rPr>
          <w:rtl/>
        </w:rPr>
      </w:pPr>
      <w:bookmarkStart w:id="16187" w:name="_Toc535750588"/>
      <w:bookmarkStart w:id="16188" w:name="_Toc19391134"/>
      <w:bookmarkStart w:id="16189" w:name="_Toc19394631"/>
      <w:r>
        <w:rPr>
          <w:rFonts w:hint="cs"/>
          <w:rtl/>
        </w:rPr>
        <w:t>דברי הרמב"ם בסה"מ דאבר היוצא אסור כטריפה ולוקין עליו מדין בשר בשדה טריפה</w:t>
      </w:r>
      <w:bookmarkEnd w:id="16187"/>
      <w:bookmarkEnd w:id="16188"/>
      <w:bookmarkEnd w:id="16189"/>
    </w:p>
    <w:p w14:paraId="3614E41D" w14:textId="77777777" w:rsidR="003D504D" w:rsidRDefault="003D504D" w:rsidP="00223668">
      <w:pPr>
        <w:pStyle w:val="a0"/>
        <w:rPr>
          <w:rtl/>
        </w:rPr>
      </w:pPr>
      <w:bookmarkStart w:id="16190" w:name="_Toc535526278"/>
      <w:bookmarkStart w:id="16191" w:name="_Toc535574976"/>
      <w:bookmarkStart w:id="16192" w:name="_Toc535702443"/>
      <w:r w:rsidRPr="003A6DCF">
        <w:rPr>
          <w:rStyle w:val="af9"/>
          <w:rFonts w:hint="cs"/>
          <w:rtl/>
        </w:rPr>
        <w:t>והרמב"ם בספר המצוות</w:t>
      </w:r>
      <w:r>
        <w:rPr>
          <w:rFonts w:hint="cs"/>
          <w:rtl/>
        </w:rPr>
        <w:t xml:space="preserve"> </w:t>
      </w:r>
      <w:r w:rsidRPr="003A6DCF">
        <w:rPr>
          <w:rStyle w:val="af7"/>
          <w:rFonts w:eastAsia="Guttman Hodes" w:hint="cs"/>
          <w:rtl/>
        </w:rPr>
        <w:t xml:space="preserve">(ל"ת קפ"א) </w:t>
      </w:r>
      <w:r>
        <w:rPr>
          <w:rFonts w:hint="cs"/>
          <w:rtl/>
        </w:rPr>
        <w:t xml:space="preserve">כתב דמדין "בשר בשדה טריפה" ילפינן דאסור לאכול טריפה, וכן בשר שיצא חוץ למחיצתו נעשה כטריפה, בקדשים ובאבר היוצא, דכולם נקראו טריפה והאוכל מהם כזית לוקה מדאו', וכן בשר מן החי ג"כ נקרא טריפה, ואסור מדין "בשר בשדה טריפה", כדאיתא בגמ' לקמן </w:t>
      </w:r>
      <w:r w:rsidRPr="003A6DCF">
        <w:rPr>
          <w:rStyle w:val="af7"/>
          <w:rFonts w:eastAsia="Guttman Hodes" w:hint="cs"/>
          <w:rtl/>
        </w:rPr>
        <w:t>(קב:)</w:t>
      </w:r>
      <w:r>
        <w:rPr>
          <w:rFonts w:hint="cs"/>
          <w:rtl/>
        </w:rPr>
        <w:t>.</w:t>
      </w:r>
    </w:p>
    <w:p w14:paraId="5A7FF9EF" w14:textId="77777777" w:rsidR="003D504D" w:rsidRDefault="003D504D" w:rsidP="00BF39B2">
      <w:pPr>
        <w:pStyle w:val="1"/>
        <w:rPr>
          <w:rtl/>
        </w:rPr>
      </w:pPr>
      <w:bookmarkStart w:id="16193" w:name="_Toc535750589"/>
      <w:bookmarkStart w:id="16194" w:name="_Toc19391135"/>
      <w:bookmarkStart w:id="16195" w:name="_Toc19394632"/>
      <w:r>
        <w:rPr>
          <w:rFonts w:hint="cs"/>
          <w:rtl/>
        </w:rPr>
        <w:t>פלוגתת הרמב"ם והראב"ד</w:t>
      </w:r>
      <w:bookmarkEnd w:id="16168"/>
      <w:bookmarkEnd w:id="16178"/>
      <w:r>
        <w:rPr>
          <w:rFonts w:hint="cs"/>
          <w:rtl/>
        </w:rPr>
        <w:t xml:space="preserve"> במלקות באבר היוצא</w:t>
      </w:r>
      <w:bookmarkEnd w:id="16190"/>
      <w:bookmarkEnd w:id="16191"/>
      <w:r>
        <w:rPr>
          <w:rFonts w:hint="cs"/>
          <w:rtl/>
        </w:rPr>
        <w:t xml:space="preserve"> אחר שחיטה</w:t>
      </w:r>
      <w:bookmarkEnd w:id="16192"/>
      <w:bookmarkEnd w:id="16193"/>
      <w:bookmarkEnd w:id="16194"/>
      <w:bookmarkEnd w:id="16195"/>
    </w:p>
    <w:p w14:paraId="7AA43803" w14:textId="77777777" w:rsidR="003D504D" w:rsidRDefault="003D504D" w:rsidP="003D504D">
      <w:pPr>
        <w:pStyle w:val="a3"/>
        <w:rPr>
          <w:rtl/>
        </w:rPr>
      </w:pPr>
      <w:bookmarkStart w:id="16196" w:name="_Toc535526279"/>
      <w:bookmarkStart w:id="16197" w:name="_Toc535574977"/>
      <w:bookmarkStart w:id="16198" w:name="_Toc535702444"/>
      <w:bookmarkStart w:id="16199" w:name="_Toc535750590"/>
      <w:bookmarkStart w:id="16200" w:name="_Toc19391136"/>
      <w:bookmarkStart w:id="16201" w:name="_Toc19394633"/>
      <w:r>
        <w:rPr>
          <w:rFonts w:hint="cs"/>
          <w:rtl/>
        </w:rPr>
        <w:t>דברי הרמב"ם דאבר היוצא שחתכו אחר שחיטת אמו אין בו מלקות מדין אבמה"ח</w:t>
      </w:r>
      <w:bookmarkEnd w:id="16196"/>
      <w:bookmarkEnd w:id="16197"/>
      <w:bookmarkEnd w:id="16198"/>
      <w:bookmarkEnd w:id="16199"/>
      <w:bookmarkEnd w:id="16200"/>
      <w:bookmarkEnd w:id="16201"/>
    </w:p>
    <w:p w14:paraId="0905C467" w14:textId="77777777" w:rsidR="003D504D" w:rsidRDefault="003D504D" w:rsidP="00223668">
      <w:pPr>
        <w:pStyle w:val="a0"/>
        <w:rPr>
          <w:rtl/>
        </w:rPr>
      </w:pPr>
      <w:bookmarkStart w:id="16202" w:name="_Ref535168530"/>
      <w:bookmarkStart w:id="16203" w:name="_Ref535312984"/>
      <w:r>
        <w:rPr>
          <w:rFonts w:hint="cs"/>
          <w:rtl/>
        </w:rPr>
        <w:t xml:space="preserve">עו"כ </w:t>
      </w:r>
      <w:r w:rsidRPr="005715C7">
        <w:rPr>
          <w:rStyle w:val="af9"/>
          <w:rFonts w:hint="cs"/>
          <w:rtl/>
        </w:rPr>
        <w:t>הרמב"ם</w:t>
      </w:r>
      <w:r>
        <w:rPr>
          <w:rFonts w:hint="cs"/>
          <w:rtl/>
        </w:rPr>
        <w:t xml:space="preserve"> </w:t>
      </w:r>
      <w:r w:rsidRPr="005715C7">
        <w:rPr>
          <w:rStyle w:val="af7"/>
          <w:rFonts w:eastAsia="Guttman Hodes" w:hint="cs"/>
          <w:rtl/>
        </w:rPr>
        <w:t>(מאכ"א פ"ה הי"א)</w:t>
      </w:r>
      <w:r>
        <w:rPr>
          <w:rFonts w:hint="cs"/>
          <w:rtl/>
        </w:rPr>
        <w:t xml:space="preserve"> דאבר היוצא שלא החזירו וחתכו קודם שחיטת האם, הרי זה אבר מן החי ולוקין עליו, ואף אם מת העובר לפני שנשחטה אמו, ואם אחר שנשחטה האם חתך את האבר, אין לוקין עליו אף אם מת</w:t>
      </w:r>
      <w:r w:rsidRPr="00C72883">
        <w:rPr>
          <w:rFonts w:hint="cs"/>
          <w:rtl/>
        </w:rPr>
        <w:t xml:space="preserve"> </w:t>
      </w:r>
      <w:r>
        <w:rPr>
          <w:rFonts w:hint="cs"/>
          <w:rtl/>
        </w:rPr>
        <w:t xml:space="preserve">העובר, ואם מתה הבהמה ואח"כ חתך את האבר, לוקין עליו משום אבר מן החי, ועי' במה שביאר </w:t>
      </w:r>
      <w:r w:rsidRPr="005D5219">
        <w:rPr>
          <w:rStyle w:val="af9"/>
          <w:rFonts w:hint="cs"/>
          <w:rtl/>
        </w:rPr>
        <w:t>האמרי משה</w:t>
      </w:r>
      <w:r>
        <w:rPr>
          <w:rFonts w:hint="cs"/>
          <w:rtl/>
        </w:rPr>
        <w:t xml:space="preserve"> </w:t>
      </w:r>
      <w:r w:rsidRPr="005D5219">
        <w:rPr>
          <w:rStyle w:val="af7"/>
          <w:rFonts w:eastAsia="Guttman Hodes" w:hint="cs"/>
          <w:rtl/>
        </w:rPr>
        <w:t xml:space="preserve">(עי' אות </w:t>
      </w:r>
      <w:bookmarkEnd w:id="16202"/>
      <w:r w:rsidRPr="005D5219">
        <w:rPr>
          <w:rStyle w:val="af7"/>
          <w:rFonts w:eastAsia="Guttman Hodes"/>
          <w:rtl/>
        </w:rPr>
        <w:fldChar w:fldCharType="begin"/>
      </w:r>
      <w:r w:rsidRPr="005D5219">
        <w:rPr>
          <w:rStyle w:val="af7"/>
          <w:rFonts w:eastAsia="Guttman Hodes"/>
          <w:rtl/>
        </w:rPr>
        <w:instrText xml:space="preserve"> </w:instrText>
      </w:r>
      <w:r w:rsidRPr="005D5219">
        <w:rPr>
          <w:rStyle w:val="af7"/>
          <w:rFonts w:eastAsia="Guttman Hodes" w:hint="cs"/>
        </w:rPr>
        <w:instrText>REF</w:instrText>
      </w:r>
      <w:r w:rsidRPr="005D5219">
        <w:rPr>
          <w:rStyle w:val="af7"/>
          <w:rFonts w:eastAsia="Guttman Hodes" w:hint="cs"/>
          <w:rtl/>
        </w:rPr>
        <w:instrText xml:space="preserve"> _</w:instrText>
      </w:r>
      <w:r w:rsidRPr="005D5219">
        <w:rPr>
          <w:rStyle w:val="af7"/>
          <w:rFonts w:eastAsia="Guttman Hodes" w:hint="cs"/>
        </w:rPr>
        <w:instrText>Ref535228393 \r \h</w:instrText>
      </w:r>
      <w:r w:rsidRPr="005D5219">
        <w:rPr>
          <w:rStyle w:val="af7"/>
          <w:rFonts w:eastAsia="Guttman Hodes"/>
          <w:rtl/>
        </w:rPr>
        <w:instrText xml:space="preserve"> </w:instrText>
      </w:r>
      <w:r w:rsidRPr="005D5219">
        <w:rPr>
          <w:rStyle w:val="af7"/>
          <w:rFonts w:eastAsia="Guttman Hodes"/>
          <w:rtl/>
        </w:rPr>
      </w:r>
      <w:r w:rsidRPr="005D5219">
        <w:rPr>
          <w:rStyle w:val="af7"/>
          <w:rFonts w:eastAsia="Guttman Hodes"/>
          <w:rtl/>
        </w:rPr>
        <w:fldChar w:fldCharType="separate"/>
      </w:r>
      <w:r w:rsidR="00345400">
        <w:rPr>
          <w:rStyle w:val="af7"/>
          <w:rFonts w:eastAsia="Guttman Hodes"/>
          <w:cs/>
        </w:rPr>
        <w:t>‎</w:t>
      </w:r>
      <w:r w:rsidR="00345400">
        <w:rPr>
          <w:rStyle w:val="af7"/>
          <w:rFonts w:eastAsia="Guttman Hodes"/>
          <w:rtl/>
        </w:rPr>
        <w:t>קיז)</w:t>
      </w:r>
      <w:r w:rsidRPr="005D5219">
        <w:rPr>
          <w:rStyle w:val="af7"/>
          <w:rFonts w:eastAsia="Guttman Hodes"/>
          <w:rtl/>
        </w:rPr>
        <w:fldChar w:fldCharType="end"/>
      </w:r>
      <w:r>
        <w:rPr>
          <w:rFonts w:hint="cs"/>
          <w:rtl/>
        </w:rPr>
        <w:t>.</w:t>
      </w:r>
      <w:bookmarkEnd w:id="16203"/>
    </w:p>
    <w:p w14:paraId="3D4C59E4" w14:textId="77777777" w:rsidR="003D504D" w:rsidRDefault="003D504D" w:rsidP="003D504D">
      <w:pPr>
        <w:pStyle w:val="a3"/>
        <w:rPr>
          <w:rtl/>
        </w:rPr>
      </w:pPr>
      <w:bookmarkStart w:id="16204" w:name="_Toc535526280"/>
      <w:bookmarkStart w:id="16205" w:name="_Toc535574978"/>
      <w:bookmarkStart w:id="16206" w:name="_Toc535702445"/>
      <w:bookmarkStart w:id="16207" w:name="_Toc535750591"/>
      <w:bookmarkStart w:id="16208" w:name="_Toc19391137"/>
      <w:bookmarkStart w:id="16209" w:name="_Toc19394634"/>
      <w:r>
        <w:rPr>
          <w:rFonts w:hint="cs"/>
          <w:rtl/>
        </w:rPr>
        <w:t>דברי הראב"ד דבאבר היוצא שחתכו אחר שחיטת אמו לוקה מדין טריפה</w:t>
      </w:r>
      <w:bookmarkEnd w:id="16204"/>
      <w:bookmarkEnd w:id="16205"/>
      <w:bookmarkEnd w:id="16206"/>
      <w:bookmarkEnd w:id="16207"/>
      <w:bookmarkEnd w:id="16208"/>
      <w:bookmarkEnd w:id="16209"/>
    </w:p>
    <w:p w14:paraId="35215BB1" w14:textId="77777777" w:rsidR="003D504D" w:rsidRDefault="003D504D" w:rsidP="00223668">
      <w:pPr>
        <w:pStyle w:val="a0"/>
        <w:rPr>
          <w:rtl/>
        </w:rPr>
      </w:pPr>
      <w:bookmarkStart w:id="16210" w:name="_Ref535228133"/>
      <w:bookmarkStart w:id="16211" w:name="_Ref535571895"/>
      <w:r>
        <w:rPr>
          <w:rFonts w:hint="cs"/>
          <w:rtl/>
        </w:rPr>
        <w:t xml:space="preserve">והשיג </w:t>
      </w:r>
      <w:r w:rsidRPr="005715C7">
        <w:rPr>
          <w:rStyle w:val="af9"/>
          <w:rFonts w:hint="cs"/>
          <w:rtl/>
        </w:rPr>
        <w:t>הראב"ד</w:t>
      </w:r>
      <w:r>
        <w:rPr>
          <w:rFonts w:hint="cs"/>
          <w:rtl/>
        </w:rPr>
        <w:t xml:space="preserve"> דהרי </w:t>
      </w:r>
      <w:r w:rsidRPr="005715C7">
        <w:rPr>
          <w:rStyle w:val="af9"/>
          <w:rFonts w:hint="cs"/>
          <w:rtl/>
        </w:rPr>
        <w:t>הרמב"ם</w:t>
      </w:r>
      <w:r>
        <w:rPr>
          <w:rFonts w:hint="cs"/>
          <w:rtl/>
        </w:rPr>
        <w:t xml:space="preserve"> עצמו כתב </w:t>
      </w:r>
      <w:r w:rsidRPr="005715C7">
        <w:rPr>
          <w:rStyle w:val="af7"/>
          <w:rFonts w:eastAsia="Guttman Hodes" w:hint="cs"/>
          <w:rtl/>
        </w:rPr>
        <w:t xml:space="preserve">(עי' אות </w:t>
      </w:r>
      <w:r w:rsidRPr="005715C7">
        <w:rPr>
          <w:rStyle w:val="af7"/>
          <w:rFonts w:eastAsia="Guttman Hodes"/>
          <w:rtl/>
        </w:rPr>
        <w:fldChar w:fldCharType="begin"/>
      </w:r>
      <w:r w:rsidRPr="005715C7">
        <w:rPr>
          <w:rStyle w:val="af7"/>
          <w:rFonts w:eastAsia="Guttman Hodes"/>
          <w:rtl/>
        </w:rPr>
        <w:instrText xml:space="preserve"> </w:instrText>
      </w:r>
      <w:r w:rsidRPr="005715C7">
        <w:rPr>
          <w:rStyle w:val="af7"/>
          <w:rFonts w:eastAsia="Guttman Hodes" w:hint="cs"/>
        </w:rPr>
        <w:instrText>REF</w:instrText>
      </w:r>
      <w:r w:rsidRPr="005715C7">
        <w:rPr>
          <w:rStyle w:val="af7"/>
          <w:rFonts w:eastAsia="Guttman Hodes" w:hint="cs"/>
          <w:rtl/>
        </w:rPr>
        <w:instrText xml:space="preserve"> _</w:instrText>
      </w:r>
      <w:r w:rsidRPr="005715C7">
        <w:rPr>
          <w:rStyle w:val="af7"/>
          <w:rFonts w:eastAsia="Guttman Hodes" w:hint="cs"/>
        </w:rPr>
        <w:instrText>Ref535166862 \r \h</w:instrText>
      </w:r>
      <w:r w:rsidRPr="005715C7">
        <w:rPr>
          <w:rStyle w:val="af7"/>
          <w:rFonts w:eastAsia="Guttman Hodes"/>
          <w:rtl/>
        </w:rPr>
        <w:instrText xml:space="preserve"> </w:instrText>
      </w:r>
      <w:r w:rsidRPr="005715C7">
        <w:rPr>
          <w:rStyle w:val="af7"/>
          <w:rFonts w:eastAsia="Guttman Hodes"/>
          <w:rtl/>
        </w:rPr>
      </w:r>
      <w:r w:rsidRPr="005715C7">
        <w:rPr>
          <w:rStyle w:val="af7"/>
          <w:rFonts w:eastAsia="Guttman Hodes"/>
          <w:rtl/>
        </w:rPr>
        <w:fldChar w:fldCharType="separate"/>
      </w:r>
      <w:r w:rsidR="00345400">
        <w:rPr>
          <w:rStyle w:val="af7"/>
          <w:rFonts w:eastAsia="Guttman Hodes"/>
          <w:cs/>
        </w:rPr>
        <w:t>‎</w:t>
      </w:r>
      <w:r w:rsidR="00345400">
        <w:rPr>
          <w:rStyle w:val="af7"/>
          <w:rFonts w:eastAsia="Guttman Hodes"/>
          <w:rtl/>
        </w:rPr>
        <w:t>פט)</w:t>
      </w:r>
      <w:r w:rsidRPr="005715C7">
        <w:rPr>
          <w:rStyle w:val="af7"/>
          <w:rFonts w:eastAsia="Guttman Hodes"/>
          <w:rtl/>
        </w:rPr>
        <w:fldChar w:fldCharType="end"/>
      </w:r>
      <w:r>
        <w:rPr>
          <w:rFonts w:hint="cs"/>
          <w:rtl/>
        </w:rPr>
        <w:t xml:space="preserve"> דאף אם החזיר את האבר, וחתכו לאחר שחיטה לוקה עליו מדין "בשר בשדה טריפה", ואמרינן במתני' לקמן </w:t>
      </w:r>
      <w:r w:rsidRPr="005715C7">
        <w:rPr>
          <w:rStyle w:val="af7"/>
          <w:rFonts w:eastAsia="Guttman Hodes" w:hint="cs"/>
          <w:rtl/>
        </w:rPr>
        <w:t>(עב.)</w:t>
      </w:r>
      <w:r>
        <w:rPr>
          <w:rFonts w:hint="cs"/>
          <w:rtl/>
        </w:rPr>
        <w:t xml:space="preserve"> דבחתך את האבר ואח"כ נשחטה אמו, דלרבנן האבר אינו מטמא כנבילה אלא הוא כטריפה, ומבואר שיש בו איסור טריפה, והיה </w:t>
      </w:r>
      <w:r w:rsidRPr="00A241C0">
        <w:rPr>
          <w:rStyle w:val="af9"/>
          <w:rFonts w:hint="cs"/>
          <w:rtl/>
        </w:rPr>
        <w:t>להרמב"ם</w:t>
      </w:r>
      <w:r>
        <w:rPr>
          <w:rFonts w:hint="cs"/>
          <w:rtl/>
        </w:rPr>
        <w:t xml:space="preserve"> לומר דאינו לוקה מדין אבר מן החי כיון שאין שחיטה עושה ניפול, אך מ"מ אין מזה נ"מ דהא הוא חייב מלקות מדין טריפה, ועי' במה שביאר </w:t>
      </w:r>
      <w:r w:rsidRPr="005D5219">
        <w:rPr>
          <w:rStyle w:val="af9"/>
          <w:rFonts w:hint="cs"/>
          <w:rtl/>
        </w:rPr>
        <w:t>האמרי משה</w:t>
      </w:r>
      <w:r>
        <w:rPr>
          <w:rFonts w:hint="cs"/>
          <w:rtl/>
        </w:rPr>
        <w:t xml:space="preserve"> </w:t>
      </w:r>
      <w:r w:rsidRPr="005D5219">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Ref535313120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קיט)</w:t>
      </w:r>
      <w:r>
        <w:rPr>
          <w:rStyle w:val="af7"/>
          <w:rFonts w:eastAsia="Guttman Hodes"/>
          <w:rtl/>
        </w:rPr>
        <w:fldChar w:fldCharType="end"/>
      </w:r>
      <w:bookmarkEnd w:id="16210"/>
      <w:r>
        <w:rPr>
          <w:rFonts w:hint="cs"/>
          <w:rtl/>
        </w:rPr>
        <w:t>.</w:t>
      </w:r>
      <w:bookmarkEnd w:id="16211"/>
    </w:p>
    <w:p w14:paraId="5BC7634D" w14:textId="77777777" w:rsidR="003D504D" w:rsidRDefault="003D504D" w:rsidP="00BF39B2">
      <w:pPr>
        <w:pStyle w:val="1"/>
        <w:rPr>
          <w:rtl/>
        </w:rPr>
      </w:pPr>
      <w:bookmarkStart w:id="16212" w:name="_Toc535702446"/>
      <w:bookmarkStart w:id="16213" w:name="_Toc535750592"/>
      <w:bookmarkStart w:id="16214" w:name="_Toc19391138"/>
      <w:bookmarkStart w:id="16215" w:name="_Toc19394635"/>
      <w:r>
        <w:rPr>
          <w:rFonts w:hint="cs"/>
          <w:rtl/>
        </w:rPr>
        <w:t>ביאור המ"מ דלהרמב"ם אחר שחיטה דין האבר כחצי שיעור</w:t>
      </w:r>
      <w:bookmarkEnd w:id="16212"/>
      <w:bookmarkEnd w:id="16213"/>
      <w:bookmarkEnd w:id="16214"/>
      <w:bookmarkEnd w:id="16215"/>
    </w:p>
    <w:p w14:paraId="0B395E30" w14:textId="77777777" w:rsidR="003D504D" w:rsidRDefault="003D504D" w:rsidP="003D504D">
      <w:pPr>
        <w:pStyle w:val="a3"/>
        <w:rPr>
          <w:rtl/>
        </w:rPr>
      </w:pPr>
      <w:bookmarkStart w:id="16216" w:name="_Toc535702447"/>
      <w:bookmarkStart w:id="16217" w:name="_Toc535750593"/>
      <w:bookmarkStart w:id="16218" w:name="_Toc19391139"/>
      <w:bookmarkStart w:id="16219" w:name="_Toc19394636"/>
      <w:r>
        <w:rPr>
          <w:rFonts w:hint="cs"/>
          <w:rtl/>
        </w:rPr>
        <w:t>דברי המ"מ דלהרמב"ם אבר היוצא הוא כאבר המדולדל שאין בו מלקות</w:t>
      </w:r>
      <w:bookmarkEnd w:id="16216"/>
      <w:bookmarkEnd w:id="16217"/>
      <w:bookmarkEnd w:id="16218"/>
      <w:bookmarkEnd w:id="16219"/>
    </w:p>
    <w:p w14:paraId="32DF096A" w14:textId="77777777" w:rsidR="003D504D" w:rsidRDefault="003D504D" w:rsidP="00223668">
      <w:pPr>
        <w:pStyle w:val="a0"/>
        <w:rPr>
          <w:rtl/>
        </w:rPr>
      </w:pPr>
      <w:bookmarkStart w:id="16220" w:name="_Ref535745708"/>
      <w:bookmarkStart w:id="16221" w:name="_Toc535178755"/>
      <w:bookmarkStart w:id="16222" w:name="_Toc535302133"/>
      <w:bookmarkStart w:id="16223" w:name="_Toc535526281"/>
      <w:bookmarkStart w:id="16224" w:name="_Toc535574979"/>
      <w:bookmarkEnd w:id="16169"/>
      <w:bookmarkEnd w:id="16170"/>
      <w:r>
        <w:rPr>
          <w:rFonts w:hint="cs"/>
          <w:rtl/>
        </w:rPr>
        <w:t xml:space="preserve">וכתב </w:t>
      </w:r>
      <w:r w:rsidRPr="002A6C53">
        <w:rPr>
          <w:rStyle w:val="af9"/>
          <w:rFonts w:hint="cs"/>
          <w:rtl/>
        </w:rPr>
        <w:t>המ"מ</w:t>
      </w:r>
      <w:r>
        <w:rPr>
          <w:rFonts w:hint="cs"/>
          <w:rtl/>
        </w:rPr>
        <w:t xml:space="preserve"> </w:t>
      </w:r>
      <w:r w:rsidRPr="00BE5FC5">
        <w:rPr>
          <w:rStyle w:val="af7"/>
          <w:rFonts w:eastAsia="Guttman Hodes" w:hint="cs"/>
          <w:rtl/>
        </w:rPr>
        <w:t>(מאכ"א פ"ה הי"א)</w:t>
      </w:r>
      <w:r>
        <w:rPr>
          <w:rFonts w:hint="cs"/>
          <w:rtl/>
        </w:rPr>
        <w:t xml:space="preserve"> בישוב </w:t>
      </w:r>
      <w:r w:rsidRPr="002A6C53">
        <w:rPr>
          <w:rStyle w:val="af9"/>
          <w:rFonts w:hint="cs"/>
          <w:rtl/>
        </w:rPr>
        <w:t>השג' הראב"ד</w:t>
      </w:r>
      <w:r>
        <w:rPr>
          <w:rFonts w:hint="cs"/>
          <w:rtl/>
        </w:rPr>
        <w:t xml:space="preserve"> </w:t>
      </w:r>
      <w:r w:rsidRPr="00BE5FC5">
        <w:rPr>
          <w:rStyle w:val="af7"/>
          <w:rFonts w:eastAsia="Guttman Hodes" w:hint="cs"/>
          <w:rtl/>
        </w:rPr>
        <w:t xml:space="preserve">(עי' אות </w:t>
      </w:r>
      <w:r w:rsidRPr="00BE5FC5">
        <w:rPr>
          <w:rStyle w:val="af7"/>
          <w:rFonts w:eastAsia="Guttman Hodes"/>
          <w:rtl/>
        </w:rPr>
        <w:fldChar w:fldCharType="begin"/>
      </w:r>
      <w:r w:rsidRPr="00BE5FC5">
        <w:rPr>
          <w:rStyle w:val="af7"/>
          <w:rFonts w:eastAsia="Guttman Hodes"/>
          <w:rtl/>
        </w:rPr>
        <w:instrText xml:space="preserve"> </w:instrText>
      </w:r>
      <w:r w:rsidRPr="00BE5FC5">
        <w:rPr>
          <w:rStyle w:val="af7"/>
          <w:rFonts w:eastAsia="Guttman Hodes" w:hint="cs"/>
        </w:rPr>
        <w:instrText>REF</w:instrText>
      </w:r>
      <w:r w:rsidRPr="00BE5FC5">
        <w:rPr>
          <w:rStyle w:val="af7"/>
          <w:rFonts w:eastAsia="Guttman Hodes" w:hint="cs"/>
          <w:rtl/>
        </w:rPr>
        <w:instrText xml:space="preserve"> _</w:instrText>
      </w:r>
      <w:r w:rsidRPr="00BE5FC5">
        <w:rPr>
          <w:rStyle w:val="af7"/>
          <w:rFonts w:eastAsia="Guttman Hodes" w:hint="cs"/>
        </w:rPr>
        <w:instrText>Ref535571895 \r \h</w:instrText>
      </w:r>
      <w:r w:rsidRPr="00BE5FC5">
        <w:rPr>
          <w:rStyle w:val="af7"/>
          <w:rFonts w:eastAsia="Guttman Hodes"/>
          <w:rtl/>
        </w:rPr>
        <w:instrText xml:space="preserve"> </w:instrText>
      </w:r>
      <w:r w:rsidRPr="00BE5FC5">
        <w:rPr>
          <w:rStyle w:val="af7"/>
          <w:rFonts w:eastAsia="Guttman Hodes"/>
          <w:rtl/>
        </w:rPr>
      </w:r>
      <w:r w:rsidRPr="00BE5FC5">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BE5FC5">
        <w:rPr>
          <w:rStyle w:val="af7"/>
          <w:rFonts w:eastAsia="Guttman Hodes"/>
          <w:rtl/>
        </w:rPr>
        <w:fldChar w:fldCharType="end"/>
      </w:r>
      <w:r>
        <w:rPr>
          <w:rFonts w:hint="cs"/>
          <w:rtl/>
        </w:rPr>
        <w:t xml:space="preserve">, </w:t>
      </w:r>
      <w:r w:rsidRPr="002A6C53">
        <w:rPr>
          <w:rStyle w:val="af9"/>
          <w:rFonts w:hint="cs"/>
          <w:rtl/>
        </w:rPr>
        <w:t>דהרמב"ם</w:t>
      </w:r>
      <w:r>
        <w:rPr>
          <w:rFonts w:hint="cs"/>
          <w:rtl/>
        </w:rPr>
        <w:t xml:space="preserve"> ס"ל דדין אבר היוצא, הוא כאבר ובשר המדולדלין בבהמה דכתב </w:t>
      </w:r>
      <w:r w:rsidRPr="002A6C53">
        <w:rPr>
          <w:rStyle w:val="af9"/>
          <w:rFonts w:hint="cs"/>
          <w:rtl/>
        </w:rPr>
        <w:t>הרמב"ם</w:t>
      </w:r>
      <w:r>
        <w:rPr>
          <w:rFonts w:hint="cs"/>
          <w:rtl/>
        </w:rPr>
        <w:t xml:space="preserve"> </w:t>
      </w:r>
      <w:r w:rsidRPr="00BE5FC5">
        <w:rPr>
          <w:rStyle w:val="af7"/>
          <w:rFonts w:eastAsia="Guttman Hodes" w:hint="cs"/>
          <w:rtl/>
        </w:rPr>
        <w:t>(מאכ"א פ"ה ה"ו)</w:t>
      </w:r>
      <w:r>
        <w:rPr>
          <w:rFonts w:hint="cs"/>
          <w:rtl/>
        </w:rPr>
        <w:t xml:space="preserve"> דאם נחתכו מהבהמה אחר השחיטה אין לוקין עליהם, ואם מתה הבהמה לוקין עליהם דמיתה עושה ניפול, וה"ה לאבר היוצא דאם נשחטה האם אין לוקין עליו, וכתב </w:t>
      </w:r>
      <w:r w:rsidRPr="008E536B">
        <w:rPr>
          <w:rStyle w:val="af9"/>
          <w:rFonts w:hint="cs"/>
          <w:rtl/>
        </w:rPr>
        <w:t>המ"מ</w:t>
      </w:r>
      <w:r>
        <w:rPr>
          <w:rFonts w:hint="cs"/>
          <w:rtl/>
        </w:rPr>
        <w:t xml:space="preserve"> דכן מבואר מהא דדין אבר המדולדל בבהמה ודין אבר היוצא שניהם נלמדים מהפסו' "בשר בשדה טריפה", וכיון דבאבר המדולדל אין לוקין עליו אחר השחיטה, ה"ה באבר היוצא, והוסיף </w:t>
      </w:r>
      <w:r w:rsidRPr="002A6C53">
        <w:rPr>
          <w:rStyle w:val="af9"/>
          <w:rFonts w:hint="cs"/>
          <w:rtl/>
        </w:rPr>
        <w:t>המ"מ</w:t>
      </w:r>
      <w:r>
        <w:rPr>
          <w:rFonts w:hint="cs"/>
          <w:rtl/>
        </w:rPr>
        <w:t xml:space="preserve"> דכן מוכח בגמ' לקמן </w:t>
      </w:r>
      <w:r w:rsidRPr="00BE5FC5">
        <w:rPr>
          <w:rStyle w:val="af7"/>
          <w:rFonts w:eastAsia="Guttman Hodes" w:hint="cs"/>
          <w:rtl/>
        </w:rPr>
        <w:t>(עג.)</w:t>
      </w:r>
      <w:r>
        <w:rPr>
          <w:rFonts w:hint="cs"/>
          <w:rtl/>
        </w:rPr>
        <w:t xml:space="preserve"> דדימתה הגמ' את דין אבר המדולדל לאבר היוצא.</w:t>
      </w:r>
      <w:bookmarkEnd w:id="16220"/>
    </w:p>
    <w:p w14:paraId="31790744" w14:textId="77777777" w:rsidR="003D504D" w:rsidRDefault="003D504D" w:rsidP="003D504D">
      <w:pPr>
        <w:pStyle w:val="a3"/>
        <w:rPr>
          <w:rtl/>
        </w:rPr>
      </w:pPr>
      <w:bookmarkStart w:id="16225" w:name="_Toc535702448"/>
      <w:bookmarkStart w:id="16226" w:name="_Toc535750594"/>
    </w:p>
    <w:p w14:paraId="0B189ACA" w14:textId="77777777" w:rsidR="003D504D" w:rsidRDefault="003D504D" w:rsidP="003D504D">
      <w:pPr>
        <w:pStyle w:val="a3"/>
      </w:pPr>
      <w:bookmarkStart w:id="16227" w:name="_Toc19391140"/>
      <w:bookmarkStart w:id="16228" w:name="_Toc19394637"/>
      <w:r>
        <w:rPr>
          <w:rFonts w:hint="cs"/>
          <w:rtl/>
        </w:rPr>
        <w:t>ביאור המ"מ דס"ל להרמב"ם דאבר היוצא הוא כחצי שיעור דאסור מדאו' ואין בו מלקות</w:t>
      </w:r>
      <w:bookmarkEnd w:id="16225"/>
      <w:bookmarkEnd w:id="16226"/>
      <w:bookmarkEnd w:id="16227"/>
      <w:bookmarkEnd w:id="16228"/>
    </w:p>
    <w:p w14:paraId="49F6FE1D" w14:textId="77777777" w:rsidR="003D504D" w:rsidRDefault="003D504D" w:rsidP="00223668">
      <w:pPr>
        <w:pStyle w:val="a0"/>
        <w:rPr>
          <w:rtl/>
        </w:rPr>
      </w:pPr>
      <w:bookmarkStart w:id="16229" w:name="_Ref535745994"/>
      <w:r>
        <w:rPr>
          <w:rFonts w:hint="cs"/>
          <w:rtl/>
        </w:rPr>
        <w:t xml:space="preserve">וביאר </w:t>
      </w:r>
      <w:r w:rsidRPr="002A6C53">
        <w:rPr>
          <w:rStyle w:val="af9"/>
          <w:rFonts w:hint="cs"/>
          <w:rtl/>
        </w:rPr>
        <w:t>המ"מ</w:t>
      </w:r>
      <w:r>
        <w:rPr>
          <w:rFonts w:hint="cs"/>
          <w:rtl/>
        </w:rPr>
        <w:t xml:space="preserve"> דס"ל </w:t>
      </w:r>
      <w:r w:rsidRPr="00BE5FC5">
        <w:rPr>
          <w:rStyle w:val="af9"/>
          <w:rFonts w:hint="cs"/>
          <w:rtl/>
        </w:rPr>
        <w:t>להרמב"ם</w:t>
      </w:r>
      <w:r>
        <w:rPr>
          <w:rFonts w:hint="cs"/>
          <w:rtl/>
        </w:rPr>
        <w:t xml:space="preserve"> דדין אבר היוצא הוא כדין חצי שיעור, דאסור מדאו' אך אין לוקין עליו, ובמה שהשיג </w:t>
      </w:r>
      <w:r w:rsidRPr="003215EA">
        <w:rPr>
          <w:rStyle w:val="af9"/>
          <w:rFonts w:hint="cs"/>
          <w:rtl/>
        </w:rPr>
        <w:t>הראב"ד</w:t>
      </w:r>
      <w:r w:rsidRPr="00BE5FC5">
        <w:rPr>
          <w:rStyle w:val="af7"/>
          <w:rFonts w:eastAsia="Guttman Hodes" w:hint="cs"/>
          <w:rtl/>
        </w:rPr>
        <w:t xml:space="preserve"> (עי' אות </w:t>
      </w:r>
      <w:r w:rsidRPr="00BE5FC5">
        <w:rPr>
          <w:rStyle w:val="af7"/>
          <w:rFonts w:eastAsia="Guttman Hodes"/>
          <w:rtl/>
        </w:rPr>
        <w:fldChar w:fldCharType="begin"/>
      </w:r>
      <w:r w:rsidRPr="00BE5FC5">
        <w:rPr>
          <w:rStyle w:val="af7"/>
          <w:rFonts w:eastAsia="Guttman Hodes"/>
          <w:rtl/>
        </w:rPr>
        <w:instrText xml:space="preserve"> </w:instrText>
      </w:r>
      <w:r w:rsidRPr="00BE5FC5">
        <w:rPr>
          <w:rStyle w:val="af7"/>
          <w:rFonts w:eastAsia="Guttman Hodes" w:hint="cs"/>
        </w:rPr>
        <w:instrText>REF</w:instrText>
      </w:r>
      <w:r w:rsidRPr="00BE5FC5">
        <w:rPr>
          <w:rStyle w:val="af7"/>
          <w:rFonts w:eastAsia="Guttman Hodes" w:hint="cs"/>
          <w:rtl/>
        </w:rPr>
        <w:instrText xml:space="preserve"> _</w:instrText>
      </w:r>
      <w:r w:rsidRPr="00BE5FC5">
        <w:rPr>
          <w:rStyle w:val="af7"/>
          <w:rFonts w:eastAsia="Guttman Hodes" w:hint="cs"/>
        </w:rPr>
        <w:instrText>Ref535571895 \r \h</w:instrText>
      </w:r>
      <w:r w:rsidRPr="00BE5FC5">
        <w:rPr>
          <w:rStyle w:val="af7"/>
          <w:rFonts w:eastAsia="Guttman Hodes"/>
          <w:rtl/>
        </w:rPr>
        <w:instrText xml:space="preserve"> </w:instrText>
      </w:r>
      <w:r w:rsidRPr="00BE5FC5">
        <w:rPr>
          <w:rStyle w:val="af7"/>
          <w:rFonts w:eastAsia="Guttman Hodes"/>
          <w:rtl/>
        </w:rPr>
      </w:r>
      <w:r w:rsidRPr="00BE5FC5">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BE5FC5">
        <w:rPr>
          <w:rStyle w:val="af7"/>
          <w:rFonts w:eastAsia="Guttman Hodes"/>
          <w:rtl/>
        </w:rPr>
        <w:fldChar w:fldCharType="end"/>
      </w:r>
      <w:r>
        <w:rPr>
          <w:rFonts w:hint="cs"/>
          <w:rtl/>
        </w:rPr>
        <w:t xml:space="preserve"> </w:t>
      </w:r>
      <w:r w:rsidRPr="002A6C53">
        <w:rPr>
          <w:rStyle w:val="af9"/>
          <w:rFonts w:hint="cs"/>
          <w:rtl/>
        </w:rPr>
        <w:t>דהרמב"ם</w:t>
      </w:r>
      <w:r>
        <w:rPr>
          <w:rFonts w:hint="cs"/>
          <w:rtl/>
        </w:rPr>
        <w:t xml:space="preserve"> </w:t>
      </w:r>
      <w:r w:rsidRPr="00BE5FC5">
        <w:rPr>
          <w:rStyle w:val="af7"/>
          <w:rFonts w:eastAsia="Guttman Hodes" w:hint="cs"/>
          <w:rtl/>
        </w:rPr>
        <w:t xml:space="preserve">(עי' אות </w:t>
      </w:r>
      <w:r w:rsidRPr="00BE5FC5">
        <w:rPr>
          <w:rStyle w:val="af7"/>
          <w:rFonts w:eastAsia="Guttman Hodes"/>
          <w:rtl/>
        </w:rPr>
        <w:fldChar w:fldCharType="begin"/>
      </w:r>
      <w:r w:rsidRPr="00BE5FC5">
        <w:rPr>
          <w:rStyle w:val="af7"/>
          <w:rFonts w:eastAsia="Guttman Hodes"/>
          <w:rtl/>
        </w:rPr>
        <w:instrText xml:space="preserve"> </w:instrText>
      </w:r>
      <w:r w:rsidRPr="00BE5FC5">
        <w:rPr>
          <w:rStyle w:val="af7"/>
          <w:rFonts w:eastAsia="Guttman Hodes" w:hint="cs"/>
        </w:rPr>
        <w:instrText>REF</w:instrText>
      </w:r>
      <w:r w:rsidRPr="00BE5FC5">
        <w:rPr>
          <w:rStyle w:val="af7"/>
          <w:rFonts w:eastAsia="Guttman Hodes" w:hint="cs"/>
          <w:rtl/>
        </w:rPr>
        <w:instrText xml:space="preserve"> _</w:instrText>
      </w:r>
      <w:r w:rsidRPr="00BE5FC5">
        <w:rPr>
          <w:rStyle w:val="af7"/>
          <w:rFonts w:eastAsia="Guttman Hodes" w:hint="cs"/>
        </w:rPr>
        <w:instrText>Ref535695716 \r \h</w:instrText>
      </w:r>
      <w:r w:rsidRPr="00BE5FC5">
        <w:rPr>
          <w:rStyle w:val="af7"/>
          <w:rFonts w:eastAsia="Guttman Hodes"/>
          <w:rtl/>
        </w:rPr>
        <w:instrText xml:space="preserve"> </w:instrText>
      </w:r>
      <w:r w:rsidRPr="00BE5FC5">
        <w:rPr>
          <w:rStyle w:val="af7"/>
          <w:rFonts w:eastAsia="Guttman Hodes"/>
          <w:rtl/>
        </w:rPr>
      </w:r>
      <w:r w:rsidRPr="00BE5FC5">
        <w:rPr>
          <w:rStyle w:val="af7"/>
          <w:rFonts w:eastAsia="Guttman Hodes"/>
          <w:rtl/>
        </w:rPr>
        <w:fldChar w:fldCharType="separate"/>
      </w:r>
      <w:r w:rsidR="00345400">
        <w:rPr>
          <w:rStyle w:val="af7"/>
          <w:rFonts w:eastAsia="Guttman Hodes"/>
          <w:cs/>
        </w:rPr>
        <w:t>‎</w:t>
      </w:r>
      <w:r w:rsidR="00345400">
        <w:rPr>
          <w:rStyle w:val="af7"/>
          <w:rFonts w:eastAsia="Guttman Hodes"/>
          <w:rtl/>
        </w:rPr>
        <w:t>פט)</w:t>
      </w:r>
      <w:r w:rsidRPr="00BE5FC5">
        <w:rPr>
          <w:rStyle w:val="af7"/>
          <w:rFonts w:eastAsia="Guttman Hodes"/>
          <w:rtl/>
        </w:rPr>
        <w:fldChar w:fldCharType="end"/>
      </w:r>
      <w:r w:rsidRPr="00BE5FC5">
        <w:rPr>
          <w:rStyle w:val="af7"/>
          <w:rFonts w:eastAsia="Guttman Hodes" w:hint="cs"/>
          <w:rtl/>
        </w:rPr>
        <w:t xml:space="preserve"> </w:t>
      </w:r>
      <w:r>
        <w:rPr>
          <w:rFonts w:hint="cs"/>
          <w:rtl/>
        </w:rPr>
        <w:t xml:space="preserve">עצמו פסק שאף אם החזיר את האבר אחר השחיטה לוקה, כתב </w:t>
      </w:r>
      <w:r w:rsidRPr="002A6C53">
        <w:rPr>
          <w:rStyle w:val="af9"/>
          <w:rFonts w:hint="cs"/>
          <w:rtl/>
        </w:rPr>
        <w:t>המ"מ דהרמב"ם</w:t>
      </w:r>
      <w:r>
        <w:rPr>
          <w:rFonts w:hint="cs"/>
          <w:rtl/>
        </w:rPr>
        <w:t xml:space="preserve"> כתב דהאבר אסור אף אחר השחיטה, אך לא כתב </w:t>
      </w:r>
      <w:r w:rsidRPr="002A6C53">
        <w:rPr>
          <w:rStyle w:val="af9"/>
          <w:rFonts w:hint="cs"/>
          <w:rtl/>
        </w:rPr>
        <w:t>הרמב"ם</w:t>
      </w:r>
      <w:r>
        <w:rPr>
          <w:rFonts w:hint="cs"/>
          <w:rtl/>
        </w:rPr>
        <w:t xml:space="preserve"> דלוקין עליו, דס"ל דאסור מדאו' אך אין בו מלקות.</w:t>
      </w:r>
      <w:bookmarkEnd w:id="16229"/>
    </w:p>
    <w:p w14:paraId="237F8A5C" w14:textId="77777777" w:rsidR="003D504D" w:rsidRPr="00C750EA" w:rsidRDefault="003D504D" w:rsidP="00BF39B2">
      <w:pPr>
        <w:pStyle w:val="1"/>
        <w:rPr>
          <w:rtl/>
        </w:rPr>
      </w:pPr>
      <w:bookmarkStart w:id="16230" w:name="_Toc535750595"/>
      <w:bookmarkStart w:id="16231" w:name="_Toc19391141"/>
      <w:bookmarkStart w:id="16232" w:name="_Toc19394638"/>
      <w:r>
        <w:rPr>
          <w:rFonts w:hint="cs"/>
          <w:rtl/>
        </w:rPr>
        <w:t>ביאור הפר"ח דאין לוקין באבר היוצא דהוא לאו שבכללות</w:t>
      </w:r>
      <w:bookmarkEnd w:id="16230"/>
      <w:bookmarkEnd w:id="16231"/>
      <w:bookmarkEnd w:id="16232"/>
    </w:p>
    <w:p w14:paraId="6EEBAD82" w14:textId="77777777" w:rsidR="003D504D" w:rsidRDefault="003D504D" w:rsidP="003D504D">
      <w:pPr>
        <w:pStyle w:val="a3"/>
        <w:rPr>
          <w:rtl/>
        </w:rPr>
      </w:pPr>
      <w:bookmarkStart w:id="16233" w:name="_Toc535750596"/>
      <w:bookmarkStart w:id="16234" w:name="_Toc19391142"/>
      <w:bookmarkStart w:id="16235" w:name="_Toc19394639"/>
      <w:r>
        <w:rPr>
          <w:rFonts w:hint="cs"/>
          <w:rtl/>
        </w:rPr>
        <w:t>דברי הפר"ח דלדעת הרמב"ם אין לוקין באבר היוצא כיון שהוא לאו שבכללות</w:t>
      </w:r>
      <w:bookmarkEnd w:id="16233"/>
      <w:bookmarkEnd w:id="16234"/>
      <w:bookmarkEnd w:id="16235"/>
    </w:p>
    <w:p w14:paraId="626C3602" w14:textId="77777777" w:rsidR="003D504D" w:rsidRPr="00C750EA" w:rsidRDefault="003D504D" w:rsidP="00223668">
      <w:pPr>
        <w:pStyle w:val="a0"/>
        <w:rPr>
          <w:rtl/>
        </w:rPr>
      </w:pPr>
      <w:bookmarkStart w:id="16236" w:name="_Ref535745589"/>
      <w:r w:rsidRPr="00162BB9">
        <w:rPr>
          <w:rFonts w:hint="cs"/>
          <w:rtl/>
        </w:rPr>
        <w:t xml:space="preserve">אבל </w:t>
      </w:r>
      <w:r w:rsidRPr="00162BB9">
        <w:rPr>
          <w:rStyle w:val="af9"/>
          <w:rFonts w:hint="cs"/>
          <w:rtl/>
        </w:rPr>
        <w:t>הפר"ח</w:t>
      </w:r>
      <w:r w:rsidRPr="00162BB9">
        <w:rPr>
          <w:rFonts w:hint="cs"/>
          <w:rtl/>
        </w:rPr>
        <w:t xml:space="preserve"> </w:t>
      </w:r>
      <w:r w:rsidRPr="00162BB9">
        <w:rPr>
          <w:rStyle w:val="af7"/>
          <w:rFonts w:eastAsia="Guttman Hodes" w:hint="cs"/>
          <w:rtl/>
        </w:rPr>
        <w:t>(יו"ד סי' ס"ב סק"ז)</w:t>
      </w:r>
      <w:r w:rsidRPr="00162BB9">
        <w:rPr>
          <w:rFonts w:hint="cs"/>
          <w:rtl/>
        </w:rPr>
        <w:t xml:space="preserve"> דחה את דברי </w:t>
      </w:r>
      <w:r w:rsidRPr="00162BB9">
        <w:rPr>
          <w:rStyle w:val="af9"/>
          <w:rFonts w:hint="cs"/>
          <w:rtl/>
        </w:rPr>
        <w:t>המ"מ</w:t>
      </w:r>
      <w:r w:rsidRPr="00162BB9">
        <w:rPr>
          <w:rFonts w:hint="cs"/>
          <w:rtl/>
        </w:rPr>
        <w:t xml:space="preserve">, וכתב דאחר שיש ילפותא לאסור את האבר היוצא, א"כ הילפותא היא אף למלקות, וא"א לומר דדינו כחצי שיעור, </w:t>
      </w:r>
      <w:r w:rsidRPr="00162BB9">
        <w:rPr>
          <w:rStyle w:val="afb"/>
          <w:rFonts w:hint="cs"/>
          <w:rtl/>
        </w:rPr>
        <w:t>[עיי"ש במה שביאר דלא דמי לחצי שיעור],</w:t>
      </w:r>
      <w:r w:rsidRPr="00162BB9">
        <w:rPr>
          <w:rFonts w:hint="cs"/>
          <w:rtl/>
        </w:rPr>
        <w:t xml:space="preserve"> אלא ביאר </w:t>
      </w:r>
      <w:r w:rsidRPr="00162BB9">
        <w:rPr>
          <w:rStyle w:val="af9"/>
          <w:rFonts w:hint="cs"/>
          <w:rtl/>
        </w:rPr>
        <w:t>הפר"ח</w:t>
      </w:r>
      <w:r w:rsidRPr="00162BB9">
        <w:rPr>
          <w:rFonts w:hint="cs"/>
          <w:rtl/>
        </w:rPr>
        <w:t xml:space="preserve"> דס"ל </w:t>
      </w:r>
      <w:r w:rsidRPr="00162BB9">
        <w:rPr>
          <w:rStyle w:val="af9"/>
          <w:rFonts w:hint="cs"/>
          <w:rtl/>
        </w:rPr>
        <w:t>להרמב"ם</w:t>
      </w:r>
      <w:r w:rsidRPr="00162BB9">
        <w:rPr>
          <w:rFonts w:hint="cs"/>
          <w:rtl/>
        </w:rPr>
        <w:t xml:space="preserve"> דכיון שילפינן מהפסו' "בשר בשדה טריפה" גם את האיסור באבר היוצא, וגם את האיסור באבר </w:t>
      </w:r>
      <w:r w:rsidRPr="00C750EA">
        <w:rPr>
          <w:rFonts w:hint="cs"/>
          <w:rtl/>
        </w:rPr>
        <w:t xml:space="preserve">ובשר המדולדלין, הוי לאו שבכללות ואין לוקין עליו, וכ"כ </w:t>
      </w:r>
      <w:r w:rsidRPr="00C750EA">
        <w:rPr>
          <w:rStyle w:val="af9"/>
          <w:rFonts w:hint="cs"/>
          <w:rtl/>
        </w:rPr>
        <w:t>הגר"ח</w:t>
      </w:r>
      <w:r w:rsidRPr="00C750EA">
        <w:rPr>
          <w:rFonts w:hint="cs"/>
          <w:rtl/>
        </w:rPr>
        <w:t xml:space="preserve"> </w:t>
      </w:r>
      <w:r w:rsidRPr="00C750EA">
        <w:rPr>
          <w:rStyle w:val="af7"/>
          <w:rFonts w:eastAsia="Guttman Hodes" w:hint="cs"/>
          <w:rtl/>
        </w:rPr>
        <w:t xml:space="preserve">(עי' אות </w:t>
      </w:r>
      <w:r w:rsidRPr="00C750EA">
        <w:rPr>
          <w:rStyle w:val="af7"/>
          <w:rFonts w:eastAsia="Guttman Hodes"/>
          <w:rtl/>
        </w:rPr>
        <w:fldChar w:fldCharType="begin"/>
      </w:r>
      <w:r w:rsidRPr="00C750EA">
        <w:rPr>
          <w:rStyle w:val="af7"/>
          <w:rFonts w:eastAsia="Guttman Hodes"/>
          <w:rtl/>
        </w:rPr>
        <w:instrText xml:space="preserve"> </w:instrText>
      </w:r>
      <w:r w:rsidRPr="00C750EA">
        <w:rPr>
          <w:rStyle w:val="af7"/>
          <w:rFonts w:eastAsia="Guttman Hodes" w:hint="cs"/>
        </w:rPr>
        <w:instrText>REF</w:instrText>
      </w:r>
      <w:r w:rsidRPr="00C750EA">
        <w:rPr>
          <w:rStyle w:val="af7"/>
          <w:rFonts w:eastAsia="Guttman Hodes" w:hint="cs"/>
          <w:rtl/>
        </w:rPr>
        <w:instrText xml:space="preserve"> _</w:instrText>
      </w:r>
      <w:r w:rsidRPr="00C750EA">
        <w:rPr>
          <w:rStyle w:val="af7"/>
          <w:rFonts w:eastAsia="Guttman Hodes" w:hint="cs"/>
        </w:rPr>
        <w:instrText>Ref535745631 \r \h</w:instrText>
      </w:r>
      <w:r w:rsidRPr="00C750EA">
        <w:rPr>
          <w:rStyle w:val="af7"/>
          <w:rFonts w:eastAsia="Guttman Hodes"/>
          <w:rtl/>
        </w:rPr>
        <w:instrText xml:space="preserve">  \* </w:instrText>
      </w:r>
      <w:r w:rsidRPr="00C750EA">
        <w:rPr>
          <w:rStyle w:val="af7"/>
          <w:rFonts w:eastAsia="Guttman Hodes"/>
        </w:rPr>
        <w:instrText>MERGEFORMAT</w:instrText>
      </w:r>
      <w:r w:rsidRPr="00C750EA">
        <w:rPr>
          <w:rStyle w:val="af7"/>
          <w:rFonts w:eastAsia="Guttman Hodes"/>
          <w:rtl/>
        </w:rPr>
        <w:instrText xml:space="preserve"> </w:instrText>
      </w:r>
      <w:r w:rsidRPr="00C750EA">
        <w:rPr>
          <w:rStyle w:val="af7"/>
          <w:rFonts w:eastAsia="Guttman Hodes"/>
          <w:rtl/>
        </w:rPr>
      </w:r>
      <w:r w:rsidRPr="00C750EA">
        <w:rPr>
          <w:rStyle w:val="af7"/>
          <w:rFonts w:eastAsia="Guttman Hodes"/>
          <w:rtl/>
        </w:rPr>
        <w:fldChar w:fldCharType="separate"/>
      </w:r>
      <w:r w:rsidR="00345400">
        <w:rPr>
          <w:rStyle w:val="af7"/>
          <w:rFonts w:eastAsia="Guttman Hodes"/>
          <w:cs/>
        </w:rPr>
        <w:t>‎</w:t>
      </w:r>
      <w:r w:rsidR="00345400">
        <w:rPr>
          <w:rStyle w:val="af7"/>
          <w:rFonts w:eastAsia="Guttman Hodes"/>
          <w:rtl/>
        </w:rPr>
        <w:t>קטו)</w:t>
      </w:r>
      <w:r w:rsidRPr="00C750EA">
        <w:rPr>
          <w:rStyle w:val="af7"/>
          <w:rFonts w:eastAsia="Guttman Hodes"/>
          <w:rtl/>
        </w:rPr>
        <w:fldChar w:fldCharType="end"/>
      </w:r>
      <w:r w:rsidRPr="00C750EA">
        <w:rPr>
          <w:rFonts w:hint="cs"/>
          <w:rtl/>
        </w:rPr>
        <w:t xml:space="preserve">, וע"ע בדברי </w:t>
      </w:r>
      <w:r w:rsidRPr="00C750EA">
        <w:rPr>
          <w:rStyle w:val="af9"/>
          <w:rFonts w:hint="cs"/>
          <w:rtl/>
        </w:rPr>
        <w:t>התוס' במכות</w:t>
      </w:r>
      <w:r w:rsidRPr="00C750EA">
        <w:rPr>
          <w:rFonts w:hint="cs"/>
          <w:rtl/>
        </w:rPr>
        <w:t xml:space="preserve"> </w:t>
      </w:r>
      <w:r w:rsidRPr="00C750EA">
        <w:rPr>
          <w:rStyle w:val="af7"/>
          <w:rFonts w:eastAsia="Guttman Hodes" w:hint="cs"/>
          <w:rtl/>
        </w:rPr>
        <w:t>(יח. ד"ה ולילקי משום ובשר)</w:t>
      </w:r>
      <w:r w:rsidRPr="00C750EA">
        <w:rPr>
          <w:rFonts w:hint="cs"/>
          <w:rtl/>
        </w:rPr>
        <w:t xml:space="preserve"> דכתבו דדין "בשר בשדה טריפה" לא חשיב כלאו שבכללות, עיי"ש בדבריהם, </w:t>
      </w:r>
      <w:r w:rsidRPr="00C750EA">
        <w:rPr>
          <w:rStyle w:val="af9"/>
          <w:rFonts w:hint="cs"/>
          <w:rtl/>
        </w:rPr>
        <w:t>ובתוס' ביומא</w:t>
      </w:r>
      <w:r w:rsidRPr="00C750EA">
        <w:rPr>
          <w:rFonts w:hint="cs"/>
          <w:rtl/>
        </w:rPr>
        <w:t xml:space="preserve"> </w:t>
      </w:r>
      <w:r w:rsidRPr="00C750EA">
        <w:rPr>
          <w:rStyle w:val="af7"/>
          <w:rFonts w:eastAsia="Guttman Hodes" w:hint="cs"/>
          <w:rtl/>
        </w:rPr>
        <w:t>(לו: ד"ה לאו דנבילה)</w:t>
      </w:r>
      <w:r w:rsidRPr="00C750EA">
        <w:rPr>
          <w:rFonts w:hint="cs"/>
          <w:rtl/>
        </w:rPr>
        <w:t xml:space="preserve"> במ"ש בזה.</w:t>
      </w:r>
      <w:bookmarkEnd w:id="16236"/>
    </w:p>
    <w:p w14:paraId="6C60C636" w14:textId="77777777" w:rsidR="003D504D" w:rsidRPr="005440FA" w:rsidRDefault="003D504D" w:rsidP="00BF39B2">
      <w:pPr>
        <w:pStyle w:val="1"/>
        <w:rPr>
          <w:rtl/>
        </w:rPr>
      </w:pPr>
      <w:bookmarkStart w:id="16237" w:name="_Toc535750597"/>
      <w:bookmarkStart w:id="16238" w:name="_Toc19391143"/>
      <w:bookmarkStart w:id="16239" w:name="_Toc19394640"/>
      <w:r>
        <w:rPr>
          <w:rFonts w:hint="cs"/>
          <w:rtl/>
        </w:rPr>
        <w:t>דברי הכס"מ דלהרמב"ם לוקין מדין טריפה ויש בו ב' איסורים</w:t>
      </w:r>
      <w:bookmarkEnd w:id="16237"/>
      <w:bookmarkEnd w:id="16238"/>
      <w:bookmarkEnd w:id="16239"/>
    </w:p>
    <w:p w14:paraId="57A0FD80" w14:textId="77777777" w:rsidR="003D504D" w:rsidRDefault="003D504D" w:rsidP="003D504D">
      <w:pPr>
        <w:pStyle w:val="a3"/>
        <w:rPr>
          <w:rtl/>
        </w:rPr>
      </w:pPr>
      <w:bookmarkStart w:id="16240" w:name="_Toc535750598"/>
      <w:bookmarkStart w:id="16241" w:name="_Toc19391144"/>
      <w:bookmarkStart w:id="16242" w:name="_Toc19394641"/>
      <w:r>
        <w:rPr>
          <w:rFonts w:hint="cs"/>
          <w:rtl/>
        </w:rPr>
        <w:t>קושית הכס"מ דהרמב"ם כתב דאבר היוצא אסור מדין טריפה ואח"כ כתב דלוקין מדין אבמה"ח</w:t>
      </w:r>
      <w:bookmarkEnd w:id="16240"/>
      <w:bookmarkEnd w:id="16241"/>
      <w:bookmarkEnd w:id="16242"/>
    </w:p>
    <w:p w14:paraId="562A0951" w14:textId="77777777" w:rsidR="003D504D" w:rsidRDefault="003D504D" w:rsidP="00223668">
      <w:pPr>
        <w:pStyle w:val="a0"/>
      </w:pPr>
      <w:bookmarkStart w:id="16243" w:name="_Toc535702449"/>
      <w:r>
        <w:rPr>
          <w:rFonts w:hint="cs"/>
          <w:rtl/>
        </w:rPr>
        <w:t xml:space="preserve">הקשה </w:t>
      </w:r>
      <w:r w:rsidRPr="00362361">
        <w:rPr>
          <w:rStyle w:val="af9"/>
          <w:rFonts w:hint="cs"/>
          <w:rtl/>
        </w:rPr>
        <w:t>הכס"מ</w:t>
      </w:r>
      <w:r>
        <w:rPr>
          <w:rFonts w:hint="cs"/>
          <w:rtl/>
        </w:rPr>
        <w:t xml:space="preserve"> </w:t>
      </w:r>
      <w:r w:rsidRPr="00362361">
        <w:rPr>
          <w:rStyle w:val="af7"/>
          <w:rFonts w:eastAsia="Guttman Hodes" w:hint="cs"/>
          <w:rtl/>
        </w:rPr>
        <w:t>(מאכ"א פ"ה הי"א)</w:t>
      </w:r>
      <w:r>
        <w:rPr>
          <w:rFonts w:hint="cs"/>
          <w:rtl/>
        </w:rPr>
        <w:t xml:space="preserve"> דהיאך כתב </w:t>
      </w:r>
      <w:r w:rsidRPr="00362361">
        <w:rPr>
          <w:rStyle w:val="af9"/>
          <w:rFonts w:hint="cs"/>
          <w:rtl/>
        </w:rPr>
        <w:t>הרמב"ם</w:t>
      </w:r>
      <w:r>
        <w:rPr>
          <w:rFonts w:hint="cs"/>
          <w:rtl/>
        </w:rPr>
        <w:t xml:space="preserve"> </w:t>
      </w:r>
      <w:r w:rsidRPr="00362361">
        <w:rPr>
          <w:rStyle w:val="af7"/>
          <w:rFonts w:eastAsia="Guttman Hodes" w:hint="cs"/>
          <w:rtl/>
        </w:rPr>
        <w:t xml:space="preserve">(עי' אות </w:t>
      </w:r>
      <w:r w:rsidRPr="00362361">
        <w:rPr>
          <w:rStyle w:val="af7"/>
          <w:rFonts w:eastAsia="Guttman Hodes"/>
          <w:rtl/>
        </w:rPr>
        <w:fldChar w:fldCharType="begin"/>
      </w:r>
      <w:r w:rsidRPr="00362361">
        <w:rPr>
          <w:rStyle w:val="af7"/>
          <w:rFonts w:eastAsia="Guttman Hodes"/>
          <w:rtl/>
        </w:rPr>
        <w:instrText xml:space="preserve"> </w:instrText>
      </w:r>
      <w:r w:rsidRPr="00362361">
        <w:rPr>
          <w:rStyle w:val="af7"/>
          <w:rFonts w:eastAsia="Guttman Hodes" w:hint="cs"/>
        </w:rPr>
        <w:instrText>REF</w:instrText>
      </w:r>
      <w:r w:rsidRPr="00362361">
        <w:rPr>
          <w:rStyle w:val="af7"/>
          <w:rFonts w:eastAsia="Guttman Hodes" w:hint="cs"/>
          <w:rtl/>
        </w:rPr>
        <w:instrText xml:space="preserve"> _</w:instrText>
      </w:r>
      <w:r w:rsidRPr="00362361">
        <w:rPr>
          <w:rStyle w:val="af7"/>
          <w:rFonts w:eastAsia="Guttman Hodes" w:hint="cs"/>
        </w:rPr>
        <w:instrText>Ref535312984 \r \h</w:instrText>
      </w:r>
      <w:r w:rsidRPr="00362361">
        <w:rPr>
          <w:rStyle w:val="af7"/>
          <w:rFonts w:eastAsia="Guttman Hodes"/>
          <w:rtl/>
        </w:rPr>
        <w:instrText xml:space="preserve"> </w:instrText>
      </w:r>
      <w:r w:rsidRPr="00362361">
        <w:rPr>
          <w:rStyle w:val="af7"/>
          <w:rFonts w:eastAsia="Guttman Hodes"/>
          <w:rtl/>
        </w:rPr>
      </w:r>
      <w:r w:rsidRPr="00362361">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362361">
        <w:rPr>
          <w:rStyle w:val="af7"/>
          <w:rFonts w:eastAsia="Guttman Hodes"/>
          <w:rtl/>
        </w:rPr>
        <w:fldChar w:fldCharType="end"/>
      </w:r>
      <w:r>
        <w:rPr>
          <w:rFonts w:hint="cs"/>
          <w:rtl/>
        </w:rPr>
        <w:t xml:space="preserve"> דלוקין על אבר היוצא מדין אבר מן החי, הא כבר כתב </w:t>
      </w:r>
      <w:r w:rsidRPr="00362361">
        <w:rPr>
          <w:rStyle w:val="af9"/>
          <w:rFonts w:hint="cs"/>
          <w:rtl/>
        </w:rPr>
        <w:t>הרמב"ם</w:t>
      </w:r>
      <w:r>
        <w:rPr>
          <w:rFonts w:hint="cs"/>
          <w:rtl/>
        </w:rPr>
        <w:t xml:space="preserve"> </w:t>
      </w:r>
      <w:r w:rsidRPr="00362361">
        <w:rPr>
          <w:rStyle w:val="af7"/>
          <w:rFonts w:eastAsia="Guttman Hodes" w:hint="cs"/>
          <w:rtl/>
        </w:rPr>
        <w:t xml:space="preserve">(עי' אות </w:t>
      </w:r>
      <w:r w:rsidRPr="00362361">
        <w:rPr>
          <w:rStyle w:val="af7"/>
          <w:rFonts w:eastAsia="Guttman Hodes"/>
          <w:rtl/>
        </w:rPr>
        <w:fldChar w:fldCharType="begin"/>
      </w:r>
      <w:r w:rsidRPr="00362361">
        <w:rPr>
          <w:rStyle w:val="af7"/>
          <w:rFonts w:eastAsia="Guttman Hodes"/>
          <w:rtl/>
        </w:rPr>
        <w:instrText xml:space="preserve"> </w:instrText>
      </w:r>
      <w:r w:rsidRPr="00362361">
        <w:rPr>
          <w:rStyle w:val="af7"/>
          <w:rFonts w:eastAsia="Guttman Hodes" w:hint="cs"/>
        </w:rPr>
        <w:instrText>REF</w:instrText>
      </w:r>
      <w:r w:rsidRPr="00362361">
        <w:rPr>
          <w:rStyle w:val="af7"/>
          <w:rFonts w:eastAsia="Guttman Hodes" w:hint="cs"/>
          <w:rtl/>
        </w:rPr>
        <w:instrText xml:space="preserve"> _</w:instrText>
      </w:r>
      <w:r w:rsidRPr="00362361">
        <w:rPr>
          <w:rStyle w:val="af7"/>
          <w:rFonts w:eastAsia="Guttman Hodes" w:hint="cs"/>
        </w:rPr>
        <w:instrText>Ref535695716 \r \h</w:instrText>
      </w:r>
      <w:r w:rsidRPr="00362361">
        <w:rPr>
          <w:rStyle w:val="af7"/>
          <w:rFonts w:eastAsia="Guttman Hodes"/>
          <w:rtl/>
        </w:rPr>
        <w:instrText xml:space="preserve"> </w:instrText>
      </w:r>
      <w:r w:rsidRPr="00362361">
        <w:rPr>
          <w:rStyle w:val="af7"/>
          <w:rFonts w:eastAsia="Guttman Hodes"/>
          <w:rtl/>
        </w:rPr>
      </w:r>
      <w:r w:rsidRPr="00362361">
        <w:rPr>
          <w:rStyle w:val="af7"/>
          <w:rFonts w:eastAsia="Guttman Hodes"/>
          <w:rtl/>
        </w:rPr>
        <w:fldChar w:fldCharType="separate"/>
      </w:r>
      <w:r w:rsidR="00345400">
        <w:rPr>
          <w:rStyle w:val="af7"/>
          <w:rFonts w:eastAsia="Guttman Hodes"/>
          <w:cs/>
        </w:rPr>
        <w:t>‎</w:t>
      </w:r>
      <w:r w:rsidR="00345400">
        <w:rPr>
          <w:rStyle w:val="af7"/>
          <w:rFonts w:eastAsia="Guttman Hodes"/>
          <w:rtl/>
        </w:rPr>
        <w:t>פט)</w:t>
      </w:r>
      <w:r w:rsidRPr="00362361">
        <w:rPr>
          <w:rStyle w:val="af7"/>
          <w:rFonts w:eastAsia="Guttman Hodes"/>
          <w:rtl/>
        </w:rPr>
        <w:fldChar w:fldCharType="end"/>
      </w:r>
      <w:r>
        <w:rPr>
          <w:rFonts w:hint="cs"/>
          <w:rtl/>
        </w:rPr>
        <w:t xml:space="preserve"> דאיסורו הוא מדין "בשר בשדה טריפה".</w:t>
      </w:r>
    </w:p>
    <w:p w14:paraId="25B43EE5" w14:textId="77777777" w:rsidR="003D504D" w:rsidRDefault="003D504D" w:rsidP="003D504D">
      <w:pPr>
        <w:pStyle w:val="a3"/>
        <w:rPr>
          <w:rtl/>
        </w:rPr>
      </w:pPr>
      <w:bookmarkStart w:id="16244" w:name="_Toc535750599"/>
      <w:bookmarkStart w:id="16245" w:name="_Toc19391145"/>
      <w:bookmarkStart w:id="16246" w:name="_Toc19394642"/>
      <w:r>
        <w:rPr>
          <w:rFonts w:hint="cs"/>
          <w:rtl/>
        </w:rPr>
        <w:t>דברי הלח"מ דס"ל להרמב"ם שהאבר אסור גם באבמה"ח וגם באיסור טריפה</w:t>
      </w:r>
      <w:bookmarkEnd w:id="16244"/>
      <w:bookmarkEnd w:id="16245"/>
      <w:bookmarkEnd w:id="16246"/>
      <w:r>
        <w:rPr>
          <w:rFonts w:hint="cs"/>
          <w:rtl/>
        </w:rPr>
        <w:t xml:space="preserve"> </w:t>
      </w:r>
    </w:p>
    <w:p w14:paraId="0EDDA233" w14:textId="77777777" w:rsidR="003D504D" w:rsidRDefault="003D504D" w:rsidP="00223668">
      <w:pPr>
        <w:pStyle w:val="a0"/>
        <w:rPr>
          <w:rtl/>
        </w:rPr>
      </w:pPr>
      <w:r>
        <w:rPr>
          <w:rFonts w:hint="cs"/>
          <w:rtl/>
        </w:rPr>
        <w:t xml:space="preserve">ותירץ </w:t>
      </w:r>
      <w:r w:rsidRPr="00362361">
        <w:rPr>
          <w:rStyle w:val="af9"/>
          <w:rFonts w:hint="cs"/>
          <w:rtl/>
        </w:rPr>
        <w:t>הכס"מ</w:t>
      </w:r>
      <w:r>
        <w:rPr>
          <w:rFonts w:hint="cs"/>
          <w:rtl/>
        </w:rPr>
        <w:t xml:space="preserve"> דס"ל </w:t>
      </w:r>
      <w:r w:rsidRPr="00362361">
        <w:rPr>
          <w:rStyle w:val="af9"/>
          <w:rFonts w:hint="cs"/>
          <w:rtl/>
        </w:rPr>
        <w:t>להרמב"ם</w:t>
      </w:r>
      <w:r>
        <w:rPr>
          <w:rFonts w:hint="cs"/>
          <w:rtl/>
        </w:rPr>
        <w:t xml:space="preserve"> דיש באבר היוצא ב' איסורים, גם אבר מן החי, וגם "בשר בשדה טריפה", ועי' במ"ש </w:t>
      </w:r>
      <w:r w:rsidRPr="00362361">
        <w:rPr>
          <w:rStyle w:val="af9"/>
          <w:rFonts w:hint="cs"/>
          <w:rtl/>
        </w:rPr>
        <w:t>הגר"ח</w:t>
      </w:r>
      <w:r>
        <w:rPr>
          <w:rFonts w:hint="cs"/>
          <w:rtl/>
        </w:rPr>
        <w:t xml:space="preserve"> </w:t>
      </w:r>
      <w:r w:rsidRPr="00362361">
        <w:rPr>
          <w:rStyle w:val="af7"/>
          <w:rFonts w:eastAsia="Guttman Hodes" w:hint="cs"/>
          <w:rtl/>
        </w:rPr>
        <w:t xml:space="preserve">(עי' אות </w:t>
      </w:r>
      <w:r w:rsidRPr="00362361">
        <w:rPr>
          <w:rStyle w:val="af7"/>
          <w:rFonts w:eastAsia="Guttman Hodes"/>
          <w:rtl/>
        </w:rPr>
        <w:fldChar w:fldCharType="begin"/>
      </w:r>
      <w:r w:rsidRPr="00362361">
        <w:rPr>
          <w:rStyle w:val="af7"/>
          <w:rFonts w:eastAsia="Guttman Hodes"/>
          <w:rtl/>
        </w:rPr>
        <w:instrText xml:space="preserve"> </w:instrText>
      </w:r>
      <w:r w:rsidRPr="00362361">
        <w:rPr>
          <w:rStyle w:val="af7"/>
          <w:rFonts w:eastAsia="Guttman Hodes" w:hint="cs"/>
        </w:rPr>
        <w:instrText>REF</w:instrText>
      </w:r>
      <w:r w:rsidRPr="00362361">
        <w:rPr>
          <w:rStyle w:val="af7"/>
          <w:rFonts w:eastAsia="Guttman Hodes" w:hint="cs"/>
          <w:rtl/>
        </w:rPr>
        <w:instrText xml:space="preserve"> _</w:instrText>
      </w:r>
      <w:r w:rsidRPr="00362361">
        <w:rPr>
          <w:rStyle w:val="af7"/>
          <w:rFonts w:eastAsia="Guttman Hodes" w:hint="cs"/>
        </w:rPr>
        <w:instrText>Ref535742844 \r \h</w:instrText>
      </w:r>
      <w:r w:rsidRPr="00362361">
        <w:rPr>
          <w:rStyle w:val="af7"/>
          <w:rFonts w:eastAsia="Guttman Hodes"/>
          <w:rtl/>
        </w:rPr>
        <w:instrText xml:space="preserve"> </w:instrText>
      </w:r>
      <w:r w:rsidRPr="00362361">
        <w:rPr>
          <w:rStyle w:val="af7"/>
          <w:rFonts w:eastAsia="Guttman Hodes"/>
          <w:rtl/>
        </w:rPr>
      </w:r>
      <w:r w:rsidRPr="00362361">
        <w:rPr>
          <w:rStyle w:val="af7"/>
          <w:rFonts w:eastAsia="Guttman Hodes"/>
          <w:rtl/>
        </w:rPr>
        <w:fldChar w:fldCharType="separate"/>
      </w:r>
      <w:r w:rsidR="00345400">
        <w:rPr>
          <w:rStyle w:val="af7"/>
          <w:rFonts w:eastAsia="Guttman Hodes"/>
          <w:cs/>
        </w:rPr>
        <w:t>‎</w:t>
      </w:r>
      <w:r w:rsidR="00345400">
        <w:rPr>
          <w:rStyle w:val="af7"/>
          <w:rFonts w:eastAsia="Guttman Hodes"/>
          <w:rtl/>
        </w:rPr>
        <w:t>קיג)</w:t>
      </w:r>
      <w:r w:rsidRPr="00362361">
        <w:rPr>
          <w:rStyle w:val="af7"/>
          <w:rFonts w:eastAsia="Guttman Hodes"/>
          <w:rtl/>
        </w:rPr>
        <w:fldChar w:fldCharType="end"/>
      </w:r>
      <w:r>
        <w:rPr>
          <w:rFonts w:hint="cs"/>
          <w:rtl/>
        </w:rPr>
        <w:t xml:space="preserve"> בזה.</w:t>
      </w:r>
    </w:p>
    <w:p w14:paraId="67A42B2F" w14:textId="77777777" w:rsidR="003D504D" w:rsidRDefault="003D504D" w:rsidP="003D504D">
      <w:pPr>
        <w:pStyle w:val="a3"/>
        <w:rPr>
          <w:rtl/>
        </w:rPr>
      </w:pPr>
      <w:bookmarkStart w:id="16247" w:name="_Toc535750600"/>
      <w:bookmarkStart w:id="16248" w:name="_Toc19391146"/>
      <w:bookmarkStart w:id="16249" w:name="_Toc19394643"/>
      <w:r>
        <w:rPr>
          <w:rFonts w:hint="cs"/>
          <w:rtl/>
        </w:rPr>
        <w:t>דברי הפרמ"ג דלהכס"מ בדעת הרמב"ם אף אחר שחיטה לוקין על האבר מדין טריפה ולא מאבמה"ח</w:t>
      </w:r>
      <w:bookmarkEnd w:id="16247"/>
      <w:bookmarkEnd w:id="16248"/>
      <w:bookmarkEnd w:id="16249"/>
    </w:p>
    <w:p w14:paraId="20198DCE" w14:textId="77777777" w:rsidR="003D504D" w:rsidRDefault="003D504D" w:rsidP="00223668">
      <w:pPr>
        <w:pStyle w:val="a0"/>
        <w:rPr>
          <w:rtl/>
        </w:rPr>
      </w:pPr>
      <w:bookmarkStart w:id="16250" w:name="_Ref535745699"/>
      <w:r>
        <w:rPr>
          <w:rFonts w:hint="cs"/>
          <w:rtl/>
        </w:rPr>
        <w:t xml:space="preserve">וביאר </w:t>
      </w:r>
      <w:r>
        <w:rPr>
          <w:rStyle w:val="af9"/>
          <w:rtl/>
        </w:rPr>
        <w:t>הפרמ"ג</w:t>
      </w:r>
      <w:r>
        <w:rPr>
          <w:rFonts w:hint="cs"/>
          <w:rtl/>
        </w:rPr>
        <w:t xml:space="preserve"> </w:t>
      </w:r>
      <w:r>
        <w:rPr>
          <w:rStyle w:val="af7"/>
          <w:rFonts w:eastAsia="Guttman Hodes" w:hint="cs"/>
          <w:rtl/>
        </w:rPr>
        <w:t xml:space="preserve">(סי' י"ד משב"ז סק"ב) </w:t>
      </w:r>
      <w:r>
        <w:rPr>
          <w:rFonts w:hint="cs"/>
          <w:rtl/>
        </w:rPr>
        <w:t xml:space="preserve">דס"ל </w:t>
      </w:r>
      <w:r>
        <w:rPr>
          <w:rStyle w:val="af9"/>
          <w:rFonts w:hint="cs"/>
          <w:rtl/>
        </w:rPr>
        <w:t>ל</w:t>
      </w:r>
      <w:r>
        <w:rPr>
          <w:rStyle w:val="af9"/>
          <w:rtl/>
        </w:rPr>
        <w:t>הכס"מ</w:t>
      </w:r>
      <w:r>
        <w:rPr>
          <w:rFonts w:hint="cs"/>
          <w:rtl/>
        </w:rPr>
        <w:t xml:space="preserve"> דאף לדעת </w:t>
      </w:r>
      <w:r>
        <w:rPr>
          <w:rStyle w:val="af9"/>
          <w:rtl/>
        </w:rPr>
        <w:t>הרמב"ם</w:t>
      </w:r>
      <w:r>
        <w:rPr>
          <w:rFonts w:hint="cs"/>
          <w:rtl/>
        </w:rPr>
        <w:t xml:space="preserve"> לוקין על האבר היוצא בחתכו אחר השחיטה, אלא דהמלקות הם מדין טריפה ולא מדין אבר מן החי, וכדעת </w:t>
      </w:r>
      <w:r>
        <w:rPr>
          <w:rStyle w:val="af9"/>
          <w:rtl/>
        </w:rPr>
        <w:t>הראב"ד</w:t>
      </w:r>
      <w:r>
        <w:rPr>
          <w:rFonts w:hint="cs"/>
          <w:rtl/>
        </w:rPr>
        <w:t>.</w:t>
      </w:r>
      <w:bookmarkEnd w:id="16250"/>
    </w:p>
    <w:p w14:paraId="0F61E89D" w14:textId="77777777" w:rsidR="003D504D" w:rsidRDefault="003D504D" w:rsidP="00BF39B2">
      <w:pPr>
        <w:pStyle w:val="1"/>
        <w:rPr>
          <w:rtl/>
        </w:rPr>
      </w:pPr>
      <w:bookmarkStart w:id="16251" w:name="_Toc535750601"/>
      <w:bookmarkStart w:id="16252" w:name="_Toc19391147"/>
      <w:bookmarkStart w:id="16253" w:name="_Toc19394644"/>
      <w:r>
        <w:rPr>
          <w:rFonts w:hint="cs"/>
          <w:rtl/>
        </w:rPr>
        <w:t>ביאור הלח"מ בדברי הרמב"ם והראב"ד</w:t>
      </w:r>
      <w:bookmarkEnd w:id="16251"/>
      <w:bookmarkEnd w:id="16252"/>
      <w:bookmarkEnd w:id="16253"/>
    </w:p>
    <w:p w14:paraId="3A257B2B" w14:textId="77777777" w:rsidR="003D504D" w:rsidRDefault="003D504D" w:rsidP="003D504D">
      <w:pPr>
        <w:pStyle w:val="a3"/>
        <w:rPr>
          <w:rtl/>
        </w:rPr>
      </w:pPr>
      <w:bookmarkStart w:id="16254" w:name="_Toc535750602"/>
      <w:bookmarkStart w:id="16255" w:name="_Toc19391148"/>
      <w:bookmarkStart w:id="16256" w:name="_Toc19394645"/>
      <w:r>
        <w:rPr>
          <w:rFonts w:hint="cs"/>
          <w:rtl/>
        </w:rPr>
        <w:t>ביאור הלח"מ בקושית הראב"ד דאף דלוקין מטריפה לא היה להרמב"ם לומר דאין לוקין מאבמה"ח</w:t>
      </w:r>
      <w:bookmarkEnd w:id="16254"/>
      <w:bookmarkEnd w:id="16255"/>
      <w:bookmarkEnd w:id="16256"/>
    </w:p>
    <w:p w14:paraId="4AF2F9EF" w14:textId="77777777" w:rsidR="003D504D" w:rsidRDefault="003D504D" w:rsidP="00223668">
      <w:pPr>
        <w:pStyle w:val="a0"/>
        <w:rPr>
          <w:rtl/>
        </w:rPr>
      </w:pPr>
      <w:r>
        <w:rPr>
          <w:rFonts w:hint="cs"/>
          <w:rtl/>
        </w:rPr>
        <w:t xml:space="preserve">במה שהשיג </w:t>
      </w:r>
      <w:r w:rsidRPr="0054441A">
        <w:rPr>
          <w:rStyle w:val="af9"/>
          <w:rFonts w:hint="cs"/>
          <w:rtl/>
        </w:rPr>
        <w:t>הראב"ד</w:t>
      </w:r>
      <w:r>
        <w:rPr>
          <w:rFonts w:hint="cs"/>
          <w:rtl/>
        </w:rPr>
        <w:t xml:space="preserve"> </w:t>
      </w:r>
      <w:r w:rsidRPr="00BE5FC5">
        <w:rPr>
          <w:rStyle w:val="af7"/>
          <w:rFonts w:eastAsia="Guttman Hodes" w:hint="cs"/>
          <w:rtl/>
        </w:rPr>
        <w:t xml:space="preserve">(עי' אות </w:t>
      </w:r>
      <w:r w:rsidRPr="00BE5FC5">
        <w:rPr>
          <w:rStyle w:val="af7"/>
          <w:rFonts w:eastAsia="Guttman Hodes"/>
          <w:rtl/>
        </w:rPr>
        <w:fldChar w:fldCharType="begin"/>
      </w:r>
      <w:r w:rsidRPr="00BE5FC5">
        <w:rPr>
          <w:rStyle w:val="af7"/>
          <w:rFonts w:eastAsia="Guttman Hodes"/>
          <w:rtl/>
        </w:rPr>
        <w:instrText xml:space="preserve"> </w:instrText>
      </w:r>
      <w:r w:rsidRPr="00BE5FC5">
        <w:rPr>
          <w:rStyle w:val="af7"/>
          <w:rFonts w:eastAsia="Guttman Hodes" w:hint="cs"/>
        </w:rPr>
        <w:instrText>REF</w:instrText>
      </w:r>
      <w:r w:rsidRPr="00BE5FC5">
        <w:rPr>
          <w:rStyle w:val="af7"/>
          <w:rFonts w:eastAsia="Guttman Hodes" w:hint="cs"/>
          <w:rtl/>
        </w:rPr>
        <w:instrText xml:space="preserve"> _</w:instrText>
      </w:r>
      <w:r w:rsidRPr="00BE5FC5">
        <w:rPr>
          <w:rStyle w:val="af7"/>
          <w:rFonts w:eastAsia="Guttman Hodes" w:hint="cs"/>
        </w:rPr>
        <w:instrText>Ref535571895 \r \h</w:instrText>
      </w:r>
      <w:r w:rsidRPr="00BE5FC5">
        <w:rPr>
          <w:rStyle w:val="af7"/>
          <w:rFonts w:eastAsia="Guttman Hodes"/>
          <w:rtl/>
        </w:rPr>
        <w:instrText xml:space="preserve"> </w:instrText>
      </w:r>
      <w:r w:rsidRPr="00BE5FC5">
        <w:rPr>
          <w:rStyle w:val="af7"/>
          <w:rFonts w:eastAsia="Guttman Hodes"/>
          <w:rtl/>
        </w:rPr>
      </w:r>
      <w:r w:rsidRPr="00BE5FC5">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BE5FC5">
        <w:rPr>
          <w:rStyle w:val="af7"/>
          <w:rFonts w:eastAsia="Guttman Hodes"/>
          <w:rtl/>
        </w:rPr>
        <w:fldChar w:fldCharType="end"/>
      </w:r>
      <w:r>
        <w:rPr>
          <w:rFonts w:hint="cs"/>
          <w:rtl/>
        </w:rPr>
        <w:t xml:space="preserve"> דהיה </w:t>
      </w:r>
      <w:r w:rsidRPr="0054441A">
        <w:rPr>
          <w:rStyle w:val="af9"/>
          <w:rFonts w:hint="cs"/>
          <w:rtl/>
        </w:rPr>
        <w:t>להרמב"ם</w:t>
      </w:r>
      <w:r>
        <w:rPr>
          <w:rFonts w:hint="cs"/>
          <w:rtl/>
        </w:rPr>
        <w:t xml:space="preserve"> לומר דלוקה משום טריפה, ביאר ה</w:t>
      </w:r>
      <w:r w:rsidRPr="0054441A">
        <w:rPr>
          <w:rStyle w:val="af9"/>
          <w:rFonts w:hint="cs"/>
          <w:rtl/>
        </w:rPr>
        <w:t>לח"מ</w:t>
      </w:r>
      <w:r>
        <w:rPr>
          <w:rFonts w:hint="cs"/>
          <w:rtl/>
        </w:rPr>
        <w:t xml:space="preserve"> </w:t>
      </w:r>
      <w:r w:rsidRPr="00BE5FC5">
        <w:rPr>
          <w:rStyle w:val="af7"/>
          <w:rFonts w:eastAsia="Guttman Hodes" w:hint="cs"/>
          <w:rtl/>
        </w:rPr>
        <w:t>(מאכ"א פ"ה הי"א</w:t>
      </w:r>
      <w:r>
        <w:rPr>
          <w:rStyle w:val="af7"/>
          <w:rFonts w:eastAsia="Guttman Hodes" w:hint="cs"/>
          <w:rtl/>
        </w:rPr>
        <w:t xml:space="preserve"> ד"ה ואם נחתך</w:t>
      </w:r>
      <w:r w:rsidRPr="00BE5FC5">
        <w:rPr>
          <w:rStyle w:val="af7"/>
          <w:rFonts w:eastAsia="Guttman Hodes" w:hint="cs"/>
          <w:rtl/>
        </w:rPr>
        <w:t>)</w:t>
      </w:r>
      <w:r>
        <w:rPr>
          <w:rFonts w:hint="cs"/>
          <w:rtl/>
        </w:rPr>
        <w:t xml:space="preserve"> דכוונת </w:t>
      </w:r>
      <w:r w:rsidRPr="0054441A">
        <w:rPr>
          <w:rStyle w:val="af9"/>
          <w:rFonts w:hint="cs"/>
          <w:rtl/>
        </w:rPr>
        <w:t>הראב"ד</w:t>
      </w:r>
      <w:r>
        <w:rPr>
          <w:rFonts w:hint="cs"/>
          <w:rtl/>
        </w:rPr>
        <w:t xml:space="preserve"> להקשות דהיה להרמב"ם לומר דאינו לוקה משום אבר מן החי [ולוקה משום טריפה], והוסיף </w:t>
      </w:r>
      <w:r w:rsidRPr="0054441A">
        <w:rPr>
          <w:rStyle w:val="af9"/>
          <w:rFonts w:hint="cs"/>
          <w:rtl/>
        </w:rPr>
        <w:t>הראב"ד</w:t>
      </w:r>
      <w:r>
        <w:rPr>
          <w:rFonts w:hint="cs"/>
          <w:rtl/>
        </w:rPr>
        <w:t xml:space="preserve"> להקשות דכיון שיש בו מלקות מדין טריפה, אמאי הוצרך הרמב"ם לומר שאין בו מלקות מדין טריפה, וכ"כ </w:t>
      </w:r>
      <w:r w:rsidRPr="00E748F0">
        <w:rPr>
          <w:rStyle w:val="af9"/>
          <w:rFonts w:hint="cs"/>
          <w:rtl/>
        </w:rPr>
        <w:t>הפרמ"ג</w:t>
      </w:r>
      <w:r>
        <w:rPr>
          <w:rFonts w:hint="cs"/>
          <w:rtl/>
        </w:rPr>
        <w:t xml:space="preserve"> </w:t>
      </w:r>
      <w:r w:rsidRPr="00C903F1">
        <w:rPr>
          <w:rStyle w:val="af7"/>
          <w:rFonts w:eastAsia="Guttman Hodes" w:hint="cs"/>
          <w:rtl/>
        </w:rPr>
        <w:t xml:space="preserve">(סי' י"ד </w:t>
      </w:r>
      <w:r>
        <w:rPr>
          <w:rStyle w:val="af7"/>
          <w:rFonts w:eastAsia="Guttman Hodes" w:hint="cs"/>
          <w:rtl/>
        </w:rPr>
        <w:t xml:space="preserve">משב"ז </w:t>
      </w:r>
      <w:r w:rsidRPr="00C903F1">
        <w:rPr>
          <w:rStyle w:val="af7"/>
          <w:rFonts w:eastAsia="Guttman Hodes" w:hint="cs"/>
          <w:rtl/>
        </w:rPr>
        <w:t>סק"ב)</w:t>
      </w:r>
      <w:r>
        <w:rPr>
          <w:rFonts w:hint="cs"/>
          <w:rtl/>
        </w:rPr>
        <w:t xml:space="preserve"> דלהבנת </w:t>
      </w:r>
      <w:r w:rsidRPr="0054441A">
        <w:rPr>
          <w:rStyle w:val="af9"/>
          <w:rFonts w:hint="cs"/>
          <w:rtl/>
        </w:rPr>
        <w:t>הראב"ד</w:t>
      </w:r>
      <w:r>
        <w:rPr>
          <w:rFonts w:hint="cs"/>
          <w:rtl/>
        </w:rPr>
        <w:t xml:space="preserve"> בדברי </w:t>
      </w:r>
      <w:r w:rsidRPr="0054441A">
        <w:rPr>
          <w:rStyle w:val="af9"/>
          <w:rFonts w:hint="cs"/>
          <w:rtl/>
        </w:rPr>
        <w:t>הרמב"ם</w:t>
      </w:r>
      <w:r>
        <w:rPr>
          <w:rFonts w:hint="cs"/>
          <w:rtl/>
        </w:rPr>
        <w:t xml:space="preserve"> יש מלקות באבר היוצא מדין "בשר בשדה טריפה", וכדעת </w:t>
      </w:r>
      <w:r w:rsidRPr="0054441A">
        <w:rPr>
          <w:rStyle w:val="af9"/>
          <w:rFonts w:hint="cs"/>
          <w:rtl/>
        </w:rPr>
        <w:t>הכס"מ</w:t>
      </w:r>
      <w:r>
        <w:rPr>
          <w:rFonts w:hint="cs"/>
          <w:rtl/>
        </w:rPr>
        <w:t xml:space="preserve"> </w:t>
      </w:r>
      <w:r w:rsidRPr="0054441A">
        <w:rPr>
          <w:rStyle w:val="af7"/>
          <w:rFonts w:eastAsia="Guttman Hodes" w:hint="cs"/>
          <w:rtl/>
        </w:rPr>
        <w:t xml:space="preserve">(עי' אות </w:t>
      </w:r>
      <w:r w:rsidRPr="0054441A">
        <w:rPr>
          <w:rStyle w:val="af7"/>
          <w:rFonts w:eastAsia="Guttman Hodes"/>
          <w:rtl/>
        </w:rPr>
        <w:fldChar w:fldCharType="begin"/>
      </w:r>
      <w:r w:rsidRPr="0054441A">
        <w:rPr>
          <w:rStyle w:val="af7"/>
          <w:rFonts w:eastAsia="Guttman Hodes"/>
          <w:rtl/>
        </w:rPr>
        <w:instrText xml:space="preserve"> </w:instrText>
      </w:r>
      <w:r w:rsidRPr="0054441A">
        <w:rPr>
          <w:rStyle w:val="af7"/>
          <w:rFonts w:eastAsia="Guttman Hodes" w:hint="cs"/>
        </w:rPr>
        <w:instrText>REF</w:instrText>
      </w:r>
      <w:r w:rsidRPr="0054441A">
        <w:rPr>
          <w:rStyle w:val="af7"/>
          <w:rFonts w:eastAsia="Guttman Hodes" w:hint="cs"/>
          <w:rtl/>
        </w:rPr>
        <w:instrText xml:space="preserve"> _</w:instrText>
      </w:r>
      <w:r w:rsidRPr="0054441A">
        <w:rPr>
          <w:rStyle w:val="af7"/>
          <w:rFonts w:eastAsia="Guttman Hodes" w:hint="cs"/>
        </w:rPr>
        <w:instrText>Ref535745699 \r \h</w:instrText>
      </w:r>
      <w:r w:rsidRPr="0054441A">
        <w:rPr>
          <w:rStyle w:val="af7"/>
          <w:rFonts w:eastAsia="Guttman Hodes"/>
          <w:rtl/>
        </w:rPr>
        <w:instrText xml:space="preserve"> </w:instrText>
      </w:r>
      <w:r w:rsidRPr="0054441A">
        <w:rPr>
          <w:rStyle w:val="af7"/>
          <w:rFonts w:eastAsia="Guttman Hodes"/>
          <w:rtl/>
        </w:rPr>
      </w:r>
      <w:r w:rsidRPr="0054441A">
        <w:rPr>
          <w:rStyle w:val="af7"/>
          <w:rFonts w:eastAsia="Guttman Hodes"/>
          <w:rtl/>
        </w:rPr>
        <w:fldChar w:fldCharType="separate"/>
      </w:r>
      <w:r w:rsidR="00345400">
        <w:rPr>
          <w:rStyle w:val="af7"/>
          <w:rFonts w:eastAsia="Guttman Hodes"/>
          <w:cs/>
        </w:rPr>
        <w:t>‎</w:t>
      </w:r>
      <w:r w:rsidR="00345400">
        <w:rPr>
          <w:rStyle w:val="af7"/>
          <w:rFonts w:eastAsia="Guttman Hodes"/>
          <w:rtl/>
        </w:rPr>
        <w:t>צח)</w:t>
      </w:r>
      <w:r w:rsidRPr="0054441A">
        <w:rPr>
          <w:rStyle w:val="af7"/>
          <w:rFonts w:eastAsia="Guttman Hodes"/>
          <w:rtl/>
        </w:rPr>
        <w:fldChar w:fldCharType="end"/>
      </w:r>
      <w:r>
        <w:rPr>
          <w:rFonts w:hint="cs"/>
          <w:rtl/>
        </w:rPr>
        <w:t xml:space="preserve"> ודלא </w:t>
      </w:r>
      <w:r w:rsidRPr="0054441A">
        <w:rPr>
          <w:rStyle w:val="af9"/>
          <w:rFonts w:hint="cs"/>
          <w:rtl/>
        </w:rPr>
        <w:t>כמ"מ</w:t>
      </w:r>
      <w:r>
        <w:rPr>
          <w:rFonts w:hint="cs"/>
          <w:rtl/>
        </w:rPr>
        <w:t xml:space="preserve"> </w:t>
      </w:r>
      <w:r w:rsidRPr="0054441A">
        <w:rPr>
          <w:rStyle w:val="af7"/>
          <w:rFonts w:eastAsia="Guttman Hodes" w:hint="cs"/>
          <w:rtl/>
        </w:rPr>
        <w:t xml:space="preserve">(עי' אות </w:t>
      </w:r>
      <w:r w:rsidRPr="0054441A">
        <w:rPr>
          <w:rStyle w:val="af7"/>
          <w:rFonts w:eastAsia="Guttman Hodes"/>
          <w:rtl/>
        </w:rPr>
        <w:fldChar w:fldCharType="begin"/>
      </w:r>
      <w:r w:rsidRPr="0054441A">
        <w:rPr>
          <w:rStyle w:val="af7"/>
          <w:rFonts w:eastAsia="Guttman Hodes"/>
          <w:rtl/>
        </w:rPr>
        <w:instrText xml:space="preserve"> </w:instrText>
      </w:r>
      <w:r w:rsidRPr="0054441A">
        <w:rPr>
          <w:rStyle w:val="af7"/>
          <w:rFonts w:eastAsia="Guttman Hodes" w:hint="cs"/>
        </w:rPr>
        <w:instrText>REF</w:instrText>
      </w:r>
      <w:r w:rsidRPr="0054441A">
        <w:rPr>
          <w:rStyle w:val="af7"/>
          <w:rFonts w:eastAsia="Guttman Hodes" w:hint="cs"/>
          <w:rtl/>
        </w:rPr>
        <w:instrText xml:space="preserve"> _</w:instrText>
      </w:r>
      <w:r w:rsidRPr="0054441A">
        <w:rPr>
          <w:rStyle w:val="af7"/>
          <w:rFonts w:eastAsia="Guttman Hodes" w:hint="cs"/>
        </w:rPr>
        <w:instrText>Ref535745708 \r \h</w:instrText>
      </w:r>
      <w:r w:rsidRPr="0054441A">
        <w:rPr>
          <w:rStyle w:val="af7"/>
          <w:rFonts w:eastAsia="Guttman Hodes"/>
          <w:rtl/>
        </w:rPr>
        <w:instrText xml:space="preserve"> </w:instrText>
      </w:r>
      <w:r w:rsidRPr="0054441A">
        <w:rPr>
          <w:rStyle w:val="af7"/>
          <w:rFonts w:eastAsia="Guttman Hodes"/>
          <w:rtl/>
        </w:rPr>
      </w:r>
      <w:r w:rsidRPr="0054441A">
        <w:rPr>
          <w:rStyle w:val="af7"/>
          <w:rFonts w:eastAsia="Guttman Hodes"/>
          <w:rtl/>
        </w:rPr>
        <w:fldChar w:fldCharType="separate"/>
      </w:r>
      <w:r w:rsidR="00345400">
        <w:rPr>
          <w:rStyle w:val="af7"/>
          <w:rFonts w:eastAsia="Guttman Hodes"/>
          <w:cs/>
        </w:rPr>
        <w:t>‎</w:t>
      </w:r>
      <w:r w:rsidR="00345400">
        <w:rPr>
          <w:rStyle w:val="af7"/>
          <w:rFonts w:eastAsia="Guttman Hodes"/>
          <w:rtl/>
        </w:rPr>
        <w:t>צג)</w:t>
      </w:r>
      <w:r w:rsidRPr="0054441A">
        <w:rPr>
          <w:rStyle w:val="af7"/>
          <w:rFonts w:eastAsia="Guttman Hodes"/>
          <w:rtl/>
        </w:rPr>
        <w:fldChar w:fldCharType="end"/>
      </w:r>
      <w:r>
        <w:rPr>
          <w:rFonts w:hint="cs"/>
          <w:rtl/>
        </w:rPr>
        <w:t xml:space="preserve"> דכתב </w:t>
      </w:r>
      <w:r w:rsidRPr="0054441A">
        <w:rPr>
          <w:rStyle w:val="af9"/>
          <w:rFonts w:hint="cs"/>
          <w:rtl/>
        </w:rPr>
        <w:t>דלהרמב"ם</w:t>
      </w:r>
      <w:r>
        <w:rPr>
          <w:rFonts w:hint="cs"/>
          <w:rtl/>
        </w:rPr>
        <w:t xml:space="preserve"> אין לוקה כלל.</w:t>
      </w:r>
    </w:p>
    <w:p w14:paraId="666B3371" w14:textId="77777777" w:rsidR="000D4AC3" w:rsidRDefault="000D4AC3" w:rsidP="003D504D">
      <w:pPr>
        <w:pStyle w:val="a3"/>
        <w:rPr>
          <w:rtl/>
        </w:rPr>
      </w:pPr>
      <w:bookmarkStart w:id="16257" w:name="_Toc535750603"/>
    </w:p>
    <w:p w14:paraId="39A16C4A" w14:textId="77777777" w:rsidR="003D504D" w:rsidRDefault="003D504D" w:rsidP="003D504D">
      <w:pPr>
        <w:pStyle w:val="a3"/>
        <w:rPr>
          <w:rtl/>
        </w:rPr>
      </w:pPr>
      <w:bookmarkStart w:id="16258" w:name="_Toc19391149"/>
      <w:bookmarkStart w:id="16259" w:name="_Toc19394646"/>
      <w:r>
        <w:rPr>
          <w:rFonts w:hint="cs"/>
          <w:rtl/>
        </w:rPr>
        <w:t>תירוץ הלח"מ דכוונת הרמב"ם לומר מאיזה דין לוקין ונ"מ דאין ב' מלקות וכן להתראה</w:t>
      </w:r>
      <w:bookmarkEnd w:id="16257"/>
      <w:bookmarkEnd w:id="16258"/>
      <w:bookmarkEnd w:id="16259"/>
    </w:p>
    <w:p w14:paraId="00C41E7D" w14:textId="77777777" w:rsidR="003D504D" w:rsidRPr="004610A8" w:rsidRDefault="003D504D" w:rsidP="00223668">
      <w:pPr>
        <w:pStyle w:val="a0"/>
        <w:rPr>
          <w:rtl/>
        </w:rPr>
      </w:pPr>
      <w:r>
        <w:rPr>
          <w:rFonts w:hint="cs"/>
          <w:rtl/>
        </w:rPr>
        <w:t xml:space="preserve">וכתב </w:t>
      </w:r>
      <w:r w:rsidRPr="002A6C53">
        <w:rPr>
          <w:rStyle w:val="af9"/>
          <w:rFonts w:hint="cs"/>
          <w:rtl/>
        </w:rPr>
        <w:t>ה</w:t>
      </w:r>
      <w:r>
        <w:rPr>
          <w:rStyle w:val="af9"/>
          <w:rFonts w:hint="cs"/>
          <w:rtl/>
        </w:rPr>
        <w:t>לח</w:t>
      </w:r>
      <w:r w:rsidRPr="002A6C53">
        <w:rPr>
          <w:rStyle w:val="af9"/>
          <w:rFonts w:hint="cs"/>
          <w:rtl/>
        </w:rPr>
        <w:t>"מ</w:t>
      </w:r>
      <w:r>
        <w:rPr>
          <w:rFonts w:hint="cs"/>
          <w:rtl/>
        </w:rPr>
        <w:t xml:space="preserve"> בישוב </w:t>
      </w:r>
      <w:r w:rsidRPr="002A6C53">
        <w:rPr>
          <w:rStyle w:val="af9"/>
          <w:rFonts w:hint="cs"/>
          <w:rtl/>
        </w:rPr>
        <w:t>השג' הראב"ד</w:t>
      </w:r>
      <w:r>
        <w:rPr>
          <w:rFonts w:hint="cs"/>
          <w:rtl/>
        </w:rPr>
        <w:t xml:space="preserve">, </w:t>
      </w:r>
      <w:r w:rsidRPr="002A6C53">
        <w:rPr>
          <w:rStyle w:val="af9"/>
          <w:rFonts w:hint="cs"/>
          <w:rtl/>
        </w:rPr>
        <w:t>דהרמב"ם</w:t>
      </w:r>
      <w:r>
        <w:rPr>
          <w:rFonts w:hint="cs"/>
          <w:rtl/>
        </w:rPr>
        <w:t xml:space="preserve"> כתב כן לומר שאין בו ב' מלקות גם משום טריפה וגם משום אבר מן החי, ועוד דנ"מ לענין התראה, דדוקא אם התרו בו משום טריפה לוקה, ובהתרו בו משום אבר מן החי אינו לוקה. </w:t>
      </w:r>
    </w:p>
    <w:p w14:paraId="7ED25F73" w14:textId="77777777" w:rsidR="003D504D" w:rsidRDefault="003D504D" w:rsidP="00BF39B2">
      <w:pPr>
        <w:pStyle w:val="1"/>
        <w:rPr>
          <w:rtl/>
        </w:rPr>
      </w:pPr>
      <w:bookmarkStart w:id="16260" w:name="_Toc535750604"/>
      <w:bookmarkStart w:id="16261" w:name="_Toc19391150"/>
      <w:bookmarkStart w:id="16262" w:name="_Toc19394647"/>
      <w:r>
        <w:rPr>
          <w:rFonts w:hint="cs"/>
          <w:rtl/>
        </w:rPr>
        <w:t>ביאור הפרמ"ג ברמב"ם</w:t>
      </w:r>
      <w:bookmarkEnd w:id="16221"/>
      <w:bookmarkEnd w:id="16222"/>
      <w:bookmarkEnd w:id="16223"/>
      <w:bookmarkEnd w:id="16224"/>
      <w:bookmarkEnd w:id="16243"/>
      <w:r>
        <w:rPr>
          <w:rFonts w:hint="cs"/>
          <w:rtl/>
        </w:rPr>
        <w:t xml:space="preserve"> דלאבמה"ח חשיב שהאבר בתוך הבהמה</w:t>
      </w:r>
      <w:bookmarkEnd w:id="16260"/>
      <w:bookmarkEnd w:id="16261"/>
      <w:bookmarkEnd w:id="16262"/>
    </w:p>
    <w:p w14:paraId="67A4A7E7" w14:textId="77777777" w:rsidR="003D504D" w:rsidRPr="00824E33" w:rsidRDefault="003D504D" w:rsidP="003D504D">
      <w:pPr>
        <w:pStyle w:val="a3"/>
        <w:rPr>
          <w:rtl/>
        </w:rPr>
      </w:pPr>
      <w:bookmarkStart w:id="16263" w:name="_Toc535750605"/>
      <w:bookmarkStart w:id="16264" w:name="_Toc19391151"/>
      <w:bookmarkStart w:id="16265" w:name="_Toc19394648"/>
      <w:r>
        <w:rPr>
          <w:rFonts w:hint="cs"/>
          <w:rtl/>
        </w:rPr>
        <w:t>ביאור הפרמ"ג דכיון שאין לידה לאברים אף האבר שבחוץ חשיב כבפנים לענין איסור אבמה"ח</w:t>
      </w:r>
      <w:bookmarkEnd w:id="16263"/>
      <w:bookmarkEnd w:id="16264"/>
      <w:bookmarkEnd w:id="16265"/>
    </w:p>
    <w:p w14:paraId="32CA284E" w14:textId="77777777" w:rsidR="003D504D" w:rsidRDefault="003D504D" w:rsidP="00223668">
      <w:pPr>
        <w:pStyle w:val="a0"/>
        <w:rPr>
          <w:rtl/>
        </w:rPr>
      </w:pPr>
      <w:bookmarkStart w:id="16266" w:name="_Ref535312942"/>
      <w:r>
        <w:rPr>
          <w:rFonts w:hint="cs"/>
          <w:rtl/>
        </w:rPr>
        <w:t xml:space="preserve">כתב </w:t>
      </w:r>
      <w:r w:rsidRPr="004B272B">
        <w:rPr>
          <w:rStyle w:val="af9"/>
          <w:rFonts w:hint="cs"/>
          <w:rtl/>
        </w:rPr>
        <w:t>הפרמ"ג</w:t>
      </w:r>
      <w:r>
        <w:rPr>
          <w:rFonts w:hint="cs"/>
          <w:rtl/>
        </w:rPr>
        <w:t xml:space="preserve"> </w:t>
      </w:r>
      <w:r w:rsidRPr="00C903F1">
        <w:rPr>
          <w:rStyle w:val="af7"/>
          <w:rFonts w:eastAsia="Guttman Hodes" w:hint="cs"/>
          <w:rtl/>
        </w:rPr>
        <w:t xml:space="preserve">(סי' י"ד </w:t>
      </w:r>
      <w:r>
        <w:rPr>
          <w:rStyle w:val="af7"/>
          <w:rFonts w:eastAsia="Guttman Hodes" w:hint="cs"/>
          <w:rtl/>
        </w:rPr>
        <w:t xml:space="preserve">משב"ז </w:t>
      </w:r>
      <w:r w:rsidRPr="00C903F1">
        <w:rPr>
          <w:rStyle w:val="af7"/>
          <w:rFonts w:eastAsia="Guttman Hodes" w:hint="cs"/>
          <w:rtl/>
        </w:rPr>
        <w:t xml:space="preserve">סק"ב) </w:t>
      </w:r>
      <w:r>
        <w:rPr>
          <w:rFonts w:hint="cs"/>
          <w:rtl/>
        </w:rPr>
        <w:t xml:space="preserve">דמשמע מדברי </w:t>
      </w:r>
      <w:r w:rsidRPr="004B272B">
        <w:rPr>
          <w:rStyle w:val="af9"/>
          <w:rFonts w:hint="cs"/>
          <w:rtl/>
        </w:rPr>
        <w:t>הרמב"ם</w:t>
      </w:r>
      <w:r>
        <w:rPr>
          <w:rFonts w:hint="cs"/>
          <w:rtl/>
        </w:rPr>
        <w:t xml:space="preserve"> </w:t>
      </w:r>
      <w:r w:rsidRPr="004B272B">
        <w:rPr>
          <w:rStyle w:val="af7"/>
          <w:rFonts w:eastAsia="Guttman Hodes" w:hint="cs"/>
          <w:rtl/>
        </w:rPr>
        <w:t xml:space="preserve">(עי' אות </w:t>
      </w:r>
      <w:r w:rsidRPr="004B272B">
        <w:rPr>
          <w:rStyle w:val="af7"/>
          <w:rFonts w:eastAsia="Guttman Hodes"/>
          <w:rtl/>
        </w:rPr>
        <w:fldChar w:fldCharType="begin"/>
      </w:r>
      <w:r w:rsidRPr="004B272B">
        <w:rPr>
          <w:rStyle w:val="af7"/>
          <w:rFonts w:eastAsia="Guttman Hodes"/>
          <w:rtl/>
        </w:rPr>
        <w:instrText xml:space="preserve"> </w:instrText>
      </w:r>
      <w:r w:rsidRPr="004B272B">
        <w:rPr>
          <w:rStyle w:val="af7"/>
          <w:rFonts w:eastAsia="Guttman Hodes" w:hint="cs"/>
        </w:rPr>
        <w:instrText>REF</w:instrText>
      </w:r>
      <w:r w:rsidRPr="004B272B">
        <w:rPr>
          <w:rStyle w:val="af7"/>
          <w:rFonts w:eastAsia="Guttman Hodes" w:hint="cs"/>
          <w:rtl/>
        </w:rPr>
        <w:instrText xml:space="preserve"> _</w:instrText>
      </w:r>
      <w:r w:rsidRPr="004B272B">
        <w:rPr>
          <w:rStyle w:val="af7"/>
          <w:rFonts w:eastAsia="Guttman Hodes" w:hint="cs"/>
        </w:rPr>
        <w:instrText>Ref535168530 \r \h</w:instrText>
      </w:r>
      <w:r w:rsidRPr="004B272B">
        <w:rPr>
          <w:rStyle w:val="af7"/>
          <w:rFonts w:eastAsia="Guttman Hodes"/>
          <w:rtl/>
        </w:rPr>
        <w:instrText xml:space="preserve"> </w:instrText>
      </w:r>
      <w:r w:rsidRPr="004B272B">
        <w:rPr>
          <w:rStyle w:val="af7"/>
          <w:rFonts w:eastAsia="Guttman Hodes"/>
          <w:rtl/>
        </w:rPr>
      </w:r>
      <w:r w:rsidRPr="004B272B">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4B272B">
        <w:rPr>
          <w:rStyle w:val="af7"/>
          <w:rFonts w:eastAsia="Guttman Hodes"/>
          <w:rtl/>
        </w:rPr>
        <w:fldChar w:fldCharType="end"/>
      </w:r>
      <w:r>
        <w:rPr>
          <w:rFonts w:hint="cs"/>
          <w:rtl/>
        </w:rPr>
        <w:t xml:space="preserve"> דאף במקום שלא החזיר את האבר, וחתכו אחר שחיטת האם אין לוקין עליו מדין אבר מן החי</w:t>
      </w:r>
      <w:r w:rsidRPr="004B277E">
        <w:rPr>
          <w:rStyle w:val="afb"/>
          <w:rFonts w:hint="cs"/>
          <w:rtl/>
        </w:rPr>
        <w:t>,  [</w:t>
      </w:r>
      <w:r w:rsidRPr="00E60293">
        <w:rPr>
          <w:rStyle w:val="affa"/>
          <w:rFonts w:hint="cs"/>
          <w:rtl/>
        </w:rPr>
        <w:t>ולהראב"ד</w:t>
      </w:r>
      <w:r w:rsidRPr="004B277E">
        <w:rPr>
          <w:rStyle w:val="afb"/>
          <w:rFonts w:hint="cs"/>
          <w:rtl/>
        </w:rPr>
        <w:t xml:space="preserve"> </w:t>
      </w:r>
      <w:r w:rsidRPr="00E60293">
        <w:rPr>
          <w:rStyle w:val="aff6"/>
          <w:rFonts w:hint="cs"/>
          <w:rtl/>
        </w:rPr>
        <w:t xml:space="preserve">(עי' אות </w:t>
      </w:r>
      <w:r w:rsidRPr="00E60293">
        <w:rPr>
          <w:rStyle w:val="aff6"/>
          <w:rtl/>
        </w:rPr>
        <w:fldChar w:fldCharType="begin"/>
      </w:r>
      <w:r w:rsidRPr="00E60293">
        <w:rPr>
          <w:rStyle w:val="aff6"/>
          <w:rtl/>
        </w:rPr>
        <w:instrText xml:space="preserve"> </w:instrText>
      </w:r>
      <w:r w:rsidRPr="00E60293">
        <w:rPr>
          <w:rStyle w:val="aff6"/>
          <w:rFonts w:hint="cs"/>
        </w:rPr>
        <w:instrText>REF</w:instrText>
      </w:r>
      <w:r w:rsidRPr="00E60293">
        <w:rPr>
          <w:rStyle w:val="aff6"/>
          <w:rFonts w:hint="cs"/>
          <w:rtl/>
        </w:rPr>
        <w:instrText xml:space="preserve"> _</w:instrText>
      </w:r>
      <w:r w:rsidRPr="00E60293">
        <w:rPr>
          <w:rStyle w:val="aff6"/>
          <w:rFonts w:hint="cs"/>
        </w:rPr>
        <w:instrText>Ref535571895 \r \h</w:instrText>
      </w:r>
      <w:r w:rsidRPr="00E60293">
        <w:rPr>
          <w:rStyle w:val="aff6"/>
          <w:rtl/>
        </w:rPr>
        <w:instrText xml:space="preserve"> </w:instrText>
      </w:r>
      <w:r w:rsidRPr="00E60293">
        <w:rPr>
          <w:rStyle w:val="aff6"/>
          <w:rtl/>
        </w:rPr>
      </w:r>
      <w:r w:rsidRPr="00E60293">
        <w:rPr>
          <w:rStyle w:val="aff6"/>
          <w:rtl/>
        </w:rPr>
        <w:fldChar w:fldCharType="separate"/>
      </w:r>
      <w:r w:rsidR="00345400">
        <w:rPr>
          <w:rStyle w:val="aff6"/>
          <w:cs/>
        </w:rPr>
        <w:t>‎</w:t>
      </w:r>
      <w:r w:rsidR="00345400">
        <w:rPr>
          <w:rStyle w:val="aff6"/>
          <w:rtl/>
        </w:rPr>
        <w:t>צב)</w:t>
      </w:r>
      <w:r w:rsidRPr="00E60293">
        <w:rPr>
          <w:rStyle w:val="aff6"/>
          <w:rtl/>
        </w:rPr>
        <w:fldChar w:fldCharType="end"/>
      </w:r>
      <w:r w:rsidRPr="004B277E">
        <w:rPr>
          <w:rStyle w:val="afb"/>
          <w:rFonts w:hint="cs"/>
          <w:rtl/>
        </w:rPr>
        <w:t xml:space="preserve"> </w:t>
      </w:r>
      <w:r w:rsidRPr="00E60293">
        <w:rPr>
          <w:rStyle w:val="affa"/>
          <w:rFonts w:hint="cs"/>
          <w:rtl/>
        </w:rPr>
        <w:t>ו</w:t>
      </w:r>
      <w:r>
        <w:rPr>
          <w:rStyle w:val="affa"/>
          <w:rFonts w:hint="cs"/>
          <w:rtl/>
        </w:rPr>
        <w:t>ה</w:t>
      </w:r>
      <w:r w:rsidRPr="00E60293">
        <w:rPr>
          <w:rStyle w:val="affa"/>
          <w:rFonts w:hint="cs"/>
          <w:rtl/>
        </w:rPr>
        <w:t>כס"מ</w:t>
      </w:r>
      <w:r w:rsidRPr="004B277E">
        <w:rPr>
          <w:rStyle w:val="afb"/>
          <w:rFonts w:hint="cs"/>
          <w:rtl/>
        </w:rPr>
        <w:t xml:space="preserve"> </w:t>
      </w:r>
      <w:r w:rsidRPr="00E60293">
        <w:rPr>
          <w:rStyle w:val="aff6"/>
          <w:rFonts w:hint="cs"/>
          <w:rtl/>
        </w:rPr>
        <w:t xml:space="preserve">(עי' אות </w:t>
      </w:r>
      <w:r w:rsidRPr="00E60293">
        <w:rPr>
          <w:rStyle w:val="aff6"/>
          <w:rtl/>
        </w:rPr>
        <w:fldChar w:fldCharType="begin"/>
      </w:r>
      <w:r w:rsidRPr="00E60293">
        <w:rPr>
          <w:rStyle w:val="aff6"/>
          <w:rtl/>
        </w:rPr>
        <w:instrText xml:space="preserve"> </w:instrText>
      </w:r>
      <w:r w:rsidRPr="00E60293">
        <w:rPr>
          <w:rStyle w:val="aff6"/>
          <w:rFonts w:hint="cs"/>
        </w:rPr>
        <w:instrText>REF</w:instrText>
      </w:r>
      <w:r w:rsidRPr="00E60293">
        <w:rPr>
          <w:rStyle w:val="aff6"/>
          <w:rFonts w:hint="cs"/>
          <w:rtl/>
        </w:rPr>
        <w:instrText xml:space="preserve"> _</w:instrText>
      </w:r>
      <w:r w:rsidRPr="00E60293">
        <w:rPr>
          <w:rStyle w:val="aff6"/>
          <w:rFonts w:hint="cs"/>
        </w:rPr>
        <w:instrText>Ref535745699 \r \h</w:instrText>
      </w:r>
      <w:r w:rsidRPr="00E60293">
        <w:rPr>
          <w:rStyle w:val="aff6"/>
          <w:rtl/>
        </w:rPr>
        <w:instrText xml:space="preserve"> </w:instrText>
      </w:r>
      <w:r w:rsidRPr="00E60293">
        <w:rPr>
          <w:rStyle w:val="aff6"/>
          <w:rtl/>
        </w:rPr>
      </w:r>
      <w:r w:rsidRPr="00E60293">
        <w:rPr>
          <w:rStyle w:val="aff6"/>
          <w:rtl/>
        </w:rPr>
        <w:fldChar w:fldCharType="separate"/>
      </w:r>
      <w:r w:rsidR="00345400">
        <w:rPr>
          <w:rStyle w:val="aff6"/>
          <w:cs/>
        </w:rPr>
        <w:t>‎</w:t>
      </w:r>
      <w:r w:rsidR="00345400">
        <w:rPr>
          <w:rStyle w:val="aff6"/>
          <w:rtl/>
        </w:rPr>
        <w:t>צח)</w:t>
      </w:r>
      <w:r w:rsidRPr="00E60293">
        <w:rPr>
          <w:rStyle w:val="aff6"/>
          <w:rtl/>
        </w:rPr>
        <w:fldChar w:fldCharType="end"/>
      </w:r>
      <w:r>
        <w:rPr>
          <w:rStyle w:val="afb"/>
          <w:rFonts w:hint="cs"/>
          <w:rtl/>
        </w:rPr>
        <w:t xml:space="preserve"> </w:t>
      </w:r>
      <w:r w:rsidRPr="004B277E">
        <w:rPr>
          <w:rStyle w:val="afb"/>
          <w:rFonts w:hint="cs"/>
          <w:rtl/>
        </w:rPr>
        <w:t xml:space="preserve">לוקין משום טריפה, </w:t>
      </w:r>
      <w:r w:rsidRPr="00E60293">
        <w:rPr>
          <w:rStyle w:val="affa"/>
          <w:rFonts w:hint="cs"/>
          <w:rtl/>
        </w:rPr>
        <w:t>ולמ"מ</w:t>
      </w:r>
      <w:r w:rsidRPr="004B277E">
        <w:rPr>
          <w:rStyle w:val="afb"/>
          <w:rFonts w:hint="cs"/>
          <w:rtl/>
        </w:rPr>
        <w:t xml:space="preserve"> </w:t>
      </w:r>
      <w:r w:rsidRPr="00E60293">
        <w:rPr>
          <w:rStyle w:val="aff6"/>
          <w:rFonts w:hint="cs"/>
          <w:rtl/>
        </w:rPr>
        <w:t xml:space="preserve">(עי' אות </w:t>
      </w:r>
      <w:r w:rsidRPr="00E60293">
        <w:rPr>
          <w:rStyle w:val="aff6"/>
          <w:rtl/>
        </w:rPr>
        <w:fldChar w:fldCharType="begin"/>
      </w:r>
      <w:r w:rsidRPr="00E60293">
        <w:rPr>
          <w:rStyle w:val="aff6"/>
          <w:rtl/>
        </w:rPr>
        <w:instrText xml:space="preserve"> </w:instrText>
      </w:r>
      <w:r w:rsidRPr="00E60293">
        <w:rPr>
          <w:rStyle w:val="aff6"/>
          <w:rFonts w:hint="cs"/>
        </w:rPr>
        <w:instrText>REF</w:instrText>
      </w:r>
      <w:r w:rsidRPr="00E60293">
        <w:rPr>
          <w:rStyle w:val="aff6"/>
          <w:rFonts w:hint="cs"/>
          <w:rtl/>
        </w:rPr>
        <w:instrText xml:space="preserve"> _</w:instrText>
      </w:r>
      <w:r w:rsidRPr="00E60293">
        <w:rPr>
          <w:rStyle w:val="aff6"/>
          <w:rFonts w:hint="cs"/>
        </w:rPr>
        <w:instrText>Ref535745994 \r \h</w:instrText>
      </w:r>
      <w:r w:rsidRPr="00E60293">
        <w:rPr>
          <w:rStyle w:val="aff6"/>
          <w:rtl/>
        </w:rPr>
        <w:instrText xml:space="preserve"> </w:instrText>
      </w:r>
      <w:r w:rsidRPr="00E60293">
        <w:rPr>
          <w:rStyle w:val="aff6"/>
          <w:rtl/>
        </w:rPr>
      </w:r>
      <w:r w:rsidRPr="00E60293">
        <w:rPr>
          <w:rStyle w:val="aff6"/>
          <w:rtl/>
        </w:rPr>
        <w:fldChar w:fldCharType="separate"/>
      </w:r>
      <w:r w:rsidR="00345400">
        <w:rPr>
          <w:rStyle w:val="aff6"/>
          <w:cs/>
        </w:rPr>
        <w:t>‎</w:t>
      </w:r>
      <w:r w:rsidR="00345400">
        <w:rPr>
          <w:rStyle w:val="aff6"/>
          <w:rtl/>
        </w:rPr>
        <w:t>צד)</w:t>
      </w:r>
      <w:r w:rsidRPr="00E60293">
        <w:rPr>
          <w:rStyle w:val="aff6"/>
          <w:rtl/>
        </w:rPr>
        <w:fldChar w:fldCharType="end"/>
      </w:r>
      <w:r w:rsidRPr="004B277E">
        <w:rPr>
          <w:rStyle w:val="afb"/>
          <w:rFonts w:hint="cs"/>
          <w:rtl/>
        </w:rPr>
        <w:t xml:space="preserve"> אין לוקין כלל]</w:t>
      </w:r>
      <w:r>
        <w:rPr>
          <w:rFonts w:hint="cs"/>
          <w:rtl/>
        </w:rPr>
        <w:t xml:space="preserve">, וביאר </w:t>
      </w:r>
      <w:r w:rsidRPr="004B272B">
        <w:rPr>
          <w:rStyle w:val="af9"/>
          <w:rFonts w:hint="cs"/>
          <w:rtl/>
        </w:rPr>
        <w:t>הפרמ"ג</w:t>
      </w:r>
      <w:r>
        <w:rPr>
          <w:rFonts w:hint="cs"/>
          <w:rtl/>
        </w:rPr>
        <w:t xml:space="preserve"> דס"ל </w:t>
      </w:r>
      <w:r w:rsidRPr="004B272B">
        <w:rPr>
          <w:rStyle w:val="af9"/>
          <w:rFonts w:hint="cs"/>
          <w:rtl/>
        </w:rPr>
        <w:t>להרמב"ם</w:t>
      </w:r>
      <w:r>
        <w:rPr>
          <w:rFonts w:hint="cs"/>
          <w:rtl/>
        </w:rPr>
        <w:t xml:space="preserve"> דאף שהאבר אינו בתוך הבהמה, מ"מ אין בו איסור אבר מן החי, דכיון שאין לידה לאברים, והאבר שבחוץ שדינן ליה בפנים וחשיב שהוא בתוך הבהמה, לענין אבר מן החי, ולכן אף שנשאר בחוץ מהני שחיטת האם להתירו מדין אבר מן החי, והוסיף </w:t>
      </w:r>
      <w:r w:rsidRPr="001B4A4F">
        <w:rPr>
          <w:rStyle w:val="af9"/>
          <w:rFonts w:hint="cs"/>
          <w:rtl/>
        </w:rPr>
        <w:t>הפרמ"ג</w:t>
      </w:r>
      <w:r>
        <w:rPr>
          <w:rFonts w:hint="cs"/>
          <w:rtl/>
        </w:rPr>
        <w:t xml:space="preserve"> דכ"ש במקום שהחזיר את האבר לפני שנשחטה האם, דמהני שחיטת האם להתיר את איסור אבר מן החי, ואסור רק מדין טריפה.</w:t>
      </w:r>
      <w:bookmarkEnd w:id="16266"/>
    </w:p>
    <w:p w14:paraId="1078F495" w14:textId="77777777" w:rsidR="003D504D" w:rsidRDefault="003D504D" w:rsidP="003D504D">
      <w:pPr>
        <w:pStyle w:val="a3"/>
        <w:rPr>
          <w:rtl/>
        </w:rPr>
      </w:pPr>
      <w:bookmarkStart w:id="16267" w:name="_Toc535750606"/>
      <w:bookmarkStart w:id="16268" w:name="_Toc19391152"/>
      <w:bookmarkStart w:id="16269" w:name="_Toc19394649"/>
      <w:r>
        <w:rPr>
          <w:rFonts w:hint="cs"/>
          <w:rtl/>
        </w:rPr>
        <w:t>דברי הפרמ"ג דבחיי האם האבר הוא כאבמה"ח אף אם העובר עצמו מת ובנשחטה הוא כטריפה</w:t>
      </w:r>
      <w:bookmarkEnd w:id="16267"/>
      <w:bookmarkEnd w:id="16268"/>
      <w:bookmarkEnd w:id="16269"/>
    </w:p>
    <w:p w14:paraId="0B4BAD1B" w14:textId="77777777" w:rsidR="003D504D" w:rsidRDefault="003D504D" w:rsidP="00223668">
      <w:pPr>
        <w:pStyle w:val="a0"/>
        <w:rPr>
          <w:rtl/>
        </w:rPr>
      </w:pPr>
      <w:bookmarkStart w:id="16270" w:name="_Ref535511719"/>
      <w:r>
        <w:rPr>
          <w:rFonts w:hint="cs"/>
          <w:rtl/>
        </w:rPr>
        <w:t xml:space="preserve">וכתב </w:t>
      </w:r>
      <w:r w:rsidRPr="003E1A3F">
        <w:rPr>
          <w:rStyle w:val="af9"/>
          <w:rFonts w:hint="cs"/>
          <w:rtl/>
        </w:rPr>
        <w:t>הפרמ"ג</w:t>
      </w:r>
      <w:r>
        <w:rPr>
          <w:rFonts w:hint="cs"/>
          <w:rtl/>
        </w:rPr>
        <w:t xml:space="preserve"> דמבואר דלדעת </w:t>
      </w:r>
      <w:r w:rsidRPr="003E1A3F">
        <w:rPr>
          <w:rStyle w:val="af9"/>
          <w:rFonts w:hint="cs"/>
          <w:rtl/>
        </w:rPr>
        <w:t>הרמב"ם</w:t>
      </w:r>
      <w:r>
        <w:rPr>
          <w:rFonts w:hint="cs"/>
          <w:rtl/>
        </w:rPr>
        <w:t xml:space="preserve"> כל זמן שהאם חיה ולא נשחטה או מתה, יש לאבר דין אבר מן החי, ואף כשהעובר מת דינו כחי לענין איסור אבר היוצא, </w:t>
      </w:r>
      <w:r w:rsidRPr="003E1A3F">
        <w:rPr>
          <w:rStyle w:val="afb"/>
          <w:rFonts w:hint="cs"/>
          <w:rtl/>
        </w:rPr>
        <w:t xml:space="preserve">[כדכתב </w:t>
      </w:r>
      <w:r w:rsidRPr="003E1A3F">
        <w:rPr>
          <w:rStyle w:val="affa"/>
          <w:rFonts w:hint="cs"/>
          <w:rtl/>
        </w:rPr>
        <w:t>הרמב"ם</w:t>
      </w:r>
      <w:r w:rsidRPr="003E1A3F">
        <w:rPr>
          <w:rStyle w:val="afb"/>
          <w:rFonts w:hint="cs"/>
          <w:rtl/>
        </w:rPr>
        <w:t xml:space="preserve"> </w:t>
      </w:r>
      <w:r w:rsidRPr="003E1A3F">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Ref535166862 \r \h</w:instrText>
      </w:r>
      <w:r>
        <w:rPr>
          <w:rStyle w:val="aff6"/>
          <w:rtl/>
        </w:rPr>
        <w:instrText xml:space="preserve"> </w:instrText>
      </w:r>
      <w:r>
        <w:rPr>
          <w:rStyle w:val="aff6"/>
          <w:rtl/>
        </w:rPr>
      </w:r>
      <w:r>
        <w:rPr>
          <w:rStyle w:val="aff6"/>
          <w:rtl/>
        </w:rPr>
        <w:fldChar w:fldCharType="separate"/>
      </w:r>
      <w:r w:rsidR="00345400">
        <w:rPr>
          <w:rStyle w:val="aff6"/>
          <w:cs/>
        </w:rPr>
        <w:t>‎</w:t>
      </w:r>
      <w:r w:rsidR="00345400">
        <w:rPr>
          <w:rStyle w:val="aff6"/>
          <w:rtl/>
        </w:rPr>
        <w:t>פט)</w:t>
      </w:r>
      <w:r>
        <w:rPr>
          <w:rStyle w:val="aff6"/>
          <w:rtl/>
        </w:rPr>
        <w:fldChar w:fldCharType="end"/>
      </w:r>
      <w:r>
        <w:rPr>
          <w:rStyle w:val="aff6"/>
          <w:rFonts w:hint="cs"/>
          <w:rtl/>
        </w:rPr>
        <w:t xml:space="preserve"> </w:t>
      </w:r>
      <w:r w:rsidRPr="003E1A3F">
        <w:rPr>
          <w:rStyle w:val="afb"/>
          <w:rFonts w:hint="cs"/>
          <w:rtl/>
        </w:rPr>
        <w:t xml:space="preserve">דהוא כבשר הפורש מן החי], </w:t>
      </w:r>
      <w:r>
        <w:rPr>
          <w:rFonts w:hint="cs"/>
          <w:rtl/>
        </w:rPr>
        <w:t>וכשנשחטה האם בין אם החזיר את האבר ובין אם לא החזירו, מהני שחיטת האם לטהרו מאיסור אבר מן החי, אף לענין אכילה, אלא דיש בו איסור אחר מדין "בשר בשדה טריפה".</w:t>
      </w:r>
      <w:bookmarkEnd w:id="16270"/>
    </w:p>
    <w:p w14:paraId="713CA864" w14:textId="77777777" w:rsidR="003D504D" w:rsidRDefault="003D504D" w:rsidP="003D504D">
      <w:pPr>
        <w:pStyle w:val="a3"/>
        <w:rPr>
          <w:rtl/>
        </w:rPr>
      </w:pPr>
      <w:bookmarkStart w:id="16271" w:name="_Toc535750607"/>
      <w:bookmarkStart w:id="16272" w:name="_Toc19391153"/>
      <w:bookmarkStart w:id="16273" w:name="_Toc19394650"/>
      <w:r>
        <w:rPr>
          <w:rFonts w:hint="cs"/>
          <w:rtl/>
        </w:rPr>
        <w:t>דברי הפרמ"ג דנ"מ לדידן אם אסור באבמה"ח או בטריפה לענין להושיטו לבן נח</w:t>
      </w:r>
      <w:bookmarkEnd w:id="16271"/>
      <w:bookmarkEnd w:id="16272"/>
      <w:bookmarkEnd w:id="16273"/>
    </w:p>
    <w:p w14:paraId="3F14FE63" w14:textId="77777777" w:rsidR="003D504D" w:rsidRPr="00F20DE0" w:rsidRDefault="003D504D" w:rsidP="00223668">
      <w:pPr>
        <w:pStyle w:val="a0"/>
        <w:rPr>
          <w:rtl/>
        </w:rPr>
      </w:pPr>
      <w:r>
        <w:rPr>
          <w:rFonts w:hint="cs"/>
          <w:rtl/>
        </w:rPr>
        <w:t xml:space="preserve">וכתב </w:t>
      </w:r>
      <w:r w:rsidRPr="003E1A3F">
        <w:rPr>
          <w:rStyle w:val="af9"/>
          <w:rFonts w:hint="cs"/>
          <w:rtl/>
        </w:rPr>
        <w:t>הפרמ"ג</w:t>
      </w:r>
      <w:r>
        <w:rPr>
          <w:rFonts w:hint="cs"/>
          <w:rtl/>
        </w:rPr>
        <w:t xml:space="preserve"> </w:t>
      </w:r>
      <w:r w:rsidRPr="003E1A3F">
        <w:rPr>
          <w:rStyle w:val="afb"/>
          <w:rFonts w:hint="cs"/>
          <w:rtl/>
        </w:rPr>
        <w:t>[דמלבד הנדון לענין מלקות]</w:t>
      </w:r>
      <w:r>
        <w:rPr>
          <w:rFonts w:hint="cs"/>
          <w:rtl/>
        </w:rPr>
        <w:t xml:space="preserve"> אף לדידן יש נ"מ מזה שאינו אסור באבר מן החי אלא בטריפה, </w:t>
      </w:r>
      <w:r w:rsidRPr="00F20DE0">
        <w:rPr>
          <w:rFonts w:hint="cs"/>
          <w:rtl/>
        </w:rPr>
        <w:t xml:space="preserve">דמותר להושיטו לבן נח אחר שחיטת אמו, אף אם לא החזיר את האבר, וכ"כ </w:t>
      </w:r>
      <w:r w:rsidRPr="00F20DE0">
        <w:rPr>
          <w:rStyle w:val="af9"/>
          <w:rFonts w:hint="cs"/>
          <w:rtl/>
        </w:rPr>
        <w:t>האמרי משה</w:t>
      </w:r>
      <w:r w:rsidRPr="00F20DE0">
        <w:rPr>
          <w:rFonts w:hint="cs"/>
          <w:rtl/>
        </w:rPr>
        <w:t xml:space="preserve"> </w:t>
      </w:r>
      <w:r w:rsidRPr="00F20DE0">
        <w:rPr>
          <w:rStyle w:val="af7"/>
          <w:rFonts w:eastAsia="Guttman Hodes" w:hint="cs"/>
          <w:rtl/>
        </w:rPr>
        <w:t>(סי' ד' אות כ"ג)</w:t>
      </w:r>
      <w:r w:rsidRPr="00F20DE0">
        <w:rPr>
          <w:rFonts w:hint="cs"/>
          <w:rtl/>
        </w:rPr>
        <w:t>.</w:t>
      </w:r>
    </w:p>
    <w:p w14:paraId="236FF1C3" w14:textId="77777777" w:rsidR="003D504D" w:rsidRDefault="003D504D" w:rsidP="003D504D">
      <w:pPr>
        <w:pStyle w:val="afe"/>
        <w:rPr>
          <w:rtl/>
        </w:rPr>
      </w:pPr>
      <w:bookmarkStart w:id="16274" w:name="_Toc535526282"/>
      <w:bookmarkStart w:id="16275" w:name="_Toc535574980"/>
      <w:bookmarkStart w:id="16276" w:name="_Toc535702450"/>
      <w:bookmarkStart w:id="16277" w:name="_Toc535750608"/>
      <w:bookmarkStart w:id="16278" w:name="_Toc19436013"/>
      <w:bookmarkStart w:id="16279" w:name="_Toc20081223"/>
      <w:r>
        <w:rPr>
          <w:rFonts w:hint="cs"/>
          <w:rtl/>
        </w:rPr>
        <w:t>בדין אבר היוצא בנולד לפני שנשחטה אמו</w:t>
      </w:r>
      <w:bookmarkEnd w:id="16274"/>
      <w:bookmarkEnd w:id="16275"/>
      <w:bookmarkEnd w:id="16276"/>
      <w:bookmarkEnd w:id="16277"/>
      <w:bookmarkEnd w:id="16278"/>
      <w:bookmarkEnd w:id="16279"/>
    </w:p>
    <w:p w14:paraId="189A787E" w14:textId="77777777" w:rsidR="003D504D" w:rsidRDefault="003D504D" w:rsidP="00BF39B2">
      <w:pPr>
        <w:pStyle w:val="1"/>
        <w:rPr>
          <w:rtl/>
        </w:rPr>
      </w:pPr>
      <w:bookmarkStart w:id="16280" w:name="_Toc535702451"/>
      <w:bookmarkStart w:id="16281" w:name="_Toc535750609"/>
      <w:bookmarkStart w:id="16282" w:name="_Toc19391154"/>
      <w:bookmarkStart w:id="16283" w:name="_Toc19394651"/>
      <w:r>
        <w:rPr>
          <w:rFonts w:hint="cs"/>
          <w:rtl/>
        </w:rPr>
        <w:t>פלוגתת הכל בו והכס"מ בדעת הרמב"ם</w:t>
      </w:r>
      <w:bookmarkEnd w:id="16280"/>
      <w:bookmarkEnd w:id="16281"/>
      <w:bookmarkEnd w:id="16282"/>
      <w:bookmarkEnd w:id="16283"/>
    </w:p>
    <w:p w14:paraId="790D4B84" w14:textId="77777777" w:rsidR="003D504D" w:rsidRDefault="003D504D" w:rsidP="003D504D">
      <w:pPr>
        <w:pStyle w:val="a3"/>
        <w:rPr>
          <w:rtl/>
        </w:rPr>
      </w:pPr>
      <w:bookmarkStart w:id="16284" w:name="_Toc535702452"/>
      <w:bookmarkStart w:id="16285" w:name="_Toc535750610"/>
      <w:bookmarkStart w:id="16286" w:name="_Toc19391155"/>
      <w:bookmarkStart w:id="16287" w:name="_Toc19394652"/>
      <w:r>
        <w:rPr>
          <w:rFonts w:hint="cs"/>
          <w:rtl/>
        </w:rPr>
        <w:t>דברי ביאור הכל בו בשם י"א דאבר היוצא מותר אם נולד לפני שנשחטה אמו ודלא כהרמב"ם</w:t>
      </w:r>
      <w:bookmarkEnd w:id="16284"/>
      <w:bookmarkEnd w:id="16285"/>
      <w:bookmarkEnd w:id="16286"/>
      <w:bookmarkEnd w:id="16287"/>
    </w:p>
    <w:p w14:paraId="0E170DAD" w14:textId="77777777" w:rsidR="003D504D" w:rsidRDefault="003D504D" w:rsidP="00223668">
      <w:pPr>
        <w:pStyle w:val="a0"/>
        <w:rPr>
          <w:rtl/>
        </w:rPr>
      </w:pPr>
      <w:bookmarkStart w:id="16288" w:name="_Ref535509898"/>
      <w:r w:rsidRPr="001E40A3">
        <w:rPr>
          <w:rFonts w:hint="cs"/>
          <w:rtl/>
        </w:rPr>
        <w:t xml:space="preserve">הביאו </w:t>
      </w:r>
      <w:r w:rsidRPr="000916D8">
        <w:rPr>
          <w:rStyle w:val="af9"/>
          <w:rFonts w:hint="cs"/>
          <w:rtl/>
        </w:rPr>
        <w:t>הכל בו</w:t>
      </w:r>
      <w:r>
        <w:rPr>
          <w:rFonts w:hint="cs"/>
          <w:rtl/>
        </w:rPr>
        <w:t xml:space="preserve"> </w:t>
      </w:r>
      <w:r w:rsidRPr="009C4DA5">
        <w:rPr>
          <w:rStyle w:val="af7"/>
          <w:rFonts w:eastAsia="Guttman Hodes" w:hint="cs"/>
          <w:rtl/>
        </w:rPr>
        <w:t>(סי' ק"ב ד"ה מושיט</w:t>
      </w:r>
      <w:bookmarkStart w:id="16289" w:name="_Ref535510030"/>
      <w:r w:rsidRPr="00736B49">
        <w:rPr>
          <w:rStyle w:val="af1"/>
          <w:rtl/>
        </w:rPr>
        <w:footnoteReference w:id="110"/>
      </w:r>
      <w:bookmarkEnd w:id="16289"/>
      <w:r w:rsidRPr="00736B49">
        <w:rPr>
          <w:rStyle w:val="af7"/>
          <w:rFonts w:eastAsia="Guttman Hodes" w:hint="cs"/>
          <w:rtl/>
        </w:rPr>
        <w:t>)</w:t>
      </w:r>
      <w:r>
        <w:rPr>
          <w:rFonts w:hint="cs"/>
          <w:rtl/>
        </w:rPr>
        <w:t xml:space="preserve"> </w:t>
      </w:r>
      <w:r w:rsidRPr="001E40A3">
        <w:rPr>
          <w:rStyle w:val="af9"/>
          <w:rFonts w:hint="cs"/>
          <w:rtl/>
        </w:rPr>
        <w:t>והארחות חיים</w:t>
      </w:r>
      <w:r>
        <w:rPr>
          <w:rFonts w:hint="cs"/>
          <w:rtl/>
        </w:rPr>
        <w:t xml:space="preserve"> </w:t>
      </w:r>
      <w:r w:rsidRPr="00593525">
        <w:rPr>
          <w:rStyle w:val="af7"/>
          <w:rFonts w:eastAsia="Guttman Hodes" w:hint="cs"/>
          <w:rtl/>
        </w:rPr>
        <w:t>(</w:t>
      </w:r>
      <w:r>
        <w:rPr>
          <w:rStyle w:val="af7"/>
          <w:rFonts w:eastAsia="Guttman Hodes" w:hint="cs"/>
          <w:rtl/>
        </w:rPr>
        <w:t xml:space="preserve">סי' ל' אות </w:t>
      </w:r>
      <w:r w:rsidRPr="00593525">
        <w:rPr>
          <w:rStyle w:val="af7"/>
          <w:rFonts w:eastAsia="Guttman Hodes" w:hint="cs"/>
          <w:rtl/>
        </w:rPr>
        <w:t>א'</w:t>
      </w:r>
      <w:r>
        <w:rPr>
          <w:rStyle w:val="af7"/>
          <w:rFonts w:eastAsia="Guttman Hodes" w:hint="cs"/>
          <w:rtl/>
        </w:rPr>
        <w:t xml:space="preserve"> ד"ה המושיט</w:t>
      </w:r>
      <w:r w:rsidRPr="00497F41">
        <w:rPr>
          <w:vertAlign w:val="superscript"/>
          <w:rtl/>
        </w:rPr>
        <w:fldChar w:fldCharType="begin"/>
      </w:r>
      <w:r w:rsidRPr="00497F41">
        <w:rPr>
          <w:vertAlign w:val="superscript"/>
          <w:rtl/>
        </w:rPr>
        <w:instrText xml:space="preserve"> </w:instrText>
      </w:r>
      <w:r w:rsidRPr="00497F41">
        <w:rPr>
          <w:rFonts w:hint="cs"/>
          <w:vertAlign w:val="superscript"/>
        </w:rPr>
        <w:instrText>NOTEREF</w:instrText>
      </w:r>
      <w:r w:rsidRPr="00497F41">
        <w:rPr>
          <w:rFonts w:hint="cs"/>
          <w:vertAlign w:val="superscript"/>
          <w:rtl/>
        </w:rPr>
        <w:instrText xml:space="preserve"> _</w:instrText>
      </w:r>
      <w:r w:rsidRPr="00497F41">
        <w:rPr>
          <w:rFonts w:hint="cs"/>
          <w:vertAlign w:val="superscript"/>
        </w:rPr>
        <w:instrText>Ref535510030 \h</w:instrText>
      </w:r>
      <w:r w:rsidRPr="00497F41">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97F41">
        <w:rPr>
          <w:vertAlign w:val="superscript"/>
          <w:rtl/>
        </w:rPr>
      </w:r>
      <w:r w:rsidRPr="00497F41">
        <w:rPr>
          <w:vertAlign w:val="superscript"/>
          <w:rtl/>
        </w:rPr>
        <w:fldChar w:fldCharType="separate"/>
      </w:r>
      <w:r w:rsidR="00345400">
        <w:rPr>
          <w:vertAlign w:val="superscript"/>
          <w:rtl/>
        </w:rPr>
        <w:t>110</w:t>
      </w:r>
      <w:r w:rsidRPr="00497F41">
        <w:rPr>
          <w:vertAlign w:val="superscript"/>
          <w:rtl/>
        </w:rPr>
        <w:fldChar w:fldCharType="end"/>
      </w:r>
      <w:r w:rsidRPr="00F9563F">
        <w:rPr>
          <w:rStyle w:val="af7"/>
          <w:rFonts w:eastAsia="Guttman Hodes" w:hint="cs"/>
          <w:rtl/>
        </w:rPr>
        <w:t>)</w:t>
      </w:r>
      <w:r>
        <w:rPr>
          <w:rFonts w:hint="cs"/>
          <w:rtl/>
        </w:rPr>
        <w:t xml:space="preserve"> את דברי </w:t>
      </w:r>
      <w:r w:rsidRPr="000916D8">
        <w:rPr>
          <w:rStyle w:val="af9"/>
          <w:rFonts w:hint="cs"/>
          <w:rtl/>
        </w:rPr>
        <w:t>הרמב"ם</w:t>
      </w:r>
      <w:r w:rsidRPr="00FC271B">
        <w:rPr>
          <w:rFonts w:hint="cs"/>
          <w:rtl/>
        </w:rPr>
        <w:t xml:space="preserve"> </w:t>
      </w:r>
      <w:r w:rsidRPr="00FC271B">
        <w:rPr>
          <w:rStyle w:val="af7"/>
          <w:rFonts w:eastAsia="Guttman Hodes" w:hint="cs"/>
          <w:rtl/>
        </w:rPr>
        <w:t xml:space="preserve">(עי' אות </w:t>
      </w:r>
      <w:r w:rsidRPr="00FC271B">
        <w:rPr>
          <w:rStyle w:val="af7"/>
          <w:rFonts w:eastAsia="Guttman Hodes"/>
          <w:rtl/>
        </w:rPr>
        <w:fldChar w:fldCharType="begin"/>
      </w:r>
      <w:r w:rsidRPr="00FC271B">
        <w:rPr>
          <w:rStyle w:val="af7"/>
          <w:rFonts w:eastAsia="Guttman Hodes"/>
          <w:rtl/>
        </w:rPr>
        <w:instrText xml:space="preserve"> </w:instrText>
      </w:r>
      <w:r w:rsidRPr="00FC271B">
        <w:rPr>
          <w:rStyle w:val="af7"/>
          <w:rFonts w:eastAsia="Guttman Hodes" w:hint="cs"/>
        </w:rPr>
        <w:instrText>REF</w:instrText>
      </w:r>
      <w:r w:rsidRPr="00FC271B">
        <w:rPr>
          <w:rStyle w:val="af7"/>
          <w:rFonts w:eastAsia="Guttman Hodes" w:hint="cs"/>
          <w:rtl/>
        </w:rPr>
        <w:instrText xml:space="preserve"> _</w:instrText>
      </w:r>
      <w:r w:rsidRPr="00FC271B">
        <w:rPr>
          <w:rStyle w:val="af7"/>
          <w:rFonts w:eastAsia="Guttman Hodes" w:hint="cs"/>
        </w:rPr>
        <w:instrText>Ref535695716 \r \h</w:instrText>
      </w:r>
      <w:r w:rsidRPr="00FC271B">
        <w:rPr>
          <w:rStyle w:val="af7"/>
          <w:rFonts w:eastAsia="Guttman Hodes"/>
          <w:rtl/>
        </w:rPr>
        <w:instrText xml:space="preserve"> </w:instrText>
      </w:r>
      <w:r w:rsidRPr="00FC271B">
        <w:rPr>
          <w:rStyle w:val="af7"/>
          <w:rFonts w:eastAsia="Guttman Hodes"/>
          <w:rtl/>
        </w:rPr>
      </w:r>
      <w:r w:rsidRPr="00FC271B">
        <w:rPr>
          <w:rStyle w:val="af7"/>
          <w:rFonts w:eastAsia="Guttman Hodes"/>
          <w:rtl/>
        </w:rPr>
        <w:fldChar w:fldCharType="separate"/>
      </w:r>
      <w:r w:rsidR="00345400">
        <w:rPr>
          <w:rStyle w:val="af7"/>
          <w:rFonts w:eastAsia="Guttman Hodes"/>
          <w:cs/>
        </w:rPr>
        <w:t>‎</w:t>
      </w:r>
      <w:r w:rsidR="00345400">
        <w:rPr>
          <w:rStyle w:val="af7"/>
          <w:rFonts w:eastAsia="Guttman Hodes"/>
          <w:rtl/>
        </w:rPr>
        <w:t>פט)</w:t>
      </w:r>
      <w:r w:rsidRPr="00FC271B">
        <w:rPr>
          <w:rStyle w:val="af7"/>
          <w:rFonts w:eastAsia="Guttman Hodes"/>
          <w:rtl/>
        </w:rPr>
        <w:fldChar w:fldCharType="end"/>
      </w:r>
      <w:r>
        <w:rPr>
          <w:rFonts w:hint="cs"/>
          <w:rtl/>
        </w:rPr>
        <w:t xml:space="preserve"> דבהחזיר את האבר ואח"כ נשחט, או שנולד וחי כמה שנים, אסור האבר מדין טריפה, וכתבו </w:t>
      </w:r>
      <w:r w:rsidRPr="000916D8">
        <w:rPr>
          <w:rStyle w:val="af9"/>
          <w:rFonts w:hint="cs"/>
          <w:rtl/>
        </w:rPr>
        <w:t>הכל בו</w:t>
      </w:r>
      <w:r>
        <w:rPr>
          <w:rFonts w:hint="cs"/>
          <w:rtl/>
        </w:rPr>
        <w:t xml:space="preserve"> </w:t>
      </w:r>
      <w:r w:rsidRPr="001E40A3">
        <w:rPr>
          <w:rStyle w:val="af9"/>
          <w:rFonts w:hint="cs"/>
          <w:rtl/>
        </w:rPr>
        <w:t>והארחות חיים</w:t>
      </w:r>
      <w:r>
        <w:rPr>
          <w:rFonts w:hint="cs"/>
          <w:rtl/>
        </w:rPr>
        <w:t xml:space="preserve"> </w:t>
      </w:r>
      <w:r w:rsidRPr="00A13D70">
        <w:rPr>
          <w:rStyle w:val="af9"/>
          <w:rFonts w:hint="cs"/>
          <w:rtl/>
        </w:rPr>
        <w:t>דיש חולקין</w:t>
      </w:r>
      <w:r>
        <w:rPr>
          <w:rFonts w:hint="cs"/>
          <w:rtl/>
        </w:rPr>
        <w:t xml:space="preserve"> על </w:t>
      </w:r>
      <w:r w:rsidRPr="000916D8">
        <w:rPr>
          <w:rStyle w:val="af9"/>
          <w:rFonts w:hint="cs"/>
          <w:rtl/>
        </w:rPr>
        <w:t>הרמב"ם</w:t>
      </w:r>
      <w:r>
        <w:rPr>
          <w:rFonts w:hint="cs"/>
          <w:rtl/>
        </w:rPr>
        <w:t xml:space="preserve"> ומתירים את האבר, אם נולד לפני שנשחטה אמו, דכיון שהוא חייב שחיטה מצד עצמו, שחיטתו מתירה אף את האבר שיצא, וכתב </w:t>
      </w:r>
      <w:r w:rsidRPr="00A13D70">
        <w:rPr>
          <w:rStyle w:val="af9"/>
          <w:rFonts w:hint="cs"/>
          <w:rtl/>
        </w:rPr>
        <w:t>הרמ"א</w:t>
      </w:r>
      <w:r>
        <w:rPr>
          <w:rFonts w:hint="cs"/>
          <w:rtl/>
        </w:rPr>
        <w:t xml:space="preserve"> </w:t>
      </w:r>
      <w:r w:rsidRPr="00A13D70">
        <w:rPr>
          <w:rStyle w:val="af7"/>
          <w:rFonts w:eastAsia="Guttman Hodes" w:hint="cs"/>
          <w:rtl/>
        </w:rPr>
        <w:t>(סי' י"ד ב')</w:t>
      </w:r>
      <w:r>
        <w:rPr>
          <w:rFonts w:hint="cs"/>
          <w:rtl/>
        </w:rPr>
        <w:t xml:space="preserve"> דקיי"ל כדעת </w:t>
      </w:r>
      <w:r w:rsidRPr="00A13D70">
        <w:rPr>
          <w:rStyle w:val="af9"/>
          <w:rFonts w:hint="cs"/>
          <w:rtl/>
        </w:rPr>
        <w:t>הכל בו</w:t>
      </w:r>
      <w:r>
        <w:rPr>
          <w:rFonts w:hint="cs"/>
          <w:rtl/>
        </w:rPr>
        <w:t xml:space="preserve"> בשם </w:t>
      </w:r>
      <w:r w:rsidRPr="00A13D70">
        <w:rPr>
          <w:rStyle w:val="af9"/>
          <w:rFonts w:hint="cs"/>
          <w:rtl/>
        </w:rPr>
        <w:t>יש חולקין</w:t>
      </w:r>
      <w:r>
        <w:rPr>
          <w:rFonts w:hint="cs"/>
          <w:rtl/>
        </w:rPr>
        <w:t xml:space="preserve"> דכל שנולד העובר ונשחט, שחיטת עצמו מתירה הכל, וכן ביארו </w:t>
      </w:r>
      <w:r w:rsidRPr="007772D3">
        <w:rPr>
          <w:rStyle w:val="af9"/>
          <w:rFonts w:hint="cs"/>
          <w:rtl/>
        </w:rPr>
        <w:t>המהר"ם והראש יוסף</w:t>
      </w:r>
      <w:r>
        <w:rPr>
          <w:rFonts w:hint="cs"/>
          <w:rtl/>
        </w:rPr>
        <w:t xml:space="preserve"> </w:t>
      </w:r>
      <w:r w:rsidRPr="007772D3">
        <w:rPr>
          <w:rStyle w:val="af7"/>
          <w:rFonts w:eastAsia="Guttman Hodes" w:hint="cs"/>
          <w:rtl/>
        </w:rPr>
        <w:t xml:space="preserve">(עי' אות </w:t>
      </w:r>
      <w:r w:rsidRPr="007772D3">
        <w:rPr>
          <w:rStyle w:val="af7"/>
          <w:rFonts w:eastAsia="Guttman Hodes"/>
          <w:rtl/>
        </w:rPr>
        <w:fldChar w:fldCharType="begin"/>
      </w:r>
      <w:r w:rsidRPr="007772D3">
        <w:rPr>
          <w:rStyle w:val="af7"/>
          <w:rFonts w:eastAsia="Guttman Hodes"/>
          <w:rtl/>
        </w:rPr>
        <w:instrText xml:space="preserve"> </w:instrText>
      </w:r>
      <w:r w:rsidRPr="007772D3">
        <w:rPr>
          <w:rStyle w:val="af7"/>
          <w:rFonts w:eastAsia="Guttman Hodes" w:hint="cs"/>
        </w:rPr>
        <w:instrText>REF</w:instrText>
      </w:r>
      <w:r w:rsidRPr="007772D3">
        <w:rPr>
          <w:rStyle w:val="af7"/>
          <w:rFonts w:eastAsia="Guttman Hodes" w:hint="cs"/>
          <w:rtl/>
        </w:rPr>
        <w:instrText xml:space="preserve"> _</w:instrText>
      </w:r>
      <w:r w:rsidRPr="007772D3">
        <w:rPr>
          <w:rStyle w:val="af7"/>
          <w:rFonts w:eastAsia="Guttman Hodes" w:hint="cs"/>
        </w:rPr>
        <w:instrText>Ref535509703 \r \h</w:instrText>
      </w:r>
      <w:r w:rsidRPr="007772D3">
        <w:rPr>
          <w:rStyle w:val="af7"/>
          <w:rFonts w:eastAsia="Guttman Hodes"/>
          <w:rtl/>
        </w:rPr>
        <w:instrText xml:space="preserve"> </w:instrText>
      </w:r>
      <w:r w:rsidRPr="007772D3">
        <w:rPr>
          <w:rStyle w:val="af7"/>
          <w:rFonts w:eastAsia="Guttman Hodes"/>
          <w:rtl/>
        </w:rPr>
      </w:r>
      <w:r w:rsidRPr="007772D3">
        <w:rPr>
          <w:rStyle w:val="af7"/>
          <w:rFonts w:eastAsia="Guttman Hodes"/>
          <w:rtl/>
        </w:rPr>
        <w:fldChar w:fldCharType="separate"/>
      </w:r>
      <w:r w:rsidR="00345400">
        <w:rPr>
          <w:rStyle w:val="af7"/>
          <w:rFonts w:eastAsia="Guttman Hodes"/>
          <w:cs/>
        </w:rPr>
        <w:t>‎</w:t>
      </w:r>
      <w:r w:rsidR="00345400">
        <w:rPr>
          <w:rStyle w:val="af7"/>
          <w:rFonts w:eastAsia="Guttman Hodes"/>
          <w:rtl/>
        </w:rPr>
        <w:t>מה)</w:t>
      </w:r>
      <w:r w:rsidRPr="007772D3">
        <w:rPr>
          <w:rStyle w:val="af7"/>
          <w:rFonts w:eastAsia="Guttman Hodes"/>
          <w:rtl/>
        </w:rPr>
        <w:fldChar w:fldCharType="end"/>
      </w:r>
      <w:r>
        <w:rPr>
          <w:rFonts w:hint="cs"/>
          <w:rtl/>
        </w:rPr>
        <w:t xml:space="preserve"> בדעת </w:t>
      </w:r>
      <w:r w:rsidRPr="007772D3">
        <w:rPr>
          <w:rStyle w:val="af9"/>
          <w:rFonts w:hint="cs"/>
          <w:rtl/>
        </w:rPr>
        <w:t>רש"י</w:t>
      </w:r>
      <w:r>
        <w:rPr>
          <w:rFonts w:hint="cs"/>
          <w:rtl/>
        </w:rPr>
        <w:t xml:space="preserve"> </w:t>
      </w:r>
      <w:r w:rsidRPr="007772D3">
        <w:rPr>
          <w:rStyle w:val="af7"/>
          <w:rFonts w:eastAsia="Guttman Hodes" w:hint="cs"/>
          <w:rtl/>
        </w:rPr>
        <w:t xml:space="preserve">(עי' אות </w:t>
      </w:r>
      <w:r w:rsidRPr="007772D3">
        <w:rPr>
          <w:rStyle w:val="af7"/>
          <w:rFonts w:eastAsia="Guttman Hodes"/>
          <w:rtl/>
        </w:rPr>
        <w:fldChar w:fldCharType="begin"/>
      </w:r>
      <w:r w:rsidRPr="007772D3">
        <w:rPr>
          <w:rStyle w:val="af7"/>
          <w:rFonts w:eastAsia="Guttman Hodes"/>
          <w:rtl/>
        </w:rPr>
        <w:instrText xml:space="preserve"> </w:instrText>
      </w:r>
      <w:r w:rsidRPr="007772D3">
        <w:rPr>
          <w:rStyle w:val="af7"/>
          <w:rFonts w:eastAsia="Guttman Hodes" w:hint="cs"/>
        </w:rPr>
        <w:instrText>REF</w:instrText>
      </w:r>
      <w:r w:rsidRPr="007772D3">
        <w:rPr>
          <w:rStyle w:val="af7"/>
          <w:rFonts w:eastAsia="Guttman Hodes" w:hint="cs"/>
          <w:rtl/>
        </w:rPr>
        <w:instrText xml:space="preserve"> _</w:instrText>
      </w:r>
      <w:r w:rsidRPr="007772D3">
        <w:rPr>
          <w:rStyle w:val="af7"/>
          <w:rFonts w:eastAsia="Guttman Hodes" w:hint="cs"/>
        </w:rPr>
        <w:instrText>Ref535695973 \r \h</w:instrText>
      </w:r>
      <w:r w:rsidRPr="007772D3">
        <w:rPr>
          <w:rStyle w:val="af7"/>
          <w:rFonts w:eastAsia="Guttman Hodes"/>
          <w:rtl/>
        </w:rPr>
        <w:instrText xml:space="preserve"> </w:instrText>
      </w:r>
      <w:r w:rsidRPr="007772D3">
        <w:rPr>
          <w:rStyle w:val="af7"/>
          <w:rFonts w:eastAsia="Guttman Hodes"/>
          <w:rtl/>
        </w:rPr>
      </w:r>
      <w:r w:rsidRPr="007772D3">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7772D3">
        <w:rPr>
          <w:rStyle w:val="af7"/>
          <w:rFonts w:eastAsia="Guttman Hodes"/>
          <w:rtl/>
        </w:rPr>
        <w:fldChar w:fldCharType="end"/>
      </w:r>
      <w:r>
        <w:rPr>
          <w:rFonts w:hint="cs"/>
          <w:rtl/>
        </w:rPr>
        <w:t>.</w:t>
      </w:r>
      <w:bookmarkEnd w:id="16288"/>
    </w:p>
    <w:p w14:paraId="2574701B" w14:textId="77777777" w:rsidR="003D504D" w:rsidRDefault="003D504D" w:rsidP="003D504D">
      <w:pPr>
        <w:pStyle w:val="a3"/>
        <w:rPr>
          <w:rtl/>
        </w:rPr>
      </w:pPr>
      <w:bookmarkStart w:id="16290" w:name="_Toc535702453"/>
      <w:bookmarkStart w:id="16291" w:name="_Toc535750611"/>
      <w:bookmarkStart w:id="16292" w:name="_Toc19391156"/>
      <w:bookmarkStart w:id="16293" w:name="_Toc19394653"/>
      <w:bookmarkStart w:id="16294" w:name="_Ref535509910"/>
      <w:r>
        <w:rPr>
          <w:rFonts w:hint="cs"/>
          <w:rtl/>
        </w:rPr>
        <w:t>דברי הכס"מ דהכל בו ביאר בדעת הרמב"ם דאבר היוצא אסור אף אם נולד לפני שנשחטה אמו</w:t>
      </w:r>
      <w:bookmarkEnd w:id="16290"/>
      <w:bookmarkEnd w:id="16291"/>
      <w:bookmarkEnd w:id="16292"/>
      <w:bookmarkEnd w:id="16293"/>
      <w:r>
        <w:rPr>
          <w:rFonts w:hint="cs"/>
          <w:rtl/>
        </w:rPr>
        <w:t xml:space="preserve"> </w:t>
      </w:r>
    </w:p>
    <w:p w14:paraId="7EFD6F81" w14:textId="77777777" w:rsidR="003D504D" w:rsidRDefault="003D504D" w:rsidP="00223668">
      <w:pPr>
        <w:pStyle w:val="a0"/>
        <w:rPr>
          <w:rtl/>
        </w:rPr>
      </w:pPr>
      <w:bookmarkStart w:id="16295" w:name="_Ref535696818"/>
      <w:r>
        <w:rPr>
          <w:rFonts w:hint="cs"/>
          <w:rtl/>
        </w:rPr>
        <w:t xml:space="preserve">וכתב </w:t>
      </w:r>
      <w:r w:rsidRPr="000916D8">
        <w:rPr>
          <w:rStyle w:val="af9"/>
          <w:rFonts w:hint="cs"/>
          <w:rtl/>
        </w:rPr>
        <w:t>הכס"מ</w:t>
      </w:r>
      <w:r>
        <w:rPr>
          <w:rFonts w:hint="cs"/>
          <w:rtl/>
        </w:rPr>
        <w:t xml:space="preserve"> </w:t>
      </w:r>
      <w:r w:rsidRPr="009C4DA5">
        <w:rPr>
          <w:rStyle w:val="af7"/>
          <w:rFonts w:eastAsia="Guttman Hodes" w:hint="cs"/>
          <w:rtl/>
        </w:rPr>
        <w:t>(מאכ"א פ"ה ה"ט)</w:t>
      </w:r>
      <w:r>
        <w:rPr>
          <w:rFonts w:hint="cs"/>
          <w:rtl/>
        </w:rPr>
        <w:t xml:space="preserve"> </w:t>
      </w:r>
      <w:r w:rsidRPr="00B468D6">
        <w:rPr>
          <w:rStyle w:val="af9"/>
          <w:rFonts w:hint="cs"/>
          <w:rtl/>
        </w:rPr>
        <w:t>והב"י</w:t>
      </w:r>
      <w:r>
        <w:rPr>
          <w:rFonts w:hint="cs"/>
          <w:rtl/>
        </w:rPr>
        <w:t xml:space="preserve"> </w:t>
      </w:r>
      <w:r w:rsidRPr="00B468D6">
        <w:rPr>
          <w:rStyle w:val="af7"/>
          <w:rFonts w:eastAsia="Guttman Hodes" w:hint="cs"/>
          <w:rtl/>
        </w:rPr>
        <w:t>(סי' י"ד ב'</w:t>
      </w:r>
      <w:r>
        <w:rPr>
          <w:rStyle w:val="af7"/>
          <w:rFonts w:eastAsia="Guttman Hodes" w:hint="cs"/>
          <w:rtl/>
        </w:rPr>
        <w:t xml:space="preserve"> ד"ה ולכאו'</w:t>
      </w:r>
      <w:r w:rsidRPr="00B468D6">
        <w:rPr>
          <w:rStyle w:val="af7"/>
          <w:rFonts w:eastAsia="Guttman Hodes" w:hint="cs"/>
          <w:rtl/>
        </w:rPr>
        <w:t>)</w:t>
      </w:r>
      <w:r>
        <w:rPr>
          <w:rFonts w:hint="cs"/>
          <w:rtl/>
        </w:rPr>
        <w:t xml:space="preserve"> דמבואר מדברי </w:t>
      </w:r>
      <w:r w:rsidRPr="000916D8">
        <w:rPr>
          <w:rStyle w:val="af9"/>
          <w:rFonts w:hint="cs"/>
          <w:rtl/>
        </w:rPr>
        <w:t>הכל בו</w:t>
      </w:r>
      <w:r>
        <w:rPr>
          <w:rFonts w:hint="cs"/>
          <w:rtl/>
        </w:rPr>
        <w:t xml:space="preserve"> דביאר בדעת </w:t>
      </w:r>
      <w:r w:rsidRPr="000916D8">
        <w:rPr>
          <w:rStyle w:val="af9"/>
          <w:rFonts w:hint="cs"/>
          <w:rtl/>
        </w:rPr>
        <w:t>הרמב"ם</w:t>
      </w:r>
      <w:r>
        <w:rPr>
          <w:rFonts w:hint="cs"/>
          <w:rtl/>
        </w:rPr>
        <w:t xml:space="preserve"> דאיסור אבר היוצא הוא אף כשנולד לפני שנשחטה אמו.</w:t>
      </w:r>
      <w:bookmarkEnd w:id="16294"/>
      <w:bookmarkEnd w:id="16295"/>
    </w:p>
    <w:p w14:paraId="5BABB4CD" w14:textId="77777777" w:rsidR="003D504D" w:rsidRPr="001B6D67" w:rsidRDefault="003D504D" w:rsidP="003D504D">
      <w:pPr>
        <w:pStyle w:val="a3"/>
        <w:rPr>
          <w:rtl/>
        </w:rPr>
      </w:pPr>
      <w:bookmarkStart w:id="16296" w:name="_Toc535702454"/>
      <w:bookmarkStart w:id="16297" w:name="_Toc535750612"/>
      <w:bookmarkStart w:id="16298" w:name="_Toc19391157"/>
      <w:bookmarkStart w:id="16299" w:name="_Toc19394654"/>
      <w:r>
        <w:rPr>
          <w:rFonts w:hint="cs"/>
          <w:rtl/>
        </w:rPr>
        <w:t>קושית הכס"מ דאי אבר היוצא אסור אף לפני שנשחטה האם הרבה בהמות אסורות</w:t>
      </w:r>
      <w:bookmarkEnd w:id="16296"/>
      <w:bookmarkEnd w:id="16297"/>
      <w:bookmarkEnd w:id="16298"/>
      <w:bookmarkEnd w:id="16299"/>
      <w:r>
        <w:rPr>
          <w:rFonts w:hint="cs"/>
          <w:rtl/>
        </w:rPr>
        <w:t xml:space="preserve"> </w:t>
      </w:r>
    </w:p>
    <w:p w14:paraId="65440FEF" w14:textId="77777777" w:rsidR="003D504D" w:rsidRDefault="003D504D" w:rsidP="00223668">
      <w:pPr>
        <w:pStyle w:val="a0"/>
        <w:rPr>
          <w:rtl/>
        </w:rPr>
      </w:pPr>
      <w:bookmarkStart w:id="16300" w:name="_Ref535168119"/>
      <w:r>
        <w:rPr>
          <w:rFonts w:hint="cs"/>
          <w:rtl/>
        </w:rPr>
        <w:t xml:space="preserve">וכתב </w:t>
      </w:r>
      <w:r>
        <w:rPr>
          <w:rStyle w:val="af9"/>
          <w:rFonts w:hint="cs"/>
          <w:rtl/>
        </w:rPr>
        <w:t>ב</w:t>
      </w:r>
      <w:r w:rsidRPr="001B6D67">
        <w:rPr>
          <w:rStyle w:val="af9"/>
          <w:rFonts w:hint="cs"/>
          <w:rtl/>
        </w:rPr>
        <w:t>כס"מ ו</w:t>
      </w:r>
      <w:r>
        <w:rPr>
          <w:rStyle w:val="af9"/>
          <w:rFonts w:hint="cs"/>
          <w:rtl/>
        </w:rPr>
        <w:t>ב</w:t>
      </w:r>
      <w:r w:rsidRPr="001B6D67">
        <w:rPr>
          <w:rStyle w:val="af9"/>
          <w:rFonts w:hint="cs"/>
          <w:rtl/>
        </w:rPr>
        <w:t>ב"י</w:t>
      </w:r>
      <w:r>
        <w:rPr>
          <w:rFonts w:hint="cs"/>
          <w:rtl/>
        </w:rPr>
        <w:t xml:space="preserve"> דאף דבפשטות לשון </w:t>
      </w:r>
      <w:r w:rsidRPr="001B6D67">
        <w:rPr>
          <w:rStyle w:val="af9"/>
          <w:rFonts w:hint="cs"/>
          <w:rtl/>
        </w:rPr>
        <w:t>הרמב"ם</w:t>
      </w:r>
      <w:r>
        <w:rPr>
          <w:rFonts w:hint="cs"/>
          <w:rtl/>
        </w:rPr>
        <w:t xml:space="preserve"> משמע כדברי </w:t>
      </w:r>
      <w:r w:rsidRPr="001B6D67">
        <w:rPr>
          <w:rStyle w:val="af9"/>
          <w:rFonts w:hint="cs"/>
          <w:rtl/>
        </w:rPr>
        <w:t>הכל בו</w:t>
      </w:r>
      <w:r>
        <w:rPr>
          <w:rFonts w:hint="cs"/>
          <w:rtl/>
        </w:rPr>
        <w:t xml:space="preserve">, מ"מ צ"ל דאי"ז כוונתו, דא"כ בהרבה בהמות יש איסור אבר היוצא, דבשעה שנולדו יצאו אבריהם לפני הלידה, אלא מוכח דדין אבר היוצא הוא דוקא בבן פקועה שמותר בשחיטת אמו, וכדביארו </w:t>
      </w:r>
      <w:r w:rsidRPr="00897C34">
        <w:rPr>
          <w:rStyle w:val="af9"/>
          <w:rFonts w:hint="cs"/>
          <w:rtl/>
        </w:rPr>
        <w:t>המהר"ם והראש יוסף</w:t>
      </w:r>
      <w:r>
        <w:rPr>
          <w:rFonts w:hint="cs"/>
          <w:rtl/>
        </w:rPr>
        <w:t xml:space="preserve"> </w:t>
      </w:r>
      <w:r w:rsidRPr="00897C34">
        <w:rPr>
          <w:rStyle w:val="af7"/>
          <w:rFonts w:eastAsia="Guttman Hodes" w:hint="cs"/>
          <w:rtl/>
        </w:rPr>
        <w:t xml:space="preserve">(עי' אות </w:t>
      </w:r>
      <w:r w:rsidRPr="00897C34">
        <w:rPr>
          <w:rStyle w:val="af7"/>
          <w:rFonts w:eastAsia="Guttman Hodes"/>
          <w:rtl/>
        </w:rPr>
        <w:fldChar w:fldCharType="begin"/>
      </w:r>
      <w:r w:rsidRPr="00897C34">
        <w:rPr>
          <w:rStyle w:val="af7"/>
          <w:rFonts w:eastAsia="Guttman Hodes"/>
          <w:rtl/>
        </w:rPr>
        <w:instrText xml:space="preserve"> </w:instrText>
      </w:r>
      <w:r w:rsidRPr="00897C34">
        <w:rPr>
          <w:rStyle w:val="af7"/>
          <w:rFonts w:eastAsia="Guttman Hodes" w:hint="cs"/>
        </w:rPr>
        <w:instrText>REF</w:instrText>
      </w:r>
      <w:r w:rsidRPr="00897C34">
        <w:rPr>
          <w:rStyle w:val="af7"/>
          <w:rFonts w:eastAsia="Guttman Hodes" w:hint="cs"/>
          <w:rtl/>
        </w:rPr>
        <w:instrText xml:space="preserve"> _</w:instrText>
      </w:r>
      <w:r w:rsidRPr="00897C34">
        <w:rPr>
          <w:rStyle w:val="af7"/>
          <w:rFonts w:eastAsia="Guttman Hodes" w:hint="cs"/>
        </w:rPr>
        <w:instrText>Ref535509703 \r \h</w:instrText>
      </w:r>
      <w:r w:rsidRPr="00897C34">
        <w:rPr>
          <w:rStyle w:val="af7"/>
          <w:rFonts w:eastAsia="Guttman Hodes"/>
          <w:rtl/>
        </w:rPr>
        <w:instrText xml:space="preserve"> </w:instrText>
      </w:r>
      <w:r w:rsidRPr="00897C34">
        <w:rPr>
          <w:rStyle w:val="af7"/>
          <w:rFonts w:eastAsia="Guttman Hodes"/>
          <w:rtl/>
        </w:rPr>
      </w:r>
      <w:r w:rsidRPr="00897C34">
        <w:rPr>
          <w:rStyle w:val="af7"/>
          <w:rFonts w:eastAsia="Guttman Hodes"/>
          <w:rtl/>
        </w:rPr>
        <w:fldChar w:fldCharType="separate"/>
      </w:r>
      <w:r w:rsidR="00345400">
        <w:rPr>
          <w:rStyle w:val="af7"/>
          <w:rFonts w:eastAsia="Guttman Hodes"/>
          <w:cs/>
        </w:rPr>
        <w:t>‎</w:t>
      </w:r>
      <w:r w:rsidR="00345400">
        <w:rPr>
          <w:rStyle w:val="af7"/>
          <w:rFonts w:eastAsia="Guttman Hodes"/>
          <w:rtl/>
        </w:rPr>
        <w:t>מה)</w:t>
      </w:r>
      <w:r w:rsidRPr="00897C34">
        <w:rPr>
          <w:rStyle w:val="af7"/>
          <w:rFonts w:eastAsia="Guttman Hodes"/>
          <w:rtl/>
        </w:rPr>
        <w:fldChar w:fldCharType="end"/>
      </w:r>
      <w:r>
        <w:rPr>
          <w:rFonts w:hint="cs"/>
          <w:rtl/>
        </w:rPr>
        <w:t xml:space="preserve"> בדעת </w:t>
      </w:r>
      <w:r w:rsidRPr="00897C34">
        <w:rPr>
          <w:rStyle w:val="af9"/>
          <w:rFonts w:hint="cs"/>
          <w:rtl/>
        </w:rPr>
        <w:t>רש"י</w:t>
      </w:r>
      <w:r>
        <w:rPr>
          <w:rFonts w:hint="cs"/>
          <w:rtl/>
        </w:rPr>
        <w:t xml:space="preserve">, ועי' במה שתירץ </w:t>
      </w:r>
      <w:r w:rsidRPr="003471EF">
        <w:rPr>
          <w:rStyle w:val="af9"/>
          <w:rtl/>
        </w:rPr>
        <w:t>הפרי תואר [לבעל האוה"ח]</w:t>
      </w:r>
      <w:r>
        <w:rPr>
          <w:rFonts w:hint="cs"/>
          <w:rtl/>
        </w:rPr>
        <w:t xml:space="preserve"> </w:t>
      </w:r>
      <w:r w:rsidRPr="00A71249">
        <w:rPr>
          <w:rStyle w:val="af7"/>
          <w:rFonts w:eastAsia="Guttman Hodes" w:hint="cs"/>
          <w:rtl/>
        </w:rPr>
        <w:t xml:space="preserve">(עי' אות </w:t>
      </w:r>
      <w:r w:rsidRPr="00A71249">
        <w:rPr>
          <w:rStyle w:val="af7"/>
          <w:rFonts w:eastAsia="Guttman Hodes"/>
          <w:rtl/>
        </w:rPr>
        <w:fldChar w:fldCharType="begin"/>
      </w:r>
      <w:r w:rsidRPr="00A71249">
        <w:rPr>
          <w:rStyle w:val="af7"/>
          <w:rFonts w:eastAsia="Guttman Hodes"/>
          <w:rtl/>
        </w:rPr>
        <w:instrText xml:space="preserve"> </w:instrText>
      </w:r>
      <w:r w:rsidRPr="00A71249">
        <w:rPr>
          <w:rStyle w:val="af7"/>
          <w:rFonts w:eastAsia="Guttman Hodes" w:hint="cs"/>
        </w:rPr>
        <w:instrText>REF</w:instrText>
      </w:r>
      <w:r w:rsidRPr="00A71249">
        <w:rPr>
          <w:rStyle w:val="af7"/>
          <w:rFonts w:eastAsia="Guttman Hodes" w:hint="cs"/>
          <w:rtl/>
        </w:rPr>
        <w:instrText xml:space="preserve"> _</w:instrText>
      </w:r>
      <w:r w:rsidRPr="00A71249">
        <w:rPr>
          <w:rStyle w:val="af7"/>
          <w:rFonts w:eastAsia="Guttman Hodes" w:hint="cs"/>
        </w:rPr>
        <w:instrText>Ref535698450 \r \h</w:instrText>
      </w:r>
      <w:r w:rsidRPr="00A71249">
        <w:rPr>
          <w:rStyle w:val="af7"/>
          <w:rFonts w:eastAsia="Guttman Hodes"/>
          <w:rtl/>
        </w:rPr>
        <w:instrText xml:space="preserve"> </w:instrText>
      </w:r>
      <w:r w:rsidRPr="00A71249">
        <w:rPr>
          <w:rStyle w:val="af7"/>
          <w:rFonts w:eastAsia="Guttman Hodes"/>
          <w:rtl/>
        </w:rPr>
      </w:r>
      <w:r w:rsidRPr="00A71249">
        <w:rPr>
          <w:rStyle w:val="af7"/>
          <w:rFonts w:eastAsia="Guttman Hodes"/>
          <w:rtl/>
        </w:rPr>
        <w:fldChar w:fldCharType="separate"/>
      </w:r>
      <w:r w:rsidR="00345400">
        <w:rPr>
          <w:rStyle w:val="af7"/>
          <w:rFonts w:eastAsia="Guttman Hodes"/>
          <w:cs/>
        </w:rPr>
        <w:t>‎</w:t>
      </w:r>
      <w:r w:rsidR="00345400">
        <w:rPr>
          <w:rStyle w:val="af7"/>
          <w:rFonts w:eastAsia="Guttman Hodes"/>
          <w:rtl/>
        </w:rPr>
        <w:t>קיב)</w:t>
      </w:r>
      <w:r w:rsidRPr="00A71249">
        <w:rPr>
          <w:rStyle w:val="af7"/>
          <w:rFonts w:eastAsia="Guttman Hodes"/>
          <w:rtl/>
        </w:rPr>
        <w:fldChar w:fldCharType="end"/>
      </w:r>
      <w:r>
        <w:rPr>
          <w:rFonts w:hint="cs"/>
          <w:rtl/>
        </w:rPr>
        <w:t>.</w:t>
      </w:r>
      <w:bookmarkEnd w:id="16300"/>
    </w:p>
    <w:p w14:paraId="7F244080" w14:textId="77777777" w:rsidR="003D504D" w:rsidRPr="001B6D67" w:rsidRDefault="003D504D" w:rsidP="003D504D">
      <w:pPr>
        <w:pStyle w:val="a3"/>
        <w:rPr>
          <w:rtl/>
        </w:rPr>
      </w:pPr>
      <w:bookmarkStart w:id="16301" w:name="_Toc535702455"/>
      <w:bookmarkStart w:id="16302" w:name="_Toc535750613"/>
      <w:bookmarkStart w:id="16303" w:name="_Toc19391158"/>
      <w:bookmarkStart w:id="16304" w:name="_Toc19394655"/>
      <w:r>
        <w:rPr>
          <w:rFonts w:hint="cs"/>
          <w:rtl/>
        </w:rPr>
        <w:t>דחיית הכס"מ דאף לדעת הרמב"ם</w:t>
      </w:r>
      <w:r w:rsidRPr="00F052E2">
        <w:rPr>
          <w:rFonts w:hint="cs"/>
          <w:rtl/>
        </w:rPr>
        <w:t xml:space="preserve"> </w:t>
      </w:r>
      <w:r>
        <w:rPr>
          <w:rFonts w:hint="cs"/>
          <w:rtl/>
        </w:rPr>
        <w:t>אבר היוצא מותר אם נולד לפני שנשחטה אמו</w:t>
      </w:r>
      <w:bookmarkEnd w:id="16301"/>
      <w:bookmarkEnd w:id="16302"/>
      <w:bookmarkEnd w:id="16303"/>
      <w:bookmarkEnd w:id="16304"/>
      <w:r>
        <w:rPr>
          <w:rFonts w:hint="cs"/>
          <w:rtl/>
        </w:rPr>
        <w:t xml:space="preserve"> </w:t>
      </w:r>
    </w:p>
    <w:p w14:paraId="2CCB784B" w14:textId="77777777" w:rsidR="003D504D" w:rsidRDefault="003D504D" w:rsidP="00223668">
      <w:pPr>
        <w:pStyle w:val="a0"/>
        <w:rPr>
          <w:rtl/>
        </w:rPr>
      </w:pPr>
      <w:bookmarkStart w:id="16305" w:name="_Ref535168113"/>
      <w:r>
        <w:rPr>
          <w:rFonts w:hint="cs"/>
          <w:rtl/>
        </w:rPr>
        <w:t xml:space="preserve">אלא ביאר </w:t>
      </w:r>
      <w:r>
        <w:rPr>
          <w:rStyle w:val="af9"/>
          <w:rFonts w:hint="cs"/>
          <w:rtl/>
        </w:rPr>
        <w:t>ב</w:t>
      </w:r>
      <w:r w:rsidRPr="001B6D67">
        <w:rPr>
          <w:rStyle w:val="af9"/>
          <w:rFonts w:hint="cs"/>
          <w:rtl/>
        </w:rPr>
        <w:t>כס"מ ו</w:t>
      </w:r>
      <w:r>
        <w:rPr>
          <w:rStyle w:val="af9"/>
          <w:rFonts w:hint="cs"/>
          <w:rtl/>
        </w:rPr>
        <w:t>ב</w:t>
      </w:r>
      <w:r w:rsidRPr="001B6D67">
        <w:rPr>
          <w:rStyle w:val="af9"/>
          <w:rFonts w:hint="cs"/>
          <w:rtl/>
        </w:rPr>
        <w:t>ב"י</w:t>
      </w:r>
      <w:r>
        <w:rPr>
          <w:rFonts w:hint="cs"/>
          <w:rtl/>
        </w:rPr>
        <w:t xml:space="preserve"> דאף לדעת </w:t>
      </w:r>
      <w:r w:rsidRPr="001B6D67">
        <w:rPr>
          <w:rStyle w:val="af9"/>
          <w:rFonts w:hint="cs"/>
          <w:rtl/>
        </w:rPr>
        <w:t>הרמב"ם</w:t>
      </w:r>
      <w:r>
        <w:rPr>
          <w:rFonts w:hint="cs"/>
          <w:rtl/>
        </w:rPr>
        <w:t xml:space="preserve"> אם נולד העובר לפני שחיטת אמו, אין בו איסור אבר היוצא, וכוונת </w:t>
      </w:r>
      <w:r w:rsidRPr="001B6D67">
        <w:rPr>
          <w:rStyle w:val="af9"/>
          <w:rFonts w:hint="cs"/>
          <w:rtl/>
        </w:rPr>
        <w:t>הרמב"ם</w:t>
      </w:r>
      <w:r>
        <w:rPr>
          <w:rFonts w:hint="cs"/>
          <w:rtl/>
        </w:rPr>
        <w:t xml:space="preserve"> לומר דכשנשחטה אמו בין אם הוציאוהו מת, ובין אם הוציאוהו חי וחי כמה שנים, שבשניהם יש בו איסור אבר היוצא.</w:t>
      </w:r>
      <w:bookmarkEnd w:id="16305"/>
    </w:p>
    <w:p w14:paraId="14D2B096" w14:textId="77777777" w:rsidR="003D504D" w:rsidRPr="00BF0B6D" w:rsidRDefault="003D504D" w:rsidP="003D504D">
      <w:pPr>
        <w:pStyle w:val="a3"/>
      </w:pPr>
      <w:bookmarkStart w:id="16306" w:name="_Toc535702456"/>
      <w:bookmarkStart w:id="16307" w:name="_Toc535750614"/>
      <w:bookmarkStart w:id="16308" w:name="_Toc19391159"/>
      <w:bookmarkStart w:id="16309" w:name="_Toc19394656"/>
      <w:r>
        <w:rPr>
          <w:rFonts w:hint="cs"/>
          <w:rtl/>
        </w:rPr>
        <w:t>ביאור הב"ח בלשון הרמב"ם דיצא אחר השחיטה בדרך לידה</w:t>
      </w:r>
      <w:bookmarkEnd w:id="16306"/>
      <w:bookmarkEnd w:id="16307"/>
      <w:bookmarkEnd w:id="16308"/>
      <w:bookmarkEnd w:id="16309"/>
    </w:p>
    <w:p w14:paraId="71CD2E13" w14:textId="77777777" w:rsidR="003D504D" w:rsidRDefault="003D504D" w:rsidP="00223668">
      <w:pPr>
        <w:pStyle w:val="a0"/>
        <w:rPr>
          <w:rtl/>
        </w:rPr>
      </w:pPr>
      <w:r w:rsidRPr="003D4D07">
        <w:rPr>
          <w:rStyle w:val="af9"/>
          <w:rFonts w:hint="cs"/>
          <w:rtl/>
        </w:rPr>
        <w:t>והב"ח</w:t>
      </w:r>
      <w:r>
        <w:rPr>
          <w:rFonts w:hint="cs"/>
          <w:rtl/>
        </w:rPr>
        <w:t xml:space="preserve"> </w:t>
      </w:r>
      <w:r w:rsidRPr="00BF0B6D">
        <w:rPr>
          <w:rStyle w:val="af7"/>
          <w:rFonts w:eastAsia="Guttman Hodes" w:hint="cs"/>
          <w:rtl/>
        </w:rPr>
        <w:t>(סי'</w:t>
      </w:r>
      <w:r w:rsidRPr="003D4D07">
        <w:rPr>
          <w:rStyle w:val="af7"/>
          <w:rFonts w:eastAsia="Guttman Hodes" w:hint="cs"/>
          <w:rtl/>
        </w:rPr>
        <w:t xml:space="preserve"> י"ד ז')</w:t>
      </w:r>
      <w:r>
        <w:rPr>
          <w:rFonts w:hint="cs"/>
          <w:rtl/>
        </w:rPr>
        <w:t xml:space="preserve"> ביאר דמ"ש </w:t>
      </w:r>
      <w:r w:rsidRPr="003D4D07">
        <w:rPr>
          <w:rStyle w:val="af9"/>
          <w:rFonts w:hint="cs"/>
          <w:rtl/>
        </w:rPr>
        <w:t>הרמב"ם</w:t>
      </w:r>
      <w:r>
        <w:rPr>
          <w:rFonts w:hint="cs"/>
          <w:rtl/>
        </w:rPr>
        <w:t xml:space="preserve"> "או נולד" כוונתו לומר דאף אם לאחר שנשחטה אמו, יצא הולד בדרך לידה, ג"כ האבר אסור ואינו ניתר בשחיטת אמו.</w:t>
      </w:r>
    </w:p>
    <w:p w14:paraId="676D88F5" w14:textId="77777777" w:rsidR="003D504D" w:rsidRPr="0062294F" w:rsidRDefault="003D504D" w:rsidP="003D504D">
      <w:pPr>
        <w:pStyle w:val="a3"/>
      </w:pPr>
      <w:bookmarkStart w:id="16310" w:name="_Toc535702457"/>
      <w:bookmarkStart w:id="16311" w:name="_Toc535750615"/>
      <w:bookmarkStart w:id="16312" w:name="_Toc19391160"/>
      <w:bookmarkStart w:id="16313" w:name="_Toc19394657"/>
      <w:r>
        <w:rPr>
          <w:rFonts w:hint="cs"/>
          <w:rtl/>
        </w:rPr>
        <w:t>דברי הכס"מ דבסמ"ג מבואר דלהרמב"ם אבר היוצא מותר אם נולד לפני שנשחטה אמו</w:t>
      </w:r>
      <w:bookmarkEnd w:id="16310"/>
      <w:bookmarkEnd w:id="16311"/>
      <w:bookmarkEnd w:id="16312"/>
      <w:bookmarkEnd w:id="16313"/>
    </w:p>
    <w:p w14:paraId="702C1B28" w14:textId="77777777" w:rsidR="003D504D" w:rsidRDefault="003D504D" w:rsidP="00223668">
      <w:pPr>
        <w:pStyle w:val="a0"/>
        <w:rPr>
          <w:rtl/>
        </w:rPr>
      </w:pPr>
      <w:bookmarkStart w:id="16314" w:name="_Ref535696846"/>
      <w:r>
        <w:rPr>
          <w:rFonts w:hint="cs"/>
          <w:rtl/>
        </w:rPr>
        <w:t xml:space="preserve">והביא </w:t>
      </w:r>
      <w:r>
        <w:rPr>
          <w:rStyle w:val="af9"/>
          <w:rFonts w:hint="cs"/>
          <w:rtl/>
        </w:rPr>
        <w:t>ב</w:t>
      </w:r>
      <w:r w:rsidRPr="000916D8">
        <w:rPr>
          <w:rStyle w:val="af9"/>
          <w:rFonts w:hint="cs"/>
          <w:rtl/>
        </w:rPr>
        <w:t>כס"מ</w:t>
      </w:r>
      <w:r>
        <w:rPr>
          <w:rFonts w:hint="cs"/>
          <w:rtl/>
        </w:rPr>
        <w:t xml:space="preserve"> </w:t>
      </w:r>
      <w:r w:rsidRPr="009C4DA5">
        <w:rPr>
          <w:rStyle w:val="af7"/>
          <w:rFonts w:eastAsia="Guttman Hodes" w:hint="cs"/>
          <w:rtl/>
        </w:rPr>
        <w:t>(מאכ"א פ"ה ה"ט)</w:t>
      </w:r>
      <w:r>
        <w:rPr>
          <w:rFonts w:hint="cs"/>
          <w:rtl/>
        </w:rPr>
        <w:t xml:space="preserve"> </w:t>
      </w:r>
      <w:r w:rsidRPr="00B468D6">
        <w:rPr>
          <w:rStyle w:val="af9"/>
          <w:rFonts w:hint="cs"/>
          <w:rtl/>
        </w:rPr>
        <w:t>ו</w:t>
      </w:r>
      <w:r>
        <w:rPr>
          <w:rStyle w:val="af9"/>
          <w:rFonts w:hint="cs"/>
          <w:rtl/>
        </w:rPr>
        <w:t>ב</w:t>
      </w:r>
      <w:r w:rsidRPr="00B468D6">
        <w:rPr>
          <w:rStyle w:val="af9"/>
          <w:rFonts w:hint="cs"/>
          <w:rtl/>
        </w:rPr>
        <w:t>ב"י</w:t>
      </w:r>
      <w:r>
        <w:rPr>
          <w:rFonts w:hint="cs"/>
          <w:rtl/>
        </w:rPr>
        <w:t xml:space="preserve"> </w:t>
      </w:r>
      <w:r w:rsidRPr="00B468D6">
        <w:rPr>
          <w:rStyle w:val="af7"/>
          <w:rFonts w:eastAsia="Guttman Hodes" w:hint="cs"/>
          <w:rtl/>
        </w:rPr>
        <w:t>(סי' י"ד ב'</w:t>
      </w:r>
      <w:r>
        <w:rPr>
          <w:rStyle w:val="af7"/>
          <w:rFonts w:eastAsia="Guttman Hodes" w:hint="cs"/>
          <w:rtl/>
        </w:rPr>
        <w:t xml:space="preserve"> ד"ה ולכאו'</w:t>
      </w:r>
      <w:r w:rsidRPr="00B468D6">
        <w:rPr>
          <w:rStyle w:val="af7"/>
          <w:rFonts w:eastAsia="Guttman Hodes" w:hint="cs"/>
          <w:rtl/>
        </w:rPr>
        <w:t>)</w:t>
      </w:r>
      <w:r>
        <w:rPr>
          <w:rFonts w:hint="cs"/>
          <w:rtl/>
        </w:rPr>
        <w:t xml:space="preserve"> את דברי </w:t>
      </w:r>
      <w:r w:rsidRPr="001B6D67">
        <w:rPr>
          <w:rStyle w:val="af9"/>
          <w:rFonts w:hint="cs"/>
          <w:rtl/>
        </w:rPr>
        <w:t xml:space="preserve">הסמ"ג </w:t>
      </w:r>
      <w:r w:rsidRPr="00D92065">
        <w:rPr>
          <w:rStyle w:val="af7"/>
          <w:rFonts w:eastAsia="Guttman Hodes" w:hint="cs"/>
          <w:rtl/>
        </w:rPr>
        <w:t>(לאוין קל"ו ד"ה בפרק)</w:t>
      </w:r>
      <w:r>
        <w:rPr>
          <w:rStyle w:val="af9"/>
          <w:rFonts w:hint="cs"/>
          <w:rtl/>
        </w:rPr>
        <w:t xml:space="preserve"> </w:t>
      </w:r>
      <w:r>
        <w:rPr>
          <w:rFonts w:hint="cs"/>
          <w:rtl/>
        </w:rPr>
        <w:t>ש</w:t>
      </w:r>
      <w:r w:rsidRPr="009B2038">
        <w:rPr>
          <w:rFonts w:hint="cs"/>
          <w:rtl/>
        </w:rPr>
        <w:t xml:space="preserve">העתיק את לשון </w:t>
      </w:r>
      <w:r w:rsidRPr="009B2038">
        <w:rPr>
          <w:rStyle w:val="af9"/>
          <w:rFonts w:hint="cs"/>
          <w:rtl/>
        </w:rPr>
        <w:t>הרמב"ם</w:t>
      </w:r>
      <w:r w:rsidRPr="009B2038">
        <w:rPr>
          <w:rFonts w:hint="cs"/>
          <w:rtl/>
        </w:rPr>
        <w:t xml:space="preserve">, והוסיף </w:t>
      </w:r>
      <w:r w:rsidRPr="001B6D67">
        <w:rPr>
          <w:rStyle w:val="af9"/>
          <w:rFonts w:hint="cs"/>
          <w:rtl/>
        </w:rPr>
        <w:t>הסמ"ג</w:t>
      </w:r>
      <w:r>
        <w:rPr>
          <w:rStyle w:val="af9"/>
          <w:rFonts w:hint="cs"/>
          <w:rtl/>
        </w:rPr>
        <w:t xml:space="preserve"> </w:t>
      </w:r>
      <w:r w:rsidRPr="009B2038">
        <w:rPr>
          <w:rFonts w:hint="cs"/>
          <w:rtl/>
        </w:rPr>
        <w:t>דהאיסור באבר היוצא בנולד וחי כמה שנים, הוא כשנולד אחר שנשחטה אמו,</w:t>
      </w:r>
      <w:r w:rsidRPr="00D92065">
        <w:rPr>
          <w:rStyle w:val="afb"/>
          <w:rFonts w:hint="cs"/>
          <w:rtl/>
        </w:rPr>
        <w:t xml:space="preserve"> </w:t>
      </w:r>
      <w:r>
        <w:rPr>
          <w:rFonts w:hint="cs"/>
          <w:rtl/>
        </w:rPr>
        <w:t xml:space="preserve">וכתב </w:t>
      </w:r>
      <w:r>
        <w:rPr>
          <w:rStyle w:val="af9"/>
          <w:rFonts w:hint="cs"/>
          <w:rtl/>
        </w:rPr>
        <w:t>ב</w:t>
      </w:r>
      <w:r w:rsidRPr="001B6D67">
        <w:rPr>
          <w:rStyle w:val="af9"/>
          <w:rFonts w:hint="cs"/>
          <w:rtl/>
        </w:rPr>
        <w:t>כס"מ ו</w:t>
      </w:r>
      <w:r>
        <w:rPr>
          <w:rStyle w:val="af9"/>
          <w:rFonts w:hint="cs"/>
          <w:rtl/>
        </w:rPr>
        <w:t>ב</w:t>
      </w:r>
      <w:r w:rsidRPr="001B6D67">
        <w:rPr>
          <w:rStyle w:val="af9"/>
          <w:rFonts w:hint="cs"/>
          <w:rtl/>
        </w:rPr>
        <w:t>ב"י</w:t>
      </w:r>
      <w:r>
        <w:rPr>
          <w:rFonts w:hint="cs"/>
          <w:rtl/>
        </w:rPr>
        <w:t xml:space="preserve"> דמבואר מדברי </w:t>
      </w:r>
      <w:r w:rsidRPr="0062294F">
        <w:rPr>
          <w:rStyle w:val="af9"/>
          <w:rFonts w:hint="cs"/>
          <w:rtl/>
        </w:rPr>
        <w:t>הסמ"ג</w:t>
      </w:r>
      <w:r>
        <w:rPr>
          <w:rFonts w:hint="cs"/>
          <w:rtl/>
        </w:rPr>
        <w:t xml:space="preserve"> דאיסור אבר היוצא הוא רק בבן פקועה שניתר בשחיטת אמו, </w:t>
      </w:r>
      <w:r w:rsidRPr="00CC11A3">
        <w:rPr>
          <w:rStyle w:val="afb"/>
          <w:rFonts w:hint="cs"/>
          <w:rtl/>
        </w:rPr>
        <w:t xml:space="preserve">[אף לדעת </w:t>
      </w:r>
      <w:r w:rsidRPr="00CC11A3">
        <w:rPr>
          <w:rStyle w:val="affa"/>
          <w:rFonts w:hint="cs"/>
          <w:rtl/>
        </w:rPr>
        <w:t>הרמב"ם</w:t>
      </w:r>
      <w:r w:rsidRPr="00CC11A3">
        <w:rPr>
          <w:rStyle w:val="afb"/>
          <w:rFonts w:hint="cs"/>
          <w:rtl/>
        </w:rPr>
        <w:t>]</w:t>
      </w:r>
      <w:r>
        <w:rPr>
          <w:rFonts w:hint="cs"/>
          <w:rtl/>
        </w:rPr>
        <w:t xml:space="preserve">, וכתב </w:t>
      </w:r>
      <w:r>
        <w:rPr>
          <w:rStyle w:val="af9"/>
          <w:rFonts w:hint="cs"/>
          <w:rtl/>
        </w:rPr>
        <w:t>ב</w:t>
      </w:r>
      <w:r w:rsidRPr="006E030A">
        <w:rPr>
          <w:rStyle w:val="af9"/>
          <w:rFonts w:hint="cs"/>
          <w:rtl/>
        </w:rPr>
        <w:t>כס"מ ו</w:t>
      </w:r>
      <w:r>
        <w:rPr>
          <w:rStyle w:val="af9"/>
          <w:rFonts w:hint="cs"/>
          <w:rtl/>
        </w:rPr>
        <w:t>ב</w:t>
      </w:r>
      <w:r w:rsidRPr="006E030A">
        <w:rPr>
          <w:rStyle w:val="af9"/>
          <w:rFonts w:hint="cs"/>
          <w:rtl/>
        </w:rPr>
        <w:t>ב"י</w:t>
      </w:r>
      <w:r>
        <w:rPr>
          <w:rFonts w:hint="cs"/>
          <w:rtl/>
        </w:rPr>
        <w:t xml:space="preserve"> דכן מבואר בדברי </w:t>
      </w:r>
      <w:r w:rsidRPr="006E030A">
        <w:rPr>
          <w:rStyle w:val="af9"/>
          <w:rFonts w:hint="cs"/>
          <w:rtl/>
        </w:rPr>
        <w:t>הרשב"א בתוה"ב</w:t>
      </w:r>
      <w:r>
        <w:rPr>
          <w:rFonts w:hint="cs"/>
          <w:rtl/>
        </w:rPr>
        <w:t xml:space="preserve"> </w:t>
      </w:r>
      <w:r w:rsidRPr="00EC4E24">
        <w:rPr>
          <w:rStyle w:val="af7"/>
          <w:rFonts w:eastAsia="Guttman Hodes" w:hint="cs"/>
          <w:rtl/>
        </w:rPr>
        <w:t xml:space="preserve">(עי' אות </w:t>
      </w:r>
      <w:r w:rsidRPr="00EC4E24">
        <w:rPr>
          <w:rStyle w:val="af7"/>
          <w:rFonts w:eastAsia="Guttman Hodes"/>
          <w:rtl/>
        </w:rPr>
        <w:fldChar w:fldCharType="begin"/>
      </w:r>
      <w:r w:rsidRPr="00EC4E24">
        <w:rPr>
          <w:rStyle w:val="af7"/>
          <w:rFonts w:eastAsia="Guttman Hodes"/>
          <w:rtl/>
        </w:rPr>
        <w:instrText xml:space="preserve"> </w:instrText>
      </w:r>
      <w:r w:rsidRPr="00EC4E24">
        <w:rPr>
          <w:rStyle w:val="af7"/>
          <w:rFonts w:eastAsia="Guttman Hodes" w:hint="cs"/>
        </w:rPr>
        <w:instrText>REF</w:instrText>
      </w:r>
      <w:r w:rsidRPr="00EC4E24">
        <w:rPr>
          <w:rStyle w:val="af7"/>
          <w:rFonts w:eastAsia="Guttman Hodes" w:hint="cs"/>
          <w:rtl/>
        </w:rPr>
        <w:instrText xml:space="preserve"> _</w:instrText>
      </w:r>
      <w:r w:rsidRPr="00EC4E24">
        <w:rPr>
          <w:rStyle w:val="af7"/>
          <w:rFonts w:eastAsia="Guttman Hodes" w:hint="cs"/>
        </w:rPr>
        <w:instrText>Ref535697473 \r \h</w:instrText>
      </w:r>
      <w:r w:rsidRPr="00EC4E24">
        <w:rPr>
          <w:rStyle w:val="af7"/>
          <w:rFonts w:eastAsia="Guttman Hodes"/>
          <w:rtl/>
        </w:rPr>
        <w:instrText xml:space="preserve"> </w:instrText>
      </w:r>
      <w:r w:rsidRPr="00EC4E24">
        <w:rPr>
          <w:rStyle w:val="af7"/>
          <w:rFonts w:eastAsia="Guttman Hodes"/>
          <w:rtl/>
        </w:rPr>
      </w:r>
      <w:r w:rsidRPr="00EC4E24">
        <w:rPr>
          <w:rStyle w:val="af7"/>
          <w:rFonts w:eastAsia="Guttman Hodes"/>
          <w:rtl/>
        </w:rPr>
        <w:fldChar w:fldCharType="separate"/>
      </w:r>
      <w:r w:rsidR="00345400">
        <w:rPr>
          <w:rStyle w:val="af7"/>
          <w:rFonts w:eastAsia="Guttman Hodes"/>
          <w:cs/>
        </w:rPr>
        <w:t>‎</w:t>
      </w:r>
      <w:r w:rsidR="00345400">
        <w:rPr>
          <w:rStyle w:val="af7"/>
          <w:rFonts w:eastAsia="Guttman Hodes"/>
          <w:rtl/>
        </w:rPr>
        <w:t>מח)</w:t>
      </w:r>
      <w:r w:rsidRPr="00EC4E24">
        <w:rPr>
          <w:rStyle w:val="af7"/>
          <w:rFonts w:eastAsia="Guttman Hodes"/>
          <w:rtl/>
        </w:rPr>
        <w:fldChar w:fldCharType="end"/>
      </w:r>
      <w:r>
        <w:rPr>
          <w:rFonts w:hint="cs"/>
          <w:rtl/>
        </w:rPr>
        <w:t>.</w:t>
      </w:r>
      <w:bookmarkEnd w:id="16314"/>
    </w:p>
    <w:p w14:paraId="671ACCE8" w14:textId="77777777" w:rsidR="003D504D" w:rsidRPr="00EC4E24" w:rsidRDefault="003D504D" w:rsidP="00BF39B2">
      <w:pPr>
        <w:pStyle w:val="1"/>
        <w:rPr>
          <w:rtl/>
        </w:rPr>
      </w:pPr>
      <w:bookmarkStart w:id="16315" w:name="_Toc535702458"/>
      <w:bookmarkStart w:id="16316" w:name="_Toc535750616"/>
      <w:bookmarkStart w:id="16317" w:name="_Toc19391161"/>
      <w:bookmarkStart w:id="16318" w:name="_Toc19394658"/>
      <w:r w:rsidRPr="00B81966">
        <w:rPr>
          <w:rFonts w:hint="cs"/>
          <w:rtl/>
        </w:rPr>
        <w:t>ביאור הפרי תואר</w:t>
      </w:r>
      <w:r>
        <w:rPr>
          <w:rFonts w:hint="cs"/>
          <w:rtl/>
        </w:rPr>
        <w:t xml:space="preserve"> </w:t>
      </w:r>
      <w:r w:rsidRPr="00B81966">
        <w:rPr>
          <w:rFonts w:hint="cs"/>
          <w:rtl/>
        </w:rPr>
        <w:t>ברמב"ם</w:t>
      </w:r>
      <w:r>
        <w:rPr>
          <w:rFonts w:hint="cs"/>
          <w:rtl/>
        </w:rPr>
        <w:t xml:space="preserve"> דאחר שנאסר א"א להתירו בנולד</w:t>
      </w:r>
      <w:bookmarkEnd w:id="16315"/>
      <w:bookmarkEnd w:id="16316"/>
      <w:bookmarkEnd w:id="16317"/>
      <w:bookmarkEnd w:id="16318"/>
    </w:p>
    <w:p w14:paraId="0A33D865" w14:textId="77777777" w:rsidR="003D504D" w:rsidRDefault="003D504D" w:rsidP="003D504D">
      <w:pPr>
        <w:pStyle w:val="a3"/>
        <w:rPr>
          <w:rtl/>
        </w:rPr>
      </w:pPr>
      <w:bookmarkStart w:id="16319" w:name="_Toc535702459"/>
      <w:bookmarkStart w:id="16320" w:name="_Toc535750617"/>
      <w:bookmarkStart w:id="16321" w:name="_Toc19391162"/>
      <w:bookmarkStart w:id="16322" w:name="_Toc19394659"/>
      <w:r>
        <w:rPr>
          <w:rFonts w:hint="cs"/>
          <w:rtl/>
        </w:rPr>
        <w:t>דברי הפרי תואר דמדכתב הרמב"ם דהוא כבשר הפורש מן החי מוכח כהבנת הכל בו דאסור</w:t>
      </w:r>
      <w:bookmarkEnd w:id="16319"/>
      <w:bookmarkEnd w:id="16320"/>
      <w:bookmarkEnd w:id="16321"/>
      <w:bookmarkEnd w:id="16322"/>
    </w:p>
    <w:p w14:paraId="020154B1" w14:textId="77777777" w:rsidR="003D504D" w:rsidRDefault="003D504D" w:rsidP="00223668">
      <w:pPr>
        <w:pStyle w:val="a0"/>
        <w:rPr>
          <w:rtl/>
        </w:rPr>
      </w:pPr>
      <w:bookmarkStart w:id="16323" w:name="_Ref535509928"/>
      <w:r>
        <w:rPr>
          <w:rFonts w:hint="cs"/>
          <w:rtl/>
        </w:rPr>
        <w:t xml:space="preserve">אבל </w:t>
      </w:r>
      <w:r w:rsidRPr="003471EF">
        <w:rPr>
          <w:rStyle w:val="af9"/>
          <w:rtl/>
        </w:rPr>
        <w:t>הפרי תואר [לבעל האוה"ח]</w:t>
      </w:r>
      <w:r w:rsidRPr="003471EF">
        <w:rPr>
          <w:rStyle w:val="af9"/>
          <w:rFonts w:hint="cs"/>
          <w:rtl/>
        </w:rPr>
        <w:t xml:space="preserve"> </w:t>
      </w:r>
      <w:r w:rsidRPr="002C0C4D">
        <w:rPr>
          <w:rStyle w:val="af7"/>
          <w:rFonts w:eastAsia="Guttman Hodes" w:hint="cs"/>
          <w:rtl/>
        </w:rPr>
        <w:t>(</w:t>
      </w:r>
      <w:r>
        <w:rPr>
          <w:rStyle w:val="af1"/>
          <w:rtl/>
        </w:rPr>
        <w:footnoteReference w:id="111"/>
      </w:r>
      <w:r w:rsidRPr="002C0C4D">
        <w:rPr>
          <w:rStyle w:val="af7"/>
          <w:rFonts w:eastAsia="Guttman Hodes" w:hint="cs"/>
          <w:rtl/>
        </w:rPr>
        <w:t xml:space="preserve">סי' י"ד סק"ג ד"ה אלא למה) </w:t>
      </w:r>
      <w:r>
        <w:rPr>
          <w:rFonts w:hint="cs"/>
          <w:rtl/>
        </w:rPr>
        <w:t xml:space="preserve">כתב דמשמעות דברי </w:t>
      </w:r>
      <w:r w:rsidRPr="002C0C4D">
        <w:rPr>
          <w:rStyle w:val="af9"/>
          <w:rFonts w:hint="cs"/>
          <w:rtl/>
        </w:rPr>
        <w:t>הרמב"ם</w:t>
      </w:r>
      <w:r>
        <w:rPr>
          <w:rFonts w:hint="cs"/>
          <w:rtl/>
        </w:rPr>
        <w:t xml:space="preserve"> היא כדביאר </w:t>
      </w:r>
      <w:r w:rsidRPr="002C0C4D">
        <w:rPr>
          <w:rStyle w:val="af9"/>
          <w:rFonts w:hint="cs"/>
          <w:rtl/>
        </w:rPr>
        <w:t>הכל בו</w:t>
      </w:r>
      <w:r>
        <w:rPr>
          <w:rFonts w:hint="cs"/>
          <w:rtl/>
        </w:rPr>
        <w:t xml:space="preserve">, דאף אם נולד העובר האבר אסור, ומה שביאר </w:t>
      </w:r>
      <w:r w:rsidRPr="002C0C4D">
        <w:rPr>
          <w:rStyle w:val="af9"/>
          <w:rFonts w:hint="cs"/>
          <w:rtl/>
        </w:rPr>
        <w:t>הכס"מ</w:t>
      </w:r>
      <w:r>
        <w:rPr>
          <w:rFonts w:hint="cs"/>
          <w:rtl/>
        </w:rPr>
        <w:t xml:space="preserve"> </w:t>
      </w:r>
      <w:r w:rsidRPr="009D5C2F">
        <w:rPr>
          <w:rStyle w:val="af7"/>
          <w:rFonts w:eastAsia="Guttman Hodes" w:hint="cs"/>
          <w:rtl/>
        </w:rPr>
        <w:t xml:space="preserve">(עי' אות </w:t>
      </w:r>
      <w:r w:rsidRPr="009D5C2F">
        <w:rPr>
          <w:rStyle w:val="af7"/>
          <w:rFonts w:eastAsia="Guttman Hodes"/>
          <w:rtl/>
        </w:rPr>
        <w:fldChar w:fldCharType="begin"/>
      </w:r>
      <w:r w:rsidRPr="009D5C2F">
        <w:rPr>
          <w:rStyle w:val="af7"/>
          <w:rFonts w:eastAsia="Guttman Hodes"/>
          <w:rtl/>
        </w:rPr>
        <w:instrText xml:space="preserve"> </w:instrText>
      </w:r>
      <w:r w:rsidRPr="009D5C2F">
        <w:rPr>
          <w:rStyle w:val="af7"/>
          <w:rFonts w:eastAsia="Guttman Hodes" w:hint="cs"/>
        </w:rPr>
        <w:instrText>REF</w:instrText>
      </w:r>
      <w:r w:rsidRPr="009D5C2F">
        <w:rPr>
          <w:rStyle w:val="af7"/>
          <w:rFonts w:eastAsia="Guttman Hodes" w:hint="cs"/>
          <w:rtl/>
        </w:rPr>
        <w:instrText xml:space="preserve"> _</w:instrText>
      </w:r>
      <w:r w:rsidRPr="009D5C2F">
        <w:rPr>
          <w:rStyle w:val="af7"/>
          <w:rFonts w:eastAsia="Guttman Hodes" w:hint="cs"/>
        </w:rPr>
        <w:instrText>Ref535168113 \r \h</w:instrText>
      </w:r>
      <w:r w:rsidRPr="009D5C2F">
        <w:rPr>
          <w:rStyle w:val="af7"/>
          <w:rFonts w:eastAsia="Guttman Hodes"/>
          <w:rtl/>
        </w:rPr>
        <w:instrText xml:space="preserve"> </w:instrText>
      </w:r>
      <w:r w:rsidRPr="009D5C2F">
        <w:rPr>
          <w:rStyle w:val="af7"/>
          <w:rFonts w:eastAsia="Guttman Hodes"/>
          <w:rtl/>
        </w:rPr>
      </w:r>
      <w:r w:rsidRPr="009D5C2F">
        <w:rPr>
          <w:rStyle w:val="af7"/>
          <w:rFonts w:eastAsia="Guttman Hodes"/>
          <w:rtl/>
        </w:rPr>
        <w:fldChar w:fldCharType="separate"/>
      </w:r>
      <w:r w:rsidR="00345400">
        <w:rPr>
          <w:rStyle w:val="af7"/>
          <w:rFonts w:eastAsia="Guttman Hodes"/>
          <w:cs/>
        </w:rPr>
        <w:t>‎</w:t>
      </w:r>
      <w:r w:rsidR="00345400">
        <w:rPr>
          <w:rStyle w:val="af7"/>
          <w:rFonts w:eastAsia="Guttman Hodes"/>
          <w:rtl/>
        </w:rPr>
        <w:t>קז)</w:t>
      </w:r>
      <w:r w:rsidRPr="009D5C2F">
        <w:rPr>
          <w:rStyle w:val="af7"/>
          <w:rFonts w:eastAsia="Guttman Hodes"/>
          <w:rtl/>
        </w:rPr>
        <w:fldChar w:fldCharType="end"/>
      </w:r>
      <w:r>
        <w:rPr>
          <w:rFonts w:hint="cs"/>
          <w:rtl/>
        </w:rPr>
        <w:t xml:space="preserve"> בלשון </w:t>
      </w:r>
      <w:r w:rsidRPr="002C0C4D">
        <w:rPr>
          <w:rStyle w:val="af9"/>
          <w:rFonts w:hint="cs"/>
          <w:rtl/>
        </w:rPr>
        <w:t>הרמב"ם</w:t>
      </w:r>
      <w:r>
        <w:rPr>
          <w:rFonts w:hint="cs"/>
          <w:rtl/>
        </w:rPr>
        <w:t xml:space="preserve"> הוא דוחק, וכתב </w:t>
      </w:r>
      <w:r w:rsidRPr="002C0C4D">
        <w:rPr>
          <w:rStyle w:val="af9"/>
          <w:rFonts w:hint="cs"/>
          <w:rtl/>
        </w:rPr>
        <w:t>הפרי תואר</w:t>
      </w:r>
      <w:r>
        <w:rPr>
          <w:rFonts w:hint="cs"/>
          <w:rtl/>
        </w:rPr>
        <w:t xml:space="preserve"> דכן מוכח מסוף דברי </w:t>
      </w:r>
      <w:r w:rsidRPr="002C0C4D">
        <w:rPr>
          <w:rStyle w:val="af9"/>
          <w:rFonts w:hint="cs"/>
          <w:rtl/>
        </w:rPr>
        <w:t>הרמב"ם</w:t>
      </w:r>
      <w:r>
        <w:rPr>
          <w:rFonts w:hint="cs"/>
          <w:rtl/>
        </w:rPr>
        <w:t xml:space="preserve"> דכתב שכל שיצא חוץ למחיצתו אסור כבשר הפורש מן החי, ומבואר דאין לו תקנה לעולם, אף אם נשחט אח"כ העובר עצמו, דהרי דין האבר כבשר שפירש מן החי, והוסיף </w:t>
      </w:r>
      <w:r w:rsidRPr="002C0C4D">
        <w:rPr>
          <w:rStyle w:val="af9"/>
          <w:rFonts w:hint="cs"/>
          <w:rtl/>
        </w:rPr>
        <w:t>הפרי תואר</w:t>
      </w:r>
      <w:r>
        <w:rPr>
          <w:rFonts w:hint="cs"/>
          <w:rtl/>
        </w:rPr>
        <w:t xml:space="preserve"> דכן מוכח ממ"ש </w:t>
      </w:r>
      <w:r w:rsidRPr="002C0C4D">
        <w:rPr>
          <w:rStyle w:val="af9"/>
          <w:rFonts w:hint="cs"/>
          <w:rtl/>
        </w:rPr>
        <w:t>הרמב"ם</w:t>
      </w:r>
      <w:r>
        <w:rPr>
          <w:rFonts w:hint="cs"/>
          <w:rtl/>
        </w:rPr>
        <w:t xml:space="preserve"> דהוא נעשה כטריפה, מבואר דלעולם אין לו היתר, כטריפה שאין לה היתר.</w:t>
      </w:r>
      <w:bookmarkEnd w:id="16323"/>
    </w:p>
    <w:p w14:paraId="081AAE0C" w14:textId="77777777" w:rsidR="003D504D" w:rsidRDefault="003D504D" w:rsidP="003D504D">
      <w:pPr>
        <w:pStyle w:val="a3"/>
        <w:rPr>
          <w:rtl/>
        </w:rPr>
      </w:pPr>
      <w:bookmarkStart w:id="16324" w:name="_Toc535702460"/>
      <w:bookmarkStart w:id="16325" w:name="_Toc535750618"/>
      <w:bookmarkStart w:id="16326" w:name="_Toc19391163"/>
      <w:bookmarkStart w:id="16327" w:name="_Toc19394660"/>
      <w:r>
        <w:rPr>
          <w:rFonts w:hint="cs"/>
          <w:rtl/>
        </w:rPr>
        <w:t>ביאור הפרי תואר דס"ל להרמב"ם דכיון שהאבר כטריפה אין לו תקנה אף אם נולד אח"כ</w:t>
      </w:r>
      <w:bookmarkEnd w:id="16324"/>
      <w:bookmarkEnd w:id="16325"/>
      <w:bookmarkEnd w:id="16326"/>
      <w:bookmarkEnd w:id="16327"/>
    </w:p>
    <w:p w14:paraId="0293A821" w14:textId="77777777" w:rsidR="003D504D" w:rsidRDefault="003D504D" w:rsidP="00223668">
      <w:pPr>
        <w:pStyle w:val="a0"/>
        <w:rPr>
          <w:rtl/>
        </w:rPr>
      </w:pPr>
      <w:r>
        <w:rPr>
          <w:rFonts w:hint="cs"/>
          <w:rtl/>
        </w:rPr>
        <w:t xml:space="preserve">וביאר </w:t>
      </w:r>
      <w:r w:rsidRPr="003471EF">
        <w:rPr>
          <w:rStyle w:val="af9"/>
          <w:rtl/>
        </w:rPr>
        <w:t>הפרי תואר [לבעל האוה"ח]</w:t>
      </w:r>
      <w:r w:rsidRPr="003471EF">
        <w:rPr>
          <w:rStyle w:val="af9"/>
          <w:rFonts w:hint="cs"/>
          <w:rtl/>
        </w:rPr>
        <w:t xml:space="preserve"> </w:t>
      </w:r>
      <w:r>
        <w:rPr>
          <w:rFonts w:hint="cs"/>
          <w:rtl/>
        </w:rPr>
        <w:t xml:space="preserve">דמשמע דס"ל </w:t>
      </w:r>
      <w:r w:rsidRPr="002C0C4D">
        <w:rPr>
          <w:rStyle w:val="af9"/>
          <w:rFonts w:hint="cs"/>
          <w:rtl/>
        </w:rPr>
        <w:t>להרמב"ם</w:t>
      </w:r>
      <w:r>
        <w:rPr>
          <w:rFonts w:hint="cs"/>
          <w:rtl/>
        </w:rPr>
        <w:t xml:space="preserve"> דכיון דאיסור אבר היוצא נלמד מהפסו' "בשר בשדה טריפה", א"כ משמע שהוא כטריפה ממש שאין לה היתר לעולם, ולכן אף אם נולד העובר אח"כ א"א להתיר את האבר בשחיטת העובר עצמו, אך כתב </w:t>
      </w:r>
      <w:r w:rsidRPr="002C0C4D">
        <w:rPr>
          <w:rStyle w:val="af9"/>
          <w:rFonts w:hint="cs"/>
          <w:rtl/>
        </w:rPr>
        <w:t>הפרי תואר</w:t>
      </w:r>
      <w:r>
        <w:rPr>
          <w:rFonts w:hint="cs"/>
          <w:rtl/>
        </w:rPr>
        <w:t xml:space="preserve"> דמ"מ להלכה קיי"ל </w:t>
      </w:r>
      <w:r w:rsidRPr="002C0C4D">
        <w:rPr>
          <w:rStyle w:val="af9"/>
          <w:rFonts w:hint="cs"/>
          <w:rtl/>
        </w:rPr>
        <w:t>ככל הפוסקים</w:t>
      </w:r>
      <w:r>
        <w:rPr>
          <w:rFonts w:hint="cs"/>
          <w:rtl/>
        </w:rPr>
        <w:t xml:space="preserve"> וכפשטות הסוגיא, אם נולד העובר ונשחט האבר מותר.</w:t>
      </w:r>
    </w:p>
    <w:p w14:paraId="75A5B312" w14:textId="77777777" w:rsidR="003D504D" w:rsidRDefault="003D504D" w:rsidP="003D504D">
      <w:pPr>
        <w:pStyle w:val="a3"/>
        <w:rPr>
          <w:rtl/>
        </w:rPr>
      </w:pPr>
      <w:bookmarkStart w:id="16328" w:name="_Toc535702461"/>
      <w:bookmarkStart w:id="16329" w:name="_Toc535750619"/>
      <w:bookmarkStart w:id="16330" w:name="_Toc19391164"/>
      <w:bookmarkStart w:id="16331" w:name="_Toc19394661"/>
      <w:r>
        <w:rPr>
          <w:rFonts w:hint="cs"/>
          <w:rtl/>
        </w:rPr>
        <w:t>תירוץ הפרי תואר על קושית הב"י דהאיסור הוא רק בהוציאו בדרך לידה</w:t>
      </w:r>
      <w:bookmarkEnd w:id="16328"/>
      <w:bookmarkEnd w:id="16329"/>
      <w:bookmarkEnd w:id="16330"/>
      <w:bookmarkEnd w:id="16331"/>
    </w:p>
    <w:p w14:paraId="70D3BA38" w14:textId="77777777" w:rsidR="003D504D" w:rsidRPr="003A5E4C" w:rsidRDefault="003D504D" w:rsidP="00223668">
      <w:pPr>
        <w:pStyle w:val="a0"/>
        <w:rPr>
          <w:rtl/>
        </w:rPr>
        <w:sectPr w:rsidR="003D504D" w:rsidRPr="003A5E4C" w:rsidSect="003D504D">
          <w:type w:val="continuous"/>
          <w:pgSz w:w="11906" w:h="16838"/>
          <w:pgMar w:top="720" w:right="720" w:bottom="720" w:left="720" w:header="283" w:footer="283" w:gutter="0"/>
          <w:cols w:num="2" w:space="567"/>
          <w:bidi/>
          <w:rtlGutter/>
          <w:docGrid w:linePitch="299"/>
        </w:sectPr>
      </w:pPr>
      <w:bookmarkStart w:id="16332" w:name="_Ref535698450"/>
      <w:r>
        <w:rPr>
          <w:rFonts w:hint="cs"/>
          <w:rtl/>
        </w:rPr>
        <w:t xml:space="preserve">ובמה שהקשה </w:t>
      </w:r>
      <w:r w:rsidRPr="002C0C4D">
        <w:rPr>
          <w:rStyle w:val="af9"/>
          <w:rFonts w:hint="cs"/>
          <w:rtl/>
        </w:rPr>
        <w:t>הב"י</w:t>
      </w:r>
      <w:r>
        <w:rPr>
          <w:rFonts w:hint="cs"/>
          <w:rtl/>
        </w:rPr>
        <w:t xml:space="preserve"> </w:t>
      </w:r>
      <w:r w:rsidRPr="009D5C2F">
        <w:rPr>
          <w:rStyle w:val="af7"/>
          <w:rFonts w:eastAsia="Guttman Hodes" w:hint="cs"/>
          <w:rtl/>
        </w:rPr>
        <w:t xml:space="preserve">(עי' אות </w:t>
      </w:r>
      <w:r w:rsidRPr="009D5C2F">
        <w:rPr>
          <w:rStyle w:val="af7"/>
          <w:rFonts w:eastAsia="Guttman Hodes"/>
          <w:rtl/>
        </w:rPr>
        <w:fldChar w:fldCharType="begin"/>
      </w:r>
      <w:r w:rsidRPr="009D5C2F">
        <w:rPr>
          <w:rStyle w:val="af7"/>
          <w:rFonts w:eastAsia="Guttman Hodes"/>
          <w:rtl/>
        </w:rPr>
        <w:instrText xml:space="preserve"> </w:instrText>
      </w:r>
      <w:r w:rsidRPr="009D5C2F">
        <w:rPr>
          <w:rStyle w:val="af7"/>
          <w:rFonts w:eastAsia="Guttman Hodes" w:hint="cs"/>
        </w:rPr>
        <w:instrText>REF</w:instrText>
      </w:r>
      <w:r w:rsidRPr="009D5C2F">
        <w:rPr>
          <w:rStyle w:val="af7"/>
          <w:rFonts w:eastAsia="Guttman Hodes" w:hint="cs"/>
          <w:rtl/>
        </w:rPr>
        <w:instrText xml:space="preserve"> _</w:instrText>
      </w:r>
      <w:r w:rsidRPr="009D5C2F">
        <w:rPr>
          <w:rStyle w:val="af7"/>
          <w:rFonts w:eastAsia="Guttman Hodes" w:hint="cs"/>
        </w:rPr>
        <w:instrText>Ref535168119 \r \h</w:instrText>
      </w:r>
      <w:r w:rsidRPr="009D5C2F">
        <w:rPr>
          <w:rStyle w:val="af7"/>
          <w:rFonts w:eastAsia="Guttman Hodes"/>
          <w:rtl/>
        </w:rPr>
        <w:instrText xml:space="preserve"> </w:instrText>
      </w:r>
      <w:r w:rsidRPr="009D5C2F">
        <w:rPr>
          <w:rStyle w:val="af7"/>
          <w:rFonts w:eastAsia="Guttman Hodes"/>
          <w:rtl/>
        </w:rPr>
      </w:r>
      <w:r w:rsidRPr="009D5C2F">
        <w:rPr>
          <w:rStyle w:val="af7"/>
          <w:rFonts w:eastAsia="Guttman Hodes"/>
          <w:rtl/>
        </w:rPr>
        <w:fldChar w:fldCharType="separate"/>
      </w:r>
      <w:r w:rsidR="00345400">
        <w:rPr>
          <w:rStyle w:val="af7"/>
          <w:rFonts w:eastAsia="Guttman Hodes"/>
          <w:cs/>
        </w:rPr>
        <w:t>‎</w:t>
      </w:r>
      <w:r w:rsidR="00345400">
        <w:rPr>
          <w:rStyle w:val="af7"/>
          <w:rFonts w:eastAsia="Guttman Hodes"/>
          <w:rtl/>
        </w:rPr>
        <w:t>קו)</w:t>
      </w:r>
      <w:r w:rsidRPr="009D5C2F">
        <w:rPr>
          <w:rStyle w:val="af7"/>
          <w:rFonts w:eastAsia="Guttman Hodes"/>
          <w:rtl/>
        </w:rPr>
        <w:fldChar w:fldCharType="end"/>
      </w:r>
      <w:r>
        <w:rPr>
          <w:rFonts w:hint="cs"/>
          <w:rtl/>
        </w:rPr>
        <w:t xml:space="preserve"> דהא כל הנולדים מקדימים אברים לפני שנולדים, וא"כ הרבה בהמות אסורות, תירץ </w:t>
      </w:r>
      <w:r w:rsidRPr="003471EF">
        <w:rPr>
          <w:rStyle w:val="af9"/>
          <w:rtl/>
        </w:rPr>
        <w:t>הפרי תואר [לבעל האוה"ח]</w:t>
      </w:r>
      <w:r>
        <w:rPr>
          <w:rStyle w:val="af9"/>
          <w:rFonts w:hint="cs"/>
          <w:rtl/>
        </w:rPr>
        <w:t xml:space="preserve"> </w:t>
      </w:r>
      <w:r>
        <w:rPr>
          <w:rFonts w:hint="cs"/>
          <w:rtl/>
        </w:rPr>
        <w:t>דהאיסור באבר היוצא הוא כשהוציאו שלא בשעת לידה ושלא בדרך לידה.</w:t>
      </w:r>
      <w:bookmarkEnd w:id="16332"/>
    </w:p>
    <w:p w14:paraId="059BE9F6" w14:textId="77777777" w:rsidR="003D504D" w:rsidRDefault="003D504D" w:rsidP="003D504D">
      <w:pPr>
        <w:tabs>
          <w:tab w:val="left" w:pos="1163"/>
        </w:tabs>
        <w:spacing w:after="120" w:line="240" w:lineRule="auto"/>
        <w:ind w:left="0"/>
        <w:rPr>
          <w:rFonts w:ascii="Guttman Hodes" w:eastAsia="Guttman Hodes" w:hAnsi="Guttman Hodes" w:cs="Guttman Hodes"/>
          <w:noProof/>
          <w:sz w:val="18"/>
          <w:szCs w:val="18"/>
        </w:rPr>
        <w:sectPr w:rsidR="003D504D" w:rsidSect="007452E4">
          <w:type w:val="continuous"/>
          <w:pgSz w:w="11906" w:h="16838"/>
          <w:pgMar w:top="720" w:right="720" w:bottom="720" w:left="720" w:header="283" w:footer="283" w:gutter="0"/>
          <w:cols w:space="567"/>
          <w:bidi/>
          <w:rtlGutter/>
          <w:docGrid w:linePitch="299"/>
        </w:sectPr>
      </w:pPr>
    </w:p>
    <w:p w14:paraId="496B4055" w14:textId="77777777" w:rsidR="003D504D" w:rsidRPr="0061208F" w:rsidRDefault="004B65FC" w:rsidP="003D504D">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30AA20F3">
          <v:shape id="_x0000_i1045" type="#_x0000_t75" style="width:404.55pt;height:6.8pt" o:hrpct="0" o:hralign="center" o:hr="t">
            <v:imagedata r:id="rId21" o:title="BD14845_"/>
          </v:shape>
        </w:pict>
      </w:r>
    </w:p>
    <w:p w14:paraId="328FDF09" w14:textId="77777777" w:rsidR="003D504D" w:rsidRPr="004B27F1" w:rsidRDefault="003D504D" w:rsidP="003D504D">
      <w:pPr>
        <w:pStyle w:val="afe"/>
        <w:rPr>
          <w:rtl/>
        </w:rPr>
      </w:pPr>
      <w:bookmarkStart w:id="16333" w:name="_Toc535302136"/>
      <w:bookmarkStart w:id="16334" w:name="_Toc535526283"/>
      <w:bookmarkStart w:id="16335" w:name="_Toc535574981"/>
      <w:bookmarkStart w:id="16336" w:name="_Toc535702462"/>
      <w:bookmarkStart w:id="16337" w:name="_Toc535750620"/>
      <w:bookmarkStart w:id="16338" w:name="_Toc19436014"/>
      <w:bookmarkStart w:id="16339" w:name="_Toc20081224"/>
      <w:r>
        <w:rPr>
          <w:rFonts w:hint="cs"/>
          <w:rtl/>
        </w:rPr>
        <w:t>ביאורי ראשי הישיבות על הרמב"ם</w:t>
      </w:r>
      <w:bookmarkEnd w:id="16333"/>
      <w:bookmarkEnd w:id="16334"/>
      <w:bookmarkEnd w:id="16335"/>
      <w:bookmarkEnd w:id="16336"/>
      <w:bookmarkEnd w:id="16337"/>
      <w:bookmarkEnd w:id="16338"/>
      <w:bookmarkEnd w:id="16339"/>
    </w:p>
    <w:p w14:paraId="546C3429" w14:textId="77777777" w:rsidR="003D504D" w:rsidRDefault="003D504D" w:rsidP="003D504D">
      <w:pPr>
        <w:pStyle w:val="afe"/>
        <w:rPr>
          <w:rtl/>
        </w:rPr>
        <w:sectPr w:rsidR="003D504D" w:rsidSect="003D504D">
          <w:pgSz w:w="11906" w:h="16838"/>
          <w:pgMar w:top="720" w:right="720" w:bottom="720" w:left="720" w:header="283" w:footer="283" w:gutter="0"/>
          <w:cols w:space="567"/>
          <w:bidi/>
          <w:rtlGutter/>
          <w:docGrid w:linePitch="299"/>
        </w:sectPr>
      </w:pPr>
    </w:p>
    <w:p w14:paraId="5619E535" w14:textId="77777777" w:rsidR="003D504D" w:rsidRPr="001939C9" w:rsidRDefault="003D504D" w:rsidP="003D504D">
      <w:pPr>
        <w:pStyle w:val="afe"/>
        <w:rPr>
          <w:rtl/>
        </w:rPr>
      </w:pPr>
      <w:bookmarkStart w:id="16340" w:name="_Toc535302137"/>
      <w:bookmarkStart w:id="16341" w:name="_Toc535526284"/>
      <w:bookmarkStart w:id="16342" w:name="_Toc535574982"/>
      <w:bookmarkStart w:id="16343" w:name="_Toc535702463"/>
      <w:bookmarkStart w:id="16344" w:name="_Toc535750621"/>
      <w:bookmarkStart w:id="16345" w:name="_Toc19436015"/>
      <w:bookmarkStart w:id="16346" w:name="_Toc20081225"/>
      <w:r>
        <w:rPr>
          <w:rFonts w:hint="cs"/>
          <w:rtl/>
        </w:rPr>
        <w:t>בגדר האיסור באבר היוצא</w:t>
      </w:r>
      <w:bookmarkEnd w:id="16340"/>
      <w:bookmarkEnd w:id="16341"/>
      <w:bookmarkEnd w:id="16342"/>
      <w:bookmarkEnd w:id="16343"/>
      <w:bookmarkEnd w:id="16344"/>
      <w:bookmarkEnd w:id="16345"/>
      <w:bookmarkEnd w:id="16346"/>
    </w:p>
    <w:p w14:paraId="3A7AF3B4" w14:textId="77777777" w:rsidR="003D504D" w:rsidRDefault="003D504D" w:rsidP="00BF39B2">
      <w:pPr>
        <w:pStyle w:val="1"/>
        <w:rPr>
          <w:rtl/>
        </w:rPr>
      </w:pPr>
      <w:bookmarkStart w:id="16347" w:name="_Toc535574983"/>
      <w:bookmarkStart w:id="16348" w:name="_Toc535702464"/>
      <w:bookmarkStart w:id="16349" w:name="_Toc535750622"/>
      <w:bookmarkStart w:id="16350" w:name="_Toc19391165"/>
      <w:bookmarkStart w:id="16351" w:name="_Toc19394662"/>
      <w:bookmarkStart w:id="16352" w:name="_Toc535302138"/>
      <w:bookmarkStart w:id="16353" w:name="_Toc535526285"/>
      <w:r>
        <w:rPr>
          <w:rFonts w:hint="cs"/>
          <w:rtl/>
        </w:rPr>
        <w:t>ביאור הגר"ח בדעת הרמב"ם דאין לוקין באבר היוצא שנשחט</w:t>
      </w:r>
      <w:bookmarkEnd w:id="16347"/>
      <w:bookmarkEnd w:id="16348"/>
      <w:bookmarkEnd w:id="16349"/>
      <w:bookmarkEnd w:id="16350"/>
      <w:bookmarkEnd w:id="16351"/>
    </w:p>
    <w:p w14:paraId="19E404E1" w14:textId="77777777" w:rsidR="003D504D" w:rsidRDefault="003D504D" w:rsidP="003D504D">
      <w:pPr>
        <w:pStyle w:val="a3"/>
        <w:rPr>
          <w:rtl/>
        </w:rPr>
      </w:pPr>
      <w:bookmarkStart w:id="16354" w:name="_Toc535702465"/>
      <w:bookmarkStart w:id="16355" w:name="_Toc535750623"/>
      <w:bookmarkStart w:id="16356" w:name="_Toc19391166"/>
      <w:bookmarkStart w:id="16357" w:name="_Toc19394663"/>
      <w:r>
        <w:rPr>
          <w:rFonts w:hint="cs"/>
          <w:rtl/>
        </w:rPr>
        <w:t>דברי הגר"ח דלהרמב"ם האבר אסור מכח צירוף ב' איסורים אבמה"ח  וגם בשר בשדה טריפה</w:t>
      </w:r>
      <w:bookmarkEnd w:id="16354"/>
      <w:bookmarkEnd w:id="16355"/>
      <w:bookmarkEnd w:id="16356"/>
      <w:bookmarkEnd w:id="16357"/>
    </w:p>
    <w:p w14:paraId="5B9BDFF6" w14:textId="77777777" w:rsidR="003D504D" w:rsidRDefault="003D504D" w:rsidP="00223668">
      <w:pPr>
        <w:pStyle w:val="a0"/>
        <w:rPr>
          <w:rtl/>
        </w:rPr>
      </w:pPr>
      <w:bookmarkStart w:id="16358" w:name="_Ref535742844"/>
      <w:r>
        <w:rPr>
          <w:rFonts w:hint="cs"/>
          <w:rtl/>
        </w:rPr>
        <w:t xml:space="preserve">בדברי </w:t>
      </w:r>
      <w:r w:rsidRPr="007938D5">
        <w:rPr>
          <w:rStyle w:val="af9"/>
          <w:rFonts w:hint="cs"/>
          <w:rtl/>
        </w:rPr>
        <w:t>הרמב"ם</w:t>
      </w:r>
      <w:r>
        <w:rPr>
          <w:rFonts w:hint="cs"/>
          <w:rtl/>
        </w:rPr>
        <w:t xml:space="preserve"> </w:t>
      </w:r>
      <w:r w:rsidRPr="007938D5">
        <w:rPr>
          <w:rStyle w:val="af7"/>
          <w:rFonts w:eastAsia="Guttman Hodes" w:hint="cs"/>
          <w:rtl/>
        </w:rPr>
        <w:t xml:space="preserve">(עי' אות </w:t>
      </w:r>
      <w:r w:rsidRPr="007938D5">
        <w:rPr>
          <w:rStyle w:val="af7"/>
          <w:rFonts w:eastAsia="Guttman Hodes"/>
          <w:rtl/>
        </w:rPr>
        <w:fldChar w:fldCharType="begin"/>
      </w:r>
      <w:r w:rsidRPr="007938D5">
        <w:rPr>
          <w:rStyle w:val="af7"/>
          <w:rFonts w:eastAsia="Guttman Hodes"/>
          <w:rtl/>
        </w:rPr>
        <w:instrText xml:space="preserve"> </w:instrText>
      </w:r>
      <w:r w:rsidRPr="007938D5">
        <w:rPr>
          <w:rStyle w:val="af7"/>
          <w:rFonts w:eastAsia="Guttman Hodes" w:hint="cs"/>
        </w:rPr>
        <w:instrText>REF</w:instrText>
      </w:r>
      <w:r w:rsidRPr="007938D5">
        <w:rPr>
          <w:rStyle w:val="af7"/>
          <w:rFonts w:eastAsia="Guttman Hodes" w:hint="cs"/>
          <w:rtl/>
        </w:rPr>
        <w:instrText xml:space="preserve"> _</w:instrText>
      </w:r>
      <w:r w:rsidRPr="007938D5">
        <w:rPr>
          <w:rStyle w:val="af7"/>
          <w:rFonts w:eastAsia="Guttman Hodes" w:hint="cs"/>
        </w:rPr>
        <w:instrText>Ref535312984 \r \h</w:instrText>
      </w:r>
      <w:r w:rsidRPr="007938D5">
        <w:rPr>
          <w:rStyle w:val="af7"/>
          <w:rFonts w:eastAsia="Guttman Hodes"/>
          <w:rtl/>
        </w:rPr>
        <w:instrText xml:space="preserve"> </w:instrText>
      </w:r>
      <w:r w:rsidRPr="007938D5">
        <w:rPr>
          <w:rStyle w:val="af7"/>
          <w:rFonts w:eastAsia="Guttman Hodes"/>
          <w:rtl/>
        </w:rPr>
      </w:r>
      <w:r w:rsidRPr="007938D5">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7938D5">
        <w:rPr>
          <w:rStyle w:val="af7"/>
          <w:rFonts w:eastAsia="Guttman Hodes"/>
          <w:rtl/>
        </w:rPr>
        <w:fldChar w:fldCharType="end"/>
      </w:r>
      <w:r>
        <w:rPr>
          <w:rFonts w:hint="cs"/>
          <w:rtl/>
        </w:rPr>
        <w:t xml:space="preserve"> דאין מלקות מדין אבר מן החי, על אבר היוצא אחר שחיטה, והשיג </w:t>
      </w:r>
      <w:r w:rsidRPr="007938D5">
        <w:rPr>
          <w:rStyle w:val="af9"/>
          <w:rFonts w:hint="cs"/>
          <w:rtl/>
        </w:rPr>
        <w:t>הראב"ד</w:t>
      </w:r>
      <w:r>
        <w:rPr>
          <w:rFonts w:hint="cs"/>
          <w:rtl/>
        </w:rPr>
        <w:t xml:space="preserve"> </w:t>
      </w:r>
      <w:r w:rsidRPr="007938D5">
        <w:rPr>
          <w:rStyle w:val="af7"/>
          <w:rFonts w:eastAsia="Guttman Hodes" w:hint="cs"/>
          <w:rtl/>
        </w:rPr>
        <w:t xml:space="preserve">(עי' אות </w:t>
      </w:r>
      <w:r w:rsidRPr="007938D5">
        <w:rPr>
          <w:rStyle w:val="af7"/>
          <w:rFonts w:eastAsia="Guttman Hodes"/>
          <w:rtl/>
        </w:rPr>
        <w:fldChar w:fldCharType="begin"/>
      </w:r>
      <w:r w:rsidRPr="007938D5">
        <w:rPr>
          <w:rStyle w:val="af7"/>
          <w:rFonts w:eastAsia="Guttman Hodes"/>
          <w:rtl/>
        </w:rPr>
        <w:instrText xml:space="preserve"> </w:instrText>
      </w:r>
      <w:r w:rsidRPr="007938D5">
        <w:rPr>
          <w:rStyle w:val="af7"/>
          <w:rFonts w:eastAsia="Guttman Hodes" w:hint="cs"/>
        </w:rPr>
        <w:instrText>REF</w:instrText>
      </w:r>
      <w:r w:rsidRPr="007938D5">
        <w:rPr>
          <w:rStyle w:val="af7"/>
          <w:rFonts w:eastAsia="Guttman Hodes" w:hint="cs"/>
          <w:rtl/>
        </w:rPr>
        <w:instrText xml:space="preserve"> _</w:instrText>
      </w:r>
      <w:r w:rsidRPr="007938D5">
        <w:rPr>
          <w:rStyle w:val="af7"/>
          <w:rFonts w:eastAsia="Guttman Hodes" w:hint="cs"/>
        </w:rPr>
        <w:instrText>Ref535571895 \r \h</w:instrText>
      </w:r>
      <w:r w:rsidRPr="007938D5">
        <w:rPr>
          <w:rStyle w:val="af7"/>
          <w:rFonts w:eastAsia="Guttman Hodes"/>
          <w:rtl/>
        </w:rPr>
        <w:instrText xml:space="preserve"> </w:instrText>
      </w:r>
      <w:r w:rsidRPr="007938D5">
        <w:rPr>
          <w:rStyle w:val="af7"/>
          <w:rFonts w:eastAsia="Guttman Hodes"/>
          <w:rtl/>
        </w:rPr>
      </w:r>
      <w:r w:rsidRPr="007938D5">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7938D5">
        <w:rPr>
          <w:rStyle w:val="af7"/>
          <w:rFonts w:eastAsia="Guttman Hodes"/>
          <w:rtl/>
        </w:rPr>
        <w:fldChar w:fldCharType="end"/>
      </w:r>
      <w:r>
        <w:rPr>
          <w:rFonts w:hint="cs"/>
          <w:rtl/>
        </w:rPr>
        <w:t xml:space="preserve"> דחייב מלקות מדין "בשר בשדה טריפה", כתב </w:t>
      </w:r>
      <w:r w:rsidRPr="00A158A5">
        <w:rPr>
          <w:rStyle w:val="af9"/>
          <w:rFonts w:hint="cs"/>
          <w:rtl/>
        </w:rPr>
        <w:t>הגר"ח</w:t>
      </w:r>
      <w:r>
        <w:rPr>
          <w:rFonts w:hint="cs"/>
          <w:rtl/>
        </w:rPr>
        <w:t xml:space="preserve"> </w:t>
      </w:r>
      <w:r w:rsidRPr="00A158A5">
        <w:rPr>
          <w:rStyle w:val="af7"/>
          <w:rFonts w:eastAsia="Guttman Hodes" w:hint="cs"/>
          <w:rtl/>
        </w:rPr>
        <w:t>(גנזי הגר"ח סי' ס"ו)</w:t>
      </w:r>
      <w:r>
        <w:rPr>
          <w:rFonts w:hint="cs"/>
          <w:rtl/>
        </w:rPr>
        <w:t xml:space="preserve"> דס"ל </w:t>
      </w:r>
      <w:r w:rsidRPr="007938D5">
        <w:rPr>
          <w:rStyle w:val="af9"/>
          <w:rFonts w:hint="cs"/>
          <w:rtl/>
        </w:rPr>
        <w:t>להרמב"ם</w:t>
      </w:r>
      <w:r>
        <w:rPr>
          <w:rFonts w:hint="cs"/>
          <w:rtl/>
        </w:rPr>
        <w:t xml:space="preserve"> דהאיסור באבר היוצא, אין הכוונה דדין האבר שצריך להיות בתוך המחיצה </w:t>
      </w:r>
      <w:r w:rsidRPr="007938D5">
        <w:rPr>
          <w:rStyle w:val="afb"/>
          <w:rFonts w:hint="cs"/>
          <w:rtl/>
        </w:rPr>
        <w:t xml:space="preserve">[כדין יוצא </w:t>
      </w:r>
      <w:r w:rsidRPr="004D7818">
        <w:rPr>
          <w:rStyle w:val="afb"/>
          <w:rFonts w:hint="cs"/>
          <w:rtl/>
        </w:rPr>
        <w:t>בקדשים]</w:t>
      </w:r>
      <w:r>
        <w:rPr>
          <w:rFonts w:hint="cs"/>
          <w:rtl/>
        </w:rPr>
        <w:t>, אלא דכיון ששחיטת אמו מתירה את האיסור אבר מן החי של העובר, א"כ כיון שיצא חוץ למחיצת אמו, יש בו ב' איסורים, גם אבר מן החי דלא הועילה לו שחיטת אמו, וגם "בשר בשדה טריפה".</w:t>
      </w:r>
      <w:bookmarkEnd w:id="16358"/>
    </w:p>
    <w:p w14:paraId="05EBD15D" w14:textId="77777777" w:rsidR="003D504D" w:rsidRPr="00C644AB" w:rsidRDefault="003D504D" w:rsidP="003D504D">
      <w:pPr>
        <w:pStyle w:val="a3"/>
        <w:rPr>
          <w:rtl/>
        </w:rPr>
      </w:pPr>
      <w:bookmarkStart w:id="16359" w:name="_Toc535702466"/>
      <w:bookmarkStart w:id="16360" w:name="_Toc535750624"/>
      <w:bookmarkStart w:id="16361" w:name="_Toc19391167"/>
      <w:bookmarkStart w:id="16362" w:name="_Toc19394664"/>
      <w:r>
        <w:rPr>
          <w:rFonts w:hint="cs"/>
          <w:rtl/>
        </w:rPr>
        <w:t>דברי הגר"ח דמספק הגמ' בשתית חלב מוכח דלולא איסור אבמה"ח לא היה נאסר בטריפה</w:t>
      </w:r>
      <w:bookmarkEnd w:id="16359"/>
      <w:bookmarkEnd w:id="16360"/>
      <w:bookmarkEnd w:id="16361"/>
      <w:bookmarkEnd w:id="16362"/>
    </w:p>
    <w:p w14:paraId="42CB8CF7" w14:textId="77777777" w:rsidR="003D504D" w:rsidRDefault="003D504D" w:rsidP="00223668">
      <w:pPr>
        <w:pStyle w:val="a0"/>
        <w:rPr>
          <w:rtl/>
        </w:rPr>
      </w:pPr>
      <w:bookmarkStart w:id="16363" w:name="_Ref535572010"/>
      <w:r>
        <w:rPr>
          <w:rFonts w:hint="cs"/>
          <w:rtl/>
        </w:rPr>
        <w:t xml:space="preserve">וכתב </w:t>
      </w:r>
      <w:r w:rsidRPr="007938D5">
        <w:rPr>
          <w:rStyle w:val="af9"/>
          <w:rFonts w:hint="cs"/>
          <w:rtl/>
        </w:rPr>
        <w:t xml:space="preserve">הגר"ח </w:t>
      </w:r>
      <w:r>
        <w:rPr>
          <w:rFonts w:hint="cs"/>
          <w:rtl/>
        </w:rPr>
        <w:t xml:space="preserve">דכן מוכח בגמ' לקמן </w:t>
      </w:r>
      <w:r w:rsidRPr="009D0511">
        <w:rPr>
          <w:rStyle w:val="af7"/>
          <w:rFonts w:eastAsia="Guttman Hodes" w:hint="cs"/>
          <w:rtl/>
        </w:rPr>
        <w:t xml:space="preserve">(סט.) </w:t>
      </w:r>
      <w:r>
        <w:rPr>
          <w:rFonts w:hint="cs"/>
          <w:rtl/>
        </w:rPr>
        <w:t xml:space="preserve">בספק הגמ' אם מותר לשתות חלב שבא מכח אבר היוצא, ככל חלב מן החי, וא"כ מוכח דהאיסור באבר היוצא אינו רק מדין "בשר בשדה טריפה", דמחמת איסור זה פשיטא דחלבו אסור, </w:t>
      </w:r>
      <w:r w:rsidRPr="007938D5">
        <w:rPr>
          <w:rStyle w:val="afb"/>
          <w:rFonts w:hint="cs"/>
          <w:rtl/>
        </w:rPr>
        <w:t xml:space="preserve">[כדהקשה </w:t>
      </w:r>
      <w:r w:rsidRPr="007938D5">
        <w:rPr>
          <w:rStyle w:val="affa"/>
          <w:rFonts w:hint="cs"/>
          <w:rtl/>
        </w:rPr>
        <w:t>הרשב"א</w:t>
      </w:r>
      <w:r w:rsidRPr="007938D5">
        <w:rPr>
          <w:rStyle w:val="afb"/>
          <w:rFonts w:hint="cs"/>
          <w:rtl/>
        </w:rPr>
        <w:t xml:space="preserve"> </w:t>
      </w:r>
      <w:r w:rsidRPr="007938D5">
        <w:rPr>
          <w:rStyle w:val="aff6"/>
          <w:rFonts w:hint="cs"/>
          <w:rtl/>
        </w:rPr>
        <w:t xml:space="preserve">(עי' אות </w:t>
      </w:r>
      <w:r w:rsidRPr="007938D5">
        <w:rPr>
          <w:rStyle w:val="aff6"/>
          <w:rtl/>
        </w:rPr>
        <w:fldChar w:fldCharType="begin"/>
      </w:r>
      <w:r w:rsidRPr="007938D5">
        <w:rPr>
          <w:rStyle w:val="aff6"/>
          <w:rtl/>
        </w:rPr>
        <w:instrText xml:space="preserve"> </w:instrText>
      </w:r>
      <w:r w:rsidRPr="007938D5">
        <w:rPr>
          <w:rStyle w:val="aff6"/>
          <w:rFonts w:hint="cs"/>
        </w:rPr>
        <w:instrText>REF</w:instrText>
      </w:r>
      <w:r w:rsidRPr="007938D5">
        <w:rPr>
          <w:rStyle w:val="aff6"/>
          <w:rFonts w:hint="cs"/>
          <w:rtl/>
        </w:rPr>
        <w:instrText xml:space="preserve"> _</w:instrText>
      </w:r>
      <w:r w:rsidRPr="007938D5">
        <w:rPr>
          <w:rStyle w:val="aff6"/>
          <w:rFonts w:hint="cs"/>
        </w:rPr>
        <w:instrText>Ref535230332 \r \h</w:instrText>
      </w:r>
      <w:r w:rsidRPr="007938D5">
        <w:rPr>
          <w:rStyle w:val="aff6"/>
          <w:rtl/>
        </w:rPr>
        <w:instrText xml:space="preserve"> </w:instrText>
      </w:r>
      <w:r w:rsidRPr="007938D5">
        <w:rPr>
          <w:rStyle w:val="aff6"/>
          <w:rtl/>
        </w:rPr>
      </w:r>
      <w:r w:rsidRPr="007938D5">
        <w:rPr>
          <w:rStyle w:val="aff6"/>
          <w:rtl/>
        </w:rPr>
        <w:fldChar w:fldCharType="separate"/>
      </w:r>
      <w:r w:rsidR="00345400">
        <w:rPr>
          <w:rStyle w:val="aff6"/>
          <w:cs/>
        </w:rPr>
        <w:t>‎</w:t>
      </w:r>
      <w:r w:rsidR="00345400">
        <w:rPr>
          <w:rStyle w:val="aff6"/>
          <w:rtl/>
        </w:rPr>
        <w:t>כד)</w:t>
      </w:r>
      <w:r w:rsidRPr="007938D5">
        <w:rPr>
          <w:rStyle w:val="aff6"/>
          <w:rtl/>
        </w:rPr>
        <w:fldChar w:fldCharType="end"/>
      </w:r>
      <w:r w:rsidRPr="007938D5">
        <w:rPr>
          <w:rStyle w:val="afb"/>
          <w:rFonts w:hint="cs"/>
          <w:rtl/>
        </w:rPr>
        <w:t>],</w:t>
      </w:r>
      <w:r>
        <w:rPr>
          <w:rFonts w:hint="cs"/>
          <w:rtl/>
        </w:rPr>
        <w:t xml:space="preserve"> אלא כתב </w:t>
      </w:r>
      <w:r w:rsidRPr="007938D5">
        <w:rPr>
          <w:rStyle w:val="af9"/>
          <w:rFonts w:hint="cs"/>
          <w:rtl/>
        </w:rPr>
        <w:t xml:space="preserve">הגר"ח </w:t>
      </w:r>
      <w:r>
        <w:rPr>
          <w:rStyle w:val="af9"/>
          <w:rFonts w:hint="cs"/>
          <w:rtl/>
        </w:rPr>
        <w:t>ד</w:t>
      </w:r>
      <w:r>
        <w:rPr>
          <w:rFonts w:hint="cs"/>
          <w:rtl/>
        </w:rPr>
        <w:t>מוכח דאם לא היה האבר היוצא אסור באיסור אבר מן החי, לא היה נאסר מדין "בשר בשדה טריפה", ולכן מסתפקת הגמ' אין דינו ככל חלב מן החי, או דכיון שאין לאבר היוצא תקנה, אסור לשתות את החלב הבא מכחו.</w:t>
      </w:r>
      <w:bookmarkEnd w:id="16363"/>
    </w:p>
    <w:p w14:paraId="15EBB1B4" w14:textId="77777777" w:rsidR="003D504D" w:rsidRDefault="003D504D" w:rsidP="003D504D">
      <w:pPr>
        <w:pStyle w:val="a3"/>
        <w:rPr>
          <w:rtl/>
        </w:rPr>
      </w:pPr>
      <w:bookmarkStart w:id="16364" w:name="_Toc535702467"/>
      <w:bookmarkStart w:id="16365" w:name="_Toc535750625"/>
      <w:bookmarkStart w:id="16366" w:name="_Toc19391168"/>
      <w:bookmarkStart w:id="16367" w:name="_Toc19394665"/>
      <w:r>
        <w:rPr>
          <w:rFonts w:hint="cs"/>
          <w:rtl/>
        </w:rPr>
        <w:t>ביאור הגר"ח דלהרמב"ם אין מלקות כיון שאין ב' לאוין מצטרפין למלקות</w:t>
      </w:r>
      <w:bookmarkEnd w:id="16364"/>
      <w:bookmarkEnd w:id="16365"/>
      <w:bookmarkEnd w:id="16366"/>
      <w:bookmarkEnd w:id="16367"/>
    </w:p>
    <w:p w14:paraId="0E0D154B" w14:textId="77777777" w:rsidR="003D504D" w:rsidRDefault="003D504D" w:rsidP="00223668">
      <w:pPr>
        <w:pStyle w:val="a0"/>
        <w:rPr>
          <w:rtl/>
        </w:rPr>
      </w:pPr>
      <w:bookmarkStart w:id="16368" w:name="_Ref535745631"/>
      <w:r>
        <w:rPr>
          <w:rFonts w:hint="cs"/>
          <w:rtl/>
        </w:rPr>
        <w:t xml:space="preserve">ובזה ביאר </w:t>
      </w:r>
      <w:r w:rsidRPr="007938D5">
        <w:rPr>
          <w:rStyle w:val="af9"/>
          <w:rFonts w:hint="cs"/>
          <w:rtl/>
        </w:rPr>
        <w:t xml:space="preserve">הגר"ח </w:t>
      </w:r>
      <w:r>
        <w:rPr>
          <w:rFonts w:hint="cs"/>
          <w:rtl/>
        </w:rPr>
        <w:t xml:space="preserve">את דעת </w:t>
      </w:r>
      <w:r w:rsidRPr="007938D5">
        <w:rPr>
          <w:rStyle w:val="af9"/>
          <w:rFonts w:hint="cs"/>
          <w:rtl/>
        </w:rPr>
        <w:t xml:space="preserve">הרמב"ם </w:t>
      </w:r>
      <w:r>
        <w:rPr>
          <w:rFonts w:hint="cs"/>
          <w:rtl/>
        </w:rPr>
        <w:t xml:space="preserve">דהאוכל אבר היוצא אחר שנשחטה אמו, אינו לוקה לא מדין אבר מן החי, ולא מדין "בשר בשדה טריפה", דכיון שכל אחד מהאיסורים לבדו אין בכחו לאוסרו, ונאסר רק מחמת צירוף של ב' לאוין, א"כ אין ב' לאוין מצטרפין למלקות, וכבר כן כן </w:t>
      </w:r>
      <w:r w:rsidRPr="006052C4">
        <w:rPr>
          <w:rStyle w:val="af9"/>
          <w:rFonts w:hint="cs"/>
          <w:rtl/>
        </w:rPr>
        <w:t>הפר"ח</w:t>
      </w:r>
      <w:r>
        <w:rPr>
          <w:rFonts w:hint="cs"/>
          <w:rtl/>
        </w:rPr>
        <w:t xml:space="preserve"> </w:t>
      </w:r>
      <w:r w:rsidRPr="006052C4">
        <w:rPr>
          <w:rStyle w:val="af7"/>
          <w:rFonts w:eastAsia="Guttman Hodes" w:hint="cs"/>
          <w:rtl/>
        </w:rPr>
        <w:t xml:space="preserve">(עי' אות </w:t>
      </w:r>
      <w:r w:rsidRPr="006052C4">
        <w:rPr>
          <w:rStyle w:val="af7"/>
          <w:rFonts w:eastAsia="Guttman Hodes"/>
          <w:rtl/>
        </w:rPr>
        <w:fldChar w:fldCharType="begin"/>
      </w:r>
      <w:r w:rsidRPr="006052C4">
        <w:rPr>
          <w:rStyle w:val="af7"/>
          <w:rFonts w:eastAsia="Guttman Hodes"/>
          <w:rtl/>
        </w:rPr>
        <w:instrText xml:space="preserve"> </w:instrText>
      </w:r>
      <w:r w:rsidRPr="006052C4">
        <w:rPr>
          <w:rStyle w:val="af7"/>
          <w:rFonts w:eastAsia="Guttman Hodes" w:hint="cs"/>
        </w:rPr>
        <w:instrText>REF</w:instrText>
      </w:r>
      <w:r w:rsidRPr="006052C4">
        <w:rPr>
          <w:rStyle w:val="af7"/>
          <w:rFonts w:eastAsia="Guttman Hodes" w:hint="cs"/>
          <w:rtl/>
        </w:rPr>
        <w:instrText xml:space="preserve"> _</w:instrText>
      </w:r>
      <w:r w:rsidRPr="006052C4">
        <w:rPr>
          <w:rStyle w:val="af7"/>
          <w:rFonts w:eastAsia="Guttman Hodes" w:hint="cs"/>
        </w:rPr>
        <w:instrText>Ref535745589 \r \h</w:instrText>
      </w:r>
      <w:r w:rsidRPr="006052C4">
        <w:rPr>
          <w:rStyle w:val="af7"/>
          <w:rFonts w:eastAsia="Guttman Hodes"/>
          <w:rtl/>
        </w:rPr>
        <w:instrText xml:space="preserve"> </w:instrText>
      </w:r>
      <w:r w:rsidRPr="006052C4">
        <w:rPr>
          <w:rStyle w:val="af7"/>
          <w:rFonts w:eastAsia="Guttman Hodes"/>
          <w:rtl/>
        </w:rPr>
      </w:r>
      <w:r w:rsidRPr="006052C4">
        <w:rPr>
          <w:rStyle w:val="af7"/>
          <w:rFonts w:eastAsia="Guttman Hodes"/>
          <w:rtl/>
        </w:rPr>
        <w:fldChar w:fldCharType="separate"/>
      </w:r>
      <w:r w:rsidR="00345400">
        <w:rPr>
          <w:rStyle w:val="af7"/>
          <w:rFonts w:eastAsia="Guttman Hodes"/>
          <w:cs/>
        </w:rPr>
        <w:t>‎</w:t>
      </w:r>
      <w:r w:rsidR="00345400">
        <w:rPr>
          <w:rStyle w:val="af7"/>
          <w:rFonts w:eastAsia="Guttman Hodes"/>
          <w:rtl/>
        </w:rPr>
        <w:t>צה)</w:t>
      </w:r>
      <w:r w:rsidRPr="006052C4">
        <w:rPr>
          <w:rStyle w:val="af7"/>
          <w:rFonts w:eastAsia="Guttman Hodes"/>
          <w:rtl/>
        </w:rPr>
        <w:fldChar w:fldCharType="end"/>
      </w:r>
      <w:r>
        <w:rPr>
          <w:rFonts w:hint="cs"/>
          <w:rtl/>
        </w:rPr>
        <w:t>.</w:t>
      </w:r>
      <w:bookmarkEnd w:id="16368"/>
    </w:p>
    <w:p w14:paraId="26F69BFD" w14:textId="77777777" w:rsidR="003D504D" w:rsidRPr="00E941C8" w:rsidRDefault="003D504D" w:rsidP="003D504D">
      <w:pPr>
        <w:pStyle w:val="a3"/>
        <w:rPr>
          <w:rtl/>
        </w:rPr>
      </w:pPr>
      <w:bookmarkStart w:id="16369" w:name="_Toc535702468"/>
      <w:bookmarkStart w:id="16370" w:name="_Toc535750626"/>
      <w:bookmarkStart w:id="16371" w:name="_Toc19391169"/>
      <w:bookmarkStart w:id="16372" w:name="_Toc19394666"/>
      <w:r>
        <w:rPr>
          <w:rFonts w:hint="cs"/>
          <w:rtl/>
        </w:rPr>
        <w:t>ביאור הגר"ח בפלוגתת הרמב"ם והראב"ד אי חשיב כאיסור אחד או כצירוף של ב' איסורים</w:t>
      </w:r>
      <w:bookmarkEnd w:id="16369"/>
      <w:bookmarkEnd w:id="16370"/>
      <w:bookmarkEnd w:id="16371"/>
      <w:bookmarkEnd w:id="16372"/>
    </w:p>
    <w:p w14:paraId="5DCB0629" w14:textId="77777777" w:rsidR="003D504D" w:rsidRPr="00345AF2" w:rsidRDefault="003D504D" w:rsidP="00223668">
      <w:pPr>
        <w:pStyle w:val="a0"/>
        <w:rPr>
          <w:rtl/>
        </w:rPr>
      </w:pPr>
      <w:r>
        <w:rPr>
          <w:rFonts w:hint="cs"/>
          <w:rtl/>
        </w:rPr>
        <w:t xml:space="preserve">ובדברי </w:t>
      </w:r>
      <w:r w:rsidRPr="007938D5">
        <w:rPr>
          <w:rStyle w:val="af9"/>
          <w:rFonts w:hint="cs"/>
          <w:rtl/>
        </w:rPr>
        <w:t xml:space="preserve">הראב"ד </w:t>
      </w:r>
      <w:r>
        <w:rPr>
          <w:rFonts w:hint="cs"/>
          <w:rtl/>
        </w:rPr>
        <w:t xml:space="preserve">כתב </w:t>
      </w:r>
      <w:r w:rsidRPr="00A158A5">
        <w:rPr>
          <w:rStyle w:val="af9"/>
          <w:rFonts w:hint="cs"/>
          <w:rtl/>
        </w:rPr>
        <w:t>הגר"ח</w:t>
      </w:r>
      <w:r>
        <w:rPr>
          <w:rFonts w:hint="cs"/>
          <w:rtl/>
        </w:rPr>
        <w:t xml:space="preserve"> </w:t>
      </w:r>
      <w:r w:rsidRPr="00A158A5">
        <w:rPr>
          <w:rStyle w:val="af7"/>
          <w:rFonts w:eastAsia="Guttman Hodes" w:hint="cs"/>
          <w:rtl/>
        </w:rPr>
        <w:t>(גנזי הגר"ח סי' ס"ו</w:t>
      </w:r>
      <w:r>
        <w:rPr>
          <w:rStyle w:val="af7"/>
          <w:rFonts w:eastAsia="Guttman Hodes" w:hint="cs"/>
          <w:rtl/>
        </w:rPr>
        <w:t xml:space="preserve"> ד"ה ולפי"ז</w:t>
      </w:r>
      <w:r w:rsidRPr="00A158A5">
        <w:rPr>
          <w:rStyle w:val="af7"/>
          <w:rFonts w:eastAsia="Guttman Hodes" w:hint="cs"/>
          <w:rtl/>
        </w:rPr>
        <w:t>)</w:t>
      </w:r>
      <w:r>
        <w:rPr>
          <w:rFonts w:hint="cs"/>
          <w:rtl/>
        </w:rPr>
        <w:t xml:space="preserve"> דס"ל דכיון דאף איסור בשר מן החי, הוא מדין "בשר בשדה טריפה", א"כ חשיב כאיסור אחד, וכתב </w:t>
      </w:r>
      <w:r w:rsidRPr="00A158A5">
        <w:rPr>
          <w:rStyle w:val="af9"/>
          <w:rFonts w:hint="cs"/>
          <w:rtl/>
        </w:rPr>
        <w:t>הגר"ח</w:t>
      </w:r>
      <w:r>
        <w:rPr>
          <w:rFonts w:hint="cs"/>
          <w:rtl/>
        </w:rPr>
        <w:t xml:space="preserve"> </w:t>
      </w:r>
      <w:r w:rsidRPr="00A158A5">
        <w:rPr>
          <w:rStyle w:val="af7"/>
          <w:rFonts w:eastAsia="Guttman Hodes" w:hint="cs"/>
          <w:rtl/>
        </w:rPr>
        <w:t>(גנזי הגר"ח סי' ס"ו</w:t>
      </w:r>
      <w:r>
        <w:rPr>
          <w:rStyle w:val="af7"/>
          <w:rFonts w:eastAsia="Guttman Hodes" w:hint="cs"/>
          <w:rtl/>
        </w:rPr>
        <w:t xml:space="preserve"> ד"ה אלא דיש</w:t>
      </w:r>
      <w:r w:rsidRPr="00A158A5">
        <w:rPr>
          <w:rStyle w:val="af7"/>
          <w:rFonts w:eastAsia="Guttman Hodes" w:hint="cs"/>
          <w:rtl/>
        </w:rPr>
        <w:t>)</w:t>
      </w:r>
      <w:r>
        <w:rPr>
          <w:rFonts w:hint="cs"/>
          <w:rtl/>
        </w:rPr>
        <w:t xml:space="preserve"> </w:t>
      </w:r>
      <w:r w:rsidRPr="007938D5">
        <w:rPr>
          <w:rStyle w:val="af9"/>
          <w:rFonts w:hint="cs"/>
          <w:rtl/>
        </w:rPr>
        <w:t xml:space="preserve">דהרמב"ם </w:t>
      </w:r>
      <w:r>
        <w:rPr>
          <w:rFonts w:hint="cs"/>
          <w:rtl/>
        </w:rPr>
        <w:t>ס"ל דבשר מן החי אסור מדין "בשר בשדה טריפה", ואילו אבר מן החי אסור רק מדין "בשר בשדה" אך אינו אסור משום טריפה ממש, עיי"ש בדבריו.</w:t>
      </w:r>
    </w:p>
    <w:p w14:paraId="50B83726" w14:textId="77777777" w:rsidR="003D504D" w:rsidRDefault="003D504D" w:rsidP="00BF39B2">
      <w:pPr>
        <w:pStyle w:val="1"/>
        <w:rPr>
          <w:rtl/>
        </w:rPr>
      </w:pPr>
      <w:bookmarkStart w:id="16373" w:name="_Toc535574984"/>
      <w:bookmarkStart w:id="16374" w:name="_Toc535702469"/>
      <w:bookmarkStart w:id="16375" w:name="_Toc535750627"/>
      <w:bookmarkStart w:id="16376" w:name="_Toc19391170"/>
      <w:bookmarkStart w:id="16377" w:name="_Toc19394667"/>
      <w:r>
        <w:rPr>
          <w:rFonts w:hint="cs"/>
          <w:rtl/>
        </w:rPr>
        <w:t>דברי האמר"מ דמשמע ברמב"ם</w:t>
      </w:r>
      <w:bookmarkEnd w:id="16352"/>
      <w:r>
        <w:rPr>
          <w:rFonts w:hint="cs"/>
          <w:rtl/>
        </w:rPr>
        <w:t xml:space="preserve"> ובראב"ד דהשחיטה מהני לאבר</w:t>
      </w:r>
      <w:bookmarkEnd w:id="16353"/>
      <w:bookmarkEnd w:id="16373"/>
      <w:bookmarkEnd w:id="16374"/>
      <w:bookmarkEnd w:id="16375"/>
      <w:bookmarkEnd w:id="16376"/>
      <w:bookmarkEnd w:id="16377"/>
    </w:p>
    <w:p w14:paraId="462887FE" w14:textId="77777777" w:rsidR="003D504D" w:rsidRPr="008636D8" w:rsidRDefault="003D504D" w:rsidP="003D504D">
      <w:pPr>
        <w:pStyle w:val="a3"/>
        <w:rPr>
          <w:rtl/>
        </w:rPr>
      </w:pPr>
      <w:bookmarkStart w:id="16378" w:name="_Toc535526286"/>
      <w:bookmarkStart w:id="16379" w:name="_Toc535574985"/>
      <w:bookmarkStart w:id="16380" w:name="_Toc535702470"/>
      <w:bookmarkStart w:id="16381" w:name="_Toc535750628"/>
      <w:bookmarkStart w:id="16382" w:name="_Toc19391171"/>
      <w:bookmarkStart w:id="16383" w:name="_Toc19394668"/>
      <w:r>
        <w:rPr>
          <w:rFonts w:hint="cs"/>
          <w:rtl/>
        </w:rPr>
        <w:t>דברי האמרי משה דלהרמב"ם והראב"ד אסור מדין טריפה והשחיטה מתירתו מאבמה"ח</w:t>
      </w:r>
      <w:bookmarkEnd w:id="16378"/>
      <w:bookmarkEnd w:id="16379"/>
      <w:bookmarkEnd w:id="16380"/>
      <w:bookmarkEnd w:id="16381"/>
      <w:bookmarkEnd w:id="16382"/>
      <w:bookmarkEnd w:id="16383"/>
    </w:p>
    <w:p w14:paraId="1BF5F74A" w14:textId="77777777" w:rsidR="003D504D" w:rsidRDefault="003D504D" w:rsidP="00223668">
      <w:pPr>
        <w:pStyle w:val="a0"/>
        <w:rPr>
          <w:rtl/>
        </w:rPr>
      </w:pPr>
      <w:bookmarkStart w:id="16384" w:name="_Ref535228393"/>
      <w:r>
        <w:rPr>
          <w:rFonts w:hint="cs"/>
          <w:rtl/>
        </w:rPr>
        <w:t xml:space="preserve">כתב </w:t>
      </w:r>
      <w:r w:rsidRPr="008636D8">
        <w:rPr>
          <w:rStyle w:val="af9"/>
          <w:rFonts w:hint="cs"/>
          <w:rtl/>
        </w:rPr>
        <w:t>האמרי משה</w:t>
      </w:r>
      <w:r>
        <w:rPr>
          <w:rFonts w:hint="cs"/>
          <w:rtl/>
        </w:rPr>
        <w:t xml:space="preserve"> </w:t>
      </w:r>
      <w:r w:rsidRPr="00990292">
        <w:rPr>
          <w:rStyle w:val="af7"/>
          <w:rFonts w:eastAsia="Guttman Hodes" w:hint="cs"/>
          <w:rtl/>
        </w:rPr>
        <w:t>(סי ד' אות כ"ג ד"ה והנה ברמב"ם)</w:t>
      </w:r>
      <w:r>
        <w:rPr>
          <w:rFonts w:hint="cs"/>
          <w:rtl/>
        </w:rPr>
        <w:t xml:space="preserve"> דמבואר מדברי </w:t>
      </w:r>
      <w:r w:rsidRPr="008636D8">
        <w:rPr>
          <w:rStyle w:val="af9"/>
          <w:rFonts w:hint="cs"/>
          <w:rtl/>
        </w:rPr>
        <w:t>הרמב"ם</w:t>
      </w:r>
      <w:r>
        <w:rPr>
          <w:rFonts w:hint="cs"/>
          <w:rtl/>
        </w:rPr>
        <w:t xml:space="preserve"> </w:t>
      </w:r>
      <w:r w:rsidRPr="00990292">
        <w:rPr>
          <w:rStyle w:val="af7"/>
          <w:rFonts w:eastAsia="Guttman Hodes" w:hint="cs"/>
          <w:rtl/>
        </w:rPr>
        <w:t xml:space="preserve">(עי' אות </w:t>
      </w:r>
      <w:r w:rsidRPr="00990292">
        <w:rPr>
          <w:rStyle w:val="af7"/>
          <w:rFonts w:eastAsia="Guttman Hodes"/>
          <w:rtl/>
        </w:rPr>
        <w:fldChar w:fldCharType="begin"/>
      </w:r>
      <w:r w:rsidRPr="00990292">
        <w:rPr>
          <w:rStyle w:val="af7"/>
          <w:rFonts w:eastAsia="Guttman Hodes"/>
          <w:rtl/>
        </w:rPr>
        <w:instrText xml:space="preserve"> </w:instrText>
      </w:r>
      <w:r w:rsidRPr="00990292">
        <w:rPr>
          <w:rStyle w:val="af7"/>
          <w:rFonts w:eastAsia="Guttman Hodes" w:hint="cs"/>
        </w:rPr>
        <w:instrText>REF</w:instrText>
      </w:r>
      <w:r w:rsidRPr="00990292">
        <w:rPr>
          <w:rStyle w:val="af7"/>
          <w:rFonts w:eastAsia="Guttman Hodes" w:hint="cs"/>
          <w:rtl/>
        </w:rPr>
        <w:instrText xml:space="preserve"> _</w:instrText>
      </w:r>
      <w:r w:rsidRPr="00990292">
        <w:rPr>
          <w:rStyle w:val="af7"/>
          <w:rFonts w:eastAsia="Guttman Hodes" w:hint="cs"/>
        </w:rPr>
        <w:instrText>Ref535168530 \r \h</w:instrText>
      </w:r>
      <w:r w:rsidRPr="00990292">
        <w:rPr>
          <w:rStyle w:val="af7"/>
          <w:rFonts w:eastAsia="Guttman Hodes"/>
          <w:rtl/>
        </w:rPr>
        <w:instrText xml:space="preserve"> </w:instrText>
      </w:r>
      <w:r w:rsidRPr="00990292">
        <w:rPr>
          <w:rStyle w:val="af7"/>
          <w:rFonts w:eastAsia="Guttman Hodes"/>
          <w:rtl/>
        </w:rPr>
      </w:r>
      <w:r w:rsidRPr="00990292">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990292">
        <w:rPr>
          <w:rStyle w:val="af7"/>
          <w:rFonts w:eastAsia="Guttman Hodes"/>
          <w:rtl/>
        </w:rPr>
        <w:fldChar w:fldCharType="end"/>
      </w:r>
      <w:r>
        <w:rPr>
          <w:rFonts w:hint="cs"/>
          <w:rtl/>
        </w:rPr>
        <w:t xml:space="preserve"> </w:t>
      </w:r>
      <w:r w:rsidRPr="008636D8">
        <w:rPr>
          <w:rStyle w:val="af9"/>
          <w:rFonts w:hint="cs"/>
          <w:rtl/>
        </w:rPr>
        <w:t>והראב"ד</w:t>
      </w:r>
      <w:r>
        <w:rPr>
          <w:rFonts w:hint="cs"/>
          <w:rtl/>
        </w:rPr>
        <w:t xml:space="preserve"> </w:t>
      </w:r>
      <w:r w:rsidRPr="00990292">
        <w:rPr>
          <w:rStyle w:val="af7"/>
          <w:rFonts w:eastAsia="Guttman Hodes" w:hint="cs"/>
          <w:rtl/>
        </w:rPr>
        <w:t xml:space="preserve">(עי' אות </w:t>
      </w:r>
      <w:r w:rsidRPr="00990292">
        <w:rPr>
          <w:rStyle w:val="af7"/>
          <w:rFonts w:eastAsia="Guttman Hodes"/>
          <w:rtl/>
        </w:rPr>
        <w:fldChar w:fldCharType="begin"/>
      </w:r>
      <w:r w:rsidRPr="00990292">
        <w:rPr>
          <w:rStyle w:val="af7"/>
          <w:rFonts w:eastAsia="Guttman Hodes"/>
          <w:rtl/>
        </w:rPr>
        <w:instrText xml:space="preserve"> </w:instrText>
      </w:r>
      <w:r w:rsidRPr="00990292">
        <w:rPr>
          <w:rStyle w:val="af7"/>
          <w:rFonts w:eastAsia="Guttman Hodes" w:hint="cs"/>
        </w:rPr>
        <w:instrText>REF</w:instrText>
      </w:r>
      <w:r w:rsidRPr="00990292">
        <w:rPr>
          <w:rStyle w:val="af7"/>
          <w:rFonts w:eastAsia="Guttman Hodes" w:hint="cs"/>
          <w:rtl/>
        </w:rPr>
        <w:instrText xml:space="preserve"> _</w:instrText>
      </w:r>
      <w:r w:rsidRPr="00990292">
        <w:rPr>
          <w:rStyle w:val="af7"/>
          <w:rFonts w:eastAsia="Guttman Hodes" w:hint="cs"/>
        </w:rPr>
        <w:instrText>Ref535228133 \r \h</w:instrText>
      </w:r>
      <w:r w:rsidRPr="00990292">
        <w:rPr>
          <w:rStyle w:val="af7"/>
          <w:rFonts w:eastAsia="Guttman Hodes"/>
          <w:rtl/>
        </w:rPr>
        <w:instrText xml:space="preserve"> </w:instrText>
      </w:r>
      <w:r w:rsidRPr="00990292">
        <w:rPr>
          <w:rStyle w:val="af7"/>
          <w:rFonts w:eastAsia="Guttman Hodes"/>
          <w:rtl/>
        </w:rPr>
      </w:r>
      <w:r w:rsidRPr="00990292">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990292">
        <w:rPr>
          <w:rStyle w:val="af7"/>
          <w:rFonts w:eastAsia="Guttman Hodes"/>
          <w:rtl/>
        </w:rPr>
        <w:fldChar w:fldCharType="end"/>
      </w:r>
      <w:r>
        <w:rPr>
          <w:rStyle w:val="af7"/>
          <w:rFonts w:eastAsia="Guttman Hodes" w:hint="cs"/>
          <w:rtl/>
        </w:rPr>
        <w:t xml:space="preserve"> </w:t>
      </w:r>
      <w:r>
        <w:rPr>
          <w:rFonts w:hint="cs"/>
          <w:rtl/>
        </w:rPr>
        <w:t xml:space="preserve">דהאיסור באבר היוצא הוא רק איסור טריפה, ואין בו איסור אבר מן החי, וביאר </w:t>
      </w:r>
      <w:r w:rsidRPr="008636D8">
        <w:rPr>
          <w:rStyle w:val="af9"/>
          <w:rFonts w:hint="cs"/>
          <w:rtl/>
        </w:rPr>
        <w:t>האמרי משה</w:t>
      </w:r>
      <w:r>
        <w:rPr>
          <w:rFonts w:hint="cs"/>
          <w:rtl/>
        </w:rPr>
        <w:t xml:space="preserve"> דהשחיטה חלה גם על האבר, וציין </w:t>
      </w:r>
      <w:r w:rsidRPr="008636D8">
        <w:rPr>
          <w:rStyle w:val="af9"/>
          <w:rFonts w:hint="cs"/>
          <w:rtl/>
        </w:rPr>
        <w:t>האמרי משה</w:t>
      </w:r>
      <w:r>
        <w:rPr>
          <w:rFonts w:hint="cs"/>
          <w:rtl/>
        </w:rPr>
        <w:t xml:space="preserve"> לדבריו </w:t>
      </w:r>
      <w:r w:rsidRPr="00990292">
        <w:rPr>
          <w:rStyle w:val="af7"/>
          <w:rFonts w:eastAsia="Guttman Hodes" w:hint="cs"/>
          <w:rtl/>
        </w:rPr>
        <w:t>(סי' ד' אות ה')</w:t>
      </w:r>
      <w:r>
        <w:rPr>
          <w:rFonts w:hint="cs"/>
          <w:rtl/>
        </w:rPr>
        <w:t xml:space="preserve"> דביאר בדעת </w:t>
      </w:r>
      <w:r w:rsidRPr="008636D8">
        <w:rPr>
          <w:rStyle w:val="af9"/>
          <w:rFonts w:hint="cs"/>
          <w:rtl/>
        </w:rPr>
        <w:t>הרמב"ם</w:t>
      </w:r>
      <w:r>
        <w:rPr>
          <w:rFonts w:hint="cs"/>
          <w:rtl/>
        </w:rPr>
        <w:t xml:space="preserve"> דבכל בן פקועה ההיתר הוא, מחמת דחל על העובר דין שחיטה, וחשיב שנשחט בשחיטת אמו, ולכן אף האבר היוצא חשיב כשחוט, ואינו בכלל אבר מן החי, ועי' במה שביאר </w:t>
      </w:r>
      <w:r w:rsidRPr="00336C11">
        <w:rPr>
          <w:rStyle w:val="af9"/>
          <w:rFonts w:hint="cs"/>
          <w:rtl/>
        </w:rPr>
        <w:t>האמרי משה</w:t>
      </w:r>
      <w:r>
        <w:rPr>
          <w:rFonts w:hint="cs"/>
          <w:rtl/>
        </w:rPr>
        <w:t xml:space="preserve"> </w:t>
      </w:r>
      <w:r w:rsidRPr="00336C11">
        <w:rPr>
          <w:rStyle w:val="af7"/>
          <w:rFonts w:eastAsia="Guttman Hodes" w:hint="cs"/>
          <w:rtl/>
        </w:rPr>
        <w:t>(סי' ד' אות כ"ה)</w:t>
      </w:r>
      <w:r>
        <w:rPr>
          <w:rFonts w:hint="cs"/>
          <w:rtl/>
        </w:rPr>
        <w:t xml:space="preserve"> </w:t>
      </w:r>
      <w:r w:rsidRPr="00336C11">
        <w:rPr>
          <w:rStyle w:val="af9"/>
          <w:rFonts w:hint="cs"/>
          <w:rtl/>
        </w:rPr>
        <w:t>דהרמב"ם והראב"ד</w:t>
      </w:r>
      <w:r>
        <w:rPr>
          <w:rFonts w:hint="cs"/>
          <w:rtl/>
        </w:rPr>
        <w:t xml:space="preserve"> ס"ל דבגמ' לקמן </w:t>
      </w:r>
      <w:r w:rsidRPr="00336C11">
        <w:rPr>
          <w:rStyle w:val="af7"/>
          <w:rFonts w:eastAsia="Guttman Hodes" w:hint="cs"/>
          <w:rtl/>
        </w:rPr>
        <w:t>(סט.)</w:t>
      </w:r>
      <w:r>
        <w:rPr>
          <w:rFonts w:hint="cs"/>
          <w:rtl/>
        </w:rPr>
        <w:t xml:space="preserve"> מוכח דאין איסור אבר מן החי באבר היוצא.</w:t>
      </w:r>
      <w:bookmarkEnd w:id="16384"/>
    </w:p>
    <w:p w14:paraId="461C8775" w14:textId="77777777" w:rsidR="003D504D" w:rsidRPr="00526C82" w:rsidRDefault="003D504D" w:rsidP="003D504D">
      <w:pPr>
        <w:pStyle w:val="a3"/>
        <w:rPr>
          <w:rtl/>
        </w:rPr>
      </w:pPr>
    </w:p>
    <w:p w14:paraId="4F856879" w14:textId="77777777" w:rsidR="003D504D" w:rsidRDefault="003D504D" w:rsidP="003D504D">
      <w:pPr>
        <w:pStyle w:val="a3"/>
        <w:rPr>
          <w:rtl/>
        </w:rPr>
      </w:pPr>
      <w:bookmarkStart w:id="16385" w:name="_Toc535526287"/>
      <w:bookmarkStart w:id="16386" w:name="_Toc535574986"/>
      <w:bookmarkStart w:id="16387" w:name="_Toc535702471"/>
      <w:bookmarkStart w:id="16388" w:name="_Toc535750629"/>
      <w:bookmarkStart w:id="16389" w:name="_Toc19391172"/>
      <w:bookmarkStart w:id="16390" w:name="_Toc19394669"/>
      <w:r>
        <w:rPr>
          <w:rFonts w:hint="cs"/>
          <w:rtl/>
        </w:rPr>
        <w:t>דברי האמרי משה דלפי"ז קשה על הרמב"ם והראב"ד את קושית הרשב"א מספק הגמ' בחלב</w:t>
      </w:r>
      <w:bookmarkEnd w:id="16385"/>
      <w:bookmarkEnd w:id="16386"/>
      <w:bookmarkEnd w:id="16387"/>
      <w:bookmarkEnd w:id="16388"/>
      <w:bookmarkEnd w:id="16389"/>
      <w:bookmarkEnd w:id="16390"/>
    </w:p>
    <w:p w14:paraId="4C05C30C" w14:textId="77777777" w:rsidR="003D504D" w:rsidRDefault="003D504D" w:rsidP="00223668">
      <w:pPr>
        <w:pStyle w:val="a0"/>
        <w:rPr>
          <w:rtl/>
        </w:rPr>
      </w:pPr>
      <w:bookmarkStart w:id="16391" w:name="_Ref535234241"/>
      <w:r>
        <w:rPr>
          <w:rFonts w:hint="cs"/>
          <w:rtl/>
        </w:rPr>
        <w:t xml:space="preserve">אך כתב </w:t>
      </w:r>
      <w:r w:rsidRPr="00240797">
        <w:rPr>
          <w:rStyle w:val="af9"/>
          <w:rFonts w:hint="cs"/>
          <w:rtl/>
        </w:rPr>
        <w:t>האמרי משה</w:t>
      </w:r>
      <w:r>
        <w:rPr>
          <w:rFonts w:hint="cs"/>
          <w:rtl/>
        </w:rPr>
        <w:t xml:space="preserve"> </w:t>
      </w:r>
      <w:r w:rsidRPr="00F775AC">
        <w:rPr>
          <w:rStyle w:val="af7"/>
          <w:rFonts w:eastAsia="Guttman Hodes" w:hint="cs"/>
          <w:rtl/>
        </w:rPr>
        <w:t>(סי' ד' אות כ"ז)</w:t>
      </w:r>
      <w:r>
        <w:rPr>
          <w:rFonts w:hint="cs"/>
          <w:rtl/>
        </w:rPr>
        <w:t xml:space="preserve"> דכיון דס"ל </w:t>
      </w:r>
      <w:r w:rsidRPr="00240797">
        <w:rPr>
          <w:rStyle w:val="af9"/>
          <w:rFonts w:hint="cs"/>
          <w:rtl/>
        </w:rPr>
        <w:t>להרמב"ם והראב"ד</w:t>
      </w:r>
      <w:r>
        <w:rPr>
          <w:rFonts w:hint="cs"/>
          <w:rtl/>
        </w:rPr>
        <w:t xml:space="preserve"> דהאיסור באבר היוצא הוא מדין טריפה, א"כ לדבריהם קשה קושית </w:t>
      </w:r>
      <w:r w:rsidRPr="00240797">
        <w:rPr>
          <w:rStyle w:val="af9"/>
          <w:rFonts w:hint="cs"/>
          <w:rtl/>
        </w:rPr>
        <w:t>הרשב"א</w:t>
      </w:r>
      <w:r>
        <w:rPr>
          <w:rFonts w:hint="cs"/>
          <w:rtl/>
        </w:rPr>
        <w:t xml:space="preserve"> </w:t>
      </w:r>
      <w:r w:rsidRPr="00F775AC">
        <w:rPr>
          <w:rStyle w:val="af7"/>
          <w:rFonts w:eastAsia="Guttman Hodes" w:hint="cs"/>
          <w:rtl/>
        </w:rPr>
        <w:t xml:space="preserve">(עי' אות </w:t>
      </w:r>
      <w:r w:rsidRPr="00F775AC">
        <w:rPr>
          <w:rStyle w:val="af7"/>
          <w:rFonts w:eastAsia="Guttman Hodes"/>
          <w:rtl/>
        </w:rPr>
        <w:fldChar w:fldCharType="begin"/>
      </w:r>
      <w:r w:rsidRPr="00F775AC">
        <w:rPr>
          <w:rStyle w:val="af7"/>
          <w:rFonts w:eastAsia="Guttman Hodes"/>
          <w:rtl/>
        </w:rPr>
        <w:instrText xml:space="preserve"> </w:instrText>
      </w:r>
      <w:r w:rsidRPr="00F775AC">
        <w:rPr>
          <w:rStyle w:val="af7"/>
          <w:rFonts w:eastAsia="Guttman Hodes" w:hint="cs"/>
        </w:rPr>
        <w:instrText>REF</w:instrText>
      </w:r>
      <w:r w:rsidRPr="00F775AC">
        <w:rPr>
          <w:rStyle w:val="af7"/>
          <w:rFonts w:eastAsia="Guttman Hodes" w:hint="cs"/>
          <w:rtl/>
        </w:rPr>
        <w:instrText xml:space="preserve"> _</w:instrText>
      </w:r>
      <w:r w:rsidRPr="00F775AC">
        <w:rPr>
          <w:rStyle w:val="af7"/>
          <w:rFonts w:eastAsia="Guttman Hodes" w:hint="cs"/>
        </w:rPr>
        <w:instrText>Ref535230332 \r \h</w:instrText>
      </w:r>
      <w:r w:rsidRPr="00F775AC">
        <w:rPr>
          <w:rStyle w:val="af7"/>
          <w:rFonts w:eastAsia="Guttman Hodes"/>
          <w:rtl/>
        </w:rPr>
        <w:instrText xml:space="preserve"> </w:instrText>
      </w:r>
      <w:r w:rsidRPr="00F775AC">
        <w:rPr>
          <w:rStyle w:val="af7"/>
          <w:rFonts w:eastAsia="Guttman Hodes"/>
          <w:rtl/>
        </w:rPr>
      </w:r>
      <w:r w:rsidRPr="00F775AC">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F775AC">
        <w:rPr>
          <w:rStyle w:val="af7"/>
          <w:rFonts w:eastAsia="Guttman Hodes"/>
          <w:rtl/>
        </w:rPr>
        <w:fldChar w:fldCharType="end"/>
      </w:r>
      <w:r>
        <w:rPr>
          <w:rFonts w:hint="cs"/>
          <w:rtl/>
        </w:rPr>
        <w:t xml:space="preserve"> דהיאך מדמה הגמ' את הספק בחלב הבא מכח אבר היוצא לחלב הבא מן החי, הא דמי לחלב טריפה דאסור, ועי' במה שתירץ </w:t>
      </w:r>
      <w:r w:rsidRPr="00485E61">
        <w:rPr>
          <w:rStyle w:val="af9"/>
          <w:rFonts w:hint="cs"/>
          <w:rtl/>
        </w:rPr>
        <w:t>האמרי משה</w:t>
      </w:r>
      <w:r>
        <w:rPr>
          <w:rFonts w:hint="cs"/>
          <w:rtl/>
        </w:rPr>
        <w:t xml:space="preserve"> </w:t>
      </w:r>
      <w:r w:rsidRPr="00485E61">
        <w:rPr>
          <w:rStyle w:val="af7"/>
          <w:rFonts w:eastAsia="Guttman Hodes" w:hint="cs"/>
          <w:rtl/>
        </w:rPr>
        <w:t xml:space="preserve">(עי' אות </w:t>
      </w:r>
      <w:r w:rsidRPr="00485E61">
        <w:rPr>
          <w:rStyle w:val="af7"/>
          <w:rFonts w:eastAsia="Guttman Hodes"/>
          <w:rtl/>
        </w:rPr>
        <w:fldChar w:fldCharType="begin"/>
      </w:r>
      <w:r w:rsidRPr="00485E61">
        <w:rPr>
          <w:rStyle w:val="af7"/>
          <w:rFonts w:eastAsia="Guttman Hodes"/>
          <w:rtl/>
        </w:rPr>
        <w:instrText xml:space="preserve"> </w:instrText>
      </w:r>
      <w:r w:rsidRPr="00485E61">
        <w:rPr>
          <w:rStyle w:val="af7"/>
          <w:rFonts w:eastAsia="Guttman Hodes" w:hint="cs"/>
        </w:rPr>
        <w:instrText>REF</w:instrText>
      </w:r>
      <w:r w:rsidRPr="00485E61">
        <w:rPr>
          <w:rStyle w:val="af7"/>
          <w:rFonts w:eastAsia="Guttman Hodes" w:hint="cs"/>
          <w:rtl/>
        </w:rPr>
        <w:instrText xml:space="preserve"> _</w:instrText>
      </w:r>
      <w:r w:rsidRPr="00485E61">
        <w:rPr>
          <w:rStyle w:val="af7"/>
          <w:rFonts w:eastAsia="Guttman Hodes" w:hint="cs"/>
        </w:rPr>
        <w:instrText>Ref535234263 \r \h</w:instrText>
      </w:r>
      <w:r w:rsidRPr="00485E61">
        <w:rPr>
          <w:rStyle w:val="af7"/>
          <w:rFonts w:eastAsia="Guttman Hodes"/>
          <w:rtl/>
        </w:rPr>
        <w:instrText xml:space="preserve"> </w:instrText>
      </w:r>
      <w:r w:rsidRPr="00485E61">
        <w:rPr>
          <w:rStyle w:val="af7"/>
          <w:rFonts w:eastAsia="Guttman Hodes"/>
          <w:rtl/>
        </w:rPr>
      </w:r>
      <w:r w:rsidRPr="00485E61">
        <w:rPr>
          <w:rStyle w:val="af7"/>
          <w:rFonts w:eastAsia="Guttman Hodes"/>
          <w:rtl/>
        </w:rPr>
        <w:fldChar w:fldCharType="separate"/>
      </w:r>
      <w:r w:rsidR="00345400">
        <w:rPr>
          <w:rStyle w:val="af7"/>
          <w:rFonts w:eastAsia="Guttman Hodes"/>
          <w:cs/>
        </w:rPr>
        <w:t>‎</w:t>
      </w:r>
      <w:r w:rsidR="00345400">
        <w:rPr>
          <w:rStyle w:val="af7"/>
          <w:rFonts w:eastAsia="Guttman Hodes"/>
          <w:rtl/>
        </w:rPr>
        <w:t>קכה)</w:t>
      </w:r>
      <w:r w:rsidRPr="00485E61">
        <w:rPr>
          <w:rStyle w:val="af7"/>
          <w:rFonts w:eastAsia="Guttman Hodes"/>
          <w:rtl/>
        </w:rPr>
        <w:fldChar w:fldCharType="end"/>
      </w:r>
      <w:r>
        <w:rPr>
          <w:rFonts w:hint="cs"/>
          <w:rtl/>
        </w:rPr>
        <w:t xml:space="preserve">, ובמ"ש </w:t>
      </w:r>
      <w:r w:rsidRPr="00815FF9">
        <w:rPr>
          <w:rStyle w:val="af9"/>
          <w:rFonts w:hint="cs"/>
          <w:rtl/>
        </w:rPr>
        <w:t>האמרי משה</w:t>
      </w:r>
      <w:r>
        <w:rPr>
          <w:rFonts w:hint="cs"/>
          <w:rtl/>
        </w:rPr>
        <w:t xml:space="preserve"> </w:t>
      </w:r>
      <w:r w:rsidRPr="00815FF9">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Ref535750645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קכט)</w:t>
      </w:r>
      <w:r>
        <w:rPr>
          <w:rStyle w:val="af7"/>
          <w:rFonts w:eastAsia="Guttman Hodes"/>
          <w:rtl/>
        </w:rPr>
        <w:fldChar w:fldCharType="end"/>
      </w:r>
      <w:r>
        <w:rPr>
          <w:rStyle w:val="af7"/>
          <w:rFonts w:eastAsia="Guttman Hodes" w:hint="cs"/>
          <w:rtl/>
        </w:rPr>
        <w:t xml:space="preserve"> </w:t>
      </w:r>
      <w:r>
        <w:rPr>
          <w:rFonts w:hint="cs"/>
          <w:rtl/>
        </w:rPr>
        <w:t>במסקנת דבריו.</w:t>
      </w:r>
      <w:bookmarkEnd w:id="16391"/>
    </w:p>
    <w:p w14:paraId="14187C14" w14:textId="77777777" w:rsidR="003D504D" w:rsidRDefault="003D504D" w:rsidP="00BF39B2">
      <w:pPr>
        <w:pStyle w:val="1"/>
        <w:rPr>
          <w:rtl/>
        </w:rPr>
      </w:pPr>
      <w:bookmarkStart w:id="16392" w:name="_Toc535302139"/>
      <w:bookmarkStart w:id="16393" w:name="_Toc535526288"/>
      <w:bookmarkStart w:id="16394" w:name="_Toc535574987"/>
      <w:bookmarkStart w:id="16395" w:name="_Toc535702472"/>
      <w:bookmarkStart w:id="16396" w:name="_Toc535750630"/>
      <w:bookmarkStart w:id="16397" w:name="_Toc19391173"/>
      <w:bookmarkStart w:id="16398" w:name="_Toc19394670"/>
      <w:bookmarkStart w:id="16399" w:name="_Ref535229901"/>
      <w:r>
        <w:rPr>
          <w:rFonts w:hint="cs"/>
          <w:rtl/>
        </w:rPr>
        <w:t>דברי האמרי משה דמשמע בראב"ד</w:t>
      </w:r>
      <w:bookmarkEnd w:id="16392"/>
      <w:bookmarkEnd w:id="16393"/>
      <w:r>
        <w:rPr>
          <w:rFonts w:hint="cs"/>
          <w:rtl/>
        </w:rPr>
        <w:t xml:space="preserve"> דמהני שחיטה לאבר היוצא</w:t>
      </w:r>
      <w:bookmarkEnd w:id="16394"/>
      <w:bookmarkEnd w:id="16395"/>
      <w:bookmarkEnd w:id="16396"/>
      <w:bookmarkEnd w:id="16397"/>
      <w:bookmarkEnd w:id="16398"/>
    </w:p>
    <w:p w14:paraId="0A5CC125" w14:textId="77777777" w:rsidR="003D504D" w:rsidRDefault="003D504D" w:rsidP="003D504D">
      <w:pPr>
        <w:pStyle w:val="a3"/>
        <w:rPr>
          <w:rtl/>
        </w:rPr>
      </w:pPr>
      <w:bookmarkStart w:id="16400" w:name="_Toc535526289"/>
      <w:bookmarkStart w:id="16401" w:name="_Toc535574988"/>
      <w:bookmarkStart w:id="16402" w:name="_Toc535702473"/>
      <w:bookmarkStart w:id="16403" w:name="_Toc535750631"/>
      <w:bookmarkStart w:id="16404" w:name="_Toc19391174"/>
      <w:bookmarkStart w:id="16405" w:name="_Toc19394671"/>
      <w:r>
        <w:rPr>
          <w:rFonts w:hint="cs"/>
          <w:rtl/>
        </w:rPr>
        <w:t>דברי האמרי משה</w:t>
      </w:r>
      <w:bookmarkEnd w:id="16400"/>
      <w:r>
        <w:rPr>
          <w:rFonts w:hint="cs"/>
          <w:rtl/>
        </w:rPr>
        <w:t xml:space="preserve"> דלהראב"ד השחיטה מתירה את האבר באכילה מדין אבמה"ח ואסור בטריפה</w:t>
      </w:r>
      <w:bookmarkEnd w:id="16401"/>
      <w:bookmarkEnd w:id="16402"/>
      <w:bookmarkEnd w:id="16403"/>
      <w:bookmarkEnd w:id="16404"/>
      <w:bookmarkEnd w:id="16405"/>
    </w:p>
    <w:p w14:paraId="236A4C8F" w14:textId="77777777" w:rsidR="003D504D" w:rsidRDefault="003D504D" w:rsidP="00223668">
      <w:pPr>
        <w:pStyle w:val="a0"/>
        <w:rPr>
          <w:rtl/>
        </w:rPr>
      </w:pPr>
      <w:bookmarkStart w:id="16406" w:name="_Ref535313120"/>
      <w:r>
        <w:rPr>
          <w:rFonts w:hint="cs"/>
          <w:rtl/>
        </w:rPr>
        <w:t xml:space="preserve">ובדעת </w:t>
      </w:r>
      <w:r w:rsidRPr="00115740">
        <w:rPr>
          <w:rStyle w:val="af9"/>
          <w:rFonts w:hint="cs"/>
          <w:rtl/>
        </w:rPr>
        <w:t>הראב"ד</w:t>
      </w:r>
      <w:r>
        <w:rPr>
          <w:rFonts w:hint="cs"/>
          <w:rtl/>
        </w:rPr>
        <w:t xml:space="preserve"> </w:t>
      </w:r>
      <w:r>
        <w:rPr>
          <w:rStyle w:val="af7"/>
          <w:rFonts w:eastAsia="Guttman Hodes" w:hint="cs"/>
          <w:rtl/>
        </w:rPr>
        <w:t>(</w:t>
      </w:r>
      <w:r w:rsidRPr="00990292">
        <w:rPr>
          <w:rStyle w:val="af7"/>
          <w:rFonts w:eastAsia="Guttman Hodes" w:hint="cs"/>
          <w:rtl/>
        </w:rPr>
        <w:t xml:space="preserve">עי' אות </w:t>
      </w:r>
      <w:r w:rsidRPr="00990292">
        <w:rPr>
          <w:rStyle w:val="af7"/>
          <w:rFonts w:eastAsia="Guttman Hodes"/>
          <w:rtl/>
        </w:rPr>
        <w:fldChar w:fldCharType="begin"/>
      </w:r>
      <w:r w:rsidRPr="00990292">
        <w:rPr>
          <w:rStyle w:val="af7"/>
          <w:rFonts w:eastAsia="Guttman Hodes"/>
          <w:rtl/>
        </w:rPr>
        <w:instrText xml:space="preserve"> </w:instrText>
      </w:r>
      <w:r w:rsidRPr="00990292">
        <w:rPr>
          <w:rStyle w:val="af7"/>
          <w:rFonts w:eastAsia="Guttman Hodes" w:hint="cs"/>
        </w:rPr>
        <w:instrText>REF</w:instrText>
      </w:r>
      <w:r w:rsidRPr="00990292">
        <w:rPr>
          <w:rStyle w:val="af7"/>
          <w:rFonts w:eastAsia="Guttman Hodes" w:hint="cs"/>
          <w:rtl/>
        </w:rPr>
        <w:instrText xml:space="preserve"> _</w:instrText>
      </w:r>
      <w:r w:rsidRPr="00990292">
        <w:rPr>
          <w:rStyle w:val="af7"/>
          <w:rFonts w:eastAsia="Guttman Hodes" w:hint="cs"/>
        </w:rPr>
        <w:instrText>Ref535228133 \r \h</w:instrText>
      </w:r>
      <w:r w:rsidRPr="00990292">
        <w:rPr>
          <w:rStyle w:val="af7"/>
          <w:rFonts w:eastAsia="Guttman Hodes"/>
          <w:rtl/>
        </w:rPr>
        <w:instrText xml:space="preserve"> </w:instrText>
      </w:r>
      <w:r w:rsidRPr="00990292">
        <w:rPr>
          <w:rStyle w:val="af7"/>
          <w:rFonts w:eastAsia="Guttman Hodes"/>
          <w:rtl/>
        </w:rPr>
      </w:r>
      <w:r w:rsidRPr="00990292">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990292">
        <w:rPr>
          <w:rStyle w:val="af7"/>
          <w:rFonts w:eastAsia="Guttman Hodes"/>
          <w:rtl/>
        </w:rPr>
        <w:fldChar w:fldCharType="end"/>
      </w:r>
      <w:r>
        <w:rPr>
          <w:rFonts w:hint="cs"/>
          <w:rtl/>
        </w:rPr>
        <w:t xml:space="preserve"> דכתב דמהני השחיטה לאבר היוצא, שאין בו איסור אבר מן החי, ביאר </w:t>
      </w:r>
      <w:r w:rsidRPr="00115740">
        <w:rPr>
          <w:rStyle w:val="af9"/>
          <w:rFonts w:hint="cs"/>
          <w:rtl/>
        </w:rPr>
        <w:t>האמרי משה</w:t>
      </w:r>
      <w:r>
        <w:rPr>
          <w:rFonts w:hint="cs"/>
          <w:rtl/>
        </w:rPr>
        <w:t xml:space="preserve"> </w:t>
      </w:r>
      <w:r w:rsidRPr="0001628A">
        <w:rPr>
          <w:rStyle w:val="af7"/>
          <w:rFonts w:eastAsia="Guttman Hodes" w:hint="cs"/>
          <w:rtl/>
        </w:rPr>
        <w:t xml:space="preserve">(סי ד' אות כ"ג ד"ה והנה ברמב"ם) </w:t>
      </w:r>
      <w:r>
        <w:rPr>
          <w:rFonts w:hint="cs"/>
          <w:rtl/>
        </w:rPr>
        <w:t xml:space="preserve">דס"ל </w:t>
      </w:r>
      <w:r w:rsidRPr="00115740">
        <w:rPr>
          <w:rStyle w:val="af9"/>
          <w:rFonts w:hint="cs"/>
          <w:rtl/>
        </w:rPr>
        <w:t>להראב"ד</w:t>
      </w:r>
      <w:r>
        <w:rPr>
          <w:rFonts w:hint="cs"/>
          <w:rtl/>
        </w:rPr>
        <w:t xml:space="preserve"> דמהני השחיטה אף לאבר להתירו באכילה, מדין אבר מן החי, כיון שאין שחיטה עושה ניפול, ואף שבמתני' לקמן </w:t>
      </w:r>
      <w:r w:rsidRPr="005715C7">
        <w:rPr>
          <w:rStyle w:val="af7"/>
          <w:rFonts w:eastAsia="Guttman Hodes" w:hint="cs"/>
          <w:rtl/>
        </w:rPr>
        <w:t>(עב.)</w:t>
      </w:r>
      <w:r>
        <w:rPr>
          <w:rFonts w:hint="cs"/>
          <w:rtl/>
        </w:rPr>
        <w:t xml:space="preserve">  תני דמהני השחיטה לאבר רק לטהרו מידי נבילה, מ"מ ס"ל </w:t>
      </w:r>
      <w:r w:rsidRPr="00115740">
        <w:rPr>
          <w:rStyle w:val="af9"/>
          <w:rFonts w:hint="cs"/>
          <w:rtl/>
        </w:rPr>
        <w:t>להראב"ד</w:t>
      </w:r>
      <w:r>
        <w:rPr>
          <w:rFonts w:hint="cs"/>
          <w:rtl/>
        </w:rPr>
        <w:t xml:space="preserve"> דאף לענין אכילה חשיב האבר כשחוט, אלא שיש בו איסור אחר מדין "בשר בשדה טריפה".</w:t>
      </w:r>
      <w:bookmarkEnd w:id="16399"/>
      <w:bookmarkEnd w:id="16406"/>
    </w:p>
    <w:p w14:paraId="4007D28E" w14:textId="77777777" w:rsidR="003D504D" w:rsidRPr="00EF1F3D" w:rsidRDefault="003D504D" w:rsidP="003D504D">
      <w:pPr>
        <w:pStyle w:val="a3"/>
        <w:rPr>
          <w:rtl/>
        </w:rPr>
      </w:pPr>
      <w:bookmarkStart w:id="16407" w:name="_Toc535574989"/>
      <w:bookmarkStart w:id="16408" w:name="_Toc535702474"/>
      <w:bookmarkStart w:id="16409" w:name="_Toc535750632"/>
      <w:bookmarkStart w:id="16410" w:name="_Toc19391175"/>
      <w:bookmarkStart w:id="16411" w:name="_Toc19394672"/>
      <w:r>
        <w:rPr>
          <w:rFonts w:hint="cs"/>
          <w:rtl/>
        </w:rPr>
        <w:t>דחיית האמרי משה דמאיסור מקום חתך מוכח דאף להראב"ד לא חלה שחיטה על האבר היוצא</w:t>
      </w:r>
      <w:bookmarkEnd w:id="16407"/>
      <w:bookmarkEnd w:id="16408"/>
      <w:bookmarkEnd w:id="16409"/>
      <w:bookmarkEnd w:id="16410"/>
      <w:bookmarkEnd w:id="16411"/>
    </w:p>
    <w:p w14:paraId="07256BCE" w14:textId="77777777" w:rsidR="003D504D" w:rsidRDefault="003D504D" w:rsidP="00223668">
      <w:pPr>
        <w:pStyle w:val="a0"/>
        <w:rPr>
          <w:rtl/>
        </w:rPr>
      </w:pPr>
      <w:r>
        <w:rPr>
          <w:rFonts w:hint="cs"/>
          <w:rtl/>
        </w:rPr>
        <w:t xml:space="preserve">אך הקשה </w:t>
      </w:r>
      <w:r w:rsidRPr="00240797">
        <w:rPr>
          <w:rStyle w:val="af9"/>
          <w:rFonts w:hint="cs"/>
          <w:rtl/>
        </w:rPr>
        <w:t>האמרי משה</w:t>
      </w:r>
      <w:r>
        <w:rPr>
          <w:rFonts w:hint="cs"/>
          <w:rtl/>
        </w:rPr>
        <w:t xml:space="preserve"> </w:t>
      </w:r>
      <w:r w:rsidRPr="00F775AC">
        <w:rPr>
          <w:rStyle w:val="af7"/>
          <w:rFonts w:eastAsia="Guttman Hodes" w:hint="cs"/>
          <w:rtl/>
        </w:rPr>
        <w:t>(סי' ד' אות כ"ז)</w:t>
      </w:r>
      <w:r>
        <w:rPr>
          <w:rFonts w:hint="cs"/>
          <w:rtl/>
        </w:rPr>
        <w:t xml:space="preserve"> על </w:t>
      </w:r>
      <w:r w:rsidRPr="00240797">
        <w:rPr>
          <w:rStyle w:val="af9"/>
          <w:rFonts w:hint="cs"/>
          <w:rtl/>
        </w:rPr>
        <w:t>הראב"ד</w:t>
      </w:r>
      <w:r>
        <w:rPr>
          <w:rFonts w:hint="cs"/>
          <w:rtl/>
        </w:rPr>
        <w:t xml:space="preserve"> דאי אף האבר היוצא דינו כשחוט, א"כ אמאי מקום חתך אסור, </w:t>
      </w:r>
      <w:r w:rsidRPr="0012766A">
        <w:rPr>
          <w:rStyle w:val="afb"/>
          <w:rFonts w:hint="cs"/>
          <w:rtl/>
        </w:rPr>
        <w:t>[דא"א לומר דהאיסור במקום חתך הוא מדין "בשר בשדה טריפה", דא"כ היאך מקום החתך מותר כשהחזיר את האבר, הא חל עליו איסור טריפה כשאר האבר היוצא],</w:t>
      </w:r>
      <w:r>
        <w:rPr>
          <w:rFonts w:hint="cs"/>
          <w:rtl/>
        </w:rPr>
        <w:t xml:space="preserve"> אלא מוכח דמקום חתך לא חשיב שיצא חוץ למחיצתו, והאיסור בו הוא מחמת דחשיב שלא נשחט, שאינו בכלל היתר </w:t>
      </w:r>
      <w:r>
        <w:rPr>
          <w:rtl/>
        </w:rPr>
        <w:t>"</w:t>
      </w:r>
      <w:r>
        <w:rPr>
          <w:rFonts w:hint="cs"/>
          <w:rtl/>
        </w:rPr>
        <w:t>כל בבהמה</w:t>
      </w:r>
      <w:r>
        <w:rPr>
          <w:rtl/>
        </w:rPr>
        <w:t>"</w:t>
      </w:r>
      <w:r>
        <w:rPr>
          <w:rFonts w:hint="cs"/>
          <w:rtl/>
        </w:rPr>
        <w:t>, דהשחיטה לא חלה רק על מה שבתוך הבהמה, וא"כ כ"ש שלא חלה השחיטה על שאר האבר היוצא.</w:t>
      </w:r>
    </w:p>
    <w:p w14:paraId="41A565A0" w14:textId="77777777" w:rsidR="003D504D" w:rsidRDefault="003D504D" w:rsidP="00BF39B2">
      <w:pPr>
        <w:pStyle w:val="1"/>
        <w:rPr>
          <w:rtl/>
        </w:rPr>
      </w:pPr>
      <w:bookmarkStart w:id="16412" w:name="_Toc535302140"/>
      <w:bookmarkStart w:id="16413" w:name="_Toc535526290"/>
      <w:bookmarkStart w:id="16414" w:name="_Toc535574990"/>
      <w:bookmarkStart w:id="16415" w:name="_Toc535702475"/>
      <w:bookmarkStart w:id="16416" w:name="_Toc535750633"/>
      <w:bookmarkStart w:id="16417" w:name="_Toc19391176"/>
      <w:bookmarkStart w:id="16418" w:name="_Toc19394673"/>
      <w:r>
        <w:rPr>
          <w:rFonts w:hint="cs"/>
          <w:rtl/>
        </w:rPr>
        <w:t>ביאור האמרי משה בדעת הרמב"ם והראב"ד</w:t>
      </w:r>
      <w:bookmarkEnd w:id="16412"/>
      <w:bookmarkEnd w:id="16413"/>
      <w:bookmarkEnd w:id="16414"/>
      <w:bookmarkEnd w:id="16415"/>
      <w:bookmarkEnd w:id="16416"/>
      <w:bookmarkEnd w:id="16417"/>
      <w:bookmarkEnd w:id="16418"/>
    </w:p>
    <w:p w14:paraId="01386FEA" w14:textId="77777777" w:rsidR="003D504D" w:rsidRDefault="003D504D" w:rsidP="003D504D">
      <w:pPr>
        <w:pStyle w:val="a3"/>
        <w:rPr>
          <w:rtl/>
        </w:rPr>
      </w:pPr>
      <w:bookmarkStart w:id="16419" w:name="_Toc535574991"/>
      <w:bookmarkStart w:id="16420" w:name="_Toc535702476"/>
      <w:bookmarkStart w:id="16421" w:name="_Toc535750634"/>
      <w:bookmarkStart w:id="16422" w:name="_Toc19391177"/>
      <w:bookmarkStart w:id="16423" w:name="_Toc19394674"/>
      <w:r>
        <w:rPr>
          <w:rFonts w:hint="cs"/>
          <w:rtl/>
        </w:rPr>
        <w:t>דברי האמר"מ דלהרמב"ם והראב"ד דל"מ שחיטה לאבר אך אינו אבמה"ח כיון שאינו כנבילה</w:t>
      </w:r>
      <w:bookmarkEnd w:id="16419"/>
      <w:bookmarkEnd w:id="16420"/>
      <w:bookmarkEnd w:id="16421"/>
      <w:bookmarkEnd w:id="16422"/>
      <w:bookmarkEnd w:id="16423"/>
    </w:p>
    <w:p w14:paraId="6D2A0DBE" w14:textId="77777777" w:rsidR="003D504D" w:rsidRDefault="003D504D" w:rsidP="00223668">
      <w:pPr>
        <w:pStyle w:val="a0"/>
        <w:rPr>
          <w:rtl/>
        </w:rPr>
      </w:pPr>
      <w:bookmarkStart w:id="16424" w:name="_Ref535350798"/>
      <w:r>
        <w:rPr>
          <w:rFonts w:hint="cs"/>
          <w:rtl/>
        </w:rPr>
        <w:t xml:space="preserve">אלא ביאר </w:t>
      </w:r>
      <w:r w:rsidRPr="00993E53">
        <w:rPr>
          <w:rStyle w:val="af9"/>
          <w:rFonts w:hint="cs"/>
          <w:rtl/>
        </w:rPr>
        <w:t>האמרי משה</w:t>
      </w:r>
      <w:r>
        <w:rPr>
          <w:rFonts w:hint="cs"/>
          <w:rtl/>
        </w:rPr>
        <w:t xml:space="preserve"> </w:t>
      </w:r>
      <w:r w:rsidRPr="00993E53">
        <w:rPr>
          <w:rStyle w:val="af7"/>
          <w:rFonts w:eastAsia="Guttman Hodes" w:hint="cs"/>
          <w:rtl/>
        </w:rPr>
        <w:t>(סי' ד' אות כ"ח)</w:t>
      </w:r>
      <w:r>
        <w:rPr>
          <w:rFonts w:hint="cs"/>
          <w:rtl/>
        </w:rPr>
        <w:t xml:space="preserve"> דאף לדעת </w:t>
      </w:r>
      <w:r w:rsidRPr="00993E53">
        <w:rPr>
          <w:rStyle w:val="af9"/>
          <w:rFonts w:hint="cs"/>
          <w:rtl/>
        </w:rPr>
        <w:t>הרמב"ם והראב"ד</w:t>
      </w:r>
      <w:r>
        <w:rPr>
          <w:rFonts w:hint="cs"/>
          <w:rtl/>
        </w:rPr>
        <w:t xml:space="preserve"> השחיטה מהני להתיר באכילה מדין אבר מן החי, רק למה שבתוך מחיצת הבהמה, ולא מהני השחיטה למקום החתך ולאבר היוצא, אלא דס"ל </w:t>
      </w:r>
      <w:r w:rsidRPr="00993E53">
        <w:rPr>
          <w:rStyle w:val="af9"/>
          <w:rFonts w:hint="cs"/>
          <w:rtl/>
        </w:rPr>
        <w:t>להרמב"ם והראב"ד</w:t>
      </w:r>
      <w:r>
        <w:rPr>
          <w:rFonts w:hint="cs"/>
          <w:rtl/>
        </w:rPr>
        <w:t xml:space="preserve"> דכיון דתני במתני' לקמן </w:t>
      </w:r>
      <w:r w:rsidRPr="005715C7">
        <w:rPr>
          <w:rStyle w:val="af7"/>
          <w:rFonts w:eastAsia="Guttman Hodes" w:hint="cs"/>
          <w:rtl/>
        </w:rPr>
        <w:t>(עב.)</w:t>
      </w:r>
      <w:r>
        <w:rPr>
          <w:rFonts w:hint="cs"/>
          <w:rtl/>
        </w:rPr>
        <w:t xml:space="preserve"> דמהני השחיטה לטהר את האבר מידי נבילה, א"כ מוכח שאין בו איסור אבר מן החי, דלא מצינו איסור אבר מן החי במקום שיש הכשר שחיטה, אף שההכשר הוא רק לטהרו מידי נבילה.</w:t>
      </w:r>
      <w:bookmarkEnd w:id="16424"/>
    </w:p>
    <w:p w14:paraId="015E1289" w14:textId="77777777" w:rsidR="003D504D" w:rsidRPr="00B45BC0" w:rsidRDefault="003D504D" w:rsidP="003D504D">
      <w:pPr>
        <w:pStyle w:val="a3"/>
        <w:rPr>
          <w:rtl/>
        </w:rPr>
      </w:pPr>
      <w:bookmarkStart w:id="16425" w:name="_Toc535574992"/>
      <w:bookmarkStart w:id="16426" w:name="_Toc535702477"/>
      <w:bookmarkStart w:id="16427" w:name="_Toc535750635"/>
      <w:bookmarkStart w:id="16428" w:name="_Toc19391178"/>
      <w:bookmarkStart w:id="16429" w:name="_Toc19394675"/>
      <w:r>
        <w:rPr>
          <w:rFonts w:hint="cs"/>
          <w:rtl/>
        </w:rPr>
        <w:t>דברי האמרי משה דכיון שהעובר כשחוט לא שייך לאסור את האבר שיצא ממנו באבמה"ח</w:t>
      </w:r>
      <w:bookmarkEnd w:id="16425"/>
      <w:bookmarkEnd w:id="16426"/>
      <w:bookmarkEnd w:id="16427"/>
      <w:bookmarkEnd w:id="16428"/>
      <w:bookmarkEnd w:id="16429"/>
    </w:p>
    <w:p w14:paraId="10F9CEFD" w14:textId="77777777" w:rsidR="003D504D" w:rsidRDefault="003D504D" w:rsidP="00223668">
      <w:pPr>
        <w:pStyle w:val="a0"/>
        <w:rPr>
          <w:rtl/>
        </w:rPr>
      </w:pPr>
      <w:r>
        <w:rPr>
          <w:rFonts w:hint="cs"/>
          <w:rtl/>
        </w:rPr>
        <w:t xml:space="preserve">ועוד כתב </w:t>
      </w:r>
      <w:r w:rsidRPr="00993E53">
        <w:rPr>
          <w:rStyle w:val="af9"/>
          <w:rFonts w:hint="cs"/>
          <w:rtl/>
        </w:rPr>
        <w:t>האמרי משה</w:t>
      </w:r>
      <w:r>
        <w:rPr>
          <w:rFonts w:hint="cs"/>
          <w:rtl/>
        </w:rPr>
        <w:t xml:space="preserve"> דס"ל </w:t>
      </w:r>
      <w:r w:rsidRPr="00993E53">
        <w:rPr>
          <w:rStyle w:val="af9"/>
          <w:rFonts w:hint="cs"/>
          <w:rtl/>
        </w:rPr>
        <w:t>להרמב"ם והראב"ד</w:t>
      </w:r>
      <w:r>
        <w:rPr>
          <w:rFonts w:hint="cs"/>
          <w:rtl/>
        </w:rPr>
        <w:t xml:space="preserve"> דאיסור אבר מן החי שייך רק בתולש בשר מן החי, ואילו הכא שהעובר כולו חשיב כשחוט, ורק על האבר היוצא לא חלה השחיטה, א"כ חשיב נתלש האבר שנשאר חי</w:t>
      </w:r>
      <w:r w:rsidRPr="00B45BC0">
        <w:rPr>
          <w:rFonts w:hint="cs"/>
          <w:rtl/>
        </w:rPr>
        <w:t xml:space="preserve"> </w:t>
      </w:r>
      <w:r>
        <w:rPr>
          <w:rFonts w:hint="cs"/>
          <w:rtl/>
        </w:rPr>
        <w:t>מהעובר השחוט, וא"כ אי"ז אבר מן החי.</w:t>
      </w:r>
    </w:p>
    <w:p w14:paraId="5A8682BF" w14:textId="77777777" w:rsidR="003D504D" w:rsidRDefault="003D504D" w:rsidP="003D504D">
      <w:pPr>
        <w:pStyle w:val="a3"/>
        <w:rPr>
          <w:rtl/>
        </w:rPr>
      </w:pPr>
      <w:bookmarkStart w:id="16430" w:name="_Toc535702478"/>
      <w:bookmarkStart w:id="16431" w:name="_Toc535750636"/>
      <w:bookmarkStart w:id="16432" w:name="_Toc19391179"/>
      <w:bookmarkStart w:id="16433" w:name="_Toc19394676"/>
      <w:r>
        <w:rPr>
          <w:rFonts w:hint="cs"/>
          <w:rtl/>
        </w:rPr>
        <w:t>דברי האמרי משה דגלי קרא דבשר בשדה טריפה דלענין אכילה ל"מ השחיטה והוי כבשר מהחי</w:t>
      </w:r>
      <w:bookmarkEnd w:id="16430"/>
      <w:bookmarkEnd w:id="16431"/>
      <w:bookmarkEnd w:id="16432"/>
      <w:bookmarkEnd w:id="16433"/>
    </w:p>
    <w:p w14:paraId="7552BFA0" w14:textId="77777777" w:rsidR="003D504D" w:rsidRDefault="003D504D" w:rsidP="00223668">
      <w:pPr>
        <w:pStyle w:val="a0"/>
        <w:rPr>
          <w:rtl/>
        </w:rPr>
      </w:pPr>
      <w:r w:rsidRPr="00A74E0A">
        <w:rPr>
          <w:rFonts w:hint="cs"/>
          <w:rtl/>
        </w:rPr>
        <w:t xml:space="preserve">אלא כתב </w:t>
      </w:r>
      <w:r w:rsidRPr="00A74E0A">
        <w:rPr>
          <w:rStyle w:val="af9"/>
          <w:rFonts w:hint="cs"/>
          <w:rtl/>
        </w:rPr>
        <w:t>האמרי משה</w:t>
      </w:r>
      <w:r w:rsidRPr="00A74E0A">
        <w:rPr>
          <w:rFonts w:hint="cs"/>
          <w:rtl/>
        </w:rPr>
        <w:t xml:space="preserve"> דלדעת </w:t>
      </w:r>
      <w:r w:rsidRPr="00A74E0A">
        <w:rPr>
          <w:rStyle w:val="af9"/>
          <w:rFonts w:hint="cs"/>
          <w:rtl/>
        </w:rPr>
        <w:t>הרמב"ם והראב"ד</w:t>
      </w:r>
      <w:r w:rsidRPr="00A74E0A">
        <w:rPr>
          <w:rFonts w:hint="cs"/>
          <w:rtl/>
        </w:rPr>
        <w:t xml:space="preserve"> דכיון דמה</w:t>
      </w:r>
      <w:r>
        <w:rPr>
          <w:rFonts w:hint="cs"/>
          <w:rtl/>
        </w:rPr>
        <w:t>פסו' "בשר בשדה טריפה" ילפינן  ב</w:t>
      </w:r>
      <w:r w:rsidRPr="00A74E0A">
        <w:rPr>
          <w:rFonts w:hint="cs"/>
          <w:rtl/>
        </w:rPr>
        <w:t xml:space="preserve">גמ' לקמן </w:t>
      </w:r>
      <w:r w:rsidRPr="00485E61">
        <w:rPr>
          <w:rStyle w:val="af7"/>
          <w:rFonts w:eastAsia="Guttman Hodes" w:hint="cs"/>
          <w:rtl/>
        </w:rPr>
        <w:t>(קב:)</w:t>
      </w:r>
      <w:r w:rsidRPr="00A74E0A">
        <w:rPr>
          <w:rFonts w:hint="cs"/>
          <w:rtl/>
        </w:rPr>
        <w:t xml:space="preserve"> דבשר שנתלש מהחי אסור, דהיינו שאין לבשר</w:t>
      </w:r>
      <w:r>
        <w:rPr>
          <w:rFonts w:hint="cs"/>
          <w:rtl/>
        </w:rPr>
        <w:t xml:space="preserve"> הכשר שחיטה, א"כ אחר  שנאסר האבר היוצא באיסור טריפה מדין "בשר בשדה טריפה", ממילא אין לאבר הכשר שחיטה לענין אכילה, דגלי קרא דאף שמהני ההכשר שחיטה לאבר היוצא לטהרו מידי נבילה, מ"מ לענין אכילה אין בו הכשר שחיטה כמו בבשר שנתלש מהחי.</w:t>
      </w:r>
    </w:p>
    <w:p w14:paraId="028E4461" w14:textId="77777777" w:rsidR="003D504D" w:rsidRPr="005D560C" w:rsidRDefault="003D504D" w:rsidP="003D504D">
      <w:pPr>
        <w:pStyle w:val="a3"/>
        <w:rPr>
          <w:rtl/>
        </w:rPr>
      </w:pPr>
    </w:p>
    <w:p w14:paraId="26E1FC68" w14:textId="77777777" w:rsidR="003D504D" w:rsidRDefault="003D504D" w:rsidP="003D504D">
      <w:pPr>
        <w:pStyle w:val="a3"/>
      </w:pPr>
      <w:bookmarkStart w:id="16434" w:name="_Toc535702479"/>
      <w:bookmarkStart w:id="16435" w:name="_Toc535750637"/>
      <w:bookmarkStart w:id="16436" w:name="_Toc19391180"/>
      <w:bookmarkStart w:id="16437" w:name="_Toc19394677"/>
      <w:r>
        <w:rPr>
          <w:rFonts w:hint="cs"/>
          <w:rtl/>
        </w:rPr>
        <w:t>ביאור האמרי משה דמקום חתך שלא יצא אינו בכלל מה שגילתה תורה דאסור ולכן מהני חזרה</w:t>
      </w:r>
      <w:bookmarkEnd w:id="16434"/>
      <w:bookmarkEnd w:id="16435"/>
      <w:bookmarkEnd w:id="16436"/>
      <w:bookmarkEnd w:id="16437"/>
      <w:r>
        <w:rPr>
          <w:rFonts w:hint="cs"/>
          <w:rtl/>
        </w:rPr>
        <w:t xml:space="preserve"> </w:t>
      </w:r>
    </w:p>
    <w:p w14:paraId="469CD9FB" w14:textId="77777777" w:rsidR="003D504D" w:rsidRDefault="003D504D" w:rsidP="00223668">
      <w:pPr>
        <w:pStyle w:val="a0"/>
        <w:rPr>
          <w:rtl/>
        </w:rPr>
      </w:pPr>
      <w:r>
        <w:rPr>
          <w:rFonts w:hint="cs"/>
          <w:rtl/>
        </w:rPr>
        <w:t xml:space="preserve">וביאר </w:t>
      </w:r>
      <w:r w:rsidRPr="00485E61">
        <w:rPr>
          <w:rStyle w:val="af9"/>
          <w:rFonts w:hint="cs"/>
          <w:rtl/>
        </w:rPr>
        <w:t>האמרי משה</w:t>
      </w:r>
      <w:r>
        <w:rPr>
          <w:rFonts w:hint="cs"/>
          <w:rtl/>
        </w:rPr>
        <w:t xml:space="preserve"> </w:t>
      </w:r>
      <w:r w:rsidRPr="00993E53">
        <w:rPr>
          <w:rStyle w:val="af7"/>
          <w:rFonts w:eastAsia="Guttman Hodes" w:hint="cs"/>
          <w:rtl/>
        </w:rPr>
        <w:t>(סי' ד' אות כ"ח)</w:t>
      </w:r>
      <w:r>
        <w:rPr>
          <w:rFonts w:hint="cs"/>
          <w:rtl/>
        </w:rPr>
        <w:t xml:space="preserve"> דכיון שהאבר יצא חוץ למחיצתו וחל עליו איסור טריפה, אף אם החזיר את האבר, לא מהני השחיטה להתירו, אבל במקום חתך שלא יצא חוץ למחיצתו אינו בכלל האיסור, אלא דמ"מ אינו בכלל ההכשר שחיטה, דאינו בכלל היתר </w:t>
      </w:r>
      <w:r>
        <w:rPr>
          <w:rtl/>
        </w:rPr>
        <w:t>"</w:t>
      </w:r>
      <w:r>
        <w:rPr>
          <w:rFonts w:hint="cs"/>
          <w:rtl/>
        </w:rPr>
        <w:t>כל בבהמה</w:t>
      </w:r>
      <w:r>
        <w:rPr>
          <w:rtl/>
        </w:rPr>
        <w:t>"</w:t>
      </w:r>
      <w:r>
        <w:rPr>
          <w:rFonts w:hint="cs"/>
          <w:rtl/>
        </w:rPr>
        <w:t xml:space="preserve">, </w:t>
      </w:r>
      <w:r w:rsidRPr="00D46BAE">
        <w:rPr>
          <w:rStyle w:val="afb"/>
          <w:rFonts w:hint="cs"/>
          <w:rtl/>
        </w:rPr>
        <w:t>[דהיינו אחר שגילתה תורה שהאבר היוצא אינו בכלל ההכשר שחיטה לאכילה, אף מקום החתך אינו בכלל הכשר שחיטה],</w:t>
      </w:r>
      <w:r>
        <w:rPr>
          <w:rFonts w:hint="cs"/>
          <w:rtl/>
        </w:rPr>
        <w:t xml:space="preserve"> דאינו בתוך מחיצת האם, ולכן בלא החזיר מקום החתך אסור, ובהחזיר מקום החתך מותר.</w:t>
      </w:r>
    </w:p>
    <w:p w14:paraId="0A634582" w14:textId="77777777" w:rsidR="003D504D" w:rsidRDefault="003D504D" w:rsidP="003D504D">
      <w:pPr>
        <w:pStyle w:val="a3"/>
        <w:rPr>
          <w:rtl/>
        </w:rPr>
      </w:pPr>
      <w:bookmarkStart w:id="16438" w:name="_Toc535702480"/>
      <w:bookmarkStart w:id="16439" w:name="_Toc535750638"/>
      <w:bookmarkStart w:id="16440" w:name="_Toc19391181"/>
      <w:bookmarkStart w:id="16441" w:name="_Toc19394678"/>
      <w:r>
        <w:rPr>
          <w:rFonts w:hint="cs"/>
          <w:rtl/>
        </w:rPr>
        <w:t>ישוב האמרי משה לדעת הרמב"ם והראב"ד מקושית הרשב"א דגילתה תורה שהוא כאבמה"ח</w:t>
      </w:r>
      <w:bookmarkEnd w:id="16438"/>
      <w:bookmarkEnd w:id="16439"/>
      <w:bookmarkEnd w:id="16440"/>
      <w:bookmarkEnd w:id="16441"/>
    </w:p>
    <w:p w14:paraId="1D6E3F1B" w14:textId="77777777" w:rsidR="003D504D" w:rsidRDefault="003D504D" w:rsidP="00223668">
      <w:pPr>
        <w:pStyle w:val="a0"/>
        <w:rPr>
          <w:rtl/>
        </w:rPr>
      </w:pPr>
      <w:bookmarkStart w:id="16442" w:name="_Ref535234263"/>
      <w:r>
        <w:rPr>
          <w:rFonts w:hint="cs"/>
          <w:rtl/>
        </w:rPr>
        <w:t xml:space="preserve">וכתב </w:t>
      </w:r>
      <w:r w:rsidRPr="00485E61">
        <w:rPr>
          <w:rStyle w:val="af9"/>
          <w:rFonts w:hint="cs"/>
          <w:rtl/>
        </w:rPr>
        <w:t>האמרי משה</w:t>
      </w:r>
      <w:r>
        <w:rPr>
          <w:rFonts w:hint="cs"/>
          <w:rtl/>
        </w:rPr>
        <w:t xml:space="preserve"> דלפי"ז לדעת </w:t>
      </w:r>
      <w:r w:rsidRPr="00485E61">
        <w:rPr>
          <w:rStyle w:val="af9"/>
          <w:rFonts w:hint="cs"/>
          <w:rtl/>
        </w:rPr>
        <w:t>הרמב"ם והראב"ד</w:t>
      </w:r>
      <w:r>
        <w:rPr>
          <w:rFonts w:hint="cs"/>
          <w:rtl/>
        </w:rPr>
        <w:t xml:space="preserve"> מיושבת קושית </w:t>
      </w:r>
      <w:r w:rsidRPr="00485E61">
        <w:rPr>
          <w:rStyle w:val="af9"/>
          <w:rFonts w:hint="cs"/>
          <w:rtl/>
        </w:rPr>
        <w:t>הרשב"א</w:t>
      </w:r>
      <w:r>
        <w:rPr>
          <w:rFonts w:hint="cs"/>
          <w:rtl/>
        </w:rPr>
        <w:t xml:space="preserve"> </w:t>
      </w:r>
      <w:r w:rsidRPr="00485E61">
        <w:rPr>
          <w:rStyle w:val="af7"/>
          <w:rFonts w:eastAsia="Guttman Hodes" w:hint="cs"/>
          <w:rtl/>
        </w:rPr>
        <w:t xml:space="preserve">(עי' אות </w:t>
      </w:r>
      <w:r w:rsidRPr="00485E61">
        <w:rPr>
          <w:rStyle w:val="af7"/>
          <w:rFonts w:eastAsia="Guttman Hodes"/>
          <w:rtl/>
        </w:rPr>
        <w:fldChar w:fldCharType="begin"/>
      </w:r>
      <w:r w:rsidRPr="00485E61">
        <w:rPr>
          <w:rStyle w:val="af7"/>
          <w:rFonts w:eastAsia="Guttman Hodes"/>
          <w:rtl/>
        </w:rPr>
        <w:instrText xml:space="preserve"> </w:instrText>
      </w:r>
      <w:r w:rsidRPr="00485E61">
        <w:rPr>
          <w:rStyle w:val="af7"/>
          <w:rFonts w:eastAsia="Guttman Hodes" w:hint="cs"/>
        </w:rPr>
        <w:instrText>REF</w:instrText>
      </w:r>
      <w:r w:rsidRPr="00485E61">
        <w:rPr>
          <w:rStyle w:val="af7"/>
          <w:rFonts w:eastAsia="Guttman Hodes" w:hint="cs"/>
          <w:rtl/>
        </w:rPr>
        <w:instrText xml:space="preserve"> _</w:instrText>
      </w:r>
      <w:r w:rsidRPr="00485E61">
        <w:rPr>
          <w:rStyle w:val="af7"/>
          <w:rFonts w:eastAsia="Guttman Hodes" w:hint="cs"/>
        </w:rPr>
        <w:instrText>Ref535234241 \r \h</w:instrText>
      </w:r>
      <w:r w:rsidRPr="00485E61">
        <w:rPr>
          <w:rStyle w:val="af7"/>
          <w:rFonts w:eastAsia="Guttman Hodes"/>
          <w:rtl/>
        </w:rPr>
        <w:instrText xml:space="preserve"> </w:instrText>
      </w:r>
      <w:r w:rsidRPr="00485E61">
        <w:rPr>
          <w:rStyle w:val="af7"/>
          <w:rFonts w:eastAsia="Guttman Hodes"/>
          <w:rtl/>
        </w:rPr>
      </w:r>
      <w:r w:rsidRPr="00485E61">
        <w:rPr>
          <w:rStyle w:val="af7"/>
          <w:rFonts w:eastAsia="Guttman Hodes"/>
          <w:rtl/>
        </w:rPr>
        <w:fldChar w:fldCharType="separate"/>
      </w:r>
      <w:r w:rsidR="00345400">
        <w:rPr>
          <w:rStyle w:val="af7"/>
          <w:rFonts w:eastAsia="Guttman Hodes"/>
          <w:cs/>
        </w:rPr>
        <w:t>‎</w:t>
      </w:r>
      <w:r w:rsidR="00345400">
        <w:rPr>
          <w:rStyle w:val="af7"/>
          <w:rFonts w:eastAsia="Guttman Hodes"/>
          <w:rtl/>
        </w:rPr>
        <w:t>קיח)</w:t>
      </w:r>
      <w:r w:rsidRPr="00485E61">
        <w:rPr>
          <w:rStyle w:val="af7"/>
          <w:rFonts w:eastAsia="Guttman Hodes"/>
          <w:rtl/>
        </w:rPr>
        <w:fldChar w:fldCharType="end"/>
      </w:r>
      <w:r>
        <w:rPr>
          <w:rFonts w:hint="cs"/>
          <w:rtl/>
        </w:rPr>
        <w:t xml:space="preserve">, דהיאך דימתה התורה חלב הבא מכח אבר היוצא לחלב מן החי, הא איסורו אינו מדין אבר מן החי אלא מדין טריפה, וכתב </w:t>
      </w:r>
      <w:r w:rsidRPr="00485E61">
        <w:rPr>
          <w:rStyle w:val="af9"/>
          <w:rFonts w:hint="cs"/>
          <w:rtl/>
        </w:rPr>
        <w:t>האמרי משה</w:t>
      </w:r>
      <w:r>
        <w:rPr>
          <w:rFonts w:hint="cs"/>
          <w:rtl/>
        </w:rPr>
        <w:t xml:space="preserve"> דלביאורו בדעת </w:t>
      </w:r>
      <w:r w:rsidRPr="00485E61">
        <w:rPr>
          <w:rStyle w:val="af9"/>
          <w:rFonts w:hint="cs"/>
          <w:rtl/>
        </w:rPr>
        <w:t>הרמב"ם והראב"ד</w:t>
      </w:r>
      <w:r>
        <w:rPr>
          <w:rFonts w:hint="cs"/>
          <w:rtl/>
        </w:rPr>
        <w:t xml:space="preserve"> דאחר שהאבר היוצא אסור באיסור טריפה, מהפסו' "בשר בשדה טריפה", ומבואר דגילתה התורה דלא מהני לו הכשר שחיטה כבשר מן החי, א"כ מבואר דחלבו דמי לחלב דעלמא הבא מן החי, דבשניהם האיסור הוא מחמת שלא נשחטו.</w:t>
      </w:r>
      <w:bookmarkEnd w:id="16442"/>
    </w:p>
    <w:p w14:paraId="2977AF19" w14:textId="77777777" w:rsidR="003D504D" w:rsidRPr="00D46BAE" w:rsidRDefault="003D504D" w:rsidP="00BF39B2">
      <w:pPr>
        <w:pStyle w:val="1"/>
        <w:rPr>
          <w:rtl/>
        </w:rPr>
      </w:pPr>
      <w:bookmarkStart w:id="16443" w:name="_Toc535302141"/>
      <w:bookmarkStart w:id="16444" w:name="_Toc535526291"/>
      <w:bookmarkStart w:id="16445" w:name="_Toc535574993"/>
      <w:bookmarkStart w:id="16446" w:name="_Toc535702481"/>
      <w:bookmarkStart w:id="16447" w:name="_Toc535750639"/>
      <w:bookmarkStart w:id="16448" w:name="_Toc19391182"/>
      <w:bookmarkStart w:id="16449" w:name="_Toc19394679"/>
      <w:r>
        <w:rPr>
          <w:rFonts w:hint="cs"/>
          <w:rtl/>
        </w:rPr>
        <w:t>מסקנת האמרי משה דאף להרמב"ם והראב"ד חשיב כשחוט</w:t>
      </w:r>
      <w:bookmarkEnd w:id="16443"/>
      <w:bookmarkEnd w:id="16444"/>
      <w:bookmarkEnd w:id="16445"/>
      <w:bookmarkEnd w:id="16446"/>
      <w:bookmarkEnd w:id="16447"/>
      <w:bookmarkEnd w:id="16448"/>
      <w:bookmarkEnd w:id="16449"/>
    </w:p>
    <w:p w14:paraId="6F852613" w14:textId="77777777" w:rsidR="003D504D" w:rsidRPr="00D46BAE" w:rsidRDefault="003D504D" w:rsidP="003D504D">
      <w:pPr>
        <w:pStyle w:val="a3"/>
        <w:rPr>
          <w:rtl/>
        </w:rPr>
      </w:pPr>
      <w:bookmarkStart w:id="16450" w:name="_Toc535702482"/>
      <w:bookmarkStart w:id="16451" w:name="_Toc535750640"/>
      <w:bookmarkStart w:id="16452" w:name="_Toc19391183"/>
      <w:bookmarkStart w:id="16453" w:name="_Toc19394680"/>
      <w:r>
        <w:rPr>
          <w:rFonts w:hint="cs"/>
          <w:rtl/>
        </w:rPr>
        <w:t>דחיית האמרי משה דמוכח דדינו כשחוט מספק הגמ' לקמן בזרעו של ב"פ שיש בו אבר היוצא</w:t>
      </w:r>
      <w:bookmarkEnd w:id="16450"/>
      <w:bookmarkEnd w:id="16451"/>
      <w:bookmarkEnd w:id="16452"/>
      <w:bookmarkEnd w:id="16453"/>
      <w:r>
        <w:rPr>
          <w:rFonts w:hint="cs"/>
          <w:rtl/>
        </w:rPr>
        <w:t xml:space="preserve"> </w:t>
      </w:r>
    </w:p>
    <w:p w14:paraId="6212987E" w14:textId="77777777" w:rsidR="003D504D" w:rsidRDefault="003D504D" w:rsidP="00223668">
      <w:pPr>
        <w:pStyle w:val="a0"/>
      </w:pPr>
      <w:r>
        <w:rPr>
          <w:rFonts w:hint="cs"/>
          <w:rtl/>
        </w:rPr>
        <w:t xml:space="preserve">אך דחה </w:t>
      </w:r>
      <w:r w:rsidRPr="00585541">
        <w:rPr>
          <w:rStyle w:val="af9"/>
          <w:rFonts w:hint="cs"/>
          <w:rtl/>
        </w:rPr>
        <w:t>האמרי משה</w:t>
      </w:r>
      <w:r>
        <w:rPr>
          <w:rFonts w:hint="cs"/>
          <w:rtl/>
        </w:rPr>
        <w:t xml:space="preserve"> </w:t>
      </w:r>
      <w:r w:rsidRPr="00815FF9">
        <w:rPr>
          <w:rStyle w:val="af7"/>
          <w:rFonts w:eastAsia="Guttman Hodes" w:hint="cs"/>
          <w:rtl/>
        </w:rPr>
        <w:t xml:space="preserve">(סי' ד' אות כ"ט) </w:t>
      </w:r>
      <w:r>
        <w:rPr>
          <w:rFonts w:hint="cs"/>
          <w:rtl/>
        </w:rPr>
        <w:t xml:space="preserve">דאף לדעת </w:t>
      </w:r>
      <w:r w:rsidRPr="00585541">
        <w:rPr>
          <w:rStyle w:val="af9"/>
          <w:rFonts w:hint="cs"/>
          <w:rtl/>
        </w:rPr>
        <w:t>הרמב"ם והראב"ד</w:t>
      </w:r>
      <w:r>
        <w:rPr>
          <w:rFonts w:hint="cs"/>
          <w:rtl/>
        </w:rPr>
        <w:t xml:space="preserve"> א"א לומר שאין לאבר היוצא דין שחוט, דאי גלי קרא דהאבר היוצא חשיב שלא נשחט, א"כ בספק הגמ' לקמן </w:t>
      </w:r>
      <w:r w:rsidRPr="00815FF9">
        <w:rPr>
          <w:rStyle w:val="af7"/>
          <w:rFonts w:eastAsia="Guttman Hodes" w:hint="cs"/>
          <w:rtl/>
        </w:rPr>
        <w:t>(סט.)</w:t>
      </w:r>
      <w:r>
        <w:rPr>
          <w:rFonts w:hint="cs"/>
          <w:rtl/>
        </w:rPr>
        <w:t xml:space="preserve"> בבן פקועה שיש בו אבר שיצא ונאסר ובא על בן פקועה אחר, היאך אפש"ל דהולד יהיה מותר בלא שחיטה, הרי חלק מהאב לא נשחט.</w:t>
      </w:r>
    </w:p>
    <w:p w14:paraId="7E7101B2" w14:textId="77777777" w:rsidR="003D504D" w:rsidRDefault="003D504D" w:rsidP="003D504D">
      <w:pPr>
        <w:pStyle w:val="a3"/>
        <w:rPr>
          <w:rtl/>
        </w:rPr>
      </w:pPr>
      <w:bookmarkStart w:id="16454" w:name="_Toc535702483"/>
      <w:bookmarkStart w:id="16455" w:name="_Toc535750641"/>
      <w:bookmarkStart w:id="16456" w:name="_Toc19391184"/>
      <w:bookmarkStart w:id="16457" w:name="_Toc19394681"/>
      <w:r>
        <w:rPr>
          <w:rFonts w:hint="cs"/>
          <w:rtl/>
        </w:rPr>
        <w:t>ביאור האמרי משה דא"א לחלק את השחיטה וכיון דהעובר שבפנים כשחוט כולו חשיב שחוט</w:t>
      </w:r>
      <w:bookmarkEnd w:id="16454"/>
      <w:bookmarkEnd w:id="16455"/>
      <w:bookmarkEnd w:id="16456"/>
      <w:bookmarkEnd w:id="16457"/>
    </w:p>
    <w:p w14:paraId="505B0765" w14:textId="77777777" w:rsidR="003D504D" w:rsidRDefault="003D504D" w:rsidP="00223668">
      <w:pPr>
        <w:pStyle w:val="a0"/>
        <w:rPr>
          <w:rtl/>
        </w:rPr>
      </w:pPr>
      <w:r>
        <w:rPr>
          <w:rFonts w:hint="cs"/>
          <w:rtl/>
        </w:rPr>
        <w:t xml:space="preserve">אלא ביאר </w:t>
      </w:r>
      <w:r w:rsidRPr="00585541">
        <w:rPr>
          <w:rStyle w:val="af9"/>
          <w:rFonts w:hint="cs"/>
          <w:rtl/>
        </w:rPr>
        <w:t>האמרי משה</w:t>
      </w:r>
      <w:r>
        <w:rPr>
          <w:rFonts w:hint="cs"/>
          <w:rtl/>
        </w:rPr>
        <w:t xml:space="preserve"> דכיון שהעובר שבפנים נשחט, חשיב כולו כשחוט, דא"א לחלק ולומר דמחצה נשחט ומחצה לא נשחט, אלא דהשחיטה אינה מתירה את האבר כיון שיש בו איסור "בשר בשדה טריפה", ומקום החתך אסור דאינו בכלל היתר </w:t>
      </w:r>
      <w:r>
        <w:rPr>
          <w:rtl/>
        </w:rPr>
        <w:t>"</w:t>
      </w:r>
      <w:r>
        <w:rPr>
          <w:rFonts w:hint="cs"/>
          <w:rtl/>
        </w:rPr>
        <w:t>כל בבהמה</w:t>
      </w:r>
      <w:r>
        <w:rPr>
          <w:rtl/>
        </w:rPr>
        <w:t>"</w:t>
      </w:r>
      <w:r>
        <w:rPr>
          <w:rFonts w:hint="cs"/>
          <w:rtl/>
        </w:rPr>
        <w:t>, כיון שאינו בתוך מחיצת אמו, דגלי קרא דאף דדינו כשחוט מ"מ הוא אסור.</w:t>
      </w:r>
    </w:p>
    <w:p w14:paraId="4F377FBD" w14:textId="77777777" w:rsidR="003D504D" w:rsidRDefault="003D504D" w:rsidP="003D504D">
      <w:pPr>
        <w:pStyle w:val="a3"/>
        <w:rPr>
          <w:rtl/>
        </w:rPr>
      </w:pPr>
      <w:bookmarkStart w:id="16458" w:name="_Toc535702484"/>
      <w:bookmarkStart w:id="16459" w:name="_Toc535750642"/>
      <w:bookmarkStart w:id="16460" w:name="_Toc19391185"/>
      <w:bookmarkStart w:id="16461" w:name="_Toc19394682"/>
      <w:r>
        <w:rPr>
          <w:rFonts w:hint="cs"/>
          <w:rtl/>
        </w:rPr>
        <w:t>דברי האמרי משה דהצד דזרעו של ב"פ שיש בו אבר היוצא מותר בלא שחיטה דאף האב כשחוט</w:t>
      </w:r>
      <w:bookmarkEnd w:id="16458"/>
      <w:bookmarkEnd w:id="16459"/>
      <w:bookmarkEnd w:id="16460"/>
      <w:bookmarkEnd w:id="16461"/>
    </w:p>
    <w:p w14:paraId="1F2C4B88" w14:textId="77777777" w:rsidR="003D504D" w:rsidRDefault="003D504D" w:rsidP="00223668">
      <w:pPr>
        <w:pStyle w:val="a0"/>
        <w:rPr>
          <w:rtl/>
        </w:rPr>
      </w:pPr>
      <w:r>
        <w:rPr>
          <w:rFonts w:hint="cs"/>
          <w:rtl/>
        </w:rPr>
        <w:t xml:space="preserve">וכתב </w:t>
      </w:r>
      <w:r w:rsidRPr="00585541">
        <w:rPr>
          <w:rStyle w:val="af9"/>
          <w:rFonts w:hint="cs"/>
          <w:rtl/>
        </w:rPr>
        <w:t>האמרי משה</w:t>
      </w:r>
      <w:r>
        <w:rPr>
          <w:rFonts w:hint="cs"/>
          <w:rtl/>
        </w:rPr>
        <w:t xml:space="preserve"> דלכן היה לגמ' צד דזרעו של בן פקועה שיש בו אבר היוצא שבא על בן פקועה אחר, יהיה מותר בלא שחיטה, דאף האב חשיב כולו כשחוט, כדמוכח מהא דמהני החשיטה לטהרו מידי נבילה, אלא שיש איסור אחר בהאבר היוצא דאינו מותר באכילה. </w:t>
      </w:r>
    </w:p>
    <w:p w14:paraId="015A5A08" w14:textId="77777777" w:rsidR="003D504D" w:rsidRDefault="003D504D" w:rsidP="003D504D">
      <w:pPr>
        <w:pStyle w:val="a3"/>
        <w:rPr>
          <w:rtl/>
        </w:rPr>
      </w:pPr>
      <w:bookmarkStart w:id="16462" w:name="_Toc535702485"/>
      <w:bookmarkStart w:id="16463" w:name="_Toc535750643"/>
      <w:bookmarkStart w:id="16464" w:name="_Toc19391186"/>
      <w:bookmarkStart w:id="16465" w:name="_Toc19394683"/>
      <w:bookmarkStart w:id="16466" w:name="_Ref535252383"/>
      <w:r>
        <w:rPr>
          <w:rFonts w:hint="cs"/>
          <w:rtl/>
        </w:rPr>
        <w:t>ישוב האמרי משה לדעת הרמב"ם והראב"ד מקושית הרשב"א דאיסורו מחסרון שחיטה כאבמה"ח</w:t>
      </w:r>
      <w:bookmarkEnd w:id="16462"/>
      <w:bookmarkEnd w:id="16463"/>
      <w:bookmarkEnd w:id="16464"/>
      <w:bookmarkEnd w:id="16465"/>
    </w:p>
    <w:p w14:paraId="023C8C2C" w14:textId="77777777" w:rsidR="003D504D" w:rsidRDefault="003D504D" w:rsidP="00223668">
      <w:pPr>
        <w:pStyle w:val="a0"/>
        <w:rPr>
          <w:rtl/>
        </w:rPr>
        <w:sectPr w:rsidR="003D504D" w:rsidSect="003D504D">
          <w:type w:val="continuous"/>
          <w:pgSz w:w="11906" w:h="16838"/>
          <w:pgMar w:top="720" w:right="720" w:bottom="720" w:left="720" w:header="283" w:footer="283" w:gutter="0"/>
          <w:cols w:num="2" w:space="567"/>
          <w:bidi/>
          <w:rtlGutter/>
          <w:docGrid w:linePitch="299"/>
        </w:sectPr>
      </w:pPr>
      <w:bookmarkStart w:id="16467" w:name="_Ref535750645"/>
      <w:r>
        <w:rPr>
          <w:rFonts w:hint="cs"/>
          <w:rtl/>
        </w:rPr>
        <w:t xml:space="preserve">וכתב </w:t>
      </w:r>
      <w:r w:rsidRPr="00585541">
        <w:rPr>
          <w:rStyle w:val="af9"/>
          <w:rFonts w:hint="cs"/>
          <w:rtl/>
        </w:rPr>
        <w:t>האמרי משה</w:t>
      </w:r>
      <w:r>
        <w:rPr>
          <w:rFonts w:hint="cs"/>
          <w:rtl/>
        </w:rPr>
        <w:t xml:space="preserve"> דלפי"ז צ"ל בישוב קושית </w:t>
      </w:r>
      <w:r w:rsidRPr="00240797">
        <w:rPr>
          <w:rStyle w:val="af9"/>
          <w:rFonts w:hint="cs"/>
          <w:rtl/>
        </w:rPr>
        <w:t>הרשב"א</w:t>
      </w:r>
      <w:r>
        <w:rPr>
          <w:rFonts w:hint="cs"/>
          <w:rtl/>
        </w:rPr>
        <w:t xml:space="preserve"> </w:t>
      </w:r>
      <w:r w:rsidRPr="00F775AC">
        <w:rPr>
          <w:rStyle w:val="af7"/>
          <w:rFonts w:eastAsia="Guttman Hodes" w:hint="cs"/>
          <w:rtl/>
        </w:rPr>
        <w:t xml:space="preserve">(עי' אות </w:t>
      </w:r>
      <w:r w:rsidRPr="00F775AC">
        <w:rPr>
          <w:rStyle w:val="af7"/>
          <w:rFonts w:eastAsia="Guttman Hodes"/>
          <w:rtl/>
        </w:rPr>
        <w:fldChar w:fldCharType="begin"/>
      </w:r>
      <w:r w:rsidRPr="00F775AC">
        <w:rPr>
          <w:rStyle w:val="af7"/>
          <w:rFonts w:eastAsia="Guttman Hodes"/>
          <w:rtl/>
        </w:rPr>
        <w:instrText xml:space="preserve"> </w:instrText>
      </w:r>
      <w:r w:rsidRPr="00F775AC">
        <w:rPr>
          <w:rStyle w:val="af7"/>
          <w:rFonts w:eastAsia="Guttman Hodes" w:hint="cs"/>
        </w:rPr>
        <w:instrText>REF</w:instrText>
      </w:r>
      <w:r w:rsidRPr="00F775AC">
        <w:rPr>
          <w:rStyle w:val="af7"/>
          <w:rFonts w:eastAsia="Guttman Hodes" w:hint="cs"/>
          <w:rtl/>
        </w:rPr>
        <w:instrText xml:space="preserve"> _</w:instrText>
      </w:r>
      <w:r w:rsidRPr="00F775AC">
        <w:rPr>
          <w:rStyle w:val="af7"/>
          <w:rFonts w:eastAsia="Guttman Hodes" w:hint="cs"/>
        </w:rPr>
        <w:instrText>Ref535230332 \r \h</w:instrText>
      </w:r>
      <w:r w:rsidRPr="00F775AC">
        <w:rPr>
          <w:rStyle w:val="af7"/>
          <w:rFonts w:eastAsia="Guttman Hodes"/>
          <w:rtl/>
        </w:rPr>
        <w:instrText xml:space="preserve"> </w:instrText>
      </w:r>
      <w:r w:rsidRPr="00F775AC">
        <w:rPr>
          <w:rStyle w:val="af7"/>
          <w:rFonts w:eastAsia="Guttman Hodes"/>
          <w:rtl/>
        </w:rPr>
      </w:r>
      <w:r w:rsidRPr="00F775AC">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F775AC">
        <w:rPr>
          <w:rStyle w:val="af7"/>
          <w:rFonts w:eastAsia="Guttman Hodes"/>
          <w:rtl/>
        </w:rPr>
        <w:fldChar w:fldCharType="end"/>
      </w:r>
      <w:r>
        <w:rPr>
          <w:rFonts w:hint="cs"/>
          <w:rtl/>
        </w:rPr>
        <w:t xml:space="preserve">, דהיאך דימתה התורה חלב הבא מכח אבר היוצא לחלב מן החי, הא איסורו אינו מדין אבר מן החי אלא מדין טריפה, כתב </w:t>
      </w:r>
      <w:r w:rsidRPr="00585541">
        <w:rPr>
          <w:rStyle w:val="af9"/>
          <w:rFonts w:hint="cs"/>
          <w:rtl/>
        </w:rPr>
        <w:t>האמרי משה</w:t>
      </w:r>
      <w:r>
        <w:rPr>
          <w:rFonts w:hint="cs"/>
          <w:rtl/>
        </w:rPr>
        <w:t xml:space="preserve"> דצ"ל לדעת </w:t>
      </w:r>
      <w:r w:rsidRPr="00585541">
        <w:rPr>
          <w:rStyle w:val="af9"/>
          <w:rFonts w:hint="cs"/>
          <w:rtl/>
        </w:rPr>
        <w:t>הרמב"ם והראב"ד</w:t>
      </w:r>
      <w:r>
        <w:rPr>
          <w:rFonts w:hint="cs"/>
          <w:rtl/>
        </w:rPr>
        <w:t xml:space="preserve"> דאף דאף האבר הוא כשחוט, והוא כחלב טריפה, מ"מ כיון שהאיסור הוא מחמת חסרון בשחיטה, דגלי קרא דאף שהוא באמת שחוט, מ"מ לא מהני ליה השחיטה להתירו באכילה, לכן דמי לחלב דעלמא הבא מן החי, והצד דהוא אסור הוא כיון דלא שייך להתירו בשחיטה, דהיינו דאף אם היה אפשרות לשחוט את האבר היוצא, ג"כ לא היתה השחיטה מועלת, דהוא כשחוט, משא"כ לדעת </w:t>
      </w:r>
      <w:r w:rsidRPr="00585541">
        <w:rPr>
          <w:rStyle w:val="af9"/>
          <w:rFonts w:hint="cs"/>
          <w:rtl/>
        </w:rPr>
        <w:t>הרשב"א</w:t>
      </w:r>
      <w:r>
        <w:rPr>
          <w:rFonts w:hint="cs"/>
          <w:rtl/>
        </w:rPr>
        <w:t xml:space="preserve"> </w:t>
      </w:r>
      <w:r w:rsidRPr="0081344A">
        <w:rPr>
          <w:rStyle w:val="af7"/>
          <w:rFonts w:eastAsia="Guttman Hodes" w:hint="cs"/>
          <w:rtl/>
        </w:rPr>
        <w:t xml:space="preserve">(עי' אות </w:t>
      </w:r>
      <w:r w:rsidRPr="0081344A">
        <w:rPr>
          <w:rStyle w:val="af7"/>
          <w:rFonts w:eastAsia="Guttman Hodes"/>
          <w:rtl/>
        </w:rPr>
        <w:fldChar w:fldCharType="begin"/>
      </w:r>
      <w:r w:rsidRPr="0081344A">
        <w:rPr>
          <w:rStyle w:val="af7"/>
          <w:rFonts w:eastAsia="Guttman Hodes"/>
          <w:rtl/>
        </w:rPr>
        <w:instrText xml:space="preserve"> </w:instrText>
      </w:r>
      <w:r w:rsidRPr="0081344A">
        <w:rPr>
          <w:rStyle w:val="af7"/>
          <w:rFonts w:eastAsia="Guttman Hodes" w:hint="cs"/>
        </w:rPr>
        <w:instrText>REF</w:instrText>
      </w:r>
      <w:r w:rsidRPr="0081344A">
        <w:rPr>
          <w:rStyle w:val="af7"/>
          <w:rFonts w:eastAsia="Guttman Hodes" w:hint="cs"/>
          <w:rtl/>
        </w:rPr>
        <w:instrText xml:space="preserve"> _</w:instrText>
      </w:r>
      <w:r w:rsidRPr="0081344A">
        <w:rPr>
          <w:rStyle w:val="af7"/>
          <w:rFonts w:eastAsia="Guttman Hodes" w:hint="cs"/>
        </w:rPr>
        <w:instrText>Ref535228559 \r \h</w:instrText>
      </w:r>
      <w:r w:rsidRPr="0081344A">
        <w:rPr>
          <w:rStyle w:val="af7"/>
          <w:rFonts w:eastAsia="Guttman Hodes"/>
          <w:rtl/>
        </w:rPr>
        <w:instrText xml:space="preserve"> </w:instrText>
      </w:r>
      <w:r w:rsidRPr="0081344A">
        <w:rPr>
          <w:rStyle w:val="af7"/>
          <w:rFonts w:eastAsia="Guttman Hodes"/>
          <w:rtl/>
        </w:rPr>
      </w:r>
      <w:r w:rsidRPr="0081344A">
        <w:rPr>
          <w:rStyle w:val="af7"/>
          <w:rFonts w:eastAsia="Guttman Hodes"/>
          <w:rtl/>
        </w:rPr>
        <w:fldChar w:fldCharType="separate"/>
      </w:r>
      <w:r w:rsidR="00345400">
        <w:rPr>
          <w:rStyle w:val="af7"/>
          <w:rFonts w:eastAsia="Guttman Hodes"/>
          <w:cs/>
        </w:rPr>
        <w:t>‎</w:t>
      </w:r>
      <w:r w:rsidR="00345400">
        <w:rPr>
          <w:rStyle w:val="af7"/>
          <w:rFonts w:eastAsia="Guttman Hodes"/>
          <w:rtl/>
        </w:rPr>
        <w:t>עח)</w:t>
      </w:r>
      <w:r w:rsidRPr="0081344A">
        <w:rPr>
          <w:rStyle w:val="af7"/>
          <w:rFonts w:eastAsia="Guttman Hodes"/>
          <w:rtl/>
        </w:rPr>
        <w:fldChar w:fldCharType="end"/>
      </w:r>
      <w:r>
        <w:rPr>
          <w:rFonts w:hint="cs"/>
          <w:rtl/>
        </w:rPr>
        <w:t xml:space="preserve"> דהוא אבר מן החי, אם היה אפשרות לשוחטו היה האבר מותר</w:t>
      </w:r>
      <w:bookmarkEnd w:id="16466"/>
      <w:bookmarkEnd w:id="16467"/>
      <w:r>
        <w:rPr>
          <w:rFonts w:hint="cs"/>
          <w:rtl/>
        </w:rPr>
        <w:t>.</w:t>
      </w:r>
    </w:p>
    <w:p w14:paraId="67DA2E5A" w14:textId="77777777" w:rsidR="003D504D" w:rsidRPr="007E3507" w:rsidRDefault="003D504D" w:rsidP="003D504D">
      <w:pPr>
        <w:pStyle w:val="a3"/>
        <w:jc w:val="both"/>
        <w:rPr>
          <w:rtl/>
        </w:rPr>
      </w:pPr>
    </w:p>
    <w:p w14:paraId="38312B24" w14:textId="77777777" w:rsidR="003D504D" w:rsidRDefault="003D504D" w:rsidP="00223668">
      <w:pPr>
        <w:pStyle w:val="a0"/>
        <w:rPr>
          <w:rtl/>
        </w:rPr>
        <w:sectPr w:rsidR="003D504D" w:rsidSect="003D504D">
          <w:footerReference w:type="default" r:id="rId106"/>
          <w:type w:val="continuous"/>
          <w:pgSz w:w="11906" w:h="16838"/>
          <w:pgMar w:top="720" w:right="720" w:bottom="720" w:left="720" w:header="283" w:footer="283" w:gutter="0"/>
          <w:pgNumType w:fmt="hebrew1"/>
          <w:cols w:num="2" w:space="567"/>
          <w:bidi/>
          <w:rtlGutter/>
          <w:docGrid w:linePitch="299"/>
        </w:sectPr>
      </w:pPr>
    </w:p>
    <w:p w14:paraId="5150D9A5" w14:textId="77777777" w:rsidR="003D504D" w:rsidRDefault="003D504D" w:rsidP="003D504D">
      <w:pPr>
        <w:pStyle w:val="afd"/>
        <w:spacing w:before="240"/>
        <w:rPr>
          <w:rtl/>
        </w:rPr>
        <w:sectPr w:rsidR="003D504D" w:rsidSect="003D504D">
          <w:headerReference w:type="default" r:id="rId107"/>
          <w:footerReference w:type="default" r:id="rId108"/>
          <w:type w:val="continuous"/>
          <w:pgSz w:w="11906" w:h="16838"/>
          <w:pgMar w:top="720" w:right="720" w:bottom="720" w:left="720" w:header="283" w:footer="283" w:gutter="0"/>
          <w:cols w:space="113"/>
          <w:bidi/>
          <w:rtlGutter/>
          <w:docGrid w:linePitch="299"/>
        </w:sectPr>
      </w:pPr>
      <w:bookmarkStart w:id="16468" w:name="_Toc535868949"/>
      <w:bookmarkStart w:id="16469" w:name="_Toc535921726"/>
      <w:bookmarkStart w:id="16470" w:name="_Toc535958305"/>
      <w:bookmarkStart w:id="16471" w:name="_Toc536041975"/>
      <w:bookmarkStart w:id="16472" w:name="_Toc536130294"/>
      <w:bookmarkStart w:id="16473" w:name="_Toc536178355"/>
      <w:bookmarkStart w:id="16474" w:name="_Toc536180730"/>
      <w:bookmarkStart w:id="16475" w:name="_Toc536304967"/>
      <w:bookmarkStart w:id="16476" w:name="_Toc536305048"/>
      <w:bookmarkStart w:id="16477" w:name="_Toc536459260"/>
      <w:bookmarkStart w:id="16478" w:name="_Toc536466216"/>
      <w:bookmarkStart w:id="16479" w:name="_Toc536540365"/>
      <w:bookmarkStart w:id="16480" w:name="_Toc536564175"/>
      <w:bookmarkEnd w:id="15202"/>
    </w:p>
    <w:p w14:paraId="25BA796B" w14:textId="77777777" w:rsidR="003D504D" w:rsidRDefault="003D504D" w:rsidP="000D4AC3">
      <w:pPr>
        <w:pStyle w:val="afd"/>
        <w:rPr>
          <w:rtl/>
        </w:rPr>
      </w:pPr>
      <w:bookmarkStart w:id="16481" w:name="_Toc5356377"/>
      <w:bookmarkStart w:id="16482" w:name="_Toc16669760"/>
      <w:bookmarkStart w:id="16483" w:name="_Toc19436016"/>
      <w:bookmarkStart w:id="16484" w:name="_Toc20081226"/>
      <w:bookmarkEnd w:id="16468"/>
      <w:bookmarkEnd w:id="16469"/>
      <w:bookmarkEnd w:id="16470"/>
      <w:bookmarkEnd w:id="16471"/>
      <w:bookmarkEnd w:id="16472"/>
      <w:bookmarkEnd w:id="16473"/>
      <w:bookmarkEnd w:id="16474"/>
      <w:bookmarkEnd w:id="16475"/>
      <w:bookmarkEnd w:id="16476"/>
      <w:bookmarkEnd w:id="16477"/>
      <w:bookmarkEnd w:id="16478"/>
      <w:bookmarkEnd w:id="16479"/>
      <w:bookmarkEnd w:id="16480"/>
      <w:r>
        <w:rPr>
          <w:rFonts w:hint="cs"/>
          <w:rtl/>
        </w:rPr>
        <w:t xml:space="preserve">סימן </w:t>
      </w:r>
      <w:r w:rsidR="000D4AC3">
        <w:rPr>
          <w:rFonts w:hint="cs"/>
          <w:rtl/>
        </w:rPr>
        <w:t>ט"ז</w:t>
      </w:r>
      <w:bookmarkEnd w:id="16481"/>
      <w:bookmarkEnd w:id="16482"/>
      <w:bookmarkEnd w:id="16483"/>
      <w:bookmarkEnd w:id="16484"/>
    </w:p>
    <w:p w14:paraId="7DD0B59D" w14:textId="77777777" w:rsidR="003D504D" w:rsidRPr="00350D47" w:rsidRDefault="003D504D" w:rsidP="003D504D">
      <w:pPr>
        <w:pStyle w:val="afd"/>
        <w:rPr>
          <w:rtl/>
        </w:rPr>
      </w:pPr>
      <w:bookmarkStart w:id="16485" w:name="_Toc536041976"/>
      <w:bookmarkStart w:id="16486" w:name="_Toc536130295"/>
      <w:bookmarkStart w:id="16487" w:name="_Toc536178356"/>
      <w:bookmarkStart w:id="16488" w:name="_Toc536180731"/>
      <w:bookmarkStart w:id="16489" w:name="_Toc536304968"/>
      <w:bookmarkStart w:id="16490" w:name="_Toc536305049"/>
      <w:bookmarkStart w:id="16491" w:name="_Toc536459261"/>
      <w:bookmarkStart w:id="16492" w:name="_Toc536466217"/>
      <w:bookmarkStart w:id="16493" w:name="_Toc536540366"/>
      <w:bookmarkStart w:id="16494" w:name="_Toc536564176"/>
      <w:bookmarkStart w:id="16495" w:name="_Toc5356378"/>
      <w:bookmarkStart w:id="16496" w:name="_Toc16669761"/>
      <w:bookmarkStart w:id="16497" w:name="_Toc19436017"/>
      <w:bookmarkStart w:id="16498" w:name="_Toc20081227"/>
      <w:bookmarkStart w:id="16499" w:name="_Toc535868950"/>
      <w:bookmarkStart w:id="16500" w:name="_Toc535921727"/>
      <w:bookmarkStart w:id="16501" w:name="_Toc535958306"/>
      <w:r>
        <w:rPr>
          <w:rFonts w:hint="cs"/>
          <w:rtl/>
        </w:rPr>
        <w:t>סוגיא דאבר היוצא (ב')</w:t>
      </w:r>
      <w:bookmarkEnd w:id="16485"/>
      <w:bookmarkEnd w:id="16486"/>
      <w:bookmarkEnd w:id="16487"/>
      <w:bookmarkEnd w:id="16488"/>
      <w:bookmarkEnd w:id="16489"/>
      <w:bookmarkEnd w:id="16490"/>
      <w:bookmarkEnd w:id="16491"/>
      <w:bookmarkEnd w:id="16492"/>
      <w:bookmarkEnd w:id="16493"/>
      <w:bookmarkEnd w:id="16494"/>
      <w:bookmarkEnd w:id="16495"/>
      <w:bookmarkEnd w:id="16496"/>
      <w:bookmarkEnd w:id="16497"/>
      <w:bookmarkEnd w:id="16498"/>
    </w:p>
    <w:p w14:paraId="4AD44DA2" w14:textId="77777777" w:rsidR="003D504D" w:rsidRDefault="003D504D" w:rsidP="003D504D">
      <w:pPr>
        <w:pStyle w:val="afd"/>
        <w:rPr>
          <w:rtl/>
        </w:rPr>
      </w:pPr>
      <w:bookmarkStart w:id="16502" w:name="_Toc536041977"/>
      <w:bookmarkStart w:id="16503" w:name="_Toc536130296"/>
      <w:bookmarkStart w:id="16504" w:name="_Toc536178357"/>
      <w:bookmarkStart w:id="16505" w:name="_Toc536180732"/>
      <w:bookmarkStart w:id="16506" w:name="_Toc536304969"/>
      <w:bookmarkStart w:id="16507" w:name="_Toc536305050"/>
      <w:bookmarkStart w:id="16508" w:name="_Toc536459262"/>
      <w:bookmarkStart w:id="16509" w:name="_Toc536466218"/>
      <w:bookmarkStart w:id="16510" w:name="_Toc536540367"/>
      <w:bookmarkStart w:id="16511" w:name="_Toc536564177"/>
      <w:bookmarkStart w:id="16512" w:name="_Toc5356379"/>
      <w:bookmarkStart w:id="16513" w:name="_Toc16669762"/>
      <w:bookmarkStart w:id="16514" w:name="_Toc19436018"/>
      <w:bookmarkStart w:id="16515" w:name="_Toc20081228"/>
      <w:r>
        <w:rPr>
          <w:rFonts w:hint="cs"/>
          <w:rtl/>
        </w:rPr>
        <w:t>בדין לידה בהוציא ראשו ובסוגיא דלידה דאברים</w:t>
      </w:r>
      <w:bookmarkEnd w:id="16502"/>
      <w:bookmarkEnd w:id="16503"/>
      <w:bookmarkEnd w:id="16504"/>
      <w:bookmarkEnd w:id="16505"/>
      <w:bookmarkEnd w:id="16506"/>
      <w:bookmarkEnd w:id="16507"/>
      <w:bookmarkEnd w:id="16508"/>
      <w:bookmarkEnd w:id="16509"/>
      <w:bookmarkEnd w:id="16510"/>
      <w:bookmarkEnd w:id="16511"/>
      <w:bookmarkEnd w:id="16512"/>
      <w:bookmarkEnd w:id="16513"/>
      <w:bookmarkEnd w:id="16514"/>
      <w:bookmarkEnd w:id="16515"/>
    </w:p>
    <w:p w14:paraId="4DB31498" w14:textId="77777777" w:rsidR="003D504D" w:rsidRDefault="000A0C31" w:rsidP="003D504D">
      <w:pPr>
        <w:pStyle w:val="2"/>
        <w:rPr>
          <w:b/>
          <w:bCs/>
          <w:rtl/>
        </w:rPr>
      </w:pPr>
      <w:r>
        <w:rPr>
          <w:rtl/>
        </w:rPr>
        <w:t>מפתח הסוגיא</w:t>
      </w:r>
      <w:bookmarkEnd w:id="16499"/>
      <w:bookmarkEnd w:id="16500"/>
      <w:bookmarkEnd w:id="16501"/>
    </w:p>
    <w:p w14:paraId="6A29F5C4" w14:textId="77777777" w:rsidR="003D504D" w:rsidRDefault="003D504D" w:rsidP="003D504D">
      <w:pPr>
        <w:pStyle w:val="aff4"/>
        <w:rPr>
          <w:rtl/>
        </w:rPr>
        <w:sectPr w:rsidR="003D504D" w:rsidSect="003D504D">
          <w:headerReference w:type="default" r:id="rId109"/>
          <w:headerReference w:type="first" r:id="rId110"/>
          <w:footerReference w:type="first" r:id="rId111"/>
          <w:pgSz w:w="11906" w:h="16838"/>
          <w:pgMar w:top="720" w:right="720" w:bottom="720" w:left="720" w:header="283" w:footer="283" w:gutter="0"/>
          <w:cols w:space="113"/>
          <w:bidi/>
          <w:rtlGutter/>
          <w:docGrid w:linePitch="299"/>
        </w:sectPr>
      </w:pPr>
    </w:p>
    <w:p w14:paraId="66C64548" w14:textId="77777777" w:rsidR="003D504D" w:rsidRDefault="003D504D" w:rsidP="003D504D">
      <w:pPr>
        <w:pStyle w:val="2"/>
        <w:rPr>
          <w:rFonts w:eastAsiaTheme="minorEastAsia" w:cstheme="minorBidi"/>
          <w:i/>
          <w:iCs/>
          <w:noProof/>
          <w:sz w:val="22"/>
          <w:szCs w:val="22"/>
          <w:rtl/>
        </w:rPr>
      </w:pPr>
      <w:r w:rsidRPr="00E03BE1">
        <w:rPr>
          <w:b/>
          <w:bCs/>
          <w:rtl/>
        </w:rPr>
        <w:fldChar w:fldCharType="begin"/>
      </w:r>
      <w:r w:rsidRPr="00E03BE1">
        <w:rPr>
          <w:rtl/>
        </w:rPr>
        <w:instrText xml:space="preserve"> </w:instrText>
      </w:r>
      <w:r w:rsidRPr="00E03BE1">
        <w:instrText>TOC</w:instrText>
      </w:r>
      <w:r w:rsidRPr="00E03BE1">
        <w:rPr>
          <w:rtl/>
        </w:rPr>
        <w:instrText xml:space="preserve"> \</w:instrText>
      </w:r>
      <w:r w:rsidRPr="00E03BE1">
        <w:instrText>o "1-9" \n \p " " \z \t</w:instrText>
      </w:r>
      <w:r w:rsidRPr="00E03BE1">
        <w:rPr>
          <w:rtl/>
        </w:rPr>
        <w:instrText xml:space="preserve"> "כותרת 1,2,כות קט,3,כות מקטע,1" </w:instrText>
      </w:r>
      <w:r w:rsidRPr="00E03BE1">
        <w:rPr>
          <w:b/>
          <w:bCs/>
          <w:rtl/>
        </w:rPr>
        <w:fldChar w:fldCharType="separate"/>
      </w:r>
      <w:bookmarkStart w:id="16516" w:name="_Toc19436020"/>
      <w:r>
        <w:rPr>
          <w:noProof/>
          <w:rtl/>
        </w:rPr>
        <w:t>מראי מקומות וביאורים על הסוגיא</w:t>
      </w:r>
      <w:bookmarkEnd w:id="16516"/>
    </w:p>
    <w:p w14:paraId="5F5CB644" w14:textId="77777777" w:rsidR="003D504D" w:rsidRDefault="003D504D" w:rsidP="003D504D">
      <w:pPr>
        <w:pStyle w:val="2"/>
        <w:rPr>
          <w:rFonts w:eastAsiaTheme="minorEastAsia" w:cstheme="minorBidi"/>
          <w:i/>
          <w:iCs/>
          <w:noProof/>
          <w:sz w:val="22"/>
          <w:szCs w:val="22"/>
          <w:rtl/>
        </w:rPr>
      </w:pPr>
      <w:bookmarkStart w:id="16517" w:name="_Toc19436021"/>
      <w:r>
        <w:rPr>
          <w:noProof/>
          <w:rtl/>
        </w:rPr>
        <w:t>בגדר האיסור בהוציא את ראשו</w:t>
      </w:r>
      <w:bookmarkEnd w:id="16517"/>
    </w:p>
    <w:p w14:paraId="02C94A1D" w14:textId="77777777" w:rsidR="003D504D" w:rsidRPr="000D4AC3" w:rsidRDefault="003D504D" w:rsidP="000D4AC3">
      <w:pPr>
        <w:pStyle w:val="aff4"/>
        <w:rPr>
          <w:rFonts w:eastAsiaTheme="minorEastAsia" w:cstheme="minorBidi"/>
          <w:i/>
          <w:iCs/>
          <w:noProof/>
          <w:sz w:val="22"/>
          <w:szCs w:val="22"/>
          <w:rtl/>
        </w:rPr>
      </w:pPr>
      <w:bookmarkStart w:id="16518" w:name="_Toc19436022"/>
      <w:bookmarkStart w:id="16519" w:name="_Toc20081229"/>
      <w:r>
        <w:rPr>
          <w:noProof/>
          <w:rtl/>
        </w:rPr>
        <w:t>דברי רש"י ותוס' בהוציא את ראשו</w:t>
      </w:r>
      <w:bookmarkEnd w:id="16518"/>
      <w:bookmarkEnd w:id="16519"/>
    </w:p>
    <w:p w14:paraId="7F2CF43A" w14:textId="77777777" w:rsidR="00DA4835" w:rsidRPr="005077A7" w:rsidRDefault="000D4AC3" w:rsidP="00E12979">
      <w:pPr>
        <w:pStyle w:val="a"/>
        <w:numPr>
          <w:ilvl w:val="0"/>
          <w:numId w:val="34"/>
        </w:numPr>
        <w:rPr>
          <w:rFonts w:eastAsiaTheme="minorEastAsia" w:cstheme="minorBidi"/>
          <w:sz w:val="22"/>
          <w:szCs w:val="22"/>
        </w:rPr>
      </w:pPr>
      <w:r w:rsidRPr="000D4AC3">
        <w:rPr>
          <w:rtl/>
        </w:rPr>
        <w:t>דברי רש"י דביצא ראשו לא מהני שחיטת אמו ויש לו חיוב שחיטה מצד עצמ</w:t>
      </w:r>
      <w:r w:rsidR="00DA4835">
        <w:rPr>
          <w:rFonts w:hint="cs"/>
          <w:rtl/>
        </w:rPr>
        <w:t>ו</w:t>
      </w:r>
    </w:p>
    <w:p w14:paraId="7AA25007" w14:textId="77777777" w:rsidR="003D504D" w:rsidRDefault="003D504D" w:rsidP="005077A7">
      <w:pPr>
        <w:pStyle w:val="a"/>
        <w:rPr>
          <w:rFonts w:eastAsiaTheme="minorEastAsia" w:cstheme="minorBidi"/>
          <w:sz w:val="22"/>
          <w:szCs w:val="22"/>
          <w:rtl/>
        </w:rPr>
      </w:pPr>
      <w:r>
        <w:rPr>
          <w:rtl/>
        </w:rPr>
        <w:t>דברי התוס' בב"ק דכיון דהוי כילוד אינו בכלל היתר "בהמה בבהמה"</w:t>
      </w:r>
    </w:p>
    <w:p w14:paraId="3FE51028" w14:textId="77777777" w:rsidR="003D504D" w:rsidRDefault="003D504D" w:rsidP="005077A7">
      <w:pPr>
        <w:pStyle w:val="a"/>
        <w:rPr>
          <w:rFonts w:eastAsiaTheme="minorEastAsia" w:cstheme="minorBidi"/>
          <w:sz w:val="22"/>
          <w:szCs w:val="22"/>
          <w:rtl/>
        </w:rPr>
      </w:pPr>
      <w:r>
        <w:rPr>
          <w:rtl/>
        </w:rPr>
        <w:t>דברי התוס' דכיון דהוי כילוד פשיטא דחזרת הראש אינה מתירתו</w:t>
      </w:r>
    </w:p>
    <w:p w14:paraId="51A9B2DC" w14:textId="77777777" w:rsidR="003D504D" w:rsidRDefault="003D504D" w:rsidP="005077A7">
      <w:pPr>
        <w:pStyle w:val="a"/>
        <w:rPr>
          <w:rFonts w:eastAsiaTheme="minorEastAsia" w:cstheme="minorBidi"/>
          <w:sz w:val="22"/>
          <w:szCs w:val="22"/>
          <w:rtl/>
        </w:rPr>
      </w:pPr>
      <w:r>
        <w:rPr>
          <w:rtl/>
        </w:rPr>
        <w:t>דברי התוס' דאין חידוש דמה שנשאר בפנים אסור דכל שהוא שלם פשיטא שאוסר</w:t>
      </w:r>
    </w:p>
    <w:p w14:paraId="763F8413" w14:textId="77777777" w:rsidR="003D504D" w:rsidRDefault="003D504D" w:rsidP="003D504D">
      <w:pPr>
        <w:pStyle w:val="aff4"/>
        <w:rPr>
          <w:rFonts w:eastAsiaTheme="minorEastAsia" w:cstheme="minorBidi"/>
          <w:i/>
          <w:iCs/>
          <w:noProof/>
          <w:sz w:val="22"/>
          <w:szCs w:val="22"/>
          <w:rtl/>
        </w:rPr>
      </w:pPr>
      <w:bookmarkStart w:id="16520" w:name="_Toc19436023"/>
      <w:bookmarkStart w:id="16521" w:name="_Toc20081230"/>
      <w:r>
        <w:rPr>
          <w:noProof/>
          <w:rtl/>
        </w:rPr>
        <w:t>דברי רבינו גרשום דבהוציא ראשו חשיב כיצא חוץ למחיצתו</w:t>
      </w:r>
      <w:bookmarkEnd w:id="16520"/>
      <w:bookmarkEnd w:id="16521"/>
    </w:p>
    <w:p w14:paraId="7DBACB27" w14:textId="77777777" w:rsidR="003D504D" w:rsidRDefault="003D504D" w:rsidP="005077A7">
      <w:pPr>
        <w:pStyle w:val="a"/>
        <w:rPr>
          <w:rFonts w:eastAsiaTheme="minorEastAsia" w:cstheme="minorBidi"/>
          <w:sz w:val="22"/>
          <w:szCs w:val="22"/>
          <w:rtl/>
        </w:rPr>
      </w:pPr>
      <w:r>
        <w:rPr>
          <w:rtl/>
        </w:rPr>
        <w:t>דברי רבינו גרשום דהוי כילוד ולא מהני ליה חזרה ואסור כיון שיצא חוץ למחיצתו</w:t>
      </w:r>
    </w:p>
    <w:p w14:paraId="021099EC" w14:textId="77777777" w:rsidR="003D504D" w:rsidRDefault="003D504D" w:rsidP="003D504D">
      <w:pPr>
        <w:pStyle w:val="aff4"/>
        <w:rPr>
          <w:rFonts w:eastAsiaTheme="minorEastAsia" w:cstheme="minorBidi"/>
          <w:i/>
          <w:iCs/>
          <w:noProof/>
          <w:sz w:val="22"/>
          <w:szCs w:val="22"/>
          <w:rtl/>
        </w:rPr>
      </w:pPr>
      <w:bookmarkStart w:id="16522" w:name="_Toc19436024"/>
      <w:bookmarkStart w:id="16523" w:name="_Toc20081231"/>
      <w:r>
        <w:rPr>
          <w:noProof/>
          <w:rtl/>
        </w:rPr>
        <w:t>דעת הלבוש דבהוציא ראשו אסור מדין יוצא</w:t>
      </w:r>
      <w:bookmarkEnd w:id="16522"/>
      <w:bookmarkEnd w:id="16523"/>
    </w:p>
    <w:p w14:paraId="51EDA4DC" w14:textId="77777777" w:rsidR="003D504D" w:rsidRDefault="003D504D" w:rsidP="005077A7">
      <w:pPr>
        <w:pStyle w:val="a"/>
        <w:rPr>
          <w:rFonts w:eastAsiaTheme="minorEastAsia" w:cstheme="minorBidi"/>
          <w:sz w:val="22"/>
          <w:szCs w:val="22"/>
          <w:rtl/>
        </w:rPr>
      </w:pPr>
      <w:r>
        <w:rPr>
          <w:rtl/>
        </w:rPr>
        <w:t>דברי הלבוש דאיסור "בשר בשדה טריפה" הוא בכגון שהוציא את ראשו</w:t>
      </w:r>
    </w:p>
    <w:p w14:paraId="24DA799F" w14:textId="77777777" w:rsidR="003D504D" w:rsidRDefault="003D504D" w:rsidP="005077A7">
      <w:pPr>
        <w:pStyle w:val="a"/>
        <w:rPr>
          <w:rFonts w:eastAsiaTheme="minorEastAsia" w:cstheme="minorBidi"/>
          <w:sz w:val="22"/>
          <w:szCs w:val="22"/>
          <w:rtl/>
        </w:rPr>
      </w:pPr>
      <w:r>
        <w:rPr>
          <w:rtl/>
        </w:rPr>
        <w:t>ביאור הפרמ"ג בלבוש דחשיב שיצא כולו ממחיצת אמו ולא מהני חזרה להתירו דאסור ביוצא</w:t>
      </w:r>
    </w:p>
    <w:p w14:paraId="6C78903E" w14:textId="77777777" w:rsidR="003D504D" w:rsidRDefault="003D504D" w:rsidP="003D504D">
      <w:pPr>
        <w:pStyle w:val="aff4"/>
        <w:rPr>
          <w:rFonts w:eastAsiaTheme="minorEastAsia" w:cstheme="minorBidi"/>
          <w:i/>
          <w:iCs/>
          <w:noProof/>
          <w:sz w:val="22"/>
          <w:szCs w:val="22"/>
          <w:rtl/>
        </w:rPr>
      </w:pPr>
      <w:bookmarkStart w:id="16524" w:name="_Toc19436025"/>
      <w:bookmarkStart w:id="16525" w:name="_Toc20081232"/>
      <w:r>
        <w:rPr>
          <w:noProof/>
          <w:rtl/>
        </w:rPr>
        <w:t>דעת התבו"ש דבהוציא ראשו חשיב כבהמה בפנ"ע</w:t>
      </w:r>
      <w:bookmarkEnd w:id="16524"/>
      <w:bookmarkEnd w:id="16525"/>
    </w:p>
    <w:p w14:paraId="68427F4D" w14:textId="77777777" w:rsidR="003D504D" w:rsidRDefault="003D504D" w:rsidP="005077A7">
      <w:pPr>
        <w:pStyle w:val="a"/>
        <w:rPr>
          <w:rFonts w:eastAsiaTheme="minorEastAsia" w:cstheme="minorBidi"/>
          <w:sz w:val="22"/>
          <w:szCs w:val="22"/>
          <w:rtl/>
        </w:rPr>
      </w:pPr>
      <w:r>
        <w:rPr>
          <w:rtl/>
        </w:rPr>
        <w:t>קושית התבו"ש דהא ריו"ח מתיר בחזרה ולדברי הלבוש מתיר ריו"ח אף בראשו ודלא כמתני'</w:t>
      </w:r>
    </w:p>
    <w:p w14:paraId="5A1A92A6" w14:textId="77777777" w:rsidR="003D504D" w:rsidRDefault="003D504D" w:rsidP="005077A7">
      <w:pPr>
        <w:pStyle w:val="a"/>
        <w:rPr>
          <w:rFonts w:eastAsiaTheme="minorEastAsia" w:cstheme="minorBidi"/>
          <w:sz w:val="22"/>
          <w:szCs w:val="22"/>
          <w:rtl/>
        </w:rPr>
      </w:pPr>
      <w:r>
        <w:rPr>
          <w:rtl/>
        </w:rPr>
        <w:t>דברי התבו"ש דביצא ראשו הוא כבהמה בפנ"ע ואין לו שייכות לאמו ואינו בכלל  "בהמה בבהמה"</w:t>
      </w:r>
    </w:p>
    <w:p w14:paraId="4878D6CD" w14:textId="77777777" w:rsidR="003D504D" w:rsidRDefault="003D504D" w:rsidP="005077A7">
      <w:pPr>
        <w:pStyle w:val="a"/>
        <w:rPr>
          <w:rFonts w:eastAsiaTheme="minorEastAsia" w:cstheme="minorBidi"/>
          <w:sz w:val="22"/>
          <w:szCs w:val="22"/>
          <w:rtl/>
        </w:rPr>
      </w:pPr>
      <w:r>
        <w:rPr>
          <w:rtl/>
        </w:rPr>
        <w:t>דברי התבו"ש דמבואר ברש"י דבנולד הוא כבהמה בפנ"ע ואינו בכלל היתר "בהמה בבהמה"</w:t>
      </w:r>
    </w:p>
    <w:p w14:paraId="5ED550E9" w14:textId="77777777" w:rsidR="003D504D" w:rsidRDefault="003D504D" w:rsidP="003D504D">
      <w:pPr>
        <w:pStyle w:val="aff4"/>
        <w:rPr>
          <w:rFonts w:eastAsiaTheme="minorEastAsia" w:cstheme="minorBidi"/>
          <w:i/>
          <w:iCs/>
          <w:noProof/>
          <w:sz w:val="22"/>
          <w:szCs w:val="22"/>
          <w:rtl/>
        </w:rPr>
      </w:pPr>
      <w:bookmarkStart w:id="16526" w:name="_Toc19436026"/>
      <w:bookmarkStart w:id="16527" w:name="_Toc20081233"/>
      <w:r>
        <w:rPr>
          <w:noProof/>
          <w:rtl/>
        </w:rPr>
        <w:t>ביאור הפרמ"ג בלבוש ובתבו"ש</w:t>
      </w:r>
      <w:bookmarkEnd w:id="16526"/>
      <w:bookmarkEnd w:id="16527"/>
    </w:p>
    <w:p w14:paraId="388DDDB3" w14:textId="77777777" w:rsidR="003D504D" w:rsidRDefault="003D504D" w:rsidP="005077A7">
      <w:pPr>
        <w:pStyle w:val="a"/>
        <w:rPr>
          <w:rFonts w:eastAsiaTheme="minorEastAsia" w:cstheme="minorBidi"/>
          <w:sz w:val="22"/>
          <w:szCs w:val="22"/>
          <w:rtl/>
        </w:rPr>
      </w:pPr>
      <w:r>
        <w:rPr>
          <w:rtl/>
        </w:rPr>
        <w:t>תירוץ הפרמ"ג בלבוש דריו"ח מודה לאיסור יוצא אלא דהאבר נגרר אחר רוב העובר משא"כ בראשו</w:t>
      </w:r>
    </w:p>
    <w:p w14:paraId="357EFAD0" w14:textId="77777777" w:rsidR="003D504D" w:rsidRDefault="003D504D" w:rsidP="005077A7">
      <w:pPr>
        <w:pStyle w:val="a"/>
        <w:rPr>
          <w:rFonts w:eastAsiaTheme="minorEastAsia" w:cstheme="minorBidi"/>
          <w:sz w:val="22"/>
          <w:szCs w:val="22"/>
          <w:rtl/>
        </w:rPr>
      </w:pPr>
      <w:r>
        <w:rPr>
          <w:rtl/>
        </w:rPr>
        <w:t>דחיית הפרמ"ג דדוחק לומר דלענין איסור יוצא האבר בחוץ נגרר אחר הרוב ולא לענין היתר שחיטה</w:t>
      </w:r>
    </w:p>
    <w:p w14:paraId="6368CEC8" w14:textId="77777777" w:rsidR="003D504D" w:rsidRDefault="003D504D" w:rsidP="005077A7">
      <w:pPr>
        <w:pStyle w:val="a"/>
        <w:rPr>
          <w:rFonts w:eastAsiaTheme="minorEastAsia" w:cstheme="minorBidi"/>
          <w:sz w:val="22"/>
          <w:szCs w:val="22"/>
          <w:rtl/>
        </w:rPr>
      </w:pPr>
      <w:r>
        <w:rPr>
          <w:rtl/>
        </w:rPr>
        <w:t>דברי הפרמ"ג דהנ"מ בין הלבוש לתבו"ש אי מהני שחיטת אמו לטהרו מידי נבילה</w:t>
      </w:r>
    </w:p>
    <w:p w14:paraId="46D1CAF6" w14:textId="77777777" w:rsidR="003D504D" w:rsidRDefault="003D504D" w:rsidP="005077A7">
      <w:pPr>
        <w:pStyle w:val="a"/>
        <w:rPr>
          <w:rFonts w:eastAsiaTheme="minorEastAsia" w:cstheme="minorBidi"/>
          <w:sz w:val="22"/>
          <w:szCs w:val="22"/>
          <w:rtl/>
        </w:rPr>
      </w:pPr>
      <w:r>
        <w:rPr>
          <w:rtl/>
        </w:rPr>
        <w:t>דברי הראש יוסף דבתוס' מבואר כתבו"ש</w:t>
      </w:r>
    </w:p>
    <w:p w14:paraId="79642651" w14:textId="77777777" w:rsidR="003D504D" w:rsidRDefault="003D504D" w:rsidP="008E00C2">
      <w:pPr>
        <w:pStyle w:val="2"/>
        <w:rPr>
          <w:rFonts w:eastAsiaTheme="minorEastAsia" w:cstheme="minorBidi"/>
          <w:b/>
          <w:bCs/>
          <w:noProof/>
          <w:sz w:val="22"/>
          <w:szCs w:val="22"/>
          <w:rtl/>
        </w:rPr>
      </w:pPr>
      <w:bookmarkStart w:id="16528" w:name="_Toc19436027"/>
      <w:r>
        <w:rPr>
          <w:noProof/>
          <w:rtl/>
        </w:rPr>
        <w:t>בענין חזרת אבר בקלוט במעי פרה</w:t>
      </w:r>
      <w:bookmarkEnd w:id="16528"/>
    </w:p>
    <w:p w14:paraId="121EE14C" w14:textId="77777777" w:rsidR="003D504D" w:rsidRDefault="003D504D" w:rsidP="003D504D">
      <w:pPr>
        <w:pStyle w:val="aff4"/>
        <w:rPr>
          <w:rFonts w:eastAsiaTheme="minorEastAsia" w:cstheme="minorBidi"/>
          <w:i/>
          <w:iCs/>
          <w:noProof/>
          <w:sz w:val="22"/>
          <w:szCs w:val="22"/>
          <w:rtl/>
        </w:rPr>
      </w:pPr>
      <w:bookmarkStart w:id="16529" w:name="_Toc19436028"/>
      <w:bookmarkStart w:id="16530" w:name="_Toc20081234"/>
      <w:r>
        <w:rPr>
          <w:noProof/>
          <w:rtl/>
        </w:rPr>
        <w:t>פלוגתת רש"י והרא"ה</w:t>
      </w:r>
      <w:bookmarkEnd w:id="16529"/>
      <w:bookmarkEnd w:id="16530"/>
    </w:p>
    <w:p w14:paraId="45B5DB6E" w14:textId="77777777" w:rsidR="003D504D" w:rsidRDefault="003D504D" w:rsidP="005077A7">
      <w:pPr>
        <w:pStyle w:val="a"/>
        <w:rPr>
          <w:rFonts w:eastAsiaTheme="minorEastAsia" w:cstheme="minorBidi"/>
          <w:sz w:val="22"/>
          <w:szCs w:val="22"/>
          <w:rtl/>
        </w:rPr>
      </w:pPr>
      <w:r>
        <w:rPr>
          <w:rtl/>
        </w:rPr>
        <w:t>דברי רש"י דהלשון "החזיר" בקלוט הוא לאו דוקא</w:t>
      </w:r>
    </w:p>
    <w:p w14:paraId="6CAFD4FD" w14:textId="77777777" w:rsidR="003D504D" w:rsidRDefault="003D504D" w:rsidP="005077A7">
      <w:pPr>
        <w:pStyle w:val="a"/>
        <w:rPr>
          <w:rFonts w:eastAsiaTheme="minorEastAsia" w:cstheme="minorBidi"/>
          <w:sz w:val="22"/>
          <w:szCs w:val="22"/>
          <w:rtl/>
        </w:rPr>
      </w:pPr>
      <w:r>
        <w:rPr>
          <w:rtl/>
        </w:rPr>
        <w:t>דברי הרא"ה דקמ"ל דאף בקלוט החזרה מתרת אף שיציאתו לאויר העולם אוסרו מדין קלוט</w:t>
      </w:r>
    </w:p>
    <w:p w14:paraId="308AD96F" w14:textId="77777777" w:rsidR="003D504D" w:rsidRDefault="003D504D" w:rsidP="003D504D">
      <w:pPr>
        <w:pStyle w:val="2"/>
        <w:rPr>
          <w:rFonts w:eastAsiaTheme="minorEastAsia" w:cstheme="minorBidi"/>
          <w:i/>
          <w:iCs/>
          <w:noProof/>
          <w:sz w:val="22"/>
          <w:szCs w:val="22"/>
          <w:rtl/>
        </w:rPr>
      </w:pPr>
      <w:bookmarkStart w:id="16531" w:name="_Toc19436029"/>
      <w:r>
        <w:rPr>
          <w:noProof/>
          <w:rtl/>
        </w:rPr>
        <w:t>בביאור הילפותא לריו"ח</w:t>
      </w:r>
      <w:bookmarkEnd w:id="16531"/>
    </w:p>
    <w:p w14:paraId="59C443FA" w14:textId="77777777" w:rsidR="003D504D" w:rsidRDefault="003D504D" w:rsidP="003D504D">
      <w:pPr>
        <w:pStyle w:val="aff4"/>
        <w:rPr>
          <w:rFonts w:eastAsiaTheme="minorEastAsia" w:cstheme="minorBidi"/>
          <w:i/>
          <w:iCs/>
          <w:noProof/>
          <w:sz w:val="22"/>
          <w:szCs w:val="22"/>
          <w:rtl/>
        </w:rPr>
      </w:pPr>
      <w:bookmarkStart w:id="16532" w:name="_Toc19436030"/>
      <w:bookmarkStart w:id="16533" w:name="_Toc20081235"/>
      <w:r>
        <w:rPr>
          <w:noProof/>
          <w:rtl/>
        </w:rPr>
        <w:t>פלוגתת התוס' והר"ן בילפותא דיוצא לריו"ח</w:t>
      </w:r>
      <w:bookmarkEnd w:id="16532"/>
      <w:bookmarkEnd w:id="16533"/>
    </w:p>
    <w:p w14:paraId="5970A0B1" w14:textId="77777777" w:rsidR="003D504D" w:rsidRDefault="003D504D" w:rsidP="005077A7">
      <w:pPr>
        <w:pStyle w:val="a"/>
        <w:rPr>
          <w:rFonts w:eastAsiaTheme="minorEastAsia" w:cstheme="minorBidi"/>
          <w:sz w:val="22"/>
          <w:szCs w:val="22"/>
          <w:rtl/>
        </w:rPr>
      </w:pPr>
      <w:r>
        <w:rPr>
          <w:rtl/>
        </w:rPr>
        <w:t>דברי התוס' דריו"ח מעמיד את הפסו' "טריפה" לדבר אחר</w:t>
      </w:r>
    </w:p>
    <w:p w14:paraId="50D17C18" w14:textId="77777777" w:rsidR="003D504D" w:rsidRDefault="003D504D" w:rsidP="005077A7">
      <w:pPr>
        <w:pStyle w:val="a"/>
        <w:rPr>
          <w:rFonts w:eastAsiaTheme="minorEastAsia" w:cstheme="minorBidi"/>
          <w:sz w:val="22"/>
          <w:szCs w:val="22"/>
          <w:rtl/>
        </w:rPr>
      </w:pPr>
      <w:r>
        <w:rPr>
          <w:rtl/>
        </w:rPr>
        <w:t>דברי הר"ן דלריו"ח איסור יוצא נדרש רק לחטאת ולא לאבר היוצא</w:t>
      </w:r>
    </w:p>
    <w:p w14:paraId="0F927DBD" w14:textId="77777777" w:rsidR="003D504D" w:rsidRDefault="003D504D" w:rsidP="005077A7">
      <w:pPr>
        <w:pStyle w:val="a"/>
        <w:rPr>
          <w:rFonts w:eastAsiaTheme="minorEastAsia" w:cstheme="minorBidi"/>
          <w:sz w:val="22"/>
          <w:szCs w:val="22"/>
          <w:rtl/>
        </w:rPr>
      </w:pPr>
      <w:r>
        <w:rPr>
          <w:rtl/>
        </w:rPr>
        <w:t>קושית התוס' לריו"ח למה צריך ב' ילפותות</w:t>
      </w:r>
    </w:p>
    <w:p w14:paraId="01EE670C" w14:textId="77777777" w:rsidR="003D504D" w:rsidRDefault="003D504D" w:rsidP="005077A7">
      <w:pPr>
        <w:pStyle w:val="a"/>
        <w:rPr>
          <w:rFonts w:eastAsiaTheme="minorEastAsia" w:cstheme="minorBidi"/>
          <w:sz w:val="22"/>
          <w:szCs w:val="22"/>
          <w:rtl/>
        </w:rPr>
      </w:pPr>
      <w:r>
        <w:rPr>
          <w:rtl/>
        </w:rPr>
        <w:t>דברי הלב אריה דלהרא"ה מיושב דצריך ילפותא נוספת להתיר חזרת אבר בקלוט</w:t>
      </w:r>
    </w:p>
    <w:p w14:paraId="31F3F15B" w14:textId="77777777" w:rsidR="003D504D" w:rsidRDefault="003D504D" w:rsidP="003D504D">
      <w:pPr>
        <w:pStyle w:val="2"/>
        <w:rPr>
          <w:rFonts w:eastAsiaTheme="minorEastAsia" w:cstheme="minorBidi"/>
          <w:i/>
          <w:iCs/>
          <w:noProof/>
          <w:sz w:val="22"/>
          <w:szCs w:val="22"/>
          <w:rtl/>
        </w:rPr>
      </w:pPr>
      <w:bookmarkStart w:id="16534" w:name="_Toc19436031"/>
      <w:r>
        <w:rPr>
          <w:noProof/>
          <w:rtl/>
        </w:rPr>
        <w:t>בפלוגתת רב וריו"ח בלידת אברים</w:t>
      </w:r>
      <w:bookmarkEnd w:id="16534"/>
    </w:p>
    <w:p w14:paraId="767EFA29" w14:textId="77777777" w:rsidR="003D504D" w:rsidRDefault="003D504D" w:rsidP="003D504D">
      <w:pPr>
        <w:pStyle w:val="aff4"/>
        <w:rPr>
          <w:rFonts w:eastAsiaTheme="minorEastAsia" w:cstheme="minorBidi"/>
          <w:i/>
          <w:iCs/>
          <w:noProof/>
          <w:sz w:val="22"/>
          <w:szCs w:val="22"/>
          <w:rtl/>
        </w:rPr>
      </w:pPr>
      <w:bookmarkStart w:id="16535" w:name="_Toc19436032"/>
      <w:bookmarkStart w:id="16536" w:name="_Toc20081236"/>
      <w:r>
        <w:rPr>
          <w:noProof/>
          <w:rtl/>
        </w:rPr>
        <w:t>דעת רש"י ורבינו גרשום דנחלקו בחזרת האבר כל"ק</w:t>
      </w:r>
      <w:bookmarkEnd w:id="16535"/>
      <w:bookmarkEnd w:id="16536"/>
    </w:p>
    <w:p w14:paraId="00500064" w14:textId="77777777" w:rsidR="003D504D" w:rsidRDefault="003D504D" w:rsidP="005077A7">
      <w:pPr>
        <w:pStyle w:val="a"/>
        <w:rPr>
          <w:rFonts w:eastAsiaTheme="minorEastAsia" w:cstheme="minorBidi"/>
          <w:sz w:val="22"/>
          <w:szCs w:val="22"/>
          <w:rtl/>
        </w:rPr>
      </w:pPr>
      <w:r>
        <w:rPr>
          <w:rtl/>
        </w:rPr>
        <w:t>דברי רש"י ורבינו גרשום דלרב הוי לידה ולא מהני חזרה ולריו"ח לא הוי לידה ומהני חזרה</w:t>
      </w:r>
    </w:p>
    <w:p w14:paraId="182BBBCC" w14:textId="77777777" w:rsidR="003D504D" w:rsidRDefault="003D504D" w:rsidP="005077A7">
      <w:pPr>
        <w:pStyle w:val="a"/>
        <w:rPr>
          <w:rFonts w:eastAsiaTheme="minorEastAsia" w:cstheme="minorBidi"/>
          <w:sz w:val="22"/>
          <w:szCs w:val="22"/>
          <w:rtl/>
        </w:rPr>
      </w:pPr>
      <w:r>
        <w:rPr>
          <w:rtl/>
        </w:rPr>
        <w:t>ביאור רש"י דהנ"מ אם המיעוט שבפנים נאסר הוא בין הל"ק ללישנא דמערבא לדעת רב</w:t>
      </w:r>
    </w:p>
    <w:p w14:paraId="60D02ED1" w14:textId="77777777" w:rsidR="003D504D" w:rsidRDefault="003D504D" w:rsidP="005077A7">
      <w:pPr>
        <w:pStyle w:val="a"/>
        <w:rPr>
          <w:rFonts w:eastAsiaTheme="minorEastAsia" w:cstheme="minorBidi"/>
          <w:sz w:val="22"/>
          <w:szCs w:val="22"/>
          <w:rtl/>
        </w:rPr>
      </w:pPr>
      <w:r>
        <w:rPr>
          <w:rtl/>
        </w:rPr>
        <w:t>דברי רבינו גרשום דללישנא דמערבא ביצא רוב האבר אמרינן דרובו ככולו</w:t>
      </w:r>
    </w:p>
    <w:p w14:paraId="2DA0E87E" w14:textId="77777777" w:rsidR="003D504D" w:rsidRDefault="003D504D" w:rsidP="005077A7">
      <w:pPr>
        <w:pStyle w:val="a"/>
        <w:rPr>
          <w:rFonts w:eastAsiaTheme="minorEastAsia" w:cstheme="minorBidi"/>
          <w:sz w:val="22"/>
          <w:szCs w:val="22"/>
          <w:rtl/>
        </w:rPr>
      </w:pPr>
      <w:r>
        <w:rPr>
          <w:rtl/>
        </w:rPr>
        <w:t>ביאור הראשונים ברש"י דלריו"ח לב' הלישנות חזרה מתרת והחילוק בלישנות הוא רק לרב</w:t>
      </w:r>
    </w:p>
    <w:p w14:paraId="1103EA4A" w14:textId="77777777" w:rsidR="003D504D" w:rsidRDefault="003D504D" w:rsidP="005077A7">
      <w:pPr>
        <w:pStyle w:val="a"/>
        <w:rPr>
          <w:rFonts w:eastAsiaTheme="minorEastAsia" w:cstheme="minorBidi"/>
          <w:sz w:val="22"/>
          <w:szCs w:val="22"/>
          <w:rtl/>
        </w:rPr>
      </w:pPr>
      <w:r>
        <w:rPr>
          <w:rtl/>
        </w:rPr>
        <w:t>ביאור הרשב"א ברש"י דלל"ב המיעוט שבפנים נאסר באיסור יוצא</w:t>
      </w:r>
    </w:p>
    <w:p w14:paraId="5E3FDB6B" w14:textId="77777777" w:rsidR="003D504D" w:rsidRDefault="003D504D" w:rsidP="003D504D">
      <w:pPr>
        <w:pStyle w:val="aff4"/>
        <w:rPr>
          <w:rFonts w:eastAsiaTheme="minorEastAsia" w:cstheme="minorBidi"/>
          <w:i/>
          <w:iCs/>
          <w:noProof/>
          <w:sz w:val="22"/>
          <w:szCs w:val="22"/>
          <w:rtl/>
        </w:rPr>
      </w:pPr>
      <w:bookmarkStart w:id="16537" w:name="_Toc19436033"/>
      <w:bookmarkStart w:id="16538" w:name="_Toc20081237"/>
      <w:r>
        <w:rPr>
          <w:noProof/>
          <w:rtl/>
        </w:rPr>
        <w:t>קושיות הראשונים על רש"י</w:t>
      </w:r>
      <w:bookmarkEnd w:id="16537"/>
      <w:bookmarkEnd w:id="16538"/>
    </w:p>
    <w:p w14:paraId="52D17D19" w14:textId="77777777" w:rsidR="003D504D" w:rsidRDefault="003D504D" w:rsidP="005077A7">
      <w:pPr>
        <w:pStyle w:val="a"/>
        <w:rPr>
          <w:rFonts w:eastAsiaTheme="minorEastAsia" w:cstheme="minorBidi"/>
          <w:sz w:val="22"/>
          <w:szCs w:val="22"/>
          <w:rtl/>
        </w:rPr>
      </w:pPr>
      <w:r>
        <w:rPr>
          <w:rtl/>
        </w:rPr>
        <w:t>קושית הראשונים דלריו"ח כיון שהאבר עצמו מותר בחזרה כ"ש שאינו מצטרף לרוב</w:t>
      </w:r>
    </w:p>
    <w:p w14:paraId="49B91122" w14:textId="77777777" w:rsidR="003D504D" w:rsidRDefault="003D504D" w:rsidP="005077A7">
      <w:pPr>
        <w:pStyle w:val="a"/>
        <w:rPr>
          <w:rFonts w:eastAsiaTheme="minorEastAsia" w:cstheme="minorBidi"/>
          <w:sz w:val="22"/>
          <w:szCs w:val="22"/>
          <w:rtl/>
        </w:rPr>
      </w:pPr>
      <w:r>
        <w:rPr>
          <w:rtl/>
        </w:rPr>
        <w:t>ישוב הרמב"ן ברש"י דאף שהחזרת האבר מתירתו מ"מ האיסור חוזר וניעור כשיש רוב</w:t>
      </w:r>
    </w:p>
    <w:p w14:paraId="5BD31227" w14:textId="77777777" w:rsidR="003D504D" w:rsidRDefault="003D504D" w:rsidP="005077A7">
      <w:pPr>
        <w:pStyle w:val="a"/>
        <w:rPr>
          <w:rFonts w:eastAsiaTheme="minorEastAsia" w:cstheme="minorBidi"/>
          <w:sz w:val="22"/>
          <w:szCs w:val="22"/>
          <w:rtl/>
        </w:rPr>
      </w:pPr>
      <w:r>
        <w:rPr>
          <w:rtl/>
        </w:rPr>
        <w:t>תירוץ התפארת יעקב דלריו"ח אין לידה כלפי האבר עצמו אך כלפי לידת כל העובר הוי לידה</w:t>
      </w:r>
    </w:p>
    <w:p w14:paraId="4B6C42FA" w14:textId="77777777" w:rsidR="003D504D" w:rsidRDefault="003D504D" w:rsidP="005077A7">
      <w:pPr>
        <w:pStyle w:val="a"/>
        <w:rPr>
          <w:rFonts w:eastAsiaTheme="minorEastAsia" w:cstheme="minorBidi"/>
          <w:sz w:val="22"/>
          <w:szCs w:val="22"/>
          <w:rtl/>
        </w:rPr>
      </w:pPr>
      <w:r>
        <w:rPr>
          <w:rtl/>
        </w:rPr>
        <w:t>קושית הראשונים דכיון דאיתותב ריו"ח בל"ק אמאי מסתפקת הגמ' בדעתו</w:t>
      </w:r>
    </w:p>
    <w:p w14:paraId="13523E60" w14:textId="77777777" w:rsidR="003D504D" w:rsidRDefault="003D504D" w:rsidP="005077A7">
      <w:pPr>
        <w:pStyle w:val="a"/>
        <w:rPr>
          <w:rFonts w:eastAsiaTheme="minorEastAsia" w:cstheme="minorBidi"/>
          <w:sz w:val="22"/>
          <w:szCs w:val="22"/>
          <w:rtl/>
        </w:rPr>
      </w:pPr>
      <w:r>
        <w:rPr>
          <w:rtl/>
        </w:rPr>
        <w:t>קושית הראשונים דבלשון הגמ' משמע דהנ"מ היא בין רב לריו"ח ולא בין הלישנות</w:t>
      </w:r>
    </w:p>
    <w:p w14:paraId="552F9C46" w14:textId="77777777" w:rsidR="003D504D" w:rsidRDefault="003D504D" w:rsidP="003D504D">
      <w:pPr>
        <w:pStyle w:val="aff4"/>
        <w:rPr>
          <w:rFonts w:eastAsiaTheme="minorEastAsia" w:cstheme="minorBidi"/>
          <w:i/>
          <w:iCs/>
          <w:noProof/>
          <w:sz w:val="22"/>
          <w:szCs w:val="22"/>
          <w:rtl/>
        </w:rPr>
      </w:pPr>
      <w:bookmarkStart w:id="16539" w:name="_Toc19436034"/>
      <w:bookmarkStart w:id="16540" w:name="_Toc20081238"/>
      <w:r>
        <w:rPr>
          <w:noProof/>
          <w:rtl/>
        </w:rPr>
        <w:t>דעת הי"מ ברמב"ן</w:t>
      </w:r>
      <w:bookmarkEnd w:id="16539"/>
      <w:bookmarkEnd w:id="16540"/>
    </w:p>
    <w:p w14:paraId="1E8B1A80" w14:textId="77777777" w:rsidR="003D504D" w:rsidRDefault="003D504D" w:rsidP="005077A7">
      <w:pPr>
        <w:pStyle w:val="a"/>
        <w:rPr>
          <w:rFonts w:eastAsiaTheme="minorEastAsia" w:cstheme="minorBidi"/>
          <w:sz w:val="22"/>
          <w:szCs w:val="22"/>
          <w:rtl/>
        </w:rPr>
      </w:pPr>
      <w:r>
        <w:rPr>
          <w:rtl/>
        </w:rPr>
        <w:t>דעת הי"מ דלל"ב דלרב כשהאבר בחוץ נאסר המיעוט שבפנים ובהחזירו מותר המיעוט</w:t>
      </w:r>
    </w:p>
    <w:p w14:paraId="598457A5" w14:textId="77777777" w:rsidR="003D504D" w:rsidRDefault="003D504D" w:rsidP="005077A7">
      <w:pPr>
        <w:pStyle w:val="a"/>
        <w:rPr>
          <w:rFonts w:eastAsiaTheme="minorEastAsia" w:cstheme="minorBidi"/>
          <w:sz w:val="22"/>
          <w:szCs w:val="22"/>
          <w:rtl/>
        </w:rPr>
      </w:pPr>
      <w:r>
        <w:rPr>
          <w:rtl/>
        </w:rPr>
        <w:t>דחיית הרמב"ן דכיון שהמיעוט שבפנים מותר בהחזיר את האבר אי"ז לידה לאברים</w:t>
      </w:r>
    </w:p>
    <w:p w14:paraId="45234928" w14:textId="77777777" w:rsidR="003D504D" w:rsidRDefault="003D504D" w:rsidP="003D504D">
      <w:pPr>
        <w:pStyle w:val="aff4"/>
        <w:rPr>
          <w:rFonts w:eastAsiaTheme="minorEastAsia" w:cstheme="minorBidi"/>
          <w:i/>
          <w:iCs/>
          <w:noProof/>
          <w:sz w:val="22"/>
          <w:szCs w:val="22"/>
          <w:rtl/>
        </w:rPr>
      </w:pPr>
      <w:bookmarkStart w:id="16541" w:name="_Toc19436035"/>
      <w:bookmarkStart w:id="16542" w:name="_Toc20081239"/>
      <w:r>
        <w:rPr>
          <w:noProof/>
          <w:rtl/>
        </w:rPr>
        <w:t>דעת הרי"ף ושא"ר דריו"ח בל"ב אוסר בחזרה ומתיר את המיעוט</w:t>
      </w:r>
      <w:bookmarkEnd w:id="16541"/>
      <w:bookmarkEnd w:id="16542"/>
    </w:p>
    <w:p w14:paraId="75BA52CD" w14:textId="77777777" w:rsidR="003D504D" w:rsidRDefault="003D504D" w:rsidP="005077A7">
      <w:pPr>
        <w:pStyle w:val="a"/>
        <w:rPr>
          <w:rFonts w:eastAsiaTheme="minorEastAsia" w:cstheme="minorBidi"/>
          <w:sz w:val="22"/>
          <w:szCs w:val="22"/>
          <w:rtl/>
        </w:rPr>
      </w:pPr>
      <w:r>
        <w:rPr>
          <w:rtl/>
        </w:rPr>
        <w:t>דברי הרי"ף ור"ח דהנ"מ היא בלישנא דמערבא דלרב המיעוט שבפנים אסור ולריו"ח מותר</w:t>
      </w:r>
    </w:p>
    <w:p w14:paraId="0807896C" w14:textId="77777777" w:rsidR="003D504D" w:rsidRDefault="003D504D" w:rsidP="005077A7">
      <w:pPr>
        <w:pStyle w:val="a"/>
        <w:rPr>
          <w:rFonts w:eastAsiaTheme="minorEastAsia" w:cstheme="minorBidi"/>
          <w:sz w:val="22"/>
          <w:szCs w:val="22"/>
          <w:rtl/>
        </w:rPr>
      </w:pPr>
      <w:r>
        <w:rPr>
          <w:rtl/>
        </w:rPr>
        <w:t>דברי הרי"ף ור"ח דהתיובתא על ריו"ח היא רק לל"ק אבל בל"ב קיי"ל כריו"ח</w:t>
      </w:r>
    </w:p>
    <w:p w14:paraId="242FACF5" w14:textId="77777777" w:rsidR="003D504D" w:rsidRDefault="003D504D" w:rsidP="005077A7">
      <w:pPr>
        <w:pStyle w:val="a"/>
        <w:rPr>
          <w:rFonts w:eastAsiaTheme="minorEastAsia" w:cstheme="minorBidi"/>
          <w:sz w:val="22"/>
          <w:szCs w:val="22"/>
          <w:rtl/>
        </w:rPr>
      </w:pPr>
      <w:r>
        <w:rPr>
          <w:rtl/>
        </w:rPr>
        <w:t>ראיית הבעה"מ מספק הגמ' לקמן</w:t>
      </w:r>
    </w:p>
    <w:p w14:paraId="540AF9BC" w14:textId="77777777" w:rsidR="003D504D" w:rsidRDefault="003D504D" w:rsidP="005077A7">
      <w:pPr>
        <w:pStyle w:val="a"/>
        <w:rPr>
          <w:rFonts w:eastAsiaTheme="minorEastAsia" w:cstheme="minorBidi"/>
          <w:sz w:val="22"/>
          <w:szCs w:val="22"/>
          <w:rtl/>
        </w:rPr>
      </w:pPr>
      <w:r>
        <w:rPr>
          <w:rtl/>
        </w:rPr>
        <w:t>ביאור הרמב"ן והר"ן ברי"ף ובר"ח דלל"ב מה שיצא אין לו תקנה וריו"ח מתיר רק את המיעוט</w:t>
      </w:r>
    </w:p>
    <w:p w14:paraId="441B8D1E" w14:textId="77777777" w:rsidR="003D504D" w:rsidRDefault="003D504D" w:rsidP="005077A7">
      <w:pPr>
        <w:pStyle w:val="a"/>
        <w:rPr>
          <w:rFonts w:eastAsiaTheme="minorEastAsia" w:cstheme="minorBidi"/>
          <w:sz w:val="22"/>
          <w:szCs w:val="22"/>
          <w:rtl/>
        </w:rPr>
      </w:pPr>
      <w:r>
        <w:rPr>
          <w:rtl/>
        </w:rPr>
        <w:t>ביאור הר"ן דלרב כמו דרוב דעובר גורר את המיעוט אחריו ה"ה בלידת רוב האבר דנאסר המיעוט</w:t>
      </w:r>
    </w:p>
    <w:p w14:paraId="7001A059" w14:textId="77777777" w:rsidR="003D504D" w:rsidRDefault="003D504D" w:rsidP="003D504D">
      <w:pPr>
        <w:pStyle w:val="aff4"/>
        <w:rPr>
          <w:rFonts w:eastAsiaTheme="minorEastAsia" w:cstheme="minorBidi"/>
          <w:i/>
          <w:iCs/>
          <w:noProof/>
          <w:sz w:val="22"/>
          <w:szCs w:val="22"/>
          <w:rtl/>
        </w:rPr>
      </w:pPr>
      <w:bookmarkStart w:id="16543" w:name="_Toc19436036"/>
      <w:bookmarkStart w:id="16544" w:name="_Toc20081240"/>
      <w:r>
        <w:rPr>
          <w:noProof/>
          <w:rtl/>
        </w:rPr>
        <w:t>קושית הרשב"א על ר"ח</w:t>
      </w:r>
      <w:bookmarkEnd w:id="16543"/>
      <w:bookmarkEnd w:id="16544"/>
    </w:p>
    <w:p w14:paraId="0971581E" w14:textId="77777777" w:rsidR="003D504D" w:rsidRDefault="003D504D" w:rsidP="005077A7">
      <w:pPr>
        <w:pStyle w:val="a"/>
        <w:rPr>
          <w:rFonts w:eastAsiaTheme="minorEastAsia" w:cstheme="minorBidi"/>
          <w:sz w:val="22"/>
          <w:szCs w:val="22"/>
          <w:rtl/>
        </w:rPr>
      </w:pPr>
      <w:r>
        <w:rPr>
          <w:rtl/>
        </w:rPr>
        <w:t>קושית הרשב"א דבגמ' לקמן מבואר דריו"ח מתיר את כל האבר היוצא בחזרה</w:t>
      </w:r>
    </w:p>
    <w:p w14:paraId="5C4E2C05" w14:textId="77777777" w:rsidR="003D504D" w:rsidRDefault="003D504D" w:rsidP="005077A7">
      <w:pPr>
        <w:pStyle w:val="a"/>
        <w:rPr>
          <w:rFonts w:eastAsiaTheme="minorEastAsia" w:cstheme="minorBidi"/>
          <w:sz w:val="22"/>
          <w:szCs w:val="22"/>
          <w:rtl/>
        </w:rPr>
      </w:pPr>
      <w:r>
        <w:rPr>
          <w:rtl/>
        </w:rPr>
        <w:t>תירוץ תוס' דהחזרה מהני לטהר מנבילה ודחיית הרשב"א דלרבנן אף בלא החזיר השחיטה מטהרת</w:t>
      </w:r>
    </w:p>
    <w:p w14:paraId="3DFBB3B4" w14:textId="77777777" w:rsidR="003D504D" w:rsidRDefault="003D504D" w:rsidP="005077A7">
      <w:pPr>
        <w:pStyle w:val="a"/>
        <w:rPr>
          <w:rFonts w:eastAsiaTheme="minorEastAsia" w:cstheme="minorBidi"/>
          <w:sz w:val="22"/>
          <w:szCs w:val="22"/>
          <w:rtl/>
        </w:rPr>
      </w:pPr>
      <w:r>
        <w:rPr>
          <w:rtl/>
        </w:rPr>
        <w:t>תירוץ הרשב"א דחזרה מטהרת מטומאת טריפה לקדשים ודחיית הרשב"א דהוא טומאה דרבנן</w:t>
      </w:r>
    </w:p>
    <w:p w14:paraId="7C29CBD7" w14:textId="77777777" w:rsidR="003D504D" w:rsidRDefault="003D504D" w:rsidP="005077A7">
      <w:pPr>
        <w:pStyle w:val="a"/>
        <w:rPr>
          <w:rFonts w:eastAsiaTheme="minorEastAsia" w:cstheme="minorBidi"/>
          <w:sz w:val="22"/>
          <w:szCs w:val="22"/>
          <w:rtl/>
        </w:rPr>
      </w:pPr>
      <w:r>
        <w:rPr>
          <w:rtl/>
        </w:rPr>
        <w:t>תירוץ הרא"ש והר"ן דהגמ' לקמן סברה כל"ק דריו"ח מתיר את האבר עצמו כשחזר</w:t>
      </w:r>
    </w:p>
    <w:p w14:paraId="6A7DF3EF" w14:textId="77777777" w:rsidR="003D504D" w:rsidRDefault="003D504D" w:rsidP="003D504D">
      <w:pPr>
        <w:pStyle w:val="aff4"/>
        <w:rPr>
          <w:rFonts w:eastAsiaTheme="minorEastAsia" w:cstheme="minorBidi"/>
          <w:i/>
          <w:iCs/>
          <w:noProof/>
          <w:sz w:val="22"/>
          <w:szCs w:val="22"/>
          <w:rtl/>
        </w:rPr>
      </w:pPr>
      <w:bookmarkStart w:id="16545" w:name="_Toc19436037"/>
      <w:bookmarkStart w:id="16546" w:name="_Toc20081241"/>
      <w:r>
        <w:rPr>
          <w:noProof/>
          <w:rtl/>
        </w:rPr>
        <w:t>בגדר האיסור באבר היוצא למ"ד יש לידה לאברים</w:t>
      </w:r>
      <w:bookmarkEnd w:id="16545"/>
      <w:bookmarkEnd w:id="16546"/>
    </w:p>
    <w:p w14:paraId="7D040956" w14:textId="77777777" w:rsidR="003D504D" w:rsidRDefault="003D504D" w:rsidP="005077A7">
      <w:pPr>
        <w:pStyle w:val="a"/>
        <w:rPr>
          <w:rFonts w:eastAsiaTheme="minorEastAsia" w:cstheme="minorBidi"/>
          <w:sz w:val="22"/>
          <w:szCs w:val="22"/>
          <w:rtl/>
        </w:rPr>
      </w:pPr>
      <w:r>
        <w:rPr>
          <w:rtl/>
        </w:rPr>
        <w:t>דברי הצל"ח דאפש"ל דלמ"ד דיש לידה לאברים האיסור באבר הוא מדין נולד ולא מדין יוצא</w:t>
      </w:r>
    </w:p>
    <w:p w14:paraId="1EE72F91" w14:textId="77777777" w:rsidR="003D504D" w:rsidRDefault="003D504D" w:rsidP="005077A7">
      <w:pPr>
        <w:pStyle w:val="a"/>
        <w:rPr>
          <w:rFonts w:eastAsiaTheme="minorEastAsia" w:cstheme="minorBidi"/>
          <w:sz w:val="22"/>
          <w:szCs w:val="22"/>
          <w:rtl/>
        </w:rPr>
      </w:pPr>
      <w:r>
        <w:rPr>
          <w:rtl/>
        </w:rPr>
        <w:t>מסקנת הצל"ח דאף לל"ב אין להתיר במיעוט אבר שיצא וחזר</w:t>
      </w:r>
    </w:p>
    <w:p w14:paraId="261882F4" w14:textId="77777777" w:rsidR="003D504D" w:rsidRDefault="003D504D" w:rsidP="005077A7">
      <w:pPr>
        <w:pStyle w:val="a"/>
        <w:rPr>
          <w:rFonts w:eastAsiaTheme="minorEastAsia" w:cstheme="minorBidi"/>
          <w:sz w:val="22"/>
          <w:szCs w:val="22"/>
          <w:rtl/>
        </w:rPr>
      </w:pPr>
      <w:r>
        <w:rPr>
          <w:rtl/>
        </w:rPr>
        <w:t>דברי רש"י והרמב"ן והרשב"א לקמן דאף למ"ד דיש לידה לאברים האיסור הוא מדין יוצא</w:t>
      </w:r>
    </w:p>
    <w:p w14:paraId="156483BD" w14:textId="77777777" w:rsidR="003D504D" w:rsidRDefault="003D504D" w:rsidP="003D504D">
      <w:pPr>
        <w:pStyle w:val="2"/>
        <w:rPr>
          <w:rFonts w:eastAsiaTheme="minorEastAsia" w:cstheme="minorBidi"/>
          <w:i/>
          <w:iCs/>
          <w:noProof/>
          <w:sz w:val="22"/>
          <w:szCs w:val="22"/>
          <w:rtl/>
        </w:rPr>
      </w:pPr>
      <w:bookmarkStart w:id="16547" w:name="_Toc19436038"/>
      <w:r>
        <w:rPr>
          <w:noProof/>
          <w:rtl/>
        </w:rPr>
        <w:t>בספק בהוציא אברים והחזיר והשלים לרוב</w:t>
      </w:r>
      <w:bookmarkEnd w:id="16547"/>
    </w:p>
    <w:p w14:paraId="4C1EACDF" w14:textId="77777777" w:rsidR="003D504D" w:rsidRDefault="003D504D" w:rsidP="003D504D">
      <w:pPr>
        <w:pStyle w:val="aff4"/>
        <w:rPr>
          <w:rFonts w:eastAsiaTheme="minorEastAsia" w:cstheme="minorBidi"/>
          <w:i/>
          <w:iCs/>
          <w:noProof/>
          <w:sz w:val="22"/>
          <w:szCs w:val="22"/>
          <w:rtl/>
        </w:rPr>
      </w:pPr>
      <w:bookmarkStart w:id="16548" w:name="_Toc19436039"/>
      <w:bookmarkStart w:id="16549" w:name="_Toc20081242"/>
      <w:r>
        <w:rPr>
          <w:noProof/>
          <w:rtl/>
        </w:rPr>
        <w:t>ביאור רש"י ורבינו גרשום בספק ביצאו אברים וחזרו</w:t>
      </w:r>
      <w:bookmarkEnd w:id="16548"/>
      <w:bookmarkEnd w:id="16549"/>
    </w:p>
    <w:p w14:paraId="4FDABE3A" w14:textId="77777777" w:rsidR="003D504D" w:rsidRDefault="003D504D" w:rsidP="005077A7">
      <w:pPr>
        <w:pStyle w:val="a"/>
        <w:rPr>
          <w:rFonts w:eastAsiaTheme="minorEastAsia" w:cstheme="minorBidi"/>
          <w:sz w:val="22"/>
          <w:szCs w:val="22"/>
          <w:rtl/>
        </w:rPr>
      </w:pPr>
      <w:r>
        <w:rPr>
          <w:rtl/>
        </w:rPr>
        <w:t>דברי רש"י דהספק למ"ד דאין לידה לאברים אי כיון שחזרו האברים אינם מצטרפים לרוב</w:t>
      </w:r>
    </w:p>
    <w:p w14:paraId="15C0A165" w14:textId="77777777" w:rsidR="003D504D" w:rsidRDefault="003D504D" w:rsidP="005077A7">
      <w:pPr>
        <w:pStyle w:val="a"/>
        <w:rPr>
          <w:rFonts w:eastAsiaTheme="minorEastAsia" w:cstheme="minorBidi"/>
          <w:sz w:val="22"/>
          <w:szCs w:val="22"/>
          <w:rtl/>
        </w:rPr>
      </w:pPr>
      <w:r>
        <w:rPr>
          <w:rtl/>
        </w:rPr>
        <w:t>דברי רש"י דלמ"ד דיש לידה לאברים ודאי יצא רובו דהא חזרת האבר לא מהני להתירו</w:t>
      </w:r>
    </w:p>
    <w:p w14:paraId="19FC6FDE" w14:textId="77777777" w:rsidR="003D504D" w:rsidRDefault="003D504D" w:rsidP="005077A7">
      <w:pPr>
        <w:pStyle w:val="a"/>
        <w:rPr>
          <w:rFonts w:eastAsiaTheme="minorEastAsia" w:cstheme="minorBidi"/>
          <w:sz w:val="22"/>
          <w:szCs w:val="22"/>
          <w:rtl/>
        </w:rPr>
      </w:pPr>
      <w:r>
        <w:rPr>
          <w:rtl/>
        </w:rPr>
        <w:t>דברי רבינו גרשום דהספק הוא מ"ד דאין לידה דס"ל האבר שחזר אינו נחשב כיוצא</w:t>
      </w:r>
    </w:p>
    <w:p w14:paraId="045C58C4" w14:textId="77777777" w:rsidR="003D504D" w:rsidRDefault="003D504D" w:rsidP="003D504D">
      <w:pPr>
        <w:pStyle w:val="aff4"/>
        <w:rPr>
          <w:rFonts w:eastAsiaTheme="minorEastAsia" w:cstheme="minorBidi"/>
          <w:i/>
          <w:iCs/>
          <w:noProof/>
          <w:sz w:val="22"/>
          <w:szCs w:val="22"/>
          <w:rtl/>
        </w:rPr>
      </w:pPr>
      <w:bookmarkStart w:id="16550" w:name="_Toc19436040"/>
      <w:bookmarkStart w:id="16551" w:name="_Toc20081243"/>
      <w:r>
        <w:rPr>
          <w:noProof/>
          <w:rtl/>
        </w:rPr>
        <w:t>ביאורי הראשונים בדעת הרי"ף ור"ח בספק ביצאו אברים וחזרו</w:t>
      </w:r>
      <w:bookmarkEnd w:id="16550"/>
      <w:bookmarkEnd w:id="16551"/>
    </w:p>
    <w:p w14:paraId="65C604C2" w14:textId="77777777" w:rsidR="003D504D" w:rsidRDefault="003D504D" w:rsidP="005077A7">
      <w:pPr>
        <w:pStyle w:val="a"/>
        <w:rPr>
          <w:rFonts w:eastAsiaTheme="minorEastAsia" w:cstheme="minorBidi"/>
          <w:sz w:val="22"/>
          <w:szCs w:val="22"/>
          <w:rtl/>
        </w:rPr>
      </w:pPr>
      <w:r>
        <w:rPr>
          <w:rtl/>
        </w:rPr>
        <w:t>דברי הר"ן דלהרי"ף ור"ח דקיי"ל כריו"ח בל"ב דאין לידה לאברים לכן מסתפקת הגמ' בדעתו</w:t>
      </w:r>
    </w:p>
    <w:p w14:paraId="78B17119" w14:textId="77777777" w:rsidR="003D504D" w:rsidRDefault="003D504D" w:rsidP="005077A7">
      <w:pPr>
        <w:pStyle w:val="a"/>
        <w:rPr>
          <w:rFonts w:eastAsiaTheme="minorEastAsia" w:cstheme="minorBidi"/>
          <w:sz w:val="22"/>
          <w:szCs w:val="22"/>
          <w:rtl/>
        </w:rPr>
      </w:pPr>
      <w:r>
        <w:rPr>
          <w:rtl/>
        </w:rPr>
        <w:t>ביאור הר"ן דלהרי"ף ספק הגמ' אי אחר שיצאו רוב האברים ונאסרו הם גוררים לאסור את המיעוט</w:t>
      </w:r>
    </w:p>
    <w:p w14:paraId="4A4CB821" w14:textId="77777777" w:rsidR="003D504D" w:rsidRDefault="003D504D" w:rsidP="005077A7">
      <w:pPr>
        <w:pStyle w:val="a"/>
        <w:rPr>
          <w:rFonts w:eastAsiaTheme="minorEastAsia" w:cstheme="minorBidi"/>
          <w:sz w:val="22"/>
          <w:szCs w:val="22"/>
          <w:rtl/>
        </w:rPr>
      </w:pPr>
      <w:r>
        <w:rPr>
          <w:rtl/>
        </w:rPr>
        <w:t>ביאור הרשב"א בר"ח דכיון דבחוץ אין האבר כילוד לכן יש צד בגמ' דכשחזר אינו מצטרף לרוב</w:t>
      </w:r>
    </w:p>
    <w:p w14:paraId="7C40A120" w14:textId="77777777" w:rsidR="003D504D" w:rsidRDefault="003D504D" w:rsidP="005077A7">
      <w:pPr>
        <w:pStyle w:val="a"/>
        <w:rPr>
          <w:rFonts w:eastAsiaTheme="minorEastAsia" w:cstheme="minorBidi"/>
          <w:sz w:val="22"/>
          <w:szCs w:val="22"/>
          <w:rtl/>
        </w:rPr>
      </w:pPr>
      <w:r>
        <w:rPr>
          <w:rtl/>
        </w:rPr>
        <w:t>דברי הראש יוסף דלריו"ח האבר שחזר אסור מגזיה"כ אך מהני החזרה להתיר את הנשאר בפנים</w:t>
      </w:r>
    </w:p>
    <w:p w14:paraId="56725258" w14:textId="77777777" w:rsidR="003D504D" w:rsidRDefault="003D504D" w:rsidP="005077A7">
      <w:pPr>
        <w:pStyle w:val="a"/>
        <w:rPr>
          <w:rFonts w:eastAsiaTheme="minorEastAsia" w:cstheme="minorBidi"/>
          <w:sz w:val="22"/>
          <w:szCs w:val="22"/>
          <w:rtl/>
        </w:rPr>
      </w:pPr>
      <w:r>
        <w:rPr>
          <w:rtl/>
        </w:rPr>
        <w:t>דברי הצל"ח דרש"י לא פירש כרי"ף כיון דלהרי"ף פשיטא דביצאו וחזרו מצטרפין לרוב</w:t>
      </w:r>
    </w:p>
    <w:p w14:paraId="7ACDCE69" w14:textId="77777777" w:rsidR="003D504D" w:rsidRDefault="003D504D" w:rsidP="003D504D">
      <w:pPr>
        <w:pStyle w:val="2"/>
        <w:rPr>
          <w:rFonts w:eastAsiaTheme="minorEastAsia" w:cstheme="minorBidi"/>
          <w:i/>
          <w:iCs/>
          <w:noProof/>
          <w:sz w:val="22"/>
          <w:szCs w:val="22"/>
          <w:rtl/>
        </w:rPr>
      </w:pPr>
      <w:bookmarkStart w:id="16552" w:name="_Toc19436041"/>
      <w:r>
        <w:rPr>
          <w:noProof/>
          <w:rtl/>
        </w:rPr>
        <w:t>בספק בהוציא אברים וחתכם והשלים לרוב</w:t>
      </w:r>
      <w:bookmarkEnd w:id="16552"/>
    </w:p>
    <w:p w14:paraId="4474872F" w14:textId="77777777" w:rsidR="003D504D" w:rsidRDefault="003D504D" w:rsidP="003D504D">
      <w:pPr>
        <w:pStyle w:val="aff4"/>
        <w:rPr>
          <w:rFonts w:eastAsiaTheme="minorEastAsia" w:cstheme="minorBidi"/>
          <w:i/>
          <w:iCs/>
          <w:noProof/>
          <w:sz w:val="22"/>
          <w:szCs w:val="22"/>
          <w:rtl/>
        </w:rPr>
      </w:pPr>
      <w:bookmarkStart w:id="16553" w:name="_Toc19436042"/>
      <w:bookmarkStart w:id="16554" w:name="_Toc20081244"/>
      <w:r>
        <w:rPr>
          <w:noProof/>
          <w:rtl/>
        </w:rPr>
        <w:t>ביאור רש"י בספק הוציא אברים וחתכם והשלים לרוב</w:t>
      </w:r>
      <w:bookmarkEnd w:id="16553"/>
      <w:bookmarkEnd w:id="16554"/>
    </w:p>
    <w:p w14:paraId="4572E56C" w14:textId="77777777" w:rsidR="003D504D" w:rsidRDefault="003D504D" w:rsidP="005077A7">
      <w:pPr>
        <w:pStyle w:val="a"/>
        <w:rPr>
          <w:rFonts w:eastAsiaTheme="minorEastAsia" w:cstheme="minorBidi"/>
          <w:sz w:val="22"/>
          <w:szCs w:val="22"/>
          <w:rtl/>
        </w:rPr>
      </w:pPr>
      <w:r>
        <w:rPr>
          <w:rtl/>
        </w:rPr>
        <w:t>דברי רש"י דהספק הוא אף לרב דכיון שחתך את האברים שיצאו אין רוב אברים שיצאו בבת אחת</w:t>
      </w:r>
    </w:p>
    <w:p w14:paraId="63D847C9" w14:textId="77777777" w:rsidR="003D504D" w:rsidRDefault="003D504D" w:rsidP="003D504D">
      <w:pPr>
        <w:pStyle w:val="aff4"/>
        <w:rPr>
          <w:rFonts w:eastAsiaTheme="minorEastAsia" w:cstheme="minorBidi"/>
          <w:i/>
          <w:iCs/>
          <w:noProof/>
          <w:sz w:val="22"/>
          <w:szCs w:val="22"/>
          <w:rtl/>
        </w:rPr>
      </w:pPr>
      <w:bookmarkStart w:id="16555" w:name="_Toc19436043"/>
      <w:bookmarkStart w:id="16556" w:name="_Toc20081245"/>
      <w:r>
        <w:rPr>
          <w:noProof/>
          <w:rtl/>
        </w:rPr>
        <w:t>ביאור הגרעק"א ברש"י בספיקות אי האברים מצטרפין לרוב</w:t>
      </w:r>
      <w:bookmarkEnd w:id="16555"/>
      <w:bookmarkEnd w:id="16556"/>
    </w:p>
    <w:p w14:paraId="7B46C4E7" w14:textId="77777777" w:rsidR="003D504D" w:rsidRDefault="003D504D" w:rsidP="005077A7">
      <w:pPr>
        <w:pStyle w:val="a"/>
        <w:rPr>
          <w:rFonts w:eastAsiaTheme="minorEastAsia" w:cstheme="minorBidi"/>
          <w:sz w:val="22"/>
          <w:szCs w:val="22"/>
          <w:rtl/>
        </w:rPr>
      </w:pPr>
      <w:r>
        <w:rPr>
          <w:rtl/>
        </w:rPr>
        <w:t>קושית הגרעק"א דלרב דפשיטא בספק הראשון דמשלימים לרוב א"כ כ"ש דמשלימים בספק השני</w:t>
      </w:r>
    </w:p>
    <w:p w14:paraId="64FCDEC8" w14:textId="77777777" w:rsidR="003D504D" w:rsidRDefault="003D504D" w:rsidP="005077A7">
      <w:pPr>
        <w:pStyle w:val="a"/>
        <w:rPr>
          <w:rFonts w:eastAsiaTheme="minorEastAsia" w:cstheme="minorBidi"/>
          <w:sz w:val="22"/>
          <w:szCs w:val="22"/>
        </w:rPr>
      </w:pPr>
      <w:r>
        <w:rPr>
          <w:rtl/>
        </w:rPr>
        <w:t>ביאור הגרעק"א דלריו"ח הצד דמשלימים הוא דאף שחזרו ובטלה יציאתם מ"מ א"צ רוב בבת אחת</w:t>
      </w:r>
    </w:p>
    <w:p w14:paraId="53FB8B14" w14:textId="77777777" w:rsidR="003D504D" w:rsidRDefault="003D504D" w:rsidP="005077A7">
      <w:pPr>
        <w:pStyle w:val="a"/>
        <w:rPr>
          <w:rFonts w:eastAsiaTheme="minorEastAsia" w:cstheme="minorBidi"/>
          <w:sz w:val="22"/>
          <w:szCs w:val="22"/>
          <w:rtl/>
        </w:rPr>
      </w:pPr>
      <w:r>
        <w:rPr>
          <w:rtl/>
        </w:rPr>
        <w:t>דברי הגרעק"א דהא דהספק השני הוא להצד דמהני חזרה היינו לדעת ריו"ח דא"צ רוב בב"א</w:t>
      </w:r>
    </w:p>
    <w:p w14:paraId="741351BC" w14:textId="77777777" w:rsidR="003D504D" w:rsidRDefault="003D504D" w:rsidP="005077A7">
      <w:pPr>
        <w:pStyle w:val="a"/>
        <w:rPr>
          <w:rFonts w:eastAsiaTheme="minorEastAsia" w:cstheme="minorBidi"/>
          <w:sz w:val="22"/>
          <w:szCs w:val="22"/>
          <w:rtl/>
        </w:rPr>
      </w:pPr>
      <w:r>
        <w:rPr>
          <w:rtl/>
        </w:rPr>
        <w:t>דברי הגרעק"א דלרב כיון דהחזרה אינה מבטלת את יציאת האברים א"כ חשיב שיש רוב בבת אחת</w:t>
      </w:r>
    </w:p>
    <w:p w14:paraId="2433807A" w14:textId="77777777" w:rsidR="003D504D" w:rsidRDefault="003D504D" w:rsidP="005077A7">
      <w:pPr>
        <w:pStyle w:val="a"/>
        <w:rPr>
          <w:rFonts w:eastAsiaTheme="minorEastAsia" w:cstheme="minorBidi"/>
          <w:sz w:val="22"/>
          <w:szCs w:val="22"/>
          <w:rtl/>
        </w:rPr>
      </w:pPr>
      <w:r>
        <w:rPr>
          <w:rtl/>
        </w:rPr>
        <w:t>דברי הגרעק"א דלרב  הספק השני הוא אי צריך רוב בב"א אף להצד דלא מהני חזרה בספק הראשון</w:t>
      </w:r>
    </w:p>
    <w:p w14:paraId="66D48071" w14:textId="77777777" w:rsidR="003D504D" w:rsidRDefault="003D504D" w:rsidP="005077A7">
      <w:pPr>
        <w:pStyle w:val="a"/>
        <w:rPr>
          <w:rFonts w:eastAsiaTheme="minorEastAsia" w:cstheme="minorBidi"/>
          <w:sz w:val="22"/>
          <w:szCs w:val="22"/>
          <w:rtl/>
        </w:rPr>
      </w:pPr>
      <w:r>
        <w:rPr>
          <w:rtl/>
        </w:rPr>
        <w:t>קושית הגרעק"א דהספק הוא רק לדעת רב דהאבר אינו ילוד ואינו מצטרף לרוב להחשיבו כילוד</w:t>
      </w:r>
    </w:p>
    <w:p w14:paraId="01504AC4" w14:textId="77777777" w:rsidR="003D504D" w:rsidRDefault="003D504D" w:rsidP="005077A7">
      <w:pPr>
        <w:pStyle w:val="a"/>
        <w:rPr>
          <w:rFonts w:eastAsiaTheme="minorEastAsia" w:cstheme="minorBidi"/>
          <w:sz w:val="22"/>
          <w:szCs w:val="22"/>
          <w:rtl/>
        </w:rPr>
      </w:pPr>
      <w:r>
        <w:rPr>
          <w:rtl/>
        </w:rPr>
        <w:t>תירוץ הגרעק"א דראיית הגמ' מהמשנה מוכח דהספק השני הוא בין לרב ובין לריו"ח</w:t>
      </w:r>
    </w:p>
    <w:p w14:paraId="00510145" w14:textId="77777777" w:rsidR="003D504D" w:rsidRDefault="003D504D" w:rsidP="005077A7">
      <w:pPr>
        <w:pStyle w:val="a"/>
        <w:rPr>
          <w:rFonts w:eastAsiaTheme="minorEastAsia" w:cstheme="minorBidi"/>
          <w:sz w:val="22"/>
          <w:szCs w:val="22"/>
          <w:rtl/>
        </w:rPr>
      </w:pPr>
      <w:r>
        <w:rPr>
          <w:rtl/>
        </w:rPr>
        <w:t>קושית הגרעק"א דמה הראיה ממתני' הא אפש"ל דמתני' באה לרבות רק את הספק הראשון</w:t>
      </w:r>
    </w:p>
    <w:p w14:paraId="3EAA7328" w14:textId="77777777" w:rsidR="003D504D" w:rsidRDefault="003D504D" w:rsidP="005077A7">
      <w:pPr>
        <w:pStyle w:val="a"/>
        <w:rPr>
          <w:rFonts w:eastAsiaTheme="minorEastAsia" w:cstheme="minorBidi"/>
          <w:sz w:val="22"/>
          <w:szCs w:val="22"/>
          <w:rtl/>
        </w:rPr>
      </w:pPr>
      <w:r>
        <w:rPr>
          <w:rtl/>
        </w:rPr>
        <w:t>דברי הגרעק"א דלרב מוכח ממתני' דא"צ רוב בב"א והמיעוט מותר ולא מצינו דפליג ריו"ח בזה</w:t>
      </w:r>
    </w:p>
    <w:p w14:paraId="2C10A8A0" w14:textId="77777777" w:rsidR="003D504D" w:rsidRDefault="003D504D" w:rsidP="003D504D">
      <w:pPr>
        <w:pStyle w:val="aff4"/>
        <w:rPr>
          <w:rFonts w:eastAsiaTheme="minorEastAsia" w:cstheme="minorBidi"/>
          <w:i/>
          <w:iCs/>
          <w:noProof/>
          <w:sz w:val="22"/>
          <w:szCs w:val="22"/>
          <w:rtl/>
        </w:rPr>
      </w:pPr>
      <w:bookmarkStart w:id="16557" w:name="_Toc19436044"/>
      <w:bookmarkStart w:id="16558" w:name="_Toc20081246"/>
      <w:r>
        <w:rPr>
          <w:noProof/>
          <w:rtl/>
        </w:rPr>
        <w:t>פלוגתת התבו"ש וה</w:t>
      </w:r>
      <w:r w:rsidR="00345400">
        <w:rPr>
          <w:noProof/>
          <w:rtl/>
        </w:rPr>
        <w:t>פלתי</w:t>
      </w:r>
      <w:r>
        <w:rPr>
          <w:noProof/>
          <w:rtl/>
        </w:rPr>
        <w:t xml:space="preserve"> עם הפרי תואר ביצא רובו מחותך</w:t>
      </w:r>
      <w:bookmarkEnd w:id="16557"/>
      <w:bookmarkEnd w:id="16558"/>
    </w:p>
    <w:p w14:paraId="1621BD19" w14:textId="77777777" w:rsidR="003D504D" w:rsidRDefault="003D504D" w:rsidP="005077A7">
      <w:pPr>
        <w:pStyle w:val="a"/>
        <w:rPr>
          <w:rFonts w:eastAsiaTheme="minorEastAsia" w:cstheme="minorBidi"/>
          <w:sz w:val="22"/>
          <w:szCs w:val="22"/>
          <w:rtl/>
        </w:rPr>
      </w:pPr>
      <w:r>
        <w:rPr>
          <w:rtl/>
        </w:rPr>
        <w:t>דברי הפרי תואר דבחותך מעובר החתיכה שבתוכה מותרת אף אם נולד העובר לפני השחיטה</w:t>
      </w:r>
    </w:p>
    <w:p w14:paraId="276019B0" w14:textId="77777777" w:rsidR="003D504D" w:rsidRDefault="003D504D" w:rsidP="005077A7">
      <w:pPr>
        <w:pStyle w:val="a"/>
        <w:rPr>
          <w:rFonts w:eastAsiaTheme="minorEastAsia" w:cstheme="minorBidi"/>
          <w:sz w:val="22"/>
          <w:szCs w:val="22"/>
          <w:rtl/>
        </w:rPr>
      </w:pPr>
      <w:r>
        <w:rPr>
          <w:rtl/>
        </w:rPr>
        <w:t>דברי ה</w:t>
      </w:r>
      <w:r w:rsidR="00345400">
        <w:rPr>
          <w:rtl/>
        </w:rPr>
        <w:t>פלתי</w:t>
      </w:r>
      <w:r>
        <w:rPr>
          <w:rtl/>
        </w:rPr>
        <w:t xml:space="preserve"> דבחתכו במעי אמו והוציא את רוב האברים אינו כילוד והמיעוט שבפנים מותר</w:t>
      </w:r>
    </w:p>
    <w:p w14:paraId="2CC631DB" w14:textId="77777777" w:rsidR="003D504D" w:rsidRDefault="003D504D" w:rsidP="005077A7">
      <w:pPr>
        <w:pStyle w:val="a"/>
        <w:rPr>
          <w:rFonts w:eastAsiaTheme="minorEastAsia" w:cstheme="minorBidi"/>
          <w:sz w:val="22"/>
          <w:szCs w:val="22"/>
          <w:rtl/>
        </w:rPr>
      </w:pPr>
      <w:r>
        <w:rPr>
          <w:rtl/>
        </w:rPr>
        <w:t>דברי התבו"ש דמשמע מספק הגמ' דביצא מחותך אין האברים מצטרפים לרוב</w:t>
      </w:r>
    </w:p>
    <w:p w14:paraId="4A736BE2" w14:textId="77777777" w:rsidR="003D504D" w:rsidRDefault="003D504D" w:rsidP="005077A7">
      <w:pPr>
        <w:pStyle w:val="a"/>
        <w:rPr>
          <w:rFonts w:eastAsiaTheme="minorEastAsia" w:cstheme="minorBidi"/>
          <w:sz w:val="22"/>
          <w:szCs w:val="22"/>
          <w:rtl/>
        </w:rPr>
      </w:pPr>
      <w:r>
        <w:rPr>
          <w:rtl/>
        </w:rPr>
        <w:t>ביאור התבו"ש דחשיב רוב בבת אחת רק כשהעובר מחובר ולא כשהוא מחותך בשעת לידת הרוב</w:t>
      </w:r>
    </w:p>
    <w:p w14:paraId="48FEA853" w14:textId="77777777" w:rsidR="003D504D" w:rsidRDefault="003D504D" w:rsidP="005077A7">
      <w:pPr>
        <w:pStyle w:val="a"/>
        <w:rPr>
          <w:rFonts w:eastAsiaTheme="minorEastAsia" w:cstheme="minorBidi"/>
          <w:sz w:val="22"/>
          <w:szCs w:val="22"/>
          <w:rtl/>
        </w:rPr>
      </w:pPr>
      <w:r>
        <w:rPr>
          <w:rtl/>
        </w:rPr>
        <w:t>דברי התבו"ש דא"כ בחותך מעובר החתיכה שבתוכה מותרת אף ביצא ראשו או רובו מחובר</w:t>
      </w:r>
    </w:p>
    <w:p w14:paraId="6C8C4F37" w14:textId="77777777" w:rsidR="003D504D" w:rsidRDefault="003D504D" w:rsidP="005077A7">
      <w:pPr>
        <w:pStyle w:val="a"/>
        <w:rPr>
          <w:rFonts w:eastAsiaTheme="minorEastAsia" w:cstheme="minorBidi"/>
          <w:sz w:val="22"/>
          <w:szCs w:val="22"/>
          <w:rtl/>
        </w:rPr>
      </w:pPr>
      <w:r>
        <w:rPr>
          <w:rtl/>
        </w:rPr>
        <w:t>דחיית התבו"ש דבתוס' מוכח דאף ביצא רובו מחותך נאסר המיעוט שבפנים</w:t>
      </w:r>
    </w:p>
    <w:p w14:paraId="5DC7F3BB" w14:textId="77777777" w:rsidR="003D504D" w:rsidRDefault="003D504D" w:rsidP="005077A7">
      <w:pPr>
        <w:pStyle w:val="a"/>
        <w:rPr>
          <w:rFonts w:eastAsiaTheme="minorEastAsia" w:cstheme="minorBidi"/>
          <w:sz w:val="22"/>
          <w:szCs w:val="22"/>
          <w:rtl/>
        </w:rPr>
      </w:pPr>
      <w:r>
        <w:rPr>
          <w:rtl/>
        </w:rPr>
        <w:t>דברי התבו"ש דמבואר ברש"י דספק הגמ' לאסור את המיעוט שבפנים הוא אף ביצא רובו מחותך</w:t>
      </w:r>
    </w:p>
    <w:p w14:paraId="5ADE256C" w14:textId="77777777" w:rsidR="003D504D" w:rsidRDefault="003D504D" w:rsidP="005077A7">
      <w:pPr>
        <w:pStyle w:val="a"/>
        <w:rPr>
          <w:rFonts w:eastAsiaTheme="minorEastAsia" w:cstheme="minorBidi"/>
          <w:sz w:val="22"/>
          <w:szCs w:val="22"/>
          <w:rtl/>
        </w:rPr>
      </w:pPr>
      <w:r>
        <w:rPr>
          <w:rtl/>
        </w:rPr>
        <w:t>מסקנת התבו"ש וה</w:t>
      </w:r>
      <w:r w:rsidR="00345400">
        <w:rPr>
          <w:rtl/>
        </w:rPr>
        <w:t>פלתי</w:t>
      </w:r>
      <w:r>
        <w:rPr>
          <w:rtl/>
        </w:rPr>
        <w:t xml:space="preserve"> דביצא רובו מחותך וכן בחותך מעובר ונולד אח"כ דהמיעוט שבפנים נאסר</w:t>
      </w:r>
    </w:p>
    <w:p w14:paraId="174E8DEF" w14:textId="77777777" w:rsidR="003D504D" w:rsidRDefault="003D504D" w:rsidP="003D504D">
      <w:pPr>
        <w:pStyle w:val="2"/>
        <w:rPr>
          <w:rFonts w:eastAsiaTheme="minorEastAsia" w:cstheme="minorBidi"/>
          <w:i/>
          <w:iCs/>
          <w:noProof/>
          <w:sz w:val="22"/>
          <w:szCs w:val="22"/>
          <w:rtl/>
        </w:rPr>
      </w:pPr>
      <w:bookmarkStart w:id="16559" w:name="_Toc19436045"/>
      <w:r>
        <w:rPr>
          <w:noProof/>
          <w:rtl/>
        </w:rPr>
        <w:t>בספק אי הלכו באברים אחר הרוב</w:t>
      </w:r>
      <w:bookmarkEnd w:id="16559"/>
    </w:p>
    <w:p w14:paraId="3BA7BA4E" w14:textId="77777777" w:rsidR="003D504D" w:rsidRDefault="003D504D" w:rsidP="003D504D">
      <w:pPr>
        <w:pStyle w:val="aff4"/>
        <w:rPr>
          <w:rFonts w:eastAsiaTheme="minorEastAsia" w:cstheme="minorBidi"/>
          <w:i/>
          <w:iCs/>
          <w:noProof/>
          <w:sz w:val="22"/>
          <w:szCs w:val="22"/>
          <w:rtl/>
        </w:rPr>
      </w:pPr>
      <w:bookmarkStart w:id="16560" w:name="_Toc19436046"/>
      <w:bookmarkStart w:id="16561" w:name="_Toc20081247"/>
      <w:r>
        <w:rPr>
          <w:noProof/>
          <w:rtl/>
        </w:rPr>
        <w:t>פלוגתת הבעה"מ והרמב"ן אי הספק הוא אף לרב</w:t>
      </w:r>
      <w:bookmarkEnd w:id="16560"/>
      <w:bookmarkEnd w:id="16561"/>
    </w:p>
    <w:p w14:paraId="2CA309D2" w14:textId="77777777" w:rsidR="003D504D" w:rsidRDefault="003D504D" w:rsidP="005077A7">
      <w:pPr>
        <w:pStyle w:val="a"/>
        <w:rPr>
          <w:rFonts w:eastAsiaTheme="minorEastAsia" w:cstheme="minorBidi"/>
          <w:sz w:val="22"/>
          <w:szCs w:val="22"/>
          <w:rtl/>
        </w:rPr>
      </w:pPr>
      <w:r>
        <w:rPr>
          <w:rtl/>
        </w:rPr>
        <w:t>דברי הבעה"מ דלרב פשיטא דהמיעוט שבפנים נגרר אחר רוב האבר שבחוץ</w:t>
      </w:r>
    </w:p>
    <w:p w14:paraId="05BC7BB5" w14:textId="77777777" w:rsidR="003D504D" w:rsidRDefault="003D504D" w:rsidP="005077A7">
      <w:pPr>
        <w:pStyle w:val="a"/>
        <w:rPr>
          <w:rFonts w:eastAsiaTheme="minorEastAsia" w:cstheme="minorBidi"/>
          <w:sz w:val="22"/>
          <w:szCs w:val="22"/>
          <w:rtl/>
        </w:rPr>
      </w:pPr>
      <w:r>
        <w:rPr>
          <w:rtl/>
        </w:rPr>
        <w:t>ביאור הרמב"ן דביצא רובו במיעוט אבר אף לרב אין המיעוט נגרר לפנים דרוב האבר עומד לצאת</w:t>
      </w:r>
    </w:p>
    <w:p w14:paraId="2AE28DFF" w14:textId="77777777" w:rsidR="003D504D" w:rsidRDefault="003D504D" w:rsidP="005077A7">
      <w:pPr>
        <w:pStyle w:val="a"/>
        <w:rPr>
          <w:rFonts w:eastAsiaTheme="minorEastAsia" w:cstheme="minorBidi"/>
          <w:sz w:val="22"/>
          <w:szCs w:val="22"/>
          <w:rtl/>
        </w:rPr>
      </w:pPr>
      <w:r>
        <w:rPr>
          <w:rtl/>
        </w:rPr>
        <w:t>ביאור הרמב"ן דביצא רובו במיעוט אבר אף לריו"ח אפש"ל דכיון שרובו בחוץ המיעוט נגרר לחוץ</w:t>
      </w:r>
    </w:p>
    <w:p w14:paraId="506E2ECD" w14:textId="77777777" w:rsidR="003D504D" w:rsidRDefault="003D504D" w:rsidP="005077A7">
      <w:pPr>
        <w:pStyle w:val="a"/>
        <w:rPr>
          <w:rFonts w:eastAsiaTheme="minorEastAsia" w:cstheme="minorBidi"/>
          <w:sz w:val="22"/>
          <w:szCs w:val="22"/>
          <w:rtl/>
        </w:rPr>
      </w:pPr>
      <w:r>
        <w:rPr>
          <w:rtl/>
        </w:rPr>
        <w:t>ביאור הרמב"ן דלחיית הגמ' לקמן ביצא רובו במיעוט אבר כיון שיצא רובו לכו"ע חשיב כילוד</w:t>
      </w:r>
    </w:p>
    <w:p w14:paraId="2E064D09" w14:textId="77777777" w:rsidR="003D504D" w:rsidRDefault="003D504D" w:rsidP="005077A7">
      <w:pPr>
        <w:pStyle w:val="a"/>
        <w:rPr>
          <w:rFonts w:eastAsiaTheme="minorEastAsia" w:cstheme="minorBidi"/>
          <w:sz w:val="22"/>
          <w:szCs w:val="22"/>
          <w:rtl/>
        </w:rPr>
      </w:pPr>
      <w:r>
        <w:rPr>
          <w:rtl/>
        </w:rPr>
        <w:t>ביאור הרמב"ן דביצא חציו ברוב אבר הספק הוא אף לריו"ח אי מודה דבחציו בחוץ יש לידה לאברים</w:t>
      </w:r>
    </w:p>
    <w:p w14:paraId="42C60E96" w14:textId="77777777" w:rsidR="003D504D" w:rsidRDefault="003D504D" w:rsidP="005077A7">
      <w:pPr>
        <w:pStyle w:val="a"/>
        <w:rPr>
          <w:rFonts w:eastAsiaTheme="minorEastAsia" w:cstheme="minorBidi"/>
          <w:sz w:val="22"/>
          <w:szCs w:val="22"/>
          <w:rtl/>
        </w:rPr>
      </w:pPr>
      <w:r>
        <w:rPr>
          <w:rtl/>
        </w:rPr>
        <w:t>ביאור הרמב"ן דהספק אי מודה רב דהאבר דלענין להחשיבו כילוד אין לידה לאברים</w:t>
      </w:r>
    </w:p>
    <w:p w14:paraId="432A72CC" w14:textId="77777777" w:rsidR="003D504D" w:rsidRDefault="003D504D" w:rsidP="005077A7">
      <w:pPr>
        <w:pStyle w:val="a"/>
        <w:rPr>
          <w:rFonts w:eastAsiaTheme="minorEastAsia" w:cstheme="minorBidi"/>
          <w:sz w:val="22"/>
          <w:szCs w:val="22"/>
          <w:rtl/>
        </w:rPr>
      </w:pPr>
      <w:r>
        <w:rPr>
          <w:rtl/>
        </w:rPr>
        <w:t>ביאור הרשב"א והר"ן דמהספק לענין בכור נ"מ לענין היתר אכילה בבן פקועה אי חשיב כילוד</w:t>
      </w:r>
    </w:p>
    <w:p w14:paraId="4E82E1F0" w14:textId="77777777" w:rsidR="003D504D" w:rsidRDefault="003D504D" w:rsidP="005077A7">
      <w:pPr>
        <w:pStyle w:val="a"/>
        <w:rPr>
          <w:rFonts w:eastAsiaTheme="minorEastAsia" w:cstheme="minorBidi"/>
          <w:sz w:val="22"/>
          <w:szCs w:val="22"/>
          <w:rtl/>
        </w:rPr>
      </w:pPr>
      <w:r>
        <w:rPr>
          <w:rtl/>
        </w:rPr>
        <w:t>דברי היש"ש דלא שייך לומר לידה לאברים לענין רוב עובר ולא קיי"ל כריו"ח</w:t>
      </w:r>
    </w:p>
    <w:p w14:paraId="0E228843" w14:textId="77777777" w:rsidR="003D504D" w:rsidRDefault="003D504D" w:rsidP="003D504D">
      <w:pPr>
        <w:pStyle w:val="2"/>
        <w:rPr>
          <w:rFonts w:eastAsiaTheme="minorEastAsia" w:cstheme="minorBidi"/>
          <w:i/>
          <w:iCs/>
          <w:noProof/>
          <w:sz w:val="22"/>
          <w:szCs w:val="22"/>
          <w:rtl/>
        </w:rPr>
      </w:pPr>
      <w:bookmarkStart w:id="16562" w:name="_Toc19436047"/>
      <w:r>
        <w:rPr>
          <w:noProof/>
          <w:rtl/>
        </w:rPr>
        <w:t>בספק בהוציא אבר בעזרה</w:t>
      </w:r>
      <w:bookmarkEnd w:id="16562"/>
    </w:p>
    <w:p w14:paraId="5DD21E2C" w14:textId="77777777" w:rsidR="003D504D" w:rsidRDefault="003D504D" w:rsidP="003D504D">
      <w:pPr>
        <w:pStyle w:val="aff4"/>
        <w:rPr>
          <w:rFonts w:eastAsiaTheme="minorEastAsia" w:cstheme="minorBidi"/>
          <w:i/>
          <w:iCs/>
          <w:noProof/>
          <w:sz w:val="22"/>
          <w:szCs w:val="22"/>
          <w:rtl/>
        </w:rPr>
      </w:pPr>
      <w:bookmarkStart w:id="16563" w:name="_Toc19436048"/>
      <w:bookmarkStart w:id="16564" w:name="_Toc20081248"/>
      <w:r>
        <w:rPr>
          <w:noProof/>
          <w:rtl/>
        </w:rPr>
        <w:t>ביאורי האחרונים בדברי רש"י בספק בחומת העזרה</w:t>
      </w:r>
      <w:bookmarkEnd w:id="16563"/>
      <w:bookmarkEnd w:id="16564"/>
    </w:p>
    <w:p w14:paraId="60DC61CA" w14:textId="77777777" w:rsidR="003D504D" w:rsidRDefault="003D504D" w:rsidP="005077A7">
      <w:pPr>
        <w:pStyle w:val="a"/>
        <w:rPr>
          <w:rFonts w:eastAsiaTheme="minorEastAsia" w:cstheme="minorBidi"/>
          <w:sz w:val="22"/>
          <w:szCs w:val="22"/>
          <w:rtl/>
        </w:rPr>
      </w:pPr>
      <w:r>
        <w:rPr>
          <w:rtl/>
        </w:rPr>
        <w:t>קושית הראש יוסף ברש"י אמאי לא ביאר אי הספק לריו"ח ואי איירי שהחזיר את האבר</w:t>
      </w:r>
    </w:p>
    <w:p w14:paraId="01A05A21" w14:textId="77777777" w:rsidR="003D504D" w:rsidRDefault="003D504D" w:rsidP="005077A7">
      <w:pPr>
        <w:pStyle w:val="a"/>
        <w:rPr>
          <w:rFonts w:eastAsiaTheme="minorEastAsia" w:cstheme="minorBidi"/>
          <w:sz w:val="22"/>
          <w:szCs w:val="22"/>
          <w:rtl/>
        </w:rPr>
      </w:pPr>
      <w:r>
        <w:rPr>
          <w:rtl/>
        </w:rPr>
        <w:t>דברי הראש יוסף דהספק הראשון הוא אף לרב ובלא החזיר האם הוא בכלל היתר בהמה בבהמה</w:t>
      </w:r>
    </w:p>
    <w:p w14:paraId="7FAE4BFF" w14:textId="77777777" w:rsidR="003D504D" w:rsidRDefault="003D504D" w:rsidP="005077A7">
      <w:pPr>
        <w:pStyle w:val="a"/>
        <w:rPr>
          <w:rFonts w:eastAsiaTheme="minorEastAsia" w:cstheme="minorBidi"/>
          <w:sz w:val="22"/>
          <w:szCs w:val="22"/>
          <w:rtl/>
        </w:rPr>
      </w:pPr>
      <w:r>
        <w:rPr>
          <w:rtl/>
        </w:rPr>
        <w:t>דברי המלא הרועים דא"א לומר ברש"י דהספק אי הוא בכלל היתר בהמה בבהמה כיון שיצא לחוץ</w:t>
      </w:r>
    </w:p>
    <w:p w14:paraId="5CA675B0" w14:textId="77777777" w:rsidR="003D504D" w:rsidRDefault="003D504D" w:rsidP="005077A7">
      <w:pPr>
        <w:pStyle w:val="a"/>
        <w:rPr>
          <w:rFonts w:eastAsiaTheme="minorEastAsia" w:cstheme="minorBidi"/>
          <w:sz w:val="22"/>
          <w:szCs w:val="22"/>
          <w:rtl/>
        </w:rPr>
      </w:pPr>
      <w:r>
        <w:rPr>
          <w:rtl/>
        </w:rPr>
        <w:t>ביאור המהדו"ב דאף הספק הראשון הוא בהחזיר את האבר דבלא החזיר פשיטא דאסור</w:t>
      </w:r>
    </w:p>
    <w:p w14:paraId="78FDD6A6" w14:textId="77777777" w:rsidR="003D504D" w:rsidRDefault="003D504D" w:rsidP="003D504D">
      <w:pPr>
        <w:pStyle w:val="2"/>
        <w:rPr>
          <w:rFonts w:eastAsiaTheme="minorEastAsia" w:cstheme="minorBidi"/>
          <w:i/>
          <w:iCs/>
          <w:noProof/>
          <w:sz w:val="22"/>
          <w:szCs w:val="22"/>
          <w:rtl/>
        </w:rPr>
      </w:pPr>
      <w:bookmarkStart w:id="16565" w:name="_Toc19436049"/>
      <w:r>
        <w:rPr>
          <w:noProof/>
          <w:rtl/>
        </w:rPr>
        <w:t>בספק בהוציא אבר בתוך חומת ירושלים</w:t>
      </w:r>
      <w:bookmarkEnd w:id="16565"/>
    </w:p>
    <w:p w14:paraId="3D2085DB" w14:textId="77777777" w:rsidR="003D504D" w:rsidRDefault="003D504D" w:rsidP="003D504D">
      <w:pPr>
        <w:pStyle w:val="aff4"/>
        <w:rPr>
          <w:rFonts w:eastAsiaTheme="minorEastAsia" w:cstheme="minorBidi"/>
          <w:i/>
          <w:iCs/>
          <w:noProof/>
          <w:sz w:val="22"/>
          <w:szCs w:val="22"/>
          <w:rtl/>
        </w:rPr>
      </w:pPr>
      <w:bookmarkStart w:id="16566" w:name="_Toc19436050"/>
      <w:bookmarkStart w:id="16567" w:name="_Toc20081249"/>
      <w:r>
        <w:rPr>
          <w:noProof/>
          <w:rtl/>
        </w:rPr>
        <w:t>דברי רש"י והמאירי בספק בחומת ירושלים</w:t>
      </w:r>
      <w:bookmarkEnd w:id="16566"/>
      <w:bookmarkEnd w:id="16567"/>
    </w:p>
    <w:p w14:paraId="23BBFD99" w14:textId="77777777" w:rsidR="003D504D" w:rsidRDefault="003D504D" w:rsidP="005077A7">
      <w:pPr>
        <w:pStyle w:val="a"/>
        <w:rPr>
          <w:rFonts w:eastAsiaTheme="minorEastAsia" w:cstheme="minorBidi"/>
          <w:sz w:val="22"/>
          <w:szCs w:val="22"/>
          <w:rtl/>
        </w:rPr>
      </w:pPr>
      <w:r>
        <w:rPr>
          <w:rtl/>
        </w:rPr>
        <w:t>דברי רש"י דהחזיר את האבר לפני שנכנס לעזרה והספק אי מהני חומת ירושלים לאיסור יוצא</w:t>
      </w:r>
    </w:p>
    <w:p w14:paraId="7DFCA4A7" w14:textId="77777777" w:rsidR="003D504D" w:rsidRDefault="003D504D" w:rsidP="005077A7">
      <w:pPr>
        <w:pStyle w:val="a"/>
        <w:rPr>
          <w:rFonts w:eastAsiaTheme="minorEastAsia" w:cstheme="minorBidi"/>
          <w:sz w:val="22"/>
          <w:szCs w:val="22"/>
          <w:rtl/>
        </w:rPr>
      </w:pPr>
      <w:r>
        <w:rPr>
          <w:rtl/>
        </w:rPr>
        <w:t>דברי רש"י דאי שחט שלמים בירושלים פשיטא דלא מהני חומת ירושלים דאף האם אסורה</w:t>
      </w:r>
    </w:p>
    <w:p w14:paraId="6045A535" w14:textId="77777777" w:rsidR="003D504D" w:rsidRDefault="003D504D" w:rsidP="005077A7">
      <w:pPr>
        <w:pStyle w:val="a"/>
        <w:rPr>
          <w:rFonts w:eastAsiaTheme="minorEastAsia" w:cstheme="minorBidi"/>
          <w:sz w:val="22"/>
          <w:szCs w:val="22"/>
          <w:rtl/>
        </w:rPr>
      </w:pPr>
      <w:r>
        <w:rPr>
          <w:rtl/>
        </w:rPr>
        <w:t>ביאור המאירי דמחיצת העזרה שהיא מחיצת לגבי האם מהני לולד דהאם היא מחיצתו</w:t>
      </w:r>
    </w:p>
    <w:p w14:paraId="6ADFDCE9" w14:textId="77777777" w:rsidR="003D504D" w:rsidRDefault="003D504D" w:rsidP="005077A7">
      <w:pPr>
        <w:pStyle w:val="a"/>
        <w:rPr>
          <w:rFonts w:eastAsiaTheme="minorEastAsia" w:cstheme="minorBidi"/>
          <w:sz w:val="22"/>
          <w:szCs w:val="22"/>
          <w:rtl/>
        </w:rPr>
      </w:pPr>
      <w:r>
        <w:rPr>
          <w:rtl/>
        </w:rPr>
        <w:t>ביאור הצל"ח דמחיצת העזרה מהני לעובר עצמו למ"ד דקדוש במעי אמו</w:t>
      </w:r>
    </w:p>
    <w:p w14:paraId="292ABDBF" w14:textId="77777777" w:rsidR="003D504D" w:rsidRDefault="003D504D" w:rsidP="003D504D">
      <w:pPr>
        <w:pStyle w:val="aff4"/>
        <w:rPr>
          <w:rFonts w:eastAsiaTheme="minorEastAsia" w:cstheme="minorBidi"/>
          <w:i/>
          <w:iCs/>
          <w:noProof/>
          <w:sz w:val="22"/>
          <w:szCs w:val="22"/>
          <w:rtl/>
        </w:rPr>
      </w:pPr>
      <w:bookmarkStart w:id="16568" w:name="_Toc19436051"/>
      <w:bookmarkStart w:id="16569" w:name="_Toc20081250"/>
      <w:r>
        <w:rPr>
          <w:noProof/>
          <w:rtl/>
        </w:rPr>
        <w:t>ביאור המהרש"א דהכנסה לעזרה חשיב כאבר שחזר למחיצתו</w:t>
      </w:r>
      <w:bookmarkEnd w:id="16568"/>
      <w:bookmarkEnd w:id="16569"/>
    </w:p>
    <w:p w14:paraId="67BE1FD3" w14:textId="77777777" w:rsidR="003D504D" w:rsidRDefault="003D504D" w:rsidP="005077A7">
      <w:pPr>
        <w:pStyle w:val="a"/>
        <w:rPr>
          <w:rFonts w:eastAsiaTheme="minorEastAsia" w:cstheme="minorBidi"/>
          <w:sz w:val="22"/>
          <w:szCs w:val="22"/>
          <w:rtl/>
        </w:rPr>
      </w:pPr>
      <w:r>
        <w:rPr>
          <w:rtl/>
        </w:rPr>
        <w:t>דברי המהרש"א דהכנסה לעזרה כחזרת אבר ולריו"ח עדיין נשאר הספק הראשון</w:t>
      </w:r>
    </w:p>
    <w:p w14:paraId="03D7E0E2" w14:textId="77777777" w:rsidR="003D504D" w:rsidRDefault="003D504D" w:rsidP="005077A7">
      <w:pPr>
        <w:pStyle w:val="a"/>
        <w:rPr>
          <w:rFonts w:eastAsiaTheme="minorEastAsia" w:cstheme="minorBidi"/>
          <w:sz w:val="22"/>
          <w:szCs w:val="22"/>
          <w:rtl/>
        </w:rPr>
      </w:pPr>
      <w:r>
        <w:rPr>
          <w:rtl/>
        </w:rPr>
        <w:t>קושית המהרש"א דכיון דהכנסה לעזרה חשיבא כחזרה א"כ א"צ לפרש דאיירי דוקא בהחזיר</w:t>
      </w:r>
    </w:p>
    <w:p w14:paraId="0BDB01EA" w14:textId="77777777" w:rsidR="003D504D" w:rsidRDefault="003D504D" w:rsidP="005077A7">
      <w:pPr>
        <w:pStyle w:val="a"/>
        <w:rPr>
          <w:rFonts w:eastAsiaTheme="minorEastAsia" w:cstheme="minorBidi"/>
          <w:sz w:val="22"/>
          <w:szCs w:val="22"/>
          <w:rtl/>
        </w:rPr>
      </w:pPr>
      <w:r>
        <w:rPr>
          <w:rtl/>
        </w:rPr>
        <w:t>ביאור הראש יוסף דלריו"ח שייך להסתפק רק בחומת העזרה ואין כל ספק בחומת ירושלים</w:t>
      </w:r>
    </w:p>
    <w:p w14:paraId="6BE5303E" w14:textId="77777777" w:rsidR="003D504D" w:rsidRDefault="003D504D" w:rsidP="005077A7">
      <w:pPr>
        <w:pStyle w:val="a"/>
        <w:rPr>
          <w:rFonts w:eastAsiaTheme="minorEastAsia" w:cstheme="minorBidi"/>
          <w:sz w:val="22"/>
          <w:szCs w:val="22"/>
          <w:rtl/>
        </w:rPr>
      </w:pPr>
      <w:r>
        <w:rPr>
          <w:rtl/>
        </w:rPr>
        <w:t>ביאור הראש יוסף דלרב מבוארת קושית אביי דסגי בספק בחומת ירושלים וא"צ להסתפק בעזרה</w:t>
      </w:r>
    </w:p>
    <w:p w14:paraId="5278AA3E" w14:textId="77777777" w:rsidR="003D504D" w:rsidRDefault="003D504D" w:rsidP="003D504D">
      <w:pPr>
        <w:pStyle w:val="aff4"/>
        <w:rPr>
          <w:rFonts w:eastAsiaTheme="minorEastAsia" w:cstheme="minorBidi"/>
          <w:i/>
          <w:iCs/>
          <w:noProof/>
          <w:sz w:val="22"/>
          <w:szCs w:val="22"/>
          <w:rtl/>
        </w:rPr>
      </w:pPr>
      <w:bookmarkStart w:id="16570" w:name="_Toc19436052"/>
      <w:bookmarkStart w:id="16571" w:name="_Toc20081251"/>
      <w:r>
        <w:rPr>
          <w:noProof/>
          <w:rtl/>
        </w:rPr>
        <w:t>ביאור המהר"ם בב' הספיקות לדעת רש"י</w:t>
      </w:r>
      <w:bookmarkEnd w:id="16570"/>
      <w:bookmarkEnd w:id="16571"/>
    </w:p>
    <w:p w14:paraId="7A27DFC4" w14:textId="77777777" w:rsidR="003D504D" w:rsidRDefault="003D504D" w:rsidP="005077A7">
      <w:pPr>
        <w:pStyle w:val="a"/>
        <w:rPr>
          <w:rFonts w:eastAsiaTheme="minorEastAsia" w:cstheme="minorBidi"/>
          <w:sz w:val="22"/>
          <w:szCs w:val="22"/>
          <w:rtl/>
        </w:rPr>
      </w:pPr>
      <w:r>
        <w:rPr>
          <w:rtl/>
        </w:rPr>
        <w:t>קושית המהר"ם אמאי לא ביאר רש"י את הספק השני בלא החזירו ואף למ"ד דאין לידה לאברים</w:t>
      </w:r>
    </w:p>
    <w:p w14:paraId="66C05AD6" w14:textId="77777777" w:rsidR="003D504D" w:rsidRDefault="003D504D" w:rsidP="005077A7">
      <w:pPr>
        <w:pStyle w:val="a"/>
        <w:rPr>
          <w:rFonts w:eastAsiaTheme="minorEastAsia" w:cstheme="minorBidi"/>
          <w:sz w:val="22"/>
          <w:szCs w:val="22"/>
          <w:rtl/>
        </w:rPr>
      </w:pPr>
      <w:r>
        <w:rPr>
          <w:rtl/>
        </w:rPr>
        <w:t>דברי המהר"ם דחומת העזרה מהני אף להיתר בהמה בבהמה ולא רק לאיסור יוצא</w:t>
      </w:r>
    </w:p>
    <w:p w14:paraId="7C69AEA9" w14:textId="77777777" w:rsidR="003D504D" w:rsidRDefault="003D504D" w:rsidP="005077A7">
      <w:pPr>
        <w:pStyle w:val="a"/>
        <w:rPr>
          <w:rFonts w:eastAsiaTheme="minorEastAsia" w:cstheme="minorBidi"/>
          <w:sz w:val="22"/>
          <w:szCs w:val="22"/>
          <w:rtl/>
        </w:rPr>
      </w:pPr>
      <w:r>
        <w:rPr>
          <w:rtl/>
        </w:rPr>
        <w:t>דברי המהר"ם דחומת ירושלים מהני ליוצא ולא להיתר שחיטה ולכן הספק רק בהחזיר</w:t>
      </w:r>
    </w:p>
    <w:p w14:paraId="7D5E9150" w14:textId="77777777" w:rsidR="003D504D" w:rsidRDefault="003D504D" w:rsidP="005077A7">
      <w:pPr>
        <w:pStyle w:val="a"/>
        <w:rPr>
          <w:rFonts w:eastAsiaTheme="minorEastAsia" w:cstheme="minorBidi"/>
          <w:sz w:val="22"/>
          <w:szCs w:val="22"/>
          <w:rtl/>
        </w:rPr>
      </w:pPr>
      <w:r>
        <w:rPr>
          <w:rtl/>
        </w:rPr>
        <w:t>ביאור הראש יוסף דחומת ירושלים היא מחיצה רק לאכילת קדשים ולכן מהני רק לאיסור יוצא</w:t>
      </w:r>
    </w:p>
    <w:p w14:paraId="2FF99716" w14:textId="77777777" w:rsidR="003D504D" w:rsidRDefault="003D504D" w:rsidP="005077A7">
      <w:pPr>
        <w:pStyle w:val="a"/>
        <w:rPr>
          <w:rFonts w:eastAsiaTheme="minorEastAsia" w:cstheme="minorBidi"/>
          <w:sz w:val="22"/>
          <w:szCs w:val="22"/>
          <w:rtl/>
        </w:rPr>
      </w:pPr>
      <w:r>
        <w:rPr>
          <w:rtl/>
        </w:rPr>
        <w:t>קושית המהדו"ב על המהר"ם דאפש"ל דפשיטא לרב חנניא דחומת ירושלים לא מהני לאיסור יוצא</w:t>
      </w:r>
    </w:p>
    <w:p w14:paraId="1525E58F" w14:textId="77777777" w:rsidR="003D504D" w:rsidRDefault="003D504D" w:rsidP="003D504D">
      <w:pPr>
        <w:pStyle w:val="aff4"/>
        <w:rPr>
          <w:rFonts w:eastAsiaTheme="minorEastAsia" w:cstheme="minorBidi"/>
          <w:i/>
          <w:iCs/>
          <w:noProof/>
          <w:sz w:val="22"/>
          <w:szCs w:val="22"/>
          <w:rtl/>
        </w:rPr>
      </w:pPr>
      <w:bookmarkStart w:id="16572" w:name="_Toc19436053"/>
      <w:bookmarkStart w:id="16573" w:name="_Toc20081252"/>
      <w:r>
        <w:rPr>
          <w:noProof/>
          <w:rtl/>
        </w:rPr>
        <w:t>ביאור המהדו"ב והרש"ש דבלא החזיר פשיטא דהאבר אסור</w:t>
      </w:r>
      <w:bookmarkEnd w:id="16572"/>
      <w:bookmarkEnd w:id="16573"/>
    </w:p>
    <w:p w14:paraId="69E46C20" w14:textId="77777777" w:rsidR="003D504D" w:rsidRDefault="003D504D" w:rsidP="005077A7">
      <w:pPr>
        <w:pStyle w:val="a"/>
        <w:rPr>
          <w:rFonts w:eastAsiaTheme="minorEastAsia" w:cstheme="minorBidi"/>
          <w:sz w:val="22"/>
          <w:szCs w:val="22"/>
          <w:rtl/>
        </w:rPr>
      </w:pPr>
      <w:r>
        <w:rPr>
          <w:rtl/>
        </w:rPr>
        <w:t>דברי המהדו"ב דבלא החזיר פשיטא דחומת העזרה לא מהני להתיר אף בספק הראשון</w:t>
      </w:r>
    </w:p>
    <w:p w14:paraId="7B14E4E8" w14:textId="77777777" w:rsidR="003D504D" w:rsidRDefault="003D504D" w:rsidP="005077A7">
      <w:pPr>
        <w:pStyle w:val="a"/>
        <w:rPr>
          <w:rFonts w:eastAsiaTheme="minorEastAsia" w:cstheme="minorBidi"/>
          <w:sz w:val="22"/>
          <w:szCs w:val="22"/>
          <w:rtl/>
        </w:rPr>
      </w:pPr>
      <w:r>
        <w:rPr>
          <w:rtl/>
        </w:rPr>
        <w:t>ביאור הרש"ש דמחיצת העזרה לא מהני בלא החזיר דאינו בכלל היתר שחיטה</w:t>
      </w:r>
    </w:p>
    <w:p w14:paraId="6B9E9DF3" w14:textId="77777777" w:rsidR="003D504D" w:rsidRDefault="003D504D" w:rsidP="005077A7">
      <w:pPr>
        <w:pStyle w:val="a"/>
        <w:rPr>
          <w:rFonts w:eastAsiaTheme="minorEastAsia" w:cstheme="minorBidi"/>
          <w:sz w:val="22"/>
          <w:szCs w:val="22"/>
          <w:rtl/>
        </w:rPr>
      </w:pPr>
      <w:r>
        <w:rPr>
          <w:rtl/>
        </w:rPr>
        <w:t>ביאור הרש"ש דהצד דמחיצת העזרה מהני להתיר יוצא הוא כיון דאינו גלוי כשדה</w:t>
      </w:r>
    </w:p>
    <w:p w14:paraId="3F1E7547" w14:textId="77777777" w:rsidR="003D504D" w:rsidRDefault="003D504D" w:rsidP="005077A7">
      <w:pPr>
        <w:pStyle w:val="a"/>
        <w:rPr>
          <w:rFonts w:eastAsiaTheme="minorEastAsia" w:cstheme="minorBidi"/>
          <w:sz w:val="22"/>
          <w:szCs w:val="22"/>
          <w:rtl/>
        </w:rPr>
      </w:pPr>
      <w:r>
        <w:rPr>
          <w:rtl/>
        </w:rPr>
        <w:t>דברי התוס' דבנולד כולו בעזרה פשיטא דלא מהני מחיצת העזרה להתירו כבן פקועה</w:t>
      </w:r>
    </w:p>
    <w:p w14:paraId="0E860454" w14:textId="77777777" w:rsidR="003D504D" w:rsidRDefault="003D504D" w:rsidP="005077A7">
      <w:pPr>
        <w:pStyle w:val="a"/>
        <w:rPr>
          <w:rFonts w:eastAsiaTheme="minorEastAsia" w:cstheme="minorBidi"/>
          <w:sz w:val="22"/>
          <w:szCs w:val="22"/>
          <w:rtl/>
        </w:rPr>
      </w:pPr>
      <w:r>
        <w:rPr>
          <w:rtl/>
        </w:rPr>
        <w:t>ביאור המלא הרועים דהספק אי מהני מחיצת העזרה לאיסור יוצא ולא להיתר שחיטה</w:t>
      </w:r>
    </w:p>
    <w:p w14:paraId="4660D4B2" w14:textId="77777777" w:rsidR="003D504D" w:rsidRDefault="003D504D" w:rsidP="003D504D">
      <w:pPr>
        <w:pStyle w:val="aff4"/>
        <w:rPr>
          <w:rFonts w:eastAsiaTheme="minorEastAsia" w:cstheme="minorBidi"/>
          <w:i/>
          <w:iCs/>
          <w:noProof/>
          <w:sz w:val="22"/>
          <w:szCs w:val="22"/>
          <w:rtl/>
        </w:rPr>
      </w:pPr>
      <w:bookmarkStart w:id="16574" w:name="_Toc19436054"/>
      <w:bookmarkStart w:id="16575" w:name="_Toc20081253"/>
      <w:r>
        <w:rPr>
          <w:noProof/>
          <w:rtl/>
        </w:rPr>
        <w:t>ביאור הגרעק"א דמחיצת ירושלים לא מהני לעובר בשחוטי חוץ</w:t>
      </w:r>
      <w:bookmarkEnd w:id="16574"/>
      <w:bookmarkEnd w:id="16575"/>
    </w:p>
    <w:p w14:paraId="0BCC83C3" w14:textId="77777777" w:rsidR="003D504D" w:rsidRDefault="003D504D" w:rsidP="005077A7">
      <w:pPr>
        <w:pStyle w:val="a"/>
        <w:rPr>
          <w:rFonts w:eastAsiaTheme="minorEastAsia" w:cstheme="minorBidi"/>
          <w:sz w:val="22"/>
          <w:szCs w:val="22"/>
          <w:rtl/>
        </w:rPr>
      </w:pPr>
      <w:r>
        <w:rPr>
          <w:rtl/>
        </w:rPr>
        <w:t>קושית הראש יוסף דאף בשחוטי חוץ מהני מחיצת ירושלים דהולד מותר בשחיטת עצמו</w:t>
      </w:r>
    </w:p>
    <w:p w14:paraId="3FE7942D" w14:textId="77777777" w:rsidR="003D504D" w:rsidRDefault="003D504D" w:rsidP="005077A7">
      <w:pPr>
        <w:pStyle w:val="a"/>
        <w:rPr>
          <w:rFonts w:eastAsiaTheme="minorEastAsia" w:cstheme="minorBidi"/>
          <w:sz w:val="22"/>
          <w:szCs w:val="22"/>
          <w:rtl/>
        </w:rPr>
      </w:pPr>
      <w:r>
        <w:rPr>
          <w:rtl/>
        </w:rPr>
        <w:t>ביאור הגרעק"א דבשוחט בירושלים דהחומה אינה מחיצה לאם לא חשיב מחיצה לעובר</w:t>
      </w:r>
    </w:p>
    <w:p w14:paraId="322C4F00" w14:textId="77777777" w:rsidR="003D504D" w:rsidRDefault="003D504D" w:rsidP="005077A7">
      <w:pPr>
        <w:pStyle w:val="a"/>
        <w:rPr>
          <w:rFonts w:eastAsiaTheme="minorEastAsia" w:cstheme="minorBidi"/>
          <w:sz w:val="22"/>
          <w:szCs w:val="22"/>
          <w:rtl/>
        </w:rPr>
      </w:pPr>
      <w:r>
        <w:rPr>
          <w:rtl/>
        </w:rPr>
        <w:t>קושית הגרעק"א דבשעת יציאת האבר מהני מחיצת ירושלים אף לאם אם תשחט בעזרה</w:t>
      </w:r>
    </w:p>
    <w:p w14:paraId="68DF85DE" w14:textId="77777777" w:rsidR="003D504D" w:rsidRDefault="003D504D" w:rsidP="005077A7">
      <w:pPr>
        <w:pStyle w:val="a"/>
        <w:rPr>
          <w:rFonts w:eastAsiaTheme="minorEastAsia" w:cstheme="minorBidi"/>
          <w:sz w:val="22"/>
          <w:szCs w:val="22"/>
          <w:rtl/>
        </w:rPr>
      </w:pPr>
      <w:r>
        <w:rPr>
          <w:rtl/>
        </w:rPr>
        <w:t>דברי הגרעק"א דכוונת רש"י לומר דבלא החזיר ונשחטה בירושלים לא מהני מחיצת ירושלים כלל</w:t>
      </w:r>
    </w:p>
    <w:p w14:paraId="621F91CE" w14:textId="77777777" w:rsidR="003D504D" w:rsidRDefault="003D504D" w:rsidP="003D504D">
      <w:pPr>
        <w:pStyle w:val="2"/>
        <w:rPr>
          <w:rFonts w:eastAsiaTheme="minorEastAsia" w:cstheme="minorBidi"/>
          <w:i/>
          <w:iCs/>
          <w:noProof/>
          <w:sz w:val="22"/>
          <w:szCs w:val="22"/>
          <w:rtl/>
        </w:rPr>
      </w:pPr>
      <w:bookmarkStart w:id="16576" w:name="_Toc19436055"/>
      <w:r>
        <w:rPr>
          <w:noProof/>
          <w:rtl/>
        </w:rPr>
        <w:t>מראי מקומות וביאורים על הרמב"ם</w:t>
      </w:r>
      <w:bookmarkEnd w:id="16576"/>
    </w:p>
    <w:p w14:paraId="702964D9" w14:textId="77777777" w:rsidR="003D504D" w:rsidRDefault="003D504D" w:rsidP="003D504D">
      <w:pPr>
        <w:pStyle w:val="aff4"/>
        <w:rPr>
          <w:rFonts w:eastAsiaTheme="minorEastAsia" w:cstheme="minorBidi"/>
          <w:i/>
          <w:iCs/>
          <w:noProof/>
          <w:sz w:val="22"/>
          <w:szCs w:val="22"/>
          <w:rtl/>
        </w:rPr>
      </w:pPr>
      <w:bookmarkStart w:id="16577" w:name="_Toc19436056"/>
      <w:bookmarkStart w:id="16578" w:name="_Toc20081254"/>
      <w:r>
        <w:rPr>
          <w:noProof/>
          <w:rtl/>
        </w:rPr>
        <w:t>ביאור הרמב"ם בלישנא דמערבא כרי"ף ור"ח</w:t>
      </w:r>
      <w:bookmarkEnd w:id="16577"/>
      <w:bookmarkEnd w:id="16578"/>
    </w:p>
    <w:p w14:paraId="7F0ED0F0" w14:textId="77777777" w:rsidR="003D504D" w:rsidRDefault="003D504D" w:rsidP="005077A7">
      <w:pPr>
        <w:pStyle w:val="a"/>
        <w:rPr>
          <w:rFonts w:eastAsiaTheme="minorEastAsia" w:cstheme="minorBidi"/>
          <w:sz w:val="22"/>
          <w:szCs w:val="22"/>
          <w:rtl/>
        </w:rPr>
      </w:pPr>
      <w:r>
        <w:rPr>
          <w:rtl/>
        </w:rPr>
        <w:t>דברי הר"ן והמ"מ דהרמב"ם ביאר כדעת הרי"ף ופסק כריו"ח דאין לידה לאברים</w:t>
      </w:r>
    </w:p>
    <w:p w14:paraId="76728DFB" w14:textId="77777777" w:rsidR="003D504D" w:rsidRDefault="003D504D" w:rsidP="003D504D">
      <w:pPr>
        <w:pStyle w:val="aff4"/>
        <w:rPr>
          <w:rFonts w:eastAsiaTheme="minorEastAsia" w:cstheme="minorBidi"/>
          <w:i/>
          <w:iCs/>
          <w:noProof/>
          <w:sz w:val="22"/>
          <w:szCs w:val="22"/>
          <w:rtl/>
        </w:rPr>
      </w:pPr>
      <w:bookmarkStart w:id="16579" w:name="_Toc19436057"/>
      <w:bookmarkStart w:id="16580" w:name="_Toc20081255"/>
      <w:r>
        <w:rPr>
          <w:noProof/>
          <w:rtl/>
        </w:rPr>
        <w:t>בדעת הרמב"ם בספיקות הגמ' באברים שהשלימו לרוב</w:t>
      </w:r>
      <w:bookmarkEnd w:id="16579"/>
      <w:bookmarkEnd w:id="16580"/>
    </w:p>
    <w:p w14:paraId="23BDCDB2" w14:textId="77777777" w:rsidR="003D504D" w:rsidRDefault="003D504D" w:rsidP="005077A7">
      <w:pPr>
        <w:pStyle w:val="a"/>
        <w:rPr>
          <w:rFonts w:eastAsiaTheme="minorEastAsia" w:cstheme="minorBidi"/>
          <w:sz w:val="22"/>
          <w:szCs w:val="22"/>
          <w:rtl/>
        </w:rPr>
      </w:pPr>
      <w:r>
        <w:rPr>
          <w:rtl/>
        </w:rPr>
        <w:t>קושית המ"מ אמאי השמיט הרמב"ם את הספיקות  בהוציא אברים שהשלימו לרוב</w:t>
      </w:r>
    </w:p>
    <w:p w14:paraId="4388F4B7" w14:textId="77777777" w:rsidR="003D504D" w:rsidRDefault="003D504D" w:rsidP="005077A7">
      <w:pPr>
        <w:pStyle w:val="a"/>
        <w:rPr>
          <w:rFonts w:eastAsiaTheme="minorEastAsia" w:cstheme="minorBidi"/>
          <w:sz w:val="22"/>
          <w:szCs w:val="22"/>
          <w:rtl/>
        </w:rPr>
      </w:pPr>
      <w:r>
        <w:rPr>
          <w:rtl/>
        </w:rPr>
        <w:t>דברי המ"מ דהרמב"ם גרס דהספק הוא לרב דאילו לריו"ח פשיטא דהמיעוט שבפנים מותר</w:t>
      </w:r>
    </w:p>
    <w:p w14:paraId="7820DC28" w14:textId="77777777" w:rsidR="003D504D" w:rsidRDefault="003D504D" w:rsidP="005077A7">
      <w:pPr>
        <w:pStyle w:val="a"/>
        <w:rPr>
          <w:rFonts w:eastAsiaTheme="minorEastAsia" w:cstheme="minorBidi"/>
          <w:sz w:val="22"/>
          <w:szCs w:val="22"/>
          <w:rtl/>
        </w:rPr>
      </w:pPr>
      <w:r>
        <w:rPr>
          <w:rtl/>
        </w:rPr>
        <w:t>קושית הלח"מ דלרב כיון דאבר אחד אסור המיעוט כ"ש דביצא רוב העובר דהמיעוט אסור</w:t>
      </w:r>
    </w:p>
    <w:p w14:paraId="1FAAD5E8" w14:textId="77777777" w:rsidR="003D504D" w:rsidRDefault="003D504D" w:rsidP="005077A7">
      <w:pPr>
        <w:pStyle w:val="a"/>
        <w:rPr>
          <w:rFonts w:eastAsiaTheme="minorEastAsia" w:cstheme="minorBidi"/>
          <w:sz w:val="22"/>
          <w:szCs w:val="22"/>
          <w:rtl/>
        </w:rPr>
      </w:pPr>
      <w:r>
        <w:rPr>
          <w:rtl/>
        </w:rPr>
        <w:t>תירוץ הלח"מ דרק באבר שיצא בב"א פשיטא דהמיעוט אסור לרב וברוב עובר שלא בב"א הוא ספק</w:t>
      </w:r>
    </w:p>
    <w:p w14:paraId="77DCE3FE" w14:textId="77777777" w:rsidR="003D504D" w:rsidRDefault="003D504D" w:rsidP="003D504D">
      <w:pPr>
        <w:pStyle w:val="2"/>
        <w:rPr>
          <w:rFonts w:eastAsiaTheme="minorEastAsia" w:cstheme="minorBidi"/>
          <w:i/>
          <w:iCs/>
          <w:noProof/>
          <w:sz w:val="22"/>
          <w:szCs w:val="22"/>
          <w:rtl/>
        </w:rPr>
      </w:pPr>
      <w:bookmarkStart w:id="16581" w:name="_Toc19436058"/>
      <w:r>
        <w:rPr>
          <w:noProof/>
          <w:rtl/>
        </w:rPr>
        <w:t>ביאורי ראשי הישיבות על הסוגיא</w:t>
      </w:r>
      <w:bookmarkEnd w:id="16581"/>
    </w:p>
    <w:p w14:paraId="702388BF" w14:textId="77777777" w:rsidR="003D504D" w:rsidRDefault="003D504D" w:rsidP="003D504D">
      <w:pPr>
        <w:pStyle w:val="2"/>
        <w:rPr>
          <w:rFonts w:eastAsiaTheme="minorEastAsia" w:cstheme="minorBidi"/>
          <w:i/>
          <w:iCs/>
          <w:noProof/>
          <w:sz w:val="22"/>
          <w:szCs w:val="22"/>
          <w:rtl/>
        </w:rPr>
      </w:pPr>
      <w:bookmarkStart w:id="16582" w:name="_Toc19436059"/>
      <w:r>
        <w:rPr>
          <w:noProof/>
          <w:rtl/>
        </w:rPr>
        <w:t>בגדר היתר בחזרת האבר לריו"ח</w:t>
      </w:r>
      <w:bookmarkEnd w:id="16582"/>
    </w:p>
    <w:p w14:paraId="1E4202CC" w14:textId="77777777" w:rsidR="003D504D" w:rsidRDefault="003D504D" w:rsidP="003D504D">
      <w:pPr>
        <w:pStyle w:val="aff4"/>
        <w:rPr>
          <w:rFonts w:eastAsiaTheme="minorEastAsia" w:cstheme="minorBidi"/>
          <w:i/>
          <w:iCs/>
          <w:noProof/>
          <w:sz w:val="22"/>
          <w:szCs w:val="22"/>
          <w:rtl/>
        </w:rPr>
      </w:pPr>
      <w:bookmarkStart w:id="16583" w:name="_Toc19436060"/>
      <w:bookmarkStart w:id="16584" w:name="_Toc20081256"/>
      <w:r>
        <w:rPr>
          <w:noProof/>
          <w:rtl/>
        </w:rPr>
        <w:t>חקירת הגרש"ר בפלוגתת רב וריו"ח</w:t>
      </w:r>
      <w:bookmarkEnd w:id="16583"/>
      <w:bookmarkEnd w:id="16584"/>
    </w:p>
    <w:p w14:paraId="657205E1" w14:textId="77777777" w:rsidR="003D504D" w:rsidRDefault="003D504D" w:rsidP="005077A7">
      <w:pPr>
        <w:pStyle w:val="a"/>
        <w:rPr>
          <w:rFonts w:eastAsiaTheme="minorEastAsia" w:cstheme="minorBidi"/>
          <w:sz w:val="22"/>
          <w:szCs w:val="22"/>
          <w:rtl/>
        </w:rPr>
      </w:pPr>
      <w:r>
        <w:rPr>
          <w:rtl/>
        </w:rPr>
        <w:t>הצד הא' בגרש"ר דפלוגתת רב וריו"ח אם חל איסור לפני השחיטה ולא נחלקו אי מהני חזרה</w:t>
      </w:r>
    </w:p>
    <w:p w14:paraId="6258644D" w14:textId="77777777" w:rsidR="003D504D" w:rsidRDefault="003D504D" w:rsidP="005077A7">
      <w:pPr>
        <w:pStyle w:val="a"/>
        <w:rPr>
          <w:rFonts w:eastAsiaTheme="minorEastAsia" w:cstheme="minorBidi"/>
          <w:sz w:val="22"/>
          <w:szCs w:val="22"/>
          <w:rtl/>
        </w:rPr>
      </w:pPr>
      <w:r>
        <w:rPr>
          <w:rtl/>
        </w:rPr>
        <w:t>הצד הב' בגרש"ר דלכו"ע חל איסור בחוץ ונחלקו אי ע"י החזרה פוקע האיסור</w:t>
      </w:r>
    </w:p>
    <w:p w14:paraId="740CB676" w14:textId="77777777" w:rsidR="003D504D" w:rsidRDefault="003D504D" w:rsidP="003D504D">
      <w:pPr>
        <w:pStyle w:val="aff4"/>
        <w:rPr>
          <w:rFonts w:eastAsiaTheme="minorEastAsia" w:cstheme="minorBidi"/>
          <w:i/>
          <w:iCs/>
          <w:noProof/>
          <w:sz w:val="22"/>
          <w:szCs w:val="22"/>
          <w:rtl/>
        </w:rPr>
      </w:pPr>
      <w:bookmarkStart w:id="16585" w:name="_Toc19436061"/>
      <w:bookmarkStart w:id="16586" w:name="_Toc20081257"/>
      <w:r>
        <w:rPr>
          <w:noProof/>
          <w:rtl/>
        </w:rPr>
        <w:t>ביאור הגרש"ר בבעה"מ וברא"ש דחזרה חשיבא שלא יצא כלל</w:t>
      </w:r>
      <w:bookmarkEnd w:id="16585"/>
      <w:bookmarkEnd w:id="16586"/>
    </w:p>
    <w:p w14:paraId="26C0BA90" w14:textId="77777777" w:rsidR="003D504D" w:rsidRDefault="003D504D" w:rsidP="005077A7">
      <w:pPr>
        <w:pStyle w:val="a"/>
        <w:rPr>
          <w:rFonts w:eastAsiaTheme="minorEastAsia" w:cstheme="minorBidi"/>
          <w:sz w:val="22"/>
          <w:szCs w:val="22"/>
          <w:rtl/>
        </w:rPr>
      </w:pPr>
      <w:r>
        <w:rPr>
          <w:rtl/>
        </w:rPr>
        <w:t>ביאור הגרש"ר בקושית הבהעה"מ והרא"ש דאי חזרת האבר מתירתו חשיב שלא יצא אף לדין ילוד</w:t>
      </w:r>
    </w:p>
    <w:p w14:paraId="4AC1FD27" w14:textId="77777777" w:rsidR="003D504D" w:rsidRDefault="003D504D" w:rsidP="005077A7">
      <w:pPr>
        <w:pStyle w:val="a"/>
        <w:rPr>
          <w:rFonts w:eastAsiaTheme="minorEastAsia" w:cstheme="minorBidi"/>
          <w:sz w:val="22"/>
          <w:szCs w:val="22"/>
          <w:rtl/>
        </w:rPr>
      </w:pPr>
      <w:r>
        <w:rPr>
          <w:rtl/>
        </w:rPr>
        <w:t>דברי הגרש"ר דאי בחזר לא חל איסור יוצא לריו"ח אין ראיה דחשיב שלא יצא לדין ילוד</w:t>
      </w:r>
    </w:p>
    <w:p w14:paraId="0F19AF04" w14:textId="77777777" w:rsidR="003D504D" w:rsidRDefault="003D504D" w:rsidP="005077A7">
      <w:pPr>
        <w:pStyle w:val="a"/>
        <w:rPr>
          <w:rFonts w:eastAsiaTheme="minorEastAsia" w:cstheme="minorBidi"/>
          <w:sz w:val="22"/>
          <w:szCs w:val="22"/>
          <w:rtl/>
        </w:rPr>
      </w:pPr>
      <w:r>
        <w:rPr>
          <w:rtl/>
        </w:rPr>
        <w:t>דברי הגרש"ר דמוכח דלריו"ח חזרה מתירה את איסור יוצא וחשיב שלא יצא ואינו מצטרף לרוב</w:t>
      </w:r>
    </w:p>
    <w:p w14:paraId="675BEADE" w14:textId="77777777" w:rsidR="003D504D" w:rsidRDefault="003D504D" w:rsidP="005077A7">
      <w:pPr>
        <w:pStyle w:val="a"/>
        <w:rPr>
          <w:rFonts w:eastAsiaTheme="minorEastAsia" w:cstheme="minorBidi"/>
          <w:sz w:val="22"/>
          <w:szCs w:val="22"/>
          <w:rtl/>
        </w:rPr>
      </w:pPr>
      <w:r>
        <w:rPr>
          <w:rtl/>
        </w:rPr>
        <w:t>ביאור הגרש"ר דלריו"ח חזרתו מבטלת את איסור יוצא ועי"ז הוא בכלל היתר "בהמה בבהמה"</w:t>
      </w:r>
    </w:p>
    <w:p w14:paraId="4C4E2C40" w14:textId="77777777" w:rsidR="003D504D" w:rsidRDefault="003D504D" w:rsidP="005077A7">
      <w:pPr>
        <w:pStyle w:val="a"/>
        <w:rPr>
          <w:rFonts w:eastAsiaTheme="minorEastAsia" w:cstheme="minorBidi"/>
          <w:sz w:val="22"/>
          <w:szCs w:val="22"/>
          <w:rtl/>
        </w:rPr>
      </w:pPr>
      <w:r>
        <w:rPr>
          <w:rtl/>
        </w:rPr>
        <w:t>דברי הגרש"ר דדוחק לומר דחזרה דמהני לבטל יוצא בשחיטה מהני לבטל יוצא לענין דין לידה</w:t>
      </w:r>
    </w:p>
    <w:p w14:paraId="6E0478C6" w14:textId="77777777" w:rsidR="003D504D" w:rsidRDefault="003D504D" w:rsidP="003D504D">
      <w:pPr>
        <w:pStyle w:val="2"/>
        <w:rPr>
          <w:rFonts w:eastAsiaTheme="minorEastAsia" w:cstheme="minorBidi"/>
          <w:b/>
          <w:bCs/>
          <w:noProof/>
          <w:sz w:val="22"/>
          <w:szCs w:val="22"/>
          <w:rtl/>
        </w:rPr>
      </w:pPr>
      <w:bookmarkStart w:id="16587" w:name="_Toc19436062"/>
      <w:r>
        <w:rPr>
          <w:noProof/>
          <w:rtl/>
        </w:rPr>
        <w:t>בגדר חזרת אבר בקלוט במעי פרה</w:t>
      </w:r>
      <w:bookmarkEnd w:id="16587"/>
    </w:p>
    <w:p w14:paraId="3C9A48DA" w14:textId="77777777" w:rsidR="003D504D" w:rsidRDefault="003D504D" w:rsidP="003D504D">
      <w:pPr>
        <w:pStyle w:val="aff4"/>
        <w:rPr>
          <w:rFonts w:eastAsiaTheme="minorEastAsia" w:cstheme="minorBidi"/>
          <w:i/>
          <w:iCs/>
          <w:noProof/>
          <w:sz w:val="22"/>
          <w:szCs w:val="22"/>
          <w:rtl/>
        </w:rPr>
      </w:pPr>
      <w:bookmarkStart w:id="16588" w:name="_Toc19436063"/>
      <w:bookmarkStart w:id="16589" w:name="_Toc20081258"/>
      <w:r>
        <w:rPr>
          <w:noProof/>
          <w:rtl/>
        </w:rPr>
        <w:t>דברי הגרש"ר דבאבר אחד אין איסור גמור דקלוט או אבמה"ח</w:t>
      </w:r>
      <w:bookmarkEnd w:id="16588"/>
      <w:bookmarkEnd w:id="16589"/>
    </w:p>
    <w:p w14:paraId="05E9B608" w14:textId="77777777" w:rsidR="003D504D" w:rsidRDefault="003D504D" w:rsidP="005077A7">
      <w:pPr>
        <w:pStyle w:val="a"/>
        <w:rPr>
          <w:rFonts w:eastAsiaTheme="minorEastAsia" w:cstheme="minorBidi"/>
          <w:sz w:val="22"/>
          <w:szCs w:val="22"/>
          <w:rtl/>
        </w:rPr>
      </w:pPr>
      <w:r>
        <w:rPr>
          <w:rtl/>
        </w:rPr>
        <w:t>דברי הגרש"ר דמשמע ברא"ה דאף שהאבר נאסר באיסור קלוט מ"מ חזרתו מתירתו</w:t>
      </w:r>
    </w:p>
    <w:p w14:paraId="71F8F46B" w14:textId="77777777" w:rsidR="003D504D" w:rsidRDefault="003D504D" w:rsidP="005077A7">
      <w:pPr>
        <w:pStyle w:val="a"/>
        <w:rPr>
          <w:rFonts w:eastAsiaTheme="minorEastAsia" w:cstheme="minorBidi"/>
          <w:sz w:val="22"/>
          <w:szCs w:val="22"/>
          <w:rtl/>
        </w:rPr>
      </w:pPr>
      <w:r>
        <w:rPr>
          <w:rtl/>
        </w:rPr>
        <w:t>ביאור הגרש"ר דבאבר אחד רק מדין יוצא שייך לחול מקצת איסור קלוט או נבילה או אבמה"ח</w:t>
      </w:r>
    </w:p>
    <w:p w14:paraId="76C5B0D1" w14:textId="77777777" w:rsidR="003D504D" w:rsidRDefault="003D504D" w:rsidP="005077A7">
      <w:pPr>
        <w:pStyle w:val="a"/>
        <w:rPr>
          <w:rFonts w:eastAsiaTheme="minorEastAsia" w:cstheme="minorBidi"/>
          <w:sz w:val="22"/>
          <w:szCs w:val="22"/>
          <w:rtl/>
        </w:rPr>
      </w:pPr>
      <w:r>
        <w:rPr>
          <w:rtl/>
        </w:rPr>
        <w:t>ביאור הגרש"ר דכל שאין לו חיוב שחיטה מצד עצמו לא שייך לאוסרו בקלוט ונבילה ובאמה"ח</w:t>
      </w:r>
    </w:p>
    <w:p w14:paraId="191D3D2F" w14:textId="77777777" w:rsidR="003D504D" w:rsidRDefault="003D504D" w:rsidP="005077A7">
      <w:pPr>
        <w:pStyle w:val="a"/>
        <w:rPr>
          <w:rFonts w:eastAsiaTheme="minorEastAsia" w:cstheme="minorBidi"/>
          <w:sz w:val="22"/>
          <w:szCs w:val="22"/>
          <w:rtl/>
        </w:rPr>
      </w:pPr>
      <w:r>
        <w:rPr>
          <w:rtl/>
        </w:rPr>
        <w:t>ביאור הגרש"ר ברא"ה דמהני חזרה להתיר את מקצת איסור קלוט כיון שהוא מדין יוצא</w:t>
      </w:r>
    </w:p>
    <w:p w14:paraId="11C10646" w14:textId="77777777" w:rsidR="003D504D" w:rsidRDefault="003D504D" w:rsidP="005077A7">
      <w:pPr>
        <w:pStyle w:val="a"/>
        <w:rPr>
          <w:rFonts w:eastAsiaTheme="minorEastAsia" w:cstheme="minorBidi"/>
          <w:sz w:val="22"/>
          <w:szCs w:val="22"/>
          <w:rtl/>
        </w:rPr>
      </w:pPr>
      <w:r>
        <w:rPr>
          <w:rtl/>
        </w:rPr>
        <w:t>דברי הגרש"ר דמוכח ברא"ה דלריו"ח אף שחל איסור יוצא חזרותו מתירתו ולכן אף קלוט מותר</w:t>
      </w:r>
    </w:p>
    <w:p w14:paraId="351A68DF" w14:textId="77777777" w:rsidR="003D504D" w:rsidRDefault="003D504D" w:rsidP="005077A7">
      <w:pPr>
        <w:pStyle w:val="a"/>
        <w:rPr>
          <w:rFonts w:eastAsiaTheme="minorEastAsia" w:cstheme="minorBidi"/>
          <w:sz w:val="22"/>
          <w:szCs w:val="22"/>
          <w:rtl/>
        </w:rPr>
      </w:pPr>
      <w:r>
        <w:rPr>
          <w:rtl/>
        </w:rPr>
        <w:t>דברי הגרש"ר דבמקום חתך מבואר ברא"ה דחל איסור קלוט ויש ילפותא להתירו</w:t>
      </w:r>
    </w:p>
    <w:p w14:paraId="51360AC1" w14:textId="77777777" w:rsidR="003D504D" w:rsidRDefault="003D504D" w:rsidP="005077A7">
      <w:pPr>
        <w:pStyle w:val="a"/>
        <w:rPr>
          <w:rFonts w:eastAsiaTheme="minorEastAsia" w:cstheme="minorBidi"/>
          <w:sz w:val="22"/>
          <w:szCs w:val="22"/>
          <w:rtl/>
        </w:rPr>
      </w:pPr>
      <w:r>
        <w:rPr>
          <w:rtl/>
        </w:rPr>
        <w:t>דברי הגרש"ר דאפש"ל דקלוט לא חל על האבר דרק איסור יוצא חל כיון דחייב בשחיטה</w:t>
      </w:r>
    </w:p>
    <w:p w14:paraId="21475C7E" w14:textId="77777777" w:rsidR="003D504D" w:rsidRDefault="003D504D" w:rsidP="003D504D">
      <w:pPr>
        <w:pStyle w:val="2"/>
        <w:rPr>
          <w:rFonts w:eastAsiaTheme="minorEastAsia" w:cstheme="minorBidi"/>
          <w:i/>
          <w:iCs/>
          <w:noProof/>
          <w:sz w:val="22"/>
          <w:szCs w:val="22"/>
          <w:rtl/>
        </w:rPr>
      </w:pPr>
      <w:bookmarkStart w:id="16590" w:name="_Toc19436064"/>
      <w:r>
        <w:rPr>
          <w:noProof/>
          <w:rtl/>
        </w:rPr>
        <w:t>בספק בהוציא אבר בעזרה</w:t>
      </w:r>
      <w:bookmarkEnd w:id="16590"/>
    </w:p>
    <w:p w14:paraId="49B40119" w14:textId="77777777" w:rsidR="003D504D" w:rsidRDefault="003D504D" w:rsidP="003D504D">
      <w:pPr>
        <w:pStyle w:val="aff4"/>
        <w:rPr>
          <w:rFonts w:eastAsiaTheme="minorEastAsia" w:cstheme="minorBidi"/>
          <w:i/>
          <w:iCs/>
          <w:noProof/>
          <w:sz w:val="22"/>
          <w:szCs w:val="22"/>
          <w:rtl/>
        </w:rPr>
      </w:pPr>
      <w:bookmarkStart w:id="16591" w:name="_Toc19436065"/>
      <w:bookmarkStart w:id="16592" w:name="_Toc20081259"/>
      <w:r>
        <w:rPr>
          <w:noProof/>
          <w:rtl/>
        </w:rPr>
        <w:t>דברי הגרי"ז בגדר איסור יוצא בקדשים ובחולין</w:t>
      </w:r>
      <w:bookmarkEnd w:id="16591"/>
      <w:bookmarkEnd w:id="16592"/>
    </w:p>
    <w:p w14:paraId="199B062F" w14:textId="77777777" w:rsidR="003D504D" w:rsidRDefault="003D504D" w:rsidP="005077A7">
      <w:pPr>
        <w:pStyle w:val="a"/>
        <w:rPr>
          <w:rFonts w:eastAsiaTheme="minorEastAsia" w:cstheme="minorBidi"/>
          <w:sz w:val="22"/>
          <w:szCs w:val="22"/>
          <w:rtl/>
        </w:rPr>
      </w:pPr>
      <w:r>
        <w:rPr>
          <w:rtl/>
        </w:rPr>
        <w:t>דברי הגרי"ז דבספק הגמ' בחומת העזרה מוכח דאיסור יוצא בקדשים הוא דין טריפה כבחולין</w:t>
      </w:r>
    </w:p>
    <w:p w14:paraId="6B48F457" w14:textId="77777777" w:rsidR="003D504D" w:rsidRDefault="003D504D" w:rsidP="005077A7">
      <w:pPr>
        <w:pStyle w:val="a"/>
        <w:rPr>
          <w:rFonts w:eastAsiaTheme="minorEastAsia" w:cstheme="minorBidi"/>
          <w:sz w:val="22"/>
          <w:szCs w:val="22"/>
          <w:rtl/>
        </w:rPr>
      </w:pPr>
      <w:r>
        <w:rPr>
          <w:rtl/>
        </w:rPr>
        <w:t>הוכחת הגרי"ז ברמב"ם דאיסור יוצא בקדשים הוא אותו האיסור כמו בחולין</w:t>
      </w:r>
    </w:p>
    <w:p w14:paraId="68D2A171" w14:textId="77777777" w:rsidR="003D504D" w:rsidRDefault="003D504D" w:rsidP="005077A7">
      <w:pPr>
        <w:pStyle w:val="a"/>
        <w:rPr>
          <w:rFonts w:eastAsiaTheme="minorEastAsia" w:cstheme="minorBidi"/>
          <w:sz w:val="22"/>
          <w:szCs w:val="22"/>
          <w:rtl/>
        </w:rPr>
      </w:pPr>
      <w:r>
        <w:rPr>
          <w:rtl/>
        </w:rPr>
        <w:t>דברי הגרי"ז דאיסור יוצא בקדשים הוא רק ביצא ממחיצת היתר אכילה כמו בחולין</w:t>
      </w:r>
    </w:p>
    <w:p w14:paraId="7388655B" w14:textId="77777777" w:rsidR="003D504D" w:rsidRDefault="003D504D" w:rsidP="003D504D">
      <w:pPr>
        <w:pStyle w:val="aff4"/>
        <w:rPr>
          <w:rFonts w:eastAsiaTheme="minorEastAsia" w:cstheme="minorBidi"/>
          <w:i/>
          <w:iCs/>
          <w:noProof/>
          <w:sz w:val="22"/>
          <w:szCs w:val="22"/>
          <w:rtl/>
        </w:rPr>
      </w:pPr>
      <w:bookmarkStart w:id="16593" w:name="_Toc19436066"/>
      <w:bookmarkStart w:id="16594" w:name="_Toc20081260"/>
      <w:r>
        <w:rPr>
          <w:noProof/>
          <w:rtl/>
        </w:rPr>
        <w:t>הוכחת האבי עזרי מחומת העזרה דהשחיטה מהני אף לאבר</w:t>
      </w:r>
      <w:bookmarkEnd w:id="16593"/>
      <w:bookmarkEnd w:id="16594"/>
    </w:p>
    <w:p w14:paraId="52A5572F" w14:textId="77777777" w:rsidR="003D504D" w:rsidRDefault="003D504D" w:rsidP="005077A7">
      <w:pPr>
        <w:pStyle w:val="a"/>
        <w:rPr>
          <w:rFonts w:eastAsiaTheme="minorEastAsia" w:cstheme="minorBidi"/>
          <w:sz w:val="22"/>
          <w:szCs w:val="22"/>
          <w:rtl/>
        </w:rPr>
      </w:pPr>
      <w:r>
        <w:rPr>
          <w:rtl/>
        </w:rPr>
        <w:t>קושית האבי עזרי דמחיצת העזרה מהני להתיר יוצא אך עדיין אינו בכלל היתר שחיטה</w:t>
      </w:r>
    </w:p>
    <w:p w14:paraId="2C0E7B1F" w14:textId="77777777" w:rsidR="003D504D" w:rsidRDefault="003D504D" w:rsidP="005077A7">
      <w:pPr>
        <w:pStyle w:val="a"/>
        <w:rPr>
          <w:rFonts w:eastAsiaTheme="minorEastAsia" w:cstheme="minorBidi"/>
          <w:sz w:val="22"/>
          <w:szCs w:val="22"/>
          <w:rtl/>
        </w:rPr>
        <w:sectPr w:rsidR="003D504D" w:rsidSect="007C6A7B">
          <w:type w:val="continuous"/>
          <w:pgSz w:w="11906" w:h="16838"/>
          <w:pgMar w:top="720" w:right="720" w:bottom="720" w:left="720" w:header="283" w:footer="283" w:gutter="0"/>
          <w:cols w:num="2" w:space="113"/>
          <w:bidi/>
          <w:rtlGutter/>
          <w:docGrid w:linePitch="299"/>
        </w:sectPr>
      </w:pPr>
      <w:r>
        <w:rPr>
          <w:rtl/>
        </w:rPr>
        <w:t>דברי האבי עזרי דבמקום שאין איסור יוצא מהני השחיטה אף לאבר שבחוץ להתירו באכילה</w:t>
      </w:r>
    </w:p>
    <w:p w14:paraId="42960DF5" w14:textId="77777777" w:rsidR="003D504D" w:rsidRDefault="003D504D" w:rsidP="005077A7">
      <w:pPr>
        <w:pStyle w:val="a"/>
        <w:numPr>
          <w:ilvl w:val="0"/>
          <w:numId w:val="0"/>
        </w:numPr>
        <w:ind w:left="567"/>
        <w:rPr>
          <w:rtl/>
        </w:rPr>
      </w:pPr>
    </w:p>
    <w:p w14:paraId="11A2449A" w14:textId="77777777" w:rsidR="003D504D" w:rsidRPr="00E03BE1" w:rsidRDefault="003D504D" w:rsidP="003D504D">
      <w:pPr>
        <w:pStyle w:val="aff4"/>
        <w:rPr>
          <w:rtl/>
        </w:rPr>
        <w:sectPr w:rsidR="003D504D" w:rsidRPr="00E03BE1" w:rsidSect="007C6A7B">
          <w:type w:val="continuous"/>
          <w:pgSz w:w="11906" w:h="16838"/>
          <w:pgMar w:top="720" w:right="720" w:bottom="720" w:left="720" w:header="283" w:footer="283" w:gutter="0"/>
          <w:cols w:num="2" w:space="113"/>
          <w:bidi/>
          <w:rtlGutter/>
          <w:docGrid w:linePitch="299"/>
        </w:sectPr>
      </w:pPr>
      <w:r w:rsidRPr="00E03BE1">
        <w:rPr>
          <w:rtl/>
        </w:rPr>
        <w:fldChar w:fldCharType="end"/>
      </w:r>
    </w:p>
    <w:p w14:paraId="192E7E32" w14:textId="77777777" w:rsidR="003D504D" w:rsidRDefault="003D504D" w:rsidP="003D504D">
      <w:pPr>
        <w:pStyle w:val="afe"/>
        <w:rPr>
          <w:rtl/>
        </w:rPr>
      </w:pPr>
      <w:bookmarkStart w:id="16595" w:name="_Toc535868951"/>
      <w:bookmarkStart w:id="16596" w:name="_Toc535921728"/>
      <w:bookmarkStart w:id="16597" w:name="_Toc535958307"/>
      <w:bookmarkStart w:id="16598" w:name="_Toc536041979"/>
      <w:bookmarkStart w:id="16599" w:name="_Toc536130298"/>
      <w:bookmarkStart w:id="16600" w:name="_Toc536178359"/>
      <w:bookmarkStart w:id="16601" w:name="_Toc536180734"/>
      <w:bookmarkStart w:id="16602" w:name="_Toc536304971"/>
      <w:bookmarkStart w:id="16603" w:name="_Toc536305052"/>
      <w:bookmarkStart w:id="16604" w:name="_Toc536459264"/>
      <w:bookmarkStart w:id="16605" w:name="_Toc536466220"/>
      <w:bookmarkStart w:id="16606" w:name="_Toc536540369"/>
      <w:bookmarkStart w:id="16607" w:name="_Toc536564180"/>
      <w:bookmarkStart w:id="16608" w:name="_Toc536564335"/>
      <w:bookmarkStart w:id="16609" w:name="_Toc536616869"/>
      <w:bookmarkStart w:id="16610" w:name="_Toc19436067"/>
      <w:bookmarkStart w:id="16611" w:name="_Toc20081261"/>
      <w:r>
        <w:rPr>
          <w:rFonts w:hint="cs"/>
          <w:rtl/>
        </w:rPr>
        <w:t>מראי מקומות וביאורים על הסוגיא</w:t>
      </w:r>
      <w:bookmarkEnd w:id="16595"/>
      <w:bookmarkEnd w:id="16596"/>
      <w:bookmarkEnd w:id="16597"/>
      <w:bookmarkEnd w:id="16598"/>
      <w:bookmarkEnd w:id="16599"/>
      <w:bookmarkEnd w:id="16600"/>
      <w:bookmarkEnd w:id="16601"/>
      <w:bookmarkEnd w:id="16602"/>
      <w:bookmarkEnd w:id="16603"/>
      <w:bookmarkEnd w:id="16604"/>
      <w:bookmarkEnd w:id="16605"/>
      <w:bookmarkEnd w:id="16606"/>
      <w:bookmarkEnd w:id="16607"/>
      <w:bookmarkEnd w:id="16608"/>
      <w:bookmarkEnd w:id="16609"/>
      <w:bookmarkEnd w:id="16610"/>
      <w:bookmarkEnd w:id="16611"/>
    </w:p>
    <w:p w14:paraId="27AC0B1F" w14:textId="77777777" w:rsidR="003D504D" w:rsidRPr="0065105E" w:rsidRDefault="003D504D" w:rsidP="003D504D">
      <w:pPr>
        <w:pStyle w:val="2"/>
        <w:keepNext w:val="0"/>
        <w:keepLines w:val="0"/>
        <w:bidi w:val="0"/>
        <w:rPr>
          <w:rFonts w:asciiTheme="minorHAnsi" w:hAnsiTheme="minorHAnsi"/>
          <w:bCs/>
          <w:sz w:val="18"/>
          <w:szCs w:val="28"/>
          <w:rtl/>
        </w:rPr>
        <w:sectPr w:rsidR="003D504D" w:rsidRPr="0065105E" w:rsidSect="003D504D">
          <w:pgSz w:w="11906" w:h="16838"/>
          <w:pgMar w:top="720" w:right="720" w:bottom="720" w:left="720" w:header="283" w:footer="283" w:gutter="0"/>
          <w:cols w:space="720"/>
          <w:bidi/>
          <w:rtlGutter/>
          <w:docGrid w:linePitch="299"/>
        </w:sectPr>
      </w:pPr>
    </w:p>
    <w:p w14:paraId="0E337EA1" w14:textId="77777777" w:rsidR="003D504D" w:rsidRDefault="003D504D" w:rsidP="003D504D">
      <w:pPr>
        <w:pStyle w:val="afe"/>
        <w:rPr>
          <w:rtl/>
        </w:rPr>
      </w:pPr>
      <w:bookmarkStart w:id="16612" w:name="_Toc536041983"/>
      <w:bookmarkStart w:id="16613" w:name="_Toc536130302"/>
      <w:bookmarkStart w:id="16614" w:name="_Toc536178360"/>
      <w:bookmarkStart w:id="16615" w:name="_Toc536180735"/>
      <w:bookmarkStart w:id="16616" w:name="_Toc536304972"/>
      <w:bookmarkStart w:id="16617" w:name="_Toc536305053"/>
      <w:bookmarkStart w:id="16618" w:name="_Toc536459265"/>
      <w:bookmarkStart w:id="16619" w:name="_Toc536466221"/>
      <w:bookmarkStart w:id="16620" w:name="_Toc536540370"/>
      <w:bookmarkStart w:id="16621" w:name="_Toc536564181"/>
      <w:bookmarkStart w:id="16622" w:name="_Toc536564336"/>
      <w:bookmarkStart w:id="16623" w:name="_Toc536616870"/>
      <w:bookmarkStart w:id="16624" w:name="_Toc19436068"/>
      <w:bookmarkStart w:id="16625" w:name="_Toc20081262"/>
      <w:bookmarkStart w:id="16626" w:name="_Toc536041981"/>
      <w:bookmarkStart w:id="16627" w:name="_Toc536130300"/>
      <w:bookmarkStart w:id="16628" w:name="_Toc535958308"/>
      <w:r>
        <w:rPr>
          <w:rFonts w:hint="cs"/>
          <w:rtl/>
        </w:rPr>
        <w:t>בגדר האיסור בהוציא את ראשו</w:t>
      </w:r>
      <w:bookmarkEnd w:id="16612"/>
      <w:bookmarkEnd w:id="16613"/>
      <w:bookmarkEnd w:id="16614"/>
      <w:bookmarkEnd w:id="16615"/>
      <w:bookmarkEnd w:id="16616"/>
      <w:bookmarkEnd w:id="16617"/>
      <w:bookmarkEnd w:id="16618"/>
      <w:bookmarkEnd w:id="16619"/>
      <w:bookmarkEnd w:id="16620"/>
      <w:bookmarkEnd w:id="16621"/>
      <w:bookmarkEnd w:id="16622"/>
      <w:bookmarkEnd w:id="16623"/>
      <w:bookmarkEnd w:id="16624"/>
      <w:bookmarkEnd w:id="16625"/>
    </w:p>
    <w:p w14:paraId="688D9C36" w14:textId="77777777" w:rsidR="003D504D" w:rsidRPr="00F071E7" w:rsidRDefault="003D504D" w:rsidP="00BF39B2">
      <w:pPr>
        <w:pStyle w:val="1"/>
        <w:rPr>
          <w:rtl/>
        </w:rPr>
      </w:pPr>
      <w:bookmarkStart w:id="16629" w:name="_Toc536178361"/>
      <w:bookmarkStart w:id="16630" w:name="_Toc536180736"/>
      <w:bookmarkStart w:id="16631" w:name="_Toc536304973"/>
      <w:bookmarkStart w:id="16632" w:name="_Toc536305054"/>
      <w:bookmarkStart w:id="16633" w:name="_Toc536459266"/>
      <w:bookmarkStart w:id="16634" w:name="_Toc536466222"/>
      <w:bookmarkStart w:id="16635" w:name="_Toc536540371"/>
      <w:bookmarkStart w:id="16636" w:name="_Toc536564182"/>
      <w:bookmarkStart w:id="16637" w:name="_Toc536564337"/>
      <w:bookmarkStart w:id="16638" w:name="_Toc536616871"/>
      <w:bookmarkStart w:id="16639" w:name="_Toc19391187"/>
      <w:bookmarkStart w:id="16640" w:name="_Toc19394684"/>
      <w:r>
        <w:rPr>
          <w:rFonts w:hint="cs"/>
          <w:rtl/>
        </w:rPr>
        <w:t>דברי רש"י</w:t>
      </w:r>
      <w:bookmarkEnd w:id="16626"/>
      <w:bookmarkEnd w:id="16627"/>
      <w:r>
        <w:rPr>
          <w:rFonts w:hint="cs"/>
          <w:rtl/>
        </w:rPr>
        <w:t xml:space="preserve"> ותוס' בהוציא את ראשו</w:t>
      </w:r>
      <w:bookmarkEnd w:id="16629"/>
      <w:bookmarkEnd w:id="16630"/>
      <w:bookmarkEnd w:id="16631"/>
      <w:bookmarkEnd w:id="16632"/>
      <w:bookmarkEnd w:id="16633"/>
      <w:bookmarkEnd w:id="16634"/>
      <w:bookmarkEnd w:id="16635"/>
      <w:bookmarkEnd w:id="16636"/>
      <w:bookmarkEnd w:id="16637"/>
      <w:bookmarkEnd w:id="16638"/>
      <w:bookmarkEnd w:id="16639"/>
      <w:bookmarkEnd w:id="16640"/>
    </w:p>
    <w:p w14:paraId="1BAEA686" w14:textId="77777777" w:rsidR="003D504D" w:rsidRDefault="003D504D" w:rsidP="003D504D">
      <w:pPr>
        <w:pStyle w:val="a3"/>
        <w:rPr>
          <w:rtl/>
        </w:rPr>
      </w:pPr>
      <w:bookmarkStart w:id="16641" w:name="_Toc536178362"/>
      <w:bookmarkStart w:id="16642" w:name="_Toc536180737"/>
      <w:bookmarkStart w:id="16643" w:name="_Toc536304974"/>
      <w:bookmarkStart w:id="16644" w:name="_Toc536305055"/>
      <w:bookmarkStart w:id="16645" w:name="_Toc536459267"/>
      <w:bookmarkStart w:id="16646" w:name="_Toc536466223"/>
      <w:bookmarkStart w:id="16647" w:name="_Toc536540372"/>
      <w:bookmarkStart w:id="16648" w:name="_Toc536564183"/>
      <w:bookmarkStart w:id="16649" w:name="_Toc536564338"/>
      <w:bookmarkStart w:id="16650" w:name="_Toc536616872"/>
      <w:bookmarkStart w:id="16651" w:name="_Toc19391188"/>
      <w:bookmarkStart w:id="16652" w:name="_Toc19394685"/>
      <w:r>
        <w:rPr>
          <w:rFonts w:hint="cs"/>
          <w:rtl/>
        </w:rPr>
        <w:t>דברי רש"י דביצא ראשו לא מהני שחיטת אמו ויש לו חיוב שחיטה מצד עצמו</w:t>
      </w:r>
      <w:bookmarkEnd w:id="16641"/>
      <w:bookmarkEnd w:id="16642"/>
      <w:bookmarkEnd w:id="16643"/>
      <w:bookmarkEnd w:id="16644"/>
      <w:bookmarkEnd w:id="16645"/>
      <w:bookmarkEnd w:id="16646"/>
      <w:bookmarkEnd w:id="16647"/>
      <w:bookmarkEnd w:id="16648"/>
      <w:bookmarkEnd w:id="16649"/>
      <w:bookmarkEnd w:id="16650"/>
      <w:bookmarkEnd w:id="16651"/>
      <w:bookmarkEnd w:id="16652"/>
    </w:p>
    <w:p w14:paraId="16373388" w14:textId="77777777" w:rsidR="003D504D" w:rsidRDefault="003D504D" w:rsidP="00E12979">
      <w:pPr>
        <w:pStyle w:val="a0"/>
        <w:numPr>
          <w:ilvl w:val="0"/>
          <w:numId w:val="35"/>
        </w:numPr>
        <w:rPr>
          <w:rtl/>
        </w:rPr>
      </w:pPr>
      <w:r>
        <w:rPr>
          <w:rFonts w:hint="cs"/>
          <w:rtl/>
        </w:rPr>
        <w:t xml:space="preserve">כתב </w:t>
      </w:r>
      <w:r w:rsidRPr="007A44EF">
        <w:rPr>
          <w:rStyle w:val="af9"/>
          <w:rFonts w:hint="cs"/>
          <w:rtl/>
        </w:rPr>
        <w:t>רש"י</w:t>
      </w:r>
      <w:r>
        <w:rPr>
          <w:rFonts w:hint="cs"/>
          <w:rtl/>
        </w:rPr>
        <w:t xml:space="preserve"> </w:t>
      </w:r>
      <w:r w:rsidRPr="00223668">
        <w:rPr>
          <w:rStyle w:val="af7"/>
          <w:rFonts w:eastAsia="Guttman Hodes" w:hint="cs"/>
          <w:rtl/>
        </w:rPr>
        <w:t>(ד"ה הרי זה)</w:t>
      </w:r>
      <w:r>
        <w:rPr>
          <w:rFonts w:hint="cs"/>
          <w:rtl/>
        </w:rPr>
        <w:t xml:space="preserve"> דכיון שיצא ראשו, הרי הוא כילוד, דלא מהני ליה שחיטת אמו, ואם נמצא חי חייב בשחיטה מצד עצמו, ואם נמצא מת הרי הוא כנבילה.</w:t>
      </w:r>
    </w:p>
    <w:p w14:paraId="5EC09B81" w14:textId="77777777" w:rsidR="003D504D" w:rsidRDefault="003D504D" w:rsidP="003D504D">
      <w:pPr>
        <w:pStyle w:val="a3"/>
        <w:rPr>
          <w:rtl/>
        </w:rPr>
      </w:pPr>
      <w:bookmarkStart w:id="16653" w:name="_Toc536178363"/>
      <w:bookmarkStart w:id="16654" w:name="_Toc536180738"/>
      <w:bookmarkStart w:id="16655" w:name="_Toc536304975"/>
      <w:bookmarkStart w:id="16656" w:name="_Toc536305056"/>
      <w:bookmarkStart w:id="16657" w:name="_Toc536459268"/>
      <w:bookmarkStart w:id="16658" w:name="_Toc536466224"/>
      <w:bookmarkStart w:id="16659" w:name="_Toc536540373"/>
      <w:bookmarkStart w:id="16660" w:name="_Toc536564184"/>
      <w:bookmarkStart w:id="16661" w:name="_Toc536564339"/>
      <w:bookmarkStart w:id="16662" w:name="_Toc536616873"/>
      <w:bookmarkStart w:id="16663" w:name="_Toc19391189"/>
      <w:bookmarkStart w:id="16664" w:name="_Toc19394686"/>
      <w:r>
        <w:rPr>
          <w:rFonts w:hint="cs"/>
          <w:rtl/>
        </w:rPr>
        <w:t>דברי התוס' בב"ק דכיון דהוי כילוד אינו בכלל היתר "בהמה בבהמה"</w:t>
      </w:r>
      <w:bookmarkEnd w:id="16653"/>
      <w:bookmarkEnd w:id="16654"/>
      <w:bookmarkEnd w:id="16655"/>
      <w:bookmarkEnd w:id="16656"/>
      <w:bookmarkEnd w:id="16657"/>
      <w:bookmarkEnd w:id="16658"/>
      <w:bookmarkEnd w:id="16659"/>
      <w:bookmarkEnd w:id="16660"/>
      <w:bookmarkEnd w:id="16661"/>
      <w:bookmarkEnd w:id="16662"/>
      <w:bookmarkEnd w:id="16663"/>
      <w:bookmarkEnd w:id="16664"/>
    </w:p>
    <w:p w14:paraId="1E1A9F6C" w14:textId="77777777" w:rsidR="003D504D" w:rsidRDefault="003D504D" w:rsidP="00223668">
      <w:pPr>
        <w:pStyle w:val="a0"/>
        <w:rPr>
          <w:rtl/>
        </w:rPr>
      </w:pPr>
      <w:r>
        <w:rPr>
          <w:rFonts w:hint="cs"/>
          <w:rtl/>
        </w:rPr>
        <w:t xml:space="preserve">כתבו </w:t>
      </w:r>
      <w:r w:rsidRPr="00A4193B">
        <w:rPr>
          <w:rStyle w:val="af9"/>
          <w:rFonts w:hint="cs"/>
          <w:rtl/>
        </w:rPr>
        <w:t xml:space="preserve">התוס' בב"ק </w:t>
      </w:r>
      <w:r w:rsidRPr="00A4193B">
        <w:rPr>
          <w:rStyle w:val="af7"/>
          <w:rFonts w:eastAsia="Guttman Hodes" w:hint="cs"/>
          <w:rtl/>
        </w:rPr>
        <w:t>(יא. ריש ד"ה שליא)</w:t>
      </w:r>
      <w:r>
        <w:rPr>
          <w:rFonts w:hint="cs"/>
          <w:rtl/>
        </w:rPr>
        <w:t xml:space="preserve"> דכשיצא ראשו והרי הוא כילוד, אינו בכלל היתר "בהמה בבהמה".</w:t>
      </w:r>
    </w:p>
    <w:p w14:paraId="7E62B9DD" w14:textId="77777777" w:rsidR="003D504D" w:rsidRDefault="003D504D" w:rsidP="003D504D">
      <w:pPr>
        <w:pStyle w:val="a3"/>
        <w:rPr>
          <w:rtl/>
        </w:rPr>
      </w:pPr>
      <w:bookmarkStart w:id="16665" w:name="_Toc536178364"/>
      <w:bookmarkStart w:id="16666" w:name="_Toc536180739"/>
      <w:bookmarkStart w:id="16667" w:name="_Toc536304976"/>
      <w:bookmarkStart w:id="16668" w:name="_Toc536305057"/>
      <w:bookmarkStart w:id="16669" w:name="_Toc536459269"/>
      <w:bookmarkStart w:id="16670" w:name="_Toc536466225"/>
      <w:bookmarkStart w:id="16671" w:name="_Toc536540374"/>
      <w:bookmarkStart w:id="16672" w:name="_Toc536564185"/>
      <w:bookmarkStart w:id="16673" w:name="_Toc536564340"/>
      <w:bookmarkStart w:id="16674" w:name="_Toc536616874"/>
      <w:bookmarkStart w:id="16675" w:name="_Toc19391190"/>
      <w:bookmarkStart w:id="16676" w:name="_Toc19394687"/>
      <w:r>
        <w:rPr>
          <w:rFonts w:hint="cs"/>
          <w:rtl/>
        </w:rPr>
        <w:t>דברי התוס' דכיון דהוי כילוד פשיטא דחזרת הראש אינה מתירתו</w:t>
      </w:r>
      <w:bookmarkEnd w:id="16665"/>
      <w:bookmarkEnd w:id="16666"/>
      <w:bookmarkEnd w:id="16667"/>
      <w:bookmarkEnd w:id="16668"/>
      <w:bookmarkEnd w:id="16669"/>
      <w:bookmarkEnd w:id="16670"/>
      <w:bookmarkEnd w:id="16671"/>
      <w:bookmarkEnd w:id="16672"/>
      <w:bookmarkEnd w:id="16673"/>
      <w:bookmarkEnd w:id="16674"/>
      <w:bookmarkEnd w:id="16675"/>
      <w:bookmarkEnd w:id="16676"/>
    </w:p>
    <w:p w14:paraId="2C814600" w14:textId="77777777" w:rsidR="003D504D" w:rsidRDefault="003D504D" w:rsidP="00223668">
      <w:pPr>
        <w:pStyle w:val="a0"/>
        <w:rPr>
          <w:rtl/>
        </w:rPr>
      </w:pPr>
      <w:bookmarkStart w:id="16677" w:name="_Ref536042579"/>
      <w:r>
        <w:rPr>
          <w:rFonts w:hint="cs"/>
          <w:rtl/>
        </w:rPr>
        <w:t xml:space="preserve">בקושית הגמ' מה החידוש בסיפא, הרי הדין דיצא ראשו הוא כילוד כבר תני במתני' בבכורות, הקשו </w:t>
      </w:r>
      <w:r w:rsidRPr="00E96CAF">
        <w:rPr>
          <w:rStyle w:val="af9"/>
          <w:rFonts w:hint="cs"/>
          <w:rtl/>
        </w:rPr>
        <w:t>התוס'</w:t>
      </w:r>
      <w:r>
        <w:rPr>
          <w:rFonts w:hint="cs"/>
          <w:rtl/>
        </w:rPr>
        <w:t xml:space="preserve"> </w:t>
      </w:r>
      <w:r w:rsidRPr="00101A69">
        <w:rPr>
          <w:rStyle w:val="af7"/>
          <w:rFonts w:eastAsia="Guttman Hodes" w:hint="cs"/>
          <w:rtl/>
        </w:rPr>
        <w:t xml:space="preserve">(ד"ה סיפא) </w:t>
      </w:r>
      <w:r>
        <w:rPr>
          <w:rFonts w:hint="cs"/>
          <w:rtl/>
        </w:rPr>
        <w:t xml:space="preserve">דאפש"ל דהחידוש במתני' דאף שהחזירו עדיין דינו כילוד, ותירצו </w:t>
      </w:r>
      <w:r w:rsidRPr="00E96CAF">
        <w:rPr>
          <w:rStyle w:val="af9"/>
          <w:rFonts w:hint="cs"/>
          <w:rtl/>
        </w:rPr>
        <w:t xml:space="preserve">התוס' </w:t>
      </w:r>
      <w:r>
        <w:rPr>
          <w:rFonts w:hint="cs"/>
          <w:rtl/>
        </w:rPr>
        <w:t>דכיון שבלא החזיר חשיב כילוד, פשיטא דהחזרה אינה כלום, אבל לולי המשנה בבכורות אם היתה כוונת המשנה לחדש דיציאת הראש הוי לידה, יכול המשנה לומר אגב אורחיה דאף אם החזירו הוי כילוד.</w:t>
      </w:r>
      <w:bookmarkEnd w:id="16677"/>
    </w:p>
    <w:p w14:paraId="76674B6F" w14:textId="77777777" w:rsidR="003D504D" w:rsidRDefault="003D504D" w:rsidP="003D504D">
      <w:pPr>
        <w:pStyle w:val="a3"/>
        <w:rPr>
          <w:rtl/>
        </w:rPr>
      </w:pPr>
      <w:bookmarkStart w:id="16678" w:name="_Toc536178365"/>
      <w:bookmarkStart w:id="16679" w:name="_Toc536180740"/>
      <w:bookmarkStart w:id="16680" w:name="_Toc536304977"/>
      <w:bookmarkStart w:id="16681" w:name="_Toc536305058"/>
      <w:bookmarkStart w:id="16682" w:name="_Toc536459270"/>
      <w:bookmarkStart w:id="16683" w:name="_Toc536466226"/>
      <w:bookmarkStart w:id="16684" w:name="_Toc536540375"/>
      <w:bookmarkStart w:id="16685" w:name="_Toc536564186"/>
      <w:bookmarkStart w:id="16686" w:name="_Toc536564341"/>
      <w:bookmarkStart w:id="16687" w:name="_Toc536616875"/>
      <w:bookmarkStart w:id="16688" w:name="_Toc19391191"/>
      <w:bookmarkStart w:id="16689" w:name="_Toc19394688"/>
      <w:r>
        <w:rPr>
          <w:rFonts w:hint="cs"/>
          <w:rtl/>
        </w:rPr>
        <w:t>דברי התוס' דאין חידוש דמה שנשאר בפנים אסור דכל שהוא שלם פשיטא שאוסר</w:t>
      </w:r>
      <w:bookmarkEnd w:id="16678"/>
      <w:bookmarkEnd w:id="16679"/>
      <w:bookmarkEnd w:id="16680"/>
      <w:bookmarkEnd w:id="16681"/>
      <w:bookmarkEnd w:id="16682"/>
      <w:bookmarkEnd w:id="16683"/>
      <w:bookmarkEnd w:id="16684"/>
      <w:bookmarkEnd w:id="16685"/>
      <w:bookmarkEnd w:id="16686"/>
      <w:bookmarkEnd w:id="16687"/>
      <w:bookmarkEnd w:id="16688"/>
      <w:bookmarkEnd w:id="16689"/>
    </w:p>
    <w:p w14:paraId="73C5CE91" w14:textId="77777777" w:rsidR="003D504D" w:rsidRPr="00101A69" w:rsidRDefault="003D504D" w:rsidP="00223668">
      <w:pPr>
        <w:pStyle w:val="a0"/>
        <w:rPr>
          <w:rStyle w:val="afb"/>
          <w:rtl/>
        </w:rPr>
      </w:pPr>
      <w:r>
        <w:rPr>
          <w:rFonts w:hint="cs"/>
          <w:rtl/>
        </w:rPr>
        <w:t xml:space="preserve">והוסיפו </w:t>
      </w:r>
      <w:r w:rsidRPr="00E96CAF">
        <w:rPr>
          <w:rStyle w:val="af9"/>
          <w:rFonts w:hint="cs"/>
          <w:rtl/>
        </w:rPr>
        <w:t xml:space="preserve">התוס' </w:t>
      </w:r>
      <w:r>
        <w:rPr>
          <w:rFonts w:hint="cs"/>
          <w:rtl/>
        </w:rPr>
        <w:t xml:space="preserve">דא"א לומר דקמ"ל מתני' דכיון שיצא ראשו, אף מה שנשאר בפנים אסור, דדין זה אינו מפורש במתני' בבכורות, דכיון דחשיב כילוד פשיטא דאף מה שנשאר בפנים נאסר, כיון שהולד </w:t>
      </w:r>
      <w:r w:rsidRPr="00C2638B">
        <w:rPr>
          <w:rFonts w:hint="cs"/>
          <w:rtl/>
        </w:rPr>
        <w:t>שלם, ועי' בדבר</w:t>
      </w:r>
      <w:r>
        <w:rPr>
          <w:rFonts w:hint="cs"/>
          <w:rtl/>
        </w:rPr>
        <w:t>י</w:t>
      </w:r>
      <w:r w:rsidRPr="00C2638B">
        <w:rPr>
          <w:rFonts w:hint="cs"/>
          <w:rtl/>
        </w:rPr>
        <w:t xml:space="preserve"> </w:t>
      </w:r>
      <w:r w:rsidRPr="00C2638B">
        <w:rPr>
          <w:rStyle w:val="af9"/>
          <w:rFonts w:hint="cs"/>
          <w:rtl/>
        </w:rPr>
        <w:t xml:space="preserve">הראש יוסף </w:t>
      </w:r>
      <w:r w:rsidRPr="00C2638B">
        <w:rPr>
          <w:rStyle w:val="af7"/>
          <w:rFonts w:eastAsia="Guttman Hodes" w:hint="cs"/>
          <w:rtl/>
        </w:rPr>
        <w:t xml:space="preserve">(עי' אות </w:t>
      </w:r>
      <w:r w:rsidRPr="00C2638B">
        <w:rPr>
          <w:rStyle w:val="af7"/>
          <w:rFonts w:eastAsia="Guttman Hodes"/>
          <w:rtl/>
        </w:rPr>
        <w:fldChar w:fldCharType="begin"/>
      </w:r>
      <w:r w:rsidRPr="00C2638B">
        <w:rPr>
          <w:rStyle w:val="af7"/>
          <w:rFonts w:eastAsia="Guttman Hodes"/>
          <w:rtl/>
        </w:rPr>
        <w:instrText xml:space="preserve"> </w:instrText>
      </w:r>
      <w:r w:rsidRPr="00C2638B">
        <w:rPr>
          <w:rStyle w:val="af7"/>
          <w:rFonts w:eastAsia="Guttman Hodes" w:hint="cs"/>
        </w:rPr>
        <w:instrText>REF</w:instrText>
      </w:r>
      <w:r w:rsidRPr="00C2638B">
        <w:rPr>
          <w:rStyle w:val="af7"/>
          <w:rFonts w:eastAsia="Guttman Hodes" w:hint="cs"/>
          <w:rtl/>
        </w:rPr>
        <w:instrText xml:space="preserve"> _</w:instrText>
      </w:r>
      <w:r w:rsidRPr="00C2638B">
        <w:rPr>
          <w:rStyle w:val="af7"/>
          <w:rFonts w:eastAsia="Guttman Hodes" w:hint="cs"/>
        </w:rPr>
        <w:instrText>Ref536176852 \r \h</w:instrText>
      </w:r>
      <w:r w:rsidRPr="00C2638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2638B">
        <w:rPr>
          <w:rStyle w:val="af7"/>
          <w:rFonts w:eastAsia="Guttman Hodes"/>
          <w:rtl/>
        </w:rPr>
      </w:r>
      <w:r w:rsidRPr="00C2638B">
        <w:rPr>
          <w:rStyle w:val="af7"/>
          <w:rFonts w:eastAsia="Guttman Hodes"/>
          <w:rtl/>
        </w:rPr>
        <w:fldChar w:fldCharType="separate"/>
      </w:r>
      <w:r w:rsidR="00345400">
        <w:rPr>
          <w:rStyle w:val="af7"/>
          <w:rFonts w:eastAsia="Guttman Hodes"/>
          <w:cs/>
        </w:rPr>
        <w:t>‎</w:t>
      </w:r>
      <w:r w:rsidR="00345400">
        <w:rPr>
          <w:rStyle w:val="af7"/>
          <w:rFonts w:eastAsia="Guttman Hodes"/>
          <w:rtl/>
        </w:rPr>
        <w:t>יד)</w:t>
      </w:r>
      <w:r w:rsidRPr="00C2638B">
        <w:rPr>
          <w:rStyle w:val="af7"/>
          <w:rFonts w:eastAsia="Guttman Hodes"/>
          <w:rtl/>
        </w:rPr>
        <w:fldChar w:fldCharType="end"/>
      </w:r>
      <w:r w:rsidRPr="00C2638B">
        <w:rPr>
          <w:rFonts w:hint="cs"/>
          <w:rtl/>
        </w:rPr>
        <w:t>.</w:t>
      </w:r>
      <w:r>
        <w:rPr>
          <w:rFonts w:hint="cs"/>
          <w:rtl/>
        </w:rPr>
        <w:t xml:space="preserve"> </w:t>
      </w:r>
      <w:r w:rsidRPr="00101A69">
        <w:rPr>
          <w:rStyle w:val="afb"/>
          <w:rFonts w:hint="cs"/>
          <w:rtl/>
        </w:rPr>
        <w:t>[</w:t>
      </w:r>
      <w:r>
        <w:rPr>
          <w:rStyle w:val="afb"/>
          <w:rFonts w:hint="cs"/>
          <w:rtl/>
        </w:rPr>
        <w:t>וע"ע</w:t>
      </w:r>
      <w:r w:rsidRPr="00101A69">
        <w:rPr>
          <w:rStyle w:val="afb"/>
          <w:rFonts w:hint="cs"/>
          <w:rtl/>
        </w:rPr>
        <w:t xml:space="preserve"> במ"ש </w:t>
      </w:r>
      <w:r w:rsidRPr="00101A69">
        <w:rPr>
          <w:rStyle w:val="affa"/>
          <w:rFonts w:hint="cs"/>
          <w:rtl/>
        </w:rPr>
        <w:t>ה</w:t>
      </w:r>
      <w:r w:rsidR="00345400">
        <w:rPr>
          <w:rStyle w:val="affa"/>
          <w:rFonts w:hint="cs"/>
          <w:rtl/>
        </w:rPr>
        <w:t>פלתי</w:t>
      </w:r>
      <w:r w:rsidRPr="00101A69">
        <w:rPr>
          <w:rStyle w:val="afb"/>
          <w:rFonts w:hint="cs"/>
          <w:rtl/>
        </w:rPr>
        <w:t xml:space="preserve"> </w:t>
      </w:r>
      <w:r w:rsidRPr="00101A69">
        <w:rPr>
          <w:rStyle w:val="aff6"/>
          <w:rFonts w:hint="cs"/>
          <w:rtl/>
        </w:rPr>
        <w:t>(סי' י"ד סק"ד)</w:t>
      </w:r>
      <w:r w:rsidRPr="00101A69">
        <w:rPr>
          <w:rStyle w:val="afb"/>
          <w:rFonts w:hint="cs"/>
          <w:rtl/>
        </w:rPr>
        <w:t xml:space="preserve"> בדברי </w:t>
      </w:r>
      <w:r w:rsidRPr="00101A69">
        <w:rPr>
          <w:rStyle w:val="affa"/>
          <w:rFonts w:hint="cs"/>
          <w:rtl/>
        </w:rPr>
        <w:t xml:space="preserve">המהרש"א </w:t>
      </w:r>
      <w:r w:rsidRPr="00101A69">
        <w:rPr>
          <w:rStyle w:val="afb"/>
          <w:rFonts w:hint="cs"/>
          <w:rtl/>
        </w:rPr>
        <w:t xml:space="preserve">על </w:t>
      </w:r>
      <w:r w:rsidRPr="00101A69">
        <w:rPr>
          <w:rStyle w:val="affa"/>
          <w:rFonts w:hint="cs"/>
          <w:rtl/>
        </w:rPr>
        <w:t xml:space="preserve">התוס' </w:t>
      </w:r>
      <w:r w:rsidRPr="00101A69">
        <w:rPr>
          <w:rStyle w:val="afb"/>
          <w:rFonts w:hint="cs"/>
          <w:rtl/>
        </w:rPr>
        <w:t>לענין מחותך]</w:t>
      </w:r>
      <w:r>
        <w:rPr>
          <w:rStyle w:val="afb"/>
          <w:rFonts w:hint="cs"/>
          <w:rtl/>
        </w:rPr>
        <w:t>.</w:t>
      </w:r>
    </w:p>
    <w:p w14:paraId="06928A97" w14:textId="77777777" w:rsidR="003D504D" w:rsidRDefault="003D504D" w:rsidP="00BF39B2">
      <w:pPr>
        <w:pStyle w:val="1"/>
        <w:rPr>
          <w:rtl/>
        </w:rPr>
      </w:pPr>
      <w:bookmarkStart w:id="16690" w:name="_Toc536130304"/>
      <w:bookmarkStart w:id="16691" w:name="_Toc536178366"/>
      <w:bookmarkStart w:id="16692" w:name="_Toc536180741"/>
      <w:bookmarkStart w:id="16693" w:name="_Toc536304978"/>
      <w:bookmarkStart w:id="16694" w:name="_Toc536305059"/>
      <w:bookmarkStart w:id="16695" w:name="_Toc536459271"/>
      <w:bookmarkStart w:id="16696" w:name="_Toc536466227"/>
      <w:bookmarkStart w:id="16697" w:name="_Toc536540376"/>
      <w:bookmarkStart w:id="16698" w:name="_Toc536564187"/>
      <w:bookmarkStart w:id="16699" w:name="_Toc536564342"/>
      <w:bookmarkStart w:id="16700" w:name="_Toc536616876"/>
      <w:bookmarkStart w:id="16701" w:name="_Toc19391192"/>
      <w:bookmarkStart w:id="16702" w:name="_Toc19394689"/>
      <w:r>
        <w:rPr>
          <w:rFonts w:hint="cs"/>
          <w:rtl/>
        </w:rPr>
        <w:t>דברי רבינו גרשום</w:t>
      </w:r>
      <w:bookmarkEnd w:id="16690"/>
      <w:r>
        <w:rPr>
          <w:rFonts w:hint="cs"/>
          <w:rtl/>
        </w:rPr>
        <w:t xml:space="preserve"> דבהוציא ראשו חשיב כיצא חוץ למחיצתו</w:t>
      </w:r>
      <w:bookmarkEnd w:id="16691"/>
      <w:bookmarkEnd w:id="16692"/>
      <w:bookmarkEnd w:id="16693"/>
      <w:bookmarkEnd w:id="16694"/>
      <w:bookmarkEnd w:id="16695"/>
      <w:bookmarkEnd w:id="16696"/>
      <w:bookmarkEnd w:id="16697"/>
      <w:bookmarkEnd w:id="16698"/>
      <w:bookmarkEnd w:id="16699"/>
      <w:bookmarkEnd w:id="16700"/>
      <w:bookmarkEnd w:id="16701"/>
      <w:bookmarkEnd w:id="16702"/>
    </w:p>
    <w:p w14:paraId="3EDB6459" w14:textId="77777777" w:rsidR="003D504D" w:rsidRDefault="003D504D" w:rsidP="003D504D">
      <w:pPr>
        <w:pStyle w:val="a3"/>
        <w:rPr>
          <w:rtl/>
        </w:rPr>
      </w:pPr>
      <w:bookmarkStart w:id="16703" w:name="_Toc536178367"/>
      <w:bookmarkStart w:id="16704" w:name="_Toc536180742"/>
      <w:bookmarkStart w:id="16705" w:name="_Toc536304979"/>
      <w:bookmarkStart w:id="16706" w:name="_Toc536305060"/>
      <w:bookmarkStart w:id="16707" w:name="_Toc536459272"/>
      <w:bookmarkStart w:id="16708" w:name="_Toc536466228"/>
      <w:bookmarkStart w:id="16709" w:name="_Toc536540377"/>
      <w:bookmarkStart w:id="16710" w:name="_Toc536564188"/>
      <w:bookmarkStart w:id="16711" w:name="_Toc536564343"/>
      <w:bookmarkStart w:id="16712" w:name="_Toc536616877"/>
      <w:bookmarkStart w:id="16713" w:name="_Toc19391193"/>
      <w:bookmarkStart w:id="16714" w:name="_Toc19394690"/>
      <w:r>
        <w:rPr>
          <w:rFonts w:hint="cs"/>
          <w:rtl/>
        </w:rPr>
        <w:t>דברי רבינו גרשום דהוי כילוד ולא מהני ליה חזרה ואסור כיון שיצא חוץ למחיצתו</w:t>
      </w:r>
      <w:bookmarkEnd w:id="16703"/>
      <w:bookmarkEnd w:id="16704"/>
      <w:bookmarkEnd w:id="16705"/>
      <w:bookmarkEnd w:id="16706"/>
      <w:bookmarkEnd w:id="16707"/>
      <w:bookmarkEnd w:id="16708"/>
      <w:bookmarkEnd w:id="16709"/>
      <w:bookmarkEnd w:id="16710"/>
      <w:bookmarkEnd w:id="16711"/>
      <w:bookmarkEnd w:id="16712"/>
      <w:bookmarkEnd w:id="16713"/>
      <w:bookmarkEnd w:id="16714"/>
    </w:p>
    <w:p w14:paraId="01A58B98" w14:textId="77777777" w:rsidR="003D504D" w:rsidRPr="00DE0E65" w:rsidRDefault="003D504D" w:rsidP="00223668">
      <w:pPr>
        <w:pStyle w:val="a0"/>
        <w:rPr>
          <w:rtl/>
        </w:rPr>
      </w:pPr>
      <w:bookmarkStart w:id="16715" w:name="_Toc536041984"/>
      <w:r w:rsidRPr="00416FED">
        <w:rPr>
          <w:rStyle w:val="af9"/>
          <w:rFonts w:hint="cs"/>
          <w:rtl/>
        </w:rPr>
        <w:t>וברבינו גרשום</w:t>
      </w:r>
      <w:r>
        <w:rPr>
          <w:rFonts w:hint="cs"/>
          <w:rtl/>
        </w:rPr>
        <w:t xml:space="preserve"> </w:t>
      </w:r>
      <w:r w:rsidRPr="00416FED">
        <w:rPr>
          <w:rStyle w:val="af7"/>
          <w:rFonts w:eastAsia="Guttman Hodes" w:hint="cs"/>
          <w:rtl/>
        </w:rPr>
        <w:t xml:space="preserve">(ד"ה בהמה) </w:t>
      </w:r>
      <w:r>
        <w:rPr>
          <w:rFonts w:hint="cs"/>
          <w:rtl/>
        </w:rPr>
        <w:t xml:space="preserve">כתב דכיון שהוא כילוד אף אם החזיר את ראשו, כולו אסור, ולא מהני ליה שחיטת אמו, ובדין שליא כתב </w:t>
      </w:r>
      <w:r w:rsidRPr="00416FED">
        <w:rPr>
          <w:rStyle w:val="af9"/>
          <w:rFonts w:hint="cs"/>
          <w:rtl/>
        </w:rPr>
        <w:t>רבינו גרשום</w:t>
      </w:r>
      <w:r>
        <w:rPr>
          <w:rFonts w:hint="cs"/>
          <w:rtl/>
        </w:rPr>
        <w:t xml:space="preserve"> </w:t>
      </w:r>
      <w:r w:rsidRPr="00416FED">
        <w:rPr>
          <w:rStyle w:val="af7"/>
          <w:rFonts w:eastAsia="Guttman Hodes" w:hint="cs"/>
          <w:rtl/>
        </w:rPr>
        <w:t>(ד"ה הא נמי</w:t>
      </w:r>
      <w:r>
        <w:rPr>
          <w:rStyle w:val="af7"/>
          <w:rFonts w:eastAsia="Guttman Hodes" w:hint="cs"/>
          <w:rtl/>
        </w:rPr>
        <w:t>, לקמן עז. ד"ה מכדי</w:t>
      </w:r>
      <w:r w:rsidRPr="00416FED">
        <w:rPr>
          <w:rStyle w:val="af7"/>
          <w:rFonts w:eastAsia="Guttman Hodes" w:hint="cs"/>
          <w:rtl/>
        </w:rPr>
        <w:t xml:space="preserve">) </w:t>
      </w:r>
      <w:r>
        <w:rPr>
          <w:rFonts w:hint="cs"/>
          <w:rtl/>
        </w:rPr>
        <w:t>דכיון שבשליא ודאי יצא ראשו, אסורה באכילה, דיצאה חוץ למחיצתה.</w:t>
      </w:r>
    </w:p>
    <w:p w14:paraId="46E8F0DA" w14:textId="77777777" w:rsidR="003D504D" w:rsidRPr="00F071E7" w:rsidRDefault="003D504D" w:rsidP="00BF39B2">
      <w:pPr>
        <w:pStyle w:val="1"/>
        <w:rPr>
          <w:rtl/>
        </w:rPr>
      </w:pPr>
      <w:bookmarkStart w:id="16716" w:name="_Toc536130305"/>
      <w:bookmarkStart w:id="16717" w:name="_Toc536178368"/>
      <w:bookmarkStart w:id="16718" w:name="_Toc536180743"/>
      <w:bookmarkStart w:id="16719" w:name="_Toc536304980"/>
      <w:bookmarkStart w:id="16720" w:name="_Toc536305061"/>
      <w:bookmarkStart w:id="16721" w:name="_Toc536459273"/>
      <w:bookmarkStart w:id="16722" w:name="_Toc536466229"/>
      <w:bookmarkStart w:id="16723" w:name="_Toc536540378"/>
      <w:bookmarkStart w:id="16724" w:name="_Toc536564189"/>
      <w:bookmarkStart w:id="16725" w:name="_Toc536564344"/>
      <w:bookmarkStart w:id="16726" w:name="_Toc536616878"/>
      <w:bookmarkStart w:id="16727" w:name="_Toc19391194"/>
      <w:bookmarkStart w:id="16728" w:name="_Toc19394691"/>
      <w:r>
        <w:rPr>
          <w:rFonts w:hint="cs"/>
          <w:rtl/>
        </w:rPr>
        <w:t xml:space="preserve">דעת הלבוש </w:t>
      </w:r>
      <w:bookmarkEnd w:id="16715"/>
      <w:bookmarkEnd w:id="16716"/>
      <w:r>
        <w:rPr>
          <w:rFonts w:hint="cs"/>
          <w:rtl/>
        </w:rPr>
        <w:t>דבהוציא ראשו אסור מדין יוצא</w:t>
      </w:r>
      <w:bookmarkEnd w:id="16717"/>
      <w:bookmarkEnd w:id="16718"/>
      <w:bookmarkEnd w:id="16719"/>
      <w:bookmarkEnd w:id="16720"/>
      <w:bookmarkEnd w:id="16721"/>
      <w:bookmarkEnd w:id="16722"/>
      <w:bookmarkEnd w:id="16723"/>
      <w:bookmarkEnd w:id="16724"/>
      <w:bookmarkEnd w:id="16725"/>
      <w:bookmarkEnd w:id="16726"/>
      <w:bookmarkEnd w:id="16727"/>
      <w:bookmarkEnd w:id="16728"/>
    </w:p>
    <w:p w14:paraId="716CC298" w14:textId="77777777" w:rsidR="003D504D" w:rsidRDefault="003D504D" w:rsidP="003D504D">
      <w:pPr>
        <w:pStyle w:val="a3"/>
        <w:rPr>
          <w:rtl/>
        </w:rPr>
      </w:pPr>
      <w:bookmarkStart w:id="16729" w:name="_Toc536178369"/>
      <w:bookmarkStart w:id="16730" w:name="_Toc536180744"/>
      <w:bookmarkStart w:id="16731" w:name="_Toc536304981"/>
      <w:bookmarkStart w:id="16732" w:name="_Toc536305062"/>
      <w:bookmarkStart w:id="16733" w:name="_Toc536459274"/>
      <w:bookmarkStart w:id="16734" w:name="_Toc536466230"/>
      <w:bookmarkStart w:id="16735" w:name="_Toc536540379"/>
      <w:bookmarkStart w:id="16736" w:name="_Toc536564190"/>
      <w:bookmarkStart w:id="16737" w:name="_Toc536564345"/>
      <w:bookmarkStart w:id="16738" w:name="_Toc536616879"/>
      <w:bookmarkStart w:id="16739" w:name="_Toc19391195"/>
      <w:bookmarkStart w:id="16740" w:name="_Toc19394692"/>
      <w:r>
        <w:rPr>
          <w:rFonts w:hint="cs"/>
          <w:rtl/>
        </w:rPr>
        <w:t>דברי הלבוש דאיסור "בשר בשדה טריפה" הוא בכגון שהוציא את ראשו</w:t>
      </w:r>
      <w:bookmarkEnd w:id="16729"/>
      <w:bookmarkEnd w:id="16730"/>
      <w:bookmarkEnd w:id="16731"/>
      <w:bookmarkEnd w:id="16732"/>
      <w:bookmarkEnd w:id="16733"/>
      <w:bookmarkEnd w:id="16734"/>
      <w:bookmarkEnd w:id="16735"/>
      <w:bookmarkEnd w:id="16736"/>
      <w:bookmarkEnd w:id="16737"/>
      <w:bookmarkEnd w:id="16738"/>
      <w:bookmarkEnd w:id="16739"/>
      <w:bookmarkEnd w:id="16740"/>
    </w:p>
    <w:p w14:paraId="74723FFF" w14:textId="77777777" w:rsidR="003D504D" w:rsidRDefault="003D504D" w:rsidP="00223668">
      <w:pPr>
        <w:pStyle w:val="a0"/>
        <w:rPr>
          <w:rtl/>
        </w:rPr>
      </w:pPr>
      <w:r>
        <w:rPr>
          <w:rFonts w:hint="cs"/>
          <w:rtl/>
        </w:rPr>
        <w:t xml:space="preserve">כתב </w:t>
      </w:r>
      <w:r w:rsidRPr="00C44D9F">
        <w:rPr>
          <w:rStyle w:val="af9"/>
          <w:rFonts w:hint="cs"/>
          <w:rtl/>
        </w:rPr>
        <w:t xml:space="preserve">הלבוש </w:t>
      </w:r>
      <w:r w:rsidRPr="00C44D9F">
        <w:rPr>
          <w:rStyle w:val="af7"/>
          <w:rFonts w:eastAsia="Guttman Hodes" w:hint="cs"/>
          <w:rtl/>
        </w:rPr>
        <w:t>(סי' י"ד א')</w:t>
      </w:r>
      <w:r>
        <w:rPr>
          <w:rFonts w:hint="cs"/>
          <w:rtl/>
        </w:rPr>
        <w:t xml:space="preserve"> דההיתר בבן פקועה, הוא דוקא אם לא יצא מעולם לחוץ מאמו, אבל אם פעם אחת היה בחוץ אסור מדין "בשר בשדה טריפה", וכתב </w:t>
      </w:r>
      <w:r w:rsidRPr="00BD46FA">
        <w:rPr>
          <w:rStyle w:val="af9"/>
          <w:rFonts w:hint="cs"/>
          <w:rtl/>
        </w:rPr>
        <w:t>הלבוש</w:t>
      </w:r>
      <w:r>
        <w:rPr>
          <w:rFonts w:hint="cs"/>
          <w:rtl/>
        </w:rPr>
        <w:t xml:space="preserve"> דהאיסור הוא בכגון שהוציא את ראשו והחזירו דהרי הוא כילוד, ואינו ניתר בשחיטת אמו.</w:t>
      </w:r>
    </w:p>
    <w:p w14:paraId="5E0E005D" w14:textId="77777777" w:rsidR="003D504D" w:rsidRPr="00BD46FA" w:rsidRDefault="003D504D" w:rsidP="003D504D">
      <w:pPr>
        <w:pStyle w:val="a3"/>
      </w:pPr>
      <w:bookmarkStart w:id="16741" w:name="_Toc536178370"/>
      <w:bookmarkStart w:id="16742" w:name="_Toc536180745"/>
      <w:bookmarkStart w:id="16743" w:name="_Toc536304982"/>
      <w:bookmarkStart w:id="16744" w:name="_Toc536305063"/>
      <w:bookmarkStart w:id="16745" w:name="_Toc536459275"/>
      <w:bookmarkStart w:id="16746" w:name="_Toc536466231"/>
      <w:bookmarkStart w:id="16747" w:name="_Toc536540380"/>
      <w:bookmarkStart w:id="16748" w:name="_Toc536564191"/>
      <w:bookmarkStart w:id="16749" w:name="_Toc536564346"/>
      <w:bookmarkStart w:id="16750" w:name="_Toc536616880"/>
      <w:bookmarkStart w:id="16751" w:name="_Toc19391196"/>
      <w:bookmarkStart w:id="16752" w:name="_Toc19394693"/>
      <w:r>
        <w:rPr>
          <w:rFonts w:hint="cs"/>
          <w:rtl/>
        </w:rPr>
        <w:t>ביאור הפרמ"ג בלבוש דחשיב שיצא כולו ממחיצת אמו ולא מהני חזרה להתירו דאסור ביוצא</w:t>
      </w:r>
      <w:bookmarkEnd w:id="16741"/>
      <w:bookmarkEnd w:id="16742"/>
      <w:bookmarkEnd w:id="16743"/>
      <w:bookmarkEnd w:id="16744"/>
      <w:bookmarkEnd w:id="16745"/>
      <w:bookmarkEnd w:id="16746"/>
      <w:bookmarkEnd w:id="16747"/>
      <w:bookmarkEnd w:id="16748"/>
      <w:bookmarkEnd w:id="16749"/>
      <w:bookmarkEnd w:id="16750"/>
      <w:bookmarkEnd w:id="16751"/>
      <w:bookmarkEnd w:id="16752"/>
    </w:p>
    <w:p w14:paraId="5A30CAD2" w14:textId="77777777" w:rsidR="003D504D" w:rsidRDefault="003D504D" w:rsidP="00223668">
      <w:pPr>
        <w:pStyle w:val="a0"/>
        <w:rPr>
          <w:rtl/>
        </w:rPr>
      </w:pPr>
      <w:r>
        <w:rPr>
          <w:rFonts w:hint="cs"/>
          <w:rtl/>
        </w:rPr>
        <w:t xml:space="preserve">וביאר </w:t>
      </w:r>
      <w:r w:rsidRPr="002C7408">
        <w:rPr>
          <w:rStyle w:val="af9"/>
          <w:rFonts w:hint="cs"/>
          <w:rtl/>
        </w:rPr>
        <w:t>הפרמ"ג</w:t>
      </w:r>
      <w:r>
        <w:rPr>
          <w:rFonts w:hint="cs"/>
          <w:rtl/>
        </w:rPr>
        <w:t xml:space="preserve"> </w:t>
      </w:r>
      <w:r w:rsidRPr="002C7408">
        <w:rPr>
          <w:rStyle w:val="af7"/>
          <w:rFonts w:eastAsia="Guttman Hodes" w:hint="cs"/>
          <w:rtl/>
        </w:rPr>
        <w:t xml:space="preserve">(סי' י"ד </w:t>
      </w:r>
      <w:r>
        <w:rPr>
          <w:rStyle w:val="af7"/>
          <w:rFonts w:eastAsia="Guttman Hodes" w:hint="cs"/>
          <w:rtl/>
        </w:rPr>
        <w:t>שפ"ד</w:t>
      </w:r>
      <w:r w:rsidRPr="002C7408">
        <w:rPr>
          <w:rStyle w:val="af7"/>
          <w:rFonts w:eastAsia="Guttman Hodes" w:hint="cs"/>
          <w:rtl/>
        </w:rPr>
        <w:t xml:space="preserve"> סק"ז)</w:t>
      </w:r>
      <w:r>
        <w:rPr>
          <w:rFonts w:hint="cs"/>
          <w:rtl/>
        </w:rPr>
        <w:t xml:space="preserve"> דכוונת</w:t>
      </w:r>
      <w:r w:rsidRPr="002C7408">
        <w:rPr>
          <w:rStyle w:val="af9"/>
          <w:rFonts w:hint="cs"/>
          <w:rtl/>
        </w:rPr>
        <w:t xml:space="preserve"> הלבוש </w:t>
      </w:r>
      <w:r>
        <w:rPr>
          <w:rFonts w:hint="cs"/>
          <w:rtl/>
        </w:rPr>
        <w:t>לומר דכיון שבשעה שהוציא את ראשו, חשיב שכולו יצא חוץ ממחיצת אמו, לכן לא מהני חזרתו להתירו, דאסור מדין "בשר בשדה טריפה" דאין לו היתר בחזרה</w:t>
      </w:r>
      <w:r>
        <w:rPr>
          <w:rStyle w:val="af1"/>
          <w:rtl/>
        </w:rPr>
        <w:footnoteReference w:id="112"/>
      </w:r>
      <w:r>
        <w:rPr>
          <w:rFonts w:hint="cs"/>
          <w:rtl/>
        </w:rPr>
        <w:t>.</w:t>
      </w:r>
    </w:p>
    <w:p w14:paraId="1CE1CEBB" w14:textId="77777777" w:rsidR="003D504D" w:rsidRPr="00F071E7" w:rsidRDefault="003D504D" w:rsidP="00BF39B2">
      <w:pPr>
        <w:pStyle w:val="1"/>
        <w:rPr>
          <w:rtl/>
        </w:rPr>
      </w:pPr>
      <w:bookmarkStart w:id="16753" w:name="_Toc536178371"/>
      <w:bookmarkStart w:id="16754" w:name="_Toc536180746"/>
      <w:bookmarkStart w:id="16755" w:name="_Toc536304983"/>
      <w:bookmarkStart w:id="16756" w:name="_Toc536305064"/>
      <w:bookmarkStart w:id="16757" w:name="_Toc536459276"/>
      <w:bookmarkStart w:id="16758" w:name="_Toc536466232"/>
      <w:bookmarkStart w:id="16759" w:name="_Toc536540381"/>
      <w:bookmarkStart w:id="16760" w:name="_Toc536564192"/>
      <w:bookmarkStart w:id="16761" w:name="_Toc536564347"/>
      <w:bookmarkStart w:id="16762" w:name="_Toc536616881"/>
      <w:bookmarkStart w:id="16763" w:name="_Toc19391197"/>
      <w:bookmarkStart w:id="16764" w:name="_Toc19394694"/>
      <w:r>
        <w:rPr>
          <w:rFonts w:hint="cs"/>
          <w:rtl/>
        </w:rPr>
        <w:t>דעת התבו"ש דבהוציא ראשו חשיב כבהמה בפנ"ע</w:t>
      </w:r>
      <w:bookmarkEnd w:id="16753"/>
      <w:bookmarkEnd w:id="16754"/>
      <w:bookmarkEnd w:id="16755"/>
      <w:bookmarkEnd w:id="16756"/>
      <w:bookmarkEnd w:id="16757"/>
      <w:bookmarkEnd w:id="16758"/>
      <w:bookmarkEnd w:id="16759"/>
      <w:bookmarkEnd w:id="16760"/>
      <w:bookmarkEnd w:id="16761"/>
      <w:bookmarkEnd w:id="16762"/>
      <w:bookmarkEnd w:id="16763"/>
      <w:bookmarkEnd w:id="16764"/>
    </w:p>
    <w:p w14:paraId="1DC499C0" w14:textId="77777777" w:rsidR="003D504D" w:rsidRDefault="003D504D" w:rsidP="003D504D">
      <w:pPr>
        <w:pStyle w:val="a3"/>
        <w:rPr>
          <w:rtl/>
        </w:rPr>
      </w:pPr>
      <w:bookmarkStart w:id="16765" w:name="_Toc536178372"/>
      <w:bookmarkStart w:id="16766" w:name="_Toc536180747"/>
      <w:bookmarkStart w:id="16767" w:name="_Toc536304984"/>
      <w:bookmarkStart w:id="16768" w:name="_Toc536305065"/>
      <w:bookmarkStart w:id="16769" w:name="_Toc536459277"/>
      <w:bookmarkStart w:id="16770" w:name="_Toc536466233"/>
      <w:bookmarkStart w:id="16771" w:name="_Toc536540382"/>
      <w:bookmarkStart w:id="16772" w:name="_Toc536564193"/>
      <w:bookmarkStart w:id="16773" w:name="_Toc536564348"/>
      <w:bookmarkStart w:id="16774" w:name="_Toc536616882"/>
      <w:bookmarkStart w:id="16775" w:name="_Toc19391198"/>
      <w:bookmarkStart w:id="16776" w:name="_Toc19394695"/>
      <w:r>
        <w:rPr>
          <w:rFonts w:hint="cs"/>
          <w:rtl/>
        </w:rPr>
        <w:t>קושית התבו"ש דהא ריו"ח מתיר בחזרה ולדברי הלבוש מתיר ריו"ח אף בראשו ודלא כמתני'</w:t>
      </w:r>
      <w:bookmarkEnd w:id="16765"/>
      <w:bookmarkEnd w:id="16766"/>
      <w:bookmarkEnd w:id="16767"/>
      <w:bookmarkEnd w:id="16768"/>
      <w:bookmarkEnd w:id="16769"/>
      <w:bookmarkEnd w:id="16770"/>
      <w:bookmarkEnd w:id="16771"/>
      <w:bookmarkEnd w:id="16772"/>
      <w:bookmarkEnd w:id="16773"/>
      <w:bookmarkEnd w:id="16774"/>
      <w:bookmarkEnd w:id="16775"/>
      <w:bookmarkEnd w:id="16776"/>
    </w:p>
    <w:p w14:paraId="1A4B2EF9" w14:textId="77777777" w:rsidR="003D504D" w:rsidRDefault="003D504D" w:rsidP="00223668">
      <w:pPr>
        <w:pStyle w:val="a0"/>
        <w:rPr>
          <w:rtl/>
        </w:rPr>
      </w:pPr>
      <w:bookmarkStart w:id="16777" w:name="_Ref536042562"/>
      <w:r>
        <w:rPr>
          <w:rFonts w:hint="cs"/>
          <w:rtl/>
        </w:rPr>
        <w:t xml:space="preserve">והקשה </w:t>
      </w:r>
      <w:r w:rsidRPr="00880648">
        <w:rPr>
          <w:rStyle w:val="af9"/>
          <w:rFonts w:hint="cs"/>
          <w:rtl/>
        </w:rPr>
        <w:t>התבו"ש</w:t>
      </w:r>
      <w:r w:rsidRPr="00880648">
        <w:rPr>
          <w:rStyle w:val="af7"/>
          <w:rFonts w:eastAsia="Guttman Hodes" w:hint="cs"/>
          <w:rtl/>
        </w:rPr>
        <w:t xml:space="preserve"> (סי' </w:t>
      </w:r>
      <w:r>
        <w:rPr>
          <w:rStyle w:val="af7"/>
          <w:rFonts w:eastAsia="Guttman Hodes" w:hint="cs"/>
          <w:rtl/>
        </w:rPr>
        <w:t>י</w:t>
      </w:r>
      <w:r>
        <w:rPr>
          <w:rStyle w:val="af7"/>
          <w:rFonts w:eastAsia="Guttman Hodes"/>
          <w:rtl/>
        </w:rPr>
        <w:t>"</w:t>
      </w:r>
      <w:r>
        <w:rPr>
          <w:rStyle w:val="af7"/>
          <w:rFonts w:eastAsia="Guttman Hodes" w:hint="cs"/>
          <w:rtl/>
        </w:rPr>
        <w:t>ד</w:t>
      </w:r>
      <w:r w:rsidRPr="00F15D6B">
        <w:rPr>
          <w:rStyle w:val="af7"/>
          <w:rFonts w:eastAsia="Guttman Hodes"/>
          <w:rtl/>
        </w:rPr>
        <w:t xml:space="preserve"> </w:t>
      </w:r>
      <w:r w:rsidRPr="00880648">
        <w:rPr>
          <w:rStyle w:val="af7"/>
          <w:rFonts w:eastAsia="Guttman Hodes" w:hint="cs"/>
          <w:rtl/>
        </w:rPr>
        <w:t xml:space="preserve">סק"ב) </w:t>
      </w:r>
      <w:r>
        <w:rPr>
          <w:rFonts w:hint="cs"/>
          <w:rtl/>
        </w:rPr>
        <w:t xml:space="preserve">על </w:t>
      </w:r>
      <w:r w:rsidRPr="00880648">
        <w:rPr>
          <w:rStyle w:val="af9"/>
          <w:rFonts w:hint="cs"/>
          <w:rtl/>
        </w:rPr>
        <w:t>הלבוש</w:t>
      </w:r>
      <w:r>
        <w:rPr>
          <w:rFonts w:hint="cs"/>
          <w:rtl/>
        </w:rPr>
        <w:t xml:space="preserve"> דהיאך אפש"ל דהאיסור ביצא ראשו והחזירו הוא מדין "בשר בשדה טריפה", הרי ריו"ח פליג וס"ל דמהני חזרה לאבר היוצא, ולדברי</w:t>
      </w:r>
      <w:r w:rsidRPr="00C04108">
        <w:rPr>
          <w:rStyle w:val="af9"/>
          <w:rFonts w:hint="cs"/>
          <w:rtl/>
        </w:rPr>
        <w:t xml:space="preserve"> הלבוש</w:t>
      </w:r>
      <w:r>
        <w:rPr>
          <w:rFonts w:hint="cs"/>
          <w:rtl/>
        </w:rPr>
        <w:t xml:space="preserve"> ריו"ח פליג אף על דינא דמתני' ומתיר בהחזיר את ראשו, כיון דס"ל דחזרה מתירה את איסור יוצא.</w:t>
      </w:r>
      <w:bookmarkEnd w:id="16777"/>
    </w:p>
    <w:p w14:paraId="5155C03A" w14:textId="77777777" w:rsidR="003D504D" w:rsidRDefault="003D504D" w:rsidP="003D504D">
      <w:pPr>
        <w:pStyle w:val="a3"/>
        <w:rPr>
          <w:rtl/>
        </w:rPr>
      </w:pPr>
      <w:bookmarkStart w:id="16778" w:name="_Toc536178373"/>
      <w:bookmarkStart w:id="16779" w:name="_Toc536180748"/>
      <w:bookmarkStart w:id="16780" w:name="_Toc536304985"/>
      <w:bookmarkStart w:id="16781" w:name="_Toc536305066"/>
      <w:bookmarkStart w:id="16782" w:name="_Toc536459278"/>
      <w:bookmarkStart w:id="16783" w:name="_Toc536466234"/>
      <w:bookmarkStart w:id="16784" w:name="_Toc536540383"/>
      <w:bookmarkStart w:id="16785" w:name="_Toc536564194"/>
      <w:bookmarkStart w:id="16786" w:name="_Toc536564349"/>
      <w:bookmarkStart w:id="16787" w:name="_Toc536616883"/>
      <w:bookmarkStart w:id="16788" w:name="_Toc19391199"/>
      <w:bookmarkStart w:id="16789" w:name="_Toc19394696"/>
      <w:r>
        <w:rPr>
          <w:rFonts w:hint="cs"/>
          <w:rtl/>
        </w:rPr>
        <w:t>דברי התבו"ש דביצא ראשו הוא כבהמה בפנ"ע ואין לו שייכות לאמו ואינו בכלל  "בהמה בבהמה"</w:t>
      </w:r>
      <w:bookmarkEnd w:id="16778"/>
      <w:bookmarkEnd w:id="16779"/>
      <w:bookmarkEnd w:id="16780"/>
      <w:bookmarkEnd w:id="16781"/>
      <w:bookmarkEnd w:id="16782"/>
      <w:bookmarkEnd w:id="16783"/>
      <w:bookmarkEnd w:id="16784"/>
      <w:bookmarkEnd w:id="16785"/>
      <w:bookmarkEnd w:id="16786"/>
      <w:bookmarkEnd w:id="16787"/>
      <w:bookmarkEnd w:id="16788"/>
      <w:bookmarkEnd w:id="16789"/>
      <w:r>
        <w:rPr>
          <w:rFonts w:hint="cs"/>
          <w:rtl/>
        </w:rPr>
        <w:t xml:space="preserve"> </w:t>
      </w:r>
    </w:p>
    <w:p w14:paraId="61BC4CA2" w14:textId="77777777" w:rsidR="003D504D" w:rsidRDefault="003D504D" w:rsidP="00223668">
      <w:pPr>
        <w:pStyle w:val="a0"/>
        <w:rPr>
          <w:rtl/>
        </w:rPr>
      </w:pPr>
      <w:r>
        <w:rPr>
          <w:rFonts w:hint="cs"/>
          <w:rtl/>
        </w:rPr>
        <w:t xml:space="preserve">אלא ביאר </w:t>
      </w:r>
      <w:r w:rsidRPr="00880648">
        <w:rPr>
          <w:rStyle w:val="af9"/>
          <w:rFonts w:hint="cs"/>
          <w:rtl/>
        </w:rPr>
        <w:t>התבו"ש</w:t>
      </w:r>
      <w:r>
        <w:rPr>
          <w:rFonts w:hint="cs"/>
          <w:rtl/>
        </w:rPr>
        <w:t xml:space="preserve"> </w:t>
      </w:r>
      <w:r w:rsidRPr="00880648">
        <w:rPr>
          <w:rStyle w:val="af7"/>
          <w:rFonts w:eastAsia="Guttman Hodes" w:hint="cs"/>
          <w:rtl/>
        </w:rPr>
        <w:t xml:space="preserve">(סי' </w:t>
      </w:r>
      <w:r>
        <w:rPr>
          <w:rStyle w:val="af7"/>
          <w:rFonts w:eastAsia="Guttman Hodes" w:hint="cs"/>
          <w:rtl/>
        </w:rPr>
        <w:t>י</w:t>
      </w:r>
      <w:r>
        <w:rPr>
          <w:rStyle w:val="af7"/>
          <w:rFonts w:eastAsia="Guttman Hodes"/>
          <w:rtl/>
        </w:rPr>
        <w:t>"</w:t>
      </w:r>
      <w:r>
        <w:rPr>
          <w:rStyle w:val="af7"/>
          <w:rFonts w:eastAsia="Guttman Hodes" w:hint="cs"/>
          <w:rtl/>
        </w:rPr>
        <w:t>ד</w:t>
      </w:r>
      <w:r w:rsidRPr="00880648">
        <w:rPr>
          <w:rStyle w:val="af7"/>
          <w:rFonts w:eastAsia="Guttman Hodes" w:hint="cs"/>
          <w:rtl/>
        </w:rPr>
        <w:t xml:space="preserve"> סק"ב) </w:t>
      </w:r>
      <w:r>
        <w:rPr>
          <w:rFonts w:hint="cs"/>
          <w:rtl/>
        </w:rPr>
        <w:t>דהאיסור ביצא ראשו הוא דכיון שנולד חשיב הולדת כבהמה לעצמה ואינה נגררת אחר האם,</w:t>
      </w:r>
      <w:r w:rsidRPr="00BA4CB9">
        <w:rPr>
          <w:rFonts w:hint="cs"/>
          <w:rtl/>
        </w:rPr>
        <w:t xml:space="preserve"> </w:t>
      </w:r>
      <w:r>
        <w:rPr>
          <w:rFonts w:hint="cs"/>
          <w:rtl/>
        </w:rPr>
        <w:t xml:space="preserve">וכדכתב </w:t>
      </w:r>
      <w:r w:rsidRPr="00880648">
        <w:rPr>
          <w:rStyle w:val="af9"/>
          <w:rFonts w:hint="cs"/>
          <w:rtl/>
        </w:rPr>
        <w:t>התבו"ש</w:t>
      </w:r>
      <w:r>
        <w:rPr>
          <w:rFonts w:hint="cs"/>
          <w:rtl/>
        </w:rPr>
        <w:t xml:space="preserve"> </w:t>
      </w:r>
      <w:r w:rsidRPr="00880648">
        <w:rPr>
          <w:rStyle w:val="af7"/>
          <w:rFonts w:eastAsia="Guttman Hodes" w:hint="cs"/>
          <w:rtl/>
        </w:rPr>
        <w:t xml:space="preserve">(סי' י"ד סעיף א') </w:t>
      </w:r>
      <w:r>
        <w:rPr>
          <w:rFonts w:hint="cs"/>
          <w:rtl/>
        </w:rPr>
        <w:t>דכיון שנולד אין לו כל שייכות לאמו ואינו בכלל היתר "בהמה בבהמה".</w:t>
      </w:r>
    </w:p>
    <w:p w14:paraId="0FD4BB58" w14:textId="77777777" w:rsidR="003D504D" w:rsidRDefault="003D504D" w:rsidP="003D504D">
      <w:pPr>
        <w:pStyle w:val="a3"/>
        <w:rPr>
          <w:rtl/>
        </w:rPr>
      </w:pPr>
      <w:bookmarkStart w:id="16790" w:name="_Toc536178374"/>
      <w:bookmarkStart w:id="16791" w:name="_Toc536180749"/>
      <w:bookmarkStart w:id="16792" w:name="_Toc536304986"/>
      <w:bookmarkStart w:id="16793" w:name="_Toc536305067"/>
      <w:bookmarkStart w:id="16794" w:name="_Toc536459279"/>
      <w:bookmarkStart w:id="16795" w:name="_Toc536466235"/>
      <w:bookmarkStart w:id="16796" w:name="_Toc536540384"/>
      <w:bookmarkStart w:id="16797" w:name="_Toc536564195"/>
      <w:bookmarkStart w:id="16798" w:name="_Toc536564350"/>
      <w:bookmarkStart w:id="16799" w:name="_Toc536616884"/>
      <w:bookmarkStart w:id="16800" w:name="_Toc19391200"/>
      <w:bookmarkStart w:id="16801" w:name="_Toc19394697"/>
      <w:r>
        <w:rPr>
          <w:rFonts w:hint="cs"/>
          <w:rtl/>
        </w:rPr>
        <w:t>דברי התבו"ש דמבואר ברש"י דבנולד הוא כבהמה בפנ"ע ואינו בכלל היתר "בהמה בבהמה"</w:t>
      </w:r>
      <w:bookmarkEnd w:id="16790"/>
      <w:bookmarkEnd w:id="16791"/>
      <w:bookmarkEnd w:id="16792"/>
      <w:bookmarkEnd w:id="16793"/>
      <w:bookmarkEnd w:id="16794"/>
      <w:bookmarkEnd w:id="16795"/>
      <w:bookmarkEnd w:id="16796"/>
      <w:bookmarkEnd w:id="16797"/>
      <w:bookmarkEnd w:id="16798"/>
      <w:bookmarkEnd w:id="16799"/>
      <w:bookmarkEnd w:id="16800"/>
      <w:bookmarkEnd w:id="16801"/>
    </w:p>
    <w:p w14:paraId="6F23E64C" w14:textId="77777777" w:rsidR="003D504D" w:rsidRDefault="003D504D" w:rsidP="00223668">
      <w:pPr>
        <w:pStyle w:val="a0"/>
        <w:rPr>
          <w:rtl/>
        </w:rPr>
      </w:pPr>
      <w:r>
        <w:rPr>
          <w:rFonts w:hint="cs"/>
          <w:rtl/>
        </w:rPr>
        <w:t xml:space="preserve">והוסיף </w:t>
      </w:r>
      <w:r w:rsidRPr="00880648">
        <w:rPr>
          <w:rStyle w:val="af9"/>
          <w:rFonts w:hint="cs"/>
          <w:rtl/>
        </w:rPr>
        <w:t>התבו"ש</w:t>
      </w:r>
      <w:r>
        <w:rPr>
          <w:rFonts w:hint="cs"/>
          <w:rtl/>
        </w:rPr>
        <w:t xml:space="preserve"> דכן מבואר מדברי </w:t>
      </w:r>
      <w:r w:rsidRPr="00880648">
        <w:rPr>
          <w:rStyle w:val="af9"/>
          <w:rFonts w:hint="cs"/>
          <w:rtl/>
        </w:rPr>
        <w:t>רש"י לקמן</w:t>
      </w:r>
      <w:r>
        <w:rPr>
          <w:rFonts w:hint="cs"/>
          <w:rtl/>
        </w:rPr>
        <w:t xml:space="preserve"> </w:t>
      </w:r>
      <w:r w:rsidRPr="00880648">
        <w:rPr>
          <w:rStyle w:val="af7"/>
          <w:rFonts w:eastAsia="Guttman Hodes" w:hint="cs"/>
          <w:rtl/>
        </w:rPr>
        <w:t>(עד. ד"ה טעון)</w:t>
      </w:r>
      <w:r>
        <w:rPr>
          <w:rFonts w:hint="cs"/>
          <w:rtl/>
        </w:rPr>
        <w:t xml:space="preserve"> דכתב דלדעת ר"מ דס"ל דבן תשעה חי חייב שחיטה מצד עצמו, ואינו ניתר בשחיטת אמו, היינו דכיון דכלו לו חדשיו חשיב כבהמה בפנ"ע, ואינו בכלל היתר "בהמה בבהמה", ולרבנן דס"ל דכל שלא נולד אף דכלו לו חדשיו מותר, ס"ל דהוא בכלל היתר "בהמה בבהמה", </w:t>
      </w:r>
      <w:r w:rsidRPr="00880648">
        <w:rPr>
          <w:rStyle w:val="afb"/>
          <w:rFonts w:hint="cs"/>
          <w:rtl/>
        </w:rPr>
        <w:t xml:space="preserve">[והיינו דמבואר </w:t>
      </w:r>
      <w:r w:rsidRPr="00540A3F">
        <w:rPr>
          <w:rStyle w:val="affa"/>
          <w:rFonts w:hint="cs"/>
          <w:rtl/>
        </w:rPr>
        <w:t>מרש"י</w:t>
      </w:r>
      <w:r w:rsidRPr="00880648">
        <w:rPr>
          <w:rStyle w:val="afb"/>
          <w:rFonts w:hint="cs"/>
          <w:rtl/>
        </w:rPr>
        <w:t xml:space="preserve"> דכל שלא נולד הוא בכלל ההיתר, ובנולד דינו כבהמה בפנ"ע, ולכן ל"מ ליה שחיטת אמו, וה"ה ביצא ראשו]</w:t>
      </w:r>
      <w:r>
        <w:rPr>
          <w:rFonts w:hint="cs"/>
          <w:rtl/>
        </w:rPr>
        <w:t xml:space="preserve">. </w:t>
      </w:r>
    </w:p>
    <w:p w14:paraId="4F46EED0" w14:textId="77777777" w:rsidR="003D504D" w:rsidRPr="0091188D" w:rsidRDefault="003D504D" w:rsidP="00BF39B2">
      <w:pPr>
        <w:pStyle w:val="1"/>
        <w:rPr>
          <w:rtl/>
        </w:rPr>
      </w:pPr>
      <w:bookmarkStart w:id="16802" w:name="_Toc536178375"/>
      <w:bookmarkStart w:id="16803" w:name="_Toc536180750"/>
      <w:bookmarkStart w:id="16804" w:name="_Toc536304987"/>
      <w:bookmarkStart w:id="16805" w:name="_Toc536305068"/>
      <w:bookmarkStart w:id="16806" w:name="_Toc536459280"/>
      <w:bookmarkStart w:id="16807" w:name="_Toc536466236"/>
      <w:bookmarkStart w:id="16808" w:name="_Toc536540385"/>
      <w:bookmarkStart w:id="16809" w:name="_Toc536564196"/>
      <w:bookmarkStart w:id="16810" w:name="_Toc536564351"/>
      <w:bookmarkStart w:id="16811" w:name="_Toc536616885"/>
      <w:bookmarkStart w:id="16812" w:name="_Toc19391201"/>
      <w:bookmarkStart w:id="16813" w:name="_Toc19394698"/>
      <w:r>
        <w:rPr>
          <w:rFonts w:hint="cs"/>
          <w:rtl/>
        </w:rPr>
        <w:t>ביאור הפרמ"ג בלבוש ובתבו"ש</w:t>
      </w:r>
      <w:bookmarkEnd w:id="16802"/>
      <w:bookmarkEnd w:id="16803"/>
      <w:bookmarkEnd w:id="16804"/>
      <w:bookmarkEnd w:id="16805"/>
      <w:bookmarkEnd w:id="16806"/>
      <w:bookmarkEnd w:id="16807"/>
      <w:bookmarkEnd w:id="16808"/>
      <w:bookmarkEnd w:id="16809"/>
      <w:bookmarkEnd w:id="16810"/>
      <w:bookmarkEnd w:id="16811"/>
      <w:bookmarkEnd w:id="16812"/>
      <w:bookmarkEnd w:id="16813"/>
    </w:p>
    <w:p w14:paraId="6F448F7B" w14:textId="77777777" w:rsidR="003D504D" w:rsidRDefault="003D504D" w:rsidP="003D504D">
      <w:pPr>
        <w:pStyle w:val="a3"/>
        <w:rPr>
          <w:rtl/>
        </w:rPr>
      </w:pPr>
      <w:bookmarkStart w:id="16814" w:name="_Toc536178376"/>
      <w:bookmarkStart w:id="16815" w:name="_Toc536180751"/>
      <w:bookmarkStart w:id="16816" w:name="_Toc536304988"/>
      <w:bookmarkStart w:id="16817" w:name="_Toc536305069"/>
      <w:bookmarkStart w:id="16818" w:name="_Toc536459281"/>
      <w:bookmarkStart w:id="16819" w:name="_Toc536466237"/>
      <w:bookmarkStart w:id="16820" w:name="_Toc536540386"/>
      <w:bookmarkStart w:id="16821" w:name="_Toc536564197"/>
      <w:bookmarkStart w:id="16822" w:name="_Toc536564352"/>
      <w:bookmarkStart w:id="16823" w:name="_Toc536616886"/>
      <w:bookmarkStart w:id="16824" w:name="_Toc19391202"/>
      <w:bookmarkStart w:id="16825" w:name="_Toc19394699"/>
      <w:r>
        <w:rPr>
          <w:rFonts w:hint="cs"/>
          <w:rtl/>
        </w:rPr>
        <w:t>תירוץ הפרמ"ג בלבוש דריו"ח מודה לאיסור יוצא אלא דהאבר נגרר אחר רוב העובר משא"כ בראשו</w:t>
      </w:r>
      <w:bookmarkEnd w:id="16814"/>
      <w:bookmarkEnd w:id="16815"/>
      <w:bookmarkEnd w:id="16816"/>
      <w:bookmarkEnd w:id="16817"/>
      <w:bookmarkEnd w:id="16818"/>
      <w:bookmarkEnd w:id="16819"/>
      <w:bookmarkEnd w:id="16820"/>
      <w:bookmarkEnd w:id="16821"/>
      <w:bookmarkEnd w:id="16822"/>
      <w:bookmarkEnd w:id="16823"/>
      <w:bookmarkEnd w:id="16824"/>
      <w:bookmarkEnd w:id="16825"/>
    </w:p>
    <w:p w14:paraId="34414D6E" w14:textId="77777777" w:rsidR="003D504D" w:rsidRDefault="003D504D" w:rsidP="00223668">
      <w:pPr>
        <w:pStyle w:val="a0"/>
        <w:rPr>
          <w:rtl/>
        </w:rPr>
      </w:pPr>
      <w:r>
        <w:rPr>
          <w:rStyle w:val="af9"/>
          <w:rFonts w:hint="cs"/>
          <w:rtl/>
        </w:rPr>
        <w:t>ו</w:t>
      </w:r>
      <w:r w:rsidRPr="002C7408">
        <w:rPr>
          <w:rStyle w:val="af9"/>
          <w:rFonts w:hint="cs"/>
          <w:rtl/>
        </w:rPr>
        <w:t>הפרמ"ג</w:t>
      </w:r>
      <w:r>
        <w:rPr>
          <w:rFonts w:hint="cs"/>
          <w:rtl/>
        </w:rPr>
        <w:t xml:space="preserve"> </w:t>
      </w:r>
      <w:r w:rsidRPr="002C7408">
        <w:rPr>
          <w:rStyle w:val="af7"/>
          <w:rFonts w:eastAsia="Guttman Hodes" w:hint="cs"/>
          <w:rtl/>
        </w:rPr>
        <w:t xml:space="preserve">(סי' י"ד </w:t>
      </w:r>
      <w:r>
        <w:rPr>
          <w:rStyle w:val="af7"/>
          <w:rFonts w:eastAsia="Guttman Hodes" w:hint="cs"/>
          <w:rtl/>
        </w:rPr>
        <w:t>שפ"ד</w:t>
      </w:r>
      <w:r w:rsidRPr="002C7408">
        <w:rPr>
          <w:rStyle w:val="af7"/>
          <w:rFonts w:eastAsia="Guttman Hodes" w:hint="cs"/>
          <w:rtl/>
        </w:rPr>
        <w:t xml:space="preserve"> סק"ז)</w:t>
      </w:r>
      <w:r>
        <w:rPr>
          <w:rFonts w:hint="cs"/>
          <w:rtl/>
        </w:rPr>
        <w:t xml:space="preserve"> תירץ את דברי</w:t>
      </w:r>
      <w:r w:rsidRPr="002C7408">
        <w:rPr>
          <w:rStyle w:val="af9"/>
          <w:rFonts w:hint="cs"/>
          <w:rtl/>
        </w:rPr>
        <w:t xml:space="preserve"> הלבוש </w:t>
      </w:r>
      <w:r>
        <w:rPr>
          <w:rFonts w:hint="cs"/>
          <w:rtl/>
        </w:rPr>
        <w:t xml:space="preserve">דאפש"ל דאף ריו"ח מודה לדרשה לאסור אבר היוצא מדין "בשר בשדה טריפה", אלא דס"ל דכיון שרוב העובר במעי אמו, אמרינן דהאבר נגרר אחר רוב העובר שבפנים, ובלא החזיר את האבר </w:t>
      </w:r>
      <w:r w:rsidRPr="00DC3F98">
        <w:rPr>
          <w:rStyle w:val="afb"/>
          <w:rFonts w:hint="cs"/>
          <w:rtl/>
        </w:rPr>
        <w:t>[אף שהוא נגרר אחר רוב העובר]</w:t>
      </w:r>
      <w:r>
        <w:rPr>
          <w:rFonts w:hint="cs"/>
          <w:rtl/>
        </w:rPr>
        <w:t xml:space="preserve">, אינו בכלל היתר "בהמה בבהמה", אבל במקום שהוציא את ראשו והחזירו אסור, דבשעה שהוציא את ראשו אף לדעת ריו"ח הוא היה בכלל איסור "בשר בשדה טריפה", </w:t>
      </w:r>
      <w:r w:rsidRPr="00DC3F98">
        <w:rPr>
          <w:rStyle w:val="afb"/>
          <w:rFonts w:hint="cs"/>
          <w:rtl/>
        </w:rPr>
        <w:t>[דכיון שראשו היה בחוץ</w:t>
      </w:r>
      <w:r>
        <w:rPr>
          <w:rStyle w:val="afb"/>
          <w:rFonts w:hint="cs"/>
          <w:rtl/>
        </w:rPr>
        <w:t>,</w:t>
      </w:r>
      <w:r w:rsidRPr="00DC3F98">
        <w:rPr>
          <w:rStyle w:val="afb"/>
          <w:rFonts w:hint="cs"/>
          <w:rtl/>
        </w:rPr>
        <w:t xml:space="preserve"> אינו נגרר אחר מה שנשאר בפנים], </w:t>
      </w:r>
      <w:r>
        <w:rPr>
          <w:rFonts w:hint="cs"/>
          <w:rtl/>
        </w:rPr>
        <w:t xml:space="preserve">ולכן מודה ריו"ח דבהוציא את ראשו לא מהני החזרה להתירו, אף דאיסורו הוא מדין "בשר בשדה טריפה" וכדכתב </w:t>
      </w:r>
      <w:r w:rsidRPr="00DC3F98">
        <w:rPr>
          <w:rStyle w:val="af9"/>
          <w:rFonts w:hint="cs"/>
          <w:rtl/>
        </w:rPr>
        <w:t>הלבוש</w:t>
      </w:r>
      <w:r>
        <w:rPr>
          <w:rFonts w:hint="cs"/>
          <w:rtl/>
        </w:rPr>
        <w:t xml:space="preserve">, ועי' במ"ש בזה </w:t>
      </w:r>
      <w:r w:rsidRPr="009347EF">
        <w:rPr>
          <w:rStyle w:val="af9"/>
          <w:rFonts w:hint="cs"/>
          <w:rtl/>
        </w:rPr>
        <w:t>החדרי דעה</w:t>
      </w:r>
      <w:r>
        <w:rPr>
          <w:rFonts w:hint="cs"/>
          <w:rtl/>
        </w:rPr>
        <w:t xml:space="preserve"> </w:t>
      </w:r>
      <w:r w:rsidRPr="009347EF">
        <w:rPr>
          <w:rStyle w:val="af7"/>
          <w:rFonts w:eastAsia="Guttman Hodes" w:hint="cs"/>
          <w:rtl/>
        </w:rPr>
        <w:t>(סי' י"ד ס"א)</w:t>
      </w:r>
      <w:r>
        <w:rPr>
          <w:rFonts w:hint="cs"/>
          <w:rtl/>
        </w:rPr>
        <w:t>.</w:t>
      </w:r>
    </w:p>
    <w:p w14:paraId="48445698" w14:textId="77777777" w:rsidR="003D504D" w:rsidRPr="00956E83" w:rsidRDefault="003D504D" w:rsidP="003D504D">
      <w:pPr>
        <w:pStyle w:val="a3"/>
        <w:rPr>
          <w:rtl/>
        </w:rPr>
      </w:pPr>
      <w:bookmarkStart w:id="16826" w:name="_Toc536178377"/>
      <w:bookmarkStart w:id="16827" w:name="_Toc536180752"/>
      <w:bookmarkStart w:id="16828" w:name="_Toc536304989"/>
      <w:bookmarkStart w:id="16829" w:name="_Toc536305070"/>
      <w:bookmarkStart w:id="16830" w:name="_Toc536459282"/>
      <w:bookmarkStart w:id="16831" w:name="_Toc536466238"/>
      <w:bookmarkStart w:id="16832" w:name="_Toc536540387"/>
      <w:bookmarkStart w:id="16833" w:name="_Toc536564198"/>
      <w:bookmarkStart w:id="16834" w:name="_Toc536564353"/>
      <w:bookmarkStart w:id="16835" w:name="_Toc536616887"/>
      <w:bookmarkStart w:id="16836" w:name="_Toc19391203"/>
      <w:bookmarkStart w:id="16837" w:name="_Toc19394700"/>
      <w:r>
        <w:rPr>
          <w:rFonts w:hint="cs"/>
          <w:rtl/>
        </w:rPr>
        <w:t>דחיית הפרמ"ג דדוחק לומר דלענין איסור יוצא האבר בחוץ נגרר אחר הרוב ולא לענין היתר שחיטה</w:t>
      </w:r>
      <w:bookmarkEnd w:id="16826"/>
      <w:bookmarkEnd w:id="16827"/>
      <w:bookmarkEnd w:id="16828"/>
      <w:bookmarkEnd w:id="16829"/>
      <w:bookmarkEnd w:id="16830"/>
      <w:bookmarkEnd w:id="16831"/>
      <w:bookmarkEnd w:id="16832"/>
      <w:bookmarkEnd w:id="16833"/>
      <w:bookmarkEnd w:id="16834"/>
      <w:bookmarkEnd w:id="16835"/>
      <w:bookmarkEnd w:id="16836"/>
      <w:bookmarkEnd w:id="16837"/>
    </w:p>
    <w:p w14:paraId="00BAD2B3" w14:textId="77777777" w:rsidR="003D504D" w:rsidRDefault="003D504D" w:rsidP="00223668">
      <w:pPr>
        <w:pStyle w:val="a0"/>
        <w:rPr>
          <w:rtl/>
        </w:rPr>
      </w:pPr>
      <w:r>
        <w:rPr>
          <w:rFonts w:hint="cs"/>
          <w:rtl/>
        </w:rPr>
        <w:t xml:space="preserve">אך דחה </w:t>
      </w:r>
      <w:r w:rsidRPr="00956E83">
        <w:rPr>
          <w:rStyle w:val="af9"/>
          <w:rFonts w:hint="cs"/>
          <w:rtl/>
        </w:rPr>
        <w:t>הפרמ"ג</w:t>
      </w:r>
      <w:r>
        <w:rPr>
          <w:rFonts w:hint="cs"/>
          <w:rtl/>
        </w:rPr>
        <w:t xml:space="preserve"> דדוחק לומר דלדעת ריו"ח אף כשהאבר בחוץ הוא נגרר אחר הרוב שבפנים וחשיב כאילו לא יצא לענין דין "בשר בשדה טריפה", אבל לענין היתר "בהמה בבהמה" אמרינן דכשהוא בחוץ אינו בכלל ההיתר, אלא כתב </w:t>
      </w:r>
      <w:r w:rsidRPr="00956E83">
        <w:rPr>
          <w:rStyle w:val="af9"/>
          <w:rFonts w:hint="cs"/>
          <w:rtl/>
        </w:rPr>
        <w:t>הפרמ"ג</w:t>
      </w:r>
      <w:r>
        <w:rPr>
          <w:rFonts w:hint="cs"/>
          <w:rtl/>
        </w:rPr>
        <w:t xml:space="preserve"> דמוכח דהביאור הוא כדברי </w:t>
      </w:r>
      <w:r w:rsidRPr="00956E83">
        <w:rPr>
          <w:rStyle w:val="af9"/>
          <w:rFonts w:hint="cs"/>
          <w:rtl/>
        </w:rPr>
        <w:t>התבו"ש</w:t>
      </w:r>
      <w:r>
        <w:rPr>
          <w:rFonts w:hint="cs"/>
          <w:rtl/>
        </w:rPr>
        <w:t>.</w:t>
      </w:r>
    </w:p>
    <w:p w14:paraId="1A31C976" w14:textId="77777777" w:rsidR="001117C1" w:rsidRDefault="001117C1" w:rsidP="003D504D">
      <w:pPr>
        <w:pStyle w:val="a3"/>
        <w:rPr>
          <w:rtl/>
        </w:rPr>
      </w:pPr>
      <w:bookmarkStart w:id="16838" w:name="_Toc536178378"/>
      <w:bookmarkStart w:id="16839" w:name="_Toc536180753"/>
      <w:bookmarkStart w:id="16840" w:name="_Toc536304990"/>
      <w:bookmarkStart w:id="16841" w:name="_Toc536305071"/>
      <w:bookmarkStart w:id="16842" w:name="_Toc536459283"/>
      <w:bookmarkStart w:id="16843" w:name="_Toc536466239"/>
      <w:bookmarkStart w:id="16844" w:name="_Toc536540388"/>
      <w:bookmarkStart w:id="16845" w:name="_Toc536564199"/>
      <w:bookmarkStart w:id="16846" w:name="_Toc536564354"/>
      <w:bookmarkStart w:id="16847" w:name="_Toc536616888"/>
    </w:p>
    <w:p w14:paraId="030A82B2" w14:textId="77777777" w:rsidR="003D504D" w:rsidRDefault="003D504D" w:rsidP="003D504D">
      <w:pPr>
        <w:pStyle w:val="a3"/>
        <w:rPr>
          <w:rtl/>
        </w:rPr>
      </w:pPr>
      <w:bookmarkStart w:id="16848" w:name="_Toc19391204"/>
      <w:bookmarkStart w:id="16849" w:name="_Toc19394701"/>
      <w:r>
        <w:rPr>
          <w:rFonts w:hint="cs"/>
          <w:rtl/>
        </w:rPr>
        <w:t>דברי הפרמ"ג דהנ"מ בין הלבוש לתבו"ש אי מהני שחיטת אמו לטהרו מידי נבילה</w:t>
      </w:r>
      <w:bookmarkEnd w:id="16838"/>
      <w:bookmarkEnd w:id="16839"/>
      <w:bookmarkEnd w:id="16840"/>
      <w:bookmarkEnd w:id="16841"/>
      <w:bookmarkEnd w:id="16842"/>
      <w:bookmarkEnd w:id="16843"/>
      <w:bookmarkEnd w:id="16844"/>
      <w:bookmarkEnd w:id="16845"/>
      <w:bookmarkEnd w:id="16846"/>
      <w:bookmarkEnd w:id="16847"/>
      <w:bookmarkEnd w:id="16848"/>
      <w:bookmarkEnd w:id="16849"/>
    </w:p>
    <w:p w14:paraId="4544A8F0" w14:textId="77777777" w:rsidR="003D504D" w:rsidRDefault="003D504D" w:rsidP="00223668">
      <w:pPr>
        <w:pStyle w:val="a0"/>
        <w:rPr>
          <w:rtl/>
        </w:rPr>
      </w:pPr>
      <w:r>
        <w:rPr>
          <w:rFonts w:hint="cs"/>
          <w:rtl/>
        </w:rPr>
        <w:t xml:space="preserve">וכתב </w:t>
      </w:r>
      <w:r w:rsidRPr="00956E83">
        <w:rPr>
          <w:rStyle w:val="af9"/>
          <w:rFonts w:hint="cs"/>
          <w:rtl/>
        </w:rPr>
        <w:t>הפרמ"ג</w:t>
      </w:r>
      <w:r>
        <w:rPr>
          <w:rFonts w:hint="cs"/>
          <w:rtl/>
        </w:rPr>
        <w:t xml:space="preserve"> דהנ"מ בין ביאור </w:t>
      </w:r>
      <w:r w:rsidRPr="00956E83">
        <w:rPr>
          <w:rStyle w:val="af9"/>
          <w:rFonts w:hint="cs"/>
          <w:rtl/>
        </w:rPr>
        <w:t>הלבוש</w:t>
      </w:r>
      <w:r>
        <w:rPr>
          <w:rFonts w:hint="cs"/>
          <w:rtl/>
        </w:rPr>
        <w:t xml:space="preserve"> לביאור </w:t>
      </w:r>
      <w:r w:rsidRPr="00956E83">
        <w:rPr>
          <w:rStyle w:val="af9"/>
          <w:rFonts w:hint="cs"/>
          <w:rtl/>
        </w:rPr>
        <w:t>התבו"ש</w:t>
      </w:r>
      <w:r>
        <w:rPr>
          <w:rFonts w:hint="cs"/>
          <w:rtl/>
        </w:rPr>
        <w:t xml:space="preserve">, היא לענין טומאת נבילה, דלדעת </w:t>
      </w:r>
      <w:r w:rsidRPr="00800D3C">
        <w:rPr>
          <w:rStyle w:val="af9"/>
          <w:rFonts w:hint="cs"/>
          <w:rtl/>
        </w:rPr>
        <w:t>הלבוש</w:t>
      </w:r>
      <w:r>
        <w:rPr>
          <w:rFonts w:hint="cs"/>
          <w:rtl/>
        </w:rPr>
        <w:t xml:space="preserve"> אם הוציא את ראשו והחזירו, מהני שחיטת אמו להתירו מידי נבילה, כיון שאיסורו הוא רק מדין "בשר בשדה טריפה", והוסיף </w:t>
      </w:r>
      <w:r w:rsidRPr="00956E83">
        <w:rPr>
          <w:rStyle w:val="af9"/>
          <w:rFonts w:hint="cs"/>
          <w:rtl/>
        </w:rPr>
        <w:t>הפרמ"ג</w:t>
      </w:r>
      <w:r>
        <w:rPr>
          <w:rFonts w:hint="cs"/>
          <w:rtl/>
        </w:rPr>
        <w:t xml:space="preserve"> דלדעת</w:t>
      </w:r>
      <w:r w:rsidRPr="00800D3C">
        <w:rPr>
          <w:rStyle w:val="af9"/>
          <w:rFonts w:hint="cs"/>
          <w:rtl/>
        </w:rPr>
        <w:t xml:space="preserve"> הלבוש</w:t>
      </w:r>
      <w:r>
        <w:rPr>
          <w:rFonts w:hint="cs"/>
          <w:rtl/>
        </w:rPr>
        <w:t xml:space="preserve"> </w:t>
      </w:r>
      <w:r>
        <w:rPr>
          <w:rStyle w:val="af9"/>
          <w:rFonts w:hint="cs"/>
          <w:rtl/>
        </w:rPr>
        <w:t>ל</w:t>
      </w:r>
      <w:r w:rsidRPr="00956E83">
        <w:rPr>
          <w:rStyle w:val="af9"/>
          <w:rFonts w:hint="cs"/>
          <w:rtl/>
        </w:rPr>
        <w:t>הרמב"ם</w:t>
      </w:r>
      <w:r>
        <w:rPr>
          <w:rFonts w:hint="cs"/>
          <w:rtl/>
        </w:rPr>
        <w:t xml:space="preserve"> </w:t>
      </w:r>
      <w:r w:rsidRPr="00216202">
        <w:rPr>
          <w:rStyle w:val="af7"/>
          <w:rFonts w:eastAsia="Guttman Hodes" w:hint="cs"/>
          <w:rtl/>
        </w:rPr>
        <w:t>(פ</w:t>
      </w:r>
      <w:r w:rsidRPr="00956E83">
        <w:rPr>
          <w:rStyle w:val="af7"/>
          <w:rFonts w:eastAsia="Guttman Hodes" w:hint="cs"/>
          <w:rtl/>
        </w:rPr>
        <w:t xml:space="preserve">"ה ממאכ"א הי"א) </w:t>
      </w:r>
      <w:r>
        <w:rPr>
          <w:rFonts w:hint="cs"/>
          <w:rtl/>
        </w:rPr>
        <w:t xml:space="preserve">אין בו איסור אבר מן החי אלא איסור טריפה, אבל לדעת </w:t>
      </w:r>
      <w:r w:rsidRPr="00956E83">
        <w:rPr>
          <w:rStyle w:val="af9"/>
          <w:rFonts w:hint="cs"/>
          <w:rtl/>
        </w:rPr>
        <w:t>התבו"ש</w:t>
      </w:r>
      <w:r>
        <w:rPr>
          <w:rFonts w:hint="cs"/>
          <w:rtl/>
        </w:rPr>
        <w:t xml:space="preserve"> דכשהוציא את ראשו הוא לידה גמורה וחזרתו לא חשיבא חזרה, לא מהני שחיטת אמו להתירו מידי נבילה.</w:t>
      </w:r>
    </w:p>
    <w:p w14:paraId="7611DF35" w14:textId="77777777" w:rsidR="003D504D" w:rsidRDefault="003D504D" w:rsidP="003D504D">
      <w:pPr>
        <w:pStyle w:val="a3"/>
        <w:rPr>
          <w:rtl/>
        </w:rPr>
      </w:pPr>
      <w:bookmarkStart w:id="16850" w:name="_Toc536178379"/>
      <w:bookmarkStart w:id="16851" w:name="_Toc536180754"/>
      <w:bookmarkStart w:id="16852" w:name="_Toc536304991"/>
      <w:bookmarkStart w:id="16853" w:name="_Toc536305072"/>
      <w:bookmarkStart w:id="16854" w:name="_Toc536459284"/>
      <w:bookmarkStart w:id="16855" w:name="_Toc536466240"/>
      <w:bookmarkStart w:id="16856" w:name="_Toc536540389"/>
      <w:bookmarkStart w:id="16857" w:name="_Toc536564200"/>
      <w:bookmarkStart w:id="16858" w:name="_Toc536564355"/>
      <w:bookmarkStart w:id="16859" w:name="_Toc536616889"/>
      <w:bookmarkStart w:id="16860" w:name="_Toc19391205"/>
      <w:bookmarkStart w:id="16861" w:name="_Toc19394702"/>
      <w:r>
        <w:rPr>
          <w:rFonts w:hint="cs"/>
          <w:rtl/>
        </w:rPr>
        <w:t>דברי הראש יוסף דבתוס' מבואר כתבו"ש</w:t>
      </w:r>
      <w:bookmarkEnd w:id="16850"/>
      <w:bookmarkEnd w:id="16851"/>
      <w:bookmarkEnd w:id="16852"/>
      <w:bookmarkEnd w:id="16853"/>
      <w:bookmarkEnd w:id="16854"/>
      <w:bookmarkEnd w:id="16855"/>
      <w:bookmarkEnd w:id="16856"/>
      <w:bookmarkEnd w:id="16857"/>
      <w:bookmarkEnd w:id="16858"/>
      <w:bookmarkEnd w:id="16859"/>
      <w:bookmarkEnd w:id="16860"/>
      <w:bookmarkEnd w:id="16861"/>
    </w:p>
    <w:p w14:paraId="26ACEF83" w14:textId="77777777" w:rsidR="003D504D" w:rsidRDefault="003D504D" w:rsidP="00223668">
      <w:pPr>
        <w:pStyle w:val="a0"/>
        <w:rPr>
          <w:rtl/>
        </w:rPr>
      </w:pPr>
      <w:bookmarkStart w:id="16862" w:name="_Ref536176852"/>
      <w:bookmarkStart w:id="16863" w:name="_Toc536041985"/>
      <w:r>
        <w:rPr>
          <w:rFonts w:hint="cs"/>
          <w:rtl/>
        </w:rPr>
        <w:t xml:space="preserve">וכתב </w:t>
      </w:r>
      <w:r w:rsidRPr="00216202">
        <w:rPr>
          <w:rStyle w:val="af9"/>
          <w:rFonts w:hint="cs"/>
          <w:rtl/>
        </w:rPr>
        <w:t xml:space="preserve">הראש יוסף </w:t>
      </w:r>
      <w:r w:rsidRPr="00216202">
        <w:rPr>
          <w:rStyle w:val="af7"/>
          <w:rFonts w:eastAsia="Guttman Hodes" w:hint="cs"/>
          <w:rtl/>
        </w:rPr>
        <w:t xml:space="preserve">(על תוד"ה סיפא) </w:t>
      </w:r>
      <w:r>
        <w:rPr>
          <w:rFonts w:hint="cs"/>
          <w:rtl/>
        </w:rPr>
        <w:t xml:space="preserve">דמדברי </w:t>
      </w:r>
      <w:r w:rsidRPr="00216202">
        <w:rPr>
          <w:rStyle w:val="af9"/>
          <w:rFonts w:hint="cs"/>
          <w:rtl/>
        </w:rPr>
        <w:t>התוס'</w:t>
      </w:r>
      <w:r w:rsidRPr="00216202">
        <w:rPr>
          <w:rStyle w:val="af7"/>
          <w:rFonts w:eastAsia="Guttman Hodes" w:hint="cs"/>
          <w:rtl/>
        </w:rPr>
        <w:t xml:space="preserve"> (עי'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Ref536042579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ג)</w:t>
      </w:r>
      <w:r>
        <w:rPr>
          <w:rStyle w:val="af7"/>
          <w:rFonts w:eastAsia="Guttman Hodes"/>
          <w:rtl/>
        </w:rPr>
        <w:fldChar w:fldCharType="end"/>
      </w:r>
      <w:r w:rsidRPr="00216202">
        <w:rPr>
          <w:rStyle w:val="af7"/>
          <w:rFonts w:eastAsia="Guttman Hodes" w:hint="cs"/>
          <w:rtl/>
        </w:rPr>
        <w:t xml:space="preserve"> </w:t>
      </w:r>
      <w:r>
        <w:rPr>
          <w:rFonts w:hint="cs"/>
          <w:rtl/>
        </w:rPr>
        <w:t xml:space="preserve">מבואר כדברי </w:t>
      </w:r>
      <w:r w:rsidRPr="00216202">
        <w:rPr>
          <w:rStyle w:val="af9"/>
          <w:rFonts w:hint="cs"/>
          <w:rtl/>
        </w:rPr>
        <w:t xml:space="preserve">התבו"ש </w:t>
      </w:r>
      <w:r w:rsidRPr="00216202">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Ref536042562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ח)</w:t>
      </w:r>
      <w:r>
        <w:rPr>
          <w:rStyle w:val="af7"/>
          <w:rFonts w:eastAsia="Guttman Hodes"/>
          <w:rtl/>
        </w:rPr>
        <w:fldChar w:fldCharType="end"/>
      </w:r>
      <w:r w:rsidRPr="00216202">
        <w:rPr>
          <w:rStyle w:val="af7"/>
          <w:rFonts w:eastAsia="Guttman Hodes" w:hint="cs"/>
          <w:rtl/>
        </w:rPr>
        <w:t xml:space="preserve"> </w:t>
      </w:r>
      <w:r>
        <w:rPr>
          <w:rFonts w:hint="cs"/>
          <w:rtl/>
        </w:rPr>
        <w:t xml:space="preserve">דהקשה דכיון שהוא כילוד לא יתכן דס"ל לריו"ח דחזרת הראש מתירתו, דהא כתבו </w:t>
      </w:r>
      <w:r w:rsidRPr="00216202">
        <w:rPr>
          <w:rStyle w:val="af9"/>
          <w:rFonts w:hint="cs"/>
          <w:rtl/>
        </w:rPr>
        <w:t>התוס'</w:t>
      </w:r>
      <w:r>
        <w:rPr>
          <w:rFonts w:hint="cs"/>
          <w:rtl/>
        </w:rPr>
        <w:t xml:space="preserve"> דאחר דחשיב כילוד, פשיטא דחזרה לא מהני להתירו, ועיי"ש עוד במה שהוכיח </w:t>
      </w:r>
      <w:r w:rsidRPr="00216202">
        <w:rPr>
          <w:rStyle w:val="af9"/>
          <w:rFonts w:hint="cs"/>
          <w:rtl/>
        </w:rPr>
        <w:t xml:space="preserve">הראש יוסף </w:t>
      </w:r>
      <w:r>
        <w:rPr>
          <w:rFonts w:hint="cs"/>
          <w:rtl/>
        </w:rPr>
        <w:t xml:space="preserve">מדברי </w:t>
      </w:r>
      <w:r w:rsidRPr="00216202">
        <w:rPr>
          <w:rStyle w:val="af9"/>
          <w:rFonts w:hint="cs"/>
          <w:rtl/>
        </w:rPr>
        <w:t>התוס'</w:t>
      </w:r>
      <w:r>
        <w:rPr>
          <w:rFonts w:hint="cs"/>
          <w:rtl/>
        </w:rPr>
        <w:t>.</w:t>
      </w:r>
      <w:bookmarkEnd w:id="16862"/>
    </w:p>
    <w:p w14:paraId="536D46C9" w14:textId="77777777" w:rsidR="003D504D" w:rsidRDefault="003D504D" w:rsidP="008E00C2">
      <w:pPr>
        <w:pStyle w:val="afe"/>
        <w:rPr>
          <w:rtl/>
        </w:rPr>
      </w:pPr>
      <w:bookmarkStart w:id="16864" w:name="_Toc536130306"/>
      <w:bookmarkStart w:id="16865" w:name="_Toc536178380"/>
      <w:bookmarkStart w:id="16866" w:name="_Toc536180755"/>
      <w:bookmarkStart w:id="16867" w:name="_Toc536304992"/>
      <w:bookmarkStart w:id="16868" w:name="_Toc536305073"/>
      <w:bookmarkStart w:id="16869" w:name="_Toc536459285"/>
      <w:bookmarkStart w:id="16870" w:name="_Toc536466241"/>
      <w:bookmarkStart w:id="16871" w:name="_Toc536540390"/>
      <w:bookmarkStart w:id="16872" w:name="_Toc536564201"/>
      <w:bookmarkStart w:id="16873" w:name="_Toc536564356"/>
      <w:bookmarkStart w:id="16874" w:name="_Toc536616890"/>
      <w:bookmarkStart w:id="16875" w:name="_Toc5356380"/>
      <w:bookmarkStart w:id="16876" w:name="_Toc16669763"/>
      <w:bookmarkStart w:id="16877" w:name="_Toc19436069"/>
      <w:bookmarkStart w:id="16878" w:name="_Toc20081263"/>
      <w:r>
        <w:rPr>
          <w:rFonts w:hint="cs"/>
          <w:rtl/>
        </w:rPr>
        <w:t>בענין חזרת אבר בקלוט במעי פרה</w:t>
      </w:r>
      <w:bookmarkEnd w:id="16864"/>
      <w:bookmarkEnd w:id="16865"/>
      <w:bookmarkEnd w:id="16866"/>
      <w:bookmarkEnd w:id="16867"/>
      <w:bookmarkEnd w:id="16868"/>
      <w:bookmarkEnd w:id="16869"/>
      <w:bookmarkEnd w:id="16870"/>
      <w:bookmarkEnd w:id="16871"/>
      <w:bookmarkEnd w:id="16872"/>
      <w:bookmarkEnd w:id="16873"/>
      <w:bookmarkEnd w:id="16874"/>
      <w:bookmarkEnd w:id="16875"/>
      <w:bookmarkEnd w:id="16876"/>
      <w:bookmarkEnd w:id="16877"/>
      <w:bookmarkEnd w:id="16878"/>
    </w:p>
    <w:p w14:paraId="224170D3" w14:textId="77777777" w:rsidR="003D504D" w:rsidRDefault="003D504D" w:rsidP="00BF39B2">
      <w:pPr>
        <w:pStyle w:val="1"/>
        <w:rPr>
          <w:rtl/>
        </w:rPr>
      </w:pPr>
      <w:bookmarkStart w:id="16879" w:name="_Toc536130307"/>
      <w:bookmarkStart w:id="16880" w:name="_Toc536178381"/>
      <w:bookmarkStart w:id="16881" w:name="_Toc536180756"/>
      <w:bookmarkStart w:id="16882" w:name="_Toc536304993"/>
      <w:bookmarkStart w:id="16883" w:name="_Toc536305074"/>
      <w:bookmarkStart w:id="16884" w:name="_Toc536459286"/>
      <w:bookmarkStart w:id="16885" w:name="_Toc536466242"/>
      <w:bookmarkStart w:id="16886" w:name="_Toc536540391"/>
      <w:bookmarkStart w:id="16887" w:name="_Toc536564202"/>
      <w:bookmarkStart w:id="16888" w:name="_Toc536564357"/>
      <w:bookmarkStart w:id="16889" w:name="_Toc536616891"/>
      <w:bookmarkStart w:id="16890" w:name="_Toc19391206"/>
      <w:bookmarkStart w:id="16891" w:name="_Toc19394703"/>
      <w:r>
        <w:rPr>
          <w:rFonts w:hint="cs"/>
          <w:rtl/>
        </w:rPr>
        <w:t>פלוגתת רש"י והרא"ה</w:t>
      </w:r>
      <w:bookmarkEnd w:id="16879"/>
      <w:bookmarkEnd w:id="16880"/>
      <w:bookmarkEnd w:id="16881"/>
      <w:bookmarkEnd w:id="16882"/>
      <w:bookmarkEnd w:id="16883"/>
      <w:bookmarkEnd w:id="16884"/>
      <w:bookmarkEnd w:id="16885"/>
      <w:bookmarkEnd w:id="16886"/>
      <w:bookmarkEnd w:id="16887"/>
      <w:bookmarkEnd w:id="16888"/>
      <w:bookmarkEnd w:id="16889"/>
      <w:bookmarkEnd w:id="16890"/>
      <w:bookmarkEnd w:id="16891"/>
    </w:p>
    <w:p w14:paraId="43922665" w14:textId="77777777" w:rsidR="003D504D" w:rsidRPr="00C31045" w:rsidRDefault="003D504D" w:rsidP="003D504D">
      <w:pPr>
        <w:pStyle w:val="a3"/>
        <w:rPr>
          <w:rtl/>
        </w:rPr>
      </w:pPr>
      <w:bookmarkStart w:id="16892" w:name="_Toc536178382"/>
      <w:bookmarkStart w:id="16893" w:name="_Toc536180757"/>
      <w:bookmarkStart w:id="16894" w:name="_Toc536304994"/>
      <w:bookmarkStart w:id="16895" w:name="_Toc536305075"/>
      <w:bookmarkStart w:id="16896" w:name="_Toc536459287"/>
      <w:bookmarkStart w:id="16897" w:name="_Toc536466243"/>
      <w:bookmarkStart w:id="16898" w:name="_Toc536540392"/>
      <w:bookmarkStart w:id="16899" w:name="_Toc536564203"/>
      <w:bookmarkStart w:id="16900" w:name="_Toc536564358"/>
      <w:bookmarkStart w:id="16901" w:name="_Toc536616892"/>
      <w:bookmarkStart w:id="16902" w:name="_Toc19391207"/>
      <w:bookmarkStart w:id="16903" w:name="_Toc19394704"/>
      <w:r>
        <w:rPr>
          <w:rFonts w:hint="cs"/>
          <w:rtl/>
        </w:rPr>
        <w:t>דברי רש"י דהלשון "החזיר" בקלוט הוא לאו דוקא</w:t>
      </w:r>
      <w:bookmarkEnd w:id="16892"/>
      <w:bookmarkEnd w:id="16893"/>
      <w:bookmarkEnd w:id="16894"/>
      <w:bookmarkEnd w:id="16895"/>
      <w:bookmarkEnd w:id="16896"/>
      <w:bookmarkEnd w:id="16897"/>
      <w:bookmarkEnd w:id="16898"/>
      <w:bookmarkEnd w:id="16899"/>
      <w:bookmarkEnd w:id="16900"/>
      <w:bookmarkEnd w:id="16901"/>
      <w:bookmarkEnd w:id="16902"/>
      <w:bookmarkEnd w:id="16903"/>
    </w:p>
    <w:p w14:paraId="58D7BF11" w14:textId="77777777" w:rsidR="003D504D" w:rsidRPr="008C6CA1" w:rsidRDefault="003D504D" w:rsidP="00223668">
      <w:pPr>
        <w:pStyle w:val="a0"/>
        <w:rPr>
          <w:rtl/>
        </w:rPr>
      </w:pPr>
      <w:r>
        <w:rPr>
          <w:rFonts w:hint="cs"/>
          <w:rtl/>
        </w:rPr>
        <w:t xml:space="preserve">כתב </w:t>
      </w:r>
      <w:r w:rsidRPr="00C31045">
        <w:rPr>
          <w:rStyle w:val="af9"/>
          <w:rFonts w:hint="cs"/>
          <w:rtl/>
        </w:rPr>
        <w:t>רש"י</w:t>
      </w:r>
      <w:r>
        <w:rPr>
          <w:rFonts w:hint="cs"/>
          <w:rtl/>
        </w:rPr>
        <w:t xml:space="preserve"> </w:t>
      </w:r>
      <w:r w:rsidRPr="00C31045">
        <w:rPr>
          <w:rStyle w:val="af7"/>
          <w:rFonts w:eastAsia="Guttman Hodes" w:hint="cs"/>
          <w:rtl/>
        </w:rPr>
        <w:t>(ד"ה חד)</w:t>
      </w:r>
      <w:r>
        <w:rPr>
          <w:rFonts w:hint="cs"/>
          <w:rtl/>
        </w:rPr>
        <w:t xml:space="preserve"> דהילפותא להתיר עובר שפרסותיו קלוטות כגמל, היא לדעת רבי שמעון דס"ל בבכורות </w:t>
      </w:r>
      <w:r w:rsidRPr="00C31045">
        <w:rPr>
          <w:rStyle w:val="af7"/>
          <w:rFonts w:eastAsia="Guttman Hodes" w:hint="cs"/>
          <w:rtl/>
        </w:rPr>
        <w:t>(ו:)</w:t>
      </w:r>
      <w:r>
        <w:rPr>
          <w:rFonts w:hint="cs"/>
          <w:rtl/>
        </w:rPr>
        <w:t xml:space="preserve"> דגמל שנולד מפרה אסור, והכא ילפינן דבנשחטה אמו ונמצא בתוכה </w:t>
      </w:r>
      <w:r w:rsidRPr="005B2845">
        <w:rPr>
          <w:rFonts w:hint="cs"/>
          <w:rtl/>
        </w:rPr>
        <w:t xml:space="preserve">מותר, ולפי"ז </w:t>
      </w:r>
      <w:r>
        <w:rPr>
          <w:rFonts w:hint="cs"/>
          <w:rtl/>
        </w:rPr>
        <w:t xml:space="preserve">הלשון </w:t>
      </w:r>
      <w:r w:rsidRPr="005B2845">
        <w:rPr>
          <w:rtl/>
        </w:rPr>
        <w:t xml:space="preserve">פרסה החזיר אכול </w:t>
      </w:r>
      <w:r>
        <w:rPr>
          <w:rFonts w:hint="cs"/>
          <w:rtl/>
        </w:rPr>
        <w:t>"החזיר" הוא לאו דוקא, ונקט לה אגב דתני "החזיר" לגבי מקום חתך.</w:t>
      </w:r>
    </w:p>
    <w:p w14:paraId="67C9C8DD" w14:textId="77777777" w:rsidR="003D504D" w:rsidRDefault="003D504D" w:rsidP="003D504D">
      <w:pPr>
        <w:pStyle w:val="a3"/>
        <w:rPr>
          <w:rtl/>
        </w:rPr>
      </w:pPr>
      <w:bookmarkStart w:id="16904" w:name="_Toc536178383"/>
      <w:bookmarkStart w:id="16905" w:name="_Toc536180758"/>
      <w:bookmarkStart w:id="16906" w:name="_Toc536304995"/>
      <w:bookmarkStart w:id="16907" w:name="_Toc536305076"/>
      <w:bookmarkStart w:id="16908" w:name="_Toc536459288"/>
      <w:bookmarkStart w:id="16909" w:name="_Toc536466244"/>
      <w:bookmarkStart w:id="16910" w:name="_Toc536540393"/>
      <w:bookmarkStart w:id="16911" w:name="_Toc536564204"/>
      <w:bookmarkStart w:id="16912" w:name="_Toc536564359"/>
      <w:bookmarkStart w:id="16913" w:name="_Toc536616893"/>
      <w:bookmarkStart w:id="16914" w:name="_Toc19391208"/>
      <w:bookmarkStart w:id="16915" w:name="_Toc19394705"/>
      <w:r>
        <w:rPr>
          <w:rFonts w:hint="cs"/>
          <w:rtl/>
        </w:rPr>
        <w:t>דברי הרא"ה דקמ"ל דאף בקלוט החזרה מתרת אף שיציאתו לאויר העולם אוסרו מדין קלוט</w:t>
      </w:r>
      <w:bookmarkEnd w:id="16904"/>
      <w:bookmarkEnd w:id="16905"/>
      <w:bookmarkEnd w:id="16906"/>
      <w:bookmarkEnd w:id="16907"/>
      <w:bookmarkEnd w:id="16908"/>
      <w:bookmarkEnd w:id="16909"/>
      <w:bookmarkEnd w:id="16910"/>
      <w:bookmarkEnd w:id="16911"/>
      <w:bookmarkEnd w:id="16912"/>
      <w:bookmarkEnd w:id="16913"/>
      <w:bookmarkEnd w:id="16914"/>
      <w:bookmarkEnd w:id="16915"/>
    </w:p>
    <w:p w14:paraId="432BB062" w14:textId="77777777" w:rsidR="003D504D" w:rsidRDefault="003D504D" w:rsidP="00223668">
      <w:pPr>
        <w:pStyle w:val="a0"/>
        <w:rPr>
          <w:rtl/>
        </w:rPr>
      </w:pPr>
      <w:bookmarkStart w:id="16916" w:name="_Ref536090209"/>
      <w:r>
        <w:rPr>
          <w:rFonts w:hint="cs"/>
          <w:rtl/>
        </w:rPr>
        <w:t xml:space="preserve">אבל </w:t>
      </w:r>
      <w:r w:rsidRPr="00C31045">
        <w:rPr>
          <w:rStyle w:val="af9"/>
          <w:rFonts w:hint="cs"/>
          <w:rtl/>
        </w:rPr>
        <w:t>הר"ן</w:t>
      </w:r>
      <w:r>
        <w:rPr>
          <w:rFonts w:hint="cs"/>
          <w:rtl/>
        </w:rPr>
        <w:t xml:space="preserve"> </w:t>
      </w:r>
      <w:r w:rsidRPr="00C31045">
        <w:rPr>
          <w:rStyle w:val="af7"/>
          <w:rFonts w:eastAsia="Guttman Hodes" w:hint="cs"/>
          <w:rtl/>
        </w:rPr>
        <w:t>(ד"ה לא חד)</w:t>
      </w:r>
      <w:r>
        <w:rPr>
          <w:rFonts w:hint="cs"/>
          <w:rtl/>
        </w:rPr>
        <w:t xml:space="preserve"> הביא השם </w:t>
      </w:r>
      <w:r w:rsidRPr="00C31045">
        <w:rPr>
          <w:rStyle w:val="af9"/>
          <w:rFonts w:hint="cs"/>
          <w:rtl/>
        </w:rPr>
        <w:t>הרא"ה</w:t>
      </w:r>
      <w:r>
        <w:rPr>
          <w:rFonts w:hint="cs"/>
          <w:rtl/>
        </w:rPr>
        <w:t xml:space="preserve"> דהא דתני "החזיר" הוא בדוקא, וקמ"ל  דאף קלוט במעי פרה אם החזיר את האבר, מקום החתך מותר, דלא נאמר דלדעת ר"ש בבכורות </w:t>
      </w:r>
      <w:r w:rsidRPr="00C31045">
        <w:rPr>
          <w:rStyle w:val="af7"/>
          <w:rFonts w:eastAsia="Guttman Hodes" w:hint="cs"/>
          <w:rtl/>
        </w:rPr>
        <w:t>(ו:)</w:t>
      </w:r>
      <w:r>
        <w:rPr>
          <w:rFonts w:hint="cs"/>
          <w:rtl/>
        </w:rPr>
        <w:t xml:space="preserve"> שאוסר קלוט שנולד מפרה, א"כ כשיצא לאויר העולם נאסר מדין "קלוט", ואף האבר היוצא אסור מדין "קלוט" ולא מהני חזרתו להתיר את מקום החתך, וקמ"ל מתני' דאפ"ה כשחזר מקום החתך מותר.</w:t>
      </w:r>
      <w:bookmarkEnd w:id="16916"/>
    </w:p>
    <w:p w14:paraId="7E1A813B" w14:textId="77777777" w:rsidR="003D504D" w:rsidRPr="001B3ED0" w:rsidRDefault="003D504D" w:rsidP="003D504D">
      <w:pPr>
        <w:pStyle w:val="afe"/>
        <w:rPr>
          <w:rtl/>
        </w:rPr>
      </w:pPr>
      <w:bookmarkStart w:id="16917" w:name="_Toc536178384"/>
      <w:bookmarkStart w:id="16918" w:name="_Toc536180759"/>
      <w:bookmarkStart w:id="16919" w:name="_Toc536304996"/>
      <w:bookmarkStart w:id="16920" w:name="_Toc536305077"/>
      <w:bookmarkStart w:id="16921" w:name="_Toc536459289"/>
      <w:bookmarkStart w:id="16922" w:name="_Toc536466245"/>
      <w:bookmarkStart w:id="16923" w:name="_Toc536540394"/>
      <w:bookmarkStart w:id="16924" w:name="_Toc536564205"/>
      <w:bookmarkStart w:id="16925" w:name="_Toc536564360"/>
      <w:bookmarkStart w:id="16926" w:name="_Toc536616894"/>
      <w:bookmarkStart w:id="16927" w:name="_Toc19436070"/>
      <w:bookmarkStart w:id="16928" w:name="_Toc20081264"/>
      <w:r>
        <w:rPr>
          <w:rFonts w:hint="cs"/>
          <w:rtl/>
        </w:rPr>
        <w:t>בביאור הילפותא לריו"ח</w:t>
      </w:r>
      <w:bookmarkEnd w:id="16917"/>
      <w:bookmarkEnd w:id="16918"/>
      <w:bookmarkEnd w:id="16919"/>
      <w:bookmarkEnd w:id="16920"/>
      <w:bookmarkEnd w:id="16921"/>
      <w:bookmarkEnd w:id="16922"/>
      <w:bookmarkEnd w:id="16923"/>
      <w:bookmarkEnd w:id="16924"/>
      <w:bookmarkEnd w:id="16925"/>
      <w:bookmarkEnd w:id="16926"/>
      <w:bookmarkEnd w:id="16927"/>
      <w:bookmarkEnd w:id="16928"/>
    </w:p>
    <w:p w14:paraId="59DCA846" w14:textId="77777777" w:rsidR="003D504D" w:rsidRDefault="003D504D" w:rsidP="00BF39B2">
      <w:pPr>
        <w:pStyle w:val="1"/>
        <w:rPr>
          <w:rtl/>
        </w:rPr>
      </w:pPr>
      <w:bookmarkStart w:id="16929" w:name="_Toc536180760"/>
      <w:bookmarkStart w:id="16930" w:name="_Toc536304997"/>
      <w:bookmarkStart w:id="16931" w:name="_Toc536305078"/>
      <w:bookmarkStart w:id="16932" w:name="_Toc536459290"/>
      <w:bookmarkStart w:id="16933" w:name="_Toc536466246"/>
      <w:bookmarkStart w:id="16934" w:name="_Toc536540395"/>
      <w:bookmarkStart w:id="16935" w:name="_Toc536564206"/>
      <w:bookmarkStart w:id="16936" w:name="_Toc536564361"/>
      <w:bookmarkStart w:id="16937" w:name="_Toc536616895"/>
      <w:bookmarkStart w:id="16938" w:name="_Toc19391209"/>
      <w:bookmarkStart w:id="16939" w:name="_Toc19394706"/>
      <w:bookmarkStart w:id="16940" w:name="_Toc536178387"/>
      <w:r>
        <w:rPr>
          <w:rFonts w:hint="cs"/>
          <w:rtl/>
        </w:rPr>
        <w:t>פלוגתת התוס' והר"ן בילפותא דיוצא לריו"ח</w:t>
      </w:r>
      <w:bookmarkEnd w:id="16929"/>
      <w:bookmarkEnd w:id="16930"/>
      <w:bookmarkEnd w:id="16931"/>
      <w:bookmarkEnd w:id="16932"/>
      <w:bookmarkEnd w:id="16933"/>
      <w:bookmarkEnd w:id="16934"/>
      <w:bookmarkEnd w:id="16935"/>
      <w:bookmarkEnd w:id="16936"/>
      <w:bookmarkEnd w:id="16937"/>
      <w:bookmarkEnd w:id="16938"/>
      <w:bookmarkEnd w:id="16939"/>
    </w:p>
    <w:p w14:paraId="01305861" w14:textId="77777777" w:rsidR="003D504D" w:rsidRDefault="003D504D" w:rsidP="003D504D">
      <w:pPr>
        <w:pStyle w:val="a3"/>
        <w:rPr>
          <w:rtl/>
        </w:rPr>
      </w:pPr>
      <w:bookmarkStart w:id="16941" w:name="_Toc536180761"/>
      <w:bookmarkStart w:id="16942" w:name="_Toc536304998"/>
      <w:bookmarkStart w:id="16943" w:name="_Toc536305079"/>
      <w:bookmarkStart w:id="16944" w:name="_Toc536459291"/>
      <w:bookmarkStart w:id="16945" w:name="_Toc536466247"/>
      <w:bookmarkStart w:id="16946" w:name="_Toc536540396"/>
      <w:bookmarkStart w:id="16947" w:name="_Toc536564207"/>
      <w:bookmarkStart w:id="16948" w:name="_Toc536564362"/>
      <w:bookmarkStart w:id="16949" w:name="_Toc536616896"/>
      <w:bookmarkStart w:id="16950" w:name="_Toc19391210"/>
      <w:bookmarkStart w:id="16951" w:name="_Toc19394707"/>
      <w:r>
        <w:rPr>
          <w:rFonts w:hint="cs"/>
          <w:rtl/>
        </w:rPr>
        <w:t>דברי התוס' דריו"ח מעמיד את הפסו' "טריפה" לדבר אחר</w:t>
      </w:r>
      <w:bookmarkEnd w:id="16940"/>
      <w:bookmarkEnd w:id="16941"/>
      <w:bookmarkEnd w:id="16942"/>
      <w:bookmarkEnd w:id="16943"/>
      <w:bookmarkEnd w:id="16944"/>
      <w:bookmarkEnd w:id="16945"/>
      <w:bookmarkEnd w:id="16946"/>
      <w:bookmarkEnd w:id="16947"/>
      <w:bookmarkEnd w:id="16948"/>
      <w:bookmarkEnd w:id="16949"/>
      <w:bookmarkEnd w:id="16950"/>
      <w:bookmarkEnd w:id="16951"/>
    </w:p>
    <w:p w14:paraId="36BB37A3" w14:textId="77777777" w:rsidR="003D504D" w:rsidRPr="007C1AD6" w:rsidRDefault="003D504D" w:rsidP="00223668">
      <w:pPr>
        <w:pStyle w:val="a0"/>
        <w:rPr>
          <w:sz w:val="10"/>
          <w:szCs w:val="14"/>
          <w:rtl/>
        </w:rPr>
      </w:pPr>
      <w:bookmarkStart w:id="16952" w:name="_Ref536612481"/>
      <w:bookmarkStart w:id="16953" w:name="_Toc536130308"/>
      <w:r w:rsidRPr="00780C12">
        <w:rPr>
          <w:rFonts w:hint="cs"/>
          <w:rtl/>
        </w:rPr>
        <w:t xml:space="preserve">כתבו </w:t>
      </w:r>
      <w:r w:rsidRPr="005B179A">
        <w:rPr>
          <w:rStyle w:val="af9"/>
          <w:rFonts w:hint="cs"/>
          <w:rtl/>
        </w:rPr>
        <w:t>התוס'</w:t>
      </w:r>
      <w:r w:rsidRPr="00780C12">
        <w:rPr>
          <w:rFonts w:hint="cs"/>
          <w:rtl/>
        </w:rPr>
        <w:t xml:space="preserve"> </w:t>
      </w:r>
      <w:r w:rsidRPr="005B179A">
        <w:rPr>
          <w:rStyle w:val="af7"/>
          <w:rFonts w:eastAsia="Guttman Hodes" w:hint="cs"/>
          <w:rtl/>
        </w:rPr>
        <w:t>(ד"ה הכל)</w:t>
      </w:r>
      <w:r w:rsidRPr="00780C12">
        <w:rPr>
          <w:rFonts w:hint="cs"/>
          <w:rtl/>
        </w:rPr>
        <w:t xml:space="preserve"> דלדברי ריו"ח דמתיר בחזרת האבר, צ"ל דהוא מעמיד את דין יוצא דקרי לה רחמנא "טריפה" לדבר אחר</w:t>
      </w:r>
      <w:r>
        <w:rPr>
          <w:rFonts w:hint="cs"/>
          <w:rtl/>
        </w:rPr>
        <w:t xml:space="preserve">. </w:t>
      </w:r>
      <w:r w:rsidRPr="005B179A">
        <w:rPr>
          <w:rStyle w:val="afb"/>
          <w:rFonts w:hint="cs"/>
          <w:rtl/>
        </w:rPr>
        <w:t xml:space="preserve">[ומבואר מדברי </w:t>
      </w:r>
      <w:r w:rsidRPr="007C1AD6">
        <w:rPr>
          <w:rStyle w:val="affa"/>
          <w:rFonts w:hint="cs"/>
          <w:rtl/>
        </w:rPr>
        <w:t xml:space="preserve">התוס' </w:t>
      </w:r>
      <w:r w:rsidRPr="005B179A">
        <w:rPr>
          <w:rStyle w:val="afb"/>
          <w:rFonts w:hint="cs"/>
          <w:rtl/>
        </w:rPr>
        <w:t>דאף לריו"ח האיסור באבר היוצא שלא חזר, הוא מדין "בשר בשדה", אך אינו מדין "טריפה"]</w:t>
      </w:r>
      <w:r>
        <w:rPr>
          <w:rStyle w:val="afb"/>
          <w:rFonts w:hint="cs"/>
          <w:rtl/>
        </w:rPr>
        <w:t>.</w:t>
      </w:r>
      <w:bookmarkEnd w:id="16952"/>
    </w:p>
    <w:p w14:paraId="47523D1C" w14:textId="77777777" w:rsidR="003D504D" w:rsidRPr="007C1AD6" w:rsidRDefault="003D504D" w:rsidP="003D504D">
      <w:pPr>
        <w:pStyle w:val="a3"/>
      </w:pPr>
      <w:bookmarkStart w:id="16954" w:name="_Toc536178388"/>
      <w:bookmarkStart w:id="16955" w:name="_Toc536180762"/>
      <w:bookmarkStart w:id="16956" w:name="_Toc536304999"/>
      <w:bookmarkStart w:id="16957" w:name="_Toc536305080"/>
      <w:bookmarkStart w:id="16958" w:name="_Toc536459292"/>
      <w:bookmarkStart w:id="16959" w:name="_Toc536466248"/>
      <w:bookmarkStart w:id="16960" w:name="_Toc536540397"/>
      <w:bookmarkStart w:id="16961" w:name="_Toc536564208"/>
      <w:bookmarkStart w:id="16962" w:name="_Toc536564363"/>
      <w:bookmarkStart w:id="16963" w:name="_Toc536616897"/>
      <w:bookmarkStart w:id="16964" w:name="_Toc19391211"/>
      <w:bookmarkStart w:id="16965" w:name="_Toc19394708"/>
      <w:r>
        <w:rPr>
          <w:rFonts w:hint="cs"/>
          <w:rtl/>
        </w:rPr>
        <w:t>דברי הר"ן דלריו"ח איסור יוצא נדרש רק לחטאת ולא לאבר היוצא</w:t>
      </w:r>
      <w:bookmarkEnd w:id="16954"/>
      <w:bookmarkEnd w:id="16955"/>
      <w:bookmarkEnd w:id="16956"/>
      <w:bookmarkEnd w:id="16957"/>
      <w:bookmarkEnd w:id="16958"/>
      <w:bookmarkEnd w:id="16959"/>
      <w:bookmarkEnd w:id="16960"/>
      <w:bookmarkEnd w:id="16961"/>
      <w:bookmarkEnd w:id="16962"/>
      <w:bookmarkEnd w:id="16963"/>
      <w:bookmarkEnd w:id="16964"/>
      <w:bookmarkEnd w:id="16965"/>
    </w:p>
    <w:p w14:paraId="38FF38C2" w14:textId="77777777" w:rsidR="003D504D" w:rsidRPr="005B179A" w:rsidRDefault="003D504D" w:rsidP="00223668">
      <w:pPr>
        <w:pStyle w:val="a0"/>
        <w:rPr>
          <w:rStyle w:val="afb"/>
          <w:rtl/>
        </w:rPr>
      </w:pPr>
      <w:bookmarkStart w:id="16966" w:name="_Ref536612487"/>
      <w:r w:rsidRPr="00780C12">
        <w:rPr>
          <w:rFonts w:hint="cs"/>
          <w:rtl/>
        </w:rPr>
        <w:t xml:space="preserve">אבל </w:t>
      </w:r>
      <w:r w:rsidRPr="005B179A">
        <w:rPr>
          <w:rStyle w:val="af9"/>
          <w:rFonts w:hint="cs"/>
          <w:rtl/>
        </w:rPr>
        <w:t>הר"ן בחי'</w:t>
      </w:r>
      <w:r w:rsidRPr="00780C12">
        <w:rPr>
          <w:rFonts w:hint="cs"/>
          <w:rtl/>
        </w:rPr>
        <w:t xml:space="preserve"> </w:t>
      </w:r>
      <w:r w:rsidRPr="005B179A">
        <w:rPr>
          <w:rStyle w:val="af7"/>
          <w:rFonts w:eastAsia="Guttman Hodes" w:hint="cs"/>
          <w:rtl/>
        </w:rPr>
        <w:t>(ד"ה חטאת)</w:t>
      </w:r>
      <w:r w:rsidRPr="00780C12">
        <w:rPr>
          <w:rFonts w:hint="cs"/>
          <w:rtl/>
        </w:rPr>
        <w:t xml:space="preserve"> כתב דלריו"ח גלי קרא ב"חטאת" דהלאו ביוצא הוא רק לענין חטאת, אך את הפסוק "טריפה", אף למסקנת ריו"ח נשארת הדרשה </w:t>
      </w:r>
      <w:r>
        <w:rPr>
          <w:rFonts w:hint="cs"/>
          <w:rtl/>
        </w:rPr>
        <w:t xml:space="preserve">לענין דין יוצא בחטאת. </w:t>
      </w:r>
      <w:r w:rsidRPr="005B179A">
        <w:rPr>
          <w:rStyle w:val="afb"/>
          <w:rFonts w:hint="cs"/>
          <w:rtl/>
        </w:rPr>
        <w:t xml:space="preserve">[ומבואר מדברי </w:t>
      </w:r>
      <w:r w:rsidRPr="005B179A">
        <w:rPr>
          <w:rStyle w:val="affa"/>
          <w:rFonts w:hint="cs"/>
          <w:rtl/>
        </w:rPr>
        <w:t>הר"ן</w:t>
      </w:r>
      <w:r w:rsidRPr="005B179A">
        <w:rPr>
          <w:rStyle w:val="afb"/>
          <w:rFonts w:hint="cs"/>
          <w:rtl/>
        </w:rPr>
        <w:t xml:space="preserve"> דלדעת ריו"ח האיסור באבר היוצא שלא חזר, אינו מדין "בשר בשדה טריפה" כלל, דדין יוצא לדעת ריו"ח הוא רק לענין חטאת].</w:t>
      </w:r>
      <w:bookmarkEnd w:id="16966"/>
    </w:p>
    <w:p w14:paraId="32313F4C" w14:textId="77777777" w:rsidR="003D504D" w:rsidRDefault="003D504D" w:rsidP="003D504D">
      <w:pPr>
        <w:pStyle w:val="a3"/>
        <w:rPr>
          <w:rtl/>
        </w:rPr>
      </w:pPr>
      <w:bookmarkStart w:id="16967" w:name="_Toc536178385"/>
      <w:bookmarkStart w:id="16968" w:name="_Toc536180763"/>
      <w:bookmarkStart w:id="16969" w:name="_Toc536305000"/>
      <w:bookmarkStart w:id="16970" w:name="_Toc536305081"/>
      <w:bookmarkStart w:id="16971" w:name="_Toc536459293"/>
      <w:bookmarkStart w:id="16972" w:name="_Toc536466249"/>
      <w:bookmarkStart w:id="16973" w:name="_Toc536540398"/>
      <w:bookmarkStart w:id="16974" w:name="_Toc536564209"/>
      <w:bookmarkStart w:id="16975" w:name="_Toc536564364"/>
      <w:bookmarkStart w:id="16976" w:name="_Toc536616898"/>
      <w:bookmarkStart w:id="16977" w:name="_Toc19391212"/>
      <w:bookmarkStart w:id="16978" w:name="_Toc19394709"/>
      <w:bookmarkStart w:id="16979" w:name="_Toc536178389"/>
      <w:r>
        <w:rPr>
          <w:rFonts w:hint="cs"/>
          <w:rtl/>
        </w:rPr>
        <w:t>קושית התוס' לריו"ח למה צריך ב' ילפותות</w:t>
      </w:r>
      <w:bookmarkEnd w:id="16967"/>
      <w:bookmarkEnd w:id="16968"/>
      <w:bookmarkEnd w:id="16969"/>
      <w:bookmarkEnd w:id="16970"/>
      <w:bookmarkEnd w:id="16971"/>
      <w:bookmarkEnd w:id="16972"/>
      <w:bookmarkEnd w:id="16973"/>
      <w:bookmarkEnd w:id="16974"/>
      <w:bookmarkEnd w:id="16975"/>
      <w:bookmarkEnd w:id="16976"/>
      <w:bookmarkEnd w:id="16977"/>
      <w:bookmarkEnd w:id="16978"/>
    </w:p>
    <w:p w14:paraId="265611C4" w14:textId="77777777" w:rsidR="003D504D" w:rsidRDefault="003D504D" w:rsidP="00223668">
      <w:pPr>
        <w:pStyle w:val="a0"/>
        <w:rPr>
          <w:rtl/>
        </w:rPr>
      </w:pPr>
      <w:r>
        <w:rPr>
          <w:rFonts w:hint="cs"/>
          <w:rtl/>
        </w:rPr>
        <w:t xml:space="preserve">הקשו </w:t>
      </w:r>
      <w:r w:rsidRPr="00916E02">
        <w:rPr>
          <w:rStyle w:val="af9"/>
          <w:rFonts w:hint="cs"/>
          <w:rtl/>
        </w:rPr>
        <w:t>התוס'</w:t>
      </w:r>
      <w:r>
        <w:rPr>
          <w:rFonts w:hint="cs"/>
          <w:rtl/>
        </w:rPr>
        <w:t xml:space="preserve"> </w:t>
      </w:r>
      <w:r w:rsidRPr="00916E02">
        <w:rPr>
          <w:rStyle w:val="af7"/>
          <w:rFonts w:eastAsia="Guttman Hodes" w:hint="cs"/>
          <w:rtl/>
        </w:rPr>
        <w:t>(ד"ה אמר ריו"ח)</w:t>
      </w:r>
      <w:r>
        <w:rPr>
          <w:rFonts w:hint="cs"/>
          <w:rtl/>
        </w:rPr>
        <w:t xml:space="preserve"> לריו"ח שמתיר בחזרת אבר, דהא בברייתא יש ב' ילפותות, ומוכח דאחד בא להתיר את מקום החתך ואחד להתיר את האבר היוצא, ואילו לריו"ח ילפינן מחטאת, ולמה צריך את ב' הילפותות שבברייתא, ותירצו </w:t>
      </w:r>
      <w:r w:rsidRPr="00916E02">
        <w:rPr>
          <w:rStyle w:val="af9"/>
          <w:rFonts w:hint="cs"/>
          <w:rtl/>
        </w:rPr>
        <w:t>התוס'</w:t>
      </w:r>
      <w:r>
        <w:rPr>
          <w:rFonts w:hint="cs"/>
          <w:rtl/>
        </w:rPr>
        <w:t xml:space="preserve"> דהגמ' מקשה על ריו"ח תיובתא מברייתא אחרת. </w:t>
      </w:r>
    </w:p>
    <w:p w14:paraId="4EF446CC" w14:textId="77777777" w:rsidR="003D504D" w:rsidRDefault="003D504D" w:rsidP="003D504D">
      <w:pPr>
        <w:pStyle w:val="a3"/>
        <w:rPr>
          <w:rtl/>
        </w:rPr>
      </w:pPr>
      <w:bookmarkStart w:id="16980" w:name="_Toc536178386"/>
      <w:bookmarkStart w:id="16981" w:name="_Toc536180764"/>
      <w:bookmarkStart w:id="16982" w:name="_Toc536305001"/>
      <w:bookmarkStart w:id="16983" w:name="_Toc536305082"/>
      <w:bookmarkStart w:id="16984" w:name="_Toc536459294"/>
      <w:bookmarkStart w:id="16985" w:name="_Toc536466250"/>
      <w:bookmarkStart w:id="16986" w:name="_Toc536540399"/>
      <w:bookmarkStart w:id="16987" w:name="_Toc536564210"/>
      <w:bookmarkStart w:id="16988" w:name="_Toc536564365"/>
      <w:bookmarkStart w:id="16989" w:name="_Toc536616899"/>
      <w:bookmarkStart w:id="16990" w:name="_Toc19391213"/>
      <w:bookmarkStart w:id="16991" w:name="_Toc19394710"/>
      <w:r>
        <w:rPr>
          <w:rFonts w:hint="cs"/>
          <w:rtl/>
        </w:rPr>
        <w:t>דברי הלב אריה דלהרא"ה מיושב דצריך ילפותא נוספת להתיר חזרת אבר בקלוט</w:t>
      </w:r>
      <w:bookmarkEnd w:id="16980"/>
      <w:bookmarkEnd w:id="16981"/>
      <w:bookmarkEnd w:id="16982"/>
      <w:bookmarkEnd w:id="16983"/>
      <w:bookmarkEnd w:id="16984"/>
      <w:bookmarkEnd w:id="16985"/>
      <w:bookmarkEnd w:id="16986"/>
      <w:bookmarkEnd w:id="16987"/>
      <w:bookmarkEnd w:id="16988"/>
      <w:bookmarkEnd w:id="16989"/>
      <w:bookmarkEnd w:id="16990"/>
      <w:bookmarkEnd w:id="16991"/>
    </w:p>
    <w:p w14:paraId="0C4CDB9A" w14:textId="77777777" w:rsidR="003D504D" w:rsidRDefault="003D504D" w:rsidP="00223668">
      <w:pPr>
        <w:pStyle w:val="a0"/>
        <w:rPr>
          <w:rtl/>
        </w:rPr>
      </w:pPr>
      <w:r>
        <w:rPr>
          <w:rFonts w:hint="cs"/>
          <w:rtl/>
        </w:rPr>
        <w:t xml:space="preserve">וכתב </w:t>
      </w:r>
      <w:r w:rsidRPr="00916E02">
        <w:rPr>
          <w:rStyle w:val="af9"/>
          <w:rFonts w:hint="cs"/>
          <w:rtl/>
        </w:rPr>
        <w:t xml:space="preserve">הלב אריה </w:t>
      </w:r>
      <w:r w:rsidRPr="00916E02">
        <w:rPr>
          <w:rStyle w:val="af7"/>
          <w:rFonts w:eastAsia="Guttman Hodes" w:hint="cs"/>
          <w:rtl/>
        </w:rPr>
        <w:t>(על תוד"ה אמר ריו"ח)</w:t>
      </w:r>
      <w:r>
        <w:rPr>
          <w:rFonts w:hint="cs"/>
          <w:rtl/>
        </w:rPr>
        <w:t xml:space="preserve"> דאפשר לישב את קושית </w:t>
      </w:r>
      <w:r w:rsidRPr="00916E02">
        <w:rPr>
          <w:rStyle w:val="af9"/>
          <w:rFonts w:hint="cs"/>
          <w:rtl/>
        </w:rPr>
        <w:t>התוס'</w:t>
      </w:r>
      <w:r>
        <w:rPr>
          <w:rFonts w:hint="cs"/>
          <w:rtl/>
        </w:rPr>
        <w:t xml:space="preserve"> עפ"י דברי </w:t>
      </w:r>
      <w:r w:rsidRPr="00916E02">
        <w:rPr>
          <w:rStyle w:val="af9"/>
          <w:rFonts w:hint="cs"/>
          <w:rtl/>
        </w:rPr>
        <w:t xml:space="preserve">הר"ן </w:t>
      </w:r>
      <w:r>
        <w:rPr>
          <w:rFonts w:hint="cs"/>
          <w:rtl/>
        </w:rPr>
        <w:t xml:space="preserve">בשם </w:t>
      </w:r>
      <w:r w:rsidRPr="00916E02">
        <w:rPr>
          <w:rStyle w:val="af9"/>
          <w:rFonts w:hint="cs"/>
          <w:rtl/>
        </w:rPr>
        <w:t xml:space="preserve">הרא"ה </w:t>
      </w:r>
      <w:r w:rsidRPr="00916E02">
        <w:rPr>
          <w:rStyle w:val="af7"/>
          <w:rFonts w:eastAsia="Guttman Hodes" w:hint="cs"/>
          <w:rtl/>
        </w:rPr>
        <w:t xml:space="preserve">(עי' אות </w:t>
      </w:r>
      <w:r w:rsidRPr="00916E02">
        <w:rPr>
          <w:rStyle w:val="af7"/>
          <w:rFonts w:eastAsia="Guttman Hodes"/>
          <w:rtl/>
        </w:rPr>
        <w:fldChar w:fldCharType="begin"/>
      </w:r>
      <w:r w:rsidRPr="00916E02">
        <w:rPr>
          <w:rStyle w:val="af7"/>
          <w:rFonts w:eastAsia="Guttman Hodes"/>
          <w:rtl/>
        </w:rPr>
        <w:instrText xml:space="preserve"> </w:instrText>
      </w:r>
      <w:r w:rsidRPr="00916E02">
        <w:rPr>
          <w:rStyle w:val="af7"/>
          <w:rFonts w:eastAsia="Guttman Hodes" w:hint="cs"/>
        </w:rPr>
        <w:instrText>REF</w:instrText>
      </w:r>
      <w:r w:rsidRPr="00916E02">
        <w:rPr>
          <w:rStyle w:val="af7"/>
          <w:rFonts w:eastAsia="Guttman Hodes" w:hint="cs"/>
          <w:rtl/>
        </w:rPr>
        <w:instrText xml:space="preserve"> _</w:instrText>
      </w:r>
      <w:r w:rsidRPr="00916E02">
        <w:rPr>
          <w:rStyle w:val="af7"/>
          <w:rFonts w:eastAsia="Guttman Hodes" w:hint="cs"/>
        </w:rPr>
        <w:instrText>Ref536090209 \r \h</w:instrText>
      </w:r>
      <w:r w:rsidRPr="00916E02">
        <w:rPr>
          <w:rStyle w:val="af7"/>
          <w:rFonts w:eastAsia="Guttman Hodes"/>
          <w:rtl/>
        </w:rPr>
        <w:instrText xml:space="preserve"> </w:instrText>
      </w:r>
      <w:r w:rsidRPr="00916E02">
        <w:rPr>
          <w:rStyle w:val="af7"/>
          <w:rFonts w:eastAsia="Guttman Hodes"/>
          <w:rtl/>
        </w:rPr>
      </w:r>
      <w:r w:rsidRPr="00916E02">
        <w:rPr>
          <w:rStyle w:val="af7"/>
          <w:rFonts w:eastAsia="Guttman Hodes"/>
          <w:rtl/>
        </w:rPr>
        <w:fldChar w:fldCharType="separate"/>
      </w:r>
      <w:r w:rsidR="00345400">
        <w:rPr>
          <w:rStyle w:val="af7"/>
          <w:rFonts w:eastAsia="Guttman Hodes"/>
          <w:cs/>
        </w:rPr>
        <w:t>‎</w:t>
      </w:r>
      <w:r w:rsidR="00345400">
        <w:rPr>
          <w:rStyle w:val="af7"/>
          <w:rFonts w:eastAsia="Guttman Hodes"/>
          <w:rtl/>
        </w:rPr>
        <w:t>טז)</w:t>
      </w:r>
      <w:r w:rsidRPr="00916E02">
        <w:rPr>
          <w:rStyle w:val="af7"/>
          <w:rFonts w:eastAsia="Guttman Hodes"/>
          <w:rtl/>
        </w:rPr>
        <w:fldChar w:fldCharType="end"/>
      </w:r>
      <w:r>
        <w:rPr>
          <w:rFonts w:hint="cs"/>
          <w:rtl/>
        </w:rPr>
        <w:t xml:space="preserve"> דכתב דיש ילפותא להתיר את מקום החתך בחזרת אבר בקלוט במעי פרה, וכתב </w:t>
      </w:r>
      <w:r w:rsidRPr="00916E02">
        <w:rPr>
          <w:rStyle w:val="af9"/>
          <w:rFonts w:hint="cs"/>
          <w:rtl/>
        </w:rPr>
        <w:t xml:space="preserve">הלב אריה </w:t>
      </w:r>
      <w:r>
        <w:rPr>
          <w:rFonts w:hint="cs"/>
          <w:rtl/>
        </w:rPr>
        <w:t xml:space="preserve">דא"כ מיושבת קושית </w:t>
      </w:r>
      <w:r w:rsidRPr="002A329D">
        <w:rPr>
          <w:rStyle w:val="af9"/>
          <w:rFonts w:hint="cs"/>
          <w:rtl/>
        </w:rPr>
        <w:t xml:space="preserve">התוס' </w:t>
      </w:r>
      <w:r>
        <w:rPr>
          <w:rFonts w:hint="cs"/>
          <w:rtl/>
        </w:rPr>
        <w:t>דלריו"ח הא דמבואר בברייתא שיש ב' ילפותות חד הוא לקלוט במעי פרה, וחד להתיר בחזרת אבר את מקום החתך בקלוט, אך עדיין א"א ללמוד מזה שהאבר עצמו מותר בחזרה, וזה יליף ריו"ח מחטאת, ומהפסו' בחטאת אפשר ללמוד רק לאבר היוצא בכל בהמה, ולא לקלוט, כיון שנאסר באיסור "קלוט" ביציאתו לאויר העולם, ולכן אף שבכל אבר היוצא מהני החזרה להתירו, לולי הילפותות מהברייתא הו"א דבקלוט שנאסר ביציאתו לאויר העולם לא מהני חזרה להתירו.</w:t>
      </w:r>
    </w:p>
    <w:p w14:paraId="7B914E1A" w14:textId="77777777" w:rsidR="003D504D" w:rsidRDefault="003D504D" w:rsidP="003D504D">
      <w:pPr>
        <w:pStyle w:val="afe"/>
        <w:rPr>
          <w:rtl/>
        </w:rPr>
      </w:pPr>
      <w:bookmarkStart w:id="16992" w:name="_Toc536180765"/>
      <w:bookmarkStart w:id="16993" w:name="_Toc536305002"/>
      <w:bookmarkStart w:id="16994" w:name="_Toc536305083"/>
      <w:bookmarkStart w:id="16995" w:name="_Toc536459295"/>
      <w:bookmarkStart w:id="16996" w:name="_Toc536466251"/>
      <w:bookmarkStart w:id="16997" w:name="_Toc536540400"/>
      <w:bookmarkStart w:id="16998" w:name="_Toc536564211"/>
      <w:bookmarkStart w:id="16999" w:name="_Toc536564366"/>
      <w:bookmarkStart w:id="17000" w:name="_Toc536616900"/>
      <w:bookmarkStart w:id="17001" w:name="_Toc19436071"/>
      <w:bookmarkStart w:id="17002" w:name="_Toc20081265"/>
      <w:r>
        <w:rPr>
          <w:rFonts w:hint="cs"/>
          <w:rtl/>
        </w:rPr>
        <w:t xml:space="preserve">בפלוגתת רב וריו"ח </w:t>
      </w:r>
      <w:bookmarkEnd w:id="16628"/>
      <w:r>
        <w:rPr>
          <w:rFonts w:hint="cs"/>
          <w:rtl/>
        </w:rPr>
        <w:t>בלידת אברים</w:t>
      </w:r>
      <w:bookmarkEnd w:id="16863"/>
      <w:bookmarkEnd w:id="16953"/>
      <w:bookmarkEnd w:id="16979"/>
      <w:bookmarkEnd w:id="16992"/>
      <w:bookmarkEnd w:id="16993"/>
      <w:bookmarkEnd w:id="16994"/>
      <w:bookmarkEnd w:id="16995"/>
      <w:bookmarkEnd w:id="16996"/>
      <w:bookmarkEnd w:id="16997"/>
      <w:bookmarkEnd w:id="16998"/>
      <w:bookmarkEnd w:id="16999"/>
      <w:bookmarkEnd w:id="17000"/>
      <w:bookmarkEnd w:id="17001"/>
      <w:bookmarkEnd w:id="17002"/>
    </w:p>
    <w:p w14:paraId="106E2D44" w14:textId="77777777" w:rsidR="003D504D" w:rsidRDefault="003D504D" w:rsidP="00BF39B2">
      <w:pPr>
        <w:pStyle w:val="1"/>
        <w:rPr>
          <w:rtl/>
        </w:rPr>
      </w:pPr>
      <w:bookmarkStart w:id="17003" w:name="_Toc535868953"/>
      <w:bookmarkStart w:id="17004" w:name="_Toc535921730"/>
      <w:bookmarkStart w:id="17005" w:name="_Toc535958309"/>
      <w:bookmarkStart w:id="17006" w:name="_Toc536041986"/>
      <w:bookmarkStart w:id="17007" w:name="_Toc536130309"/>
      <w:bookmarkStart w:id="17008" w:name="_Toc536178390"/>
      <w:bookmarkStart w:id="17009" w:name="_Toc536180766"/>
      <w:bookmarkStart w:id="17010" w:name="_Toc536305003"/>
      <w:bookmarkStart w:id="17011" w:name="_Toc536305084"/>
      <w:bookmarkStart w:id="17012" w:name="_Toc536459296"/>
      <w:bookmarkStart w:id="17013" w:name="_Toc536466252"/>
      <w:bookmarkStart w:id="17014" w:name="_Toc536540401"/>
      <w:bookmarkStart w:id="17015" w:name="_Toc536564212"/>
      <w:bookmarkStart w:id="17016" w:name="_Toc536564367"/>
      <w:bookmarkStart w:id="17017" w:name="_Toc536616901"/>
      <w:bookmarkStart w:id="17018" w:name="_Toc19391214"/>
      <w:bookmarkStart w:id="17019" w:name="_Toc19394711"/>
      <w:r>
        <w:rPr>
          <w:rFonts w:hint="cs"/>
          <w:rtl/>
        </w:rPr>
        <w:t>דעת רש"י</w:t>
      </w:r>
      <w:bookmarkEnd w:id="17003"/>
      <w:r>
        <w:rPr>
          <w:rFonts w:hint="cs"/>
          <w:rtl/>
        </w:rPr>
        <w:t xml:space="preserve"> ורבינו גרשום</w:t>
      </w:r>
      <w:bookmarkEnd w:id="17004"/>
      <w:bookmarkEnd w:id="17005"/>
      <w:bookmarkEnd w:id="17006"/>
      <w:bookmarkEnd w:id="17007"/>
      <w:bookmarkEnd w:id="17008"/>
      <w:r>
        <w:rPr>
          <w:rFonts w:hint="cs"/>
          <w:rtl/>
        </w:rPr>
        <w:t xml:space="preserve"> דנחלקו בחזרת האבר כל"ק</w:t>
      </w:r>
      <w:bookmarkEnd w:id="17009"/>
      <w:bookmarkEnd w:id="17010"/>
      <w:bookmarkEnd w:id="17011"/>
      <w:bookmarkEnd w:id="17012"/>
      <w:bookmarkEnd w:id="17013"/>
      <w:bookmarkEnd w:id="17014"/>
      <w:bookmarkEnd w:id="17015"/>
      <w:bookmarkEnd w:id="17016"/>
      <w:bookmarkEnd w:id="17017"/>
      <w:bookmarkEnd w:id="17018"/>
      <w:bookmarkEnd w:id="17019"/>
    </w:p>
    <w:p w14:paraId="6DCB39E1" w14:textId="77777777" w:rsidR="003D504D" w:rsidRPr="00DC08B0" w:rsidRDefault="003D504D" w:rsidP="003D504D">
      <w:pPr>
        <w:pStyle w:val="a3"/>
        <w:rPr>
          <w:rtl/>
        </w:rPr>
      </w:pPr>
      <w:bookmarkStart w:id="17020" w:name="_Toc536180767"/>
      <w:bookmarkStart w:id="17021" w:name="_Toc536305004"/>
      <w:bookmarkStart w:id="17022" w:name="_Toc536305085"/>
      <w:bookmarkStart w:id="17023" w:name="_Toc536459297"/>
      <w:bookmarkStart w:id="17024" w:name="_Toc536466253"/>
      <w:bookmarkStart w:id="17025" w:name="_Toc536540402"/>
      <w:bookmarkStart w:id="17026" w:name="_Toc536564213"/>
      <w:bookmarkStart w:id="17027" w:name="_Toc536564368"/>
      <w:bookmarkStart w:id="17028" w:name="_Toc536616902"/>
      <w:bookmarkStart w:id="17029" w:name="_Toc19391215"/>
      <w:bookmarkStart w:id="17030" w:name="_Toc19394712"/>
      <w:r>
        <w:rPr>
          <w:rFonts w:hint="cs"/>
          <w:rtl/>
        </w:rPr>
        <w:t>דברי רש"י ורבינו גרשום דלרב הוי לידה ולא מהני חזרה ולריו"ח לא הוי לידה ומהני חזרה</w:t>
      </w:r>
      <w:bookmarkEnd w:id="17020"/>
      <w:bookmarkEnd w:id="17021"/>
      <w:bookmarkEnd w:id="17022"/>
      <w:bookmarkEnd w:id="17023"/>
      <w:bookmarkEnd w:id="17024"/>
      <w:bookmarkEnd w:id="17025"/>
      <w:bookmarkEnd w:id="17026"/>
      <w:bookmarkEnd w:id="17027"/>
      <w:bookmarkEnd w:id="17028"/>
      <w:bookmarkEnd w:id="17029"/>
      <w:bookmarkEnd w:id="17030"/>
    </w:p>
    <w:p w14:paraId="28786513" w14:textId="77777777" w:rsidR="003D504D" w:rsidRPr="00BA24EB" w:rsidRDefault="003D504D" w:rsidP="00223668">
      <w:pPr>
        <w:pStyle w:val="a0"/>
        <w:rPr>
          <w:rtl/>
        </w:rPr>
      </w:pPr>
      <w:r>
        <w:rPr>
          <w:rFonts w:hint="cs"/>
          <w:rtl/>
        </w:rPr>
        <w:t xml:space="preserve"> </w:t>
      </w:r>
      <w:bookmarkStart w:id="17031" w:name="_Ref536437522"/>
      <w:r>
        <w:rPr>
          <w:rFonts w:hint="cs"/>
          <w:rtl/>
        </w:rPr>
        <w:t xml:space="preserve">כתב </w:t>
      </w:r>
      <w:r w:rsidRPr="00964BCC">
        <w:rPr>
          <w:rStyle w:val="af9"/>
          <w:rFonts w:hint="cs"/>
          <w:rtl/>
        </w:rPr>
        <w:t>רש"י</w:t>
      </w:r>
      <w:r>
        <w:rPr>
          <w:rFonts w:hint="cs"/>
          <w:rtl/>
        </w:rPr>
        <w:t xml:space="preserve"> </w:t>
      </w:r>
      <w:r w:rsidRPr="00964BCC">
        <w:rPr>
          <w:rStyle w:val="af7"/>
          <w:rFonts w:eastAsia="Guttman Hodes" w:hint="cs"/>
          <w:rtl/>
        </w:rPr>
        <w:t xml:space="preserve">(ד"ה אין לידה) </w:t>
      </w:r>
      <w:r>
        <w:rPr>
          <w:rFonts w:hint="cs"/>
          <w:rtl/>
        </w:rPr>
        <w:t>דהמחלוקת אם יש לידה לאברים או אין לידה לאברים, היא לענין אי האבר עצמו אי חשיב כילוד ולא מהני ליה חזרה, או דאין האבר כילוד, ואם החזירו מותר</w:t>
      </w:r>
      <w:bookmarkEnd w:id="17031"/>
      <w:r>
        <w:rPr>
          <w:rFonts w:hint="cs"/>
          <w:rtl/>
        </w:rPr>
        <w:t xml:space="preserve">, וכן ביאר </w:t>
      </w:r>
      <w:r w:rsidRPr="00BA24EB">
        <w:rPr>
          <w:rStyle w:val="af9"/>
          <w:rFonts w:hint="cs"/>
          <w:rtl/>
        </w:rPr>
        <w:t>רבינו גרשום</w:t>
      </w:r>
      <w:r>
        <w:rPr>
          <w:rFonts w:hint="cs"/>
          <w:rtl/>
        </w:rPr>
        <w:t xml:space="preserve"> </w:t>
      </w:r>
      <w:r w:rsidRPr="00BA24EB">
        <w:rPr>
          <w:rStyle w:val="af7"/>
          <w:rFonts w:eastAsia="Guttman Hodes" w:hint="cs"/>
          <w:rtl/>
        </w:rPr>
        <w:t>(ד"ה רב)</w:t>
      </w:r>
      <w:r>
        <w:rPr>
          <w:rFonts w:hint="cs"/>
          <w:rtl/>
        </w:rPr>
        <w:t xml:space="preserve"> דלרב לידת אברים חשיבא כלידה והאבר חשיב כיוצא ואסור, ולריו"ח כיון שאין לידה לאברים, א"כ אין האבר חשיב כיוצא ומותר אם החזירו.</w:t>
      </w:r>
    </w:p>
    <w:p w14:paraId="2DCA58F4" w14:textId="77777777" w:rsidR="003D504D" w:rsidRPr="00502B48" w:rsidRDefault="003D504D" w:rsidP="003D504D">
      <w:pPr>
        <w:pStyle w:val="a3"/>
      </w:pPr>
      <w:bookmarkStart w:id="17032" w:name="_Toc536180769"/>
      <w:bookmarkStart w:id="17033" w:name="_Toc536305006"/>
      <w:bookmarkStart w:id="17034" w:name="_Toc536305087"/>
      <w:bookmarkStart w:id="17035" w:name="_Toc536459299"/>
      <w:bookmarkStart w:id="17036" w:name="_Toc536466255"/>
      <w:bookmarkStart w:id="17037" w:name="_Toc536540404"/>
      <w:bookmarkStart w:id="17038" w:name="_Toc536564214"/>
      <w:bookmarkStart w:id="17039" w:name="_Toc536564369"/>
      <w:bookmarkStart w:id="17040" w:name="_Toc536616903"/>
      <w:bookmarkStart w:id="17041" w:name="_Toc19391216"/>
      <w:bookmarkStart w:id="17042" w:name="_Toc19394713"/>
      <w:r>
        <w:rPr>
          <w:rFonts w:hint="cs"/>
          <w:rtl/>
        </w:rPr>
        <w:t>ביאור רש"י דהנ"מ אם המיעוט שבפנים נאסר הוא בין הל"ק ללישנא דמערבא</w:t>
      </w:r>
      <w:r w:rsidRPr="00EF0F3C">
        <w:rPr>
          <w:rFonts w:hint="cs"/>
          <w:rtl/>
        </w:rPr>
        <w:t xml:space="preserve"> </w:t>
      </w:r>
      <w:r>
        <w:rPr>
          <w:rFonts w:hint="cs"/>
          <w:rtl/>
        </w:rPr>
        <w:t>לדעת רב</w:t>
      </w:r>
      <w:bookmarkEnd w:id="17032"/>
      <w:bookmarkEnd w:id="17033"/>
      <w:bookmarkEnd w:id="17034"/>
      <w:bookmarkEnd w:id="17035"/>
      <w:bookmarkEnd w:id="17036"/>
      <w:bookmarkEnd w:id="17037"/>
      <w:bookmarkEnd w:id="17038"/>
      <w:bookmarkEnd w:id="17039"/>
      <w:bookmarkEnd w:id="17040"/>
      <w:bookmarkEnd w:id="17041"/>
      <w:bookmarkEnd w:id="17042"/>
    </w:p>
    <w:p w14:paraId="46C35451" w14:textId="77777777" w:rsidR="003D504D" w:rsidRDefault="003D504D" w:rsidP="00223668">
      <w:pPr>
        <w:pStyle w:val="a0"/>
        <w:rPr>
          <w:rtl/>
        </w:rPr>
      </w:pPr>
      <w:bookmarkStart w:id="17043" w:name="_Ref535857367"/>
      <w:r>
        <w:rPr>
          <w:rFonts w:hint="cs"/>
          <w:rtl/>
        </w:rPr>
        <w:t xml:space="preserve">ובקושית הגמ' מאי בינייהו, ביאר </w:t>
      </w:r>
      <w:r w:rsidRPr="00964BCC">
        <w:rPr>
          <w:rStyle w:val="af9"/>
          <w:rFonts w:hint="cs"/>
          <w:rtl/>
        </w:rPr>
        <w:t>רש"י</w:t>
      </w:r>
      <w:r>
        <w:rPr>
          <w:rFonts w:hint="cs"/>
          <w:rtl/>
        </w:rPr>
        <w:t xml:space="preserve"> </w:t>
      </w:r>
      <w:r w:rsidRPr="00964BCC">
        <w:rPr>
          <w:rStyle w:val="af7"/>
          <w:rFonts w:eastAsia="Guttman Hodes" w:hint="cs"/>
          <w:rtl/>
        </w:rPr>
        <w:t xml:space="preserve">(ד"ה מאי) </w:t>
      </w:r>
      <w:r>
        <w:rPr>
          <w:rFonts w:hint="cs"/>
          <w:rtl/>
        </w:rPr>
        <w:t>דהיינו בין ל"ק ללישנא דמערבא</w:t>
      </w:r>
      <w:r w:rsidRPr="00983CE6">
        <w:rPr>
          <w:rStyle w:val="afb"/>
          <w:rFonts w:hint="cs"/>
          <w:rtl/>
        </w:rPr>
        <w:t>, [ולא בין רב לריו"ח כ</w:t>
      </w:r>
      <w:r>
        <w:rPr>
          <w:rStyle w:val="afb"/>
          <w:rFonts w:hint="cs"/>
          <w:rtl/>
        </w:rPr>
        <w:t>ד</w:t>
      </w:r>
      <w:r w:rsidRPr="00983CE6">
        <w:rPr>
          <w:rStyle w:val="afb"/>
          <w:rFonts w:hint="cs"/>
          <w:rtl/>
        </w:rPr>
        <w:t xml:space="preserve">ביארו </w:t>
      </w:r>
      <w:r w:rsidRPr="00983CE6">
        <w:rPr>
          <w:rStyle w:val="affa"/>
          <w:rFonts w:hint="cs"/>
          <w:rtl/>
        </w:rPr>
        <w:t>הרי"ף</w:t>
      </w:r>
      <w:r>
        <w:rPr>
          <w:rStyle w:val="affa"/>
          <w:rFonts w:hint="cs"/>
          <w:rtl/>
        </w:rPr>
        <w:t xml:space="preserve"> </w:t>
      </w:r>
      <w:r w:rsidRPr="00983CE6">
        <w:rPr>
          <w:rStyle w:val="affa"/>
          <w:rFonts w:hint="cs"/>
          <w:rtl/>
        </w:rPr>
        <w:t xml:space="preserve">והראשונים </w:t>
      </w:r>
      <w:r w:rsidRPr="00502B48">
        <w:rPr>
          <w:rStyle w:val="aff6"/>
          <w:rFonts w:hint="cs"/>
          <w:rtl/>
        </w:rPr>
        <w:t xml:space="preserve">(עי' אות </w:t>
      </w:r>
      <w:r w:rsidRPr="00502B48">
        <w:rPr>
          <w:rStyle w:val="aff6"/>
          <w:rtl/>
        </w:rPr>
        <w:fldChar w:fldCharType="begin"/>
      </w:r>
      <w:r w:rsidRPr="00502B48">
        <w:rPr>
          <w:rStyle w:val="aff6"/>
          <w:rtl/>
        </w:rPr>
        <w:instrText xml:space="preserve"> </w:instrText>
      </w:r>
      <w:r w:rsidRPr="00502B48">
        <w:rPr>
          <w:rStyle w:val="aff6"/>
          <w:rFonts w:hint="cs"/>
        </w:rPr>
        <w:instrText>REF</w:instrText>
      </w:r>
      <w:r w:rsidRPr="00502B48">
        <w:rPr>
          <w:rStyle w:val="aff6"/>
          <w:rFonts w:hint="cs"/>
          <w:rtl/>
        </w:rPr>
        <w:instrText xml:space="preserve"> _</w:instrText>
      </w:r>
      <w:r w:rsidRPr="00502B48">
        <w:rPr>
          <w:rStyle w:val="aff6"/>
          <w:rFonts w:hint="cs"/>
        </w:rPr>
        <w:instrText>Ref535857375 \r \h</w:instrText>
      </w:r>
      <w:r w:rsidRPr="00502B48">
        <w:rPr>
          <w:rStyle w:val="aff6"/>
          <w:rtl/>
        </w:rPr>
        <w:instrText xml:space="preserve"> </w:instrText>
      </w:r>
      <w:r w:rsidRPr="00502B48">
        <w:rPr>
          <w:rStyle w:val="aff6"/>
          <w:rtl/>
        </w:rPr>
      </w:r>
      <w:r w:rsidRPr="00502B48">
        <w:rPr>
          <w:rStyle w:val="aff6"/>
          <w:rtl/>
        </w:rPr>
        <w:fldChar w:fldCharType="separate"/>
      </w:r>
      <w:r w:rsidR="00345400">
        <w:rPr>
          <w:rStyle w:val="aff6"/>
          <w:cs/>
        </w:rPr>
        <w:t>‎</w:t>
      </w:r>
      <w:r w:rsidR="00345400">
        <w:rPr>
          <w:rStyle w:val="aff6"/>
          <w:rtl/>
        </w:rPr>
        <w:t>לג)</w:t>
      </w:r>
      <w:r w:rsidRPr="00502B48">
        <w:rPr>
          <w:rStyle w:val="aff6"/>
          <w:rtl/>
        </w:rPr>
        <w:fldChar w:fldCharType="end"/>
      </w:r>
      <w:r>
        <w:rPr>
          <w:rFonts w:hint="cs"/>
          <w:rtl/>
        </w:rPr>
        <w:t xml:space="preserve">, דלל"ק האיסור באבר היוצא </w:t>
      </w:r>
      <w:r w:rsidRPr="00521C83">
        <w:rPr>
          <w:rFonts w:hint="cs"/>
          <w:rtl/>
        </w:rPr>
        <w:t xml:space="preserve">הוא רק במה שיצא לחוץ, אבל המיעוט שנשאר בפנים מותר </w:t>
      </w:r>
      <w:r w:rsidRPr="00521C83">
        <w:rPr>
          <w:rStyle w:val="afb"/>
          <w:rFonts w:hint="cs"/>
          <w:rtl/>
        </w:rPr>
        <w:t>[לכו"ע]</w:t>
      </w:r>
      <w:r w:rsidRPr="00521C83">
        <w:rPr>
          <w:rFonts w:hint="cs"/>
          <w:rtl/>
        </w:rPr>
        <w:t>, וללישנא דבני מערבא, אף המיעוט שנשאר בפנים אסור</w:t>
      </w:r>
      <w:r>
        <w:rPr>
          <w:rFonts w:hint="cs"/>
          <w:rtl/>
        </w:rPr>
        <w:t xml:space="preserve"> </w:t>
      </w:r>
      <w:r>
        <w:rPr>
          <w:rStyle w:val="afb"/>
          <w:rFonts w:hint="cs"/>
          <w:rtl/>
        </w:rPr>
        <w:t>[</w:t>
      </w:r>
      <w:r w:rsidRPr="00521C83">
        <w:rPr>
          <w:rStyle w:val="afb"/>
          <w:rFonts w:hint="cs"/>
          <w:rtl/>
        </w:rPr>
        <w:t>למ"ד דיש לידה לאברים</w:t>
      </w:r>
      <w:r>
        <w:rPr>
          <w:rStyle w:val="afb"/>
          <w:rFonts w:hint="cs"/>
          <w:rtl/>
        </w:rPr>
        <w:t>]</w:t>
      </w:r>
      <w:r w:rsidRPr="00521C83">
        <w:rPr>
          <w:rFonts w:hint="cs"/>
          <w:rtl/>
        </w:rPr>
        <w:t>, כיון שהאבר הוא כילוד.</w:t>
      </w:r>
      <w:bookmarkEnd w:id="17043"/>
    </w:p>
    <w:p w14:paraId="4E8692CC" w14:textId="77777777" w:rsidR="003D504D" w:rsidRDefault="003D504D" w:rsidP="003D504D">
      <w:pPr>
        <w:pStyle w:val="a3"/>
        <w:rPr>
          <w:rtl/>
        </w:rPr>
      </w:pPr>
      <w:bookmarkStart w:id="17044" w:name="_Toc536180770"/>
      <w:bookmarkStart w:id="17045" w:name="_Toc536305007"/>
      <w:bookmarkStart w:id="17046" w:name="_Toc536305088"/>
      <w:bookmarkStart w:id="17047" w:name="_Toc536459300"/>
      <w:bookmarkStart w:id="17048" w:name="_Toc536466256"/>
      <w:bookmarkStart w:id="17049" w:name="_Toc536540405"/>
      <w:bookmarkStart w:id="17050" w:name="_Toc536564215"/>
      <w:bookmarkStart w:id="17051" w:name="_Toc536564370"/>
      <w:bookmarkStart w:id="17052" w:name="_Toc536616904"/>
      <w:bookmarkStart w:id="17053" w:name="_Toc19391217"/>
      <w:bookmarkStart w:id="17054" w:name="_Toc19394714"/>
      <w:r>
        <w:rPr>
          <w:rFonts w:hint="cs"/>
          <w:rtl/>
        </w:rPr>
        <w:t>דברי רבינו גרשום דללישנא דמערבא ביצא רוב האבר אמרינן דרובו ככולו</w:t>
      </w:r>
      <w:bookmarkEnd w:id="17044"/>
      <w:bookmarkEnd w:id="17045"/>
      <w:bookmarkEnd w:id="17046"/>
      <w:bookmarkEnd w:id="17047"/>
      <w:bookmarkEnd w:id="17048"/>
      <w:bookmarkEnd w:id="17049"/>
      <w:bookmarkEnd w:id="17050"/>
      <w:bookmarkEnd w:id="17051"/>
      <w:bookmarkEnd w:id="17052"/>
      <w:bookmarkEnd w:id="17053"/>
      <w:bookmarkEnd w:id="17054"/>
    </w:p>
    <w:p w14:paraId="1BBA811E" w14:textId="77777777" w:rsidR="003D504D" w:rsidRDefault="003D504D" w:rsidP="00223668">
      <w:pPr>
        <w:pStyle w:val="a0"/>
        <w:rPr>
          <w:rtl/>
        </w:rPr>
      </w:pPr>
      <w:r>
        <w:rPr>
          <w:rFonts w:hint="cs"/>
          <w:rtl/>
        </w:rPr>
        <w:t xml:space="preserve">וכן ביאר </w:t>
      </w:r>
      <w:r w:rsidRPr="005A7317">
        <w:rPr>
          <w:rStyle w:val="af9"/>
          <w:rFonts w:hint="cs"/>
          <w:rtl/>
        </w:rPr>
        <w:t>רבינו גרשום</w:t>
      </w:r>
      <w:r>
        <w:rPr>
          <w:rFonts w:hint="cs"/>
          <w:rtl/>
        </w:rPr>
        <w:t xml:space="preserve"> </w:t>
      </w:r>
      <w:r w:rsidRPr="005A7317">
        <w:rPr>
          <w:rStyle w:val="af7"/>
          <w:rFonts w:eastAsia="Guttman Hodes" w:hint="cs"/>
          <w:rtl/>
        </w:rPr>
        <w:t>(ד"ה רב)</w:t>
      </w:r>
      <w:r>
        <w:rPr>
          <w:rFonts w:hint="cs"/>
          <w:rtl/>
        </w:rPr>
        <w:t xml:space="preserve"> דקושית הגמ' "מאי בינייהו"</w:t>
      </w:r>
      <w:r w:rsidRPr="00C5355A">
        <w:rPr>
          <w:rFonts w:hint="cs"/>
          <w:rtl/>
        </w:rPr>
        <w:t xml:space="preserve"> </w:t>
      </w:r>
      <w:r>
        <w:rPr>
          <w:rFonts w:hint="cs"/>
          <w:rtl/>
        </w:rPr>
        <w:t>היינו בין ל"ק ללישנא דמערבא לדעת רב, דללישנא דמערבא ס"ל לרב דכיון שיש לידה לאברים ויצא רוב האבר, אמרינן דרובו ככולו, ואף המיעוט שבפנים נאסר.</w:t>
      </w:r>
    </w:p>
    <w:p w14:paraId="5CF809AE" w14:textId="77777777" w:rsidR="003D504D" w:rsidRDefault="003D504D" w:rsidP="003D504D">
      <w:pPr>
        <w:pStyle w:val="a3"/>
        <w:rPr>
          <w:rtl/>
        </w:rPr>
      </w:pPr>
      <w:bookmarkStart w:id="17055" w:name="_Toc536180772"/>
      <w:bookmarkStart w:id="17056" w:name="_Toc536305009"/>
      <w:bookmarkStart w:id="17057" w:name="_Toc536305090"/>
      <w:bookmarkStart w:id="17058" w:name="_Toc536459302"/>
      <w:bookmarkStart w:id="17059" w:name="_Toc536466258"/>
      <w:bookmarkStart w:id="17060" w:name="_Toc536540407"/>
      <w:bookmarkStart w:id="17061" w:name="_Toc536564216"/>
      <w:bookmarkStart w:id="17062" w:name="_Toc536564371"/>
      <w:bookmarkStart w:id="17063" w:name="_Toc536616905"/>
      <w:bookmarkStart w:id="17064" w:name="_Toc19391218"/>
      <w:bookmarkStart w:id="17065" w:name="_Toc19394715"/>
      <w:r>
        <w:rPr>
          <w:rFonts w:hint="cs"/>
          <w:rtl/>
        </w:rPr>
        <w:t>ביאור הראשונים ברש"י דלריו"ח לב' הלישנות חזרה מתרת והחילוק בלישנות הוא רק לרב</w:t>
      </w:r>
      <w:bookmarkEnd w:id="17055"/>
      <w:bookmarkEnd w:id="17056"/>
      <w:bookmarkEnd w:id="17057"/>
      <w:bookmarkEnd w:id="17058"/>
      <w:bookmarkEnd w:id="17059"/>
      <w:bookmarkEnd w:id="17060"/>
      <w:bookmarkEnd w:id="17061"/>
      <w:bookmarkEnd w:id="17062"/>
      <w:bookmarkEnd w:id="17063"/>
      <w:bookmarkEnd w:id="17064"/>
      <w:bookmarkEnd w:id="17065"/>
    </w:p>
    <w:p w14:paraId="32983160" w14:textId="77777777" w:rsidR="003D504D" w:rsidRDefault="003D504D" w:rsidP="00223668">
      <w:pPr>
        <w:pStyle w:val="a0"/>
        <w:rPr>
          <w:rtl/>
        </w:rPr>
      </w:pPr>
      <w:bookmarkStart w:id="17066" w:name="_Ref535870325"/>
      <w:bookmarkStart w:id="17067" w:name="_Toc535868954"/>
      <w:r>
        <w:rPr>
          <w:rFonts w:hint="cs"/>
          <w:rtl/>
        </w:rPr>
        <w:t xml:space="preserve">וביארו </w:t>
      </w:r>
      <w:r>
        <w:rPr>
          <w:rStyle w:val="af9"/>
          <w:rtl/>
        </w:rPr>
        <w:t>הרמב"ן</w:t>
      </w:r>
      <w:r>
        <w:rPr>
          <w:rtl/>
        </w:rPr>
        <w:t xml:space="preserve"> </w:t>
      </w:r>
      <w:r w:rsidRPr="005454A1">
        <w:rPr>
          <w:rStyle w:val="af7"/>
          <w:rFonts w:eastAsia="Guttman Hodes" w:hint="cs"/>
          <w:rtl/>
        </w:rPr>
        <w:t>(ד"ה וריו"ח)</w:t>
      </w:r>
      <w:r>
        <w:rPr>
          <w:rtl/>
        </w:rPr>
        <w:t xml:space="preserve"> </w:t>
      </w:r>
      <w:r>
        <w:rPr>
          <w:rStyle w:val="af9"/>
          <w:rFonts w:hint="cs"/>
          <w:rtl/>
        </w:rPr>
        <w:t>והרשב"א</w:t>
      </w:r>
      <w:r w:rsidRPr="00173886">
        <w:rPr>
          <w:rStyle w:val="af9"/>
          <w:rFonts w:hint="cs"/>
          <w:rtl/>
        </w:rPr>
        <w:t xml:space="preserve"> </w:t>
      </w:r>
      <w:r>
        <w:rPr>
          <w:rStyle w:val="af9"/>
          <w:rFonts w:hint="cs"/>
          <w:rtl/>
        </w:rPr>
        <w:t>בחי'</w:t>
      </w:r>
      <w:r>
        <w:rPr>
          <w:rtl/>
        </w:rPr>
        <w:t xml:space="preserve"> </w:t>
      </w:r>
      <w:r>
        <w:rPr>
          <w:rStyle w:val="af7"/>
          <w:rFonts w:eastAsiaTheme="minorHAnsi" w:hint="cs"/>
          <w:rtl/>
        </w:rPr>
        <w:t>(ד"ה בפומבדיתא)</w:t>
      </w:r>
      <w:r>
        <w:rPr>
          <w:rtl/>
        </w:rPr>
        <w:t xml:space="preserve"> </w:t>
      </w:r>
      <w:r>
        <w:rPr>
          <w:rFonts w:hint="cs"/>
          <w:rtl/>
        </w:rPr>
        <w:t xml:space="preserve">את דברי </w:t>
      </w:r>
      <w:r w:rsidRPr="000445E1">
        <w:rPr>
          <w:rStyle w:val="af9"/>
          <w:rFonts w:hint="cs"/>
          <w:rtl/>
        </w:rPr>
        <w:t>רש"י</w:t>
      </w:r>
      <w:r>
        <w:rPr>
          <w:rFonts w:hint="cs"/>
          <w:rtl/>
        </w:rPr>
        <w:t xml:space="preserve"> דבדעת ריו"ח אין חילוק בין הלישנות, דבין לל"ק ובין ללישנא דמערבא ריו"ח פליג על רב ומתיר כשהחזיר את האבר, דאף ללישנא דמערבא כיון שאין לידה לאברים מהני חזרתו להתירו, ודברי הלישנא דמערבא היא רק אליבא דרב, וכתבו </w:t>
      </w:r>
      <w:r>
        <w:rPr>
          <w:rStyle w:val="af9"/>
          <w:rtl/>
        </w:rPr>
        <w:t>הרמב"ן</w:t>
      </w:r>
      <w:r>
        <w:rPr>
          <w:rtl/>
        </w:rPr>
        <w:t xml:space="preserve"> </w:t>
      </w:r>
      <w:r>
        <w:rPr>
          <w:rStyle w:val="af9"/>
          <w:rFonts w:hint="cs"/>
          <w:rtl/>
        </w:rPr>
        <w:t>והרשב"א</w:t>
      </w:r>
      <w:r w:rsidRPr="00173886">
        <w:rPr>
          <w:rStyle w:val="af9"/>
          <w:rFonts w:hint="cs"/>
          <w:rtl/>
        </w:rPr>
        <w:t xml:space="preserve"> </w:t>
      </w:r>
      <w:r>
        <w:rPr>
          <w:rStyle w:val="af9"/>
          <w:rFonts w:hint="cs"/>
          <w:rtl/>
        </w:rPr>
        <w:t>בחי'</w:t>
      </w:r>
      <w:r>
        <w:rPr>
          <w:rtl/>
        </w:rPr>
        <w:t xml:space="preserve"> </w:t>
      </w:r>
      <w:r>
        <w:rPr>
          <w:rFonts w:hint="cs"/>
          <w:rtl/>
        </w:rPr>
        <w:t xml:space="preserve">דלכן ביאר </w:t>
      </w:r>
      <w:r w:rsidRPr="00127336">
        <w:rPr>
          <w:rStyle w:val="af9"/>
          <w:rFonts w:hint="cs"/>
          <w:rtl/>
        </w:rPr>
        <w:t>רש"י</w:t>
      </w:r>
      <w:r>
        <w:rPr>
          <w:rFonts w:hint="cs"/>
          <w:rtl/>
        </w:rPr>
        <w:t xml:space="preserve"> דהנ"מ במיעוט האבר, אינה בין רב לריו"ח, אלא בין ל"ק ללישנא דמערבא אליבא דרב שאסר בהחזיר את האבר, דלל"ק המיעוט מותר, וללישנא דמערבא כיון שיש לידה לאברים, המיעוט חשיב כנולד ואסור אף אם החזיר את האבר.</w:t>
      </w:r>
      <w:bookmarkEnd w:id="17066"/>
    </w:p>
    <w:p w14:paraId="13AB0F90" w14:textId="77777777" w:rsidR="003D504D" w:rsidRDefault="003D504D" w:rsidP="003D504D">
      <w:pPr>
        <w:pStyle w:val="a3"/>
        <w:rPr>
          <w:rtl/>
        </w:rPr>
      </w:pPr>
      <w:bookmarkStart w:id="17068" w:name="_Toc536180773"/>
      <w:bookmarkStart w:id="17069" w:name="_Toc536305010"/>
      <w:bookmarkStart w:id="17070" w:name="_Toc536305091"/>
      <w:bookmarkStart w:id="17071" w:name="_Toc536459303"/>
      <w:bookmarkStart w:id="17072" w:name="_Toc536466259"/>
      <w:bookmarkStart w:id="17073" w:name="_Toc536540408"/>
      <w:bookmarkStart w:id="17074" w:name="_Toc536564217"/>
      <w:bookmarkStart w:id="17075" w:name="_Toc536564372"/>
      <w:bookmarkStart w:id="17076" w:name="_Toc536616906"/>
      <w:bookmarkStart w:id="17077" w:name="_Toc19391219"/>
      <w:bookmarkStart w:id="17078" w:name="_Toc19394716"/>
      <w:r>
        <w:rPr>
          <w:rFonts w:hint="cs"/>
          <w:rtl/>
        </w:rPr>
        <w:t>ביאור הרשב"א ברש"י דלל"ב המיעוט שבפנים נאסר באיסור יוצא</w:t>
      </w:r>
      <w:bookmarkEnd w:id="17068"/>
      <w:bookmarkEnd w:id="17069"/>
      <w:bookmarkEnd w:id="17070"/>
      <w:bookmarkEnd w:id="17071"/>
      <w:bookmarkEnd w:id="17072"/>
      <w:bookmarkEnd w:id="17073"/>
      <w:bookmarkEnd w:id="17074"/>
      <w:bookmarkEnd w:id="17075"/>
      <w:bookmarkEnd w:id="17076"/>
      <w:bookmarkEnd w:id="17077"/>
      <w:bookmarkEnd w:id="17078"/>
      <w:r>
        <w:rPr>
          <w:rFonts w:hint="cs"/>
          <w:rtl/>
        </w:rPr>
        <w:t xml:space="preserve"> </w:t>
      </w:r>
    </w:p>
    <w:p w14:paraId="2480B911" w14:textId="77777777" w:rsidR="003D504D" w:rsidRDefault="003D504D" w:rsidP="00223668">
      <w:pPr>
        <w:pStyle w:val="a0"/>
        <w:rPr>
          <w:rtl/>
        </w:rPr>
      </w:pPr>
      <w:r>
        <w:rPr>
          <w:rFonts w:hint="cs"/>
          <w:rtl/>
        </w:rPr>
        <w:t xml:space="preserve">וביאר </w:t>
      </w:r>
      <w:r>
        <w:rPr>
          <w:rStyle w:val="af9"/>
          <w:rFonts w:hint="cs"/>
          <w:rtl/>
        </w:rPr>
        <w:t>הרשב"א</w:t>
      </w:r>
      <w:r w:rsidRPr="00173886">
        <w:rPr>
          <w:rStyle w:val="af9"/>
          <w:rFonts w:hint="cs"/>
          <w:rtl/>
        </w:rPr>
        <w:t xml:space="preserve"> </w:t>
      </w:r>
      <w:r>
        <w:rPr>
          <w:rStyle w:val="af9"/>
          <w:rFonts w:hint="cs"/>
          <w:rtl/>
        </w:rPr>
        <w:t>בחי'</w:t>
      </w:r>
      <w:r>
        <w:rPr>
          <w:rFonts w:hint="cs"/>
          <w:rtl/>
        </w:rPr>
        <w:t xml:space="preserve"> דלדעת </w:t>
      </w:r>
      <w:r w:rsidRPr="000E7D63">
        <w:rPr>
          <w:rStyle w:val="af9"/>
          <w:rFonts w:hint="cs"/>
          <w:rtl/>
        </w:rPr>
        <w:t>רש"י</w:t>
      </w:r>
      <w:r>
        <w:rPr>
          <w:rFonts w:hint="cs"/>
          <w:rtl/>
        </w:rPr>
        <w:t xml:space="preserve"> לל"ק אליבא דרב רק האבר שיצא חוץ למחיצתו אסור מדין "בשר בשדה טריפה", אבל המיעוט שנשאר בפנים מותר כיון שהוא בתוך המחיצה, והוא בכלל היתר "בהמה בבהמה", אבל ללישנא דמערבא אליבא דרב, כיון שיש לידה לאברים אף המיעוט שבפנים נאסר, דלידת האבר היא כלידת העובר, וכמו דיצא רוב העובר נאסר אף המיעוט שבפנים, ה"ה דמיעוט האבר שבפנים נאסר, כיון שרוב האבר בחוץ.</w:t>
      </w:r>
    </w:p>
    <w:p w14:paraId="79488C07" w14:textId="77777777" w:rsidR="003D504D" w:rsidRDefault="003D504D" w:rsidP="00BF39B2">
      <w:pPr>
        <w:pStyle w:val="1"/>
        <w:rPr>
          <w:rtl/>
        </w:rPr>
      </w:pPr>
      <w:bookmarkStart w:id="17079" w:name="_Toc535921731"/>
      <w:bookmarkStart w:id="17080" w:name="_Toc535958310"/>
      <w:bookmarkStart w:id="17081" w:name="_Toc536041988"/>
      <w:bookmarkStart w:id="17082" w:name="_Toc536130311"/>
      <w:bookmarkStart w:id="17083" w:name="_Toc536178392"/>
      <w:bookmarkStart w:id="17084" w:name="_Toc536180774"/>
      <w:bookmarkStart w:id="17085" w:name="_Toc536305011"/>
      <w:bookmarkStart w:id="17086" w:name="_Toc536305092"/>
      <w:bookmarkStart w:id="17087" w:name="_Toc536459304"/>
      <w:bookmarkStart w:id="17088" w:name="_Toc536466260"/>
      <w:bookmarkStart w:id="17089" w:name="_Toc536540409"/>
      <w:bookmarkStart w:id="17090" w:name="_Toc536564218"/>
      <w:bookmarkStart w:id="17091" w:name="_Toc536564373"/>
      <w:bookmarkStart w:id="17092" w:name="_Toc536616907"/>
      <w:bookmarkStart w:id="17093" w:name="_Toc19391220"/>
      <w:bookmarkStart w:id="17094" w:name="_Toc19394717"/>
      <w:r>
        <w:rPr>
          <w:rFonts w:hint="cs"/>
          <w:rtl/>
        </w:rPr>
        <w:t>קושיות הראשונים על רש"י</w:t>
      </w:r>
      <w:bookmarkEnd w:id="17067"/>
      <w:bookmarkEnd w:id="17079"/>
      <w:bookmarkEnd w:id="17080"/>
      <w:bookmarkEnd w:id="17081"/>
      <w:bookmarkEnd w:id="17082"/>
      <w:bookmarkEnd w:id="17083"/>
      <w:bookmarkEnd w:id="17084"/>
      <w:bookmarkEnd w:id="17085"/>
      <w:bookmarkEnd w:id="17086"/>
      <w:bookmarkEnd w:id="17087"/>
      <w:bookmarkEnd w:id="17088"/>
      <w:bookmarkEnd w:id="17089"/>
      <w:bookmarkEnd w:id="17090"/>
      <w:bookmarkEnd w:id="17091"/>
      <w:bookmarkEnd w:id="17092"/>
      <w:bookmarkEnd w:id="17093"/>
      <w:bookmarkEnd w:id="17094"/>
    </w:p>
    <w:p w14:paraId="6F30D3FD" w14:textId="77777777" w:rsidR="003D504D" w:rsidRPr="00CF6190" w:rsidRDefault="003D504D" w:rsidP="003D504D">
      <w:pPr>
        <w:pStyle w:val="a3"/>
        <w:rPr>
          <w:rtl/>
        </w:rPr>
      </w:pPr>
      <w:bookmarkStart w:id="17095" w:name="_Toc536305012"/>
      <w:bookmarkStart w:id="17096" w:name="_Toc536305093"/>
      <w:bookmarkStart w:id="17097" w:name="_Toc536459305"/>
      <w:bookmarkStart w:id="17098" w:name="_Toc536466261"/>
      <w:bookmarkStart w:id="17099" w:name="_Toc536540410"/>
      <w:bookmarkStart w:id="17100" w:name="_Toc536564219"/>
      <w:bookmarkStart w:id="17101" w:name="_Toc536564374"/>
      <w:bookmarkStart w:id="17102" w:name="_Toc536616908"/>
      <w:bookmarkStart w:id="17103" w:name="_Toc19391221"/>
      <w:bookmarkStart w:id="17104" w:name="_Toc19394718"/>
      <w:r>
        <w:rPr>
          <w:rFonts w:hint="cs"/>
          <w:rtl/>
        </w:rPr>
        <w:t>קושית הראשונים דלריו"ח כיון שהאבר עצמו מותר בחזרה כ"ש שאינו מצטרף לרוב</w:t>
      </w:r>
      <w:bookmarkEnd w:id="17095"/>
      <w:bookmarkEnd w:id="17096"/>
      <w:bookmarkEnd w:id="17097"/>
      <w:bookmarkEnd w:id="17098"/>
      <w:bookmarkEnd w:id="17099"/>
      <w:bookmarkEnd w:id="17100"/>
      <w:bookmarkEnd w:id="17101"/>
      <w:bookmarkEnd w:id="17102"/>
      <w:bookmarkEnd w:id="17103"/>
      <w:bookmarkEnd w:id="17104"/>
    </w:p>
    <w:p w14:paraId="3F417D08" w14:textId="77777777" w:rsidR="003D504D" w:rsidRDefault="003D504D" w:rsidP="00223668">
      <w:pPr>
        <w:pStyle w:val="a0"/>
        <w:rPr>
          <w:rtl/>
        </w:rPr>
      </w:pPr>
      <w:bookmarkStart w:id="17105" w:name="_Ref535956178"/>
      <w:bookmarkStart w:id="17106" w:name="_Ref535868636"/>
      <w:r>
        <w:rPr>
          <w:rFonts w:hint="cs"/>
          <w:rtl/>
        </w:rPr>
        <w:t xml:space="preserve">והקשו </w:t>
      </w:r>
      <w:r w:rsidRPr="0031424F">
        <w:rPr>
          <w:rStyle w:val="af9"/>
          <w:rFonts w:hint="cs"/>
          <w:rtl/>
        </w:rPr>
        <w:t>הבעה"מ</w:t>
      </w:r>
      <w:r>
        <w:rPr>
          <w:rFonts w:hint="cs"/>
          <w:rtl/>
        </w:rPr>
        <w:t xml:space="preserve"> </w:t>
      </w:r>
      <w:r w:rsidRPr="0031424F">
        <w:rPr>
          <w:rStyle w:val="af7"/>
          <w:rFonts w:eastAsia="Guttman Hodes" w:hint="cs"/>
          <w:rtl/>
        </w:rPr>
        <w:t xml:space="preserve">(כד. מדפי הרי"ף) </w:t>
      </w:r>
      <w:r>
        <w:rPr>
          <w:rStyle w:val="af9"/>
          <w:rFonts w:hint="cs"/>
          <w:rtl/>
        </w:rPr>
        <w:t>ו</w:t>
      </w:r>
      <w:r w:rsidRPr="00F221CE">
        <w:rPr>
          <w:rStyle w:val="af9"/>
          <w:rFonts w:hint="cs"/>
          <w:rtl/>
        </w:rPr>
        <w:t>הרמב"ן</w:t>
      </w:r>
      <w:r>
        <w:rPr>
          <w:rFonts w:hint="cs"/>
          <w:rtl/>
        </w:rPr>
        <w:t xml:space="preserve"> </w:t>
      </w:r>
      <w:r w:rsidRPr="000D3F02">
        <w:rPr>
          <w:rStyle w:val="af7"/>
          <w:rFonts w:eastAsia="Guttman Hodes" w:hint="cs"/>
          <w:rtl/>
        </w:rPr>
        <w:t>(ד"ה וריו"ח)</w:t>
      </w:r>
      <w:r>
        <w:rPr>
          <w:rFonts w:hint="cs"/>
          <w:rtl/>
        </w:rPr>
        <w:t xml:space="preserve"> </w:t>
      </w:r>
      <w:r>
        <w:rPr>
          <w:rStyle w:val="af9"/>
          <w:rFonts w:hint="cs"/>
          <w:rtl/>
        </w:rPr>
        <w:t>והרשב"א</w:t>
      </w:r>
      <w:r w:rsidRPr="00173886">
        <w:rPr>
          <w:rStyle w:val="af9"/>
          <w:rFonts w:hint="cs"/>
          <w:rtl/>
        </w:rPr>
        <w:t xml:space="preserve"> </w:t>
      </w:r>
      <w:r>
        <w:rPr>
          <w:rStyle w:val="af9"/>
          <w:rFonts w:hint="cs"/>
          <w:rtl/>
        </w:rPr>
        <w:t>בחי'</w:t>
      </w:r>
      <w:r>
        <w:rPr>
          <w:rtl/>
        </w:rPr>
        <w:t xml:space="preserve"> </w:t>
      </w:r>
      <w:r>
        <w:rPr>
          <w:rStyle w:val="af7"/>
          <w:rFonts w:eastAsiaTheme="minorHAnsi" w:hint="cs"/>
          <w:rtl/>
        </w:rPr>
        <w:t>(ד"ה בפומבדיתא)</w:t>
      </w:r>
      <w:r>
        <w:rPr>
          <w:rtl/>
        </w:rPr>
        <w:t xml:space="preserve"> </w:t>
      </w:r>
      <w:r w:rsidRPr="001173E5">
        <w:rPr>
          <w:rStyle w:val="af9"/>
          <w:rFonts w:hint="cs"/>
          <w:rtl/>
        </w:rPr>
        <w:t>והרא"ש</w:t>
      </w:r>
      <w:r>
        <w:rPr>
          <w:rFonts w:hint="cs"/>
          <w:rtl/>
        </w:rPr>
        <w:t xml:space="preserve"> </w:t>
      </w:r>
      <w:r w:rsidRPr="001173E5">
        <w:rPr>
          <w:rStyle w:val="af7"/>
          <w:rFonts w:eastAsia="Guttman Hodes" w:hint="cs"/>
          <w:rtl/>
        </w:rPr>
        <w:t>(סי' ד')</w:t>
      </w:r>
      <w:r>
        <w:rPr>
          <w:rStyle w:val="af9"/>
          <w:rFonts w:hint="cs"/>
          <w:rtl/>
        </w:rPr>
        <w:t xml:space="preserve"> </w:t>
      </w:r>
      <w:r w:rsidRPr="006E2B32">
        <w:rPr>
          <w:rStyle w:val="af9"/>
          <w:rFonts w:hint="cs"/>
          <w:rtl/>
        </w:rPr>
        <w:t>והר"ן בחי'</w:t>
      </w:r>
      <w:r>
        <w:rPr>
          <w:rFonts w:hint="cs"/>
          <w:rtl/>
        </w:rPr>
        <w:t xml:space="preserve"> </w:t>
      </w:r>
      <w:r w:rsidRPr="006E2B32">
        <w:rPr>
          <w:rStyle w:val="af7"/>
          <w:rFonts w:eastAsia="Guttman Hodes" w:hint="cs"/>
          <w:rtl/>
        </w:rPr>
        <w:t>(ד"ה מאי)</w:t>
      </w:r>
      <w:r>
        <w:rPr>
          <w:rFonts w:hint="cs"/>
          <w:rtl/>
        </w:rPr>
        <w:t xml:space="preserve"> על </w:t>
      </w:r>
      <w:r w:rsidRPr="00F221CE">
        <w:rPr>
          <w:rStyle w:val="af9"/>
          <w:rFonts w:hint="cs"/>
          <w:rtl/>
        </w:rPr>
        <w:t>רש"י</w:t>
      </w:r>
      <w:r>
        <w:rPr>
          <w:rFonts w:hint="cs"/>
          <w:rtl/>
        </w:rPr>
        <w:t xml:space="preserve"> דאי הנ"מ בין הלישנות היא האם המיעוט שבפנים נאסר לדעת רב, </w:t>
      </w:r>
      <w:r w:rsidRPr="00F221CE">
        <w:rPr>
          <w:rStyle w:val="afb"/>
          <w:rFonts w:hint="cs"/>
          <w:rtl/>
        </w:rPr>
        <w:t>[והמ"ד דאין לידה לאברים הוא ריו"ח]</w:t>
      </w:r>
      <w:r>
        <w:rPr>
          <w:rStyle w:val="afb"/>
          <w:rFonts w:hint="cs"/>
          <w:rtl/>
        </w:rPr>
        <w:t>,</w:t>
      </w:r>
      <w:r w:rsidRPr="00F221CE">
        <w:rPr>
          <w:rStyle w:val="afb"/>
          <w:rFonts w:hint="cs"/>
          <w:rtl/>
        </w:rPr>
        <w:t xml:space="preserve"> </w:t>
      </w:r>
      <w:r>
        <w:rPr>
          <w:rFonts w:hint="cs"/>
          <w:rtl/>
        </w:rPr>
        <w:t xml:space="preserve">א"כ מה מסתפקת הגמ' למ"ד דאין לידה </w:t>
      </w:r>
      <w:r w:rsidRPr="00064DC9">
        <w:rPr>
          <w:rFonts w:hint="cs"/>
          <w:rtl/>
        </w:rPr>
        <w:t xml:space="preserve">לאברים </w:t>
      </w:r>
      <w:r>
        <w:rPr>
          <w:rFonts w:hint="cs"/>
          <w:rtl/>
        </w:rPr>
        <w:t>דהיינו ריו"ח</w:t>
      </w:r>
      <w:r w:rsidRPr="00064DC9">
        <w:rPr>
          <w:rFonts w:hint="cs"/>
          <w:rtl/>
        </w:rPr>
        <w:t>, אם נאסר בהוציא</w:t>
      </w:r>
      <w:r>
        <w:rPr>
          <w:rFonts w:hint="cs"/>
          <w:rtl/>
        </w:rPr>
        <w:t xml:space="preserve"> אברים והחזיר עד שהשלים לרוב, </w:t>
      </w:r>
      <w:r w:rsidRPr="002C07B3">
        <w:rPr>
          <w:rStyle w:val="afb"/>
          <w:rFonts w:hint="cs"/>
          <w:rtl/>
        </w:rPr>
        <w:t xml:space="preserve">[כדביאר </w:t>
      </w:r>
      <w:r w:rsidRPr="002C07B3">
        <w:rPr>
          <w:rStyle w:val="affa"/>
          <w:rFonts w:hint="cs"/>
          <w:rtl/>
        </w:rPr>
        <w:t>רש"י</w:t>
      </w:r>
      <w:r w:rsidRPr="002C07B3">
        <w:rPr>
          <w:rStyle w:val="afb"/>
          <w:rFonts w:hint="cs"/>
          <w:rtl/>
        </w:rPr>
        <w:t xml:space="preserve"> </w:t>
      </w:r>
      <w:r w:rsidRPr="002C07B3">
        <w:rPr>
          <w:rStyle w:val="aff6"/>
          <w:rFonts w:hint="cs"/>
          <w:rtl/>
        </w:rPr>
        <w:t xml:space="preserve">(עי' אות </w:t>
      </w:r>
      <w:r w:rsidRPr="002C07B3">
        <w:rPr>
          <w:rStyle w:val="aff6"/>
          <w:rtl/>
        </w:rPr>
        <w:fldChar w:fldCharType="begin"/>
      </w:r>
      <w:r w:rsidRPr="002C07B3">
        <w:rPr>
          <w:rStyle w:val="aff6"/>
          <w:rtl/>
        </w:rPr>
        <w:instrText xml:space="preserve"> </w:instrText>
      </w:r>
      <w:r w:rsidRPr="002C07B3">
        <w:rPr>
          <w:rStyle w:val="aff6"/>
          <w:rFonts w:hint="cs"/>
        </w:rPr>
        <w:instrText>REF</w:instrText>
      </w:r>
      <w:r w:rsidRPr="002C07B3">
        <w:rPr>
          <w:rStyle w:val="aff6"/>
          <w:rFonts w:hint="cs"/>
          <w:rtl/>
        </w:rPr>
        <w:instrText xml:space="preserve"> _</w:instrText>
      </w:r>
      <w:r w:rsidRPr="002C07B3">
        <w:rPr>
          <w:rStyle w:val="aff6"/>
          <w:rFonts w:hint="cs"/>
        </w:rPr>
        <w:instrText>Ref536378677 \r \h</w:instrText>
      </w:r>
      <w:r w:rsidRPr="002C07B3">
        <w:rPr>
          <w:rStyle w:val="aff6"/>
          <w:rtl/>
        </w:rPr>
        <w:instrText xml:space="preserve"> </w:instrText>
      </w:r>
      <w:r w:rsidRPr="002C07B3">
        <w:rPr>
          <w:rStyle w:val="aff6"/>
          <w:rtl/>
        </w:rPr>
      </w:r>
      <w:r w:rsidRPr="002C07B3">
        <w:rPr>
          <w:rStyle w:val="aff6"/>
          <w:rtl/>
        </w:rPr>
        <w:fldChar w:fldCharType="separate"/>
      </w:r>
      <w:r w:rsidR="00345400">
        <w:rPr>
          <w:rStyle w:val="aff6"/>
          <w:cs/>
        </w:rPr>
        <w:t>‎</w:t>
      </w:r>
      <w:r w:rsidR="00345400">
        <w:rPr>
          <w:rStyle w:val="aff6"/>
          <w:rtl/>
        </w:rPr>
        <w:t>מה)</w:t>
      </w:r>
      <w:r w:rsidRPr="002C07B3">
        <w:rPr>
          <w:rStyle w:val="aff6"/>
          <w:rtl/>
        </w:rPr>
        <w:fldChar w:fldCharType="end"/>
      </w:r>
      <w:r w:rsidRPr="002C07B3">
        <w:rPr>
          <w:rStyle w:val="afb"/>
          <w:rFonts w:hint="cs"/>
          <w:rtl/>
        </w:rPr>
        <w:t>]</w:t>
      </w:r>
      <w:r>
        <w:rPr>
          <w:rFonts w:hint="cs"/>
          <w:rtl/>
        </w:rPr>
        <w:t xml:space="preserve">, הרי לדעת ריו"ח פשיטא שאבר שחזר אינו יכול להצטרף לרוב, דהא האבר עצמו הותר כשהחזירו, והוסיפו </w:t>
      </w:r>
      <w:r w:rsidRPr="003A7EAD">
        <w:rPr>
          <w:rStyle w:val="af9"/>
          <w:rFonts w:hint="cs"/>
          <w:rtl/>
        </w:rPr>
        <w:t>הרשב"א</w:t>
      </w:r>
      <w:r w:rsidRPr="00A76B87">
        <w:rPr>
          <w:rStyle w:val="af9"/>
          <w:rFonts w:hint="cs"/>
          <w:rtl/>
        </w:rPr>
        <w:t xml:space="preserve"> </w:t>
      </w:r>
      <w:r w:rsidRPr="001173E5">
        <w:rPr>
          <w:rStyle w:val="af9"/>
          <w:rFonts w:hint="cs"/>
          <w:rtl/>
        </w:rPr>
        <w:t>והרא"ש</w:t>
      </w:r>
      <w:r>
        <w:rPr>
          <w:rFonts w:hint="cs"/>
          <w:rtl/>
        </w:rPr>
        <w:t xml:space="preserve"> דכיון שהאבר שחזר אינו מותר באכילה, כ"ש שאינו יכול להצטרף לרוב להחשיבו כילוד, ועי' במ"ש בזה </w:t>
      </w:r>
      <w:r w:rsidRPr="00881EA3">
        <w:rPr>
          <w:rStyle w:val="af9"/>
          <w:rFonts w:hint="cs"/>
          <w:rtl/>
        </w:rPr>
        <w:t xml:space="preserve">הגרש"ר </w:t>
      </w:r>
      <w:r w:rsidRPr="00881EA3">
        <w:rPr>
          <w:rStyle w:val="af7"/>
          <w:rFonts w:eastAsia="Guttman Hodes" w:hint="cs"/>
          <w:rtl/>
        </w:rPr>
        <w:t xml:space="preserve">(עי' אות </w:t>
      </w:r>
      <w:r w:rsidRPr="00881EA3">
        <w:rPr>
          <w:rStyle w:val="af7"/>
          <w:rFonts w:eastAsia="Guttman Hodes"/>
          <w:rtl/>
        </w:rPr>
        <w:fldChar w:fldCharType="begin"/>
      </w:r>
      <w:r w:rsidRPr="00881EA3">
        <w:rPr>
          <w:rStyle w:val="af7"/>
          <w:rFonts w:eastAsia="Guttman Hodes"/>
          <w:rtl/>
        </w:rPr>
        <w:instrText xml:space="preserve"> </w:instrText>
      </w:r>
      <w:r w:rsidRPr="00881EA3">
        <w:rPr>
          <w:rStyle w:val="af7"/>
          <w:rFonts w:eastAsia="Guttman Hodes" w:hint="cs"/>
        </w:rPr>
        <w:instrText>REF</w:instrText>
      </w:r>
      <w:r w:rsidRPr="00881EA3">
        <w:rPr>
          <w:rStyle w:val="af7"/>
          <w:rFonts w:eastAsia="Guttman Hodes" w:hint="cs"/>
          <w:rtl/>
        </w:rPr>
        <w:instrText xml:space="preserve"> _</w:instrText>
      </w:r>
      <w:r w:rsidRPr="00881EA3">
        <w:rPr>
          <w:rStyle w:val="af7"/>
          <w:rFonts w:eastAsia="Guttman Hodes" w:hint="cs"/>
        </w:rPr>
        <w:instrText>Ref535956251 \r \h</w:instrText>
      </w:r>
      <w:r w:rsidRPr="00881EA3">
        <w:rPr>
          <w:rStyle w:val="af7"/>
          <w:rFonts w:eastAsia="Guttman Hodes"/>
          <w:rtl/>
        </w:rPr>
        <w:instrText xml:space="preserve"> </w:instrText>
      </w:r>
      <w:r w:rsidRPr="00881EA3">
        <w:rPr>
          <w:rStyle w:val="af7"/>
          <w:rFonts w:eastAsia="Guttman Hodes"/>
          <w:rtl/>
        </w:rPr>
      </w:r>
      <w:r w:rsidRPr="00881EA3">
        <w:rPr>
          <w:rStyle w:val="af7"/>
          <w:rFonts w:eastAsia="Guttman Hodes"/>
          <w:rtl/>
        </w:rPr>
        <w:fldChar w:fldCharType="separate"/>
      </w:r>
      <w:r w:rsidR="00345400">
        <w:rPr>
          <w:rStyle w:val="af7"/>
          <w:rFonts w:eastAsia="Guttman Hodes"/>
          <w:cs/>
        </w:rPr>
        <w:t>‎</w:t>
      </w:r>
      <w:r w:rsidR="00345400">
        <w:rPr>
          <w:rStyle w:val="af7"/>
          <w:rFonts w:eastAsia="Guttman Hodes"/>
          <w:rtl/>
        </w:rPr>
        <w:t>קיב)</w:t>
      </w:r>
      <w:r w:rsidRPr="00881EA3">
        <w:rPr>
          <w:rStyle w:val="af7"/>
          <w:rFonts w:eastAsia="Guttman Hodes"/>
          <w:rtl/>
        </w:rPr>
        <w:fldChar w:fldCharType="end"/>
      </w:r>
      <w:r>
        <w:rPr>
          <w:rFonts w:hint="cs"/>
          <w:rtl/>
        </w:rPr>
        <w:t>.</w:t>
      </w:r>
      <w:bookmarkEnd w:id="17105"/>
    </w:p>
    <w:p w14:paraId="4E6679F1" w14:textId="77777777" w:rsidR="003D504D" w:rsidRPr="00F417E7" w:rsidRDefault="003D504D" w:rsidP="003D504D">
      <w:pPr>
        <w:pStyle w:val="a3"/>
      </w:pPr>
      <w:bookmarkStart w:id="17107" w:name="_Toc536305013"/>
      <w:bookmarkStart w:id="17108" w:name="_Toc536305094"/>
      <w:bookmarkStart w:id="17109" w:name="_Toc536459306"/>
      <w:bookmarkStart w:id="17110" w:name="_Toc536466262"/>
      <w:bookmarkStart w:id="17111" w:name="_Toc536540411"/>
      <w:bookmarkStart w:id="17112" w:name="_Toc536564220"/>
      <w:bookmarkStart w:id="17113" w:name="_Toc536564375"/>
      <w:bookmarkStart w:id="17114" w:name="_Toc536616909"/>
      <w:bookmarkStart w:id="17115" w:name="_Toc19391222"/>
      <w:bookmarkStart w:id="17116" w:name="_Toc19394719"/>
      <w:r>
        <w:rPr>
          <w:rFonts w:hint="cs"/>
          <w:rtl/>
        </w:rPr>
        <w:t>ישוב הרמב"ן ברש"י דאף שהחזרת האבר מתירתו מ"מ האיסור חוזר וניעור כשיש רוב</w:t>
      </w:r>
      <w:bookmarkEnd w:id="17107"/>
      <w:bookmarkEnd w:id="17108"/>
      <w:bookmarkEnd w:id="17109"/>
      <w:bookmarkEnd w:id="17110"/>
      <w:bookmarkEnd w:id="17111"/>
      <w:bookmarkEnd w:id="17112"/>
      <w:bookmarkEnd w:id="17113"/>
      <w:bookmarkEnd w:id="17114"/>
      <w:bookmarkEnd w:id="17115"/>
      <w:bookmarkEnd w:id="17116"/>
    </w:p>
    <w:p w14:paraId="4C60EAD1" w14:textId="77777777" w:rsidR="003D504D" w:rsidRDefault="003D504D" w:rsidP="00223668">
      <w:pPr>
        <w:pStyle w:val="a0"/>
        <w:rPr>
          <w:rtl/>
        </w:rPr>
      </w:pPr>
      <w:r>
        <w:rPr>
          <w:rFonts w:hint="cs"/>
          <w:rtl/>
        </w:rPr>
        <w:t xml:space="preserve">וכתב </w:t>
      </w:r>
      <w:r w:rsidRPr="00C53C21">
        <w:rPr>
          <w:rStyle w:val="af9"/>
          <w:rFonts w:hint="cs"/>
          <w:rtl/>
        </w:rPr>
        <w:t>הרמב"ן</w:t>
      </w:r>
      <w:r>
        <w:rPr>
          <w:rFonts w:hint="cs"/>
          <w:rtl/>
        </w:rPr>
        <w:t xml:space="preserve"> דאפש"ל דאחר שיצא רובו, חוזר וניעור האיסור באבר שחזר, אך דחה </w:t>
      </w:r>
      <w:r w:rsidRPr="00F417E7">
        <w:rPr>
          <w:rStyle w:val="af9"/>
          <w:rFonts w:hint="cs"/>
          <w:rtl/>
        </w:rPr>
        <w:t xml:space="preserve">הרמב"ן </w:t>
      </w:r>
      <w:r>
        <w:rPr>
          <w:rFonts w:hint="cs"/>
          <w:rtl/>
        </w:rPr>
        <w:t>דאינו מחוור.</w:t>
      </w:r>
      <w:bookmarkEnd w:id="17106"/>
    </w:p>
    <w:p w14:paraId="3D1D2CB7" w14:textId="77777777" w:rsidR="003D504D" w:rsidRDefault="003D504D" w:rsidP="003D504D">
      <w:pPr>
        <w:pStyle w:val="a3"/>
        <w:rPr>
          <w:rtl/>
        </w:rPr>
      </w:pPr>
      <w:bookmarkStart w:id="17117" w:name="_Toc536305014"/>
      <w:bookmarkStart w:id="17118" w:name="_Toc536305095"/>
      <w:bookmarkStart w:id="17119" w:name="_Toc536459307"/>
      <w:bookmarkStart w:id="17120" w:name="_Toc536466263"/>
      <w:bookmarkStart w:id="17121" w:name="_Toc536540412"/>
      <w:bookmarkStart w:id="17122" w:name="_Toc536564221"/>
      <w:bookmarkStart w:id="17123" w:name="_Toc536564376"/>
      <w:bookmarkStart w:id="17124" w:name="_Toc536616910"/>
      <w:bookmarkStart w:id="17125" w:name="_Toc19391223"/>
      <w:bookmarkStart w:id="17126" w:name="_Toc19394720"/>
      <w:r>
        <w:rPr>
          <w:rFonts w:hint="cs"/>
          <w:rtl/>
        </w:rPr>
        <w:t>תירוץ התפארת יעקב דלריו"ח אין לידה כלפי האבר עצמו אך כלפי לידת כל העובר הוי לידה</w:t>
      </w:r>
      <w:bookmarkEnd w:id="17117"/>
      <w:bookmarkEnd w:id="17118"/>
      <w:bookmarkEnd w:id="17119"/>
      <w:bookmarkEnd w:id="17120"/>
      <w:bookmarkEnd w:id="17121"/>
      <w:bookmarkEnd w:id="17122"/>
      <w:bookmarkEnd w:id="17123"/>
      <w:bookmarkEnd w:id="17124"/>
      <w:bookmarkEnd w:id="17125"/>
      <w:bookmarkEnd w:id="17126"/>
    </w:p>
    <w:p w14:paraId="23494BB0" w14:textId="77777777" w:rsidR="003D504D" w:rsidRDefault="003D504D" w:rsidP="00223668">
      <w:pPr>
        <w:pStyle w:val="a0"/>
        <w:rPr>
          <w:rtl/>
        </w:rPr>
      </w:pPr>
      <w:r w:rsidRPr="00E169FD">
        <w:rPr>
          <w:rStyle w:val="af9"/>
          <w:rFonts w:hint="cs"/>
          <w:rtl/>
        </w:rPr>
        <w:t>והתפארת יעקב</w:t>
      </w:r>
      <w:r w:rsidRPr="00E169FD">
        <w:rPr>
          <w:rFonts w:hint="cs"/>
          <w:rtl/>
        </w:rPr>
        <w:t xml:space="preserve"> </w:t>
      </w:r>
      <w:r>
        <w:rPr>
          <w:rFonts w:hint="cs"/>
          <w:rtl/>
        </w:rPr>
        <w:t xml:space="preserve">תירץ </w:t>
      </w:r>
      <w:r w:rsidRPr="00E169FD">
        <w:rPr>
          <w:rStyle w:val="af7"/>
          <w:rFonts w:eastAsia="Guttman Hodes" w:hint="cs"/>
          <w:rtl/>
        </w:rPr>
        <w:t>(ד"ה והרשב"א)</w:t>
      </w:r>
      <w:r>
        <w:rPr>
          <w:rFonts w:hint="cs"/>
          <w:rtl/>
        </w:rPr>
        <w:t xml:space="preserve"> דס"ל </w:t>
      </w:r>
      <w:r w:rsidRPr="00E169FD">
        <w:rPr>
          <w:rStyle w:val="af9"/>
          <w:rFonts w:hint="cs"/>
          <w:rtl/>
        </w:rPr>
        <w:t>לרש"י</w:t>
      </w:r>
      <w:r>
        <w:rPr>
          <w:rFonts w:hint="cs"/>
          <w:rtl/>
        </w:rPr>
        <w:t xml:space="preserve"> דהא דלדעת לריו"ח אין לידה לאברים, היינו רק כשהנ"מ מלידת האבר היא לענין אבר אחד, דמצד עצמו אין לו לידה, ולכן חזרתו מתירתו, אבל לענין לידת כל העובר, אף ריו"ח מודה דהוי לידה, דהרי לכו"ע ביצא רוב העובר הוי לידה, ולכן אף אם לא יצא רובו בבת אחת, אלא שהוציא אברים והחזירם, וע"י צירוף האברים שיצאו יצא רוב העובר, והוי כולו כילוד, בכה"ג אף לדעת ריו"ח לא מהני החזרה של האברים להחשיב שלא היתה לידה בכל העובר, אך יעויי"ש בדברי </w:t>
      </w:r>
      <w:r w:rsidRPr="008A3274">
        <w:rPr>
          <w:rStyle w:val="af9"/>
          <w:rFonts w:hint="cs"/>
          <w:rtl/>
        </w:rPr>
        <w:t>התפארת יעקב</w:t>
      </w:r>
      <w:r>
        <w:rPr>
          <w:rFonts w:hint="cs"/>
          <w:rtl/>
        </w:rPr>
        <w:t xml:space="preserve"> במה שהאריך להקשות על דברי </w:t>
      </w:r>
      <w:r w:rsidRPr="008A3274">
        <w:rPr>
          <w:rStyle w:val="af9"/>
          <w:rFonts w:hint="cs"/>
          <w:rtl/>
        </w:rPr>
        <w:t>רש"י</w:t>
      </w:r>
      <w:r>
        <w:rPr>
          <w:rFonts w:hint="cs"/>
          <w:rtl/>
        </w:rPr>
        <w:t>.</w:t>
      </w:r>
    </w:p>
    <w:p w14:paraId="4DE9654B" w14:textId="77777777" w:rsidR="003D504D" w:rsidRDefault="003D504D" w:rsidP="003D504D">
      <w:pPr>
        <w:pStyle w:val="a3"/>
        <w:rPr>
          <w:rtl/>
        </w:rPr>
      </w:pPr>
      <w:bookmarkStart w:id="17127" w:name="_Toc536305015"/>
      <w:bookmarkStart w:id="17128" w:name="_Toc536305096"/>
      <w:bookmarkStart w:id="17129" w:name="_Toc536459308"/>
      <w:bookmarkStart w:id="17130" w:name="_Toc536466264"/>
      <w:bookmarkStart w:id="17131" w:name="_Toc536540413"/>
      <w:bookmarkStart w:id="17132" w:name="_Toc536564222"/>
      <w:bookmarkStart w:id="17133" w:name="_Toc536564377"/>
      <w:bookmarkStart w:id="17134" w:name="_Toc536616911"/>
      <w:bookmarkStart w:id="17135" w:name="_Toc19391224"/>
      <w:bookmarkStart w:id="17136" w:name="_Toc19394721"/>
      <w:r>
        <w:rPr>
          <w:rFonts w:hint="cs"/>
          <w:rtl/>
        </w:rPr>
        <w:t>קושית הראשונים דכיון דאיתותב ריו"ח בל"ק אמאי מסתפקת הגמ' בדעתו</w:t>
      </w:r>
      <w:bookmarkEnd w:id="17127"/>
      <w:bookmarkEnd w:id="17128"/>
      <w:bookmarkEnd w:id="17129"/>
      <w:bookmarkEnd w:id="17130"/>
      <w:bookmarkEnd w:id="17131"/>
      <w:bookmarkEnd w:id="17132"/>
      <w:bookmarkEnd w:id="17133"/>
      <w:bookmarkEnd w:id="17134"/>
      <w:bookmarkEnd w:id="17135"/>
      <w:bookmarkEnd w:id="17136"/>
    </w:p>
    <w:p w14:paraId="0DDFDD98" w14:textId="77777777" w:rsidR="003D504D" w:rsidRPr="00D42697" w:rsidRDefault="003D504D" w:rsidP="00223668">
      <w:pPr>
        <w:pStyle w:val="a0"/>
      </w:pPr>
      <w:r>
        <w:rPr>
          <w:rFonts w:hint="cs"/>
          <w:rtl/>
        </w:rPr>
        <w:t xml:space="preserve">עוד הקשו </w:t>
      </w:r>
      <w:r w:rsidRPr="0031424F">
        <w:rPr>
          <w:rStyle w:val="af9"/>
          <w:rFonts w:hint="cs"/>
          <w:rtl/>
        </w:rPr>
        <w:t>הבעה"מ והרמב</w:t>
      </w:r>
      <w:r w:rsidRPr="00F4363A">
        <w:rPr>
          <w:rStyle w:val="af9"/>
          <w:rFonts w:hint="cs"/>
          <w:rtl/>
        </w:rPr>
        <w:t>"ן</w:t>
      </w:r>
      <w:r w:rsidRPr="00C5353A">
        <w:rPr>
          <w:rStyle w:val="af9"/>
          <w:rFonts w:hint="cs"/>
          <w:rtl/>
        </w:rPr>
        <w:t xml:space="preserve"> </w:t>
      </w:r>
      <w:r>
        <w:rPr>
          <w:rStyle w:val="af9"/>
          <w:rFonts w:hint="cs"/>
          <w:rtl/>
        </w:rPr>
        <w:t>והרשב"א</w:t>
      </w:r>
      <w:r w:rsidRPr="00173886">
        <w:rPr>
          <w:rStyle w:val="af9"/>
          <w:rFonts w:hint="cs"/>
          <w:rtl/>
        </w:rPr>
        <w:t xml:space="preserve"> </w:t>
      </w:r>
      <w:r>
        <w:rPr>
          <w:rStyle w:val="af9"/>
          <w:rFonts w:hint="cs"/>
          <w:rtl/>
        </w:rPr>
        <w:t>בחי'</w:t>
      </w:r>
      <w:r w:rsidRPr="006E2B32">
        <w:rPr>
          <w:rFonts w:hint="cs"/>
          <w:rtl/>
        </w:rPr>
        <w:t xml:space="preserve"> </w:t>
      </w:r>
      <w:r w:rsidRPr="001173E5">
        <w:rPr>
          <w:rStyle w:val="af9"/>
          <w:rFonts w:hint="cs"/>
          <w:rtl/>
        </w:rPr>
        <w:t>והרא"ש</w:t>
      </w:r>
      <w:r>
        <w:rPr>
          <w:rFonts w:hint="cs"/>
          <w:rtl/>
        </w:rPr>
        <w:t xml:space="preserve"> </w:t>
      </w:r>
      <w:r w:rsidRPr="006E2B32">
        <w:rPr>
          <w:rStyle w:val="af9"/>
          <w:rFonts w:hint="cs"/>
          <w:rtl/>
        </w:rPr>
        <w:t>והר"ן בחי'</w:t>
      </w:r>
      <w:r>
        <w:rPr>
          <w:rFonts w:hint="cs"/>
          <w:rtl/>
        </w:rPr>
        <w:t xml:space="preserve"> אמאי מסתפקת הגמ' למ"ד דאין לידה לאברים דהיינו ריו"ח, הרי בל"ק </w:t>
      </w:r>
      <w:r w:rsidRPr="009941A4">
        <w:rPr>
          <w:rFonts w:hint="cs"/>
          <w:rtl/>
        </w:rPr>
        <w:t xml:space="preserve">ריו"ח איתותב, </w:t>
      </w:r>
      <w:r w:rsidRPr="009941A4">
        <w:rPr>
          <w:rStyle w:val="af9"/>
          <w:rFonts w:hint="cs"/>
          <w:rtl/>
        </w:rPr>
        <w:t>ולרש"י</w:t>
      </w:r>
      <w:r w:rsidRPr="009941A4">
        <w:rPr>
          <w:rFonts w:hint="cs"/>
          <w:rtl/>
        </w:rPr>
        <w:t xml:space="preserve"> אין חילוק לריו"ח בין הל"ק ללישנא דמערבא, וא"כ לב' הלישנות איתותב ריו"ח, ואמאי מסתפקת הגמ' בשיטתו</w:t>
      </w:r>
      <w:r>
        <w:rPr>
          <w:rFonts w:hint="cs"/>
          <w:rtl/>
        </w:rPr>
        <w:t>, ו</w:t>
      </w:r>
      <w:r w:rsidRPr="009941A4">
        <w:rPr>
          <w:rFonts w:hint="cs"/>
          <w:rtl/>
        </w:rPr>
        <w:t xml:space="preserve">עי' במה שתירץ </w:t>
      </w:r>
      <w:r w:rsidRPr="009941A4">
        <w:rPr>
          <w:rStyle w:val="af9"/>
          <w:rFonts w:hint="cs"/>
          <w:rtl/>
        </w:rPr>
        <w:t>הצל"ח</w:t>
      </w:r>
      <w:r w:rsidRPr="009941A4">
        <w:rPr>
          <w:rFonts w:hint="cs"/>
          <w:rtl/>
        </w:rPr>
        <w:t xml:space="preserve"> </w:t>
      </w:r>
      <w:r w:rsidRPr="009941A4">
        <w:rPr>
          <w:rStyle w:val="af7"/>
          <w:rFonts w:eastAsia="Guttman Hodes" w:hint="cs"/>
          <w:rtl/>
        </w:rPr>
        <w:t>(ד"ה איבעיא)</w:t>
      </w:r>
      <w:r w:rsidRPr="009941A4">
        <w:rPr>
          <w:rFonts w:hint="cs"/>
          <w:rtl/>
        </w:rPr>
        <w:t xml:space="preserve"> דהא דאיתותב ריו"ח מברייתא הוא רק לל"</w:t>
      </w:r>
      <w:r w:rsidRPr="00D42697">
        <w:rPr>
          <w:rFonts w:hint="cs"/>
          <w:rtl/>
        </w:rPr>
        <w:t xml:space="preserve">ק, אבל ללישנא דמערבא דסברת ריו"ח היא דאין לידה לאברים, לא קשה עליו מהברייתא, עיי"ש בדבריו, אך בהמשך דבריו חזר בו </w:t>
      </w:r>
      <w:r w:rsidRPr="00D42697">
        <w:rPr>
          <w:rStyle w:val="af9"/>
          <w:rFonts w:hint="cs"/>
          <w:rtl/>
        </w:rPr>
        <w:t>הצל"ח</w:t>
      </w:r>
      <w:r w:rsidRPr="00D42697">
        <w:rPr>
          <w:rFonts w:hint="cs"/>
          <w:rtl/>
        </w:rPr>
        <w:t xml:space="preserve"> </w:t>
      </w:r>
      <w:r w:rsidRPr="00D42697">
        <w:rPr>
          <w:rStyle w:val="af7"/>
          <w:rFonts w:eastAsia="Guttman Hodes" w:hint="cs"/>
          <w:rtl/>
        </w:rPr>
        <w:t>(ד"ה ובמה שכתבתי)</w:t>
      </w:r>
      <w:r>
        <w:rPr>
          <w:rFonts w:hint="cs"/>
          <w:rtl/>
        </w:rPr>
        <w:t xml:space="preserve"> וכתב דמבואר דהתיובתא לריו"ח היא אף ללישנא דמערבא</w:t>
      </w:r>
      <w:r w:rsidRPr="00D42697">
        <w:rPr>
          <w:rFonts w:hint="cs"/>
          <w:rtl/>
        </w:rPr>
        <w:t>, עיי"ש בדבריו.</w:t>
      </w:r>
    </w:p>
    <w:p w14:paraId="6044C08C" w14:textId="77777777" w:rsidR="003D504D" w:rsidRPr="007C10CA" w:rsidRDefault="003D504D" w:rsidP="003D504D">
      <w:pPr>
        <w:pStyle w:val="a3"/>
      </w:pPr>
      <w:bookmarkStart w:id="17137" w:name="_Toc536305016"/>
      <w:bookmarkStart w:id="17138" w:name="_Toc536305097"/>
      <w:bookmarkStart w:id="17139" w:name="_Toc536459310"/>
      <w:bookmarkStart w:id="17140" w:name="_Toc536466266"/>
      <w:bookmarkStart w:id="17141" w:name="_Toc536540415"/>
      <w:bookmarkStart w:id="17142" w:name="_Toc536564223"/>
      <w:bookmarkStart w:id="17143" w:name="_Toc536564378"/>
      <w:bookmarkStart w:id="17144" w:name="_Toc536616912"/>
      <w:bookmarkStart w:id="17145" w:name="_Toc19391225"/>
      <w:bookmarkStart w:id="17146" w:name="_Toc19394722"/>
      <w:r>
        <w:rPr>
          <w:rFonts w:hint="cs"/>
          <w:rtl/>
        </w:rPr>
        <w:t>קושית הראשונים דבלשון הגמ' משמע דהנ"מ היא בין רב לריו"ח ולא בין הלישנות</w:t>
      </w:r>
      <w:bookmarkEnd w:id="17137"/>
      <w:bookmarkEnd w:id="17138"/>
      <w:bookmarkEnd w:id="17139"/>
      <w:bookmarkEnd w:id="17140"/>
      <w:bookmarkEnd w:id="17141"/>
      <w:bookmarkEnd w:id="17142"/>
      <w:bookmarkEnd w:id="17143"/>
      <w:bookmarkEnd w:id="17144"/>
      <w:bookmarkEnd w:id="17145"/>
      <w:bookmarkEnd w:id="17146"/>
    </w:p>
    <w:p w14:paraId="489B9AC4" w14:textId="77777777" w:rsidR="003D504D" w:rsidRDefault="003D504D" w:rsidP="00223668">
      <w:pPr>
        <w:pStyle w:val="a0"/>
        <w:rPr>
          <w:rtl/>
        </w:rPr>
      </w:pPr>
      <w:r>
        <w:rPr>
          <w:rFonts w:hint="cs"/>
          <w:rtl/>
        </w:rPr>
        <w:t xml:space="preserve">עוד הקשו </w:t>
      </w:r>
      <w:r w:rsidRPr="00F4363A">
        <w:rPr>
          <w:rStyle w:val="af9"/>
          <w:rFonts w:hint="cs"/>
          <w:rtl/>
        </w:rPr>
        <w:t>הרמב"ן</w:t>
      </w:r>
      <w:r>
        <w:rPr>
          <w:rFonts w:hint="cs"/>
          <w:rtl/>
        </w:rPr>
        <w:t xml:space="preserve"> </w:t>
      </w:r>
      <w:r w:rsidRPr="001173E5">
        <w:rPr>
          <w:rStyle w:val="af9"/>
          <w:rFonts w:hint="cs"/>
          <w:rtl/>
        </w:rPr>
        <w:t>והרא"ש</w:t>
      </w:r>
      <w:r>
        <w:rPr>
          <w:rFonts w:hint="cs"/>
          <w:rtl/>
        </w:rPr>
        <w:t xml:space="preserve"> </w:t>
      </w:r>
      <w:r w:rsidRPr="003304BA">
        <w:rPr>
          <w:rStyle w:val="af9"/>
          <w:rFonts w:hint="cs"/>
          <w:rtl/>
        </w:rPr>
        <w:t>והר"ן בחי'</w:t>
      </w:r>
      <w:r>
        <w:rPr>
          <w:rFonts w:hint="cs"/>
          <w:rtl/>
        </w:rPr>
        <w:t xml:space="preserve"> דלשון הגמ' לא משמע דהקושיה היא מה הנ"מ בין הלישנות, דהיה לגמ' לומר "מאי איכא בין האי לישנא להאי לישנא".</w:t>
      </w:r>
    </w:p>
    <w:p w14:paraId="148D3E3A" w14:textId="77777777" w:rsidR="003D504D" w:rsidRDefault="003D504D" w:rsidP="00BF39B2">
      <w:pPr>
        <w:pStyle w:val="1"/>
        <w:rPr>
          <w:rtl/>
        </w:rPr>
      </w:pPr>
      <w:bookmarkStart w:id="17147" w:name="_Toc535868955"/>
      <w:bookmarkStart w:id="17148" w:name="_Toc535921732"/>
      <w:bookmarkStart w:id="17149" w:name="_Toc535958311"/>
      <w:bookmarkStart w:id="17150" w:name="_Toc536041989"/>
      <w:bookmarkStart w:id="17151" w:name="_Toc536130312"/>
      <w:bookmarkStart w:id="17152" w:name="_Toc536178393"/>
      <w:bookmarkStart w:id="17153" w:name="_Toc536180775"/>
      <w:bookmarkStart w:id="17154" w:name="_Toc536305017"/>
      <w:bookmarkStart w:id="17155" w:name="_Toc536305098"/>
      <w:bookmarkStart w:id="17156" w:name="_Toc536459311"/>
      <w:bookmarkStart w:id="17157" w:name="_Toc536466267"/>
      <w:bookmarkStart w:id="17158" w:name="_Toc536540416"/>
      <w:bookmarkStart w:id="17159" w:name="_Toc536564224"/>
      <w:bookmarkStart w:id="17160" w:name="_Toc536564379"/>
      <w:bookmarkStart w:id="17161" w:name="_Toc536616913"/>
      <w:bookmarkStart w:id="17162" w:name="_Toc19391226"/>
      <w:bookmarkStart w:id="17163" w:name="_Toc19394723"/>
      <w:r>
        <w:rPr>
          <w:rFonts w:hint="cs"/>
          <w:rtl/>
        </w:rPr>
        <w:t>דעת הי"מ ברמב"ן</w:t>
      </w:r>
      <w:bookmarkEnd w:id="17147"/>
      <w:bookmarkEnd w:id="17148"/>
      <w:bookmarkEnd w:id="17149"/>
      <w:bookmarkEnd w:id="17150"/>
      <w:bookmarkEnd w:id="17151"/>
      <w:bookmarkEnd w:id="17152"/>
      <w:bookmarkEnd w:id="17153"/>
      <w:bookmarkEnd w:id="17154"/>
      <w:bookmarkEnd w:id="17155"/>
      <w:bookmarkEnd w:id="17156"/>
      <w:bookmarkEnd w:id="17157"/>
      <w:bookmarkEnd w:id="17158"/>
      <w:bookmarkEnd w:id="17159"/>
      <w:bookmarkEnd w:id="17160"/>
      <w:bookmarkEnd w:id="17161"/>
      <w:bookmarkEnd w:id="17162"/>
      <w:bookmarkEnd w:id="17163"/>
    </w:p>
    <w:p w14:paraId="0998F590" w14:textId="77777777" w:rsidR="003D504D" w:rsidRDefault="003D504D" w:rsidP="003D504D">
      <w:pPr>
        <w:pStyle w:val="a3"/>
        <w:rPr>
          <w:rtl/>
        </w:rPr>
      </w:pPr>
      <w:bookmarkStart w:id="17164" w:name="_Toc536305018"/>
      <w:bookmarkStart w:id="17165" w:name="_Toc536305099"/>
      <w:bookmarkStart w:id="17166" w:name="_Toc536459312"/>
      <w:bookmarkStart w:id="17167" w:name="_Toc536466268"/>
      <w:bookmarkStart w:id="17168" w:name="_Toc536540417"/>
      <w:bookmarkStart w:id="17169" w:name="_Toc536564225"/>
      <w:bookmarkStart w:id="17170" w:name="_Toc536564380"/>
      <w:bookmarkStart w:id="17171" w:name="_Toc536616914"/>
      <w:bookmarkStart w:id="17172" w:name="_Toc19391227"/>
      <w:bookmarkStart w:id="17173" w:name="_Toc19394724"/>
      <w:r>
        <w:rPr>
          <w:rFonts w:hint="cs"/>
          <w:rtl/>
        </w:rPr>
        <w:t>דעת הי"מ דלל"ב דלרב כשהאבר בחוץ נאסר המיעוט שבפנים ובהחזירו מותר המיעוט</w:t>
      </w:r>
      <w:bookmarkEnd w:id="17164"/>
      <w:bookmarkEnd w:id="17165"/>
      <w:bookmarkEnd w:id="17166"/>
      <w:bookmarkEnd w:id="17167"/>
      <w:bookmarkEnd w:id="17168"/>
      <w:bookmarkEnd w:id="17169"/>
      <w:bookmarkEnd w:id="17170"/>
      <w:bookmarkEnd w:id="17171"/>
      <w:bookmarkEnd w:id="17172"/>
      <w:bookmarkEnd w:id="17173"/>
    </w:p>
    <w:p w14:paraId="4C115B85" w14:textId="77777777" w:rsidR="003D504D" w:rsidRPr="00010112" w:rsidRDefault="003D504D" w:rsidP="00223668">
      <w:pPr>
        <w:pStyle w:val="a0"/>
        <w:rPr>
          <w:rStyle w:val="afb"/>
        </w:rPr>
      </w:pPr>
      <w:r>
        <w:rPr>
          <w:rFonts w:hint="cs"/>
          <w:rtl/>
        </w:rPr>
        <w:t xml:space="preserve">והביא </w:t>
      </w:r>
      <w:r w:rsidRPr="00F221CE">
        <w:rPr>
          <w:rStyle w:val="af9"/>
          <w:rFonts w:hint="cs"/>
          <w:rtl/>
        </w:rPr>
        <w:t>הרמב"ן</w:t>
      </w:r>
      <w:r>
        <w:rPr>
          <w:rFonts w:hint="cs"/>
          <w:rtl/>
        </w:rPr>
        <w:t xml:space="preserve"> </w:t>
      </w:r>
      <w:r w:rsidRPr="00F221CE">
        <w:rPr>
          <w:rStyle w:val="af7"/>
          <w:rFonts w:eastAsia="Guttman Hodes" w:hint="cs"/>
          <w:rtl/>
        </w:rPr>
        <w:t>(ד"ה וריו"ח)</w:t>
      </w:r>
      <w:r>
        <w:rPr>
          <w:rFonts w:hint="cs"/>
          <w:rtl/>
        </w:rPr>
        <w:t xml:space="preserve"> בשם </w:t>
      </w:r>
      <w:r w:rsidRPr="006A04C8">
        <w:rPr>
          <w:rStyle w:val="af9"/>
          <w:rFonts w:hint="cs"/>
          <w:rtl/>
        </w:rPr>
        <w:t>י"מ</w:t>
      </w:r>
      <w:r>
        <w:rPr>
          <w:rFonts w:hint="cs"/>
          <w:rtl/>
        </w:rPr>
        <w:t xml:space="preserve"> דכתבו דהנ"מ היא בין ב' הלישנות, וביארו דהא דאמרינן בגמ' דהנ"מ בין הלישנות היא שהמיעוט אבר שבפנים אסור, היינו כשהאבר בחוץ, ורב וריו"ח פליגי בתרתי, דלל"ק לדעת רב רק האבר שיצא ומקום חתך אסורים, </w:t>
      </w:r>
      <w:r w:rsidRPr="00B5603A">
        <w:rPr>
          <w:rStyle w:val="afb"/>
          <w:rFonts w:hint="cs"/>
          <w:rtl/>
        </w:rPr>
        <w:t>[ואם החזיר האבר שיצא אסור ומקום חתך מותר, ולריו"ח אם החזיר הכל מותר],</w:t>
      </w:r>
      <w:r>
        <w:rPr>
          <w:rFonts w:hint="cs"/>
          <w:rtl/>
        </w:rPr>
        <w:t xml:space="preserve"> וללישנא דמערבא לרב כשהאבר בחוץ כולו אסור, </w:t>
      </w:r>
      <w:r w:rsidRPr="00F12EDB">
        <w:rPr>
          <w:rStyle w:val="afb"/>
          <w:rFonts w:hint="cs"/>
          <w:rtl/>
        </w:rPr>
        <w:t xml:space="preserve">[דכיון שיש לידה לאברים, אף </w:t>
      </w:r>
      <w:r>
        <w:rPr>
          <w:rStyle w:val="afb"/>
          <w:rFonts w:hint="cs"/>
          <w:rtl/>
        </w:rPr>
        <w:t xml:space="preserve">כשהאבר בחוץ נאסר </w:t>
      </w:r>
      <w:r w:rsidRPr="00F12EDB">
        <w:rPr>
          <w:rStyle w:val="afb"/>
          <w:rFonts w:hint="cs"/>
          <w:rtl/>
        </w:rPr>
        <w:t xml:space="preserve">המיעוט שבפנים </w:t>
      </w:r>
      <w:r>
        <w:rPr>
          <w:rStyle w:val="afb"/>
          <w:rFonts w:hint="cs"/>
          <w:rtl/>
        </w:rPr>
        <w:t>, ואם החזירו המיעוט שנשאר בפנים ומקום חתך מותרים והאבר שיצא לחוץ אסור</w:t>
      </w:r>
      <w:r w:rsidRPr="00F12EDB">
        <w:rPr>
          <w:rStyle w:val="afb"/>
          <w:rFonts w:hint="cs"/>
          <w:rtl/>
        </w:rPr>
        <w:t>],</w:t>
      </w:r>
      <w:r>
        <w:rPr>
          <w:rFonts w:hint="cs"/>
          <w:rtl/>
        </w:rPr>
        <w:t xml:space="preserve"> ולריו"ח כולו מותר, </w:t>
      </w:r>
      <w:r w:rsidRPr="00F12EDB">
        <w:rPr>
          <w:rStyle w:val="afb"/>
          <w:rFonts w:hint="cs"/>
          <w:rtl/>
        </w:rPr>
        <w:t xml:space="preserve">[דהיינו דהמיעוט שבפנים תמיד מותר, ואם החזיר אף האבר שיצא </w:t>
      </w:r>
      <w:r w:rsidRPr="00010112">
        <w:rPr>
          <w:rStyle w:val="afb"/>
          <w:rFonts w:hint="cs"/>
          <w:rtl/>
        </w:rPr>
        <w:t>מותר].</w:t>
      </w:r>
    </w:p>
    <w:p w14:paraId="50F0DEB9" w14:textId="77777777" w:rsidR="003D504D" w:rsidRDefault="003D504D" w:rsidP="003D504D">
      <w:pPr>
        <w:pStyle w:val="a3"/>
        <w:rPr>
          <w:rtl/>
        </w:rPr>
      </w:pPr>
      <w:bookmarkStart w:id="17174" w:name="_Toc536305019"/>
      <w:bookmarkStart w:id="17175" w:name="_Toc536305100"/>
      <w:bookmarkStart w:id="17176" w:name="_Toc536459313"/>
      <w:bookmarkStart w:id="17177" w:name="_Toc536466269"/>
      <w:bookmarkStart w:id="17178" w:name="_Toc536540418"/>
      <w:bookmarkStart w:id="17179" w:name="_Toc536564226"/>
      <w:bookmarkStart w:id="17180" w:name="_Toc536564381"/>
      <w:bookmarkStart w:id="17181" w:name="_Toc536616915"/>
      <w:bookmarkStart w:id="17182" w:name="_Toc19391228"/>
      <w:bookmarkStart w:id="17183" w:name="_Toc19394725"/>
      <w:r>
        <w:rPr>
          <w:rFonts w:hint="cs"/>
          <w:rtl/>
        </w:rPr>
        <w:t>דחיית הרמב"ן דכיון שהמיעוט שבפנים מותר בהחזיר את האבר אי"ז לידה לאברים</w:t>
      </w:r>
      <w:bookmarkEnd w:id="17174"/>
      <w:bookmarkEnd w:id="17175"/>
      <w:bookmarkEnd w:id="17176"/>
      <w:bookmarkEnd w:id="17177"/>
      <w:bookmarkEnd w:id="17178"/>
      <w:bookmarkEnd w:id="17179"/>
      <w:bookmarkEnd w:id="17180"/>
      <w:bookmarkEnd w:id="17181"/>
      <w:bookmarkEnd w:id="17182"/>
      <w:bookmarkEnd w:id="17183"/>
    </w:p>
    <w:p w14:paraId="439D3E24" w14:textId="77777777" w:rsidR="003D504D" w:rsidRPr="00421FD2" w:rsidRDefault="003D504D" w:rsidP="00223668">
      <w:pPr>
        <w:pStyle w:val="a0"/>
        <w:rPr>
          <w:rStyle w:val="afb"/>
          <w:rtl/>
        </w:rPr>
      </w:pPr>
      <w:r>
        <w:rPr>
          <w:rFonts w:hint="cs"/>
          <w:rtl/>
        </w:rPr>
        <w:t xml:space="preserve">ודחה </w:t>
      </w:r>
      <w:r w:rsidRPr="006A04C8">
        <w:rPr>
          <w:rStyle w:val="af9"/>
          <w:rFonts w:hint="cs"/>
          <w:rtl/>
        </w:rPr>
        <w:t>הרמב"ן</w:t>
      </w:r>
      <w:r>
        <w:rPr>
          <w:rFonts w:hint="cs"/>
          <w:rtl/>
        </w:rPr>
        <w:t xml:space="preserve"> את דעת </w:t>
      </w:r>
      <w:r w:rsidRPr="006A04C8">
        <w:rPr>
          <w:rStyle w:val="af9"/>
          <w:rFonts w:hint="cs"/>
          <w:rtl/>
        </w:rPr>
        <w:t>הי"מ</w:t>
      </w:r>
      <w:r>
        <w:rPr>
          <w:rFonts w:hint="cs"/>
          <w:rtl/>
        </w:rPr>
        <w:t xml:space="preserve"> דגם עליהם קשה מה שהקשה </w:t>
      </w:r>
      <w:r w:rsidRPr="006A04C8">
        <w:rPr>
          <w:rStyle w:val="af9"/>
          <w:rFonts w:hint="cs"/>
          <w:rtl/>
        </w:rPr>
        <w:t>הרמב"ן</w:t>
      </w:r>
      <w:r>
        <w:rPr>
          <w:rFonts w:hint="cs"/>
          <w:rtl/>
        </w:rPr>
        <w:t xml:space="preserve"> על דברי </w:t>
      </w:r>
      <w:r w:rsidRPr="006A04C8">
        <w:rPr>
          <w:rStyle w:val="af9"/>
          <w:rFonts w:hint="cs"/>
          <w:rtl/>
        </w:rPr>
        <w:t>רש"י</w:t>
      </w:r>
      <w:r>
        <w:rPr>
          <w:rFonts w:hint="cs"/>
          <w:rtl/>
        </w:rPr>
        <w:t xml:space="preserve"> </w:t>
      </w:r>
      <w:r w:rsidRPr="006A04C8">
        <w:rPr>
          <w:rStyle w:val="af7"/>
          <w:rFonts w:eastAsia="Guttman Hodes" w:hint="cs"/>
          <w:rtl/>
        </w:rPr>
        <w:t xml:space="preserve">(עי' אות </w:t>
      </w:r>
      <w:r w:rsidRPr="006A04C8">
        <w:rPr>
          <w:rStyle w:val="af7"/>
          <w:rFonts w:eastAsia="Guttman Hodes"/>
          <w:rtl/>
        </w:rPr>
        <w:fldChar w:fldCharType="begin"/>
      </w:r>
      <w:r w:rsidRPr="006A04C8">
        <w:rPr>
          <w:rStyle w:val="af7"/>
          <w:rFonts w:eastAsia="Guttman Hodes"/>
          <w:rtl/>
        </w:rPr>
        <w:instrText xml:space="preserve"> </w:instrText>
      </w:r>
      <w:r w:rsidRPr="006A04C8">
        <w:rPr>
          <w:rStyle w:val="af7"/>
          <w:rFonts w:eastAsia="Guttman Hodes" w:hint="cs"/>
        </w:rPr>
        <w:instrText>REF</w:instrText>
      </w:r>
      <w:r w:rsidRPr="006A04C8">
        <w:rPr>
          <w:rStyle w:val="af7"/>
          <w:rFonts w:eastAsia="Guttman Hodes" w:hint="cs"/>
          <w:rtl/>
        </w:rPr>
        <w:instrText xml:space="preserve"> _</w:instrText>
      </w:r>
      <w:r w:rsidRPr="006A04C8">
        <w:rPr>
          <w:rStyle w:val="af7"/>
          <w:rFonts w:eastAsia="Guttman Hodes" w:hint="cs"/>
        </w:rPr>
        <w:instrText>Ref535868636 \r \h</w:instrText>
      </w:r>
      <w:r w:rsidRPr="006A04C8">
        <w:rPr>
          <w:rStyle w:val="af7"/>
          <w:rFonts w:eastAsia="Guttman Hodes"/>
          <w:rtl/>
        </w:rPr>
        <w:instrText xml:space="preserve"> </w:instrText>
      </w:r>
      <w:r w:rsidRPr="006A04C8">
        <w:rPr>
          <w:rStyle w:val="af7"/>
          <w:rFonts w:eastAsia="Guttman Hodes"/>
          <w:rtl/>
        </w:rPr>
      </w:r>
      <w:r w:rsidRPr="006A04C8">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6A04C8">
        <w:rPr>
          <w:rStyle w:val="af7"/>
          <w:rFonts w:eastAsia="Guttman Hodes"/>
          <w:rtl/>
        </w:rPr>
        <w:fldChar w:fldCharType="end"/>
      </w:r>
      <w:r>
        <w:rPr>
          <w:rFonts w:hint="cs"/>
          <w:rtl/>
        </w:rPr>
        <w:t xml:space="preserve">, ועוד הקשה </w:t>
      </w:r>
      <w:r w:rsidRPr="006A04C8">
        <w:rPr>
          <w:rStyle w:val="af9"/>
          <w:rFonts w:hint="cs"/>
          <w:rtl/>
        </w:rPr>
        <w:t>הרמב"ן</w:t>
      </w:r>
      <w:r>
        <w:rPr>
          <w:rFonts w:hint="cs"/>
          <w:rtl/>
        </w:rPr>
        <w:t xml:space="preserve"> דכיון שהמיעוט שבפנים אסרו רק כשהאבר בחוץ ואם החזיר את האבר, מותר המיעוט שנשאר בפנים </w:t>
      </w:r>
      <w:r w:rsidRPr="00421FD2">
        <w:rPr>
          <w:rStyle w:val="afb"/>
          <w:rFonts w:hint="cs"/>
          <w:rtl/>
        </w:rPr>
        <w:t>[כדין מקום חתך]</w:t>
      </w:r>
      <w:r>
        <w:rPr>
          <w:rFonts w:hint="cs"/>
          <w:rtl/>
        </w:rPr>
        <w:t xml:space="preserve">, א"כ מוכח דאין לידה לאברים, ועוד הקשה </w:t>
      </w:r>
      <w:r w:rsidRPr="006A04C8">
        <w:rPr>
          <w:rStyle w:val="af9"/>
          <w:rFonts w:hint="cs"/>
          <w:rtl/>
        </w:rPr>
        <w:t>הרמב"ן</w:t>
      </w:r>
      <w:r>
        <w:rPr>
          <w:rFonts w:hint="cs"/>
          <w:rtl/>
        </w:rPr>
        <w:t xml:space="preserve"> דא"א לומר דאיכא בין הלישנות הדין במיעוט שבפנים</w:t>
      </w:r>
      <w:r w:rsidRPr="00630E08">
        <w:rPr>
          <w:rFonts w:hint="cs"/>
          <w:rtl/>
        </w:rPr>
        <w:t xml:space="preserve"> </w:t>
      </w:r>
      <w:r>
        <w:rPr>
          <w:rFonts w:hint="cs"/>
          <w:rtl/>
        </w:rPr>
        <w:t>בלא החזיר את האבר,</w:t>
      </w:r>
      <w:r w:rsidRPr="00630E08">
        <w:rPr>
          <w:rFonts w:hint="cs"/>
          <w:rtl/>
        </w:rPr>
        <w:t xml:space="preserve"> </w:t>
      </w:r>
      <w:r>
        <w:rPr>
          <w:rFonts w:hint="cs"/>
          <w:rtl/>
        </w:rPr>
        <w:t xml:space="preserve">דהא בל"ק לא מפורש מה הדין במיעוט שבפנים בלא החזירו, וביאר הרמב"ן דאף דבל"ק איתא דמקום החתך אסור בחוץ ומותר בהחזירו, מ"מ הרי מקום חתך אינו דוקא כשיצא רוב האבר. </w:t>
      </w:r>
      <w:r w:rsidRPr="00421FD2">
        <w:rPr>
          <w:rStyle w:val="afb"/>
          <w:rFonts w:hint="cs"/>
          <w:rtl/>
        </w:rPr>
        <w:t>[והיינו דאי איירי ביצא רוב אבר א"כ מבואר דדוקא מקום החתך אסור לל"ק והמיעוט מותר, אבל כיון דהל"ק איירי גם בהוציא את מיעוט האבר, א"כ לא מפורש בל"ק מה דין המיעוט שבפנים, כשיצא רובו].</w:t>
      </w:r>
    </w:p>
    <w:p w14:paraId="0265CA3E" w14:textId="77777777" w:rsidR="003D504D" w:rsidRDefault="003D504D" w:rsidP="00BF39B2">
      <w:pPr>
        <w:pStyle w:val="1"/>
        <w:rPr>
          <w:rtl/>
        </w:rPr>
      </w:pPr>
      <w:bookmarkStart w:id="17184" w:name="_Toc535868956"/>
      <w:bookmarkStart w:id="17185" w:name="_Toc535921733"/>
      <w:bookmarkStart w:id="17186" w:name="_Toc535958312"/>
      <w:bookmarkStart w:id="17187" w:name="_Toc536041990"/>
      <w:bookmarkStart w:id="17188" w:name="_Toc536130313"/>
      <w:bookmarkStart w:id="17189" w:name="_Toc536178394"/>
      <w:bookmarkStart w:id="17190" w:name="_Toc536180776"/>
      <w:bookmarkStart w:id="17191" w:name="_Toc536305020"/>
      <w:bookmarkStart w:id="17192" w:name="_Toc536305101"/>
      <w:bookmarkStart w:id="17193" w:name="_Toc536459314"/>
      <w:bookmarkStart w:id="17194" w:name="_Toc536466270"/>
      <w:bookmarkStart w:id="17195" w:name="_Toc536540419"/>
      <w:bookmarkStart w:id="17196" w:name="_Toc536564227"/>
      <w:bookmarkStart w:id="17197" w:name="_Toc536564382"/>
      <w:bookmarkStart w:id="17198" w:name="_Toc536616916"/>
      <w:bookmarkStart w:id="17199" w:name="_Toc19391229"/>
      <w:bookmarkStart w:id="17200" w:name="_Toc19394726"/>
      <w:r w:rsidRPr="00786402">
        <w:rPr>
          <w:rFonts w:hint="cs"/>
          <w:rtl/>
        </w:rPr>
        <w:t xml:space="preserve">דעת הרי"ף </w:t>
      </w:r>
      <w:bookmarkEnd w:id="17184"/>
      <w:bookmarkEnd w:id="17185"/>
      <w:r w:rsidRPr="00786402">
        <w:rPr>
          <w:rFonts w:hint="cs"/>
          <w:rtl/>
        </w:rPr>
        <w:t>ושא"ר</w:t>
      </w:r>
      <w:bookmarkEnd w:id="17186"/>
      <w:bookmarkEnd w:id="17187"/>
      <w:bookmarkEnd w:id="17188"/>
      <w:bookmarkEnd w:id="17189"/>
      <w:bookmarkEnd w:id="17190"/>
      <w:bookmarkEnd w:id="17191"/>
      <w:bookmarkEnd w:id="17192"/>
      <w:bookmarkEnd w:id="17193"/>
      <w:bookmarkEnd w:id="17194"/>
      <w:bookmarkEnd w:id="17195"/>
      <w:bookmarkEnd w:id="17196"/>
      <w:bookmarkEnd w:id="17197"/>
      <w:r>
        <w:rPr>
          <w:rFonts w:hint="cs"/>
          <w:rtl/>
        </w:rPr>
        <w:t xml:space="preserve"> דריו"ח בל"ב אוסר בחזרה ומתיר את המיעוט</w:t>
      </w:r>
      <w:bookmarkEnd w:id="17198"/>
      <w:bookmarkEnd w:id="17199"/>
      <w:bookmarkEnd w:id="17200"/>
      <w:r>
        <w:rPr>
          <w:rFonts w:hint="cs"/>
          <w:rtl/>
        </w:rPr>
        <w:t xml:space="preserve"> </w:t>
      </w:r>
    </w:p>
    <w:p w14:paraId="160C53DD" w14:textId="77777777" w:rsidR="003D504D" w:rsidRPr="00502B48" w:rsidRDefault="003D504D" w:rsidP="003D504D">
      <w:pPr>
        <w:pStyle w:val="a3"/>
        <w:rPr>
          <w:rtl/>
        </w:rPr>
      </w:pPr>
      <w:bookmarkStart w:id="17201" w:name="_Toc536305021"/>
      <w:bookmarkStart w:id="17202" w:name="_Toc536305102"/>
      <w:bookmarkStart w:id="17203" w:name="_Toc536459315"/>
      <w:bookmarkStart w:id="17204" w:name="_Toc536466271"/>
      <w:bookmarkStart w:id="17205" w:name="_Toc536540420"/>
      <w:bookmarkStart w:id="17206" w:name="_Toc536564228"/>
      <w:bookmarkStart w:id="17207" w:name="_Toc536564383"/>
      <w:bookmarkStart w:id="17208" w:name="_Toc536616917"/>
      <w:bookmarkStart w:id="17209" w:name="_Toc19391230"/>
      <w:bookmarkStart w:id="17210" w:name="_Toc19394727"/>
      <w:r>
        <w:rPr>
          <w:rFonts w:hint="cs"/>
          <w:rtl/>
        </w:rPr>
        <w:t>דברי הרי"ף ור"ח דהנ"מ היא בלישנא דמערבא דלרב המיעוט שבפנים אסור ולריו"ח מותר</w:t>
      </w:r>
      <w:bookmarkEnd w:id="17201"/>
      <w:bookmarkEnd w:id="17202"/>
      <w:bookmarkEnd w:id="17203"/>
      <w:bookmarkEnd w:id="17204"/>
      <w:bookmarkEnd w:id="17205"/>
      <w:bookmarkEnd w:id="17206"/>
      <w:bookmarkEnd w:id="17207"/>
      <w:bookmarkEnd w:id="17208"/>
      <w:bookmarkEnd w:id="17209"/>
      <w:bookmarkEnd w:id="17210"/>
    </w:p>
    <w:p w14:paraId="71FA069F" w14:textId="77777777" w:rsidR="003D504D" w:rsidRDefault="003D504D" w:rsidP="00223668">
      <w:pPr>
        <w:pStyle w:val="a0"/>
        <w:rPr>
          <w:rtl/>
        </w:rPr>
      </w:pPr>
      <w:bookmarkStart w:id="17211" w:name="_Ref535857375"/>
      <w:bookmarkStart w:id="17212" w:name="_Ref535941629"/>
      <w:bookmarkStart w:id="17213" w:name="_Ref536437539"/>
      <w:r>
        <w:rPr>
          <w:rFonts w:hint="cs"/>
          <w:rtl/>
        </w:rPr>
        <w:t xml:space="preserve">בקושית הגמ' מאי בינייהו, ביאר </w:t>
      </w:r>
      <w:r w:rsidRPr="00502B48">
        <w:rPr>
          <w:rStyle w:val="af9"/>
          <w:rFonts w:hint="cs"/>
          <w:rtl/>
        </w:rPr>
        <w:t>הרי"ף</w:t>
      </w:r>
      <w:r>
        <w:rPr>
          <w:rFonts w:hint="cs"/>
          <w:rtl/>
        </w:rPr>
        <w:t xml:space="preserve"> </w:t>
      </w:r>
      <w:r w:rsidRPr="00502B48">
        <w:rPr>
          <w:rStyle w:val="af7"/>
          <w:rFonts w:eastAsia="Guttman Hodes" w:hint="cs"/>
          <w:rtl/>
        </w:rPr>
        <w:t>(כד: מדפי הרי"ף)</w:t>
      </w:r>
      <w:r>
        <w:rPr>
          <w:rFonts w:hint="cs"/>
          <w:rtl/>
        </w:rPr>
        <w:t xml:space="preserve"> דהיינו בין רק לריו"ח, </w:t>
      </w:r>
      <w:r w:rsidRPr="00502B48">
        <w:rPr>
          <w:rStyle w:val="afb"/>
          <w:rFonts w:hint="cs"/>
          <w:rtl/>
        </w:rPr>
        <w:t xml:space="preserve">[ולא בין ל"ק ללישנא דמערבא כדביאר </w:t>
      </w:r>
      <w:r w:rsidRPr="00502B48">
        <w:rPr>
          <w:rStyle w:val="affa"/>
          <w:rFonts w:hint="cs"/>
          <w:rtl/>
        </w:rPr>
        <w:t>רש"י</w:t>
      </w:r>
      <w:r w:rsidRPr="00502B48">
        <w:rPr>
          <w:rStyle w:val="afb"/>
          <w:rFonts w:hint="cs"/>
          <w:rtl/>
        </w:rPr>
        <w:t xml:space="preserve"> </w:t>
      </w:r>
      <w:r w:rsidRPr="00502B48">
        <w:rPr>
          <w:rStyle w:val="aff6"/>
          <w:rFonts w:hint="cs"/>
          <w:rtl/>
        </w:rPr>
        <w:t xml:space="preserve">(עי' אות </w:t>
      </w:r>
      <w:r w:rsidRPr="00502B48">
        <w:rPr>
          <w:rStyle w:val="aff6"/>
          <w:rtl/>
        </w:rPr>
        <w:fldChar w:fldCharType="begin"/>
      </w:r>
      <w:r w:rsidRPr="00502B48">
        <w:rPr>
          <w:rStyle w:val="aff6"/>
          <w:rtl/>
        </w:rPr>
        <w:instrText xml:space="preserve"> </w:instrText>
      </w:r>
      <w:r w:rsidRPr="00502B48">
        <w:rPr>
          <w:rStyle w:val="aff6"/>
          <w:rFonts w:hint="cs"/>
        </w:rPr>
        <w:instrText>REF</w:instrText>
      </w:r>
      <w:r w:rsidRPr="00502B48">
        <w:rPr>
          <w:rStyle w:val="aff6"/>
          <w:rFonts w:hint="cs"/>
          <w:rtl/>
        </w:rPr>
        <w:instrText xml:space="preserve"> _</w:instrText>
      </w:r>
      <w:r w:rsidRPr="00502B48">
        <w:rPr>
          <w:rStyle w:val="aff6"/>
          <w:rFonts w:hint="cs"/>
        </w:rPr>
        <w:instrText>Ref535857367 \r \h</w:instrText>
      </w:r>
      <w:r w:rsidRPr="00502B48">
        <w:rPr>
          <w:rStyle w:val="aff6"/>
          <w:rtl/>
        </w:rPr>
        <w:instrText xml:space="preserve"> </w:instrText>
      </w:r>
      <w:r w:rsidRPr="00502B48">
        <w:rPr>
          <w:rStyle w:val="aff6"/>
          <w:rtl/>
        </w:rPr>
      </w:r>
      <w:r w:rsidRPr="00502B48">
        <w:rPr>
          <w:rStyle w:val="aff6"/>
          <w:rtl/>
        </w:rPr>
        <w:fldChar w:fldCharType="separate"/>
      </w:r>
      <w:r w:rsidR="00345400">
        <w:rPr>
          <w:rStyle w:val="aff6"/>
          <w:cs/>
        </w:rPr>
        <w:t>‎</w:t>
      </w:r>
      <w:r w:rsidR="00345400">
        <w:rPr>
          <w:rStyle w:val="aff6"/>
          <w:rtl/>
        </w:rPr>
        <w:t>כב)</w:t>
      </w:r>
      <w:r w:rsidRPr="00502B48">
        <w:rPr>
          <w:rStyle w:val="aff6"/>
          <w:rtl/>
        </w:rPr>
        <w:fldChar w:fldCharType="end"/>
      </w:r>
      <w:r w:rsidRPr="00502B48">
        <w:rPr>
          <w:rStyle w:val="afb"/>
          <w:rFonts w:hint="cs"/>
          <w:rtl/>
        </w:rPr>
        <w:t>],</w:t>
      </w:r>
      <w:r>
        <w:rPr>
          <w:rFonts w:hint="cs"/>
          <w:rtl/>
        </w:rPr>
        <w:t xml:space="preserve"> דלרב דס"ל דיש לידה לאברים, אי יצא רוב האבר, חשיב שיצא כולו, ואף מה שנשאר בפנים אסור, ולריו"ח דס"ל דאין לידה לאברים, רק מה שיצא לחוץ נאסר, ומה שנשאר בפנים מותר</w:t>
      </w:r>
      <w:bookmarkEnd w:id="17211"/>
      <w:r>
        <w:rPr>
          <w:rFonts w:hint="cs"/>
          <w:rtl/>
        </w:rPr>
        <w:t xml:space="preserve">, וביאר </w:t>
      </w:r>
      <w:r w:rsidRPr="008A6E48">
        <w:rPr>
          <w:rStyle w:val="af9"/>
          <w:rFonts w:hint="cs"/>
          <w:rtl/>
        </w:rPr>
        <w:t>הריטב"א</w:t>
      </w:r>
      <w:r>
        <w:rPr>
          <w:rFonts w:hint="cs"/>
          <w:rtl/>
        </w:rPr>
        <w:t xml:space="preserve"> </w:t>
      </w:r>
      <w:r w:rsidRPr="008A6E48">
        <w:rPr>
          <w:rStyle w:val="af7"/>
          <w:rFonts w:eastAsia="Guttman Hodes" w:hint="cs"/>
          <w:rtl/>
        </w:rPr>
        <w:t xml:space="preserve">(ד"ה מאי) </w:t>
      </w:r>
      <w:r>
        <w:rPr>
          <w:rFonts w:hint="cs"/>
          <w:rtl/>
        </w:rPr>
        <w:t>דכוונת הגמ' בקושיה "מאי בינייהו", דכיון דללישנא דמערבא לכו"ע האבר עצמו אסור, א"כ במה נחלקו רב וריו"ח</w:t>
      </w:r>
      <w:r w:rsidRPr="009876BE">
        <w:rPr>
          <w:rFonts w:hint="cs"/>
          <w:rtl/>
        </w:rPr>
        <w:t xml:space="preserve"> </w:t>
      </w:r>
      <w:r>
        <w:rPr>
          <w:rFonts w:hint="cs"/>
          <w:rtl/>
        </w:rPr>
        <w:t xml:space="preserve">והביאו </w:t>
      </w:r>
      <w:r w:rsidRPr="00DA398B">
        <w:rPr>
          <w:rStyle w:val="af9"/>
          <w:rFonts w:hint="cs"/>
          <w:rtl/>
        </w:rPr>
        <w:t>הרמב"ן</w:t>
      </w:r>
      <w:r w:rsidRPr="00A8241C">
        <w:rPr>
          <w:rStyle w:val="af9"/>
          <w:rFonts w:hint="cs"/>
          <w:rtl/>
        </w:rPr>
        <w:t xml:space="preserve"> </w:t>
      </w:r>
      <w:r>
        <w:rPr>
          <w:rStyle w:val="af7"/>
          <w:rFonts w:eastAsiaTheme="minorHAnsi" w:hint="cs"/>
          <w:rtl/>
        </w:rPr>
        <w:t>(סוד"ה וריו"ח)</w:t>
      </w:r>
      <w:r>
        <w:rPr>
          <w:rtl/>
        </w:rPr>
        <w:t xml:space="preserve"> </w:t>
      </w:r>
      <w:r>
        <w:rPr>
          <w:rStyle w:val="af9"/>
          <w:rFonts w:hint="cs"/>
          <w:rtl/>
        </w:rPr>
        <w:t>והרשב"א בחי'</w:t>
      </w:r>
      <w:r>
        <w:rPr>
          <w:rFonts w:hint="cs"/>
          <w:rtl/>
        </w:rPr>
        <w:t xml:space="preserve"> </w:t>
      </w:r>
      <w:r>
        <w:rPr>
          <w:rStyle w:val="af7"/>
          <w:rFonts w:eastAsiaTheme="minorHAnsi" w:hint="cs"/>
          <w:rtl/>
        </w:rPr>
        <w:t>(ד"ה בפומבדיתא)</w:t>
      </w:r>
      <w:r>
        <w:rPr>
          <w:rtl/>
        </w:rPr>
        <w:t xml:space="preserve"> </w:t>
      </w:r>
      <w:r w:rsidRPr="006E2B32">
        <w:rPr>
          <w:rStyle w:val="af9"/>
          <w:rFonts w:hint="cs"/>
          <w:rtl/>
        </w:rPr>
        <w:t>והר"ן בחי'</w:t>
      </w:r>
      <w:r>
        <w:rPr>
          <w:rFonts w:hint="cs"/>
          <w:rtl/>
        </w:rPr>
        <w:t xml:space="preserve"> </w:t>
      </w:r>
      <w:r w:rsidRPr="006E2B32">
        <w:rPr>
          <w:rStyle w:val="af7"/>
          <w:rFonts w:eastAsia="Guttman Hodes" w:hint="cs"/>
          <w:rtl/>
        </w:rPr>
        <w:t>(ד"ה מאי)</w:t>
      </w:r>
      <w:r>
        <w:rPr>
          <w:rFonts w:hint="cs"/>
          <w:rtl/>
        </w:rPr>
        <w:t xml:space="preserve"> דכ"כ </w:t>
      </w:r>
      <w:r w:rsidRPr="00DA398B">
        <w:rPr>
          <w:rStyle w:val="af9"/>
          <w:rFonts w:hint="cs"/>
          <w:rtl/>
        </w:rPr>
        <w:t>ר"ח</w:t>
      </w:r>
      <w:r>
        <w:rPr>
          <w:rFonts w:hint="cs"/>
          <w:rtl/>
        </w:rPr>
        <w:t xml:space="preserve">, וכתב </w:t>
      </w:r>
      <w:r w:rsidRPr="00DA398B">
        <w:rPr>
          <w:rStyle w:val="af9"/>
          <w:rFonts w:hint="cs"/>
          <w:rtl/>
        </w:rPr>
        <w:t>הרמב"ן</w:t>
      </w:r>
      <w:r>
        <w:rPr>
          <w:rFonts w:hint="cs"/>
          <w:rtl/>
        </w:rPr>
        <w:t xml:space="preserve"> דזהו הביאור הנכון</w:t>
      </w:r>
      <w:bookmarkEnd w:id="17212"/>
      <w:r>
        <w:rPr>
          <w:rFonts w:hint="cs"/>
          <w:rtl/>
        </w:rPr>
        <w:t>.</w:t>
      </w:r>
      <w:bookmarkEnd w:id="17213"/>
    </w:p>
    <w:p w14:paraId="1FDD0197" w14:textId="77777777" w:rsidR="003D504D" w:rsidRDefault="003D504D" w:rsidP="003D504D">
      <w:pPr>
        <w:pStyle w:val="a3"/>
        <w:rPr>
          <w:rtl/>
        </w:rPr>
      </w:pPr>
      <w:bookmarkStart w:id="17214" w:name="_Toc536305022"/>
      <w:bookmarkStart w:id="17215" w:name="_Toc536305103"/>
      <w:bookmarkStart w:id="17216" w:name="_Toc536459316"/>
      <w:bookmarkStart w:id="17217" w:name="_Toc536466272"/>
      <w:bookmarkStart w:id="17218" w:name="_Toc536540421"/>
      <w:bookmarkStart w:id="17219" w:name="_Toc536564229"/>
      <w:bookmarkStart w:id="17220" w:name="_Toc536564384"/>
      <w:bookmarkStart w:id="17221" w:name="_Toc536616918"/>
      <w:bookmarkStart w:id="17222" w:name="_Toc19391231"/>
      <w:bookmarkStart w:id="17223" w:name="_Toc19394728"/>
      <w:r>
        <w:rPr>
          <w:rFonts w:hint="cs"/>
          <w:rtl/>
        </w:rPr>
        <w:t>דברי הרי"ף ור"ח דהתיובתא על ריו"ח היא רק לל"ק אבל בל"ב קיי"ל כריו"ח</w:t>
      </w:r>
      <w:bookmarkEnd w:id="17214"/>
      <w:bookmarkEnd w:id="17215"/>
      <w:bookmarkEnd w:id="17216"/>
      <w:bookmarkEnd w:id="17217"/>
      <w:bookmarkEnd w:id="17218"/>
      <w:bookmarkEnd w:id="17219"/>
      <w:bookmarkEnd w:id="17220"/>
      <w:bookmarkEnd w:id="17221"/>
      <w:bookmarkEnd w:id="17222"/>
      <w:bookmarkEnd w:id="17223"/>
    </w:p>
    <w:p w14:paraId="7C92D332" w14:textId="77777777" w:rsidR="003D504D" w:rsidRPr="00D35E89" w:rsidRDefault="003D504D" w:rsidP="00223668">
      <w:pPr>
        <w:pStyle w:val="a0"/>
        <w:rPr>
          <w:rtl/>
        </w:rPr>
      </w:pPr>
      <w:bookmarkStart w:id="17224" w:name="_Ref535942561"/>
      <w:r>
        <w:rPr>
          <w:rFonts w:hint="cs"/>
          <w:rtl/>
        </w:rPr>
        <w:t xml:space="preserve">והוסיף </w:t>
      </w:r>
      <w:r w:rsidRPr="00086235">
        <w:rPr>
          <w:rStyle w:val="af9"/>
          <w:rFonts w:hint="cs"/>
          <w:rtl/>
        </w:rPr>
        <w:t>הרי"ף</w:t>
      </w:r>
      <w:r>
        <w:rPr>
          <w:rFonts w:hint="cs"/>
          <w:rtl/>
        </w:rPr>
        <w:t xml:space="preserve"> דהא דאיתותב ריו"ח, היינו רק בל"ק, במה שהתיר את האבר עצמו כשחזר, אבל במה שהתיר ריו"ח את מיעוט האבר שבפנים ללישנא דמערבא, לא איתותב ריו"ח וקיי"ל כוותיה בזה, דרב וריו"ח הלכה כריו"ח, וכן </w:t>
      </w:r>
      <w:r w:rsidRPr="00D35E89">
        <w:rPr>
          <w:rFonts w:hint="cs"/>
          <w:rtl/>
        </w:rPr>
        <w:t xml:space="preserve">פסקו </w:t>
      </w:r>
      <w:r w:rsidRPr="00D35E89">
        <w:rPr>
          <w:rStyle w:val="af9"/>
          <w:rFonts w:hint="cs"/>
          <w:rtl/>
        </w:rPr>
        <w:t>הרשב"א בתוה"ב</w:t>
      </w:r>
      <w:r w:rsidRPr="00D35E89">
        <w:rPr>
          <w:rFonts w:hint="cs"/>
          <w:rtl/>
        </w:rPr>
        <w:t xml:space="preserve"> </w:t>
      </w:r>
      <w:r w:rsidRPr="00D35E89">
        <w:rPr>
          <w:rStyle w:val="af7"/>
          <w:rFonts w:eastAsia="Guttman Hodes" w:hint="cs"/>
          <w:rtl/>
        </w:rPr>
        <w:t>(ב"ב ש"ג דף כט. מדה"ס)</w:t>
      </w:r>
      <w:r w:rsidRPr="00D35E89">
        <w:rPr>
          <w:rStyle w:val="af9"/>
          <w:rFonts w:hint="cs"/>
          <w:rtl/>
        </w:rPr>
        <w:t xml:space="preserve"> והרא"ש</w:t>
      </w:r>
      <w:r w:rsidRPr="00D35E89">
        <w:rPr>
          <w:rFonts w:hint="cs"/>
          <w:rtl/>
        </w:rPr>
        <w:t xml:space="preserve"> </w:t>
      </w:r>
      <w:r w:rsidRPr="00D35E89">
        <w:rPr>
          <w:rStyle w:val="af7"/>
          <w:rFonts w:eastAsia="Guttman Hodes" w:hint="cs"/>
          <w:rtl/>
        </w:rPr>
        <w:t>(סי' ד')</w:t>
      </w:r>
      <w:r w:rsidRPr="00D35E89">
        <w:rPr>
          <w:rFonts w:hint="cs"/>
          <w:rtl/>
        </w:rPr>
        <w:t xml:space="preserve">, וכתב </w:t>
      </w:r>
      <w:r w:rsidRPr="00D35E89">
        <w:rPr>
          <w:rStyle w:val="af9"/>
          <w:rFonts w:hint="cs"/>
          <w:rtl/>
        </w:rPr>
        <w:t>הר"ן בחי'</w:t>
      </w:r>
      <w:r w:rsidRPr="00D35E89">
        <w:rPr>
          <w:rFonts w:hint="cs"/>
          <w:rtl/>
        </w:rPr>
        <w:t xml:space="preserve"> דכן פסק </w:t>
      </w:r>
      <w:r w:rsidRPr="00D35E89">
        <w:rPr>
          <w:rStyle w:val="af9"/>
          <w:rFonts w:hint="cs"/>
          <w:rtl/>
        </w:rPr>
        <w:t>הרמב"ם</w:t>
      </w:r>
      <w:r>
        <w:rPr>
          <w:rFonts w:hint="cs"/>
          <w:rtl/>
        </w:rPr>
        <w:t xml:space="preserve"> </w:t>
      </w:r>
      <w:r w:rsidRPr="00D35E89">
        <w:rPr>
          <w:rStyle w:val="af7"/>
          <w:rFonts w:eastAsia="Guttman Hodes" w:hint="cs"/>
          <w:rtl/>
        </w:rPr>
        <w:t xml:space="preserve">(עי' אות </w:t>
      </w:r>
      <w:r w:rsidRPr="00D35E89">
        <w:rPr>
          <w:rStyle w:val="af7"/>
          <w:rFonts w:eastAsia="Guttman Hodes"/>
          <w:rtl/>
        </w:rPr>
        <w:fldChar w:fldCharType="begin"/>
      </w:r>
      <w:r w:rsidRPr="00D35E89">
        <w:rPr>
          <w:rStyle w:val="af7"/>
          <w:rFonts w:eastAsia="Guttman Hodes"/>
          <w:rtl/>
        </w:rPr>
        <w:instrText xml:space="preserve"> </w:instrText>
      </w:r>
      <w:r w:rsidRPr="00D35E89">
        <w:rPr>
          <w:rStyle w:val="af7"/>
          <w:rFonts w:eastAsia="Guttman Hodes" w:hint="cs"/>
        </w:rPr>
        <w:instrText>REF</w:instrText>
      </w:r>
      <w:r w:rsidRPr="00D35E89">
        <w:rPr>
          <w:rStyle w:val="af7"/>
          <w:rFonts w:eastAsia="Guttman Hodes" w:hint="cs"/>
          <w:rtl/>
        </w:rPr>
        <w:instrText xml:space="preserve"> _</w:instrText>
      </w:r>
      <w:r w:rsidRPr="00D35E89">
        <w:rPr>
          <w:rStyle w:val="af7"/>
          <w:rFonts w:eastAsia="Guttman Hodes" w:hint="cs"/>
        </w:rPr>
        <w:instrText>Ref535941704 \r \h</w:instrText>
      </w:r>
      <w:r w:rsidRPr="00D35E89">
        <w:rPr>
          <w:rStyle w:val="af7"/>
          <w:rFonts w:eastAsia="Guttman Hodes"/>
          <w:rtl/>
        </w:rPr>
        <w:instrText xml:space="preserve"> </w:instrText>
      </w:r>
      <w:r w:rsidRPr="00D35E89">
        <w:rPr>
          <w:rStyle w:val="af7"/>
          <w:rFonts w:eastAsia="Guttman Hodes"/>
          <w:rtl/>
        </w:rPr>
      </w:r>
      <w:r w:rsidRPr="00D35E89">
        <w:rPr>
          <w:rStyle w:val="af7"/>
          <w:rFonts w:eastAsia="Guttman Hodes"/>
          <w:rtl/>
        </w:rPr>
        <w:fldChar w:fldCharType="separate"/>
      </w:r>
      <w:r w:rsidR="00345400">
        <w:rPr>
          <w:rStyle w:val="af7"/>
          <w:rFonts w:eastAsia="Guttman Hodes"/>
          <w:cs/>
        </w:rPr>
        <w:t>‎</w:t>
      </w:r>
      <w:r w:rsidR="00345400">
        <w:rPr>
          <w:rStyle w:val="af7"/>
          <w:rFonts w:eastAsia="Guttman Hodes"/>
          <w:rtl/>
        </w:rPr>
        <w:t>קה)</w:t>
      </w:r>
      <w:r w:rsidRPr="00D35E89">
        <w:rPr>
          <w:rStyle w:val="af7"/>
          <w:rFonts w:eastAsia="Guttman Hodes"/>
          <w:rtl/>
        </w:rPr>
        <w:fldChar w:fldCharType="end"/>
      </w:r>
      <w:r>
        <w:rPr>
          <w:rFonts w:hint="cs"/>
          <w:rtl/>
        </w:rPr>
        <w:t>.</w:t>
      </w:r>
      <w:bookmarkEnd w:id="17224"/>
    </w:p>
    <w:p w14:paraId="27BD2119" w14:textId="77777777" w:rsidR="003D504D" w:rsidRDefault="003D504D" w:rsidP="003D504D">
      <w:pPr>
        <w:pStyle w:val="a3"/>
        <w:rPr>
          <w:rtl/>
        </w:rPr>
      </w:pPr>
      <w:bookmarkStart w:id="17225" w:name="_Toc536305023"/>
      <w:bookmarkStart w:id="17226" w:name="_Toc536305104"/>
      <w:bookmarkStart w:id="17227" w:name="_Toc536459317"/>
      <w:bookmarkStart w:id="17228" w:name="_Toc536466273"/>
      <w:bookmarkStart w:id="17229" w:name="_Toc536540422"/>
      <w:bookmarkStart w:id="17230" w:name="_Toc536564230"/>
      <w:bookmarkStart w:id="17231" w:name="_Toc536564385"/>
      <w:bookmarkStart w:id="17232" w:name="_Toc536616919"/>
      <w:bookmarkStart w:id="17233" w:name="_Toc19391232"/>
      <w:bookmarkStart w:id="17234" w:name="_Toc19394729"/>
      <w:r>
        <w:rPr>
          <w:rFonts w:hint="cs"/>
          <w:rtl/>
        </w:rPr>
        <w:t>ראיית הבעה"מ מספק הגמ' לקמן</w:t>
      </w:r>
      <w:bookmarkEnd w:id="17225"/>
      <w:bookmarkEnd w:id="17226"/>
      <w:bookmarkEnd w:id="17227"/>
      <w:bookmarkEnd w:id="17228"/>
      <w:bookmarkEnd w:id="17229"/>
      <w:bookmarkEnd w:id="17230"/>
      <w:bookmarkEnd w:id="17231"/>
      <w:bookmarkEnd w:id="17232"/>
      <w:bookmarkEnd w:id="17233"/>
      <w:bookmarkEnd w:id="17234"/>
      <w:r>
        <w:rPr>
          <w:rFonts w:hint="cs"/>
          <w:rtl/>
        </w:rPr>
        <w:t xml:space="preserve"> </w:t>
      </w:r>
    </w:p>
    <w:p w14:paraId="1DAB8058" w14:textId="77777777" w:rsidR="003D504D" w:rsidRPr="00786402" w:rsidRDefault="003D504D" w:rsidP="00223668">
      <w:pPr>
        <w:pStyle w:val="a0"/>
        <w:rPr>
          <w:rtl/>
        </w:rPr>
      </w:pPr>
      <w:bookmarkStart w:id="17235" w:name="_Ref535942552"/>
      <w:r>
        <w:rPr>
          <w:rStyle w:val="af9"/>
          <w:rFonts w:hint="cs"/>
          <w:rtl/>
        </w:rPr>
        <w:t>ו</w:t>
      </w:r>
      <w:r w:rsidRPr="00A17574">
        <w:rPr>
          <w:rStyle w:val="af9"/>
          <w:rFonts w:hint="cs"/>
          <w:rtl/>
        </w:rPr>
        <w:t>הבעה"מ</w:t>
      </w:r>
      <w:r>
        <w:rPr>
          <w:rFonts w:hint="cs"/>
          <w:rtl/>
        </w:rPr>
        <w:t xml:space="preserve"> </w:t>
      </w:r>
      <w:r w:rsidRPr="00873C7E">
        <w:rPr>
          <w:rStyle w:val="af7"/>
          <w:rFonts w:eastAsia="Guttman Hodes" w:hint="cs"/>
          <w:rtl/>
        </w:rPr>
        <w:t>(כד. מדפי הרי"ף)</w:t>
      </w:r>
      <w:r>
        <w:rPr>
          <w:rFonts w:hint="cs"/>
          <w:rtl/>
        </w:rPr>
        <w:t xml:space="preserve"> כתב דהביאור בגמ' הוא כדברי </w:t>
      </w:r>
      <w:r w:rsidRPr="00873C7E">
        <w:rPr>
          <w:rStyle w:val="af9"/>
          <w:rFonts w:hint="cs"/>
          <w:rtl/>
        </w:rPr>
        <w:t>הרי"ף</w:t>
      </w:r>
      <w:r>
        <w:rPr>
          <w:rFonts w:hint="cs"/>
          <w:rtl/>
        </w:rPr>
        <w:t xml:space="preserve">, והביא ראיה </w:t>
      </w:r>
      <w:r w:rsidRPr="00A17574">
        <w:rPr>
          <w:rStyle w:val="af9"/>
          <w:rFonts w:hint="cs"/>
          <w:rtl/>
        </w:rPr>
        <w:t>הבעה"מ</w:t>
      </w:r>
      <w:r>
        <w:rPr>
          <w:rFonts w:hint="cs"/>
          <w:rtl/>
        </w:rPr>
        <w:t xml:space="preserve"> דקיי"ל כריו"ח מהא דבגמ' לקמן </w:t>
      </w:r>
      <w:r w:rsidRPr="00873C7E">
        <w:rPr>
          <w:rStyle w:val="af7"/>
          <w:rFonts w:eastAsia="Guttman Hodes" w:hint="cs"/>
          <w:rtl/>
        </w:rPr>
        <w:t>(ע.)</w:t>
      </w:r>
      <w:r>
        <w:rPr>
          <w:rFonts w:hint="cs"/>
          <w:rtl/>
        </w:rPr>
        <w:t xml:space="preserve"> מספקא ליה לרבא ביצא חציו ברוב אבר, אי הלכו באברים אחר הרוב, וכתב </w:t>
      </w:r>
      <w:r w:rsidRPr="0025649F">
        <w:rPr>
          <w:rStyle w:val="af9"/>
          <w:rFonts w:hint="cs"/>
          <w:rtl/>
        </w:rPr>
        <w:t>הבעה"מ</w:t>
      </w:r>
      <w:r>
        <w:rPr>
          <w:rFonts w:hint="cs"/>
          <w:rtl/>
        </w:rPr>
        <w:t xml:space="preserve"> דהספק </w:t>
      </w:r>
      <w:r w:rsidRPr="00786402">
        <w:rPr>
          <w:rFonts w:hint="cs"/>
          <w:rtl/>
        </w:rPr>
        <w:t xml:space="preserve">הוא רק לדעת ריו"ח, דהא לרב פשיטא דהמיעוט שבפנים נגרר אחר רוב האבר שבחוץ, ומהא דמספקא ליה לרבא אליבא דריו"ח מוכח דהכי קיי"ל, אמנם </w:t>
      </w:r>
      <w:r w:rsidRPr="00786402">
        <w:rPr>
          <w:rStyle w:val="af9"/>
          <w:rFonts w:hint="cs"/>
          <w:rtl/>
        </w:rPr>
        <w:t>הרמב"ן והרשב"א לקמן</w:t>
      </w:r>
      <w:r w:rsidRPr="00786402">
        <w:rPr>
          <w:rFonts w:hint="cs"/>
          <w:rtl/>
        </w:rPr>
        <w:t xml:space="preserve"> </w:t>
      </w:r>
      <w:r w:rsidRPr="00786402">
        <w:rPr>
          <w:rStyle w:val="af7"/>
          <w:rFonts w:eastAsia="Guttman Hodes" w:hint="cs"/>
          <w:rtl/>
        </w:rPr>
        <w:t xml:space="preserve">(עי' אות </w:t>
      </w:r>
      <w:r w:rsidRPr="00786402">
        <w:rPr>
          <w:rStyle w:val="af7"/>
          <w:rFonts w:eastAsia="Guttman Hodes"/>
          <w:rtl/>
        </w:rPr>
        <w:fldChar w:fldCharType="begin"/>
      </w:r>
      <w:r w:rsidRPr="00786402">
        <w:rPr>
          <w:rStyle w:val="af7"/>
          <w:rFonts w:eastAsia="Guttman Hodes"/>
          <w:rtl/>
        </w:rPr>
        <w:instrText xml:space="preserve"> </w:instrText>
      </w:r>
      <w:r w:rsidRPr="00786402">
        <w:rPr>
          <w:rStyle w:val="af7"/>
          <w:rFonts w:eastAsia="Guttman Hodes" w:hint="cs"/>
        </w:rPr>
        <w:instrText>REF</w:instrText>
      </w:r>
      <w:r w:rsidRPr="00786402">
        <w:rPr>
          <w:rStyle w:val="af7"/>
          <w:rFonts w:eastAsia="Guttman Hodes" w:hint="cs"/>
          <w:rtl/>
        </w:rPr>
        <w:instrText xml:space="preserve"> _</w:instrText>
      </w:r>
      <w:r w:rsidRPr="00786402">
        <w:rPr>
          <w:rStyle w:val="af7"/>
          <w:rFonts w:eastAsia="Guttman Hodes" w:hint="cs"/>
        </w:rPr>
        <w:instrText>Ref536304392 \r \h</w:instrText>
      </w:r>
      <w:r w:rsidRPr="00786402">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86402">
        <w:rPr>
          <w:rStyle w:val="af7"/>
          <w:rFonts w:eastAsia="Guttman Hodes"/>
          <w:rtl/>
        </w:rPr>
      </w:r>
      <w:r w:rsidRPr="00786402">
        <w:rPr>
          <w:rStyle w:val="af7"/>
          <w:rFonts w:eastAsia="Guttman Hodes"/>
          <w:rtl/>
        </w:rPr>
        <w:fldChar w:fldCharType="separate"/>
      </w:r>
      <w:r w:rsidR="00345400">
        <w:rPr>
          <w:rStyle w:val="af7"/>
          <w:rFonts w:eastAsia="Guttman Hodes"/>
          <w:cs/>
        </w:rPr>
        <w:t>‎</w:t>
      </w:r>
      <w:r w:rsidR="00345400">
        <w:rPr>
          <w:rStyle w:val="af7"/>
          <w:rFonts w:eastAsia="Guttman Hodes"/>
          <w:rtl/>
        </w:rPr>
        <w:t>עב)</w:t>
      </w:r>
      <w:r w:rsidRPr="00786402">
        <w:rPr>
          <w:rStyle w:val="af7"/>
          <w:rFonts w:eastAsia="Guttman Hodes"/>
          <w:rtl/>
        </w:rPr>
        <w:fldChar w:fldCharType="end"/>
      </w:r>
      <w:r w:rsidRPr="00786402">
        <w:rPr>
          <w:rFonts w:hint="cs"/>
          <w:rtl/>
        </w:rPr>
        <w:t xml:space="preserve"> ביארו דהספק הוא אף למ"ד דיש לידה לאברים.</w:t>
      </w:r>
      <w:bookmarkEnd w:id="17235"/>
    </w:p>
    <w:p w14:paraId="576775A7" w14:textId="77777777" w:rsidR="003D504D" w:rsidRDefault="003D504D" w:rsidP="003D504D">
      <w:pPr>
        <w:pStyle w:val="a3"/>
        <w:rPr>
          <w:rtl/>
        </w:rPr>
      </w:pPr>
      <w:bookmarkStart w:id="17236" w:name="_Toc536305024"/>
      <w:bookmarkStart w:id="17237" w:name="_Toc536305105"/>
      <w:bookmarkStart w:id="17238" w:name="_Toc536459318"/>
      <w:bookmarkStart w:id="17239" w:name="_Toc536466274"/>
      <w:bookmarkStart w:id="17240" w:name="_Toc536540423"/>
      <w:bookmarkStart w:id="17241" w:name="_Toc536564231"/>
      <w:bookmarkStart w:id="17242" w:name="_Toc536564386"/>
      <w:bookmarkStart w:id="17243" w:name="_Toc536616920"/>
      <w:bookmarkStart w:id="17244" w:name="_Toc19391233"/>
      <w:bookmarkStart w:id="17245" w:name="_Toc19394730"/>
      <w:r>
        <w:rPr>
          <w:rFonts w:hint="cs"/>
          <w:rtl/>
        </w:rPr>
        <w:t>ביאור הרמב"ן והר"ן ברי"ף ובר"ח דלל"ב מה שיצא אין לו תקנה וריו"ח מתיר רק את המיעוט</w:t>
      </w:r>
      <w:bookmarkEnd w:id="17236"/>
      <w:bookmarkEnd w:id="17237"/>
      <w:bookmarkEnd w:id="17238"/>
      <w:bookmarkEnd w:id="17239"/>
      <w:bookmarkEnd w:id="17240"/>
      <w:bookmarkEnd w:id="17241"/>
      <w:bookmarkEnd w:id="17242"/>
      <w:bookmarkEnd w:id="17243"/>
      <w:bookmarkEnd w:id="17244"/>
      <w:bookmarkEnd w:id="17245"/>
    </w:p>
    <w:p w14:paraId="37195EA9" w14:textId="77777777" w:rsidR="003D504D" w:rsidRDefault="003D504D" w:rsidP="00223668">
      <w:pPr>
        <w:pStyle w:val="a0"/>
        <w:rPr>
          <w:rtl/>
        </w:rPr>
      </w:pPr>
      <w:bookmarkStart w:id="17246" w:name="_Ref535919799"/>
      <w:r>
        <w:rPr>
          <w:rFonts w:hint="cs"/>
          <w:rtl/>
        </w:rPr>
        <w:t xml:space="preserve">וביארו </w:t>
      </w:r>
      <w:r>
        <w:rPr>
          <w:rStyle w:val="af9"/>
          <w:rtl/>
        </w:rPr>
        <w:t>הרמב"ן</w:t>
      </w:r>
      <w:r>
        <w:rPr>
          <w:rtl/>
        </w:rPr>
        <w:t xml:space="preserve"> </w:t>
      </w:r>
      <w:r>
        <w:rPr>
          <w:rStyle w:val="af9"/>
          <w:rtl/>
        </w:rPr>
        <w:t>והר"ן בחי'</w:t>
      </w:r>
      <w:r>
        <w:rPr>
          <w:rtl/>
        </w:rPr>
        <w:t xml:space="preserve"> </w:t>
      </w:r>
      <w:r>
        <w:rPr>
          <w:rFonts w:hint="cs"/>
          <w:rtl/>
        </w:rPr>
        <w:t xml:space="preserve">את דברי </w:t>
      </w:r>
      <w:r w:rsidRPr="00D91CFA">
        <w:rPr>
          <w:rStyle w:val="af9"/>
          <w:rFonts w:hint="cs"/>
          <w:rtl/>
        </w:rPr>
        <w:t>הרי"ף</w:t>
      </w:r>
      <w:r>
        <w:rPr>
          <w:rStyle w:val="af9"/>
          <w:rFonts w:hint="cs"/>
          <w:rtl/>
        </w:rPr>
        <w:t xml:space="preserve"> ור"ח</w:t>
      </w:r>
      <w:r>
        <w:rPr>
          <w:rFonts w:hint="cs"/>
          <w:rtl/>
        </w:rPr>
        <w:t xml:space="preserve"> דללישנא דמערבא רב וריו"ח לא נחלקו בהיתר של האבר היוצא כלל, </w:t>
      </w:r>
      <w:r w:rsidRPr="00D91CFA">
        <w:rPr>
          <w:rStyle w:val="afb"/>
          <w:rFonts w:hint="cs"/>
          <w:rtl/>
        </w:rPr>
        <w:t xml:space="preserve">[כדביאר </w:t>
      </w:r>
      <w:r w:rsidRPr="00F67E71">
        <w:rPr>
          <w:rStyle w:val="affa"/>
          <w:rFonts w:hint="cs"/>
          <w:rtl/>
        </w:rPr>
        <w:t>רש"י</w:t>
      </w:r>
      <w:r w:rsidRPr="00D91CFA">
        <w:rPr>
          <w:rStyle w:val="afb"/>
          <w:rFonts w:hint="cs"/>
          <w:rtl/>
        </w:rPr>
        <w:t xml:space="preserve"> </w:t>
      </w:r>
      <w:r w:rsidRPr="00F67E71">
        <w:rPr>
          <w:rStyle w:val="aff6"/>
          <w:rFonts w:hint="cs"/>
          <w:rtl/>
        </w:rPr>
        <w:t xml:space="preserve">(עי' אות </w:t>
      </w:r>
      <w:r w:rsidRPr="00F67E71">
        <w:rPr>
          <w:rStyle w:val="aff6"/>
          <w:rtl/>
        </w:rPr>
        <w:fldChar w:fldCharType="begin"/>
      </w:r>
      <w:r w:rsidRPr="00F67E71">
        <w:rPr>
          <w:rStyle w:val="aff6"/>
          <w:rtl/>
        </w:rPr>
        <w:instrText xml:space="preserve"> </w:instrText>
      </w:r>
      <w:r w:rsidRPr="00F67E71">
        <w:rPr>
          <w:rStyle w:val="aff6"/>
          <w:rFonts w:hint="cs"/>
        </w:rPr>
        <w:instrText>REF</w:instrText>
      </w:r>
      <w:r w:rsidRPr="00F67E71">
        <w:rPr>
          <w:rStyle w:val="aff6"/>
          <w:rFonts w:hint="cs"/>
          <w:rtl/>
        </w:rPr>
        <w:instrText xml:space="preserve"> _</w:instrText>
      </w:r>
      <w:r w:rsidRPr="00F67E71">
        <w:rPr>
          <w:rStyle w:val="aff6"/>
          <w:rFonts w:hint="cs"/>
        </w:rPr>
        <w:instrText>Ref535870325 \r \h</w:instrText>
      </w:r>
      <w:r w:rsidRPr="00F67E71">
        <w:rPr>
          <w:rStyle w:val="aff6"/>
          <w:rtl/>
        </w:rPr>
        <w:instrText xml:space="preserve"> </w:instrText>
      </w:r>
      <w:r w:rsidRPr="00F67E71">
        <w:rPr>
          <w:rStyle w:val="aff6"/>
          <w:rtl/>
        </w:rPr>
      </w:r>
      <w:r w:rsidRPr="00F67E71">
        <w:rPr>
          <w:rStyle w:val="aff6"/>
          <w:rtl/>
        </w:rPr>
        <w:fldChar w:fldCharType="separate"/>
      </w:r>
      <w:r w:rsidR="00345400">
        <w:rPr>
          <w:rStyle w:val="aff6"/>
          <w:cs/>
        </w:rPr>
        <w:t>‎</w:t>
      </w:r>
      <w:r w:rsidR="00345400">
        <w:rPr>
          <w:rStyle w:val="aff6"/>
          <w:rtl/>
        </w:rPr>
        <w:t>כד)</w:t>
      </w:r>
      <w:r w:rsidRPr="00F67E71">
        <w:rPr>
          <w:rStyle w:val="aff6"/>
          <w:rtl/>
        </w:rPr>
        <w:fldChar w:fldCharType="end"/>
      </w:r>
      <w:r w:rsidRPr="00D91CFA">
        <w:rPr>
          <w:rStyle w:val="afb"/>
          <w:rFonts w:hint="cs"/>
          <w:rtl/>
        </w:rPr>
        <w:t xml:space="preserve">], </w:t>
      </w:r>
      <w:r>
        <w:rPr>
          <w:rFonts w:hint="cs"/>
          <w:rtl/>
        </w:rPr>
        <w:t xml:space="preserve">דללישנא דמערבא לכו"ע מה שיצא אין לו תקנה כלל, אלא נחלקו בדין המיעוט שנשאר בפנים, דריו"ח מתיר את המיעוט שבפנים, ורב אוסר כיון שיש לידה לאברים, ולכן ביארו </w:t>
      </w:r>
      <w:r w:rsidRPr="00A8241C">
        <w:rPr>
          <w:rStyle w:val="af9"/>
          <w:rFonts w:hint="cs"/>
          <w:rtl/>
        </w:rPr>
        <w:t>הרי"ף</w:t>
      </w:r>
      <w:r>
        <w:rPr>
          <w:rFonts w:hint="cs"/>
          <w:rtl/>
        </w:rPr>
        <w:t xml:space="preserve"> </w:t>
      </w:r>
      <w:r>
        <w:rPr>
          <w:rStyle w:val="af9"/>
          <w:rFonts w:hint="cs"/>
          <w:rtl/>
        </w:rPr>
        <w:t>והר"ח</w:t>
      </w:r>
      <w:r>
        <w:rPr>
          <w:rFonts w:hint="cs"/>
          <w:rtl/>
        </w:rPr>
        <w:t xml:space="preserve"> דקושית הגמ' מאי בינייהו היא בין רב לרוי"ח.</w:t>
      </w:r>
      <w:bookmarkEnd w:id="17246"/>
    </w:p>
    <w:p w14:paraId="63514ED0" w14:textId="77777777" w:rsidR="003D504D" w:rsidRDefault="003D504D" w:rsidP="003D504D">
      <w:pPr>
        <w:pStyle w:val="a3"/>
        <w:rPr>
          <w:rtl/>
        </w:rPr>
      </w:pPr>
      <w:bookmarkStart w:id="17247" w:name="_Toc536305025"/>
      <w:bookmarkStart w:id="17248" w:name="_Toc536305106"/>
      <w:bookmarkStart w:id="17249" w:name="_Toc536459319"/>
      <w:bookmarkStart w:id="17250" w:name="_Toc536466275"/>
      <w:bookmarkStart w:id="17251" w:name="_Toc536540424"/>
      <w:bookmarkStart w:id="17252" w:name="_Toc536564232"/>
      <w:bookmarkStart w:id="17253" w:name="_Toc536564387"/>
      <w:bookmarkStart w:id="17254" w:name="_Toc536616921"/>
      <w:bookmarkStart w:id="17255" w:name="_Toc19391234"/>
      <w:bookmarkStart w:id="17256" w:name="_Toc19394731"/>
      <w:r>
        <w:rPr>
          <w:rFonts w:hint="cs"/>
          <w:rtl/>
        </w:rPr>
        <w:t>ביאור הר"ן דלרב כמו דרוב דעובר גורר את המיעוט אחריו ה"ה בלידת רוב האבר דנאסר המיעוט</w:t>
      </w:r>
      <w:bookmarkEnd w:id="17247"/>
      <w:bookmarkEnd w:id="17248"/>
      <w:bookmarkEnd w:id="17249"/>
      <w:bookmarkEnd w:id="17250"/>
      <w:bookmarkEnd w:id="17251"/>
      <w:bookmarkEnd w:id="17252"/>
      <w:bookmarkEnd w:id="17253"/>
      <w:bookmarkEnd w:id="17254"/>
      <w:bookmarkEnd w:id="17255"/>
      <w:bookmarkEnd w:id="17256"/>
    </w:p>
    <w:p w14:paraId="41495E19" w14:textId="77777777" w:rsidR="003D504D" w:rsidRDefault="003D504D" w:rsidP="00223668">
      <w:pPr>
        <w:pStyle w:val="a0"/>
        <w:rPr>
          <w:rtl/>
        </w:rPr>
      </w:pPr>
      <w:r>
        <w:rPr>
          <w:rFonts w:hint="cs"/>
          <w:rtl/>
        </w:rPr>
        <w:t xml:space="preserve">וביאר </w:t>
      </w:r>
      <w:r w:rsidRPr="006C3B65">
        <w:rPr>
          <w:rStyle w:val="af9"/>
          <w:rFonts w:hint="cs"/>
          <w:rtl/>
        </w:rPr>
        <w:t>הר"ן בחי'</w:t>
      </w:r>
      <w:r>
        <w:rPr>
          <w:rFonts w:hint="cs"/>
          <w:rtl/>
        </w:rPr>
        <w:t xml:space="preserve"> דרב ס"ל דלידת האבר היא כלידת העובר, וכמו שביצא רוב העובר הוא גורר אחריו לאסור אף את המיעוט שבפנים, ה"ה דמיעוט האבר שבפנים נגרר לאיסור, אחר רוב האבר שבחוץ, ולריו"ח דאין לידה לאברים, רק מה שבחוץ נאסר, והמיעוט שבפנים מותר, ואינו נגרר אחר הרוב לאיסור.</w:t>
      </w:r>
    </w:p>
    <w:p w14:paraId="36ABCB6F" w14:textId="77777777" w:rsidR="003D504D" w:rsidRPr="002953AE" w:rsidRDefault="003D504D" w:rsidP="00BF39B2">
      <w:pPr>
        <w:pStyle w:val="1"/>
        <w:rPr>
          <w:rtl/>
        </w:rPr>
      </w:pPr>
      <w:bookmarkStart w:id="17257" w:name="_Toc535921737"/>
      <w:bookmarkStart w:id="17258" w:name="_Toc535958316"/>
      <w:bookmarkStart w:id="17259" w:name="_Toc536041994"/>
      <w:bookmarkStart w:id="17260" w:name="_Toc536130317"/>
      <w:bookmarkStart w:id="17261" w:name="_Toc536178395"/>
      <w:bookmarkStart w:id="17262" w:name="_Toc536180777"/>
      <w:bookmarkStart w:id="17263" w:name="_Toc536305026"/>
      <w:bookmarkStart w:id="17264" w:name="_Toc536305107"/>
      <w:bookmarkStart w:id="17265" w:name="_Toc536459320"/>
      <w:bookmarkStart w:id="17266" w:name="_Toc536466276"/>
      <w:bookmarkStart w:id="17267" w:name="_Toc536540425"/>
      <w:bookmarkStart w:id="17268" w:name="_Toc536564233"/>
      <w:bookmarkStart w:id="17269" w:name="_Toc536564388"/>
      <w:bookmarkStart w:id="17270" w:name="_Toc536616922"/>
      <w:bookmarkStart w:id="17271" w:name="_Toc19391235"/>
      <w:bookmarkStart w:id="17272" w:name="_Toc19394732"/>
      <w:r>
        <w:rPr>
          <w:rFonts w:hint="cs"/>
          <w:rtl/>
        </w:rPr>
        <w:t>קושית הרשב"א על ר"ח</w:t>
      </w:r>
      <w:bookmarkEnd w:id="17257"/>
      <w:bookmarkEnd w:id="17258"/>
      <w:bookmarkEnd w:id="17259"/>
      <w:bookmarkEnd w:id="17260"/>
      <w:bookmarkEnd w:id="17261"/>
      <w:bookmarkEnd w:id="17262"/>
      <w:bookmarkEnd w:id="17263"/>
      <w:bookmarkEnd w:id="17264"/>
      <w:bookmarkEnd w:id="17265"/>
      <w:bookmarkEnd w:id="17266"/>
      <w:bookmarkEnd w:id="17267"/>
      <w:bookmarkEnd w:id="17268"/>
      <w:bookmarkEnd w:id="17269"/>
      <w:bookmarkEnd w:id="17270"/>
      <w:bookmarkEnd w:id="17271"/>
      <w:bookmarkEnd w:id="17272"/>
    </w:p>
    <w:p w14:paraId="77A83FCE" w14:textId="77777777" w:rsidR="003D504D" w:rsidRDefault="003D504D" w:rsidP="003D504D">
      <w:pPr>
        <w:pStyle w:val="a3"/>
        <w:rPr>
          <w:rtl/>
        </w:rPr>
      </w:pPr>
      <w:bookmarkStart w:id="17273" w:name="_Toc536305027"/>
      <w:bookmarkStart w:id="17274" w:name="_Toc536305108"/>
      <w:bookmarkStart w:id="17275" w:name="_Toc536459321"/>
      <w:bookmarkStart w:id="17276" w:name="_Toc536466277"/>
      <w:bookmarkStart w:id="17277" w:name="_Toc536540426"/>
      <w:bookmarkStart w:id="17278" w:name="_Toc536564234"/>
      <w:bookmarkStart w:id="17279" w:name="_Toc536564389"/>
      <w:bookmarkStart w:id="17280" w:name="_Toc536616923"/>
      <w:bookmarkStart w:id="17281" w:name="_Toc19391236"/>
      <w:bookmarkStart w:id="17282" w:name="_Toc19394733"/>
      <w:r>
        <w:rPr>
          <w:rFonts w:hint="cs"/>
          <w:rtl/>
        </w:rPr>
        <w:t>קושית הרשב"א דבגמ' לקמן מבואר דריו"ח מתיר את כל האבר היוצא בחזרה</w:t>
      </w:r>
      <w:bookmarkEnd w:id="17273"/>
      <w:bookmarkEnd w:id="17274"/>
      <w:bookmarkEnd w:id="17275"/>
      <w:bookmarkEnd w:id="17276"/>
      <w:bookmarkEnd w:id="17277"/>
      <w:bookmarkEnd w:id="17278"/>
      <w:bookmarkEnd w:id="17279"/>
      <w:bookmarkEnd w:id="17280"/>
      <w:bookmarkEnd w:id="17281"/>
      <w:bookmarkEnd w:id="17282"/>
    </w:p>
    <w:p w14:paraId="0CA4C3EA" w14:textId="77777777" w:rsidR="003D504D" w:rsidRDefault="003D504D" w:rsidP="00223668">
      <w:pPr>
        <w:pStyle w:val="a0"/>
        <w:rPr>
          <w:rtl/>
        </w:rPr>
      </w:pPr>
      <w:r>
        <w:rPr>
          <w:rFonts w:hint="cs"/>
          <w:rtl/>
        </w:rPr>
        <w:t xml:space="preserve">אך הקשו </w:t>
      </w:r>
      <w:r w:rsidRPr="00190AE4">
        <w:rPr>
          <w:rStyle w:val="af9"/>
          <w:rFonts w:hint="cs"/>
          <w:rtl/>
        </w:rPr>
        <w:t>הרשב"א</w:t>
      </w:r>
      <w:r>
        <w:rPr>
          <w:rFonts w:hint="cs"/>
          <w:rtl/>
        </w:rPr>
        <w:t xml:space="preserve"> </w:t>
      </w:r>
      <w:r>
        <w:rPr>
          <w:rStyle w:val="af9"/>
          <w:rFonts w:hint="cs"/>
          <w:rtl/>
        </w:rPr>
        <w:t xml:space="preserve">בחי' </w:t>
      </w:r>
      <w:r w:rsidRPr="003304BA">
        <w:rPr>
          <w:rStyle w:val="af9"/>
          <w:rFonts w:hint="cs"/>
          <w:rtl/>
        </w:rPr>
        <w:t>והר"ן בחי'</w:t>
      </w:r>
      <w:r>
        <w:rPr>
          <w:rFonts w:hint="cs"/>
          <w:rtl/>
        </w:rPr>
        <w:t xml:space="preserve"> על </w:t>
      </w:r>
      <w:r w:rsidRPr="00190AE4">
        <w:rPr>
          <w:rStyle w:val="af9"/>
          <w:rFonts w:hint="cs"/>
          <w:rtl/>
        </w:rPr>
        <w:t>ר"ח</w:t>
      </w:r>
      <w:r>
        <w:rPr>
          <w:rFonts w:hint="cs"/>
          <w:rtl/>
        </w:rPr>
        <w:t xml:space="preserve"> דהא בגמ' לקמן </w:t>
      </w:r>
      <w:r w:rsidRPr="00190AE4">
        <w:rPr>
          <w:rStyle w:val="af7"/>
          <w:rFonts w:eastAsia="Guttman Hodes" w:hint="cs"/>
          <w:rtl/>
        </w:rPr>
        <w:t>(עג.)</w:t>
      </w:r>
      <w:r>
        <w:rPr>
          <w:rFonts w:hint="cs"/>
          <w:rtl/>
        </w:rPr>
        <w:t xml:space="preserve"> אמר ריו"ח דהא דרבנן</w:t>
      </w:r>
      <w:r w:rsidRPr="006F2F87">
        <w:rPr>
          <w:rFonts w:hint="cs"/>
          <w:rtl/>
        </w:rPr>
        <w:t xml:space="preserve"> </w:t>
      </w:r>
      <w:r>
        <w:rPr>
          <w:rFonts w:hint="cs"/>
          <w:rtl/>
        </w:rPr>
        <w:t>טיהרו את האבר היוצא מטומאת נבילה כשנשחטה אמו, היינו דוקא באבר היוצא של עובר, אבל באבר המדולדל של בהמה מודו רבנן לר"מ דכשנשחטה מטמא האבר המדולדל בטומאת נבילה,</w:t>
      </w:r>
      <w:r w:rsidRPr="00173F9B">
        <w:rPr>
          <w:rFonts w:hint="cs"/>
          <w:rtl/>
        </w:rPr>
        <w:t xml:space="preserve"> </w:t>
      </w:r>
      <w:r>
        <w:rPr>
          <w:rFonts w:hint="cs"/>
          <w:rtl/>
        </w:rPr>
        <w:t xml:space="preserve">דשחיטה עושה ניפול, וביאר ר"י ב"ר חנינא דס"ל לריו"ח בדעת רבנן, דהאבר היוצא של העובר אינו מטמא כיון שיש תקנה בחזרה, אבל האבר המדולדל של העובר הבהמה מטמא, כיון שאין לו תקנה בחזרה, וכתב </w:t>
      </w:r>
      <w:r w:rsidRPr="00190AE4">
        <w:rPr>
          <w:rStyle w:val="af9"/>
          <w:rFonts w:hint="cs"/>
          <w:rtl/>
        </w:rPr>
        <w:t>הרשב"א</w:t>
      </w:r>
      <w:r>
        <w:rPr>
          <w:rFonts w:hint="cs"/>
          <w:rtl/>
        </w:rPr>
        <w:t xml:space="preserve"> דבשלמא לדעת </w:t>
      </w:r>
      <w:r w:rsidRPr="00190AE4">
        <w:rPr>
          <w:rStyle w:val="af9"/>
          <w:rFonts w:hint="cs"/>
          <w:rtl/>
        </w:rPr>
        <w:t>רש"י</w:t>
      </w:r>
      <w:r>
        <w:rPr>
          <w:rFonts w:hint="cs"/>
          <w:rtl/>
        </w:rPr>
        <w:t xml:space="preserve"> </w:t>
      </w:r>
      <w:r w:rsidRPr="00190AE4">
        <w:rPr>
          <w:rStyle w:val="af7"/>
          <w:rFonts w:eastAsia="Guttman Hodes" w:hint="cs"/>
          <w:rtl/>
        </w:rPr>
        <w:t xml:space="preserve">(עי' אות </w:t>
      </w:r>
      <w:r w:rsidRPr="00190AE4">
        <w:rPr>
          <w:rStyle w:val="af7"/>
          <w:rFonts w:eastAsia="Guttman Hodes"/>
          <w:rtl/>
        </w:rPr>
        <w:fldChar w:fldCharType="begin"/>
      </w:r>
      <w:r w:rsidRPr="00190AE4">
        <w:rPr>
          <w:rStyle w:val="af7"/>
          <w:rFonts w:eastAsia="Guttman Hodes"/>
          <w:rtl/>
        </w:rPr>
        <w:instrText xml:space="preserve"> </w:instrText>
      </w:r>
      <w:r w:rsidRPr="00190AE4">
        <w:rPr>
          <w:rStyle w:val="af7"/>
          <w:rFonts w:eastAsia="Guttman Hodes" w:hint="cs"/>
        </w:rPr>
        <w:instrText>REF</w:instrText>
      </w:r>
      <w:r w:rsidRPr="00190AE4">
        <w:rPr>
          <w:rStyle w:val="af7"/>
          <w:rFonts w:eastAsia="Guttman Hodes" w:hint="cs"/>
          <w:rtl/>
        </w:rPr>
        <w:instrText xml:space="preserve"> _</w:instrText>
      </w:r>
      <w:r w:rsidRPr="00190AE4">
        <w:rPr>
          <w:rStyle w:val="af7"/>
          <w:rFonts w:eastAsia="Guttman Hodes" w:hint="cs"/>
        </w:rPr>
        <w:instrText>Ref535870325 \r \h</w:instrText>
      </w:r>
      <w:r w:rsidRPr="00190AE4">
        <w:rPr>
          <w:rStyle w:val="af7"/>
          <w:rFonts w:eastAsia="Guttman Hodes"/>
          <w:rtl/>
        </w:rPr>
        <w:instrText xml:space="preserve"> </w:instrText>
      </w:r>
      <w:r w:rsidRPr="00190AE4">
        <w:rPr>
          <w:rStyle w:val="af7"/>
          <w:rFonts w:eastAsia="Guttman Hodes"/>
          <w:rtl/>
        </w:rPr>
      </w:r>
      <w:r w:rsidRPr="00190AE4">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190AE4">
        <w:rPr>
          <w:rStyle w:val="af7"/>
          <w:rFonts w:eastAsia="Guttman Hodes"/>
          <w:rtl/>
        </w:rPr>
        <w:fldChar w:fldCharType="end"/>
      </w:r>
      <w:r>
        <w:rPr>
          <w:rFonts w:hint="cs"/>
          <w:rtl/>
        </w:rPr>
        <w:t xml:space="preserve"> מבואר דבין לל"ק ובין לל"ב, ס"ל לריו"ח יש תקנה לאבר היוצא בחזרה, אבל לדעת </w:t>
      </w:r>
      <w:r w:rsidRPr="00190AE4">
        <w:rPr>
          <w:rStyle w:val="af9"/>
          <w:rFonts w:hint="cs"/>
          <w:rtl/>
        </w:rPr>
        <w:t>ר"ח</w:t>
      </w:r>
      <w:r>
        <w:rPr>
          <w:rFonts w:hint="cs"/>
          <w:rtl/>
        </w:rPr>
        <w:t xml:space="preserve"> הקשה </w:t>
      </w:r>
      <w:r w:rsidRPr="00190AE4">
        <w:rPr>
          <w:rStyle w:val="af9"/>
          <w:rFonts w:hint="cs"/>
          <w:rtl/>
        </w:rPr>
        <w:t>הרשב"א</w:t>
      </w:r>
      <w:r>
        <w:rPr>
          <w:rFonts w:hint="cs"/>
          <w:rtl/>
        </w:rPr>
        <w:t xml:space="preserve"> דהרי ללישנא דמערבא מודה ריו"ח, דאין לאבר של העובר תקנה בחזרה.</w:t>
      </w:r>
    </w:p>
    <w:p w14:paraId="27FCA813" w14:textId="77777777" w:rsidR="003D504D" w:rsidRDefault="003D504D" w:rsidP="003D504D">
      <w:pPr>
        <w:pStyle w:val="a3"/>
        <w:rPr>
          <w:rtl/>
        </w:rPr>
      </w:pPr>
      <w:bookmarkStart w:id="17283" w:name="_Toc536305028"/>
      <w:bookmarkStart w:id="17284" w:name="_Toc536305109"/>
      <w:bookmarkStart w:id="17285" w:name="_Toc536459322"/>
      <w:bookmarkStart w:id="17286" w:name="_Toc536466278"/>
      <w:bookmarkStart w:id="17287" w:name="_Toc536540427"/>
      <w:bookmarkStart w:id="17288" w:name="_Toc536564235"/>
      <w:bookmarkStart w:id="17289" w:name="_Toc536564390"/>
      <w:bookmarkStart w:id="17290" w:name="_Toc536616924"/>
      <w:bookmarkStart w:id="17291" w:name="_Toc19391237"/>
      <w:bookmarkStart w:id="17292" w:name="_Toc19394734"/>
      <w:r>
        <w:rPr>
          <w:rFonts w:hint="cs"/>
          <w:rtl/>
        </w:rPr>
        <w:t>תירוץ תוס' דהחזרה מהני לטהר מנבילה ודחיית הרשב"א דלרבנן אף בלא החזיר השחיטה מטהרת</w:t>
      </w:r>
      <w:bookmarkEnd w:id="17283"/>
      <w:bookmarkEnd w:id="17284"/>
      <w:bookmarkEnd w:id="17285"/>
      <w:bookmarkEnd w:id="17286"/>
      <w:bookmarkEnd w:id="17287"/>
      <w:bookmarkEnd w:id="17288"/>
      <w:bookmarkEnd w:id="17289"/>
      <w:bookmarkEnd w:id="17290"/>
      <w:bookmarkEnd w:id="17291"/>
      <w:bookmarkEnd w:id="17292"/>
    </w:p>
    <w:p w14:paraId="22C89FFE" w14:textId="77777777" w:rsidR="003D504D" w:rsidRDefault="003D504D" w:rsidP="00223668">
      <w:pPr>
        <w:pStyle w:val="a0"/>
        <w:rPr>
          <w:rtl/>
        </w:rPr>
      </w:pPr>
      <w:r>
        <w:rPr>
          <w:rFonts w:hint="cs"/>
          <w:rtl/>
        </w:rPr>
        <w:t xml:space="preserve">והביא </w:t>
      </w:r>
      <w:r w:rsidRPr="002E44A6">
        <w:rPr>
          <w:rStyle w:val="af9"/>
          <w:rFonts w:hint="cs"/>
          <w:rtl/>
        </w:rPr>
        <w:t>הרשב"א</w:t>
      </w:r>
      <w:r w:rsidRPr="00010E9C">
        <w:rPr>
          <w:rStyle w:val="af9"/>
          <w:rFonts w:hint="cs"/>
          <w:rtl/>
        </w:rPr>
        <w:t xml:space="preserve"> </w:t>
      </w:r>
      <w:r>
        <w:rPr>
          <w:rStyle w:val="af9"/>
          <w:rFonts w:hint="cs"/>
          <w:rtl/>
        </w:rPr>
        <w:t>בחי'</w:t>
      </w:r>
      <w:r>
        <w:rPr>
          <w:rFonts w:hint="cs"/>
          <w:rtl/>
        </w:rPr>
        <w:t xml:space="preserve"> </w:t>
      </w:r>
      <w:r>
        <w:rPr>
          <w:rStyle w:val="af7"/>
          <w:rFonts w:eastAsiaTheme="minorHAnsi" w:hint="cs"/>
          <w:rtl/>
        </w:rPr>
        <w:t>(ד"ה בפומבדיתא)</w:t>
      </w:r>
      <w:r>
        <w:rPr>
          <w:rtl/>
        </w:rPr>
        <w:t xml:space="preserve"> </w:t>
      </w:r>
      <w:r>
        <w:rPr>
          <w:rFonts w:hint="cs"/>
          <w:rtl/>
        </w:rPr>
        <w:t xml:space="preserve">בשם </w:t>
      </w:r>
      <w:r w:rsidRPr="002E44A6">
        <w:rPr>
          <w:rStyle w:val="af9"/>
          <w:rFonts w:hint="cs"/>
          <w:rtl/>
        </w:rPr>
        <w:t>תוס'</w:t>
      </w:r>
      <w:r>
        <w:rPr>
          <w:rFonts w:hint="cs"/>
          <w:rtl/>
        </w:rPr>
        <w:t xml:space="preserve"> דתירצו דאף דללישנא דמערבא לא מהני החזרה להתיר את האבר באכילה, מ"מ מהני החזרה לטהרו מידי נבילה, אך דחה </w:t>
      </w:r>
      <w:r w:rsidRPr="00735417">
        <w:rPr>
          <w:rStyle w:val="af9"/>
          <w:rFonts w:hint="cs"/>
          <w:rtl/>
        </w:rPr>
        <w:t>הרשב"א</w:t>
      </w:r>
      <w:r>
        <w:rPr>
          <w:rFonts w:hint="cs"/>
          <w:rtl/>
        </w:rPr>
        <w:t xml:space="preserve"> דהרי כל דברי הגמ' לקמן הם לדעת רבנן, ולרבנן השחיטה מטהרת מידי נבילה אף אם לא החזיר את האבר, כדאיתא במתני' </w:t>
      </w:r>
      <w:r w:rsidRPr="00B4517C">
        <w:rPr>
          <w:rFonts w:hint="cs"/>
          <w:rtl/>
        </w:rPr>
        <w:t xml:space="preserve">לקמן </w:t>
      </w:r>
      <w:r w:rsidRPr="002E44A6">
        <w:rPr>
          <w:rStyle w:val="af7"/>
          <w:rFonts w:eastAsia="Guttman Hodes" w:hint="cs"/>
          <w:rtl/>
        </w:rPr>
        <w:t>(עב.)</w:t>
      </w:r>
      <w:r>
        <w:rPr>
          <w:rFonts w:hint="cs"/>
          <w:rtl/>
        </w:rPr>
        <w:t xml:space="preserve">, ועי' </w:t>
      </w:r>
      <w:r w:rsidRPr="00885939">
        <w:rPr>
          <w:rStyle w:val="af9"/>
          <w:rFonts w:hint="cs"/>
          <w:rtl/>
        </w:rPr>
        <w:t>בתפארת יעקב</w:t>
      </w:r>
      <w:r>
        <w:rPr>
          <w:rFonts w:hint="cs"/>
          <w:rtl/>
        </w:rPr>
        <w:t xml:space="preserve"> </w:t>
      </w:r>
      <w:r w:rsidRPr="00885939">
        <w:rPr>
          <w:rStyle w:val="af7"/>
          <w:rFonts w:eastAsia="Guttman Hodes" w:hint="cs"/>
          <w:rtl/>
        </w:rPr>
        <w:t>(ד"ה ואני תמה)</w:t>
      </w:r>
      <w:r>
        <w:rPr>
          <w:rFonts w:hint="cs"/>
          <w:rtl/>
        </w:rPr>
        <w:t xml:space="preserve"> במה שישב את דברי הרשב"א בשם </w:t>
      </w:r>
      <w:r w:rsidRPr="00885939">
        <w:rPr>
          <w:rStyle w:val="af9"/>
          <w:rFonts w:hint="cs"/>
          <w:rtl/>
        </w:rPr>
        <w:t>תוס'</w:t>
      </w:r>
      <w:r>
        <w:rPr>
          <w:rFonts w:hint="cs"/>
          <w:rtl/>
        </w:rPr>
        <w:t>.</w:t>
      </w:r>
    </w:p>
    <w:p w14:paraId="05AEAADE" w14:textId="77777777" w:rsidR="003D504D" w:rsidRPr="00735417" w:rsidRDefault="003D504D" w:rsidP="003D504D">
      <w:pPr>
        <w:pStyle w:val="a3"/>
      </w:pPr>
      <w:bookmarkStart w:id="17293" w:name="_Toc536305029"/>
      <w:bookmarkStart w:id="17294" w:name="_Toc536305110"/>
      <w:bookmarkStart w:id="17295" w:name="_Toc536459323"/>
      <w:bookmarkStart w:id="17296" w:name="_Toc536466279"/>
      <w:bookmarkStart w:id="17297" w:name="_Toc536540428"/>
      <w:bookmarkStart w:id="17298" w:name="_Toc536564236"/>
      <w:bookmarkStart w:id="17299" w:name="_Toc536564391"/>
      <w:bookmarkStart w:id="17300" w:name="_Toc536616925"/>
      <w:bookmarkStart w:id="17301" w:name="_Toc19391238"/>
      <w:bookmarkStart w:id="17302" w:name="_Toc19394735"/>
      <w:r>
        <w:rPr>
          <w:rFonts w:hint="cs"/>
          <w:rtl/>
        </w:rPr>
        <w:t>תירוץ הרשב"א דחזרה מטהרת מטומאת טריפה לקדשים ודחיית הרשב"א דהוא טומאה דרבנן</w:t>
      </w:r>
      <w:bookmarkEnd w:id="17293"/>
      <w:bookmarkEnd w:id="17294"/>
      <w:bookmarkEnd w:id="17295"/>
      <w:bookmarkEnd w:id="17296"/>
      <w:bookmarkEnd w:id="17297"/>
      <w:bookmarkEnd w:id="17298"/>
      <w:bookmarkEnd w:id="17299"/>
      <w:bookmarkEnd w:id="17300"/>
      <w:bookmarkEnd w:id="17301"/>
      <w:bookmarkEnd w:id="17302"/>
    </w:p>
    <w:p w14:paraId="18DDC717" w14:textId="77777777" w:rsidR="003D504D" w:rsidRDefault="003D504D" w:rsidP="00223668">
      <w:pPr>
        <w:pStyle w:val="a0"/>
        <w:rPr>
          <w:rtl/>
        </w:rPr>
      </w:pPr>
      <w:r w:rsidRPr="00B4517C">
        <w:rPr>
          <w:rFonts w:hint="cs"/>
          <w:rtl/>
        </w:rPr>
        <w:t xml:space="preserve"> וכתב </w:t>
      </w:r>
      <w:r w:rsidRPr="002E44A6">
        <w:rPr>
          <w:rStyle w:val="af9"/>
          <w:rFonts w:hint="cs"/>
          <w:rtl/>
        </w:rPr>
        <w:t>הרשב"א</w:t>
      </w:r>
      <w:r w:rsidRPr="00173886">
        <w:rPr>
          <w:rStyle w:val="af9"/>
          <w:rFonts w:hint="cs"/>
          <w:rtl/>
        </w:rPr>
        <w:t xml:space="preserve"> </w:t>
      </w:r>
      <w:r>
        <w:rPr>
          <w:rStyle w:val="af9"/>
          <w:rFonts w:hint="cs"/>
          <w:rtl/>
        </w:rPr>
        <w:t>בחי'</w:t>
      </w:r>
      <w:r w:rsidRPr="00B4517C">
        <w:rPr>
          <w:rFonts w:hint="cs"/>
          <w:rtl/>
        </w:rPr>
        <w:t xml:space="preserve"> דאפש</w:t>
      </w:r>
      <w:r>
        <w:rPr>
          <w:rFonts w:hint="cs"/>
          <w:rtl/>
        </w:rPr>
        <w:t>ר לתרץ בדוחק</w:t>
      </w:r>
      <w:r w:rsidRPr="00B4517C">
        <w:rPr>
          <w:rFonts w:hint="cs"/>
          <w:rtl/>
        </w:rPr>
        <w:t xml:space="preserve"> ולומר דחזרת האבר מטהרתו מטומאת טריפה שחוטה דמטמאת במוקדשים, אך דחה </w:t>
      </w:r>
      <w:r w:rsidRPr="002E44A6">
        <w:rPr>
          <w:rStyle w:val="af9"/>
          <w:rFonts w:hint="cs"/>
          <w:rtl/>
        </w:rPr>
        <w:t>הרשב"א</w:t>
      </w:r>
      <w:r w:rsidRPr="00173886">
        <w:rPr>
          <w:rStyle w:val="af9"/>
          <w:rFonts w:hint="cs"/>
          <w:rtl/>
        </w:rPr>
        <w:t xml:space="preserve"> </w:t>
      </w:r>
      <w:r>
        <w:rPr>
          <w:rStyle w:val="af9"/>
          <w:rFonts w:hint="cs"/>
          <w:rtl/>
        </w:rPr>
        <w:t>בחי'</w:t>
      </w:r>
      <w:r w:rsidRPr="00B4517C">
        <w:rPr>
          <w:rFonts w:hint="cs"/>
          <w:rtl/>
        </w:rPr>
        <w:t xml:space="preserve"> דמדינא </w:t>
      </w:r>
      <w:r>
        <w:rPr>
          <w:rFonts w:hint="cs"/>
          <w:rtl/>
        </w:rPr>
        <w:t>האבר טהור לרבנן אף אם לא החזירו גם מטומאת טריפה שחוטה, ורק מחמת חיבת החקודש החמירו רבנן שמטמא בטירפה שחוטה, וא"א לומר דעיקר הטעם שאין שחיטה עושה ניפול הוא כיון שחזרתו מטהרתו, דהרי מדינא אין כל נ"מ אם החזיר את האבר או לא החזירו לענין טומאה.</w:t>
      </w:r>
    </w:p>
    <w:p w14:paraId="0F2B78ED" w14:textId="77777777" w:rsidR="003D504D" w:rsidRDefault="003D504D" w:rsidP="003D504D">
      <w:pPr>
        <w:pStyle w:val="a3"/>
        <w:rPr>
          <w:rtl/>
        </w:rPr>
      </w:pPr>
      <w:bookmarkStart w:id="17303" w:name="_Toc536305030"/>
      <w:bookmarkStart w:id="17304" w:name="_Toc536305111"/>
      <w:bookmarkStart w:id="17305" w:name="_Toc536459324"/>
      <w:bookmarkStart w:id="17306" w:name="_Toc536466280"/>
      <w:bookmarkStart w:id="17307" w:name="_Toc536540429"/>
      <w:bookmarkStart w:id="17308" w:name="_Toc536564237"/>
      <w:bookmarkStart w:id="17309" w:name="_Toc536564392"/>
      <w:bookmarkStart w:id="17310" w:name="_Toc536616926"/>
      <w:bookmarkStart w:id="17311" w:name="_Toc19391239"/>
      <w:bookmarkStart w:id="17312" w:name="_Toc19394736"/>
      <w:r>
        <w:rPr>
          <w:rFonts w:hint="cs"/>
          <w:rtl/>
        </w:rPr>
        <w:t>תירוץ הרא"ש והר"ן דהגמ' לקמן סברה כל"ק דריו"ח מתיר את האבר עצמו כשחזר</w:t>
      </w:r>
      <w:bookmarkEnd w:id="17303"/>
      <w:bookmarkEnd w:id="17304"/>
      <w:bookmarkEnd w:id="17305"/>
      <w:bookmarkEnd w:id="17306"/>
      <w:bookmarkEnd w:id="17307"/>
      <w:bookmarkEnd w:id="17308"/>
      <w:bookmarkEnd w:id="17309"/>
      <w:bookmarkEnd w:id="17310"/>
      <w:bookmarkEnd w:id="17311"/>
      <w:bookmarkEnd w:id="17312"/>
    </w:p>
    <w:p w14:paraId="11CADF16" w14:textId="77777777" w:rsidR="003D504D" w:rsidRDefault="003D504D" w:rsidP="00223668">
      <w:pPr>
        <w:pStyle w:val="a0"/>
        <w:rPr>
          <w:rtl/>
        </w:rPr>
      </w:pPr>
      <w:r w:rsidRPr="003D4C6B">
        <w:rPr>
          <w:rStyle w:val="af9"/>
          <w:rFonts w:hint="cs"/>
          <w:rtl/>
        </w:rPr>
        <w:t>והר"ן בחי'</w:t>
      </w:r>
      <w:r>
        <w:rPr>
          <w:rFonts w:hint="cs"/>
          <w:rtl/>
        </w:rPr>
        <w:t xml:space="preserve"> </w:t>
      </w:r>
      <w:r w:rsidRPr="003D4C6B">
        <w:rPr>
          <w:rStyle w:val="af7"/>
          <w:rFonts w:eastAsia="Guttman Hodes" w:hint="cs"/>
          <w:rtl/>
        </w:rPr>
        <w:t>(סוד"ה מאי)</w:t>
      </w:r>
      <w:r>
        <w:rPr>
          <w:rFonts w:hint="cs"/>
          <w:rtl/>
        </w:rPr>
        <w:t xml:space="preserve"> [בשם </w:t>
      </w:r>
      <w:r w:rsidRPr="003D4C6B">
        <w:rPr>
          <w:rStyle w:val="af9"/>
          <w:rFonts w:hint="cs"/>
          <w:rtl/>
        </w:rPr>
        <w:t>הרשב"א</w:t>
      </w:r>
      <w:r>
        <w:rPr>
          <w:rFonts w:hint="cs"/>
          <w:rtl/>
        </w:rPr>
        <w:t xml:space="preserve">] </w:t>
      </w:r>
      <w:r w:rsidRPr="001173E5">
        <w:rPr>
          <w:rStyle w:val="af9"/>
          <w:rFonts w:hint="cs"/>
          <w:rtl/>
        </w:rPr>
        <w:t>והרא"ש</w:t>
      </w:r>
      <w:r>
        <w:rPr>
          <w:rFonts w:hint="cs"/>
          <w:rtl/>
        </w:rPr>
        <w:t xml:space="preserve"> </w:t>
      </w:r>
      <w:r w:rsidRPr="001173E5">
        <w:rPr>
          <w:rStyle w:val="af7"/>
          <w:rFonts w:eastAsia="Guttman Hodes" w:hint="cs"/>
          <w:rtl/>
        </w:rPr>
        <w:t>(סי' ד')</w:t>
      </w:r>
      <w:r>
        <w:rPr>
          <w:rStyle w:val="af9"/>
          <w:rFonts w:hint="cs"/>
          <w:rtl/>
        </w:rPr>
        <w:t xml:space="preserve"> </w:t>
      </w:r>
      <w:r>
        <w:rPr>
          <w:rFonts w:hint="cs"/>
          <w:rtl/>
        </w:rPr>
        <w:t xml:space="preserve">תירצו דדברי הגמ' לקמן </w:t>
      </w:r>
      <w:r w:rsidRPr="00190AE4">
        <w:rPr>
          <w:rStyle w:val="af7"/>
          <w:rFonts w:eastAsia="Guttman Hodes" w:hint="cs"/>
          <w:rtl/>
        </w:rPr>
        <w:t>(עג.)</w:t>
      </w:r>
      <w:r>
        <w:rPr>
          <w:rFonts w:hint="cs"/>
          <w:rtl/>
        </w:rPr>
        <w:t xml:space="preserve"> הם אליבא דל"ק דס"ל לריו"ח דאף האבר עצמו שיצא מותר בחזרה, ואף דלל"ק ריו"ח איתותב, מ"מ גם סברת הגמ' לקמן בביאור דברי רבנן נדחית, ולא קיי"ל כסברא זו, ולכן לא מקשה הגמ' לקמן דלל"ק ריו"ח איתותב, וע"ע במה שתירץ </w:t>
      </w:r>
      <w:r w:rsidRPr="00AF6931">
        <w:rPr>
          <w:rStyle w:val="af9"/>
          <w:rFonts w:hint="cs"/>
          <w:rtl/>
        </w:rPr>
        <w:t>הבכור שור</w:t>
      </w:r>
      <w:r>
        <w:rPr>
          <w:rFonts w:hint="cs"/>
          <w:rtl/>
        </w:rPr>
        <w:t xml:space="preserve"> </w:t>
      </w:r>
      <w:r w:rsidRPr="00AF6931">
        <w:rPr>
          <w:rStyle w:val="af7"/>
          <w:rFonts w:eastAsia="Guttman Hodes" w:hint="cs"/>
          <w:rtl/>
        </w:rPr>
        <w:t>(ד"ה במערבא, נד' בסוף התבו"ש)</w:t>
      </w:r>
      <w:r>
        <w:rPr>
          <w:rFonts w:hint="cs"/>
          <w:rtl/>
        </w:rPr>
        <w:t>.</w:t>
      </w:r>
    </w:p>
    <w:p w14:paraId="2EDD114E" w14:textId="77777777" w:rsidR="003D504D" w:rsidRPr="000740E2" w:rsidRDefault="003D504D" w:rsidP="00BF39B2">
      <w:pPr>
        <w:pStyle w:val="1"/>
        <w:rPr>
          <w:rtl/>
        </w:rPr>
      </w:pPr>
      <w:bookmarkStart w:id="17313" w:name="_Toc536459325"/>
      <w:bookmarkStart w:id="17314" w:name="_Toc536466281"/>
      <w:bookmarkStart w:id="17315" w:name="_Toc536540430"/>
      <w:bookmarkStart w:id="17316" w:name="_Toc536564238"/>
      <w:bookmarkStart w:id="17317" w:name="_Toc536564393"/>
      <w:bookmarkStart w:id="17318" w:name="_Toc536616927"/>
      <w:bookmarkStart w:id="17319" w:name="_Toc19391240"/>
      <w:bookmarkStart w:id="17320" w:name="_Toc19394737"/>
      <w:r w:rsidRPr="000740E2">
        <w:rPr>
          <w:rFonts w:hint="cs"/>
          <w:rtl/>
        </w:rPr>
        <w:t>בגדר האיסור באבר היוצא למ"ד יש לידה לאברים</w:t>
      </w:r>
      <w:bookmarkEnd w:id="17313"/>
      <w:bookmarkEnd w:id="17314"/>
      <w:bookmarkEnd w:id="17315"/>
      <w:bookmarkEnd w:id="17316"/>
      <w:bookmarkEnd w:id="17317"/>
      <w:bookmarkEnd w:id="17318"/>
      <w:bookmarkEnd w:id="17319"/>
      <w:bookmarkEnd w:id="17320"/>
    </w:p>
    <w:p w14:paraId="71EDADA8" w14:textId="77777777" w:rsidR="003D504D" w:rsidRPr="008D2CB3" w:rsidRDefault="003D504D" w:rsidP="003D504D">
      <w:pPr>
        <w:pStyle w:val="a3"/>
        <w:rPr>
          <w:rtl/>
        </w:rPr>
      </w:pPr>
      <w:bookmarkStart w:id="17321" w:name="_Toc536459326"/>
      <w:bookmarkStart w:id="17322" w:name="_Toc536466282"/>
      <w:bookmarkStart w:id="17323" w:name="_Toc536540431"/>
      <w:bookmarkStart w:id="17324" w:name="_Toc536564239"/>
      <w:bookmarkStart w:id="17325" w:name="_Toc536564394"/>
      <w:bookmarkStart w:id="17326" w:name="_Toc536616928"/>
      <w:bookmarkStart w:id="17327" w:name="_Toc19391241"/>
      <w:bookmarkStart w:id="17328" w:name="_Toc19394738"/>
      <w:r w:rsidRPr="008D2CB3">
        <w:rPr>
          <w:rFonts w:hint="cs"/>
          <w:rtl/>
        </w:rPr>
        <w:t>דברי הצל"ח דאפש"ל דלמ"ד דיש לידה לאברים האיסור באבר הוא מדין נולד ולא מדין יוצא</w:t>
      </w:r>
      <w:bookmarkEnd w:id="17321"/>
      <w:bookmarkEnd w:id="17322"/>
      <w:bookmarkEnd w:id="17323"/>
      <w:bookmarkEnd w:id="17324"/>
      <w:bookmarkEnd w:id="17325"/>
      <w:bookmarkEnd w:id="17326"/>
      <w:bookmarkEnd w:id="17327"/>
      <w:bookmarkEnd w:id="17328"/>
    </w:p>
    <w:p w14:paraId="462BFB72" w14:textId="77777777" w:rsidR="003D504D" w:rsidRDefault="003D504D" w:rsidP="00223668">
      <w:pPr>
        <w:pStyle w:val="a0"/>
        <w:rPr>
          <w:rtl/>
        </w:rPr>
      </w:pPr>
      <w:r w:rsidRPr="008D2CB3">
        <w:rPr>
          <w:rFonts w:hint="cs"/>
          <w:rtl/>
        </w:rPr>
        <w:t xml:space="preserve">כתב </w:t>
      </w:r>
      <w:r w:rsidRPr="008D2CB3">
        <w:rPr>
          <w:rStyle w:val="af9"/>
          <w:rFonts w:hint="cs"/>
          <w:rtl/>
        </w:rPr>
        <w:t xml:space="preserve">הצל"ח </w:t>
      </w:r>
      <w:r w:rsidRPr="008D2CB3">
        <w:rPr>
          <w:rStyle w:val="af7"/>
          <w:rFonts w:eastAsia="Guttman Hodes" w:hint="cs"/>
          <w:rtl/>
        </w:rPr>
        <w:t>(ד"ה איבעיא)</w:t>
      </w:r>
      <w:r w:rsidRPr="008D2CB3">
        <w:rPr>
          <w:rFonts w:hint="cs"/>
          <w:rtl/>
        </w:rPr>
        <w:t xml:space="preserve"> </w:t>
      </w:r>
      <w:r>
        <w:rPr>
          <w:rFonts w:hint="cs"/>
          <w:rtl/>
        </w:rPr>
        <w:t xml:space="preserve">דללישנא דמערבא דרב אסר באבר היוצא מדין יש לידה לאברים, א"כ אפש"ל שיש קולא ללישנא בתרא וחומרא לל"ק, דכיון דלל"ב אין האיסור לרב מדין "בשר בשדה טריפה", אלא מדין נולד, א"כ אין האבר דומיא דטריפה שאין לה תקנה, ולכן אם יצא רק מיעוט אבר דאינו כילוד, יתכן דאף רב מודה דבהחזירו מותר, והוסיף </w:t>
      </w:r>
      <w:r w:rsidRPr="00A75FD3">
        <w:rPr>
          <w:rStyle w:val="af9"/>
          <w:rFonts w:hint="cs"/>
          <w:rtl/>
        </w:rPr>
        <w:t>הצל"ח</w:t>
      </w:r>
      <w:r>
        <w:rPr>
          <w:rFonts w:hint="cs"/>
          <w:rtl/>
        </w:rPr>
        <w:t xml:space="preserve"> דאף דריו"ח שהיתר בחזרת אבר איתותב מברייתא, מ"מ אפש"ל דהתיובתא היא רק לל"ק, ולא לל"ב, עי' בדבריו.</w:t>
      </w:r>
    </w:p>
    <w:p w14:paraId="205A102B" w14:textId="77777777" w:rsidR="003D504D" w:rsidRDefault="003D504D" w:rsidP="003D504D">
      <w:pPr>
        <w:pStyle w:val="a3"/>
        <w:rPr>
          <w:rtl/>
        </w:rPr>
      </w:pPr>
      <w:bookmarkStart w:id="17329" w:name="_Toc536459327"/>
      <w:bookmarkStart w:id="17330" w:name="_Toc536466283"/>
      <w:bookmarkStart w:id="17331" w:name="_Toc536540432"/>
      <w:bookmarkStart w:id="17332" w:name="_Toc536564240"/>
      <w:bookmarkStart w:id="17333" w:name="_Toc536564395"/>
      <w:bookmarkStart w:id="17334" w:name="_Toc536616929"/>
      <w:bookmarkStart w:id="17335" w:name="_Toc19391242"/>
      <w:bookmarkStart w:id="17336" w:name="_Toc19394739"/>
      <w:r>
        <w:rPr>
          <w:rFonts w:hint="cs"/>
          <w:rtl/>
        </w:rPr>
        <w:t>מסקנת הצל"ח דאף לל"ב אין להתיר במיעוט אבר שיצא וחזר</w:t>
      </w:r>
      <w:bookmarkEnd w:id="17329"/>
      <w:bookmarkEnd w:id="17330"/>
      <w:bookmarkEnd w:id="17331"/>
      <w:bookmarkEnd w:id="17332"/>
      <w:bookmarkEnd w:id="17333"/>
      <w:bookmarkEnd w:id="17334"/>
      <w:bookmarkEnd w:id="17335"/>
      <w:bookmarkEnd w:id="17336"/>
    </w:p>
    <w:p w14:paraId="3A2B0D99" w14:textId="77777777" w:rsidR="003D504D" w:rsidRPr="007F684E" w:rsidRDefault="003D504D" w:rsidP="00223668">
      <w:pPr>
        <w:pStyle w:val="a0"/>
        <w:rPr>
          <w:rtl/>
        </w:rPr>
      </w:pPr>
      <w:r w:rsidRPr="007F6EF8">
        <w:rPr>
          <w:rFonts w:hint="cs"/>
          <w:rtl/>
        </w:rPr>
        <w:t xml:space="preserve">אמנם בהמשך דבריו חזר בו </w:t>
      </w:r>
      <w:r w:rsidRPr="005E1EC1">
        <w:rPr>
          <w:rStyle w:val="af9"/>
          <w:rFonts w:hint="cs"/>
          <w:rtl/>
        </w:rPr>
        <w:t xml:space="preserve">הצל"ח </w:t>
      </w:r>
      <w:r w:rsidRPr="005E1EC1">
        <w:rPr>
          <w:rStyle w:val="af7"/>
          <w:rFonts w:eastAsia="Guttman Hodes" w:hint="cs"/>
          <w:rtl/>
        </w:rPr>
        <w:t>(ד"ה עוד נלע"ד)</w:t>
      </w:r>
      <w:r>
        <w:rPr>
          <w:rFonts w:hint="cs"/>
          <w:rtl/>
        </w:rPr>
        <w:t xml:space="preserve"> </w:t>
      </w:r>
      <w:r w:rsidRPr="007F6EF8">
        <w:rPr>
          <w:rFonts w:hint="cs"/>
          <w:rtl/>
        </w:rPr>
        <w:t>וכתב</w:t>
      </w:r>
      <w:r>
        <w:rPr>
          <w:rFonts w:hint="cs"/>
          <w:rtl/>
        </w:rPr>
        <w:t xml:space="preserve"> דאף לדעת רב ללישנא דמערבא כיון שחזרה לא מהני להתיר את האבר, א"כ מסברא לא מהני חזרה להתיר אף ביצא מיעוט אבר, ואין כל קולא ללישנא דמערבא, והיא באה להחמיר ולא להקל, עיי"ש בדבריו.</w:t>
      </w:r>
    </w:p>
    <w:p w14:paraId="20B58777" w14:textId="77777777" w:rsidR="003D504D" w:rsidRPr="00484EAE" w:rsidRDefault="003D504D" w:rsidP="003D504D">
      <w:pPr>
        <w:pStyle w:val="a3"/>
        <w:rPr>
          <w:rtl/>
        </w:rPr>
      </w:pPr>
      <w:bookmarkStart w:id="17337" w:name="_Toc536459328"/>
      <w:bookmarkStart w:id="17338" w:name="_Toc536466284"/>
      <w:bookmarkStart w:id="17339" w:name="_Toc536540433"/>
      <w:bookmarkStart w:id="17340" w:name="_Toc536564241"/>
      <w:bookmarkStart w:id="17341" w:name="_Toc536564396"/>
      <w:bookmarkStart w:id="17342" w:name="_Toc536616930"/>
      <w:bookmarkStart w:id="17343" w:name="_Toc19391243"/>
      <w:bookmarkStart w:id="17344" w:name="_Toc19394740"/>
      <w:r>
        <w:rPr>
          <w:rFonts w:hint="cs"/>
          <w:rtl/>
        </w:rPr>
        <w:t>דברי רש"י והרמב"ן והרשב"א לקמן דאף למ"ד דיש לידה לאברים האיסור הוא מדין יוצא</w:t>
      </w:r>
      <w:bookmarkEnd w:id="17337"/>
      <w:bookmarkEnd w:id="17338"/>
      <w:bookmarkEnd w:id="17339"/>
      <w:bookmarkEnd w:id="17340"/>
      <w:bookmarkEnd w:id="17341"/>
      <w:bookmarkEnd w:id="17342"/>
      <w:bookmarkEnd w:id="17343"/>
      <w:bookmarkEnd w:id="17344"/>
    </w:p>
    <w:p w14:paraId="6F1AB4BF" w14:textId="77777777" w:rsidR="003D504D" w:rsidRDefault="003D504D" w:rsidP="00223668">
      <w:pPr>
        <w:pStyle w:val="a0"/>
        <w:rPr>
          <w:rtl/>
        </w:rPr>
      </w:pPr>
      <w:r>
        <w:rPr>
          <w:rFonts w:hint="cs"/>
          <w:rtl/>
        </w:rPr>
        <w:t>ויעוי'</w:t>
      </w:r>
      <w:r w:rsidRPr="00B01BBD">
        <w:rPr>
          <w:rFonts w:hint="cs"/>
          <w:rtl/>
        </w:rPr>
        <w:t xml:space="preserve"> </w:t>
      </w:r>
      <w:r w:rsidRPr="00B01BBD">
        <w:rPr>
          <w:rStyle w:val="af9"/>
          <w:rFonts w:hint="cs"/>
          <w:rtl/>
        </w:rPr>
        <w:t>ברש"י לקמן</w:t>
      </w:r>
      <w:r w:rsidRPr="00B01BBD">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Ref536436707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פג)</w:t>
      </w:r>
      <w:r>
        <w:rPr>
          <w:rStyle w:val="af7"/>
          <w:rFonts w:eastAsia="Guttman Hodes"/>
          <w:rtl/>
        </w:rPr>
        <w:fldChar w:fldCharType="end"/>
      </w:r>
      <w:r>
        <w:rPr>
          <w:rStyle w:val="af7"/>
          <w:rFonts w:eastAsia="Guttman Hodes" w:hint="cs"/>
          <w:rtl/>
        </w:rPr>
        <w:t xml:space="preserve"> </w:t>
      </w:r>
      <w:r>
        <w:rPr>
          <w:rFonts w:hint="cs"/>
          <w:rtl/>
        </w:rPr>
        <w:t>ד</w:t>
      </w:r>
      <w:r w:rsidRPr="00B01BBD">
        <w:rPr>
          <w:rFonts w:hint="cs"/>
          <w:rtl/>
        </w:rPr>
        <w:t>כתב דלמ"ד יש לידה לאברים</w:t>
      </w:r>
      <w:r>
        <w:rPr>
          <w:rFonts w:hint="cs"/>
          <w:rtl/>
        </w:rPr>
        <w:t>,</w:t>
      </w:r>
      <w:r w:rsidRPr="00B01BBD">
        <w:rPr>
          <w:rFonts w:hint="cs"/>
          <w:rtl/>
        </w:rPr>
        <w:t xml:space="preserve"> האיסור </w:t>
      </w:r>
      <w:r>
        <w:rPr>
          <w:rFonts w:hint="cs"/>
          <w:rtl/>
        </w:rPr>
        <w:t xml:space="preserve">באבר היוצא </w:t>
      </w:r>
      <w:r w:rsidRPr="00B01BBD">
        <w:rPr>
          <w:rFonts w:hint="cs"/>
          <w:rtl/>
        </w:rPr>
        <w:t>הוא מדין "בשר בשדה טריפה"</w:t>
      </w:r>
      <w:r>
        <w:rPr>
          <w:rFonts w:hint="cs"/>
          <w:rtl/>
        </w:rPr>
        <w:t xml:space="preserve">, </w:t>
      </w:r>
      <w:r w:rsidRPr="00F70EF8">
        <w:rPr>
          <w:rStyle w:val="afb"/>
          <w:rFonts w:hint="cs"/>
          <w:rtl/>
        </w:rPr>
        <w:t>[כ</w:t>
      </w:r>
      <w:r w:rsidRPr="004A15CF">
        <w:rPr>
          <w:rStyle w:val="afb"/>
          <w:rFonts w:hint="cs"/>
          <w:rtl/>
        </w:rPr>
        <w:t xml:space="preserve">ן מבואר בדברי </w:t>
      </w:r>
      <w:r w:rsidRPr="004A15CF">
        <w:rPr>
          <w:rStyle w:val="affa"/>
          <w:rFonts w:hint="cs"/>
          <w:rtl/>
        </w:rPr>
        <w:t>הרש"ש</w:t>
      </w:r>
      <w:r w:rsidRPr="004A15CF">
        <w:rPr>
          <w:rStyle w:val="afb"/>
          <w:rFonts w:hint="cs"/>
          <w:rtl/>
        </w:rPr>
        <w:t xml:space="preserve"> </w:t>
      </w:r>
      <w:r w:rsidRPr="00F70EF8">
        <w:rPr>
          <w:rStyle w:val="aff6"/>
          <w:rFonts w:hint="cs"/>
          <w:rtl/>
        </w:rPr>
        <w:t xml:space="preserve">(עי' אות </w:t>
      </w:r>
      <w:r w:rsidRPr="00F70EF8">
        <w:rPr>
          <w:rStyle w:val="aff6"/>
          <w:rtl/>
        </w:rPr>
        <w:fldChar w:fldCharType="begin"/>
      </w:r>
      <w:r w:rsidRPr="00F70EF8">
        <w:rPr>
          <w:rStyle w:val="aff6"/>
          <w:rtl/>
        </w:rPr>
        <w:instrText xml:space="preserve"> </w:instrText>
      </w:r>
      <w:r w:rsidRPr="00F70EF8">
        <w:rPr>
          <w:rStyle w:val="aff6"/>
          <w:rFonts w:hint="cs"/>
        </w:rPr>
        <w:instrText>REF</w:instrText>
      </w:r>
      <w:r w:rsidRPr="00F70EF8">
        <w:rPr>
          <w:rStyle w:val="aff6"/>
          <w:rFonts w:hint="cs"/>
          <w:rtl/>
        </w:rPr>
        <w:instrText xml:space="preserve"> _</w:instrText>
      </w:r>
      <w:r w:rsidRPr="00F70EF8">
        <w:rPr>
          <w:rStyle w:val="aff6"/>
          <w:rFonts w:hint="cs"/>
        </w:rPr>
        <w:instrText>Ref536466077 \r \h</w:instrText>
      </w:r>
      <w:r w:rsidRPr="00F70EF8">
        <w:rPr>
          <w:rStyle w:val="aff6"/>
          <w:rtl/>
        </w:rPr>
        <w:instrText xml:space="preserve"> </w:instrText>
      </w:r>
      <w:r w:rsidRPr="00F70EF8">
        <w:rPr>
          <w:rStyle w:val="aff6"/>
          <w:rtl/>
        </w:rPr>
      </w:r>
      <w:r w:rsidRPr="00F70EF8">
        <w:rPr>
          <w:rStyle w:val="aff6"/>
          <w:rtl/>
        </w:rPr>
        <w:fldChar w:fldCharType="separate"/>
      </w:r>
      <w:r w:rsidR="00345400">
        <w:rPr>
          <w:rStyle w:val="aff6"/>
          <w:cs/>
        </w:rPr>
        <w:t>‎</w:t>
      </w:r>
      <w:r w:rsidR="00345400">
        <w:rPr>
          <w:rStyle w:val="aff6"/>
          <w:rtl/>
        </w:rPr>
        <w:t>צז)</w:t>
      </w:r>
      <w:r w:rsidRPr="00F70EF8">
        <w:rPr>
          <w:rStyle w:val="aff6"/>
          <w:rtl/>
        </w:rPr>
        <w:fldChar w:fldCharType="end"/>
      </w:r>
      <w:r w:rsidRPr="004A15CF">
        <w:rPr>
          <w:rStyle w:val="afb"/>
          <w:rFonts w:hint="cs"/>
          <w:rtl/>
        </w:rPr>
        <w:t xml:space="preserve"> </w:t>
      </w:r>
      <w:r w:rsidRPr="004A15CF">
        <w:rPr>
          <w:rStyle w:val="affa"/>
          <w:rFonts w:hint="cs"/>
          <w:rtl/>
        </w:rPr>
        <w:t>והמלא הרועים</w:t>
      </w:r>
      <w:r>
        <w:rPr>
          <w:rStyle w:val="afb"/>
          <w:rFonts w:hint="cs"/>
          <w:rtl/>
        </w:rPr>
        <w:t xml:space="preserve"> </w:t>
      </w:r>
      <w:r w:rsidRPr="00F70EF8">
        <w:rPr>
          <w:rStyle w:val="aff6"/>
          <w:rFonts w:hint="cs"/>
          <w:rtl/>
        </w:rPr>
        <w:t xml:space="preserve">(עי' אות </w:t>
      </w:r>
      <w:r w:rsidRPr="00F70EF8">
        <w:rPr>
          <w:rStyle w:val="aff6"/>
          <w:rtl/>
        </w:rPr>
        <w:fldChar w:fldCharType="begin"/>
      </w:r>
      <w:r w:rsidRPr="00F70EF8">
        <w:rPr>
          <w:rStyle w:val="aff6"/>
          <w:rtl/>
        </w:rPr>
        <w:instrText xml:space="preserve"> </w:instrText>
      </w:r>
      <w:r w:rsidRPr="00F70EF8">
        <w:rPr>
          <w:rStyle w:val="aff6"/>
          <w:rFonts w:hint="cs"/>
        </w:rPr>
        <w:instrText>REF</w:instrText>
      </w:r>
      <w:r w:rsidRPr="00F70EF8">
        <w:rPr>
          <w:rStyle w:val="aff6"/>
          <w:rFonts w:hint="cs"/>
          <w:rtl/>
        </w:rPr>
        <w:instrText xml:space="preserve"> _</w:instrText>
      </w:r>
      <w:r w:rsidRPr="00F70EF8">
        <w:rPr>
          <w:rStyle w:val="aff6"/>
          <w:rFonts w:hint="cs"/>
        </w:rPr>
        <w:instrText>Ref536465778 \r \h</w:instrText>
      </w:r>
      <w:r w:rsidRPr="00F70EF8">
        <w:rPr>
          <w:rStyle w:val="aff6"/>
          <w:rtl/>
        </w:rPr>
        <w:instrText xml:space="preserve"> </w:instrText>
      </w:r>
      <w:r w:rsidRPr="00F70EF8">
        <w:rPr>
          <w:rStyle w:val="aff6"/>
          <w:rtl/>
        </w:rPr>
      </w:r>
      <w:r w:rsidRPr="00F70EF8">
        <w:rPr>
          <w:rStyle w:val="aff6"/>
          <w:rtl/>
        </w:rPr>
        <w:fldChar w:fldCharType="separate"/>
      </w:r>
      <w:r w:rsidR="00345400">
        <w:rPr>
          <w:rStyle w:val="aff6"/>
          <w:cs/>
        </w:rPr>
        <w:t>‎</w:t>
      </w:r>
      <w:r w:rsidR="00345400">
        <w:rPr>
          <w:rStyle w:val="aff6"/>
          <w:rtl/>
        </w:rPr>
        <w:t>פא)</w:t>
      </w:r>
      <w:r w:rsidRPr="00F70EF8">
        <w:rPr>
          <w:rStyle w:val="aff6"/>
          <w:rtl/>
        </w:rPr>
        <w:fldChar w:fldCharType="end"/>
      </w:r>
      <w:r>
        <w:rPr>
          <w:rStyle w:val="afb"/>
          <w:rFonts w:hint="cs"/>
          <w:rtl/>
        </w:rPr>
        <w:t xml:space="preserve"> דביארו כן </w:t>
      </w:r>
      <w:r w:rsidRPr="004A15CF">
        <w:rPr>
          <w:rStyle w:val="affa"/>
          <w:rFonts w:hint="cs"/>
          <w:rtl/>
        </w:rPr>
        <w:t>ברש"י</w:t>
      </w:r>
      <w:r w:rsidRPr="004A15CF">
        <w:rPr>
          <w:rStyle w:val="afb"/>
          <w:rFonts w:hint="cs"/>
          <w:rtl/>
        </w:rPr>
        <w:t>],</w:t>
      </w:r>
      <w:r>
        <w:rPr>
          <w:rFonts w:hint="cs"/>
          <w:rtl/>
        </w:rPr>
        <w:t xml:space="preserve"> וכן </w:t>
      </w:r>
      <w:r w:rsidRPr="00B01BBD">
        <w:rPr>
          <w:rFonts w:hint="cs"/>
          <w:rtl/>
        </w:rPr>
        <w:t>מבואר</w:t>
      </w:r>
      <w:r w:rsidRPr="00944575">
        <w:rPr>
          <w:rStyle w:val="af9"/>
          <w:rFonts w:hint="cs"/>
          <w:rtl/>
        </w:rPr>
        <w:t xml:space="preserve"> ברמב"ן לקמן</w:t>
      </w:r>
      <w:r w:rsidRPr="00B01BBD">
        <w:rPr>
          <w:rFonts w:hint="cs"/>
          <w:rtl/>
        </w:rPr>
        <w:t xml:space="preserve"> </w:t>
      </w:r>
      <w:r w:rsidRPr="00B10A4D">
        <w:rPr>
          <w:rStyle w:val="af7"/>
          <w:rFonts w:eastAsia="Guttman Hodes" w:hint="cs"/>
          <w:rtl/>
        </w:rPr>
        <w:t xml:space="preserve">(עי' אות </w:t>
      </w:r>
      <w:r w:rsidRPr="00B10A4D">
        <w:rPr>
          <w:rStyle w:val="af7"/>
          <w:rFonts w:eastAsia="Guttman Hodes"/>
          <w:rtl/>
        </w:rPr>
        <w:fldChar w:fldCharType="begin"/>
      </w:r>
      <w:r w:rsidRPr="00B10A4D">
        <w:rPr>
          <w:rStyle w:val="af7"/>
          <w:rFonts w:eastAsia="Guttman Hodes"/>
          <w:rtl/>
        </w:rPr>
        <w:instrText xml:space="preserve"> </w:instrText>
      </w:r>
      <w:r w:rsidRPr="00B10A4D">
        <w:rPr>
          <w:rStyle w:val="af7"/>
          <w:rFonts w:eastAsia="Guttman Hodes" w:hint="cs"/>
        </w:rPr>
        <w:instrText>REF</w:instrText>
      </w:r>
      <w:r w:rsidRPr="00B10A4D">
        <w:rPr>
          <w:rStyle w:val="af7"/>
          <w:rFonts w:eastAsia="Guttman Hodes" w:hint="cs"/>
          <w:rtl/>
        </w:rPr>
        <w:instrText xml:space="preserve"> _</w:instrText>
      </w:r>
      <w:r w:rsidRPr="00B10A4D">
        <w:rPr>
          <w:rStyle w:val="af7"/>
          <w:rFonts w:eastAsia="Guttman Hodes" w:hint="cs"/>
        </w:rPr>
        <w:instrText>Ref535942488 \r \h</w:instrText>
      </w:r>
      <w:r w:rsidRPr="00B10A4D">
        <w:rPr>
          <w:rStyle w:val="af7"/>
          <w:rFonts w:eastAsia="Guttman Hodes"/>
          <w:rtl/>
        </w:rPr>
        <w:instrText xml:space="preserve"> </w:instrText>
      </w:r>
      <w:r w:rsidRPr="00B10A4D">
        <w:rPr>
          <w:rStyle w:val="af7"/>
          <w:rFonts w:eastAsia="Guttman Hodes"/>
          <w:rtl/>
        </w:rPr>
      </w:r>
      <w:r w:rsidRPr="00B10A4D">
        <w:rPr>
          <w:rStyle w:val="af7"/>
          <w:rFonts w:eastAsia="Guttman Hodes"/>
          <w:rtl/>
        </w:rPr>
        <w:fldChar w:fldCharType="separate"/>
      </w:r>
      <w:r w:rsidR="00345400">
        <w:rPr>
          <w:rStyle w:val="af7"/>
          <w:rFonts w:eastAsia="Guttman Hodes"/>
          <w:cs/>
        </w:rPr>
        <w:t>‎</w:t>
      </w:r>
      <w:r w:rsidR="00345400">
        <w:rPr>
          <w:rStyle w:val="af7"/>
          <w:rFonts w:eastAsia="Guttman Hodes"/>
          <w:rtl/>
        </w:rPr>
        <w:t>עו)</w:t>
      </w:r>
      <w:r w:rsidRPr="00B10A4D">
        <w:rPr>
          <w:rStyle w:val="af7"/>
          <w:rFonts w:eastAsia="Guttman Hodes"/>
          <w:rtl/>
        </w:rPr>
        <w:fldChar w:fldCharType="end"/>
      </w:r>
      <w:r w:rsidRPr="00B01BBD">
        <w:rPr>
          <w:rFonts w:hint="cs"/>
          <w:rtl/>
        </w:rPr>
        <w:t xml:space="preserve"> </w:t>
      </w:r>
      <w:r w:rsidRPr="00944575">
        <w:rPr>
          <w:rStyle w:val="af9"/>
          <w:rFonts w:hint="cs"/>
          <w:rtl/>
        </w:rPr>
        <w:t>וברשב"א לקמן</w:t>
      </w:r>
      <w:r w:rsidRPr="00B01BBD">
        <w:rPr>
          <w:rFonts w:hint="cs"/>
          <w:rtl/>
        </w:rPr>
        <w:t xml:space="preserve"> </w:t>
      </w:r>
      <w:r w:rsidRPr="00B10A4D">
        <w:rPr>
          <w:rStyle w:val="af7"/>
          <w:rFonts w:eastAsia="Guttman Hodes" w:hint="cs"/>
          <w:rtl/>
        </w:rPr>
        <w:t xml:space="preserve">(עי' אות </w:t>
      </w:r>
      <w:r w:rsidRPr="00B10A4D">
        <w:rPr>
          <w:rStyle w:val="af7"/>
          <w:rFonts w:eastAsia="Guttman Hodes"/>
          <w:rtl/>
        </w:rPr>
        <w:fldChar w:fldCharType="begin"/>
      </w:r>
      <w:r w:rsidRPr="00B10A4D">
        <w:rPr>
          <w:rStyle w:val="af7"/>
          <w:rFonts w:eastAsia="Guttman Hodes"/>
          <w:rtl/>
        </w:rPr>
        <w:instrText xml:space="preserve"> </w:instrText>
      </w:r>
      <w:r w:rsidRPr="00B10A4D">
        <w:rPr>
          <w:rStyle w:val="af7"/>
          <w:rFonts w:eastAsia="Guttman Hodes" w:hint="cs"/>
        </w:rPr>
        <w:instrText>REF</w:instrText>
      </w:r>
      <w:r w:rsidRPr="00B10A4D">
        <w:rPr>
          <w:rStyle w:val="af7"/>
          <w:rFonts w:eastAsia="Guttman Hodes" w:hint="cs"/>
          <w:rtl/>
        </w:rPr>
        <w:instrText xml:space="preserve"> _</w:instrText>
      </w:r>
      <w:r w:rsidRPr="00B10A4D">
        <w:rPr>
          <w:rStyle w:val="af7"/>
          <w:rFonts w:eastAsia="Guttman Hodes" w:hint="cs"/>
        </w:rPr>
        <w:instrText>Ref535942505 \r \h</w:instrText>
      </w:r>
      <w:r w:rsidRPr="00B10A4D">
        <w:rPr>
          <w:rStyle w:val="af7"/>
          <w:rFonts w:eastAsia="Guttman Hodes"/>
          <w:rtl/>
        </w:rPr>
        <w:instrText xml:space="preserve"> </w:instrText>
      </w:r>
      <w:r w:rsidRPr="00B10A4D">
        <w:rPr>
          <w:rStyle w:val="af7"/>
          <w:rFonts w:eastAsia="Guttman Hodes"/>
          <w:rtl/>
        </w:rPr>
      </w:r>
      <w:r w:rsidRPr="00B10A4D">
        <w:rPr>
          <w:rStyle w:val="af7"/>
          <w:rFonts w:eastAsia="Guttman Hodes"/>
          <w:rtl/>
        </w:rPr>
        <w:fldChar w:fldCharType="separate"/>
      </w:r>
      <w:r w:rsidR="00345400">
        <w:rPr>
          <w:rStyle w:val="af7"/>
          <w:rFonts w:eastAsia="Guttman Hodes"/>
          <w:cs/>
        </w:rPr>
        <w:t>‎</w:t>
      </w:r>
      <w:r w:rsidR="00345400">
        <w:rPr>
          <w:rStyle w:val="af7"/>
          <w:rFonts w:eastAsia="Guttman Hodes"/>
          <w:rtl/>
        </w:rPr>
        <w:t>עז)</w:t>
      </w:r>
      <w:r w:rsidRPr="00B10A4D">
        <w:rPr>
          <w:rStyle w:val="af7"/>
          <w:rFonts w:eastAsia="Guttman Hodes"/>
          <w:rtl/>
        </w:rPr>
        <w:fldChar w:fldCharType="end"/>
      </w:r>
      <w:r>
        <w:rPr>
          <w:rFonts w:hint="cs"/>
          <w:rtl/>
        </w:rPr>
        <w:t xml:space="preserve"> דאף למ"ד דיש לידה לאברים, האיסור באבר היוצא הוא מדין "בשר בשדה טריפה", ולכן אינו בכלל היתר "בהמה בבהמה".</w:t>
      </w:r>
    </w:p>
    <w:p w14:paraId="6E94FF64" w14:textId="77777777" w:rsidR="003D504D" w:rsidRDefault="003D504D" w:rsidP="003D504D">
      <w:pPr>
        <w:pStyle w:val="afe"/>
        <w:rPr>
          <w:rtl/>
        </w:rPr>
      </w:pPr>
      <w:bookmarkStart w:id="17345" w:name="_Toc535921734"/>
      <w:bookmarkStart w:id="17346" w:name="_Toc535958313"/>
      <w:bookmarkStart w:id="17347" w:name="_Toc536041991"/>
      <w:bookmarkStart w:id="17348" w:name="_Toc536130314"/>
      <w:bookmarkStart w:id="17349" w:name="_Toc536178396"/>
      <w:bookmarkStart w:id="17350" w:name="_Toc536180778"/>
      <w:bookmarkStart w:id="17351" w:name="_Toc536305031"/>
      <w:bookmarkStart w:id="17352" w:name="_Toc536305112"/>
      <w:bookmarkStart w:id="17353" w:name="_Toc536459329"/>
      <w:bookmarkStart w:id="17354" w:name="_Toc536466285"/>
      <w:bookmarkStart w:id="17355" w:name="_Toc536540434"/>
      <w:bookmarkStart w:id="17356" w:name="_Toc536564242"/>
      <w:bookmarkStart w:id="17357" w:name="_Toc536564397"/>
      <w:bookmarkStart w:id="17358" w:name="_Toc536616931"/>
      <w:bookmarkStart w:id="17359" w:name="_Toc19436072"/>
      <w:bookmarkStart w:id="17360" w:name="_Toc20081266"/>
      <w:bookmarkStart w:id="17361" w:name="_Toc536130319"/>
      <w:r>
        <w:rPr>
          <w:rFonts w:hint="cs"/>
          <w:rtl/>
        </w:rPr>
        <w:t>בספק בהוציא אברים והחזיר והשלים לרוב</w:t>
      </w:r>
      <w:bookmarkEnd w:id="17345"/>
      <w:bookmarkEnd w:id="17346"/>
      <w:bookmarkEnd w:id="17347"/>
      <w:bookmarkEnd w:id="17348"/>
      <w:bookmarkEnd w:id="17349"/>
      <w:bookmarkEnd w:id="17350"/>
      <w:bookmarkEnd w:id="17351"/>
      <w:bookmarkEnd w:id="17352"/>
      <w:bookmarkEnd w:id="17353"/>
      <w:bookmarkEnd w:id="17354"/>
      <w:bookmarkEnd w:id="17355"/>
      <w:bookmarkEnd w:id="17356"/>
      <w:bookmarkEnd w:id="17357"/>
      <w:bookmarkEnd w:id="17358"/>
      <w:bookmarkEnd w:id="17359"/>
      <w:bookmarkEnd w:id="17360"/>
    </w:p>
    <w:p w14:paraId="651690D8" w14:textId="77777777" w:rsidR="003D504D" w:rsidRDefault="003D504D" w:rsidP="00BF39B2">
      <w:pPr>
        <w:pStyle w:val="1"/>
        <w:rPr>
          <w:rtl/>
        </w:rPr>
      </w:pPr>
      <w:bookmarkStart w:id="17362" w:name="_Toc535921735"/>
      <w:bookmarkStart w:id="17363" w:name="_Toc535958314"/>
      <w:bookmarkStart w:id="17364" w:name="_Toc536041992"/>
      <w:bookmarkStart w:id="17365" w:name="_Toc536130315"/>
      <w:bookmarkStart w:id="17366" w:name="_Toc536178397"/>
      <w:bookmarkStart w:id="17367" w:name="_Toc536180779"/>
      <w:bookmarkStart w:id="17368" w:name="_Toc536305032"/>
      <w:bookmarkStart w:id="17369" w:name="_Toc536305113"/>
      <w:bookmarkStart w:id="17370" w:name="_Toc536459330"/>
      <w:bookmarkStart w:id="17371" w:name="_Toc536466286"/>
      <w:bookmarkStart w:id="17372" w:name="_Toc536540435"/>
      <w:bookmarkStart w:id="17373" w:name="_Toc536564243"/>
      <w:bookmarkStart w:id="17374" w:name="_Toc536564398"/>
      <w:bookmarkStart w:id="17375" w:name="_Toc536616932"/>
      <w:bookmarkStart w:id="17376" w:name="_Toc19391244"/>
      <w:bookmarkStart w:id="17377" w:name="_Toc19394741"/>
      <w:r>
        <w:rPr>
          <w:rFonts w:hint="cs"/>
          <w:rtl/>
        </w:rPr>
        <w:t>ביאור רש"י ורבינו גרשום</w:t>
      </w:r>
      <w:bookmarkEnd w:id="17362"/>
      <w:bookmarkEnd w:id="17363"/>
      <w:bookmarkEnd w:id="17364"/>
      <w:bookmarkEnd w:id="17365"/>
      <w:bookmarkEnd w:id="17366"/>
      <w:bookmarkEnd w:id="17367"/>
      <w:bookmarkEnd w:id="17368"/>
      <w:bookmarkEnd w:id="17369"/>
      <w:bookmarkEnd w:id="17370"/>
      <w:bookmarkEnd w:id="17371"/>
      <w:bookmarkEnd w:id="17372"/>
      <w:bookmarkEnd w:id="17373"/>
      <w:bookmarkEnd w:id="17374"/>
      <w:r>
        <w:rPr>
          <w:rFonts w:hint="cs"/>
          <w:rtl/>
        </w:rPr>
        <w:t xml:space="preserve"> בספק</w:t>
      </w:r>
      <w:r w:rsidRPr="00872CBF">
        <w:rPr>
          <w:rFonts w:hint="cs"/>
          <w:rtl/>
        </w:rPr>
        <w:t xml:space="preserve"> </w:t>
      </w:r>
      <w:r>
        <w:rPr>
          <w:rFonts w:hint="cs"/>
          <w:rtl/>
        </w:rPr>
        <w:t>ביצאו אברים וחזרו</w:t>
      </w:r>
      <w:bookmarkEnd w:id="17375"/>
      <w:bookmarkEnd w:id="17376"/>
      <w:bookmarkEnd w:id="17377"/>
    </w:p>
    <w:p w14:paraId="2DBF8F81" w14:textId="77777777" w:rsidR="003D504D" w:rsidRDefault="003D504D" w:rsidP="003D504D">
      <w:pPr>
        <w:pStyle w:val="a3"/>
        <w:rPr>
          <w:rtl/>
        </w:rPr>
      </w:pPr>
      <w:bookmarkStart w:id="17378" w:name="_Toc536459331"/>
      <w:bookmarkStart w:id="17379" w:name="_Toc536466287"/>
      <w:bookmarkStart w:id="17380" w:name="_Toc536540436"/>
      <w:bookmarkStart w:id="17381" w:name="_Toc536564244"/>
      <w:bookmarkStart w:id="17382" w:name="_Toc536564399"/>
      <w:bookmarkStart w:id="17383" w:name="_Toc536616933"/>
      <w:bookmarkStart w:id="17384" w:name="_Toc19391245"/>
      <w:bookmarkStart w:id="17385" w:name="_Toc19394742"/>
      <w:r>
        <w:rPr>
          <w:rFonts w:hint="cs"/>
          <w:rtl/>
        </w:rPr>
        <w:t>דברי רש"י דהספק למ"ד דאין לידה לאברים אי כיון שחזרו האברים אינם מצטרפים לרוב</w:t>
      </w:r>
      <w:bookmarkEnd w:id="17378"/>
      <w:bookmarkEnd w:id="17379"/>
      <w:bookmarkEnd w:id="17380"/>
      <w:bookmarkEnd w:id="17381"/>
      <w:bookmarkEnd w:id="17382"/>
      <w:bookmarkEnd w:id="17383"/>
      <w:bookmarkEnd w:id="17384"/>
      <w:bookmarkEnd w:id="17385"/>
    </w:p>
    <w:p w14:paraId="28F103F5" w14:textId="77777777" w:rsidR="003D504D" w:rsidRDefault="003D504D" w:rsidP="00223668">
      <w:pPr>
        <w:pStyle w:val="a0"/>
        <w:rPr>
          <w:rtl/>
        </w:rPr>
      </w:pPr>
      <w:bookmarkStart w:id="17386" w:name="_Ref536378677"/>
      <w:bookmarkStart w:id="17387" w:name="_Ref536129308"/>
      <w:r>
        <w:rPr>
          <w:rFonts w:hint="cs"/>
          <w:rtl/>
        </w:rPr>
        <w:t xml:space="preserve">בספק הגמ' למ"ד דאין לידה לאברים בהוציא אברים והחזירם עד שהשלים לרוב, ביאר </w:t>
      </w:r>
      <w:r w:rsidRPr="00B42B79">
        <w:rPr>
          <w:rStyle w:val="af9"/>
          <w:rFonts w:hint="cs"/>
          <w:rtl/>
        </w:rPr>
        <w:t xml:space="preserve">רש"י </w:t>
      </w:r>
      <w:r w:rsidRPr="00B42B79">
        <w:rPr>
          <w:rStyle w:val="af7"/>
          <w:rFonts w:eastAsia="Guttman Hodes" w:hint="cs"/>
          <w:rtl/>
        </w:rPr>
        <w:t>(ד"ה לדברי)</w:t>
      </w:r>
      <w:r>
        <w:rPr>
          <w:rFonts w:hint="cs"/>
          <w:rtl/>
        </w:rPr>
        <w:t xml:space="preserve"> דהספק הוא האם כיון שהשלים לרוב העובר ע"י רוב האברים שיצאו וחזרו, א"כ הוי כילוד דהא יצא רובו, או דכיון דאין לידה לאברים כל אבר שחזר חשיב שחזר לגמרי, וכשיצא האבר השני כבר חזר האבר הראשון, וא"כ אי"ז חשיב כיציאת הרוב, ועי' במה שהקשו </w:t>
      </w:r>
      <w:r w:rsidRPr="00075025">
        <w:rPr>
          <w:rStyle w:val="af9"/>
          <w:rFonts w:hint="cs"/>
          <w:rtl/>
        </w:rPr>
        <w:t>הראשונים</w:t>
      </w:r>
      <w:r>
        <w:rPr>
          <w:rFonts w:hint="cs"/>
          <w:rtl/>
        </w:rPr>
        <w:t xml:space="preserve"> </w:t>
      </w:r>
      <w:r w:rsidRPr="002C07B3">
        <w:rPr>
          <w:rStyle w:val="af7"/>
          <w:rFonts w:eastAsia="Guttman Hodes" w:hint="cs"/>
          <w:rtl/>
        </w:rPr>
        <w:t xml:space="preserve">(עי' אות </w:t>
      </w:r>
      <w:r w:rsidRPr="002C07B3">
        <w:rPr>
          <w:rStyle w:val="af7"/>
          <w:rFonts w:eastAsia="Guttman Hodes"/>
          <w:rtl/>
        </w:rPr>
        <w:fldChar w:fldCharType="begin"/>
      </w:r>
      <w:r w:rsidRPr="002C07B3">
        <w:rPr>
          <w:rStyle w:val="af7"/>
          <w:rFonts w:eastAsia="Guttman Hodes"/>
          <w:rtl/>
        </w:rPr>
        <w:instrText xml:space="preserve"> </w:instrText>
      </w:r>
      <w:r w:rsidRPr="002C07B3">
        <w:rPr>
          <w:rStyle w:val="af7"/>
          <w:rFonts w:eastAsia="Guttman Hodes" w:hint="cs"/>
        </w:rPr>
        <w:instrText>REF</w:instrText>
      </w:r>
      <w:r w:rsidRPr="002C07B3">
        <w:rPr>
          <w:rStyle w:val="af7"/>
          <w:rFonts w:eastAsia="Guttman Hodes" w:hint="cs"/>
          <w:rtl/>
        </w:rPr>
        <w:instrText xml:space="preserve"> _</w:instrText>
      </w:r>
      <w:r w:rsidRPr="002C07B3">
        <w:rPr>
          <w:rStyle w:val="af7"/>
          <w:rFonts w:eastAsia="Guttman Hodes" w:hint="cs"/>
        </w:rPr>
        <w:instrText>Ref535956178 \r \h</w:instrText>
      </w:r>
      <w:r w:rsidRPr="002C07B3">
        <w:rPr>
          <w:rStyle w:val="af7"/>
          <w:rFonts w:eastAsia="Guttman Hodes"/>
          <w:rtl/>
        </w:rPr>
        <w:instrText xml:space="preserve"> </w:instrText>
      </w:r>
      <w:r w:rsidRPr="002C07B3">
        <w:rPr>
          <w:rStyle w:val="af7"/>
          <w:rFonts w:eastAsia="Guttman Hodes"/>
          <w:rtl/>
        </w:rPr>
      </w:r>
      <w:r w:rsidRPr="002C07B3">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2C07B3">
        <w:rPr>
          <w:rStyle w:val="af7"/>
          <w:rFonts w:eastAsia="Guttman Hodes"/>
          <w:rtl/>
        </w:rPr>
        <w:fldChar w:fldCharType="end"/>
      </w:r>
      <w:r>
        <w:rPr>
          <w:rFonts w:hint="cs"/>
          <w:rtl/>
        </w:rPr>
        <w:t xml:space="preserve"> על דברי </w:t>
      </w:r>
      <w:r w:rsidRPr="00075025">
        <w:rPr>
          <w:rStyle w:val="af9"/>
          <w:rFonts w:hint="cs"/>
          <w:rtl/>
        </w:rPr>
        <w:t>רש"י</w:t>
      </w:r>
      <w:r>
        <w:rPr>
          <w:rFonts w:hint="cs"/>
          <w:rtl/>
        </w:rPr>
        <w:t>.</w:t>
      </w:r>
      <w:bookmarkEnd w:id="17386"/>
    </w:p>
    <w:p w14:paraId="41319B68" w14:textId="77777777" w:rsidR="003D504D" w:rsidRPr="006065A3" w:rsidRDefault="003D504D" w:rsidP="003D504D">
      <w:pPr>
        <w:pStyle w:val="a3"/>
      </w:pPr>
      <w:bookmarkStart w:id="17388" w:name="_Toc536459332"/>
      <w:bookmarkStart w:id="17389" w:name="_Toc536466288"/>
      <w:bookmarkStart w:id="17390" w:name="_Toc536540437"/>
      <w:bookmarkStart w:id="17391" w:name="_Toc536564245"/>
      <w:bookmarkStart w:id="17392" w:name="_Toc536564400"/>
      <w:bookmarkStart w:id="17393" w:name="_Toc536616934"/>
      <w:bookmarkStart w:id="17394" w:name="_Toc19391246"/>
      <w:bookmarkStart w:id="17395" w:name="_Toc19394743"/>
      <w:r>
        <w:rPr>
          <w:rFonts w:hint="cs"/>
          <w:rtl/>
        </w:rPr>
        <w:t>דברי רש"י דלמ"ד דיש לידה לאברים ודאי יצא רובו דהא חזרת האבר לא מהני להתירו</w:t>
      </w:r>
      <w:bookmarkEnd w:id="17388"/>
      <w:bookmarkEnd w:id="17389"/>
      <w:bookmarkEnd w:id="17390"/>
      <w:bookmarkEnd w:id="17391"/>
      <w:bookmarkEnd w:id="17392"/>
      <w:bookmarkEnd w:id="17393"/>
      <w:bookmarkEnd w:id="17394"/>
      <w:bookmarkEnd w:id="17395"/>
    </w:p>
    <w:p w14:paraId="2723B09C" w14:textId="77777777" w:rsidR="003D504D" w:rsidRDefault="003D504D" w:rsidP="00223668">
      <w:pPr>
        <w:pStyle w:val="a0"/>
        <w:rPr>
          <w:rtl/>
        </w:rPr>
      </w:pPr>
      <w:r>
        <w:rPr>
          <w:rFonts w:hint="cs"/>
          <w:rtl/>
        </w:rPr>
        <w:t xml:space="preserve">וכתב </w:t>
      </w:r>
      <w:r w:rsidRPr="00A63B31">
        <w:rPr>
          <w:rStyle w:val="af9"/>
          <w:rFonts w:hint="cs"/>
          <w:rtl/>
        </w:rPr>
        <w:t>רש"י</w:t>
      </w:r>
      <w:r>
        <w:rPr>
          <w:rFonts w:hint="cs"/>
          <w:rtl/>
        </w:rPr>
        <w:t xml:space="preserve"> דלמ"ד דיש לידה לאברים, אין ספק כלל, דכיון דחזרת האבר לא מהני להתירו, א"כ ע"י שיצאו רוב האברים ודאי שיצא רובו, </w:t>
      </w:r>
      <w:r w:rsidRPr="00512DC4">
        <w:rPr>
          <w:rStyle w:val="afb"/>
          <w:rFonts w:hint="cs"/>
          <w:rtl/>
        </w:rPr>
        <w:t>[ו</w:t>
      </w:r>
      <w:r>
        <w:rPr>
          <w:rStyle w:val="afb"/>
          <w:rFonts w:hint="cs"/>
          <w:rtl/>
        </w:rPr>
        <w:t>אין נ"מ כלל מ</w:t>
      </w:r>
      <w:r w:rsidRPr="00512DC4">
        <w:rPr>
          <w:rStyle w:val="afb"/>
          <w:rFonts w:hint="cs"/>
          <w:rtl/>
        </w:rPr>
        <w:t xml:space="preserve">מה שהאברים חזרו, </w:t>
      </w:r>
      <w:r>
        <w:rPr>
          <w:rStyle w:val="afb"/>
          <w:rFonts w:hint="cs"/>
          <w:rtl/>
        </w:rPr>
        <w:t>דהחזרה לא מתירה את האיסור יוצא שלהם כלל</w:t>
      </w:r>
      <w:r w:rsidRPr="00512DC4">
        <w:rPr>
          <w:rStyle w:val="afb"/>
          <w:rFonts w:hint="cs"/>
          <w:rtl/>
        </w:rPr>
        <w:t>],</w:t>
      </w:r>
      <w:r>
        <w:rPr>
          <w:rFonts w:hint="cs"/>
          <w:rtl/>
        </w:rPr>
        <w:t xml:space="preserve"> ועי' במה שביאר </w:t>
      </w:r>
      <w:r w:rsidRPr="00B31699">
        <w:rPr>
          <w:rStyle w:val="af9"/>
          <w:rFonts w:hint="cs"/>
          <w:rtl/>
        </w:rPr>
        <w:t>הגרעק"א</w:t>
      </w:r>
      <w:r>
        <w:rPr>
          <w:rFonts w:hint="cs"/>
          <w:rtl/>
        </w:rPr>
        <w:t xml:space="preserve"> בדברי </w:t>
      </w:r>
      <w:r w:rsidRPr="00B31699">
        <w:rPr>
          <w:rStyle w:val="af9"/>
          <w:rFonts w:hint="cs"/>
          <w:rtl/>
        </w:rPr>
        <w:t>רש"י</w:t>
      </w:r>
      <w:r>
        <w:rPr>
          <w:rFonts w:hint="cs"/>
          <w:rtl/>
        </w:rPr>
        <w:t xml:space="preserve"> </w:t>
      </w:r>
      <w:r w:rsidRPr="00B31699">
        <w:rPr>
          <w:rStyle w:val="af7"/>
          <w:rFonts w:eastAsia="Guttman Hodes" w:hint="cs"/>
          <w:rtl/>
        </w:rPr>
        <w:t xml:space="preserve">(עי' אות </w:t>
      </w:r>
      <w:r w:rsidRPr="00B31699">
        <w:rPr>
          <w:rStyle w:val="af7"/>
          <w:rFonts w:eastAsia="Guttman Hodes"/>
          <w:rtl/>
        </w:rPr>
        <w:fldChar w:fldCharType="begin"/>
      </w:r>
      <w:r w:rsidRPr="00B31699">
        <w:rPr>
          <w:rStyle w:val="af7"/>
          <w:rFonts w:eastAsia="Guttman Hodes"/>
          <w:rtl/>
        </w:rPr>
        <w:instrText xml:space="preserve"> </w:instrText>
      </w:r>
      <w:r w:rsidRPr="00B31699">
        <w:rPr>
          <w:rStyle w:val="af7"/>
          <w:rFonts w:eastAsia="Guttman Hodes" w:hint="cs"/>
        </w:rPr>
        <w:instrText>REF</w:instrText>
      </w:r>
      <w:r w:rsidRPr="00B31699">
        <w:rPr>
          <w:rStyle w:val="af7"/>
          <w:rFonts w:eastAsia="Guttman Hodes" w:hint="cs"/>
          <w:rtl/>
        </w:rPr>
        <w:instrText xml:space="preserve"> _</w:instrText>
      </w:r>
      <w:r w:rsidRPr="00B31699">
        <w:rPr>
          <w:rStyle w:val="af7"/>
          <w:rFonts w:eastAsia="Guttman Hodes" w:hint="cs"/>
        </w:rPr>
        <w:instrText>Ref536129284 \r \h</w:instrText>
      </w:r>
      <w:r w:rsidRPr="00B31699">
        <w:rPr>
          <w:rStyle w:val="af7"/>
          <w:rFonts w:eastAsia="Guttman Hodes"/>
          <w:rtl/>
        </w:rPr>
        <w:instrText xml:space="preserve"> </w:instrText>
      </w:r>
      <w:r w:rsidRPr="00B31699">
        <w:rPr>
          <w:rStyle w:val="af7"/>
          <w:rFonts w:eastAsia="Guttman Hodes"/>
          <w:rtl/>
        </w:rPr>
      </w:r>
      <w:r w:rsidRPr="00B31699">
        <w:rPr>
          <w:rStyle w:val="af7"/>
          <w:rFonts w:eastAsia="Guttman Hodes"/>
          <w:rtl/>
        </w:rPr>
        <w:fldChar w:fldCharType="separate"/>
      </w:r>
      <w:r w:rsidR="00345400">
        <w:rPr>
          <w:rStyle w:val="af7"/>
          <w:rFonts w:eastAsia="Guttman Hodes"/>
          <w:cs/>
        </w:rPr>
        <w:t>‎</w:t>
      </w:r>
      <w:r w:rsidR="00345400">
        <w:rPr>
          <w:rStyle w:val="af7"/>
          <w:rFonts w:eastAsia="Guttman Hodes"/>
          <w:rtl/>
        </w:rPr>
        <w:t>נד)</w:t>
      </w:r>
      <w:r w:rsidRPr="00B31699">
        <w:rPr>
          <w:rStyle w:val="af7"/>
          <w:rFonts w:eastAsia="Guttman Hodes"/>
          <w:rtl/>
        </w:rPr>
        <w:fldChar w:fldCharType="end"/>
      </w:r>
      <w:r>
        <w:rPr>
          <w:rFonts w:hint="cs"/>
          <w:rtl/>
        </w:rPr>
        <w:t>.</w:t>
      </w:r>
      <w:bookmarkEnd w:id="17387"/>
    </w:p>
    <w:p w14:paraId="1F3B239F" w14:textId="77777777" w:rsidR="003D504D" w:rsidRDefault="003D504D" w:rsidP="003D504D">
      <w:pPr>
        <w:pStyle w:val="a3"/>
        <w:rPr>
          <w:rtl/>
        </w:rPr>
      </w:pPr>
      <w:bookmarkStart w:id="17396" w:name="_Toc536459333"/>
      <w:bookmarkStart w:id="17397" w:name="_Toc536466289"/>
      <w:bookmarkStart w:id="17398" w:name="_Toc536540438"/>
      <w:bookmarkStart w:id="17399" w:name="_Toc536564246"/>
      <w:bookmarkStart w:id="17400" w:name="_Toc536564401"/>
      <w:bookmarkStart w:id="17401" w:name="_Toc536616935"/>
      <w:bookmarkStart w:id="17402" w:name="_Toc19391247"/>
      <w:bookmarkStart w:id="17403" w:name="_Toc19394744"/>
      <w:r>
        <w:rPr>
          <w:rFonts w:hint="cs"/>
          <w:rtl/>
        </w:rPr>
        <w:t>דברי רבינו גרשום דהספק הוא מ"ד דאין לידה דס"ל האבר שחזר אינו נחשב כיוצא</w:t>
      </w:r>
      <w:bookmarkEnd w:id="17396"/>
      <w:bookmarkEnd w:id="17397"/>
      <w:bookmarkEnd w:id="17398"/>
      <w:bookmarkEnd w:id="17399"/>
      <w:bookmarkEnd w:id="17400"/>
      <w:bookmarkEnd w:id="17401"/>
      <w:bookmarkEnd w:id="17402"/>
      <w:bookmarkEnd w:id="17403"/>
    </w:p>
    <w:p w14:paraId="3AD24129" w14:textId="77777777" w:rsidR="003D504D" w:rsidRDefault="003D504D" w:rsidP="00223668">
      <w:pPr>
        <w:pStyle w:val="a0"/>
        <w:rPr>
          <w:rtl/>
        </w:rPr>
      </w:pPr>
      <w:r>
        <w:rPr>
          <w:rStyle w:val="af9"/>
          <w:rFonts w:hint="cs"/>
          <w:rtl/>
        </w:rPr>
        <w:t>ו</w:t>
      </w:r>
      <w:r w:rsidRPr="00A63B31">
        <w:rPr>
          <w:rStyle w:val="af9"/>
          <w:rFonts w:hint="cs"/>
          <w:rtl/>
        </w:rPr>
        <w:t>רבינו גרשום</w:t>
      </w:r>
      <w:r>
        <w:rPr>
          <w:rFonts w:hint="cs"/>
          <w:rtl/>
        </w:rPr>
        <w:t xml:space="preserve"> </w:t>
      </w:r>
      <w:r w:rsidRPr="00E419EE">
        <w:rPr>
          <w:rStyle w:val="af7"/>
          <w:rFonts w:eastAsia="Guttman Hodes" w:hint="cs"/>
          <w:rtl/>
        </w:rPr>
        <w:t>(ד"ה לדברי)</w:t>
      </w:r>
      <w:r>
        <w:rPr>
          <w:rFonts w:hint="cs"/>
          <w:rtl/>
        </w:rPr>
        <w:t xml:space="preserve"> ביאר דספק הגמ' הוא למ"ד דאין לידה לאברים, דכיון שהחזיר את האבר, א"כ אין האבר חשיב כיוצא, </w:t>
      </w:r>
      <w:r w:rsidRPr="00E419EE">
        <w:rPr>
          <w:rStyle w:val="afb"/>
          <w:rFonts w:hint="cs"/>
          <w:rtl/>
        </w:rPr>
        <w:t>[</w:t>
      </w:r>
      <w:r>
        <w:rPr>
          <w:rStyle w:val="afb"/>
          <w:rFonts w:hint="cs"/>
          <w:rtl/>
        </w:rPr>
        <w:t>דכיון ש</w:t>
      </w:r>
      <w:r w:rsidRPr="00E419EE">
        <w:rPr>
          <w:rStyle w:val="afb"/>
          <w:rFonts w:hint="cs"/>
          <w:rtl/>
        </w:rPr>
        <w:t xml:space="preserve">החזירו </w:t>
      </w:r>
      <w:r>
        <w:rPr>
          <w:rStyle w:val="afb"/>
          <w:rFonts w:hint="cs"/>
          <w:rtl/>
        </w:rPr>
        <w:t xml:space="preserve">הוא </w:t>
      </w:r>
      <w:r w:rsidRPr="00E419EE">
        <w:rPr>
          <w:rStyle w:val="afb"/>
          <w:rFonts w:hint="cs"/>
          <w:rtl/>
        </w:rPr>
        <w:t>מותר]</w:t>
      </w:r>
      <w:r>
        <w:rPr>
          <w:rFonts w:hint="cs"/>
          <w:rtl/>
        </w:rPr>
        <w:t>.</w:t>
      </w:r>
    </w:p>
    <w:p w14:paraId="2F1A96CA" w14:textId="77777777" w:rsidR="003D504D" w:rsidRPr="00B42B79" w:rsidRDefault="003D504D" w:rsidP="00BF39B2">
      <w:pPr>
        <w:pStyle w:val="1"/>
        <w:rPr>
          <w:rtl/>
        </w:rPr>
      </w:pPr>
      <w:bookmarkStart w:id="17404" w:name="_Toc535921736"/>
      <w:bookmarkStart w:id="17405" w:name="_Toc535958315"/>
      <w:bookmarkStart w:id="17406" w:name="_Toc536041993"/>
      <w:bookmarkStart w:id="17407" w:name="_Toc536130316"/>
      <w:bookmarkStart w:id="17408" w:name="_Toc536178398"/>
      <w:bookmarkStart w:id="17409" w:name="_Toc536180780"/>
      <w:bookmarkStart w:id="17410" w:name="_Toc536305033"/>
      <w:bookmarkStart w:id="17411" w:name="_Toc536305114"/>
      <w:bookmarkStart w:id="17412" w:name="_Toc536459334"/>
      <w:bookmarkStart w:id="17413" w:name="_Toc536466290"/>
      <w:bookmarkStart w:id="17414" w:name="_Toc536540439"/>
      <w:bookmarkStart w:id="17415" w:name="_Toc536564247"/>
      <w:bookmarkStart w:id="17416" w:name="_Toc536564402"/>
      <w:bookmarkStart w:id="17417" w:name="_Toc536616936"/>
      <w:bookmarkStart w:id="17418" w:name="_Toc19391248"/>
      <w:bookmarkStart w:id="17419" w:name="_Toc19394745"/>
      <w:r>
        <w:rPr>
          <w:rFonts w:hint="cs"/>
          <w:rtl/>
        </w:rPr>
        <w:t>ביאורי הראשונים בדעת הרי"ף ור"ח</w:t>
      </w:r>
      <w:bookmarkEnd w:id="17404"/>
      <w:bookmarkEnd w:id="17405"/>
      <w:bookmarkEnd w:id="17406"/>
      <w:bookmarkEnd w:id="17407"/>
      <w:bookmarkEnd w:id="17408"/>
      <w:bookmarkEnd w:id="17409"/>
      <w:bookmarkEnd w:id="17410"/>
      <w:bookmarkEnd w:id="17411"/>
      <w:bookmarkEnd w:id="17412"/>
      <w:bookmarkEnd w:id="17413"/>
      <w:bookmarkEnd w:id="17414"/>
      <w:bookmarkEnd w:id="17415"/>
      <w:bookmarkEnd w:id="17416"/>
      <w:r>
        <w:rPr>
          <w:rFonts w:hint="cs"/>
          <w:rtl/>
        </w:rPr>
        <w:t xml:space="preserve"> בספק ביצאו אברים וחזרו</w:t>
      </w:r>
      <w:bookmarkEnd w:id="17417"/>
      <w:bookmarkEnd w:id="17418"/>
      <w:bookmarkEnd w:id="17419"/>
    </w:p>
    <w:p w14:paraId="2A179582" w14:textId="77777777" w:rsidR="003D504D" w:rsidRDefault="003D504D" w:rsidP="003D504D">
      <w:pPr>
        <w:pStyle w:val="a3"/>
        <w:rPr>
          <w:rtl/>
        </w:rPr>
      </w:pPr>
      <w:bookmarkStart w:id="17420" w:name="_Toc536540440"/>
      <w:bookmarkStart w:id="17421" w:name="_Toc536564248"/>
      <w:bookmarkStart w:id="17422" w:name="_Toc536564403"/>
      <w:bookmarkStart w:id="17423" w:name="_Toc536616937"/>
      <w:bookmarkStart w:id="17424" w:name="_Toc19391249"/>
      <w:bookmarkStart w:id="17425" w:name="_Toc19394746"/>
      <w:r>
        <w:rPr>
          <w:rFonts w:hint="cs"/>
          <w:rtl/>
        </w:rPr>
        <w:t>דברי הר"ן דלהרי"ף ור"ח דקיי"ל כריו"ח בל"ב דאין לידה לאברים לכן מסתפקת הגמ' בדעתו</w:t>
      </w:r>
      <w:bookmarkEnd w:id="17420"/>
      <w:bookmarkEnd w:id="17421"/>
      <w:bookmarkEnd w:id="17422"/>
      <w:bookmarkEnd w:id="17423"/>
      <w:bookmarkEnd w:id="17424"/>
      <w:bookmarkEnd w:id="17425"/>
    </w:p>
    <w:p w14:paraId="65CF52B3" w14:textId="77777777" w:rsidR="003D504D" w:rsidRDefault="003D504D" w:rsidP="00223668">
      <w:pPr>
        <w:pStyle w:val="a0"/>
        <w:rPr>
          <w:rtl/>
        </w:rPr>
      </w:pPr>
      <w:r>
        <w:rPr>
          <w:rFonts w:hint="cs"/>
          <w:rtl/>
        </w:rPr>
        <w:t xml:space="preserve">כתב </w:t>
      </w:r>
      <w:r w:rsidRPr="00BB5FEE">
        <w:rPr>
          <w:rStyle w:val="af9"/>
          <w:rFonts w:hint="cs"/>
          <w:rtl/>
        </w:rPr>
        <w:t>הר"ן בחי'</w:t>
      </w:r>
      <w:r>
        <w:rPr>
          <w:rFonts w:hint="cs"/>
          <w:rtl/>
        </w:rPr>
        <w:t xml:space="preserve"> </w:t>
      </w:r>
      <w:r w:rsidRPr="00BB5FEE">
        <w:rPr>
          <w:rStyle w:val="af7"/>
          <w:rFonts w:eastAsia="Guttman Hodes" w:hint="cs"/>
          <w:rtl/>
        </w:rPr>
        <w:t>(ד"ה מאי)</w:t>
      </w:r>
      <w:r>
        <w:rPr>
          <w:rFonts w:hint="cs"/>
          <w:rtl/>
        </w:rPr>
        <w:t xml:space="preserve"> דלדברי </w:t>
      </w:r>
      <w:r>
        <w:rPr>
          <w:rStyle w:val="af9"/>
          <w:rFonts w:hint="cs"/>
          <w:rtl/>
        </w:rPr>
        <w:t>הרי"ף ו</w:t>
      </w:r>
      <w:r w:rsidRPr="00E407D4">
        <w:rPr>
          <w:rStyle w:val="af9"/>
          <w:rFonts w:hint="cs"/>
          <w:rtl/>
        </w:rPr>
        <w:t>ר"ח</w:t>
      </w:r>
      <w:r>
        <w:rPr>
          <w:rFonts w:hint="cs"/>
          <w:rtl/>
        </w:rPr>
        <w:t xml:space="preserve"> </w:t>
      </w:r>
      <w:r w:rsidRPr="00A6585F">
        <w:rPr>
          <w:rStyle w:val="af7"/>
          <w:rFonts w:eastAsia="Guttman Hodes" w:hint="cs"/>
          <w:rtl/>
        </w:rPr>
        <w:t xml:space="preserve">(עי' אות </w:t>
      </w:r>
      <w:r w:rsidRPr="00A6585F">
        <w:rPr>
          <w:rStyle w:val="af7"/>
          <w:rFonts w:eastAsia="Guttman Hodes"/>
          <w:rtl/>
        </w:rPr>
        <w:fldChar w:fldCharType="begin"/>
      </w:r>
      <w:r w:rsidRPr="00A6585F">
        <w:rPr>
          <w:rStyle w:val="af7"/>
          <w:rFonts w:eastAsia="Guttman Hodes"/>
          <w:rtl/>
        </w:rPr>
        <w:instrText xml:space="preserve"> </w:instrText>
      </w:r>
      <w:r w:rsidRPr="00A6585F">
        <w:rPr>
          <w:rStyle w:val="af7"/>
          <w:rFonts w:eastAsia="Guttman Hodes" w:hint="cs"/>
        </w:rPr>
        <w:instrText>REF</w:instrText>
      </w:r>
      <w:r w:rsidRPr="00A6585F">
        <w:rPr>
          <w:rStyle w:val="af7"/>
          <w:rFonts w:eastAsia="Guttman Hodes" w:hint="cs"/>
          <w:rtl/>
        </w:rPr>
        <w:instrText xml:space="preserve"> _</w:instrText>
      </w:r>
      <w:r w:rsidRPr="00A6585F">
        <w:rPr>
          <w:rStyle w:val="af7"/>
          <w:rFonts w:eastAsia="Guttman Hodes" w:hint="cs"/>
        </w:rPr>
        <w:instrText>Ref535919799 \r \h</w:instrText>
      </w:r>
      <w:r w:rsidRPr="00A6585F">
        <w:rPr>
          <w:rStyle w:val="af7"/>
          <w:rFonts w:eastAsia="Guttman Hodes"/>
          <w:rtl/>
        </w:rPr>
        <w:instrText xml:space="preserve"> </w:instrText>
      </w:r>
      <w:r w:rsidRPr="00A6585F">
        <w:rPr>
          <w:rStyle w:val="af7"/>
          <w:rFonts w:eastAsia="Guttman Hodes"/>
          <w:rtl/>
        </w:rPr>
      </w:r>
      <w:r w:rsidRPr="00A6585F">
        <w:rPr>
          <w:rStyle w:val="af7"/>
          <w:rFonts w:eastAsia="Guttman Hodes"/>
          <w:rtl/>
        </w:rPr>
        <w:fldChar w:fldCharType="separate"/>
      </w:r>
      <w:r w:rsidR="00345400">
        <w:rPr>
          <w:rStyle w:val="af7"/>
          <w:rFonts w:eastAsia="Guttman Hodes"/>
          <w:cs/>
        </w:rPr>
        <w:t>‎</w:t>
      </w:r>
      <w:r w:rsidR="00345400">
        <w:rPr>
          <w:rStyle w:val="af7"/>
          <w:rFonts w:eastAsia="Guttman Hodes"/>
          <w:rtl/>
        </w:rPr>
        <w:t>לו)</w:t>
      </w:r>
      <w:r w:rsidRPr="00A6585F">
        <w:rPr>
          <w:rStyle w:val="af7"/>
          <w:rFonts w:eastAsia="Guttman Hodes"/>
          <w:rtl/>
        </w:rPr>
        <w:fldChar w:fldCharType="end"/>
      </w:r>
      <w:r>
        <w:rPr>
          <w:rFonts w:hint="cs"/>
          <w:rtl/>
        </w:rPr>
        <w:t xml:space="preserve"> דפסקו דקיי"ל כלישנא דמערבא בדעת ריו"ח דאין לידה לאברים, לכן מסתפקת הגמ' בדעתו, בהוציא אברים והחזיר עד שהשלים לרוב.</w:t>
      </w:r>
    </w:p>
    <w:p w14:paraId="5DA478E3" w14:textId="77777777" w:rsidR="003D504D" w:rsidRPr="00CD7453" w:rsidRDefault="003D504D" w:rsidP="003D504D">
      <w:pPr>
        <w:pStyle w:val="a3"/>
      </w:pPr>
      <w:bookmarkStart w:id="17426" w:name="_Toc536540441"/>
      <w:bookmarkStart w:id="17427" w:name="_Toc536564249"/>
      <w:bookmarkStart w:id="17428" w:name="_Toc536564404"/>
      <w:bookmarkStart w:id="17429" w:name="_Toc536616938"/>
      <w:bookmarkStart w:id="17430" w:name="_Toc19391250"/>
      <w:bookmarkStart w:id="17431" w:name="_Toc19394747"/>
      <w:r>
        <w:rPr>
          <w:rFonts w:hint="cs"/>
          <w:rtl/>
        </w:rPr>
        <w:t>ביאור הר"ן דלהרי"ף ספק הגמ' אי אחר שיצאו רוב האברים ונאסרו הם גוררים לאסור את המיעוט</w:t>
      </w:r>
      <w:bookmarkEnd w:id="17426"/>
      <w:bookmarkEnd w:id="17427"/>
      <w:bookmarkEnd w:id="17428"/>
      <w:bookmarkEnd w:id="17429"/>
      <w:bookmarkEnd w:id="17430"/>
      <w:bookmarkEnd w:id="17431"/>
    </w:p>
    <w:p w14:paraId="09BE90D5" w14:textId="77777777" w:rsidR="003D504D" w:rsidRDefault="003D504D" w:rsidP="00223668">
      <w:pPr>
        <w:pStyle w:val="a0"/>
        <w:rPr>
          <w:rtl/>
        </w:rPr>
      </w:pPr>
      <w:r>
        <w:rPr>
          <w:rFonts w:hint="cs"/>
          <w:rtl/>
        </w:rPr>
        <w:t xml:space="preserve">וכתב </w:t>
      </w:r>
      <w:r w:rsidRPr="00BB5FEE">
        <w:rPr>
          <w:rStyle w:val="af9"/>
          <w:rFonts w:hint="cs"/>
          <w:rtl/>
        </w:rPr>
        <w:t>הר"ן בחי'</w:t>
      </w:r>
      <w:r>
        <w:rPr>
          <w:rFonts w:hint="cs"/>
          <w:rtl/>
        </w:rPr>
        <w:t xml:space="preserve"> דלדברי </w:t>
      </w:r>
      <w:r>
        <w:rPr>
          <w:rStyle w:val="af9"/>
          <w:rFonts w:hint="cs"/>
          <w:rtl/>
        </w:rPr>
        <w:t>הרי"ף ו</w:t>
      </w:r>
      <w:r w:rsidRPr="00E407D4">
        <w:rPr>
          <w:rStyle w:val="af9"/>
          <w:rFonts w:hint="cs"/>
          <w:rtl/>
        </w:rPr>
        <w:t>ר"ח</w:t>
      </w:r>
      <w:r>
        <w:rPr>
          <w:rFonts w:hint="cs"/>
          <w:rtl/>
        </w:rPr>
        <w:t xml:space="preserve"> הביאור בספק הגמ' הוא, האם כיון דמודה ריו"ח בלישנא דמערבא דמה שיצא לחוץ אסור ואין לו תקנה, א"כ היכא שהוציא את רוב אבריו והחזירם, ממילא רובו אסור, ואחר שרוב העובר אסור אף המיעוט שלא יצא נאסר, או דכיון דס"ל לריו"ח דמיעוט אבר אינו נגרר אחר הרוב, והמיעוט אבר שבפנים מותר, א"כ אף מיעוט העובר אינו נגרר אחר הרוב, והאברים שלא יצאו לחוץ מותרים.</w:t>
      </w:r>
    </w:p>
    <w:p w14:paraId="6EC6F239" w14:textId="77777777" w:rsidR="003D504D" w:rsidRPr="00421FD2" w:rsidRDefault="003D504D" w:rsidP="003D504D">
      <w:pPr>
        <w:pStyle w:val="a3"/>
        <w:rPr>
          <w:rtl/>
        </w:rPr>
      </w:pPr>
      <w:bookmarkStart w:id="17432" w:name="_Toc536564250"/>
      <w:bookmarkStart w:id="17433" w:name="_Toc536564405"/>
      <w:bookmarkStart w:id="17434" w:name="_Toc536616939"/>
      <w:bookmarkStart w:id="17435" w:name="_Toc19391251"/>
      <w:bookmarkStart w:id="17436" w:name="_Toc19394748"/>
      <w:r>
        <w:rPr>
          <w:rFonts w:hint="cs"/>
          <w:rtl/>
        </w:rPr>
        <w:t>ביאור הרשב"א בר"ח דכיון דבחוץ אין האבר כילוד לכן יש צד בגמ' דכשחזר אינו מצטרף לרוב</w:t>
      </w:r>
      <w:bookmarkEnd w:id="17432"/>
      <w:bookmarkEnd w:id="17433"/>
      <w:bookmarkEnd w:id="17434"/>
      <w:bookmarkEnd w:id="17435"/>
      <w:bookmarkEnd w:id="17436"/>
    </w:p>
    <w:p w14:paraId="61477369" w14:textId="77777777" w:rsidR="003D504D" w:rsidRDefault="003D504D" w:rsidP="00223668">
      <w:pPr>
        <w:pStyle w:val="a0"/>
        <w:rPr>
          <w:rtl/>
        </w:rPr>
      </w:pPr>
      <w:r>
        <w:rPr>
          <w:rStyle w:val="af9"/>
          <w:rFonts w:hint="cs"/>
          <w:rtl/>
        </w:rPr>
        <w:t>ו</w:t>
      </w:r>
      <w:r w:rsidRPr="00E407D4">
        <w:rPr>
          <w:rStyle w:val="af9"/>
          <w:rFonts w:hint="cs"/>
          <w:rtl/>
        </w:rPr>
        <w:t>הרשב"</w:t>
      </w:r>
      <w:r>
        <w:rPr>
          <w:rStyle w:val="af9"/>
          <w:rFonts w:hint="cs"/>
          <w:rtl/>
        </w:rPr>
        <w:t>א</w:t>
      </w:r>
      <w:r w:rsidRPr="00173886">
        <w:rPr>
          <w:rStyle w:val="af9"/>
          <w:rFonts w:hint="cs"/>
          <w:rtl/>
        </w:rPr>
        <w:t xml:space="preserve"> </w:t>
      </w:r>
      <w:r>
        <w:rPr>
          <w:rStyle w:val="af9"/>
          <w:rFonts w:hint="cs"/>
          <w:rtl/>
        </w:rPr>
        <w:t>בחי'</w:t>
      </w:r>
      <w:r>
        <w:rPr>
          <w:rFonts w:hint="cs"/>
          <w:rtl/>
        </w:rPr>
        <w:t xml:space="preserve"> </w:t>
      </w:r>
      <w:r>
        <w:rPr>
          <w:rStyle w:val="af7"/>
          <w:rFonts w:eastAsiaTheme="minorHAnsi" w:hint="cs"/>
          <w:rtl/>
        </w:rPr>
        <w:t>(ד"ה בפומבדיתא)</w:t>
      </w:r>
      <w:r>
        <w:rPr>
          <w:rtl/>
        </w:rPr>
        <w:t xml:space="preserve"> </w:t>
      </w:r>
      <w:r>
        <w:rPr>
          <w:rFonts w:hint="cs"/>
          <w:rtl/>
        </w:rPr>
        <w:t xml:space="preserve">כתב דלדברי </w:t>
      </w:r>
      <w:r w:rsidRPr="00E407D4">
        <w:rPr>
          <w:rStyle w:val="af9"/>
          <w:rFonts w:hint="cs"/>
          <w:rtl/>
        </w:rPr>
        <w:t>ר"ח</w:t>
      </w:r>
      <w:r>
        <w:rPr>
          <w:rFonts w:hint="cs"/>
          <w:rtl/>
        </w:rPr>
        <w:t xml:space="preserve"> </w:t>
      </w:r>
      <w:r w:rsidRPr="00A6585F">
        <w:rPr>
          <w:rStyle w:val="af7"/>
          <w:rFonts w:eastAsia="Guttman Hodes" w:hint="cs"/>
          <w:rtl/>
        </w:rPr>
        <w:t xml:space="preserve">(עי' אות </w:t>
      </w:r>
      <w:r w:rsidRPr="00A6585F">
        <w:rPr>
          <w:rStyle w:val="af7"/>
          <w:rFonts w:eastAsia="Guttman Hodes"/>
          <w:rtl/>
        </w:rPr>
        <w:fldChar w:fldCharType="begin"/>
      </w:r>
      <w:r w:rsidRPr="00A6585F">
        <w:rPr>
          <w:rStyle w:val="af7"/>
          <w:rFonts w:eastAsia="Guttman Hodes"/>
          <w:rtl/>
        </w:rPr>
        <w:instrText xml:space="preserve"> </w:instrText>
      </w:r>
      <w:r w:rsidRPr="00A6585F">
        <w:rPr>
          <w:rStyle w:val="af7"/>
          <w:rFonts w:eastAsia="Guttman Hodes" w:hint="cs"/>
        </w:rPr>
        <w:instrText>REF</w:instrText>
      </w:r>
      <w:r w:rsidRPr="00A6585F">
        <w:rPr>
          <w:rStyle w:val="af7"/>
          <w:rFonts w:eastAsia="Guttman Hodes" w:hint="cs"/>
          <w:rtl/>
        </w:rPr>
        <w:instrText xml:space="preserve"> _</w:instrText>
      </w:r>
      <w:r w:rsidRPr="00A6585F">
        <w:rPr>
          <w:rStyle w:val="af7"/>
          <w:rFonts w:eastAsia="Guttman Hodes" w:hint="cs"/>
        </w:rPr>
        <w:instrText>Ref535919799 \r \h</w:instrText>
      </w:r>
      <w:r w:rsidRPr="00A6585F">
        <w:rPr>
          <w:rStyle w:val="af7"/>
          <w:rFonts w:eastAsia="Guttman Hodes"/>
          <w:rtl/>
        </w:rPr>
        <w:instrText xml:space="preserve"> </w:instrText>
      </w:r>
      <w:r w:rsidRPr="00A6585F">
        <w:rPr>
          <w:rStyle w:val="af7"/>
          <w:rFonts w:eastAsia="Guttman Hodes"/>
          <w:rtl/>
        </w:rPr>
      </w:r>
      <w:r w:rsidRPr="00A6585F">
        <w:rPr>
          <w:rStyle w:val="af7"/>
          <w:rFonts w:eastAsia="Guttman Hodes"/>
          <w:rtl/>
        </w:rPr>
        <w:fldChar w:fldCharType="separate"/>
      </w:r>
      <w:r w:rsidR="00345400">
        <w:rPr>
          <w:rStyle w:val="af7"/>
          <w:rFonts w:eastAsia="Guttman Hodes"/>
          <w:cs/>
        </w:rPr>
        <w:t>‎</w:t>
      </w:r>
      <w:r w:rsidR="00345400">
        <w:rPr>
          <w:rStyle w:val="af7"/>
          <w:rFonts w:eastAsia="Guttman Hodes"/>
          <w:rtl/>
        </w:rPr>
        <w:t>לו)</w:t>
      </w:r>
      <w:r w:rsidRPr="00A6585F">
        <w:rPr>
          <w:rStyle w:val="af7"/>
          <w:rFonts w:eastAsia="Guttman Hodes"/>
          <w:rtl/>
        </w:rPr>
        <w:fldChar w:fldCharType="end"/>
      </w:r>
      <w:r>
        <w:rPr>
          <w:rStyle w:val="af7"/>
          <w:rFonts w:eastAsia="Guttman Hodes" w:hint="cs"/>
          <w:rtl/>
        </w:rPr>
        <w:t xml:space="preserve"> </w:t>
      </w:r>
      <w:r>
        <w:rPr>
          <w:rFonts w:hint="cs"/>
          <w:rtl/>
        </w:rPr>
        <w:t xml:space="preserve">הביאור בצד דאין האברים שיצאו מצטרפים לרוב, הוא כיון דאף דלריו"ח ללישנא דמערבא האבר שחזר אסור, מ"מ כיון דאין דין האבר כילוד, ומיעוט האבר שבפנים מותר, א"כ אפש"ל דחזרת האבר תועיל לענין שלא יצטרף עם האברים שיצאו אח"כ, להחשיב את כל העובר כילוד ע"י רוב האברים שיצאו וחזרו, דכיון שבשעת יציאת האבר לא היה האבר כילוד, לכן כשחזר לפנים אינו מצטרף להחשיבו כילוד, וכתב </w:t>
      </w:r>
      <w:r w:rsidRPr="00E407D4">
        <w:rPr>
          <w:rStyle w:val="af9"/>
          <w:rFonts w:hint="cs"/>
          <w:rtl/>
        </w:rPr>
        <w:t>הרשב"א</w:t>
      </w:r>
      <w:r>
        <w:rPr>
          <w:rFonts w:hint="cs"/>
          <w:rtl/>
        </w:rPr>
        <w:t xml:space="preserve"> דנראה לו כפירוש </w:t>
      </w:r>
      <w:r w:rsidRPr="00E407D4">
        <w:rPr>
          <w:rStyle w:val="af9"/>
          <w:rFonts w:hint="cs"/>
          <w:rtl/>
        </w:rPr>
        <w:t>ר"ח</w:t>
      </w:r>
      <w:r>
        <w:rPr>
          <w:rFonts w:hint="cs"/>
          <w:rtl/>
        </w:rPr>
        <w:t>.</w:t>
      </w:r>
    </w:p>
    <w:p w14:paraId="0D2362FB" w14:textId="77777777" w:rsidR="003D504D" w:rsidRDefault="003D504D" w:rsidP="003D504D">
      <w:pPr>
        <w:pStyle w:val="a3"/>
        <w:rPr>
          <w:rtl/>
        </w:rPr>
      </w:pPr>
      <w:bookmarkStart w:id="17437" w:name="_Toc536564251"/>
      <w:bookmarkStart w:id="17438" w:name="_Toc536564406"/>
      <w:bookmarkStart w:id="17439" w:name="_Toc536616940"/>
      <w:bookmarkStart w:id="17440" w:name="_Toc19391252"/>
      <w:bookmarkStart w:id="17441" w:name="_Toc19394749"/>
      <w:r>
        <w:rPr>
          <w:rFonts w:hint="cs"/>
          <w:rtl/>
        </w:rPr>
        <w:t>דברי הראש יוסף דלריו"ח האבר שחזר אסור מגזיה"כ אך מהני החזרה להתיר את הנשאר בפנים</w:t>
      </w:r>
      <w:bookmarkEnd w:id="17437"/>
      <w:bookmarkEnd w:id="17438"/>
      <w:bookmarkEnd w:id="17439"/>
      <w:bookmarkEnd w:id="17440"/>
      <w:bookmarkEnd w:id="17441"/>
    </w:p>
    <w:p w14:paraId="2198F6E0" w14:textId="77777777" w:rsidR="003D504D" w:rsidRDefault="003D504D" w:rsidP="00223668">
      <w:pPr>
        <w:pStyle w:val="a0"/>
        <w:rPr>
          <w:rtl/>
        </w:rPr>
      </w:pPr>
      <w:bookmarkStart w:id="17442" w:name="_Ref535943895"/>
      <w:r>
        <w:rPr>
          <w:rStyle w:val="af9"/>
          <w:rFonts w:hint="cs"/>
          <w:rtl/>
        </w:rPr>
        <w:t>ו</w:t>
      </w:r>
      <w:r w:rsidRPr="007506BE">
        <w:rPr>
          <w:rStyle w:val="af9"/>
          <w:rFonts w:hint="cs"/>
          <w:rtl/>
        </w:rPr>
        <w:t>הראש יוסף</w:t>
      </w:r>
      <w:r>
        <w:rPr>
          <w:rFonts w:hint="cs"/>
          <w:rtl/>
        </w:rPr>
        <w:t xml:space="preserve"> </w:t>
      </w:r>
      <w:r w:rsidRPr="003F56E9">
        <w:rPr>
          <w:rStyle w:val="af7"/>
          <w:rFonts w:eastAsia="Guttman Hodes" w:hint="cs"/>
          <w:rtl/>
        </w:rPr>
        <w:t>(סוד"ה מאי)</w:t>
      </w:r>
      <w:r>
        <w:rPr>
          <w:rFonts w:hint="cs"/>
          <w:rtl/>
        </w:rPr>
        <w:t xml:space="preserve"> ביאר דלדברי </w:t>
      </w:r>
      <w:r w:rsidRPr="007506BE">
        <w:rPr>
          <w:rStyle w:val="af9"/>
          <w:rFonts w:hint="cs"/>
          <w:rtl/>
        </w:rPr>
        <w:t>הרי"ף</w:t>
      </w:r>
      <w:r>
        <w:rPr>
          <w:rFonts w:hint="cs"/>
          <w:rtl/>
        </w:rPr>
        <w:t xml:space="preserve"> </w:t>
      </w:r>
      <w:r w:rsidRPr="003F56E9">
        <w:rPr>
          <w:rStyle w:val="af7"/>
          <w:rFonts w:eastAsia="Guttman Hodes" w:hint="cs"/>
          <w:rtl/>
        </w:rPr>
        <w:t xml:space="preserve">(עי' אות </w:t>
      </w:r>
      <w:r w:rsidRPr="003F56E9">
        <w:rPr>
          <w:rStyle w:val="af7"/>
          <w:rFonts w:eastAsia="Guttman Hodes"/>
          <w:rtl/>
        </w:rPr>
        <w:fldChar w:fldCharType="begin"/>
      </w:r>
      <w:r w:rsidRPr="003F56E9">
        <w:rPr>
          <w:rStyle w:val="af7"/>
          <w:rFonts w:eastAsia="Guttman Hodes"/>
          <w:rtl/>
        </w:rPr>
        <w:instrText xml:space="preserve"> </w:instrText>
      </w:r>
      <w:r w:rsidRPr="003F56E9">
        <w:rPr>
          <w:rStyle w:val="af7"/>
          <w:rFonts w:eastAsia="Guttman Hodes" w:hint="cs"/>
        </w:rPr>
        <w:instrText>REF</w:instrText>
      </w:r>
      <w:r w:rsidRPr="003F56E9">
        <w:rPr>
          <w:rStyle w:val="af7"/>
          <w:rFonts w:eastAsia="Guttman Hodes" w:hint="cs"/>
          <w:rtl/>
        </w:rPr>
        <w:instrText xml:space="preserve"> _</w:instrText>
      </w:r>
      <w:r w:rsidRPr="003F56E9">
        <w:rPr>
          <w:rStyle w:val="af7"/>
          <w:rFonts w:eastAsia="Guttman Hodes" w:hint="cs"/>
        </w:rPr>
        <w:instrText>Ref535941629 \r \h</w:instrText>
      </w:r>
      <w:r w:rsidRPr="003F56E9">
        <w:rPr>
          <w:rStyle w:val="af7"/>
          <w:rFonts w:eastAsia="Guttman Hodes"/>
          <w:rtl/>
        </w:rPr>
        <w:instrText xml:space="preserve"> </w:instrText>
      </w:r>
      <w:r w:rsidRPr="003F56E9">
        <w:rPr>
          <w:rStyle w:val="af7"/>
          <w:rFonts w:eastAsia="Guttman Hodes"/>
          <w:rtl/>
        </w:rPr>
      </w:r>
      <w:r w:rsidRPr="003F56E9">
        <w:rPr>
          <w:rStyle w:val="af7"/>
          <w:rFonts w:eastAsia="Guttman Hodes"/>
          <w:rtl/>
        </w:rPr>
        <w:fldChar w:fldCharType="separate"/>
      </w:r>
      <w:r w:rsidR="00345400">
        <w:rPr>
          <w:rStyle w:val="af7"/>
          <w:rFonts w:eastAsia="Guttman Hodes"/>
          <w:cs/>
        </w:rPr>
        <w:t>‎</w:t>
      </w:r>
      <w:r w:rsidR="00345400">
        <w:rPr>
          <w:rStyle w:val="af7"/>
          <w:rFonts w:eastAsia="Guttman Hodes"/>
          <w:rtl/>
        </w:rPr>
        <w:t>לג)</w:t>
      </w:r>
      <w:r w:rsidRPr="003F56E9">
        <w:rPr>
          <w:rStyle w:val="af7"/>
          <w:rFonts w:eastAsia="Guttman Hodes"/>
          <w:rtl/>
        </w:rPr>
        <w:fldChar w:fldCharType="end"/>
      </w:r>
      <w:r>
        <w:rPr>
          <w:rStyle w:val="af7"/>
          <w:rFonts w:eastAsia="Guttman Hodes" w:hint="cs"/>
          <w:rtl/>
        </w:rPr>
        <w:t xml:space="preserve"> </w:t>
      </w:r>
      <w:r>
        <w:rPr>
          <w:rFonts w:hint="cs"/>
          <w:rtl/>
        </w:rPr>
        <w:t>ספק הגמ' הוא רק למ"ד דאין לידה לאברים, דאף דהחזרה אינה מתירה את האבר, מ"מ זהו לגבי האבר עצמו שיש בו גזיה"כ "בשר בשדה טריפה", אבל לענין מה שבפנים, מהני חזרת האבר להתיר את הנשאר, אבל למ"ד דיש לידה לאברים, אף כשהחזיר את האבר חשיב שלא החזירו, וא"כ חשיב שיש רוב בחוץ בבת אחת, ולכן הגמ' לא מסתפקת למ"ד דיש לידה לאברים, דלדבריו פשיטא דאסור.</w:t>
      </w:r>
      <w:bookmarkEnd w:id="17442"/>
    </w:p>
    <w:p w14:paraId="0443B1FD" w14:textId="77777777" w:rsidR="003D504D" w:rsidRDefault="003D504D" w:rsidP="003D504D">
      <w:pPr>
        <w:pStyle w:val="a3"/>
        <w:rPr>
          <w:rtl/>
        </w:rPr>
      </w:pPr>
      <w:bookmarkStart w:id="17443" w:name="_Toc536540442"/>
      <w:bookmarkStart w:id="17444" w:name="_Toc536564252"/>
      <w:bookmarkStart w:id="17445" w:name="_Toc536564407"/>
      <w:bookmarkStart w:id="17446" w:name="_Toc536616941"/>
      <w:bookmarkStart w:id="17447" w:name="_Toc536178399"/>
      <w:bookmarkStart w:id="17448" w:name="_Toc536180781"/>
      <w:bookmarkStart w:id="17449" w:name="_Toc536305034"/>
      <w:bookmarkStart w:id="17450" w:name="_Toc536305115"/>
      <w:bookmarkStart w:id="17451" w:name="_Toc536459335"/>
      <w:bookmarkStart w:id="17452" w:name="_Toc536466291"/>
    </w:p>
    <w:p w14:paraId="340FFCBF" w14:textId="77777777" w:rsidR="003D504D" w:rsidRDefault="003D504D" w:rsidP="003D504D">
      <w:pPr>
        <w:pStyle w:val="a3"/>
        <w:rPr>
          <w:rtl/>
        </w:rPr>
      </w:pPr>
      <w:bookmarkStart w:id="17453" w:name="_Toc19391253"/>
      <w:bookmarkStart w:id="17454" w:name="_Toc19394750"/>
      <w:r>
        <w:rPr>
          <w:rFonts w:hint="cs"/>
          <w:rtl/>
        </w:rPr>
        <w:t>דברי הצל"ח דרש"י לא פירש כרי"ף כיון דלהרי"ף פשיטא דביצאו וחזרו מצטרפין לרוב</w:t>
      </w:r>
      <w:bookmarkEnd w:id="17443"/>
      <w:bookmarkEnd w:id="17444"/>
      <w:bookmarkEnd w:id="17445"/>
      <w:bookmarkEnd w:id="17446"/>
      <w:bookmarkEnd w:id="17453"/>
      <w:bookmarkEnd w:id="17454"/>
    </w:p>
    <w:p w14:paraId="645FE9F3" w14:textId="77777777" w:rsidR="003D504D" w:rsidRDefault="003D504D" w:rsidP="00223668">
      <w:pPr>
        <w:pStyle w:val="a0"/>
        <w:rPr>
          <w:rtl/>
        </w:rPr>
      </w:pPr>
      <w:r>
        <w:rPr>
          <w:rFonts w:hint="cs"/>
          <w:rtl/>
        </w:rPr>
        <w:t xml:space="preserve">כתב </w:t>
      </w:r>
      <w:r w:rsidRPr="002011CF">
        <w:rPr>
          <w:rStyle w:val="af9"/>
          <w:rFonts w:hint="cs"/>
          <w:rtl/>
        </w:rPr>
        <w:t>הצל"ח</w:t>
      </w:r>
      <w:r>
        <w:rPr>
          <w:rFonts w:hint="cs"/>
          <w:rtl/>
        </w:rPr>
        <w:t xml:space="preserve"> </w:t>
      </w:r>
      <w:r w:rsidRPr="00777045">
        <w:rPr>
          <w:rStyle w:val="af7"/>
          <w:rFonts w:eastAsia="Guttman Hodes" w:hint="cs"/>
          <w:rtl/>
        </w:rPr>
        <w:t>(ד"ה והא)</w:t>
      </w:r>
      <w:r>
        <w:rPr>
          <w:rFonts w:hint="cs"/>
          <w:rtl/>
        </w:rPr>
        <w:t xml:space="preserve"> </w:t>
      </w:r>
      <w:r w:rsidRPr="002011CF">
        <w:rPr>
          <w:rStyle w:val="af9"/>
          <w:rFonts w:hint="cs"/>
          <w:rtl/>
        </w:rPr>
        <w:t>דרש"י</w:t>
      </w:r>
      <w:r>
        <w:rPr>
          <w:rFonts w:hint="cs"/>
          <w:rtl/>
        </w:rPr>
        <w:t xml:space="preserve"> </w:t>
      </w:r>
      <w:r w:rsidRPr="00777045">
        <w:rPr>
          <w:rStyle w:val="af7"/>
          <w:rFonts w:eastAsia="Guttman Hodes" w:hint="cs"/>
          <w:rtl/>
        </w:rPr>
        <w:t xml:space="preserve">(עי' אות </w:t>
      </w:r>
      <w:r w:rsidRPr="00777045">
        <w:rPr>
          <w:rStyle w:val="af7"/>
          <w:rFonts w:eastAsia="Guttman Hodes"/>
          <w:rtl/>
        </w:rPr>
        <w:fldChar w:fldCharType="begin"/>
      </w:r>
      <w:r w:rsidRPr="00777045">
        <w:rPr>
          <w:rStyle w:val="af7"/>
          <w:rFonts w:eastAsia="Guttman Hodes"/>
          <w:rtl/>
        </w:rPr>
        <w:instrText xml:space="preserve"> </w:instrText>
      </w:r>
      <w:r w:rsidRPr="00777045">
        <w:rPr>
          <w:rStyle w:val="af7"/>
          <w:rFonts w:eastAsia="Guttman Hodes" w:hint="cs"/>
        </w:rPr>
        <w:instrText>REF</w:instrText>
      </w:r>
      <w:r w:rsidRPr="00777045">
        <w:rPr>
          <w:rStyle w:val="af7"/>
          <w:rFonts w:eastAsia="Guttman Hodes" w:hint="cs"/>
          <w:rtl/>
        </w:rPr>
        <w:instrText xml:space="preserve"> _</w:instrText>
      </w:r>
      <w:r w:rsidRPr="00777045">
        <w:rPr>
          <w:rStyle w:val="af7"/>
          <w:rFonts w:eastAsia="Guttman Hodes" w:hint="cs"/>
        </w:rPr>
        <w:instrText>Ref536437522 \r \h</w:instrText>
      </w:r>
      <w:r w:rsidRPr="00777045">
        <w:rPr>
          <w:rStyle w:val="af7"/>
          <w:rFonts w:eastAsia="Guttman Hodes"/>
          <w:rtl/>
        </w:rPr>
        <w:instrText xml:space="preserve"> </w:instrText>
      </w:r>
      <w:r w:rsidRPr="00777045">
        <w:rPr>
          <w:rStyle w:val="af7"/>
          <w:rFonts w:eastAsia="Guttman Hodes"/>
          <w:rtl/>
        </w:rPr>
      </w:r>
      <w:r w:rsidRPr="00777045">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777045">
        <w:rPr>
          <w:rStyle w:val="af7"/>
          <w:rFonts w:eastAsia="Guttman Hodes"/>
          <w:rtl/>
        </w:rPr>
        <w:fldChar w:fldCharType="end"/>
      </w:r>
      <w:r>
        <w:rPr>
          <w:rFonts w:hint="cs"/>
          <w:rtl/>
        </w:rPr>
        <w:t xml:space="preserve"> לא ביאר את הלישנא דמערבא </w:t>
      </w:r>
      <w:r w:rsidRPr="002011CF">
        <w:rPr>
          <w:rStyle w:val="af9"/>
          <w:rFonts w:hint="cs"/>
          <w:rtl/>
        </w:rPr>
        <w:t>כהרי"ף ור"ח</w:t>
      </w:r>
      <w:r>
        <w:rPr>
          <w:rFonts w:hint="cs"/>
          <w:rtl/>
        </w:rPr>
        <w:t xml:space="preserve"> </w:t>
      </w:r>
      <w:r w:rsidRPr="00777045">
        <w:rPr>
          <w:rStyle w:val="af7"/>
          <w:rFonts w:eastAsia="Guttman Hodes" w:hint="cs"/>
          <w:rtl/>
        </w:rPr>
        <w:t xml:space="preserve">(עי' אות </w:t>
      </w:r>
      <w:r w:rsidRPr="00777045">
        <w:rPr>
          <w:rStyle w:val="af7"/>
          <w:rFonts w:eastAsia="Guttman Hodes"/>
          <w:rtl/>
        </w:rPr>
        <w:fldChar w:fldCharType="begin"/>
      </w:r>
      <w:r w:rsidRPr="00777045">
        <w:rPr>
          <w:rStyle w:val="af7"/>
          <w:rFonts w:eastAsia="Guttman Hodes"/>
          <w:rtl/>
        </w:rPr>
        <w:instrText xml:space="preserve"> </w:instrText>
      </w:r>
      <w:r w:rsidRPr="00777045">
        <w:rPr>
          <w:rStyle w:val="af7"/>
          <w:rFonts w:eastAsia="Guttman Hodes" w:hint="cs"/>
        </w:rPr>
        <w:instrText>REF</w:instrText>
      </w:r>
      <w:r w:rsidRPr="00777045">
        <w:rPr>
          <w:rStyle w:val="af7"/>
          <w:rFonts w:eastAsia="Guttman Hodes" w:hint="cs"/>
          <w:rtl/>
        </w:rPr>
        <w:instrText xml:space="preserve"> _</w:instrText>
      </w:r>
      <w:r w:rsidRPr="00777045">
        <w:rPr>
          <w:rStyle w:val="af7"/>
          <w:rFonts w:eastAsia="Guttman Hodes" w:hint="cs"/>
        </w:rPr>
        <w:instrText>Ref536437539 \r \h</w:instrText>
      </w:r>
      <w:r w:rsidRPr="00777045">
        <w:rPr>
          <w:rStyle w:val="af7"/>
          <w:rFonts w:eastAsia="Guttman Hodes"/>
          <w:rtl/>
        </w:rPr>
        <w:instrText xml:space="preserve"> </w:instrText>
      </w:r>
      <w:r w:rsidRPr="00777045">
        <w:rPr>
          <w:rStyle w:val="af7"/>
          <w:rFonts w:eastAsia="Guttman Hodes"/>
          <w:rtl/>
        </w:rPr>
      </w:r>
      <w:r w:rsidRPr="00777045">
        <w:rPr>
          <w:rStyle w:val="af7"/>
          <w:rFonts w:eastAsia="Guttman Hodes"/>
          <w:rtl/>
        </w:rPr>
        <w:fldChar w:fldCharType="separate"/>
      </w:r>
      <w:r w:rsidR="00345400">
        <w:rPr>
          <w:rStyle w:val="af7"/>
          <w:rFonts w:eastAsia="Guttman Hodes"/>
          <w:cs/>
        </w:rPr>
        <w:t>‎</w:t>
      </w:r>
      <w:r w:rsidR="00345400">
        <w:rPr>
          <w:rStyle w:val="af7"/>
          <w:rFonts w:eastAsia="Guttman Hodes"/>
          <w:rtl/>
        </w:rPr>
        <w:t>לג)</w:t>
      </w:r>
      <w:r w:rsidRPr="00777045">
        <w:rPr>
          <w:rStyle w:val="af7"/>
          <w:rFonts w:eastAsia="Guttman Hodes"/>
          <w:rtl/>
        </w:rPr>
        <w:fldChar w:fldCharType="end"/>
      </w:r>
      <w:r>
        <w:rPr>
          <w:rFonts w:hint="cs"/>
          <w:rtl/>
        </w:rPr>
        <w:t xml:space="preserve"> דלכו"ע האבר עצמו שיצא אסור, כיון דלפי ביאורם קשה מה מסתפקת הגמ' בהוציא אברים והחזירם עד שהשלים לרוב, הרי כיון שלאבר עצמו לא מהני החזרה להתירו, כ"ש דלא מהני שלא יצטרף לרוב, ופשיטא דאסור, וכתב </w:t>
      </w:r>
      <w:r w:rsidRPr="00692714">
        <w:rPr>
          <w:rStyle w:val="af9"/>
          <w:rFonts w:hint="cs"/>
          <w:rtl/>
        </w:rPr>
        <w:t>הצל"ח</w:t>
      </w:r>
      <w:r>
        <w:rPr>
          <w:rFonts w:hint="cs"/>
          <w:rtl/>
        </w:rPr>
        <w:t xml:space="preserve"> דכן מוכח מהא דלל"ק העמיד רב את היתר החזרה במקום חתך, ואי בהוציא אברים והחזירם עד שהשלים לרוב מותר, היה אפשר להעמיד את המשנה בכה"ג דכשלא החזיר את רוב האברים אסור אף המיעוט שבפנים, ובהחזירם המיעוט מותר, אלא מוכח דלל"ק לא מהני חזרת האבר לרב כלל, אלא כתב </w:t>
      </w:r>
      <w:r w:rsidRPr="00966980">
        <w:rPr>
          <w:rStyle w:val="af9"/>
          <w:rFonts w:hint="cs"/>
          <w:rtl/>
        </w:rPr>
        <w:t>הצל"ח</w:t>
      </w:r>
      <w:r>
        <w:rPr>
          <w:rFonts w:hint="cs"/>
          <w:rtl/>
        </w:rPr>
        <w:t xml:space="preserve"> דמזה הוכיח </w:t>
      </w:r>
      <w:r w:rsidRPr="00966980">
        <w:rPr>
          <w:rStyle w:val="af9"/>
          <w:rFonts w:hint="cs"/>
          <w:rtl/>
        </w:rPr>
        <w:t>רש"י</w:t>
      </w:r>
      <w:r>
        <w:rPr>
          <w:rFonts w:hint="cs"/>
          <w:rtl/>
        </w:rPr>
        <w:t xml:space="preserve"> דאף ללישנא דמערבא ס"ל לריו"ח דאף האבר עצמו מותר, עיי"ש </w:t>
      </w:r>
      <w:r>
        <w:rPr>
          <w:rStyle w:val="af9"/>
          <w:rFonts w:hint="cs"/>
          <w:rtl/>
        </w:rPr>
        <w:t>ב</w:t>
      </w:r>
      <w:r w:rsidRPr="002011CF">
        <w:rPr>
          <w:rStyle w:val="af9"/>
          <w:rFonts w:hint="cs"/>
          <w:rtl/>
        </w:rPr>
        <w:t>צל"ח</w:t>
      </w:r>
      <w:r>
        <w:rPr>
          <w:rFonts w:hint="cs"/>
          <w:rtl/>
        </w:rPr>
        <w:t xml:space="preserve"> שהוסיף להוכיח כדברי </w:t>
      </w:r>
      <w:r w:rsidRPr="00777045">
        <w:rPr>
          <w:rStyle w:val="af9"/>
          <w:rFonts w:hint="cs"/>
          <w:rtl/>
        </w:rPr>
        <w:t>רש"י</w:t>
      </w:r>
      <w:r>
        <w:rPr>
          <w:rFonts w:hint="cs"/>
          <w:rtl/>
        </w:rPr>
        <w:t>.</w:t>
      </w:r>
    </w:p>
    <w:p w14:paraId="4E9F02D1" w14:textId="77777777" w:rsidR="003D504D" w:rsidRDefault="003D504D" w:rsidP="003D504D">
      <w:pPr>
        <w:pStyle w:val="afe"/>
        <w:rPr>
          <w:rtl/>
        </w:rPr>
      </w:pPr>
      <w:bookmarkStart w:id="17455" w:name="_Toc536540443"/>
      <w:bookmarkStart w:id="17456" w:name="_Toc536564253"/>
      <w:bookmarkStart w:id="17457" w:name="_Toc536564408"/>
      <w:bookmarkStart w:id="17458" w:name="_Toc536616942"/>
      <w:bookmarkStart w:id="17459" w:name="_Toc19436073"/>
      <w:bookmarkStart w:id="17460" w:name="_Toc20081267"/>
      <w:r>
        <w:rPr>
          <w:rFonts w:hint="cs"/>
          <w:rtl/>
        </w:rPr>
        <w:t>בספק בהוציא אברים וחתכם</w:t>
      </w:r>
      <w:bookmarkEnd w:id="17361"/>
      <w:bookmarkEnd w:id="17447"/>
      <w:bookmarkEnd w:id="17448"/>
      <w:bookmarkEnd w:id="17449"/>
      <w:bookmarkEnd w:id="17450"/>
      <w:bookmarkEnd w:id="17451"/>
      <w:bookmarkEnd w:id="17452"/>
      <w:bookmarkEnd w:id="17455"/>
      <w:bookmarkEnd w:id="17456"/>
      <w:bookmarkEnd w:id="17457"/>
      <w:r>
        <w:rPr>
          <w:rFonts w:hint="cs"/>
          <w:rtl/>
        </w:rPr>
        <w:t xml:space="preserve"> והשלים לרוב</w:t>
      </w:r>
      <w:bookmarkEnd w:id="17458"/>
      <w:bookmarkEnd w:id="17459"/>
      <w:bookmarkEnd w:id="17460"/>
    </w:p>
    <w:p w14:paraId="453BE936" w14:textId="77777777" w:rsidR="003D504D" w:rsidRPr="00452359" w:rsidRDefault="003D504D" w:rsidP="00BF39B2">
      <w:pPr>
        <w:pStyle w:val="1"/>
        <w:rPr>
          <w:rtl/>
        </w:rPr>
      </w:pPr>
      <w:bookmarkStart w:id="17461" w:name="_Toc536540444"/>
      <w:bookmarkStart w:id="17462" w:name="_Toc536564254"/>
      <w:bookmarkStart w:id="17463" w:name="_Toc536564409"/>
      <w:bookmarkStart w:id="17464" w:name="_Toc536616943"/>
      <w:bookmarkStart w:id="17465" w:name="_Toc19391254"/>
      <w:bookmarkStart w:id="17466" w:name="_Toc19394751"/>
      <w:r>
        <w:rPr>
          <w:rFonts w:hint="cs"/>
          <w:rtl/>
        </w:rPr>
        <w:t>ביאור רש"י בספק הוציא אברים וחתכם</w:t>
      </w:r>
      <w:bookmarkEnd w:id="17461"/>
      <w:bookmarkEnd w:id="17462"/>
      <w:bookmarkEnd w:id="17463"/>
      <w:r w:rsidRPr="001C51E6">
        <w:rPr>
          <w:rFonts w:hint="cs"/>
          <w:rtl/>
        </w:rPr>
        <w:t xml:space="preserve"> </w:t>
      </w:r>
      <w:r>
        <w:rPr>
          <w:rFonts w:hint="cs"/>
          <w:rtl/>
        </w:rPr>
        <w:t>והשלים לרוב</w:t>
      </w:r>
      <w:bookmarkEnd w:id="17464"/>
      <w:bookmarkEnd w:id="17465"/>
      <w:bookmarkEnd w:id="17466"/>
    </w:p>
    <w:p w14:paraId="266E9BEE" w14:textId="77777777" w:rsidR="003D504D" w:rsidRDefault="003D504D" w:rsidP="003D504D">
      <w:pPr>
        <w:pStyle w:val="a3"/>
        <w:rPr>
          <w:rtl/>
        </w:rPr>
      </w:pPr>
      <w:bookmarkStart w:id="17467" w:name="_Toc536540445"/>
      <w:bookmarkStart w:id="17468" w:name="_Toc536564255"/>
      <w:bookmarkStart w:id="17469" w:name="_Toc536564410"/>
      <w:bookmarkStart w:id="17470" w:name="_Toc536616944"/>
      <w:bookmarkStart w:id="17471" w:name="_Toc19391255"/>
      <w:bookmarkStart w:id="17472" w:name="_Toc19394752"/>
      <w:r>
        <w:rPr>
          <w:rFonts w:hint="cs"/>
          <w:rtl/>
        </w:rPr>
        <w:t>דברי רש"י דהספק הוא אף לרב דכיון שחתך את האברים שיצאו אין רוב אברים שיצאו בבת אחת</w:t>
      </w:r>
      <w:bookmarkEnd w:id="17467"/>
      <w:bookmarkEnd w:id="17468"/>
      <w:bookmarkEnd w:id="17469"/>
      <w:bookmarkEnd w:id="17470"/>
      <w:bookmarkEnd w:id="17471"/>
      <w:bookmarkEnd w:id="17472"/>
    </w:p>
    <w:p w14:paraId="7C60AEBB" w14:textId="77777777" w:rsidR="003D504D" w:rsidRDefault="003D504D" w:rsidP="00223668">
      <w:pPr>
        <w:pStyle w:val="a0"/>
        <w:rPr>
          <w:rtl/>
        </w:rPr>
      </w:pPr>
      <w:r>
        <w:rPr>
          <w:rFonts w:hint="cs"/>
          <w:rtl/>
        </w:rPr>
        <w:t xml:space="preserve">כתב </w:t>
      </w:r>
      <w:r w:rsidRPr="00B24605">
        <w:rPr>
          <w:rStyle w:val="af9"/>
          <w:rFonts w:hint="cs"/>
          <w:rtl/>
        </w:rPr>
        <w:t>רש"י</w:t>
      </w:r>
      <w:r>
        <w:rPr>
          <w:rFonts w:hint="cs"/>
          <w:rtl/>
        </w:rPr>
        <w:t xml:space="preserve"> </w:t>
      </w:r>
      <w:r w:rsidRPr="00B24605">
        <w:rPr>
          <w:rStyle w:val="af7"/>
          <w:rFonts w:eastAsia="Guttman Hodes" w:hint="cs"/>
          <w:rtl/>
        </w:rPr>
        <w:t xml:space="preserve">(ד"ה ואם תימצי) </w:t>
      </w:r>
      <w:r>
        <w:rPr>
          <w:rFonts w:hint="cs"/>
          <w:rtl/>
        </w:rPr>
        <w:t>דהספק בהוציא אבר וחתכו והוציא עוד אבר וחתכו, עד שהשלים לרוב, אי בעינן רוב בבת אחת, הוא אף למ"ד דיש לידה לאברים.</w:t>
      </w:r>
    </w:p>
    <w:p w14:paraId="241C41C2" w14:textId="77777777" w:rsidR="003D504D" w:rsidRDefault="003D504D" w:rsidP="00BF39B2">
      <w:pPr>
        <w:pStyle w:val="1"/>
        <w:rPr>
          <w:rtl/>
        </w:rPr>
      </w:pPr>
      <w:bookmarkStart w:id="17473" w:name="_Toc536540446"/>
      <w:bookmarkStart w:id="17474" w:name="_Toc536564256"/>
      <w:bookmarkStart w:id="17475" w:name="_Toc536564411"/>
      <w:bookmarkStart w:id="17476" w:name="_Toc536616945"/>
      <w:bookmarkStart w:id="17477" w:name="_Toc19391256"/>
      <w:bookmarkStart w:id="17478" w:name="_Toc19394753"/>
      <w:r>
        <w:rPr>
          <w:rFonts w:hint="cs"/>
          <w:rtl/>
        </w:rPr>
        <w:t>ביאור הגרעק"א ברש"י בספיקות אי האברים מצטרפין לרוב</w:t>
      </w:r>
      <w:bookmarkEnd w:id="17473"/>
      <w:bookmarkEnd w:id="17474"/>
      <w:bookmarkEnd w:id="17475"/>
      <w:bookmarkEnd w:id="17476"/>
      <w:bookmarkEnd w:id="17477"/>
      <w:bookmarkEnd w:id="17478"/>
    </w:p>
    <w:p w14:paraId="6B1372D6" w14:textId="77777777" w:rsidR="003D504D" w:rsidRPr="005625AD" w:rsidRDefault="003D504D" w:rsidP="003D504D">
      <w:pPr>
        <w:pStyle w:val="a3"/>
        <w:rPr>
          <w:rtl/>
        </w:rPr>
      </w:pPr>
      <w:bookmarkStart w:id="17479" w:name="_Toc536540447"/>
      <w:bookmarkStart w:id="17480" w:name="_Toc536564257"/>
      <w:bookmarkStart w:id="17481" w:name="_Toc536564412"/>
      <w:bookmarkStart w:id="17482" w:name="_Toc536616946"/>
      <w:bookmarkStart w:id="17483" w:name="_Toc19391257"/>
      <w:bookmarkStart w:id="17484" w:name="_Toc19394754"/>
      <w:r>
        <w:rPr>
          <w:rFonts w:hint="cs"/>
          <w:rtl/>
        </w:rPr>
        <w:t>קושית הגרעק"א דלרב דפשיטא בספק הראשון דמשלימים לרוב א"כ כ"ש דמשלימים</w:t>
      </w:r>
      <w:r w:rsidRPr="00D42401">
        <w:rPr>
          <w:rFonts w:hint="cs"/>
          <w:rtl/>
        </w:rPr>
        <w:t xml:space="preserve"> </w:t>
      </w:r>
      <w:r>
        <w:rPr>
          <w:rFonts w:hint="cs"/>
          <w:rtl/>
        </w:rPr>
        <w:t>בספק השני</w:t>
      </w:r>
      <w:bookmarkEnd w:id="17479"/>
      <w:bookmarkEnd w:id="17480"/>
      <w:bookmarkEnd w:id="17481"/>
      <w:bookmarkEnd w:id="17482"/>
      <w:bookmarkEnd w:id="17483"/>
      <w:bookmarkEnd w:id="17484"/>
    </w:p>
    <w:p w14:paraId="642960E5" w14:textId="77777777" w:rsidR="003D504D" w:rsidRDefault="003D504D" w:rsidP="00223668">
      <w:pPr>
        <w:pStyle w:val="a0"/>
        <w:rPr>
          <w:rtl/>
        </w:rPr>
      </w:pPr>
      <w:bookmarkStart w:id="17485" w:name="_Ref536129284"/>
      <w:r>
        <w:rPr>
          <w:rFonts w:hint="cs"/>
          <w:rtl/>
        </w:rPr>
        <w:t xml:space="preserve">והקשה </w:t>
      </w:r>
      <w:r w:rsidRPr="005625AD">
        <w:rPr>
          <w:rStyle w:val="af9"/>
          <w:rFonts w:hint="cs"/>
          <w:rtl/>
        </w:rPr>
        <w:t>הגרעק"א</w:t>
      </w:r>
      <w:r>
        <w:rPr>
          <w:rFonts w:hint="cs"/>
          <w:rtl/>
        </w:rPr>
        <w:t xml:space="preserve"> </w:t>
      </w:r>
      <w:r w:rsidRPr="00B31699">
        <w:rPr>
          <w:rStyle w:val="af7"/>
          <w:rFonts w:eastAsia="Guttman Hodes" w:hint="cs"/>
          <w:rtl/>
        </w:rPr>
        <w:t>(על רש"י ד"ה או)</w:t>
      </w:r>
      <w:r>
        <w:rPr>
          <w:rFonts w:hint="cs"/>
          <w:rtl/>
        </w:rPr>
        <w:t xml:space="preserve"> על ר</w:t>
      </w:r>
      <w:r w:rsidRPr="005625AD">
        <w:rPr>
          <w:rStyle w:val="af9"/>
          <w:rFonts w:hint="cs"/>
          <w:rtl/>
        </w:rPr>
        <w:t>ש"י</w:t>
      </w:r>
      <w:r>
        <w:rPr>
          <w:rFonts w:hint="cs"/>
          <w:rtl/>
        </w:rPr>
        <w:t xml:space="preserve"> דכיון דבספק הראשון, לענין הוציא אברים והחזירם עד שהשלים לרוב, אמרינן דאת"ל דכיון דהדר הדר, א"כ מוכח דהספק השני הוא רק להצד דאין האברים משלימים לרוב, אבל להצד דהחזרה לא מהני ומשלימים לרוב, כ"ש דביצאו אברים וחתכם דהם משלימים לרוב, והרי בספק הראשון כתב </w:t>
      </w:r>
      <w:r w:rsidRPr="005625AD">
        <w:rPr>
          <w:rStyle w:val="af9"/>
          <w:rFonts w:hint="cs"/>
          <w:rtl/>
        </w:rPr>
        <w:t>רש"י</w:t>
      </w:r>
      <w:r>
        <w:rPr>
          <w:rFonts w:hint="cs"/>
          <w:rtl/>
        </w:rPr>
        <w:t xml:space="preserve"> </w:t>
      </w:r>
      <w:r w:rsidRPr="00B31699">
        <w:rPr>
          <w:rStyle w:val="af7"/>
          <w:rFonts w:eastAsia="Guttman Hodes" w:hint="cs"/>
          <w:rtl/>
        </w:rPr>
        <w:t xml:space="preserve">(עי' אות </w:t>
      </w:r>
      <w:r w:rsidRPr="00B31699">
        <w:rPr>
          <w:rStyle w:val="af7"/>
          <w:rFonts w:eastAsia="Guttman Hodes"/>
          <w:rtl/>
        </w:rPr>
        <w:fldChar w:fldCharType="begin"/>
      </w:r>
      <w:r w:rsidRPr="00B31699">
        <w:rPr>
          <w:rStyle w:val="af7"/>
          <w:rFonts w:eastAsia="Guttman Hodes"/>
          <w:rtl/>
        </w:rPr>
        <w:instrText xml:space="preserve"> </w:instrText>
      </w:r>
      <w:r w:rsidRPr="00B31699">
        <w:rPr>
          <w:rStyle w:val="af7"/>
          <w:rFonts w:eastAsia="Guttman Hodes" w:hint="cs"/>
        </w:rPr>
        <w:instrText>REF</w:instrText>
      </w:r>
      <w:r w:rsidRPr="00B31699">
        <w:rPr>
          <w:rStyle w:val="af7"/>
          <w:rFonts w:eastAsia="Guttman Hodes" w:hint="cs"/>
          <w:rtl/>
        </w:rPr>
        <w:instrText xml:space="preserve"> _</w:instrText>
      </w:r>
      <w:r w:rsidRPr="00B31699">
        <w:rPr>
          <w:rStyle w:val="af7"/>
          <w:rFonts w:eastAsia="Guttman Hodes" w:hint="cs"/>
        </w:rPr>
        <w:instrText>Ref536129308 \r \h</w:instrText>
      </w:r>
      <w:r w:rsidRPr="00B31699">
        <w:rPr>
          <w:rStyle w:val="af7"/>
          <w:rFonts w:eastAsia="Guttman Hodes"/>
          <w:rtl/>
        </w:rPr>
        <w:instrText xml:space="preserve"> </w:instrText>
      </w:r>
      <w:r w:rsidRPr="00B31699">
        <w:rPr>
          <w:rStyle w:val="af7"/>
          <w:rFonts w:eastAsia="Guttman Hodes"/>
          <w:rtl/>
        </w:rPr>
      </w:r>
      <w:r w:rsidRPr="00B31699">
        <w:rPr>
          <w:rStyle w:val="af7"/>
          <w:rFonts w:eastAsia="Guttman Hodes"/>
          <w:rtl/>
        </w:rPr>
        <w:fldChar w:fldCharType="separate"/>
      </w:r>
      <w:r w:rsidR="00345400">
        <w:rPr>
          <w:rStyle w:val="af7"/>
          <w:rFonts w:eastAsia="Guttman Hodes"/>
          <w:cs/>
        </w:rPr>
        <w:t>‎</w:t>
      </w:r>
      <w:r w:rsidR="00345400">
        <w:rPr>
          <w:rStyle w:val="af7"/>
          <w:rFonts w:eastAsia="Guttman Hodes"/>
          <w:rtl/>
        </w:rPr>
        <w:t>מה)</w:t>
      </w:r>
      <w:r w:rsidRPr="00B31699">
        <w:rPr>
          <w:rStyle w:val="af7"/>
          <w:rFonts w:eastAsia="Guttman Hodes"/>
          <w:rtl/>
        </w:rPr>
        <w:fldChar w:fldCharType="end"/>
      </w:r>
      <w:r>
        <w:rPr>
          <w:rFonts w:hint="cs"/>
          <w:rtl/>
        </w:rPr>
        <w:t xml:space="preserve"> דלמ"ד דיש לידה לאברים פשיטא דהאברים משלימים לרוב, וכיון דבספק הראשון ס"ל דהם משלימים לרוב, כ"ש דבהוציא אברים וחתכם שהם משלימים לרוב, והיאך כתב </w:t>
      </w:r>
      <w:r w:rsidRPr="005625AD">
        <w:rPr>
          <w:rStyle w:val="af9"/>
          <w:rFonts w:hint="cs"/>
          <w:rtl/>
        </w:rPr>
        <w:t>רש"י</w:t>
      </w:r>
      <w:r>
        <w:rPr>
          <w:rFonts w:hint="cs"/>
          <w:rtl/>
        </w:rPr>
        <w:t xml:space="preserve"> דהספק השני הוא אף למ"ד דיש לידה לאברים.</w:t>
      </w:r>
      <w:bookmarkEnd w:id="17485"/>
    </w:p>
    <w:p w14:paraId="2277136D" w14:textId="77777777" w:rsidR="003D504D" w:rsidRDefault="003D504D" w:rsidP="003D504D">
      <w:pPr>
        <w:pStyle w:val="a3"/>
        <w:rPr>
          <w:rtl/>
        </w:rPr>
      </w:pPr>
      <w:bookmarkStart w:id="17486" w:name="_Toc536540448"/>
      <w:bookmarkStart w:id="17487" w:name="_Toc536564258"/>
      <w:bookmarkStart w:id="17488" w:name="_Toc536564413"/>
      <w:bookmarkStart w:id="17489" w:name="_Toc536616947"/>
      <w:bookmarkStart w:id="17490" w:name="_Toc19391258"/>
      <w:bookmarkStart w:id="17491" w:name="_Toc19394755"/>
      <w:r>
        <w:rPr>
          <w:rFonts w:hint="cs"/>
          <w:rtl/>
        </w:rPr>
        <w:t>ביאור הגרעק"א דלריו"ח הצד דמשלימים הוא דאף שחזרו ובטלה יציאתם מ"מ א"צ רוב בבת אחת</w:t>
      </w:r>
      <w:bookmarkEnd w:id="17486"/>
      <w:bookmarkEnd w:id="17487"/>
      <w:bookmarkEnd w:id="17488"/>
      <w:bookmarkEnd w:id="17489"/>
      <w:bookmarkEnd w:id="17490"/>
      <w:bookmarkEnd w:id="17491"/>
      <w:r>
        <w:rPr>
          <w:rFonts w:hint="cs"/>
          <w:rtl/>
        </w:rPr>
        <w:t xml:space="preserve"> </w:t>
      </w:r>
    </w:p>
    <w:p w14:paraId="4D30F518" w14:textId="77777777" w:rsidR="003D504D" w:rsidRDefault="003D504D" w:rsidP="00223668">
      <w:pPr>
        <w:pStyle w:val="a0"/>
        <w:rPr>
          <w:rtl/>
        </w:rPr>
      </w:pPr>
      <w:r>
        <w:rPr>
          <w:rFonts w:hint="cs"/>
          <w:rtl/>
        </w:rPr>
        <w:t xml:space="preserve">ותירץ </w:t>
      </w:r>
      <w:r w:rsidRPr="005625AD">
        <w:rPr>
          <w:rStyle w:val="af9"/>
          <w:rFonts w:hint="cs"/>
          <w:rtl/>
        </w:rPr>
        <w:t>הגרעק"א</w:t>
      </w:r>
      <w:r>
        <w:rPr>
          <w:rFonts w:hint="cs"/>
          <w:rtl/>
        </w:rPr>
        <w:t xml:space="preserve"> דאף דבספק הראשון לדעת ריו"ח דאין לידה לאברים, להצד דהאברים שיצאו וחזרו משלימים לרוב, היינו דאף שהחזרה מתירה את האבר באכילה, מ"מ אחר שיצאו רובם אין החזרה מבטלת את הרוב, אך מ"מ פשיטא דלא חשיב שיש רוב בבת אחת, דהרי כל אבר שחזר חשיב שיציאתו נתבטלה, והספק הוא דאפ"ה הם מצטרפים לרוב דלא בעינן רוב בבת אחת.</w:t>
      </w:r>
    </w:p>
    <w:p w14:paraId="6A3771E8" w14:textId="77777777" w:rsidR="003D504D" w:rsidRDefault="003D504D" w:rsidP="003D504D">
      <w:pPr>
        <w:pStyle w:val="a3"/>
        <w:rPr>
          <w:rtl/>
        </w:rPr>
      </w:pPr>
      <w:bookmarkStart w:id="17492" w:name="_Toc536540449"/>
      <w:bookmarkStart w:id="17493" w:name="_Toc536564259"/>
      <w:bookmarkStart w:id="17494" w:name="_Toc536564414"/>
      <w:bookmarkStart w:id="17495" w:name="_Toc536616948"/>
      <w:bookmarkStart w:id="17496" w:name="_Toc19391259"/>
      <w:bookmarkStart w:id="17497" w:name="_Toc19394756"/>
      <w:r>
        <w:rPr>
          <w:rFonts w:hint="cs"/>
          <w:rtl/>
        </w:rPr>
        <w:t>דברי הגרעק"א דהא דהספק השני הוא להצד דמהני חזרה היינו לדעת ריו"ח דא"צ רוב בב"א</w:t>
      </w:r>
      <w:bookmarkEnd w:id="17492"/>
      <w:bookmarkEnd w:id="17493"/>
      <w:bookmarkEnd w:id="17494"/>
      <w:bookmarkEnd w:id="17495"/>
      <w:bookmarkEnd w:id="17496"/>
      <w:bookmarkEnd w:id="17497"/>
    </w:p>
    <w:p w14:paraId="6C19C977" w14:textId="77777777" w:rsidR="003D504D" w:rsidRDefault="003D504D" w:rsidP="00223668">
      <w:pPr>
        <w:pStyle w:val="a0"/>
        <w:rPr>
          <w:rtl/>
        </w:rPr>
      </w:pPr>
      <w:r>
        <w:rPr>
          <w:rFonts w:hint="cs"/>
          <w:rtl/>
        </w:rPr>
        <w:t xml:space="preserve">וכתב </w:t>
      </w:r>
      <w:r w:rsidRPr="00B31699">
        <w:rPr>
          <w:rStyle w:val="af9"/>
          <w:rFonts w:hint="cs"/>
          <w:rtl/>
        </w:rPr>
        <w:t>הגרעק"א</w:t>
      </w:r>
      <w:r>
        <w:rPr>
          <w:rFonts w:hint="cs"/>
          <w:rtl/>
        </w:rPr>
        <w:t xml:space="preserve"> דלכן אמרינן בגמ' דהספק השני הוא רק לפי הצד דכיון דהדר הדר, דלהצד דלא מהני החזרה, א"כ מוכח דלדעת ריו"ח לא בעינן רוב בבת אחת, כיון שהחזרה מהני להתיר באכילה, אך אין החזרה מונעת את האברים מלהצטרף לרוב, וכ"ש דבספק השני שהוציא אברים וחתכם דהם מצטרפים לרוב, אף שאינו רוב בבת אחת.</w:t>
      </w:r>
    </w:p>
    <w:p w14:paraId="3452C18F" w14:textId="77777777" w:rsidR="003D504D" w:rsidRDefault="003D504D" w:rsidP="003D504D">
      <w:pPr>
        <w:pStyle w:val="a3"/>
        <w:rPr>
          <w:rtl/>
        </w:rPr>
      </w:pPr>
      <w:bookmarkStart w:id="17498" w:name="_Toc536540450"/>
      <w:bookmarkStart w:id="17499" w:name="_Toc536564260"/>
      <w:bookmarkStart w:id="17500" w:name="_Toc536564415"/>
      <w:bookmarkStart w:id="17501" w:name="_Toc536616949"/>
      <w:bookmarkStart w:id="17502" w:name="_Toc19391260"/>
      <w:bookmarkStart w:id="17503" w:name="_Toc19394757"/>
      <w:r>
        <w:rPr>
          <w:rFonts w:hint="cs"/>
          <w:rtl/>
        </w:rPr>
        <w:t>דברי הגרעק"א דלרב כיון דהחזרה אינה מבטלת את יציאת האברים א"כ חשיב שיש רוב בבת אחת</w:t>
      </w:r>
      <w:bookmarkEnd w:id="17498"/>
      <w:bookmarkEnd w:id="17499"/>
      <w:bookmarkEnd w:id="17500"/>
      <w:bookmarkEnd w:id="17501"/>
      <w:bookmarkEnd w:id="17502"/>
      <w:bookmarkEnd w:id="17503"/>
      <w:r>
        <w:rPr>
          <w:rFonts w:hint="cs"/>
          <w:rtl/>
        </w:rPr>
        <w:t xml:space="preserve"> </w:t>
      </w:r>
    </w:p>
    <w:p w14:paraId="65D85101" w14:textId="77777777" w:rsidR="003D504D" w:rsidRDefault="003D504D" w:rsidP="00223668">
      <w:pPr>
        <w:pStyle w:val="a0"/>
        <w:rPr>
          <w:rtl/>
        </w:rPr>
      </w:pPr>
      <w:bookmarkStart w:id="17504" w:name="_Ref536130963"/>
      <w:r>
        <w:rPr>
          <w:rFonts w:hint="cs"/>
          <w:rtl/>
        </w:rPr>
        <w:t xml:space="preserve">אבל לדעת רב דיש לידה לאברים, ביאר </w:t>
      </w:r>
      <w:r w:rsidRPr="00915514">
        <w:rPr>
          <w:rStyle w:val="af9"/>
          <w:rFonts w:hint="cs"/>
          <w:rtl/>
        </w:rPr>
        <w:t>הגרעק"א</w:t>
      </w:r>
      <w:r>
        <w:rPr>
          <w:rFonts w:hint="cs"/>
          <w:rtl/>
        </w:rPr>
        <w:t xml:space="preserve"> דאפש"ל דהספק השני, הוא אף להצד דבהוציא אברים והחזירם הם מצטרפים לרוב, דכיון דס"ל לרב דהחזרה לא מהני להתיר את האבר כלל, ופשיטא דהם מצטרפים לרוב דחזרתם לא ביטלה את יציאתם, ואף שחזרו חשיבי כעומדים בחוץ, וא"כ יש רוב שיצא בבת אחת, ולכן בספק הראשון הוא משלים לרוב, דכל האברים שיצאו הם מחוברים יחד לעובר.</w:t>
      </w:r>
      <w:bookmarkEnd w:id="17504"/>
    </w:p>
    <w:p w14:paraId="36A88D33" w14:textId="77777777" w:rsidR="003D504D" w:rsidRDefault="003D504D" w:rsidP="003D504D">
      <w:pPr>
        <w:pStyle w:val="a3"/>
        <w:rPr>
          <w:rtl/>
        </w:rPr>
      </w:pPr>
      <w:bookmarkStart w:id="17505" w:name="_Toc536540451"/>
      <w:bookmarkStart w:id="17506" w:name="_Toc536564261"/>
      <w:bookmarkStart w:id="17507" w:name="_Toc536564416"/>
      <w:bookmarkStart w:id="17508" w:name="_Toc536616950"/>
      <w:bookmarkStart w:id="17509" w:name="_Toc19391261"/>
      <w:bookmarkStart w:id="17510" w:name="_Toc19394758"/>
      <w:r>
        <w:rPr>
          <w:rFonts w:hint="cs"/>
          <w:rtl/>
        </w:rPr>
        <w:t>דברי הגרעק"א דלרב  הספק השני הוא אי צריך רוב בב"א</w:t>
      </w:r>
      <w:r w:rsidRPr="00E472D7">
        <w:rPr>
          <w:rFonts w:hint="cs"/>
          <w:rtl/>
        </w:rPr>
        <w:t xml:space="preserve"> </w:t>
      </w:r>
      <w:r>
        <w:rPr>
          <w:rFonts w:hint="cs"/>
          <w:rtl/>
        </w:rPr>
        <w:t>אף להצד דלא מהני חזרה בספק הראשון</w:t>
      </w:r>
      <w:bookmarkEnd w:id="17505"/>
      <w:bookmarkEnd w:id="17506"/>
      <w:bookmarkEnd w:id="17507"/>
      <w:bookmarkEnd w:id="17508"/>
      <w:bookmarkEnd w:id="17509"/>
      <w:bookmarkEnd w:id="17510"/>
    </w:p>
    <w:p w14:paraId="7B3D9E56" w14:textId="77777777" w:rsidR="003D504D" w:rsidRDefault="003D504D" w:rsidP="00223668">
      <w:pPr>
        <w:pStyle w:val="a0"/>
        <w:rPr>
          <w:rtl/>
        </w:rPr>
      </w:pPr>
      <w:r>
        <w:rPr>
          <w:rFonts w:hint="cs"/>
          <w:rtl/>
        </w:rPr>
        <w:t xml:space="preserve">וכתב </w:t>
      </w:r>
      <w:r w:rsidRPr="00915514">
        <w:rPr>
          <w:rStyle w:val="af9"/>
          <w:rFonts w:hint="cs"/>
          <w:rtl/>
        </w:rPr>
        <w:t>הגרעק"א</w:t>
      </w:r>
      <w:r>
        <w:rPr>
          <w:rFonts w:hint="cs"/>
          <w:rtl/>
        </w:rPr>
        <w:t xml:space="preserve"> דזהו הביאור בדברי </w:t>
      </w:r>
      <w:r w:rsidRPr="00915514">
        <w:rPr>
          <w:rStyle w:val="af9"/>
          <w:rFonts w:hint="cs"/>
          <w:rtl/>
        </w:rPr>
        <w:t>רש"י</w:t>
      </w:r>
      <w:r>
        <w:rPr>
          <w:rFonts w:hint="cs"/>
          <w:rtl/>
        </w:rPr>
        <w:t xml:space="preserve"> דהספק השני בהוציא אברים וחתכם הוא אף לדעת רב, דכל מה שמוכח מדברי רב בספק הראשון הוא דרוב בבת אחת מצרף את האברים, אבל בהוציא אבר וחתכו, וחזר והוציא אבר וחתכו, דלא יצא רוב העובר בבת אחת, בזה מסתפקת הגמ' בספק השני אף לרב, אי רוב שלא בבת אחת מצטרף, או אינו מצטרף.</w:t>
      </w:r>
    </w:p>
    <w:p w14:paraId="05F04E05" w14:textId="77777777" w:rsidR="003D504D" w:rsidRDefault="003D504D" w:rsidP="003D504D">
      <w:pPr>
        <w:pStyle w:val="a3"/>
        <w:rPr>
          <w:rtl/>
        </w:rPr>
      </w:pPr>
      <w:bookmarkStart w:id="17511" w:name="_Toc536540452"/>
      <w:bookmarkStart w:id="17512" w:name="_Toc536564262"/>
      <w:bookmarkStart w:id="17513" w:name="_Toc536564417"/>
      <w:bookmarkStart w:id="17514" w:name="_Toc536616951"/>
      <w:bookmarkStart w:id="17515" w:name="_Toc19391262"/>
      <w:bookmarkStart w:id="17516" w:name="_Toc19394759"/>
      <w:r w:rsidRPr="00C24569">
        <w:rPr>
          <w:rFonts w:hint="cs"/>
          <w:rtl/>
        </w:rPr>
        <w:t>קושית הגרעק"א</w:t>
      </w:r>
      <w:bookmarkEnd w:id="17511"/>
      <w:r>
        <w:rPr>
          <w:rFonts w:hint="cs"/>
          <w:rtl/>
        </w:rPr>
        <w:t xml:space="preserve"> דהספק הוא רק לדעת רב דהאבר אינו ילוד ואינו מצטרף לרוב להחשיבו כילוד</w:t>
      </w:r>
      <w:bookmarkEnd w:id="17512"/>
      <w:bookmarkEnd w:id="17513"/>
      <w:bookmarkEnd w:id="17514"/>
      <w:bookmarkEnd w:id="17515"/>
      <w:bookmarkEnd w:id="17516"/>
    </w:p>
    <w:p w14:paraId="6EEDC432" w14:textId="77777777" w:rsidR="003D504D" w:rsidRDefault="003D504D" w:rsidP="00223668">
      <w:pPr>
        <w:pStyle w:val="a0"/>
        <w:rPr>
          <w:rtl/>
        </w:rPr>
      </w:pPr>
      <w:r>
        <w:rPr>
          <w:rFonts w:hint="cs"/>
          <w:rtl/>
        </w:rPr>
        <w:t xml:space="preserve">אך הקשה </w:t>
      </w:r>
      <w:r w:rsidRPr="005B71F8">
        <w:rPr>
          <w:rStyle w:val="af9"/>
          <w:rFonts w:hint="cs"/>
          <w:rtl/>
        </w:rPr>
        <w:t>הגרעק"א</w:t>
      </w:r>
      <w:r>
        <w:rPr>
          <w:rFonts w:hint="cs"/>
          <w:rtl/>
        </w:rPr>
        <w:t xml:space="preserve"> </w:t>
      </w:r>
      <w:r w:rsidRPr="005B71F8">
        <w:rPr>
          <w:rStyle w:val="af7"/>
          <w:rFonts w:eastAsia="Guttman Hodes" w:hint="cs"/>
          <w:rtl/>
        </w:rPr>
        <w:t xml:space="preserve">(ד"ה ועכ"ז) </w:t>
      </w:r>
      <w:r>
        <w:rPr>
          <w:rFonts w:hint="cs"/>
          <w:rtl/>
        </w:rPr>
        <w:t xml:space="preserve">דמנליה </w:t>
      </w:r>
      <w:r w:rsidRPr="005B71F8">
        <w:rPr>
          <w:rStyle w:val="af9"/>
          <w:rFonts w:hint="cs"/>
          <w:rtl/>
        </w:rPr>
        <w:t>לרש"י</w:t>
      </w:r>
      <w:r>
        <w:rPr>
          <w:rFonts w:hint="cs"/>
          <w:rtl/>
        </w:rPr>
        <w:t xml:space="preserve"> דהספק השני הוא אף למ"ד דיש לידה לאברים, הרי אפש"ל דהספק הוא למ"ד דאין לידה לאברים, דכיון שכל אבר שיצא אין לו שם לידה מצד עצמו, ורק לאחר שהצטרפו האברים לרוב חל שם לידה, לכן מסתפקת הגמ' אי כיון שחתכם לפני שהצטרפו לרוב אינם מצטרפים, בכדי להחשיבו כילוד, אבל למ"ד דיש לידה לאברים, כיון שלכל אבר מצד עצמו יש שם ילוד, לכן אף שחתכם לפני שהצטרפו לרוב, מ"מ פשיטא דהם מצטרפים, דכבר יש לכ"א מהם שם לידה.</w:t>
      </w:r>
    </w:p>
    <w:p w14:paraId="328C9CB7" w14:textId="77777777" w:rsidR="003D504D" w:rsidRDefault="003D504D" w:rsidP="003D504D">
      <w:pPr>
        <w:pStyle w:val="a3"/>
        <w:rPr>
          <w:rtl/>
        </w:rPr>
      </w:pPr>
      <w:bookmarkStart w:id="17517" w:name="_Toc536564263"/>
      <w:bookmarkStart w:id="17518" w:name="_Toc536564418"/>
      <w:bookmarkStart w:id="17519" w:name="_Toc536616952"/>
      <w:bookmarkStart w:id="17520" w:name="_Toc19391263"/>
      <w:bookmarkStart w:id="17521" w:name="_Toc19394760"/>
      <w:r>
        <w:rPr>
          <w:rFonts w:hint="cs"/>
          <w:rtl/>
        </w:rPr>
        <w:t>תירוץ הגרעק"א דראיית הגמ' מהמשנה מוכח דהספק השני הוא בין לרב ובין לריו"ח</w:t>
      </w:r>
      <w:bookmarkEnd w:id="17517"/>
      <w:bookmarkEnd w:id="17518"/>
      <w:bookmarkEnd w:id="17519"/>
      <w:bookmarkEnd w:id="17520"/>
      <w:bookmarkEnd w:id="17521"/>
    </w:p>
    <w:p w14:paraId="5764D758" w14:textId="77777777" w:rsidR="003D504D" w:rsidRDefault="003D504D" w:rsidP="00223668">
      <w:pPr>
        <w:pStyle w:val="a0"/>
        <w:rPr>
          <w:rtl/>
        </w:rPr>
      </w:pPr>
      <w:r>
        <w:rPr>
          <w:rFonts w:hint="cs"/>
          <w:rtl/>
        </w:rPr>
        <w:t xml:space="preserve">ותירץ </w:t>
      </w:r>
      <w:r w:rsidRPr="000D10BC">
        <w:rPr>
          <w:rStyle w:val="af9"/>
          <w:rFonts w:hint="cs"/>
          <w:rtl/>
        </w:rPr>
        <w:t>הגרעק"א</w:t>
      </w:r>
      <w:r>
        <w:rPr>
          <w:rFonts w:hint="cs"/>
          <w:rtl/>
        </w:rPr>
        <w:t xml:space="preserve"> </w:t>
      </w:r>
      <w:r w:rsidRPr="000D10BC">
        <w:rPr>
          <w:rStyle w:val="af7"/>
          <w:rFonts w:eastAsia="Guttman Hodes" w:hint="cs"/>
          <w:rtl/>
        </w:rPr>
        <w:t xml:space="preserve">(ד"ה ונלע"ד) </w:t>
      </w:r>
      <w:r>
        <w:rPr>
          <w:rFonts w:hint="cs"/>
          <w:rtl/>
        </w:rPr>
        <w:t xml:space="preserve">דס"ל </w:t>
      </w:r>
      <w:r w:rsidRPr="000D10BC">
        <w:rPr>
          <w:rStyle w:val="af9"/>
          <w:rFonts w:hint="cs"/>
          <w:rtl/>
        </w:rPr>
        <w:t>לרש"י</w:t>
      </w:r>
      <w:r>
        <w:rPr>
          <w:rFonts w:hint="cs"/>
          <w:rtl/>
        </w:rPr>
        <w:t xml:space="preserve"> דמהא דרצתה הגמ' לפשוט את הספק, ממתני' דהו"א דכוונת המשנה לרבות בדין דבר שאינו גופה דביצאו אברים וחתכם אין המיעוט נאסר, ואי למ"ד דיש לידה לאברים פשיטא דהאברים שחתכם משלימים לרוב, א"כ קשה עליו ממתני', וממילא א"א להביא ראיה ממתני' לפשוט את הספק, דכיון דלרב מוכח שצריך לתרץ את המשנה באופ"א, ה"ה לריו"ח, וא"כ היאך רצתה הגמ' לפשוט את הספק, וכתב </w:t>
      </w:r>
      <w:r w:rsidRPr="00915514">
        <w:rPr>
          <w:rStyle w:val="af9"/>
          <w:rFonts w:hint="cs"/>
          <w:rtl/>
        </w:rPr>
        <w:t>הגרעק"א</w:t>
      </w:r>
      <w:r>
        <w:rPr>
          <w:rFonts w:hint="cs"/>
          <w:rtl/>
        </w:rPr>
        <w:t xml:space="preserve"> דמזה הוכיח </w:t>
      </w:r>
      <w:r w:rsidRPr="000D10BC">
        <w:rPr>
          <w:rStyle w:val="af9"/>
          <w:rFonts w:hint="cs"/>
          <w:rtl/>
        </w:rPr>
        <w:t>רש"י</w:t>
      </w:r>
      <w:r>
        <w:rPr>
          <w:rFonts w:hint="cs"/>
          <w:rtl/>
        </w:rPr>
        <w:t xml:space="preserve"> דהספק השני הוא אף לדעת רב.</w:t>
      </w:r>
    </w:p>
    <w:p w14:paraId="52A63404" w14:textId="77777777" w:rsidR="003D504D" w:rsidRDefault="003D504D" w:rsidP="003D504D">
      <w:pPr>
        <w:pStyle w:val="a3"/>
        <w:rPr>
          <w:rtl/>
        </w:rPr>
      </w:pPr>
      <w:bookmarkStart w:id="17522" w:name="_Toc536564264"/>
      <w:bookmarkStart w:id="17523" w:name="_Toc536564419"/>
      <w:bookmarkStart w:id="17524" w:name="_Toc536616953"/>
      <w:bookmarkStart w:id="17525" w:name="_Toc19391264"/>
      <w:bookmarkStart w:id="17526" w:name="_Toc19394761"/>
      <w:r>
        <w:rPr>
          <w:rFonts w:hint="cs"/>
          <w:rtl/>
        </w:rPr>
        <w:t>קושית הגרעק"א דמה הראיה ממתני' הא אפש"ל דמתני' באה לרבות רק את הספק הראשון</w:t>
      </w:r>
      <w:bookmarkEnd w:id="17522"/>
      <w:bookmarkEnd w:id="17523"/>
      <w:bookmarkEnd w:id="17524"/>
      <w:bookmarkEnd w:id="17525"/>
      <w:bookmarkEnd w:id="17526"/>
    </w:p>
    <w:p w14:paraId="4D26709E" w14:textId="77777777" w:rsidR="003D504D" w:rsidRDefault="003D504D" w:rsidP="00223668">
      <w:pPr>
        <w:pStyle w:val="a0"/>
        <w:rPr>
          <w:rtl/>
        </w:rPr>
      </w:pPr>
      <w:r>
        <w:rPr>
          <w:rFonts w:hint="cs"/>
          <w:rtl/>
        </w:rPr>
        <w:t xml:space="preserve">עוד הקשה </w:t>
      </w:r>
      <w:r w:rsidRPr="00894524">
        <w:rPr>
          <w:rStyle w:val="af9"/>
          <w:rFonts w:hint="cs"/>
          <w:rtl/>
        </w:rPr>
        <w:t>הגרעק"א</w:t>
      </w:r>
      <w:r>
        <w:rPr>
          <w:rFonts w:hint="cs"/>
          <w:rtl/>
        </w:rPr>
        <w:t xml:space="preserve"> </w:t>
      </w:r>
      <w:r w:rsidRPr="00894524">
        <w:rPr>
          <w:rStyle w:val="af7"/>
          <w:rFonts w:eastAsia="Guttman Hodes" w:hint="cs"/>
          <w:rtl/>
        </w:rPr>
        <w:t>(ד"ה ונלע"ד)</w:t>
      </w:r>
      <w:r w:rsidRPr="00883478">
        <w:rPr>
          <w:rStyle w:val="af7"/>
          <w:rFonts w:eastAsia="Guttman Hodes" w:hint="cs"/>
          <w:rtl/>
        </w:rPr>
        <w:t xml:space="preserve"> </w:t>
      </w:r>
      <w:r>
        <w:rPr>
          <w:rFonts w:hint="cs"/>
          <w:rtl/>
        </w:rPr>
        <w:t>דהיאך רצתה הגמ' לפשוט ממתני', הא אפש"ל דהמשנה באה לרבות רק את הספק הראשון שהוציא אברים והחזירם, ומנלן דהמשנה באה לרבות גם את הספק השני בהוציא אברים וחתכם, הרי גם לדחית הגמ' דהמשנה באה לרבות את דין "קלוט" לא איירי שחתך את האבר כלל.</w:t>
      </w:r>
    </w:p>
    <w:p w14:paraId="56BB3E34" w14:textId="77777777" w:rsidR="003D504D" w:rsidRDefault="003D504D" w:rsidP="003D504D">
      <w:pPr>
        <w:pStyle w:val="a3"/>
        <w:rPr>
          <w:rtl/>
        </w:rPr>
      </w:pPr>
      <w:bookmarkStart w:id="17527" w:name="_Toc536564265"/>
      <w:bookmarkStart w:id="17528" w:name="_Toc536564420"/>
      <w:bookmarkStart w:id="17529" w:name="_Toc536616954"/>
      <w:bookmarkStart w:id="17530" w:name="_Toc19391265"/>
      <w:bookmarkStart w:id="17531" w:name="_Toc19394762"/>
      <w:r>
        <w:rPr>
          <w:rFonts w:hint="cs"/>
          <w:rtl/>
        </w:rPr>
        <w:t>דברי הגרעק"א דלרב מוכח ממתני' דא"צ רוב בב"א והמיעוט מותר ולא מצינו דפליג ריו"ח בזה</w:t>
      </w:r>
      <w:bookmarkEnd w:id="17527"/>
      <w:bookmarkEnd w:id="17528"/>
      <w:bookmarkEnd w:id="17529"/>
      <w:bookmarkEnd w:id="17530"/>
      <w:bookmarkEnd w:id="17531"/>
    </w:p>
    <w:p w14:paraId="684E44CD" w14:textId="77777777" w:rsidR="003D504D" w:rsidRDefault="003D504D" w:rsidP="00223668">
      <w:pPr>
        <w:pStyle w:val="a0"/>
        <w:rPr>
          <w:rtl/>
        </w:rPr>
      </w:pPr>
      <w:r>
        <w:rPr>
          <w:rFonts w:hint="cs"/>
          <w:rtl/>
        </w:rPr>
        <w:t xml:space="preserve">ותירץ </w:t>
      </w:r>
      <w:r w:rsidRPr="00894524">
        <w:rPr>
          <w:rStyle w:val="af9"/>
          <w:rFonts w:hint="cs"/>
          <w:rtl/>
        </w:rPr>
        <w:t>הגרעק"א</w:t>
      </w:r>
      <w:r>
        <w:rPr>
          <w:rFonts w:hint="cs"/>
          <w:rtl/>
        </w:rPr>
        <w:t xml:space="preserve"> לפי ביאורו בדעת </w:t>
      </w:r>
      <w:r w:rsidRPr="00894524">
        <w:rPr>
          <w:rStyle w:val="af9"/>
          <w:rFonts w:hint="cs"/>
          <w:rtl/>
        </w:rPr>
        <w:t>רש"י</w:t>
      </w:r>
      <w:r>
        <w:rPr>
          <w:rFonts w:hint="cs"/>
          <w:rtl/>
        </w:rPr>
        <w:t xml:space="preserve"> </w:t>
      </w:r>
      <w:r w:rsidRPr="00894524">
        <w:rPr>
          <w:rStyle w:val="af7"/>
          <w:rFonts w:eastAsia="Guttman Hodes" w:hint="cs"/>
          <w:rtl/>
        </w:rPr>
        <w:t xml:space="preserve">(עי' אות </w:t>
      </w:r>
      <w:r w:rsidRPr="00894524">
        <w:rPr>
          <w:rStyle w:val="af7"/>
          <w:rFonts w:eastAsia="Guttman Hodes"/>
          <w:rtl/>
        </w:rPr>
        <w:fldChar w:fldCharType="begin"/>
      </w:r>
      <w:r w:rsidRPr="00894524">
        <w:rPr>
          <w:rStyle w:val="af7"/>
          <w:rFonts w:eastAsia="Guttman Hodes"/>
          <w:rtl/>
        </w:rPr>
        <w:instrText xml:space="preserve"> </w:instrText>
      </w:r>
      <w:r w:rsidRPr="00894524">
        <w:rPr>
          <w:rStyle w:val="af7"/>
          <w:rFonts w:eastAsia="Guttman Hodes" w:hint="cs"/>
        </w:rPr>
        <w:instrText>REF</w:instrText>
      </w:r>
      <w:r w:rsidRPr="00894524">
        <w:rPr>
          <w:rStyle w:val="af7"/>
          <w:rFonts w:eastAsia="Guttman Hodes" w:hint="cs"/>
          <w:rtl/>
        </w:rPr>
        <w:instrText xml:space="preserve"> _</w:instrText>
      </w:r>
      <w:r w:rsidRPr="00894524">
        <w:rPr>
          <w:rStyle w:val="af7"/>
          <w:rFonts w:eastAsia="Guttman Hodes" w:hint="cs"/>
        </w:rPr>
        <w:instrText>Ref536130963 \r \h</w:instrText>
      </w:r>
      <w:r w:rsidRPr="00894524">
        <w:rPr>
          <w:rStyle w:val="af7"/>
          <w:rFonts w:eastAsia="Guttman Hodes"/>
          <w:rtl/>
        </w:rPr>
        <w:instrText xml:space="preserve"> </w:instrText>
      </w:r>
      <w:r w:rsidRPr="00894524">
        <w:rPr>
          <w:rStyle w:val="af7"/>
          <w:rFonts w:eastAsia="Guttman Hodes"/>
          <w:rtl/>
        </w:rPr>
      </w:r>
      <w:r w:rsidRPr="00894524">
        <w:rPr>
          <w:rStyle w:val="af7"/>
          <w:rFonts w:eastAsia="Guttman Hodes"/>
          <w:rtl/>
        </w:rPr>
        <w:fldChar w:fldCharType="separate"/>
      </w:r>
      <w:r w:rsidR="00345400">
        <w:rPr>
          <w:rStyle w:val="af7"/>
          <w:rFonts w:eastAsia="Guttman Hodes"/>
          <w:cs/>
        </w:rPr>
        <w:t>‎</w:t>
      </w:r>
      <w:r w:rsidR="00345400">
        <w:rPr>
          <w:rStyle w:val="af7"/>
          <w:rFonts w:eastAsia="Guttman Hodes"/>
          <w:rtl/>
        </w:rPr>
        <w:t>נז)</w:t>
      </w:r>
      <w:r w:rsidRPr="00894524">
        <w:rPr>
          <w:rStyle w:val="af7"/>
          <w:rFonts w:eastAsia="Guttman Hodes"/>
          <w:rtl/>
        </w:rPr>
        <w:fldChar w:fldCharType="end"/>
      </w:r>
      <w:r>
        <w:rPr>
          <w:rFonts w:hint="cs"/>
          <w:rtl/>
        </w:rPr>
        <w:t xml:space="preserve"> דכיון דלדעת רב א"א לפרש דכוונת המשנה לספק הראשון, ולהתיר את המיעוט שנשאר בפנים, דהא לדעת רב פשיטא דהמיעוט אסור, והאברים מצטרפים לרוב לאסור, ומוכח דלדעת רב המשנה באה לרבות את הספק השני דחתך את האברים שיצאו, וזה כוונת הגמ' לפשוט את הספק השני ממתני', דכיון דלרב מוכח ממתני' דבחתך אברים אינם מצטרפים לרוב, דבעינן רוב בבת אחת, ה"ה לדעת ריו"ח, דהא בנדון אי בעינן רובא בבת אחת, לא מצינו מאן דפליג על רב בזה.</w:t>
      </w:r>
    </w:p>
    <w:p w14:paraId="1DB26C9A" w14:textId="77777777" w:rsidR="001117C1" w:rsidRPr="001117C1" w:rsidRDefault="001117C1" w:rsidP="001117C1">
      <w:pPr>
        <w:pStyle w:val="a3"/>
        <w:rPr>
          <w:rtl/>
        </w:rPr>
      </w:pPr>
    </w:p>
    <w:p w14:paraId="60FD1AA6" w14:textId="77777777" w:rsidR="001117C1" w:rsidRPr="001117C1" w:rsidRDefault="001117C1" w:rsidP="001117C1">
      <w:pPr>
        <w:pStyle w:val="a3"/>
        <w:rPr>
          <w:rtl/>
        </w:rPr>
      </w:pPr>
    </w:p>
    <w:p w14:paraId="68F42FD0" w14:textId="77777777" w:rsidR="003D504D" w:rsidRDefault="003D504D" w:rsidP="00BF39B2">
      <w:pPr>
        <w:pStyle w:val="1"/>
        <w:rPr>
          <w:rtl/>
        </w:rPr>
      </w:pPr>
      <w:bookmarkStart w:id="17532" w:name="_Toc536130322"/>
      <w:bookmarkStart w:id="17533" w:name="_Toc536178402"/>
      <w:bookmarkStart w:id="17534" w:name="_Toc536180784"/>
      <w:bookmarkStart w:id="17535" w:name="_Toc536305037"/>
      <w:bookmarkStart w:id="17536" w:name="_Toc536305118"/>
      <w:bookmarkStart w:id="17537" w:name="_Toc536459338"/>
      <w:bookmarkStart w:id="17538" w:name="_Toc536466294"/>
      <w:bookmarkStart w:id="17539" w:name="_Toc536540455"/>
      <w:bookmarkStart w:id="17540" w:name="_Toc536564266"/>
      <w:bookmarkStart w:id="17541" w:name="_Toc536564421"/>
      <w:bookmarkStart w:id="17542" w:name="_Toc536616955"/>
      <w:bookmarkStart w:id="17543" w:name="_Toc19391266"/>
      <w:bookmarkStart w:id="17544" w:name="_Toc19394763"/>
      <w:bookmarkStart w:id="17545" w:name="_Toc536130320"/>
      <w:bookmarkStart w:id="17546" w:name="_Toc536178400"/>
      <w:bookmarkStart w:id="17547" w:name="_Toc536180782"/>
      <w:bookmarkStart w:id="17548" w:name="_Toc536305035"/>
      <w:bookmarkStart w:id="17549" w:name="_Toc536305116"/>
      <w:bookmarkStart w:id="17550" w:name="_Toc536459336"/>
      <w:bookmarkStart w:id="17551" w:name="_Toc536466292"/>
      <w:bookmarkStart w:id="17552" w:name="_Toc536540453"/>
      <w:r>
        <w:rPr>
          <w:rFonts w:hint="cs"/>
          <w:rtl/>
        </w:rPr>
        <w:t>פלוגתת התבו"ש וה</w:t>
      </w:r>
      <w:r w:rsidR="00345400">
        <w:rPr>
          <w:rFonts w:hint="cs"/>
          <w:rtl/>
        </w:rPr>
        <w:t>פלתי</w:t>
      </w:r>
      <w:r>
        <w:rPr>
          <w:rFonts w:hint="cs"/>
          <w:rtl/>
        </w:rPr>
        <w:t xml:space="preserve"> עם הפרי תואר ביצא רובו מחותך</w:t>
      </w:r>
      <w:bookmarkEnd w:id="17532"/>
      <w:bookmarkEnd w:id="17533"/>
      <w:bookmarkEnd w:id="17534"/>
      <w:bookmarkEnd w:id="17535"/>
      <w:bookmarkEnd w:id="17536"/>
      <w:bookmarkEnd w:id="17537"/>
      <w:bookmarkEnd w:id="17538"/>
      <w:bookmarkEnd w:id="17539"/>
      <w:bookmarkEnd w:id="17540"/>
      <w:bookmarkEnd w:id="17541"/>
      <w:bookmarkEnd w:id="17542"/>
      <w:bookmarkEnd w:id="17543"/>
      <w:bookmarkEnd w:id="17544"/>
    </w:p>
    <w:p w14:paraId="7ADB32C6" w14:textId="77777777" w:rsidR="003D504D" w:rsidRPr="00462B6D" w:rsidRDefault="003D504D" w:rsidP="003D504D">
      <w:pPr>
        <w:pStyle w:val="a3"/>
        <w:rPr>
          <w:rtl/>
        </w:rPr>
      </w:pPr>
      <w:bookmarkStart w:id="17553" w:name="_Toc536130321"/>
      <w:bookmarkStart w:id="17554" w:name="_Toc536178401"/>
      <w:bookmarkStart w:id="17555" w:name="_Toc536180783"/>
      <w:bookmarkStart w:id="17556" w:name="_Toc536305036"/>
      <w:bookmarkStart w:id="17557" w:name="_Toc536305117"/>
      <w:bookmarkStart w:id="17558" w:name="_Toc536459337"/>
      <w:bookmarkStart w:id="17559" w:name="_Toc536466293"/>
      <w:bookmarkStart w:id="17560" w:name="_Toc536540454"/>
      <w:bookmarkStart w:id="17561" w:name="_Toc536564267"/>
      <w:bookmarkStart w:id="17562" w:name="_Toc536564422"/>
      <w:bookmarkStart w:id="17563" w:name="_Toc536616956"/>
      <w:bookmarkStart w:id="17564" w:name="_Toc19391267"/>
      <w:bookmarkStart w:id="17565" w:name="_Toc19394764"/>
      <w:bookmarkEnd w:id="17545"/>
      <w:bookmarkEnd w:id="17546"/>
      <w:bookmarkEnd w:id="17547"/>
      <w:bookmarkEnd w:id="17548"/>
      <w:bookmarkEnd w:id="17549"/>
      <w:bookmarkEnd w:id="17550"/>
      <w:bookmarkEnd w:id="17551"/>
      <w:bookmarkEnd w:id="17552"/>
      <w:r w:rsidRPr="00462B6D">
        <w:rPr>
          <w:rFonts w:hint="cs"/>
          <w:rtl/>
        </w:rPr>
        <w:t>דברי הפרי תואר דבחותך מעובר החתיכה שבתוכה מותרת אף אם נולד העובר לפני השחיטה</w:t>
      </w:r>
      <w:bookmarkEnd w:id="17553"/>
      <w:bookmarkEnd w:id="17554"/>
      <w:bookmarkEnd w:id="17555"/>
      <w:bookmarkEnd w:id="17556"/>
      <w:bookmarkEnd w:id="17557"/>
      <w:bookmarkEnd w:id="17558"/>
      <w:bookmarkEnd w:id="17559"/>
      <w:bookmarkEnd w:id="17560"/>
      <w:bookmarkEnd w:id="17561"/>
      <w:bookmarkEnd w:id="17562"/>
      <w:bookmarkEnd w:id="17563"/>
      <w:bookmarkEnd w:id="17564"/>
      <w:bookmarkEnd w:id="17565"/>
    </w:p>
    <w:p w14:paraId="4637CB91" w14:textId="77777777" w:rsidR="003D504D" w:rsidRDefault="003D504D" w:rsidP="00223668">
      <w:pPr>
        <w:pStyle w:val="a0"/>
        <w:rPr>
          <w:rtl/>
        </w:rPr>
      </w:pPr>
      <w:bookmarkStart w:id="17566" w:name="_Ref536117603"/>
      <w:r>
        <w:rPr>
          <w:rFonts w:hint="cs"/>
          <w:rtl/>
        </w:rPr>
        <w:t>כתב</w:t>
      </w:r>
      <w:r w:rsidRPr="00462B6D">
        <w:rPr>
          <w:rFonts w:hint="cs"/>
          <w:rtl/>
        </w:rPr>
        <w:t xml:space="preserve"> </w:t>
      </w:r>
      <w:r w:rsidRPr="00462B6D">
        <w:rPr>
          <w:rStyle w:val="af9"/>
          <w:rtl/>
        </w:rPr>
        <w:t>הפרי תואר [לבעל האוה"ח]</w:t>
      </w:r>
      <w:r w:rsidRPr="00462B6D">
        <w:rPr>
          <w:rStyle w:val="af9"/>
          <w:rFonts w:hint="cs"/>
          <w:rtl/>
        </w:rPr>
        <w:t xml:space="preserve"> </w:t>
      </w:r>
      <w:r w:rsidRPr="00B85658">
        <w:rPr>
          <w:rStyle w:val="af7"/>
          <w:rFonts w:eastAsia="Guttman Hodes" w:hint="cs"/>
          <w:rtl/>
        </w:rPr>
        <w:t>(</w:t>
      </w:r>
      <w:r w:rsidRPr="00462B6D">
        <w:rPr>
          <w:rStyle w:val="af1"/>
          <w:rtl/>
        </w:rPr>
        <w:footnoteReference w:id="113"/>
      </w:r>
      <w:r w:rsidRPr="00B85658">
        <w:rPr>
          <w:rStyle w:val="af7"/>
          <w:rFonts w:eastAsia="Guttman Hodes" w:hint="cs"/>
          <w:rtl/>
        </w:rPr>
        <w:t>סי' י"ד ד')</w:t>
      </w:r>
      <w:r w:rsidRPr="00462B6D">
        <w:rPr>
          <w:rFonts w:hint="cs"/>
          <w:rtl/>
        </w:rPr>
        <w:t xml:space="preserve"> דאם חתך מהעובר שבמעיה, ואח"כ נולד רוב העובר לפני שנשחטה אמו, מ"מ </w:t>
      </w:r>
      <w:r>
        <w:rPr>
          <w:rFonts w:hint="cs"/>
          <w:rtl/>
        </w:rPr>
        <w:t>החתיכה שנשארה בפנים מותרת, דאינה שייכת</w:t>
      </w:r>
      <w:r w:rsidRPr="00462B6D">
        <w:rPr>
          <w:rFonts w:hint="cs"/>
          <w:rtl/>
        </w:rPr>
        <w:t xml:space="preserve"> לעובר כלל, ואף שנולד</w:t>
      </w:r>
      <w:r>
        <w:rPr>
          <w:rFonts w:hint="cs"/>
          <w:rtl/>
        </w:rPr>
        <w:t xml:space="preserve"> </w:t>
      </w:r>
      <w:r w:rsidRPr="00462B6D">
        <w:rPr>
          <w:rFonts w:hint="cs"/>
          <w:rtl/>
        </w:rPr>
        <w:t xml:space="preserve">העובר אינו </w:t>
      </w:r>
      <w:r>
        <w:rPr>
          <w:rFonts w:hint="cs"/>
          <w:rtl/>
        </w:rPr>
        <w:t>אוסר את החתיכה</w:t>
      </w:r>
      <w:r w:rsidRPr="00462B6D">
        <w:rPr>
          <w:rFonts w:hint="cs"/>
          <w:rtl/>
        </w:rPr>
        <w:t>.</w:t>
      </w:r>
      <w:bookmarkEnd w:id="17566"/>
    </w:p>
    <w:p w14:paraId="65895A68" w14:textId="77777777" w:rsidR="003D504D" w:rsidRPr="00B85658" w:rsidRDefault="003D504D" w:rsidP="003D504D">
      <w:pPr>
        <w:pStyle w:val="a3"/>
        <w:rPr>
          <w:rtl/>
        </w:rPr>
      </w:pPr>
      <w:bookmarkStart w:id="17567" w:name="_Toc536564268"/>
      <w:bookmarkStart w:id="17568" w:name="_Toc536564423"/>
      <w:bookmarkStart w:id="17569" w:name="_Toc536616957"/>
      <w:bookmarkStart w:id="17570" w:name="_Toc19391268"/>
      <w:bookmarkStart w:id="17571" w:name="_Toc19394765"/>
      <w:r>
        <w:rPr>
          <w:rFonts w:hint="cs"/>
          <w:rtl/>
        </w:rPr>
        <w:t>דברי ה</w:t>
      </w:r>
      <w:r w:rsidR="00345400">
        <w:rPr>
          <w:rFonts w:hint="cs"/>
          <w:rtl/>
        </w:rPr>
        <w:t>פלתי</w:t>
      </w:r>
      <w:r>
        <w:rPr>
          <w:rFonts w:hint="cs"/>
          <w:rtl/>
        </w:rPr>
        <w:t xml:space="preserve"> דבחתכו במעי אמו והוציא את רוב האברים אינו כילוד והמיעוט שבפנים מותר</w:t>
      </w:r>
      <w:bookmarkEnd w:id="17567"/>
      <w:bookmarkEnd w:id="17568"/>
      <w:bookmarkEnd w:id="17569"/>
      <w:bookmarkEnd w:id="17570"/>
      <w:bookmarkEnd w:id="17571"/>
      <w:r>
        <w:rPr>
          <w:rFonts w:hint="cs"/>
          <w:rtl/>
        </w:rPr>
        <w:t xml:space="preserve"> </w:t>
      </w:r>
    </w:p>
    <w:p w14:paraId="615E34BA" w14:textId="77777777" w:rsidR="003D504D" w:rsidRDefault="003D504D" w:rsidP="00223668">
      <w:pPr>
        <w:pStyle w:val="a0"/>
        <w:rPr>
          <w:rStyle w:val="a8"/>
          <w:rtl/>
        </w:rPr>
      </w:pPr>
      <w:r w:rsidRPr="00B85658">
        <w:rPr>
          <w:rStyle w:val="a8"/>
          <w:rFonts w:hint="cs"/>
          <w:rtl/>
        </w:rPr>
        <w:t xml:space="preserve">והוסיף </w:t>
      </w:r>
      <w:r w:rsidRPr="00B85658">
        <w:rPr>
          <w:rStyle w:val="af9"/>
          <w:rtl/>
        </w:rPr>
        <w:t xml:space="preserve">הפרי תואר </w:t>
      </w:r>
      <w:r w:rsidRPr="00B85658">
        <w:rPr>
          <w:rStyle w:val="a8"/>
          <w:rFonts w:hint="cs"/>
          <w:rtl/>
        </w:rPr>
        <w:t>דבהושיט</w:t>
      </w:r>
      <w:r>
        <w:rPr>
          <w:rStyle w:val="a8"/>
          <w:rFonts w:hint="cs"/>
          <w:rtl/>
        </w:rPr>
        <w:t xml:space="preserve"> ידו למעי הבהמה וחתך מהעובר אברים אברים והוציאם לחוץ, עד שהשלים לרוב, דאף אם חתך את כל העובר, רק מה שהוציא לחוץ נאסר, אבל המיעוט שנשאר בפנים מותר בשחיטת האם, דהא דאזלינן בתר רוב העובר, היינו דוקא כשהעובר שלם, דחשיב שיצא כולו, אבל אם חתכו במעי אמו, כל אבר </w:t>
      </w:r>
      <w:r w:rsidRPr="00C06D7E">
        <w:rPr>
          <w:rStyle w:val="a8"/>
          <w:rFonts w:hint="cs"/>
          <w:rtl/>
        </w:rPr>
        <w:t>נדון בפנ"ע.</w:t>
      </w:r>
    </w:p>
    <w:p w14:paraId="7619A174" w14:textId="77777777" w:rsidR="003D504D" w:rsidRDefault="003D504D" w:rsidP="003D504D">
      <w:pPr>
        <w:pStyle w:val="a3"/>
        <w:rPr>
          <w:rtl/>
        </w:rPr>
      </w:pPr>
      <w:bookmarkStart w:id="17572" w:name="_Toc536564269"/>
      <w:bookmarkStart w:id="17573" w:name="_Toc536564424"/>
      <w:bookmarkStart w:id="17574" w:name="_Toc536616958"/>
      <w:bookmarkStart w:id="17575" w:name="_Toc19391269"/>
      <w:bookmarkStart w:id="17576" w:name="_Toc19394766"/>
      <w:r>
        <w:rPr>
          <w:rFonts w:hint="cs"/>
          <w:rtl/>
        </w:rPr>
        <w:t>דברי התבו"ש דמשמע מספק הגמ' דביצא מחותך אין האברים מצטרפים לרוב</w:t>
      </w:r>
      <w:bookmarkEnd w:id="17572"/>
      <w:bookmarkEnd w:id="17573"/>
      <w:bookmarkEnd w:id="17574"/>
      <w:bookmarkEnd w:id="17575"/>
      <w:bookmarkEnd w:id="17576"/>
    </w:p>
    <w:p w14:paraId="5053CFD5" w14:textId="77777777" w:rsidR="003D504D" w:rsidRDefault="003D504D" w:rsidP="00223668">
      <w:pPr>
        <w:pStyle w:val="a0"/>
        <w:rPr>
          <w:rtl/>
        </w:rPr>
      </w:pPr>
      <w:r>
        <w:rPr>
          <w:rFonts w:hint="cs"/>
          <w:rtl/>
        </w:rPr>
        <w:t xml:space="preserve">ובתחילת דבריו כתב </w:t>
      </w:r>
      <w:r w:rsidRPr="009A5928">
        <w:rPr>
          <w:rStyle w:val="af9"/>
          <w:rFonts w:hint="cs"/>
          <w:rtl/>
        </w:rPr>
        <w:t xml:space="preserve">התבו"ש </w:t>
      </w:r>
      <w:r w:rsidRPr="00BF510D">
        <w:rPr>
          <w:rStyle w:val="af7"/>
          <w:rFonts w:eastAsia="Guttman Hodes" w:hint="cs"/>
          <w:rtl/>
        </w:rPr>
        <w:t xml:space="preserve">(סי' </w:t>
      </w:r>
      <w:r>
        <w:rPr>
          <w:rStyle w:val="af7"/>
          <w:rFonts w:eastAsia="Guttman Hodes" w:hint="cs"/>
          <w:rtl/>
        </w:rPr>
        <w:t>י</w:t>
      </w:r>
      <w:r>
        <w:rPr>
          <w:rStyle w:val="af7"/>
          <w:rFonts w:eastAsia="Guttman Hodes"/>
          <w:rtl/>
        </w:rPr>
        <w:t>"</w:t>
      </w:r>
      <w:r>
        <w:rPr>
          <w:rStyle w:val="af7"/>
          <w:rFonts w:eastAsia="Guttman Hodes" w:hint="cs"/>
          <w:rtl/>
        </w:rPr>
        <w:t>ד</w:t>
      </w:r>
      <w:r w:rsidRPr="00BF510D">
        <w:rPr>
          <w:rStyle w:val="af7"/>
          <w:rFonts w:eastAsia="Guttman Hodes" w:hint="cs"/>
          <w:rtl/>
        </w:rPr>
        <w:t xml:space="preserve"> סקי"ד)</w:t>
      </w:r>
      <w:r>
        <w:rPr>
          <w:rFonts w:hint="cs"/>
          <w:rtl/>
        </w:rPr>
        <w:t xml:space="preserve"> דכן משמע מפשטות הגמ' דאף אם חתך את העובר במעי אמו, והוציא אברים אברים עד שהשלים לרוב, דהמיעוט שנשאר בפנים,</w:t>
      </w:r>
      <w:r w:rsidRPr="00ED3714">
        <w:rPr>
          <w:rFonts w:hint="cs"/>
          <w:rtl/>
        </w:rPr>
        <w:t xml:space="preserve"> </w:t>
      </w:r>
      <w:r>
        <w:rPr>
          <w:rFonts w:hint="cs"/>
          <w:rtl/>
        </w:rPr>
        <w:t>מהא דמסתפקת הגמ' בהוציא אברים וחתכם עד שהשלים לרוב, ולא נקטה הגמ' את הספק בחתכו במעי אמו, ומשמע דבכה"ג פשיטא שאינו מצטרף לרוב, והמיעוט שנשאר בפנים מותר.</w:t>
      </w:r>
    </w:p>
    <w:p w14:paraId="3A58FF69" w14:textId="77777777" w:rsidR="003D504D" w:rsidRPr="00C97C8F" w:rsidRDefault="003D504D" w:rsidP="003D504D">
      <w:pPr>
        <w:pStyle w:val="a3"/>
      </w:pPr>
      <w:bookmarkStart w:id="17577" w:name="_Toc536564270"/>
      <w:bookmarkStart w:id="17578" w:name="_Toc536564425"/>
      <w:bookmarkStart w:id="17579" w:name="_Toc536616959"/>
      <w:bookmarkStart w:id="17580" w:name="_Toc19391270"/>
      <w:bookmarkStart w:id="17581" w:name="_Toc19394767"/>
      <w:r>
        <w:rPr>
          <w:rFonts w:hint="cs"/>
          <w:rtl/>
        </w:rPr>
        <w:t>ביאור התבו"ש דחשיב רוב בבת אחת רק כשהעובר מחובר ולא כשהוא מחותך בשעת לידת הרוב</w:t>
      </w:r>
      <w:bookmarkEnd w:id="17577"/>
      <w:bookmarkEnd w:id="17578"/>
      <w:bookmarkEnd w:id="17579"/>
      <w:bookmarkEnd w:id="17580"/>
      <w:bookmarkEnd w:id="17581"/>
    </w:p>
    <w:p w14:paraId="034B419B" w14:textId="77777777" w:rsidR="003D504D" w:rsidRDefault="003D504D" w:rsidP="00223668">
      <w:pPr>
        <w:pStyle w:val="a0"/>
        <w:rPr>
          <w:rtl/>
        </w:rPr>
      </w:pPr>
      <w:r>
        <w:rPr>
          <w:rFonts w:hint="cs"/>
          <w:rtl/>
        </w:rPr>
        <w:t xml:space="preserve">וביאר </w:t>
      </w:r>
      <w:r w:rsidRPr="00BF510D">
        <w:rPr>
          <w:rStyle w:val="af9"/>
          <w:rFonts w:hint="cs"/>
          <w:rtl/>
        </w:rPr>
        <w:t>התבו"ש</w:t>
      </w:r>
      <w:r>
        <w:rPr>
          <w:rFonts w:hint="cs"/>
          <w:rtl/>
        </w:rPr>
        <w:t xml:space="preserve"> דבגמ' משמע דהצד שאפשר לצרף את האברים לרוב, הוא דוקא במקום שהאבר שיצא היה מחובר לרוב העובר, דחשיב כאילו יצאו בבת אחת, כיון שכל אבר היה מחובר לרוב העובר בזמן שיצא, ובזה מסתפקת הגמ' אם אפשר לצרפם לרוב, אבל אם חתך את האברים במעי האם, ואח"כ הוציאם, כתב </w:t>
      </w:r>
      <w:r w:rsidRPr="005447FC">
        <w:rPr>
          <w:rStyle w:val="af9"/>
          <w:rFonts w:hint="cs"/>
          <w:rtl/>
        </w:rPr>
        <w:t xml:space="preserve">התבו"ש </w:t>
      </w:r>
      <w:r>
        <w:rPr>
          <w:rFonts w:hint="cs"/>
          <w:rtl/>
        </w:rPr>
        <w:t>דכיון שבשעת לידת רוב העובר לא היו האברים מחוברים, אינם מצטרפים לרוב לאסור את המיעוט שבפנים.</w:t>
      </w:r>
    </w:p>
    <w:p w14:paraId="79207E58" w14:textId="77777777" w:rsidR="003D504D" w:rsidRPr="00462B6D" w:rsidRDefault="003D504D" w:rsidP="003D504D">
      <w:pPr>
        <w:pStyle w:val="a3"/>
        <w:rPr>
          <w:rtl/>
        </w:rPr>
      </w:pPr>
      <w:bookmarkStart w:id="17582" w:name="_Toc536564271"/>
      <w:bookmarkStart w:id="17583" w:name="_Toc536564426"/>
      <w:bookmarkStart w:id="17584" w:name="_Toc536616960"/>
      <w:bookmarkStart w:id="17585" w:name="_Toc19391271"/>
      <w:bookmarkStart w:id="17586" w:name="_Toc19394768"/>
      <w:r>
        <w:rPr>
          <w:rFonts w:hint="cs"/>
          <w:rtl/>
        </w:rPr>
        <w:t>דברי התבו"ש דא"כ</w:t>
      </w:r>
      <w:r w:rsidRPr="00592855">
        <w:rPr>
          <w:rFonts w:hint="cs"/>
          <w:rtl/>
        </w:rPr>
        <w:t xml:space="preserve"> </w:t>
      </w:r>
      <w:r w:rsidRPr="00462B6D">
        <w:rPr>
          <w:rFonts w:hint="cs"/>
          <w:rtl/>
        </w:rPr>
        <w:t xml:space="preserve">בחותך מעובר החתיכה שבתוכה מותרת אף </w:t>
      </w:r>
      <w:r>
        <w:rPr>
          <w:rFonts w:hint="cs"/>
          <w:rtl/>
        </w:rPr>
        <w:t>ביצא ראשו או רובו מחובר</w:t>
      </w:r>
      <w:bookmarkEnd w:id="17582"/>
      <w:bookmarkEnd w:id="17583"/>
      <w:bookmarkEnd w:id="17584"/>
      <w:bookmarkEnd w:id="17585"/>
      <w:bookmarkEnd w:id="17586"/>
    </w:p>
    <w:p w14:paraId="6E9BE829" w14:textId="77777777" w:rsidR="003D504D" w:rsidRPr="00744E41" w:rsidRDefault="003D504D" w:rsidP="00223668">
      <w:pPr>
        <w:pStyle w:val="a0"/>
        <w:rPr>
          <w:rtl/>
        </w:rPr>
      </w:pPr>
      <w:r>
        <w:rPr>
          <w:rFonts w:hint="cs"/>
          <w:rtl/>
        </w:rPr>
        <w:t xml:space="preserve">והוסיף </w:t>
      </w:r>
      <w:r w:rsidRPr="005447FC">
        <w:rPr>
          <w:rStyle w:val="af9"/>
          <w:rFonts w:hint="cs"/>
          <w:rtl/>
        </w:rPr>
        <w:t xml:space="preserve">התבו"ש </w:t>
      </w:r>
      <w:r>
        <w:rPr>
          <w:rFonts w:hint="cs"/>
          <w:rtl/>
        </w:rPr>
        <w:t xml:space="preserve">דלפי"ז יתכן שאם חתך חתיכה מהעובר במעי אמו, ואח"כ יצא רוב העובר מחובר יחד או שיצא הראש שלם, דהחתיכה שנשארה בפנים אינה נאסרת, דלידת רוב העובר או ראשו לא חשיבא כלידה לגבי החתיכה שנשארה בפנים, כיון שאינו מחובר לרוב העובר בזמן שיצא לחוץ, והוסיף </w:t>
      </w:r>
      <w:r w:rsidRPr="005447FC">
        <w:rPr>
          <w:rStyle w:val="af9"/>
          <w:rFonts w:hint="cs"/>
          <w:rtl/>
        </w:rPr>
        <w:t xml:space="preserve">התבו"ש </w:t>
      </w:r>
      <w:r>
        <w:rPr>
          <w:rFonts w:hint="cs"/>
          <w:rtl/>
        </w:rPr>
        <w:t xml:space="preserve">דלפי"ז ההיתר דחותך מעובר שבמעיה, הוא אף אם נולד העובר, ונשארו החתיכות במעי אמו, דשחיטת האם מתירתם, דאף שהם רק מיעוט מהעובר, מ"מ אין רוב העובר </w:t>
      </w:r>
      <w:r w:rsidRPr="00744E41">
        <w:rPr>
          <w:rFonts w:hint="cs"/>
          <w:rtl/>
        </w:rPr>
        <w:t>אוסר אותם</w:t>
      </w:r>
      <w:r>
        <w:rPr>
          <w:rFonts w:hint="cs"/>
          <w:rtl/>
        </w:rPr>
        <w:t>,</w:t>
      </w:r>
      <w:r w:rsidRPr="00744E41">
        <w:rPr>
          <w:rStyle w:val="afb"/>
          <w:rFonts w:hint="cs"/>
          <w:rtl/>
        </w:rPr>
        <w:t xml:space="preserve"> </w:t>
      </w:r>
      <w:r>
        <w:rPr>
          <w:rStyle w:val="afb"/>
          <w:rFonts w:hint="cs"/>
          <w:rtl/>
        </w:rPr>
        <w:t>[</w:t>
      </w:r>
      <w:r w:rsidRPr="00744E41">
        <w:rPr>
          <w:rStyle w:val="afb"/>
          <w:rFonts w:hint="cs"/>
          <w:rtl/>
        </w:rPr>
        <w:t>וכדעת</w:t>
      </w:r>
      <w:r w:rsidRPr="00744E41">
        <w:rPr>
          <w:rFonts w:hint="cs"/>
          <w:rtl/>
        </w:rPr>
        <w:t xml:space="preserve"> </w:t>
      </w:r>
      <w:r w:rsidRPr="00744E41">
        <w:rPr>
          <w:rStyle w:val="affa"/>
          <w:rtl/>
        </w:rPr>
        <w:t>הפרי תואר</w:t>
      </w:r>
      <w:r w:rsidRPr="00744E41">
        <w:rPr>
          <w:rStyle w:val="af9"/>
          <w:rtl/>
        </w:rPr>
        <w:t xml:space="preserve"> </w:t>
      </w:r>
      <w:r w:rsidRPr="00744E41">
        <w:rPr>
          <w:rStyle w:val="aff6"/>
          <w:rFonts w:hint="cs"/>
          <w:rtl/>
        </w:rPr>
        <w:t xml:space="preserve">(עי' אות </w:t>
      </w:r>
      <w:r w:rsidRPr="00744E41">
        <w:rPr>
          <w:rStyle w:val="aff6"/>
          <w:rtl/>
        </w:rPr>
        <w:fldChar w:fldCharType="begin"/>
      </w:r>
      <w:r w:rsidRPr="00744E41">
        <w:rPr>
          <w:rStyle w:val="aff6"/>
          <w:rtl/>
        </w:rPr>
        <w:instrText xml:space="preserve"> </w:instrText>
      </w:r>
      <w:r w:rsidRPr="00744E41">
        <w:rPr>
          <w:rStyle w:val="aff6"/>
          <w:rFonts w:hint="cs"/>
        </w:rPr>
        <w:instrText>REF</w:instrText>
      </w:r>
      <w:r w:rsidRPr="00744E41">
        <w:rPr>
          <w:rStyle w:val="aff6"/>
          <w:rFonts w:hint="cs"/>
          <w:rtl/>
        </w:rPr>
        <w:instrText xml:space="preserve"> _</w:instrText>
      </w:r>
      <w:r w:rsidRPr="00744E41">
        <w:rPr>
          <w:rStyle w:val="aff6"/>
          <w:rFonts w:hint="cs"/>
        </w:rPr>
        <w:instrText>Ref536117603 \r \h</w:instrText>
      </w:r>
      <w:r w:rsidRPr="00744E41">
        <w:rPr>
          <w:rStyle w:val="aff6"/>
          <w:rtl/>
        </w:rPr>
        <w:instrText xml:space="preserve">  \* </w:instrText>
      </w:r>
      <w:r w:rsidRPr="00744E41">
        <w:rPr>
          <w:rStyle w:val="aff6"/>
        </w:rPr>
        <w:instrText>MERGEFORMAT</w:instrText>
      </w:r>
      <w:r w:rsidRPr="00744E41">
        <w:rPr>
          <w:rStyle w:val="aff6"/>
          <w:rtl/>
        </w:rPr>
        <w:instrText xml:space="preserve"> </w:instrText>
      </w:r>
      <w:r w:rsidRPr="00744E41">
        <w:rPr>
          <w:rStyle w:val="aff6"/>
          <w:rtl/>
        </w:rPr>
      </w:r>
      <w:r w:rsidRPr="00744E41">
        <w:rPr>
          <w:rStyle w:val="aff6"/>
          <w:rtl/>
        </w:rPr>
        <w:fldChar w:fldCharType="separate"/>
      </w:r>
      <w:r w:rsidR="00345400">
        <w:rPr>
          <w:rStyle w:val="aff6"/>
          <w:cs/>
        </w:rPr>
        <w:t>‎</w:t>
      </w:r>
      <w:r w:rsidR="00345400">
        <w:rPr>
          <w:rStyle w:val="aff6"/>
          <w:rtl/>
        </w:rPr>
        <w:t>סג)</w:t>
      </w:r>
      <w:r w:rsidRPr="00744E41">
        <w:rPr>
          <w:rStyle w:val="aff6"/>
          <w:rtl/>
        </w:rPr>
        <w:fldChar w:fldCharType="end"/>
      </w:r>
      <w:r w:rsidRPr="00744E41">
        <w:rPr>
          <w:rStyle w:val="afb"/>
          <w:rFonts w:hint="cs"/>
          <w:rtl/>
        </w:rPr>
        <w:t>]</w:t>
      </w:r>
      <w:r w:rsidRPr="00744E41">
        <w:rPr>
          <w:rFonts w:hint="cs"/>
          <w:rtl/>
        </w:rPr>
        <w:t>.</w:t>
      </w:r>
    </w:p>
    <w:p w14:paraId="6E2656EA" w14:textId="77777777" w:rsidR="003D504D" w:rsidRPr="00DE76A9" w:rsidRDefault="003D504D" w:rsidP="003D504D">
      <w:pPr>
        <w:pStyle w:val="a3"/>
        <w:rPr>
          <w:rtl/>
        </w:rPr>
      </w:pPr>
      <w:bookmarkStart w:id="17587" w:name="_Toc536564272"/>
      <w:bookmarkStart w:id="17588" w:name="_Toc536564427"/>
      <w:bookmarkStart w:id="17589" w:name="_Toc536616961"/>
      <w:bookmarkStart w:id="17590" w:name="_Toc19391272"/>
      <w:bookmarkStart w:id="17591" w:name="_Toc19394769"/>
      <w:r>
        <w:rPr>
          <w:rFonts w:hint="cs"/>
          <w:rtl/>
        </w:rPr>
        <w:t>דחיית התבו"ש דבתוס' מוכח דאף ביצא רובו מחותך נאסר המיעוט שבפנים</w:t>
      </w:r>
      <w:bookmarkEnd w:id="17587"/>
      <w:bookmarkEnd w:id="17588"/>
      <w:bookmarkEnd w:id="17589"/>
      <w:bookmarkEnd w:id="17590"/>
      <w:bookmarkEnd w:id="17591"/>
    </w:p>
    <w:p w14:paraId="4FE1501C" w14:textId="77777777" w:rsidR="003D504D" w:rsidRPr="00B31699" w:rsidRDefault="003D504D" w:rsidP="00223668">
      <w:pPr>
        <w:pStyle w:val="a0"/>
        <w:rPr>
          <w:rStyle w:val="afb"/>
          <w:rtl/>
        </w:rPr>
      </w:pPr>
      <w:bookmarkStart w:id="17592" w:name="_Ref536172240"/>
      <w:r>
        <w:rPr>
          <w:rFonts w:hint="cs"/>
          <w:rtl/>
        </w:rPr>
        <w:t xml:space="preserve">אך דחה </w:t>
      </w:r>
      <w:r w:rsidRPr="009A5928">
        <w:rPr>
          <w:rStyle w:val="af9"/>
          <w:rFonts w:hint="cs"/>
          <w:rtl/>
        </w:rPr>
        <w:t xml:space="preserve">התבו"ש </w:t>
      </w:r>
      <w:r>
        <w:rPr>
          <w:rFonts w:hint="cs"/>
          <w:rtl/>
        </w:rPr>
        <w:t xml:space="preserve">דמדברי </w:t>
      </w:r>
      <w:r w:rsidRPr="009A5928">
        <w:rPr>
          <w:rStyle w:val="af9"/>
          <w:rFonts w:hint="cs"/>
          <w:rtl/>
        </w:rPr>
        <w:t xml:space="preserve">התוס' </w:t>
      </w:r>
      <w:r w:rsidRPr="00094D06">
        <w:rPr>
          <w:rStyle w:val="af7"/>
          <w:rFonts w:eastAsia="Guttman Hodes" w:hint="cs"/>
          <w:rtl/>
        </w:rPr>
        <w:t>(ד"ה הוציא)</w:t>
      </w:r>
      <w:r>
        <w:rPr>
          <w:rFonts w:hint="cs"/>
          <w:rtl/>
        </w:rPr>
        <w:t xml:space="preserve"> מוכח דאף בעובר חתוך, כל שיצא הרוב נאסר המיעוט שבפנים, מדהקשו </w:t>
      </w:r>
      <w:r w:rsidRPr="009A5928">
        <w:rPr>
          <w:rStyle w:val="af9"/>
          <w:rFonts w:hint="cs"/>
          <w:rtl/>
        </w:rPr>
        <w:t>התוס'</w:t>
      </w:r>
      <w:r>
        <w:rPr>
          <w:rFonts w:hint="cs"/>
          <w:rtl/>
        </w:rPr>
        <w:t xml:space="preserve"> על ספק הגמ' בהוציא אברים וחתכם עד שהשלים לרוב, דבמשנה בנדה </w:t>
      </w:r>
      <w:r w:rsidRPr="00094D06">
        <w:rPr>
          <w:rStyle w:val="af7"/>
          <w:rFonts w:eastAsia="Guttman Hodes" w:hint="cs"/>
          <w:rtl/>
        </w:rPr>
        <w:t>(כח.)</w:t>
      </w:r>
      <w:r w:rsidRPr="00595830">
        <w:rPr>
          <w:rStyle w:val="afb"/>
          <w:rFonts w:hint="cs"/>
          <w:rtl/>
        </w:rPr>
        <w:t xml:space="preserve"> </w:t>
      </w:r>
      <w:r>
        <w:rPr>
          <w:rFonts w:hint="cs"/>
          <w:rtl/>
        </w:rPr>
        <w:t xml:space="preserve">תנן דיצא מחותך אמו טמאה לידה ביציאת רובו, והקשה </w:t>
      </w:r>
      <w:r w:rsidRPr="00595830">
        <w:rPr>
          <w:rStyle w:val="af9"/>
          <w:rFonts w:hint="cs"/>
          <w:rtl/>
        </w:rPr>
        <w:t>התבו"ש</w:t>
      </w:r>
      <w:r>
        <w:rPr>
          <w:rFonts w:hint="cs"/>
          <w:rtl/>
        </w:rPr>
        <w:t xml:space="preserve"> דאי נימא כדמשמע מפשטות הגמ', דאף אם חתכו בפנים ויצא רובו לא נאסר המיעוט שנשאר בפנים, א"כ היה </w:t>
      </w:r>
      <w:r w:rsidRPr="009A5928">
        <w:rPr>
          <w:rStyle w:val="af9"/>
          <w:rFonts w:hint="cs"/>
          <w:rtl/>
        </w:rPr>
        <w:t xml:space="preserve">להתוס' </w:t>
      </w:r>
      <w:r>
        <w:rPr>
          <w:rFonts w:hint="cs"/>
          <w:rtl/>
        </w:rPr>
        <w:t>להקשות דבגמ' בנדה מבואר דלא כדמשמע בסוגיין, דהכא משמע דבחתכו במעי אמו ויצא רובו לא הוי לידה, ואילו במשנה בנדה מבואר דאף רוב של מחותך חשיב לידה</w:t>
      </w:r>
      <w:bookmarkEnd w:id="17592"/>
      <w:r>
        <w:rPr>
          <w:rFonts w:hint="cs"/>
          <w:rtl/>
        </w:rPr>
        <w:t xml:space="preserve">, אלא כתב </w:t>
      </w:r>
      <w:r w:rsidRPr="009A5928">
        <w:rPr>
          <w:rStyle w:val="af9"/>
          <w:rFonts w:hint="cs"/>
          <w:rtl/>
        </w:rPr>
        <w:t xml:space="preserve">התבו"ש </w:t>
      </w:r>
      <w:r>
        <w:rPr>
          <w:rFonts w:hint="cs"/>
          <w:rtl/>
        </w:rPr>
        <w:t xml:space="preserve">דמוכח מדברי </w:t>
      </w:r>
      <w:r w:rsidRPr="009A5928">
        <w:rPr>
          <w:rStyle w:val="af9"/>
          <w:rFonts w:hint="cs"/>
          <w:rtl/>
        </w:rPr>
        <w:t>התוס'</w:t>
      </w:r>
      <w:r>
        <w:rPr>
          <w:rFonts w:hint="cs"/>
          <w:rtl/>
        </w:rPr>
        <w:t xml:space="preserve"> דאף אם חתך את העובר במעי אמו, ואח"כ יצאו רוב החתיכות, דנאסר המיעוט שנשאר בפנים, והא דנקטה הגמ' "הוציא ידו וחתכה" ולא נקטה הגמ' דחתכו במעי אמו, הוא בכדי לומר דאף בכה"ג יש צד דלא חשיב לידה. </w:t>
      </w:r>
      <w:r w:rsidRPr="00B31699">
        <w:rPr>
          <w:rStyle w:val="afb"/>
          <w:rFonts w:hint="cs"/>
          <w:rtl/>
        </w:rPr>
        <w:t>[דהיינו דאעפ"י שבשעה שיצא האבר לפני שנחתך היה מחובר לרוב, מ"מ כיון שבשעת השלמת הרוב לא היה מחובר, מסתפקת הגמ' אם אפשר לצרפו לרוב].</w:t>
      </w:r>
    </w:p>
    <w:p w14:paraId="11CB1AD1" w14:textId="77777777" w:rsidR="003D504D" w:rsidRDefault="003D504D" w:rsidP="003D504D">
      <w:pPr>
        <w:pStyle w:val="a3"/>
        <w:rPr>
          <w:rtl/>
        </w:rPr>
      </w:pPr>
      <w:bookmarkStart w:id="17593" w:name="_Toc536564273"/>
      <w:bookmarkStart w:id="17594" w:name="_Toc536564428"/>
      <w:bookmarkStart w:id="17595" w:name="_Toc536616962"/>
      <w:bookmarkStart w:id="17596" w:name="_Toc19391273"/>
      <w:bookmarkStart w:id="17597" w:name="_Toc19394770"/>
      <w:r>
        <w:rPr>
          <w:rFonts w:hint="cs"/>
          <w:rtl/>
        </w:rPr>
        <w:t>דברי התבו"ש דמבואר ברש"י דספק הגמ' לאסור את המיעוט שבפנים הוא אף ביצא רובו מחותך</w:t>
      </w:r>
      <w:bookmarkEnd w:id="17593"/>
      <w:bookmarkEnd w:id="17594"/>
      <w:bookmarkEnd w:id="17595"/>
      <w:bookmarkEnd w:id="17596"/>
      <w:bookmarkEnd w:id="17597"/>
    </w:p>
    <w:p w14:paraId="37D072D5" w14:textId="77777777" w:rsidR="003D504D" w:rsidRPr="002319DF" w:rsidRDefault="003D504D" w:rsidP="00223668">
      <w:pPr>
        <w:pStyle w:val="a0"/>
        <w:rPr>
          <w:rtl/>
        </w:rPr>
      </w:pPr>
      <w:r>
        <w:rPr>
          <w:rFonts w:hint="cs"/>
          <w:rtl/>
        </w:rPr>
        <w:t xml:space="preserve">והוסיף </w:t>
      </w:r>
      <w:r w:rsidRPr="009A5928">
        <w:rPr>
          <w:rStyle w:val="af9"/>
          <w:rFonts w:hint="cs"/>
          <w:rtl/>
        </w:rPr>
        <w:t xml:space="preserve">התבו"ש </w:t>
      </w:r>
      <w:r>
        <w:rPr>
          <w:rFonts w:hint="cs"/>
          <w:rtl/>
        </w:rPr>
        <w:t xml:space="preserve">דכן מבואר מדברי </w:t>
      </w:r>
      <w:r w:rsidRPr="009A5928">
        <w:rPr>
          <w:rStyle w:val="af9"/>
          <w:rFonts w:hint="cs"/>
          <w:rtl/>
        </w:rPr>
        <w:t>רש"י</w:t>
      </w:r>
      <w:r>
        <w:rPr>
          <w:rFonts w:hint="cs"/>
          <w:rtl/>
        </w:rPr>
        <w:t xml:space="preserve">, דבמה שרצתה הגמ' לפשוט את הספק, מלשון המשנה דדבר שאינו מותר, דבא לרבות ביצאו אברים וחתכם והשלימם לרוב דהמיעוט שנשאר בפנים נאסר, כתב </w:t>
      </w:r>
      <w:r w:rsidRPr="00BF510D">
        <w:rPr>
          <w:rStyle w:val="af9"/>
          <w:rFonts w:hint="cs"/>
          <w:rtl/>
        </w:rPr>
        <w:t>רש"י</w:t>
      </w:r>
      <w:r>
        <w:rPr>
          <w:rFonts w:hint="cs"/>
          <w:rtl/>
        </w:rPr>
        <w:t xml:space="preserve"> </w:t>
      </w:r>
      <w:r w:rsidRPr="00BF510D">
        <w:rPr>
          <w:rStyle w:val="af7"/>
          <w:rFonts w:eastAsia="Guttman Hodes" w:hint="cs"/>
          <w:rtl/>
        </w:rPr>
        <w:t>(סט. ד"ה לאתויי)</w:t>
      </w:r>
      <w:r>
        <w:rPr>
          <w:rFonts w:hint="cs"/>
          <w:rtl/>
        </w:rPr>
        <w:t xml:space="preserve"> דא"א לומר דכוונת המשנה להיתר חותך מעובר שבמעיה, דהא תני ליה בהדיא, אלא משמע דכוונת המשנה להתיר במקום שנשאר מיעוט העובר בפנים, ורובו יצא מחותך, וכתב </w:t>
      </w:r>
      <w:r w:rsidRPr="009A5928">
        <w:rPr>
          <w:rStyle w:val="af9"/>
          <w:rFonts w:hint="cs"/>
          <w:rtl/>
        </w:rPr>
        <w:t xml:space="preserve">התבו"ש </w:t>
      </w:r>
      <w:r>
        <w:rPr>
          <w:rFonts w:hint="cs"/>
          <w:rtl/>
        </w:rPr>
        <w:t xml:space="preserve">דמשמע מלשון </w:t>
      </w:r>
      <w:r w:rsidRPr="009A5928">
        <w:rPr>
          <w:rStyle w:val="af9"/>
          <w:rFonts w:hint="cs"/>
          <w:rtl/>
        </w:rPr>
        <w:t xml:space="preserve">רש"י </w:t>
      </w:r>
      <w:r>
        <w:rPr>
          <w:rFonts w:hint="cs"/>
          <w:rtl/>
        </w:rPr>
        <w:t xml:space="preserve">דאף אם נחתך במעי אמו ויצא רובו אסור, </w:t>
      </w:r>
      <w:r w:rsidRPr="005221FF">
        <w:rPr>
          <w:rStyle w:val="afb"/>
          <w:rFonts w:hint="cs"/>
          <w:rtl/>
        </w:rPr>
        <w:t xml:space="preserve">[דהא לשון </w:t>
      </w:r>
      <w:r w:rsidRPr="005221FF">
        <w:rPr>
          <w:rStyle w:val="affa"/>
          <w:rFonts w:hint="cs"/>
          <w:rtl/>
        </w:rPr>
        <w:t xml:space="preserve">רש"י </w:t>
      </w:r>
      <w:r w:rsidRPr="005221FF">
        <w:rPr>
          <w:rStyle w:val="afb"/>
          <w:rFonts w:hint="cs"/>
          <w:rtl/>
        </w:rPr>
        <w:t xml:space="preserve">"יצא מחותך" הוא לשון המשנה </w:t>
      </w:r>
      <w:r w:rsidRPr="00595830">
        <w:rPr>
          <w:rStyle w:val="afb"/>
          <w:rFonts w:hint="cs"/>
          <w:rtl/>
        </w:rPr>
        <w:t xml:space="preserve">בנדה </w:t>
      </w:r>
      <w:r w:rsidRPr="00595830">
        <w:rPr>
          <w:rStyle w:val="aff6"/>
          <w:rFonts w:hint="cs"/>
          <w:rtl/>
        </w:rPr>
        <w:t>(כח.)</w:t>
      </w:r>
      <w:r w:rsidRPr="00595830">
        <w:rPr>
          <w:rStyle w:val="afb"/>
          <w:rFonts w:hint="cs"/>
          <w:rtl/>
        </w:rPr>
        <w:t xml:space="preserve"> שהביאו </w:t>
      </w:r>
      <w:r w:rsidRPr="00595830">
        <w:rPr>
          <w:rStyle w:val="affa"/>
          <w:rFonts w:hint="cs"/>
          <w:rtl/>
        </w:rPr>
        <w:t xml:space="preserve">התוס' </w:t>
      </w:r>
      <w:r w:rsidRPr="00595830">
        <w:rPr>
          <w:rStyle w:val="aff6"/>
          <w:rFonts w:hint="cs"/>
          <w:rtl/>
        </w:rPr>
        <w:t xml:space="preserve">(עי' אות </w:t>
      </w:r>
      <w:r w:rsidRPr="00595830">
        <w:rPr>
          <w:rStyle w:val="aff6"/>
          <w:rtl/>
        </w:rPr>
        <w:fldChar w:fldCharType="begin"/>
      </w:r>
      <w:r w:rsidRPr="00595830">
        <w:rPr>
          <w:rStyle w:val="aff6"/>
          <w:rtl/>
        </w:rPr>
        <w:instrText xml:space="preserve"> </w:instrText>
      </w:r>
      <w:r w:rsidRPr="00595830">
        <w:rPr>
          <w:rStyle w:val="aff6"/>
          <w:rFonts w:hint="cs"/>
        </w:rPr>
        <w:instrText>REF</w:instrText>
      </w:r>
      <w:r w:rsidRPr="00595830">
        <w:rPr>
          <w:rStyle w:val="aff6"/>
          <w:rFonts w:hint="cs"/>
          <w:rtl/>
        </w:rPr>
        <w:instrText xml:space="preserve"> _</w:instrText>
      </w:r>
      <w:r w:rsidRPr="00595830">
        <w:rPr>
          <w:rStyle w:val="aff6"/>
          <w:rFonts w:hint="cs"/>
        </w:rPr>
        <w:instrText>Ref536172240 \r \h</w:instrText>
      </w:r>
      <w:r w:rsidRPr="00595830">
        <w:rPr>
          <w:rStyle w:val="aff6"/>
          <w:rtl/>
        </w:rPr>
        <w:instrText xml:space="preserve"> </w:instrText>
      </w:r>
      <w:r w:rsidRPr="00595830">
        <w:rPr>
          <w:rStyle w:val="aff6"/>
          <w:rtl/>
        </w:rPr>
      </w:r>
      <w:r w:rsidRPr="00595830">
        <w:rPr>
          <w:rStyle w:val="aff6"/>
          <w:rtl/>
        </w:rPr>
        <w:fldChar w:fldCharType="separate"/>
      </w:r>
      <w:r w:rsidR="00345400">
        <w:rPr>
          <w:rStyle w:val="aff6"/>
          <w:cs/>
        </w:rPr>
        <w:t>‎</w:t>
      </w:r>
      <w:r w:rsidR="00345400">
        <w:rPr>
          <w:rStyle w:val="aff6"/>
          <w:rtl/>
        </w:rPr>
        <w:t>סח)</w:t>
      </w:r>
      <w:r w:rsidRPr="00595830">
        <w:rPr>
          <w:rStyle w:val="aff6"/>
          <w:rtl/>
        </w:rPr>
        <w:fldChar w:fldCharType="end"/>
      </w:r>
      <w:r w:rsidRPr="00595830">
        <w:rPr>
          <w:rStyle w:val="afb"/>
          <w:rFonts w:hint="cs"/>
          <w:rtl/>
        </w:rPr>
        <w:t>, ובנדה ודאי איירי שחתכו במעי אמו],</w:t>
      </w:r>
      <w:r w:rsidRPr="00595830">
        <w:rPr>
          <w:rFonts w:hint="cs"/>
          <w:rtl/>
        </w:rPr>
        <w:t xml:space="preserve"> ומוכח דספק הגמ' הוא אף בכה"ג, </w:t>
      </w:r>
      <w:r w:rsidRPr="002319DF">
        <w:rPr>
          <w:rFonts w:hint="cs"/>
          <w:rtl/>
        </w:rPr>
        <w:t xml:space="preserve">וכתב </w:t>
      </w:r>
      <w:r w:rsidRPr="002319DF">
        <w:rPr>
          <w:rStyle w:val="af9"/>
          <w:rFonts w:hint="cs"/>
          <w:rtl/>
        </w:rPr>
        <w:t xml:space="preserve">התבו"ש </w:t>
      </w:r>
      <w:r w:rsidRPr="002319DF">
        <w:rPr>
          <w:rFonts w:hint="cs"/>
          <w:rtl/>
        </w:rPr>
        <w:t xml:space="preserve">דלפי"ז כוונת הגמ' לפשוט מהמשנה את אחד מהספיקות, </w:t>
      </w:r>
      <w:r w:rsidRPr="002319DF">
        <w:rPr>
          <w:rStyle w:val="afb"/>
          <w:rFonts w:hint="cs"/>
          <w:rtl/>
        </w:rPr>
        <w:t>[או בהוציא אברים וחתכם, או בחתך במעי אמו]</w:t>
      </w:r>
      <w:r w:rsidRPr="002319DF">
        <w:rPr>
          <w:rFonts w:hint="cs"/>
          <w:rtl/>
        </w:rPr>
        <w:t>, ודחתה הגמ' דכוונת המשנה לדין קלוט.</w:t>
      </w:r>
    </w:p>
    <w:p w14:paraId="52D223FA" w14:textId="77777777" w:rsidR="003D504D" w:rsidRPr="002319DF" w:rsidRDefault="003D504D" w:rsidP="003D504D">
      <w:pPr>
        <w:pStyle w:val="a3"/>
        <w:rPr>
          <w:rtl/>
        </w:rPr>
      </w:pPr>
      <w:bookmarkStart w:id="17598" w:name="_Toc536564274"/>
      <w:bookmarkStart w:id="17599" w:name="_Toc536564429"/>
      <w:bookmarkStart w:id="17600" w:name="_Toc536616963"/>
      <w:bookmarkStart w:id="17601" w:name="_Toc19391274"/>
      <w:bookmarkStart w:id="17602" w:name="_Toc19394771"/>
      <w:r>
        <w:rPr>
          <w:rFonts w:hint="cs"/>
          <w:rtl/>
        </w:rPr>
        <w:t>מסקנת התבו"ש וה</w:t>
      </w:r>
      <w:r w:rsidR="00345400">
        <w:rPr>
          <w:rFonts w:hint="cs"/>
          <w:rtl/>
        </w:rPr>
        <w:t>פלתי</w:t>
      </w:r>
      <w:r>
        <w:rPr>
          <w:rFonts w:hint="cs"/>
          <w:rtl/>
        </w:rPr>
        <w:t xml:space="preserve"> דביצא רובו מחותך וכן בחותך מעובר ונולד אח"כ דהמיעוט</w:t>
      </w:r>
      <w:r w:rsidRPr="000C24F7">
        <w:rPr>
          <w:rFonts w:hint="cs"/>
          <w:rtl/>
        </w:rPr>
        <w:t xml:space="preserve"> </w:t>
      </w:r>
      <w:r>
        <w:rPr>
          <w:rFonts w:hint="cs"/>
          <w:rtl/>
        </w:rPr>
        <w:t>שבפנים נאסר</w:t>
      </w:r>
      <w:bookmarkEnd w:id="17598"/>
      <w:bookmarkEnd w:id="17599"/>
      <w:bookmarkEnd w:id="17600"/>
      <w:bookmarkEnd w:id="17601"/>
      <w:bookmarkEnd w:id="17602"/>
    </w:p>
    <w:p w14:paraId="62BB1C6A" w14:textId="77777777" w:rsidR="003D504D" w:rsidRPr="002319DF" w:rsidRDefault="003D504D" w:rsidP="00223668">
      <w:pPr>
        <w:pStyle w:val="a0"/>
        <w:rPr>
          <w:rtl/>
        </w:rPr>
      </w:pPr>
      <w:r w:rsidRPr="002319DF">
        <w:rPr>
          <w:rFonts w:hint="cs"/>
          <w:rtl/>
        </w:rPr>
        <w:t xml:space="preserve">אלא כתב </w:t>
      </w:r>
      <w:r w:rsidRPr="002319DF">
        <w:rPr>
          <w:rStyle w:val="af9"/>
          <w:rFonts w:hint="cs"/>
          <w:rtl/>
        </w:rPr>
        <w:t>התבו"ש</w:t>
      </w:r>
      <w:r w:rsidRPr="002319DF">
        <w:rPr>
          <w:rFonts w:hint="cs"/>
          <w:rtl/>
        </w:rPr>
        <w:t xml:space="preserve"> </w:t>
      </w:r>
      <w:r w:rsidRPr="002319DF">
        <w:rPr>
          <w:rStyle w:val="af7"/>
          <w:rFonts w:eastAsia="Guttman Hodes" w:hint="cs"/>
          <w:rtl/>
        </w:rPr>
        <w:t>(סי' י"ד סעיף ז')</w:t>
      </w:r>
      <w:r w:rsidRPr="002319DF">
        <w:rPr>
          <w:rFonts w:hint="cs"/>
          <w:rtl/>
        </w:rPr>
        <w:t xml:space="preserve"> דאף אם חתך את העובר במעי אמו, והוציא אברים אברים עד שהשלים לרוב, דהמיעוט שנשאר בפנים אסור, וכן אם חתך את הראש והוציאו, דהמיעוט שנשאר בפנים אסור, וכתב </w:t>
      </w:r>
      <w:r w:rsidRPr="002319DF">
        <w:rPr>
          <w:rStyle w:val="af9"/>
          <w:rFonts w:hint="cs"/>
          <w:rtl/>
        </w:rPr>
        <w:t>התבו"ש</w:t>
      </w:r>
      <w:r w:rsidRPr="002319DF">
        <w:rPr>
          <w:rFonts w:hint="cs"/>
          <w:rtl/>
        </w:rPr>
        <w:t xml:space="preserve"> </w:t>
      </w:r>
      <w:r w:rsidRPr="00BF510D">
        <w:rPr>
          <w:rStyle w:val="af7"/>
          <w:rFonts w:eastAsia="Guttman Hodes" w:hint="cs"/>
          <w:rtl/>
        </w:rPr>
        <w:t xml:space="preserve">(סי' </w:t>
      </w:r>
      <w:r>
        <w:rPr>
          <w:rStyle w:val="af7"/>
          <w:rFonts w:eastAsia="Guttman Hodes" w:hint="cs"/>
          <w:rtl/>
        </w:rPr>
        <w:t>י</w:t>
      </w:r>
      <w:r>
        <w:rPr>
          <w:rStyle w:val="af7"/>
          <w:rFonts w:eastAsia="Guttman Hodes"/>
          <w:rtl/>
        </w:rPr>
        <w:t>"</w:t>
      </w:r>
      <w:r>
        <w:rPr>
          <w:rStyle w:val="af7"/>
          <w:rFonts w:eastAsia="Guttman Hodes" w:hint="cs"/>
          <w:rtl/>
        </w:rPr>
        <w:t>ד</w:t>
      </w:r>
      <w:r w:rsidRPr="00BF510D">
        <w:rPr>
          <w:rStyle w:val="af7"/>
          <w:rFonts w:eastAsia="Guttman Hodes" w:hint="cs"/>
          <w:rtl/>
        </w:rPr>
        <w:t xml:space="preserve"> סקי"ד)</w:t>
      </w:r>
      <w:r>
        <w:rPr>
          <w:rFonts w:hint="cs"/>
          <w:rtl/>
        </w:rPr>
        <w:t xml:space="preserve"> </w:t>
      </w:r>
      <w:r w:rsidRPr="002319DF">
        <w:rPr>
          <w:rFonts w:hint="cs"/>
          <w:rtl/>
        </w:rPr>
        <w:t xml:space="preserve">דלפי"ז הא דתנן במתני' דהחותך מעובר שבמעיה מותר באכילה, הוא דוקא כשהעובר נשאר ג"כ במעי אמו, והחידוש במתני' דבשחתך מהולד אינו כחתך מהבהמה עצמה שהוא אבר מן החי, וכ"כ </w:t>
      </w:r>
      <w:r w:rsidRPr="002319DF">
        <w:rPr>
          <w:rStyle w:val="af9"/>
          <w:rFonts w:hint="cs"/>
          <w:rtl/>
        </w:rPr>
        <w:t>ה</w:t>
      </w:r>
      <w:r w:rsidR="00345400">
        <w:rPr>
          <w:rStyle w:val="af9"/>
          <w:rFonts w:hint="cs"/>
          <w:rtl/>
        </w:rPr>
        <w:t>פלתי</w:t>
      </w:r>
      <w:r w:rsidRPr="002319DF">
        <w:rPr>
          <w:rFonts w:hint="cs"/>
          <w:rtl/>
        </w:rPr>
        <w:t xml:space="preserve"> </w:t>
      </w:r>
      <w:r w:rsidRPr="002319DF">
        <w:rPr>
          <w:rStyle w:val="af7"/>
          <w:rFonts w:eastAsia="Guttman Hodes" w:hint="cs"/>
          <w:rtl/>
        </w:rPr>
        <w:t>(סי' י"ד ס</w:t>
      </w:r>
      <w:r>
        <w:rPr>
          <w:rStyle w:val="af7"/>
          <w:rFonts w:eastAsia="Guttman Hodes" w:hint="cs"/>
          <w:rtl/>
        </w:rPr>
        <w:t xml:space="preserve">וס"ק </w:t>
      </w:r>
      <w:r w:rsidRPr="002319DF">
        <w:rPr>
          <w:rStyle w:val="af7"/>
          <w:rFonts w:eastAsia="Guttman Hodes" w:hint="cs"/>
          <w:rtl/>
        </w:rPr>
        <w:t>ד</w:t>
      </w:r>
      <w:r>
        <w:rPr>
          <w:rStyle w:val="af7"/>
          <w:rFonts w:eastAsia="Guttman Hodes" w:hint="cs"/>
          <w:rtl/>
        </w:rPr>
        <w:t>'</w:t>
      </w:r>
      <w:r w:rsidRPr="002319DF">
        <w:rPr>
          <w:rStyle w:val="af7"/>
          <w:rFonts w:eastAsia="Guttman Hodes" w:hint="cs"/>
          <w:rtl/>
        </w:rPr>
        <w:t>)</w:t>
      </w:r>
      <w:r w:rsidRPr="002319DF">
        <w:rPr>
          <w:rFonts w:hint="cs"/>
          <w:rtl/>
        </w:rPr>
        <w:t>.</w:t>
      </w:r>
    </w:p>
    <w:p w14:paraId="3F3DEC3E" w14:textId="77777777" w:rsidR="003D504D" w:rsidRDefault="003D504D" w:rsidP="003D504D">
      <w:pPr>
        <w:pStyle w:val="afe"/>
        <w:rPr>
          <w:rtl/>
        </w:rPr>
      </w:pPr>
      <w:bookmarkStart w:id="17603" w:name="_Toc535958317"/>
      <w:bookmarkStart w:id="17604" w:name="_Toc536041995"/>
      <w:bookmarkStart w:id="17605" w:name="_Toc536130318"/>
      <w:bookmarkStart w:id="17606" w:name="_Toc536178403"/>
      <w:bookmarkStart w:id="17607" w:name="_Toc536180785"/>
      <w:bookmarkStart w:id="17608" w:name="_Toc536305038"/>
      <w:bookmarkStart w:id="17609" w:name="_Toc536305119"/>
      <w:bookmarkStart w:id="17610" w:name="_Toc536459339"/>
      <w:bookmarkStart w:id="17611" w:name="_Toc536466295"/>
      <w:bookmarkStart w:id="17612" w:name="_Toc536540456"/>
      <w:bookmarkStart w:id="17613" w:name="_Toc536564275"/>
      <w:bookmarkStart w:id="17614" w:name="_Toc536564430"/>
      <w:bookmarkStart w:id="17615" w:name="_Toc536616964"/>
      <w:bookmarkStart w:id="17616" w:name="_Toc19436074"/>
      <w:bookmarkStart w:id="17617" w:name="_Toc20081268"/>
      <w:r>
        <w:rPr>
          <w:rFonts w:hint="cs"/>
          <w:rtl/>
        </w:rPr>
        <w:t xml:space="preserve">בספק </w:t>
      </w:r>
      <w:bookmarkEnd w:id="17603"/>
      <w:bookmarkEnd w:id="17604"/>
      <w:bookmarkEnd w:id="17605"/>
      <w:bookmarkEnd w:id="17606"/>
      <w:bookmarkEnd w:id="17607"/>
      <w:bookmarkEnd w:id="17608"/>
      <w:bookmarkEnd w:id="17609"/>
      <w:r>
        <w:rPr>
          <w:rFonts w:hint="cs"/>
          <w:rtl/>
        </w:rPr>
        <w:t>אי הלכו באברים אחר הרוב</w:t>
      </w:r>
      <w:bookmarkEnd w:id="17610"/>
      <w:bookmarkEnd w:id="17611"/>
      <w:bookmarkEnd w:id="17612"/>
      <w:bookmarkEnd w:id="17613"/>
      <w:bookmarkEnd w:id="17614"/>
      <w:bookmarkEnd w:id="17615"/>
      <w:bookmarkEnd w:id="17616"/>
      <w:bookmarkEnd w:id="17617"/>
    </w:p>
    <w:p w14:paraId="459CE947" w14:textId="77777777" w:rsidR="003D504D" w:rsidRDefault="003D504D" w:rsidP="00BF39B2">
      <w:pPr>
        <w:pStyle w:val="1"/>
        <w:rPr>
          <w:rtl/>
        </w:rPr>
      </w:pPr>
      <w:bookmarkStart w:id="17618" w:name="_Toc536564276"/>
      <w:bookmarkStart w:id="17619" w:name="_Toc536564431"/>
      <w:bookmarkStart w:id="17620" w:name="_Toc536616965"/>
      <w:bookmarkStart w:id="17621" w:name="_Toc19391275"/>
      <w:bookmarkStart w:id="17622" w:name="_Toc19394772"/>
      <w:r>
        <w:rPr>
          <w:rFonts w:hint="cs"/>
          <w:rtl/>
        </w:rPr>
        <w:t>פלוגתת הבעה"מ והרמב"ן אי הספק הוא אף לרב</w:t>
      </w:r>
      <w:bookmarkEnd w:id="17618"/>
      <w:bookmarkEnd w:id="17619"/>
      <w:bookmarkEnd w:id="17620"/>
      <w:bookmarkEnd w:id="17621"/>
      <w:bookmarkEnd w:id="17622"/>
    </w:p>
    <w:p w14:paraId="2FAE3212" w14:textId="77777777" w:rsidR="003D504D" w:rsidRPr="0072649A" w:rsidRDefault="003D504D" w:rsidP="003D504D">
      <w:pPr>
        <w:pStyle w:val="a3"/>
        <w:rPr>
          <w:rtl/>
        </w:rPr>
      </w:pPr>
      <w:bookmarkStart w:id="17623" w:name="_Toc536616966"/>
      <w:bookmarkStart w:id="17624" w:name="_Toc19391276"/>
      <w:bookmarkStart w:id="17625" w:name="_Toc19394773"/>
      <w:r>
        <w:rPr>
          <w:rFonts w:hint="cs"/>
          <w:rtl/>
        </w:rPr>
        <w:t>דברי הבעה"מ דלרב פשיטא דהמיעוט שבפנים נגרר אחר רוב האבר שבחוץ</w:t>
      </w:r>
      <w:bookmarkEnd w:id="17623"/>
      <w:bookmarkEnd w:id="17624"/>
      <w:bookmarkEnd w:id="17625"/>
    </w:p>
    <w:p w14:paraId="48C397E2" w14:textId="77777777" w:rsidR="003D504D" w:rsidRDefault="003D504D" w:rsidP="00223668">
      <w:pPr>
        <w:pStyle w:val="a0"/>
        <w:rPr>
          <w:rtl/>
        </w:rPr>
      </w:pPr>
      <w:bookmarkStart w:id="17626" w:name="_Ref536131228"/>
      <w:r>
        <w:rPr>
          <w:rFonts w:hint="cs"/>
          <w:rtl/>
        </w:rPr>
        <w:t xml:space="preserve">בספק הגמ' לקמן </w:t>
      </w:r>
      <w:r w:rsidRPr="00873C7E">
        <w:rPr>
          <w:rStyle w:val="af7"/>
          <w:rFonts w:eastAsia="Guttman Hodes" w:hint="cs"/>
          <w:rtl/>
        </w:rPr>
        <w:t>(ע.)</w:t>
      </w:r>
      <w:r>
        <w:rPr>
          <w:rFonts w:hint="cs"/>
          <w:rtl/>
        </w:rPr>
        <w:t xml:space="preserve"> אי הלכו באברים אחר הרוב, כתב </w:t>
      </w:r>
      <w:r w:rsidRPr="0025649F">
        <w:rPr>
          <w:rStyle w:val="af9"/>
          <w:rFonts w:hint="cs"/>
          <w:rtl/>
        </w:rPr>
        <w:t>הבעה"מ</w:t>
      </w:r>
      <w:r>
        <w:rPr>
          <w:rFonts w:hint="cs"/>
          <w:rtl/>
        </w:rPr>
        <w:t xml:space="preserve"> </w:t>
      </w:r>
      <w:r w:rsidRPr="00873C7E">
        <w:rPr>
          <w:rStyle w:val="af7"/>
          <w:rFonts w:eastAsia="Guttman Hodes" w:hint="cs"/>
          <w:rtl/>
        </w:rPr>
        <w:t>(כד. מדפי הרי"ף)</w:t>
      </w:r>
      <w:r>
        <w:rPr>
          <w:rFonts w:hint="cs"/>
          <w:rtl/>
        </w:rPr>
        <w:t xml:space="preserve"> דהספק הוא רק לדעת ריו"ח דאין לידה לאברים, דהא לרב כיון שיש לידה לאברים, א"כ פשיטא דהמיעוט שבפנים נגרר אחר רוב האבר שבחוץ, ועי' במה שהביא </w:t>
      </w:r>
      <w:r w:rsidRPr="00190E05">
        <w:rPr>
          <w:rStyle w:val="af9"/>
          <w:rFonts w:hint="cs"/>
          <w:rtl/>
        </w:rPr>
        <w:t>הבעה"מ</w:t>
      </w:r>
      <w:r w:rsidRPr="00E00CDC">
        <w:rPr>
          <w:rStyle w:val="af7"/>
          <w:rFonts w:eastAsia="Guttman Hodes" w:hint="cs"/>
          <w:rtl/>
        </w:rPr>
        <w:t xml:space="preserve"> (עי' אות </w:t>
      </w:r>
      <w:r w:rsidRPr="00E00CDC">
        <w:rPr>
          <w:rStyle w:val="af7"/>
          <w:rFonts w:eastAsia="Guttman Hodes"/>
          <w:rtl/>
        </w:rPr>
        <w:fldChar w:fldCharType="begin"/>
      </w:r>
      <w:r w:rsidRPr="00E00CDC">
        <w:rPr>
          <w:rStyle w:val="af7"/>
          <w:rFonts w:eastAsia="Guttman Hodes"/>
          <w:rtl/>
        </w:rPr>
        <w:instrText xml:space="preserve"> </w:instrText>
      </w:r>
      <w:r w:rsidRPr="00E00CDC">
        <w:rPr>
          <w:rStyle w:val="af7"/>
          <w:rFonts w:eastAsia="Guttman Hodes" w:hint="cs"/>
        </w:rPr>
        <w:instrText>REF</w:instrText>
      </w:r>
      <w:r w:rsidRPr="00E00CDC">
        <w:rPr>
          <w:rStyle w:val="af7"/>
          <w:rFonts w:eastAsia="Guttman Hodes" w:hint="cs"/>
          <w:rtl/>
        </w:rPr>
        <w:instrText xml:space="preserve"> _</w:instrText>
      </w:r>
      <w:r w:rsidRPr="00E00CDC">
        <w:rPr>
          <w:rStyle w:val="af7"/>
          <w:rFonts w:eastAsia="Guttman Hodes" w:hint="cs"/>
        </w:rPr>
        <w:instrText>Ref535942552 \r \h</w:instrText>
      </w:r>
      <w:r w:rsidRPr="00E00CDC">
        <w:rPr>
          <w:rStyle w:val="af7"/>
          <w:rFonts w:eastAsia="Guttman Hodes"/>
          <w:rtl/>
        </w:rPr>
        <w:instrText xml:space="preserve"> </w:instrText>
      </w:r>
      <w:r w:rsidRPr="00E00CDC">
        <w:rPr>
          <w:rStyle w:val="af7"/>
          <w:rFonts w:eastAsia="Guttman Hodes"/>
          <w:rtl/>
        </w:rPr>
      </w:r>
      <w:r w:rsidRPr="00E00CDC">
        <w:rPr>
          <w:rStyle w:val="af7"/>
          <w:rFonts w:eastAsia="Guttman Hodes"/>
          <w:rtl/>
        </w:rPr>
        <w:fldChar w:fldCharType="separate"/>
      </w:r>
      <w:r w:rsidR="00345400">
        <w:rPr>
          <w:rStyle w:val="af7"/>
          <w:rFonts w:eastAsia="Guttman Hodes"/>
          <w:cs/>
        </w:rPr>
        <w:t>‎</w:t>
      </w:r>
      <w:r w:rsidR="00345400">
        <w:rPr>
          <w:rStyle w:val="af7"/>
          <w:rFonts w:eastAsia="Guttman Hodes"/>
          <w:rtl/>
        </w:rPr>
        <w:t>לה)</w:t>
      </w:r>
      <w:r w:rsidRPr="00E00CDC">
        <w:rPr>
          <w:rStyle w:val="af7"/>
          <w:rFonts w:eastAsia="Guttman Hodes"/>
          <w:rtl/>
        </w:rPr>
        <w:fldChar w:fldCharType="end"/>
      </w:r>
      <w:r>
        <w:rPr>
          <w:rFonts w:hint="cs"/>
          <w:rtl/>
        </w:rPr>
        <w:t xml:space="preserve"> ראיה מזה לדברי </w:t>
      </w:r>
      <w:r w:rsidRPr="00190E05">
        <w:rPr>
          <w:rStyle w:val="af9"/>
          <w:rFonts w:hint="cs"/>
          <w:rtl/>
        </w:rPr>
        <w:t>הרי"ף</w:t>
      </w:r>
      <w:r>
        <w:rPr>
          <w:rFonts w:hint="cs"/>
          <w:rtl/>
        </w:rPr>
        <w:t xml:space="preserve"> </w:t>
      </w:r>
      <w:r w:rsidRPr="00E00CDC">
        <w:rPr>
          <w:rStyle w:val="af7"/>
          <w:rFonts w:eastAsia="Guttman Hodes" w:hint="cs"/>
          <w:rtl/>
        </w:rPr>
        <w:t xml:space="preserve">(עי' אות </w:t>
      </w:r>
      <w:r w:rsidRPr="00E00CDC">
        <w:rPr>
          <w:rStyle w:val="af7"/>
          <w:rFonts w:eastAsia="Guttman Hodes"/>
          <w:rtl/>
        </w:rPr>
        <w:fldChar w:fldCharType="begin"/>
      </w:r>
      <w:r w:rsidRPr="00E00CDC">
        <w:rPr>
          <w:rStyle w:val="af7"/>
          <w:rFonts w:eastAsia="Guttman Hodes"/>
          <w:rtl/>
        </w:rPr>
        <w:instrText xml:space="preserve"> </w:instrText>
      </w:r>
      <w:r w:rsidRPr="00E00CDC">
        <w:rPr>
          <w:rStyle w:val="af7"/>
          <w:rFonts w:eastAsia="Guttman Hodes" w:hint="cs"/>
        </w:rPr>
        <w:instrText>REF</w:instrText>
      </w:r>
      <w:r w:rsidRPr="00E00CDC">
        <w:rPr>
          <w:rStyle w:val="af7"/>
          <w:rFonts w:eastAsia="Guttman Hodes" w:hint="cs"/>
          <w:rtl/>
        </w:rPr>
        <w:instrText xml:space="preserve"> _</w:instrText>
      </w:r>
      <w:r w:rsidRPr="00E00CDC">
        <w:rPr>
          <w:rStyle w:val="af7"/>
          <w:rFonts w:eastAsia="Guttman Hodes" w:hint="cs"/>
        </w:rPr>
        <w:instrText>Ref535942561 \r \h</w:instrText>
      </w:r>
      <w:r w:rsidRPr="00E00CDC">
        <w:rPr>
          <w:rStyle w:val="af7"/>
          <w:rFonts w:eastAsia="Guttman Hodes"/>
          <w:rtl/>
        </w:rPr>
        <w:instrText xml:space="preserve"> </w:instrText>
      </w:r>
      <w:r w:rsidRPr="00E00CDC">
        <w:rPr>
          <w:rStyle w:val="af7"/>
          <w:rFonts w:eastAsia="Guttman Hodes"/>
          <w:rtl/>
        </w:rPr>
      </w:r>
      <w:r w:rsidRPr="00E00CDC">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sidRPr="00E00CDC">
        <w:rPr>
          <w:rStyle w:val="af7"/>
          <w:rFonts w:eastAsia="Guttman Hodes"/>
          <w:rtl/>
        </w:rPr>
        <w:fldChar w:fldCharType="end"/>
      </w:r>
      <w:r>
        <w:rPr>
          <w:rFonts w:hint="cs"/>
          <w:rtl/>
        </w:rPr>
        <w:t>.</w:t>
      </w:r>
      <w:bookmarkEnd w:id="17626"/>
      <w:r w:rsidRPr="00C40AC8">
        <w:rPr>
          <w:rFonts w:hint="cs"/>
          <w:rtl/>
        </w:rPr>
        <w:t xml:space="preserve"> </w:t>
      </w:r>
      <w:r>
        <w:rPr>
          <w:rFonts w:hint="cs"/>
          <w:rtl/>
        </w:rPr>
        <w:t xml:space="preserve">וכן הביא </w:t>
      </w:r>
      <w:r w:rsidRPr="006349F3">
        <w:rPr>
          <w:rStyle w:val="af9"/>
          <w:rFonts w:hint="cs"/>
          <w:rtl/>
        </w:rPr>
        <w:t>הרמב"ן לקמן</w:t>
      </w:r>
      <w:r>
        <w:rPr>
          <w:rFonts w:hint="cs"/>
          <w:rtl/>
        </w:rPr>
        <w:t xml:space="preserve"> </w:t>
      </w:r>
      <w:r w:rsidRPr="00873C7E">
        <w:rPr>
          <w:rStyle w:val="af7"/>
          <w:rFonts w:eastAsia="Guttman Hodes" w:hint="cs"/>
          <w:rtl/>
        </w:rPr>
        <w:t>(ע.</w:t>
      </w:r>
      <w:r>
        <w:rPr>
          <w:rStyle w:val="af7"/>
          <w:rFonts w:eastAsia="Guttman Hodes" w:hint="cs"/>
          <w:rtl/>
        </w:rPr>
        <w:t xml:space="preserve"> סוד"ה אילימא</w:t>
      </w:r>
      <w:r w:rsidRPr="00873C7E">
        <w:rPr>
          <w:rStyle w:val="af7"/>
          <w:rFonts w:eastAsia="Guttman Hodes" w:hint="cs"/>
          <w:rtl/>
        </w:rPr>
        <w:t>)</w:t>
      </w:r>
      <w:r>
        <w:rPr>
          <w:rFonts w:hint="cs"/>
          <w:rtl/>
        </w:rPr>
        <w:t xml:space="preserve"> בשם </w:t>
      </w:r>
      <w:r w:rsidRPr="006349F3">
        <w:rPr>
          <w:rStyle w:val="af9"/>
          <w:rFonts w:hint="cs"/>
          <w:rtl/>
        </w:rPr>
        <w:t>י"א</w:t>
      </w:r>
      <w:r w:rsidRPr="00944575">
        <w:rPr>
          <w:rStyle w:val="afb"/>
          <w:rFonts w:hint="cs"/>
          <w:rtl/>
        </w:rPr>
        <w:t xml:space="preserve"> </w:t>
      </w:r>
      <w:r>
        <w:rPr>
          <w:rFonts w:hint="cs"/>
          <w:rtl/>
        </w:rPr>
        <w:t xml:space="preserve">דהספק הוא למ"ד דאין לידה לאברים שלא נאסר המיעוט שבפנים, דקיי"ל כוותיה וכדביאר </w:t>
      </w:r>
      <w:r w:rsidRPr="006349F3">
        <w:rPr>
          <w:rStyle w:val="af9"/>
          <w:rFonts w:hint="cs"/>
          <w:rtl/>
        </w:rPr>
        <w:t>הרי"ף</w:t>
      </w:r>
      <w:r>
        <w:rPr>
          <w:rFonts w:hint="cs"/>
          <w:rtl/>
        </w:rPr>
        <w:t xml:space="preserve"> </w:t>
      </w:r>
      <w:r w:rsidRPr="00944575">
        <w:rPr>
          <w:rStyle w:val="af7"/>
          <w:rFonts w:eastAsia="Guttman Hodes" w:hint="cs"/>
          <w:rtl/>
        </w:rPr>
        <w:t xml:space="preserve">(עי' אות </w:t>
      </w:r>
      <w:r w:rsidRPr="00944575">
        <w:rPr>
          <w:rStyle w:val="af7"/>
          <w:rFonts w:eastAsia="Guttman Hodes"/>
          <w:rtl/>
        </w:rPr>
        <w:fldChar w:fldCharType="begin"/>
      </w:r>
      <w:r w:rsidRPr="00944575">
        <w:rPr>
          <w:rStyle w:val="af7"/>
          <w:rFonts w:eastAsia="Guttman Hodes"/>
          <w:rtl/>
        </w:rPr>
        <w:instrText xml:space="preserve"> </w:instrText>
      </w:r>
      <w:r w:rsidRPr="00944575">
        <w:rPr>
          <w:rStyle w:val="af7"/>
          <w:rFonts w:eastAsia="Guttman Hodes" w:hint="cs"/>
        </w:rPr>
        <w:instrText>REF</w:instrText>
      </w:r>
      <w:r w:rsidRPr="00944575">
        <w:rPr>
          <w:rStyle w:val="af7"/>
          <w:rFonts w:eastAsia="Guttman Hodes" w:hint="cs"/>
          <w:rtl/>
        </w:rPr>
        <w:instrText xml:space="preserve"> _</w:instrText>
      </w:r>
      <w:r w:rsidRPr="00944575">
        <w:rPr>
          <w:rStyle w:val="af7"/>
          <w:rFonts w:eastAsia="Guttman Hodes" w:hint="cs"/>
        </w:rPr>
        <w:instrText>Ref535942561 \r \h</w:instrText>
      </w:r>
      <w:r w:rsidRPr="00944575">
        <w:rPr>
          <w:rStyle w:val="af7"/>
          <w:rFonts w:eastAsia="Guttman Hodes"/>
          <w:rtl/>
        </w:rPr>
        <w:instrText xml:space="preserve"> </w:instrText>
      </w:r>
      <w:r w:rsidRPr="00944575">
        <w:rPr>
          <w:rStyle w:val="af7"/>
          <w:rFonts w:eastAsia="Guttman Hodes"/>
          <w:rtl/>
        </w:rPr>
      </w:r>
      <w:r w:rsidRPr="00944575">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sidRPr="00944575">
        <w:rPr>
          <w:rStyle w:val="af7"/>
          <w:rFonts w:eastAsia="Guttman Hodes"/>
          <w:rtl/>
        </w:rPr>
        <w:fldChar w:fldCharType="end"/>
      </w:r>
      <w:r>
        <w:rPr>
          <w:rFonts w:hint="cs"/>
          <w:rtl/>
        </w:rPr>
        <w:t>.</w:t>
      </w:r>
    </w:p>
    <w:p w14:paraId="12A68D8D" w14:textId="77777777" w:rsidR="003D504D" w:rsidRDefault="003D504D" w:rsidP="003D504D">
      <w:pPr>
        <w:pStyle w:val="a3"/>
        <w:rPr>
          <w:rtl/>
        </w:rPr>
      </w:pPr>
      <w:bookmarkStart w:id="17627" w:name="_Toc536564277"/>
      <w:bookmarkStart w:id="17628" w:name="_Toc536564432"/>
      <w:bookmarkStart w:id="17629" w:name="_Toc536616967"/>
      <w:bookmarkStart w:id="17630" w:name="_Toc19391277"/>
      <w:bookmarkStart w:id="17631" w:name="_Toc19394774"/>
      <w:r>
        <w:rPr>
          <w:rFonts w:hint="cs"/>
          <w:rtl/>
        </w:rPr>
        <w:t>ביאור הרמב"ן דביצא רובו במיעוט אבר אף לרב אין המיעוט נגרר לפנים דרוב האבר עומד לצאת</w:t>
      </w:r>
      <w:bookmarkEnd w:id="17627"/>
      <w:bookmarkEnd w:id="17628"/>
      <w:bookmarkEnd w:id="17629"/>
      <w:bookmarkEnd w:id="17630"/>
      <w:bookmarkEnd w:id="17631"/>
      <w:r>
        <w:rPr>
          <w:rFonts w:hint="cs"/>
          <w:rtl/>
        </w:rPr>
        <w:t xml:space="preserve"> </w:t>
      </w:r>
    </w:p>
    <w:p w14:paraId="1A910289" w14:textId="77777777" w:rsidR="003D504D" w:rsidRDefault="003D504D" w:rsidP="00223668">
      <w:pPr>
        <w:pStyle w:val="a0"/>
        <w:rPr>
          <w:rtl/>
        </w:rPr>
      </w:pPr>
      <w:bookmarkStart w:id="17632" w:name="_Ref536304392"/>
      <w:bookmarkStart w:id="17633" w:name="_Toc536564278"/>
      <w:bookmarkStart w:id="17634" w:name="_Toc536564433"/>
      <w:bookmarkStart w:id="17635" w:name="_Toc536616968"/>
      <w:r w:rsidRPr="00580DF9">
        <w:rPr>
          <w:rFonts w:hint="cs"/>
          <w:rtl/>
        </w:rPr>
        <w:t xml:space="preserve">אך </w:t>
      </w:r>
      <w:r w:rsidRPr="00580DF9">
        <w:rPr>
          <w:rStyle w:val="af9"/>
          <w:rFonts w:hint="cs"/>
          <w:rtl/>
        </w:rPr>
        <w:t xml:space="preserve">הרמב"ן לקמן </w:t>
      </w:r>
      <w:r w:rsidRPr="00580DF9">
        <w:rPr>
          <w:rStyle w:val="af7"/>
          <w:rFonts w:eastAsia="Guttman Hodes" w:hint="cs"/>
          <w:rtl/>
        </w:rPr>
        <w:t>(ע. ד"ה אילימא)</w:t>
      </w:r>
      <w:r w:rsidRPr="00580DF9">
        <w:rPr>
          <w:rFonts w:hint="cs"/>
          <w:rtl/>
        </w:rPr>
        <w:t xml:space="preserve"> פליג וביאר דהספק בגמ' לקמן </w:t>
      </w:r>
      <w:r w:rsidRPr="00580DF9">
        <w:rPr>
          <w:rStyle w:val="af7"/>
          <w:rFonts w:eastAsia="Guttman Hodes" w:hint="cs"/>
          <w:rtl/>
        </w:rPr>
        <w:t>(ע.)</w:t>
      </w:r>
      <w:r w:rsidRPr="00580DF9">
        <w:rPr>
          <w:rFonts w:hint="cs"/>
          <w:rtl/>
        </w:rPr>
        <w:t xml:space="preserve"> אי הלכו באברים אחר הרוב, הוא אף למ"ד דיש לידה לאברים, דבהו"א הגמ' שם דהספק הוא ביצא רובו של עובר במיעוט אבר, ביאר </w:t>
      </w:r>
      <w:r w:rsidRPr="00580DF9">
        <w:rPr>
          <w:rStyle w:val="af9"/>
          <w:rFonts w:hint="cs"/>
          <w:rtl/>
        </w:rPr>
        <w:t>הרמב"ן לקמן</w:t>
      </w:r>
      <w:r w:rsidRPr="00580DF9">
        <w:rPr>
          <w:rFonts w:hint="cs"/>
          <w:rtl/>
        </w:rPr>
        <w:t xml:space="preserve"> דהצד דמיעוט האבר שיצא אינו מצטרף להחשיב שרוב העובר יצא לחוץ לאסור את העובר, הוא אף למ"ד דיש לידה לאברים, דהא דאמרינן בסוגיין דיש לידה לאברים, זהו דוקא באותו האבר עצמו שיצא רובו דמיעוטו נגרר אחר רובו, אבל ביצא רובו של העובר במיעוט אבר, א"א לומר דמיעוט האבר שבחוץ יגרר אחר רוב האבר שבפנים, כיון שגם רוב האבר שבפנים הוא עומד לצאת,</w:t>
      </w:r>
      <w:r w:rsidRPr="00580DF9">
        <w:rPr>
          <w:rStyle w:val="afb"/>
          <w:rFonts w:hint="cs"/>
          <w:rtl/>
        </w:rPr>
        <w:t xml:space="preserve"> [וגם א"א לומר להיפך דהרוב שבפנים נגרר אחר המיעוט האבר שבחוץ],</w:t>
      </w:r>
      <w:r w:rsidRPr="00580DF9">
        <w:rPr>
          <w:rFonts w:hint="cs"/>
          <w:rtl/>
        </w:rPr>
        <w:t xml:space="preserve"> אלא אמרינן דרוב העובר שבחוץ גורר עמו את מיעוט האבר שיצא לחוץ להחשיב שיצא רובו.</w:t>
      </w:r>
      <w:bookmarkEnd w:id="17632"/>
    </w:p>
    <w:p w14:paraId="481B10F8" w14:textId="77777777" w:rsidR="001117C1" w:rsidRPr="001117C1" w:rsidRDefault="001117C1" w:rsidP="001117C1">
      <w:pPr>
        <w:pStyle w:val="a3"/>
        <w:rPr>
          <w:rtl/>
        </w:rPr>
      </w:pPr>
    </w:p>
    <w:p w14:paraId="5166D3B5" w14:textId="77777777" w:rsidR="001117C1" w:rsidRPr="001117C1" w:rsidRDefault="001117C1" w:rsidP="001117C1">
      <w:pPr>
        <w:pStyle w:val="a3"/>
        <w:rPr>
          <w:rtl/>
        </w:rPr>
      </w:pPr>
    </w:p>
    <w:p w14:paraId="70D4A9E2" w14:textId="77777777" w:rsidR="003D504D" w:rsidRDefault="003D504D" w:rsidP="003D504D">
      <w:pPr>
        <w:pStyle w:val="a3"/>
        <w:rPr>
          <w:rtl/>
        </w:rPr>
      </w:pPr>
      <w:bookmarkStart w:id="17636" w:name="_Toc19391278"/>
      <w:bookmarkStart w:id="17637" w:name="_Toc19394775"/>
      <w:r>
        <w:rPr>
          <w:rFonts w:hint="cs"/>
          <w:rtl/>
        </w:rPr>
        <w:t>ביאור הרמב"ן דביצא רובו במיעוט אבר אף לריו"ח אפש"ל דכיון שרובו בחוץ המיעוט נגרר לחוץ</w:t>
      </w:r>
      <w:bookmarkEnd w:id="17633"/>
      <w:bookmarkEnd w:id="17634"/>
      <w:bookmarkEnd w:id="17635"/>
      <w:bookmarkEnd w:id="17636"/>
      <w:bookmarkEnd w:id="17637"/>
    </w:p>
    <w:p w14:paraId="298628DB" w14:textId="77777777" w:rsidR="003D504D" w:rsidRDefault="003D504D" w:rsidP="00223668">
      <w:pPr>
        <w:pStyle w:val="a0"/>
        <w:rPr>
          <w:rtl/>
        </w:rPr>
      </w:pPr>
      <w:r>
        <w:rPr>
          <w:rFonts w:hint="cs"/>
          <w:rtl/>
        </w:rPr>
        <w:t xml:space="preserve">ובצד בספק דמיעוט האבר שיצא מצטרף לרוב העובר, וחשיב שיצא רובו ואסור, ביאר </w:t>
      </w:r>
      <w:r w:rsidRPr="001F78D2">
        <w:rPr>
          <w:rStyle w:val="af9"/>
          <w:rFonts w:hint="cs"/>
          <w:rtl/>
        </w:rPr>
        <w:t xml:space="preserve">הרמב"ן לקמן </w:t>
      </w:r>
      <w:r>
        <w:rPr>
          <w:rFonts w:hint="cs"/>
          <w:rtl/>
        </w:rPr>
        <w:t>דהצד לאסור הוא אף למ"ד דאין לידה לאברים, דהא דס"ל דאין לידה לאברים, זהו דוקא כשיצא רק אבר אחד, אבל רוב העובר נשאר בפנים, אבל במקום שיצא רובו, לכו"ע אמרינן דהמיעוט שבפנים נגרר אחר הרוב שבחוץ.</w:t>
      </w:r>
    </w:p>
    <w:p w14:paraId="1ADA26D0" w14:textId="77777777" w:rsidR="003D504D" w:rsidRDefault="003D504D" w:rsidP="003D504D">
      <w:pPr>
        <w:pStyle w:val="a3"/>
        <w:rPr>
          <w:rtl/>
        </w:rPr>
      </w:pPr>
      <w:bookmarkStart w:id="17638" w:name="_Toc536564279"/>
      <w:bookmarkStart w:id="17639" w:name="_Toc536564434"/>
      <w:bookmarkStart w:id="17640" w:name="_Toc536616969"/>
      <w:bookmarkStart w:id="17641" w:name="_Toc19391279"/>
      <w:bookmarkStart w:id="17642" w:name="_Toc19394776"/>
      <w:r>
        <w:rPr>
          <w:rFonts w:hint="cs"/>
          <w:rtl/>
        </w:rPr>
        <w:t>ביאור הרמב"ן דלחיית הגמ' לקמן ביצא רובו במיעוט אבר כיון שיצא רובו לכו"ע חשיב כילוד</w:t>
      </w:r>
      <w:bookmarkEnd w:id="17638"/>
      <w:bookmarkEnd w:id="17639"/>
      <w:bookmarkEnd w:id="17640"/>
      <w:bookmarkEnd w:id="17641"/>
      <w:bookmarkEnd w:id="17642"/>
    </w:p>
    <w:p w14:paraId="3E0FB774" w14:textId="77777777" w:rsidR="003D504D" w:rsidRDefault="003D504D" w:rsidP="00223668">
      <w:pPr>
        <w:pStyle w:val="a0"/>
        <w:rPr>
          <w:rtl/>
        </w:rPr>
      </w:pPr>
      <w:r>
        <w:rPr>
          <w:rFonts w:hint="cs"/>
          <w:rtl/>
        </w:rPr>
        <w:t xml:space="preserve">ובדחיית הגמ' לקמן דהספק </w:t>
      </w:r>
      <w:r w:rsidRPr="00E00CDC">
        <w:rPr>
          <w:rFonts w:hint="cs"/>
          <w:rtl/>
        </w:rPr>
        <w:t>אי</w:t>
      </w:r>
      <w:r>
        <w:rPr>
          <w:rFonts w:hint="cs"/>
          <w:rtl/>
        </w:rPr>
        <w:t xml:space="preserve"> הלכו באברים אחר הרוב, אינו ביצא רובו של עובר במיעוט אבר, ביאר </w:t>
      </w:r>
      <w:r w:rsidRPr="001F78D2">
        <w:rPr>
          <w:rStyle w:val="af9"/>
          <w:rFonts w:hint="cs"/>
          <w:rtl/>
        </w:rPr>
        <w:t xml:space="preserve">הרמב"ן לקמן </w:t>
      </w:r>
      <w:r>
        <w:rPr>
          <w:rFonts w:hint="cs"/>
          <w:rtl/>
        </w:rPr>
        <w:t>דביצא רובו במיעוט אבר, לכו"ע אזלינן בתר רוב העובר, ולא אזלינן בתר רוב האבר להחשיב את המיעוט שיצא כאילו הוא בפנים, דכיון שיצא רוב העובר, ודאי שהוא כילוד.</w:t>
      </w:r>
    </w:p>
    <w:p w14:paraId="7BFDB853" w14:textId="77777777" w:rsidR="003D504D" w:rsidRDefault="003D504D" w:rsidP="003D504D">
      <w:pPr>
        <w:pStyle w:val="a3"/>
        <w:rPr>
          <w:rtl/>
        </w:rPr>
      </w:pPr>
      <w:bookmarkStart w:id="17643" w:name="_Toc536564280"/>
      <w:bookmarkStart w:id="17644" w:name="_Toc536564435"/>
      <w:bookmarkStart w:id="17645" w:name="_Toc536616970"/>
      <w:bookmarkStart w:id="17646" w:name="_Toc19391280"/>
      <w:bookmarkStart w:id="17647" w:name="_Toc19394777"/>
      <w:r>
        <w:rPr>
          <w:rFonts w:hint="cs"/>
          <w:rtl/>
        </w:rPr>
        <w:t>ביאור הרמב"ן דביצא חציו ברוב אבר הספק הוא אף לריו"ח אי מודה דבחציו בחוץ יש לידה לאברים</w:t>
      </w:r>
      <w:bookmarkEnd w:id="17643"/>
      <w:bookmarkEnd w:id="17644"/>
      <w:bookmarkEnd w:id="17645"/>
      <w:bookmarkEnd w:id="17646"/>
      <w:bookmarkEnd w:id="17647"/>
    </w:p>
    <w:p w14:paraId="4F954A87" w14:textId="77777777" w:rsidR="003D504D" w:rsidRDefault="003D504D" w:rsidP="00223668">
      <w:pPr>
        <w:pStyle w:val="a0"/>
        <w:rPr>
          <w:rtl/>
        </w:rPr>
      </w:pPr>
      <w:bookmarkStart w:id="17648" w:name="_Ref536560304"/>
      <w:r>
        <w:rPr>
          <w:rFonts w:hint="cs"/>
          <w:rtl/>
        </w:rPr>
        <w:t xml:space="preserve">ובביאור מסקנת הגמ' לקמן דהספק </w:t>
      </w:r>
      <w:r w:rsidRPr="00E00CDC">
        <w:rPr>
          <w:rFonts w:hint="cs"/>
          <w:rtl/>
        </w:rPr>
        <w:t>אי</w:t>
      </w:r>
      <w:r>
        <w:rPr>
          <w:rFonts w:hint="cs"/>
          <w:rtl/>
        </w:rPr>
        <w:t xml:space="preserve"> הלכו באברים אחר הרוב, הוא ביצא חציו ברוב אבר, ביאר </w:t>
      </w:r>
      <w:r w:rsidRPr="006349F3">
        <w:rPr>
          <w:rStyle w:val="af9"/>
          <w:rFonts w:hint="cs"/>
          <w:rtl/>
        </w:rPr>
        <w:t>הרמב"ן לקמן</w:t>
      </w:r>
      <w:r>
        <w:rPr>
          <w:rFonts w:hint="cs"/>
          <w:rtl/>
        </w:rPr>
        <w:t xml:space="preserve"> דהצד דחשיב שיצא רובו ואסור, הוא אף למ"ד דאין לידה לאברים, דהא דס"ל דאין לידה לאברים היינו רק כיון שרוב העובר נמצא בפנים, אבל כשחציו בחוץ מודה דיש לידה לאברים, וכ"כ </w:t>
      </w:r>
      <w:r w:rsidRPr="00BD2DCE">
        <w:rPr>
          <w:rStyle w:val="af9"/>
          <w:rFonts w:hint="cs"/>
          <w:rtl/>
        </w:rPr>
        <w:t>הר"ן על הרי"ף</w:t>
      </w:r>
      <w:r>
        <w:rPr>
          <w:rFonts w:hint="cs"/>
          <w:rtl/>
        </w:rPr>
        <w:t xml:space="preserve"> </w:t>
      </w:r>
      <w:r w:rsidRPr="00BD2DCE">
        <w:rPr>
          <w:rStyle w:val="af7"/>
          <w:rFonts w:eastAsia="Guttman Hodes" w:hint="cs"/>
          <w:rtl/>
        </w:rPr>
        <w:t>(כד: מדפי הרי"ף)</w:t>
      </w:r>
      <w:r>
        <w:rPr>
          <w:rFonts w:hint="cs"/>
          <w:rtl/>
        </w:rPr>
        <w:t xml:space="preserve"> דאעפ"י </w:t>
      </w:r>
      <w:r w:rsidRPr="00BD2DCE">
        <w:rPr>
          <w:rFonts w:hint="cs"/>
          <w:rtl/>
        </w:rPr>
        <w:t>דקיי"ל</w:t>
      </w:r>
      <w:r w:rsidRPr="00BD2DCE">
        <w:rPr>
          <w:rStyle w:val="afb"/>
          <w:rFonts w:hint="cs"/>
          <w:rtl/>
        </w:rPr>
        <w:t xml:space="preserve"> </w:t>
      </w:r>
      <w:r>
        <w:rPr>
          <w:rFonts w:hint="cs"/>
          <w:rtl/>
        </w:rPr>
        <w:t>כריו"ח דאין לידה לאברים, מ"מ אפש"ל בכה"ג מודה ריו"ח דכשיצא חצי ברוב האבר, מיעוט האבר שנשאר בפנים, נגרר אחר רוב האבר שבחוץ כאילו יצא כל האבר, וא"כ יצא רוב העובר.</w:t>
      </w:r>
      <w:bookmarkEnd w:id="17648"/>
    </w:p>
    <w:p w14:paraId="2D58F8FB" w14:textId="77777777" w:rsidR="003D504D" w:rsidRPr="00E02BB3" w:rsidRDefault="003D504D" w:rsidP="003D504D">
      <w:pPr>
        <w:pStyle w:val="a3"/>
        <w:rPr>
          <w:rtl/>
        </w:rPr>
      </w:pPr>
      <w:bookmarkStart w:id="17649" w:name="_Toc536564281"/>
      <w:bookmarkStart w:id="17650" w:name="_Toc536564436"/>
      <w:bookmarkStart w:id="17651" w:name="_Toc536616971"/>
      <w:bookmarkStart w:id="17652" w:name="_Toc19391281"/>
      <w:bookmarkStart w:id="17653" w:name="_Toc19394778"/>
      <w:r>
        <w:rPr>
          <w:rFonts w:hint="cs"/>
          <w:rtl/>
        </w:rPr>
        <w:t>ביאור הרמב"ן דהספק אי מודה רב דהאבר דלענין להחשיבו כילוד אין לידה לאברים</w:t>
      </w:r>
      <w:bookmarkEnd w:id="17649"/>
      <w:bookmarkEnd w:id="17650"/>
      <w:bookmarkEnd w:id="17651"/>
      <w:bookmarkEnd w:id="17652"/>
      <w:bookmarkEnd w:id="17653"/>
    </w:p>
    <w:p w14:paraId="49548A27" w14:textId="77777777" w:rsidR="003D504D" w:rsidRDefault="003D504D" w:rsidP="00223668">
      <w:pPr>
        <w:pStyle w:val="a0"/>
        <w:rPr>
          <w:rtl/>
        </w:rPr>
      </w:pPr>
      <w:bookmarkStart w:id="17654" w:name="_Ref535942488"/>
      <w:r>
        <w:rPr>
          <w:rFonts w:hint="cs"/>
          <w:rtl/>
        </w:rPr>
        <w:t xml:space="preserve">ובצד בספק דרוב האבר שיצא אינו גורר את המיעוט שבפנים, ביאר </w:t>
      </w:r>
      <w:r w:rsidRPr="006349F3">
        <w:rPr>
          <w:rStyle w:val="af9"/>
          <w:rFonts w:hint="cs"/>
          <w:rtl/>
        </w:rPr>
        <w:t>הרמב"ן לקמן</w:t>
      </w:r>
      <w:r>
        <w:rPr>
          <w:rFonts w:hint="cs"/>
          <w:rtl/>
        </w:rPr>
        <w:t xml:space="preserve"> דהוא אף למ"ד דיש לידה לאברים, דהא דס"ל שיש לידה לאברים, היינו דוקא לענין דאינו בכלל היתר "בהמה בבהמה", ואסור מדין "בשר בשדה טריפה", דכיון שיצא רוב אבר כולו בכלל איסור יוצא, אבל לענין להחשיבו כילוד, הוא מודה דאין לידה לאברים, דלענין בכור חשיב כילוד רק אחר שיצא בפטר רחם, וכשיצא רק חציו לא קידשוהו כותלי הרחם ולא אוירו</w:t>
      </w:r>
      <w:bookmarkEnd w:id="17654"/>
      <w:r>
        <w:rPr>
          <w:rFonts w:hint="cs"/>
          <w:rtl/>
        </w:rPr>
        <w:t>, וביאר</w:t>
      </w:r>
      <w:r w:rsidRPr="00952606">
        <w:rPr>
          <w:rStyle w:val="af9"/>
          <w:rFonts w:hint="cs"/>
          <w:rtl/>
        </w:rPr>
        <w:t xml:space="preserve"> </w:t>
      </w:r>
      <w:r w:rsidRPr="00BD2DCE">
        <w:rPr>
          <w:rStyle w:val="af9"/>
          <w:rFonts w:hint="cs"/>
          <w:rtl/>
        </w:rPr>
        <w:t>הר"ן על הרי"ף</w:t>
      </w:r>
      <w:r>
        <w:rPr>
          <w:rFonts w:hint="cs"/>
          <w:rtl/>
        </w:rPr>
        <w:t xml:space="preserve"> דמיעוט האבר שנשאר בפנים, אינו נגרר אחר רוב האבר</w:t>
      </w:r>
      <w:r w:rsidRPr="00936BD3">
        <w:rPr>
          <w:rFonts w:hint="cs"/>
          <w:rtl/>
        </w:rPr>
        <w:t xml:space="preserve"> </w:t>
      </w:r>
      <w:r>
        <w:rPr>
          <w:rFonts w:hint="cs"/>
          <w:rtl/>
        </w:rPr>
        <w:t xml:space="preserve">שבחוץ, וא"כ יצא רק חצי העובר, וכתב </w:t>
      </w:r>
      <w:r w:rsidRPr="00BD2DCE">
        <w:rPr>
          <w:rStyle w:val="af9"/>
          <w:rFonts w:hint="cs"/>
          <w:rtl/>
        </w:rPr>
        <w:t>הר"ן</w:t>
      </w:r>
      <w:r>
        <w:rPr>
          <w:rFonts w:hint="cs"/>
          <w:rtl/>
        </w:rPr>
        <w:t xml:space="preserve"> דכיון שהספק לא נפשט אזלינן לחומרא.</w:t>
      </w:r>
    </w:p>
    <w:p w14:paraId="4B44D342" w14:textId="77777777" w:rsidR="003D504D" w:rsidRDefault="003D504D" w:rsidP="003D504D">
      <w:pPr>
        <w:pStyle w:val="a3"/>
        <w:rPr>
          <w:rtl/>
        </w:rPr>
      </w:pPr>
      <w:bookmarkStart w:id="17655" w:name="_Toc536564282"/>
      <w:bookmarkStart w:id="17656" w:name="_Toc536564437"/>
      <w:bookmarkStart w:id="17657" w:name="_Toc536616972"/>
      <w:bookmarkStart w:id="17658" w:name="_Toc19391282"/>
      <w:bookmarkStart w:id="17659" w:name="_Toc19394779"/>
      <w:r>
        <w:rPr>
          <w:rFonts w:hint="cs"/>
          <w:rtl/>
        </w:rPr>
        <w:t>ביאור הרשב"א והר"ן דמהספק לענין בכור נ"מ לענין היתר אכילה בבן פקועה אי חשיב כילוד</w:t>
      </w:r>
      <w:bookmarkEnd w:id="17655"/>
      <w:bookmarkEnd w:id="17656"/>
      <w:bookmarkEnd w:id="17657"/>
      <w:bookmarkEnd w:id="17658"/>
      <w:bookmarkEnd w:id="17659"/>
    </w:p>
    <w:p w14:paraId="2A6963B1" w14:textId="77777777" w:rsidR="003D504D" w:rsidRPr="009C0B5D" w:rsidRDefault="003D504D" w:rsidP="00223668">
      <w:pPr>
        <w:pStyle w:val="a0"/>
        <w:rPr>
          <w:rtl/>
        </w:rPr>
      </w:pPr>
      <w:bookmarkStart w:id="17660" w:name="_Ref535942505"/>
      <w:r w:rsidRPr="006349F3">
        <w:rPr>
          <w:rStyle w:val="af9"/>
          <w:rFonts w:hint="cs"/>
          <w:rtl/>
        </w:rPr>
        <w:t>והרשב"א לקמן</w:t>
      </w:r>
      <w:r>
        <w:rPr>
          <w:rFonts w:hint="cs"/>
          <w:rtl/>
        </w:rPr>
        <w:t xml:space="preserve"> </w:t>
      </w:r>
      <w:r w:rsidRPr="006349F3">
        <w:rPr>
          <w:rStyle w:val="af7"/>
          <w:rFonts w:eastAsia="Guttman Hodes" w:hint="cs"/>
          <w:rtl/>
        </w:rPr>
        <w:t>(ע. ד"ה בעי)</w:t>
      </w:r>
      <w:r>
        <w:rPr>
          <w:rFonts w:hint="cs"/>
          <w:rtl/>
        </w:rPr>
        <w:t xml:space="preserve"> הביא את דברי </w:t>
      </w:r>
      <w:r w:rsidRPr="006349F3">
        <w:rPr>
          <w:rStyle w:val="af9"/>
          <w:rFonts w:hint="cs"/>
          <w:rtl/>
        </w:rPr>
        <w:t>הרמב"ן לקמן</w:t>
      </w:r>
      <w:r>
        <w:rPr>
          <w:rFonts w:hint="cs"/>
          <w:rtl/>
        </w:rPr>
        <w:t xml:space="preserve">, וכתב </w:t>
      </w:r>
      <w:r w:rsidRPr="006349F3">
        <w:rPr>
          <w:rStyle w:val="af9"/>
          <w:rFonts w:hint="cs"/>
          <w:rtl/>
        </w:rPr>
        <w:t>הרשב"א</w:t>
      </w:r>
      <w:r>
        <w:rPr>
          <w:rFonts w:hint="cs"/>
          <w:rtl/>
        </w:rPr>
        <w:t xml:space="preserve"> דאף דהספק בגמ' לקמן הוא לענין בכור, מ"מ יש בו נ"מ גם לענין היתר אכילה, ולכן בין </w:t>
      </w:r>
      <w:r w:rsidRPr="009C0B5D">
        <w:rPr>
          <w:rFonts w:hint="cs"/>
          <w:rtl/>
        </w:rPr>
        <w:t>ביצא רובו במיעוט אבר, ובין ביצא חציו ברוב אבר, נאסר גם מה שנשאר בפנים, וחשבינן לעובר כילוד,</w:t>
      </w:r>
      <w:r w:rsidRPr="0047477C">
        <w:rPr>
          <w:rFonts w:hint="cs"/>
          <w:rtl/>
        </w:rPr>
        <w:t xml:space="preserve"> </w:t>
      </w:r>
      <w:r>
        <w:rPr>
          <w:rFonts w:hint="cs"/>
          <w:rtl/>
        </w:rPr>
        <w:t xml:space="preserve">וכ"כ </w:t>
      </w:r>
      <w:r w:rsidRPr="00BD2DCE">
        <w:rPr>
          <w:rStyle w:val="af9"/>
          <w:rFonts w:hint="cs"/>
          <w:rtl/>
        </w:rPr>
        <w:t>הר"ן על הרי"ף</w:t>
      </w:r>
      <w:r>
        <w:rPr>
          <w:rFonts w:hint="cs"/>
          <w:rtl/>
        </w:rPr>
        <w:t xml:space="preserve"> </w:t>
      </w:r>
      <w:r w:rsidRPr="00BD2DCE">
        <w:rPr>
          <w:rStyle w:val="af7"/>
          <w:rFonts w:eastAsia="Guttman Hodes" w:hint="cs"/>
          <w:rtl/>
        </w:rPr>
        <w:t>(כד: מדפי הרי"ף)</w:t>
      </w:r>
      <w:r>
        <w:rPr>
          <w:rFonts w:hint="cs"/>
          <w:rtl/>
        </w:rPr>
        <w:t>,</w:t>
      </w:r>
      <w:r w:rsidRPr="009C0B5D">
        <w:rPr>
          <w:rFonts w:hint="cs"/>
          <w:rtl/>
        </w:rPr>
        <w:t xml:space="preserve"> ועי' בדברי </w:t>
      </w:r>
      <w:r w:rsidRPr="009C0B5D">
        <w:rPr>
          <w:rStyle w:val="af9"/>
          <w:rFonts w:hint="cs"/>
          <w:rtl/>
        </w:rPr>
        <w:t>התבו"ש</w:t>
      </w:r>
      <w:r w:rsidRPr="009C0B5D">
        <w:rPr>
          <w:rFonts w:hint="cs"/>
          <w:rtl/>
        </w:rPr>
        <w:t xml:space="preserve"> </w:t>
      </w:r>
      <w:r w:rsidRPr="009C0B5D">
        <w:rPr>
          <w:rStyle w:val="af7"/>
          <w:rFonts w:eastAsia="Guttman Hodes" w:hint="cs"/>
          <w:rtl/>
        </w:rPr>
        <w:t>(סי' י"ד סקי"א)</w:t>
      </w:r>
      <w:r w:rsidRPr="009C0B5D">
        <w:rPr>
          <w:rFonts w:hint="cs"/>
          <w:rtl/>
        </w:rPr>
        <w:t xml:space="preserve"> במה שהאריך ב</w:t>
      </w:r>
      <w:r>
        <w:rPr>
          <w:rFonts w:hint="cs"/>
          <w:rtl/>
        </w:rPr>
        <w:t xml:space="preserve">ביאור דברי </w:t>
      </w:r>
      <w:r w:rsidRPr="009C0B5D">
        <w:rPr>
          <w:rStyle w:val="af9"/>
          <w:rFonts w:hint="cs"/>
          <w:rtl/>
        </w:rPr>
        <w:t>הרשב"א</w:t>
      </w:r>
      <w:r w:rsidRPr="009C0B5D">
        <w:rPr>
          <w:rFonts w:hint="cs"/>
          <w:rtl/>
        </w:rPr>
        <w:t>.</w:t>
      </w:r>
      <w:bookmarkEnd w:id="17660"/>
    </w:p>
    <w:p w14:paraId="2822598A" w14:textId="77777777" w:rsidR="003D504D" w:rsidRDefault="003D504D" w:rsidP="003D504D">
      <w:pPr>
        <w:pStyle w:val="a3"/>
        <w:rPr>
          <w:rtl/>
        </w:rPr>
      </w:pPr>
      <w:bookmarkStart w:id="17661" w:name="_Toc536564283"/>
      <w:bookmarkStart w:id="17662" w:name="_Toc536564438"/>
      <w:bookmarkStart w:id="17663" w:name="_Toc536616973"/>
      <w:bookmarkStart w:id="17664" w:name="_Toc19391283"/>
      <w:bookmarkStart w:id="17665" w:name="_Toc19394780"/>
      <w:r>
        <w:rPr>
          <w:rFonts w:hint="cs"/>
          <w:rtl/>
        </w:rPr>
        <w:t>דברי היש"ש דלא שייך לומר לידה לאברים לענין רוב עובר ולא קיי"ל כריו"ח</w:t>
      </w:r>
      <w:bookmarkEnd w:id="17661"/>
      <w:bookmarkEnd w:id="17662"/>
      <w:bookmarkEnd w:id="17663"/>
      <w:bookmarkEnd w:id="17664"/>
      <w:bookmarkEnd w:id="17665"/>
    </w:p>
    <w:p w14:paraId="48D1CD9C" w14:textId="77777777" w:rsidR="003D504D" w:rsidRDefault="003D504D" w:rsidP="00223668">
      <w:pPr>
        <w:pStyle w:val="a0"/>
        <w:rPr>
          <w:rtl/>
        </w:rPr>
      </w:pPr>
      <w:r>
        <w:rPr>
          <w:rStyle w:val="af9"/>
          <w:rFonts w:hint="cs"/>
          <w:rtl/>
        </w:rPr>
        <w:t>ו</w:t>
      </w:r>
      <w:r w:rsidRPr="00305981">
        <w:rPr>
          <w:rStyle w:val="af9"/>
          <w:rFonts w:hint="cs"/>
          <w:rtl/>
        </w:rPr>
        <w:t>היש"ש</w:t>
      </w:r>
      <w:r>
        <w:rPr>
          <w:rFonts w:hint="cs"/>
          <w:rtl/>
        </w:rPr>
        <w:t xml:space="preserve"> </w:t>
      </w:r>
      <w:r w:rsidRPr="000340E7">
        <w:rPr>
          <w:rStyle w:val="af7"/>
          <w:rFonts w:eastAsia="Guttman Hodes" w:hint="cs"/>
          <w:rtl/>
        </w:rPr>
        <w:t>(ריש פירקין ד"ה ואני)</w:t>
      </w:r>
      <w:r>
        <w:rPr>
          <w:rStyle w:val="af7"/>
          <w:rFonts w:eastAsia="Guttman Hodes" w:hint="cs"/>
          <w:rtl/>
        </w:rPr>
        <w:t xml:space="preserve"> </w:t>
      </w:r>
      <w:r w:rsidRPr="00E003A4">
        <w:rPr>
          <w:rFonts w:hint="cs"/>
          <w:rtl/>
        </w:rPr>
        <w:t>הביא את דב</w:t>
      </w:r>
      <w:r>
        <w:rPr>
          <w:rFonts w:hint="cs"/>
          <w:rtl/>
        </w:rPr>
        <w:t xml:space="preserve">רי </w:t>
      </w:r>
      <w:r w:rsidRPr="00CB45CC">
        <w:rPr>
          <w:rStyle w:val="af9"/>
          <w:rFonts w:hint="cs"/>
          <w:rtl/>
        </w:rPr>
        <w:t>הר"ן</w:t>
      </w:r>
      <w:r>
        <w:rPr>
          <w:rStyle w:val="af9"/>
          <w:rFonts w:hint="cs"/>
          <w:rtl/>
        </w:rPr>
        <w:t xml:space="preserve"> על הרי"ף</w:t>
      </w:r>
      <w:r>
        <w:rPr>
          <w:rFonts w:hint="cs"/>
          <w:rtl/>
        </w:rPr>
        <w:t xml:space="preserve"> </w:t>
      </w:r>
      <w:r w:rsidRPr="00CB45CC">
        <w:rPr>
          <w:rStyle w:val="af7"/>
          <w:rFonts w:eastAsia="Guttman Hodes" w:hint="cs"/>
          <w:rtl/>
        </w:rPr>
        <w:t xml:space="preserve">(עי' אות </w:t>
      </w:r>
      <w:r w:rsidRPr="00CB45CC">
        <w:rPr>
          <w:rStyle w:val="af7"/>
          <w:rFonts w:eastAsia="Guttman Hodes"/>
          <w:rtl/>
        </w:rPr>
        <w:fldChar w:fldCharType="begin"/>
      </w:r>
      <w:r w:rsidRPr="00CB45CC">
        <w:rPr>
          <w:rStyle w:val="af7"/>
          <w:rFonts w:eastAsia="Guttman Hodes"/>
          <w:rtl/>
        </w:rPr>
        <w:instrText xml:space="preserve"> </w:instrText>
      </w:r>
      <w:r w:rsidRPr="00CB45CC">
        <w:rPr>
          <w:rStyle w:val="af7"/>
          <w:rFonts w:eastAsia="Guttman Hodes" w:hint="cs"/>
        </w:rPr>
        <w:instrText>REF</w:instrText>
      </w:r>
      <w:r w:rsidRPr="00CB45CC">
        <w:rPr>
          <w:rStyle w:val="af7"/>
          <w:rFonts w:eastAsia="Guttman Hodes" w:hint="cs"/>
          <w:rtl/>
        </w:rPr>
        <w:instrText xml:space="preserve"> _</w:instrText>
      </w:r>
      <w:r w:rsidRPr="00CB45CC">
        <w:rPr>
          <w:rStyle w:val="af7"/>
          <w:rFonts w:eastAsia="Guttman Hodes" w:hint="cs"/>
        </w:rPr>
        <w:instrText>Ref536560304 \r \h</w:instrText>
      </w:r>
      <w:r w:rsidRPr="00CB45CC">
        <w:rPr>
          <w:rStyle w:val="af7"/>
          <w:rFonts w:eastAsia="Guttman Hodes"/>
          <w:rtl/>
        </w:rPr>
        <w:instrText xml:space="preserve"> </w:instrText>
      </w:r>
      <w:r w:rsidRPr="00CB45CC">
        <w:rPr>
          <w:rStyle w:val="af7"/>
          <w:rFonts w:eastAsia="Guttman Hodes"/>
          <w:rtl/>
        </w:rPr>
      </w:r>
      <w:r w:rsidRPr="00CB45CC">
        <w:rPr>
          <w:rStyle w:val="af7"/>
          <w:rFonts w:eastAsia="Guttman Hodes"/>
          <w:rtl/>
        </w:rPr>
        <w:fldChar w:fldCharType="separate"/>
      </w:r>
      <w:r w:rsidR="00345400">
        <w:rPr>
          <w:rStyle w:val="af7"/>
          <w:rFonts w:eastAsia="Guttman Hodes"/>
          <w:cs/>
        </w:rPr>
        <w:t>‎</w:t>
      </w:r>
      <w:r w:rsidR="00345400">
        <w:rPr>
          <w:rStyle w:val="af7"/>
          <w:rFonts w:eastAsia="Guttman Hodes"/>
          <w:rtl/>
        </w:rPr>
        <w:t>עה)</w:t>
      </w:r>
      <w:r w:rsidRPr="00CB45CC">
        <w:rPr>
          <w:rStyle w:val="af7"/>
          <w:rFonts w:eastAsia="Guttman Hodes"/>
          <w:rtl/>
        </w:rPr>
        <w:fldChar w:fldCharType="end"/>
      </w:r>
      <w:r>
        <w:rPr>
          <w:rFonts w:hint="cs"/>
          <w:rtl/>
        </w:rPr>
        <w:t xml:space="preserve"> דכתב דאף דקיי"ל כריו"ח דילמא מודה ריו"ח דביצא חצי העובר יש לידה לאברים, ו</w:t>
      </w:r>
      <w:r w:rsidRPr="00E003A4">
        <w:rPr>
          <w:rFonts w:hint="cs"/>
          <w:rtl/>
        </w:rPr>
        <w:t>כתב</w:t>
      </w:r>
      <w:r>
        <w:rPr>
          <w:rFonts w:hint="cs"/>
          <w:rtl/>
        </w:rPr>
        <w:t xml:space="preserve"> </w:t>
      </w:r>
      <w:r w:rsidRPr="00305981">
        <w:rPr>
          <w:rStyle w:val="af9"/>
          <w:rFonts w:hint="cs"/>
          <w:rtl/>
        </w:rPr>
        <w:t>היש"ש</w:t>
      </w:r>
      <w:r>
        <w:rPr>
          <w:rFonts w:hint="cs"/>
          <w:rtl/>
        </w:rPr>
        <w:t xml:space="preserve"> דדברי </w:t>
      </w:r>
      <w:r w:rsidRPr="00305981">
        <w:rPr>
          <w:rStyle w:val="af9"/>
          <w:rFonts w:hint="cs"/>
          <w:rtl/>
        </w:rPr>
        <w:t>הר"ן</w:t>
      </w:r>
      <w:r>
        <w:rPr>
          <w:rFonts w:hint="cs"/>
          <w:rtl/>
        </w:rPr>
        <w:t xml:space="preserve"> דחוקים, דדין רוב עובר נאמר רק לענין לידה, ולא מצינו דרוב עובר מהני לענין לידת אברים, אלא כתב </w:t>
      </w:r>
      <w:r w:rsidRPr="00B63768">
        <w:rPr>
          <w:rStyle w:val="af9"/>
          <w:rFonts w:hint="cs"/>
          <w:rtl/>
        </w:rPr>
        <w:t>היש"ש</w:t>
      </w:r>
      <w:r>
        <w:rPr>
          <w:rFonts w:hint="cs"/>
          <w:rtl/>
        </w:rPr>
        <w:t xml:space="preserve"> דאף לפי ביאור </w:t>
      </w:r>
      <w:r w:rsidRPr="00A52E3C">
        <w:rPr>
          <w:rStyle w:val="af9"/>
          <w:rFonts w:hint="cs"/>
          <w:rtl/>
        </w:rPr>
        <w:t xml:space="preserve">הרי"ף </w:t>
      </w:r>
      <w:r w:rsidRPr="00A52E3C">
        <w:rPr>
          <w:rStyle w:val="af7"/>
          <w:rFonts w:eastAsia="Guttman Hodes" w:hint="cs"/>
          <w:rtl/>
        </w:rPr>
        <w:t xml:space="preserve">(עי' אות </w:t>
      </w:r>
      <w:r w:rsidRPr="00A52E3C">
        <w:rPr>
          <w:rStyle w:val="af7"/>
          <w:rFonts w:eastAsia="Guttman Hodes"/>
          <w:rtl/>
        </w:rPr>
        <w:fldChar w:fldCharType="begin"/>
      </w:r>
      <w:r w:rsidRPr="00A52E3C">
        <w:rPr>
          <w:rStyle w:val="af7"/>
          <w:rFonts w:eastAsia="Guttman Hodes"/>
          <w:rtl/>
        </w:rPr>
        <w:instrText xml:space="preserve"> </w:instrText>
      </w:r>
      <w:r w:rsidRPr="00A52E3C">
        <w:rPr>
          <w:rStyle w:val="af7"/>
          <w:rFonts w:eastAsia="Guttman Hodes" w:hint="cs"/>
        </w:rPr>
        <w:instrText>REF</w:instrText>
      </w:r>
      <w:r w:rsidRPr="00A52E3C">
        <w:rPr>
          <w:rStyle w:val="af7"/>
          <w:rFonts w:eastAsia="Guttman Hodes" w:hint="cs"/>
          <w:rtl/>
        </w:rPr>
        <w:instrText xml:space="preserve"> _</w:instrText>
      </w:r>
      <w:r w:rsidRPr="00A52E3C">
        <w:rPr>
          <w:rStyle w:val="af7"/>
          <w:rFonts w:eastAsia="Guttman Hodes" w:hint="cs"/>
        </w:rPr>
        <w:instrText>Ref536437539 \r \h</w:instrText>
      </w:r>
      <w:r w:rsidRPr="00A52E3C">
        <w:rPr>
          <w:rStyle w:val="af7"/>
          <w:rFonts w:eastAsia="Guttman Hodes"/>
          <w:rtl/>
        </w:rPr>
        <w:instrText xml:space="preserve"> </w:instrText>
      </w:r>
      <w:r w:rsidRPr="00A52E3C">
        <w:rPr>
          <w:rStyle w:val="af7"/>
          <w:rFonts w:eastAsia="Guttman Hodes"/>
          <w:rtl/>
        </w:rPr>
      </w:r>
      <w:r w:rsidRPr="00A52E3C">
        <w:rPr>
          <w:rStyle w:val="af7"/>
          <w:rFonts w:eastAsia="Guttman Hodes"/>
          <w:rtl/>
        </w:rPr>
        <w:fldChar w:fldCharType="separate"/>
      </w:r>
      <w:r w:rsidR="00345400">
        <w:rPr>
          <w:rStyle w:val="af7"/>
          <w:rFonts w:eastAsia="Guttman Hodes"/>
          <w:cs/>
        </w:rPr>
        <w:t>‎</w:t>
      </w:r>
      <w:r w:rsidR="00345400">
        <w:rPr>
          <w:rStyle w:val="af7"/>
          <w:rFonts w:eastAsia="Guttman Hodes"/>
          <w:rtl/>
        </w:rPr>
        <w:t>לג)</w:t>
      </w:r>
      <w:r w:rsidRPr="00A52E3C">
        <w:rPr>
          <w:rStyle w:val="af7"/>
          <w:rFonts w:eastAsia="Guttman Hodes"/>
          <w:rtl/>
        </w:rPr>
        <w:fldChar w:fldCharType="end"/>
      </w:r>
      <w:r>
        <w:rPr>
          <w:rFonts w:hint="cs"/>
          <w:rtl/>
        </w:rPr>
        <w:t xml:space="preserve"> בלישנא דמערבא, מ"מ לא קיי"ל כריו"ח, אלא כמשמעות הגמ' לקמן דיש לידה לאברים, ודלא </w:t>
      </w:r>
      <w:r w:rsidRPr="00305981">
        <w:rPr>
          <w:rStyle w:val="af9"/>
          <w:rFonts w:hint="cs"/>
          <w:rtl/>
        </w:rPr>
        <w:t>כהרא"ש</w:t>
      </w:r>
      <w:r>
        <w:rPr>
          <w:rFonts w:hint="cs"/>
          <w:rtl/>
        </w:rPr>
        <w:t xml:space="preserve"> </w:t>
      </w:r>
      <w:r w:rsidRPr="00E67035">
        <w:rPr>
          <w:rStyle w:val="af7"/>
          <w:rFonts w:eastAsia="Guttman Hodes" w:hint="cs"/>
          <w:rtl/>
        </w:rPr>
        <w:t xml:space="preserve">(עי' אות </w:t>
      </w:r>
      <w:r w:rsidRPr="00E67035">
        <w:rPr>
          <w:rStyle w:val="af7"/>
          <w:rFonts w:eastAsia="Guttman Hodes"/>
          <w:rtl/>
        </w:rPr>
        <w:fldChar w:fldCharType="begin"/>
      </w:r>
      <w:r w:rsidRPr="00E67035">
        <w:rPr>
          <w:rStyle w:val="af7"/>
          <w:rFonts w:eastAsia="Guttman Hodes"/>
          <w:rtl/>
        </w:rPr>
        <w:instrText xml:space="preserve"> </w:instrText>
      </w:r>
      <w:r w:rsidRPr="00E67035">
        <w:rPr>
          <w:rStyle w:val="af7"/>
          <w:rFonts w:eastAsia="Guttman Hodes" w:hint="cs"/>
        </w:rPr>
        <w:instrText>REF</w:instrText>
      </w:r>
      <w:r w:rsidRPr="00E67035">
        <w:rPr>
          <w:rStyle w:val="af7"/>
          <w:rFonts w:eastAsia="Guttman Hodes" w:hint="cs"/>
          <w:rtl/>
        </w:rPr>
        <w:instrText xml:space="preserve"> _</w:instrText>
      </w:r>
      <w:r w:rsidRPr="00E67035">
        <w:rPr>
          <w:rStyle w:val="af7"/>
          <w:rFonts w:eastAsia="Guttman Hodes" w:hint="cs"/>
        </w:rPr>
        <w:instrText>Ref535942561 \r \h</w:instrText>
      </w:r>
      <w:r w:rsidRPr="00E67035">
        <w:rPr>
          <w:rStyle w:val="af7"/>
          <w:rFonts w:eastAsia="Guttman Hodes"/>
          <w:rtl/>
        </w:rPr>
        <w:instrText xml:space="preserve"> </w:instrText>
      </w:r>
      <w:r w:rsidRPr="00E67035">
        <w:rPr>
          <w:rStyle w:val="af7"/>
          <w:rFonts w:eastAsia="Guttman Hodes"/>
          <w:rtl/>
        </w:rPr>
      </w:r>
      <w:r w:rsidRPr="00E67035">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sidRPr="00E67035">
        <w:rPr>
          <w:rStyle w:val="af7"/>
          <w:rFonts w:eastAsia="Guttman Hodes"/>
          <w:rtl/>
        </w:rPr>
        <w:fldChar w:fldCharType="end"/>
      </w:r>
      <w:r>
        <w:rPr>
          <w:rFonts w:hint="cs"/>
          <w:rtl/>
        </w:rPr>
        <w:t xml:space="preserve">, וכתב </w:t>
      </w:r>
      <w:r w:rsidRPr="00305981">
        <w:rPr>
          <w:rStyle w:val="af9"/>
          <w:rFonts w:hint="cs"/>
          <w:rtl/>
        </w:rPr>
        <w:t>היש"ש</w:t>
      </w:r>
      <w:r>
        <w:rPr>
          <w:rFonts w:hint="cs"/>
          <w:rtl/>
        </w:rPr>
        <w:t xml:space="preserve"> דלכן אף בב' הספיקות בסוגיין קיי"ל לחומרא דלמ"ד דיש לידה לאברים פשיטא דלא מהני חזרה והאברים מצטרפים לרוב, ודלא </w:t>
      </w:r>
      <w:r w:rsidRPr="00305981">
        <w:rPr>
          <w:rStyle w:val="af9"/>
          <w:rFonts w:hint="cs"/>
          <w:rtl/>
        </w:rPr>
        <w:t>כהרא"ש</w:t>
      </w:r>
      <w:r>
        <w:rPr>
          <w:rFonts w:hint="cs"/>
          <w:rtl/>
        </w:rPr>
        <w:t xml:space="preserve"> </w:t>
      </w:r>
      <w:r w:rsidRPr="00D35E89">
        <w:rPr>
          <w:rStyle w:val="af7"/>
          <w:rFonts w:eastAsia="Guttman Hodes" w:hint="cs"/>
          <w:rtl/>
        </w:rPr>
        <w:t>(סי' ד')</w:t>
      </w:r>
      <w:r>
        <w:rPr>
          <w:rFonts w:hint="cs"/>
          <w:rtl/>
        </w:rPr>
        <w:t xml:space="preserve"> דפסק בספק הראשון לקולא, כיון דאמרינן בגמ' את"ל כיון דהדר הדר.</w:t>
      </w:r>
    </w:p>
    <w:p w14:paraId="33C9C8A4" w14:textId="77777777" w:rsidR="001E5930" w:rsidRPr="001E5930" w:rsidRDefault="001E5930" w:rsidP="001E5930">
      <w:pPr>
        <w:pStyle w:val="a3"/>
        <w:rPr>
          <w:rtl/>
        </w:rPr>
      </w:pPr>
    </w:p>
    <w:p w14:paraId="5F2315CA" w14:textId="77777777" w:rsidR="003D504D" w:rsidRDefault="003D504D" w:rsidP="003D504D">
      <w:pPr>
        <w:pStyle w:val="afe"/>
        <w:rPr>
          <w:rtl/>
        </w:rPr>
      </w:pPr>
      <w:bookmarkStart w:id="17666" w:name="_Toc536459340"/>
      <w:bookmarkStart w:id="17667" w:name="_Toc536466296"/>
      <w:bookmarkStart w:id="17668" w:name="_Toc536540457"/>
      <w:bookmarkStart w:id="17669" w:name="_Toc536564284"/>
      <w:bookmarkStart w:id="17670" w:name="_Toc536564439"/>
      <w:bookmarkStart w:id="17671" w:name="_Toc536616974"/>
      <w:bookmarkStart w:id="17672" w:name="_Toc19436075"/>
      <w:bookmarkStart w:id="17673" w:name="_Toc20081269"/>
      <w:r>
        <w:rPr>
          <w:rFonts w:hint="cs"/>
          <w:rtl/>
        </w:rPr>
        <w:t>בספק בהוציא אבר בעזרה</w:t>
      </w:r>
      <w:bookmarkEnd w:id="17666"/>
      <w:bookmarkEnd w:id="17667"/>
      <w:bookmarkEnd w:id="17668"/>
      <w:bookmarkEnd w:id="17669"/>
      <w:bookmarkEnd w:id="17670"/>
      <w:bookmarkEnd w:id="17671"/>
      <w:bookmarkEnd w:id="17672"/>
      <w:bookmarkEnd w:id="17673"/>
    </w:p>
    <w:p w14:paraId="6007DAE5" w14:textId="77777777" w:rsidR="003D504D" w:rsidRPr="00664DC3" w:rsidRDefault="003D504D" w:rsidP="00BF39B2">
      <w:pPr>
        <w:pStyle w:val="1"/>
        <w:rPr>
          <w:rtl/>
        </w:rPr>
      </w:pPr>
      <w:bookmarkStart w:id="17674" w:name="_Toc536459341"/>
      <w:bookmarkStart w:id="17675" w:name="_Toc536466297"/>
      <w:bookmarkStart w:id="17676" w:name="_Toc536540458"/>
      <w:bookmarkStart w:id="17677" w:name="_Toc536564285"/>
      <w:bookmarkStart w:id="17678" w:name="_Toc536564440"/>
      <w:bookmarkStart w:id="17679" w:name="_Toc536616975"/>
      <w:bookmarkStart w:id="17680" w:name="_Toc19391284"/>
      <w:bookmarkStart w:id="17681" w:name="_Toc19394781"/>
      <w:r>
        <w:rPr>
          <w:rFonts w:hint="cs"/>
          <w:rtl/>
        </w:rPr>
        <w:t xml:space="preserve">ביאורי האחרונים </w:t>
      </w:r>
      <w:r w:rsidRPr="00C456DF">
        <w:rPr>
          <w:rFonts w:hint="cs"/>
          <w:rtl/>
        </w:rPr>
        <w:t>בדברי רש"י</w:t>
      </w:r>
      <w:bookmarkEnd w:id="17674"/>
      <w:r w:rsidRPr="00C456DF">
        <w:rPr>
          <w:rFonts w:hint="cs"/>
          <w:rtl/>
        </w:rPr>
        <w:t xml:space="preserve"> בספק בחומת העזרה</w:t>
      </w:r>
      <w:bookmarkEnd w:id="17675"/>
      <w:bookmarkEnd w:id="17676"/>
      <w:bookmarkEnd w:id="17677"/>
      <w:bookmarkEnd w:id="17678"/>
      <w:bookmarkEnd w:id="17679"/>
      <w:bookmarkEnd w:id="17680"/>
      <w:bookmarkEnd w:id="17681"/>
    </w:p>
    <w:p w14:paraId="28656E57" w14:textId="77777777" w:rsidR="003D504D" w:rsidRDefault="003D504D" w:rsidP="003D504D">
      <w:pPr>
        <w:pStyle w:val="a3"/>
        <w:rPr>
          <w:rtl/>
        </w:rPr>
      </w:pPr>
      <w:bookmarkStart w:id="17682" w:name="_Toc536564286"/>
      <w:bookmarkStart w:id="17683" w:name="_Toc536564441"/>
      <w:bookmarkStart w:id="17684" w:name="_Toc536616976"/>
      <w:bookmarkStart w:id="17685" w:name="_Toc19391285"/>
      <w:bookmarkStart w:id="17686" w:name="_Toc19394782"/>
      <w:r>
        <w:rPr>
          <w:rFonts w:hint="cs"/>
          <w:rtl/>
        </w:rPr>
        <w:t>קושית הראש יוסף ברש"י אמאי לא ביאר אי הספק לריו"ח ואי איירי שהחזיר את האבר</w:t>
      </w:r>
      <w:bookmarkEnd w:id="17682"/>
      <w:bookmarkEnd w:id="17683"/>
      <w:bookmarkEnd w:id="17684"/>
      <w:bookmarkEnd w:id="17685"/>
      <w:bookmarkEnd w:id="17686"/>
    </w:p>
    <w:p w14:paraId="5646CFB4" w14:textId="77777777" w:rsidR="003D504D" w:rsidRDefault="003D504D" w:rsidP="00223668">
      <w:pPr>
        <w:pStyle w:val="a0"/>
        <w:rPr>
          <w:rtl/>
        </w:rPr>
      </w:pPr>
      <w:bookmarkStart w:id="17687" w:name="_Ref536375467"/>
      <w:r>
        <w:rPr>
          <w:rFonts w:hint="cs"/>
          <w:rtl/>
        </w:rPr>
        <w:t xml:space="preserve">בספק הגמ' בהוציא אבר בעזרה, כתב </w:t>
      </w:r>
      <w:r w:rsidRPr="00664DC3">
        <w:rPr>
          <w:rStyle w:val="af9"/>
          <w:rFonts w:hint="cs"/>
          <w:rtl/>
        </w:rPr>
        <w:t>רש"י</w:t>
      </w:r>
      <w:r>
        <w:rPr>
          <w:rFonts w:hint="cs"/>
          <w:rtl/>
        </w:rPr>
        <w:t xml:space="preserve"> </w:t>
      </w:r>
      <w:r w:rsidRPr="00664DC3">
        <w:rPr>
          <w:rStyle w:val="af7"/>
          <w:rFonts w:eastAsia="Guttman Hodes" w:hint="cs"/>
          <w:rtl/>
        </w:rPr>
        <w:t>(</w:t>
      </w:r>
      <w:r>
        <w:rPr>
          <w:rStyle w:val="af7"/>
          <w:rFonts w:eastAsia="Guttman Hodes" w:hint="cs"/>
          <w:rtl/>
        </w:rPr>
        <w:t xml:space="preserve">סט. </w:t>
      </w:r>
      <w:r w:rsidRPr="00664DC3">
        <w:rPr>
          <w:rStyle w:val="af7"/>
          <w:rFonts w:eastAsia="Guttman Hodes" w:hint="cs"/>
          <w:rtl/>
        </w:rPr>
        <w:t>ד"ה מהו)</w:t>
      </w:r>
      <w:r>
        <w:rPr>
          <w:rFonts w:hint="cs"/>
          <w:rtl/>
        </w:rPr>
        <w:t xml:space="preserve"> דהספק האם מהני חומת העזרה להתירו בשחיטת אמו,</w:t>
      </w:r>
      <w:r w:rsidRPr="00B96229">
        <w:rPr>
          <w:rFonts w:hint="cs"/>
          <w:rtl/>
        </w:rPr>
        <w:t xml:space="preserve"> </w:t>
      </w:r>
      <w:r>
        <w:rPr>
          <w:rFonts w:hint="cs"/>
          <w:rtl/>
        </w:rPr>
        <w:t xml:space="preserve">והקשה </w:t>
      </w:r>
      <w:r w:rsidRPr="002300CB">
        <w:rPr>
          <w:rStyle w:val="af9"/>
          <w:rFonts w:hint="cs"/>
          <w:rtl/>
        </w:rPr>
        <w:t>הראש יוסף</w:t>
      </w:r>
      <w:r>
        <w:rPr>
          <w:rFonts w:hint="cs"/>
          <w:rtl/>
        </w:rPr>
        <w:t xml:space="preserve"> </w:t>
      </w:r>
      <w:r w:rsidRPr="00687780">
        <w:rPr>
          <w:rStyle w:val="af7"/>
          <w:rFonts w:eastAsia="Guttman Hodes" w:hint="cs"/>
          <w:rtl/>
        </w:rPr>
        <w:t>(סט. ד"ה בעי)</w:t>
      </w:r>
      <w:r>
        <w:rPr>
          <w:rFonts w:hint="cs"/>
          <w:rtl/>
        </w:rPr>
        <w:t xml:space="preserve"> אמאי בספק הראשון של רב חנניא לא ביאר </w:t>
      </w:r>
      <w:r w:rsidRPr="002300CB">
        <w:rPr>
          <w:rStyle w:val="af9"/>
          <w:rFonts w:hint="cs"/>
          <w:rtl/>
        </w:rPr>
        <w:t>רש"י</w:t>
      </w:r>
      <w:r>
        <w:rPr>
          <w:rFonts w:hint="cs"/>
          <w:rtl/>
        </w:rPr>
        <w:t xml:space="preserve"> בפירוש אי הספק הוא אף למ"ד דאין לידה לאברים, וכן לא פירש אי איירי שהחזיר את האבר, ואילו בספק השני של אביי כתב ר</w:t>
      </w:r>
      <w:r w:rsidRPr="002300CB">
        <w:rPr>
          <w:rStyle w:val="af9"/>
          <w:rFonts w:hint="cs"/>
          <w:rtl/>
        </w:rPr>
        <w:t>ש"י</w:t>
      </w:r>
      <w:r>
        <w:rPr>
          <w:rFonts w:hint="cs"/>
          <w:rtl/>
        </w:rPr>
        <w:t xml:space="preserve"> </w:t>
      </w:r>
      <w:r w:rsidRPr="0020378B">
        <w:rPr>
          <w:rStyle w:val="af7"/>
          <w:rFonts w:eastAsia="Guttman Hodes" w:hint="cs"/>
          <w:rtl/>
        </w:rPr>
        <w:t xml:space="preserve">(עי' אות </w:t>
      </w:r>
      <w:r w:rsidRPr="0020378B">
        <w:rPr>
          <w:rStyle w:val="af7"/>
          <w:rFonts w:eastAsia="Guttman Hodes"/>
          <w:rtl/>
        </w:rPr>
        <w:fldChar w:fldCharType="begin"/>
      </w:r>
      <w:r w:rsidRPr="0020378B">
        <w:rPr>
          <w:rStyle w:val="af7"/>
          <w:rFonts w:eastAsia="Guttman Hodes"/>
          <w:rtl/>
        </w:rPr>
        <w:instrText xml:space="preserve"> </w:instrText>
      </w:r>
      <w:r w:rsidRPr="0020378B">
        <w:rPr>
          <w:rStyle w:val="af7"/>
          <w:rFonts w:eastAsia="Guttman Hodes" w:hint="cs"/>
        </w:rPr>
        <w:instrText>REF</w:instrText>
      </w:r>
      <w:r w:rsidRPr="0020378B">
        <w:rPr>
          <w:rStyle w:val="af7"/>
          <w:rFonts w:eastAsia="Guttman Hodes" w:hint="cs"/>
          <w:rtl/>
        </w:rPr>
        <w:instrText xml:space="preserve"> _</w:instrText>
      </w:r>
      <w:r w:rsidRPr="0020378B">
        <w:rPr>
          <w:rStyle w:val="af7"/>
          <w:rFonts w:eastAsia="Guttman Hodes" w:hint="cs"/>
        </w:rPr>
        <w:instrText>Ref536436707 \r \h</w:instrText>
      </w:r>
      <w:r w:rsidRPr="0020378B">
        <w:rPr>
          <w:rStyle w:val="af7"/>
          <w:rFonts w:eastAsia="Guttman Hodes"/>
          <w:rtl/>
        </w:rPr>
        <w:instrText xml:space="preserve"> </w:instrText>
      </w:r>
      <w:r w:rsidRPr="0020378B">
        <w:rPr>
          <w:rStyle w:val="af7"/>
          <w:rFonts w:eastAsia="Guttman Hodes"/>
          <w:rtl/>
        </w:rPr>
      </w:r>
      <w:r w:rsidRPr="0020378B">
        <w:rPr>
          <w:rStyle w:val="af7"/>
          <w:rFonts w:eastAsia="Guttman Hodes"/>
          <w:rtl/>
        </w:rPr>
        <w:fldChar w:fldCharType="separate"/>
      </w:r>
      <w:r w:rsidR="00345400">
        <w:rPr>
          <w:rStyle w:val="af7"/>
          <w:rFonts w:eastAsia="Guttman Hodes"/>
          <w:cs/>
        </w:rPr>
        <w:t>‎</w:t>
      </w:r>
      <w:r w:rsidR="00345400">
        <w:rPr>
          <w:rStyle w:val="af7"/>
          <w:rFonts w:eastAsia="Guttman Hodes"/>
          <w:rtl/>
        </w:rPr>
        <w:t>פג)</w:t>
      </w:r>
      <w:r w:rsidRPr="0020378B">
        <w:rPr>
          <w:rStyle w:val="af7"/>
          <w:rFonts w:eastAsia="Guttman Hodes"/>
          <w:rtl/>
        </w:rPr>
        <w:fldChar w:fldCharType="end"/>
      </w:r>
      <w:r>
        <w:rPr>
          <w:rFonts w:hint="cs"/>
          <w:rtl/>
        </w:rPr>
        <w:t xml:space="preserve"> דהספק הוא למ"ד דיש לידה לאברים ואיירי שהחזיר את האבר, וכתב </w:t>
      </w:r>
      <w:r w:rsidRPr="002300CB">
        <w:rPr>
          <w:rStyle w:val="af9"/>
          <w:rFonts w:hint="cs"/>
          <w:rtl/>
        </w:rPr>
        <w:t>הראש יוסף</w:t>
      </w:r>
      <w:r>
        <w:rPr>
          <w:rFonts w:hint="cs"/>
          <w:rtl/>
        </w:rPr>
        <w:t xml:space="preserve"> דזה הוקשה </w:t>
      </w:r>
      <w:r w:rsidRPr="002300CB">
        <w:rPr>
          <w:rStyle w:val="af9"/>
          <w:rFonts w:hint="cs"/>
          <w:rtl/>
        </w:rPr>
        <w:t>למהרש"א</w:t>
      </w:r>
      <w:r>
        <w:rPr>
          <w:rFonts w:hint="cs"/>
          <w:rtl/>
        </w:rPr>
        <w:t xml:space="preserve"> </w:t>
      </w:r>
      <w:r w:rsidRPr="0020378B">
        <w:rPr>
          <w:rStyle w:val="af7"/>
          <w:rFonts w:eastAsia="Guttman Hodes" w:hint="cs"/>
          <w:rtl/>
        </w:rPr>
        <w:t xml:space="preserve">(עי' אות </w:t>
      </w:r>
      <w:r w:rsidRPr="0020378B">
        <w:rPr>
          <w:rStyle w:val="af7"/>
          <w:rFonts w:eastAsia="Guttman Hodes"/>
          <w:rtl/>
        </w:rPr>
        <w:fldChar w:fldCharType="begin"/>
      </w:r>
      <w:r w:rsidRPr="0020378B">
        <w:rPr>
          <w:rStyle w:val="af7"/>
          <w:rFonts w:eastAsia="Guttman Hodes"/>
          <w:rtl/>
        </w:rPr>
        <w:instrText xml:space="preserve"> </w:instrText>
      </w:r>
      <w:r w:rsidRPr="0020378B">
        <w:rPr>
          <w:rStyle w:val="af7"/>
          <w:rFonts w:eastAsia="Guttman Hodes" w:hint="cs"/>
        </w:rPr>
        <w:instrText>REF</w:instrText>
      </w:r>
      <w:r w:rsidRPr="0020378B">
        <w:rPr>
          <w:rStyle w:val="af7"/>
          <w:rFonts w:eastAsia="Guttman Hodes" w:hint="cs"/>
          <w:rtl/>
        </w:rPr>
        <w:instrText xml:space="preserve"> _</w:instrText>
      </w:r>
      <w:r w:rsidRPr="0020378B">
        <w:rPr>
          <w:rStyle w:val="af7"/>
          <w:rFonts w:eastAsia="Guttman Hodes" w:hint="cs"/>
        </w:rPr>
        <w:instrText>Ref536461915 \r \h</w:instrText>
      </w:r>
      <w:r w:rsidRPr="0020378B">
        <w:rPr>
          <w:rStyle w:val="af7"/>
          <w:rFonts w:eastAsia="Guttman Hodes"/>
          <w:rtl/>
        </w:rPr>
        <w:instrText xml:space="preserve"> </w:instrText>
      </w:r>
      <w:r w:rsidRPr="0020378B">
        <w:rPr>
          <w:rStyle w:val="af7"/>
          <w:rFonts w:eastAsia="Guttman Hodes"/>
          <w:rtl/>
        </w:rPr>
      </w:r>
      <w:r w:rsidRPr="0020378B">
        <w:rPr>
          <w:rStyle w:val="af7"/>
          <w:rFonts w:eastAsia="Guttman Hodes"/>
          <w:rtl/>
        </w:rPr>
        <w:fldChar w:fldCharType="separate"/>
      </w:r>
      <w:r w:rsidR="00345400">
        <w:rPr>
          <w:rStyle w:val="af7"/>
          <w:rFonts w:eastAsia="Guttman Hodes"/>
          <w:cs/>
        </w:rPr>
        <w:t>‎</w:t>
      </w:r>
      <w:r w:rsidR="00345400">
        <w:rPr>
          <w:rStyle w:val="af7"/>
          <w:rFonts w:eastAsia="Guttman Hodes"/>
          <w:rtl/>
        </w:rPr>
        <w:t>פז)</w:t>
      </w:r>
      <w:r w:rsidRPr="0020378B">
        <w:rPr>
          <w:rStyle w:val="af7"/>
          <w:rFonts w:eastAsia="Guttman Hodes"/>
          <w:rtl/>
        </w:rPr>
        <w:fldChar w:fldCharType="end"/>
      </w:r>
      <w:r>
        <w:rPr>
          <w:rFonts w:hint="cs"/>
          <w:rtl/>
        </w:rPr>
        <w:t xml:space="preserve"> </w:t>
      </w:r>
      <w:r w:rsidRPr="002300CB">
        <w:rPr>
          <w:rStyle w:val="af9"/>
          <w:rFonts w:hint="cs"/>
          <w:rtl/>
        </w:rPr>
        <w:t>ולמהר"ם</w:t>
      </w:r>
      <w:r>
        <w:rPr>
          <w:rFonts w:hint="cs"/>
          <w:rtl/>
        </w:rPr>
        <w:t xml:space="preserve"> </w:t>
      </w:r>
      <w:r w:rsidRPr="0020378B">
        <w:rPr>
          <w:rStyle w:val="af7"/>
          <w:rFonts w:eastAsia="Guttman Hodes" w:hint="cs"/>
          <w:rtl/>
        </w:rPr>
        <w:t xml:space="preserve">(עי' אות </w:t>
      </w:r>
      <w:r w:rsidRPr="0020378B">
        <w:rPr>
          <w:rStyle w:val="af7"/>
          <w:rFonts w:eastAsia="Guttman Hodes"/>
          <w:rtl/>
        </w:rPr>
        <w:fldChar w:fldCharType="begin"/>
      </w:r>
      <w:r w:rsidRPr="0020378B">
        <w:rPr>
          <w:rStyle w:val="af7"/>
          <w:rFonts w:eastAsia="Guttman Hodes"/>
          <w:rtl/>
        </w:rPr>
        <w:instrText xml:space="preserve"> </w:instrText>
      </w:r>
      <w:r w:rsidRPr="0020378B">
        <w:rPr>
          <w:rStyle w:val="af7"/>
          <w:rFonts w:eastAsia="Guttman Hodes" w:hint="cs"/>
        </w:rPr>
        <w:instrText>REF</w:instrText>
      </w:r>
      <w:r w:rsidRPr="0020378B">
        <w:rPr>
          <w:rStyle w:val="af7"/>
          <w:rFonts w:eastAsia="Guttman Hodes" w:hint="cs"/>
          <w:rtl/>
        </w:rPr>
        <w:instrText xml:space="preserve"> _</w:instrText>
      </w:r>
      <w:r w:rsidRPr="0020378B">
        <w:rPr>
          <w:rStyle w:val="af7"/>
          <w:rFonts w:eastAsia="Guttman Hodes" w:hint="cs"/>
        </w:rPr>
        <w:instrText>Ref536478069 \r \h</w:instrText>
      </w:r>
      <w:r w:rsidRPr="0020378B">
        <w:rPr>
          <w:rStyle w:val="af7"/>
          <w:rFonts w:eastAsia="Guttman Hodes"/>
          <w:rtl/>
        </w:rPr>
        <w:instrText xml:space="preserve"> </w:instrText>
      </w:r>
      <w:r w:rsidRPr="0020378B">
        <w:rPr>
          <w:rStyle w:val="af7"/>
          <w:rFonts w:eastAsia="Guttman Hodes"/>
          <w:rtl/>
        </w:rPr>
      </w:r>
      <w:r w:rsidRPr="0020378B">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20378B">
        <w:rPr>
          <w:rStyle w:val="af7"/>
          <w:rFonts w:eastAsia="Guttman Hodes"/>
          <w:rtl/>
        </w:rPr>
        <w:fldChar w:fldCharType="end"/>
      </w:r>
      <w:r>
        <w:rPr>
          <w:rFonts w:hint="cs"/>
          <w:rtl/>
        </w:rPr>
        <w:t xml:space="preserve"> עי' בדבריהם.</w:t>
      </w:r>
      <w:bookmarkEnd w:id="17687"/>
    </w:p>
    <w:p w14:paraId="759B0CE5" w14:textId="77777777" w:rsidR="003D504D" w:rsidRDefault="003D504D" w:rsidP="003D504D">
      <w:pPr>
        <w:pStyle w:val="a3"/>
        <w:rPr>
          <w:rtl/>
        </w:rPr>
      </w:pPr>
      <w:bookmarkStart w:id="17688" w:name="_Toc536564287"/>
      <w:bookmarkStart w:id="17689" w:name="_Toc536564442"/>
      <w:bookmarkStart w:id="17690" w:name="_Toc536616977"/>
      <w:bookmarkStart w:id="17691" w:name="_Toc19391286"/>
      <w:bookmarkStart w:id="17692" w:name="_Toc19394783"/>
      <w:r>
        <w:rPr>
          <w:rFonts w:hint="cs"/>
          <w:rtl/>
        </w:rPr>
        <w:t>דברי הראש יוסף דהספק הראשון הוא אף לרב ובלא החזיר האם הוא בכלל היתר בהמה בבהמה</w:t>
      </w:r>
      <w:bookmarkEnd w:id="17688"/>
      <w:bookmarkEnd w:id="17689"/>
      <w:bookmarkEnd w:id="17690"/>
      <w:bookmarkEnd w:id="17691"/>
      <w:bookmarkEnd w:id="17692"/>
    </w:p>
    <w:p w14:paraId="584AAB98" w14:textId="77777777" w:rsidR="003D504D" w:rsidRDefault="003D504D" w:rsidP="00223668">
      <w:pPr>
        <w:pStyle w:val="a0"/>
        <w:rPr>
          <w:rtl/>
        </w:rPr>
      </w:pPr>
      <w:r>
        <w:rPr>
          <w:rFonts w:hint="cs"/>
          <w:rtl/>
        </w:rPr>
        <w:t xml:space="preserve">וכתב </w:t>
      </w:r>
      <w:r w:rsidRPr="00687780">
        <w:rPr>
          <w:rStyle w:val="af9"/>
          <w:rFonts w:hint="cs"/>
          <w:rtl/>
        </w:rPr>
        <w:t>הראש יוסף</w:t>
      </w:r>
      <w:r>
        <w:rPr>
          <w:rFonts w:hint="cs"/>
          <w:rtl/>
        </w:rPr>
        <w:t xml:space="preserve"> דהספק הראשון של רב חנניא, הוא אף למ"ד דיש לידה לאברים, ואיירי שלא החזיר את האבר, והספק הוא האם מהני מחיצת העזרה להחשיב שהאבר לא יצא כלל והוא בכלל היתר "בהמה בבהמה".</w:t>
      </w:r>
    </w:p>
    <w:p w14:paraId="43A5D08B" w14:textId="77777777" w:rsidR="003D504D" w:rsidRDefault="003D504D" w:rsidP="003D504D">
      <w:pPr>
        <w:pStyle w:val="a3"/>
        <w:rPr>
          <w:rtl/>
        </w:rPr>
      </w:pPr>
      <w:bookmarkStart w:id="17693" w:name="_Toc536564288"/>
      <w:bookmarkStart w:id="17694" w:name="_Toc536564443"/>
      <w:bookmarkStart w:id="17695" w:name="_Toc536616978"/>
      <w:bookmarkStart w:id="17696" w:name="_Toc19391287"/>
      <w:bookmarkStart w:id="17697" w:name="_Toc19394784"/>
      <w:r>
        <w:rPr>
          <w:rFonts w:hint="cs"/>
          <w:rtl/>
        </w:rPr>
        <w:t>דברי המלא הרועים דא"א לומר ברש"י דהספק אי הוא בכלל היתר בהמה בבהמה כיון שיצא לחוץ</w:t>
      </w:r>
      <w:bookmarkEnd w:id="17693"/>
      <w:bookmarkEnd w:id="17694"/>
      <w:bookmarkEnd w:id="17695"/>
      <w:bookmarkEnd w:id="17696"/>
      <w:bookmarkEnd w:id="17697"/>
    </w:p>
    <w:p w14:paraId="4B3E34AB" w14:textId="77777777" w:rsidR="003D504D" w:rsidRDefault="003D504D" w:rsidP="00223668">
      <w:pPr>
        <w:pStyle w:val="a0"/>
        <w:rPr>
          <w:rtl/>
        </w:rPr>
      </w:pPr>
      <w:bookmarkStart w:id="17698" w:name="_Ref536465778"/>
      <w:r>
        <w:rPr>
          <w:rFonts w:hint="cs"/>
          <w:rtl/>
        </w:rPr>
        <w:t xml:space="preserve">וכתב </w:t>
      </w:r>
      <w:r w:rsidRPr="00774905">
        <w:rPr>
          <w:rStyle w:val="af9"/>
          <w:rFonts w:hint="cs"/>
          <w:rtl/>
        </w:rPr>
        <w:t>המלא הרועים</w:t>
      </w:r>
      <w:r>
        <w:rPr>
          <w:rFonts w:hint="cs"/>
          <w:rtl/>
        </w:rPr>
        <w:t xml:space="preserve"> </w:t>
      </w:r>
      <w:r w:rsidRPr="004B61B4">
        <w:rPr>
          <w:rStyle w:val="af7"/>
          <w:rFonts w:eastAsia="Guttman Hodes" w:hint="cs"/>
          <w:rtl/>
        </w:rPr>
        <w:t>(סט. על תוד"ה ותבעי)</w:t>
      </w:r>
      <w:r>
        <w:rPr>
          <w:rFonts w:hint="cs"/>
          <w:rtl/>
        </w:rPr>
        <w:t xml:space="preserve"> דאי הספק הראשון של רב חנניא אינו בהחזיר את האבר, אלא אף כשהאבר בחוץ, א"כ משמע דהספק הוא דמהני מחיצת העזרה, להחשיב את האבר בכלל היתר "בהמה בבהמה", אך כתב </w:t>
      </w:r>
      <w:r w:rsidRPr="00774905">
        <w:rPr>
          <w:rStyle w:val="af9"/>
          <w:rFonts w:hint="cs"/>
          <w:rtl/>
        </w:rPr>
        <w:t>המלא הרועים</w:t>
      </w:r>
      <w:r>
        <w:rPr>
          <w:rFonts w:hint="cs"/>
          <w:rtl/>
        </w:rPr>
        <w:t xml:space="preserve"> דאף דרק בספק השני כתב </w:t>
      </w:r>
      <w:r w:rsidRPr="00774905">
        <w:rPr>
          <w:rStyle w:val="af9"/>
          <w:rFonts w:hint="cs"/>
          <w:rtl/>
        </w:rPr>
        <w:t>רש"י</w:t>
      </w:r>
      <w:r>
        <w:rPr>
          <w:rFonts w:hint="cs"/>
          <w:rtl/>
        </w:rPr>
        <w:t xml:space="preserve"> </w:t>
      </w:r>
      <w:r w:rsidRPr="004B61B4">
        <w:rPr>
          <w:rStyle w:val="af7"/>
          <w:rFonts w:eastAsia="Guttman Hodes" w:hint="cs"/>
          <w:rtl/>
        </w:rPr>
        <w:t xml:space="preserve">(עי' אות </w:t>
      </w:r>
      <w:r w:rsidRPr="004B61B4">
        <w:rPr>
          <w:rStyle w:val="af7"/>
          <w:rFonts w:eastAsia="Guttman Hodes"/>
          <w:rtl/>
        </w:rPr>
        <w:fldChar w:fldCharType="begin"/>
      </w:r>
      <w:r w:rsidRPr="004B61B4">
        <w:rPr>
          <w:rStyle w:val="af7"/>
          <w:rFonts w:eastAsia="Guttman Hodes"/>
          <w:rtl/>
        </w:rPr>
        <w:instrText xml:space="preserve"> </w:instrText>
      </w:r>
      <w:r w:rsidRPr="004B61B4">
        <w:rPr>
          <w:rStyle w:val="af7"/>
          <w:rFonts w:eastAsia="Guttman Hodes" w:hint="cs"/>
        </w:rPr>
        <w:instrText>REF</w:instrText>
      </w:r>
      <w:r w:rsidRPr="004B61B4">
        <w:rPr>
          <w:rStyle w:val="af7"/>
          <w:rFonts w:eastAsia="Guttman Hodes" w:hint="cs"/>
          <w:rtl/>
        </w:rPr>
        <w:instrText xml:space="preserve"> _</w:instrText>
      </w:r>
      <w:r w:rsidRPr="004B61B4">
        <w:rPr>
          <w:rStyle w:val="af7"/>
          <w:rFonts w:eastAsia="Guttman Hodes" w:hint="cs"/>
        </w:rPr>
        <w:instrText>Ref536436707 \r \h</w:instrText>
      </w:r>
      <w:r w:rsidRPr="004B61B4">
        <w:rPr>
          <w:rStyle w:val="af7"/>
          <w:rFonts w:eastAsia="Guttman Hodes"/>
          <w:rtl/>
        </w:rPr>
        <w:instrText xml:space="preserve"> </w:instrText>
      </w:r>
      <w:r w:rsidRPr="004B61B4">
        <w:rPr>
          <w:rStyle w:val="af7"/>
          <w:rFonts w:eastAsia="Guttman Hodes"/>
          <w:rtl/>
        </w:rPr>
      </w:r>
      <w:r w:rsidRPr="004B61B4">
        <w:rPr>
          <w:rStyle w:val="af7"/>
          <w:rFonts w:eastAsia="Guttman Hodes"/>
          <w:rtl/>
        </w:rPr>
        <w:fldChar w:fldCharType="separate"/>
      </w:r>
      <w:r w:rsidR="00345400">
        <w:rPr>
          <w:rStyle w:val="af7"/>
          <w:rFonts w:eastAsia="Guttman Hodes"/>
          <w:cs/>
        </w:rPr>
        <w:t>‎</w:t>
      </w:r>
      <w:r w:rsidR="00345400">
        <w:rPr>
          <w:rStyle w:val="af7"/>
          <w:rFonts w:eastAsia="Guttman Hodes"/>
          <w:rtl/>
        </w:rPr>
        <w:t>פג)</w:t>
      </w:r>
      <w:r w:rsidRPr="004B61B4">
        <w:rPr>
          <w:rStyle w:val="af7"/>
          <w:rFonts w:eastAsia="Guttman Hodes"/>
          <w:rtl/>
        </w:rPr>
        <w:fldChar w:fldCharType="end"/>
      </w:r>
      <w:r>
        <w:rPr>
          <w:rFonts w:hint="cs"/>
          <w:rtl/>
        </w:rPr>
        <w:t xml:space="preserve"> דאיירי שהחזיר את האבר, אבל בספק הראשון לא ביאר </w:t>
      </w:r>
      <w:r w:rsidRPr="00774905">
        <w:rPr>
          <w:rStyle w:val="af9"/>
          <w:rFonts w:hint="cs"/>
          <w:rtl/>
        </w:rPr>
        <w:t>רש"י</w:t>
      </w:r>
      <w:r>
        <w:rPr>
          <w:rFonts w:hint="cs"/>
          <w:rtl/>
        </w:rPr>
        <w:t xml:space="preserve"> </w:t>
      </w:r>
      <w:r w:rsidRPr="004B61B4">
        <w:rPr>
          <w:rStyle w:val="af7"/>
          <w:rFonts w:eastAsia="Guttman Hodes" w:hint="cs"/>
          <w:rtl/>
        </w:rPr>
        <w:t xml:space="preserve">(עי' אות </w:t>
      </w:r>
      <w:r w:rsidRPr="004B61B4">
        <w:rPr>
          <w:rStyle w:val="af7"/>
          <w:rFonts w:eastAsia="Guttman Hodes"/>
          <w:rtl/>
        </w:rPr>
        <w:fldChar w:fldCharType="begin"/>
      </w:r>
      <w:r w:rsidRPr="004B61B4">
        <w:rPr>
          <w:rStyle w:val="af7"/>
          <w:rFonts w:eastAsia="Guttman Hodes"/>
          <w:rtl/>
        </w:rPr>
        <w:instrText xml:space="preserve"> </w:instrText>
      </w:r>
      <w:r w:rsidRPr="004B61B4">
        <w:rPr>
          <w:rStyle w:val="af7"/>
          <w:rFonts w:eastAsia="Guttman Hodes" w:hint="cs"/>
        </w:rPr>
        <w:instrText>REF</w:instrText>
      </w:r>
      <w:r w:rsidRPr="004B61B4">
        <w:rPr>
          <w:rStyle w:val="af7"/>
          <w:rFonts w:eastAsia="Guttman Hodes" w:hint="cs"/>
          <w:rtl/>
        </w:rPr>
        <w:instrText xml:space="preserve"> _</w:instrText>
      </w:r>
      <w:r w:rsidRPr="004B61B4">
        <w:rPr>
          <w:rStyle w:val="af7"/>
          <w:rFonts w:eastAsia="Guttman Hodes" w:hint="cs"/>
        </w:rPr>
        <w:instrText>Ref536375467 \r \h</w:instrText>
      </w:r>
      <w:r w:rsidRPr="004B61B4">
        <w:rPr>
          <w:rStyle w:val="af7"/>
          <w:rFonts w:eastAsia="Guttman Hodes"/>
          <w:rtl/>
        </w:rPr>
        <w:instrText xml:space="preserve"> </w:instrText>
      </w:r>
      <w:r w:rsidRPr="004B61B4">
        <w:rPr>
          <w:rStyle w:val="af7"/>
          <w:rFonts w:eastAsia="Guttman Hodes"/>
          <w:rtl/>
        </w:rPr>
      </w:r>
      <w:r w:rsidRPr="004B61B4">
        <w:rPr>
          <w:rStyle w:val="af7"/>
          <w:rFonts w:eastAsia="Guttman Hodes"/>
          <w:rtl/>
        </w:rPr>
        <w:fldChar w:fldCharType="separate"/>
      </w:r>
      <w:r w:rsidR="00345400">
        <w:rPr>
          <w:rStyle w:val="af7"/>
          <w:rFonts w:eastAsia="Guttman Hodes"/>
          <w:cs/>
        </w:rPr>
        <w:t>‎</w:t>
      </w:r>
      <w:r w:rsidR="00345400">
        <w:rPr>
          <w:rStyle w:val="af7"/>
          <w:rFonts w:eastAsia="Guttman Hodes"/>
          <w:rtl/>
        </w:rPr>
        <w:t>עט)</w:t>
      </w:r>
      <w:r w:rsidRPr="004B61B4">
        <w:rPr>
          <w:rStyle w:val="af7"/>
          <w:rFonts w:eastAsia="Guttman Hodes"/>
          <w:rtl/>
        </w:rPr>
        <w:fldChar w:fldCharType="end"/>
      </w:r>
      <w:r>
        <w:rPr>
          <w:rFonts w:hint="cs"/>
          <w:rtl/>
        </w:rPr>
        <w:t xml:space="preserve"> דאיירי שהחזיר את האבר, </w:t>
      </w:r>
      <w:r w:rsidRPr="004B61B4">
        <w:rPr>
          <w:rStyle w:val="afb"/>
          <w:rFonts w:hint="cs"/>
          <w:rtl/>
        </w:rPr>
        <w:t xml:space="preserve">[ומשמע דס"ל </w:t>
      </w:r>
      <w:r w:rsidRPr="004B61B4">
        <w:rPr>
          <w:rStyle w:val="affa"/>
          <w:rFonts w:hint="cs"/>
          <w:rtl/>
        </w:rPr>
        <w:t>לרש"י</w:t>
      </w:r>
      <w:r w:rsidRPr="004B61B4">
        <w:rPr>
          <w:rStyle w:val="afb"/>
          <w:rFonts w:hint="cs"/>
          <w:rtl/>
        </w:rPr>
        <w:t xml:space="preserve"> דהספק הראשון הוא כשהאבר בחוץ],</w:t>
      </w:r>
      <w:r>
        <w:rPr>
          <w:rFonts w:hint="cs"/>
          <w:rtl/>
        </w:rPr>
        <w:t xml:space="preserve"> מ"מ כתב </w:t>
      </w:r>
      <w:r w:rsidRPr="00774905">
        <w:rPr>
          <w:rStyle w:val="af9"/>
          <w:rFonts w:hint="cs"/>
          <w:rtl/>
        </w:rPr>
        <w:t>המלא הרועים</w:t>
      </w:r>
      <w:r>
        <w:rPr>
          <w:rFonts w:hint="cs"/>
          <w:rtl/>
        </w:rPr>
        <w:t xml:space="preserve"> דא"א לבאר דס"ל </w:t>
      </w:r>
      <w:r w:rsidRPr="004B61B4">
        <w:rPr>
          <w:rStyle w:val="af9"/>
          <w:rFonts w:hint="cs"/>
          <w:rtl/>
        </w:rPr>
        <w:t>לרש"י</w:t>
      </w:r>
      <w:r>
        <w:rPr>
          <w:rFonts w:hint="cs"/>
          <w:rtl/>
        </w:rPr>
        <w:t xml:space="preserve"> דאף האבר היוצא הוא בכלל היתר "בהמה בבהמה", כיון שכל העובר בתוך המחיצה, דהא כתב </w:t>
      </w:r>
      <w:r w:rsidRPr="00774905">
        <w:rPr>
          <w:rStyle w:val="af9"/>
          <w:rFonts w:hint="cs"/>
          <w:rtl/>
        </w:rPr>
        <w:t>רש"י</w:t>
      </w:r>
      <w:r>
        <w:rPr>
          <w:rFonts w:hint="cs"/>
          <w:rtl/>
        </w:rPr>
        <w:t xml:space="preserve"> </w:t>
      </w:r>
      <w:r w:rsidRPr="004B61B4">
        <w:rPr>
          <w:rStyle w:val="af7"/>
          <w:rFonts w:eastAsia="Guttman Hodes" w:hint="cs"/>
          <w:rtl/>
        </w:rPr>
        <w:t>(סח. ד"ה לעולם)</w:t>
      </w:r>
      <w:r>
        <w:rPr>
          <w:rFonts w:hint="cs"/>
          <w:rtl/>
        </w:rPr>
        <w:t xml:space="preserve"> דדוקא מה שבתוך הבהמה הוא בכלל היתר "בהמה בבהמה", ועי' במה שביאר </w:t>
      </w:r>
      <w:r w:rsidRPr="004B61B4">
        <w:rPr>
          <w:rStyle w:val="af9"/>
          <w:rFonts w:hint="cs"/>
          <w:rtl/>
        </w:rPr>
        <w:t>המלא הרועים</w:t>
      </w:r>
      <w:r>
        <w:rPr>
          <w:rFonts w:hint="cs"/>
          <w:rtl/>
        </w:rPr>
        <w:t xml:space="preserve"> </w:t>
      </w:r>
      <w:r w:rsidRPr="00B5462B">
        <w:rPr>
          <w:rStyle w:val="af7"/>
          <w:rFonts w:eastAsia="Guttman Hodes" w:hint="cs"/>
          <w:rtl/>
        </w:rPr>
        <w:t xml:space="preserve">(עי' אות </w:t>
      </w:r>
      <w:r w:rsidRPr="00B5462B">
        <w:rPr>
          <w:rStyle w:val="af7"/>
          <w:rFonts w:eastAsia="Guttman Hodes"/>
          <w:rtl/>
        </w:rPr>
        <w:fldChar w:fldCharType="begin"/>
      </w:r>
      <w:r w:rsidRPr="00B5462B">
        <w:rPr>
          <w:rStyle w:val="af7"/>
          <w:rFonts w:eastAsia="Guttman Hodes"/>
          <w:rtl/>
        </w:rPr>
        <w:instrText xml:space="preserve"> </w:instrText>
      </w:r>
      <w:r w:rsidRPr="00B5462B">
        <w:rPr>
          <w:rStyle w:val="af7"/>
          <w:rFonts w:eastAsia="Guttman Hodes" w:hint="cs"/>
        </w:rPr>
        <w:instrText>REF</w:instrText>
      </w:r>
      <w:r w:rsidRPr="00B5462B">
        <w:rPr>
          <w:rStyle w:val="af7"/>
          <w:rFonts w:eastAsia="Guttman Hodes" w:hint="cs"/>
          <w:rtl/>
        </w:rPr>
        <w:instrText xml:space="preserve"> _</w:instrText>
      </w:r>
      <w:r w:rsidRPr="00B5462B">
        <w:rPr>
          <w:rStyle w:val="af7"/>
          <w:rFonts w:eastAsia="Guttman Hodes" w:hint="cs"/>
        </w:rPr>
        <w:instrText>Ref536465807 \r \h</w:instrText>
      </w:r>
      <w:r w:rsidRPr="00B5462B">
        <w:rPr>
          <w:rStyle w:val="af7"/>
          <w:rFonts w:eastAsia="Guttman Hodes"/>
          <w:rtl/>
        </w:rPr>
        <w:instrText xml:space="preserve"> </w:instrText>
      </w:r>
      <w:r w:rsidRPr="00B5462B">
        <w:rPr>
          <w:rStyle w:val="af7"/>
          <w:rFonts w:eastAsia="Guttman Hodes"/>
          <w:rtl/>
        </w:rPr>
      </w:r>
      <w:r w:rsidRPr="00B5462B">
        <w:rPr>
          <w:rStyle w:val="af7"/>
          <w:rFonts w:eastAsia="Guttman Hodes"/>
          <w:rtl/>
        </w:rPr>
        <w:fldChar w:fldCharType="separate"/>
      </w:r>
      <w:r w:rsidR="00345400">
        <w:rPr>
          <w:rStyle w:val="af7"/>
          <w:rFonts w:eastAsia="Guttman Hodes"/>
          <w:cs/>
        </w:rPr>
        <w:t>‎</w:t>
      </w:r>
      <w:r w:rsidR="00345400">
        <w:rPr>
          <w:rStyle w:val="af7"/>
          <w:rFonts w:eastAsia="Guttman Hodes"/>
          <w:rtl/>
        </w:rPr>
        <w:t>ק)</w:t>
      </w:r>
      <w:r w:rsidRPr="00B5462B">
        <w:rPr>
          <w:rStyle w:val="af7"/>
          <w:rFonts w:eastAsia="Guttman Hodes"/>
          <w:rtl/>
        </w:rPr>
        <w:fldChar w:fldCharType="end"/>
      </w:r>
      <w:r>
        <w:rPr>
          <w:rFonts w:hint="cs"/>
          <w:rtl/>
        </w:rPr>
        <w:t xml:space="preserve"> בדברי </w:t>
      </w:r>
      <w:r w:rsidRPr="004B61B4">
        <w:rPr>
          <w:rStyle w:val="af9"/>
          <w:rFonts w:hint="cs"/>
          <w:rtl/>
        </w:rPr>
        <w:t>התוס'</w:t>
      </w:r>
      <w:r>
        <w:rPr>
          <w:rFonts w:hint="cs"/>
          <w:rtl/>
        </w:rPr>
        <w:t>.</w:t>
      </w:r>
      <w:bookmarkEnd w:id="17698"/>
    </w:p>
    <w:p w14:paraId="2C776B99" w14:textId="77777777" w:rsidR="003D504D" w:rsidRDefault="003D504D" w:rsidP="003D504D">
      <w:pPr>
        <w:pStyle w:val="a3"/>
        <w:rPr>
          <w:rtl/>
        </w:rPr>
      </w:pPr>
      <w:bookmarkStart w:id="17699" w:name="_Toc536564289"/>
      <w:bookmarkStart w:id="17700" w:name="_Toc536564444"/>
      <w:bookmarkStart w:id="17701" w:name="_Toc536616979"/>
      <w:bookmarkStart w:id="17702" w:name="_Toc19391288"/>
      <w:bookmarkStart w:id="17703" w:name="_Toc19394785"/>
      <w:r>
        <w:rPr>
          <w:rFonts w:hint="cs"/>
          <w:rtl/>
        </w:rPr>
        <w:t>ביאור המהדו"ב דאף הספק הראשון הוא בהחזיר את האבר דבלא החזיר פשיטא דאסור</w:t>
      </w:r>
      <w:bookmarkEnd w:id="17699"/>
      <w:bookmarkEnd w:id="17700"/>
      <w:bookmarkEnd w:id="17701"/>
      <w:bookmarkEnd w:id="17702"/>
      <w:bookmarkEnd w:id="17703"/>
    </w:p>
    <w:p w14:paraId="7C67A080" w14:textId="77777777" w:rsidR="003D504D" w:rsidRDefault="003D504D" w:rsidP="00223668">
      <w:pPr>
        <w:pStyle w:val="a0"/>
        <w:rPr>
          <w:rtl/>
        </w:rPr>
      </w:pPr>
      <w:r>
        <w:rPr>
          <w:rFonts w:hint="cs"/>
          <w:rtl/>
        </w:rPr>
        <w:t xml:space="preserve">אבל </w:t>
      </w:r>
      <w:r w:rsidRPr="00990422">
        <w:rPr>
          <w:rStyle w:val="af9"/>
          <w:rFonts w:hint="cs"/>
          <w:rtl/>
        </w:rPr>
        <w:t>המהדו"ב</w:t>
      </w:r>
      <w:r>
        <w:rPr>
          <w:rFonts w:hint="cs"/>
          <w:rtl/>
        </w:rPr>
        <w:t xml:space="preserve"> </w:t>
      </w:r>
      <w:r w:rsidRPr="00990422">
        <w:rPr>
          <w:rStyle w:val="af7"/>
          <w:rFonts w:eastAsia="Guttman Hodes" w:hint="cs"/>
          <w:rtl/>
        </w:rPr>
        <w:t xml:space="preserve">(עי' אות </w:t>
      </w:r>
      <w:r w:rsidRPr="00990422">
        <w:rPr>
          <w:rStyle w:val="af7"/>
          <w:rFonts w:eastAsia="Guttman Hodes"/>
          <w:rtl/>
        </w:rPr>
        <w:fldChar w:fldCharType="begin"/>
      </w:r>
      <w:r w:rsidRPr="00990422">
        <w:rPr>
          <w:rStyle w:val="af7"/>
          <w:rFonts w:eastAsia="Guttman Hodes"/>
          <w:rtl/>
        </w:rPr>
        <w:instrText xml:space="preserve"> </w:instrText>
      </w:r>
      <w:r w:rsidRPr="00990422">
        <w:rPr>
          <w:rStyle w:val="af7"/>
          <w:rFonts w:eastAsia="Guttman Hodes" w:hint="cs"/>
        </w:rPr>
        <w:instrText>REF</w:instrText>
      </w:r>
      <w:r w:rsidRPr="00990422">
        <w:rPr>
          <w:rStyle w:val="af7"/>
          <w:rFonts w:eastAsia="Guttman Hodes" w:hint="cs"/>
          <w:rtl/>
        </w:rPr>
        <w:instrText xml:space="preserve"> _</w:instrText>
      </w:r>
      <w:r w:rsidRPr="00990422">
        <w:rPr>
          <w:rStyle w:val="af7"/>
          <w:rFonts w:eastAsia="Guttman Hodes" w:hint="cs"/>
        </w:rPr>
        <w:instrText>Ref536461870 \r \h</w:instrText>
      </w:r>
      <w:r w:rsidRPr="00990422">
        <w:rPr>
          <w:rStyle w:val="af7"/>
          <w:rFonts w:eastAsia="Guttman Hodes"/>
          <w:rtl/>
        </w:rPr>
        <w:instrText xml:space="preserve"> </w:instrText>
      </w:r>
      <w:r w:rsidRPr="00990422">
        <w:rPr>
          <w:rStyle w:val="af7"/>
          <w:rFonts w:eastAsia="Guttman Hodes"/>
          <w:rtl/>
        </w:rPr>
      </w:r>
      <w:r w:rsidRPr="00990422">
        <w:rPr>
          <w:rStyle w:val="af7"/>
          <w:rFonts w:eastAsia="Guttman Hodes"/>
          <w:rtl/>
        </w:rPr>
        <w:fldChar w:fldCharType="separate"/>
      </w:r>
      <w:r w:rsidR="00345400">
        <w:rPr>
          <w:rStyle w:val="af7"/>
          <w:rFonts w:eastAsia="Guttman Hodes"/>
          <w:cs/>
        </w:rPr>
        <w:t>‎</w:t>
      </w:r>
      <w:r w:rsidR="00345400">
        <w:rPr>
          <w:rStyle w:val="af7"/>
          <w:rFonts w:eastAsia="Guttman Hodes"/>
          <w:rtl/>
        </w:rPr>
        <w:t>צו)</w:t>
      </w:r>
      <w:r w:rsidRPr="00990422">
        <w:rPr>
          <w:rStyle w:val="af7"/>
          <w:rFonts w:eastAsia="Guttman Hodes"/>
          <w:rtl/>
        </w:rPr>
        <w:fldChar w:fldCharType="end"/>
      </w:r>
      <w:r>
        <w:rPr>
          <w:rFonts w:hint="cs"/>
          <w:rtl/>
        </w:rPr>
        <w:t xml:space="preserve"> כתב דבשלא החזיר את האבר, אין כל צד דמהני מחיצת העזרה להתיר, ואף הספק הראשון של רב חנניא הוא דוקא כשהחזיר את האבר, </w:t>
      </w:r>
      <w:r w:rsidRPr="00990422">
        <w:rPr>
          <w:rStyle w:val="afb"/>
          <w:rFonts w:hint="cs"/>
          <w:rtl/>
        </w:rPr>
        <w:t>[ולמ"ד דיש לידה לאברים, דהחזרה אינה מתירה, והספק אי מחיצת העזרה מהני להתיר],</w:t>
      </w:r>
      <w:r>
        <w:rPr>
          <w:rFonts w:hint="cs"/>
          <w:rtl/>
        </w:rPr>
        <w:t xml:space="preserve"> וכתב </w:t>
      </w:r>
      <w:r w:rsidRPr="00990422">
        <w:rPr>
          <w:rStyle w:val="af9"/>
          <w:rFonts w:hint="cs"/>
          <w:rtl/>
        </w:rPr>
        <w:t>המהדו"ב</w:t>
      </w:r>
      <w:r>
        <w:rPr>
          <w:rFonts w:hint="cs"/>
          <w:rtl/>
        </w:rPr>
        <w:t xml:space="preserve"> דמה </w:t>
      </w:r>
      <w:r w:rsidRPr="00990422">
        <w:rPr>
          <w:rStyle w:val="af9"/>
          <w:rFonts w:hint="cs"/>
          <w:rtl/>
        </w:rPr>
        <w:t>שרש"י</w:t>
      </w:r>
      <w:r>
        <w:rPr>
          <w:rFonts w:hint="cs"/>
          <w:rtl/>
        </w:rPr>
        <w:t xml:space="preserve"> </w:t>
      </w:r>
      <w:r w:rsidRPr="00990422">
        <w:rPr>
          <w:rStyle w:val="af7"/>
          <w:rFonts w:eastAsia="Guttman Hodes" w:hint="cs"/>
          <w:rtl/>
        </w:rPr>
        <w:t xml:space="preserve">(עי' אות </w:t>
      </w:r>
      <w:r w:rsidRPr="00990422">
        <w:rPr>
          <w:rStyle w:val="af7"/>
          <w:rFonts w:eastAsia="Guttman Hodes"/>
          <w:rtl/>
        </w:rPr>
        <w:fldChar w:fldCharType="begin"/>
      </w:r>
      <w:r w:rsidRPr="00990422">
        <w:rPr>
          <w:rStyle w:val="af7"/>
          <w:rFonts w:eastAsia="Guttman Hodes"/>
          <w:rtl/>
        </w:rPr>
        <w:instrText xml:space="preserve"> </w:instrText>
      </w:r>
      <w:r w:rsidRPr="00990422">
        <w:rPr>
          <w:rStyle w:val="af7"/>
          <w:rFonts w:eastAsia="Guttman Hodes" w:hint="cs"/>
        </w:rPr>
        <w:instrText>REF</w:instrText>
      </w:r>
      <w:r w:rsidRPr="00990422">
        <w:rPr>
          <w:rStyle w:val="af7"/>
          <w:rFonts w:eastAsia="Guttman Hodes" w:hint="cs"/>
          <w:rtl/>
        </w:rPr>
        <w:instrText xml:space="preserve"> _</w:instrText>
      </w:r>
      <w:r w:rsidRPr="00990422">
        <w:rPr>
          <w:rStyle w:val="af7"/>
          <w:rFonts w:eastAsia="Guttman Hodes" w:hint="cs"/>
        </w:rPr>
        <w:instrText>Ref536375467 \r \h</w:instrText>
      </w:r>
      <w:r w:rsidRPr="00990422">
        <w:rPr>
          <w:rStyle w:val="af7"/>
          <w:rFonts w:eastAsia="Guttman Hodes"/>
          <w:rtl/>
        </w:rPr>
        <w:instrText xml:space="preserve"> </w:instrText>
      </w:r>
      <w:r w:rsidRPr="00990422">
        <w:rPr>
          <w:rStyle w:val="af7"/>
          <w:rFonts w:eastAsia="Guttman Hodes"/>
          <w:rtl/>
        </w:rPr>
      </w:r>
      <w:r w:rsidRPr="00990422">
        <w:rPr>
          <w:rStyle w:val="af7"/>
          <w:rFonts w:eastAsia="Guttman Hodes"/>
          <w:rtl/>
        </w:rPr>
        <w:fldChar w:fldCharType="separate"/>
      </w:r>
      <w:r w:rsidR="00345400">
        <w:rPr>
          <w:rStyle w:val="af7"/>
          <w:rFonts w:eastAsia="Guttman Hodes"/>
          <w:cs/>
        </w:rPr>
        <w:t>‎</w:t>
      </w:r>
      <w:r w:rsidR="00345400">
        <w:rPr>
          <w:rStyle w:val="af7"/>
          <w:rFonts w:eastAsia="Guttman Hodes"/>
          <w:rtl/>
        </w:rPr>
        <w:t>עט)</w:t>
      </w:r>
      <w:r w:rsidRPr="00990422">
        <w:rPr>
          <w:rStyle w:val="af7"/>
          <w:rFonts w:eastAsia="Guttman Hodes"/>
          <w:rtl/>
        </w:rPr>
        <w:fldChar w:fldCharType="end"/>
      </w:r>
      <w:r w:rsidRPr="00990422">
        <w:rPr>
          <w:rStyle w:val="af7"/>
          <w:rFonts w:eastAsia="Guttman Hodes" w:hint="cs"/>
          <w:rtl/>
        </w:rPr>
        <w:t xml:space="preserve"> </w:t>
      </w:r>
      <w:r>
        <w:rPr>
          <w:rFonts w:hint="cs"/>
          <w:rtl/>
        </w:rPr>
        <w:t xml:space="preserve">לא ביאר כן בספק הראשון בחומת העזרה, הוא כיון דסמך </w:t>
      </w:r>
      <w:r w:rsidRPr="00990422">
        <w:rPr>
          <w:rStyle w:val="af9"/>
          <w:rFonts w:hint="cs"/>
          <w:rtl/>
        </w:rPr>
        <w:t>רש"י</w:t>
      </w:r>
      <w:r>
        <w:rPr>
          <w:rFonts w:hint="cs"/>
          <w:rtl/>
        </w:rPr>
        <w:t xml:space="preserve"> על דבריו </w:t>
      </w:r>
      <w:r w:rsidRPr="00990422">
        <w:rPr>
          <w:rStyle w:val="af7"/>
          <w:rFonts w:eastAsia="Guttman Hodes" w:hint="cs"/>
          <w:rtl/>
        </w:rPr>
        <w:t xml:space="preserve">(עי' אות </w:t>
      </w:r>
      <w:r w:rsidRPr="00990422">
        <w:rPr>
          <w:rStyle w:val="af7"/>
          <w:rFonts w:eastAsia="Guttman Hodes"/>
          <w:rtl/>
        </w:rPr>
        <w:fldChar w:fldCharType="begin"/>
      </w:r>
      <w:r w:rsidRPr="00990422">
        <w:rPr>
          <w:rStyle w:val="af7"/>
          <w:rFonts w:eastAsia="Guttman Hodes"/>
          <w:rtl/>
        </w:rPr>
        <w:instrText xml:space="preserve"> </w:instrText>
      </w:r>
      <w:r w:rsidRPr="00990422">
        <w:rPr>
          <w:rStyle w:val="af7"/>
          <w:rFonts w:eastAsia="Guttman Hodes" w:hint="cs"/>
        </w:rPr>
        <w:instrText>REF</w:instrText>
      </w:r>
      <w:r w:rsidRPr="00990422">
        <w:rPr>
          <w:rStyle w:val="af7"/>
          <w:rFonts w:eastAsia="Guttman Hodes" w:hint="cs"/>
          <w:rtl/>
        </w:rPr>
        <w:instrText xml:space="preserve"> _</w:instrText>
      </w:r>
      <w:r w:rsidRPr="00990422">
        <w:rPr>
          <w:rStyle w:val="af7"/>
          <w:rFonts w:eastAsia="Guttman Hodes" w:hint="cs"/>
        </w:rPr>
        <w:instrText>Ref536436707 \r \h</w:instrText>
      </w:r>
      <w:r w:rsidRPr="00990422">
        <w:rPr>
          <w:rStyle w:val="af7"/>
          <w:rFonts w:eastAsia="Guttman Hodes"/>
          <w:rtl/>
        </w:rPr>
        <w:instrText xml:space="preserve"> </w:instrText>
      </w:r>
      <w:r w:rsidRPr="00990422">
        <w:rPr>
          <w:rStyle w:val="af7"/>
          <w:rFonts w:eastAsia="Guttman Hodes"/>
          <w:rtl/>
        </w:rPr>
      </w:r>
      <w:r w:rsidRPr="00990422">
        <w:rPr>
          <w:rStyle w:val="af7"/>
          <w:rFonts w:eastAsia="Guttman Hodes"/>
          <w:rtl/>
        </w:rPr>
        <w:fldChar w:fldCharType="separate"/>
      </w:r>
      <w:r w:rsidR="00345400">
        <w:rPr>
          <w:rStyle w:val="af7"/>
          <w:rFonts w:eastAsia="Guttman Hodes"/>
          <w:cs/>
        </w:rPr>
        <w:t>‎</w:t>
      </w:r>
      <w:r w:rsidR="00345400">
        <w:rPr>
          <w:rStyle w:val="af7"/>
          <w:rFonts w:eastAsia="Guttman Hodes"/>
          <w:rtl/>
        </w:rPr>
        <w:t>פג)</w:t>
      </w:r>
      <w:r w:rsidRPr="00990422">
        <w:rPr>
          <w:rStyle w:val="af7"/>
          <w:rFonts w:eastAsia="Guttman Hodes"/>
          <w:rtl/>
        </w:rPr>
        <w:fldChar w:fldCharType="end"/>
      </w:r>
      <w:r w:rsidRPr="00990422">
        <w:rPr>
          <w:rStyle w:val="af7"/>
          <w:rFonts w:eastAsia="Guttman Hodes" w:hint="cs"/>
          <w:rtl/>
        </w:rPr>
        <w:t xml:space="preserve"> </w:t>
      </w:r>
      <w:r>
        <w:rPr>
          <w:rFonts w:hint="cs"/>
          <w:rtl/>
        </w:rPr>
        <w:t>בספק השני בחומת ירושלים.</w:t>
      </w:r>
    </w:p>
    <w:p w14:paraId="2E853920" w14:textId="77777777" w:rsidR="003D504D" w:rsidRDefault="003D504D" w:rsidP="003D504D">
      <w:pPr>
        <w:pStyle w:val="afe"/>
        <w:rPr>
          <w:rtl/>
        </w:rPr>
      </w:pPr>
      <w:bookmarkStart w:id="17704" w:name="_Toc536540459"/>
      <w:bookmarkStart w:id="17705" w:name="_Toc536564290"/>
      <w:bookmarkStart w:id="17706" w:name="_Toc536564445"/>
      <w:bookmarkStart w:id="17707" w:name="_Toc536616980"/>
      <w:bookmarkStart w:id="17708" w:name="_Toc19436076"/>
      <w:bookmarkStart w:id="17709" w:name="_Toc20081270"/>
      <w:bookmarkStart w:id="17710" w:name="_Toc536466298"/>
      <w:r>
        <w:rPr>
          <w:rtl/>
        </w:rPr>
        <w:t>בספק בהוציא אבר ב</w:t>
      </w:r>
      <w:r>
        <w:rPr>
          <w:rFonts w:hint="cs"/>
          <w:rtl/>
        </w:rPr>
        <w:t>תוך חומת ירושלים</w:t>
      </w:r>
      <w:bookmarkEnd w:id="17704"/>
      <w:bookmarkEnd w:id="17705"/>
      <w:bookmarkEnd w:id="17706"/>
      <w:bookmarkEnd w:id="17707"/>
      <w:bookmarkEnd w:id="17708"/>
      <w:bookmarkEnd w:id="17709"/>
    </w:p>
    <w:p w14:paraId="47ED4662" w14:textId="77777777" w:rsidR="003D504D" w:rsidRPr="00B5462B" w:rsidRDefault="003D504D" w:rsidP="00BF39B2">
      <w:pPr>
        <w:pStyle w:val="1"/>
        <w:rPr>
          <w:rtl/>
        </w:rPr>
      </w:pPr>
      <w:bookmarkStart w:id="17711" w:name="_Toc536540460"/>
      <w:bookmarkStart w:id="17712" w:name="_Toc536564291"/>
      <w:bookmarkStart w:id="17713" w:name="_Toc536564446"/>
      <w:bookmarkStart w:id="17714" w:name="_Toc536616981"/>
      <w:bookmarkStart w:id="17715" w:name="_Toc19391289"/>
      <w:bookmarkStart w:id="17716" w:name="_Toc19394786"/>
      <w:r w:rsidRPr="00030C61">
        <w:rPr>
          <w:rFonts w:hint="cs"/>
          <w:rtl/>
        </w:rPr>
        <w:t>דברי רש"י והמאירי בספק בחומת ירושלים</w:t>
      </w:r>
      <w:bookmarkEnd w:id="17710"/>
      <w:bookmarkEnd w:id="17711"/>
      <w:bookmarkEnd w:id="17712"/>
      <w:bookmarkEnd w:id="17713"/>
      <w:bookmarkEnd w:id="17714"/>
      <w:bookmarkEnd w:id="17715"/>
      <w:bookmarkEnd w:id="17716"/>
    </w:p>
    <w:p w14:paraId="74B1FB8F" w14:textId="77777777" w:rsidR="003D504D" w:rsidRPr="00DF14E1" w:rsidRDefault="003D504D" w:rsidP="003D504D">
      <w:pPr>
        <w:pStyle w:val="a3"/>
      </w:pPr>
      <w:bookmarkStart w:id="17717" w:name="_Toc536564292"/>
      <w:bookmarkStart w:id="17718" w:name="_Toc536564447"/>
      <w:bookmarkStart w:id="17719" w:name="_Toc536616982"/>
      <w:bookmarkStart w:id="17720" w:name="_Toc19391290"/>
      <w:bookmarkStart w:id="17721" w:name="_Toc19394787"/>
      <w:r>
        <w:rPr>
          <w:rFonts w:hint="cs"/>
          <w:rtl/>
        </w:rPr>
        <w:t>דברי רש"י דהחזיר את האבר לפני שנכנס לעזרה והספק אי מהני חומת ירושלים לאיסור יוצא</w:t>
      </w:r>
      <w:bookmarkEnd w:id="17717"/>
      <w:bookmarkEnd w:id="17718"/>
      <w:bookmarkEnd w:id="17719"/>
      <w:bookmarkEnd w:id="17720"/>
      <w:bookmarkEnd w:id="17721"/>
    </w:p>
    <w:p w14:paraId="6B0C949B" w14:textId="77777777" w:rsidR="003D504D" w:rsidRDefault="003D504D" w:rsidP="00223668">
      <w:pPr>
        <w:pStyle w:val="a0"/>
        <w:rPr>
          <w:rtl/>
        </w:rPr>
      </w:pPr>
      <w:bookmarkStart w:id="17722" w:name="_Ref536436707"/>
      <w:r>
        <w:rPr>
          <w:rFonts w:hint="cs"/>
          <w:rtl/>
        </w:rPr>
        <w:t xml:space="preserve">בקושית אביי דאפשר להסתפק אף בהוציא העובר את ידו בירושלים, ביאר </w:t>
      </w:r>
      <w:r w:rsidRPr="00664DC3">
        <w:rPr>
          <w:rStyle w:val="af9"/>
          <w:rFonts w:hint="cs"/>
          <w:rtl/>
        </w:rPr>
        <w:t>רש"י</w:t>
      </w:r>
      <w:r>
        <w:rPr>
          <w:rFonts w:hint="cs"/>
          <w:rtl/>
        </w:rPr>
        <w:t xml:space="preserve"> </w:t>
      </w:r>
      <w:r w:rsidRPr="00664DC3">
        <w:rPr>
          <w:rStyle w:val="af7"/>
          <w:rFonts w:eastAsia="Guttman Hodes" w:hint="cs"/>
          <w:rtl/>
        </w:rPr>
        <w:t>(</w:t>
      </w:r>
      <w:r>
        <w:rPr>
          <w:rStyle w:val="af7"/>
          <w:rFonts w:eastAsia="Guttman Hodes" w:hint="cs"/>
          <w:rtl/>
        </w:rPr>
        <w:t xml:space="preserve">סט. </w:t>
      </w:r>
      <w:r w:rsidRPr="00664DC3">
        <w:rPr>
          <w:rStyle w:val="af7"/>
          <w:rFonts w:eastAsia="Guttman Hodes" w:hint="cs"/>
          <w:rtl/>
        </w:rPr>
        <w:t>ד"ה ותבעי)</w:t>
      </w:r>
      <w:r>
        <w:rPr>
          <w:rFonts w:hint="cs"/>
          <w:rtl/>
        </w:rPr>
        <w:t xml:space="preserve"> דאיירי בעובר של שלמים שהוציא אבר בירושלים והחזירו, והכניסו את הבהמה לעזרה ונשחטה בעזרה, וכתב </w:t>
      </w:r>
      <w:r w:rsidRPr="00664DC3">
        <w:rPr>
          <w:rStyle w:val="af9"/>
          <w:rFonts w:hint="cs"/>
          <w:rtl/>
        </w:rPr>
        <w:t>רש"י</w:t>
      </w:r>
      <w:r>
        <w:rPr>
          <w:rFonts w:hint="cs"/>
          <w:rtl/>
        </w:rPr>
        <w:t xml:space="preserve"> דהספק הוא למ"ד דיש לידה לאברים וחזרת האבר לא מהני להתירו, אי חומת ירושלים מהני שלא יהיה האבר שיצא אסור באיסור "בשר בשדה טריפה", כיון שחומת ירושלים היא מחיצה לקדשים קלים, ועי' במה שביארו </w:t>
      </w:r>
      <w:r w:rsidRPr="009719B6">
        <w:rPr>
          <w:rStyle w:val="af9"/>
          <w:rFonts w:hint="cs"/>
          <w:rtl/>
        </w:rPr>
        <w:t>המהרש"א</w:t>
      </w:r>
      <w:r>
        <w:rPr>
          <w:rFonts w:hint="cs"/>
          <w:rtl/>
        </w:rPr>
        <w:t xml:space="preserve"> </w:t>
      </w:r>
      <w:r w:rsidRPr="00E33FFC">
        <w:rPr>
          <w:rStyle w:val="af7"/>
          <w:rFonts w:eastAsia="Guttman Hodes" w:hint="cs"/>
          <w:rtl/>
        </w:rPr>
        <w:t xml:space="preserve">(עי' אות </w:t>
      </w:r>
      <w:r w:rsidRPr="00E33FFC">
        <w:rPr>
          <w:rStyle w:val="af7"/>
          <w:rFonts w:eastAsia="Guttman Hodes"/>
          <w:rtl/>
        </w:rPr>
        <w:fldChar w:fldCharType="begin"/>
      </w:r>
      <w:r w:rsidRPr="00E33FFC">
        <w:rPr>
          <w:rStyle w:val="af7"/>
          <w:rFonts w:eastAsia="Guttman Hodes"/>
          <w:rtl/>
        </w:rPr>
        <w:instrText xml:space="preserve"> </w:instrText>
      </w:r>
      <w:r w:rsidRPr="00E33FFC">
        <w:rPr>
          <w:rStyle w:val="af7"/>
          <w:rFonts w:eastAsia="Guttman Hodes" w:hint="cs"/>
        </w:rPr>
        <w:instrText>REF</w:instrText>
      </w:r>
      <w:r w:rsidRPr="00E33FFC">
        <w:rPr>
          <w:rStyle w:val="af7"/>
          <w:rFonts w:eastAsia="Guttman Hodes" w:hint="cs"/>
          <w:rtl/>
        </w:rPr>
        <w:instrText xml:space="preserve"> _</w:instrText>
      </w:r>
      <w:r w:rsidRPr="00E33FFC">
        <w:rPr>
          <w:rStyle w:val="af7"/>
          <w:rFonts w:eastAsia="Guttman Hodes" w:hint="cs"/>
        </w:rPr>
        <w:instrText>Ref536610015 \r \h</w:instrText>
      </w:r>
      <w:r w:rsidRPr="00E33FFC">
        <w:rPr>
          <w:rStyle w:val="af7"/>
          <w:rFonts w:eastAsia="Guttman Hodes"/>
          <w:rtl/>
        </w:rPr>
        <w:instrText xml:space="preserve"> </w:instrText>
      </w:r>
      <w:r w:rsidRPr="00E33FFC">
        <w:rPr>
          <w:rStyle w:val="af7"/>
          <w:rFonts w:eastAsia="Guttman Hodes"/>
          <w:rtl/>
        </w:rPr>
      </w:r>
      <w:r w:rsidRPr="00E33FFC">
        <w:rPr>
          <w:rStyle w:val="af7"/>
          <w:rFonts w:eastAsia="Guttman Hodes"/>
          <w:rtl/>
        </w:rPr>
        <w:fldChar w:fldCharType="separate"/>
      </w:r>
      <w:r w:rsidR="00345400">
        <w:rPr>
          <w:rStyle w:val="af7"/>
          <w:rFonts w:eastAsia="Guttman Hodes"/>
          <w:cs/>
        </w:rPr>
        <w:t>‎</w:t>
      </w:r>
      <w:r w:rsidR="00345400">
        <w:rPr>
          <w:rStyle w:val="af7"/>
          <w:rFonts w:eastAsia="Guttman Hodes"/>
          <w:rtl/>
        </w:rPr>
        <w:t>פז)</w:t>
      </w:r>
      <w:r w:rsidRPr="00E33FFC">
        <w:rPr>
          <w:rStyle w:val="af7"/>
          <w:rFonts w:eastAsia="Guttman Hodes"/>
          <w:rtl/>
        </w:rPr>
        <w:fldChar w:fldCharType="end"/>
      </w:r>
      <w:r>
        <w:rPr>
          <w:rFonts w:hint="cs"/>
          <w:rtl/>
        </w:rPr>
        <w:t xml:space="preserve"> </w:t>
      </w:r>
      <w:r w:rsidRPr="009719B6">
        <w:rPr>
          <w:rStyle w:val="af9"/>
          <w:rFonts w:hint="cs"/>
          <w:rtl/>
        </w:rPr>
        <w:t>והמהר"ם</w:t>
      </w:r>
      <w:r>
        <w:rPr>
          <w:rFonts w:hint="cs"/>
          <w:rtl/>
        </w:rPr>
        <w:t xml:space="preserve"> </w:t>
      </w:r>
      <w:r w:rsidRPr="00E33FFC">
        <w:rPr>
          <w:rStyle w:val="af7"/>
          <w:rFonts w:eastAsia="Guttman Hodes" w:hint="cs"/>
          <w:rtl/>
        </w:rPr>
        <w:t xml:space="preserve">(עי' אות </w:t>
      </w:r>
      <w:r w:rsidRPr="00E33FFC">
        <w:rPr>
          <w:rStyle w:val="af7"/>
          <w:rFonts w:eastAsia="Guttman Hodes"/>
          <w:rtl/>
        </w:rPr>
        <w:fldChar w:fldCharType="begin"/>
      </w:r>
      <w:r w:rsidRPr="00E33FFC">
        <w:rPr>
          <w:rStyle w:val="af7"/>
          <w:rFonts w:eastAsia="Guttman Hodes"/>
          <w:rtl/>
        </w:rPr>
        <w:instrText xml:space="preserve"> </w:instrText>
      </w:r>
      <w:r w:rsidRPr="00E33FFC">
        <w:rPr>
          <w:rStyle w:val="af7"/>
          <w:rFonts w:eastAsia="Guttman Hodes" w:hint="cs"/>
        </w:rPr>
        <w:instrText>REF</w:instrText>
      </w:r>
      <w:r w:rsidRPr="00E33FFC">
        <w:rPr>
          <w:rStyle w:val="af7"/>
          <w:rFonts w:eastAsia="Guttman Hodes" w:hint="cs"/>
          <w:rtl/>
        </w:rPr>
        <w:instrText xml:space="preserve"> _</w:instrText>
      </w:r>
      <w:r w:rsidRPr="00E33FFC">
        <w:rPr>
          <w:rStyle w:val="af7"/>
          <w:rFonts w:eastAsia="Guttman Hodes" w:hint="cs"/>
        </w:rPr>
        <w:instrText>Ref536478069 \r \h</w:instrText>
      </w:r>
      <w:r w:rsidRPr="00E33FFC">
        <w:rPr>
          <w:rStyle w:val="af7"/>
          <w:rFonts w:eastAsia="Guttman Hodes"/>
          <w:rtl/>
        </w:rPr>
        <w:instrText xml:space="preserve"> </w:instrText>
      </w:r>
      <w:r w:rsidRPr="00E33FFC">
        <w:rPr>
          <w:rStyle w:val="af7"/>
          <w:rFonts w:eastAsia="Guttman Hodes"/>
          <w:rtl/>
        </w:rPr>
      </w:r>
      <w:r w:rsidRPr="00E33FFC">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E33FFC">
        <w:rPr>
          <w:rStyle w:val="af7"/>
          <w:rFonts w:eastAsia="Guttman Hodes"/>
          <w:rtl/>
        </w:rPr>
        <w:fldChar w:fldCharType="end"/>
      </w:r>
      <w:r>
        <w:rPr>
          <w:rFonts w:hint="cs"/>
          <w:rtl/>
        </w:rPr>
        <w:t xml:space="preserve"> </w:t>
      </w:r>
      <w:r w:rsidRPr="00A51FC9">
        <w:rPr>
          <w:rStyle w:val="af9"/>
          <w:rFonts w:hint="cs"/>
          <w:rtl/>
        </w:rPr>
        <w:t>והמהדו"ב</w:t>
      </w:r>
      <w:r>
        <w:rPr>
          <w:rFonts w:hint="cs"/>
          <w:rtl/>
        </w:rPr>
        <w:t xml:space="preserve"> </w:t>
      </w:r>
      <w:r w:rsidRPr="00A51FC9">
        <w:rPr>
          <w:rStyle w:val="af7"/>
          <w:rFonts w:eastAsia="Guttman Hodes" w:hint="cs"/>
          <w:rtl/>
        </w:rPr>
        <w:t xml:space="preserve">(עי' אות </w:t>
      </w:r>
      <w:r w:rsidRPr="00A51FC9">
        <w:rPr>
          <w:rStyle w:val="af7"/>
          <w:rFonts w:eastAsia="Guttman Hodes"/>
          <w:rtl/>
        </w:rPr>
        <w:fldChar w:fldCharType="begin"/>
      </w:r>
      <w:r w:rsidRPr="00A51FC9">
        <w:rPr>
          <w:rStyle w:val="af7"/>
          <w:rFonts w:eastAsia="Guttman Hodes"/>
          <w:rtl/>
        </w:rPr>
        <w:instrText xml:space="preserve"> </w:instrText>
      </w:r>
      <w:r w:rsidRPr="00A51FC9">
        <w:rPr>
          <w:rStyle w:val="af7"/>
          <w:rFonts w:eastAsia="Guttman Hodes" w:hint="cs"/>
        </w:rPr>
        <w:instrText>REF</w:instrText>
      </w:r>
      <w:r w:rsidRPr="00A51FC9">
        <w:rPr>
          <w:rStyle w:val="af7"/>
          <w:rFonts w:eastAsia="Guttman Hodes" w:hint="cs"/>
          <w:rtl/>
        </w:rPr>
        <w:instrText xml:space="preserve"> _</w:instrText>
      </w:r>
      <w:r w:rsidRPr="00A51FC9">
        <w:rPr>
          <w:rStyle w:val="af7"/>
          <w:rFonts w:eastAsia="Guttman Hodes" w:hint="cs"/>
        </w:rPr>
        <w:instrText>Ref536461870 \r \h</w:instrText>
      </w:r>
      <w:r w:rsidRPr="00A51FC9">
        <w:rPr>
          <w:rStyle w:val="af7"/>
          <w:rFonts w:eastAsia="Guttman Hodes"/>
          <w:rtl/>
        </w:rPr>
        <w:instrText xml:space="preserve"> </w:instrText>
      </w:r>
      <w:r w:rsidRPr="00A51FC9">
        <w:rPr>
          <w:rStyle w:val="af7"/>
          <w:rFonts w:eastAsia="Guttman Hodes"/>
          <w:rtl/>
        </w:rPr>
      </w:r>
      <w:r w:rsidRPr="00A51FC9">
        <w:rPr>
          <w:rStyle w:val="af7"/>
          <w:rFonts w:eastAsia="Guttman Hodes"/>
          <w:rtl/>
        </w:rPr>
        <w:fldChar w:fldCharType="separate"/>
      </w:r>
      <w:r w:rsidR="00345400">
        <w:rPr>
          <w:rStyle w:val="af7"/>
          <w:rFonts w:eastAsia="Guttman Hodes"/>
          <w:cs/>
        </w:rPr>
        <w:t>‎</w:t>
      </w:r>
      <w:r w:rsidR="00345400">
        <w:rPr>
          <w:rStyle w:val="af7"/>
          <w:rFonts w:eastAsia="Guttman Hodes"/>
          <w:rtl/>
        </w:rPr>
        <w:t>צו)</w:t>
      </w:r>
      <w:r w:rsidRPr="00A51FC9">
        <w:rPr>
          <w:rStyle w:val="af7"/>
          <w:rFonts w:eastAsia="Guttman Hodes"/>
          <w:rtl/>
        </w:rPr>
        <w:fldChar w:fldCharType="end"/>
      </w:r>
      <w:r>
        <w:rPr>
          <w:rFonts w:hint="cs"/>
          <w:rtl/>
        </w:rPr>
        <w:t xml:space="preserve"> </w:t>
      </w:r>
      <w:r w:rsidRPr="00A51FC9">
        <w:rPr>
          <w:rStyle w:val="af9"/>
          <w:rFonts w:hint="cs"/>
          <w:rtl/>
        </w:rPr>
        <w:t>והרש"ש</w:t>
      </w:r>
      <w:r>
        <w:rPr>
          <w:rFonts w:hint="cs"/>
          <w:rtl/>
        </w:rPr>
        <w:t xml:space="preserve"> </w:t>
      </w:r>
      <w:r w:rsidRPr="00A51FC9">
        <w:rPr>
          <w:rStyle w:val="af7"/>
          <w:rFonts w:eastAsia="Guttman Hodes" w:hint="cs"/>
          <w:rtl/>
        </w:rPr>
        <w:t xml:space="preserve">(עי' אות </w:t>
      </w:r>
      <w:r w:rsidRPr="00A51FC9">
        <w:rPr>
          <w:rStyle w:val="af7"/>
          <w:rFonts w:eastAsia="Guttman Hodes"/>
          <w:rtl/>
        </w:rPr>
        <w:fldChar w:fldCharType="begin"/>
      </w:r>
      <w:r w:rsidRPr="00A51FC9">
        <w:rPr>
          <w:rStyle w:val="af7"/>
          <w:rFonts w:eastAsia="Guttman Hodes"/>
          <w:rtl/>
        </w:rPr>
        <w:instrText xml:space="preserve"> </w:instrText>
      </w:r>
      <w:r w:rsidRPr="00A51FC9">
        <w:rPr>
          <w:rStyle w:val="af7"/>
          <w:rFonts w:eastAsia="Guttman Hodes" w:hint="cs"/>
        </w:rPr>
        <w:instrText>REF</w:instrText>
      </w:r>
      <w:r w:rsidRPr="00A51FC9">
        <w:rPr>
          <w:rStyle w:val="af7"/>
          <w:rFonts w:eastAsia="Guttman Hodes" w:hint="cs"/>
          <w:rtl/>
        </w:rPr>
        <w:instrText xml:space="preserve"> _</w:instrText>
      </w:r>
      <w:r w:rsidRPr="00A51FC9">
        <w:rPr>
          <w:rStyle w:val="af7"/>
          <w:rFonts w:eastAsia="Guttman Hodes" w:hint="cs"/>
        </w:rPr>
        <w:instrText>Ref536611974 \r \h</w:instrText>
      </w:r>
      <w:r w:rsidRPr="00A51FC9">
        <w:rPr>
          <w:rStyle w:val="af7"/>
          <w:rFonts w:eastAsia="Guttman Hodes"/>
          <w:rtl/>
        </w:rPr>
        <w:instrText xml:space="preserve"> </w:instrText>
      </w:r>
      <w:r w:rsidRPr="00A51FC9">
        <w:rPr>
          <w:rStyle w:val="af7"/>
          <w:rFonts w:eastAsia="Guttman Hodes"/>
          <w:rtl/>
        </w:rPr>
      </w:r>
      <w:r w:rsidRPr="00A51FC9">
        <w:rPr>
          <w:rStyle w:val="af7"/>
          <w:rFonts w:eastAsia="Guttman Hodes"/>
          <w:rtl/>
        </w:rPr>
        <w:fldChar w:fldCharType="separate"/>
      </w:r>
      <w:r w:rsidR="00345400">
        <w:rPr>
          <w:rStyle w:val="af7"/>
          <w:rFonts w:eastAsia="Guttman Hodes"/>
          <w:cs/>
        </w:rPr>
        <w:t>‎</w:t>
      </w:r>
      <w:r w:rsidR="00345400">
        <w:rPr>
          <w:rStyle w:val="af7"/>
          <w:rFonts w:eastAsia="Guttman Hodes"/>
          <w:rtl/>
        </w:rPr>
        <w:t>צז)</w:t>
      </w:r>
      <w:r w:rsidRPr="00A51FC9">
        <w:rPr>
          <w:rStyle w:val="af7"/>
          <w:rFonts w:eastAsia="Guttman Hodes"/>
          <w:rtl/>
        </w:rPr>
        <w:fldChar w:fldCharType="end"/>
      </w:r>
      <w:r>
        <w:rPr>
          <w:rFonts w:hint="cs"/>
          <w:rtl/>
        </w:rPr>
        <w:t xml:space="preserve"> אמאי לא ביאר </w:t>
      </w:r>
      <w:r w:rsidRPr="009719B6">
        <w:rPr>
          <w:rStyle w:val="af9"/>
          <w:rFonts w:hint="cs"/>
          <w:rtl/>
        </w:rPr>
        <w:t>רש"י</w:t>
      </w:r>
      <w:r>
        <w:rPr>
          <w:rFonts w:hint="cs"/>
          <w:rtl/>
        </w:rPr>
        <w:t xml:space="preserve"> דאיירי בלא החזירו, ולמ"ד דאין לידה לאברים, וע"ע בדברי </w:t>
      </w:r>
      <w:r w:rsidRPr="00E45786">
        <w:rPr>
          <w:rStyle w:val="af9"/>
          <w:rFonts w:hint="cs"/>
          <w:rtl/>
        </w:rPr>
        <w:t>הראש יוסף</w:t>
      </w:r>
      <w:r>
        <w:rPr>
          <w:rFonts w:hint="cs"/>
          <w:rtl/>
        </w:rPr>
        <w:t xml:space="preserve"> </w:t>
      </w:r>
      <w:r w:rsidRPr="00E45786">
        <w:rPr>
          <w:rStyle w:val="af7"/>
          <w:rFonts w:eastAsia="Guttman Hodes" w:hint="cs"/>
          <w:rtl/>
        </w:rPr>
        <w:t xml:space="preserve">(עי' אות </w:t>
      </w:r>
      <w:r w:rsidRPr="00E45786">
        <w:rPr>
          <w:rStyle w:val="af7"/>
          <w:rFonts w:eastAsia="Guttman Hodes"/>
          <w:rtl/>
        </w:rPr>
        <w:fldChar w:fldCharType="begin"/>
      </w:r>
      <w:r w:rsidRPr="00E45786">
        <w:rPr>
          <w:rStyle w:val="af7"/>
          <w:rFonts w:eastAsia="Guttman Hodes"/>
          <w:rtl/>
        </w:rPr>
        <w:instrText xml:space="preserve"> </w:instrText>
      </w:r>
      <w:r w:rsidRPr="00E45786">
        <w:rPr>
          <w:rStyle w:val="af7"/>
          <w:rFonts w:eastAsia="Guttman Hodes" w:hint="cs"/>
        </w:rPr>
        <w:instrText>REF</w:instrText>
      </w:r>
      <w:r w:rsidRPr="00E45786">
        <w:rPr>
          <w:rStyle w:val="af7"/>
          <w:rFonts w:eastAsia="Guttman Hodes" w:hint="cs"/>
          <w:rtl/>
        </w:rPr>
        <w:instrText xml:space="preserve"> _</w:instrText>
      </w:r>
      <w:r w:rsidRPr="00E45786">
        <w:rPr>
          <w:rStyle w:val="af7"/>
          <w:rFonts w:eastAsia="Guttman Hodes" w:hint="cs"/>
        </w:rPr>
        <w:instrText>Ref536375467 \r \h</w:instrText>
      </w:r>
      <w:r w:rsidRPr="00E45786">
        <w:rPr>
          <w:rStyle w:val="af7"/>
          <w:rFonts w:eastAsia="Guttman Hodes"/>
          <w:rtl/>
        </w:rPr>
        <w:instrText xml:space="preserve"> </w:instrText>
      </w:r>
      <w:r w:rsidRPr="00E45786">
        <w:rPr>
          <w:rStyle w:val="af7"/>
          <w:rFonts w:eastAsia="Guttman Hodes"/>
          <w:rtl/>
        </w:rPr>
      </w:r>
      <w:r w:rsidRPr="00E45786">
        <w:rPr>
          <w:rStyle w:val="af7"/>
          <w:rFonts w:eastAsia="Guttman Hodes"/>
          <w:rtl/>
        </w:rPr>
        <w:fldChar w:fldCharType="separate"/>
      </w:r>
      <w:r w:rsidR="00345400">
        <w:rPr>
          <w:rStyle w:val="af7"/>
          <w:rFonts w:eastAsia="Guttman Hodes"/>
          <w:cs/>
        </w:rPr>
        <w:t>‎</w:t>
      </w:r>
      <w:r w:rsidR="00345400">
        <w:rPr>
          <w:rStyle w:val="af7"/>
          <w:rFonts w:eastAsia="Guttman Hodes"/>
          <w:rtl/>
        </w:rPr>
        <w:t>עט)</w:t>
      </w:r>
      <w:r w:rsidRPr="00E45786">
        <w:rPr>
          <w:rStyle w:val="af7"/>
          <w:rFonts w:eastAsia="Guttman Hodes"/>
          <w:rtl/>
        </w:rPr>
        <w:fldChar w:fldCharType="end"/>
      </w:r>
      <w:r>
        <w:rPr>
          <w:rFonts w:hint="cs"/>
          <w:rtl/>
        </w:rPr>
        <w:t xml:space="preserve"> במ"ש על דברי </w:t>
      </w:r>
      <w:r w:rsidRPr="00E45786">
        <w:rPr>
          <w:rStyle w:val="af9"/>
          <w:rFonts w:hint="cs"/>
          <w:rtl/>
        </w:rPr>
        <w:t>רש"י</w:t>
      </w:r>
      <w:r>
        <w:rPr>
          <w:rFonts w:hint="cs"/>
          <w:rtl/>
        </w:rPr>
        <w:t xml:space="preserve"> בספק הראשון.</w:t>
      </w:r>
      <w:bookmarkEnd w:id="17722"/>
    </w:p>
    <w:p w14:paraId="5CAE01A8" w14:textId="77777777" w:rsidR="003D504D" w:rsidRDefault="003D504D" w:rsidP="003D504D">
      <w:pPr>
        <w:pStyle w:val="a3"/>
        <w:rPr>
          <w:rtl/>
        </w:rPr>
      </w:pPr>
      <w:bookmarkStart w:id="17723" w:name="_Toc536564293"/>
      <w:bookmarkStart w:id="17724" w:name="_Toc536564448"/>
      <w:bookmarkStart w:id="17725" w:name="_Toc536616983"/>
      <w:bookmarkStart w:id="17726" w:name="_Toc19391291"/>
      <w:bookmarkStart w:id="17727" w:name="_Toc19394788"/>
      <w:r>
        <w:rPr>
          <w:rFonts w:hint="cs"/>
          <w:rtl/>
        </w:rPr>
        <w:t>דברי רש"י דאי שחט שלמים בירושלים פשיטא דלא מהני חומת ירושלים דאף האם אסורה</w:t>
      </w:r>
      <w:bookmarkEnd w:id="17723"/>
      <w:bookmarkEnd w:id="17724"/>
      <w:bookmarkEnd w:id="17725"/>
      <w:bookmarkEnd w:id="17726"/>
      <w:bookmarkEnd w:id="17727"/>
    </w:p>
    <w:p w14:paraId="1A8273E8" w14:textId="77777777" w:rsidR="003D504D" w:rsidRDefault="003D504D" w:rsidP="00223668">
      <w:pPr>
        <w:pStyle w:val="a0"/>
        <w:rPr>
          <w:rtl/>
        </w:rPr>
      </w:pPr>
      <w:bookmarkStart w:id="17728" w:name="_Ref536439678"/>
      <w:r>
        <w:rPr>
          <w:rFonts w:hint="cs"/>
          <w:rtl/>
        </w:rPr>
        <w:t xml:space="preserve">והוסיף </w:t>
      </w:r>
      <w:r w:rsidRPr="00664DC3">
        <w:rPr>
          <w:rStyle w:val="af9"/>
          <w:rFonts w:hint="cs"/>
          <w:rtl/>
        </w:rPr>
        <w:t>רש"י</w:t>
      </w:r>
      <w:r>
        <w:rPr>
          <w:rFonts w:hint="cs"/>
          <w:rtl/>
        </w:rPr>
        <w:t xml:space="preserve"> דא"א לומר דהספק בשוחט שלמים בירושלים והוציא העובר את האבר בשעת השחיטה, אי מהני ליה חומת ירושלים, דבכה"ג אף אמו אסורה מדין שוחט קדשים בחוץ, ועי' במה שהקשה </w:t>
      </w:r>
      <w:r>
        <w:rPr>
          <w:rStyle w:val="af9"/>
          <w:rFonts w:hint="cs"/>
          <w:rtl/>
        </w:rPr>
        <w:t>ה</w:t>
      </w:r>
      <w:r w:rsidRPr="00136B2E">
        <w:rPr>
          <w:rStyle w:val="af9"/>
          <w:rFonts w:hint="cs"/>
          <w:rtl/>
        </w:rPr>
        <w:t>ראש יוסף</w:t>
      </w:r>
      <w:r>
        <w:rPr>
          <w:rFonts w:hint="cs"/>
          <w:rtl/>
        </w:rPr>
        <w:t xml:space="preserve"> </w:t>
      </w:r>
      <w:r w:rsidRPr="00EC3372">
        <w:rPr>
          <w:rStyle w:val="af7"/>
          <w:rFonts w:eastAsia="Guttman Hodes" w:hint="cs"/>
          <w:rtl/>
        </w:rPr>
        <w:t xml:space="preserve">(עי' אות </w:t>
      </w:r>
      <w:r w:rsidRPr="00EC3372">
        <w:rPr>
          <w:rStyle w:val="af7"/>
          <w:rFonts w:eastAsia="Guttman Hodes"/>
          <w:rtl/>
        </w:rPr>
        <w:fldChar w:fldCharType="begin"/>
      </w:r>
      <w:r w:rsidRPr="00EC3372">
        <w:rPr>
          <w:rStyle w:val="af7"/>
          <w:rFonts w:eastAsia="Guttman Hodes"/>
          <w:rtl/>
        </w:rPr>
        <w:instrText xml:space="preserve"> </w:instrText>
      </w:r>
      <w:r w:rsidRPr="00EC3372">
        <w:rPr>
          <w:rStyle w:val="af7"/>
          <w:rFonts w:eastAsia="Guttman Hodes" w:hint="cs"/>
        </w:rPr>
        <w:instrText>REF</w:instrText>
      </w:r>
      <w:r w:rsidRPr="00EC3372">
        <w:rPr>
          <w:rStyle w:val="af7"/>
          <w:rFonts w:eastAsia="Guttman Hodes" w:hint="cs"/>
          <w:rtl/>
        </w:rPr>
        <w:instrText xml:space="preserve"> _</w:instrText>
      </w:r>
      <w:r w:rsidRPr="00EC3372">
        <w:rPr>
          <w:rStyle w:val="af7"/>
          <w:rFonts w:eastAsia="Guttman Hodes" w:hint="cs"/>
        </w:rPr>
        <w:instrText>Ref536610608 \r \h</w:instrText>
      </w:r>
      <w:r w:rsidRPr="00EC3372">
        <w:rPr>
          <w:rStyle w:val="af7"/>
          <w:rFonts w:eastAsia="Guttman Hodes"/>
          <w:rtl/>
        </w:rPr>
        <w:instrText xml:space="preserve"> </w:instrText>
      </w:r>
      <w:r w:rsidRPr="00EC3372">
        <w:rPr>
          <w:rStyle w:val="af7"/>
          <w:rFonts w:eastAsia="Guttman Hodes"/>
          <w:rtl/>
        </w:rPr>
      </w:r>
      <w:r w:rsidRPr="00EC3372">
        <w:rPr>
          <w:rStyle w:val="af7"/>
          <w:rFonts w:eastAsia="Guttman Hodes"/>
          <w:rtl/>
        </w:rPr>
        <w:fldChar w:fldCharType="separate"/>
      </w:r>
      <w:r w:rsidR="00345400">
        <w:rPr>
          <w:rStyle w:val="af7"/>
          <w:rFonts w:eastAsia="Guttman Hodes"/>
          <w:cs/>
        </w:rPr>
        <w:t>‎</w:t>
      </w:r>
      <w:r w:rsidR="00345400">
        <w:rPr>
          <w:rStyle w:val="af7"/>
          <w:rFonts w:eastAsia="Guttman Hodes"/>
          <w:rtl/>
        </w:rPr>
        <w:t>קא)</w:t>
      </w:r>
      <w:r w:rsidRPr="00EC3372">
        <w:rPr>
          <w:rStyle w:val="af7"/>
          <w:rFonts w:eastAsia="Guttman Hodes"/>
          <w:rtl/>
        </w:rPr>
        <w:fldChar w:fldCharType="end"/>
      </w:r>
      <w:r>
        <w:rPr>
          <w:rFonts w:hint="cs"/>
          <w:rtl/>
        </w:rPr>
        <w:t xml:space="preserve"> ובמה שביאר </w:t>
      </w:r>
      <w:r w:rsidRPr="001B7F6E">
        <w:rPr>
          <w:rStyle w:val="af9"/>
          <w:rFonts w:hint="cs"/>
          <w:rtl/>
        </w:rPr>
        <w:t xml:space="preserve">הגרעק"א </w:t>
      </w:r>
      <w:r w:rsidRPr="001B7F6E">
        <w:rPr>
          <w:rStyle w:val="af7"/>
          <w:rFonts w:eastAsia="Guttman Hodes" w:hint="cs"/>
          <w:rtl/>
        </w:rPr>
        <w:t xml:space="preserve">(עי' אות </w:t>
      </w:r>
      <w:r w:rsidRPr="001B7F6E">
        <w:rPr>
          <w:rStyle w:val="af7"/>
          <w:rFonts w:eastAsia="Guttman Hodes"/>
          <w:rtl/>
        </w:rPr>
        <w:fldChar w:fldCharType="begin"/>
      </w:r>
      <w:r w:rsidRPr="001B7F6E">
        <w:rPr>
          <w:rStyle w:val="af7"/>
          <w:rFonts w:eastAsia="Guttman Hodes"/>
          <w:rtl/>
        </w:rPr>
        <w:instrText xml:space="preserve"> </w:instrText>
      </w:r>
      <w:r w:rsidRPr="001B7F6E">
        <w:rPr>
          <w:rStyle w:val="af7"/>
          <w:rFonts w:eastAsia="Guttman Hodes" w:hint="cs"/>
        </w:rPr>
        <w:instrText>REF</w:instrText>
      </w:r>
      <w:r w:rsidRPr="001B7F6E">
        <w:rPr>
          <w:rStyle w:val="af7"/>
          <w:rFonts w:eastAsia="Guttman Hodes" w:hint="cs"/>
          <w:rtl/>
        </w:rPr>
        <w:instrText xml:space="preserve"> _</w:instrText>
      </w:r>
      <w:r w:rsidRPr="001B7F6E">
        <w:rPr>
          <w:rStyle w:val="af7"/>
          <w:rFonts w:eastAsia="Guttman Hodes" w:hint="cs"/>
        </w:rPr>
        <w:instrText>Ref536610187 \r \h</w:instrText>
      </w:r>
      <w:r w:rsidRPr="001B7F6E">
        <w:rPr>
          <w:rStyle w:val="af7"/>
          <w:rFonts w:eastAsia="Guttman Hodes"/>
          <w:rtl/>
        </w:rPr>
        <w:instrText xml:space="preserve"> </w:instrText>
      </w:r>
      <w:r w:rsidRPr="001B7F6E">
        <w:rPr>
          <w:rStyle w:val="af7"/>
          <w:rFonts w:eastAsia="Guttman Hodes"/>
          <w:rtl/>
        </w:rPr>
      </w:r>
      <w:r w:rsidRPr="001B7F6E">
        <w:rPr>
          <w:rStyle w:val="af7"/>
          <w:rFonts w:eastAsia="Guttman Hodes"/>
          <w:rtl/>
        </w:rPr>
        <w:fldChar w:fldCharType="separate"/>
      </w:r>
      <w:r w:rsidR="00345400">
        <w:rPr>
          <w:rStyle w:val="af7"/>
          <w:rFonts w:eastAsia="Guttman Hodes"/>
          <w:cs/>
        </w:rPr>
        <w:t>‎</w:t>
      </w:r>
      <w:r w:rsidR="00345400">
        <w:rPr>
          <w:rStyle w:val="af7"/>
          <w:rFonts w:eastAsia="Guttman Hodes"/>
          <w:rtl/>
        </w:rPr>
        <w:t>קב)</w:t>
      </w:r>
      <w:r w:rsidRPr="001B7F6E">
        <w:rPr>
          <w:rStyle w:val="af7"/>
          <w:rFonts w:eastAsia="Guttman Hodes"/>
          <w:rtl/>
        </w:rPr>
        <w:fldChar w:fldCharType="end"/>
      </w:r>
      <w:r>
        <w:rPr>
          <w:rFonts w:hint="cs"/>
          <w:rtl/>
        </w:rPr>
        <w:t xml:space="preserve"> בדברי </w:t>
      </w:r>
      <w:r w:rsidRPr="001B7F6E">
        <w:rPr>
          <w:rStyle w:val="af9"/>
          <w:rFonts w:hint="cs"/>
          <w:rtl/>
        </w:rPr>
        <w:t>רש"י</w:t>
      </w:r>
      <w:r>
        <w:rPr>
          <w:rFonts w:hint="cs"/>
          <w:rtl/>
        </w:rPr>
        <w:t>.</w:t>
      </w:r>
      <w:bookmarkEnd w:id="17728"/>
    </w:p>
    <w:p w14:paraId="19A55803" w14:textId="77777777" w:rsidR="003D504D" w:rsidRDefault="003D504D" w:rsidP="003D504D">
      <w:pPr>
        <w:pStyle w:val="a3"/>
        <w:rPr>
          <w:rtl/>
        </w:rPr>
      </w:pPr>
      <w:bookmarkStart w:id="17729" w:name="_Toc536459342"/>
      <w:bookmarkStart w:id="17730" w:name="_Toc536466299"/>
      <w:bookmarkStart w:id="17731" w:name="_Toc536540461"/>
      <w:bookmarkStart w:id="17732" w:name="_Toc536564294"/>
      <w:bookmarkStart w:id="17733" w:name="_Toc536564449"/>
      <w:bookmarkStart w:id="17734" w:name="_Toc536616984"/>
      <w:bookmarkStart w:id="17735" w:name="_Toc19391292"/>
      <w:bookmarkStart w:id="17736" w:name="_Toc19394789"/>
      <w:r>
        <w:rPr>
          <w:rFonts w:hint="cs"/>
          <w:rtl/>
        </w:rPr>
        <w:t>ביאור המאירי דמחיצת העזרה שהיא מחיצת לגבי האם מהני לולד דהאם היא מחיצתו</w:t>
      </w:r>
      <w:bookmarkEnd w:id="17729"/>
      <w:bookmarkEnd w:id="17730"/>
      <w:bookmarkEnd w:id="17731"/>
      <w:bookmarkEnd w:id="17732"/>
      <w:bookmarkEnd w:id="17733"/>
      <w:bookmarkEnd w:id="17734"/>
      <w:bookmarkEnd w:id="17735"/>
      <w:bookmarkEnd w:id="17736"/>
    </w:p>
    <w:p w14:paraId="772E1E90" w14:textId="77777777" w:rsidR="003D504D" w:rsidRDefault="003D504D" w:rsidP="00223668">
      <w:pPr>
        <w:pStyle w:val="a0"/>
        <w:rPr>
          <w:rtl/>
        </w:rPr>
      </w:pPr>
      <w:bookmarkStart w:id="17737" w:name="_Ref536438506"/>
      <w:r>
        <w:rPr>
          <w:rFonts w:hint="cs"/>
          <w:rtl/>
        </w:rPr>
        <w:t xml:space="preserve">ביאר </w:t>
      </w:r>
      <w:r w:rsidRPr="00A10345">
        <w:rPr>
          <w:rStyle w:val="af9"/>
          <w:rFonts w:hint="cs"/>
          <w:rtl/>
        </w:rPr>
        <w:t>המאירי</w:t>
      </w:r>
      <w:r>
        <w:rPr>
          <w:rFonts w:hint="cs"/>
          <w:rtl/>
        </w:rPr>
        <w:t xml:space="preserve"> </w:t>
      </w:r>
      <w:r w:rsidRPr="00A10345">
        <w:rPr>
          <w:rStyle w:val="af7"/>
          <w:rFonts w:eastAsia="Guttman Hodes" w:hint="cs"/>
          <w:rtl/>
        </w:rPr>
        <w:t>(</w:t>
      </w:r>
      <w:r>
        <w:rPr>
          <w:rStyle w:val="af7"/>
          <w:rFonts w:eastAsia="Guttman Hodes" w:hint="cs"/>
          <w:rtl/>
        </w:rPr>
        <w:t xml:space="preserve">סט. </w:t>
      </w:r>
      <w:r w:rsidRPr="00A10345">
        <w:rPr>
          <w:rStyle w:val="af7"/>
          <w:rFonts w:eastAsia="Guttman Hodes" w:hint="cs"/>
          <w:rtl/>
        </w:rPr>
        <w:t xml:space="preserve">ד"ה בהמת) </w:t>
      </w:r>
      <w:r>
        <w:rPr>
          <w:rFonts w:hint="cs"/>
          <w:rtl/>
        </w:rPr>
        <w:t>דהצד דמהני מחיצות העזרה, הוא דכמו שהועילו מחיצת העזרה לאם שכל זמן שלא יצאה ממחיצת העזרה לא נפסלה, כך יועילו מחיצות העזרה לעובר, כיון שהמחיצות של העובר הם דפנות האם, ואין לו מחיצות אחרות.</w:t>
      </w:r>
      <w:bookmarkEnd w:id="17737"/>
    </w:p>
    <w:p w14:paraId="3F577259" w14:textId="77777777" w:rsidR="003D504D" w:rsidRDefault="003D504D" w:rsidP="003D504D">
      <w:pPr>
        <w:pStyle w:val="a3"/>
        <w:rPr>
          <w:rtl/>
        </w:rPr>
      </w:pPr>
      <w:bookmarkStart w:id="17738" w:name="_Toc536459343"/>
      <w:bookmarkStart w:id="17739" w:name="_Toc536466300"/>
      <w:bookmarkStart w:id="17740" w:name="_Toc536540462"/>
      <w:bookmarkStart w:id="17741" w:name="_Toc536564295"/>
      <w:bookmarkStart w:id="17742" w:name="_Toc536564450"/>
      <w:bookmarkStart w:id="17743" w:name="_Toc536616985"/>
      <w:bookmarkStart w:id="17744" w:name="_Toc19391293"/>
      <w:bookmarkStart w:id="17745" w:name="_Toc19394790"/>
      <w:r>
        <w:rPr>
          <w:rFonts w:hint="cs"/>
          <w:rtl/>
        </w:rPr>
        <w:t>ביאור הצל"ח דמחיצת העזרה מהני לעובר עצמו למ"ד דקדוש במעי אמו</w:t>
      </w:r>
      <w:bookmarkEnd w:id="17738"/>
      <w:bookmarkEnd w:id="17739"/>
      <w:bookmarkEnd w:id="17740"/>
      <w:bookmarkEnd w:id="17741"/>
      <w:bookmarkEnd w:id="17742"/>
      <w:bookmarkEnd w:id="17743"/>
      <w:bookmarkEnd w:id="17744"/>
      <w:bookmarkEnd w:id="17745"/>
    </w:p>
    <w:p w14:paraId="18CA99E0" w14:textId="77777777" w:rsidR="003D504D" w:rsidRDefault="003D504D" w:rsidP="00223668">
      <w:pPr>
        <w:pStyle w:val="a0"/>
        <w:rPr>
          <w:rStyle w:val="afb"/>
          <w:rtl/>
        </w:rPr>
      </w:pPr>
      <w:r>
        <w:rPr>
          <w:rFonts w:hint="cs"/>
          <w:rtl/>
        </w:rPr>
        <w:t xml:space="preserve">כתב </w:t>
      </w:r>
      <w:r w:rsidRPr="00F32F21">
        <w:rPr>
          <w:rStyle w:val="af9"/>
          <w:rFonts w:hint="cs"/>
          <w:rtl/>
        </w:rPr>
        <w:t xml:space="preserve">הצל"ח </w:t>
      </w:r>
      <w:r w:rsidRPr="00F32F21">
        <w:rPr>
          <w:rStyle w:val="af7"/>
          <w:rFonts w:eastAsia="Guttman Hodes" w:hint="cs"/>
          <w:rtl/>
        </w:rPr>
        <w:t>(ד"ה בעי)</w:t>
      </w:r>
      <w:r>
        <w:rPr>
          <w:rFonts w:hint="cs"/>
          <w:rtl/>
        </w:rPr>
        <w:t xml:space="preserve"> דהצד דמחיצת העזרה מהני לעובר, היינו כיון שהעובר עצמו קדוש ואסור לשוחטו חוץ למחיצת העזרה, וא"כ הספק הוא למ"ד </w:t>
      </w:r>
      <w:r w:rsidRPr="00F32F21">
        <w:rPr>
          <w:rStyle w:val="af7"/>
          <w:rFonts w:eastAsia="Guttman Hodes" w:hint="cs"/>
          <w:rtl/>
        </w:rPr>
        <w:t>(תמורה יא.)</w:t>
      </w:r>
      <w:r>
        <w:rPr>
          <w:rFonts w:hint="cs"/>
          <w:rtl/>
        </w:rPr>
        <w:t xml:space="preserve"> דוולד קדשים קדוש במעי אמו, דאי למ"ד דבהוויתן הן קדושים ובמעי האם הוולד חולין, א"כ לא מהני מחיצת העזרה לעובר כלל. </w:t>
      </w:r>
      <w:r w:rsidRPr="00F32F21">
        <w:rPr>
          <w:rStyle w:val="afb"/>
          <w:rFonts w:hint="cs"/>
          <w:rtl/>
        </w:rPr>
        <w:t xml:space="preserve">[אך </w:t>
      </w:r>
      <w:r w:rsidRPr="00F32F21">
        <w:rPr>
          <w:rStyle w:val="affa"/>
          <w:rFonts w:hint="cs"/>
          <w:rtl/>
        </w:rPr>
        <w:t>במאירי</w:t>
      </w:r>
      <w:r w:rsidRPr="00F32F21">
        <w:rPr>
          <w:rStyle w:val="afb"/>
          <w:rFonts w:hint="cs"/>
          <w:rtl/>
        </w:rPr>
        <w:t xml:space="preserve"> </w:t>
      </w:r>
      <w:r w:rsidRPr="00F32F21">
        <w:rPr>
          <w:rStyle w:val="aff6"/>
          <w:rFonts w:hint="cs"/>
          <w:rtl/>
        </w:rPr>
        <w:t xml:space="preserve">(עי' אות </w:t>
      </w:r>
      <w:r w:rsidRPr="00F32F21">
        <w:rPr>
          <w:rStyle w:val="aff6"/>
          <w:rtl/>
        </w:rPr>
        <w:fldChar w:fldCharType="begin"/>
      </w:r>
      <w:r w:rsidRPr="00F32F21">
        <w:rPr>
          <w:rStyle w:val="aff6"/>
          <w:rtl/>
        </w:rPr>
        <w:instrText xml:space="preserve"> </w:instrText>
      </w:r>
      <w:r w:rsidRPr="00F32F21">
        <w:rPr>
          <w:rStyle w:val="aff6"/>
          <w:rFonts w:hint="cs"/>
        </w:rPr>
        <w:instrText>REF</w:instrText>
      </w:r>
      <w:r w:rsidRPr="00F32F21">
        <w:rPr>
          <w:rStyle w:val="aff6"/>
          <w:rFonts w:hint="cs"/>
          <w:rtl/>
        </w:rPr>
        <w:instrText xml:space="preserve"> _</w:instrText>
      </w:r>
      <w:r w:rsidRPr="00F32F21">
        <w:rPr>
          <w:rStyle w:val="aff6"/>
          <w:rFonts w:hint="cs"/>
        </w:rPr>
        <w:instrText>Ref536438506 \r \h</w:instrText>
      </w:r>
      <w:r w:rsidRPr="00F32F21">
        <w:rPr>
          <w:rStyle w:val="aff6"/>
          <w:rtl/>
        </w:rPr>
        <w:instrText xml:space="preserve"> </w:instrText>
      </w:r>
      <w:r w:rsidRPr="00F32F21">
        <w:rPr>
          <w:rStyle w:val="aff6"/>
          <w:rtl/>
        </w:rPr>
      </w:r>
      <w:r w:rsidRPr="00F32F21">
        <w:rPr>
          <w:rStyle w:val="aff6"/>
          <w:rtl/>
        </w:rPr>
        <w:fldChar w:fldCharType="separate"/>
      </w:r>
      <w:r w:rsidR="00345400">
        <w:rPr>
          <w:rStyle w:val="aff6"/>
          <w:cs/>
        </w:rPr>
        <w:t>‎</w:t>
      </w:r>
      <w:r w:rsidR="00345400">
        <w:rPr>
          <w:rStyle w:val="aff6"/>
          <w:rtl/>
        </w:rPr>
        <w:t>פה)</w:t>
      </w:r>
      <w:r w:rsidRPr="00F32F21">
        <w:rPr>
          <w:rStyle w:val="aff6"/>
          <w:rtl/>
        </w:rPr>
        <w:fldChar w:fldCharType="end"/>
      </w:r>
      <w:r w:rsidRPr="00F32F21">
        <w:rPr>
          <w:rStyle w:val="afb"/>
          <w:rFonts w:hint="cs"/>
          <w:rtl/>
        </w:rPr>
        <w:t xml:space="preserve"> </w:t>
      </w:r>
      <w:r w:rsidRPr="00D136B3">
        <w:rPr>
          <w:rStyle w:val="affa"/>
          <w:rFonts w:hint="cs"/>
          <w:rtl/>
        </w:rPr>
        <w:t>ובגרעק"א</w:t>
      </w:r>
      <w:r>
        <w:rPr>
          <w:rStyle w:val="afb"/>
          <w:rFonts w:hint="cs"/>
          <w:rtl/>
        </w:rPr>
        <w:t xml:space="preserve"> </w:t>
      </w:r>
      <w:r w:rsidRPr="00D136B3">
        <w:rPr>
          <w:rStyle w:val="aff6"/>
          <w:rFonts w:hint="cs"/>
          <w:rtl/>
        </w:rPr>
        <w:t xml:space="preserve">(עי' אות </w:t>
      </w:r>
      <w:r w:rsidRPr="00D136B3">
        <w:rPr>
          <w:rStyle w:val="aff6"/>
          <w:rtl/>
        </w:rPr>
        <w:fldChar w:fldCharType="begin"/>
      </w:r>
      <w:r w:rsidRPr="00D136B3">
        <w:rPr>
          <w:rStyle w:val="aff6"/>
          <w:rtl/>
        </w:rPr>
        <w:instrText xml:space="preserve"> </w:instrText>
      </w:r>
      <w:r w:rsidRPr="00D136B3">
        <w:rPr>
          <w:rStyle w:val="aff6"/>
          <w:rFonts w:hint="cs"/>
        </w:rPr>
        <w:instrText>REF</w:instrText>
      </w:r>
      <w:r w:rsidRPr="00D136B3">
        <w:rPr>
          <w:rStyle w:val="aff6"/>
          <w:rFonts w:hint="cs"/>
          <w:rtl/>
        </w:rPr>
        <w:instrText xml:space="preserve"> _</w:instrText>
      </w:r>
      <w:r w:rsidRPr="00D136B3">
        <w:rPr>
          <w:rStyle w:val="aff6"/>
          <w:rFonts w:hint="cs"/>
        </w:rPr>
        <w:instrText>Ref536439726 \r \h</w:instrText>
      </w:r>
      <w:r w:rsidRPr="00D136B3">
        <w:rPr>
          <w:rStyle w:val="aff6"/>
          <w:rtl/>
        </w:rPr>
        <w:instrText xml:space="preserve"> </w:instrText>
      </w:r>
      <w:r w:rsidRPr="00D136B3">
        <w:rPr>
          <w:rStyle w:val="aff6"/>
          <w:rtl/>
        </w:rPr>
      </w:r>
      <w:r w:rsidRPr="00D136B3">
        <w:rPr>
          <w:rStyle w:val="aff6"/>
          <w:rtl/>
        </w:rPr>
        <w:fldChar w:fldCharType="separate"/>
      </w:r>
      <w:r w:rsidR="00345400">
        <w:rPr>
          <w:rStyle w:val="aff6"/>
          <w:cs/>
        </w:rPr>
        <w:t>‎</w:t>
      </w:r>
      <w:r w:rsidR="00345400">
        <w:rPr>
          <w:rStyle w:val="aff6"/>
          <w:rtl/>
        </w:rPr>
        <w:t>קב)</w:t>
      </w:r>
      <w:r w:rsidRPr="00D136B3">
        <w:rPr>
          <w:rStyle w:val="aff6"/>
          <w:rtl/>
        </w:rPr>
        <w:fldChar w:fldCharType="end"/>
      </w:r>
      <w:r>
        <w:rPr>
          <w:rStyle w:val="afb"/>
          <w:rFonts w:hint="cs"/>
          <w:rtl/>
        </w:rPr>
        <w:t xml:space="preserve"> </w:t>
      </w:r>
      <w:r w:rsidRPr="00F32F21">
        <w:rPr>
          <w:rStyle w:val="afb"/>
          <w:rFonts w:hint="cs"/>
          <w:rtl/>
        </w:rPr>
        <w:t>מבואר דהוא מדין מחיצת האם</w:t>
      </w:r>
      <w:r>
        <w:rPr>
          <w:rStyle w:val="afb"/>
          <w:rFonts w:hint="cs"/>
          <w:rtl/>
        </w:rPr>
        <w:t>,</w:t>
      </w:r>
      <w:r w:rsidRPr="00F32F21">
        <w:rPr>
          <w:rStyle w:val="afb"/>
          <w:rFonts w:hint="cs"/>
          <w:rtl/>
        </w:rPr>
        <w:t xml:space="preserve"> ולא </w:t>
      </w:r>
      <w:r>
        <w:rPr>
          <w:rStyle w:val="afb"/>
          <w:rFonts w:hint="cs"/>
          <w:rtl/>
        </w:rPr>
        <w:t xml:space="preserve">מדין </w:t>
      </w:r>
      <w:r w:rsidRPr="00F32F21">
        <w:rPr>
          <w:rStyle w:val="afb"/>
          <w:rFonts w:hint="cs"/>
          <w:rtl/>
        </w:rPr>
        <w:t>מחיצת העובר].</w:t>
      </w:r>
    </w:p>
    <w:p w14:paraId="2F7DDC2D" w14:textId="77777777" w:rsidR="003D504D" w:rsidRDefault="003D504D" w:rsidP="00BF39B2">
      <w:pPr>
        <w:pStyle w:val="1"/>
        <w:rPr>
          <w:rtl/>
        </w:rPr>
      </w:pPr>
      <w:bookmarkStart w:id="17746" w:name="_Toc536466302"/>
      <w:bookmarkStart w:id="17747" w:name="_Toc536540464"/>
      <w:bookmarkStart w:id="17748" w:name="_Toc536564299"/>
      <w:bookmarkStart w:id="17749" w:name="_Toc536564454"/>
      <w:bookmarkStart w:id="17750" w:name="_Toc536616986"/>
      <w:bookmarkStart w:id="17751" w:name="_Toc19391294"/>
      <w:bookmarkStart w:id="17752" w:name="_Toc19394791"/>
      <w:bookmarkStart w:id="17753" w:name="_Toc536459345"/>
      <w:r>
        <w:rPr>
          <w:rFonts w:hint="cs"/>
          <w:rtl/>
        </w:rPr>
        <w:t xml:space="preserve">ביאור המהרש"א </w:t>
      </w:r>
      <w:bookmarkEnd w:id="17746"/>
      <w:r>
        <w:rPr>
          <w:rFonts w:hint="cs"/>
          <w:rtl/>
        </w:rPr>
        <w:t>דהכנסה לעזרה חשיב כאבר שחזר למחיצתו</w:t>
      </w:r>
      <w:bookmarkEnd w:id="17747"/>
      <w:bookmarkEnd w:id="17748"/>
      <w:bookmarkEnd w:id="17749"/>
      <w:bookmarkEnd w:id="17750"/>
      <w:bookmarkEnd w:id="17751"/>
      <w:bookmarkEnd w:id="17752"/>
    </w:p>
    <w:p w14:paraId="0A746DDD" w14:textId="77777777" w:rsidR="003D504D" w:rsidRDefault="003D504D" w:rsidP="003D504D">
      <w:pPr>
        <w:pStyle w:val="a3"/>
        <w:rPr>
          <w:rtl/>
        </w:rPr>
      </w:pPr>
      <w:bookmarkStart w:id="17754" w:name="_Toc536564300"/>
      <w:bookmarkStart w:id="17755" w:name="_Toc536564455"/>
      <w:bookmarkStart w:id="17756" w:name="_Toc536616987"/>
      <w:bookmarkStart w:id="17757" w:name="_Toc19391295"/>
      <w:bookmarkStart w:id="17758" w:name="_Toc19394792"/>
      <w:r>
        <w:rPr>
          <w:rFonts w:hint="cs"/>
          <w:rtl/>
        </w:rPr>
        <w:t>דברי המהרש"א דהכנסה לעזרה כחזרת אבר ולריו"ח עדיין נשאר הספק הראשון</w:t>
      </w:r>
      <w:bookmarkEnd w:id="17754"/>
      <w:bookmarkEnd w:id="17755"/>
      <w:bookmarkEnd w:id="17756"/>
      <w:bookmarkEnd w:id="17757"/>
      <w:bookmarkEnd w:id="17758"/>
    </w:p>
    <w:p w14:paraId="2FA75DA6" w14:textId="77777777" w:rsidR="003D504D" w:rsidRDefault="003D504D" w:rsidP="00223668">
      <w:pPr>
        <w:pStyle w:val="a0"/>
        <w:rPr>
          <w:rtl/>
        </w:rPr>
      </w:pPr>
      <w:bookmarkStart w:id="17759" w:name="_Ref536461915"/>
      <w:bookmarkStart w:id="17760" w:name="_Ref536610015"/>
      <w:r>
        <w:rPr>
          <w:rFonts w:hint="cs"/>
          <w:rtl/>
        </w:rPr>
        <w:t xml:space="preserve">בהא דכתב </w:t>
      </w:r>
      <w:r w:rsidRPr="00214C16">
        <w:rPr>
          <w:rStyle w:val="af9"/>
          <w:rFonts w:hint="cs"/>
          <w:rtl/>
        </w:rPr>
        <w:t>רש"י</w:t>
      </w:r>
      <w:r>
        <w:rPr>
          <w:rFonts w:hint="cs"/>
          <w:rtl/>
        </w:rPr>
        <w:t xml:space="preserve"> </w:t>
      </w:r>
      <w:r w:rsidRPr="00D136B3">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Ref536436707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פג)</w:t>
      </w:r>
      <w:r>
        <w:rPr>
          <w:rStyle w:val="af7"/>
          <w:rFonts w:eastAsia="Guttman Hodes"/>
          <w:rtl/>
        </w:rPr>
        <w:fldChar w:fldCharType="end"/>
      </w:r>
      <w:r w:rsidRPr="00D136B3">
        <w:rPr>
          <w:rStyle w:val="af7"/>
          <w:rFonts w:eastAsia="Guttman Hodes" w:hint="cs"/>
          <w:rtl/>
        </w:rPr>
        <w:t xml:space="preserve"> </w:t>
      </w:r>
      <w:r>
        <w:rPr>
          <w:rFonts w:hint="cs"/>
          <w:rtl/>
        </w:rPr>
        <w:t xml:space="preserve">דבספק השני איירי שהחזיר את האבר, והספק הוא למ"ד דיש לידה לאברים, דחזרתו אינה מתירתו, ביאר </w:t>
      </w:r>
      <w:r w:rsidRPr="00121C54">
        <w:rPr>
          <w:rStyle w:val="af9"/>
          <w:rFonts w:hint="cs"/>
          <w:rtl/>
        </w:rPr>
        <w:t>המהרש"א</w:t>
      </w:r>
      <w:r>
        <w:rPr>
          <w:rFonts w:hint="cs"/>
          <w:rtl/>
        </w:rPr>
        <w:t xml:space="preserve"> </w:t>
      </w:r>
      <w:r w:rsidRPr="007B5578">
        <w:rPr>
          <w:rStyle w:val="af7"/>
          <w:rFonts w:eastAsia="Guttman Hodes" w:hint="cs"/>
          <w:rtl/>
        </w:rPr>
        <w:t>(סט. על רש"י ד"ה ותבעי)</w:t>
      </w:r>
      <w:r>
        <w:rPr>
          <w:rFonts w:hint="cs"/>
          <w:rtl/>
        </w:rPr>
        <w:t xml:space="preserve"> דא"א לפרש דהספק הוא אף למ"ד דאין לידה לאברים, ואיירי שלא החזיר את האבר, והכניסוהו לעזרה ונשחטה, דא"כ עדיין נשאר הספק הראשון של רב חנניא אי מהני מחיצת העזרה להתיר, כמו דמהני חזרה באבר למחיצת הרחם, וא"כ מה הקשה אביי</w:t>
      </w:r>
      <w:bookmarkEnd w:id="17759"/>
      <w:r>
        <w:rPr>
          <w:rFonts w:hint="cs"/>
          <w:rtl/>
        </w:rPr>
        <w:t xml:space="preserve">, וביאר </w:t>
      </w:r>
      <w:r w:rsidRPr="00AE4482">
        <w:rPr>
          <w:rStyle w:val="af9"/>
          <w:rFonts w:hint="cs"/>
          <w:rtl/>
        </w:rPr>
        <w:t>הראש יוסף</w:t>
      </w:r>
      <w:r>
        <w:rPr>
          <w:rFonts w:hint="cs"/>
          <w:rtl/>
        </w:rPr>
        <w:t xml:space="preserve"> </w:t>
      </w:r>
      <w:r w:rsidRPr="00AE4482">
        <w:rPr>
          <w:rStyle w:val="af7"/>
          <w:rFonts w:eastAsia="Guttman Hodes" w:hint="cs"/>
          <w:rtl/>
        </w:rPr>
        <w:t>(סט. ד"ה בעי)</w:t>
      </w:r>
      <w:r>
        <w:rPr>
          <w:rFonts w:hint="cs"/>
          <w:rtl/>
        </w:rPr>
        <w:t xml:space="preserve"> דכוונת </w:t>
      </w:r>
      <w:r w:rsidRPr="00AE4482">
        <w:rPr>
          <w:rStyle w:val="af9"/>
          <w:rFonts w:hint="cs"/>
          <w:rtl/>
        </w:rPr>
        <w:t>המהרש"א</w:t>
      </w:r>
      <w:r>
        <w:rPr>
          <w:rFonts w:hint="cs"/>
          <w:rtl/>
        </w:rPr>
        <w:t xml:space="preserve"> לומר דכשהאבר בחוץ ומכניסים את הבהמה לעזרה, דההכנסה לעזרה </w:t>
      </w:r>
      <w:r w:rsidRPr="00F15D4A">
        <w:rPr>
          <w:rFonts w:hint="cs"/>
          <w:rtl/>
        </w:rPr>
        <w:t>חשיבא כחזרה לתוך המחיצה, כמו אבר החוזר למחיצת הרחם</w:t>
      </w:r>
      <w:r>
        <w:rPr>
          <w:rFonts w:hint="cs"/>
          <w:rtl/>
        </w:rPr>
        <w:t>.</w:t>
      </w:r>
      <w:bookmarkEnd w:id="17760"/>
    </w:p>
    <w:p w14:paraId="42C08325" w14:textId="77777777" w:rsidR="003D504D" w:rsidRDefault="003D504D" w:rsidP="003D504D">
      <w:pPr>
        <w:pStyle w:val="a3"/>
        <w:rPr>
          <w:rtl/>
        </w:rPr>
      </w:pPr>
      <w:bookmarkStart w:id="17761" w:name="_Toc536564301"/>
      <w:bookmarkStart w:id="17762" w:name="_Toc536564456"/>
      <w:bookmarkStart w:id="17763" w:name="_Toc536616988"/>
      <w:bookmarkStart w:id="17764" w:name="_Toc19391296"/>
      <w:bookmarkStart w:id="17765" w:name="_Toc19394793"/>
      <w:r>
        <w:rPr>
          <w:rFonts w:hint="cs"/>
          <w:rtl/>
        </w:rPr>
        <w:t>קושית המהרש"א דכיון דהכנסה לעזרה חשיבא כחזרה א"כ א"צ לפרש דאיירי דוקא בהחזיר</w:t>
      </w:r>
      <w:bookmarkEnd w:id="17761"/>
      <w:bookmarkEnd w:id="17762"/>
      <w:bookmarkEnd w:id="17763"/>
      <w:bookmarkEnd w:id="17764"/>
      <w:bookmarkEnd w:id="17765"/>
    </w:p>
    <w:p w14:paraId="6E73F41C" w14:textId="77777777" w:rsidR="003D504D" w:rsidRDefault="003D504D" w:rsidP="00223668">
      <w:pPr>
        <w:pStyle w:val="a0"/>
        <w:rPr>
          <w:rtl/>
        </w:rPr>
      </w:pPr>
      <w:bookmarkStart w:id="17766" w:name="_Ref536475434"/>
      <w:r>
        <w:rPr>
          <w:rFonts w:hint="cs"/>
          <w:rtl/>
        </w:rPr>
        <w:t xml:space="preserve">אך הקשה </w:t>
      </w:r>
      <w:r w:rsidRPr="00121C54">
        <w:rPr>
          <w:rStyle w:val="af9"/>
          <w:rFonts w:hint="cs"/>
          <w:rtl/>
        </w:rPr>
        <w:t>המהרש"א</w:t>
      </w:r>
      <w:r>
        <w:rPr>
          <w:rFonts w:hint="cs"/>
          <w:rtl/>
        </w:rPr>
        <w:t xml:space="preserve"> דאף למ"ד דיש לידה לאברים, אמאי פירש </w:t>
      </w:r>
      <w:r w:rsidRPr="004C6386">
        <w:rPr>
          <w:rStyle w:val="af9"/>
          <w:rFonts w:hint="cs"/>
          <w:rtl/>
        </w:rPr>
        <w:t>רש"י</w:t>
      </w:r>
      <w:r>
        <w:rPr>
          <w:rFonts w:hint="cs"/>
          <w:rtl/>
        </w:rPr>
        <w:t xml:space="preserve"> דהחזיר את האבר ואח"כ הכניסוה לעזרה, הא כיון דס"ל דיש לידה לאברים, וחזרת האבר אינה מתירה, א"כ אפשר לפרש את הספק דאיירי שלא החזיר את האבר, והכניסו את הבהמה לעזרה, דהרי פשיטא דהכנסה לעזרה לא מהני מדין חזרה, כמו שלא מהני חזרה למחיצת אמו,</w:t>
      </w:r>
      <w:r w:rsidRPr="00D14D74">
        <w:rPr>
          <w:rFonts w:hint="cs"/>
          <w:rtl/>
        </w:rPr>
        <w:t xml:space="preserve"> </w:t>
      </w:r>
      <w:r>
        <w:rPr>
          <w:rFonts w:hint="cs"/>
          <w:rtl/>
        </w:rPr>
        <w:t xml:space="preserve">וביאר </w:t>
      </w:r>
      <w:r w:rsidRPr="004C6386">
        <w:rPr>
          <w:rStyle w:val="af9"/>
          <w:rFonts w:hint="cs"/>
          <w:rtl/>
        </w:rPr>
        <w:t>הראש יוסף</w:t>
      </w:r>
      <w:r>
        <w:rPr>
          <w:rFonts w:hint="cs"/>
          <w:rtl/>
        </w:rPr>
        <w:t xml:space="preserve"> דכוונת </w:t>
      </w:r>
      <w:r w:rsidRPr="004C6386">
        <w:rPr>
          <w:rStyle w:val="af9"/>
          <w:rFonts w:hint="cs"/>
          <w:rtl/>
        </w:rPr>
        <w:t>המהרש"א</w:t>
      </w:r>
      <w:r>
        <w:rPr>
          <w:rFonts w:hint="cs"/>
          <w:rtl/>
        </w:rPr>
        <w:t xml:space="preserve"> להקשות דכיון דההכנסה לעזרה חשיב כחזרה לתוך המחיצה, א"כ א"צ לבאר דהחזיר את האבר, וכתב </w:t>
      </w:r>
      <w:r w:rsidRPr="00121C54">
        <w:rPr>
          <w:rStyle w:val="af9"/>
          <w:rFonts w:hint="cs"/>
          <w:rtl/>
        </w:rPr>
        <w:t>המהרש"א</w:t>
      </w:r>
      <w:r>
        <w:rPr>
          <w:rFonts w:hint="cs"/>
          <w:rtl/>
        </w:rPr>
        <w:t xml:space="preserve"> דצ"ל דלא שייך שהכניסו את הבהמה לעזרה בשעה שהיא מקשה לילד והאבר בחוץ, ולכך פירש </w:t>
      </w:r>
      <w:r w:rsidRPr="00121C54">
        <w:rPr>
          <w:rStyle w:val="af9"/>
          <w:rFonts w:hint="cs"/>
          <w:rtl/>
        </w:rPr>
        <w:t>רש"י</w:t>
      </w:r>
      <w:r>
        <w:rPr>
          <w:rFonts w:hint="cs"/>
          <w:rtl/>
        </w:rPr>
        <w:t xml:space="preserve"> דהחזיר את האבר, ואח"כ הכניסוה לעזרה.</w:t>
      </w:r>
      <w:bookmarkEnd w:id="17766"/>
    </w:p>
    <w:p w14:paraId="7168D5EC" w14:textId="77777777" w:rsidR="003D504D" w:rsidRPr="00070D08" w:rsidRDefault="003D504D" w:rsidP="003D504D">
      <w:pPr>
        <w:pStyle w:val="a3"/>
        <w:rPr>
          <w:rtl/>
        </w:rPr>
      </w:pPr>
      <w:bookmarkStart w:id="17767" w:name="_Toc536564302"/>
      <w:bookmarkStart w:id="17768" w:name="_Toc536564457"/>
      <w:bookmarkStart w:id="17769" w:name="_Toc536616989"/>
      <w:bookmarkStart w:id="17770" w:name="_Toc19391297"/>
      <w:bookmarkStart w:id="17771" w:name="_Toc19394794"/>
      <w:r>
        <w:rPr>
          <w:rFonts w:hint="cs"/>
          <w:rtl/>
        </w:rPr>
        <w:t>ביאור הראש יוסף דלריו"ח שייך להסתפק רק בחומת העזרה ואין כל ספק בחומת ירושלים</w:t>
      </w:r>
      <w:bookmarkEnd w:id="17767"/>
      <w:bookmarkEnd w:id="17768"/>
      <w:bookmarkEnd w:id="17769"/>
      <w:bookmarkEnd w:id="17770"/>
      <w:bookmarkEnd w:id="17771"/>
    </w:p>
    <w:p w14:paraId="5DE3B365" w14:textId="77777777" w:rsidR="003D504D" w:rsidRDefault="003D504D" w:rsidP="00223668">
      <w:pPr>
        <w:pStyle w:val="a0"/>
        <w:rPr>
          <w:rtl/>
        </w:rPr>
      </w:pPr>
      <w:r w:rsidRPr="00F15D4A">
        <w:rPr>
          <w:rFonts w:hint="cs"/>
          <w:rtl/>
        </w:rPr>
        <w:t>ו</w:t>
      </w:r>
      <w:r>
        <w:rPr>
          <w:rFonts w:hint="cs"/>
          <w:rtl/>
        </w:rPr>
        <w:t xml:space="preserve">כתב </w:t>
      </w:r>
      <w:r w:rsidRPr="00AE4482">
        <w:rPr>
          <w:rStyle w:val="af9"/>
          <w:rFonts w:hint="cs"/>
          <w:rtl/>
        </w:rPr>
        <w:t>הראש יוסף</w:t>
      </w:r>
      <w:r>
        <w:rPr>
          <w:rFonts w:hint="cs"/>
          <w:rtl/>
        </w:rPr>
        <w:t xml:space="preserve"> </w:t>
      </w:r>
      <w:r w:rsidRPr="00AE4482">
        <w:rPr>
          <w:rStyle w:val="af7"/>
          <w:rFonts w:eastAsia="Guttman Hodes" w:hint="cs"/>
          <w:rtl/>
        </w:rPr>
        <w:t>(סט. ד"ה בעי)</w:t>
      </w:r>
      <w:r>
        <w:rPr>
          <w:rFonts w:hint="cs"/>
          <w:rtl/>
        </w:rPr>
        <w:t xml:space="preserve"> דלפי דברי </w:t>
      </w:r>
      <w:r w:rsidRPr="00AE4482">
        <w:rPr>
          <w:rStyle w:val="af9"/>
          <w:rFonts w:hint="cs"/>
          <w:rtl/>
        </w:rPr>
        <w:t>המהרש"א</w:t>
      </w:r>
      <w:r>
        <w:rPr>
          <w:rFonts w:hint="cs"/>
          <w:rtl/>
        </w:rPr>
        <w:t xml:space="preserve"> הא דכתב </w:t>
      </w:r>
      <w:r w:rsidRPr="00214C16">
        <w:rPr>
          <w:rStyle w:val="af9"/>
          <w:rFonts w:hint="cs"/>
          <w:rtl/>
        </w:rPr>
        <w:t>רש"י</w:t>
      </w:r>
      <w:r>
        <w:rPr>
          <w:rFonts w:hint="cs"/>
          <w:rtl/>
        </w:rPr>
        <w:t xml:space="preserve"> </w:t>
      </w:r>
      <w:r w:rsidRPr="00D136B3">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Ref536436707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פג)</w:t>
      </w:r>
      <w:r>
        <w:rPr>
          <w:rStyle w:val="af7"/>
          <w:rFonts w:eastAsia="Guttman Hodes"/>
          <w:rtl/>
        </w:rPr>
        <w:fldChar w:fldCharType="end"/>
      </w:r>
      <w:r>
        <w:rPr>
          <w:rFonts w:hint="cs"/>
          <w:rtl/>
        </w:rPr>
        <w:t xml:space="preserve"> ד</w:t>
      </w:r>
      <w:r w:rsidRPr="00F15D4A">
        <w:rPr>
          <w:rFonts w:hint="cs"/>
          <w:rtl/>
        </w:rPr>
        <w:t xml:space="preserve">הספק השני הוא למ"ד דיש לידה לאברים, </w:t>
      </w:r>
      <w:r>
        <w:rPr>
          <w:rFonts w:hint="cs"/>
          <w:rtl/>
        </w:rPr>
        <w:t>הוא כיון ד</w:t>
      </w:r>
      <w:r w:rsidRPr="00F15D4A">
        <w:rPr>
          <w:rFonts w:hint="cs"/>
          <w:rtl/>
        </w:rPr>
        <w:t xml:space="preserve">למ"ד דאין לידה לאברים, </w:t>
      </w:r>
      <w:r>
        <w:rPr>
          <w:rFonts w:hint="cs"/>
          <w:rtl/>
        </w:rPr>
        <w:t xml:space="preserve">לא מובנת קושית </w:t>
      </w:r>
      <w:r w:rsidRPr="00F15D4A">
        <w:rPr>
          <w:rFonts w:hint="cs"/>
          <w:rtl/>
        </w:rPr>
        <w:t xml:space="preserve">אביי </w:t>
      </w:r>
      <w:r>
        <w:rPr>
          <w:rFonts w:hint="cs"/>
          <w:rtl/>
        </w:rPr>
        <w:t>אמאי לא ה</w:t>
      </w:r>
      <w:r w:rsidRPr="00F15D4A">
        <w:rPr>
          <w:rFonts w:hint="cs"/>
          <w:rtl/>
        </w:rPr>
        <w:t xml:space="preserve">סתפק </w:t>
      </w:r>
      <w:r>
        <w:rPr>
          <w:rFonts w:hint="cs"/>
          <w:rtl/>
        </w:rPr>
        <w:t xml:space="preserve">רב חנניא </w:t>
      </w:r>
      <w:r w:rsidRPr="00F15D4A">
        <w:rPr>
          <w:rFonts w:hint="cs"/>
          <w:rtl/>
        </w:rPr>
        <w:t xml:space="preserve">בחומת ירושלים, </w:t>
      </w:r>
      <w:r>
        <w:rPr>
          <w:rFonts w:hint="cs"/>
          <w:rtl/>
        </w:rPr>
        <w:t>דהרי</w:t>
      </w:r>
      <w:r w:rsidRPr="00F15D4A">
        <w:rPr>
          <w:rFonts w:hint="cs"/>
          <w:rtl/>
        </w:rPr>
        <w:t xml:space="preserve"> אף </w:t>
      </w:r>
      <w:r>
        <w:rPr>
          <w:rFonts w:hint="cs"/>
          <w:rtl/>
        </w:rPr>
        <w:t>אם יסתפק בחומת ירושלים, ונ</w:t>
      </w:r>
      <w:r w:rsidRPr="00F15D4A">
        <w:rPr>
          <w:rFonts w:hint="cs"/>
          <w:rtl/>
        </w:rPr>
        <w:t xml:space="preserve">ימא דחומת ירושלים אינה מחיצה, עדיין </w:t>
      </w:r>
      <w:r>
        <w:rPr>
          <w:rFonts w:hint="cs"/>
          <w:rtl/>
        </w:rPr>
        <w:t>י</w:t>
      </w:r>
      <w:r w:rsidRPr="00F15D4A">
        <w:rPr>
          <w:rFonts w:hint="cs"/>
          <w:rtl/>
        </w:rPr>
        <w:t xml:space="preserve">שאר ספק אי חומת העזרה הוי מחיצה, </w:t>
      </w:r>
      <w:r w:rsidRPr="00AE4482">
        <w:rPr>
          <w:rStyle w:val="afb"/>
          <w:rFonts w:hint="cs"/>
          <w:rtl/>
        </w:rPr>
        <w:t xml:space="preserve">[דהא כתבו </w:t>
      </w:r>
      <w:r w:rsidRPr="00AE4482">
        <w:rPr>
          <w:rStyle w:val="affa"/>
          <w:rFonts w:hint="cs"/>
          <w:rtl/>
        </w:rPr>
        <w:t xml:space="preserve">התוס' </w:t>
      </w:r>
      <w:r w:rsidRPr="009D3433">
        <w:rPr>
          <w:rStyle w:val="aff6"/>
          <w:rFonts w:hint="cs"/>
          <w:rtl/>
        </w:rPr>
        <w:t xml:space="preserve">(עי' אות </w:t>
      </w:r>
      <w:r w:rsidRPr="009D3433">
        <w:rPr>
          <w:rStyle w:val="aff6"/>
          <w:rtl/>
        </w:rPr>
        <w:fldChar w:fldCharType="begin"/>
      </w:r>
      <w:r w:rsidRPr="009D3433">
        <w:rPr>
          <w:rStyle w:val="aff6"/>
          <w:rtl/>
        </w:rPr>
        <w:instrText xml:space="preserve"> </w:instrText>
      </w:r>
      <w:r w:rsidRPr="009D3433">
        <w:rPr>
          <w:rStyle w:val="aff6"/>
          <w:rFonts w:hint="cs"/>
        </w:rPr>
        <w:instrText>REF</w:instrText>
      </w:r>
      <w:r w:rsidRPr="009D3433">
        <w:rPr>
          <w:rStyle w:val="aff6"/>
          <w:rFonts w:hint="cs"/>
          <w:rtl/>
        </w:rPr>
        <w:instrText xml:space="preserve"> _</w:instrText>
      </w:r>
      <w:r w:rsidRPr="009D3433">
        <w:rPr>
          <w:rStyle w:val="aff6"/>
          <w:rFonts w:hint="cs"/>
        </w:rPr>
        <w:instrText>Ref536475412 \r \h</w:instrText>
      </w:r>
      <w:r w:rsidRPr="009D3433">
        <w:rPr>
          <w:rStyle w:val="aff6"/>
          <w:rtl/>
        </w:rPr>
        <w:instrText xml:space="preserve"> </w:instrText>
      </w:r>
      <w:r w:rsidRPr="009D3433">
        <w:rPr>
          <w:rStyle w:val="aff6"/>
          <w:rtl/>
        </w:rPr>
      </w:r>
      <w:r w:rsidRPr="009D3433">
        <w:rPr>
          <w:rStyle w:val="aff6"/>
          <w:rtl/>
        </w:rPr>
        <w:fldChar w:fldCharType="separate"/>
      </w:r>
      <w:r w:rsidR="00345400">
        <w:rPr>
          <w:rStyle w:val="aff6"/>
          <w:cs/>
        </w:rPr>
        <w:t>‎</w:t>
      </w:r>
      <w:r w:rsidR="00345400">
        <w:rPr>
          <w:rStyle w:val="aff6"/>
          <w:rtl/>
        </w:rPr>
        <w:t>צט)</w:t>
      </w:r>
      <w:r w:rsidRPr="009D3433">
        <w:rPr>
          <w:rStyle w:val="aff6"/>
          <w:rtl/>
        </w:rPr>
        <w:fldChar w:fldCharType="end"/>
      </w:r>
      <w:r w:rsidRPr="00AE4482">
        <w:rPr>
          <w:rStyle w:val="afb"/>
          <w:rFonts w:hint="cs"/>
          <w:rtl/>
        </w:rPr>
        <w:t xml:space="preserve"> דחומת העזרה עדיפא מחומת ירושלים אף לקדשים קלים],</w:t>
      </w:r>
      <w:r>
        <w:rPr>
          <w:rFonts w:hint="cs"/>
          <w:rtl/>
        </w:rPr>
        <w:t xml:space="preserve"> אבל אחר הספק של רב חנניא בחומת</w:t>
      </w:r>
      <w:r w:rsidRPr="00231158">
        <w:rPr>
          <w:rFonts w:hint="cs"/>
          <w:rtl/>
        </w:rPr>
        <w:t xml:space="preserve"> </w:t>
      </w:r>
      <w:r>
        <w:rPr>
          <w:rFonts w:hint="cs"/>
          <w:rtl/>
        </w:rPr>
        <w:t>העזרה, אין כל צורך להסתפק בחומת ירושלים, דממנפ"ש אי חומת העזרה הוי מחיצה וחומת ירושלים אינה מחיצה, א"כ מהני חזרה לחומת העזרה, כיון שהוא מקום שחיטת קדשים, והוי כמו חזרת האבר לרחם דמהני למ"ד אין לידה לאברים, ואי חומת העזרה אינה מחיצה, כ"ש דחומת ירושלים אינה מחיצה.</w:t>
      </w:r>
    </w:p>
    <w:p w14:paraId="036622DB" w14:textId="77777777" w:rsidR="003D504D" w:rsidRDefault="003D504D" w:rsidP="003D504D">
      <w:pPr>
        <w:pStyle w:val="a3"/>
        <w:rPr>
          <w:rtl/>
        </w:rPr>
      </w:pPr>
      <w:bookmarkStart w:id="17772" w:name="_Toc536564303"/>
      <w:bookmarkStart w:id="17773" w:name="_Toc536564458"/>
      <w:bookmarkStart w:id="17774" w:name="_Toc536616990"/>
      <w:bookmarkStart w:id="17775" w:name="_Toc19391298"/>
      <w:bookmarkStart w:id="17776" w:name="_Toc19394795"/>
      <w:r>
        <w:rPr>
          <w:rFonts w:hint="cs"/>
          <w:rtl/>
        </w:rPr>
        <w:t>ביאור הראש יוסף דלרב מבוארת קושית אביי דסגי בספק בחומת ירושלים וא"צ להסתפק בעזרה</w:t>
      </w:r>
      <w:bookmarkEnd w:id="17772"/>
      <w:bookmarkEnd w:id="17773"/>
      <w:bookmarkEnd w:id="17774"/>
      <w:bookmarkEnd w:id="17775"/>
      <w:bookmarkEnd w:id="17776"/>
    </w:p>
    <w:p w14:paraId="0053D406" w14:textId="77777777" w:rsidR="003D504D" w:rsidRPr="004C6386" w:rsidRDefault="003D504D" w:rsidP="00223668">
      <w:pPr>
        <w:pStyle w:val="a0"/>
        <w:rPr>
          <w:rtl/>
        </w:rPr>
      </w:pPr>
      <w:r>
        <w:rPr>
          <w:rFonts w:hint="cs"/>
          <w:rtl/>
        </w:rPr>
        <w:t xml:space="preserve">וכתב </w:t>
      </w:r>
      <w:r w:rsidRPr="00AE4482">
        <w:rPr>
          <w:rStyle w:val="af9"/>
          <w:rFonts w:hint="cs"/>
          <w:rtl/>
        </w:rPr>
        <w:t>הראש יוסף</w:t>
      </w:r>
      <w:r>
        <w:rPr>
          <w:rFonts w:hint="cs"/>
          <w:rtl/>
        </w:rPr>
        <w:t xml:space="preserve"> דזו כוונת </w:t>
      </w:r>
      <w:r w:rsidRPr="00AE4482">
        <w:rPr>
          <w:rStyle w:val="af9"/>
          <w:rFonts w:hint="cs"/>
          <w:rtl/>
        </w:rPr>
        <w:t>המהרש"א</w:t>
      </w:r>
      <w:r>
        <w:rPr>
          <w:rFonts w:hint="cs"/>
          <w:rtl/>
        </w:rPr>
        <w:t xml:space="preserve"> לבאר דלכן הוצרך </w:t>
      </w:r>
      <w:r w:rsidRPr="00AE4482">
        <w:rPr>
          <w:rStyle w:val="af9"/>
          <w:rFonts w:hint="cs"/>
          <w:rtl/>
        </w:rPr>
        <w:t>רש"י</w:t>
      </w:r>
      <w:r>
        <w:rPr>
          <w:rFonts w:hint="cs"/>
          <w:rtl/>
        </w:rPr>
        <w:t xml:space="preserve"> לפרש דהספק הוא למ"ד דיש לידה לאברים, ובזה הקשה אביי דאף לאחר הספק של רב חנניא בחומת העזרה, עדיין יש ספק בחומת ירושלים, דכיון דהספק הוא בהוציא את האבר בתוך חומת ירושלים, והכניסו את הבהמה לעזרה, דחשיב חזרה לתוך המחיצה, א"כ אי חומת ירושלים אינה מחיצה, ודאי דלא מהני שיחזירו לחומת העזרה. </w:t>
      </w:r>
      <w:r w:rsidRPr="00AE4482">
        <w:rPr>
          <w:rStyle w:val="afb"/>
          <w:rFonts w:hint="cs"/>
          <w:rtl/>
        </w:rPr>
        <w:t>[דהא למ"ד יש לידה לאברים, כיון שיצא האבר חוץ למחיצת אמו, ומחיצת ירושלים לא מהני ליה, א"כ לא מהני חזרה למחיצת העזרה כמו דלא מהני חזרה למחיצת אמו].</w:t>
      </w:r>
    </w:p>
    <w:p w14:paraId="2AF9A0F4" w14:textId="77777777" w:rsidR="003D504D" w:rsidRDefault="003D504D" w:rsidP="00BF39B2">
      <w:pPr>
        <w:pStyle w:val="1"/>
        <w:rPr>
          <w:rtl/>
        </w:rPr>
      </w:pPr>
      <w:bookmarkStart w:id="17777" w:name="_Toc536466303"/>
      <w:bookmarkStart w:id="17778" w:name="_Toc536540465"/>
      <w:bookmarkStart w:id="17779" w:name="_Toc536564304"/>
      <w:bookmarkStart w:id="17780" w:name="_Toc536564459"/>
      <w:bookmarkStart w:id="17781" w:name="_Toc536616991"/>
      <w:bookmarkStart w:id="17782" w:name="_Toc19391299"/>
      <w:bookmarkStart w:id="17783" w:name="_Toc19394796"/>
      <w:r>
        <w:rPr>
          <w:rFonts w:hint="cs"/>
          <w:rtl/>
        </w:rPr>
        <w:t>ביאור המהר"ם בב' הספיקות לדעת רש"י</w:t>
      </w:r>
      <w:bookmarkEnd w:id="17753"/>
      <w:bookmarkEnd w:id="17777"/>
      <w:bookmarkEnd w:id="17778"/>
      <w:bookmarkEnd w:id="17779"/>
      <w:bookmarkEnd w:id="17780"/>
      <w:bookmarkEnd w:id="17781"/>
      <w:bookmarkEnd w:id="17782"/>
      <w:bookmarkEnd w:id="17783"/>
    </w:p>
    <w:p w14:paraId="45A08204" w14:textId="77777777" w:rsidR="003D504D" w:rsidRPr="00C75909" w:rsidRDefault="003D504D" w:rsidP="003D504D">
      <w:pPr>
        <w:pStyle w:val="a3"/>
        <w:rPr>
          <w:rtl/>
        </w:rPr>
      </w:pPr>
      <w:bookmarkStart w:id="17784" w:name="_Toc536616992"/>
      <w:bookmarkStart w:id="17785" w:name="_Toc19391300"/>
      <w:bookmarkStart w:id="17786" w:name="_Toc19394797"/>
      <w:r>
        <w:rPr>
          <w:rFonts w:hint="cs"/>
          <w:rtl/>
        </w:rPr>
        <w:t>קושית המהר"ם אמאי לא ביאר רש"י את הספק השני בלא החזירו ואף למ"ד דאין לידה לאברים</w:t>
      </w:r>
      <w:bookmarkEnd w:id="17784"/>
      <w:bookmarkEnd w:id="17785"/>
      <w:bookmarkEnd w:id="17786"/>
    </w:p>
    <w:p w14:paraId="39A89F5B" w14:textId="77777777" w:rsidR="003D504D" w:rsidRDefault="003D504D" w:rsidP="00223668">
      <w:pPr>
        <w:pStyle w:val="a0"/>
        <w:rPr>
          <w:rtl/>
        </w:rPr>
      </w:pPr>
      <w:bookmarkStart w:id="17787" w:name="_Ref536478069"/>
      <w:r>
        <w:rPr>
          <w:rFonts w:hint="cs"/>
          <w:rtl/>
        </w:rPr>
        <w:t xml:space="preserve">בהא דכתב </w:t>
      </w:r>
      <w:r w:rsidRPr="00214C16">
        <w:rPr>
          <w:rStyle w:val="af9"/>
          <w:rFonts w:hint="cs"/>
          <w:rtl/>
        </w:rPr>
        <w:t>רש"י</w:t>
      </w:r>
      <w:r>
        <w:rPr>
          <w:rFonts w:hint="cs"/>
          <w:rtl/>
        </w:rPr>
        <w:t xml:space="preserve"> </w:t>
      </w:r>
      <w:r w:rsidRPr="00D136B3">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Ref536436707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פג)</w:t>
      </w:r>
      <w:r>
        <w:rPr>
          <w:rStyle w:val="af7"/>
          <w:rFonts w:eastAsia="Guttman Hodes"/>
          <w:rtl/>
        </w:rPr>
        <w:fldChar w:fldCharType="end"/>
      </w:r>
      <w:r w:rsidRPr="00D136B3">
        <w:rPr>
          <w:rStyle w:val="af7"/>
          <w:rFonts w:eastAsia="Guttman Hodes" w:hint="cs"/>
          <w:rtl/>
        </w:rPr>
        <w:t xml:space="preserve"> </w:t>
      </w:r>
      <w:r>
        <w:rPr>
          <w:rFonts w:hint="cs"/>
          <w:rtl/>
        </w:rPr>
        <w:t xml:space="preserve">דאיירי שהחזיר את האבר והספק הוא למ"ד דיש לידה לאברים, דחזרתו אינה מתירתו, הקשה </w:t>
      </w:r>
      <w:r w:rsidRPr="00DF14E1">
        <w:rPr>
          <w:rStyle w:val="af9"/>
          <w:rFonts w:hint="cs"/>
          <w:rtl/>
        </w:rPr>
        <w:t>המהר"ם</w:t>
      </w:r>
      <w:r>
        <w:rPr>
          <w:rFonts w:hint="cs"/>
          <w:rtl/>
        </w:rPr>
        <w:t xml:space="preserve"> </w:t>
      </w:r>
      <w:r w:rsidRPr="00DF14E1">
        <w:rPr>
          <w:rStyle w:val="af7"/>
          <w:rFonts w:eastAsia="Guttman Hodes" w:hint="cs"/>
          <w:rtl/>
        </w:rPr>
        <w:t>(סט. על רש"י ד"ה ותבעי)</w:t>
      </w:r>
      <w:r>
        <w:rPr>
          <w:rFonts w:hint="cs"/>
          <w:rtl/>
        </w:rPr>
        <w:t xml:space="preserve"> דאמאי לא ביאר </w:t>
      </w:r>
      <w:r w:rsidRPr="00DF14E1">
        <w:rPr>
          <w:rStyle w:val="af9"/>
          <w:rFonts w:hint="cs"/>
          <w:rtl/>
        </w:rPr>
        <w:t>רש"י</w:t>
      </w:r>
      <w:r>
        <w:rPr>
          <w:rFonts w:hint="cs"/>
          <w:rtl/>
        </w:rPr>
        <w:t xml:space="preserve"> דלא החזיר את האבר והכניסו את הבהמה לעזרה, והספק הוא לכו"ע, אי חומת ירושלים מהני להחשיבו שלא יצא חוץ למחיצתו.</w:t>
      </w:r>
      <w:bookmarkEnd w:id="17787"/>
    </w:p>
    <w:p w14:paraId="14F63FFA" w14:textId="77777777" w:rsidR="003D504D" w:rsidRDefault="003D504D" w:rsidP="003D504D">
      <w:pPr>
        <w:pStyle w:val="a3"/>
        <w:rPr>
          <w:rtl/>
        </w:rPr>
      </w:pPr>
      <w:bookmarkStart w:id="17788" w:name="_Toc536616993"/>
      <w:bookmarkStart w:id="17789" w:name="_Toc19391301"/>
      <w:bookmarkStart w:id="17790" w:name="_Toc19394798"/>
      <w:r>
        <w:rPr>
          <w:rFonts w:hint="cs"/>
          <w:rtl/>
        </w:rPr>
        <w:t>דברי המהר"ם דחומת העזרה מהני אף להיתר בהמה בבהמה ולא רק לאיסור יוצא</w:t>
      </w:r>
      <w:bookmarkEnd w:id="17788"/>
      <w:bookmarkEnd w:id="17789"/>
      <w:bookmarkEnd w:id="17790"/>
    </w:p>
    <w:p w14:paraId="46010C19" w14:textId="77777777" w:rsidR="003D504D" w:rsidRDefault="003D504D" w:rsidP="00223668">
      <w:pPr>
        <w:pStyle w:val="a0"/>
        <w:rPr>
          <w:rtl/>
        </w:rPr>
      </w:pPr>
      <w:bookmarkStart w:id="17791" w:name="_Ref536461750"/>
      <w:r>
        <w:rPr>
          <w:rFonts w:hint="cs"/>
          <w:rtl/>
        </w:rPr>
        <w:t xml:space="preserve">והביא </w:t>
      </w:r>
      <w:r w:rsidRPr="00DF14E1">
        <w:rPr>
          <w:rStyle w:val="af9"/>
          <w:rFonts w:hint="cs"/>
          <w:rtl/>
        </w:rPr>
        <w:t>המהר"ם</w:t>
      </w:r>
      <w:r>
        <w:rPr>
          <w:rFonts w:hint="cs"/>
          <w:rtl/>
        </w:rPr>
        <w:t xml:space="preserve"> דבספק הראשון של רב חנניא בהוציא אבר בעזרה, ביאר </w:t>
      </w:r>
      <w:r w:rsidRPr="00DF14E1">
        <w:rPr>
          <w:rStyle w:val="af9"/>
          <w:rFonts w:hint="cs"/>
          <w:rtl/>
        </w:rPr>
        <w:t>רש"י</w:t>
      </w:r>
      <w:r>
        <w:rPr>
          <w:rFonts w:hint="cs"/>
          <w:rtl/>
        </w:rPr>
        <w:t xml:space="preserve"> </w:t>
      </w:r>
      <w:r w:rsidRPr="00DF14E1">
        <w:rPr>
          <w:rStyle w:val="af7"/>
          <w:rFonts w:eastAsia="Guttman Hodes" w:hint="cs"/>
          <w:rtl/>
        </w:rPr>
        <w:t xml:space="preserve">(עי' אות </w:t>
      </w:r>
      <w:r w:rsidRPr="00DF14E1">
        <w:rPr>
          <w:rStyle w:val="af7"/>
          <w:rFonts w:eastAsia="Guttman Hodes"/>
          <w:rtl/>
        </w:rPr>
        <w:fldChar w:fldCharType="begin"/>
      </w:r>
      <w:r w:rsidRPr="00DF14E1">
        <w:rPr>
          <w:rStyle w:val="af7"/>
          <w:rFonts w:eastAsia="Guttman Hodes"/>
          <w:rtl/>
        </w:rPr>
        <w:instrText xml:space="preserve"> </w:instrText>
      </w:r>
      <w:r w:rsidRPr="00DF14E1">
        <w:rPr>
          <w:rStyle w:val="af7"/>
          <w:rFonts w:eastAsia="Guttman Hodes" w:hint="cs"/>
        </w:rPr>
        <w:instrText>REF</w:instrText>
      </w:r>
      <w:r w:rsidRPr="00DF14E1">
        <w:rPr>
          <w:rStyle w:val="af7"/>
          <w:rFonts w:eastAsia="Guttman Hodes" w:hint="cs"/>
          <w:rtl/>
        </w:rPr>
        <w:instrText xml:space="preserve"> _</w:instrText>
      </w:r>
      <w:r w:rsidRPr="00DF14E1">
        <w:rPr>
          <w:rStyle w:val="af7"/>
          <w:rFonts w:eastAsia="Guttman Hodes" w:hint="cs"/>
        </w:rPr>
        <w:instrText>Ref536375467 \r \h</w:instrText>
      </w:r>
      <w:r w:rsidRPr="00DF14E1">
        <w:rPr>
          <w:rStyle w:val="af7"/>
          <w:rFonts w:eastAsia="Guttman Hodes"/>
          <w:rtl/>
        </w:rPr>
        <w:instrText xml:space="preserve"> </w:instrText>
      </w:r>
      <w:r w:rsidRPr="00DF14E1">
        <w:rPr>
          <w:rStyle w:val="af7"/>
          <w:rFonts w:eastAsia="Guttman Hodes"/>
          <w:rtl/>
        </w:rPr>
      </w:r>
      <w:r w:rsidRPr="00DF14E1">
        <w:rPr>
          <w:rStyle w:val="af7"/>
          <w:rFonts w:eastAsia="Guttman Hodes"/>
          <w:rtl/>
        </w:rPr>
        <w:fldChar w:fldCharType="separate"/>
      </w:r>
      <w:r w:rsidR="00345400">
        <w:rPr>
          <w:rStyle w:val="af7"/>
          <w:rFonts w:eastAsia="Guttman Hodes"/>
          <w:cs/>
        </w:rPr>
        <w:t>‎</w:t>
      </w:r>
      <w:r w:rsidR="00345400">
        <w:rPr>
          <w:rStyle w:val="af7"/>
          <w:rFonts w:eastAsia="Guttman Hodes"/>
          <w:rtl/>
        </w:rPr>
        <w:t>עט)</w:t>
      </w:r>
      <w:r w:rsidRPr="00DF14E1">
        <w:rPr>
          <w:rStyle w:val="af7"/>
          <w:rFonts w:eastAsia="Guttman Hodes"/>
          <w:rtl/>
        </w:rPr>
        <w:fldChar w:fldCharType="end"/>
      </w:r>
      <w:r>
        <w:rPr>
          <w:rFonts w:hint="cs"/>
          <w:rtl/>
        </w:rPr>
        <w:t xml:space="preserve"> דהספק הוא האם מהני חומת העזרה להחשיבה כמחיצה בכדי להתירו בשחיטת אמו, וכתב </w:t>
      </w:r>
      <w:r w:rsidRPr="00DF14E1">
        <w:rPr>
          <w:rStyle w:val="af9"/>
          <w:rFonts w:hint="cs"/>
          <w:rtl/>
        </w:rPr>
        <w:t>המהר"ם</w:t>
      </w:r>
      <w:r>
        <w:rPr>
          <w:rFonts w:hint="cs"/>
          <w:rtl/>
        </w:rPr>
        <w:t xml:space="preserve"> דכוונת </w:t>
      </w:r>
      <w:r w:rsidRPr="00DF14E1">
        <w:rPr>
          <w:rStyle w:val="af9"/>
          <w:rFonts w:hint="cs"/>
          <w:rtl/>
        </w:rPr>
        <w:t>רש"י</w:t>
      </w:r>
      <w:r>
        <w:rPr>
          <w:rFonts w:hint="cs"/>
          <w:rtl/>
        </w:rPr>
        <w:t xml:space="preserve"> בזה לומר דהספק של רב חנניא הוא דחומת העזרה תועיל דלא רק שלא יהיה בו איסור "בשר בשדה טריפה" אלא הוא יהיה בכלל היתר "בהמה בבהמה", ותועיל לו שחיטת אמו.</w:t>
      </w:r>
      <w:bookmarkEnd w:id="17791"/>
    </w:p>
    <w:p w14:paraId="3139F05A" w14:textId="77777777" w:rsidR="003D504D" w:rsidRPr="00B52ACF" w:rsidRDefault="003D504D" w:rsidP="003D504D">
      <w:pPr>
        <w:pStyle w:val="a3"/>
        <w:rPr>
          <w:rtl/>
        </w:rPr>
      </w:pPr>
      <w:bookmarkStart w:id="17792" w:name="_Toc536616994"/>
      <w:bookmarkStart w:id="17793" w:name="_Toc19391302"/>
      <w:bookmarkStart w:id="17794" w:name="_Toc19394799"/>
      <w:r>
        <w:rPr>
          <w:rFonts w:hint="cs"/>
          <w:rtl/>
        </w:rPr>
        <w:t>דברי המהר"ם דחומת ירושלים מהני ליוצא ולא להיתר שחיטה ולכן הספק רק בהחזיר</w:t>
      </w:r>
      <w:bookmarkEnd w:id="17792"/>
      <w:bookmarkEnd w:id="17793"/>
      <w:bookmarkEnd w:id="17794"/>
    </w:p>
    <w:p w14:paraId="16C67B4C" w14:textId="77777777" w:rsidR="003D504D" w:rsidRDefault="003D504D" w:rsidP="00223668">
      <w:pPr>
        <w:pStyle w:val="a0"/>
        <w:rPr>
          <w:rtl/>
        </w:rPr>
      </w:pPr>
      <w:r>
        <w:rPr>
          <w:rFonts w:hint="cs"/>
          <w:rtl/>
        </w:rPr>
        <w:t xml:space="preserve">אבל בספק השני כתב </w:t>
      </w:r>
      <w:r w:rsidRPr="00DF14E1">
        <w:rPr>
          <w:rStyle w:val="af9"/>
          <w:rFonts w:hint="cs"/>
          <w:rtl/>
        </w:rPr>
        <w:t>המהר"ם</w:t>
      </w:r>
      <w:r>
        <w:rPr>
          <w:rFonts w:hint="cs"/>
          <w:rtl/>
        </w:rPr>
        <w:t xml:space="preserve"> דחומת ירושלים לא מהני להיתר "בהמה בבהמה", דכיון שנשחטה בעזרה, א"כ חומת ירושלים אינה מחיצה להתירה בשחיטה, והספק השני הוא רק לענין איסור יוצא, ואי איירי בלא החזירו א"כ אף שלא נאסר באיסור יוצא, מ"מ אין לו היתר בשחיטה, וא"כ בספק השני עדיין נשאר הספק הראשון אי מהני חומת העזרה להתירו בשחיטת אמו, וא"כ קשה מה הקשה אביי לרב חנניא, וביאר </w:t>
      </w:r>
      <w:r w:rsidRPr="00DF14E1">
        <w:rPr>
          <w:rStyle w:val="af9"/>
          <w:rFonts w:hint="cs"/>
          <w:rtl/>
        </w:rPr>
        <w:t>המהר"ם</w:t>
      </w:r>
      <w:r>
        <w:rPr>
          <w:rFonts w:hint="cs"/>
          <w:rtl/>
        </w:rPr>
        <w:t xml:space="preserve"> דלכן ביאר </w:t>
      </w:r>
      <w:r w:rsidRPr="003B5FE0">
        <w:rPr>
          <w:rStyle w:val="af9"/>
          <w:rFonts w:hint="cs"/>
          <w:rtl/>
        </w:rPr>
        <w:t>רש"י</w:t>
      </w:r>
      <w:r>
        <w:rPr>
          <w:rFonts w:hint="cs"/>
          <w:rtl/>
        </w:rPr>
        <w:t xml:space="preserve"> דאיירי בחזיר את האבר שיש בו היתר שחיטה, והספק הוא למ"ד דיש לידה לאברים, דחזרתו אינה מתירתו, והספק הוא אי מהני לו חומת ירושלים שלא יאסר באיסור יוצא, ולכו"ע תועיל חזרת האבר להתירו.</w:t>
      </w:r>
    </w:p>
    <w:p w14:paraId="5774DAD7" w14:textId="77777777" w:rsidR="003D504D" w:rsidRDefault="003D504D" w:rsidP="003D504D">
      <w:pPr>
        <w:pStyle w:val="a3"/>
        <w:rPr>
          <w:rtl/>
        </w:rPr>
      </w:pPr>
      <w:bookmarkStart w:id="17795" w:name="_Toc536616995"/>
      <w:bookmarkStart w:id="17796" w:name="_Toc19391303"/>
      <w:bookmarkStart w:id="17797" w:name="_Toc19394800"/>
      <w:r>
        <w:rPr>
          <w:rFonts w:hint="cs"/>
          <w:rtl/>
        </w:rPr>
        <w:t>ביאור הראש יוסף דחומת ירושלים היא מחיצה רק לאכילת קדשים ולכן מהני רק לאיסור יוצא</w:t>
      </w:r>
      <w:bookmarkEnd w:id="17795"/>
      <w:bookmarkEnd w:id="17796"/>
      <w:bookmarkEnd w:id="17797"/>
    </w:p>
    <w:p w14:paraId="38FC47D7" w14:textId="77777777" w:rsidR="003D504D" w:rsidRDefault="003D504D" w:rsidP="00223668">
      <w:pPr>
        <w:pStyle w:val="a0"/>
        <w:rPr>
          <w:rtl/>
        </w:rPr>
      </w:pPr>
      <w:bookmarkStart w:id="17798" w:name="_Toc536466304"/>
      <w:r w:rsidRPr="00136B2E">
        <w:rPr>
          <w:rStyle w:val="af9"/>
          <w:rFonts w:hint="cs"/>
          <w:rtl/>
        </w:rPr>
        <w:t>ובראש יוסף</w:t>
      </w:r>
      <w:r>
        <w:rPr>
          <w:rFonts w:hint="cs"/>
          <w:rtl/>
        </w:rPr>
        <w:t xml:space="preserve"> </w:t>
      </w:r>
      <w:r w:rsidRPr="00136B2E">
        <w:rPr>
          <w:rStyle w:val="af7"/>
          <w:rFonts w:eastAsia="Guttman Hodes" w:hint="cs"/>
          <w:rtl/>
        </w:rPr>
        <w:t xml:space="preserve">(סט. ד"ה ושמעתי) </w:t>
      </w:r>
      <w:r>
        <w:rPr>
          <w:rFonts w:hint="cs"/>
          <w:rtl/>
        </w:rPr>
        <w:t xml:space="preserve">הביא ביאור בדברי </w:t>
      </w:r>
      <w:r w:rsidRPr="00136B2E">
        <w:rPr>
          <w:rStyle w:val="af9"/>
          <w:rFonts w:hint="cs"/>
          <w:rtl/>
        </w:rPr>
        <w:t>המהר"ם</w:t>
      </w:r>
      <w:r>
        <w:rPr>
          <w:rFonts w:hint="cs"/>
          <w:rtl/>
        </w:rPr>
        <w:t xml:space="preserve"> דכיון דחומת ירושלים מהני רק לאיסור יוצא ולא להיתר שחיטה, לכן אם לא החזירו נשאר הספק הראשון בחומת העזרה, דאף אי מהני חומת ירושלים, מ"מ הוא כמקום חתך שאין בו איסור יוצא, אך אין בו היתר שחיטה, וביאר </w:t>
      </w:r>
      <w:r w:rsidRPr="00136B2E">
        <w:rPr>
          <w:rStyle w:val="af9"/>
          <w:rFonts w:hint="cs"/>
          <w:rtl/>
        </w:rPr>
        <w:t>הראש יוסף</w:t>
      </w:r>
      <w:r>
        <w:rPr>
          <w:rFonts w:hint="cs"/>
          <w:rtl/>
        </w:rPr>
        <w:t xml:space="preserve"> דחומת העזרה הוי מחיצה לענין שחיטת האם ולכן מהני שיחשב כשחיטה כשרה לולד, אבל חומת ירושלים דהיא מחיצה לענין אכילת קדשים, מהני רק לענין שלא יהיה בו איסור יוצא.</w:t>
      </w:r>
    </w:p>
    <w:p w14:paraId="415CE5DC" w14:textId="77777777" w:rsidR="003D504D" w:rsidRDefault="003D504D" w:rsidP="003D504D">
      <w:pPr>
        <w:pStyle w:val="a3"/>
        <w:rPr>
          <w:rtl/>
        </w:rPr>
      </w:pPr>
      <w:bookmarkStart w:id="17799" w:name="_Toc536616996"/>
      <w:bookmarkStart w:id="17800" w:name="_Toc19391304"/>
      <w:bookmarkStart w:id="17801" w:name="_Toc19394801"/>
      <w:bookmarkStart w:id="17802" w:name="_Toc536540466"/>
      <w:bookmarkStart w:id="17803" w:name="_Toc536564305"/>
      <w:bookmarkStart w:id="17804" w:name="_Toc536564460"/>
      <w:r>
        <w:rPr>
          <w:rFonts w:hint="cs"/>
          <w:rtl/>
        </w:rPr>
        <w:t>קושית המהדו"ב על המהר"ם דאפש"ל דפשיטא לרב חנניא דחומת ירושלים לא מהני לאיסור יוצא</w:t>
      </w:r>
      <w:bookmarkEnd w:id="17799"/>
      <w:bookmarkEnd w:id="17800"/>
      <w:bookmarkEnd w:id="17801"/>
    </w:p>
    <w:p w14:paraId="23EB1233" w14:textId="77777777" w:rsidR="003D504D" w:rsidRDefault="003D504D" w:rsidP="00223668">
      <w:pPr>
        <w:pStyle w:val="a0"/>
        <w:rPr>
          <w:rtl/>
        </w:rPr>
      </w:pPr>
      <w:r>
        <w:rPr>
          <w:rFonts w:hint="cs"/>
          <w:rtl/>
        </w:rPr>
        <w:t>וכתב</w:t>
      </w:r>
      <w:r w:rsidRPr="00990422">
        <w:rPr>
          <w:rStyle w:val="af9"/>
          <w:rFonts w:hint="cs"/>
          <w:rtl/>
        </w:rPr>
        <w:t xml:space="preserve"> </w:t>
      </w:r>
      <w:r>
        <w:rPr>
          <w:rStyle w:val="af9"/>
          <w:rFonts w:hint="cs"/>
          <w:rtl/>
        </w:rPr>
        <w:t>ה</w:t>
      </w:r>
      <w:r w:rsidRPr="00990422">
        <w:rPr>
          <w:rStyle w:val="af9"/>
          <w:rFonts w:hint="cs"/>
          <w:rtl/>
        </w:rPr>
        <w:t>מהדו"ב</w:t>
      </w:r>
      <w:r w:rsidRPr="004945CD">
        <w:rPr>
          <w:rStyle w:val="af7"/>
          <w:rFonts w:eastAsia="Guttman Hodes" w:hint="cs"/>
          <w:rtl/>
        </w:rPr>
        <w:t xml:space="preserve"> (סט. על רש"י ד"ה ותיבעי) </w:t>
      </w:r>
      <w:r>
        <w:rPr>
          <w:rFonts w:hint="cs"/>
          <w:rtl/>
        </w:rPr>
        <w:t xml:space="preserve">דעיקר כוונת </w:t>
      </w:r>
      <w:r w:rsidRPr="00990422">
        <w:rPr>
          <w:rStyle w:val="af9"/>
          <w:rFonts w:hint="cs"/>
          <w:rtl/>
        </w:rPr>
        <w:t>המהר"ם</w:t>
      </w:r>
      <w:r>
        <w:rPr>
          <w:rFonts w:hint="cs"/>
          <w:rtl/>
        </w:rPr>
        <w:t xml:space="preserve"> </w:t>
      </w:r>
      <w:r w:rsidRPr="004945CD">
        <w:rPr>
          <w:rStyle w:val="af7"/>
          <w:rFonts w:eastAsia="Guttman Hodes" w:hint="cs"/>
          <w:rtl/>
        </w:rPr>
        <w:t xml:space="preserve">(עי' אות </w:t>
      </w:r>
      <w:r w:rsidRPr="004945CD">
        <w:rPr>
          <w:rStyle w:val="af7"/>
          <w:rFonts w:eastAsia="Guttman Hodes"/>
          <w:rtl/>
        </w:rPr>
        <w:fldChar w:fldCharType="begin"/>
      </w:r>
      <w:r w:rsidRPr="004945CD">
        <w:rPr>
          <w:rStyle w:val="af7"/>
          <w:rFonts w:eastAsia="Guttman Hodes"/>
          <w:rtl/>
        </w:rPr>
        <w:instrText xml:space="preserve"> </w:instrText>
      </w:r>
      <w:r w:rsidRPr="004945CD">
        <w:rPr>
          <w:rStyle w:val="af7"/>
          <w:rFonts w:eastAsia="Guttman Hodes" w:hint="cs"/>
        </w:rPr>
        <w:instrText>REF</w:instrText>
      </w:r>
      <w:r w:rsidRPr="004945CD">
        <w:rPr>
          <w:rStyle w:val="af7"/>
          <w:rFonts w:eastAsia="Guttman Hodes" w:hint="cs"/>
          <w:rtl/>
        </w:rPr>
        <w:instrText xml:space="preserve"> _</w:instrText>
      </w:r>
      <w:r w:rsidRPr="004945CD">
        <w:rPr>
          <w:rStyle w:val="af7"/>
          <w:rFonts w:eastAsia="Guttman Hodes" w:hint="cs"/>
        </w:rPr>
        <w:instrText>Ref536461750 \r \h</w:instrText>
      </w:r>
      <w:r w:rsidRPr="004945CD">
        <w:rPr>
          <w:rStyle w:val="af7"/>
          <w:rFonts w:eastAsia="Guttman Hodes"/>
          <w:rtl/>
        </w:rPr>
        <w:instrText xml:space="preserve"> </w:instrText>
      </w:r>
      <w:r w:rsidRPr="004945CD">
        <w:rPr>
          <w:rStyle w:val="af7"/>
          <w:rFonts w:eastAsia="Guttman Hodes"/>
          <w:rtl/>
        </w:rPr>
      </w:r>
      <w:r w:rsidRPr="004945CD">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4945CD">
        <w:rPr>
          <w:rStyle w:val="af7"/>
          <w:rFonts w:eastAsia="Guttman Hodes"/>
          <w:rtl/>
        </w:rPr>
        <w:fldChar w:fldCharType="end"/>
      </w:r>
      <w:r>
        <w:rPr>
          <w:rFonts w:hint="cs"/>
          <w:rtl/>
        </w:rPr>
        <w:t xml:space="preserve"> לומר דהספק הראשון אי מהני חומת העזרה, הוא להתיר אף כשלא החזיר את האבר, ובספק השני אי מהני חומת ירושלים, א"א לפרש דאיירי בלא החזיר, אלא הספק הוא בההחזיר אי מהני להתיר את איסור יוצא, והקשה </w:t>
      </w:r>
      <w:r w:rsidRPr="00B5462B">
        <w:rPr>
          <w:rStyle w:val="af9"/>
          <w:rFonts w:hint="cs"/>
          <w:rtl/>
        </w:rPr>
        <w:t>המהדו"ב</w:t>
      </w:r>
      <w:r>
        <w:rPr>
          <w:rFonts w:hint="cs"/>
          <w:rtl/>
        </w:rPr>
        <w:t xml:space="preserve"> על </w:t>
      </w:r>
      <w:r w:rsidRPr="00990422">
        <w:rPr>
          <w:rStyle w:val="af9"/>
          <w:rFonts w:hint="cs"/>
          <w:rtl/>
        </w:rPr>
        <w:t>המהר"ם</w:t>
      </w:r>
      <w:r>
        <w:rPr>
          <w:rFonts w:hint="cs"/>
          <w:rtl/>
        </w:rPr>
        <w:t xml:space="preserve"> דא"כ מה הקשה אביי על רב חנניא דאמאי לא מבעיא ליה בחומת ירושלים, הא יתכן דפשיטא ליה לרב חנניא דלענין איסור יוצא לא מהני חומת ירושלים להתירו, ולכן הסתפק בחומת העזרה להתירו אף כשלא החזיר את האבר.</w:t>
      </w:r>
    </w:p>
    <w:p w14:paraId="0C25E9E0" w14:textId="77777777" w:rsidR="003D504D" w:rsidRDefault="003D504D" w:rsidP="00BF39B2">
      <w:pPr>
        <w:pStyle w:val="1"/>
        <w:rPr>
          <w:rtl/>
        </w:rPr>
      </w:pPr>
      <w:bookmarkStart w:id="17805" w:name="_Toc536466305"/>
      <w:bookmarkStart w:id="17806" w:name="_Toc536540467"/>
      <w:bookmarkStart w:id="17807" w:name="_Toc536564306"/>
      <w:bookmarkStart w:id="17808" w:name="_Toc536564461"/>
      <w:bookmarkStart w:id="17809" w:name="_Toc536616997"/>
      <w:bookmarkStart w:id="17810" w:name="_Toc19391305"/>
      <w:bookmarkStart w:id="17811" w:name="_Toc19394802"/>
      <w:bookmarkEnd w:id="17798"/>
      <w:bookmarkEnd w:id="17802"/>
      <w:bookmarkEnd w:id="17803"/>
      <w:bookmarkEnd w:id="17804"/>
      <w:r>
        <w:rPr>
          <w:rFonts w:hint="cs"/>
          <w:rtl/>
        </w:rPr>
        <w:t xml:space="preserve">ביאור המהדו"ב והרש"ש </w:t>
      </w:r>
      <w:bookmarkEnd w:id="17805"/>
      <w:bookmarkEnd w:id="17806"/>
      <w:r>
        <w:rPr>
          <w:rFonts w:hint="cs"/>
          <w:rtl/>
        </w:rPr>
        <w:t>דבלא החזיר פשיטא דהאבר אסור</w:t>
      </w:r>
      <w:bookmarkEnd w:id="17807"/>
      <w:bookmarkEnd w:id="17808"/>
      <w:bookmarkEnd w:id="17809"/>
      <w:bookmarkEnd w:id="17810"/>
      <w:bookmarkEnd w:id="17811"/>
    </w:p>
    <w:p w14:paraId="2589E475" w14:textId="77777777" w:rsidR="003D504D" w:rsidRDefault="003D504D" w:rsidP="003D504D">
      <w:pPr>
        <w:pStyle w:val="a3"/>
        <w:rPr>
          <w:rtl/>
        </w:rPr>
      </w:pPr>
      <w:bookmarkStart w:id="17812" w:name="_Toc536564307"/>
      <w:bookmarkStart w:id="17813" w:name="_Toc536564462"/>
      <w:bookmarkStart w:id="17814" w:name="_Toc536616998"/>
      <w:bookmarkStart w:id="17815" w:name="_Toc19391306"/>
      <w:bookmarkStart w:id="17816" w:name="_Toc19394803"/>
      <w:r>
        <w:rPr>
          <w:rFonts w:hint="cs"/>
          <w:rtl/>
        </w:rPr>
        <w:t>דברי המהדו"ב דבלא החזיר פשיטא דחומת העזרה לא מהני להתיר אף בספק הראשון</w:t>
      </w:r>
      <w:bookmarkEnd w:id="17812"/>
      <w:bookmarkEnd w:id="17813"/>
      <w:bookmarkEnd w:id="17814"/>
      <w:bookmarkEnd w:id="17815"/>
      <w:bookmarkEnd w:id="17816"/>
      <w:r>
        <w:rPr>
          <w:rFonts w:hint="cs"/>
          <w:rtl/>
        </w:rPr>
        <w:t xml:space="preserve"> </w:t>
      </w:r>
    </w:p>
    <w:p w14:paraId="360E2B2E" w14:textId="77777777" w:rsidR="003D504D" w:rsidRPr="001B2FB8" w:rsidRDefault="003D504D" w:rsidP="00223668">
      <w:pPr>
        <w:pStyle w:val="a0"/>
        <w:rPr>
          <w:rtl/>
        </w:rPr>
      </w:pPr>
      <w:bookmarkStart w:id="17817" w:name="_Ref536461870"/>
      <w:r>
        <w:rPr>
          <w:rFonts w:hint="cs"/>
          <w:rtl/>
        </w:rPr>
        <w:t xml:space="preserve">אלא כתב </w:t>
      </w:r>
      <w:r w:rsidRPr="00990422">
        <w:rPr>
          <w:rStyle w:val="af9"/>
          <w:rFonts w:hint="cs"/>
          <w:rtl/>
        </w:rPr>
        <w:t>המהדו"ב</w:t>
      </w:r>
      <w:r>
        <w:rPr>
          <w:rFonts w:hint="cs"/>
          <w:rtl/>
        </w:rPr>
        <w:t xml:space="preserve"> </w:t>
      </w:r>
      <w:r w:rsidRPr="00990422">
        <w:rPr>
          <w:rStyle w:val="af7"/>
          <w:rFonts w:eastAsia="Guttman Hodes" w:hint="cs"/>
          <w:rtl/>
        </w:rPr>
        <w:t xml:space="preserve">(סט. על רש"י ד"ה ותיבעי) </w:t>
      </w:r>
      <w:r>
        <w:rPr>
          <w:rFonts w:hint="cs"/>
          <w:rtl/>
        </w:rPr>
        <w:t xml:space="preserve">דמוכח דבלא החזיר, אין כל צד דמהני מחיצת העזרה להתיר, ואף הספק הראשון הוא דוקא כשהחזיר את האבר, </w:t>
      </w:r>
      <w:r w:rsidRPr="00990422">
        <w:rPr>
          <w:rStyle w:val="afb"/>
          <w:rFonts w:hint="cs"/>
          <w:rtl/>
        </w:rPr>
        <w:t>[ולמ"ד דיש לידה לאברים, דהחזרה אינה מתירה, והספק אי מחיצת העזרה מהני להתיר],</w:t>
      </w:r>
      <w:r>
        <w:rPr>
          <w:rFonts w:hint="cs"/>
          <w:rtl/>
        </w:rPr>
        <w:t xml:space="preserve"> וכתב </w:t>
      </w:r>
      <w:r w:rsidRPr="00990422">
        <w:rPr>
          <w:rStyle w:val="af9"/>
          <w:rFonts w:hint="cs"/>
          <w:rtl/>
        </w:rPr>
        <w:t>המהדו"ב</w:t>
      </w:r>
      <w:r>
        <w:rPr>
          <w:rFonts w:hint="cs"/>
          <w:rtl/>
        </w:rPr>
        <w:t xml:space="preserve"> דמה </w:t>
      </w:r>
      <w:r w:rsidRPr="00990422">
        <w:rPr>
          <w:rStyle w:val="af9"/>
          <w:rFonts w:hint="cs"/>
          <w:rtl/>
        </w:rPr>
        <w:t>שרש"י</w:t>
      </w:r>
      <w:r>
        <w:rPr>
          <w:rFonts w:hint="cs"/>
          <w:rtl/>
        </w:rPr>
        <w:t xml:space="preserve"> </w:t>
      </w:r>
      <w:r w:rsidRPr="00990422">
        <w:rPr>
          <w:rStyle w:val="af7"/>
          <w:rFonts w:eastAsia="Guttman Hodes" w:hint="cs"/>
          <w:rtl/>
        </w:rPr>
        <w:t xml:space="preserve">(עי' אות </w:t>
      </w:r>
      <w:r w:rsidRPr="00990422">
        <w:rPr>
          <w:rStyle w:val="af7"/>
          <w:rFonts w:eastAsia="Guttman Hodes"/>
          <w:rtl/>
        </w:rPr>
        <w:fldChar w:fldCharType="begin"/>
      </w:r>
      <w:r w:rsidRPr="00990422">
        <w:rPr>
          <w:rStyle w:val="af7"/>
          <w:rFonts w:eastAsia="Guttman Hodes"/>
          <w:rtl/>
        </w:rPr>
        <w:instrText xml:space="preserve"> </w:instrText>
      </w:r>
      <w:r w:rsidRPr="00990422">
        <w:rPr>
          <w:rStyle w:val="af7"/>
          <w:rFonts w:eastAsia="Guttman Hodes" w:hint="cs"/>
        </w:rPr>
        <w:instrText>REF</w:instrText>
      </w:r>
      <w:r w:rsidRPr="00990422">
        <w:rPr>
          <w:rStyle w:val="af7"/>
          <w:rFonts w:eastAsia="Guttman Hodes" w:hint="cs"/>
          <w:rtl/>
        </w:rPr>
        <w:instrText xml:space="preserve"> _</w:instrText>
      </w:r>
      <w:r w:rsidRPr="00990422">
        <w:rPr>
          <w:rStyle w:val="af7"/>
          <w:rFonts w:eastAsia="Guttman Hodes" w:hint="cs"/>
        </w:rPr>
        <w:instrText>Ref536375467 \r \h</w:instrText>
      </w:r>
      <w:r w:rsidRPr="00990422">
        <w:rPr>
          <w:rStyle w:val="af7"/>
          <w:rFonts w:eastAsia="Guttman Hodes"/>
          <w:rtl/>
        </w:rPr>
        <w:instrText xml:space="preserve"> </w:instrText>
      </w:r>
      <w:r w:rsidRPr="00990422">
        <w:rPr>
          <w:rStyle w:val="af7"/>
          <w:rFonts w:eastAsia="Guttman Hodes"/>
          <w:rtl/>
        </w:rPr>
      </w:r>
      <w:r w:rsidRPr="00990422">
        <w:rPr>
          <w:rStyle w:val="af7"/>
          <w:rFonts w:eastAsia="Guttman Hodes"/>
          <w:rtl/>
        </w:rPr>
        <w:fldChar w:fldCharType="separate"/>
      </w:r>
      <w:r w:rsidR="00345400">
        <w:rPr>
          <w:rStyle w:val="af7"/>
          <w:rFonts w:eastAsia="Guttman Hodes"/>
          <w:cs/>
        </w:rPr>
        <w:t>‎</w:t>
      </w:r>
      <w:r w:rsidR="00345400">
        <w:rPr>
          <w:rStyle w:val="af7"/>
          <w:rFonts w:eastAsia="Guttman Hodes"/>
          <w:rtl/>
        </w:rPr>
        <w:t>עט)</w:t>
      </w:r>
      <w:r w:rsidRPr="00990422">
        <w:rPr>
          <w:rStyle w:val="af7"/>
          <w:rFonts w:eastAsia="Guttman Hodes"/>
          <w:rtl/>
        </w:rPr>
        <w:fldChar w:fldCharType="end"/>
      </w:r>
      <w:r w:rsidRPr="00990422">
        <w:rPr>
          <w:rStyle w:val="af7"/>
          <w:rFonts w:eastAsia="Guttman Hodes" w:hint="cs"/>
          <w:rtl/>
        </w:rPr>
        <w:t xml:space="preserve"> </w:t>
      </w:r>
      <w:r>
        <w:rPr>
          <w:rFonts w:hint="cs"/>
          <w:rtl/>
        </w:rPr>
        <w:t xml:space="preserve">לא ביאר כן בספק הראשון </w:t>
      </w:r>
      <w:r w:rsidRPr="001B2FB8">
        <w:rPr>
          <w:rFonts w:hint="cs"/>
          <w:rtl/>
        </w:rPr>
        <w:t xml:space="preserve">בחומת העזרה, הוא כיון דסמך </w:t>
      </w:r>
      <w:r w:rsidRPr="001B2FB8">
        <w:rPr>
          <w:rStyle w:val="af9"/>
          <w:rFonts w:hint="cs"/>
          <w:rtl/>
        </w:rPr>
        <w:t>רש"י</w:t>
      </w:r>
      <w:r w:rsidRPr="001B2FB8">
        <w:rPr>
          <w:rFonts w:hint="cs"/>
          <w:rtl/>
        </w:rPr>
        <w:t xml:space="preserve"> על דבריו </w:t>
      </w:r>
      <w:r w:rsidRPr="001B2FB8">
        <w:rPr>
          <w:rStyle w:val="af7"/>
          <w:rFonts w:eastAsia="Guttman Hodes" w:hint="cs"/>
          <w:rtl/>
        </w:rPr>
        <w:t xml:space="preserve">(עי' אות </w:t>
      </w:r>
      <w:r w:rsidRPr="001B2FB8">
        <w:rPr>
          <w:rStyle w:val="af7"/>
          <w:rFonts w:eastAsia="Guttman Hodes"/>
          <w:rtl/>
        </w:rPr>
        <w:fldChar w:fldCharType="begin"/>
      </w:r>
      <w:r w:rsidRPr="001B2FB8">
        <w:rPr>
          <w:rStyle w:val="af7"/>
          <w:rFonts w:eastAsia="Guttman Hodes"/>
          <w:rtl/>
        </w:rPr>
        <w:instrText xml:space="preserve"> </w:instrText>
      </w:r>
      <w:r w:rsidRPr="001B2FB8">
        <w:rPr>
          <w:rStyle w:val="af7"/>
          <w:rFonts w:eastAsia="Guttman Hodes" w:hint="cs"/>
        </w:rPr>
        <w:instrText>REF</w:instrText>
      </w:r>
      <w:r w:rsidRPr="001B2FB8">
        <w:rPr>
          <w:rStyle w:val="af7"/>
          <w:rFonts w:eastAsia="Guttman Hodes" w:hint="cs"/>
          <w:rtl/>
        </w:rPr>
        <w:instrText xml:space="preserve"> _</w:instrText>
      </w:r>
      <w:r w:rsidRPr="001B2FB8">
        <w:rPr>
          <w:rStyle w:val="af7"/>
          <w:rFonts w:eastAsia="Guttman Hodes" w:hint="cs"/>
        </w:rPr>
        <w:instrText>Ref536436707 \r \h</w:instrText>
      </w:r>
      <w:r w:rsidRPr="001B2FB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1B2FB8">
        <w:rPr>
          <w:rStyle w:val="af7"/>
          <w:rFonts w:eastAsia="Guttman Hodes"/>
          <w:rtl/>
        </w:rPr>
      </w:r>
      <w:r w:rsidRPr="001B2FB8">
        <w:rPr>
          <w:rStyle w:val="af7"/>
          <w:rFonts w:eastAsia="Guttman Hodes"/>
          <w:rtl/>
        </w:rPr>
        <w:fldChar w:fldCharType="separate"/>
      </w:r>
      <w:r w:rsidR="00345400">
        <w:rPr>
          <w:rStyle w:val="af7"/>
          <w:rFonts w:eastAsia="Guttman Hodes"/>
          <w:cs/>
        </w:rPr>
        <w:t>‎</w:t>
      </w:r>
      <w:r w:rsidR="00345400">
        <w:rPr>
          <w:rStyle w:val="af7"/>
          <w:rFonts w:eastAsia="Guttman Hodes"/>
          <w:rtl/>
        </w:rPr>
        <w:t>פג)</w:t>
      </w:r>
      <w:r w:rsidRPr="001B2FB8">
        <w:rPr>
          <w:rStyle w:val="af7"/>
          <w:rFonts w:eastAsia="Guttman Hodes"/>
          <w:rtl/>
        </w:rPr>
        <w:fldChar w:fldCharType="end"/>
      </w:r>
      <w:r w:rsidRPr="001B2FB8">
        <w:rPr>
          <w:rStyle w:val="af7"/>
          <w:rFonts w:eastAsia="Guttman Hodes" w:hint="cs"/>
          <w:rtl/>
        </w:rPr>
        <w:t xml:space="preserve"> </w:t>
      </w:r>
      <w:r w:rsidRPr="001B2FB8">
        <w:rPr>
          <w:rFonts w:hint="cs"/>
          <w:rtl/>
        </w:rPr>
        <w:t>בספק השני בחומת ירושלים.</w:t>
      </w:r>
      <w:bookmarkEnd w:id="17817"/>
      <w:r w:rsidRPr="001B2FB8">
        <w:rPr>
          <w:rFonts w:hint="cs"/>
          <w:rtl/>
        </w:rPr>
        <w:t xml:space="preserve"> </w:t>
      </w:r>
    </w:p>
    <w:p w14:paraId="589B52E9" w14:textId="77777777" w:rsidR="003D504D" w:rsidRPr="001B2FB8" w:rsidRDefault="003D504D" w:rsidP="003D504D">
      <w:pPr>
        <w:pStyle w:val="a3"/>
        <w:rPr>
          <w:rtl/>
        </w:rPr>
      </w:pPr>
      <w:bookmarkStart w:id="17818" w:name="_Toc536564308"/>
      <w:bookmarkStart w:id="17819" w:name="_Toc536564463"/>
      <w:bookmarkStart w:id="17820" w:name="_Toc536616999"/>
      <w:bookmarkStart w:id="17821" w:name="_Toc19391307"/>
      <w:bookmarkStart w:id="17822" w:name="_Toc19394804"/>
      <w:r w:rsidRPr="001B2FB8">
        <w:rPr>
          <w:rFonts w:hint="cs"/>
          <w:rtl/>
        </w:rPr>
        <w:t xml:space="preserve">ביאור הרש"ש </w:t>
      </w:r>
      <w:r>
        <w:rPr>
          <w:rFonts w:hint="cs"/>
          <w:rtl/>
        </w:rPr>
        <w:t>דמחיצת העזרה לא מהני בלא החזיר דאינו בכלל היתר שחיטה</w:t>
      </w:r>
      <w:bookmarkEnd w:id="17818"/>
      <w:bookmarkEnd w:id="17819"/>
      <w:bookmarkEnd w:id="17820"/>
      <w:bookmarkEnd w:id="17821"/>
      <w:bookmarkEnd w:id="17822"/>
    </w:p>
    <w:p w14:paraId="59C88E42" w14:textId="77777777" w:rsidR="003D504D" w:rsidRDefault="003D504D" w:rsidP="00223668">
      <w:pPr>
        <w:pStyle w:val="a0"/>
        <w:rPr>
          <w:rtl/>
        </w:rPr>
      </w:pPr>
      <w:bookmarkStart w:id="17823" w:name="_Ref536466077"/>
      <w:bookmarkStart w:id="17824" w:name="_Ref536611974"/>
      <w:r>
        <w:rPr>
          <w:rFonts w:hint="cs"/>
          <w:rtl/>
        </w:rPr>
        <w:t>וכ"כ</w:t>
      </w:r>
      <w:r w:rsidRPr="001B2FB8">
        <w:rPr>
          <w:rFonts w:hint="cs"/>
          <w:rtl/>
        </w:rPr>
        <w:t xml:space="preserve"> </w:t>
      </w:r>
      <w:r w:rsidRPr="001B2FB8">
        <w:rPr>
          <w:rStyle w:val="af9"/>
          <w:rFonts w:hint="cs"/>
          <w:rtl/>
        </w:rPr>
        <w:t xml:space="preserve">הרש"ש </w:t>
      </w:r>
      <w:r w:rsidRPr="001B2FB8">
        <w:rPr>
          <w:rStyle w:val="af7"/>
          <w:rFonts w:eastAsia="Guttman Hodes" w:hint="cs"/>
          <w:rtl/>
        </w:rPr>
        <w:t>(סח. ד"ה ה"נ)</w:t>
      </w:r>
      <w:r w:rsidRPr="001B2FB8">
        <w:rPr>
          <w:rFonts w:hint="cs"/>
          <w:rtl/>
        </w:rPr>
        <w:t xml:space="preserve"> </w:t>
      </w:r>
      <w:r w:rsidRPr="001B2FB8">
        <w:rPr>
          <w:rStyle w:val="af9"/>
          <w:rFonts w:hint="cs"/>
          <w:rtl/>
        </w:rPr>
        <w:t xml:space="preserve">דהמהרש"א </w:t>
      </w:r>
      <w:r w:rsidRPr="001B2FB8">
        <w:rPr>
          <w:rStyle w:val="af7"/>
          <w:rFonts w:eastAsia="Guttman Hodes" w:hint="cs"/>
          <w:rtl/>
        </w:rPr>
        <w:t xml:space="preserve">(עי' אות </w:t>
      </w:r>
      <w:r w:rsidRPr="001B2FB8">
        <w:rPr>
          <w:rStyle w:val="af7"/>
          <w:rFonts w:eastAsia="Guttman Hodes"/>
          <w:rtl/>
        </w:rPr>
        <w:fldChar w:fldCharType="begin"/>
      </w:r>
      <w:r w:rsidRPr="001B2FB8">
        <w:rPr>
          <w:rStyle w:val="af7"/>
          <w:rFonts w:eastAsia="Guttman Hodes"/>
          <w:rtl/>
        </w:rPr>
        <w:instrText xml:space="preserve"> </w:instrText>
      </w:r>
      <w:r w:rsidRPr="001B2FB8">
        <w:rPr>
          <w:rStyle w:val="af7"/>
          <w:rFonts w:eastAsia="Guttman Hodes" w:hint="cs"/>
        </w:rPr>
        <w:instrText>REF</w:instrText>
      </w:r>
      <w:r w:rsidRPr="001B2FB8">
        <w:rPr>
          <w:rStyle w:val="af7"/>
          <w:rFonts w:eastAsia="Guttman Hodes" w:hint="cs"/>
          <w:rtl/>
        </w:rPr>
        <w:instrText xml:space="preserve"> _</w:instrText>
      </w:r>
      <w:r w:rsidRPr="001B2FB8">
        <w:rPr>
          <w:rStyle w:val="af7"/>
          <w:rFonts w:eastAsia="Guttman Hodes" w:hint="cs"/>
        </w:rPr>
        <w:instrText>Ref536461915 \r \h</w:instrText>
      </w:r>
      <w:r w:rsidRPr="001B2FB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1B2FB8">
        <w:rPr>
          <w:rStyle w:val="af7"/>
          <w:rFonts w:eastAsia="Guttman Hodes"/>
          <w:rtl/>
        </w:rPr>
      </w:r>
      <w:r w:rsidRPr="001B2FB8">
        <w:rPr>
          <w:rStyle w:val="af7"/>
          <w:rFonts w:eastAsia="Guttman Hodes"/>
          <w:rtl/>
        </w:rPr>
        <w:fldChar w:fldCharType="separate"/>
      </w:r>
      <w:r w:rsidR="00345400">
        <w:rPr>
          <w:rStyle w:val="af7"/>
          <w:rFonts w:eastAsia="Guttman Hodes"/>
          <w:cs/>
        </w:rPr>
        <w:t>‎</w:t>
      </w:r>
      <w:r w:rsidR="00345400">
        <w:rPr>
          <w:rStyle w:val="af7"/>
          <w:rFonts w:eastAsia="Guttman Hodes"/>
          <w:rtl/>
        </w:rPr>
        <w:t>פז)</w:t>
      </w:r>
      <w:r w:rsidRPr="001B2FB8">
        <w:rPr>
          <w:rStyle w:val="af7"/>
          <w:rFonts w:eastAsia="Guttman Hodes"/>
          <w:rtl/>
        </w:rPr>
        <w:fldChar w:fldCharType="end"/>
      </w:r>
      <w:r w:rsidRPr="001B2FB8">
        <w:rPr>
          <w:rFonts w:hint="cs"/>
          <w:rtl/>
        </w:rPr>
        <w:t xml:space="preserve"> </w:t>
      </w:r>
      <w:r w:rsidRPr="001B2FB8">
        <w:rPr>
          <w:rStyle w:val="af9"/>
          <w:rFonts w:hint="cs"/>
          <w:rtl/>
        </w:rPr>
        <w:t xml:space="preserve">והמהר"ם </w:t>
      </w:r>
      <w:r w:rsidRPr="001B2FB8">
        <w:rPr>
          <w:rStyle w:val="af7"/>
          <w:rFonts w:eastAsia="Guttman Hodes" w:hint="cs"/>
          <w:rtl/>
        </w:rPr>
        <w:t xml:space="preserve">(עי' אות </w:t>
      </w:r>
      <w:r w:rsidRPr="001B2FB8">
        <w:rPr>
          <w:rStyle w:val="af7"/>
          <w:rFonts w:eastAsia="Guttman Hodes"/>
          <w:rtl/>
        </w:rPr>
        <w:fldChar w:fldCharType="begin"/>
      </w:r>
      <w:r w:rsidRPr="001B2FB8">
        <w:rPr>
          <w:rStyle w:val="af7"/>
          <w:rFonts w:eastAsia="Guttman Hodes"/>
          <w:rtl/>
        </w:rPr>
        <w:instrText xml:space="preserve"> </w:instrText>
      </w:r>
      <w:r w:rsidRPr="001B2FB8">
        <w:rPr>
          <w:rStyle w:val="af7"/>
          <w:rFonts w:eastAsia="Guttman Hodes" w:hint="cs"/>
        </w:rPr>
        <w:instrText>REF</w:instrText>
      </w:r>
      <w:r w:rsidRPr="001B2FB8">
        <w:rPr>
          <w:rStyle w:val="af7"/>
          <w:rFonts w:eastAsia="Guttman Hodes" w:hint="cs"/>
          <w:rtl/>
        </w:rPr>
        <w:instrText xml:space="preserve"> _</w:instrText>
      </w:r>
      <w:r w:rsidRPr="001B2FB8">
        <w:rPr>
          <w:rStyle w:val="af7"/>
          <w:rFonts w:eastAsia="Guttman Hodes" w:hint="cs"/>
        </w:rPr>
        <w:instrText>Ref536461750 \r \h</w:instrText>
      </w:r>
      <w:r w:rsidRPr="001B2FB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1B2FB8">
        <w:rPr>
          <w:rStyle w:val="af7"/>
          <w:rFonts w:eastAsia="Guttman Hodes"/>
          <w:rtl/>
        </w:rPr>
      </w:r>
      <w:r w:rsidRPr="001B2FB8">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1B2FB8">
        <w:rPr>
          <w:rStyle w:val="af7"/>
          <w:rFonts w:eastAsia="Guttman Hodes"/>
          <w:rtl/>
        </w:rPr>
        <w:fldChar w:fldCharType="end"/>
      </w:r>
      <w:r w:rsidRPr="001B2FB8">
        <w:rPr>
          <w:rFonts w:hint="cs"/>
          <w:rtl/>
        </w:rPr>
        <w:t xml:space="preserve"> נדחקו בביאור דברי </w:t>
      </w:r>
      <w:r w:rsidRPr="001B2FB8">
        <w:rPr>
          <w:rStyle w:val="af9"/>
          <w:rFonts w:hint="cs"/>
          <w:rtl/>
        </w:rPr>
        <w:t>רש"י</w:t>
      </w:r>
      <w:r w:rsidRPr="001B2FB8">
        <w:rPr>
          <w:rFonts w:hint="cs"/>
          <w:rtl/>
        </w:rPr>
        <w:t xml:space="preserve">, וביאר </w:t>
      </w:r>
      <w:r w:rsidRPr="001B2FB8">
        <w:rPr>
          <w:rStyle w:val="af9"/>
          <w:rFonts w:hint="cs"/>
          <w:rtl/>
        </w:rPr>
        <w:t xml:space="preserve">הרש"ש </w:t>
      </w:r>
      <w:r w:rsidRPr="001B2FB8">
        <w:rPr>
          <w:rFonts w:hint="cs"/>
          <w:rtl/>
        </w:rPr>
        <w:t xml:space="preserve">דהא דכתב </w:t>
      </w:r>
      <w:r w:rsidRPr="001B2FB8">
        <w:rPr>
          <w:rStyle w:val="af9"/>
          <w:rFonts w:hint="cs"/>
          <w:rtl/>
        </w:rPr>
        <w:t>רש"י</w:t>
      </w:r>
      <w:r w:rsidRPr="001B2FB8">
        <w:rPr>
          <w:rFonts w:hint="cs"/>
          <w:rtl/>
        </w:rPr>
        <w:t xml:space="preserve"> </w:t>
      </w:r>
      <w:r w:rsidRPr="001B2FB8">
        <w:rPr>
          <w:rStyle w:val="af7"/>
          <w:rFonts w:eastAsia="Guttman Hodes" w:hint="cs"/>
          <w:rtl/>
        </w:rPr>
        <w:t xml:space="preserve">(עי' אות </w:t>
      </w:r>
      <w:r w:rsidRPr="001B2FB8">
        <w:rPr>
          <w:rStyle w:val="af7"/>
          <w:rFonts w:eastAsia="Guttman Hodes"/>
          <w:rtl/>
        </w:rPr>
        <w:fldChar w:fldCharType="begin"/>
      </w:r>
      <w:r w:rsidRPr="001B2FB8">
        <w:rPr>
          <w:rStyle w:val="af7"/>
          <w:rFonts w:eastAsia="Guttman Hodes"/>
          <w:rtl/>
        </w:rPr>
        <w:instrText xml:space="preserve"> </w:instrText>
      </w:r>
      <w:r w:rsidRPr="001B2FB8">
        <w:rPr>
          <w:rStyle w:val="af7"/>
          <w:rFonts w:eastAsia="Guttman Hodes" w:hint="cs"/>
        </w:rPr>
        <w:instrText>REF</w:instrText>
      </w:r>
      <w:r w:rsidRPr="001B2FB8">
        <w:rPr>
          <w:rStyle w:val="af7"/>
          <w:rFonts w:eastAsia="Guttman Hodes" w:hint="cs"/>
          <w:rtl/>
        </w:rPr>
        <w:instrText xml:space="preserve"> _</w:instrText>
      </w:r>
      <w:r w:rsidRPr="001B2FB8">
        <w:rPr>
          <w:rStyle w:val="af7"/>
          <w:rFonts w:eastAsia="Guttman Hodes" w:hint="cs"/>
        </w:rPr>
        <w:instrText>Ref536436707 \r \h</w:instrText>
      </w:r>
      <w:r w:rsidRPr="001B2FB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1B2FB8">
        <w:rPr>
          <w:rStyle w:val="af7"/>
          <w:rFonts w:eastAsia="Guttman Hodes"/>
          <w:rtl/>
        </w:rPr>
      </w:r>
      <w:r w:rsidRPr="001B2FB8">
        <w:rPr>
          <w:rStyle w:val="af7"/>
          <w:rFonts w:eastAsia="Guttman Hodes"/>
          <w:rtl/>
        </w:rPr>
        <w:fldChar w:fldCharType="separate"/>
      </w:r>
      <w:r w:rsidR="00345400">
        <w:rPr>
          <w:rStyle w:val="af7"/>
          <w:rFonts w:eastAsia="Guttman Hodes"/>
          <w:cs/>
        </w:rPr>
        <w:t>‎</w:t>
      </w:r>
      <w:r w:rsidR="00345400">
        <w:rPr>
          <w:rStyle w:val="af7"/>
          <w:rFonts w:eastAsia="Guttman Hodes"/>
          <w:rtl/>
        </w:rPr>
        <w:t>פג)</w:t>
      </w:r>
      <w:r w:rsidRPr="001B2FB8">
        <w:rPr>
          <w:rStyle w:val="af7"/>
          <w:rFonts w:eastAsia="Guttman Hodes"/>
          <w:rtl/>
        </w:rPr>
        <w:fldChar w:fldCharType="end"/>
      </w:r>
      <w:r w:rsidRPr="001B2FB8">
        <w:rPr>
          <w:rStyle w:val="af7"/>
          <w:rFonts w:eastAsia="Guttman Hodes" w:hint="cs"/>
          <w:rtl/>
        </w:rPr>
        <w:t xml:space="preserve"> </w:t>
      </w:r>
      <w:r w:rsidRPr="001B2FB8">
        <w:rPr>
          <w:rFonts w:hint="cs"/>
          <w:rtl/>
        </w:rPr>
        <w:t xml:space="preserve">דהספק הוא </w:t>
      </w:r>
      <w:r>
        <w:rPr>
          <w:rFonts w:hint="cs"/>
          <w:rtl/>
        </w:rPr>
        <w:t>בהחזיר ולמ"ד דיש לידה לאברים</w:t>
      </w:r>
      <w:r w:rsidRPr="001B2FB8">
        <w:rPr>
          <w:rFonts w:hint="cs"/>
          <w:rtl/>
        </w:rPr>
        <w:t xml:space="preserve">, הוא </w:t>
      </w:r>
      <w:r>
        <w:rPr>
          <w:rFonts w:hint="cs"/>
          <w:rtl/>
        </w:rPr>
        <w:t xml:space="preserve">דבלא החזיר </w:t>
      </w:r>
      <w:r w:rsidRPr="001B2FB8">
        <w:rPr>
          <w:rFonts w:hint="cs"/>
          <w:rtl/>
        </w:rPr>
        <w:t xml:space="preserve">פשיטא </w:t>
      </w:r>
      <w:r>
        <w:rPr>
          <w:rFonts w:hint="cs"/>
          <w:rtl/>
        </w:rPr>
        <w:t>ד</w:t>
      </w:r>
      <w:r w:rsidRPr="001B2FB8">
        <w:rPr>
          <w:rFonts w:hint="cs"/>
          <w:rtl/>
        </w:rPr>
        <w:t xml:space="preserve">לא מהני דמחיצת העזרה, דאינו בכלל היתר </w:t>
      </w:r>
      <w:r>
        <w:rPr>
          <w:rFonts w:hint="cs"/>
          <w:rtl/>
        </w:rPr>
        <w:t>שחיטה</w:t>
      </w:r>
      <w:r w:rsidRPr="001B2FB8">
        <w:rPr>
          <w:rFonts w:hint="cs"/>
          <w:rtl/>
        </w:rPr>
        <w:t>, ו</w:t>
      </w:r>
      <w:r>
        <w:rPr>
          <w:rFonts w:hint="cs"/>
          <w:rtl/>
        </w:rPr>
        <w:t xml:space="preserve">כל </w:t>
      </w:r>
      <w:r w:rsidRPr="001B2FB8">
        <w:rPr>
          <w:rFonts w:hint="cs"/>
          <w:rtl/>
        </w:rPr>
        <w:t>הצד דמחיצת העזרה מהני היא רק לאיסור "בשר בשדה טריפה", ולכן</w:t>
      </w:r>
      <w:r>
        <w:rPr>
          <w:rFonts w:hint="cs"/>
          <w:rtl/>
        </w:rPr>
        <w:t xml:space="preserve"> כתב </w:t>
      </w:r>
      <w:r w:rsidRPr="00214C16">
        <w:rPr>
          <w:rStyle w:val="af9"/>
          <w:rFonts w:hint="cs"/>
          <w:rtl/>
        </w:rPr>
        <w:t>רש"י</w:t>
      </w:r>
      <w:r>
        <w:rPr>
          <w:rFonts w:hint="cs"/>
          <w:rtl/>
        </w:rPr>
        <w:t xml:space="preserve"> </w:t>
      </w:r>
      <w:r w:rsidRPr="00D136B3">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Ref536436707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פג)</w:t>
      </w:r>
      <w:r>
        <w:rPr>
          <w:rStyle w:val="af7"/>
          <w:rFonts w:eastAsia="Guttman Hodes"/>
          <w:rtl/>
        </w:rPr>
        <w:fldChar w:fldCharType="end"/>
      </w:r>
      <w:r w:rsidRPr="00D136B3">
        <w:rPr>
          <w:rStyle w:val="af7"/>
          <w:rFonts w:eastAsia="Guttman Hodes" w:hint="cs"/>
          <w:rtl/>
        </w:rPr>
        <w:t xml:space="preserve"> </w:t>
      </w:r>
      <w:r>
        <w:rPr>
          <w:rFonts w:hint="cs"/>
          <w:rtl/>
        </w:rPr>
        <w:t>דאיירי</w:t>
      </w:r>
      <w:r w:rsidRPr="001B2FB8">
        <w:rPr>
          <w:rFonts w:hint="cs"/>
          <w:rtl/>
        </w:rPr>
        <w:t xml:space="preserve"> </w:t>
      </w:r>
      <w:r>
        <w:rPr>
          <w:rFonts w:hint="cs"/>
          <w:rtl/>
        </w:rPr>
        <w:t>בה</w:t>
      </w:r>
      <w:r w:rsidRPr="001B2FB8">
        <w:rPr>
          <w:rFonts w:hint="cs"/>
          <w:rtl/>
        </w:rPr>
        <w:t>החזיר את האבר דהוא בכלל היתר "בהמה בבהמה", ו</w:t>
      </w:r>
      <w:r>
        <w:rPr>
          <w:rFonts w:hint="cs"/>
          <w:rtl/>
        </w:rPr>
        <w:t xml:space="preserve">הספק </w:t>
      </w:r>
      <w:r w:rsidRPr="001B2FB8">
        <w:rPr>
          <w:rFonts w:hint="cs"/>
          <w:rtl/>
        </w:rPr>
        <w:t xml:space="preserve">למ"ד דיש לידה לאברים </w:t>
      </w:r>
      <w:r>
        <w:rPr>
          <w:rFonts w:hint="cs"/>
          <w:rtl/>
        </w:rPr>
        <w:t>אי מהני המחיצה להתירו מאיסור יוצא,</w:t>
      </w:r>
      <w:r w:rsidRPr="001B2FB8">
        <w:rPr>
          <w:rFonts w:hint="cs"/>
          <w:rtl/>
        </w:rPr>
        <w:t xml:space="preserve"> </w:t>
      </w:r>
      <w:r>
        <w:rPr>
          <w:rFonts w:hint="cs"/>
          <w:rtl/>
        </w:rPr>
        <w:t xml:space="preserve">ועי' במה שביאר </w:t>
      </w:r>
      <w:r w:rsidRPr="001B2FB8">
        <w:rPr>
          <w:rStyle w:val="af9"/>
          <w:rFonts w:hint="cs"/>
          <w:rtl/>
        </w:rPr>
        <w:t xml:space="preserve">האבי עזרי </w:t>
      </w:r>
      <w:r w:rsidRPr="001B2FB8">
        <w:rPr>
          <w:rStyle w:val="af7"/>
          <w:rFonts w:eastAsia="Guttman Hodes" w:hint="cs"/>
          <w:rtl/>
        </w:rPr>
        <w:t xml:space="preserve">(עי' אות </w:t>
      </w:r>
      <w:r w:rsidRPr="001B2FB8">
        <w:rPr>
          <w:rStyle w:val="af7"/>
          <w:rFonts w:eastAsia="Guttman Hodes"/>
          <w:rtl/>
        </w:rPr>
        <w:fldChar w:fldCharType="begin"/>
      </w:r>
      <w:r w:rsidRPr="001B2FB8">
        <w:rPr>
          <w:rStyle w:val="af7"/>
          <w:rFonts w:eastAsia="Guttman Hodes"/>
          <w:rtl/>
        </w:rPr>
        <w:instrText xml:space="preserve"> </w:instrText>
      </w:r>
      <w:r w:rsidRPr="001B2FB8">
        <w:rPr>
          <w:rStyle w:val="af7"/>
          <w:rFonts w:eastAsia="Guttman Hodes" w:hint="cs"/>
        </w:rPr>
        <w:instrText>REF</w:instrText>
      </w:r>
      <w:r w:rsidRPr="001B2FB8">
        <w:rPr>
          <w:rStyle w:val="af7"/>
          <w:rFonts w:eastAsia="Guttman Hodes" w:hint="cs"/>
          <w:rtl/>
        </w:rPr>
        <w:instrText xml:space="preserve"> _</w:instrText>
      </w:r>
      <w:r w:rsidRPr="001B2FB8">
        <w:rPr>
          <w:rStyle w:val="af7"/>
          <w:rFonts w:eastAsia="Guttman Hodes" w:hint="cs"/>
        </w:rPr>
        <w:instrText>Ref536564018 \r \h</w:instrText>
      </w:r>
      <w:r w:rsidRPr="001B2FB8">
        <w:rPr>
          <w:rStyle w:val="af7"/>
          <w:rFonts w:eastAsia="Guttman Hodes"/>
          <w:rtl/>
        </w:rPr>
        <w:instrText xml:space="preserve"> </w:instrText>
      </w:r>
      <w:r w:rsidRPr="001B2FB8">
        <w:rPr>
          <w:rStyle w:val="af7"/>
          <w:rFonts w:eastAsia="Guttman Hodes"/>
          <w:rtl/>
        </w:rPr>
      </w:r>
      <w:r w:rsidRPr="001B2FB8">
        <w:rPr>
          <w:rStyle w:val="af7"/>
          <w:rFonts w:eastAsia="Guttman Hodes"/>
          <w:rtl/>
        </w:rPr>
        <w:fldChar w:fldCharType="separate"/>
      </w:r>
      <w:r w:rsidR="00345400">
        <w:rPr>
          <w:rStyle w:val="af7"/>
          <w:rFonts w:eastAsia="Guttman Hodes"/>
          <w:cs/>
        </w:rPr>
        <w:t>‎</w:t>
      </w:r>
      <w:r w:rsidR="00345400">
        <w:rPr>
          <w:rStyle w:val="af7"/>
          <w:rFonts w:eastAsia="Guttman Hodes"/>
          <w:rtl/>
        </w:rPr>
        <w:t>קכח)</w:t>
      </w:r>
      <w:r w:rsidRPr="001B2FB8">
        <w:rPr>
          <w:rStyle w:val="af7"/>
          <w:rFonts w:eastAsia="Guttman Hodes"/>
          <w:rtl/>
        </w:rPr>
        <w:fldChar w:fldCharType="end"/>
      </w:r>
      <w:bookmarkEnd w:id="17823"/>
      <w:r>
        <w:rPr>
          <w:rFonts w:hint="cs"/>
          <w:rtl/>
        </w:rPr>
        <w:t>.</w:t>
      </w:r>
      <w:bookmarkEnd w:id="17824"/>
    </w:p>
    <w:p w14:paraId="7E065D1A" w14:textId="77777777" w:rsidR="003D504D" w:rsidRPr="001B2FB8" w:rsidRDefault="003D504D" w:rsidP="003D504D">
      <w:pPr>
        <w:pStyle w:val="a3"/>
        <w:rPr>
          <w:rtl/>
        </w:rPr>
      </w:pPr>
      <w:bookmarkStart w:id="17825" w:name="_Toc536564309"/>
      <w:bookmarkStart w:id="17826" w:name="_Toc536564464"/>
      <w:bookmarkStart w:id="17827" w:name="_Toc536617000"/>
      <w:bookmarkStart w:id="17828" w:name="_Toc19391308"/>
      <w:bookmarkStart w:id="17829" w:name="_Toc19394805"/>
      <w:r>
        <w:rPr>
          <w:rFonts w:hint="cs"/>
          <w:rtl/>
        </w:rPr>
        <w:t>ביאור הרש"ש דהצד דמחיצת העזרה מהני להתיר יוצא הוא כיון דאינו גלוי כשדה</w:t>
      </w:r>
      <w:bookmarkEnd w:id="17825"/>
      <w:bookmarkEnd w:id="17826"/>
      <w:bookmarkEnd w:id="17827"/>
      <w:bookmarkEnd w:id="17828"/>
      <w:bookmarkEnd w:id="17829"/>
    </w:p>
    <w:p w14:paraId="552EBA8F" w14:textId="77777777" w:rsidR="003D504D" w:rsidRDefault="003D504D" w:rsidP="00223668">
      <w:pPr>
        <w:pStyle w:val="a0"/>
        <w:rPr>
          <w:rtl/>
        </w:rPr>
      </w:pPr>
      <w:r>
        <w:rPr>
          <w:rFonts w:hint="cs"/>
          <w:rtl/>
        </w:rPr>
        <w:t xml:space="preserve">וביאר </w:t>
      </w:r>
      <w:r w:rsidRPr="00742548">
        <w:rPr>
          <w:rStyle w:val="af9"/>
          <w:rFonts w:hint="cs"/>
          <w:rtl/>
        </w:rPr>
        <w:t xml:space="preserve">הרש"ש </w:t>
      </w:r>
      <w:r>
        <w:rPr>
          <w:rFonts w:hint="cs"/>
          <w:rtl/>
        </w:rPr>
        <w:t>דהצד מחיצת העזרה מהני להתירו מאיסור "בשר בשדה טריפה", הוא כיון דאיסור "בשדה" הוא משמע שהוא גלוי, וזה הצד דמהני מחיצת העזרה שאינו נחשב כגלוי, ואינו כשדה.</w:t>
      </w:r>
    </w:p>
    <w:p w14:paraId="7CB7F38F" w14:textId="77777777" w:rsidR="003D504D" w:rsidRDefault="003D504D" w:rsidP="003D504D">
      <w:pPr>
        <w:pStyle w:val="a3"/>
        <w:rPr>
          <w:rtl/>
        </w:rPr>
      </w:pPr>
      <w:bookmarkStart w:id="17830" w:name="_Toc536564310"/>
      <w:bookmarkStart w:id="17831" w:name="_Toc536564465"/>
      <w:bookmarkStart w:id="17832" w:name="_Toc536617001"/>
      <w:bookmarkStart w:id="17833" w:name="_Toc19391309"/>
      <w:bookmarkStart w:id="17834" w:name="_Toc19394806"/>
      <w:r>
        <w:rPr>
          <w:rFonts w:hint="cs"/>
          <w:rtl/>
        </w:rPr>
        <w:t>דברי התוס' דבנולד כולו בעזרה פשיטא דלא מהני מחיצת העזרה להתירו כבן פקועה</w:t>
      </w:r>
      <w:bookmarkEnd w:id="17830"/>
      <w:bookmarkEnd w:id="17831"/>
      <w:bookmarkEnd w:id="17832"/>
      <w:bookmarkEnd w:id="17833"/>
      <w:bookmarkEnd w:id="17834"/>
    </w:p>
    <w:p w14:paraId="3807BF91" w14:textId="77777777" w:rsidR="003D504D" w:rsidRDefault="003D504D" w:rsidP="00223668">
      <w:pPr>
        <w:pStyle w:val="a0"/>
        <w:rPr>
          <w:rtl/>
        </w:rPr>
      </w:pPr>
      <w:bookmarkStart w:id="17835" w:name="_Ref536475412"/>
      <w:r>
        <w:rPr>
          <w:rFonts w:hint="cs"/>
          <w:rtl/>
        </w:rPr>
        <w:t xml:space="preserve">כתבו </w:t>
      </w:r>
      <w:r w:rsidRPr="00DF0EB7">
        <w:rPr>
          <w:rStyle w:val="af9"/>
          <w:rFonts w:hint="cs"/>
          <w:rtl/>
        </w:rPr>
        <w:t>התוס'</w:t>
      </w:r>
      <w:r>
        <w:rPr>
          <w:rFonts w:hint="cs"/>
          <w:rtl/>
        </w:rPr>
        <w:t xml:space="preserve"> </w:t>
      </w:r>
      <w:r w:rsidRPr="00DF0EB7">
        <w:rPr>
          <w:rStyle w:val="af7"/>
          <w:rFonts w:eastAsia="Guttman Hodes" w:hint="cs"/>
          <w:rtl/>
        </w:rPr>
        <w:t>(</w:t>
      </w:r>
      <w:r>
        <w:rPr>
          <w:rStyle w:val="af7"/>
          <w:rFonts w:eastAsia="Guttman Hodes" w:hint="cs"/>
          <w:rtl/>
        </w:rPr>
        <w:t xml:space="preserve">סט. </w:t>
      </w:r>
      <w:r w:rsidRPr="00DF0EB7">
        <w:rPr>
          <w:rStyle w:val="af7"/>
          <w:rFonts w:eastAsia="Guttman Hodes" w:hint="cs"/>
          <w:rtl/>
        </w:rPr>
        <w:t xml:space="preserve">ד"ה ותבעי) </w:t>
      </w:r>
      <w:r>
        <w:rPr>
          <w:rFonts w:hint="cs"/>
          <w:rtl/>
        </w:rPr>
        <w:t xml:space="preserve">דרב חנניא הסתפק בעזרה ולא בחומת ירושלים, כיון דס"ל דמחיצה העזרה יותר חשיבא מחיצה ממחיצת ירושלים, אף לענין קדשים קלים, אך כתבו </w:t>
      </w:r>
      <w:r w:rsidRPr="00DF0EB7">
        <w:rPr>
          <w:rStyle w:val="af9"/>
          <w:rFonts w:hint="cs"/>
          <w:rtl/>
        </w:rPr>
        <w:t>התוס'</w:t>
      </w:r>
      <w:r>
        <w:rPr>
          <w:rFonts w:hint="cs"/>
          <w:rtl/>
        </w:rPr>
        <w:t xml:space="preserve"> דכל הספק הוא רק לגבי האבר היוצא, אבל אם נולד כל הולד בעזרה, פשיטא דהוא טעון שחיטה ולא מהני מחיצת העזרה להתירו כבן פקועה, ועי' במה שביאר </w:t>
      </w:r>
      <w:r w:rsidRPr="00136B2E">
        <w:rPr>
          <w:rStyle w:val="af9"/>
          <w:rFonts w:hint="cs"/>
          <w:rtl/>
        </w:rPr>
        <w:t>בראש יוסף</w:t>
      </w:r>
      <w:r>
        <w:rPr>
          <w:rFonts w:hint="cs"/>
          <w:rtl/>
        </w:rPr>
        <w:t xml:space="preserve"> </w:t>
      </w:r>
      <w:r w:rsidRPr="00136B2E">
        <w:rPr>
          <w:rStyle w:val="af7"/>
          <w:rFonts w:eastAsia="Guttman Hodes" w:hint="cs"/>
          <w:rtl/>
        </w:rPr>
        <w:t xml:space="preserve">(סט. </w:t>
      </w:r>
      <w:r>
        <w:rPr>
          <w:rStyle w:val="af7"/>
          <w:rFonts w:eastAsia="Guttman Hodes" w:hint="cs"/>
          <w:rtl/>
        </w:rPr>
        <w:t>על תו</w:t>
      </w:r>
      <w:r w:rsidRPr="00136B2E">
        <w:rPr>
          <w:rStyle w:val="af7"/>
          <w:rFonts w:eastAsia="Guttman Hodes" w:hint="cs"/>
          <w:rtl/>
        </w:rPr>
        <w:t>ד"ה</w:t>
      </w:r>
      <w:r>
        <w:rPr>
          <w:rStyle w:val="af7"/>
          <w:rFonts w:eastAsia="Guttman Hodes" w:hint="cs"/>
          <w:rtl/>
        </w:rPr>
        <w:t xml:space="preserve"> ותיבע</w:t>
      </w:r>
      <w:r w:rsidRPr="00C57712">
        <w:rPr>
          <w:rStyle w:val="af7"/>
          <w:rFonts w:eastAsia="Guttman Hodes" w:hint="cs"/>
          <w:rtl/>
        </w:rPr>
        <w:t>י)</w:t>
      </w:r>
      <w:r>
        <w:rPr>
          <w:rStyle w:val="af7"/>
          <w:rFonts w:eastAsia="Guttman Hodes" w:hint="cs"/>
          <w:rtl/>
        </w:rPr>
        <w:t xml:space="preserve"> </w:t>
      </w:r>
      <w:r w:rsidRPr="00C57712">
        <w:rPr>
          <w:rFonts w:hint="cs"/>
          <w:rtl/>
        </w:rPr>
        <w:t xml:space="preserve">בדברי </w:t>
      </w:r>
      <w:r w:rsidRPr="00C57712">
        <w:rPr>
          <w:rStyle w:val="af9"/>
          <w:rFonts w:hint="cs"/>
          <w:rtl/>
        </w:rPr>
        <w:t>התוס'</w:t>
      </w:r>
      <w:r>
        <w:rPr>
          <w:rFonts w:hint="cs"/>
          <w:rtl/>
        </w:rPr>
        <w:t>.</w:t>
      </w:r>
      <w:bookmarkEnd w:id="17835"/>
    </w:p>
    <w:p w14:paraId="1C4CF904" w14:textId="77777777" w:rsidR="003D504D" w:rsidRPr="00B5462B" w:rsidRDefault="003D504D" w:rsidP="003D504D">
      <w:pPr>
        <w:pStyle w:val="a3"/>
        <w:rPr>
          <w:rtl/>
        </w:rPr>
      </w:pPr>
      <w:bookmarkStart w:id="17836" w:name="_Toc536564311"/>
      <w:bookmarkStart w:id="17837" w:name="_Toc536564466"/>
      <w:bookmarkStart w:id="17838" w:name="_Toc536617002"/>
      <w:bookmarkStart w:id="17839" w:name="_Toc19391310"/>
      <w:bookmarkStart w:id="17840" w:name="_Toc19394807"/>
      <w:r>
        <w:rPr>
          <w:rFonts w:hint="cs"/>
          <w:rtl/>
        </w:rPr>
        <w:t>ביאור המלא הרועים דהספק אי מהני מחיצת העזרה לאיסור יוצא ולא להיתר שחיטה</w:t>
      </w:r>
      <w:bookmarkEnd w:id="17836"/>
      <w:bookmarkEnd w:id="17837"/>
      <w:bookmarkEnd w:id="17838"/>
      <w:bookmarkEnd w:id="17839"/>
      <w:bookmarkEnd w:id="17840"/>
    </w:p>
    <w:p w14:paraId="4FF9D20A" w14:textId="77777777" w:rsidR="003D504D" w:rsidRDefault="003D504D" w:rsidP="00223668">
      <w:pPr>
        <w:pStyle w:val="a0"/>
        <w:rPr>
          <w:rtl/>
        </w:rPr>
      </w:pPr>
      <w:bookmarkStart w:id="17841" w:name="_Ref536465807"/>
      <w:r>
        <w:rPr>
          <w:rFonts w:hint="cs"/>
          <w:rtl/>
        </w:rPr>
        <w:t xml:space="preserve">וביאר </w:t>
      </w:r>
      <w:r w:rsidRPr="00B5462B">
        <w:rPr>
          <w:rStyle w:val="af9"/>
          <w:rFonts w:hint="cs"/>
          <w:rtl/>
        </w:rPr>
        <w:t>המלא הרועים</w:t>
      </w:r>
      <w:r>
        <w:rPr>
          <w:rFonts w:hint="cs"/>
          <w:rtl/>
        </w:rPr>
        <w:t xml:space="preserve"> </w:t>
      </w:r>
      <w:r w:rsidRPr="00B5462B">
        <w:rPr>
          <w:rStyle w:val="af7"/>
          <w:rFonts w:eastAsia="Guttman Hodes" w:hint="cs"/>
          <w:rtl/>
        </w:rPr>
        <w:t xml:space="preserve">(סט. על תוד"ה ותבעי) </w:t>
      </w:r>
      <w:r>
        <w:rPr>
          <w:rFonts w:hint="cs"/>
          <w:rtl/>
        </w:rPr>
        <w:t xml:space="preserve">את דברי </w:t>
      </w:r>
      <w:r w:rsidRPr="00B5462B">
        <w:rPr>
          <w:rStyle w:val="af9"/>
          <w:rFonts w:hint="cs"/>
          <w:rtl/>
        </w:rPr>
        <w:t xml:space="preserve">התוס' </w:t>
      </w:r>
      <w:r>
        <w:rPr>
          <w:rFonts w:hint="cs"/>
          <w:rtl/>
        </w:rPr>
        <w:t xml:space="preserve">דבנולד כולו בעזרה פשיטא דאינו מותר, כיון דבן פקועה מותר מדין היתר "בהמה בבהמה", אלא דבתוך מחיצת העזרה אינו נחשב "בשדה" ולכן מסתפקת הגמ' אי מהני להתירו מאיסור "בשר בשדה טריפה", אך כתב </w:t>
      </w:r>
      <w:r w:rsidRPr="00B5462B">
        <w:rPr>
          <w:rStyle w:val="af9"/>
          <w:rFonts w:hint="cs"/>
          <w:rtl/>
        </w:rPr>
        <w:t>המלא הרועים</w:t>
      </w:r>
      <w:r>
        <w:rPr>
          <w:rFonts w:hint="cs"/>
          <w:rtl/>
        </w:rPr>
        <w:t xml:space="preserve"> דלפי"ז גם הספק הראשון של רב חנניא הוא כשהחזיר את האבר, ועי' במה שביאר </w:t>
      </w:r>
      <w:r w:rsidRPr="00B5462B">
        <w:rPr>
          <w:rStyle w:val="af9"/>
          <w:rFonts w:hint="cs"/>
          <w:rtl/>
        </w:rPr>
        <w:t>המלא הרועים</w:t>
      </w:r>
      <w:r>
        <w:rPr>
          <w:rFonts w:hint="cs"/>
          <w:rtl/>
        </w:rPr>
        <w:t xml:space="preserve"> </w:t>
      </w:r>
      <w:r w:rsidRPr="00B5462B">
        <w:rPr>
          <w:rStyle w:val="af7"/>
          <w:rFonts w:eastAsia="Guttman Hodes" w:hint="cs"/>
          <w:rtl/>
        </w:rPr>
        <w:t xml:space="preserve">(עי' אות </w:t>
      </w:r>
      <w:r w:rsidRPr="00B5462B">
        <w:rPr>
          <w:rStyle w:val="af7"/>
          <w:rFonts w:eastAsia="Guttman Hodes"/>
          <w:rtl/>
        </w:rPr>
        <w:fldChar w:fldCharType="begin"/>
      </w:r>
      <w:r w:rsidRPr="00B5462B">
        <w:rPr>
          <w:rStyle w:val="af7"/>
          <w:rFonts w:eastAsia="Guttman Hodes"/>
          <w:rtl/>
        </w:rPr>
        <w:instrText xml:space="preserve"> </w:instrText>
      </w:r>
      <w:r w:rsidRPr="00B5462B">
        <w:rPr>
          <w:rStyle w:val="af7"/>
          <w:rFonts w:eastAsia="Guttman Hodes" w:hint="cs"/>
        </w:rPr>
        <w:instrText>REF</w:instrText>
      </w:r>
      <w:r w:rsidRPr="00B5462B">
        <w:rPr>
          <w:rStyle w:val="af7"/>
          <w:rFonts w:eastAsia="Guttman Hodes" w:hint="cs"/>
          <w:rtl/>
        </w:rPr>
        <w:instrText xml:space="preserve"> _</w:instrText>
      </w:r>
      <w:r w:rsidRPr="00B5462B">
        <w:rPr>
          <w:rStyle w:val="af7"/>
          <w:rFonts w:eastAsia="Guttman Hodes" w:hint="cs"/>
        </w:rPr>
        <w:instrText>Ref536465778 \r \h</w:instrText>
      </w:r>
      <w:r w:rsidRPr="00B5462B">
        <w:rPr>
          <w:rStyle w:val="af7"/>
          <w:rFonts w:eastAsia="Guttman Hodes"/>
          <w:rtl/>
        </w:rPr>
        <w:instrText xml:space="preserve"> </w:instrText>
      </w:r>
      <w:r w:rsidRPr="00B5462B">
        <w:rPr>
          <w:rStyle w:val="af7"/>
          <w:rFonts w:eastAsia="Guttman Hodes"/>
          <w:rtl/>
        </w:rPr>
      </w:r>
      <w:r w:rsidRPr="00B5462B">
        <w:rPr>
          <w:rStyle w:val="af7"/>
          <w:rFonts w:eastAsia="Guttman Hodes"/>
          <w:rtl/>
        </w:rPr>
        <w:fldChar w:fldCharType="separate"/>
      </w:r>
      <w:r w:rsidR="00345400">
        <w:rPr>
          <w:rStyle w:val="af7"/>
          <w:rFonts w:eastAsia="Guttman Hodes"/>
          <w:cs/>
        </w:rPr>
        <w:t>‎</w:t>
      </w:r>
      <w:r w:rsidR="00345400">
        <w:rPr>
          <w:rStyle w:val="af7"/>
          <w:rFonts w:eastAsia="Guttman Hodes"/>
          <w:rtl/>
        </w:rPr>
        <w:t>פא)</w:t>
      </w:r>
      <w:r w:rsidRPr="00B5462B">
        <w:rPr>
          <w:rStyle w:val="af7"/>
          <w:rFonts w:eastAsia="Guttman Hodes"/>
          <w:rtl/>
        </w:rPr>
        <w:fldChar w:fldCharType="end"/>
      </w:r>
      <w:r w:rsidRPr="00B5462B">
        <w:rPr>
          <w:rStyle w:val="af7"/>
          <w:rFonts w:eastAsia="Guttman Hodes" w:hint="cs"/>
          <w:rtl/>
        </w:rPr>
        <w:t xml:space="preserve"> </w:t>
      </w:r>
      <w:r>
        <w:rPr>
          <w:rFonts w:hint="cs"/>
          <w:rtl/>
        </w:rPr>
        <w:t xml:space="preserve">בדברי </w:t>
      </w:r>
      <w:r w:rsidRPr="00B5462B">
        <w:rPr>
          <w:rStyle w:val="af9"/>
          <w:rFonts w:hint="cs"/>
          <w:rtl/>
        </w:rPr>
        <w:t>רש"י</w:t>
      </w:r>
      <w:r>
        <w:rPr>
          <w:rFonts w:hint="cs"/>
          <w:rtl/>
        </w:rPr>
        <w:t>.</w:t>
      </w:r>
      <w:bookmarkEnd w:id="17841"/>
    </w:p>
    <w:p w14:paraId="3DFB9D54" w14:textId="77777777" w:rsidR="001E5930" w:rsidRPr="001E5930" w:rsidRDefault="001E5930" w:rsidP="001E5930">
      <w:pPr>
        <w:pStyle w:val="a3"/>
        <w:rPr>
          <w:rtl/>
        </w:rPr>
      </w:pPr>
    </w:p>
    <w:p w14:paraId="78CF753B" w14:textId="77777777" w:rsidR="003D504D" w:rsidRDefault="003D504D" w:rsidP="00BF39B2">
      <w:pPr>
        <w:pStyle w:val="1"/>
        <w:rPr>
          <w:rtl/>
        </w:rPr>
      </w:pPr>
      <w:bookmarkStart w:id="17842" w:name="_Toc536459344"/>
      <w:bookmarkStart w:id="17843" w:name="_Toc536466301"/>
      <w:bookmarkStart w:id="17844" w:name="_Toc536540463"/>
      <w:bookmarkStart w:id="17845" w:name="_Toc536564296"/>
      <w:bookmarkStart w:id="17846" w:name="_Toc536564451"/>
      <w:bookmarkStart w:id="17847" w:name="_Toc536617003"/>
      <w:bookmarkStart w:id="17848" w:name="_Toc19391311"/>
      <w:bookmarkStart w:id="17849" w:name="_Toc19394808"/>
      <w:r w:rsidRPr="001B7F6E">
        <w:rPr>
          <w:rFonts w:hint="cs"/>
          <w:rtl/>
        </w:rPr>
        <w:t xml:space="preserve">ביאור הגרעק"א </w:t>
      </w:r>
      <w:bookmarkEnd w:id="17842"/>
      <w:bookmarkEnd w:id="17843"/>
      <w:bookmarkEnd w:id="17844"/>
      <w:bookmarkEnd w:id="17845"/>
      <w:bookmarkEnd w:id="17846"/>
      <w:r>
        <w:rPr>
          <w:rFonts w:hint="cs"/>
          <w:rtl/>
        </w:rPr>
        <w:t>דמחיצת ירושלים לא מהני לעובר בשחוטי חוץ</w:t>
      </w:r>
      <w:bookmarkEnd w:id="17847"/>
      <w:bookmarkEnd w:id="17848"/>
      <w:bookmarkEnd w:id="17849"/>
      <w:r>
        <w:rPr>
          <w:rFonts w:hint="cs"/>
          <w:rtl/>
        </w:rPr>
        <w:t xml:space="preserve"> </w:t>
      </w:r>
    </w:p>
    <w:p w14:paraId="49D150D8" w14:textId="77777777" w:rsidR="003D504D" w:rsidRDefault="003D504D" w:rsidP="003D504D">
      <w:pPr>
        <w:pStyle w:val="a3"/>
        <w:rPr>
          <w:rtl/>
        </w:rPr>
      </w:pPr>
      <w:bookmarkStart w:id="17850" w:name="_Toc536617004"/>
      <w:bookmarkStart w:id="17851" w:name="_Toc19391312"/>
      <w:bookmarkStart w:id="17852" w:name="_Toc19394809"/>
      <w:bookmarkStart w:id="17853" w:name="_Toc536564297"/>
      <w:bookmarkStart w:id="17854" w:name="_Toc536564452"/>
      <w:r>
        <w:rPr>
          <w:rFonts w:hint="cs"/>
          <w:rtl/>
        </w:rPr>
        <w:t>קושית הראש יוסף דאף בשחוטי חוץ מהני מחיצת ירושלים דהולד מותר בשחיטת עצמו</w:t>
      </w:r>
      <w:bookmarkEnd w:id="17850"/>
      <w:bookmarkEnd w:id="17851"/>
      <w:bookmarkEnd w:id="17852"/>
    </w:p>
    <w:p w14:paraId="7E174468" w14:textId="77777777" w:rsidR="003D504D" w:rsidRDefault="003D504D" w:rsidP="00223668">
      <w:pPr>
        <w:pStyle w:val="a0"/>
        <w:rPr>
          <w:rtl/>
        </w:rPr>
      </w:pPr>
      <w:bookmarkStart w:id="17855" w:name="_Ref536610608"/>
      <w:r>
        <w:rPr>
          <w:rFonts w:hint="cs"/>
          <w:rtl/>
        </w:rPr>
        <w:t xml:space="preserve">בהא דכתב </w:t>
      </w:r>
      <w:r w:rsidRPr="00214C16">
        <w:rPr>
          <w:rStyle w:val="af9"/>
          <w:rFonts w:hint="cs"/>
          <w:rtl/>
        </w:rPr>
        <w:t>רש"י</w:t>
      </w:r>
      <w:r>
        <w:rPr>
          <w:rFonts w:hint="cs"/>
          <w:rtl/>
        </w:rPr>
        <w:t xml:space="preserve"> </w:t>
      </w:r>
      <w:r w:rsidRPr="00D136B3">
        <w:rPr>
          <w:rStyle w:val="af7"/>
          <w:rFonts w:eastAsia="Guttman Hodes" w:hint="cs"/>
          <w:rtl/>
        </w:rPr>
        <w:t xml:space="preserve">(עי' אות </w:t>
      </w:r>
      <w:r w:rsidRPr="00D136B3">
        <w:rPr>
          <w:rStyle w:val="af7"/>
          <w:rFonts w:eastAsia="Guttman Hodes"/>
          <w:rtl/>
        </w:rPr>
        <w:fldChar w:fldCharType="begin"/>
      </w:r>
      <w:r w:rsidRPr="00D136B3">
        <w:rPr>
          <w:rStyle w:val="af7"/>
          <w:rFonts w:eastAsia="Guttman Hodes"/>
          <w:rtl/>
        </w:rPr>
        <w:instrText xml:space="preserve"> </w:instrText>
      </w:r>
      <w:r w:rsidRPr="00D136B3">
        <w:rPr>
          <w:rStyle w:val="af7"/>
          <w:rFonts w:eastAsia="Guttman Hodes" w:hint="cs"/>
        </w:rPr>
        <w:instrText>REF</w:instrText>
      </w:r>
      <w:r w:rsidRPr="00D136B3">
        <w:rPr>
          <w:rStyle w:val="af7"/>
          <w:rFonts w:eastAsia="Guttman Hodes" w:hint="cs"/>
          <w:rtl/>
        </w:rPr>
        <w:instrText xml:space="preserve"> _</w:instrText>
      </w:r>
      <w:r w:rsidRPr="00D136B3">
        <w:rPr>
          <w:rStyle w:val="af7"/>
          <w:rFonts w:eastAsia="Guttman Hodes" w:hint="cs"/>
        </w:rPr>
        <w:instrText>Ref536439678 \r \h</w:instrText>
      </w:r>
      <w:r w:rsidRPr="00D136B3">
        <w:rPr>
          <w:rStyle w:val="af7"/>
          <w:rFonts w:eastAsia="Guttman Hodes"/>
          <w:rtl/>
        </w:rPr>
        <w:instrText xml:space="preserve"> </w:instrText>
      </w:r>
      <w:r w:rsidRPr="00D136B3">
        <w:rPr>
          <w:rStyle w:val="af7"/>
          <w:rFonts w:eastAsia="Guttman Hodes"/>
          <w:rtl/>
        </w:rPr>
      </w:r>
      <w:r w:rsidRPr="00D136B3">
        <w:rPr>
          <w:rStyle w:val="af7"/>
          <w:rFonts w:eastAsia="Guttman Hodes"/>
          <w:rtl/>
        </w:rPr>
        <w:fldChar w:fldCharType="separate"/>
      </w:r>
      <w:r w:rsidR="00345400">
        <w:rPr>
          <w:rStyle w:val="af7"/>
          <w:rFonts w:eastAsia="Guttman Hodes"/>
          <w:cs/>
        </w:rPr>
        <w:t>‎</w:t>
      </w:r>
      <w:r w:rsidR="00345400">
        <w:rPr>
          <w:rStyle w:val="af7"/>
          <w:rFonts w:eastAsia="Guttman Hodes"/>
          <w:rtl/>
        </w:rPr>
        <w:t>פד)</w:t>
      </w:r>
      <w:r w:rsidRPr="00D136B3">
        <w:rPr>
          <w:rStyle w:val="af7"/>
          <w:rFonts w:eastAsia="Guttman Hodes"/>
          <w:rtl/>
        </w:rPr>
        <w:fldChar w:fldCharType="end"/>
      </w:r>
      <w:r>
        <w:rPr>
          <w:rFonts w:hint="cs"/>
          <w:rtl/>
        </w:rPr>
        <w:t xml:space="preserve"> דא"א לומר דהספק בשוחט שלמים בירושלים, דהאם אסורה מדין שוחט קדשים בחוץ, הקשה </w:t>
      </w:r>
      <w:r>
        <w:rPr>
          <w:rStyle w:val="af9"/>
          <w:rFonts w:hint="cs"/>
          <w:rtl/>
        </w:rPr>
        <w:t>ה</w:t>
      </w:r>
      <w:r w:rsidRPr="00136B2E">
        <w:rPr>
          <w:rStyle w:val="af9"/>
          <w:rFonts w:hint="cs"/>
          <w:rtl/>
        </w:rPr>
        <w:t>ראש יוסף</w:t>
      </w:r>
      <w:r>
        <w:rPr>
          <w:rFonts w:hint="cs"/>
          <w:rtl/>
        </w:rPr>
        <w:t xml:space="preserve"> </w:t>
      </w:r>
      <w:r w:rsidRPr="00136B2E">
        <w:rPr>
          <w:rStyle w:val="af7"/>
          <w:rFonts w:eastAsia="Guttman Hodes" w:hint="cs"/>
          <w:rtl/>
        </w:rPr>
        <w:t>(סט. ד"ה</w:t>
      </w:r>
      <w:r>
        <w:rPr>
          <w:rStyle w:val="af7"/>
          <w:rFonts w:eastAsia="Guttman Hodes" w:hint="cs"/>
          <w:rtl/>
        </w:rPr>
        <w:t xml:space="preserve"> ודע)</w:t>
      </w:r>
      <w:r>
        <w:rPr>
          <w:rFonts w:hint="cs"/>
          <w:rtl/>
        </w:rPr>
        <w:t xml:space="preserve"> דהרי לדעת </w:t>
      </w:r>
      <w:r w:rsidRPr="00253ECF">
        <w:rPr>
          <w:rStyle w:val="af9"/>
          <w:rtl/>
        </w:rPr>
        <w:t>הב"ח</w:t>
      </w:r>
      <w:r w:rsidRPr="00017D04">
        <w:rPr>
          <w:rtl/>
        </w:rPr>
        <w:t xml:space="preserve"> </w:t>
      </w:r>
      <w:r w:rsidRPr="00253ECF">
        <w:rPr>
          <w:rStyle w:val="af7"/>
          <w:rFonts w:eastAsia="Guttman Hodes"/>
          <w:rtl/>
        </w:rPr>
        <w:t xml:space="preserve">(סי' י"ד </w:t>
      </w:r>
      <w:r w:rsidRPr="00253ECF">
        <w:rPr>
          <w:rStyle w:val="af7"/>
          <w:rFonts w:eastAsia="Guttman Hodes" w:hint="cs"/>
          <w:rtl/>
        </w:rPr>
        <w:t xml:space="preserve">ד' </w:t>
      </w:r>
      <w:r w:rsidRPr="00253ECF">
        <w:rPr>
          <w:rStyle w:val="af7"/>
          <w:rFonts w:eastAsia="Guttman Hodes"/>
          <w:rtl/>
        </w:rPr>
        <w:t>ד"ה ומ"ש ואם יצא)</w:t>
      </w:r>
      <w:r w:rsidRPr="00017D04">
        <w:rPr>
          <w:rtl/>
        </w:rPr>
        <w:t xml:space="preserve"> </w:t>
      </w:r>
      <w:r w:rsidRPr="00253ECF">
        <w:rPr>
          <w:rStyle w:val="af9"/>
          <w:rtl/>
        </w:rPr>
        <w:t>והש"ך</w:t>
      </w:r>
      <w:r w:rsidRPr="00017D04">
        <w:rPr>
          <w:rtl/>
        </w:rPr>
        <w:t xml:space="preserve"> </w:t>
      </w:r>
      <w:r w:rsidRPr="00253ECF">
        <w:rPr>
          <w:rStyle w:val="af7"/>
          <w:rFonts w:eastAsia="Guttman Hodes"/>
          <w:rtl/>
        </w:rPr>
        <w:t>(סי' י"ד סק"ז)</w:t>
      </w:r>
      <w:r w:rsidRPr="00017D04">
        <w:rPr>
          <w:rtl/>
        </w:rPr>
        <w:t xml:space="preserve"> </w:t>
      </w:r>
      <w:r>
        <w:rPr>
          <w:rFonts w:hint="cs"/>
          <w:rtl/>
        </w:rPr>
        <w:t xml:space="preserve">דכתבו דהיכא שנמצאת האם טריפה, האבר היוצא אסור לעולם, ואף אם נשחט הולד, לא מהני שחיטתו להתיר את האבר, א"כ יש נ"מ אף אם נשחטה האם בתוך חומת ירושלים, דאף דהאם אסורה מדין שוחט קדשים בחוץ, מ"מ אי חומת ירושלים חשיבא מחיצה, א"כ מהני חומת ירושלים להתיר את האבר מאיסור "בשר בשדה טריפה", ויש לו תקנה בשחיטת עצמו, וכתב </w:t>
      </w:r>
      <w:r w:rsidRPr="009E3272">
        <w:rPr>
          <w:rStyle w:val="af9"/>
          <w:rFonts w:hint="cs"/>
          <w:rtl/>
        </w:rPr>
        <w:t>הראש יוסף</w:t>
      </w:r>
      <w:r>
        <w:rPr>
          <w:rFonts w:hint="cs"/>
          <w:rtl/>
        </w:rPr>
        <w:t xml:space="preserve"> דצ"ל דהספק הוא בקדשים כשרים ולא בפסולים.</w:t>
      </w:r>
      <w:bookmarkEnd w:id="17855"/>
    </w:p>
    <w:p w14:paraId="5DA85718" w14:textId="77777777" w:rsidR="003D504D" w:rsidRDefault="003D504D" w:rsidP="003D504D">
      <w:pPr>
        <w:pStyle w:val="a3"/>
        <w:rPr>
          <w:rtl/>
        </w:rPr>
      </w:pPr>
      <w:bookmarkStart w:id="17856" w:name="_Toc536617005"/>
      <w:bookmarkStart w:id="17857" w:name="_Toc19391313"/>
      <w:bookmarkStart w:id="17858" w:name="_Toc19394810"/>
      <w:r>
        <w:rPr>
          <w:rFonts w:hint="cs"/>
          <w:rtl/>
        </w:rPr>
        <w:t>ביאור הגרעק"א דבשוחט בירושלים דהחומה אינה מחיצה לאם לא חשיב מחיצה לעובר</w:t>
      </w:r>
      <w:bookmarkEnd w:id="17853"/>
      <w:bookmarkEnd w:id="17854"/>
      <w:bookmarkEnd w:id="17856"/>
      <w:bookmarkEnd w:id="17857"/>
      <w:bookmarkEnd w:id="17858"/>
    </w:p>
    <w:p w14:paraId="1E2223BD" w14:textId="77777777" w:rsidR="003D504D" w:rsidRPr="004A336F" w:rsidRDefault="003D504D" w:rsidP="00223668">
      <w:pPr>
        <w:pStyle w:val="a0"/>
        <w:rPr>
          <w:rtl/>
        </w:rPr>
      </w:pPr>
      <w:bookmarkStart w:id="17859" w:name="_Ref536439726"/>
      <w:bookmarkStart w:id="17860" w:name="_Ref536610187"/>
      <w:r>
        <w:rPr>
          <w:rStyle w:val="af9"/>
          <w:rFonts w:hint="cs"/>
          <w:rtl/>
        </w:rPr>
        <w:t>ו</w:t>
      </w:r>
      <w:r w:rsidRPr="00214C16">
        <w:rPr>
          <w:rStyle w:val="af9"/>
          <w:rFonts w:hint="cs"/>
          <w:rtl/>
        </w:rPr>
        <w:t>הגרעק"א</w:t>
      </w:r>
      <w:r>
        <w:rPr>
          <w:rFonts w:hint="cs"/>
          <w:rtl/>
        </w:rPr>
        <w:t xml:space="preserve"> ביאר </w:t>
      </w:r>
      <w:r w:rsidRPr="004A336F">
        <w:rPr>
          <w:rStyle w:val="af7"/>
          <w:rFonts w:eastAsia="Guttman Hodes" w:hint="cs"/>
          <w:rtl/>
        </w:rPr>
        <w:t>(סט. ד"ה לענ"ד, שו"ת תנינא סי' י' ד"ה לענ"ד)</w:t>
      </w:r>
      <w:r>
        <w:rPr>
          <w:rFonts w:hint="cs"/>
          <w:rtl/>
        </w:rPr>
        <w:t xml:space="preserve"> דכוונת </w:t>
      </w:r>
      <w:r w:rsidRPr="00214C16">
        <w:rPr>
          <w:rStyle w:val="af9"/>
          <w:rFonts w:hint="cs"/>
          <w:rtl/>
        </w:rPr>
        <w:t>רש"י</w:t>
      </w:r>
      <w:r>
        <w:rPr>
          <w:rFonts w:hint="cs"/>
          <w:rtl/>
        </w:rPr>
        <w:t xml:space="preserve"> לומר דהצד דמהני המחיצות לעובר, הוא רק אי מהני המחיצות לאם, דעי"ז בין העובר ובין האבר שיצא הם בכלל המחיצות, ולכן אם היה שוחט את האם בירושלים, דהאם אסורה מדין שחוטי חוץ, א"כ אף העובר אינו בכלל המחיצה, </w:t>
      </w:r>
      <w:r w:rsidRPr="00214C16">
        <w:rPr>
          <w:rStyle w:val="afb"/>
          <w:rFonts w:hint="cs"/>
          <w:rtl/>
        </w:rPr>
        <w:t>[והוכיח</w:t>
      </w:r>
      <w:r>
        <w:rPr>
          <w:rStyle w:val="afb"/>
          <w:rFonts w:hint="cs"/>
          <w:rtl/>
        </w:rPr>
        <w:t xml:space="preserve"> כן </w:t>
      </w:r>
      <w:r w:rsidRPr="00214C16">
        <w:rPr>
          <w:rStyle w:val="afb"/>
          <w:rFonts w:hint="cs"/>
          <w:rtl/>
        </w:rPr>
        <w:t xml:space="preserve"> </w:t>
      </w:r>
      <w:r w:rsidRPr="00214C16">
        <w:rPr>
          <w:rStyle w:val="affa"/>
          <w:rFonts w:hint="cs"/>
          <w:rtl/>
        </w:rPr>
        <w:t>הגרעק"א</w:t>
      </w:r>
      <w:r w:rsidRPr="00214C16">
        <w:rPr>
          <w:rStyle w:val="afb"/>
          <w:rFonts w:hint="cs"/>
          <w:rtl/>
        </w:rPr>
        <w:t xml:space="preserve"> מהא דפשיטא דמחיצת ירושלים לא מהני לבהמת חולין, אף שיש לה דין מחיצה, וא"כ אף לשלמים אי לא מהני המחיצה לאם לא מהני כלל],</w:t>
      </w:r>
      <w:r>
        <w:rPr>
          <w:rFonts w:hint="cs"/>
          <w:rtl/>
        </w:rPr>
        <w:t xml:space="preserve"> וכתב </w:t>
      </w:r>
      <w:r w:rsidRPr="00214C16">
        <w:rPr>
          <w:rStyle w:val="af9"/>
          <w:rFonts w:hint="cs"/>
          <w:rtl/>
        </w:rPr>
        <w:t>הגרעק"א</w:t>
      </w:r>
      <w:r>
        <w:rPr>
          <w:rFonts w:hint="cs"/>
          <w:rtl/>
        </w:rPr>
        <w:t xml:space="preserve"> דנ"מ מזה דלא מהני המחיצה לעובר, דאם שחט את הולד אף לדעת </w:t>
      </w:r>
      <w:r w:rsidRPr="00214C16">
        <w:rPr>
          <w:rStyle w:val="af9"/>
          <w:rFonts w:hint="cs"/>
          <w:rtl/>
        </w:rPr>
        <w:t>הפר"ח</w:t>
      </w:r>
      <w:r>
        <w:rPr>
          <w:rFonts w:hint="cs"/>
          <w:rtl/>
        </w:rPr>
        <w:t xml:space="preserve"> </w:t>
      </w:r>
      <w:r w:rsidRPr="004A336F">
        <w:rPr>
          <w:rStyle w:val="af7"/>
          <w:rFonts w:eastAsia="Guttman Hodes" w:hint="cs"/>
          <w:rtl/>
        </w:rPr>
        <w:t>(סי' י"ד סק"ה)</w:t>
      </w:r>
      <w:r>
        <w:rPr>
          <w:rFonts w:hint="cs"/>
          <w:rtl/>
        </w:rPr>
        <w:t xml:space="preserve"> דבנמצאת האם טריפה, אם נשחט הולד האבר היוצא מותר, הכא דלא הוי מחיצה לגבי האם, אינה מחיצה אף לגבי הולד</w:t>
      </w:r>
      <w:bookmarkStart w:id="17861" w:name="_Toc536564298"/>
      <w:bookmarkStart w:id="17862" w:name="_Toc536564453"/>
      <w:bookmarkEnd w:id="17859"/>
      <w:r w:rsidRPr="004A336F">
        <w:rPr>
          <w:rFonts w:hint="cs"/>
          <w:rtl/>
        </w:rPr>
        <w:t>.</w:t>
      </w:r>
      <w:r w:rsidRPr="004A336F">
        <w:rPr>
          <w:rStyle w:val="afb"/>
          <w:rFonts w:hint="cs"/>
          <w:rtl/>
        </w:rPr>
        <w:t xml:space="preserve"> </w:t>
      </w:r>
      <w:r w:rsidRPr="006420F9">
        <w:rPr>
          <w:rStyle w:val="afb"/>
          <w:rFonts w:hint="cs"/>
          <w:rtl/>
        </w:rPr>
        <w:t xml:space="preserve">[ועי' בדברי </w:t>
      </w:r>
      <w:r w:rsidRPr="006420F9">
        <w:rPr>
          <w:rStyle w:val="affa"/>
          <w:rFonts w:hint="cs"/>
          <w:rtl/>
        </w:rPr>
        <w:t>הגרי"ז</w:t>
      </w:r>
      <w:r w:rsidRPr="006420F9">
        <w:rPr>
          <w:rStyle w:val="afb"/>
          <w:rFonts w:hint="cs"/>
          <w:rtl/>
        </w:rPr>
        <w:t xml:space="preserve"> </w:t>
      </w:r>
      <w:r w:rsidRPr="006420F9">
        <w:rPr>
          <w:rStyle w:val="aff6"/>
          <w:rFonts w:hint="cs"/>
          <w:rtl/>
        </w:rPr>
        <w:t>(חי' מרן רי"ז הלוי עמ' ע"ט)</w:t>
      </w:r>
      <w:r>
        <w:rPr>
          <w:rStyle w:val="afb"/>
          <w:rFonts w:hint="cs"/>
          <w:rtl/>
        </w:rPr>
        <w:t xml:space="preserve"> במ"ש בשחיטת טריפה לענין הולד</w:t>
      </w:r>
      <w:r w:rsidRPr="006420F9">
        <w:rPr>
          <w:rStyle w:val="afb"/>
          <w:rFonts w:hint="cs"/>
          <w:rtl/>
        </w:rPr>
        <w:t>]</w:t>
      </w:r>
      <w:r>
        <w:rPr>
          <w:rFonts w:hint="cs"/>
          <w:rtl/>
        </w:rPr>
        <w:t>.</w:t>
      </w:r>
      <w:bookmarkEnd w:id="17860"/>
    </w:p>
    <w:p w14:paraId="1EC1D258" w14:textId="77777777" w:rsidR="003D504D" w:rsidRPr="00857BC1" w:rsidRDefault="003D504D" w:rsidP="003D504D">
      <w:pPr>
        <w:pStyle w:val="a3"/>
        <w:rPr>
          <w:rtl/>
        </w:rPr>
      </w:pPr>
      <w:bookmarkStart w:id="17863" w:name="_Toc536617006"/>
      <w:bookmarkStart w:id="17864" w:name="_Toc19391314"/>
      <w:bookmarkStart w:id="17865" w:name="_Toc19394811"/>
      <w:bookmarkEnd w:id="17861"/>
      <w:bookmarkEnd w:id="17862"/>
      <w:r>
        <w:rPr>
          <w:rFonts w:hint="cs"/>
          <w:rtl/>
        </w:rPr>
        <w:t>קושית הגרעק"א דבשעת יציאת האבר מהני מחיצת ירושלים אף לאם אם תשחט בעזרה</w:t>
      </w:r>
      <w:bookmarkEnd w:id="17863"/>
      <w:bookmarkEnd w:id="17864"/>
      <w:bookmarkEnd w:id="17865"/>
    </w:p>
    <w:p w14:paraId="0CAF34CA" w14:textId="77777777" w:rsidR="003D504D" w:rsidRDefault="003D504D" w:rsidP="00223668">
      <w:pPr>
        <w:pStyle w:val="a0"/>
        <w:rPr>
          <w:rtl/>
        </w:rPr>
      </w:pPr>
      <w:r>
        <w:rPr>
          <w:rFonts w:hint="cs"/>
          <w:rtl/>
        </w:rPr>
        <w:t xml:space="preserve">אך הקשה </w:t>
      </w:r>
      <w:r w:rsidRPr="00BD45F3">
        <w:rPr>
          <w:rStyle w:val="af9"/>
          <w:rFonts w:hint="cs"/>
          <w:rtl/>
        </w:rPr>
        <w:t>הגרעק"א</w:t>
      </w:r>
      <w:r>
        <w:rPr>
          <w:rFonts w:hint="cs"/>
          <w:rtl/>
        </w:rPr>
        <w:t xml:space="preserve"> דאפש"ל דצריך שתועיל המחיצה בשעה שיצא האבר ולא בשעת השחיטה, וכשיצא האבר מהני מחיצת ירושלים אף לגבי האם דאפשר להכניסה לעזרה ולשוחטה, ולאוכלה בירושלים, וא"כ אף אם אחר יציאת האבר שחט את האם בירושלים באיסור, מ"מ תועיל מחיצת ירושלים, כיון שבשעת יציאת האבר הוי מחיצה.</w:t>
      </w:r>
    </w:p>
    <w:p w14:paraId="3888F36A" w14:textId="77777777" w:rsidR="003D504D" w:rsidRDefault="003D504D" w:rsidP="003D504D">
      <w:pPr>
        <w:pStyle w:val="a3"/>
        <w:rPr>
          <w:rtl/>
        </w:rPr>
      </w:pPr>
      <w:bookmarkStart w:id="17866" w:name="_Toc536617007"/>
      <w:bookmarkStart w:id="17867" w:name="_Toc19391315"/>
      <w:bookmarkStart w:id="17868" w:name="_Toc19394812"/>
      <w:r>
        <w:rPr>
          <w:rFonts w:hint="cs"/>
          <w:rtl/>
        </w:rPr>
        <w:t>דברי הגרעק"א דכוונת רש"י לומר דבלא החזיר ונשחטה בירושלים לא מהני מחיצת ירושלים כלל</w:t>
      </w:r>
      <w:bookmarkEnd w:id="17866"/>
      <w:bookmarkEnd w:id="17867"/>
      <w:bookmarkEnd w:id="17868"/>
      <w:r>
        <w:rPr>
          <w:rFonts w:hint="cs"/>
          <w:rtl/>
        </w:rPr>
        <w:t xml:space="preserve"> </w:t>
      </w:r>
    </w:p>
    <w:p w14:paraId="78EEEEAA" w14:textId="77777777" w:rsidR="003D504D" w:rsidRPr="00132674" w:rsidRDefault="003D504D" w:rsidP="00223668">
      <w:pPr>
        <w:pStyle w:val="a0"/>
        <w:rPr>
          <w:rtl/>
        </w:rPr>
      </w:pPr>
      <w:r>
        <w:rPr>
          <w:rFonts w:hint="cs"/>
          <w:rtl/>
        </w:rPr>
        <w:t xml:space="preserve">וביאר </w:t>
      </w:r>
      <w:r w:rsidRPr="00BD45F3">
        <w:rPr>
          <w:rStyle w:val="af9"/>
          <w:rFonts w:hint="cs"/>
          <w:rtl/>
        </w:rPr>
        <w:t>הגרעק"א</w:t>
      </w:r>
      <w:r>
        <w:rPr>
          <w:rFonts w:hint="cs"/>
          <w:rtl/>
        </w:rPr>
        <w:t xml:space="preserve"> דכוונת </w:t>
      </w:r>
      <w:r w:rsidRPr="00BD45F3">
        <w:rPr>
          <w:rStyle w:val="af9"/>
          <w:rFonts w:hint="cs"/>
          <w:rtl/>
        </w:rPr>
        <w:t>רש"י</w:t>
      </w:r>
      <w:r>
        <w:rPr>
          <w:rFonts w:hint="cs"/>
          <w:rtl/>
        </w:rPr>
        <w:t xml:space="preserve"> לומר דבפשטות לא איירי בשחטה באיסור בירושלים, אלא שהכניסה לעזרה, ולכן כתב </w:t>
      </w:r>
      <w:r w:rsidRPr="00BD45F3">
        <w:rPr>
          <w:rStyle w:val="af9"/>
          <w:rFonts w:hint="cs"/>
          <w:rtl/>
        </w:rPr>
        <w:t>רש"י</w:t>
      </w:r>
      <w:r>
        <w:rPr>
          <w:rFonts w:hint="cs"/>
          <w:rtl/>
        </w:rPr>
        <w:t xml:space="preserve"> דהספק הוא רק למ"ד דיש לידה לאברים, וכדביאר </w:t>
      </w:r>
      <w:r w:rsidRPr="00BD45F3">
        <w:rPr>
          <w:rStyle w:val="af9"/>
          <w:rFonts w:hint="cs"/>
          <w:rtl/>
        </w:rPr>
        <w:t>המהרש"א</w:t>
      </w:r>
      <w:r>
        <w:rPr>
          <w:rFonts w:hint="cs"/>
          <w:rtl/>
        </w:rPr>
        <w:t xml:space="preserve"> </w:t>
      </w:r>
      <w:r w:rsidRPr="00132674">
        <w:rPr>
          <w:rStyle w:val="af7"/>
          <w:rFonts w:eastAsia="Guttman Hodes" w:hint="cs"/>
          <w:rtl/>
        </w:rPr>
        <w:t xml:space="preserve">(עי' אות </w:t>
      </w:r>
      <w:r w:rsidRPr="00132674">
        <w:rPr>
          <w:rStyle w:val="af7"/>
          <w:rFonts w:eastAsia="Guttman Hodes"/>
          <w:rtl/>
        </w:rPr>
        <w:fldChar w:fldCharType="begin"/>
      </w:r>
      <w:r w:rsidRPr="00132674">
        <w:rPr>
          <w:rStyle w:val="af7"/>
          <w:rFonts w:eastAsia="Guttman Hodes"/>
          <w:rtl/>
        </w:rPr>
        <w:instrText xml:space="preserve"> </w:instrText>
      </w:r>
      <w:r w:rsidRPr="00132674">
        <w:rPr>
          <w:rStyle w:val="af7"/>
          <w:rFonts w:eastAsia="Guttman Hodes" w:hint="cs"/>
        </w:rPr>
        <w:instrText>REF</w:instrText>
      </w:r>
      <w:r w:rsidRPr="00132674">
        <w:rPr>
          <w:rStyle w:val="af7"/>
          <w:rFonts w:eastAsia="Guttman Hodes" w:hint="cs"/>
          <w:rtl/>
        </w:rPr>
        <w:instrText xml:space="preserve"> _</w:instrText>
      </w:r>
      <w:r w:rsidRPr="00132674">
        <w:rPr>
          <w:rStyle w:val="af7"/>
          <w:rFonts w:eastAsia="Guttman Hodes" w:hint="cs"/>
        </w:rPr>
        <w:instrText>Ref536610015 \r \h</w:instrText>
      </w:r>
      <w:r w:rsidRPr="00132674">
        <w:rPr>
          <w:rStyle w:val="af7"/>
          <w:rFonts w:eastAsia="Guttman Hodes"/>
          <w:rtl/>
        </w:rPr>
        <w:instrText xml:space="preserve"> </w:instrText>
      </w:r>
      <w:r w:rsidRPr="00132674">
        <w:rPr>
          <w:rStyle w:val="af7"/>
          <w:rFonts w:eastAsia="Guttman Hodes"/>
          <w:rtl/>
        </w:rPr>
      </w:r>
      <w:r w:rsidRPr="00132674">
        <w:rPr>
          <w:rStyle w:val="af7"/>
          <w:rFonts w:eastAsia="Guttman Hodes"/>
          <w:rtl/>
        </w:rPr>
        <w:fldChar w:fldCharType="separate"/>
      </w:r>
      <w:r w:rsidR="00345400">
        <w:rPr>
          <w:rStyle w:val="af7"/>
          <w:rFonts w:eastAsia="Guttman Hodes"/>
          <w:cs/>
        </w:rPr>
        <w:t>‎</w:t>
      </w:r>
      <w:r w:rsidR="00345400">
        <w:rPr>
          <w:rStyle w:val="af7"/>
          <w:rFonts w:eastAsia="Guttman Hodes"/>
          <w:rtl/>
        </w:rPr>
        <w:t>פז)</w:t>
      </w:r>
      <w:r w:rsidRPr="00132674">
        <w:rPr>
          <w:rStyle w:val="af7"/>
          <w:rFonts w:eastAsia="Guttman Hodes"/>
          <w:rtl/>
        </w:rPr>
        <w:fldChar w:fldCharType="end"/>
      </w:r>
      <w:r>
        <w:rPr>
          <w:rFonts w:hint="cs"/>
          <w:rtl/>
        </w:rPr>
        <w:t xml:space="preserve">, אלא דהוקשה  </w:t>
      </w:r>
      <w:r w:rsidRPr="006148F4">
        <w:rPr>
          <w:rStyle w:val="af9"/>
          <w:rFonts w:hint="cs"/>
          <w:rtl/>
        </w:rPr>
        <w:t>לרש"י</w:t>
      </w:r>
      <w:r>
        <w:rPr>
          <w:rFonts w:hint="cs"/>
          <w:rtl/>
        </w:rPr>
        <w:t xml:space="preserve"> דאפשר לבאר אף למ"ד דאין לידה לאברים, ובלא החזיר את האבר ושחטה בירושלים, וכתב </w:t>
      </w:r>
      <w:r w:rsidRPr="00BD45F3">
        <w:rPr>
          <w:rStyle w:val="af9"/>
          <w:rFonts w:hint="cs"/>
          <w:rtl/>
        </w:rPr>
        <w:t>הגרעק"א</w:t>
      </w:r>
      <w:r>
        <w:rPr>
          <w:rFonts w:hint="cs"/>
          <w:rtl/>
        </w:rPr>
        <w:t xml:space="preserve"> דע"ז תירץ </w:t>
      </w:r>
      <w:r w:rsidRPr="00BD45F3">
        <w:rPr>
          <w:rStyle w:val="af9"/>
          <w:rFonts w:hint="cs"/>
          <w:rtl/>
        </w:rPr>
        <w:t>רש"י</w:t>
      </w:r>
      <w:r>
        <w:rPr>
          <w:rFonts w:hint="cs"/>
          <w:rtl/>
        </w:rPr>
        <w:t xml:space="preserve"> דבלא החזיר את האבר, לא מהני מה שבזמן יציאת האבר מחיצת ירושלים מהני אף לאם, דכיון שבשעת השחיטה עדיין היה האבר בחוץ, צריך מחיצה בשעת השחיטה, ובשחיטה לא מהני המחיצה לאם דהיא שחוטי חוץ, ולכן לא מהני המחיצה גם לעובר, </w:t>
      </w:r>
      <w:r w:rsidRPr="005B3DAB">
        <w:rPr>
          <w:rStyle w:val="afb"/>
          <w:rFonts w:hint="cs"/>
          <w:rtl/>
        </w:rPr>
        <w:t>[ואחר שהתחיל לשחוט כבר אין תקנה לעובר, דהאם נפסלה וא"א להכניסה לעזרה ולגמור את שחיטתה, וחשיב דבתחילת השחיטה נסתלקה מחיצת ירושלים לגבי האם, וא"כ חשיב דהוציא אבר ומתה האם לפני שנגמרה השחיטה],</w:t>
      </w:r>
      <w:r>
        <w:rPr>
          <w:rFonts w:hint="cs"/>
          <w:rtl/>
        </w:rPr>
        <w:t xml:space="preserve"> וכתב </w:t>
      </w:r>
      <w:r w:rsidRPr="00BD45F3">
        <w:rPr>
          <w:rStyle w:val="af9"/>
          <w:rFonts w:hint="cs"/>
          <w:rtl/>
        </w:rPr>
        <w:t>הגרעק"א</w:t>
      </w:r>
      <w:r>
        <w:rPr>
          <w:rFonts w:hint="cs"/>
          <w:rtl/>
        </w:rPr>
        <w:t xml:space="preserve"> דזו כוונת </w:t>
      </w:r>
      <w:r w:rsidRPr="00BD45F3">
        <w:rPr>
          <w:rStyle w:val="af9"/>
          <w:rFonts w:hint="cs"/>
          <w:rtl/>
        </w:rPr>
        <w:t>רש"י</w:t>
      </w:r>
      <w:r>
        <w:rPr>
          <w:rFonts w:hint="cs"/>
          <w:rtl/>
        </w:rPr>
        <w:t xml:space="preserve"> היא להוכיח דהספק הוא בהחזיר את האבר, ולמ"ד דיש לידה לאברים, וכדביאר </w:t>
      </w:r>
      <w:r w:rsidRPr="00BD45F3">
        <w:rPr>
          <w:rStyle w:val="af9"/>
          <w:rFonts w:hint="cs"/>
          <w:rtl/>
        </w:rPr>
        <w:t>המהרש"א</w:t>
      </w:r>
      <w:r>
        <w:rPr>
          <w:rFonts w:hint="cs"/>
          <w:rtl/>
        </w:rPr>
        <w:t xml:space="preserve"> </w:t>
      </w:r>
      <w:r w:rsidRPr="00132674">
        <w:rPr>
          <w:rStyle w:val="af7"/>
          <w:rFonts w:eastAsia="Guttman Hodes" w:hint="cs"/>
          <w:rtl/>
        </w:rPr>
        <w:t xml:space="preserve">(עי' אות </w:t>
      </w:r>
      <w:r w:rsidRPr="00132674">
        <w:rPr>
          <w:rStyle w:val="af7"/>
          <w:rFonts w:eastAsia="Guttman Hodes"/>
          <w:rtl/>
        </w:rPr>
        <w:fldChar w:fldCharType="begin"/>
      </w:r>
      <w:r w:rsidRPr="00132674">
        <w:rPr>
          <w:rStyle w:val="af7"/>
          <w:rFonts w:eastAsia="Guttman Hodes"/>
          <w:rtl/>
        </w:rPr>
        <w:instrText xml:space="preserve"> </w:instrText>
      </w:r>
      <w:r w:rsidRPr="00132674">
        <w:rPr>
          <w:rStyle w:val="af7"/>
          <w:rFonts w:eastAsia="Guttman Hodes" w:hint="cs"/>
        </w:rPr>
        <w:instrText>REF</w:instrText>
      </w:r>
      <w:r w:rsidRPr="00132674">
        <w:rPr>
          <w:rStyle w:val="af7"/>
          <w:rFonts w:eastAsia="Guttman Hodes" w:hint="cs"/>
          <w:rtl/>
        </w:rPr>
        <w:instrText xml:space="preserve"> _</w:instrText>
      </w:r>
      <w:r w:rsidRPr="00132674">
        <w:rPr>
          <w:rStyle w:val="af7"/>
          <w:rFonts w:eastAsia="Guttman Hodes" w:hint="cs"/>
        </w:rPr>
        <w:instrText>Ref536610015 \r \h</w:instrText>
      </w:r>
      <w:r w:rsidRPr="00132674">
        <w:rPr>
          <w:rStyle w:val="af7"/>
          <w:rFonts w:eastAsia="Guttman Hodes"/>
          <w:rtl/>
        </w:rPr>
        <w:instrText xml:space="preserve"> </w:instrText>
      </w:r>
      <w:r w:rsidRPr="00132674">
        <w:rPr>
          <w:rStyle w:val="af7"/>
          <w:rFonts w:eastAsia="Guttman Hodes"/>
          <w:rtl/>
        </w:rPr>
      </w:r>
      <w:r w:rsidRPr="00132674">
        <w:rPr>
          <w:rStyle w:val="af7"/>
          <w:rFonts w:eastAsia="Guttman Hodes"/>
          <w:rtl/>
        </w:rPr>
        <w:fldChar w:fldCharType="separate"/>
      </w:r>
      <w:r w:rsidR="00345400">
        <w:rPr>
          <w:rStyle w:val="af7"/>
          <w:rFonts w:eastAsia="Guttman Hodes"/>
          <w:cs/>
        </w:rPr>
        <w:t>‎</w:t>
      </w:r>
      <w:r w:rsidR="00345400">
        <w:rPr>
          <w:rStyle w:val="af7"/>
          <w:rFonts w:eastAsia="Guttman Hodes"/>
          <w:rtl/>
        </w:rPr>
        <w:t>פז)</w:t>
      </w:r>
      <w:r w:rsidRPr="00132674">
        <w:rPr>
          <w:rStyle w:val="af7"/>
          <w:rFonts w:eastAsia="Guttman Hodes"/>
          <w:rtl/>
        </w:rPr>
        <w:fldChar w:fldCharType="end"/>
      </w:r>
      <w:r>
        <w:rPr>
          <w:rFonts w:hint="cs"/>
          <w:rtl/>
        </w:rPr>
        <w:t>.</w:t>
      </w:r>
    </w:p>
    <w:p w14:paraId="0146E2B4" w14:textId="77777777" w:rsidR="003D504D" w:rsidRDefault="003D504D" w:rsidP="003D504D">
      <w:pPr>
        <w:pStyle w:val="aff7"/>
        <w:rPr>
          <w:rtl/>
        </w:rPr>
      </w:pPr>
    </w:p>
    <w:p w14:paraId="1773B915" w14:textId="77777777" w:rsidR="003D504D" w:rsidRPr="00E129E0" w:rsidRDefault="003D504D" w:rsidP="003D504D">
      <w:pPr>
        <w:pStyle w:val="a3"/>
        <w:rPr>
          <w:rtl/>
        </w:rPr>
        <w:sectPr w:rsidR="003D504D" w:rsidRPr="00E129E0" w:rsidSect="005049E2">
          <w:type w:val="continuous"/>
          <w:pgSz w:w="11906" w:h="16838"/>
          <w:pgMar w:top="720" w:right="720" w:bottom="720" w:left="720" w:header="283" w:footer="283" w:gutter="0"/>
          <w:cols w:num="2" w:space="567"/>
          <w:titlePg/>
          <w:bidi/>
          <w:rtlGutter/>
          <w:docGrid w:linePitch="299"/>
        </w:sectPr>
      </w:pPr>
    </w:p>
    <w:p w14:paraId="4D901C1E" w14:textId="77777777" w:rsidR="003D504D" w:rsidRDefault="003D504D" w:rsidP="003D504D">
      <w:pPr>
        <w:pStyle w:val="ad"/>
        <w:tabs>
          <w:tab w:val="left" w:pos="1163"/>
        </w:tabs>
        <w:spacing w:before="120" w:after="120" w:line="240" w:lineRule="auto"/>
        <w:ind w:left="0"/>
        <w:contextualSpacing w:val="0"/>
        <w:rPr>
          <w:rFonts w:ascii="Guttman Hodes" w:eastAsia="Guttman Hodes" w:hAnsi="Guttman Hodes" w:cs="Guttman Hodes"/>
          <w:noProof/>
          <w:sz w:val="18"/>
          <w:szCs w:val="18"/>
        </w:rPr>
        <w:sectPr w:rsidR="003D504D" w:rsidSect="003D504D">
          <w:type w:val="continuous"/>
          <w:pgSz w:w="11906" w:h="16838"/>
          <w:pgMar w:top="720" w:right="720" w:bottom="720" w:left="720" w:header="283" w:footer="283" w:gutter="0"/>
          <w:cols w:space="567"/>
          <w:bidi/>
          <w:rtlGutter/>
          <w:docGrid w:linePitch="299"/>
        </w:sectPr>
      </w:pPr>
    </w:p>
    <w:p w14:paraId="2C9386CD" w14:textId="77777777" w:rsidR="003D504D" w:rsidRPr="00A7241B" w:rsidRDefault="004B65FC" w:rsidP="003D504D">
      <w:pPr>
        <w:pStyle w:val="ad"/>
        <w:tabs>
          <w:tab w:val="left" w:pos="1163"/>
        </w:tabs>
        <w:spacing w:before="120" w:after="120" w:line="240" w:lineRule="auto"/>
        <w:ind w:left="0"/>
        <w:contextualSpacing w:val="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09BED296">
          <v:shape id="_x0000_i1046" type="#_x0000_t75" style="width:409.4pt;height:4.45pt" o:hrpct="0" o:hralign="center" o:hr="t">
            <v:imagedata r:id="rId21" o:title="BD14845_"/>
          </v:shape>
        </w:pict>
      </w:r>
    </w:p>
    <w:p w14:paraId="32A724D0" w14:textId="77777777" w:rsidR="003D504D" w:rsidRDefault="003D504D" w:rsidP="003D504D">
      <w:pPr>
        <w:pStyle w:val="afe"/>
        <w:rPr>
          <w:rtl/>
        </w:rPr>
      </w:pPr>
      <w:bookmarkStart w:id="17869" w:name="_Toc535958318"/>
      <w:bookmarkStart w:id="17870" w:name="_Toc536041996"/>
      <w:bookmarkStart w:id="17871" w:name="_Toc536130323"/>
      <w:bookmarkStart w:id="17872" w:name="_Toc536178404"/>
      <w:bookmarkStart w:id="17873" w:name="_Toc536180786"/>
      <w:bookmarkStart w:id="17874" w:name="_Toc536305039"/>
      <w:bookmarkStart w:id="17875" w:name="_Toc536305120"/>
      <w:bookmarkStart w:id="17876" w:name="_Toc536459346"/>
      <w:bookmarkStart w:id="17877" w:name="_Toc536466306"/>
      <w:bookmarkStart w:id="17878" w:name="_Toc536540468"/>
      <w:bookmarkStart w:id="17879" w:name="_Toc536564312"/>
      <w:bookmarkStart w:id="17880" w:name="_Toc536564467"/>
      <w:bookmarkStart w:id="17881" w:name="_Toc536617008"/>
      <w:bookmarkStart w:id="17882" w:name="_Toc19436077"/>
      <w:bookmarkStart w:id="17883" w:name="_Toc20081271"/>
      <w:r w:rsidRPr="0075165B">
        <w:rPr>
          <w:rFonts w:hint="cs"/>
          <w:rtl/>
        </w:rPr>
        <w:t>מראי מקומות וביאורים על הרמב"ם</w:t>
      </w:r>
      <w:bookmarkEnd w:id="17869"/>
      <w:bookmarkEnd w:id="17870"/>
      <w:bookmarkEnd w:id="17871"/>
      <w:bookmarkEnd w:id="17872"/>
      <w:bookmarkEnd w:id="17873"/>
      <w:bookmarkEnd w:id="17874"/>
      <w:bookmarkEnd w:id="17875"/>
      <w:bookmarkEnd w:id="17876"/>
      <w:bookmarkEnd w:id="17877"/>
      <w:bookmarkEnd w:id="17878"/>
      <w:bookmarkEnd w:id="17879"/>
      <w:bookmarkEnd w:id="17880"/>
      <w:bookmarkEnd w:id="17881"/>
      <w:bookmarkEnd w:id="17882"/>
      <w:bookmarkEnd w:id="17883"/>
    </w:p>
    <w:p w14:paraId="513C1E32" w14:textId="77777777" w:rsidR="003D504D" w:rsidRDefault="003D504D" w:rsidP="003D504D">
      <w:pPr>
        <w:tabs>
          <w:tab w:val="left" w:pos="1163"/>
        </w:tabs>
        <w:spacing w:before="120" w:after="120" w:line="240" w:lineRule="auto"/>
        <w:ind w:left="0"/>
        <w:rPr>
          <w:rFonts w:cs="FrankRuehl"/>
          <w:sz w:val="20"/>
          <w:rtl/>
        </w:rPr>
        <w:sectPr w:rsidR="003D504D" w:rsidSect="003D504D">
          <w:pgSz w:w="11906" w:h="16838"/>
          <w:pgMar w:top="720" w:right="720" w:bottom="720" w:left="720" w:header="283" w:footer="283" w:gutter="0"/>
          <w:cols w:space="567"/>
          <w:bidi/>
          <w:rtlGutter/>
          <w:docGrid w:linePitch="299"/>
        </w:sectPr>
      </w:pPr>
    </w:p>
    <w:p w14:paraId="0A5F4DD1" w14:textId="77777777" w:rsidR="003D504D" w:rsidRDefault="003D504D" w:rsidP="00BF39B2">
      <w:pPr>
        <w:pStyle w:val="1"/>
        <w:rPr>
          <w:rtl/>
        </w:rPr>
      </w:pPr>
      <w:bookmarkStart w:id="17884" w:name="_Toc536564313"/>
      <w:bookmarkStart w:id="17885" w:name="_Toc536564468"/>
      <w:bookmarkStart w:id="17886" w:name="_Toc536617009"/>
      <w:bookmarkStart w:id="17887" w:name="_Toc19391316"/>
      <w:bookmarkStart w:id="17888" w:name="_Toc19394813"/>
      <w:r>
        <w:rPr>
          <w:rFonts w:hint="cs"/>
          <w:rtl/>
        </w:rPr>
        <w:t>ביאור הרמב"ם בלישנא דמערבא כרי"ף ור"ח</w:t>
      </w:r>
      <w:bookmarkEnd w:id="17884"/>
      <w:bookmarkEnd w:id="17885"/>
      <w:bookmarkEnd w:id="17886"/>
      <w:bookmarkEnd w:id="17887"/>
      <w:bookmarkEnd w:id="17888"/>
    </w:p>
    <w:p w14:paraId="053902C0" w14:textId="77777777" w:rsidR="003D504D" w:rsidRDefault="003D504D" w:rsidP="003D504D">
      <w:pPr>
        <w:pStyle w:val="a3"/>
        <w:rPr>
          <w:rtl/>
        </w:rPr>
      </w:pPr>
      <w:bookmarkStart w:id="17889" w:name="_Toc536564314"/>
      <w:bookmarkStart w:id="17890" w:name="_Toc536564469"/>
      <w:bookmarkStart w:id="17891" w:name="_Toc536617010"/>
      <w:bookmarkStart w:id="17892" w:name="_Toc19391317"/>
      <w:bookmarkStart w:id="17893" w:name="_Toc19394814"/>
      <w:r>
        <w:rPr>
          <w:rFonts w:hint="cs"/>
          <w:rtl/>
        </w:rPr>
        <w:t>דברי הר"ן והמ"מ דהרמב"ם ביאר כדעת הרי"ף ופסק כריו"ח דאין לידה לאברים</w:t>
      </w:r>
      <w:bookmarkEnd w:id="17889"/>
      <w:bookmarkEnd w:id="17890"/>
      <w:bookmarkEnd w:id="17891"/>
      <w:bookmarkEnd w:id="17892"/>
      <w:bookmarkEnd w:id="17893"/>
    </w:p>
    <w:p w14:paraId="772B3F96" w14:textId="77777777" w:rsidR="003D504D" w:rsidRDefault="003D504D" w:rsidP="00223668">
      <w:pPr>
        <w:pStyle w:val="a0"/>
        <w:rPr>
          <w:rtl/>
        </w:rPr>
      </w:pPr>
      <w:r>
        <w:rPr>
          <w:rFonts w:hint="cs"/>
          <w:rtl/>
        </w:rPr>
        <w:t xml:space="preserve">כתב </w:t>
      </w:r>
      <w:r w:rsidRPr="00D0555E">
        <w:rPr>
          <w:rStyle w:val="af9"/>
          <w:rFonts w:hint="cs"/>
          <w:rtl/>
        </w:rPr>
        <w:t>הרמב"ם</w:t>
      </w:r>
      <w:r>
        <w:rPr>
          <w:rFonts w:hint="cs"/>
          <w:rtl/>
        </w:rPr>
        <w:t xml:space="preserve"> </w:t>
      </w:r>
      <w:r w:rsidRPr="00554D19">
        <w:rPr>
          <w:rStyle w:val="af7"/>
          <w:rFonts w:eastAsia="Guttman Hodes" w:hint="cs"/>
          <w:rtl/>
        </w:rPr>
        <w:t>(מאכ"א פ"ה ה"י)</w:t>
      </w:r>
      <w:r>
        <w:rPr>
          <w:rFonts w:hint="cs"/>
          <w:rtl/>
        </w:rPr>
        <w:t xml:space="preserve"> דבאבר היוצא רק מה שבחוץ אסור, אבל מה שנשאר בפנים מותר, אף אם יצא רוב האבר ונשאר המיעוט בפנים, </w:t>
      </w:r>
      <w:bookmarkStart w:id="17894" w:name="_Ref535941704"/>
      <w:r>
        <w:rPr>
          <w:rFonts w:hint="cs"/>
          <w:rtl/>
        </w:rPr>
        <w:t xml:space="preserve">וביארו </w:t>
      </w:r>
      <w:r w:rsidRPr="00D0555E">
        <w:rPr>
          <w:rStyle w:val="af9"/>
          <w:rFonts w:hint="cs"/>
          <w:rtl/>
        </w:rPr>
        <w:t>הר"ן בחי'</w:t>
      </w:r>
      <w:r>
        <w:rPr>
          <w:rFonts w:hint="cs"/>
          <w:rtl/>
        </w:rPr>
        <w:t xml:space="preserve"> </w:t>
      </w:r>
      <w:r w:rsidRPr="00554D19">
        <w:rPr>
          <w:rStyle w:val="af7"/>
          <w:rFonts w:eastAsia="Guttman Hodes" w:hint="cs"/>
          <w:rtl/>
        </w:rPr>
        <w:t>(ד"ה מאי)</w:t>
      </w:r>
      <w:r>
        <w:rPr>
          <w:rFonts w:hint="cs"/>
          <w:rtl/>
        </w:rPr>
        <w:t xml:space="preserve"> </w:t>
      </w:r>
      <w:r w:rsidRPr="00D0555E">
        <w:rPr>
          <w:rStyle w:val="af9"/>
          <w:rFonts w:hint="cs"/>
          <w:rtl/>
        </w:rPr>
        <w:t>והמ"מ</w:t>
      </w:r>
      <w:r>
        <w:rPr>
          <w:rFonts w:hint="cs"/>
          <w:rtl/>
        </w:rPr>
        <w:t xml:space="preserve"> </w:t>
      </w:r>
      <w:r w:rsidRPr="00554D19">
        <w:rPr>
          <w:rStyle w:val="af7"/>
          <w:rFonts w:eastAsia="Guttman Hodes" w:hint="cs"/>
          <w:rtl/>
        </w:rPr>
        <w:t>(מאכ"א פ"ה ה"י)</w:t>
      </w:r>
      <w:r>
        <w:rPr>
          <w:rFonts w:hint="cs"/>
          <w:rtl/>
        </w:rPr>
        <w:t xml:space="preserve"> </w:t>
      </w:r>
      <w:r w:rsidRPr="00D0555E">
        <w:rPr>
          <w:rStyle w:val="af9"/>
          <w:rFonts w:hint="cs"/>
          <w:rtl/>
        </w:rPr>
        <w:t>וה</w:t>
      </w:r>
      <w:r>
        <w:rPr>
          <w:rStyle w:val="af9"/>
          <w:rFonts w:hint="cs"/>
          <w:rtl/>
        </w:rPr>
        <w:t>לח</w:t>
      </w:r>
      <w:r w:rsidRPr="00D0555E">
        <w:rPr>
          <w:rStyle w:val="af9"/>
          <w:rFonts w:hint="cs"/>
          <w:rtl/>
        </w:rPr>
        <w:t>"מ</w:t>
      </w:r>
      <w:r>
        <w:rPr>
          <w:rFonts w:hint="cs"/>
          <w:rtl/>
        </w:rPr>
        <w:t xml:space="preserve"> </w:t>
      </w:r>
      <w:r w:rsidRPr="00554D19">
        <w:rPr>
          <w:rStyle w:val="af7"/>
          <w:rFonts w:eastAsia="Guttman Hodes" w:hint="cs"/>
          <w:rtl/>
        </w:rPr>
        <w:t>(מאכ"א פ"ה ה"י)</w:t>
      </w:r>
      <w:r>
        <w:rPr>
          <w:rFonts w:hint="cs"/>
          <w:rtl/>
        </w:rPr>
        <w:t xml:space="preserve"> </w:t>
      </w:r>
      <w:r w:rsidRPr="00D0555E">
        <w:rPr>
          <w:rStyle w:val="af9"/>
          <w:rFonts w:hint="cs"/>
          <w:rtl/>
        </w:rPr>
        <w:t>דהרמב"ם</w:t>
      </w:r>
      <w:r>
        <w:rPr>
          <w:rFonts w:hint="cs"/>
          <w:rtl/>
        </w:rPr>
        <w:t xml:space="preserve"> ביאר </w:t>
      </w:r>
      <w:r w:rsidRPr="00D0555E">
        <w:rPr>
          <w:rStyle w:val="af9"/>
          <w:rFonts w:hint="cs"/>
          <w:rtl/>
        </w:rPr>
        <w:t>כרי"ף</w:t>
      </w:r>
      <w:r>
        <w:rPr>
          <w:rFonts w:hint="cs"/>
          <w:rtl/>
        </w:rPr>
        <w:t xml:space="preserve"> </w:t>
      </w:r>
      <w:r w:rsidRPr="00554D19">
        <w:rPr>
          <w:rStyle w:val="af7"/>
          <w:rFonts w:eastAsia="Guttman Hodes" w:hint="cs"/>
          <w:rtl/>
        </w:rPr>
        <w:t xml:space="preserve">(עי' אות </w:t>
      </w:r>
      <w:r w:rsidRPr="00554D19">
        <w:rPr>
          <w:rStyle w:val="af7"/>
          <w:rFonts w:eastAsia="Guttman Hodes"/>
          <w:rtl/>
        </w:rPr>
        <w:fldChar w:fldCharType="begin"/>
      </w:r>
      <w:r w:rsidRPr="00554D19">
        <w:rPr>
          <w:rStyle w:val="af7"/>
          <w:rFonts w:eastAsia="Guttman Hodes"/>
          <w:rtl/>
        </w:rPr>
        <w:instrText xml:space="preserve"> </w:instrText>
      </w:r>
      <w:r w:rsidRPr="00554D19">
        <w:rPr>
          <w:rStyle w:val="af7"/>
          <w:rFonts w:eastAsia="Guttman Hodes" w:hint="cs"/>
        </w:rPr>
        <w:instrText>REF</w:instrText>
      </w:r>
      <w:r w:rsidRPr="00554D19">
        <w:rPr>
          <w:rStyle w:val="af7"/>
          <w:rFonts w:eastAsia="Guttman Hodes" w:hint="cs"/>
          <w:rtl/>
        </w:rPr>
        <w:instrText xml:space="preserve"> _</w:instrText>
      </w:r>
      <w:r w:rsidRPr="00554D19">
        <w:rPr>
          <w:rStyle w:val="af7"/>
          <w:rFonts w:eastAsia="Guttman Hodes" w:hint="cs"/>
        </w:rPr>
        <w:instrText>Ref535941629 \r \h</w:instrText>
      </w:r>
      <w:r w:rsidRPr="00554D19">
        <w:rPr>
          <w:rStyle w:val="af7"/>
          <w:rFonts w:eastAsia="Guttman Hodes"/>
          <w:rtl/>
        </w:rPr>
        <w:instrText xml:space="preserve"> </w:instrText>
      </w:r>
      <w:r w:rsidRPr="00554D19">
        <w:rPr>
          <w:rStyle w:val="af7"/>
          <w:rFonts w:eastAsia="Guttman Hodes"/>
          <w:rtl/>
        </w:rPr>
      </w:r>
      <w:r w:rsidRPr="00554D19">
        <w:rPr>
          <w:rStyle w:val="af7"/>
          <w:rFonts w:eastAsia="Guttman Hodes"/>
          <w:rtl/>
        </w:rPr>
        <w:fldChar w:fldCharType="separate"/>
      </w:r>
      <w:r w:rsidR="00345400">
        <w:rPr>
          <w:rStyle w:val="af7"/>
          <w:rFonts w:eastAsia="Guttman Hodes"/>
          <w:cs/>
        </w:rPr>
        <w:t>‎</w:t>
      </w:r>
      <w:r w:rsidR="00345400">
        <w:rPr>
          <w:rStyle w:val="af7"/>
          <w:rFonts w:eastAsia="Guttman Hodes"/>
          <w:rtl/>
        </w:rPr>
        <w:t>לג)</w:t>
      </w:r>
      <w:r w:rsidRPr="00554D19">
        <w:rPr>
          <w:rStyle w:val="af7"/>
          <w:rFonts w:eastAsia="Guttman Hodes"/>
          <w:rtl/>
        </w:rPr>
        <w:fldChar w:fldCharType="end"/>
      </w:r>
      <w:r>
        <w:rPr>
          <w:rFonts w:hint="cs"/>
          <w:rtl/>
        </w:rPr>
        <w:t xml:space="preserve"> ופסק</w:t>
      </w:r>
      <w:r w:rsidRPr="00A04D32">
        <w:rPr>
          <w:rStyle w:val="af9"/>
          <w:rFonts w:hint="cs"/>
          <w:rtl/>
        </w:rPr>
        <w:t xml:space="preserve"> </w:t>
      </w:r>
      <w:r w:rsidRPr="00D0555E">
        <w:rPr>
          <w:rStyle w:val="af9"/>
          <w:rFonts w:hint="cs"/>
          <w:rtl/>
        </w:rPr>
        <w:t>הרמב"ם</w:t>
      </w:r>
      <w:r>
        <w:rPr>
          <w:rFonts w:hint="cs"/>
          <w:rtl/>
        </w:rPr>
        <w:t xml:space="preserve"> כריו"ח כלישנא דמערבא, דאין לידה לאברים, ומיעוט האבר שבפנים אינו נאסר.</w:t>
      </w:r>
      <w:bookmarkEnd w:id="17894"/>
    </w:p>
    <w:p w14:paraId="51335467" w14:textId="77777777" w:rsidR="003D504D" w:rsidRDefault="003D504D" w:rsidP="00BF39B2">
      <w:pPr>
        <w:pStyle w:val="1"/>
        <w:rPr>
          <w:rtl/>
        </w:rPr>
      </w:pPr>
      <w:bookmarkStart w:id="17895" w:name="_Toc536564315"/>
      <w:bookmarkStart w:id="17896" w:name="_Toc536564470"/>
      <w:bookmarkStart w:id="17897" w:name="_Toc536617011"/>
      <w:bookmarkStart w:id="17898" w:name="_Toc19391318"/>
      <w:bookmarkStart w:id="17899" w:name="_Toc19394815"/>
      <w:r>
        <w:rPr>
          <w:rFonts w:hint="cs"/>
          <w:rtl/>
        </w:rPr>
        <w:t>בדעת הרמב"ם בספיקות הגמ' באברים שהשלימו לרוב</w:t>
      </w:r>
      <w:bookmarkEnd w:id="17895"/>
      <w:bookmarkEnd w:id="17896"/>
      <w:bookmarkEnd w:id="17897"/>
      <w:bookmarkEnd w:id="17898"/>
      <w:bookmarkEnd w:id="17899"/>
    </w:p>
    <w:p w14:paraId="3939D773" w14:textId="77777777" w:rsidR="003D504D" w:rsidRDefault="003D504D" w:rsidP="003D504D">
      <w:pPr>
        <w:pStyle w:val="a3"/>
        <w:rPr>
          <w:rtl/>
        </w:rPr>
      </w:pPr>
      <w:bookmarkStart w:id="17900" w:name="_Toc536564316"/>
      <w:bookmarkStart w:id="17901" w:name="_Toc536564471"/>
      <w:bookmarkStart w:id="17902" w:name="_Toc536617012"/>
      <w:bookmarkStart w:id="17903" w:name="_Toc19391319"/>
      <w:bookmarkStart w:id="17904" w:name="_Toc19394816"/>
      <w:r>
        <w:rPr>
          <w:rFonts w:hint="cs"/>
          <w:rtl/>
        </w:rPr>
        <w:t>קושית המ"מ אמאי השמיט הרמב"ם את הספיקות  בהוציא אברים שהשלימו לרוב</w:t>
      </w:r>
      <w:bookmarkEnd w:id="17900"/>
      <w:bookmarkEnd w:id="17901"/>
      <w:bookmarkEnd w:id="17902"/>
      <w:bookmarkEnd w:id="17903"/>
      <w:bookmarkEnd w:id="17904"/>
    </w:p>
    <w:p w14:paraId="7B0B1D0F" w14:textId="77777777" w:rsidR="003D504D" w:rsidRDefault="003D504D" w:rsidP="00223668">
      <w:pPr>
        <w:pStyle w:val="a0"/>
        <w:rPr>
          <w:rtl/>
        </w:rPr>
      </w:pPr>
      <w:r>
        <w:rPr>
          <w:rFonts w:hint="cs"/>
          <w:rtl/>
        </w:rPr>
        <w:t xml:space="preserve">והקשה </w:t>
      </w:r>
      <w:r w:rsidRPr="00D0555E">
        <w:rPr>
          <w:rStyle w:val="af9"/>
          <w:rFonts w:hint="cs"/>
          <w:rtl/>
        </w:rPr>
        <w:t>המ"מ</w:t>
      </w:r>
      <w:r>
        <w:rPr>
          <w:rFonts w:hint="cs"/>
          <w:rtl/>
        </w:rPr>
        <w:t xml:space="preserve"> אמאי השמיט </w:t>
      </w:r>
      <w:r w:rsidRPr="00D0555E">
        <w:rPr>
          <w:rStyle w:val="af9"/>
          <w:rFonts w:hint="cs"/>
          <w:rtl/>
        </w:rPr>
        <w:t>הרמב"ם</w:t>
      </w:r>
      <w:r>
        <w:rPr>
          <w:rFonts w:hint="cs"/>
          <w:rtl/>
        </w:rPr>
        <w:t xml:space="preserve"> את ספק הגמ' למ"ד דאין לידה לאברים בהוציא אברים והחזירם עד שהשלים לרוב, וכן את הספק השני בהוציא אברים וחתכם, עד שהשלים לרוב.</w:t>
      </w:r>
    </w:p>
    <w:p w14:paraId="7466B0D2" w14:textId="77777777" w:rsidR="003D504D" w:rsidRDefault="003D504D" w:rsidP="003D504D">
      <w:pPr>
        <w:pStyle w:val="a3"/>
        <w:rPr>
          <w:rtl/>
        </w:rPr>
      </w:pPr>
      <w:bookmarkStart w:id="17905" w:name="_Toc536564317"/>
      <w:bookmarkStart w:id="17906" w:name="_Toc536564472"/>
      <w:bookmarkStart w:id="17907" w:name="_Toc536617013"/>
      <w:bookmarkStart w:id="17908" w:name="_Toc19391320"/>
      <w:bookmarkStart w:id="17909" w:name="_Toc19394817"/>
      <w:r>
        <w:rPr>
          <w:rFonts w:hint="cs"/>
          <w:rtl/>
        </w:rPr>
        <w:t>דברי המ"מ דהרמב"ם גרס דהספק הוא לרב דאילו לריו"ח פשיטא דהמיעוט שבפנים מותר</w:t>
      </w:r>
      <w:bookmarkEnd w:id="17905"/>
      <w:bookmarkEnd w:id="17906"/>
      <w:bookmarkEnd w:id="17907"/>
      <w:bookmarkEnd w:id="17908"/>
      <w:bookmarkEnd w:id="17909"/>
    </w:p>
    <w:p w14:paraId="229A698B" w14:textId="77777777" w:rsidR="003D504D" w:rsidRDefault="003D504D" w:rsidP="00223668">
      <w:pPr>
        <w:pStyle w:val="a0"/>
        <w:rPr>
          <w:rtl/>
        </w:rPr>
      </w:pPr>
      <w:r>
        <w:rPr>
          <w:rFonts w:hint="cs"/>
          <w:rtl/>
        </w:rPr>
        <w:t xml:space="preserve">וכתב </w:t>
      </w:r>
      <w:r w:rsidRPr="00D0555E">
        <w:rPr>
          <w:rStyle w:val="af9"/>
          <w:rFonts w:hint="cs"/>
          <w:rtl/>
        </w:rPr>
        <w:t>המ"מ</w:t>
      </w:r>
      <w:r>
        <w:rPr>
          <w:rFonts w:hint="cs"/>
          <w:rtl/>
        </w:rPr>
        <w:t xml:space="preserve"> דיתכן </w:t>
      </w:r>
      <w:r w:rsidRPr="000C7234">
        <w:rPr>
          <w:rStyle w:val="af9"/>
          <w:rFonts w:hint="cs"/>
          <w:rtl/>
        </w:rPr>
        <w:t>דהרמב"ם</w:t>
      </w:r>
      <w:r>
        <w:rPr>
          <w:rFonts w:hint="cs"/>
          <w:rtl/>
        </w:rPr>
        <w:t xml:space="preserve"> גרס דהספק הוא למ"ד דיש לידה לאברים, וא"כ הוא דלא כהלכתא, וביאר </w:t>
      </w:r>
      <w:r w:rsidRPr="00D0555E">
        <w:rPr>
          <w:rStyle w:val="af9"/>
          <w:rFonts w:hint="cs"/>
          <w:rtl/>
        </w:rPr>
        <w:t>המ"מ</w:t>
      </w:r>
      <w:r>
        <w:rPr>
          <w:rFonts w:hint="cs"/>
          <w:rtl/>
        </w:rPr>
        <w:t xml:space="preserve"> דלמ"ד דאין לידה לאברים פשיטא דהמיעוט שנשאר בפנים מותר, דכמו שרוב האבר אינו אוסר את המיעוט שבפנים, ה"ה דרוב האברים אינם אוסרים את מיעוט האברים שלא יצאו, ודוקא כשיצא רוב העובר בבת אחת דדינו כילוד נאסר גם המיעוט, אך הניח </w:t>
      </w:r>
      <w:r w:rsidRPr="003C6EB0">
        <w:rPr>
          <w:rStyle w:val="af9"/>
          <w:rFonts w:hint="cs"/>
          <w:rtl/>
        </w:rPr>
        <w:t>המ"מ</w:t>
      </w:r>
      <w:r>
        <w:rPr>
          <w:rFonts w:hint="cs"/>
          <w:rtl/>
        </w:rPr>
        <w:t xml:space="preserve"> בצ"ע, כיון שהגירסא ברוב הספרים היא דהספק הוא למ"ד דאין לידה לאברים, ועי' בדברי </w:t>
      </w:r>
      <w:r w:rsidRPr="002319DF">
        <w:rPr>
          <w:rStyle w:val="af9"/>
          <w:rFonts w:hint="cs"/>
          <w:rtl/>
        </w:rPr>
        <w:t>ה</w:t>
      </w:r>
      <w:r w:rsidR="00345400">
        <w:rPr>
          <w:rStyle w:val="af9"/>
          <w:rFonts w:hint="cs"/>
          <w:rtl/>
        </w:rPr>
        <w:t>פלתי</w:t>
      </w:r>
      <w:r w:rsidRPr="002319DF">
        <w:rPr>
          <w:rFonts w:hint="cs"/>
          <w:rtl/>
        </w:rPr>
        <w:t xml:space="preserve"> </w:t>
      </w:r>
      <w:r w:rsidRPr="008F2420">
        <w:rPr>
          <w:rStyle w:val="af7"/>
          <w:rFonts w:eastAsia="Guttman Hodes" w:hint="cs"/>
          <w:rtl/>
        </w:rPr>
        <w:t>(סי' י"ד סק"ד)</w:t>
      </w:r>
      <w:r>
        <w:rPr>
          <w:rFonts w:hint="cs"/>
          <w:rtl/>
        </w:rPr>
        <w:t xml:space="preserve"> במה שביאר בזה, ועי' בדברי ועי' בדברי </w:t>
      </w:r>
      <w:r w:rsidRPr="008F2420">
        <w:rPr>
          <w:rStyle w:val="af9"/>
          <w:rFonts w:hint="cs"/>
          <w:rtl/>
        </w:rPr>
        <w:t>הצל"ח</w:t>
      </w:r>
      <w:r>
        <w:rPr>
          <w:rFonts w:hint="cs"/>
          <w:rtl/>
        </w:rPr>
        <w:t xml:space="preserve"> </w:t>
      </w:r>
      <w:r w:rsidRPr="008F2420">
        <w:rPr>
          <w:rStyle w:val="af7"/>
          <w:rFonts w:eastAsia="Guttman Hodes" w:hint="cs"/>
          <w:rtl/>
        </w:rPr>
        <w:t>(ד"ה ומעתה)</w:t>
      </w:r>
      <w:r>
        <w:rPr>
          <w:rFonts w:hint="cs"/>
          <w:rtl/>
        </w:rPr>
        <w:t xml:space="preserve"> </w:t>
      </w:r>
      <w:r>
        <w:rPr>
          <w:rStyle w:val="af9"/>
          <w:rFonts w:hint="cs"/>
          <w:rtl/>
        </w:rPr>
        <w:t>ו</w:t>
      </w:r>
      <w:r w:rsidRPr="00FA32FF">
        <w:rPr>
          <w:rStyle w:val="af9"/>
          <w:rFonts w:hint="cs"/>
          <w:rtl/>
        </w:rPr>
        <w:t>התפארת יעקב</w:t>
      </w:r>
      <w:r w:rsidRPr="008F2420">
        <w:rPr>
          <w:rStyle w:val="af7"/>
          <w:rFonts w:eastAsia="Guttman Hodes" w:hint="cs"/>
          <w:rtl/>
        </w:rPr>
        <w:t xml:space="preserve"> (ד"ה ולכן נראה) </w:t>
      </w:r>
      <w:r>
        <w:rPr>
          <w:rFonts w:hint="cs"/>
          <w:rtl/>
        </w:rPr>
        <w:t xml:space="preserve">במה שהוכיחו כגירסת </w:t>
      </w:r>
      <w:r w:rsidRPr="00FA32FF">
        <w:rPr>
          <w:rStyle w:val="af9"/>
          <w:rFonts w:hint="cs"/>
          <w:rtl/>
        </w:rPr>
        <w:t>המ"מ</w:t>
      </w:r>
      <w:r>
        <w:rPr>
          <w:rFonts w:hint="cs"/>
          <w:rtl/>
        </w:rPr>
        <w:t xml:space="preserve"> בדעת </w:t>
      </w:r>
      <w:r w:rsidRPr="00FA32FF">
        <w:rPr>
          <w:rStyle w:val="af9"/>
          <w:rFonts w:hint="cs"/>
          <w:rtl/>
        </w:rPr>
        <w:t>הרמב"ם</w:t>
      </w:r>
      <w:r>
        <w:rPr>
          <w:rFonts w:hint="cs"/>
          <w:rtl/>
        </w:rPr>
        <w:t>.</w:t>
      </w:r>
    </w:p>
    <w:p w14:paraId="18CFB9B6" w14:textId="77777777" w:rsidR="003D504D" w:rsidRDefault="003D504D" w:rsidP="003D504D">
      <w:pPr>
        <w:pStyle w:val="a3"/>
        <w:rPr>
          <w:rtl/>
        </w:rPr>
      </w:pPr>
      <w:bookmarkStart w:id="17910" w:name="_Toc536564318"/>
      <w:bookmarkStart w:id="17911" w:name="_Toc536564473"/>
      <w:bookmarkStart w:id="17912" w:name="_Toc536617014"/>
      <w:bookmarkStart w:id="17913" w:name="_Toc19391321"/>
      <w:bookmarkStart w:id="17914" w:name="_Toc19394818"/>
      <w:r>
        <w:rPr>
          <w:rFonts w:hint="cs"/>
          <w:rtl/>
        </w:rPr>
        <w:t>קושית הלח"מ דלרב כיון דאבר אחד אסור המיעוט כ"ש דביצא רוב העובר</w:t>
      </w:r>
      <w:r w:rsidRPr="00834BE9">
        <w:rPr>
          <w:rFonts w:hint="cs"/>
          <w:rtl/>
        </w:rPr>
        <w:t xml:space="preserve"> </w:t>
      </w:r>
      <w:r>
        <w:rPr>
          <w:rFonts w:hint="cs"/>
          <w:rtl/>
        </w:rPr>
        <w:t>דהמיעוט אסור</w:t>
      </w:r>
      <w:bookmarkEnd w:id="17910"/>
      <w:bookmarkEnd w:id="17911"/>
      <w:bookmarkEnd w:id="17912"/>
      <w:bookmarkEnd w:id="17913"/>
      <w:bookmarkEnd w:id="17914"/>
    </w:p>
    <w:p w14:paraId="74144824" w14:textId="77777777" w:rsidR="003D504D" w:rsidRDefault="003D504D" w:rsidP="00223668">
      <w:pPr>
        <w:pStyle w:val="a0"/>
        <w:rPr>
          <w:rtl/>
        </w:rPr>
      </w:pPr>
      <w:r>
        <w:rPr>
          <w:rFonts w:hint="cs"/>
          <w:rtl/>
        </w:rPr>
        <w:t xml:space="preserve">והקשה </w:t>
      </w:r>
      <w:r w:rsidRPr="003C6EB0">
        <w:rPr>
          <w:rStyle w:val="af9"/>
          <w:rFonts w:hint="cs"/>
          <w:rtl/>
        </w:rPr>
        <w:t>הלח"מ</w:t>
      </w:r>
      <w:r>
        <w:rPr>
          <w:rFonts w:hint="cs"/>
          <w:rtl/>
        </w:rPr>
        <w:t xml:space="preserve"> </w:t>
      </w:r>
      <w:r w:rsidRPr="003C6EB0">
        <w:rPr>
          <w:rStyle w:val="af7"/>
          <w:rFonts w:eastAsia="Guttman Hodes" w:hint="cs"/>
          <w:rtl/>
        </w:rPr>
        <w:t xml:space="preserve">(מאכ"א פ"ה ה"י) </w:t>
      </w:r>
      <w:r>
        <w:rPr>
          <w:rFonts w:hint="cs"/>
          <w:rtl/>
        </w:rPr>
        <w:t xml:space="preserve">על דברי </w:t>
      </w:r>
      <w:r w:rsidRPr="003C6EB0">
        <w:rPr>
          <w:rStyle w:val="af9"/>
          <w:rFonts w:hint="cs"/>
          <w:rtl/>
        </w:rPr>
        <w:t>המ"מ</w:t>
      </w:r>
      <w:r>
        <w:rPr>
          <w:rFonts w:hint="cs"/>
          <w:rtl/>
        </w:rPr>
        <w:t xml:space="preserve">, דא"א לומר </w:t>
      </w:r>
      <w:r>
        <w:rPr>
          <w:rStyle w:val="af9"/>
          <w:rFonts w:hint="cs"/>
          <w:rtl/>
        </w:rPr>
        <w:t>ד</w:t>
      </w:r>
      <w:r w:rsidRPr="003C6EB0">
        <w:rPr>
          <w:rStyle w:val="af9"/>
          <w:rFonts w:hint="cs"/>
          <w:rtl/>
        </w:rPr>
        <w:t>הרמב"ם</w:t>
      </w:r>
      <w:r>
        <w:rPr>
          <w:rFonts w:hint="cs"/>
          <w:rtl/>
        </w:rPr>
        <w:t xml:space="preserve"> גורס דהספק הוא למ"ד דיש לידה לאברים, דהרי למ"ד דיש לידה לאברים לא שייך הספק כלל, דאי ברוב אבר אחד נאסר מיעוט האבר</w:t>
      </w:r>
      <w:r w:rsidRPr="002B6E64">
        <w:rPr>
          <w:rFonts w:hint="cs"/>
          <w:rtl/>
        </w:rPr>
        <w:t xml:space="preserve"> </w:t>
      </w:r>
      <w:r>
        <w:rPr>
          <w:rFonts w:hint="cs"/>
          <w:rtl/>
        </w:rPr>
        <w:t>שנשאר בפנים, כ"ש כשיצא רוב העובר דנאסר המיעוט שנשאר בפנים.</w:t>
      </w:r>
    </w:p>
    <w:p w14:paraId="492082CA" w14:textId="77777777" w:rsidR="003D504D" w:rsidRDefault="003D504D" w:rsidP="003D504D">
      <w:pPr>
        <w:pStyle w:val="a3"/>
        <w:rPr>
          <w:rtl/>
        </w:rPr>
      </w:pPr>
      <w:bookmarkStart w:id="17915" w:name="_Toc536564319"/>
      <w:bookmarkStart w:id="17916" w:name="_Toc536564474"/>
      <w:bookmarkStart w:id="17917" w:name="_Toc536617015"/>
      <w:bookmarkStart w:id="17918" w:name="_Toc19391322"/>
      <w:bookmarkStart w:id="17919" w:name="_Toc19394819"/>
      <w:r>
        <w:rPr>
          <w:rFonts w:hint="cs"/>
          <w:rtl/>
        </w:rPr>
        <w:t>תירוץ הלח"מ דרק באבר שיצא בב"א פשיטא דהמיעוט אסור לרב וברוב עובר שלא בב"א הוא ספק</w:t>
      </w:r>
      <w:bookmarkEnd w:id="17915"/>
      <w:bookmarkEnd w:id="17916"/>
      <w:bookmarkEnd w:id="17917"/>
      <w:bookmarkEnd w:id="17918"/>
      <w:bookmarkEnd w:id="17919"/>
    </w:p>
    <w:p w14:paraId="7F466701" w14:textId="77777777" w:rsidR="003D504D" w:rsidRDefault="003D504D" w:rsidP="00223668">
      <w:pPr>
        <w:pStyle w:val="a0"/>
        <w:rPr>
          <w:rtl/>
        </w:rPr>
        <w:sectPr w:rsidR="003D504D" w:rsidSect="003D504D">
          <w:type w:val="continuous"/>
          <w:pgSz w:w="11906" w:h="16838"/>
          <w:pgMar w:top="720" w:right="720" w:bottom="720" w:left="720" w:header="283" w:footer="283" w:gutter="0"/>
          <w:cols w:num="2" w:space="567"/>
          <w:bidi/>
          <w:rtlGutter/>
          <w:docGrid w:linePitch="299"/>
        </w:sectPr>
      </w:pPr>
      <w:r>
        <w:rPr>
          <w:rFonts w:hint="cs"/>
          <w:rtl/>
        </w:rPr>
        <w:t xml:space="preserve">ותירץ </w:t>
      </w:r>
      <w:r w:rsidRPr="003C6EB0">
        <w:rPr>
          <w:rStyle w:val="af9"/>
          <w:rFonts w:hint="cs"/>
          <w:rtl/>
        </w:rPr>
        <w:t>הלח"מ</w:t>
      </w:r>
      <w:r>
        <w:rPr>
          <w:rFonts w:hint="cs"/>
          <w:rtl/>
        </w:rPr>
        <w:t xml:space="preserve"> דהא דרוב אבר אוסר את המיעוט, הוא כיון שרוב האבר יצא בבת אחת, אבל בספק דהוציא אברים והחזירם, שלא יצא רוב העובר בבת אחת, בזה מסתפקת הגמ' לדעת רב, אי האברים מצטרפים לרוב, וכתב </w:t>
      </w:r>
      <w:r w:rsidRPr="003C6EB0">
        <w:rPr>
          <w:rStyle w:val="af9"/>
          <w:rFonts w:hint="cs"/>
          <w:rtl/>
        </w:rPr>
        <w:t>הלח"מ</w:t>
      </w:r>
      <w:r>
        <w:rPr>
          <w:rFonts w:hint="cs"/>
          <w:rtl/>
        </w:rPr>
        <w:t xml:space="preserve"> דאעפ"י דלדעת רב חזרת אבר אחד אינה חזרה, והוא אסור באכילה, מ"מ לענין דאינו רוב בבת אחת חשיב חזרה, וזה כוונת הגמ' "כיון דהדר הדר". </w:t>
      </w:r>
    </w:p>
    <w:p w14:paraId="4AEA9995" w14:textId="77777777" w:rsidR="003D504D" w:rsidRDefault="003D504D" w:rsidP="003D504D">
      <w:pPr>
        <w:tabs>
          <w:tab w:val="left" w:pos="1163"/>
        </w:tabs>
        <w:spacing w:after="120" w:line="240" w:lineRule="auto"/>
        <w:ind w:left="0"/>
        <w:rPr>
          <w:rFonts w:ascii="Guttman Hodes" w:eastAsia="Guttman Hodes" w:hAnsi="Guttman Hodes" w:cs="Guttman Hodes"/>
          <w:noProof/>
          <w:sz w:val="18"/>
          <w:szCs w:val="18"/>
        </w:rPr>
        <w:sectPr w:rsidR="003D504D" w:rsidSect="003D504D">
          <w:type w:val="continuous"/>
          <w:pgSz w:w="11906" w:h="16838"/>
          <w:pgMar w:top="720" w:right="720" w:bottom="720" w:left="720" w:header="283" w:footer="283" w:gutter="0"/>
          <w:cols w:space="567"/>
          <w:bidi/>
          <w:rtlGutter/>
          <w:docGrid w:linePitch="299"/>
        </w:sectPr>
      </w:pPr>
    </w:p>
    <w:p w14:paraId="2512CBA9" w14:textId="77777777" w:rsidR="003D504D" w:rsidRPr="0099419A" w:rsidRDefault="004B65FC" w:rsidP="003D504D">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78A182D4">
          <v:shape id="_x0000_i1047" type="#_x0000_t75" style="width:404.55pt;height:6.8pt" o:hrpct="0" o:hralign="center" o:hr="t">
            <v:imagedata r:id="rId21" o:title="BD14845_"/>
          </v:shape>
        </w:pict>
      </w:r>
      <w:r w:rsidR="003D504D" w:rsidRPr="0099419A">
        <w:rPr>
          <w:rFonts w:ascii="Guttman Hodes" w:eastAsia="Guttman Hodes" w:hAnsi="Guttman Hodes" w:cs="Guttman Hodes" w:hint="cs"/>
          <w:noProof/>
          <w:sz w:val="18"/>
          <w:szCs w:val="18"/>
          <w:rtl/>
        </w:rPr>
        <w:t xml:space="preserve"> </w:t>
      </w:r>
    </w:p>
    <w:p w14:paraId="5D1BE6C3" w14:textId="77777777" w:rsidR="003D504D" w:rsidRPr="0099419A" w:rsidRDefault="003D504D" w:rsidP="003D504D">
      <w:pPr>
        <w:pStyle w:val="afe"/>
        <w:rPr>
          <w:rtl/>
        </w:rPr>
        <w:sectPr w:rsidR="003D504D" w:rsidRPr="0099419A" w:rsidSect="003D504D">
          <w:pgSz w:w="11906" w:h="16838"/>
          <w:pgMar w:top="720" w:right="720" w:bottom="720" w:left="720" w:header="283" w:footer="283" w:gutter="0"/>
          <w:cols w:space="567"/>
          <w:bidi/>
          <w:rtlGutter/>
          <w:docGrid w:linePitch="299"/>
        </w:sectPr>
      </w:pPr>
      <w:bookmarkStart w:id="17920" w:name="_Toc535958319"/>
      <w:bookmarkStart w:id="17921" w:name="_Toc536041997"/>
      <w:bookmarkStart w:id="17922" w:name="_Toc536130324"/>
      <w:bookmarkStart w:id="17923" w:name="_Toc536178405"/>
      <w:bookmarkStart w:id="17924" w:name="_Toc536180787"/>
      <w:bookmarkStart w:id="17925" w:name="_Toc536305041"/>
      <w:bookmarkStart w:id="17926" w:name="_Toc536305122"/>
      <w:bookmarkStart w:id="17927" w:name="_Toc536459348"/>
      <w:bookmarkStart w:id="17928" w:name="_Toc536466308"/>
      <w:bookmarkStart w:id="17929" w:name="_Toc536540470"/>
      <w:bookmarkStart w:id="17930" w:name="_Toc536564320"/>
      <w:bookmarkStart w:id="17931" w:name="_Toc536564475"/>
      <w:bookmarkStart w:id="17932" w:name="_Toc536617016"/>
      <w:bookmarkStart w:id="17933" w:name="_Toc19436078"/>
      <w:bookmarkStart w:id="17934" w:name="_Toc20081272"/>
      <w:r w:rsidRPr="0099419A">
        <w:rPr>
          <w:rFonts w:hint="cs"/>
          <w:rtl/>
        </w:rPr>
        <w:t>ביאורי ראשי הישיבות על הסוגיא</w:t>
      </w:r>
      <w:bookmarkEnd w:id="17920"/>
      <w:bookmarkEnd w:id="17921"/>
      <w:bookmarkEnd w:id="17922"/>
      <w:bookmarkEnd w:id="17923"/>
      <w:bookmarkEnd w:id="17924"/>
      <w:bookmarkEnd w:id="17925"/>
      <w:bookmarkEnd w:id="17926"/>
      <w:bookmarkEnd w:id="17927"/>
      <w:bookmarkEnd w:id="17928"/>
      <w:bookmarkEnd w:id="17929"/>
      <w:bookmarkEnd w:id="17930"/>
      <w:bookmarkEnd w:id="17931"/>
      <w:bookmarkEnd w:id="17932"/>
      <w:bookmarkEnd w:id="17933"/>
      <w:bookmarkEnd w:id="17934"/>
    </w:p>
    <w:p w14:paraId="1270B4EA" w14:textId="77777777" w:rsidR="003D504D" w:rsidRDefault="003D504D" w:rsidP="003D504D">
      <w:pPr>
        <w:pStyle w:val="afe"/>
        <w:rPr>
          <w:rtl/>
        </w:rPr>
      </w:pPr>
      <w:bookmarkStart w:id="17935" w:name="_Toc536617017"/>
      <w:bookmarkStart w:id="17936" w:name="_Toc19436079"/>
      <w:bookmarkStart w:id="17937" w:name="_Toc20081273"/>
      <w:r>
        <w:rPr>
          <w:rFonts w:hint="cs"/>
          <w:rtl/>
        </w:rPr>
        <w:t>בגדר היתר בחזרת האבר לריו"ח</w:t>
      </w:r>
      <w:bookmarkEnd w:id="17935"/>
      <w:bookmarkEnd w:id="17936"/>
      <w:bookmarkEnd w:id="17937"/>
    </w:p>
    <w:p w14:paraId="08D921F8" w14:textId="77777777" w:rsidR="003D504D" w:rsidRDefault="003D504D" w:rsidP="00BF39B2">
      <w:pPr>
        <w:pStyle w:val="1"/>
        <w:rPr>
          <w:rtl/>
        </w:rPr>
      </w:pPr>
      <w:bookmarkStart w:id="17938" w:name="_Toc535574971"/>
      <w:bookmarkStart w:id="17939" w:name="_Toc535702436"/>
      <w:bookmarkStart w:id="17940" w:name="_Toc535750581"/>
      <w:bookmarkStart w:id="17941" w:name="_Toc535958321"/>
      <w:bookmarkStart w:id="17942" w:name="_Toc536041999"/>
      <w:bookmarkStart w:id="17943" w:name="_Toc536130326"/>
      <w:bookmarkStart w:id="17944" w:name="_Toc536178407"/>
      <w:bookmarkStart w:id="17945" w:name="_Toc536180789"/>
      <w:bookmarkStart w:id="17946" w:name="_Toc536305043"/>
      <w:bookmarkStart w:id="17947" w:name="_Toc536305124"/>
      <w:bookmarkStart w:id="17948" w:name="_Toc536459350"/>
      <w:bookmarkStart w:id="17949" w:name="_Toc536466310"/>
      <w:bookmarkStart w:id="17950" w:name="_Toc536540472"/>
      <w:bookmarkStart w:id="17951" w:name="_Toc536564322"/>
      <w:bookmarkStart w:id="17952" w:name="_Toc536564477"/>
      <w:bookmarkStart w:id="17953" w:name="_Toc536617018"/>
      <w:bookmarkStart w:id="17954" w:name="_Toc19391323"/>
      <w:bookmarkStart w:id="17955" w:name="_Toc19394820"/>
      <w:r>
        <w:rPr>
          <w:rFonts w:hint="cs"/>
          <w:rtl/>
        </w:rPr>
        <w:t>חקירת הגרש"ר</w:t>
      </w:r>
      <w:bookmarkEnd w:id="17938"/>
      <w:r>
        <w:rPr>
          <w:rFonts w:hint="cs"/>
          <w:rtl/>
        </w:rPr>
        <w:t xml:space="preserve"> בפלוגתת רב וריו"ח</w:t>
      </w:r>
      <w:bookmarkEnd w:id="17939"/>
      <w:bookmarkEnd w:id="17940"/>
      <w:bookmarkEnd w:id="17941"/>
      <w:bookmarkEnd w:id="17942"/>
      <w:bookmarkEnd w:id="17943"/>
      <w:bookmarkEnd w:id="17944"/>
      <w:bookmarkEnd w:id="17945"/>
      <w:bookmarkEnd w:id="17946"/>
      <w:bookmarkEnd w:id="17947"/>
      <w:bookmarkEnd w:id="17948"/>
      <w:bookmarkEnd w:id="17949"/>
      <w:bookmarkEnd w:id="17950"/>
      <w:bookmarkEnd w:id="17951"/>
      <w:bookmarkEnd w:id="17952"/>
      <w:bookmarkEnd w:id="17953"/>
      <w:bookmarkEnd w:id="17954"/>
      <w:bookmarkEnd w:id="17955"/>
    </w:p>
    <w:p w14:paraId="0CF8D9F9" w14:textId="77777777" w:rsidR="003D504D" w:rsidRDefault="003D504D" w:rsidP="003D504D">
      <w:pPr>
        <w:pStyle w:val="a3"/>
        <w:rPr>
          <w:rtl/>
        </w:rPr>
      </w:pPr>
      <w:bookmarkStart w:id="17956" w:name="_Toc535702437"/>
      <w:bookmarkStart w:id="17957" w:name="_Toc535750582"/>
      <w:bookmarkStart w:id="17958" w:name="_Toc535958322"/>
      <w:bookmarkStart w:id="17959" w:name="_Toc536042000"/>
      <w:bookmarkStart w:id="17960" w:name="_Toc536130327"/>
      <w:bookmarkStart w:id="17961" w:name="_Toc536178408"/>
      <w:bookmarkStart w:id="17962" w:name="_Toc536180790"/>
      <w:bookmarkStart w:id="17963" w:name="_Toc536305044"/>
      <w:bookmarkStart w:id="17964" w:name="_Toc536305125"/>
      <w:bookmarkStart w:id="17965" w:name="_Toc536459351"/>
      <w:bookmarkStart w:id="17966" w:name="_Toc536466311"/>
      <w:bookmarkStart w:id="17967" w:name="_Toc536540473"/>
      <w:bookmarkStart w:id="17968" w:name="_Toc536564323"/>
      <w:bookmarkStart w:id="17969" w:name="_Toc536564478"/>
      <w:bookmarkStart w:id="17970" w:name="_Toc536617019"/>
      <w:bookmarkStart w:id="17971" w:name="_Toc19391324"/>
      <w:bookmarkStart w:id="17972" w:name="_Toc19394821"/>
      <w:r>
        <w:rPr>
          <w:rFonts w:hint="cs"/>
          <w:rtl/>
        </w:rPr>
        <w:t>הצד הא' בגרש"ר דפלוגתת רב וריו"ח אם חל איסור לפני השחיטה ולא נחלקו אי מהני חזרה</w:t>
      </w:r>
      <w:bookmarkEnd w:id="17956"/>
      <w:bookmarkEnd w:id="17957"/>
      <w:bookmarkEnd w:id="17958"/>
      <w:bookmarkEnd w:id="17959"/>
      <w:bookmarkEnd w:id="17960"/>
      <w:bookmarkEnd w:id="17961"/>
      <w:bookmarkEnd w:id="17962"/>
      <w:bookmarkEnd w:id="17963"/>
      <w:bookmarkEnd w:id="17964"/>
      <w:bookmarkEnd w:id="17965"/>
      <w:bookmarkEnd w:id="17966"/>
      <w:bookmarkEnd w:id="17967"/>
      <w:bookmarkEnd w:id="17968"/>
      <w:bookmarkEnd w:id="17969"/>
      <w:bookmarkEnd w:id="17970"/>
      <w:bookmarkEnd w:id="17971"/>
      <w:bookmarkEnd w:id="17972"/>
      <w:r>
        <w:rPr>
          <w:rFonts w:hint="cs"/>
          <w:rtl/>
        </w:rPr>
        <w:t xml:space="preserve"> </w:t>
      </w:r>
    </w:p>
    <w:p w14:paraId="41CEE5BF" w14:textId="77777777" w:rsidR="003D504D" w:rsidRDefault="003D504D" w:rsidP="00223668">
      <w:pPr>
        <w:pStyle w:val="a0"/>
        <w:rPr>
          <w:rtl/>
        </w:rPr>
      </w:pPr>
      <w:bookmarkStart w:id="17973" w:name="_Ref536090936"/>
      <w:r>
        <w:rPr>
          <w:rFonts w:hint="cs"/>
          <w:rtl/>
        </w:rPr>
        <w:t xml:space="preserve">חקר </w:t>
      </w:r>
      <w:r w:rsidRPr="00A50E03">
        <w:rPr>
          <w:rStyle w:val="af9"/>
          <w:rFonts w:hint="cs"/>
          <w:rtl/>
        </w:rPr>
        <w:t>הגרש"ר</w:t>
      </w:r>
      <w:r>
        <w:rPr>
          <w:rFonts w:hint="cs"/>
          <w:rtl/>
        </w:rPr>
        <w:t xml:space="preserve"> </w:t>
      </w:r>
      <w:r w:rsidRPr="00A50E03">
        <w:rPr>
          <w:rStyle w:val="af7"/>
          <w:rFonts w:eastAsia="Guttman Hodes" w:hint="cs"/>
          <w:rtl/>
        </w:rPr>
        <w:t>(זכרון שמואל סי' ע"ד א')</w:t>
      </w:r>
      <w:r>
        <w:rPr>
          <w:rFonts w:hint="cs"/>
          <w:rtl/>
        </w:rPr>
        <w:t xml:space="preserve"> בדעת ריו"ח דס"ל דאבר היוצא שהחזירו מותר, אי ס"ל לריו"ח שלא חל על האבר כל איסור בשעת יציאתו לאויר העולם, דאיסור "בשר בשדה טריפה"</w:t>
      </w:r>
      <w:r w:rsidRPr="009D72C7">
        <w:rPr>
          <w:rFonts w:hint="cs"/>
          <w:rtl/>
        </w:rPr>
        <w:t xml:space="preserve"> </w:t>
      </w:r>
      <w:r>
        <w:rPr>
          <w:rFonts w:hint="cs"/>
          <w:rtl/>
        </w:rPr>
        <w:t>חל רק בשעת השחיטה, ולכן בלא החזירו שלא היה בתוך הבהמה בזמן השחיטה, הוא אסור, ורב ס"ל דכשיצא האבר חל עליו איסור "בשר בשדה טריפה", ולכן אף אם החזירו אסור, דהופקע מכלל ההיתר דשחיטת אמו,</w:t>
      </w:r>
      <w:r w:rsidRPr="00FF3A85">
        <w:rPr>
          <w:rFonts w:hint="cs"/>
          <w:rtl/>
        </w:rPr>
        <w:t xml:space="preserve"> </w:t>
      </w:r>
      <w:r>
        <w:rPr>
          <w:rFonts w:hint="cs"/>
          <w:rtl/>
        </w:rPr>
        <w:t xml:space="preserve">וכתב </w:t>
      </w:r>
      <w:r w:rsidRPr="00A50E03">
        <w:rPr>
          <w:rStyle w:val="af9"/>
          <w:rFonts w:hint="cs"/>
          <w:rtl/>
        </w:rPr>
        <w:t>הגרש"ר</w:t>
      </w:r>
      <w:r>
        <w:rPr>
          <w:rFonts w:hint="cs"/>
          <w:rtl/>
        </w:rPr>
        <w:t xml:space="preserve"> דלפי"ז לכו"ע לא מהני חזרה להתיר איסור שחל על האבר, ונחלקו האם חל איסור על האבר בחוץ, או דרק בשעת השחיטה חל האיסור, ועי' במ"ש </w:t>
      </w:r>
      <w:r w:rsidRPr="00D57CCE">
        <w:rPr>
          <w:rStyle w:val="af9"/>
          <w:rFonts w:hint="cs"/>
          <w:rtl/>
        </w:rPr>
        <w:t xml:space="preserve">הגרש"ר </w:t>
      </w:r>
      <w:r w:rsidRPr="00D57CCE">
        <w:rPr>
          <w:rStyle w:val="af7"/>
          <w:rFonts w:eastAsia="Guttman Hodes" w:hint="cs"/>
          <w:rtl/>
        </w:rPr>
        <w:t xml:space="preserve">(עי' אות </w:t>
      </w:r>
      <w:r w:rsidRPr="00D57CCE">
        <w:rPr>
          <w:rStyle w:val="af7"/>
          <w:rFonts w:eastAsia="Guttman Hodes"/>
          <w:rtl/>
        </w:rPr>
        <w:fldChar w:fldCharType="begin"/>
      </w:r>
      <w:r w:rsidRPr="00D57CCE">
        <w:rPr>
          <w:rStyle w:val="af7"/>
          <w:rFonts w:eastAsia="Guttman Hodes"/>
          <w:rtl/>
        </w:rPr>
        <w:instrText xml:space="preserve"> </w:instrText>
      </w:r>
      <w:r w:rsidRPr="00D57CCE">
        <w:rPr>
          <w:rStyle w:val="af7"/>
          <w:rFonts w:eastAsia="Guttman Hodes" w:hint="cs"/>
        </w:rPr>
        <w:instrText>REF</w:instrText>
      </w:r>
      <w:r w:rsidRPr="00D57CCE">
        <w:rPr>
          <w:rStyle w:val="af7"/>
          <w:rFonts w:eastAsia="Guttman Hodes" w:hint="cs"/>
          <w:rtl/>
        </w:rPr>
        <w:instrText xml:space="preserve"> _</w:instrText>
      </w:r>
      <w:r w:rsidRPr="00D57CCE">
        <w:rPr>
          <w:rStyle w:val="af7"/>
          <w:rFonts w:eastAsia="Guttman Hodes" w:hint="cs"/>
        </w:rPr>
        <w:instrText>Ref536091018 \r \h</w:instrText>
      </w:r>
      <w:r w:rsidRPr="00D57CCE">
        <w:rPr>
          <w:rStyle w:val="af7"/>
          <w:rFonts w:eastAsia="Guttman Hodes"/>
          <w:rtl/>
        </w:rPr>
        <w:instrText xml:space="preserve"> </w:instrText>
      </w:r>
      <w:r w:rsidRPr="00D57CCE">
        <w:rPr>
          <w:rStyle w:val="af7"/>
          <w:rFonts w:eastAsia="Guttman Hodes"/>
          <w:rtl/>
        </w:rPr>
      </w:r>
      <w:r w:rsidRPr="00D57CCE">
        <w:rPr>
          <w:rStyle w:val="af7"/>
          <w:rFonts w:eastAsia="Guttman Hodes"/>
          <w:rtl/>
        </w:rPr>
        <w:fldChar w:fldCharType="separate"/>
      </w:r>
      <w:r w:rsidR="00345400">
        <w:rPr>
          <w:rStyle w:val="af7"/>
          <w:rFonts w:eastAsia="Guttman Hodes"/>
          <w:cs/>
        </w:rPr>
        <w:t>‎</w:t>
      </w:r>
      <w:r w:rsidR="00345400">
        <w:rPr>
          <w:rStyle w:val="af7"/>
          <w:rFonts w:eastAsia="Guttman Hodes"/>
          <w:rtl/>
        </w:rPr>
        <w:t>קכא)</w:t>
      </w:r>
      <w:r w:rsidRPr="00D57CCE">
        <w:rPr>
          <w:rStyle w:val="af7"/>
          <w:rFonts w:eastAsia="Guttman Hodes"/>
          <w:rtl/>
        </w:rPr>
        <w:fldChar w:fldCharType="end"/>
      </w:r>
      <w:r>
        <w:rPr>
          <w:rFonts w:hint="cs"/>
          <w:rtl/>
        </w:rPr>
        <w:t xml:space="preserve"> דכן מוכח מדברי </w:t>
      </w:r>
      <w:r w:rsidRPr="00D57CCE">
        <w:rPr>
          <w:rStyle w:val="af9"/>
          <w:rFonts w:hint="cs"/>
          <w:rtl/>
        </w:rPr>
        <w:t>הרא"ה</w:t>
      </w:r>
      <w:r>
        <w:rPr>
          <w:rFonts w:hint="cs"/>
          <w:rtl/>
        </w:rPr>
        <w:t xml:space="preserve"> בדין אבר היוצא בקלוט.</w:t>
      </w:r>
      <w:bookmarkEnd w:id="17973"/>
    </w:p>
    <w:p w14:paraId="3950A462" w14:textId="77777777" w:rsidR="003D504D" w:rsidRPr="009D72C7" w:rsidRDefault="003D504D" w:rsidP="003D504D">
      <w:pPr>
        <w:pStyle w:val="a3"/>
        <w:rPr>
          <w:rtl/>
        </w:rPr>
      </w:pPr>
      <w:bookmarkStart w:id="17974" w:name="_Toc535702438"/>
      <w:bookmarkStart w:id="17975" w:name="_Toc535750583"/>
      <w:bookmarkStart w:id="17976" w:name="_Toc535958323"/>
      <w:bookmarkStart w:id="17977" w:name="_Toc536042001"/>
      <w:bookmarkStart w:id="17978" w:name="_Toc536130328"/>
      <w:bookmarkStart w:id="17979" w:name="_Toc536178409"/>
      <w:bookmarkStart w:id="17980" w:name="_Toc536180791"/>
      <w:bookmarkStart w:id="17981" w:name="_Toc536305045"/>
      <w:bookmarkStart w:id="17982" w:name="_Toc536305126"/>
      <w:bookmarkStart w:id="17983" w:name="_Toc536459352"/>
      <w:bookmarkStart w:id="17984" w:name="_Toc536466312"/>
      <w:bookmarkStart w:id="17985" w:name="_Toc536540474"/>
      <w:bookmarkStart w:id="17986" w:name="_Toc536564324"/>
      <w:bookmarkStart w:id="17987" w:name="_Toc536564479"/>
      <w:bookmarkStart w:id="17988" w:name="_Toc536617020"/>
      <w:bookmarkStart w:id="17989" w:name="_Toc19391325"/>
      <w:bookmarkStart w:id="17990" w:name="_Toc19394822"/>
      <w:r>
        <w:rPr>
          <w:rFonts w:hint="cs"/>
          <w:rtl/>
        </w:rPr>
        <w:t>הצד הב' בגרש"ר דלכו"ע חל איסור בחוץ ונחלקו אי ע"י החזרה פוקע האיסור</w:t>
      </w:r>
      <w:bookmarkEnd w:id="17974"/>
      <w:bookmarkEnd w:id="17975"/>
      <w:bookmarkEnd w:id="17976"/>
      <w:bookmarkEnd w:id="17977"/>
      <w:bookmarkEnd w:id="17978"/>
      <w:bookmarkEnd w:id="17979"/>
      <w:bookmarkEnd w:id="17980"/>
      <w:bookmarkEnd w:id="17981"/>
      <w:bookmarkEnd w:id="17982"/>
      <w:bookmarkEnd w:id="17983"/>
      <w:bookmarkEnd w:id="17984"/>
      <w:bookmarkEnd w:id="17985"/>
      <w:bookmarkEnd w:id="17986"/>
      <w:bookmarkEnd w:id="17987"/>
      <w:bookmarkEnd w:id="17988"/>
      <w:bookmarkEnd w:id="17989"/>
      <w:bookmarkEnd w:id="17990"/>
    </w:p>
    <w:p w14:paraId="65BF0ED4" w14:textId="77777777" w:rsidR="003D504D" w:rsidRDefault="003D504D" w:rsidP="00223668">
      <w:pPr>
        <w:pStyle w:val="a0"/>
        <w:rPr>
          <w:rtl/>
        </w:rPr>
      </w:pPr>
      <w:bookmarkStart w:id="17991" w:name="_Ref536090951"/>
      <w:r>
        <w:rPr>
          <w:rFonts w:hint="cs"/>
          <w:rtl/>
        </w:rPr>
        <w:t xml:space="preserve">והצד השני כתב </w:t>
      </w:r>
      <w:r w:rsidRPr="00A50E03">
        <w:rPr>
          <w:rStyle w:val="af9"/>
          <w:rFonts w:hint="cs"/>
          <w:rtl/>
        </w:rPr>
        <w:t>הגרש"ר</w:t>
      </w:r>
      <w:r>
        <w:rPr>
          <w:rFonts w:hint="cs"/>
          <w:rtl/>
        </w:rPr>
        <w:t xml:space="preserve"> דאף ריו"ח מודה דבשעת יציאת האבר לאויר העולם נאסר, אך ס"ל לריו"ח דכשהחזיר את האבר לתוך הבהמה הותר האיסור, כיון שקרינן ביה "בהמה בבהמה", וממילא הוא חוזר להיות בכלל ההיתר בשחיטת אמו,</w:t>
      </w:r>
      <w:r w:rsidRPr="00FA1F13">
        <w:rPr>
          <w:rFonts w:hint="cs"/>
          <w:rtl/>
        </w:rPr>
        <w:t xml:space="preserve"> </w:t>
      </w:r>
      <w:r>
        <w:rPr>
          <w:rFonts w:hint="cs"/>
          <w:rtl/>
        </w:rPr>
        <w:t xml:space="preserve">דהוא בטל לגבי אמו ופוקע ממנו איסור יוצא, ועיי"ש בדברי </w:t>
      </w:r>
      <w:r w:rsidRPr="00FE5856">
        <w:rPr>
          <w:rStyle w:val="af9"/>
          <w:rFonts w:hint="cs"/>
          <w:rtl/>
        </w:rPr>
        <w:t>הגרש"ר</w:t>
      </w:r>
      <w:r>
        <w:rPr>
          <w:rFonts w:hint="cs"/>
          <w:rtl/>
        </w:rPr>
        <w:t xml:space="preserve"> שהאריך בזה, וע"ע בדברי </w:t>
      </w:r>
      <w:r w:rsidRPr="00FE5856">
        <w:rPr>
          <w:rStyle w:val="af9"/>
          <w:rFonts w:hint="cs"/>
          <w:rtl/>
        </w:rPr>
        <w:t>התוס'</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Ref536612481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יז)</w:t>
      </w:r>
      <w:r>
        <w:rPr>
          <w:rStyle w:val="af7"/>
          <w:rFonts w:eastAsia="Guttman Hodes"/>
          <w:rtl/>
        </w:rPr>
        <w:fldChar w:fldCharType="end"/>
      </w:r>
      <w:r>
        <w:rPr>
          <w:rStyle w:val="af7"/>
          <w:rFonts w:eastAsia="Guttman Hodes" w:hint="cs"/>
          <w:rtl/>
        </w:rPr>
        <w:t xml:space="preserve"> </w:t>
      </w:r>
      <w:r w:rsidRPr="00FE5856">
        <w:rPr>
          <w:rStyle w:val="af7"/>
          <w:rFonts w:eastAsia="Guttman Hodes" w:hint="cs"/>
          <w:rtl/>
        </w:rPr>
        <w:t xml:space="preserve"> </w:t>
      </w:r>
      <w:r w:rsidRPr="00FE5856">
        <w:rPr>
          <w:rStyle w:val="af9"/>
          <w:rFonts w:hint="cs"/>
          <w:rtl/>
        </w:rPr>
        <w:t>והר"ן בחי'</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Ref536612487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יח)</w:t>
      </w:r>
      <w:r>
        <w:rPr>
          <w:rStyle w:val="af7"/>
          <w:rFonts w:eastAsia="Guttman Hodes"/>
          <w:rtl/>
        </w:rPr>
        <w:fldChar w:fldCharType="end"/>
      </w:r>
      <w:r>
        <w:rPr>
          <w:rFonts w:hint="cs"/>
          <w:rtl/>
        </w:rPr>
        <w:t>.</w:t>
      </w:r>
      <w:bookmarkEnd w:id="17991"/>
    </w:p>
    <w:p w14:paraId="6DA8C2F0" w14:textId="77777777" w:rsidR="003D504D" w:rsidRDefault="003D504D" w:rsidP="00BF39B2">
      <w:pPr>
        <w:pStyle w:val="1"/>
        <w:rPr>
          <w:rtl/>
        </w:rPr>
      </w:pPr>
      <w:bookmarkStart w:id="17992" w:name="_Toc536617021"/>
      <w:bookmarkStart w:id="17993" w:name="_Toc19391326"/>
      <w:bookmarkStart w:id="17994" w:name="_Toc19394823"/>
      <w:r>
        <w:rPr>
          <w:rFonts w:hint="cs"/>
          <w:rtl/>
        </w:rPr>
        <w:t>ביאור הגרש"ר בבעה"מ וברא"ש דחזרה חשיבא שלא יצא כלל</w:t>
      </w:r>
      <w:bookmarkEnd w:id="17992"/>
      <w:bookmarkEnd w:id="17993"/>
      <w:bookmarkEnd w:id="17994"/>
    </w:p>
    <w:p w14:paraId="7E4B6EEA" w14:textId="77777777" w:rsidR="003D504D" w:rsidRPr="00087EF0" w:rsidRDefault="003D504D" w:rsidP="003D504D">
      <w:pPr>
        <w:pStyle w:val="a3"/>
        <w:rPr>
          <w:rtl/>
        </w:rPr>
      </w:pPr>
      <w:bookmarkStart w:id="17995" w:name="_Toc536617022"/>
      <w:bookmarkStart w:id="17996" w:name="_Toc19391327"/>
      <w:bookmarkStart w:id="17997" w:name="_Toc19394824"/>
      <w:r>
        <w:rPr>
          <w:rFonts w:hint="cs"/>
          <w:rtl/>
        </w:rPr>
        <w:t>ביאור הגרש"ר בקושית הבהעה"מ והרא"ש דאי חזרת האבר מתירתו חשיב שלא יצא אף לדין ילוד</w:t>
      </w:r>
      <w:bookmarkEnd w:id="17995"/>
      <w:bookmarkEnd w:id="17996"/>
      <w:bookmarkEnd w:id="17997"/>
    </w:p>
    <w:p w14:paraId="2EEAFF6B" w14:textId="77777777" w:rsidR="003D504D" w:rsidRDefault="003D504D" w:rsidP="00223668">
      <w:pPr>
        <w:pStyle w:val="a0"/>
        <w:rPr>
          <w:rtl/>
        </w:rPr>
      </w:pPr>
      <w:bookmarkStart w:id="17998" w:name="_Ref535956251"/>
      <w:r>
        <w:rPr>
          <w:rFonts w:hint="cs"/>
          <w:rtl/>
        </w:rPr>
        <w:t xml:space="preserve">והביא </w:t>
      </w:r>
      <w:r w:rsidRPr="00A50E03">
        <w:rPr>
          <w:rStyle w:val="af9"/>
          <w:rFonts w:hint="cs"/>
          <w:rtl/>
        </w:rPr>
        <w:t>הגרש"ר</w:t>
      </w:r>
      <w:r>
        <w:rPr>
          <w:rFonts w:hint="cs"/>
          <w:rtl/>
        </w:rPr>
        <w:t xml:space="preserve"> </w:t>
      </w:r>
      <w:r w:rsidRPr="00A50E03">
        <w:rPr>
          <w:rStyle w:val="af7"/>
          <w:rFonts w:eastAsia="Guttman Hodes" w:hint="cs"/>
          <w:rtl/>
        </w:rPr>
        <w:t>(זכרון שמואל סי' ע"ד א'</w:t>
      </w:r>
      <w:r>
        <w:rPr>
          <w:rStyle w:val="af7"/>
          <w:rFonts w:eastAsia="Guttman Hodes" w:hint="cs"/>
          <w:rtl/>
        </w:rPr>
        <w:t xml:space="preserve"> ד"ה ונראה</w:t>
      </w:r>
      <w:r w:rsidRPr="00A50E03">
        <w:rPr>
          <w:rStyle w:val="af7"/>
          <w:rFonts w:eastAsia="Guttman Hodes" w:hint="cs"/>
          <w:rtl/>
        </w:rPr>
        <w:t>)</w:t>
      </w:r>
      <w:r>
        <w:rPr>
          <w:rFonts w:hint="cs"/>
          <w:rtl/>
        </w:rPr>
        <w:t xml:space="preserve"> את קושית </w:t>
      </w:r>
      <w:r w:rsidRPr="00881EA3">
        <w:rPr>
          <w:rStyle w:val="af9"/>
          <w:rFonts w:hint="cs"/>
          <w:rtl/>
        </w:rPr>
        <w:t>הבעה"מ והרא"ש</w:t>
      </w:r>
      <w:r>
        <w:rPr>
          <w:rFonts w:hint="cs"/>
          <w:rtl/>
        </w:rPr>
        <w:t xml:space="preserve"> </w:t>
      </w:r>
      <w:r w:rsidRPr="00881EA3">
        <w:rPr>
          <w:rStyle w:val="af7"/>
          <w:rFonts w:eastAsia="Guttman Hodes" w:hint="cs"/>
          <w:rtl/>
        </w:rPr>
        <w:t xml:space="preserve">(עי' אות </w:t>
      </w:r>
      <w:r w:rsidRPr="00881EA3">
        <w:rPr>
          <w:rStyle w:val="af7"/>
          <w:rFonts w:eastAsia="Guttman Hodes"/>
          <w:rtl/>
        </w:rPr>
        <w:fldChar w:fldCharType="begin"/>
      </w:r>
      <w:r w:rsidRPr="00881EA3">
        <w:rPr>
          <w:rStyle w:val="af7"/>
          <w:rFonts w:eastAsia="Guttman Hodes"/>
          <w:rtl/>
        </w:rPr>
        <w:instrText xml:space="preserve"> </w:instrText>
      </w:r>
      <w:r w:rsidRPr="00881EA3">
        <w:rPr>
          <w:rStyle w:val="af7"/>
          <w:rFonts w:eastAsia="Guttman Hodes" w:hint="cs"/>
        </w:rPr>
        <w:instrText>REF</w:instrText>
      </w:r>
      <w:r w:rsidRPr="00881EA3">
        <w:rPr>
          <w:rStyle w:val="af7"/>
          <w:rFonts w:eastAsia="Guttman Hodes" w:hint="cs"/>
          <w:rtl/>
        </w:rPr>
        <w:instrText xml:space="preserve"> _</w:instrText>
      </w:r>
      <w:r w:rsidRPr="00881EA3">
        <w:rPr>
          <w:rStyle w:val="af7"/>
          <w:rFonts w:eastAsia="Guttman Hodes" w:hint="cs"/>
        </w:rPr>
        <w:instrText>Ref535956178 \r \h</w:instrText>
      </w:r>
      <w:r w:rsidRPr="00881EA3">
        <w:rPr>
          <w:rStyle w:val="af7"/>
          <w:rFonts w:eastAsia="Guttman Hodes"/>
          <w:rtl/>
        </w:rPr>
        <w:instrText xml:space="preserve"> </w:instrText>
      </w:r>
      <w:r w:rsidRPr="00881EA3">
        <w:rPr>
          <w:rStyle w:val="af7"/>
          <w:rFonts w:eastAsia="Guttman Hodes"/>
          <w:rtl/>
        </w:rPr>
      </w:r>
      <w:r w:rsidRPr="00881EA3">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881EA3">
        <w:rPr>
          <w:rStyle w:val="af7"/>
          <w:rFonts w:eastAsia="Guttman Hodes"/>
          <w:rtl/>
        </w:rPr>
        <w:fldChar w:fldCharType="end"/>
      </w:r>
      <w:r>
        <w:rPr>
          <w:rFonts w:hint="cs"/>
          <w:rtl/>
        </w:rPr>
        <w:t xml:space="preserve"> על </w:t>
      </w:r>
      <w:r w:rsidRPr="00881EA3">
        <w:rPr>
          <w:rStyle w:val="af9"/>
          <w:rFonts w:hint="cs"/>
          <w:rtl/>
        </w:rPr>
        <w:t>רש"י</w:t>
      </w:r>
      <w:r>
        <w:rPr>
          <w:rFonts w:hint="cs"/>
          <w:rtl/>
        </w:rPr>
        <w:t xml:space="preserve"> דאי אף ללישנא דמערבא מתיר ריו"ח, בחזרת האבר,  א"כ</w:t>
      </w:r>
      <w:r>
        <w:rPr>
          <w:rtl/>
        </w:rPr>
        <w:t xml:space="preserve"> בהוציא אברים והחזירם עד שהשלים לרוב, </w:t>
      </w:r>
      <w:r>
        <w:rPr>
          <w:rFonts w:hint="cs"/>
          <w:rtl/>
        </w:rPr>
        <w:t xml:space="preserve">פשיטא שאינם מצטרפים לרוב לאסור, דכיון שמהני החזרה להתירו באכילה, א"כ חשיב שלא יצא מעולם, ומה מסתפקת </w:t>
      </w:r>
      <w:r>
        <w:rPr>
          <w:rtl/>
        </w:rPr>
        <w:t>הגמ'</w:t>
      </w:r>
      <w:r>
        <w:rPr>
          <w:rFonts w:hint="cs"/>
          <w:rtl/>
        </w:rPr>
        <w:t>,</w:t>
      </w:r>
      <w:r>
        <w:rPr>
          <w:rtl/>
        </w:rPr>
        <w:t xml:space="preserve"> </w:t>
      </w:r>
      <w:r>
        <w:rPr>
          <w:rFonts w:hint="cs"/>
          <w:rtl/>
        </w:rPr>
        <w:t xml:space="preserve">וכתב </w:t>
      </w:r>
      <w:r w:rsidRPr="00881EA3">
        <w:rPr>
          <w:rStyle w:val="af9"/>
          <w:rFonts w:hint="cs"/>
          <w:rtl/>
        </w:rPr>
        <w:t>הגרש"ר</w:t>
      </w:r>
      <w:r>
        <w:rPr>
          <w:rFonts w:hint="cs"/>
          <w:rtl/>
        </w:rPr>
        <w:t xml:space="preserve"> דכוונתם להקשות דאף דספק הגמ' הוא לענין דין ילוד ולא לענין איסור האכילה, מ"מ אי דחזרת האב מתירתו חשיב שלא יצא מעולם.</w:t>
      </w:r>
    </w:p>
    <w:p w14:paraId="085581D1" w14:textId="77777777" w:rsidR="003D504D" w:rsidRPr="00D856BA" w:rsidRDefault="003D504D" w:rsidP="003D504D">
      <w:pPr>
        <w:pStyle w:val="a3"/>
      </w:pPr>
      <w:bookmarkStart w:id="17999" w:name="_Toc536617023"/>
      <w:bookmarkStart w:id="18000" w:name="_Toc19391328"/>
      <w:bookmarkStart w:id="18001" w:name="_Toc19394825"/>
      <w:r>
        <w:rPr>
          <w:rFonts w:hint="cs"/>
          <w:rtl/>
        </w:rPr>
        <w:t>דברי הגרש"ר דאי בחזר לא חל איסור יוצא לריו"ח אין ראיה דחשיב שלא יצא לדין ילוד</w:t>
      </w:r>
      <w:bookmarkEnd w:id="17999"/>
      <w:bookmarkEnd w:id="18000"/>
      <w:bookmarkEnd w:id="18001"/>
    </w:p>
    <w:p w14:paraId="5361EF83" w14:textId="77777777" w:rsidR="003D504D" w:rsidRPr="00750420" w:rsidRDefault="003D504D" w:rsidP="00223668">
      <w:pPr>
        <w:pStyle w:val="a0"/>
        <w:rPr>
          <w:rtl/>
        </w:rPr>
      </w:pPr>
      <w:r>
        <w:rPr>
          <w:rFonts w:hint="cs"/>
          <w:rtl/>
        </w:rPr>
        <w:t xml:space="preserve">וכתב </w:t>
      </w:r>
      <w:r w:rsidRPr="00D856BA">
        <w:rPr>
          <w:rStyle w:val="af9"/>
          <w:rFonts w:hint="cs"/>
          <w:rtl/>
        </w:rPr>
        <w:t>הגרש"ר</w:t>
      </w:r>
      <w:r>
        <w:rPr>
          <w:rFonts w:hint="cs"/>
          <w:rtl/>
        </w:rPr>
        <w:t xml:space="preserve"> דא"כ קשה להצד הראשון </w:t>
      </w:r>
      <w:r w:rsidRPr="00D57CCE">
        <w:rPr>
          <w:rStyle w:val="afb"/>
          <w:rFonts w:hint="cs"/>
          <w:rtl/>
        </w:rPr>
        <w:t xml:space="preserve">[שכתב </w:t>
      </w:r>
      <w:r w:rsidRPr="00D57CCE">
        <w:rPr>
          <w:rStyle w:val="affa"/>
          <w:rFonts w:hint="cs"/>
          <w:rtl/>
        </w:rPr>
        <w:t>הגרש"ר</w:t>
      </w:r>
      <w:r w:rsidRPr="00D57CCE">
        <w:rPr>
          <w:rStyle w:val="afb"/>
          <w:rFonts w:hint="cs"/>
          <w:rtl/>
        </w:rPr>
        <w:t xml:space="preserve"> </w:t>
      </w:r>
      <w:r w:rsidRPr="00D57CCE">
        <w:rPr>
          <w:rStyle w:val="aff6"/>
          <w:rFonts w:hint="cs"/>
          <w:rtl/>
        </w:rPr>
        <w:t xml:space="preserve">(עי' אות </w:t>
      </w:r>
      <w:r w:rsidRPr="00D57CCE">
        <w:rPr>
          <w:rStyle w:val="aff6"/>
          <w:rtl/>
        </w:rPr>
        <w:fldChar w:fldCharType="begin"/>
      </w:r>
      <w:r w:rsidRPr="00D57CCE">
        <w:rPr>
          <w:rStyle w:val="aff6"/>
          <w:rtl/>
        </w:rPr>
        <w:instrText xml:space="preserve"> </w:instrText>
      </w:r>
      <w:r w:rsidRPr="00D57CCE">
        <w:rPr>
          <w:rStyle w:val="aff6"/>
          <w:rFonts w:hint="cs"/>
        </w:rPr>
        <w:instrText>REF</w:instrText>
      </w:r>
      <w:r w:rsidRPr="00D57CCE">
        <w:rPr>
          <w:rStyle w:val="aff6"/>
          <w:rFonts w:hint="cs"/>
          <w:rtl/>
        </w:rPr>
        <w:instrText xml:space="preserve"> _</w:instrText>
      </w:r>
      <w:r w:rsidRPr="00D57CCE">
        <w:rPr>
          <w:rStyle w:val="aff6"/>
          <w:rFonts w:hint="cs"/>
        </w:rPr>
        <w:instrText>Ref536090936 \r \h</w:instrText>
      </w:r>
      <w:r w:rsidRPr="00D57CCE">
        <w:rPr>
          <w:rStyle w:val="aff6"/>
          <w:rtl/>
        </w:rPr>
        <w:instrText xml:space="preserve"> </w:instrText>
      </w:r>
      <w:r w:rsidRPr="00D57CCE">
        <w:rPr>
          <w:rStyle w:val="aff6"/>
          <w:rtl/>
        </w:rPr>
      </w:r>
      <w:r w:rsidRPr="00D57CCE">
        <w:rPr>
          <w:rStyle w:val="aff6"/>
          <w:rtl/>
        </w:rPr>
        <w:fldChar w:fldCharType="separate"/>
      </w:r>
      <w:r w:rsidR="00345400">
        <w:rPr>
          <w:rStyle w:val="aff6"/>
          <w:cs/>
        </w:rPr>
        <w:t>‎</w:t>
      </w:r>
      <w:r w:rsidR="00345400">
        <w:rPr>
          <w:rStyle w:val="aff6"/>
          <w:rtl/>
        </w:rPr>
        <w:t>קי)</w:t>
      </w:r>
      <w:r w:rsidRPr="00D57CCE">
        <w:rPr>
          <w:rStyle w:val="aff6"/>
          <w:rtl/>
        </w:rPr>
        <w:fldChar w:fldCharType="end"/>
      </w:r>
      <w:r w:rsidRPr="00D57CCE">
        <w:rPr>
          <w:rStyle w:val="afb"/>
          <w:rFonts w:hint="cs"/>
          <w:rtl/>
        </w:rPr>
        <w:t>]</w:t>
      </w:r>
      <w:r>
        <w:rPr>
          <w:rFonts w:hint="cs"/>
          <w:rtl/>
        </w:rPr>
        <w:t xml:space="preserve">  דלריו"ח לא חל על האבר איסור ביציאתו, וכשחזר הוא בכלל היתר "בהמה בבהמה", דהיאך הוכיחו </w:t>
      </w:r>
      <w:r w:rsidRPr="00881EA3">
        <w:rPr>
          <w:rStyle w:val="af9"/>
          <w:rFonts w:hint="cs"/>
          <w:rtl/>
        </w:rPr>
        <w:t>הבעה"מ והרא"ש</w:t>
      </w:r>
      <w:r>
        <w:rPr>
          <w:rFonts w:hint="cs"/>
          <w:rtl/>
        </w:rPr>
        <w:t xml:space="preserve"> דמהא דס"ל לריו"ח דהאבר מותר באכילה, מבואר דחזרתו מחשיבתו כאילו לא יצא מעולם, הא אפש"ל דחזרתו אינה מחשיבתו כאילו לא יצא, ולענין דין לידה האבר הוא כילוד ומצטרף לרוב העובר להחשיבו כילוד, וההיתר הוא רק לענין אכילה, דלא חל עליו איסור יוצא לפני השחיטה, וכיון שחזר הוא בכלל היתר "בהמה בבהמה" בשעת השחיטה. </w:t>
      </w:r>
      <w:bookmarkEnd w:id="17998"/>
    </w:p>
    <w:p w14:paraId="6F2E6475" w14:textId="77777777" w:rsidR="003D504D" w:rsidRDefault="003D504D" w:rsidP="003D504D">
      <w:pPr>
        <w:pStyle w:val="a3"/>
        <w:rPr>
          <w:rtl/>
        </w:rPr>
      </w:pPr>
      <w:bookmarkStart w:id="18002" w:name="_Toc536617024"/>
      <w:bookmarkStart w:id="18003" w:name="_Toc19391329"/>
      <w:bookmarkStart w:id="18004" w:name="_Toc19394826"/>
      <w:r>
        <w:rPr>
          <w:rFonts w:hint="cs"/>
          <w:rtl/>
        </w:rPr>
        <w:t>דברי הגרש"ר דמוכח דלריו"ח חזרה מתירה את איסור יוצא וחשיב שלא יצא ואינו מצטרף לרוב</w:t>
      </w:r>
      <w:bookmarkEnd w:id="18002"/>
      <w:bookmarkEnd w:id="18003"/>
      <w:bookmarkEnd w:id="18004"/>
    </w:p>
    <w:p w14:paraId="61D0BD9C" w14:textId="77777777" w:rsidR="003D504D" w:rsidRDefault="003D504D" w:rsidP="00223668">
      <w:pPr>
        <w:pStyle w:val="a0"/>
        <w:rPr>
          <w:rtl/>
        </w:rPr>
      </w:pPr>
      <w:r>
        <w:rPr>
          <w:rFonts w:hint="cs"/>
          <w:rtl/>
        </w:rPr>
        <w:t xml:space="preserve">אלא כתב </w:t>
      </w:r>
      <w:r w:rsidRPr="00881EA3">
        <w:rPr>
          <w:rStyle w:val="af9"/>
          <w:rFonts w:hint="cs"/>
          <w:rtl/>
        </w:rPr>
        <w:t>הגרש"ר</w:t>
      </w:r>
      <w:r>
        <w:rPr>
          <w:rFonts w:hint="cs"/>
          <w:rtl/>
        </w:rPr>
        <w:t xml:space="preserve"> דמוכח מדברי </w:t>
      </w:r>
      <w:r w:rsidRPr="00881EA3">
        <w:rPr>
          <w:rStyle w:val="af9"/>
          <w:rFonts w:hint="cs"/>
          <w:rtl/>
        </w:rPr>
        <w:t>הבעה"מ והרא"ש</w:t>
      </w:r>
      <w:r>
        <w:rPr>
          <w:rFonts w:hint="cs"/>
          <w:rtl/>
        </w:rPr>
        <w:t xml:space="preserve"> כהצד השני </w:t>
      </w:r>
      <w:r w:rsidRPr="00D57CCE">
        <w:rPr>
          <w:rStyle w:val="afb"/>
          <w:rFonts w:hint="cs"/>
          <w:rtl/>
        </w:rPr>
        <w:t xml:space="preserve">[שכתב </w:t>
      </w:r>
      <w:r w:rsidRPr="00D57CCE">
        <w:rPr>
          <w:rStyle w:val="affa"/>
          <w:rFonts w:hint="cs"/>
          <w:rtl/>
        </w:rPr>
        <w:t>הגרש"ר</w:t>
      </w:r>
      <w:r w:rsidRPr="00D57CCE">
        <w:rPr>
          <w:rStyle w:val="afb"/>
          <w:rFonts w:hint="cs"/>
          <w:rtl/>
        </w:rPr>
        <w:t xml:space="preserve"> </w:t>
      </w:r>
      <w:r w:rsidRPr="00D57CCE">
        <w:rPr>
          <w:rStyle w:val="aff6"/>
          <w:rFonts w:hint="cs"/>
          <w:rtl/>
        </w:rPr>
        <w:t xml:space="preserve">(עי' </w:t>
      </w:r>
      <w:r w:rsidRPr="00743552">
        <w:rPr>
          <w:rStyle w:val="aff6"/>
          <w:rFonts w:hint="cs"/>
          <w:rtl/>
        </w:rPr>
        <w:t xml:space="preserve">אות </w:t>
      </w:r>
      <w:r w:rsidRPr="00743552">
        <w:rPr>
          <w:rStyle w:val="aff6"/>
          <w:rtl/>
        </w:rPr>
        <w:fldChar w:fldCharType="begin"/>
      </w:r>
      <w:r w:rsidRPr="00743552">
        <w:rPr>
          <w:rStyle w:val="aff6"/>
          <w:rtl/>
        </w:rPr>
        <w:instrText xml:space="preserve"> </w:instrText>
      </w:r>
      <w:r w:rsidRPr="00743552">
        <w:rPr>
          <w:rStyle w:val="aff6"/>
          <w:rFonts w:hint="cs"/>
        </w:rPr>
        <w:instrText>REF</w:instrText>
      </w:r>
      <w:r w:rsidRPr="00743552">
        <w:rPr>
          <w:rStyle w:val="aff6"/>
          <w:rFonts w:hint="cs"/>
          <w:rtl/>
        </w:rPr>
        <w:instrText xml:space="preserve"> _</w:instrText>
      </w:r>
      <w:r w:rsidRPr="00743552">
        <w:rPr>
          <w:rStyle w:val="aff6"/>
          <w:rFonts w:hint="cs"/>
        </w:rPr>
        <w:instrText>Ref536090951 \r \h</w:instrText>
      </w:r>
      <w:r w:rsidRPr="00743552">
        <w:rPr>
          <w:rStyle w:val="aff6"/>
          <w:rtl/>
        </w:rPr>
        <w:instrText xml:space="preserve"> </w:instrText>
      </w:r>
      <w:r w:rsidRPr="00743552">
        <w:rPr>
          <w:rStyle w:val="aff6"/>
          <w:rtl/>
        </w:rPr>
      </w:r>
      <w:r w:rsidRPr="00743552">
        <w:rPr>
          <w:rStyle w:val="aff6"/>
          <w:rtl/>
        </w:rPr>
        <w:fldChar w:fldCharType="separate"/>
      </w:r>
      <w:r w:rsidR="00345400">
        <w:rPr>
          <w:rStyle w:val="aff6"/>
          <w:cs/>
        </w:rPr>
        <w:t>‎</w:t>
      </w:r>
      <w:r w:rsidR="00345400">
        <w:rPr>
          <w:rStyle w:val="aff6"/>
          <w:rtl/>
        </w:rPr>
        <w:t>קיא)</w:t>
      </w:r>
      <w:r w:rsidRPr="00743552">
        <w:rPr>
          <w:rStyle w:val="aff6"/>
          <w:rtl/>
        </w:rPr>
        <w:fldChar w:fldCharType="end"/>
      </w:r>
      <w:r w:rsidRPr="00D57CCE">
        <w:rPr>
          <w:rStyle w:val="afb"/>
          <w:rFonts w:hint="cs"/>
          <w:rtl/>
        </w:rPr>
        <w:t>]</w:t>
      </w:r>
      <w:r>
        <w:rPr>
          <w:rFonts w:hint="cs"/>
          <w:rtl/>
        </w:rPr>
        <w:t>,</w:t>
      </w:r>
      <w:r w:rsidRPr="00447FC6">
        <w:rPr>
          <w:rFonts w:hint="cs"/>
          <w:rtl/>
        </w:rPr>
        <w:t xml:space="preserve"> </w:t>
      </w:r>
      <w:r>
        <w:rPr>
          <w:rFonts w:hint="cs"/>
          <w:rtl/>
        </w:rPr>
        <w:t>דאף ריו"ח מודה דבשעת יציאת האבר לאויר העולם חל עליו איסור יוצא, אלא דלדעת ריו"ח חזרתו מתירתו,</w:t>
      </w:r>
      <w:r w:rsidRPr="00FA1F13">
        <w:rPr>
          <w:rFonts w:hint="cs"/>
          <w:rtl/>
        </w:rPr>
        <w:t xml:space="preserve"> </w:t>
      </w:r>
      <w:r>
        <w:rPr>
          <w:rFonts w:hint="cs"/>
          <w:rtl/>
        </w:rPr>
        <w:t xml:space="preserve">דהוא בטל לגבי אמו ופוקע ממנו איסור יוצא, ומזה הוכיחו </w:t>
      </w:r>
      <w:r w:rsidRPr="00881EA3">
        <w:rPr>
          <w:rStyle w:val="af9"/>
          <w:rFonts w:hint="cs"/>
          <w:rtl/>
        </w:rPr>
        <w:t>הבעה"מ והרא"ש</w:t>
      </w:r>
      <w:r>
        <w:rPr>
          <w:rFonts w:hint="cs"/>
          <w:rtl/>
        </w:rPr>
        <w:t xml:space="preserve"> דלדעת ריו"ח בל"ק, חזרתו מחשיבתו כאילו לא יצא מעולם, ולכן הקשו על </w:t>
      </w:r>
      <w:r w:rsidRPr="00881EA3">
        <w:rPr>
          <w:rStyle w:val="af9"/>
          <w:rFonts w:hint="cs"/>
          <w:rtl/>
        </w:rPr>
        <w:t>רש"י</w:t>
      </w:r>
      <w:r>
        <w:rPr>
          <w:rFonts w:hint="cs"/>
          <w:rtl/>
        </w:rPr>
        <w:t xml:space="preserve"> דא"א לפרש דאף בלישנא דמערבא מתיר ריו"ח בחזרת האבר, דא"כ מה מסתפקת הגמ' </w:t>
      </w:r>
      <w:r>
        <w:rPr>
          <w:rtl/>
        </w:rPr>
        <w:t xml:space="preserve">בהוציא אברים והחזירם עד שהשלים לרוב, </w:t>
      </w:r>
      <w:r>
        <w:rPr>
          <w:rFonts w:hint="cs"/>
          <w:rtl/>
        </w:rPr>
        <w:t>הרי כיון דלריו"ח מהני החזרה להתירו באכילה, א"כ חשיב שלא יצא מעולם,</w:t>
      </w:r>
      <w:r w:rsidRPr="00805475">
        <w:rPr>
          <w:rFonts w:hint="cs"/>
          <w:rtl/>
        </w:rPr>
        <w:t xml:space="preserve"> </w:t>
      </w:r>
      <w:r>
        <w:rPr>
          <w:rFonts w:hint="cs"/>
          <w:rtl/>
        </w:rPr>
        <w:t>ופשיטא שאינו יכול להצטרף לרוב לאסור.</w:t>
      </w:r>
    </w:p>
    <w:p w14:paraId="2006F319" w14:textId="77777777" w:rsidR="003D504D" w:rsidRDefault="003D504D" w:rsidP="003D504D">
      <w:pPr>
        <w:pStyle w:val="a3"/>
        <w:rPr>
          <w:rtl/>
        </w:rPr>
      </w:pPr>
      <w:bookmarkStart w:id="18005" w:name="_Toc536617025"/>
      <w:bookmarkStart w:id="18006" w:name="_Toc19391330"/>
      <w:bookmarkStart w:id="18007" w:name="_Toc19394827"/>
      <w:r>
        <w:rPr>
          <w:rFonts w:hint="cs"/>
          <w:rtl/>
        </w:rPr>
        <w:t>ביאור הגרש"ר דלריו"ח חזרתו מבטלת את איסור יוצא ועי"ז הוא בכלל היתר "בהמה בבהמה"</w:t>
      </w:r>
      <w:bookmarkEnd w:id="18005"/>
      <w:bookmarkEnd w:id="18006"/>
      <w:bookmarkEnd w:id="18007"/>
    </w:p>
    <w:p w14:paraId="45A8CF5D" w14:textId="77777777" w:rsidR="003D504D" w:rsidRDefault="003D504D" w:rsidP="00223668">
      <w:pPr>
        <w:pStyle w:val="a0"/>
        <w:rPr>
          <w:rtl/>
        </w:rPr>
      </w:pPr>
      <w:r>
        <w:rPr>
          <w:rFonts w:hint="cs"/>
          <w:rtl/>
        </w:rPr>
        <w:t xml:space="preserve">אך דחה </w:t>
      </w:r>
      <w:r w:rsidRPr="00DC4F69">
        <w:rPr>
          <w:rStyle w:val="af9"/>
          <w:rFonts w:hint="cs"/>
          <w:rtl/>
        </w:rPr>
        <w:t>הגרש"ר</w:t>
      </w:r>
      <w:r>
        <w:rPr>
          <w:rFonts w:hint="cs"/>
          <w:rtl/>
        </w:rPr>
        <w:t xml:space="preserve"> </w:t>
      </w:r>
      <w:r w:rsidRPr="0027037F">
        <w:rPr>
          <w:rStyle w:val="af7"/>
          <w:rFonts w:eastAsia="Guttman Hodes" w:hint="cs"/>
          <w:rtl/>
        </w:rPr>
        <w:t>(זכרון שמואל סי' ע"ד א' ד"ה אמנם)</w:t>
      </w:r>
      <w:r>
        <w:rPr>
          <w:rFonts w:hint="cs"/>
          <w:rtl/>
        </w:rPr>
        <w:t xml:space="preserve"> דאפשר לבאר באופן אחר דלריו"ח איסור יוצא אוסר את האבר רק בזמן שהוא מחוץ למחיצת אמו, ולכן אף שכשהאבר בחוץ חל עליו איסור "בשר בשדה טריפה", מ"מ חזרתו מבטלת את דין יוצא שחל עליו כשהיה בחוץ, כיון דעכשיו הוא במעי אמו והוא בכלל היתר "בהמה בבהמה" ואינו נחשב כיוצא, ורב דאוסר הוא כיון דס"ל דחזרתו אינה מבטלת ממנו את דין יוצא, ואף </w:t>
      </w:r>
      <w:r w:rsidRPr="0027037F">
        <w:rPr>
          <w:rFonts w:hint="cs"/>
          <w:rtl/>
        </w:rPr>
        <w:t>כשהוא במעי אמו והוא בכלל היתר "בהמה בבהמה", מ"מ עדיין הוא אסור מדין יוצא</w:t>
      </w:r>
      <w:r>
        <w:rPr>
          <w:rFonts w:hint="cs"/>
          <w:rtl/>
        </w:rPr>
        <w:t>,</w:t>
      </w:r>
      <w:r w:rsidRPr="0027037F">
        <w:rPr>
          <w:rFonts w:hint="cs"/>
          <w:rtl/>
        </w:rPr>
        <w:t xml:space="preserve"> </w:t>
      </w:r>
      <w:r w:rsidRPr="0027037F">
        <w:rPr>
          <w:rStyle w:val="afb"/>
          <w:rFonts w:hint="cs"/>
          <w:rtl/>
        </w:rPr>
        <w:t xml:space="preserve">[כדביאר </w:t>
      </w:r>
      <w:r w:rsidRPr="0027037F">
        <w:rPr>
          <w:rStyle w:val="affa"/>
          <w:rFonts w:hint="cs"/>
          <w:rtl/>
        </w:rPr>
        <w:t>רש"י</w:t>
      </w:r>
      <w:r w:rsidRPr="0027037F">
        <w:rPr>
          <w:rStyle w:val="afb"/>
          <w:rFonts w:hint="cs"/>
          <w:rtl/>
        </w:rPr>
        <w:t xml:space="preserve"> </w:t>
      </w:r>
      <w:r w:rsidRPr="0027037F">
        <w:rPr>
          <w:rStyle w:val="aff6"/>
          <w:rFonts w:hint="cs"/>
          <w:rtl/>
        </w:rPr>
        <w:t>(סח. ד"ה לעולם)</w:t>
      </w:r>
      <w:r>
        <w:rPr>
          <w:rStyle w:val="afb"/>
          <w:rFonts w:hint="cs"/>
          <w:rtl/>
        </w:rPr>
        <w:t xml:space="preserve"> </w:t>
      </w:r>
      <w:r w:rsidRPr="0027037F">
        <w:rPr>
          <w:rStyle w:val="afb"/>
          <w:rFonts w:hint="cs"/>
          <w:rtl/>
        </w:rPr>
        <w:t>לענין מקום חתך]</w:t>
      </w:r>
      <w:r>
        <w:rPr>
          <w:rFonts w:hint="cs"/>
          <w:rtl/>
        </w:rPr>
        <w:t xml:space="preserve">, וכתב </w:t>
      </w:r>
      <w:r w:rsidRPr="00DC4F69">
        <w:rPr>
          <w:rStyle w:val="af9"/>
          <w:rFonts w:hint="cs"/>
          <w:rtl/>
        </w:rPr>
        <w:t>הגרש"ר</w:t>
      </w:r>
      <w:r>
        <w:rPr>
          <w:rFonts w:hint="cs"/>
          <w:rtl/>
        </w:rPr>
        <w:t xml:space="preserve"> דלפי"ז מבוארת קושית </w:t>
      </w:r>
      <w:r w:rsidRPr="00DC4F69">
        <w:rPr>
          <w:rStyle w:val="af9"/>
          <w:rFonts w:hint="cs"/>
          <w:rtl/>
        </w:rPr>
        <w:t>הבעה"מ והרא"ש</w:t>
      </w:r>
      <w:r>
        <w:rPr>
          <w:rFonts w:hint="cs"/>
          <w:rtl/>
        </w:rPr>
        <w:t>, דכיון דס"ל לריו"ח דע"י החזרה בטל ממנו דין יוצא, א"כ חשיב כאילו לא יצא כלל, ופשיטא שאינו מצטרף לרוב העובר להחשיבו כילוד שיצא לחוץ.</w:t>
      </w:r>
    </w:p>
    <w:p w14:paraId="7827EEFC" w14:textId="77777777" w:rsidR="003D504D" w:rsidRDefault="003D504D" w:rsidP="003D504D">
      <w:pPr>
        <w:pStyle w:val="a3"/>
        <w:rPr>
          <w:rtl/>
        </w:rPr>
      </w:pPr>
      <w:bookmarkStart w:id="18008" w:name="_Toc536617026"/>
      <w:bookmarkStart w:id="18009" w:name="_Toc19391331"/>
      <w:bookmarkStart w:id="18010" w:name="_Toc19394828"/>
      <w:r>
        <w:rPr>
          <w:rFonts w:hint="cs"/>
          <w:rtl/>
        </w:rPr>
        <w:t>דברי הגרש"ר דדוחק לומר דחזרה דמהני לבטל יוצא בשחיטה מהני לבטל יוצא לענין דין לידה</w:t>
      </w:r>
      <w:bookmarkEnd w:id="18008"/>
      <w:bookmarkEnd w:id="18009"/>
      <w:bookmarkEnd w:id="18010"/>
    </w:p>
    <w:p w14:paraId="2F082F56" w14:textId="77777777" w:rsidR="003D504D" w:rsidRPr="002C205A" w:rsidRDefault="003D504D" w:rsidP="00223668">
      <w:pPr>
        <w:pStyle w:val="a0"/>
        <w:rPr>
          <w:rtl/>
        </w:rPr>
      </w:pPr>
      <w:r>
        <w:rPr>
          <w:rFonts w:hint="cs"/>
          <w:rtl/>
        </w:rPr>
        <w:t xml:space="preserve">אך כתב </w:t>
      </w:r>
      <w:r w:rsidRPr="00DC4F69">
        <w:rPr>
          <w:rStyle w:val="af9"/>
          <w:rFonts w:hint="cs"/>
          <w:rtl/>
        </w:rPr>
        <w:t>הגרש"ר</w:t>
      </w:r>
      <w:r>
        <w:rPr>
          <w:rFonts w:hint="cs"/>
          <w:rtl/>
        </w:rPr>
        <w:t xml:space="preserve"> דדוחק לבאר כן, דהא דין יוצא הוא דין רק לענין שחיטה, וא"כ א"א להוכיח מהא דחזרתו מבטלת ממנו את דין יוצא, דחשיב כאילו לא יצא כלל, לענין דינים אחרים, כדין ילוד שאינו דין רק בשחיטה.</w:t>
      </w:r>
    </w:p>
    <w:p w14:paraId="680CBE65" w14:textId="77777777" w:rsidR="003D504D" w:rsidRDefault="003D504D" w:rsidP="003D504D">
      <w:pPr>
        <w:pStyle w:val="afd"/>
        <w:rPr>
          <w:rtl/>
        </w:rPr>
      </w:pPr>
      <w:bookmarkStart w:id="18011" w:name="_Toc536130329"/>
      <w:bookmarkStart w:id="18012" w:name="_Toc536178410"/>
      <w:bookmarkStart w:id="18013" w:name="_Toc536180792"/>
      <w:bookmarkStart w:id="18014" w:name="_Toc536305046"/>
      <w:bookmarkStart w:id="18015" w:name="_Toc536305127"/>
      <w:bookmarkStart w:id="18016" w:name="_Toc536459353"/>
      <w:bookmarkStart w:id="18017" w:name="_Toc536466313"/>
      <w:bookmarkStart w:id="18018" w:name="_Toc536540475"/>
      <w:bookmarkStart w:id="18019" w:name="_Toc536564325"/>
      <w:bookmarkStart w:id="18020" w:name="_Toc536564480"/>
      <w:bookmarkStart w:id="18021" w:name="_Toc536617027"/>
      <w:bookmarkStart w:id="18022" w:name="_Toc5356381"/>
      <w:bookmarkStart w:id="18023" w:name="_Toc16669764"/>
      <w:bookmarkStart w:id="18024" w:name="_Toc19436080"/>
      <w:bookmarkStart w:id="18025" w:name="_Toc20081274"/>
      <w:r>
        <w:rPr>
          <w:rFonts w:hint="cs"/>
          <w:rtl/>
        </w:rPr>
        <w:t>בגדר חזרת אבר בקלוט במעי פרה</w:t>
      </w:r>
      <w:bookmarkEnd w:id="18011"/>
      <w:bookmarkEnd w:id="18012"/>
      <w:bookmarkEnd w:id="18013"/>
      <w:bookmarkEnd w:id="18014"/>
      <w:bookmarkEnd w:id="18015"/>
      <w:bookmarkEnd w:id="18016"/>
      <w:bookmarkEnd w:id="18017"/>
      <w:bookmarkEnd w:id="18018"/>
      <w:bookmarkEnd w:id="18019"/>
      <w:bookmarkEnd w:id="18020"/>
      <w:bookmarkEnd w:id="18021"/>
      <w:bookmarkEnd w:id="18022"/>
      <w:bookmarkEnd w:id="18023"/>
      <w:bookmarkEnd w:id="18024"/>
      <w:bookmarkEnd w:id="18025"/>
    </w:p>
    <w:p w14:paraId="4BF125D2" w14:textId="77777777" w:rsidR="003D504D" w:rsidRDefault="003D504D" w:rsidP="00BF39B2">
      <w:pPr>
        <w:pStyle w:val="1"/>
        <w:rPr>
          <w:rtl/>
        </w:rPr>
      </w:pPr>
      <w:bookmarkStart w:id="18026" w:name="_Toc536130330"/>
      <w:bookmarkStart w:id="18027" w:name="_Toc536178411"/>
      <w:bookmarkStart w:id="18028" w:name="_Toc536180793"/>
      <w:bookmarkStart w:id="18029" w:name="_Toc536305047"/>
      <w:bookmarkStart w:id="18030" w:name="_Toc536305128"/>
      <w:bookmarkStart w:id="18031" w:name="_Toc536459354"/>
      <w:bookmarkStart w:id="18032" w:name="_Toc536466314"/>
      <w:bookmarkStart w:id="18033" w:name="_Toc536540476"/>
      <w:bookmarkStart w:id="18034" w:name="_Toc536564326"/>
      <w:bookmarkStart w:id="18035" w:name="_Toc536564481"/>
      <w:bookmarkStart w:id="18036" w:name="_Toc536617028"/>
      <w:bookmarkStart w:id="18037" w:name="_Toc19391332"/>
      <w:bookmarkStart w:id="18038" w:name="_Toc19394829"/>
      <w:r>
        <w:rPr>
          <w:rFonts w:hint="cs"/>
          <w:rtl/>
        </w:rPr>
        <w:t>דברי הגרש"ר</w:t>
      </w:r>
      <w:bookmarkEnd w:id="18026"/>
      <w:bookmarkEnd w:id="18027"/>
      <w:bookmarkEnd w:id="18028"/>
      <w:bookmarkEnd w:id="18029"/>
      <w:bookmarkEnd w:id="18030"/>
      <w:bookmarkEnd w:id="18031"/>
      <w:bookmarkEnd w:id="18032"/>
      <w:bookmarkEnd w:id="18033"/>
      <w:bookmarkEnd w:id="18034"/>
      <w:bookmarkEnd w:id="18035"/>
      <w:r>
        <w:rPr>
          <w:rFonts w:hint="cs"/>
          <w:rtl/>
        </w:rPr>
        <w:t xml:space="preserve"> דבאבר אחד אין איסור גמור דקלוט או אבמה"ח</w:t>
      </w:r>
      <w:bookmarkEnd w:id="18036"/>
      <w:bookmarkEnd w:id="18037"/>
      <w:bookmarkEnd w:id="18038"/>
      <w:r>
        <w:rPr>
          <w:rFonts w:hint="cs"/>
          <w:rtl/>
        </w:rPr>
        <w:t xml:space="preserve"> </w:t>
      </w:r>
    </w:p>
    <w:p w14:paraId="7D44D02A" w14:textId="77777777" w:rsidR="003D504D" w:rsidRPr="008355E4" w:rsidRDefault="003D504D" w:rsidP="003D504D">
      <w:pPr>
        <w:pStyle w:val="a3"/>
        <w:rPr>
          <w:rtl/>
        </w:rPr>
      </w:pPr>
      <w:bookmarkStart w:id="18039" w:name="_Toc536617029"/>
      <w:bookmarkStart w:id="18040" w:name="_Toc19391333"/>
      <w:bookmarkStart w:id="18041" w:name="_Toc19394830"/>
      <w:r>
        <w:rPr>
          <w:rFonts w:hint="cs"/>
          <w:rtl/>
        </w:rPr>
        <w:t>דברי הגרש"ר דמשמע ברא"ה דאף שהאבר נאסר באיסור קלוט מ"מ חזרתו מתירתו</w:t>
      </w:r>
      <w:bookmarkEnd w:id="18039"/>
      <w:bookmarkEnd w:id="18040"/>
      <w:bookmarkEnd w:id="18041"/>
    </w:p>
    <w:p w14:paraId="53F2C428" w14:textId="77777777" w:rsidR="003D504D" w:rsidRDefault="003D504D" w:rsidP="00223668">
      <w:pPr>
        <w:pStyle w:val="a0"/>
        <w:rPr>
          <w:rtl/>
        </w:rPr>
      </w:pPr>
      <w:r>
        <w:rPr>
          <w:rFonts w:hint="cs"/>
          <w:rtl/>
        </w:rPr>
        <w:t xml:space="preserve">בדברי </w:t>
      </w:r>
      <w:r w:rsidRPr="00D40D91">
        <w:rPr>
          <w:rStyle w:val="af9"/>
          <w:rFonts w:hint="cs"/>
          <w:rtl/>
        </w:rPr>
        <w:t>הר"ן</w:t>
      </w:r>
      <w:r>
        <w:rPr>
          <w:rFonts w:hint="cs"/>
          <w:rtl/>
        </w:rPr>
        <w:t xml:space="preserve"> </w:t>
      </w:r>
      <w:r w:rsidRPr="00D40D91">
        <w:rPr>
          <w:rStyle w:val="af7"/>
          <w:rFonts w:eastAsia="Guttman Hodes" w:hint="cs"/>
          <w:rtl/>
        </w:rPr>
        <w:t xml:space="preserve">(עי' אות </w:t>
      </w:r>
      <w:r w:rsidRPr="00D40D91">
        <w:rPr>
          <w:rStyle w:val="af7"/>
          <w:rFonts w:eastAsia="Guttman Hodes"/>
          <w:rtl/>
        </w:rPr>
        <w:fldChar w:fldCharType="begin"/>
      </w:r>
      <w:r w:rsidRPr="00D40D91">
        <w:rPr>
          <w:rStyle w:val="af7"/>
          <w:rFonts w:eastAsia="Guttman Hodes"/>
          <w:rtl/>
        </w:rPr>
        <w:instrText xml:space="preserve"> </w:instrText>
      </w:r>
      <w:r w:rsidRPr="00D40D91">
        <w:rPr>
          <w:rStyle w:val="af7"/>
          <w:rFonts w:eastAsia="Guttman Hodes" w:hint="cs"/>
        </w:rPr>
        <w:instrText>REF</w:instrText>
      </w:r>
      <w:r w:rsidRPr="00D40D91">
        <w:rPr>
          <w:rStyle w:val="af7"/>
          <w:rFonts w:eastAsia="Guttman Hodes" w:hint="cs"/>
          <w:rtl/>
        </w:rPr>
        <w:instrText xml:space="preserve"> _</w:instrText>
      </w:r>
      <w:r w:rsidRPr="00D40D91">
        <w:rPr>
          <w:rStyle w:val="af7"/>
          <w:rFonts w:eastAsia="Guttman Hodes" w:hint="cs"/>
        </w:rPr>
        <w:instrText>Ref536090209 \r \h</w:instrText>
      </w:r>
      <w:r w:rsidRPr="00D40D91">
        <w:rPr>
          <w:rStyle w:val="af7"/>
          <w:rFonts w:eastAsia="Guttman Hodes"/>
          <w:rtl/>
        </w:rPr>
        <w:instrText xml:space="preserve"> </w:instrText>
      </w:r>
      <w:r w:rsidRPr="00D40D91">
        <w:rPr>
          <w:rStyle w:val="af7"/>
          <w:rFonts w:eastAsia="Guttman Hodes"/>
          <w:rtl/>
        </w:rPr>
      </w:r>
      <w:r w:rsidRPr="00D40D91">
        <w:rPr>
          <w:rStyle w:val="af7"/>
          <w:rFonts w:eastAsia="Guttman Hodes"/>
          <w:rtl/>
        </w:rPr>
        <w:fldChar w:fldCharType="separate"/>
      </w:r>
      <w:r w:rsidR="00345400">
        <w:rPr>
          <w:rStyle w:val="af7"/>
          <w:rFonts w:eastAsia="Guttman Hodes"/>
          <w:cs/>
        </w:rPr>
        <w:t>‎</w:t>
      </w:r>
      <w:r w:rsidR="00345400">
        <w:rPr>
          <w:rStyle w:val="af7"/>
          <w:rFonts w:eastAsia="Guttman Hodes"/>
          <w:rtl/>
        </w:rPr>
        <w:t>טז)</w:t>
      </w:r>
      <w:r w:rsidRPr="00D40D91">
        <w:rPr>
          <w:rStyle w:val="af7"/>
          <w:rFonts w:eastAsia="Guttman Hodes"/>
          <w:rtl/>
        </w:rPr>
        <w:fldChar w:fldCharType="end"/>
      </w:r>
      <w:r>
        <w:rPr>
          <w:rFonts w:hint="cs"/>
          <w:rtl/>
        </w:rPr>
        <w:t xml:space="preserve"> בשם </w:t>
      </w:r>
      <w:r w:rsidRPr="00D40D91">
        <w:rPr>
          <w:rStyle w:val="af9"/>
          <w:rFonts w:hint="cs"/>
          <w:rtl/>
        </w:rPr>
        <w:t>הרא"ה</w:t>
      </w:r>
      <w:r>
        <w:rPr>
          <w:rFonts w:hint="cs"/>
          <w:rtl/>
        </w:rPr>
        <w:t xml:space="preserve"> דקמ"ל מתני' דאף בקלוט במעי פרה, מהני חזרת האבר להתיר את מקום החתך, אף דאחר לידתו יש בו איסור "קלוט", מדין גמל במעי פרה, כתב </w:t>
      </w:r>
      <w:r w:rsidRPr="00D40D91">
        <w:rPr>
          <w:rStyle w:val="af9"/>
          <w:rFonts w:hint="cs"/>
          <w:rtl/>
        </w:rPr>
        <w:t>הגרש"ר</w:t>
      </w:r>
      <w:r>
        <w:rPr>
          <w:rFonts w:hint="cs"/>
          <w:rtl/>
        </w:rPr>
        <w:t xml:space="preserve"> </w:t>
      </w:r>
      <w:r w:rsidRPr="00D40D91">
        <w:rPr>
          <w:rStyle w:val="af7"/>
          <w:rFonts w:eastAsia="Guttman Hodes" w:hint="cs"/>
          <w:rtl/>
        </w:rPr>
        <w:t>(זכרון שמואל סי' ע"ד א' ד"ה והנה</w:t>
      </w:r>
      <w:r>
        <w:rPr>
          <w:rStyle w:val="af7"/>
          <w:rFonts w:eastAsia="Guttman Hodes" w:hint="cs"/>
          <w:rtl/>
        </w:rPr>
        <w:t xml:space="preserve"> בגמ'</w:t>
      </w:r>
      <w:r w:rsidRPr="00D40D91">
        <w:rPr>
          <w:rStyle w:val="af7"/>
          <w:rFonts w:eastAsia="Guttman Hodes" w:hint="cs"/>
          <w:rtl/>
        </w:rPr>
        <w:t>)</w:t>
      </w:r>
      <w:r>
        <w:rPr>
          <w:rFonts w:hint="cs"/>
          <w:rtl/>
        </w:rPr>
        <w:t xml:space="preserve"> דבפשטות משמע </w:t>
      </w:r>
      <w:r w:rsidRPr="00D40D91">
        <w:rPr>
          <w:rStyle w:val="af9"/>
          <w:rFonts w:hint="cs"/>
          <w:rtl/>
        </w:rPr>
        <w:t>מהרא"ה</w:t>
      </w:r>
      <w:r>
        <w:rPr>
          <w:rFonts w:hint="cs"/>
          <w:rtl/>
        </w:rPr>
        <w:t xml:space="preserve"> דהילפותא להתיר מאיסור קלוט את מקום החתך בהחזיר את האבר, אינה מחמת דלא חל על האבר איסור "קלוט", ובאבר אחד אין את האיסור, אלא דקמ"ל קרא דאף שהאבר עצמו לעולם נאסר ביציאתו, באיסור "קלוט", מ"מ כשהחזיר את האבר, הותר האיסור "קלוט" שבו.</w:t>
      </w:r>
    </w:p>
    <w:p w14:paraId="235C17C3" w14:textId="77777777" w:rsidR="003D504D" w:rsidRPr="008355E4" w:rsidRDefault="003D504D" w:rsidP="003D504D">
      <w:pPr>
        <w:pStyle w:val="a3"/>
        <w:rPr>
          <w:rtl/>
        </w:rPr>
      </w:pPr>
      <w:bookmarkStart w:id="18042" w:name="_Toc536617030"/>
      <w:bookmarkStart w:id="18043" w:name="_Toc19391334"/>
      <w:bookmarkStart w:id="18044" w:name="_Toc19394831"/>
      <w:r>
        <w:rPr>
          <w:rFonts w:hint="cs"/>
          <w:rtl/>
        </w:rPr>
        <w:t>ביאור הגרש"ר דבאבר אחד רק מדין יוצא שייך לחול מקצת איסור קלוט או נבילה או אבמה"ח</w:t>
      </w:r>
      <w:bookmarkEnd w:id="18042"/>
      <w:bookmarkEnd w:id="18043"/>
      <w:bookmarkEnd w:id="18044"/>
    </w:p>
    <w:p w14:paraId="1F085687" w14:textId="77777777" w:rsidR="003D504D" w:rsidRDefault="003D504D" w:rsidP="00223668">
      <w:pPr>
        <w:pStyle w:val="a0"/>
        <w:rPr>
          <w:rtl/>
        </w:rPr>
      </w:pPr>
      <w:bookmarkStart w:id="18045" w:name="_Ref536616007"/>
      <w:r>
        <w:rPr>
          <w:rFonts w:hint="cs"/>
          <w:rtl/>
        </w:rPr>
        <w:t xml:space="preserve">וביאר </w:t>
      </w:r>
      <w:r w:rsidRPr="00D40D91">
        <w:rPr>
          <w:rStyle w:val="af9"/>
          <w:rFonts w:hint="cs"/>
          <w:rtl/>
        </w:rPr>
        <w:t>הגרש"ר</w:t>
      </w:r>
      <w:r>
        <w:rPr>
          <w:rFonts w:hint="cs"/>
          <w:rtl/>
        </w:rPr>
        <w:t xml:space="preserve"> דאף שחל על האבר איסור "קלוט", מ"מ אינו נחשב כגמל דהרי לא שייך לומר שיש לאו דגמל באבר אחד, וכתב </w:t>
      </w:r>
      <w:r w:rsidRPr="00D40D91">
        <w:rPr>
          <w:rStyle w:val="af9"/>
          <w:rFonts w:hint="cs"/>
          <w:rtl/>
        </w:rPr>
        <w:t>הגרש"ר</w:t>
      </w:r>
      <w:r>
        <w:rPr>
          <w:rFonts w:hint="cs"/>
          <w:rtl/>
        </w:rPr>
        <w:t xml:space="preserve"> דכן מוכח מהא דבאבר היוצא לא חל איסור גמור של נבילה או איסור גמור של אבר מן החי, אלא דהגדר באיסור "בשר בשדה טריפה" הוא דכיון שיש חסרון בשחיטה, לכן האבר היוצא חשיב כמקצת איסור נבילה, או כמקצת איסור אבר מן החי, שהזהירה עליו תורה, בדין "בשר בשדה טריפה", וכתב </w:t>
      </w:r>
      <w:r w:rsidRPr="00D40D91">
        <w:rPr>
          <w:rStyle w:val="af9"/>
          <w:rFonts w:hint="cs"/>
          <w:rtl/>
        </w:rPr>
        <w:t>הגרש"ר</w:t>
      </w:r>
      <w:r>
        <w:rPr>
          <w:rFonts w:hint="cs"/>
          <w:rtl/>
        </w:rPr>
        <w:t xml:space="preserve"> דה"ה באבר היוצא בקלוט, דע"י איסור "בשר בשדה טריפה", נכלל האבר שיצא במקצת איסור "קלוט" בלאו דגמל.</w:t>
      </w:r>
      <w:bookmarkEnd w:id="18045"/>
    </w:p>
    <w:p w14:paraId="1DEC45D9" w14:textId="77777777" w:rsidR="003D504D" w:rsidRDefault="003D504D" w:rsidP="003D504D">
      <w:pPr>
        <w:pStyle w:val="a3"/>
        <w:rPr>
          <w:rtl/>
        </w:rPr>
      </w:pPr>
      <w:bookmarkStart w:id="18046" w:name="_Toc536617031"/>
      <w:bookmarkStart w:id="18047" w:name="_Toc19391335"/>
      <w:bookmarkStart w:id="18048" w:name="_Toc19394832"/>
      <w:r>
        <w:rPr>
          <w:rFonts w:hint="cs"/>
          <w:rtl/>
        </w:rPr>
        <w:t>ביאור הגרש"ר דכל שאין לו חיוב שחיטה מצד עצמו לא שייך לאוסרו בקלוט ונבילה ובאמה"ח</w:t>
      </w:r>
      <w:bookmarkEnd w:id="18046"/>
      <w:bookmarkEnd w:id="18047"/>
      <w:bookmarkEnd w:id="18048"/>
    </w:p>
    <w:p w14:paraId="0C405048" w14:textId="77777777" w:rsidR="003D504D" w:rsidRDefault="003D504D" w:rsidP="00223668">
      <w:pPr>
        <w:pStyle w:val="a0"/>
        <w:rPr>
          <w:rtl/>
        </w:rPr>
      </w:pPr>
      <w:r w:rsidRPr="006E5500">
        <w:rPr>
          <w:rFonts w:hint="cs"/>
          <w:rtl/>
        </w:rPr>
        <w:t xml:space="preserve">וביאר </w:t>
      </w:r>
      <w:r w:rsidRPr="00D57CCE">
        <w:rPr>
          <w:rStyle w:val="af9"/>
          <w:rFonts w:hint="cs"/>
          <w:rtl/>
        </w:rPr>
        <w:t>הגרש"ר</w:t>
      </w:r>
      <w:r w:rsidRPr="006E5500">
        <w:rPr>
          <w:rFonts w:hint="cs"/>
          <w:rtl/>
        </w:rPr>
        <w:t xml:space="preserve"> </w:t>
      </w:r>
      <w:r>
        <w:rPr>
          <w:rFonts w:hint="cs"/>
          <w:rtl/>
        </w:rPr>
        <w:t>ד</w:t>
      </w:r>
      <w:r w:rsidRPr="006E5500">
        <w:rPr>
          <w:rFonts w:hint="cs"/>
          <w:rtl/>
        </w:rPr>
        <w:t>כיון</w:t>
      </w:r>
      <w:r>
        <w:rPr>
          <w:rFonts w:hint="cs"/>
          <w:rtl/>
        </w:rPr>
        <w:t xml:space="preserve"> שכ"ז שלא נולד העובר לא חל עליו דין שחיטה מצד עצמו, ולכן א"א לאוסרו מדין נבילה או מדין גמל, ורק ע"י איסור יוצא חל על האבר מקצת איסור של נבילה או מקצת איסור קלוט.</w:t>
      </w:r>
    </w:p>
    <w:p w14:paraId="1A548159" w14:textId="77777777" w:rsidR="003D504D" w:rsidRDefault="003D504D" w:rsidP="003D504D">
      <w:pPr>
        <w:pStyle w:val="a3"/>
        <w:rPr>
          <w:rtl/>
        </w:rPr>
      </w:pPr>
      <w:bookmarkStart w:id="18049" w:name="_Toc536617032"/>
      <w:bookmarkStart w:id="18050" w:name="_Toc19391336"/>
      <w:bookmarkStart w:id="18051" w:name="_Toc19394833"/>
      <w:r>
        <w:rPr>
          <w:rFonts w:hint="cs"/>
          <w:rtl/>
        </w:rPr>
        <w:t>ביאור הגרש"ר ברא"ה דמהני חזרה להתיר את מקצת איסור קלוט כיון שהוא מדין יוצא</w:t>
      </w:r>
      <w:bookmarkEnd w:id="18049"/>
      <w:bookmarkEnd w:id="18050"/>
      <w:bookmarkEnd w:id="18051"/>
    </w:p>
    <w:p w14:paraId="36F2E6BC" w14:textId="77777777" w:rsidR="003D504D" w:rsidRDefault="003D504D" w:rsidP="00223668">
      <w:pPr>
        <w:pStyle w:val="a0"/>
        <w:rPr>
          <w:rtl/>
        </w:rPr>
      </w:pPr>
      <w:r>
        <w:rPr>
          <w:rFonts w:hint="cs"/>
          <w:rtl/>
        </w:rPr>
        <w:t xml:space="preserve">וכתב </w:t>
      </w:r>
      <w:r w:rsidRPr="00D57CCE">
        <w:rPr>
          <w:rStyle w:val="af9"/>
          <w:rFonts w:hint="cs"/>
          <w:rtl/>
        </w:rPr>
        <w:t>הגרש"ר</w:t>
      </w:r>
      <w:r>
        <w:rPr>
          <w:rFonts w:hint="cs"/>
          <w:rtl/>
        </w:rPr>
        <w:t xml:space="preserve"> דבזה מבוארים דברי </w:t>
      </w:r>
      <w:r w:rsidRPr="00D57CCE">
        <w:rPr>
          <w:rStyle w:val="af9"/>
          <w:rFonts w:hint="cs"/>
          <w:rtl/>
        </w:rPr>
        <w:t>הרא"ה</w:t>
      </w:r>
      <w:r>
        <w:rPr>
          <w:rFonts w:hint="cs"/>
          <w:rtl/>
        </w:rPr>
        <w:t xml:space="preserve"> דאף שחל על האבר איסור קלוט, מ"מ מהני החזרה להתיר את מקום החתך, כיון שהאיסור קלוט שבאבר חל מדין יוצא, ולאיסור יוצא מהני החזרה למקום החתך.</w:t>
      </w:r>
    </w:p>
    <w:p w14:paraId="1F8A8501" w14:textId="77777777" w:rsidR="003D504D" w:rsidRDefault="003D504D" w:rsidP="003D504D">
      <w:pPr>
        <w:pStyle w:val="a3"/>
        <w:rPr>
          <w:rtl/>
        </w:rPr>
      </w:pPr>
      <w:bookmarkStart w:id="18052" w:name="_Toc536617033"/>
      <w:bookmarkStart w:id="18053" w:name="_Toc19391337"/>
      <w:bookmarkStart w:id="18054" w:name="_Toc19394834"/>
      <w:r>
        <w:rPr>
          <w:rFonts w:hint="cs"/>
          <w:rtl/>
        </w:rPr>
        <w:t>דברי הגרש"ר דמוכח ברא"ה דלריו"ח אף שחל איסור יוצא חזרותו מתירתו ולכן אף קלוט מותר</w:t>
      </w:r>
      <w:bookmarkEnd w:id="18052"/>
      <w:bookmarkEnd w:id="18053"/>
      <w:bookmarkEnd w:id="18054"/>
    </w:p>
    <w:p w14:paraId="201D2E83" w14:textId="77777777" w:rsidR="003D504D" w:rsidRDefault="003D504D" w:rsidP="00223668">
      <w:pPr>
        <w:pStyle w:val="a0"/>
        <w:rPr>
          <w:rtl/>
        </w:rPr>
      </w:pPr>
      <w:bookmarkStart w:id="18055" w:name="_Ref536091018"/>
      <w:r>
        <w:rPr>
          <w:rFonts w:hint="cs"/>
          <w:rtl/>
        </w:rPr>
        <w:t xml:space="preserve">וכתב </w:t>
      </w:r>
      <w:r w:rsidRPr="00D57CCE">
        <w:rPr>
          <w:rStyle w:val="af9"/>
          <w:rFonts w:hint="cs"/>
          <w:rtl/>
        </w:rPr>
        <w:t>הגרש"ר</w:t>
      </w:r>
      <w:r>
        <w:rPr>
          <w:rFonts w:hint="cs"/>
          <w:rtl/>
        </w:rPr>
        <w:t xml:space="preserve"> דלפי"ז מבואר מדברי </w:t>
      </w:r>
      <w:r w:rsidRPr="00D57CCE">
        <w:rPr>
          <w:rStyle w:val="af9"/>
          <w:rFonts w:hint="cs"/>
          <w:rtl/>
        </w:rPr>
        <w:t>הרא"ה</w:t>
      </w:r>
      <w:r>
        <w:rPr>
          <w:rFonts w:hint="cs"/>
          <w:rtl/>
        </w:rPr>
        <w:t xml:space="preserve"> </w:t>
      </w:r>
      <w:r w:rsidRPr="0028048D">
        <w:rPr>
          <w:rFonts w:hint="cs"/>
          <w:rtl/>
        </w:rPr>
        <w:t>כהצד הראשון</w:t>
      </w:r>
      <w:r w:rsidRPr="00D57CCE">
        <w:rPr>
          <w:rStyle w:val="afb"/>
          <w:rFonts w:hint="cs"/>
          <w:rtl/>
        </w:rPr>
        <w:t xml:space="preserve"> [שכתב </w:t>
      </w:r>
      <w:r w:rsidRPr="00D57CCE">
        <w:rPr>
          <w:rStyle w:val="affa"/>
          <w:rFonts w:hint="cs"/>
          <w:rtl/>
        </w:rPr>
        <w:t>הגרש"ר</w:t>
      </w:r>
      <w:r w:rsidRPr="00D57CCE">
        <w:rPr>
          <w:rStyle w:val="afb"/>
          <w:rFonts w:hint="cs"/>
          <w:rtl/>
        </w:rPr>
        <w:t xml:space="preserve"> </w:t>
      </w:r>
      <w:r w:rsidRPr="00D57CCE">
        <w:rPr>
          <w:rStyle w:val="aff6"/>
          <w:rFonts w:hint="cs"/>
          <w:rtl/>
        </w:rPr>
        <w:t xml:space="preserve">(עי' אות </w:t>
      </w:r>
      <w:r w:rsidRPr="00D57CCE">
        <w:rPr>
          <w:rStyle w:val="aff6"/>
          <w:rtl/>
        </w:rPr>
        <w:fldChar w:fldCharType="begin"/>
      </w:r>
      <w:r w:rsidRPr="00D57CCE">
        <w:rPr>
          <w:rStyle w:val="aff6"/>
          <w:rtl/>
        </w:rPr>
        <w:instrText xml:space="preserve"> </w:instrText>
      </w:r>
      <w:r w:rsidRPr="00D57CCE">
        <w:rPr>
          <w:rStyle w:val="aff6"/>
          <w:rFonts w:hint="cs"/>
        </w:rPr>
        <w:instrText>REF</w:instrText>
      </w:r>
      <w:r w:rsidRPr="00D57CCE">
        <w:rPr>
          <w:rStyle w:val="aff6"/>
          <w:rFonts w:hint="cs"/>
          <w:rtl/>
        </w:rPr>
        <w:instrText xml:space="preserve"> _</w:instrText>
      </w:r>
      <w:r w:rsidRPr="00D57CCE">
        <w:rPr>
          <w:rStyle w:val="aff6"/>
          <w:rFonts w:hint="cs"/>
        </w:rPr>
        <w:instrText>Ref536090936 \r \h</w:instrText>
      </w:r>
      <w:r w:rsidRPr="00D57CCE">
        <w:rPr>
          <w:rStyle w:val="aff6"/>
          <w:rtl/>
        </w:rPr>
        <w:instrText xml:space="preserve"> </w:instrText>
      </w:r>
      <w:r w:rsidRPr="00D57CCE">
        <w:rPr>
          <w:rStyle w:val="aff6"/>
          <w:rtl/>
        </w:rPr>
      </w:r>
      <w:r w:rsidRPr="00D57CCE">
        <w:rPr>
          <w:rStyle w:val="aff6"/>
          <w:rtl/>
        </w:rPr>
        <w:fldChar w:fldCharType="separate"/>
      </w:r>
      <w:r w:rsidR="00345400">
        <w:rPr>
          <w:rStyle w:val="aff6"/>
          <w:cs/>
        </w:rPr>
        <w:t>‎</w:t>
      </w:r>
      <w:r w:rsidR="00345400">
        <w:rPr>
          <w:rStyle w:val="aff6"/>
          <w:rtl/>
        </w:rPr>
        <w:t>קי)</w:t>
      </w:r>
      <w:r w:rsidRPr="00D57CCE">
        <w:rPr>
          <w:rStyle w:val="aff6"/>
          <w:rtl/>
        </w:rPr>
        <w:fldChar w:fldCharType="end"/>
      </w:r>
      <w:r w:rsidRPr="00D57CCE">
        <w:rPr>
          <w:rStyle w:val="afb"/>
          <w:rFonts w:hint="cs"/>
          <w:rtl/>
        </w:rPr>
        <w:t>]</w:t>
      </w:r>
      <w:r>
        <w:rPr>
          <w:rFonts w:hint="cs"/>
          <w:rtl/>
        </w:rPr>
        <w:t xml:space="preserve"> דסברת ריו"ח להתיר בחזרה, הוא דאף שחל איסור חזרתו מתירתו, אבל אי נימא דס"ל לריו"</w:t>
      </w:r>
      <w:r w:rsidRPr="0028048D">
        <w:rPr>
          <w:rFonts w:hint="cs"/>
          <w:rtl/>
        </w:rPr>
        <w:t>ח כהצד השני</w:t>
      </w:r>
      <w:r w:rsidRPr="00D57CCE">
        <w:rPr>
          <w:rStyle w:val="afb"/>
          <w:rFonts w:hint="cs"/>
          <w:rtl/>
        </w:rPr>
        <w:t xml:space="preserve"> [שכתב </w:t>
      </w:r>
      <w:r w:rsidRPr="00D57CCE">
        <w:rPr>
          <w:rStyle w:val="affa"/>
          <w:rFonts w:hint="cs"/>
          <w:rtl/>
        </w:rPr>
        <w:t>הגרש"ר</w:t>
      </w:r>
      <w:r w:rsidRPr="00D57CCE">
        <w:rPr>
          <w:rStyle w:val="afb"/>
          <w:rFonts w:hint="cs"/>
          <w:rtl/>
        </w:rPr>
        <w:t xml:space="preserve"> </w:t>
      </w:r>
      <w:r w:rsidRPr="00D57CCE">
        <w:rPr>
          <w:rStyle w:val="aff6"/>
          <w:rFonts w:hint="cs"/>
          <w:rtl/>
        </w:rPr>
        <w:t xml:space="preserve">(עי' אות </w:t>
      </w:r>
      <w:r w:rsidRPr="00D57CCE">
        <w:rPr>
          <w:rStyle w:val="aff6"/>
          <w:rtl/>
        </w:rPr>
        <w:fldChar w:fldCharType="begin"/>
      </w:r>
      <w:r w:rsidRPr="00D57CCE">
        <w:rPr>
          <w:rStyle w:val="aff6"/>
          <w:rtl/>
        </w:rPr>
        <w:instrText xml:space="preserve"> </w:instrText>
      </w:r>
      <w:r w:rsidRPr="00D57CCE">
        <w:rPr>
          <w:rStyle w:val="aff6"/>
          <w:rFonts w:hint="cs"/>
        </w:rPr>
        <w:instrText>REF</w:instrText>
      </w:r>
      <w:r w:rsidRPr="00D57CCE">
        <w:rPr>
          <w:rStyle w:val="aff6"/>
          <w:rFonts w:hint="cs"/>
          <w:rtl/>
        </w:rPr>
        <w:instrText xml:space="preserve"> _</w:instrText>
      </w:r>
      <w:r w:rsidRPr="00D57CCE">
        <w:rPr>
          <w:rStyle w:val="aff6"/>
          <w:rFonts w:hint="cs"/>
        </w:rPr>
        <w:instrText>Ref536090951 \r \h</w:instrText>
      </w:r>
      <w:r w:rsidRPr="00D57CCE">
        <w:rPr>
          <w:rStyle w:val="aff6"/>
          <w:rtl/>
        </w:rPr>
        <w:instrText xml:space="preserve"> </w:instrText>
      </w:r>
      <w:r w:rsidRPr="00D57CCE">
        <w:rPr>
          <w:rStyle w:val="aff6"/>
          <w:rtl/>
        </w:rPr>
      </w:r>
      <w:r w:rsidRPr="00D57CCE">
        <w:rPr>
          <w:rStyle w:val="aff6"/>
          <w:rtl/>
        </w:rPr>
        <w:fldChar w:fldCharType="separate"/>
      </w:r>
      <w:r w:rsidR="00345400">
        <w:rPr>
          <w:rStyle w:val="aff6"/>
          <w:cs/>
        </w:rPr>
        <w:t>‎</w:t>
      </w:r>
      <w:r w:rsidR="00345400">
        <w:rPr>
          <w:rStyle w:val="aff6"/>
          <w:rtl/>
        </w:rPr>
        <w:t>קיא)</w:t>
      </w:r>
      <w:r w:rsidRPr="00D57CCE">
        <w:rPr>
          <w:rStyle w:val="aff6"/>
          <w:rtl/>
        </w:rPr>
        <w:fldChar w:fldCharType="end"/>
      </w:r>
      <w:r w:rsidRPr="00D57CCE">
        <w:rPr>
          <w:rStyle w:val="afb"/>
          <w:rFonts w:hint="cs"/>
          <w:rtl/>
        </w:rPr>
        <w:t>]</w:t>
      </w:r>
      <w:r>
        <w:rPr>
          <w:rFonts w:hint="cs"/>
          <w:rtl/>
        </w:rPr>
        <w:t xml:space="preserve"> דאיסור יוצא לא חל על האבר לפני השחיטה, א"כ באיסור "קלוט" שהאיסור חל בשעת יציאת האבר לעולם, לא יתכן לומר דחזרתו מתירתו, דאף שאחר שחזר הוא בכלל היתר "בהמה בבהמה", זהו דוקא לענין דין שחיטה, שעדיין לא חל עליו חיוב שחיטה מצד עצמו, אבל לאיסור "קלוט" שכבר חל עליו, לא מהני היתר "בהמה בבהמה" להתירו</w:t>
      </w:r>
      <w:bookmarkEnd w:id="18055"/>
      <w:r>
        <w:rPr>
          <w:rFonts w:hint="cs"/>
          <w:rtl/>
        </w:rPr>
        <w:t xml:space="preserve">, אלא כתב </w:t>
      </w:r>
      <w:r w:rsidRPr="00D57CCE">
        <w:rPr>
          <w:rStyle w:val="af9"/>
          <w:rFonts w:hint="cs"/>
          <w:rtl/>
        </w:rPr>
        <w:t>הגרש"ר</w:t>
      </w:r>
      <w:r>
        <w:rPr>
          <w:rFonts w:hint="cs"/>
          <w:rtl/>
        </w:rPr>
        <w:t xml:space="preserve"> דמוכח מדברי </w:t>
      </w:r>
      <w:r w:rsidRPr="00D57CCE">
        <w:rPr>
          <w:rStyle w:val="af9"/>
          <w:rFonts w:hint="cs"/>
          <w:rtl/>
        </w:rPr>
        <w:t>הרא"ה</w:t>
      </w:r>
      <w:r>
        <w:rPr>
          <w:rFonts w:hint="cs"/>
          <w:rtl/>
        </w:rPr>
        <w:t xml:space="preserve"> [</w:t>
      </w:r>
      <w:r w:rsidRPr="00D57CCE">
        <w:rPr>
          <w:rStyle w:val="afb"/>
          <w:rFonts w:hint="cs"/>
          <w:rtl/>
        </w:rPr>
        <w:t xml:space="preserve">כצד הראשון שכתב </w:t>
      </w:r>
      <w:r w:rsidRPr="00D57CCE">
        <w:rPr>
          <w:rStyle w:val="affa"/>
          <w:rFonts w:hint="cs"/>
          <w:rtl/>
        </w:rPr>
        <w:t>הגרש"ר</w:t>
      </w:r>
      <w:r w:rsidRPr="00D57CCE">
        <w:rPr>
          <w:rStyle w:val="afb"/>
          <w:rFonts w:hint="cs"/>
          <w:rtl/>
        </w:rPr>
        <w:t xml:space="preserve"> </w:t>
      </w:r>
      <w:r w:rsidRPr="00D57CCE">
        <w:rPr>
          <w:rStyle w:val="aff6"/>
          <w:rFonts w:hint="cs"/>
          <w:rtl/>
        </w:rPr>
        <w:t xml:space="preserve">(עי' אות </w:t>
      </w:r>
      <w:r w:rsidRPr="00D57CCE">
        <w:rPr>
          <w:rStyle w:val="aff6"/>
          <w:rtl/>
        </w:rPr>
        <w:fldChar w:fldCharType="begin"/>
      </w:r>
      <w:r w:rsidRPr="00D57CCE">
        <w:rPr>
          <w:rStyle w:val="aff6"/>
          <w:rtl/>
        </w:rPr>
        <w:instrText xml:space="preserve"> </w:instrText>
      </w:r>
      <w:r w:rsidRPr="00D57CCE">
        <w:rPr>
          <w:rStyle w:val="aff6"/>
          <w:rFonts w:hint="cs"/>
        </w:rPr>
        <w:instrText>REF</w:instrText>
      </w:r>
      <w:r w:rsidRPr="00D57CCE">
        <w:rPr>
          <w:rStyle w:val="aff6"/>
          <w:rFonts w:hint="cs"/>
          <w:rtl/>
        </w:rPr>
        <w:instrText xml:space="preserve"> _</w:instrText>
      </w:r>
      <w:r w:rsidRPr="00D57CCE">
        <w:rPr>
          <w:rStyle w:val="aff6"/>
          <w:rFonts w:hint="cs"/>
        </w:rPr>
        <w:instrText>Ref536090936 \r \h</w:instrText>
      </w:r>
      <w:r w:rsidRPr="00D57CCE">
        <w:rPr>
          <w:rStyle w:val="aff6"/>
          <w:rtl/>
        </w:rPr>
        <w:instrText xml:space="preserve"> </w:instrText>
      </w:r>
      <w:r w:rsidRPr="00D57CCE">
        <w:rPr>
          <w:rStyle w:val="aff6"/>
          <w:rtl/>
        </w:rPr>
      </w:r>
      <w:r w:rsidRPr="00D57CCE">
        <w:rPr>
          <w:rStyle w:val="aff6"/>
          <w:rtl/>
        </w:rPr>
        <w:fldChar w:fldCharType="separate"/>
      </w:r>
      <w:r w:rsidR="00345400">
        <w:rPr>
          <w:rStyle w:val="aff6"/>
          <w:cs/>
        </w:rPr>
        <w:t>‎</w:t>
      </w:r>
      <w:r w:rsidR="00345400">
        <w:rPr>
          <w:rStyle w:val="aff6"/>
          <w:rtl/>
        </w:rPr>
        <w:t>קי)</w:t>
      </w:r>
      <w:r w:rsidRPr="00D57CCE">
        <w:rPr>
          <w:rStyle w:val="aff6"/>
          <w:rtl/>
        </w:rPr>
        <w:fldChar w:fldCharType="end"/>
      </w:r>
      <w:r w:rsidRPr="00D57CCE">
        <w:rPr>
          <w:rStyle w:val="afb"/>
          <w:rFonts w:hint="cs"/>
          <w:rtl/>
        </w:rPr>
        <w:t>]</w:t>
      </w:r>
      <w:r>
        <w:rPr>
          <w:rFonts w:hint="cs"/>
          <w:rtl/>
        </w:rPr>
        <w:t xml:space="preserve"> דסברת ריו"ח דאף שאיסור יוצא חל בשעת יציאתו לאויר העולם, מ"מ מהני חזרתו להתירו, וה"ה באיסור קלוט דגמל, דחל על האבר היוצא איסור קלוט, ואפ"ה מהני החזרה להתירו לריו"ח.</w:t>
      </w:r>
      <w:r w:rsidRPr="00B565D8">
        <w:rPr>
          <w:rStyle w:val="afb"/>
          <w:rFonts w:hint="cs"/>
          <w:rtl/>
        </w:rPr>
        <w:t xml:space="preserve"> [והוסיף </w:t>
      </w:r>
      <w:r w:rsidRPr="00B565D8">
        <w:rPr>
          <w:rStyle w:val="affa"/>
          <w:rFonts w:hint="cs"/>
          <w:rtl/>
        </w:rPr>
        <w:t>הגרש"ר</w:t>
      </w:r>
      <w:r w:rsidRPr="00B565D8">
        <w:rPr>
          <w:rStyle w:val="afb"/>
          <w:rFonts w:hint="cs"/>
          <w:rtl/>
        </w:rPr>
        <w:t xml:space="preserve"> דלפי"ז אף אי נימא דחל על האבר היוצא איסור גמור מדין "קלוט" יתכן לומר דחזרתו מתירתו]</w:t>
      </w:r>
      <w:r>
        <w:rPr>
          <w:rFonts w:hint="cs"/>
          <w:rtl/>
        </w:rPr>
        <w:t>.</w:t>
      </w:r>
    </w:p>
    <w:p w14:paraId="1A8E2571" w14:textId="77777777" w:rsidR="003D504D" w:rsidRPr="00736707" w:rsidRDefault="003D504D" w:rsidP="003D504D">
      <w:pPr>
        <w:pStyle w:val="a3"/>
        <w:rPr>
          <w:rtl/>
        </w:rPr>
      </w:pPr>
      <w:bookmarkStart w:id="18056" w:name="_Toc536617034"/>
      <w:bookmarkStart w:id="18057" w:name="_Toc19391338"/>
      <w:bookmarkStart w:id="18058" w:name="_Toc19394835"/>
      <w:r>
        <w:rPr>
          <w:rFonts w:hint="cs"/>
          <w:rtl/>
        </w:rPr>
        <w:t>דברי הגרש"ר דבמקום חתך מבואר ברא"ה דחל איסור קלוט ויש ילפותא להתירו</w:t>
      </w:r>
      <w:bookmarkEnd w:id="18056"/>
      <w:bookmarkEnd w:id="18057"/>
      <w:bookmarkEnd w:id="18058"/>
    </w:p>
    <w:p w14:paraId="5A3F2F53" w14:textId="77777777" w:rsidR="003D504D" w:rsidRPr="00114B5F" w:rsidRDefault="003D504D" w:rsidP="00223668">
      <w:pPr>
        <w:pStyle w:val="a0"/>
        <w:rPr>
          <w:rStyle w:val="afb"/>
          <w:rtl/>
        </w:rPr>
      </w:pPr>
      <w:r>
        <w:rPr>
          <w:rFonts w:hint="cs"/>
          <w:rtl/>
        </w:rPr>
        <w:t xml:space="preserve">וכתב </w:t>
      </w:r>
      <w:r w:rsidRPr="00736707">
        <w:rPr>
          <w:rStyle w:val="af9"/>
          <w:rFonts w:hint="cs"/>
          <w:rtl/>
        </w:rPr>
        <w:t>הגרש"ר</w:t>
      </w:r>
      <w:r>
        <w:rPr>
          <w:rFonts w:hint="cs"/>
          <w:rtl/>
        </w:rPr>
        <w:t xml:space="preserve"> דכן מוכח מדין מקום חתך, דהרי לדברי </w:t>
      </w:r>
      <w:r w:rsidRPr="00736707">
        <w:rPr>
          <w:rStyle w:val="af9"/>
          <w:rFonts w:hint="cs"/>
          <w:rtl/>
        </w:rPr>
        <w:t>הרא"ה</w:t>
      </w:r>
      <w:r>
        <w:rPr>
          <w:rFonts w:hint="cs"/>
          <w:rtl/>
        </w:rPr>
        <w:t xml:space="preserve"> במקום חתך שאין בו איסור יוצא, ואינו בכלל היתר "בהמה בבהמה", מ"מ חל עליו איסור קלוט דגמל כל זמן שהוא בחוץ, אלא שיש ילפותא להתירו כשהחזיר, וביאר </w:t>
      </w:r>
      <w:r w:rsidRPr="00736707">
        <w:rPr>
          <w:rStyle w:val="af9"/>
          <w:rFonts w:hint="cs"/>
          <w:rtl/>
        </w:rPr>
        <w:t>הגרש"ר</w:t>
      </w:r>
      <w:r>
        <w:rPr>
          <w:rFonts w:hint="cs"/>
          <w:rtl/>
        </w:rPr>
        <w:t xml:space="preserve"> דכמו דלא מהני השחיטה להתיר את מקום החתך כשהוא בחוץ, ה"ה דלא מהני השחיטה להתיר את איסור קלוט דגמל כשהוא בחוץ.</w:t>
      </w:r>
      <w:r w:rsidRPr="00114B5F">
        <w:rPr>
          <w:rStyle w:val="afb"/>
          <w:rFonts w:hint="cs"/>
          <w:rtl/>
        </w:rPr>
        <w:t xml:space="preserve"> [וכתב </w:t>
      </w:r>
      <w:r w:rsidRPr="00114B5F">
        <w:rPr>
          <w:rStyle w:val="affa"/>
          <w:rFonts w:hint="cs"/>
          <w:rtl/>
        </w:rPr>
        <w:t>הגרש"ר</w:t>
      </w:r>
      <w:r w:rsidRPr="00114B5F">
        <w:rPr>
          <w:rStyle w:val="afb"/>
          <w:rFonts w:hint="cs"/>
          <w:rtl/>
        </w:rPr>
        <w:t xml:space="preserve"> דדוחק לומר דכוונת </w:t>
      </w:r>
      <w:r w:rsidRPr="00114B5F">
        <w:rPr>
          <w:rStyle w:val="affa"/>
          <w:rFonts w:hint="cs"/>
          <w:rtl/>
        </w:rPr>
        <w:t>הרא"ה</w:t>
      </w:r>
      <w:r w:rsidRPr="00114B5F">
        <w:rPr>
          <w:rStyle w:val="afb"/>
          <w:rFonts w:hint="cs"/>
          <w:rtl/>
        </w:rPr>
        <w:t xml:space="preserve"> דההיתר בקלוט הוא, דקמ"ל קרא דלא חל על מקום החתך איסור קלוט דגמל, אבל באבר היוצא עצמו חל עליו איסור קלוט דגמל לריו"ח]. </w:t>
      </w:r>
    </w:p>
    <w:p w14:paraId="450763BC" w14:textId="77777777" w:rsidR="003D504D" w:rsidRDefault="003D504D" w:rsidP="003D504D">
      <w:pPr>
        <w:pStyle w:val="a3"/>
        <w:rPr>
          <w:rtl/>
        </w:rPr>
      </w:pPr>
      <w:bookmarkStart w:id="18059" w:name="_Toc536617035"/>
      <w:bookmarkStart w:id="18060" w:name="_Toc19391339"/>
      <w:bookmarkStart w:id="18061" w:name="_Toc19394836"/>
      <w:r>
        <w:rPr>
          <w:rFonts w:hint="cs"/>
          <w:rtl/>
        </w:rPr>
        <w:t>דברי הגרש"ר דאפש"ל דקלוט לא חל על האבר דרק איסור יוצא חל כיון דחייב בשחיטה</w:t>
      </w:r>
      <w:bookmarkEnd w:id="18059"/>
      <w:bookmarkEnd w:id="18060"/>
      <w:bookmarkEnd w:id="18061"/>
      <w:r>
        <w:rPr>
          <w:rFonts w:hint="cs"/>
          <w:rtl/>
        </w:rPr>
        <w:t xml:space="preserve"> </w:t>
      </w:r>
    </w:p>
    <w:p w14:paraId="478A024E" w14:textId="77777777" w:rsidR="003D504D" w:rsidRDefault="003D504D" w:rsidP="00223668">
      <w:pPr>
        <w:pStyle w:val="a0"/>
        <w:rPr>
          <w:rtl/>
        </w:rPr>
      </w:pPr>
      <w:r>
        <w:rPr>
          <w:rFonts w:hint="cs"/>
          <w:rtl/>
        </w:rPr>
        <w:t xml:space="preserve">אך כתב </w:t>
      </w:r>
      <w:r w:rsidRPr="00736707">
        <w:rPr>
          <w:rStyle w:val="af9"/>
          <w:rFonts w:hint="cs"/>
          <w:rtl/>
        </w:rPr>
        <w:t>הגרש"ר</w:t>
      </w:r>
      <w:r>
        <w:rPr>
          <w:rFonts w:hint="cs"/>
          <w:rtl/>
        </w:rPr>
        <w:t xml:space="preserve"> דלולי דברי </w:t>
      </w:r>
      <w:r w:rsidRPr="00736707">
        <w:rPr>
          <w:rStyle w:val="af9"/>
          <w:rFonts w:hint="cs"/>
          <w:rtl/>
        </w:rPr>
        <w:t>הרא"ה</w:t>
      </w:r>
      <w:r>
        <w:rPr>
          <w:rFonts w:hint="cs"/>
          <w:rtl/>
        </w:rPr>
        <w:t xml:space="preserve"> היה אפש"ל דמדין יוצא לא שייך שיחול איסור קלוט דגמל, על אבר אחד שיצא, דדוקא לגבי דין שחיטה, שהעובר חייב שחיטה אגב אמו, לכן כשיצא ואינו מותר שחיטת אמו חל עליו דין יוצא, אבל לענין איסור קלוט דגמל, אף שיצא מכלל היתר אמו, מ"מ על אבר אחד לא שייך שיחול איסור קלוט דגמל, וא"כ א"צ היתר מיוחד להתיר את האבר היוצא של הקלוט.</w:t>
      </w:r>
    </w:p>
    <w:p w14:paraId="14875077" w14:textId="77777777" w:rsidR="003D504D" w:rsidRPr="00A070E3" w:rsidRDefault="003D504D" w:rsidP="003D504D">
      <w:pPr>
        <w:pStyle w:val="a3"/>
        <w:rPr>
          <w:rtl/>
        </w:rPr>
      </w:pPr>
    </w:p>
    <w:p w14:paraId="2626AED0" w14:textId="77777777" w:rsidR="003D504D" w:rsidRPr="00A070E3" w:rsidRDefault="003D504D" w:rsidP="003D504D">
      <w:pPr>
        <w:pStyle w:val="a3"/>
        <w:rPr>
          <w:rtl/>
        </w:rPr>
      </w:pPr>
    </w:p>
    <w:p w14:paraId="350D2347" w14:textId="77777777" w:rsidR="003D504D" w:rsidRPr="00A070E3" w:rsidRDefault="003D504D" w:rsidP="003D504D">
      <w:pPr>
        <w:pStyle w:val="a3"/>
        <w:rPr>
          <w:rtl/>
        </w:rPr>
      </w:pPr>
    </w:p>
    <w:p w14:paraId="540F19BB" w14:textId="77777777" w:rsidR="003D504D" w:rsidRPr="00A070E3" w:rsidRDefault="003D504D" w:rsidP="003D504D">
      <w:pPr>
        <w:pStyle w:val="a3"/>
        <w:rPr>
          <w:rtl/>
        </w:rPr>
      </w:pPr>
    </w:p>
    <w:p w14:paraId="625B0AF3" w14:textId="77777777" w:rsidR="003D504D" w:rsidRDefault="003D504D" w:rsidP="003D504D">
      <w:pPr>
        <w:pStyle w:val="afe"/>
        <w:rPr>
          <w:rtl/>
        </w:rPr>
      </w:pPr>
      <w:bookmarkStart w:id="18062" w:name="_Toc536459355"/>
      <w:bookmarkStart w:id="18063" w:name="_Toc536466315"/>
      <w:bookmarkStart w:id="18064" w:name="_Toc536540477"/>
      <w:bookmarkStart w:id="18065" w:name="_Toc536564327"/>
      <w:bookmarkStart w:id="18066" w:name="_Toc536564482"/>
      <w:bookmarkStart w:id="18067" w:name="_Toc536617036"/>
      <w:bookmarkStart w:id="18068" w:name="_Toc19436081"/>
      <w:bookmarkStart w:id="18069" w:name="_Toc20081275"/>
      <w:r>
        <w:rPr>
          <w:rFonts w:hint="cs"/>
          <w:rtl/>
        </w:rPr>
        <w:t>בספק בהוציא אבר בעזרה</w:t>
      </w:r>
      <w:bookmarkEnd w:id="18062"/>
      <w:bookmarkEnd w:id="18063"/>
      <w:bookmarkEnd w:id="18064"/>
      <w:bookmarkEnd w:id="18065"/>
      <w:bookmarkEnd w:id="18066"/>
      <w:bookmarkEnd w:id="18067"/>
      <w:bookmarkEnd w:id="18068"/>
      <w:bookmarkEnd w:id="18069"/>
    </w:p>
    <w:p w14:paraId="59BFFB52" w14:textId="77777777" w:rsidR="003D504D" w:rsidRDefault="003D504D" w:rsidP="00BF39B2">
      <w:pPr>
        <w:pStyle w:val="1"/>
        <w:rPr>
          <w:rtl/>
        </w:rPr>
      </w:pPr>
      <w:bookmarkStart w:id="18070" w:name="_Toc536459356"/>
      <w:bookmarkStart w:id="18071" w:name="_Toc536466316"/>
      <w:bookmarkStart w:id="18072" w:name="_Toc536540478"/>
      <w:bookmarkStart w:id="18073" w:name="_Toc536564328"/>
      <w:bookmarkStart w:id="18074" w:name="_Toc536564483"/>
      <w:bookmarkStart w:id="18075" w:name="_Toc536617037"/>
      <w:bookmarkStart w:id="18076" w:name="_Toc19391340"/>
      <w:bookmarkStart w:id="18077" w:name="_Toc19394837"/>
      <w:r>
        <w:rPr>
          <w:rFonts w:hint="cs"/>
          <w:rtl/>
        </w:rPr>
        <w:t>דברי הגרי"ז</w:t>
      </w:r>
      <w:bookmarkEnd w:id="18070"/>
      <w:bookmarkEnd w:id="18071"/>
      <w:bookmarkEnd w:id="18072"/>
      <w:r>
        <w:rPr>
          <w:rFonts w:hint="cs"/>
          <w:rtl/>
        </w:rPr>
        <w:t xml:space="preserve"> בגדר איסור יוצא בקדשים ובחולין</w:t>
      </w:r>
      <w:bookmarkEnd w:id="18073"/>
      <w:bookmarkEnd w:id="18074"/>
      <w:bookmarkEnd w:id="18075"/>
      <w:bookmarkEnd w:id="18076"/>
      <w:bookmarkEnd w:id="18077"/>
    </w:p>
    <w:p w14:paraId="351959F9" w14:textId="77777777" w:rsidR="003D504D" w:rsidRPr="006976BB" w:rsidRDefault="003D504D" w:rsidP="003D504D">
      <w:pPr>
        <w:pStyle w:val="a3"/>
        <w:rPr>
          <w:rtl/>
        </w:rPr>
      </w:pPr>
      <w:bookmarkStart w:id="18078" w:name="_Toc536564329"/>
      <w:bookmarkStart w:id="18079" w:name="_Toc536564484"/>
      <w:bookmarkStart w:id="18080" w:name="_Toc536617038"/>
      <w:bookmarkStart w:id="18081" w:name="_Toc19391341"/>
      <w:bookmarkStart w:id="18082" w:name="_Toc19394838"/>
      <w:r>
        <w:rPr>
          <w:rFonts w:hint="cs"/>
          <w:rtl/>
        </w:rPr>
        <w:t>דברי הגרי"ז דבספק הגמ' בחומת העזרה מוכח דאיסור יוצא בקדשים הוא דין טריפה כבחולין</w:t>
      </w:r>
      <w:bookmarkEnd w:id="18078"/>
      <w:bookmarkEnd w:id="18079"/>
      <w:bookmarkEnd w:id="18080"/>
      <w:bookmarkEnd w:id="18081"/>
      <w:bookmarkEnd w:id="18082"/>
    </w:p>
    <w:p w14:paraId="289D6F7D" w14:textId="77777777" w:rsidR="003D504D" w:rsidRDefault="003D504D" w:rsidP="00223668">
      <w:pPr>
        <w:pStyle w:val="a0"/>
        <w:rPr>
          <w:rtl/>
        </w:rPr>
      </w:pPr>
      <w:r>
        <w:rPr>
          <w:rFonts w:hint="cs"/>
          <w:rtl/>
        </w:rPr>
        <w:t xml:space="preserve">כתב </w:t>
      </w:r>
      <w:r w:rsidRPr="004A1453">
        <w:rPr>
          <w:rStyle w:val="af9"/>
          <w:rFonts w:hint="cs"/>
          <w:rtl/>
        </w:rPr>
        <w:t>הגרי"ז</w:t>
      </w:r>
      <w:r>
        <w:rPr>
          <w:rFonts w:hint="cs"/>
          <w:rtl/>
        </w:rPr>
        <w:t xml:space="preserve"> </w:t>
      </w:r>
      <w:r w:rsidRPr="004A1453">
        <w:rPr>
          <w:rStyle w:val="af7"/>
          <w:rFonts w:eastAsia="Guttman Hodes" w:hint="cs"/>
          <w:rtl/>
        </w:rPr>
        <w:t xml:space="preserve">(בחי' מרן רי"ז הלוי </w:t>
      </w:r>
      <w:r>
        <w:rPr>
          <w:rStyle w:val="af7"/>
          <w:rFonts w:eastAsia="Guttman Hodes" w:hint="cs"/>
          <w:rtl/>
        </w:rPr>
        <w:t xml:space="preserve">ריש </w:t>
      </w:r>
      <w:r w:rsidRPr="004A1453">
        <w:rPr>
          <w:rStyle w:val="af7"/>
          <w:rFonts w:eastAsia="Guttman Hodes" w:hint="cs"/>
          <w:rtl/>
        </w:rPr>
        <w:t xml:space="preserve">הל' פסוה"מ) </w:t>
      </w:r>
      <w:r>
        <w:rPr>
          <w:rFonts w:hint="cs"/>
          <w:rtl/>
        </w:rPr>
        <w:t>דמהא דהגמ' בסוגיין מסתפקת אי מהני מחיצת העזרה לאבר היוצא, מוכח דהאיסור יוצא בקדשים מדין "בשר בשדה טריפה", אינו דין מדיני קדשים כפסול לינה וטומאה, אלא הוא אותו האיסור של האבר היוצא, דבשר הקדשים שיצא נעשה כטריפה, כמו באבר היוצא.</w:t>
      </w:r>
    </w:p>
    <w:p w14:paraId="3ACAD392" w14:textId="77777777" w:rsidR="003D504D" w:rsidRDefault="003D504D" w:rsidP="003D504D">
      <w:pPr>
        <w:pStyle w:val="a3"/>
        <w:rPr>
          <w:rtl/>
        </w:rPr>
      </w:pPr>
      <w:bookmarkStart w:id="18083" w:name="_Toc536564330"/>
      <w:bookmarkStart w:id="18084" w:name="_Toc536564485"/>
      <w:bookmarkStart w:id="18085" w:name="_Toc536617039"/>
      <w:bookmarkStart w:id="18086" w:name="_Toc19391342"/>
      <w:bookmarkStart w:id="18087" w:name="_Toc19394839"/>
      <w:r>
        <w:rPr>
          <w:rFonts w:hint="cs"/>
          <w:rtl/>
        </w:rPr>
        <w:t>הוכחת הגרי"ז ברמב"ם דאיסור יוצא בקדשים הוא אותו האיסור כמו בחולין</w:t>
      </w:r>
      <w:bookmarkEnd w:id="18083"/>
      <w:bookmarkEnd w:id="18084"/>
      <w:bookmarkEnd w:id="18085"/>
      <w:bookmarkEnd w:id="18086"/>
      <w:bookmarkEnd w:id="18087"/>
    </w:p>
    <w:p w14:paraId="1223549E" w14:textId="77777777" w:rsidR="003D504D" w:rsidRDefault="003D504D" w:rsidP="00223668">
      <w:pPr>
        <w:pStyle w:val="a0"/>
        <w:rPr>
          <w:rtl/>
        </w:rPr>
      </w:pPr>
      <w:r>
        <w:rPr>
          <w:rFonts w:hint="cs"/>
          <w:rtl/>
        </w:rPr>
        <w:t xml:space="preserve">והביא </w:t>
      </w:r>
      <w:r w:rsidRPr="004A1453">
        <w:rPr>
          <w:rStyle w:val="af9"/>
          <w:rFonts w:hint="cs"/>
          <w:rtl/>
        </w:rPr>
        <w:t>הגרי"ז</w:t>
      </w:r>
      <w:r>
        <w:rPr>
          <w:rFonts w:hint="cs"/>
          <w:rtl/>
        </w:rPr>
        <w:t xml:space="preserve"> דכן מוכח בדברי </w:t>
      </w:r>
      <w:r w:rsidRPr="004A1453">
        <w:rPr>
          <w:rStyle w:val="af9"/>
          <w:rFonts w:hint="cs"/>
          <w:rtl/>
        </w:rPr>
        <w:t>הרמב"ם</w:t>
      </w:r>
      <w:r>
        <w:rPr>
          <w:rFonts w:hint="cs"/>
          <w:rtl/>
        </w:rPr>
        <w:t xml:space="preserve"> </w:t>
      </w:r>
      <w:r w:rsidRPr="004A1453">
        <w:rPr>
          <w:rStyle w:val="af7"/>
          <w:rFonts w:eastAsia="Guttman Hodes" w:hint="cs"/>
          <w:rtl/>
        </w:rPr>
        <w:t>(מעשה הקרבנות פי"א הכ"ו)</w:t>
      </w:r>
      <w:r>
        <w:rPr>
          <w:rFonts w:hint="cs"/>
          <w:rtl/>
        </w:rPr>
        <w:t xml:space="preserve"> דכתב דאיסור יוצא בקדשים הוא מדין "בשר בשדה טריפה" דבשר שיצא חוץ למחיצתו נעשה טריפה, כמו שביארנו בהל' מאכלות אסורות, וכתב </w:t>
      </w:r>
      <w:r w:rsidRPr="004A1453">
        <w:rPr>
          <w:rStyle w:val="af9"/>
          <w:rFonts w:hint="cs"/>
          <w:rtl/>
        </w:rPr>
        <w:t>הגרי"ז</w:t>
      </w:r>
      <w:r>
        <w:rPr>
          <w:rFonts w:hint="cs"/>
          <w:rtl/>
        </w:rPr>
        <w:t xml:space="preserve"> דמבואר בדברי </w:t>
      </w:r>
      <w:r w:rsidRPr="004A1453">
        <w:rPr>
          <w:rStyle w:val="af9"/>
          <w:rFonts w:hint="cs"/>
          <w:rtl/>
        </w:rPr>
        <w:t>הרמב"ם</w:t>
      </w:r>
      <w:r>
        <w:rPr>
          <w:rFonts w:hint="cs"/>
          <w:rtl/>
        </w:rPr>
        <w:t xml:space="preserve"> דהדין יוצא שבקדשים, הוא אותו הדין כאבר היוצא דנעשה טריפה, ואי"ז דין מדיני קדשים, אלא דאיסור יוצא נאמר בכל בשר שיצא חוץ למחיצתו, בין בקדשים ובין בחולין, דנעשה כטריפה.</w:t>
      </w:r>
    </w:p>
    <w:p w14:paraId="7071FD4C" w14:textId="77777777" w:rsidR="003D504D" w:rsidRDefault="003D504D" w:rsidP="003D504D">
      <w:pPr>
        <w:pStyle w:val="a3"/>
        <w:rPr>
          <w:rtl/>
        </w:rPr>
      </w:pPr>
      <w:bookmarkStart w:id="18088" w:name="_Toc536564331"/>
      <w:bookmarkStart w:id="18089" w:name="_Toc536564486"/>
      <w:bookmarkStart w:id="18090" w:name="_Toc536617040"/>
      <w:bookmarkStart w:id="18091" w:name="_Toc19391343"/>
      <w:bookmarkStart w:id="18092" w:name="_Toc19394840"/>
      <w:r>
        <w:rPr>
          <w:rFonts w:hint="cs"/>
          <w:rtl/>
        </w:rPr>
        <w:t>דברי הגרי"ז דאיסור יוצא בקדשים הוא רק ביצא ממחיצת היתר אכילה כמו בחולין</w:t>
      </w:r>
      <w:bookmarkEnd w:id="18088"/>
      <w:bookmarkEnd w:id="18089"/>
      <w:bookmarkEnd w:id="18090"/>
      <w:bookmarkEnd w:id="18091"/>
      <w:bookmarkEnd w:id="18092"/>
    </w:p>
    <w:p w14:paraId="600F4CE3" w14:textId="77777777" w:rsidR="003D504D" w:rsidRDefault="003D504D" w:rsidP="00223668">
      <w:pPr>
        <w:pStyle w:val="a0"/>
        <w:rPr>
          <w:rtl/>
        </w:rPr>
      </w:pPr>
      <w:r>
        <w:rPr>
          <w:rFonts w:hint="cs"/>
          <w:rtl/>
        </w:rPr>
        <w:t xml:space="preserve">והוסיף </w:t>
      </w:r>
      <w:r w:rsidRPr="002F0552">
        <w:rPr>
          <w:rStyle w:val="af9"/>
          <w:rFonts w:hint="cs"/>
          <w:rtl/>
        </w:rPr>
        <w:t>הגרי"ז</w:t>
      </w:r>
      <w:r>
        <w:rPr>
          <w:rFonts w:hint="cs"/>
          <w:rtl/>
        </w:rPr>
        <w:t xml:space="preserve"> </w:t>
      </w:r>
      <w:r>
        <w:rPr>
          <w:rStyle w:val="af7"/>
          <w:rFonts w:eastAsia="Guttman Hodes" w:hint="cs"/>
          <w:rtl/>
        </w:rPr>
        <w:t>(ב</w:t>
      </w:r>
      <w:r w:rsidRPr="004A1453">
        <w:rPr>
          <w:rStyle w:val="af7"/>
          <w:rFonts w:eastAsia="Guttman Hodes" w:hint="cs"/>
          <w:rtl/>
        </w:rPr>
        <w:t xml:space="preserve">חי' מרן רי"ז הלוי </w:t>
      </w:r>
      <w:r>
        <w:rPr>
          <w:rStyle w:val="af7"/>
          <w:rFonts w:eastAsia="Guttman Hodes" w:hint="cs"/>
          <w:rtl/>
        </w:rPr>
        <w:t xml:space="preserve">ריש </w:t>
      </w:r>
      <w:r w:rsidRPr="004A1453">
        <w:rPr>
          <w:rStyle w:val="af7"/>
          <w:rFonts w:eastAsia="Guttman Hodes" w:hint="cs"/>
          <w:rtl/>
        </w:rPr>
        <w:t xml:space="preserve">הל' </w:t>
      </w:r>
      <w:r w:rsidRPr="002F0552">
        <w:rPr>
          <w:rStyle w:val="af7"/>
          <w:rFonts w:eastAsia="Guttman Hodes" w:hint="cs"/>
          <w:rtl/>
        </w:rPr>
        <w:t>פסוה"מ ד"ה והנה נראה)</w:t>
      </w:r>
      <w:r>
        <w:rPr>
          <w:rFonts w:hint="cs"/>
          <w:rtl/>
        </w:rPr>
        <w:t xml:space="preserve"> דכיון דאיסור יוצא בקדשים הוא אותו האיסור בחולין, א"כ מבואר דהאיסור הוא רק כשיצא הבשר חוץ למחיצה שמתירתו לאכילה, דהא באבר היוצא בחולין האיסור הוא דאינו בכלל היתר "בהמה בבהמה", וא"כ במקום שהבשר יצא חוץ למחיצה שאינה מחיצה לאכילה, </w:t>
      </w:r>
      <w:r w:rsidRPr="002F0552">
        <w:rPr>
          <w:rStyle w:val="afb"/>
          <w:rFonts w:hint="cs"/>
          <w:rtl/>
        </w:rPr>
        <w:t>[כדם ואימורין בקדשים]</w:t>
      </w:r>
      <w:r>
        <w:rPr>
          <w:rFonts w:hint="cs"/>
          <w:rtl/>
        </w:rPr>
        <w:t xml:space="preserve">, דאינו בכלל איסור יוצא מדין "בשר בשדה טריפה", </w:t>
      </w:r>
      <w:r w:rsidRPr="004A4F5A">
        <w:rPr>
          <w:rStyle w:val="afb"/>
          <w:rFonts w:hint="cs"/>
          <w:rtl/>
        </w:rPr>
        <w:t>[אלא איסורו הוא מדין קדשים ונלמד מפסו' אחר, עיי"ש בדבריו</w:t>
      </w:r>
      <w:r>
        <w:rPr>
          <w:rStyle w:val="afb"/>
          <w:rFonts w:hint="cs"/>
          <w:rtl/>
        </w:rPr>
        <w:t xml:space="preserve">], </w:t>
      </w:r>
      <w:r w:rsidRPr="00DA6F9E">
        <w:rPr>
          <w:rFonts w:hint="cs"/>
          <w:rtl/>
        </w:rPr>
        <w:t>אמנ</w:t>
      </w:r>
      <w:r>
        <w:rPr>
          <w:rFonts w:hint="cs"/>
          <w:rtl/>
        </w:rPr>
        <w:t xml:space="preserve">ם </w:t>
      </w:r>
      <w:r w:rsidRPr="00533B65">
        <w:rPr>
          <w:rStyle w:val="af9"/>
          <w:rFonts w:hint="cs"/>
          <w:rtl/>
        </w:rPr>
        <w:t>האבי עזרי</w:t>
      </w:r>
      <w:r>
        <w:rPr>
          <w:rFonts w:hint="cs"/>
          <w:rtl/>
        </w:rPr>
        <w:t xml:space="preserve"> </w:t>
      </w:r>
      <w:r w:rsidRPr="00533B65">
        <w:rPr>
          <w:rStyle w:val="af7"/>
          <w:rFonts w:eastAsia="Guttman Hodes" w:hint="cs"/>
          <w:rtl/>
        </w:rPr>
        <w:t>(פסולי המוקדשים פ"א ה"ג ד"ה והנה בספר)</w:t>
      </w:r>
      <w:r>
        <w:rPr>
          <w:rFonts w:hint="cs"/>
          <w:rtl/>
        </w:rPr>
        <w:t xml:space="preserve"> כתב להוכיח דאיסור "בשר בשדה טריפה" בקדשים, הוא אף במחיצה שאינה מחיצה לאכילה, </w:t>
      </w:r>
      <w:r w:rsidRPr="002F0552">
        <w:rPr>
          <w:rStyle w:val="afb"/>
          <w:rFonts w:hint="cs"/>
          <w:rtl/>
        </w:rPr>
        <w:t>[כדם ואימורין]</w:t>
      </w:r>
      <w:r>
        <w:rPr>
          <w:rFonts w:hint="cs"/>
          <w:rtl/>
        </w:rPr>
        <w:t xml:space="preserve">, ודלא כדברי </w:t>
      </w:r>
      <w:r w:rsidRPr="00533B65">
        <w:rPr>
          <w:rStyle w:val="af9"/>
          <w:rFonts w:hint="cs"/>
          <w:rtl/>
        </w:rPr>
        <w:t>הגרי"ז</w:t>
      </w:r>
      <w:r>
        <w:rPr>
          <w:rFonts w:hint="cs"/>
          <w:rtl/>
        </w:rPr>
        <w:t xml:space="preserve">. </w:t>
      </w:r>
    </w:p>
    <w:p w14:paraId="4605791B" w14:textId="77777777" w:rsidR="003D504D" w:rsidRPr="00664DC3" w:rsidRDefault="003D504D" w:rsidP="00BF39B2">
      <w:pPr>
        <w:pStyle w:val="1"/>
        <w:rPr>
          <w:rtl/>
        </w:rPr>
      </w:pPr>
      <w:bookmarkStart w:id="18093" w:name="_Toc536459357"/>
      <w:bookmarkStart w:id="18094" w:name="_Toc536466317"/>
      <w:bookmarkStart w:id="18095" w:name="_Toc536540479"/>
      <w:bookmarkStart w:id="18096" w:name="_Toc536564332"/>
      <w:bookmarkStart w:id="18097" w:name="_Toc536564487"/>
      <w:bookmarkStart w:id="18098" w:name="_Toc536617041"/>
      <w:bookmarkStart w:id="18099" w:name="_Toc19391344"/>
      <w:bookmarkStart w:id="18100" w:name="_Toc19394841"/>
      <w:r>
        <w:rPr>
          <w:rFonts w:hint="cs"/>
          <w:rtl/>
        </w:rPr>
        <w:t>הוכחת האבי עזרי</w:t>
      </w:r>
      <w:bookmarkEnd w:id="18093"/>
      <w:bookmarkEnd w:id="18094"/>
      <w:bookmarkEnd w:id="18095"/>
      <w:bookmarkEnd w:id="18096"/>
      <w:bookmarkEnd w:id="18097"/>
      <w:r>
        <w:rPr>
          <w:rFonts w:hint="cs"/>
          <w:rtl/>
        </w:rPr>
        <w:t xml:space="preserve"> מחומת העזרה דהשחיטה מהני אף לאבר</w:t>
      </w:r>
      <w:bookmarkEnd w:id="18098"/>
      <w:bookmarkEnd w:id="18099"/>
      <w:bookmarkEnd w:id="18100"/>
    </w:p>
    <w:p w14:paraId="5B03D613" w14:textId="77777777" w:rsidR="003D504D" w:rsidRDefault="003D504D" w:rsidP="003D504D">
      <w:pPr>
        <w:pStyle w:val="a3"/>
        <w:rPr>
          <w:rtl/>
        </w:rPr>
      </w:pPr>
      <w:bookmarkStart w:id="18101" w:name="_Toc536564333"/>
      <w:bookmarkStart w:id="18102" w:name="_Toc536564488"/>
      <w:bookmarkStart w:id="18103" w:name="_Toc536617042"/>
      <w:bookmarkStart w:id="18104" w:name="_Toc19391345"/>
      <w:bookmarkStart w:id="18105" w:name="_Toc19394842"/>
      <w:r>
        <w:rPr>
          <w:rFonts w:hint="cs"/>
          <w:rtl/>
        </w:rPr>
        <w:t>קושית האבי עזרי דמחיצת העזרה מהני להתיר יוצא אך עדיין אינו בכלל היתר שחיטה</w:t>
      </w:r>
      <w:bookmarkEnd w:id="18101"/>
      <w:bookmarkEnd w:id="18102"/>
      <w:bookmarkEnd w:id="18103"/>
      <w:bookmarkEnd w:id="18104"/>
      <w:bookmarkEnd w:id="18105"/>
    </w:p>
    <w:p w14:paraId="3D388BDE" w14:textId="77777777" w:rsidR="003D504D" w:rsidRDefault="003D504D" w:rsidP="00223668">
      <w:pPr>
        <w:pStyle w:val="a0"/>
        <w:rPr>
          <w:rtl/>
        </w:rPr>
      </w:pPr>
      <w:r>
        <w:rPr>
          <w:rFonts w:hint="cs"/>
          <w:rtl/>
        </w:rPr>
        <w:t xml:space="preserve">הקשה </w:t>
      </w:r>
      <w:r w:rsidRPr="00C340A1">
        <w:rPr>
          <w:rStyle w:val="af9"/>
          <w:rFonts w:hint="cs"/>
          <w:rtl/>
        </w:rPr>
        <w:t>האבי עזרי</w:t>
      </w:r>
      <w:r>
        <w:rPr>
          <w:rFonts w:hint="cs"/>
          <w:rtl/>
        </w:rPr>
        <w:t xml:space="preserve"> </w:t>
      </w:r>
      <w:r w:rsidRPr="00C340A1">
        <w:rPr>
          <w:rStyle w:val="af7"/>
          <w:rFonts w:eastAsia="Guttman Hodes" w:hint="cs"/>
          <w:rtl/>
        </w:rPr>
        <w:t xml:space="preserve">(אבות הטומאות פ"ב ה"ט ד"ה והנה לכאו') </w:t>
      </w:r>
      <w:r>
        <w:rPr>
          <w:rFonts w:hint="cs"/>
          <w:rtl/>
        </w:rPr>
        <w:t xml:space="preserve">על הצד בגמ' דמחיצת העזרה תועיל להתיר את האבר היוצא, דהרי אף אי חשיב מחיצה לענין האבר, מהני רק שלא יאסר באיסור "בשר בשדה טריפה", אך כיון שאינו בכלל היתר "בהמה בבהמה", עדיין יהיה אסור באכילה, ועי' בדברי </w:t>
      </w:r>
      <w:r w:rsidRPr="001B2FB8">
        <w:rPr>
          <w:rStyle w:val="af9"/>
          <w:rFonts w:hint="cs"/>
          <w:rtl/>
        </w:rPr>
        <w:t>הרש"ש</w:t>
      </w:r>
      <w:r>
        <w:rPr>
          <w:rFonts w:hint="cs"/>
          <w:rtl/>
        </w:rPr>
        <w:t xml:space="preserve"> </w:t>
      </w:r>
      <w:r w:rsidRPr="001B2FB8">
        <w:rPr>
          <w:rStyle w:val="af7"/>
          <w:rFonts w:eastAsia="Guttman Hodes" w:hint="cs"/>
          <w:rtl/>
        </w:rPr>
        <w:t xml:space="preserve">(עי' אות </w:t>
      </w:r>
      <w:r w:rsidRPr="001B2FB8">
        <w:rPr>
          <w:rStyle w:val="af7"/>
          <w:rFonts w:eastAsia="Guttman Hodes"/>
          <w:rtl/>
        </w:rPr>
        <w:fldChar w:fldCharType="begin"/>
      </w:r>
      <w:r w:rsidRPr="001B2FB8">
        <w:rPr>
          <w:rStyle w:val="af7"/>
          <w:rFonts w:eastAsia="Guttman Hodes"/>
          <w:rtl/>
        </w:rPr>
        <w:instrText xml:space="preserve"> </w:instrText>
      </w:r>
      <w:r w:rsidRPr="001B2FB8">
        <w:rPr>
          <w:rStyle w:val="af7"/>
          <w:rFonts w:eastAsia="Guttman Hodes" w:hint="cs"/>
        </w:rPr>
        <w:instrText>REF</w:instrText>
      </w:r>
      <w:r w:rsidRPr="001B2FB8">
        <w:rPr>
          <w:rStyle w:val="af7"/>
          <w:rFonts w:eastAsia="Guttman Hodes" w:hint="cs"/>
          <w:rtl/>
        </w:rPr>
        <w:instrText xml:space="preserve"> _</w:instrText>
      </w:r>
      <w:r w:rsidRPr="001B2FB8">
        <w:rPr>
          <w:rStyle w:val="af7"/>
          <w:rFonts w:eastAsia="Guttman Hodes" w:hint="cs"/>
        </w:rPr>
        <w:instrText>Ref536466077 \r \h</w:instrText>
      </w:r>
      <w:r w:rsidRPr="001B2FB8">
        <w:rPr>
          <w:rStyle w:val="af7"/>
          <w:rFonts w:eastAsia="Guttman Hodes"/>
          <w:rtl/>
        </w:rPr>
        <w:instrText xml:space="preserve"> </w:instrText>
      </w:r>
      <w:r w:rsidRPr="001B2FB8">
        <w:rPr>
          <w:rStyle w:val="af7"/>
          <w:rFonts w:eastAsia="Guttman Hodes"/>
          <w:rtl/>
        </w:rPr>
      </w:r>
      <w:r w:rsidRPr="001B2FB8">
        <w:rPr>
          <w:rStyle w:val="af7"/>
          <w:rFonts w:eastAsia="Guttman Hodes"/>
          <w:rtl/>
        </w:rPr>
        <w:fldChar w:fldCharType="separate"/>
      </w:r>
      <w:r w:rsidR="00345400">
        <w:rPr>
          <w:rStyle w:val="af7"/>
          <w:rFonts w:eastAsia="Guttman Hodes"/>
          <w:cs/>
        </w:rPr>
        <w:t>‎</w:t>
      </w:r>
      <w:r w:rsidR="00345400">
        <w:rPr>
          <w:rStyle w:val="af7"/>
          <w:rFonts w:eastAsia="Guttman Hodes"/>
          <w:rtl/>
        </w:rPr>
        <w:t>צז)</w:t>
      </w:r>
      <w:r w:rsidRPr="001B2FB8">
        <w:rPr>
          <w:rStyle w:val="af7"/>
          <w:rFonts w:eastAsia="Guttman Hodes"/>
          <w:rtl/>
        </w:rPr>
        <w:fldChar w:fldCharType="end"/>
      </w:r>
      <w:r>
        <w:rPr>
          <w:rFonts w:hint="cs"/>
          <w:rtl/>
        </w:rPr>
        <w:t>.</w:t>
      </w:r>
    </w:p>
    <w:p w14:paraId="3D5A8BE1" w14:textId="77777777" w:rsidR="003D504D" w:rsidRDefault="003D504D" w:rsidP="003D504D">
      <w:pPr>
        <w:pStyle w:val="a3"/>
        <w:rPr>
          <w:rtl/>
        </w:rPr>
      </w:pPr>
      <w:bookmarkStart w:id="18106" w:name="_Toc536564334"/>
      <w:bookmarkStart w:id="18107" w:name="_Toc536564489"/>
      <w:bookmarkStart w:id="18108" w:name="_Toc536617043"/>
      <w:bookmarkStart w:id="18109" w:name="_Toc19391346"/>
      <w:bookmarkStart w:id="18110" w:name="_Toc19394843"/>
      <w:r>
        <w:rPr>
          <w:rFonts w:hint="cs"/>
          <w:rtl/>
        </w:rPr>
        <w:t>דברי האבי עזרי דבמקום שאין איסור יוצא מהני השחיטה אף לאבר שבחוץ להתירו באכילה</w:t>
      </w:r>
      <w:bookmarkEnd w:id="18106"/>
      <w:bookmarkEnd w:id="18107"/>
      <w:bookmarkEnd w:id="18108"/>
      <w:bookmarkEnd w:id="18109"/>
      <w:bookmarkEnd w:id="18110"/>
    </w:p>
    <w:p w14:paraId="55B51479" w14:textId="77777777" w:rsidR="003D504D" w:rsidRDefault="003D504D" w:rsidP="00223668">
      <w:pPr>
        <w:pStyle w:val="a0"/>
        <w:rPr>
          <w:rtl/>
        </w:rPr>
        <w:sectPr w:rsidR="003D504D" w:rsidSect="003D504D">
          <w:type w:val="continuous"/>
          <w:pgSz w:w="11906" w:h="16838"/>
          <w:pgMar w:top="720" w:right="720" w:bottom="720" w:left="720" w:header="283" w:footer="283" w:gutter="0"/>
          <w:cols w:num="2" w:space="567"/>
          <w:bidi/>
          <w:rtlGutter/>
          <w:docGrid w:linePitch="299"/>
        </w:sectPr>
      </w:pPr>
      <w:bookmarkStart w:id="18111" w:name="_Ref536564018"/>
      <w:r>
        <w:rPr>
          <w:rFonts w:hint="cs"/>
          <w:rtl/>
        </w:rPr>
        <w:t xml:space="preserve">וכתב </w:t>
      </w:r>
      <w:r w:rsidRPr="00C340A1">
        <w:rPr>
          <w:rStyle w:val="af9"/>
          <w:rFonts w:hint="cs"/>
          <w:rtl/>
        </w:rPr>
        <w:t>האבי עזרי</w:t>
      </w:r>
      <w:r>
        <w:rPr>
          <w:rFonts w:hint="cs"/>
          <w:rtl/>
        </w:rPr>
        <w:t xml:space="preserve"> דמוכח דכל שלא נאסר האבר באיסור "בשר בשדה טריפה" מהני השחיטה גם על האבר, אעפ"י שהוא מחוץ למחיצת אמו, וכל מה דלא מהני השחיטה על האבר, הוא כיון שיש עליו איסור יוצא, ולכן להצד בגמ' דמהני מחיצת העזרה שלא יאסר באיסור יוצא, ממילא הוא בכלל היתר "בהמה בבהמה", דאין חסרון במה שאינו בבהמה, ומותר אף באכילה.</w:t>
      </w:r>
      <w:bookmarkEnd w:id="18111"/>
    </w:p>
    <w:p w14:paraId="1EDF48B7" w14:textId="77777777" w:rsidR="003D504D" w:rsidRDefault="003D504D" w:rsidP="003D504D">
      <w:pPr>
        <w:pStyle w:val="afd"/>
        <w:rPr>
          <w:rtl/>
        </w:rPr>
        <w:sectPr w:rsidR="003D504D" w:rsidSect="003D504D">
          <w:footerReference w:type="default" r:id="rId112"/>
          <w:type w:val="continuous"/>
          <w:pgSz w:w="11906" w:h="16838"/>
          <w:pgMar w:top="720" w:right="720" w:bottom="720" w:left="720" w:header="283" w:footer="283" w:gutter="0"/>
          <w:cols w:space="113"/>
          <w:bidi/>
          <w:rtlGutter/>
          <w:docGrid w:linePitch="299"/>
        </w:sectPr>
      </w:pPr>
      <w:bookmarkStart w:id="18112" w:name="_Toc536775928"/>
      <w:bookmarkStart w:id="18113" w:name="_Toc536786965"/>
      <w:bookmarkStart w:id="18114" w:name="_Toc536786990"/>
      <w:bookmarkStart w:id="18115" w:name="_Toc519024"/>
      <w:bookmarkStart w:id="18116" w:name="_Toc725003"/>
      <w:bookmarkStart w:id="18117" w:name="_Toc773222"/>
      <w:bookmarkStart w:id="18118" w:name="_Toc862060"/>
      <w:bookmarkStart w:id="18119" w:name="_Toc890692"/>
      <w:bookmarkStart w:id="18120" w:name="_Toc903086"/>
      <w:bookmarkStart w:id="18121" w:name="_Toc955457"/>
      <w:bookmarkStart w:id="18122" w:name="_Toc955750"/>
      <w:bookmarkStart w:id="18123" w:name="_Toc1039389"/>
      <w:bookmarkStart w:id="18124" w:name="_Toc1040632"/>
      <w:bookmarkStart w:id="18125" w:name="_Toc1063524"/>
      <w:bookmarkStart w:id="18126" w:name="_Toc1111956"/>
      <w:bookmarkStart w:id="18127" w:name="_Toc1123821"/>
    </w:p>
    <w:p w14:paraId="76F55763" w14:textId="77777777" w:rsidR="003D504D" w:rsidRDefault="0060097B" w:rsidP="0060097B">
      <w:pPr>
        <w:pStyle w:val="afd"/>
        <w:rPr>
          <w:rtl/>
        </w:rPr>
      </w:pPr>
      <w:bookmarkStart w:id="18128" w:name="_Toc5356382"/>
      <w:bookmarkStart w:id="18129" w:name="_Toc16669765"/>
      <w:bookmarkStart w:id="18130" w:name="_Toc19436082"/>
      <w:bookmarkStart w:id="18131" w:name="_Toc20081276"/>
      <w:r>
        <w:rPr>
          <w:rFonts w:hint="cs"/>
          <w:rtl/>
        </w:rPr>
        <w:t xml:space="preserve">סימן </w:t>
      </w:r>
      <w:bookmarkEnd w:id="18112"/>
      <w:bookmarkEnd w:id="18113"/>
      <w:bookmarkEnd w:id="18114"/>
      <w:bookmarkEnd w:id="18115"/>
      <w:bookmarkEnd w:id="18116"/>
      <w:bookmarkEnd w:id="18117"/>
      <w:bookmarkEnd w:id="18118"/>
      <w:bookmarkEnd w:id="18119"/>
      <w:bookmarkEnd w:id="18120"/>
      <w:bookmarkEnd w:id="18121"/>
      <w:bookmarkEnd w:id="18122"/>
      <w:bookmarkEnd w:id="18123"/>
      <w:bookmarkEnd w:id="18124"/>
      <w:bookmarkEnd w:id="18125"/>
      <w:bookmarkEnd w:id="18126"/>
      <w:bookmarkEnd w:id="18127"/>
      <w:bookmarkEnd w:id="18128"/>
      <w:r>
        <w:rPr>
          <w:rFonts w:hint="cs"/>
          <w:rtl/>
        </w:rPr>
        <w:t>י"ז</w:t>
      </w:r>
      <w:bookmarkEnd w:id="18129"/>
      <w:bookmarkEnd w:id="18130"/>
      <w:bookmarkEnd w:id="18131"/>
    </w:p>
    <w:p w14:paraId="3D267909" w14:textId="77777777" w:rsidR="003D504D" w:rsidRPr="00350D47" w:rsidRDefault="003D504D" w:rsidP="003D504D">
      <w:pPr>
        <w:pStyle w:val="afd"/>
        <w:rPr>
          <w:rtl/>
        </w:rPr>
      </w:pPr>
      <w:bookmarkStart w:id="18132" w:name="_Toc1039390"/>
      <w:bookmarkStart w:id="18133" w:name="_Toc1040633"/>
      <w:bookmarkStart w:id="18134" w:name="_Toc1063525"/>
      <w:bookmarkStart w:id="18135" w:name="_Toc1111957"/>
      <w:bookmarkStart w:id="18136" w:name="_Toc1123822"/>
      <w:bookmarkStart w:id="18137" w:name="_Toc5356383"/>
      <w:bookmarkStart w:id="18138" w:name="_Toc16669766"/>
      <w:bookmarkStart w:id="18139" w:name="_Toc19436083"/>
      <w:bookmarkStart w:id="18140" w:name="_Toc20081277"/>
      <w:r>
        <w:rPr>
          <w:rFonts w:hint="cs"/>
          <w:rtl/>
        </w:rPr>
        <w:t>סוגיא דאבר היוצא (ג')</w:t>
      </w:r>
      <w:bookmarkEnd w:id="18132"/>
      <w:bookmarkEnd w:id="18133"/>
      <w:bookmarkEnd w:id="18134"/>
      <w:bookmarkEnd w:id="18135"/>
      <w:bookmarkEnd w:id="18136"/>
      <w:bookmarkEnd w:id="18137"/>
      <w:bookmarkEnd w:id="18138"/>
      <w:bookmarkEnd w:id="18139"/>
      <w:bookmarkEnd w:id="18140"/>
    </w:p>
    <w:p w14:paraId="07FE22B8" w14:textId="77777777" w:rsidR="003D504D" w:rsidRPr="00B06D6B" w:rsidRDefault="003D504D" w:rsidP="003D504D">
      <w:pPr>
        <w:pStyle w:val="afd"/>
      </w:pPr>
      <w:bookmarkStart w:id="18141" w:name="_Toc1039391"/>
      <w:bookmarkStart w:id="18142" w:name="_Toc1040634"/>
      <w:bookmarkStart w:id="18143" w:name="_Toc1063526"/>
      <w:bookmarkStart w:id="18144" w:name="_Toc1111958"/>
      <w:bookmarkStart w:id="18145" w:name="_Toc1123823"/>
      <w:bookmarkStart w:id="18146" w:name="_Toc5356384"/>
      <w:bookmarkStart w:id="18147" w:name="_Toc16669767"/>
      <w:bookmarkStart w:id="18148" w:name="_Toc19436084"/>
      <w:bookmarkStart w:id="18149" w:name="_Toc20081278"/>
      <w:r>
        <w:rPr>
          <w:rFonts w:hint="cs"/>
          <w:rtl/>
        </w:rPr>
        <w:t>בדין בן פקועה הבא על בהמה מעלמא ו</w:t>
      </w:r>
      <w:r w:rsidRPr="007A1D01">
        <w:rPr>
          <w:rtl/>
        </w:rPr>
        <w:t xml:space="preserve">בדין חלב </w:t>
      </w:r>
      <w:r>
        <w:rPr>
          <w:rFonts w:hint="cs"/>
          <w:rtl/>
        </w:rPr>
        <w:t>הבא מכח</w:t>
      </w:r>
      <w:r w:rsidRPr="007A1D01">
        <w:rPr>
          <w:rtl/>
        </w:rPr>
        <w:t xml:space="preserve"> אבר היוצא</w:t>
      </w:r>
      <w:bookmarkEnd w:id="18141"/>
      <w:bookmarkEnd w:id="18142"/>
      <w:bookmarkEnd w:id="18143"/>
      <w:bookmarkEnd w:id="18144"/>
      <w:bookmarkEnd w:id="18145"/>
      <w:bookmarkEnd w:id="18146"/>
      <w:bookmarkEnd w:id="18147"/>
      <w:bookmarkEnd w:id="18148"/>
      <w:bookmarkEnd w:id="18149"/>
    </w:p>
    <w:p w14:paraId="3B869528" w14:textId="77777777" w:rsidR="003D504D" w:rsidRPr="00B06D6B" w:rsidRDefault="000A0C31" w:rsidP="003D504D">
      <w:pPr>
        <w:pStyle w:val="2"/>
        <w:rPr>
          <w:rtl/>
        </w:rPr>
      </w:pPr>
      <w:r>
        <w:rPr>
          <w:rtl/>
        </w:rPr>
        <w:t>מפתח הסוגיא</w:t>
      </w:r>
    </w:p>
    <w:p w14:paraId="3514EEBB" w14:textId="77777777" w:rsidR="003D504D" w:rsidRPr="00B06D6B" w:rsidRDefault="003D504D" w:rsidP="003D504D">
      <w:pPr>
        <w:pStyle w:val="aff4"/>
        <w:rPr>
          <w:rtl/>
        </w:rPr>
        <w:sectPr w:rsidR="003D504D" w:rsidRPr="00B06D6B" w:rsidSect="003D504D">
          <w:headerReference w:type="default" r:id="rId113"/>
          <w:pgSz w:w="11906" w:h="16838"/>
          <w:pgMar w:top="720" w:right="720" w:bottom="720" w:left="720" w:header="283" w:footer="283" w:gutter="0"/>
          <w:cols w:space="113"/>
          <w:bidi/>
          <w:rtlGutter/>
          <w:docGrid w:linePitch="299"/>
        </w:sectPr>
      </w:pPr>
    </w:p>
    <w:p w14:paraId="7F17558B" w14:textId="77777777" w:rsidR="003D504D" w:rsidRDefault="003D504D" w:rsidP="003D504D">
      <w:pPr>
        <w:pStyle w:val="2"/>
        <w:rPr>
          <w:noProof/>
        </w:rPr>
      </w:pPr>
      <w:bookmarkStart w:id="18150" w:name="_Toc862063"/>
      <w:bookmarkStart w:id="18151" w:name="_Toc890695"/>
      <w:bookmarkStart w:id="18152" w:name="_Toc903089"/>
      <w:bookmarkStart w:id="18153" w:name="_Toc955460"/>
      <w:bookmarkStart w:id="18154" w:name="_Toc955753"/>
      <w:bookmarkStart w:id="18155" w:name="_Toc1039393"/>
      <w:bookmarkStart w:id="18156" w:name="_Toc1040636"/>
      <w:bookmarkStart w:id="18157" w:name="_Toc1063528"/>
      <w:bookmarkStart w:id="18158" w:name="_Toc1111960"/>
      <w:bookmarkStart w:id="18159" w:name="_Toc1123825"/>
      <w:bookmarkStart w:id="18160" w:name="_Toc19436086"/>
      <w:r w:rsidRPr="00B06D6B">
        <w:rPr>
          <w:noProof/>
          <w:rtl/>
        </w:rPr>
        <w:t>מראי מקומות וביאורים על הסוגיא</w:t>
      </w:r>
      <w:bookmarkEnd w:id="18150"/>
      <w:bookmarkEnd w:id="18151"/>
      <w:bookmarkEnd w:id="18152"/>
      <w:bookmarkEnd w:id="18153"/>
      <w:bookmarkEnd w:id="18154"/>
      <w:bookmarkEnd w:id="18155"/>
      <w:bookmarkEnd w:id="18156"/>
      <w:bookmarkEnd w:id="18157"/>
      <w:bookmarkEnd w:id="18158"/>
      <w:bookmarkEnd w:id="18159"/>
      <w:bookmarkEnd w:id="18160"/>
      <w:r w:rsidRPr="00B06D6B">
        <w:rPr>
          <w:rtl/>
        </w:rPr>
        <w:t xml:space="preserve"> </w:t>
      </w:r>
      <w:r w:rsidRPr="00B06D6B">
        <w:rPr>
          <w:rtl/>
        </w:rPr>
        <w:fldChar w:fldCharType="begin"/>
      </w:r>
      <w:r w:rsidRPr="00B06D6B">
        <w:rPr>
          <w:rtl/>
        </w:rPr>
        <w:instrText xml:space="preserve"> </w:instrText>
      </w:r>
      <w:r w:rsidRPr="00B06D6B">
        <w:instrText>TOC</w:instrText>
      </w:r>
      <w:r w:rsidRPr="00B06D6B">
        <w:rPr>
          <w:rtl/>
        </w:rPr>
        <w:instrText xml:space="preserve"> \</w:instrText>
      </w:r>
      <w:r w:rsidRPr="00B06D6B">
        <w:instrText>o "1-9" \n \p " " \z \t</w:instrText>
      </w:r>
      <w:r w:rsidRPr="00B06D6B">
        <w:rPr>
          <w:rtl/>
        </w:rPr>
        <w:instrText xml:space="preserve"> "כותרת 1,2,כות קט,3,כות מקטע,1" </w:instrText>
      </w:r>
      <w:r w:rsidRPr="00B06D6B">
        <w:rPr>
          <w:rtl/>
        </w:rPr>
        <w:fldChar w:fldCharType="separate"/>
      </w:r>
    </w:p>
    <w:p w14:paraId="3D39BEFD" w14:textId="77777777" w:rsidR="003D504D" w:rsidRDefault="003D504D" w:rsidP="003D504D">
      <w:pPr>
        <w:pStyle w:val="2"/>
        <w:rPr>
          <w:rFonts w:eastAsiaTheme="minorEastAsia" w:cstheme="minorBidi"/>
          <w:i/>
          <w:iCs/>
          <w:noProof/>
          <w:sz w:val="22"/>
          <w:szCs w:val="22"/>
          <w:rtl/>
        </w:rPr>
      </w:pPr>
      <w:bookmarkStart w:id="18161" w:name="_Toc19436087"/>
      <w:r>
        <w:rPr>
          <w:noProof/>
          <w:rtl/>
        </w:rPr>
        <w:t>בדין בן פקועה שבא על בהמה מעלמא</w:t>
      </w:r>
      <w:bookmarkEnd w:id="18161"/>
    </w:p>
    <w:p w14:paraId="6B60D5BC" w14:textId="77777777" w:rsidR="003D504D" w:rsidRDefault="003D504D" w:rsidP="003D504D">
      <w:pPr>
        <w:pStyle w:val="aff4"/>
        <w:rPr>
          <w:rFonts w:eastAsiaTheme="minorEastAsia" w:cstheme="minorBidi"/>
          <w:i/>
          <w:iCs/>
          <w:noProof/>
          <w:sz w:val="22"/>
          <w:szCs w:val="22"/>
          <w:rtl/>
        </w:rPr>
      </w:pPr>
      <w:bookmarkStart w:id="18162" w:name="_Toc19436088"/>
      <w:bookmarkStart w:id="18163" w:name="_Toc20081279"/>
      <w:r>
        <w:rPr>
          <w:noProof/>
          <w:rtl/>
        </w:rPr>
        <w:t>דעת רש"י דהוי חצי שחוט ושחיטתו פסולה מדין שהייה</w:t>
      </w:r>
      <w:bookmarkEnd w:id="18162"/>
      <w:bookmarkEnd w:id="18163"/>
    </w:p>
    <w:p w14:paraId="7CF487BA" w14:textId="77777777" w:rsidR="001A3A15" w:rsidRPr="005077A7" w:rsidRDefault="001A3A15" w:rsidP="00E12979">
      <w:pPr>
        <w:pStyle w:val="a"/>
        <w:numPr>
          <w:ilvl w:val="0"/>
          <w:numId w:val="39"/>
        </w:numPr>
        <w:rPr>
          <w:rFonts w:eastAsiaTheme="minorEastAsia" w:cstheme="minorBidi"/>
          <w:sz w:val="22"/>
          <w:szCs w:val="22"/>
        </w:rPr>
      </w:pPr>
      <w:r w:rsidRPr="000E7BEF">
        <w:rPr>
          <w:rtl/>
        </w:rPr>
        <w:t>דברי רש"י דחצי מסימני העובר חשיבי כשחוטים או דסימן אחד חשיב כשחוט ול"מ בו שחיטה</w:t>
      </w:r>
      <w:r>
        <w:rPr>
          <w:rtl/>
        </w:rPr>
        <w:t xml:space="preserve"> </w:t>
      </w:r>
    </w:p>
    <w:p w14:paraId="4C07E348" w14:textId="77777777" w:rsidR="003D504D" w:rsidRDefault="003D504D" w:rsidP="005077A7">
      <w:pPr>
        <w:pStyle w:val="a"/>
        <w:rPr>
          <w:rFonts w:eastAsiaTheme="minorEastAsia" w:cstheme="minorBidi"/>
          <w:sz w:val="22"/>
          <w:szCs w:val="22"/>
          <w:rtl/>
        </w:rPr>
      </w:pPr>
      <w:r>
        <w:rPr>
          <w:rtl/>
        </w:rPr>
        <w:t>דברי רש"י לקמן דסימן אחד כשחוט וא"כ כשחוזר ושוחט את הסימן השני אין לך שהייה גדולה מזו</w:t>
      </w:r>
    </w:p>
    <w:p w14:paraId="65A70C9B" w14:textId="77777777" w:rsidR="003D504D" w:rsidRDefault="003D504D" w:rsidP="005077A7">
      <w:pPr>
        <w:pStyle w:val="a"/>
        <w:rPr>
          <w:rFonts w:eastAsiaTheme="minorEastAsia" w:cstheme="minorBidi"/>
          <w:sz w:val="22"/>
          <w:szCs w:val="22"/>
          <w:rtl/>
        </w:rPr>
      </w:pPr>
      <w:r>
        <w:rPr>
          <w:rtl/>
        </w:rPr>
        <w:t>דברי רש"י דרב משרשיא דאמר דאין לולד תקנה לא ס"ל דד' סימנים אכשר ביה רחמנא</w:t>
      </w:r>
    </w:p>
    <w:p w14:paraId="549B9323" w14:textId="77777777" w:rsidR="003D504D" w:rsidRDefault="003D504D" w:rsidP="005077A7">
      <w:pPr>
        <w:pStyle w:val="a"/>
        <w:rPr>
          <w:rFonts w:eastAsiaTheme="minorEastAsia" w:cstheme="minorBidi"/>
          <w:sz w:val="22"/>
          <w:szCs w:val="22"/>
          <w:rtl/>
        </w:rPr>
      </w:pPr>
      <w:r>
        <w:rPr>
          <w:rtl/>
        </w:rPr>
        <w:t>דברי המהר"ץ חיות דכיון שחצי סימניו נשחטו שחיטת עצמו הוי נבילה דאינה הכשר שחיטה</w:t>
      </w:r>
    </w:p>
    <w:p w14:paraId="6F689714" w14:textId="77777777" w:rsidR="003D504D" w:rsidRDefault="003D504D" w:rsidP="003D504D">
      <w:pPr>
        <w:pStyle w:val="aff4"/>
        <w:rPr>
          <w:rFonts w:eastAsiaTheme="minorEastAsia" w:cstheme="minorBidi"/>
          <w:i/>
          <w:iCs/>
          <w:noProof/>
          <w:sz w:val="22"/>
          <w:szCs w:val="22"/>
          <w:rtl/>
        </w:rPr>
      </w:pPr>
      <w:bookmarkStart w:id="18164" w:name="_Toc19436089"/>
      <w:bookmarkStart w:id="18165" w:name="_Toc20081280"/>
      <w:r>
        <w:rPr>
          <w:noProof/>
          <w:rtl/>
        </w:rPr>
        <w:t>דברי רבינו גרשום דסימניו שמצד אמו חשיבי כבשר</w:t>
      </w:r>
      <w:bookmarkEnd w:id="18164"/>
      <w:bookmarkEnd w:id="18165"/>
    </w:p>
    <w:p w14:paraId="1A78D3A7" w14:textId="77777777" w:rsidR="003D504D" w:rsidRDefault="003D504D" w:rsidP="005077A7">
      <w:pPr>
        <w:pStyle w:val="a"/>
        <w:rPr>
          <w:rFonts w:eastAsiaTheme="minorEastAsia" w:cstheme="minorBidi"/>
          <w:sz w:val="22"/>
          <w:szCs w:val="22"/>
          <w:rtl/>
        </w:rPr>
      </w:pPr>
      <w:r>
        <w:rPr>
          <w:rtl/>
        </w:rPr>
        <w:t>דברי רבינו גרשום דסימני בן פקועה הם כבשר ואינם סימנים ולכן אין לולד סימנים לשוחטו בהם</w:t>
      </w:r>
    </w:p>
    <w:p w14:paraId="285C6B09" w14:textId="77777777" w:rsidR="003D504D" w:rsidRDefault="003D504D" w:rsidP="003D504D">
      <w:pPr>
        <w:pStyle w:val="aff4"/>
        <w:rPr>
          <w:rFonts w:eastAsiaTheme="minorEastAsia" w:cstheme="minorBidi"/>
          <w:i/>
          <w:iCs/>
          <w:noProof/>
          <w:sz w:val="22"/>
          <w:szCs w:val="22"/>
          <w:rtl/>
        </w:rPr>
      </w:pPr>
      <w:bookmarkStart w:id="18166" w:name="_Toc19436090"/>
      <w:bookmarkStart w:id="18167" w:name="_Toc20081281"/>
      <w:r>
        <w:rPr>
          <w:noProof/>
          <w:rtl/>
        </w:rPr>
        <w:t>קושיות התוס' והראשונים דלא שייכא שחיטה בולד כלל</w:t>
      </w:r>
      <w:bookmarkEnd w:id="18166"/>
      <w:bookmarkEnd w:id="18167"/>
    </w:p>
    <w:p w14:paraId="7C83090A" w14:textId="77777777" w:rsidR="003D504D" w:rsidRDefault="003D504D" w:rsidP="005077A7">
      <w:pPr>
        <w:pStyle w:val="a"/>
        <w:rPr>
          <w:rFonts w:eastAsiaTheme="minorEastAsia" w:cstheme="minorBidi"/>
          <w:sz w:val="22"/>
          <w:szCs w:val="22"/>
          <w:rtl/>
        </w:rPr>
      </w:pPr>
      <w:r>
        <w:rPr>
          <w:rtl/>
        </w:rPr>
        <w:t>קושית התוס' דכל סימן כחצי שחוט ואף אי סגי בשחיטת סימן אחד א"א לשוחטו דאין לו רוב סימן</w:t>
      </w:r>
    </w:p>
    <w:p w14:paraId="49FEBD7E" w14:textId="77777777" w:rsidR="003D504D" w:rsidRDefault="003D504D" w:rsidP="005077A7">
      <w:pPr>
        <w:pStyle w:val="a"/>
        <w:rPr>
          <w:rFonts w:eastAsiaTheme="minorEastAsia" w:cstheme="minorBidi"/>
          <w:sz w:val="22"/>
          <w:szCs w:val="22"/>
          <w:rtl/>
        </w:rPr>
      </w:pPr>
      <w:r>
        <w:rPr>
          <w:rtl/>
        </w:rPr>
        <w:t>ק</w:t>
      </w:r>
      <w:r w:rsidRPr="003E6CD1">
        <w:rPr>
          <w:rFonts w:hint="cs"/>
          <w:rtl/>
        </w:rPr>
        <w:t xml:space="preserve"> </w:t>
      </w:r>
      <w:r>
        <w:rPr>
          <w:rFonts w:hint="cs"/>
          <w:rtl/>
        </w:rPr>
        <w:t>קושית התוס' דכיון שחציו לא נשחט כלל</w:t>
      </w:r>
      <w:r>
        <w:rPr>
          <w:rtl/>
        </w:rPr>
        <w:t xml:space="preserve"> אף אם שהייה לא פוסלת בשחיטה א"א לשוחטו</w:t>
      </w:r>
    </w:p>
    <w:p w14:paraId="4CB8642A" w14:textId="77777777" w:rsidR="003D504D" w:rsidRDefault="003D504D" w:rsidP="005077A7">
      <w:pPr>
        <w:pStyle w:val="a"/>
        <w:rPr>
          <w:rFonts w:eastAsiaTheme="minorEastAsia" w:cstheme="minorBidi"/>
          <w:sz w:val="22"/>
          <w:szCs w:val="22"/>
          <w:rtl/>
        </w:rPr>
      </w:pPr>
      <w:r>
        <w:rPr>
          <w:rtl/>
        </w:rPr>
        <w:t>דברי המהר"ם דבחציו לא התחיל לשחוט כלל וא"א להכשירו אף אם שהייה אינה פוסלת</w:t>
      </w:r>
    </w:p>
    <w:p w14:paraId="58E76D7B" w14:textId="77777777" w:rsidR="003D504D" w:rsidRDefault="003D504D" w:rsidP="003D504D">
      <w:pPr>
        <w:pStyle w:val="aff4"/>
        <w:rPr>
          <w:rFonts w:eastAsiaTheme="minorEastAsia" w:cstheme="minorBidi"/>
          <w:i/>
          <w:iCs/>
          <w:noProof/>
          <w:sz w:val="22"/>
          <w:szCs w:val="22"/>
          <w:rtl/>
        </w:rPr>
      </w:pPr>
      <w:bookmarkStart w:id="18168" w:name="_Toc19436091"/>
      <w:bookmarkStart w:id="18169" w:name="_Toc20081282"/>
      <w:r>
        <w:rPr>
          <w:noProof/>
          <w:rtl/>
        </w:rPr>
        <w:t>קושיות התוס' והראשונים דלרש"י יש תקנה לאבר היוצא</w:t>
      </w:r>
      <w:bookmarkEnd w:id="18168"/>
      <w:bookmarkEnd w:id="18169"/>
    </w:p>
    <w:p w14:paraId="415FF9CD" w14:textId="77777777" w:rsidR="003D504D" w:rsidRDefault="003D504D" w:rsidP="005077A7">
      <w:pPr>
        <w:pStyle w:val="a"/>
        <w:rPr>
          <w:rFonts w:eastAsiaTheme="minorEastAsia" w:cstheme="minorBidi"/>
          <w:sz w:val="22"/>
          <w:szCs w:val="22"/>
          <w:rtl/>
        </w:rPr>
      </w:pPr>
      <w:r>
        <w:rPr>
          <w:rtl/>
        </w:rPr>
        <w:t>קושית התוס' דבסוגיין מבואר דא"א להתיר את האבר היוצא לכו"ע כיון שסימניו כשחוטים</w:t>
      </w:r>
    </w:p>
    <w:p w14:paraId="19FEF974" w14:textId="77777777" w:rsidR="003D504D" w:rsidRDefault="003D504D" w:rsidP="005077A7">
      <w:pPr>
        <w:pStyle w:val="a"/>
        <w:rPr>
          <w:rFonts w:eastAsiaTheme="minorEastAsia" w:cstheme="minorBidi"/>
          <w:sz w:val="22"/>
          <w:szCs w:val="22"/>
          <w:rtl/>
        </w:rPr>
      </w:pPr>
      <w:r>
        <w:rPr>
          <w:rtl/>
        </w:rPr>
        <w:t>קושית הראשונים דמוכח דאין תקנה לאבר היוצא ולרש"י למ"ד בגמ' לקמן מותר בשחיטת עצמו</w:t>
      </w:r>
    </w:p>
    <w:p w14:paraId="65B491A8" w14:textId="77777777" w:rsidR="003D504D" w:rsidRDefault="003D504D" w:rsidP="005077A7">
      <w:pPr>
        <w:pStyle w:val="a"/>
        <w:rPr>
          <w:rFonts w:eastAsiaTheme="minorEastAsia" w:cstheme="minorBidi"/>
          <w:sz w:val="22"/>
          <w:szCs w:val="22"/>
          <w:rtl/>
        </w:rPr>
      </w:pPr>
      <w:r>
        <w:rPr>
          <w:rtl/>
        </w:rPr>
        <w:t>קושית הר"ן דלרש"י קשיא הלכתא כרב משרשיא על ההלכתא דד' סימנים אכשר ביה רחמנא</w:t>
      </w:r>
    </w:p>
    <w:p w14:paraId="5B44D4EA" w14:textId="77777777" w:rsidR="003D504D" w:rsidRDefault="003D504D" w:rsidP="003D504D">
      <w:pPr>
        <w:pStyle w:val="aff4"/>
        <w:rPr>
          <w:rFonts w:eastAsiaTheme="minorEastAsia" w:cstheme="minorBidi"/>
          <w:i/>
          <w:iCs/>
          <w:noProof/>
          <w:sz w:val="22"/>
          <w:szCs w:val="22"/>
          <w:rtl/>
        </w:rPr>
      </w:pPr>
      <w:bookmarkStart w:id="18170" w:name="_Toc19436092"/>
      <w:bookmarkStart w:id="18171" w:name="_Toc20081283"/>
      <w:r>
        <w:rPr>
          <w:noProof/>
          <w:rtl/>
        </w:rPr>
        <w:t>דעת התוס' והראשונים דדין ד' סימנים הם רק בשחיטת טריפה</w:t>
      </w:r>
      <w:bookmarkEnd w:id="18170"/>
      <w:bookmarkEnd w:id="18171"/>
    </w:p>
    <w:p w14:paraId="7AA8EAA6" w14:textId="77777777" w:rsidR="003D504D" w:rsidRDefault="003D504D" w:rsidP="005077A7">
      <w:pPr>
        <w:pStyle w:val="a"/>
        <w:rPr>
          <w:rFonts w:eastAsiaTheme="minorEastAsia" w:cstheme="minorBidi"/>
          <w:sz w:val="22"/>
          <w:szCs w:val="22"/>
          <w:rtl/>
        </w:rPr>
      </w:pPr>
      <w:r>
        <w:rPr>
          <w:rtl/>
        </w:rPr>
        <w:t>דברי התוס' והרשב"א דלכו"ע ד' סימנים מהני רק בטריפה ולא בדינא דרב משרשיא דחציו שחוט</w:t>
      </w:r>
    </w:p>
    <w:p w14:paraId="3D3ED3BF" w14:textId="77777777" w:rsidR="003D504D" w:rsidRDefault="003D504D" w:rsidP="005077A7">
      <w:pPr>
        <w:pStyle w:val="a"/>
        <w:rPr>
          <w:rFonts w:eastAsiaTheme="minorEastAsia" w:cstheme="minorBidi"/>
          <w:sz w:val="22"/>
          <w:szCs w:val="22"/>
          <w:rtl/>
        </w:rPr>
      </w:pPr>
      <w:r>
        <w:rPr>
          <w:rtl/>
        </w:rPr>
        <w:t>דברי הרמב"ן והרא"ש והר"ן דכל ששחיטת האם מתירה באכילה לכו"ע לא שייכא שחיטה בולד</w:t>
      </w:r>
    </w:p>
    <w:p w14:paraId="2E4E2087" w14:textId="77777777" w:rsidR="003D504D" w:rsidRDefault="003D504D" w:rsidP="003D504D">
      <w:pPr>
        <w:pStyle w:val="aff4"/>
        <w:rPr>
          <w:rFonts w:eastAsiaTheme="minorEastAsia" w:cstheme="minorBidi"/>
          <w:i/>
          <w:iCs/>
          <w:noProof/>
          <w:sz w:val="22"/>
          <w:szCs w:val="22"/>
          <w:rtl/>
        </w:rPr>
      </w:pPr>
      <w:bookmarkStart w:id="18172" w:name="_Toc19436093"/>
      <w:bookmarkStart w:id="18173" w:name="_Toc20081284"/>
      <w:r>
        <w:rPr>
          <w:noProof/>
          <w:rtl/>
        </w:rPr>
        <w:t>ביאור החת"ס ברש"י דרק לרב משרשיא חשיב כשחוט</w:t>
      </w:r>
      <w:bookmarkEnd w:id="18172"/>
      <w:bookmarkEnd w:id="18173"/>
    </w:p>
    <w:p w14:paraId="0642A23B" w14:textId="77777777" w:rsidR="003D504D" w:rsidRDefault="003D504D" w:rsidP="005077A7">
      <w:pPr>
        <w:pStyle w:val="a"/>
        <w:rPr>
          <w:rFonts w:eastAsiaTheme="minorEastAsia" w:cstheme="minorBidi"/>
          <w:sz w:val="22"/>
          <w:szCs w:val="22"/>
          <w:rtl/>
        </w:rPr>
      </w:pPr>
      <w:r>
        <w:rPr>
          <w:rtl/>
        </w:rPr>
        <w:t>ביאור החת"ס דלמ"ד דד' סימנים בן פקועה מותר אף שאינו כשחוט ולכן שייכא בו שחיטה</w:t>
      </w:r>
    </w:p>
    <w:p w14:paraId="455653FA" w14:textId="77777777" w:rsidR="003D504D" w:rsidRDefault="003D504D" w:rsidP="005077A7">
      <w:pPr>
        <w:pStyle w:val="a"/>
        <w:rPr>
          <w:rFonts w:eastAsiaTheme="minorEastAsia" w:cstheme="minorBidi"/>
          <w:sz w:val="22"/>
          <w:szCs w:val="22"/>
          <w:rtl/>
        </w:rPr>
      </w:pPr>
      <w:r>
        <w:rPr>
          <w:rtl/>
        </w:rPr>
        <w:t>ביאור החת"ס דלרב משרשיא היתר בן פקועה הוא דנשחטו גם סימניו ואין לו ד' סימנים</w:t>
      </w:r>
    </w:p>
    <w:p w14:paraId="1BE06D8C" w14:textId="77777777" w:rsidR="003D504D" w:rsidRDefault="003D504D" w:rsidP="005077A7">
      <w:pPr>
        <w:pStyle w:val="a"/>
        <w:rPr>
          <w:rFonts w:eastAsiaTheme="minorEastAsia" w:cstheme="minorBidi"/>
          <w:sz w:val="22"/>
          <w:szCs w:val="22"/>
          <w:rtl/>
        </w:rPr>
      </w:pPr>
      <w:r>
        <w:rPr>
          <w:rtl/>
        </w:rPr>
        <w:t>דברי החת"ס דלמ"ד דד' סימנים אפשר להתיר את האבר היוצא בשחיטת הולד</w:t>
      </w:r>
    </w:p>
    <w:p w14:paraId="0BD75187" w14:textId="77777777" w:rsidR="003D504D" w:rsidRDefault="003D504D" w:rsidP="003D504D">
      <w:pPr>
        <w:pStyle w:val="aff4"/>
        <w:rPr>
          <w:rFonts w:eastAsiaTheme="minorEastAsia" w:cstheme="minorBidi"/>
          <w:i/>
          <w:iCs/>
          <w:noProof/>
          <w:sz w:val="22"/>
          <w:szCs w:val="22"/>
          <w:rtl/>
        </w:rPr>
      </w:pPr>
      <w:bookmarkStart w:id="18174" w:name="_Toc19436094"/>
      <w:bookmarkStart w:id="18175" w:name="_Toc20081285"/>
      <w:r>
        <w:rPr>
          <w:noProof/>
          <w:rtl/>
        </w:rPr>
        <w:t>בביאור דעת הרי"ף והרמב"ם דס"ל כרש"י בדין ד' סימנים</w:t>
      </w:r>
      <w:bookmarkEnd w:id="18174"/>
      <w:bookmarkEnd w:id="18175"/>
    </w:p>
    <w:p w14:paraId="5E5F6E53" w14:textId="77777777" w:rsidR="003D504D" w:rsidRDefault="003D504D" w:rsidP="005077A7">
      <w:pPr>
        <w:pStyle w:val="a"/>
        <w:rPr>
          <w:rFonts w:eastAsiaTheme="minorEastAsia" w:cstheme="minorBidi"/>
          <w:sz w:val="22"/>
          <w:szCs w:val="22"/>
          <w:rtl/>
        </w:rPr>
      </w:pPr>
      <w:r>
        <w:rPr>
          <w:rtl/>
        </w:rPr>
        <w:t>דברי הרשב"א דאפש"ל דהרי"ף השמיט את כל הספיקות כיון שאינו שכיח</w:t>
      </w:r>
    </w:p>
    <w:p w14:paraId="0E184E88" w14:textId="77777777" w:rsidR="003D504D" w:rsidRDefault="003D504D" w:rsidP="005077A7">
      <w:pPr>
        <w:pStyle w:val="a"/>
        <w:rPr>
          <w:rFonts w:eastAsiaTheme="minorEastAsia" w:cstheme="minorBidi"/>
          <w:sz w:val="22"/>
          <w:szCs w:val="22"/>
          <w:rtl/>
        </w:rPr>
      </w:pPr>
      <w:r>
        <w:rPr>
          <w:rtl/>
        </w:rPr>
        <w:t>קושית הב"י אמאי השמיט הרמב"ם את הספיקות בדינא דרב משרשיא</w:t>
      </w:r>
    </w:p>
    <w:p w14:paraId="55896BDB" w14:textId="77777777" w:rsidR="003D504D" w:rsidRDefault="003D504D" w:rsidP="005077A7">
      <w:pPr>
        <w:pStyle w:val="a"/>
        <w:rPr>
          <w:rFonts w:eastAsiaTheme="minorEastAsia" w:cstheme="minorBidi"/>
          <w:sz w:val="22"/>
          <w:szCs w:val="22"/>
          <w:rtl/>
        </w:rPr>
      </w:pPr>
      <w:r>
        <w:rPr>
          <w:rtl/>
        </w:rPr>
        <w:t>ביאור האשכול והיש"ש והפר"ח דהרי"ף והרמב"ם פסקו כמ"ד דד' סימנים ולא כרב משרשיא</w:t>
      </w:r>
    </w:p>
    <w:p w14:paraId="13FB9018" w14:textId="77777777" w:rsidR="003D504D" w:rsidRDefault="003D504D" w:rsidP="005077A7">
      <w:pPr>
        <w:pStyle w:val="a"/>
        <w:rPr>
          <w:rFonts w:eastAsiaTheme="minorEastAsia" w:cstheme="minorBidi"/>
          <w:sz w:val="22"/>
          <w:szCs w:val="22"/>
          <w:rtl/>
        </w:rPr>
      </w:pPr>
      <w:r>
        <w:rPr>
          <w:rtl/>
        </w:rPr>
        <w:t>דברי החת"ס דלרש"י והרי"ף לא קיי"ל כספיקות של רב משרשיא ופשיטא דמותר</w:t>
      </w:r>
    </w:p>
    <w:p w14:paraId="34D3B2E6" w14:textId="77777777" w:rsidR="003D504D" w:rsidRDefault="003D504D" w:rsidP="003D504D">
      <w:pPr>
        <w:pStyle w:val="aff4"/>
        <w:rPr>
          <w:rFonts w:eastAsiaTheme="minorEastAsia" w:cstheme="minorBidi"/>
          <w:i/>
          <w:iCs/>
          <w:noProof/>
          <w:sz w:val="22"/>
          <w:szCs w:val="22"/>
          <w:rtl/>
        </w:rPr>
      </w:pPr>
      <w:bookmarkStart w:id="18176" w:name="_Toc19436095"/>
      <w:bookmarkStart w:id="18177" w:name="_Toc20081286"/>
      <w:r>
        <w:rPr>
          <w:noProof/>
          <w:rtl/>
        </w:rPr>
        <w:t>דעת הרשב"א והר"ן דקיי"ל כרב משרשיא</w:t>
      </w:r>
      <w:bookmarkEnd w:id="18176"/>
      <w:bookmarkEnd w:id="18177"/>
    </w:p>
    <w:p w14:paraId="3882F4A7" w14:textId="77777777" w:rsidR="003D504D" w:rsidRDefault="003D504D" w:rsidP="005077A7">
      <w:pPr>
        <w:pStyle w:val="a"/>
        <w:rPr>
          <w:rFonts w:eastAsiaTheme="minorEastAsia" w:cstheme="minorBidi"/>
          <w:sz w:val="22"/>
          <w:szCs w:val="22"/>
          <w:rtl/>
        </w:rPr>
      </w:pPr>
      <w:r>
        <w:rPr>
          <w:rtl/>
        </w:rPr>
        <w:t>דברי הרשב"א והר"ן דלחומרא חיישינן לזרע האב ומשו"ה קיי"ל כרב משרשיא</w:t>
      </w:r>
    </w:p>
    <w:p w14:paraId="12F06F01" w14:textId="77777777" w:rsidR="003D504D" w:rsidRDefault="003D504D" w:rsidP="005077A7">
      <w:pPr>
        <w:pStyle w:val="a"/>
        <w:rPr>
          <w:rFonts w:eastAsiaTheme="minorEastAsia" w:cstheme="minorBidi"/>
          <w:sz w:val="22"/>
          <w:szCs w:val="22"/>
          <w:rtl/>
        </w:rPr>
      </w:pPr>
      <w:r>
        <w:rPr>
          <w:rtl/>
        </w:rPr>
        <w:t>דברי הר"ן דבבה"ג ובשאילתות וברי"ף משמע דאין חוששין לזרע האב ולא קיי"ל כרב משרשיא</w:t>
      </w:r>
    </w:p>
    <w:p w14:paraId="2CDF4604" w14:textId="77777777" w:rsidR="003D504D" w:rsidRDefault="003D504D" w:rsidP="005077A7">
      <w:pPr>
        <w:pStyle w:val="a"/>
        <w:rPr>
          <w:rFonts w:eastAsiaTheme="minorEastAsia" w:cstheme="minorBidi"/>
          <w:sz w:val="22"/>
          <w:szCs w:val="22"/>
          <w:rtl/>
        </w:rPr>
      </w:pPr>
      <w:r>
        <w:rPr>
          <w:rtl/>
        </w:rPr>
        <w:t>דברי הרשב"א והמאירי דשור מעלמא שבאה על בת פקועה אין לולד תקנה לכו"ע</w:t>
      </w:r>
    </w:p>
    <w:p w14:paraId="0C8DDA54" w14:textId="77777777" w:rsidR="003D504D" w:rsidRDefault="003D504D" w:rsidP="003D504D">
      <w:pPr>
        <w:pStyle w:val="2"/>
        <w:rPr>
          <w:rFonts w:eastAsiaTheme="minorEastAsia" w:cstheme="minorBidi"/>
          <w:i/>
          <w:iCs/>
          <w:noProof/>
          <w:sz w:val="22"/>
          <w:szCs w:val="22"/>
          <w:rtl/>
        </w:rPr>
      </w:pPr>
      <w:bookmarkStart w:id="18178" w:name="_Toc19436096"/>
      <w:r>
        <w:rPr>
          <w:noProof/>
          <w:rtl/>
        </w:rPr>
        <w:t>בדין ולד שאין לו תקנה בנמצא במעי אמו</w:t>
      </w:r>
      <w:bookmarkEnd w:id="18178"/>
    </w:p>
    <w:p w14:paraId="38FD77F2" w14:textId="77777777" w:rsidR="003D504D" w:rsidRDefault="003D504D" w:rsidP="003D504D">
      <w:pPr>
        <w:pStyle w:val="aff4"/>
        <w:rPr>
          <w:rFonts w:eastAsiaTheme="minorEastAsia" w:cstheme="minorBidi"/>
          <w:i/>
          <w:iCs/>
          <w:noProof/>
          <w:sz w:val="22"/>
          <w:szCs w:val="22"/>
          <w:rtl/>
        </w:rPr>
      </w:pPr>
      <w:bookmarkStart w:id="18179" w:name="_Toc19436097"/>
      <w:bookmarkStart w:id="18180" w:name="_Toc20081287"/>
      <w:r>
        <w:rPr>
          <w:noProof/>
          <w:rtl/>
        </w:rPr>
        <w:t>בדין בן פקועה הבא על בהמה ונשחטה ונמצא ולד בתוכה</w:t>
      </w:r>
      <w:bookmarkEnd w:id="18179"/>
      <w:bookmarkEnd w:id="18180"/>
    </w:p>
    <w:p w14:paraId="6EEF57ED" w14:textId="77777777" w:rsidR="003D504D" w:rsidRDefault="003D504D" w:rsidP="005077A7">
      <w:pPr>
        <w:pStyle w:val="a"/>
        <w:rPr>
          <w:rFonts w:eastAsiaTheme="minorEastAsia" w:cstheme="minorBidi"/>
          <w:sz w:val="22"/>
          <w:szCs w:val="22"/>
          <w:rtl/>
        </w:rPr>
      </w:pPr>
      <w:r>
        <w:rPr>
          <w:rtl/>
        </w:rPr>
        <w:t>דברי הב"ח דמבואר בטור דבנמצא הולד במעי אמו הוא מותר בשחיטתה</w:t>
      </w:r>
    </w:p>
    <w:p w14:paraId="6F0D1735" w14:textId="77777777" w:rsidR="003D504D" w:rsidRDefault="003D504D" w:rsidP="005077A7">
      <w:pPr>
        <w:pStyle w:val="a"/>
        <w:rPr>
          <w:rFonts w:eastAsiaTheme="minorEastAsia" w:cstheme="minorBidi"/>
          <w:sz w:val="22"/>
          <w:szCs w:val="22"/>
          <w:rtl/>
        </w:rPr>
      </w:pPr>
      <w:r>
        <w:rPr>
          <w:rtl/>
        </w:rPr>
        <w:t>ביאור המחצית השקל בש"ך דבנמצא במעי אמו חשיב שב' הסימנים נשחטו יחד ואי"ז שהייה</w:t>
      </w:r>
    </w:p>
    <w:p w14:paraId="64402CAF" w14:textId="77777777" w:rsidR="003D504D" w:rsidRDefault="003D504D" w:rsidP="005077A7">
      <w:pPr>
        <w:pStyle w:val="a"/>
        <w:rPr>
          <w:rFonts w:eastAsiaTheme="minorEastAsia" w:cstheme="minorBidi"/>
          <w:sz w:val="22"/>
          <w:szCs w:val="22"/>
        </w:rPr>
      </w:pPr>
      <w:r>
        <w:rPr>
          <w:rtl/>
        </w:rPr>
        <w:t>דברי החת"ס דלרש"י לרב משרשיא דסימניו כשחוטים אף בנמצא במעי אמו הוי שהייה ופסול</w:t>
      </w:r>
    </w:p>
    <w:p w14:paraId="0CFF2D17" w14:textId="77777777" w:rsidR="003D504D" w:rsidRDefault="003D504D" w:rsidP="003D504D">
      <w:pPr>
        <w:pStyle w:val="aff4"/>
        <w:rPr>
          <w:rFonts w:eastAsiaTheme="minorEastAsia" w:cstheme="minorBidi"/>
          <w:i/>
          <w:iCs/>
          <w:noProof/>
          <w:sz w:val="22"/>
          <w:szCs w:val="22"/>
          <w:rtl/>
        </w:rPr>
      </w:pPr>
      <w:bookmarkStart w:id="18181" w:name="_Toc19436098"/>
      <w:bookmarkStart w:id="18182" w:name="_Toc20081288"/>
      <w:r>
        <w:rPr>
          <w:noProof/>
          <w:rtl/>
        </w:rPr>
        <w:t>פלוגתת הב"ח והש"ך בולד בהמה מעלמא ובת פקועה שנשחטה</w:t>
      </w:r>
      <w:bookmarkEnd w:id="18181"/>
      <w:bookmarkEnd w:id="18182"/>
    </w:p>
    <w:p w14:paraId="347173F8" w14:textId="77777777" w:rsidR="003D504D" w:rsidRDefault="003D504D" w:rsidP="005077A7">
      <w:pPr>
        <w:pStyle w:val="a"/>
        <w:rPr>
          <w:rFonts w:eastAsiaTheme="minorEastAsia" w:cstheme="minorBidi"/>
          <w:sz w:val="22"/>
          <w:szCs w:val="22"/>
          <w:rtl/>
        </w:rPr>
      </w:pPr>
      <w:r>
        <w:rPr>
          <w:rtl/>
        </w:rPr>
        <w:t>דברי הב"ח דבשור שבא על בת פקועה ונשחטה ונמצא בה ולד הוא מותר אף שאמו א"צ שחיטה</w:t>
      </w:r>
    </w:p>
    <w:p w14:paraId="7F7AB5CD" w14:textId="77777777" w:rsidR="003D504D" w:rsidRDefault="003D504D" w:rsidP="005077A7">
      <w:pPr>
        <w:pStyle w:val="a"/>
        <w:rPr>
          <w:rFonts w:eastAsiaTheme="minorEastAsia" w:cstheme="minorBidi"/>
          <w:sz w:val="22"/>
          <w:szCs w:val="22"/>
          <w:rtl/>
        </w:rPr>
      </w:pPr>
      <w:r>
        <w:rPr>
          <w:rtl/>
        </w:rPr>
        <w:t>דברי הש"ך דבשור שבא על בת פקועה ונשחטה ונמצא בה ולד כיון שאמו א"צ שחיטה אין לו תקנה</w:t>
      </w:r>
    </w:p>
    <w:p w14:paraId="219D68F8" w14:textId="77777777" w:rsidR="003D504D" w:rsidRDefault="003D504D" w:rsidP="005077A7">
      <w:pPr>
        <w:pStyle w:val="a"/>
        <w:rPr>
          <w:rFonts w:eastAsiaTheme="minorEastAsia" w:cstheme="minorBidi"/>
          <w:sz w:val="22"/>
          <w:szCs w:val="22"/>
          <w:rtl/>
        </w:rPr>
      </w:pPr>
      <w:r>
        <w:rPr>
          <w:rtl/>
        </w:rPr>
        <w:t>דברי התבו"ש דמשמע בש"ך דרק בן ט' חי שנמצא בבת פקועה אין לו תקנה כיון שיש בו שחיטה</w:t>
      </w:r>
    </w:p>
    <w:p w14:paraId="2ED0B05C" w14:textId="77777777" w:rsidR="003D504D" w:rsidRDefault="003D504D" w:rsidP="005077A7">
      <w:pPr>
        <w:pStyle w:val="a"/>
        <w:rPr>
          <w:rFonts w:eastAsiaTheme="minorEastAsia" w:cstheme="minorBidi"/>
          <w:sz w:val="22"/>
          <w:szCs w:val="22"/>
          <w:rtl/>
        </w:rPr>
      </w:pPr>
      <w:r>
        <w:rPr>
          <w:rtl/>
        </w:rPr>
        <w:t>דברי התבו"ש דאף בנפל במעי בת פקועה אין לו תקנה דחשיב כנפל שנולד לפני השחיטה</w:t>
      </w:r>
    </w:p>
    <w:p w14:paraId="170A9117" w14:textId="77777777" w:rsidR="003D504D" w:rsidRDefault="003D504D" w:rsidP="003D504D">
      <w:pPr>
        <w:pStyle w:val="aff4"/>
        <w:rPr>
          <w:rFonts w:eastAsiaTheme="minorEastAsia" w:cstheme="minorBidi"/>
          <w:i/>
          <w:iCs/>
          <w:noProof/>
          <w:sz w:val="22"/>
          <w:szCs w:val="22"/>
          <w:rtl/>
        </w:rPr>
      </w:pPr>
      <w:bookmarkStart w:id="18183" w:name="_Toc19436099"/>
      <w:bookmarkStart w:id="18184" w:name="_Toc20081289"/>
      <w:r>
        <w:rPr>
          <w:noProof/>
          <w:rtl/>
        </w:rPr>
        <w:t>ביאור התבו"ש והפרי תואר דמסברא כל שנמצא בבהמה מותר</w:t>
      </w:r>
      <w:bookmarkEnd w:id="18183"/>
      <w:bookmarkEnd w:id="18184"/>
    </w:p>
    <w:p w14:paraId="0B6CE6C4" w14:textId="77777777" w:rsidR="003D504D" w:rsidRDefault="003D504D" w:rsidP="005077A7">
      <w:pPr>
        <w:pStyle w:val="a"/>
        <w:rPr>
          <w:rFonts w:eastAsiaTheme="minorEastAsia" w:cstheme="minorBidi"/>
          <w:sz w:val="22"/>
          <w:szCs w:val="22"/>
          <w:rtl/>
        </w:rPr>
      </w:pPr>
      <w:r>
        <w:rPr>
          <w:rtl/>
        </w:rPr>
        <w:t>דברי התבו"ש דכל דקרינן בבהמה "תאכלו" הולד שנמצא בתוכה מותר אף שא"צ שחיטה</w:t>
      </w:r>
    </w:p>
    <w:p w14:paraId="6BDDA4A6" w14:textId="77777777" w:rsidR="003D504D" w:rsidRDefault="003D504D" w:rsidP="005077A7">
      <w:pPr>
        <w:pStyle w:val="a"/>
        <w:rPr>
          <w:rFonts w:eastAsiaTheme="minorEastAsia" w:cstheme="minorBidi"/>
          <w:sz w:val="22"/>
          <w:szCs w:val="22"/>
          <w:rtl/>
        </w:rPr>
      </w:pPr>
      <w:r>
        <w:rPr>
          <w:rtl/>
        </w:rPr>
        <w:t>דברי הפרי תואר והתבו"ש דכשהאם מותרת כל שנמצא בתוכה מותר אף שא"צ שחיטה</w:t>
      </w:r>
    </w:p>
    <w:p w14:paraId="31025E08" w14:textId="77777777" w:rsidR="003D504D" w:rsidRDefault="003D504D" w:rsidP="005077A7">
      <w:pPr>
        <w:pStyle w:val="a"/>
        <w:rPr>
          <w:rFonts w:eastAsiaTheme="minorEastAsia" w:cstheme="minorBidi"/>
          <w:sz w:val="22"/>
          <w:szCs w:val="22"/>
          <w:rtl/>
        </w:rPr>
      </w:pPr>
      <w:r>
        <w:rPr>
          <w:rtl/>
        </w:rPr>
        <w:t>הוכחת הפרי תואר דהולד אינו כשחוט בשחיטת  אמו מהא דקלוט מותר אף שאין לו היתר בשחיטה</w:t>
      </w:r>
    </w:p>
    <w:p w14:paraId="42DE17C5" w14:textId="77777777" w:rsidR="003D504D" w:rsidRDefault="003D504D" w:rsidP="005077A7">
      <w:pPr>
        <w:pStyle w:val="a"/>
        <w:rPr>
          <w:rFonts w:eastAsiaTheme="minorEastAsia" w:cstheme="minorBidi"/>
          <w:sz w:val="22"/>
          <w:szCs w:val="22"/>
          <w:rtl/>
        </w:rPr>
      </w:pPr>
      <w:r>
        <w:rPr>
          <w:rtl/>
        </w:rPr>
        <w:t>ביאור הפרי תואר דכל שלא נולד סימניו הם כבשר ולא נאמר בו דין שחיטה כלל</w:t>
      </w:r>
    </w:p>
    <w:p w14:paraId="5D42C99D" w14:textId="77777777" w:rsidR="003D504D" w:rsidRDefault="003D504D" w:rsidP="005077A7">
      <w:pPr>
        <w:pStyle w:val="a"/>
        <w:rPr>
          <w:rFonts w:eastAsiaTheme="minorEastAsia" w:cstheme="minorBidi"/>
          <w:sz w:val="22"/>
          <w:szCs w:val="22"/>
          <w:rtl/>
        </w:rPr>
      </w:pPr>
      <w:r>
        <w:rPr>
          <w:rtl/>
        </w:rPr>
        <w:t>דברי הפרמ"ג דלהפרי תואר והתבו"ש אף בנקרעה הבת פקועה מותר הולד שבתוכה</w:t>
      </w:r>
    </w:p>
    <w:p w14:paraId="663D7F33" w14:textId="77777777" w:rsidR="003D504D" w:rsidRDefault="003D504D" w:rsidP="005077A7">
      <w:pPr>
        <w:pStyle w:val="a"/>
        <w:rPr>
          <w:rFonts w:eastAsiaTheme="minorEastAsia" w:cstheme="minorBidi"/>
          <w:sz w:val="22"/>
          <w:szCs w:val="22"/>
          <w:rtl/>
        </w:rPr>
      </w:pPr>
      <w:r>
        <w:rPr>
          <w:rtl/>
        </w:rPr>
        <w:t>דברי התבו"ש והפרמ"ג דלהלכה אין להקל דמשמע דהיתר בן פקועה הוא רק כשאמו צריכה שחיטה</w:t>
      </w:r>
    </w:p>
    <w:p w14:paraId="6045A855" w14:textId="77777777" w:rsidR="003D504D" w:rsidRDefault="003D504D" w:rsidP="005077A7">
      <w:pPr>
        <w:pStyle w:val="a"/>
        <w:rPr>
          <w:rFonts w:eastAsiaTheme="minorEastAsia" w:cstheme="minorBidi"/>
          <w:sz w:val="22"/>
          <w:szCs w:val="22"/>
          <w:rtl/>
        </w:rPr>
      </w:pPr>
      <w:r>
        <w:rPr>
          <w:rtl/>
        </w:rPr>
        <w:t>דברי הפרי תואר דאפשר לסמוך בזה על דעת רש"י והריף והרמב"ם דלא קיי"ל כרב משרשיא</w:t>
      </w:r>
    </w:p>
    <w:p w14:paraId="6B57B8CA" w14:textId="77777777" w:rsidR="003D504D" w:rsidRDefault="003D504D" w:rsidP="003D504D">
      <w:pPr>
        <w:pStyle w:val="2"/>
        <w:rPr>
          <w:rFonts w:eastAsiaTheme="minorEastAsia" w:cstheme="minorBidi"/>
          <w:i/>
          <w:iCs/>
          <w:noProof/>
          <w:sz w:val="22"/>
          <w:szCs w:val="22"/>
          <w:rtl/>
        </w:rPr>
      </w:pPr>
      <w:bookmarkStart w:id="18185" w:name="_Toc19436100"/>
      <w:r>
        <w:rPr>
          <w:noProof/>
          <w:rtl/>
        </w:rPr>
        <w:t>בגדר דין הולד שאין לו תקנה</w:t>
      </w:r>
      <w:bookmarkEnd w:id="18185"/>
    </w:p>
    <w:p w14:paraId="1F591D83" w14:textId="77777777" w:rsidR="003D504D" w:rsidRDefault="003D504D" w:rsidP="003D504D">
      <w:pPr>
        <w:pStyle w:val="aff4"/>
        <w:rPr>
          <w:rFonts w:eastAsiaTheme="minorEastAsia" w:cstheme="minorBidi"/>
          <w:i/>
          <w:iCs/>
          <w:noProof/>
          <w:sz w:val="22"/>
          <w:szCs w:val="22"/>
          <w:rtl/>
        </w:rPr>
      </w:pPr>
      <w:bookmarkStart w:id="18186" w:name="_Toc19436101"/>
      <w:bookmarkStart w:id="18187" w:name="_Toc20081290"/>
      <w:r>
        <w:rPr>
          <w:noProof/>
          <w:rtl/>
        </w:rPr>
        <w:t>דעת הב"ח דהולד אינו אסור מחיים והחלב מותר</w:t>
      </w:r>
      <w:bookmarkEnd w:id="18186"/>
      <w:bookmarkEnd w:id="18187"/>
    </w:p>
    <w:p w14:paraId="38CDF572" w14:textId="77777777" w:rsidR="003D504D" w:rsidRDefault="003D504D" w:rsidP="005077A7">
      <w:pPr>
        <w:pStyle w:val="a"/>
        <w:rPr>
          <w:rFonts w:eastAsiaTheme="minorEastAsia" w:cstheme="minorBidi"/>
          <w:sz w:val="22"/>
          <w:szCs w:val="22"/>
          <w:rtl/>
        </w:rPr>
      </w:pPr>
      <w:r>
        <w:rPr>
          <w:rtl/>
        </w:rPr>
        <w:t>קושית הב"ח דאמאי לא הסתפקה הגמ' בדין החלב של הולד שאין לו תקנה</w:t>
      </w:r>
    </w:p>
    <w:p w14:paraId="504DDB7F" w14:textId="77777777" w:rsidR="003D504D" w:rsidRDefault="003D504D" w:rsidP="005077A7">
      <w:pPr>
        <w:pStyle w:val="a"/>
        <w:rPr>
          <w:rFonts w:eastAsiaTheme="minorEastAsia" w:cstheme="minorBidi"/>
          <w:sz w:val="22"/>
          <w:szCs w:val="22"/>
          <w:rtl/>
        </w:rPr>
      </w:pPr>
      <w:r>
        <w:rPr>
          <w:rtl/>
        </w:rPr>
        <w:t>ביאור הב"ח דהולד אין לו תקנה רק בשחיטה דהוי שהייה אבל מחיים הוא כשר והחלב מותר</w:t>
      </w:r>
    </w:p>
    <w:p w14:paraId="55EA831B" w14:textId="77777777" w:rsidR="003D504D" w:rsidRDefault="003D504D" w:rsidP="005077A7">
      <w:pPr>
        <w:pStyle w:val="a"/>
        <w:rPr>
          <w:rFonts w:eastAsiaTheme="minorEastAsia" w:cstheme="minorBidi"/>
          <w:sz w:val="22"/>
          <w:szCs w:val="22"/>
          <w:rtl/>
        </w:rPr>
      </w:pPr>
      <w:r>
        <w:rPr>
          <w:rtl/>
        </w:rPr>
        <w:t>תירוץ הט"ז והתבו"ש דהספק בחלב בולד שאין לו תקנה הוא רק למ"ד דחוששין לזרע האב</w:t>
      </w:r>
    </w:p>
    <w:p w14:paraId="20B49933" w14:textId="77777777" w:rsidR="003D504D" w:rsidRDefault="003D504D" w:rsidP="003D504D">
      <w:pPr>
        <w:pStyle w:val="aff4"/>
        <w:rPr>
          <w:rFonts w:eastAsiaTheme="minorEastAsia" w:cstheme="minorBidi"/>
          <w:i/>
          <w:iCs/>
          <w:noProof/>
          <w:sz w:val="22"/>
          <w:szCs w:val="22"/>
          <w:rtl/>
        </w:rPr>
      </w:pPr>
      <w:bookmarkStart w:id="18188" w:name="_Toc19436102"/>
      <w:bookmarkStart w:id="18189" w:name="_Toc20081291"/>
      <w:r>
        <w:rPr>
          <w:noProof/>
          <w:rtl/>
        </w:rPr>
        <w:t>ביאור הרא"ה דהספק בדין החלב הוא אף בולד שאין לו תקנה</w:t>
      </w:r>
      <w:bookmarkEnd w:id="18188"/>
      <w:bookmarkEnd w:id="18189"/>
    </w:p>
    <w:p w14:paraId="4B65ECB4" w14:textId="77777777" w:rsidR="003D504D" w:rsidRDefault="003D504D" w:rsidP="005077A7">
      <w:pPr>
        <w:pStyle w:val="a"/>
        <w:rPr>
          <w:rFonts w:eastAsiaTheme="minorEastAsia" w:cstheme="minorBidi"/>
          <w:sz w:val="22"/>
          <w:szCs w:val="22"/>
          <w:rtl/>
        </w:rPr>
      </w:pPr>
      <w:r>
        <w:rPr>
          <w:rtl/>
        </w:rPr>
        <w:t>ביאור הרא"ה דספק הגמ' לענין חלב הוא אף בולד שאין לו תקנה ולהלכה החלב אסור</w:t>
      </w:r>
    </w:p>
    <w:p w14:paraId="2036918E" w14:textId="77777777" w:rsidR="003D504D" w:rsidRDefault="003D504D" w:rsidP="003D504D">
      <w:pPr>
        <w:pStyle w:val="aff4"/>
        <w:rPr>
          <w:rFonts w:eastAsiaTheme="minorEastAsia" w:cstheme="minorBidi"/>
          <w:i/>
          <w:iCs/>
          <w:noProof/>
          <w:sz w:val="22"/>
          <w:szCs w:val="22"/>
          <w:rtl/>
        </w:rPr>
      </w:pPr>
      <w:bookmarkStart w:id="18190" w:name="_Toc19436103"/>
      <w:bookmarkStart w:id="18191" w:name="_Toc20081292"/>
      <w:r>
        <w:rPr>
          <w:noProof/>
          <w:rtl/>
        </w:rPr>
        <w:t>דעת הש"ך והט"ז והתבו"ש דמחיים הולד אסור והחלב אסור</w:t>
      </w:r>
      <w:bookmarkEnd w:id="18190"/>
      <w:bookmarkEnd w:id="18191"/>
    </w:p>
    <w:p w14:paraId="687AB818" w14:textId="77777777" w:rsidR="003D504D" w:rsidRDefault="003D504D" w:rsidP="005077A7">
      <w:pPr>
        <w:pStyle w:val="a"/>
        <w:rPr>
          <w:rFonts w:eastAsiaTheme="minorEastAsia" w:cstheme="minorBidi"/>
          <w:sz w:val="22"/>
          <w:szCs w:val="22"/>
          <w:rtl/>
        </w:rPr>
      </w:pPr>
      <w:r>
        <w:rPr>
          <w:rtl/>
        </w:rPr>
        <w:t>דחיית הש"ך דשמוטה אינה טריפה מחיים אבל ולד שסימן אחד כשחוט הוי כטריפה והחלב אסור</w:t>
      </w:r>
    </w:p>
    <w:p w14:paraId="46F563CF" w14:textId="77777777" w:rsidR="003D504D" w:rsidRDefault="003D504D" w:rsidP="005077A7">
      <w:pPr>
        <w:pStyle w:val="a"/>
        <w:rPr>
          <w:rFonts w:eastAsiaTheme="minorEastAsia" w:cstheme="minorBidi"/>
          <w:sz w:val="22"/>
          <w:szCs w:val="22"/>
          <w:rtl/>
        </w:rPr>
      </w:pPr>
      <w:r>
        <w:rPr>
          <w:rtl/>
        </w:rPr>
        <w:t>דברי התבו"ש דחלב של ולד שאין לו תקנה חשיב כבא מדבר האסור ולא כחלב הבא מכשרה</w:t>
      </w:r>
    </w:p>
    <w:p w14:paraId="4F02D60A" w14:textId="77777777" w:rsidR="003D504D" w:rsidRDefault="003D504D" w:rsidP="005077A7">
      <w:pPr>
        <w:pStyle w:val="a"/>
        <w:rPr>
          <w:rFonts w:eastAsiaTheme="minorEastAsia" w:cstheme="minorBidi"/>
          <w:sz w:val="22"/>
          <w:szCs w:val="22"/>
          <w:rtl/>
        </w:rPr>
      </w:pPr>
      <w:r>
        <w:rPr>
          <w:rtl/>
        </w:rPr>
        <w:t>הוכחת הב"ח דבחייו חשיב הולד כאיסור ודמי לחֵלֶב ודם והחלב אסור</w:t>
      </w:r>
    </w:p>
    <w:p w14:paraId="3ADA0F4E" w14:textId="77777777" w:rsidR="003D504D" w:rsidRDefault="003D504D" w:rsidP="005077A7">
      <w:pPr>
        <w:pStyle w:val="a"/>
        <w:rPr>
          <w:rFonts w:eastAsiaTheme="minorEastAsia" w:cstheme="minorBidi"/>
          <w:sz w:val="22"/>
          <w:szCs w:val="22"/>
          <w:rtl/>
        </w:rPr>
      </w:pPr>
      <w:r>
        <w:rPr>
          <w:rtl/>
        </w:rPr>
        <w:t>דחיית התבו"ש לביאור הש"ך דהולד אינו כטריפה אלא הוא איסור מחיים שאין לו תקנה</w:t>
      </w:r>
    </w:p>
    <w:p w14:paraId="5A89FCB9" w14:textId="77777777" w:rsidR="003D504D" w:rsidRDefault="003D504D" w:rsidP="003D504D">
      <w:pPr>
        <w:pStyle w:val="2"/>
        <w:rPr>
          <w:rFonts w:eastAsiaTheme="minorEastAsia" w:cstheme="minorBidi"/>
          <w:i/>
          <w:iCs/>
          <w:noProof/>
          <w:sz w:val="22"/>
          <w:szCs w:val="22"/>
          <w:rtl/>
        </w:rPr>
      </w:pPr>
      <w:bookmarkStart w:id="18192" w:name="_Toc19436104"/>
      <w:r>
        <w:rPr>
          <w:noProof/>
          <w:rtl/>
        </w:rPr>
        <w:t>בספק הגמ' בדין חלב מכח אבר היוצא</w:t>
      </w:r>
      <w:bookmarkEnd w:id="18192"/>
    </w:p>
    <w:p w14:paraId="7AB139CB" w14:textId="77777777" w:rsidR="003D504D" w:rsidRDefault="003D504D" w:rsidP="003D504D">
      <w:pPr>
        <w:pStyle w:val="aff4"/>
        <w:rPr>
          <w:rFonts w:eastAsiaTheme="minorEastAsia" w:cstheme="minorBidi"/>
          <w:i/>
          <w:iCs/>
          <w:noProof/>
          <w:sz w:val="22"/>
          <w:szCs w:val="22"/>
          <w:rtl/>
        </w:rPr>
      </w:pPr>
      <w:bookmarkStart w:id="18193" w:name="_Toc19436105"/>
      <w:bookmarkStart w:id="18194" w:name="_Toc20081293"/>
      <w:r>
        <w:rPr>
          <w:noProof/>
          <w:rtl/>
        </w:rPr>
        <w:t>דברי רש"י ורבינו גרשום דהספק מהו לחוש לזרעו הכוונה לחלב</w:t>
      </w:r>
      <w:bookmarkEnd w:id="18193"/>
      <w:bookmarkEnd w:id="18194"/>
    </w:p>
    <w:p w14:paraId="7C0312DC" w14:textId="77777777" w:rsidR="003D504D" w:rsidRDefault="003D504D" w:rsidP="005077A7">
      <w:pPr>
        <w:pStyle w:val="a"/>
        <w:rPr>
          <w:rFonts w:eastAsiaTheme="minorEastAsia" w:cstheme="minorBidi"/>
          <w:sz w:val="22"/>
          <w:szCs w:val="22"/>
          <w:rtl/>
        </w:rPr>
      </w:pPr>
      <w:r>
        <w:rPr>
          <w:rtl/>
        </w:rPr>
        <w:t>דברי רש"י דכוונת הגמ' זרעו היינו לחלב שבא אחר הלידה ודברי רבינו גרשום דהחלב חשוב כזרעו</w:t>
      </w:r>
    </w:p>
    <w:p w14:paraId="1CF77457" w14:textId="77777777" w:rsidR="003D504D" w:rsidRDefault="003D504D" w:rsidP="005077A7">
      <w:pPr>
        <w:pStyle w:val="a"/>
        <w:rPr>
          <w:rFonts w:eastAsiaTheme="minorEastAsia" w:cstheme="minorBidi"/>
          <w:sz w:val="22"/>
          <w:szCs w:val="22"/>
          <w:rtl/>
        </w:rPr>
      </w:pPr>
      <w:r>
        <w:rPr>
          <w:rtl/>
        </w:rPr>
        <w:t>דברי הראש יוסף דלמסקנא הספק אינו בולד הבא מכח אבר היוצא אלא בבן פקועה עצמו</w:t>
      </w:r>
    </w:p>
    <w:p w14:paraId="5C36EF2B" w14:textId="77777777" w:rsidR="003D504D" w:rsidRDefault="003D504D" w:rsidP="003D504D">
      <w:pPr>
        <w:pStyle w:val="aff4"/>
        <w:rPr>
          <w:rFonts w:eastAsiaTheme="minorEastAsia" w:cstheme="minorBidi"/>
          <w:i/>
          <w:iCs/>
          <w:noProof/>
          <w:sz w:val="22"/>
          <w:szCs w:val="22"/>
          <w:rtl/>
        </w:rPr>
      </w:pPr>
      <w:bookmarkStart w:id="18195" w:name="_Toc19436106"/>
      <w:bookmarkStart w:id="18196" w:name="_Toc20081294"/>
      <w:r>
        <w:rPr>
          <w:noProof/>
          <w:rtl/>
        </w:rPr>
        <w:t>דברי הרשב"א בביאור ספק הגמ' בדין החלב</w:t>
      </w:r>
      <w:bookmarkEnd w:id="18195"/>
      <w:bookmarkEnd w:id="18196"/>
    </w:p>
    <w:p w14:paraId="42821BFD" w14:textId="77777777" w:rsidR="003D504D" w:rsidRDefault="003D504D" w:rsidP="005077A7">
      <w:pPr>
        <w:pStyle w:val="a"/>
        <w:rPr>
          <w:rFonts w:eastAsiaTheme="minorEastAsia" w:cstheme="minorBidi"/>
          <w:sz w:val="22"/>
          <w:szCs w:val="22"/>
          <w:rtl/>
        </w:rPr>
      </w:pPr>
      <w:r>
        <w:rPr>
          <w:rtl/>
        </w:rPr>
        <w:t>קושית הרשב"א מה הצד בגמ' להתיר חלב שבא מכח אבר היוצא הא הוא כחלב טריפה</w:t>
      </w:r>
    </w:p>
    <w:p w14:paraId="14788ACF" w14:textId="77777777" w:rsidR="003D504D" w:rsidRDefault="003D504D" w:rsidP="005077A7">
      <w:pPr>
        <w:pStyle w:val="a"/>
        <w:rPr>
          <w:rFonts w:eastAsiaTheme="minorEastAsia" w:cstheme="minorBidi"/>
          <w:sz w:val="22"/>
          <w:szCs w:val="22"/>
          <w:rtl/>
        </w:rPr>
      </w:pPr>
      <w:r>
        <w:rPr>
          <w:rtl/>
        </w:rPr>
        <w:t>ביאור הרשב"א בספק הגמ' אי האבר הוא כאבמה"ח או דכיון שאין לו תקנה בשחיטה החלב אסור</w:t>
      </w:r>
    </w:p>
    <w:p w14:paraId="6F71EF21" w14:textId="77777777" w:rsidR="003D504D" w:rsidRDefault="003D504D" w:rsidP="005077A7">
      <w:pPr>
        <w:pStyle w:val="a"/>
        <w:rPr>
          <w:rFonts w:eastAsiaTheme="minorEastAsia" w:cstheme="minorBidi"/>
          <w:sz w:val="22"/>
          <w:szCs w:val="22"/>
          <w:rtl/>
        </w:rPr>
      </w:pPr>
      <w:r>
        <w:rPr>
          <w:rtl/>
        </w:rPr>
        <w:t>קושית הרא"ה דכיון שחלב הבא מן החי מותר ה"ה חלב מכח האבר היוצא שאסור באבמה"ח</w:t>
      </w:r>
    </w:p>
    <w:p w14:paraId="00EFAD38" w14:textId="77777777" w:rsidR="003D504D" w:rsidRDefault="003D504D" w:rsidP="005077A7">
      <w:pPr>
        <w:pStyle w:val="a"/>
        <w:rPr>
          <w:rFonts w:eastAsiaTheme="minorEastAsia" w:cstheme="minorBidi"/>
          <w:sz w:val="22"/>
          <w:szCs w:val="22"/>
          <w:rtl/>
        </w:rPr>
      </w:pPr>
      <w:r>
        <w:rPr>
          <w:rtl/>
        </w:rPr>
        <w:t>דחיית הרשב"א במשה"ב דחלב מן החי בא מכשרה וחלב מאבר היוצא בא מטריפה</w:t>
      </w:r>
    </w:p>
    <w:p w14:paraId="05D4E3F0" w14:textId="77777777" w:rsidR="003D504D" w:rsidRDefault="003D504D" w:rsidP="003D504D">
      <w:pPr>
        <w:pStyle w:val="aff4"/>
        <w:rPr>
          <w:rFonts w:eastAsiaTheme="minorEastAsia" w:cstheme="minorBidi"/>
          <w:i/>
          <w:iCs/>
          <w:noProof/>
          <w:sz w:val="22"/>
          <w:szCs w:val="22"/>
          <w:rtl/>
        </w:rPr>
      </w:pPr>
      <w:bookmarkStart w:id="18197" w:name="_Toc19436107"/>
      <w:bookmarkStart w:id="18198" w:name="_Toc20081295"/>
      <w:r>
        <w:rPr>
          <w:noProof/>
          <w:rtl/>
        </w:rPr>
        <w:t>ביאור הרא"ה דהספק הוא כיון דהיתר חלב מן החי הוא חידוש</w:t>
      </w:r>
      <w:bookmarkEnd w:id="18197"/>
      <w:bookmarkEnd w:id="18198"/>
    </w:p>
    <w:p w14:paraId="53391035" w14:textId="77777777" w:rsidR="003D504D" w:rsidRDefault="003D504D" w:rsidP="005077A7">
      <w:pPr>
        <w:pStyle w:val="a"/>
        <w:rPr>
          <w:rFonts w:eastAsiaTheme="minorEastAsia" w:cstheme="minorBidi"/>
          <w:sz w:val="22"/>
          <w:szCs w:val="22"/>
        </w:rPr>
      </w:pPr>
      <w:r>
        <w:rPr>
          <w:rtl/>
        </w:rPr>
        <w:t>ביאור הרא"ה דכיון שחלב מן החי הוא חידוש הספק אי חידשה תורה רק כשיש היתר שחיטה</w:t>
      </w:r>
    </w:p>
    <w:p w14:paraId="4F2F920F" w14:textId="77777777" w:rsidR="003D504D" w:rsidRDefault="003D504D" w:rsidP="003D504D">
      <w:pPr>
        <w:pStyle w:val="aff4"/>
        <w:rPr>
          <w:rFonts w:eastAsiaTheme="minorEastAsia" w:cstheme="minorBidi"/>
          <w:i/>
          <w:iCs/>
          <w:noProof/>
          <w:sz w:val="22"/>
          <w:szCs w:val="22"/>
          <w:rtl/>
        </w:rPr>
      </w:pPr>
      <w:bookmarkStart w:id="18199" w:name="_Toc19436108"/>
      <w:bookmarkStart w:id="18200" w:name="_Toc20081296"/>
      <w:r>
        <w:rPr>
          <w:noProof/>
          <w:rtl/>
        </w:rPr>
        <w:t>דברי הש"ך דלדעת הרשב"א האיסור הוא מדין אבר מן החי</w:t>
      </w:r>
      <w:bookmarkEnd w:id="18199"/>
      <w:bookmarkEnd w:id="18200"/>
    </w:p>
    <w:p w14:paraId="6F032B01" w14:textId="77777777" w:rsidR="003D504D" w:rsidRDefault="003D504D" w:rsidP="005077A7">
      <w:pPr>
        <w:pStyle w:val="a"/>
        <w:rPr>
          <w:rFonts w:eastAsiaTheme="minorEastAsia" w:cstheme="minorBidi"/>
          <w:sz w:val="22"/>
          <w:szCs w:val="22"/>
          <w:rtl/>
        </w:rPr>
      </w:pPr>
      <w:r>
        <w:rPr>
          <w:rtl/>
        </w:rPr>
        <w:t>דברי הש"ך דלדעת הרשב"א האיסור באבר היוצא הוא מדין אבמה"ח ולא מדין טריפה</w:t>
      </w:r>
    </w:p>
    <w:p w14:paraId="6795B23B" w14:textId="77777777" w:rsidR="003D504D" w:rsidRDefault="003D504D" w:rsidP="003D504D">
      <w:pPr>
        <w:pStyle w:val="aff4"/>
        <w:rPr>
          <w:rFonts w:eastAsiaTheme="minorEastAsia" w:cstheme="minorBidi"/>
          <w:i/>
          <w:iCs/>
          <w:noProof/>
          <w:sz w:val="22"/>
          <w:szCs w:val="22"/>
          <w:rtl/>
        </w:rPr>
      </w:pPr>
      <w:bookmarkStart w:id="18201" w:name="_Toc19436109"/>
      <w:bookmarkStart w:id="18202" w:name="_Toc20081297"/>
      <w:r>
        <w:rPr>
          <w:noProof/>
          <w:rtl/>
        </w:rPr>
        <w:t>ביאור הפרמ"ג דאף לדעת הרשב"א אסור מדין טריפה</w:t>
      </w:r>
      <w:bookmarkEnd w:id="18201"/>
      <w:bookmarkEnd w:id="18202"/>
    </w:p>
    <w:p w14:paraId="74E37EC9" w14:textId="77777777" w:rsidR="003D504D" w:rsidRDefault="003D504D" w:rsidP="005077A7">
      <w:pPr>
        <w:pStyle w:val="a"/>
        <w:rPr>
          <w:rFonts w:eastAsiaTheme="minorEastAsia" w:cstheme="minorBidi"/>
          <w:sz w:val="22"/>
          <w:szCs w:val="22"/>
          <w:rtl/>
        </w:rPr>
      </w:pPr>
      <w:r>
        <w:rPr>
          <w:rtl/>
        </w:rPr>
        <w:t>דברי הפרמ"ג דבתוה"ב הקצר משמע ד</w:t>
      </w:r>
      <w:r>
        <w:rPr>
          <w:rFonts w:hint="cs"/>
          <w:rtl/>
        </w:rPr>
        <w:t xml:space="preserve">האבר היוצא </w:t>
      </w:r>
      <w:r>
        <w:rPr>
          <w:rtl/>
        </w:rPr>
        <w:t>אסור מדין טריפה ודלא כפשטות הרשב"א בחי'</w:t>
      </w:r>
    </w:p>
    <w:p w14:paraId="5683E0CD" w14:textId="77777777" w:rsidR="003D504D" w:rsidRDefault="003D504D" w:rsidP="005077A7">
      <w:pPr>
        <w:pStyle w:val="a"/>
        <w:rPr>
          <w:rFonts w:eastAsiaTheme="minorEastAsia" w:cstheme="minorBidi"/>
          <w:sz w:val="22"/>
          <w:szCs w:val="22"/>
          <w:rtl/>
        </w:rPr>
      </w:pPr>
      <w:r>
        <w:rPr>
          <w:rtl/>
        </w:rPr>
        <w:t>ביאור הפרמ"ג ברשב"א דהאיסור טריפה אינו מצד עצמו אלא מחמת שיש בו לתא דחיות</w:t>
      </w:r>
    </w:p>
    <w:p w14:paraId="1C53F503" w14:textId="77777777" w:rsidR="003D504D" w:rsidRPr="001A3A15" w:rsidRDefault="003D504D" w:rsidP="005077A7">
      <w:pPr>
        <w:pStyle w:val="a"/>
        <w:rPr>
          <w:rFonts w:eastAsiaTheme="minorEastAsia" w:cstheme="minorBidi"/>
          <w:sz w:val="22"/>
          <w:szCs w:val="22"/>
          <w:rtl/>
        </w:rPr>
      </w:pPr>
      <w:r>
        <w:rPr>
          <w:rtl/>
        </w:rPr>
        <w:t>ביאור הפרמ"ג דהצד לאסור את החלב הוא כיון שאיסורו הוא משום לתא דחיות שאין לה תקנה</w:t>
      </w:r>
    </w:p>
    <w:p w14:paraId="5BEB3414" w14:textId="77777777" w:rsidR="003D504D" w:rsidRDefault="003D504D" w:rsidP="003D504D">
      <w:pPr>
        <w:pStyle w:val="2"/>
        <w:rPr>
          <w:rFonts w:eastAsiaTheme="minorEastAsia" w:cstheme="minorBidi"/>
          <w:i/>
          <w:iCs/>
          <w:noProof/>
          <w:sz w:val="22"/>
          <w:szCs w:val="22"/>
          <w:rtl/>
        </w:rPr>
      </w:pPr>
      <w:bookmarkStart w:id="18203" w:name="_Toc19436110"/>
      <w:r>
        <w:rPr>
          <w:noProof/>
          <w:rtl/>
        </w:rPr>
        <w:t>מראי מקומות וביאורים על הרמב"ם</w:t>
      </w:r>
      <w:bookmarkEnd w:id="18203"/>
    </w:p>
    <w:p w14:paraId="6939C1BF" w14:textId="77777777" w:rsidR="003D504D" w:rsidRDefault="003D504D" w:rsidP="003D504D">
      <w:pPr>
        <w:pStyle w:val="2"/>
        <w:rPr>
          <w:rFonts w:eastAsiaTheme="minorEastAsia" w:cstheme="minorBidi"/>
          <w:i/>
          <w:iCs/>
          <w:noProof/>
          <w:sz w:val="22"/>
          <w:szCs w:val="22"/>
          <w:rtl/>
        </w:rPr>
      </w:pPr>
      <w:bookmarkStart w:id="18204" w:name="_Toc19436111"/>
      <w:r>
        <w:rPr>
          <w:noProof/>
          <w:rtl/>
        </w:rPr>
        <w:t>בגדר איסור חלב הבא מכח אבר היוצא</w:t>
      </w:r>
      <w:bookmarkEnd w:id="18204"/>
    </w:p>
    <w:p w14:paraId="67CABE76" w14:textId="77777777" w:rsidR="003D504D" w:rsidRDefault="003D504D" w:rsidP="003D504D">
      <w:pPr>
        <w:pStyle w:val="aff4"/>
        <w:rPr>
          <w:rFonts w:eastAsiaTheme="minorEastAsia" w:cstheme="minorBidi"/>
          <w:i/>
          <w:iCs/>
          <w:noProof/>
          <w:sz w:val="22"/>
          <w:szCs w:val="22"/>
          <w:rtl/>
        </w:rPr>
      </w:pPr>
      <w:bookmarkStart w:id="18205" w:name="_Toc19436112"/>
      <w:bookmarkStart w:id="18206" w:name="_Toc20081298"/>
      <w:r>
        <w:rPr>
          <w:noProof/>
          <w:rtl/>
        </w:rPr>
        <w:t>דברי הרמב"ם דהחלב מכח האבר היוצא מעורב בחלב הכשר</w:t>
      </w:r>
      <w:bookmarkEnd w:id="18205"/>
      <w:bookmarkEnd w:id="18206"/>
    </w:p>
    <w:p w14:paraId="67F99B4B" w14:textId="77777777" w:rsidR="003D504D" w:rsidRDefault="003D504D" w:rsidP="005077A7">
      <w:pPr>
        <w:pStyle w:val="a"/>
        <w:rPr>
          <w:rFonts w:eastAsiaTheme="minorEastAsia" w:cstheme="minorBidi"/>
          <w:sz w:val="22"/>
          <w:szCs w:val="22"/>
          <w:rtl/>
        </w:rPr>
      </w:pPr>
      <w:r>
        <w:rPr>
          <w:rtl/>
        </w:rPr>
        <w:t>דברי הרמב"ם דחלב הבא מכח אבר היוצא חשיב כחלב טריפה שנתערב בחלב כשרה</w:t>
      </w:r>
    </w:p>
    <w:p w14:paraId="6DC771B2" w14:textId="77777777" w:rsidR="003D504D" w:rsidRDefault="003D504D" w:rsidP="005077A7">
      <w:pPr>
        <w:pStyle w:val="a"/>
        <w:rPr>
          <w:rFonts w:eastAsiaTheme="minorEastAsia" w:cstheme="minorBidi"/>
          <w:sz w:val="22"/>
          <w:szCs w:val="22"/>
          <w:rtl/>
        </w:rPr>
      </w:pPr>
      <w:r>
        <w:rPr>
          <w:rtl/>
        </w:rPr>
        <w:t>דברי המאירי דכיון שהחלב מתגדל מכל האברים מעורב בו הכח של האבר האסור</w:t>
      </w:r>
    </w:p>
    <w:p w14:paraId="1761B79F" w14:textId="77777777" w:rsidR="003D504D" w:rsidRDefault="003D504D" w:rsidP="003D504D">
      <w:pPr>
        <w:pStyle w:val="aff4"/>
        <w:rPr>
          <w:rFonts w:eastAsiaTheme="minorEastAsia" w:cstheme="minorBidi"/>
          <w:i/>
          <w:iCs/>
          <w:noProof/>
          <w:sz w:val="22"/>
          <w:szCs w:val="22"/>
          <w:rtl/>
        </w:rPr>
      </w:pPr>
      <w:bookmarkStart w:id="18207" w:name="_Toc19436113"/>
      <w:bookmarkStart w:id="18208" w:name="_Toc20081299"/>
      <w:r>
        <w:rPr>
          <w:noProof/>
          <w:rtl/>
        </w:rPr>
        <w:t>פלוגתת הב"ח והט"ז בביטול בשישים בחלב מכח האבר היוצא</w:t>
      </w:r>
      <w:bookmarkEnd w:id="18207"/>
      <w:bookmarkEnd w:id="18208"/>
    </w:p>
    <w:p w14:paraId="1ACE0F47" w14:textId="77777777" w:rsidR="003D504D" w:rsidRDefault="003D504D" w:rsidP="005077A7">
      <w:pPr>
        <w:pStyle w:val="a"/>
        <w:rPr>
          <w:rFonts w:eastAsiaTheme="minorEastAsia" w:cstheme="minorBidi"/>
          <w:sz w:val="22"/>
          <w:szCs w:val="22"/>
          <w:rtl/>
        </w:rPr>
      </w:pPr>
      <w:r>
        <w:rPr>
          <w:rtl/>
        </w:rPr>
        <w:t>דברי הב"ח שאם יש בבהמה שישים כנגד האבר היוצא החלב מותר מדין ביטול בתערובת</w:t>
      </w:r>
    </w:p>
    <w:p w14:paraId="6E2CD954" w14:textId="77777777" w:rsidR="003D504D" w:rsidRDefault="003D504D" w:rsidP="005077A7">
      <w:pPr>
        <w:pStyle w:val="a"/>
        <w:rPr>
          <w:rFonts w:eastAsiaTheme="minorEastAsia" w:cstheme="minorBidi"/>
          <w:sz w:val="22"/>
          <w:szCs w:val="22"/>
          <w:rtl/>
        </w:rPr>
      </w:pPr>
      <w:r>
        <w:rPr>
          <w:rtl/>
        </w:rPr>
        <w:t>דחיית הפרישה והש"ך והט"ז דא"א לשער בשישים דיתכן שהחלב בא מאבר אחד יותר מאחר</w:t>
      </w:r>
    </w:p>
    <w:p w14:paraId="499A50BE" w14:textId="77777777" w:rsidR="003D504D" w:rsidRDefault="003D504D" w:rsidP="005077A7">
      <w:pPr>
        <w:pStyle w:val="a"/>
        <w:rPr>
          <w:rFonts w:eastAsiaTheme="minorEastAsia" w:cstheme="minorBidi"/>
          <w:sz w:val="22"/>
          <w:szCs w:val="22"/>
          <w:rtl/>
        </w:rPr>
      </w:pPr>
      <w:r>
        <w:rPr>
          <w:rtl/>
        </w:rPr>
        <w:t>דברי המשל"מ דכיון שמשעת יצירתו החלב מעורב לא מהני בו ביטול בשישים</w:t>
      </w:r>
    </w:p>
    <w:p w14:paraId="40187226" w14:textId="77777777" w:rsidR="003D504D" w:rsidRDefault="003D504D" w:rsidP="005077A7">
      <w:pPr>
        <w:pStyle w:val="a"/>
        <w:rPr>
          <w:rFonts w:eastAsiaTheme="minorEastAsia" w:cstheme="minorBidi"/>
          <w:sz w:val="22"/>
          <w:szCs w:val="22"/>
          <w:rtl/>
        </w:rPr>
      </w:pPr>
      <w:r>
        <w:rPr>
          <w:rtl/>
        </w:rPr>
        <w:t>דברי המהר"י אלפאנדרי דהחלב נוצר בכל אבר בפנ"ע ולא חשיב מעורב משעת יצירתו ומהני ביטול</w:t>
      </w:r>
    </w:p>
    <w:p w14:paraId="04DFEF94" w14:textId="77777777" w:rsidR="003D504D" w:rsidRDefault="003D504D" w:rsidP="005077A7">
      <w:pPr>
        <w:pStyle w:val="a"/>
        <w:rPr>
          <w:rFonts w:eastAsiaTheme="minorEastAsia" w:cstheme="minorBidi"/>
          <w:sz w:val="22"/>
          <w:szCs w:val="22"/>
          <w:rtl/>
        </w:rPr>
      </w:pPr>
      <w:r>
        <w:rPr>
          <w:rtl/>
        </w:rPr>
        <w:t>דברי ה</w:t>
      </w:r>
      <w:r w:rsidR="00345400">
        <w:rPr>
          <w:rtl/>
        </w:rPr>
        <w:t>פלתי</w:t>
      </w:r>
      <w:r>
        <w:rPr>
          <w:rtl/>
        </w:rPr>
        <w:t xml:space="preserve"> דכיון שנוצר בכל אבר בפנ"ע הוי תערובת איסור ואי"ז זה וזה גורם</w:t>
      </w:r>
    </w:p>
    <w:p w14:paraId="1DF6B717" w14:textId="77777777" w:rsidR="003D504D" w:rsidRDefault="003D504D" w:rsidP="005077A7">
      <w:pPr>
        <w:pStyle w:val="a"/>
        <w:rPr>
          <w:rFonts w:eastAsiaTheme="minorEastAsia" w:cstheme="minorBidi"/>
          <w:sz w:val="22"/>
          <w:szCs w:val="22"/>
          <w:rtl/>
        </w:rPr>
      </w:pPr>
      <w:r>
        <w:rPr>
          <w:rtl/>
        </w:rPr>
        <w:t>קושית ה</w:t>
      </w:r>
      <w:r w:rsidR="00345400">
        <w:rPr>
          <w:rtl/>
        </w:rPr>
        <w:t>פלתי</w:t>
      </w:r>
      <w:r>
        <w:rPr>
          <w:rtl/>
        </w:rPr>
        <w:t xml:space="preserve"> דאמאי אינו מותר מדין כל מכח לא אמרינן וביאר דהוי ביטול איסור לכתחילה</w:t>
      </w:r>
    </w:p>
    <w:p w14:paraId="1CDABB49" w14:textId="77777777" w:rsidR="003D504D" w:rsidRDefault="003D504D" w:rsidP="003D504D">
      <w:pPr>
        <w:pStyle w:val="aff4"/>
        <w:rPr>
          <w:rFonts w:eastAsiaTheme="minorEastAsia" w:cstheme="minorBidi"/>
          <w:i/>
          <w:iCs/>
          <w:noProof/>
          <w:sz w:val="22"/>
          <w:szCs w:val="22"/>
          <w:rtl/>
        </w:rPr>
      </w:pPr>
      <w:bookmarkStart w:id="18209" w:name="_Toc19436114"/>
      <w:bookmarkStart w:id="18210" w:name="_Toc20081300"/>
      <w:r>
        <w:rPr>
          <w:noProof/>
          <w:rtl/>
        </w:rPr>
        <w:t>דברי הט"ז בביאור החילוק בין ולד מכח אבר היוצא לחלב</w:t>
      </w:r>
      <w:bookmarkEnd w:id="18209"/>
      <w:bookmarkEnd w:id="18210"/>
    </w:p>
    <w:p w14:paraId="0E4F8F67" w14:textId="77777777" w:rsidR="003D504D" w:rsidRDefault="003D504D" w:rsidP="005077A7">
      <w:pPr>
        <w:pStyle w:val="a"/>
        <w:rPr>
          <w:rFonts w:eastAsiaTheme="minorEastAsia" w:cstheme="minorBidi"/>
          <w:sz w:val="22"/>
          <w:szCs w:val="22"/>
          <w:rtl/>
        </w:rPr>
      </w:pPr>
      <w:r>
        <w:rPr>
          <w:rtl/>
        </w:rPr>
        <w:t>דברי הט"ז דהרמב"ם חילק דהחלב בא בעין מהאברים ולא דמי לולד דבא רק מכח האבר היוצא</w:t>
      </w:r>
    </w:p>
    <w:p w14:paraId="1D3D1885" w14:textId="77777777" w:rsidR="003D504D" w:rsidRDefault="003D504D" w:rsidP="003D504D">
      <w:pPr>
        <w:pStyle w:val="2"/>
        <w:rPr>
          <w:rFonts w:eastAsiaTheme="minorEastAsia" w:cstheme="minorBidi"/>
          <w:i/>
          <w:iCs/>
          <w:noProof/>
          <w:sz w:val="22"/>
          <w:szCs w:val="22"/>
          <w:rtl/>
        </w:rPr>
      </w:pPr>
      <w:bookmarkStart w:id="18211" w:name="_Toc19436115"/>
      <w:r>
        <w:rPr>
          <w:noProof/>
          <w:rtl/>
        </w:rPr>
        <w:t>ביאורי ראשי הישיבות על הסוגיא</w:t>
      </w:r>
      <w:bookmarkEnd w:id="18211"/>
    </w:p>
    <w:p w14:paraId="4BE25F56" w14:textId="77777777" w:rsidR="003D504D" w:rsidRDefault="003D504D" w:rsidP="003D504D">
      <w:pPr>
        <w:pStyle w:val="2"/>
        <w:rPr>
          <w:rFonts w:eastAsiaTheme="minorEastAsia" w:cstheme="minorBidi"/>
          <w:i/>
          <w:iCs/>
          <w:noProof/>
          <w:sz w:val="22"/>
          <w:szCs w:val="22"/>
          <w:rtl/>
        </w:rPr>
      </w:pPr>
      <w:bookmarkStart w:id="18212" w:name="_Toc19436116"/>
      <w:r>
        <w:rPr>
          <w:noProof/>
          <w:rtl/>
        </w:rPr>
        <w:t>בדעת רש"י דלרב משרשיא הולד כשחוט</w:t>
      </w:r>
      <w:bookmarkEnd w:id="18212"/>
    </w:p>
    <w:p w14:paraId="467048D9" w14:textId="77777777" w:rsidR="003D504D" w:rsidRDefault="003D504D" w:rsidP="003D504D">
      <w:pPr>
        <w:pStyle w:val="aff4"/>
        <w:rPr>
          <w:rFonts w:eastAsiaTheme="minorEastAsia" w:cstheme="minorBidi"/>
          <w:i/>
          <w:iCs/>
          <w:noProof/>
          <w:sz w:val="22"/>
          <w:szCs w:val="22"/>
          <w:rtl/>
        </w:rPr>
      </w:pPr>
      <w:bookmarkStart w:id="18213" w:name="_Toc19436117"/>
      <w:bookmarkStart w:id="18214" w:name="_Toc20081301"/>
      <w:r>
        <w:rPr>
          <w:noProof/>
          <w:rtl/>
        </w:rPr>
        <w:t>ביאור השער"י ברש"י דרק לרב משרשיא סימניו הם כשחוטים</w:t>
      </w:r>
      <w:bookmarkEnd w:id="18213"/>
      <w:bookmarkEnd w:id="18214"/>
    </w:p>
    <w:p w14:paraId="5CA7882B" w14:textId="77777777" w:rsidR="003D504D" w:rsidRDefault="003D504D" w:rsidP="005077A7">
      <w:pPr>
        <w:pStyle w:val="a"/>
        <w:rPr>
          <w:rFonts w:eastAsiaTheme="minorEastAsia" w:cstheme="minorBidi"/>
          <w:sz w:val="22"/>
          <w:szCs w:val="22"/>
          <w:rtl/>
        </w:rPr>
      </w:pPr>
      <w:r>
        <w:rPr>
          <w:rtl/>
        </w:rPr>
        <w:t>קושית השער"י על רש"י דדינא דד' סימנים נאמר רק בבן פקועה עצמו אך הולד מותר דנולד מטהור</w:t>
      </w:r>
    </w:p>
    <w:p w14:paraId="221FC392" w14:textId="77777777" w:rsidR="003D504D" w:rsidRDefault="003D504D" w:rsidP="005077A7">
      <w:pPr>
        <w:pStyle w:val="a"/>
        <w:rPr>
          <w:rFonts w:eastAsiaTheme="minorEastAsia" w:cstheme="minorBidi"/>
          <w:sz w:val="22"/>
          <w:szCs w:val="22"/>
          <w:rtl/>
        </w:rPr>
      </w:pPr>
      <w:r>
        <w:rPr>
          <w:rtl/>
        </w:rPr>
        <w:t>ביאור השער"י דלדעת רב משרשיא דסימן אחד כשחוט מוכח דא"א לחזור ולשחוט את הבן פקועה</w:t>
      </w:r>
    </w:p>
    <w:p w14:paraId="379E8BBC" w14:textId="77777777" w:rsidR="003D504D" w:rsidRDefault="003D504D" w:rsidP="005077A7">
      <w:pPr>
        <w:pStyle w:val="a"/>
        <w:rPr>
          <w:rFonts w:eastAsiaTheme="minorEastAsia" w:cstheme="minorBidi"/>
          <w:sz w:val="22"/>
          <w:szCs w:val="22"/>
          <w:rtl/>
        </w:rPr>
      </w:pPr>
      <w:r>
        <w:rPr>
          <w:rtl/>
        </w:rPr>
        <w:t>ביאור השער"י ברש"י דחצי מסימניו נשחטו בשעת לידתו וא"א לצרף את שחיטת עצמו דהוי שהייה</w:t>
      </w:r>
    </w:p>
    <w:p w14:paraId="58638104" w14:textId="77777777" w:rsidR="003D504D" w:rsidRDefault="003D504D" w:rsidP="005077A7">
      <w:pPr>
        <w:pStyle w:val="a"/>
        <w:rPr>
          <w:rFonts w:eastAsiaTheme="minorEastAsia" w:cstheme="minorBidi"/>
          <w:sz w:val="22"/>
          <w:szCs w:val="22"/>
          <w:rtl/>
        </w:rPr>
      </w:pPr>
      <w:r>
        <w:rPr>
          <w:rtl/>
        </w:rPr>
        <w:t>ביאור השער"י דלמ"ד דד' סימנים לא חשיב דסימניו שחוטים אלא דאם הותרו סימניו א"א לשוחטם</w:t>
      </w:r>
    </w:p>
    <w:p w14:paraId="7C59487F" w14:textId="77777777" w:rsidR="003D504D" w:rsidRDefault="003D504D" w:rsidP="005077A7">
      <w:pPr>
        <w:pStyle w:val="a"/>
        <w:rPr>
          <w:rFonts w:eastAsiaTheme="minorEastAsia" w:cstheme="minorBidi"/>
          <w:sz w:val="22"/>
          <w:szCs w:val="22"/>
          <w:rtl/>
        </w:rPr>
      </w:pPr>
      <w:r>
        <w:rPr>
          <w:rtl/>
        </w:rPr>
        <w:t>ביאור השער"י דלמ"ד דד' סימנים מהני שחיטה בולד דסימניו שלמים והשחיטה מתירה את חציו</w:t>
      </w:r>
    </w:p>
    <w:p w14:paraId="083F2C5F" w14:textId="77777777" w:rsidR="003D504D" w:rsidRDefault="003D504D" w:rsidP="005077A7">
      <w:pPr>
        <w:pStyle w:val="a"/>
        <w:rPr>
          <w:rFonts w:eastAsiaTheme="minorEastAsia" w:cstheme="minorBidi"/>
          <w:sz w:val="22"/>
          <w:szCs w:val="22"/>
          <w:rtl/>
        </w:rPr>
      </w:pPr>
      <w:r>
        <w:rPr>
          <w:rtl/>
        </w:rPr>
        <w:t>דברי השער"י דלמ"ד דד' סימנים אי"ז שהייה דהותר חציו בלא שחיטה וא"כ כולו צריך שחיטה</w:t>
      </w:r>
    </w:p>
    <w:p w14:paraId="7A95F247" w14:textId="77777777" w:rsidR="003D504D" w:rsidRDefault="003D504D" w:rsidP="003D504D">
      <w:pPr>
        <w:pStyle w:val="aff4"/>
        <w:rPr>
          <w:rFonts w:eastAsiaTheme="minorEastAsia" w:cstheme="minorBidi"/>
          <w:i/>
          <w:iCs/>
          <w:noProof/>
          <w:sz w:val="22"/>
          <w:szCs w:val="22"/>
          <w:rtl/>
        </w:rPr>
      </w:pPr>
      <w:bookmarkStart w:id="18215" w:name="_Toc19436118"/>
      <w:bookmarkStart w:id="18216" w:name="_Toc20081302"/>
      <w:r>
        <w:rPr>
          <w:noProof/>
          <w:rtl/>
        </w:rPr>
        <w:t>ביאור המשנת ר"א ברש"י ותוס' בד' סימנים</w:t>
      </w:r>
      <w:bookmarkEnd w:id="18215"/>
      <w:bookmarkEnd w:id="18216"/>
    </w:p>
    <w:p w14:paraId="657C8FB7" w14:textId="77777777" w:rsidR="003D504D" w:rsidRDefault="003D504D" w:rsidP="005077A7">
      <w:pPr>
        <w:pStyle w:val="a"/>
        <w:rPr>
          <w:rFonts w:eastAsiaTheme="minorEastAsia" w:cstheme="minorBidi"/>
          <w:sz w:val="22"/>
          <w:szCs w:val="22"/>
          <w:rtl/>
        </w:rPr>
      </w:pPr>
      <w:r>
        <w:rPr>
          <w:rtl/>
        </w:rPr>
        <w:t>קושית המשנת ר"א ברש"י דהיאך שחיטת עצמו מתירתו למ"ד דד' סימנים הא הוי רק חצי שחיטה</w:t>
      </w:r>
    </w:p>
    <w:p w14:paraId="76A25E7B" w14:textId="77777777" w:rsidR="003D504D" w:rsidRDefault="003D504D" w:rsidP="005077A7">
      <w:pPr>
        <w:pStyle w:val="a"/>
        <w:rPr>
          <w:rFonts w:eastAsiaTheme="minorEastAsia" w:cstheme="minorBidi"/>
          <w:sz w:val="22"/>
          <w:szCs w:val="22"/>
          <w:rtl/>
        </w:rPr>
      </w:pPr>
      <w:r>
        <w:rPr>
          <w:rtl/>
        </w:rPr>
        <w:t>ביאור המשנת ר"א דלמ"ד דד' סימנים לא חשיבי הסימנים כשחוטים ולכן מהני שחיטתו</w:t>
      </w:r>
    </w:p>
    <w:p w14:paraId="4E0F9051" w14:textId="77777777" w:rsidR="003D504D" w:rsidRDefault="003D504D" w:rsidP="005077A7">
      <w:pPr>
        <w:pStyle w:val="a"/>
        <w:rPr>
          <w:rFonts w:eastAsiaTheme="minorEastAsia" w:cstheme="minorBidi"/>
          <w:sz w:val="22"/>
          <w:szCs w:val="22"/>
          <w:rtl/>
        </w:rPr>
      </w:pPr>
      <w:r>
        <w:rPr>
          <w:rtl/>
        </w:rPr>
        <w:t>ביאור המשנת ר"א דלמ"ד דד' סימנים אף בחציו שמותר חשיבי הסימנים כראויים לשחיטה</w:t>
      </w:r>
    </w:p>
    <w:p w14:paraId="4620422D" w14:textId="77777777" w:rsidR="003D504D" w:rsidRDefault="003D504D" w:rsidP="005077A7">
      <w:pPr>
        <w:pStyle w:val="a"/>
        <w:rPr>
          <w:rFonts w:eastAsiaTheme="minorEastAsia" w:cstheme="minorBidi"/>
          <w:sz w:val="22"/>
          <w:szCs w:val="22"/>
          <w:rtl/>
        </w:rPr>
      </w:pPr>
      <w:r>
        <w:rPr>
          <w:rtl/>
        </w:rPr>
        <w:t>דברי המשנת ר"א דבטריפה יש חסרון בחיות של השחיטה ובולד צריך שחיטה מצד חציו השני</w:t>
      </w:r>
    </w:p>
    <w:p w14:paraId="5E978E83" w14:textId="77777777" w:rsidR="003D504D" w:rsidRDefault="003D504D" w:rsidP="005077A7">
      <w:pPr>
        <w:pStyle w:val="a"/>
        <w:rPr>
          <w:rFonts w:eastAsiaTheme="minorEastAsia" w:cstheme="minorBidi"/>
          <w:sz w:val="22"/>
          <w:szCs w:val="22"/>
          <w:rtl/>
        </w:rPr>
      </w:pPr>
      <w:r>
        <w:rPr>
          <w:rtl/>
        </w:rPr>
        <w:t>ביאור המשנת ר"א ברש"י דרק לדעת רב משרשיא דסימניו כשחוטים אין לולד תקנה</w:t>
      </w:r>
    </w:p>
    <w:p w14:paraId="77433371" w14:textId="77777777" w:rsidR="003D504D" w:rsidRDefault="003D504D" w:rsidP="005077A7">
      <w:pPr>
        <w:pStyle w:val="a"/>
        <w:rPr>
          <w:rFonts w:eastAsiaTheme="minorEastAsia" w:cstheme="minorBidi"/>
          <w:sz w:val="22"/>
          <w:szCs w:val="22"/>
          <w:rtl/>
        </w:rPr>
      </w:pPr>
      <w:r>
        <w:rPr>
          <w:rtl/>
        </w:rPr>
        <w:t>ביאור המשנת ר"א בתוס' דבטריפה אין השחיטה מתרת כלל ולכן רק בטריפה מהני שחיטת עצמו</w:t>
      </w:r>
    </w:p>
    <w:p w14:paraId="68197FEB" w14:textId="77777777" w:rsidR="003D504D" w:rsidRDefault="003D504D" w:rsidP="003D504D">
      <w:pPr>
        <w:pStyle w:val="aff4"/>
        <w:rPr>
          <w:rFonts w:eastAsiaTheme="minorEastAsia" w:cstheme="minorBidi"/>
          <w:i/>
          <w:iCs/>
          <w:noProof/>
          <w:sz w:val="22"/>
          <w:szCs w:val="22"/>
          <w:rtl/>
        </w:rPr>
      </w:pPr>
      <w:bookmarkStart w:id="18217" w:name="_Toc19436119"/>
      <w:bookmarkStart w:id="18218" w:name="_Toc20081303"/>
      <w:r>
        <w:rPr>
          <w:noProof/>
          <w:rtl/>
        </w:rPr>
        <w:t>ביאור המקדש דוד בגדר "דין שחוט" בבן פקועה לרש"י ולתוס'</w:t>
      </w:r>
      <w:bookmarkEnd w:id="18217"/>
      <w:bookmarkEnd w:id="18218"/>
    </w:p>
    <w:p w14:paraId="354D3C9A" w14:textId="77777777" w:rsidR="003D504D" w:rsidRDefault="003D504D" w:rsidP="005077A7">
      <w:pPr>
        <w:pStyle w:val="a"/>
        <w:rPr>
          <w:rFonts w:eastAsiaTheme="minorEastAsia" w:cstheme="minorBidi"/>
          <w:sz w:val="22"/>
          <w:szCs w:val="22"/>
          <w:rtl/>
        </w:rPr>
      </w:pPr>
      <w:r>
        <w:rPr>
          <w:rtl/>
        </w:rPr>
        <w:t>חקירת המקדש דוד אי היתר שחיטה הוא בחלות שם שחוטה על הבהמה או בחתיכת הסימנים</w:t>
      </w:r>
    </w:p>
    <w:p w14:paraId="6F1ABECD" w14:textId="77777777" w:rsidR="003D504D" w:rsidRDefault="003D504D" w:rsidP="005077A7">
      <w:pPr>
        <w:pStyle w:val="a"/>
        <w:rPr>
          <w:rFonts w:eastAsiaTheme="minorEastAsia" w:cstheme="minorBidi"/>
          <w:sz w:val="22"/>
          <w:szCs w:val="22"/>
          <w:rtl/>
        </w:rPr>
      </w:pPr>
      <w:r>
        <w:rPr>
          <w:rtl/>
        </w:rPr>
        <w:t>ביאור המקדש דוד דלרש"י הסימן הוא כשחוט כיון שחל שם שחוטה וא"א לומר דחצי סימן כשחוט</w:t>
      </w:r>
    </w:p>
    <w:p w14:paraId="7016BD06" w14:textId="77777777" w:rsidR="003D504D" w:rsidRDefault="003D504D" w:rsidP="005077A7">
      <w:pPr>
        <w:pStyle w:val="a"/>
        <w:rPr>
          <w:rFonts w:eastAsiaTheme="minorEastAsia" w:cstheme="minorBidi"/>
          <w:sz w:val="22"/>
          <w:szCs w:val="22"/>
          <w:rtl/>
        </w:rPr>
      </w:pPr>
      <w:r>
        <w:rPr>
          <w:rtl/>
        </w:rPr>
        <w:t>ביאור המקדש דוד ברש"י דכיון דעל חצי הולד חל היתר א"כ חשיב שעל סימן אחד חל שם שחוט</w:t>
      </w:r>
    </w:p>
    <w:p w14:paraId="335E8771" w14:textId="77777777" w:rsidR="003D504D" w:rsidRDefault="003D504D" w:rsidP="005077A7">
      <w:pPr>
        <w:pStyle w:val="a"/>
        <w:rPr>
          <w:rFonts w:eastAsiaTheme="minorEastAsia" w:cstheme="minorBidi"/>
          <w:sz w:val="22"/>
          <w:szCs w:val="22"/>
          <w:rtl/>
        </w:rPr>
      </w:pPr>
      <w:r>
        <w:rPr>
          <w:rtl/>
        </w:rPr>
        <w:t>ביאור המקדש דוד בתוס' דבולד חשיב שנחתכו סימניו בפועל וא"כ חשיב דכל סימן חתוך בחציו</w:t>
      </w:r>
    </w:p>
    <w:p w14:paraId="4C7EC20E" w14:textId="77777777" w:rsidR="003D504D" w:rsidRDefault="003D504D" w:rsidP="003D504D">
      <w:pPr>
        <w:pStyle w:val="2"/>
        <w:rPr>
          <w:rFonts w:eastAsiaTheme="minorEastAsia" w:cstheme="minorBidi"/>
          <w:i/>
          <w:iCs/>
          <w:noProof/>
          <w:sz w:val="22"/>
          <w:szCs w:val="22"/>
          <w:rtl/>
        </w:rPr>
      </w:pPr>
      <w:bookmarkStart w:id="18219" w:name="_Toc19436120"/>
      <w:r>
        <w:rPr>
          <w:noProof/>
          <w:rtl/>
        </w:rPr>
        <w:t>בדברי רש"י דפסול מדין שהייה בשחיטה</w:t>
      </w:r>
      <w:bookmarkEnd w:id="18219"/>
    </w:p>
    <w:p w14:paraId="35E78248" w14:textId="77777777" w:rsidR="003D504D" w:rsidRDefault="003D504D" w:rsidP="003D504D">
      <w:pPr>
        <w:pStyle w:val="aff4"/>
        <w:rPr>
          <w:rFonts w:eastAsiaTheme="minorEastAsia" w:cstheme="minorBidi"/>
          <w:i/>
          <w:iCs/>
          <w:noProof/>
          <w:sz w:val="22"/>
          <w:szCs w:val="22"/>
          <w:rtl/>
        </w:rPr>
      </w:pPr>
      <w:bookmarkStart w:id="18220" w:name="_Toc19436121"/>
      <w:bookmarkStart w:id="18221" w:name="_Toc20081304"/>
      <w:r>
        <w:rPr>
          <w:noProof/>
          <w:rtl/>
        </w:rPr>
        <w:t>ביאור הגרא"ו דכיון שלא הותר הולד בבת אחת הוי שהייה</w:t>
      </w:r>
      <w:bookmarkEnd w:id="18220"/>
      <w:bookmarkEnd w:id="18221"/>
    </w:p>
    <w:p w14:paraId="0D7DCCEA" w14:textId="77777777" w:rsidR="003D504D" w:rsidRDefault="003D504D" w:rsidP="005077A7">
      <w:pPr>
        <w:pStyle w:val="a"/>
        <w:rPr>
          <w:rFonts w:eastAsiaTheme="minorEastAsia" w:cstheme="minorBidi"/>
          <w:sz w:val="22"/>
          <w:szCs w:val="22"/>
          <w:rtl/>
        </w:rPr>
      </w:pPr>
      <w:r>
        <w:rPr>
          <w:rtl/>
        </w:rPr>
        <w:t>קושית הגרא"ו על רש"י דכל שלא היתה שחיטה בפועל לא שייך לפסול מדין שהייה</w:t>
      </w:r>
    </w:p>
    <w:p w14:paraId="2E2AEECC" w14:textId="77777777" w:rsidR="003D504D" w:rsidRDefault="003D504D" w:rsidP="005077A7">
      <w:pPr>
        <w:pStyle w:val="a"/>
        <w:rPr>
          <w:rFonts w:eastAsiaTheme="minorEastAsia" w:cstheme="minorBidi"/>
          <w:sz w:val="22"/>
          <w:szCs w:val="22"/>
          <w:rtl/>
        </w:rPr>
      </w:pPr>
      <w:r>
        <w:rPr>
          <w:rtl/>
        </w:rPr>
        <w:t>קושית הגרא"ו דאף אי שהייה אינו פסול אלא חסרון בצירוף  השחיטה מ"מ לא היה מעשה שחיטה</w:t>
      </w:r>
    </w:p>
    <w:p w14:paraId="4017CE05" w14:textId="77777777" w:rsidR="003D504D" w:rsidRDefault="003D504D" w:rsidP="005077A7">
      <w:pPr>
        <w:pStyle w:val="a"/>
        <w:rPr>
          <w:rFonts w:eastAsiaTheme="minorEastAsia" w:cstheme="minorBidi"/>
          <w:sz w:val="22"/>
          <w:szCs w:val="22"/>
          <w:rtl/>
        </w:rPr>
      </w:pPr>
      <w:r>
        <w:rPr>
          <w:rtl/>
        </w:rPr>
        <w:t>ביאור הגרא"ו דמבואר ברש"י דפסול שהייה הוא בכל מקום שלא נעשה מעשה השחיטה בבת אחת</w:t>
      </w:r>
    </w:p>
    <w:p w14:paraId="6C475B59" w14:textId="77777777" w:rsidR="003D504D" w:rsidRDefault="003D504D" w:rsidP="005077A7">
      <w:pPr>
        <w:pStyle w:val="a"/>
        <w:rPr>
          <w:rFonts w:eastAsiaTheme="minorEastAsia" w:cstheme="minorBidi"/>
          <w:sz w:val="22"/>
          <w:szCs w:val="22"/>
          <w:rtl/>
        </w:rPr>
      </w:pPr>
      <w:r>
        <w:rPr>
          <w:rtl/>
        </w:rPr>
        <w:t>קושית הגרא"ו דאי היתר בן פקועה הוא דא"צ שחיטה א"כ חציו הותר בלא שחיטה ואי"ז שהייה</w:t>
      </w:r>
    </w:p>
    <w:p w14:paraId="088854C1" w14:textId="77777777" w:rsidR="003D504D" w:rsidRDefault="003D504D" w:rsidP="005077A7">
      <w:pPr>
        <w:pStyle w:val="a"/>
        <w:rPr>
          <w:rFonts w:eastAsiaTheme="minorEastAsia" w:cstheme="minorBidi"/>
          <w:sz w:val="22"/>
          <w:szCs w:val="22"/>
          <w:rtl/>
        </w:rPr>
      </w:pPr>
      <w:r>
        <w:rPr>
          <w:rtl/>
        </w:rPr>
        <w:t>קושית הגרא"ו דאף אי היתר בן פקועה דהוא כשחוט קשה דחציו הותר בשחיטה כשרה</w:t>
      </w:r>
    </w:p>
    <w:p w14:paraId="7128277C" w14:textId="77777777" w:rsidR="003D504D" w:rsidRDefault="003D504D" w:rsidP="005077A7">
      <w:pPr>
        <w:pStyle w:val="a"/>
        <w:rPr>
          <w:rFonts w:eastAsiaTheme="minorEastAsia" w:cstheme="minorBidi"/>
          <w:sz w:val="22"/>
          <w:szCs w:val="22"/>
          <w:rtl/>
        </w:rPr>
      </w:pPr>
      <w:r>
        <w:rPr>
          <w:rtl/>
        </w:rPr>
        <w:t>ביאור הגרא"ו דפסול שהייה הוא בכל מקום שלא חל ההיתר בבת אחת</w:t>
      </w:r>
    </w:p>
    <w:p w14:paraId="2C7FA2CE" w14:textId="77777777" w:rsidR="003D504D" w:rsidRDefault="003D504D" w:rsidP="003D504D">
      <w:pPr>
        <w:pStyle w:val="2"/>
        <w:rPr>
          <w:rFonts w:eastAsiaTheme="minorEastAsia" w:cstheme="minorBidi"/>
          <w:i/>
          <w:iCs/>
          <w:noProof/>
          <w:sz w:val="22"/>
          <w:szCs w:val="22"/>
          <w:rtl/>
        </w:rPr>
      </w:pPr>
      <w:bookmarkStart w:id="18222" w:name="_Toc19436122"/>
      <w:r>
        <w:rPr>
          <w:noProof/>
          <w:rtl/>
        </w:rPr>
        <w:t>בספק הגמ' בדין חלב מכח אבר היוצא</w:t>
      </w:r>
      <w:bookmarkEnd w:id="18222"/>
    </w:p>
    <w:p w14:paraId="37957BE6" w14:textId="77777777" w:rsidR="003D504D" w:rsidRDefault="003D504D" w:rsidP="003D504D">
      <w:pPr>
        <w:pStyle w:val="aff4"/>
        <w:rPr>
          <w:rFonts w:eastAsiaTheme="minorEastAsia" w:cstheme="minorBidi"/>
          <w:i/>
          <w:iCs/>
          <w:noProof/>
          <w:sz w:val="22"/>
          <w:szCs w:val="22"/>
          <w:rtl/>
        </w:rPr>
      </w:pPr>
      <w:bookmarkStart w:id="18223" w:name="_Toc19436123"/>
      <w:bookmarkStart w:id="18224" w:name="_Toc20081305"/>
      <w:r>
        <w:rPr>
          <w:noProof/>
          <w:rtl/>
        </w:rPr>
        <w:t>ביאור האבי עזרי בדין החלב והולד שבאו מכח האבר היוצא</w:t>
      </w:r>
      <w:bookmarkEnd w:id="18223"/>
      <w:bookmarkEnd w:id="18224"/>
    </w:p>
    <w:p w14:paraId="7CBEEFD5" w14:textId="77777777" w:rsidR="003D504D" w:rsidRDefault="003D504D" w:rsidP="005077A7">
      <w:pPr>
        <w:pStyle w:val="a"/>
        <w:rPr>
          <w:rFonts w:eastAsiaTheme="minorEastAsia" w:cstheme="minorBidi"/>
          <w:sz w:val="22"/>
          <w:szCs w:val="22"/>
          <w:rtl/>
        </w:rPr>
      </w:pPr>
      <w:r>
        <w:rPr>
          <w:rtl/>
        </w:rPr>
        <w:t>דברי האבי עזרי דהחלב חשיב כאבר מן החי ממש וחלב הבא מאבר היוצא דינו כאבר עצמו</w:t>
      </w:r>
    </w:p>
    <w:p w14:paraId="4403B0F2" w14:textId="77777777" w:rsidR="003D504D" w:rsidRDefault="003D504D" w:rsidP="005077A7">
      <w:pPr>
        <w:pStyle w:val="a"/>
        <w:rPr>
          <w:rFonts w:eastAsiaTheme="minorEastAsia" w:cstheme="minorBidi"/>
          <w:sz w:val="22"/>
          <w:szCs w:val="22"/>
          <w:rtl/>
        </w:rPr>
      </w:pPr>
      <w:r>
        <w:rPr>
          <w:rtl/>
        </w:rPr>
        <w:t>ביאור האבי עזרי דבולד שבא מכח אבר היוצא יש רק איסור יוצא מן הטמא וכל מכח לא אמרינן</w:t>
      </w:r>
    </w:p>
    <w:p w14:paraId="5CA80369" w14:textId="77777777" w:rsidR="003D504D" w:rsidRDefault="003D504D" w:rsidP="005077A7">
      <w:pPr>
        <w:pStyle w:val="a"/>
        <w:rPr>
          <w:rFonts w:eastAsiaTheme="minorEastAsia" w:cstheme="minorBidi"/>
          <w:sz w:val="22"/>
          <w:szCs w:val="22"/>
          <w:rtl/>
        </w:rPr>
      </w:pPr>
      <w:r>
        <w:rPr>
          <w:rtl/>
        </w:rPr>
        <w:t>דברי האבי עזרי דהולד אינו אסור מדין יוצא מהחי ומדין יוצא מן הטמא כל מכח לא אמרינן</w:t>
      </w:r>
    </w:p>
    <w:p w14:paraId="3497C8A2" w14:textId="77777777" w:rsidR="003D504D" w:rsidRDefault="003D504D" w:rsidP="005077A7">
      <w:pPr>
        <w:pStyle w:val="a"/>
        <w:rPr>
          <w:rFonts w:eastAsiaTheme="minorEastAsia" w:cstheme="minorBidi"/>
          <w:sz w:val="22"/>
          <w:szCs w:val="22"/>
          <w:rtl/>
        </w:rPr>
      </w:pPr>
      <w:r>
        <w:rPr>
          <w:rtl/>
        </w:rPr>
        <w:t>דברי האבי עזרי דבחלב אין את היתר בן פקועה ושייך בו איסור אבר מן החי</w:t>
      </w:r>
    </w:p>
    <w:p w14:paraId="3DF8C17F" w14:textId="77777777" w:rsidR="003D504D" w:rsidRDefault="003D504D" w:rsidP="003D504D">
      <w:pPr>
        <w:pStyle w:val="aff4"/>
        <w:rPr>
          <w:rFonts w:eastAsiaTheme="minorEastAsia" w:cstheme="minorBidi"/>
          <w:i/>
          <w:iCs/>
          <w:noProof/>
          <w:sz w:val="22"/>
          <w:szCs w:val="22"/>
          <w:rtl/>
        </w:rPr>
      </w:pPr>
      <w:bookmarkStart w:id="18225" w:name="_Toc19436124"/>
      <w:bookmarkStart w:id="18226" w:name="_Toc20081306"/>
      <w:r>
        <w:rPr>
          <w:noProof/>
          <w:rtl/>
        </w:rPr>
        <w:t>ביאור הקה"י בחילוק בין ולד בן פקועה לחלב בן פקועה</w:t>
      </w:r>
      <w:bookmarkEnd w:id="18225"/>
      <w:bookmarkEnd w:id="18226"/>
    </w:p>
    <w:p w14:paraId="0B240C64" w14:textId="77777777" w:rsidR="003D504D" w:rsidRDefault="003D504D" w:rsidP="005077A7">
      <w:pPr>
        <w:pStyle w:val="a"/>
        <w:rPr>
          <w:rFonts w:eastAsiaTheme="minorEastAsia" w:cstheme="minorBidi"/>
          <w:sz w:val="22"/>
          <w:szCs w:val="22"/>
          <w:rtl/>
        </w:rPr>
      </w:pPr>
      <w:r>
        <w:rPr>
          <w:rtl/>
        </w:rPr>
        <w:t>קושית הקה"י דהאבר היוצא הוא רק גורם לחלב ואמאי אינו מותר מדין כל מכח לא אמרינן</w:t>
      </w:r>
    </w:p>
    <w:p w14:paraId="00FC1759" w14:textId="77777777" w:rsidR="003D504D" w:rsidRDefault="003D504D" w:rsidP="005077A7">
      <w:pPr>
        <w:pStyle w:val="a"/>
        <w:rPr>
          <w:rFonts w:eastAsiaTheme="minorEastAsia" w:cstheme="minorBidi"/>
          <w:sz w:val="22"/>
          <w:szCs w:val="22"/>
          <w:rtl/>
        </w:rPr>
      </w:pPr>
      <w:r>
        <w:rPr>
          <w:rtl/>
        </w:rPr>
        <w:t>ביאור הקה"י ברמב"ם דהאברים הם גורמים לחלב אך אינו מתמצה מהם כמהר"י אלפאנדרי</w:t>
      </w:r>
    </w:p>
    <w:p w14:paraId="62185B97" w14:textId="77777777" w:rsidR="003D504D" w:rsidRDefault="003D504D" w:rsidP="005077A7">
      <w:pPr>
        <w:pStyle w:val="a"/>
        <w:rPr>
          <w:rFonts w:eastAsiaTheme="minorEastAsia" w:cstheme="minorBidi"/>
          <w:sz w:val="22"/>
          <w:szCs w:val="22"/>
          <w:rtl/>
        </w:rPr>
      </w:pPr>
      <w:r>
        <w:rPr>
          <w:rtl/>
        </w:rPr>
        <w:t>ביאור הקה"י דדין גורם הוא בדבר שכלה כהולד שנגרם מזרע שהסריח ואינו דין יוצא מאיסור</w:t>
      </w:r>
    </w:p>
    <w:p w14:paraId="5B7E9AC7" w14:textId="77777777" w:rsidR="003D504D" w:rsidRDefault="003D504D" w:rsidP="005077A7">
      <w:pPr>
        <w:pStyle w:val="a"/>
        <w:rPr>
          <w:rFonts w:eastAsiaTheme="minorEastAsia" w:cstheme="minorBidi"/>
          <w:sz w:val="22"/>
          <w:szCs w:val="22"/>
          <w:rtl/>
        </w:rPr>
      </w:pPr>
      <w:r>
        <w:rPr>
          <w:rtl/>
        </w:rPr>
        <w:t>ביאור הקה"י דחלב אינו נגרם אלא הוא כאבר ממנה דהוא ציר של הבהמה ואסור מדין אבמה"ח</w:t>
      </w:r>
    </w:p>
    <w:p w14:paraId="2304B151" w14:textId="77777777" w:rsidR="003D504D" w:rsidRDefault="003D504D" w:rsidP="005077A7">
      <w:pPr>
        <w:pStyle w:val="a"/>
        <w:rPr>
          <w:rFonts w:eastAsiaTheme="minorEastAsia" w:cstheme="minorBidi"/>
          <w:sz w:val="22"/>
          <w:szCs w:val="22"/>
          <w:rtl/>
        </w:rPr>
      </w:pPr>
      <w:r>
        <w:rPr>
          <w:rtl/>
        </w:rPr>
        <w:t>ביאור הקה"י ברמב"ם דחלב הוא מגידולי הבהמה ומעורב בו חלב שחשיב כחלק מאיסור אבמה"ח</w:t>
      </w:r>
    </w:p>
    <w:p w14:paraId="06132EEB" w14:textId="77777777" w:rsidR="003D504D" w:rsidRDefault="003D504D" w:rsidP="005077A7">
      <w:pPr>
        <w:pStyle w:val="a"/>
        <w:rPr>
          <w:rFonts w:eastAsiaTheme="minorEastAsia" w:cstheme="minorBidi"/>
          <w:sz w:val="22"/>
          <w:szCs w:val="22"/>
        </w:rPr>
      </w:pPr>
      <w:r>
        <w:rPr>
          <w:rtl/>
        </w:rPr>
        <w:t>ביאור הקה"י בדברי הב"ח דמהני ביטול בשישים דדנים שחלק החלב שבא מגורם ההיתר מותר</w:t>
      </w:r>
    </w:p>
    <w:p w14:paraId="28FBB395" w14:textId="77777777" w:rsidR="003D504D" w:rsidRPr="00A22EE9" w:rsidRDefault="003D504D" w:rsidP="005077A7">
      <w:pPr>
        <w:pStyle w:val="a"/>
        <w:rPr>
          <w:rtl/>
        </w:rPr>
      </w:pPr>
      <w:r>
        <w:rPr>
          <w:rFonts w:hint="cs"/>
          <w:rtl/>
        </w:rPr>
        <w:t>דברי הקה"י דהחלב חשיב כציר של כל הבהמה וא"א להתירו מדין זה וזה גורם</w:t>
      </w:r>
    </w:p>
    <w:p w14:paraId="5B25162C" w14:textId="77777777" w:rsidR="003D504D" w:rsidRPr="00590BB1" w:rsidRDefault="003D504D" w:rsidP="003D504D">
      <w:pPr>
        <w:pStyle w:val="aff4"/>
        <w:rPr>
          <w:rtl/>
        </w:rPr>
      </w:pPr>
      <w:bookmarkStart w:id="18227" w:name="_Toc19436125"/>
      <w:bookmarkStart w:id="18228" w:name="_Toc20081307"/>
      <w:r>
        <w:rPr>
          <w:rFonts w:hint="cs"/>
          <w:rtl/>
        </w:rPr>
        <w:t xml:space="preserve">דברי </w:t>
      </w:r>
      <w:r w:rsidRPr="00590BB1">
        <w:rPr>
          <w:rFonts w:hint="cs"/>
          <w:rtl/>
        </w:rPr>
        <w:t xml:space="preserve">הקוב"ש </w:t>
      </w:r>
      <w:r>
        <w:rPr>
          <w:rFonts w:hint="cs"/>
          <w:rtl/>
        </w:rPr>
        <w:t>דבחלב שהוא תערובת לא</w:t>
      </w:r>
      <w:r w:rsidRPr="00590BB1">
        <w:rPr>
          <w:rFonts w:hint="cs"/>
          <w:rtl/>
        </w:rPr>
        <w:t xml:space="preserve"> הוי זה וזה גורם</w:t>
      </w:r>
      <w:bookmarkEnd w:id="18227"/>
      <w:bookmarkEnd w:id="18228"/>
    </w:p>
    <w:p w14:paraId="38D074EB" w14:textId="77777777" w:rsidR="003D504D" w:rsidRPr="00590BB1" w:rsidRDefault="003D504D" w:rsidP="005077A7">
      <w:pPr>
        <w:pStyle w:val="a"/>
        <w:rPr>
          <w:rtl/>
        </w:rPr>
      </w:pPr>
      <w:r>
        <w:rPr>
          <w:rFonts w:hint="cs"/>
          <w:rtl/>
        </w:rPr>
        <w:t>ביאור הקוב"ש דהתוס' לא הקשו דהוי זה וזה גורם על הספק בחלב דבתערובת לא שייך זה וזה גורם</w:t>
      </w:r>
      <w:r w:rsidRPr="009C566C">
        <w:rPr>
          <w:rFonts w:hint="cs"/>
          <w:rtl/>
        </w:rPr>
        <w:t xml:space="preserve"> </w:t>
      </w:r>
    </w:p>
    <w:p w14:paraId="30223A88" w14:textId="77777777" w:rsidR="003D504D" w:rsidRDefault="003D504D" w:rsidP="005077A7">
      <w:pPr>
        <w:pStyle w:val="a"/>
        <w:rPr>
          <w:rFonts w:eastAsiaTheme="minorEastAsia" w:cstheme="minorBidi"/>
          <w:sz w:val="22"/>
          <w:szCs w:val="22"/>
          <w:rtl/>
        </w:rPr>
      </w:pPr>
      <w:r>
        <w:rPr>
          <w:rFonts w:hint="cs"/>
          <w:rtl/>
        </w:rPr>
        <w:t>דברי הקוב"ש דכן מבואר ברמב"ם דהחלב הוא תעורבת איסור והיתר</w:t>
      </w:r>
    </w:p>
    <w:p w14:paraId="2C2C411C" w14:textId="77777777" w:rsidR="003D504D" w:rsidRDefault="003D504D" w:rsidP="003D504D">
      <w:pPr>
        <w:pStyle w:val="2"/>
        <w:rPr>
          <w:rFonts w:eastAsiaTheme="minorEastAsia" w:cstheme="minorBidi"/>
          <w:i/>
          <w:iCs/>
          <w:noProof/>
          <w:sz w:val="22"/>
          <w:szCs w:val="22"/>
          <w:rtl/>
        </w:rPr>
      </w:pPr>
      <w:bookmarkStart w:id="18229" w:name="_Toc19436126"/>
      <w:r>
        <w:rPr>
          <w:noProof/>
          <w:rtl/>
        </w:rPr>
        <w:t>הראיות מסוגיין לגדר איסור אבר היוצא</w:t>
      </w:r>
      <w:bookmarkEnd w:id="18229"/>
    </w:p>
    <w:p w14:paraId="38CA9083" w14:textId="77777777" w:rsidR="003D504D" w:rsidRDefault="003D504D" w:rsidP="003D504D">
      <w:pPr>
        <w:pStyle w:val="aff4"/>
        <w:rPr>
          <w:rFonts w:eastAsiaTheme="minorEastAsia" w:cstheme="minorBidi"/>
          <w:i/>
          <w:iCs/>
          <w:noProof/>
          <w:sz w:val="22"/>
          <w:szCs w:val="22"/>
          <w:rtl/>
        </w:rPr>
      </w:pPr>
      <w:bookmarkStart w:id="18230" w:name="_Toc19436127"/>
      <w:bookmarkStart w:id="18231" w:name="_Toc20081308"/>
      <w:r>
        <w:rPr>
          <w:noProof/>
          <w:rtl/>
        </w:rPr>
        <w:t>דברי המשנת ר"א דרש"י ותוס' נחלקו בגדר איסור אבר היוצא</w:t>
      </w:r>
      <w:bookmarkEnd w:id="18230"/>
      <w:bookmarkEnd w:id="18231"/>
    </w:p>
    <w:p w14:paraId="4E16B40D" w14:textId="77777777" w:rsidR="003D504D" w:rsidRDefault="003D504D" w:rsidP="005077A7">
      <w:pPr>
        <w:pStyle w:val="a"/>
        <w:rPr>
          <w:rFonts w:eastAsiaTheme="minorEastAsia" w:cstheme="minorBidi"/>
          <w:sz w:val="22"/>
          <w:szCs w:val="22"/>
          <w:rtl/>
        </w:rPr>
      </w:pPr>
      <w:r>
        <w:rPr>
          <w:rtl/>
        </w:rPr>
        <w:t>דברי המשנת ר"א דלתוס' באבר היוצא יש חסרון בשחיטה ואם היה אפשר לשוחטו היה מותר</w:t>
      </w:r>
    </w:p>
    <w:p w14:paraId="580634FB" w14:textId="77777777" w:rsidR="003D504D" w:rsidRDefault="003D504D" w:rsidP="005077A7">
      <w:pPr>
        <w:pStyle w:val="a"/>
        <w:rPr>
          <w:rFonts w:eastAsiaTheme="minorEastAsia" w:cstheme="minorBidi"/>
          <w:sz w:val="22"/>
          <w:szCs w:val="22"/>
          <w:rtl/>
        </w:rPr>
      </w:pPr>
      <w:r>
        <w:rPr>
          <w:rtl/>
        </w:rPr>
        <w:t>ביאור המשנת ר"א דלרש"י איסור אבר היוצא הוא מדין טריפה ולא מהני לו שחיטה</w:t>
      </w:r>
    </w:p>
    <w:p w14:paraId="012B6E5C" w14:textId="77777777" w:rsidR="003D504D" w:rsidRDefault="003D504D" w:rsidP="003D504D">
      <w:pPr>
        <w:pStyle w:val="aff4"/>
        <w:rPr>
          <w:rFonts w:eastAsiaTheme="minorEastAsia" w:cstheme="minorBidi"/>
          <w:i/>
          <w:iCs/>
          <w:noProof/>
          <w:sz w:val="22"/>
          <w:szCs w:val="22"/>
          <w:rtl/>
        </w:rPr>
      </w:pPr>
      <w:bookmarkStart w:id="18232" w:name="_Toc19436128"/>
      <w:bookmarkStart w:id="18233" w:name="_Toc20081309"/>
      <w:r>
        <w:rPr>
          <w:noProof/>
          <w:rtl/>
        </w:rPr>
        <w:t>ביאור הגר"ח דמוכח בסוגיין דהאבר היוצא אסור בב' איסורים</w:t>
      </w:r>
      <w:bookmarkEnd w:id="18232"/>
      <w:bookmarkEnd w:id="18233"/>
    </w:p>
    <w:p w14:paraId="7A35657B" w14:textId="77777777" w:rsidR="003D504D" w:rsidRDefault="003D504D" w:rsidP="005077A7">
      <w:pPr>
        <w:pStyle w:val="a"/>
        <w:rPr>
          <w:rFonts w:eastAsiaTheme="minorEastAsia" w:cstheme="minorBidi"/>
          <w:sz w:val="22"/>
          <w:szCs w:val="22"/>
          <w:rtl/>
        </w:rPr>
      </w:pPr>
      <w:r>
        <w:rPr>
          <w:rtl/>
        </w:rPr>
        <w:t>דברי הגר"ח דלהרמב"ם האבר אסור מכח צירוף ב' איסורים אבמה"ח  וגם בשר בשדה טריפה</w:t>
      </w:r>
    </w:p>
    <w:p w14:paraId="6D832A60" w14:textId="77777777" w:rsidR="003D504D" w:rsidRDefault="003D504D" w:rsidP="005077A7">
      <w:pPr>
        <w:pStyle w:val="a"/>
        <w:rPr>
          <w:rFonts w:eastAsiaTheme="minorEastAsia" w:cstheme="minorBidi"/>
          <w:sz w:val="22"/>
          <w:szCs w:val="22"/>
          <w:rtl/>
        </w:rPr>
      </w:pPr>
      <w:r>
        <w:rPr>
          <w:rtl/>
        </w:rPr>
        <w:t>דברי הגר"ח דמספק הגמ' בשתית חלב מוכח דלולא איסור אבמה"ח לא היה נאסר בטריפה</w:t>
      </w:r>
    </w:p>
    <w:p w14:paraId="5BFD92A5" w14:textId="77777777" w:rsidR="003D504D" w:rsidRDefault="003D504D" w:rsidP="003D504D">
      <w:pPr>
        <w:pStyle w:val="aff4"/>
        <w:rPr>
          <w:rFonts w:eastAsiaTheme="minorEastAsia" w:cstheme="minorBidi"/>
          <w:i/>
          <w:iCs/>
          <w:noProof/>
          <w:sz w:val="22"/>
          <w:szCs w:val="22"/>
          <w:rtl/>
        </w:rPr>
      </w:pPr>
      <w:bookmarkStart w:id="18234" w:name="_Toc19436129"/>
      <w:bookmarkStart w:id="18235" w:name="_Toc20081310"/>
      <w:r>
        <w:rPr>
          <w:noProof/>
          <w:rtl/>
        </w:rPr>
        <w:t>דברי הגר"ח דהספק בחלב הוא דיש הגזיה"כ דלא מהני שחיטה</w:t>
      </w:r>
      <w:bookmarkEnd w:id="18234"/>
      <w:bookmarkEnd w:id="18235"/>
    </w:p>
    <w:p w14:paraId="29EFA1D4" w14:textId="77777777" w:rsidR="003D504D" w:rsidRDefault="003D504D" w:rsidP="005077A7">
      <w:pPr>
        <w:pStyle w:val="a"/>
        <w:rPr>
          <w:rFonts w:eastAsiaTheme="minorEastAsia" w:cstheme="minorBidi"/>
          <w:sz w:val="22"/>
          <w:szCs w:val="22"/>
          <w:rtl/>
        </w:rPr>
      </w:pPr>
      <w:r>
        <w:rPr>
          <w:rtl/>
        </w:rPr>
        <w:t>קושית הגר"ח דאי איסור אבר היוצא הוא דא"א לשוחטו א"כ החלב מותר דא"צ שחיטה</w:t>
      </w:r>
    </w:p>
    <w:p w14:paraId="69200C58" w14:textId="77777777" w:rsidR="003D504D" w:rsidRDefault="003D504D" w:rsidP="005077A7">
      <w:pPr>
        <w:pStyle w:val="a"/>
        <w:rPr>
          <w:rFonts w:eastAsiaTheme="minorEastAsia" w:cstheme="minorBidi"/>
          <w:sz w:val="22"/>
          <w:szCs w:val="22"/>
          <w:rtl/>
        </w:rPr>
      </w:pPr>
      <w:r>
        <w:rPr>
          <w:rtl/>
        </w:rPr>
        <w:t>ביאור הגר"ח דיש גזיה"כ דאף אם היה מהני שחיטה האבר היוצא אסור וזהו הספק בחלב</w:t>
      </w:r>
    </w:p>
    <w:p w14:paraId="0D866D01" w14:textId="77777777" w:rsidR="003D504D" w:rsidRDefault="003D504D" w:rsidP="003D504D">
      <w:pPr>
        <w:pStyle w:val="aff4"/>
        <w:rPr>
          <w:rFonts w:eastAsiaTheme="minorEastAsia" w:cstheme="minorBidi"/>
          <w:i/>
          <w:iCs/>
          <w:noProof/>
          <w:sz w:val="22"/>
          <w:szCs w:val="22"/>
          <w:rtl/>
        </w:rPr>
      </w:pPr>
      <w:bookmarkStart w:id="18236" w:name="_Toc19436130"/>
      <w:bookmarkStart w:id="18237" w:name="_Toc20081311"/>
      <w:r>
        <w:rPr>
          <w:noProof/>
          <w:rtl/>
        </w:rPr>
        <w:t>דברי האמרי משה דמשמע ברשב"א דהעובר אינו כשחוט</w:t>
      </w:r>
      <w:bookmarkEnd w:id="18236"/>
      <w:bookmarkEnd w:id="18237"/>
    </w:p>
    <w:p w14:paraId="79107B74" w14:textId="77777777" w:rsidR="003D504D" w:rsidRDefault="003D504D" w:rsidP="005077A7">
      <w:pPr>
        <w:pStyle w:val="a"/>
        <w:rPr>
          <w:rFonts w:eastAsiaTheme="minorEastAsia" w:cstheme="minorBidi"/>
          <w:sz w:val="22"/>
          <w:szCs w:val="22"/>
          <w:rtl/>
        </w:rPr>
      </w:pPr>
      <w:r>
        <w:rPr>
          <w:rtl/>
        </w:rPr>
        <w:t>דברי האמרי משה דמבואר ברשב"א דהעובר אינו כשחוט אלא יש בו דין היתר מגזיה"כ</w:t>
      </w:r>
    </w:p>
    <w:p w14:paraId="085D04E9" w14:textId="77777777" w:rsidR="003D504D" w:rsidRDefault="003D504D" w:rsidP="005077A7">
      <w:pPr>
        <w:pStyle w:val="a"/>
        <w:rPr>
          <w:rFonts w:eastAsiaTheme="minorEastAsia" w:cstheme="minorBidi"/>
          <w:sz w:val="22"/>
          <w:szCs w:val="22"/>
          <w:rtl/>
        </w:rPr>
      </w:pPr>
      <w:r>
        <w:rPr>
          <w:rtl/>
        </w:rPr>
        <w:t>דחיית האמרי משה דאי העובר אינו כשחוט האבר היוצא אסור ממילא וא"צ קרא לאוסרו</w:t>
      </w:r>
    </w:p>
    <w:p w14:paraId="7392042E" w14:textId="77777777" w:rsidR="003D504D" w:rsidRDefault="003D504D" w:rsidP="003D504D">
      <w:pPr>
        <w:pStyle w:val="aff4"/>
        <w:rPr>
          <w:rFonts w:eastAsiaTheme="minorEastAsia" w:cstheme="minorBidi"/>
          <w:i/>
          <w:iCs/>
          <w:noProof/>
          <w:sz w:val="22"/>
          <w:szCs w:val="22"/>
          <w:rtl/>
        </w:rPr>
      </w:pPr>
      <w:bookmarkStart w:id="18238" w:name="_Toc19436131"/>
      <w:bookmarkStart w:id="18239" w:name="_Toc20081312"/>
      <w:r>
        <w:rPr>
          <w:noProof/>
          <w:rtl/>
        </w:rPr>
        <w:t>ביאור האמרי משה דאף לדעת הרשב"א דינו כשחוט</w:t>
      </w:r>
      <w:bookmarkEnd w:id="18238"/>
      <w:bookmarkEnd w:id="18239"/>
    </w:p>
    <w:p w14:paraId="43B758FD" w14:textId="77777777" w:rsidR="003D504D" w:rsidRDefault="003D504D" w:rsidP="005077A7">
      <w:pPr>
        <w:pStyle w:val="a"/>
        <w:rPr>
          <w:rFonts w:eastAsiaTheme="minorEastAsia" w:cstheme="minorBidi"/>
          <w:sz w:val="22"/>
          <w:szCs w:val="22"/>
          <w:rtl/>
        </w:rPr>
      </w:pPr>
      <w:r>
        <w:rPr>
          <w:rtl/>
        </w:rPr>
        <w:t>ביאור האמרי משה דכוונת הרשב"א לומר דאין באבר איסור מצד עצמו אלא שלא חלה השחיטה</w:t>
      </w:r>
    </w:p>
    <w:p w14:paraId="6BDDBA8C" w14:textId="77777777" w:rsidR="003D504D" w:rsidRDefault="003D504D" w:rsidP="003D504D">
      <w:pPr>
        <w:pStyle w:val="aff4"/>
        <w:rPr>
          <w:rFonts w:eastAsiaTheme="minorEastAsia" w:cstheme="minorBidi"/>
          <w:i/>
          <w:iCs/>
          <w:noProof/>
          <w:sz w:val="22"/>
          <w:szCs w:val="22"/>
          <w:rtl/>
        </w:rPr>
      </w:pPr>
      <w:bookmarkStart w:id="18240" w:name="_Toc19436132"/>
      <w:bookmarkStart w:id="18241" w:name="_Toc20081313"/>
      <w:r>
        <w:rPr>
          <w:noProof/>
          <w:rtl/>
        </w:rPr>
        <w:t>דברי האמרי משה דמסוגיין מוכח דהשחיטה מהני לאבר היוצא</w:t>
      </w:r>
      <w:bookmarkEnd w:id="18240"/>
      <w:bookmarkEnd w:id="18241"/>
    </w:p>
    <w:p w14:paraId="344A887E" w14:textId="77777777" w:rsidR="003D504D" w:rsidRDefault="003D504D" w:rsidP="005077A7">
      <w:pPr>
        <w:pStyle w:val="a"/>
        <w:rPr>
          <w:rFonts w:eastAsiaTheme="minorEastAsia" w:cstheme="minorBidi"/>
          <w:sz w:val="22"/>
          <w:szCs w:val="22"/>
          <w:rtl/>
        </w:rPr>
      </w:pPr>
      <w:r>
        <w:rPr>
          <w:rtl/>
        </w:rPr>
        <w:t>דברי האמרי משה ברמב"ם דממסקנת הגמ' דולד מכח אבר היוצא מותר מוכח דאיסורו מדין טריפה</w:t>
      </w:r>
    </w:p>
    <w:p w14:paraId="2A631886" w14:textId="77777777" w:rsidR="003D504D" w:rsidRDefault="003D504D" w:rsidP="005077A7">
      <w:pPr>
        <w:pStyle w:val="a"/>
        <w:rPr>
          <w:rFonts w:eastAsiaTheme="minorEastAsia" w:cstheme="minorBidi"/>
          <w:sz w:val="22"/>
          <w:szCs w:val="22"/>
          <w:rtl/>
        </w:rPr>
      </w:pPr>
      <w:r>
        <w:rPr>
          <w:rtl/>
        </w:rPr>
        <w:t>דברי האמרי משה דאי אבר היוצא אינו כשחוט לא שייך להתיר את הולד שלא נשחט כולו</w:t>
      </w:r>
    </w:p>
    <w:p w14:paraId="36B0A2D9" w14:textId="77777777" w:rsidR="003D504D" w:rsidRDefault="003D504D" w:rsidP="005077A7">
      <w:pPr>
        <w:pStyle w:val="a"/>
        <w:rPr>
          <w:rFonts w:eastAsiaTheme="minorEastAsia" w:cstheme="minorBidi"/>
          <w:sz w:val="22"/>
          <w:szCs w:val="22"/>
          <w:rtl/>
        </w:rPr>
      </w:pPr>
      <w:r>
        <w:rPr>
          <w:rtl/>
        </w:rPr>
        <w:t>דברי האמרי משה דא"א להתיר מדין זה וזה גורם דהא צריך להתירו אף שלא נשחט</w:t>
      </w:r>
    </w:p>
    <w:p w14:paraId="31643454" w14:textId="77777777" w:rsidR="003D504D" w:rsidRDefault="003D504D" w:rsidP="005077A7">
      <w:pPr>
        <w:pStyle w:val="a"/>
        <w:rPr>
          <w:rFonts w:eastAsiaTheme="minorEastAsia" w:cstheme="minorBidi"/>
          <w:sz w:val="22"/>
          <w:szCs w:val="22"/>
          <w:rtl/>
        </w:rPr>
      </w:pPr>
      <w:r>
        <w:rPr>
          <w:rtl/>
        </w:rPr>
        <w:t>דברי האמרי משה דאי האבר היוצא אסור מדין טריפה דמי לחֵלֶב ודם דכל מכח לא אמרינן</w:t>
      </w:r>
    </w:p>
    <w:p w14:paraId="6C3837A8" w14:textId="77777777" w:rsidR="003D504D" w:rsidRDefault="003D504D" w:rsidP="005077A7">
      <w:pPr>
        <w:pStyle w:val="a"/>
        <w:rPr>
          <w:rFonts w:eastAsiaTheme="minorEastAsia" w:cstheme="minorBidi"/>
          <w:sz w:val="22"/>
          <w:szCs w:val="22"/>
          <w:rtl/>
        </w:rPr>
      </w:pPr>
      <w:r>
        <w:rPr>
          <w:rtl/>
        </w:rPr>
        <w:t>דברי האמרי משה דלפי"ז קשה על הרמב"ם והראב"ד את קושית הרשב"א מספק הגמ' בחלב</w:t>
      </w:r>
    </w:p>
    <w:p w14:paraId="43BC0A43" w14:textId="77777777" w:rsidR="003D504D" w:rsidRDefault="003D504D" w:rsidP="003D504D">
      <w:pPr>
        <w:pStyle w:val="aff4"/>
        <w:rPr>
          <w:rFonts w:eastAsiaTheme="minorEastAsia" w:cstheme="minorBidi"/>
          <w:i/>
          <w:iCs/>
          <w:noProof/>
          <w:sz w:val="22"/>
          <w:szCs w:val="22"/>
          <w:rtl/>
        </w:rPr>
      </w:pPr>
      <w:bookmarkStart w:id="18242" w:name="_Toc19436133"/>
      <w:bookmarkStart w:id="18243" w:name="_Toc20081314"/>
      <w:r>
        <w:rPr>
          <w:noProof/>
          <w:rtl/>
        </w:rPr>
        <w:t>ביאור האמרי משה דהאבר היוצא נשחט אך אינו מותר בשחיטה</w:t>
      </w:r>
      <w:bookmarkEnd w:id="18242"/>
      <w:bookmarkEnd w:id="18243"/>
    </w:p>
    <w:p w14:paraId="1FE28B47" w14:textId="77777777" w:rsidR="003D504D" w:rsidRDefault="003D504D" w:rsidP="005077A7">
      <w:pPr>
        <w:pStyle w:val="a"/>
        <w:rPr>
          <w:rFonts w:eastAsiaTheme="minorEastAsia" w:cstheme="minorBidi"/>
          <w:sz w:val="22"/>
          <w:szCs w:val="22"/>
          <w:rtl/>
        </w:rPr>
      </w:pPr>
      <w:r>
        <w:rPr>
          <w:rtl/>
        </w:rPr>
        <w:t>דברי האמר"מ דגלי קרא דבשר בשדה טריפה דלענין אכילה ל"מ השחיטה והוי כבשר מהחי</w:t>
      </w:r>
    </w:p>
    <w:p w14:paraId="5105DB97" w14:textId="77777777" w:rsidR="003D504D" w:rsidRDefault="003D504D" w:rsidP="005077A7">
      <w:pPr>
        <w:pStyle w:val="a"/>
        <w:rPr>
          <w:rFonts w:eastAsiaTheme="minorEastAsia" w:cstheme="minorBidi"/>
          <w:sz w:val="22"/>
          <w:szCs w:val="22"/>
          <w:rtl/>
        </w:rPr>
      </w:pPr>
      <w:r>
        <w:rPr>
          <w:rtl/>
        </w:rPr>
        <w:t>ישוב האמרי משה לדעת הרמב"ם והראב"ד מקושית הרשב"א דגילתה תורה שהוא כאבמה"ח</w:t>
      </w:r>
    </w:p>
    <w:p w14:paraId="68C5FD8E" w14:textId="77777777" w:rsidR="003D504D" w:rsidRDefault="003D504D" w:rsidP="003D504D">
      <w:pPr>
        <w:pStyle w:val="aff4"/>
        <w:rPr>
          <w:rFonts w:eastAsiaTheme="minorEastAsia" w:cstheme="minorBidi"/>
          <w:i/>
          <w:iCs/>
          <w:noProof/>
          <w:sz w:val="22"/>
          <w:szCs w:val="22"/>
          <w:rtl/>
        </w:rPr>
      </w:pPr>
      <w:bookmarkStart w:id="18244" w:name="_Toc19436134"/>
      <w:bookmarkStart w:id="18245" w:name="_Toc20081315"/>
      <w:r>
        <w:rPr>
          <w:noProof/>
          <w:rtl/>
        </w:rPr>
        <w:t>ביאור האמרי משה בהיתר ולד הבא מכח אבר היוצא</w:t>
      </w:r>
      <w:bookmarkEnd w:id="18244"/>
      <w:bookmarkEnd w:id="18245"/>
    </w:p>
    <w:p w14:paraId="0E9D184A" w14:textId="77777777" w:rsidR="003D504D" w:rsidRDefault="003D504D" w:rsidP="005077A7">
      <w:pPr>
        <w:pStyle w:val="a"/>
        <w:rPr>
          <w:rFonts w:eastAsiaTheme="minorEastAsia" w:cstheme="minorBidi"/>
          <w:sz w:val="22"/>
          <w:szCs w:val="22"/>
          <w:rtl/>
        </w:rPr>
      </w:pPr>
      <w:r>
        <w:rPr>
          <w:rtl/>
        </w:rPr>
        <w:t>דחיית האמרי משה דמהצד דולד הבא מכח אבר היוצא מותר מוכח דדינו כשחוט</w:t>
      </w:r>
    </w:p>
    <w:p w14:paraId="3BB99158" w14:textId="77777777" w:rsidR="003D504D" w:rsidRDefault="003D504D" w:rsidP="005077A7">
      <w:pPr>
        <w:pStyle w:val="a"/>
        <w:rPr>
          <w:rFonts w:eastAsiaTheme="minorEastAsia" w:cstheme="minorBidi"/>
          <w:sz w:val="22"/>
          <w:szCs w:val="22"/>
          <w:rtl/>
        </w:rPr>
      </w:pPr>
      <w:r>
        <w:rPr>
          <w:rtl/>
        </w:rPr>
        <w:t>דברי האמרי משה דהצד דולד הבא מכח אבר היוצא מותר בלא שחיטה הוא כיון דאף האב כשחוט</w:t>
      </w:r>
    </w:p>
    <w:p w14:paraId="5909BB3A" w14:textId="77777777" w:rsidR="003D504D" w:rsidRDefault="003D504D" w:rsidP="005077A7">
      <w:pPr>
        <w:pStyle w:val="a"/>
        <w:rPr>
          <w:rtl/>
        </w:rPr>
        <w:sectPr w:rsidR="003D504D" w:rsidSect="007C6A7B">
          <w:type w:val="continuous"/>
          <w:pgSz w:w="11906" w:h="16838"/>
          <w:pgMar w:top="720" w:right="720" w:bottom="720" w:left="720" w:header="283" w:footer="283" w:gutter="0"/>
          <w:cols w:num="2" w:space="113"/>
          <w:bidi/>
          <w:rtlGutter/>
          <w:docGrid w:linePitch="299"/>
        </w:sectPr>
      </w:pPr>
      <w:r>
        <w:rPr>
          <w:rtl/>
        </w:rPr>
        <w:t>ישוב האמרי משה לדעת הרמב"ם מקושית הרשב"א דאיסורו מחסרון שחיטה כאבמה"ח</w:t>
      </w:r>
    </w:p>
    <w:p w14:paraId="65608D3D" w14:textId="77777777" w:rsidR="003D504D" w:rsidRDefault="003D504D" w:rsidP="005077A7">
      <w:pPr>
        <w:pStyle w:val="a"/>
        <w:numPr>
          <w:ilvl w:val="0"/>
          <w:numId w:val="0"/>
        </w:numPr>
        <w:ind w:left="567"/>
        <w:rPr>
          <w:rtl/>
        </w:rPr>
      </w:pPr>
    </w:p>
    <w:p w14:paraId="44174FF3" w14:textId="77777777" w:rsidR="003D504D" w:rsidRPr="00B06D6B" w:rsidRDefault="003D504D" w:rsidP="003D504D">
      <w:pPr>
        <w:pStyle w:val="aff4"/>
        <w:rPr>
          <w:rtl/>
        </w:rPr>
        <w:sectPr w:rsidR="003D504D" w:rsidRPr="00B06D6B" w:rsidSect="007C6A7B">
          <w:type w:val="continuous"/>
          <w:pgSz w:w="11906" w:h="16838"/>
          <w:pgMar w:top="720" w:right="720" w:bottom="720" w:left="720" w:header="283" w:footer="283" w:gutter="0"/>
          <w:cols w:num="2" w:space="113"/>
          <w:bidi/>
          <w:rtlGutter/>
          <w:docGrid w:linePitch="299"/>
        </w:sectPr>
      </w:pPr>
      <w:r w:rsidRPr="00B06D6B">
        <w:rPr>
          <w:rtl/>
        </w:rPr>
        <w:fldChar w:fldCharType="end"/>
      </w:r>
    </w:p>
    <w:p w14:paraId="4D63019B" w14:textId="77777777" w:rsidR="003D504D" w:rsidRPr="00B06D6B" w:rsidRDefault="003D504D" w:rsidP="003D504D">
      <w:pPr>
        <w:pStyle w:val="afe"/>
        <w:rPr>
          <w:rtl/>
        </w:rPr>
      </w:pPr>
      <w:bookmarkStart w:id="18246" w:name="_Toc536775930"/>
      <w:bookmarkStart w:id="18247" w:name="_Toc536775959"/>
      <w:bookmarkStart w:id="18248" w:name="_Toc536786967"/>
      <w:bookmarkStart w:id="18249" w:name="_Toc536786992"/>
      <w:bookmarkStart w:id="18250" w:name="_Toc519027"/>
      <w:bookmarkStart w:id="18251" w:name="_Toc725006"/>
      <w:bookmarkStart w:id="18252" w:name="_Toc773225"/>
      <w:bookmarkStart w:id="18253" w:name="_Toc862064"/>
      <w:bookmarkStart w:id="18254" w:name="_Toc890696"/>
      <w:bookmarkStart w:id="18255" w:name="_Toc903090"/>
      <w:bookmarkStart w:id="18256" w:name="_Toc955461"/>
      <w:bookmarkStart w:id="18257" w:name="_Toc955754"/>
      <w:bookmarkStart w:id="18258" w:name="_Toc1039394"/>
      <w:bookmarkStart w:id="18259" w:name="_Toc1040637"/>
      <w:bookmarkStart w:id="18260" w:name="_Toc1063529"/>
      <w:bookmarkStart w:id="18261" w:name="_Toc1111961"/>
      <w:bookmarkStart w:id="18262" w:name="_Toc1123826"/>
      <w:bookmarkStart w:id="18263" w:name="_Toc19436135"/>
      <w:bookmarkStart w:id="18264" w:name="_Toc20081316"/>
      <w:r w:rsidRPr="00B06D6B">
        <w:rPr>
          <w:rFonts w:hint="cs"/>
          <w:rtl/>
        </w:rPr>
        <w:t>מראי מקומות וביאורים על הסוגיא</w:t>
      </w:r>
      <w:bookmarkEnd w:id="18246"/>
      <w:bookmarkEnd w:id="18247"/>
      <w:bookmarkEnd w:id="18248"/>
      <w:bookmarkEnd w:id="18249"/>
      <w:bookmarkEnd w:id="18250"/>
      <w:bookmarkEnd w:id="18251"/>
      <w:bookmarkEnd w:id="18252"/>
      <w:bookmarkEnd w:id="18253"/>
      <w:bookmarkEnd w:id="18254"/>
      <w:bookmarkEnd w:id="18255"/>
      <w:bookmarkEnd w:id="18256"/>
      <w:bookmarkEnd w:id="18257"/>
      <w:bookmarkEnd w:id="18258"/>
      <w:bookmarkEnd w:id="18259"/>
      <w:bookmarkEnd w:id="18260"/>
      <w:bookmarkEnd w:id="18261"/>
      <w:bookmarkEnd w:id="18262"/>
      <w:bookmarkEnd w:id="18263"/>
      <w:bookmarkEnd w:id="18264"/>
    </w:p>
    <w:p w14:paraId="6A417976" w14:textId="77777777" w:rsidR="003D504D" w:rsidRPr="00B06D6B" w:rsidRDefault="003D504D" w:rsidP="003D504D">
      <w:pPr>
        <w:pStyle w:val="2"/>
        <w:keepNext w:val="0"/>
        <w:keepLines w:val="0"/>
        <w:bidi w:val="0"/>
        <w:rPr>
          <w:rFonts w:asciiTheme="minorHAnsi" w:hAnsiTheme="minorHAnsi"/>
          <w:bCs/>
          <w:sz w:val="18"/>
          <w:szCs w:val="28"/>
          <w:rtl/>
        </w:rPr>
        <w:sectPr w:rsidR="003D504D" w:rsidRPr="00B06D6B" w:rsidSect="003D504D">
          <w:pgSz w:w="11906" w:h="16838"/>
          <w:pgMar w:top="720" w:right="720" w:bottom="720" w:left="720" w:header="283" w:footer="283" w:gutter="0"/>
          <w:cols w:space="720"/>
          <w:bidi/>
          <w:rtlGutter/>
          <w:docGrid w:linePitch="299"/>
        </w:sectPr>
      </w:pPr>
    </w:p>
    <w:p w14:paraId="6CDDA21E" w14:textId="77777777" w:rsidR="003D504D" w:rsidRPr="00B06D6B" w:rsidRDefault="003D504D" w:rsidP="003D504D">
      <w:pPr>
        <w:pStyle w:val="afe"/>
        <w:rPr>
          <w:rtl/>
        </w:rPr>
      </w:pPr>
      <w:bookmarkStart w:id="18265" w:name="_Toc536775931"/>
      <w:bookmarkStart w:id="18266" w:name="_Toc536775960"/>
      <w:bookmarkStart w:id="18267" w:name="_Toc536786968"/>
      <w:bookmarkStart w:id="18268" w:name="_Toc536786993"/>
      <w:bookmarkStart w:id="18269" w:name="_Toc519028"/>
      <w:bookmarkStart w:id="18270" w:name="_Toc725007"/>
      <w:bookmarkStart w:id="18271" w:name="_Toc773226"/>
      <w:bookmarkStart w:id="18272" w:name="_Toc862065"/>
      <w:bookmarkStart w:id="18273" w:name="_Toc890697"/>
      <w:bookmarkStart w:id="18274" w:name="_Toc903091"/>
      <w:bookmarkStart w:id="18275" w:name="_Toc955462"/>
      <w:bookmarkStart w:id="18276" w:name="_Toc955755"/>
      <w:bookmarkStart w:id="18277" w:name="_Toc1039395"/>
      <w:bookmarkStart w:id="18278" w:name="_Toc1040638"/>
      <w:bookmarkStart w:id="18279" w:name="_Toc1063530"/>
      <w:bookmarkStart w:id="18280" w:name="_Toc1111962"/>
      <w:bookmarkStart w:id="18281" w:name="_Toc1123827"/>
      <w:bookmarkStart w:id="18282" w:name="_Toc19436136"/>
      <w:bookmarkStart w:id="18283" w:name="_Toc20081317"/>
      <w:r w:rsidRPr="00B06D6B">
        <w:rPr>
          <w:rFonts w:hint="cs"/>
          <w:rtl/>
        </w:rPr>
        <w:t>ב</w:t>
      </w:r>
      <w:r>
        <w:rPr>
          <w:rFonts w:hint="cs"/>
          <w:rtl/>
        </w:rPr>
        <w:t>דין בן פקועה ש</w:t>
      </w:r>
      <w:r w:rsidRPr="00B06D6B">
        <w:rPr>
          <w:rFonts w:hint="cs"/>
          <w:rtl/>
        </w:rPr>
        <w:t xml:space="preserve">בא על בהמה </w:t>
      </w:r>
      <w:r>
        <w:rPr>
          <w:rFonts w:hint="cs"/>
          <w:rtl/>
        </w:rPr>
        <w:t>מ</w:t>
      </w:r>
      <w:r w:rsidRPr="00B06D6B">
        <w:rPr>
          <w:rFonts w:hint="cs"/>
          <w:rtl/>
        </w:rPr>
        <w:t>עלמא</w:t>
      </w:r>
      <w:bookmarkEnd w:id="18265"/>
      <w:bookmarkEnd w:id="18266"/>
      <w:bookmarkEnd w:id="18267"/>
      <w:bookmarkEnd w:id="18268"/>
      <w:bookmarkEnd w:id="18269"/>
      <w:bookmarkEnd w:id="18270"/>
      <w:bookmarkEnd w:id="18271"/>
      <w:bookmarkEnd w:id="18272"/>
      <w:bookmarkEnd w:id="18273"/>
      <w:bookmarkEnd w:id="18274"/>
      <w:bookmarkEnd w:id="18275"/>
      <w:bookmarkEnd w:id="18276"/>
      <w:bookmarkEnd w:id="18277"/>
      <w:bookmarkEnd w:id="18278"/>
      <w:bookmarkEnd w:id="18279"/>
      <w:bookmarkEnd w:id="18280"/>
      <w:bookmarkEnd w:id="18281"/>
      <w:bookmarkEnd w:id="18282"/>
      <w:bookmarkEnd w:id="18283"/>
    </w:p>
    <w:p w14:paraId="0DA15B94" w14:textId="77777777" w:rsidR="003D504D" w:rsidRPr="00B06D6B" w:rsidRDefault="003D504D" w:rsidP="00BF39B2">
      <w:pPr>
        <w:pStyle w:val="1"/>
        <w:rPr>
          <w:rtl/>
        </w:rPr>
      </w:pPr>
      <w:bookmarkStart w:id="18284" w:name="_Toc536775932"/>
      <w:bookmarkStart w:id="18285" w:name="_Toc536775961"/>
      <w:bookmarkStart w:id="18286" w:name="_Toc536786969"/>
      <w:bookmarkStart w:id="18287" w:name="_Toc536786994"/>
      <w:bookmarkStart w:id="18288" w:name="_Toc519029"/>
      <w:bookmarkStart w:id="18289" w:name="_Toc725008"/>
      <w:bookmarkStart w:id="18290" w:name="_Toc773227"/>
      <w:bookmarkStart w:id="18291" w:name="_Toc862066"/>
      <w:bookmarkStart w:id="18292" w:name="_Toc890698"/>
      <w:bookmarkStart w:id="18293" w:name="_Toc903092"/>
      <w:bookmarkStart w:id="18294" w:name="_Toc955463"/>
      <w:bookmarkStart w:id="18295" w:name="_Toc955756"/>
      <w:bookmarkStart w:id="18296" w:name="_Toc1039396"/>
      <w:bookmarkStart w:id="18297" w:name="_Toc1040639"/>
      <w:bookmarkStart w:id="18298" w:name="_Toc1063531"/>
      <w:bookmarkStart w:id="18299" w:name="_Toc1111963"/>
      <w:bookmarkStart w:id="18300" w:name="_Toc1123828"/>
      <w:bookmarkStart w:id="18301" w:name="_Toc19391347"/>
      <w:bookmarkStart w:id="18302" w:name="_Toc19394844"/>
      <w:r w:rsidRPr="00B06D6B">
        <w:rPr>
          <w:rFonts w:hint="cs"/>
          <w:rtl/>
        </w:rPr>
        <w:t xml:space="preserve">דעת רש"י </w:t>
      </w:r>
      <w:bookmarkEnd w:id="18284"/>
      <w:bookmarkEnd w:id="18285"/>
      <w:bookmarkEnd w:id="18286"/>
      <w:bookmarkEnd w:id="18287"/>
      <w:bookmarkEnd w:id="18288"/>
      <w:bookmarkEnd w:id="18289"/>
      <w:bookmarkEnd w:id="18290"/>
      <w:bookmarkEnd w:id="18291"/>
      <w:r>
        <w:rPr>
          <w:rFonts w:hint="cs"/>
          <w:rtl/>
        </w:rPr>
        <w:t>דהוי חצי שחוט ושחיטתו פסולה מדין שהייה</w:t>
      </w:r>
      <w:bookmarkEnd w:id="18292"/>
      <w:bookmarkEnd w:id="18293"/>
      <w:bookmarkEnd w:id="18294"/>
      <w:bookmarkEnd w:id="18295"/>
      <w:bookmarkEnd w:id="18296"/>
      <w:bookmarkEnd w:id="18297"/>
      <w:bookmarkEnd w:id="18298"/>
      <w:bookmarkEnd w:id="18299"/>
      <w:bookmarkEnd w:id="18300"/>
      <w:bookmarkEnd w:id="18301"/>
      <w:bookmarkEnd w:id="18302"/>
      <w:r>
        <w:rPr>
          <w:rFonts w:hint="cs"/>
          <w:rtl/>
        </w:rPr>
        <w:t xml:space="preserve"> </w:t>
      </w:r>
    </w:p>
    <w:p w14:paraId="0242E7DA" w14:textId="77777777" w:rsidR="003D504D" w:rsidRPr="00B06D6B" w:rsidRDefault="003D504D" w:rsidP="003D504D">
      <w:pPr>
        <w:pStyle w:val="a3"/>
        <w:rPr>
          <w:rtl/>
        </w:rPr>
      </w:pPr>
      <w:bookmarkStart w:id="18303" w:name="_Toc862067"/>
      <w:bookmarkStart w:id="18304" w:name="_Toc890699"/>
      <w:bookmarkStart w:id="18305" w:name="_Toc903093"/>
      <w:bookmarkStart w:id="18306" w:name="_Toc955464"/>
      <w:bookmarkStart w:id="18307" w:name="_Toc955757"/>
      <w:bookmarkStart w:id="18308" w:name="_Toc1039397"/>
      <w:bookmarkStart w:id="18309" w:name="_Toc1040640"/>
      <w:bookmarkStart w:id="18310" w:name="_Toc1063532"/>
      <w:bookmarkStart w:id="18311" w:name="_Toc1111964"/>
      <w:bookmarkStart w:id="18312" w:name="_Toc1123829"/>
      <w:bookmarkStart w:id="18313" w:name="_Toc19391348"/>
      <w:bookmarkStart w:id="18314" w:name="_Toc19394845"/>
      <w:r>
        <w:rPr>
          <w:rFonts w:hint="cs"/>
          <w:rtl/>
        </w:rPr>
        <w:t>דברי רש"י דחצי מסימני העובר חשיבי כשחוטים או דסימן אחד חשיב כשחוט ול"מ בו שחיטה</w:t>
      </w:r>
      <w:bookmarkEnd w:id="18303"/>
      <w:bookmarkEnd w:id="18304"/>
      <w:bookmarkEnd w:id="18305"/>
      <w:bookmarkEnd w:id="18306"/>
      <w:bookmarkEnd w:id="18307"/>
      <w:bookmarkEnd w:id="18308"/>
      <w:bookmarkEnd w:id="18309"/>
      <w:bookmarkEnd w:id="18310"/>
      <w:bookmarkEnd w:id="18311"/>
      <w:bookmarkEnd w:id="18312"/>
      <w:bookmarkEnd w:id="18313"/>
      <w:bookmarkEnd w:id="18314"/>
    </w:p>
    <w:p w14:paraId="5BC55AAE" w14:textId="77777777" w:rsidR="003D504D" w:rsidRPr="00B06D6B" w:rsidRDefault="003D504D" w:rsidP="00E12979">
      <w:pPr>
        <w:pStyle w:val="a0"/>
        <w:numPr>
          <w:ilvl w:val="0"/>
          <w:numId w:val="36"/>
        </w:numPr>
        <w:rPr>
          <w:rtl/>
        </w:rPr>
      </w:pPr>
      <w:r w:rsidRPr="00B06D6B">
        <w:rPr>
          <w:rFonts w:hint="cs"/>
          <w:rtl/>
        </w:rPr>
        <w:t xml:space="preserve">כתב </w:t>
      </w:r>
      <w:r w:rsidRPr="00B06D6B">
        <w:rPr>
          <w:rStyle w:val="af9"/>
          <w:rFonts w:hint="cs"/>
          <w:rtl/>
        </w:rPr>
        <w:t>רש"י</w:t>
      </w:r>
      <w:r w:rsidRPr="00B06D6B">
        <w:rPr>
          <w:rFonts w:hint="cs"/>
          <w:rtl/>
        </w:rPr>
        <w:t xml:space="preserve"> </w:t>
      </w:r>
      <w:r w:rsidRPr="00223668">
        <w:rPr>
          <w:rStyle w:val="af7"/>
          <w:rFonts w:eastAsia="Guttman Hodes" w:hint="cs"/>
          <w:rtl/>
        </w:rPr>
        <w:t>(ד"ה אין לו)</w:t>
      </w:r>
      <w:r w:rsidRPr="00B06D6B">
        <w:rPr>
          <w:rFonts w:hint="cs"/>
          <w:rtl/>
        </w:rPr>
        <w:t xml:space="preserve"> דכיון שמצד אביו אינו טעון שחיטה, ומצד אמו הוא טעון שחיטה, א"כ סימניו לא חשיבי כסימנים, וביאר </w:t>
      </w:r>
      <w:r w:rsidRPr="00B06D6B">
        <w:rPr>
          <w:rStyle w:val="af9"/>
          <w:rFonts w:hint="cs"/>
          <w:rtl/>
        </w:rPr>
        <w:t>רש"י בביאור הא'</w:t>
      </w:r>
      <w:r w:rsidRPr="00B06D6B">
        <w:rPr>
          <w:rFonts w:hint="cs"/>
          <w:rtl/>
        </w:rPr>
        <w:t xml:space="preserve"> דחצי מהסימנים הם כשחוטים, ועוד ביאר </w:t>
      </w:r>
      <w:r w:rsidRPr="00B06D6B">
        <w:rPr>
          <w:rStyle w:val="af9"/>
          <w:rFonts w:hint="cs"/>
          <w:rtl/>
        </w:rPr>
        <w:t>רש"י בביאורו הב'</w:t>
      </w:r>
      <w:r w:rsidRPr="00B06D6B">
        <w:rPr>
          <w:rFonts w:hint="cs"/>
          <w:rtl/>
        </w:rPr>
        <w:t xml:space="preserve"> דסימן אחד הוא שחוט, ובכדי להתיר בהמה בשחיטה צריך לשחוט את רוב ב' הסימנים.</w:t>
      </w:r>
    </w:p>
    <w:p w14:paraId="3D349FCD" w14:textId="77777777" w:rsidR="003D504D" w:rsidRPr="00B06D6B" w:rsidRDefault="003D504D" w:rsidP="003D504D">
      <w:pPr>
        <w:pStyle w:val="a3"/>
        <w:rPr>
          <w:rtl/>
        </w:rPr>
      </w:pPr>
      <w:bookmarkStart w:id="18315" w:name="_Toc862068"/>
      <w:bookmarkStart w:id="18316" w:name="_Toc890700"/>
      <w:bookmarkStart w:id="18317" w:name="_Toc903094"/>
      <w:bookmarkStart w:id="18318" w:name="_Toc955465"/>
      <w:bookmarkStart w:id="18319" w:name="_Toc955758"/>
      <w:bookmarkStart w:id="18320" w:name="_Toc1039398"/>
      <w:bookmarkStart w:id="18321" w:name="_Toc1040641"/>
      <w:bookmarkStart w:id="18322" w:name="_Toc1063533"/>
      <w:bookmarkStart w:id="18323" w:name="_Toc1111965"/>
      <w:bookmarkStart w:id="18324" w:name="_Toc1123830"/>
      <w:bookmarkStart w:id="18325" w:name="_Toc19391349"/>
      <w:bookmarkStart w:id="18326" w:name="_Toc19394846"/>
      <w:r>
        <w:rPr>
          <w:rFonts w:hint="cs"/>
          <w:rtl/>
        </w:rPr>
        <w:t>דברי רש"י לקמן דסימן אחד כשחוט וא"כ כשחוזר ושוחט את הסימן השני אין לך שהייה גדולה מזו</w:t>
      </w:r>
      <w:bookmarkEnd w:id="18315"/>
      <w:bookmarkEnd w:id="18316"/>
      <w:bookmarkEnd w:id="18317"/>
      <w:bookmarkEnd w:id="18318"/>
      <w:bookmarkEnd w:id="18319"/>
      <w:bookmarkEnd w:id="18320"/>
      <w:bookmarkEnd w:id="18321"/>
      <w:bookmarkEnd w:id="18322"/>
      <w:bookmarkEnd w:id="18323"/>
      <w:bookmarkEnd w:id="18324"/>
      <w:bookmarkEnd w:id="18325"/>
      <w:bookmarkEnd w:id="18326"/>
    </w:p>
    <w:p w14:paraId="26E35D1B" w14:textId="77777777" w:rsidR="003D504D" w:rsidRPr="002E565C" w:rsidRDefault="003D504D" w:rsidP="00223668">
      <w:pPr>
        <w:pStyle w:val="a0"/>
        <w:rPr>
          <w:rtl/>
        </w:rPr>
      </w:pPr>
      <w:bookmarkStart w:id="18327" w:name="_Ref974662"/>
      <w:bookmarkStart w:id="18328" w:name="_Ref536786986"/>
      <w:r w:rsidRPr="00B06D6B">
        <w:rPr>
          <w:rStyle w:val="af9"/>
          <w:rFonts w:hint="cs"/>
          <w:rtl/>
        </w:rPr>
        <w:t xml:space="preserve">וברש"י לקמן </w:t>
      </w:r>
      <w:r w:rsidRPr="004304CE">
        <w:rPr>
          <w:rStyle w:val="af7"/>
          <w:rFonts w:eastAsia="Guttman Hodes" w:hint="cs"/>
          <w:rtl/>
        </w:rPr>
        <w:t>(עה: ד"ה אין לו)</w:t>
      </w:r>
      <w:r w:rsidRPr="00B06D6B">
        <w:rPr>
          <w:rFonts w:hint="cs"/>
          <w:rtl/>
        </w:rPr>
        <w:t xml:space="preserve"> כתב כביאור הב' וביאר דחשיב שיש לו רק סימן אחד מצד אמו, והסימן שמצד אביו הוא שחוט ועומד, כיון שאין נוהגת בו שחיטה, וא"א להכשיר בהמה בסימן אחד, והוסיף </w:t>
      </w:r>
      <w:r w:rsidRPr="00B06D6B">
        <w:rPr>
          <w:rStyle w:val="af9"/>
          <w:rFonts w:hint="cs"/>
          <w:rtl/>
        </w:rPr>
        <w:t xml:space="preserve">רש"י לקמן </w:t>
      </w:r>
      <w:r w:rsidRPr="00B06D6B">
        <w:rPr>
          <w:rFonts w:hint="cs"/>
          <w:rtl/>
        </w:rPr>
        <w:t>שהסימן השני לא מצטרף לראשון, דאין לך שה</w:t>
      </w:r>
      <w:r>
        <w:rPr>
          <w:rFonts w:hint="cs"/>
          <w:rtl/>
        </w:rPr>
        <w:t>י</w:t>
      </w:r>
      <w:r w:rsidRPr="00B06D6B">
        <w:rPr>
          <w:rFonts w:hint="cs"/>
          <w:rtl/>
        </w:rPr>
        <w:t xml:space="preserve">יה גדולה מזו, דהסימן הראשון נשחט </w:t>
      </w:r>
      <w:r w:rsidRPr="002E565C">
        <w:rPr>
          <w:rFonts w:hint="cs"/>
          <w:rtl/>
        </w:rPr>
        <w:t xml:space="preserve">בשעה שנולד, ועי' בדברי </w:t>
      </w:r>
      <w:r w:rsidRPr="002E565C">
        <w:rPr>
          <w:rStyle w:val="af9"/>
          <w:rFonts w:hint="cs"/>
          <w:rtl/>
        </w:rPr>
        <w:t>שיעורי המקדש דוד</w:t>
      </w:r>
      <w:r w:rsidRPr="002E565C">
        <w:rPr>
          <w:rFonts w:hint="cs"/>
          <w:rtl/>
        </w:rPr>
        <w:t xml:space="preserve"> </w:t>
      </w:r>
      <w:r w:rsidRPr="004304CE">
        <w:rPr>
          <w:rStyle w:val="af7"/>
          <w:rFonts w:eastAsia="Guttman Hodes" w:hint="cs"/>
          <w:rtl/>
        </w:rPr>
        <w:t xml:space="preserve">(עי' אות </w:t>
      </w:r>
      <w:r w:rsidRPr="002E565C">
        <w:rPr>
          <w:rStyle w:val="af7"/>
          <w:rFonts w:eastAsia="Guttman Hodes"/>
          <w:rtl/>
        </w:rPr>
        <w:fldChar w:fldCharType="begin"/>
      </w:r>
      <w:r w:rsidRPr="002E565C">
        <w:rPr>
          <w:rStyle w:val="af7"/>
          <w:rFonts w:eastAsia="Guttman Hodes"/>
          <w:rtl/>
        </w:rPr>
        <w:instrText xml:space="preserve"> </w:instrText>
      </w:r>
      <w:r w:rsidRPr="002E565C">
        <w:rPr>
          <w:rStyle w:val="af7"/>
          <w:rFonts w:eastAsia="Guttman Hodes" w:hint="cs"/>
        </w:rPr>
        <w:instrText>REF</w:instrText>
      </w:r>
      <w:r w:rsidRPr="002E565C">
        <w:rPr>
          <w:rStyle w:val="af7"/>
          <w:rFonts w:eastAsia="Guttman Hodes" w:hint="cs"/>
          <w:rtl/>
        </w:rPr>
        <w:instrText xml:space="preserve"> _</w:instrText>
      </w:r>
      <w:r w:rsidRPr="002E565C">
        <w:rPr>
          <w:rStyle w:val="af7"/>
          <w:rFonts w:eastAsia="Guttman Hodes" w:hint="cs"/>
        </w:rPr>
        <w:instrText>Ref1032146 \r \h</w:instrText>
      </w:r>
      <w:r w:rsidRPr="002E565C">
        <w:rPr>
          <w:rStyle w:val="af7"/>
          <w:rFonts w:eastAsia="Guttman Hodes"/>
          <w:rtl/>
        </w:rPr>
        <w:instrText xml:space="preserve">  \* </w:instrText>
      </w:r>
      <w:r w:rsidRPr="002E565C">
        <w:rPr>
          <w:rStyle w:val="af7"/>
          <w:rFonts w:eastAsia="Guttman Hodes"/>
        </w:rPr>
        <w:instrText>MERGEFORMAT</w:instrText>
      </w:r>
      <w:r w:rsidRPr="002E565C">
        <w:rPr>
          <w:rStyle w:val="af7"/>
          <w:rFonts w:eastAsia="Guttman Hodes"/>
          <w:rtl/>
        </w:rPr>
        <w:instrText xml:space="preserve"> </w:instrText>
      </w:r>
      <w:r w:rsidRPr="002E565C">
        <w:rPr>
          <w:rStyle w:val="af7"/>
          <w:rFonts w:eastAsia="Guttman Hodes"/>
          <w:rtl/>
        </w:rPr>
      </w:r>
      <w:r w:rsidRPr="002E565C">
        <w:rPr>
          <w:rStyle w:val="af7"/>
          <w:rFonts w:eastAsia="Guttman Hodes"/>
          <w:rtl/>
        </w:rPr>
        <w:fldChar w:fldCharType="separate"/>
      </w:r>
      <w:r w:rsidR="00345400">
        <w:rPr>
          <w:rStyle w:val="af7"/>
          <w:rFonts w:eastAsia="Guttman Hodes"/>
          <w:cs/>
        </w:rPr>
        <w:t>‎</w:t>
      </w:r>
      <w:r w:rsidR="00345400">
        <w:rPr>
          <w:rStyle w:val="af7"/>
          <w:rFonts w:eastAsia="Guttman Hodes"/>
          <w:rtl/>
        </w:rPr>
        <w:t>עח)</w:t>
      </w:r>
      <w:r w:rsidRPr="002E565C">
        <w:rPr>
          <w:rStyle w:val="af7"/>
          <w:rFonts w:eastAsia="Guttman Hodes"/>
          <w:rtl/>
        </w:rPr>
        <w:fldChar w:fldCharType="end"/>
      </w:r>
      <w:r w:rsidRPr="002E565C">
        <w:rPr>
          <w:rFonts w:hint="cs"/>
          <w:rtl/>
        </w:rPr>
        <w:t xml:space="preserve"> </w:t>
      </w:r>
      <w:r w:rsidRPr="002E565C">
        <w:rPr>
          <w:rStyle w:val="af9"/>
          <w:rFonts w:hint="cs"/>
          <w:rtl/>
        </w:rPr>
        <w:t>והגרא"ו</w:t>
      </w:r>
      <w:r w:rsidRPr="002E565C">
        <w:rPr>
          <w:rFonts w:hint="cs"/>
          <w:rtl/>
        </w:rPr>
        <w:t xml:space="preserve"> </w:t>
      </w:r>
      <w:r w:rsidRPr="004304CE">
        <w:rPr>
          <w:rStyle w:val="af7"/>
          <w:rFonts w:eastAsia="Guttman Hodes" w:hint="cs"/>
          <w:rtl/>
        </w:rPr>
        <w:t xml:space="preserve">(עי' אות </w:t>
      </w:r>
      <w:r w:rsidRPr="002E565C">
        <w:rPr>
          <w:rStyle w:val="af7"/>
          <w:rFonts w:eastAsia="Guttman Hodes"/>
          <w:rtl/>
        </w:rPr>
        <w:fldChar w:fldCharType="begin"/>
      </w:r>
      <w:r w:rsidRPr="002E565C">
        <w:rPr>
          <w:rStyle w:val="af7"/>
          <w:rFonts w:eastAsia="Guttman Hodes"/>
          <w:rtl/>
        </w:rPr>
        <w:instrText xml:space="preserve"> </w:instrText>
      </w:r>
      <w:r w:rsidRPr="002E565C">
        <w:rPr>
          <w:rStyle w:val="af7"/>
          <w:rFonts w:eastAsia="Guttman Hodes" w:hint="cs"/>
        </w:rPr>
        <w:instrText>REF</w:instrText>
      </w:r>
      <w:r w:rsidRPr="002E565C">
        <w:rPr>
          <w:rStyle w:val="af7"/>
          <w:rFonts w:eastAsia="Guttman Hodes" w:hint="cs"/>
          <w:rtl/>
        </w:rPr>
        <w:instrText xml:space="preserve"> _</w:instrText>
      </w:r>
      <w:r w:rsidRPr="002E565C">
        <w:rPr>
          <w:rStyle w:val="af7"/>
          <w:rFonts w:eastAsia="Guttman Hodes" w:hint="cs"/>
        </w:rPr>
        <w:instrText>Ref1033325 \r \h</w:instrText>
      </w:r>
      <w:r w:rsidRPr="002E565C">
        <w:rPr>
          <w:rStyle w:val="af7"/>
          <w:rFonts w:eastAsia="Guttman Hodes"/>
          <w:rtl/>
        </w:rPr>
        <w:instrText xml:space="preserve">  \* </w:instrText>
      </w:r>
      <w:r w:rsidRPr="002E565C">
        <w:rPr>
          <w:rStyle w:val="af7"/>
          <w:rFonts w:eastAsia="Guttman Hodes"/>
        </w:rPr>
        <w:instrText>MERGEFORMAT</w:instrText>
      </w:r>
      <w:r w:rsidRPr="002E565C">
        <w:rPr>
          <w:rStyle w:val="af7"/>
          <w:rFonts w:eastAsia="Guttman Hodes"/>
          <w:rtl/>
        </w:rPr>
        <w:instrText xml:space="preserve"> </w:instrText>
      </w:r>
      <w:r w:rsidRPr="002E565C">
        <w:rPr>
          <w:rStyle w:val="af7"/>
          <w:rFonts w:eastAsia="Guttman Hodes"/>
          <w:rtl/>
        </w:rPr>
      </w:r>
      <w:r w:rsidRPr="002E565C">
        <w:rPr>
          <w:rStyle w:val="af7"/>
          <w:rFonts w:eastAsia="Guttman Hodes"/>
          <w:rtl/>
        </w:rPr>
        <w:fldChar w:fldCharType="separate"/>
      </w:r>
      <w:r w:rsidR="00345400">
        <w:rPr>
          <w:rStyle w:val="af7"/>
          <w:rFonts w:eastAsia="Guttman Hodes"/>
          <w:cs/>
        </w:rPr>
        <w:t>‎</w:t>
      </w:r>
      <w:r w:rsidR="00345400">
        <w:rPr>
          <w:rStyle w:val="af7"/>
          <w:rFonts w:eastAsia="Guttman Hodes"/>
          <w:rtl/>
        </w:rPr>
        <w:t>פב)</w:t>
      </w:r>
      <w:r w:rsidRPr="002E565C">
        <w:rPr>
          <w:rStyle w:val="af7"/>
          <w:rFonts w:eastAsia="Guttman Hodes"/>
          <w:rtl/>
        </w:rPr>
        <w:fldChar w:fldCharType="end"/>
      </w:r>
      <w:bookmarkEnd w:id="18327"/>
      <w:r>
        <w:rPr>
          <w:rFonts w:hint="cs"/>
          <w:rtl/>
        </w:rPr>
        <w:t>.</w:t>
      </w:r>
    </w:p>
    <w:p w14:paraId="7B77A248" w14:textId="77777777" w:rsidR="003D504D" w:rsidRPr="00202184" w:rsidRDefault="003D504D" w:rsidP="003D504D">
      <w:pPr>
        <w:pStyle w:val="a3"/>
      </w:pPr>
      <w:bookmarkStart w:id="18329" w:name="_Toc862069"/>
      <w:bookmarkStart w:id="18330" w:name="_Toc890701"/>
      <w:bookmarkStart w:id="18331" w:name="_Toc903095"/>
      <w:bookmarkStart w:id="18332" w:name="_Toc955466"/>
      <w:bookmarkStart w:id="18333" w:name="_Toc955759"/>
      <w:bookmarkStart w:id="18334" w:name="_Toc1039399"/>
      <w:bookmarkStart w:id="18335" w:name="_Toc1040642"/>
      <w:bookmarkStart w:id="18336" w:name="_Toc1063534"/>
      <w:bookmarkStart w:id="18337" w:name="_Toc1111966"/>
      <w:bookmarkStart w:id="18338" w:name="_Toc1123831"/>
      <w:bookmarkStart w:id="18339" w:name="_Toc19391350"/>
      <w:bookmarkStart w:id="18340" w:name="_Toc19394847"/>
      <w:r>
        <w:rPr>
          <w:rFonts w:hint="cs"/>
          <w:rtl/>
        </w:rPr>
        <w:t>דברי רש"י דרב משרשיא דאמר דאין לולד תקנה לא ס"ל דד' סימנים אכשר ביה רחמנא</w:t>
      </w:r>
      <w:bookmarkEnd w:id="18329"/>
      <w:bookmarkEnd w:id="18330"/>
      <w:bookmarkEnd w:id="18331"/>
      <w:bookmarkEnd w:id="18332"/>
      <w:bookmarkEnd w:id="18333"/>
      <w:bookmarkEnd w:id="18334"/>
      <w:bookmarkEnd w:id="18335"/>
      <w:bookmarkEnd w:id="18336"/>
      <w:bookmarkEnd w:id="18337"/>
      <w:bookmarkEnd w:id="18338"/>
      <w:bookmarkEnd w:id="18339"/>
      <w:bookmarkEnd w:id="18340"/>
      <w:r>
        <w:rPr>
          <w:rFonts w:hint="cs"/>
          <w:rtl/>
        </w:rPr>
        <w:t xml:space="preserve"> </w:t>
      </w:r>
    </w:p>
    <w:p w14:paraId="37999D51" w14:textId="77777777" w:rsidR="003D504D" w:rsidRPr="00B06D6B" w:rsidRDefault="003D504D" w:rsidP="00223668">
      <w:pPr>
        <w:pStyle w:val="a0"/>
        <w:rPr>
          <w:rtl/>
        </w:rPr>
      </w:pPr>
      <w:bookmarkStart w:id="18341" w:name="_Ref862814"/>
      <w:r w:rsidRPr="00B06D6B">
        <w:rPr>
          <w:rFonts w:hint="cs"/>
          <w:rtl/>
        </w:rPr>
        <w:t xml:space="preserve">והוסיף </w:t>
      </w:r>
      <w:r w:rsidRPr="00B06D6B">
        <w:rPr>
          <w:rStyle w:val="af9"/>
          <w:rFonts w:hint="cs"/>
          <w:rtl/>
        </w:rPr>
        <w:t xml:space="preserve">רש"י לקמן </w:t>
      </w:r>
      <w:r w:rsidRPr="00B06D6B">
        <w:rPr>
          <w:rFonts w:hint="cs"/>
          <w:rtl/>
        </w:rPr>
        <w:t xml:space="preserve">דדברי רב משרשיא </w:t>
      </w:r>
      <w:r>
        <w:rPr>
          <w:rFonts w:hint="cs"/>
          <w:rtl/>
        </w:rPr>
        <w:t>פליג על ה</w:t>
      </w:r>
      <w:r w:rsidRPr="00B06D6B">
        <w:rPr>
          <w:rFonts w:hint="cs"/>
          <w:rtl/>
        </w:rPr>
        <w:t xml:space="preserve">מ"ד דס"ל בגמ' שם </w:t>
      </w:r>
      <w:r w:rsidRPr="004304CE">
        <w:rPr>
          <w:rStyle w:val="af7"/>
          <w:rFonts w:eastAsia="Guttman Hodes" w:hint="cs"/>
          <w:rtl/>
        </w:rPr>
        <w:t>(עה:)</w:t>
      </w:r>
      <w:r w:rsidRPr="00B06D6B">
        <w:rPr>
          <w:rFonts w:hint="cs"/>
          <w:rtl/>
        </w:rPr>
        <w:t xml:space="preserve"> דד' סימנים אכשר ביה רחמנא</w:t>
      </w:r>
      <w:r>
        <w:rPr>
          <w:rFonts w:hint="cs"/>
          <w:rtl/>
        </w:rPr>
        <w:t xml:space="preserve">, ועי' בדברי </w:t>
      </w:r>
      <w:r w:rsidRPr="00D81C9A">
        <w:rPr>
          <w:rStyle w:val="af9"/>
          <w:rFonts w:hint="cs"/>
          <w:rtl/>
        </w:rPr>
        <w:t>השער"י</w:t>
      </w:r>
      <w:r>
        <w:rPr>
          <w:rFonts w:hint="cs"/>
          <w:rtl/>
        </w:rPr>
        <w:t xml:space="preserve"> </w:t>
      </w:r>
      <w:r w:rsidRPr="004304CE">
        <w:rPr>
          <w:rStyle w:val="af7"/>
          <w:rFonts w:eastAsia="Guttman Hodes" w:hint="cs"/>
          <w:rtl/>
        </w:rPr>
        <w:t xml:space="preserve">(עי' אות </w:t>
      </w:r>
      <w:r w:rsidRPr="00D81C9A">
        <w:rPr>
          <w:rStyle w:val="af7"/>
          <w:rFonts w:eastAsia="Guttman Hodes"/>
          <w:rtl/>
        </w:rPr>
        <w:fldChar w:fldCharType="begin"/>
      </w:r>
      <w:r w:rsidRPr="00D81C9A">
        <w:rPr>
          <w:rStyle w:val="af7"/>
          <w:rFonts w:eastAsia="Guttman Hodes"/>
          <w:rtl/>
        </w:rPr>
        <w:instrText xml:space="preserve"> </w:instrText>
      </w:r>
      <w:r w:rsidRPr="00D81C9A">
        <w:rPr>
          <w:rStyle w:val="af7"/>
          <w:rFonts w:eastAsia="Guttman Hodes" w:hint="cs"/>
        </w:rPr>
        <w:instrText>REF</w:instrText>
      </w:r>
      <w:r w:rsidRPr="00D81C9A">
        <w:rPr>
          <w:rStyle w:val="af7"/>
          <w:rFonts w:eastAsia="Guttman Hodes" w:hint="cs"/>
          <w:rtl/>
        </w:rPr>
        <w:instrText xml:space="preserve"> _</w:instrText>
      </w:r>
      <w:r w:rsidRPr="00D81C9A">
        <w:rPr>
          <w:rStyle w:val="af7"/>
          <w:rFonts w:eastAsia="Guttman Hodes" w:hint="cs"/>
        </w:rPr>
        <w:instrText>Ref987479 \r \h</w:instrText>
      </w:r>
      <w:r w:rsidRPr="00D81C9A">
        <w:rPr>
          <w:rStyle w:val="af7"/>
          <w:rFonts w:eastAsia="Guttman Hodes"/>
          <w:rtl/>
        </w:rPr>
        <w:instrText xml:space="preserve"> </w:instrText>
      </w:r>
      <w:r w:rsidRPr="00D81C9A">
        <w:rPr>
          <w:rStyle w:val="af7"/>
          <w:rFonts w:eastAsia="Guttman Hodes"/>
          <w:rtl/>
        </w:rPr>
      </w:r>
      <w:r w:rsidRPr="00D81C9A">
        <w:rPr>
          <w:rStyle w:val="af7"/>
          <w:rFonts w:eastAsia="Guttman Hodes"/>
          <w:rtl/>
        </w:rPr>
        <w:fldChar w:fldCharType="separate"/>
      </w:r>
      <w:r w:rsidR="00345400">
        <w:rPr>
          <w:rStyle w:val="af7"/>
          <w:rFonts w:eastAsia="Guttman Hodes"/>
          <w:cs/>
        </w:rPr>
        <w:t>‎</w:t>
      </w:r>
      <w:r w:rsidR="00345400">
        <w:rPr>
          <w:rStyle w:val="af7"/>
          <w:rFonts w:eastAsia="Guttman Hodes"/>
          <w:rtl/>
        </w:rPr>
        <w:t>סו)</w:t>
      </w:r>
      <w:r w:rsidRPr="00D81C9A">
        <w:rPr>
          <w:rStyle w:val="af7"/>
          <w:rFonts w:eastAsia="Guttman Hodes"/>
          <w:rtl/>
        </w:rPr>
        <w:fldChar w:fldCharType="end"/>
      </w:r>
      <w:r>
        <w:rPr>
          <w:rFonts w:hint="cs"/>
          <w:rtl/>
        </w:rPr>
        <w:t xml:space="preserve"> </w:t>
      </w:r>
      <w:r w:rsidRPr="002E565C">
        <w:rPr>
          <w:rStyle w:val="af9"/>
          <w:rFonts w:hint="cs"/>
          <w:rtl/>
        </w:rPr>
        <w:t>והמשנת ר"א</w:t>
      </w:r>
      <w:r>
        <w:rPr>
          <w:rFonts w:hint="cs"/>
          <w:rtl/>
        </w:rPr>
        <w:t xml:space="preserve"> </w:t>
      </w:r>
      <w:r w:rsidRPr="004304CE">
        <w:rPr>
          <w:rStyle w:val="af7"/>
          <w:rFonts w:eastAsia="Guttman Hodes" w:hint="cs"/>
          <w:rtl/>
        </w:rPr>
        <w:t xml:space="preserve">(עי' אות </w:t>
      </w:r>
      <w:r w:rsidRPr="002E565C">
        <w:rPr>
          <w:rStyle w:val="af7"/>
          <w:rFonts w:eastAsia="Guttman Hodes"/>
          <w:rtl/>
        </w:rPr>
        <w:fldChar w:fldCharType="begin"/>
      </w:r>
      <w:r w:rsidRPr="002E565C">
        <w:rPr>
          <w:rStyle w:val="af7"/>
          <w:rFonts w:eastAsia="Guttman Hodes"/>
          <w:rtl/>
        </w:rPr>
        <w:instrText xml:space="preserve"> </w:instrText>
      </w:r>
      <w:r w:rsidRPr="002E565C">
        <w:rPr>
          <w:rStyle w:val="af7"/>
          <w:rFonts w:eastAsia="Guttman Hodes" w:hint="cs"/>
        </w:rPr>
        <w:instrText>REF</w:instrText>
      </w:r>
      <w:r w:rsidRPr="002E565C">
        <w:rPr>
          <w:rStyle w:val="af7"/>
          <w:rFonts w:eastAsia="Guttman Hodes" w:hint="cs"/>
          <w:rtl/>
        </w:rPr>
        <w:instrText xml:space="preserve"> _</w:instrText>
      </w:r>
      <w:r w:rsidRPr="002E565C">
        <w:rPr>
          <w:rStyle w:val="af7"/>
          <w:rFonts w:eastAsia="Guttman Hodes" w:hint="cs"/>
        </w:rPr>
        <w:instrText>Ref1034236 \r \h</w:instrText>
      </w:r>
      <w:r w:rsidRPr="002E565C">
        <w:rPr>
          <w:rStyle w:val="af7"/>
          <w:rFonts w:eastAsia="Guttman Hodes"/>
          <w:rtl/>
        </w:rPr>
        <w:instrText xml:space="preserve"> </w:instrText>
      </w:r>
      <w:r w:rsidRPr="002E565C">
        <w:rPr>
          <w:rStyle w:val="af7"/>
          <w:rFonts w:eastAsia="Guttman Hodes"/>
          <w:rtl/>
        </w:rPr>
      </w:r>
      <w:r w:rsidRPr="002E565C">
        <w:rPr>
          <w:rStyle w:val="af7"/>
          <w:rFonts w:eastAsia="Guttman Hodes"/>
          <w:rtl/>
        </w:rPr>
        <w:fldChar w:fldCharType="separate"/>
      </w:r>
      <w:r w:rsidR="00345400">
        <w:rPr>
          <w:rStyle w:val="af7"/>
          <w:rFonts w:eastAsia="Guttman Hodes"/>
          <w:cs/>
        </w:rPr>
        <w:t>‎</w:t>
      </w:r>
      <w:r w:rsidR="00345400">
        <w:rPr>
          <w:rStyle w:val="af7"/>
          <w:rFonts w:eastAsia="Guttman Hodes"/>
          <w:rtl/>
        </w:rPr>
        <w:t>עב)</w:t>
      </w:r>
      <w:r w:rsidRPr="002E565C">
        <w:rPr>
          <w:rStyle w:val="af7"/>
          <w:rFonts w:eastAsia="Guttman Hodes"/>
          <w:rtl/>
        </w:rPr>
        <w:fldChar w:fldCharType="end"/>
      </w:r>
      <w:r>
        <w:rPr>
          <w:rFonts w:hint="cs"/>
          <w:rtl/>
        </w:rPr>
        <w:t xml:space="preserve">, וע"ע במ"ש </w:t>
      </w:r>
      <w:r w:rsidRPr="00372633">
        <w:rPr>
          <w:rStyle w:val="af9"/>
          <w:rFonts w:hint="cs"/>
          <w:rtl/>
        </w:rPr>
        <w:t>המשנת ר"א</w:t>
      </w:r>
      <w:r>
        <w:rPr>
          <w:rFonts w:hint="cs"/>
          <w:rtl/>
        </w:rPr>
        <w:t xml:space="preserve"> </w:t>
      </w:r>
      <w:r w:rsidRPr="00372633">
        <w:rPr>
          <w:rStyle w:val="af7"/>
          <w:rFonts w:eastAsia="Guttman Hodes" w:hint="cs"/>
          <w:rtl/>
        </w:rPr>
        <w:t xml:space="preserve">(עי' אות </w:t>
      </w:r>
      <w:r w:rsidRPr="00372633">
        <w:rPr>
          <w:rStyle w:val="af7"/>
          <w:rFonts w:eastAsia="Guttman Hodes"/>
          <w:rtl/>
        </w:rPr>
        <w:fldChar w:fldCharType="begin"/>
      </w:r>
      <w:r w:rsidRPr="00372633">
        <w:rPr>
          <w:rStyle w:val="af7"/>
          <w:rFonts w:eastAsia="Guttman Hodes"/>
          <w:rtl/>
        </w:rPr>
        <w:instrText xml:space="preserve"> </w:instrText>
      </w:r>
      <w:r w:rsidRPr="00372633">
        <w:rPr>
          <w:rStyle w:val="af7"/>
          <w:rFonts w:eastAsia="Guttman Hodes" w:hint="cs"/>
        </w:rPr>
        <w:instrText>REF</w:instrText>
      </w:r>
      <w:r w:rsidRPr="00372633">
        <w:rPr>
          <w:rStyle w:val="af7"/>
          <w:rFonts w:eastAsia="Guttman Hodes" w:hint="cs"/>
          <w:rtl/>
        </w:rPr>
        <w:instrText xml:space="preserve"> _</w:instrText>
      </w:r>
      <w:r w:rsidRPr="00372633">
        <w:rPr>
          <w:rStyle w:val="af7"/>
          <w:rFonts w:eastAsia="Guttman Hodes" w:hint="cs"/>
        </w:rPr>
        <w:instrText>Ref1110768 \r \h</w:instrText>
      </w:r>
      <w:r w:rsidRPr="00372633">
        <w:rPr>
          <w:rStyle w:val="af7"/>
          <w:rFonts w:eastAsia="Guttman Hodes"/>
          <w:rtl/>
        </w:rPr>
        <w:instrText xml:space="preserve"> </w:instrText>
      </w:r>
      <w:r w:rsidRPr="00372633">
        <w:rPr>
          <w:rStyle w:val="af7"/>
          <w:rFonts w:eastAsia="Guttman Hodes"/>
          <w:rtl/>
        </w:rPr>
      </w:r>
      <w:r w:rsidRPr="00372633">
        <w:rPr>
          <w:rStyle w:val="af7"/>
          <w:rFonts w:eastAsia="Guttman Hodes"/>
          <w:rtl/>
        </w:rPr>
        <w:fldChar w:fldCharType="separate"/>
      </w:r>
      <w:r w:rsidR="00345400">
        <w:rPr>
          <w:rStyle w:val="af7"/>
          <w:rFonts w:eastAsia="Guttman Hodes"/>
          <w:cs/>
        </w:rPr>
        <w:t>‎</w:t>
      </w:r>
      <w:r w:rsidR="00345400">
        <w:rPr>
          <w:rStyle w:val="af7"/>
          <w:rFonts w:eastAsia="Guttman Hodes"/>
          <w:rtl/>
        </w:rPr>
        <w:t>קב)</w:t>
      </w:r>
      <w:r w:rsidRPr="00372633">
        <w:rPr>
          <w:rStyle w:val="af7"/>
          <w:rFonts w:eastAsia="Guttman Hodes"/>
          <w:rtl/>
        </w:rPr>
        <w:fldChar w:fldCharType="end"/>
      </w:r>
      <w:r>
        <w:rPr>
          <w:rFonts w:hint="cs"/>
          <w:rtl/>
        </w:rPr>
        <w:t xml:space="preserve"> בביאור דברי </w:t>
      </w:r>
      <w:r w:rsidRPr="00372633">
        <w:rPr>
          <w:rStyle w:val="af9"/>
          <w:rFonts w:hint="cs"/>
          <w:rtl/>
        </w:rPr>
        <w:t>רש"י</w:t>
      </w:r>
      <w:r>
        <w:rPr>
          <w:rFonts w:hint="cs"/>
          <w:rtl/>
        </w:rPr>
        <w:t xml:space="preserve"> בגדר איסור אבר היוצא</w:t>
      </w:r>
      <w:r w:rsidRPr="00B06D6B">
        <w:rPr>
          <w:rFonts w:hint="cs"/>
          <w:rtl/>
        </w:rPr>
        <w:t>.</w:t>
      </w:r>
      <w:bookmarkEnd w:id="18328"/>
      <w:bookmarkEnd w:id="18341"/>
    </w:p>
    <w:p w14:paraId="1B34FB54" w14:textId="77777777" w:rsidR="003D504D" w:rsidRPr="00B06D6B" w:rsidRDefault="003D504D" w:rsidP="003D504D">
      <w:pPr>
        <w:pStyle w:val="a3"/>
        <w:rPr>
          <w:rtl/>
        </w:rPr>
      </w:pPr>
      <w:bookmarkStart w:id="18342" w:name="_Toc890702"/>
      <w:bookmarkStart w:id="18343" w:name="_Toc903096"/>
      <w:bookmarkStart w:id="18344" w:name="_Toc955467"/>
      <w:bookmarkStart w:id="18345" w:name="_Toc955760"/>
      <w:bookmarkStart w:id="18346" w:name="_Toc1039400"/>
      <w:bookmarkStart w:id="18347" w:name="_Toc1040643"/>
      <w:bookmarkStart w:id="18348" w:name="_Toc1063535"/>
      <w:bookmarkStart w:id="18349" w:name="_Toc1111967"/>
      <w:bookmarkStart w:id="18350" w:name="_Toc1123832"/>
      <w:bookmarkStart w:id="18351" w:name="_Toc19391351"/>
      <w:bookmarkStart w:id="18352" w:name="_Toc19394848"/>
      <w:r>
        <w:rPr>
          <w:rFonts w:hint="cs"/>
          <w:rtl/>
        </w:rPr>
        <w:t>דברי המהר"ץ חיות דכיון שחצי סימניו נשחטו שחיטת עצמו הוי נבילה דאינה הכשר שחיטה</w:t>
      </w:r>
      <w:bookmarkEnd w:id="18342"/>
      <w:bookmarkEnd w:id="18343"/>
      <w:bookmarkEnd w:id="18344"/>
      <w:bookmarkEnd w:id="18345"/>
      <w:bookmarkEnd w:id="18346"/>
      <w:bookmarkEnd w:id="18347"/>
      <w:bookmarkEnd w:id="18348"/>
      <w:bookmarkEnd w:id="18349"/>
      <w:bookmarkEnd w:id="18350"/>
      <w:bookmarkEnd w:id="18351"/>
      <w:bookmarkEnd w:id="18352"/>
    </w:p>
    <w:p w14:paraId="5A9A8341" w14:textId="77777777" w:rsidR="003D504D" w:rsidRPr="00B06D6B" w:rsidRDefault="003D504D" w:rsidP="00223668">
      <w:pPr>
        <w:pStyle w:val="a0"/>
        <w:rPr>
          <w:rtl/>
        </w:rPr>
      </w:pPr>
      <w:r>
        <w:rPr>
          <w:rFonts w:hint="cs"/>
          <w:rtl/>
        </w:rPr>
        <w:t>ו</w:t>
      </w:r>
      <w:r w:rsidRPr="00B06D6B">
        <w:rPr>
          <w:rFonts w:hint="cs"/>
          <w:rtl/>
        </w:rPr>
        <w:t>כתב</w:t>
      </w:r>
      <w:r w:rsidRPr="00B06D6B">
        <w:rPr>
          <w:rStyle w:val="af9"/>
          <w:rFonts w:hint="cs"/>
          <w:rtl/>
        </w:rPr>
        <w:t xml:space="preserve"> המהר"ץ חיות </w:t>
      </w:r>
      <w:r w:rsidRPr="004304CE">
        <w:rPr>
          <w:rStyle w:val="af7"/>
          <w:rFonts w:eastAsia="Guttman Hodes" w:hint="cs"/>
          <w:rtl/>
        </w:rPr>
        <w:t>(על רש"י ד"ה אין לו)</w:t>
      </w:r>
      <w:r w:rsidRPr="00B06D6B">
        <w:rPr>
          <w:rFonts w:hint="cs"/>
          <w:rtl/>
        </w:rPr>
        <w:t xml:space="preserve"> לבאר עפ"י דברי </w:t>
      </w:r>
      <w:r w:rsidRPr="00B06D6B">
        <w:rPr>
          <w:rStyle w:val="af9"/>
          <w:rFonts w:hint="cs"/>
          <w:rtl/>
        </w:rPr>
        <w:t xml:space="preserve">רש"י לעיל </w:t>
      </w:r>
      <w:r w:rsidRPr="004304CE">
        <w:rPr>
          <w:rStyle w:val="af7"/>
          <w:rFonts w:eastAsia="Guttman Hodes" w:hint="cs"/>
          <w:rtl/>
        </w:rPr>
        <w:t>(כ. ד"ה וכי)</w:t>
      </w:r>
      <w:r w:rsidRPr="00B06D6B">
        <w:rPr>
          <w:rFonts w:hint="cs"/>
          <w:rtl/>
        </w:rPr>
        <w:t xml:space="preserve"> דכתב דבכל שחיטה יש מעשה טריפה, כשנוקב את הושט בתחילת השחיטה, אלא דההיתר הוא כיון דדרך הכש</w:t>
      </w:r>
      <w:r>
        <w:rPr>
          <w:rFonts w:hint="cs"/>
          <w:rtl/>
        </w:rPr>
        <w:t>י</w:t>
      </w:r>
      <w:r w:rsidRPr="00B06D6B">
        <w:rPr>
          <w:rFonts w:hint="cs"/>
          <w:rtl/>
        </w:rPr>
        <w:t xml:space="preserve">רה בכך דכך היא דרך שחיטה, וכתב </w:t>
      </w:r>
      <w:r w:rsidRPr="00B06D6B">
        <w:rPr>
          <w:rStyle w:val="af9"/>
          <w:rFonts w:hint="cs"/>
          <w:rtl/>
        </w:rPr>
        <w:t xml:space="preserve">המהר"ץ חיות </w:t>
      </w:r>
      <w:r w:rsidRPr="00B06D6B">
        <w:rPr>
          <w:rFonts w:hint="cs"/>
          <w:rtl/>
        </w:rPr>
        <w:t>דא"כ בולד של בן פקועה שבא על בהמה בעלמא, דחצי סימניו חשיבי כשחוטים ואינם צריכים שחיטה, א"כ לא חשיב שדרך הכש</w:t>
      </w:r>
      <w:r>
        <w:rPr>
          <w:rFonts w:hint="cs"/>
          <w:rtl/>
        </w:rPr>
        <w:t>י</w:t>
      </w:r>
      <w:r w:rsidRPr="00B06D6B">
        <w:rPr>
          <w:rFonts w:hint="cs"/>
          <w:rtl/>
        </w:rPr>
        <w:t>רה בכך, דאין שחיטה בדבר שנשחט כבר, וא"כ כששוחט את חצי הסימנים השחוטים עושה את הבהמה נבילה.</w:t>
      </w:r>
    </w:p>
    <w:p w14:paraId="74AA483A" w14:textId="77777777" w:rsidR="003D504D" w:rsidRPr="00B06D6B" w:rsidRDefault="003D504D" w:rsidP="00BF39B2">
      <w:pPr>
        <w:pStyle w:val="1"/>
        <w:rPr>
          <w:rtl/>
        </w:rPr>
      </w:pPr>
      <w:bookmarkStart w:id="18353" w:name="_Toc862070"/>
      <w:bookmarkStart w:id="18354" w:name="_Toc890703"/>
      <w:bookmarkStart w:id="18355" w:name="_Toc903097"/>
      <w:bookmarkStart w:id="18356" w:name="_Toc955468"/>
      <w:bookmarkStart w:id="18357" w:name="_Toc955761"/>
      <w:bookmarkStart w:id="18358" w:name="_Toc1039401"/>
      <w:bookmarkStart w:id="18359" w:name="_Toc1040644"/>
      <w:bookmarkStart w:id="18360" w:name="_Toc1063536"/>
      <w:bookmarkStart w:id="18361" w:name="_Toc1111968"/>
      <w:bookmarkStart w:id="18362" w:name="_Toc1123833"/>
      <w:bookmarkStart w:id="18363" w:name="_Toc19391352"/>
      <w:bookmarkStart w:id="18364" w:name="_Toc19394849"/>
      <w:bookmarkStart w:id="18365" w:name="_Toc536786970"/>
      <w:bookmarkStart w:id="18366" w:name="_Toc536786995"/>
      <w:bookmarkStart w:id="18367" w:name="_Toc519030"/>
      <w:bookmarkStart w:id="18368" w:name="_Toc725009"/>
      <w:bookmarkStart w:id="18369" w:name="_Toc773228"/>
      <w:r w:rsidRPr="00B06D6B">
        <w:rPr>
          <w:rFonts w:hint="cs"/>
          <w:rtl/>
        </w:rPr>
        <w:t>ד</w:t>
      </w:r>
      <w:r>
        <w:rPr>
          <w:rFonts w:hint="cs"/>
          <w:rtl/>
        </w:rPr>
        <w:t>ברי</w:t>
      </w:r>
      <w:r w:rsidRPr="00B06D6B">
        <w:rPr>
          <w:rFonts w:hint="cs"/>
          <w:rtl/>
        </w:rPr>
        <w:t xml:space="preserve"> רבינו גרשום</w:t>
      </w:r>
      <w:bookmarkEnd w:id="18353"/>
      <w:r>
        <w:rPr>
          <w:rFonts w:hint="cs"/>
          <w:rtl/>
        </w:rPr>
        <w:t xml:space="preserve"> דסימניו שמצד אמו חשיבי כבשר</w:t>
      </w:r>
      <w:bookmarkEnd w:id="18354"/>
      <w:bookmarkEnd w:id="18355"/>
      <w:bookmarkEnd w:id="18356"/>
      <w:bookmarkEnd w:id="18357"/>
      <w:bookmarkEnd w:id="18358"/>
      <w:bookmarkEnd w:id="18359"/>
      <w:bookmarkEnd w:id="18360"/>
      <w:bookmarkEnd w:id="18361"/>
      <w:bookmarkEnd w:id="18362"/>
      <w:bookmarkEnd w:id="18363"/>
      <w:bookmarkEnd w:id="18364"/>
    </w:p>
    <w:p w14:paraId="43A1BD53" w14:textId="77777777" w:rsidR="003D504D" w:rsidRPr="00B06D6B" w:rsidRDefault="003D504D" w:rsidP="003D504D">
      <w:pPr>
        <w:pStyle w:val="a3"/>
        <w:rPr>
          <w:rtl/>
        </w:rPr>
      </w:pPr>
      <w:bookmarkStart w:id="18370" w:name="_Toc890704"/>
      <w:bookmarkStart w:id="18371" w:name="_Toc903098"/>
      <w:bookmarkStart w:id="18372" w:name="_Toc955469"/>
      <w:bookmarkStart w:id="18373" w:name="_Toc955762"/>
      <w:bookmarkStart w:id="18374" w:name="_Toc1039402"/>
      <w:bookmarkStart w:id="18375" w:name="_Toc1040645"/>
      <w:bookmarkStart w:id="18376" w:name="_Toc1063537"/>
      <w:bookmarkStart w:id="18377" w:name="_Toc1111969"/>
      <w:bookmarkStart w:id="18378" w:name="_Toc1123834"/>
      <w:bookmarkStart w:id="18379" w:name="_Toc19391353"/>
      <w:bookmarkStart w:id="18380" w:name="_Toc19394850"/>
      <w:r>
        <w:rPr>
          <w:rFonts w:hint="cs"/>
          <w:rtl/>
        </w:rPr>
        <w:t>דברי רבינו גרשום דסימני בן פקועה הם כבשר ואינם סימנים ולכן אין לולד סימנים לשוחטו בהם</w:t>
      </w:r>
      <w:bookmarkEnd w:id="18370"/>
      <w:bookmarkEnd w:id="18371"/>
      <w:bookmarkEnd w:id="18372"/>
      <w:bookmarkEnd w:id="18373"/>
      <w:bookmarkEnd w:id="18374"/>
      <w:bookmarkEnd w:id="18375"/>
      <w:bookmarkEnd w:id="18376"/>
      <w:bookmarkEnd w:id="18377"/>
      <w:bookmarkEnd w:id="18378"/>
      <w:bookmarkEnd w:id="18379"/>
      <w:bookmarkEnd w:id="18380"/>
    </w:p>
    <w:p w14:paraId="2EE8F47E" w14:textId="77777777" w:rsidR="003D504D" w:rsidRPr="00B06D6B" w:rsidRDefault="003D504D" w:rsidP="00223668">
      <w:pPr>
        <w:pStyle w:val="a0"/>
        <w:rPr>
          <w:rtl/>
        </w:rPr>
      </w:pPr>
      <w:r w:rsidRPr="00B06D6B">
        <w:rPr>
          <w:rStyle w:val="af9"/>
          <w:rFonts w:hint="cs"/>
          <w:rtl/>
        </w:rPr>
        <w:t>ורבינו גרשום</w:t>
      </w:r>
      <w:r w:rsidRPr="00B06D6B">
        <w:rPr>
          <w:rFonts w:hint="cs"/>
          <w:rtl/>
        </w:rPr>
        <w:t xml:space="preserve"> </w:t>
      </w:r>
      <w:r w:rsidRPr="004304CE">
        <w:rPr>
          <w:rStyle w:val="af7"/>
          <w:rFonts w:eastAsia="Guttman Hodes" w:hint="cs"/>
          <w:rtl/>
        </w:rPr>
        <w:t>(ד"ה בן פקועה)</w:t>
      </w:r>
      <w:r w:rsidRPr="00B06D6B">
        <w:rPr>
          <w:rFonts w:hint="cs"/>
          <w:rtl/>
        </w:rPr>
        <w:t xml:space="preserve"> כתב דכל בן פקועה שניתר בשחיטת אמו, אף כשהוא גדול, סימניו אינם חשובים סימנים, אלא הם כבשר בעלמא, ולכן בולד בן פקועה שחייב שחיטה מצד אמו, אין לו תקנה, דאין לו סימנים שאפשר לשוחטם</w:t>
      </w:r>
      <w:r>
        <w:rPr>
          <w:rFonts w:hint="cs"/>
          <w:rtl/>
        </w:rPr>
        <w:t xml:space="preserve">, וביאר </w:t>
      </w:r>
      <w:r w:rsidRPr="00123E3F">
        <w:rPr>
          <w:rStyle w:val="af9"/>
          <w:rFonts w:hint="cs"/>
          <w:rtl/>
        </w:rPr>
        <w:t>הגרא"י מטעלז</w:t>
      </w:r>
      <w:r>
        <w:rPr>
          <w:rFonts w:hint="cs"/>
          <w:rtl/>
        </w:rPr>
        <w:t xml:space="preserve"> </w:t>
      </w:r>
      <w:r w:rsidRPr="004304CE">
        <w:rPr>
          <w:rStyle w:val="af7"/>
          <w:rFonts w:eastAsia="Guttman Hodes" w:hint="cs"/>
          <w:rtl/>
        </w:rPr>
        <w:t>(בספר שיעורי הגרא"י מטעלז חולין סי' י"ג ד"ה אמנם מדברי רש"י)</w:t>
      </w:r>
      <w:r>
        <w:rPr>
          <w:rFonts w:hint="cs"/>
          <w:rtl/>
        </w:rPr>
        <w:t xml:space="preserve"> דס"ל </w:t>
      </w:r>
      <w:r w:rsidRPr="00123E3F">
        <w:rPr>
          <w:rStyle w:val="af9"/>
          <w:rFonts w:hint="cs"/>
          <w:rtl/>
        </w:rPr>
        <w:t>לרבינו גרשום</w:t>
      </w:r>
      <w:r>
        <w:rPr>
          <w:rFonts w:hint="cs"/>
          <w:rtl/>
        </w:rPr>
        <w:t xml:space="preserve"> דהסימנים אינם כשחוטים, אלא דאין להם שם סימנים כלל, דכיון דהעובר כאבר מאברי אמו הוי כבשר בעלמא</w:t>
      </w:r>
      <w:r w:rsidRPr="00B06D6B">
        <w:rPr>
          <w:rFonts w:hint="cs"/>
          <w:rtl/>
        </w:rPr>
        <w:t>.</w:t>
      </w:r>
    </w:p>
    <w:p w14:paraId="39F8495C" w14:textId="77777777" w:rsidR="003D504D" w:rsidRPr="00B06D6B" w:rsidRDefault="003D504D" w:rsidP="00BF39B2">
      <w:pPr>
        <w:pStyle w:val="1"/>
        <w:rPr>
          <w:rtl/>
        </w:rPr>
      </w:pPr>
      <w:bookmarkStart w:id="18381" w:name="_Toc862071"/>
      <w:bookmarkStart w:id="18382" w:name="_Toc890705"/>
      <w:bookmarkStart w:id="18383" w:name="_Toc903099"/>
      <w:bookmarkStart w:id="18384" w:name="_Toc955470"/>
      <w:bookmarkStart w:id="18385" w:name="_Toc955763"/>
      <w:bookmarkStart w:id="18386" w:name="_Toc1039403"/>
      <w:bookmarkStart w:id="18387" w:name="_Toc1040646"/>
      <w:bookmarkStart w:id="18388" w:name="_Toc1063538"/>
      <w:bookmarkStart w:id="18389" w:name="_Toc1111970"/>
      <w:bookmarkStart w:id="18390" w:name="_Toc1123835"/>
      <w:bookmarkStart w:id="18391" w:name="_Toc19391354"/>
      <w:bookmarkStart w:id="18392" w:name="_Toc19394851"/>
      <w:r>
        <w:rPr>
          <w:rFonts w:hint="cs"/>
          <w:rtl/>
        </w:rPr>
        <w:t>קושיות</w:t>
      </w:r>
      <w:r w:rsidRPr="00B06D6B">
        <w:rPr>
          <w:rFonts w:hint="cs"/>
          <w:rtl/>
        </w:rPr>
        <w:t xml:space="preserve"> התוס'</w:t>
      </w:r>
      <w:bookmarkEnd w:id="18365"/>
      <w:bookmarkEnd w:id="18366"/>
      <w:bookmarkEnd w:id="18367"/>
      <w:bookmarkEnd w:id="18368"/>
      <w:bookmarkEnd w:id="18369"/>
      <w:bookmarkEnd w:id="18381"/>
      <w:r>
        <w:rPr>
          <w:rFonts w:hint="cs"/>
          <w:rtl/>
        </w:rPr>
        <w:t xml:space="preserve"> והראשונים דלא שייכא שחיטה בולד כלל</w:t>
      </w:r>
      <w:bookmarkEnd w:id="18382"/>
      <w:bookmarkEnd w:id="18383"/>
      <w:bookmarkEnd w:id="18384"/>
      <w:bookmarkEnd w:id="18385"/>
      <w:bookmarkEnd w:id="18386"/>
      <w:bookmarkEnd w:id="18387"/>
      <w:bookmarkEnd w:id="18388"/>
      <w:bookmarkEnd w:id="18389"/>
      <w:bookmarkEnd w:id="18390"/>
      <w:bookmarkEnd w:id="18391"/>
      <w:bookmarkEnd w:id="18392"/>
    </w:p>
    <w:p w14:paraId="0523221F" w14:textId="77777777" w:rsidR="003D504D" w:rsidRPr="00B06D6B" w:rsidRDefault="003D504D" w:rsidP="003D504D">
      <w:pPr>
        <w:pStyle w:val="a3"/>
        <w:rPr>
          <w:rtl/>
        </w:rPr>
      </w:pPr>
      <w:bookmarkStart w:id="18393" w:name="_Toc890706"/>
      <w:bookmarkStart w:id="18394" w:name="_Toc903100"/>
      <w:bookmarkStart w:id="18395" w:name="_Toc955471"/>
      <w:bookmarkStart w:id="18396" w:name="_Toc955764"/>
      <w:bookmarkStart w:id="18397" w:name="_Toc1039404"/>
      <w:bookmarkStart w:id="18398" w:name="_Toc1040647"/>
      <w:bookmarkStart w:id="18399" w:name="_Toc1063539"/>
      <w:bookmarkStart w:id="18400" w:name="_Toc1111971"/>
      <w:bookmarkStart w:id="18401" w:name="_Toc1123836"/>
      <w:bookmarkStart w:id="18402" w:name="_Toc19391355"/>
      <w:bookmarkStart w:id="18403" w:name="_Toc19394852"/>
      <w:r>
        <w:rPr>
          <w:rFonts w:hint="cs"/>
          <w:rtl/>
        </w:rPr>
        <w:t>קושית התוס' דכל סימן כחצי שחוט ואף אי סגי בשחיטת סימן אחד א"א לשוחטו דאין לו רוב סימן</w:t>
      </w:r>
      <w:bookmarkEnd w:id="18393"/>
      <w:bookmarkEnd w:id="18394"/>
      <w:bookmarkEnd w:id="18395"/>
      <w:bookmarkEnd w:id="18396"/>
      <w:bookmarkEnd w:id="18397"/>
      <w:bookmarkEnd w:id="18398"/>
      <w:bookmarkEnd w:id="18399"/>
      <w:bookmarkEnd w:id="18400"/>
      <w:bookmarkEnd w:id="18401"/>
      <w:bookmarkEnd w:id="18402"/>
      <w:bookmarkEnd w:id="18403"/>
    </w:p>
    <w:p w14:paraId="2FE0AE9E" w14:textId="77777777" w:rsidR="003D504D" w:rsidRPr="00B06D6B" w:rsidRDefault="003D504D" w:rsidP="00223668">
      <w:pPr>
        <w:pStyle w:val="a0"/>
        <w:rPr>
          <w:rtl/>
        </w:rPr>
      </w:pPr>
      <w:bookmarkStart w:id="18404" w:name="_Ref987853"/>
      <w:r w:rsidRPr="00B06D6B">
        <w:rPr>
          <w:rStyle w:val="af9"/>
          <w:rFonts w:hint="cs"/>
          <w:rtl/>
        </w:rPr>
        <w:t>והתוס' לקמן</w:t>
      </w:r>
      <w:r w:rsidRPr="00B06D6B">
        <w:rPr>
          <w:rFonts w:hint="cs"/>
          <w:rtl/>
        </w:rPr>
        <w:t xml:space="preserve"> </w:t>
      </w:r>
      <w:r w:rsidRPr="004304CE">
        <w:rPr>
          <w:rStyle w:val="af7"/>
          <w:rFonts w:eastAsia="Guttman Hodes" w:hint="cs"/>
          <w:rtl/>
        </w:rPr>
        <w:t xml:space="preserve">(עה: ד"ה בן פקועה) </w:t>
      </w:r>
      <w:r w:rsidRPr="00B06D6B">
        <w:rPr>
          <w:rStyle w:val="af9"/>
          <w:rFonts w:hint="cs"/>
          <w:rtl/>
        </w:rPr>
        <w:t xml:space="preserve">והרשב"א </w:t>
      </w:r>
      <w:r>
        <w:rPr>
          <w:rStyle w:val="af9"/>
          <w:rFonts w:hint="cs"/>
          <w:rtl/>
        </w:rPr>
        <w:t>בחי'</w:t>
      </w:r>
      <w:r w:rsidRPr="00B06D6B">
        <w:rPr>
          <w:rFonts w:hint="cs"/>
          <w:rtl/>
        </w:rPr>
        <w:t xml:space="preserve"> </w:t>
      </w:r>
      <w:r w:rsidRPr="004304CE">
        <w:rPr>
          <w:rStyle w:val="af7"/>
          <w:rFonts w:eastAsia="Guttman Hodes" w:hint="cs"/>
          <w:rtl/>
        </w:rPr>
        <w:t>(עה: ד"ה אמר)</w:t>
      </w:r>
      <w:r w:rsidRPr="00C01FBA">
        <w:rPr>
          <w:rFonts w:hint="cs"/>
          <w:rtl/>
        </w:rPr>
        <w:t xml:space="preserve"> </w:t>
      </w:r>
      <w:r w:rsidRPr="00C01FBA">
        <w:rPr>
          <w:rStyle w:val="af9"/>
          <w:rFonts w:hint="cs"/>
          <w:rtl/>
        </w:rPr>
        <w:t>ובתוה"ב</w:t>
      </w:r>
      <w:r w:rsidRPr="00C01FBA">
        <w:rPr>
          <w:rFonts w:hint="cs"/>
          <w:rtl/>
        </w:rPr>
        <w:t xml:space="preserve"> </w:t>
      </w:r>
      <w:r w:rsidRPr="004304CE">
        <w:rPr>
          <w:rStyle w:val="af7"/>
          <w:rFonts w:eastAsia="Guttman Hodes" w:hint="cs"/>
          <w:rtl/>
        </w:rPr>
        <w:t>(ב"ב ש"ה דף סא. מדה"ס)</w:t>
      </w:r>
      <w:r>
        <w:rPr>
          <w:rStyle w:val="af9"/>
          <w:rFonts w:hint="cs"/>
          <w:rtl/>
        </w:rPr>
        <w:t xml:space="preserve"> </w:t>
      </w:r>
      <w:r w:rsidRPr="00B06D6B">
        <w:rPr>
          <w:rFonts w:hint="cs"/>
          <w:rtl/>
        </w:rPr>
        <w:t xml:space="preserve">הקשו על דברי </w:t>
      </w:r>
      <w:r w:rsidRPr="00B06D6B">
        <w:rPr>
          <w:rStyle w:val="af9"/>
          <w:rFonts w:hint="cs"/>
          <w:rtl/>
        </w:rPr>
        <w:t>רש"י לקמן</w:t>
      </w:r>
      <w:r w:rsidRPr="00B06D6B">
        <w:rPr>
          <w:rFonts w:hint="cs"/>
          <w:rtl/>
        </w:rPr>
        <w:t>, דאף אם הבהמה הייתה מותרת בסימן אחד, א"א להתיר את הולד, כיון שכל סימן וסימן שלו חשיב כחצי שחוט, ואין לו רוב סימן שאפשר לשחוט אותו ולהכשירו.</w:t>
      </w:r>
      <w:bookmarkEnd w:id="18404"/>
    </w:p>
    <w:p w14:paraId="5997B572" w14:textId="77777777" w:rsidR="003D504D" w:rsidRPr="00B06D6B" w:rsidRDefault="003D504D" w:rsidP="003D504D">
      <w:pPr>
        <w:pStyle w:val="a3"/>
      </w:pPr>
      <w:bookmarkStart w:id="18405" w:name="_Toc890707"/>
      <w:bookmarkStart w:id="18406" w:name="_Toc903101"/>
      <w:bookmarkStart w:id="18407" w:name="_Toc955472"/>
      <w:bookmarkStart w:id="18408" w:name="_Toc955765"/>
      <w:bookmarkStart w:id="18409" w:name="_Toc1039405"/>
      <w:bookmarkStart w:id="18410" w:name="_Toc1040648"/>
      <w:bookmarkStart w:id="18411" w:name="_Toc1063540"/>
      <w:bookmarkStart w:id="18412" w:name="_Toc1111972"/>
      <w:bookmarkStart w:id="18413" w:name="_Toc1123837"/>
      <w:bookmarkStart w:id="18414" w:name="_Toc19391356"/>
      <w:bookmarkStart w:id="18415" w:name="_Toc19394853"/>
      <w:r>
        <w:rPr>
          <w:rFonts w:hint="cs"/>
          <w:rtl/>
        </w:rPr>
        <w:t>קושית התוס' דכיון שחציו לא נשחט כלל אף אם שהייה לא פוסלת בשחיטה א"א לשוחטו</w:t>
      </w:r>
      <w:bookmarkEnd w:id="18405"/>
      <w:bookmarkEnd w:id="18406"/>
      <w:bookmarkEnd w:id="18407"/>
      <w:bookmarkEnd w:id="18408"/>
      <w:bookmarkEnd w:id="18409"/>
      <w:bookmarkEnd w:id="18410"/>
      <w:bookmarkEnd w:id="18411"/>
      <w:bookmarkEnd w:id="18412"/>
      <w:bookmarkEnd w:id="18413"/>
      <w:bookmarkEnd w:id="18414"/>
      <w:bookmarkEnd w:id="18415"/>
      <w:r>
        <w:rPr>
          <w:rFonts w:hint="cs"/>
          <w:rtl/>
        </w:rPr>
        <w:t xml:space="preserve"> </w:t>
      </w:r>
    </w:p>
    <w:p w14:paraId="2C18AC49" w14:textId="77777777" w:rsidR="003D504D" w:rsidRDefault="003D504D" w:rsidP="00223668">
      <w:pPr>
        <w:pStyle w:val="a0"/>
        <w:rPr>
          <w:rtl/>
        </w:rPr>
      </w:pPr>
      <w:bookmarkStart w:id="18416" w:name="_Ref988075"/>
      <w:r w:rsidRPr="00B06D6B">
        <w:rPr>
          <w:rFonts w:hint="cs"/>
          <w:rtl/>
        </w:rPr>
        <w:t xml:space="preserve">וכן </w:t>
      </w:r>
      <w:r>
        <w:rPr>
          <w:rFonts w:hint="cs"/>
          <w:rtl/>
        </w:rPr>
        <w:t>ב</w:t>
      </w:r>
      <w:r w:rsidRPr="00B06D6B">
        <w:rPr>
          <w:rFonts w:hint="cs"/>
          <w:rtl/>
        </w:rPr>
        <w:t xml:space="preserve">מ"ש </w:t>
      </w:r>
      <w:r w:rsidRPr="00B06D6B">
        <w:rPr>
          <w:rStyle w:val="af9"/>
          <w:rFonts w:hint="cs"/>
          <w:rtl/>
        </w:rPr>
        <w:t xml:space="preserve">רש"י לקמן </w:t>
      </w:r>
      <w:r w:rsidRPr="00B06D6B">
        <w:rPr>
          <w:rFonts w:hint="cs"/>
          <w:rtl/>
        </w:rPr>
        <w:t>דהסימן השני לא מצטרף לראשון ואין לך שהי</w:t>
      </w:r>
      <w:r>
        <w:rPr>
          <w:rFonts w:hint="cs"/>
          <w:rtl/>
        </w:rPr>
        <w:t>י</w:t>
      </w:r>
      <w:r w:rsidRPr="00B06D6B">
        <w:rPr>
          <w:rFonts w:hint="cs"/>
          <w:rtl/>
        </w:rPr>
        <w:t xml:space="preserve">ה גדולה מזו, הקשו </w:t>
      </w:r>
      <w:r w:rsidRPr="00B06D6B">
        <w:rPr>
          <w:rStyle w:val="af9"/>
          <w:rFonts w:hint="cs"/>
          <w:rtl/>
        </w:rPr>
        <w:t>התוס' לקמן</w:t>
      </w:r>
      <w:r w:rsidRPr="00B06D6B">
        <w:rPr>
          <w:rFonts w:hint="cs"/>
          <w:rtl/>
        </w:rPr>
        <w:t xml:space="preserve"> </w:t>
      </w:r>
      <w:r w:rsidRPr="00B06D6B">
        <w:rPr>
          <w:rStyle w:val="af9"/>
          <w:rFonts w:hint="cs"/>
          <w:rtl/>
        </w:rPr>
        <w:t xml:space="preserve">והרשב"א </w:t>
      </w:r>
      <w:r>
        <w:rPr>
          <w:rStyle w:val="af9"/>
          <w:rFonts w:hint="cs"/>
          <w:rtl/>
        </w:rPr>
        <w:t>בחי'</w:t>
      </w:r>
      <w:r w:rsidRPr="00B06D6B">
        <w:rPr>
          <w:rFonts w:hint="cs"/>
          <w:rtl/>
        </w:rPr>
        <w:t xml:space="preserve"> דאף אם שהי</w:t>
      </w:r>
      <w:r>
        <w:rPr>
          <w:rFonts w:hint="cs"/>
          <w:rtl/>
        </w:rPr>
        <w:t>י</w:t>
      </w:r>
      <w:r w:rsidRPr="00B06D6B">
        <w:rPr>
          <w:rFonts w:hint="cs"/>
          <w:rtl/>
        </w:rPr>
        <w:t xml:space="preserve">ה אינה פוסלת בשחיטה, אין לו תקנה, דהרי חצי מהגוף של הולד </w:t>
      </w:r>
      <w:r>
        <w:rPr>
          <w:rFonts w:hint="cs"/>
          <w:rtl/>
        </w:rPr>
        <w:t xml:space="preserve">הוא כבשר, וחצי הגוף </w:t>
      </w:r>
      <w:r w:rsidRPr="00B06D6B">
        <w:rPr>
          <w:rFonts w:hint="cs"/>
          <w:rtl/>
        </w:rPr>
        <w:t xml:space="preserve">שחייב שחיטה מצד אמו לא נשחט כלל, והוסיף </w:t>
      </w:r>
      <w:r w:rsidRPr="00B06D6B">
        <w:rPr>
          <w:rStyle w:val="af9"/>
          <w:rFonts w:hint="cs"/>
          <w:rtl/>
        </w:rPr>
        <w:t>התוס' הרא"ש לקמן</w:t>
      </w:r>
      <w:r w:rsidRPr="00B06D6B">
        <w:rPr>
          <w:rFonts w:hint="cs"/>
          <w:rtl/>
        </w:rPr>
        <w:t xml:space="preserve"> </w:t>
      </w:r>
      <w:r w:rsidRPr="004304CE">
        <w:rPr>
          <w:rStyle w:val="af7"/>
          <w:rFonts w:eastAsia="Guttman Hodes" w:hint="cs"/>
          <w:rtl/>
        </w:rPr>
        <w:t>(עה: ד"ה בן פקועה)</w:t>
      </w:r>
      <w:r w:rsidRPr="00B06D6B">
        <w:rPr>
          <w:rFonts w:hint="cs"/>
          <w:rtl/>
        </w:rPr>
        <w:t xml:space="preserve"> דא"א להתירו בב' חצאי סימנים</w:t>
      </w:r>
      <w:r>
        <w:rPr>
          <w:rFonts w:hint="cs"/>
          <w:rtl/>
        </w:rPr>
        <w:t xml:space="preserve">, ועי' במה שתירץ </w:t>
      </w:r>
      <w:r w:rsidRPr="00D81C9A">
        <w:rPr>
          <w:rStyle w:val="af9"/>
          <w:rFonts w:hint="cs"/>
          <w:rtl/>
        </w:rPr>
        <w:t>השער"י</w:t>
      </w:r>
      <w:r>
        <w:rPr>
          <w:rFonts w:hint="cs"/>
          <w:rtl/>
        </w:rPr>
        <w:t xml:space="preserve"> </w:t>
      </w:r>
      <w:r w:rsidRPr="004304CE">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Ref989042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Pr>
          <w:rStyle w:val="af7"/>
          <w:rFonts w:eastAsia="Guttman Hodes"/>
          <w:rtl/>
        </w:rPr>
        <w:fldChar w:fldCharType="end"/>
      </w:r>
      <w:r>
        <w:rPr>
          <w:rFonts w:hint="cs"/>
          <w:rtl/>
        </w:rPr>
        <w:t xml:space="preserve"> את דברי </w:t>
      </w:r>
      <w:r w:rsidRPr="00695AD9">
        <w:rPr>
          <w:rStyle w:val="af9"/>
          <w:rFonts w:hint="cs"/>
          <w:rtl/>
        </w:rPr>
        <w:t>רש"י</w:t>
      </w:r>
      <w:r>
        <w:rPr>
          <w:rFonts w:hint="cs"/>
          <w:rtl/>
        </w:rPr>
        <w:t>.</w:t>
      </w:r>
      <w:bookmarkEnd w:id="18416"/>
    </w:p>
    <w:p w14:paraId="49962624" w14:textId="77777777" w:rsidR="003D504D" w:rsidRPr="00F21FDA" w:rsidRDefault="003D504D" w:rsidP="003D504D">
      <w:pPr>
        <w:pStyle w:val="a3"/>
      </w:pPr>
      <w:bookmarkStart w:id="18417" w:name="_Toc890708"/>
      <w:bookmarkStart w:id="18418" w:name="_Toc903102"/>
      <w:bookmarkStart w:id="18419" w:name="_Toc955473"/>
      <w:bookmarkStart w:id="18420" w:name="_Toc955766"/>
      <w:bookmarkStart w:id="18421" w:name="_Toc1039406"/>
      <w:bookmarkStart w:id="18422" w:name="_Toc1040649"/>
      <w:bookmarkStart w:id="18423" w:name="_Toc1063541"/>
      <w:bookmarkStart w:id="18424" w:name="_Toc1111973"/>
      <w:bookmarkStart w:id="18425" w:name="_Toc1123838"/>
      <w:bookmarkStart w:id="18426" w:name="_Toc19391357"/>
      <w:bookmarkStart w:id="18427" w:name="_Toc19394854"/>
      <w:r>
        <w:rPr>
          <w:rFonts w:hint="cs"/>
          <w:rtl/>
        </w:rPr>
        <w:t>דברי המהר"ם דבחציו לא התחיל לשחוט כלל וא"א להכשירו אף אם שהייה אינה פוסלת</w:t>
      </w:r>
      <w:bookmarkEnd w:id="18417"/>
      <w:bookmarkEnd w:id="18418"/>
      <w:bookmarkEnd w:id="18419"/>
      <w:bookmarkEnd w:id="18420"/>
      <w:bookmarkEnd w:id="18421"/>
      <w:bookmarkEnd w:id="18422"/>
      <w:bookmarkEnd w:id="18423"/>
      <w:bookmarkEnd w:id="18424"/>
      <w:bookmarkEnd w:id="18425"/>
      <w:bookmarkEnd w:id="18426"/>
      <w:bookmarkEnd w:id="18427"/>
    </w:p>
    <w:p w14:paraId="204200B5" w14:textId="77777777" w:rsidR="003D504D" w:rsidRDefault="003D504D" w:rsidP="00223668">
      <w:pPr>
        <w:pStyle w:val="a0"/>
        <w:rPr>
          <w:rtl/>
        </w:rPr>
      </w:pPr>
      <w:r w:rsidRPr="00B06D6B">
        <w:rPr>
          <w:rFonts w:hint="cs"/>
          <w:rtl/>
        </w:rPr>
        <w:t xml:space="preserve">וביאר </w:t>
      </w:r>
      <w:r w:rsidRPr="00B06D6B">
        <w:rPr>
          <w:rStyle w:val="af9"/>
          <w:rFonts w:hint="cs"/>
          <w:rtl/>
        </w:rPr>
        <w:t xml:space="preserve">המהר"ם </w:t>
      </w:r>
      <w:r w:rsidRPr="004304CE">
        <w:rPr>
          <w:rStyle w:val="af7"/>
          <w:rFonts w:eastAsia="Guttman Hodes" w:hint="cs"/>
          <w:rtl/>
        </w:rPr>
        <w:t xml:space="preserve">(עה: על תוד"ה בן פקועה) </w:t>
      </w:r>
      <w:r w:rsidRPr="00B06D6B">
        <w:rPr>
          <w:rFonts w:hint="cs"/>
          <w:rtl/>
        </w:rPr>
        <w:t xml:space="preserve">דכוונת </w:t>
      </w:r>
      <w:r w:rsidRPr="00B06D6B">
        <w:rPr>
          <w:rStyle w:val="af9"/>
          <w:rFonts w:hint="cs"/>
          <w:rtl/>
        </w:rPr>
        <w:t xml:space="preserve">התוס' </w:t>
      </w:r>
      <w:r w:rsidRPr="00B06D6B">
        <w:rPr>
          <w:rFonts w:hint="cs"/>
          <w:rtl/>
        </w:rPr>
        <w:t>להקשות דכ"מ ששייך לפסול בשהי</w:t>
      </w:r>
      <w:r>
        <w:rPr>
          <w:rFonts w:hint="cs"/>
          <w:rtl/>
        </w:rPr>
        <w:t>י</w:t>
      </w:r>
      <w:r w:rsidRPr="00B06D6B">
        <w:rPr>
          <w:rFonts w:hint="cs"/>
          <w:rtl/>
        </w:rPr>
        <w:t>ה, הוא כשהתחיל לשחוט ושהה וחזר ושחט, אבל הכא חצי הגוף של הולד שחייב שחיטה מצד אמו, לא נשחט מעולם ולא הייתה בו אף התחלה של שחיטה, ולכן אף אם שהי</w:t>
      </w:r>
      <w:r>
        <w:rPr>
          <w:rFonts w:hint="cs"/>
          <w:rtl/>
        </w:rPr>
        <w:t>י</w:t>
      </w:r>
      <w:r w:rsidRPr="00B06D6B">
        <w:rPr>
          <w:rFonts w:hint="cs"/>
          <w:rtl/>
        </w:rPr>
        <w:t>ה אינה פוסלת, א"א להתירו.</w:t>
      </w:r>
    </w:p>
    <w:p w14:paraId="1F21DA20" w14:textId="77777777" w:rsidR="003D504D" w:rsidRPr="004E63F7" w:rsidRDefault="003D504D" w:rsidP="00BF39B2">
      <w:pPr>
        <w:pStyle w:val="1"/>
        <w:rPr>
          <w:rtl/>
        </w:rPr>
      </w:pPr>
      <w:bookmarkStart w:id="18428" w:name="_Toc890709"/>
      <w:bookmarkStart w:id="18429" w:name="_Toc903103"/>
      <w:bookmarkStart w:id="18430" w:name="_Toc955474"/>
      <w:bookmarkStart w:id="18431" w:name="_Toc955767"/>
      <w:bookmarkStart w:id="18432" w:name="_Toc1039407"/>
      <w:bookmarkStart w:id="18433" w:name="_Toc1040650"/>
      <w:bookmarkStart w:id="18434" w:name="_Toc1063542"/>
      <w:bookmarkStart w:id="18435" w:name="_Toc1111974"/>
      <w:bookmarkStart w:id="18436" w:name="_Toc1123839"/>
      <w:bookmarkStart w:id="18437" w:name="_Toc19391358"/>
      <w:bookmarkStart w:id="18438" w:name="_Toc19394855"/>
      <w:r>
        <w:rPr>
          <w:rFonts w:hint="cs"/>
          <w:rtl/>
        </w:rPr>
        <w:t>קושיות התוס' והראשונים דלרש"י יש תקנה לאבר היוצא</w:t>
      </w:r>
      <w:bookmarkEnd w:id="18428"/>
      <w:bookmarkEnd w:id="18429"/>
      <w:bookmarkEnd w:id="18430"/>
      <w:bookmarkEnd w:id="18431"/>
      <w:bookmarkEnd w:id="18432"/>
      <w:bookmarkEnd w:id="18433"/>
      <w:bookmarkEnd w:id="18434"/>
      <w:bookmarkEnd w:id="18435"/>
      <w:bookmarkEnd w:id="18436"/>
      <w:bookmarkEnd w:id="18437"/>
      <w:bookmarkEnd w:id="18438"/>
    </w:p>
    <w:p w14:paraId="70B9C434" w14:textId="77777777" w:rsidR="003D504D" w:rsidRDefault="003D504D" w:rsidP="003D504D">
      <w:pPr>
        <w:pStyle w:val="a3"/>
        <w:rPr>
          <w:rtl/>
        </w:rPr>
      </w:pPr>
      <w:bookmarkStart w:id="18439" w:name="_Toc890710"/>
      <w:bookmarkStart w:id="18440" w:name="_Toc903104"/>
      <w:bookmarkStart w:id="18441" w:name="_Toc955475"/>
      <w:bookmarkStart w:id="18442" w:name="_Toc955768"/>
      <w:bookmarkStart w:id="18443" w:name="_Toc1039408"/>
      <w:bookmarkStart w:id="18444" w:name="_Toc1040651"/>
      <w:bookmarkStart w:id="18445" w:name="_Toc1063543"/>
      <w:bookmarkStart w:id="18446" w:name="_Toc1111975"/>
      <w:bookmarkStart w:id="18447" w:name="_Toc1123840"/>
      <w:bookmarkStart w:id="18448" w:name="_Toc19391359"/>
      <w:bookmarkStart w:id="18449" w:name="_Toc19394856"/>
      <w:r>
        <w:rPr>
          <w:rFonts w:hint="cs"/>
          <w:rtl/>
        </w:rPr>
        <w:t>קושית התוס' דבסוגיין מבואר דא"א להתיר את האבר היוצא לכו"ע כיון שסימניו כשחוטים</w:t>
      </w:r>
      <w:bookmarkEnd w:id="18439"/>
      <w:bookmarkEnd w:id="18440"/>
      <w:bookmarkEnd w:id="18441"/>
      <w:bookmarkEnd w:id="18442"/>
      <w:bookmarkEnd w:id="18443"/>
      <w:bookmarkEnd w:id="18444"/>
      <w:bookmarkEnd w:id="18445"/>
      <w:bookmarkEnd w:id="18446"/>
      <w:bookmarkEnd w:id="18447"/>
      <w:bookmarkEnd w:id="18448"/>
      <w:bookmarkEnd w:id="18449"/>
    </w:p>
    <w:p w14:paraId="21A90324" w14:textId="77777777" w:rsidR="003D504D" w:rsidRPr="006C1F72" w:rsidRDefault="003D504D" w:rsidP="00223668">
      <w:pPr>
        <w:pStyle w:val="a0"/>
        <w:rPr>
          <w:rtl/>
        </w:rPr>
      </w:pPr>
      <w:r w:rsidRPr="00B06D6B">
        <w:rPr>
          <w:rFonts w:hint="cs"/>
          <w:rtl/>
        </w:rPr>
        <w:t>ו</w:t>
      </w:r>
      <w:r>
        <w:rPr>
          <w:rFonts w:hint="cs"/>
          <w:rtl/>
        </w:rPr>
        <w:t>ב</w:t>
      </w:r>
      <w:r w:rsidRPr="00B06D6B">
        <w:rPr>
          <w:rFonts w:hint="cs"/>
          <w:rtl/>
        </w:rPr>
        <w:t xml:space="preserve">מ"ש </w:t>
      </w:r>
      <w:r w:rsidRPr="00B06D6B">
        <w:rPr>
          <w:rStyle w:val="af9"/>
          <w:rFonts w:hint="cs"/>
          <w:rtl/>
        </w:rPr>
        <w:t xml:space="preserve">רש"י לקמן </w:t>
      </w:r>
      <w:r w:rsidRPr="004304CE">
        <w:rPr>
          <w:rStyle w:val="af7"/>
          <w:rFonts w:eastAsia="Guttman Hodes" w:hint="cs"/>
          <w:rtl/>
        </w:rPr>
        <w:t xml:space="preserve">(עי' אות </w:t>
      </w:r>
      <w:r w:rsidRPr="00EF0568">
        <w:rPr>
          <w:rStyle w:val="af7"/>
          <w:rFonts w:eastAsia="Guttman Hodes"/>
          <w:rtl/>
        </w:rPr>
        <w:fldChar w:fldCharType="begin"/>
      </w:r>
      <w:r w:rsidRPr="00EF0568">
        <w:rPr>
          <w:rStyle w:val="af7"/>
          <w:rFonts w:eastAsia="Guttman Hodes"/>
          <w:rtl/>
        </w:rPr>
        <w:instrText xml:space="preserve"> </w:instrText>
      </w:r>
      <w:r w:rsidRPr="00EF0568">
        <w:rPr>
          <w:rStyle w:val="af7"/>
          <w:rFonts w:eastAsia="Guttman Hodes" w:hint="cs"/>
        </w:rPr>
        <w:instrText>REF</w:instrText>
      </w:r>
      <w:r w:rsidRPr="00EF0568">
        <w:rPr>
          <w:rStyle w:val="af7"/>
          <w:rFonts w:eastAsia="Guttman Hodes" w:hint="cs"/>
          <w:rtl/>
        </w:rPr>
        <w:instrText xml:space="preserve"> _</w:instrText>
      </w:r>
      <w:r w:rsidRPr="00EF0568">
        <w:rPr>
          <w:rStyle w:val="af7"/>
          <w:rFonts w:eastAsia="Guttman Hodes" w:hint="cs"/>
        </w:rPr>
        <w:instrText>Ref862814 \r \h</w:instrText>
      </w:r>
      <w:r w:rsidRPr="00EF0568">
        <w:rPr>
          <w:rStyle w:val="af7"/>
          <w:rFonts w:eastAsia="Guttman Hodes"/>
          <w:rtl/>
        </w:rPr>
        <w:instrText xml:space="preserve"> </w:instrText>
      </w:r>
      <w:r w:rsidRPr="00EF0568">
        <w:rPr>
          <w:rStyle w:val="af7"/>
          <w:rFonts w:eastAsia="Guttman Hodes"/>
          <w:rtl/>
        </w:rPr>
      </w:r>
      <w:r w:rsidRPr="00EF0568">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EF0568">
        <w:rPr>
          <w:rStyle w:val="af7"/>
          <w:rFonts w:eastAsia="Guttman Hodes"/>
          <w:rtl/>
        </w:rPr>
        <w:fldChar w:fldCharType="end"/>
      </w:r>
      <w:r>
        <w:rPr>
          <w:rStyle w:val="af9"/>
          <w:rFonts w:hint="cs"/>
          <w:rtl/>
        </w:rPr>
        <w:t xml:space="preserve"> </w:t>
      </w:r>
      <w:r w:rsidRPr="00B06D6B">
        <w:rPr>
          <w:rFonts w:hint="cs"/>
          <w:rtl/>
        </w:rPr>
        <w:t xml:space="preserve">דרב משרשיא פליג על דברי המ"ד דס"ל בגמ' שם </w:t>
      </w:r>
      <w:r w:rsidRPr="004304CE">
        <w:rPr>
          <w:rStyle w:val="af7"/>
          <w:rFonts w:eastAsia="Guttman Hodes" w:hint="cs"/>
          <w:rtl/>
        </w:rPr>
        <w:t>(עה:)</w:t>
      </w:r>
      <w:r w:rsidRPr="00B06D6B">
        <w:rPr>
          <w:rFonts w:hint="cs"/>
          <w:rtl/>
        </w:rPr>
        <w:t xml:space="preserve"> דד' סימנים אכשר ביה רחמנא, </w:t>
      </w:r>
      <w:r>
        <w:rPr>
          <w:rFonts w:hint="cs"/>
          <w:rtl/>
        </w:rPr>
        <w:t>הקשו</w:t>
      </w:r>
      <w:r w:rsidRPr="00B06D6B">
        <w:rPr>
          <w:rFonts w:hint="cs"/>
          <w:rtl/>
        </w:rPr>
        <w:t xml:space="preserve"> </w:t>
      </w:r>
      <w:r w:rsidRPr="00B06D6B">
        <w:rPr>
          <w:rStyle w:val="af9"/>
          <w:rFonts w:hint="cs"/>
          <w:rtl/>
        </w:rPr>
        <w:t>התוס' לקמן</w:t>
      </w:r>
      <w:r w:rsidRPr="00B06D6B">
        <w:rPr>
          <w:rFonts w:hint="cs"/>
          <w:rtl/>
        </w:rPr>
        <w:t xml:space="preserve"> דמשמע </w:t>
      </w:r>
      <w:r w:rsidRPr="00B06D6B">
        <w:rPr>
          <w:rStyle w:val="af9"/>
          <w:rFonts w:hint="cs"/>
          <w:rtl/>
        </w:rPr>
        <w:t>ברש"י</w:t>
      </w:r>
      <w:r w:rsidRPr="00B06D6B">
        <w:rPr>
          <w:rFonts w:hint="cs"/>
          <w:rtl/>
        </w:rPr>
        <w:t xml:space="preserve"> </w:t>
      </w:r>
      <w:r w:rsidRPr="00A845CC">
        <w:rPr>
          <w:rFonts w:hint="cs"/>
          <w:rtl/>
        </w:rPr>
        <w:t xml:space="preserve">דהמ"ד בגמ' שם דס"ל דד' סימנים אכשר ביה רחמנא, פליג על המבואר בסוגיין </w:t>
      </w:r>
      <w:r>
        <w:rPr>
          <w:rFonts w:hint="cs"/>
          <w:rtl/>
        </w:rPr>
        <w:t>ד</w:t>
      </w:r>
      <w:r w:rsidRPr="00A845CC">
        <w:rPr>
          <w:rFonts w:hint="cs"/>
          <w:rtl/>
        </w:rPr>
        <w:t>אבר היוצא</w:t>
      </w:r>
      <w:r>
        <w:rPr>
          <w:rFonts w:hint="cs"/>
          <w:rtl/>
        </w:rPr>
        <w:t xml:space="preserve"> </w:t>
      </w:r>
      <w:r w:rsidRPr="00A845CC">
        <w:rPr>
          <w:rFonts w:hint="cs"/>
          <w:rtl/>
        </w:rPr>
        <w:t>אין לו תקנה</w:t>
      </w:r>
      <w:r>
        <w:rPr>
          <w:rFonts w:hint="cs"/>
          <w:rtl/>
        </w:rPr>
        <w:t xml:space="preserve">, </w:t>
      </w:r>
      <w:r w:rsidRPr="00A845CC">
        <w:rPr>
          <w:rStyle w:val="afb"/>
          <w:rFonts w:hint="cs"/>
          <w:rtl/>
        </w:rPr>
        <w:t>[עפ"י</w:t>
      </w:r>
      <w:r>
        <w:rPr>
          <w:rFonts w:hint="cs"/>
          <w:rtl/>
        </w:rPr>
        <w:t xml:space="preserve"> </w:t>
      </w:r>
      <w:r>
        <w:rPr>
          <w:rStyle w:val="affa"/>
          <w:rFonts w:hint="cs"/>
          <w:rtl/>
        </w:rPr>
        <w:t xml:space="preserve">הג' השיטמ"ק </w:t>
      </w:r>
      <w:r w:rsidRPr="00E56146">
        <w:rPr>
          <w:rStyle w:val="aff6"/>
          <w:rFonts w:hint="cs"/>
          <w:rtl/>
        </w:rPr>
        <w:t>(אות ב'</w:t>
      </w:r>
      <w:r>
        <w:rPr>
          <w:rStyle w:val="aff6"/>
          <w:rFonts w:hint="cs"/>
          <w:rtl/>
        </w:rPr>
        <w:t xml:space="preserve"> [י']</w:t>
      </w:r>
      <w:r w:rsidRPr="00E56146">
        <w:rPr>
          <w:rStyle w:val="aff6"/>
          <w:rFonts w:hint="cs"/>
          <w:rtl/>
        </w:rPr>
        <w:t xml:space="preserve">) </w:t>
      </w:r>
      <w:r>
        <w:rPr>
          <w:rStyle w:val="affa"/>
          <w:rFonts w:hint="cs"/>
          <w:rtl/>
        </w:rPr>
        <w:t>ו</w:t>
      </w:r>
      <w:r w:rsidRPr="00A845CC">
        <w:rPr>
          <w:rStyle w:val="affa"/>
          <w:rFonts w:hint="cs"/>
          <w:rtl/>
        </w:rPr>
        <w:t>הג' הב"ח</w:t>
      </w:r>
      <w:r w:rsidRPr="00A845CC">
        <w:rPr>
          <w:rStyle w:val="afb"/>
          <w:rFonts w:hint="cs"/>
          <w:rtl/>
        </w:rPr>
        <w:t xml:space="preserve"> </w:t>
      </w:r>
      <w:r w:rsidRPr="00A845CC">
        <w:rPr>
          <w:rStyle w:val="aff6"/>
          <w:rFonts w:hint="cs"/>
          <w:rtl/>
        </w:rPr>
        <w:t>(אות ד')</w:t>
      </w:r>
      <w:r w:rsidRPr="00A845CC">
        <w:rPr>
          <w:rStyle w:val="afb"/>
          <w:rFonts w:hint="cs"/>
          <w:rtl/>
        </w:rPr>
        <w:t>]</w:t>
      </w:r>
      <w:r w:rsidRPr="00A845CC">
        <w:rPr>
          <w:rFonts w:hint="cs"/>
          <w:rtl/>
        </w:rPr>
        <w:t xml:space="preserve">, והקשו </w:t>
      </w:r>
      <w:r w:rsidRPr="00A845CC">
        <w:rPr>
          <w:rStyle w:val="af9"/>
          <w:rFonts w:hint="cs"/>
          <w:rtl/>
        </w:rPr>
        <w:t>התוס' לקמן</w:t>
      </w:r>
      <w:r w:rsidRPr="00A845CC">
        <w:rPr>
          <w:rFonts w:hint="cs"/>
          <w:rtl/>
        </w:rPr>
        <w:t xml:space="preserve"> דכיון שסימנין חשיבי כשחוטין וא"א לשוחטם, לכו"ע</w:t>
      </w:r>
      <w:r w:rsidRPr="006C1F72">
        <w:rPr>
          <w:rFonts w:hint="cs"/>
          <w:rtl/>
        </w:rPr>
        <w:t xml:space="preserve"> לא שייך להתירו כלל, והמ"ד בגמ' שם לא פליג על המבואר בסוגיין.</w:t>
      </w:r>
    </w:p>
    <w:p w14:paraId="6BEA467B" w14:textId="77777777" w:rsidR="003D504D" w:rsidRPr="006C1F72" w:rsidRDefault="003D504D" w:rsidP="003D504D">
      <w:pPr>
        <w:pStyle w:val="a3"/>
        <w:rPr>
          <w:rtl/>
        </w:rPr>
      </w:pPr>
      <w:bookmarkStart w:id="18450" w:name="_Toc890711"/>
      <w:bookmarkStart w:id="18451" w:name="_Toc903105"/>
      <w:bookmarkStart w:id="18452" w:name="_Toc955476"/>
      <w:bookmarkStart w:id="18453" w:name="_Toc955769"/>
      <w:bookmarkStart w:id="18454" w:name="_Toc1039409"/>
      <w:bookmarkStart w:id="18455" w:name="_Toc1040652"/>
      <w:bookmarkStart w:id="18456" w:name="_Toc1063544"/>
      <w:bookmarkStart w:id="18457" w:name="_Toc1111976"/>
      <w:bookmarkStart w:id="18458" w:name="_Toc1123841"/>
      <w:bookmarkStart w:id="18459" w:name="_Toc19391360"/>
      <w:bookmarkStart w:id="18460" w:name="_Toc19394857"/>
      <w:r w:rsidRPr="006C1F72">
        <w:rPr>
          <w:rFonts w:hint="cs"/>
          <w:rtl/>
        </w:rPr>
        <w:t>קושית הראשונים דמוכח דאין תקנה לאבר היוצא ולרש"י למ"ד בגמ' לקמן מותר בשחיטת עצמו</w:t>
      </w:r>
      <w:bookmarkEnd w:id="18450"/>
      <w:bookmarkEnd w:id="18451"/>
      <w:bookmarkEnd w:id="18452"/>
      <w:bookmarkEnd w:id="18453"/>
      <w:bookmarkEnd w:id="18454"/>
      <w:bookmarkEnd w:id="18455"/>
      <w:bookmarkEnd w:id="18456"/>
      <w:bookmarkEnd w:id="18457"/>
      <w:bookmarkEnd w:id="18458"/>
      <w:bookmarkEnd w:id="18459"/>
      <w:bookmarkEnd w:id="18460"/>
    </w:p>
    <w:p w14:paraId="159EC4B0" w14:textId="77777777" w:rsidR="003D504D" w:rsidRPr="006C1F72" w:rsidRDefault="003D504D" w:rsidP="00223668">
      <w:pPr>
        <w:pStyle w:val="a0"/>
      </w:pPr>
      <w:bookmarkStart w:id="18461" w:name="_Ref884858"/>
      <w:r w:rsidRPr="006C1F72">
        <w:rPr>
          <w:rFonts w:hint="cs"/>
          <w:rtl/>
        </w:rPr>
        <w:t xml:space="preserve">וכן הקשו </w:t>
      </w:r>
      <w:r w:rsidRPr="006C1F72">
        <w:rPr>
          <w:rStyle w:val="af9"/>
          <w:rFonts w:hint="cs"/>
          <w:rtl/>
        </w:rPr>
        <w:t>הרמב"ן לקמן</w:t>
      </w:r>
      <w:r w:rsidRPr="006C1F72">
        <w:rPr>
          <w:rStyle w:val="af7"/>
          <w:rFonts w:eastAsia="Guttman Hodes" w:hint="cs"/>
          <w:rtl/>
        </w:rPr>
        <w:t xml:space="preserve"> (עה: ד"ה לדברי) </w:t>
      </w:r>
      <w:r w:rsidRPr="006C1F72">
        <w:rPr>
          <w:rStyle w:val="af9"/>
          <w:rFonts w:hint="cs"/>
          <w:rtl/>
        </w:rPr>
        <w:t xml:space="preserve">והר"ן על הרי"ף </w:t>
      </w:r>
      <w:r w:rsidRPr="006C1F72">
        <w:rPr>
          <w:rStyle w:val="af7"/>
          <w:rFonts w:eastAsia="Guttman Hodes" w:hint="cs"/>
          <w:rtl/>
        </w:rPr>
        <w:t>(כה: מדפי הרי"ף ד"ה וגרסי')</w:t>
      </w:r>
      <w:r w:rsidRPr="006C1F72">
        <w:rPr>
          <w:rFonts w:hint="cs"/>
          <w:rtl/>
        </w:rPr>
        <w:t xml:space="preserve"> </w:t>
      </w:r>
      <w:r w:rsidRPr="006C1F72">
        <w:rPr>
          <w:rStyle w:val="af9"/>
          <w:rFonts w:hint="cs"/>
          <w:rtl/>
        </w:rPr>
        <w:t>והרשב"א</w:t>
      </w:r>
      <w:r w:rsidRPr="006C1F72">
        <w:rPr>
          <w:rFonts w:hint="cs"/>
          <w:rtl/>
        </w:rPr>
        <w:t xml:space="preserve"> </w:t>
      </w:r>
      <w:r w:rsidRPr="006C1F72">
        <w:rPr>
          <w:rStyle w:val="af9"/>
          <w:rFonts w:hint="cs"/>
          <w:rtl/>
        </w:rPr>
        <w:t>בחי'</w:t>
      </w:r>
      <w:r w:rsidRPr="006C1F72">
        <w:rPr>
          <w:rFonts w:hint="cs"/>
          <w:rtl/>
        </w:rPr>
        <w:t xml:space="preserve"> </w:t>
      </w:r>
      <w:r w:rsidRPr="006C1F72">
        <w:rPr>
          <w:rStyle w:val="af9"/>
          <w:rFonts w:hint="cs"/>
          <w:rtl/>
        </w:rPr>
        <w:t>ובתוה"ב</w:t>
      </w:r>
      <w:r w:rsidRPr="006C1F72">
        <w:rPr>
          <w:rFonts w:hint="cs"/>
          <w:rtl/>
        </w:rPr>
        <w:t xml:space="preserve"> דבסוגיין בספק הגמ' ב</w:t>
      </w:r>
      <w:r w:rsidRPr="006C1F72">
        <w:rPr>
          <w:rtl/>
        </w:rPr>
        <w:t>חלב</w:t>
      </w:r>
      <w:r w:rsidRPr="006C1F72">
        <w:rPr>
          <w:rFonts w:hint="cs"/>
          <w:rtl/>
        </w:rPr>
        <w:t xml:space="preserve"> מבואר דהוא דבר פשוט דאבר היוצא אין לו תקנה בשחיטה לעולם, ואילו לדברי </w:t>
      </w:r>
      <w:r w:rsidRPr="006C1F72">
        <w:rPr>
          <w:rStyle w:val="af9"/>
          <w:rFonts w:hint="cs"/>
          <w:rtl/>
        </w:rPr>
        <w:t>רש"י לקמן</w:t>
      </w:r>
      <w:r w:rsidRPr="006C1F72">
        <w:rPr>
          <w:rFonts w:hint="cs"/>
          <w:rtl/>
        </w:rPr>
        <w:t xml:space="preserve"> למ"ד דד' סימנים אכשר ביה רחמנא, אפשר להתיר את האבר היוצא בשחיטת עצמו, דשחיטת אמו מתירה את כל גופו, ושחיטת עצמו מתירה את האבר היוצא, </w:t>
      </w:r>
      <w:r w:rsidRPr="006C1F72">
        <w:rPr>
          <w:rStyle w:val="afb"/>
          <w:rFonts w:hint="cs"/>
          <w:rtl/>
        </w:rPr>
        <w:t xml:space="preserve">[והוסיף </w:t>
      </w:r>
      <w:r w:rsidRPr="006C1F72">
        <w:rPr>
          <w:rStyle w:val="affa"/>
          <w:rFonts w:hint="cs"/>
          <w:rtl/>
        </w:rPr>
        <w:t>הרמב"ן לקמן</w:t>
      </w:r>
      <w:r w:rsidRPr="006C1F72">
        <w:rPr>
          <w:rStyle w:val="afb"/>
          <w:rFonts w:hint="cs"/>
          <w:rtl/>
        </w:rPr>
        <w:t xml:space="preserve"> דאין לומר דכיון שיצא האבר מחוץ למחיצתו לא שייך בו היתר, דהא לדברי </w:t>
      </w:r>
      <w:r w:rsidRPr="006C1F72">
        <w:rPr>
          <w:rStyle w:val="affa"/>
          <w:rFonts w:hint="cs"/>
          <w:rtl/>
        </w:rPr>
        <w:t>רש"י</w:t>
      </w:r>
      <w:r w:rsidRPr="006C1F72">
        <w:rPr>
          <w:rStyle w:val="afb"/>
          <w:rFonts w:hint="cs"/>
          <w:rtl/>
        </w:rPr>
        <w:t xml:space="preserve"> למ"ד דד' סימנים אכשר ביה רחמנא, אפשר להתירו בשחיטת עצמו],</w:t>
      </w:r>
      <w:r w:rsidRPr="006C1F72">
        <w:rPr>
          <w:rFonts w:hint="cs"/>
          <w:rtl/>
        </w:rPr>
        <w:t xml:space="preserve"> ועוד הקש</w:t>
      </w:r>
      <w:bookmarkStart w:id="18462" w:name="_Ref797645"/>
      <w:r w:rsidRPr="006C1F72">
        <w:rPr>
          <w:rFonts w:hint="cs"/>
          <w:rtl/>
        </w:rPr>
        <w:t xml:space="preserve">ו </w:t>
      </w:r>
      <w:r w:rsidRPr="006C1F72">
        <w:rPr>
          <w:rStyle w:val="af9"/>
          <w:rFonts w:hint="cs"/>
          <w:rtl/>
        </w:rPr>
        <w:t>הרשב"א בחי'</w:t>
      </w:r>
      <w:r w:rsidRPr="006C1F72">
        <w:rPr>
          <w:rFonts w:hint="cs"/>
          <w:rtl/>
        </w:rPr>
        <w:t xml:space="preserve"> </w:t>
      </w:r>
      <w:r w:rsidRPr="006C1F72">
        <w:rPr>
          <w:rStyle w:val="af9"/>
          <w:rFonts w:hint="cs"/>
          <w:rtl/>
        </w:rPr>
        <w:t>ובתוה"ב</w:t>
      </w:r>
      <w:r w:rsidRPr="006C1F72">
        <w:rPr>
          <w:rFonts w:hint="cs"/>
          <w:rtl/>
        </w:rPr>
        <w:t xml:space="preserve"> </w:t>
      </w:r>
      <w:r w:rsidRPr="006C1F72">
        <w:rPr>
          <w:rStyle w:val="af9"/>
          <w:rFonts w:hint="cs"/>
          <w:rtl/>
        </w:rPr>
        <w:t xml:space="preserve">והר"ן על הרי"ף </w:t>
      </w:r>
      <w:r w:rsidRPr="006C1F72">
        <w:rPr>
          <w:rFonts w:hint="cs"/>
          <w:rtl/>
        </w:rPr>
        <w:t xml:space="preserve">דאיתא בגמ' לקמן </w:t>
      </w:r>
      <w:r w:rsidRPr="006C1F72">
        <w:rPr>
          <w:rStyle w:val="af7"/>
          <w:rFonts w:eastAsia="Guttman Hodes" w:hint="cs"/>
          <w:rtl/>
        </w:rPr>
        <w:t>(סח:)</w:t>
      </w:r>
      <w:r w:rsidRPr="006C1F72">
        <w:rPr>
          <w:rFonts w:hint="cs"/>
          <w:rtl/>
        </w:rPr>
        <w:t xml:space="preserve"> דאיסור יוצא אין לו היתר כטריפה שאין לה היתר, ומבואר דאף בשחיטת עצמו אין לו תקנה</w:t>
      </w:r>
      <w:bookmarkEnd w:id="18462"/>
      <w:r w:rsidRPr="006C1F72">
        <w:rPr>
          <w:rFonts w:hint="cs"/>
          <w:rtl/>
        </w:rPr>
        <w:t xml:space="preserve">, ועי' במה שתירץ </w:t>
      </w:r>
      <w:r w:rsidRPr="006C1F72">
        <w:rPr>
          <w:rStyle w:val="af9"/>
          <w:rFonts w:hint="cs"/>
          <w:rtl/>
        </w:rPr>
        <w:t>השער"י</w:t>
      </w:r>
      <w:r w:rsidRPr="006C1F72">
        <w:rPr>
          <w:rFonts w:hint="cs"/>
          <w:rtl/>
        </w:rPr>
        <w:t xml:space="preserve"> </w:t>
      </w:r>
      <w:r w:rsidRPr="006C1F72">
        <w:rPr>
          <w:rStyle w:val="af7"/>
          <w:rFonts w:eastAsia="Guttman Hodes" w:hint="cs"/>
          <w:rtl/>
        </w:rPr>
        <w:t xml:space="preserve">(עי' אות </w:t>
      </w:r>
      <w:r w:rsidRPr="006C1F72">
        <w:rPr>
          <w:rStyle w:val="af7"/>
          <w:rFonts w:eastAsia="Guttman Hodes"/>
          <w:rtl/>
        </w:rPr>
        <w:fldChar w:fldCharType="begin"/>
      </w:r>
      <w:r w:rsidRPr="006C1F72">
        <w:rPr>
          <w:rStyle w:val="af7"/>
          <w:rFonts w:eastAsia="Guttman Hodes"/>
          <w:rtl/>
        </w:rPr>
        <w:instrText xml:space="preserve"> </w:instrText>
      </w:r>
      <w:r w:rsidRPr="006C1F72">
        <w:rPr>
          <w:rStyle w:val="af7"/>
          <w:rFonts w:eastAsia="Guttman Hodes" w:hint="cs"/>
        </w:rPr>
        <w:instrText>REF</w:instrText>
      </w:r>
      <w:r w:rsidRPr="006C1F72">
        <w:rPr>
          <w:rStyle w:val="af7"/>
          <w:rFonts w:eastAsia="Guttman Hodes" w:hint="cs"/>
          <w:rtl/>
        </w:rPr>
        <w:instrText xml:space="preserve"> _</w:instrText>
      </w:r>
      <w:r w:rsidRPr="006C1F72">
        <w:rPr>
          <w:rStyle w:val="af7"/>
          <w:rFonts w:eastAsia="Guttman Hodes" w:hint="cs"/>
        </w:rPr>
        <w:instrText>Ref989042 \r \h</w:instrText>
      </w:r>
      <w:r w:rsidRPr="006C1F72">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6C1F72">
        <w:rPr>
          <w:rStyle w:val="af7"/>
          <w:rFonts w:eastAsia="Guttman Hodes"/>
          <w:rtl/>
        </w:rPr>
      </w:r>
      <w:r w:rsidRPr="006C1F72">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6C1F72">
        <w:rPr>
          <w:rStyle w:val="af7"/>
          <w:rFonts w:eastAsia="Guttman Hodes"/>
          <w:rtl/>
        </w:rPr>
        <w:fldChar w:fldCharType="end"/>
      </w:r>
      <w:r w:rsidRPr="006C1F72">
        <w:rPr>
          <w:rFonts w:hint="cs"/>
          <w:rtl/>
        </w:rPr>
        <w:t xml:space="preserve"> את דברי </w:t>
      </w:r>
      <w:r w:rsidRPr="006C1F72">
        <w:rPr>
          <w:rStyle w:val="af9"/>
          <w:rFonts w:hint="cs"/>
          <w:rtl/>
        </w:rPr>
        <w:t>רש"י</w:t>
      </w:r>
      <w:r w:rsidRPr="006C1F72">
        <w:rPr>
          <w:rFonts w:hint="cs"/>
          <w:rtl/>
        </w:rPr>
        <w:t>.</w:t>
      </w:r>
      <w:bookmarkEnd w:id="18461"/>
    </w:p>
    <w:p w14:paraId="06EC4BEA" w14:textId="77777777" w:rsidR="003D504D" w:rsidRPr="00BF72E4" w:rsidRDefault="003D504D" w:rsidP="003D504D">
      <w:pPr>
        <w:pStyle w:val="a3"/>
        <w:rPr>
          <w:rtl/>
        </w:rPr>
      </w:pPr>
      <w:bookmarkStart w:id="18463" w:name="_Toc890712"/>
      <w:bookmarkStart w:id="18464" w:name="_Toc903106"/>
      <w:bookmarkStart w:id="18465" w:name="_Toc955477"/>
      <w:bookmarkStart w:id="18466" w:name="_Toc955770"/>
      <w:bookmarkStart w:id="18467" w:name="_Toc1039410"/>
      <w:bookmarkStart w:id="18468" w:name="_Toc1040653"/>
      <w:bookmarkStart w:id="18469" w:name="_Toc1063545"/>
      <w:bookmarkStart w:id="18470" w:name="_Toc1111977"/>
      <w:bookmarkStart w:id="18471" w:name="_Toc1123842"/>
      <w:bookmarkStart w:id="18472" w:name="_Toc19391361"/>
      <w:bookmarkStart w:id="18473" w:name="_Toc19394858"/>
      <w:r w:rsidRPr="006C1F72">
        <w:rPr>
          <w:rFonts w:hint="cs"/>
          <w:rtl/>
        </w:rPr>
        <w:t>קושית הר"ן דלרש"י קשיא הלכתא כרב משרשיא על ההלכתא</w:t>
      </w:r>
      <w:r>
        <w:rPr>
          <w:rFonts w:hint="cs"/>
          <w:rtl/>
        </w:rPr>
        <w:t xml:space="preserve"> דד' סימנים אכשר ביה רחמנא</w:t>
      </w:r>
      <w:bookmarkEnd w:id="18463"/>
      <w:bookmarkEnd w:id="18464"/>
      <w:bookmarkEnd w:id="18465"/>
      <w:bookmarkEnd w:id="18466"/>
      <w:bookmarkEnd w:id="18467"/>
      <w:bookmarkEnd w:id="18468"/>
      <w:bookmarkEnd w:id="18469"/>
      <w:bookmarkEnd w:id="18470"/>
      <w:bookmarkEnd w:id="18471"/>
      <w:bookmarkEnd w:id="18472"/>
      <w:bookmarkEnd w:id="18473"/>
    </w:p>
    <w:p w14:paraId="3228F76C" w14:textId="77777777" w:rsidR="003D504D" w:rsidRPr="00B06D6B" w:rsidRDefault="003D504D" w:rsidP="00223668">
      <w:pPr>
        <w:pStyle w:val="a0"/>
        <w:rPr>
          <w:rtl/>
        </w:rPr>
      </w:pPr>
      <w:r>
        <w:rPr>
          <w:rFonts w:hint="cs"/>
          <w:rtl/>
        </w:rPr>
        <w:t xml:space="preserve">ועוד </w:t>
      </w:r>
      <w:r w:rsidRPr="00B06D6B">
        <w:rPr>
          <w:rFonts w:hint="cs"/>
          <w:rtl/>
        </w:rPr>
        <w:t xml:space="preserve">הקשה </w:t>
      </w:r>
      <w:r w:rsidRPr="00B06D6B">
        <w:rPr>
          <w:rStyle w:val="af9"/>
          <w:rFonts w:hint="cs"/>
          <w:rtl/>
        </w:rPr>
        <w:t xml:space="preserve">הר"ן על הרי"ף </w:t>
      </w:r>
      <w:r w:rsidRPr="00B06D6B">
        <w:rPr>
          <w:rFonts w:hint="cs"/>
          <w:rtl/>
        </w:rPr>
        <w:t xml:space="preserve">דהא קיי"ל דד' סימנים אכשר ביה רחמנא, </w:t>
      </w:r>
      <w:r w:rsidRPr="00A845CC">
        <w:rPr>
          <w:rFonts w:hint="cs"/>
          <w:rtl/>
        </w:rPr>
        <w:t>ובסוגיין משמע דקיי"ל כרב משרשיא דאין לולד תקנה, דהא לא הביאה הגמ' מ"ד דפליג</w:t>
      </w:r>
      <w:r w:rsidRPr="00B06D6B">
        <w:rPr>
          <w:rFonts w:hint="cs"/>
          <w:rtl/>
        </w:rPr>
        <w:t xml:space="preserve"> עליה</w:t>
      </w:r>
      <w:r>
        <w:rPr>
          <w:rFonts w:hint="cs"/>
          <w:rtl/>
        </w:rPr>
        <w:t xml:space="preserve">, ולדברי </w:t>
      </w:r>
      <w:r w:rsidRPr="00A56597">
        <w:rPr>
          <w:rStyle w:val="af9"/>
          <w:rFonts w:hint="cs"/>
          <w:rtl/>
        </w:rPr>
        <w:t>רש"י</w:t>
      </w:r>
      <w:r>
        <w:rPr>
          <w:rFonts w:hint="cs"/>
          <w:rtl/>
        </w:rPr>
        <w:t xml:space="preserve"> קשיא הלכתא אהלכתא</w:t>
      </w:r>
      <w:r w:rsidRPr="00B06D6B">
        <w:rPr>
          <w:rFonts w:hint="cs"/>
          <w:rtl/>
        </w:rPr>
        <w:t>.</w:t>
      </w:r>
    </w:p>
    <w:p w14:paraId="68A8B28A" w14:textId="77777777" w:rsidR="003D504D" w:rsidRDefault="003D504D" w:rsidP="00BF39B2">
      <w:pPr>
        <w:pStyle w:val="1"/>
        <w:rPr>
          <w:rtl/>
        </w:rPr>
      </w:pPr>
      <w:bookmarkStart w:id="18474" w:name="_Toc890713"/>
      <w:bookmarkStart w:id="18475" w:name="_Toc903107"/>
      <w:bookmarkStart w:id="18476" w:name="_Toc955478"/>
      <w:bookmarkStart w:id="18477" w:name="_Toc955771"/>
      <w:bookmarkStart w:id="18478" w:name="_Toc1039411"/>
      <w:bookmarkStart w:id="18479" w:name="_Toc1040654"/>
      <w:bookmarkStart w:id="18480" w:name="_Toc1063546"/>
      <w:bookmarkStart w:id="18481" w:name="_Toc1111978"/>
      <w:bookmarkStart w:id="18482" w:name="_Toc1123843"/>
      <w:bookmarkStart w:id="18483" w:name="_Toc19391362"/>
      <w:bookmarkStart w:id="18484" w:name="_Toc19394859"/>
      <w:r>
        <w:rPr>
          <w:rFonts w:hint="cs"/>
          <w:rtl/>
        </w:rPr>
        <w:t>דעת התוס' והראשונים דדין ד' סימנים הם רק בשחיטת טריפה</w:t>
      </w:r>
      <w:bookmarkEnd w:id="18474"/>
      <w:bookmarkEnd w:id="18475"/>
      <w:bookmarkEnd w:id="18476"/>
      <w:bookmarkEnd w:id="18477"/>
      <w:bookmarkEnd w:id="18478"/>
      <w:bookmarkEnd w:id="18479"/>
      <w:bookmarkEnd w:id="18480"/>
      <w:bookmarkEnd w:id="18481"/>
      <w:bookmarkEnd w:id="18482"/>
      <w:bookmarkEnd w:id="18483"/>
      <w:bookmarkEnd w:id="18484"/>
    </w:p>
    <w:p w14:paraId="2AD63CD7" w14:textId="77777777" w:rsidR="003D504D" w:rsidRPr="00452741" w:rsidRDefault="003D504D" w:rsidP="003D504D">
      <w:pPr>
        <w:pStyle w:val="a3"/>
      </w:pPr>
      <w:bookmarkStart w:id="18485" w:name="_Toc890714"/>
      <w:bookmarkStart w:id="18486" w:name="_Toc903108"/>
      <w:bookmarkStart w:id="18487" w:name="_Toc955479"/>
      <w:bookmarkStart w:id="18488" w:name="_Toc955772"/>
      <w:bookmarkStart w:id="18489" w:name="_Toc1039412"/>
      <w:bookmarkStart w:id="18490" w:name="_Toc1040655"/>
      <w:bookmarkStart w:id="18491" w:name="_Toc1063547"/>
      <w:bookmarkStart w:id="18492" w:name="_Toc1111979"/>
      <w:bookmarkStart w:id="18493" w:name="_Toc1123844"/>
      <w:bookmarkStart w:id="18494" w:name="_Toc19391363"/>
      <w:bookmarkStart w:id="18495" w:name="_Toc19394860"/>
      <w:r>
        <w:rPr>
          <w:rFonts w:hint="cs"/>
          <w:rtl/>
        </w:rPr>
        <w:t>דברי התוס' והרשב"א דלכו"ע ד' סימנים מהני רק בטריפה ולא בדינא דרב משרשיא דחציו שחוט</w:t>
      </w:r>
      <w:bookmarkEnd w:id="18485"/>
      <w:bookmarkEnd w:id="18486"/>
      <w:bookmarkEnd w:id="18487"/>
      <w:bookmarkEnd w:id="18488"/>
      <w:bookmarkEnd w:id="18489"/>
      <w:bookmarkEnd w:id="18490"/>
      <w:bookmarkEnd w:id="18491"/>
      <w:bookmarkEnd w:id="18492"/>
      <w:bookmarkEnd w:id="18493"/>
      <w:bookmarkEnd w:id="18494"/>
      <w:bookmarkEnd w:id="18495"/>
    </w:p>
    <w:p w14:paraId="77E8BC60" w14:textId="77777777" w:rsidR="003D504D" w:rsidRPr="00643B6C" w:rsidRDefault="003D504D" w:rsidP="00223668">
      <w:pPr>
        <w:pStyle w:val="a0"/>
        <w:rPr>
          <w:rtl/>
        </w:rPr>
      </w:pPr>
      <w:bookmarkStart w:id="18496" w:name="_Ref536787007"/>
      <w:r>
        <w:rPr>
          <w:rFonts w:hint="cs"/>
          <w:rtl/>
        </w:rPr>
        <w:t>אלא כתבו</w:t>
      </w:r>
      <w:r w:rsidRPr="00B06D6B">
        <w:rPr>
          <w:rFonts w:hint="cs"/>
          <w:rtl/>
        </w:rPr>
        <w:t xml:space="preserve"> </w:t>
      </w:r>
      <w:r w:rsidRPr="00B06D6B">
        <w:rPr>
          <w:rStyle w:val="af9"/>
          <w:rFonts w:hint="cs"/>
          <w:rtl/>
        </w:rPr>
        <w:t>התוס' לקמן</w:t>
      </w:r>
      <w:r w:rsidRPr="00B06D6B">
        <w:rPr>
          <w:rFonts w:hint="cs"/>
          <w:rtl/>
        </w:rPr>
        <w:t xml:space="preserve"> </w:t>
      </w:r>
      <w:r w:rsidRPr="00B06D6B">
        <w:rPr>
          <w:rStyle w:val="af9"/>
          <w:rFonts w:hint="cs"/>
          <w:rtl/>
        </w:rPr>
        <w:t xml:space="preserve">והרשב"א </w:t>
      </w:r>
      <w:r>
        <w:rPr>
          <w:rStyle w:val="af9"/>
          <w:rFonts w:hint="cs"/>
          <w:rtl/>
        </w:rPr>
        <w:t>בחי'</w:t>
      </w:r>
      <w:r w:rsidRPr="00B06D6B">
        <w:rPr>
          <w:rFonts w:hint="cs"/>
          <w:rtl/>
        </w:rPr>
        <w:t xml:space="preserve"> </w:t>
      </w:r>
      <w:r w:rsidRPr="00C01FBA">
        <w:rPr>
          <w:rStyle w:val="af9"/>
          <w:rFonts w:hint="cs"/>
          <w:rtl/>
        </w:rPr>
        <w:t>ובתוה"ב</w:t>
      </w:r>
      <w:r w:rsidRPr="00C01FBA">
        <w:rPr>
          <w:rFonts w:hint="cs"/>
          <w:rtl/>
        </w:rPr>
        <w:t xml:space="preserve"> </w:t>
      </w:r>
      <w:r>
        <w:rPr>
          <w:rFonts w:hint="cs"/>
          <w:rtl/>
        </w:rPr>
        <w:t xml:space="preserve">דהא דאיתא בדמ' לקמן </w:t>
      </w:r>
      <w:r w:rsidRPr="004304CE">
        <w:rPr>
          <w:rStyle w:val="af7"/>
          <w:rFonts w:eastAsia="Guttman Hodes" w:hint="cs"/>
          <w:rtl/>
        </w:rPr>
        <w:t>(עה:)</w:t>
      </w:r>
      <w:r>
        <w:rPr>
          <w:rFonts w:hint="cs"/>
          <w:rtl/>
        </w:rPr>
        <w:t xml:space="preserve"> דד' סימנים אכשר ביה רחמנא, היינ</w:t>
      </w:r>
      <w:r w:rsidRPr="00B06D6B">
        <w:rPr>
          <w:rFonts w:hint="cs"/>
          <w:rtl/>
        </w:rPr>
        <w:t>ו דוקא כשנמצאת אמו טריפה,</w:t>
      </w:r>
      <w:r>
        <w:rPr>
          <w:rFonts w:hint="cs"/>
          <w:rtl/>
        </w:rPr>
        <w:t xml:space="preserve"> דאפשר להכשירו בשחיטת עצמו, אבל אף </w:t>
      </w:r>
      <w:r w:rsidRPr="00B06D6B">
        <w:rPr>
          <w:rFonts w:hint="cs"/>
          <w:rtl/>
        </w:rPr>
        <w:t>מ"ד דס"ל דד' סימנים אכשר ביה רחמנא, מודה דבן פקועה שבא על בהמה מעלמא אין לולד תקנה, כיון שחשיב שחציו שחוט</w:t>
      </w:r>
      <w:r>
        <w:rPr>
          <w:rFonts w:hint="cs"/>
          <w:rtl/>
        </w:rPr>
        <w:t xml:space="preserve">, וא"א לחזור ולהתירו בחצי הסימנים שלא נשחטו, ועי' בדברי </w:t>
      </w:r>
      <w:r w:rsidRPr="00B06D6B">
        <w:rPr>
          <w:rStyle w:val="af9"/>
          <w:rFonts w:hint="cs"/>
          <w:rtl/>
        </w:rPr>
        <w:t>שיעורי המקדש דוד</w:t>
      </w:r>
      <w:r>
        <w:rPr>
          <w:rFonts w:hint="cs"/>
          <w:rtl/>
        </w:rPr>
        <w:t xml:space="preserve"> </w:t>
      </w:r>
      <w:r w:rsidRPr="004304CE">
        <w:rPr>
          <w:rStyle w:val="af7"/>
          <w:rFonts w:eastAsia="Guttman Hodes" w:hint="cs"/>
          <w:rtl/>
        </w:rPr>
        <w:t xml:space="preserve">(עי' אות </w:t>
      </w:r>
      <w:r w:rsidRPr="00E850E5">
        <w:rPr>
          <w:rStyle w:val="af7"/>
          <w:rFonts w:eastAsia="Guttman Hodes"/>
          <w:rtl/>
        </w:rPr>
        <w:fldChar w:fldCharType="begin"/>
      </w:r>
      <w:r w:rsidRPr="00E850E5">
        <w:rPr>
          <w:rStyle w:val="af7"/>
          <w:rFonts w:eastAsia="Guttman Hodes"/>
          <w:rtl/>
        </w:rPr>
        <w:instrText xml:space="preserve"> </w:instrText>
      </w:r>
      <w:r w:rsidRPr="00E850E5">
        <w:rPr>
          <w:rStyle w:val="af7"/>
          <w:rFonts w:eastAsia="Guttman Hodes" w:hint="cs"/>
        </w:rPr>
        <w:instrText>REF</w:instrText>
      </w:r>
      <w:r w:rsidRPr="00E850E5">
        <w:rPr>
          <w:rStyle w:val="af7"/>
          <w:rFonts w:eastAsia="Guttman Hodes" w:hint="cs"/>
          <w:rtl/>
        </w:rPr>
        <w:instrText xml:space="preserve"> _</w:instrText>
      </w:r>
      <w:r w:rsidRPr="00E850E5">
        <w:rPr>
          <w:rStyle w:val="af7"/>
          <w:rFonts w:eastAsia="Guttman Hodes" w:hint="cs"/>
        </w:rPr>
        <w:instrText>Ref1032146 \r \h</w:instrText>
      </w:r>
      <w:r w:rsidRPr="00E850E5">
        <w:rPr>
          <w:rStyle w:val="af7"/>
          <w:rFonts w:eastAsia="Guttman Hodes"/>
          <w:rtl/>
        </w:rPr>
        <w:instrText xml:space="preserve"> </w:instrText>
      </w:r>
      <w:r w:rsidRPr="00E850E5">
        <w:rPr>
          <w:rStyle w:val="af7"/>
          <w:rFonts w:eastAsia="Guttman Hodes"/>
          <w:rtl/>
        </w:rPr>
      </w:r>
      <w:r w:rsidRPr="00E850E5">
        <w:rPr>
          <w:rStyle w:val="af7"/>
          <w:rFonts w:eastAsia="Guttman Hodes"/>
          <w:rtl/>
        </w:rPr>
        <w:fldChar w:fldCharType="separate"/>
      </w:r>
      <w:r w:rsidR="00345400">
        <w:rPr>
          <w:rStyle w:val="af7"/>
          <w:rFonts w:eastAsia="Guttman Hodes"/>
          <w:cs/>
        </w:rPr>
        <w:t>‎</w:t>
      </w:r>
      <w:r w:rsidR="00345400">
        <w:rPr>
          <w:rStyle w:val="af7"/>
          <w:rFonts w:eastAsia="Guttman Hodes"/>
          <w:rtl/>
        </w:rPr>
        <w:t>עח)</w:t>
      </w:r>
      <w:r w:rsidRPr="00E850E5">
        <w:rPr>
          <w:rStyle w:val="af7"/>
          <w:rFonts w:eastAsia="Guttman Hodes"/>
          <w:rtl/>
        </w:rPr>
        <w:fldChar w:fldCharType="end"/>
      </w:r>
      <w:r>
        <w:rPr>
          <w:rFonts w:hint="cs"/>
          <w:rtl/>
        </w:rPr>
        <w:t xml:space="preserve"> </w:t>
      </w:r>
      <w:r w:rsidRPr="00643B6C">
        <w:rPr>
          <w:rStyle w:val="af9"/>
          <w:rFonts w:hint="cs"/>
          <w:rtl/>
        </w:rPr>
        <w:t>והמשנת ר"א</w:t>
      </w:r>
      <w:r w:rsidRPr="00643B6C">
        <w:rPr>
          <w:rFonts w:hint="cs"/>
          <w:rtl/>
        </w:rPr>
        <w:t xml:space="preserve"> </w:t>
      </w:r>
      <w:r w:rsidRPr="004304CE">
        <w:rPr>
          <w:rStyle w:val="af7"/>
          <w:rFonts w:eastAsia="Guttman Hodes" w:hint="cs"/>
          <w:rtl/>
        </w:rPr>
        <w:t xml:space="preserve">(עי' אות </w:t>
      </w:r>
      <w:r w:rsidRPr="00643B6C">
        <w:rPr>
          <w:rStyle w:val="af7"/>
          <w:rFonts w:eastAsia="Guttman Hodes"/>
          <w:rtl/>
        </w:rPr>
        <w:fldChar w:fldCharType="begin"/>
      </w:r>
      <w:r w:rsidRPr="00643B6C">
        <w:rPr>
          <w:rStyle w:val="af7"/>
          <w:rFonts w:eastAsia="Guttman Hodes"/>
          <w:rtl/>
        </w:rPr>
        <w:instrText xml:space="preserve"> </w:instrText>
      </w:r>
      <w:r w:rsidRPr="00643B6C">
        <w:rPr>
          <w:rStyle w:val="af7"/>
          <w:rFonts w:eastAsia="Guttman Hodes" w:hint="cs"/>
        </w:rPr>
        <w:instrText>REF</w:instrText>
      </w:r>
      <w:r w:rsidRPr="00643B6C">
        <w:rPr>
          <w:rStyle w:val="af7"/>
          <w:rFonts w:eastAsia="Guttman Hodes" w:hint="cs"/>
          <w:rtl/>
        </w:rPr>
        <w:instrText xml:space="preserve"> _</w:instrText>
      </w:r>
      <w:r w:rsidRPr="00643B6C">
        <w:rPr>
          <w:rStyle w:val="af7"/>
          <w:rFonts w:eastAsia="Guttman Hodes" w:hint="cs"/>
        </w:rPr>
        <w:instrText>Ref1034282 \r \h</w:instrText>
      </w:r>
      <w:r w:rsidRPr="00643B6C">
        <w:rPr>
          <w:rStyle w:val="af7"/>
          <w:rFonts w:eastAsia="Guttman Hodes"/>
          <w:rtl/>
        </w:rPr>
        <w:instrText xml:space="preserve">  \* </w:instrText>
      </w:r>
      <w:r w:rsidRPr="00643B6C">
        <w:rPr>
          <w:rStyle w:val="af7"/>
          <w:rFonts w:eastAsia="Guttman Hodes"/>
        </w:rPr>
        <w:instrText>MERGEFORMAT</w:instrText>
      </w:r>
      <w:r w:rsidRPr="00643B6C">
        <w:rPr>
          <w:rStyle w:val="af7"/>
          <w:rFonts w:eastAsia="Guttman Hodes"/>
          <w:rtl/>
        </w:rPr>
        <w:instrText xml:space="preserve"> </w:instrText>
      </w:r>
      <w:r w:rsidRPr="00643B6C">
        <w:rPr>
          <w:rStyle w:val="af7"/>
          <w:rFonts w:eastAsia="Guttman Hodes"/>
          <w:rtl/>
        </w:rPr>
      </w:r>
      <w:r w:rsidRPr="00643B6C">
        <w:rPr>
          <w:rStyle w:val="af7"/>
          <w:rFonts w:eastAsia="Guttman Hodes"/>
          <w:rtl/>
        </w:rPr>
        <w:fldChar w:fldCharType="separate"/>
      </w:r>
      <w:r w:rsidR="00345400">
        <w:rPr>
          <w:rStyle w:val="af7"/>
          <w:rFonts w:eastAsia="Guttman Hodes"/>
          <w:cs/>
        </w:rPr>
        <w:t>‎</w:t>
      </w:r>
      <w:r w:rsidR="00345400">
        <w:rPr>
          <w:rStyle w:val="af7"/>
          <w:rFonts w:eastAsia="Guttman Hodes"/>
          <w:rtl/>
        </w:rPr>
        <w:t>עז)</w:t>
      </w:r>
      <w:r w:rsidRPr="00643B6C">
        <w:rPr>
          <w:rStyle w:val="af7"/>
          <w:rFonts w:eastAsia="Guttman Hodes"/>
          <w:rtl/>
        </w:rPr>
        <w:fldChar w:fldCharType="end"/>
      </w:r>
      <w:r>
        <w:rPr>
          <w:rFonts w:hint="cs"/>
          <w:rtl/>
        </w:rPr>
        <w:t xml:space="preserve">, וע"ע במ"ש </w:t>
      </w:r>
      <w:r w:rsidRPr="00372633">
        <w:rPr>
          <w:rStyle w:val="af9"/>
          <w:rFonts w:hint="cs"/>
          <w:rtl/>
        </w:rPr>
        <w:t>המשנת ר"א</w:t>
      </w:r>
      <w:r w:rsidRPr="005506C8">
        <w:rPr>
          <w:rStyle w:val="af9"/>
          <w:rFonts w:hint="cs"/>
          <w:rtl/>
        </w:rPr>
        <w:t xml:space="preserve"> </w:t>
      </w:r>
      <w:r>
        <w:rPr>
          <w:rStyle w:val="af9"/>
          <w:rFonts w:hint="cs"/>
          <w:rtl/>
        </w:rPr>
        <w:t>ו</w:t>
      </w:r>
      <w:r w:rsidRPr="00C10F4F">
        <w:rPr>
          <w:rStyle w:val="af9"/>
          <w:rFonts w:hint="cs"/>
          <w:rtl/>
        </w:rPr>
        <w:t>האמרי משה</w:t>
      </w:r>
      <w:r>
        <w:rPr>
          <w:rFonts w:hint="cs"/>
          <w:rtl/>
        </w:rPr>
        <w:t xml:space="preserve"> </w:t>
      </w:r>
      <w:r w:rsidRPr="00372633">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Ref815013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קא)</w:t>
      </w:r>
      <w:r>
        <w:rPr>
          <w:rStyle w:val="af7"/>
          <w:rFonts w:eastAsia="Guttman Hodes"/>
          <w:rtl/>
        </w:rPr>
        <w:fldChar w:fldCharType="end"/>
      </w:r>
      <w:r>
        <w:rPr>
          <w:rStyle w:val="af7"/>
          <w:rFonts w:eastAsia="Guttman Hodes" w:hint="cs"/>
          <w:rtl/>
        </w:rPr>
        <w:t xml:space="preserve"> </w:t>
      </w:r>
      <w:r>
        <w:rPr>
          <w:rFonts w:hint="cs"/>
          <w:rtl/>
        </w:rPr>
        <w:t xml:space="preserve">בביאור דברי </w:t>
      </w:r>
      <w:r>
        <w:rPr>
          <w:rStyle w:val="af9"/>
          <w:rFonts w:hint="cs"/>
          <w:rtl/>
        </w:rPr>
        <w:t>התוס'</w:t>
      </w:r>
      <w:r>
        <w:rPr>
          <w:rFonts w:hint="cs"/>
          <w:rtl/>
        </w:rPr>
        <w:t xml:space="preserve"> בגדר איסור אבר היוצא</w:t>
      </w:r>
      <w:r w:rsidRPr="00643B6C">
        <w:rPr>
          <w:rFonts w:hint="cs"/>
          <w:rtl/>
        </w:rPr>
        <w:t>.</w:t>
      </w:r>
      <w:bookmarkEnd w:id="18496"/>
    </w:p>
    <w:p w14:paraId="368F9886" w14:textId="77777777" w:rsidR="003D504D" w:rsidRPr="00B06D6B" w:rsidRDefault="003D504D" w:rsidP="003D504D">
      <w:pPr>
        <w:pStyle w:val="a3"/>
        <w:rPr>
          <w:rtl/>
        </w:rPr>
      </w:pPr>
      <w:bookmarkStart w:id="18497" w:name="_Toc890715"/>
      <w:bookmarkStart w:id="18498" w:name="_Toc903109"/>
      <w:bookmarkStart w:id="18499" w:name="_Toc955480"/>
      <w:bookmarkStart w:id="18500" w:name="_Toc955773"/>
      <w:bookmarkStart w:id="18501" w:name="_Toc1039413"/>
      <w:bookmarkStart w:id="18502" w:name="_Toc1040656"/>
      <w:bookmarkStart w:id="18503" w:name="_Toc1063548"/>
      <w:bookmarkStart w:id="18504" w:name="_Toc1111980"/>
      <w:bookmarkStart w:id="18505" w:name="_Toc1123845"/>
      <w:bookmarkStart w:id="18506" w:name="_Toc19391364"/>
      <w:bookmarkStart w:id="18507" w:name="_Toc19394861"/>
      <w:r>
        <w:rPr>
          <w:rFonts w:hint="cs"/>
          <w:rtl/>
        </w:rPr>
        <w:t>דברי הרמב"ן והרא"ש והר"ן דכל ששחיטת האם מתירה באכילה לכו"ע לא שייכא שחיטה בולד</w:t>
      </w:r>
      <w:bookmarkEnd w:id="18497"/>
      <w:bookmarkEnd w:id="18498"/>
      <w:bookmarkEnd w:id="18499"/>
      <w:bookmarkEnd w:id="18500"/>
      <w:bookmarkEnd w:id="18501"/>
      <w:bookmarkEnd w:id="18502"/>
      <w:bookmarkEnd w:id="18503"/>
      <w:bookmarkEnd w:id="18504"/>
      <w:bookmarkEnd w:id="18505"/>
      <w:bookmarkEnd w:id="18506"/>
      <w:bookmarkEnd w:id="18507"/>
      <w:r>
        <w:rPr>
          <w:rFonts w:hint="cs"/>
          <w:rtl/>
        </w:rPr>
        <w:t xml:space="preserve"> </w:t>
      </w:r>
    </w:p>
    <w:p w14:paraId="3DDB2B04" w14:textId="77777777" w:rsidR="003D504D" w:rsidRPr="00B06D6B" w:rsidRDefault="003D504D" w:rsidP="00223668">
      <w:pPr>
        <w:pStyle w:val="a0"/>
        <w:rPr>
          <w:rtl/>
        </w:rPr>
      </w:pPr>
      <w:r>
        <w:rPr>
          <w:rFonts w:hint="cs"/>
          <w:rtl/>
        </w:rPr>
        <w:t>וכן ביארו</w:t>
      </w:r>
      <w:r w:rsidRPr="00B06D6B">
        <w:rPr>
          <w:rFonts w:hint="cs"/>
          <w:rtl/>
        </w:rPr>
        <w:t xml:space="preserve"> </w:t>
      </w:r>
      <w:r w:rsidRPr="00B06D6B">
        <w:rPr>
          <w:rStyle w:val="af9"/>
          <w:rFonts w:hint="cs"/>
          <w:rtl/>
        </w:rPr>
        <w:t>הרמב"ן לקמן</w:t>
      </w:r>
      <w:r w:rsidRPr="00B06D6B">
        <w:rPr>
          <w:rFonts w:hint="cs"/>
          <w:rtl/>
        </w:rPr>
        <w:t xml:space="preserve"> </w:t>
      </w:r>
      <w:r>
        <w:rPr>
          <w:rStyle w:val="af9"/>
          <w:rFonts w:hint="cs"/>
          <w:rtl/>
        </w:rPr>
        <w:t xml:space="preserve">והרא"ש </w:t>
      </w:r>
      <w:r w:rsidRPr="004304CE">
        <w:rPr>
          <w:rStyle w:val="af7"/>
          <w:rFonts w:eastAsia="Guttman Hodes" w:hint="cs"/>
          <w:rtl/>
        </w:rPr>
        <w:t>(סי' ה')</w:t>
      </w:r>
      <w:r w:rsidRPr="00B06D6B">
        <w:rPr>
          <w:rStyle w:val="af9"/>
          <w:rFonts w:hint="cs"/>
          <w:rtl/>
        </w:rPr>
        <w:t xml:space="preserve"> והר"ן על הרי"ף</w:t>
      </w:r>
      <w:r>
        <w:rPr>
          <w:rStyle w:val="af9"/>
          <w:rFonts w:hint="cs"/>
          <w:rtl/>
        </w:rPr>
        <w:t xml:space="preserve"> </w:t>
      </w:r>
      <w:r w:rsidRPr="00B06D6B">
        <w:rPr>
          <w:rFonts w:hint="cs"/>
          <w:rtl/>
        </w:rPr>
        <w:t>דכל מה דמהני שחיטת עצמו למ"ד</w:t>
      </w:r>
      <w:r w:rsidRPr="00B06D6B">
        <w:rPr>
          <w:rtl/>
        </w:rPr>
        <w:t xml:space="preserve"> דד' סימנים אכשר ביה רחמנא, </w:t>
      </w:r>
      <w:r w:rsidRPr="00B06D6B">
        <w:rPr>
          <w:rFonts w:hint="cs"/>
          <w:rtl/>
        </w:rPr>
        <w:t xml:space="preserve">היינו דוקא כשנמצאת האם טריפה, </w:t>
      </w:r>
      <w:r>
        <w:rPr>
          <w:rFonts w:hint="cs"/>
          <w:rtl/>
        </w:rPr>
        <w:t>ד</w:t>
      </w:r>
      <w:r w:rsidRPr="00B06D6B">
        <w:rPr>
          <w:rFonts w:hint="cs"/>
          <w:rtl/>
        </w:rPr>
        <w:t xml:space="preserve">סימני אמו לא התירוהו באכילה, והועילו רק לטהרו מידי נבילה, ולכן אפשר להתירו בשחיטת עצמו, אבל כשהאם כשרה, שסימני אמו התירוהו באכילה, א"כ סימניו הם כשחוטים, </w:t>
      </w:r>
      <w:r>
        <w:rPr>
          <w:rFonts w:hint="cs"/>
          <w:rtl/>
        </w:rPr>
        <w:t>ו</w:t>
      </w:r>
      <w:r w:rsidRPr="00B06D6B">
        <w:rPr>
          <w:rFonts w:hint="cs"/>
          <w:rtl/>
        </w:rPr>
        <w:t>הולד הוא כבשרא בדי</w:t>
      </w:r>
      <w:r>
        <w:rPr>
          <w:rFonts w:hint="cs"/>
          <w:rtl/>
        </w:rPr>
        <w:t xml:space="preserve">קולא, ואין לו שחיטה מצד עצמו כלל, </w:t>
      </w:r>
      <w:r w:rsidRPr="00B06D6B">
        <w:rPr>
          <w:rFonts w:hint="cs"/>
          <w:rtl/>
        </w:rPr>
        <w:t>ו</w:t>
      </w:r>
      <w:r>
        <w:rPr>
          <w:rFonts w:hint="cs"/>
          <w:rtl/>
        </w:rPr>
        <w:t>כתב</w:t>
      </w:r>
      <w:r w:rsidRPr="00B06D6B">
        <w:rPr>
          <w:rFonts w:hint="cs"/>
          <w:rtl/>
        </w:rPr>
        <w:t xml:space="preserve"> </w:t>
      </w:r>
      <w:r w:rsidRPr="00B06D6B">
        <w:rPr>
          <w:rStyle w:val="af9"/>
          <w:rFonts w:hint="cs"/>
          <w:rtl/>
        </w:rPr>
        <w:t>הר"ן</w:t>
      </w:r>
      <w:r w:rsidRPr="00B06D6B">
        <w:rPr>
          <w:rFonts w:hint="cs"/>
          <w:rtl/>
        </w:rPr>
        <w:t xml:space="preserve"> </w:t>
      </w:r>
      <w:r>
        <w:rPr>
          <w:rFonts w:hint="cs"/>
          <w:rtl/>
        </w:rPr>
        <w:t xml:space="preserve">דא"כ </w:t>
      </w:r>
      <w:r w:rsidRPr="00B06D6B">
        <w:rPr>
          <w:rFonts w:hint="cs"/>
          <w:rtl/>
        </w:rPr>
        <w:t xml:space="preserve">רב משרשיא </w:t>
      </w:r>
      <w:r>
        <w:rPr>
          <w:rFonts w:hint="cs"/>
          <w:rtl/>
        </w:rPr>
        <w:t>מודה</w:t>
      </w:r>
      <w:r w:rsidRPr="00B06D6B">
        <w:rPr>
          <w:rFonts w:hint="cs"/>
          <w:rtl/>
        </w:rPr>
        <w:t xml:space="preserve"> </w:t>
      </w:r>
      <w:r>
        <w:rPr>
          <w:rFonts w:hint="cs"/>
          <w:rtl/>
        </w:rPr>
        <w:t>ד</w:t>
      </w:r>
      <w:r w:rsidRPr="00B06D6B">
        <w:rPr>
          <w:rFonts w:hint="cs"/>
          <w:rtl/>
        </w:rPr>
        <w:t>במקום שלא הועילה שחיטת האם להתירו</w:t>
      </w:r>
      <w:r>
        <w:rPr>
          <w:rFonts w:hint="cs"/>
          <w:rtl/>
        </w:rPr>
        <w:t>,</w:t>
      </w:r>
      <w:r w:rsidRPr="00B06D6B">
        <w:rPr>
          <w:rFonts w:hint="cs"/>
          <w:rtl/>
        </w:rPr>
        <w:t xml:space="preserve"> </w:t>
      </w:r>
      <w:r>
        <w:rPr>
          <w:rFonts w:hint="cs"/>
          <w:rtl/>
        </w:rPr>
        <w:t xml:space="preserve">אמרינן </w:t>
      </w:r>
      <w:r w:rsidRPr="00B06D6B">
        <w:rPr>
          <w:rFonts w:hint="cs"/>
          <w:rtl/>
        </w:rPr>
        <w:t>דד' סימנים אכשר ביה רחמנא.</w:t>
      </w:r>
    </w:p>
    <w:p w14:paraId="1C0E063B" w14:textId="77777777" w:rsidR="003D504D" w:rsidRDefault="003D504D" w:rsidP="00BF39B2">
      <w:pPr>
        <w:pStyle w:val="1"/>
        <w:rPr>
          <w:rtl/>
        </w:rPr>
      </w:pPr>
      <w:bookmarkStart w:id="18508" w:name="_Toc862072"/>
      <w:bookmarkStart w:id="18509" w:name="_Toc890716"/>
      <w:bookmarkStart w:id="18510" w:name="_Toc903110"/>
      <w:bookmarkStart w:id="18511" w:name="_Toc955481"/>
      <w:bookmarkStart w:id="18512" w:name="_Toc955774"/>
      <w:bookmarkStart w:id="18513" w:name="_Toc1039414"/>
      <w:bookmarkStart w:id="18514" w:name="_Toc1040657"/>
      <w:bookmarkStart w:id="18515" w:name="_Toc1063549"/>
      <w:bookmarkStart w:id="18516" w:name="_Toc1111981"/>
      <w:bookmarkStart w:id="18517" w:name="_Toc1123846"/>
      <w:bookmarkStart w:id="18518" w:name="_Toc19391365"/>
      <w:bookmarkStart w:id="18519" w:name="_Toc19394862"/>
      <w:r>
        <w:rPr>
          <w:rFonts w:hint="cs"/>
          <w:rtl/>
        </w:rPr>
        <w:t>ביאור החת"ס ברש"י</w:t>
      </w:r>
      <w:bookmarkEnd w:id="18508"/>
      <w:bookmarkEnd w:id="18509"/>
      <w:bookmarkEnd w:id="18510"/>
      <w:bookmarkEnd w:id="18511"/>
      <w:bookmarkEnd w:id="18512"/>
      <w:bookmarkEnd w:id="18513"/>
      <w:bookmarkEnd w:id="18514"/>
      <w:r>
        <w:rPr>
          <w:rFonts w:hint="cs"/>
          <w:rtl/>
        </w:rPr>
        <w:t xml:space="preserve"> דרק לרב משרשיא חשיב כשחוט</w:t>
      </w:r>
      <w:bookmarkEnd w:id="18515"/>
      <w:bookmarkEnd w:id="18516"/>
      <w:bookmarkEnd w:id="18517"/>
      <w:bookmarkEnd w:id="18518"/>
      <w:bookmarkEnd w:id="18519"/>
    </w:p>
    <w:p w14:paraId="6111CDBD" w14:textId="77777777" w:rsidR="003D504D" w:rsidRPr="0082585E" w:rsidRDefault="003D504D" w:rsidP="003D504D">
      <w:pPr>
        <w:pStyle w:val="a3"/>
        <w:rPr>
          <w:rtl/>
        </w:rPr>
      </w:pPr>
      <w:bookmarkStart w:id="18520" w:name="_Toc890717"/>
      <w:bookmarkStart w:id="18521" w:name="_Toc903111"/>
      <w:bookmarkStart w:id="18522" w:name="_Toc955482"/>
      <w:bookmarkStart w:id="18523" w:name="_Toc955775"/>
      <w:bookmarkStart w:id="18524" w:name="_Toc1039415"/>
      <w:bookmarkStart w:id="18525" w:name="_Toc1040658"/>
      <w:bookmarkStart w:id="18526" w:name="_Toc1063550"/>
      <w:bookmarkStart w:id="18527" w:name="_Toc1111982"/>
      <w:bookmarkStart w:id="18528" w:name="_Toc1123847"/>
      <w:bookmarkStart w:id="18529" w:name="_Toc19391366"/>
      <w:bookmarkStart w:id="18530" w:name="_Toc19394863"/>
      <w:r>
        <w:rPr>
          <w:rFonts w:hint="cs"/>
          <w:rtl/>
        </w:rPr>
        <w:t>ביאור החת"ס דלמ"ד דד' סימנים בן פקועה מותר אף שאינו כשחוט ולכן שייכא בו שחיטה</w:t>
      </w:r>
      <w:bookmarkEnd w:id="18520"/>
      <w:bookmarkEnd w:id="18521"/>
      <w:bookmarkEnd w:id="18522"/>
      <w:bookmarkEnd w:id="18523"/>
      <w:bookmarkEnd w:id="18524"/>
      <w:bookmarkEnd w:id="18525"/>
      <w:bookmarkEnd w:id="18526"/>
      <w:bookmarkEnd w:id="18527"/>
      <w:bookmarkEnd w:id="18528"/>
      <w:bookmarkEnd w:id="18529"/>
      <w:bookmarkEnd w:id="18530"/>
      <w:r>
        <w:rPr>
          <w:rFonts w:hint="cs"/>
          <w:rtl/>
        </w:rPr>
        <w:t xml:space="preserve"> </w:t>
      </w:r>
    </w:p>
    <w:p w14:paraId="030EB05E" w14:textId="77777777" w:rsidR="003D504D" w:rsidRPr="00B06D6B" w:rsidRDefault="003D504D" w:rsidP="00223668">
      <w:pPr>
        <w:pStyle w:val="a0"/>
        <w:rPr>
          <w:rtl/>
        </w:rPr>
      </w:pPr>
      <w:bookmarkStart w:id="18531" w:name="_Toc536786971"/>
      <w:bookmarkStart w:id="18532" w:name="_Toc536786996"/>
      <w:bookmarkStart w:id="18533" w:name="_Toc519031"/>
      <w:bookmarkStart w:id="18534" w:name="_Toc725010"/>
      <w:bookmarkStart w:id="18535" w:name="_Toc773229"/>
      <w:r w:rsidRPr="0082585E">
        <w:rPr>
          <w:rStyle w:val="af9"/>
          <w:rFonts w:hint="cs"/>
          <w:rtl/>
        </w:rPr>
        <w:t>והחת"ס</w:t>
      </w:r>
      <w:r w:rsidRPr="00B06D6B">
        <w:rPr>
          <w:rFonts w:hint="cs"/>
          <w:rtl/>
        </w:rPr>
        <w:t xml:space="preserve"> </w:t>
      </w:r>
      <w:r w:rsidRPr="004304CE">
        <w:rPr>
          <w:rStyle w:val="af7"/>
          <w:rFonts w:eastAsia="Guttman Hodes" w:hint="cs"/>
          <w:rtl/>
        </w:rPr>
        <w:t xml:space="preserve">(מהדו"ק ד"ה ושם פירש"י) </w:t>
      </w:r>
      <w:r w:rsidRPr="00B06D6B">
        <w:rPr>
          <w:rFonts w:hint="cs"/>
          <w:rtl/>
        </w:rPr>
        <w:t xml:space="preserve">תירץ את דברי </w:t>
      </w:r>
      <w:r w:rsidRPr="0082585E">
        <w:rPr>
          <w:rStyle w:val="af9"/>
          <w:rFonts w:hint="cs"/>
          <w:rtl/>
        </w:rPr>
        <w:t>רש"י</w:t>
      </w:r>
      <w:r w:rsidRPr="00B06D6B">
        <w:rPr>
          <w:rFonts w:hint="cs"/>
          <w:rtl/>
        </w:rPr>
        <w:t>, דמ"ד דד' סימנים אכשר ביה רחמנא ס"ל דההיתר בבן פקועה הוא גזיה"כ בעלמא דהעובר מותר, ולא אמרינן דסימני העובר נשחטו בשחיטת אמו, ולכן בנמצאת האם טריפה מהני שחיטת הולד להתירו.</w:t>
      </w:r>
    </w:p>
    <w:p w14:paraId="6590BE6B" w14:textId="77777777" w:rsidR="003D504D" w:rsidRPr="00B06D6B" w:rsidRDefault="003D504D" w:rsidP="003D504D">
      <w:pPr>
        <w:pStyle w:val="a3"/>
        <w:rPr>
          <w:rtl/>
        </w:rPr>
      </w:pPr>
      <w:bookmarkStart w:id="18536" w:name="_Toc890718"/>
      <w:bookmarkStart w:id="18537" w:name="_Toc903112"/>
      <w:bookmarkStart w:id="18538" w:name="_Toc955483"/>
      <w:bookmarkStart w:id="18539" w:name="_Toc955776"/>
      <w:bookmarkStart w:id="18540" w:name="_Toc1039416"/>
      <w:bookmarkStart w:id="18541" w:name="_Toc1040659"/>
      <w:bookmarkStart w:id="18542" w:name="_Toc1063551"/>
      <w:bookmarkStart w:id="18543" w:name="_Toc1111983"/>
      <w:bookmarkStart w:id="18544" w:name="_Toc1123848"/>
      <w:bookmarkStart w:id="18545" w:name="_Toc19391367"/>
      <w:bookmarkStart w:id="18546" w:name="_Toc19394864"/>
      <w:r>
        <w:rPr>
          <w:rFonts w:hint="cs"/>
          <w:rtl/>
        </w:rPr>
        <w:t>ביאור החת"ס דלרב משרשיא היתר בן פקועה הוא דנשחטו גם סימניו ואין לו ד' סימנים</w:t>
      </w:r>
      <w:bookmarkEnd w:id="18536"/>
      <w:bookmarkEnd w:id="18537"/>
      <w:bookmarkEnd w:id="18538"/>
      <w:bookmarkEnd w:id="18539"/>
      <w:bookmarkEnd w:id="18540"/>
      <w:bookmarkEnd w:id="18541"/>
      <w:bookmarkEnd w:id="18542"/>
      <w:bookmarkEnd w:id="18543"/>
      <w:bookmarkEnd w:id="18544"/>
      <w:bookmarkEnd w:id="18545"/>
      <w:bookmarkEnd w:id="18546"/>
    </w:p>
    <w:p w14:paraId="7CE5F885" w14:textId="77777777" w:rsidR="003D504D" w:rsidRPr="00B06D6B" w:rsidRDefault="003D504D" w:rsidP="00223668">
      <w:pPr>
        <w:pStyle w:val="a0"/>
        <w:rPr>
          <w:rtl/>
        </w:rPr>
      </w:pPr>
      <w:bookmarkStart w:id="18547" w:name="_Ref886173"/>
      <w:r w:rsidRPr="00B06D6B">
        <w:rPr>
          <w:rFonts w:hint="cs"/>
          <w:rtl/>
        </w:rPr>
        <w:t xml:space="preserve">אבל בדעת רב משרשיא כתב </w:t>
      </w:r>
      <w:r w:rsidRPr="00A56597">
        <w:rPr>
          <w:rStyle w:val="af9"/>
          <w:rFonts w:hint="cs"/>
          <w:rtl/>
        </w:rPr>
        <w:t>החת"ס</w:t>
      </w:r>
      <w:r w:rsidRPr="00B06D6B">
        <w:rPr>
          <w:rFonts w:hint="cs"/>
          <w:rtl/>
        </w:rPr>
        <w:t xml:space="preserve"> דכיון דכתב </w:t>
      </w:r>
      <w:r w:rsidRPr="00B06D6B">
        <w:rPr>
          <w:rStyle w:val="af9"/>
          <w:rFonts w:hint="cs"/>
          <w:rtl/>
        </w:rPr>
        <w:t xml:space="preserve">רש"י לקמן </w:t>
      </w:r>
      <w:r w:rsidRPr="004304CE">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Ref536786986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ב)</w:t>
      </w:r>
      <w:r>
        <w:rPr>
          <w:rStyle w:val="af7"/>
          <w:rFonts w:eastAsia="Guttman Hodes"/>
          <w:rtl/>
        </w:rPr>
        <w:fldChar w:fldCharType="end"/>
      </w:r>
      <w:r w:rsidRPr="004304CE">
        <w:rPr>
          <w:rStyle w:val="af7"/>
          <w:rFonts w:eastAsia="Guttman Hodes" w:hint="cs"/>
          <w:rtl/>
        </w:rPr>
        <w:t xml:space="preserve"> </w:t>
      </w:r>
      <w:r w:rsidRPr="00B06D6B">
        <w:rPr>
          <w:rFonts w:hint="cs"/>
          <w:rtl/>
        </w:rPr>
        <w:t xml:space="preserve">דחשיב שיש לו רק סימן אחד מצד אמו, והסימן שמצד אביו הוא שחוט ועומד, א"כ מבואר דס"ל </w:t>
      </w:r>
      <w:r w:rsidRPr="00A56597">
        <w:rPr>
          <w:rStyle w:val="af9"/>
          <w:rFonts w:hint="cs"/>
          <w:rtl/>
        </w:rPr>
        <w:t>לרש"י</w:t>
      </w:r>
      <w:r w:rsidRPr="00B06D6B">
        <w:rPr>
          <w:rFonts w:hint="cs"/>
          <w:rtl/>
        </w:rPr>
        <w:t xml:space="preserve"> דלדעת רב משרשיא ההיתר בבן פקועה הוא דבשחיטת סימני האם חשיב שפגע גם בסימני העובר ושחטם, </w:t>
      </w:r>
      <w:r w:rsidRPr="00A56597">
        <w:rPr>
          <w:rStyle w:val="afb"/>
          <w:rFonts w:hint="cs"/>
          <w:rtl/>
        </w:rPr>
        <w:t>[ולכן הסימן שמצד אביו חשיב כשחוט],</w:t>
      </w:r>
      <w:r w:rsidRPr="00B06D6B">
        <w:rPr>
          <w:rFonts w:hint="cs"/>
          <w:rtl/>
        </w:rPr>
        <w:t xml:space="preserve"> וא"כ מוכח דרב משרשיא פליג על המ"ד דד' סימנים אכשר ביה רחמנא, דהרי סימניו הם כשחוטים, וא"כ אף כשנמצאת האם טריפה דשחיטתה מהני רק לטהר את העובר מידי נבילה, מ"מ חשיב שנשחטו סימני העובר, ולא מהני שחיטתו להתירו באכילה.</w:t>
      </w:r>
      <w:bookmarkEnd w:id="18547"/>
    </w:p>
    <w:p w14:paraId="1D7BFB82" w14:textId="77777777" w:rsidR="003D504D" w:rsidRPr="00B06D6B" w:rsidRDefault="003D504D" w:rsidP="003D504D">
      <w:pPr>
        <w:pStyle w:val="a3"/>
        <w:rPr>
          <w:rtl/>
        </w:rPr>
      </w:pPr>
      <w:bookmarkStart w:id="18548" w:name="_Toc890719"/>
      <w:bookmarkStart w:id="18549" w:name="_Toc903113"/>
      <w:bookmarkStart w:id="18550" w:name="_Toc955484"/>
      <w:bookmarkStart w:id="18551" w:name="_Toc955777"/>
      <w:bookmarkStart w:id="18552" w:name="_Toc1039417"/>
      <w:bookmarkStart w:id="18553" w:name="_Toc1040660"/>
      <w:bookmarkStart w:id="18554" w:name="_Toc1063552"/>
      <w:bookmarkStart w:id="18555" w:name="_Toc1111984"/>
      <w:bookmarkStart w:id="18556" w:name="_Toc1123849"/>
      <w:bookmarkStart w:id="18557" w:name="_Toc19391368"/>
      <w:bookmarkStart w:id="18558" w:name="_Toc19394865"/>
      <w:r>
        <w:rPr>
          <w:rFonts w:hint="cs"/>
          <w:rtl/>
        </w:rPr>
        <w:t>דברי החת"ס דלמ"ד דד' סימנים אפשר להתיר את האבר היוצא בשחיטת הולד</w:t>
      </w:r>
      <w:bookmarkEnd w:id="18548"/>
      <w:bookmarkEnd w:id="18549"/>
      <w:bookmarkEnd w:id="18550"/>
      <w:bookmarkEnd w:id="18551"/>
      <w:bookmarkEnd w:id="18552"/>
      <w:bookmarkEnd w:id="18553"/>
      <w:bookmarkEnd w:id="18554"/>
      <w:bookmarkEnd w:id="18555"/>
      <w:bookmarkEnd w:id="18556"/>
      <w:bookmarkEnd w:id="18557"/>
      <w:bookmarkEnd w:id="18558"/>
    </w:p>
    <w:p w14:paraId="386C6100" w14:textId="77777777" w:rsidR="003D504D" w:rsidRPr="00B06D6B" w:rsidRDefault="003D504D" w:rsidP="00223668">
      <w:pPr>
        <w:pStyle w:val="a0"/>
        <w:rPr>
          <w:rtl/>
        </w:rPr>
      </w:pPr>
      <w:bookmarkStart w:id="18559" w:name="_Ref797858"/>
      <w:r w:rsidRPr="00B06D6B">
        <w:rPr>
          <w:rFonts w:hint="cs"/>
          <w:rtl/>
        </w:rPr>
        <w:t>ובמה שהקש</w:t>
      </w:r>
      <w:r>
        <w:rPr>
          <w:rFonts w:hint="cs"/>
          <w:rtl/>
        </w:rPr>
        <w:t>ו</w:t>
      </w:r>
      <w:r w:rsidRPr="00B06D6B">
        <w:rPr>
          <w:rFonts w:hint="cs"/>
          <w:rtl/>
        </w:rPr>
        <w:t xml:space="preserve"> </w:t>
      </w:r>
      <w:r w:rsidRPr="00B67AC8">
        <w:rPr>
          <w:rStyle w:val="af9"/>
          <w:rFonts w:hint="cs"/>
          <w:rtl/>
        </w:rPr>
        <w:t>הרשב"א והר"ן</w:t>
      </w:r>
      <w:r>
        <w:rPr>
          <w:rFonts w:hint="cs"/>
          <w:rtl/>
        </w:rPr>
        <w:t xml:space="preserve"> </w:t>
      </w:r>
      <w:r w:rsidRPr="004304CE">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Ref884858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י)</w:t>
      </w:r>
      <w:r>
        <w:rPr>
          <w:rStyle w:val="af7"/>
          <w:rFonts w:eastAsia="Guttman Hodes"/>
          <w:rtl/>
        </w:rPr>
        <w:fldChar w:fldCharType="end"/>
      </w:r>
      <w:r w:rsidRPr="004304CE">
        <w:rPr>
          <w:rStyle w:val="af7"/>
          <w:rFonts w:eastAsia="Guttman Hodes" w:hint="cs"/>
          <w:rtl/>
        </w:rPr>
        <w:t xml:space="preserve"> </w:t>
      </w:r>
      <w:r w:rsidRPr="00B06D6B">
        <w:rPr>
          <w:rFonts w:hint="cs"/>
          <w:rtl/>
        </w:rPr>
        <w:t xml:space="preserve">דאיתא בגמ' לקמן </w:t>
      </w:r>
      <w:r w:rsidRPr="004304CE">
        <w:rPr>
          <w:rStyle w:val="af7"/>
          <w:rFonts w:eastAsia="Guttman Hodes" w:hint="cs"/>
          <w:rtl/>
        </w:rPr>
        <w:t>(סח:)</w:t>
      </w:r>
      <w:r w:rsidRPr="00B06D6B">
        <w:rPr>
          <w:rFonts w:hint="cs"/>
          <w:rtl/>
        </w:rPr>
        <w:t xml:space="preserve"> דאיסור יוצא אין לו היתר כטריפה שאין לה היתר, ביאר </w:t>
      </w:r>
      <w:r w:rsidRPr="00B67AC8">
        <w:rPr>
          <w:rStyle w:val="af9"/>
          <w:rFonts w:hint="cs"/>
          <w:rtl/>
        </w:rPr>
        <w:t>החת"ס</w:t>
      </w:r>
      <w:r w:rsidRPr="00B06D6B">
        <w:rPr>
          <w:rFonts w:hint="cs"/>
          <w:rtl/>
        </w:rPr>
        <w:t xml:space="preserve"> בדעת </w:t>
      </w:r>
      <w:r w:rsidRPr="00B67AC8">
        <w:rPr>
          <w:rStyle w:val="af9"/>
          <w:rFonts w:hint="cs"/>
          <w:rtl/>
        </w:rPr>
        <w:t>רש"י</w:t>
      </w:r>
      <w:r w:rsidRPr="00B06D6B">
        <w:rPr>
          <w:rFonts w:hint="cs"/>
          <w:rtl/>
        </w:rPr>
        <w:t xml:space="preserve"> דכוונת הגמ' לומר שאין תקנה לקלקולו של האבר לענין שחיטת האם, אבל בשחיטת עצמו אף האבר מותר</w:t>
      </w:r>
      <w:r>
        <w:rPr>
          <w:rFonts w:hint="cs"/>
          <w:rtl/>
        </w:rPr>
        <w:t>,</w:t>
      </w:r>
      <w:r w:rsidRPr="00B06D6B">
        <w:rPr>
          <w:rFonts w:hint="cs"/>
          <w:rtl/>
        </w:rPr>
        <w:t xml:space="preserve"> לדעת מ"ד דד' סימנים אכשר ביה רחמנא, ומה שהקש</w:t>
      </w:r>
      <w:r>
        <w:rPr>
          <w:rFonts w:hint="cs"/>
          <w:rtl/>
        </w:rPr>
        <w:t xml:space="preserve">ה </w:t>
      </w:r>
      <w:r w:rsidRPr="00F72557">
        <w:rPr>
          <w:rStyle w:val="af9"/>
          <w:rFonts w:hint="cs"/>
          <w:rtl/>
        </w:rPr>
        <w:t>הר"ן</w:t>
      </w:r>
      <w:r w:rsidRPr="00F72557">
        <w:rPr>
          <w:rFonts w:hint="cs"/>
          <w:rtl/>
        </w:rPr>
        <w:t xml:space="preserve"> דהא מבואר בסוגיין דאבר היוצא דאין לו תקנה, כתב </w:t>
      </w:r>
      <w:r w:rsidRPr="00F72557">
        <w:rPr>
          <w:rStyle w:val="af9"/>
          <w:rFonts w:hint="cs"/>
          <w:rtl/>
        </w:rPr>
        <w:t>החת"ס</w:t>
      </w:r>
      <w:r w:rsidRPr="00F72557">
        <w:rPr>
          <w:rFonts w:hint="cs"/>
          <w:rtl/>
        </w:rPr>
        <w:t xml:space="preserve"> בדעת </w:t>
      </w:r>
      <w:r w:rsidRPr="00F72557">
        <w:rPr>
          <w:rStyle w:val="af9"/>
          <w:rFonts w:hint="cs"/>
          <w:rtl/>
        </w:rPr>
        <w:t>רש"י</w:t>
      </w:r>
      <w:r w:rsidRPr="00F72557">
        <w:rPr>
          <w:rFonts w:hint="cs"/>
          <w:rtl/>
        </w:rPr>
        <w:t xml:space="preserve"> דהיינו רק לדעת רב משרשיא, וכן ספק הגמ' לענין </w:t>
      </w:r>
      <w:r w:rsidRPr="00F72557">
        <w:rPr>
          <w:rtl/>
        </w:rPr>
        <w:t>חלב</w:t>
      </w:r>
      <w:r w:rsidRPr="00F72557">
        <w:rPr>
          <w:rFonts w:hint="cs"/>
          <w:rtl/>
        </w:rPr>
        <w:t>, הוא רק לדעת רב משרשיא, אבל לדידן</w:t>
      </w:r>
      <w:r w:rsidRPr="00B06D6B">
        <w:rPr>
          <w:rFonts w:hint="cs"/>
          <w:rtl/>
        </w:rPr>
        <w:t xml:space="preserve"> דקיי"ל דד' סימנים אכשר ביה רחמנא, יש תקנה לאבר, וכן יש תקנה לולד של בן פקועה שבא על בהמה מעלמא, ואף פשיטא דה</w:t>
      </w:r>
      <w:r>
        <w:rPr>
          <w:rtl/>
        </w:rPr>
        <w:t>חלב</w:t>
      </w:r>
      <w:r>
        <w:rPr>
          <w:rFonts w:hint="cs"/>
          <w:rtl/>
        </w:rPr>
        <w:t xml:space="preserve"> </w:t>
      </w:r>
      <w:r w:rsidRPr="00B06D6B">
        <w:rPr>
          <w:rFonts w:hint="cs"/>
          <w:rtl/>
        </w:rPr>
        <w:t>מותר כיון שיש לו תקנה בשחיטה.</w:t>
      </w:r>
      <w:bookmarkEnd w:id="18559"/>
    </w:p>
    <w:p w14:paraId="30D20E60" w14:textId="77777777" w:rsidR="003D504D" w:rsidRDefault="003D504D" w:rsidP="00BF39B2">
      <w:pPr>
        <w:pStyle w:val="1"/>
        <w:rPr>
          <w:rtl/>
        </w:rPr>
      </w:pPr>
      <w:bookmarkStart w:id="18560" w:name="_Toc862073"/>
      <w:bookmarkStart w:id="18561" w:name="_Toc890720"/>
      <w:bookmarkStart w:id="18562" w:name="_Toc903114"/>
      <w:bookmarkStart w:id="18563" w:name="_Toc955485"/>
      <w:bookmarkStart w:id="18564" w:name="_Toc955778"/>
      <w:bookmarkStart w:id="18565" w:name="_Toc1039418"/>
      <w:bookmarkStart w:id="18566" w:name="_Toc1040661"/>
      <w:bookmarkStart w:id="18567" w:name="_Toc1063553"/>
      <w:bookmarkStart w:id="18568" w:name="_Toc1111985"/>
      <w:bookmarkStart w:id="18569" w:name="_Toc1123850"/>
      <w:bookmarkStart w:id="18570" w:name="_Toc19391369"/>
      <w:bookmarkStart w:id="18571" w:name="_Toc19394866"/>
      <w:bookmarkEnd w:id="18531"/>
      <w:bookmarkEnd w:id="18532"/>
      <w:bookmarkEnd w:id="18533"/>
      <w:bookmarkEnd w:id="18534"/>
      <w:bookmarkEnd w:id="18535"/>
      <w:r>
        <w:rPr>
          <w:rFonts w:hint="cs"/>
          <w:rtl/>
        </w:rPr>
        <w:t>בביאור דעת הרי"ף ו</w:t>
      </w:r>
      <w:r>
        <w:rPr>
          <w:rtl/>
        </w:rPr>
        <w:t xml:space="preserve">הרמב"ם </w:t>
      </w:r>
      <w:r>
        <w:rPr>
          <w:rFonts w:hint="cs"/>
          <w:rtl/>
        </w:rPr>
        <w:t>דס"ל כרש"י</w:t>
      </w:r>
      <w:bookmarkEnd w:id="18560"/>
      <w:bookmarkEnd w:id="18561"/>
      <w:bookmarkEnd w:id="18562"/>
      <w:bookmarkEnd w:id="18563"/>
      <w:bookmarkEnd w:id="18564"/>
      <w:bookmarkEnd w:id="18565"/>
      <w:bookmarkEnd w:id="18566"/>
      <w:r>
        <w:rPr>
          <w:rFonts w:hint="cs"/>
          <w:rtl/>
        </w:rPr>
        <w:t xml:space="preserve"> בדין ד' סימנים</w:t>
      </w:r>
      <w:bookmarkEnd w:id="18567"/>
      <w:bookmarkEnd w:id="18568"/>
      <w:bookmarkEnd w:id="18569"/>
      <w:bookmarkEnd w:id="18570"/>
      <w:bookmarkEnd w:id="18571"/>
    </w:p>
    <w:p w14:paraId="057E3665" w14:textId="77777777" w:rsidR="003D504D" w:rsidRPr="00A22EE9" w:rsidRDefault="003D504D" w:rsidP="003D504D">
      <w:pPr>
        <w:pStyle w:val="a3"/>
        <w:rPr>
          <w:rtl/>
        </w:rPr>
      </w:pPr>
      <w:bookmarkStart w:id="18572" w:name="_Toc1039419"/>
      <w:bookmarkStart w:id="18573" w:name="_Toc1040662"/>
      <w:bookmarkStart w:id="18574" w:name="_Toc1063554"/>
      <w:bookmarkStart w:id="18575" w:name="_Toc1111986"/>
      <w:bookmarkStart w:id="18576" w:name="_Toc1123851"/>
      <w:bookmarkStart w:id="18577" w:name="_Toc19391370"/>
      <w:bookmarkStart w:id="18578" w:name="_Toc19394867"/>
      <w:bookmarkStart w:id="18579" w:name="_Toc890721"/>
      <w:bookmarkStart w:id="18580" w:name="_Toc903115"/>
      <w:bookmarkStart w:id="18581" w:name="_Toc955486"/>
      <w:bookmarkStart w:id="18582" w:name="_Toc955779"/>
      <w:r>
        <w:rPr>
          <w:rFonts w:hint="cs"/>
          <w:rtl/>
        </w:rPr>
        <w:t>דברי הרשב"א דאפש"ל דהרי"ף השמיט את כל הספיקות כיון שאינו שכיח</w:t>
      </w:r>
      <w:bookmarkEnd w:id="18572"/>
      <w:bookmarkEnd w:id="18573"/>
      <w:bookmarkEnd w:id="18574"/>
      <w:bookmarkEnd w:id="18575"/>
      <w:bookmarkEnd w:id="18576"/>
      <w:bookmarkEnd w:id="18577"/>
      <w:bookmarkEnd w:id="18578"/>
    </w:p>
    <w:p w14:paraId="55F97909" w14:textId="77777777" w:rsidR="003D504D" w:rsidRPr="00A22EE9" w:rsidRDefault="003D504D" w:rsidP="00223668">
      <w:pPr>
        <w:pStyle w:val="a0"/>
        <w:rPr>
          <w:rtl/>
        </w:rPr>
      </w:pPr>
      <w:r w:rsidRPr="00A22EE9">
        <w:rPr>
          <w:rFonts w:hint="cs"/>
          <w:rtl/>
        </w:rPr>
        <w:t xml:space="preserve">, כתב </w:t>
      </w:r>
      <w:r w:rsidRPr="00A22EE9">
        <w:rPr>
          <w:rStyle w:val="af9"/>
          <w:rFonts w:hint="cs"/>
          <w:rtl/>
        </w:rPr>
        <w:t>הרשב"א</w:t>
      </w:r>
      <w:r w:rsidRPr="00A22EE9">
        <w:rPr>
          <w:rFonts w:hint="cs"/>
          <w:rtl/>
        </w:rPr>
        <w:t xml:space="preserve"> </w:t>
      </w:r>
      <w:r w:rsidRPr="004304CE">
        <w:rPr>
          <w:rStyle w:val="af7"/>
          <w:rFonts w:eastAsia="Guttman Hodes" w:hint="cs"/>
          <w:rtl/>
        </w:rPr>
        <w:t>(ד"ה אלא)</w:t>
      </w:r>
      <w:r w:rsidRPr="00A22EE9">
        <w:rPr>
          <w:rFonts w:hint="cs"/>
          <w:rtl/>
        </w:rPr>
        <w:t xml:space="preserve"> דכיון </w:t>
      </w:r>
      <w:r>
        <w:rPr>
          <w:rFonts w:hint="cs"/>
          <w:rtl/>
        </w:rPr>
        <w:t>ש</w:t>
      </w:r>
      <w:r w:rsidRPr="00A22EE9">
        <w:rPr>
          <w:rFonts w:hint="cs"/>
          <w:rtl/>
        </w:rPr>
        <w:t xml:space="preserve">בספק לענין </w:t>
      </w:r>
      <w:r>
        <w:rPr>
          <w:rFonts w:hint="cs"/>
          <w:rtl/>
        </w:rPr>
        <w:t xml:space="preserve">חלב </w:t>
      </w:r>
      <w:r w:rsidRPr="00A22EE9">
        <w:rPr>
          <w:rFonts w:hint="cs"/>
          <w:rtl/>
        </w:rPr>
        <w:t xml:space="preserve">נשארה הגמ' בתיקו, אזלינן לחומרא, והקשה </w:t>
      </w:r>
      <w:r w:rsidRPr="00F4130E">
        <w:rPr>
          <w:rStyle w:val="af9"/>
          <w:rFonts w:hint="cs"/>
          <w:rtl/>
        </w:rPr>
        <w:t>הרשב"א</w:t>
      </w:r>
      <w:r w:rsidRPr="00A22EE9">
        <w:rPr>
          <w:rFonts w:hint="cs"/>
          <w:rtl/>
        </w:rPr>
        <w:t xml:space="preserve"> על </w:t>
      </w:r>
      <w:r w:rsidRPr="00A22EE9">
        <w:rPr>
          <w:rStyle w:val="af9"/>
          <w:rFonts w:hint="cs"/>
          <w:rtl/>
        </w:rPr>
        <w:t>הרי"ף</w:t>
      </w:r>
      <w:r w:rsidRPr="00A22EE9">
        <w:rPr>
          <w:rFonts w:hint="cs"/>
          <w:rtl/>
        </w:rPr>
        <w:t xml:space="preserve"> אמאי השמיט את </w:t>
      </w:r>
      <w:r>
        <w:rPr>
          <w:rFonts w:hint="cs"/>
          <w:rtl/>
        </w:rPr>
        <w:t>ספק הגמ'</w:t>
      </w:r>
      <w:r w:rsidRPr="00A22EE9">
        <w:rPr>
          <w:rFonts w:hint="cs"/>
          <w:rtl/>
        </w:rPr>
        <w:t xml:space="preserve">, וכתב </w:t>
      </w:r>
      <w:r w:rsidRPr="00A22EE9">
        <w:rPr>
          <w:rStyle w:val="af9"/>
          <w:rFonts w:hint="cs"/>
          <w:rtl/>
        </w:rPr>
        <w:t>הרשב"א</w:t>
      </w:r>
      <w:r w:rsidRPr="00A22EE9">
        <w:rPr>
          <w:rFonts w:hint="cs"/>
          <w:rtl/>
        </w:rPr>
        <w:t xml:space="preserve"> דאפש"ל </w:t>
      </w:r>
      <w:r w:rsidRPr="00A22EE9">
        <w:rPr>
          <w:rStyle w:val="af9"/>
          <w:rFonts w:hint="cs"/>
          <w:rtl/>
        </w:rPr>
        <w:t>דהרי"ף</w:t>
      </w:r>
      <w:r w:rsidRPr="00A22EE9">
        <w:rPr>
          <w:rFonts w:hint="cs"/>
          <w:rtl/>
        </w:rPr>
        <w:t xml:space="preserve"> השמיט כיון שאבר היוצא לא שכיח.</w:t>
      </w:r>
    </w:p>
    <w:p w14:paraId="5EA53EE3" w14:textId="77777777" w:rsidR="003D504D" w:rsidRPr="00B67AC8" w:rsidRDefault="003D504D" w:rsidP="003D504D">
      <w:pPr>
        <w:pStyle w:val="a3"/>
        <w:rPr>
          <w:rtl/>
        </w:rPr>
      </w:pPr>
      <w:bookmarkStart w:id="18583" w:name="_Toc1039420"/>
      <w:bookmarkStart w:id="18584" w:name="_Toc1040663"/>
      <w:bookmarkStart w:id="18585" w:name="_Toc1063555"/>
      <w:bookmarkStart w:id="18586" w:name="_Toc1111987"/>
      <w:bookmarkStart w:id="18587" w:name="_Toc1123852"/>
      <w:bookmarkStart w:id="18588" w:name="_Toc19391371"/>
      <w:bookmarkStart w:id="18589" w:name="_Toc19394868"/>
      <w:r>
        <w:rPr>
          <w:rFonts w:hint="cs"/>
          <w:rtl/>
        </w:rPr>
        <w:t>קושית הב"י אמאי השמיט הרמב"ם את הספיקות בדינא דרב משרשיא</w:t>
      </w:r>
      <w:bookmarkEnd w:id="18579"/>
      <w:bookmarkEnd w:id="18580"/>
      <w:bookmarkEnd w:id="18581"/>
      <w:bookmarkEnd w:id="18582"/>
      <w:bookmarkEnd w:id="18583"/>
      <w:bookmarkEnd w:id="18584"/>
      <w:bookmarkEnd w:id="18585"/>
      <w:bookmarkEnd w:id="18586"/>
      <w:bookmarkEnd w:id="18587"/>
      <w:bookmarkEnd w:id="18588"/>
      <w:bookmarkEnd w:id="18589"/>
    </w:p>
    <w:p w14:paraId="046A6488" w14:textId="77777777" w:rsidR="003D504D" w:rsidRDefault="003D504D" w:rsidP="00223668">
      <w:pPr>
        <w:pStyle w:val="a0"/>
        <w:rPr>
          <w:rtl/>
        </w:rPr>
      </w:pPr>
      <w:r>
        <w:rPr>
          <w:rFonts w:hint="cs"/>
          <w:rtl/>
        </w:rPr>
        <w:t xml:space="preserve">וכן </w:t>
      </w:r>
      <w:r w:rsidRPr="00B06D6B">
        <w:rPr>
          <w:rFonts w:hint="cs"/>
          <w:rtl/>
        </w:rPr>
        <w:t xml:space="preserve">הקשה </w:t>
      </w:r>
      <w:r w:rsidRPr="008236F4">
        <w:rPr>
          <w:rStyle w:val="af9"/>
          <w:rFonts w:hint="cs"/>
          <w:rtl/>
        </w:rPr>
        <w:t>הב"י</w:t>
      </w:r>
      <w:r w:rsidRPr="00B06D6B">
        <w:rPr>
          <w:rFonts w:hint="cs"/>
          <w:rtl/>
        </w:rPr>
        <w:t xml:space="preserve"> </w:t>
      </w:r>
      <w:r w:rsidRPr="004304CE">
        <w:rPr>
          <w:rStyle w:val="af7"/>
          <w:rFonts w:eastAsia="Guttman Hodes" w:hint="cs"/>
          <w:rtl/>
        </w:rPr>
        <w:t>(סי' י"ג ד')</w:t>
      </w:r>
      <w:r w:rsidRPr="00B06D6B">
        <w:rPr>
          <w:rFonts w:hint="cs"/>
          <w:rtl/>
        </w:rPr>
        <w:t xml:space="preserve"> אמאי השמיט </w:t>
      </w:r>
      <w:r w:rsidRPr="008236F4">
        <w:rPr>
          <w:rStyle w:val="af9"/>
          <w:rFonts w:hint="cs"/>
          <w:rtl/>
        </w:rPr>
        <w:t>הרמב"ם</w:t>
      </w:r>
      <w:r w:rsidRPr="00B06D6B">
        <w:rPr>
          <w:rFonts w:hint="cs"/>
          <w:rtl/>
        </w:rPr>
        <w:t xml:space="preserve"> את הספיקות דרב משרשיא, הרי </w:t>
      </w:r>
      <w:r w:rsidRPr="008236F4">
        <w:rPr>
          <w:rStyle w:val="af9"/>
          <w:rFonts w:hint="cs"/>
          <w:rtl/>
        </w:rPr>
        <w:t>הרמב"ם</w:t>
      </w:r>
      <w:r w:rsidRPr="00B06D6B">
        <w:rPr>
          <w:rFonts w:hint="cs"/>
          <w:rtl/>
        </w:rPr>
        <w:t xml:space="preserve"> </w:t>
      </w:r>
      <w:r w:rsidRPr="004304CE">
        <w:rPr>
          <w:rStyle w:val="af7"/>
          <w:rFonts w:eastAsia="Guttman Hodes" w:hint="cs"/>
          <w:rtl/>
        </w:rPr>
        <w:t>(שחיטה פי"ב הי"א)</w:t>
      </w:r>
      <w:r w:rsidRPr="00B06D6B">
        <w:rPr>
          <w:rFonts w:hint="cs"/>
          <w:rtl/>
        </w:rPr>
        <w:t xml:space="preserve"> פסק דמספקא לן אי חוששין לזרע האב</w:t>
      </w:r>
      <w:r>
        <w:rPr>
          <w:rFonts w:hint="cs"/>
          <w:rtl/>
        </w:rPr>
        <w:t xml:space="preserve">, </w:t>
      </w:r>
      <w:r w:rsidRPr="00717F50">
        <w:rPr>
          <w:rFonts w:hint="cs"/>
          <w:rtl/>
        </w:rPr>
        <w:t>וע</w:t>
      </w:r>
      <w:r>
        <w:rPr>
          <w:rFonts w:hint="cs"/>
          <w:rtl/>
        </w:rPr>
        <w:t>י'</w:t>
      </w:r>
      <w:r w:rsidRPr="00717F50">
        <w:rPr>
          <w:rFonts w:hint="cs"/>
          <w:rtl/>
        </w:rPr>
        <w:t xml:space="preserve"> במה שביאר</w:t>
      </w:r>
      <w:r>
        <w:rPr>
          <w:rFonts w:hint="cs"/>
          <w:rtl/>
        </w:rPr>
        <w:t xml:space="preserve"> בזה</w:t>
      </w:r>
      <w:r w:rsidRPr="00717F50">
        <w:rPr>
          <w:rFonts w:hint="cs"/>
          <w:rtl/>
        </w:rPr>
        <w:t xml:space="preserve"> </w:t>
      </w:r>
      <w:r w:rsidRPr="00615EB0">
        <w:rPr>
          <w:rStyle w:val="af9"/>
          <w:rFonts w:hint="cs"/>
          <w:rtl/>
        </w:rPr>
        <w:t>הזכר יצחק</w:t>
      </w:r>
      <w:r w:rsidRPr="00717F50">
        <w:rPr>
          <w:rFonts w:hint="cs"/>
          <w:rtl/>
        </w:rPr>
        <w:t xml:space="preserve"> </w:t>
      </w:r>
      <w:r w:rsidRPr="004304CE">
        <w:rPr>
          <w:rStyle w:val="af7"/>
          <w:rFonts w:eastAsia="Guttman Hodes" w:hint="cs"/>
          <w:rtl/>
        </w:rPr>
        <w:t>(ח"א סי' ל"ה)</w:t>
      </w:r>
      <w:r w:rsidRPr="00B06D6B">
        <w:rPr>
          <w:rFonts w:hint="cs"/>
          <w:rtl/>
        </w:rPr>
        <w:t>.</w:t>
      </w:r>
    </w:p>
    <w:p w14:paraId="009F75A0" w14:textId="77777777" w:rsidR="003D504D" w:rsidRDefault="003D504D" w:rsidP="003D504D">
      <w:pPr>
        <w:pStyle w:val="a3"/>
      </w:pPr>
      <w:bookmarkStart w:id="18590" w:name="_Toc890722"/>
      <w:bookmarkStart w:id="18591" w:name="_Toc903116"/>
      <w:bookmarkStart w:id="18592" w:name="_Toc955487"/>
      <w:bookmarkStart w:id="18593" w:name="_Toc955780"/>
      <w:bookmarkStart w:id="18594" w:name="_Toc1039421"/>
      <w:bookmarkStart w:id="18595" w:name="_Toc1040664"/>
      <w:bookmarkStart w:id="18596" w:name="_Toc1063556"/>
      <w:bookmarkStart w:id="18597" w:name="_Toc1111988"/>
      <w:bookmarkStart w:id="18598" w:name="_Toc1123853"/>
      <w:bookmarkStart w:id="18599" w:name="_Toc19391372"/>
      <w:bookmarkStart w:id="18600" w:name="_Toc19394869"/>
      <w:r>
        <w:rPr>
          <w:rFonts w:hint="cs"/>
          <w:rtl/>
        </w:rPr>
        <w:t>ביאור האשכול והיש"ש והפר"ח דהרי"ף והרמב"ם פסקו כמ"ד דד' סימנים ולא כרב משרשיא</w:t>
      </w:r>
      <w:bookmarkEnd w:id="18590"/>
      <w:bookmarkEnd w:id="18591"/>
      <w:bookmarkEnd w:id="18592"/>
      <w:bookmarkEnd w:id="18593"/>
      <w:bookmarkEnd w:id="18594"/>
      <w:bookmarkEnd w:id="18595"/>
      <w:bookmarkEnd w:id="18596"/>
      <w:bookmarkEnd w:id="18597"/>
      <w:bookmarkEnd w:id="18598"/>
      <w:bookmarkEnd w:id="18599"/>
      <w:bookmarkEnd w:id="18600"/>
      <w:r>
        <w:rPr>
          <w:rFonts w:hint="cs"/>
          <w:rtl/>
        </w:rPr>
        <w:t xml:space="preserve"> </w:t>
      </w:r>
    </w:p>
    <w:p w14:paraId="007021CB" w14:textId="77777777" w:rsidR="003D504D" w:rsidRDefault="003D504D" w:rsidP="00223668">
      <w:pPr>
        <w:pStyle w:val="a0"/>
        <w:rPr>
          <w:rtl/>
        </w:rPr>
      </w:pPr>
      <w:r w:rsidRPr="00EB0195">
        <w:rPr>
          <w:rStyle w:val="af9"/>
          <w:rFonts w:hint="cs"/>
          <w:rtl/>
        </w:rPr>
        <w:t>והאשכול</w:t>
      </w:r>
      <w:r>
        <w:rPr>
          <w:rFonts w:hint="cs"/>
          <w:rtl/>
        </w:rPr>
        <w:t xml:space="preserve"> </w:t>
      </w:r>
      <w:r w:rsidRPr="00EB0195">
        <w:rPr>
          <w:rStyle w:val="af7"/>
          <w:rFonts w:eastAsia="Guttman Hodes" w:hint="cs"/>
          <w:rtl/>
        </w:rPr>
        <w:t>(בריש פירקין</w:t>
      </w:r>
      <w:r>
        <w:rPr>
          <w:rStyle w:val="af7"/>
          <w:rFonts w:eastAsia="Guttman Hodes" w:hint="cs"/>
          <w:rtl/>
        </w:rPr>
        <w:t xml:space="preserve"> עמ' 68</w:t>
      </w:r>
      <w:r w:rsidRPr="00EB0195">
        <w:rPr>
          <w:rStyle w:val="af7"/>
          <w:rFonts w:eastAsia="Guttman Hodes" w:hint="cs"/>
          <w:rtl/>
        </w:rPr>
        <w:t>, הועתק בקובץ שיטות קמאי</w:t>
      </w:r>
      <w:r>
        <w:rPr>
          <w:rStyle w:val="af7"/>
          <w:rFonts w:eastAsia="Guttman Hodes" w:hint="cs"/>
          <w:rtl/>
        </w:rPr>
        <w:t xml:space="preserve"> </w:t>
      </w:r>
      <w:r w:rsidRPr="00EB0195">
        <w:rPr>
          <w:rStyle w:val="af7"/>
          <w:rFonts w:eastAsia="Guttman Hodes" w:hint="cs"/>
          <w:rtl/>
        </w:rPr>
        <w:t xml:space="preserve">חולין ח"ב עמ' תר"ה) </w:t>
      </w:r>
      <w:r>
        <w:rPr>
          <w:rFonts w:hint="cs"/>
          <w:rtl/>
        </w:rPr>
        <w:t xml:space="preserve">כתב </w:t>
      </w:r>
      <w:r w:rsidRPr="00EB0195">
        <w:rPr>
          <w:rStyle w:val="af9"/>
          <w:rFonts w:hint="cs"/>
          <w:rtl/>
        </w:rPr>
        <w:t>דהרי"ף</w:t>
      </w:r>
      <w:r>
        <w:rPr>
          <w:rFonts w:hint="cs"/>
          <w:rtl/>
        </w:rPr>
        <w:t xml:space="preserve"> השמיט את כל הספיקות ברב משרשיא בולד שאין לו תקנה, כיון דקיי"ל כמ"ד דד' סימנים אכשר ביה רחמנא, א"כ כל שלא מהני שחיטת אמו, שחיטת הולד מתירתו, ולא קיי"ל כרב משרשיא, </w:t>
      </w:r>
      <w:bookmarkStart w:id="18601" w:name="_Ref889024"/>
      <w:r>
        <w:rPr>
          <w:rFonts w:hint="cs"/>
          <w:rtl/>
        </w:rPr>
        <w:t>וכ"כ</w:t>
      </w:r>
      <w:r w:rsidRPr="00B06D6B">
        <w:rPr>
          <w:rFonts w:hint="cs"/>
          <w:rtl/>
        </w:rPr>
        <w:t xml:space="preserve"> </w:t>
      </w:r>
      <w:r w:rsidRPr="007515BA">
        <w:rPr>
          <w:rStyle w:val="af9"/>
          <w:rFonts w:hint="cs"/>
          <w:rtl/>
        </w:rPr>
        <w:t>היש"ש</w:t>
      </w:r>
      <w:r w:rsidRPr="00B06D6B">
        <w:rPr>
          <w:rFonts w:hint="cs"/>
          <w:rtl/>
        </w:rPr>
        <w:t xml:space="preserve"> </w:t>
      </w:r>
      <w:r w:rsidRPr="00BA6006">
        <w:rPr>
          <w:rStyle w:val="af7"/>
          <w:rFonts w:eastAsia="Guttman Hodes" w:hint="cs"/>
          <w:rtl/>
        </w:rPr>
        <w:t>(בפירקין סי' ט')</w:t>
      </w:r>
      <w:r w:rsidRPr="00B06D6B">
        <w:rPr>
          <w:rFonts w:hint="cs"/>
          <w:rtl/>
        </w:rPr>
        <w:t xml:space="preserve"> </w:t>
      </w:r>
      <w:r w:rsidRPr="007515BA">
        <w:rPr>
          <w:rStyle w:val="af9"/>
          <w:rFonts w:hint="cs"/>
          <w:rtl/>
        </w:rPr>
        <w:t>ו</w:t>
      </w:r>
      <w:r w:rsidRPr="008236F4">
        <w:rPr>
          <w:rStyle w:val="af9"/>
          <w:rFonts w:hint="cs"/>
          <w:rtl/>
        </w:rPr>
        <w:t>הפר"ח</w:t>
      </w:r>
      <w:r w:rsidRPr="00B06D6B">
        <w:rPr>
          <w:rFonts w:hint="cs"/>
          <w:rtl/>
        </w:rPr>
        <w:t xml:space="preserve"> </w:t>
      </w:r>
      <w:r w:rsidRPr="00BA6006">
        <w:rPr>
          <w:rStyle w:val="af7"/>
          <w:rFonts w:eastAsia="Guttman Hodes" w:hint="cs"/>
          <w:rtl/>
        </w:rPr>
        <w:t>(סי' י"ג סקי"ג)</w:t>
      </w:r>
      <w:r w:rsidRPr="00B06D6B">
        <w:rPr>
          <w:rFonts w:hint="cs"/>
          <w:rtl/>
        </w:rPr>
        <w:t xml:space="preserve"> </w:t>
      </w:r>
      <w:r w:rsidRPr="008236F4">
        <w:rPr>
          <w:rStyle w:val="af9"/>
          <w:rFonts w:hint="cs"/>
          <w:rtl/>
        </w:rPr>
        <w:t>דהרמב"ם</w:t>
      </w:r>
      <w:r w:rsidRPr="00B06D6B">
        <w:rPr>
          <w:rFonts w:hint="cs"/>
          <w:rtl/>
        </w:rPr>
        <w:t xml:space="preserve"> ס"ל </w:t>
      </w:r>
      <w:r w:rsidRPr="008236F4">
        <w:rPr>
          <w:rStyle w:val="af9"/>
          <w:rFonts w:hint="cs"/>
          <w:rtl/>
        </w:rPr>
        <w:t>כרש"י</w:t>
      </w:r>
      <w:r w:rsidRPr="00BA6006">
        <w:rPr>
          <w:rStyle w:val="af7"/>
          <w:rFonts w:eastAsia="Guttman Hodes" w:hint="cs"/>
          <w:rtl/>
        </w:rPr>
        <w:t xml:space="preserve"> (עי' אות </w:t>
      </w:r>
      <w:r w:rsidRPr="00BA6006">
        <w:rPr>
          <w:rStyle w:val="af7"/>
          <w:rFonts w:eastAsia="Guttman Hodes"/>
          <w:rtl/>
        </w:rPr>
        <w:fldChar w:fldCharType="begin"/>
      </w:r>
      <w:r w:rsidRPr="00BA6006">
        <w:rPr>
          <w:rStyle w:val="af7"/>
          <w:rFonts w:eastAsia="Guttman Hodes"/>
          <w:rtl/>
        </w:rPr>
        <w:instrText xml:space="preserve"> </w:instrText>
      </w:r>
      <w:r w:rsidRPr="00BA6006">
        <w:rPr>
          <w:rStyle w:val="af7"/>
          <w:rFonts w:eastAsia="Guttman Hodes" w:hint="cs"/>
        </w:rPr>
        <w:instrText>REF</w:instrText>
      </w:r>
      <w:r w:rsidRPr="00BA6006">
        <w:rPr>
          <w:rStyle w:val="af7"/>
          <w:rFonts w:eastAsia="Guttman Hodes" w:hint="cs"/>
          <w:rtl/>
        </w:rPr>
        <w:instrText xml:space="preserve"> _</w:instrText>
      </w:r>
      <w:r w:rsidRPr="00BA6006">
        <w:rPr>
          <w:rStyle w:val="af7"/>
          <w:rFonts w:eastAsia="Guttman Hodes" w:hint="cs"/>
        </w:rPr>
        <w:instrText>Ref536786986 \r \h</w:instrText>
      </w:r>
      <w:r w:rsidRPr="00BA6006">
        <w:rPr>
          <w:rStyle w:val="af7"/>
          <w:rFonts w:eastAsia="Guttman Hodes"/>
          <w:rtl/>
        </w:rPr>
        <w:instrText xml:space="preserve"> </w:instrText>
      </w:r>
      <w:r w:rsidRPr="00BA6006">
        <w:rPr>
          <w:rStyle w:val="af7"/>
          <w:rFonts w:eastAsia="Guttman Hodes"/>
          <w:rtl/>
        </w:rPr>
      </w:r>
      <w:r w:rsidRPr="00BA6006">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BA6006">
        <w:rPr>
          <w:rStyle w:val="af7"/>
          <w:rFonts w:eastAsia="Guttman Hodes"/>
          <w:rtl/>
        </w:rPr>
        <w:fldChar w:fldCharType="end"/>
      </w:r>
      <w:r w:rsidRPr="00B06D6B">
        <w:rPr>
          <w:rFonts w:hint="cs"/>
          <w:rtl/>
        </w:rPr>
        <w:t xml:space="preserve"> דקיי"ל </w:t>
      </w:r>
      <w:r>
        <w:rPr>
          <w:rFonts w:hint="cs"/>
          <w:rtl/>
        </w:rPr>
        <w:t xml:space="preserve">כמ"ד </w:t>
      </w:r>
      <w:r w:rsidRPr="00B06D6B">
        <w:rPr>
          <w:rFonts w:hint="cs"/>
          <w:rtl/>
        </w:rPr>
        <w:t xml:space="preserve">דד' סימנים אכשר ביה רחמנא, </w:t>
      </w:r>
      <w:r>
        <w:rPr>
          <w:rFonts w:hint="cs"/>
          <w:rtl/>
        </w:rPr>
        <w:t>ו</w:t>
      </w:r>
      <w:r w:rsidRPr="00B06D6B">
        <w:rPr>
          <w:rFonts w:hint="cs"/>
          <w:rtl/>
        </w:rPr>
        <w:t xml:space="preserve">הוא פליג </w:t>
      </w:r>
      <w:r>
        <w:rPr>
          <w:rFonts w:hint="cs"/>
          <w:rtl/>
        </w:rPr>
        <w:t xml:space="preserve">על </w:t>
      </w:r>
      <w:r w:rsidRPr="00B06D6B">
        <w:rPr>
          <w:rFonts w:hint="cs"/>
          <w:rtl/>
        </w:rPr>
        <w:t xml:space="preserve">רב משרשיא, וע"ע במ"ש בזה </w:t>
      </w:r>
      <w:r w:rsidRPr="00B06D6B">
        <w:rPr>
          <w:rStyle w:val="af9"/>
          <w:rFonts w:hint="cs"/>
          <w:rtl/>
        </w:rPr>
        <w:t>הבכור שור לקמן</w:t>
      </w:r>
      <w:r w:rsidRPr="00B06D6B">
        <w:rPr>
          <w:rFonts w:hint="cs"/>
          <w:rtl/>
        </w:rPr>
        <w:t xml:space="preserve"> </w:t>
      </w:r>
      <w:r w:rsidRPr="00BA6006">
        <w:rPr>
          <w:rStyle w:val="af7"/>
          <w:rFonts w:eastAsia="Guttman Hodes" w:hint="cs"/>
          <w:rtl/>
        </w:rPr>
        <w:t>(עה: ד"ה הרמב"ם, נד' בסוף התבו"ש)</w:t>
      </w:r>
      <w:r>
        <w:rPr>
          <w:rFonts w:hint="cs"/>
          <w:rtl/>
        </w:rPr>
        <w:t xml:space="preserve">, וע"ע בדברי </w:t>
      </w:r>
      <w:r w:rsidRPr="00E90513">
        <w:rPr>
          <w:rStyle w:val="af9"/>
          <w:rFonts w:hint="cs"/>
          <w:rtl/>
        </w:rPr>
        <w:t>הפרי תואר</w:t>
      </w:r>
      <w:r>
        <w:rPr>
          <w:rFonts w:hint="cs"/>
          <w:rtl/>
        </w:rPr>
        <w:t xml:space="preserve"> </w:t>
      </w:r>
      <w:r w:rsidRPr="00BA6006">
        <w:rPr>
          <w:rStyle w:val="af7"/>
          <w:rFonts w:eastAsia="Guttman Hodes" w:hint="cs"/>
          <w:rtl/>
        </w:rPr>
        <w:t xml:space="preserve">(עי' אות </w:t>
      </w:r>
      <w:r w:rsidRPr="00BA6006">
        <w:rPr>
          <w:rStyle w:val="af7"/>
          <w:rFonts w:eastAsia="Guttman Hodes"/>
          <w:rtl/>
        </w:rPr>
        <w:fldChar w:fldCharType="begin"/>
      </w:r>
      <w:r w:rsidRPr="00BA6006">
        <w:rPr>
          <w:rStyle w:val="af7"/>
          <w:rFonts w:eastAsia="Guttman Hodes"/>
          <w:rtl/>
        </w:rPr>
        <w:instrText xml:space="preserve"> </w:instrText>
      </w:r>
      <w:r w:rsidRPr="00BA6006">
        <w:rPr>
          <w:rStyle w:val="af7"/>
          <w:rFonts w:eastAsia="Guttman Hodes" w:hint="cs"/>
        </w:rPr>
        <w:instrText>REF</w:instrText>
      </w:r>
      <w:r w:rsidRPr="00BA6006">
        <w:rPr>
          <w:rStyle w:val="af7"/>
          <w:rFonts w:eastAsia="Guttman Hodes" w:hint="cs"/>
          <w:rtl/>
        </w:rPr>
        <w:instrText xml:space="preserve"> _</w:instrText>
      </w:r>
      <w:r w:rsidRPr="00BA6006">
        <w:rPr>
          <w:rStyle w:val="af7"/>
          <w:rFonts w:eastAsia="Guttman Hodes" w:hint="cs"/>
        </w:rPr>
        <w:instrText>Ref889118 \r \h</w:instrText>
      </w:r>
      <w:r w:rsidRPr="00BA6006">
        <w:rPr>
          <w:rStyle w:val="af7"/>
          <w:rFonts w:eastAsia="Guttman Hodes"/>
          <w:rtl/>
        </w:rPr>
        <w:instrText xml:space="preserve"> </w:instrText>
      </w:r>
      <w:r w:rsidRPr="00BA6006">
        <w:rPr>
          <w:rStyle w:val="af7"/>
          <w:rFonts w:eastAsia="Guttman Hodes"/>
          <w:rtl/>
        </w:rPr>
      </w:r>
      <w:r w:rsidRPr="00BA6006">
        <w:rPr>
          <w:rStyle w:val="af7"/>
          <w:rFonts w:eastAsia="Guttman Hodes"/>
          <w:rtl/>
        </w:rPr>
        <w:fldChar w:fldCharType="separate"/>
      </w:r>
      <w:r w:rsidR="00345400">
        <w:rPr>
          <w:rStyle w:val="af7"/>
          <w:rFonts w:eastAsia="Guttman Hodes"/>
          <w:cs/>
        </w:rPr>
        <w:t>‎</w:t>
      </w:r>
      <w:r w:rsidR="00345400">
        <w:rPr>
          <w:rStyle w:val="af7"/>
          <w:rFonts w:eastAsia="Guttman Hodes"/>
          <w:rtl/>
        </w:rPr>
        <w:t>לז)</w:t>
      </w:r>
      <w:r w:rsidRPr="00BA6006">
        <w:rPr>
          <w:rStyle w:val="af7"/>
          <w:rFonts w:eastAsia="Guttman Hodes"/>
          <w:rtl/>
        </w:rPr>
        <w:fldChar w:fldCharType="end"/>
      </w:r>
      <w:r w:rsidRPr="00B06D6B">
        <w:rPr>
          <w:rFonts w:hint="cs"/>
          <w:rtl/>
        </w:rPr>
        <w:t>.</w:t>
      </w:r>
      <w:bookmarkEnd w:id="18601"/>
    </w:p>
    <w:p w14:paraId="68CD11BB" w14:textId="77777777" w:rsidR="003D504D" w:rsidRPr="00B06D6B" w:rsidRDefault="003D504D" w:rsidP="003D504D">
      <w:pPr>
        <w:pStyle w:val="a3"/>
        <w:rPr>
          <w:rtl/>
        </w:rPr>
      </w:pPr>
      <w:bookmarkStart w:id="18602" w:name="_Toc1039422"/>
      <w:bookmarkStart w:id="18603" w:name="_Toc1040665"/>
      <w:bookmarkStart w:id="18604" w:name="_Toc1063557"/>
      <w:bookmarkStart w:id="18605" w:name="_Toc1111989"/>
      <w:bookmarkStart w:id="18606" w:name="_Toc1123854"/>
      <w:bookmarkStart w:id="18607" w:name="_Toc19391373"/>
      <w:bookmarkStart w:id="18608" w:name="_Toc19394870"/>
      <w:bookmarkStart w:id="18609" w:name="_Toc862074"/>
      <w:bookmarkStart w:id="18610" w:name="_Toc890723"/>
      <w:bookmarkStart w:id="18611" w:name="_Toc903117"/>
      <w:bookmarkStart w:id="18612" w:name="_Toc955488"/>
      <w:bookmarkStart w:id="18613" w:name="_Toc955781"/>
      <w:bookmarkStart w:id="18614" w:name="_Toc519032"/>
      <w:bookmarkStart w:id="18615" w:name="_Toc725011"/>
      <w:bookmarkStart w:id="18616" w:name="_Toc773230"/>
      <w:r>
        <w:rPr>
          <w:rFonts w:hint="cs"/>
          <w:rtl/>
        </w:rPr>
        <w:t>דברי החת"ס דלרש"י והרי"ף לא קיי"ל כספיקות של רב משרשיא ופשיטא דמותר</w:t>
      </w:r>
      <w:bookmarkEnd w:id="18602"/>
      <w:bookmarkEnd w:id="18603"/>
      <w:bookmarkEnd w:id="18604"/>
      <w:bookmarkEnd w:id="18605"/>
      <w:bookmarkEnd w:id="18606"/>
      <w:bookmarkEnd w:id="18607"/>
      <w:bookmarkEnd w:id="18608"/>
    </w:p>
    <w:p w14:paraId="1E2E25FC" w14:textId="77777777" w:rsidR="003D504D" w:rsidRPr="00B06D6B" w:rsidRDefault="003D504D" w:rsidP="00223668">
      <w:pPr>
        <w:pStyle w:val="a0"/>
        <w:rPr>
          <w:rtl/>
        </w:rPr>
      </w:pPr>
      <w:r>
        <w:rPr>
          <w:rFonts w:hint="cs"/>
          <w:rtl/>
        </w:rPr>
        <w:t xml:space="preserve">וכ"כ </w:t>
      </w:r>
      <w:r w:rsidRPr="00B67AC8">
        <w:rPr>
          <w:rStyle w:val="af9"/>
          <w:rFonts w:hint="cs"/>
          <w:rtl/>
        </w:rPr>
        <w:t>החת"ס</w:t>
      </w:r>
      <w:r w:rsidRPr="00B06D6B">
        <w:rPr>
          <w:rFonts w:hint="cs"/>
          <w:rtl/>
        </w:rPr>
        <w:t xml:space="preserve"> </w:t>
      </w:r>
      <w:r w:rsidRPr="004304CE">
        <w:rPr>
          <w:rStyle w:val="af7"/>
          <w:rFonts w:eastAsia="Guttman Hodes" w:hint="cs"/>
          <w:rtl/>
        </w:rPr>
        <w:t xml:space="preserve">(עי' אות </w:t>
      </w:r>
      <w:r w:rsidRPr="00A3455C">
        <w:rPr>
          <w:rStyle w:val="af7"/>
          <w:rFonts w:eastAsia="Guttman Hodes"/>
          <w:rtl/>
        </w:rPr>
        <w:fldChar w:fldCharType="begin"/>
      </w:r>
      <w:r w:rsidRPr="00A3455C">
        <w:rPr>
          <w:rStyle w:val="af7"/>
          <w:rFonts w:eastAsia="Guttman Hodes"/>
          <w:rtl/>
        </w:rPr>
        <w:instrText xml:space="preserve"> </w:instrText>
      </w:r>
      <w:r w:rsidRPr="00A3455C">
        <w:rPr>
          <w:rStyle w:val="af7"/>
          <w:rFonts w:eastAsia="Guttman Hodes" w:hint="cs"/>
        </w:rPr>
        <w:instrText>REF</w:instrText>
      </w:r>
      <w:r w:rsidRPr="00A3455C">
        <w:rPr>
          <w:rStyle w:val="af7"/>
          <w:rFonts w:eastAsia="Guttman Hodes" w:hint="cs"/>
          <w:rtl/>
        </w:rPr>
        <w:instrText xml:space="preserve"> _</w:instrText>
      </w:r>
      <w:r w:rsidRPr="00A3455C">
        <w:rPr>
          <w:rStyle w:val="af7"/>
          <w:rFonts w:eastAsia="Guttman Hodes" w:hint="cs"/>
        </w:rPr>
        <w:instrText>Ref797858 \r \h</w:instrText>
      </w:r>
      <w:r w:rsidRPr="00A3455C">
        <w:rPr>
          <w:rStyle w:val="af7"/>
          <w:rFonts w:eastAsia="Guttman Hodes"/>
          <w:rtl/>
        </w:rPr>
        <w:instrText xml:space="preserve"> </w:instrText>
      </w:r>
      <w:r w:rsidRPr="00A3455C">
        <w:rPr>
          <w:rStyle w:val="af7"/>
          <w:rFonts w:eastAsia="Guttman Hodes"/>
          <w:rtl/>
        </w:rPr>
      </w:r>
      <w:r w:rsidRPr="00A3455C">
        <w:rPr>
          <w:rStyle w:val="af7"/>
          <w:rFonts w:eastAsia="Guttman Hodes"/>
          <w:rtl/>
        </w:rPr>
        <w:fldChar w:fldCharType="separate"/>
      </w:r>
      <w:r w:rsidR="00345400">
        <w:rPr>
          <w:rStyle w:val="af7"/>
          <w:rFonts w:eastAsia="Guttman Hodes"/>
          <w:cs/>
        </w:rPr>
        <w:t>‎</w:t>
      </w:r>
      <w:r w:rsidR="00345400">
        <w:rPr>
          <w:rStyle w:val="af7"/>
          <w:rFonts w:eastAsia="Guttman Hodes"/>
          <w:rtl/>
        </w:rPr>
        <w:t>טז)</w:t>
      </w:r>
      <w:r w:rsidRPr="00A3455C">
        <w:rPr>
          <w:rStyle w:val="af7"/>
          <w:rFonts w:eastAsia="Guttman Hodes"/>
          <w:rtl/>
        </w:rPr>
        <w:fldChar w:fldCharType="end"/>
      </w:r>
      <w:r>
        <w:rPr>
          <w:rFonts w:hint="cs"/>
          <w:rtl/>
        </w:rPr>
        <w:t xml:space="preserve"> דל</w:t>
      </w:r>
      <w:r w:rsidRPr="00B06D6B">
        <w:rPr>
          <w:rFonts w:hint="cs"/>
          <w:rtl/>
        </w:rPr>
        <w:t xml:space="preserve">דעת </w:t>
      </w:r>
      <w:r w:rsidRPr="00B67AC8">
        <w:rPr>
          <w:rStyle w:val="af9"/>
          <w:rFonts w:hint="cs"/>
          <w:rtl/>
        </w:rPr>
        <w:t>רש"</w:t>
      </w:r>
      <w:r w:rsidRPr="00A3455C">
        <w:rPr>
          <w:rStyle w:val="af9"/>
          <w:rFonts w:hint="cs"/>
          <w:rtl/>
        </w:rPr>
        <w:t>י והרי"ף</w:t>
      </w:r>
      <w:r w:rsidRPr="00B06D6B">
        <w:rPr>
          <w:rFonts w:hint="cs"/>
          <w:rtl/>
        </w:rPr>
        <w:t xml:space="preserve"> </w:t>
      </w:r>
      <w:r w:rsidRPr="00F72557">
        <w:rPr>
          <w:rFonts w:hint="cs"/>
          <w:rtl/>
        </w:rPr>
        <w:t xml:space="preserve">הא </w:t>
      </w:r>
      <w:r>
        <w:rPr>
          <w:rFonts w:hint="cs"/>
          <w:rtl/>
        </w:rPr>
        <w:t xml:space="preserve">דאבר היוצא </w:t>
      </w:r>
      <w:r w:rsidRPr="00F72557">
        <w:rPr>
          <w:rFonts w:hint="cs"/>
          <w:rtl/>
        </w:rPr>
        <w:t xml:space="preserve">אין לו תקנה, וכן ספק הגמ' לענין </w:t>
      </w:r>
      <w:r w:rsidRPr="00F72557">
        <w:rPr>
          <w:rtl/>
        </w:rPr>
        <w:t>חלב</w:t>
      </w:r>
      <w:r w:rsidRPr="00F72557">
        <w:rPr>
          <w:rFonts w:hint="cs"/>
          <w:rtl/>
        </w:rPr>
        <w:t>, הוא רק לדעת רב משרשיא, אבל לדידן דקיי</w:t>
      </w:r>
      <w:r w:rsidRPr="00B06D6B">
        <w:rPr>
          <w:rFonts w:hint="cs"/>
          <w:rtl/>
        </w:rPr>
        <w:t>"ל דד' סימנים אכשר ביה רחמנא, יש תקנה לאבר</w:t>
      </w:r>
      <w:r>
        <w:rPr>
          <w:rFonts w:hint="cs"/>
          <w:rtl/>
        </w:rPr>
        <w:t xml:space="preserve"> היוצא</w:t>
      </w:r>
      <w:r w:rsidRPr="00B06D6B">
        <w:rPr>
          <w:rFonts w:hint="cs"/>
          <w:rtl/>
        </w:rPr>
        <w:t>, וכן יש תקנה לולד של בן פקועה שבא על בהמה מעלמא, ואף פשיטא דה</w:t>
      </w:r>
      <w:r>
        <w:rPr>
          <w:rtl/>
        </w:rPr>
        <w:t>חלב</w:t>
      </w:r>
      <w:r w:rsidRPr="00B06D6B">
        <w:rPr>
          <w:rFonts w:hint="cs"/>
          <w:rtl/>
        </w:rPr>
        <w:t xml:space="preserve"> </w:t>
      </w:r>
      <w:r>
        <w:rPr>
          <w:rFonts w:hint="cs"/>
          <w:rtl/>
        </w:rPr>
        <w:t xml:space="preserve">שלו </w:t>
      </w:r>
      <w:r w:rsidRPr="00B06D6B">
        <w:rPr>
          <w:rFonts w:hint="cs"/>
          <w:rtl/>
        </w:rPr>
        <w:t>מותר כיון שיש לו תקנה בשחיטה.</w:t>
      </w:r>
    </w:p>
    <w:p w14:paraId="6B74071E" w14:textId="77777777" w:rsidR="003D504D" w:rsidRDefault="003D504D" w:rsidP="00BF39B2">
      <w:pPr>
        <w:pStyle w:val="1"/>
        <w:rPr>
          <w:rtl/>
        </w:rPr>
      </w:pPr>
      <w:bookmarkStart w:id="18617" w:name="_Toc1039423"/>
      <w:bookmarkStart w:id="18618" w:name="_Toc1040666"/>
      <w:bookmarkStart w:id="18619" w:name="_Toc1063558"/>
      <w:bookmarkStart w:id="18620" w:name="_Toc1111990"/>
      <w:bookmarkStart w:id="18621" w:name="_Toc1123855"/>
      <w:bookmarkStart w:id="18622" w:name="_Toc19391374"/>
      <w:bookmarkStart w:id="18623" w:name="_Toc19394871"/>
      <w:r>
        <w:rPr>
          <w:rFonts w:hint="cs"/>
          <w:rtl/>
        </w:rPr>
        <w:t>דעת הרשב"א והר"ן דקיי"ל כרב משרשיא</w:t>
      </w:r>
      <w:bookmarkEnd w:id="18609"/>
      <w:bookmarkEnd w:id="18610"/>
      <w:bookmarkEnd w:id="18611"/>
      <w:bookmarkEnd w:id="18612"/>
      <w:bookmarkEnd w:id="18613"/>
      <w:bookmarkEnd w:id="18617"/>
      <w:bookmarkEnd w:id="18618"/>
      <w:bookmarkEnd w:id="18619"/>
      <w:bookmarkEnd w:id="18620"/>
      <w:bookmarkEnd w:id="18621"/>
      <w:bookmarkEnd w:id="18622"/>
      <w:bookmarkEnd w:id="18623"/>
    </w:p>
    <w:p w14:paraId="5D41EA2E" w14:textId="77777777" w:rsidR="003D504D" w:rsidRPr="00B06D6B" w:rsidRDefault="003D504D" w:rsidP="003D504D">
      <w:pPr>
        <w:pStyle w:val="a3"/>
        <w:rPr>
          <w:rtl/>
        </w:rPr>
      </w:pPr>
      <w:bookmarkStart w:id="18624" w:name="_Toc890724"/>
      <w:bookmarkStart w:id="18625" w:name="_Toc903118"/>
      <w:bookmarkStart w:id="18626" w:name="_Toc955489"/>
      <w:bookmarkStart w:id="18627" w:name="_Toc955782"/>
      <w:bookmarkStart w:id="18628" w:name="_Toc1039424"/>
      <w:bookmarkStart w:id="18629" w:name="_Toc1040667"/>
      <w:bookmarkStart w:id="18630" w:name="_Toc1063559"/>
      <w:bookmarkStart w:id="18631" w:name="_Toc1111991"/>
      <w:bookmarkStart w:id="18632" w:name="_Toc1123856"/>
      <w:bookmarkStart w:id="18633" w:name="_Toc19391375"/>
      <w:bookmarkStart w:id="18634" w:name="_Toc19394872"/>
      <w:r>
        <w:rPr>
          <w:rFonts w:hint="cs"/>
          <w:rtl/>
        </w:rPr>
        <w:t>דברי הרשב"א והר"ן דלחומרא חיישינן לזרע האב ומשו"ה קיי"ל כרב משרשיא</w:t>
      </w:r>
      <w:bookmarkEnd w:id="18624"/>
      <w:bookmarkEnd w:id="18625"/>
      <w:bookmarkEnd w:id="18626"/>
      <w:bookmarkEnd w:id="18627"/>
      <w:bookmarkEnd w:id="18628"/>
      <w:bookmarkEnd w:id="18629"/>
      <w:bookmarkEnd w:id="18630"/>
      <w:bookmarkEnd w:id="18631"/>
      <w:bookmarkEnd w:id="18632"/>
      <w:bookmarkEnd w:id="18633"/>
      <w:bookmarkEnd w:id="18634"/>
    </w:p>
    <w:p w14:paraId="44C1D049" w14:textId="77777777" w:rsidR="003D504D" w:rsidRPr="00B06D6B" w:rsidRDefault="003D504D" w:rsidP="00223668">
      <w:pPr>
        <w:pStyle w:val="a0"/>
        <w:rPr>
          <w:rtl/>
        </w:rPr>
      </w:pPr>
      <w:r w:rsidRPr="00B06D6B">
        <w:rPr>
          <w:rFonts w:hint="cs"/>
          <w:rtl/>
        </w:rPr>
        <w:t>כתב</w:t>
      </w:r>
      <w:r>
        <w:rPr>
          <w:rFonts w:hint="cs"/>
          <w:rtl/>
        </w:rPr>
        <w:t>ו</w:t>
      </w:r>
      <w:r w:rsidRPr="00B06D6B">
        <w:rPr>
          <w:rFonts w:hint="cs"/>
          <w:rtl/>
        </w:rPr>
        <w:t xml:space="preserve"> </w:t>
      </w:r>
      <w:r w:rsidRPr="00320899">
        <w:rPr>
          <w:rStyle w:val="af9"/>
          <w:rFonts w:hint="cs"/>
          <w:rtl/>
        </w:rPr>
        <w:t xml:space="preserve">הרשב"א לקמן </w:t>
      </w:r>
      <w:r w:rsidRPr="004304CE">
        <w:rPr>
          <w:rStyle w:val="af7"/>
          <w:rFonts w:eastAsia="Guttman Hodes" w:hint="cs"/>
          <w:rtl/>
        </w:rPr>
        <w:t>(עט. ד"ה ולענין)</w:t>
      </w:r>
      <w:r w:rsidRPr="00B06D6B">
        <w:rPr>
          <w:rFonts w:hint="cs"/>
          <w:rtl/>
        </w:rPr>
        <w:t xml:space="preserve"> </w:t>
      </w:r>
      <w:r w:rsidRPr="00320899">
        <w:rPr>
          <w:rStyle w:val="af9"/>
          <w:rFonts w:hint="cs"/>
          <w:rtl/>
        </w:rPr>
        <w:t xml:space="preserve">והר"ן על הרי"ף </w:t>
      </w:r>
      <w:r w:rsidRPr="004304CE">
        <w:rPr>
          <w:rStyle w:val="af7"/>
          <w:rFonts w:eastAsia="Guttman Hodes" w:hint="cs"/>
          <w:rtl/>
        </w:rPr>
        <w:t>(כז: מדפי הרי"ף ד"ה ושמעינן)</w:t>
      </w:r>
      <w:r w:rsidRPr="00B06D6B">
        <w:rPr>
          <w:rFonts w:hint="cs"/>
          <w:rtl/>
        </w:rPr>
        <w:t xml:space="preserve"> דלהלכה מחמירים לחוש לזרע האב, ולכן קיי"ל כדברי רב משרשיא בסוגיין דבן פקועה שבא על בהמה מעלמא, אין לולד תקנה, </w:t>
      </w:r>
      <w:r w:rsidRPr="007515BA">
        <w:rPr>
          <w:rFonts w:hint="cs"/>
          <w:rtl/>
        </w:rPr>
        <w:t xml:space="preserve">וכתב </w:t>
      </w:r>
      <w:r w:rsidRPr="007515BA">
        <w:rPr>
          <w:rStyle w:val="af9"/>
          <w:rFonts w:hint="cs"/>
          <w:rtl/>
        </w:rPr>
        <w:t>הפר"ח</w:t>
      </w:r>
      <w:r w:rsidRPr="004304CE">
        <w:rPr>
          <w:rStyle w:val="af7"/>
          <w:rFonts w:eastAsia="Guttman Hodes" w:hint="cs"/>
          <w:rtl/>
        </w:rPr>
        <w:t xml:space="preserve"> (סי' י"ג סקי"ג)</w:t>
      </w:r>
      <w:r w:rsidRPr="00B06D6B">
        <w:rPr>
          <w:rFonts w:hint="cs"/>
          <w:rtl/>
        </w:rPr>
        <w:t xml:space="preserve"> </w:t>
      </w:r>
      <w:r>
        <w:rPr>
          <w:rFonts w:hint="cs"/>
          <w:rtl/>
        </w:rPr>
        <w:t xml:space="preserve">דהא דפסקו כרב משרשיא הוא כיון דס"ל </w:t>
      </w:r>
      <w:r>
        <w:rPr>
          <w:rStyle w:val="af9"/>
          <w:rFonts w:hint="cs"/>
          <w:rtl/>
        </w:rPr>
        <w:t>ל</w:t>
      </w:r>
      <w:r w:rsidRPr="007515BA">
        <w:rPr>
          <w:rStyle w:val="af9"/>
          <w:rFonts w:hint="cs"/>
          <w:rtl/>
        </w:rPr>
        <w:t>התוס'</w:t>
      </w:r>
      <w:r w:rsidRPr="004304CE">
        <w:rPr>
          <w:rStyle w:val="af7"/>
          <w:rFonts w:eastAsia="Guttman Hodes" w:hint="cs"/>
          <w:rtl/>
        </w:rPr>
        <w:t xml:space="preserve"> </w:t>
      </w:r>
      <w:r w:rsidRPr="007515BA">
        <w:rPr>
          <w:rStyle w:val="af9"/>
          <w:rFonts w:hint="cs"/>
          <w:rtl/>
        </w:rPr>
        <w:t>ו</w:t>
      </w:r>
      <w:r>
        <w:rPr>
          <w:rStyle w:val="af9"/>
          <w:rFonts w:hint="cs"/>
          <w:rtl/>
        </w:rPr>
        <w:t>ל</w:t>
      </w:r>
      <w:r w:rsidRPr="007515BA">
        <w:rPr>
          <w:rStyle w:val="af9"/>
          <w:rFonts w:hint="cs"/>
          <w:rtl/>
        </w:rPr>
        <w:t xml:space="preserve">הרשב"א </w:t>
      </w:r>
      <w:r w:rsidRPr="004304CE">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Ref536787007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Pr>
          <w:rStyle w:val="af7"/>
          <w:rFonts w:eastAsia="Guttman Hodes"/>
          <w:rtl/>
        </w:rPr>
        <w:fldChar w:fldCharType="end"/>
      </w:r>
      <w:r>
        <w:rPr>
          <w:rFonts w:hint="cs"/>
          <w:rtl/>
        </w:rPr>
        <w:t xml:space="preserve"> דרב משרשיא לא פליג על המ"ד דד' סימנים אכשר ביה רחמנא, ו</w:t>
      </w:r>
      <w:r w:rsidRPr="007515BA">
        <w:rPr>
          <w:rFonts w:hint="cs"/>
          <w:rtl/>
        </w:rPr>
        <w:t>דוקא בטריפה</w:t>
      </w:r>
      <w:r w:rsidRPr="00B06D6B">
        <w:rPr>
          <w:rFonts w:hint="cs"/>
          <w:rtl/>
        </w:rPr>
        <w:t xml:space="preserve"> דלא הועילו סימני אמו להתירו אמרינן דד' סימנים אכשר ביה רחמנא, אבל בבן פקועה שסימני אמו התירוהו באכילה, לכו"ע סימניו הם כשחוטים, ולכן </w:t>
      </w:r>
      <w:r>
        <w:rPr>
          <w:rFonts w:hint="cs"/>
          <w:rtl/>
        </w:rPr>
        <w:t>בולד של בן פקועה ובהמה מעלמא קיי"ל כ</w:t>
      </w:r>
      <w:r w:rsidRPr="00B06D6B">
        <w:rPr>
          <w:rFonts w:hint="cs"/>
          <w:rtl/>
        </w:rPr>
        <w:t>רב משרשיא דאין לו תקנה.</w:t>
      </w:r>
    </w:p>
    <w:p w14:paraId="5A6057BC" w14:textId="77777777" w:rsidR="003D504D" w:rsidRPr="00B06D6B" w:rsidRDefault="003D504D" w:rsidP="003D504D">
      <w:pPr>
        <w:pStyle w:val="a3"/>
        <w:rPr>
          <w:rtl/>
        </w:rPr>
      </w:pPr>
      <w:bookmarkStart w:id="18635" w:name="_Toc890725"/>
      <w:bookmarkStart w:id="18636" w:name="_Toc903119"/>
      <w:bookmarkStart w:id="18637" w:name="_Toc955490"/>
      <w:bookmarkStart w:id="18638" w:name="_Toc955783"/>
      <w:bookmarkStart w:id="18639" w:name="_Toc1039425"/>
      <w:bookmarkStart w:id="18640" w:name="_Toc1040668"/>
      <w:bookmarkStart w:id="18641" w:name="_Toc1063560"/>
      <w:bookmarkStart w:id="18642" w:name="_Toc1111992"/>
      <w:bookmarkStart w:id="18643" w:name="_Toc1123857"/>
      <w:bookmarkStart w:id="18644" w:name="_Toc19391376"/>
      <w:bookmarkStart w:id="18645" w:name="_Toc19394873"/>
      <w:r>
        <w:rPr>
          <w:rFonts w:hint="cs"/>
          <w:rtl/>
        </w:rPr>
        <w:t>דברי הר"ן דבבה"ג ובשאילתות וברי"ף משמע דאין חוששין לזרע האב ולא קיי"ל כרב משרשיא</w:t>
      </w:r>
      <w:bookmarkEnd w:id="18635"/>
      <w:bookmarkEnd w:id="18636"/>
      <w:bookmarkEnd w:id="18637"/>
      <w:bookmarkEnd w:id="18638"/>
      <w:bookmarkEnd w:id="18639"/>
      <w:bookmarkEnd w:id="18640"/>
      <w:bookmarkEnd w:id="18641"/>
      <w:bookmarkEnd w:id="18642"/>
      <w:bookmarkEnd w:id="18643"/>
      <w:bookmarkEnd w:id="18644"/>
      <w:bookmarkEnd w:id="18645"/>
    </w:p>
    <w:p w14:paraId="3D12B19F" w14:textId="77777777" w:rsidR="003D504D" w:rsidRPr="00B06D6B" w:rsidRDefault="003D504D" w:rsidP="00223668">
      <w:pPr>
        <w:pStyle w:val="a0"/>
        <w:rPr>
          <w:rtl/>
        </w:rPr>
      </w:pPr>
      <w:r>
        <w:rPr>
          <w:rFonts w:hint="cs"/>
          <w:rtl/>
        </w:rPr>
        <w:t xml:space="preserve">אך </w:t>
      </w:r>
      <w:r w:rsidRPr="00B06D6B">
        <w:rPr>
          <w:rFonts w:hint="cs"/>
          <w:rtl/>
        </w:rPr>
        <w:t xml:space="preserve">כתב </w:t>
      </w:r>
      <w:r w:rsidRPr="00EA6F32">
        <w:rPr>
          <w:rStyle w:val="af9"/>
          <w:rFonts w:hint="cs"/>
          <w:rtl/>
        </w:rPr>
        <w:t>הר"ן על הרי"ף</w:t>
      </w:r>
      <w:r w:rsidRPr="00320899">
        <w:rPr>
          <w:rStyle w:val="af9"/>
          <w:rFonts w:hint="cs"/>
          <w:rtl/>
        </w:rPr>
        <w:t xml:space="preserve"> </w:t>
      </w:r>
      <w:r w:rsidRPr="00B06D6B">
        <w:rPr>
          <w:rFonts w:hint="cs"/>
          <w:rtl/>
        </w:rPr>
        <w:t xml:space="preserve">דמדברי </w:t>
      </w:r>
      <w:r w:rsidRPr="00320899">
        <w:rPr>
          <w:rStyle w:val="af9"/>
          <w:rFonts w:hint="cs"/>
          <w:rtl/>
        </w:rPr>
        <w:t xml:space="preserve">הבה"ג והשאילתות והרי"ף </w:t>
      </w:r>
      <w:r w:rsidRPr="00B06D6B">
        <w:rPr>
          <w:rFonts w:hint="cs"/>
          <w:rtl/>
        </w:rPr>
        <w:t xml:space="preserve">מבואר דס"ל דקיי"ל דאין חוששין לזרע האב, ולדבריהם דברי רב משרשיא שאין לולד תקנה הם רק אליבא דמ"ד דחוששין לזרע האב, </w:t>
      </w:r>
      <w:r>
        <w:rPr>
          <w:rFonts w:hint="cs"/>
          <w:rtl/>
        </w:rPr>
        <w:t>אבל לדידן יש לולד תקנה בשחיטה, ו</w:t>
      </w:r>
      <w:r w:rsidRPr="00B06D6B">
        <w:rPr>
          <w:rFonts w:hint="cs"/>
          <w:rtl/>
        </w:rPr>
        <w:t xml:space="preserve">כתבו </w:t>
      </w:r>
      <w:r w:rsidRPr="00320899">
        <w:rPr>
          <w:rStyle w:val="af9"/>
          <w:rFonts w:hint="cs"/>
          <w:rtl/>
        </w:rPr>
        <w:t xml:space="preserve">הרשב"א והר"ן </w:t>
      </w:r>
      <w:r w:rsidRPr="00B06D6B">
        <w:rPr>
          <w:rFonts w:hint="cs"/>
          <w:rtl/>
        </w:rPr>
        <w:t>דלא משמע כן בגמ'.</w:t>
      </w:r>
    </w:p>
    <w:p w14:paraId="1134F0F0" w14:textId="77777777" w:rsidR="003D504D" w:rsidRPr="00B06D6B" w:rsidRDefault="003D504D" w:rsidP="003D504D">
      <w:pPr>
        <w:pStyle w:val="a3"/>
        <w:rPr>
          <w:rtl/>
        </w:rPr>
      </w:pPr>
      <w:bookmarkStart w:id="18646" w:name="_Toc890726"/>
      <w:bookmarkStart w:id="18647" w:name="_Toc903120"/>
      <w:bookmarkStart w:id="18648" w:name="_Toc955491"/>
      <w:bookmarkStart w:id="18649" w:name="_Toc955784"/>
      <w:bookmarkStart w:id="18650" w:name="_Toc1039426"/>
      <w:bookmarkStart w:id="18651" w:name="_Toc1040669"/>
      <w:bookmarkStart w:id="18652" w:name="_Toc1063561"/>
      <w:bookmarkStart w:id="18653" w:name="_Toc1111993"/>
      <w:bookmarkStart w:id="18654" w:name="_Toc1123858"/>
      <w:bookmarkStart w:id="18655" w:name="_Toc19391377"/>
      <w:bookmarkStart w:id="18656" w:name="_Toc19394874"/>
      <w:r>
        <w:rPr>
          <w:rFonts w:hint="cs"/>
          <w:rtl/>
        </w:rPr>
        <w:t>דברי הרשב"א והמאירי דשור מעלמא שבאה על בת פקועה אין לולד תקנה לכו"ע</w:t>
      </w:r>
      <w:bookmarkEnd w:id="18646"/>
      <w:bookmarkEnd w:id="18647"/>
      <w:bookmarkEnd w:id="18648"/>
      <w:bookmarkEnd w:id="18649"/>
      <w:bookmarkEnd w:id="18650"/>
      <w:bookmarkEnd w:id="18651"/>
      <w:bookmarkEnd w:id="18652"/>
      <w:bookmarkEnd w:id="18653"/>
      <w:bookmarkEnd w:id="18654"/>
      <w:bookmarkEnd w:id="18655"/>
      <w:bookmarkEnd w:id="18656"/>
    </w:p>
    <w:p w14:paraId="370BE84D" w14:textId="77777777" w:rsidR="003D504D" w:rsidRPr="00B06D6B" w:rsidRDefault="003D504D" w:rsidP="00223668">
      <w:pPr>
        <w:pStyle w:val="a0"/>
        <w:rPr>
          <w:rtl/>
        </w:rPr>
      </w:pPr>
      <w:r>
        <w:rPr>
          <w:rFonts w:hint="cs"/>
          <w:rtl/>
        </w:rPr>
        <w:t xml:space="preserve">עוד </w:t>
      </w:r>
      <w:r w:rsidRPr="00B06D6B">
        <w:rPr>
          <w:rFonts w:hint="cs"/>
          <w:rtl/>
        </w:rPr>
        <w:t xml:space="preserve">כתב </w:t>
      </w:r>
      <w:r w:rsidRPr="00EB065A">
        <w:rPr>
          <w:rStyle w:val="af9"/>
          <w:rFonts w:hint="cs"/>
          <w:rtl/>
        </w:rPr>
        <w:t>הרשב"א לקמן</w:t>
      </w:r>
      <w:r w:rsidRPr="00B06D6B">
        <w:rPr>
          <w:rFonts w:hint="cs"/>
          <w:rtl/>
        </w:rPr>
        <w:t xml:space="preserve"> </w:t>
      </w:r>
      <w:r w:rsidRPr="004304CE">
        <w:rPr>
          <w:rStyle w:val="af7"/>
          <w:rFonts w:eastAsia="Guttman Hodes" w:hint="cs"/>
          <w:rtl/>
        </w:rPr>
        <w:t>(עט. ד"ה ולענין)</w:t>
      </w:r>
      <w:r w:rsidRPr="00B06D6B">
        <w:rPr>
          <w:rFonts w:hint="cs"/>
          <w:rtl/>
        </w:rPr>
        <w:t xml:space="preserve"> דה"ה אם </w:t>
      </w:r>
      <w:r>
        <w:rPr>
          <w:rFonts w:hint="cs"/>
          <w:rtl/>
        </w:rPr>
        <w:t>שור</w:t>
      </w:r>
      <w:r w:rsidRPr="00B06D6B">
        <w:rPr>
          <w:rFonts w:hint="cs"/>
          <w:rtl/>
        </w:rPr>
        <w:t xml:space="preserve"> מעלמא בא על בת פקועה, דלחומרא חיישינן לזרע האב</w:t>
      </w:r>
      <w:r>
        <w:rPr>
          <w:rFonts w:hint="cs"/>
          <w:rtl/>
        </w:rPr>
        <w:t>,</w:t>
      </w:r>
      <w:r w:rsidRPr="00262256">
        <w:rPr>
          <w:rFonts w:hint="cs"/>
          <w:rtl/>
        </w:rPr>
        <w:t xml:space="preserve">  </w:t>
      </w:r>
      <w:r>
        <w:rPr>
          <w:rFonts w:hint="cs"/>
          <w:rtl/>
        </w:rPr>
        <w:t>ו</w:t>
      </w:r>
      <w:r w:rsidRPr="00B06D6B">
        <w:rPr>
          <w:rFonts w:hint="cs"/>
          <w:rtl/>
        </w:rPr>
        <w:t xml:space="preserve">כתב </w:t>
      </w:r>
      <w:r w:rsidRPr="00320899">
        <w:rPr>
          <w:rStyle w:val="af9"/>
          <w:rFonts w:hint="cs"/>
          <w:rtl/>
        </w:rPr>
        <w:t xml:space="preserve">המאירי </w:t>
      </w:r>
      <w:r w:rsidRPr="004304CE">
        <w:rPr>
          <w:rStyle w:val="af7"/>
          <w:rFonts w:eastAsia="Guttman Hodes" w:hint="cs"/>
          <w:rtl/>
        </w:rPr>
        <w:t>(ד"ה יצא רובו)</w:t>
      </w:r>
      <w:r w:rsidRPr="00B06D6B">
        <w:rPr>
          <w:rFonts w:hint="cs"/>
          <w:rtl/>
        </w:rPr>
        <w:t xml:space="preserve"> דאף להסוברים דבן פקועה שבא על בהמה מעלמא, הולד מותר כיון דאין חוששין לזרע האב, מ"מ אם </w:t>
      </w:r>
      <w:r>
        <w:rPr>
          <w:rFonts w:hint="cs"/>
          <w:rtl/>
        </w:rPr>
        <w:t>שור</w:t>
      </w:r>
      <w:r w:rsidRPr="00B06D6B">
        <w:rPr>
          <w:rFonts w:hint="cs"/>
          <w:rtl/>
        </w:rPr>
        <w:t xml:space="preserve"> מעלמא בא על בת פקועה, לכו"ע אין לולד תקנה דלכו"ע חוששין לזרע האם, ומצד אמו אינו טעון שחיטה.</w:t>
      </w:r>
    </w:p>
    <w:p w14:paraId="5EDBA5E4" w14:textId="77777777" w:rsidR="003D504D" w:rsidRDefault="003D504D" w:rsidP="003D504D">
      <w:pPr>
        <w:pStyle w:val="afe"/>
        <w:rPr>
          <w:rtl/>
        </w:rPr>
      </w:pPr>
      <w:bookmarkStart w:id="18657" w:name="_Toc890727"/>
      <w:bookmarkStart w:id="18658" w:name="_Toc903121"/>
      <w:bookmarkStart w:id="18659" w:name="_Toc955492"/>
      <w:bookmarkStart w:id="18660" w:name="_Toc955785"/>
      <w:bookmarkStart w:id="18661" w:name="_Toc1039427"/>
      <w:bookmarkStart w:id="18662" w:name="_Toc1040670"/>
      <w:bookmarkStart w:id="18663" w:name="_Toc1063562"/>
      <w:bookmarkStart w:id="18664" w:name="_Toc1111994"/>
      <w:bookmarkStart w:id="18665" w:name="_Toc1123859"/>
      <w:bookmarkStart w:id="18666" w:name="_Toc19436137"/>
      <w:bookmarkStart w:id="18667" w:name="_Toc20081318"/>
      <w:bookmarkStart w:id="18668" w:name="_Toc862075"/>
      <w:r>
        <w:rPr>
          <w:rFonts w:hint="cs"/>
          <w:rtl/>
        </w:rPr>
        <w:t>בדין ולד שאין לו תקנה בנמצא במעי אמו</w:t>
      </w:r>
      <w:bookmarkEnd w:id="18657"/>
      <w:bookmarkEnd w:id="18658"/>
      <w:bookmarkEnd w:id="18659"/>
      <w:bookmarkEnd w:id="18660"/>
      <w:bookmarkEnd w:id="18661"/>
      <w:bookmarkEnd w:id="18662"/>
      <w:bookmarkEnd w:id="18663"/>
      <w:bookmarkEnd w:id="18664"/>
      <w:bookmarkEnd w:id="18665"/>
      <w:bookmarkEnd w:id="18666"/>
      <w:bookmarkEnd w:id="18667"/>
    </w:p>
    <w:p w14:paraId="2B780674" w14:textId="77777777" w:rsidR="003D504D" w:rsidRPr="00B06D6B" w:rsidRDefault="003D504D" w:rsidP="00BF39B2">
      <w:pPr>
        <w:pStyle w:val="1"/>
        <w:rPr>
          <w:rtl/>
        </w:rPr>
      </w:pPr>
      <w:bookmarkStart w:id="18669" w:name="_Toc890728"/>
      <w:bookmarkStart w:id="18670" w:name="_Toc903122"/>
      <w:bookmarkStart w:id="18671" w:name="_Toc955493"/>
      <w:bookmarkStart w:id="18672" w:name="_Toc955786"/>
      <w:bookmarkStart w:id="18673" w:name="_Toc1039428"/>
      <w:bookmarkStart w:id="18674" w:name="_Toc1040671"/>
      <w:bookmarkStart w:id="18675" w:name="_Toc1063563"/>
      <w:bookmarkStart w:id="18676" w:name="_Toc1111995"/>
      <w:bookmarkStart w:id="18677" w:name="_Toc1123860"/>
      <w:bookmarkStart w:id="18678" w:name="_Toc19391378"/>
      <w:bookmarkStart w:id="18679" w:name="_Toc19394875"/>
      <w:r>
        <w:rPr>
          <w:rFonts w:hint="cs"/>
          <w:rtl/>
        </w:rPr>
        <w:t>בדין</w:t>
      </w:r>
      <w:r w:rsidRPr="00B06D6B">
        <w:rPr>
          <w:rFonts w:hint="cs"/>
          <w:rtl/>
        </w:rPr>
        <w:t xml:space="preserve"> בן פקועה </w:t>
      </w:r>
      <w:r>
        <w:rPr>
          <w:rFonts w:hint="cs"/>
          <w:rtl/>
        </w:rPr>
        <w:t>ה</w:t>
      </w:r>
      <w:r w:rsidRPr="00B06D6B">
        <w:rPr>
          <w:rFonts w:hint="cs"/>
          <w:rtl/>
        </w:rPr>
        <w:t>בא על בהמה ונשחטה ונ</w:t>
      </w:r>
      <w:r>
        <w:rPr>
          <w:rFonts w:hint="cs"/>
          <w:rtl/>
        </w:rPr>
        <w:t xml:space="preserve">מצא </w:t>
      </w:r>
      <w:r w:rsidRPr="00B06D6B">
        <w:rPr>
          <w:rFonts w:hint="cs"/>
          <w:rtl/>
        </w:rPr>
        <w:t>ולד</w:t>
      </w:r>
      <w:bookmarkEnd w:id="18614"/>
      <w:bookmarkEnd w:id="18615"/>
      <w:bookmarkEnd w:id="18616"/>
      <w:r>
        <w:rPr>
          <w:rFonts w:hint="cs"/>
          <w:rtl/>
        </w:rPr>
        <w:t xml:space="preserve"> בתוכה</w:t>
      </w:r>
      <w:bookmarkEnd w:id="18668"/>
      <w:bookmarkEnd w:id="18669"/>
      <w:bookmarkEnd w:id="18670"/>
      <w:bookmarkEnd w:id="18671"/>
      <w:bookmarkEnd w:id="18672"/>
      <w:bookmarkEnd w:id="18673"/>
      <w:bookmarkEnd w:id="18674"/>
      <w:bookmarkEnd w:id="18675"/>
      <w:bookmarkEnd w:id="18676"/>
      <w:bookmarkEnd w:id="18677"/>
      <w:bookmarkEnd w:id="18678"/>
      <w:bookmarkEnd w:id="18679"/>
    </w:p>
    <w:p w14:paraId="369C55D3" w14:textId="77777777" w:rsidR="003D504D" w:rsidRPr="00B06D6B" w:rsidRDefault="003D504D" w:rsidP="003D504D">
      <w:pPr>
        <w:pStyle w:val="a3"/>
        <w:rPr>
          <w:rtl/>
        </w:rPr>
      </w:pPr>
      <w:bookmarkStart w:id="18680" w:name="_Toc890729"/>
      <w:bookmarkStart w:id="18681" w:name="_Toc903123"/>
      <w:bookmarkStart w:id="18682" w:name="_Toc955494"/>
      <w:bookmarkStart w:id="18683" w:name="_Toc955787"/>
      <w:bookmarkStart w:id="18684" w:name="_Toc1039429"/>
      <w:bookmarkStart w:id="18685" w:name="_Toc1040672"/>
      <w:bookmarkStart w:id="18686" w:name="_Toc1063564"/>
      <w:bookmarkStart w:id="18687" w:name="_Toc1111996"/>
      <w:bookmarkStart w:id="18688" w:name="_Toc1123861"/>
      <w:bookmarkStart w:id="18689" w:name="_Toc19391379"/>
      <w:bookmarkStart w:id="18690" w:name="_Toc19394876"/>
      <w:r>
        <w:rPr>
          <w:rFonts w:hint="cs"/>
          <w:rtl/>
        </w:rPr>
        <w:t>דברי הב"ח דמבואר בטור דבנמצא הולד במעי אמו הוא מותר בשחיטתה</w:t>
      </w:r>
      <w:bookmarkEnd w:id="18680"/>
      <w:bookmarkEnd w:id="18681"/>
      <w:bookmarkEnd w:id="18682"/>
      <w:bookmarkEnd w:id="18683"/>
      <w:bookmarkEnd w:id="18684"/>
      <w:bookmarkEnd w:id="18685"/>
      <w:bookmarkEnd w:id="18686"/>
      <w:bookmarkEnd w:id="18687"/>
      <w:bookmarkEnd w:id="18688"/>
      <w:bookmarkEnd w:id="18689"/>
      <w:bookmarkEnd w:id="18690"/>
    </w:p>
    <w:p w14:paraId="269556A5" w14:textId="77777777" w:rsidR="003D504D" w:rsidRPr="00B06D6B" w:rsidRDefault="003D504D" w:rsidP="00223668">
      <w:pPr>
        <w:pStyle w:val="a0"/>
        <w:rPr>
          <w:rtl/>
        </w:rPr>
      </w:pPr>
      <w:r w:rsidRPr="00B06D6B">
        <w:rPr>
          <w:rFonts w:hint="cs"/>
          <w:rtl/>
        </w:rPr>
        <w:t xml:space="preserve">כתב </w:t>
      </w:r>
      <w:r w:rsidRPr="00B06D6B">
        <w:rPr>
          <w:rStyle w:val="af9"/>
          <w:rFonts w:hint="cs"/>
          <w:rtl/>
        </w:rPr>
        <w:t>הטור</w:t>
      </w:r>
      <w:r w:rsidRPr="00B06D6B">
        <w:rPr>
          <w:rFonts w:hint="cs"/>
          <w:rtl/>
        </w:rPr>
        <w:t xml:space="preserve"> </w:t>
      </w:r>
      <w:r w:rsidRPr="004304CE">
        <w:rPr>
          <w:rStyle w:val="af7"/>
          <w:rFonts w:eastAsia="Guttman Hodes" w:hint="cs"/>
          <w:rtl/>
        </w:rPr>
        <w:t>(סי' י"ג ד')</w:t>
      </w:r>
      <w:r w:rsidRPr="00B06D6B">
        <w:rPr>
          <w:rFonts w:hint="cs"/>
          <w:rtl/>
        </w:rPr>
        <w:t xml:space="preserve"> דבן פקועה שגדל ובא על בהמה והוליד, אין לולד תקנה, וכתב</w:t>
      </w:r>
      <w:r w:rsidRPr="00B06D6B">
        <w:rPr>
          <w:rStyle w:val="af9"/>
          <w:rFonts w:hint="cs"/>
          <w:rtl/>
        </w:rPr>
        <w:t xml:space="preserve"> הב"ח</w:t>
      </w:r>
      <w:r w:rsidRPr="00B06D6B">
        <w:rPr>
          <w:rFonts w:hint="cs"/>
          <w:rtl/>
        </w:rPr>
        <w:t xml:space="preserve"> </w:t>
      </w:r>
      <w:r w:rsidRPr="004304CE">
        <w:rPr>
          <w:rStyle w:val="af7"/>
          <w:rFonts w:eastAsia="Guttman Hodes" w:hint="cs"/>
          <w:rtl/>
        </w:rPr>
        <w:t>(סי' י"ג ה' ד"ה ומ"ש הוליד)</w:t>
      </w:r>
      <w:r w:rsidRPr="00B06D6B">
        <w:rPr>
          <w:rFonts w:hint="cs"/>
          <w:rtl/>
        </w:rPr>
        <w:t xml:space="preserve"> דכוונת </w:t>
      </w:r>
      <w:r w:rsidRPr="00B06D6B">
        <w:rPr>
          <w:rStyle w:val="af9"/>
          <w:rFonts w:hint="cs"/>
          <w:rtl/>
        </w:rPr>
        <w:t>הטור</w:t>
      </w:r>
      <w:r w:rsidRPr="00B06D6B">
        <w:rPr>
          <w:rFonts w:hint="cs"/>
          <w:rtl/>
        </w:rPr>
        <w:t xml:space="preserve"> לומר דדוקא אם נולד הולד אין לו תקנה, אבל אם </w:t>
      </w:r>
      <w:r>
        <w:rPr>
          <w:rFonts w:hint="cs"/>
          <w:rtl/>
        </w:rPr>
        <w:t>לפני ש</w:t>
      </w:r>
      <w:r w:rsidRPr="00B06D6B">
        <w:rPr>
          <w:rFonts w:hint="cs"/>
          <w:rtl/>
        </w:rPr>
        <w:t xml:space="preserve">הולד של הבן פקועה </w:t>
      </w:r>
      <w:r>
        <w:rPr>
          <w:rFonts w:hint="cs"/>
          <w:rtl/>
        </w:rPr>
        <w:t>נשחטה אמו</w:t>
      </w:r>
      <w:r>
        <w:rPr>
          <w:rStyle w:val="afb"/>
          <w:rFonts w:hint="cs"/>
          <w:rtl/>
        </w:rPr>
        <w:t xml:space="preserve"> </w:t>
      </w:r>
      <w:r w:rsidRPr="00B06D6B">
        <w:rPr>
          <w:rStyle w:val="afb"/>
          <w:rFonts w:hint="cs"/>
          <w:rtl/>
        </w:rPr>
        <w:t>[דהיא בהמה מעלמא]</w:t>
      </w:r>
      <w:r>
        <w:rPr>
          <w:rFonts w:hint="cs"/>
          <w:rtl/>
        </w:rPr>
        <w:t xml:space="preserve"> ונמצא הולד </w:t>
      </w:r>
      <w:r w:rsidRPr="00B06D6B">
        <w:rPr>
          <w:rFonts w:hint="cs"/>
          <w:rtl/>
        </w:rPr>
        <w:t xml:space="preserve">במעי אמו, </w:t>
      </w:r>
      <w:r>
        <w:rPr>
          <w:rFonts w:hint="cs"/>
          <w:rtl/>
        </w:rPr>
        <w:t>ד</w:t>
      </w:r>
      <w:r w:rsidRPr="00B06D6B">
        <w:rPr>
          <w:rFonts w:hint="cs"/>
          <w:rtl/>
        </w:rPr>
        <w:t xml:space="preserve">הוא מותר בשחיטת אמו, וביאר </w:t>
      </w:r>
      <w:r w:rsidRPr="00B06D6B">
        <w:rPr>
          <w:rStyle w:val="af9"/>
          <w:rFonts w:hint="cs"/>
          <w:rtl/>
        </w:rPr>
        <w:t>הב"ח</w:t>
      </w:r>
      <w:r w:rsidRPr="00B06D6B">
        <w:rPr>
          <w:rFonts w:hint="cs"/>
          <w:rtl/>
        </w:rPr>
        <w:t xml:space="preserve"> דהא דאין לולד תקנה, הוא </w:t>
      </w:r>
      <w:r>
        <w:rPr>
          <w:rFonts w:hint="cs"/>
          <w:rtl/>
        </w:rPr>
        <w:t>דוקא כשנולד כבר, ו</w:t>
      </w:r>
      <w:r w:rsidRPr="00B06D6B">
        <w:rPr>
          <w:rFonts w:hint="cs"/>
          <w:rtl/>
        </w:rPr>
        <w:t xml:space="preserve">כדכתב </w:t>
      </w:r>
      <w:r w:rsidRPr="00B06D6B">
        <w:rPr>
          <w:rStyle w:val="af9"/>
          <w:rFonts w:hint="cs"/>
          <w:rtl/>
        </w:rPr>
        <w:t>רש"י לקמן</w:t>
      </w:r>
      <w:r w:rsidRPr="00B06D6B">
        <w:rPr>
          <w:rFonts w:hint="cs"/>
          <w:rtl/>
        </w:rPr>
        <w:t xml:space="preserve"> </w:t>
      </w:r>
      <w:r w:rsidRPr="004304CE">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Ref536786986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B06D6B">
        <w:rPr>
          <w:rStyle w:val="af7"/>
          <w:rFonts w:eastAsia="Guttman Hodes"/>
          <w:rtl/>
        </w:rPr>
        <w:fldChar w:fldCharType="end"/>
      </w:r>
      <w:r w:rsidRPr="00B06D6B">
        <w:rPr>
          <w:rFonts w:hint="cs"/>
          <w:rtl/>
        </w:rPr>
        <w:t xml:space="preserve"> דהסימן השני חשיב כשחוט</w:t>
      </w:r>
      <w:r>
        <w:rPr>
          <w:rFonts w:hint="cs"/>
          <w:rtl/>
        </w:rPr>
        <w:t>,</w:t>
      </w:r>
      <w:r w:rsidRPr="00B06D6B">
        <w:rPr>
          <w:rFonts w:hint="cs"/>
          <w:rtl/>
        </w:rPr>
        <w:t xml:space="preserve"> ואין לך שה</w:t>
      </w:r>
      <w:r>
        <w:rPr>
          <w:rFonts w:hint="cs"/>
          <w:rtl/>
        </w:rPr>
        <w:t>י</w:t>
      </w:r>
      <w:r w:rsidRPr="00B06D6B">
        <w:rPr>
          <w:rFonts w:hint="cs"/>
          <w:rtl/>
        </w:rPr>
        <w:t>יה גדולה מזו.</w:t>
      </w:r>
    </w:p>
    <w:p w14:paraId="4A29CD5C" w14:textId="77777777" w:rsidR="003D504D" w:rsidRPr="00B06D6B" w:rsidRDefault="003D504D" w:rsidP="003D504D">
      <w:pPr>
        <w:pStyle w:val="a3"/>
        <w:rPr>
          <w:rtl/>
        </w:rPr>
      </w:pPr>
      <w:bookmarkStart w:id="18691" w:name="_Toc890730"/>
      <w:bookmarkStart w:id="18692" w:name="_Toc903124"/>
      <w:bookmarkStart w:id="18693" w:name="_Toc955495"/>
      <w:bookmarkStart w:id="18694" w:name="_Toc955788"/>
      <w:bookmarkStart w:id="18695" w:name="_Toc1039430"/>
      <w:bookmarkStart w:id="18696" w:name="_Toc1040673"/>
      <w:bookmarkStart w:id="18697" w:name="_Toc1063565"/>
      <w:bookmarkStart w:id="18698" w:name="_Toc1111997"/>
      <w:bookmarkStart w:id="18699" w:name="_Toc1123862"/>
      <w:bookmarkStart w:id="18700" w:name="_Toc19391380"/>
      <w:bookmarkStart w:id="18701" w:name="_Toc19394877"/>
      <w:r>
        <w:rPr>
          <w:rFonts w:hint="cs"/>
          <w:rtl/>
        </w:rPr>
        <w:t>ביאור המחצית השקל בש"ך דבנמצא במעי אמו חשיב שב' הסימנים נשחטו יחד ואי"ז שהייה</w:t>
      </w:r>
      <w:bookmarkEnd w:id="18691"/>
      <w:bookmarkEnd w:id="18692"/>
      <w:bookmarkEnd w:id="18693"/>
      <w:bookmarkEnd w:id="18694"/>
      <w:bookmarkEnd w:id="18695"/>
      <w:bookmarkEnd w:id="18696"/>
      <w:bookmarkEnd w:id="18697"/>
      <w:bookmarkEnd w:id="18698"/>
      <w:bookmarkEnd w:id="18699"/>
      <w:bookmarkEnd w:id="18700"/>
      <w:bookmarkEnd w:id="18701"/>
    </w:p>
    <w:p w14:paraId="40B81EF5" w14:textId="77777777" w:rsidR="003D504D" w:rsidRPr="00B06D6B" w:rsidRDefault="003D504D" w:rsidP="00223668">
      <w:pPr>
        <w:pStyle w:val="a0"/>
        <w:rPr>
          <w:rtl/>
        </w:rPr>
      </w:pPr>
      <w:r w:rsidRPr="00B06D6B">
        <w:rPr>
          <w:rFonts w:hint="cs"/>
          <w:rtl/>
        </w:rPr>
        <w:t xml:space="preserve">וכתב </w:t>
      </w:r>
      <w:r w:rsidRPr="00B06D6B">
        <w:rPr>
          <w:rStyle w:val="af9"/>
          <w:rFonts w:hint="cs"/>
          <w:rtl/>
        </w:rPr>
        <w:t>הש"ך</w:t>
      </w:r>
      <w:r w:rsidRPr="00B06D6B">
        <w:rPr>
          <w:rFonts w:hint="cs"/>
          <w:rtl/>
        </w:rPr>
        <w:t xml:space="preserve"> </w:t>
      </w:r>
      <w:r w:rsidRPr="004304CE">
        <w:rPr>
          <w:rStyle w:val="af7"/>
          <w:rFonts w:eastAsia="Guttman Hodes" w:hint="cs"/>
          <w:rtl/>
        </w:rPr>
        <w:t>(סי' י"ג סקי"ד)</w:t>
      </w:r>
      <w:r w:rsidRPr="00B06D6B">
        <w:rPr>
          <w:rFonts w:hint="cs"/>
          <w:rtl/>
        </w:rPr>
        <w:t xml:space="preserve"> </w:t>
      </w:r>
      <w:r w:rsidRPr="00B06D6B">
        <w:rPr>
          <w:rStyle w:val="af9"/>
          <w:rFonts w:hint="cs"/>
          <w:rtl/>
        </w:rPr>
        <w:t>דברש"י לקמן</w:t>
      </w:r>
      <w:r w:rsidRPr="00B06D6B">
        <w:rPr>
          <w:rFonts w:hint="cs"/>
          <w:rtl/>
        </w:rPr>
        <w:t xml:space="preserve"> </w:t>
      </w:r>
      <w:r w:rsidRPr="004304CE">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Ref536786986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B06D6B">
        <w:rPr>
          <w:rStyle w:val="af7"/>
          <w:rFonts w:eastAsia="Guttman Hodes"/>
          <w:rtl/>
        </w:rPr>
        <w:fldChar w:fldCharType="end"/>
      </w:r>
      <w:r w:rsidRPr="00B06D6B">
        <w:rPr>
          <w:rFonts w:hint="cs"/>
          <w:rtl/>
        </w:rPr>
        <w:t xml:space="preserve"> דכתב דסימן אחד הוא כשחוט, ואין לך שה</w:t>
      </w:r>
      <w:r>
        <w:rPr>
          <w:rFonts w:hint="cs"/>
          <w:rtl/>
        </w:rPr>
        <w:t>י</w:t>
      </w:r>
      <w:r w:rsidRPr="00B06D6B">
        <w:rPr>
          <w:rFonts w:hint="cs"/>
          <w:rtl/>
        </w:rPr>
        <w:t xml:space="preserve">יה גדולה מזו, מבואר כדברי </w:t>
      </w:r>
      <w:r w:rsidRPr="00B06D6B">
        <w:rPr>
          <w:rStyle w:val="af9"/>
          <w:rFonts w:hint="cs"/>
          <w:rtl/>
        </w:rPr>
        <w:t>הב"ח</w:t>
      </w:r>
      <w:r w:rsidRPr="00B06D6B">
        <w:rPr>
          <w:rFonts w:hint="cs"/>
          <w:rtl/>
        </w:rPr>
        <w:t xml:space="preserve"> דבנמצא במעי אמו הוא מותר, וביאר </w:t>
      </w:r>
      <w:r w:rsidRPr="00B06D6B">
        <w:rPr>
          <w:rStyle w:val="af9"/>
          <w:rFonts w:hint="cs"/>
          <w:rtl/>
        </w:rPr>
        <w:t>המחצית השקל</w:t>
      </w:r>
      <w:r w:rsidRPr="00B06D6B">
        <w:rPr>
          <w:rFonts w:hint="cs"/>
          <w:rtl/>
        </w:rPr>
        <w:t xml:space="preserve"> </w:t>
      </w:r>
      <w:r w:rsidRPr="004304CE">
        <w:rPr>
          <w:rStyle w:val="af7"/>
          <w:rFonts w:eastAsia="Guttman Hodes" w:hint="cs"/>
          <w:rtl/>
        </w:rPr>
        <w:t xml:space="preserve">(על הש"ך סקי"ד) </w:t>
      </w:r>
      <w:r w:rsidRPr="00B06D6B">
        <w:rPr>
          <w:rFonts w:hint="cs"/>
          <w:rtl/>
        </w:rPr>
        <w:t xml:space="preserve">דכוונת </w:t>
      </w:r>
      <w:r w:rsidRPr="00B06D6B">
        <w:rPr>
          <w:rStyle w:val="af9"/>
          <w:rFonts w:hint="cs"/>
          <w:rtl/>
        </w:rPr>
        <w:t>הש"ך</w:t>
      </w:r>
      <w:r w:rsidRPr="00B06D6B">
        <w:rPr>
          <w:rFonts w:hint="cs"/>
          <w:rtl/>
        </w:rPr>
        <w:t xml:space="preserve"> לומר דכיון </w:t>
      </w:r>
      <w:r w:rsidRPr="00B06D6B">
        <w:rPr>
          <w:rStyle w:val="af9"/>
          <w:rFonts w:hint="cs"/>
          <w:rtl/>
        </w:rPr>
        <w:t>דרש"י לקמן</w:t>
      </w:r>
      <w:r w:rsidRPr="00B06D6B">
        <w:rPr>
          <w:rFonts w:hint="cs"/>
          <w:rtl/>
        </w:rPr>
        <w:t xml:space="preserve"> כתב דהסימן הראשון שחוט והשני נשחט בשחיטת עצמו ואין לך שה</w:t>
      </w:r>
      <w:r>
        <w:rPr>
          <w:rFonts w:hint="cs"/>
          <w:rtl/>
        </w:rPr>
        <w:t>י</w:t>
      </w:r>
      <w:r w:rsidRPr="00B06D6B">
        <w:rPr>
          <w:rFonts w:hint="cs"/>
          <w:rtl/>
        </w:rPr>
        <w:t>יה גדולה מזו, א"כ כשנמצא במעי אמו, דכיון שמצד אביו שהוא בן פקועה אינו צריך שחיטה, א"כ הסימן הראשון הוא כשחוט לפני שנולד, והסימן השני שמצד אמו נשחט בשעת לידתו בשחיטת האם, וא"כ ב' הסימנים שלו שחוטים משעת לידתו, וחשיב שנשחטו יחד והוי שחיטה כשרה.</w:t>
      </w:r>
    </w:p>
    <w:p w14:paraId="7288835A" w14:textId="77777777" w:rsidR="003D504D" w:rsidRPr="00B06D6B" w:rsidRDefault="003D504D" w:rsidP="003D504D">
      <w:pPr>
        <w:pStyle w:val="a3"/>
        <w:rPr>
          <w:rtl/>
        </w:rPr>
      </w:pPr>
      <w:bookmarkStart w:id="18702" w:name="_Toc890731"/>
      <w:bookmarkStart w:id="18703" w:name="_Toc903125"/>
      <w:bookmarkStart w:id="18704" w:name="_Toc955496"/>
      <w:bookmarkStart w:id="18705" w:name="_Toc955789"/>
      <w:bookmarkStart w:id="18706" w:name="_Toc1039431"/>
      <w:bookmarkStart w:id="18707" w:name="_Toc1040674"/>
      <w:bookmarkStart w:id="18708" w:name="_Toc1063566"/>
      <w:bookmarkStart w:id="18709" w:name="_Toc1111998"/>
      <w:bookmarkStart w:id="18710" w:name="_Toc1123863"/>
      <w:bookmarkStart w:id="18711" w:name="_Toc19391381"/>
      <w:bookmarkStart w:id="18712" w:name="_Toc19394878"/>
      <w:bookmarkStart w:id="18713" w:name="_Toc536786997"/>
      <w:bookmarkStart w:id="18714" w:name="_Toc519033"/>
      <w:bookmarkStart w:id="18715" w:name="_Toc725012"/>
      <w:bookmarkStart w:id="18716" w:name="_Toc773231"/>
      <w:r>
        <w:rPr>
          <w:rFonts w:hint="cs"/>
          <w:rtl/>
        </w:rPr>
        <w:t>דברי החת"ס דלרש"י לרב משרשיא דסימניו כשחוטים אף בנמצא במעי אמו הוי שהייה ופסול</w:t>
      </w:r>
      <w:bookmarkEnd w:id="18702"/>
      <w:bookmarkEnd w:id="18703"/>
      <w:bookmarkEnd w:id="18704"/>
      <w:bookmarkEnd w:id="18705"/>
      <w:bookmarkEnd w:id="18706"/>
      <w:bookmarkEnd w:id="18707"/>
      <w:bookmarkEnd w:id="18708"/>
      <w:bookmarkEnd w:id="18709"/>
      <w:bookmarkEnd w:id="18710"/>
      <w:bookmarkEnd w:id="18711"/>
      <w:bookmarkEnd w:id="18712"/>
    </w:p>
    <w:p w14:paraId="7A24188A" w14:textId="77777777" w:rsidR="003D504D" w:rsidRPr="00B06D6B" w:rsidRDefault="003D504D" w:rsidP="00223668">
      <w:pPr>
        <w:pStyle w:val="a0"/>
        <w:rPr>
          <w:rtl/>
        </w:rPr>
      </w:pPr>
      <w:r>
        <w:rPr>
          <w:rFonts w:hint="cs"/>
          <w:rtl/>
        </w:rPr>
        <w:t xml:space="preserve">אבל </w:t>
      </w:r>
      <w:r w:rsidRPr="006408F1">
        <w:rPr>
          <w:rStyle w:val="af9"/>
          <w:rFonts w:hint="cs"/>
          <w:rtl/>
        </w:rPr>
        <w:t>החת"ס</w:t>
      </w:r>
      <w:r w:rsidRPr="006408F1">
        <w:rPr>
          <w:rFonts w:hint="cs"/>
          <w:rtl/>
        </w:rPr>
        <w:t xml:space="preserve"> </w:t>
      </w:r>
      <w:r w:rsidRPr="004304CE">
        <w:rPr>
          <w:rStyle w:val="af7"/>
          <w:rFonts w:eastAsia="Guttman Hodes" w:hint="cs"/>
          <w:rtl/>
        </w:rPr>
        <w:t>(מהדו"ק ד"ה ולסברא)</w:t>
      </w:r>
      <w:r w:rsidRPr="006408F1">
        <w:rPr>
          <w:rFonts w:hint="cs"/>
          <w:rtl/>
        </w:rPr>
        <w:t xml:space="preserve"> כתב דלפי ביאורו בדעת </w:t>
      </w:r>
      <w:r w:rsidRPr="006408F1">
        <w:rPr>
          <w:rStyle w:val="af9"/>
          <w:rFonts w:hint="cs"/>
          <w:rtl/>
        </w:rPr>
        <w:t>רש"י</w:t>
      </w:r>
      <w:r w:rsidRPr="006408F1">
        <w:rPr>
          <w:rFonts w:hint="cs"/>
          <w:rtl/>
        </w:rPr>
        <w:t xml:space="preserve"> </w:t>
      </w:r>
      <w:r w:rsidRPr="004304CE">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Ref886173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טו)</w:t>
      </w:r>
      <w:r>
        <w:rPr>
          <w:rStyle w:val="af7"/>
          <w:rFonts w:eastAsia="Guttman Hodes"/>
          <w:rtl/>
        </w:rPr>
        <w:fldChar w:fldCharType="end"/>
      </w:r>
      <w:r w:rsidRPr="004304CE">
        <w:rPr>
          <w:rStyle w:val="af7"/>
          <w:rFonts w:eastAsia="Guttman Hodes" w:hint="cs"/>
          <w:rtl/>
        </w:rPr>
        <w:t xml:space="preserve"> </w:t>
      </w:r>
      <w:r>
        <w:rPr>
          <w:rFonts w:hint="cs"/>
          <w:rtl/>
        </w:rPr>
        <w:t xml:space="preserve">דלרב משרשיא סימני בן פקועה חשיבי כשחוטים, </w:t>
      </w:r>
      <w:r w:rsidRPr="006408F1">
        <w:rPr>
          <w:rFonts w:hint="cs"/>
          <w:rtl/>
        </w:rPr>
        <w:t>א"כ בבן פקועה שבא על בהמה מעלמא</w:t>
      </w:r>
      <w:r>
        <w:rPr>
          <w:rFonts w:hint="cs"/>
          <w:rtl/>
        </w:rPr>
        <w:t>,</w:t>
      </w:r>
      <w:r w:rsidRPr="006408F1">
        <w:rPr>
          <w:rFonts w:hint="cs"/>
          <w:rtl/>
        </w:rPr>
        <w:t xml:space="preserve"> </w:t>
      </w:r>
      <w:r>
        <w:rPr>
          <w:rFonts w:hint="cs"/>
          <w:rtl/>
        </w:rPr>
        <w:t>אף ב</w:t>
      </w:r>
      <w:r w:rsidRPr="006408F1">
        <w:rPr>
          <w:rFonts w:hint="cs"/>
          <w:rtl/>
        </w:rPr>
        <w:t xml:space="preserve">נמצא </w:t>
      </w:r>
      <w:r>
        <w:rPr>
          <w:rFonts w:hint="cs"/>
          <w:rtl/>
        </w:rPr>
        <w:t>ה</w:t>
      </w:r>
      <w:r w:rsidRPr="006408F1">
        <w:rPr>
          <w:rFonts w:hint="cs"/>
          <w:rtl/>
        </w:rPr>
        <w:t>ולד</w:t>
      </w:r>
      <w:r>
        <w:rPr>
          <w:rFonts w:hint="cs"/>
          <w:rtl/>
        </w:rPr>
        <w:t xml:space="preserve"> במעי אמו </w:t>
      </w:r>
      <w:r w:rsidRPr="006408F1">
        <w:rPr>
          <w:rFonts w:hint="cs"/>
          <w:rtl/>
        </w:rPr>
        <w:t xml:space="preserve">אין </w:t>
      </w:r>
      <w:r>
        <w:rPr>
          <w:rFonts w:hint="cs"/>
          <w:rtl/>
        </w:rPr>
        <w:t xml:space="preserve">לו </w:t>
      </w:r>
      <w:r w:rsidRPr="006408F1">
        <w:rPr>
          <w:rFonts w:hint="cs"/>
          <w:rtl/>
        </w:rPr>
        <w:t xml:space="preserve">תקנה, </w:t>
      </w:r>
      <w:r>
        <w:rPr>
          <w:rFonts w:hint="cs"/>
          <w:rtl/>
        </w:rPr>
        <w:t>דאעפ"י שהותר בשחיטת אמו</w:t>
      </w:r>
      <w:r w:rsidRPr="006408F1">
        <w:rPr>
          <w:rFonts w:hint="cs"/>
          <w:rtl/>
        </w:rPr>
        <w:t>,</w:t>
      </w:r>
      <w:r>
        <w:rPr>
          <w:rFonts w:hint="cs"/>
          <w:rtl/>
        </w:rPr>
        <w:t xml:space="preserve"> מ"מ</w:t>
      </w:r>
      <w:r w:rsidRPr="006408F1">
        <w:rPr>
          <w:rFonts w:hint="cs"/>
          <w:rtl/>
        </w:rPr>
        <w:t xml:space="preserve"> כיון דהסימן שלו מצד אביו </w:t>
      </w:r>
      <w:r>
        <w:rPr>
          <w:rFonts w:hint="cs"/>
          <w:rtl/>
        </w:rPr>
        <w:t xml:space="preserve">הוא כבר </w:t>
      </w:r>
      <w:r w:rsidRPr="006408F1">
        <w:rPr>
          <w:rFonts w:hint="cs"/>
          <w:rtl/>
        </w:rPr>
        <w:t>שחוט ועומד</w:t>
      </w:r>
      <w:r>
        <w:rPr>
          <w:rFonts w:hint="cs"/>
          <w:rtl/>
        </w:rPr>
        <w:t xml:space="preserve"> </w:t>
      </w:r>
      <w:r w:rsidRPr="00FC447E">
        <w:rPr>
          <w:rStyle w:val="afb"/>
          <w:rFonts w:hint="cs"/>
          <w:rtl/>
        </w:rPr>
        <w:t>[דנשחט בשעת לידת אביו]</w:t>
      </w:r>
      <w:r w:rsidRPr="006408F1">
        <w:rPr>
          <w:rFonts w:hint="cs"/>
          <w:rtl/>
        </w:rPr>
        <w:t>, והסימן שמצד</w:t>
      </w:r>
      <w:r w:rsidRPr="00B06D6B">
        <w:rPr>
          <w:rFonts w:hint="cs"/>
          <w:rtl/>
        </w:rPr>
        <w:t xml:space="preserve"> אמו נשחט בשחיטת אמו, </w:t>
      </w:r>
      <w:r>
        <w:rPr>
          <w:rFonts w:hint="cs"/>
          <w:rtl/>
        </w:rPr>
        <w:t xml:space="preserve">א"כ </w:t>
      </w:r>
      <w:r w:rsidRPr="00B06D6B">
        <w:rPr>
          <w:rFonts w:hint="cs"/>
          <w:rtl/>
        </w:rPr>
        <w:t>הו"ל שהייה בשחיטה ופסול.</w:t>
      </w:r>
    </w:p>
    <w:p w14:paraId="55CE6848" w14:textId="77777777" w:rsidR="003D504D" w:rsidRPr="00B06D6B" w:rsidRDefault="003D504D" w:rsidP="00BF39B2">
      <w:pPr>
        <w:pStyle w:val="1"/>
        <w:rPr>
          <w:rtl/>
        </w:rPr>
      </w:pPr>
      <w:bookmarkStart w:id="18717" w:name="_Toc862076"/>
      <w:bookmarkStart w:id="18718" w:name="_Toc890732"/>
      <w:bookmarkStart w:id="18719" w:name="_Toc903126"/>
      <w:bookmarkStart w:id="18720" w:name="_Toc955497"/>
      <w:bookmarkStart w:id="18721" w:name="_Toc955790"/>
      <w:bookmarkStart w:id="18722" w:name="_Toc1039432"/>
      <w:bookmarkStart w:id="18723" w:name="_Toc1040675"/>
      <w:bookmarkStart w:id="18724" w:name="_Toc1063567"/>
      <w:bookmarkStart w:id="18725" w:name="_Toc1111999"/>
      <w:bookmarkStart w:id="18726" w:name="_Toc1123864"/>
      <w:bookmarkStart w:id="18727" w:name="_Toc19391382"/>
      <w:bookmarkStart w:id="18728" w:name="_Toc19394879"/>
      <w:r w:rsidRPr="00B06D6B">
        <w:rPr>
          <w:rFonts w:hint="cs"/>
          <w:rtl/>
        </w:rPr>
        <w:t>פלוגתת הב"ח והש"ך בולד בהמה מעלמא ובת פקועה שנשחטה</w:t>
      </w:r>
      <w:bookmarkEnd w:id="18713"/>
      <w:bookmarkEnd w:id="18714"/>
      <w:bookmarkEnd w:id="18715"/>
      <w:bookmarkEnd w:id="18716"/>
      <w:bookmarkEnd w:id="18717"/>
      <w:bookmarkEnd w:id="18718"/>
      <w:bookmarkEnd w:id="18719"/>
      <w:bookmarkEnd w:id="18720"/>
      <w:bookmarkEnd w:id="18721"/>
      <w:bookmarkEnd w:id="18722"/>
      <w:bookmarkEnd w:id="18723"/>
      <w:bookmarkEnd w:id="18724"/>
      <w:bookmarkEnd w:id="18725"/>
      <w:bookmarkEnd w:id="18726"/>
      <w:bookmarkEnd w:id="18727"/>
      <w:bookmarkEnd w:id="18728"/>
    </w:p>
    <w:p w14:paraId="6A837FA0" w14:textId="77777777" w:rsidR="003D504D" w:rsidRPr="00B06D6B" w:rsidRDefault="003D504D" w:rsidP="003D504D">
      <w:pPr>
        <w:pStyle w:val="a3"/>
      </w:pPr>
      <w:bookmarkStart w:id="18729" w:name="_Toc890733"/>
      <w:bookmarkStart w:id="18730" w:name="_Toc903127"/>
      <w:bookmarkStart w:id="18731" w:name="_Toc955498"/>
      <w:bookmarkStart w:id="18732" w:name="_Toc955791"/>
      <w:bookmarkStart w:id="18733" w:name="_Toc1039433"/>
      <w:bookmarkStart w:id="18734" w:name="_Toc1040676"/>
      <w:bookmarkStart w:id="18735" w:name="_Toc1063568"/>
      <w:bookmarkStart w:id="18736" w:name="_Toc1112000"/>
      <w:bookmarkStart w:id="18737" w:name="_Toc1123865"/>
      <w:bookmarkStart w:id="18738" w:name="_Toc19391383"/>
      <w:bookmarkStart w:id="18739" w:name="_Toc19394880"/>
      <w:r>
        <w:rPr>
          <w:rFonts w:hint="cs"/>
          <w:rtl/>
        </w:rPr>
        <w:t>דברי הב"ח דבשור שבא על בת פקועה ונשחטה ונמצא בה ולד הוא מותר אף שאמו א"צ שחיטה</w:t>
      </w:r>
      <w:bookmarkEnd w:id="18729"/>
      <w:bookmarkEnd w:id="18730"/>
      <w:bookmarkEnd w:id="18731"/>
      <w:bookmarkEnd w:id="18732"/>
      <w:bookmarkEnd w:id="18733"/>
      <w:bookmarkEnd w:id="18734"/>
      <w:bookmarkEnd w:id="18735"/>
      <w:bookmarkEnd w:id="18736"/>
      <w:bookmarkEnd w:id="18737"/>
      <w:bookmarkEnd w:id="18738"/>
      <w:bookmarkEnd w:id="18739"/>
    </w:p>
    <w:p w14:paraId="51C4056D" w14:textId="77777777" w:rsidR="003D504D" w:rsidRPr="00771B1F" w:rsidRDefault="003D504D" w:rsidP="00223668">
      <w:pPr>
        <w:pStyle w:val="a0"/>
        <w:rPr>
          <w:rtl/>
        </w:rPr>
      </w:pPr>
      <w:r w:rsidRPr="00B06D6B">
        <w:rPr>
          <w:rFonts w:hint="cs"/>
          <w:rtl/>
        </w:rPr>
        <w:t>והוסיף</w:t>
      </w:r>
      <w:r w:rsidRPr="00B06D6B">
        <w:rPr>
          <w:rStyle w:val="af9"/>
          <w:rFonts w:hint="cs"/>
          <w:rtl/>
        </w:rPr>
        <w:t xml:space="preserve"> הב"ח</w:t>
      </w:r>
      <w:r w:rsidRPr="00B06D6B">
        <w:rPr>
          <w:rFonts w:hint="cs"/>
          <w:rtl/>
        </w:rPr>
        <w:t xml:space="preserve"> </w:t>
      </w:r>
      <w:r w:rsidRPr="004304CE">
        <w:rPr>
          <w:rStyle w:val="af7"/>
          <w:rFonts w:eastAsia="Guttman Hodes" w:hint="cs"/>
          <w:rtl/>
        </w:rPr>
        <w:t>(סי' י"ג ה' ד"ה ומ"ש הוליד)</w:t>
      </w:r>
      <w:r w:rsidRPr="00B06D6B">
        <w:rPr>
          <w:rFonts w:hint="cs"/>
          <w:rtl/>
        </w:rPr>
        <w:t xml:space="preserve"> דה"ה אם שור מעלמא בא על בת פקועה, דהאם אין לה חיוב שחיטה והאב חייב שחיטה, ונשחטה האם ונמצא בה ולד דהוא מותר בשחיטת אמו, ולא אמרינן דכיון שהאם אינה טעונה שחיטה, א"כ אין הולד מותר בשחיטתה, אלא הוא בכלל היתר "בהמה בבהמה", דהוא מתיר בעל אופן שנמצא ולד במעי אמו, אגב שחיטת אמו, וביאר </w:t>
      </w:r>
      <w:r w:rsidRPr="00B06D6B">
        <w:rPr>
          <w:rStyle w:val="af9"/>
          <w:rFonts w:hint="cs"/>
          <w:rtl/>
        </w:rPr>
        <w:t>הט"ז</w:t>
      </w:r>
      <w:r w:rsidRPr="00B06D6B">
        <w:rPr>
          <w:rFonts w:hint="cs"/>
          <w:rtl/>
        </w:rPr>
        <w:t xml:space="preserve"> </w:t>
      </w:r>
      <w:r w:rsidRPr="004304CE">
        <w:rPr>
          <w:rStyle w:val="af7"/>
          <w:rFonts w:eastAsia="Guttman Hodes" w:hint="cs"/>
          <w:rtl/>
        </w:rPr>
        <w:t>(סי' י"ג סק"ט)</w:t>
      </w:r>
      <w:r w:rsidRPr="00B06D6B">
        <w:rPr>
          <w:rFonts w:hint="cs"/>
          <w:rtl/>
        </w:rPr>
        <w:t xml:space="preserve"> דכיון שהולד לא בא לשחיטת עצמו הוא מותר </w:t>
      </w:r>
      <w:r w:rsidRPr="00771B1F">
        <w:rPr>
          <w:rFonts w:hint="cs"/>
          <w:rtl/>
        </w:rPr>
        <w:t xml:space="preserve">בשחיטת אמו מדין היתר "בהמה בבהמה, ועיי"ש בדברי </w:t>
      </w:r>
      <w:r w:rsidRPr="00771B1F">
        <w:rPr>
          <w:rStyle w:val="af9"/>
          <w:rFonts w:hint="cs"/>
          <w:rtl/>
        </w:rPr>
        <w:t>הב"ח</w:t>
      </w:r>
      <w:r w:rsidRPr="00771B1F">
        <w:rPr>
          <w:rFonts w:hint="cs"/>
          <w:rtl/>
        </w:rPr>
        <w:t xml:space="preserve"> דהביא ראיה לזה מהגמ' לקמן </w:t>
      </w:r>
      <w:r w:rsidRPr="004304CE">
        <w:rPr>
          <w:rStyle w:val="af7"/>
          <w:rFonts w:eastAsia="Guttman Hodes" w:hint="cs"/>
          <w:rtl/>
        </w:rPr>
        <w:t>(עה:)</w:t>
      </w:r>
      <w:r w:rsidRPr="00771B1F">
        <w:rPr>
          <w:rFonts w:hint="cs"/>
          <w:rtl/>
        </w:rPr>
        <w:t xml:space="preserve">. </w:t>
      </w:r>
    </w:p>
    <w:p w14:paraId="6810FA71" w14:textId="77777777" w:rsidR="003D504D" w:rsidRPr="00B06D6B" w:rsidRDefault="003D504D" w:rsidP="003D504D">
      <w:pPr>
        <w:pStyle w:val="a3"/>
        <w:rPr>
          <w:rtl/>
        </w:rPr>
      </w:pPr>
      <w:bookmarkStart w:id="18740" w:name="_Toc890734"/>
      <w:bookmarkStart w:id="18741" w:name="_Toc903128"/>
      <w:bookmarkStart w:id="18742" w:name="_Toc955499"/>
      <w:bookmarkStart w:id="18743" w:name="_Toc955792"/>
      <w:bookmarkStart w:id="18744" w:name="_Toc1039434"/>
      <w:bookmarkStart w:id="18745" w:name="_Toc1040677"/>
      <w:bookmarkStart w:id="18746" w:name="_Toc1063569"/>
      <w:bookmarkStart w:id="18747" w:name="_Toc1112001"/>
      <w:bookmarkStart w:id="18748" w:name="_Toc1123866"/>
      <w:bookmarkStart w:id="18749" w:name="_Toc19391384"/>
      <w:bookmarkStart w:id="18750" w:name="_Toc19394881"/>
      <w:r>
        <w:rPr>
          <w:rFonts w:hint="cs"/>
          <w:rtl/>
        </w:rPr>
        <w:t>דברי הש"ך דבשור שבא על בת פקועה ונשחטה ונמצא בה ולד כיון שאמו א"צ שחיטה אין לו תקנה</w:t>
      </w:r>
      <w:bookmarkEnd w:id="18740"/>
      <w:bookmarkEnd w:id="18741"/>
      <w:bookmarkEnd w:id="18742"/>
      <w:bookmarkEnd w:id="18743"/>
      <w:bookmarkEnd w:id="18744"/>
      <w:bookmarkEnd w:id="18745"/>
      <w:bookmarkEnd w:id="18746"/>
      <w:bookmarkEnd w:id="18747"/>
      <w:bookmarkEnd w:id="18748"/>
      <w:bookmarkEnd w:id="18749"/>
      <w:bookmarkEnd w:id="18750"/>
    </w:p>
    <w:p w14:paraId="6E64A4B4" w14:textId="77777777" w:rsidR="003D504D" w:rsidRPr="00B06D6B" w:rsidRDefault="003D504D" w:rsidP="00223668">
      <w:pPr>
        <w:pStyle w:val="a0"/>
        <w:rPr>
          <w:rtl/>
        </w:rPr>
      </w:pPr>
      <w:bookmarkStart w:id="18751" w:name="_Ref536787006"/>
      <w:r w:rsidRPr="00B06D6B">
        <w:rPr>
          <w:rFonts w:hint="cs"/>
          <w:rtl/>
        </w:rPr>
        <w:t xml:space="preserve">אבל </w:t>
      </w:r>
      <w:r w:rsidRPr="00B06D6B">
        <w:rPr>
          <w:rStyle w:val="af9"/>
          <w:rFonts w:hint="cs"/>
          <w:rtl/>
        </w:rPr>
        <w:t>הש"ך</w:t>
      </w:r>
      <w:r w:rsidRPr="00B06D6B">
        <w:rPr>
          <w:rFonts w:hint="cs"/>
          <w:rtl/>
        </w:rPr>
        <w:t xml:space="preserve"> </w:t>
      </w:r>
      <w:r w:rsidRPr="004304CE">
        <w:rPr>
          <w:rStyle w:val="af7"/>
          <w:rFonts w:eastAsia="Guttman Hodes" w:hint="cs"/>
          <w:rtl/>
        </w:rPr>
        <w:t xml:space="preserve">(סי' י"ג סקי"ד) </w:t>
      </w:r>
      <w:r w:rsidRPr="00B06D6B">
        <w:rPr>
          <w:rFonts w:hint="cs"/>
          <w:rtl/>
        </w:rPr>
        <w:t>כתב דכיון שהאם הבת פקועה אינה טעונה שחיטה, אם נשחטה אין הולד שלה מותר בשחיטת האם, אלא דינו כילוד שיש לו סימן אחד מצד אביו, והסימן שמצד אמו הוא כשחוט ואין לו תקנה, ואינו בכלל היתר "בהמה בבהמה", דההיתר הוא שהולד מותר בשחיטת אמו, אבל בבת פקועה דאינה צריכה שחיטה, אף כשנשחטה חשיב שלא נשחטה, והולד הוא כילוד ולא כבן פקועה, ועיי"ש בדברי</w:t>
      </w:r>
      <w:r w:rsidRPr="00B06D6B">
        <w:rPr>
          <w:rStyle w:val="af9"/>
          <w:rFonts w:hint="cs"/>
          <w:rtl/>
        </w:rPr>
        <w:t xml:space="preserve"> הש"ך</w:t>
      </w:r>
      <w:r w:rsidRPr="00B06D6B">
        <w:rPr>
          <w:rFonts w:hint="cs"/>
          <w:rtl/>
        </w:rPr>
        <w:t xml:space="preserve"> </w:t>
      </w:r>
      <w:r w:rsidRPr="00B06D6B">
        <w:rPr>
          <w:rFonts w:hint="cs"/>
          <w:b/>
          <w:bCs/>
          <w:rtl/>
        </w:rPr>
        <w:t>ו</w:t>
      </w:r>
      <w:r w:rsidRPr="00B06D6B">
        <w:rPr>
          <w:b/>
          <w:bCs/>
          <w:rtl/>
        </w:rPr>
        <w:t>הפרי תואר [לבעל האוה"ח]</w:t>
      </w:r>
      <w:r w:rsidRPr="00B06D6B">
        <w:rPr>
          <w:rFonts w:hint="cs"/>
          <w:b/>
          <w:bCs/>
          <w:rtl/>
        </w:rPr>
        <w:t xml:space="preserve"> </w:t>
      </w:r>
      <w:r w:rsidRPr="004304CE">
        <w:rPr>
          <w:rStyle w:val="af7"/>
          <w:rFonts w:eastAsia="Guttman Hodes" w:hint="cs"/>
          <w:rtl/>
        </w:rPr>
        <w:t>(</w:t>
      </w:r>
      <w:bookmarkStart w:id="18752" w:name="_Ref536786989"/>
      <w:r w:rsidRPr="00B06D6B">
        <w:rPr>
          <w:vertAlign w:val="superscript"/>
          <w:rtl/>
        </w:rPr>
        <w:footnoteReference w:id="114"/>
      </w:r>
      <w:bookmarkEnd w:id="18752"/>
      <w:r w:rsidRPr="004304CE">
        <w:rPr>
          <w:rStyle w:val="af7"/>
          <w:rFonts w:eastAsia="Guttman Hodes" w:hint="cs"/>
          <w:rtl/>
        </w:rPr>
        <w:t>סי' י"ג סקי"ב)</w:t>
      </w:r>
      <w:r w:rsidRPr="00B06D6B">
        <w:rPr>
          <w:rFonts w:hint="cs"/>
          <w:rtl/>
        </w:rPr>
        <w:t xml:space="preserve"> במה שדחו את הראיה שהביא </w:t>
      </w:r>
      <w:r w:rsidRPr="00B06D6B">
        <w:rPr>
          <w:rStyle w:val="af9"/>
          <w:rFonts w:hint="cs"/>
          <w:rtl/>
        </w:rPr>
        <w:t>הב"ח</w:t>
      </w:r>
      <w:r w:rsidRPr="00B06D6B">
        <w:rPr>
          <w:rFonts w:hint="cs"/>
          <w:rtl/>
        </w:rPr>
        <w:t xml:space="preserve"> מהגמ' לקמן </w:t>
      </w:r>
      <w:r w:rsidRPr="004304CE">
        <w:rPr>
          <w:rStyle w:val="af7"/>
          <w:rFonts w:eastAsia="Guttman Hodes" w:hint="cs"/>
          <w:rtl/>
        </w:rPr>
        <w:t>(עה:)</w:t>
      </w:r>
      <w:r w:rsidRPr="00B06D6B">
        <w:rPr>
          <w:rFonts w:hint="cs"/>
          <w:rtl/>
        </w:rPr>
        <w:t>.</w:t>
      </w:r>
      <w:bookmarkEnd w:id="18751"/>
    </w:p>
    <w:p w14:paraId="260F7D8F" w14:textId="77777777" w:rsidR="003D504D" w:rsidRPr="00B06D6B" w:rsidRDefault="003D504D" w:rsidP="003D504D">
      <w:pPr>
        <w:pStyle w:val="a3"/>
        <w:rPr>
          <w:rtl/>
        </w:rPr>
      </w:pPr>
      <w:bookmarkStart w:id="18753" w:name="_Toc890735"/>
      <w:bookmarkStart w:id="18754" w:name="_Toc903129"/>
      <w:bookmarkStart w:id="18755" w:name="_Toc955500"/>
      <w:bookmarkStart w:id="18756" w:name="_Toc955793"/>
      <w:bookmarkStart w:id="18757" w:name="_Toc1039435"/>
      <w:bookmarkStart w:id="18758" w:name="_Toc1040678"/>
      <w:bookmarkStart w:id="18759" w:name="_Toc1063570"/>
      <w:bookmarkStart w:id="18760" w:name="_Toc1112002"/>
      <w:bookmarkStart w:id="18761" w:name="_Toc1123867"/>
      <w:bookmarkStart w:id="18762" w:name="_Toc19391385"/>
      <w:bookmarkStart w:id="18763" w:name="_Toc19394882"/>
      <w:r>
        <w:rPr>
          <w:rFonts w:hint="cs"/>
          <w:rtl/>
        </w:rPr>
        <w:t>דברי התבו"ש דמשמע בש"ך דרק בן ט' חי שנמצא בבת פקועה אין לו תקנה כיון שיש בו שחיטה</w:t>
      </w:r>
      <w:bookmarkEnd w:id="18753"/>
      <w:bookmarkEnd w:id="18754"/>
      <w:bookmarkEnd w:id="18755"/>
      <w:bookmarkEnd w:id="18756"/>
      <w:bookmarkEnd w:id="18757"/>
      <w:bookmarkEnd w:id="18758"/>
      <w:bookmarkEnd w:id="18759"/>
      <w:bookmarkEnd w:id="18760"/>
      <w:bookmarkEnd w:id="18761"/>
      <w:bookmarkEnd w:id="18762"/>
      <w:bookmarkEnd w:id="18763"/>
      <w:r>
        <w:rPr>
          <w:rFonts w:hint="cs"/>
          <w:rtl/>
        </w:rPr>
        <w:t xml:space="preserve"> </w:t>
      </w:r>
    </w:p>
    <w:p w14:paraId="3B50ADA4" w14:textId="77777777" w:rsidR="003D504D" w:rsidRPr="00B06D6B" w:rsidRDefault="003D504D" w:rsidP="00223668">
      <w:pPr>
        <w:pStyle w:val="a0"/>
        <w:rPr>
          <w:rtl/>
        </w:rPr>
      </w:pPr>
      <w:r>
        <w:rPr>
          <w:rFonts w:hint="cs"/>
          <w:rtl/>
        </w:rPr>
        <w:t>ו</w:t>
      </w:r>
      <w:r w:rsidRPr="00B06D6B">
        <w:rPr>
          <w:rFonts w:hint="cs"/>
          <w:rtl/>
        </w:rPr>
        <w:t xml:space="preserve">כתב </w:t>
      </w:r>
      <w:r w:rsidRPr="00B06D6B">
        <w:rPr>
          <w:rStyle w:val="af9"/>
          <w:rFonts w:hint="cs"/>
          <w:rtl/>
        </w:rPr>
        <w:t>התבו"ש</w:t>
      </w:r>
      <w:r w:rsidRPr="00B06D6B">
        <w:rPr>
          <w:rFonts w:hint="cs"/>
          <w:rtl/>
        </w:rPr>
        <w:t xml:space="preserve"> </w:t>
      </w:r>
      <w:r w:rsidRPr="004304CE">
        <w:rPr>
          <w:rStyle w:val="af7"/>
          <w:rFonts w:eastAsia="Guttman Hodes" w:hint="cs"/>
          <w:rtl/>
        </w:rPr>
        <w:t>(סי' י"ג סקי"ז)</w:t>
      </w:r>
      <w:r w:rsidRPr="00B06D6B">
        <w:rPr>
          <w:rFonts w:hint="cs"/>
          <w:rtl/>
        </w:rPr>
        <w:t xml:space="preserve"> דמשמע מדברי </w:t>
      </w:r>
      <w:r w:rsidRPr="00B06D6B">
        <w:rPr>
          <w:rStyle w:val="af9"/>
          <w:rFonts w:hint="cs"/>
          <w:rtl/>
        </w:rPr>
        <w:t>הש"ך</w:t>
      </w:r>
      <w:r w:rsidRPr="00B06D6B">
        <w:rPr>
          <w:rFonts w:hint="cs"/>
          <w:rtl/>
        </w:rPr>
        <w:t xml:space="preserve"> דהאיסור בנמצא במעי הבת פקועה</w:t>
      </w:r>
      <w:r>
        <w:rPr>
          <w:rFonts w:hint="cs"/>
          <w:rtl/>
        </w:rPr>
        <w:t>,</w:t>
      </w:r>
      <w:r w:rsidRPr="00B06D6B">
        <w:rPr>
          <w:rFonts w:hint="cs"/>
          <w:rtl/>
        </w:rPr>
        <w:t xml:space="preserve"> הוא רק </w:t>
      </w:r>
      <w:r>
        <w:rPr>
          <w:rFonts w:hint="cs"/>
          <w:rtl/>
        </w:rPr>
        <w:t>ב</w:t>
      </w:r>
      <w:r w:rsidRPr="00B06D6B">
        <w:rPr>
          <w:rFonts w:hint="cs"/>
          <w:rtl/>
        </w:rPr>
        <w:t>בן ט' חי ששייך בו שחיטה, אבל אם נמצא במעיה בן ח' חי או בן ט' מת שלא שייך בו שחיטה, משמע דהוא מותר אגב אמו, כיון שהוא אבר מאברי אמו.</w:t>
      </w:r>
    </w:p>
    <w:p w14:paraId="21224C7D" w14:textId="77777777" w:rsidR="003D504D" w:rsidRPr="00B06D6B" w:rsidRDefault="003D504D" w:rsidP="003D504D">
      <w:pPr>
        <w:pStyle w:val="a3"/>
        <w:rPr>
          <w:rtl/>
        </w:rPr>
      </w:pPr>
      <w:bookmarkStart w:id="18764" w:name="_Toc890736"/>
      <w:bookmarkStart w:id="18765" w:name="_Toc903130"/>
      <w:bookmarkStart w:id="18766" w:name="_Toc955501"/>
      <w:bookmarkStart w:id="18767" w:name="_Toc955794"/>
      <w:bookmarkStart w:id="18768" w:name="_Toc1039436"/>
      <w:bookmarkStart w:id="18769" w:name="_Toc1040679"/>
      <w:bookmarkStart w:id="18770" w:name="_Toc1063571"/>
      <w:bookmarkStart w:id="18771" w:name="_Toc1112003"/>
      <w:bookmarkStart w:id="18772" w:name="_Toc1123868"/>
      <w:bookmarkStart w:id="18773" w:name="_Toc19391386"/>
      <w:bookmarkStart w:id="18774" w:name="_Toc19394883"/>
      <w:r>
        <w:rPr>
          <w:rFonts w:hint="cs"/>
          <w:rtl/>
        </w:rPr>
        <w:t>דברי התבו"ש דאף בנפל במעי בת פקועה אין לו תקנה דחשיב כנפל שנולד לפני השחיטה</w:t>
      </w:r>
      <w:bookmarkEnd w:id="18764"/>
      <w:bookmarkEnd w:id="18765"/>
      <w:bookmarkEnd w:id="18766"/>
      <w:bookmarkEnd w:id="18767"/>
      <w:bookmarkEnd w:id="18768"/>
      <w:bookmarkEnd w:id="18769"/>
      <w:bookmarkEnd w:id="18770"/>
      <w:bookmarkEnd w:id="18771"/>
      <w:bookmarkEnd w:id="18772"/>
      <w:bookmarkEnd w:id="18773"/>
      <w:bookmarkEnd w:id="18774"/>
    </w:p>
    <w:p w14:paraId="3BDD1E11" w14:textId="77777777" w:rsidR="003D504D" w:rsidRDefault="003D504D" w:rsidP="00223668">
      <w:pPr>
        <w:pStyle w:val="a0"/>
        <w:rPr>
          <w:rtl/>
        </w:rPr>
      </w:pPr>
      <w:r w:rsidRPr="00B06D6B">
        <w:rPr>
          <w:rFonts w:hint="cs"/>
          <w:rtl/>
        </w:rPr>
        <w:t xml:space="preserve">אך דחה </w:t>
      </w:r>
      <w:r w:rsidRPr="00B06D6B">
        <w:rPr>
          <w:rStyle w:val="af9"/>
          <w:rFonts w:hint="cs"/>
          <w:rtl/>
        </w:rPr>
        <w:t>התבו"ש</w:t>
      </w:r>
      <w:r w:rsidRPr="00B06D6B">
        <w:rPr>
          <w:rFonts w:hint="cs"/>
          <w:rtl/>
        </w:rPr>
        <w:t xml:space="preserve"> דאף בנמצא במעי הבת פקועה, בן ח' חי או בן ט' מת, אפש"ל דהוא אסור, כיון שהאם אינה צריכה שחיטה, דהיא שחוטה ועומדת, א"כ הנפל שהוא אבר חדש באם, חשיב כנפל שנולד לפני שחיטה בבהמה בעלמא דאסור.</w:t>
      </w:r>
    </w:p>
    <w:p w14:paraId="2CD75708" w14:textId="77777777" w:rsidR="003D504D" w:rsidRPr="007002B9" w:rsidRDefault="003D504D" w:rsidP="003D504D">
      <w:pPr>
        <w:pStyle w:val="a3"/>
        <w:rPr>
          <w:rtl/>
        </w:rPr>
      </w:pPr>
    </w:p>
    <w:p w14:paraId="5C32941D" w14:textId="77777777" w:rsidR="003D504D" w:rsidRDefault="003D504D" w:rsidP="00BF39B2">
      <w:pPr>
        <w:pStyle w:val="1"/>
        <w:rPr>
          <w:rtl/>
        </w:rPr>
      </w:pPr>
      <w:bookmarkStart w:id="18775" w:name="_Toc890737"/>
      <w:bookmarkStart w:id="18776" w:name="_Toc903131"/>
      <w:bookmarkStart w:id="18777" w:name="_Toc955502"/>
      <w:bookmarkStart w:id="18778" w:name="_Toc955795"/>
      <w:bookmarkStart w:id="18779" w:name="_Toc1039437"/>
      <w:bookmarkStart w:id="18780" w:name="_Toc1040680"/>
      <w:bookmarkStart w:id="18781" w:name="_Toc1063572"/>
      <w:bookmarkStart w:id="18782" w:name="_Toc1112004"/>
      <w:bookmarkStart w:id="18783" w:name="_Toc1123869"/>
      <w:bookmarkStart w:id="18784" w:name="_Toc19391387"/>
      <w:bookmarkStart w:id="18785" w:name="_Toc19394884"/>
      <w:r>
        <w:rPr>
          <w:rFonts w:hint="cs"/>
          <w:rtl/>
        </w:rPr>
        <w:t>ביאור התבו"ש והפרי תואר דמסברא כל שנמצא בבהמה מותר</w:t>
      </w:r>
      <w:bookmarkEnd w:id="18775"/>
      <w:bookmarkEnd w:id="18776"/>
      <w:bookmarkEnd w:id="18777"/>
      <w:bookmarkEnd w:id="18778"/>
      <w:bookmarkEnd w:id="18779"/>
      <w:bookmarkEnd w:id="18780"/>
      <w:bookmarkEnd w:id="18781"/>
      <w:bookmarkEnd w:id="18782"/>
      <w:bookmarkEnd w:id="18783"/>
      <w:bookmarkEnd w:id="18784"/>
      <w:bookmarkEnd w:id="18785"/>
    </w:p>
    <w:p w14:paraId="1B68FDF2" w14:textId="77777777" w:rsidR="003D504D" w:rsidRPr="00B06D6B" w:rsidRDefault="003D504D" w:rsidP="003D504D">
      <w:pPr>
        <w:pStyle w:val="a3"/>
        <w:rPr>
          <w:rtl/>
        </w:rPr>
      </w:pPr>
      <w:bookmarkStart w:id="18786" w:name="_Toc890738"/>
      <w:bookmarkStart w:id="18787" w:name="_Toc903132"/>
      <w:bookmarkStart w:id="18788" w:name="_Toc955503"/>
      <w:bookmarkStart w:id="18789" w:name="_Toc955796"/>
      <w:bookmarkStart w:id="18790" w:name="_Toc1039438"/>
      <w:bookmarkStart w:id="18791" w:name="_Toc1040681"/>
      <w:bookmarkStart w:id="18792" w:name="_Toc1063573"/>
      <w:bookmarkStart w:id="18793" w:name="_Toc1112005"/>
      <w:bookmarkStart w:id="18794" w:name="_Toc1123870"/>
      <w:bookmarkStart w:id="18795" w:name="_Toc19391388"/>
      <w:bookmarkStart w:id="18796" w:name="_Toc19394885"/>
      <w:r>
        <w:rPr>
          <w:rFonts w:hint="cs"/>
          <w:rtl/>
        </w:rPr>
        <w:t>דברי התבו"ש דכל דקרינן בבהמה "תאכלו" הולד שנמצא בתוכה מותר אף שא"צ שחיטה</w:t>
      </w:r>
      <w:bookmarkEnd w:id="18786"/>
      <w:bookmarkEnd w:id="18787"/>
      <w:bookmarkEnd w:id="18788"/>
      <w:bookmarkEnd w:id="18789"/>
      <w:bookmarkEnd w:id="18790"/>
      <w:bookmarkEnd w:id="18791"/>
      <w:bookmarkEnd w:id="18792"/>
      <w:bookmarkEnd w:id="18793"/>
      <w:bookmarkEnd w:id="18794"/>
      <w:bookmarkEnd w:id="18795"/>
      <w:bookmarkEnd w:id="18796"/>
    </w:p>
    <w:p w14:paraId="25E2E57D" w14:textId="77777777" w:rsidR="003D504D" w:rsidRPr="00B06D6B" w:rsidRDefault="003D504D" w:rsidP="00223668">
      <w:pPr>
        <w:pStyle w:val="a0"/>
        <w:rPr>
          <w:rtl/>
        </w:rPr>
      </w:pPr>
      <w:r>
        <w:rPr>
          <w:rFonts w:hint="cs"/>
          <w:rtl/>
        </w:rPr>
        <w:t xml:space="preserve">וכתב </w:t>
      </w:r>
      <w:r>
        <w:rPr>
          <w:rStyle w:val="af9"/>
          <w:rFonts w:hint="cs"/>
          <w:rtl/>
        </w:rPr>
        <w:t>ו</w:t>
      </w:r>
      <w:r w:rsidRPr="00B06D6B">
        <w:rPr>
          <w:rStyle w:val="af9"/>
          <w:rFonts w:hint="cs"/>
          <w:rtl/>
        </w:rPr>
        <w:t>התבו"ש</w:t>
      </w:r>
      <w:r w:rsidRPr="00B06D6B">
        <w:rPr>
          <w:rFonts w:hint="cs"/>
          <w:rtl/>
        </w:rPr>
        <w:t xml:space="preserve"> </w:t>
      </w:r>
      <w:r w:rsidRPr="004304CE">
        <w:rPr>
          <w:rStyle w:val="af7"/>
          <w:rFonts w:eastAsia="Guttman Hodes" w:hint="cs"/>
          <w:rtl/>
        </w:rPr>
        <w:t xml:space="preserve">(סי' י"ג סקי"ז) </w:t>
      </w:r>
      <w:r>
        <w:rPr>
          <w:rFonts w:hint="cs"/>
          <w:rtl/>
        </w:rPr>
        <w:t>ד</w:t>
      </w:r>
      <w:r w:rsidRPr="00B06D6B">
        <w:rPr>
          <w:rFonts w:hint="cs"/>
          <w:rtl/>
        </w:rPr>
        <w:t xml:space="preserve">מסברא מבואר כדברי </w:t>
      </w:r>
      <w:r w:rsidRPr="00B06D6B">
        <w:rPr>
          <w:rStyle w:val="af9"/>
          <w:rFonts w:hint="cs"/>
          <w:rtl/>
        </w:rPr>
        <w:t>הב"ח</w:t>
      </w:r>
      <w:r w:rsidRPr="00B06D6B">
        <w:rPr>
          <w:rFonts w:hint="cs"/>
          <w:rtl/>
        </w:rPr>
        <w:t xml:space="preserve"> </w:t>
      </w:r>
      <w:r>
        <w:rPr>
          <w:rFonts w:hint="cs"/>
          <w:rtl/>
        </w:rPr>
        <w:t xml:space="preserve">דבנמצא במעי </w:t>
      </w:r>
      <w:r w:rsidRPr="00B06D6B">
        <w:rPr>
          <w:rFonts w:hint="cs"/>
          <w:rtl/>
        </w:rPr>
        <w:t xml:space="preserve">הבת פקועה הולד מותר, </w:t>
      </w:r>
      <w:r>
        <w:rPr>
          <w:rFonts w:hint="cs"/>
          <w:rtl/>
        </w:rPr>
        <w:t>כיון שההיתר של הו</w:t>
      </w:r>
      <w:r w:rsidRPr="00B06D6B">
        <w:rPr>
          <w:rFonts w:hint="cs"/>
          <w:rtl/>
        </w:rPr>
        <w:t xml:space="preserve">לד אינו ע"י שחיטת אמו, אלא </w:t>
      </w:r>
      <w:r>
        <w:rPr>
          <w:rFonts w:hint="cs"/>
          <w:rtl/>
        </w:rPr>
        <w:t>דכל</w:t>
      </w:r>
      <w:r w:rsidRPr="00B06D6B">
        <w:rPr>
          <w:rFonts w:hint="cs"/>
          <w:rtl/>
        </w:rPr>
        <w:t xml:space="preserve"> שנמצא במחיצת אמו, דדרשינן דכל שנמצא בבמה תאכלו, דהיינו דבמקום שקרינן בבהמה עצמה "תאכלו" אף הנמצא בתוכה מותר באכילה, בין אם הבהמה מותרת ע"י שחיטה, ובין אם אינה צריכה שחיטה כבת פקועה, ועי' בדברי </w:t>
      </w:r>
      <w:r w:rsidRPr="00B06D6B">
        <w:rPr>
          <w:rStyle w:val="af9"/>
          <w:rFonts w:hint="cs"/>
          <w:rtl/>
        </w:rPr>
        <w:t>היד יהודה</w:t>
      </w:r>
      <w:r w:rsidRPr="00B06D6B">
        <w:rPr>
          <w:rFonts w:hint="cs"/>
          <w:rtl/>
        </w:rPr>
        <w:t xml:space="preserve"> </w:t>
      </w:r>
      <w:r w:rsidRPr="004304CE">
        <w:rPr>
          <w:rStyle w:val="af7"/>
          <w:rFonts w:eastAsia="Guttman Hodes" w:hint="cs"/>
          <w:rtl/>
        </w:rPr>
        <w:t>(סי' י"ג סק"י)</w:t>
      </w:r>
      <w:r w:rsidRPr="00B06D6B">
        <w:rPr>
          <w:rFonts w:hint="cs"/>
          <w:rtl/>
        </w:rPr>
        <w:t xml:space="preserve"> במ"ש בזה.</w:t>
      </w:r>
    </w:p>
    <w:p w14:paraId="0C8AA536" w14:textId="77777777" w:rsidR="003D504D" w:rsidRPr="00B06D6B" w:rsidRDefault="003D504D" w:rsidP="003D504D">
      <w:pPr>
        <w:pStyle w:val="a3"/>
      </w:pPr>
      <w:bookmarkStart w:id="18797" w:name="_Toc890739"/>
      <w:bookmarkStart w:id="18798" w:name="_Toc903133"/>
      <w:bookmarkStart w:id="18799" w:name="_Toc955504"/>
      <w:bookmarkStart w:id="18800" w:name="_Toc955797"/>
      <w:bookmarkStart w:id="18801" w:name="_Toc1039439"/>
      <w:bookmarkStart w:id="18802" w:name="_Toc1040682"/>
      <w:bookmarkStart w:id="18803" w:name="_Toc1063574"/>
      <w:bookmarkStart w:id="18804" w:name="_Toc1112006"/>
      <w:bookmarkStart w:id="18805" w:name="_Toc1123871"/>
      <w:bookmarkStart w:id="18806" w:name="_Toc19391389"/>
      <w:bookmarkStart w:id="18807" w:name="_Toc19394886"/>
      <w:r>
        <w:rPr>
          <w:rFonts w:hint="cs"/>
          <w:rtl/>
        </w:rPr>
        <w:t>דברי הפרי תואר והתבו"ש דכשהאם מותרת כל שנמצא בתוכה מותר אף שא"צ שחיטה</w:t>
      </w:r>
      <w:bookmarkEnd w:id="18797"/>
      <w:bookmarkEnd w:id="18798"/>
      <w:bookmarkEnd w:id="18799"/>
      <w:bookmarkEnd w:id="18800"/>
      <w:bookmarkEnd w:id="18801"/>
      <w:bookmarkEnd w:id="18802"/>
      <w:bookmarkEnd w:id="18803"/>
      <w:bookmarkEnd w:id="18804"/>
      <w:bookmarkEnd w:id="18805"/>
      <w:bookmarkEnd w:id="18806"/>
      <w:bookmarkEnd w:id="18807"/>
    </w:p>
    <w:p w14:paraId="3DF0AFF4" w14:textId="77777777" w:rsidR="003D504D" w:rsidRDefault="003D504D" w:rsidP="00223668">
      <w:pPr>
        <w:pStyle w:val="a0"/>
        <w:rPr>
          <w:rtl/>
        </w:rPr>
      </w:pPr>
      <w:bookmarkStart w:id="18808" w:name="_Ref889090"/>
      <w:r w:rsidRPr="00B06D6B">
        <w:rPr>
          <w:rFonts w:hint="cs"/>
          <w:rtl/>
        </w:rPr>
        <w:t xml:space="preserve">וכ"כ </w:t>
      </w:r>
      <w:r w:rsidRPr="00B06D6B">
        <w:rPr>
          <w:rStyle w:val="af9"/>
          <w:rtl/>
        </w:rPr>
        <w:t>הפרי תואר [לבעל האוה"ח]</w:t>
      </w:r>
      <w:r w:rsidRPr="00747DF0">
        <w:rPr>
          <w:rFonts w:hint="cs"/>
          <w:b/>
          <w:bCs/>
          <w:rtl/>
        </w:rPr>
        <w:t xml:space="preserve"> </w:t>
      </w:r>
      <w:r w:rsidRPr="004304CE">
        <w:rPr>
          <w:rStyle w:val="af7"/>
          <w:rFonts w:eastAsia="Guttman Hodes" w:hint="cs"/>
          <w:rtl/>
        </w:rPr>
        <w:t>(</w:t>
      </w:r>
      <w:r w:rsidRPr="00747DF0">
        <w:rPr>
          <w:vertAlign w:val="superscript"/>
          <w:rtl/>
        </w:rPr>
        <w:fldChar w:fldCharType="begin"/>
      </w:r>
      <w:r w:rsidRPr="00747DF0">
        <w:rPr>
          <w:vertAlign w:val="superscript"/>
          <w:rtl/>
        </w:rPr>
        <w:instrText xml:space="preserve"> </w:instrText>
      </w:r>
      <w:r w:rsidRPr="00747DF0">
        <w:rPr>
          <w:rFonts w:hint="cs"/>
          <w:vertAlign w:val="superscript"/>
        </w:rPr>
        <w:instrText>NOTEREF</w:instrText>
      </w:r>
      <w:r w:rsidRPr="00747DF0">
        <w:rPr>
          <w:rFonts w:hint="cs"/>
          <w:vertAlign w:val="superscript"/>
          <w:rtl/>
        </w:rPr>
        <w:instrText xml:space="preserve"> _</w:instrText>
      </w:r>
      <w:r w:rsidRPr="00747DF0">
        <w:rPr>
          <w:rFonts w:hint="cs"/>
          <w:vertAlign w:val="superscript"/>
        </w:rPr>
        <w:instrText>Ref536786989 \h</w:instrText>
      </w:r>
      <w:r w:rsidRPr="00747DF0">
        <w:rPr>
          <w:vertAlign w:val="superscript"/>
          <w:rtl/>
        </w:rPr>
        <w:instrText xml:space="preserve">  \* </w:instrText>
      </w:r>
      <w:r w:rsidRPr="00747DF0">
        <w:rPr>
          <w:vertAlign w:val="superscript"/>
        </w:rPr>
        <w:instrText>MERGEFORMAT</w:instrText>
      </w:r>
      <w:r w:rsidRPr="00747DF0">
        <w:rPr>
          <w:vertAlign w:val="superscript"/>
          <w:rtl/>
        </w:rPr>
        <w:instrText xml:space="preserve"> </w:instrText>
      </w:r>
      <w:r w:rsidRPr="00747DF0">
        <w:rPr>
          <w:vertAlign w:val="superscript"/>
          <w:rtl/>
        </w:rPr>
      </w:r>
      <w:r w:rsidRPr="00747DF0">
        <w:rPr>
          <w:vertAlign w:val="superscript"/>
          <w:rtl/>
        </w:rPr>
        <w:fldChar w:fldCharType="separate"/>
      </w:r>
      <w:r w:rsidR="00345400">
        <w:rPr>
          <w:vertAlign w:val="superscript"/>
          <w:rtl/>
        </w:rPr>
        <w:t>114</w:t>
      </w:r>
      <w:r w:rsidRPr="00747DF0">
        <w:rPr>
          <w:vertAlign w:val="superscript"/>
          <w:rtl/>
        </w:rPr>
        <w:fldChar w:fldCharType="end"/>
      </w:r>
      <w:r w:rsidRPr="004304CE">
        <w:rPr>
          <w:rStyle w:val="af7"/>
          <w:rFonts w:eastAsia="Guttman Hodes" w:hint="cs"/>
          <w:rtl/>
        </w:rPr>
        <w:t>סי' י"ג סקי"ב)</w:t>
      </w:r>
      <w:r w:rsidRPr="00B06D6B">
        <w:rPr>
          <w:rFonts w:hint="cs"/>
          <w:rtl/>
        </w:rPr>
        <w:t xml:space="preserve"> </w:t>
      </w:r>
      <w:r>
        <w:rPr>
          <w:rFonts w:hint="cs"/>
          <w:rtl/>
        </w:rPr>
        <w:t>ד</w:t>
      </w:r>
      <w:r w:rsidRPr="00B06D6B">
        <w:rPr>
          <w:rFonts w:hint="cs"/>
          <w:rtl/>
        </w:rPr>
        <w:t>מסברא הולד מותר, דכיון שאי</w:t>
      </w:r>
      <w:r>
        <w:rPr>
          <w:rFonts w:hint="cs"/>
          <w:rtl/>
        </w:rPr>
        <w:t xml:space="preserve">ן על הולד חיוב שחיטה מצד עצמו, </w:t>
      </w:r>
      <w:r w:rsidRPr="00B06D6B">
        <w:rPr>
          <w:rFonts w:hint="cs"/>
          <w:rtl/>
        </w:rPr>
        <w:t>חשיב כחתיכה של בשר בתוך האם</w:t>
      </w:r>
      <w:r>
        <w:rPr>
          <w:rFonts w:hint="cs"/>
          <w:rtl/>
        </w:rPr>
        <w:t>,</w:t>
      </w:r>
      <w:r w:rsidRPr="00B06D6B">
        <w:rPr>
          <w:rFonts w:hint="cs"/>
          <w:rtl/>
        </w:rPr>
        <w:t xml:space="preserve"> </w:t>
      </w:r>
      <w:r w:rsidRPr="00F2472B">
        <w:rPr>
          <w:rStyle w:val="afb"/>
          <w:rFonts w:hint="cs"/>
          <w:rtl/>
        </w:rPr>
        <w:t xml:space="preserve">[וכדמוכח מהא דעובר מת מותר בשחיטת אמו], </w:t>
      </w:r>
      <w:r w:rsidRPr="00B06D6B">
        <w:rPr>
          <w:rFonts w:hint="cs"/>
          <w:rtl/>
        </w:rPr>
        <w:t xml:space="preserve">וא"כ גם כשהאם מותרת בלא שחיטה, מותר העובר שבתוכה מדין היתר "בהמה בבהמה", וביאר </w:t>
      </w:r>
      <w:r w:rsidRPr="00B06D6B">
        <w:rPr>
          <w:rStyle w:val="af9"/>
          <w:rFonts w:hint="cs"/>
          <w:rtl/>
        </w:rPr>
        <w:t>הפרי תואר</w:t>
      </w:r>
      <w:r w:rsidRPr="00B06D6B">
        <w:rPr>
          <w:rFonts w:hint="cs"/>
          <w:rtl/>
        </w:rPr>
        <w:t xml:space="preserve"> דגדר ההיתר אינו מחמת שהאם נשחטה, אלא דכל שיש היתר באם בין מצד שחיטה או מצד אחר העובר מותר</w:t>
      </w:r>
      <w:r>
        <w:rPr>
          <w:rFonts w:hint="cs"/>
          <w:rtl/>
        </w:rPr>
        <w:t>.</w:t>
      </w:r>
      <w:bookmarkEnd w:id="18808"/>
    </w:p>
    <w:p w14:paraId="559B0B57" w14:textId="77777777" w:rsidR="003D504D" w:rsidRPr="00B06D6B" w:rsidRDefault="003D504D" w:rsidP="003D504D">
      <w:pPr>
        <w:pStyle w:val="a3"/>
        <w:rPr>
          <w:rtl/>
        </w:rPr>
      </w:pPr>
      <w:bookmarkStart w:id="18809" w:name="_Toc890740"/>
      <w:bookmarkStart w:id="18810" w:name="_Toc903134"/>
      <w:bookmarkStart w:id="18811" w:name="_Toc955505"/>
      <w:bookmarkStart w:id="18812" w:name="_Toc955798"/>
      <w:bookmarkStart w:id="18813" w:name="_Toc1039440"/>
      <w:bookmarkStart w:id="18814" w:name="_Toc1040683"/>
      <w:bookmarkStart w:id="18815" w:name="_Toc1063575"/>
      <w:bookmarkStart w:id="18816" w:name="_Toc1112007"/>
      <w:bookmarkStart w:id="18817" w:name="_Toc1123872"/>
      <w:bookmarkStart w:id="18818" w:name="_Toc19391390"/>
      <w:bookmarkStart w:id="18819" w:name="_Toc19394887"/>
      <w:r>
        <w:rPr>
          <w:rFonts w:hint="cs"/>
          <w:rtl/>
        </w:rPr>
        <w:t>הוכחת הפרי תואר דהולד אינו כשחוט בשחיטת  אמו מהא דקלוט מותר אף שאין לו היתר בשחיטה</w:t>
      </w:r>
      <w:bookmarkEnd w:id="18809"/>
      <w:bookmarkEnd w:id="18810"/>
      <w:bookmarkEnd w:id="18811"/>
      <w:bookmarkEnd w:id="18812"/>
      <w:bookmarkEnd w:id="18813"/>
      <w:bookmarkEnd w:id="18814"/>
      <w:bookmarkEnd w:id="18815"/>
      <w:bookmarkEnd w:id="18816"/>
      <w:bookmarkEnd w:id="18817"/>
      <w:bookmarkEnd w:id="18818"/>
      <w:bookmarkEnd w:id="18819"/>
    </w:p>
    <w:p w14:paraId="380EF16E" w14:textId="77777777" w:rsidR="003D504D" w:rsidRPr="00B06D6B" w:rsidRDefault="003D504D" w:rsidP="00223668">
      <w:pPr>
        <w:pStyle w:val="a0"/>
        <w:rPr>
          <w:rtl/>
        </w:rPr>
      </w:pPr>
      <w:bookmarkStart w:id="18820" w:name="_Ref889038"/>
      <w:r>
        <w:rPr>
          <w:rFonts w:hint="cs"/>
          <w:rtl/>
        </w:rPr>
        <w:t>ו</w:t>
      </w:r>
      <w:r w:rsidRPr="00B06D6B">
        <w:rPr>
          <w:rFonts w:hint="cs"/>
          <w:rtl/>
        </w:rPr>
        <w:t xml:space="preserve">הביא </w:t>
      </w:r>
      <w:r w:rsidRPr="00B06D6B">
        <w:rPr>
          <w:rStyle w:val="af9"/>
          <w:rFonts w:hint="cs"/>
          <w:rtl/>
        </w:rPr>
        <w:t>הפרי תואר</w:t>
      </w:r>
      <w:r w:rsidRPr="00B06D6B">
        <w:rPr>
          <w:rFonts w:hint="cs"/>
          <w:rtl/>
        </w:rPr>
        <w:t xml:space="preserve"> ראיה לסברתו, מהא דאף קלוט במעי פרה מותר מדין היתר "בהמה בבהמה", ואי כוונת התורה לומר דשחיטת העובר היא שחיטת אמו, א"כ קלוט אינו מותר בשחיטה, אלא מוכח דגדר היתר "בהמה בבהמה" הוא דכל בהמה שבשרה מותר באכילה, יש היתר לאכול את מה שבתוכה דהוא נדון כבשרה.</w:t>
      </w:r>
      <w:bookmarkEnd w:id="18820"/>
    </w:p>
    <w:p w14:paraId="3050E739" w14:textId="77777777" w:rsidR="003D504D" w:rsidRPr="00B06D6B" w:rsidRDefault="003D504D" w:rsidP="003D504D">
      <w:pPr>
        <w:pStyle w:val="a3"/>
        <w:rPr>
          <w:rtl/>
        </w:rPr>
      </w:pPr>
      <w:bookmarkStart w:id="18821" w:name="_Toc890741"/>
      <w:bookmarkStart w:id="18822" w:name="_Toc903135"/>
      <w:bookmarkStart w:id="18823" w:name="_Toc955506"/>
      <w:bookmarkStart w:id="18824" w:name="_Toc955799"/>
      <w:bookmarkStart w:id="18825" w:name="_Toc1039441"/>
      <w:bookmarkStart w:id="18826" w:name="_Toc1040684"/>
      <w:bookmarkStart w:id="18827" w:name="_Toc1063576"/>
      <w:bookmarkStart w:id="18828" w:name="_Toc1112008"/>
      <w:bookmarkStart w:id="18829" w:name="_Toc1123873"/>
      <w:bookmarkStart w:id="18830" w:name="_Toc19391391"/>
      <w:bookmarkStart w:id="18831" w:name="_Toc19394888"/>
      <w:r>
        <w:rPr>
          <w:rFonts w:hint="cs"/>
          <w:rtl/>
        </w:rPr>
        <w:t>ביאור הפרי תואר דכל שלא נולד סימניו הם כבשר ולא נאמר בו דין שחיטה כלל</w:t>
      </w:r>
      <w:bookmarkEnd w:id="18821"/>
      <w:bookmarkEnd w:id="18822"/>
      <w:bookmarkEnd w:id="18823"/>
      <w:bookmarkEnd w:id="18824"/>
      <w:bookmarkEnd w:id="18825"/>
      <w:bookmarkEnd w:id="18826"/>
      <w:bookmarkEnd w:id="18827"/>
      <w:bookmarkEnd w:id="18828"/>
      <w:bookmarkEnd w:id="18829"/>
      <w:bookmarkEnd w:id="18830"/>
      <w:bookmarkEnd w:id="18831"/>
    </w:p>
    <w:p w14:paraId="2AC33C84" w14:textId="77777777" w:rsidR="003D504D" w:rsidRPr="00B06D6B" w:rsidRDefault="003D504D" w:rsidP="00223668">
      <w:pPr>
        <w:pStyle w:val="a0"/>
        <w:rPr>
          <w:rtl/>
        </w:rPr>
      </w:pPr>
      <w:r w:rsidRPr="00B06D6B">
        <w:rPr>
          <w:rFonts w:hint="cs"/>
          <w:rtl/>
        </w:rPr>
        <w:t xml:space="preserve">והוסיף </w:t>
      </w:r>
      <w:r w:rsidRPr="00B06D6B">
        <w:rPr>
          <w:rStyle w:val="af9"/>
          <w:rFonts w:hint="cs"/>
          <w:rtl/>
        </w:rPr>
        <w:t>הפרי תואר</w:t>
      </w:r>
      <w:r w:rsidRPr="00B06D6B">
        <w:rPr>
          <w:rFonts w:hint="cs"/>
          <w:rtl/>
        </w:rPr>
        <w:t xml:space="preserve"> דכל שלא נולד העובר אין לו חיוב שחיטה מצד עצמו הוא נדון כבשר של אמו, ואף למ"ד דד' סימנים אכשר ביה רחמנא, היינו דוקא לאחר שיצא לאויר העולם, אבל במעי אמו אין סימניו חשיבי כסימנים כלל, אלא כאבר מאברי אמו שאין בו דין שחיטה.</w:t>
      </w:r>
    </w:p>
    <w:p w14:paraId="1EF56062" w14:textId="77777777" w:rsidR="003D504D" w:rsidRDefault="003D504D" w:rsidP="003D504D">
      <w:pPr>
        <w:pStyle w:val="a3"/>
      </w:pPr>
      <w:bookmarkStart w:id="18832" w:name="_Toc890742"/>
      <w:bookmarkStart w:id="18833" w:name="_Toc903136"/>
      <w:bookmarkStart w:id="18834" w:name="_Toc955507"/>
      <w:bookmarkStart w:id="18835" w:name="_Toc955800"/>
      <w:bookmarkStart w:id="18836" w:name="_Toc1039442"/>
      <w:bookmarkStart w:id="18837" w:name="_Toc1040685"/>
      <w:bookmarkStart w:id="18838" w:name="_Toc1063577"/>
      <w:bookmarkStart w:id="18839" w:name="_Toc1112009"/>
      <w:bookmarkStart w:id="18840" w:name="_Toc1123874"/>
      <w:bookmarkStart w:id="18841" w:name="_Toc19391392"/>
      <w:bookmarkStart w:id="18842" w:name="_Toc19394889"/>
      <w:r>
        <w:rPr>
          <w:rFonts w:hint="cs"/>
          <w:rtl/>
        </w:rPr>
        <w:t>דברי הפרמ"ג דלהפרי תואר והתבו"ש אף בנקרעה הבת פקועה מותר הולד שבתוכה</w:t>
      </w:r>
      <w:bookmarkEnd w:id="18832"/>
      <w:bookmarkEnd w:id="18833"/>
      <w:bookmarkEnd w:id="18834"/>
      <w:bookmarkEnd w:id="18835"/>
      <w:bookmarkEnd w:id="18836"/>
      <w:bookmarkEnd w:id="18837"/>
      <w:bookmarkEnd w:id="18838"/>
      <w:bookmarkEnd w:id="18839"/>
      <w:bookmarkEnd w:id="18840"/>
      <w:bookmarkEnd w:id="18841"/>
      <w:bookmarkEnd w:id="18842"/>
    </w:p>
    <w:p w14:paraId="467F4D91" w14:textId="77777777" w:rsidR="003D504D" w:rsidRDefault="003D504D" w:rsidP="00223668">
      <w:pPr>
        <w:pStyle w:val="a0"/>
        <w:rPr>
          <w:rtl/>
        </w:rPr>
      </w:pPr>
      <w:r w:rsidRPr="00B06D6B">
        <w:rPr>
          <w:rFonts w:hint="cs"/>
          <w:rtl/>
        </w:rPr>
        <w:t xml:space="preserve">וכתב </w:t>
      </w:r>
      <w:r w:rsidRPr="00B06D6B">
        <w:rPr>
          <w:rStyle w:val="af9"/>
          <w:rFonts w:hint="cs"/>
          <w:rtl/>
        </w:rPr>
        <w:t>הפרמ"ג</w:t>
      </w:r>
      <w:r w:rsidRPr="00B06D6B">
        <w:rPr>
          <w:rFonts w:hint="cs"/>
          <w:rtl/>
        </w:rPr>
        <w:t xml:space="preserve"> </w:t>
      </w:r>
      <w:r w:rsidRPr="004304CE">
        <w:rPr>
          <w:rStyle w:val="af7"/>
          <w:rFonts w:eastAsia="Guttman Hodes" w:hint="cs"/>
          <w:rtl/>
        </w:rPr>
        <w:t xml:space="preserve">(סי' י"ג שפ"ד סקי"ד) </w:t>
      </w:r>
      <w:r w:rsidRPr="00B06D6B">
        <w:rPr>
          <w:rFonts w:hint="cs"/>
          <w:rtl/>
        </w:rPr>
        <w:t xml:space="preserve">דלפי דברי </w:t>
      </w:r>
      <w:r w:rsidRPr="00B06D6B">
        <w:rPr>
          <w:rStyle w:val="af9"/>
          <w:rFonts w:hint="cs"/>
          <w:rtl/>
        </w:rPr>
        <w:t>התבואות שור והפרי תואר</w:t>
      </w:r>
      <w:r w:rsidRPr="00B06D6B">
        <w:rPr>
          <w:rFonts w:hint="cs"/>
          <w:rtl/>
        </w:rPr>
        <w:t xml:space="preserve"> דההיתר הוא דכל מה שנמצא בבהמה מותר באכילה, א"כ אף אם האם הבת פקועה לא נשחטה, אלא אפילו </w:t>
      </w:r>
      <w:r>
        <w:rPr>
          <w:rFonts w:hint="cs"/>
          <w:rtl/>
        </w:rPr>
        <w:t>מתה</w:t>
      </w:r>
      <w:r w:rsidRPr="00B06D6B">
        <w:rPr>
          <w:rFonts w:hint="cs"/>
          <w:rtl/>
        </w:rPr>
        <w:t xml:space="preserve"> וקרעה ומצא בה ולד מותר, דכל שלא נולד כדרך הנולדים הוא מותר.</w:t>
      </w:r>
    </w:p>
    <w:p w14:paraId="1CCF95D6" w14:textId="77777777" w:rsidR="003D504D" w:rsidRPr="00B06D6B" w:rsidRDefault="003D504D" w:rsidP="003D504D">
      <w:pPr>
        <w:pStyle w:val="a3"/>
        <w:rPr>
          <w:rtl/>
        </w:rPr>
      </w:pPr>
      <w:bookmarkStart w:id="18843" w:name="_Toc890743"/>
      <w:bookmarkStart w:id="18844" w:name="_Toc903137"/>
      <w:bookmarkStart w:id="18845" w:name="_Toc955508"/>
      <w:bookmarkStart w:id="18846" w:name="_Toc955801"/>
      <w:bookmarkStart w:id="18847" w:name="_Toc1039443"/>
      <w:bookmarkStart w:id="18848" w:name="_Toc1040686"/>
      <w:bookmarkStart w:id="18849" w:name="_Toc1063578"/>
      <w:bookmarkStart w:id="18850" w:name="_Toc1112010"/>
      <w:bookmarkStart w:id="18851" w:name="_Toc1123875"/>
      <w:bookmarkStart w:id="18852" w:name="_Toc19391393"/>
      <w:bookmarkStart w:id="18853" w:name="_Toc19394890"/>
      <w:r>
        <w:rPr>
          <w:rFonts w:hint="cs"/>
          <w:rtl/>
        </w:rPr>
        <w:t>דברי התבו"ש והפרמ"ג דלהלכה אין להקל דמשמע דהיתר בן פקועה הוא רק כשאמו צריכה שחיטה</w:t>
      </w:r>
      <w:bookmarkEnd w:id="18843"/>
      <w:bookmarkEnd w:id="18844"/>
      <w:bookmarkEnd w:id="18845"/>
      <w:bookmarkEnd w:id="18846"/>
      <w:bookmarkEnd w:id="18847"/>
      <w:bookmarkEnd w:id="18848"/>
      <w:bookmarkEnd w:id="18849"/>
      <w:bookmarkEnd w:id="18850"/>
      <w:bookmarkEnd w:id="18851"/>
      <w:bookmarkEnd w:id="18852"/>
      <w:bookmarkEnd w:id="18853"/>
    </w:p>
    <w:p w14:paraId="62B3E445" w14:textId="77777777" w:rsidR="003D504D" w:rsidRPr="00B06D6B" w:rsidRDefault="003D504D" w:rsidP="00223668">
      <w:pPr>
        <w:pStyle w:val="a0"/>
        <w:rPr>
          <w:rtl/>
        </w:rPr>
      </w:pPr>
      <w:r w:rsidRPr="00DE3EFB">
        <w:rPr>
          <w:rFonts w:hint="cs"/>
          <w:rtl/>
        </w:rPr>
        <w:t xml:space="preserve">אך לדינא כתב </w:t>
      </w:r>
      <w:r w:rsidRPr="00DE3EFB">
        <w:rPr>
          <w:rStyle w:val="af9"/>
          <w:rFonts w:hint="cs"/>
          <w:rtl/>
        </w:rPr>
        <w:t>התבו"ש</w:t>
      </w:r>
      <w:r w:rsidRPr="00DE3EFB">
        <w:rPr>
          <w:rFonts w:hint="cs"/>
          <w:rtl/>
        </w:rPr>
        <w:t xml:space="preserve"> </w:t>
      </w:r>
      <w:r w:rsidRPr="004304CE">
        <w:rPr>
          <w:rStyle w:val="af7"/>
          <w:rFonts w:eastAsia="Guttman Hodes" w:hint="cs"/>
          <w:rtl/>
        </w:rPr>
        <w:t>(סי' י"ג סקי"ז)</w:t>
      </w:r>
      <w:r w:rsidRPr="00B06D6B">
        <w:rPr>
          <w:rFonts w:hint="cs"/>
          <w:rtl/>
        </w:rPr>
        <w:t xml:space="preserve"> </w:t>
      </w:r>
      <w:r w:rsidRPr="00DE3EFB">
        <w:rPr>
          <w:rFonts w:hint="cs"/>
          <w:rtl/>
        </w:rPr>
        <w:t xml:space="preserve">דאין להקל </w:t>
      </w:r>
      <w:r>
        <w:rPr>
          <w:rFonts w:hint="cs"/>
          <w:rtl/>
        </w:rPr>
        <w:t xml:space="preserve">ולהתיר את הולד במעי הבת פקועה, </w:t>
      </w:r>
      <w:r w:rsidRPr="00DE3EFB">
        <w:rPr>
          <w:rFonts w:hint="cs"/>
          <w:rtl/>
        </w:rPr>
        <w:t>כיון דלשון הגמ' בכמה מקומות, משמע דההיתר הוא בשחיטת האם, עיי"</w:t>
      </w:r>
      <w:r w:rsidRPr="00B06D6B">
        <w:rPr>
          <w:rFonts w:hint="cs"/>
          <w:rtl/>
        </w:rPr>
        <w:t xml:space="preserve">ש בדבריו, והוסיף </w:t>
      </w:r>
      <w:r w:rsidRPr="00B06D6B">
        <w:rPr>
          <w:rStyle w:val="af9"/>
          <w:rFonts w:hint="cs"/>
          <w:rtl/>
        </w:rPr>
        <w:t>התבו"ש</w:t>
      </w:r>
      <w:r w:rsidRPr="00B06D6B">
        <w:rPr>
          <w:rFonts w:hint="cs"/>
          <w:rtl/>
        </w:rPr>
        <w:t xml:space="preserve"> דכן מבואר בדברי </w:t>
      </w:r>
      <w:r w:rsidRPr="00B06D6B">
        <w:rPr>
          <w:rStyle w:val="af9"/>
          <w:rFonts w:hint="cs"/>
          <w:rtl/>
        </w:rPr>
        <w:t>הרשב"א בחי' לקמן</w:t>
      </w:r>
      <w:r w:rsidRPr="00B06D6B">
        <w:rPr>
          <w:rFonts w:hint="cs"/>
          <w:rtl/>
        </w:rPr>
        <w:t xml:space="preserve"> </w:t>
      </w:r>
      <w:r w:rsidRPr="004304CE">
        <w:rPr>
          <w:rStyle w:val="af7"/>
          <w:rFonts w:eastAsia="Guttman Hodes" w:hint="cs"/>
          <w:rtl/>
        </w:rPr>
        <w:t xml:space="preserve">(פה:) </w:t>
      </w:r>
      <w:r w:rsidRPr="00B06D6B">
        <w:rPr>
          <w:rStyle w:val="af9"/>
          <w:rFonts w:hint="cs"/>
          <w:rtl/>
        </w:rPr>
        <w:t>ובתוה"ב</w:t>
      </w:r>
      <w:r w:rsidRPr="00B06D6B">
        <w:rPr>
          <w:rFonts w:hint="cs"/>
          <w:rtl/>
        </w:rPr>
        <w:t xml:space="preserve"> </w:t>
      </w:r>
      <w:r w:rsidRPr="004304CE">
        <w:rPr>
          <w:rStyle w:val="af7"/>
          <w:rFonts w:eastAsia="Guttman Hodes" w:hint="cs"/>
          <w:rtl/>
        </w:rPr>
        <w:t>(ב"ב ש"ה דף ז. מדה"ס)</w:t>
      </w:r>
      <w:r w:rsidRPr="00B06D6B">
        <w:rPr>
          <w:rFonts w:hint="cs"/>
          <w:rtl/>
        </w:rPr>
        <w:t xml:space="preserve"> דביאר אמאי אין שחיטת הטריפה מהני לעובר, ומשמע מדבריו דההיתר הוא ע"י שחיטת האם, והוסיף </w:t>
      </w:r>
      <w:r w:rsidRPr="00B06D6B">
        <w:rPr>
          <w:rStyle w:val="af9"/>
          <w:rFonts w:hint="cs"/>
          <w:rtl/>
        </w:rPr>
        <w:t>התבו"ש</w:t>
      </w:r>
      <w:r w:rsidRPr="00B06D6B">
        <w:rPr>
          <w:rFonts w:hint="cs"/>
          <w:rtl/>
        </w:rPr>
        <w:t xml:space="preserve"> דכן מבואר בגמ' בתמורה </w:t>
      </w:r>
      <w:r w:rsidRPr="004304CE">
        <w:rPr>
          <w:rStyle w:val="af7"/>
          <w:rFonts w:eastAsia="Guttman Hodes" w:hint="cs"/>
          <w:rtl/>
        </w:rPr>
        <w:t>(יב.)</w:t>
      </w:r>
      <w:r>
        <w:rPr>
          <w:rFonts w:hint="cs"/>
          <w:rtl/>
        </w:rPr>
        <w:t xml:space="preserve">, וכ"כ </w:t>
      </w:r>
      <w:r w:rsidRPr="00B06D6B">
        <w:rPr>
          <w:rStyle w:val="af9"/>
          <w:rFonts w:hint="cs"/>
          <w:rtl/>
        </w:rPr>
        <w:t>הפרמ"ג</w:t>
      </w:r>
      <w:r w:rsidRPr="00B06D6B">
        <w:rPr>
          <w:rFonts w:hint="cs"/>
          <w:rtl/>
        </w:rPr>
        <w:t xml:space="preserve"> </w:t>
      </w:r>
      <w:r w:rsidRPr="004304CE">
        <w:rPr>
          <w:rStyle w:val="af7"/>
          <w:rFonts w:eastAsia="Guttman Hodes" w:hint="cs"/>
          <w:rtl/>
        </w:rPr>
        <w:t>(סי' י"ג שפ"ד סקי"ד)</w:t>
      </w:r>
      <w:r w:rsidRPr="00F921EA">
        <w:rPr>
          <w:rFonts w:hint="cs"/>
          <w:rtl/>
        </w:rPr>
        <w:t xml:space="preserve"> </w:t>
      </w:r>
      <w:r w:rsidRPr="00B06D6B">
        <w:rPr>
          <w:rFonts w:hint="cs"/>
          <w:rtl/>
        </w:rPr>
        <w:t>דלהלכה אין להקל</w:t>
      </w:r>
      <w:r>
        <w:rPr>
          <w:rFonts w:hint="cs"/>
          <w:rtl/>
        </w:rPr>
        <w:t xml:space="preserve"> כיון ש</w:t>
      </w:r>
      <w:r w:rsidRPr="00B06D6B">
        <w:rPr>
          <w:rFonts w:hint="cs"/>
          <w:rtl/>
        </w:rPr>
        <w:t>הוא דין דאו'.</w:t>
      </w:r>
    </w:p>
    <w:p w14:paraId="2A490761" w14:textId="77777777" w:rsidR="003D504D" w:rsidRPr="00B06D6B" w:rsidRDefault="003D504D" w:rsidP="003D504D">
      <w:pPr>
        <w:pStyle w:val="a3"/>
      </w:pPr>
      <w:bookmarkStart w:id="18854" w:name="_Toc890744"/>
      <w:bookmarkStart w:id="18855" w:name="_Toc903138"/>
      <w:bookmarkStart w:id="18856" w:name="_Toc955509"/>
      <w:bookmarkStart w:id="18857" w:name="_Toc955802"/>
      <w:bookmarkStart w:id="18858" w:name="_Toc1039444"/>
      <w:bookmarkStart w:id="18859" w:name="_Toc1040687"/>
      <w:bookmarkStart w:id="18860" w:name="_Toc1063579"/>
      <w:bookmarkStart w:id="18861" w:name="_Toc1112011"/>
      <w:bookmarkStart w:id="18862" w:name="_Toc1123876"/>
      <w:bookmarkStart w:id="18863" w:name="_Toc19391394"/>
      <w:bookmarkStart w:id="18864" w:name="_Toc19394891"/>
      <w:bookmarkStart w:id="18865" w:name="_Toc536775933"/>
      <w:bookmarkStart w:id="18866" w:name="_Toc536775962"/>
      <w:bookmarkStart w:id="18867" w:name="_Toc536786972"/>
      <w:r>
        <w:rPr>
          <w:rFonts w:hint="cs"/>
          <w:rtl/>
        </w:rPr>
        <w:t>דברי הפרי תואר דאפשר לסמוך בזה על דעת רש"י והריף והרמב"ם דלא קיי"ל כרב משרשיא</w:t>
      </w:r>
      <w:bookmarkEnd w:id="18854"/>
      <w:bookmarkEnd w:id="18855"/>
      <w:bookmarkEnd w:id="18856"/>
      <w:bookmarkEnd w:id="18857"/>
      <w:bookmarkEnd w:id="18858"/>
      <w:bookmarkEnd w:id="18859"/>
      <w:bookmarkEnd w:id="18860"/>
      <w:bookmarkEnd w:id="18861"/>
      <w:bookmarkEnd w:id="18862"/>
      <w:bookmarkEnd w:id="18863"/>
      <w:bookmarkEnd w:id="18864"/>
    </w:p>
    <w:p w14:paraId="4EACE5AF" w14:textId="77777777" w:rsidR="003D504D" w:rsidRDefault="003D504D" w:rsidP="00223668">
      <w:pPr>
        <w:pStyle w:val="a0"/>
        <w:rPr>
          <w:rtl/>
        </w:rPr>
      </w:pPr>
      <w:bookmarkStart w:id="18868" w:name="_Ref889118"/>
      <w:r>
        <w:rPr>
          <w:rFonts w:hint="cs"/>
          <w:rtl/>
        </w:rPr>
        <w:t xml:space="preserve">אבל </w:t>
      </w:r>
      <w:r w:rsidRPr="00B06D6B">
        <w:rPr>
          <w:rStyle w:val="af9"/>
          <w:rtl/>
        </w:rPr>
        <w:t>הפרי תואר [לבעל האוה"ח]</w:t>
      </w:r>
      <w:r w:rsidRPr="00747DF0">
        <w:rPr>
          <w:rFonts w:hint="cs"/>
          <w:b/>
          <w:bCs/>
          <w:rtl/>
        </w:rPr>
        <w:t xml:space="preserve"> </w:t>
      </w:r>
      <w:r w:rsidRPr="004304CE">
        <w:rPr>
          <w:rStyle w:val="af7"/>
          <w:rFonts w:eastAsia="Guttman Hodes" w:hint="cs"/>
          <w:rtl/>
        </w:rPr>
        <w:t>(</w:t>
      </w:r>
      <w:r w:rsidRPr="00747DF0">
        <w:rPr>
          <w:vertAlign w:val="superscript"/>
          <w:rtl/>
        </w:rPr>
        <w:fldChar w:fldCharType="begin"/>
      </w:r>
      <w:r w:rsidRPr="00747DF0">
        <w:rPr>
          <w:vertAlign w:val="superscript"/>
          <w:rtl/>
        </w:rPr>
        <w:instrText xml:space="preserve"> </w:instrText>
      </w:r>
      <w:r w:rsidRPr="00747DF0">
        <w:rPr>
          <w:rFonts w:hint="cs"/>
          <w:vertAlign w:val="superscript"/>
        </w:rPr>
        <w:instrText>NOTEREF</w:instrText>
      </w:r>
      <w:r w:rsidRPr="00747DF0">
        <w:rPr>
          <w:rFonts w:hint="cs"/>
          <w:vertAlign w:val="superscript"/>
          <w:rtl/>
        </w:rPr>
        <w:instrText xml:space="preserve"> _</w:instrText>
      </w:r>
      <w:r w:rsidRPr="00747DF0">
        <w:rPr>
          <w:rFonts w:hint="cs"/>
          <w:vertAlign w:val="superscript"/>
        </w:rPr>
        <w:instrText>Ref536786989 \h</w:instrText>
      </w:r>
      <w:r w:rsidRPr="00747DF0">
        <w:rPr>
          <w:vertAlign w:val="superscript"/>
          <w:rtl/>
        </w:rPr>
        <w:instrText xml:space="preserve">  \* </w:instrText>
      </w:r>
      <w:r w:rsidRPr="00747DF0">
        <w:rPr>
          <w:vertAlign w:val="superscript"/>
        </w:rPr>
        <w:instrText>MERGEFORMAT</w:instrText>
      </w:r>
      <w:r w:rsidRPr="00747DF0">
        <w:rPr>
          <w:vertAlign w:val="superscript"/>
          <w:rtl/>
        </w:rPr>
        <w:instrText xml:space="preserve"> </w:instrText>
      </w:r>
      <w:r w:rsidRPr="00747DF0">
        <w:rPr>
          <w:vertAlign w:val="superscript"/>
          <w:rtl/>
        </w:rPr>
      </w:r>
      <w:r w:rsidRPr="00747DF0">
        <w:rPr>
          <w:vertAlign w:val="superscript"/>
          <w:rtl/>
        </w:rPr>
        <w:fldChar w:fldCharType="separate"/>
      </w:r>
      <w:r w:rsidR="00345400">
        <w:rPr>
          <w:vertAlign w:val="superscript"/>
          <w:rtl/>
        </w:rPr>
        <w:t>114</w:t>
      </w:r>
      <w:r w:rsidRPr="00747DF0">
        <w:rPr>
          <w:vertAlign w:val="superscript"/>
          <w:rtl/>
        </w:rPr>
        <w:fldChar w:fldCharType="end"/>
      </w:r>
      <w:r w:rsidRPr="004304CE">
        <w:rPr>
          <w:rStyle w:val="af7"/>
          <w:rFonts w:eastAsia="Guttman Hodes" w:hint="cs"/>
          <w:rtl/>
        </w:rPr>
        <w:t>סי' י"ג סוס"ק י"ב)</w:t>
      </w:r>
      <w:r w:rsidRPr="00B06D6B">
        <w:rPr>
          <w:rFonts w:hint="cs"/>
          <w:rtl/>
        </w:rPr>
        <w:t xml:space="preserve"> </w:t>
      </w:r>
      <w:r>
        <w:rPr>
          <w:rFonts w:hint="cs"/>
          <w:rtl/>
        </w:rPr>
        <w:t xml:space="preserve">פסק כדעת </w:t>
      </w:r>
      <w:r w:rsidRPr="00EE2E3D">
        <w:rPr>
          <w:rStyle w:val="af9"/>
          <w:rFonts w:hint="cs"/>
          <w:rtl/>
        </w:rPr>
        <w:t>הב"ח</w:t>
      </w:r>
      <w:r>
        <w:rPr>
          <w:rFonts w:hint="cs"/>
          <w:rtl/>
        </w:rPr>
        <w:t xml:space="preserve"> ד</w:t>
      </w:r>
      <w:r w:rsidRPr="004D0FE0">
        <w:rPr>
          <w:rFonts w:hint="cs"/>
          <w:rtl/>
        </w:rPr>
        <w:t xml:space="preserve">כיון </w:t>
      </w:r>
      <w:r w:rsidRPr="004D0FE0">
        <w:rPr>
          <w:rStyle w:val="af9"/>
          <w:rFonts w:hint="cs"/>
          <w:rtl/>
        </w:rPr>
        <w:t>דרש"י לקמן</w:t>
      </w:r>
      <w:r w:rsidRPr="004D0FE0">
        <w:rPr>
          <w:rFonts w:hint="cs"/>
          <w:rtl/>
        </w:rPr>
        <w:t xml:space="preserve"> </w:t>
      </w:r>
      <w:r w:rsidRPr="004304CE">
        <w:rPr>
          <w:rStyle w:val="af7"/>
          <w:rFonts w:eastAsia="Guttman Hodes" w:hint="cs"/>
          <w:rtl/>
        </w:rPr>
        <w:t xml:space="preserve">(עי' אות </w:t>
      </w:r>
      <w:r w:rsidRPr="004D0FE0">
        <w:rPr>
          <w:rStyle w:val="af7"/>
          <w:rFonts w:eastAsia="Guttman Hodes"/>
          <w:rtl/>
        </w:rPr>
        <w:fldChar w:fldCharType="begin"/>
      </w:r>
      <w:r w:rsidRPr="004D0FE0">
        <w:rPr>
          <w:rStyle w:val="af7"/>
          <w:rFonts w:eastAsia="Guttman Hodes"/>
          <w:rtl/>
        </w:rPr>
        <w:instrText xml:space="preserve"> </w:instrText>
      </w:r>
      <w:r w:rsidRPr="004D0FE0">
        <w:rPr>
          <w:rStyle w:val="af7"/>
          <w:rFonts w:eastAsia="Guttman Hodes" w:hint="cs"/>
        </w:rPr>
        <w:instrText>REF</w:instrText>
      </w:r>
      <w:r w:rsidRPr="004D0FE0">
        <w:rPr>
          <w:rStyle w:val="af7"/>
          <w:rFonts w:eastAsia="Guttman Hodes" w:hint="cs"/>
          <w:rtl/>
        </w:rPr>
        <w:instrText xml:space="preserve"> _</w:instrText>
      </w:r>
      <w:r w:rsidRPr="004D0FE0">
        <w:rPr>
          <w:rStyle w:val="af7"/>
          <w:rFonts w:eastAsia="Guttman Hodes" w:hint="cs"/>
        </w:rPr>
        <w:instrText>Ref536786986 \r \h</w:instrText>
      </w:r>
      <w:r w:rsidRPr="004D0FE0">
        <w:rPr>
          <w:rStyle w:val="af7"/>
          <w:rFonts w:eastAsia="Guttman Hodes"/>
          <w:rtl/>
        </w:rPr>
        <w:instrText xml:space="preserve">  \* </w:instrText>
      </w:r>
      <w:r w:rsidRPr="004D0FE0">
        <w:rPr>
          <w:rStyle w:val="af7"/>
          <w:rFonts w:eastAsia="Guttman Hodes"/>
        </w:rPr>
        <w:instrText>MERGEFORMAT</w:instrText>
      </w:r>
      <w:r w:rsidRPr="004D0FE0">
        <w:rPr>
          <w:rStyle w:val="af7"/>
          <w:rFonts w:eastAsia="Guttman Hodes"/>
          <w:rtl/>
        </w:rPr>
        <w:instrText xml:space="preserve"> </w:instrText>
      </w:r>
      <w:r w:rsidRPr="004D0FE0">
        <w:rPr>
          <w:rStyle w:val="af7"/>
          <w:rFonts w:eastAsia="Guttman Hodes"/>
          <w:rtl/>
        </w:rPr>
      </w:r>
      <w:r w:rsidRPr="004D0FE0">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4D0FE0">
        <w:rPr>
          <w:rStyle w:val="af7"/>
          <w:rFonts w:eastAsia="Guttman Hodes"/>
          <w:rtl/>
        </w:rPr>
        <w:fldChar w:fldCharType="end"/>
      </w:r>
      <w:r w:rsidRPr="004D0FE0">
        <w:rPr>
          <w:rFonts w:hint="cs"/>
          <w:rtl/>
        </w:rPr>
        <w:t xml:space="preserve"> כתב דדברי רב משרשיא הם דלא כמ"ד דד' סימנים אכשר ביה רחמנא, וא"כ לדידן דקיי"ל דד' סימנים אכשר ביה רחמנא, א"כ אף ולד של בן פקועה ובהמה מעלמא</w:t>
      </w:r>
      <w:r>
        <w:rPr>
          <w:rFonts w:hint="cs"/>
          <w:rtl/>
        </w:rPr>
        <w:t>,</w:t>
      </w:r>
      <w:r w:rsidRPr="004D0FE0">
        <w:rPr>
          <w:rFonts w:hint="cs"/>
          <w:rtl/>
        </w:rPr>
        <w:t xml:space="preserve"> </w:t>
      </w:r>
      <w:r w:rsidRPr="00C74DAE">
        <w:rPr>
          <w:rStyle w:val="afb"/>
          <w:rFonts w:hint="cs"/>
          <w:rtl/>
        </w:rPr>
        <w:t>[בין כשהאב בן פקועה ובין כשהאם בת פקועה],</w:t>
      </w:r>
      <w:r w:rsidRPr="004D0FE0">
        <w:rPr>
          <w:rFonts w:hint="cs"/>
          <w:rtl/>
        </w:rPr>
        <w:t xml:space="preserve"> סימניו כשלמים ומותר בשחיטת עצמו, וכתב </w:t>
      </w:r>
      <w:r w:rsidRPr="00C74DAE">
        <w:rPr>
          <w:rStyle w:val="af9"/>
          <w:rFonts w:hint="cs"/>
          <w:rtl/>
        </w:rPr>
        <w:t>הפרי תואר</w:t>
      </w:r>
      <w:r w:rsidRPr="004D0FE0">
        <w:rPr>
          <w:rFonts w:hint="cs"/>
          <w:rtl/>
        </w:rPr>
        <w:t xml:space="preserve"> דכיון </w:t>
      </w:r>
      <w:r w:rsidRPr="00C74DAE">
        <w:rPr>
          <w:rStyle w:val="af9"/>
          <w:rFonts w:hint="cs"/>
          <w:rtl/>
        </w:rPr>
        <w:t>דהרי"ף והרמב"ם</w:t>
      </w:r>
      <w:r w:rsidRPr="004D0FE0">
        <w:rPr>
          <w:rFonts w:hint="cs"/>
          <w:rtl/>
        </w:rPr>
        <w:t xml:space="preserve"> השמיטו את דברי רב משרשיא, ו</w:t>
      </w:r>
      <w:r>
        <w:rPr>
          <w:rFonts w:hint="cs"/>
          <w:rtl/>
        </w:rPr>
        <w:t xml:space="preserve">ביארו </w:t>
      </w:r>
      <w:r w:rsidRPr="00E90513">
        <w:rPr>
          <w:rStyle w:val="af9"/>
          <w:rFonts w:hint="cs"/>
          <w:rtl/>
        </w:rPr>
        <w:t>האחרונים</w:t>
      </w:r>
      <w:r>
        <w:rPr>
          <w:rFonts w:hint="cs"/>
          <w:rtl/>
        </w:rPr>
        <w:t xml:space="preserve"> </w:t>
      </w:r>
      <w:r w:rsidRPr="004304CE">
        <w:rPr>
          <w:rStyle w:val="af7"/>
          <w:rFonts w:eastAsia="Guttman Hodes" w:hint="cs"/>
          <w:rtl/>
        </w:rPr>
        <w:t xml:space="preserve">(עי' אות </w:t>
      </w:r>
      <w:r w:rsidRPr="00E90513">
        <w:rPr>
          <w:rStyle w:val="af7"/>
          <w:rFonts w:eastAsia="Guttman Hodes"/>
          <w:rtl/>
        </w:rPr>
        <w:fldChar w:fldCharType="begin"/>
      </w:r>
      <w:r w:rsidRPr="00E90513">
        <w:rPr>
          <w:rStyle w:val="af7"/>
          <w:rFonts w:eastAsia="Guttman Hodes"/>
          <w:rtl/>
        </w:rPr>
        <w:instrText xml:space="preserve"> </w:instrText>
      </w:r>
      <w:r w:rsidRPr="00E90513">
        <w:rPr>
          <w:rStyle w:val="af7"/>
          <w:rFonts w:eastAsia="Guttman Hodes" w:hint="cs"/>
        </w:rPr>
        <w:instrText>REF</w:instrText>
      </w:r>
      <w:r w:rsidRPr="00E90513">
        <w:rPr>
          <w:rStyle w:val="af7"/>
          <w:rFonts w:eastAsia="Guttman Hodes" w:hint="cs"/>
          <w:rtl/>
        </w:rPr>
        <w:instrText xml:space="preserve"> _</w:instrText>
      </w:r>
      <w:r w:rsidRPr="00E90513">
        <w:rPr>
          <w:rStyle w:val="af7"/>
          <w:rFonts w:eastAsia="Guttman Hodes" w:hint="cs"/>
        </w:rPr>
        <w:instrText>Ref889024 \r \h</w:instrText>
      </w:r>
      <w:r w:rsidRPr="00E90513">
        <w:rPr>
          <w:rStyle w:val="af7"/>
          <w:rFonts w:eastAsia="Guttman Hodes"/>
          <w:rtl/>
        </w:rPr>
        <w:instrText xml:space="preserve"> </w:instrText>
      </w:r>
      <w:r w:rsidRPr="00E90513">
        <w:rPr>
          <w:rStyle w:val="af7"/>
          <w:rFonts w:eastAsia="Guttman Hodes"/>
          <w:rtl/>
        </w:rPr>
      </w:r>
      <w:r w:rsidRPr="00E90513">
        <w:rPr>
          <w:rStyle w:val="af7"/>
          <w:rFonts w:eastAsia="Guttman Hodes"/>
          <w:rtl/>
        </w:rPr>
        <w:fldChar w:fldCharType="separate"/>
      </w:r>
      <w:r w:rsidR="00345400">
        <w:rPr>
          <w:rStyle w:val="af7"/>
          <w:rFonts w:eastAsia="Guttman Hodes"/>
          <w:cs/>
        </w:rPr>
        <w:t>‎</w:t>
      </w:r>
      <w:r w:rsidR="00345400">
        <w:rPr>
          <w:rStyle w:val="af7"/>
          <w:rFonts w:eastAsia="Guttman Hodes"/>
          <w:rtl/>
        </w:rPr>
        <w:t>יט)</w:t>
      </w:r>
      <w:r w:rsidRPr="00E90513">
        <w:rPr>
          <w:rStyle w:val="af7"/>
          <w:rFonts w:eastAsia="Guttman Hodes"/>
          <w:rtl/>
        </w:rPr>
        <w:fldChar w:fldCharType="end"/>
      </w:r>
      <w:r>
        <w:rPr>
          <w:rFonts w:hint="cs"/>
          <w:rtl/>
        </w:rPr>
        <w:t xml:space="preserve"> </w:t>
      </w:r>
      <w:r w:rsidRPr="004D0FE0">
        <w:rPr>
          <w:rFonts w:hint="cs"/>
          <w:rtl/>
        </w:rPr>
        <w:t xml:space="preserve">דס"ל </w:t>
      </w:r>
      <w:r w:rsidRPr="0082494F">
        <w:rPr>
          <w:rStyle w:val="af9"/>
          <w:rFonts w:hint="cs"/>
          <w:rtl/>
        </w:rPr>
        <w:t>כרש"י</w:t>
      </w:r>
      <w:r w:rsidRPr="004D0FE0">
        <w:rPr>
          <w:rFonts w:hint="cs"/>
          <w:rtl/>
        </w:rPr>
        <w:t xml:space="preserve">, א"כ להלכה בבהמה בעלמא שבא על בת פקועה, </w:t>
      </w:r>
      <w:r>
        <w:rPr>
          <w:rFonts w:hint="cs"/>
          <w:rtl/>
        </w:rPr>
        <w:t xml:space="preserve">ונמצא הולד במעיה, </w:t>
      </w:r>
      <w:r w:rsidRPr="004D0FE0">
        <w:rPr>
          <w:rFonts w:hint="cs"/>
          <w:rtl/>
        </w:rPr>
        <w:t xml:space="preserve">אפשר לסמוך להתיר או </w:t>
      </w:r>
      <w:r>
        <w:rPr>
          <w:rFonts w:hint="cs"/>
          <w:rtl/>
        </w:rPr>
        <w:t xml:space="preserve">מכח הסברא שביאר </w:t>
      </w:r>
      <w:r w:rsidRPr="00E90513">
        <w:rPr>
          <w:rStyle w:val="af9"/>
          <w:rFonts w:hint="cs"/>
          <w:rtl/>
        </w:rPr>
        <w:t xml:space="preserve">הפרי תואר </w:t>
      </w:r>
      <w:r w:rsidRPr="004304CE">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Ref889090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Pr>
          <w:rStyle w:val="af7"/>
          <w:rFonts w:eastAsia="Guttman Hodes"/>
          <w:rtl/>
        </w:rPr>
        <w:fldChar w:fldCharType="end"/>
      </w:r>
      <w:r w:rsidRPr="004304CE">
        <w:rPr>
          <w:rStyle w:val="af7"/>
          <w:rFonts w:eastAsia="Guttman Hodes" w:hint="cs"/>
          <w:rtl/>
        </w:rPr>
        <w:t xml:space="preserve"> </w:t>
      </w:r>
      <w:r>
        <w:rPr>
          <w:rFonts w:hint="cs"/>
          <w:rtl/>
        </w:rPr>
        <w:t>דהולד</w:t>
      </w:r>
      <w:r w:rsidRPr="004D0FE0">
        <w:rPr>
          <w:rFonts w:hint="cs"/>
          <w:rtl/>
        </w:rPr>
        <w:t xml:space="preserve"> מותר כבשר, או כדעת </w:t>
      </w:r>
      <w:r w:rsidRPr="00EE2E3D">
        <w:rPr>
          <w:rStyle w:val="af9"/>
          <w:rFonts w:hint="cs"/>
          <w:rtl/>
        </w:rPr>
        <w:t>הרי"ף והרמב"ם ורש"י</w:t>
      </w:r>
      <w:r w:rsidRPr="004D0FE0">
        <w:rPr>
          <w:rFonts w:hint="cs"/>
          <w:rtl/>
        </w:rPr>
        <w:t xml:space="preserve"> דהוא מותר בשחיטת עצמו.</w:t>
      </w:r>
      <w:bookmarkEnd w:id="18868"/>
    </w:p>
    <w:p w14:paraId="59F4556C" w14:textId="77777777" w:rsidR="003D504D" w:rsidRDefault="003D504D" w:rsidP="003D504D">
      <w:pPr>
        <w:pStyle w:val="afe"/>
        <w:rPr>
          <w:rtl/>
        </w:rPr>
      </w:pPr>
      <w:bookmarkStart w:id="18869" w:name="_Toc1039445"/>
      <w:bookmarkStart w:id="18870" w:name="_Toc1040688"/>
      <w:bookmarkStart w:id="18871" w:name="_Toc1063580"/>
      <w:bookmarkStart w:id="18872" w:name="_Toc1112012"/>
      <w:bookmarkStart w:id="18873" w:name="_Toc1123877"/>
      <w:bookmarkStart w:id="18874" w:name="_Toc19436138"/>
      <w:bookmarkStart w:id="18875" w:name="_Toc20081319"/>
      <w:bookmarkStart w:id="18876" w:name="_Toc725023"/>
      <w:bookmarkStart w:id="18877" w:name="_Toc773566"/>
      <w:bookmarkStart w:id="18878" w:name="_Toc955836"/>
      <w:r>
        <w:rPr>
          <w:rFonts w:hint="cs"/>
          <w:rtl/>
        </w:rPr>
        <w:t>בגדר דין הולד שאין לו תקנה</w:t>
      </w:r>
      <w:bookmarkEnd w:id="18869"/>
      <w:bookmarkEnd w:id="18870"/>
      <w:bookmarkEnd w:id="18871"/>
      <w:bookmarkEnd w:id="18872"/>
      <w:bookmarkEnd w:id="18873"/>
      <w:bookmarkEnd w:id="18874"/>
      <w:bookmarkEnd w:id="18875"/>
    </w:p>
    <w:p w14:paraId="0D7DEAD3" w14:textId="77777777" w:rsidR="003D504D" w:rsidRPr="00A22EE9" w:rsidRDefault="003D504D" w:rsidP="00BF39B2">
      <w:pPr>
        <w:pStyle w:val="1"/>
        <w:rPr>
          <w:rtl/>
        </w:rPr>
      </w:pPr>
      <w:bookmarkStart w:id="18879" w:name="_Toc1039446"/>
      <w:bookmarkStart w:id="18880" w:name="_Toc1040689"/>
      <w:bookmarkStart w:id="18881" w:name="_Toc1063581"/>
      <w:bookmarkStart w:id="18882" w:name="_Toc1112013"/>
      <w:bookmarkStart w:id="18883" w:name="_Toc1123878"/>
      <w:bookmarkStart w:id="18884" w:name="_Toc19391395"/>
      <w:bookmarkStart w:id="18885" w:name="_Toc19394892"/>
      <w:r w:rsidRPr="00A22EE9">
        <w:rPr>
          <w:rFonts w:hint="cs"/>
          <w:rtl/>
        </w:rPr>
        <w:t>ד</w:t>
      </w:r>
      <w:r>
        <w:rPr>
          <w:rFonts w:hint="cs"/>
          <w:rtl/>
        </w:rPr>
        <w:t>עת</w:t>
      </w:r>
      <w:r w:rsidRPr="00A22EE9">
        <w:rPr>
          <w:rFonts w:hint="cs"/>
          <w:rtl/>
        </w:rPr>
        <w:t xml:space="preserve"> הב"ח </w:t>
      </w:r>
      <w:bookmarkEnd w:id="18876"/>
      <w:bookmarkEnd w:id="18877"/>
      <w:bookmarkEnd w:id="18878"/>
      <w:r>
        <w:rPr>
          <w:rFonts w:hint="cs"/>
          <w:rtl/>
        </w:rPr>
        <w:t>דהולד אינו אסור מחיים והחלב מותר</w:t>
      </w:r>
      <w:bookmarkEnd w:id="18879"/>
      <w:bookmarkEnd w:id="18880"/>
      <w:bookmarkEnd w:id="18881"/>
      <w:bookmarkEnd w:id="18882"/>
      <w:bookmarkEnd w:id="18883"/>
      <w:bookmarkEnd w:id="18884"/>
      <w:bookmarkEnd w:id="18885"/>
    </w:p>
    <w:p w14:paraId="32A66B48" w14:textId="77777777" w:rsidR="003D504D" w:rsidRPr="00A22EE9" w:rsidRDefault="003D504D" w:rsidP="003D504D">
      <w:pPr>
        <w:pStyle w:val="a3"/>
        <w:rPr>
          <w:rtl/>
        </w:rPr>
      </w:pPr>
      <w:bookmarkStart w:id="18886" w:name="_Toc519045"/>
      <w:bookmarkStart w:id="18887" w:name="_Toc725024"/>
      <w:bookmarkStart w:id="18888" w:name="_Toc773567"/>
      <w:bookmarkStart w:id="18889" w:name="_Toc955837"/>
      <w:bookmarkStart w:id="18890" w:name="_Toc1039447"/>
      <w:bookmarkStart w:id="18891" w:name="_Toc1040690"/>
      <w:bookmarkStart w:id="18892" w:name="_Toc1063582"/>
      <w:bookmarkStart w:id="18893" w:name="_Toc1112014"/>
      <w:bookmarkStart w:id="18894" w:name="_Toc1123879"/>
      <w:bookmarkStart w:id="18895" w:name="_Toc19391396"/>
      <w:bookmarkStart w:id="18896" w:name="_Toc19394893"/>
      <w:r w:rsidRPr="00A22EE9">
        <w:rPr>
          <w:rFonts w:hint="cs"/>
          <w:rtl/>
        </w:rPr>
        <w:t xml:space="preserve">קושית הב"ח </w:t>
      </w:r>
      <w:bookmarkEnd w:id="18886"/>
      <w:bookmarkEnd w:id="18887"/>
      <w:bookmarkEnd w:id="18888"/>
      <w:bookmarkEnd w:id="18889"/>
      <w:r>
        <w:rPr>
          <w:rFonts w:hint="cs"/>
          <w:rtl/>
        </w:rPr>
        <w:t>דאמאי לא הסתפקה הגמ' בדין החלב של הולד שאין לו תקנה</w:t>
      </w:r>
      <w:bookmarkEnd w:id="18890"/>
      <w:bookmarkEnd w:id="18891"/>
      <w:bookmarkEnd w:id="18892"/>
      <w:bookmarkEnd w:id="18893"/>
      <w:bookmarkEnd w:id="18894"/>
      <w:bookmarkEnd w:id="18895"/>
      <w:bookmarkEnd w:id="18896"/>
    </w:p>
    <w:p w14:paraId="356E7FB3" w14:textId="77777777" w:rsidR="003D504D" w:rsidRPr="006930F5" w:rsidRDefault="003D504D" w:rsidP="00223668">
      <w:pPr>
        <w:pStyle w:val="a0"/>
        <w:rPr>
          <w:rtl/>
        </w:rPr>
      </w:pPr>
      <w:r w:rsidRPr="00A22EE9">
        <w:rPr>
          <w:rFonts w:hint="cs"/>
          <w:rtl/>
        </w:rPr>
        <w:t xml:space="preserve">הקשה </w:t>
      </w:r>
      <w:r w:rsidRPr="00A22EE9">
        <w:rPr>
          <w:rStyle w:val="af9"/>
          <w:rFonts w:hint="cs"/>
          <w:rtl/>
        </w:rPr>
        <w:t>הב"ח</w:t>
      </w:r>
      <w:r w:rsidRPr="00A22EE9">
        <w:rPr>
          <w:rFonts w:hint="cs"/>
          <w:rtl/>
        </w:rPr>
        <w:t xml:space="preserve"> </w:t>
      </w:r>
      <w:r w:rsidRPr="004304CE">
        <w:rPr>
          <w:rStyle w:val="af7"/>
          <w:rFonts w:eastAsia="Guttman Hodes" w:hint="cs"/>
          <w:rtl/>
        </w:rPr>
        <w:t xml:space="preserve">(סי' י"ד ז') </w:t>
      </w:r>
      <w:r w:rsidRPr="00A22EE9">
        <w:rPr>
          <w:rFonts w:hint="cs"/>
          <w:rtl/>
        </w:rPr>
        <w:t>אמאי מסתפקת הגמ'</w:t>
      </w:r>
      <w:r>
        <w:rPr>
          <w:rFonts w:hint="cs"/>
          <w:rtl/>
        </w:rPr>
        <w:t xml:space="preserve"> בדין של החלב</w:t>
      </w:r>
      <w:r w:rsidRPr="00A22EE9">
        <w:rPr>
          <w:rFonts w:hint="cs"/>
          <w:rtl/>
        </w:rPr>
        <w:t xml:space="preserve"> הבא מכח אבר היוצא, ואינה מסתפקת אף </w:t>
      </w:r>
      <w:r>
        <w:rPr>
          <w:rFonts w:hint="cs"/>
          <w:rtl/>
        </w:rPr>
        <w:t>בדין של החלב</w:t>
      </w:r>
      <w:r w:rsidRPr="00A22EE9">
        <w:rPr>
          <w:rFonts w:hint="cs"/>
          <w:rtl/>
        </w:rPr>
        <w:t xml:space="preserve"> </w:t>
      </w:r>
      <w:r>
        <w:rPr>
          <w:rFonts w:hint="cs"/>
          <w:rtl/>
        </w:rPr>
        <w:t>של הולד שאין לו תקנה דנולד מ</w:t>
      </w:r>
      <w:r w:rsidRPr="00A22EE9">
        <w:rPr>
          <w:rFonts w:hint="cs"/>
          <w:rtl/>
        </w:rPr>
        <w:t>בן פקועה שבא על בהמה מעלמא</w:t>
      </w:r>
      <w:r>
        <w:rPr>
          <w:rFonts w:hint="cs"/>
          <w:rtl/>
        </w:rPr>
        <w:t>,</w:t>
      </w:r>
      <w:r w:rsidRPr="00A22EE9">
        <w:rPr>
          <w:rFonts w:hint="cs"/>
          <w:rtl/>
        </w:rPr>
        <w:t xml:space="preserve"> </w:t>
      </w:r>
      <w:r w:rsidRPr="006930F5">
        <w:rPr>
          <w:rFonts w:hint="cs"/>
          <w:rtl/>
        </w:rPr>
        <w:t xml:space="preserve">ועי' </w:t>
      </w:r>
      <w:r>
        <w:rPr>
          <w:rFonts w:hint="cs"/>
          <w:rtl/>
        </w:rPr>
        <w:t xml:space="preserve">בדברי </w:t>
      </w:r>
      <w:r w:rsidRPr="006408F1">
        <w:rPr>
          <w:rStyle w:val="af9"/>
          <w:rFonts w:hint="cs"/>
          <w:rtl/>
        </w:rPr>
        <w:t>החת"ס</w:t>
      </w:r>
      <w:r w:rsidRPr="006408F1">
        <w:rPr>
          <w:rFonts w:hint="cs"/>
          <w:rtl/>
        </w:rPr>
        <w:t xml:space="preserve"> </w:t>
      </w:r>
      <w:r w:rsidRPr="004304CE">
        <w:rPr>
          <w:rStyle w:val="af7"/>
          <w:rFonts w:eastAsia="Guttman Hodes" w:hint="cs"/>
          <w:rtl/>
        </w:rPr>
        <w:t>(מהדו"ק ד"ה ולסברא)</w:t>
      </w:r>
      <w:r>
        <w:rPr>
          <w:rFonts w:hint="cs"/>
          <w:rtl/>
        </w:rPr>
        <w:t>.</w:t>
      </w:r>
    </w:p>
    <w:p w14:paraId="6B25C7FF" w14:textId="77777777" w:rsidR="003D504D" w:rsidRPr="00A22EE9" w:rsidRDefault="003D504D" w:rsidP="003D504D">
      <w:pPr>
        <w:pStyle w:val="a3"/>
        <w:rPr>
          <w:rtl/>
        </w:rPr>
      </w:pPr>
      <w:bookmarkStart w:id="18897" w:name="_Toc519046"/>
      <w:bookmarkStart w:id="18898" w:name="_Toc725025"/>
      <w:bookmarkStart w:id="18899" w:name="_Toc773568"/>
      <w:bookmarkStart w:id="18900" w:name="_Toc955838"/>
      <w:bookmarkStart w:id="18901" w:name="_Toc1039448"/>
      <w:bookmarkStart w:id="18902" w:name="_Toc1040691"/>
      <w:bookmarkStart w:id="18903" w:name="_Toc1063583"/>
      <w:bookmarkStart w:id="18904" w:name="_Toc1112015"/>
      <w:bookmarkStart w:id="18905" w:name="_Toc1123880"/>
      <w:bookmarkStart w:id="18906" w:name="_Toc19391397"/>
      <w:bookmarkStart w:id="18907" w:name="_Toc19394894"/>
      <w:r w:rsidRPr="00A22EE9">
        <w:rPr>
          <w:rFonts w:hint="cs"/>
          <w:rtl/>
        </w:rPr>
        <w:t xml:space="preserve">ביאור הב"ח </w:t>
      </w:r>
      <w:bookmarkEnd w:id="18897"/>
      <w:bookmarkEnd w:id="18898"/>
      <w:bookmarkEnd w:id="18899"/>
      <w:bookmarkEnd w:id="18900"/>
      <w:r>
        <w:rPr>
          <w:rFonts w:hint="cs"/>
          <w:rtl/>
        </w:rPr>
        <w:t>דהולד אין לו תקנה רק בשחיטה דהוי שהייה אבל מחיים הוא כשר והחלב מותר</w:t>
      </w:r>
      <w:bookmarkEnd w:id="18901"/>
      <w:bookmarkEnd w:id="18902"/>
      <w:bookmarkEnd w:id="18903"/>
      <w:bookmarkEnd w:id="18904"/>
      <w:bookmarkEnd w:id="18905"/>
      <w:bookmarkEnd w:id="18906"/>
      <w:bookmarkEnd w:id="18907"/>
    </w:p>
    <w:p w14:paraId="237676E7" w14:textId="77777777" w:rsidR="003D504D" w:rsidRDefault="003D504D" w:rsidP="00223668">
      <w:pPr>
        <w:pStyle w:val="a0"/>
        <w:rPr>
          <w:rtl/>
        </w:rPr>
      </w:pPr>
      <w:r w:rsidRPr="00A22EE9">
        <w:rPr>
          <w:rFonts w:hint="cs"/>
          <w:rtl/>
        </w:rPr>
        <w:t xml:space="preserve">ותירץ </w:t>
      </w:r>
      <w:r w:rsidRPr="00A22EE9">
        <w:rPr>
          <w:rStyle w:val="af9"/>
          <w:rFonts w:hint="cs"/>
          <w:rtl/>
        </w:rPr>
        <w:t>הב"ח</w:t>
      </w:r>
      <w:r w:rsidRPr="00A22EE9">
        <w:rPr>
          <w:rFonts w:hint="cs"/>
          <w:rtl/>
        </w:rPr>
        <w:t xml:space="preserve"> </w:t>
      </w:r>
      <w:bookmarkStart w:id="18908" w:name="_Toc519047"/>
      <w:bookmarkStart w:id="18909" w:name="_Toc725026"/>
      <w:bookmarkStart w:id="18910" w:name="_Toc773569"/>
      <w:bookmarkStart w:id="18911" w:name="_Toc955839"/>
      <w:r>
        <w:rPr>
          <w:rFonts w:hint="cs"/>
          <w:rtl/>
        </w:rPr>
        <w:t xml:space="preserve">דבאבר היוצא שהוא כטריפה, הספק הגמ' לענין החלב, הוא האם דינו ככל טריפה שחלבה אסור, או שאינו טריפה ממש ואיסורו הוא מדין אבר מן החי, וא"כ מותר לשתות את החלב, </w:t>
      </w:r>
      <w:r w:rsidRPr="009840B4">
        <w:rPr>
          <w:rStyle w:val="afb"/>
          <w:rFonts w:hint="cs"/>
          <w:rtl/>
        </w:rPr>
        <w:t>[והתורה קראה לו טריפה, רק לענין שא"א לתקנו אף אם החזיר את האבר],</w:t>
      </w:r>
      <w:r>
        <w:rPr>
          <w:rFonts w:hint="cs"/>
          <w:rtl/>
        </w:rPr>
        <w:t xml:space="preserve"> אבל בולד שאין לו תקנה, פשיטא דהחלב מותר, אלא שא"א לתקנו בשחיטה</w:t>
      </w:r>
      <w:r w:rsidRPr="006511D6">
        <w:rPr>
          <w:rFonts w:hint="cs"/>
          <w:rtl/>
        </w:rPr>
        <w:t xml:space="preserve"> </w:t>
      </w:r>
      <w:r>
        <w:rPr>
          <w:rFonts w:hint="cs"/>
          <w:rtl/>
        </w:rPr>
        <w:t xml:space="preserve">דהוי שהייה בשחיטה, </w:t>
      </w:r>
      <w:r w:rsidRPr="00073E73">
        <w:rPr>
          <w:rStyle w:val="afb"/>
          <w:rFonts w:hint="cs"/>
          <w:rtl/>
        </w:rPr>
        <w:t xml:space="preserve">[כדכתב </w:t>
      </w:r>
      <w:r w:rsidRPr="00073E73">
        <w:rPr>
          <w:rStyle w:val="affa"/>
          <w:rFonts w:hint="cs"/>
          <w:rtl/>
        </w:rPr>
        <w:t>רש"י</w:t>
      </w:r>
      <w:r w:rsidRPr="00073E73">
        <w:rPr>
          <w:rStyle w:val="afb"/>
          <w:rFonts w:hint="cs"/>
          <w:rtl/>
        </w:rPr>
        <w:t xml:space="preserve"> </w:t>
      </w:r>
      <w:r w:rsidRPr="00073E73">
        <w:rPr>
          <w:rStyle w:val="aff6"/>
          <w:rFonts w:hint="cs"/>
          <w:rtl/>
        </w:rPr>
        <w:t xml:space="preserve">(עי' אות </w:t>
      </w:r>
      <w:r w:rsidRPr="00073E73">
        <w:rPr>
          <w:rStyle w:val="aff6"/>
          <w:rtl/>
        </w:rPr>
        <w:fldChar w:fldCharType="begin"/>
      </w:r>
      <w:r w:rsidRPr="00073E73">
        <w:rPr>
          <w:rStyle w:val="aff6"/>
          <w:rtl/>
        </w:rPr>
        <w:instrText xml:space="preserve"> </w:instrText>
      </w:r>
      <w:r w:rsidRPr="00073E73">
        <w:rPr>
          <w:rStyle w:val="aff6"/>
          <w:rFonts w:hint="cs"/>
        </w:rPr>
        <w:instrText>REF</w:instrText>
      </w:r>
      <w:r w:rsidRPr="00073E73">
        <w:rPr>
          <w:rStyle w:val="aff6"/>
          <w:rFonts w:hint="cs"/>
          <w:rtl/>
        </w:rPr>
        <w:instrText xml:space="preserve"> _</w:instrText>
      </w:r>
      <w:r w:rsidRPr="00073E73">
        <w:rPr>
          <w:rStyle w:val="aff6"/>
          <w:rFonts w:hint="cs"/>
        </w:rPr>
        <w:instrText>Ref974662 \r \h</w:instrText>
      </w:r>
      <w:r w:rsidRPr="00073E73">
        <w:rPr>
          <w:rStyle w:val="aff6"/>
          <w:rtl/>
        </w:rPr>
        <w:instrText xml:space="preserve"> </w:instrText>
      </w:r>
      <w:r w:rsidRPr="00073E73">
        <w:rPr>
          <w:rStyle w:val="aff6"/>
          <w:rtl/>
        </w:rPr>
      </w:r>
      <w:r w:rsidRPr="00073E73">
        <w:rPr>
          <w:rStyle w:val="aff6"/>
          <w:rtl/>
        </w:rPr>
        <w:fldChar w:fldCharType="separate"/>
      </w:r>
      <w:r w:rsidR="00345400">
        <w:rPr>
          <w:rStyle w:val="aff6"/>
          <w:cs/>
        </w:rPr>
        <w:t>‎</w:t>
      </w:r>
      <w:r w:rsidR="00345400">
        <w:rPr>
          <w:rStyle w:val="aff6"/>
          <w:rtl/>
        </w:rPr>
        <w:t>ב)</w:t>
      </w:r>
      <w:r w:rsidRPr="00073E73">
        <w:rPr>
          <w:rStyle w:val="aff6"/>
          <w:rtl/>
        </w:rPr>
        <w:fldChar w:fldCharType="end"/>
      </w:r>
      <w:r w:rsidRPr="00073E73">
        <w:rPr>
          <w:rStyle w:val="afb"/>
          <w:rFonts w:hint="cs"/>
          <w:rtl/>
        </w:rPr>
        <w:t xml:space="preserve">], </w:t>
      </w:r>
      <w:r>
        <w:rPr>
          <w:rFonts w:hint="cs"/>
          <w:rtl/>
        </w:rPr>
        <w:t>ופסול שהייה הוא רק בשחיטה, אבל בחייה אין כל איסור טריפה, ודמי לשמוטה שאינה טריפה, אך לא מהני לה שחיטה.</w:t>
      </w:r>
    </w:p>
    <w:p w14:paraId="12BC39BD" w14:textId="77777777" w:rsidR="003D504D" w:rsidRPr="009840B4" w:rsidRDefault="003D504D" w:rsidP="003D504D">
      <w:pPr>
        <w:pStyle w:val="a3"/>
        <w:rPr>
          <w:rtl/>
        </w:rPr>
      </w:pPr>
      <w:bookmarkStart w:id="18912" w:name="_Toc1039449"/>
      <w:bookmarkStart w:id="18913" w:name="_Toc1040692"/>
      <w:bookmarkStart w:id="18914" w:name="_Toc1063584"/>
      <w:bookmarkStart w:id="18915" w:name="_Toc1112016"/>
      <w:bookmarkStart w:id="18916" w:name="_Toc1123881"/>
      <w:bookmarkStart w:id="18917" w:name="_Toc19391398"/>
      <w:bookmarkStart w:id="18918" w:name="_Toc19394895"/>
      <w:r>
        <w:rPr>
          <w:rFonts w:hint="cs"/>
          <w:rtl/>
        </w:rPr>
        <w:t>תירוץ הט"ז והתבו"ש דהספק בחלב בולד שאין לו תקנה הוא רק למ"ד דחוששין לזרע האב</w:t>
      </w:r>
      <w:bookmarkEnd w:id="18912"/>
      <w:bookmarkEnd w:id="18913"/>
      <w:bookmarkEnd w:id="18914"/>
      <w:bookmarkEnd w:id="18915"/>
      <w:bookmarkEnd w:id="18916"/>
      <w:bookmarkEnd w:id="18917"/>
      <w:bookmarkEnd w:id="18918"/>
    </w:p>
    <w:p w14:paraId="59FFB584" w14:textId="77777777" w:rsidR="003D504D" w:rsidRDefault="003D504D" w:rsidP="00223668">
      <w:pPr>
        <w:pStyle w:val="a0"/>
        <w:rPr>
          <w:rtl/>
        </w:rPr>
      </w:pPr>
      <w:r>
        <w:rPr>
          <w:rStyle w:val="af9"/>
          <w:rFonts w:hint="cs"/>
          <w:rtl/>
        </w:rPr>
        <w:t>ו</w:t>
      </w:r>
      <w:r w:rsidRPr="009F180F">
        <w:rPr>
          <w:rStyle w:val="af9"/>
          <w:rFonts w:hint="cs"/>
          <w:rtl/>
        </w:rPr>
        <w:t>הט"ז</w:t>
      </w:r>
      <w:r w:rsidRPr="009F180F">
        <w:rPr>
          <w:rFonts w:hint="cs"/>
          <w:rtl/>
        </w:rPr>
        <w:t xml:space="preserve"> </w:t>
      </w:r>
      <w:r w:rsidRPr="004304CE">
        <w:rPr>
          <w:rStyle w:val="af7"/>
          <w:rFonts w:eastAsia="Guttman Hodes" w:hint="cs"/>
          <w:rtl/>
        </w:rPr>
        <w:t>(סי' י"ד סוס"ק ו')</w:t>
      </w:r>
      <w:r w:rsidRPr="009F180F">
        <w:rPr>
          <w:rFonts w:hint="cs"/>
          <w:rtl/>
        </w:rPr>
        <w:t xml:space="preserve"> </w:t>
      </w:r>
      <w:r w:rsidRPr="000A0599">
        <w:rPr>
          <w:rStyle w:val="af9"/>
          <w:rFonts w:hint="cs"/>
          <w:rtl/>
        </w:rPr>
        <w:t xml:space="preserve">והתבו"ש </w:t>
      </w:r>
      <w:r w:rsidRPr="004304CE">
        <w:rPr>
          <w:rStyle w:val="af7"/>
          <w:rFonts w:eastAsia="Guttman Hodes" w:hint="cs"/>
          <w:rtl/>
        </w:rPr>
        <w:t>(סי' י"ג סקי"ח)</w:t>
      </w:r>
      <w:r w:rsidRPr="009F180F">
        <w:rPr>
          <w:rFonts w:hint="cs"/>
          <w:rtl/>
        </w:rPr>
        <w:t xml:space="preserve"> תירצו </w:t>
      </w:r>
      <w:r>
        <w:rPr>
          <w:rFonts w:hint="cs"/>
          <w:rtl/>
        </w:rPr>
        <w:t xml:space="preserve">את קושית </w:t>
      </w:r>
      <w:r w:rsidRPr="00F40CF7">
        <w:rPr>
          <w:rStyle w:val="af9"/>
          <w:rFonts w:hint="cs"/>
          <w:rtl/>
        </w:rPr>
        <w:t>הב"ח</w:t>
      </w:r>
      <w:r>
        <w:rPr>
          <w:rFonts w:hint="cs"/>
          <w:rtl/>
        </w:rPr>
        <w:t xml:space="preserve"> </w:t>
      </w:r>
      <w:r w:rsidRPr="009F180F">
        <w:rPr>
          <w:rFonts w:hint="cs"/>
          <w:rtl/>
        </w:rPr>
        <w:t>דדינא דרב משרשיא הוא רק למ"ד דחוששין לזרע האב, ולכן הסתפקה הגמ' בדין חלב שבא מאבר היוצא, דהוא לכו"ע.</w:t>
      </w:r>
    </w:p>
    <w:p w14:paraId="41E36916" w14:textId="77777777" w:rsidR="003D504D" w:rsidRDefault="003D504D" w:rsidP="00BF39B2">
      <w:pPr>
        <w:pStyle w:val="1"/>
        <w:rPr>
          <w:rtl/>
        </w:rPr>
      </w:pPr>
      <w:bookmarkStart w:id="18919" w:name="_Toc1039450"/>
      <w:bookmarkStart w:id="18920" w:name="_Toc1040693"/>
      <w:bookmarkStart w:id="18921" w:name="_Toc1063585"/>
      <w:bookmarkStart w:id="18922" w:name="_Toc1112017"/>
      <w:bookmarkStart w:id="18923" w:name="_Toc1123882"/>
      <w:bookmarkStart w:id="18924" w:name="_Toc19391399"/>
      <w:bookmarkStart w:id="18925" w:name="_Toc19394896"/>
      <w:r>
        <w:rPr>
          <w:rFonts w:hint="cs"/>
          <w:rtl/>
        </w:rPr>
        <w:t>ביאור הרא"ה דהספק בדין החלב הוא אף בולד שאין לו תקנה</w:t>
      </w:r>
      <w:bookmarkEnd w:id="18919"/>
      <w:bookmarkEnd w:id="18920"/>
      <w:bookmarkEnd w:id="18921"/>
      <w:bookmarkEnd w:id="18922"/>
      <w:bookmarkEnd w:id="18923"/>
      <w:bookmarkEnd w:id="18924"/>
      <w:bookmarkEnd w:id="18925"/>
    </w:p>
    <w:p w14:paraId="4C434C8E" w14:textId="77777777" w:rsidR="003D504D" w:rsidRPr="001A7613" w:rsidRDefault="003D504D" w:rsidP="003D504D">
      <w:pPr>
        <w:pStyle w:val="a3"/>
        <w:rPr>
          <w:rtl/>
        </w:rPr>
      </w:pPr>
      <w:bookmarkStart w:id="18926" w:name="_Toc1039451"/>
      <w:bookmarkStart w:id="18927" w:name="_Toc1040694"/>
      <w:bookmarkStart w:id="18928" w:name="_Toc1063586"/>
      <w:bookmarkStart w:id="18929" w:name="_Toc1112018"/>
      <w:bookmarkStart w:id="18930" w:name="_Toc1123883"/>
      <w:bookmarkStart w:id="18931" w:name="_Toc19391400"/>
      <w:bookmarkStart w:id="18932" w:name="_Toc19394897"/>
      <w:r>
        <w:rPr>
          <w:rFonts w:hint="cs"/>
          <w:rtl/>
        </w:rPr>
        <w:t>ביאור הרא"ה דספק הגמ' לענין חלב הוא אף בולד שאין לו תקנה ולהלכה החלב אסור</w:t>
      </w:r>
      <w:bookmarkEnd w:id="18926"/>
      <w:bookmarkEnd w:id="18927"/>
      <w:bookmarkEnd w:id="18928"/>
      <w:bookmarkEnd w:id="18929"/>
      <w:bookmarkEnd w:id="18930"/>
      <w:bookmarkEnd w:id="18931"/>
      <w:bookmarkEnd w:id="18932"/>
    </w:p>
    <w:p w14:paraId="4CDCBC13" w14:textId="77777777" w:rsidR="003D504D" w:rsidRDefault="003D504D" w:rsidP="00223668">
      <w:pPr>
        <w:pStyle w:val="a0"/>
        <w:rPr>
          <w:rtl/>
        </w:rPr>
      </w:pPr>
      <w:r>
        <w:rPr>
          <w:rFonts w:hint="cs"/>
          <w:rtl/>
        </w:rPr>
        <w:t xml:space="preserve">אבל </w:t>
      </w:r>
      <w:r w:rsidRPr="00C93AD4">
        <w:rPr>
          <w:rStyle w:val="af9"/>
          <w:rFonts w:hint="cs"/>
          <w:rtl/>
        </w:rPr>
        <w:t>הרא"ה בבד"ה</w:t>
      </w:r>
      <w:r>
        <w:rPr>
          <w:rFonts w:hint="cs"/>
          <w:rtl/>
        </w:rPr>
        <w:t xml:space="preserve"> </w:t>
      </w:r>
      <w:r w:rsidRPr="004304CE">
        <w:rPr>
          <w:rStyle w:val="af7"/>
          <w:rFonts w:eastAsia="Guttman Hodes" w:hint="cs"/>
          <w:rtl/>
        </w:rPr>
        <w:t>(ב"ב ש"ד דף נה. מדה"ס)</w:t>
      </w:r>
      <w:r>
        <w:rPr>
          <w:rFonts w:hint="cs"/>
          <w:rtl/>
        </w:rPr>
        <w:t xml:space="preserve"> כתב דבאמת הספק של הגמ' בדין החלב הבא מכח אבר היוצא, הוא גם בולד של בן פקועה שבא על בהמה מעלמא, דאין לו תקנה למ"ד דחוששין לזרע האב, וביאר </w:t>
      </w:r>
      <w:r w:rsidRPr="00C93AD4">
        <w:rPr>
          <w:rStyle w:val="af9"/>
          <w:rFonts w:hint="cs"/>
          <w:rtl/>
        </w:rPr>
        <w:t>הרא"ה בבד"ה</w:t>
      </w:r>
      <w:r>
        <w:rPr>
          <w:rFonts w:hint="cs"/>
          <w:rtl/>
        </w:rPr>
        <w:t xml:space="preserve"> דספק הגמ' הוא בחלב של כל אבר מן החי שאין לו תקנה בשחיטה, אי כיון דהתירה תורה חלב הבא מן החי, אף החלב שלהם מותר, או דכיון שההיתר של חלב הוא חידוש, א"כ אין לך בו אלא חידושו, וכיון דמצינו שהתורה התירה את החלב רק במקום שיש לבשר היתר שחיטה, לכן א"כ להתיר את החלב כשאין לבשר היתר שחיטה, וכיון דלא נפשט הספק החלב אסור.</w:t>
      </w:r>
    </w:p>
    <w:p w14:paraId="4B281299" w14:textId="77777777" w:rsidR="003D504D" w:rsidRDefault="003D504D" w:rsidP="00BF39B2">
      <w:pPr>
        <w:pStyle w:val="1"/>
        <w:rPr>
          <w:rtl/>
        </w:rPr>
      </w:pPr>
      <w:bookmarkStart w:id="18933" w:name="_Toc1039452"/>
      <w:bookmarkStart w:id="18934" w:name="_Toc1040695"/>
      <w:bookmarkStart w:id="18935" w:name="_Toc1063587"/>
      <w:bookmarkStart w:id="18936" w:name="_Toc1112019"/>
      <w:bookmarkStart w:id="18937" w:name="_Toc1123884"/>
      <w:bookmarkStart w:id="18938" w:name="_Toc19391401"/>
      <w:bookmarkStart w:id="18939" w:name="_Toc19394898"/>
      <w:r w:rsidRPr="008A624C">
        <w:rPr>
          <w:rtl/>
        </w:rPr>
        <w:t xml:space="preserve">דעת הש"ך והט"ז והתבו"ש דמחיים הולד אסור </w:t>
      </w:r>
      <w:r>
        <w:rPr>
          <w:rtl/>
        </w:rPr>
        <w:t>והחלב</w:t>
      </w:r>
      <w:r w:rsidRPr="008A624C">
        <w:rPr>
          <w:rtl/>
        </w:rPr>
        <w:t xml:space="preserve"> אסור</w:t>
      </w:r>
      <w:bookmarkEnd w:id="18933"/>
      <w:bookmarkEnd w:id="18934"/>
      <w:bookmarkEnd w:id="18935"/>
      <w:bookmarkEnd w:id="18936"/>
      <w:bookmarkEnd w:id="18937"/>
      <w:bookmarkEnd w:id="18938"/>
      <w:bookmarkEnd w:id="18939"/>
    </w:p>
    <w:p w14:paraId="5B5E4E6C" w14:textId="77777777" w:rsidR="003D504D" w:rsidRPr="00A22EE9" w:rsidRDefault="003D504D" w:rsidP="003D504D">
      <w:pPr>
        <w:pStyle w:val="a3"/>
        <w:rPr>
          <w:rtl/>
        </w:rPr>
      </w:pPr>
      <w:bookmarkStart w:id="18940" w:name="_Toc1039453"/>
      <w:bookmarkStart w:id="18941" w:name="_Toc1040696"/>
      <w:bookmarkStart w:id="18942" w:name="_Toc1063588"/>
      <w:bookmarkStart w:id="18943" w:name="_Toc1112020"/>
      <w:bookmarkStart w:id="18944" w:name="_Toc1123885"/>
      <w:bookmarkStart w:id="18945" w:name="_Toc19391402"/>
      <w:bookmarkStart w:id="18946" w:name="_Toc19394899"/>
      <w:r w:rsidRPr="00A22EE9">
        <w:rPr>
          <w:rFonts w:hint="cs"/>
          <w:rtl/>
        </w:rPr>
        <w:t xml:space="preserve">דחיית הש"ך </w:t>
      </w:r>
      <w:bookmarkEnd w:id="18908"/>
      <w:bookmarkEnd w:id="18909"/>
      <w:bookmarkEnd w:id="18910"/>
      <w:bookmarkEnd w:id="18911"/>
      <w:r>
        <w:rPr>
          <w:rFonts w:hint="cs"/>
          <w:rtl/>
        </w:rPr>
        <w:t>דשמוטה אינה טריפה מחיים אבל ולד שסימן אחד כשחוט הוי כטריפה והחלב אסור</w:t>
      </w:r>
      <w:bookmarkEnd w:id="18940"/>
      <w:bookmarkEnd w:id="18941"/>
      <w:bookmarkEnd w:id="18942"/>
      <w:bookmarkEnd w:id="18943"/>
      <w:bookmarkEnd w:id="18944"/>
      <w:bookmarkEnd w:id="18945"/>
      <w:bookmarkEnd w:id="18946"/>
    </w:p>
    <w:p w14:paraId="4BF37314" w14:textId="77777777" w:rsidR="003D504D" w:rsidRPr="007A4E0B" w:rsidRDefault="003D504D" w:rsidP="00223668">
      <w:pPr>
        <w:pStyle w:val="a0"/>
        <w:rPr>
          <w:rStyle w:val="afb"/>
          <w:rtl/>
        </w:rPr>
      </w:pPr>
      <w:r>
        <w:rPr>
          <w:rFonts w:hint="cs"/>
          <w:rtl/>
        </w:rPr>
        <w:t>ובעיקר ביאור</w:t>
      </w:r>
      <w:r w:rsidRPr="00A22EE9">
        <w:rPr>
          <w:rFonts w:hint="cs"/>
          <w:rtl/>
        </w:rPr>
        <w:t xml:space="preserve"> </w:t>
      </w:r>
      <w:r w:rsidRPr="00A22EE9">
        <w:rPr>
          <w:rStyle w:val="af9"/>
          <w:rFonts w:hint="cs"/>
          <w:rtl/>
        </w:rPr>
        <w:t>הב"ח</w:t>
      </w:r>
      <w:r w:rsidRPr="00A22EE9">
        <w:rPr>
          <w:rFonts w:hint="cs"/>
          <w:rtl/>
        </w:rPr>
        <w:t xml:space="preserve"> </w:t>
      </w:r>
      <w:r>
        <w:rPr>
          <w:rFonts w:hint="cs"/>
          <w:rtl/>
        </w:rPr>
        <w:t xml:space="preserve">דהחלב של הולד שאין לו תקנה מותר דדמי לשמוטה, וספק הגמ' הוא אי אבר היוצא אסור בטריפה או באבר מן החי, דחה </w:t>
      </w:r>
      <w:r w:rsidRPr="00A22EE9">
        <w:rPr>
          <w:rStyle w:val="af9"/>
          <w:rFonts w:hint="cs"/>
          <w:rtl/>
        </w:rPr>
        <w:t>הש"ך</w:t>
      </w:r>
      <w:r w:rsidRPr="00A22EE9">
        <w:rPr>
          <w:rFonts w:hint="cs"/>
          <w:rtl/>
        </w:rPr>
        <w:t xml:space="preserve"> </w:t>
      </w:r>
      <w:r w:rsidRPr="004304CE">
        <w:rPr>
          <w:rStyle w:val="af7"/>
          <w:rFonts w:eastAsia="Guttman Hodes" w:hint="cs"/>
          <w:rtl/>
        </w:rPr>
        <w:t xml:space="preserve">(סי' י"ד סקי"א) </w:t>
      </w:r>
      <w:r w:rsidRPr="00A22EE9">
        <w:rPr>
          <w:rFonts w:hint="cs"/>
          <w:rtl/>
        </w:rPr>
        <w:t xml:space="preserve">דחה את דלא משמע בגמ' כלל שזהו הספק, </w:t>
      </w:r>
      <w:r>
        <w:rPr>
          <w:rFonts w:hint="cs"/>
          <w:rtl/>
        </w:rPr>
        <w:t xml:space="preserve">ועוד דחה </w:t>
      </w:r>
      <w:r w:rsidRPr="00010958">
        <w:rPr>
          <w:rStyle w:val="af9"/>
          <w:rFonts w:hint="cs"/>
          <w:rtl/>
        </w:rPr>
        <w:t>הש"ך</w:t>
      </w:r>
      <w:r>
        <w:rPr>
          <w:rFonts w:hint="cs"/>
          <w:rtl/>
        </w:rPr>
        <w:t xml:space="preserve"> דלא דמי לשמוטה, כיון דשמוטה אינה טריפה מחיים, אבל בולד שאין לו תקנה דסימן אחד שלו חשיב כשחוט, א"כ פשיטא דהוא אסור, דהא אי שחט סימן אחד והניח את הבהמה דודאי דחלבה אסור, ולא אמרינן דכיון שיגמור אח"כ את השחיטה חלבה מותר, וה"ה בולד שאין לו תקנה דסימן אחד שלו כשחוט, ופשיטא דהחלב אסור, ועוד דחה </w:t>
      </w:r>
      <w:r w:rsidRPr="00010958">
        <w:rPr>
          <w:rStyle w:val="af9"/>
          <w:rFonts w:hint="cs"/>
          <w:rtl/>
        </w:rPr>
        <w:t>הש"ך</w:t>
      </w:r>
      <w:r>
        <w:rPr>
          <w:rFonts w:hint="cs"/>
          <w:rtl/>
        </w:rPr>
        <w:t xml:space="preserve"> דשמוטה חלבה מותר כיון שהיתה לה שעת הכושר, אבל הולד אין לו תקנה משעת לידתו, ו</w:t>
      </w:r>
      <w:r w:rsidRPr="00A22EE9">
        <w:rPr>
          <w:rFonts w:hint="cs"/>
          <w:rtl/>
        </w:rPr>
        <w:t>כיון שאין לו תקנה לעולם, פשיטא שאסור, דסימן אחד שלה דינו כשחוט</w:t>
      </w:r>
      <w:r>
        <w:rPr>
          <w:rFonts w:hint="cs"/>
          <w:rtl/>
        </w:rPr>
        <w:t xml:space="preserve">. </w:t>
      </w:r>
      <w:r w:rsidRPr="007A4E0B">
        <w:rPr>
          <w:rStyle w:val="afb"/>
          <w:rFonts w:hint="cs"/>
          <w:rtl/>
        </w:rPr>
        <w:t xml:space="preserve">[ובספק הגמ' לענין חלב הבא מכח אבר היוצא כתב </w:t>
      </w:r>
      <w:r w:rsidRPr="007A4E0B">
        <w:rPr>
          <w:rStyle w:val="affa"/>
          <w:rFonts w:hint="cs"/>
          <w:rtl/>
        </w:rPr>
        <w:t>הש"ך</w:t>
      </w:r>
      <w:r w:rsidRPr="007A4E0B">
        <w:rPr>
          <w:rStyle w:val="afb"/>
          <w:rFonts w:hint="cs"/>
          <w:rtl/>
        </w:rPr>
        <w:t xml:space="preserve"> דהביאור הוא כדברי </w:t>
      </w:r>
      <w:r w:rsidRPr="007A4E0B">
        <w:rPr>
          <w:rStyle w:val="affa"/>
          <w:rFonts w:hint="cs"/>
          <w:rtl/>
        </w:rPr>
        <w:t>הרשב"א</w:t>
      </w:r>
      <w:r w:rsidRPr="007A4E0B">
        <w:rPr>
          <w:rStyle w:val="afb"/>
          <w:rFonts w:hint="cs"/>
          <w:rtl/>
        </w:rPr>
        <w:t xml:space="preserve"> </w:t>
      </w:r>
      <w:r w:rsidRPr="007A4E0B">
        <w:rPr>
          <w:rStyle w:val="aff6"/>
          <w:rFonts w:hint="cs"/>
          <w:rtl/>
        </w:rPr>
        <w:t xml:space="preserve">(עי' אות </w:t>
      </w:r>
      <w:r w:rsidRPr="007A4E0B">
        <w:rPr>
          <w:rStyle w:val="aff6"/>
          <w:rtl/>
        </w:rPr>
        <w:fldChar w:fldCharType="begin"/>
      </w:r>
      <w:r w:rsidRPr="007A4E0B">
        <w:rPr>
          <w:rStyle w:val="aff6"/>
          <w:rtl/>
        </w:rPr>
        <w:instrText xml:space="preserve"> </w:instrText>
      </w:r>
      <w:r w:rsidRPr="007A4E0B">
        <w:rPr>
          <w:rStyle w:val="aff6"/>
          <w:rFonts w:hint="cs"/>
        </w:rPr>
        <w:instrText>REF</w:instrText>
      </w:r>
      <w:r w:rsidRPr="007A4E0B">
        <w:rPr>
          <w:rStyle w:val="aff6"/>
          <w:rFonts w:hint="cs"/>
          <w:rtl/>
        </w:rPr>
        <w:instrText xml:space="preserve"> _</w:instrText>
      </w:r>
      <w:r w:rsidRPr="007A4E0B">
        <w:rPr>
          <w:rStyle w:val="aff6"/>
          <w:rFonts w:hint="cs"/>
        </w:rPr>
        <w:instrText>Ref975140 \r \h</w:instrText>
      </w:r>
      <w:r w:rsidRPr="007A4E0B">
        <w:rPr>
          <w:rStyle w:val="aff6"/>
          <w:rtl/>
        </w:rPr>
        <w:instrText xml:space="preserve"> </w:instrText>
      </w:r>
      <w:r w:rsidRPr="007A4E0B">
        <w:rPr>
          <w:rStyle w:val="aff6"/>
          <w:rtl/>
        </w:rPr>
      </w:r>
      <w:r w:rsidRPr="007A4E0B">
        <w:rPr>
          <w:rStyle w:val="aff6"/>
          <w:rtl/>
        </w:rPr>
        <w:fldChar w:fldCharType="separate"/>
      </w:r>
      <w:r w:rsidR="00345400">
        <w:rPr>
          <w:rStyle w:val="aff6"/>
          <w:cs/>
        </w:rPr>
        <w:t>‎</w:t>
      </w:r>
      <w:r w:rsidR="00345400">
        <w:rPr>
          <w:rStyle w:val="aff6"/>
          <w:rtl/>
        </w:rPr>
        <w:t>מט)</w:t>
      </w:r>
      <w:r w:rsidRPr="007A4E0B">
        <w:rPr>
          <w:rStyle w:val="aff6"/>
          <w:rtl/>
        </w:rPr>
        <w:fldChar w:fldCharType="end"/>
      </w:r>
      <w:r w:rsidRPr="007A4E0B">
        <w:rPr>
          <w:rStyle w:val="afb"/>
          <w:rFonts w:hint="cs"/>
          <w:rtl/>
        </w:rPr>
        <w:t>].</w:t>
      </w:r>
    </w:p>
    <w:p w14:paraId="5592AB0B" w14:textId="77777777" w:rsidR="003D504D" w:rsidRDefault="003D504D" w:rsidP="003D504D">
      <w:pPr>
        <w:pStyle w:val="a3"/>
        <w:rPr>
          <w:rtl/>
        </w:rPr>
      </w:pPr>
      <w:bookmarkStart w:id="18947" w:name="_Toc1039454"/>
      <w:bookmarkStart w:id="18948" w:name="_Toc1040697"/>
      <w:bookmarkStart w:id="18949" w:name="_Toc1063589"/>
      <w:bookmarkStart w:id="18950" w:name="_Toc1112021"/>
      <w:bookmarkStart w:id="18951" w:name="_Toc1123886"/>
      <w:bookmarkStart w:id="18952" w:name="_Toc19391403"/>
      <w:bookmarkStart w:id="18953" w:name="_Toc19394900"/>
      <w:r>
        <w:rPr>
          <w:rFonts w:hint="cs"/>
          <w:rtl/>
        </w:rPr>
        <w:t>דברי התבו"ש דחלב של ולד שאין לו תקנה חשיב כבא מדבר האסור ולא כחלב הבא מכשרה</w:t>
      </w:r>
      <w:bookmarkEnd w:id="18947"/>
      <w:bookmarkEnd w:id="18948"/>
      <w:bookmarkEnd w:id="18949"/>
      <w:bookmarkEnd w:id="18950"/>
      <w:bookmarkEnd w:id="18951"/>
      <w:bookmarkEnd w:id="18952"/>
      <w:bookmarkEnd w:id="18953"/>
    </w:p>
    <w:p w14:paraId="76B8AA99" w14:textId="77777777" w:rsidR="003D504D" w:rsidRPr="000A0599" w:rsidRDefault="003D504D" w:rsidP="00223668">
      <w:pPr>
        <w:pStyle w:val="a0"/>
        <w:rPr>
          <w:rtl/>
        </w:rPr>
      </w:pPr>
      <w:r w:rsidRPr="000A0599">
        <w:rPr>
          <w:rFonts w:hint="cs"/>
          <w:rtl/>
        </w:rPr>
        <w:t>וכן פסק</w:t>
      </w:r>
      <w:r w:rsidRPr="000A0599">
        <w:rPr>
          <w:rStyle w:val="af9"/>
          <w:rFonts w:hint="cs"/>
          <w:rtl/>
        </w:rPr>
        <w:t xml:space="preserve"> התבו"ש </w:t>
      </w:r>
      <w:r w:rsidRPr="004304CE">
        <w:rPr>
          <w:rStyle w:val="af7"/>
          <w:rFonts w:eastAsia="Guttman Hodes" w:hint="cs"/>
          <w:rtl/>
        </w:rPr>
        <w:t>(סי' י"ג ח')</w:t>
      </w:r>
      <w:r w:rsidRPr="000A0599">
        <w:rPr>
          <w:rFonts w:hint="cs"/>
          <w:rtl/>
        </w:rPr>
        <w:t xml:space="preserve"> דהחלב של הולד אין לו תקנה, דלא דמי לכל חלב הבא מן החי שיש לו היתר בשחיטה, ונקרא חלב שבא מכח דבר המותר, משא"כ בולד שאין לו תקנה דאינו בא מדבר המותר.</w:t>
      </w:r>
    </w:p>
    <w:p w14:paraId="2575951D" w14:textId="77777777" w:rsidR="003D504D" w:rsidRDefault="003D504D" w:rsidP="003D504D">
      <w:pPr>
        <w:pStyle w:val="a3"/>
        <w:rPr>
          <w:rtl/>
        </w:rPr>
      </w:pPr>
      <w:bookmarkStart w:id="18954" w:name="_Toc1039455"/>
      <w:bookmarkStart w:id="18955" w:name="_Toc1040698"/>
      <w:bookmarkStart w:id="18956" w:name="_Toc1063590"/>
      <w:bookmarkStart w:id="18957" w:name="_Toc1112022"/>
      <w:bookmarkStart w:id="18958" w:name="_Toc1123887"/>
      <w:bookmarkStart w:id="18959" w:name="_Toc19391404"/>
      <w:bookmarkStart w:id="18960" w:name="_Toc19394901"/>
      <w:r>
        <w:rPr>
          <w:rFonts w:hint="cs"/>
          <w:rtl/>
        </w:rPr>
        <w:t>הוכחת הב"ח דבחייו חשיב הולד כאיסור ודמי ל</w:t>
      </w:r>
      <w:r>
        <w:rPr>
          <w:rtl/>
        </w:rPr>
        <w:t>חֵלֶב</w:t>
      </w:r>
      <w:r>
        <w:rPr>
          <w:rFonts w:hint="cs"/>
          <w:rtl/>
        </w:rPr>
        <w:t xml:space="preserve"> ודם והחלב אסור</w:t>
      </w:r>
      <w:bookmarkEnd w:id="18954"/>
      <w:bookmarkEnd w:id="18955"/>
      <w:bookmarkEnd w:id="18956"/>
      <w:bookmarkEnd w:id="18957"/>
      <w:bookmarkEnd w:id="18958"/>
      <w:bookmarkEnd w:id="18959"/>
      <w:bookmarkEnd w:id="18960"/>
    </w:p>
    <w:p w14:paraId="2AE631CF" w14:textId="77777777" w:rsidR="003D504D" w:rsidRDefault="003D504D" w:rsidP="00223668">
      <w:pPr>
        <w:pStyle w:val="a0"/>
        <w:rPr>
          <w:rtl/>
        </w:rPr>
      </w:pPr>
      <w:r w:rsidRPr="009F180F">
        <w:rPr>
          <w:rStyle w:val="af9"/>
          <w:rFonts w:hint="cs"/>
          <w:rtl/>
        </w:rPr>
        <w:t>והט"ז</w:t>
      </w:r>
      <w:r>
        <w:rPr>
          <w:rFonts w:hint="cs"/>
          <w:rtl/>
        </w:rPr>
        <w:t xml:space="preserve"> </w:t>
      </w:r>
      <w:r w:rsidRPr="004304CE">
        <w:rPr>
          <w:rStyle w:val="af7"/>
          <w:rFonts w:eastAsia="Guttman Hodes" w:hint="cs"/>
          <w:rtl/>
        </w:rPr>
        <w:t>(סי' י"ד סק"ו)</w:t>
      </w:r>
      <w:r>
        <w:rPr>
          <w:rFonts w:hint="cs"/>
          <w:rtl/>
        </w:rPr>
        <w:t xml:space="preserve"> דחה את דברי </w:t>
      </w:r>
      <w:r w:rsidRPr="009F180F">
        <w:rPr>
          <w:rStyle w:val="af9"/>
          <w:rFonts w:hint="cs"/>
          <w:rtl/>
        </w:rPr>
        <w:t>הב"ח</w:t>
      </w:r>
      <w:r>
        <w:rPr>
          <w:rFonts w:hint="cs"/>
          <w:rtl/>
        </w:rPr>
        <w:t xml:space="preserve"> דא"א אפש"ל דבחייה אין בה כל איסור, דהא </w:t>
      </w:r>
      <w:r w:rsidRPr="00B06D6B">
        <w:rPr>
          <w:rStyle w:val="af9"/>
          <w:rFonts w:hint="cs"/>
          <w:rtl/>
        </w:rPr>
        <w:t>רש"י</w:t>
      </w:r>
      <w:r w:rsidRPr="00B06D6B">
        <w:rPr>
          <w:rFonts w:hint="cs"/>
          <w:rtl/>
        </w:rPr>
        <w:t xml:space="preserve"> </w:t>
      </w:r>
      <w:r w:rsidRPr="004304CE">
        <w:rPr>
          <w:rStyle w:val="af7"/>
          <w:rFonts w:eastAsia="Guttman Hodes" w:hint="cs"/>
          <w:rtl/>
        </w:rPr>
        <w:t>(ד"ה מבלבל זרעיה)</w:t>
      </w:r>
      <w:r w:rsidRPr="00B06D6B">
        <w:rPr>
          <w:rFonts w:hint="cs"/>
          <w:rtl/>
        </w:rPr>
        <w:t xml:space="preserve"> </w:t>
      </w:r>
      <w:r>
        <w:rPr>
          <w:rFonts w:hint="cs"/>
          <w:rtl/>
        </w:rPr>
        <w:t xml:space="preserve">כתב להדיא דלהצד דמבלבל זרעיה כולו אסור, וכיון דקרינן ליה אסור היאך יתכן דהחלב מותר, ועוד הוכיח </w:t>
      </w:r>
      <w:r w:rsidRPr="007A4E0B">
        <w:rPr>
          <w:rStyle w:val="af9"/>
          <w:rFonts w:hint="cs"/>
          <w:rtl/>
        </w:rPr>
        <w:t>הט"ז</w:t>
      </w:r>
      <w:r>
        <w:rPr>
          <w:rFonts w:hint="cs"/>
          <w:rtl/>
        </w:rPr>
        <w:t xml:space="preserve"> מהא דמדמה הגמ' את הולד שבא מכח איסור אבר היוצא לולד שבא מכח </w:t>
      </w:r>
      <w:r>
        <w:rPr>
          <w:rtl/>
        </w:rPr>
        <w:t>חֵלֶב</w:t>
      </w:r>
      <w:r>
        <w:rPr>
          <w:rFonts w:hint="cs"/>
          <w:rtl/>
        </w:rPr>
        <w:t xml:space="preserve"> ודם, ואי ולד שאין לו תקנה אינו חשיב איסור, מה מקשה הגמ' הרי אפש"ל דולד שמכח אבר היוצא אינו איסור כלל, אלא שא"א לשוחטו, אלא כתב </w:t>
      </w:r>
      <w:r w:rsidRPr="009F180F">
        <w:rPr>
          <w:rStyle w:val="af9"/>
          <w:rFonts w:hint="cs"/>
          <w:rtl/>
        </w:rPr>
        <w:t xml:space="preserve">הט"ז </w:t>
      </w:r>
      <w:r>
        <w:rPr>
          <w:rFonts w:hint="cs"/>
          <w:rtl/>
        </w:rPr>
        <w:t>דמוכח דהולד הוא אסור, וממילא פשיטא דהחלב שלו אסור.</w:t>
      </w:r>
    </w:p>
    <w:p w14:paraId="5C11957C" w14:textId="77777777" w:rsidR="003D504D" w:rsidRPr="00891C67" w:rsidRDefault="003D504D" w:rsidP="003D504D">
      <w:pPr>
        <w:pStyle w:val="a3"/>
        <w:rPr>
          <w:rtl/>
        </w:rPr>
      </w:pPr>
      <w:bookmarkStart w:id="18961" w:name="_Toc1039456"/>
      <w:bookmarkStart w:id="18962" w:name="_Toc1040699"/>
      <w:bookmarkStart w:id="18963" w:name="_Toc1063591"/>
      <w:bookmarkStart w:id="18964" w:name="_Toc1112023"/>
      <w:bookmarkStart w:id="18965" w:name="_Toc1123888"/>
      <w:bookmarkStart w:id="18966" w:name="_Toc19391405"/>
      <w:bookmarkStart w:id="18967" w:name="_Toc19394902"/>
      <w:r>
        <w:rPr>
          <w:rFonts w:hint="cs"/>
          <w:rtl/>
        </w:rPr>
        <w:t>דחיית התבו"ש לביאור הש"ך דהולד אינו כטריפה אלא הוא איסור מחיים שאין לו תקנה</w:t>
      </w:r>
      <w:bookmarkEnd w:id="18961"/>
      <w:bookmarkEnd w:id="18962"/>
      <w:bookmarkEnd w:id="18963"/>
      <w:bookmarkEnd w:id="18964"/>
      <w:bookmarkEnd w:id="18965"/>
      <w:bookmarkEnd w:id="18966"/>
      <w:bookmarkEnd w:id="18967"/>
    </w:p>
    <w:p w14:paraId="29A0943C" w14:textId="77777777" w:rsidR="003D504D" w:rsidRDefault="003D504D" w:rsidP="00223668">
      <w:pPr>
        <w:pStyle w:val="a0"/>
        <w:rPr>
          <w:rtl/>
        </w:rPr>
      </w:pPr>
      <w:r>
        <w:rPr>
          <w:rFonts w:hint="cs"/>
          <w:rtl/>
        </w:rPr>
        <w:t xml:space="preserve">ובמ"ש </w:t>
      </w:r>
      <w:r w:rsidRPr="00F10D59">
        <w:rPr>
          <w:rStyle w:val="af9"/>
          <w:rFonts w:hint="cs"/>
          <w:rtl/>
        </w:rPr>
        <w:t>הש"ך</w:t>
      </w:r>
      <w:r>
        <w:rPr>
          <w:rFonts w:hint="cs"/>
          <w:rtl/>
        </w:rPr>
        <w:t xml:space="preserve"> דולד דאין לו תקנה הוא כטריפה כיון שאין לו סימן אחד דחה </w:t>
      </w:r>
      <w:r w:rsidRPr="00F10D59">
        <w:rPr>
          <w:rStyle w:val="af9"/>
          <w:rFonts w:hint="cs"/>
          <w:rtl/>
        </w:rPr>
        <w:t>התבו"ש</w:t>
      </w:r>
      <w:r>
        <w:rPr>
          <w:rFonts w:hint="cs"/>
          <w:rtl/>
        </w:rPr>
        <w:t xml:space="preserve"> </w:t>
      </w:r>
      <w:r w:rsidRPr="004304CE">
        <w:rPr>
          <w:rStyle w:val="af7"/>
          <w:rFonts w:eastAsia="Guttman Hodes" w:hint="cs"/>
          <w:rtl/>
        </w:rPr>
        <w:t>(סי' י"ג סקי"ח)</w:t>
      </w:r>
      <w:r w:rsidRPr="009F180F">
        <w:rPr>
          <w:rFonts w:hint="cs"/>
          <w:rtl/>
        </w:rPr>
        <w:t xml:space="preserve"> </w:t>
      </w:r>
      <w:r>
        <w:rPr>
          <w:rFonts w:hint="cs"/>
          <w:rtl/>
        </w:rPr>
        <w:t>דבגמ' מבואר רק שאין לו תקנה, אך אין לו דין טריפה כלל, דהרי טריפה אינה חיה, ואילו ולד זה הוא חי ככל בהמה, ולא דמי לשוחט סימן אחד בבהמה דהרי סופה למות, אבל הולד רק אנו רואים אותו כאילו הוא שחוט, אך אין הכוונה שהוא ודאי שחוט לענין טריפה.</w:t>
      </w:r>
    </w:p>
    <w:p w14:paraId="106381A4" w14:textId="77777777" w:rsidR="003D504D" w:rsidRPr="00A22EE9" w:rsidRDefault="003D504D" w:rsidP="003D504D">
      <w:pPr>
        <w:pStyle w:val="afe"/>
        <w:rPr>
          <w:rtl/>
        </w:rPr>
      </w:pPr>
      <w:bookmarkStart w:id="18968" w:name="_Toc725018"/>
      <w:bookmarkStart w:id="18969" w:name="_Toc773561"/>
      <w:bookmarkStart w:id="18970" w:name="_Toc955824"/>
      <w:bookmarkStart w:id="18971" w:name="_Toc1039477"/>
      <w:bookmarkStart w:id="18972" w:name="_Toc1040720"/>
      <w:bookmarkStart w:id="18973" w:name="_Toc1063592"/>
      <w:bookmarkStart w:id="18974" w:name="_Toc1112024"/>
      <w:bookmarkStart w:id="18975" w:name="_Toc1123889"/>
      <w:bookmarkStart w:id="18976" w:name="_Toc19436139"/>
      <w:bookmarkStart w:id="18977" w:name="_Toc20081320"/>
      <w:bookmarkEnd w:id="18865"/>
      <w:bookmarkEnd w:id="18866"/>
      <w:bookmarkEnd w:id="18867"/>
      <w:r w:rsidRPr="00A22EE9">
        <w:rPr>
          <w:rFonts w:hint="cs"/>
          <w:rtl/>
        </w:rPr>
        <w:t>בספק הגמ' ב</w:t>
      </w:r>
      <w:r>
        <w:rPr>
          <w:rFonts w:hint="cs"/>
          <w:rtl/>
        </w:rPr>
        <w:t>דין חלב</w:t>
      </w:r>
      <w:bookmarkEnd w:id="18968"/>
      <w:bookmarkEnd w:id="18969"/>
      <w:bookmarkEnd w:id="18970"/>
      <w:r>
        <w:rPr>
          <w:rFonts w:hint="cs"/>
          <w:rtl/>
        </w:rPr>
        <w:t xml:space="preserve"> מכח אבר היוצא</w:t>
      </w:r>
      <w:bookmarkEnd w:id="18971"/>
      <w:bookmarkEnd w:id="18972"/>
      <w:bookmarkEnd w:id="18973"/>
      <w:bookmarkEnd w:id="18974"/>
      <w:bookmarkEnd w:id="18975"/>
      <w:bookmarkEnd w:id="18976"/>
      <w:bookmarkEnd w:id="18977"/>
    </w:p>
    <w:p w14:paraId="54711AC3" w14:textId="77777777" w:rsidR="003D504D" w:rsidRPr="00A22EE9" w:rsidRDefault="003D504D" w:rsidP="00BF39B2">
      <w:pPr>
        <w:pStyle w:val="1"/>
        <w:rPr>
          <w:rtl/>
        </w:rPr>
      </w:pPr>
      <w:bookmarkStart w:id="18978" w:name="_Toc955825"/>
      <w:bookmarkStart w:id="18979" w:name="_Toc1039478"/>
      <w:bookmarkStart w:id="18980" w:name="_Toc1040721"/>
      <w:bookmarkStart w:id="18981" w:name="_Toc1063593"/>
      <w:bookmarkStart w:id="18982" w:name="_Toc1112025"/>
      <w:bookmarkStart w:id="18983" w:name="_Toc1123890"/>
      <w:bookmarkStart w:id="18984" w:name="_Toc19391406"/>
      <w:bookmarkStart w:id="18985" w:name="_Toc19394903"/>
      <w:r w:rsidRPr="00A22EE9">
        <w:rPr>
          <w:rFonts w:hint="cs"/>
          <w:rtl/>
        </w:rPr>
        <w:t>דברי רש"י ורבינו גרשום ד</w:t>
      </w:r>
      <w:r>
        <w:rPr>
          <w:rFonts w:hint="cs"/>
          <w:rtl/>
        </w:rPr>
        <w:t>הספק מהו לחוש לזרעו הכוונה ל</w:t>
      </w:r>
      <w:r>
        <w:rPr>
          <w:rtl/>
        </w:rPr>
        <w:t>חלב</w:t>
      </w:r>
      <w:bookmarkEnd w:id="18978"/>
      <w:bookmarkEnd w:id="18979"/>
      <w:bookmarkEnd w:id="18980"/>
      <w:bookmarkEnd w:id="18981"/>
      <w:bookmarkEnd w:id="18982"/>
      <w:bookmarkEnd w:id="18983"/>
      <w:bookmarkEnd w:id="18984"/>
      <w:bookmarkEnd w:id="18985"/>
    </w:p>
    <w:p w14:paraId="121C8ECC" w14:textId="77777777" w:rsidR="003D504D" w:rsidRPr="00A22EE9" w:rsidRDefault="003D504D" w:rsidP="003D504D">
      <w:pPr>
        <w:pStyle w:val="a3"/>
        <w:rPr>
          <w:rtl/>
        </w:rPr>
      </w:pPr>
      <w:bookmarkStart w:id="18986" w:name="_Toc1039479"/>
      <w:bookmarkStart w:id="18987" w:name="_Toc1040722"/>
      <w:bookmarkStart w:id="18988" w:name="_Toc1063594"/>
      <w:bookmarkStart w:id="18989" w:name="_Toc1112026"/>
      <w:bookmarkStart w:id="18990" w:name="_Toc1123891"/>
      <w:bookmarkStart w:id="18991" w:name="_Toc19391407"/>
      <w:bookmarkStart w:id="18992" w:name="_Toc19394904"/>
      <w:r>
        <w:rPr>
          <w:rFonts w:hint="cs"/>
          <w:rtl/>
        </w:rPr>
        <w:t>דברי רש"י דכוונת הגמ' זרעו היינו לחלב שבא אחר הלידה ודברי רבינו גרשום דהחלב חשוב כזרעו</w:t>
      </w:r>
      <w:bookmarkEnd w:id="18986"/>
      <w:bookmarkEnd w:id="18987"/>
      <w:bookmarkEnd w:id="18988"/>
      <w:bookmarkEnd w:id="18989"/>
      <w:bookmarkEnd w:id="18990"/>
      <w:bookmarkEnd w:id="18991"/>
      <w:bookmarkEnd w:id="18992"/>
    </w:p>
    <w:p w14:paraId="6C9EE76C" w14:textId="77777777" w:rsidR="003D504D" w:rsidRDefault="003D504D" w:rsidP="00223668">
      <w:pPr>
        <w:pStyle w:val="a0"/>
        <w:rPr>
          <w:rtl/>
        </w:rPr>
      </w:pPr>
      <w:bookmarkStart w:id="18993" w:name="_Toc519040"/>
      <w:bookmarkStart w:id="18994" w:name="_Toc725019"/>
      <w:bookmarkStart w:id="18995" w:name="_Toc773562"/>
      <w:r w:rsidRPr="00A22EE9">
        <w:rPr>
          <w:rFonts w:hint="cs"/>
          <w:rtl/>
        </w:rPr>
        <w:t>בביאור מסקנת הגמ' דהספק הוא לענין ה</w:t>
      </w:r>
      <w:r>
        <w:rPr>
          <w:rtl/>
        </w:rPr>
        <w:t>חלב</w:t>
      </w:r>
      <w:r w:rsidRPr="00A22EE9">
        <w:rPr>
          <w:rFonts w:hint="cs"/>
          <w:rtl/>
        </w:rPr>
        <w:t xml:space="preserve">, כתב </w:t>
      </w:r>
      <w:r w:rsidRPr="00A22EE9">
        <w:rPr>
          <w:rStyle w:val="af9"/>
          <w:rFonts w:hint="cs"/>
          <w:rtl/>
        </w:rPr>
        <w:t>רש"י</w:t>
      </w:r>
      <w:r w:rsidRPr="00A22EE9">
        <w:rPr>
          <w:rFonts w:hint="cs"/>
          <w:rtl/>
        </w:rPr>
        <w:t xml:space="preserve"> </w:t>
      </w:r>
      <w:r w:rsidRPr="004304CE">
        <w:rPr>
          <w:rStyle w:val="af7"/>
          <w:rFonts w:eastAsia="Guttman Hodes" w:hint="cs"/>
          <w:rtl/>
        </w:rPr>
        <w:t xml:space="preserve">(ד"ה את </w:t>
      </w:r>
      <w:r>
        <w:rPr>
          <w:rStyle w:val="af7"/>
          <w:rFonts w:eastAsia="Guttman Hodes" w:hint="cs"/>
          <w:rtl/>
        </w:rPr>
        <w:t>החלב</w:t>
      </w:r>
      <w:r w:rsidRPr="004304CE">
        <w:rPr>
          <w:rStyle w:val="af7"/>
          <w:rFonts w:eastAsia="Guttman Hodes" w:hint="cs"/>
          <w:rtl/>
        </w:rPr>
        <w:t xml:space="preserve">) </w:t>
      </w:r>
      <w:r w:rsidRPr="00A22EE9">
        <w:rPr>
          <w:rFonts w:hint="cs"/>
          <w:rtl/>
        </w:rPr>
        <w:t>דזוהי כוונת רבי ירמיה דהסתפק "מהו לחוש לזרעו", דזרעו הכוונה ל</w:t>
      </w:r>
      <w:r>
        <w:rPr>
          <w:rFonts w:hint="cs"/>
          <w:rtl/>
        </w:rPr>
        <w:t>חלב</w:t>
      </w:r>
      <w:r w:rsidRPr="00A22EE9">
        <w:rPr>
          <w:rFonts w:hint="cs"/>
          <w:rtl/>
        </w:rPr>
        <w:t xml:space="preserve"> כיון שה</w:t>
      </w:r>
      <w:r>
        <w:rPr>
          <w:rFonts w:hint="cs"/>
          <w:rtl/>
        </w:rPr>
        <w:t>חלב</w:t>
      </w:r>
      <w:r w:rsidRPr="00A22EE9">
        <w:rPr>
          <w:rFonts w:hint="cs"/>
          <w:rtl/>
        </w:rPr>
        <w:t xml:space="preserve"> בא רק לאחר שהבהמה יולדת, </w:t>
      </w:r>
      <w:r w:rsidRPr="00A22EE9">
        <w:rPr>
          <w:rStyle w:val="af9"/>
          <w:rFonts w:hint="cs"/>
          <w:rtl/>
        </w:rPr>
        <w:t>ורבינו גרשום</w:t>
      </w:r>
      <w:r w:rsidRPr="00A22EE9">
        <w:rPr>
          <w:rFonts w:hint="cs"/>
          <w:rtl/>
        </w:rPr>
        <w:t xml:space="preserve"> </w:t>
      </w:r>
      <w:r w:rsidRPr="004304CE">
        <w:rPr>
          <w:rStyle w:val="af7"/>
          <w:rFonts w:eastAsia="Guttman Hodes" w:hint="cs"/>
          <w:rtl/>
        </w:rPr>
        <w:t xml:space="preserve">(ד"ה והכי קא מבעיא) </w:t>
      </w:r>
      <w:r w:rsidRPr="00A22EE9">
        <w:rPr>
          <w:rFonts w:hint="cs"/>
          <w:rtl/>
        </w:rPr>
        <w:t>כתב דהספק של רב ירמיה "מהו לחוש לזרעו" אינו לענין ולד שיוצא ממנו אלא לענין ה</w:t>
      </w:r>
      <w:r>
        <w:rPr>
          <w:rFonts w:hint="cs"/>
          <w:rtl/>
        </w:rPr>
        <w:t>חלב,</w:t>
      </w:r>
      <w:r w:rsidRPr="00A22EE9">
        <w:rPr>
          <w:rFonts w:hint="cs"/>
          <w:rtl/>
        </w:rPr>
        <w:t xml:space="preserve"> דהוא חשוב כזרעו.</w:t>
      </w:r>
    </w:p>
    <w:p w14:paraId="272106BB" w14:textId="77777777" w:rsidR="003D504D" w:rsidRDefault="003D504D" w:rsidP="003D504D">
      <w:pPr>
        <w:pStyle w:val="a3"/>
        <w:rPr>
          <w:rtl/>
        </w:rPr>
      </w:pPr>
      <w:bookmarkStart w:id="18996" w:name="_Toc1123892"/>
      <w:bookmarkStart w:id="18997" w:name="_Toc19391408"/>
      <w:bookmarkStart w:id="18998" w:name="_Toc19394905"/>
      <w:r>
        <w:rPr>
          <w:rFonts w:hint="cs"/>
          <w:rtl/>
        </w:rPr>
        <w:t>דברי הראש יוסף דלמסקנא הספק אינו בולד הבא מכח אבר היוצא אלא בבן פקועה עצמו</w:t>
      </w:r>
      <w:bookmarkEnd w:id="18996"/>
      <w:bookmarkEnd w:id="18997"/>
      <w:bookmarkEnd w:id="18998"/>
    </w:p>
    <w:p w14:paraId="390C0E5F" w14:textId="77777777" w:rsidR="003D504D" w:rsidRDefault="003D504D" w:rsidP="00223668">
      <w:pPr>
        <w:pStyle w:val="a0"/>
        <w:rPr>
          <w:rtl/>
        </w:rPr>
      </w:pPr>
      <w:bookmarkStart w:id="18999" w:name="_Toc955826"/>
      <w:bookmarkStart w:id="19000" w:name="_Toc1039480"/>
      <w:bookmarkStart w:id="19001" w:name="_Toc1040723"/>
      <w:bookmarkStart w:id="19002" w:name="_Toc1063595"/>
      <w:bookmarkStart w:id="19003" w:name="_Toc1112027"/>
      <w:r w:rsidRPr="00721F37">
        <w:rPr>
          <w:rStyle w:val="af9"/>
          <w:rFonts w:hint="cs"/>
          <w:rtl/>
        </w:rPr>
        <w:t xml:space="preserve">והראש יוסף </w:t>
      </w:r>
      <w:r w:rsidRPr="006C4859">
        <w:rPr>
          <w:rStyle w:val="af7"/>
          <w:rFonts w:eastAsia="Guttman Hodes" w:hint="cs"/>
          <w:rtl/>
        </w:rPr>
        <w:t>(ד"ה והכי קמיבעיא)</w:t>
      </w:r>
      <w:r>
        <w:rPr>
          <w:rFonts w:hint="cs"/>
          <w:rtl/>
        </w:rPr>
        <w:t xml:space="preserve"> כתב דהגמ' חוזרת בה מהספק בזרעו, ולמסקנא הספק אינו לחוש לזרעו של הבן פקועה שיש בו אבר היוצא, אלא איירי בבן פקועה עצמו, שיש בו אבר היוצא כשהוא נקיבה, האם החלב שלה מותר, ולשון "זרעו" הוא לאו דוקא, דאיירי בנקיבה.</w:t>
      </w:r>
    </w:p>
    <w:p w14:paraId="1E903592" w14:textId="77777777" w:rsidR="003D504D" w:rsidRPr="00A22EE9" w:rsidRDefault="003D504D" w:rsidP="00BF39B2">
      <w:pPr>
        <w:pStyle w:val="1"/>
        <w:rPr>
          <w:rtl/>
        </w:rPr>
      </w:pPr>
      <w:bookmarkStart w:id="19004" w:name="_Toc1123893"/>
      <w:bookmarkStart w:id="19005" w:name="_Toc19391409"/>
      <w:bookmarkStart w:id="19006" w:name="_Toc19394906"/>
      <w:r w:rsidRPr="00A22EE9">
        <w:rPr>
          <w:rFonts w:hint="cs"/>
          <w:rtl/>
        </w:rPr>
        <w:t>דברי הרשב"א בביאור ספק הגמ' ב</w:t>
      </w:r>
      <w:r>
        <w:rPr>
          <w:rFonts w:hint="cs"/>
          <w:rtl/>
        </w:rPr>
        <w:t>דין</w:t>
      </w:r>
      <w:r w:rsidRPr="00A22EE9">
        <w:rPr>
          <w:rFonts w:hint="cs"/>
          <w:rtl/>
        </w:rPr>
        <w:t xml:space="preserve"> ה</w:t>
      </w:r>
      <w:r>
        <w:rPr>
          <w:rFonts w:hint="cs"/>
          <w:rtl/>
        </w:rPr>
        <w:t>חלב</w:t>
      </w:r>
      <w:bookmarkEnd w:id="18993"/>
      <w:bookmarkEnd w:id="18994"/>
      <w:bookmarkEnd w:id="18995"/>
      <w:bookmarkEnd w:id="18999"/>
      <w:bookmarkEnd w:id="19000"/>
      <w:bookmarkEnd w:id="19001"/>
      <w:bookmarkEnd w:id="19002"/>
      <w:bookmarkEnd w:id="19003"/>
      <w:bookmarkEnd w:id="19004"/>
      <w:bookmarkEnd w:id="19005"/>
      <w:bookmarkEnd w:id="19006"/>
    </w:p>
    <w:p w14:paraId="1D63DA76" w14:textId="77777777" w:rsidR="003D504D" w:rsidRPr="00A22EE9" w:rsidRDefault="003D504D" w:rsidP="003D504D">
      <w:pPr>
        <w:pStyle w:val="a3"/>
        <w:rPr>
          <w:rtl/>
        </w:rPr>
      </w:pPr>
      <w:bookmarkStart w:id="19007" w:name="_Toc773563"/>
      <w:bookmarkStart w:id="19008" w:name="_Toc955827"/>
      <w:bookmarkStart w:id="19009" w:name="_Toc1039481"/>
      <w:bookmarkStart w:id="19010" w:name="_Toc1040724"/>
      <w:bookmarkStart w:id="19011" w:name="_Toc1063596"/>
      <w:bookmarkStart w:id="19012" w:name="_Toc1112028"/>
      <w:bookmarkStart w:id="19013" w:name="_Toc1123894"/>
      <w:bookmarkStart w:id="19014" w:name="_Toc19391410"/>
      <w:bookmarkStart w:id="19015" w:name="_Toc19394907"/>
      <w:bookmarkStart w:id="19016" w:name="_Toc519041"/>
      <w:bookmarkStart w:id="19017" w:name="_Toc725020"/>
      <w:r w:rsidRPr="00A22EE9">
        <w:rPr>
          <w:rFonts w:hint="cs"/>
          <w:rtl/>
        </w:rPr>
        <w:t xml:space="preserve">קושית הרשב"א מה הצד בגמ' להתיר </w:t>
      </w:r>
      <w:r>
        <w:rPr>
          <w:rFonts w:hint="cs"/>
          <w:rtl/>
        </w:rPr>
        <w:t>חלב</w:t>
      </w:r>
      <w:r w:rsidRPr="00A22EE9">
        <w:rPr>
          <w:rFonts w:hint="cs"/>
          <w:rtl/>
        </w:rPr>
        <w:t xml:space="preserve"> שבא מכח אבר היוצא הא הוא כ</w:t>
      </w:r>
      <w:r>
        <w:rPr>
          <w:rFonts w:hint="cs"/>
          <w:rtl/>
        </w:rPr>
        <w:t>חלב</w:t>
      </w:r>
      <w:r w:rsidRPr="00A22EE9">
        <w:rPr>
          <w:rFonts w:hint="cs"/>
          <w:rtl/>
        </w:rPr>
        <w:t xml:space="preserve"> טריפה</w:t>
      </w:r>
      <w:bookmarkEnd w:id="19007"/>
      <w:bookmarkEnd w:id="19008"/>
      <w:bookmarkEnd w:id="19009"/>
      <w:bookmarkEnd w:id="19010"/>
      <w:bookmarkEnd w:id="19011"/>
      <w:bookmarkEnd w:id="19012"/>
      <w:bookmarkEnd w:id="19013"/>
      <w:bookmarkEnd w:id="19014"/>
      <w:bookmarkEnd w:id="19015"/>
    </w:p>
    <w:p w14:paraId="1AC0B218" w14:textId="77777777" w:rsidR="003D504D" w:rsidRDefault="003D504D" w:rsidP="00223668">
      <w:pPr>
        <w:pStyle w:val="a0"/>
        <w:rPr>
          <w:rtl/>
        </w:rPr>
      </w:pPr>
      <w:r w:rsidRPr="00A22EE9">
        <w:rPr>
          <w:rFonts w:hint="cs"/>
          <w:rtl/>
        </w:rPr>
        <w:t xml:space="preserve">כתב </w:t>
      </w:r>
      <w:r w:rsidRPr="00A22EE9">
        <w:rPr>
          <w:rStyle w:val="af9"/>
          <w:rFonts w:hint="cs"/>
          <w:rtl/>
        </w:rPr>
        <w:t>הרשב"א</w:t>
      </w:r>
      <w:r w:rsidRPr="00A22EE9">
        <w:rPr>
          <w:rFonts w:hint="cs"/>
          <w:rtl/>
        </w:rPr>
        <w:t xml:space="preserve"> </w:t>
      </w:r>
      <w:r w:rsidRPr="004304CE">
        <w:rPr>
          <w:rStyle w:val="af7"/>
          <w:rFonts w:eastAsia="Guttman Hodes" w:hint="cs"/>
          <w:rtl/>
        </w:rPr>
        <w:t>(ד"ה אלא)</w:t>
      </w:r>
      <w:r w:rsidRPr="00A22EE9">
        <w:rPr>
          <w:rFonts w:hint="cs"/>
          <w:rtl/>
        </w:rPr>
        <w:t xml:space="preserve"> דמסקנת הגמ' דכל מכח לא אמרינן ומותר הולד של הבן פקועה שיש בו אבר שאסור ביוצא, ובספק לענין </w:t>
      </w:r>
      <w:r>
        <w:rPr>
          <w:rFonts w:hint="cs"/>
          <w:rtl/>
        </w:rPr>
        <w:t>חלב</w:t>
      </w:r>
      <w:r w:rsidRPr="00A22EE9">
        <w:rPr>
          <w:rFonts w:hint="cs"/>
          <w:rtl/>
        </w:rPr>
        <w:t xml:space="preserve">, כתב </w:t>
      </w:r>
      <w:r w:rsidRPr="00A22EE9">
        <w:rPr>
          <w:rStyle w:val="af9"/>
          <w:rFonts w:hint="cs"/>
          <w:rtl/>
        </w:rPr>
        <w:t>הרשב"א</w:t>
      </w:r>
      <w:r w:rsidRPr="00A22EE9">
        <w:rPr>
          <w:rFonts w:hint="cs"/>
          <w:rtl/>
        </w:rPr>
        <w:t xml:space="preserve"> דכיון שנשארה הגמ' בתיקו, אזלינן לחומרא, והקשה </w:t>
      </w:r>
      <w:bookmarkEnd w:id="19016"/>
      <w:bookmarkEnd w:id="19017"/>
      <w:r w:rsidRPr="00A22EE9">
        <w:rPr>
          <w:rStyle w:val="af9"/>
          <w:rFonts w:hint="cs"/>
          <w:rtl/>
        </w:rPr>
        <w:t>הרשב"א בחי'</w:t>
      </w:r>
      <w:r w:rsidRPr="00A22EE9">
        <w:rPr>
          <w:rFonts w:hint="cs"/>
          <w:rtl/>
        </w:rPr>
        <w:t xml:space="preserve"> </w:t>
      </w:r>
      <w:r w:rsidRPr="004304CE">
        <w:rPr>
          <w:rStyle w:val="af7"/>
          <w:rFonts w:eastAsia="Guttman Hodes" w:hint="cs"/>
          <w:rtl/>
        </w:rPr>
        <w:t xml:space="preserve">(סט. ד"ה אלא כל) </w:t>
      </w:r>
      <w:r w:rsidRPr="00A22EE9">
        <w:rPr>
          <w:rStyle w:val="af9"/>
          <w:rFonts w:hint="cs"/>
          <w:rtl/>
        </w:rPr>
        <w:t>ובתוה"ב הארוך</w:t>
      </w:r>
      <w:r w:rsidRPr="00A22EE9">
        <w:rPr>
          <w:rFonts w:hint="cs"/>
          <w:rtl/>
        </w:rPr>
        <w:t xml:space="preserve"> </w:t>
      </w:r>
      <w:r w:rsidRPr="004304CE">
        <w:rPr>
          <w:rStyle w:val="af7"/>
          <w:rFonts w:eastAsia="Guttman Hodes" w:hint="cs"/>
          <w:rtl/>
        </w:rPr>
        <w:t xml:space="preserve">(ב"ב ש"ג דף נה. מדה"ס) </w:t>
      </w:r>
      <w:r w:rsidRPr="00A22EE9">
        <w:rPr>
          <w:rFonts w:hint="cs"/>
          <w:rtl/>
        </w:rPr>
        <w:t>דכיון שהאבר היוצא אסור כטריפה, א"כ פשיטא שה</w:t>
      </w:r>
      <w:r>
        <w:rPr>
          <w:rFonts w:hint="cs"/>
          <w:rtl/>
        </w:rPr>
        <w:t>חלב</w:t>
      </w:r>
      <w:r w:rsidRPr="00A22EE9">
        <w:rPr>
          <w:rFonts w:hint="cs"/>
          <w:rtl/>
        </w:rPr>
        <w:t xml:space="preserve"> שלו אסור, ככל </w:t>
      </w:r>
      <w:r>
        <w:rPr>
          <w:rFonts w:hint="cs"/>
          <w:rtl/>
        </w:rPr>
        <w:t>חלב</w:t>
      </w:r>
      <w:r w:rsidRPr="00A22EE9">
        <w:rPr>
          <w:rFonts w:hint="cs"/>
          <w:rtl/>
        </w:rPr>
        <w:t xml:space="preserve"> טריפה דאסור, ואי סברה הגמ' דכיון שהכשירה התורה את כל </w:t>
      </w:r>
      <w:r>
        <w:rPr>
          <w:rFonts w:hint="cs"/>
          <w:rtl/>
        </w:rPr>
        <w:t>חלב</w:t>
      </w:r>
      <w:r w:rsidRPr="00A22EE9">
        <w:rPr>
          <w:rFonts w:hint="cs"/>
          <w:rtl/>
        </w:rPr>
        <w:t xml:space="preserve"> הבא מהחי, א"כ אף </w:t>
      </w:r>
      <w:r>
        <w:rPr>
          <w:rFonts w:hint="cs"/>
          <w:rtl/>
        </w:rPr>
        <w:t>חלב</w:t>
      </w:r>
      <w:r w:rsidRPr="00A22EE9">
        <w:rPr>
          <w:rFonts w:hint="cs"/>
          <w:rtl/>
        </w:rPr>
        <w:t xml:space="preserve"> טריפה יהיה מותר, ובמשנה לקמן </w:t>
      </w:r>
      <w:r w:rsidRPr="004304CE">
        <w:rPr>
          <w:rStyle w:val="af7"/>
          <w:rFonts w:eastAsia="Guttman Hodes" w:hint="cs"/>
          <w:rtl/>
        </w:rPr>
        <w:t>(קטז:)</w:t>
      </w:r>
      <w:r w:rsidRPr="00A22EE9">
        <w:rPr>
          <w:rFonts w:hint="cs"/>
          <w:rtl/>
        </w:rPr>
        <w:t xml:space="preserve"> תנן להדיא ד</w:t>
      </w:r>
      <w:r>
        <w:rPr>
          <w:rFonts w:hint="cs"/>
          <w:rtl/>
        </w:rPr>
        <w:t>חלב</w:t>
      </w:r>
      <w:r w:rsidRPr="00A22EE9">
        <w:rPr>
          <w:rFonts w:hint="cs"/>
          <w:rtl/>
        </w:rPr>
        <w:t xml:space="preserve"> טריפה אסור, ועי' במ"ש </w:t>
      </w:r>
      <w:r w:rsidRPr="00A22EE9">
        <w:rPr>
          <w:rStyle w:val="af9"/>
          <w:rFonts w:hint="cs"/>
          <w:rtl/>
        </w:rPr>
        <w:t>הגר"ח</w:t>
      </w:r>
      <w:r w:rsidRPr="00A22EE9">
        <w:rPr>
          <w:rFonts w:hint="cs"/>
          <w:rtl/>
        </w:rPr>
        <w:t xml:space="preserve"> </w:t>
      </w:r>
      <w:r w:rsidRPr="004304CE">
        <w:rPr>
          <w:rStyle w:val="af7"/>
          <w:rFonts w:eastAsia="Guttman Hodes" w:hint="cs"/>
          <w:rtl/>
        </w:rPr>
        <w:t xml:space="preserve">(עי' אות </w:t>
      </w:r>
      <w:r w:rsidRPr="00824E0F">
        <w:rPr>
          <w:rStyle w:val="af7"/>
          <w:rFonts w:eastAsia="Guttman Hodes"/>
          <w:rtl/>
        </w:rPr>
        <w:fldChar w:fldCharType="begin"/>
      </w:r>
      <w:r w:rsidRPr="00824E0F">
        <w:rPr>
          <w:rStyle w:val="af7"/>
          <w:rFonts w:eastAsia="Guttman Hodes"/>
          <w:rtl/>
        </w:rPr>
        <w:instrText xml:space="preserve"> </w:instrText>
      </w:r>
      <w:r w:rsidRPr="00824E0F">
        <w:rPr>
          <w:rStyle w:val="af7"/>
          <w:rFonts w:eastAsia="Guttman Hodes" w:hint="cs"/>
        </w:rPr>
        <w:instrText>REF</w:instrText>
      </w:r>
      <w:r w:rsidRPr="00824E0F">
        <w:rPr>
          <w:rStyle w:val="af7"/>
          <w:rFonts w:eastAsia="Guttman Hodes" w:hint="cs"/>
          <w:rtl/>
        </w:rPr>
        <w:instrText xml:space="preserve"> _</w:instrText>
      </w:r>
      <w:r w:rsidRPr="00824E0F">
        <w:rPr>
          <w:rStyle w:val="af7"/>
          <w:rFonts w:eastAsia="Guttman Hodes" w:hint="cs"/>
        </w:rPr>
        <w:instrText>Ref535572010 \r \h</w:instrText>
      </w:r>
      <w:r w:rsidRPr="00824E0F">
        <w:rPr>
          <w:rStyle w:val="af7"/>
          <w:rFonts w:eastAsia="Guttman Hodes"/>
          <w:rtl/>
        </w:rPr>
        <w:instrText xml:space="preserve">  \* </w:instrText>
      </w:r>
      <w:r w:rsidRPr="00824E0F">
        <w:rPr>
          <w:rStyle w:val="af7"/>
          <w:rFonts w:eastAsia="Guttman Hodes"/>
        </w:rPr>
        <w:instrText>MERGEFORMAT</w:instrText>
      </w:r>
      <w:r w:rsidRPr="00824E0F">
        <w:rPr>
          <w:rStyle w:val="af7"/>
          <w:rFonts w:eastAsia="Guttman Hodes"/>
          <w:rtl/>
        </w:rPr>
        <w:instrText xml:space="preserve"> </w:instrText>
      </w:r>
      <w:r w:rsidRPr="00824E0F">
        <w:rPr>
          <w:rStyle w:val="af7"/>
          <w:rFonts w:eastAsia="Guttman Hodes"/>
          <w:rtl/>
        </w:rPr>
      </w:r>
      <w:r w:rsidRPr="00824E0F">
        <w:rPr>
          <w:rStyle w:val="af7"/>
          <w:rFonts w:eastAsia="Guttman Hodes"/>
          <w:rtl/>
        </w:rPr>
        <w:fldChar w:fldCharType="separate"/>
      </w:r>
      <w:r w:rsidR="00345400">
        <w:rPr>
          <w:rStyle w:val="af7"/>
          <w:rFonts w:eastAsia="Guttman Hodes"/>
          <w:cs/>
        </w:rPr>
        <w:t>‎</w:t>
      </w:r>
      <w:r w:rsidR="00345400">
        <w:rPr>
          <w:rStyle w:val="af7"/>
          <w:rFonts w:eastAsia="Guttman Hodes"/>
          <w:rtl/>
        </w:rPr>
        <w:t>קיד)</w:t>
      </w:r>
      <w:r w:rsidRPr="00824E0F">
        <w:rPr>
          <w:rStyle w:val="af7"/>
          <w:rFonts w:eastAsia="Guttman Hodes"/>
          <w:rtl/>
        </w:rPr>
        <w:fldChar w:fldCharType="end"/>
      </w:r>
      <w:r w:rsidRPr="00A22EE9">
        <w:rPr>
          <w:rFonts w:hint="cs"/>
          <w:rtl/>
        </w:rPr>
        <w:t xml:space="preserve"> בדעת </w:t>
      </w:r>
      <w:r w:rsidRPr="00A22EE9">
        <w:rPr>
          <w:rStyle w:val="af9"/>
          <w:rFonts w:hint="cs"/>
          <w:rtl/>
        </w:rPr>
        <w:t>הרמב"ם</w:t>
      </w:r>
      <w:r>
        <w:rPr>
          <w:rFonts w:hint="cs"/>
          <w:rtl/>
        </w:rPr>
        <w:t xml:space="preserve">, ועי' במה שתירץ </w:t>
      </w:r>
      <w:r w:rsidRPr="00485E61">
        <w:rPr>
          <w:rStyle w:val="af9"/>
          <w:rFonts w:hint="cs"/>
          <w:rtl/>
        </w:rPr>
        <w:t>האמרי משה</w:t>
      </w:r>
      <w:r>
        <w:rPr>
          <w:rFonts w:hint="cs"/>
          <w:rtl/>
        </w:rPr>
        <w:t xml:space="preserve"> </w:t>
      </w:r>
      <w:r w:rsidRPr="00485E61">
        <w:rPr>
          <w:rStyle w:val="af7"/>
          <w:rFonts w:eastAsia="Guttman Hodes" w:hint="cs"/>
          <w:rtl/>
        </w:rPr>
        <w:t xml:space="preserve">(עי' אות </w:t>
      </w:r>
      <w:r w:rsidRPr="00485E61">
        <w:rPr>
          <w:rStyle w:val="af7"/>
          <w:rFonts w:eastAsia="Guttman Hodes"/>
          <w:rtl/>
        </w:rPr>
        <w:fldChar w:fldCharType="begin"/>
      </w:r>
      <w:r w:rsidRPr="00485E61">
        <w:rPr>
          <w:rStyle w:val="af7"/>
          <w:rFonts w:eastAsia="Guttman Hodes"/>
          <w:rtl/>
        </w:rPr>
        <w:instrText xml:space="preserve"> </w:instrText>
      </w:r>
      <w:r w:rsidRPr="00485E61">
        <w:rPr>
          <w:rStyle w:val="af7"/>
          <w:rFonts w:eastAsia="Guttman Hodes" w:hint="cs"/>
        </w:rPr>
        <w:instrText>REF</w:instrText>
      </w:r>
      <w:r w:rsidRPr="00485E61">
        <w:rPr>
          <w:rStyle w:val="af7"/>
          <w:rFonts w:eastAsia="Guttman Hodes" w:hint="cs"/>
          <w:rtl/>
        </w:rPr>
        <w:instrText xml:space="preserve"> _</w:instrText>
      </w:r>
      <w:r w:rsidRPr="00485E61">
        <w:rPr>
          <w:rStyle w:val="af7"/>
          <w:rFonts w:eastAsia="Guttman Hodes" w:hint="cs"/>
        </w:rPr>
        <w:instrText>Ref535234263 \r \h</w:instrText>
      </w:r>
      <w:r w:rsidRPr="00485E61">
        <w:rPr>
          <w:rStyle w:val="af7"/>
          <w:rFonts w:eastAsia="Guttman Hodes"/>
          <w:rtl/>
        </w:rPr>
        <w:instrText xml:space="preserve"> </w:instrText>
      </w:r>
      <w:r w:rsidRPr="00485E61">
        <w:rPr>
          <w:rStyle w:val="af7"/>
          <w:rFonts w:eastAsia="Guttman Hodes"/>
          <w:rtl/>
        </w:rPr>
      </w:r>
      <w:r w:rsidRPr="00485E61">
        <w:rPr>
          <w:rStyle w:val="af7"/>
          <w:rFonts w:eastAsia="Guttman Hodes"/>
          <w:rtl/>
        </w:rPr>
        <w:fldChar w:fldCharType="separate"/>
      </w:r>
      <w:r w:rsidR="00345400">
        <w:rPr>
          <w:rStyle w:val="af7"/>
          <w:rFonts w:eastAsia="Guttman Hodes"/>
          <w:cs/>
        </w:rPr>
        <w:t>‎</w:t>
      </w:r>
      <w:r w:rsidR="00345400">
        <w:rPr>
          <w:rStyle w:val="af7"/>
          <w:rFonts w:eastAsia="Guttman Hodes"/>
          <w:rtl/>
        </w:rPr>
        <w:t>קכה)</w:t>
      </w:r>
      <w:r w:rsidRPr="00485E61">
        <w:rPr>
          <w:rStyle w:val="af7"/>
          <w:rFonts w:eastAsia="Guttman Hodes"/>
          <w:rtl/>
        </w:rPr>
        <w:fldChar w:fldCharType="end"/>
      </w:r>
      <w:r w:rsidRPr="0092290A">
        <w:rPr>
          <w:rFonts w:hint="cs"/>
          <w:rtl/>
        </w:rPr>
        <w:t xml:space="preserve"> </w:t>
      </w:r>
      <w:r>
        <w:rPr>
          <w:rFonts w:hint="cs"/>
          <w:rtl/>
        </w:rPr>
        <w:t xml:space="preserve">את קושית </w:t>
      </w:r>
      <w:r w:rsidRPr="0092290A">
        <w:rPr>
          <w:rStyle w:val="af9"/>
          <w:rFonts w:hint="cs"/>
          <w:rtl/>
        </w:rPr>
        <w:t>הרשב"א</w:t>
      </w:r>
      <w:r>
        <w:rPr>
          <w:rFonts w:hint="cs"/>
          <w:rtl/>
        </w:rPr>
        <w:t xml:space="preserve"> ל</w:t>
      </w:r>
      <w:r w:rsidRPr="00A22EE9">
        <w:rPr>
          <w:rFonts w:hint="cs"/>
          <w:rtl/>
        </w:rPr>
        <w:t xml:space="preserve">דעת </w:t>
      </w:r>
      <w:r w:rsidRPr="00A22EE9">
        <w:rPr>
          <w:rStyle w:val="af9"/>
          <w:rFonts w:hint="cs"/>
          <w:rtl/>
        </w:rPr>
        <w:t>הרמב"ם</w:t>
      </w:r>
      <w:r>
        <w:rPr>
          <w:rFonts w:hint="cs"/>
          <w:rtl/>
        </w:rPr>
        <w:t xml:space="preserve">, ובמ"ש </w:t>
      </w:r>
      <w:r w:rsidRPr="00815FF9">
        <w:rPr>
          <w:rStyle w:val="af9"/>
          <w:rFonts w:hint="cs"/>
          <w:rtl/>
        </w:rPr>
        <w:t>האמרי משה</w:t>
      </w:r>
      <w:r>
        <w:rPr>
          <w:rFonts w:hint="cs"/>
          <w:rtl/>
        </w:rPr>
        <w:t xml:space="preserve"> </w:t>
      </w:r>
      <w:r w:rsidRPr="00815FF9">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Ref535750645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קכט)</w:t>
      </w:r>
      <w:r>
        <w:rPr>
          <w:rStyle w:val="af7"/>
          <w:rFonts w:eastAsia="Guttman Hodes"/>
          <w:rtl/>
        </w:rPr>
        <w:fldChar w:fldCharType="end"/>
      </w:r>
      <w:r>
        <w:rPr>
          <w:rStyle w:val="af7"/>
          <w:rFonts w:eastAsia="Guttman Hodes" w:hint="cs"/>
          <w:rtl/>
        </w:rPr>
        <w:t xml:space="preserve"> </w:t>
      </w:r>
      <w:r>
        <w:rPr>
          <w:rFonts w:hint="cs"/>
          <w:rtl/>
        </w:rPr>
        <w:t>במסקנת דבריו</w:t>
      </w:r>
      <w:r w:rsidRPr="00A22EE9">
        <w:rPr>
          <w:rFonts w:hint="cs"/>
          <w:rtl/>
        </w:rPr>
        <w:t>.</w:t>
      </w:r>
    </w:p>
    <w:p w14:paraId="6D7CF24C" w14:textId="77777777" w:rsidR="003D504D" w:rsidRPr="00A22EE9" w:rsidRDefault="003D504D" w:rsidP="003D504D">
      <w:pPr>
        <w:pStyle w:val="a3"/>
        <w:rPr>
          <w:rtl/>
        </w:rPr>
      </w:pPr>
      <w:bookmarkStart w:id="19018" w:name="_Toc519043"/>
      <w:bookmarkStart w:id="19019" w:name="_Toc725022"/>
      <w:bookmarkStart w:id="19020" w:name="_Toc773565"/>
      <w:bookmarkStart w:id="19021" w:name="_Toc955829"/>
      <w:bookmarkStart w:id="19022" w:name="_Toc1039482"/>
      <w:bookmarkStart w:id="19023" w:name="_Toc1040725"/>
      <w:bookmarkStart w:id="19024" w:name="_Toc1063597"/>
      <w:bookmarkStart w:id="19025" w:name="_Toc1112029"/>
      <w:bookmarkStart w:id="19026" w:name="_Toc1123895"/>
      <w:bookmarkStart w:id="19027" w:name="_Toc19391411"/>
      <w:bookmarkStart w:id="19028" w:name="_Toc19394908"/>
      <w:bookmarkStart w:id="19029" w:name="_Toc519042"/>
      <w:bookmarkStart w:id="19030" w:name="_Toc725021"/>
      <w:bookmarkStart w:id="19031" w:name="_Toc773564"/>
      <w:bookmarkStart w:id="19032" w:name="_Toc955828"/>
      <w:r w:rsidRPr="00A22EE9">
        <w:rPr>
          <w:rFonts w:hint="cs"/>
          <w:rtl/>
        </w:rPr>
        <w:t xml:space="preserve">ביאור הרשב"א בספק הגמ' אי האבר הוא כאבמה"ח או דכיון שאין לו תקנה בשחיטה </w:t>
      </w:r>
      <w:r>
        <w:rPr>
          <w:rFonts w:hint="cs"/>
          <w:rtl/>
        </w:rPr>
        <w:t>החלב</w:t>
      </w:r>
      <w:r w:rsidRPr="00A22EE9">
        <w:rPr>
          <w:rFonts w:hint="cs"/>
          <w:rtl/>
        </w:rPr>
        <w:t xml:space="preserve"> אסור</w:t>
      </w:r>
      <w:bookmarkEnd w:id="19018"/>
      <w:bookmarkEnd w:id="19019"/>
      <w:bookmarkEnd w:id="19020"/>
      <w:bookmarkEnd w:id="19021"/>
      <w:bookmarkEnd w:id="19022"/>
      <w:bookmarkEnd w:id="19023"/>
      <w:bookmarkEnd w:id="19024"/>
      <w:bookmarkEnd w:id="19025"/>
      <w:bookmarkEnd w:id="19026"/>
      <w:bookmarkEnd w:id="19027"/>
      <w:bookmarkEnd w:id="19028"/>
    </w:p>
    <w:p w14:paraId="6D68348F" w14:textId="77777777" w:rsidR="003D504D" w:rsidRPr="00D70E3C" w:rsidRDefault="003D504D" w:rsidP="00223668">
      <w:pPr>
        <w:pStyle w:val="a0"/>
        <w:rPr>
          <w:rStyle w:val="afb"/>
        </w:rPr>
      </w:pPr>
      <w:bookmarkStart w:id="19033" w:name="_Ref975140"/>
      <w:bookmarkEnd w:id="19029"/>
      <w:bookmarkEnd w:id="19030"/>
      <w:bookmarkEnd w:id="19031"/>
      <w:bookmarkEnd w:id="19032"/>
      <w:r w:rsidRPr="001B11A3">
        <w:rPr>
          <w:rFonts w:hint="cs"/>
          <w:rtl/>
        </w:rPr>
        <w:t xml:space="preserve">אלא ביאר </w:t>
      </w:r>
      <w:r w:rsidRPr="001B11A3">
        <w:rPr>
          <w:rStyle w:val="af9"/>
          <w:rFonts w:hint="cs"/>
          <w:rtl/>
        </w:rPr>
        <w:t>הרשב"א בחי' ובתוה"ב</w:t>
      </w:r>
      <w:r w:rsidRPr="001B11A3">
        <w:rPr>
          <w:rFonts w:hint="cs"/>
          <w:rtl/>
        </w:rPr>
        <w:t xml:space="preserve"> </w:t>
      </w:r>
      <w:r w:rsidRPr="001B11A3">
        <w:rPr>
          <w:rStyle w:val="af9"/>
          <w:rFonts w:hint="cs"/>
          <w:rtl/>
        </w:rPr>
        <w:t>הארוך</w:t>
      </w:r>
      <w:r w:rsidRPr="001B11A3">
        <w:rPr>
          <w:rFonts w:hint="cs"/>
          <w:rtl/>
        </w:rPr>
        <w:t xml:space="preserve"> דהאיסור באבר היוצא אינו </w:t>
      </w:r>
      <w:r>
        <w:rPr>
          <w:rFonts w:hint="cs"/>
          <w:rtl/>
        </w:rPr>
        <w:t>כ</w:t>
      </w:r>
      <w:r w:rsidRPr="001B11A3">
        <w:rPr>
          <w:rFonts w:hint="cs"/>
          <w:rtl/>
        </w:rPr>
        <w:t xml:space="preserve">טריפה, אלא </w:t>
      </w:r>
      <w:r>
        <w:rPr>
          <w:rFonts w:hint="cs"/>
          <w:rtl/>
        </w:rPr>
        <w:t>ד</w:t>
      </w:r>
      <w:r w:rsidRPr="001B11A3">
        <w:rPr>
          <w:rFonts w:hint="cs"/>
          <w:rtl/>
        </w:rPr>
        <w:t xml:space="preserve">לא הועילה לו שחיטת אמו </w:t>
      </w:r>
      <w:r>
        <w:rPr>
          <w:rFonts w:hint="cs"/>
          <w:rtl/>
        </w:rPr>
        <w:t>וחשיב</w:t>
      </w:r>
      <w:r w:rsidRPr="001B11A3">
        <w:rPr>
          <w:rFonts w:hint="cs"/>
          <w:rtl/>
        </w:rPr>
        <w:t xml:space="preserve"> כחי, </w:t>
      </w:r>
      <w:r w:rsidRPr="00A22EE9">
        <w:rPr>
          <w:rFonts w:hint="cs"/>
          <w:rtl/>
        </w:rPr>
        <w:t xml:space="preserve">ובזה ביאר </w:t>
      </w:r>
      <w:r w:rsidRPr="00A22EE9">
        <w:rPr>
          <w:rStyle w:val="af9"/>
          <w:rFonts w:hint="cs"/>
          <w:rtl/>
        </w:rPr>
        <w:t xml:space="preserve">הרשב"א </w:t>
      </w:r>
      <w:r w:rsidRPr="00A22EE9">
        <w:rPr>
          <w:rFonts w:hint="cs"/>
          <w:rtl/>
        </w:rPr>
        <w:t>את ספק הגמ' אי כיון ד</w:t>
      </w:r>
      <w:r>
        <w:rPr>
          <w:rFonts w:hint="cs"/>
          <w:rtl/>
        </w:rPr>
        <w:t>חלב</w:t>
      </w:r>
      <w:r w:rsidRPr="00A22EE9">
        <w:rPr>
          <w:rFonts w:hint="cs"/>
          <w:rtl/>
        </w:rPr>
        <w:t xml:space="preserve"> הבא מן החי</w:t>
      </w:r>
      <w:r>
        <w:rPr>
          <w:rFonts w:hint="cs"/>
          <w:rtl/>
        </w:rPr>
        <w:t xml:space="preserve"> מותר</w:t>
      </w:r>
      <w:r w:rsidRPr="00A22EE9">
        <w:rPr>
          <w:rFonts w:hint="cs"/>
          <w:rtl/>
        </w:rPr>
        <w:t>, ה"ה דמותר ה</w:t>
      </w:r>
      <w:r>
        <w:rPr>
          <w:rFonts w:hint="cs"/>
          <w:rtl/>
        </w:rPr>
        <w:t>חלב</w:t>
      </w:r>
      <w:r w:rsidRPr="00A22EE9">
        <w:rPr>
          <w:rFonts w:hint="cs"/>
          <w:rtl/>
        </w:rPr>
        <w:t xml:space="preserve"> שבא גם מכח האבר היוצא, דהוא כ</w:t>
      </w:r>
      <w:r>
        <w:rPr>
          <w:rFonts w:hint="cs"/>
          <w:rtl/>
        </w:rPr>
        <w:t>חלב</w:t>
      </w:r>
      <w:r w:rsidRPr="00A22EE9">
        <w:rPr>
          <w:rFonts w:hint="cs"/>
          <w:rtl/>
        </w:rPr>
        <w:t xml:space="preserve"> הבא מהחי, דאין חילוק בין </w:t>
      </w:r>
      <w:r>
        <w:rPr>
          <w:rFonts w:hint="cs"/>
          <w:rtl/>
        </w:rPr>
        <w:t>חלב</w:t>
      </w:r>
      <w:r w:rsidRPr="00A22EE9">
        <w:rPr>
          <w:rFonts w:hint="cs"/>
          <w:rtl/>
        </w:rPr>
        <w:t xml:space="preserve"> שבא מכח אבר אחד שהוא כחי, לבין </w:t>
      </w:r>
      <w:r>
        <w:rPr>
          <w:rFonts w:hint="cs"/>
          <w:rtl/>
        </w:rPr>
        <w:t>חלב</w:t>
      </w:r>
      <w:r w:rsidRPr="00A22EE9">
        <w:rPr>
          <w:rFonts w:hint="cs"/>
          <w:rtl/>
        </w:rPr>
        <w:t xml:space="preserve"> שבא מבהמה שכולה חיה, או דההיתר בכל </w:t>
      </w:r>
      <w:r>
        <w:rPr>
          <w:rFonts w:hint="cs"/>
          <w:rtl/>
        </w:rPr>
        <w:t>חלב</w:t>
      </w:r>
      <w:r w:rsidRPr="00A22EE9">
        <w:rPr>
          <w:rFonts w:hint="cs"/>
          <w:rtl/>
        </w:rPr>
        <w:t xml:space="preserve"> מהחי, הוא כיון דהאיסור אבר מן החי שבכל בהמה הוא חיות גרועה, דעומד האיסור להיות מתוקן ע"י שחיטה, ולכן אף מחיים </w:t>
      </w:r>
      <w:r>
        <w:rPr>
          <w:rFonts w:hint="cs"/>
          <w:rtl/>
        </w:rPr>
        <w:t>חלב</w:t>
      </w:r>
      <w:r w:rsidRPr="00A22EE9">
        <w:rPr>
          <w:rFonts w:hint="cs"/>
          <w:rtl/>
        </w:rPr>
        <w:t xml:space="preserve">ה מותר, אבל באבר היוצא, שלעולם אין תקנה לחיות שלו, א"כ אף </w:t>
      </w:r>
      <w:r>
        <w:rPr>
          <w:rFonts w:hint="cs"/>
          <w:rtl/>
        </w:rPr>
        <w:t>החלב</w:t>
      </w:r>
      <w:r w:rsidRPr="00A22EE9">
        <w:rPr>
          <w:rFonts w:hint="cs"/>
          <w:rtl/>
        </w:rPr>
        <w:t xml:space="preserve"> יהיה אסור, וכ"כ </w:t>
      </w:r>
      <w:r w:rsidRPr="00A22EE9">
        <w:rPr>
          <w:rStyle w:val="af9"/>
          <w:rFonts w:hint="cs"/>
          <w:rtl/>
        </w:rPr>
        <w:t>הר"ן על הרי"ף</w:t>
      </w:r>
      <w:r w:rsidRPr="00A22EE9">
        <w:rPr>
          <w:rFonts w:hint="cs"/>
          <w:rtl/>
        </w:rPr>
        <w:t xml:space="preserve"> </w:t>
      </w:r>
      <w:r w:rsidRPr="00D70E3C">
        <w:rPr>
          <w:rStyle w:val="af7"/>
          <w:rFonts w:eastAsia="Guttman Hodes" w:hint="cs"/>
          <w:rtl/>
        </w:rPr>
        <w:t>(כד. מדפי הרי"ף ד"ה גרסי')</w:t>
      </w:r>
      <w:r w:rsidRPr="00A22EE9">
        <w:rPr>
          <w:rFonts w:hint="cs"/>
          <w:rtl/>
        </w:rPr>
        <w:t xml:space="preserve">, ועי' במה שביאר </w:t>
      </w:r>
      <w:r w:rsidRPr="00A22EE9">
        <w:rPr>
          <w:rStyle w:val="af9"/>
          <w:rFonts w:hint="cs"/>
          <w:rtl/>
        </w:rPr>
        <w:t>האמרי משה</w:t>
      </w:r>
      <w:r w:rsidRPr="00A22EE9">
        <w:rPr>
          <w:rFonts w:hint="cs"/>
          <w:rtl/>
        </w:rPr>
        <w:t xml:space="preserve"> </w:t>
      </w:r>
      <w:r w:rsidRPr="00D70E3C">
        <w:rPr>
          <w:rStyle w:val="af7"/>
          <w:rFonts w:eastAsia="Guttman Hodes" w:hint="cs"/>
          <w:rtl/>
        </w:rPr>
        <w:t xml:space="preserve">(עי' אות </w:t>
      </w:r>
      <w:r w:rsidRPr="00D70E3C">
        <w:rPr>
          <w:rStyle w:val="af7"/>
          <w:rFonts w:eastAsia="Guttman Hodes"/>
          <w:rtl/>
        </w:rPr>
        <w:fldChar w:fldCharType="begin"/>
      </w:r>
      <w:r w:rsidRPr="00D70E3C">
        <w:rPr>
          <w:rStyle w:val="af7"/>
          <w:rFonts w:eastAsia="Guttman Hodes"/>
          <w:rtl/>
        </w:rPr>
        <w:instrText xml:space="preserve"> </w:instrText>
      </w:r>
      <w:r w:rsidRPr="00D70E3C">
        <w:rPr>
          <w:rStyle w:val="af7"/>
          <w:rFonts w:eastAsia="Guttman Hodes" w:hint="cs"/>
        </w:rPr>
        <w:instrText>REF</w:instrText>
      </w:r>
      <w:r w:rsidRPr="00D70E3C">
        <w:rPr>
          <w:rStyle w:val="af7"/>
          <w:rFonts w:eastAsia="Guttman Hodes" w:hint="cs"/>
          <w:rtl/>
        </w:rPr>
        <w:instrText xml:space="preserve"> _</w:instrText>
      </w:r>
      <w:r w:rsidRPr="00D70E3C">
        <w:rPr>
          <w:rStyle w:val="af7"/>
          <w:rFonts w:eastAsia="Guttman Hodes" w:hint="cs"/>
        </w:rPr>
        <w:instrText>Ref535228559 \r \h</w:instrText>
      </w:r>
      <w:r w:rsidRPr="00D70E3C">
        <w:rPr>
          <w:rStyle w:val="af7"/>
          <w:rFonts w:eastAsia="Guttman Hodes"/>
          <w:rtl/>
        </w:rPr>
        <w:instrText xml:space="preserve">  \* </w:instrText>
      </w:r>
      <w:r w:rsidRPr="00D70E3C">
        <w:rPr>
          <w:rStyle w:val="af7"/>
          <w:rFonts w:eastAsia="Guttman Hodes"/>
        </w:rPr>
        <w:instrText>MERGEFORMAT</w:instrText>
      </w:r>
      <w:r w:rsidRPr="00D70E3C">
        <w:rPr>
          <w:rStyle w:val="af7"/>
          <w:rFonts w:eastAsia="Guttman Hodes"/>
          <w:rtl/>
        </w:rPr>
        <w:instrText xml:space="preserve"> </w:instrText>
      </w:r>
      <w:r w:rsidRPr="00D70E3C">
        <w:rPr>
          <w:rStyle w:val="af7"/>
          <w:rFonts w:eastAsia="Guttman Hodes"/>
          <w:rtl/>
        </w:rPr>
      </w:r>
      <w:r w:rsidRPr="00D70E3C">
        <w:rPr>
          <w:rStyle w:val="af7"/>
          <w:rFonts w:eastAsia="Guttman Hodes"/>
          <w:rtl/>
        </w:rPr>
        <w:fldChar w:fldCharType="separate"/>
      </w:r>
      <w:r w:rsidR="00345400">
        <w:rPr>
          <w:rStyle w:val="af7"/>
          <w:rFonts w:eastAsia="Guttman Hodes"/>
          <w:cs/>
        </w:rPr>
        <w:t>‎</w:t>
      </w:r>
      <w:r w:rsidR="00345400">
        <w:rPr>
          <w:rStyle w:val="af7"/>
          <w:rFonts w:eastAsia="Guttman Hodes"/>
          <w:rtl/>
        </w:rPr>
        <w:t>עח)</w:t>
      </w:r>
      <w:r w:rsidRPr="00D70E3C">
        <w:rPr>
          <w:rStyle w:val="af7"/>
          <w:rFonts w:eastAsia="Guttman Hodes"/>
          <w:rtl/>
        </w:rPr>
        <w:fldChar w:fldCharType="end"/>
      </w:r>
      <w:r w:rsidRPr="00A22EE9">
        <w:rPr>
          <w:rFonts w:hint="cs"/>
          <w:rtl/>
        </w:rPr>
        <w:t xml:space="preserve"> בדברי </w:t>
      </w:r>
      <w:r w:rsidRPr="00A22EE9">
        <w:rPr>
          <w:rStyle w:val="af9"/>
          <w:rFonts w:hint="cs"/>
          <w:rtl/>
        </w:rPr>
        <w:t>הרשב"א</w:t>
      </w:r>
      <w:r>
        <w:rPr>
          <w:rFonts w:hint="cs"/>
          <w:rtl/>
        </w:rPr>
        <w:t xml:space="preserve">, וע"ע במ"ש </w:t>
      </w:r>
      <w:r w:rsidRPr="00372633">
        <w:rPr>
          <w:rStyle w:val="af9"/>
          <w:rFonts w:hint="cs"/>
          <w:rtl/>
        </w:rPr>
        <w:t>המשנת ר"א</w:t>
      </w:r>
      <w:r w:rsidRPr="005506C8">
        <w:rPr>
          <w:rStyle w:val="af9"/>
          <w:rFonts w:hint="cs"/>
          <w:rtl/>
        </w:rPr>
        <w:t xml:space="preserve"> </w:t>
      </w:r>
      <w:r>
        <w:rPr>
          <w:rStyle w:val="af9"/>
          <w:rFonts w:hint="cs"/>
          <w:rtl/>
        </w:rPr>
        <w:t>ו</w:t>
      </w:r>
      <w:r w:rsidRPr="00C10F4F">
        <w:rPr>
          <w:rStyle w:val="af9"/>
          <w:rFonts w:hint="cs"/>
          <w:rtl/>
        </w:rPr>
        <w:t>האמרי משה</w:t>
      </w:r>
      <w:r>
        <w:rPr>
          <w:rFonts w:hint="cs"/>
          <w:rtl/>
        </w:rPr>
        <w:t xml:space="preserve"> </w:t>
      </w:r>
      <w:r w:rsidRPr="00D70E3C">
        <w:rPr>
          <w:rStyle w:val="af7"/>
          <w:rFonts w:eastAsia="Guttman Hodes" w:hint="cs"/>
          <w:rtl/>
        </w:rPr>
        <w:t xml:space="preserve">(עי' אות </w:t>
      </w:r>
      <w:r w:rsidRPr="00D70E3C">
        <w:rPr>
          <w:rStyle w:val="af7"/>
          <w:rFonts w:eastAsia="Guttman Hodes"/>
          <w:rtl/>
        </w:rPr>
        <w:fldChar w:fldCharType="begin"/>
      </w:r>
      <w:r w:rsidRPr="00D70E3C">
        <w:rPr>
          <w:rStyle w:val="af7"/>
          <w:rFonts w:eastAsia="Guttman Hodes"/>
          <w:rtl/>
        </w:rPr>
        <w:instrText xml:space="preserve"> </w:instrText>
      </w:r>
      <w:r w:rsidRPr="00D70E3C">
        <w:rPr>
          <w:rStyle w:val="af7"/>
          <w:rFonts w:eastAsia="Guttman Hodes" w:hint="cs"/>
        </w:rPr>
        <w:instrText>REF</w:instrText>
      </w:r>
      <w:r w:rsidRPr="00D70E3C">
        <w:rPr>
          <w:rStyle w:val="af7"/>
          <w:rFonts w:eastAsia="Guttman Hodes" w:hint="cs"/>
          <w:rtl/>
        </w:rPr>
        <w:instrText xml:space="preserve"> _</w:instrText>
      </w:r>
      <w:r w:rsidRPr="00D70E3C">
        <w:rPr>
          <w:rStyle w:val="af7"/>
          <w:rFonts w:eastAsia="Guttman Hodes" w:hint="cs"/>
        </w:rPr>
        <w:instrText>Ref535228559 \r \h</w:instrText>
      </w:r>
      <w:r w:rsidRPr="00D70E3C">
        <w:rPr>
          <w:rStyle w:val="af7"/>
          <w:rFonts w:eastAsia="Guttman Hodes"/>
          <w:rtl/>
        </w:rPr>
        <w:instrText xml:space="preserve"> </w:instrText>
      </w:r>
      <w:r w:rsidRPr="00D70E3C">
        <w:rPr>
          <w:rStyle w:val="af7"/>
          <w:rFonts w:eastAsia="Guttman Hodes"/>
          <w:rtl/>
        </w:rPr>
      </w:r>
      <w:r w:rsidRPr="00D70E3C">
        <w:rPr>
          <w:rStyle w:val="af7"/>
          <w:rFonts w:eastAsia="Guttman Hodes"/>
          <w:rtl/>
        </w:rPr>
        <w:fldChar w:fldCharType="separate"/>
      </w:r>
      <w:r w:rsidR="00345400">
        <w:rPr>
          <w:rStyle w:val="af7"/>
          <w:rFonts w:eastAsia="Guttman Hodes"/>
          <w:cs/>
        </w:rPr>
        <w:t>‎</w:t>
      </w:r>
      <w:r w:rsidR="00345400">
        <w:rPr>
          <w:rStyle w:val="af7"/>
          <w:rFonts w:eastAsia="Guttman Hodes"/>
          <w:rtl/>
        </w:rPr>
        <w:t>עח)</w:t>
      </w:r>
      <w:r w:rsidRPr="00D70E3C">
        <w:rPr>
          <w:rStyle w:val="af7"/>
          <w:rFonts w:eastAsia="Guttman Hodes"/>
          <w:rtl/>
        </w:rPr>
        <w:fldChar w:fldCharType="end"/>
      </w:r>
      <w:r>
        <w:rPr>
          <w:rFonts w:hint="cs"/>
          <w:rtl/>
        </w:rPr>
        <w:t xml:space="preserve"> בגדר איסור אבר היוצא, וע"ע בדברי </w:t>
      </w:r>
      <w:r w:rsidRPr="005506C8">
        <w:rPr>
          <w:rStyle w:val="af9"/>
          <w:rFonts w:hint="cs"/>
          <w:rtl/>
        </w:rPr>
        <w:t>הגר"ח</w:t>
      </w:r>
      <w:r>
        <w:rPr>
          <w:rFonts w:hint="cs"/>
          <w:rtl/>
        </w:rPr>
        <w:t xml:space="preserve"> </w:t>
      </w:r>
      <w:r w:rsidRPr="00D70E3C">
        <w:rPr>
          <w:rStyle w:val="af7"/>
          <w:rFonts w:eastAsia="Guttman Hodes" w:hint="cs"/>
          <w:rtl/>
        </w:rPr>
        <w:t xml:space="preserve">(עי' אות </w:t>
      </w:r>
      <w:r w:rsidRPr="00D70E3C">
        <w:rPr>
          <w:rStyle w:val="af7"/>
          <w:rFonts w:eastAsia="Guttman Hodes"/>
          <w:rtl/>
        </w:rPr>
        <w:fldChar w:fldCharType="begin"/>
      </w:r>
      <w:r w:rsidRPr="00D70E3C">
        <w:rPr>
          <w:rStyle w:val="af7"/>
          <w:rFonts w:eastAsia="Guttman Hodes"/>
          <w:rtl/>
        </w:rPr>
        <w:instrText xml:space="preserve"> </w:instrText>
      </w:r>
      <w:r w:rsidRPr="00D70E3C">
        <w:rPr>
          <w:rStyle w:val="af7"/>
          <w:rFonts w:eastAsia="Guttman Hodes" w:hint="cs"/>
        </w:rPr>
        <w:instrText>REF</w:instrText>
      </w:r>
      <w:r w:rsidRPr="00D70E3C">
        <w:rPr>
          <w:rStyle w:val="af7"/>
          <w:rFonts w:eastAsia="Guttman Hodes" w:hint="cs"/>
          <w:rtl/>
        </w:rPr>
        <w:instrText xml:space="preserve"> _</w:instrText>
      </w:r>
      <w:r w:rsidRPr="00D70E3C">
        <w:rPr>
          <w:rStyle w:val="af7"/>
          <w:rFonts w:eastAsia="Guttman Hodes" w:hint="cs"/>
        </w:rPr>
        <w:instrText>Ref1111013 \r \h</w:instrText>
      </w:r>
      <w:r w:rsidRPr="00D70E3C">
        <w:rPr>
          <w:rStyle w:val="af7"/>
          <w:rFonts w:eastAsia="Guttman Hodes"/>
          <w:rtl/>
        </w:rPr>
        <w:instrText xml:space="preserve"> </w:instrText>
      </w:r>
      <w:r w:rsidRPr="00D70E3C">
        <w:rPr>
          <w:rStyle w:val="af7"/>
          <w:rFonts w:eastAsia="Guttman Hodes"/>
          <w:rtl/>
        </w:rPr>
      </w:r>
      <w:r w:rsidRPr="00D70E3C">
        <w:rPr>
          <w:rStyle w:val="af7"/>
          <w:rFonts w:eastAsia="Guttman Hodes"/>
          <w:rtl/>
        </w:rPr>
        <w:fldChar w:fldCharType="separate"/>
      </w:r>
      <w:r w:rsidR="00345400">
        <w:rPr>
          <w:rStyle w:val="af7"/>
          <w:rFonts w:eastAsia="Guttman Hodes"/>
          <w:cs/>
        </w:rPr>
        <w:t>‎</w:t>
      </w:r>
      <w:r w:rsidR="00345400">
        <w:rPr>
          <w:rStyle w:val="af7"/>
          <w:rFonts w:eastAsia="Guttman Hodes"/>
          <w:rtl/>
        </w:rPr>
        <w:t>קד)</w:t>
      </w:r>
      <w:r w:rsidRPr="00D70E3C">
        <w:rPr>
          <w:rStyle w:val="af7"/>
          <w:rFonts w:eastAsia="Guttman Hodes"/>
          <w:rtl/>
        </w:rPr>
        <w:fldChar w:fldCharType="end"/>
      </w:r>
      <w:r>
        <w:rPr>
          <w:rFonts w:hint="cs"/>
          <w:rtl/>
        </w:rPr>
        <w:t xml:space="preserve">. </w:t>
      </w:r>
      <w:bookmarkStart w:id="19034" w:name="_Toc1039483"/>
      <w:bookmarkStart w:id="19035" w:name="_Toc1040726"/>
      <w:bookmarkStart w:id="19036" w:name="_Toc1063598"/>
      <w:bookmarkStart w:id="19037" w:name="_Toc1112030"/>
      <w:bookmarkStart w:id="19038" w:name="_Toc1123896"/>
      <w:bookmarkEnd w:id="19033"/>
    </w:p>
    <w:p w14:paraId="51B541F7" w14:textId="77777777" w:rsidR="003D504D" w:rsidRPr="00A22EE9" w:rsidRDefault="003D504D" w:rsidP="003D504D">
      <w:pPr>
        <w:pStyle w:val="a3"/>
        <w:rPr>
          <w:rtl/>
        </w:rPr>
      </w:pPr>
      <w:bookmarkStart w:id="19039" w:name="_Toc19391412"/>
      <w:bookmarkStart w:id="19040" w:name="_Toc19394909"/>
      <w:r>
        <w:rPr>
          <w:rFonts w:hint="cs"/>
          <w:rtl/>
        </w:rPr>
        <w:t>קושית הרא"ה דכיון שחלב הבא מן החי מותר ה"ה חלב מכח האבר היוצא שאסור באבמה"ח</w:t>
      </w:r>
      <w:bookmarkEnd w:id="19034"/>
      <w:bookmarkEnd w:id="19035"/>
      <w:bookmarkEnd w:id="19036"/>
      <w:bookmarkEnd w:id="19037"/>
      <w:bookmarkEnd w:id="19038"/>
      <w:bookmarkEnd w:id="19039"/>
      <w:bookmarkEnd w:id="19040"/>
    </w:p>
    <w:p w14:paraId="31B08FDA" w14:textId="77777777" w:rsidR="003D504D" w:rsidRPr="00A22EE9" w:rsidRDefault="003D504D" w:rsidP="00223668">
      <w:pPr>
        <w:pStyle w:val="a0"/>
        <w:rPr>
          <w:rtl/>
        </w:rPr>
      </w:pPr>
      <w:bookmarkStart w:id="19041" w:name="_Toc519044"/>
      <w:r w:rsidRPr="00A22EE9">
        <w:rPr>
          <w:rFonts w:hint="cs"/>
          <w:rtl/>
        </w:rPr>
        <w:t>והקשה</w:t>
      </w:r>
      <w:r w:rsidRPr="00A22EE9">
        <w:rPr>
          <w:rStyle w:val="af9"/>
          <w:rFonts w:hint="cs"/>
          <w:rtl/>
        </w:rPr>
        <w:t xml:space="preserve"> הרא"ה בבד"ה</w:t>
      </w:r>
      <w:r w:rsidRPr="00A22EE9">
        <w:rPr>
          <w:rFonts w:hint="cs"/>
          <w:rtl/>
        </w:rPr>
        <w:t xml:space="preserve"> </w:t>
      </w:r>
      <w:r w:rsidRPr="004304CE">
        <w:rPr>
          <w:rStyle w:val="af7"/>
          <w:rFonts w:eastAsia="Guttman Hodes" w:hint="cs"/>
          <w:rtl/>
        </w:rPr>
        <w:t xml:space="preserve">(ב"ב ש"ד דף נה. מדה"ס) </w:t>
      </w:r>
      <w:r w:rsidRPr="00A22EE9">
        <w:rPr>
          <w:rFonts w:hint="cs"/>
          <w:rtl/>
        </w:rPr>
        <w:t xml:space="preserve">על דברי </w:t>
      </w:r>
      <w:r w:rsidRPr="00A22EE9">
        <w:rPr>
          <w:rStyle w:val="af9"/>
          <w:rFonts w:hint="cs"/>
          <w:rtl/>
        </w:rPr>
        <w:t xml:space="preserve">הרשב"א בתוה"ב </w:t>
      </w:r>
      <w:r w:rsidRPr="00A22EE9">
        <w:rPr>
          <w:rFonts w:hint="cs"/>
          <w:rtl/>
        </w:rPr>
        <w:t>דא"א לומר דכיון שאין לאבר תקנה לא יהיה היתר ל</w:t>
      </w:r>
      <w:r>
        <w:rPr>
          <w:rFonts w:hint="cs"/>
          <w:rtl/>
        </w:rPr>
        <w:t>חלב</w:t>
      </w:r>
      <w:r w:rsidRPr="00A22EE9">
        <w:rPr>
          <w:rFonts w:hint="cs"/>
          <w:rtl/>
        </w:rPr>
        <w:t xml:space="preserve"> מדין אבר מן החי, דכיון שהתירה תורה </w:t>
      </w:r>
      <w:r>
        <w:rPr>
          <w:rFonts w:hint="cs"/>
          <w:rtl/>
        </w:rPr>
        <w:t>חלב</w:t>
      </w:r>
      <w:r w:rsidRPr="00A22EE9">
        <w:rPr>
          <w:rFonts w:hint="cs"/>
          <w:rtl/>
        </w:rPr>
        <w:t xml:space="preserve"> הבא מן החי, אף </w:t>
      </w:r>
      <w:r>
        <w:rPr>
          <w:rFonts w:hint="cs"/>
          <w:rtl/>
        </w:rPr>
        <w:t>חלב</w:t>
      </w:r>
      <w:r w:rsidRPr="00A22EE9">
        <w:rPr>
          <w:rFonts w:hint="cs"/>
          <w:rtl/>
        </w:rPr>
        <w:t xml:space="preserve"> שבא מכח אבר אחד שאסור באבר מן החי, צריך להיות מותר.</w:t>
      </w:r>
    </w:p>
    <w:p w14:paraId="5D8B5FFB" w14:textId="77777777" w:rsidR="003D504D" w:rsidRPr="00A22EE9" w:rsidRDefault="003D504D" w:rsidP="003D504D">
      <w:pPr>
        <w:pStyle w:val="a3"/>
        <w:rPr>
          <w:rtl/>
        </w:rPr>
      </w:pPr>
      <w:bookmarkStart w:id="19042" w:name="_Toc1039484"/>
      <w:bookmarkStart w:id="19043" w:name="_Toc1040727"/>
      <w:bookmarkStart w:id="19044" w:name="_Toc1063599"/>
      <w:bookmarkStart w:id="19045" w:name="_Toc1112031"/>
      <w:bookmarkStart w:id="19046" w:name="_Toc1123897"/>
      <w:bookmarkStart w:id="19047" w:name="_Toc19391413"/>
      <w:bookmarkStart w:id="19048" w:name="_Toc19394910"/>
      <w:r>
        <w:rPr>
          <w:rFonts w:hint="cs"/>
          <w:rtl/>
        </w:rPr>
        <w:t>דחיית הרשב"א במשה"ב דחלב מן החי בא מכשרה וחלב מאבר היוצא בא מטריפה</w:t>
      </w:r>
      <w:bookmarkEnd w:id="19042"/>
      <w:bookmarkEnd w:id="19043"/>
      <w:bookmarkEnd w:id="19044"/>
      <w:bookmarkEnd w:id="19045"/>
      <w:bookmarkEnd w:id="19046"/>
      <w:bookmarkEnd w:id="19047"/>
      <w:bookmarkEnd w:id="19048"/>
    </w:p>
    <w:p w14:paraId="46EE0C74" w14:textId="77777777" w:rsidR="003D504D" w:rsidRPr="00A22EE9" w:rsidRDefault="003D504D" w:rsidP="00223668">
      <w:pPr>
        <w:pStyle w:val="a0"/>
        <w:rPr>
          <w:rtl/>
        </w:rPr>
      </w:pPr>
      <w:r>
        <w:rPr>
          <w:rFonts w:hint="cs"/>
          <w:rtl/>
        </w:rPr>
        <w:t>ו</w:t>
      </w:r>
      <w:r w:rsidRPr="00A22EE9">
        <w:rPr>
          <w:rFonts w:hint="cs"/>
          <w:rtl/>
        </w:rPr>
        <w:t xml:space="preserve">דחה </w:t>
      </w:r>
      <w:r w:rsidRPr="00A22EE9">
        <w:rPr>
          <w:rStyle w:val="af9"/>
          <w:rFonts w:hint="cs"/>
          <w:rtl/>
        </w:rPr>
        <w:t>הרשב"א במשה"ב</w:t>
      </w:r>
      <w:r w:rsidRPr="00A22EE9">
        <w:rPr>
          <w:rFonts w:hint="cs"/>
          <w:rtl/>
        </w:rPr>
        <w:t xml:space="preserve"> </w:t>
      </w:r>
      <w:r w:rsidRPr="004304CE">
        <w:rPr>
          <w:rStyle w:val="af7"/>
          <w:rFonts w:eastAsia="Guttman Hodes" w:hint="cs"/>
          <w:rtl/>
        </w:rPr>
        <w:t xml:space="preserve">(ב"ב ש"ד דף נה. מדה"ס) </w:t>
      </w:r>
      <w:r w:rsidRPr="00A22EE9">
        <w:rPr>
          <w:rFonts w:hint="cs"/>
          <w:rtl/>
        </w:rPr>
        <w:t xml:space="preserve">את קושית </w:t>
      </w:r>
      <w:r w:rsidRPr="00A22EE9">
        <w:rPr>
          <w:rStyle w:val="af9"/>
          <w:rFonts w:hint="cs"/>
          <w:rtl/>
        </w:rPr>
        <w:t>הרא"ה בבד"ה</w:t>
      </w:r>
      <w:r w:rsidRPr="00A22EE9">
        <w:rPr>
          <w:rFonts w:hint="cs"/>
          <w:rtl/>
        </w:rPr>
        <w:t xml:space="preserve"> דלא דמי </w:t>
      </w:r>
      <w:r>
        <w:rPr>
          <w:rFonts w:hint="cs"/>
          <w:rtl/>
        </w:rPr>
        <w:t>חלב</w:t>
      </w:r>
      <w:r w:rsidRPr="00A22EE9">
        <w:rPr>
          <w:rFonts w:hint="cs"/>
          <w:rtl/>
        </w:rPr>
        <w:t xml:space="preserve"> שבא מן החי, הוא בא מבהמה כשרה, ואילו ה</w:t>
      </w:r>
      <w:r>
        <w:rPr>
          <w:rFonts w:hint="cs"/>
          <w:rtl/>
        </w:rPr>
        <w:t>חלב</w:t>
      </w:r>
      <w:r w:rsidRPr="00A22EE9">
        <w:rPr>
          <w:rFonts w:hint="cs"/>
          <w:rtl/>
        </w:rPr>
        <w:t xml:space="preserve"> שבא מכח אבר היוצא, בא מדבר האסור שהוא כטריפה אף לאחר שחיטה, וא"כ קשה מ"ש מ</w:t>
      </w:r>
      <w:r>
        <w:rPr>
          <w:rFonts w:hint="cs"/>
          <w:rtl/>
        </w:rPr>
        <w:t>חלב</w:t>
      </w:r>
      <w:r w:rsidRPr="00A22EE9">
        <w:rPr>
          <w:rFonts w:hint="cs"/>
          <w:rtl/>
        </w:rPr>
        <w:t xml:space="preserve"> טריפה, ומוכח דהאיסור באבר היוצא אינו מצד עצמו כטריפה, אלא שהאבר נשאר כאבר מן החי, אף שכל העובר כשחוט, ובזה מסתפקת הגמ' אי גרע מכל </w:t>
      </w:r>
      <w:r>
        <w:rPr>
          <w:rFonts w:hint="cs"/>
          <w:rtl/>
        </w:rPr>
        <w:t>חלב</w:t>
      </w:r>
      <w:r w:rsidRPr="00A22EE9">
        <w:rPr>
          <w:rFonts w:hint="cs"/>
          <w:rtl/>
        </w:rPr>
        <w:t xml:space="preserve"> הבא מן החי כיון שאין לו היתר בשחיטה.</w:t>
      </w:r>
    </w:p>
    <w:p w14:paraId="3560AA0A" w14:textId="77777777" w:rsidR="003D504D" w:rsidRDefault="003D504D" w:rsidP="00BF39B2">
      <w:pPr>
        <w:pStyle w:val="1"/>
        <w:rPr>
          <w:rtl/>
        </w:rPr>
      </w:pPr>
      <w:bookmarkStart w:id="19049" w:name="_Toc1039485"/>
      <w:bookmarkStart w:id="19050" w:name="_Toc1040728"/>
      <w:bookmarkStart w:id="19051" w:name="_Toc1063600"/>
      <w:bookmarkStart w:id="19052" w:name="_Toc1112032"/>
      <w:bookmarkStart w:id="19053" w:name="_Toc1123898"/>
      <w:bookmarkStart w:id="19054" w:name="_Toc19391414"/>
      <w:bookmarkStart w:id="19055" w:name="_Toc19394911"/>
      <w:r>
        <w:rPr>
          <w:rFonts w:hint="cs"/>
          <w:rtl/>
        </w:rPr>
        <w:t>ביאור הרא"ה דהספק הוא כיון דהיתר חלב מן החי הוא חידוש</w:t>
      </w:r>
      <w:bookmarkEnd w:id="19049"/>
      <w:bookmarkEnd w:id="19050"/>
      <w:bookmarkEnd w:id="19051"/>
      <w:bookmarkEnd w:id="19052"/>
      <w:bookmarkEnd w:id="19053"/>
      <w:bookmarkEnd w:id="19054"/>
      <w:bookmarkEnd w:id="19055"/>
    </w:p>
    <w:p w14:paraId="58680AB0" w14:textId="77777777" w:rsidR="003D504D" w:rsidRPr="001A7613" w:rsidRDefault="003D504D" w:rsidP="003D504D">
      <w:pPr>
        <w:pStyle w:val="a3"/>
        <w:rPr>
          <w:rtl/>
        </w:rPr>
      </w:pPr>
      <w:bookmarkStart w:id="19056" w:name="_Toc1039486"/>
      <w:bookmarkStart w:id="19057" w:name="_Toc1040729"/>
      <w:bookmarkStart w:id="19058" w:name="_Toc1063601"/>
      <w:bookmarkStart w:id="19059" w:name="_Toc1112033"/>
      <w:bookmarkStart w:id="19060" w:name="_Toc1123899"/>
      <w:bookmarkStart w:id="19061" w:name="_Toc19391415"/>
      <w:bookmarkStart w:id="19062" w:name="_Toc19394912"/>
      <w:r>
        <w:rPr>
          <w:rFonts w:hint="cs"/>
          <w:rtl/>
        </w:rPr>
        <w:t>ביאור הרא"ה דכיון שחלב מן החי הוא חידוש הספק אי חידשה תורה רק כשיש היתר שחיטה</w:t>
      </w:r>
      <w:bookmarkEnd w:id="19056"/>
      <w:bookmarkEnd w:id="19057"/>
      <w:bookmarkEnd w:id="19058"/>
      <w:bookmarkEnd w:id="19059"/>
      <w:bookmarkEnd w:id="19060"/>
      <w:bookmarkEnd w:id="19061"/>
      <w:bookmarkEnd w:id="19062"/>
    </w:p>
    <w:p w14:paraId="2A6EDF99" w14:textId="77777777" w:rsidR="003D504D" w:rsidRDefault="003D504D" w:rsidP="00223668">
      <w:pPr>
        <w:pStyle w:val="a0"/>
        <w:rPr>
          <w:rStyle w:val="afb"/>
          <w:rtl/>
        </w:rPr>
      </w:pPr>
      <w:r w:rsidRPr="00AA2022">
        <w:rPr>
          <w:rStyle w:val="af9"/>
          <w:rFonts w:hint="cs"/>
          <w:rtl/>
        </w:rPr>
        <w:t>והרא</w:t>
      </w:r>
      <w:r w:rsidRPr="00A22EE9">
        <w:rPr>
          <w:rStyle w:val="af9"/>
          <w:rFonts w:hint="cs"/>
          <w:rtl/>
        </w:rPr>
        <w:t xml:space="preserve">"ה בבד"ה </w:t>
      </w:r>
      <w:r w:rsidRPr="00A22EE9">
        <w:rPr>
          <w:rFonts w:hint="cs"/>
          <w:rtl/>
        </w:rPr>
        <w:t xml:space="preserve">ביאר דהספק בגמ' הוא דמדינא כל </w:t>
      </w:r>
      <w:r>
        <w:rPr>
          <w:rFonts w:hint="cs"/>
          <w:rtl/>
        </w:rPr>
        <w:t>חלב</w:t>
      </w:r>
      <w:r w:rsidRPr="00A22EE9">
        <w:rPr>
          <w:rFonts w:hint="cs"/>
          <w:rtl/>
        </w:rPr>
        <w:t xml:space="preserve"> היה צריך להיות אסור, דהוא אבר מן החי, אלא שחידשה תורה שהוא מותר, ולכן מסתפקת הגמ' בבן פקועה שיש בו אבר שאסור באיסור יוצא, וכן בולד של בן פקועה ובהמה מעלמא דאין לו תקנה </w:t>
      </w:r>
      <w:r w:rsidRPr="00A22EE9">
        <w:rPr>
          <w:rStyle w:val="afb"/>
          <w:rFonts w:hint="cs"/>
          <w:rtl/>
        </w:rPr>
        <w:t>[למ"ד דחוששין לזרע האב]</w:t>
      </w:r>
      <w:r w:rsidRPr="00A22EE9">
        <w:rPr>
          <w:rFonts w:hint="cs"/>
          <w:rtl/>
        </w:rPr>
        <w:t xml:space="preserve">, אי כיון דהתירה תורה </w:t>
      </w:r>
      <w:r>
        <w:rPr>
          <w:rFonts w:hint="cs"/>
          <w:rtl/>
        </w:rPr>
        <w:t>חלב</w:t>
      </w:r>
      <w:r w:rsidRPr="00A22EE9">
        <w:rPr>
          <w:rFonts w:hint="cs"/>
          <w:rtl/>
        </w:rPr>
        <w:t xml:space="preserve"> מן החי, אף ה</w:t>
      </w:r>
      <w:r>
        <w:rPr>
          <w:rFonts w:hint="cs"/>
          <w:rtl/>
        </w:rPr>
        <w:t>חלב</w:t>
      </w:r>
      <w:r w:rsidRPr="00A22EE9">
        <w:rPr>
          <w:rFonts w:hint="cs"/>
          <w:rtl/>
        </w:rPr>
        <w:t xml:space="preserve"> שלהם מותר, או דכיון שההיתר של </w:t>
      </w:r>
      <w:r>
        <w:rPr>
          <w:rFonts w:hint="cs"/>
          <w:rtl/>
        </w:rPr>
        <w:t>חלב</w:t>
      </w:r>
      <w:r w:rsidRPr="00A22EE9">
        <w:rPr>
          <w:rFonts w:hint="cs"/>
          <w:rtl/>
        </w:rPr>
        <w:t xml:space="preserve"> הוא חידוש, א"כ אין לך בו אלא חידושו, וכיון דמצינו שהתורה התירה את ה</w:t>
      </w:r>
      <w:r>
        <w:rPr>
          <w:rFonts w:hint="cs"/>
          <w:rtl/>
        </w:rPr>
        <w:t>חלב</w:t>
      </w:r>
      <w:r w:rsidRPr="00A22EE9">
        <w:rPr>
          <w:rFonts w:hint="cs"/>
          <w:rtl/>
        </w:rPr>
        <w:t xml:space="preserve"> רק במקום שיש לבשר היתר שחיטה, לכן א"כ להתיר את ה</w:t>
      </w:r>
      <w:r>
        <w:rPr>
          <w:rFonts w:hint="cs"/>
          <w:rtl/>
        </w:rPr>
        <w:t>חלב</w:t>
      </w:r>
      <w:r w:rsidRPr="00A22EE9">
        <w:rPr>
          <w:rFonts w:hint="cs"/>
          <w:rtl/>
        </w:rPr>
        <w:t xml:space="preserve"> כשאין לבשר היתר שחיטה</w:t>
      </w:r>
      <w:r>
        <w:rPr>
          <w:rFonts w:hint="cs"/>
          <w:rtl/>
        </w:rPr>
        <w:t xml:space="preserve">. </w:t>
      </w:r>
      <w:r w:rsidRPr="00D024E7">
        <w:rPr>
          <w:rStyle w:val="afb"/>
          <w:rFonts w:hint="cs"/>
          <w:rtl/>
        </w:rPr>
        <w:t xml:space="preserve">[וע"ע במ"ש </w:t>
      </w:r>
      <w:r w:rsidRPr="00D024E7">
        <w:rPr>
          <w:rStyle w:val="affa"/>
          <w:rFonts w:hint="cs"/>
          <w:rtl/>
        </w:rPr>
        <w:t>הרא"ה בבד"ה</w:t>
      </w:r>
      <w:r w:rsidRPr="00D024E7">
        <w:rPr>
          <w:rStyle w:val="afb"/>
          <w:rFonts w:hint="cs"/>
          <w:rtl/>
        </w:rPr>
        <w:t xml:space="preserve"> </w:t>
      </w:r>
      <w:r w:rsidRPr="00D024E7">
        <w:rPr>
          <w:rStyle w:val="aff6"/>
          <w:rFonts w:hint="cs"/>
          <w:rtl/>
        </w:rPr>
        <w:t>(ב"ב ש"א דף כא: מדה"ס)</w:t>
      </w:r>
      <w:r w:rsidRPr="00D024E7">
        <w:rPr>
          <w:rStyle w:val="afb"/>
          <w:rFonts w:hint="cs"/>
          <w:rtl/>
        </w:rPr>
        <w:t xml:space="preserve"> </w:t>
      </w:r>
      <w:r>
        <w:rPr>
          <w:rStyle w:val="afb"/>
          <w:rFonts w:hint="cs"/>
          <w:rtl/>
        </w:rPr>
        <w:t xml:space="preserve">בהא </w:t>
      </w:r>
      <w:r w:rsidRPr="00D024E7">
        <w:rPr>
          <w:rStyle w:val="afb"/>
          <w:rFonts w:hint="cs"/>
          <w:rtl/>
        </w:rPr>
        <w:t>דבחלב אין לך בו אלא חידושו].</w:t>
      </w:r>
    </w:p>
    <w:p w14:paraId="7A84CC5E" w14:textId="77777777" w:rsidR="003D504D" w:rsidRPr="005F5624" w:rsidRDefault="003D504D" w:rsidP="00BF39B2">
      <w:pPr>
        <w:pStyle w:val="1"/>
        <w:rPr>
          <w:rtl/>
        </w:rPr>
      </w:pPr>
      <w:bookmarkStart w:id="19063" w:name="_Toc19391416"/>
      <w:bookmarkStart w:id="19064" w:name="_Toc19394913"/>
      <w:r>
        <w:rPr>
          <w:rFonts w:hint="cs"/>
          <w:rtl/>
        </w:rPr>
        <w:t>דברי הש"ך דלדעת הרשב"א האיסור הוא מדין אבר מן החי</w:t>
      </w:r>
      <w:bookmarkEnd w:id="19063"/>
      <w:bookmarkEnd w:id="19064"/>
    </w:p>
    <w:p w14:paraId="53A11F8B" w14:textId="77777777" w:rsidR="003D504D" w:rsidRPr="00DC0658" w:rsidRDefault="003D504D" w:rsidP="003D504D">
      <w:pPr>
        <w:pStyle w:val="a3"/>
      </w:pPr>
      <w:bookmarkStart w:id="19065" w:name="_Toc19391417"/>
      <w:bookmarkStart w:id="19066" w:name="_Toc19394914"/>
      <w:r>
        <w:rPr>
          <w:rFonts w:hint="cs"/>
          <w:rtl/>
        </w:rPr>
        <w:t>דברי הש"ך דלדעת הרשב"א האיסור באבר היוצא הוא מדין אבמה"ח ולא מדין טריפה</w:t>
      </w:r>
      <w:bookmarkEnd w:id="19065"/>
      <w:bookmarkEnd w:id="19066"/>
    </w:p>
    <w:p w14:paraId="6743F8D3" w14:textId="77777777" w:rsidR="003D504D" w:rsidRDefault="003D504D" w:rsidP="00223668">
      <w:pPr>
        <w:pStyle w:val="a0"/>
        <w:rPr>
          <w:rtl/>
        </w:rPr>
      </w:pPr>
      <w:r w:rsidRPr="00703852">
        <w:rPr>
          <w:rFonts w:hint="cs"/>
          <w:rtl/>
        </w:rPr>
        <w:t>ו</w:t>
      </w:r>
      <w:r>
        <w:rPr>
          <w:rFonts w:hint="cs"/>
          <w:rtl/>
        </w:rPr>
        <w:t xml:space="preserve">כתב </w:t>
      </w:r>
      <w:r w:rsidRPr="004B171E">
        <w:rPr>
          <w:rStyle w:val="af9"/>
          <w:rFonts w:hint="cs"/>
          <w:rtl/>
        </w:rPr>
        <w:t>הש"ך</w:t>
      </w:r>
      <w:r w:rsidRPr="00703852">
        <w:rPr>
          <w:rFonts w:hint="cs"/>
          <w:rtl/>
        </w:rPr>
        <w:t xml:space="preserve"> </w:t>
      </w:r>
      <w:r w:rsidRPr="004B171E">
        <w:rPr>
          <w:rStyle w:val="af7"/>
          <w:rFonts w:eastAsia="Guttman Hodes" w:hint="cs"/>
          <w:rtl/>
        </w:rPr>
        <w:t>(סי' י"ד סקי"א)</w:t>
      </w:r>
      <w:r w:rsidRPr="00703852">
        <w:rPr>
          <w:rFonts w:hint="cs"/>
          <w:rtl/>
        </w:rPr>
        <w:t xml:space="preserve"> </w:t>
      </w:r>
      <w:r>
        <w:rPr>
          <w:rFonts w:hint="cs"/>
          <w:rtl/>
        </w:rPr>
        <w:t xml:space="preserve">דמבואר מדברי </w:t>
      </w:r>
      <w:r w:rsidRPr="00C903F1">
        <w:rPr>
          <w:rStyle w:val="af9"/>
          <w:rFonts w:hint="cs"/>
          <w:rtl/>
        </w:rPr>
        <w:t>הרשב"א בחי' ובתוה"ב</w:t>
      </w:r>
      <w:r>
        <w:rPr>
          <w:rStyle w:val="af9"/>
          <w:rFonts w:hint="cs"/>
          <w:rtl/>
        </w:rPr>
        <w:t xml:space="preserve"> הארוך</w:t>
      </w:r>
      <w:r w:rsidRPr="00C903F1">
        <w:rPr>
          <w:rStyle w:val="af9"/>
          <w:rFonts w:hint="cs"/>
          <w:rtl/>
        </w:rPr>
        <w:t xml:space="preserve"> </w:t>
      </w:r>
      <w:r>
        <w:rPr>
          <w:rFonts w:hint="cs"/>
          <w:rtl/>
        </w:rPr>
        <w:t>דהספק הגמ' הוא מחמת דהאיסור באבר היוצא הוא מדין אבר מן החי, ואינו איסור טריפה.</w:t>
      </w:r>
    </w:p>
    <w:p w14:paraId="35ADB4FB" w14:textId="77777777" w:rsidR="003D504D" w:rsidRPr="005F5624" w:rsidRDefault="003D504D" w:rsidP="00BF39B2">
      <w:pPr>
        <w:pStyle w:val="1"/>
        <w:rPr>
          <w:rtl/>
        </w:rPr>
      </w:pPr>
      <w:bookmarkStart w:id="19067" w:name="_Toc19391418"/>
      <w:bookmarkStart w:id="19068" w:name="_Toc19394915"/>
      <w:r>
        <w:rPr>
          <w:rFonts w:hint="cs"/>
          <w:rtl/>
        </w:rPr>
        <w:t>ביאור הפרמ"ג דאף לדעת הרשב"א אסור מדין טריפה</w:t>
      </w:r>
      <w:bookmarkEnd w:id="19067"/>
      <w:bookmarkEnd w:id="19068"/>
    </w:p>
    <w:p w14:paraId="6404E476" w14:textId="77777777" w:rsidR="003D504D" w:rsidRDefault="003D504D" w:rsidP="003D504D">
      <w:pPr>
        <w:pStyle w:val="a3"/>
        <w:rPr>
          <w:rtl/>
        </w:rPr>
      </w:pPr>
      <w:bookmarkStart w:id="19069" w:name="_Toc19391419"/>
      <w:bookmarkStart w:id="19070" w:name="_Toc19394916"/>
      <w:r>
        <w:rPr>
          <w:rFonts w:hint="cs"/>
          <w:rtl/>
        </w:rPr>
        <w:t>דברי הפרמ"ג דבתוה"ב הקצר משמע דאבר היוצא אסור מדין טריפה ודלא כפשטות הרשב"א בחי'</w:t>
      </w:r>
      <w:bookmarkEnd w:id="19069"/>
      <w:bookmarkEnd w:id="19070"/>
    </w:p>
    <w:p w14:paraId="2ABD768F" w14:textId="77777777" w:rsidR="003D504D" w:rsidRDefault="003D504D" w:rsidP="00223668">
      <w:pPr>
        <w:pStyle w:val="a0"/>
        <w:rPr>
          <w:rtl/>
        </w:rPr>
      </w:pPr>
      <w:r>
        <w:rPr>
          <w:rFonts w:hint="cs"/>
          <w:rtl/>
        </w:rPr>
        <w:t xml:space="preserve">וכ"כ </w:t>
      </w:r>
      <w:r w:rsidRPr="00C903F1">
        <w:rPr>
          <w:rStyle w:val="af9"/>
          <w:rFonts w:hint="cs"/>
          <w:rtl/>
        </w:rPr>
        <w:t xml:space="preserve">הפרמ"ג </w:t>
      </w:r>
      <w:r w:rsidRPr="00DC0658">
        <w:rPr>
          <w:rStyle w:val="af7"/>
          <w:rFonts w:eastAsia="Guttman Hodes" w:hint="cs"/>
          <w:rtl/>
        </w:rPr>
        <w:t xml:space="preserve">(סי' י"ד </w:t>
      </w:r>
      <w:r>
        <w:rPr>
          <w:rStyle w:val="af7"/>
          <w:rFonts w:eastAsia="Guttman Hodes" w:hint="cs"/>
          <w:rtl/>
        </w:rPr>
        <w:t xml:space="preserve">משב"ז </w:t>
      </w:r>
      <w:r w:rsidRPr="00DC0658">
        <w:rPr>
          <w:rStyle w:val="af7"/>
          <w:rFonts w:eastAsia="Guttman Hodes" w:hint="cs"/>
          <w:rtl/>
        </w:rPr>
        <w:t xml:space="preserve">סק"ב) </w:t>
      </w:r>
      <w:r>
        <w:rPr>
          <w:rFonts w:hint="cs"/>
          <w:rtl/>
        </w:rPr>
        <w:t xml:space="preserve">דמשמע מדברי </w:t>
      </w:r>
      <w:r w:rsidRPr="00C903F1">
        <w:rPr>
          <w:rStyle w:val="af9"/>
          <w:rFonts w:hint="cs"/>
          <w:rtl/>
        </w:rPr>
        <w:t>הרשב"א בחי' ובתוה"ב</w:t>
      </w:r>
      <w:r>
        <w:rPr>
          <w:rStyle w:val="af9"/>
          <w:rFonts w:hint="cs"/>
          <w:rtl/>
        </w:rPr>
        <w:t xml:space="preserve"> הארוך</w:t>
      </w:r>
      <w:r w:rsidRPr="00C903F1">
        <w:rPr>
          <w:rStyle w:val="af9"/>
          <w:rFonts w:hint="cs"/>
          <w:rtl/>
        </w:rPr>
        <w:t xml:space="preserve"> </w:t>
      </w:r>
      <w:r>
        <w:rPr>
          <w:rFonts w:hint="cs"/>
          <w:rtl/>
        </w:rPr>
        <w:t xml:space="preserve">דהאיסור באבר היוצא הוא מדין אבר מן החי, אך הביא </w:t>
      </w:r>
      <w:r w:rsidRPr="000A7DE0">
        <w:rPr>
          <w:rStyle w:val="af9"/>
          <w:rFonts w:hint="cs"/>
          <w:rtl/>
        </w:rPr>
        <w:t>הפרמ"ג</w:t>
      </w:r>
      <w:r>
        <w:rPr>
          <w:rFonts w:hint="cs"/>
          <w:rtl/>
        </w:rPr>
        <w:t xml:space="preserve"> את דברי </w:t>
      </w:r>
      <w:r w:rsidRPr="00C903F1">
        <w:rPr>
          <w:rStyle w:val="af9"/>
          <w:rFonts w:hint="cs"/>
          <w:rtl/>
        </w:rPr>
        <w:t xml:space="preserve">הרשב"א בתוה"ב הקצר </w:t>
      </w:r>
      <w:r w:rsidRPr="00DC0658">
        <w:rPr>
          <w:rStyle w:val="af7"/>
          <w:rFonts w:eastAsia="Guttman Hodes" w:hint="cs"/>
          <w:rtl/>
        </w:rPr>
        <w:t>(ב"ב סוף ש"ג דף נה. מדה"ס)</w:t>
      </w:r>
      <w:r>
        <w:rPr>
          <w:rFonts w:hint="cs"/>
          <w:rtl/>
        </w:rPr>
        <w:t xml:space="preserve"> דכתב בסתמא דאסור</w:t>
      </w:r>
      <w:r w:rsidRPr="00157190">
        <w:rPr>
          <w:rFonts w:hint="cs"/>
          <w:rtl/>
        </w:rPr>
        <w:t xml:space="preserve"> </w:t>
      </w:r>
      <w:r>
        <w:rPr>
          <w:rFonts w:hint="cs"/>
          <w:rtl/>
        </w:rPr>
        <w:t xml:space="preserve">לשתות את חלבו, כיון שהוא אסור כטריפה, ומשמע מדבריו דהאיסור באבר היוצא הוא מדין טריפה, </w:t>
      </w:r>
      <w:r w:rsidRPr="00C903F1">
        <w:rPr>
          <w:rStyle w:val="afb"/>
          <w:rFonts w:hint="cs"/>
          <w:rtl/>
        </w:rPr>
        <w:t>[ולא מדין אבר מן החי]</w:t>
      </w:r>
      <w:r>
        <w:rPr>
          <w:rFonts w:hint="cs"/>
          <w:rtl/>
        </w:rPr>
        <w:t>.</w:t>
      </w:r>
    </w:p>
    <w:p w14:paraId="417A10CF" w14:textId="77777777" w:rsidR="003D504D" w:rsidRDefault="003D504D" w:rsidP="003D504D">
      <w:pPr>
        <w:pStyle w:val="a3"/>
        <w:rPr>
          <w:rtl/>
        </w:rPr>
      </w:pPr>
      <w:bookmarkStart w:id="19071" w:name="_Toc19391420"/>
      <w:bookmarkStart w:id="19072" w:name="_Toc19394917"/>
      <w:r>
        <w:rPr>
          <w:rFonts w:hint="cs"/>
          <w:rtl/>
        </w:rPr>
        <w:t>ביאור הפרמ"ג ברשב"א דהאיסור טריפה אינו מצד עצמו אלא מחמת שיש בו לתא דחיות</w:t>
      </w:r>
      <w:bookmarkEnd w:id="19071"/>
      <w:bookmarkEnd w:id="19072"/>
    </w:p>
    <w:p w14:paraId="02E3AC45" w14:textId="77777777" w:rsidR="003D504D" w:rsidRPr="003D08B0" w:rsidRDefault="003D504D" w:rsidP="00223668">
      <w:pPr>
        <w:pStyle w:val="a0"/>
        <w:rPr>
          <w:rtl/>
        </w:rPr>
      </w:pPr>
      <w:r>
        <w:rPr>
          <w:rFonts w:hint="cs"/>
          <w:rtl/>
        </w:rPr>
        <w:t xml:space="preserve">אלא כתב </w:t>
      </w:r>
      <w:r w:rsidRPr="00041AD3">
        <w:rPr>
          <w:rStyle w:val="af9"/>
          <w:rFonts w:hint="cs"/>
          <w:rtl/>
        </w:rPr>
        <w:t>הפרמ"ג</w:t>
      </w:r>
      <w:r>
        <w:rPr>
          <w:rFonts w:hint="cs"/>
          <w:rtl/>
        </w:rPr>
        <w:t xml:space="preserve"> </w:t>
      </w:r>
      <w:r w:rsidRPr="00C903F1">
        <w:rPr>
          <w:rStyle w:val="af7"/>
          <w:rFonts w:eastAsia="Guttman Hodes" w:hint="cs"/>
          <w:rtl/>
        </w:rPr>
        <w:t xml:space="preserve">(סי' י"ד </w:t>
      </w:r>
      <w:r>
        <w:rPr>
          <w:rStyle w:val="af7"/>
          <w:rFonts w:eastAsia="Guttman Hodes" w:hint="cs"/>
          <w:rtl/>
        </w:rPr>
        <w:t xml:space="preserve">משב"ז </w:t>
      </w:r>
      <w:r w:rsidRPr="00C903F1">
        <w:rPr>
          <w:rStyle w:val="af7"/>
          <w:rFonts w:eastAsia="Guttman Hodes" w:hint="cs"/>
          <w:rtl/>
        </w:rPr>
        <w:t>ס</w:t>
      </w:r>
      <w:r>
        <w:rPr>
          <w:rStyle w:val="af7"/>
          <w:rFonts w:eastAsia="Guttman Hodes" w:hint="cs"/>
          <w:rtl/>
        </w:rPr>
        <w:t>וס"</w:t>
      </w:r>
      <w:r w:rsidRPr="00C903F1">
        <w:rPr>
          <w:rStyle w:val="af7"/>
          <w:rFonts w:eastAsia="Guttman Hodes" w:hint="cs"/>
          <w:rtl/>
        </w:rPr>
        <w:t>ק</w:t>
      </w:r>
      <w:r>
        <w:rPr>
          <w:rStyle w:val="af7"/>
          <w:rFonts w:eastAsia="Guttman Hodes" w:hint="cs"/>
          <w:rtl/>
        </w:rPr>
        <w:t xml:space="preserve"> </w:t>
      </w:r>
      <w:r w:rsidRPr="00C903F1">
        <w:rPr>
          <w:rStyle w:val="af7"/>
          <w:rFonts w:eastAsia="Guttman Hodes" w:hint="cs"/>
          <w:rtl/>
        </w:rPr>
        <w:t>ב</w:t>
      </w:r>
      <w:r>
        <w:rPr>
          <w:rStyle w:val="af7"/>
          <w:rFonts w:eastAsia="Guttman Hodes" w:hint="cs"/>
          <w:rtl/>
        </w:rPr>
        <w:t>'</w:t>
      </w:r>
      <w:r w:rsidRPr="00C903F1">
        <w:rPr>
          <w:rStyle w:val="af7"/>
          <w:rFonts w:eastAsia="Guttman Hodes" w:hint="cs"/>
          <w:rtl/>
        </w:rPr>
        <w:t xml:space="preserve">) </w:t>
      </w:r>
      <w:r>
        <w:rPr>
          <w:rFonts w:hint="cs"/>
          <w:rtl/>
        </w:rPr>
        <w:t xml:space="preserve">דס"ל </w:t>
      </w:r>
      <w:r w:rsidRPr="00041AD3">
        <w:rPr>
          <w:rStyle w:val="af9"/>
          <w:rFonts w:hint="cs"/>
          <w:rtl/>
        </w:rPr>
        <w:t>להרשב"א</w:t>
      </w:r>
      <w:r>
        <w:rPr>
          <w:rFonts w:hint="cs"/>
          <w:rtl/>
        </w:rPr>
        <w:t xml:space="preserve"> דהאיסור באבר הוא מדין טריפה ולא מדין אבר מן החי כמבואר בדברי </w:t>
      </w:r>
      <w:r w:rsidRPr="00041AD3">
        <w:rPr>
          <w:rStyle w:val="af9"/>
          <w:rFonts w:hint="cs"/>
          <w:rtl/>
        </w:rPr>
        <w:t>הרשב"א בתוה"ב הקצר</w:t>
      </w:r>
      <w:r>
        <w:rPr>
          <w:rFonts w:hint="cs"/>
          <w:rtl/>
        </w:rPr>
        <w:t xml:space="preserve">, וביאר </w:t>
      </w:r>
      <w:r w:rsidRPr="00041AD3">
        <w:rPr>
          <w:rStyle w:val="af9"/>
          <w:rFonts w:hint="cs"/>
          <w:rtl/>
        </w:rPr>
        <w:t>הפרמ"ג</w:t>
      </w:r>
      <w:r>
        <w:rPr>
          <w:rFonts w:hint="cs"/>
          <w:rtl/>
        </w:rPr>
        <w:t xml:space="preserve"> דמ"ש </w:t>
      </w:r>
      <w:r w:rsidRPr="00041AD3">
        <w:rPr>
          <w:rStyle w:val="af9"/>
          <w:rFonts w:hint="cs"/>
          <w:rtl/>
        </w:rPr>
        <w:t>הרשב"א בחי' ובתוה"ב הארוך</w:t>
      </w:r>
      <w:r>
        <w:rPr>
          <w:rFonts w:hint="cs"/>
          <w:rtl/>
        </w:rPr>
        <w:t xml:space="preserve"> שאין בו איסור טריפה מצד עצמו, כוונת </w:t>
      </w:r>
      <w:r w:rsidRPr="00041AD3">
        <w:rPr>
          <w:rStyle w:val="af9"/>
          <w:rFonts w:hint="cs"/>
          <w:rtl/>
        </w:rPr>
        <w:t>הרשב"א</w:t>
      </w:r>
      <w:r>
        <w:rPr>
          <w:rFonts w:hint="cs"/>
          <w:rtl/>
        </w:rPr>
        <w:t xml:space="preserve"> לומר שהוא עצמו אינו טריפה, ולכן האיסור שבו אינו מצד עצמו, אלא שיש גזיה"כ "בשר בשדה טריפה" דאף שאינו בכלל אבר מן החי, מ"מ אסרתו תורה כטריפה, והאיסור שלו הוא משום "לתא </w:t>
      </w:r>
      <w:r w:rsidRPr="003D08B0">
        <w:rPr>
          <w:rFonts w:hint="cs"/>
          <w:rtl/>
        </w:rPr>
        <w:t>דחיות".</w:t>
      </w:r>
    </w:p>
    <w:p w14:paraId="73548916" w14:textId="77777777" w:rsidR="003D504D" w:rsidRDefault="003D504D" w:rsidP="003D504D">
      <w:pPr>
        <w:pStyle w:val="a3"/>
        <w:rPr>
          <w:rtl/>
        </w:rPr>
      </w:pPr>
      <w:bookmarkStart w:id="19073" w:name="_Toc19391421"/>
      <w:bookmarkStart w:id="19074" w:name="_Toc19394918"/>
      <w:r>
        <w:rPr>
          <w:rFonts w:hint="cs"/>
          <w:rtl/>
        </w:rPr>
        <w:t>ביאור הפרמ"ג דהצד לאסור את החלב הוא כיון שאיסורו הוא משום לתא דחיות שאין לה תקנה</w:t>
      </w:r>
      <w:bookmarkEnd w:id="19073"/>
      <w:bookmarkEnd w:id="19074"/>
    </w:p>
    <w:p w14:paraId="0D1C0FC7" w14:textId="77777777" w:rsidR="003D504D" w:rsidRPr="00613319" w:rsidRDefault="003D504D" w:rsidP="00223668">
      <w:pPr>
        <w:pStyle w:val="a0"/>
        <w:rPr>
          <w:rtl/>
        </w:rPr>
        <w:sectPr w:rsidR="003D504D" w:rsidRPr="00613319" w:rsidSect="005049E2">
          <w:type w:val="continuous"/>
          <w:pgSz w:w="11906" w:h="16838"/>
          <w:pgMar w:top="720" w:right="720" w:bottom="720" w:left="720" w:header="283" w:footer="283" w:gutter="0"/>
          <w:cols w:num="2" w:space="567"/>
          <w:titlePg/>
          <w:bidi/>
          <w:rtlGutter/>
          <w:docGrid w:linePitch="299"/>
        </w:sectPr>
      </w:pPr>
      <w:r>
        <w:rPr>
          <w:rFonts w:hint="cs"/>
          <w:rtl/>
        </w:rPr>
        <w:t xml:space="preserve">ובזה ביאר </w:t>
      </w:r>
      <w:r w:rsidRPr="00041AD3">
        <w:rPr>
          <w:rStyle w:val="af9"/>
          <w:rFonts w:hint="cs"/>
          <w:rtl/>
        </w:rPr>
        <w:t>הפרמ"ג</w:t>
      </w:r>
      <w:r>
        <w:rPr>
          <w:rFonts w:hint="cs"/>
          <w:rtl/>
        </w:rPr>
        <w:t xml:space="preserve"> את דברי </w:t>
      </w:r>
      <w:r w:rsidRPr="00041AD3">
        <w:rPr>
          <w:rStyle w:val="af9"/>
          <w:rFonts w:hint="cs"/>
          <w:rtl/>
        </w:rPr>
        <w:t>הרשב"א בחי' ובתוה"ב הארוך</w:t>
      </w:r>
      <w:r>
        <w:rPr>
          <w:rFonts w:hint="cs"/>
          <w:rtl/>
        </w:rPr>
        <w:t xml:space="preserve"> בביאור ספק הגמ' האם מותר לשתות חלב שבא מכח אבר היוצא, אי כיון דמותר לשתות חלב מן החי, כ"ש חלב שבא מכח אבר היוצא שהוא טריפה מחמת לתא דאיסור אבר מן החי, או דההיתר לשתות חלב הוא דוקא בחלב מן החי שיש לו תקנה בשחיטה, והוסיף </w:t>
      </w:r>
      <w:r w:rsidRPr="00041AD3">
        <w:rPr>
          <w:rStyle w:val="af9"/>
          <w:rFonts w:hint="cs"/>
          <w:rtl/>
        </w:rPr>
        <w:t>הפרמ"ג</w:t>
      </w:r>
      <w:r>
        <w:rPr>
          <w:rFonts w:hint="cs"/>
          <w:rtl/>
        </w:rPr>
        <w:t xml:space="preserve"> דכן מדויק בדברי </w:t>
      </w:r>
      <w:r w:rsidRPr="00041AD3">
        <w:rPr>
          <w:rStyle w:val="af9"/>
          <w:rFonts w:hint="cs"/>
          <w:rtl/>
        </w:rPr>
        <w:t>הרשב"א בחי' ובתוה"ב הארוך</w:t>
      </w:r>
      <w:r>
        <w:rPr>
          <w:rFonts w:hint="cs"/>
          <w:rtl/>
        </w:rPr>
        <w:t xml:space="preserve"> דכתב דבאבר אין איסור מצד עצמו כטריפה, דהיינו דאיסורו הוא מחמת שהוא חי, ונתנה לו תורה דין טריפה, אך לא נולד בו כל טריפה, שיהיה בו איסור טריפה מצד עצמו.</w:t>
      </w:r>
    </w:p>
    <w:p w14:paraId="0895F660" w14:textId="77777777" w:rsidR="003D504D" w:rsidRDefault="003D504D" w:rsidP="003D504D">
      <w:pPr>
        <w:pStyle w:val="ad"/>
        <w:tabs>
          <w:tab w:val="left" w:pos="1163"/>
        </w:tabs>
        <w:spacing w:before="120" w:after="120" w:line="240" w:lineRule="auto"/>
        <w:ind w:left="0"/>
        <w:contextualSpacing w:val="0"/>
        <w:rPr>
          <w:rFonts w:ascii="Guttman Hodes" w:eastAsia="Guttman Hodes" w:hAnsi="Guttman Hodes" w:cs="Guttman Hodes"/>
          <w:noProof/>
          <w:sz w:val="18"/>
          <w:szCs w:val="18"/>
        </w:rPr>
        <w:sectPr w:rsidR="003D504D" w:rsidSect="003D504D">
          <w:type w:val="continuous"/>
          <w:pgSz w:w="11906" w:h="16838"/>
          <w:pgMar w:top="720" w:right="720" w:bottom="720" w:left="720" w:header="283" w:footer="283" w:gutter="0"/>
          <w:cols w:space="567"/>
          <w:bidi/>
          <w:rtlGutter/>
          <w:docGrid w:linePitch="299"/>
        </w:sectPr>
      </w:pPr>
    </w:p>
    <w:p w14:paraId="7C197360" w14:textId="77777777" w:rsidR="003D504D" w:rsidRPr="00A7241B" w:rsidRDefault="004B65FC" w:rsidP="003D504D">
      <w:pPr>
        <w:pStyle w:val="ad"/>
        <w:tabs>
          <w:tab w:val="left" w:pos="1163"/>
        </w:tabs>
        <w:spacing w:before="120" w:after="120" w:line="240" w:lineRule="auto"/>
        <w:ind w:left="0"/>
        <w:contextualSpacing w:val="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67250403">
          <v:shape id="_x0000_i1048" type="#_x0000_t75" style="width:409.4pt;height:4.45pt" o:hrpct="0" o:hralign="center" o:hr="t">
            <v:imagedata r:id="rId21" o:title="BD14845_"/>
          </v:shape>
        </w:pict>
      </w:r>
    </w:p>
    <w:p w14:paraId="776C140C" w14:textId="77777777" w:rsidR="003D504D" w:rsidRDefault="003D504D" w:rsidP="003D504D">
      <w:pPr>
        <w:pStyle w:val="afe"/>
        <w:rPr>
          <w:rtl/>
        </w:rPr>
      </w:pPr>
      <w:bookmarkStart w:id="19075" w:name="_Toc1063602"/>
      <w:bookmarkStart w:id="19076" w:name="_Toc1112034"/>
      <w:bookmarkStart w:id="19077" w:name="_Toc1123900"/>
      <w:bookmarkStart w:id="19078" w:name="_Toc19436140"/>
      <w:bookmarkStart w:id="19079" w:name="_Toc20081321"/>
      <w:r w:rsidRPr="0075165B">
        <w:rPr>
          <w:rFonts w:hint="cs"/>
          <w:rtl/>
        </w:rPr>
        <w:t>מראי מקומות וביאורים על הרמב"ם</w:t>
      </w:r>
      <w:bookmarkEnd w:id="19075"/>
      <w:bookmarkEnd w:id="19076"/>
      <w:bookmarkEnd w:id="19077"/>
      <w:bookmarkEnd w:id="19078"/>
      <w:bookmarkEnd w:id="19079"/>
    </w:p>
    <w:p w14:paraId="0849F90A" w14:textId="77777777" w:rsidR="003D504D" w:rsidRDefault="003D504D" w:rsidP="003D504D">
      <w:pPr>
        <w:tabs>
          <w:tab w:val="left" w:pos="1163"/>
        </w:tabs>
        <w:spacing w:before="120" w:after="120" w:line="240" w:lineRule="auto"/>
        <w:ind w:left="0"/>
        <w:rPr>
          <w:rFonts w:cs="FrankRuehl"/>
          <w:sz w:val="20"/>
          <w:rtl/>
        </w:rPr>
        <w:sectPr w:rsidR="003D504D" w:rsidSect="003D504D">
          <w:pgSz w:w="11906" w:h="16838"/>
          <w:pgMar w:top="720" w:right="720" w:bottom="720" w:left="720" w:header="283" w:footer="283" w:gutter="0"/>
          <w:cols w:space="567"/>
          <w:bidi/>
          <w:rtlGutter/>
          <w:docGrid w:linePitch="299"/>
        </w:sectPr>
      </w:pPr>
    </w:p>
    <w:p w14:paraId="18E39EAC" w14:textId="77777777" w:rsidR="003D504D" w:rsidRDefault="003D504D" w:rsidP="003D504D">
      <w:pPr>
        <w:pStyle w:val="afe"/>
        <w:rPr>
          <w:rtl/>
        </w:rPr>
      </w:pPr>
      <w:bookmarkStart w:id="19080" w:name="_Toc1063603"/>
      <w:bookmarkStart w:id="19081" w:name="_Toc1112035"/>
      <w:bookmarkStart w:id="19082" w:name="_Toc1123901"/>
      <w:bookmarkStart w:id="19083" w:name="_Toc19436141"/>
      <w:bookmarkStart w:id="19084" w:name="_Toc20081322"/>
      <w:r>
        <w:rPr>
          <w:rFonts w:hint="cs"/>
          <w:rtl/>
        </w:rPr>
        <w:t>בגדר איסור חלב הבא מכח אבר היוצא</w:t>
      </w:r>
      <w:bookmarkEnd w:id="19080"/>
      <w:bookmarkEnd w:id="19081"/>
      <w:bookmarkEnd w:id="19082"/>
      <w:bookmarkEnd w:id="19083"/>
      <w:bookmarkEnd w:id="19084"/>
    </w:p>
    <w:p w14:paraId="6F4ADC23" w14:textId="77777777" w:rsidR="003D504D" w:rsidRPr="00A22EE9" w:rsidRDefault="003D504D" w:rsidP="00BF39B2">
      <w:pPr>
        <w:pStyle w:val="1"/>
        <w:rPr>
          <w:rtl/>
        </w:rPr>
      </w:pPr>
      <w:bookmarkStart w:id="19085" w:name="_Toc1063604"/>
      <w:bookmarkStart w:id="19086" w:name="_Toc1112036"/>
      <w:bookmarkStart w:id="19087" w:name="_Toc1123902"/>
      <w:bookmarkStart w:id="19088" w:name="_Toc19391422"/>
      <w:bookmarkStart w:id="19089" w:name="_Toc19394919"/>
      <w:r>
        <w:rPr>
          <w:rFonts w:hint="cs"/>
          <w:rtl/>
        </w:rPr>
        <w:t>דברי הרמב"ם דהחלב מכח האבר היוצא מעורב בחלב הכשר</w:t>
      </w:r>
      <w:bookmarkEnd w:id="19085"/>
      <w:bookmarkEnd w:id="19086"/>
      <w:bookmarkEnd w:id="19087"/>
      <w:bookmarkEnd w:id="19088"/>
      <w:bookmarkEnd w:id="19089"/>
    </w:p>
    <w:p w14:paraId="25EC18A3" w14:textId="77777777" w:rsidR="003D504D" w:rsidRPr="00113265" w:rsidRDefault="003D504D" w:rsidP="003D504D">
      <w:pPr>
        <w:pStyle w:val="a3"/>
        <w:rPr>
          <w:rtl/>
        </w:rPr>
      </w:pPr>
      <w:bookmarkStart w:id="19090" w:name="_Toc1112037"/>
      <w:bookmarkStart w:id="19091" w:name="_Toc1123903"/>
      <w:bookmarkStart w:id="19092" w:name="_Toc19391423"/>
      <w:bookmarkStart w:id="19093" w:name="_Toc19394920"/>
      <w:bookmarkEnd w:id="19041"/>
      <w:r>
        <w:rPr>
          <w:rFonts w:hint="cs"/>
          <w:rtl/>
        </w:rPr>
        <w:t>דברי הרמב"ם דחלב הבא מכח אבר היוצא חשיב כחלב טריפה שנתערב בחלב כשרה</w:t>
      </w:r>
      <w:bookmarkEnd w:id="19090"/>
      <w:bookmarkEnd w:id="19091"/>
      <w:bookmarkEnd w:id="19092"/>
      <w:bookmarkEnd w:id="19093"/>
    </w:p>
    <w:p w14:paraId="6D79EAAC" w14:textId="77777777" w:rsidR="003D504D" w:rsidRDefault="003D504D" w:rsidP="00223668">
      <w:pPr>
        <w:pStyle w:val="a0"/>
        <w:rPr>
          <w:rtl/>
        </w:rPr>
      </w:pPr>
      <w:bookmarkStart w:id="19094" w:name="_Ref1062626"/>
      <w:bookmarkStart w:id="19095" w:name="_Ref1117898"/>
      <w:r>
        <w:rPr>
          <w:rFonts w:hint="cs"/>
          <w:rtl/>
        </w:rPr>
        <w:t xml:space="preserve">כתב </w:t>
      </w:r>
      <w:r w:rsidRPr="00463FF4">
        <w:rPr>
          <w:rStyle w:val="af9"/>
          <w:rFonts w:hint="cs"/>
          <w:rtl/>
        </w:rPr>
        <w:t>הרמב"ם</w:t>
      </w:r>
      <w:r>
        <w:rPr>
          <w:rFonts w:hint="cs"/>
          <w:rtl/>
        </w:rPr>
        <w:t xml:space="preserve"> </w:t>
      </w:r>
      <w:r w:rsidRPr="00463FF4">
        <w:rPr>
          <w:rStyle w:val="af7"/>
          <w:rFonts w:eastAsia="Guttman Hodes" w:hint="cs"/>
          <w:rtl/>
        </w:rPr>
        <w:t>(מאכ"א פ"ה הי"ב)</w:t>
      </w:r>
      <w:r>
        <w:rPr>
          <w:rFonts w:hint="cs"/>
          <w:rtl/>
        </w:rPr>
        <w:t xml:space="preserve"> דהחלב שבא מבהמה שיש בה אבר היוצא אסור מספק, דכיון שהחלב בא מכלל האברים, ויש בבהמה אבר אחד שאסור, א"כ הוי כחלב טריפה שנתערב בחלב טהורה, ועי' בדברי </w:t>
      </w:r>
      <w:r w:rsidRPr="003524E9">
        <w:rPr>
          <w:rStyle w:val="af9"/>
          <w:rFonts w:hint="cs"/>
          <w:rtl/>
        </w:rPr>
        <w:t>הקה"י</w:t>
      </w:r>
      <w:r>
        <w:rPr>
          <w:rFonts w:hint="cs"/>
          <w:rtl/>
        </w:rPr>
        <w:t xml:space="preserve"> </w:t>
      </w:r>
      <w:r w:rsidRPr="003524E9">
        <w:rPr>
          <w:rStyle w:val="af7"/>
          <w:rFonts w:eastAsia="Guttman Hodes" w:hint="cs"/>
          <w:rtl/>
        </w:rPr>
        <w:t xml:space="preserve">(עי' </w:t>
      </w:r>
      <w:r w:rsidRPr="009B36EC">
        <w:rPr>
          <w:rStyle w:val="af7"/>
          <w:rFonts w:eastAsia="Guttman Hodes" w:hint="cs"/>
          <w:rtl/>
        </w:rPr>
        <w:t xml:space="preserve">אות </w:t>
      </w:r>
      <w:bookmarkEnd w:id="19094"/>
      <w:r w:rsidRPr="009B36EC">
        <w:rPr>
          <w:rStyle w:val="af7"/>
          <w:rFonts w:eastAsia="Guttman Hodes"/>
          <w:rtl/>
        </w:rPr>
        <w:fldChar w:fldCharType="begin"/>
      </w:r>
      <w:r w:rsidRPr="009B36EC">
        <w:rPr>
          <w:rStyle w:val="af7"/>
          <w:rFonts w:eastAsia="Guttman Hodes"/>
          <w:rtl/>
        </w:rPr>
        <w:instrText xml:space="preserve"> </w:instrText>
      </w:r>
      <w:r w:rsidRPr="009B36EC">
        <w:rPr>
          <w:rStyle w:val="af7"/>
          <w:rFonts w:eastAsia="Guttman Hodes"/>
        </w:rPr>
        <w:instrText>REF</w:instrText>
      </w:r>
      <w:r w:rsidRPr="009B36EC">
        <w:rPr>
          <w:rStyle w:val="af7"/>
          <w:rFonts w:eastAsia="Guttman Hodes"/>
          <w:rtl/>
        </w:rPr>
        <w:instrText xml:space="preserve"> _</w:instrText>
      </w:r>
      <w:r w:rsidRPr="009B36EC">
        <w:rPr>
          <w:rStyle w:val="af7"/>
          <w:rFonts w:eastAsia="Guttman Hodes"/>
        </w:rPr>
        <w:instrText>Ref1063340 \r \h</w:instrText>
      </w:r>
      <w:r w:rsidRPr="009B36EC">
        <w:rPr>
          <w:rStyle w:val="af7"/>
          <w:rFonts w:eastAsia="Guttman Hodes"/>
          <w:rtl/>
        </w:rPr>
        <w:instrText xml:space="preserve"> </w:instrText>
      </w:r>
      <w:r w:rsidRPr="009B36EC">
        <w:rPr>
          <w:rStyle w:val="af7"/>
          <w:rFonts w:eastAsia="Guttman Hodes"/>
          <w:rtl/>
        </w:rPr>
      </w:r>
      <w:r w:rsidRPr="009B36EC">
        <w:rPr>
          <w:rStyle w:val="af7"/>
          <w:rFonts w:eastAsia="Guttman Hodes"/>
          <w:rtl/>
        </w:rPr>
        <w:fldChar w:fldCharType="separate"/>
      </w:r>
      <w:r w:rsidR="00345400">
        <w:rPr>
          <w:rStyle w:val="af7"/>
          <w:rFonts w:eastAsia="Guttman Hodes"/>
          <w:cs/>
        </w:rPr>
        <w:t>‎</w:t>
      </w:r>
      <w:r w:rsidR="00345400">
        <w:rPr>
          <w:rStyle w:val="af7"/>
          <w:rFonts w:eastAsia="Guttman Hodes"/>
          <w:rtl/>
        </w:rPr>
        <w:t>צו)</w:t>
      </w:r>
      <w:r w:rsidRPr="009B36EC">
        <w:rPr>
          <w:rStyle w:val="af7"/>
          <w:rFonts w:eastAsia="Guttman Hodes"/>
          <w:rtl/>
        </w:rPr>
        <w:fldChar w:fldCharType="end"/>
      </w:r>
      <w:r>
        <w:rPr>
          <w:rFonts w:hint="cs"/>
          <w:rtl/>
        </w:rPr>
        <w:t>.</w:t>
      </w:r>
      <w:bookmarkEnd w:id="19095"/>
    </w:p>
    <w:p w14:paraId="792CB0EE" w14:textId="77777777" w:rsidR="003D504D" w:rsidRDefault="003D504D" w:rsidP="003D504D">
      <w:pPr>
        <w:pStyle w:val="a3"/>
        <w:rPr>
          <w:rtl/>
        </w:rPr>
      </w:pPr>
      <w:bookmarkStart w:id="19096" w:name="_Toc1123904"/>
      <w:bookmarkStart w:id="19097" w:name="_Toc19391424"/>
      <w:bookmarkStart w:id="19098" w:name="_Toc19394921"/>
      <w:r>
        <w:rPr>
          <w:rFonts w:hint="cs"/>
          <w:rtl/>
        </w:rPr>
        <w:t>דברי המאירי דכיון שהחלב מתגדל מכל האברים מעורב בו הכח של האבר האסור</w:t>
      </w:r>
      <w:bookmarkEnd w:id="19096"/>
      <w:bookmarkEnd w:id="19097"/>
      <w:bookmarkEnd w:id="19098"/>
    </w:p>
    <w:p w14:paraId="428CA2C1" w14:textId="77777777" w:rsidR="003D504D" w:rsidRDefault="003D504D" w:rsidP="00223668">
      <w:pPr>
        <w:pStyle w:val="a0"/>
        <w:rPr>
          <w:rtl/>
        </w:rPr>
      </w:pPr>
      <w:bookmarkStart w:id="19099" w:name="_Toc1112038"/>
      <w:r>
        <w:rPr>
          <w:rFonts w:hint="cs"/>
          <w:rtl/>
        </w:rPr>
        <w:t xml:space="preserve">ויעוי' בדברי </w:t>
      </w:r>
      <w:r w:rsidRPr="00DA73CC">
        <w:rPr>
          <w:rStyle w:val="af9"/>
          <w:rFonts w:hint="cs"/>
          <w:rtl/>
        </w:rPr>
        <w:t xml:space="preserve">המאירי </w:t>
      </w:r>
      <w:r w:rsidRPr="00DA73CC">
        <w:rPr>
          <w:rStyle w:val="af7"/>
          <w:rFonts w:eastAsia="Guttman Hodes" w:hint="cs"/>
          <w:rtl/>
        </w:rPr>
        <w:t>(ד"ה עובר זה)</w:t>
      </w:r>
      <w:r>
        <w:rPr>
          <w:rFonts w:hint="cs"/>
          <w:rtl/>
        </w:rPr>
        <w:t xml:space="preserve"> דכתב דהצד בגמ' לאסור את החלב, שבדדי הבהמה, הוא כיון שהחלב מתגדל מכל האברים, וא"כ מעורב בחלב הכח של האבר האסור, והוי כחלב של טריפה.</w:t>
      </w:r>
    </w:p>
    <w:p w14:paraId="284CAF8A" w14:textId="77777777" w:rsidR="003D504D" w:rsidRDefault="003D504D" w:rsidP="00BF39B2">
      <w:pPr>
        <w:pStyle w:val="1"/>
        <w:rPr>
          <w:rtl/>
        </w:rPr>
      </w:pPr>
      <w:bookmarkStart w:id="19100" w:name="_Toc1123905"/>
      <w:bookmarkStart w:id="19101" w:name="_Toc19391425"/>
      <w:bookmarkStart w:id="19102" w:name="_Toc19394922"/>
      <w:r>
        <w:rPr>
          <w:rFonts w:hint="cs"/>
          <w:rtl/>
        </w:rPr>
        <w:t>פלוגתת הב"ח והט"ז בביטול בשישים בחלב מכח האבר היוצא</w:t>
      </w:r>
      <w:bookmarkEnd w:id="19100"/>
      <w:bookmarkEnd w:id="19101"/>
      <w:bookmarkEnd w:id="19102"/>
    </w:p>
    <w:p w14:paraId="20F70A6A" w14:textId="77777777" w:rsidR="003D504D" w:rsidRDefault="003D504D" w:rsidP="003D504D">
      <w:pPr>
        <w:pStyle w:val="a3"/>
        <w:rPr>
          <w:rtl/>
        </w:rPr>
      </w:pPr>
      <w:bookmarkStart w:id="19103" w:name="_Toc1123906"/>
      <w:bookmarkStart w:id="19104" w:name="_Toc19391426"/>
      <w:bookmarkStart w:id="19105" w:name="_Toc19394923"/>
      <w:r>
        <w:rPr>
          <w:rFonts w:hint="cs"/>
          <w:rtl/>
        </w:rPr>
        <w:t>דברי הב"ח שאם יש בבהמה שישים כנגד האבר היוצא החלב מותר מדין ביטול בתערובת</w:t>
      </w:r>
      <w:bookmarkEnd w:id="19099"/>
      <w:bookmarkEnd w:id="19103"/>
      <w:bookmarkEnd w:id="19104"/>
      <w:bookmarkEnd w:id="19105"/>
    </w:p>
    <w:p w14:paraId="405750B6" w14:textId="77777777" w:rsidR="003D504D" w:rsidRDefault="003D504D" w:rsidP="00223668">
      <w:pPr>
        <w:pStyle w:val="a0"/>
        <w:rPr>
          <w:rtl/>
        </w:rPr>
      </w:pPr>
      <w:bookmarkStart w:id="19106" w:name="_Ref1063386"/>
      <w:r>
        <w:rPr>
          <w:rFonts w:hint="cs"/>
          <w:rtl/>
        </w:rPr>
        <w:t xml:space="preserve">כתב </w:t>
      </w:r>
      <w:r w:rsidRPr="00463FF4">
        <w:rPr>
          <w:rStyle w:val="af9"/>
          <w:rFonts w:hint="cs"/>
          <w:rtl/>
        </w:rPr>
        <w:t>הב"ח</w:t>
      </w:r>
      <w:r>
        <w:rPr>
          <w:rFonts w:hint="cs"/>
          <w:rtl/>
        </w:rPr>
        <w:t xml:space="preserve"> </w:t>
      </w:r>
      <w:r w:rsidRPr="00463FF4">
        <w:rPr>
          <w:rStyle w:val="af7"/>
          <w:rFonts w:eastAsia="Guttman Hodes" w:hint="cs"/>
          <w:rtl/>
        </w:rPr>
        <w:t>(סי' י"ד ז' ד"ה לשון)</w:t>
      </w:r>
      <w:r>
        <w:rPr>
          <w:rFonts w:hint="cs"/>
          <w:rtl/>
        </w:rPr>
        <w:t xml:space="preserve"> דמבואר מדברי </w:t>
      </w:r>
      <w:r w:rsidRPr="00463FF4">
        <w:rPr>
          <w:rStyle w:val="af9"/>
          <w:rFonts w:hint="cs"/>
          <w:rtl/>
        </w:rPr>
        <w:t>הרמב"ם</w:t>
      </w:r>
      <w:r>
        <w:rPr>
          <w:rFonts w:hint="cs"/>
          <w:rtl/>
        </w:rPr>
        <w:t xml:space="preserve"> </w:t>
      </w:r>
      <w:r w:rsidRPr="00644942">
        <w:rPr>
          <w:rStyle w:val="af7"/>
          <w:rFonts w:eastAsia="Guttman Hodes" w:hint="cs"/>
          <w:rtl/>
        </w:rPr>
        <w:t xml:space="preserve">(עי' אות </w:t>
      </w:r>
      <w:r w:rsidRPr="00644942">
        <w:rPr>
          <w:rStyle w:val="af7"/>
          <w:rFonts w:eastAsia="Guttman Hodes"/>
          <w:rtl/>
        </w:rPr>
        <w:fldChar w:fldCharType="begin"/>
      </w:r>
      <w:r w:rsidRPr="00644942">
        <w:rPr>
          <w:rStyle w:val="af7"/>
          <w:rFonts w:eastAsia="Guttman Hodes"/>
          <w:rtl/>
        </w:rPr>
        <w:instrText xml:space="preserve"> </w:instrText>
      </w:r>
      <w:r w:rsidRPr="00644942">
        <w:rPr>
          <w:rStyle w:val="af7"/>
          <w:rFonts w:eastAsia="Guttman Hodes" w:hint="cs"/>
        </w:rPr>
        <w:instrText>REF</w:instrText>
      </w:r>
      <w:r w:rsidRPr="00644942">
        <w:rPr>
          <w:rStyle w:val="af7"/>
          <w:rFonts w:eastAsia="Guttman Hodes" w:hint="cs"/>
          <w:rtl/>
        </w:rPr>
        <w:instrText xml:space="preserve"> _</w:instrText>
      </w:r>
      <w:r w:rsidRPr="00644942">
        <w:rPr>
          <w:rStyle w:val="af7"/>
          <w:rFonts w:eastAsia="Guttman Hodes" w:hint="cs"/>
        </w:rPr>
        <w:instrText>Ref1117898 \r \h</w:instrText>
      </w:r>
      <w:r w:rsidRPr="00644942">
        <w:rPr>
          <w:rStyle w:val="af7"/>
          <w:rFonts w:eastAsia="Guttman Hodes"/>
          <w:rtl/>
        </w:rPr>
        <w:instrText xml:space="preserve"> </w:instrText>
      </w:r>
      <w:r w:rsidRPr="00644942">
        <w:rPr>
          <w:rStyle w:val="af7"/>
          <w:rFonts w:eastAsia="Guttman Hodes"/>
          <w:rtl/>
        </w:rPr>
      </w:r>
      <w:r w:rsidRPr="00644942">
        <w:rPr>
          <w:rStyle w:val="af7"/>
          <w:rFonts w:eastAsia="Guttman Hodes"/>
          <w:rtl/>
        </w:rPr>
        <w:fldChar w:fldCharType="separate"/>
      </w:r>
      <w:r w:rsidR="00345400">
        <w:rPr>
          <w:rStyle w:val="af7"/>
          <w:rFonts w:eastAsia="Guttman Hodes"/>
          <w:cs/>
        </w:rPr>
        <w:t>‎</w:t>
      </w:r>
      <w:r w:rsidR="00345400">
        <w:rPr>
          <w:rStyle w:val="af7"/>
          <w:rFonts w:eastAsia="Guttman Hodes"/>
          <w:rtl/>
        </w:rPr>
        <w:t>נז)</w:t>
      </w:r>
      <w:r w:rsidRPr="00644942">
        <w:rPr>
          <w:rStyle w:val="af7"/>
          <w:rFonts w:eastAsia="Guttman Hodes"/>
          <w:rtl/>
        </w:rPr>
        <w:fldChar w:fldCharType="end"/>
      </w:r>
      <w:r>
        <w:rPr>
          <w:rFonts w:hint="cs"/>
          <w:rtl/>
        </w:rPr>
        <w:t xml:space="preserve"> דהחלב אסור מדין תערובת, ואם יש שישים בבהמה כנגד האבר האסור, מותר כל החלב, מדין תערובת שבטלה בשישים, ועי' בדברי </w:t>
      </w:r>
      <w:r w:rsidRPr="003524E9">
        <w:rPr>
          <w:rStyle w:val="af9"/>
          <w:rFonts w:hint="cs"/>
          <w:rtl/>
        </w:rPr>
        <w:t>הקה"י</w:t>
      </w:r>
      <w:r>
        <w:rPr>
          <w:rFonts w:hint="cs"/>
          <w:rtl/>
        </w:rPr>
        <w:t xml:space="preserve"> </w:t>
      </w:r>
      <w:r w:rsidRPr="003524E9">
        <w:rPr>
          <w:rStyle w:val="af7"/>
          <w:rFonts w:eastAsia="Guttman Hodes" w:hint="cs"/>
          <w:rtl/>
        </w:rPr>
        <w:t xml:space="preserve">(עי' </w:t>
      </w:r>
      <w:r w:rsidRPr="009B36EC">
        <w:rPr>
          <w:rStyle w:val="af7"/>
          <w:rFonts w:eastAsia="Guttman Hodes" w:hint="cs"/>
          <w:rtl/>
        </w:rPr>
        <w:t>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Ref1063477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צז)</w:t>
      </w:r>
      <w:r>
        <w:rPr>
          <w:rStyle w:val="af7"/>
          <w:rFonts w:eastAsia="Guttman Hodes"/>
          <w:rtl/>
        </w:rPr>
        <w:fldChar w:fldCharType="end"/>
      </w:r>
      <w:r>
        <w:rPr>
          <w:rFonts w:hint="cs"/>
          <w:rtl/>
        </w:rPr>
        <w:t>.</w:t>
      </w:r>
      <w:bookmarkEnd w:id="19106"/>
    </w:p>
    <w:p w14:paraId="70C0258A" w14:textId="77777777" w:rsidR="003D504D" w:rsidRDefault="003D504D" w:rsidP="003D504D">
      <w:pPr>
        <w:pStyle w:val="a3"/>
        <w:rPr>
          <w:rtl/>
        </w:rPr>
      </w:pPr>
      <w:bookmarkStart w:id="19107" w:name="_Toc1112039"/>
      <w:bookmarkStart w:id="19108" w:name="_Toc1123907"/>
      <w:bookmarkStart w:id="19109" w:name="_Toc19391427"/>
      <w:bookmarkStart w:id="19110" w:name="_Toc19394924"/>
      <w:r>
        <w:rPr>
          <w:rFonts w:hint="cs"/>
          <w:rtl/>
        </w:rPr>
        <w:t>דחיית הפרישה והש"ך והט"ז דא"א לשער בשישים דיתכן שהחלב בא מאבר אחד יותר מאחר</w:t>
      </w:r>
      <w:bookmarkEnd w:id="19107"/>
      <w:bookmarkEnd w:id="19108"/>
      <w:bookmarkEnd w:id="19109"/>
      <w:bookmarkEnd w:id="19110"/>
    </w:p>
    <w:p w14:paraId="166D0DA8" w14:textId="77777777" w:rsidR="003D504D" w:rsidRDefault="003D504D" w:rsidP="00223668">
      <w:pPr>
        <w:pStyle w:val="a0"/>
        <w:rPr>
          <w:rtl/>
        </w:rPr>
      </w:pPr>
      <w:r>
        <w:rPr>
          <w:rFonts w:hint="cs"/>
          <w:rtl/>
        </w:rPr>
        <w:t xml:space="preserve">אבל </w:t>
      </w:r>
      <w:r w:rsidRPr="00CB74A1">
        <w:rPr>
          <w:rStyle w:val="af9"/>
          <w:rFonts w:hint="cs"/>
          <w:rtl/>
        </w:rPr>
        <w:t>הדרישה</w:t>
      </w:r>
      <w:r>
        <w:rPr>
          <w:rFonts w:hint="cs"/>
          <w:rtl/>
        </w:rPr>
        <w:t xml:space="preserve"> </w:t>
      </w:r>
      <w:r w:rsidRPr="00CB74A1">
        <w:rPr>
          <w:rStyle w:val="af7"/>
          <w:rFonts w:eastAsia="Guttman Hodes" w:hint="cs"/>
          <w:rtl/>
        </w:rPr>
        <w:t>(סי' י"ד ב')</w:t>
      </w:r>
      <w:r>
        <w:rPr>
          <w:rFonts w:hint="cs"/>
          <w:rtl/>
        </w:rPr>
        <w:t xml:space="preserve"> </w:t>
      </w:r>
      <w:r w:rsidRPr="00CB74A1">
        <w:rPr>
          <w:rStyle w:val="af9"/>
          <w:rFonts w:hint="cs"/>
          <w:rtl/>
        </w:rPr>
        <w:t>והש"ך</w:t>
      </w:r>
      <w:r>
        <w:rPr>
          <w:rFonts w:hint="cs"/>
          <w:rtl/>
        </w:rPr>
        <w:t xml:space="preserve"> </w:t>
      </w:r>
      <w:r w:rsidRPr="00CB74A1">
        <w:rPr>
          <w:rStyle w:val="af7"/>
          <w:rFonts w:eastAsia="Guttman Hodes" w:hint="cs"/>
          <w:rtl/>
        </w:rPr>
        <w:t>(סי' י"ד סקי"ב)</w:t>
      </w:r>
      <w:r>
        <w:rPr>
          <w:rFonts w:hint="cs"/>
          <w:rtl/>
        </w:rPr>
        <w:t xml:space="preserve"> כתב דא"א לשער שיש שישים כנגד האבר היוצא, דיתכן שהחלב גדול מאבר אחד יותר מאשר </w:t>
      </w:r>
      <w:r w:rsidRPr="00CB74A1">
        <w:rPr>
          <w:rFonts w:hint="cs"/>
          <w:rtl/>
        </w:rPr>
        <w:t>מאבר אחר,</w:t>
      </w:r>
      <w:r>
        <w:rPr>
          <w:rFonts w:hint="cs"/>
          <w:rtl/>
        </w:rPr>
        <w:t xml:space="preserve"> </w:t>
      </w:r>
      <w:r w:rsidRPr="00A5303B">
        <w:rPr>
          <w:rStyle w:val="afb"/>
          <w:rFonts w:hint="cs"/>
          <w:rtl/>
        </w:rPr>
        <w:t xml:space="preserve">[אך כתב </w:t>
      </w:r>
      <w:r w:rsidRPr="00A5303B">
        <w:rPr>
          <w:rStyle w:val="affa"/>
          <w:rFonts w:hint="cs"/>
          <w:rtl/>
        </w:rPr>
        <w:t>הש"ך</w:t>
      </w:r>
      <w:r w:rsidRPr="00A5303B">
        <w:rPr>
          <w:rStyle w:val="afb"/>
          <w:rFonts w:hint="cs"/>
          <w:rtl/>
        </w:rPr>
        <w:t xml:space="preserve"> דמדאו' מין במינו בטל, ומדרבנן</w:t>
      </w:r>
      <w:r w:rsidRPr="00F52DE5">
        <w:rPr>
          <w:rStyle w:val="afb"/>
          <w:rFonts w:hint="cs"/>
          <w:rtl/>
        </w:rPr>
        <w:t xml:space="preserve"> </w:t>
      </w:r>
      <w:r w:rsidRPr="00A5303B">
        <w:rPr>
          <w:rStyle w:val="afb"/>
          <w:rFonts w:hint="cs"/>
          <w:rtl/>
        </w:rPr>
        <w:t>צריך שישים, וספק דרבנן ולקולא</w:t>
      </w:r>
      <w:r>
        <w:rPr>
          <w:rStyle w:val="afb"/>
          <w:rFonts w:hint="cs"/>
          <w:rtl/>
        </w:rPr>
        <w:t xml:space="preserve">, ועי' </w:t>
      </w:r>
      <w:r w:rsidRPr="003066F4">
        <w:rPr>
          <w:rStyle w:val="affa"/>
          <w:rFonts w:hint="cs"/>
          <w:rtl/>
        </w:rPr>
        <w:t xml:space="preserve">בפרמ"ג </w:t>
      </w:r>
      <w:r w:rsidRPr="00F52DE5">
        <w:rPr>
          <w:rStyle w:val="aff6"/>
          <w:rFonts w:hint="cs"/>
          <w:rtl/>
        </w:rPr>
        <w:t xml:space="preserve">(סי' י"ד שפ"ד סקי"ב) </w:t>
      </w:r>
      <w:r w:rsidRPr="003066F4">
        <w:rPr>
          <w:rStyle w:val="affa"/>
          <w:rFonts w:hint="cs"/>
          <w:rtl/>
        </w:rPr>
        <w:t xml:space="preserve">ובגרעק"א </w:t>
      </w:r>
      <w:r w:rsidRPr="00F52DE5">
        <w:rPr>
          <w:rStyle w:val="aff6"/>
          <w:rFonts w:hint="cs"/>
          <w:rtl/>
        </w:rPr>
        <w:t xml:space="preserve">(סי' י"ד על הש"ך סקי"ב) </w:t>
      </w:r>
      <w:r w:rsidRPr="003066F4">
        <w:rPr>
          <w:rStyle w:val="affa"/>
          <w:rFonts w:hint="cs"/>
          <w:rtl/>
        </w:rPr>
        <w:t>וב</w:t>
      </w:r>
      <w:r w:rsidR="00345400">
        <w:rPr>
          <w:rStyle w:val="affa"/>
          <w:rFonts w:hint="cs"/>
          <w:rtl/>
        </w:rPr>
        <w:t>פלתי</w:t>
      </w:r>
      <w:r>
        <w:rPr>
          <w:rStyle w:val="afb"/>
          <w:rFonts w:hint="cs"/>
          <w:rtl/>
        </w:rPr>
        <w:t xml:space="preserve"> </w:t>
      </w:r>
      <w:r w:rsidRPr="00F52DE5">
        <w:rPr>
          <w:rStyle w:val="aff6"/>
          <w:rFonts w:hint="cs"/>
          <w:rtl/>
        </w:rPr>
        <w:t>(סי' י"ד סק"ה)</w:t>
      </w:r>
      <w:r w:rsidRPr="00A5303B">
        <w:rPr>
          <w:rStyle w:val="afb"/>
          <w:rFonts w:hint="cs"/>
          <w:rtl/>
        </w:rPr>
        <w:t>],</w:t>
      </w:r>
      <w:r w:rsidRPr="00CB74A1">
        <w:rPr>
          <w:rFonts w:hint="cs"/>
          <w:rtl/>
        </w:rPr>
        <w:t xml:space="preserve"> ו</w:t>
      </w:r>
      <w:r>
        <w:rPr>
          <w:rFonts w:hint="cs"/>
          <w:rtl/>
        </w:rPr>
        <w:t>כתב</w:t>
      </w:r>
      <w:r>
        <w:rPr>
          <w:rStyle w:val="af9"/>
          <w:rFonts w:hint="cs"/>
          <w:rtl/>
        </w:rPr>
        <w:t xml:space="preserve"> </w:t>
      </w:r>
      <w:r w:rsidRPr="00395288">
        <w:rPr>
          <w:rStyle w:val="af9"/>
          <w:rFonts w:hint="cs"/>
          <w:rtl/>
        </w:rPr>
        <w:t>הט"ז</w:t>
      </w:r>
      <w:r w:rsidRPr="00395288">
        <w:rPr>
          <w:rFonts w:hint="cs"/>
          <w:rtl/>
        </w:rPr>
        <w:t xml:space="preserve"> </w:t>
      </w:r>
      <w:r w:rsidRPr="00395288">
        <w:rPr>
          <w:rStyle w:val="af7"/>
          <w:rFonts w:eastAsia="Guttman Hodes" w:hint="cs"/>
          <w:rtl/>
        </w:rPr>
        <w:t>(סי' י"ד סק"ז)</w:t>
      </w:r>
      <w:r>
        <w:rPr>
          <w:rFonts w:hint="cs"/>
          <w:rtl/>
        </w:rPr>
        <w:t xml:space="preserve"> </w:t>
      </w:r>
      <w:r w:rsidRPr="00395288">
        <w:rPr>
          <w:rFonts w:hint="cs"/>
          <w:rtl/>
        </w:rPr>
        <w:t xml:space="preserve">דא"א לומר דכוונת </w:t>
      </w:r>
      <w:r w:rsidRPr="00655B5C">
        <w:rPr>
          <w:rStyle w:val="af9"/>
          <w:rFonts w:hint="cs"/>
          <w:rtl/>
        </w:rPr>
        <w:t>הרמב"ם</w:t>
      </w:r>
      <w:r w:rsidRPr="00395288">
        <w:rPr>
          <w:rFonts w:hint="cs"/>
          <w:rtl/>
        </w:rPr>
        <w:t xml:space="preserve"> להתיר בביטול בשישים, דכיון שהחלב בא מהדם, א"א לשער כמה דם יש בכל אבר</w:t>
      </w:r>
      <w:r>
        <w:rPr>
          <w:rFonts w:hint="cs"/>
          <w:rtl/>
        </w:rPr>
        <w:t xml:space="preserve">, ועי' במה שביאר </w:t>
      </w:r>
      <w:r w:rsidRPr="00E212D7">
        <w:rPr>
          <w:rStyle w:val="af9"/>
          <w:rFonts w:hint="cs"/>
          <w:rtl/>
        </w:rPr>
        <w:t>הט"ז</w:t>
      </w:r>
      <w:r>
        <w:rPr>
          <w:rFonts w:hint="cs"/>
          <w:rtl/>
        </w:rPr>
        <w:t xml:space="preserve"> </w:t>
      </w:r>
      <w:r w:rsidRPr="00E212D7">
        <w:rPr>
          <w:rStyle w:val="af7"/>
          <w:rFonts w:eastAsia="Guttman Hodes" w:hint="cs"/>
          <w:rtl/>
        </w:rPr>
        <w:t xml:space="preserve">(עי' אות </w:t>
      </w:r>
      <w:r w:rsidRPr="00E212D7">
        <w:rPr>
          <w:rStyle w:val="af7"/>
          <w:rFonts w:eastAsia="Guttman Hodes"/>
          <w:rtl/>
        </w:rPr>
        <w:fldChar w:fldCharType="begin"/>
      </w:r>
      <w:r w:rsidRPr="00E212D7">
        <w:rPr>
          <w:rStyle w:val="af7"/>
          <w:rFonts w:eastAsia="Guttman Hodes"/>
          <w:rtl/>
        </w:rPr>
        <w:instrText xml:space="preserve"> </w:instrText>
      </w:r>
      <w:r w:rsidRPr="00E212D7">
        <w:rPr>
          <w:rStyle w:val="af7"/>
          <w:rFonts w:eastAsia="Guttman Hodes" w:hint="cs"/>
        </w:rPr>
        <w:instrText>REF</w:instrText>
      </w:r>
      <w:r w:rsidRPr="00E212D7">
        <w:rPr>
          <w:rStyle w:val="af7"/>
          <w:rFonts w:eastAsia="Guttman Hodes" w:hint="cs"/>
          <w:rtl/>
        </w:rPr>
        <w:instrText xml:space="preserve"> _</w:instrText>
      </w:r>
      <w:r w:rsidRPr="00E212D7">
        <w:rPr>
          <w:rStyle w:val="af7"/>
          <w:rFonts w:eastAsia="Guttman Hodes" w:hint="cs"/>
        </w:rPr>
        <w:instrText>Ref1062495 \r \h</w:instrText>
      </w:r>
      <w:r w:rsidRPr="00E212D7">
        <w:rPr>
          <w:rStyle w:val="af7"/>
          <w:rFonts w:eastAsia="Guttman Hodes"/>
          <w:rtl/>
        </w:rPr>
        <w:instrText xml:space="preserve"> </w:instrText>
      </w:r>
      <w:r w:rsidRPr="00E212D7">
        <w:rPr>
          <w:rStyle w:val="af7"/>
          <w:rFonts w:eastAsia="Guttman Hodes"/>
          <w:rtl/>
        </w:rPr>
      </w:r>
      <w:r w:rsidRPr="00E212D7">
        <w:rPr>
          <w:rStyle w:val="af7"/>
          <w:rFonts w:eastAsia="Guttman Hodes"/>
          <w:rtl/>
        </w:rPr>
        <w:fldChar w:fldCharType="separate"/>
      </w:r>
      <w:r w:rsidR="00345400">
        <w:rPr>
          <w:rStyle w:val="af7"/>
          <w:rFonts w:eastAsia="Guttman Hodes"/>
          <w:cs/>
        </w:rPr>
        <w:t>‎</w:t>
      </w:r>
      <w:r w:rsidR="00345400">
        <w:rPr>
          <w:rStyle w:val="af7"/>
          <w:rFonts w:eastAsia="Guttman Hodes"/>
          <w:rtl/>
        </w:rPr>
        <w:t>סה)</w:t>
      </w:r>
      <w:r w:rsidRPr="00E212D7">
        <w:rPr>
          <w:rStyle w:val="af7"/>
          <w:rFonts w:eastAsia="Guttman Hodes"/>
          <w:rtl/>
        </w:rPr>
        <w:fldChar w:fldCharType="end"/>
      </w:r>
      <w:r>
        <w:rPr>
          <w:rFonts w:hint="cs"/>
          <w:rtl/>
        </w:rPr>
        <w:t>.</w:t>
      </w:r>
    </w:p>
    <w:p w14:paraId="70B19682" w14:textId="77777777" w:rsidR="003D504D" w:rsidRDefault="003D504D" w:rsidP="003D504D">
      <w:pPr>
        <w:pStyle w:val="a3"/>
        <w:rPr>
          <w:rtl/>
        </w:rPr>
      </w:pPr>
      <w:bookmarkStart w:id="19111" w:name="_Toc1112040"/>
      <w:bookmarkStart w:id="19112" w:name="_Toc1123908"/>
      <w:bookmarkStart w:id="19113" w:name="_Toc19391428"/>
      <w:bookmarkStart w:id="19114" w:name="_Toc19394925"/>
      <w:r>
        <w:rPr>
          <w:rFonts w:hint="cs"/>
          <w:rtl/>
        </w:rPr>
        <w:t>דברי המשל"מ דכיון שמשעת יצירתו החלב מעורב לא מהני בו ביטול בשישים</w:t>
      </w:r>
      <w:bookmarkEnd w:id="19111"/>
      <w:bookmarkEnd w:id="19112"/>
      <w:bookmarkEnd w:id="19113"/>
      <w:bookmarkEnd w:id="19114"/>
    </w:p>
    <w:p w14:paraId="67E7E712" w14:textId="77777777" w:rsidR="003D504D" w:rsidRDefault="003D504D" w:rsidP="00223668">
      <w:pPr>
        <w:pStyle w:val="a0"/>
        <w:rPr>
          <w:rtl/>
        </w:rPr>
      </w:pPr>
      <w:r w:rsidRPr="007B4EBB">
        <w:rPr>
          <w:rStyle w:val="af9"/>
          <w:rFonts w:hint="cs"/>
          <w:rtl/>
        </w:rPr>
        <w:t>והמשל"מ</w:t>
      </w:r>
      <w:r>
        <w:rPr>
          <w:rFonts w:hint="cs"/>
          <w:rtl/>
        </w:rPr>
        <w:t xml:space="preserve"> </w:t>
      </w:r>
      <w:r w:rsidRPr="007B4EBB">
        <w:rPr>
          <w:rStyle w:val="af7"/>
          <w:rFonts w:eastAsia="Guttman Hodes" w:hint="cs"/>
          <w:rtl/>
        </w:rPr>
        <w:t>(מטמאי משכב ומושב פ"א הי"ד)</w:t>
      </w:r>
      <w:r>
        <w:rPr>
          <w:rFonts w:hint="cs"/>
          <w:rtl/>
        </w:rPr>
        <w:t xml:space="preserve"> כתב דלא מהני ביטול בשישים בחלב, דכיון שהחלב שמכח האבר היוצא היה מעורב בשאר החלב משעה שנוצר אינו מתבטל, דלא שייך ביטול בדבר שתחילת ביאתו לעולם בתערובת.</w:t>
      </w:r>
    </w:p>
    <w:p w14:paraId="46988278" w14:textId="77777777" w:rsidR="003D504D" w:rsidRDefault="003D504D" w:rsidP="003D504D">
      <w:pPr>
        <w:pStyle w:val="a3"/>
        <w:rPr>
          <w:rtl/>
        </w:rPr>
      </w:pPr>
      <w:bookmarkStart w:id="19115" w:name="_Toc1112041"/>
      <w:bookmarkStart w:id="19116" w:name="_Toc1123909"/>
      <w:bookmarkStart w:id="19117" w:name="_Toc19391429"/>
      <w:bookmarkStart w:id="19118" w:name="_Toc19394926"/>
      <w:r>
        <w:rPr>
          <w:rFonts w:hint="cs"/>
          <w:rtl/>
        </w:rPr>
        <w:t>דברי המהר"י אלפאנדרי דהחלב נוצר בכל אבר בפנ"ע ולא חשיב מעורב משעת יצירתו ומהני ביטול</w:t>
      </w:r>
      <w:bookmarkEnd w:id="19115"/>
      <w:bookmarkEnd w:id="19116"/>
      <w:bookmarkEnd w:id="19117"/>
      <w:bookmarkEnd w:id="19118"/>
    </w:p>
    <w:p w14:paraId="63D202C5" w14:textId="77777777" w:rsidR="003D504D" w:rsidRDefault="003D504D" w:rsidP="00223668">
      <w:pPr>
        <w:pStyle w:val="a0"/>
        <w:rPr>
          <w:rtl/>
        </w:rPr>
      </w:pPr>
      <w:bookmarkStart w:id="19119" w:name="_Ref1062613"/>
      <w:r>
        <w:rPr>
          <w:rFonts w:hint="cs"/>
          <w:rtl/>
        </w:rPr>
        <w:t xml:space="preserve">והביא </w:t>
      </w:r>
      <w:r w:rsidRPr="007B4EBB">
        <w:rPr>
          <w:rStyle w:val="af9"/>
          <w:rFonts w:hint="cs"/>
          <w:rtl/>
        </w:rPr>
        <w:t>המשל"מ</w:t>
      </w:r>
      <w:r>
        <w:rPr>
          <w:rFonts w:hint="cs"/>
          <w:rtl/>
        </w:rPr>
        <w:t xml:space="preserve"> בשם </w:t>
      </w:r>
      <w:r w:rsidRPr="007B4EBB">
        <w:rPr>
          <w:rStyle w:val="af9"/>
          <w:rFonts w:hint="cs"/>
          <w:rtl/>
        </w:rPr>
        <w:t>מהר"י אלפאנדרי</w:t>
      </w:r>
      <w:r>
        <w:rPr>
          <w:rFonts w:hint="cs"/>
          <w:rtl/>
        </w:rPr>
        <w:t xml:space="preserve"> דביאר את דעת </w:t>
      </w:r>
      <w:r w:rsidRPr="007B4EBB">
        <w:rPr>
          <w:rStyle w:val="af9"/>
          <w:rFonts w:hint="cs"/>
          <w:rtl/>
        </w:rPr>
        <w:t>הב"ח</w:t>
      </w:r>
      <w:r>
        <w:rPr>
          <w:rFonts w:hint="cs"/>
          <w:rtl/>
        </w:rPr>
        <w:t xml:space="preserve"> דמתיר בביטול בשישים, דאף שהאיסור מעורב בחלב משעת ביאתו לעולם, מ"מ שאני חלב שנוצר בתחילה בכל אבר בפנ"ע, וא"כ בשעה שנוצר בשאר האברים, לא היה החלב מעורב עם החלב שנוצר באבר היוצא, ולכן חשיב שאין ביאתו לעולם בתערובת ומהני הביטול, ועי' בדברי </w:t>
      </w:r>
      <w:r w:rsidRPr="003524E9">
        <w:rPr>
          <w:rStyle w:val="af9"/>
          <w:rFonts w:hint="cs"/>
          <w:rtl/>
        </w:rPr>
        <w:t>הקה"י</w:t>
      </w:r>
      <w:r>
        <w:rPr>
          <w:rFonts w:hint="cs"/>
          <w:rtl/>
        </w:rPr>
        <w:t xml:space="preserve"> </w:t>
      </w:r>
      <w:r w:rsidRPr="003524E9">
        <w:rPr>
          <w:rStyle w:val="af7"/>
          <w:rFonts w:eastAsia="Guttman Hodes" w:hint="cs"/>
          <w:rtl/>
        </w:rPr>
        <w:t xml:space="preserve">(עי' אות </w:t>
      </w:r>
      <w:r w:rsidRPr="003524E9">
        <w:rPr>
          <w:rStyle w:val="af7"/>
          <w:rFonts w:eastAsia="Guttman Hodes"/>
          <w:rtl/>
        </w:rPr>
        <w:fldChar w:fldCharType="begin"/>
      </w:r>
      <w:r w:rsidRPr="003524E9">
        <w:rPr>
          <w:rStyle w:val="af7"/>
          <w:rFonts w:eastAsia="Guttman Hodes"/>
          <w:rtl/>
        </w:rPr>
        <w:instrText xml:space="preserve"> </w:instrText>
      </w:r>
      <w:r w:rsidRPr="003524E9">
        <w:rPr>
          <w:rStyle w:val="af7"/>
          <w:rFonts w:eastAsia="Guttman Hodes" w:hint="cs"/>
        </w:rPr>
        <w:instrText>REF</w:instrText>
      </w:r>
      <w:r w:rsidRPr="003524E9">
        <w:rPr>
          <w:rStyle w:val="af7"/>
          <w:rFonts w:eastAsia="Guttman Hodes" w:hint="cs"/>
          <w:rtl/>
        </w:rPr>
        <w:instrText xml:space="preserve"> _</w:instrText>
      </w:r>
      <w:r w:rsidRPr="003524E9">
        <w:rPr>
          <w:rStyle w:val="af7"/>
          <w:rFonts w:eastAsia="Guttman Hodes" w:hint="cs"/>
        </w:rPr>
        <w:instrText>Ref1062747 \r \h</w:instrText>
      </w:r>
      <w:r w:rsidRPr="003524E9">
        <w:rPr>
          <w:rStyle w:val="af7"/>
          <w:rFonts w:eastAsia="Guttman Hodes"/>
          <w:rtl/>
        </w:rPr>
        <w:instrText xml:space="preserve"> </w:instrText>
      </w:r>
      <w:r w:rsidRPr="003524E9">
        <w:rPr>
          <w:rStyle w:val="af7"/>
          <w:rFonts w:eastAsia="Guttman Hodes"/>
          <w:rtl/>
        </w:rPr>
      </w:r>
      <w:r w:rsidRPr="003524E9">
        <w:rPr>
          <w:rStyle w:val="af7"/>
          <w:rFonts w:eastAsia="Guttman Hodes"/>
          <w:rtl/>
        </w:rPr>
        <w:fldChar w:fldCharType="separate"/>
      </w:r>
      <w:r w:rsidR="00345400">
        <w:rPr>
          <w:rStyle w:val="af7"/>
          <w:rFonts w:eastAsia="Guttman Hodes"/>
          <w:cs/>
        </w:rPr>
        <w:t>‎</w:t>
      </w:r>
      <w:r w:rsidR="00345400">
        <w:rPr>
          <w:rStyle w:val="af7"/>
          <w:rFonts w:eastAsia="Guttman Hodes"/>
          <w:rtl/>
        </w:rPr>
        <w:t>צג)</w:t>
      </w:r>
      <w:r w:rsidRPr="003524E9">
        <w:rPr>
          <w:rStyle w:val="af7"/>
          <w:rFonts w:eastAsia="Guttman Hodes"/>
          <w:rtl/>
        </w:rPr>
        <w:fldChar w:fldCharType="end"/>
      </w:r>
      <w:r>
        <w:rPr>
          <w:rFonts w:hint="cs"/>
          <w:rtl/>
        </w:rPr>
        <w:t>.</w:t>
      </w:r>
      <w:bookmarkEnd w:id="19119"/>
    </w:p>
    <w:p w14:paraId="0AC11CDB" w14:textId="77777777" w:rsidR="003D504D" w:rsidRDefault="003D504D" w:rsidP="003D504D">
      <w:pPr>
        <w:pStyle w:val="a3"/>
        <w:rPr>
          <w:rtl/>
        </w:rPr>
      </w:pPr>
      <w:bookmarkStart w:id="19120" w:name="_Toc1112042"/>
      <w:bookmarkStart w:id="19121" w:name="_Toc1123910"/>
      <w:bookmarkStart w:id="19122" w:name="_Toc19391430"/>
      <w:bookmarkStart w:id="19123" w:name="_Toc19394927"/>
      <w:r>
        <w:rPr>
          <w:rFonts w:hint="cs"/>
          <w:rtl/>
        </w:rPr>
        <w:t>דברי ה</w:t>
      </w:r>
      <w:r w:rsidR="00345400">
        <w:rPr>
          <w:rFonts w:hint="cs"/>
          <w:rtl/>
        </w:rPr>
        <w:t>פלתי</w:t>
      </w:r>
      <w:r>
        <w:rPr>
          <w:rFonts w:hint="cs"/>
          <w:rtl/>
        </w:rPr>
        <w:t xml:space="preserve"> דכיון שנוצר בכל אבר בפנ"ע הוי תערובת איסור ואי"ז זה וזה גורם</w:t>
      </w:r>
      <w:bookmarkEnd w:id="19120"/>
      <w:bookmarkEnd w:id="19121"/>
      <w:bookmarkEnd w:id="19122"/>
      <w:bookmarkEnd w:id="19123"/>
    </w:p>
    <w:p w14:paraId="2D7CB681" w14:textId="77777777" w:rsidR="003D504D" w:rsidRDefault="003D504D" w:rsidP="00223668">
      <w:pPr>
        <w:pStyle w:val="a0"/>
        <w:rPr>
          <w:rtl/>
        </w:rPr>
      </w:pPr>
      <w:r>
        <w:rPr>
          <w:rFonts w:hint="cs"/>
          <w:rtl/>
        </w:rPr>
        <w:t xml:space="preserve">וכתב </w:t>
      </w:r>
      <w:r w:rsidRPr="00065121">
        <w:rPr>
          <w:rStyle w:val="af9"/>
          <w:rFonts w:hint="cs"/>
          <w:rtl/>
        </w:rPr>
        <w:t>ה</w:t>
      </w:r>
      <w:r w:rsidR="00345400">
        <w:rPr>
          <w:rStyle w:val="af9"/>
          <w:rFonts w:hint="cs"/>
          <w:rtl/>
        </w:rPr>
        <w:t>פלתי</w:t>
      </w:r>
      <w:r>
        <w:rPr>
          <w:rFonts w:hint="cs"/>
          <w:rtl/>
        </w:rPr>
        <w:t xml:space="preserve"> </w:t>
      </w:r>
      <w:r w:rsidRPr="00DF1496">
        <w:rPr>
          <w:rStyle w:val="af7"/>
          <w:rFonts w:eastAsia="Guttman Hodes" w:hint="cs"/>
          <w:rtl/>
        </w:rPr>
        <w:t>(סי' י"ד סק"ה)</w:t>
      </w:r>
      <w:r>
        <w:rPr>
          <w:rFonts w:hint="cs"/>
          <w:rtl/>
        </w:rPr>
        <w:t xml:space="preserve"> דלדברי </w:t>
      </w:r>
      <w:r w:rsidRPr="00065121">
        <w:rPr>
          <w:rStyle w:val="af9"/>
          <w:rFonts w:hint="cs"/>
          <w:rtl/>
        </w:rPr>
        <w:t>המהר"י אלפאנדרי</w:t>
      </w:r>
      <w:r>
        <w:rPr>
          <w:rFonts w:hint="cs"/>
          <w:rtl/>
        </w:rPr>
        <w:t xml:space="preserve"> מיושב אמאי אין החלב מותר מדין זה וזה גורם, דאין החלב נוצר בדד ע"י גרמת האברים, אלא נוצר בכל אבר ואבר ומכל האברים בא החלב לתוך הדד, ולכן כתב </w:t>
      </w:r>
      <w:r w:rsidRPr="00065121">
        <w:rPr>
          <w:rStyle w:val="af9"/>
          <w:rFonts w:hint="cs"/>
          <w:rtl/>
        </w:rPr>
        <w:t>הרמב"ם</w:t>
      </w:r>
      <w:r>
        <w:rPr>
          <w:rFonts w:hint="cs"/>
          <w:rtl/>
        </w:rPr>
        <w:t xml:space="preserve"> דהוא חלב אסור וחלב היתר שנתערבו.</w:t>
      </w:r>
    </w:p>
    <w:p w14:paraId="24724E81" w14:textId="77777777" w:rsidR="003D504D" w:rsidRPr="002A7E0B" w:rsidRDefault="003D504D" w:rsidP="003D504D">
      <w:pPr>
        <w:pStyle w:val="a3"/>
        <w:rPr>
          <w:rtl/>
        </w:rPr>
      </w:pPr>
      <w:bookmarkStart w:id="19124" w:name="_Toc1112043"/>
      <w:bookmarkStart w:id="19125" w:name="_Toc1123911"/>
      <w:bookmarkStart w:id="19126" w:name="_Toc19391431"/>
      <w:bookmarkStart w:id="19127" w:name="_Toc19394928"/>
      <w:r>
        <w:rPr>
          <w:rFonts w:hint="cs"/>
          <w:rtl/>
        </w:rPr>
        <w:t>קושית ה</w:t>
      </w:r>
      <w:r w:rsidR="00345400">
        <w:rPr>
          <w:rFonts w:hint="cs"/>
          <w:rtl/>
        </w:rPr>
        <w:t>פלתי</w:t>
      </w:r>
      <w:r>
        <w:rPr>
          <w:rFonts w:hint="cs"/>
          <w:rtl/>
        </w:rPr>
        <w:t xml:space="preserve"> דאמאי אינו מותר מדין כל מכח לא אמרינן וביאר דהוי ביטול איסור לכתחילה</w:t>
      </w:r>
      <w:bookmarkEnd w:id="19124"/>
      <w:bookmarkEnd w:id="19125"/>
      <w:bookmarkEnd w:id="19126"/>
      <w:bookmarkEnd w:id="19127"/>
    </w:p>
    <w:p w14:paraId="503A63F5" w14:textId="77777777" w:rsidR="003D504D" w:rsidRDefault="003D504D" w:rsidP="00223668">
      <w:pPr>
        <w:pStyle w:val="a0"/>
        <w:rPr>
          <w:rtl/>
        </w:rPr>
      </w:pPr>
      <w:bookmarkStart w:id="19128" w:name="_Ref1061896"/>
      <w:r>
        <w:rPr>
          <w:rFonts w:hint="cs"/>
          <w:rtl/>
        </w:rPr>
        <w:t xml:space="preserve">והקשה </w:t>
      </w:r>
      <w:r w:rsidRPr="002A7E0B">
        <w:rPr>
          <w:rStyle w:val="af9"/>
          <w:rFonts w:hint="cs"/>
          <w:rtl/>
        </w:rPr>
        <w:t>ה</w:t>
      </w:r>
      <w:r w:rsidR="00345400">
        <w:rPr>
          <w:rStyle w:val="af9"/>
          <w:rFonts w:hint="cs"/>
          <w:rtl/>
        </w:rPr>
        <w:t>פלתי</w:t>
      </w:r>
      <w:r>
        <w:rPr>
          <w:rFonts w:hint="cs"/>
          <w:rtl/>
        </w:rPr>
        <w:t xml:space="preserve"> דאמאי החלב שבא מכח אבר היוצא אסור, הא כל חלב בא מכח </w:t>
      </w:r>
      <w:r>
        <w:rPr>
          <w:rtl/>
        </w:rPr>
        <w:t>חֵלֶב</w:t>
      </w:r>
      <w:r>
        <w:rPr>
          <w:rFonts w:hint="cs"/>
          <w:rtl/>
        </w:rPr>
        <w:t xml:space="preserve"> ודם, ואפ"ה התירתו תורה, ומ"ש חלב שבא מכח אבר היוצא, וכתב </w:t>
      </w:r>
      <w:r w:rsidRPr="002A7E0B">
        <w:rPr>
          <w:rStyle w:val="af9"/>
          <w:rFonts w:hint="cs"/>
          <w:rtl/>
        </w:rPr>
        <w:t>ה</w:t>
      </w:r>
      <w:r w:rsidR="00345400">
        <w:rPr>
          <w:rStyle w:val="af9"/>
          <w:rFonts w:hint="cs"/>
          <w:rtl/>
        </w:rPr>
        <w:t>פלתי</w:t>
      </w:r>
      <w:r>
        <w:rPr>
          <w:rFonts w:hint="cs"/>
          <w:rtl/>
        </w:rPr>
        <w:t xml:space="preserve"> דא"א לומר דכיון דבא מכח תלתא איסורי אסור, דהרי דחתה הגמ' דלדעת רבי יהודה שאין איסור </w:t>
      </w:r>
      <w:r>
        <w:rPr>
          <w:rtl/>
        </w:rPr>
        <w:t>חֵלֶב</w:t>
      </w:r>
      <w:r>
        <w:rPr>
          <w:rFonts w:hint="cs"/>
          <w:rtl/>
        </w:rPr>
        <w:t xml:space="preserve"> בבן פקועה אין בו תלתא איסורי, וביאר </w:t>
      </w:r>
      <w:r w:rsidRPr="002A7E0B">
        <w:rPr>
          <w:rStyle w:val="af9"/>
          <w:rFonts w:hint="cs"/>
          <w:rtl/>
        </w:rPr>
        <w:t>ה</w:t>
      </w:r>
      <w:r w:rsidR="00345400">
        <w:rPr>
          <w:rStyle w:val="af9"/>
          <w:rFonts w:hint="cs"/>
          <w:rtl/>
        </w:rPr>
        <w:t>פלתי</w:t>
      </w:r>
      <w:r>
        <w:rPr>
          <w:rFonts w:hint="cs"/>
          <w:rtl/>
        </w:rPr>
        <w:t xml:space="preserve"> דקושית הגמ' דחשיב כמבטל איסור לכתחילה, כיון שאינו חותך את האבר האסור, וזו כוונת </w:t>
      </w:r>
      <w:r w:rsidRPr="002A7E0B">
        <w:rPr>
          <w:rStyle w:val="af9"/>
          <w:rFonts w:hint="cs"/>
          <w:rtl/>
        </w:rPr>
        <w:t>הרמב"ם</w:t>
      </w:r>
      <w:r>
        <w:rPr>
          <w:rFonts w:hint="cs"/>
          <w:rtl/>
        </w:rPr>
        <w:t xml:space="preserve"> דהחלב האסור מעורב בהיתר דאסור לבטל בידים עיי"ש בדבריו, ועי' בדברי </w:t>
      </w:r>
      <w:r w:rsidRPr="00DF1496">
        <w:rPr>
          <w:rStyle w:val="af9"/>
          <w:rFonts w:hint="cs"/>
          <w:rtl/>
        </w:rPr>
        <w:t>הקה"י</w:t>
      </w:r>
      <w:r>
        <w:rPr>
          <w:rFonts w:hint="cs"/>
          <w:rtl/>
        </w:rPr>
        <w:t xml:space="preserve"> </w:t>
      </w:r>
      <w:r w:rsidRPr="00DF1496">
        <w:rPr>
          <w:rStyle w:val="af7"/>
          <w:rFonts w:eastAsia="Guttman Hodes" w:hint="cs"/>
          <w:rtl/>
        </w:rPr>
        <w:t xml:space="preserve">(עי' אות </w:t>
      </w:r>
      <w:r w:rsidRPr="00DF1496">
        <w:rPr>
          <w:rStyle w:val="af7"/>
          <w:rFonts w:eastAsia="Guttman Hodes"/>
          <w:rtl/>
        </w:rPr>
        <w:fldChar w:fldCharType="begin"/>
      </w:r>
      <w:r w:rsidRPr="00DF1496">
        <w:rPr>
          <w:rStyle w:val="af7"/>
          <w:rFonts w:eastAsia="Guttman Hodes"/>
          <w:rtl/>
        </w:rPr>
        <w:instrText xml:space="preserve"> </w:instrText>
      </w:r>
      <w:r w:rsidRPr="00DF1496">
        <w:rPr>
          <w:rStyle w:val="af7"/>
          <w:rFonts w:eastAsia="Guttman Hodes" w:hint="cs"/>
        </w:rPr>
        <w:instrText>REF</w:instrText>
      </w:r>
      <w:r w:rsidRPr="00DF1496">
        <w:rPr>
          <w:rStyle w:val="af7"/>
          <w:rFonts w:eastAsia="Guttman Hodes" w:hint="cs"/>
          <w:rtl/>
        </w:rPr>
        <w:instrText xml:space="preserve"> _</w:instrText>
      </w:r>
      <w:r w:rsidRPr="00DF1496">
        <w:rPr>
          <w:rStyle w:val="af7"/>
          <w:rFonts w:eastAsia="Guttman Hodes" w:hint="cs"/>
        </w:rPr>
        <w:instrText>Ref1061929 \r \h</w:instrText>
      </w:r>
      <w:r w:rsidRPr="00DF1496">
        <w:rPr>
          <w:rStyle w:val="af7"/>
          <w:rFonts w:eastAsia="Guttman Hodes"/>
          <w:rtl/>
        </w:rPr>
        <w:instrText xml:space="preserve"> </w:instrText>
      </w:r>
      <w:r w:rsidRPr="00DF1496">
        <w:rPr>
          <w:rStyle w:val="af7"/>
          <w:rFonts w:eastAsia="Guttman Hodes"/>
          <w:rtl/>
        </w:rPr>
      </w:r>
      <w:r w:rsidRPr="00DF1496">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DF1496">
        <w:rPr>
          <w:rStyle w:val="af7"/>
          <w:rFonts w:eastAsia="Guttman Hodes"/>
          <w:rtl/>
        </w:rPr>
        <w:fldChar w:fldCharType="end"/>
      </w:r>
      <w:r>
        <w:rPr>
          <w:rFonts w:hint="cs"/>
          <w:rtl/>
        </w:rPr>
        <w:t>.</w:t>
      </w:r>
      <w:bookmarkEnd w:id="19128"/>
    </w:p>
    <w:p w14:paraId="6B199793" w14:textId="77777777" w:rsidR="003D504D" w:rsidRPr="0087578B" w:rsidRDefault="003D504D" w:rsidP="00BF39B2">
      <w:pPr>
        <w:pStyle w:val="1"/>
        <w:rPr>
          <w:rtl/>
        </w:rPr>
      </w:pPr>
      <w:bookmarkStart w:id="19129" w:name="_Toc1063605"/>
      <w:bookmarkStart w:id="19130" w:name="_Toc1112044"/>
      <w:bookmarkStart w:id="19131" w:name="_Toc1123912"/>
      <w:bookmarkStart w:id="19132" w:name="_Toc19391432"/>
      <w:bookmarkStart w:id="19133" w:name="_Toc19394929"/>
      <w:r>
        <w:rPr>
          <w:rFonts w:hint="cs"/>
          <w:rtl/>
        </w:rPr>
        <w:t>דברי הט"ז בביאור החילוק בין ולד מכח אבר היוצא</w:t>
      </w:r>
      <w:r w:rsidRPr="0087578B">
        <w:rPr>
          <w:rFonts w:hint="cs"/>
          <w:rtl/>
        </w:rPr>
        <w:t xml:space="preserve"> </w:t>
      </w:r>
      <w:r>
        <w:rPr>
          <w:rFonts w:hint="cs"/>
          <w:rtl/>
        </w:rPr>
        <w:t>לחלב</w:t>
      </w:r>
      <w:bookmarkEnd w:id="19129"/>
      <w:bookmarkEnd w:id="19130"/>
      <w:bookmarkEnd w:id="19131"/>
      <w:bookmarkEnd w:id="19132"/>
      <w:bookmarkEnd w:id="19133"/>
    </w:p>
    <w:p w14:paraId="4FD8DFFB" w14:textId="77777777" w:rsidR="003D504D" w:rsidRPr="00395288" w:rsidRDefault="003D504D" w:rsidP="003D504D">
      <w:pPr>
        <w:pStyle w:val="a3"/>
        <w:rPr>
          <w:rtl/>
        </w:rPr>
      </w:pPr>
      <w:bookmarkStart w:id="19134" w:name="_Toc1112045"/>
      <w:bookmarkStart w:id="19135" w:name="_Toc1123913"/>
      <w:bookmarkStart w:id="19136" w:name="_Toc19391433"/>
      <w:bookmarkStart w:id="19137" w:name="_Toc19394930"/>
      <w:r>
        <w:rPr>
          <w:rFonts w:hint="cs"/>
          <w:rtl/>
        </w:rPr>
        <w:t>דברי הט"ז דהרמב"ם חילק דהחלב בא בעין מהאברים ולא דמי לולד דבא רק מכח האבר היוצא</w:t>
      </w:r>
      <w:bookmarkEnd w:id="19134"/>
      <w:bookmarkEnd w:id="19135"/>
      <w:bookmarkEnd w:id="19136"/>
      <w:bookmarkEnd w:id="19137"/>
    </w:p>
    <w:p w14:paraId="4E158A82" w14:textId="77777777" w:rsidR="003D504D" w:rsidRPr="00191D76" w:rsidRDefault="003D504D" w:rsidP="00223668">
      <w:pPr>
        <w:pStyle w:val="a0"/>
        <w:rPr>
          <w:rtl/>
        </w:rPr>
        <w:sectPr w:rsidR="003D504D" w:rsidRPr="00191D76" w:rsidSect="005049E2">
          <w:type w:val="continuous"/>
          <w:pgSz w:w="11906" w:h="16838"/>
          <w:pgMar w:top="720" w:right="720" w:bottom="720" w:left="720" w:header="283" w:footer="283" w:gutter="0"/>
          <w:cols w:num="2" w:space="567"/>
          <w:titlePg/>
          <w:bidi/>
          <w:rtlGutter/>
          <w:docGrid w:linePitch="299"/>
        </w:sectPr>
      </w:pPr>
      <w:bookmarkStart w:id="19138" w:name="_Ref1062495"/>
      <w:r>
        <w:rPr>
          <w:rStyle w:val="af9"/>
          <w:rFonts w:hint="cs"/>
          <w:rtl/>
        </w:rPr>
        <w:t>ו</w:t>
      </w:r>
      <w:r w:rsidRPr="00395288">
        <w:rPr>
          <w:rStyle w:val="af9"/>
          <w:rFonts w:hint="cs"/>
          <w:rtl/>
        </w:rPr>
        <w:t xml:space="preserve">הט"ז </w:t>
      </w:r>
      <w:r w:rsidRPr="00395288">
        <w:rPr>
          <w:rStyle w:val="af7"/>
          <w:rFonts w:eastAsia="Guttman Hodes" w:hint="cs"/>
          <w:rtl/>
        </w:rPr>
        <w:t>(סי' י"ד סק"ז)</w:t>
      </w:r>
      <w:r>
        <w:rPr>
          <w:rFonts w:hint="cs"/>
          <w:rtl/>
        </w:rPr>
        <w:t xml:space="preserve"> ביאר </w:t>
      </w:r>
      <w:r w:rsidRPr="00395288">
        <w:rPr>
          <w:rFonts w:hint="cs"/>
          <w:rtl/>
        </w:rPr>
        <w:t xml:space="preserve">דכוונת </w:t>
      </w:r>
      <w:r w:rsidRPr="00395288">
        <w:rPr>
          <w:rStyle w:val="af9"/>
          <w:rFonts w:hint="cs"/>
          <w:rtl/>
        </w:rPr>
        <w:t xml:space="preserve">הרמב"ם </w:t>
      </w:r>
      <w:r w:rsidRPr="00395288">
        <w:rPr>
          <w:rFonts w:hint="cs"/>
          <w:rtl/>
        </w:rPr>
        <w:t xml:space="preserve">לומר דכיון </w:t>
      </w:r>
      <w:r>
        <w:rPr>
          <w:rFonts w:hint="cs"/>
          <w:rtl/>
        </w:rPr>
        <w:t>ד</w:t>
      </w:r>
      <w:r w:rsidRPr="00395288">
        <w:rPr>
          <w:rFonts w:hint="cs"/>
          <w:rtl/>
        </w:rPr>
        <w:t xml:space="preserve">לענין </w:t>
      </w:r>
      <w:r>
        <w:rPr>
          <w:rFonts w:hint="cs"/>
          <w:rtl/>
        </w:rPr>
        <w:t>ה</w:t>
      </w:r>
      <w:r w:rsidRPr="00395288">
        <w:rPr>
          <w:rFonts w:hint="cs"/>
          <w:rtl/>
        </w:rPr>
        <w:t>ולד שבא מכח אבר היוצא,</w:t>
      </w:r>
      <w:r>
        <w:rPr>
          <w:rFonts w:hint="cs"/>
          <w:rtl/>
        </w:rPr>
        <w:t xml:space="preserve"> מסקנת הגמ' </w:t>
      </w:r>
      <w:r w:rsidRPr="00395288">
        <w:rPr>
          <w:rFonts w:hint="cs"/>
          <w:rtl/>
        </w:rPr>
        <w:t xml:space="preserve">דכל מכח לא אמרינן, </w:t>
      </w:r>
      <w:r>
        <w:rPr>
          <w:rFonts w:hint="cs"/>
          <w:rtl/>
        </w:rPr>
        <w:t xml:space="preserve">ורק </w:t>
      </w:r>
      <w:r w:rsidRPr="00395288">
        <w:rPr>
          <w:rFonts w:hint="cs"/>
          <w:rtl/>
        </w:rPr>
        <w:t xml:space="preserve">לענין החלב </w:t>
      </w:r>
      <w:r>
        <w:rPr>
          <w:rFonts w:hint="cs"/>
          <w:rtl/>
        </w:rPr>
        <w:t xml:space="preserve">יש </w:t>
      </w:r>
      <w:r w:rsidRPr="00395288">
        <w:rPr>
          <w:rFonts w:hint="cs"/>
          <w:rtl/>
        </w:rPr>
        <w:t>ספק</w:t>
      </w:r>
      <w:r>
        <w:rPr>
          <w:rFonts w:hint="cs"/>
          <w:rtl/>
        </w:rPr>
        <w:t>,</w:t>
      </w:r>
      <w:r w:rsidRPr="00395288">
        <w:rPr>
          <w:rFonts w:hint="cs"/>
          <w:rtl/>
        </w:rPr>
        <w:t xml:space="preserve"> לכן הוסיף </w:t>
      </w:r>
      <w:r w:rsidRPr="00395288">
        <w:rPr>
          <w:rStyle w:val="af9"/>
          <w:rFonts w:hint="cs"/>
          <w:rtl/>
        </w:rPr>
        <w:t xml:space="preserve">הרמב"ם </w:t>
      </w:r>
      <w:r w:rsidRPr="00395288">
        <w:rPr>
          <w:rFonts w:hint="cs"/>
          <w:rtl/>
        </w:rPr>
        <w:t xml:space="preserve">לשון זה </w:t>
      </w:r>
      <w:r>
        <w:rPr>
          <w:rFonts w:hint="cs"/>
          <w:rtl/>
        </w:rPr>
        <w:t xml:space="preserve">לבאר את החילוק בין ולד לחלב, וביאר </w:t>
      </w:r>
      <w:r w:rsidRPr="00D76937">
        <w:rPr>
          <w:rStyle w:val="af9"/>
          <w:rFonts w:hint="cs"/>
          <w:rtl/>
        </w:rPr>
        <w:t>הט"ז</w:t>
      </w:r>
      <w:r>
        <w:rPr>
          <w:rFonts w:hint="cs"/>
          <w:rtl/>
        </w:rPr>
        <w:t xml:space="preserve"> דכוונת </w:t>
      </w:r>
      <w:r w:rsidRPr="00D76937">
        <w:rPr>
          <w:rStyle w:val="af9"/>
          <w:rFonts w:hint="cs"/>
          <w:rtl/>
        </w:rPr>
        <w:t>הרמב"ם</w:t>
      </w:r>
      <w:r>
        <w:rPr>
          <w:rFonts w:hint="cs"/>
          <w:rtl/>
        </w:rPr>
        <w:t xml:space="preserve"> </w:t>
      </w:r>
      <w:r w:rsidRPr="00395288">
        <w:rPr>
          <w:rFonts w:hint="cs"/>
          <w:rtl/>
        </w:rPr>
        <w:t xml:space="preserve">לומר שלא נטעה לומר דהחלב בא מכח האברים ואפ"ה הוא אסור, דהא מסקנת הגמ' דכל מכח לא אמרינן, אלא דאיסורו הוא כיון שבא מהאברים עצמם וחשיב שאנו רואים בעין דהחלב יונק מהאברים, ולכן כתב </w:t>
      </w:r>
      <w:r w:rsidRPr="00395288">
        <w:rPr>
          <w:rStyle w:val="af9"/>
          <w:rFonts w:hint="cs"/>
          <w:rtl/>
        </w:rPr>
        <w:t xml:space="preserve">הרמב"ם </w:t>
      </w:r>
      <w:r w:rsidRPr="00395288">
        <w:rPr>
          <w:rFonts w:hint="cs"/>
          <w:rtl/>
        </w:rPr>
        <w:t>דהוא כחלב טריפה שנתערב בכשרה, דהיינו שאנו רואים בעין שבא מהאברים הכשרים ומהאבר האסור, ולכן החלב אסור, ולא דמי לולד שבא רק מכח האבר היוצא, אך אינו יונק ממש מהאבר היוצא</w:t>
      </w:r>
      <w:r>
        <w:rPr>
          <w:rFonts w:hint="cs"/>
          <w:rtl/>
        </w:rPr>
        <w:t xml:space="preserve">, ועי' בדברי </w:t>
      </w:r>
      <w:r w:rsidRPr="00655B5C">
        <w:rPr>
          <w:rStyle w:val="af9"/>
          <w:rFonts w:hint="cs"/>
          <w:rtl/>
        </w:rPr>
        <w:t xml:space="preserve">האבי </w:t>
      </w:r>
      <w:r w:rsidRPr="002046A1">
        <w:rPr>
          <w:rStyle w:val="af9"/>
          <w:rFonts w:hint="cs"/>
          <w:rtl/>
        </w:rPr>
        <w:t>עזרי</w:t>
      </w:r>
      <w:r w:rsidRPr="002046A1">
        <w:rPr>
          <w:rFonts w:hint="cs"/>
          <w:rtl/>
        </w:rPr>
        <w:t xml:space="preserve"> </w:t>
      </w:r>
      <w:r w:rsidRPr="002046A1">
        <w:rPr>
          <w:rStyle w:val="af7"/>
          <w:rFonts w:eastAsia="Guttman Hodes" w:hint="cs"/>
          <w:rtl/>
        </w:rPr>
        <w:t xml:space="preserve">(עי' אות </w:t>
      </w:r>
      <w:r w:rsidRPr="002046A1">
        <w:rPr>
          <w:rStyle w:val="af7"/>
          <w:rFonts w:eastAsia="Guttman Hodes"/>
          <w:rtl/>
        </w:rPr>
        <w:fldChar w:fldCharType="begin"/>
      </w:r>
      <w:r w:rsidRPr="002046A1">
        <w:rPr>
          <w:rStyle w:val="af7"/>
          <w:rFonts w:eastAsia="Guttman Hodes"/>
          <w:rtl/>
        </w:rPr>
        <w:instrText xml:space="preserve"> </w:instrText>
      </w:r>
      <w:r w:rsidRPr="002046A1">
        <w:rPr>
          <w:rStyle w:val="af7"/>
          <w:rFonts w:eastAsia="Guttman Hodes" w:hint="cs"/>
        </w:rPr>
        <w:instrText>REF</w:instrText>
      </w:r>
      <w:r w:rsidRPr="002046A1">
        <w:rPr>
          <w:rStyle w:val="af7"/>
          <w:rFonts w:eastAsia="Guttman Hodes" w:hint="cs"/>
          <w:rtl/>
        </w:rPr>
        <w:instrText xml:space="preserve"> _</w:instrText>
      </w:r>
      <w:r w:rsidRPr="002046A1">
        <w:rPr>
          <w:rStyle w:val="af7"/>
          <w:rFonts w:eastAsia="Guttman Hodes" w:hint="cs"/>
        </w:rPr>
        <w:instrText>Ref1061961 \r \h</w:instrText>
      </w:r>
      <w:r w:rsidRPr="002046A1">
        <w:rPr>
          <w:rStyle w:val="af7"/>
          <w:rFonts w:eastAsia="Guttman Hodes"/>
          <w:rtl/>
        </w:rPr>
        <w:instrText xml:space="preserve">  \* </w:instrText>
      </w:r>
      <w:r w:rsidRPr="002046A1">
        <w:rPr>
          <w:rStyle w:val="af7"/>
          <w:rFonts w:eastAsia="Guttman Hodes"/>
        </w:rPr>
        <w:instrText>MERGEFORMAT</w:instrText>
      </w:r>
      <w:r w:rsidRPr="002046A1">
        <w:rPr>
          <w:rStyle w:val="af7"/>
          <w:rFonts w:eastAsia="Guttman Hodes"/>
          <w:rtl/>
        </w:rPr>
        <w:instrText xml:space="preserve"> </w:instrText>
      </w:r>
      <w:r w:rsidRPr="002046A1">
        <w:rPr>
          <w:rStyle w:val="af7"/>
          <w:rFonts w:eastAsia="Guttman Hodes"/>
          <w:rtl/>
        </w:rPr>
      </w:r>
      <w:r w:rsidRPr="002046A1">
        <w:rPr>
          <w:rStyle w:val="af7"/>
          <w:rFonts w:eastAsia="Guttman Hodes"/>
          <w:rtl/>
        </w:rPr>
        <w:fldChar w:fldCharType="separate"/>
      </w:r>
      <w:r w:rsidR="00345400">
        <w:rPr>
          <w:rStyle w:val="af7"/>
          <w:rFonts w:eastAsia="Guttman Hodes"/>
          <w:cs/>
        </w:rPr>
        <w:t>‎</w:t>
      </w:r>
      <w:r w:rsidR="00345400">
        <w:rPr>
          <w:rStyle w:val="af7"/>
          <w:rFonts w:eastAsia="Guttman Hodes"/>
          <w:rtl/>
        </w:rPr>
        <w:t>פח)</w:t>
      </w:r>
      <w:r w:rsidRPr="002046A1">
        <w:rPr>
          <w:rStyle w:val="af7"/>
          <w:rFonts w:eastAsia="Guttman Hodes"/>
          <w:rtl/>
        </w:rPr>
        <w:fldChar w:fldCharType="end"/>
      </w:r>
      <w:r w:rsidRPr="002046A1">
        <w:rPr>
          <w:rFonts w:hint="cs"/>
          <w:rtl/>
        </w:rPr>
        <w:t xml:space="preserve"> </w:t>
      </w:r>
      <w:r w:rsidRPr="002046A1">
        <w:rPr>
          <w:rStyle w:val="af9"/>
          <w:rFonts w:hint="cs"/>
          <w:rtl/>
        </w:rPr>
        <w:t>והקה"י</w:t>
      </w:r>
      <w:r w:rsidRPr="002046A1">
        <w:rPr>
          <w:rFonts w:hint="cs"/>
          <w:rtl/>
        </w:rPr>
        <w:t xml:space="preserve"> </w:t>
      </w:r>
      <w:r w:rsidRPr="002046A1">
        <w:rPr>
          <w:rStyle w:val="af7"/>
          <w:rFonts w:eastAsia="Guttman Hodes" w:hint="cs"/>
          <w:rtl/>
        </w:rPr>
        <w:t xml:space="preserve">(עי' אות </w:t>
      </w:r>
      <w:r w:rsidRPr="002046A1">
        <w:rPr>
          <w:rStyle w:val="af7"/>
          <w:rFonts w:eastAsia="Guttman Hodes"/>
          <w:rtl/>
        </w:rPr>
        <w:fldChar w:fldCharType="begin"/>
      </w:r>
      <w:r w:rsidRPr="002046A1">
        <w:rPr>
          <w:rStyle w:val="af7"/>
          <w:rFonts w:eastAsia="Guttman Hodes"/>
          <w:rtl/>
        </w:rPr>
        <w:instrText xml:space="preserve"> </w:instrText>
      </w:r>
      <w:r w:rsidRPr="002046A1">
        <w:rPr>
          <w:rStyle w:val="af7"/>
          <w:rFonts w:eastAsia="Guttman Hodes" w:hint="cs"/>
        </w:rPr>
        <w:instrText>REF</w:instrText>
      </w:r>
      <w:r w:rsidRPr="002046A1">
        <w:rPr>
          <w:rStyle w:val="af7"/>
          <w:rFonts w:eastAsia="Guttman Hodes" w:hint="cs"/>
          <w:rtl/>
        </w:rPr>
        <w:instrText xml:space="preserve"> _</w:instrText>
      </w:r>
      <w:r w:rsidRPr="002046A1">
        <w:rPr>
          <w:rStyle w:val="af7"/>
          <w:rFonts w:eastAsia="Guttman Hodes" w:hint="cs"/>
        </w:rPr>
        <w:instrText>Ref1108854 \r \h</w:instrText>
      </w:r>
      <w:r w:rsidRPr="002046A1">
        <w:rPr>
          <w:rStyle w:val="af7"/>
          <w:rFonts w:eastAsia="Guttman Hodes"/>
          <w:rtl/>
        </w:rPr>
        <w:instrText xml:space="preserve"> </w:instrText>
      </w:r>
      <w:r w:rsidRPr="002046A1">
        <w:rPr>
          <w:rStyle w:val="af7"/>
          <w:rFonts w:eastAsia="Guttman Hodes"/>
          <w:rtl/>
        </w:rPr>
      </w:r>
      <w:r w:rsidRPr="002046A1">
        <w:rPr>
          <w:rStyle w:val="af7"/>
          <w:rFonts w:eastAsia="Guttman Hodes"/>
          <w:rtl/>
        </w:rPr>
        <w:fldChar w:fldCharType="separate"/>
      </w:r>
      <w:r w:rsidR="00345400">
        <w:rPr>
          <w:rStyle w:val="af7"/>
          <w:rFonts w:eastAsia="Guttman Hodes"/>
          <w:cs/>
        </w:rPr>
        <w:t>‎</w:t>
      </w:r>
      <w:r w:rsidR="00345400">
        <w:rPr>
          <w:rStyle w:val="af7"/>
          <w:rFonts w:eastAsia="Guttman Hodes"/>
          <w:rtl/>
        </w:rPr>
        <w:t>צד)</w:t>
      </w:r>
      <w:r w:rsidRPr="002046A1">
        <w:rPr>
          <w:rStyle w:val="af7"/>
          <w:rFonts w:eastAsia="Guttman Hodes"/>
          <w:rtl/>
        </w:rPr>
        <w:fldChar w:fldCharType="end"/>
      </w:r>
      <w:r>
        <w:rPr>
          <w:rFonts w:hint="cs"/>
          <w:rtl/>
        </w:rPr>
        <w:t xml:space="preserve"> </w:t>
      </w:r>
      <w:r w:rsidRPr="002046A1">
        <w:rPr>
          <w:rFonts w:hint="cs"/>
          <w:rtl/>
        </w:rPr>
        <w:t>במ"ש בחילוק</w:t>
      </w:r>
      <w:r>
        <w:rPr>
          <w:rFonts w:hint="cs"/>
          <w:rtl/>
        </w:rPr>
        <w:t xml:space="preserve"> בין הולד לחלב</w:t>
      </w:r>
      <w:r w:rsidRPr="00395288">
        <w:rPr>
          <w:rFonts w:hint="cs"/>
          <w:rtl/>
        </w:rPr>
        <w:t>.</w:t>
      </w:r>
      <w:bookmarkEnd w:id="19138"/>
    </w:p>
    <w:p w14:paraId="2B6F6D67" w14:textId="77777777" w:rsidR="003D504D" w:rsidRPr="00B06D6B" w:rsidRDefault="003D504D" w:rsidP="00223668">
      <w:pPr>
        <w:pStyle w:val="a0"/>
        <w:numPr>
          <w:ilvl w:val="0"/>
          <w:numId w:val="0"/>
        </w:numPr>
        <w:rPr>
          <w:rtl/>
        </w:rPr>
      </w:pPr>
    </w:p>
    <w:p w14:paraId="6CC4C987" w14:textId="77777777" w:rsidR="003D504D" w:rsidRDefault="003D504D" w:rsidP="003D504D">
      <w:pPr>
        <w:tabs>
          <w:tab w:val="left" w:pos="1163"/>
        </w:tabs>
        <w:spacing w:after="120" w:line="240" w:lineRule="auto"/>
        <w:ind w:left="0"/>
        <w:rPr>
          <w:rFonts w:ascii="Guttman Hodes" w:eastAsia="Guttman Hodes" w:hAnsi="Guttman Hodes" w:cs="Guttman Hodes"/>
          <w:noProof/>
          <w:sz w:val="18"/>
          <w:szCs w:val="18"/>
        </w:rPr>
        <w:sectPr w:rsidR="003D504D" w:rsidSect="003D504D">
          <w:footerReference w:type="default" r:id="rId114"/>
          <w:type w:val="continuous"/>
          <w:pgSz w:w="11906" w:h="16838"/>
          <w:pgMar w:top="720" w:right="720" w:bottom="720" w:left="720" w:header="283" w:footer="283" w:gutter="0"/>
          <w:cols w:space="567"/>
          <w:bidi/>
          <w:rtlGutter/>
          <w:docGrid w:linePitch="299"/>
        </w:sectPr>
      </w:pPr>
    </w:p>
    <w:p w14:paraId="54743A53" w14:textId="77777777" w:rsidR="003D504D" w:rsidRPr="00B06D6B" w:rsidRDefault="004B65FC" w:rsidP="003D504D">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1217D0D1">
          <v:shape id="_x0000_i1049" type="#_x0000_t75" style="width:404.55pt;height:6.8pt" o:hrpct="0" o:hralign="center" o:hr="t">
            <v:imagedata r:id="rId21" o:title="BD14845_"/>
          </v:shape>
        </w:pict>
      </w:r>
      <w:r w:rsidR="003D504D" w:rsidRPr="00B06D6B">
        <w:rPr>
          <w:rFonts w:ascii="Guttman Hodes" w:eastAsia="Guttman Hodes" w:hAnsi="Guttman Hodes" w:cs="Guttman Hodes" w:hint="cs"/>
          <w:noProof/>
          <w:sz w:val="18"/>
          <w:szCs w:val="18"/>
          <w:rtl/>
        </w:rPr>
        <w:t xml:space="preserve"> </w:t>
      </w:r>
    </w:p>
    <w:p w14:paraId="09EE6CC7" w14:textId="77777777" w:rsidR="003D504D" w:rsidRPr="00B06D6B" w:rsidRDefault="003D504D" w:rsidP="003D504D">
      <w:pPr>
        <w:pStyle w:val="2"/>
        <w:rPr>
          <w:rtl/>
        </w:rPr>
      </w:pPr>
      <w:bookmarkStart w:id="19139" w:name="_Toc536787003"/>
      <w:bookmarkStart w:id="19140" w:name="_Toc519050"/>
      <w:bookmarkStart w:id="19141" w:name="_Toc725029"/>
      <w:bookmarkStart w:id="19142" w:name="_Toc773238"/>
      <w:bookmarkStart w:id="19143" w:name="_Toc862084"/>
      <w:bookmarkStart w:id="19144" w:name="_Toc890757"/>
      <w:bookmarkStart w:id="19145" w:name="_Toc903166"/>
      <w:bookmarkStart w:id="19146" w:name="_Toc955531"/>
      <w:bookmarkStart w:id="19147" w:name="_Toc955841"/>
      <w:bookmarkStart w:id="19148" w:name="_Toc1039487"/>
      <w:bookmarkStart w:id="19149" w:name="_Toc1040730"/>
      <w:bookmarkStart w:id="19150" w:name="_Toc1063606"/>
      <w:bookmarkStart w:id="19151" w:name="_Toc1112046"/>
      <w:bookmarkStart w:id="19152" w:name="_Toc1123914"/>
      <w:bookmarkStart w:id="19153" w:name="_Toc19436142"/>
      <w:r w:rsidRPr="00B06D6B">
        <w:rPr>
          <w:rFonts w:hint="cs"/>
          <w:rtl/>
        </w:rPr>
        <w:t>ביאורי ראשי הישיבות על הסוגיא</w:t>
      </w:r>
      <w:bookmarkEnd w:id="19139"/>
      <w:bookmarkEnd w:id="19140"/>
      <w:bookmarkEnd w:id="19141"/>
      <w:bookmarkEnd w:id="19142"/>
      <w:bookmarkEnd w:id="19143"/>
      <w:bookmarkEnd w:id="19144"/>
      <w:bookmarkEnd w:id="19145"/>
      <w:bookmarkEnd w:id="19146"/>
      <w:bookmarkEnd w:id="19147"/>
      <w:bookmarkEnd w:id="19148"/>
      <w:bookmarkEnd w:id="19149"/>
      <w:bookmarkEnd w:id="19150"/>
      <w:bookmarkEnd w:id="19151"/>
      <w:bookmarkEnd w:id="19152"/>
      <w:bookmarkEnd w:id="19153"/>
    </w:p>
    <w:p w14:paraId="1ACFD3FB" w14:textId="77777777" w:rsidR="003D504D" w:rsidRPr="00B06D6B" w:rsidRDefault="003D504D" w:rsidP="003D504D">
      <w:pPr>
        <w:pStyle w:val="2"/>
        <w:rPr>
          <w:rtl/>
        </w:rPr>
        <w:sectPr w:rsidR="003D504D" w:rsidRPr="00B06D6B" w:rsidSect="003D504D">
          <w:pgSz w:w="11906" w:h="16838"/>
          <w:pgMar w:top="720" w:right="720" w:bottom="720" w:left="720" w:header="283" w:footer="283" w:gutter="0"/>
          <w:cols w:space="567"/>
          <w:bidi/>
          <w:rtlGutter/>
          <w:docGrid w:linePitch="299"/>
        </w:sectPr>
      </w:pPr>
    </w:p>
    <w:p w14:paraId="3203F4D0" w14:textId="77777777" w:rsidR="003D504D" w:rsidRPr="00B06D6B" w:rsidRDefault="003D504D" w:rsidP="003D504D">
      <w:pPr>
        <w:pStyle w:val="afe"/>
        <w:rPr>
          <w:rtl/>
        </w:rPr>
      </w:pPr>
      <w:bookmarkStart w:id="19154" w:name="_Toc1039489"/>
      <w:bookmarkStart w:id="19155" w:name="_Toc1040731"/>
      <w:bookmarkStart w:id="19156" w:name="_Toc1063607"/>
      <w:bookmarkStart w:id="19157" w:name="_Toc1112047"/>
      <w:bookmarkStart w:id="19158" w:name="_Toc1123915"/>
      <w:bookmarkStart w:id="19159" w:name="_Toc19436143"/>
      <w:bookmarkStart w:id="19160" w:name="_Toc20081323"/>
      <w:bookmarkStart w:id="19161" w:name="_Toc536787004"/>
      <w:r w:rsidRPr="00C93BFA">
        <w:rPr>
          <w:rFonts w:hint="cs"/>
          <w:rtl/>
        </w:rPr>
        <w:t>בדעת רש"י דלרב משרשיא הולד כשחוט</w:t>
      </w:r>
      <w:bookmarkEnd w:id="19154"/>
      <w:bookmarkEnd w:id="19155"/>
      <w:bookmarkEnd w:id="19156"/>
      <w:bookmarkEnd w:id="19157"/>
      <w:bookmarkEnd w:id="19158"/>
      <w:bookmarkEnd w:id="19159"/>
      <w:bookmarkEnd w:id="19160"/>
    </w:p>
    <w:p w14:paraId="5CD3A4FB" w14:textId="77777777" w:rsidR="003D504D" w:rsidRPr="00B06D6B" w:rsidRDefault="003D504D" w:rsidP="00BF39B2">
      <w:pPr>
        <w:pStyle w:val="1"/>
        <w:rPr>
          <w:rtl/>
        </w:rPr>
      </w:pPr>
      <w:bookmarkStart w:id="19162" w:name="_Toc725040"/>
      <w:bookmarkStart w:id="19163" w:name="_Toc773249"/>
      <w:bookmarkStart w:id="19164" w:name="_Toc862086"/>
      <w:bookmarkStart w:id="19165" w:name="_Toc890759"/>
      <w:bookmarkStart w:id="19166" w:name="_Toc903168"/>
      <w:bookmarkStart w:id="19167" w:name="_Toc955533"/>
      <w:bookmarkStart w:id="19168" w:name="_Toc955843"/>
      <w:bookmarkStart w:id="19169" w:name="_Toc1039490"/>
      <w:bookmarkStart w:id="19170" w:name="_Toc1040732"/>
      <w:bookmarkStart w:id="19171" w:name="_Toc1063608"/>
      <w:bookmarkStart w:id="19172" w:name="_Toc1112048"/>
      <w:bookmarkStart w:id="19173" w:name="_Toc1123916"/>
      <w:bookmarkStart w:id="19174" w:name="_Toc19391434"/>
      <w:bookmarkStart w:id="19175" w:name="_Toc19394931"/>
      <w:bookmarkStart w:id="19176" w:name="_Toc519052"/>
      <w:bookmarkStart w:id="19177" w:name="_Toc725031"/>
      <w:bookmarkStart w:id="19178" w:name="_Toc773240"/>
      <w:r w:rsidRPr="00B06D6B">
        <w:rPr>
          <w:rFonts w:hint="cs"/>
          <w:rtl/>
        </w:rPr>
        <w:t>ביאור השער"י ברש"י</w:t>
      </w:r>
      <w:bookmarkEnd w:id="19162"/>
      <w:bookmarkEnd w:id="19163"/>
      <w:bookmarkEnd w:id="19164"/>
      <w:bookmarkEnd w:id="19165"/>
      <w:bookmarkEnd w:id="19166"/>
      <w:bookmarkEnd w:id="19167"/>
      <w:bookmarkEnd w:id="19168"/>
      <w:r w:rsidRPr="00B06D6B">
        <w:rPr>
          <w:rFonts w:hint="cs"/>
          <w:rtl/>
        </w:rPr>
        <w:t xml:space="preserve"> </w:t>
      </w:r>
      <w:r>
        <w:rPr>
          <w:rFonts w:hint="cs"/>
          <w:rtl/>
        </w:rPr>
        <w:t>דרק לרב משרשיא סימניו הם כשחוטים</w:t>
      </w:r>
      <w:bookmarkEnd w:id="19169"/>
      <w:bookmarkEnd w:id="19170"/>
      <w:bookmarkEnd w:id="19171"/>
      <w:bookmarkEnd w:id="19172"/>
      <w:bookmarkEnd w:id="19173"/>
      <w:bookmarkEnd w:id="19174"/>
      <w:bookmarkEnd w:id="19175"/>
    </w:p>
    <w:p w14:paraId="3E6D0DB8" w14:textId="77777777" w:rsidR="003D504D" w:rsidRPr="00B06D6B" w:rsidRDefault="003D504D" w:rsidP="003D504D">
      <w:pPr>
        <w:pStyle w:val="a3"/>
        <w:rPr>
          <w:rtl/>
        </w:rPr>
      </w:pPr>
      <w:bookmarkStart w:id="19179" w:name="_Toc1039491"/>
      <w:bookmarkStart w:id="19180" w:name="_Toc1040733"/>
      <w:bookmarkStart w:id="19181" w:name="_Toc1063609"/>
      <w:bookmarkStart w:id="19182" w:name="_Toc1112049"/>
      <w:bookmarkStart w:id="19183" w:name="_Toc1123917"/>
      <w:bookmarkStart w:id="19184" w:name="_Toc19391435"/>
      <w:bookmarkStart w:id="19185" w:name="_Toc19394932"/>
      <w:r>
        <w:rPr>
          <w:rFonts w:hint="cs"/>
          <w:rtl/>
        </w:rPr>
        <w:t>קושית השער"י על רש"י דדינא דד' סימנים נאמר רק בבן פקועה עצמו אך הולד מותר דנולד מטהור</w:t>
      </w:r>
      <w:bookmarkEnd w:id="19179"/>
      <w:bookmarkEnd w:id="19180"/>
      <w:bookmarkEnd w:id="19181"/>
      <w:bookmarkEnd w:id="19182"/>
      <w:bookmarkEnd w:id="19183"/>
      <w:bookmarkEnd w:id="19184"/>
      <w:bookmarkEnd w:id="19185"/>
    </w:p>
    <w:p w14:paraId="78B43231" w14:textId="77777777" w:rsidR="003D504D" w:rsidRDefault="003D504D" w:rsidP="00223668">
      <w:pPr>
        <w:pStyle w:val="a0"/>
        <w:rPr>
          <w:rtl/>
        </w:rPr>
      </w:pPr>
      <w:bookmarkStart w:id="19186" w:name="_Ref987479"/>
      <w:r>
        <w:rPr>
          <w:rFonts w:hint="cs"/>
          <w:rtl/>
        </w:rPr>
        <w:t>בדברי</w:t>
      </w:r>
      <w:r w:rsidRPr="00D3319C">
        <w:rPr>
          <w:rFonts w:hint="cs"/>
          <w:rtl/>
        </w:rPr>
        <w:t xml:space="preserve"> </w:t>
      </w:r>
      <w:r w:rsidRPr="00D3319C">
        <w:rPr>
          <w:rStyle w:val="af9"/>
          <w:rFonts w:hint="cs"/>
          <w:rtl/>
        </w:rPr>
        <w:t>רש"י</w:t>
      </w:r>
      <w:r>
        <w:rPr>
          <w:rStyle w:val="af9"/>
          <w:rFonts w:hint="cs"/>
          <w:rtl/>
        </w:rPr>
        <w:t xml:space="preserve"> לקמן</w:t>
      </w:r>
      <w:r w:rsidRPr="00D3319C">
        <w:rPr>
          <w:rFonts w:hint="cs"/>
          <w:rtl/>
        </w:rPr>
        <w:t xml:space="preserve"> </w:t>
      </w:r>
      <w:r w:rsidRPr="004304CE">
        <w:rPr>
          <w:rStyle w:val="af7"/>
          <w:rFonts w:eastAsia="Guttman Hodes" w:hint="cs"/>
          <w:rtl/>
        </w:rPr>
        <w:t xml:space="preserve">(עי' אות </w:t>
      </w:r>
      <w:r w:rsidRPr="00A558BB">
        <w:rPr>
          <w:rStyle w:val="af7"/>
          <w:rFonts w:eastAsia="Guttman Hodes"/>
          <w:rtl/>
        </w:rPr>
        <w:fldChar w:fldCharType="begin"/>
      </w:r>
      <w:r w:rsidRPr="00A558BB">
        <w:rPr>
          <w:rStyle w:val="af7"/>
          <w:rFonts w:eastAsia="Guttman Hodes"/>
          <w:rtl/>
        </w:rPr>
        <w:instrText xml:space="preserve"> </w:instrText>
      </w:r>
      <w:r w:rsidRPr="00A558BB">
        <w:rPr>
          <w:rStyle w:val="af7"/>
          <w:rFonts w:eastAsia="Guttman Hodes" w:hint="cs"/>
        </w:rPr>
        <w:instrText>REF</w:instrText>
      </w:r>
      <w:r w:rsidRPr="00A558BB">
        <w:rPr>
          <w:rStyle w:val="af7"/>
          <w:rFonts w:eastAsia="Guttman Hodes" w:hint="cs"/>
          <w:rtl/>
        </w:rPr>
        <w:instrText xml:space="preserve"> _</w:instrText>
      </w:r>
      <w:r w:rsidRPr="00A558BB">
        <w:rPr>
          <w:rStyle w:val="af7"/>
          <w:rFonts w:eastAsia="Guttman Hodes" w:hint="cs"/>
        </w:rPr>
        <w:instrText>Ref862814 \r \h</w:instrText>
      </w:r>
      <w:r w:rsidRPr="00A558BB">
        <w:rPr>
          <w:rStyle w:val="af7"/>
          <w:rFonts w:eastAsia="Guttman Hodes"/>
          <w:rtl/>
        </w:rPr>
        <w:instrText xml:space="preserve"> </w:instrText>
      </w:r>
      <w:r w:rsidRPr="00A558BB">
        <w:rPr>
          <w:rStyle w:val="af7"/>
          <w:rFonts w:eastAsia="Guttman Hodes"/>
          <w:rtl/>
        </w:rPr>
      </w:r>
      <w:r w:rsidRPr="00A558BB">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A558BB">
        <w:rPr>
          <w:rStyle w:val="af7"/>
          <w:rFonts w:eastAsia="Guttman Hodes"/>
          <w:rtl/>
        </w:rPr>
        <w:fldChar w:fldCharType="end"/>
      </w:r>
      <w:r w:rsidRPr="00D3319C">
        <w:rPr>
          <w:rFonts w:hint="cs"/>
          <w:rtl/>
        </w:rPr>
        <w:t xml:space="preserve"> דכתב דרב משרשיא פליג על המ"ד דד' סימנים אכשר ביה רחמנא,</w:t>
      </w:r>
      <w:r>
        <w:rPr>
          <w:rFonts w:hint="cs"/>
          <w:rtl/>
        </w:rPr>
        <w:t xml:space="preserve"> הקשה</w:t>
      </w:r>
      <w:r w:rsidRPr="00D3319C">
        <w:rPr>
          <w:rFonts w:hint="cs"/>
          <w:rtl/>
        </w:rPr>
        <w:t xml:space="preserve"> </w:t>
      </w:r>
      <w:r w:rsidRPr="00D3319C">
        <w:rPr>
          <w:rStyle w:val="af9"/>
          <w:rFonts w:hint="cs"/>
          <w:rtl/>
        </w:rPr>
        <w:t>השער"י</w:t>
      </w:r>
      <w:r w:rsidRPr="00D3319C">
        <w:rPr>
          <w:rFonts w:hint="cs"/>
          <w:rtl/>
        </w:rPr>
        <w:t xml:space="preserve"> </w:t>
      </w:r>
      <w:r w:rsidRPr="004304CE">
        <w:rPr>
          <w:rStyle w:val="af7"/>
          <w:rFonts w:eastAsia="Guttman Hodes" w:hint="cs"/>
          <w:rtl/>
        </w:rPr>
        <w:t>(ש"ג פכ"ה ד"ה אמנם דברי רש"י)</w:t>
      </w:r>
      <w:r w:rsidRPr="00D3319C">
        <w:rPr>
          <w:rFonts w:hint="cs"/>
          <w:rtl/>
        </w:rPr>
        <w:t xml:space="preserve"> דהרי </w:t>
      </w:r>
      <w:r>
        <w:rPr>
          <w:rFonts w:hint="cs"/>
          <w:rtl/>
        </w:rPr>
        <w:t>הא ד</w:t>
      </w:r>
      <w:r w:rsidRPr="00D3319C">
        <w:rPr>
          <w:rFonts w:hint="cs"/>
          <w:rtl/>
        </w:rPr>
        <w:t xml:space="preserve">ולד בן פקועה </w:t>
      </w:r>
      <w:r>
        <w:rPr>
          <w:rFonts w:hint="cs"/>
          <w:rtl/>
        </w:rPr>
        <w:t xml:space="preserve">מותר בלא שחיטה, </w:t>
      </w:r>
      <w:r w:rsidRPr="00D3319C">
        <w:rPr>
          <w:rFonts w:hint="cs"/>
          <w:rtl/>
        </w:rPr>
        <w:t xml:space="preserve">אינו מדין היתר "בהמה בבהמה", דלא שייך לומר דכל הולדות עד סוף כל הדורות יהיו מותרים מכח היתר "בהמה בבהמה", </w:t>
      </w:r>
      <w:r w:rsidRPr="00D3319C">
        <w:rPr>
          <w:rStyle w:val="afb"/>
          <w:rFonts w:hint="cs"/>
          <w:rtl/>
        </w:rPr>
        <w:t xml:space="preserve">[דהא לא נמצאו בתוך הבהמה], </w:t>
      </w:r>
      <w:r>
        <w:rPr>
          <w:rFonts w:hint="cs"/>
          <w:rtl/>
        </w:rPr>
        <w:t xml:space="preserve">אלא </w:t>
      </w:r>
      <w:r w:rsidRPr="00D3319C">
        <w:rPr>
          <w:rFonts w:hint="cs"/>
          <w:rtl/>
        </w:rPr>
        <w:t>מ</w:t>
      </w:r>
      <w:r>
        <w:rPr>
          <w:rFonts w:hint="cs"/>
          <w:rtl/>
        </w:rPr>
        <w:t xml:space="preserve">בואר </w:t>
      </w:r>
      <w:r w:rsidRPr="00D3319C">
        <w:rPr>
          <w:rFonts w:hint="cs"/>
          <w:rtl/>
        </w:rPr>
        <w:t xml:space="preserve">דההיתר </w:t>
      </w:r>
      <w:r>
        <w:rPr>
          <w:rFonts w:hint="cs"/>
          <w:rtl/>
        </w:rPr>
        <w:t xml:space="preserve">של ולדות בן פקועה </w:t>
      </w:r>
      <w:r w:rsidRPr="00D3319C">
        <w:rPr>
          <w:rFonts w:hint="cs"/>
          <w:rtl/>
        </w:rPr>
        <w:t>הוא כיון שנולדו מדבר טהור שא"צ שחיטה, וא"כ הדין דד' סימנים אכשר ביה רחמנא נאמר רק בבן פקועה עצמו שלא נולד מדבר שחוט, אלא ששחיטת אמו התירתו, דיש לו גם את סימני אמו וגם את סימני עצמו, אבל בולד בן פקועה שנולד מדבר שא"צ שחיטה לא שייך לומר שיש לו סימנים להתירו בשחיטה, דהא לא שייכא בו שחיטה כלל</w:t>
      </w:r>
      <w:bookmarkEnd w:id="19186"/>
      <w:r>
        <w:rPr>
          <w:rFonts w:hint="cs"/>
          <w:rtl/>
        </w:rPr>
        <w:t xml:space="preserve">, ועוד </w:t>
      </w:r>
      <w:r w:rsidRPr="00B06D6B">
        <w:rPr>
          <w:rFonts w:hint="cs"/>
          <w:rtl/>
        </w:rPr>
        <w:t xml:space="preserve">הביא </w:t>
      </w:r>
      <w:r w:rsidRPr="00B06D6B">
        <w:rPr>
          <w:rStyle w:val="af9"/>
          <w:rFonts w:hint="cs"/>
          <w:rtl/>
        </w:rPr>
        <w:t>השער"י</w:t>
      </w:r>
      <w:r w:rsidRPr="00B06D6B">
        <w:rPr>
          <w:rFonts w:hint="cs"/>
          <w:rtl/>
        </w:rPr>
        <w:t xml:space="preserve"> את קושי</w:t>
      </w:r>
      <w:r>
        <w:rPr>
          <w:rFonts w:hint="cs"/>
          <w:rtl/>
        </w:rPr>
        <w:t>ו</w:t>
      </w:r>
      <w:r w:rsidRPr="00B06D6B">
        <w:rPr>
          <w:rFonts w:hint="cs"/>
          <w:rtl/>
        </w:rPr>
        <w:t xml:space="preserve">ת </w:t>
      </w:r>
      <w:r w:rsidRPr="00B06D6B">
        <w:rPr>
          <w:rStyle w:val="af9"/>
          <w:rFonts w:hint="cs"/>
          <w:rtl/>
        </w:rPr>
        <w:t>הרשב"א</w:t>
      </w:r>
      <w:r w:rsidRPr="00B06D6B">
        <w:rPr>
          <w:rFonts w:hint="cs"/>
          <w:rtl/>
        </w:rPr>
        <w:t xml:space="preserve"> </w:t>
      </w:r>
      <w:r w:rsidRPr="004304CE">
        <w:rPr>
          <w:rStyle w:val="af7"/>
          <w:rFonts w:eastAsia="Guttman Hodes" w:hint="cs"/>
          <w:rtl/>
        </w:rPr>
        <w:t xml:space="preserve">(עי' אות </w:t>
      </w:r>
      <w:r w:rsidRPr="00A558BB">
        <w:rPr>
          <w:rStyle w:val="af7"/>
          <w:rFonts w:eastAsia="Guttman Hodes"/>
          <w:rtl/>
        </w:rPr>
        <w:fldChar w:fldCharType="begin"/>
      </w:r>
      <w:r w:rsidRPr="00A558BB">
        <w:rPr>
          <w:rStyle w:val="af7"/>
          <w:rFonts w:eastAsia="Guttman Hodes"/>
          <w:rtl/>
        </w:rPr>
        <w:instrText xml:space="preserve"> </w:instrText>
      </w:r>
      <w:r w:rsidRPr="00A558BB">
        <w:rPr>
          <w:rStyle w:val="af7"/>
          <w:rFonts w:eastAsia="Guttman Hodes" w:hint="cs"/>
        </w:rPr>
        <w:instrText>REF</w:instrText>
      </w:r>
      <w:r w:rsidRPr="00A558BB">
        <w:rPr>
          <w:rStyle w:val="af7"/>
          <w:rFonts w:eastAsia="Guttman Hodes" w:hint="cs"/>
          <w:rtl/>
        </w:rPr>
        <w:instrText xml:space="preserve"> _</w:instrText>
      </w:r>
      <w:r w:rsidRPr="00A558BB">
        <w:rPr>
          <w:rStyle w:val="af7"/>
          <w:rFonts w:eastAsia="Guttman Hodes" w:hint="cs"/>
        </w:rPr>
        <w:instrText>Ref987853 \r \h</w:instrText>
      </w:r>
      <w:r w:rsidRPr="00A558BB">
        <w:rPr>
          <w:rStyle w:val="af7"/>
          <w:rFonts w:eastAsia="Guttman Hodes"/>
          <w:rtl/>
        </w:rPr>
        <w:instrText xml:space="preserve"> </w:instrText>
      </w:r>
      <w:r w:rsidRPr="00A558BB">
        <w:rPr>
          <w:rStyle w:val="af7"/>
          <w:rFonts w:eastAsia="Guttman Hodes"/>
          <w:rtl/>
        </w:rPr>
      </w:r>
      <w:r w:rsidRPr="00A558BB">
        <w:rPr>
          <w:rStyle w:val="af7"/>
          <w:rFonts w:eastAsia="Guttman Hodes"/>
          <w:rtl/>
        </w:rPr>
        <w:fldChar w:fldCharType="separate"/>
      </w:r>
      <w:r w:rsidR="00345400">
        <w:rPr>
          <w:rStyle w:val="af7"/>
          <w:rFonts w:eastAsia="Guttman Hodes"/>
          <w:cs/>
        </w:rPr>
        <w:t>‎</w:t>
      </w:r>
      <w:r w:rsidR="00345400">
        <w:rPr>
          <w:rStyle w:val="af7"/>
          <w:rFonts w:eastAsia="Guttman Hodes"/>
          <w:rtl/>
        </w:rPr>
        <w:t>ו)</w:t>
      </w:r>
      <w:r w:rsidRPr="00A558BB">
        <w:rPr>
          <w:rStyle w:val="af7"/>
          <w:rFonts w:eastAsia="Guttman Hodes"/>
          <w:rtl/>
        </w:rPr>
        <w:fldChar w:fldCharType="end"/>
      </w:r>
      <w:r w:rsidRPr="00B06D6B">
        <w:rPr>
          <w:rFonts w:hint="cs"/>
          <w:rtl/>
        </w:rPr>
        <w:t xml:space="preserve"> </w:t>
      </w:r>
      <w:r w:rsidRPr="00B06D6B">
        <w:rPr>
          <w:rStyle w:val="af9"/>
          <w:rFonts w:hint="cs"/>
          <w:rtl/>
        </w:rPr>
        <w:t>והר"ן</w:t>
      </w:r>
      <w:r w:rsidRPr="00B06D6B">
        <w:rPr>
          <w:rFonts w:hint="cs"/>
          <w:rtl/>
        </w:rPr>
        <w:t xml:space="preserve"> </w:t>
      </w:r>
      <w:r w:rsidRPr="004304CE">
        <w:rPr>
          <w:rStyle w:val="af7"/>
          <w:rFonts w:eastAsia="Guttman Hodes" w:hint="cs"/>
          <w:rtl/>
        </w:rPr>
        <w:t xml:space="preserve">(עי' אות </w:t>
      </w:r>
      <w:r w:rsidRPr="00A558BB">
        <w:rPr>
          <w:rStyle w:val="af7"/>
          <w:rFonts w:eastAsia="Guttman Hodes"/>
          <w:rtl/>
        </w:rPr>
        <w:fldChar w:fldCharType="begin"/>
      </w:r>
      <w:r w:rsidRPr="00A558BB">
        <w:rPr>
          <w:rStyle w:val="af7"/>
          <w:rFonts w:eastAsia="Guttman Hodes"/>
          <w:rtl/>
        </w:rPr>
        <w:instrText xml:space="preserve"> </w:instrText>
      </w:r>
      <w:r w:rsidRPr="00A558BB">
        <w:rPr>
          <w:rStyle w:val="af7"/>
          <w:rFonts w:eastAsia="Guttman Hodes" w:hint="cs"/>
        </w:rPr>
        <w:instrText>REF</w:instrText>
      </w:r>
      <w:r w:rsidRPr="00A558BB">
        <w:rPr>
          <w:rStyle w:val="af7"/>
          <w:rFonts w:eastAsia="Guttman Hodes" w:hint="cs"/>
          <w:rtl/>
        </w:rPr>
        <w:instrText xml:space="preserve"> _</w:instrText>
      </w:r>
      <w:r w:rsidRPr="00A558BB">
        <w:rPr>
          <w:rStyle w:val="af7"/>
          <w:rFonts w:eastAsia="Guttman Hodes" w:hint="cs"/>
        </w:rPr>
        <w:instrText>Ref884858 \r \h</w:instrText>
      </w:r>
      <w:r w:rsidRPr="00A558BB">
        <w:rPr>
          <w:rStyle w:val="af7"/>
          <w:rFonts w:eastAsia="Guttman Hodes"/>
          <w:rtl/>
        </w:rPr>
        <w:instrText xml:space="preserve"> </w:instrText>
      </w:r>
      <w:r w:rsidRPr="00A558BB">
        <w:rPr>
          <w:rStyle w:val="af7"/>
          <w:rFonts w:eastAsia="Guttman Hodes"/>
          <w:rtl/>
        </w:rPr>
      </w:r>
      <w:r w:rsidRPr="00A558BB">
        <w:rPr>
          <w:rStyle w:val="af7"/>
          <w:rFonts w:eastAsia="Guttman Hodes"/>
          <w:rtl/>
        </w:rPr>
        <w:fldChar w:fldCharType="separate"/>
      </w:r>
      <w:r w:rsidR="00345400">
        <w:rPr>
          <w:rStyle w:val="af7"/>
          <w:rFonts w:eastAsia="Guttman Hodes"/>
          <w:cs/>
        </w:rPr>
        <w:t>‎</w:t>
      </w:r>
      <w:r w:rsidR="00345400">
        <w:rPr>
          <w:rStyle w:val="af7"/>
          <w:rFonts w:eastAsia="Guttman Hodes"/>
          <w:rtl/>
        </w:rPr>
        <w:t>י)</w:t>
      </w:r>
      <w:r w:rsidRPr="00A558BB">
        <w:rPr>
          <w:rStyle w:val="af7"/>
          <w:rFonts w:eastAsia="Guttman Hodes"/>
          <w:rtl/>
        </w:rPr>
        <w:fldChar w:fldCharType="end"/>
      </w:r>
      <w:r w:rsidRPr="00B06D6B">
        <w:rPr>
          <w:rFonts w:hint="cs"/>
          <w:rtl/>
        </w:rPr>
        <w:t xml:space="preserve"> על </w:t>
      </w:r>
      <w:r>
        <w:rPr>
          <w:rStyle w:val="af9"/>
          <w:rFonts w:hint="cs"/>
          <w:rtl/>
        </w:rPr>
        <w:t>רש"י.</w:t>
      </w:r>
    </w:p>
    <w:p w14:paraId="33F686A6" w14:textId="77777777" w:rsidR="003D504D" w:rsidRPr="00CE0BE4" w:rsidRDefault="003D504D" w:rsidP="003D504D">
      <w:pPr>
        <w:pStyle w:val="a3"/>
      </w:pPr>
      <w:bookmarkStart w:id="19187" w:name="_Toc1039492"/>
      <w:bookmarkStart w:id="19188" w:name="_Toc1040734"/>
      <w:bookmarkStart w:id="19189" w:name="_Toc1063610"/>
      <w:bookmarkStart w:id="19190" w:name="_Toc1112050"/>
      <w:bookmarkStart w:id="19191" w:name="_Toc1123918"/>
      <w:bookmarkStart w:id="19192" w:name="_Toc19391436"/>
      <w:bookmarkStart w:id="19193" w:name="_Toc19394933"/>
      <w:r>
        <w:rPr>
          <w:rFonts w:hint="cs"/>
          <w:rtl/>
        </w:rPr>
        <w:t>ביאור השער"י דלדעת רב משרשיא דסימן אחד כשחוט מוכח דא"א לחזור ולשחוט את הבן פקועה</w:t>
      </w:r>
      <w:bookmarkEnd w:id="19187"/>
      <w:bookmarkEnd w:id="19188"/>
      <w:bookmarkEnd w:id="19189"/>
      <w:bookmarkEnd w:id="19190"/>
      <w:bookmarkEnd w:id="19191"/>
      <w:bookmarkEnd w:id="19192"/>
      <w:bookmarkEnd w:id="19193"/>
    </w:p>
    <w:p w14:paraId="13986A18" w14:textId="77777777" w:rsidR="003D504D" w:rsidRDefault="003D504D" w:rsidP="00223668">
      <w:pPr>
        <w:pStyle w:val="a0"/>
        <w:rPr>
          <w:rtl/>
        </w:rPr>
      </w:pPr>
      <w:bookmarkStart w:id="19194" w:name="_Ref989042"/>
      <w:r w:rsidRPr="00B06D6B">
        <w:rPr>
          <w:rFonts w:hint="cs"/>
          <w:rtl/>
        </w:rPr>
        <w:t xml:space="preserve">ותירץ </w:t>
      </w:r>
      <w:r w:rsidRPr="00B06D6B">
        <w:rPr>
          <w:rStyle w:val="af9"/>
          <w:rFonts w:hint="cs"/>
          <w:rtl/>
        </w:rPr>
        <w:t>השער"י</w:t>
      </w:r>
      <w:r w:rsidRPr="004304CE">
        <w:rPr>
          <w:rStyle w:val="af7"/>
          <w:rFonts w:eastAsia="Guttman Hodes" w:hint="cs"/>
          <w:rtl/>
        </w:rPr>
        <w:t xml:space="preserve"> (ש"ג פכ"ה ד"ה ולישב קצת שיטת)</w:t>
      </w:r>
      <w:r w:rsidRPr="00B06D6B">
        <w:rPr>
          <w:rFonts w:hint="cs"/>
          <w:rtl/>
        </w:rPr>
        <w:t xml:space="preserve"> </w:t>
      </w:r>
      <w:r>
        <w:rPr>
          <w:rFonts w:hint="cs"/>
          <w:rtl/>
        </w:rPr>
        <w:t xml:space="preserve">את דברי </w:t>
      </w:r>
      <w:r w:rsidRPr="00B06D6B">
        <w:rPr>
          <w:rStyle w:val="af9"/>
          <w:rFonts w:hint="cs"/>
          <w:rtl/>
        </w:rPr>
        <w:t>רש"י</w:t>
      </w:r>
      <w:bookmarkStart w:id="19195" w:name="_Ref730083"/>
      <w:r>
        <w:rPr>
          <w:rFonts w:hint="cs"/>
          <w:rtl/>
        </w:rPr>
        <w:t xml:space="preserve"> </w:t>
      </w:r>
      <w:r w:rsidRPr="00B06D6B">
        <w:rPr>
          <w:rFonts w:hint="cs"/>
          <w:rtl/>
        </w:rPr>
        <w:t xml:space="preserve">דרב משרשיא דאמר דולד שנוצר מבן פקועה שבא על בהמה מעלמא אין לו תקנה, וביאר </w:t>
      </w:r>
      <w:r w:rsidRPr="00B06D6B">
        <w:rPr>
          <w:rStyle w:val="af9"/>
          <w:rFonts w:hint="cs"/>
          <w:rtl/>
        </w:rPr>
        <w:t>רש"י</w:t>
      </w:r>
      <w:r w:rsidRPr="00B06D6B">
        <w:rPr>
          <w:rFonts w:hint="cs"/>
          <w:rtl/>
        </w:rPr>
        <w:t xml:space="preserve"> </w:t>
      </w:r>
      <w:r w:rsidRPr="004304CE">
        <w:rPr>
          <w:rStyle w:val="af7"/>
          <w:rFonts w:eastAsia="Guttman Hodes" w:hint="cs"/>
          <w:rtl/>
        </w:rPr>
        <w:t xml:space="preserve">(עי' אות </w:t>
      </w:r>
      <w:r w:rsidRPr="00CE0BE4">
        <w:rPr>
          <w:rStyle w:val="af7"/>
          <w:rFonts w:eastAsia="Guttman Hodes"/>
          <w:rtl/>
        </w:rPr>
        <w:fldChar w:fldCharType="begin"/>
      </w:r>
      <w:r w:rsidRPr="00CE0BE4">
        <w:rPr>
          <w:rStyle w:val="af7"/>
          <w:rFonts w:eastAsia="Guttman Hodes"/>
          <w:rtl/>
        </w:rPr>
        <w:instrText xml:space="preserve"> </w:instrText>
      </w:r>
      <w:r w:rsidRPr="00CE0BE4">
        <w:rPr>
          <w:rStyle w:val="af7"/>
          <w:rFonts w:eastAsia="Guttman Hodes" w:hint="cs"/>
        </w:rPr>
        <w:instrText>REF</w:instrText>
      </w:r>
      <w:r w:rsidRPr="00CE0BE4">
        <w:rPr>
          <w:rStyle w:val="af7"/>
          <w:rFonts w:eastAsia="Guttman Hodes" w:hint="cs"/>
          <w:rtl/>
        </w:rPr>
        <w:instrText xml:space="preserve"> _</w:instrText>
      </w:r>
      <w:r w:rsidRPr="00CE0BE4">
        <w:rPr>
          <w:rStyle w:val="af7"/>
          <w:rFonts w:eastAsia="Guttman Hodes" w:hint="cs"/>
        </w:rPr>
        <w:instrText>Ref974662 \r \h</w:instrText>
      </w:r>
      <w:r w:rsidRPr="00CE0BE4">
        <w:rPr>
          <w:rStyle w:val="af7"/>
          <w:rFonts w:eastAsia="Guttman Hodes"/>
          <w:rtl/>
        </w:rPr>
        <w:instrText xml:space="preserve"> </w:instrText>
      </w:r>
      <w:r w:rsidRPr="00CE0BE4">
        <w:rPr>
          <w:rStyle w:val="af7"/>
          <w:rFonts w:eastAsia="Guttman Hodes"/>
          <w:rtl/>
        </w:rPr>
      </w:r>
      <w:r w:rsidRPr="00CE0BE4">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CE0BE4">
        <w:rPr>
          <w:rStyle w:val="af7"/>
          <w:rFonts w:eastAsia="Guttman Hodes"/>
          <w:rtl/>
        </w:rPr>
        <w:fldChar w:fldCharType="end"/>
      </w:r>
      <w:r>
        <w:rPr>
          <w:rFonts w:hint="cs"/>
          <w:rtl/>
        </w:rPr>
        <w:t xml:space="preserve"> </w:t>
      </w:r>
      <w:r w:rsidRPr="00B06D6B">
        <w:rPr>
          <w:rFonts w:hint="cs"/>
          <w:rtl/>
        </w:rPr>
        <w:t xml:space="preserve">דסימן אחד שלו כשחוט, היינו כיון דמוכח דס"ל דגדר ההיתר בבן פקועה, הוא דסימניו חשיבי כשחוטים, ולכן כתב </w:t>
      </w:r>
      <w:r w:rsidRPr="00B06D6B">
        <w:rPr>
          <w:rStyle w:val="af9"/>
          <w:rFonts w:hint="cs"/>
          <w:rtl/>
        </w:rPr>
        <w:t>רש"י</w:t>
      </w:r>
      <w:r w:rsidRPr="00B06D6B">
        <w:rPr>
          <w:rFonts w:hint="cs"/>
          <w:rtl/>
        </w:rPr>
        <w:t xml:space="preserve"> דרב משרשיא ס"ל דלא אמרינן דד' סימנים אכשר ביה רחמנא, דכיון דסימניו כשחוטים, לא שייך לחזור ולהתירו בשחיטת עצמו</w:t>
      </w:r>
      <w:r>
        <w:rPr>
          <w:rFonts w:hint="cs"/>
          <w:rtl/>
        </w:rPr>
        <w:t>.</w:t>
      </w:r>
      <w:bookmarkEnd w:id="19194"/>
    </w:p>
    <w:p w14:paraId="592AE1C0" w14:textId="77777777" w:rsidR="003D504D" w:rsidRPr="00F76C8F" w:rsidRDefault="003D504D" w:rsidP="003D504D">
      <w:pPr>
        <w:pStyle w:val="a3"/>
      </w:pPr>
      <w:bookmarkStart w:id="19196" w:name="_Toc1039493"/>
      <w:bookmarkStart w:id="19197" w:name="_Toc1040735"/>
      <w:bookmarkStart w:id="19198" w:name="_Toc1063611"/>
      <w:bookmarkStart w:id="19199" w:name="_Toc1112051"/>
      <w:bookmarkStart w:id="19200" w:name="_Toc1123919"/>
      <w:bookmarkStart w:id="19201" w:name="_Toc19391437"/>
      <w:bookmarkStart w:id="19202" w:name="_Toc19394934"/>
      <w:r>
        <w:rPr>
          <w:rFonts w:hint="cs"/>
          <w:rtl/>
        </w:rPr>
        <w:t>ביאור השער"י ברש"י דחצי מסימניו נשחטו בשעת לידתו וא"א לצרף את שחיטת עצמו דהוי שהייה</w:t>
      </w:r>
      <w:bookmarkEnd w:id="19196"/>
      <w:bookmarkEnd w:id="19197"/>
      <w:bookmarkEnd w:id="19198"/>
      <w:bookmarkEnd w:id="19199"/>
      <w:bookmarkEnd w:id="19200"/>
      <w:bookmarkEnd w:id="19201"/>
      <w:bookmarkEnd w:id="19202"/>
    </w:p>
    <w:p w14:paraId="5D236415" w14:textId="77777777" w:rsidR="003D504D" w:rsidRPr="00B06D6B" w:rsidRDefault="003D504D" w:rsidP="00223668">
      <w:pPr>
        <w:pStyle w:val="a0"/>
        <w:rPr>
          <w:rtl/>
        </w:rPr>
      </w:pPr>
      <w:r w:rsidRPr="00B06D6B">
        <w:rPr>
          <w:rFonts w:hint="cs"/>
          <w:rtl/>
        </w:rPr>
        <w:t>ו</w:t>
      </w:r>
      <w:r>
        <w:rPr>
          <w:rFonts w:hint="cs"/>
          <w:rtl/>
        </w:rPr>
        <w:t xml:space="preserve">כתב </w:t>
      </w:r>
      <w:r w:rsidRPr="003D1A84">
        <w:rPr>
          <w:rStyle w:val="af9"/>
          <w:rFonts w:hint="cs"/>
          <w:rtl/>
        </w:rPr>
        <w:t>השער"י</w:t>
      </w:r>
      <w:r>
        <w:rPr>
          <w:rFonts w:hint="cs"/>
          <w:rtl/>
        </w:rPr>
        <w:t xml:space="preserve"> ד</w:t>
      </w:r>
      <w:r w:rsidRPr="00B06D6B">
        <w:rPr>
          <w:rFonts w:hint="cs"/>
          <w:rtl/>
        </w:rPr>
        <w:t xml:space="preserve">זהו הביאור בדברי </w:t>
      </w:r>
      <w:r w:rsidRPr="00B06D6B">
        <w:rPr>
          <w:rStyle w:val="af9"/>
          <w:rFonts w:hint="cs"/>
          <w:rtl/>
        </w:rPr>
        <w:t>רש"י</w:t>
      </w:r>
      <w:r w:rsidRPr="00B06D6B">
        <w:rPr>
          <w:rFonts w:hint="cs"/>
          <w:rtl/>
        </w:rPr>
        <w:t xml:space="preserve"> דאין לך שהי</w:t>
      </w:r>
      <w:r>
        <w:rPr>
          <w:rFonts w:hint="cs"/>
          <w:rtl/>
        </w:rPr>
        <w:t>י</w:t>
      </w:r>
      <w:r w:rsidRPr="00B06D6B">
        <w:rPr>
          <w:rFonts w:hint="cs"/>
          <w:rtl/>
        </w:rPr>
        <w:t>ה גדולה מזו, דאי שה</w:t>
      </w:r>
      <w:r>
        <w:rPr>
          <w:rFonts w:hint="cs"/>
          <w:rtl/>
        </w:rPr>
        <w:t>י</w:t>
      </w:r>
      <w:r w:rsidRPr="00B06D6B">
        <w:rPr>
          <w:rFonts w:hint="cs"/>
          <w:rtl/>
        </w:rPr>
        <w:t xml:space="preserve">יה לא היתה פוסלת בשחיטה, א"כ אפשר להתיר את הולד, דהא משעת לידתו חשיב </w:t>
      </w:r>
      <w:r>
        <w:rPr>
          <w:rFonts w:hint="cs"/>
          <w:rtl/>
        </w:rPr>
        <w:t>ש</w:t>
      </w:r>
      <w:r w:rsidRPr="00B06D6B">
        <w:rPr>
          <w:rFonts w:hint="cs"/>
          <w:rtl/>
        </w:rPr>
        <w:t>נולדה עמו שחיטת חציו דהא סימניו שמצד אביו הם שחוטים, ואין נ"מ בזה אם כל סימן חציו כשחוט, או שסימן אחד הוא כשחוט</w:t>
      </w:r>
      <w:r>
        <w:rPr>
          <w:rFonts w:hint="cs"/>
          <w:rtl/>
        </w:rPr>
        <w:t>,</w:t>
      </w:r>
      <w:r w:rsidRPr="00B06D6B">
        <w:rPr>
          <w:rFonts w:hint="cs"/>
          <w:rtl/>
        </w:rPr>
        <w:t xml:space="preserve"> </w:t>
      </w:r>
      <w:r w:rsidRPr="00CE0BE4">
        <w:rPr>
          <w:rStyle w:val="afb"/>
          <w:rFonts w:hint="cs"/>
          <w:rtl/>
        </w:rPr>
        <w:t xml:space="preserve">[כדהקשו </w:t>
      </w:r>
      <w:r w:rsidRPr="00CE0BE4">
        <w:rPr>
          <w:rStyle w:val="affa"/>
          <w:rFonts w:hint="cs"/>
          <w:rtl/>
        </w:rPr>
        <w:t>התוס' והרשב"א</w:t>
      </w:r>
      <w:r w:rsidRPr="00CE0BE4">
        <w:rPr>
          <w:rStyle w:val="afb"/>
          <w:rFonts w:hint="cs"/>
          <w:rtl/>
        </w:rPr>
        <w:t xml:space="preserve"> </w:t>
      </w:r>
      <w:r w:rsidRPr="00CE0BE4">
        <w:rPr>
          <w:rStyle w:val="aff6"/>
          <w:rFonts w:hint="cs"/>
          <w:rtl/>
        </w:rPr>
        <w:t xml:space="preserve">(עי' אות </w:t>
      </w:r>
      <w:r w:rsidRPr="00CE0BE4">
        <w:rPr>
          <w:rStyle w:val="aff6"/>
          <w:rtl/>
        </w:rPr>
        <w:fldChar w:fldCharType="begin"/>
      </w:r>
      <w:r w:rsidRPr="00CE0BE4">
        <w:rPr>
          <w:rStyle w:val="aff6"/>
          <w:rtl/>
        </w:rPr>
        <w:instrText xml:space="preserve"> </w:instrText>
      </w:r>
      <w:r w:rsidRPr="00CE0BE4">
        <w:rPr>
          <w:rStyle w:val="aff6"/>
          <w:rFonts w:hint="cs"/>
        </w:rPr>
        <w:instrText>REF</w:instrText>
      </w:r>
      <w:r w:rsidRPr="00CE0BE4">
        <w:rPr>
          <w:rStyle w:val="aff6"/>
          <w:rFonts w:hint="cs"/>
          <w:rtl/>
        </w:rPr>
        <w:instrText xml:space="preserve"> _</w:instrText>
      </w:r>
      <w:r w:rsidRPr="00CE0BE4">
        <w:rPr>
          <w:rStyle w:val="aff6"/>
          <w:rFonts w:hint="cs"/>
        </w:rPr>
        <w:instrText>Ref988075 \r \h</w:instrText>
      </w:r>
      <w:r w:rsidRPr="00CE0BE4">
        <w:rPr>
          <w:rStyle w:val="aff6"/>
          <w:rtl/>
        </w:rPr>
        <w:instrText xml:space="preserve"> </w:instrText>
      </w:r>
      <w:r w:rsidRPr="00CE0BE4">
        <w:rPr>
          <w:rStyle w:val="aff6"/>
          <w:rtl/>
        </w:rPr>
      </w:r>
      <w:r w:rsidRPr="00CE0BE4">
        <w:rPr>
          <w:rStyle w:val="aff6"/>
          <w:rtl/>
        </w:rPr>
        <w:fldChar w:fldCharType="separate"/>
      </w:r>
      <w:r w:rsidR="00345400">
        <w:rPr>
          <w:rStyle w:val="aff6"/>
          <w:cs/>
        </w:rPr>
        <w:t>‎</w:t>
      </w:r>
      <w:r w:rsidR="00345400">
        <w:rPr>
          <w:rStyle w:val="aff6"/>
          <w:rtl/>
        </w:rPr>
        <w:t>ז)</w:t>
      </w:r>
      <w:r w:rsidRPr="00CE0BE4">
        <w:rPr>
          <w:rStyle w:val="aff6"/>
          <w:rtl/>
        </w:rPr>
        <w:fldChar w:fldCharType="end"/>
      </w:r>
      <w:r w:rsidRPr="00CE0BE4">
        <w:rPr>
          <w:rStyle w:val="afb"/>
          <w:rFonts w:hint="cs"/>
          <w:rtl/>
        </w:rPr>
        <w:t>]</w:t>
      </w:r>
      <w:r w:rsidRPr="00B06D6B">
        <w:rPr>
          <w:rFonts w:hint="cs"/>
          <w:rtl/>
        </w:rPr>
        <w:t>, דמ"מ חצי ממעשה השחיטה נעשה בשעת לידתו, ואם צירוף של ב' חצאי השחיטה בהפסקת הזמן היה כשר, היה אפשר להתירו בשחיטת עצמו, דעי"ז נגמרה חצי השחיטה השניה, אלא כיון ששה</w:t>
      </w:r>
      <w:r>
        <w:rPr>
          <w:rFonts w:hint="cs"/>
          <w:rtl/>
        </w:rPr>
        <w:t>י</w:t>
      </w:r>
      <w:r w:rsidRPr="00B06D6B">
        <w:rPr>
          <w:rFonts w:hint="cs"/>
          <w:rtl/>
        </w:rPr>
        <w:t>יה פוסלת בשחיטה, לכן א"א לצרף את חצי השחיטה שנשחט כשנולד, לחצי שחיטת עצמו.</w:t>
      </w:r>
      <w:bookmarkEnd w:id="19195"/>
    </w:p>
    <w:p w14:paraId="31C35199" w14:textId="77777777" w:rsidR="003D504D" w:rsidRPr="00B06D6B" w:rsidRDefault="003D504D" w:rsidP="003D504D">
      <w:pPr>
        <w:pStyle w:val="a3"/>
        <w:rPr>
          <w:rtl/>
        </w:rPr>
      </w:pPr>
      <w:bookmarkStart w:id="19203" w:name="_Toc1039494"/>
      <w:bookmarkStart w:id="19204" w:name="_Toc1040736"/>
      <w:bookmarkStart w:id="19205" w:name="_Toc1063612"/>
      <w:bookmarkStart w:id="19206" w:name="_Toc1112052"/>
      <w:bookmarkStart w:id="19207" w:name="_Toc1123920"/>
      <w:bookmarkStart w:id="19208" w:name="_Toc19391438"/>
      <w:bookmarkStart w:id="19209" w:name="_Toc19394935"/>
      <w:r>
        <w:rPr>
          <w:rFonts w:hint="cs"/>
          <w:rtl/>
        </w:rPr>
        <w:t>ביאור השער"י דלמ"ד דד' סימנים לא חשיב דסימניו שחוטים אלא דאם הותרו סימניו א"א לשוחטם</w:t>
      </w:r>
      <w:bookmarkEnd w:id="19203"/>
      <w:bookmarkEnd w:id="19204"/>
      <w:bookmarkEnd w:id="19205"/>
      <w:bookmarkEnd w:id="19206"/>
      <w:bookmarkEnd w:id="19207"/>
      <w:bookmarkEnd w:id="19208"/>
      <w:bookmarkEnd w:id="19209"/>
      <w:r>
        <w:rPr>
          <w:rFonts w:hint="cs"/>
          <w:rtl/>
        </w:rPr>
        <w:t xml:space="preserve"> </w:t>
      </w:r>
    </w:p>
    <w:p w14:paraId="2D1E1780" w14:textId="77777777" w:rsidR="003D504D" w:rsidRPr="00B06D6B" w:rsidRDefault="003D504D" w:rsidP="00223668">
      <w:pPr>
        <w:pStyle w:val="a0"/>
        <w:rPr>
          <w:rtl/>
        </w:rPr>
      </w:pPr>
      <w:r w:rsidRPr="00B06D6B">
        <w:rPr>
          <w:rFonts w:hint="cs"/>
          <w:rtl/>
        </w:rPr>
        <w:t xml:space="preserve">אבל למ"ד דס"ל דד' סימנים אכשר ביה רחמנא, כתב </w:t>
      </w:r>
      <w:r w:rsidRPr="00B06D6B">
        <w:rPr>
          <w:rStyle w:val="af9"/>
          <w:rFonts w:hint="cs"/>
          <w:rtl/>
        </w:rPr>
        <w:t>השער"י</w:t>
      </w:r>
      <w:r w:rsidRPr="00B06D6B">
        <w:rPr>
          <w:rFonts w:hint="cs"/>
          <w:rtl/>
        </w:rPr>
        <w:t xml:space="preserve"> דביאר</w:t>
      </w:r>
      <w:r w:rsidRPr="00B06D6B">
        <w:rPr>
          <w:rStyle w:val="af9"/>
          <w:rFonts w:hint="cs"/>
          <w:rtl/>
        </w:rPr>
        <w:t xml:space="preserve"> רש"י</w:t>
      </w:r>
      <w:r w:rsidRPr="00B06D6B">
        <w:rPr>
          <w:rFonts w:hint="cs"/>
          <w:rtl/>
        </w:rPr>
        <w:t xml:space="preserve"> דס"ל דההיתר דבן פקועה הוא דאף שלא נשחטו סימניו, מ"מ הוא מותר בשחיטת אמו, וסימניו הם כשלמים, ולכן מהני שחיטת עצמו  להתירו כשנמצאת אמו טריפה,  אלא דכל מה שאפשר להתירו בשחיטת עצמו, הוא במקום שהשחיטה מתירה אותו, אבל במקום שהוא מותר בלא שחיטת הסימנים, לא מהני שחיטת הסימנים להתיר דברים אחרים, ולכן באבר היוצא לא מהני שחיטת עצמו להתירו, כיון שסימניו הם כבר מותרים, אבל כשהאם טריפה שכל הולד אסור באכילה מהני שחיטת עצמו להתירו, כיון שסימניו חיים ושלמים, ובשחיטתם הם מתירים את כל גוף הולד.</w:t>
      </w:r>
    </w:p>
    <w:p w14:paraId="767856D3" w14:textId="77777777" w:rsidR="003D504D" w:rsidRPr="00B06D6B" w:rsidRDefault="003D504D" w:rsidP="003D504D">
      <w:pPr>
        <w:pStyle w:val="a3"/>
        <w:rPr>
          <w:rtl/>
        </w:rPr>
      </w:pPr>
      <w:bookmarkStart w:id="19210" w:name="_Toc1039495"/>
      <w:bookmarkStart w:id="19211" w:name="_Toc1040737"/>
      <w:bookmarkStart w:id="19212" w:name="_Toc1063613"/>
      <w:bookmarkStart w:id="19213" w:name="_Toc1112053"/>
      <w:bookmarkStart w:id="19214" w:name="_Toc1123921"/>
      <w:bookmarkStart w:id="19215" w:name="_Toc19391439"/>
      <w:bookmarkStart w:id="19216" w:name="_Toc19394936"/>
      <w:r>
        <w:rPr>
          <w:rFonts w:hint="cs"/>
          <w:rtl/>
        </w:rPr>
        <w:t>ביאור השער"י דלמ"ד דד' סימנים מהני שחיטה בולד דסימניו שלמים והשחיטה מתירה את חציו</w:t>
      </w:r>
      <w:bookmarkEnd w:id="19210"/>
      <w:bookmarkEnd w:id="19211"/>
      <w:bookmarkEnd w:id="19212"/>
      <w:bookmarkEnd w:id="19213"/>
      <w:bookmarkEnd w:id="19214"/>
      <w:bookmarkEnd w:id="19215"/>
      <w:bookmarkEnd w:id="19216"/>
    </w:p>
    <w:p w14:paraId="01A7C7E1" w14:textId="77777777" w:rsidR="003D504D" w:rsidRPr="00B06D6B" w:rsidRDefault="003D504D" w:rsidP="00223668">
      <w:pPr>
        <w:pStyle w:val="a0"/>
        <w:rPr>
          <w:rtl/>
        </w:rPr>
      </w:pPr>
      <w:r w:rsidRPr="00B06D6B">
        <w:rPr>
          <w:rFonts w:hint="cs"/>
          <w:rtl/>
        </w:rPr>
        <w:t xml:space="preserve">וכתב </w:t>
      </w:r>
      <w:r w:rsidRPr="00B06D6B">
        <w:rPr>
          <w:rStyle w:val="af9"/>
          <w:rFonts w:hint="cs"/>
          <w:rtl/>
        </w:rPr>
        <w:t>השער"י</w:t>
      </w:r>
      <w:r w:rsidRPr="00B06D6B">
        <w:rPr>
          <w:rFonts w:hint="cs"/>
          <w:rtl/>
        </w:rPr>
        <w:t xml:space="preserve"> דא"כ ב</w:t>
      </w:r>
      <w:r>
        <w:rPr>
          <w:rFonts w:hint="cs"/>
          <w:rtl/>
        </w:rPr>
        <w:t xml:space="preserve">ולד </w:t>
      </w:r>
      <w:r w:rsidRPr="00B06D6B">
        <w:rPr>
          <w:rFonts w:hint="cs"/>
          <w:rtl/>
        </w:rPr>
        <w:t xml:space="preserve">בן פקועה שבא על בהמה בעלמא, ביאר </w:t>
      </w:r>
      <w:r w:rsidRPr="00B06D6B">
        <w:rPr>
          <w:rStyle w:val="af9"/>
          <w:rFonts w:hint="cs"/>
          <w:rtl/>
        </w:rPr>
        <w:t>רש"י</w:t>
      </w:r>
      <w:r w:rsidRPr="00B06D6B">
        <w:rPr>
          <w:rFonts w:hint="cs"/>
          <w:rtl/>
        </w:rPr>
        <w:t xml:space="preserve"> דלמ"ד דד' סימנים אכשר ביה רחמנא, יש תקנה לולד בשחיטת עצמו, דמה שאביו היה מותר בלא שחיטה, אינו מחמת שסימניו כשחוטים, אלא דהותר בסימני אמו, וא"כ הולד שלו יש בו היתר רק על חציו, אך אפשר להתיר את החצי שמכח האם ע"י שחיטת הולד דהא סימניו הם שלמים, וכיון דבלא שחיטת עצמו הוא אסור, מהני שחיטתו להתירו, אף דאם היה כולו מותר לא היה מהני לו שחיטת עצמו כלל, מ"מ הכא שרק חציו מותר, אף החצי הזה חשיב שיש בו רק חצי היתר שחיטה, כיון שבלא שחיטת החצי השני אין לו היתר. </w:t>
      </w:r>
      <w:r w:rsidRPr="00B06D6B">
        <w:rPr>
          <w:rStyle w:val="afb"/>
          <w:rFonts w:hint="cs"/>
          <w:rtl/>
        </w:rPr>
        <w:t>[</w:t>
      </w:r>
      <w:r>
        <w:rPr>
          <w:rStyle w:val="afb"/>
          <w:rFonts w:hint="cs"/>
          <w:rtl/>
        </w:rPr>
        <w:t>ו</w:t>
      </w:r>
      <w:r w:rsidRPr="00B06D6B">
        <w:rPr>
          <w:rStyle w:val="afb"/>
          <w:rFonts w:hint="cs"/>
          <w:rtl/>
        </w:rPr>
        <w:t xml:space="preserve">עיי"ש במה שביאר </w:t>
      </w:r>
      <w:r w:rsidRPr="00BE7838">
        <w:rPr>
          <w:rStyle w:val="affa"/>
          <w:rFonts w:hint="cs"/>
          <w:rtl/>
        </w:rPr>
        <w:t>השער"י</w:t>
      </w:r>
      <w:r w:rsidRPr="00B06D6B">
        <w:rPr>
          <w:rStyle w:val="afb"/>
          <w:rFonts w:hint="cs"/>
          <w:rtl/>
        </w:rPr>
        <w:t xml:space="preserve"> בזה].</w:t>
      </w:r>
      <w:r w:rsidRPr="00B06D6B">
        <w:rPr>
          <w:rFonts w:hint="cs"/>
          <w:rtl/>
        </w:rPr>
        <w:t xml:space="preserve"> </w:t>
      </w:r>
    </w:p>
    <w:p w14:paraId="1CABB385" w14:textId="77777777" w:rsidR="003D504D" w:rsidRPr="00B06D6B" w:rsidRDefault="003D504D" w:rsidP="003D504D">
      <w:pPr>
        <w:pStyle w:val="a3"/>
        <w:rPr>
          <w:rtl/>
        </w:rPr>
      </w:pPr>
      <w:bookmarkStart w:id="19217" w:name="_Toc1039496"/>
      <w:bookmarkStart w:id="19218" w:name="_Toc1040738"/>
      <w:bookmarkStart w:id="19219" w:name="_Toc1063614"/>
      <w:bookmarkStart w:id="19220" w:name="_Toc1112054"/>
      <w:bookmarkStart w:id="19221" w:name="_Toc1123922"/>
      <w:bookmarkStart w:id="19222" w:name="_Toc19391440"/>
      <w:bookmarkStart w:id="19223" w:name="_Toc19394937"/>
      <w:r>
        <w:rPr>
          <w:rFonts w:hint="cs"/>
          <w:rtl/>
        </w:rPr>
        <w:t>דברי השער"י דלמ"ד דד' סימנים אי"ז שהייה דהותר חציו בלא שחיטה וא"כ כולו צריך שחיטה</w:t>
      </w:r>
      <w:bookmarkEnd w:id="19217"/>
      <w:bookmarkEnd w:id="19218"/>
      <w:bookmarkEnd w:id="19219"/>
      <w:bookmarkEnd w:id="19220"/>
      <w:bookmarkEnd w:id="19221"/>
      <w:bookmarkEnd w:id="19222"/>
      <w:bookmarkEnd w:id="19223"/>
    </w:p>
    <w:p w14:paraId="0212B250" w14:textId="77777777" w:rsidR="003D504D" w:rsidRPr="00B06D6B" w:rsidRDefault="003D504D" w:rsidP="00223668">
      <w:pPr>
        <w:pStyle w:val="a0"/>
        <w:rPr>
          <w:rtl/>
        </w:rPr>
      </w:pPr>
      <w:r w:rsidRPr="00B06D6B">
        <w:rPr>
          <w:rFonts w:hint="cs"/>
          <w:rtl/>
        </w:rPr>
        <w:t xml:space="preserve">והוסיף </w:t>
      </w:r>
      <w:r w:rsidRPr="00B06D6B">
        <w:rPr>
          <w:rStyle w:val="af9"/>
          <w:rFonts w:hint="cs"/>
          <w:rtl/>
        </w:rPr>
        <w:t xml:space="preserve">השער"י </w:t>
      </w:r>
      <w:r w:rsidRPr="00B06D6B">
        <w:rPr>
          <w:rFonts w:hint="cs"/>
          <w:rtl/>
        </w:rPr>
        <w:t>דלדעת המ"ד דד' סימנים אכשר ביה רחמנא, לא שייך פסול שהייה בולד של בן פקועה ובהמה בעלמא</w:t>
      </w:r>
      <w:r>
        <w:rPr>
          <w:rFonts w:hint="cs"/>
          <w:rtl/>
        </w:rPr>
        <w:t>,</w:t>
      </w:r>
      <w:r w:rsidRPr="00B06D6B">
        <w:rPr>
          <w:rFonts w:hint="cs"/>
          <w:rtl/>
        </w:rPr>
        <w:t xml:space="preserve"> </w:t>
      </w:r>
      <w:r>
        <w:rPr>
          <w:rFonts w:hint="cs"/>
          <w:rtl/>
        </w:rPr>
        <w:t>ד</w:t>
      </w:r>
      <w:r w:rsidRPr="00B06D6B">
        <w:rPr>
          <w:rFonts w:hint="cs"/>
          <w:rtl/>
        </w:rPr>
        <w:t xml:space="preserve">חשיב שכל הולד צריך שחיטה להתירו, </w:t>
      </w:r>
      <w:r w:rsidRPr="006B14F8">
        <w:rPr>
          <w:rStyle w:val="afb"/>
          <w:rFonts w:hint="cs"/>
          <w:rtl/>
        </w:rPr>
        <w:t>[בין אי נימא דחצי הגוף של מותר, וחצי הגוף אסור, ובין אי נימא דבכולו יש חצי איסור והיתר</w:t>
      </w:r>
      <w:r>
        <w:rPr>
          <w:rStyle w:val="afb"/>
          <w:rFonts w:hint="cs"/>
          <w:rtl/>
        </w:rPr>
        <w:t>,</w:t>
      </w:r>
      <w:r w:rsidRPr="006B14F8">
        <w:rPr>
          <w:rStyle w:val="afb"/>
          <w:rFonts w:hint="cs"/>
          <w:rtl/>
        </w:rPr>
        <w:t xml:space="preserve"> והאיסור מיקלש קליש, או דכיון שיש בו חצי איסור לא הותר כלל], </w:t>
      </w:r>
      <w:r w:rsidRPr="00B06D6B">
        <w:rPr>
          <w:rFonts w:hint="cs"/>
          <w:rtl/>
        </w:rPr>
        <w:t>ולכן מהני שחיטת הסימנים שלו להתירו, ולא שייך בזה פסול שהי</w:t>
      </w:r>
      <w:r>
        <w:rPr>
          <w:rFonts w:hint="cs"/>
          <w:rtl/>
        </w:rPr>
        <w:t>י</w:t>
      </w:r>
      <w:r w:rsidRPr="00B06D6B">
        <w:rPr>
          <w:rFonts w:hint="cs"/>
          <w:rtl/>
        </w:rPr>
        <w:t>ה, דאף להצד שחל היתר בחלקו מצד חצי האביו הבן פקועה, מ"מ פסול שהייה הוא דוקא כשהתחיל שחיטה ע"מ לגמור</w:t>
      </w:r>
      <w:r>
        <w:rPr>
          <w:rFonts w:hint="cs"/>
          <w:rtl/>
        </w:rPr>
        <w:t>,</w:t>
      </w:r>
      <w:r w:rsidRPr="00B06D6B">
        <w:rPr>
          <w:rFonts w:hint="cs"/>
          <w:rtl/>
        </w:rPr>
        <w:t xml:space="preserve"> והפסיק באמצע השחיטה, אבל כשיש התחלת היתר בלא שחיטה, </w:t>
      </w:r>
      <w:r w:rsidRPr="00B06D6B">
        <w:rPr>
          <w:rStyle w:val="afb"/>
          <w:rFonts w:hint="cs"/>
          <w:rtl/>
        </w:rPr>
        <w:t>[דהסימנים עדיין נשארו שלמים],</w:t>
      </w:r>
      <w:r w:rsidRPr="00B06D6B">
        <w:rPr>
          <w:rFonts w:hint="cs"/>
          <w:rtl/>
        </w:rPr>
        <w:t xml:space="preserve"> לא שייך בזה פסול שהייה כשגומר את ההיתר לאח"ז ע"י שחיטה, וכתב </w:t>
      </w:r>
      <w:r w:rsidRPr="00B06D6B">
        <w:rPr>
          <w:rStyle w:val="af9"/>
          <w:rFonts w:hint="cs"/>
          <w:rtl/>
        </w:rPr>
        <w:t xml:space="preserve">השער"י </w:t>
      </w:r>
      <w:r w:rsidRPr="00B06D6B">
        <w:rPr>
          <w:rFonts w:hint="cs"/>
          <w:rtl/>
        </w:rPr>
        <w:t xml:space="preserve">דלכן כתב </w:t>
      </w:r>
      <w:r w:rsidRPr="00B06D6B">
        <w:rPr>
          <w:rStyle w:val="af9"/>
          <w:rFonts w:hint="cs"/>
          <w:rtl/>
        </w:rPr>
        <w:t xml:space="preserve">רש"י </w:t>
      </w:r>
      <w:r w:rsidRPr="00B06D6B">
        <w:rPr>
          <w:rFonts w:hint="cs"/>
          <w:rtl/>
        </w:rPr>
        <w:t xml:space="preserve">דרב משרשיא דס"ל דאין לולד היתר, פליג על מ"ד דד' סימנים אכשר ביה רחמנא, וכתב </w:t>
      </w:r>
      <w:r w:rsidRPr="00B06D6B">
        <w:rPr>
          <w:rStyle w:val="af9"/>
          <w:rFonts w:hint="cs"/>
          <w:rtl/>
        </w:rPr>
        <w:t>השער"י</w:t>
      </w:r>
      <w:r w:rsidRPr="00B06D6B">
        <w:rPr>
          <w:rFonts w:hint="cs"/>
          <w:rtl/>
        </w:rPr>
        <w:t xml:space="preserve"> דלפי דבריו מיושבות קושיות </w:t>
      </w:r>
      <w:r w:rsidRPr="00B06D6B">
        <w:rPr>
          <w:rStyle w:val="af9"/>
          <w:rFonts w:hint="cs"/>
          <w:rtl/>
        </w:rPr>
        <w:t>הרשב"א</w:t>
      </w:r>
      <w:r w:rsidRPr="00B06D6B">
        <w:rPr>
          <w:rFonts w:hint="cs"/>
          <w:rtl/>
        </w:rPr>
        <w:t xml:space="preserve"> </w:t>
      </w:r>
      <w:r w:rsidRPr="004304CE">
        <w:rPr>
          <w:rStyle w:val="af7"/>
          <w:rFonts w:eastAsia="Guttman Hodes" w:hint="cs"/>
          <w:rtl/>
        </w:rPr>
        <w:t xml:space="preserve">(עי' אות </w:t>
      </w:r>
      <w:r w:rsidRPr="00A558BB">
        <w:rPr>
          <w:rStyle w:val="af7"/>
          <w:rFonts w:eastAsia="Guttman Hodes"/>
          <w:rtl/>
        </w:rPr>
        <w:fldChar w:fldCharType="begin"/>
      </w:r>
      <w:r w:rsidRPr="00A558BB">
        <w:rPr>
          <w:rStyle w:val="af7"/>
          <w:rFonts w:eastAsia="Guttman Hodes"/>
          <w:rtl/>
        </w:rPr>
        <w:instrText xml:space="preserve"> </w:instrText>
      </w:r>
      <w:r w:rsidRPr="00A558BB">
        <w:rPr>
          <w:rStyle w:val="af7"/>
          <w:rFonts w:eastAsia="Guttman Hodes" w:hint="cs"/>
        </w:rPr>
        <w:instrText>REF</w:instrText>
      </w:r>
      <w:r w:rsidRPr="00A558BB">
        <w:rPr>
          <w:rStyle w:val="af7"/>
          <w:rFonts w:eastAsia="Guttman Hodes" w:hint="cs"/>
          <w:rtl/>
        </w:rPr>
        <w:instrText xml:space="preserve"> _</w:instrText>
      </w:r>
      <w:r w:rsidRPr="00A558BB">
        <w:rPr>
          <w:rStyle w:val="af7"/>
          <w:rFonts w:eastAsia="Guttman Hodes" w:hint="cs"/>
        </w:rPr>
        <w:instrText>Ref987853 \r \h</w:instrText>
      </w:r>
      <w:r w:rsidRPr="00A558BB">
        <w:rPr>
          <w:rStyle w:val="af7"/>
          <w:rFonts w:eastAsia="Guttman Hodes"/>
          <w:rtl/>
        </w:rPr>
        <w:instrText xml:space="preserve"> </w:instrText>
      </w:r>
      <w:r w:rsidRPr="00A558BB">
        <w:rPr>
          <w:rStyle w:val="af7"/>
          <w:rFonts w:eastAsia="Guttman Hodes"/>
          <w:rtl/>
        </w:rPr>
      </w:r>
      <w:r w:rsidRPr="00A558BB">
        <w:rPr>
          <w:rStyle w:val="af7"/>
          <w:rFonts w:eastAsia="Guttman Hodes"/>
          <w:rtl/>
        </w:rPr>
        <w:fldChar w:fldCharType="separate"/>
      </w:r>
      <w:r w:rsidR="00345400">
        <w:rPr>
          <w:rStyle w:val="af7"/>
          <w:rFonts w:eastAsia="Guttman Hodes"/>
          <w:cs/>
        </w:rPr>
        <w:t>‎</w:t>
      </w:r>
      <w:r w:rsidR="00345400">
        <w:rPr>
          <w:rStyle w:val="af7"/>
          <w:rFonts w:eastAsia="Guttman Hodes"/>
          <w:rtl/>
        </w:rPr>
        <w:t>ו)</w:t>
      </w:r>
      <w:r w:rsidRPr="00A558BB">
        <w:rPr>
          <w:rStyle w:val="af7"/>
          <w:rFonts w:eastAsia="Guttman Hodes"/>
          <w:rtl/>
        </w:rPr>
        <w:fldChar w:fldCharType="end"/>
      </w:r>
      <w:r w:rsidRPr="00B06D6B">
        <w:rPr>
          <w:rFonts w:hint="cs"/>
          <w:rtl/>
        </w:rPr>
        <w:t xml:space="preserve"> </w:t>
      </w:r>
      <w:r w:rsidRPr="00B06D6B">
        <w:rPr>
          <w:rStyle w:val="af9"/>
          <w:rFonts w:hint="cs"/>
          <w:rtl/>
        </w:rPr>
        <w:t>והר"ן</w:t>
      </w:r>
      <w:r w:rsidRPr="00B06D6B">
        <w:rPr>
          <w:rFonts w:hint="cs"/>
          <w:rtl/>
        </w:rPr>
        <w:t xml:space="preserve"> </w:t>
      </w:r>
      <w:r w:rsidRPr="004304CE">
        <w:rPr>
          <w:rStyle w:val="af7"/>
          <w:rFonts w:eastAsia="Guttman Hodes" w:hint="cs"/>
          <w:rtl/>
        </w:rPr>
        <w:t xml:space="preserve">(עי' אות </w:t>
      </w:r>
      <w:r w:rsidRPr="00A558BB">
        <w:rPr>
          <w:rStyle w:val="af7"/>
          <w:rFonts w:eastAsia="Guttman Hodes"/>
          <w:rtl/>
        </w:rPr>
        <w:fldChar w:fldCharType="begin"/>
      </w:r>
      <w:r w:rsidRPr="00A558BB">
        <w:rPr>
          <w:rStyle w:val="af7"/>
          <w:rFonts w:eastAsia="Guttman Hodes"/>
          <w:rtl/>
        </w:rPr>
        <w:instrText xml:space="preserve"> </w:instrText>
      </w:r>
      <w:r w:rsidRPr="00A558BB">
        <w:rPr>
          <w:rStyle w:val="af7"/>
          <w:rFonts w:eastAsia="Guttman Hodes" w:hint="cs"/>
        </w:rPr>
        <w:instrText>REF</w:instrText>
      </w:r>
      <w:r w:rsidRPr="00A558BB">
        <w:rPr>
          <w:rStyle w:val="af7"/>
          <w:rFonts w:eastAsia="Guttman Hodes" w:hint="cs"/>
          <w:rtl/>
        </w:rPr>
        <w:instrText xml:space="preserve"> _</w:instrText>
      </w:r>
      <w:r w:rsidRPr="00A558BB">
        <w:rPr>
          <w:rStyle w:val="af7"/>
          <w:rFonts w:eastAsia="Guttman Hodes" w:hint="cs"/>
        </w:rPr>
        <w:instrText>Ref884858 \r \h</w:instrText>
      </w:r>
      <w:r w:rsidRPr="00A558BB">
        <w:rPr>
          <w:rStyle w:val="af7"/>
          <w:rFonts w:eastAsia="Guttman Hodes"/>
          <w:rtl/>
        </w:rPr>
        <w:instrText xml:space="preserve"> </w:instrText>
      </w:r>
      <w:r w:rsidRPr="00A558BB">
        <w:rPr>
          <w:rStyle w:val="af7"/>
          <w:rFonts w:eastAsia="Guttman Hodes"/>
          <w:rtl/>
        </w:rPr>
      </w:r>
      <w:r w:rsidRPr="00A558BB">
        <w:rPr>
          <w:rStyle w:val="af7"/>
          <w:rFonts w:eastAsia="Guttman Hodes"/>
          <w:rtl/>
        </w:rPr>
        <w:fldChar w:fldCharType="separate"/>
      </w:r>
      <w:r w:rsidR="00345400">
        <w:rPr>
          <w:rStyle w:val="af7"/>
          <w:rFonts w:eastAsia="Guttman Hodes"/>
          <w:cs/>
        </w:rPr>
        <w:t>‎</w:t>
      </w:r>
      <w:r w:rsidR="00345400">
        <w:rPr>
          <w:rStyle w:val="af7"/>
          <w:rFonts w:eastAsia="Guttman Hodes"/>
          <w:rtl/>
        </w:rPr>
        <w:t>י)</w:t>
      </w:r>
      <w:r w:rsidRPr="00A558BB">
        <w:rPr>
          <w:rStyle w:val="af7"/>
          <w:rFonts w:eastAsia="Guttman Hodes"/>
          <w:rtl/>
        </w:rPr>
        <w:fldChar w:fldCharType="end"/>
      </w:r>
      <w:r>
        <w:rPr>
          <w:rFonts w:hint="cs"/>
          <w:rtl/>
        </w:rPr>
        <w:t xml:space="preserve"> </w:t>
      </w:r>
      <w:r w:rsidRPr="00B06D6B">
        <w:rPr>
          <w:rFonts w:hint="cs"/>
          <w:rtl/>
        </w:rPr>
        <w:t xml:space="preserve">על </w:t>
      </w:r>
      <w:r w:rsidRPr="00B06D6B">
        <w:rPr>
          <w:rStyle w:val="af9"/>
          <w:rFonts w:hint="cs"/>
          <w:rtl/>
        </w:rPr>
        <w:t>רש"י</w:t>
      </w:r>
      <w:r w:rsidRPr="00B06D6B">
        <w:rPr>
          <w:rFonts w:hint="cs"/>
          <w:rtl/>
        </w:rPr>
        <w:t>.</w:t>
      </w:r>
    </w:p>
    <w:p w14:paraId="224F607F" w14:textId="77777777" w:rsidR="003D504D" w:rsidRDefault="003D504D" w:rsidP="00BF39B2">
      <w:pPr>
        <w:pStyle w:val="1"/>
        <w:rPr>
          <w:rtl/>
        </w:rPr>
      </w:pPr>
      <w:bookmarkStart w:id="19224" w:name="_Toc519061"/>
      <w:bookmarkStart w:id="19225" w:name="_Toc725044"/>
      <w:bookmarkStart w:id="19226" w:name="_Toc773253"/>
      <w:bookmarkStart w:id="19227" w:name="_Toc862090"/>
      <w:bookmarkStart w:id="19228" w:name="_Toc890763"/>
      <w:bookmarkStart w:id="19229" w:name="_Toc903172"/>
      <w:bookmarkStart w:id="19230" w:name="_Toc955537"/>
      <w:bookmarkStart w:id="19231" w:name="_Toc955847"/>
      <w:bookmarkStart w:id="19232" w:name="_Toc1039509"/>
      <w:bookmarkStart w:id="19233" w:name="_Toc1040739"/>
      <w:bookmarkStart w:id="19234" w:name="_Toc1063615"/>
      <w:bookmarkStart w:id="19235" w:name="_Toc1112055"/>
      <w:bookmarkStart w:id="19236" w:name="_Toc1123923"/>
      <w:bookmarkStart w:id="19237" w:name="_Toc19391441"/>
      <w:bookmarkStart w:id="19238" w:name="_Toc19394938"/>
      <w:bookmarkStart w:id="19239" w:name="_Toc773250"/>
      <w:r w:rsidRPr="00B06D6B">
        <w:rPr>
          <w:rFonts w:hint="cs"/>
          <w:rtl/>
        </w:rPr>
        <w:t xml:space="preserve">ביאור המשנת ר"א ברש"י </w:t>
      </w:r>
      <w:r>
        <w:rPr>
          <w:rFonts w:hint="cs"/>
          <w:rtl/>
        </w:rPr>
        <w:t xml:space="preserve">ותוס' </w:t>
      </w:r>
      <w:r w:rsidRPr="00B06D6B">
        <w:rPr>
          <w:rFonts w:hint="cs"/>
          <w:rtl/>
        </w:rPr>
        <w:t>בד' סימנים</w:t>
      </w:r>
      <w:bookmarkEnd w:id="19224"/>
      <w:bookmarkEnd w:id="19225"/>
      <w:bookmarkEnd w:id="19226"/>
      <w:bookmarkEnd w:id="19227"/>
      <w:bookmarkEnd w:id="19228"/>
      <w:bookmarkEnd w:id="19229"/>
      <w:bookmarkEnd w:id="19230"/>
      <w:bookmarkEnd w:id="19231"/>
      <w:bookmarkEnd w:id="19232"/>
      <w:bookmarkEnd w:id="19233"/>
      <w:bookmarkEnd w:id="19234"/>
      <w:bookmarkEnd w:id="19235"/>
      <w:bookmarkEnd w:id="19236"/>
      <w:bookmarkEnd w:id="19237"/>
      <w:bookmarkEnd w:id="19238"/>
    </w:p>
    <w:p w14:paraId="5A35B786" w14:textId="77777777" w:rsidR="003D504D" w:rsidRPr="00420F06" w:rsidRDefault="003D504D" w:rsidP="003D504D">
      <w:pPr>
        <w:pStyle w:val="a3"/>
        <w:rPr>
          <w:rtl/>
        </w:rPr>
      </w:pPr>
      <w:bookmarkStart w:id="19240" w:name="_Toc1039510"/>
      <w:bookmarkStart w:id="19241" w:name="_Toc1040740"/>
      <w:bookmarkStart w:id="19242" w:name="_Toc1063616"/>
      <w:bookmarkStart w:id="19243" w:name="_Toc1112056"/>
      <w:bookmarkStart w:id="19244" w:name="_Toc1123924"/>
      <w:bookmarkStart w:id="19245" w:name="_Toc19391442"/>
      <w:bookmarkStart w:id="19246" w:name="_Toc19394939"/>
      <w:r>
        <w:rPr>
          <w:rFonts w:hint="cs"/>
          <w:rtl/>
        </w:rPr>
        <w:t>קושית המשנת ר"א ברש"י דהיאך שחיטת עצמו מתירתו למ"ד דד' סימנים הא הוי רק חצי שחיטה</w:t>
      </w:r>
      <w:bookmarkEnd w:id="19240"/>
      <w:bookmarkEnd w:id="19241"/>
      <w:bookmarkEnd w:id="19242"/>
      <w:bookmarkEnd w:id="19243"/>
      <w:bookmarkEnd w:id="19244"/>
      <w:bookmarkEnd w:id="19245"/>
      <w:bookmarkEnd w:id="19246"/>
    </w:p>
    <w:p w14:paraId="59CE7E89" w14:textId="77777777" w:rsidR="003D504D" w:rsidRPr="00B06D6B" w:rsidRDefault="003D504D" w:rsidP="00223668">
      <w:pPr>
        <w:pStyle w:val="a0"/>
        <w:rPr>
          <w:rStyle w:val="afb"/>
          <w:rtl/>
        </w:rPr>
      </w:pPr>
      <w:bookmarkStart w:id="19247" w:name="_Ref1034236"/>
      <w:r w:rsidRPr="00B06D6B">
        <w:rPr>
          <w:rFonts w:hint="cs"/>
          <w:rtl/>
        </w:rPr>
        <w:t xml:space="preserve">כתב </w:t>
      </w:r>
      <w:r w:rsidRPr="00E132FE">
        <w:rPr>
          <w:rStyle w:val="af9"/>
          <w:rFonts w:hint="cs"/>
          <w:rtl/>
        </w:rPr>
        <w:t>המשנת ר"א</w:t>
      </w:r>
      <w:r>
        <w:rPr>
          <w:rFonts w:hint="cs"/>
          <w:rtl/>
        </w:rPr>
        <w:t xml:space="preserve"> </w:t>
      </w:r>
      <w:r w:rsidRPr="004304CE">
        <w:rPr>
          <w:rStyle w:val="af7"/>
          <w:rFonts w:eastAsia="Guttman Hodes" w:hint="cs"/>
          <w:rtl/>
        </w:rPr>
        <w:t>(חולין סי' ד' אות ב' ד"ה ונראה, בכורות סי' ד' אות ג' ד"ה ונראה)</w:t>
      </w:r>
      <w:r w:rsidRPr="00B06D6B">
        <w:rPr>
          <w:rFonts w:hint="cs"/>
          <w:rtl/>
        </w:rPr>
        <w:t xml:space="preserve"> דכיון דכתב </w:t>
      </w:r>
      <w:r w:rsidRPr="00B06D6B">
        <w:rPr>
          <w:rStyle w:val="af9"/>
          <w:rFonts w:hint="cs"/>
          <w:rtl/>
        </w:rPr>
        <w:t>רש"י לקמן</w:t>
      </w:r>
      <w:r w:rsidRPr="00B06D6B">
        <w:rPr>
          <w:rFonts w:hint="cs"/>
          <w:rtl/>
        </w:rPr>
        <w:t xml:space="preserve"> </w:t>
      </w:r>
      <w:r w:rsidRPr="004304CE">
        <w:rPr>
          <w:rStyle w:val="af7"/>
          <w:rFonts w:eastAsia="Guttman Hodes" w:hint="cs"/>
          <w:rtl/>
        </w:rPr>
        <w:t xml:space="preserve">(עי' אות </w:t>
      </w:r>
      <w:r w:rsidRPr="00411B7A">
        <w:rPr>
          <w:rStyle w:val="af7"/>
          <w:rFonts w:eastAsia="Guttman Hodes"/>
          <w:rtl/>
        </w:rPr>
        <w:fldChar w:fldCharType="begin"/>
      </w:r>
      <w:r w:rsidRPr="00411B7A">
        <w:rPr>
          <w:rStyle w:val="af7"/>
          <w:rFonts w:eastAsia="Guttman Hodes"/>
          <w:rtl/>
        </w:rPr>
        <w:instrText xml:space="preserve"> </w:instrText>
      </w:r>
      <w:r w:rsidRPr="00411B7A">
        <w:rPr>
          <w:rStyle w:val="af7"/>
          <w:rFonts w:eastAsia="Guttman Hodes" w:hint="cs"/>
        </w:rPr>
        <w:instrText>REF</w:instrText>
      </w:r>
      <w:r w:rsidRPr="00411B7A">
        <w:rPr>
          <w:rStyle w:val="af7"/>
          <w:rFonts w:eastAsia="Guttman Hodes" w:hint="cs"/>
          <w:rtl/>
        </w:rPr>
        <w:instrText xml:space="preserve"> _</w:instrText>
      </w:r>
      <w:r w:rsidRPr="00411B7A">
        <w:rPr>
          <w:rStyle w:val="af7"/>
          <w:rFonts w:eastAsia="Guttman Hodes" w:hint="cs"/>
        </w:rPr>
        <w:instrText>Ref862814 \r \h</w:instrText>
      </w:r>
      <w:r w:rsidRPr="00411B7A">
        <w:rPr>
          <w:rStyle w:val="af7"/>
          <w:rFonts w:eastAsia="Guttman Hodes"/>
          <w:rtl/>
        </w:rPr>
        <w:instrText xml:space="preserve"> </w:instrText>
      </w:r>
      <w:r w:rsidRPr="00411B7A">
        <w:rPr>
          <w:rStyle w:val="af7"/>
          <w:rFonts w:eastAsia="Guttman Hodes"/>
          <w:rtl/>
        </w:rPr>
      </w:r>
      <w:r w:rsidRPr="00411B7A">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411B7A">
        <w:rPr>
          <w:rStyle w:val="af7"/>
          <w:rFonts w:eastAsia="Guttman Hodes"/>
          <w:rtl/>
        </w:rPr>
        <w:fldChar w:fldCharType="end"/>
      </w:r>
      <w:r w:rsidRPr="00B06D6B">
        <w:rPr>
          <w:rFonts w:hint="cs"/>
          <w:rtl/>
        </w:rPr>
        <w:t xml:space="preserve"> דרב משרשיא לא ס"ל דד' סימנים אכשר ביה רחמנא, א"כ לדידן דקיי"ל כרבא דד' סימנים אכשר ביה רחמנא, אפשר להתיר ולד של בן פקועה ובהמה מעלמא, בשחיטת עצמו</w:t>
      </w:r>
      <w:r>
        <w:rPr>
          <w:rFonts w:hint="cs"/>
          <w:rtl/>
        </w:rPr>
        <w:t xml:space="preserve">, </w:t>
      </w:r>
      <w:r w:rsidRPr="00B06D6B">
        <w:rPr>
          <w:rFonts w:hint="cs"/>
          <w:rtl/>
        </w:rPr>
        <w:t xml:space="preserve">אך הקשה </w:t>
      </w:r>
      <w:r w:rsidRPr="00B06D6B">
        <w:rPr>
          <w:rStyle w:val="af9"/>
          <w:rFonts w:hint="cs"/>
          <w:rtl/>
        </w:rPr>
        <w:t>המשנת ר"א</w:t>
      </w:r>
      <w:r w:rsidRPr="00B06D6B">
        <w:rPr>
          <w:rFonts w:hint="cs"/>
          <w:rtl/>
        </w:rPr>
        <w:t xml:space="preserve"> דהיאך אפש"ל דלדידן מהני חצי שחיטה להתירו, הרי </w:t>
      </w:r>
      <w:r>
        <w:rPr>
          <w:rFonts w:hint="cs"/>
          <w:rtl/>
        </w:rPr>
        <w:t xml:space="preserve">היתר השחיטה הוא רק בחצי של האם, אבל בצד של האב א"צ שחיטה להתיר, ובכדי להתיר בשחיטה, </w:t>
      </w:r>
      <w:r w:rsidRPr="00B06D6B">
        <w:rPr>
          <w:rFonts w:hint="cs"/>
          <w:rtl/>
        </w:rPr>
        <w:t xml:space="preserve">צריך שתהיה שחיטה בכל הסימנים ולא רק בחציין, וא"כ אמאי הוצרך </w:t>
      </w:r>
      <w:r w:rsidRPr="00B06D6B">
        <w:rPr>
          <w:rStyle w:val="af9"/>
          <w:rFonts w:hint="cs"/>
          <w:rtl/>
        </w:rPr>
        <w:t>רש"י</w:t>
      </w:r>
      <w:r w:rsidRPr="00B06D6B">
        <w:rPr>
          <w:rFonts w:hint="cs"/>
          <w:rtl/>
        </w:rPr>
        <w:t xml:space="preserve"> לבאר דרב משרשיא לא ס"ל דד' סימנים אכשר ביה רחמנא. </w:t>
      </w:r>
      <w:r w:rsidRPr="00B06D6B">
        <w:rPr>
          <w:rStyle w:val="afb"/>
          <w:rFonts w:hint="cs"/>
          <w:rtl/>
        </w:rPr>
        <w:t>[דהיינו דאף אי מודה רב משרשיא ל</w:t>
      </w:r>
      <w:r>
        <w:rPr>
          <w:rStyle w:val="afb"/>
          <w:rFonts w:hint="cs"/>
          <w:rtl/>
        </w:rPr>
        <w:t>מ"ד דד' סינים אכשר ביה רחמנא</w:t>
      </w:r>
      <w:r w:rsidRPr="00B06D6B">
        <w:rPr>
          <w:rStyle w:val="afb"/>
          <w:rFonts w:hint="cs"/>
          <w:rtl/>
        </w:rPr>
        <w:t xml:space="preserve">, מ"מ </w:t>
      </w:r>
      <w:r>
        <w:rPr>
          <w:rStyle w:val="afb"/>
          <w:rFonts w:hint="cs"/>
          <w:rtl/>
        </w:rPr>
        <w:t>אמר רב משרשיא ד</w:t>
      </w:r>
      <w:r w:rsidRPr="00B06D6B">
        <w:rPr>
          <w:rStyle w:val="afb"/>
          <w:rFonts w:hint="cs"/>
          <w:rtl/>
        </w:rPr>
        <w:t xml:space="preserve">אין לולד תקנה </w:t>
      </w:r>
      <w:r>
        <w:rPr>
          <w:rStyle w:val="afb"/>
          <w:rFonts w:hint="cs"/>
          <w:rtl/>
        </w:rPr>
        <w:t>כיון ש</w:t>
      </w:r>
      <w:r w:rsidRPr="00B06D6B">
        <w:rPr>
          <w:rStyle w:val="afb"/>
          <w:rFonts w:hint="cs"/>
          <w:rtl/>
        </w:rPr>
        <w:t>נשחטו רק חצי הסימנים].</w:t>
      </w:r>
      <w:bookmarkEnd w:id="19247"/>
    </w:p>
    <w:p w14:paraId="61D930AC" w14:textId="77777777" w:rsidR="003D504D" w:rsidRPr="00B06D6B" w:rsidRDefault="003D504D" w:rsidP="003D504D">
      <w:pPr>
        <w:pStyle w:val="a3"/>
        <w:rPr>
          <w:rtl/>
        </w:rPr>
      </w:pPr>
      <w:bookmarkStart w:id="19248" w:name="_Toc1039511"/>
      <w:bookmarkStart w:id="19249" w:name="_Toc1040741"/>
      <w:bookmarkStart w:id="19250" w:name="_Toc1063617"/>
      <w:bookmarkStart w:id="19251" w:name="_Toc1112057"/>
      <w:bookmarkStart w:id="19252" w:name="_Toc1123925"/>
      <w:bookmarkStart w:id="19253" w:name="_Toc19391443"/>
      <w:bookmarkStart w:id="19254" w:name="_Toc19394940"/>
      <w:r>
        <w:rPr>
          <w:rFonts w:hint="cs"/>
          <w:rtl/>
        </w:rPr>
        <w:t>ביאור המשנת ר"א דלמ"ד דד' סימנים לא חשיבי הסימנים כשחוטים ולכן מהני שחיטתו</w:t>
      </w:r>
      <w:bookmarkEnd w:id="19248"/>
      <w:bookmarkEnd w:id="19249"/>
      <w:bookmarkEnd w:id="19250"/>
      <w:bookmarkEnd w:id="19251"/>
      <w:bookmarkEnd w:id="19252"/>
      <w:bookmarkEnd w:id="19253"/>
      <w:bookmarkEnd w:id="19254"/>
    </w:p>
    <w:p w14:paraId="642D2DB2" w14:textId="77777777" w:rsidR="003D504D" w:rsidRPr="00B06D6B" w:rsidRDefault="003D504D" w:rsidP="00223668">
      <w:pPr>
        <w:pStyle w:val="a0"/>
        <w:rPr>
          <w:rtl/>
        </w:rPr>
      </w:pPr>
      <w:r w:rsidRPr="00B06D6B">
        <w:rPr>
          <w:rFonts w:hint="cs"/>
          <w:rtl/>
        </w:rPr>
        <w:t xml:space="preserve">וביאר </w:t>
      </w:r>
      <w:r w:rsidRPr="00323749">
        <w:rPr>
          <w:rStyle w:val="af9"/>
          <w:rFonts w:hint="cs"/>
          <w:rtl/>
        </w:rPr>
        <w:t>המשנת ר"א</w:t>
      </w:r>
      <w:r w:rsidRPr="00B06D6B">
        <w:rPr>
          <w:rFonts w:hint="cs"/>
          <w:rtl/>
        </w:rPr>
        <w:t xml:space="preserve"> דס"ל </w:t>
      </w:r>
      <w:r w:rsidRPr="00323749">
        <w:rPr>
          <w:rStyle w:val="af9"/>
          <w:rFonts w:hint="cs"/>
          <w:rtl/>
        </w:rPr>
        <w:t>לרש"י</w:t>
      </w:r>
      <w:r w:rsidRPr="00B06D6B">
        <w:rPr>
          <w:rFonts w:hint="cs"/>
          <w:rtl/>
        </w:rPr>
        <w:t xml:space="preserve"> דלמ"ד דלא אמרינן דד' סימנים אכשר ביה רחמנא, </w:t>
      </w:r>
      <w:r>
        <w:rPr>
          <w:rFonts w:hint="cs"/>
          <w:rtl/>
        </w:rPr>
        <w:t>מבואר ד</w:t>
      </w:r>
      <w:r w:rsidRPr="00B06D6B">
        <w:rPr>
          <w:rFonts w:hint="cs"/>
          <w:rtl/>
        </w:rPr>
        <w:t>בשחיטת האם חשיבי סימני העובר כשחוטים, ולמ"ד דס"ל דד' סימנים אכשר ביה רחמנא, לא חשיבי סימני העובר כשחוטים, ולכן מהני שחיטת עצמו להתירו.</w:t>
      </w:r>
    </w:p>
    <w:p w14:paraId="343EDF21" w14:textId="77777777" w:rsidR="003D504D" w:rsidRPr="00B06D6B" w:rsidRDefault="003D504D" w:rsidP="003D504D">
      <w:pPr>
        <w:pStyle w:val="a3"/>
        <w:rPr>
          <w:rtl/>
        </w:rPr>
      </w:pPr>
      <w:bookmarkStart w:id="19255" w:name="_Toc1039512"/>
      <w:bookmarkStart w:id="19256" w:name="_Toc1040742"/>
      <w:bookmarkStart w:id="19257" w:name="_Toc1063618"/>
      <w:bookmarkStart w:id="19258" w:name="_Toc1112058"/>
      <w:bookmarkStart w:id="19259" w:name="_Toc1123926"/>
      <w:bookmarkStart w:id="19260" w:name="_Toc19391444"/>
      <w:bookmarkStart w:id="19261" w:name="_Toc19394941"/>
      <w:r>
        <w:rPr>
          <w:rFonts w:hint="cs"/>
          <w:rtl/>
        </w:rPr>
        <w:t>ביאור המשנת ר"א דלמ"ד דד' סימנים אף בחציו שמותר חשיבי הסימנים כראויים לשחיטה</w:t>
      </w:r>
      <w:bookmarkEnd w:id="19255"/>
      <w:bookmarkEnd w:id="19256"/>
      <w:bookmarkEnd w:id="19257"/>
      <w:bookmarkEnd w:id="19258"/>
      <w:bookmarkEnd w:id="19259"/>
      <w:bookmarkEnd w:id="19260"/>
      <w:bookmarkEnd w:id="19261"/>
    </w:p>
    <w:p w14:paraId="6B02CA2E" w14:textId="77777777" w:rsidR="003D504D" w:rsidRDefault="003D504D" w:rsidP="00223668">
      <w:pPr>
        <w:pStyle w:val="a0"/>
      </w:pPr>
      <w:r w:rsidRPr="00B06D6B">
        <w:rPr>
          <w:rFonts w:hint="cs"/>
          <w:rtl/>
        </w:rPr>
        <w:t xml:space="preserve"> וביאר </w:t>
      </w:r>
      <w:r w:rsidRPr="00323749">
        <w:rPr>
          <w:rStyle w:val="af9"/>
          <w:rFonts w:hint="cs"/>
          <w:rtl/>
        </w:rPr>
        <w:t>המשנת ר"א</w:t>
      </w:r>
      <w:r w:rsidRPr="00B06D6B">
        <w:rPr>
          <w:rFonts w:hint="cs"/>
          <w:rtl/>
        </w:rPr>
        <w:t xml:space="preserve"> דלמ"ד דס"ל דד' סימנים אכשר ביה רחמנא אף </w:t>
      </w:r>
      <w:r>
        <w:rPr>
          <w:rFonts w:hint="cs"/>
          <w:rtl/>
        </w:rPr>
        <w:t xml:space="preserve">שחציו מותר, מ"מ כיון דמצד אמו הוא חייב שחיטה, וא"א להתיר את הבשר בלא שחיטה, לכן אף החלק של הסימנים שמצד האב </w:t>
      </w:r>
      <w:r w:rsidRPr="0057621F">
        <w:rPr>
          <w:rStyle w:val="afb"/>
          <w:rFonts w:hint="cs"/>
          <w:rtl/>
        </w:rPr>
        <w:t>[שמותרים בלא שחיטה]</w:t>
      </w:r>
      <w:r>
        <w:rPr>
          <w:rFonts w:hint="cs"/>
          <w:rtl/>
        </w:rPr>
        <w:t>, הם עדיין ראויין לשחיטה, דכיון שצריך שחיטה להתירו חשיב שחיטה מעליא, דאף שחצי מהולד א"צ את היתר השחיטה, מ"מ כיון שאין חסרון בשחיטה עצמה, דהסימנים אינם כשחוטים דד' סימנים אכשר ביה רחמנא, לכן חשיבא כשחיטה גמורה.</w:t>
      </w:r>
    </w:p>
    <w:p w14:paraId="651334B4" w14:textId="77777777" w:rsidR="003D504D" w:rsidRDefault="003D504D" w:rsidP="003D504D">
      <w:pPr>
        <w:pStyle w:val="a3"/>
        <w:rPr>
          <w:rtl/>
        </w:rPr>
      </w:pPr>
      <w:bookmarkStart w:id="19262" w:name="_Toc1039513"/>
      <w:bookmarkStart w:id="19263" w:name="_Toc1040743"/>
      <w:bookmarkStart w:id="19264" w:name="_Toc1063619"/>
      <w:bookmarkStart w:id="19265" w:name="_Toc1112059"/>
      <w:bookmarkStart w:id="19266" w:name="_Toc1123927"/>
    </w:p>
    <w:p w14:paraId="2CD9D01B" w14:textId="77777777" w:rsidR="003D504D" w:rsidRDefault="003D504D" w:rsidP="003D504D">
      <w:pPr>
        <w:pStyle w:val="a3"/>
        <w:rPr>
          <w:rtl/>
        </w:rPr>
      </w:pPr>
    </w:p>
    <w:p w14:paraId="3B11792B" w14:textId="77777777" w:rsidR="003D504D" w:rsidRDefault="003D504D" w:rsidP="003D504D">
      <w:pPr>
        <w:pStyle w:val="a3"/>
      </w:pPr>
      <w:bookmarkStart w:id="19267" w:name="_Toc19391445"/>
      <w:bookmarkStart w:id="19268" w:name="_Toc19394942"/>
      <w:r>
        <w:rPr>
          <w:rFonts w:hint="cs"/>
          <w:rtl/>
        </w:rPr>
        <w:t>דברי המשנת ר"א דבטריפה יש חסרון בחיות של השחיטה ובולד צריך שחיטה מצד חציו השני</w:t>
      </w:r>
      <w:bookmarkEnd w:id="19262"/>
      <w:bookmarkEnd w:id="19263"/>
      <w:bookmarkEnd w:id="19264"/>
      <w:bookmarkEnd w:id="19265"/>
      <w:bookmarkEnd w:id="19266"/>
      <w:bookmarkEnd w:id="19267"/>
      <w:bookmarkEnd w:id="19268"/>
    </w:p>
    <w:p w14:paraId="28624CE6" w14:textId="77777777" w:rsidR="003D504D" w:rsidRDefault="003D504D" w:rsidP="00223668">
      <w:pPr>
        <w:pStyle w:val="a0"/>
        <w:rPr>
          <w:rtl/>
        </w:rPr>
      </w:pPr>
      <w:r>
        <w:rPr>
          <w:rFonts w:hint="cs"/>
          <w:rtl/>
        </w:rPr>
        <w:t xml:space="preserve">וביאר </w:t>
      </w:r>
      <w:r w:rsidRPr="00CB6087">
        <w:rPr>
          <w:rStyle w:val="af9"/>
          <w:rFonts w:hint="cs"/>
          <w:rtl/>
        </w:rPr>
        <w:t>המשנת ר"א</w:t>
      </w:r>
      <w:r>
        <w:rPr>
          <w:rFonts w:hint="cs"/>
          <w:rtl/>
        </w:rPr>
        <w:t xml:space="preserve"> דבשחיטת טריפה ס"ל </w:t>
      </w:r>
      <w:r w:rsidRPr="00CB6087">
        <w:rPr>
          <w:rStyle w:val="af9"/>
          <w:rFonts w:hint="cs"/>
          <w:rtl/>
        </w:rPr>
        <w:t>לרש"י</w:t>
      </w:r>
      <w:r>
        <w:rPr>
          <w:rFonts w:hint="cs"/>
          <w:rtl/>
        </w:rPr>
        <w:t xml:space="preserve"> דאף שהיא מתירה את איסור אבר מן החי, מ"מ חשיב שיש חסרון בשחיטה עצמה, כיון שיש חסרון בחיות של הבהמה, ואפ"ה למ"ד דד' סימנים אכשר ביה רחמנא מהני שחיטת עצמו להתירו, א"כ בולד של בן פקועה ובהמה מעלמא, דאף שמצד אביו הוא מותר, מ"מ כיון דצריך שחיטה  מצד חציו השני, </w:t>
      </w:r>
      <w:r w:rsidRPr="00CB6087">
        <w:rPr>
          <w:rStyle w:val="afb"/>
          <w:rFonts w:hint="cs"/>
          <w:rtl/>
        </w:rPr>
        <w:t>[ובאם בן פקועה, כיון דחוששין לזרע האב]</w:t>
      </w:r>
      <w:r>
        <w:rPr>
          <w:rFonts w:hint="cs"/>
          <w:rtl/>
        </w:rPr>
        <w:t>, לכן מהני השחיטה בכל הסימנים.</w:t>
      </w:r>
    </w:p>
    <w:p w14:paraId="5E2CEB12" w14:textId="77777777" w:rsidR="003D504D" w:rsidRPr="00B7653A" w:rsidRDefault="003D504D" w:rsidP="003D504D">
      <w:pPr>
        <w:pStyle w:val="a3"/>
      </w:pPr>
      <w:bookmarkStart w:id="19269" w:name="_Toc1039514"/>
      <w:bookmarkStart w:id="19270" w:name="_Toc1040744"/>
      <w:bookmarkStart w:id="19271" w:name="_Toc1063620"/>
      <w:bookmarkStart w:id="19272" w:name="_Toc1112060"/>
      <w:bookmarkStart w:id="19273" w:name="_Toc1123928"/>
      <w:bookmarkStart w:id="19274" w:name="_Toc19391446"/>
      <w:bookmarkStart w:id="19275" w:name="_Toc19394943"/>
      <w:r>
        <w:rPr>
          <w:rFonts w:hint="cs"/>
          <w:rtl/>
        </w:rPr>
        <w:t>ביאור המשנת ר"א ברש"י דרק לדעת רב משרשיא דסימניו כשחוטים אין לולד תקנה</w:t>
      </w:r>
      <w:bookmarkEnd w:id="19269"/>
      <w:bookmarkEnd w:id="19270"/>
      <w:bookmarkEnd w:id="19271"/>
      <w:bookmarkEnd w:id="19272"/>
      <w:bookmarkEnd w:id="19273"/>
      <w:bookmarkEnd w:id="19274"/>
      <w:bookmarkEnd w:id="19275"/>
    </w:p>
    <w:p w14:paraId="7C42F15E" w14:textId="77777777" w:rsidR="003D504D" w:rsidRDefault="003D504D" w:rsidP="00223668">
      <w:pPr>
        <w:pStyle w:val="a0"/>
        <w:rPr>
          <w:rtl/>
        </w:rPr>
      </w:pPr>
      <w:r w:rsidRPr="003B7ADF">
        <w:rPr>
          <w:rFonts w:hint="cs"/>
          <w:rtl/>
        </w:rPr>
        <w:t>וכת</w:t>
      </w:r>
      <w:r>
        <w:rPr>
          <w:rFonts w:hint="cs"/>
          <w:rtl/>
        </w:rPr>
        <w:t xml:space="preserve">ב </w:t>
      </w:r>
      <w:r w:rsidRPr="0057621F">
        <w:rPr>
          <w:rStyle w:val="af9"/>
          <w:rFonts w:hint="cs"/>
          <w:rtl/>
        </w:rPr>
        <w:t>המשנת ר"א</w:t>
      </w:r>
      <w:r>
        <w:rPr>
          <w:rFonts w:hint="cs"/>
          <w:rtl/>
        </w:rPr>
        <w:t xml:space="preserve"> דלכן ס"ל </w:t>
      </w:r>
      <w:r w:rsidRPr="0057621F">
        <w:rPr>
          <w:rStyle w:val="af9"/>
          <w:rFonts w:hint="cs"/>
          <w:rtl/>
        </w:rPr>
        <w:t>לרש"י</w:t>
      </w:r>
      <w:r>
        <w:rPr>
          <w:rFonts w:hint="cs"/>
          <w:rtl/>
        </w:rPr>
        <w:t xml:space="preserve"> דלמ"ד דד' סימנים אכשר ביה רחמנא דאין סימני הולד חשיבי כשחוטים, מהני שחיטת עצמו להתיר אף את החלק של הסימנים שמותר בלא שחיטה, אבל לרב משרשיא ס"ל דלא אמרינן דד' סימנים אכשר ביה רחמנא, וסימני הולד חשיבי כשחוטים, ולכן אין לולד תקנה.</w:t>
      </w:r>
    </w:p>
    <w:p w14:paraId="2F32AF91" w14:textId="77777777" w:rsidR="003D504D" w:rsidRDefault="003D504D" w:rsidP="003D504D">
      <w:pPr>
        <w:pStyle w:val="a3"/>
        <w:rPr>
          <w:rtl/>
        </w:rPr>
      </w:pPr>
      <w:bookmarkStart w:id="19276" w:name="_Toc1039515"/>
      <w:bookmarkStart w:id="19277" w:name="_Toc1040745"/>
      <w:bookmarkStart w:id="19278" w:name="_Toc1063621"/>
      <w:bookmarkStart w:id="19279" w:name="_Toc1112061"/>
      <w:bookmarkStart w:id="19280" w:name="_Toc1123929"/>
      <w:bookmarkStart w:id="19281" w:name="_Toc19391447"/>
      <w:bookmarkStart w:id="19282" w:name="_Toc19394944"/>
      <w:r>
        <w:rPr>
          <w:rFonts w:hint="cs"/>
          <w:rtl/>
        </w:rPr>
        <w:t>ביאור המשנת ר"א בתוס' דבטריפה אין השחיטה מתרת כלל ולכן רק בטריפה מהני שחיטת עצמו</w:t>
      </w:r>
      <w:bookmarkEnd w:id="19276"/>
      <w:bookmarkEnd w:id="19277"/>
      <w:bookmarkEnd w:id="19278"/>
      <w:bookmarkEnd w:id="19279"/>
      <w:bookmarkEnd w:id="19280"/>
      <w:bookmarkEnd w:id="19281"/>
      <w:bookmarkEnd w:id="19282"/>
    </w:p>
    <w:p w14:paraId="46861070" w14:textId="77777777" w:rsidR="003D504D" w:rsidRDefault="003D504D" w:rsidP="00223668">
      <w:pPr>
        <w:pStyle w:val="a0"/>
        <w:rPr>
          <w:rtl/>
        </w:rPr>
      </w:pPr>
      <w:bookmarkStart w:id="19283" w:name="_Ref1034282"/>
      <w:r>
        <w:rPr>
          <w:rFonts w:hint="cs"/>
          <w:rtl/>
        </w:rPr>
        <w:t xml:space="preserve">ובדעת </w:t>
      </w:r>
      <w:r w:rsidRPr="000A2E11">
        <w:rPr>
          <w:rStyle w:val="af9"/>
          <w:rFonts w:hint="cs"/>
          <w:rtl/>
        </w:rPr>
        <w:t>התוס' לקמן</w:t>
      </w:r>
      <w:r>
        <w:rPr>
          <w:rFonts w:hint="cs"/>
          <w:rtl/>
        </w:rPr>
        <w:t xml:space="preserve"> </w:t>
      </w:r>
      <w:r w:rsidRPr="004304CE">
        <w:rPr>
          <w:rStyle w:val="af7"/>
          <w:rFonts w:eastAsia="Guttman Hodes" w:hint="cs"/>
          <w:rtl/>
        </w:rPr>
        <w:t xml:space="preserve">(עי' אות </w:t>
      </w:r>
      <w:r w:rsidRPr="002E565C">
        <w:rPr>
          <w:rStyle w:val="af7"/>
          <w:rFonts w:eastAsia="Guttman Hodes"/>
          <w:rtl/>
        </w:rPr>
        <w:fldChar w:fldCharType="begin"/>
      </w:r>
      <w:r w:rsidRPr="002E565C">
        <w:rPr>
          <w:rStyle w:val="af7"/>
          <w:rFonts w:eastAsia="Guttman Hodes"/>
          <w:rtl/>
        </w:rPr>
        <w:instrText xml:space="preserve"> </w:instrText>
      </w:r>
      <w:r w:rsidRPr="002E565C">
        <w:rPr>
          <w:rStyle w:val="af7"/>
          <w:rFonts w:eastAsia="Guttman Hodes" w:hint="cs"/>
        </w:rPr>
        <w:instrText>REF</w:instrText>
      </w:r>
      <w:r w:rsidRPr="002E565C">
        <w:rPr>
          <w:rStyle w:val="af7"/>
          <w:rFonts w:eastAsia="Guttman Hodes" w:hint="cs"/>
          <w:rtl/>
        </w:rPr>
        <w:instrText xml:space="preserve"> _</w:instrText>
      </w:r>
      <w:r w:rsidRPr="002E565C">
        <w:rPr>
          <w:rStyle w:val="af7"/>
          <w:rFonts w:eastAsia="Guttman Hodes" w:hint="cs"/>
        </w:rPr>
        <w:instrText>Ref536787007 \r \h</w:instrText>
      </w:r>
      <w:r w:rsidRPr="002E565C">
        <w:rPr>
          <w:rStyle w:val="af7"/>
          <w:rFonts w:eastAsia="Guttman Hodes"/>
          <w:rtl/>
        </w:rPr>
        <w:instrText xml:space="preserve"> </w:instrText>
      </w:r>
      <w:r w:rsidRPr="002E565C">
        <w:rPr>
          <w:rStyle w:val="af7"/>
          <w:rFonts w:eastAsia="Guttman Hodes"/>
          <w:rtl/>
        </w:rPr>
      </w:r>
      <w:r w:rsidRPr="002E565C">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2E565C">
        <w:rPr>
          <w:rStyle w:val="af7"/>
          <w:rFonts w:eastAsia="Guttman Hodes"/>
          <w:rtl/>
        </w:rPr>
        <w:fldChar w:fldCharType="end"/>
      </w:r>
      <w:r>
        <w:rPr>
          <w:rFonts w:hint="cs"/>
          <w:rtl/>
        </w:rPr>
        <w:t xml:space="preserve"> כתב </w:t>
      </w:r>
      <w:r w:rsidRPr="000A2E11">
        <w:rPr>
          <w:rStyle w:val="af9"/>
          <w:rFonts w:hint="cs"/>
          <w:rtl/>
        </w:rPr>
        <w:t>המשנת ר"א</w:t>
      </w:r>
      <w:r>
        <w:rPr>
          <w:rFonts w:hint="cs"/>
          <w:rtl/>
        </w:rPr>
        <w:t xml:space="preserve"> דס"ל דשחיטת טריפה לא מהני להתיר את איסור אבר מן החי, ומהני רק לטהר מידי נבילה, והולד לא חשיב שנשחט כלל, ולכן מהני בו שחיטת עצמו, אבל בולד של בן פקועה ובהמה מעלמא, דמצד האב הוא שחוט, א"כ אף המ"ד דד' סימנים אכשר ביה רחמנא, מודה לדברי רב משרשיא דאין לו תקנה, דלא שייכא שחיטה בסימנים שחוטים, ורק בשחיטת טריפה שאינה שחיטה המתרת מהני שחיטת הולד להתירו.</w:t>
      </w:r>
      <w:bookmarkEnd w:id="19283"/>
    </w:p>
    <w:p w14:paraId="20316C76" w14:textId="77777777" w:rsidR="003D504D" w:rsidRPr="00B06D6B" w:rsidRDefault="003D504D" w:rsidP="00BF39B2">
      <w:pPr>
        <w:pStyle w:val="1"/>
        <w:rPr>
          <w:rtl/>
        </w:rPr>
      </w:pPr>
      <w:bookmarkStart w:id="19284" w:name="_Toc519053"/>
      <w:bookmarkStart w:id="19285" w:name="_Toc725032"/>
      <w:bookmarkStart w:id="19286" w:name="_Toc773241"/>
      <w:bookmarkStart w:id="19287" w:name="_Toc862088"/>
      <w:bookmarkStart w:id="19288" w:name="_Toc890761"/>
      <w:bookmarkStart w:id="19289" w:name="_Toc903170"/>
      <w:bookmarkStart w:id="19290" w:name="_Toc955535"/>
      <w:bookmarkStart w:id="19291" w:name="_Toc955845"/>
      <w:bookmarkStart w:id="19292" w:name="_Toc1039497"/>
      <w:bookmarkStart w:id="19293" w:name="_Toc1040746"/>
      <w:bookmarkStart w:id="19294" w:name="_Toc1063622"/>
      <w:bookmarkStart w:id="19295" w:name="_Toc1112062"/>
      <w:bookmarkStart w:id="19296" w:name="_Toc1123930"/>
      <w:bookmarkStart w:id="19297" w:name="_Toc19391448"/>
      <w:bookmarkStart w:id="19298" w:name="_Toc19394945"/>
      <w:bookmarkStart w:id="19299" w:name="_Toc1039488"/>
      <w:bookmarkStart w:id="19300" w:name="_Toc519060"/>
      <w:bookmarkStart w:id="19301" w:name="_Toc725043"/>
      <w:bookmarkStart w:id="19302" w:name="_Toc773252"/>
      <w:bookmarkStart w:id="19303" w:name="_Toc862089"/>
      <w:bookmarkStart w:id="19304" w:name="_Toc890762"/>
      <w:bookmarkStart w:id="19305" w:name="_Toc903171"/>
      <w:bookmarkStart w:id="19306" w:name="_Toc955536"/>
      <w:bookmarkStart w:id="19307" w:name="_Toc955846"/>
      <w:bookmarkStart w:id="19308" w:name="_Toc1039502"/>
      <w:bookmarkStart w:id="19309" w:name="_Toc862091"/>
      <w:bookmarkStart w:id="19310" w:name="_Toc890764"/>
      <w:bookmarkStart w:id="19311" w:name="_Toc903173"/>
      <w:bookmarkStart w:id="19312" w:name="_Toc955538"/>
      <w:bookmarkStart w:id="19313" w:name="_Toc955848"/>
      <w:bookmarkStart w:id="19314" w:name="_Toc1039516"/>
      <w:r w:rsidRPr="00B06D6B">
        <w:rPr>
          <w:rFonts w:hint="cs"/>
          <w:rtl/>
        </w:rPr>
        <w:t>ביאור המקדש דוד בגדר "דין שחוט" בבן פקועה לרש"י ולתוס'</w:t>
      </w:r>
      <w:bookmarkEnd w:id="19284"/>
      <w:bookmarkEnd w:id="19285"/>
      <w:bookmarkEnd w:id="19286"/>
      <w:bookmarkEnd w:id="19287"/>
      <w:bookmarkEnd w:id="19288"/>
      <w:bookmarkEnd w:id="19289"/>
      <w:bookmarkEnd w:id="19290"/>
      <w:bookmarkEnd w:id="19291"/>
      <w:bookmarkEnd w:id="19292"/>
      <w:bookmarkEnd w:id="19293"/>
      <w:bookmarkEnd w:id="19294"/>
      <w:bookmarkEnd w:id="19295"/>
      <w:bookmarkEnd w:id="19296"/>
      <w:bookmarkEnd w:id="19297"/>
      <w:bookmarkEnd w:id="19298"/>
      <w:r w:rsidRPr="00B06D6B">
        <w:rPr>
          <w:rFonts w:hint="cs"/>
          <w:rtl/>
        </w:rPr>
        <w:t xml:space="preserve"> </w:t>
      </w:r>
    </w:p>
    <w:p w14:paraId="231AA131" w14:textId="77777777" w:rsidR="003D504D" w:rsidRPr="00B06D6B" w:rsidRDefault="003D504D" w:rsidP="003D504D">
      <w:pPr>
        <w:pStyle w:val="a3"/>
        <w:rPr>
          <w:rtl/>
        </w:rPr>
      </w:pPr>
      <w:bookmarkStart w:id="19315" w:name="_Toc1039498"/>
      <w:bookmarkStart w:id="19316" w:name="_Toc1040747"/>
      <w:bookmarkStart w:id="19317" w:name="_Toc1063623"/>
      <w:bookmarkStart w:id="19318" w:name="_Toc1112063"/>
      <w:bookmarkStart w:id="19319" w:name="_Toc1123931"/>
      <w:bookmarkStart w:id="19320" w:name="_Toc19391449"/>
      <w:bookmarkStart w:id="19321" w:name="_Toc19394946"/>
      <w:r>
        <w:rPr>
          <w:rFonts w:hint="cs"/>
          <w:rtl/>
        </w:rPr>
        <w:t>חקירת המקדש דוד אי היתר שחיטה הוא בחלות שם שחוטה על הבהמה או בחתיכת הסימנים</w:t>
      </w:r>
      <w:bookmarkEnd w:id="19315"/>
      <w:bookmarkEnd w:id="19316"/>
      <w:bookmarkEnd w:id="19317"/>
      <w:bookmarkEnd w:id="19318"/>
      <w:bookmarkEnd w:id="19319"/>
      <w:bookmarkEnd w:id="19320"/>
      <w:bookmarkEnd w:id="19321"/>
    </w:p>
    <w:p w14:paraId="4FA6A2BA" w14:textId="77777777" w:rsidR="003D504D" w:rsidRDefault="003D504D" w:rsidP="00223668">
      <w:pPr>
        <w:pStyle w:val="a0"/>
        <w:rPr>
          <w:rtl/>
        </w:rPr>
      </w:pPr>
      <w:bookmarkStart w:id="19322" w:name="_Ref1032146"/>
      <w:r w:rsidRPr="00B06D6B">
        <w:rPr>
          <w:rFonts w:hint="cs"/>
          <w:rtl/>
        </w:rPr>
        <w:t xml:space="preserve">בדברי </w:t>
      </w:r>
      <w:r w:rsidRPr="00B06D6B">
        <w:rPr>
          <w:rStyle w:val="af9"/>
          <w:rFonts w:hint="cs"/>
          <w:rtl/>
        </w:rPr>
        <w:t>רש"י לקמן</w:t>
      </w:r>
      <w:r w:rsidRPr="00B06D6B">
        <w:rPr>
          <w:rFonts w:hint="cs"/>
          <w:rtl/>
        </w:rPr>
        <w:t xml:space="preserve"> </w:t>
      </w:r>
      <w:r w:rsidRPr="004304CE">
        <w:rPr>
          <w:rStyle w:val="af7"/>
          <w:rFonts w:eastAsia="Guttman Hodes" w:hint="cs"/>
          <w:rtl/>
        </w:rPr>
        <w:t xml:space="preserve">(עי' אות </w:t>
      </w:r>
      <w:r w:rsidRPr="005D2DF7">
        <w:rPr>
          <w:rStyle w:val="af7"/>
          <w:rFonts w:eastAsia="Guttman Hodes"/>
          <w:rtl/>
        </w:rPr>
        <w:fldChar w:fldCharType="begin"/>
      </w:r>
      <w:r w:rsidRPr="005D2DF7">
        <w:rPr>
          <w:rStyle w:val="af7"/>
          <w:rFonts w:eastAsia="Guttman Hodes"/>
          <w:rtl/>
        </w:rPr>
        <w:instrText xml:space="preserve"> </w:instrText>
      </w:r>
      <w:r w:rsidRPr="005D2DF7">
        <w:rPr>
          <w:rStyle w:val="af7"/>
          <w:rFonts w:eastAsia="Guttman Hodes" w:hint="cs"/>
        </w:rPr>
        <w:instrText>REF</w:instrText>
      </w:r>
      <w:r w:rsidRPr="005D2DF7">
        <w:rPr>
          <w:rStyle w:val="af7"/>
          <w:rFonts w:eastAsia="Guttman Hodes" w:hint="cs"/>
          <w:rtl/>
        </w:rPr>
        <w:instrText xml:space="preserve"> _</w:instrText>
      </w:r>
      <w:r w:rsidRPr="005D2DF7">
        <w:rPr>
          <w:rStyle w:val="af7"/>
          <w:rFonts w:eastAsia="Guttman Hodes" w:hint="cs"/>
        </w:rPr>
        <w:instrText>Ref536786986 \r \h</w:instrText>
      </w:r>
      <w:r w:rsidRPr="005D2DF7">
        <w:rPr>
          <w:rStyle w:val="af7"/>
          <w:rFonts w:eastAsia="Guttman Hodes"/>
          <w:rtl/>
        </w:rPr>
        <w:instrText xml:space="preserve">  \* </w:instrText>
      </w:r>
      <w:r w:rsidRPr="005D2DF7">
        <w:rPr>
          <w:rStyle w:val="af7"/>
          <w:rFonts w:eastAsia="Guttman Hodes"/>
        </w:rPr>
        <w:instrText>MERGEFORMAT</w:instrText>
      </w:r>
      <w:r w:rsidRPr="005D2DF7">
        <w:rPr>
          <w:rStyle w:val="af7"/>
          <w:rFonts w:eastAsia="Guttman Hodes"/>
          <w:rtl/>
        </w:rPr>
        <w:instrText xml:space="preserve"> </w:instrText>
      </w:r>
      <w:r w:rsidRPr="005D2DF7">
        <w:rPr>
          <w:rStyle w:val="af7"/>
          <w:rFonts w:eastAsia="Guttman Hodes"/>
          <w:rtl/>
        </w:rPr>
      </w:r>
      <w:r w:rsidRPr="005D2DF7">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5D2DF7">
        <w:rPr>
          <w:rStyle w:val="af7"/>
          <w:rFonts w:eastAsia="Guttman Hodes"/>
          <w:rtl/>
        </w:rPr>
        <w:fldChar w:fldCharType="end"/>
      </w:r>
      <w:r w:rsidRPr="00B06D6B">
        <w:rPr>
          <w:rFonts w:hint="cs"/>
          <w:rtl/>
        </w:rPr>
        <w:t xml:space="preserve"> ד</w:t>
      </w:r>
      <w:r>
        <w:rPr>
          <w:rFonts w:hint="cs"/>
          <w:rtl/>
        </w:rPr>
        <w:t>ל</w:t>
      </w:r>
      <w:r w:rsidRPr="00B06D6B">
        <w:rPr>
          <w:rFonts w:hint="cs"/>
          <w:rtl/>
        </w:rPr>
        <w:t>רב משרשיא</w:t>
      </w:r>
      <w:r>
        <w:rPr>
          <w:rFonts w:hint="cs"/>
          <w:rtl/>
        </w:rPr>
        <w:t xml:space="preserve"> </w:t>
      </w:r>
      <w:r w:rsidRPr="00B06D6B">
        <w:rPr>
          <w:rFonts w:hint="cs"/>
          <w:rtl/>
        </w:rPr>
        <w:t xml:space="preserve">ולד של בן פקועה ובהמה מעלמא, סימן אחד שלו חשיב כשחוט, </w:t>
      </w:r>
      <w:r>
        <w:rPr>
          <w:rFonts w:hint="cs"/>
          <w:rtl/>
        </w:rPr>
        <w:t>ו</w:t>
      </w:r>
      <w:r w:rsidRPr="005D2DF7">
        <w:rPr>
          <w:rFonts w:hint="cs"/>
          <w:rtl/>
        </w:rPr>
        <w:t>למ"ד</w:t>
      </w:r>
      <w:r w:rsidRPr="00B06D6B">
        <w:rPr>
          <w:rFonts w:hint="cs"/>
          <w:rtl/>
        </w:rPr>
        <w:t xml:space="preserve"> דד' סימנים אכשר ביה רחמנא, </w:t>
      </w:r>
      <w:r>
        <w:rPr>
          <w:rFonts w:hint="cs"/>
          <w:rtl/>
        </w:rPr>
        <w:t xml:space="preserve">אפשר להתיר את הולד בשחיטת עצמו, </w:t>
      </w:r>
      <w:r w:rsidRPr="00B06D6B">
        <w:rPr>
          <w:rFonts w:hint="cs"/>
          <w:rtl/>
        </w:rPr>
        <w:t xml:space="preserve">ובדברי </w:t>
      </w:r>
      <w:r w:rsidRPr="00B06D6B">
        <w:rPr>
          <w:rStyle w:val="af9"/>
          <w:rFonts w:hint="cs"/>
          <w:rtl/>
        </w:rPr>
        <w:t>התוס' לקמן</w:t>
      </w:r>
      <w:r w:rsidRPr="00B06D6B">
        <w:rPr>
          <w:rFonts w:hint="cs"/>
          <w:rtl/>
        </w:rPr>
        <w:t xml:space="preserve"> </w:t>
      </w:r>
      <w:r w:rsidRPr="004304CE">
        <w:rPr>
          <w:rStyle w:val="af7"/>
          <w:rFonts w:eastAsia="Guttman Hodes" w:hint="cs"/>
          <w:rtl/>
        </w:rPr>
        <w:t xml:space="preserve">(עי' אות </w:t>
      </w:r>
      <w:r w:rsidRPr="005D2DF7">
        <w:rPr>
          <w:rStyle w:val="af7"/>
          <w:rFonts w:eastAsia="Guttman Hodes"/>
          <w:rtl/>
        </w:rPr>
        <w:fldChar w:fldCharType="begin"/>
      </w:r>
      <w:r w:rsidRPr="005D2DF7">
        <w:rPr>
          <w:rStyle w:val="af7"/>
          <w:rFonts w:eastAsia="Guttman Hodes"/>
          <w:rtl/>
        </w:rPr>
        <w:instrText xml:space="preserve"> </w:instrText>
      </w:r>
      <w:r w:rsidRPr="005D2DF7">
        <w:rPr>
          <w:rStyle w:val="af7"/>
          <w:rFonts w:eastAsia="Guttman Hodes" w:hint="cs"/>
        </w:rPr>
        <w:instrText>REF</w:instrText>
      </w:r>
      <w:r w:rsidRPr="005D2DF7">
        <w:rPr>
          <w:rStyle w:val="af7"/>
          <w:rFonts w:eastAsia="Guttman Hodes" w:hint="cs"/>
          <w:rtl/>
        </w:rPr>
        <w:instrText xml:space="preserve"> _</w:instrText>
      </w:r>
      <w:r w:rsidRPr="005D2DF7">
        <w:rPr>
          <w:rStyle w:val="af7"/>
          <w:rFonts w:eastAsia="Guttman Hodes" w:hint="cs"/>
        </w:rPr>
        <w:instrText>Ref536787007 \r \h</w:instrText>
      </w:r>
      <w:r w:rsidRPr="005D2DF7">
        <w:rPr>
          <w:rStyle w:val="af7"/>
          <w:rFonts w:eastAsia="Guttman Hodes"/>
          <w:rtl/>
        </w:rPr>
        <w:instrText xml:space="preserve">  \* </w:instrText>
      </w:r>
      <w:r w:rsidRPr="005D2DF7">
        <w:rPr>
          <w:rStyle w:val="af7"/>
          <w:rFonts w:eastAsia="Guttman Hodes"/>
        </w:rPr>
        <w:instrText>MERGEFORMAT</w:instrText>
      </w:r>
      <w:r w:rsidRPr="005D2DF7">
        <w:rPr>
          <w:rStyle w:val="af7"/>
          <w:rFonts w:eastAsia="Guttman Hodes"/>
          <w:rtl/>
        </w:rPr>
        <w:instrText xml:space="preserve"> </w:instrText>
      </w:r>
      <w:r w:rsidRPr="005D2DF7">
        <w:rPr>
          <w:rStyle w:val="af7"/>
          <w:rFonts w:eastAsia="Guttman Hodes"/>
          <w:rtl/>
        </w:rPr>
      </w:r>
      <w:r w:rsidRPr="005D2DF7">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5D2DF7">
        <w:rPr>
          <w:rStyle w:val="af7"/>
          <w:rFonts w:eastAsia="Guttman Hodes"/>
          <w:rtl/>
        </w:rPr>
        <w:fldChar w:fldCharType="end"/>
      </w:r>
      <w:r w:rsidRPr="00B06D6B">
        <w:rPr>
          <w:rFonts w:hint="cs"/>
          <w:rtl/>
        </w:rPr>
        <w:t xml:space="preserve"> </w:t>
      </w:r>
      <w:r>
        <w:rPr>
          <w:rFonts w:hint="cs"/>
          <w:rtl/>
        </w:rPr>
        <w:t xml:space="preserve">דכתבו דאף </w:t>
      </w:r>
      <w:r w:rsidRPr="00B06D6B">
        <w:rPr>
          <w:rFonts w:hint="cs"/>
          <w:rtl/>
        </w:rPr>
        <w:t xml:space="preserve">מ"ד דד' סימנים אכשר ביה רחמנא מודה דאין לולד תקנה, כיון שכל סימן שלו חשיב כצי שחוט, </w:t>
      </w:r>
      <w:r>
        <w:rPr>
          <w:rFonts w:hint="cs"/>
          <w:rtl/>
        </w:rPr>
        <w:t>ו</w:t>
      </w:r>
      <w:r w:rsidRPr="00B06D6B">
        <w:rPr>
          <w:rFonts w:hint="cs"/>
          <w:rtl/>
        </w:rPr>
        <w:t>לא שייך בו שחיטה כלל</w:t>
      </w:r>
      <w:r>
        <w:rPr>
          <w:rFonts w:hint="cs"/>
          <w:rtl/>
        </w:rPr>
        <w:t>,</w:t>
      </w:r>
      <w:r w:rsidRPr="00AF6541">
        <w:rPr>
          <w:rFonts w:hint="cs"/>
          <w:rtl/>
        </w:rPr>
        <w:t xml:space="preserve"> </w:t>
      </w:r>
      <w:r>
        <w:rPr>
          <w:rFonts w:hint="cs"/>
          <w:rtl/>
        </w:rPr>
        <w:t>כתב</w:t>
      </w:r>
      <w:r w:rsidRPr="00B06D6B">
        <w:rPr>
          <w:rFonts w:hint="cs"/>
          <w:rtl/>
        </w:rPr>
        <w:t xml:space="preserve"> </w:t>
      </w:r>
      <w:r w:rsidRPr="00B06D6B">
        <w:rPr>
          <w:rStyle w:val="af9"/>
          <w:rFonts w:hint="cs"/>
          <w:rtl/>
        </w:rPr>
        <w:t>בשיעורי המקדש דוד</w:t>
      </w:r>
      <w:r w:rsidRPr="00B06D6B">
        <w:rPr>
          <w:rFonts w:hint="cs"/>
          <w:rtl/>
        </w:rPr>
        <w:t xml:space="preserve"> </w:t>
      </w:r>
      <w:r w:rsidRPr="004304CE">
        <w:rPr>
          <w:rStyle w:val="af7"/>
          <w:rFonts w:eastAsia="Guttman Hodes" w:hint="cs"/>
          <w:rtl/>
        </w:rPr>
        <w:t>(</w:t>
      </w:r>
      <w:r w:rsidRPr="00B06D6B">
        <w:rPr>
          <w:rStyle w:val="af1"/>
          <w:rtl/>
        </w:rPr>
        <w:footnoteReference w:id="115"/>
      </w:r>
      <w:r w:rsidRPr="004304CE">
        <w:rPr>
          <w:rStyle w:val="af7"/>
          <w:rFonts w:eastAsia="Guttman Hodes" w:hint="cs"/>
          <w:rtl/>
        </w:rPr>
        <w:t>חולין סי' א' אות ט')</w:t>
      </w:r>
      <w:r w:rsidRPr="00B06D6B">
        <w:rPr>
          <w:rFonts w:hint="cs"/>
          <w:rtl/>
        </w:rPr>
        <w:t xml:space="preserve"> </w:t>
      </w:r>
      <w:r>
        <w:rPr>
          <w:rFonts w:hint="cs"/>
          <w:rtl/>
        </w:rPr>
        <w:t>ד</w:t>
      </w:r>
      <w:r w:rsidRPr="00B06D6B">
        <w:rPr>
          <w:rFonts w:hint="cs"/>
          <w:rtl/>
        </w:rPr>
        <w:t>נחלקו</w:t>
      </w:r>
      <w:r w:rsidRPr="001526D4">
        <w:rPr>
          <w:rStyle w:val="af9"/>
          <w:rFonts w:hint="cs"/>
          <w:rtl/>
        </w:rPr>
        <w:t xml:space="preserve"> </w:t>
      </w:r>
      <w:r w:rsidRPr="00B06D6B">
        <w:rPr>
          <w:rStyle w:val="af9"/>
          <w:rFonts w:hint="cs"/>
          <w:rtl/>
        </w:rPr>
        <w:t>רש"י ותוס'</w:t>
      </w:r>
      <w:r w:rsidRPr="00B06D6B">
        <w:rPr>
          <w:rFonts w:hint="cs"/>
          <w:rtl/>
        </w:rPr>
        <w:t xml:space="preserve"> בגדר היתר שחיטה, דיש לחקור בעיקר ההיתר של השחיטה, אי ההיתר בשחיטה היא מחמת שחל על הבהמה שם שחוטה, וע"י שחותך את הסימנים חלה החלות על הבהמה, או דמעשה חתיכת הסימנים הוא המעשה המתיר, וכל סימן הוא חלק מההיתר.</w:t>
      </w:r>
      <w:bookmarkEnd w:id="19322"/>
    </w:p>
    <w:p w14:paraId="46BD8FD0" w14:textId="77777777" w:rsidR="003D504D" w:rsidRPr="00E850E5" w:rsidRDefault="003D504D" w:rsidP="003D504D">
      <w:pPr>
        <w:pStyle w:val="a3"/>
        <w:rPr>
          <w:rtl/>
        </w:rPr>
      </w:pPr>
      <w:bookmarkStart w:id="19323" w:name="_Toc1039499"/>
      <w:bookmarkStart w:id="19324" w:name="_Toc1040748"/>
      <w:bookmarkStart w:id="19325" w:name="_Toc1063624"/>
      <w:bookmarkStart w:id="19326" w:name="_Toc1112064"/>
      <w:bookmarkStart w:id="19327" w:name="_Toc1123932"/>
      <w:bookmarkStart w:id="19328" w:name="_Toc19391450"/>
      <w:bookmarkStart w:id="19329" w:name="_Toc19394947"/>
      <w:r>
        <w:rPr>
          <w:rFonts w:hint="cs"/>
          <w:rtl/>
        </w:rPr>
        <w:t>ביאור המקדש דוד דלרש"י הסימן הוא כשחוט כיון שחל שם שחוטה וא"א לומר דחצי סימן כשחוט</w:t>
      </w:r>
      <w:bookmarkEnd w:id="19323"/>
      <w:bookmarkEnd w:id="19324"/>
      <w:bookmarkEnd w:id="19325"/>
      <w:bookmarkEnd w:id="19326"/>
      <w:bookmarkEnd w:id="19327"/>
      <w:bookmarkEnd w:id="19328"/>
      <w:bookmarkEnd w:id="19329"/>
    </w:p>
    <w:p w14:paraId="7142FB05" w14:textId="77777777" w:rsidR="003D504D" w:rsidRPr="00B06D6B" w:rsidRDefault="003D504D" w:rsidP="00223668">
      <w:pPr>
        <w:pStyle w:val="a0"/>
        <w:rPr>
          <w:rtl/>
        </w:rPr>
      </w:pPr>
      <w:r w:rsidRPr="00B06D6B">
        <w:rPr>
          <w:rFonts w:hint="cs"/>
          <w:rtl/>
        </w:rPr>
        <w:t>וכתב</w:t>
      </w:r>
      <w:r w:rsidRPr="00B06D6B">
        <w:rPr>
          <w:rStyle w:val="af9"/>
          <w:rFonts w:hint="cs"/>
          <w:rtl/>
        </w:rPr>
        <w:t xml:space="preserve"> בשיעורי המקדש דוד דרש"י</w:t>
      </w:r>
      <w:r w:rsidRPr="00B06D6B">
        <w:rPr>
          <w:rFonts w:hint="cs"/>
          <w:rtl/>
        </w:rPr>
        <w:t xml:space="preserve"> ס"ל דההיתר הוא שחל על הבהמה שם שחוטה, וע"י חתיכת הסימנים חל על הבהמה שם שחוטה, ולכן א"א לומר שכל סימן כנחתך בחציו, דכל מה שהסימנים חשיבי כחתוכים הוא מחמת ההיתר של האב שהוא בן פקועה, ובן פקועה חשיב כשחוט, אך כיון דגדר שחוט הוא חלות על הבהמה שיש לה שם שחוטה ואינו רק מחמת דנחתכו הסימנים א"כ א"א לדון על כל סימן בפנ"ע ולומר דנחתך חצי הסימן.</w:t>
      </w:r>
    </w:p>
    <w:p w14:paraId="31A4F491" w14:textId="77777777" w:rsidR="003D504D" w:rsidRPr="00B06D6B" w:rsidRDefault="003D504D" w:rsidP="003D504D">
      <w:pPr>
        <w:pStyle w:val="a3"/>
        <w:rPr>
          <w:rtl/>
        </w:rPr>
      </w:pPr>
      <w:bookmarkStart w:id="19330" w:name="_Toc1039500"/>
      <w:bookmarkStart w:id="19331" w:name="_Toc1040749"/>
      <w:bookmarkStart w:id="19332" w:name="_Toc1063625"/>
      <w:bookmarkStart w:id="19333" w:name="_Toc1112065"/>
      <w:bookmarkStart w:id="19334" w:name="_Toc1123933"/>
      <w:bookmarkStart w:id="19335" w:name="_Toc19391451"/>
      <w:bookmarkStart w:id="19336" w:name="_Toc19394948"/>
      <w:r>
        <w:rPr>
          <w:rFonts w:hint="cs"/>
          <w:rtl/>
        </w:rPr>
        <w:t>ביאור המקדש דוד ברש"י דכיון דעל חצי הולד חל היתר א"כ חשיב שעל סימן אחד חל שם שחוט</w:t>
      </w:r>
      <w:bookmarkEnd w:id="19330"/>
      <w:bookmarkEnd w:id="19331"/>
      <w:bookmarkEnd w:id="19332"/>
      <w:bookmarkEnd w:id="19333"/>
      <w:bookmarkEnd w:id="19334"/>
      <w:bookmarkEnd w:id="19335"/>
      <w:bookmarkEnd w:id="19336"/>
    </w:p>
    <w:p w14:paraId="20471AFF" w14:textId="77777777" w:rsidR="003D504D" w:rsidRPr="00B06D6B" w:rsidRDefault="003D504D" w:rsidP="00223668">
      <w:pPr>
        <w:pStyle w:val="a0"/>
        <w:rPr>
          <w:rtl/>
        </w:rPr>
      </w:pPr>
      <w:r w:rsidRPr="00B06D6B">
        <w:rPr>
          <w:rFonts w:hint="cs"/>
          <w:rtl/>
        </w:rPr>
        <w:t xml:space="preserve">וביאר </w:t>
      </w:r>
      <w:r w:rsidRPr="00B06D6B">
        <w:rPr>
          <w:rStyle w:val="af9"/>
          <w:rFonts w:hint="cs"/>
          <w:rtl/>
        </w:rPr>
        <w:t>בשיעורי המקדש דוד</w:t>
      </w:r>
      <w:r w:rsidRPr="00B06D6B">
        <w:rPr>
          <w:rFonts w:hint="cs"/>
          <w:rtl/>
        </w:rPr>
        <w:t xml:space="preserve"> דלכן </w:t>
      </w:r>
      <w:r>
        <w:rPr>
          <w:rFonts w:hint="cs"/>
          <w:rtl/>
        </w:rPr>
        <w:t>כתב</w:t>
      </w:r>
      <w:r w:rsidRPr="00B06D6B">
        <w:rPr>
          <w:rFonts w:hint="cs"/>
          <w:rtl/>
        </w:rPr>
        <w:t xml:space="preserve"> </w:t>
      </w:r>
      <w:r w:rsidRPr="00B06D6B">
        <w:rPr>
          <w:rStyle w:val="af9"/>
          <w:rFonts w:hint="cs"/>
          <w:rtl/>
        </w:rPr>
        <w:t>רש"י</w:t>
      </w:r>
      <w:r w:rsidRPr="00B06D6B">
        <w:rPr>
          <w:rFonts w:hint="cs"/>
          <w:rtl/>
        </w:rPr>
        <w:t xml:space="preserve"> דחשיב שסימן אחד הוא שחוט, דכיון שכל סימן וסימן הוא דבר בפנ"ע אפש"ל דעל סימן אחד חל שם שחוט, ועל הסימן השני לא חל שם שחוט. </w:t>
      </w:r>
      <w:r w:rsidRPr="00B06D6B">
        <w:rPr>
          <w:rStyle w:val="afb"/>
          <w:rFonts w:hint="cs"/>
          <w:rtl/>
        </w:rPr>
        <w:t xml:space="preserve">[ועיי"ש </w:t>
      </w:r>
      <w:r w:rsidRPr="00B06D6B">
        <w:rPr>
          <w:rStyle w:val="affa"/>
          <w:rFonts w:hint="cs"/>
          <w:rtl/>
        </w:rPr>
        <w:t>בשיעורי המקדש דוד</w:t>
      </w:r>
      <w:r w:rsidRPr="00B06D6B">
        <w:rPr>
          <w:rStyle w:val="afb"/>
          <w:rFonts w:hint="cs"/>
          <w:rtl/>
        </w:rPr>
        <w:t xml:space="preserve"> שהביא ראיות דכל סימן חשיב כדבר בפנ"ע].</w:t>
      </w:r>
    </w:p>
    <w:p w14:paraId="62E36494" w14:textId="77777777" w:rsidR="003D504D" w:rsidRPr="00B06D6B" w:rsidRDefault="003D504D" w:rsidP="003D504D">
      <w:pPr>
        <w:pStyle w:val="a3"/>
        <w:rPr>
          <w:rtl/>
        </w:rPr>
      </w:pPr>
      <w:bookmarkStart w:id="19337" w:name="_Toc1039501"/>
      <w:bookmarkStart w:id="19338" w:name="_Toc1040750"/>
      <w:bookmarkStart w:id="19339" w:name="_Toc1063626"/>
      <w:bookmarkStart w:id="19340" w:name="_Toc1112066"/>
      <w:bookmarkStart w:id="19341" w:name="_Toc1123934"/>
      <w:bookmarkStart w:id="19342" w:name="_Toc19391452"/>
      <w:bookmarkStart w:id="19343" w:name="_Toc19394949"/>
      <w:r>
        <w:rPr>
          <w:rFonts w:hint="cs"/>
          <w:rtl/>
        </w:rPr>
        <w:t>ביאור המקדש דוד בתוס' דבולד חשיב שנחתכו סימניו בפועל וא"כ חשיב דכל סימן חתוך בחציו</w:t>
      </w:r>
      <w:bookmarkEnd w:id="19337"/>
      <w:bookmarkEnd w:id="19338"/>
      <w:bookmarkEnd w:id="19339"/>
      <w:bookmarkEnd w:id="19340"/>
      <w:bookmarkEnd w:id="19341"/>
      <w:bookmarkEnd w:id="19342"/>
      <w:bookmarkEnd w:id="19343"/>
    </w:p>
    <w:p w14:paraId="48966798" w14:textId="77777777" w:rsidR="003D504D" w:rsidRPr="00B06D6B" w:rsidRDefault="003D504D" w:rsidP="00223668">
      <w:pPr>
        <w:pStyle w:val="a0"/>
        <w:rPr>
          <w:rtl/>
        </w:rPr>
      </w:pPr>
      <w:r w:rsidRPr="00B06D6B">
        <w:rPr>
          <w:rFonts w:hint="cs"/>
          <w:rtl/>
        </w:rPr>
        <w:t xml:space="preserve">אבל בדעת </w:t>
      </w:r>
      <w:r w:rsidRPr="00B06D6B">
        <w:rPr>
          <w:rStyle w:val="af9"/>
          <w:rFonts w:hint="cs"/>
          <w:rtl/>
        </w:rPr>
        <w:t>התוס' לקמן</w:t>
      </w:r>
      <w:r w:rsidRPr="00B06D6B">
        <w:rPr>
          <w:rFonts w:hint="cs"/>
          <w:rtl/>
        </w:rPr>
        <w:t xml:space="preserve"> ביאר </w:t>
      </w:r>
      <w:r w:rsidRPr="00B06D6B">
        <w:rPr>
          <w:rStyle w:val="af9"/>
          <w:rFonts w:hint="cs"/>
          <w:rtl/>
        </w:rPr>
        <w:t>בשיעורי המקדש דוד</w:t>
      </w:r>
      <w:r w:rsidRPr="00B06D6B">
        <w:rPr>
          <w:rFonts w:hint="cs"/>
          <w:rtl/>
        </w:rPr>
        <w:t xml:space="preserve"> דס"ל דהיתר שחיטה הוא ע"י חתיכת הסימנים, ולא מחמת שחל על הבהמה שם שחוטה, ולכן הא דשחיטת האם מתירה את העובר, היינו דחשיב שנחתכו סימניו בפועל, ולא מחמת שיש לו שם שחוט, וביאר </w:t>
      </w:r>
      <w:r w:rsidRPr="00B06D6B">
        <w:rPr>
          <w:rStyle w:val="af9"/>
          <w:rFonts w:hint="cs"/>
          <w:rtl/>
        </w:rPr>
        <w:t>בשיעורי המקדש דוד</w:t>
      </w:r>
      <w:r w:rsidRPr="00B06D6B">
        <w:rPr>
          <w:rFonts w:hint="cs"/>
          <w:rtl/>
        </w:rPr>
        <w:t xml:space="preserve"> דלכן כתבו </w:t>
      </w:r>
      <w:r w:rsidRPr="00B06D6B">
        <w:rPr>
          <w:rStyle w:val="af9"/>
          <w:rFonts w:hint="cs"/>
          <w:rtl/>
        </w:rPr>
        <w:t>התוס' לקמן</w:t>
      </w:r>
      <w:r w:rsidRPr="00B06D6B">
        <w:rPr>
          <w:rFonts w:hint="cs"/>
          <w:rtl/>
        </w:rPr>
        <w:t xml:space="preserve"> דבאביו בן פקועה, כל סימן וסימן הוא חשיב כנחתך חציו.</w:t>
      </w:r>
    </w:p>
    <w:p w14:paraId="4D11064A" w14:textId="77777777" w:rsidR="003D504D" w:rsidRPr="00C93BFA" w:rsidRDefault="003D504D" w:rsidP="003D504D">
      <w:pPr>
        <w:pStyle w:val="afe"/>
        <w:rPr>
          <w:rtl/>
        </w:rPr>
      </w:pPr>
      <w:bookmarkStart w:id="19344" w:name="_Toc1040751"/>
      <w:bookmarkStart w:id="19345" w:name="_Toc1063627"/>
      <w:bookmarkStart w:id="19346" w:name="_Toc1112067"/>
      <w:bookmarkStart w:id="19347" w:name="_Toc1123935"/>
      <w:bookmarkStart w:id="19348" w:name="_Toc19436144"/>
      <w:bookmarkStart w:id="19349" w:name="_Toc20081324"/>
      <w:r w:rsidRPr="00C93BFA">
        <w:rPr>
          <w:rFonts w:hint="cs"/>
          <w:rtl/>
        </w:rPr>
        <w:t>בדברי רש"י דפסול מדין שהייה בשחיטה</w:t>
      </w:r>
      <w:bookmarkEnd w:id="19299"/>
      <w:bookmarkEnd w:id="19344"/>
      <w:bookmarkEnd w:id="19345"/>
      <w:bookmarkEnd w:id="19346"/>
      <w:bookmarkEnd w:id="19347"/>
      <w:bookmarkEnd w:id="19348"/>
      <w:bookmarkEnd w:id="19349"/>
    </w:p>
    <w:p w14:paraId="212B1715" w14:textId="77777777" w:rsidR="003D504D" w:rsidRPr="00B06D6B" w:rsidRDefault="003D504D" w:rsidP="00BF39B2">
      <w:pPr>
        <w:pStyle w:val="1"/>
        <w:rPr>
          <w:rtl/>
        </w:rPr>
      </w:pPr>
      <w:bookmarkStart w:id="19350" w:name="_Toc1040752"/>
      <w:bookmarkStart w:id="19351" w:name="_Toc1063628"/>
      <w:bookmarkStart w:id="19352" w:name="_Toc1112068"/>
      <w:bookmarkStart w:id="19353" w:name="_Toc1123936"/>
      <w:bookmarkStart w:id="19354" w:name="_Toc19391453"/>
      <w:bookmarkStart w:id="19355" w:name="_Toc19394950"/>
      <w:r w:rsidRPr="00B06D6B">
        <w:rPr>
          <w:rFonts w:hint="cs"/>
          <w:rtl/>
        </w:rPr>
        <w:t xml:space="preserve">ביאור הגרא"ו </w:t>
      </w:r>
      <w:bookmarkEnd w:id="19300"/>
      <w:bookmarkEnd w:id="19301"/>
      <w:bookmarkEnd w:id="19302"/>
      <w:bookmarkEnd w:id="19303"/>
      <w:bookmarkEnd w:id="19304"/>
      <w:bookmarkEnd w:id="19305"/>
      <w:bookmarkEnd w:id="19306"/>
      <w:bookmarkEnd w:id="19307"/>
      <w:r>
        <w:rPr>
          <w:rFonts w:hint="cs"/>
          <w:rtl/>
        </w:rPr>
        <w:t>דכיון שלא הותר הולד בבת אחת</w:t>
      </w:r>
      <w:r w:rsidRPr="0047063A">
        <w:rPr>
          <w:rFonts w:hint="cs"/>
          <w:rtl/>
        </w:rPr>
        <w:t xml:space="preserve"> </w:t>
      </w:r>
      <w:r>
        <w:rPr>
          <w:rFonts w:hint="cs"/>
          <w:rtl/>
        </w:rPr>
        <w:t>הוי שהייה</w:t>
      </w:r>
      <w:bookmarkEnd w:id="19308"/>
      <w:bookmarkEnd w:id="19350"/>
      <w:bookmarkEnd w:id="19351"/>
      <w:bookmarkEnd w:id="19352"/>
      <w:bookmarkEnd w:id="19353"/>
      <w:bookmarkEnd w:id="19354"/>
      <w:bookmarkEnd w:id="19355"/>
    </w:p>
    <w:p w14:paraId="0D213E13" w14:textId="77777777" w:rsidR="003D504D" w:rsidRPr="00B06D6B" w:rsidRDefault="003D504D" w:rsidP="003D504D">
      <w:pPr>
        <w:pStyle w:val="a3"/>
      </w:pPr>
      <w:bookmarkStart w:id="19356" w:name="_Toc1039503"/>
      <w:bookmarkStart w:id="19357" w:name="_Toc1040753"/>
      <w:bookmarkStart w:id="19358" w:name="_Toc1063629"/>
      <w:bookmarkStart w:id="19359" w:name="_Toc1112069"/>
      <w:bookmarkStart w:id="19360" w:name="_Toc1123937"/>
      <w:bookmarkStart w:id="19361" w:name="_Toc19391454"/>
      <w:bookmarkStart w:id="19362" w:name="_Toc19394951"/>
      <w:r>
        <w:rPr>
          <w:rFonts w:hint="cs"/>
          <w:rtl/>
        </w:rPr>
        <w:t>קושית הגרא"ו על רש"י דכל שלא היתה שחיטה בפועל לא שייך לפסול מדין שהייה</w:t>
      </w:r>
      <w:bookmarkEnd w:id="19356"/>
      <w:bookmarkEnd w:id="19357"/>
      <w:bookmarkEnd w:id="19358"/>
      <w:bookmarkEnd w:id="19359"/>
      <w:bookmarkEnd w:id="19360"/>
      <w:bookmarkEnd w:id="19361"/>
      <w:bookmarkEnd w:id="19362"/>
    </w:p>
    <w:p w14:paraId="4F571048" w14:textId="77777777" w:rsidR="003D504D" w:rsidRPr="00B06D6B" w:rsidRDefault="003D504D" w:rsidP="00223668">
      <w:pPr>
        <w:pStyle w:val="a0"/>
        <w:rPr>
          <w:rtl/>
        </w:rPr>
      </w:pPr>
      <w:bookmarkStart w:id="19363" w:name="_Ref1033325"/>
      <w:r w:rsidRPr="00B06D6B">
        <w:rPr>
          <w:rFonts w:hint="cs"/>
          <w:rtl/>
        </w:rPr>
        <w:t xml:space="preserve">בדברי </w:t>
      </w:r>
      <w:r w:rsidRPr="00B06D6B">
        <w:rPr>
          <w:rStyle w:val="af9"/>
          <w:rFonts w:hint="cs"/>
          <w:rtl/>
        </w:rPr>
        <w:t>רש"י לקמן</w:t>
      </w:r>
      <w:r w:rsidRPr="00B06D6B">
        <w:rPr>
          <w:rFonts w:hint="cs"/>
          <w:rtl/>
        </w:rPr>
        <w:t xml:space="preserve"> </w:t>
      </w:r>
      <w:r w:rsidRPr="004304CE">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Ref536786986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B06D6B">
        <w:rPr>
          <w:rStyle w:val="af7"/>
          <w:rFonts w:eastAsia="Guttman Hodes"/>
          <w:rtl/>
        </w:rPr>
        <w:fldChar w:fldCharType="end"/>
      </w:r>
      <w:r w:rsidRPr="004304CE">
        <w:rPr>
          <w:rStyle w:val="af7"/>
          <w:rFonts w:eastAsia="Guttman Hodes" w:hint="cs"/>
          <w:rtl/>
        </w:rPr>
        <w:t xml:space="preserve"> </w:t>
      </w:r>
      <w:r w:rsidRPr="00B06D6B">
        <w:rPr>
          <w:rFonts w:hint="cs"/>
          <w:rtl/>
        </w:rPr>
        <w:t>דכתב דסימן אחד של הולד שחוט והסימן השני אינו שחוט, ואין לך שהי</w:t>
      </w:r>
      <w:r>
        <w:rPr>
          <w:rFonts w:hint="cs"/>
          <w:rtl/>
        </w:rPr>
        <w:t>י</w:t>
      </w:r>
      <w:r w:rsidRPr="00B06D6B">
        <w:rPr>
          <w:rFonts w:hint="cs"/>
          <w:rtl/>
        </w:rPr>
        <w:t xml:space="preserve">ה גדולה מזו, הקשה </w:t>
      </w:r>
      <w:r w:rsidRPr="00B06D6B">
        <w:rPr>
          <w:rStyle w:val="af9"/>
          <w:rFonts w:hint="cs"/>
          <w:rtl/>
        </w:rPr>
        <w:t>הגרא"ו</w:t>
      </w:r>
      <w:r w:rsidRPr="00B06D6B">
        <w:rPr>
          <w:rFonts w:hint="cs"/>
          <w:rtl/>
        </w:rPr>
        <w:t xml:space="preserve"> </w:t>
      </w:r>
      <w:r w:rsidRPr="004304CE">
        <w:rPr>
          <w:rStyle w:val="af7"/>
          <w:rFonts w:eastAsia="Guttman Hodes" w:hint="cs"/>
          <w:rtl/>
        </w:rPr>
        <w:t>(בספר קובץ ענינים בסוגיין ד"ה בן פקועה)</w:t>
      </w:r>
      <w:r w:rsidRPr="00B06D6B">
        <w:rPr>
          <w:rFonts w:hint="cs"/>
          <w:rtl/>
        </w:rPr>
        <w:t xml:space="preserve"> דהיאך שייך לפסול את ה</w:t>
      </w:r>
      <w:r>
        <w:rPr>
          <w:rFonts w:hint="cs"/>
          <w:rtl/>
        </w:rPr>
        <w:t>שחיטה בשהיי</w:t>
      </w:r>
      <w:r w:rsidRPr="00B06D6B">
        <w:rPr>
          <w:rFonts w:hint="cs"/>
          <w:rtl/>
        </w:rPr>
        <w:t>ה, כשאין מעשה שחיטה, ואף אי נימא דשהי</w:t>
      </w:r>
      <w:r>
        <w:rPr>
          <w:rFonts w:hint="cs"/>
          <w:rtl/>
        </w:rPr>
        <w:t>י</w:t>
      </w:r>
      <w:r w:rsidRPr="00B06D6B">
        <w:rPr>
          <w:rFonts w:hint="cs"/>
          <w:rtl/>
        </w:rPr>
        <w:t>ה אינה פוסלת מחמת שהיא הפסקה, אלא דשה</w:t>
      </w:r>
      <w:r>
        <w:rPr>
          <w:rFonts w:hint="cs"/>
          <w:rtl/>
        </w:rPr>
        <w:t>י</w:t>
      </w:r>
      <w:r w:rsidRPr="00B06D6B">
        <w:rPr>
          <w:rFonts w:hint="cs"/>
          <w:rtl/>
        </w:rPr>
        <w:t>יה הוא פסול בשחיטה, מ"מ החצי שמותר מכח האב, אינו מדין שחיטה, אלא שיש בו היתר כיון שהאב היה בן פקועה.</w:t>
      </w:r>
      <w:bookmarkEnd w:id="19363"/>
    </w:p>
    <w:p w14:paraId="5A186888" w14:textId="77777777" w:rsidR="003D504D" w:rsidRPr="00B06D6B" w:rsidRDefault="003D504D" w:rsidP="003D504D">
      <w:pPr>
        <w:pStyle w:val="a3"/>
        <w:rPr>
          <w:rtl/>
        </w:rPr>
      </w:pPr>
      <w:bookmarkStart w:id="19364" w:name="_Toc1039504"/>
      <w:bookmarkStart w:id="19365" w:name="_Toc1040754"/>
      <w:bookmarkStart w:id="19366" w:name="_Toc1063630"/>
      <w:bookmarkStart w:id="19367" w:name="_Toc1112070"/>
      <w:bookmarkStart w:id="19368" w:name="_Toc1123938"/>
      <w:bookmarkStart w:id="19369" w:name="_Toc19391455"/>
      <w:bookmarkStart w:id="19370" w:name="_Toc19394952"/>
      <w:r>
        <w:rPr>
          <w:rFonts w:hint="cs"/>
          <w:rtl/>
        </w:rPr>
        <w:t>קושית הגרא"ו דאף אי שהייה אינו פסול אלא חסרון בצירוף  השחיטה מ"מ לא היה מעשה שחיטה</w:t>
      </w:r>
      <w:bookmarkEnd w:id="19364"/>
      <w:bookmarkEnd w:id="19365"/>
      <w:bookmarkEnd w:id="19366"/>
      <w:bookmarkEnd w:id="19367"/>
      <w:bookmarkEnd w:id="19368"/>
      <w:bookmarkEnd w:id="19369"/>
      <w:bookmarkEnd w:id="19370"/>
    </w:p>
    <w:p w14:paraId="756F0318" w14:textId="77777777" w:rsidR="003D504D" w:rsidRPr="00B06D6B" w:rsidRDefault="003D504D" w:rsidP="00223668">
      <w:pPr>
        <w:pStyle w:val="a0"/>
        <w:rPr>
          <w:rtl/>
        </w:rPr>
      </w:pPr>
      <w:r w:rsidRPr="00B06D6B">
        <w:rPr>
          <w:rFonts w:hint="cs"/>
          <w:rtl/>
        </w:rPr>
        <w:t>ו</w:t>
      </w:r>
      <w:r w:rsidRPr="00B06D6B">
        <w:rPr>
          <w:rtl/>
        </w:rPr>
        <w:t>הוסיף</w:t>
      </w:r>
      <w:r w:rsidRPr="00B06D6B">
        <w:rPr>
          <w:rStyle w:val="af9"/>
          <w:rFonts w:hint="cs"/>
          <w:rtl/>
        </w:rPr>
        <w:t xml:space="preserve"> הגרא"ו </w:t>
      </w:r>
      <w:r w:rsidRPr="004304CE">
        <w:rPr>
          <w:rStyle w:val="af7"/>
          <w:rFonts w:eastAsia="Guttman Hodes" w:hint="cs"/>
          <w:rtl/>
        </w:rPr>
        <w:t>(בספר קובץ ענינים לעיל לב: ד"ה ואי נימא, ו</w:t>
      </w:r>
      <w:r w:rsidRPr="004304CE">
        <w:rPr>
          <w:rStyle w:val="af7"/>
          <w:rFonts w:eastAsia="Guttman Hodes"/>
          <w:rtl/>
        </w:rPr>
        <w:t>ב</w:t>
      </w:r>
      <w:r w:rsidRPr="004304CE">
        <w:rPr>
          <w:rStyle w:val="af7"/>
          <w:rFonts w:eastAsia="Guttman Hodes" w:hint="cs"/>
          <w:rtl/>
        </w:rPr>
        <w:t xml:space="preserve">ספר </w:t>
      </w:r>
      <w:r w:rsidRPr="004304CE">
        <w:rPr>
          <w:rStyle w:val="af7"/>
          <w:rFonts w:eastAsia="Guttman Hodes"/>
          <w:rtl/>
        </w:rPr>
        <w:t>שיעורי הגר</w:t>
      </w:r>
      <w:r w:rsidRPr="004304CE">
        <w:rPr>
          <w:rStyle w:val="af7"/>
          <w:rFonts w:eastAsia="Guttman Hodes" w:hint="cs"/>
          <w:rtl/>
        </w:rPr>
        <w:t>"</w:t>
      </w:r>
      <w:r w:rsidRPr="004304CE">
        <w:rPr>
          <w:rStyle w:val="af7"/>
          <w:rFonts w:eastAsia="Guttman Hodes"/>
          <w:rtl/>
        </w:rPr>
        <w:t>א וסרמן חולין סי' ו' אות א' ד</w:t>
      </w:r>
      <w:r w:rsidRPr="004304CE">
        <w:rPr>
          <w:rStyle w:val="af7"/>
          <w:rFonts w:eastAsia="Guttman Hodes" w:hint="cs"/>
          <w:rtl/>
        </w:rPr>
        <w:t>"</w:t>
      </w:r>
      <w:r w:rsidRPr="004304CE">
        <w:rPr>
          <w:rStyle w:val="af7"/>
          <w:rFonts w:eastAsia="Guttman Hodes"/>
          <w:rtl/>
        </w:rPr>
        <w:t>ה עוד יש</w:t>
      </w:r>
      <w:r w:rsidRPr="004304CE">
        <w:rPr>
          <w:rStyle w:val="af7"/>
          <w:rFonts w:eastAsia="Guttman Hodes" w:hint="cs"/>
          <w:rtl/>
        </w:rPr>
        <w:t>)</w:t>
      </w:r>
      <w:r w:rsidRPr="004304CE">
        <w:rPr>
          <w:rStyle w:val="af7"/>
          <w:rFonts w:eastAsia="Guttman Hodes"/>
          <w:rtl/>
        </w:rPr>
        <w:t xml:space="preserve"> </w:t>
      </w:r>
      <w:r w:rsidRPr="00B06D6B">
        <w:rPr>
          <w:rtl/>
        </w:rPr>
        <w:t>להקשות דאי נימא דפסול שהי</w:t>
      </w:r>
      <w:r>
        <w:rPr>
          <w:rFonts w:hint="cs"/>
          <w:rtl/>
        </w:rPr>
        <w:t>י</w:t>
      </w:r>
      <w:r w:rsidRPr="00B06D6B">
        <w:rPr>
          <w:rtl/>
        </w:rPr>
        <w:t xml:space="preserve">ה </w:t>
      </w:r>
      <w:r w:rsidRPr="00B06D6B">
        <w:rPr>
          <w:rFonts w:hint="cs"/>
          <w:rtl/>
        </w:rPr>
        <w:t xml:space="preserve">אינו פסול מצד עצמו, אלא </w:t>
      </w:r>
      <w:r w:rsidRPr="00B06D6B">
        <w:rPr>
          <w:rtl/>
        </w:rPr>
        <w:t>הוא חסרון בצירוף של מעש</w:t>
      </w:r>
      <w:r w:rsidRPr="00B06D6B">
        <w:rPr>
          <w:rFonts w:hint="cs"/>
          <w:rtl/>
        </w:rPr>
        <w:t>ה ה</w:t>
      </w:r>
      <w:r w:rsidRPr="00B06D6B">
        <w:rPr>
          <w:rtl/>
        </w:rPr>
        <w:t xml:space="preserve">שחיטה, </w:t>
      </w:r>
      <w:r w:rsidRPr="00B06D6B">
        <w:rPr>
          <w:rFonts w:hint="cs"/>
          <w:rtl/>
        </w:rPr>
        <w:t>דבתחילת השחיטה</w:t>
      </w:r>
      <w:r w:rsidRPr="00B06D6B">
        <w:rPr>
          <w:rtl/>
        </w:rPr>
        <w:t xml:space="preserve"> הטריף את הבהמה מדין נקובת הושט, א</w:t>
      </w:r>
      <w:r w:rsidRPr="00B06D6B">
        <w:rPr>
          <w:rFonts w:hint="cs"/>
          <w:rtl/>
        </w:rPr>
        <w:t>"</w:t>
      </w:r>
      <w:r w:rsidRPr="00B06D6B">
        <w:rPr>
          <w:rtl/>
        </w:rPr>
        <w:t xml:space="preserve">כ הכא לא היה כל מעשה שחיטה בסימן הראשון, </w:t>
      </w:r>
      <w:r w:rsidRPr="00B06D6B">
        <w:rPr>
          <w:rFonts w:hint="cs"/>
          <w:rtl/>
        </w:rPr>
        <w:t xml:space="preserve">דסימניו שלמים </w:t>
      </w:r>
      <w:r w:rsidRPr="00B06D6B">
        <w:rPr>
          <w:rtl/>
        </w:rPr>
        <w:t>ולא נטרף הושט.</w:t>
      </w:r>
    </w:p>
    <w:p w14:paraId="3ED699D1" w14:textId="77777777" w:rsidR="003D504D" w:rsidRPr="00B06D6B" w:rsidRDefault="003D504D" w:rsidP="003D504D">
      <w:pPr>
        <w:pStyle w:val="a3"/>
        <w:rPr>
          <w:rtl/>
        </w:rPr>
      </w:pPr>
      <w:bookmarkStart w:id="19371" w:name="_Toc1039505"/>
      <w:bookmarkStart w:id="19372" w:name="_Toc1040755"/>
      <w:bookmarkStart w:id="19373" w:name="_Toc1063631"/>
      <w:bookmarkStart w:id="19374" w:name="_Toc1112071"/>
      <w:bookmarkStart w:id="19375" w:name="_Toc1123939"/>
      <w:bookmarkStart w:id="19376" w:name="_Toc19391456"/>
      <w:bookmarkStart w:id="19377" w:name="_Toc19394953"/>
      <w:r>
        <w:rPr>
          <w:rFonts w:hint="cs"/>
          <w:rtl/>
        </w:rPr>
        <w:t>ביאור הגרא"ו דמבואר ברש"י דפסול שהייה הוא בכל מקום שלא נעשה מעשה השחיטה בבת אחת</w:t>
      </w:r>
      <w:bookmarkEnd w:id="19371"/>
      <w:bookmarkEnd w:id="19372"/>
      <w:bookmarkEnd w:id="19373"/>
      <w:bookmarkEnd w:id="19374"/>
      <w:bookmarkEnd w:id="19375"/>
      <w:bookmarkEnd w:id="19376"/>
      <w:bookmarkEnd w:id="19377"/>
    </w:p>
    <w:p w14:paraId="49D7C88F" w14:textId="77777777" w:rsidR="003D504D" w:rsidRPr="00B06D6B" w:rsidRDefault="003D504D" w:rsidP="00223668">
      <w:pPr>
        <w:pStyle w:val="a0"/>
        <w:rPr>
          <w:rtl/>
        </w:rPr>
      </w:pPr>
      <w:r w:rsidRPr="00B06D6B">
        <w:rPr>
          <w:rtl/>
        </w:rPr>
        <w:t xml:space="preserve">אלא כתב </w:t>
      </w:r>
      <w:r w:rsidRPr="00B06D6B">
        <w:rPr>
          <w:rStyle w:val="af9"/>
          <w:rtl/>
        </w:rPr>
        <w:t>הגרא</w:t>
      </w:r>
      <w:r w:rsidRPr="00B06D6B">
        <w:rPr>
          <w:rStyle w:val="af9"/>
          <w:rFonts w:hint="cs"/>
          <w:rtl/>
        </w:rPr>
        <w:t>"</w:t>
      </w:r>
      <w:r w:rsidRPr="00B06D6B">
        <w:rPr>
          <w:rStyle w:val="af9"/>
          <w:rtl/>
        </w:rPr>
        <w:t>ו</w:t>
      </w:r>
      <w:r w:rsidRPr="00B06D6B">
        <w:rPr>
          <w:rtl/>
        </w:rPr>
        <w:t xml:space="preserve"> דמוכח דשהי</w:t>
      </w:r>
      <w:r>
        <w:rPr>
          <w:rFonts w:hint="cs"/>
          <w:rtl/>
        </w:rPr>
        <w:t>י</w:t>
      </w:r>
      <w:r w:rsidRPr="00B06D6B">
        <w:rPr>
          <w:rtl/>
        </w:rPr>
        <w:t>ה הוא פסול במעשה השחיטה, דכיון דכיון שלא נעשה המעשה שחיטה בבת אחת, כל השחיטה נפסלת, וא</w:t>
      </w:r>
      <w:r w:rsidRPr="00B06D6B">
        <w:rPr>
          <w:rFonts w:hint="cs"/>
          <w:rtl/>
        </w:rPr>
        <w:t>"</w:t>
      </w:r>
      <w:r w:rsidRPr="00B06D6B">
        <w:rPr>
          <w:rtl/>
        </w:rPr>
        <w:t>כ אף בולד של בן פקועה ובהמה מעלמא, כיון שלא נעשה מעשה השחיטה שלו בבת אחת, חשיב שה</w:t>
      </w:r>
      <w:r>
        <w:rPr>
          <w:rFonts w:hint="cs"/>
          <w:rtl/>
        </w:rPr>
        <w:t>י</w:t>
      </w:r>
      <w:r w:rsidRPr="00B06D6B">
        <w:rPr>
          <w:rtl/>
        </w:rPr>
        <w:t>יה בשחיטה, ולכן אין לו תקנה.</w:t>
      </w:r>
    </w:p>
    <w:p w14:paraId="7635E36C" w14:textId="77777777" w:rsidR="003D504D" w:rsidRPr="00B06D6B" w:rsidRDefault="003D504D" w:rsidP="003D504D">
      <w:pPr>
        <w:pStyle w:val="a3"/>
        <w:rPr>
          <w:rtl/>
        </w:rPr>
      </w:pPr>
      <w:bookmarkStart w:id="19378" w:name="_Toc1039506"/>
      <w:bookmarkStart w:id="19379" w:name="_Toc1040756"/>
      <w:bookmarkStart w:id="19380" w:name="_Toc1063632"/>
      <w:bookmarkStart w:id="19381" w:name="_Toc1112072"/>
      <w:bookmarkStart w:id="19382" w:name="_Toc1123940"/>
      <w:bookmarkStart w:id="19383" w:name="_Toc19391457"/>
      <w:bookmarkStart w:id="19384" w:name="_Toc19394954"/>
      <w:r>
        <w:rPr>
          <w:rFonts w:hint="cs"/>
          <w:rtl/>
        </w:rPr>
        <w:t>קושית הגרא"ו דאי היתר בן פקועה הוא דא"צ שחיטה א"כ חציו הותר בלא שחיטה ואי"ז שהייה</w:t>
      </w:r>
      <w:bookmarkEnd w:id="19378"/>
      <w:bookmarkEnd w:id="19379"/>
      <w:bookmarkEnd w:id="19380"/>
      <w:bookmarkEnd w:id="19381"/>
      <w:bookmarkEnd w:id="19382"/>
      <w:bookmarkEnd w:id="19383"/>
      <w:bookmarkEnd w:id="19384"/>
    </w:p>
    <w:p w14:paraId="0C629F66" w14:textId="77777777" w:rsidR="003D504D" w:rsidRPr="00B06D6B" w:rsidRDefault="003D504D" w:rsidP="00223668">
      <w:pPr>
        <w:pStyle w:val="a0"/>
        <w:rPr>
          <w:rtl/>
        </w:rPr>
      </w:pPr>
      <w:r w:rsidRPr="00B06D6B">
        <w:rPr>
          <w:rFonts w:hint="cs"/>
          <w:rtl/>
        </w:rPr>
        <w:t xml:space="preserve">אך הקשה </w:t>
      </w:r>
      <w:r w:rsidRPr="00B06D6B">
        <w:rPr>
          <w:rStyle w:val="af9"/>
          <w:rFonts w:hint="cs"/>
          <w:rtl/>
        </w:rPr>
        <w:t xml:space="preserve">הגרא"ו </w:t>
      </w:r>
      <w:r w:rsidRPr="004304CE">
        <w:rPr>
          <w:rStyle w:val="af7"/>
          <w:rFonts w:eastAsia="Guttman Hodes" w:hint="cs"/>
          <w:rtl/>
        </w:rPr>
        <w:t>(בספר קובץ ענינים לעיל לב: ד"ה אך אכתי, ו</w:t>
      </w:r>
      <w:r w:rsidRPr="004304CE">
        <w:rPr>
          <w:rStyle w:val="af7"/>
          <w:rFonts w:eastAsia="Guttman Hodes"/>
          <w:rtl/>
        </w:rPr>
        <w:t>ב</w:t>
      </w:r>
      <w:r w:rsidRPr="004304CE">
        <w:rPr>
          <w:rStyle w:val="af7"/>
          <w:rFonts w:eastAsia="Guttman Hodes" w:hint="cs"/>
          <w:rtl/>
        </w:rPr>
        <w:t xml:space="preserve">ספר </w:t>
      </w:r>
      <w:r w:rsidRPr="004304CE">
        <w:rPr>
          <w:rStyle w:val="af7"/>
          <w:rFonts w:eastAsia="Guttman Hodes"/>
          <w:rtl/>
        </w:rPr>
        <w:t>שיעורי הגר</w:t>
      </w:r>
      <w:r w:rsidRPr="004304CE">
        <w:rPr>
          <w:rStyle w:val="af7"/>
          <w:rFonts w:eastAsia="Guttman Hodes" w:hint="cs"/>
          <w:rtl/>
        </w:rPr>
        <w:t>"</w:t>
      </w:r>
      <w:r w:rsidRPr="004304CE">
        <w:rPr>
          <w:rStyle w:val="af7"/>
          <w:rFonts w:eastAsia="Guttman Hodes"/>
          <w:rtl/>
        </w:rPr>
        <w:t>א וסרמן חולין סי' ו' אות א'</w:t>
      </w:r>
      <w:r w:rsidRPr="004304CE">
        <w:rPr>
          <w:rStyle w:val="af7"/>
          <w:rFonts w:eastAsia="Guttman Hodes" w:hint="cs"/>
          <w:rtl/>
        </w:rPr>
        <w:t xml:space="preserve"> ד"ה אלא דאכתי) </w:t>
      </w:r>
      <w:r w:rsidRPr="00B06D6B">
        <w:rPr>
          <w:rFonts w:hint="cs"/>
          <w:rtl/>
        </w:rPr>
        <w:t>דכ"מ שאפשר לבאר כן רק אי נימא דהיתר בן פקועה הוא כיון דחשיב שנשחט בשחיטת אמו, כאילו נעשה בו מעשה שחיטה, ולכן אפש"ל דאין לו תקנה כיון שלא נעשה בו המעשה בבת אחת, אבל אי נימא דהביאור בהיתר בן פקועה, אינו מחמת שנשחט בשחיטת אמו, אלא דדינו כדגים שא"צ שחיטה, א"כ לא שייך פסול שהי</w:t>
      </w:r>
      <w:r>
        <w:rPr>
          <w:rFonts w:hint="cs"/>
          <w:rtl/>
        </w:rPr>
        <w:t>י</w:t>
      </w:r>
      <w:r w:rsidRPr="00B06D6B">
        <w:rPr>
          <w:rFonts w:hint="cs"/>
          <w:rtl/>
        </w:rPr>
        <w:t>ה בזה כלל, דההיתר שיש בו מצד אביו אינו מחמת שהסימן הראשון שלו הוא שחוט, אלא דהסימן הראשון א"צ שחיטה כלל, וא"כ רק הסימן השני נשחט בשחיטת עצמו, ובשחיטה הזו לא שהה.</w:t>
      </w:r>
    </w:p>
    <w:p w14:paraId="3E89B497" w14:textId="77777777" w:rsidR="003D504D" w:rsidRPr="00B06D6B" w:rsidRDefault="003D504D" w:rsidP="003D504D">
      <w:pPr>
        <w:pStyle w:val="a3"/>
        <w:rPr>
          <w:rtl/>
        </w:rPr>
      </w:pPr>
      <w:bookmarkStart w:id="19385" w:name="_Toc1039507"/>
      <w:bookmarkStart w:id="19386" w:name="_Toc1040757"/>
      <w:bookmarkStart w:id="19387" w:name="_Toc1063633"/>
      <w:bookmarkStart w:id="19388" w:name="_Toc1112073"/>
      <w:bookmarkStart w:id="19389" w:name="_Toc1123941"/>
      <w:bookmarkStart w:id="19390" w:name="_Toc19391458"/>
      <w:bookmarkStart w:id="19391" w:name="_Toc19394955"/>
      <w:r>
        <w:rPr>
          <w:rFonts w:hint="cs"/>
          <w:rtl/>
        </w:rPr>
        <w:t>קושית הגרא"ו דאף אי היתר בן פקועה דהוא כשחוט קשה דחציו הותר בשחיטה כשרה</w:t>
      </w:r>
      <w:bookmarkEnd w:id="19385"/>
      <w:bookmarkEnd w:id="19386"/>
      <w:bookmarkEnd w:id="19387"/>
      <w:bookmarkEnd w:id="19388"/>
      <w:bookmarkEnd w:id="19389"/>
      <w:bookmarkEnd w:id="19390"/>
      <w:bookmarkEnd w:id="19391"/>
    </w:p>
    <w:p w14:paraId="43E1E8F6" w14:textId="77777777" w:rsidR="003D504D" w:rsidRPr="00B06D6B" w:rsidRDefault="003D504D" w:rsidP="00223668">
      <w:pPr>
        <w:pStyle w:val="a0"/>
        <w:rPr>
          <w:rtl/>
        </w:rPr>
      </w:pPr>
      <w:r w:rsidRPr="00B06D6B">
        <w:rPr>
          <w:rFonts w:hint="cs"/>
          <w:rtl/>
        </w:rPr>
        <w:t xml:space="preserve">וכתב </w:t>
      </w:r>
      <w:r w:rsidRPr="00B06D6B">
        <w:rPr>
          <w:rStyle w:val="af9"/>
          <w:rFonts w:hint="cs"/>
          <w:rtl/>
        </w:rPr>
        <w:t>הגרא"ו</w:t>
      </w:r>
      <w:r w:rsidRPr="00B06D6B">
        <w:rPr>
          <w:rFonts w:hint="cs"/>
          <w:rtl/>
        </w:rPr>
        <w:t xml:space="preserve"> </w:t>
      </w:r>
      <w:r w:rsidRPr="004304CE">
        <w:rPr>
          <w:rStyle w:val="af7"/>
          <w:rFonts w:eastAsia="Guttman Hodes" w:hint="cs"/>
          <w:rtl/>
        </w:rPr>
        <w:t xml:space="preserve">(בספר קובץ ענינים לעיל לב: ד"ה ולצד) </w:t>
      </w:r>
      <w:r w:rsidRPr="00B06D6B">
        <w:rPr>
          <w:rFonts w:hint="cs"/>
          <w:rtl/>
        </w:rPr>
        <w:t>דאף להצד דהיתר בן פקועה הוא דחשיב שנשחט בשחיטת אמו, ג"כ יש להקשות, דכיון דכשאביו של הולד נשחט בשחיטת אמו, הייתה שחיטה כשרה, וממילא יש היתר על הבן פקועה דהוא חשיב כשחוט, א"כ א"א לומר שיש מעשה שחיטה, שאפשר לפוסלו מדין שה</w:t>
      </w:r>
      <w:r>
        <w:rPr>
          <w:rFonts w:hint="cs"/>
          <w:rtl/>
        </w:rPr>
        <w:t>י</w:t>
      </w:r>
      <w:r w:rsidRPr="00B06D6B">
        <w:rPr>
          <w:rFonts w:hint="cs"/>
          <w:rtl/>
        </w:rPr>
        <w:t xml:space="preserve">יה. </w:t>
      </w:r>
    </w:p>
    <w:p w14:paraId="4CB2F29E" w14:textId="77777777" w:rsidR="003D504D" w:rsidRPr="00B06D6B" w:rsidRDefault="003D504D" w:rsidP="003D504D">
      <w:pPr>
        <w:pStyle w:val="a3"/>
        <w:rPr>
          <w:rtl/>
        </w:rPr>
      </w:pPr>
      <w:bookmarkStart w:id="19392" w:name="_Toc1039508"/>
      <w:bookmarkStart w:id="19393" w:name="_Toc1040758"/>
      <w:bookmarkStart w:id="19394" w:name="_Toc1063634"/>
      <w:bookmarkStart w:id="19395" w:name="_Toc1112074"/>
      <w:bookmarkStart w:id="19396" w:name="_Toc1123942"/>
      <w:bookmarkStart w:id="19397" w:name="_Toc19391459"/>
      <w:bookmarkStart w:id="19398" w:name="_Toc19394956"/>
      <w:r>
        <w:rPr>
          <w:rFonts w:hint="cs"/>
          <w:rtl/>
        </w:rPr>
        <w:t>ביאור הגרא"ו דפסול שהייה הוא בכל מקום שלא חל ההיתר בבת אחת</w:t>
      </w:r>
      <w:bookmarkEnd w:id="19392"/>
      <w:bookmarkEnd w:id="19393"/>
      <w:bookmarkEnd w:id="19394"/>
      <w:bookmarkEnd w:id="19395"/>
      <w:bookmarkEnd w:id="19396"/>
      <w:bookmarkEnd w:id="19397"/>
      <w:bookmarkEnd w:id="19398"/>
    </w:p>
    <w:p w14:paraId="08127BA8" w14:textId="77777777" w:rsidR="003D504D" w:rsidRPr="00B06D6B" w:rsidRDefault="003D504D" w:rsidP="00223668">
      <w:pPr>
        <w:pStyle w:val="a0"/>
        <w:rPr>
          <w:rtl/>
        </w:rPr>
      </w:pPr>
      <w:r w:rsidRPr="00B06D6B">
        <w:rPr>
          <w:rFonts w:hint="cs"/>
          <w:rtl/>
        </w:rPr>
        <w:t xml:space="preserve">אלא כתב </w:t>
      </w:r>
      <w:r w:rsidRPr="00B06D6B">
        <w:rPr>
          <w:rStyle w:val="af9"/>
          <w:rFonts w:hint="cs"/>
          <w:rtl/>
        </w:rPr>
        <w:t>הגרא"ו</w:t>
      </w:r>
      <w:r w:rsidRPr="00B06D6B">
        <w:rPr>
          <w:rFonts w:hint="cs"/>
          <w:rtl/>
        </w:rPr>
        <w:t xml:space="preserve"> </w:t>
      </w:r>
      <w:r w:rsidRPr="004304CE">
        <w:rPr>
          <w:rStyle w:val="af7"/>
          <w:rFonts w:eastAsia="Guttman Hodes" w:hint="cs"/>
          <w:rtl/>
        </w:rPr>
        <w:t>(בספר קובץ ענינים לעיל לב: ד"ה לכן נראה, ו</w:t>
      </w:r>
      <w:r w:rsidRPr="004304CE">
        <w:rPr>
          <w:rStyle w:val="af7"/>
          <w:rFonts w:eastAsia="Guttman Hodes"/>
          <w:rtl/>
        </w:rPr>
        <w:t>ב</w:t>
      </w:r>
      <w:r w:rsidRPr="004304CE">
        <w:rPr>
          <w:rStyle w:val="af7"/>
          <w:rFonts w:eastAsia="Guttman Hodes" w:hint="cs"/>
          <w:rtl/>
        </w:rPr>
        <w:t>ספר</w:t>
      </w:r>
      <w:r w:rsidRPr="004304CE">
        <w:rPr>
          <w:rStyle w:val="af7"/>
          <w:rFonts w:eastAsia="Guttman Hodes"/>
          <w:rtl/>
        </w:rPr>
        <w:t xml:space="preserve"> שיעורי הגר"א וסרמן חולין סי' ו' אות א'</w:t>
      </w:r>
      <w:r w:rsidRPr="004304CE">
        <w:rPr>
          <w:rStyle w:val="af7"/>
          <w:rFonts w:eastAsia="Guttman Hodes" w:hint="cs"/>
          <w:rtl/>
        </w:rPr>
        <w:t xml:space="preserve"> ד"ה ושמא יש)</w:t>
      </w:r>
      <w:r w:rsidRPr="00B06D6B">
        <w:rPr>
          <w:rFonts w:hint="cs"/>
          <w:rtl/>
        </w:rPr>
        <w:t xml:space="preserve"> דצריך לחדש דשה</w:t>
      </w:r>
      <w:r>
        <w:rPr>
          <w:rFonts w:hint="cs"/>
          <w:rtl/>
        </w:rPr>
        <w:t>י</w:t>
      </w:r>
      <w:r w:rsidRPr="00B06D6B">
        <w:rPr>
          <w:rFonts w:hint="cs"/>
          <w:rtl/>
        </w:rPr>
        <w:t xml:space="preserve">יה אינה פסול במעשה השחיטה, אלא שיש דין דשחיטה מתירה את הבהמה, רק במקום שההיתר </w:t>
      </w:r>
      <w:r>
        <w:rPr>
          <w:rFonts w:hint="cs"/>
          <w:rtl/>
        </w:rPr>
        <w:t>חל ב</w:t>
      </w:r>
      <w:r w:rsidRPr="00B06D6B">
        <w:rPr>
          <w:rFonts w:hint="cs"/>
          <w:rtl/>
        </w:rPr>
        <w:t>בת אחת, וכל ששהה במעשה השחיטה, א"א לצרף את ההיתר של החלק הראשון להיתר של החלק השני, וא"כ מבואר דולד של בן פקועה ובהמה מעלמא, אין לו תקנה, דההיתר ש</w:t>
      </w:r>
      <w:r>
        <w:rPr>
          <w:rFonts w:hint="cs"/>
          <w:rtl/>
        </w:rPr>
        <w:t>החלב</w:t>
      </w:r>
      <w:r w:rsidRPr="00B06D6B">
        <w:rPr>
          <w:rFonts w:hint="cs"/>
          <w:rtl/>
        </w:rPr>
        <w:t xml:space="preserve"> מכח אביו </w:t>
      </w:r>
      <w:r>
        <w:rPr>
          <w:rFonts w:hint="cs"/>
          <w:rtl/>
        </w:rPr>
        <w:t>חל ב</w:t>
      </w:r>
      <w:r w:rsidRPr="00B06D6B">
        <w:rPr>
          <w:rFonts w:hint="cs"/>
          <w:rtl/>
        </w:rPr>
        <w:t>שעה שנולד, ואילו ההיתר ש</w:t>
      </w:r>
      <w:r>
        <w:rPr>
          <w:rFonts w:hint="cs"/>
          <w:rtl/>
        </w:rPr>
        <w:t>חל ב</w:t>
      </w:r>
      <w:r w:rsidRPr="00B06D6B">
        <w:rPr>
          <w:rFonts w:hint="cs"/>
          <w:rtl/>
        </w:rPr>
        <w:t>ו מכח אמו כשנשחט בשחיטת עצמו, חל רק בשעת השחיטה, ולכן חשיב שהי</w:t>
      </w:r>
      <w:r>
        <w:rPr>
          <w:rFonts w:hint="cs"/>
          <w:rtl/>
        </w:rPr>
        <w:t>י</w:t>
      </w:r>
      <w:r w:rsidRPr="00B06D6B">
        <w:rPr>
          <w:rFonts w:hint="cs"/>
          <w:rtl/>
        </w:rPr>
        <w:t>ה כיון שלא חל ההיתר בבת אחת, ואין לך שה</w:t>
      </w:r>
      <w:r>
        <w:rPr>
          <w:rFonts w:hint="cs"/>
          <w:rtl/>
        </w:rPr>
        <w:t>י</w:t>
      </w:r>
      <w:r w:rsidRPr="00B06D6B">
        <w:rPr>
          <w:rFonts w:hint="cs"/>
          <w:rtl/>
        </w:rPr>
        <w:t>יה גדולה מזו.</w:t>
      </w:r>
    </w:p>
    <w:p w14:paraId="481E90DB" w14:textId="77777777" w:rsidR="003D504D" w:rsidRPr="00A22EE9" w:rsidRDefault="003D504D" w:rsidP="003D504D">
      <w:pPr>
        <w:pStyle w:val="afe"/>
        <w:rPr>
          <w:rtl/>
        </w:rPr>
      </w:pPr>
      <w:bookmarkStart w:id="19399" w:name="_Toc1039542"/>
      <w:bookmarkStart w:id="19400" w:name="_Toc1040785"/>
      <w:bookmarkStart w:id="19401" w:name="_Toc1063635"/>
      <w:bookmarkStart w:id="19402" w:name="_Toc1112075"/>
      <w:bookmarkStart w:id="19403" w:name="_Toc1123943"/>
      <w:bookmarkStart w:id="19404" w:name="_Toc19436145"/>
      <w:bookmarkStart w:id="19405" w:name="_Toc20081325"/>
      <w:bookmarkStart w:id="19406" w:name="_Toc519063"/>
      <w:bookmarkStart w:id="19407" w:name="_Toc725046"/>
      <w:bookmarkStart w:id="19408" w:name="_Toc773573"/>
      <w:bookmarkStart w:id="19409" w:name="_Toc955863"/>
      <w:bookmarkEnd w:id="19161"/>
      <w:bookmarkEnd w:id="19176"/>
      <w:bookmarkEnd w:id="19177"/>
      <w:bookmarkEnd w:id="19178"/>
      <w:bookmarkEnd w:id="19239"/>
      <w:bookmarkEnd w:id="19309"/>
      <w:bookmarkEnd w:id="19310"/>
      <w:bookmarkEnd w:id="19311"/>
      <w:bookmarkEnd w:id="19312"/>
      <w:bookmarkEnd w:id="19313"/>
      <w:bookmarkEnd w:id="19314"/>
      <w:r w:rsidRPr="00A22EE9">
        <w:rPr>
          <w:rFonts w:hint="cs"/>
          <w:rtl/>
        </w:rPr>
        <w:t>בספק הגמ' ב</w:t>
      </w:r>
      <w:r>
        <w:rPr>
          <w:rFonts w:hint="cs"/>
          <w:rtl/>
        </w:rPr>
        <w:t>דין חלב מכח אבר היוצא</w:t>
      </w:r>
      <w:bookmarkEnd w:id="19399"/>
      <w:bookmarkEnd w:id="19400"/>
      <w:bookmarkEnd w:id="19401"/>
      <w:bookmarkEnd w:id="19402"/>
      <w:bookmarkEnd w:id="19403"/>
      <w:bookmarkEnd w:id="19404"/>
      <w:bookmarkEnd w:id="19405"/>
    </w:p>
    <w:p w14:paraId="57A7FD92" w14:textId="77777777" w:rsidR="003D504D" w:rsidRPr="00A22EE9" w:rsidRDefault="003D504D" w:rsidP="00BF39B2">
      <w:pPr>
        <w:pStyle w:val="1"/>
        <w:rPr>
          <w:rtl/>
        </w:rPr>
      </w:pPr>
      <w:bookmarkStart w:id="19410" w:name="_Toc773575"/>
      <w:bookmarkStart w:id="19411" w:name="_Toc955865"/>
      <w:bookmarkStart w:id="19412" w:name="_Toc1039543"/>
      <w:bookmarkStart w:id="19413" w:name="_Toc1040786"/>
      <w:bookmarkStart w:id="19414" w:name="_Toc1063636"/>
      <w:bookmarkStart w:id="19415" w:name="_Toc1112076"/>
      <w:bookmarkStart w:id="19416" w:name="_Toc1123944"/>
      <w:bookmarkStart w:id="19417" w:name="_Toc19391460"/>
      <w:bookmarkStart w:id="19418" w:name="_Toc19394957"/>
      <w:bookmarkEnd w:id="19406"/>
      <w:bookmarkEnd w:id="19407"/>
      <w:bookmarkEnd w:id="19408"/>
      <w:bookmarkEnd w:id="19409"/>
      <w:r w:rsidRPr="00A22EE9">
        <w:rPr>
          <w:rFonts w:hint="cs"/>
          <w:rtl/>
        </w:rPr>
        <w:t xml:space="preserve">ביאור האבי עזרי בדין </w:t>
      </w:r>
      <w:r w:rsidRPr="00A22EE9">
        <w:rPr>
          <w:rtl/>
        </w:rPr>
        <w:t>ה</w:t>
      </w:r>
      <w:r>
        <w:rPr>
          <w:rtl/>
        </w:rPr>
        <w:t>חלב</w:t>
      </w:r>
      <w:r w:rsidRPr="00A22EE9">
        <w:rPr>
          <w:rFonts w:hint="cs"/>
          <w:rtl/>
        </w:rPr>
        <w:t xml:space="preserve"> והולד שבאו מכח האבר היוצא</w:t>
      </w:r>
      <w:bookmarkEnd w:id="19410"/>
      <w:bookmarkEnd w:id="19411"/>
      <w:bookmarkEnd w:id="19412"/>
      <w:bookmarkEnd w:id="19413"/>
      <w:bookmarkEnd w:id="19414"/>
      <w:bookmarkEnd w:id="19415"/>
      <w:bookmarkEnd w:id="19416"/>
      <w:bookmarkEnd w:id="19417"/>
      <w:bookmarkEnd w:id="19418"/>
    </w:p>
    <w:p w14:paraId="62B7A5F9" w14:textId="77777777" w:rsidR="003D504D" w:rsidRPr="00A22EE9" w:rsidRDefault="003D504D" w:rsidP="003D504D">
      <w:pPr>
        <w:pStyle w:val="a3"/>
        <w:rPr>
          <w:rtl/>
        </w:rPr>
      </w:pPr>
      <w:bookmarkStart w:id="19419" w:name="_Toc1039544"/>
      <w:bookmarkStart w:id="19420" w:name="_Toc1040787"/>
      <w:bookmarkStart w:id="19421" w:name="_Toc1063637"/>
      <w:bookmarkStart w:id="19422" w:name="_Toc1112077"/>
      <w:bookmarkStart w:id="19423" w:name="_Toc1123945"/>
      <w:bookmarkStart w:id="19424" w:name="_Toc19391461"/>
      <w:bookmarkStart w:id="19425" w:name="_Toc19394958"/>
      <w:r>
        <w:rPr>
          <w:rFonts w:hint="cs"/>
          <w:rtl/>
        </w:rPr>
        <w:t>דברי האבי עזרי דהחלב חשיב כאבר מן החי ממש וחלב הבא מאבר היוצא דינו כאבר עצמו</w:t>
      </w:r>
      <w:bookmarkEnd w:id="19419"/>
      <w:bookmarkEnd w:id="19420"/>
      <w:bookmarkEnd w:id="19421"/>
      <w:bookmarkEnd w:id="19422"/>
      <w:bookmarkEnd w:id="19423"/>
      <w:bookmarkEnd w:id="19424"/>
      <w:bookmarkEnd w:id="19425"/>
    </w:p>
    <w:p w14:paraId="3A673CCA" w14:textId="77777777" w:rsidR="003D504D" w:rsidRPr="00A22EE9" w:rsidRDefault="003D504D" w:rsidP="00223668">
      <w:pPr>
        <w:pStyle w:val="a0"/>
        <w:rPr>
          <w:rtl/>
        </w:rPr>
      </w:pPr>
      <w:bookmarkStart w:id="19426" w:name="_Ref1061961"/>
      <w:r>
        <w:rPr>
          <w:rFonts w:hint="cs"/>
          <w:rtl/>
        </w:rPr>
        <w:t>בהא דאיתא בגמ' ד</w:t>
      </w:r>
      <w:r w:rsidRPr="00A22EE9">
        <w:rPr>
          <w:rFonts w:hint="cs"/>
          <w:rtl/>
        </w:rPr>
        <w:t>הולד עצמו</w:t>
      </w:r>
      <w:r>
        <w:rPr>
          <w:rFonts w:hint="cs"/>
          <w:rtl/>
        </w:rPr>
        <w:t xml:space="preserve"> שבא מכח אבר היוצא</w:t>
      </w:r>
      <w:r w:rsidRPr="00A22EE9">
        <w:rPr>
          <w:rFonts w:hint="cs"/>
          <w:rtl/>
        </w:rPr>
        <w:t>,</w:t>
      </w:r>
      <w:r>
        <w:rPr>
          <w:rFonts w:hint="cs"/>
          <w:rtl/>
        </w:rPr>
        <w:t xml:space="preserve"> מותר</w:t>
      </w:r>
      <w:r w:rsidRPr="00A22EE9">
        <w:rPr>
          <w:rFonts w:hint="cs"/>
          <w:rtl/>
        </w:rPr>
        <w:t xml:space="preserve"> דכל מכח לא אמרינן, </w:t>
      </w:r>
      <w:r>
        <w:rPr>
          <w:rFonts w:hint="cs"/>
          <w:rtl/>
        </w:rPr>
        <w:t>אבל לענין חלב שבא מכח האבר היוצא מסתפקת הגמ' אי מותר או אסור</w:t>
      </w:r>
      <w:r w:rsidRPr="00A22EE9">
        <w:rPr>
          <w:rFonts w:hint="cs"/>
          <w:rtl/>
        </w:rPr>
        <w:t xml:space="preserve">, </w:t>
      </w:r>
      <w:r>
        <w:rPr>
          <w:rFonts w:hint="cs"/>
          <w:rtl/>
        </w:rPr>
        <w:t>ביאר</w:t>
      </w:r>
      <w:r w:rsidRPr="00A22EE9">
        <w:rPr>
          <w:rFonts w:hint="cs"/>
          <w:rtl/>
        </w:rPr>
        <w:t xml:space="preserve"> </w:t>
      </w:r>
      <w:r w:rsidRPr="00A22EE9">
        <w:rPr>
          <w:rStyle w:val="af9"/>
          <w:rFonts w:hint="cs"/>
          <w:rtl/>
        </w:rPr>
        <w:t xml:space="preserve">האבי עזרי </w:t>
      </w:r>
      <w:r w:rsidRPr="004304CE">
        <w:rPr>
          <w:rStyle w:val="af7"/>
          <w:rFonts w:eastAsia="Guttman Hodes"/>
          <w:rtl/>
        </w:rPr>
        <w:t xml:space="preserve">(מאכ"א פ"ג ה"ה ד"ה </w:t>
      </w:r>
      <w:r w:rsidRPr="004304CE">
        <w:rPr>
          <w:rStyle w:val="af7"/>
          <w:rFonts w:eastAsia="Guttman Hodes" w:hint="cs"/>
          <w:rtl/>
        </w:rPr>
        <w:t>אולם)</w:t>
      </w:r>
      <w:r w:rsidRPr="00A22EE9">
        <w:rPr>
          <w:rFonts w:hint="cs"/>
          <w:rtl/>
        </w:rPr>
        <w:t xml:space="preserve"> ד</w:t>
      </w:r>
      <w:r>
        <w:rPr>
          <w:rFonts w:hint="cs"/>
          <w:rtl/>
        </w:rPr>
        <w:t>ה</w:t>
      </w:r>
      <w:r w:rsidRPr="00A22EE9">
        <w:rPr>
          <w:rFonts w:hint="cs"/>
          <w:rtl/>
        </w:rPr>
        <w:t>חילוק</w:t>
      </w:r>
      <w:r>
        <w:rPr>
          <w:rFonts w:hint="cs"/>
          <w:rtl/>
        </w:rPr>
        <w:t xml:space="preserve"> הוא ד</w:t>
      </w:r>
      <w:r w:rsidRPr="00A22EE9">
        <w:rPr>
          <w:rFonts w:hint="cs"/>
          <w:rtl/>
        </w:rPr>
        <w:t>ולד שבא מכח איסור</w:t>
      </w:r>
      <w:r>
        <w:rPr>
          <w:rFonts w:hint="cs"/>
          <w:rtl/>
        </w:rPr>
        <w:t xml:space="preserve">, א"כ </w:t>
      </w:r>
      <w:r w:rsidRPr="00A22EE9">
        <w:rPr>
          <w:rFonts w:hint="cs"/>
          <w:rtl/>
        </w:rPr>
        <w:t>איסורו הוא באיסור יוצא</w:t>
      </w:r>
      <w:r>
        <w:rPr>
          <w:rFonts w:hint="cs"/>
          <w:rtl/>
        </w:rPr>
        <w:t xml:space="preserve"> מן הטמא</w:t>
      </w:r>
      <w:r w:rsidRPr="00A22EE9">
        <w:rPr>
          <w:rFonts w:hint="cs"/>
          <w:rtl/>
        </w:rPr>
        <w:t xml:space="preserve">, </w:t>
      </w:r>
      <w:r>
        <w:rPr>
          <w:rFonts w:hint="cs"/>
          <w:rtl/>
        </w:rPr>
        <w:t xml:space="preserve">אבל </w:t>
      </w:r>
      <w:r w:rsidRPr="00A22EE9">
        <w:rPr>
          <w:rFonts w:hint="cs"/>
          <w:rtl/>
        </w:rPr>
        <w:t>ה</w:t>
      </w:r>
      <w:r>
        <w:rPr>
          <w:rtl/>
        </w:rPr>
        <w:t>חלב</w:t>
      </w:r>
      <w:r>
        <w:rPr>
          <w:rFonts w:hint="cs"/>
          <w:rtl/>
        </w:rPr>
        <w:t xml:space="preserve"> אינו חשיב רק כיוצא מן החי, אלא ד</w:t>
      </w:r>
      <w:r w:rsidRPr="00A22EE9">
        <w:rPr>
          <w:rFonts w:hint="cs"/>
          <w:rtl/>
        </w:rPr>
        <w:t>לענין אבר מן החי ה</w:t>
      </w:r>
      <w:r>
        <w:rPr>
          <w:rtl/>
        </w:rPr>
        <w:t>חלב</w:t>
      </w:r>
      <w:r w:rsidRPr="00A22EE9">
        <w:rPr>
          <w:rFonts w:hint="cs"/>
          <w:rtl/>
        </w:rPr>
        <w:t xml:space="preserve"> נקרא אבר מן החי ממש, </w:t>
      </w:r>
      <w:r w:rsidRPr="00A22EE9">
        <w:rPr>
          <w:rStyle w:val="afb"/>
          <w:rFonts w:hint="cs"/>
          <w:rtl/>
        </w:rPr>
        <w:t xml:space="preserve">[כלשון הגמ' בבכורות </w:t>
      </w:r>
      <w:r w:rsidRPr="00A22EE9">
        <w:rPr>
          <w:rStyle w:val="aff6"/>
          <w:rFonts w:hint="cs"/>
          <w:rtl/>
        </w:rPr>
        <w:t>(ו:)</w:t>
      </w:r>
      <w:r w:rsidRPr="00A22EE9">
        <w:rPr>
          <w:rStyle w:val="afb"/>
          <w:rFonts w:hint="cs"/>
          <w:rtl/>
        </w:rPr>
        <w:t xml:space="preserve">], </w:t>
      </w:r>
      <w:r>
        <w:rPr>
          <w:rFonts w:hint="cs"/>
          <w:rtl/>
        </w:rPr>
        <w:t>וא"כ</w:t>
      </w:r>
      <w:r w:rsidRPr="00A22EE9">
        <w:rPr>
          <w:rFonts w:hint="cs"/>
          <w:rtl/>
        </w:rPr>
        <w:t xml:space="preserve"> כשיש בבהמה אבר אחד שאסור מדין אבר מן החי, ממילא יש ב</w:t>
      </w:r>
      <w:r>
        <w:rPr>
          <w:rtl/>
        </w:rPr>
        <w:t>חלב</w:t>
      </w:r>
      <w:r w:rsidRPr="00A22EE9">
        <w:rPr>
          <w:rFonts w:hint="cs"/>
          <w:rtl/>
        </w:rPr>
        <w:t xml:space="preserve"> ג"כ חלק שיצא מהאבר, </w:t>
      </w:r>
      <w:r>
        <w:rPr>
          <w:rFonts w:hint="cs"/>
          <w:rtl/>
        </w:rPr>
        <w:t>ויש ב</w:t>
      </w:r>
      <w:r>
        <w:rPr>
          <w:rtl/>
        </w:rPr>
        <w:t>חלב</w:t>
      </w:r>
      <w:r w:rsidRPr="00A22EE9">
        <w:rPr>
          <w:rFonts w:hint="cs"/>
          <w:rtl/>
        </w:rPr>
        <w:t xml:space="preserve"> </w:t>
      </w:r>
      <w:r>
        <w:rPr>
          <w:rFonts w:hint="cs"/>
          <w:rtl/>
        </w:rPr>
        <w:t>עצמו את הדין</w:t>
      </w:r>
      <w:r w:rsidRPr="00A22EE9">
        <w:rPr>
          <w:rFonts w:hint="cs"/>
          <w:rtl/>
        </w:rPr>
        <w:t xml:space="preserve"> </w:t>
      </w:r>
      <w:r>
        <w:rPr>
          <w:rFonts w:hint="cs"/>
          <w:rtl/>
        </w:rPr>
        <w:t xml:space="preserve">אבר מן החי </w:t>
      </w:r>
      <w:r w:rsidRPr="00A22EE9">
        <w:rPr>
          <w:rFonts w:hint="cs"/>
          <w:rtl/>
        </w:rPr>
        <w:t>שיש באבר</w:t>
      </w:r>
      <w:r>
        <w:rPr>
          <w:rFonts w:hint="cs"/>
          <w:rtl/>
        </w:rPr>
        <w:t>, ד</w:t>
      </w:r>
      <w:r w:rsidRPr="00A22EE9">
        <w:rPr>
          <w:rFonts w:hint="cs"/>
          <w:rtl/>
        </w:rPr>
        <w:t>ה</w:t>
      </w:r>
      <w:r>
        <w:rPr>
          <w:rtl/>
        </w:rPr>
        <w:t>חלב</w:t>
      </w:r>
      <w:r w:rsidRPr="00A22EE9">
        <w:rPr>
          <w:rFonts w:hint="cs"/>
          <w:rtl/>
        </w:rPr>
        <w:t xml:space="preserve"> נקרא אבר מן החי ממש</w:t>
      </w:r>
      <w:r>
        <w:rPr>
          <w:rFonts w:hint="cs"/>
          <w:rtl/>
        </w:rPr>
        <w:t>, ובזה מסתפקת הגמ'</w:t>
      </w:r>
      <w:r w:rsidRPr="00A22EE9">
        <w:rPr>
          <w:rFonts w:hint="cs"/>
          <w:rtl/>
        </w:rPr>
        <w:t xml:space="preserve"> אי ההיתר בכל </w:t>
      </w:r>
      <w:r>
        <w:rPr>
          <w:rtl/>
        </w:rPr>
        <w:t>חלב</w:t>
      </w:r>
      <w:r w:rsidRPr="00A22EE9">
        <w:rPr>
          <w:rFonts w:hint="cs"/>
          <w:rtl/>
        </w:rPr>
        <w:t xml:space="preserve"> מן החי, מהני גם בבהמה שיש לה אבר שאסור באיסור יוצא, או דכיון שאין לה תקנה בשחיטה לא מהני לה ההיתר.</w:t>
      </w:r>
      <w:bookmarkEnd w:id="19426"/>
    </w:p>
    <w:p w14:paraId="2593EA79" w14:textId="77777777" w:rsidR="003D504D" w:rsidRPr="00A22EE9" w:rsidRDefault="003D504D" w:rsidP="003D504D">
      <w:pPr>
        <w:pStyle w:val="a3"/>
        <w:rPr>
          <w:rtl/>
        </w:rPr>
      </w:pPr>
      <w:bookmarkStart w:id="19427" w:name="_Toc1039545"/>
      <w:bookmarkStart w:id="19428" w:name="_Toc1040788"/>
      <w:bookmarkStart w:id="19429" w:name="_Toc1063638"/>
      <w:bookmarkStart w:id="19430" w:name="_Toc1112078"/>
      <w:bookmarkStart w:id="19431" w:name="_Toc1123946"/>
      <w:bookmarkStart w:id="19432" w:name="_Toc19391462"/>
      <w:bookmarkStart w:id="19433" w:name="_Toc19394959"/>
      <w:r>
        <w:rPr>
          <w:rFonts w:hint="cs"/>
          <w:rtl/>
        </w:rPr>
        <w:t>ביאור האבי עזרי דבולד שבא מכח אבר היוצא יש רק איסור יוצא מן הטמא וכל מכח לא אמרינן</w:t>
      </w:r>
      <w:bookmarkEnd w:id="19427"/>
      <w:bookmarkEnd w:id="19428"/>
      <w:bookmarkEnd w:id="19429"/>
      <w:bookmarkEnd w:id="19430"/>
      <w:bookmarkEnd w:id="19431"/>
      <w:bookmarkEnd w:id="19432"/>
      <w:bookmarkEnd w:id="19433"/>
    </w:p>
    <w:p w14:paraId="3696FCAC" w14:textId="77777777" w:rsidR="003D504D" w:rsidRPr="00A22EE9" w:rsidRDefault="003D504D" w:rsidP="00223668">
      <w:pPr>
        <w:pStyle w:val="a0"/>
        <w:rPr>
          <w:rtl/>
        </w:rPr>
      </w:pPr>
      <w:r w:rsidRPr="00A22EE9">
        <w:rPr>
          <w:rFonts w:hint="cs"/>
          <w:rtl/>
        </w:rPr>
        <w:t xml:space="preserve">אבל בולד עצמו שנולד מבהמה שיש בה אבר שאסור באיסור יוצא, ביאר </w:t>
      </w:r>
      <w:r w:rsidRPr="00A22EE9">
        <w:rPr>
          <w:rStyle w:val="af9"/>
          <w:rFonts w:hint="cs"/>
          <w:rtl/>
        </w:rPr>
        <w:t>האבי עזרי</w:t>
      </w:r>
      <w:r w:rsidRPr="00A22EE9">
        <w:rPr>
          <w:rFonts w:hint="cs"/>
          <w:rtl/>
        </w:rPr>
        <w:t xml:space="preserve"> דכיון שהולד הוא רק יוצא מן הטמא, אך אינו חלק מהאם ממש, ולכן אף כשיש באם אבר שאסור באיסור יוצא, מ"מ הולד הוא רק בא מכח אותו האבר, והדין הוא דכל מכח לא אמרינן</w:t>
      </w:r>
      <w:r>
        <w:rPr>
          <w:rFonts w:hint="cs"/>
          <w:rtl/>
        </w:rPr>
        <w:t xml:space="preserve">, ועי' בדברי </w:t>
      </w:r>
      <w:r w:rsidRPr="00456459">
        <w:rPr>
          <w:rStyle w:val="af9"/>
          <w:rFonts w:hint="cs"/>
          <w:rtl/>
        </w:rPr>
        <w:t>הט"ז</w:t>
      </w:r>
      <w:r>
        <w:rPr>
          <w:rFonts w:hint="cs"/>
          <w:rtl/>
        </w:rPr>
        <w:t xml:space="preserve"> </w:t>
      </w:r>
      <w:r w:rsidRPr="00456459">
        <w:rPr>
          <w:rStyle w:val="af7"/>
          <w:rFonts w:eastAsia="Guttman Hodes" w:hint="cs"/>
          <w:rtl/>
        </w:rPr>
        <w:t xml:space="preserve">(עי' אות </w:t>
      </w:r>
      <w:r w:rsidRPr="00456459">
        <w:rPr>
          <w:rStyle w:val="af7"/>
          <w:rFonts w:eastAsia="Guttman Hodes"/>
          <w:rtl/>
        </w:rPr>
        <w:fldChar w:fldCharType="begin"/>
      </w:r>
      <w:r w:rsidRPr="00456459">
        <w:rPr>
          <w:rStyle w:val="af7"/>
          <w:rFonts w:eastAsia="Guttman Hodes"/>
          <w:rtl/>
        </w:rPr>
        <w:instrText xml:space="preserve"> </w:instrText>
      </w:r>
      <w:r w:rsidRPr="00456459">
        <w:rPr>
          <w:rStyle w:val="af7"/>
          <w:rFonts w:eastAsia="Guttman Hodes" w:hint="cs"/>
        </w:rPr>
        <w:instrText>REF</w:instrText>
      </w:r>
      <w:r w:rsidRPr="00456459">
        <w:rPr>
          <w:rStyle w:val="af7"/>
          <w:rFonts w:eastAsia="Guttman Hodes" w:hint="cs"/>
          <w:rtl/>
        </w:rPr>
        <w:instrText xml:space="preserve"> _</w:instrText>
      </w:r>
      <w:r w:rsidRPr="00456459">
        <w:rPr>
          <w:rStyle w:val="af7"/>
          <w:rFonts w:eastAsia="Guttman Hodes" w:hint="cs"/>
        </w:rPr>
        <w:instrText>Ref1062495 \r \h</w:instrText>
      </w:r>
      <w:r w:rsidRPr="00456459">
        <w:rPr>
          <w:rStyle w:val="af7"/>
          <w:rFonts w:eastAsia="Guttman Hodes"/>
          <w:rtl/>
        </w:rPr>
        <w:instrText xml:space="preserve"> </w:instrText>
      </w:r>
      <w:r w:rsidRPr="00456459">
        <w:rPr>
          <w:rStyle w:val="af7"/>
          <w:rFonts w:eastAsia="Guttman Hodes"/>
          <w:rtl/>
        </w:rPr>
      </w:r>
      <w:r w:rsidRPr="00456459">
        <w:rPr>
          <w:rStyle w:val="af7"/>
          <w:rFonts w:eastAsia="Guttman Hodes"/>
          <w:rtl/>
        </w:rPr>
        <w:fldChar w:fldCharType="separate"/>
      </w:r>
      <w:r w:rsidR="00345400">
        <w:rPr>
          <w:rStyle w:val="af7"/>
          <w:rFonts w:eastAsia="Guttman Hodes"/>
          <w:cs/>
        </w:rPr>
        <w:t>‎</w:t>
      </w:r>
      <w:r w:rsidR="00345400">
        <w:rPr>
          <w:rStyle w:val="af7"/>
          <w:rFonts w:eastAsia="Guttman Hodes"/>
          <w:rtl/>
        </w:rPr>
        <w:t>סה)</w:t>
      </w:r>
      <w:r w:rsidRPr="00456459">
        <w:rPr>
          <w:rStyle w:val="af7"/>
          <w:rFonts w:eastAsia="Guttman Hodes"/>
          <w:rtl/>
        </w:rPr>
        <w:fldChar w:fldCharType="end"/>
      </w:r>
      <w:r w:rsidRPr="00A22EE9">
        <w:rPr>
          <w:rFonts w:hint="cs"/>
          <w:rtl/>
        </w:rPr>
        <w:t>.</w:t>
      </w:r>
    </w:p>
    <w:p w14:paraId="59682EB8" w14:textId="77777777" w:rsidR="003D504D" w:rsidRPr="00A22EE9" w:rsidRDefault="003D504D" w:rsidP="003D504D">
      <w:pPr>
        <w:pStyle w:val="a3"/>
        <w:rPr>
          <w:rtl/>
        </w:rPr>
      </w:pPr>
      <w:bookmarkStart w:id="19434" w:name="_Toc1040789"/>
      <w:bookmarkStart w:id="19435" w:name="_Toc1063639"/>
      <w:bookmarkStart w:id="19436" w:name="_Toc1112079"/>
      <w:bookmarkStart w:id="19437" w:name="_Toc1123947"/>
      <w:bookmarkStart w:id="19438" w:name="_Toc19391463"/>
      <w:bookmarkStart w:id="19439" w:name="_Toc19394960"/>
      <w:r>
        <w:rPr>
          <w:rFonts w:hint="cs"/>
          <w:rtl/>
        </w:rPr>
        <w:t>דברי האבי עזרי דהולד אינו אסור מדין יוצא מהחי ומדין יוצא מן הטמא כל מכח לא אמרינן</w:t>
      </w:r>
      <w:bookmarkEnd w:id="19434"/>
      <w:bookmarkEnd w:id="19435"/>
      <w:bookmarkEnd w:id="19436"/>
      <w:bookmarkEnd w:id="19437"/>
      <w:bookmarkEnd w:id="19438"/>
      <w:bookmarkEnd w:id="19439"/>
    </w:p>
    <w:p w14:paraId="0CD539B0" w14:textId="77777777" w:rsidR="003D504D" w:rsidRPr="00A22EE9" w:rsidRDefault="003D504D" w:rsidP="00223668">
      <w:pPr>
        <w:pStyle w:val="a0"/>
        <w:rPr>
          <w:rtl/>
        </w:rPr>
      </w:pPr>
      <w:r w:rsidRPr="00A22EE9">
        <w:rPr>
          <w:rFonts w:hint="cs"/>
          <w:rtl/>
        </w:rPr>
        <w:t xml:space="preserve">וביאר </w:t>
      </w:r>
      <w:r w:rsidRPr="00A22EE9">
        <w:rPr>
          <w:rStyle w:val="af9"/>
          <w:rFonts w:hint="cs"/>
          <w:rtl/>
        </w:rPr>
        <w:t>האבי עזרי</w:t>
      </w:r>
      <w:r w:rsidRPr="00A22EE9">
        <w:rPr>
          <w:rFonts w:hint="cs"/>
          <w:rtl/>
        </w:rPr>
        <w:t xml:space="preserve"> דלאבר היוצא יש ג"כ היתר בן פקועה, כדמוכח מהא דשחיטת אמו מטהרתו, כדעת רבנן במתני' לקמן</w:t>
      </w:r>
      <w:r w:rsidRPr="004304CE">
        <w:rPr>
          <w:rStyle w:val="af7"/>
          <w:rFonts w:eastAsia="Guttman Hodes" w:hint="cs"/>
          <w:rtl/>
        </w:rPr>
        <w:t xml:space="preserve"> (עב:)</w:t>
      </w:r>
      <w:r>
        <w:rPr>
          <w:rFonts w:hint="cs"/>
          <w:rtl/>
        </w:rPr>
        <w:t xml:space="preserve">, </w:t>
      </w:r>
      <w:r w:rsidRPr="00A22EE9">
        <w:rPr>
          <w:rFonts w:hint="cs"/>
          <w:rtl/>
        </w:rPr>
        <w:t>אלא שיש בו איסור של אבר היוצר, ולכן הולד שנולד מבהמה שיש בה אבר שאסור באיסור יוצא, א"א לאוסרו מדין יוצא מן החי, דהרי כל בן פקועה הוא חי, ואפ"ה התירתו תורה, ובולד עצמו אין איסור של יוצא, דהא לא יצא חוץ למחיצתו, וכל איסורו הוא מדין יוצא מן הטמא, שבא מכח האבר היוצא, ולכן הוא מותר דכל מכח לא אמרינן.</w:t>
      </w:r>
    </w:p>
    <w:p w14:paraId="6B12DD8A" w14:textId="77777777" w:rsidR="003D504D" w:rsidRPr="00A22EE9" w:rsidRDefault="003D504D" w:rsidP="003D504D">
      <w:pPr>
        <w:pStyle w:val="a3"/>
        <w:rPr>
          <w:rtl/>
        </w:rPr>
      </w:pPr>
      <w:bookmarkStart w:id="19440" w:name="_Toc1040790"/>
      <w:bookmarkStart w:id="19441" w:name="_Toc1063640"/>
      <w:bookmarkStart w:id="19442" w:name="_Toc1112080"/>
      <w:bookmarkStart w:id="19443" w:name="_Toc1123948"/>
      <w:bookmarkStart w:id="19444" w:name="_Toc19391464"/>
      <w:bookmarkStart w:id="19445" w:name="_Toc19394961"/>
      <w:r>
        <w:rPr>
          <w:rFonts w:hint="cs"/>
          <w:rtl/>
        </w:rPr>
        <w:t>דברי האבי עזרי דבחלב אין את היתר בן פקועה ושייך בו איסור אבר מן החי</w:t>
      </w:r>
      <w:bookmarkEnd w:id="19440"/>
      <w:bookmarkEnd w:id="19441"/>
      <w:bookmarkEnd w:id="19442"/>
      <w:bookmarkEnd w:id="19443"/>
      <w:bookmarkEnd w:id="19444"/>
      <w:bookmarkEnd w:id="19445"/>
    </w:p>
    <w:p w14:paraId="4DC9F7B6" w14:textId="77777777" w:rsidR="003D504D" w:rsidRPr="00A22EE9" w:rsidRDefault="003D504D" w:rsidP="00223668">
      <w:pPr>
        <w:pStyle w:val="a0"/>
      </w:pPr>
      <w:r w:rsidRPr="00A22EE9">
        <w:rPr>
          <w:rFonts w:hint="cs"/>
          <w:rtl/>
        </w:rPr>
        <w:t>אבל ב</w:t>
      </w:r>
      <w:r>
        <w:rPr>
          <w:rtl/>
        </w:rPr>
        <w:t>חלב</w:t>
      </w:r>
      <w:r w:rsidRPr="00A22EE9">
        <w:rPr>
          <w:rFonts w:hint="cs"/>
          <w:rtl/>
        </w:rPr>
        <w:t xml:space="preserve"> ביאר </w:t>
      </w:r>
      <w:r w:rsidRPr="00A22EE9">
        <w:rPr>
          <w:rStyle w:val="af9"/>
          <w:rFonts w:hint="cs"/>
          <w:rtl/>
        </w:rPr>
        <w:t>האבי עזרי</w:t>
      </w:r>
      <w:r w:rsidRPr="00A22EE9">
        <w:rPr>
          <w:rFonts w:hint="cs"/>
          <w:rtl/>
        </w:rPr>
        <w:t xml:space="preserve"> דכיון שהוא דבר נפרד מהבן פקועה, ולא נאמר בו ההיתר של הבן פקועה עצמו, </w:t>
      </w:r>
      <w:r w:rsidRPr="00A22EE9">
        <w:rPr>
          <w:rStyle w:val="afb"/>
          <w:rFonts w:hint="cs"/>
          <w:rtl/>
        </w:rPr>
        <w:t xml:space="preserve">[דאף שהוא חי התירתו תורה, וכל ההיתר שלו הוא ככל </w:t>
      </w:r>
      <w:r>
        <w:rPr>
          <w:rStyle w:val="afb"/>
          <w:rtl/>
        </w:rPr>
        <w:t>חלב</w:t>
      </w:r>
      <w:r w:rsidRPr="00A22EE9">
        <w:rPr>
          <w:rStyle w:val="afb"/>
          <w:rFonts w:hint="cs"/>
          <w:rtl/>
        </w:rPr>
        <w:t xml:space="preserve"> שבא מן החי],</w:t>
      </w:r>
      <w:r w:rsidRPr="00A22EE9">
        <w:rPr>
          <w:rFonts w:hint="cs"/>
          <w:rtl/>
        </w:rPr>
        <w:t xml:space="preserve"> וכיון שהוא חשיב כחלק מהאבר היוצא, לכן מסתפקת הגמ' אי </w:t>
      </w:r>
      <w:r w:rsidRPr="00A22EE9">
        <w:rPr>
          <w:rtl/>
        </w:rPr>
        <w:t>ה</w:t>
      </w:r>
      <w:r>
        <w:rPr>
          <w:rtl/>
        </w:rPr>
        <w:t>חלב</w:t>
      </w:r>
      <w:r w:rsidRPr="00A22EE9">
        <w:rPr>
          <w:rFonts w:hint="cs"/>
          <w:rtl/>
        </w:rPr>
        <w:t xml:space="preserve"> אסור.</w:t>
      </w:r>
    </w:p>
    <w:p w14:paraId="5830CF44" w14:textId="77777777" w:rsidR="003D504D" w:rsidRPr="00A22EE9" w:rsidRDefault="003D504D" w:rsidP="00BF39B2">
      <w:pPr>
        <w:pStyle w:val="1"/>
        <w:rPr>
          <w:rtl/>
        </w:rPr>
      </w:pPr>
      <w:bookmarkStart w:id="19446" w:name="_Toc773589"/>
      <w:bookmarkStart w:id="19447" w:name="_Toc955882"/>
      <w:bookmarkStart w:id="19448" w:name="_Toc1039547"/>
      <w:bookmarkStart w:id="19449" w:name="_Toc1040792"/>
      <w:bookmarkStart w:id="19450" w:name="_Toc1063641"/>
      <w:bookmarkStart w:id="19451" w:name="_Toc1112081"/>
      <w:bookmarkStart w:id="19452" w:name="_Toc1123949"/>
      <w:bookmarkStart w:id="19453" w:name="_Toc19391465"/>
      <w:bookmarkStart w:id="19454" w:name="_Toc19394962"/>
      <w:r w:rsidRPr="00A22EE9">
        <w:rPr>
          <w:rFonts w:hint="cs"/>
          <w:rtl/>
        </w:rPr>
        <w:t>ביאור הקה"י בחילוק בין ולד בן פקועה ל</w:t>
      </w:r>
      <w:r>
        <w:rPr>
          <w:rFonts w:hint="cs"/>
          <w:rtl/>
        </w:rPr>
        <w:t>חלב</w:t>
      </w:r>
      <w:r w:rsidRPr="00A22EE9">
        <w:rPr>
          <w:rFonts w:hint="cs"/>
          <w:rtl/>
        </w:rPr>
        <w:t xml:space="preserve"> בן פקועה</w:t>
      </w:r>
      <w:bookmarkEnd w:id="19446"/>
      <w:bookmarkEnd w:id="19447"/>
      <w:bookmarkEnd w:id="19448"/>
      <w:bookmarkEnd w:id="19449"/>
      <w:bookmarkEnd w:id="19450"/>
      <w:bookmarkEnd w:id="19451"/>
      <w:bookmarkEnd w:id="19452"/>
      <w:bookmarkEnd w:id="19453"/>
      <w:bookmarkEnd w:id="19454"/>
    </w:p>
    <w:p w14:paraId="638C4ED9" w14:textId="77777777" w:rsidR="003D504D" w:rsidRPr="00A22EE9" w:rsidRDefault="003D504D" w:rsidP="003D504D">
      <w:pPr>
        <w:pStyle w:val="a3"/>
        <w:rPr>
          <w:rtl/>
        </w:rPr>
      </w:pPr>
      <w:bookmarkStart w:id="19455" w:name="_Toc1063642"/>
      <w:bookmarkStart w:id="19456" w:name="_Toc1112082"/>
      <w:bookmarkStart w:id="19457" w:name="_Toc1123950"/>
      <w:bookmarkStart w:id="19458" w:name="_Toc19391466"/>
      <w:bookmarkStart w:id="19459" w:name="_Toc19394963"/>
      <w:r>
        <w:rPr>
          <w:rFonts w:hint="cs"/>
          <w:rtl/>
        </w:rPr>
        <w:t>קושית הקה"י דהאבר היוצא הוא רק גורם לחלב ואמאי אינו מותר מדין כל מכח לא אמרינן</w:t>
      </w:r>
      <w:bookmarkEnd w:id="19455"/>
      <w:bookmarkEnd w:id="19456"/>
      <w:bookmarkEnd w:id="19457"/>
      <w:bookmarkEnd w:id="19458"/>
      <w:bookmarkEnd w:id="19459"/>
    </w:p>
    <w:p w14:paraId="18B9D14C" w14:textId="77777777" w:rsidR="003D504D" w:rsidRDefault="003D504D" w:rsidP="00223668">
      <w:pPr>
        <w:pStyle w:val="a0"/>
        <w:rPr>
          <w:rtl/>
        </w:rPr>
      </w:pPr>
      <w:bookmarkStart w:id="19460" w:name="_Ref1061929"/>
      <w:r w:rsidRPr="00AE70CF">
        <w:rPr>
          <w:rFonts w:hint="cs"/>
          <w:rtl/>
        </w:rPr>
        <w:t>בספק הגמ'</w:t>
      </w:r>
      <w:r w:rsidRPr="00A22EE9">
        <w:rPr>
          <w:rFonts w:hint="cs"/>
          <w:rtl/>
        </w:rPr>
        <w:t xml:space="preserve"> אי מותר לשתות את ה</w:t>
      </w:r>
      <w:r>
        <w:rPr>
          <w:rFonts w:hint="cs"/>
          <w:rtl/>
        </w:rPr>
        <w:t>חלב</w:t>
      </w:r>
      <w:r w:rsidRPr="00A22EE9">
        <w:rPr>
          <w:rFonts w:hint="cs"/>
          <w:rtl/>
        </w:rPr>
        <w:t xml:space="preserve"> הבא מכח אבר היוצא, הקשה </w:t>
      </w:r>
      <w:r w:rsidRPr="00A22EE9">
        <w:rPr>
          <w:rStyle w:val="af9"/>
          <w:rFonts w:hint="cs"/>
          <w:rtl/>
        </w:rPr>
        <w:t>הקה"י</w:t>
      </w:r>
      <w:r w:rsidRPr="00A22EE9">
        <w:rPr>
          <w:rFonts w:hint="cs"/>
          <w:rtl/>
        </w:rPr>
        <w:t xml:space="preserve"> </w:t>
      </w:r>
      <w:r w:rsidRPr="001A4D47">
        <w:rPr>
          <w:rStyle w:val="af7"/>
          <w:rFonts w:eastAsia="Guttman Hodes" w:hint="cs"/>
          <w:rtl/>
        </w:rPr>
        <w:t xml:space="preserve">(סי' י"ח א') </w:t>
      </w:r>
      <w:r w:rsidRPr="00A22EE9">
        <w:rPr>
          <w:rFonts w:hint="cs"/>
          <w:rtl/>
        </w:rPr>
        <w:t>דה</w:t>
      </w:r>
      <w:r>
        <w:rPr>
          <w:rFonts w:hint="cs"/>
          <w:rtl/>
        </w:rPr>
        <w:t>חלב</w:t>
      </w:r>
      <w:r w:rsidRPr="00A22EE9">
        <w:rPr>
          <w:rFonts w:hint="cs"/>
          <w:rtl/>
        </w:rPr>
        <w:t xml:space="preserve"> אינו מתמצה ממש מהאבר היוצא, אלא דהאבר הוא רק גורם שיווצר ה</w:t>
      </w:r>
      <w:r>
        <w:rPr>
          <w:rFonts w:hint="cs"/>
          <w:rtl/>
        </w:rPr>
        <w:t>חלב</w:t>
      </w:r>
      <w:r w:rsidRPr="00A22EE9">
        <w:rPr>
          <w:rFonts w:hint="cs"/>
          <w:rtl/>
        </w:rPr>
        <w:t>, וא"כ כיון דכל מכח לא אמרינן אף ה</w:t>
      </w:r>
      <w:r>
        <w:rPr>
          <w:rFonts w:hint="cs"/>
          <w:rtl/>
        </w:rPr>
        <w:t>חלב</w:t>
      </w:r>
      <w:r w:rsidRPr="00A22EE9">
        <w:rPr>
          <w:rFonts w:hint="cs"/>
          <w:rtl/>
        </w:rPr>
        <w:t xml:space="preserve"> הוא בא רק מכח אותו האבר, ואף דאם כל הבהמה היתה אסורה באיסור יוצא היה ה</w:t>
      </w:r>
      <w:r>
        <w:rPr>
          <w:rFonts w:hint="cs"/>
          <w:rtl/>
        </w:rPr>
        <w:t>חלב</w:t>
      </w:r>
      <w:r w:rsidRPr="00A22EE9">
        <w:rPr>
          <w:rFonts w:hint="cs"/>
          <w:rtl/>
        </w:rPr>
        <w:t xml:space="preserve"> אסור, מ"מ כשרק האבר אסור והוא רק גורם ל</w:t>
      </w:r>
      <w:r>
        <w:rPr>
          <w:rFonts w:hint="cs"/>
          <w:rtl/>
        </w:rPr>
        <w:t>חלב</w:t>
      </w:r>
      <w:r w:rsidRPr="00A22EE9">
        <w:rPr>
          <w:rFonts w:hint="cs"/>
          <w:rtl/>
        </w:rPr>
        <w:t xml:space="preserve"> היאך נאסר ה</w:t>
      </w:r>
      <w:r>
        <w:rPr>
          <w:rFonts w:hint="cs"/>
          <w:rtl/>
        </w:rPr>
        <w:t xml:space="preserve">חלב, וכתב </w:t>
      </w:r>
      <w:r w:rsidRPr="001A4D47">
        <w:rPr>
          <w:rStyle w:val="af9"/>
          <w:rFonts w:hint="cs"/>
          <w:rtl/>
        </w:rPr>
        <w:t>הקה"י</w:t>
      </w:r>
      <w:r>
        <w:rPr>
          <w:rFonts w:hint="cs"/>
          <w:rtl/>
        </w:rPr>
        <w:t xml:space="preserve"> דכבר הקשה כן </w:t>
      </w:r>
      <w:r w:rsidRPr="00AE70CF">
        <w:rPr>
          <w:rStyle w:val="af9"/>
          <w:rFonts w:hint="cs"/>
          <w:rtl/>
        </w:rPr>
        <w:t>ה</w:t>
      </w:r>
      <w:r w:rsidR="00345400">
        <w:rPr>
          <w:rStyle w:val="af9"/>
          <w:rFonts w:hint="cs"/>
          <w:rtl/>
        </w:rPr>
        <w:t>פלתי</w:t>
      </w:r>
      <w:r>
        <w:rPr>
          <w:rFonts w:hint="cs"/>
          <w:rtl/>
        </w:rPr>
        <w:t xml:space="preserve"> </w:t>
      </w:r>
      <w:r w:rsidRPr="001A4D47">
        <w:rPr>
          <w:rStyle w:val="af7"/>
          <w:rFonts w:eastAsia="Guttman Hodes" w:hint="cs"/>
          <w:rtl/>
        </w:rPr>
        <w:t xml:space="preserve">(עי' אות </w:t>
      </w:r>
      <w:r w:rsidRPr="001A4D47">
        <w:rPr>
          <w:rStyle w:val="af7"/>
          <w:rFonts w:eastAsia="Guttman Hodes"/>
          <w:rtl/>
        </w:rPr>
        <w:fldChar w:fldCharType="begin"/>
      </w:r>
      <w:r w:rsidRPr="001A4D47">
        <w:rPr>
          <w:rStyle w:val="af7"/>
          <w:rFonts w:eastAsia="Guttman Hodes"/>
          <w:rtl/>
        </w:rPr>
        <w:instrText xml:space="preserve"> </w:instrText>
      </w:r>
      <w:r w:rsidRPr="001A4D47">
        <w:rPr>
          <w:rStyle w:val="af7"/>
          <w:rFonts w:eastAsia="Guttman Hodes" w:hint="cs"/>
        </w:rPr>
        <w:instrText>REF</w:instrText>
      </w:r>
      <w:r w:rsidRPr="001A4D47">
        <w:rPr>
          <w:rStyle w:val="af7"/>
          <w:rFonts w:eastAsia="Guttman Hodes" w:hint="cs"/>
          <w:rtl/>
        </w:rPr>
        <w:instrText xml:space="preserve"> _</w:instrText>
      </w:r>
      <w:r w:rsidRPr="001A4D47">
        <w:rPr>
          <w:rStyle w:val="af7"/>
          <w:rFonts w:eastAsia="Guttman Hodes" w:hint="cs"/>
        </w:rPr>
        <w:instrText>Ref1061896 \r \h</w:instrText>
      </w:r>
      <w:r w:rsidRPr="001A4D47">
        <w:rPr>
          <w:rStyle w:val="af7"/>
          <w:rFonts w:eastAsia="Guttman Hodes"/>
          <w:rtl/>
        </w:rPr>
        <w:instrText xml:space="preserve"> </w:instrText>
      </w:r>
      <w:r w:rsidRPr="001A4D47">
        <w:rPr>
          <w:rStyle w:val="af7"/>
          <w:rFonts w:eastAsia="Guttman Hodes"/>
          <w:rtl/>
        </w:rPr>
      </w:r>
      <w:r w:rsidRPr="001A4D47">
        <w:rPr>
          <w:rStyle w:val="af7"/>
          <w:rFonts w:eastAsia="Guttman Hodes"/>
          <w:rtl/>
        </w:rPr>
        <w:fldChar w:fldCharType="separate"/>
      </w:r>
      <w:r w:rsidR="00345400">
        <w:rPr>
          <w:rStyle w:val="af7"/>
          <w:rFonts w:eastAsia="Guttman Hodes"/>
          <w:cs/>
        </w:rPr>
        <w:t>‎</w:t>
      </w:r>
      <w:r w:rsidR="00345400">
        <w:rPr>
          <w:rStyle w:val="af7"/>
          <w:rFonts w:eastAsia="Guttman Hodes"/>
          <w:rtl/>
        </w:rPr>
        <w:t>סד)</w:t>
      </w:r>
      <w:r w:rsidRPr="001A4D47">
        <w:rPr>
          <w:rStyle w:val="af7"/>
          <w:rFonts w:eastAsia="Guttman Hodes"/>
          <w:rtl/>
        </w:rPr>
        <w:fldChar w:fldCharType="end"/>
      </w:r>
      <w:bookmarkEnd w:id="19460"/>
      <w:r>
        <w:rPr>
          <w:rFonts w:hint="cs"/>
          <w:rtl/>
        </w:rPr>
        <w:t xml:space="preserve">, </w:t>
      </w:r>
      <w:r w:rsidRPr="00A22EE9">
        <w:rPr>
          <w:rFonts w:hint="cs"/>
          <w:rtl/>
        </w:rPr>
        <w:t xml:space="preserve">ובמה שתירץ </w:t>
      </w:r>
      <w:r w:rsidRPr="00A22EE9">
        <w:rPr>
          <w:rStyle w:val="af9"/>
          <w:rFonts w:hint="cs"/>
          <w:rtl/>
        </w:rPr>
        <w:t>ה</w:t>
      </w:r>
      <w:r w:rsidR="00345400">
        <w:rPr>
          <w:rStyle w:val="af9"/>
          <w:rFonts w:hint="cs"/>
          <w:rtl/>
        </w:rPr>
        <w:t>פלתי</w:t>
      </w:r>
      <w:r w:rsidRPr="00A22EE9">
        <w:rPr>
          <w:rFonts w:hint="cs"/>
          <w:rtl/>
        </w:rPr>
        <w:t xml:space="preserve"> דהנדון הוא לענין דאין מבטלין איסור, כתב </w:t>
      </w:r>
      <w:r w:rsidRPr="00A22EE9">
        <w:rPr>
          <w:rStyle w:val="af9"/>
          <w:rFonts w:hint="cs"/>
          <w:rtl/>
        </w:rPr>
        <w:t>הקה"י</w:t>
      </w:r>
      <w:r w:rsidRPr="00A22EE9">
        <w:rPr>
          <w:rFonts w:hint="cs"/>
          <w:rtl/>
        </w:rPr>
        <w:t xml:space="preserve"> דהוא דוחק גדול, לומר דדבר שגדל ממילא חשיב כמבטל איסור לכתחילה, ועוד דהדין דכל מכח לא אמרינן אינו מדין ביטול, אלא הגדר הוא דגורם שבא מכח אינו אוסר.</w:t>
      </w:r>
    </w:p>
    <w:p w14:paraId="2B9F0AC1" w14:textId="77777777" w:rsidR="003D504D" w:rsidRPr="001A4D47" w:rsidRDefault="003D504D" w:rsidP="003D504D">
      <w:pPr>
        <w:pStyle w:val="a3"/>
        <w:rPr>
          <w:rtl/>
        </w:rPr>
      </w:pPr>
      <w:bookmarkStart w:id="19461" w:name="_Toc1063643"/>
      <w:bookmarkStart w:id="19462" w:name="_Toc1112083"/>
      <w:bookmarkStart w:id="19463" w:name="_Toc1123951"/>
      <w:bookmarkStart w:id="19464" w:name="_Toc19391467"/>
      <w:bookmarkStart w:id="19465" w:name="_Toc19394964"/>
      <w:r>
        <w:rPr>
          <w:rFonts w:hint="cs"/>
          <w:rtl/>
        </w:rPr>
        <w:t>ביאור הקה"י ברמב"ם דהאברים הם גורמים לחלב אך אינו מתמצה מהם כמהר"י אלפאנדרי</w:t>
      </w:r>
      <w:bookmarkEnd w:id="19461"/>
      <w:bookmarkEnd w:id="19462"/>
      <w:bookmarkEnd w:id="19463"/>
      <w:bookmarkEnd w:id="19464"/>
      <w:bookmarkEnd w:id="19465"/>
    </w:p>
    <w:p w14:paraId="0F6C6628" w14:textId="77777777" w:rsidR="003D504D" w:rsidRPr="00A22EE9" w:rsidRDefault="003D504D" w:rsidP="00223668">
      <w:pPr>
        <w:pStyle w:val="a0"/>
        <w:rPr>
          <w:rtl/>
        </w:rPr>
      </w:pPr>
      <w:bookmarkStart w:id="19466" w:name="_Ref1062747"/>
      <w:r w:rsidRPr="00A22EE9">
        <w:rPr>
          <w:rFonts w:hint="cs"/>
          <w:rtl/>
        </w:rPr>
        <w:t xml:space="preserve">ובמ"ש </w:t>
      </w:r>
      <w:r w:rsidRPr="00A22EE9">
        <w:rPr>
          <w:rStyle w:val="af9"/>
          <w:rFonts w:hint="cs"/>
          <w:rtl/>
        </w:rPr>
        <w:t>ה</w:t>
      </w:r>
      <w:r w:rsidR="00345400">
        <w:rPr>
          <w:rStyle w:val="af9"/>
          <w:rFonts w:hint="cs"/>
          <w:rtl/>
        </w:rPr>
        <w:t>פלתי</w:t>
      </w:r>
      <w:r w:rsidRPr="00A22EE9">
        <w:rPr>
          <w:rFonts w:hint="cs"/>
          <w:rtl/>
        </w:rPr>
        <w:t xml:space="preserve"> דמכח אבר ואבר מתמצה </w:t>
      </w:r>
      <w:r>
        <w:rPr>
          <w:rFonts w:hint="cs"/>
          <w:rtl/>
        </w:rPr>
        <w:t>חלב</w:t>
      </w:r>
      <w:r w:rsidRPr="00A22EE9">
        <w:rPr>
          <w:rFonts w:hint="cs"/>
          <w:rtl/>
        </w:rPr>
        <w:t xml:space="preserve"> ואח"כ הכל מתערב, וכדעת </w:t>
      </w:r>
      <w:r w:rsidRPr="00A22EE9">
        <w:rPr>
          <w:rStyle w:val="af9"/>
          <w:rFonts w:hint="cs"/>
          <w:rtl/>
        </w:rPr>
        <w:t>מהר"י אלפ</w:t>
      </w:r>
      <w:r>
        <w:rPr>
          <w:rStyle w:val="af9"/>
          <w:rFonts w:hint="cs"/>
          <w:rtl/>
        </w:rPr>
        <w:t>א</w:t>
      </w:r>
      <w:r w:rsidRPr="00A22EE9">
        <w:rPr>
          <w:rStyle w:val="af9"/>
          <w:rFonts w:hint="cs"/>
          <w:rtl/>
        </w:rPr>
        <w:t>נדרי</w:t>
      </w:r>
      <w:r w:rsidRPr="00A22EE9">
        <w:rPr>
          <w:rFonts w:hint="cs"/>
          <w:rtl/>
        </w:rPr>
        <w:t xml:space="preserve"> שהביא </w:t>
      </w:r>
      <w:r w:rsidRPr="00A22EE9">
        <w:rPr>
          <w:rStyle w:val="af9"/>
          <w:rFonts w:hint="cs"/>
          <w:rtl/>
        </w:rPr>
        <w:t>המשל"מ</w:t>
      </w:r>
      <w:r w:rsidRPr="00A22EE9">
        <w:rPr>
          <w:rFonts w:hint="cs"/>
          <w:rtl/>
        </w:rPr>
        <w:t xml:space="preserve"> </w:t>
      </w:r>
      <w:r w:rsidRPr="00690A0F">
        <w:rPr>
          <w:rStyle w:val="af7"/>
          <w:rFonts w:eastAsia="Guttman Hodes" w:hint="cs"/>
          <w:rtl/>
        </w:rPr>
        <w:t xml:space="preserve">(עי' אות </w:t>
      </w:r>
      <w:r w:rsidRPr="00690A0F">
        <w:rPr>
          <w:rStyle w:val="af7"/>
          <w:rFonts w:eastAsia="Guttman Hodes"/>
          <w:rtl/>
        </w:rPr>
        <w:fldChar w:fldCharType="begin"/>
      </w:r>
      <w:r w:rsidRPr="00690A0F">
        <w:rPr>
          <w:rStyle w:val="af7"/>
          <w:rFonts w:eastAsia="Guttman Hodes"/>
          <w:rtl/>
        </w:rPr>
        <w:instrText xml:space="preserve"> </w:instrText>
      </w:r>
      <w:r w:rsidRPr="00690A0F">
        <w:rPr>
          <w:rStyle w:val="af7"/>
          <w:rFonts w:eastAsia="Guttman Hodes" w:hint="cs"/>
        </w:rPr>
        <w:instrText>REF</w:instrText>
      </w:r>
      <w:r w:rsidRPr="00690A0F">
        <w:rPr>
          <w:rStyle w:val="af7"/>
          <w:rFonts w:eastAsia="Guttman Hodes" w:hint="cs"/>
          <w:rtl/>
        </w:rPr>
        <w:instrText xml:space="preserve"> _</w:instrText>
      </w:r>
      <w:r w:rsidRPr="00690A0F">
        <w:rPr>
          <w:rStyle w:val="af7"/>
          <w:rFonts w:eastAsia="Guttman Hodes" w:hint="cs"/>
        </w:rPr>
        <w:instrText>Ref1062613 \r \h</w:instrText>
      </w:r>
      <w:r w:rsidRPr="00690A0F">
        <w:rPr>
          <w:rStyle w:val="af7"/>
          <w:rFonts w:eastAsia="Guttman Hodes"/>
          <w:rtl/>
        </w:rPr>
        <w:instrText xml:space="preserve"> </w:instrText>
      </w:r>
      <w:r w:rsidRPr="00690A0F">
        <w:rPr>
          <w:rStyle w:val="af7"/>
          <w:rFonts w:eastAsia="Guttman Hodes"/>
          <w:rtl/>
        </w:rPr>
      </w:r>
      <w:r w:rsidRPr="00690A0F">
        <w:rPr>
          <w:rStyle w:val="af7"/>
          <w:rFonts w:eastAsia="Guttman Hodes"/>
          <w:rtl/>
        </w:rPr>
        <w:fldChar w:fldCharType="separate"/>
      </w:r>
      <w:r w:rsidR="00345400">
        <w:rPr>
          <w:rStyle w:val="af7"/>
          <w:rFonts w:eastAsia="Guttman Hodes"/>
          <w:cs/>
        </w:rPr>
        <w:t>‎</w:t>
      </w:r>
      <w:r w:rsidR="00345400">
        <w:rPr>
          <w:rStyle w:val="af7"/>
          <w:rFonts w:eastAsia="Guttman Hodes"/>
          <w:rtl/>
        </w:rPr>
        <w:t>סב)</w:t>
      </w:r>
      <w:r w:rsidRPr="00690A0F">
        <w:rPr>
          <w:rStyle w:val="af7"/>
          <w:rFonts w:eastAsia="Guttman Hodes"/>
          <w:rtl/>
        </w:rPr>
        <w:fldChar w:fldCharType="end"/>
      </w:r>
      <w:r w:rsidRPr="00A22EE9">
        <w:rPr>
          <w:rFonts w:hint="cs"/>
          <w:rtl/>
        </w:rPr>
        <w:t xml:space="preserve">, הקשה </w:t>
      </w:r>
      <w:r w:rsidRPr="00A22EE9">
        <w:rPr>
          <w:rStyle w:val="af9"/>
          <w:rFonts w:hint="cs"/>
          <w:rtl/>
        </w:rPr>
        <w:t>הקה"י</w:t>
      </w:r>
      <w:r w:rsidRPr="00A22EE9">
        <w:rPr>
          <w:rFonts w:hint="cs"/>
          <w:rtl/>
        </w:rPr>
        <w:t xml:space="preserve"> דלא מסתבר לומר שה</w:t>
      </w:r>
      <w:r>
        <w:rPr>
          <w:rFonts w:hint="cs"/>
          <w:rtl/>
        </w:rPr>
        <w:t>חלב</w:t>
      </w:r>
      <w:r w:rsidRPr="00A22EE9">
        <w:rPr>
          <w:rFonts w:hint="cs"/>
          <w:rtl/>
        </w:rPr>
        <w:t xml:space="preserve"> נעשה בכל אבר ואבר, ואח"כ מתמצה למקום אחד, </w:t>
      </w:r>
      <w:r>
        <w:rPr>
          <w:rFonts w:hint="cs"/>
          <w:rtl/>
        </w:rPr>
        <w:t xml:space="preserve">אלא </w:t>
      </w:r>
      <w:r w:rsidRPr="00A22EE9">
        <w:rPr>
          <w:rFonts w:hint="cs"/>
          <w:rtl/>
        </w:rPr>
        <w:t xml:space="preserve">כתב </w:t>
      </w:r>
      <w:r w:rsidRPr="00A22EE9">
        <w:rPr>
          <w:rStyle w:val="af9"/>
          <w:rFonts w:hint="cs"/>
          <w:rtl/>
        </w:rPr>
        <w:t>הקה"י</w:t>
      </w:r>
      <w:r w:rsidRPr="00A22EE9">
        <w:rPr>
          <w:rFonts w:hint="cs"/>
          <w:rtl/>
        </w:rPr>
        <w:t xml:space="preserve"> דמ"ש </w:t>
      </w:r>
      <w:r w:rsidRPr="00A22EE9">
        <w:rPr>
          <w:rStyle w:val="af9"/>
          <w:rFonts w:hint="cs"/>
          <w:rtl/>
        </w:rPr>
        <w:t>הרמב"ם</w:t>
      </w:r>
      <w:r w:rsidRPr="00A22EE9">
        <w:rPr>
          <w:rFonts w:hint="cs"/>
          <w:rtl/>
        </w:rPr>
        <w:t xml:space="preserve"> </w:t>
      </w:r>
      <w:r w:rsidRPr="00690A0F">
        <w:rPr>
          <w:rStyle w:val="af7"/>
          <w:rFonts w:eastAsia="Guttman Hodes" w:hint="cs"/>
          <w:rtl/>
        </w:rPr>
        <w:t xml:space="preserve">(עי' אות </w:t>
      </w:r>
      <w:r w:rsidRPr="00690A0F">
        <w:rPr>
          <w:rStyle w:val="af7"/>
          <w:rFonts w:eastAsia="Guttman Hodes"/>
          <w:rtl/>
        </w:rPr>
        <w:fldChar w:fldCharType="begin"/>
      </w:r>
      <w:r w:rsidRPr="00690A0F">
        <w:rPr>
          <w:rStyle w:val="af7"/>
          <w:rFonts w:eastAsia="Guttman Hodes"/>
          <w:rtl/>
        </w:rPr>
        <w:instrText xml:space="preserve"> </w:instrText>
      </w:r>
      <w:r w:rsidRPr="00690A0F">
        <w:rPr>
          <w:rStyle w:val="af7"/>
          <w:rFonts w:eastAsia="Guttman Hodes" w:hint="cs"/>
        </w:rPr>
        <w:instrText>REF</w:instrText>
      </w:r>
      <w:r w:rsidRPr="00690A0F">
        <w:rPr>
          <w:rStyle w:val="af7"/>
          <w:rFonts w:eastAsia="Guttman Hodes" w:hint="cs"/>
          <w:rtl/>
        </w:rPr>
        <w:instrText xml:space="preserve"> _</w:instrText>
      </w:r>
      <w:r w:rsidRPr="00690A0F">
        <w:rPr>
          <w:rStyle w:val="af7"/>
          <w:rFonts w:eastAsia="Guttman Hodes" w:hint="cs"/>
        </w:rPr>
        <w:instrText>Ref1062626 \r \h</w:instrText>
      </w:r>
      <w:r w:rsidRPr="00690A0F">
        <w:rPr>
          <w:rStyle w:val="af7"/>
          <w:rFonts w:eastAsia="Guttman Hodes"/>
          <w:rtl/>
        </w:rPr>
        <w:instrText xml:space="preserve"> </w:instrText>
      </w:r>
      <w:r w:rsidRPr="00690A0F">
        <w:rPr>
          <w:rStyle w:val="af7"/>
          <w:rFonts w:eastAsia="Guttman Hodes"/>
          <w:rtl/>
        </w:rPr>
      </w:r>
      <w:r w:rsidRPr="00690A0F">
        <w:rPr>
          <w:rStyle w:val="af7"/>
          <w:rFonts w:eastAsia="Guttman Hodes"/>
          <w:rtl/>
        </w:rPr>
        <w:fldChar w:fldCharType="separate"/>
      </w:r>
      <w:r w:rsidR="00345400">
        <w:rPr>
          <w:rStyle w:val="af7"/>
          <w:rFonts w:eastAsia="Guttman Hodes"/>
          <w:cs/>
        </w:rPr>
        <w:t>‎</w:t>
      </w:r>
      <w:r w:rsidR="00345400">
        <w:rPr>
          <w:rStyle w:val="af7"/>
          <w:rFonts w:eastAsia="Guttman Hodes"/>
          <w:rtl/>
        </w:rPr>
        <w:t>נז)</w:t>
      </w:r>
      <w:r w:rsidRPr="00690A0F">
        <w:rPr>
          <w:rStyle w:val="af7"/>
          <w:rFonts w:eastAsia="Guttman Hodes"/>
          <w:rtl/>
        </w:rPr>
        <w:fldChar w:fldCharType="end"/>
      </w:r>
      <w:r w:rsidRPr="00690A0F">
        <w:rPr>
          <w:rStyle w:val="af7"/>
          <w:rFonts w:eastAsia="Guttman Hodes" w:hint="cs"/>
          <w:rtl/>
        </w:rPr>
        <w:t xml:space="preserve"> </w:t>
      </w:r>
      <w:r w:rsidRPr="00A22EE9">
        <w:rPr>
          <w:rFonts w:hint="cs"/>
          <w:rtl/>
        </w:rPr>
        <w:t>דה</w:t>
      </w:r>
      <w:r>
        <w:rPr>
          <w:rFonts w:hint="cs"/>
          <w:rtl/>
        </w:rPr>
        <w:t>חלב</w:t>
      </w:r>
      <w:r w:rsidRPr="00A22EE9">
        <w:rPr>
          <w:rFonts w:hint="cs"/>
          <w:rtl/>
        </w:rPr>
        <w:t xml:space="preserve"> בא מכלל האברים, כוונתו לומר דכל האברים הם בגדר של גורמים ל</w:t>
      </w:r>
      <w:r>
        <w:rPr>
          <w:rFonts w:hint="cs"/>
          <w:rtl/>
        </w:rPr>
        <w:t>חלב</w:t>
      </w:r>
      <w:r w:rsidRPr="00A22EE9">
        <w:rPr>
          <w:rFonts w:hint="cs"/>
          <w:rtl/>
        </w:rPr>
        <w:t xml:space="preserve">, כיון שרק בחיי הבהמה נוצר </w:t>
      </w:r>
      <w:r>
        <w:rPr>
          <w:rFonts w:hint="cs"/>
          <w:rtl/>
        </w:rPr>
        <w:t>חלב</w:t>
      </w:r>
      <w:r w:rsidRPr="00A22EE9">
        <w:rPr>
          <w:rFonts w:hint="cs"/>
          <w:rtl/>
        </w:rPr>
        <w:t>, וכל האברים הם בכלל הבהמה, אך אין הכוונה שמכל אבר ואבר ממש מתמצה ה</w:t>
      </w:r>
      <w:r>
        <w:rPr>
          <w:rFonts w:hint="cs"/>
          <w:rtl/>
        </w:rPr>
        <w:t>חלב</w:t>
      </w:r>
      <w:r w:rsidRPr="00A22EE9">
        <w:rPr>
          <w:rFonts w:hint="cs"/>
          <w:rtl/>
        </w:rPr>
        <w:t>, וא"כ עדיין קשה דכיון שה</w:t>
      </w:r>
      <w:r>
        <w:rPr>
          <w:rFonts w:hint="cs"/>
          <w:rtl/>
        </w:rPr>
        <w:t>חלב</w:t>
      </w:r>
      <w:r w:rsidRPr="00A22EE9">
        <w:rPr>
          <w:rFonts w:hint="cs"/>
          <w:rtl/>
        </w:rPr>
        <w:t xml:space="preserve"> בא מכח האבר האסור, א"צ להתירו מדין ביטול ואמאי אינו מותר מדין כל מכח לא אמרינן.</w:t>
      </w:r>
      <w:bookmarkEnd w:id="19466"/>
    </w:p>
    <w:p w14:paraId="4C97D06A" w14:textId="77777777" w:rsidR="003D504D" w:rsidRPr="00A22EE9" w:rsidRDefault="003D504D" w:rsidP="003D504D">
      <w:pPr>
        <w:pStyle w:val="a3"/>
        <w:rPr>
          <w:rtl/>
        </w:rPr>
      </w:pPr>
      <w:bookmarkStart w:id="19467" w:name="_Toc1063644"/>
      <w:bookmarkStart w:id="19468" w:name="_Toc1112084"/>
      <w:bookmarkStart w:id="19469" w:name="_Toc1123952"/>
      <w:bookmarkStart w:id="19470" w:name="_Toc19391468"/>
      <w:bookmarkStart w:id="19471" w:name="_Toc19394965"/>
      <w:r>
        <w:rPr>
          <w:rFonts w:hint="cs"/>
          <w:rtl/>
        </w:rPr>
        <w:t>ביאור הקה"י דדין גורם הוא בדבר שכלה כהולד שנגרם מזרע שהסריח ואינו דין יוצא מאיסור</w:t>
      </w:r>
      <w:bookmarkEnd w:id="19467"/>
      <w:bookmarkEnd w:id="19468"/>
      <w:bookmarkEnd w:id="19469"/>
      <w:bookmarkEnd w:id="19470"/>
      <w:bookmarkEnd w:id="19471"/>
    </w:p>
    <w:p w14:paraId="77236213" w14:textId="77777777" w:rsidR="003D504D" w:rsidRPr="00A22EE9" w:rsidRDefault="003D504D" w:rsidP="00223668">
      <w:pPr>
        <w:pStyle w:val="a0"/>
        <w:rPr>
          <w:rtl/>
        </w:rPr>
      </w:pPr>
      <w:bookmarkStart w:id="19472" w:name="_Ref1108854"/>
      <w:r w:rsidRPr="00A22EE9">
        <w:rPr>
          <w:rFonts w:hint="cs"/>
          <w:rtl/>
        </w:rPr>
        <w:t xml:space="preserve">וכתב </w:t>
      </w:r>
      <w:r w:rsidRPr="00A22EE9">
        <w:rPr>
          <w:rStyle w:val="af9"/>
          <w:rFonts w:hint="cs"/>
          <w:rtl/>
        </w:rPr>
        <w:t>הקה"י</w:t>
      </w:r>
      <w:r w:rsidRPr="00A22EE9">
        <w:rPr>
          <w:rFonts w:hint="cs"/>
          <w:rtl/>
        </w:rPr>
        <w:t xml:space="preserve"> </w:t>
      </w:r>
      <w:r w:rsidRPr="004304CE">
        <w:rPr>
          <w:rStyle w:val="af7"/>
          <w:rFonts w:eastAsia="Guttman Hodes" w:hint="cs"/>
          <w:rtl/>
        </w:rPr>
        <w:t>(סי</w:t>
      </w:r>
      <w:r w:rsidRPr="004304CE">
        <w:rPr>
          <w:rStyle w:val="af7"/>
          <w:rFonts w:eastAsia="Guttman Hodes"/>
          <w:rtl/>
        </w:rPr>
        <w:t>'</w:t>
      </w:r>
      <w:r w:rsidRPr="004304CE">
        <w:rPr>
          <w:rStyle w:val="af7"/>
          <w:rFonts w:eastAsia="Guttman Hodes" w:hint="cs"/>
          <w:rtl/>
        </w:rPr>
        <w:t xml:space="preserve"> י</w:t>
      </w:r>
      <w:r w:rsidRPr="004304CE">
        <w:rPr>
          <w:rStyle w:val="af7"/>
          <w:rFonts w:eastAsia="Guttman Hodes"/>
          <w:rtl/>
        </w:rPr>
        <w:t>"</w:t>
      </w:r>
      <w:r w:rsidRPr="004304CE">
        <w:rPr>
          <w:rStyle w:val="af7"/>
          <w:rFonts w:eastAsia="Guttman Hodes" w:hint="cs"/>
          <w:rtl/>
        </w:rPr>
        <w:t>ח ד</w:t>
      </w:r>
      <w:r w:rsidRPr="004304CE">
        <w:rPr>
          <w:rStyle w:val="af7"/>
          <w:rFonts w:eastAsia="Guttman Hodes"/>
          <w:rtl/>
        </w:rPr>
        <w:t>"</w:t>
      </w:r>
      <w:r w:rsidRPr="004304CE">
        <w:rPr>
          <w:rStyle w:val="af7"/>
          <w:rFonts w:eastAsia="Guttman Hodes" w:hint="cs"/>
          <w:rtl/>
        </w:rPr>
        <w:t xml:space="preserve">ה והנה נראה) </w:t>
      </w:r>
      <w:r w:rsidRPr="00A22EE9">
        <w:rPr>
          <w:rFonts w:hint="cs"/>
          <w:rtl/>
        </w:rPr>
        <w:t xml:space="preserve">דהדין גורם ודין יוצא מן האיסור, הם ב' דינים שונים, דגורם הוא בדבר שהאיסור אינו לפנינו דנשרף או הסריח ונעשה עפר, אלא דע"י האיסור באו פנים חדשות, </w:t>
      </w:r>
      <w:r w:rsidRPr="00A22EE9">
        <w:rPr>
          <w:rStyle w:val="afb"/>
          <w:rFonts w:hint="cs"/>
          <w:rtl/>
        </w:rPr>
        <w:t>[כזורע אגוז של ערלה או תנור שהסיקו בקליפי ערלה],</w:t>
      </w:r>
      <w:r w:rsidRPr="00A22EE9">
        <w:rPr>
          <w:rFonts w:hint="cs"/>
          <w:rtl/>
        </w:rPr>
        <w:t xml:space="preserve"> וה"ה הולד של בן פקועה שיש בו אבר שאסור באיסור יוצא, דהולד נגרם מכח אביו, דהא הזרע כבר הסריח והוא כעפר בעלמא, והולד הוא פנים חדשות, ולכן אמרינן דכל מכח לא אמרינן.</w:t>
      </w:r>
      <w:bookmarkEnd w:id="19472"/>
    </w:p>
    <w:p w14:paraId="23765E80" w14:textId="77777777" w:rsidR="003D504D" w:rsidRPr="00A22EE9" w:rsidRDefault="003D504D" w:rsidP="003D504D">
      <w:pPr>
        <w:pStyle w:val="a3"/>
        <w:rPr>
          <w:rtl/>
        </w:rPr>
      </w:pPr>
      <w:bookmarkStart w:id="19473" w:name="_Toc1063645"/>
      <w:bookmarkStart w:id="19474" w:name="_Toc1112085"/>
      <w:bookmarkStart w:id="19475" w:name="_Toc1123953"/>
      <w:bookmarkStart w:id="19476" w:name="_Toc19391469"/>
      <w:bookmarkStart w:id="19477" w:name="_Toc19394966"/>
      <w:r>
        <w:rPr>
          <w:rFonts w:hint="cs"/>
          <w:rtl/>
        </w:rPr>
        <w:t>ביאור הקה"י דחלב אינו נגרם אלא הוא כאבר ממנה דהוא ציר של הבהמה ואסור מדין אבמה"ח</w:t>
      </w:r>
      <w:bookmarkEnd w:id="19473"/>
      <w:bookmarkEnd w:id="19474"/>
      <w:bookmarkEnd w:id="19475"/>
      <w:bookmarkEnd w:id="19476"/>
      <w:bookmarkEnd w:id="19477"/>
    </w:p>
    <w:p w14:paraId="0F14280C" w14:textId="77777777" w:rsidR="003D504D" w:rsidRPr="00A22EE9" w:rsidRDefault="003D504D" w:rsidP="00223668">
      <w:pPr>
        <w:pStyle w:val="a0"/>
        <w:rPr>
          <w:rtl/>
        </w:rPr>
      </w:pPr>
      <w:bookmarkStart w:id="19478" w:name="_Ref1249921"/>
      <w:r w:rsidRPr="00A22EE9">
        <w:rPr>
          <w:rFonts w:hint="cs"/>
          <w:rtl/>
        </w:rPr>
        <w:t>אבל באיסור של ה</w:t>
      </w:r>
      <w:r>
        <w:rPr>
          <w:rFonts w:hint="cs"/>
          <w:rtl/>
        </w:rPr>
        <w:t>חלב,</w:t>
      </w:r>
      <w:r w:rsidRPr="00A22EE9">
        <w:rPr>
          <w:rFonts w:hint="cs"/>
          <w:rtl/>
        </w:rPr>
        <w:t xml:space="preserve"> ביאר </w:t>
      </w:r>
      <w:r w:rsidRPr="00A22EE9">
        <w:rPr>
          <w:rStyle w:val="af9"/>
          <w:rFonts w:hint="cs"/>
          <w:rtl/>
        </w:rPr>
        <w:t>הקה"י</w:t>
      </w:r>
      <w:r w:rsidRPr="00A22EE9">
        <w:rPr>
          <w:rFonts w:hint="cs"/>
          <w:rtl/>
        </w:rPr>
        <w:t xml:space="preserve"> </w:t>
      </w:r>
      <w:r w:rsidRPr="004304CE">
        <w:rPr>
          <w:rStyle w:val="af7"/>
          <w:rFonts w:eastAsia="Guttman Hodes" w:hint="cs"/>
          <w:rtl/>
        </w:rPr>
        <w:t xml:space="preserve">(סי' י"ח ד"ה אבל הא) </w:t>
      </w:r>
      <w:r w:rsidRPr="00A22EE9">
        <w:rPr>
          <w:rFonts w:hint="cs"/>
          <w:rtl/>
        </w:rPr>
        <w:t>דה</w:t>
      </w:r>
      <w:r>
        <w:rPr>
          <w:rFonts w:hint="cs"/>
          <w:rtl/>
        </w:rPr>
        <w:t>חלב</w:t>
      </w:r>
      <w:r w:rsidRPr="00A22EE9">
        <w:rPr>
          <w:rFonts w:hint="cs"/>
          <w:rtl/>
        </w:rPr>
        <w:t xml:space="preserve"> אינו נחשב כנגרם ע"י הבהמה</w:t>
      </w:r>
      <w:r>
        <w:rPr>
          <w:rFonts w:hint="cs"/>
          <w:rtl/>
        </w:rPr>
        <w:t>,</w:t>
      </w:r>
      <w:r w:rsidRPr="00A22EE9">
        <w:rPr>
          <w:rFonts w:hint="cs"/>
          <w:rtl/>
        </w:rPr>
        <w:t xml:space="preserve"> אלא הוא כאבר מאבריה, וכלשון הגמ' בסוגיין ובבכורות </w:t>
      </w:r>
      <w:r w:rsidRPr="004304CE">
        <w:rPr>
          <w:rStyle w:val="af7"/>
          <w:rFonts w:eastAsia="Guttman Hodes" w:hint="cs"/>
          <w:rtl/>
        </w:rPr>
        <w:t>(ו:)</w:t>
      </w:r>
      <w:r w:rsidRPr="00A22EE9">
        <w:rPr>
          <w:rFonts w:hint="cs"/>
          <w:rtl/>
        </w:rPr>
        <w:t xml:space="preserve"> דלולי היתר התורה היו חייבין עליו מדין אבר מן החי, וביאר </w:t>
      </w:r>
      <w:r w:rsidRPr="00A22EE9">
        <w:rPr>
          <w:rStyle w:val="af9"/>
          <w:rFonts w:hint="cs"/>
          <w:rtl/>
        </w:rPr>
        <w:t>הקה"י</w:t>
      </w:r>
      <w:r w:rsidRPr="00A22EE9">
        <w:rPr>
          <w:rFonts w:hint="cs"/>
          <w:rtl/>
        </w:rPr>
        <w:t xml:space="preserve"> דהחיוב עליו הוא מדין ציר של הבהמה </w:t>
      </w:r>
      <w:r w:rsidRPr="00A22EE9">
        <w:rPr>
          <w:rStyle w:val="afb"/>
          <w:rFonts w:hint="cs"/>
          <w:rtl/>
        </w:rPr>
        <w:t>[עיי"ש במה שהאריך בזה]</w:t>
      </w:r>
      <w:r w:rsidRPr="00A22EE9">
        <w:rPr>
          <w:rFonts w:hint="cs"/>
          <w:rtl/>
        </w:rPr>
        <w:t xml:space="preserve">, וכתב </w:t>
      </w:r>
      <w:r w:rsidRPr="00A22EE9">
        <w:rPr>
          <w:rStyle w:val="af9"/>
          <w:rFonts w:hint="cs"/>
          <w:rtl/>
        </w:rPr>
        <w:t>הקה"י</w:t>
      </w:r>
      <w:r w:rsidRPr="00A22EE9">
        <w:rPr>
          <w:rFonts w:hint="cs"/>
          <w:rtl/>
        </w:rPr>
        <w:t xml:space="preserve"> </w:t>
      </w:r>
      <w:r w:rsidRPr="004304CE">
        <w:rPr>
          <w:rStyle w:val="af7"/>
          <w:rFonts w:eastAsia="Guttman Hodes" w:hint="cs"/>
          <w:rtl/>
        </w:rPr>
        <w:t xml:space="preserve">(סי' י"ח ד"ה ונראה די"ל) </w:t>
      </w:r>
      <w:r w:rsidRPr="00A22EE9">
        <w:rPr>
          <w:rFonts w:hint="cs"/>
          <w:rtl/>
        </w:rPr>
        <w:t>דה</w:t>
      </w:r>
      <w:r>
        <w:rPr>
          <w:rFonts w:hint="cs"/>
          <w:rtl/>
        </w:rPr>
        <w:t>חלב</w:t>
      </w:r>
      <w:r w:rsidRPr="00A22EE9">
        <w:rPr>
          <w:rFonts w:hint="cs"/>
          <w:rtl/>
        </w:rPr>
        <w:t xml:space="preserve"> אינו נחשב כציר של אבר אחד, אלא כציר של כל הבהמה, והוי כאילו נוסף בבהמה אבר חדש, וכמו דביצא אבר חדש דינו כאבר בפנ"ע, ואין דינו כאבר שיצא ממנו, ה"ה ה</w:t>
      </w:r>
      <w:r>
        <w:rPr>
          <w:rFonts w:hint="cs"/>
          <w:rtl/>
        </w:rPr>
        <w:t>חלב</w:t>
      </w:r>
      <w:r w:rsidRPr="00A22EE9">
        <w:rPr>
          <w:rFonts w:hint="cs"/>
          <w:rtl/>
        </w:rPr>
        <w:t xml:space="preserve"> הוא נדון כציר של כל הבהמה, ולכן בבהמה שמקצתה מותרת מדין בן פקועה, ומקצתה דהיינו האבר היוצא אסורה מדין אבר מן החי, וכדביאר </w:t>
      </w:r>
      <w:r w:rsidRPr="00A22EE9">
        <w:rPr>
          <w:rStyle w:val="af9"/>
          <w:rFonts w:hint="cs"/>
          <w:rtl/>
        </w:rPr>
        <w:t>הרשב"א</w:t>
      </w:r>
      <w:r w:rsidRPr="00A22EE9">
        <w:rPr>
          <w:rFonts w:hint="cs"/>
          <w:rtl/>
        </w:rPr>
        <w:t xml:space="preserve"> </w:t>
      </w:r>
      <w:r w:rsidRPr="00DF248B">
        <w:rPr>
          <w:rStyle w:val="af7"/>
          <w:rFonts w:eastAsia="Guttman Hodes" w:hint="cs"/>
          <w:rtl/>
        </w:rPr>
        <w:t xml:space="preserve">(עי' אות </w:t>
      </w:r>
      <w:r w:rsidRPr="00DF248B">
        <w:rPr>
          <w:rStyle w:val="af7"/>
          <w:rFonts w:eastAsia="Guttman Hodes"/>
          <w:rtl/>
        </w:rPr>
        <w:fldChar w:fldCharType="begin"/>
      </w:r>
      <w:r w:rsidRPr="00DF248B">
        <w:rPr>
          <w:rStyle w:val="af7"/>
          <w:rFonts w:eastAsia="Guttman Hodes"/>
          <w:rtl/>
        </w:rPr>
        <w:instrText xml:space="preserve"> </w:instrText>
      </w:r>
      <w:r w:rsidRPr="00DF248B">
        <w:rPr>
          <w:rStyle w:val="af7"/>
          <w:rFonts w:eastAsia="Guttman Hodes" w:hint="cs"/>
        </w:rPr>
        <w:instrText>REF</w:instrText>
      </w:r>
      <w:r w:rsidRPr="00DF248B">
        <w:rPr>
          <w:rStyle w:val="af7"/>
          <w:rFonts w:eastAsia="Guttman Hodes" w:hint="cs"/>
          <w:rtl/>
        </w:rPr>
        <w:instrText xml:space="preserve"> _</w:instrText>
      </w:r>
      <w:r w:rsidRPr="00DF248B">
        <w:rPr>
          <w:rStyle w:val="af7"/>
          <w:rFonts w:eastAsia="Guttman Hodes" w:hint="cs"/>
        </w:rPr>
        <w:instrText>Ref975140 \r \h</w:instrText>
      </w:r>
      <w:r w:rsidRPr="00DF248B">
        <w:rPr>
          <w:rStyle w:val="af7"/>
          <w:rFonts w:eastAsia="Guttman Hodes"/>
          <w:rtl/>
        </w:rPr>
        <w:instrText xml:space="preserve"> </w:instrText>
      </w:r>
      <w:r w:rsidRPr="00DF248B">
        <w:rPr>
          <w:rStyle w:val="af7"/>
          <w:rFonts w:eastAsia="Guttman Hodes"/>
          <w:rtl/>
        </w:rPr>
      </w:r>
      <w:r w:rsidRPr="00DF248B">
        <w:rPr>
          <w:rStyle w:val="af7"/>
          <w:rFonts w:eastAsia="Guttman Hodes"/>
          <w:rtl/>
        </w:rPr>
        <w:fldChar w:fldCharType="separate"/>
      </w:r>
      <w:r w:rsidR="00345400">
        <w:rPr>
          <w:rStyle w:val="af7"/>
          <w:rFonts w:eastAsia="Guttman Hodes"/>
          <w:cs/>
        </w:rPr>
        <w:t>‎</w:t>
      </w:r>
      <w:r w:rsidR="00345400">
        <w:rPr>
          <w:rStyle w:val="af7"/>
          <w:rFonts w:eastAsia="Guttman Hodes"/>
          <w:rtl/>
        </w:rPr>
        <w:t>מט)</w:t>
      </w:r>
      <w:r w:rsidRPr="00DF248B">
        <w:rPr>
          <w:rStyle w:val="af7"/>
          <w:rFonts w:eastAsia="Guttman Hodes"/>
          <w:rtl/>
        </w:rPr>
        <w:fldChar w:fldCharType="end"/>
      </w:r>
      <w:r w:rsidRPr="00A22EE9">
        <w:rPr>
          <w:rFonts w:hint="cs"/>
          <w:rtl/>
        </w:rPr>
        <w:t>.</w:t>
      </w:r>
      <w:bookmarkEnd w:id="19478"/>
    </w:p>
    <w:p w14:paraId="13511C25" w14:textId="77777777" w:rsidR="003D504D" w:rsidRPr="00A22EE9" w:rsidRDefault="003D504D" w:rsidP="003D504D">
      <w:pPr>
        <w:pStyle w:val="a3"/>
        <w:rPr>
          <w:rtl/>
        </w:rPr>
      </w:pPr>
      <w:bookmarkStart w:id="19479" w:name="_Toc1063646"/>
      <w:bookmarkStart w:id="19480" w:name="_Toc1112086"/>
      <w:bookmarkStart w:id="19481" w:name="_Toc1123954"/>
      <w:bookmarkStart w:id="19482" w:name="_Toc19391470"/>
      <w:bookmarkStart w:id="19483" w:name="_Toc19394967"/>
      <w:r>
        <w:rPr>
          <w:rFonts w:hint="cs"/>
          <w:rtl/>
        </w:rPr>
        <w:t>ביאור הקה"י ברמב"ם דחלב הוא מגידולי הבהמה ומעורב בו חלב שחשיב כחלק מאיסור אבמה"ח</w:t>
      </w:r>
      <w:bookmarkEnd w:id="19479"/>
      <w:bookmarkEnd w:id="19480"/>
      <w:bookmarkEnd w:id="19481"/>
      <w:bookmarkEnd w:id="19482"/>
      <w:bookmarkEnd w:id="19483"/>
    </w:p>
    <w:p w14:paraId="29B16B5E" w14:textId="77777777" w:rsidR="003D504D" w:rsidRPr="00A22EE9" w:rsidRDefault="003D504D" w:rsidP="00223668">
      <w:pPr>
        <w:pStyle w:val="a0"/>
        <w:rPr>
          <w:rtl/>
        </w:rPr>
      </w:pPr>
      <w:bookmarkStart w:id="19484" w:name="_Ref1063340"/>
      <w:r w:rsidRPr="00A22EE9">
        <w:rPr>
          <w:rFonts w:hint="cs"/>
          <w:rtl/>
        </w:rPr>
        <w:t xml:space="preserve">וכתב </w:t>
      </w:r>
      <w:r w:rsidRPr="00A22EE9">
        <w:rPr>
          <w:rStyle w:val="af9"/>
          <w:rFonts w:hint="cs"/>
          <w:rtl/>
        </w:rPr>
        <w:t>הקה"י</w:t>
      </w:r>
      <w:r w:rsidRPr="00A22EE9">
        <w:rPr>
          <w:rFonts w:hint="cs"/>
          <w:rtl/>
        </w:rPr>
        <w:t xml:space="preserve"> דא"כ ה</w:t>
      </w:r>
      <w:r>
        <w:rPr>
          <w:rFonts w:hint="cs"/>
          <w:rtl/>
        </w:rPr>
        <w:t>חלב</w:t>
      </w:r>
      <w:r w:rsidRPr="00A22EE9">
        <w:rPr>
          <w:rFonts w:hint="cs"/>
          <w:rtl/>
        </w:rPr>
        <w:t xml:space="preserve"> שהוא מגידולי בהמה זו, יש בו מקצת </w:t>
      </w:r>
      <w:r>
        <w:rPr>
          <w:rFonts w:hint="cs"/>
          <w:rtl/>
        </w:rPr>
        <w:t>חלב</w:t>
      </w:r>
      <w:r w:rsidRPr="00A22EE9">
        <w:rPr>
          <w:rFonts w:hint="cs"/>
          <w:rtl/>
        </w:rPr>
        <w:t xml:space="preserve"> מן החי, ומקצת </w:t>
      </w:r>
      <w:r>
        <w:rPr>
          <w:rFonts w:hint="cs"/>
          <w:rtl/>
        </w:rPr>
        <w:t>חלב</w:t>
      </w:r>
      <w:r w:rsidRPr="00A22EE9">
        <w:rPr>
          <w:rFonts w:hint="cs"/>
          <w:rtl/>
        </w:rPr>
        <w:t xml:space="preserve"> מבן פקועה, וזו כוונת </w:t>
      </w:r>
      <w:r w:rsidRPr="00A22EE9">
        <w:rPr>
          <w:rStyle w:val="af9"/>
          <w:rFonts w:hint="cs"/>
          <w:rtl/>
        </w:rPr>
        <w:t>הרמב"ם</w:t>
      </w:r>
      <w:r w:rsidRPr="00A22EE9">
        <w:rPr>
          <w:rFonts w:hint="cs"/>
          <w:rtl/>
        </w:rPr>
        <w:t xml:space="preserve"> </w:t>
      </w:r>
      <w:r w:rsidRPr="00690A0F">
        <w:rPr>
          <w:rStyle w:val="af7"/>
          <w:rFonts w:eastAsia="Guttman Hodes" w:hint="cs"/>
          <w:rtl/>
        </w:rPr>
        <w:t xml:space="preserve">(עי' אות </w:t>
      </w:r>
      <w:r w:rsidRPr="00690A0F">
        <w:rPr>
          <w:rStyle w:val="af7"/>
          <w:rFonts w:eastAsia="Guttman Hodes"/>
          <w:rtl/>
        </w:rPr>
        <w:fldChar w:fldCharType="begin"/>
      </w:r>
      <w:r w:rsidRPr="00690A0F">
        <w:rPr>
          <w:rStyle w:val="af7"/>
          <w:rFonts w:eastAsia="Guttman Hodes"/>
          <w:rtl/>
        </w:rPr>
        <w:instrText xml:space="preserve"> </w:instrText>
      </w:r>
      <w:r w:rsidRPr="00690A0F">
        <w:rPr>
          <w:rStyle w:val="af7"/>
          <w:rFonts w:eastAsia="Guttman Hodes" w:hint="cs"/>
        </w:rPr>
        <w:instrText>REF</w:instrText>
      </w:r>
      <w:r w:rsidRPr="00690A0F">
        <w:rPr>
          <w:rStyle w:val="af7"/>
          <w:rFonts w:eastAsia="Guttman Hodes" w:hint="cs"/>
          <w:rtl/>
        </w:rPr>
        <w:instrText xml:space="preserve"> _</w:instrText>
      </w:r>
      <w:r w:rsidRPr="00690A0F">
        <w:rPr>
          <w:rStyle w:val="af7"/>
          <w:rFonts w:eastAsia="Guttman Hodes" w:hint="cs"/>
        </w:rPr>
        <w:instrText>Ref1062626 \r \h</w:instrText>
      </w:r>
      <w:r w:rsidRPr="00690A0F">
        <w:rPr>
          <w:rStyle w:val="af7"/>
          <w:rFonts w:eastAsia="Guttman Hodes"/>
          <w:rtl/>
        </w:rPr>
        <w:instrText xml:space="preserve"> </w:instrText>
      </w:r>
      <w:r w:rsidRPr="00690A0F">
        <w:rPr>
          <w:rStyle w:val="af7"/>
          <w:rFonts w:eastAsia="Guttman Hodes"/>
          <w:rtl/>
        </w:rPr>
      </w:r>
      <w:r w:rsidRPr="00690A0F">
        <w:rPr>
          <w:rStyle w:val="af7"/>
          <w:rFonts w:eastAsia="Guttman Hodes"/>
          <w:rtl/>
        </w:rPr>
        <w:fldChar w:fldCharType="separate"/>
      </w:r>
      <w:r w:rsidR="00345400">
        <w:rPr>
          <w:rStyle w:val="af7"/>
          <w:rFonts w:eastAsia="Guttman Hodes"/>
          <w:cs/>
        </w:rPr>
        <w:t>‎</w:t>
      </w:r>
      <w:r w:rsidR="00345400">
        <w:rPr>
          <w:rStyle w:val="af7"/>
          <w:rFonts w:eastAsia="Guttman Hodes"/>
          <w:rtl/>
        </w:rPr>
        <w:t>נז)</w:t>
      </w:r>
      <w:r w:rsidRPr="00690A0F">
        <w:rPr>
          <w:rStyle w:val="af7"/>
          <w:rFonts w:eastAsia="Guttman Hodes"/>
          <w:rtl/>
        </w:rPr>
        <w:fldChar w:fldCharType="end"/>
      </w:r>
      <w:r>
        <w:rPr>
          <w:rFonts w:hint="cs"/>
          <w:rtl/>
        </w:rPr>
        <w:t xml:space="preserve"> </w:t>
      </w:r>
      <w:r w:rsidRPr="00A22EE9">
        <w:rPr>
          <w:rFonts w:hint="cs"/>
          <w:rtl/>
        </w:rPr>
        <w:t>שכתב דה</w:t>
      </w:r>
      <w:r>
        <w:rPr>
          <w:rFonts w:hint="cs"/>
          <w:rtl/>
        </w:rPr>
        <w:t>חלב</w:t>
      </w:r>
      <w:r w:rsidRPr="00A22EE9">
        <w:rPr>
          <w:rFonts w:hint="cs"/>
          <w:rtl/>
        </w:rPr>
        <w:t xml:space="preserve"> בא מכלל האברים ויש בבהמה אבר אסור, והוי כ</w:t>
      </w:r>
      <w:r>
        <w:rPr>
          <w:rFonts w:hint="cs"/>
          <w:rtl/>
        </w:rPr>
        <w:t>חלב</w:t>
      </w:r>
      <w:r w:rsidRPr="00A22EE9">
        <w:rPr>
          <w:rFonts w:hint="cs"/>
          <w:rtl/>
        </w:rPr>
        <w:t xml:space="preserve"> טריפה שנתערב בכשרה, דכיון שהוא מגידולי כל הבהמה, ממילא הוא גם מגידולי האבר היוצא, ולכן ה</w:t>
      </w:r>
      <w:r>
        <w:rPr>
          <w:rFonts w:hint="cs"/>
          <w:rtl/>
        </w:rPr>
        <w:t>חלב</w:t>
      </w:r>
      <w:r w:rsidRPr="00A22EE9">
        <w:rPr>
          <w:rFonts w:hint="cs"/>
          <w:rtl/>
        </w:rPr>
        <w:t xml:space="preserve"> אסור</w:t>
      </w:r>
      <w:r>
        <w:rPr>
          <w:rFonts w:hint="cs"/>
          <w:rtl/>
        </w:rPr>
        <w:t xml:space="preserve">, </w:t>
      </w:r>
      <w:r w:rsidRPr="00A22EE9">
        <w:rPr>
          <w:rFonts w:hint="cs"/>
          <w:rtl/>
        </w:rPr>
        <w:t xml:space="preserve">וביאר </w:t>
      </w:r>
      <w:r w:rsidRPr="00A22EE9">
        <w:rPr>
          <w:rStyle w:val="af9"/>
          <w:rFonts w:hint="cs"/>
          <w:rtl/>
        </w:rPr>
        <w:t>הקה"י</w:t>
      </w:r>
      <w:r w:rsidRPr="00A22EE9">
        <w:rPr>
          <w:rFonts w:hint="cs"/>
          <w:rtl/>
        </w:rPr>
        <w:t xml:space="preserve"> </w:t>
      </w:r>
      <w:r w:rsidRPr="00DF248B">
        <w:rPr>
          <w:rStyle w:val="af7"/>
          <w:rFonts w:eastAsia="Guttman Hodes" w:hint="cs"/>
          <w:rtl/>
        </w:rPr>
        <w:t xml:space="preserve">(סי' י"ח ד"ה ואינו) </w:t>
      </w:r>
      <w:r w:rsidRPr="00A22EE9">
        <w:rPr>
          <w:rFonts w:hint="cs"/>
          <w:rtl/>
        </w:rPr>
        <w:t>דלא דמי ה</w:t>
      </w:r>
      <w:r>
        <w:rPr>
          <w:rFonts w:hint="cs"/>
          <w:rtl/>
        </w:rPr>
        <w:t>חלב</w:t>
      </w:r>
      <w:r w:rsidRPr="00A22EE9">
        <w:rPr>
          <w:rFonts w:hint="cs"/>
          <w:rtl/>
        </w:rPr>
        <w:t xml:space="preserve"> לולד של בן פקועה שיש בו אבר שאסור באיסור יוצא, דהולד הוא רק נגרם ע"י אביו, וכיון שהוא נגרם מאיסור ואינו חלק מהאיסור,  הוא מותר דכל מכח לא אמרינן, אבל ה</w:t>
      </w:r>
      <w:r>
        <w:rPr>
          <w:rFonts w:hint="cs"/>
          <w:rtl/>
        </w:rPr>
        <w:t>חלב</w:t>
      </w:r>
      <w:r w:rsidRPr="00A22EE9">
        <w:rPr>
          <w:rFonts w:hint="cs"/>
          <w:rtl/>
        </w:rPr>
        <w:t xml:space="preserve"> אינו רק  נגרם מהאיסור, אלא חשיב כחלק מהאיסור, ולכן ע"י האבר היוצא נאסר כל ה</w:t>
      </w:r>
      <w:r>
        <w:rPr>
          <w:rFonts w:hint="cs"/>
          <w:rtl/>
        </w:rPr>
        <w:t xml:space="preserve">חלב, ועי' בדברי </w:t>
      </w:r>
      <w:r w:rsidRPr="00456459">
        <w:rPr>
          <w:rStyle w:val="af9"/>
          <w:rFonts w:hint="cs"/>
          <w:rtl/>
        </w:rPr>
        <w:t>הט"ז</w:t>
      </w:r>
      <w:r>
        <w:rPr>
          <w:rFonts w:hint="cs"/>
          <w:rtl/>
        </w:rPr>
        <w:t xml:space="preserve"> </w:t>
      </w:r>
      <w:r w:rsidRPr="00456459">
        <w:rPr>
          <w:rStyle w:val="af7"/>
          <w:rFonts w:eastAsia="Guttman Hodes" w:hint="cs"/>
          <w:rtl/>
        </w:rPr>
        <w:t xml:space="preserve">(עי' אות </w:t>
      </w:r>
      <w:r w:rsidRPr="00456459">
        <w:rPr>
          <w:rStyle w:val="af7"/>
          <w:rFonts w:eastAsia="Guttman Hodes"/>
          <w:rtl/>
        </w:rPr>
        <w:fldChar w:fldCharType="begin"/>
      </w:r>
      <w:r w:rsidRPr="00456459">
        <w:rPr>
          <w:rStyle w:val="af7"/>
          <w:rFonts w:eastAsia="Guttman Hodes"/>
          <w:rtl/>
        </w:rPr>
        <w:instrText xml:space="preserve"> </w:instrText>
      </w:r>
      <w:r w:rsidRPr="00456459">
        <w:rPr>
          <w:rStyle w:val="af7"/>
          <w:rFonts w:eastAsia="Guttman Hodes" w:hint="cs"/>
        </w:rPr>
        <w:instrText>REF</w:instrText>
      </w:r>
      <w:r w:rsidRPr="00456459">
        <w:rPr>
          <w:rStyle w:val="af7"/>
          <w:rFonts w:eastAsia="Guttman Hodes" w:hint="cs"/>
          <w:rtl/>
        </w:rPr>
        <w:instrText xml:space="preserve"> _</w:instrText>
      </w:r>
      <w:r w:rsidRPr="00456459">
        <w:rPr>
          <w:rStyle w:val="af7"/>
          <w:rFonts w:eastAsia="Guttman Hodes" w:hint="cs"/>
        </w:rPr>
        <w:instrText>Ref1062495 \r \h</w:instrText>
      </w:r>
      <w:r w:rsidRPr="00456459">
        <w:rPr>
          <w:rStyle w:val="af7"/>
          <w:rFonts w:eastAsia="Guttman Hodes"/>
          <w:rtl/>
        </w:rPr>
        <w:instrText xml:space="preserve"> </w:instrText>
      </w:r>
      <w:r w:rsidRPr="00456459">
        <w:rPr>
          <w:rStyle w:val="af7"/>
          <w:rFonts w:eastAsia="Guttman Hodes"/>
          <w:rtl/>
        </w:rPr>
      </w:r>
      <w:r w:rsidRPr="00456459">
        <w:rPr>
          <w:rStyle w:val="af7"/>
          <w:rFonts w:eastAsia="Guttman Hodes"/>
          <w:rtl/>
        </w:rPr>
        <w:fldChar w:fldCharType="separate"/>
      </w:r>
      <w:r w:rsidR="00345400">
        <w:rPr>
          <w:rStyle w:val="af7"/>
          <w:rFonts w:eastAsia="Guttman Hodes"/>
          <w:cs/>
        </w:rPr>
        <w:t>‎</w:t>
      </w:r>
      <w:r w:rsidR="00345400">
        <w:rPr>
          <w:rStyle w:val="af7"/>
          <w:rFonts w:eastAsia="Guttman Hodes"/>
          <w:rtl/>
        </w:rPr>
        <w:t>סה)</w:t>
      </w:r>
      <w:r w:rsidRPr="00456459">
        <w:rPr>
          <w:rStyle w:val="af7"/>
          <w:rFonts w:eastAsia="Guttman Hodes"/>
          <w:rtl/>
        </w:rPr>
        <w:fldChar w:fldCharType="end"/>
      </w:r>
      <w:r w:rsidRPr="00A22EE9">
        <w:rPr>
          <w:rFonts w:hint="cs"/>
          <w:rtl/>
        </w:rPr>
        <w:t>.</w:t>
      </w:r>
      <w:bookmarkEnd w:id="19484"/>
    </w:p>
    <w:p w14:paraId="1670CA45" w14:textId="77777777" w:rsidR="003D504D" w:rsidRPr="00A22EE9" w:rsidRDefault="003D504D" w:rsidP="003D504D">
      <w:pPr>
        <w:pStyle w:val="a3"/>
        <w:rPr>
          <w:rtl/>
        </w:rPr>
      </w:pPr>
      <w:bookmarkStart w:id="19485" w:name="_Toc1063647"/>
      <w:bookmarkStart w:id="19486" w:name="_Toc1112087"/>
      <w:bookmarkStart w:id="19487" w:name="_Toc1123955"/>
      <w:bookmarkStart w:id="19488" w:name="_Toc19391471"/>
      <w:bookmarkStart w:id="19489" w:name="_Toc19394968"/>
      <w:r>
        <w:rPr>
          <w:rFonts w:hint="cs"/>
          <w:rtl/>
        </w:rPr>
        <w:t>ביאור הקה"י בדברי הב"ח דמהני ביטול בשישים דדנים שחלק החלב שבא מגורם ההיתר מותר</w:t>
      </w:r>
      <w:bookmarkEnd w:id="19485"/>
      <w:bookmarkEnd w:id="19486"/>
      <w:bookmarkEnd w:id="19487"/>
      <w:bookmarkEnd w:id="19488"/>
      <w:bookmarkEnd w:id="19489"/>
    </w:p>
    <w:p w14:paraId="000C79BC" w14:textId="77777777" w:rsidR="003D504D" w:rsidRDefault="003D504D" w:rsidP="00223668">
      <w:pPr>
        <w:pStyle w:val="a0"/>
        <w:rPr>
          <w:rtl/>
        </w:rPr>
      </w:pPr>
      <w:bookmarkStart w:id="19490" w:name="_Ref1063477"/>
      <w:r w:rsidRPr="00A22EE9">
        <w:rPr>
          <w:rFonts w:hint="cs"/>
          <w:rtl/>
        </w:rPr>
        <w:t xml:space="preserve">וכתב </w:t>
      </w:r>
      <w:r w:rsidRPr="00A22EE9">
        <w:rPr>
          <w:rStyle w:val="af9"/>
          <w:rFonts w:hint="cs"/>
          <w:rtl/>
        </w:rPr>
        <w:t>הקה"י</w:t>
      </w:r>
      <w:r w:rsidRPr="00A22EE9">
        <w:rPr>
          <w:rFonts w:hint="cs"/>
          <w:rtl/>
        </w:rPr>
        <w:t xml:space="preserve"> </w:t>
      </w:r>
      <w:r w:rsidRPr="004304CE">
        <w:rPr>
          <w:rStyle w:val="af7"/>
          <w:rFonts w:eastAsia="Guttman Hodes" w:hint="cs"/>
          <w:rtl/>
        </w:rPr>
        <w:t>(סי' י"ח ד"ה והנה מסברא)</w:t>
      </w:r>
      <w:r w:rsidRPr="00A22EE9">
        <w:rPr>
          <w:rFonts w:hint="cs"/>
          <w:rtl/>
        </w:rPr>
        <w:t xml:space="preserve"> דבדבר שחציו אסור וחציו מותר, אפשר לדון אי הכח של ב' הצדדים הם בכולו, או דחצי מהדבר מתייחס לאיסור וחציו להיתר, </w:t>
      </w:r>
      <w:r w:rsidRPr="00A22EE9">
        <w:rPr>
          <w:rStyle w:val="afb"/>
          <w:rFonts w:hint="cs"/>
          <w:rtl/>
        </w:rPr>
        <w:t xml:space="preserve">[עיי"ש במה שהביא </w:t>
      </w:r>
      <w:r w:rsidRPr="00A22EE9">
        <w:rPr>
          <w:rStyle w:val="affa"/>
          <w:rFonts w:hint="cs"/>
          <w:rtl/>
        </w:rPr>
        <w:t>הקה"י</w:t>
      </w:r>
      <w:r w:rsidRPr="00A22EE9">
        <w:rPr>
          <w:rStyle w:val="afb"/>
          <w:rFonts w:hint="cs"/>
          <w:rtl/>
        </w:rPr>
        <w:t xml:space="preserve"> ראיות לצד זה], </w:t>
      </w:r>
      <w:r w:rsidRPr="00A22EE9">
        <w:rPr>
          <w:rFonts w:hint="cs"/>
          <w:rtl/>
        </w:rPr>
        <w:t>ואי נימא דחלק מה</w:t>
      </w:r>
      <w:r>
        <w:rPr>
          <w:rFonts w:hint="cs"/>
          <w:rtl/>
        </w:rPr>
        <w:t>חלב</w:t>
      </w:r>
      <w:r w:rsidRPr="00A22EE9">
        <w:rPr>
          <w:rFonts w:hint="cs"/>
          <w:rtl/>
        </w:rPr>
        <w:t xml:space="preserve"> הוא של שחוטה, ו</w:t>
      </w:r>
      <w:r>
        <w:rPr>
          <w:rFonts w:hint="cs"/>
          <w:rtl/>
        </w:rPr>
        <w:t>חלב</w:t>
      </w:r>
      <w:r w:rsidRPr="00A22EE9">
        <w:rPr>
          <w:rFonts w:hint="cs"/>
          <w:rtl/>
        </w:rPr>
        <w:t xml:space="preserve"> הוא מאבר מן החי, א"כ כשיש שישים ב</w:t>
      </w:r>
      <w:r>
        <w:rPr>
          <w:rFonts w:hint="cs"/>
          <w:rtl/>
        </w:rPr>
        <w:t>חלב</w:t>
      </w:r>
      <w:r w:rsidRPr="00A22EE9">
        <w:rPr>
          <w:rFonts w:hint="cs"/>
          <w:rtl/>
        </w:rPr>
        <w:t xml:space="preserve"> שבא מהשחוטה, כנגד ה</w:t>
      </w:r>
      <w:r>
        <w:rPr>
          <w:rFonts w:hint="cs"/>
          <w:rtl/>
        </w:rPr>
        <w:t>חלב</w:t>
      </w:r>
      <w:r w:rsidRPr="00A22EE9">
        <w:rPr>
          <w:rFonts w:hint="cs"/>
          <w:rtl/>
        </w:rPr>
        <w:t xml:space="preserve"> שבא מהאבר שאסור באבר מן החי, מתבטל האיסור, וכתב </w:t>
      </w:r>
      <w:r w:rsidRPr="00A22EE9">
        <w:rPr>
          <w:rStyle w:val="af9"/>
          <w:rFonts w:hint="cs"/>
          <w:rtl/>
        </w:rPr>
        <w:t>הקה"י</w:t>
      </w:r>
      <w:r w:rsidRPr="00A22EE9">
        <w:rPr>
          <w:rFonts w:hint="cs"/>
          <w:rtl/>
        </w:rPr>
        <w:t xml:space="preserve"> דזהו הביאור בדעת </w:t>
      </w:r>
      <w:r w:rsidRPr="00A22EE9">
        <w:rPr>
          <w:rStyle w:val="af9"/>
          <w:rFonts w:hint="cs"/>
          <w:rtl/>
        </w:rPr>
        <w:t>הב"ח</w:t>
      </w:r>
      <w:r w:rsidRPr="00A22EE9">
        <w:rPr>
          <w:rFonts w:hint="cs"/>
          <w:rtl/>
        </w:rPr>
        <w:t xml:space="preserve"> </w:t>
      </w:r>
      <w:r w:rsidRPr="004D24F7">
        <w:rPr>
          <w:rStyle w:val="af7"/>
          <w:rFonts w:eastAsia="Guttman Hodes" w:hint="cs"/>
          <w:rtl/>
        </w:rPr>
        <w:t xml:space="preserve">(עי' אות </w:t>
      </w:r>
      <w:r w:rsidRPr="004D24F7">
        <w:rPr>
          <w:rStyle w:val="af7"/>
          <w:rFonts w:eastAsia="Guttman Hodes"/>
          <w:rtl/>
        </w:rPr>
        <w:fldChar w:fldCharType="begin"/>
      </w:r>
      <w:r w:rsidRPr="004D24F7">
        <w:rPr>
          <w:rStyle w:val="af7"/>
          <w:rFonts w:eastAsia="Guttman Hodes"/>
          <w:rtl/>
        </w:rPr>
        <w:instrText xml:space="preserve"> </w:instrText>
      </w:r>
      <w:r w:rsidRPr="004D24F7">
        <w:rPr>
          <w:rStyle w:val="af7"/>
          <w:rFonts w:eastAsia="Guttman Hodes" w:hint="cs"/>
        </w:rPr>
        <w:instrText>REF</w:instrText>
      </w:r>
      <w:r w:rsidRPr="004D24F7">
        <w:rPr>
          <w:rStyle w:val="af7"/>
          <w:rFonts w:eastAsia="Guttman Hodes" w:hint="cs"/>
          <w:rtl/>
        </w:rPr>
        <w:instrText xml:space="preserve"> _</w:instrText>
      </w:r>
      <w:r w:rsidRPr="004D24F7">
        <w:rPr>
          <w:rStyle w:val="af7"/>
          <w:rFonts w:eastAsia="Guttman Hodes" w:hint="cs"/>
        </w:rPr>
        <w:instrText>Ref1063386 \r \h</w:instrText>
      </w:r>
      <w:r w:rsidRPr="004D24F7">
        <w:rPr>
          <w:rStyle w:val="af7"/>
          <w:rFonts w:eastAsia="Guttman Hodes"/>
          <w:rtl/>
        </w:rPr>
        <w:instrText xml:space="preserve"> </w:instrText>
      </w:r>
      <w:r w:rsidRPr="004D24F7">
        <w:rPr>
          <w:rStyle w:val="af7"/>
          <w:rFonts w:eastAsia="Guttman Hodes"/>
          <w:rtl/>
        </w:rPr>
      </w:r>
      <w:r w:rsidRPr="004D24F7">
        <w:rPr>
          <w:rStyle w:val="af7"/>
          <w:rFonts w:eastAsia="Guttman Hodes"/>
          <w:rtl/>
        </w:rPr>
        <w:fldChar w:fldCharType="separate"/>
      </w:r>
      <w:r w:rsidR="00345400">
        <w:rPr>
          <w:rStyle w:val="af7"/>
          <w:rFonts w:eastAsia="Guttman Hodes"/>
          <w:cs/>
        </w:rPr>
        <w:t>‎</w:t>
      </w:r>
      <w:r w:rsidR="00345400">
        <w:rPr>
          <w:rStyle w:val="af7"/>
          <w:rFonts w:eastAsia="Guttman Hodes"/>
          <w:rtl/>
        </w:rPr>
        <w:t>נט)</w:t>
      </w:r>
      <w:r w:rsidRPr="004D24F7">
        <w:rPr>
          <w:rStyle w:val="af7"/>
          <w:rFonts w:eastAsia="Guttman Hodes"/>
          <w:rtl/>
        </w:rPr>
        <w:fldChar w:fldCharType="end"/>
      </w:r>
      <w:r w:rsidRPr="00A22EE9">
        <w:rPr>
          <w:rFonts w:hint="cs"/>
          <w:rtl/>
        </w:rPr>
        <w:t xml:space="preserve"> דמהני ביטול בשישים.</w:t>
      </w:r>
      <w:bookmarkEnd w:id="19490"/>
    </w:p>
    <w:p w14:paraId="79A6CB67" w14:textId="77777777" w:rsidR="003D504D" w:rsidRPr="00A22EE9" w:rsidRDefault="003D504D" w:rsidP="003D504D">
      <w:pPr>
        <w:pStyle w:val="a3"/>
        <w:rPr>
          <w:rtl/>
        </w:rPr>
      </w:pPr>
      <w:bookmarkStart w:id="19491" w:name="_Toc19391472"/>
      <w:bookmarkStart w:id="19492" w:name="_Toc19394969"/>
      <w:bookmarkStart w:id="19493" w:name="_Toc773576"/>
      <w:bookmarkStart w:id="19494" w:name="_Toc955866"/>
      <w:bookmarkStart w:id="19495" w:name="_Toc1039546"/>
      <w:bookmarkStart w:id="19496" w:name="_Toc1040791"/>
      <w:bookmarkStart w:id="19497" w:name="_Toc1056606"/>
      <w:bookmarkStart w:id="19498" w:name="_Toc1109764"/>
      <w:bookmarkStart w:id="19499" w:name="_Toc1128743"/>
      <w:r>
        <w:rPr>
          <w:rFonts w:hint="cs"/>
          <w:rtl/>
        </w:rPr>
        <w:t>דברי הקה"י דהחלב חשיב כציר של כל הבהמה וא"א להתירו מדין זה וזה גורם</w:t>
      </w:r>
      <w:bookmarkEnd w:id="19491"/>
      <w:bookmarkEnd w:id="19492"/>
    </w:p>
    <w:p w14:paraId="0ED631C6" w14:textId="77777777" w:rsidR="003D504D" w:rsidRPr="00D1544D" w:rsidRDefault="003D504D" w:rsidP="00223668">
      <w:pPr>
        <w:pStyle w:val="a0"/>
        <w:rPr>
          <w:rtl/>
        </w:rPr>
      </w:pPr>
      <w:r w:rsidRPr="00A17865">
        <w:rPr>
          <w:rFonts w:hint="cs"/>
          <w:rtl/>
        </w:rPr>
        <w:t xml:space="preserve">ובמה שהביא </w:t>
      </w:r>
      <w:r w:rsidRPr="00A17865">
        <w:rPr>
          <w:rStyle w:val="af9"/>
          <w:rFonts w:hint="cs"/>
          <w:rtl/>
        </w:rPr>
        <w:t>ה</w:t>
      </w:r>
      <w:r w:rsidR="00345400">
        <w:rPr>
          <w:rStyle w:val="af9"/>
          <w:rFonts w:hint="cs"/>
          <w:rtl/>
        </w:rPr>
        <w:t>פלתי</w:t>
      </w:r>
      <w:r w:rsidRPr="00A17865">
        <w:rPr>
          <w:rFonts w:hint="cs"/>
          <w:rtl/>
        </w:rPr>
        <w:t xml:space="preserve"> ראיה לדעת </w:t>
      </w:r>
      <w:r w:rsidRPr="00A17865">
        <w:rPr>
          <w:rStyle w:val="af9"/>
          <w:rFonts w:hint="cs"/>
          <w:rtl/>
        </w:rPr>
        <w:t>המהר"י אלפנדרי</w:t>
      </w:r>
      <w:r w:rsidRPr="00A17865">
        <w:rPr>
          <w:rFonts w:hint="cs"/>
          <w:rtl/>
        </w:rPr>
        <w:t xml:space="preserve"> שהביא </w:t>
      </w:r>
      <w:r w:rsidRPr="00A17865">
        <w:rPr>
          <w:rStyle w:val="af9"/>
          <w:rFonts w:hint="cs"/>
          <w:rtl/>
        </w:rPr>
        <w:t>המשל"מ</w:t>
      </w:r>
      <w:r w:rsidRPr="00A17865">
        <w:rPr>
          <w:rFonts w:hint="cs"/>
          <w:rtl/>
        </w:rPr>
        <w:t xml:space="preserve"> </w:t>
      </w:r>
      <w:r w:rsidRPr="005B1191">
        <w:rPr>
          <w:rStyle w:val="af7"/>
          <w:rFonts w:eastAsia="Guttman Hodes" w:hint="cs"/>
          <w:rtl/>
        </w:rPr>
        <w:t xml:space="preserve">(עי' אות </w:t>
      </w:r>
      <w:r w:rsidRPr="005B1191">
        <w:rPr>
          <w:rStyle w:val="af7"/>
          <w:rFonts w:eastAsia="Guttman Hodes"/>
          <w:rtl/>
        </w:rPr>
        <w:fldChar w:fldCharType="begin"/>
      </w:r>
      <w:r w:rsidRPr="005B1191">
        <w:rPr>
          <w:rStyle w:val="af7"/>
          <w:rFonts w:eastAsia="Guttman Hodes"/>
          <w:rtl/>
        </w:rPr>
        <w:instrText xml:space="preserve"> </w:instrText>
      </w:r>
      <w:r w:rsidRPr="005B1191">
        <w:rPr>
          <w:rStyle w:val="af7"/>
          <w:rFonts w:eastAsia="Guttman Hodes" w:hint="cs"/>
        </w:rPr>
        <w:instrText>REF</w:instrText>
      </w:r>
      <w:r w:rsidRPr="005B1191">
        <w:rPr>
          <w:rStyle w:val="af7"/>
          <w:rFonts w:eastAsia="Guttman Hodes" w:hint="cs"/>
          <w:rtl/>
        </w:rPr>
        <w:instrText xml:space="preserve"> _</w:instrText>
      </w:r>
      <w:r w:rsidRPr="005B1191">
        <w:rPr>
          <w:rStyle w:val="af7"/>
          <w:rFonts w:eastAsia="Guttman Hodes" w:hint="cs"/>
        </w:rPr>
        <w:instrText>Ref1062613 \r \h</w:instrText>
      </w:r>
      <w:r w:rsidRPr="005B1191">
        <w:rPr>
          <w:rStyle w:val="af7"/>
          <w:rFonts w:eastAsia="Guttman Hodes"/>
          <w:rtl/>
        </w:rPr>
        <w:instrText xml:space="preserve"> </w:instrText>
      </w:r>
      <w:r w:rsidRPr="005B1191">
        <w:rPr>
          <w:rStyle w:val="af7"/>
          <w:rFonts w:eastAsia="Guttman Hodes"/>
          <w:rtl/>
        </w:rPr>
      </w:r>
      <w:r w:rsidRPr="005B1191">
        <w:rPr>
          <w:rStyle w:val="af7"/>
          <w:rFonts w:eastAsia="Guttman Hodes"/>
          <w:rtl/>
        </w:rPr>
        <w:fldChar w:fldCharType="separate"/>
      </w:r>
      <w:r w:rsidR="00345400">
        <w:rPr>
          <w:rStyle w:val="af7"/>
          <w:rFonts w:eastAsia="Guttman Hodes"/>
          <w:cs/>
        </w:rPr>
        <w:t>‎</w:t>
      </w:r>
      <w:r w:rsidR="00345400">
        <w:rPr>
          <w:rStyle w:val="af7"/>
          <w:rFonts w:eastAsia="Guttman Hodes"/>
          <w:rtl/>
        </w:rPr>
        <w:t>סב)</w:t>
      </w:r>
      <w:r w:rsidRPr="005B1191">
        <w:rPr>
          <w:rStyle w:val="af7"/>
          <w:rFonts w:eastAsia="Guttman Hodes"/>
          <w:rtl/>
        </w:rPr>
        <w:fldChar w:fldCharType="end"/>
      </w:r>
      <w:r w:rsidRPr="00A17865">
        <w:rPr>
          <w:rFonts w:hint="cs"/>
          <w:rtl/>
        </w:rPr>
        <w:t xml:space="preserve"> דהחלב נברא בכל אבר ואבר, מהא דקיי"ל בספק בחלב לחומרא, ואי האברים רק גורמים את החלב, צריך להתירו מדין זה וזה גורם מותר, וכדהקשו </w:t>
      </w:r>
      <w:r w:rsidRPr="00B06D6B">
        <w:rPr>
          <w:rStyle w:val="af9"/>
          <w:rFonts w:hint="cs"/>
          <w:rtl/>
        </w:rPr>
        <w:t>התוס'</w:t>
      </w:r>
      <w:r w:rsidRPr="00B06D6B">
        <w:rPr>
          <w:rFonts w:hint="cs"/>
          <w:rtl/>
        </w:rPr>
        <w:t xml:space="preserve"> </w:t>
      </w:r>
      <w:r w:rsidRPr="005B1191">
        <w:rPr>
          <w:rStyle w:val="af7"/>
          <w:rFonts w:eastAsia="Guttman Hodes" w:hint="cs"/>
          <w:rtl/>
        </w:rPr>
        <w:t>(ד"ה תלתא)</w:t>
      </w:r>
      <w:r w:rsidRPr="00B06D6B">
        <w:rPr>
          <w:rFonts w:hint="cs"/>
          <w:rtl/>
        </w:rPr>
        <w:t xml:space="preserve"> </w:t>
      </w:r>
      <w:r w:rsidRPr="00A17865">
        <w:rPr>
          <w:rFonts w:hint="cs"/>
          <w:rtl/>
        </w:rPr>
        <w:t xml:space="preserve">בספק בולד, שיהיה מותר מדין זה וזה גורם, וכדביאר </w:t>
      </w:r>
      <w:r w:rsidRPr="00A17865">
        <w:rPr>
          <w:rStyle w:val="af9"/>
          <w:rFonts w:hint="cs"/>
          <w:rtl/>
        </w:rPr>
        <w:t>המהר"ם</w:t>
      </w:r>
      <w:r w:rsidRPr="00A17865">
        <w:rPr>
          <w:rFonts w:hint="cs"/>
          <w:rtl/>
        </w:rPr>
        <w:t xml:space="preserve"> </w:t>
      </w:r>
      <w:r w:rsidRPr="005B1191">
        <w:rPr>
          <w:rStyle w:val="af7"/>
          <w:rFonts w:eastAsia="Guttman Hodes" w:hint="cs"/>
          <w:rtl/>
        </w:rPr>
        <w:t>(על תוד"ה תלתא)</w:t>
      </w:r>
      <w:r w:rsidRPr="00B06D6B">
        <w:rPr>
          <w:rFonts w:hint="cs"/>
          <w:rtl/>
        </w:rPr>
        <w:t xml:space="preserve"> </w:t>
      </w:r>
      <w:r w:rsidRPr="00A17865">
        <w:rPr>
          <w:rFonts w:hint="cs"/>
          <w:rtl/>
        </w:rPr>
        <w:t xml:space="preserve">דהגוף המותר והאבר האסור גרמו את הולד, וכתב </w:t>
      </w:r>
      <w:r w:rsidRPr="00A17865">
        <w:rPr>
          <w:rStyle w:val="af9"/>
          <w:rFonts w:hint="cs"/>
          <w:rtl/>
        </w:rPr>
        <w:t>הקה"י</w:t>
      </w:r>
      <w:r w:rsidRPr="00A17865">
        <w:rPr>
          <w:rFonts w:hint="cs"/>
          <w:rtl/>
        </w:rPr>
        <w:t xml:space="preserve"> </w:t>
      </w:r>
      <w:r w:rsidRPr="005B1191">
        <w:rPr>
          <w:rStyle w:val="af7"/>
          <w:rFonts w:eastAsia="Guttman Hodes" w:hint="cs"/>
          <w:rtl/>
        </w:rPr>
        <w:t>(סי' י"ח ד"ה והנה מסברא)</w:t>
      </w:r>
      <w:r w:rsidRPr="00A17865">
        <w:rPr>
          <w:rFonts w:hint="cs"/>
          <w:rtl/>
        </w:rPr>
        <w:t xml:space="preserve"> דמשמע מדברי ה</w:t>
      </w:r>
      <w:r w:rsidRPr="00A17865">
        <w:rPr>
          <w:rStyle w:val="af9"/>
          <w:rFonts w:hint="cs"/>
          <w:rtl/>
        </w:rPr>
        <w:t>תוס'</w:t>
      </w:r>
      <w:r w:rsidRPr="00A17865">
        <w:rPr>
          <w:rFonts w:hint="cs"/>
          <w:rtl/>
        </w:rPr>
        <w:t xml:space="preserve"> דהספק בולד הוא רק למ"ד דזה וזה גורם אסור, אבל להלכה דקיי"ל דזה וזה גורם מותר, פשיטא דמותר, וא"כ בחלב ג"כ היה צריך להתירו מדין זה וזה גורם, אלא מוכח דהחלב נעשה בכל אבר וכדברי </w:t>
      </w:r>
      <w:r w:rsidRPr="00A17865">
        <w:rPr>
          <w:rStyle w:val="af9"/>
          <w:rFonts w:hint="cs"/>
          <w:rtl/>
        </w:rPr>
        <w:t>המהר"י אלפנדרי</w:t>
      </w:r>
      <w:r w:rsidRPr="00A17865">
        <w:rPr>
          <w:rFonts w:hint="cs"/>
          <w:rtl/>
        </w:rPr>
        <w:t>, וממילא אינו שייך כלל לדין זה וזה גורם</w:t>
      </w:r>
      <w:r>
        <w:rPr>
          <w:rFonts w:hint="cs"/>
          <w:rtl/>
        </w:rPr>
        <w:t xml:space="preserve">, </w:t>
      </w:r>
      <w:r w:rsidRPr="00A17865">
        <w:rPr>
          <w:rFonts w:hint="cs"/>
          <w:rtl/>
        </w:rPr>
        <w:t xml:space="preserve">ודחה </w:t>
      </w:r>
      <w:r w:rsidRPr="00A17865">
        <w:rPr>
          <w:rStyle w:val="af9"/>
          <w:rFonts w:hint="cs"/>
          <w:rtl/>
        </w:rPr>
        <w:t>הקה"י</w:t>
      </w:r>
      <w:r w:rsidRPr="00A17865">
        <w:rPr>
          <w:rFonts w:hint="cs"/>
          <w:rtl/>
        </w:rPr>
        <w:t xml:space="preserve"> דלפי ביאורו </w:t>
      </w:r>
      <w:r w:rsidRPr="009C566C">
        <w:rPr>
          <w:rStyle w:val="af7"/>
          <w:rFonts w:eastAsia="Guttman Hodes" w:hint="cs"/>
          <w:rtl/>
        </w:rPr>
        <w:t xml:space="preserve">(עי' אות </w:t>
      </w:r>
      <w:r w:rsidRPr="009C566C">
        <w:rPr>
          <w:rStyle w:val="af7"/>
          <w:rFonts w:eastAsia="Guttman Hodes"/>
          <w:rtl/>
        </w:rPr>
        <w:fldChar w:fldCharType="begin"/>
      </w:r>
      <w:r w:rsidRPr="009C566C">
        <w:rPr>
          <w:rStyle w:val="af7"/>
          <w:rFonts w:eastAsia="Guttman Hodes"/>
          <w:rtl/>
        </w:rPr>
        <w:instrText xml:space="preserve"> </w:instrText>
      </w:r>
      <w:r w:rsidRPr="009C566C">
        <w:rPr>
          <w:rStyle w:val="af7"/>
          <w:rFonts w:eastAsia="Guttman Hodes" w:hint="cs"/>
        </w:rPr>
        <w:instrText>REF</w:instrText>
      </w:r>
      <w:r w:rsidRPr="009C566C">
        <w:rPr>
          <w:rStyle w:val="af7"/>
          <w:rFonts w:eastAsia="Guttman Hodes" w:hint="cs"/>
          <w:rtl/>
        </w:rPr>
        <w:instrText xml:space="preserve"> _</w:instrText>
      </w:r>
      <w:r w:rsidRPr="009C566C">
        <w:rPr>
          <w:rStyle w:val="af7"/>
          <w:rFonts w:eastAsia="Guttman Hodes" w:hint="cs"/>
        </w:rPr>
        <w:instrText>Ref1249921 \r \h</w:instrText>
      </w:r>
      <w:r w:rsidRPr="009C566C">
        <w:rPr>
          <w:rStyle w:val="af7"/>
          <w:rFonts w:eastAsia="Guttman Hodes"/>
          <w:rtl/>
        </w:rPr>
        <w:instrText xml:space="preserve"> </w:instrText>
      </w:r>
      <w:r w:rsidRPr="009C566C">
        <w:rPr>
          <w:rStyle w:val="af7"/>
          <w:rFonts w:eastAsia="Guttman Hodes"/>
          <w:rtl/>
        </w:rPr>
      </w:r>
      <w:r w:rsidRPr="009C566C">
        <w:rPr>
          <w:rStyle w:val="af7"/>
          <w:rFonts w:eastAsia="Guttman Hodes"/>
          <w:rtl/>
        </w:rPr>
        <w:fldChar w:fldCharType="separate"/>
      </w:r>
      <w:r w:rsidR="00345400">
        <w:rPr>
          <w:rStyle w:val="af7"/>
          <w:rFonts w:eastAsia="Guttman Hodes"/>
          <w:cs/>
        </w:rPr>
        <w:t>‎</w:t>
      </w:r>
      <w:r w:rsidR="00345400">
        <w:rPr>
          <w:rStyle w:val="af7"/>
          <w:rFonts w:eastAsia="Guttman Hodes"/>
          <w:rtl/>
        </w:rPr>
        <w:t>צה)</w:t>
      </w:r>
      <w:r w:rsidRPr="009C566C">
        <w:rPr>
          <w:rStyle w:val="af7"/>
          <w:rFonts w:eastAsia="Guttman Hodes"/>
          <w:rtl/>
        </w:rPr>
        <w:fldChar w:fldCharType="end"/>
      </w:r>
      <w:r w:rsidRPr="00A17865">
        <w:rPr>
          <w:rFonts w:hint="cs"/>
          <w:rtl/>
        </w:rPr>
        <w:t xml:space="preserve"> אף אי נימא דהחלב אינו נוצר בכל אבר, מ"מ אין האבר נחשב כגורם בעלמא, שאפשר להתיר את החלב מדין זה וזה גורם, אלא החלב חשיב כציר של כל הבהמה וא"א להתירו מדין זה וזה גורם.</w:t>
      </w:r>
    </w:p>
    <w:p w14:paraId="4A4023B7" w14:textId="77777777" w:rsidR="003D504D" w:rsidRPr="00590BB1" w:rsidRDefault="003D504D" w:rsidP="00BF39B2">
      <w:pPr>
        <w:pStyle w:val="1"/>
        <w:rPr>
          <w:rtl/>
        </w:rPr>
      </w:pPr>
      <w:bookmarkStart w:id="19500" w:name="_Toc19391473"/>
      <w:bookmarkStart w:id="19501" w:name="_Toc19394970"/>
      <w:r>
        <w:rPr>
          <w:rFonts w:hint="cs"/>
          <w:rtl/>
        </w:rPr>
        <w:t xml:space="preserve">דברי </w:t>
      </w:r>
      <w:r w:rsidRPr="00590BB1">
        <w:rPr>
          <w:rFonts w:hint="cs"/>
          <w:rtl/>
        </w:rPr>
        <w:t xml:space="preserve">הקוב"ש </w:t>
      </w:r>
      <w:r>
        <w:rPr>
          <w:rFonts w:hint="cs"/>
          <w:rtl/>
        </w:rPr>
        <w:t>דבחלב שהוא תערובת לא</w:t>
      </w:r>
      <w:r w:rsidRPr="00590BB1">
        <w:rPr>
          <w:rFonts w:hint="cs"/>
          <w:rtl/>
        </w:rPr>
        <w:t xml:space="preserve"> הוי זה וזה גורם</w:t>
      </w:r>
      <w:bookmarkEnd w:id="19493"/>
      <w:bookmarkEnd w:id="19494"/>
      <w:bookmarkEnd w:id="19495"/>
      <w:bookmarkEnd w:id="19496"/>
      <w:bookmarkEnd w:id="19497"/>
      <w:bookmarkEnd w:id="19498"/>
      <w:bookmarkEnd w:id="19499"/>
      <w:bookmarkEnd w:id="19500"/>
      <w:bookmarkEnd w:id="19501"/>
    </w:p>
    <w:p w14:paraId="19A6F275" w14:textId="77777777" w:rsidR="003D504D" w:rsidRPr="00590BB1" w:rsidRDefault="003D504D" w:rsidP="003D504D">
      <w:pPr>
        <w:pStyle w:val="a3"/>
        <w:rPr>
          <w:rtl/>
        </w:rPr>
      </w:pPr>
      <w:bookmarkStart w:id="19502" w:name="_Toc19391474"/>
      <w:bookmarkStart w:id="19503" w:name="_Toc19394971"/>
      <w:r>
        <w:rPr>
          <w:rFonts w:hint="cs"/>
          <w:rtl/>
        </w:rPr>
        <w:t>ביאור הקוב"ש דהתוס' לא הקשו דהוי זה וזה גורם על הספק בחלב דבתערובת לא שייך זה וזה גורם</w:t>
      </w:r>
      <w:bookmarkEnd w:id="19502"/>
      <w:bookmarkEnd w:id="19503"/>
    </w:p>
    <w:p w14:paraId="34B03737" w14:textId="77777777" w:rsidR="003D504D" w:rsidRPr="00590BB1" w:rsidRDefault="003D504D" w:rsidP="00223668">
      <w:pPr>
        <w:pStyle w:val="a0"/>
      </w:pPr>
      <w:r w:rsidRPr="00B06D6B">
        <w:rPr>
          <w:rFonts w:hint="cs"/>
          <w:rtl/>
        </w:rPr>
        <w:t>בספק הגמ' אי כמו ד</w:t>
      </w:r>
      <w:r>
        <w:rPr>
          <w:rFonts w:hint="cs"/>
          <w:rtl/>
        </w:rPr>
        <w:t xml:space="preserve">ולד הבא </w:t>
      </w:r>
      <w:r w:rsidRPr="00B06D6B">
        <w:rPr>
          <w:rFonts w:hint="cs"/>
          <w:rtl/>
        </w:rPr>
        <w:t xml:space="preserve">מכח </w:t>
      </w:r>
      <w:r w:rsidRPr="00B06D6B">
        <w:rPr>
          <w:rtl/>
        </w:rPr>
        <w:t>חֵלֶב</w:t>
      </w:r>
      <w:r w:rsidRPr="00B06D6B">
        <w:rPr>
          <w:rFonts w:hint="cs"/>
          <w:rtl/>
        </w:rPr>
        <w:t xml:space="preserve"> ודם </w:t>
      </w:r>
      <w:r>
        <w:rPr>
          <w:rFonts w:hint="cs"/>
          <w:rtl/>
        </w:rPr>
        <w:t>מותר</w:t>
      </w:r>
      <w:r w:rsidRPr="00B06D6B">
        <w:rPr>
          <w:rFonts w:hint="cs"/>
          <w:rtl/>
        </w:rPr>
        <w:t xml:space="preserve">, ה"ה </w:t>
      </w:r>
      <w:r>
        <w:rPr>
          <w:rFonts w:hint="cs"/>
          <w:rtl/>
        </w:rPr>
        <w:t>דולד ה</w:t>
      </w:r>
      <w:r w:rsidRPr="00B06D6B">
        <w:rPr>
          <w:rFonts w:hint="cs"/>
          <w:rtl/>
        </w:rPr>
        <w:t>בא מכח</w:t>
      </w:r>
      <w:r>
        <w:rPr>
          <w:rFonts w:hint="cs"/>
          <w:rtl/>
        </w:rPr>
        <w:t xml:space="preserve"> אבר ה</w:t>
      </w:r>
      <w:r w:rsidRPr="00B06D6B">
        <w:rPr>
          <w:rFonts w:hint="cs"/>
          <w:rtl/>
        </w:rPr>
        <w:t>יוצא</w:t>
      </w:r>
      <w:r>
        <w:rPr>
          <w:rFonts w:hint="cs"/>
          <w:rtl/>
        </w:rPr>
        <w:t xml:space="preserve"> מותר</w:t>
      </w:r>
      <w:r w:rsidRPr="00B06D6B">
        <w:rPr>
          <w:rFonts w:hint="cs"/>
          <w:rtl/>
        </w:rPr>
        <w:t>, או ד</w:t>
      </w:r>
      <w:r>
        <w:rPr>
          <w:rFonts w:hint="cs"/>
          <w:rtl/>
        </w:rPr>
        <w:t>כיון ש</w:t>
      </w:r>
      <w:r w:rsidRPr="00B06D6B">
        <w:rPr>
          <w:rFonts w:hint="cs"/>
          <w:rtl/>
        </w:rPr>
        <w:t xml:space="preserve">בא מכח </w:t>
      </w:r>
      <w:r w:rsidRPr="00B06D6B">
        <w:rPr>
          <w:rtl/>
        </w:rPr>
        <w:t>חֵלֶב</w:t>
      </w:r>
      <w:r w:rsidRPr="00B06D6B">
        <w:rPr>
          <w:rFonts w:hint="cs"/>
          <w:rtl/>
        </w:rPr>
        <w:t xml:space="preserve"> ודם </w:t>
      </w:r>
      <w:r>
        <w:rPr>
          <w:rFonts w:hint="cs"/>
          <w:rtl/>
        </w:rPr>
        <w:t>ואבר ה</w:t>
      </w:r>
      <w:r w:rsidRPr="00B06D6B">
        <w:rPr>
          <w:rFonts w:hint="cs"/>
          <w:rtl/>
        </w:rPr>
        <w:t>יוצא</w:t>
      </w:r>
      <w:r>
        <w:rPr>
          <w:rFonts w:hint="cs"/>
          <w:rtl/>
        </w:rPr>
        <w:t xml:space="preserve"> שהם </w:t>
      </w:r>
      <w:r w:rsidRPr="00B06D6B">
        <w:rPr>
          <w:rFonts w:hint="cs"/>
          <w:rtl/>
        </w:rPr>
        <w:t xml:space="preserve">שלוש איסורים אסור, </w:t>
      </w:r>
      <w:r>
        <w:rPr>
          <w:rFonts w:hint="cs"/>
          <w:rtl/>
        </w:rPr>
        <w:t>ד</w:t>
      </w:r>
      <w:r w:rsidRPr="00B06D6B">
        <w:rPr>
          <w:rFonts w:hint="cs"/>
          <w:rtl/>
        </w:rPr>
        <w:t xml:space="preserve">הקשו </w:t>
      </w:r>
      <w:r w:rsidRPr="00B06D6B">
        <w:rPr>
          <w:rStyle w:val="af9"/>
          <w:rFonts w:hint="cs"/>
          <w:rtl/>
        </w:rPr>
        <w:t>התוס'</w:t>
      </w:r>
      <w:r w:rsidRPr="00B06D6B">
        <w:rPr>
          <w:rFonts w:hint="cs"/>
          <w:rtl/>
        </w:rPr>
        <w:t xml:space="preserve"> </w:t>
      </w:r>
      <w:r w:rsidRPr="005679AC">
        <w:rPr>
          <w:rStyle w:val="af7"/>
          <w:rFonts w:eastAsia="Guttman Hodes" w:hint="cs"/>
          <w:rtl/>
        </w:rPr>
        <w:t>(ד"ה תלתא)</w:t>
      </w:r>
      <w:r w:rsidRPr="00B06D6B">
        <w:rPr>
          <w:rFonts w:hint="cs"/>
          <w:rtl/>
        </w:rPr>
        <w:t xml:space="preserve"> דהרי קיי"ל דזה וזה גורם מותר,</w:t>
      </w:r>
      <w:r>
        <w:rPr>
          <w:rFonts w:hint="cs"/>
          <w:rtl/>
        </w:rPr>
        <w:t xml:space="preserve"> </w:t>
      </w:r>
      <w:r w:rsidRPr="00590BB1">
        <w:rPr>
          <w:rFonts w:hint="cs"/>
          <w:rtl/>
        </w:rPr>
        <w:t xml:space="preserve">כתב </w:t>
      </w:r>
      <w:r w:rsidRPr="00590BB1">
        <w:rPr>
          <w:rStyle w:val="af9"/>
          <w:rFonts w:hint="cs"/>
          <w:rtl/>
        </w:rPr>
        <w:t>הקוב"ש</w:t>
      </w:r>
      <w:r w:rsidRPr="00590BB1">
        <w:rPr>
          <w:rFonts w:hint="cs"/>
          <w:rtl/>
        </w:rPr>
        <w:t xml:space="preserve"> </w:t>
      </w:r>
      <w:r w:rsidRPr="005679AC">
        <w:rPr>
          <w:rStyle w:val="af7"/>
          <w:rFonts w:eastAsia="Guttman Hodes" w:hint="cs"/>
          <w:rtl/>
        </w:rPr>
        <w:t>(ח"ב קובץ שמועות חולין כ"ט)</w:t>
      </w:r>
      <w:r w:rsidRPr="00590BB1">
        <w:rPr>
          <w:rFonts w:hint="cs"/>
          <w:rtl/>
        </w:rPr>
        <w:t xml:space="preserve"> דהא </w:t>
      </w:r>
      <w:r w:rsidRPr="00590BB1">
        <w:rPr>
          <w:rStyle w:val="af9"/>
          <w:rFonts w:hint="cs"/>
          <w:rtl/>
        </w:rPr>
        <w:t>דהתוס'</w:t>
      </w:r>
      <w:r w:rsidRPr="00590BB1">
        <w:rPr>
          <w:rFonts w:hint="cs"/>
          <w:rtl/>
        </w:rPr>
        <w:t xml:space="preserve"> הקשו כן רק על קושית הגמ', ולא על המסקנא דהספק הוא לגבי חלב, הוא כיון דהאיסור בחלב הוא מחמת שיש תערובת של החלב שבא מהאבר האסור, עם החלב המותר שבא משאר הבהמה, ובתערובת לא אמרינן זה וזה גורם.</w:t>
      </w:r>
    </w:p>
    <w:p w14:paraId="6743021C" w14:textId="77777777" w:rsidR="003D504D" w:rsidRPr="00590BB1" w:rsidRDefault="003D504D" w:rsidP="003D504D">
      <w:pPr>
        <w:pStyle w:val="a3"/>
        <w:rPr>
          <w:rtl/>
        </w:rPr>
      </w:pPr>
      <w:bookmarkStart w:id="19504" w:name="_Toc19391475"/>
      <w:bookmarkStart w:id="19505" w:name="_Toc19394972"/>
      <w:r>
        <w:rPr>
          <w:rFonts w:hint="cs"/>
          <w:rtl/>
        </w:rPr>
        <w:t>דברי הקוב"ש דכן מבואר ברמב"ם דהחלב הוא תעורבת איסור והיתר</w:t>
      </w:r>
      <w:bookmarkEnd w:id="19504"/>
      <w:bookmarkEnd w:id="19505"/>
    </w:p>
    <w:p w14:paraId="10B4D0CE" w14:textId="77777777" w:rsidR="003D504D" w:rsidRDefault="003D504D" w:rsidP="00223668">
      <w:pPr>
        <w:pStyle w:val="a0"/>
        <w:rPr>
          <w:rtl/>
        </w:rPr>
      </w:pPr>
      <w:r w:rsidRPr="00590BB1">
        <w:rPr>
          <w:rFonts w:hint="cs"/>
          <w:rtl/>
        </w:rPr>
        <w:t xml:space="preserve">וכתב </w:t>
      </w:r>
      <w:r w:rsidRPr="00590BB1">
        <w:rPr>
          <w:rStyle w:val="af9"/>
          <w:rFonts w:hint="cs"/>
          <w:rtl/>
        </w:rPr>
        <w:t>הקוב"ש</w:t>
      </w:r>
      <w:r w:rsidRPr="00590BB1">
        <w:rPr>
          <w:rFonts w:hint="cs"/>
          <w:rtl/>
        </w:rPr>
        <w:t xml:space="preserve"> דכן מבואר בדברי </w:t>
      </w:r>
      <w:r w:rsidRPr="00590BB1">
        <w:rPr>
          <w:rStyle w:val="af9"/>
          <w:rFonts w:hint="cs"/>
          <w:rtl/>
        </w:rPr>
        <w:t>הרמב"ם</w:t>
      </w:r>
      <w:r w:rsidRPr="00590BB1">
        <w:rPr>
          <w:rFonts w:hint="cs"/>
          <w:rtl/>
        </w:rPr>
        <w:t xml:space="preserve"> </w:t>
      </w:r>
      <w:r>
        <w:rPr>
          <w:rStyle w:val="af7"/>
          <w:rFonts w:eastAsia="Guttman Hodes" w:hint="cs"/>
          <w:rtl/>
        </w:rPr>
        <w:t xml:space="preserve">(עי' </w:t>
      </w:r>
      <w:r w:rsidRPr="00E03448">
        <w:rPr>
          <w:rStyle w:val="af7"/>
          <w:rFonts w:eastAsia="Guttman Hodes" w:hint="cs"/>
          <w:rtl/>
        </w:rPr>
        <w:t xml:space="preserve">אות </w:t>
      </w:r>
      <w:r w:rsidRPr="00E03448">
        <w:rPr>
          <w:rStyle w:val="af7"/>
          <w:rFonts w:eastAsia="Guttman Hodes"/>
          <w:rtl/>
        </w:rPr>
        <w:fldChar w:fldCharType="begin"/>
      </w:r>
      <w:r w:rsidRPr="00E03448">
        <w:rPr>
          <w:rStyle w:val="af7"/>
          <w:rFonts w:eastAsia="Guttman Hodes"/>
          <w:rtl/>
        </w:rPr>
        <w:instrText xml:space="preserve"> </w:instrText>
      </w:r>
      <w:r w:rsidRPr="00E03448">
        <w:rPr>
          <w:rStyle w:val="af7"/>
          <w:rFonts w:eastAsia="Guttman Hodes" w:hint="cs"/>
        </w:rPr>
        <w:instrText>REF</w:instrText>
      </w:r>
      <w:r w:rsidRPr="00E03448">
        <w:rPr>
          <w:rStyle w:val="af7"/>
          <w:rFonts w:eastAsia="Guttman Hodes" w:hint="cs"/>
          <w:rtl/>
        </w:rPr>
        <w:instrText xml:space="preserve"> _</w:instrText>
      </w:r>
      <w:r w:rsidRPr="00E03448">
        <w:rPr>
          <w:rStyle w:val="af7"/>
          <w:rFonts w:eastAsia="Guttman Hodes" w:hint="cs"/>
        </w:rPr>
        <w:instrText>Ref1117898 \r \h</w:instrText>
      </w:r>
      <w:r w:rsidRPr="00E03448">
        <w:rPr>
          <w:rStyle w:val="af7"/>
          <w:rFonts w:eastAsia="Guttman Hodes"/>
          <w:rtl/>
        </w:rPr>
        <w:instrText xml:space="preserve"> </w:instrText>
      </w:r>
      <w:r w:rsidRPr="00E03448">
        <w:rPr>
          <w:rStyle w:val="af7"/>
          <w:rFonts w:eastAsia="Guttman Hodes"/>
          <w:rtl/>
        </w:rPr>
      </w:r>
      <w:r w:rsidRPr="00E03448">
        <w:rPr>
          <w:rStyle w:val="af7"/>
          <w:rFonts w:eastAsia="Guttman Hodes"/>
          <w:rtl/>
        </w:rPr>
        <w:fldChar w:fldCharType="separate"/>
      </w:r>
      <w:r w:rsidR="00345400">
        <w:rPr>
          <w:rStyle w:val="af7"/>
          <w:rFonts w:eastAsia="Guttman Hodes"/>
          <w:cs/>
        </w:rPr>
        <w:t>‎</w:t>
      </w:r>
      <w:r w:rsidR="00345400">
        <w:rPr>
          <w:rStyle w:val="af7"/>
          <w:rFonts w:eastAsia="Guttman Hodes"/>
          <w:rtl/>
        </w:rPr>
        <w:t>נז)</w:t>
      </w:r>
      <w:r w:rsidRPr="00E03448">
        <w:rPr>
          <w:rStyle w:val="af7"/>
          <w:rFonts w:eastAsia="Guttman Hodes"/>
          <w:rtl/>
        </w:rPr>
        <w:fldChar w:fldCharType="end"/>
      </w:r>
      <w:r>
        <w:rPr>
          <w:rFonts w:hint="cs"/>
          <w:rtl/>
        </w:rPr>
        <w:t xml:space="preserve"> </w:t>
      </w:r>
      <w:r w:rsidRPr="00590BB1">
        <w:rPr>
          <w:rFonts w:hint="cs"/>
          <w:rtl/>
        </w:rPr>
        <w:t xml:space="preserve">דכתב דהאיסור בחלב הוא מחמת שבא מכח כל האברים, ויש בבהמה אבר אחד שהוא אסור באיסור יוצא, ולכן החלב הוא כחלב טריפה שנתערב בחלב טהורה, וכתב </w:t>
      </w:r>
      <w:r w:rsidRPr="00590BB1">
        <w:rPr>
          <w:rStyle w:val="af9"/>
          <w:rFonts w:hint="cs"/>
          <w:rtl/>
        </w:rPr>
        <w:t>הקוב"ש</w:t>
      </w:r>
      <w:r w:rsidRPr="00590BB1">
        <w:rPr>
          <w:rFonts w:hint="cs"/>
          <w:rtl/>
        </w:rPr>
        <w:t xml:space="preserve"> דמבואר מדברי </w:t>
      </w:r>
      <w:r w:rsidRPr="00590BB1">
        <w:rPr>
          <w:rStyle w:val="af9"/>
          <w:rFonts w:hint="cs"/>
          <w:rtl/>
        </w:rPr>
        <w:t>הרמב"ם</w:t>
      </w:r>
      <w:r w:rsidRPr="00590BB1">
        <w:rPr>
          <w:rFonts w:hint="cs"/>
          <w:rtl/>
        </w:rPr>
        <w:t xml:space="preserve"> דהאיסור בחלב, הוא מדין תערובת, שמ</w:t>
      </w:r>
      <w:r>
        <w:rPr>
          <w:rFonts w:hint="cs"/>
          <w:rtl/>
        </w:rPr>
        <w:t>עורב בו חלב איסור.</w:t>
      </w:r>
    </w:p>
    <w:p w14:paraId="03BB2025" w14:textId="77777777" w:rsidR="003D504D" w:rsidRDefault="003D504D" w:rsidP="003D504D">
      <w:pPr>
        <w:pStyle w:val="afe"/>
        <w:rPr>
          <w:rtl/>
        </w:rPr>
      </w:pPr>
      <w:bookmarkStart w:id="19506" w:name="_Toc1040759"/>
      <w:bookmarkStart w:id="19507" w:name="_Toc1063648"/>
      <w:bookmarkStart w:id="19508" w:name="_Toc1112088"/>
      <w:bookmarkStart w:id="19509" w:name="_Toc1123956"/>
      <w:bookmarkStart w:id="19510" w:name="_Toc19436146"/>
      <w:bookmarkStart w:id="19511" w:name="_Toc20081326"/>
      <w:r>
        <w:rPr>
          <w:rFonts w:hint="cs"/>
          <w:rtl/>
        </w:rPr>
        <w:t>הראיות מסוגיין לגדר איסור אבר היוצא</w:t>
      </w:r>
      <w:bookmarkEnd w:id="19506"/>
      <w:bookmarkEnd w:id="19507"/>
      <w:bookmarkEnd w:id="19508"/>
      <w:bookmarkEnd w:id="19509"/>
      <w:bookmarkEnd w:id="19510"/>
      <w:bookmarkEnd w:id="19511"/>
      <w:r>
        <w:rPr>
          <w:rFonts w:hint="cs"/>
          <w:rtl/>
        </w:rPr>
        <w:t xml:space="preserve"> </w:t>
      </w:r>
    </w:p>
    <w:p w14:paraId="3CCCCC7C" w14:textId="77777777" w:rsidR="003D504D" w:rsidRPr="00472476" w:rsidRDefault="003D504D" w:rsidP="00BF39B2">
      <w:pPr>
        <w:pStyle w:val="1"/>
        <w:rPr>
          <w:rtl/>
        </w:rPr>
      </w:pPr>
      <w:bookmarkStart w:id="19512" w:name="_Toc1039517"/>
      <w:bookmarkStart w:id="19513" w:name="_Toc1040760"/>
      <w:bookmarkStart w:id="19514" w:name="_Toc1063649"/>
      <w:bookmarkStart w:id="19515" w:name="_Toc1112089"/>
      <w:bookmarkStart w:id="19516" w:name="_Toc1123957"/>
      <w:bookmarkStart w:id="19517" w:name="_Toc19391476"/>
      <w:bookmarkStart w:id="19518" w:name="_Toc19394973"/>
      <w:r>
        <w:rPr>
          <w:rFonts w:hint="cs"/>
          <w:rtl/>
        </w:rPr>
        <w:t>דברי המשנת ר"א דרש"י ותוס' נחלקו בגדר איסור אבר היוצא</w:t>
      </w:r>
      <w:bookmarkEnd w:id="19512"/>
      <w:bookmarkEnd w:id="19513"/>
      <w:bookmarkEnd w:id="19514"/>
      <w:bookmarkEnd w:id="19515"/>
      <w:bookmarkEnd w:id="19516"/>
      <w:bookmarkEnd w:id="19517"/>
      <w:bookmarkEnd w:id="19518"/>
    </w:p>
    <w:p w14:paraId="17CD8EDC" w14:textId="77777777" w:rsidR="003D504D" w:rsidRDefault="003D504D" w:rsidP="003D504D">
      <w:pPr>
        <w:pStyle w:val="a3"/>
        <w:rPr>
          <w:rtl/>
        </w:rPr>
      </w:pPr>
      <w:bookmarkStart w:id="19519" w:name="_Toc1039518"/>
      <w:bookmarkStart w:id="19520" w:name="_Toc1040761"/>
      <w:bookmarkStart w:id="19521" w:name="_Toc1063650"/>
      <w:bookmarkStart w:id="19522" w:name="_Toc1112090"/>
      <w:bookmarkStart w:id="19523" w:name="_Toc1123958"/>
      <w:bookmarkStart w:id="19524" w:name="_Toc19391477"/>
      <w:bookmarkStart w:id="19525" w:name="_Toc19394974"/>
      <w:r>
        <w:rPr>
          <w:rFonts w:hint="cs"/>
          <w:rtl/>
        </w:rPr>
        <w:t>דברי המשנת ר"א דלתוס' באבר היוצא יש חסרון בשחיטה ואם היה אפשר לשוחטו היה מותר</w:t>
      </w:r>
      <w:bookmarkEnd w:id="19519"/>
      <w:bookmarkEnd w:id="19520"/>
      <w:bookmarkEnd w:id="19521"/>
      <w:bookmarkEnd w:id="19522"/>
      <w:bookmarkEnd w:id="19523"/>
      <w:bookmarkEnd w:id="19524"/>
      <w:bookmarkEnd w:id="19525"/>
    </w:p>
    <w:p w14:paraId="43EE5148" w14:textId="77777777" w:rsidR="003D504D" w:rsidRDefault="003D504D" w:rsidP="00223668">
      <w:pPr>
        <w:pStyle w:val="a0"/>
        <w:rPr>
          <w:rtl/>
        </w:rPr>
      </w:pPr>
      <w:bookmarkStart w:id="19526" w:name="_Ref815013"/>
      <w:r>
        <w:rPr>
          <w:rFonts w:hint="cs"/>
          <w:rtl/>
        </w:rPr>
        <w:t xml:space="preserve">בביאור </w:t>
      </w:r>
      <w:r w:rsidRPr="003C5C7F">
        <w:rPr>
          <w:rFonts w:hint="cs"/>
          <w:rtl/>
        </w:rPr>
        <w:t xml:space="preserve">דברי </w:t>
      </w:r>
      <w:r w:rsidRPr="00CB3E88">
        <w:rPr>
          <w:rStyle w:val="af9"/>
          <w:rFonts w:hint="cs"/>
          <w:rtl/>
        </w:rPr>
        <w:t>התוס' לקמן</w:t>
      </w:r>
      <w:r w:rsidRPr="003C5C7F">
        <w:rPr>
          <w:rFonts w:hint="cs"/>
          <w:rtl/>
        </w:rPr>
        <w:t xml:space="preserve"> </w:t>
      </w:r>
      <w:r w:rsidRPr="00CB3E88">
        <w:rPr>
          <w:rStyle w:val="af9"/>
          <w:rFonts w:hint="cs"/>
          <w:rtl/>
        </w:rPr>
        <w:t>והרשב"א</w:t>
      </w:r>
      <w:r>
        <w:rPr>
          <w:rFonts w:hint="cs"/>
          <w:rtl/>
        </w:rPr>
        <w:t xml:space="preserve"> </w:t>
      </w:r>
      <w:r w:rsidRPr="004304CE">
        <w:rPr>
          <w:rStyle w:val="af7"/>
          <w:rFonts w:eastAsia="Guttman Hodes" w:hint="cs"/>
          <w:rtl/>
        </w:rPr>
        <w:t xml:space="preserve">(עי' אות </w:t>
      </w:r>
      <w:r w:rsidRPr="002E565C">
        <w:rPr>
          <w:rStyle w:val="af7"/>
          <w:rFonts w:eastAsia="Guttman Hodes"/>
          <w:rtl/>
        </w:rPr>
        <w:fldChar w:fldCharType="begin"/>
      </w:r>
      <w:r w:rsidRPr="002E565C">
        <w:rPr>
          <w:rStyle w:val="af7"/>
          <w:rFonts w:eastAsia="Guttman Hodes"/>
          <w:rtl/>
        </w:rPr>
        <w:instrText xml:space="preserve"> </w:instrText>
      </w:r>
      <w:r w:rsidRPr="002E565C">
        <w:rPr>
          <w:rStyle w:val="af7"/>
          <w:rFonts w:eastAsia="Guttman Hodes" w:hint="cs"/>
        </w:rPr>
        <w:instrText>REF</w:instrText>
      </w:r>
      <w:r w:rsidRPr="002E565C">
        <w:rPr>
          <w:rStyle w:val="af7"/>
          <w:rFonts w:eastAsia="Guttman Hodes" w:hint="cs"/>
          <w:rtl/>
        </w:rPr>
        <w:instrText xml:space="preserve"> _</w:instrText>
      </w:r>
      <w:r w:rsidRPr="002E565C">
        <w:rPr>
          <w:rStyle w:val="af7"/>
          <w:rFonts w:eastAsia="Guttman Hodes" w:hint="cs"/>
        </w:rPr>
        <w:instrText>Ref536787007 \r \h</w:instrText>
      </w:r>
      <w:r w:rsidRPr="002E565C">
        <w:rPr>
          <w:rStyle w:val="af7"/>
          <w:rFonts w:eastAsia="Guttman Hodes"/>
          <w:rtl/>
        </w:rPr>
        <w:instrText xml:space="preserve"> </w:instrText>
      </w:r>
      <w:r w:rsidRPr="002E565C">
        <w:rPr>
          <w:rStyle w:val="af7"/>
          <w:rFonts w:eastAsia="Guttman Hodes"/>
          <w:rtl/>
        </w:rPr>
      </w:r>
      <w:r w:rsidRPr="002E565C">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2E565C">
        <w:rPr>
          <w:rStyle w:val="af7"/>
          <w:rFonts w:eastAsia="Guttman Hodes"/>
          <w:rtl/>
        </w:rPr>
        <w:fldChar w:fldCharType="end"/>
      </w:r>
      <w:r>
        <w:rPr>
          <w:rFonts w:hint="cs"/>
          <w:rtl/>
        </w:rPr>
        <w:t xml:space="preserve"> </w:t>
      </w:r>
      <w:r w:rsidRPr="003C5C7F">
        <w:rPr>
          <w:rFonts w:hint="cs"/>
          <w:rtl/>
        </w:rPr>
        <w:t>דכיון שסימני</w:t>
      </w:r>
      <w:r>
        <w:rPr>
          <w:rFonts w:hint="cs"/>
          <w:rtl/>
        </w:rPr>
        <w:t xml:space="preserve"> הולד</w:t>
      </w:r>
      <w:r w:rsidRPr="003C5C7F">
        <w:rPr>
          <w:rFonts w:hint="cs"/>
          <w:rtl/>
        </w:rPr>
        <w:t xml:space="preserve"> חשיבי כשחוטין וא"א לשוחטם, </w:t>
      </w:r>
      <w:r>
        <w:rPr>
          <w:rFonts w:hint="cs"/>
          <w:rtl/>
        </w:rPr>
        <w:t xml:space="preserve">אף </w:t>
      </w:r>
      <w:r w:rsidRPr="003C5C7F">
        <w:rPr>
          <w:rFonts w:hint="cs"/>
          <w:rtl/>
        </w:rPr>
        <w:t>למ"ד דד' סימנים אכשר ביה רחמנא</w:t>
      </w:r>
      <w:r>
        <w:rPr>
          <w:rFonts w:hint="cs"/>
          <w:rtl/>
        </w:rPr>
        <w:t>,</w:t>
      </w:r>
      <w:r w:rsidRPr="003C5C7F">
        <w:rPr>
          <w:rtl/>
        </w:rPr>
        <w:t xml:space="preserve"> </w:t>
      </w:r>
      <w:r w:rsidRPr="003C5C7F">
        <w:rPr>
          <w:rFonts w:hint="cs"/>
          <w:rtl/>
        </w:rPr>
        <w:t>לא שייך להתירו</w:t>
      </w:r>
      <w:r>
        <w:rPr>
          <w:rFonts w:hint="cs"/>
          <w:rtl/>
        </w:rPr>
        <w:t>,</w:t>
      </w:r>
      <w:r w:rsidRPr="003C5C7F">
        <w:rPr>
          <w:rFonts w:hint="cs"/>
          <w:rtl/>
        </w:rPr>
        <w:t xml:space="preserve"> </w:t>
      </w:r>
      <w:r w:rsidRPr="003C5C7F">
        <w:rPr>
          <w:rtl/>
        </w:rPr>
        <w:t xml:space="preserve">כתב </w:t>
      </w:r>
      <w:r w:rsidRPr="00CB3E88">
        <w:rPr>
          <w:rStyle w:val="af9"/>
          <w:rtl/>
        </w:rPr>
        <w:t>המשנת ר"א</w:t>
      </w:r>
      <w:r>
        <w:rPr>
          <w:rStyle w:val="af9"/>
          <w:rFonts w:hint="cs"/>
          <w:rtl/>
        </w:rPr>
        <w:t xml:space="preserve"> </w:t>
      </w:r>
      <w:r w:rsidRPr="004304CE">
        <w:rPr>
          <w:rStyle w:val="af7"/>
          <w:rFonts w:eastAsia="Guttman Hodes"/>
          <w:rtl/>
        </w:rPr>
        <w:t>(חולין סי' ד' אות א' ד"ה אכן נראה)</w:t>
      </w:r>
      <w:r w:rsidRPr="003C5C7F">
        <w:rPr>
          <w:rtl/>
        </w:rPr>
        <w:t xml:space="preserve">  </w:t>
      </w:r>
      <w:r w:rsidRPr="003C5C7F">
        <w:rPr>
          <w:rFonts w:hint="cs"/>
          <w:rtl/>
        </w:rPr>
        <w:t xml:space="preserve">דמדכתבו </w:t>
      </w:r>
      <w:r w:rsidRPr="00CB3E88">
        <w:rPr>
          <w:rStyle w:val="af9"/>
          <w:rFonts w:hint="cs"/>
          <w:rtl/>
        </w:rPr>
        <w:t>התוס' והרשב"א</w:t>
      </w:r>
      <w:r>
        <w:rPr>
          <w:rFonts w:hint="cs"/>
          <w:rtl/>
        </w:rPr>
        <w:t xml:space="preserve"> </w:t>
      </w:r>
      <w:r w:rsidRPr="003C5C7F">
        <w:rPr>
          <w:rFonts w:hint="cs"/>
          <w:rtl/>
        </w:rPr>
        <w:t>דסברת רב משרשיא היא דסימניו כשחוטים</w:t>
      </w:r>
      <w:r>
        <w:rPr>
          <w:rFonts w:hint="cs"/>
          <w:rtl/>
        </w:rPr>
        <w:t>,</w:t>
      </w:r>
      <w:r w:rsidRPr="003C5C7F">
        <w:rPr>
          <w:rFonts w:hint="cs"/>
          <w:rtl/>
        </w:rPr>
        <w:t xml:space="preserve"> א"כ מבואר מדבריהם דהאיסור באבר היוצא הוא מחמת חסרון שחיטה, דחשיב שלא נשחט האבר בשחיטת האם, ואם היה אפשר לתקן את האבר בשחיטה היה מותר, אלא דאחר שסימני העובר חשיבי כשחוטים, אין לו תקנה בשחיטה, אף למ"ד דד' סימנים אכשר ביה רחמנא</w:t>
      </w:r>
      <w:r>
        <w:rPr>
          <w:rFonts w:hint="cs"/>
          <w:rtl/>
        </w:rPr>
        <w:t>,</w:t>
      </w:r>
      <w:r w:rsidRPr="00A44426">
        <w:rPr>
          <w:rFonts w:hint="cs"/>
          <w:rtl/>
        </w:rPr>
        <w:t xml:space="preserve"> </w:t>
      </w:r>
      <w:r>
        <w:rPr>
          <w:rFonts w:hint="cs"/>
          <w:rtl/>
        </w:rPr>
        <w:t xml:space="preserve">וכ"כ </w:t>
      </w:r>
      <w:r w:rsidRPr="00FD063A">
        <w:rPr>
          <w:rStyle w:val="af9"/>
          <w:rFonts w:hint="cs"/>
          <w:rtl/>
        </w:rPr>
        <w:t>האשר לשלמה</w:t>
      </w:r>
      <w:r>
        <w:rPr>
          <w:rFonts w:hint="cs"/>
          <w:rtl/>
        </w:rPr>
        <w:t xml:space="preserve"> </w:t>
      </w:r>
      <w:r w:rsidRPr="004304CE">
        <w:rPr>
          <w:rStyle w:val="af7"/>
          <w:rFonts w:eastAsia="Guttman Hodes" w:hint="cs"/>
          <w:rtl/>
        </w:rPr>
        <w:t>(קדשים סי' ס"ב [מהדו' ישנה ח"ג סי' נ"ד] ד"ה וברש"י)</w:t>
      </w:r>
      <w:r>
        <w:rPr>
          <w:rFonts w:hint="cs"/>
          <w:rtl/>
        </w:rPr>
        <w:t xml:space="preserve">, </w:t>
      </w:r>
      <w:r w:rsidRPr="007A3BC4">
        <w:rPr>
          <w:rFonts w:hint="cs"/>
          <w:rtl/>
        </w:rPr>
        <w:t>וכ"כ</w:t>
      </w:r>
      <w:r w:rsidRPr="007A3BC4">
        <w:rPr>
          <w:rStyle w:val="af9"/>
          <w:rFonts w:hint="cs"/>
          <w:rtl/>
        </w:rPr>
        <w:t xml:space="preserve"> </w:t>
      </w:r>
      <w:r w:rsidRPr="00C10F4F">
        <w:rPr>
          <w:rStyle w:val="af9"/>
          <w:rFonts w:hint="cs"/>
          <w:rtl/>
        </w:rPr>
        <w:t>האמרי משה</w:t>
      </w:r>
      <w:r w:rsidRPr="00C10F4F">
        <w:rPr>
          <w:rFonts w:hint="cs"/>
          <w:rtl/>
        </w:rPr>
        <w:t xml:space="preserve"> </w:t>
      </w:r>
      <w:r w:rsidRPr="004304CE">
        <w:rPr>
          <w:rStyle w:val="af7"/>
          <w:rFonts w:eastAsia="Guttman Hodes" w:hint="cs"/>
          <w:rtl/>
        </w:rPr>
        <w:t xml:space="preserve">(סי' ד' </w:t>
      </w:r>
      <w:r>
        <w:rPr>
          <w:rStyle w:val="af7"/>
          <w:rFonts w:eastAsia="Guttman Hodes" w:hint="cs"/>
          <w:rtl/>
        </w:rPr>
        <w:t xml:space="preserve">סוף </w:t>
      </w:r>
      <w:r w:rsidRPr="004304CE">
        <w:rPr>
          <w:rStyle w:val="af7"/>
          <w:rFonts w:eastAsia="Guttman Hodes" w:hint="cs"/>
          <w:rtl/>
        </w:rPr>
        <w:t xml:space="preserve">אות כ"ט) </w:t>
      </w:r>
      <w:r>
        <w:rPr>
          <w:rFonts w:hint="cs"/>
          <w:rtl/>
        </w:rPr>
        <w:t xml:space="preserve">בביאור דברי </w:t>
      </w:r>
      <w:r w:rsidRPr="00153737">
        <w:rPr>
          <w:rStyle w:val="af9"/>
          <w:rFonts w:hint="cs"/>
          <w:rtl/>
        </w:rPr>
        <w:t>התוס'</w:t>
      </w:r>
      <w:r>
        <w:rPr>
          <w:rStyle w:val="af9"/>
          <w:rFonts w:hint="cs"/>
          <w:rtl/>
        </w:rPr>
        <w:t>,</w:t>
      </w:r>
      <w:r w:rsidRPr="00153737">
        <w:rPr>
          <w:rStyle w:val="af9"/>
          <w:rFonts w:hint="cs"/>
          <w:rtl/>
        </w:rPr>
        <w:t xml:space="preserve"> </w:t>
      </w:r>
      <w:r>
        <w:rPr>
          <w:rFonts w:hint="cs"/>
          <w:rtl/>
        </w:rPr>
        <w:t xml:space="preserve">אך כתב </w:t>
      </w:r>
      <w:r w:rsidRPr="00C10F4F">
        <w:rPr>
          <w:rStyle w:val="af9"/>
          <w:rFonts w:hint="cs"/>
          <w:rtl/>
        </w:rPr>
        <w:t>האמרי משה</w:t>
      </w:r>
      <w:r w:rsidRPr="00C10F4F">
        <w:rPr>
          <w:rFonts w:hint="cs"/>
          <w:rtl/>
        </w:rPr>
        <w:t xml:space="preserve"> </w:t>
      </w:r>
      <w:r w:rsidRPr="00153737">
        <w:rPr>
          <w:rStyle w:val="af7"/>
          <w:rFonts w:eastAsia="Guttman Hodes" w:hint="cs"/>
          <w:rtl/>
        </w:rPr>
        <w:t xml:space="preserve">(עי' אות </w:t>
      </w:r>
      <w:r w:rsidRPr="00153737">
        <w:rPr>
          <w:rStyle w:val="af7"/>
          <w:rFonts w:eastAsia="Guttman Hodes"/>
          <w:rtl/>
        </w:rPr>
        <w:fldChar w:fldCharType="begin"/>
      </w:r>
      <w:r w:rsidRPr="00153737">
        <w:rPr>
          <w:rStyle w:val="af7"/>
          <w:rFonts w:eastAsia="Guttman Hodes"/>
          <w:rtl/>
        </w:rPr>
        <w:instrText xml:space="preserve"> </w:instrText>
      </w:r>
      <w:r w:rsidRPr="00153737">
        <w:rPr>
          <w:rStyle w:val="af7"/>
          <w:rFonts w:eastAsia="Guttman Hodes" w:hint="cs"/>
        </w:rPr>
        <w:instrText>REF</w:instrText>
      </w:r>
      <w:r w:rsidRPr="00153737">
        <w:rPr>
          <w:rStyle w:val="af7"/>
          <w:rFonts w:eastAsia="Guttman Hodes" w:hint="cs"/>
          <w:rtl/>
        </w:rPr>
        <w:instrText xml:space="preserve"> _</w:instrText>
      </w:r>
      <w:r w:rsidRPr="00153737">
        <w:rPr>
          <w:rStyle w:val="af7"/>
          <w:rFonts w:eastAsia="Guttman Hodes" w:hint="cs"/>
        </w:rPr>
        <w:instrText>Ref1036525 \r \h</w:instrText>
      </w:r>
      <w:r w:rsidRPr="00153737">
        <w:rPr>
          <w:rStyle w:val="af7"/>
          <w:rFonts w:eastAsia="Guttman Hodes"/>
          <w:rtl/>
        </w:rPr>
        <w:instrText xml:space="preserve"> </w:instrText>
      </w:r>
      <w:r w:rsidRPr="00153737">
        <w:rPr>
          <w:rStyle w:val="af7"/>
          <w:rFonts w:eastAsia="Guttman Hodes"/>
          <w:rtl/>
        </w:rPr>
      </w:r>
      <w:r w:rsidRPr="00153737">
        <w:rPr>
          <w:rStyle w:val="af7"/>
          <w:rFonts w:eastAsia="Guttman Hodes"/>
          <w:rtl/>
        </w:rPr>
        <w:fldChar w:fldCharType="separate"/>
      </w:r>
      <w:r w:rsidR="00345400">
        <w:rPr>
          <w:rStyle w:val="af7"/>
          <w:rFonts w:eastAsia="Guttman Hodes"/>
          <w:cs/>
        </w:rPr>
        <w:t>‎</w:t>
      </w:r>
      <w:r w:rsidR="00345400">
        <w:rPr>
          <w:rStyle w:val="af7"/>
          <w:rFonts w:eastAsia="Guttman Hodes"/>
          <w:rtl/>
        </w:rPr>
        <w:t>קיט)</w:t>
      </w:r>
      <w:r w:rsidRPr="00153737">
        <w:rPr>
          <w:rStyle w:val="af7"/>
          <w:rFonts w:eastAsia="Guttman Hodes"/>
          <w:rtl/>
        </w:rPr>
        <w:fldChar w:fldCharType="end"/>
      </w:r>
      <w:r>
        <w:rPr>
          <w:rFonts w:hint="cs"/>
          <w:rtl/>
        </w:rPr>
        <w:t xml:space="preserve"> ד</w:t>
      </w:r>
      <w:r w:rsidRPr="00C10F4F">
        <w:rPr>
          <w:rFonts w:hint="cs"/>
          <w:rtl/>
        </w:rPr>
        <w:t xml:space="preserve">לדעת </w:t>
      </w:r>
      <w:r w:rsidRPr="00C10F4F">
        <w:rPr>
          <w:rStyle w:val="af9"/>
          <w:rFonts w:hint="cs"/>
          <w:rtl/>
        </w:rPr>
        <w:t>הרמב"</w:t>
      </w:r>
      <w:r w:rsidRPr="00CD0542">
        <w:rPr>
          <w:rStyle w:val="af9"/>
          <w:rFonts w:hint="cs"/>
          <w:rtl/>
        </w:rPr>
        <w:t>ם</w:t>
      </w:r>
      <w:r w:rsidRPr="00CD0542">
        <w:rPr>
          <w:rStyle w:val="af9"/>
          <w:rtl/>
        </w:rPr>
        <w:t xml:space="preserve"> והראב"ד</w:t>
      </w:r>
      <w:r>
        <w:rPr>
          <w:rFonts w:hint="cs"/>
          <w:rtl/>
        </w:rPr>
        <w:t xml:space="preserve"> אף אם היה אפשר לשוחטו, לא מהני השחיטה לאבר היוצא</w:t>
      </w:r>
      <w:r>
        <w:rPr>
          <w:rtl/>
        </w:rPr>
        <w:t xml:space="preserve">, ועי' בדברי </w:t>
      </w:r>
      <w:r>
        <w:rPr>
          <w:rStyle w:val="af9"/>
          <w:rtl/>
        </w:rPr>
        <w:t xml:space="preserve">הגר"ח </w:t>
      </w:r>
      <w:r>
        <w:rPr>
          <w:rStyle w:val="af7"/>
          <w:rFonts w:eastAsiaTheme="minorHAnsi" w:hint="cs"/>
          <w:rtl/>
        </w:rPr>
        <w:t xml:space="preserve">(עי' אות </w:t>
      </w:r>
      <w:r>
        <w:rPr>
          <w:rStyle w:val="af7"/>
          <w:rFonts w:eastAsiaTheme="minorHAnsi" w:hint="cs"/>
          <w:rtl/>
        </w:rPr>
        <w:fldChar w:fldCharType="begin"/>
      </w:r>
      <w:r>
        <w:rPr>
          <w:rStyle w:val="af7"/>
          <w:rFonts w:eastAsiaTheme="minorHAnsi" w:hint="cs"/>
          <w:rtl/>
        </w:rPr>
        <w:instrText xml:space="preserve"> </w:instrText>
      </w:r>
      <w:r>
        <w:rPr>
          <w:rStyle w:val="af7"/>
          <w:rFonts w:eastAsiaTheme="minorHAnsi"/>
        </w:rPr>
        <w:instrText>REF</w:instrText>
      </w:r>
      <w:r>
        <w:rPr>
          <w:rStyle w:val="af7"/>
          <w:rFonts w:eastAsiaTheme="minorHAnsi" w:hint="cs"/>
          <w:rtl/>
        </w:rPr>
        <w:instrText xml:space="preserve"> _</w:instrText>
      </w:r>
      <w:r>
        <w:rPr>
          <w:rStyle w:val="af7"/>
          <w:rFonts w:eastAsiaTheme="minorHAnsi"/>
        </w:rPr>
        <w:instrText>Ref1111761 \r \h</w:instrText>
      </w:r>
      <w:r>
        <w:rPr>
          <w:rStyle w:val="af7"/>
          <w:rFonts w:eastAsiaTheme="minorHAnsi" w:hint="cs"/>
          <w:rtl/>
        </w:rPr>
        <w:instrText xml:space="preserve"> </w:instrText>
      </w:r>
      <w:r>
        <w:rPr>
          <w:rStyle w:val="af7"/>
          <w:rFonts w:eastAsiaTheme="minorHAnsi" w:hint="cs"/>
          <w:rtl/>
        </w:rPr>
      </w:r>
      <w:r>
        <w:rPr>
          <w:rStyle w:val="af7"/>
          <w:rFonts w:eastAsiaTheme="minorHAnsi" w:hint="cs"/>
          <w:rtl/>
        </w:rPr>
        <w:fldChar w:fldCharType="separate"/>
      </w:r>
      <w:r w:rsidR="00345400">
        <w:rPr>
          <w:rStyle w:val="af7"/>
          <w:rFonts w:eastAsiaTheme="minorHAnsi" w:hint="eastAsia"/>
          <w:cs/>
        </w:rPr>
        <w:t>‎</w:t>
      </w:r>
      <w:r w:rsidR="00345400">
        <w:rPr>
          <w:rStyle w:val="af7"/>
          <w:rFonts w:eastAsiaTheme="minorHAnsi" w:hint="eastAsia"/>
          <w:rtl/>
        </w:rPr>
        <w:t>קה</w:t>
      </w:r>
      <w:r w:rsidR="00345400">
        <w:rPr>
          <w:rStyle w:val="af7"/>
          <w:rFonts w:eastAsiaTheme="minorHAnsi"/>
          <w:rtl/>
        </w:rPr>
        <w:t>)</w:t>
      </w:r>
      <w:r>
        <w:rPr>
          <w:rStyle w:val="af7"/>
          <w:rFonts w:eastAsiaTheme="minorHAnsi" w:hint="cs"/>
          <w:rtl/>
        </w:rPr>
        <w:fldChar w:fldCharType="end"/>
      </w:r>
      <w:r w:rsidRPr="003C5C7F">
        <w:rPr>
          <w:rFonts w:hint="cs"/>
          <w:rtl/>
        </w:rPr>
        <w:t>.</w:t>
      </w:r>
      <w:bookmarkEnd w:id="19526"/>
    </w:p>
    <w:p w14:paraId="28B11C50" w14:textId="77777777" w:rsidR="003D504D" w:rsidRPr="003C5C7F" w:rsidRDefault="003D504D" w:rsidP="003D504D">
      <w:pPr>
        <w:pStyle w:val="a3"/>
        <w:rPr>
          <w:rtl/>
        </w:rPr>
      </w:pPr>
      <w:bookmarkStart w:id="19527" w:name="_Toc1039520"/>
      <w:bookmarkStart w:id="19528" w:name="_Toc1040763"/>
      <w:bookmarkStart w:id="19529" w:name="_Toc1063651"/>
      <w:bookmarkStart w:id="19530" w:name="_Toc1112091"/>
      <w:bookmarkStart w:id="19531" w:name="_Toc1123959"/>
      <w:bookmarkStart w:id="19532" w:name="_Toc19391478"/>
      <w:bookmarkStart w:id="19533" w:name="_Toc19394975"/>
      <w:r>
        <w:rPr>
          <w:rFonts w:hint="cs"/>
          <w:rtl/>
        </w:rPr>
        <w:t>ביאור המשנת ר"א דלרש"י איסור אבר היוצא הוא מדין טריפה ולא מהני לו שחיטה</w:t>
      </w:r>
      <w:bookmarkEnd w:id="19527"/>
      <w:bookmarkEnd w:id="19528"/>
      <w:bookmarkEnd w:id="19529"/>
      <w:bookmarkEnd w:id="19530"/>
      <w:bookmarkEnd w:id="19531"/>
      <w:bookmarkEnd w:id="19532"/>
      <w:bookmarkEnd w:id="19533"/>
    </w:p>
    <w:p w14:paraId="2D97E4C8" w14:textId="77777777" w:rsidR="003D504D" w:rsidRDefault="003D504D" w:rsidP="00223668">
      <w:pPr>
        <w:pStyle w:val="a0"/>
        <w:rPr>
          <w:rtl/>
        </w:rPr>
      </w:pPr>
      <w:bookmarkStart w:id="19534" w:name="_Ref1110768"/>
      <w:r w:rsidRPr="003C5C7F">
        <w:rPr>
          <w:rFonts w:hint="cs"/>
          <w:rtl/>
        </w:rPr>
        <w:t xml:space="preserve">ובדעת </w:t>
      </w:r>
      <w:r w:rsidRPr="00B06D6B">
        <w:rPr>
          <w:rStyle w:val="af9"/>
          <w:rFonts w:hint="cs"/>
          <w:rtl/>
        </w:rPr>
        <w:t>רש"י לקמן</w:t>
      </w:r>
      <w:r w:rsidRPr="00B06D6B">
        <w:rPr>
          <w:rFonts w:hint="cs"/>
          <w:rtl/>
        </w:rPr>
        <w:t xml:space="preserve"> </w:t>
      </w:r>
      <w:r w:rsidRPr="004304CE">
        <w:rPr>
          <w:rStyle w:val="af7"/>
          <w:rFonts w:eastAsia="Guttman Hodes" w:hint="cs"/>
          <w:rtl/>
        </w:rPr>
        <w:t xml:space="preserve">(עי' אות </w:t>
      </w:r>
      <w:r w:rsidRPr="00411B7A">
        <w:rPr>
          <w:rStyle w:val="af7"/>
          <w:rFonts w:eastAsia="Guttman Hodes"/>
          <w:rtl/>
        </w:rPr>
        <w:fldChar w:fldCharType="begin"/>
      </w:r>
      <w:r w:rsidRPr="00411B7A">
        <w:rPr>
          <w:rStyle w:val="af7"/>
          <w:rFonts w:eastAsia="Guttman Hodes"/>
          <w:rtl/>
        </w:rPr>
        <w:instrText xml:space="preserve"> </w:instrText>
      </w:r>
      <w:r w:rsidRPr="00411B7A">
        <w:rPr>
          <w:rStyle w:val="af7"/>
          <w:rFonts w:eastAsia="Guttman Hodes" w:hint="cs"/>
        </w:rPr>
        <w:instrText>REF</w:instrText>
      </w:r>
      <w:r w:rsidRPr="00411B7A">
        <w:rPr>
          <w:rStyle w:val="af7"/>
          <w:rFonts w:eastAsia="Guttman Hodes" w:hint="cs"/>
          <w:rtl/>
        </w:rPr>
        <w:instrText xml:space="preserve"> _</w:instrText>
      </w:r>
      <w:r w:rsidRPr="00411B7A">
        <w:rPr>
          <w:rStyle w:val="af7"/>
          <w:rFonts w:eastAsia="Guttman Hodes" w:hint="cs"/>
        </w:rPr>
        <w:instrText>Ref862814 \r \h</w:instrText>
      </w:r>
      <w:r w:rsidRPr="00411B7A">
        <w:rPr>
          <w:rStyle w:val="af7"/>
          <w:rFonts w:eastAsia="Guttman Hodes"/>
          <w:rtl/>
        </w:rPr>
        <w:instrText xml:space="preserve"> </w:instrText>
      </w:r>
      <w:r w:rsidRPr="00411B7A">
        <w:rPr>
          <w:rStyle w:val="af7"/>
          <w:rFonts w:eastAsia="Guttman Hodes"/>
          <w:rtl/>
        </w:rPr>
      </w:r>
      <w:r w:rsidRPr="00411B7A">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411B7A">
        <w:rPr>
          <w:rStyle w:val="af7"/>
          <w:rFonts w:eastAsia="Guttman Hodes"/>
          <w:rtl/>
        </w:rPr>
        <w:fldChar w:fldCharType="end"/>
      </w:r>
      <w:r w:rsidRPr="00B06D6B">
        <w:rPr>
          <w:rFonts w:hint="cs"/>
          <w:rtl/>
        </w:rPr>
        <w:t xml:space="preserve"> </w:t>
      </w:r>
      <w:r w:rsidRPr="003C5C7F">
        <w:rPr>
          <w:rFonts w:hint="cs"/>
          <w:rtl/>
        </w:rPr>
        <w:t xml:space="preserve">דכתב דרב משרשיא פליג על המ"ד דד' סימנים אכשר ביה רחמנא, ביאר </w:t>
      </w:r>
      <w:r w:rsidRPr="007D36B6">
        <w:rPr>
          <w:rStyle w:val="af9"/>
          <w:rFonts w:hint="cs"/>
          <w:rtl/>
        </w:rPr>
        <w:t>המשנת ר"א</w:t>
      </w:r>
      <w:r w:rsidRPr="003C5C7F">
        <w:rPr>
          <w:rFonts w:hint="cs"/>
          <w:rtl/>
        </w:rPr>
        <w:t xml:space="preserve"> דס"ל דהאיסור באבר היוצא אינו רק מחמת חסרון שחיטה, אלא יש בו איסור חדש דיצא חוץ למחיצתו, מדין "בשר בשדה טריפה", ולכן לא שייך בו היתר שחיטה כלל.</w:t>
      </w:r>
      <w:bookmarkEnd w:id="19534"/>
    </w:p>
    <w:p w14:paraId="37309D94" w14:textId="77777777" w:rsidR="003D504D" w:rsidRDefault="003D504D" w:rsidP="00BF39B2">
      <w:pPr>
        <w:pStyle w:val="1"/>
        <w:rPr>
          <w:rtl/>
        </w:rPr>
      </w:pPr>
      <w:bookmarkStart w:id="19535" w:name="_Toc1039521"/>
      <w:bookmarkStart w:id="19536" w:name="_Toc1040764"/>
      <w:bookmarkStart w:id="19537" w:name="_Toc1063652"/>
      <w:bookmarkStart w:id="19538" w:name="_Toc1112092"/>
      <w:bookmarkStart w:id="19539" w:name="_Toc1123960"/>
      <w:bookmarkStart w:id="19540" w:name="_Toc19391479"/>
      <w:bookmarkStart w:id="19541" w:name="_Toc19394976"/>
      <w:bookmarkStart w:id="19542" w:name="_Toc519064"/>
      <w:bookmarkStart w:id="19543" w:name="_Toc725047"/>
      <w:bookmarkStart w:id="19544" w:name="_Toc773574"/>
      <w:bookmarkStart w:id="19545" w:name="_Toc955864"/>
      <w:bookmarkStart w:id="19546" w:name="_Toc955867"/>
      <w:bookmarkStart w:id="19547" w:name="_Toc862092"/>
      <w:bookmarkStart w:id="19548" w:name="_Toc890765"/>
      <w:bookmarkStart w:id="19549" w:name="_Toc903174"/>
      <w:bookmarkStart w:id="19550" w:name="_Toc955539"/>
      <w:bookmarkStart w:id="19551" w:name="_Toc955849"/>
      <w:r>
        <w:rPr>
          <w:rFonts w:hint="cs"/>
          <w:rtl/>
        </w:rPr>
        <w:t>ביאור הגר"ח דמוכח בסוגיין דהאבר היוצא אסור בב' איסורים</w:t>
      </w:r>
      <w:bookmarkEnd w:id="19535"/>
      <w:bookmarkEnd w:id="19536"/>
      <w:bookmarkEnd w:id="19537"/>
      <w:bookmarkEnd w:id="19538"/>
      <w:bookmarkEnd w:id="19539"/>
      <w:bookmarkEnd w:id="19540"/>
      <w:bookmarkEnd w:id="19541"/>
    </w:p>
    <w:p w14:paraId="5F1A1732" w14:textId="77777777" w:rsidR="003D504D" w:rsidRDefault="003D504D" w:rsidP="003D504D">
      <w:pPr>
        <w:pStyle w:val="a3"/>
        <w:rPr>
          <w:rtl/>
        </w:rPr>
      </w:pPr>
      <w:bookmarkStart w:id="19552" w:name="_Toc1039522"/>
      <w:bookmarkStart w:id="19553" w:name="_Toc1040765"/>
      <w:bookmarkStart w:id="19554" w:name="_Toc1063653"/>
      <w:bookmarkStart w:id="19555" w:name="_Toc1112093"/>
      <w:bookmarkStart w:id="19556" w:name="_Toc1123961"/>
      <w:bookmarkStart w:id="19557" w:name="_Toc19391480"/>
      <w:bookmarkStart w:id="19558" w:name="_Toc19394977"/>
      <w:r>
        <w:rPr>
          <w:rFonts w:hint="cs"/>
          <w:rtl/>
        </w:rPr>
        <w:t>דברי הגר"ח דלהרמב"ם האבר אסור מכח צירוף ב' איסורים אבמה"ח  וגם בשר בשדה טריפה</w:t>
      </w:r>
      <w:bookmarkEnd w:id="19552"/>
      <w:bookmarkEnd w:id="19553"/>
      <w:bookmarkEnd w:id="19554"/>
      <w:bookmarkEnd w:id="19555"/>
      <w:bookmarkEnd w:id="19556"/>
      <w:bookmarkEnd w:id="19557"/>
      <w:bookmarkEnd w:id="19558"/>
    </w:p>
    <w:p w14:paraId="06F8D09B" w14:textId="77777777" w:rsidR="003D504D" w:rsidRDefault="003D504D" w:rsidP="00223668">
      <w:pPr>
        <w:pStyle w:val="a0"/>
        <w:rPr>
          <w:rtl/>
        </w:rPr>
      </w:pPr>
      <w:r>
        <w:rPr>
          <w:rFonts w:hint="cs"/>
          <w:rtl/>
        </w:rPr>
        <w:t xml:space="preserve">כתב </w:t>
      </w:r>
      <w:r w:rsidRPr="00A158A5">
        <w:rPr>
          <w:rStyle w:val="af9"/>
          <w:rFonts w:hint="cs"/>
          <w:rtl/>
        </w:rPr>
        <w:t>הגר"ח</w:t>
      </w:r>
      <w:r>
        <w:rPr>
          <w:rFonts w:hint="cs"/>
          <w:rtl/>
        </w:rPr>
        <w:t xml:space="preserve"> </w:t>
      </w:r>
      <w:r w:rsidRPr="00A158A5">
        <w:rPr>
          <w:rStyle w:val="af7"/>
          <w:rFonts w:eastAsia="Guttman Hodes" w:hint="cs"/>
          <w:rtl/>
        </w:rPr>
        <w:t>(גנזי הגר"ח סי' ס"ו)</w:t>
      </w:r>
      <w:r>
        <w:rPr>
          <w:rFonts w:hint="cs"/>
          <w:rtl/>
        </w:rPr>
        <w:t xml:space="preserve"> דמדברי </w:t>
      </w:r>
      <w:r w:rsidRPr="005715C7">
        <w:rPr>
          <w:rStyle w:val="af9"/>
          <w:rFonts w:hint="cs"/>
          <w:rtl/>
        </w:rPr>
        <w:t>הרמב"ם</w:t>
      </w:r>
      <w:r>
        <w:rPr>
          <w:rFonts w:hint="cs"/>
          <w:rtl/>
        </w:rPr>
        <w:t xml:space="preserve"> </w:t>
      </w:r>
      <w:r w:rsidRPr="005715C7">
        <w:rPr>
          <w:rStyle w:val="af7"/>
          <w:rFonts w:eastAsia="Guttman Hodes" w:hint="cs"/>
          <w:rtl/>
        </w:rPr>
        <w:t>(מאכ"א פ"ה הי"א)</w:t>
      </w:r>
      <w:r>
        <w:rPr>
          <w:rFonts w:hint="cs"/>
          <w:rtl/>
        </w:rPr>
        <w:t xml:space="preserve"> מבואר דאין מלקות מדין אבר מן החי, על אבר היוצא אחר שחיטה, וביאר </w:t>
      </w:r>
      <w:r w:rsidRPr="00A158A5">
        <w:rPr>
          <w:rStyle w:val="af9"/>
          <w:rFonts w:hint="cs"/>
          <w:rtl/>
        </w:rPr>
        <w:t>הגר"ח</w:t>
      </w:r>
      <w:r>
        <w:rPr>
          <w:rFonts w:hint="cs"/>
          <w:rtl/>
        </w:rPr>
        <w:t xml:space="preserve"> דס"ל </w:t>
      </w:r>
      <w:r w:rsidRPr="007938D5">
        <w:rPr>
          <w:rStyle w:val="af9"/>
          <w:rFonts w:hint="cs"/>
          <w:rtl/>
        </w:rPr>
        <w:t>להרמב"ם</w:t>
      </w:r>
      <w:r>
        <w:rPr>
          <w:rFonts w:hint="cs"/>
          <w:rtl/>
        </w:rPr>
        <w:t xml:space="preserve"> דהאיסור באבר היוצא, הוא דכיון שיצא חוץ למחיצת אמו, יש בו ב' איסורים, גם אבר מן החי דלא הועילה לו שחיטת אמו, וגם "בשר בשדה טריפה" </w:t>
      </w:r>
      <w:r w:rsidRPr="004304CE">
        <w:rPr>
          <w:rStyle w:val="af7"/>
          <w:rFonts w:eastAsia="Guttman Hodes" w:hint="cs"/>
          <w:rtl/>
        </w:rPr>
        <w:t>(הובאו דבריו לעיל סימן א' אות קי"ג)</w:t>
      </w:r>
      <w:r>
        <w:rPr>
          <w:rFonts w:hint="cs"/>
          <w:rtl/>
        </w:rPr>
        <w:t>.</w:t>
      </w:r>
    </w:p>
    <w:p w14:paraId="12676BF4" w14:textId="77777777" w:rsidR="003D504D" w:rsidRPr="00A22EE9" w:rsidRDefault="003D504D" w:rsidP="003D504D">
      <w:pPr>
        <w:pStyle w:val="a3"/>
        <w:rPr>
          <w:rtl/>
        </w:rPr>
      </w:pPr>
      <w:bookmarkStart w:id="19559" w:name="_Toc1039523"/>
      <w:bookmarkStart w:id="19560" w:name="_Toc1040766"/>
      <w:bookmarkStart w:id="19561" w:name="_Toc1063654"/>
      <w:bookmarkStart w:id="19562" w:name="_Toc1112094"/>
      <w:bookmarkStart w:id="19563" w:name="_Toc1123962"/>
      <w:bookmarkStart w:id="19564" w:name="_Toc19391481"/>
      <w:bookmarkStart w:id="19565" w:name="_Toc19394978"/>
      <w:r w:rsidRPr="00A22EE9">
        <w:rPr>
          <w:rFonts w:hint="cs"/>
          <w:rtl/>
        </w:rPr>
        <w:t xml:space="preserve">דברי הגר"ח דמספק הגמ' בשתית </w:t>
      </w:r>
      <w:r>
        <w:rPr>
          <w:rFonts w:hint="cs"/>
          <w:rtl/>
        </w:rPr>
        <w:t>חלב</w:t>
      </w:r>
      <w:r w:rsidRPr="00A22EE9">
        <w:rPr>
          <w:rFonts w:hint="cs"/>
          <w:rtl/>
        </w:rPr>
        <w:t xml:space="preserve"> מוכח דלולא איסור אבמה"ח לא היה נאסר בטריפה</w:t>
      </w:r>
      <w:bookmarkEnd w:id="19559"/>
      <w:bookmarkEnd w:id="19560"/>
      <w:bookmarkEnd w:id="19561"/>
      <w:bookmarkEnd w:id="19562"/>
      <w:bookmarkEnd w:id="19563"/>
      <w:bookmarkEnd w:id="19564"/>
      <w:bookmarkEnd w:id="19565"/>
    </w:p>
    <w:p w14:paraId="24A53879" w14:textId="77777777" w:rsidR="003D504D" w:rsidRDefault="003D504D" w:rsidP="00223668">
      <w:pPr>
        <w:pStyle w:val="a0"/>
        <w:rPr>
          <w:rtl/>
        </w:rPr>
      </w:pPr>
      <w:bookmarkStart w:id="19566" w:name="_Ref1111013"/>
      <w:r>
        <w:rPr>
          <w:rFonts w:hint="cs"/>
          <w:rtl/>
        </w:rPr>
        <w:t>ו</w:t>
      </w:r>
      <w:r w:rsidRPr="00A22EE9">
        <w:rPr>
          <w:rFonts w:hint="cs"/>
          <w:rtl/>
        </w:rPr>
        <w:t xml:space="preserve">כתב </w:t>
      </w:r>
      <w:r w:rsidRPr="00A22EE9">
        <w:rPr>
          <w:rStyle w:val="af9"/>
          <w:rFonts w:hint="cs"/>
          <w:rtl/>
        </w:rPr>
        <w:t>הגר"ח</w:t>
      </w:r>
      <w:r w:rsidRPr="00A22EE9">
        <w:rPr>
          <w:rFonts w:hint="cs"/>
          <w:rtl/>
        </w:rPr>
        <w:t xml:space="preserve"> </w:t>
      </w:r>
      <w:r>
        <w:rPr>
          <w:rFonts w:hint="cs"/>
          <w:rtl/>
        </w:rPr>
        <w:t xml:space="preserve">דכן </w:t>
      </w:r>
      <w:r w:rsidRPr="00A22EE9">
        <w:rPr>
          <w:rFonts w:hint="cs"/>
          <w:rtl/>
        </w:rPr>
        <w:t xml:space="preserve">מוכח </w:t>
      </w:r>
      <w:r>
        <w:rPr>
          <w:rFonts w:hint="cs"/>
          <w:rtl/>
        </w:rPr>
        <w:t>מספק הגמ' בדין</w:t>
      </w:r>
      <w:r w:rsidRPr="00A22EE9">
        <w:rPr>
          <w:rFonts w:hint="cs"/>
          <w:rtl/>
        </w:rPr>
        <w:t xml:space="preserve"> </w:t>
      </w:r>
      <w:r>
        <w:rPr>
          <w:rFonts w:hint="cs"/>
          <w:rtl/>
        </w:rPr>
        <w:t>חלב</w:t>
      </w:r>
      <w:r w:rsidRPr="00A22EE9">
        <w:rPr>
          <w:rFonts w:hint="cs"/>
          <w:rtl/>
        </w:rPr>
        <w:t xml:space="preserve"> שבא מכח אבר היוצא</w:t>
      </w:r>
      <w:r>
        <w:rPr>
          <w:rFonts w:hint="cs"/>
          <w:rtl/>
        </w:rPr>
        <w:t>,</w:t>
      </w:r>
      <w:r w:rsidRPr="00A22EE9">
        <w:rPr>
          <w:rFonts w:hint="cs"/>
          <w:rtl/>
        </w:rPr>
        <w:t xml:space="preserve"> דהאיסור באבר היוצא אינו רק מדין "בשר בשדה טריפה", ד</w:t>
      </w:r>
      <w:r>
        <w:rPr>
          <w:rFonts w:hint="cs"/>
          <w:rtl/>
        </w:rPr>
        <w:t xml:space="preserve">הא </w:t>
      </w:r>
      <w:r w:rsidRPr="00A22EE9">
        <w:rPr>
          <w:rFonts w:hint="cs"/>
          <w:rtl/>
        </w:rPr>
        <w:t>מחמת איסור זה פשיטא ד</w:t>
      </w:r>
      <w:r>
        <w:rPr>
          <w:rFonts w:hint="cs"/>
          <w:rtl/>
        </w:rPr>
        <w:t>החלב</w:t>
      </w:r>
      <w:r w:rsidRPr="00A22EE9">
        <w:rPr>
          <w:rFonts w:hint="cs"/>
          <w:rtl/>
        </w:rPr>
        <w:t xml:space="preserve"> אסור, </w:t>
      </w:r>
      <w:r w:rsidRPr="00A22EE9">
        <w:rPr>
          <w:rStyle w:val="afb"/>
          <w:rFonts w:hint="cs"/>
          <w:rtl/>
        </w:rPr>
        <w:t xml:space="preserve">[כדהקשה </w:t>
      </w:r>
      <w:r w:rsidRPr="00A22EE9">
        <w:rPr>
          <w:rStyle w:val="affa"/>
          <w:rFonts w:hint="cs"/>
          <w:rtl/>
        </w:rPr>
        <w:t>הרשב"א</w:t>
      </w:r>
      <w:r w:rsidRPr="00A22EE9">
        <w:rPr>
          <w:rStyle w:val="afb"/>
          <w:rFonts w:hint="cs"/>
          <w:rtl/>
        </w:rPr>
        <w:t xml:space="preserve"> </w:t>
      </w:r>
      <w:r w:rsidRPr="00A22EE9">
        <w:rPr>
          <w:rStyle w:val="aff6"/>
          <w:rFonts w:hint="cs"/>
          <w:rtl/>
        </w:rPr>
        <w:t xml:space="preserve">(עי' אות </w:t>
      </w:r>
      <w:r w:rsidRPr="00A22EE9">
        <w:rPr>
          <w:rStyle w:val="aff6"/>
          <w:rtl/>
        </w:rPr>
        <w:fldChar w:fldCharType="begin"/>
      </w:r>
      <w:r w:rsidRPr="00A22EE9">
        <w:rPr>
          <w:rStyle w:val="aff6"/>
          <w:rtl/>
        </w:rPr>
        <w:instrText xml:space="preserve"> </w:instrText>
      </w:r>
      <w:r w:rsidRPr="00A22EE9">
        <w:rPr>
          <w:rStyle w:val="aff6"/>
          <w:rFonts w:hint="cs"/>
        </w:rPr>
        <w:instrText>REF</w:instrText>
      </w:r>
      <w:r w:rsidRPr="00A22EE9">
        <w:rPr>
          <w:rStyle w:val="aff6"/>
          <w:rFonts w:hint="cs"/>
          <w:rtl/>
        </w:rPr>
        <w:instrText xml:space="preserve"> _</w:instrText>
      </w:r>
      <w:r w:rsidRPr="00A22EE9">
        <w:rPr>
          <w:rStyle w:val="aff6"/>
          <w:rFonts w:hint="cs"/>
        </w:rPr>
        <w:instrText>Ref535230332 \r \h</w:instrText>
      </w:r>
      <w:r w:rsidRPr="00A22EE9">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A22EE9">
        <w:rPr>
          <w:rStyle w:val="aff6"/>
          <w:rtl/>
        </w:rPr>
      </w:r>
      <w:r w:rsidRPr="00A22EE9">
        <w:rPr>
          <w:rStyle w:val="aff6"/>
          <w:rtl/>
        </w:rPr>
        <w:fldChar w:fldCharType="separate"/>
      </w:r>
      <w:r w:rsidR="00345400">
        <w:rPr>
          <w:rStyle w:val="aff6"/>
          <w:cs/>
        </w:rPr>
        <w:t>‎</w:t>
      </w:r>
      <w:r w:rsidR="00345400">
        <w:rPr>
          <w:rStyle w:val="aff6"/>
          <w:rtl/>
        </w:rPr>
        <w:t>כד)</w:t>
      </w:r>
      <w:r w:rsidRPr="00A22EE9">
        <w:rPr>
          <w:rStyle w:val="aff6"/>
          <w:rtl/>
        </w:rPr>
        <w:fldChar w:fldCharType="end"/>
      </w:r>
      <w:r w:rsidRPr="00A22EE9">
        <w:rPr>
          <w:rStyle w:val="afb"/>
          <w:rFonts w:hint="cs"/>
          <w:rtl/>
        </w:rPr>
        <w:t>],</w:t>
      </w:r>
      <w:r w:rsidRPr="00A22EE9">
        <w:rPr>
          <w:rFonts w:hint="cs"/>
          <w:rtl/>
        </w:rPr>
        <w:t xml:space="preserve"> אלא כתב </w:t>
      </w:r>
      <w:r w:rsidRPr="00A22EE9">
        <w:rPr>
          <w:rStyle w:val="af9"/>
          <w:rFonts w:hint="cs"/>
          <w:rtl/>
        </w:rPr>
        <w:t xml:space="preserve">הגר"ח </w:t>
      </w:r>
      <w:r w:rsidRPr="00A22EE9">
        <w:rPr>
          <w:rFonts w:hint="cs"/>
          <w:rtl/>
        </w:rPr>
        <w:t xml:space="preserve">דמוכח דאם לא היה האבר היוצא אסור באיסור אבר מן החי, לא היה נאסר מדין "בשר בשדה טריפה", ולכן מסתפקת הגמ' אין דינו ככל </w:t>
      </w:r>
      <w:r>
        <w:rPr>
          <w:rFonts w:hint="cs"/>
          <w:rtl/>
        </w:rPr>
        <w:t>חלב</w:t>
      </w:r>
      <w:r w:rsidRPr="00A22EE9">
        <w:rPr>
          <w:rFonts w:hint="cs"/>
          <w:rtl/>
        </w:rPr>
        <w:t xml:space="preserve"> מן החי, או דכיון שאין לאבר היוצא תקנה, </w:t>
      </w:r>
      <w:r>
        <w:rPr>
          <w:rFonts w:hint="cs"/>
          <w:rtl/>
        </w:rPr>
        <w:t xml:space="preserve">א"כ </w:t>
      </w:r>
      <w:r w:rsidRPr="00A22EE9">
        <w:rPr>
          <w:rFonts w:hint="cs"/>
          <w:rtl/>
        </w:rPr>
        <w:t>אסור לשתות את ה</w:t>
      </w:r>
      <w:r>
        <w:rPr>
          <w:rFonts w:hint="cs"/>
          <w:rtl/>
        </w:rPr>
        <w:t>חלב</w:t>
      </w:r>
      <w:r w:rsidRPr="00A22EE9">
        <w:rPr>
          <w:rFonts w:hint="cs"/>
          <w:rtl/>
        </w:rPr>
        <w:t xml:space="preserve"> הבא מכחו.</w:t>
      </w:r>
      <w:bookmarkEnd w:id="19566"/>
    </w:p>
    <w:p w14:paraId="717442B6" w14:textId="77777777" w:rsidR="003D504D" w:rsidRDefault="003D504D" w:rsidP="00BF39B2">
      <w:pPr>
        <w:pStyle w:val="1"/>
        <w:rPr>
          <w:rtl/>
        </w:rPr>
      </w:pPr>
      <w:bookmarkStart w:id="19567" w:name="_Toc1112095"/>
      <w:bookmarkStart w:id="19568" w:name="_Toc1123963"/>
      <w:bookmarkStart w:id="19569" w:name="_Toc19391482"/>
      <w:bookmarkStart w:id="19570" w:name="_Toc19394979"/>
      <w:bookmarkStart w:id="19571" w:name="_Toc1039524"/>
      <w:bookmarkStart w:id="19572" w:name="_Toc1040767"/>
      <w:bookmarkStart w:id="19573" w:name="_Toc1063655"/>
      <w:bookmarkEnd w:id="19542"/>
      <w:bookmarkEnd w:id="19543"/>
      <w:bookmarkEnd w:id="19544"/>
      <w:bookmarkEnd w:id="19545"/>
      <w:r>
        <w:rPr>
          <w:rFonts w:hint="cs"/>
          <w:rtl/>
        </w:rPr>
        <w:t>דברי הגר"ח דהספק בחלב הוא דיש הגזיה"כ דלא מהני שחיטה</w:t>
      </w:r>
      <w:bookmarkEnd w:id="19567"/>
      <w:bookmarkEnd w:id="19568"/>
      <w:bookmarkEnd w:id="19569"/>
      <w:bookmarkEnd w:id="19570"/>
    </w:p>
    <w:p w14:paraId="14302845" w14:textId="77777777" w:rsidR="003D504D" w:rsidRDefault="003D504D" w:rsidP="003D504D">
      <w:pPr>
        <w:pStyle w:val="a3"/>
        <w:rPr>
          <w:rtl/>
        </w:rPr>
      </w:pPr>
      <w:bookmarkStart w:id="19574" w:name="_Toc1112096"/>
      <w:bookmarkStart w:id="19575" w:name="_Toc1123964"/>
      <w:bookmarkStart w:id="19576" w:name="_Toc19391483"/>
      <w:bookmarkStart w:id="19577" w:name="_Toc19394980"/>
      <w:r>
        <w:rPr>
          <w:rFonts w:hint="cs"/>
          <w:rtl/>
        </w:rPr>
        <w:t>קושית הגר"ח דאי איסור אבר היוצא הוא דא"א לשוחטו א"כ החלב מותר דא"צ שחיטה</w:t>
      </w:r>
      <w:bookmarkEnd w:id="19574"/>
      <w:bookmarkEnd w:id="19575"/>
      <w:bookmarkEnd w:id="19576"/>
      <w:bookmarkEnd w:id="19577"/>
    </w:p>
    <w:p w14:paraId="1685A521" w14:textId="77777777" w:rsidR="003D504D" w:rsidRDefault="003D504D" w:rsidP="00223668">
      <w:pPr>
        <w:pStyle w:val="a0"/>
        <w:rPr>
          <w:rtl/>
        </w:rPr>
      </w:pPr>
      <w:bookmarkStart w:id="19578" w:name="_Ref1111761"/>
      <w:r>
        <w:rPr>
          <w:rFonts w:hint="cs"/>
          <w:rtl/>
        </w:rPr>
        <w:t xml:space="preserve">הקשה </w:t>
      </w:r>
      <w:r w:rsidRPr="00BE2926">
        <w:rPr>
          <w:rStyle w:val="af9"/>
          <w:rFonts w:hint="cs"/>
          <w:rtl/>
        </w:rPr>
        <w:t>הגר"ח</w:t>
      </w:r>
      <w:r w:rsidRPr="00BE2926">
        <w:rPr>
          <w:rStyle w:val="af7"/>
          <w:rFonts w:eastAsia="Guttman Hodes" w:hint="cs"/>
          <w:rtl/>
        </w:rPr>
        <w:t xml:space="preserve"> (גנזי הגר"ח סימן ס"ה ד"ה ונראה לומר) </w:t>
      </w:r>
      <w:r>
        <w:rPr>
          <w:rFonts w:hint="cs"/>
          <w:rtl/>
        </w:rPr>
        <w:t>דאי איסור אבר היוצא הוא מדין אבר מן החי, כיון שא"א לשוחטו, אבל אם היה אפשר לשוחטו היה מהני שחיטה לאבר היוצא, א"כ מה מסתפקת הגמ' בדין החלב הבא מכח האבר היוצא, הרי חלב א"צ שחיטה, טא"כ אין כל סברא לאוסרו, דאין באבר היוצא איסור בפנ"ע, ואף דלא מהני שחיטה להתירו, מ"מ החלב מותר דא"צ שחיטה.</w:t>
      </w:r>
      <w:bookmarkEnd w:id="19578"/>
    </w:p>
    <w:p w14:paraId="201C9019" w14:textId="77777777" w:rsidR="003D504D" w:rsidRDefault="003D504D" w:rsidP="003D504D">
      <w:pPr>
        <w:pStyle w:val="a3"/>
        <w:rPr>
          <w:rtl/>
        </w:rPr>
      </w:pPr>
      <w:bookmarkStart w:id="19579" w:name="_Toc1112097"/>
      <w:bookmarkStart w:id="19580" w:name="_Toc1123965"/>
      <w:bookmarkStart w:id="19581" w:name="_Toc19391484"/>
      <w:bookmarkStart w:id="19582" w:name="_Toc19394981"/>
      <w:r>
        <w:rPr>
          <w:rFonts w:hint="cs"/>
          <w:rtl/>
        </w:rPr>
        <w:t>ביאור הגר"ח דיש גזיה"כ דאף אם היה מהני שחיטה האבר היוצא אסור וזהו הספק בחלב</w:t>
      </w:r>
      <w:bookmarkEnd w:id="19579"/>
      <w:bookmarkEnd w:id="19580"/>
      <w:bookmarkEnd w:id="19581"/>
      <w:bookmarkEnd w:id="19582"/>
    </w:p>
    <w:p w14:paraId="02D0CFE6" w14:textId="77777777" w:rsidR="003D504D" w:rsidRPr="00EB3244" w:rsidRDefault="003D504D" w:rsidP="00223668">
      <w:pPr>
        <w:pStyle w:val="a0"/>
        <w:rPr>
          <w:rtl/>
        </w:rPr>
      </w:pPr>
      <w:r>
        <w:rPr>
          <w:rFonts w:hint="cs"/>
          <w:rtl/>
        </w:rPr>
        <w:t xml:space="preserve">וביאר </w:t>
      </w:r>
      <w:r w:rsidRPr="00BE2926">
        <w:rPr>
          <w:rStyle w:val="af9"/>
          <w:rFonts w:hint="cs"/>
          <w:rtl/>
        </w:rPr>
        <w:t>הגר"ח</w:t>
      </w:r>
      <w:r>
        <w:rPr>
          <w:rFonts w:hint="cs"/>
          <w:rtl/>
        </w:rPr>
        <w:t xml:space="preserve"> שיש גזיה"כ "בשר בשדה טריפה" דאף אם היה מהני בו שחיטה, מ"מ האבר היוצא אסור, לכן מסתפקת הגמ' האם כיון שלא מהני בו שחיטה כלל, אי החלב שבא ממנו ג"כ אסור, ועי' בדברי </w:t>
      </w:r>
      <w:r w:rsidRPr="00105F5F">
        <w:rPr>
          <w:rStyle w:val="af9"/>
          <w:rFonts w:hint="cs"/>
          <w:rtl/>
        </w:rPr>
        <w:t>המשנת ר"א</w:t>
      </w:r>
      <w:r>
        <w:rPr>
          <w:rFonts w:hint="cs"/>
          <w:rtl/>
        </w:rPr>
        <w:t xml:space="preserve"> </w:t>
      </w:r>
      <w:r w:rsidRPr="00105F5F">
        <w:rPr>
          <w:rStyle w:val="af7"/>
          <w:rFonts w:eastAsia="Guttman Hodes" w:hint="cs"/>
          <w:rtl/>
        </w:rPr>
        <w:t xml:space="preserve">(עי' אות </w:t>
      </w:r>
      <w:r w:rsidRPr="00105F5F">
        <w:rPr>
          <w:rStyle w:val="af7"/>
          <w:rFonts w:eastAsia="Guttman Hodes"/>
          <w:rtl/>
        </w:rPr>
        <w:fldChar w:fldCharType="begin"/>
      </w:r>
      <w:r w:rsidRPr="00105F5F">
        <w:rPr>
          <w:rStyle w:val="af7"/>
          <w:rFonts w:eastAsia="Guttman Hodes"/>
          <w:rtl/>
        </w:rPr>
        <w:instrText xml:space="preserve"> </w:instrText>
      </w:r>
      <w:r w:rsidRPr="00105F5F">
        <w:rPr>
          <w:rStyle w:val="af7"/>
          <w:rFonts w:eastAsia="Guttman Hodes" w:hint="cs"/>
        </w:rPr>
        <w:instrText>REF</w:instrText>
      </w:r>
      <w:r w:rsidRPr="00105F5F">
        <w:rPr>
          <w:rStyle w:val="af7"/>
          <w:rFonts w:eastAsia="Guttman Hodes" w:hint="cs"/>
          <w:rtl/>
        </w:rPr>
        <w:instrText xml:space="preserve"> _</w:instrText>
      </w:r>
      <w:r w:rsidRPr="00105F5F">
        <w:rPr>
          <w:rStyle w:val="af7"/>
          <w:rFonts w:eastAsia="Guttman Hodes" w:hint="cs"/>
        </w:rPr>
        <w:instrText>Ref815013 \r \h</w:instrText>
      </w:r>
      <w:r w:rsidRPr="00105F5F">
        <w:rPr>
          <w:rStyle w:val="af7"/>
          <w:rFonts w:eastAsia="Guttman Hodes"/>
          <w:rtl/>
        </w:rPr>
        <w:instrText xml:space="preserve"> </w:instrText>
      </w:r>
      <w:r w:rsidRPr="00105F5F">
        <w:rPr>
          <w:rStyle w:val="af7"/>
          <w:rFonts w:eastAsia="Guttman Hodes"/>
          <w:rtl/>
        </w:rPr>
      </w:r>
      <w:r w:rsidRPr="00105F5F">
        <w:rPr>
          <w:rStyle w:val="af7"/>
          <w:rFonts w:eastAsia="Guttman Hodes"/>
          <w:rtl/>
        </w:rPr>
        <w:fldChar w:fldCharType="separate"/>
      </w:r>
      <w:r w:rsidR="00345400">
        <w:rPr>
          <w:rStyle w:val="af7"/>
          <w:rFonts w:eastAsia="Guttman Hodes"/>
          <w:cs/>
        </w:rPr>
        <w:t>‎</w:t>
      </w:r>
      <w:r w:rsidR="00345400">
        <w:rPr>
          <w:rStyle w:val="af7"/>
          <w:rFonts w:eastAsia="Guttman Hodes"/>
          <w:rtl/>
        </w:rPr>
        <w:t>קא)</w:t>
      </w:r>
      <w:r w:rsidRPr="00105F5F">
        <w:rPr>
          <w:rStyle w:val="af7"/>
          <w:rFonts w:eastAsia="Guttman Hodes"/>
          <w:rtl/>
        </w:rPr>
        <w:fldChar w:fldCharType="end"/>
      </w:r>
      <w:r>
        <w:rPr>
          <w:rFonts w:hint="cs"/>
          <w:rtl/>
        </w:rPr>
        <w:t xml:space="preserve"> </w:t>
      </w:r>
      <w:r w:rsidRPr="00105F5F">
        <w:rPr>
          <w:rStyle w:val="af9"/>
          <w:rFonts w:hint="cs"/>
          <w:rtl/>
        </w:rPr>
        <w:t>והאמרי משה</w:t>
      </w:r>
      <w:r>
        <w:rPr>
          <w:rFonts w:hint="cs"/>
          <w:rtl/>
        </w:rPr>
        <w:t xml:space="preserve"> </w:t>
      </w:r>
      <w:r w:rsidRPr="00105F5F">
        <w:rPr>
          <w:rStyle w:val="af7"/>
          <w:rFonts w:eastAsia="Guttman Hodes" w:hint="cs"/>
          <w:rtl/>
        </w:rPr>
        <w:t xml:space="preserve">(עי' אות </w:t>
      </w:r>
      <w:r w:rsidRPr="00105F5F">
        <w:rPr>
          <w:rStyle w:val="af7"/>
          <w:rFonts w:eastAsia="Guttman Hodes"/>
          <w:rtl/>
        </w:rPr>
        <w:fldChar w:fldCharType="begin"/>
      </w:r>
      <w:r w:rsidRPr="00105F5F">
        <w:rPr>
          <w:rStyle w:val="af7"/>
          <w:rFonts w:eastAsia="Guttman Hodes"/>
          <w:rtl/>
        </w:rPr>
        <w:instrText xml:space="preserve"> </w:instrText>
      </w:r>
      <w:r w:rsidRPr="00105F5F">
        <w:rPr>
          <w:rStyle w:val="af7"/>
          <w:rFonts w:eastAsia="Guttman Hodes" w:hint="cs"/>
        </w:rPr>
        <w:instrText>REF</w:instrText>
      </w:r>
      <w:r w:rsidRPr="00105F5F">
        <w:rPr>
          <w:rStyle w:val="af7"/>
          <w:rFonts w:eastAsia="Guttman Hodes" w:hint="cs"/>
          <w:rtl/>
        </w:rPr>
        <w:instrText xml:space="preserve"> _</w:instrText>
      </w:r>
      <w:r w:rsidRPr="00105F5F">
        <w:rPr>
          <w:rStyle w:val="af7"/>
          <w:rFonts w:eastAsia="Guttman Hodes" w:hint="cs"/>
        </w:rPr>
        <w:instrText>Ref1036525 \r \h</w:instrText>
      </w:r>
      <w:r w:rsidRPr="00105F5F">
        <w:rPr>
          <w:rStyle w:val="af7"/>
          <w:rFonts w:eastAsia="Guttman Hodes"/>
          <w:rtl/>
        </w:rPr>
        <w:instrText xml:space="preserve"> </w:instrText>
      </w:r>
      <w:r w:rsidRPr="00105F5F">
        <w:rPr>
          <w:rStyle w:val="af7"/>
          <w:rFonts w:eastAsia="Guttman Hodes"/>
          <w:rtl/>
        </w:rPr>
      </w:r>
      <w:r w:rsidRPr="00105F5F">
        <w:rPr>
          <w:rStyle w:val="af7"/>
          <w:rFonts w:eastAsia="Guttman Hodes"/>
          <w:rtl/>
        </w:rPr>
        <w:fldChar w:fldCharType="separate"/>
      </w:r>
      <w:r w:rsidR="00345400">
        <w:rPr>
          <w:rStyle w:val="af7"/>
          <w:rFonts w:eastAsia="Guttman Hodes"/>
          <w:cs/>
        </w:rPr>
        <w:t>‎</w:t>
      </w:r>
      <w:r w:rsidR="00345400">
        <w:rPr>
          <w:rStyle w:val="af7"/>
          <w:rFonts w:eastAsia="Guttman Hodes"/>
          <w:rtl/>
        </w:rPr>
        <w:t>קיט)</w:t>
      </w:r>
      <w:r w:rsidRPr="00105F5F">
        <w:rPr>
          <w:rStyle w:val="af7"/>
          <w:rFonts w:eastAsia="Guttman Hodes"/>
          <w:rtl/>
        </w:rPr>
        <w:fldChar w:fldCharType="end"/>
      </w:r>
      <w:r>
        <w:rPr>
          <w:rFonts w:hint="cs"/>
          <w:rtl/>
        </w:rPr>
        <w:t>.</w:t>
      </w:r>
    </w:p>
    <w:p w14:paraId="1FC4629A" w14:textId="77777777" w:rsidR="003D504D" w:rsidRPr="00A22EE9" w:rsidRDefault="003D504D" w:rsidP="00BF39B2">
      <w:pPr>
        <w:pStyle w:val="1"/>
        <w:rPr>
          <w:rtl/>
        </w:rPr>
      </w:pPr>
      <w:bookmarkStart w:id="19583" w:name="_Toc1112098"/>
      <w:bookmarkStart w:id="19584" w:name="_Toc1123966"/>
      <w:bookmarkStart w:id="19585" w:name="_Toc19391485"/>
      <w:bookmarkStart w:id="19586" w:name="_Toc19394982"/>
      <w:r>
        <w:rPr>
          <w:rFonts w:hint="cs"/>
          <w:rtl/>
        </w:rPr>
        <w:t>דברי האמרי משה דמשמע ב</w:t>
      </w:r>
      <w:r w:rsidRPr="00A22EE9">
        <w:rPr>
          <w:rFonts w:hint="cs"/>
          <w:rtl/>
        </w:rPr>
        <w:t>רשב"א דהעובר אינו כשחוט</w:t>
      </w:r>
      <w:bookmarkEnd w:id="19546"/>
      <w:bookmarkEnd w:id="19571"/>
      <w:bookmarkEnd w:id="19572"/>
      <w:bookmarkEnd w:id="19573"/>
      <w:bookmarkEnd w:id="19583"/>
      <w:bookmarkEnd w:id="19584"/>
      <w:bookmarkEnd w:id="19585"/>
      <w:bookmarkEnd w:id="19586"/>
    </w:p>
    <w:p w14:paraId="4C0782B1" w14:textId="77777777" w:rsidR="003D504D" w:rsidRPr="00A22EE9" w:rsidRDefault="003D504D" w:rsidP="003D504D">
      <w:pPr>
        <w:pStyle w:val="a3"/>
      </w:pPr>
      <w:bookmarkStart w:id="19587" w:name="_Toc955868"/>
      <w:bookmarkStart w:id="19588" w:name="_Toc1039525"/>
      <w:bookmarkStart w:id="19589" w:name="_Toc1040768"/>
      <w:bookmarkStart w:id="19590" w:name="_Toc1063656"/>
      <w:bookmarkStart w:id="19591" w:name="_Toc1112099"/>
      <w:bookmarkStart w:id="19592" w:name="_Toc1123967"/>
      <w:bookmarkStart w:id="19593" w:name="_Toc19391486"/>
      <w:bookmarkStart w:id="19594" w:name="_Toc19394983"/>
      <w:r w:rsidRPr="00A22EE9">
        <w:rPr>
          <w:rFonts w:hint="cs"/>
          <w:rtl/>
        </w:rPr>
        <w:t>דברי האמרי משה דמבואר ברשב"א דהעובר אינו כשחוט אלא יש בו דין היתר מגזיה"כ</w:t>
      </w:r>
      <w:bookmarkEnd w:id="19587"/>
      <w:bookmarkEnd w:id="19588"/>
      <w:bookmarkEnd w:id="19589"/>
      <w:bookmarkEnd w:id="19590"/>
      <w:bookmarkEnd w:id="19591"/>
      <w:bookmarkEnd w:id="19592"/>
      <w:bookmarkEnd w:id="19593"/>
      <w:bookmarkEnd w:id="19594"/>
    </w:p>
    <w:p w14:paraId="572D9B7D" w14:textId="77777777" w:rsidR="003D504D" w:rsidRPr="00A22EE9" w:rsidRDefault="003D504D" w:rsidP="00223668">
      <w:pPr>
        <w:pStyle w:val="a0"/>
      </w:pPr>
      <w:r w:rsidRPr="00A22EE9">
        <w:rPr>
          <w:rFonts w:hint="cs"/>
          <w:rtl/>
        </w:rPr>
        <w:t xml:space="preserve">בדברי </w:t>
      </w:r>
      <w:r w:rsidRPr="00A22EE9">
        <w:rPr>
          <w:rStyle w:val="af9"/>
          <w:rFonts w:hint="cs"/>
          <w:rtl/>
        </w:rPr>
        <w:t>הרשב"א בחי' ובתוה"ב</w:t>
      </w:r>
      <w:r w:rsidRPr="00A22EE9">
        <w:rPr>
          <w:rFonts w:hint="cs"/>
          <w:rtl/>
        </w:rPr>
        <w:t xml:space="preserve"> </w:t>
      </w:r>
      <w:r w:rsidRPr="004304CE">
        <w:rPr>
          <w:rStyle w:val="af7"/>
          <w:rFonts w:eastAsia="Guttman Hodes" w:hint="cs"/>
          <w:rtl/>
        </w:rPr>
        <w:t xml:space="preserve">(עי' אות </w:t>
      </w:r>
      <w:r w:rsidRPr="00A22EE9">
        <w:rPr>
          <w:rStyle w:val="af7"/>
          <w:rFonts w:eastAsia="Guttman Hodes"/>
          <w:rtl/>
        </w:rPr>
        <w:fldChar w:fldCharType="begin"/>
      </w:r>
      <w:r w:rsidRPr="00A22EE9">
        <w:rPr>
          <w:rStyle w:val="af7"/>
          <w:rFonts w:eastAsia="Guttman Hodes"/>
          <w:rtl/>
        </w:rPr>
        <w:instrText xml:space="preserve"> </w:instrText>
      </w:r>
      <w:r w:rsidRPr="00A22EE9">
        <w:rPr>
          <w:rStyle w:val="af7"/>
          <w:rFonts w:eastAsia="Guttman Hodes" w:hint="cs"/>
        </w:rPr>
        <w:instrText>REF</w:instrText>
      </w:r>
      <w:r w:rsidRPr="00A22EE9">
        <w:rPr>
          <w:rStyle w:val="af7"/>
          <w:rFonts w:eastAsia="Guttman Hodes" w:hint="cs"/>
          <w:rtl/>
        </w:rPr>
        <w:instrText xml:space="preserve"> _</w:instrText>
      </w:r>
      <w:r w:rsidRPr="00A22EE9">
        <w:rPr>
          <w:rStyle w:val="af7"/>
          <w:rFonts w:eastAsia="Guttman Hodes" w:hint="cs"/>
        </w:rPr>
        <w:instrText>Ref535228443 \r \h</w:instrText>
      </w:r>
      <w:r w:rsidRPr="00A22EE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A22EE9">
        <w:rPr>
          <w:rStyle w:val="af7"/>
          <w:rFonts w:eastAsia="Guttman Hodes"/>
          <w:rtl/>
        </w:rPr>
      </w:r>
      <w:r w:rsidRPr="00A22EE9">
        <w:rPr>
          <w:rStyle w:val="af7"/>
          <w:rFonts w:eastAsia="Guttman Hodes"/>
          <w:rtl/>
        </w:rPr>
        <w:fldChar w:fldCharType="separate"/>
      </w:r>
      <w:r w:rsidR="00345400">
        <w:rPr>
          <w:rStyle w:val="af7"/>
          <w:rFonts w:eastAsia="Guttman Hodes"/>
          <w:cs/>
        </w:rPr>
        <w:t>‎</w:t>
      </w:r>
      <w:r w:rsidR="00345400">
        <w:rPr>
          <w:rStyle w:val="af7"/>
          <w:rFonts w:eastAsia="Guttman Hodes"/>
          <w:rtl/>
        </w:rPr>
        <w:t>כה)</w:t>
      </w:r>
      <w:r w:rsidRPr="00A22EE9">
        <w:rPr>
          <w:rStyle w:val="af7"/>
          <w:rFonts w:eastAsia="Guttman Hodes"/>
          <w:rtl/>
        </w:rPr>
        <w:fldChar w:fldCharType="end"/>
      </w:r>
      <w:r w:rsidRPr="00A22EE9">
        <w:rPr>
          <w:rFonts w:hint="cs"/>
          <w:rtl/>
        </w:rPr>
        <w:t xml:space="preserve"> בביאור ספק הגמ' </w:t>
      </w:r>
      <w:r>
        <w:rPr>
          <w:rFonts w:hint="cs"/>
          <w:rtl/>
        </w:rPr>
        <w:t>בדין חלב</w:t>
      </w:r>
      <w:r w:rsidRPr="00A22EE9">
        <w:rPr>
          <w:rFonts w:hint="cs"/>
          <w:rtl/>
        </w:rPr>
        <w:t xml:space="preserve"> הבא מכח אבר היוצא, כתב </w:t>
      </w:r>
      <w:r w:rsidRPr="00A22EE9">
        <w:rPr>
          <w:rStyle w:val="af9"/>
          <w:rFonts w:hint="cs"/>
          <w:rtl/>
        </w:rPr>
        <w:t>האמרי משה</w:t>
      </w:r>
      <w:r w:rsidRPr="00A22EE9">
        <w:rPr>
          <w:rFonts w:hint="cs"/>
          <w:rtl/>
        </w:rPr>
        <w:t xml:space="preserve"> </w:t>
      </w:r>
      <w:r w:rsidRPr="004304CE">
        <w:rPr>
          <w:rStyle w:val="af7"/>
          <w:rFonts w:eastAsia="Guttman Hodes" w:hint="cs"/>
          <w:rtl/>
        </w:rPr>
        <w:t>(סי' ד' אות כ"ד)</w:t>
      </w:r>
      <w:r w:rsidRPr="00A22EE9">
        <w:rPr>
          <w:rFonts w:hint="cs"/>
          <w:rtl/>
        </w:rPr>
        <w:t xml:space="preserve"> דמבואר מדברי </w:t>
      </w:r>
      <w:r w:rsidRPr="00A22EE9">
        <w:rPr>
          <w:rStyle w:val="af9"/>
          <w:rFonts w:hint="cs"/>
          <w:rtl/>
        </w:rPr>
        <w:t>הרשב"א</w:t>
      </w:r>
      <w:r w:rsidRPr="00A22EE9">
        <w:rPr>
          <w:rFonts w:hint="cs"/>
          <w:rtl/>
        </w:rPr>
        <w:t xml:space="preserve"> דהאיסור באבר היוצא הוא מדין אבר מן החי, והוסיף </w:t>
      </w:r>
      <w:r w:rsidRPr="00A22EE9">
        <w:rPr>
          <w:rStyle w:val="af9"/>
          <w:rFonts w:hint="cs"/>
          <w:rtl/>
        </w:rPr>
        <w:t>האמרי משה</w:t>
      </w:r>
      <w:r w:rsidRPr="00A22EE9">
        <w:rPr>
          <w:rFonts w:hint="cs"/>
          <w:rtl/>
        </w:rPr>
        <w:t xml:space="preserve"> דכן משמע </w:t>
      </w:r>
      <w:r w:rsidRPr="00A22EE9">
        <w:rPr>
          <w:rStyle w:val="af9"/>
          <w:rFonts w:hint="cs"/>
          <w:rtl/>
        </w:rPr>
        <w:t>ברוב הראשונים</w:t>
      </w:r>
      <w:r w:rsidRPr="00A22EE9">
        <w:rPr>
          <w:rFonts w:hint="cs"/>
          <w:rtl/>
        </w:rPr>
        <w:t xml:space="preserve">, וכתב </w:t>
      </w:r>
      <w:r w:rsidRPr="00A22EE9">
        <w:rPr>
          <w:rStyle w:val="af9"/>
          <w:rFonts w:hint="cs"/>
          <w:rtl/>
        </w:rPr>
        <w:t>האמרי משה</w:t>
      </w:r>
      <w:r w:rsidRPr="00A22EE9">
        <w:rPr>
          <w:rFonts w:hint="cs"/>
          <w:rtl/>
        </w:rPr>
        <w:t xml:space="preserve"> דמשמע דס"ל </w:t>
      </w:r>
      <w:r w:rsidRPr="00A22EE9">
        <w:rPr>
          <w:rStyle w:val="af9"/>
          <w:rFonts w:hint="cs"/>
          <w:rtl/>
        </w:rPr>
        <w:t>להרשב"א ורוב הראשונים</w:t>
      </w:r>
      <w:r w:rsidRPr="00A22EE9">
        <w:rPr>
          <w:rFonts w:hint="cs"/>
          <w:rtl/>
        </w:rPr>
        <w:t xml:space="preserve"> דלא חל על העובר דין שחיטה כלל, ואינו כשחוט, אלא שיש בו דין היתר "בהמה בבהמה", שמתיר את כל האיסורים שבבהמה, </w:t>
      </w:r>
      <w:r>
        <w:rPr>
          <w:rFonts w:hint="cs"/>
          <w:rtl/>
        </w:rPr>
        <w:t>כ</w:t>
      </w:r>
      <w:r>
        <w:rPr>
          <w:rtl/>
        </w:rPr>
        <w:t>חֵלֶב</w:t>
      </w:r>
      <w:r w:rsidRPr="00A22EE9">
        <w:rPr>
          <w:rFonts w:hint="cs"/>
          <w:rtl/>
        </w:rPr>
        <w:t xml:space="preserve"> וגיד שא"א להתירם אף אם העובר נחשב כשחוט, וממילא אין על האבר היוצא דין שחוט, דאף העובר עצמו אינו כשחוט.</w:t>
      </w:r>
    </w:p>
    <w:p w14:paraId="0BB2E66D" w14:textId="77777777" w:rsidR="003D504D" w:rsidRPr="00A22EE9" w:rsidRDefault="003D504D" w:rsidP="003D504D">
      <w:pPr>
        <w:pStyle w:val="a3"/>
        <w:rPr>
          <w:rtl/>
        </w:rPr>
      </w:pPr>
      <w:bookmarkStart w:id="19595" w:name="_Toc955869"/>
      <w:bookmarkStart w:id="19596" w:name="_Toc1039526"/>
      <w:bookmarkStart w:id="19597" w:name="_Toc1040769"/>
      <w:bookmarkStart w:id="19598" w:name="_Toc1063657"/>
      <w:bookmarkStart w:id="19599" w:name="_Toc1112100"/>
      <w:bookmarkStart w:id="19600" w:name="_Toc1123968"/>
      <w:bookmarkStart w:id="19601" w:name="_Toc19391487"/>
      <w:bookmarkStart w:id="19602" w:name="_Toc19394984"/>
      <w:r w:rsidRPr="00A22EE9">
        <w:rPr>
          <w:rFonts w:hint="cs"/>
          <w:rtl/>
        </w:rPr>
        <w:t>דחיית האמרי משה דאי העובר אינו כשחוט האבר היוצא אסור ממילא וא"צ קרא לאוסרו</w:t>
      </w:r>
      <w:bookmarkEnd w:id="19595"/>
      <w:bookmarkEnd w:id="19596"/>
      <w:bookmarkEnd w:id="19597"/>
      <w:bookmarkEnd w:id="19598"/>
      <w:bookmarkEnd w:id="19599"/>
      <w:bookmarkEnd w:id="19600"/>
      <w:bookmarkEnd w:id="19601"/>
      <w:bookmarkEnd w:id="19602"/>
    </w:p>
    <w:p w14:paraId="693E992B" w14:textId="77777777" w:rsidR="003D504D" w:rsidRPr="00A22EE9" w:rsidRDefault="003D504D" w:rsidP="00223668">
      <w:pPr>
        <w:pStyle w:val="a0"/>
        <w:rPr>
          <w:rtl/>
        </w:rPr>
      </w:pPr>
      <w:r w:rsidRPr="00A22EE9">
        <w:rPr>
          <w:rFonts w:hint="cs"/>
          <w:rtl/>
        </w:rPr>
        <w:t xml:space="preserve">אך דחה </w:t>
      </w:r>
      <w:r w:rsidRPr="00A22EE9">
        <w:rPr>
          <w:rStyle w:val="af9"/>
          <w:rFonts w:hint="cs"/>
          <w:rtl/>
        </w:rPr>
        <w:t>האמרי משה</w:t>
      </w:r>
      <w:r w:rsidRPr="00A22EE9">
        <w:rPr>
          <w:rFonts w:hint="cs"/>
          <w:rtl/>
        </w:rPr>
        <w:t xml:space="preserve"> דא"כ אמאי הוצרכה התורה לאסור את האבר היוצא מדין "בשר בשדה טריפה", הא בלא"ה א"א להתירו, כיון שאינו בתוך הבהמה, ואין בו היתר "בהמה בבהמה", </w:t>
      </w:r>
      <w:r w:rsidRPr="00A22EE9">
        <w:rPr>
          <w:rStyle w:val="afb"/>
          <w:rtl/>
        </w:rPr>
        <w:t xml:space="preserve">[וכתב </w:t>
      </w:r>
      <w:r w:rsidRPr="00A22EE9">
        <w:rPr>
          <w:rStyle w:val="affa"/>
          <w:rtl/>
        </w:rPr>
        <w:t xml:space="preserve">האמרי משה </w:t>
      </w:r>
      <w:r w:rsidRPr="00A22EE9">
        <w:rPr>
          <w:rStyle w:val="afb"/>
          <w:rtl/>
        </w:rPr>
        <w:t xml:space="preserve">דאפשר לתרץ דבלא הפסו' הו"א דע"י היתר "בהמה בבהמה" חל על העובר דין שחוט, וא"כ אף האבר היוצא הוא כשחוט, ואחר שאסרה תורה את האבר היוצא מהפס' "בשר בשדה טריפה, א"כ מבואר דגלי קרא דההיתר אינו מדין שחוט, אלא דמחיצת האם מתירתו, ולכן האבר היוצא אסור, אך כתב </w:t>
      </w:r>
      <w:r w:rsidRPr="00A22EE9">
        <w:rPr>
          <w:rStyle w:val="affa"/>
          <w:rtl/>
        </w:rPr>
        <w:t xml:space="preserve">האמרי משה </w:t>
      </w:r>
      <w:r w:rsidRPr="00A22EE9">
        <w:rPr>
          <w:rStyle w:val="afb"/>
          <w:rtl/>
        </w:rPr>
        <w:t>דדוחק לבאר כן],</w:t>
      </w:r>
      <w:r w:rsidRPr="00A22EE9">
        <w:rPr>
          <w:rFonts w:hint="cs"/>
          <w:rtl/>
        </w:rPr>
        <w:t xml:space="preserve"> ועיי"ש בדברי </w:t>
      </w:r>
      <w:r w:rsidRPr="00A22EE9">
        <w:rPr>
          <w:rStyle w:val="af9"/>
          <w:rFonts w:hint="cs"/>
          <w:rtl/>
        </w:rPr>
        <w:t>האמרי משה</w:t>
      </w:r>
      <w:r w:rsidRPr="00A22EE9">
        <w:rPr>
          <w:rFonts w:hint="cs"/>
          <w:rtl/>
        </w:rPr>
        <w:t xml:space="preserve"> במה שהוסיף להוכיח דא"א לבאר כן בדעת </w:t>
      </w:r>
      <w:r w:rsidRPr="00A22EE9">
        <w:rPr>
          <w:rStyle w:val="af9"/>
          <w:rFonts w:hint="cs"/>
          <w:rtl/>
        </w:rPr>
        <w:t>הרשב"א</w:t>
      </w:r>
      <w:r w:rsidRPr="00A22EE9">
        <w:rPr>
          <w:rFonts w:hint="cs"/>
          <w:rtl/>
        </w:rPr>
        <w:t xml:space="preserve">, מהא דמהני השחיטה לטהר את האבר היוצא מדין נבילה, כדתני' במתני' לקמן </w:t>
      </w:r>
      <w:r w:rsidRPr="004304CE">
        <w:rPr>
          <w:rStyle w:val="af7"/>
          <w:rFonts w:eastAsia="Guttman Hodes" w:hint="cs"/>
          <w:rtl/>
        </w:rPr>
        <w:t>(עב.)</w:t>
      </w:r>
      <w:r w:rsidRPr="00A22EE9">
        <w:rPr>
          <w:rFonts w:hint="cs"/>
          <w:rtl/>
        </w:rPr>
        <w:t>.</w:t>
      </w:r>
    </w:p>
    <w:p w14:paraId="218701F5" w14:textId="77777777" w:rsidR="003D504D" w:rsidRPr="00262D34" w:rsidRDefault="003D504D" w:rsidP="00BF39B2">
      <w:pPr>
        <w:pStyle w:val="1"/>
        <w:rPr>
          <w:rtl/>
        </w:rPr>
      </w:pPr>
      <w:bookmarkStart w:id="19603" w:name="_Toc1039527"/>
      <w:bookmarkStart w:id="19604" w:name="_Toc1040770"/>
      <w:bookmarkStart w:id="19605" w:name="_Toc1063658"/>
      <w:bookmarkStart w:id="19606" w:name="_Toc1112101"/>
      <w:bookmarkStart w:id="19607" w:name="_Toc1123969"/>
      <w:bookmarkStart w:id="19608" w:name="_Toc19391488"/>
      <w:bookmarkStart w:id="19609" w:name="_Toc19394985"/>
      <w:r>
        <w:rPr>
          <w:rFonts w:hint="cs"/>
          <w:rtl/>
        </w:rPr>
        <w:t>ביאור האמרי משה דאף לדעת הרשב"א דינו כשחוט</w:t>
      </w:r>
      <w:bookmarkEnd w:id="19603"/>
      <w:bookmarkEnd w:id="19604"/>
      <w:bookmarkEnd w:id="19605"/>
      <w:bookmarkEnd w:id="19606"/>
      <w:bookmarkEnd w:id="19607"/>
      <w:bookmarkEnd w:id="19608"/>
      <w:bookmarkEnd w:id="19609"/>
    </w:p>
    <w:p w14:paraId="5362C6BB" w14:textId="77777777" w:rsidR="003D504D" w:rsidRPr="00262D34" w:rsidRDefault="003D504D" w:rsidP="003D504D">
      <w:pPr>
        <w:pStyle w:val="a3"/>
        <w:rPr>
          <w:rtl/>
        </w:rPr>
      </w:pPr>
      <w:bookmarkStart w:id="19610" w:name="_Toc1039528"/>
      <w:bookmarkStart w:id="19611" w:name="_Toc1040771"/>
      <w:bookmarkStart w:id="19612" w:name="_Toc1063659"/>
      <w:bookmarkStart w:id="19613" w:name="_Toc1112102"/>
      <w:bookmarkStart w:id="19614" w:name="_Toc1123970"/>
      <w:bookmarkStart w:id="19615" w:name="_Toc19391489"/>
      <w:bookmarkStart w:id="19616" w:name="_Toc19394986"/>
      <w:r>
        <w:rPr>
          <w:rFonts w:hint="cs"/>
          <w:rtl/>
        </w:rPr>
        <w:t>ביאור האמרי משה דכוונת הרשב"א לומר דאין באבר איסור מצד עצמו אלא שלא חלה השחיטה</w:t>
      </w:r>
      <w:bookmarkEnd w:id="19610"/>
      <w:bookmarkEnd w:id="19611"/>
      <w:bookmarkEnd w:id="19612"/>
      <w:bookmarkEnd w:id="19613"/>
      <w:bookmarkEnd w:id="19614"/>
      <w:bookmarkEnd w:id="19615"/>
      <w:bookmarkEnd w:id="19616"/>
    </w:p>
    <w:p w14:paraId="0F6ECCA7" w14:textId="77777777" w:rsidR="003D504D" w:rsidRDefault="003D504D" w:rsidP="00223668">
      <w:pPr>
        <w:pStyle w:val="a0"/>
        <w:rPr>
          <w:rStyle w:val="afb"/>
          <w:rtl/>
        </w:rPr>
      </w:pPr>
      <w:r w:rsidRPr="00262D34">
        <w:rPr>
          <w:rFonts w:hint="cs"/>
          <w:rtl/>
        </w:rPr>
        <w:t xml:space="preserve">אלא ביאר </w:t>
      </w:r>
      <w:r w:rsidRPr="00262D34">
        <w:rPr>
          <w:rStyle w:val="af9"/>
          <w:rFonts w:hint="cs"/>
          <w:rtl/>
        </w:rPr>
        <w:t>האמרי משה</w:t>
      </w:r>
      <w:r w:rsidRPr="00262D34">
        <w:rPr>
          <w:rFonts w:hint="cs"/>
          <w:rtl/>
        </w:rPr>
        <w:t xml:space="preserve"> דמוכח דלכו"ע יש לעובר דין שחוט, כמשמעות הגמ' לקמן </w:t>
      </w:r>
      <w:r w:rsidRPr="00262D34">
        <w:rPr>
          <w:rStyle w:val="af7"/>
          <w:rFonts w:eastAsia="Guttman Hodes" w:hint="cs"/>
          <w:rtl/>
        </w:rPr>
        <w:t>(עה:)</w:t>
      </w:r>
      <w:r w:rsidRPr="00262D34">
        <w:rPr>
          <w:rFonts w:hint="cs"/>
          <w:rtl/>
        </w:rPr>
        <w:t xml:space="preserve"> דד' סימנים אכשר ביה רחמנא, ואף לאבר היוצא מהני השחיטה להתירו מדין נבילה, אך לענין אכילה יש איסור "בשר בשדה טריפה" דהאבר </w:t>
      </w:r>
      <w:r>
        <w:rPr>
          <w:rFonts w:hint="cs"/>
          <w:rtl/>
        </w:rPr>
        <w:t xml:space="preserve">היוצא הוא </w:t>
      </w:r>
      <w:r w:rsidRPr="00262D34">
        <w:rPr>
          <w:rFonts w:hint="cs"/>
          <w:rtl/>
        </w:rPr>
        <w:t xml:space="preserve">כטריפה, וכוונת </w:t>
      </w:r>
      <w:r w:rsidRPr="00262D34">
        <w:rPr>
          <w:rStyle w:val="af9"/>
          <w:rFonts w:hint="cs"/>
          <w:rtl/>
        </w:rPr>
        <w:t>הרשב"א</w:t>
      </w:r>
      <w:r w:rsidRPr="00262D34">
        <w:rPr>
          <w:rFonts w:hint="cs"/>
          <w:rtl/>
        </w:rPr>
        <w:t xml:space="preserve"> </w:t>
      </w:r>
      <w:r w:rsidRPr="00262D34">
        <w:rPr>
          <w:rStyle w:val="af7"/>
          <w:rFonts w:eastAsia="Guttman Hodes" w:hint="cs"/>
          <w:rtl/>
        </w:rPr>
        <w:t xml:space="preserve">(עי' אות </w:t>
      </w:r>
      <w:r w:rsidRPr="00262D34">
        <w:rPr>
          <w:rStyle w:val="af7"/>
          <w:rFonts w:eastAsia="Guttman Hodes"/>
          <w:rtl/>
        </w:rPr>
        <w:fldChar w:fldCharType="begin"/>
      </w:r>
      <w:r w:rsidRPr="00262D34">
        <w:rPr>
          <w:rStyle w:val="af7"/>
          <w:rFonts w:eastAsia="Guttman Hodes"/>
          <w:rtl/>
        </w:rPr>
        <w:instrText xml:space="preserve"> </w:instrText>
      </w:r>
      <w:r w:rsidRPr="00262D34">
        <w:rPr>
          <w:rStyle w:val="af7"/>
          <w:rFonts w:eastAsia="Guttman Hodes" w:hint="cs"/>
        </w:rPr>
        <w:instrText>REF</w:instrText>
      </w:r>
      <w:r w:rsidRPr="00262D34">
        <w:rPr>
          <w:rStyle w:val="af7"/>
          <w:rFonts w:eastAsia="Guttman Hodes" w:hint="cs"/>
          <w:rtl/>
        </w:rPr>
        <w:instrText xml:space="preserve"> _</w:instrText>
      </w:r>
      <w:r w:rsidRPr="00262D34">
        <w:rPr>
          <w:rStyle w:val="af7"/>
          <w:rFonts w:eastAsia="Guttman Hodes" w:hint="cs"/>
        </w:rPr>
        <w:instrText>Ref535228443 \r \h</w:instrText>
      </w:r>
      <w:r w:rsidRPr="00262D3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262D34">
        <w:rPr>
          <w:rStyle w:val="af7"/>
          <w:rFonts w:eastAsia="Guttman Hodes"/>
          <w:rtl/>
        </w:rPr>
      </w:r>
      <w:r w:rsidRPr="00262D34">
        <w:rPr>
          <w:rStyle w:val="af7"/>
          <w:rFonts w:eastAsia="Guttman Hodes"/>
          <w:rtl/>
        </w:rPr>
        <w:fldChar w:fldCharType="separate"/>
      </w:r>
      <w:r w:rsidR="00345400">
        <w:rPr>
          <w:rStyle w:val="af7"/>
          <w:rFonts w:eastAsia="Guttman Hodes"/>
          <w:cs/>
        </w:rPr>
        <w:t>‎</w:t>
      </w:r>
      <w:r w:rsidR="00345400">
        <w:rPr>
          <w:rStyle w:val="af7"/>
          <w:rFonts w:eastAsia="Guttman Hodes"/>
          <w:rtl/>
        </w:rPr>
        <w:t>כה)</w:t>
      </w:r>
      <w:r w:rsidRPr="00262D34">
        <w:rPr>
          <w:rStyle w:val="af7"/>
          <w:rFonts w:eastAsia="Guttman Hodes"/>
          <w:rtl/>
        </w:rPr>
        <w:fldChar w:fldCharType="end"/>
      </w:r>
      <w:r w:rsidRPr="00262D34">
        <w:rPr>
          <w:rFonts w:hint="cs"/>
          <w:rtl/>
        </w:rPr>
        <w:t xml:space="preserve"> לומר דאינו איסור בפנ"ע כטריפה, אלא דחשיב שהאבר נחתך מהעובר לפני השחיטה </w:t>
      </w:r>
      <w:r w:rsidRPr="00262D34">
        <w:rPr>
          <w:rStyle w:val="afb"/>
          <w:rFonts w:hint="cs"/>
          <w:rtl/>
        </w:rPr>
        <w:t>[לענין איסור אכילה]</w:t>
      </w:r>
      <w:r w:rsidRPr="00262D34">
        <w:rPr>
          <w:rFonts w:hint="cs"/>
          <w:rtl/>
        </w:rPr>
        <w:t xml:space="preserve">, וממילא לא חלה השחיטה על האבר היוצא והוא כאבר מן החי. </w:t>
      </w:r>
      <w:r w:rsidRPr="00262D34">
        <w:rPr>
          <w:rStyle w:val="afb"/>
          <w:rFonts w:hint="cs"/>
          <w:rtl/>
        </w:rPr>
        <w:t xml:space="preserve">[וע"ע בדברי </w:t>
      </w:r>
      <w:r w:rsidRPr="00262D34">
        <w:rPr>
          <w:rStyle w:val="affa"/>
          <w:rFonts w:hint="cs"/>
          <w:rtl/>
        </w:rPr>
        <w:t>האמרי משה</w:t>
      </w:r>
      <w:r w:rsidRPr="00262D34">
        <w:rPr>
          <w:rStyle w:val="afb"/>
          <w:rFonts w:hint="cs"/>
          <w:rtl/>
        </w:rPr>
        <w:t xml:space="preserve"> </w:t>
      </w:r>
      <w:r w:rsidRPr="00262D34">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Ref535750645 \r \h</w:instrText>
      </w:r>
      <w:r>
        <w:rPr>
          <w:rStyle w:val="aff6"/>
          <w:rtl/>
        </w:rPr>
        <w:instrText xml:space="preserve"> </w:instrText>
      </w:r>
      <w:r>
        <w:rPr>
          <w:rStyle w:val="aff6"/>
          <w:rtl/>
        </w:rPr>
      </w:r>
      <w:r>
        <w:rPr>
          <w:rStyle w:val="aff6"/>
          <w:rtl/>
        </w:rPr>
        <w:fldChar w:fldCharType="separate"/>
      </w:r>
      <w:r w:rsidR="00345400">
        <w:rPr>
          <w:rStyle w:val="aff6"/>
          <w:cs/>
        </w:rPr>
        <w:t>‎</w:t>
      </w:r>
      <w:r w:rsidR="00345400">
        <w:rPr>
          <w:rStyle w:val="aff6"/>
          <w:rtl/>
        </w:rPr>
        <w:t>קכט)</w:t>
      </w:r>
      <w:r>
        <w:rPr>
          <w:rStyle w:val="aff6"/>
          <w:rtl/>
        </w:rPr>
        <w:fldChar w:fldCharType="end"/>
      </w:r>
      <w:r>
        <w:rPr>
          <w:rStyle w:val="afb"/>
          <w:rFonts w:hint="cs"/>
          <w:rtl/>
        </w:rPr>
        <w:t xml:space="preserve"> </w:t>
      </w:r>
      <w:r w:rsidRPr="00262D34">
        <w:rPr>
          <w:rStyle w:val="afb"/>
          <w:rFonts w:hint="cs"/>
          <w:rtl/>
        </w:rPr>
        <w:t xml:space="preserve">דכתב דלדעת </w:t>
      </w:r>
      <w:r w:rsidRPr="00262D34">
        <w:rPr>
          <w:rStyle w:val="affa"/>
          <w:rFonts w:hint="cs"/>
          <w:rtl/>
        </w:rPr>
        <w:t>הרשב"א</w:t>
      </w:r>
      <w:r w:rsidRPr="00262D34">
        <w:rPr>
          <w:rStyle w:val="afb"/>
          <w:rFonts w:hint="cs"/>
          <w:rtl/>
        </w:rPr>
        <w:t xml:space="preserve"> אם היתה אפשרות לשחוט את האבר היוצא היה מותר</w:t>
      </w:r>
      <w:r>
        <w:rPr>
          <w:rStyle w:val="afb"/>
          <w:rFonts w:hint="cs"/>
          <w:rtl/>
        </w:rPr>
        <w:t>]</w:t>
      </w:r>
      <w:r w:rsidRPr="00262D34">
        <w:rPr>
          <w:rStyle w:val="afb"/>
          <w:rFonts w:hint="cs"/>
          <w:rtl/>
        </w:rPr>
        <w:t>.</w:t>
      </w:r>
    </w:p>
    <w:p w14:paraId="28ADD88B" w14:textId="77777777" w:rsidR="003D504D" w:rsidRPr="00123FFC" w:rsidRDefault="003D504D" w:rsidP="00BF39B2">
      <w:pPr>
        <w:pStyle w:val="1"/>
        <w:rPr>
          <w:rtl/>
        </w:rPr>
      </w:pPr>
      <w:bookmarkStart w:id="19617" w:name="_Toc1039529"/>
      <w:bookmarkStart w:id="19618" w:name="_Toc1040772"/>
      <w:bookmarkStart w:id="19619" w:name="_Toc1063660"/>
      <w:bookmarkStart w:id="19620" w:name="_Toc1112103"/>
      <w:bookmarkStart w:id="19621" w:name="_Toc1123971"/>
      <w:bookmarkStart w:id="19622" w:name="_Toc19391490"/>
      <w:bookmarkStart w:id="19623" w:name="_Toc19394987"/>
      <w:r w:rsidRPr="008B235A">
        <w:rPr>
          <w:rFonts w:hint="cs"/>
          <w:rtl/>
        </w:rPr>
        <w:t>דברי האמרי משה</w:t>
      </w:r>
      <w:bookmarkEnd w:id="19547"/>
      <w:bookmarkEnd w:id="19548"/>
      <w:bookmarkEnd w:id="19549"/>
      <w:bookmarkEnd w:id="19550"/>
      <w:bookmarkEnd w:id="19551"/>
      <w:r>
        <w:rPr>
          <w:rFonts w:hint="cs"/>
          <w:rtl/>
        </w:rPr>
        <w:t xml:space="preserve"> דמסוגיין מוכח דהשחיטה מהני לאבר היוצא</w:t>
      </w:r>
      <w:bookmarkEnd w:id="19617"/>
      <w:bookmarkEnd w:id="19618"/>
      <w:bookmarkEnd w:id="19619"/>
      <w:bookmarkEnd w:id="19620"/>
      <w:bookmarkEnd w:id="19621"/>
      <w:bookmarkEnd w:id="19622"/>
      <w:bookmarkEnd w:id="19623"/>
    </w:p>
    <w:p w14:paraId="305916FA" w14:textId="77777777" w:rsidR="003D504D" w:rsidRPr="00944BC6" w:rsidRDefault="003D504D" w:rsidP="003D504D">
      <w:pPr>
        <w:pStyle w:val="a3"/>
        <w:rPr>
          <w:rtl/>
        </w:rPr>
      </w:pPr>
      <w:bookmarkStart w:id="19624" w:name="_Toc1039530"/>
      <w:bookmarkStart w:id="19625" w:name="_Toc1040773"/>
      <w:bookmarkStart w:id="19626" w:name="_Toc1063661"/>
      <w:bookmarkStart w:id="19627" w:name="_Toc1112104"/>
      <w:bookmarkStart w:id="19628" w:name="_Toc1123972"/>
      <w:bookmarkStart w:id="19629" w:name="_Toc19391491"/>
      <w:bookmarkStart w:id="19630" w:name="_Toc19394988"/>
      <w:r w:rsidRPr="00944BC6">
        <w:rPr>
          <w:rFonts w:hint="cs"/>
          <w:rtl/>
        </w:rPr>
        <w:t xml:space="preserve">דברי האמרי משה </w:t>
      </w:r>
      <w:r>
        <w:rPr>
          <w:rFonts w:hint="cs"/>
          <w:rtl/>
        </w:rPr>
        <w:t xml:space="preserve">ברמב"ם </w:t>
      </w:r>
      <w:r w:rsidRPr="00944BC6">
        <w:rPr>
          <w:rFonts w:hint="cs"/>
          <w:rtl/>
        </w:rPr>
        <w:t>דממסקנת הגמ' דולד מכח אבר היוצא מותר מוכח דאיסורו מדין טריפה</w:t>
      </w:r>
      <w:bookmarkEnd w:id="19624"/>
      <w:bookmarkEnd w:id="19625"/>
      <w:bookmarkEnd w:id="19626"/>
      <w:bookmarkEnd w:id="19627"/>
      <w:bookmarkEnd w:id="19628"/>
      <w:bookmarkEnd w:id="19629"/>
      <w:bookmarkEnd w:id="19630"/>
    </w:p>
    <w:p w14:paraId="64D33D6D" w14:textId="77777777" w:rsidR="003D504D" w:rsidRDefault="003D504D" w:rsidP="00223668">
      <w:pPr>
        <w:pStyle w:val="a0"/>
        <w:rPr>
          <w:rtl/>
        </w:rPr>
      </w:pPr>
      <w:r w:rsidRPr="00FF771A">
        <w:rPr>
          <w:rFonts w:hint="cs"/>
          <w:rtl/>
        </w:rPr>
        <w:t xml:space="preserve">כתב </w:t>
      </w:r>
      <w:r w:rsidRPr="00FF771A">
        <w:rPr>
          <w:rStyle w:val="af9"/>
          <w:rFonts w:hint="cs"/>
          <w:rtl/>
        </w:rPr>
        <w:t>האמרי משה</w:t>
      </w:r>
      <w:r w:rsidRPr="00FF771A">
        <w:rPr>
          <w:rFonts w:hint="cs"/>
          <w:rtl/>
        </w:rPr>
        <w:t xml:space="preserve"> </w:t>
      </w:r>
      <w:r w:rsidRPr="004304CE">
        <w:rPr>
          <w:rStyle w:val="af7"/>
          <w:rFonts w:eastAsia="Guttman Hodes" w:hint="cs"/>
          <w:rtl/>
        </w:rPr>
        <w:t>(סי ד' אות ה', ואות כ"ג ד"ה והנה ברמב"ם)</w:t>
      </w:r>
      <w:r w:rsidRPr="00FF771A">
        <w:rPr>
          <w:rFonts w:hint="cs"/>
          <w:rtl/>
        </w:rPr>
        <w:t xml:space="preserve"> דמבואר מדברי </w:t>
      </w:r>
      <w:r w:rsidRPr="00FF771A">
        <w:rPr>
          <w:rStyle w:val="af9"/>
          <w:rFonts w:hint="cs"/>
          <w:rtl/>
        </w:rPr>
        <w:t>הרמב"ם</w:t>
      </w:r>
      <w:r>
        <w:rPr>
          <w:rStyle w:val="af9"/>
          <w:rFonts w:hint="cs"/>
          <w:rtl/>
        </w:rPr>
        <w:t xml:space="preserve"> והראב"ד</w:t>
      </w:r>
      <w:r w:rsidRPr="00FF771A">
        <w:rPr>
          <w:rFonts w:hint="cs"/>
          <w:rtl/>
        </w:rPr>
        <w:t xml:space="preserve"> </w:t>
      </w:r>
      <w:r w:rsidRPr="004304CE">
        <w:rPr>
          <w:rStyle w:val="af7"/>
          <w:rFonts w:eastAsia="Guttman Hodes" w:hint="cs"/>
          <w:rtl/>
        </w:rPr>
        <w:t>(מאכ"א פ"ה הי"א)</w:t>
      </w:r>
      <w:r w:rsidRPr="00FF771A">
        <w:rPr>
          <w:rFonts w:hint="cs"/>
          <w:rtl/>
        </w:rPr>
        <w:t xml:space="preserve"> </w:t>
      </w:r>
      <w:r w:rsidRPr="004304CE">
        <w:rPr>
          <w:rStyle w:val="af7"/>
          <w:rFonts w:eastAsia="Guttman Hodes" w:hint="cs"/>
          <w:rtl/>
        </w:rPr>
        <w:t xml:space="preserve"> </w:t>
      </w:r>
      <w:r w:rsidRPr="00FF771A">
        <w:rPr>
          <w:rFonts w:hint="cs"/>
          <w:rtl/>
        </w:rPr>
        <w:t xml:space="preserve">דהאיסור באבר היוצא הוא רק איסור טריפה, ואין בו איסור אבר מן החי, </w:t>
      </w:r>
      <w:r>
        <w:rPr>
          <w:rFonts w:hint="cs"/>
          <w:rtl/>
        </w:rPr>
        <w:t>וכתב</w:t>
      </w:r>
      <w:r w:rsidRPr="00F73A9A">
        <w:rPr>
          <w:rFonts w:hint="cs"/>
          <w:rtl/>
        </w:rPr>
        <w:t xml:space="preserve"> </w:t>
      </w:r>
      <w:r w:rsidRPr="00F73A9A">
        <w:rPr>
          <w:rStyle w:val="af9"/>
          <w:rFonts w:hint="cs"/>
          <w:rtl/>
        </w:rPr>
        <w:t>האמרי משה</w:t>
      </w:r>
      <w:r w:rsidRPr="00F73A9A">
        <w:rPr>
          <w:rFonts w:hint="cs"/>
          <w:rtl/>
        </w:rPr>
        <w:t xml:space="preserve"> </w:t>
      </w:r>
      <w:r w:rsidRPr="004304CE">
        <w:rPr>
          <w:rStyle w:val="af7"/>
          <w:rFonts w:eastAsia="Guttman Hodes" w:hint="cs"/>
          <w:rtl/>
        </w:rPr>
        <w:t>(סי' ד' אות כ"ה)</w:t>
      </w:r>
      <w:r w:rsidRPr="00F73A9A">
        <w:rPr>
          <w:rFonts w:hint="cs"/>
          <w:rtl/>
        </w:rPr>
        <w:t xml:space="preserve"> </w:t>
      </w:r>
      <w:r w:rsidRPr="001A190B">
        <w:rPr>
          <w:rFonts w:hint="cs"/>
          <w:rtl/>
        </w:rPr>
        <w:t xml:space="preserve">דמקור דברי </w:t>
      </w:r>
      <w:r w:rsidRPr="00F73A9A">
        <w:rPr>
          <w:rStyle w:val="af9"/>
          <w:rFonts w:hint="cs"/>
          <w:rtl/>
        </w:rPr>
        <w:t xml:space="preserve">הרמב"ם </w:t>
      </w:r>
      <w:r>
        <w:rPr>
          <w:rStyle w:val="af9"/>
          <w:rFonts w:hint="cs"/>
          <w:rtl/>
        </w:rPr>
        <w:t>והראב"ד</w:t>
      </w:r>
      <w:r w:rsidRPr="00FF771A">
        <w:rPr>
          <w:rFonts w:hint="cs"/>
          <w:rtl/>
        </w:rPr>
        <w:t xml:space="preserve"> </w:t>
      </w:r>
      <w:r w:rsidRPr="00F73A9A">
        <w:rPr>
          <w:rFonts w:hint="cs"/>
          <w:rtl/>
        </w:rPr>
        <w:t>דאין איסור אבר מן החי באבר היוצא</w:t>
      </w:r>
      <w:r>
        <w:rPr>
          <w:rFonts w:hint="cs"/>
          <w:rtl/>
        </w:rPr>
        <w:t>, הוא ממסקנת הגמ' בסוגיין דהולד של בן פקועה שיש בו אבר היוצא</w:t>
      </w:r>
      <w:r w:rsidRPr="00367650">
        <w:rPr>
          <w:rFonts w:hint="cs"/>
          <w:rtl/>
        </w:rPr>
        <w:t xml:space="preserve"> </w:t>
      </w:r>
      <w:r>
        <w:rPr>
          <w:rFonts w:hint="cs"/>
          <w:rtl/>
        </w:rPr>
        <w:t xml:space="preserve">מותר, כיון דכל מכח לא אמרינן, וביאר </w:t>
      </w:r>
      <w:r w:rsidRPr="00123FFC">
        <w:rPr>
          <w:rStyle w:val="af9"/>
          <w:rFonts w:hint="cs"/>
          <w:rtl/>
        </w:rPr>
        <w:t>האמרי משה</w:t>
      </w:r>
      <w:r>
        <w:rPr>
          <w:rFonts w:hint="cs"/>
          <w:rtl/>
        </w:rPr>
        <w:t xml:space="preserve"> דאי האיסור באבר היוצא הוא מחמת דחשיב שלא נשחט בשחיטת האם, וממילא נשאר בו איסור אבר מן החי, א"כ אף דכל מכח לא אמרינן, מ"מ היאך מותר הולד בלא שחיטה, ולא דמי כלל לכל ולד שבא מכח </w:t>
      </w:r>
      <w:r>
        <w:rPr>
          <w:rtl/>
        </w:rPr>
        <w:t>חֵלֶב</w:t>
      </w:r>
      <w:r>
        <w:rPr>
          <w:rFonts w:hint="cs"/>
          <w:rtl/>
        </w:rPr>
        <w:t xml:space="preserve"> ודם, דאף שאין בכחם להאסור, מ"מ צריך שחיטה להתירו ככל בהמה שחייבת שחיטה.</w:t>
      </w:r>
    </w:p>
    <w:p w14:paraId="16E858D0" w14:textId="77777777" w:rsidR="003D504D" w:rsidRDefault="003D504D" w:rsidP="003D504D">
      <w:pPr>
        <w:pStyle w:val="a3"/>
        <w:rPr>
          <w:rtl/>
        </w:rPr>
      </w:pPr>
      <w:bookmarkStart w:id="19631" w:name="_Toc1039531"/>
      <w:bookmarkStart w:id="19632" w:name="_Toc1040774"/>
      <w:bookmarkStart w:id="19633" w:name="_Toc1063662"/>
      <w:bookmarkStart w:id="19634" w:name="_Toc1112105"/>
      <w:bookmarkStart w:id="19635" w:name="_Toc1123973"/>
      <w:bookmarkStart w:id="19636" w:name="_Toc19391492"/>
      <w:bookmarkStart w:id="19637" w:name="_Toc19394989"/>
      <w:r>
        <w:rPr>
          <w:rFonts w:hint="cs"/>
          <w:rtl/>
        </w:rPr>
        <w:t>דברי האמרי משה דאי אבר היוצא אינו כשחוט לא שייך להתיר את הולד שלא נשחט כולו</w:t>
      </w:r>
      <w:bookmarkEnd w:id="19631"/>
      <w:bookmarkEnd w:id="19632"/>
      <w:bookmarkEnd w:id="19633"/>
      <w:bookmarkEnd w:id="19634"/>
      <w:bookmarkEnd w:id="19635"/>
      <w:bookmarkEnd w:id="19636"/>
      <w:bookmarkEnd w:id="19637"/>
    </w:p>
    <w:p w14:paraId="6AA3F1B6" w14:textId="77777777" w:rsidR="003D504D" w:rsidRDefault="003D504D" w:rsidP="00223668">
      <w:pPr>
        <w:pStyle w:val="a0"/>
        <w:rPr>
          <w:rStyle w:val="afb"/>
          <w:rtl/>
        </w:rPr>
      </w:pPr>
      <w:r>
        <w:rPr>
          <w:rFonts w:hint="cs"/>
          <w:rtl/>
        </w:rPr>
        <w:t xml:space="preserve">והוסיף </w:t>
      </w:r>
      <w:r w:rsidRPr="00123FFC">
        <w:rPr>
          <w:rStyle w:val="af9"/>
          <w:rFonts w:hint="cs"/>
          <w:rtl/>
        </w:rPr>
        <w:t>האמרי משה</w:t>
      </w:r>
      <w:r>
        <w:rPr>
          <w:rFonts w:hint="cs"/>
          <w:rtl/>
        </w:rPr>
        <w:t xml:space="preserve"> דכל ההיתר בבן פקועה הוא דוקא כשכולו שחוט, דבכה"ג הולד שלו ג"כ אינו צריך שחיטה, דחשיב כמו האם עצמה שהגדילה, דמותרת בלא שחיטה, דכיון שכשהיה הולד במעי אמו היה מותר כאחד מאבריה והיא כבשרא בדיקולא, לכן אף כשנולד אח"כ וגדל לא חל עליו דין שחיטה,  אבל אי האבר היוצא אינו שחוט, א"כ יש באם עצמה חלק שלא נשחט, וממילא אף חלק מהולד לא הותר בשחיטה. </w:t>
      </w:r>
      <w:r w:rsidRPr="00123FFC">
        <w:rPr>
          <w:rStyle w:val="afb"/>
          <w:rFonts w:hint="cs"/>
          <w:rtl/>
        </w:rPr>
        <w:t xml:space="preserve">[וכתב </w:t>
      </w:r>
      <w:r w:rsidRPr="00123FFC">
        <w:rPr>
          <w:rStyle w:val="affa"/>
          <w:rFonts w:hint="cs"/>
          <w:rtl/>
        </w:rPr>
        <w:t>האמרי משה</w:t>
      </w:r>
      <w:r w:rsidRPr="00123FFC">
        <w:rPr>
          <w:rStyle w:val="afb"/>
          <w:rFonts w:hint="cs"/>
          <w:rtl/>
        </w:rPr>
        <w:t xml:space="preserve"> דאינו רק באבר אחד, דהא אף ביצא חציו אסור מדין יוצא].</w:t>
      </w:r>
    </w:p>
    <w:p w14:paraId="2E7CBE44" w14:textId="77777777" w:rsidR="003D504D" w:rsidRDefault="003D504D" w:rsidP="003D504D">
      <w:pPr>
        <w:pStyle w:val="a3"/>
        <w:rPr>
          <w:rtl/>
        </w:rPr>
      </w:pPr>
      <w:bookmarkStart w:id="19638" w:name="_Toc1039532"/>
      <w:bookmarkStart w:id="19639" w:name="_Toc1040775"/>
      <w:bookmarkStart w:id="19640" w:name="_Toc1063663"/>
      <w:bookmarkStart w:id="19641" w:name="_Toc1112106"/>
      <w:bookmarkStart w:id="19642" w:name="_Toc1123974"/>
      <w:bookmarkStart w:id="19643" w:name="_Toc19391493"/>
      <w:bookmarkStart w:id="19644" w:name="_Toc19394990"/>
      <w:r>
        <w:rPr>
          <w:rFonts w:hint="cs"/>
          <w:rtl/>
        </w:rPr>
        <w:t>דברי האמרי משה דא"א להתיר מדין זה וזה גורם דהא צריך להתירו אף שלא נשחט</w:t>
      </w:r>
      <w:bookmarkEnd w:id="19638"/>
      <w:bookmarkEnd w:id="19639"/>
      <w:bookmarkEnd w:id="19640"/>
      <w:bookmarkEnd w:id="19641"/>
      <w:bookmarkEnd w:id="19642"/>
      <w:bookmarkEnd w:id="19643"/>
      <w:bookmarkEnd w:id="19644"/>
    </w:p>
    <w:p w14:paraId="029C06CE" w14:textId="77777777" w:rsidR="003D504D" w:rsidRDefault="003D504D" w:rsidP="00223668">
      <w:pPr>
        <w:pStyle w:val="a0"/>
        <w:rPr>
          <w:rtl/>
        </w:rPr>
      </w:pPr>
      <w:r>
        <w:rPr>
          <w:rFonts w:hint="cs"/>
          <w:rtl/>
        </w:rPr>
        <w:t xml:space="preserve">וכתב </w:t>
      </w:r>
      <w:r w:rsidRPr="006D7468">
        <w:rPr>
          <w:rStyle w:val="af9"/>
          <w:rFonts w:hint="cs"/>
          <w:rtl/>
        </w:rPr>
        <w:t>האמרי משה</w:t>
      </w:r>
      <w:r>
        <w:rPr>
          <w:rFonts w:hint="cs"/>
          <w:rtl/>
        </w:rPr>
        <w:t xml:space="preserve"> דלא דמי לזה וזה גורם דמותר, דכל הדין דזה וזה גורם הוא כשבאין לאסור כיון שבא הדבר מכח איסור, אבל כאן צריך להתיר בלא שחיטה כיון שבא הולד מכח היתר דנולד מבהמה שהיא כבשרא בדיקולא, ואי חלק מהאם לא נשחט, ולא נאמר בו ההיתר היאך אפשר להתיר את הולד.</w:t>
      </w:r>
    </w:p>
    <w:p w14:paraId="36BDC6FB" w14:textId="77777777" w:rsidR="003D504D" w:rsidRPr="00210EAA" w:rsidRDefault="003D504D" w:rsidP="003D504D">
      <w:pPr>
        <w:pStyle w:val="a3"/>
        <w:rPr>
          <w:rtl/>
        </w:rPr>
      </w:pPr>
      <w:bookmarkStart w:id="19645" w:name="_Toc1039533"/>
      <w:bookmarkStart w:id="19646" w:name="_Toc1040776"/>
      <w:bookmarkStart w:id="19647" w:name="_Toc1063664"/>
      <w:bookmarkStart w:id="19648" w:name="_Toc1112107"/>
      <w:bookmarkStart w:id="19649" w:name="_Toc1123975"/>
      <w:bookmarkStart w:id="19650" w:name="_Toc19391494"/>
      <w:bookmarkStart w:id="19651" w:name="_Toc19394991"/>
      <w:r>
        <w:rPr>
          <w:rFonts w:hint="cs"/>
          <w:rtl/>
        </w:rPr>
        <w:t>דברי האמרי משה דאי האבר היוצא אסור מדין טריפה דמי ל</w:t>
      </w:r>
      <w:r>
        <w:rPr>
          <w:rtl/>
        </w:rPr>
        <w:t>חֵלֶב</w:t>
      </w:r>
      <w:r>
        <w:rPr>
          <w:rFonts w:hint="cs"/>
          <w:rtl/>
        </w:rPr>
        <w:t xml:space="preserve"> ודם דכל מכח לא אמרינן</w:t>
      </w:r>
      <w:bookmarkEnd w:id="19645"/>
      <w:bookmarkEnd w:id="19646"/>
      <w:bookmarkEnd w:id="19647"/>
      <w:bookmarkEnd w:id="19648"/>
      <w:bookmarkEnd w:id="19649"/>
      <w:bookmarkEnd w:id="19650"/>
      <w:bookmarkEnd w:id="19651"/>
    </w:p>
    <w:p w14:paraId="2987633A" w14:textId="77777777" w:rsidR="003D504D" w:rsidRDefault="003D504D" w:rsidP="00223668">
      <w:pPr>
        <w:pStyle w:val="a0"/>
        <w:rPr>
          <w:rtl/>
        </w:rPr>
      </w:pPr>
      <w:r>
        <w:rPr>
          <w:rFonts w:hint="cs"/>
          <w:rtl/>
        </w:rPr>
        <w:t xml:space="preserve">אלא כתב </w:t>
      </w:r>
      <w:r w:rsidRPr="006D7468">
        <w:rPr>
          <w:rStyle w:val="af9"/>
          <w:rFonts w:hint="cs"/>
          <w:rtl/>
        </w:rPr>
        <w:t>האמרי משה</w:t>
      </w:r>
      <w:r>
        <w:rPr>
          <w:rFonts w:hint="cs"/>
          <w:rtl/>
        </w:rPr>
        <w:t xml:space="preserve"> דמזה הוכיחו </w:t>
      </w:r>
      <w:r w:rsidRPr="006D7468">
        <w:rPr>
          <w:rStyle w:val="af9"/>
          <w:rFonts w:hint="cs"/>
          <w:rtl/>
        </w:rPr>
        <w:t>הרמב"ם</w:t>
      </w:r>
      <w:r>
        <w:rPr>
          <w:rStyle w:val="af9"/>
          <w:rFonts w:hint="cs"/>
          <w:rtl/>
        </w:rPr>
        <w:t xml:space="preserve"> והראב"ד</w:t>
      </w:r>
      <w:r>
        <w:rPr>
          <w:rFonts w:hint="cs"/>
          <w:rtl/>
        </w:rPr>
        <w:t xml:space="preserve"> דאף באבר היוצא אין איסור מדין אבר מן החי, דשחיטת האם מהני אף על האבר, כיון שא"א לחלק ולומר שהשחיטה חלה רק על העובר שבפנים ולא על האבר שבחוץ, והאיסור שבו הוא מדין טריפה, ולכן הגמ' מדמה את ההיתר בכל ולד שבא מכח </w:t>
      </w:r>
      <w:r>
        <w:rPr>
          <w:rtl/>
        </w:rPr>
        <w:t>חֵלֶב</w:t>
      </w:r>
      <w:r>
        <w:rPr>
          <w:rFonts w:hint="cs"/>
          <w:rtl/>
        </w:rPr>
        <w:t xml:space="preserve"> ודם, להיתר ולד שבא מכח איסור אבר היוצא.</w:t>
      </w:r>
    </w:p>
    <w:p w14:paraId="49F682F5" w14:textId="77777777" w:rsidR="003D504D" w:rsidRPr="00801CB6" w:rsidRDefault="003D504D" w:rsidP="003D504D">
      <w:pPr>
        <w:pStyle w:val="a3"/>
        <w:rPr>
          <w:rtl/>
        </w:rPr>
      </w:pPr>
      <w:bookmarkStart w:id="19652" w:name="_Toc519067"/>
      <w:bookmarkStart w:id="19653" w:name="_Toc725050"/>
      <w:bookmarkStart w:id="19654" w:name="_Toc773256"/>
      <w:bookmarkStart w:id="19655" w:name="_Toc862104"/>
      <w:bookmarkStart w:id="19656" w:name="_Toc890777"/>
      <w:bookmarkStart w:id="19657" w:name="_Toc903186"/>
      <w:bookmarkStart w:id="19658" w:name="_Toc955542"/>
      <w:bookmarkStart w:id="19659" w:name="_Toc955852"/>
      <w:bookmarkStart w:id="19660" w:name="_Toc1039534"/>
      <w:bookmarkStart w:id="19661" w:name="_Toc1040777"/>
      <w:bookmarkStart w:id="19662" w:name="_Toc1063665"/>
      <w:bookmarkStart w:id="19663" w:name="_Toc1112108"/>
      <w:bookmarkStart w:id="19664" w:name="_Toc1123976"/>
      <w:bookmarkStart w:id="19665" w:name="_Toc19391495"/>
      <w:bookmarkStart w:id="19666" w:name="_Toc19394992"/>
      <w:r w:rsidRPr="00801CB6">
        <w:rPr>
          <w:rFonts w:hint="cs"/>
          <w:rtl/>
        </w:rPr>
        <w:t>דברי האמרי משה דלפי"ז קשה על הרמב"ם והראב"ד את קושית הרשב"א מספק הגמ' בחלב</w:t>
      </w:r>
      <w:bookmarkEnd w:id="19652"/>
      <w:bookmarkEnd w:id="19653"/>
      <w:bookmarkEnd w:id="19654"/>
      <w:bookmarkEnd w:id="19655"/>
      <w:bookmarkEnd w:id="19656"/>
      <w:bookmarkEnd w:id="19657"/>
      <w:bookmarkEnd w:id="19658"/>
      <w:bookmarkEnd w:id="19659"/>
      <w:bookmarkEnd w:id="19660"/>
      <w:bookmarkEnd w:id="19661"/>
      <w:bookmarkEnd w:id="19662"/>
      <w:bookmarkEnd w:id="19663"/>
      <w:bookmarkEnd w:id="19664"/>
      <w:bookmarkEnd w:id="19665"/>
      <w:bookmarkEnd w:id="19666"/>
    </w:p>
    <w:p w14:paraId="110AD782" w14:textId="77777777" w:rsidR="003D504D" w:rsidRDefault="003D504D" w:rsidP="00223668">
      <w:pPr>
        <w:pStyle w:val="a0"/>
        <w:rPr>
          <w:rtl/>
        </w:rPr>
      </w:pPr>
      <w:r w:rsidRPr="00801CB6">
        <w:rPr>
          <w:rFonts w:hint="cs"/>
          <w:rtl/>
        </w:rPr>
        <w:t xml:space="preserve">אך הקשה </w:t>
      </w:r>
      <w:r w:rsidRPr="00801CB6">
        <w:rPr>
          <w:rStyle w:val="af9"/>
          <w:rFonts w:hint="cs"/>
          <w:rtl/>
        </w:rPr>
        <w:t>האמרי משה</w:t>
      </w:r>
      <w:r w:rsidRPr="00801CB6">
        <w:rPr>
          <w:rFonts w:hint="cs"/>
          <w:rtl/>
        </w:rPr>
        <w:t xml:space="preserve"> </w:t>
      </w:r>
      <w:r w:rsidRPr="004304CE">
        <w:rPr>
          <w:rStyle w:val="af7"/>
          <w:rFonts w:eastAsia="Guttman Hodes" w:hint="cs"/>
          <w:rtl/>
        </w:rPr>
        <w:t>(סי' ד' אות כ"ז)</w:t>
      </w:r>
      <w:r w:rsidRPr="00801CB6">
        <w:rPr>
          <w:rFonts w:hint="cs"/>
          <w:rtl/>
        </w:rPr>
        <w:t xml:space="preserve"> דכיון דס"ל </w:t>
      </w:r>
      <w:r w:rsidRPr="00801CB6">
        <w:rPr>
          <w:rStyle w:val="af9"/>
          <w:rFonts w:hint="cs"/>
          <w:rtl/>
        </w:rPr>
        <w:t xml:space="preserve">להרמב"ם </w:t>
      </w:r>
      <w:r w:rsidRPr="00993E53">
        <w:rPr>
          <w:rStyle w:val="af9"/>
          <w:rFonts w:hint="cs"/>
          <w:rtl/>
        </w:rPr>
        <w:t>והראב"ד</w:t>
      </w:r>
      <w:r>
        <w:rPr>
          <w:rFonts w:hint="cs"/>
          <w:rtl/>
        </w:rPr>
        <w:t xml:space="preserve"> </w:t>
      </w:r>
      <w:r w:rsidRPr="00801CB6">
        <w:rPr>
          <w:rFonts w:hint="cs"/>
          <w:rtl/>
        </w:rPr>
        <w:t xml:space="preserve">דהאיסור באבר היוצא הוא מדין טריפה, א"כ לדבריו קשה קושית </w:t>
      </w:r>
      <w:r w:rsidRPr="00801CB6">
        <w:rPr>
          <w:rStyle w:val="af9"/>
          <w:rFonts w:hint="cs"/>
          <w:rtl/>
        </w:rPr>
        <w:t>הרשב"א</w:t>
      </w:r>
      <w:r w:rsidRPr="00801CB6">
        <w:rPr>
          <w:rFonts w:hint="cs"/>
          <w:rtl/>
        </w:rPr>
        <w:t xml:space="preserve"> </w:t>
      </w:r>
      <w:r w:rsidRPr="004304CE">
        <w:rPr>
          <w:rStyle w:val="af7"/>
          <w:rFonts w:eastAsia="Guttman Hodes" w:hint="cs"/>
          <w:rtl/>
        </w:rPr>
        <w:t xml:space="preserve">(עי' אות </w:t>
      </w:r>
      <w:r w:rsidRPr="004304CE">
        <w:rPr>
          <w:rStyle w:val="af7"/>
          <w:rFonts w:eastAsia="Guttman Hodes"/>
          <w:rtl/>
        </w:rPr>
        <w:fldChar w:fldCharType="begin"/>
      </w:r>
      <w:r w:rsidRPr="004304CE">
        <w:rPr>
          <w:rStyle w:val="af7"/>
          <w:rFonts w:eastAsia="Guttman Hodes"/>
          <w:rtl/>
        </w:rPr>
        <w:instrText xml:space="preserve"> </w:instrText>
      </w:r>
      <w:r w:rsidRPr="004304CE">
        <w:rPr>
          <w:rStyle w:val="af7"/>
          <w:rFonts w:eastAsia="Guttman Hodes" w:hint="cs"/>
        </w:rPr>
        <w:instrText>REF</w:instrText>
      </w:r>
      <w:r w:rsidRPr="004304CE">
        <w:rPr>
          <w:rStyle w:val="af7"/>
          <w:rFonts w:eastAsia="Guttman Hodes" w:hint="cs"/>
          <w:rtl/>
        </w:rPr>
        <w:instrText xml:space="preserve"> _</w:instrText>
      </w:r>
      <w:r w:rsidRPr="004304CE">
        <w:rPr>
          <w:rStyle w:val="af7"/>
          <w:rFonts w:eastAsia="Guttman Hodes" w:hint="cs"/>
        </w:rPr>
        <w:instrText>Ref535230332 \r \h</w:instrText>
      </w:r>
      <w:r w:rsidRPr="004304CE">
        <w:rPr>
          <w:rStyle w:val="af7"/>
          <w:rFonts w:eastAsia="Guttman Hodes"/>
          <w:rtl/>
        </w:rPr>
        <w:instrText xml:space="preserve">  \* </w:instrText>
      </w:r>
      <w:r w:rsidRPr="004304CE">
        <w:rPr>
          <w:rStyle w:val="af7"/>
          <w:rFonts w:eastAsia="Guttman Hodes"/>
        </w:rPr>
        <w:instrText>MERGEFORMAT</w:instrText>
      </w:r>
      <w:r w:rsidRPr="004304CE">
        <w:rPr>
          <w:rStyle w:val="af7"/>
          <w:rFonts w:eastAsia="Guttman Hodes"/>
          <w:rtl/>
        </w:rPr>
        <w:instrText xml:space="preserve"> </w:instrText>
      </w:r>
      <w:r w:rsidRPr="004304CE">
        <w:rPr>
          <w:rStyle w:val="af7"/>
          <w:rFonts w:eastAsia="Guttman Hodes"/>
          <w:rtl/>
        </w:rPr>
      </w:r>
      <w:r w:rsidRPr="004304CE">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4304CE">
        <w:rPr>
          <w:rStyle w:val="af7"/>
          <w:rFonts w:eastAsia="Guttman Hodes"/>
          <w:rtl/>
        </w:rPr>
        <w:fldChar w:fldCharType="end"/>
      </w:r>
      <w:r w:rsidRPr="00801CB6">
        <w:rPr>
          <w:rFonts w:hint="cs"/>
          <w:rtl/>
        </w:rPr>
        <w:t xml:space="preserve"> דהיאך מדמה הגמ' את הספק בחלב הבא מכח אבר היוצא לחלב הבא מן החי, הא דמי לחלב טריפה דאסור.</w:t>
      </w:r>
    </w:p>
    <w:p w14:paraId="67FA5C48" w14:textId="77777777" w:rsidR="003D504D" w:rsidRPr="00801CB6" w:rsidRDefault="003D504D" w:rsidP="00BF39B2">
      <w:pPr>
        <w:pStyle w:val="1"/>
        <w:rPr>
          <w:rtl/>
        </w:rPr>
      </w:pPr>
      <w:bookmarkStart w:id="19667" w:name="_Toc519068"/>
      <w:bookmarkStart w:id="19668" w:name="_Toc725051"/>
      <w:bookmarkStart w:id="19669" w:name="_Toc773257"/>
      <w:bookmarkStart w:id="19670" w:name="_Toc862105"/>
      <w:bookmarkStart w:id="19671" w:name="_Toc890778"/>
      <w:bookmarkStart w:id="19672" w:name="_Toc903187"/>
      <w:bookmarkStart w:id="19673" w:name="_Toc955543"/>
      <w:bookmarkStart w:id="19674" w:name="_Toc955853"/>
      <w:bookmarkStart w:id="19675" w:name="_Toc1039535"/>
      <w:bookmarkStart w:id="19676" w:name="_Toc1040778"/>
      <w:bookmarkStart w:id="19677" w:name="_Toc1063666"/>
      <w:bookmarkStart w:id="19678" w:name="_Toc1112109"/>
      <w:bookmarkStart w:id="19679" w:name="_Toc1123977"/>
      <w:bookmarkStart w:id="19680" w:name="_Toc19391496"/>
      <w:bookmarkStart w:id="19681" w:name="_Toc19394993"/>
      <w:r w:rsidRPr="008B235A">
        <w:rPr>
          <w:rFonts w:hint="cs"/>
          <w:rtl/>
        </w:rPr>
        <w:t xml:space="preserve">ביאור האמרי משה </w:t>
      </w:r>
      <w:bookmarkEnd w:id="19667"/>
      <w:bookmarkEnd w:id="19668"/>
      <w:bookmarkEnd w:id="19669"/>
      <w:bookmarkEnd w:id="19670"/>
      <w:bookmarkEnd w:id="19671"/>
      <w:bookmarkEnd w:id="19672"/>
      <w:bookmarkEnd w:id="19673"/>
      <w:bookmarkEnd w:id="19674"/>
      <w:r>
        <w:rPr>
          <w:rFonts w:hint="cs"/>
          <w:rtl/>
        </w:rPr>
        <w:t>דה</w:t>
      </w:r>
      <w:r w:rsidRPr="008B235A">
        <w:rPr>
          <w:rFonts w:hint="cs"/>
          <w:rtl/>
        </w:rPr>
        <w:t>אבר היוצא</w:t>
      </w:r>
      <w:r>
        <w:rPr>
          <w:rFonts w:hint="cs"/>
          <w:rtl/>
        </w:rPr>
        <w:t xml:space="preserve"> נשחט אך אינו מותר בשחיטה</w:t>
      </w:r>
      <w:bookmarkEnd w:id="19675"/>
      <w:bookmarkEnd w:id="19676"/>
      <w:bookmarkEnd w:id="19677"/>
      <w:bookmarkEnd w:id="19678"/>
      <w:bookmarkEnd w:id="19679"/>
      <w:bookmarkEnd w:id="19680"/>
      <w:bookmarkEnd w:id="19681"/>
    </w:p>
    <w:p w14:paraId="0AB32FFE" w14:textId="77777777" w:rsidR="003D504D" w:rsidRPr="00801CB6" w:rsidRDefault="003D504D" w:rsidP="003D504D">
      <w:pPr>
        <w:pStyle w:val="a3"/>
        <w:rPr>
          <w:rtl/>
        </w:rPr>
      </w:pPr>
      <w:bookmarkStart w:id="19682" w:name="_Toc519069"/>
      <w:bookmarkStart w:id="19683" w:name="_Toc725052"/>
      <w:bookmarkStart w:id="19684" w:name="_Toc773258"/>
      <w:bookmarkStart w:id="19685" w:name="_Toc862106"/>
      <w:bookmarkStart w:id="19686" w:name="_Toc890779"/>
      <w:bookmarkStart w:id="19687" w:name="_Toc903188"/>
      <w:bookmarkStart w:id="19688" w:name="_Toc955544"/>
      <w:bookmarkStart w:id="19689" w:name="_Toc955854"/>
      <w:bookmarkStart w:id="19690" w:name="_Toc1039536"/>
      <w:bookmarkStart w:id="19691" w:name="_Toc1040779"/>
      <w:bookmarkStart w:id="19692" w:name="_Toc1063667"/>
      <w:bookmarkStart w:id="19693" w:name="_Toc1112110"/>
      <w:bookmarkStart w:id="19694" w:name="_Toc1123978"/>
      <w:bookmarkStart w:id="19695" w:name="_Toc19391497"/>
      <w:bookmarkStart w:id="19696" w:name="_Toc19394994"/>
      <w:r w:rsidRPr="00801CB6">
        <w:rPr>
          <w:rFonts w:hint="cs"/>
          <w:rtl/>
        </w:rPr>
        <w:t xml:space="preserve">דברי האמר"מ </w:t>
      </w:r>
      <w:bookmarkEnd w:id="19682"/>
      <w:bookmarkEnd w:id="19683"/>
      <w:bookmarkEnd w:id="19684"/>
      <w:bookmarkEnd w:id="19685"/>
      <w:bookmarkEnd w:id="19686"/>
      <w:bookmarkEnd w:id="19687"/>
      <w:bookmarkEnd w:id="19688"/>
      <w:bookmarkEnd w:id="19689"/>
      <w:r w:rsidRPr="00801CB6">
        <w:rPr>
          <w:rFonts w:hint="cs"/>
          <w:rtl/>
        </w:rPr>
        <w:t>דגלי קרא דבשר בשדה טריפה דלענין אכילה ל"מ השחיטה והוי כבשר מהחי</w:t>
      </w:r>
      <w:bookmarkEnd w:id="19690"/>
      <w:bookmarkEnd w:id="19691"/>
      <w:bookmarkEnd w:id="19692"/>
      <w:bookmarkEnd w:id="19693"/>
      <w:bookmarkEnd w:id="19694"/>
      <w:bookmarkEnd w:id="19695"/>
      <w:bookmarkEnd w:id="19696"/>
    </w:p>
    <w:p w14:paraId="1744E417" w14:textId="77777777" w:rsidR="003D504D" w:rsidRPr="00801CB6" w:rsidRDefault="003D504D" w:rsidP="00223668">
      <w:pPr>
        <w:pStyle w:val="a0"/>
        <w:rPr>
          <w:rtl/>
        </w:rPr>
      </w:pPr>
      <w:r w:rsidRPr="00801CB6">
        <w:rPr>
          <w:rFonts w:hint="cs"/>
          <w:rtl/>
        </w:rPr>
        <w:t xml:space="preserve">אלא ביאר </w:t>
      </w:r>
      <w:r w:rsidRPr="00801CB6">
        <w:rPr>
          <w:rStyle w:val="af9"/>
          <w:rFonts w:hint="cs"/>
          <w:rtl/>
        </w:rPr>
        <w:t>האמרי משה</w:t>
      </w:r>
      <w:r w:rsidRPr="00801CB6">
        <w:rPr>
          <w:rFonts w:hint="cs"/>
          <w:rtl/>
        </w:rPr>
        <w:t xml:space="preserve"> </w:t>
      </w:r>
      <w:r w:rsidRPr="00F1276C">
        <w:rPr>
          <w:rStyle w:val="af7"/>
          <w:rFonts w:eastAsia="Guttman Hodes" w:hint="cs"/>
          <w:rtl/>
        </w:rPr>
        <w:t>(סי' ד' אות כ"ח)</w:t>
      </w:r>
      <w:r w:rsidRPr="00801CB6">
        <w:rPr>
          <w:rFonts w:hint="cs"/>
          <w:rtl/>
        </w:rPr>
        <w:t xml:space="preserve"> דאף לדעת </w:t>
      </w:r>
      <w:r w:rsidRPr="00801CB6">
        <w:rPr>
          <w:rStyle w:val="af9"/>
          <w:rFonts w:hint="cs"/>
          <w:rtl/>
        </w:rPr>
        <w:t>הרמב"ם והראב"ד</w:t>
      </w:r>
      <w:r w:rsidRPr="00801CB6">
        <w:rPr>
          <w:rFonts w:hint="cs"/>
          <w:rtl/>
        </w:rPr>
        <w:t xml:space="preserve"> השחיטה מהני להתיר באכילה מדין אבר מן החי, רק למה שבתוך מחיצת הבהמה, </w:t>
      </w:r>
      <w:r>
        <w:rPr>
          <w:rFonts w:hint="cs"/>
          <w:rtl/>
        </w:rPr>
        <w:t xml:space="preserve">אך </w:t>
      </w:r>
      <w:r w:rsidRPr="00801CB6">
        <w:rPr>
          <w:rFonts w:hint="cs"/>
          <w:rtl/>
        </w:rPr>
        <w:t xml:space="preserve">לא מהני </w:t>
      </w:r>
      <w:r>
        <w:rPr>
          <w:rFonts w:hint="cs"/>
          <w:rtl/>
        </w:rPr>
        <w:t>השחיטה להתיר את ה</w:t>
      </w:r>
      <w:r w:rsidRPr="00801CB6">
        <w:rPr>
          <w:rFonts w:hint="cs"/>
          <w:rtl/>
        </w:rPr>
        <w:t xml:space="preserve">אבר היוצא, אלא דס"ל </w:t>
      </w:r>
      <w:r w:rsidRPr="00801CB6">
        <w:rPr>
          <w:rStyle w:val="af9"/>
          <w:rFonts w:hint="cs"/>
          <w:rtl/>
        </w:rPr>
        <w:t>להרמב"ם והראב"ד</w:t>
      </w:r>
      <w:r w:rsidRPr="00801CB6">
        <w:rPr>
          <w:rFonts w:hint="cs"/>
          <w:rtl/>
        </w:rPr>
        <w:t xml:space="preserve"> דמ"מ אין בזה איסור אבר מן החי, עיי"ש במה שביאר בזה </w:t>
      </w:r>
      <w:r w:rsidRPr="00F1276C">
        <w:rPr>
          <w:rStyle w:val="af7"/>
          <w:rFonts w:eastAsia="Guttman Hodes" w:hint="cs"/>
          <w:rtl/>
        </w:rPr>
        <w:t>(הובאו דבריו בסימן א' אות קכא)</w:t>
      </w:r>
      <w:r>
        <w:rPr>
          <w:rFonts w:hint="cs"/>
          <w:rtl/>
        </w:rPr>
        <w:t xml:space="preserve">, </w:t>
      </w:r>
      <w:r w:rsidRPr="00801CB6">
        <w:rPr>
          <w:rFonts w:hint="cs"/>
          <w:rtl/>
        </w:rPr>
        <w:t xml:space="preserve">וכתב </w:t>
      </w:r>
      <w:r w:rsidRPr="00801CB6">
        <w:rPr>
          <w:rStyle w:val="af9"/>
          <w:rFonts w:hint="cs"/>
          <w:rtl/>
        </w:rPr>
        <w:t>האמרי משה</w:t>
      </w:r>
      <w:r w:rsidRPr="00801CB6">
        <w:rPr>
          <w:rFonts w:hint="cs"/>
          <w:rtl/>
        </w:rPr>
        <w:t xml:space="preserve"> דלדעת </w:t>
      </w:r>
      <w:r w:rsidRPr="00801CB6">
        <w:rPr>
          <w:rStyle w:val="af9"/>
          <w:rFonts w:hint="cs"/>
          <w:rtl/>
        </w:rPr>
        <w:t xml:space="preserve">הרמב"ם </w:t>
      </w:r>
      <w:r w:rsidRPr="00993E53">
        <w:rPr>
          <w:rStyle w:val="af9"/>
          <w:rFonts w:hint="cs"/>
          <w:rtl/>
        </w:rPr>
        <w:t>והראב"ד</w:t>
      </w:r>
      <w:r>
        <w:rPr>
          <w:rFonts w:hint="cs"/>
          <w:rtl/>
        </w:rPr>
        <w:t xml:space="preserve"> </w:t>
      </w:r>
      <w:r w:rsidRPr="00801CB6">
        <w:rPr>
          <w:rFonts w:hint="cs"/>
          <w:rtl/>
        </w:rPr>
        <w:t>אחר שנאסר האבר היוצא באיסור טריפה מדין "בשר בשדה טריפה", ממילא אין לאבר הכשר שחיטה לענין אכילה, דגלי קרא דאף שמהני ההכשר שחיטה לאבר היוצא לטהרו מידי נבילה, מ"מ לענין אכילה אין בו הכשר שחיטה כמו בבשר שנתלש מהחי.</w:t>
      </w:r>
    </w:p>
    <w:p w14:paraId="48EEFE67" w14:textId="77777777" w:rsidR="003D504D" w:rsidRPr="00801CB6" w:rsidRDefault="003D504D" w:rsidP="003D504D">
      <w:pPr>
        <w:pStyle w:val="a3"/>
        <w:rPr>
          <w:rtl/>
        </w:rPr>
      </w:pPr>
      <w:bookmarkStart w:id="19697" w:name="_Toc519071"/>
      <w:bookmarkStart w:id="19698" w:name="_Toc725054"/>
      <w:bookmarkStart w:id="19699" w:name="_Toc773260"/>
      <w:bookmarkStart w:id="19700" w:name="_Toc862108"/>
      <w:bookmarkStart w:id="19701" w:name="_Toc890781"/>
      <w:bookmarkStart w:id="19702" w:name="_Toc903190"/>
      <w:bookmarkStart w:id="19703" w:name="_Toc955546"/>
      <w:bookmarkStart w:id="19704" w:name="_Toc955856"/>
      <w:bookmarkStart w:id="19705" w:name="_Toc1039537"/>
      <w:bookmarkStart w:id="19706" w:name="_Toc1040780"/>
      <w:bookmarkStart w:id="19707" w:name="_Toc1063668"/>
      <w:bookmarkStart w:id="19708" w:name="_Toc1112111"/>
      <w:bookmarkStart w:id="19709" w:name="_Toc1123979"/>
      <w:bookmarkStart w:id="19710" w:name="_Toc19391498"/>
      <w:bookmarkStart w:id="19711" w:name="_Toc19394995"/>
      <w:r w:rsidRPr="00801CB6">
        <w:rPr>
          <w:rFonts w:hint="cs"/>
          <w:rtl/>
        </w:rPr>
        <w:t>ישוב האמרי משה לדעת הרמב"ם והראב"ד מקושית הרשב"א דגילתה תורה שהוא כאבמה"ח</w:t>
      </w:r>
      <w:bookmarkEnd w:id="19697"/>
      <w:bookmarkEnd w:id="19698"/>
      <w:bookmarkEnd w:id="19699"/>
      <w:bookmarkEnd w:id="19700"/>
      <w:bookmarkEnd w:id="19701"/>
      <w:bookmarkEnd w:id="19702"/>
      <w:bookmarkEnd w:id="19703"/>
      <w:bookmarkEnd w:id="19704"/>
      <w:bookmarkEnd w:id="19705"/>
      <w:bookmarkEnd w:id="19706"/>
      <w:bookmarkEnd w:id="19707"/>
      <w:bookmarkEnd w:id="19708"/>
      <w:bookmarkEnd w:id="19709"/>
      <w:bookmarkEnd w:id="19710"/>
      <w:bookmarkEnd w:id="19711"/>
    </w:p>
    <w:p w14:paraId="13A28A2A" w14:textId="77777777" w:rsidR="003D504D" w:rsidRPr="00801CB6" w:rsidRDefault="003D504D" w:rsidP="00223668">
      <w:pPr>
        <w:pStyle w:val="a0"/>
        <w:rPr>
          <w:rtl/>
        </w:rPr>
      </w:pPr>
      <w:r w:rsidRPr="00801CB6">
        <w:rPr>
          <w:rFonts w:hint="cs"/>
          <w:rtl/>
        </w:rPr>
        <w:t xml:space="preserve">וכתב </w:t>
      </w:r>
      <w:r w:rsidRPr="00801CB6">
        <w:rPr>
          <w:rStyle w:val="af9"/>
          <w:rFonts w:hint="cs"/>
          <w:rtl/>
        </w:rPr>
        <w:t>האמרי משה</w:t>
      </w:r>
      <w:r w:rsidRPr="00801CB6">
        <w:rPr>
          <w:rFonts w:hint="cs"/>
          <w:rtl/>
        </w:rPr>
        <w:t xml:space="preserve"> דלפי"ז לדעת </w:t>
      </w:r>
      <w:r w:rsidRPr="00801CB6">
        <w:rPr>
          <w:rStyle w:val="af9"/>
          <w:rFonts w:hint="cs"/>
          <w:rtl/>
        </w:rPr>
        <w:t>הרמב"ם</w:t>
      </w:r>
      <w:r w:rsidRPr="00B655E3">
        <w:rPr>
          <w:rStyle w:val="af9"/>
          <w:rtl/>
        </w:rPr>
        <w:t xml:space="preserve"> </w:t>
      </w:r>
      <w:r>
        <w:rPr>
          <w:rStyle w:val="af9"/>
          <w:rtl/>
        </w:rPr>
        <w:t>והראב"ד</w:t>
      </w:r>
      <w:r w:rsidRPr="00801CB6">
        <w:rPr>
          <w:rStyle w:val="af9"/>
          <w:rFonts w:hint="cs"/>
          <w:rtl/>
        </w:rPr>
        <w:t xml:space="preserve"> </w:t>
      </w:r>
      <w:r w:rsidRPr="00801CB6">
        <w:rPr>
          <w:rFonts w:hint="cs"/>
          <w:rtl/>
        </w:rPr>
        <w:t xml:space="preserve">מיושבת קושית </w:t>
      </w:r>
      <w:r w:rsidRPr="00801CB6">
        <w:rPr>
          <w:rStyle w:val="af9"/>
          <w:rFonts w:hint="cs"/>
          <w:rtl/>
        </w:rPr>
        <w:t>הרשב"א</w:t>
      </w:r>
      <w:r w:rsidRPr="00801CB6">
        <w:rPr>
          <w:rFonts w:hint="cs"/>
          <w:rtl/>
        </w:rPr>
        <w:t xml:space="preserve"> </w:t>
      </w:r>
      <w:r w:rsidRPr="004304CE">
        <w:rPr>
          <w:rStyle w:val="af7"/>
          <w:rFonts w:eastAsia="Guttman Hodes" w:hint="cs"/>
          <w:rtl/>
        </w:rPr>
        <w:t xml:space="preserve">(עי' אות </w:t>
      </w:r>
      <w:r w:rsidRPr="004304CE">
        <w:rPr>
          <w:rStyle w:val="af7"/>
          <w:rFonts w:eastAsia="Guttman Hodes"/>
          <w:rtl/>
        </w:rPr>
        <w:fldChar w:fldCharType="begin"/>
      </w:r>
      <w:r w:rsidRPr="004304CE">
        <w:rPr>
          <w:rStyle w:val="af7"/>
          <w:rFonts w:eastAsia="Guttman Hodes"/>
          <w:rtl/>
        </w:rPr>
        <w:instrText xml:space="preserve"> </w:instrText>
      </w:r>
      <w:r w:rsidRPr="004304CE">
        <w:rPr>
          <w:rStyle w:val="af7"/>
          <w:rFonts w:eastAsia="Guttman Hodes" w:hint="cs"/>
        </w:rPr>
        <w:instrText>REF</w:instrText>
      </w:r>
      <w:r w:rsidRPr="004304CE">
        <w:rPr>
          <w:rStyle w:val="af7"/>
          <w:rFonts w:eastAsia="Guttman Hodes" w:hint="cs"/>
          <w:rtl/>
        </w:rPr>
        <w:instrText xml:space="preserve"> _</w:instrText>
      </w:r>
      <w:r w:rsidRPr="004304CE">
        <w:rPr>
          <w:rStyle w:val="af7"/>
          <w:rFonts w:eastAsia="Guttman Hodes" w:hint="cs"/>
        </w:rPr>
        <w:instrText>Ref535230332 \r \h</w:instrText>
      </w:r>
      <w:r w:rsidRPr="004304CE">
        <w:rPr>
          <w:rStyle w:val="af7"/>
          <w:rFonts w:eastAsia="Guttman Hodes"/>
          <w:rtl/>
        </w:rPr>
        <w:instrText xml:space="preserve">  \* </w:instrText>
      </w:r>
      <w:r w:rsidRPr="004304CE">
        <w:rPr>
          <w:rStyle w:val="af7"/>
          <w:rFonts w:eastAsia="Guttman Hodes"/>
        </w:rPr>
        <w:instrText>MERGEFORMAT</w:instrText>
      </w:r>
      <w:r w:rsidRPr="004304CE">
        <w:rPr>
          <w:rStyle w:val="af7"/>
          <w:rFonts w:eastAsia="Guttman Hodes"/>
          <w:rtl/>
        </w:rPr>
        <w:instrText xml:space="preserve"> </w:instrText>
      </w:r>
      <w:r w:rsidRPr="004304CE">
        <w:rPr>
          <w:rStyle w:val="af7"/>
          <w:rFonts w:eastAsia="Guttman Hodes"/>
          <w:rtl/>
        </w:rPr>
      </w:r>
      <w:r w:rsidRPr="004304CE">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4304CE">
        <w:rPr>
          <w:rStyle w:val="af7"/>
          <w:rFonts w:eastAsia="Guttman Hodes"/>
          <w:rtl/>
        </w:rPr>
        <w:fldChar w:fldCharType="end"/>
      </w:r>
      <w:r w:rsidRPr="00801CB6">
        <w:rPr>
          <w:rFonts w:hint="cs"/>
          <w:rtl/>
        </w:rPr>
        <w:t xml:space="preserve"> דהיאך דימתה התורה חלב הבא מכח אבר היוצא לחלב מן החי, הא איסורו אינו מדין אבר מן החי אלא מדין טריפה, </w:t>
      </w:r>
      <w:r w:rsidRPr="00801CB6">
        <w:rPr>
          <w:rStyle w:val="af9"/>
          <w:rFonts w:hint="cs"/>
          <w:rtl/>
        </w:rPr>
        <w:t xml:space="preserve"> </w:t>
      </w:r>
      <w:r w:rsidRPr="00801CB6">
        <w:rPr>
          <w:rFonts w:hint="cs"/>
          <w:rtl/>
        </w:rPr>
        <w:t>דאחר שגילתה התורה דלא מהני לאבר היוצא הכשר שחיטה, א"כ מבואר ד</w:t>
      </w:r>
      <w:r>
        <w:rPr>
          <w:rFonts w:hint="cs"/>
          <w:rtl/>
        </w:rPr>
        <w:t>החלב</w:t>
      </w:r>
      <w:r w:rsidRPr="00801CB6">
        <w:rPr>
          <w:rFonts w:hint="cs"/>
          <w:rtl/>
        </w:rPr>
        <w:t xml:space="preserve"> דמי לחלב דעלמא הבא מן החי, דבשניהם האיסור הוא מחמת שלא נשחטו.</w:t>
      </w:r>
    </w:p>
    <w:p w14:paraId="5D9B3171" w14:textId="77777777" w:rsidR="003D504D" w:rsidRPr="00801CB6" w:rsidRDefault="003D504D" w:rsidP="00BF39B2">
      <w:pPr>
        <w:pStyle w:val="1"/>
        <w:rPr>
          <w:rtl/>
        </w:rPr>
      </w:pPr>
      <w:bookmarkStart w:id="19712" w:name="_Toc519072"/>
      <w:bookmarkStart w:id="19713" w:name="_Toc725055"/>
      <w:bookmarkStart w:id="19714" w:name="_Toc773261"/>
      <w:bookmarkStart w:id="19715" w:name="_Toc862109"/>
      <w:bookmarkStart w:id="19716" w:name="_Toc890782"/>
      <w:bookmarkStart w:id="19717" w:name="_Toc903191"/>
      <w:bookmarkStart w:id="19718" w:name="_Toc955547"/>
      <w:bookmarkStart w:id="19719" w:name="_Toc955857"/>
      <w:bookmarkStart w:id="19720" w:name="_Toc1039538"/>
      <w:bookmarkStart w:id="19721" w:name="_Toc1040781"/>
      <w:bookmarkStart w:id="19722" w:name="_Toc1063669"/>
      <w:bookmarkStart w:id="19723" w:name="_Toc1112112"/>
      <w:bookmarkStart w:id="19724" w:name="_Toc1123980"/>
      <w:bookmarkStart w:id="19725" w:name="_Toc19391499"/>
      <w:bookmarkStart w:id="19726" w:name="_Toc19394996"/>
      <w:r w:rsidRPr="00801CB6">
        <w:rPr>
          <w:rFonts w:hint="cs"/>
          <w:rtl/>
        </w:rPr>
        <w:t xml:space="preserve">ביאור האמרי משה </w:t>
      </w:r>
      <w:r>
        <w:rPr>
          <w:rFonts w:hint="cs"/>
          <w:rtl/>
        </w:rPr>
        <w:t xml:space="preserve">בהיתר </w:t>
      </w:r>
      <w:r w:rsidRPr="00801CB6">
        <w:rPr>
          <w:rFonts w:hint="cs"/>
          <w:rtl/>
        </w:rPr>
        <w:t xml:space="preserve">ולד </w:t>
      </w:r>
      <w:r>
        <w:rPr>
          <w:rFonts w:hint="cs"/>
          <w:rtl/>
        </w:rPr>
        <w:t>הבא מכח</w:t>
      </w:r>
      <w:r w:rsidRPr="00801CB6">
        <w:rPr>
          <w:rFonts w:hint="cs"/>
          <w:rtl/>
        </w:rPr>
        <w:t xml:space="preserve"> אבר היוצא</w:t>
      </w:r>
      <w:bookmarkEnd w:id="19712"/>
      <w:bookmarkEnd w:id="19713"/>
      <w:bookmarkEnd w:id="19714"/>
      <w:bookmarkEnd w:id="19715"/>
      <w:bookmarkEnd w:id="19716"/>
      <w:bookmarkEnd w:id="19717"/>
      <w:bookmarkEnd w:id="19718"/>
      <w:bookmarkEnd w:id="19719"/>
      <w:bookmarkEnd w:id="19720"/>
      <w:bookmarkEnd w:id="19721"/>
      <w:bookmarkEnd w:id="19722"/>
      <w:bookmarkEnd w:id="19723"/>
      <w:bookmarkEnd w:id="19724"/>
      <w:bookmarkEnd w:id="19725"/>
      <w:bookmarkEnd w:id="19726"/>
    </w:p>
    <w:p w14:paraId="25C4A122" w14:textId="77777777" w:rsidR="003D504D" w:rsidRPr="00801CB6" w:rsidRDefault="003D504D" w:rsidP="003D504D">
      <w:pPr>
        <w:pStyle w:val="a3"/>
        <w:rPr>
          <w:rtl/>
        </w:rPr>
      </w:pPr>
      <w:bookmarkStart w:id="19727" w:name="_Toc519073"/>
      <w:bookmarkStart w:id="19728" w:name="_Toc725056"/>
      <w:bookmarkStart w:id="19729" w:name="_Toc773262"/>
      <w:bookmarkStart w:id="19730" w:name="_Toc862110"/>
      <w:bookmarkStart w:id="19731" w:name="_Toc890783"/>
      <w:bookmarkStart w:id="19732" w:name="_Toc903192"/>
      <w:bookmarkStart w:id="19733" w:name="_Toc955548"/>
      <w:bookmarkStart w:id="19734" w:name="_Toc955858"/>
      <w:bookmarkStart w:id="19735" w:name="_Toc1039539"/>
      <w:bookmarkStart w:id="19736" w:name="_Toc1040782"/>
      <w:bookmarkStart w:id="19737" w:name="_Toc1063670"/>
      <w:bookmarkStart w:id="19738" w:name="_Toc1112113"/>
      <w:bookmarkStart w:id="19739" w:name="_Toc1123981"/>
      <w:bookmarkStart w:id="19740" w:name="_Toc19391500"/>
      <w:bookmarkStart w:id="19741" w:name="_Toc19394997"/>
      <w:r w:rsidRPr="00801CB6">
        <w:rPr>
          <w:rFonts w:hint="cs"/>
          <w:rtl/>
        </w:rPr>
        <w:t xml:space="preserve">דחיית האמרי משה </w:t>
      </w:r>
      <w:r>
        <w:rPr>
          <w:rFonts w:hint="cs"/>
          <w:rtl/>
        </w:rPr>
        <w:t xml:space="preserve">דמהצד דולד הבא מכח אבר היוצא מותר </w:t>
      </w:r>
      <w:r w:rsidRPr="00801CB6">
        <w:rPr>
          <w:rFonts w:hint="cs"/>
          <w:rtl/>
        </w:rPr>
        <w:t>מוכח דדינו כשחוט</w:t>
      </w:r>
      <w:bookmarkEnd w:id="19727"/>
      <w:bookmarkEnd w:id="19728"/>
      <w:bookmarkEnd w:id="19729"/>
      <w:bookmarkEnd w:id="19730"/>
      <w:bookmarkEnd w:id="19731"/>
      <w:bookmarkEnd w:id="19732"/>
      <w:bookmarkEnd w:id="19733"/>
      <w:bookmarkEnd w:id="19734"/>
      <w:bookmarkEnd w:id="19735"/>
      <w:bookmarkEnd w:id="19736"/>
      <w:bookmarkEnd w:id="19737"/>
      <w:bookmarkEnd w:id="19738"/>
      <w:bookmarkEnd w:id="19739"/>
      <w:bookmarkEnd w:id="19740"/>
      <w:bookmarkEnd w:id="19741"/>
      <w:r w:rsidRPr="00801CB6">
        <w:rPr>
          <w:rFonts w:hint="cs"/>
          <w:rtl/>
        </w:rPr>
        <w:t xml:space="preserve"> </w:t>
      </w:r>
    </w:p>
    <w:p w14:paraId="03664A1B" w14:textId="77777777" w:rsidR="003D504D" w:rsidRDefault="003D504D" w:rsidP="00223668">
      <w:pPr>
        <w:pStyle w:val="a0"/>
        <w:rPr>
          <w:rtl/>
        </w:rPr>
      </w:pPr>
      <w:r w:rsidRPr="00801CB6">
        <w:rPr>
          <w:rFonts w:hint="cs"/>
          <w:rtl/>
        </w:rPr>
        <w:t xml:space="preserve">אך דחה </w:t>
      </w:r>
      <w:r w:rsidRPr="00801CB6">
        <w:rPr>
          <w:rStyle w:val="af9"/>
          <w:rFonts w:hint="cs"/>
          <w:rtl/>
        </w:rPr>
        <w:t>האמרי משה</w:t>
      </w:r>
      <w:r w:rsidRPr="00801CB6">
        <w:rPr>
          <w:rFonts w:hint="cs"/>
          <w:rtl/>
        </w:rPr>
        <w:t xml:space="preserve"> </w:t>
      </w:r>
      <w:r w:rsidRPr="004304CE">
        <w:rPr>
          <w:rStyle w:val="af7"/>
          <w:rFonts w:eastAsia="Guttman Hodes" w:hint="cs"/>
          <w:rtl/>
        </w:rPr>
        <w:t xml:space="preserve">(סי' ד' אות כ"ט) </w:t>
      </w:r>
      <w:r w:rsidRPr="00801CB6">
        <w:rPr>
          <w:rFonts w:hint="cs"/>
          <w:rtl/>
        </w:rPr>
        <w:t xml:space="preserve">דאף לדעת </w:t>
      </w:r>
      <w:r w:rsidRPr="00801CB6">
        <w:rPr>
          <w:rStyle w:val="af9"/>
          <w:rFonts w:hint="cs"/>
          <w:rtl/>
        </w:rPr>
        <w:t>הרמב"ם</w:t>
      </w:r>
      <w:r w:rsidRPr="00B655E3">
        <w:rPr>
          <w:rStyle w:val="af9"/>
          <w:rtl/>
        </w:rPr>
        <w:t xml:space="preserve"> </w:t>
      </w:r>
      <w:r>
        <w:rPr>
          <w:rStyle w:val="af9"/>
          <w:rtl/>
        </w:rPr>
        <w:t>והראב"ד</w:t>
      </w:r>
      <w:r w:rsidRPr="00801CB6">
        <w:rPr>
          <w:rStyle w:val="af9"/>
          <w:rFonts w:hint="cs"/>
          <w:rtl/>
        </w:rPr>
        <w:t xml:space="preserve"> </w:t>
      </w:r>
      <w:r w:rsidRPr="00801CB6">
        <w:rPr>
          <w:rFonts w:hint="cs"/>
          <w:rtl/>
        </w:rPr>
        <w:t xml:space="preserve">א"א לומר שאין לאבר היוצא דין שחוט, דאי גלי קרא דהאבר היוצא חשיב שלא נשחט, </w:t>
      </w:r>
      <w:r>
        <w:rPr>
          <w:rFonts w:hint="cs"/>
          <w:rtl/>
        </w:rPr>
        <w:t>דא"כ בולד הבא מכח אבר היוצא</w:t>
      </w:r>
      <w:r w:rsidRPr="00801CB6">
        <w:rPr>
          <w:rFonts w:hint="cs"/>
          <w:rtl/>
        </w:rPr>
        <w:t>, היאך אפש"ל דהולד יהיה מותר בלא שחיטה, הרי חלק מהאב לא נשחט.</w:t>
      </w:r>
      <w:bookmarkStart w:id="19742" w:name="_Toc519074"/>
      <w:bookmarkStart w:id="19743" w:name="_Toc725057"/>
      <w:bookmarkStart w:id="19744" w:name="_Toc773263"/>
      <w:bookmarkStart w:id="19745" w:name="_Toc862111"/>
      <w:bookmarkStart w:id="19746" w:name="_Toc890784"/>
      <w:bookmarkStart w:id="19747" w:name="_Toc903193"/>
      <w:bookmarkStart w:id="19748" w:name="_Toc955549"/>
      <w:bookmarkStart w:id="19749" w:name="_Toc955859"/>
    </w:p>
    <w:p w14:paraId="06359C7E" w14:textId="77777777" w:rsidR="003D504D" w:rsidRPr="00801CB6" w:rsidRDefault="003D504D" w:rsidP="003D504D">
      <w:pPr>
        <w:pStyle w:val="a3"/>
        <w:rPr>
          <w:rtl/>
        </w:rPr>
      </w:pPr>
      <w:bookmarkStart w:id="19750" w:name="_Toc519075"/>
      <w:bookmarkStart w:id="19751" w:name="_Toc725058"/>
      <w:bookmarkStart w:id="19752" w:name="_Toc773264"/>
      <w:bookmarkStart w:id="19753" w:name="_Toc862112"/>
      <w:bookmarkStart w:id="19754" w:name="_Toc890785"/>
      <w:bookmarkStart w:id="19755" w:name="_Toc903194"/>
      <w:bookmarkStart w:id="19756" w:name="_Toc955550"/>
      <w:bookmarkStart w:id="19757" w:name="_Toc955860"/>
      <w:bookmarkStart w:id="19758" w:name="_Toc1039540"/>
      <w:bookmarkStart w:id="19759" w:name="_Toc1040783"/>
      <w:bookmarkStart w:id="19760" w:name="_Toc1063671"/>
      <w:bookmarkStart w:id="19761" w:name="_Toc1112114"/>
      <w:bookmarkStart w:id="19762" w:name="_Toc1123982"/>
      <w:bookmarkStart w:id="19763" w:name="_Toc19391501"/>
      <w:bookmarkStart w:id="19764" w:name="_Toc19394998"/>
      <w:r w:rsidRPr="00801CB6">
        <w:rPr>
          <w:rFonts w:hint="cs"/>
          <w:rtl/>
        </w:rPr>
        <w:t>דברי האמרי משה דהצד ד</w:t>
      </w:r>
      <w:r>
        <w:rPr>
          <w:rFonts w:hint="cs"/>
          <w:rtl/>
        </w:rPr>
        <w:t>ולד הבא מכח</w:t>
      </w:r>
      <w:r w:rsidRPr="00801CB6">
        <w:rPr>
          <w:rFonts w:hint="cs"/>
          <w:rtl/>
        </w:rPr>
        <w:t xml:space="preserve"> אבר היוצא מותר בלא שחיטה </w:t>
      </w:r>
      <w:r>
        <w:rPr>
          <w:rFonts w:hint="cs"/>
          <w:rtl/>
        </w:rPr>
        <w:t xml:space="preserve">הוא כיון </w:t>
      </w:r>
      <w:r w:rsidRPr="00801CB6">
        <w:rPr>
          <w:rFonts w:hint="cs"/>
          <w:rtl/>
        </w:rPr>
        <w:t>דאף האב כשחוט</w:t>
      </w:r>
      <w:bookmarkEnd w:id="19750"/>
      <w:bookmarkEnd w:id="19751"/>
      <w:bookmarkEnd w:id="19752"/>
      <w:bookmarkEnd w:id="19753"/>
      <w:bookmarkEnd w:id="19754"/>
      <w:bookmarkEnd w:id="19755"/>
      <w:bookmarkEnd w:id="19756"/>
      <w:bookmarkEnd w:id="19757"/>
      <w:bookmarkEnd w:id="19758"/>
      <w:bookmarkEnd w:id="19759"/>
      <w:bookmarkEnd w:id="19760"/>
      <w:bookmarkEnd w:id="19761"/>
      <w:bookmarkEnd w:id="19762"/>
      <w:bookmarkEnd w:id="19763"/>
      <w:bookmarkEnd w:id="19764"/>
    </w:p>
    <w:bookmarkEnd w:id="19742"/>
    <w:bookmarkEnd w:id="19743"/>
    <w:bookmarkEnd w:id="19744"/>
    <w:bookmarkEnd w:id="19745"/>
    <w:bookmarkEnd w:id="19746"/>
    <w:bookmarkEnd w:id="19747"/>
    <w:bookmarkEnd w:id="19748"/>
    <w:bookmarkEnd w:id="19749"/>
    <w:p w14:paraId="51C14778" w14:textId="77777777" w:rsidR="003D504D" w:rsidRPr="00801CB6" w:rsidRDefault="003D504D" w:rsidP="00223668">
      <w:pPr>
        <w:pStyle w:val="a0"/>
        <w:rPr>
          <w:rtl/>
        </w:rPr>
      </w:pPr>
      <w:r w:rsidRPr="00801CB6">
        <w:rPr>
          <w:rFonts w:hint="cs"/>
          <w:rtl/>
        </w:rPr>
        <w:t xml:space="preserve">אלא כתב </w:t>
      </w:r>
      <w:r w:rsidRPr="00801CB6">
        <w:rPr>
          <w:rStyle w:val="af9"/>
          <w:rFonts w:hint="cs"/>
          <w:rtl/>
        </w:rPr>
        <w:t>האמרי משה</w:t>
      </w:r>
      <w:r w:rsidRPr="00801CB6">
        <w:rPr>
          <w:rFonts w:hint="cs"/>
          <w:rtl/>
        </w:rPr>
        <w:t xml:space="preserve"> דכיון שהעובר שבפנים נשחט, חשיב כולו כשחוט, דא"א לחלק ולומר דמחצה נשחט ומחצה לא נשחט, אלא דהשחיטה אינה מתירה את האבר כיון שיש בו איסור "בשר בשדה טריפה</w:t>
      </w:r>
      <w:r>
        <w:rPr>
          <w:rFonts w:hint="cs"/>
          <w:rtl/>
        </w:rPr>
        <w:t>",</w:t>
      </w:r>
      <w:r w:rsidRPr="00B655E3">
        <w:rPr>
          <w:rFonts w:hint="cs"/>
          <w:rtl/>
        </w:rPr>
        <w:t xml:space="preserve"> </w:t>
      </w:r>
      <w:r w:rsidRPr="00801CB6">
        <w:rPr>
          <w:rFonts w:hint="cs"/>
          <w:rtl/>
        </w:rPr>
        <w:t xml:space="preserve">וביאר </w:t>
      </w:r>
      <w:r w:rsidRPr="00801CB6">
        <w:rPr>
          <w:rStyle w:val="af9"/>
          <w:rFonts w:hint="cs"/>
          <w:rtl/>
        </w:rPr>
        <w:t>האמרי משה</w:t>
      </w:r>
      <w:r w:rsidRPr="00801CB6">
        <w:rPr>
          <w:rFonts w:hint="cs"/>
          <w:rtl/>
        </w:rPr>
        <w:t xml:space="preserve"> דלכן היה לגמ' צד דזרעו של בן פקועה שיש בו אבר היוצא שבא על בן פקועה אחר, יהיה מותר בלא שחיטה, דאף האב חשיב כולו כשחוט, כדמוכח מהא דמהני השחיטה לטהרו </w:t>
      </w:r>
      <w:r>
        <w:rPr>
          <w:rFonts w:hint="cs"/>
          <w:rtl/>
        </w:rPr>
        <w:t>מידי נבילה, אלא שיש איסור אחר ב</w:t>
      </w:r>
      <w:r w:rsidRPr="00801CB6">
        <w:rPr>
          <w:rFonts w:hint="cs"/>
          <w:rtl/>
        </w:rPr>
        <w:t xml:space="preserve">אבר היוצא </w:t>
      </w:r>
      <w:r>
        <w:rPr>
          <w:rFonts w:hint="cs"/>
          <w:rtl/>
        </w:rPr>
        <w:t>שאינו מותר באכילה.</w:t>
      </w:r>
    </w:p>
    <w:p w14:paraId="7EDF9B2F" w14:textId="77777777" w:rsidR="003D504D" w:rsidRPr="00801CB6" w:rsidRDefault="003D504D" w:rsidP="003D504D">
      <w:pPr>
        <w:pStyle w:val="a3"/>
        <w:rPr>
          <w:rtl/>
        </w:rPr>
      </w:pPr>
      <w:bookmarkStart w:id="19765" w:name="_Toc519076"/>
      <w:bookmarkStart w:id="19766" w:name="_Toc725059"/>
      <w:bookmarkStart w:id="19767" w:name="_Toc773265"/>
      <w:bookmarkStart w:id="19768" w:name="_Toc862113"/>
      <w:bookmarkStart w:id="19769" w:name="_Toc890786"/>
      <w:bookmarkStart w:id="19770" w:name="_Toc903195"/>
      <w:bookmarkStart w:id="19771" w:name="_Toc955551"/>
      <w:bookmarkStart w:id="19772" w:name="_Toc955861"/>
      <w:bookmarkStart w:id="19773" w:name="_Toc1039541"/>
      <w:bookmarkStart w:id="19774" w:name="_Toc1040784"/>
      <w:bookmarkStart w:id="19775" w:name="_Toc1063672"/>
      <w:bookmarkStart w:id="19776" w:name="_Toc1112115"/>
      <w:bookmarkStart w:id="19777" w:name="_Toc1123983"/>
      <w:bookmarkStart w:id="19778" w:name="_Toc19391502"/>
      <w:bookmarkStart w:id="19779" w:name="_Toc19394999"/>
      <w:r w:rsidRPr="00801CB6">
        <w:rPr>
          <w:rFonts w:hint="cs"/>
          <w:rtl/>
        </w:rPr>
        <w:t>ישוב האמרי משה לדעת הרמב"ם מקושית הרשב"א דאיסורו מחסרון שחיטה כאבמה"ח</w:t>
      </w:r>
      <w:bookmarkEnd w:id="19765"/>
      <w:bookmarkEnd w:id="19766"/>
      <w:bookmarkEnd w:id="19767"/>
      <w:bookmarkEnd w:id="19768"/>
      <w:bookmarkEnd w:id="19769"/>
      <w:bookmarkEnd w:id="19770"/>
      <w:bookmarkEnd w:id="19771"/>
      <w:bookmarkEnd w:id="19772"/>
      <w:bookmarkEnd w:id="19773"/>
      <w:bookmarkEnd w:id="19774"/>
      <w:bookmarkEnd w:id="19775"/>
      <w:bookmarkEnd w:id="19776"/>
      <w:bookmarkEnd w:id="19777"/>
      <w:bookmarkEnd w:id="19778"/>
      <w:bookmarkEnd w:id="19779"/>
    </w:p>
    <w:p w14:paraId="63515D0C" w14:textId="77777777" w:rsidR="003D504D" w:rsidRDefault="003D504D" w:rsidP="00223668">
      <w:pPr>
        <w:pStyle w:val="a0"/>
        <w:rPr>
          <w:rtl/>
        </w:rPr>
      </w:pPr>
      <w:bookmarkStart w:id="19780" w:name="_Ref1036525"/>
      <w:r w:rsidRPr="00C10F4F">
        <w:rPr>
          <w:rFonts w:hint="cs"/>
          <w:rtl/>
        </w:rPr>
        <w:t xml:space="preserve">וכתב </w:t>
      </w:r>
      <w:r w:rsidRPr="00C10F4F">
        <w:rPr>
          <w:rStyle w:val="af9"/>
          <w:rFonts w:hint="cs"/>
          <w:rtl/>
        </w:rPr>
        <w:t>האמרי משה</w:t>
      </w:r>
      <w:r w:rsidRPr="00C10F4F">
        <w:rPr>
          <w:rFonts w:hint="cs"/>
          <w:rtl/>
        </w:rPr>
        <w:t xml:space="preserve"> דלפי"ז צ"ל בישוב קושית </w:t>
      </w:r>
      <w:r w:rsidRPr="00C10F4F">
        <w:rPr>
          <w:rStyle w:val="af9"/>
          <w:rFonts w:hint="cs"/>
          <w:rtl/>
        </w:rPr>
        <w:t>הרשב"א</w:t>
      </w:r>
      <w:r w:rsidRPr="00C10F4F">
        <w:rPr>
          <w:rFonts w:hint="cs"/>
          <w:rtl/>
        </w:rPr>
        <w:t xml:space="preserve"> </w:t>
      </w:r>
      <w:r w:rsidRPr="004304CE">
        <w:rPr>
          <w:rStyle w:val="af7"/>
          <w:rFonts w:eastAsia="Guttman Hodes" w:hint="cs"/>
          <w:rtl/>
        </w:rPr>
        <w:t xml:space="preserve">(עי' </w:t>
      </w:r>
      <w:r w:rsidRPr="00CD0542">
        <w:rPr>
          <w:rStyle w:val="af7"/>
          <w:rFonts w:eastAsia="Guttman Hodes" w:hint="cs"/>
          <w:rtl/>
        </w:rPr>
        <w:t xml:space="preserve">אות </w:t>
      </w:r>
      <w:r w:rsidRPr="00CD0542">
        <w:rPr>
          <w:rStyle w:val="af7"/>
          <w:rFonts w:eastAsia="Guttman Hodes"/>
          <w:rtl/>
        </w:rPr>
        <w:fldChar w:fldCharType="begin"/>
      </w:r>
      <w:r w:rsidRPr="00CD0542">
        <w:rPr>
          <w:rStyle w:val="af7"/>
          <w:rFonts w:eastAsia="Guttman Hodes"/>
          <w:rtl/>
        </w:rPr>
        <w:instrText xml:space="preserve"> </w:instrText>
      </w:r>
      <w:r w:rsidRPr="00CD0542">
        <w:rPr>
          <w:rStyle w:val="af7"/>
          <w:rFonts w:eastAsia="Guttman Hodes" w:hint="cs"/>
        </w:rPr>
        <w:instrText>REF</w:instrText>
      </w:r>
      <w:r w:rsidRPr="00CD0542">
        <w:rPr>
          <w:rStyle w:val="af7"/>
          <w:rFonts w:eastAsia="Guttman Hodes" w:hint="cs"/>
          <w:rtl/>
        </w:rPr>
        <w:instrText xml:space="preserve"> _</w:instrText>
      </w:r>
      <w:r w:rsidRPr="00CD0542">
        <w:rPr>
          <w:rStyle w:val="af7"/>
          <w:rFonts w:eastAsia="Guttman Hodes" w:hint="cs"/>
        </w:rPr>
        <w:instrText>Ref535230332 \r \h</w:instrText>
      </w:r>
      <w:r w:rsidRPr="00CD0542">
        <w:rPr>
          <w:rStyle w:val="af7"/>
          <w:rFonts w:eastAsia="Guttman Hodes"/>
          <w:rtl/>
        </w:rPr>
        <w:instrText xml:space="preserve">  \* </w:instrText>
      </w:r>
      <w:r w:rsidRPr="00CD0542">
        <w:rPr>
          <w:rStyle w:val="af7"/>
          <w:rFonts w:eastAsia="Guttman Hodes"/>
        </w:rPr>
        <w:instrText>MERGEFORMAT</w:instrText>
      </w:r>
      <w:r w:rsidRPr="00CD0542">
        <w:rPr>
          <w:rStyle w:val="af7"/>
          <w:rFonts w:eastAsia="Guttman Hodes"/>
          <w:rtl/>
        </w:rPr>
        <w:instrText xml:space="preserve"> </w:instrText>
      </w:r>
      <w:r w:rsidRPr="00CD0542">
        <w:rPr>
          <w:rStyle w:val="af7"/>
          <w:rFonts w:eastAsia="Guttman Hodes"/>
          <w:rtl/>
        </w:rPr>
      </w:r>
      <w:r w:rsidRPr="00CD0542">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CD0542">
        <w:rPr>
          <w:rStyle w:val="af7"/>
          <w:rFonts w:eastAsia="Guttman Hodes"/>
          <w:rtl/>
        </w:rPr>
        <w:fldChar w:fldCharType="end"/>
      </w:r>
      <w:r w:rsidRPr="00CD0542">
        <w:rPr>
          <w:rFonts w:hint="cs"/>
          <w:rtl/>
        </w:rPr>
        <w:t>,</w:t>
      </w:r>
      <w:r w:rsidRPr="00C10F4F">
        <w:rPr>
          <w:rFonts w:hint="cs"/>
          <w:rtl/>
        </w:rPr>
        <w:t xml:space="preserve"> דהיאך דימתה התורה </w:t>
      </w:r>
      <w:r>
        <w:rPr>
          <w:rFonts w:hint="cs"/>
          <w:rtl/>
        </w:rPr>
        <w:t>חלב</w:t>
      </w:r>
      <w:r w:rsidRPr="00C10F4F">
        <w:rPr>
          <w:rFonts w:hint="cs"/>
          <w:rtl/>
        </w:rPr>
        <w:t xml:space="preserve"> הבא מכח אבר היוצא ל</w:t>
      </w:r>
      <w:r>
        <w:rPr>
          <w:rFonts w:hint="cs"/>
          <w:rtl/>
        </w:rPr>
        <w:t>חלב</w:t>
      </w:r>
      <w:r w:rsidRPr="00C10F4F">
        <w:rPr>
          <w:rFonts w:hint="cs"/>
          <w:rtl/>
        </w:rPr>
        <w:t xml:space="preserve"> מן החי, הא איסורו אינו מדין אבר מן החי אלא מדין טריפה, כתב </w:t>
      </w:r>
      <w:r w:rsidRPr="00C10F4F">
        <w:rPr>
          <w:rStyle w:val="af9"/>
          <w:rFonts w:hint="cs"/>
          <w:rtl/>
        </w:rPr>
        <w:t>האמרי משה</w:t>
      </w:r>
      <w:r w:rsidRPr="00C10F4F">
        <w:rPr>
          <w:rFonts w:hint="cs"/>
          <w:rtl/>
        </w:rPr>
        <w:t xml:space="preserve"> דצ"ל לדעת </w:t>
      </w:r>
      <w:r w:rsidRPr="00C10F4F">
        <w:rPr>
          <w:rStyle w:val="af9"/>
          <w:rFonts w:hint="cs"/>
          <w:rtl/>
        </w:rPr>
        <w:t>הרמב"</w:t>
      </w:r>
      <w:r w:rsidRPr="00CD0542">
        <w:rPr>
          <w:rStyle w:val="af9"/>
          <w:rFonts w:hint="cs"/>
          <w:rtl/>
        </w:rPr>
        <w:t>ם</w:t>
      </w:r>
      <w:r w:rsidRPr="00CD0542">
        <w:rPr>
          <w:rStyle w:val="af9"/>
          <w:rtl/>
        </w:rPr>
        <w:t xml:space="preserve"> והראב"ד</w:t>
      </w:r>
      <w:r w:rsidRPr="00CD0542">
        <w:rPr>
          <w:rStyle w:val="af9"/>
          <w:rFonts w:hint="cs"/>
          <w:rtl/>
        </w:rPr>
        <w:t xml:space="preserve"> </w:t>
      </w:r>
      <w:r w:rsidRPr="00CD0542">
        <w:rPr>
          <w:rFonts w:hint="cs"/>
          <w:rtl/>
        </w:rPr>
        <w:t xml:space="preserve">דאף דאף האבר הוא כשחוט, והוא כחלב טריפה, מ"מ כיון שהאיסור הוא מחמת חסרון בשחיטה, דגלי קרא דאף שהוא באמת שחוט, מ"מ לא מהני ליה השחיטה להתירו באכילה, לכן דמי לחלב דעלמא הבא מן החי, והצד דהוא אסור הוא כיון דלא שייך להתירו בשחיטה, דהיינו דאף אם היה אפשרות לשחוט את האבר היוצא, ג"כ לא היתה השחיטה מועלת, דהוא כשחוט, משא"כ לדעת </w:t>
      </w:r>
      <w:r w:rsidRPr="00CD0542">
        <w:rPr>
          <w:rStyle w:val="af9"/>
          <w:rFonts w:hint="cs"/>
          <w:rtl/>
        </w:rPr>
        <w:t>הרשב"א</w:t>
      </w:r>
      <w:r w:rsidRPr="004304CE">
        <w:rPr>
          <w:rStyle w:val="af7"/>
          <w:rFonts w:eastAsia="Guttman Hodes" w:hint="cs"/>
          <w:rtl/>
        </w:rPr>
        <w:t xml:space="preserve">(עי' אות </w:t>
      </w:r>
      <w:r w:rsidRPr="00A22EE9">
        <w:rPr>
          <w:rStyle w:val="af7"/>
          <w:rFonts w:eastAsia="Guttman Hodes"/>
          <w:rtl/>
        </w:rPr>
        <w:fldChar w:fldCharType="begin"/>
      </w:r>
      <w:r w:rsidRPr="00A22EE9">
        <w:rPr>
          <w:rStyle w:val="af7"/>
          <w:rFonts w:eastAsia="Guttman Hodes"/>
          <w:rtl/>
        </w:rPr>
        <w:instrText xml:space="preserve"> </w:instrText>
      </w:r>
      <w:r w:rsidRPr="00A22EE9">
        <w:rPr>
          <w:rStyle w:val="af7"/>
          <w:rFonts w:eastAsia="Guttman Hodes" w:hint="cs"/>
        </w:rPr>
        <w:instrText>REF</w:instrText>
      </w:r>
      <w:r w:rsidRPr="00A22EE9">
        <w:rPr>
          <w:rStyle w:val="af7"/>
          <w:rFonts w:eastAsia="Guttman Hodes" w:hint="cs"/>
          <w:rtl/>
        </w:rPr>
        <w:instrText xml:space="preserve"> _</w:instrText>
      </w:r>
      <w:r w:rsidRPr="00A22EE9">
        <w:rPr>
          <w:rStyle w:val="af7"/>
          <w:rFonts w:eastAsia="Guttman Hodes" w:hint="cs"/>
        </w:rPr>
        <w:instrText>Ref535228443 \r \h</w:instrText>
      </w:r>
      <w:r w:rsidRPr="00A22EE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A22EE9">
        <w:rPr>
          <w:rStyle w:val="af7"/>
          <w:rFonts w:eastAsia="Guttman Hodes"/>
          <w:rtl/>
        </w:rPr>
      </w:r>
      <w:r w:rsidRPr="00A22EE9">
        <w:rPr>
          <w:rStyle w:val="af7"/>
          <w:rFonts w:eastAsia="Guttman Hodes"/>
          <w:rtl/>
        </w:rPr>
        <w:fldChar w:fldCharType="separate"/>
      </w:r>
      <w:r w:rsidR="00345400">
        <w:rPr>
          <w:rStyle w:val="af7"/>
          <w:rFonts w:eastAsia="Guttman Hodes"/>
          <w:cs/>
        </w:rPr>
        <w:t>‎</w:t>
      </w:r>
      <w:r w:rsidR="00345400">
        <w:rPr>
          <w:rStyle w:val="af7"/>
          <w:rFonts w:eastAsia="Guttman Hodes"/>
          <w:rtl/>
        </w:rPr>
        <w:t>כה)</w:t>
      </w:r>
      <w:r w:rsidRPr="00A22EE9">
        <w:rPr>
          <w:rStyle w:val="af7"/>
          <w:rFonts w:eastAsia="Guttman Hodes"/>
          <w:rtl/>
        </w:rPr>
        <w:fldChar w:fldCharType="end"/>
      </w:r>
      <w:r w:rsidRPr="00A22EE9">
        <w:rPr>
          <w:rFonts w:hint="cs"/>
          <w:rtl/>
        </w:rPr>
        <w:t xml:space="preserve"> </w:t>
      </w:r>
      <w:r w:rsidRPr="00CD0542">
        <w:rPr>
          <w:rFonts w:hint="cs"/>
          <w:rtl/>
        </w:rPr>
        <w:t>דהוא אבר מן החי, אם היה אפשרות לשוחטו היה</w:t>
      </w:r>
      <w:r w:rsidRPr="00C10F4F">
        <w:rPr>
          <w:rFonts w:hint="cs"/>
          <w:rtl/>
        </w:rPr>
        <w:t xml:space="preserve"> האבר מותר</w:t>
      </w:r>
      <w:r>
        <w:rPr>
          <w:rFonts w:hint="cs"/>
          <w:rtl/>
        </w:rPr>
        <w:t xml:space="preserve">, ועי' בדברי </w:t>
      </w:r>
      <w:r w:rsidRPr="00105F5F">
        <w:rPr>
          <w:rStyle w:val="af9"/>
          <w:rFonts w:hint="cs"/>
          <w:rtl/>
        </w:rPr>
        <w:t xml:space="preserve">הגר"ח </w:t>
      </w:r>
      <w:r w:rsidRPr="00105F5F">
        <w:rPr>
          <w:rStyle w:val="af7"/>
          <w:rFonts w:eastAsia="Guttman Hodes" w:hint="cs"/>
          <w:rtl/>
        </w:rPr>
        <w:t xml:space="preserve">(עי' אות </w:t>
      </w:r>
      <w:r w:rsidRPr="00105F5F">
        <w:rPr>
          <w:rStyle w:val="af7"/>
          <w:rFonts w:eastAsia="Guttman Hodes"/>
          <w:rtl/>
        </w:rPr>
        <w:fldChar w:fldCharType="begin"/>
      </w:r>
      <w:r w:rsidRPr="00105F5F">
        <w:rPr>
          <w:rStyle w:val="af7"/>
          <w:rFonts w:eastAsia="Guttman Hodes"/>
          <w:rtl/>
        </w:rPr>
        <w:instrText xml:space="preserve"> </w:instrText>
      </w:r>
      <w:r w:rsidRPr="00105F5F">
        <w:rPr>
          <w:rStyle w:val="af7"/>
          <w:rFonts w:eastAsia="Guttman Hodes" w:hint="cs"/>
        </w:rPr>
        <w:instrText>REF</w:instrText>
      </w:r>
      <w:r w:rsidRPr="00105F5F">
        <w:rPr>
          <w:rStyle w:val="af7"/>
          <w:rFonts w:eastAsia="Guttman Hodes" w:hint="cs"/>
          <w:rtl/>
        </w:rPr>
        <w:instrText xml:space="preserve"> _</w:instrText>
      </w:r>
      <w:r w:rsidRPr="00105F5F">
        <w:rPr>
          <w:rStyle w:val="af7"/>
          <w:rFonts w:eastAsia="Guttman Hodes" w:hint="cs"/>
        </w:rPr>
        <w:instrText>Ref1111761 \r \h</w:instrText>
      </w:r>
      <w:r w:rsidRPr="00105F5F">
        <w:rPr>
          <w:rStyle w:val="af7"/>
          <w:rFonts w:eastAsia="Guttman Hodes"/>
          <w:rtl/>
        </w:rPr>
        <w:instrText xml:space="preserve"> </w:instrText>
      </w:r>
      <w:r w:rsidRPr="00105F5F">
        <w:rPr>
          <w:rStyle w:val="af7"/>
          <w:rFonts w:eastAsia="Guttman Hodes"/>
          <w:rtl/>
        </w:rPr>
      </w:r>
      <w:r w:rsidRPr="00105F5F">
        <w:rPr>
          <w:rStyle w:val="af7"/>
          <w:rFonts w:eastAsia="Guttman Hodes"/>
          <w:rtl/>
        </w:rPr>
        <w:fldChar w:fldCharType="separate"/>
      </w:r>
      <w:r w:rsidR="00345400">
        <w:rPr>
          <w:rStyle w:val="af7"/>
          <w:rFonts w:eastAsia="Guttman Hodes"/>
          <w:cs/>
        </w:rPr>
        <w:t>‎</w:t>
      </w:r>
      <w:r w:rsidR="00345400">
        <w:rPr>
          <w:rStyle w:val="af7"/>
          <w:rFonts w:eastAsia="Guttman Hodes"/>
          <w:rtl/>
        </w:rPr>
        <w:t>קה)</w:t>
      </w:r>
      <w:r w:rsidRPr="00105F5F">
        <w:rPr>
          <w:rStyle w:val="af7"/>
          <w:rFonts w:eastAsia="Guttman Hodes"/>
          <w:rtl/>
        </w:rPr>
        <w:fldChar w:fldCharType="end"/>
      </w:r>
      <w:r w:rsidRPr="00C10F4F">
        <w:rPr>
          <w:rFonts w:hint="cs"/>
          <w:rtl/>
        </w:rPr>
        <w:t>.</w:t>
      </w:r>
      <w:bookmarkEnd w:id="19780"/>
    </w:p>
    <w:p w14:paraId="436B82AE" w14:textId="77777777" w:rsidR="003D504D" w:rsidRPr="001F3E7B" w:rsidRDefault="003D504D" w:rsidP="003D504D">
      <w:pPr>
        <w:pStyle w:val="a3"/>
        <w:rPr>
          <w:rtl/>
        </w:rPr>
        <w:sectPr w:rsidR="003D504D" w:rsidRPr="001F3E7B" w:rsidSect="003D504D">
          <w:type w:val="continuous"/>
          <w:pgSz w:w="11906" w:h="16838"/>
          <w:pgMar w:top="720" w:right="720" w:bottom="720" w:left="720" w:header="283" w:footer="283" w:gutter="0"/>
          <w:cols w:num="2" w:space="567"/>
          <w:bidi/>
          <w:rtlGutter/>
          <w:docGrid w:linePitch="299"/>
        </w:sectPr>
      </w:pPr>
    </w:p>
    <w:p w14:paraId="0E812794" w14:textId="77777777" w:rsidR="003D504D" w:rsidRPr="00B06D6B" w:rsidRDefault="003D504D" w:rsidP="00223668">
      <w:pPr>
        <w:pStyle w:val="a0"/>
        <w:numPr>
          <w:ilvl w:val="0"/>
          <w:numId w:val="0"/>
        </w:numPr>
        <w:rPr>
          <w:rtl/>
        </w:rPr>
      </w:pPr>
    </w:p>
    <w:p w14:paraId="0BD80E7E" w14:textId="77777777" w:rsidR="003D504D" w:rsidRPr="001F3E7B" w:rsidRDefault="003D504D" w:rsidP="003D504D">
      <w:pPr>
        <w:pStyle w:val="a3"/>
        <w:rPr>
          <w:rtl/>
        </w:rPr>
        <w:sectPr w:rsidR="003D504D" w:rsidRPr="001F3E7B" w:rsidSect="003D504D">
          <w:footerReference w:type="default" r:id="rId115"/>
          <w:type w:val="continuous"/>
          <w:pgSz w:w="11906" w:h="16838"/>
          <w:pgMar w:top="720" w:right="720" w:bottom="720" w:left="720" w:header="283" w:footer="283" w:gutter="0"/>
          <w:pgNumType w:fmt="hebrew1"/>
          <w:cols w:num="2" w:space="567"/>
          <w:bidi/>
          <w:rtlGutter/>
          <w:docGrid w:linePitch="299"/>
        </w:sectPr>
      </w:pPr>
    </w:p>
    <w:p w14:paraId="7AB0B450" w14:textId="77777777" w:rsidR="000A5C93" w:rsidRDefault="000A5C93" w:rsidP="0030259F">
      <w:pPr>
        <w:pStyle w:val="afd"/>
        <w:rPr>
          <w:rtl/>
        </w:rPr>
        <w:sectPr w:rsidR="000A5C93" w:rsidSect="003D504D">
          <w:headerReference w:type="default" r:id="rId116"/>
          <w:headerReference w:type="first" r:id="rId117"/>
          <w:footerReference w:type="first" r:id="rId118"/>
          <w:pgSz w:w="11906" w:h="16838"/>
          <w:pgMar w:top="720" w:right="720" w:bottom="720" w:left="720" w:header="283" w:footer="283" w:gutter="0"/>
          <w:cols w:space="113"/>
          <w:bidi/>
          <w:rtlGutter/>
          <w:docGrid w:linePitch="299"/>
        </w:sectPr>
      </w:pPr>
      <w:bookmarkStart w:id="19781" w:name="_Toc955083"/>
      <w:bookmarkStart w:id="19782" w:name="_Toc974523"/>
      <w:bookmarkStart w:id="19783" w:name="_Toc984439"/>
      <w:bookmarkStart w:id="19784" w:name="_Toc1056552"/>
      <w:bookmarkStart w:id="19785" w:name="_Toc1109710"/>
      <w:bookmarkStart w:id="19786" w:name="_Toc1128675"/>
      <w:bookmarkStart w:id="19787" w:name="_Toc1250055"/>
      <w:bookmarkStart w:id="19788" w:name="_Toc1258059"/>
      <w:bookmarkStart w:id="19789" w:name="_Toc5356385"/>
    </w:p>
    <w:p w14:paraId="68025845" w14:textId="77777777" w:rsidR="003D504D" w:rsidRDefault="003D504D" w:rsidP="0030259F">
      <w:pPr>
        <w:pStyle w:val="afd"/>
        <w:rPr>
          <w:rtl/>
        </w:rPr>
      </w:pPr>
      <w:bookmarkStart w:id="19790" w:name="_Toc16669768"/>
      <w:bookmarkStart w:id="19791" w:name="_Toc19436147"/>
      <w:bookmarkStart w:id="19792" w:name="_Toc20081327"/>
      <w:r>
        <w:rPr>
          <w:rFonts w:hint="cs"/>
          <w:rtl/>
        </w:rPr>
        <w:t>סימן</w:t>
      </w:r>
      <w:bookmarkEnd w:id="19781"/>
      <w:r>
        <w:rPr>
          <w:rFonts w:hint="cs"/>
          <w:rtl/>
        </w:rPr>
        <w:t xml:space="preserve"> </w:t>
      </w:r>
      <w:bookmarkEnd w:id="19782"/>
      <w:bookmarkEnd w:id="19783"/>
      <w:bookmarkEnd w:id="19784"/>
      <w:bookmarkEnd w:id="19785"/>
      <w:bookmarkEnd w:id="19786"/>
      <w:bookmarkEnd w:id="19787"/>
      <w:bookmarkEnd w:id="19788"/>
      <w:bookmarkEnd w:id="19789"/>
      <w:r w:rsidR="0060097B">
        <w:rPr>
          <w:rFonts w:hint="cs"/>
          <w:rtl/>
        </w:rPr>
        <w:t>י"</w:t>
      </w:r>
      <w:r w:rsidR="0030259F">
        <w:rPr>
          <w:rFonts w:hint="cs"/>
          <w:rtl/>
        </w:rPr>
        <w:t>ח</w:t>
      </w:r>
      <w:bookmarkEnd w:id="19790"/>
      <w:bookmarkEnd w:id="19791"/>
      <w:bookmarkEnd w:id="19792"/>
    </w:p>
    <w:p w14:paraId="3D014EF8" w14:textId="77777777" w:rsidR="003D504D" w:rsidRPr="003174C8" w:rsidRDefault="003D504D" w:rsidP="003D504D">
      <w:pPr>
        <w:pStyle w:val="afd"/>
        <w:rPr>
          <w:sz w:val="24"/>
          <w:szCs w:val="32"/>
          <w:rtl/>
        </w:rPr>
      </w:pPr>
      <w:bookmarkStart w:id="19793" w:name="_Toc1128676"/>
      <w:bookmarkStart w:id="19794" w:name="_Toc1250056"/>
      <w:bookmarkStart w:id="19795" w:name="_Toc1258060"/>
      <w:bookmarkStart w:id="19796" w:name="_Toc5356386"/>
      <w:bookmarkStart w:id="19797" w:name="_Toc16669769"/>
      <w:bookmarkStart w:id="19798" w:name="_Toc19436148"/>
      <w:bookmarkStart w:id="19799" w:name="_Toc20081328"/>
      <w:r w:rsidRPr="003174C8">
        <w:rPr>
          <w:rFonts w:hint="cs"/>
          <w:sz w:val="24"/>
          <w:szCs w:val="32"/>
          <w:rtl/>
        </w:rPr>
        <w:t>סוגיא דאבר היוצא (ד')</w:t>
      </w:r>
      <w:bookmarkEnd w:id="19793"/>
      <w:bookmarkEnd w:id="19794"/>
      <w:bookmarkEnd w:id="19795"/>
      <w:bookmarkEnd w:id="19796"/>
      <w:bookmarkEnd w:id="19797"/>
      <w:bookmarkEnd w:id="19798"/>
      <w:bookmarkEnd w:id="19799"/>
    </w:p>
    <w:p w14:paraId="763F5C41" w14:textId="77777777" w:rsidR="003D504D" w:rsidRPr="007775B7" w:rsidRDefault="003D504D" w:rsidP="003D504D">
      <w:pPr>
        <w:pStyle w:val="afd"/>
      </w:pPr>
      <w:bookmarkStart w:id="19800" w:name="_Toc974524"/>
      <w:bookmarkStart w:id="19801" w:name="_Toc984440"/>
      <w:bookmarkStart w:id="19802" w:name="_Toc1056553"/>
      <w:bookmarkStart w:id="19803" w:name="_Toc1109711"/>
      <w:bookmarkStart w:id="19804" w:name="_Toc1128677"/>
      <w:bookmarkStart w:id="19805" w:name="_Toc1250057"/>
      <w:bookmarkStart w:id="19806" w:name="_Toc1258061"/>
      <w:bookmarkStart w:id="19807" w:name="_Toc5356387"/>
      <w:bookmarkStart w:id="19808" w:name="_Toc16669770"/>
      <w:bookmarkStart w:id="19809" w:name="_Toc19436149"/>
      <w:bookmarkStart w:id="19810" w:name="_Toc20081329"/>
      <w:r>
        <w:rPr>
          <w:rFonts w:hint="cs"/>
          <w:rtl/>
        </w:rPr>
        <w:t>בביאור הספק בבא על בן פקועה דכוותיה</w:t>
      </w:r>
      <w:r w:rsidRPr="007775B7">
        <w:rPr>
          <w:rtl/>
        </w:rPr>
        <w:t xml:space="preserve"> </w:t>
      </w:r>
      <w:r>
        <w:rPr>
          <w:rFonts w:hint="cs"/>
          <w:rtl/>
        </w:rPr>
        <w:t>ו</w:t>
      </w:r>
      <w:r w:rsidRPr="007775B7">
        <w:rPr>
          <w:rtl/>
        </w:rPr>
        <w:t>בגדר זה וזה גורם</w:t>
      </w:r>
      <w:r>
        <w:rPr>
          <w:rFonts w:hint="cs"/>
          <w:rtl/>
        </w:rPr>
        <w:t xml:space="preserve"> וחוששין לזרע האב</w:t>
      </w:r>
      <w:bookmarkEnd w:id="19800"/>
      <w:bookmarkEnd w:id="19801"/>
      <w:bookmarkEnd w:id="19802"/>
      <w:bookmarkEnd w:id="19803"/>
      <w:bookmarkEnd w:id="19804"/>
      <w:bookmarkEnd w:id="19805"/>
      <w:bookmarkEnd w:id="19806"/>
      <w:bookmarkEnd w:id="19807"/>
      <w:bookmarkEnd w:id="19808"/>
      <w:bookmarkEnd w:id="19809"/>
      <w:bookmarkEnd w:id="19810"/>
    </w:p>
    <w:p w14:paraId="77C3137C" w14:textId="77777777" w:rsidR="003D504D" w:rsidRDefault="000A0C31" w:rsidP="003D504D">
      <w:pPr>
        <w:pStyle w:val="2"/>
        <w:keepNext w:val="0"/>
        <w:keepLines w:val="0"/>
        <w:rPr>
          <w:rtl/>
        </w:rPr>
      </w:pPr>
      <w:r>
        <w:rPr>
          <w:rtl/>
        </w:rPr>
        <w:t>מפתח הסוגיא</w:t>
      </w:r>
    </w:p>
    <w:p w14:paraId="11CF6F37" w14:textId="77777777" w:rsidR="003D504D" w:rsidRDefault="003D504D" w:rsidP="003D504D">
      <w:pPr>
        <w:pStyle w:val="aff4"/>
        <w:rPr>
          <w:rtl/>
        </w:rPr>
        <w:sectPr w:rsidR="003D504D" w:rsidSect="003D504D">
          <w:headerReference w:type="default" r:id="rId119"/>
          <w:pgSz w:w="11906" w:h="16838"/>
          <w:pgMar w:top="720" w:right="720" w:bottom="720" w:left="720" w:header="283" w:footer="283" w:gutter="0"/>
          <w:cols w:space="113"/>
          <w:bidi/>
          <w:rtlGutter/>
          <w:docGrid w:linePitch="299"/>
        </w:sectPr>
      </w:pPr>
    </w:p>
    <w:p w14:paraId="5DEA4B7F" w14:textId="77777777" w:rsidR="003D504D" w:rsidRDefault="003D504D" w:rsidP="003D504D">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bookmarkStart w:id="19811" w:name="_Toc19436151"/>
      <w:r>
        <w:rPr>
          <w:noProof/>
          <w:rtl/>
        </w:rPr>
        <w:t>מראי מקומות וביאורים על הסוגיא</w:t>
      </w:r>
      <w:bookmarkEnd w:id="19811"/>
    </w:p>
    <w:p w14:paraId="005F4206" w14:textId="77777777" w:rsidR="003D504D" w:rsidRDefault="003D504D" w:rsidP="003D504D">
      <w:pPr>
        <w:pStyle w:val="2"/>
        <w:rPr>
          <w:rFonts w:eastAsiaTheme="minorEastAsia" w:cstheme="minorBidi"/>
          <w:i/>
          <w:iCs/>
          <w:noProof/>
          <w:sz w:val="22"/>
          <w:szCs w:val="22"/>
          <w:rtl/>
        </w:rPr>
      </w:pPr>
      <w:bookmarkStart w:id="19812" w:name="_Toc19436152"/>
      <w:r>
        <w:rPr>
          <w:noProof/>
          <w:rtl/>
        </w:rPr>
        <w:t>בביאור הספק בבא על בן פקועה דכוותיה</w:t>
      </w:r>
      <w:bookmarkEnd w:id="19812"/>
    </w:p>
    <w:p w14:paraId="61748F75" w14:textId="77777777" w:rsidR="003D504D" w:rsidRDefault="003D504D" w:rsidP="003D504D">
      <w:pPr>
        <w:pStyle w:val="aff4"/>
        <w:rPr>
          <w:rFonts w:eastAsiaTheme="minorEastAsia" w:cstheme="minorBidi"/>
          <w:i/>
          <w:iCs/>
          <w:noProof/>
          <w:sz w:val="22"/>
          <w:szCs w:val="22"/>
          <w:rtl/>
        </w:rPr>
      </w:pPr>
      <w:bookmarkStart w:id="19813" w:name="_Toc19436153"/>
      <w:bookmarkStart w:id="19814" w:name="_Toc20081330"/>
      <w:r>
        <w:rPr>
          <w:noProof/>
          <w:rtl/>
        </w:rPr>
        <w:t>ביאור המהר"ם ברש"י שבא על בת פקועה שאין בה אבר היוצא</w:t>
      </w:r>
      <w:bookmarkEnd w:id="19813"/>
      <w:bookmarkEnd w:id="19814"/>
    </w:p>
    <w:p w14:paraId="4FB06CF2" w14:textId="77777777" w:rsidR="00AA4EC9" w:rsidRDefault="00AA4EC9" w:rsidP="00E12979">
      <w:pPr>
        <w:pStyle w:val="a"/>
        <w:numPr>
          <w:ilvl w:val="0"/>
          <w:numId w:val="40"/>
        </w:numPr>
      </w:pPr>
      <w:r w:rsidRPr="003174C8">
        <w:rPr>
          <w:rtl/>
        </w:rPr>
        <w:t>דברי רש"י דהספק בבא על בן פקועה דכוותיה הוא רק למ"ד דחוששין לזרע האב</w:t>
      </w:r>
      <w:r>
        <w:rPr>
          <w:rtl/>
        </w:rPr>
        <w:t xml:space="preserve"> </w:t>
      </w:r>
    </w:p>
    <w:p w14:paraId="3E50684A" w14:textId="77777777" w:rsidR="003D504D" w:rsidRPr="003174C8" w:rsidRDefault="003D504D" w:rsidP="005077A7">
      <w:pPr>
        <w:pStyle w:val="a"/>
        <w:rPr>
          <w:rtl/>
        </w:rPr>
      </w:pPr>
      <w:r>
        <w:rPr>
          <w:rtl/>
        </w:rPr>
        <w:t>דברי המהר"ם דמבואר ברש"י דאיירי בבא על בת פקועה שאין בה אבר היוצא</w:t>
      </w:r>
    </w:p>
    <w:p w14:paraId="2DBDB9B3" w14:textId="77777777" w:rsidR="003D504D" w:rsidRDefault="003D504D" w:rsidP="005077A7">
      <w:pPr>
        <w:pStyle w:val="a"/>
        <w:rPr>
          <w:rFonts w:eastAsiaTheme="minorEastAsia" w:cstheme="minorBidi"/>
          <w:sz w:val="22"/>
          <w:szCs w:val="22"/>
          <w:rtl/>
        </w:rPr>
      </w:pPr>
      <w:r>
        <w:rPr>
          <w:rtl/>
        </w:rPr>
        <w:t>דברי היעב"ץ דאף לרש"י איירי בבא על בת פקועה שיש בה אבר היוצא</w:t>
      </w:r>
    </w:p>
    <w:p w14:paraId="6289C132" w14:textId="77777777" w:rsidR="003D504D" w:rsidRDefault="003D504D" w:rsidP="005077A7">
      <w:pPr>
        <w:pStyle w:val="a"/>
        <w:rPr>
          <w:rFonts w:eastAsiaTheme="minorEastAsia" w:cstheme="minorBidi"/>
          <w:sz w:val="22"/>
          <w:szCs w:val="22"/>
          <w:rtl/>
        </w:rPr>
      </w:pPr>
      <w:r>
        <w:rPr>
          <w:rtl/>
        </w:rPr>
        <w:t>דברי רבינו גרשום דבא על בן פקועה דכוותיה שא"צ שחיטה לא מאביו ולא מאמו</w:t>
      </w:r>
    </w:p>
    <w:p w14:paraId="59C58BB5" w14:textId="77777777" w:rsidR="003D504D" w:rsidRDefault="003D504D" w:rsidP="003D504D">
      <w:pPr>
        <w:pStyle w:val="aff4"/>
        <w:rPr>
          <w:rFonts w:eastAsiaTheme="minorEastAsia" w:cstheme="minorBidi"/>
          <w:i/>
          <w:iCs/>
          <w:noProof/>
          <w:sz w:val="22"/>
          <w:szCs w:val="22"/>
          <w:rtl/>
        </w:rPr>
      </w:pPr>
      <w:bookmarkStart w:id="19815" w:name="_Toc19436154"/>
      <w:bookmarkStart w:id="19816" w:name="_Toc20081331"/>
      <w:r>
        <w:rPr>
          <w:noProof/>
          <w:rtl/>
        </w:rPr>
        <w:t>בדברי התוס' דבא על בת פקועה שיש בה אבר היוצא</w:t>
      </w:r>
      <w:bookmarkEnd w:id="19815"/>
      <w:bookmarkEnd w:id="19816"/>
    </w:p>
    <w:p w14:paraId="0A8D71DA" w14:textId="77777777" w:rsidR="003D504D" w:rsidRDefault="003D504D" w:rsidP="005077A7">
      <w:pPr>
        <w:pStyle w:val="a"/>
        <w:rPr>
          <w:rFonts w:eastAsiaTheme="minorEastAsia" w:cstheme="minorBidi"/>
          <w:sz w:val="22"/>
          <w:szCs w:val="22"/>
          <w:rtl/>
        </w:rPr>
      </w:pPr>
      <w:r>
        <w:rPr>
          <w:rtl/>
        </w:rPr>
        <w:t>דברי התוס' והר"ן דהספק הוא כשגם באב וגם באם יש אבר היוצא</w:t>
      </w:r>
    </w:p>
    <w:p w14:paraId="6F557C87" w14:textId="77777777" w:rsidR="003D504D" w:rsidRDefault="003D504D" w:rsidP="005077A7">
      <w:pPr>
        <w:pStyle w:val="a"/>
        <w:rPr>
          <w:rFonts w:eastAsiaTheme="minorEastAsia" w:cstheme="minorBidi"/>
          <w:sz w:val="22"/>
          <w:szCs w:val="22"/>
          <w:rtl/>
        </w:rPr>
      </w:pPr>
      <w:r>
        <w:rPr>
          <w:rtl/>
        </w:rPr>
        <w:t>קושית המהרש"א דאף דכן משמע לשון הגמ' מ"מ אמאי הוצרכה הגמ' להעמיד בכה"ג</w:t>
      </w:r>
    </w:p>
    <w:p w14:paraId="3D973A0F" w14:textId="77777777" w:rsidR="003D504D" w:rsidRDefault="003D504D" w:rsidP="005077A7">
      <w:pPr>
        <w:pStyle w:val="a"/>
        <w:rPr>
          <w:rFonts w:eastAsiaTheme="minorEastAsia" w:cstheme="minorBidi"/>
          <w:sz w:val="22"/>
          <w:szCs w:val="22"/>
          <w:rtl/>
        </w:rPr>
      </w:pPr>
      <w:r>
        <w:rPr>
          <w:rtl/>
        </w:rPr>
        <w:t>ביאור המהרש"א דבבא על בת פקועה שאין בה אבר היוצא פשיטא דמותר מדין זה וזה גורם</w:t>
      </w:r>
    </w:p>
    <w:p w14:paraId="6D9B2464" w14:textId="77777777" w:rsidR="003D504D" w:rsidRDefault="003D504D" w:rsidP="005077A7">
      <w:pPr>
        <w:pStyle w:val="a"/>
        <w:rPr>
          <w:rFonts w:eastAsiaTheme="minorEastAsia" w:cstheme="minorBidi"/>
          <w:sz w:val="22"/>
          <w:szCs w:val="22"/>
          <w:rtl/>
        </w:rPr>
      </w:pPr>
      <w:r>
        <w:rPr>
          <w:rtl/>
        </w:rPr>
        <w:t>דברי המהרש"א דבשור בעלמא שבא על בת פקועה שיש בה אבר היוצא לכו"ע מותר מדין זוז"ג</w:t>
      </w:r>
    </w:p>
    <w:p w14:paraId="73D01373" w14:textId="77777777" w:rsidR="003D504D" w:rsidRDefault="003D504D" w:rsidP="005077A7">
      <w:pPr>
        <w:pStyle w:val="a"/>
        <w:rPr>
          <w:rFonts w:eastAsiaTheme="minorEastAsia" w:cstheme="minorBidi"/>
          <w:sz w:val="22"/>
          <w:szCs w:val="22"/>
          <w:rtl/>
        </w:rPr>
      </w:pPr>
      <w:r>
        <w:rPr>
          <w:rtl/>
        </w:rPr>
        <w:t>דברי היבע"ץ דהוכיחו התוס' כן מדלא הסתפקה הגמ' בבא על בת פקועה שיש בה אבר היוצא</w:t>
      </w:r>
    </w:p>
    <w:p w14:paraId="10871E30" w14:textId="77777777" w:rsidR="003D504D" w:rsidRDefault="003D504D" w:rsidP="005077A7">
      <w:pPr>
        <w:pStyle w:val="a"/>
        <w:rPr>
          <w:rFonts w:eastAsiaTheme="minorEastAsia" w:cstheme="minorBidi"/>
          <w:sz w:val="22"/>
          <w:szCs w:val="22"/>
          <w:rtl/>
        </w:rPr>
      </w:pPr>
      <w:r>
        <w:rPr>
          <w:rtl/>
        </w:rPr>
        <w:t>דברי המהר"ם דלתוס' הספק הוא אף למ"ד דאין חוששין לזרע האב</w:t>
      </w:r>
    </w:p>
    <w:p w14:paraId="2A9DD135" w14:textId="77777777" w:rsidR="003D504D" w:rsidRDefault="003D504D" w:rsidP="003D504D">
      <w:pPr>
        <w:pStyle w:val="aff4"/>
        <w:rPr>
          <w:rFonts w:eastAsiaTheme="minorEastAsia" w:cstheme="minorBidi"/>
          <w:i/>
          <w:iCs/>
          <w:noProof/>
          <w:sz w:val="22"/>
          <w:szCs w:val="22"/>
          <w:rtl/>
        </w:rPr>
      </w:pPr>
      <w:bookmarkStart w:id="19817" w:name="_Toc19436155"/>
      <w:bookmarkStart w:id="19818" w:name="_Toc20081332"/>
      <w:r>
        <w:rPr>
          <w:noProof/>
          <w:rtl/>
        </w:rPr>
        <w:t>ביאור הבכור שור בתוס' דאיירי שבנקיבה יש אבר היוצא</w:t>
      </w:r>
      <w:bookmarkEnd w:id="19817"/>
      <w:bookmarkEnd w:id="19818"/>
    </w:p>
    <w:p w14:paraId="036FB9D2" w14:textId="77777777" w:rsidR="003D504D" w:rsidRDefault="003D504D" w:rsidP="005077A7">
      <w:pPr>
        <w:pStyle w:val="a"/>
        <w:rPr>
          <w:rFonts w:eastAsiaTheme="minorEastAsia" w:cstheme="minorBidi"/>
          <w:sz w:val="22"/>
          <w:szCs w:val="22"/>
          <w:rtl/>
        </w:rPr>
      </w:pPr>
      <w:r>
        <w:rPr>
          <w:rtl/>
        </w:rPr>
        <w:t>קושית הבכור שור דלמהרש"א איירי דאותו אבר אסור באב ובאם ולא משמע כן בתוס'</w:t>
      </w:r>
    </w:p>
    <w:p w14:paraId="70385F6A" w14:textId="77777777" w:rsidR="003D504D" w:rsidRDefault="003D504D" w:rsidP="005077A7">
      <w:pPr>
        <w:pStyle w:val="a"/>
        <w:rPr>
          <w:rFonts w:eastAsiaTheme="minorEastAsia" w:cstheme="minorBidi"/>
          <w:sz w:val="22"/>
          <w:szCs w:val="22"/>
          <w:rtl/>
        </w:rPr>
      </w:pPr>
      <w:r>
        <w:rPr>
          <w:rtl/>
        </w:rPr>
        <w:t>ביאור הבכור שור דאיירי שבנקיבה יש אבר שאסור והספק אף למ"ד דאין חוששין לזרע האב</w:t>
      </w:r>
    </w:p>
    <w:p w14:paraId="3DB15334" w14:textId="77777777" w:rsidR="003D504D" w:rsidRDefault="003D504D" w:rsidP="003D504D">
      <w:pPr>
        <w:pStyle w:val="aff4"/>
        <w:rPr>
          <w:rFonts w:eastAsiaTheme="minorEastAsia" w:cstheme="minorBidi"/>
          <w:i/>
          <w:iCs/>
          <w:noProof/>
          <w:sz w:val="22"/>
          <w:szCs w:val="22"/>
          <w:rtl/>
        </w:rPr>
      </w:pPr>
      <w:bookmarkStart w:id="19819" w:name="_Toc19436156"/>
      <w:bookmarkStart w:id="19820" w:name="_Toc20081333"/>
      <w:r>
        <w:rPr>
          <w:noProof/>
          <w:rtl/>
        </w:rPr>
        <w:t>ביאור הר"ן בביאור בא על בן פקועה דכוותיה בדין זוז"ג</w:t>
      </w:r>
      <w:bookmarkEnd w:id="19819"/>
      <w:bookmarkEnd w:id="19820"/>
    </w:p>
    <w:p w14:paraId="56D1C8BB" w14:textId="77777777" w:rsidR="003D504D" w:rsidRDefault="003D504D" w:rsidP="005077A7">
      <w:pPr>
        <w:pStyle w:val="a"/>
        <w:rPr>
          <w:rFonts w:eastAsiaTheme="minorEastAsia" w:cstheme="minorBidi"/>
          <w:sz w:val="22"/>
          <w:szCs w:val="22"/>
          <w:rtl/>
        </w:rPr>
      </w:pPr>
      <w:r>
        <w:rPr>
          <w:rtl/>
        </w:rPr>
        <w:t>דברי הר"ן דהצד דחותך את האבר הוא בין למ"ד דזה וזה גורם מותר ובין למ"ד דזה וזה גורם אסור</w:t>
      </w:r>
    </w:p>
    <w:p w14:paraId="490E9BC7" w14:textId="77777777" w:rsidR="003D504D" w:rsidRDefault="003D504D" w:rsidP="005077A7">
      <w:pPr>
        <w:pStyle w:val="a"/>
        <w:rPr>
          <w:rFonts w:eastAsiaTheme="minorEastAsia" w:cstheme="minorBidi"/>
          <w:sz w:val="22"/>
          <w:szCs w:val="22"/>
          <w:rtl/>
        </w:rPr>
      </w:pPr>
      <w:r>
        <w:rPr>
          <w:rtl/>
        </w:rPr>
        <w:t>דברי הר"ן דבבא על בת פקועה שאין בה אבר היוצא אפש"ל דהאבר מותר לגמרי וא"צ לחותכו</w:t>
      </w:r>
    </w:p>
    <w:p w14:paraId="507B0612" w14:textId="77777777" w:rsidR="003D504D" w:rsidRDefault="003D504D" w:rsidP="005077A7">
      <w:pPr>
        <w:pStyle w:val="a"/>
        <w:rPr>
          <w:rFonts w:eastAsiaTheme="minorEastAsia" w:cstheme="minorBidi"/>
          <w:sz w:val="22"/>
          <w:szCs w:val="22"/>
          <w:rtl/>
        </w:rPr>
      </w:pPr>
      <w:r>
        <w:rPr>
          <w:rtl/>
        </w:rPr>
        <w:t>דברי הר"ן דאי מבלבל זרעיה למ"ד דזה וזה גורם אסור כולו אסור ולמ"ד דמותר כולו מותר</w:t>
      </w:r>
    </w:p>
    <w:p w14:paraId="1AA4C625" w14:textId="77777777" w:rsidR="003D504D" w:rsidRDefault="003D504D" w:rsidP="003D504D">
      <w:pPr>
        <w:pStyle w:val="2"/>
        <w:rPr>
          <w:rFonts w:eastAsiaTheme="minorEastAsia" w:cstheme="minorBidi"/>
          <w:i/>
          <w:iCs/>
          <w:noProof/>
          <w:sz w:val="22"/>
          <w:szCs w:val="22"/>
          <w:rtl/>
        </w:rPr>
      </w:pPr>
      <w:bookmarkStart w:id="19821" w:name="_Toc19436157"/>
      <w:r>
        <w:rPr>
          <w:noProof/>
          <w:rtl/>
        </w:rPr>
        <w:t>בספק דהולד אסור דבא מכח איסור</w:t>
      </w:r>
      <w:bookmarkEnd w:id="19821"/>
    </w:p>
    <w:p w14:paraId="3E52389B" w14:textId="77777777" w:rsidR="003D504D" w:rsidRDefault="003D504D" w:rsidP="003D504D">
      <w:pPr>
        <w:pStyle w:val="aff4"/>
        <w:rPr>
          <w:rFonts w:eastAsiaTheme="minorEastAsia" w:cstheme="minorBidi"/>
          <w:i/>
          <w:iCs/>
          <w:noProof/>
          <w:sz w:val="22"/>
          <w:szCs w:val="22"/>
          <w:rtl/>
        </w:rPr>
      </w:pPr>
      <w:bookmarkStart w:id="19822" w:name="_Toc19436158"/>
      <w:bookmarkStart w:id="19823" w:name="_Toc20081334"/>
      <w:r>
        <w:rPr>
          <w:noProof/>
          <w:rtl/>
        </w:rPr>
        <w:t>דברי המאירי בביאור קושית הגמ' דבא מכח איסור</w:t>
      </w:r>
      <w:bookmarkEnd w:id="19822"/>
      <w:bookmarkEnd w:id="19823"/>
    </w:p>
    <w:p w14:paraId="735270DE" w14:textId="77777777" w:rsidR="003D504D" w:rsidRDefault="003D504D" w:rsidP="005077A7">
      <w:pPr>
        <w:pStyle w:val="a"/>
        <w:rPr>
          <w:rFonts w:eastAsiaTheme="minorEastAsia" w:cstheme="minorBidi"/>
          <w:sz w:val="22"/>
          <w:szCs w:val="22"/>
          <w:rtl/>
        </w:rPr>
      </w:pPr>
      <w:r>
        <w:rPr>
          <w:rtl/>
        </w:rPr>
        <w:t>ביאור המאירי דא"א לאסור את הולד מחמת שלא הותר האבר מ"מ יאסר כיון שבא מכח איסור</w:t>
      </w:r>
    </w:p>
    <w:p w14:paraId="3CC0D754" w14:textId="77777777" w:rsidR="003D504D" w:rsidRDefault="003D504D" w:rsidP="003D504D">
      <w:pPr>
        <w:pStyle w:val="aff4"/>
        <w:rPr>
          <w:rFonts w:eastAsiaTheme="minorEastAsia" w:cstheme="minorBidi"/>
          <w:i/>
          <w:iCs/>
          <w:noProof/>
          <w:sz w:val="22"/>
          <w:szCs w:val="22"/>
          <w:rtl/>
        </w:rPr>
      </w:pPr>
      <w:bookmarkStart w:id="19824" w:name="_Toc19436159"/>
      <w:bookmarkStart w:id="19825" w:name="_Toc20081335"/>
      <w:r>
        <w:rPr>
          <w:noProof/>
          <w:rtl/>
        </w:rPr>
        <w:t>קושית התוס' דבתלתא איסורי אפשר להתיר מדין זה וזה גורם</w:t>
      </w:r>
      <w:bookmarkEnd w:id="19824"/>
      <w:bookmarkEnd w:id="19825"/>
    </w:p>
    <w:p w14:paraId="4D1193E5" w14:textId="77777777" w:rsidR="003D504D" w:rsidRDefault="003D504D" w:rsidP="005077A7">
      <w:pPr>
        <w:pStyle w:val="a"/>
        <w:rPr>
          <w:rFonts w:eastAsiaTheme="minorEastAsia" w:cstheme="minorBidi"/>
          <w:sz w:val="22"/>
          <w:szCs w:val="22"/>
          <w:rtl/>
        </w:rPr>
      </w:pPr>
      <w:r>
        <w:rPr>
          <w:rtl/>
        </w:rPr>
        <w:t>קושית התוס' דאף אי מכח לא אמרינן יהיה מותר מדין זה וזה גורם</w:t>
      </w:r>
    </w:p>
    <w:p w14:paraId="3663A4FD" w14:textId="77777777" w:rsidR="003D504D" w:rsidRDefault="003D504D" w:rsidP="005077A7">
      <w:pPr>
        <w:pStyle w:val="a"/>
        <w:rPr>
          <w:rFonts w:eastAsiaTheme="minorEastAsia" w:cstheme="minorBidi"/>
          <w:sz w:val="22"/>
          <w:szCs w:val="22"/>
          <w:rtl/>
        </w:rPr>
      </w:pPr>
      <w:r>
        <w:rPr>
          <w:rtl/>
        </w:rPr>
        <w:t>דברי הרמב"ן בשם תוס' דלמ"ד דזה וזה גורם מותר א"צ את ההיתר דכל מכח ואף בג' איסורים מותר</w:t>
      </w:r>
    </w:p>
    <w:p w14:paraId="27BD4DDC" w14:textId="77777777" w:rsidR="003D504D" w:rsidRDefault="003D504D" w:rsidP="003D504D">
      <w:pPr>
        <w:pStyle w:val="aff4"/>
        <w:rPr>
          <w:rFonts w:eastAsiaTheme="minorEastAsia" w:cstheme="minorBidi"/>
          <w:i/>
          <w:iCs/>
          <w:noProof/>
          <w:sz w:val="22"/>
          <w:szCs w:val="22"/>
          <w:rtl/>
        </w:rPr>
      </w:pPr>
      <w:bookmarkStart w:id="19826" w:name="_Toc19436160"/>
      <w:bookmarkStart w:id="19827" w:name="_Toc20081336"/>
      <w:r>
        <w:rPr>
          <w:noProof/>
          <w:rtl/>
        </w:rPr>
        <w:t>דברי המהר"ם דבכל גורם מעורבים איסור והיתר</w:t>
      </w:r>
      <w:bookmarkEnd w:id="19826"/>
      <w:bookmarkEnd w:id="19827"/>
    </w:p>
    <w:p w14:paraId="2460C37F" w14:textId="77777777" w:rsidR="003D504D" w:rsidRDefault="003D504D" w:rsidP="005077A7">
      <w:pPr>
        <w:pStyle w:val="a"/>
        <w:rPr>
          <w:rFonts w:eastAsiaTheme="minorEastAsia" w:cstheme="minorBidi"/>
          <w:sz w:val="22"/>
          <w:szCs w:val="22"/>
          <w:rtl/>
        </w:rPr>
      </w:pPr>
      <w:r>
        <w:rPr>
          <w:rtl/>
        </w:rPr>
        <w:t>קושית המהר"ם דלתוס' באב ובאם יש אבר היוצא והאיסור הוא בשניהם ואי"ז זה וזה גורם</w:t>
      </w:r>
    </w:p>
    <w:p w14:paraId="2F38990F" w14:textId="77777777" w:rsidR="003D504D" w:rsidRDefault="003D504D" w:rsidP="005077A7">
      <w:pPr>
        <w:pStyle w:val="a"/>
        <w:rPr>
          <w:rFonts w:eastAsiaTheme="minorEastAsia" w:cstheme="minorBidi"/>
          <w:sz w:val="22"/>
          <w:szCs w:val="22"/>
          <w:rtl/>
        </w:rPr>
      </w:pPr>
      <w:r>
        <w:rPr>
          <w:rtl/>
        </w:rPr>
        <w:t>ביאור המהר"ם דכיון שרק אבר אחד שלהם אסור הוי זה וזה גורם באב בפנ"ע ובאם בפנ"ע</w:t>
      </w:r>
    </w:p>
    <w:p w14:paraId="29549796" w14:textId="77777777" w:rsidR="003D504D" w:rsidRDefault="003D504D" w:rsidP="003D504D">
      <w:pPr>
        <w:pStyle w:val="aff4"/>
        <w:rPr>
          <w:rFonts w:eastAsiaTheme="minorEastAsia" w:cstheme="minorBidi"/>
          <w:i/>
          <w:iCs/>
          <w:noProof/>
          <w:sz w:val="22"/>
          <w:szCs w:val="22"/>
          <w:rtl/>
        </w:rPr>
      </w:pPr>
      <w:bookmarkStart w:id="19828" w:name="_Toc19436161"/>
      <w:bookmarkStart w:id="19829" w:name="_Toc20081337"/>
      <w:r>
        <w:rPr>
          <w:noProof/>
          <w:rtl/>
        </w:rPr>
        <w:t>דברי התורת חיים דמבואר בתוס' דא"צ שכל גורם יהיה בפנ"ע</w:t>
      </w:r>
      <w:bookmarkEnd w:id="19828"/>
      <w:bookmarkEnd w:id="19829"/>
    </w:p>
    <w:p w14:paraId="2D4825BE" w14:textId="77777777" w:rsidR="003D504D" w:rsidRDefault="003D504D" w:rsidP="005077A7">
      <w:pPr>
        <w:pStyle w:val="a"/>
        <w:rPr>
          <w:rFonts w:eastAsiaTheme="minorEastAsia" w:cstheme="minorBidi"/>
          <w:sz w:val="22"/>
          <w:szCs w:val="22"/>
          <w:rtl/>
        </w:rPr>
      </w:pPr>
      <w:r>
        <w:rPr>
          <w:rtl/>
        </w:rPr>
        <w:t>תירוץ התורת חיים על קושית התוס' דכיון שאין כל גורם עומד בפנ"ע לא חשיב זה וזה גורם</w:t>
      </w:r>
    </w:p>
    <w:p w14:paraId="43DCB21B" w14:textId="77777777" w:rsidR="003D504D" w:rsidRDefault="003D504D" w:rsidP="005077A7">
      <w:pPr>
        <w:pStyle w:val="a"/>
        <w:rPr>
          <w:rFonts w:eastAsiaTheme="minorEastAsia" w:cstheme="minorBidi"/>
          <w:sz w:val="22"/>
          <w:szCs w:val="22"/>
          <w:rtl/>
        </w:rPr>
      </w:pPr>
      <w:r>
        <w:rPr>
          <w:rtl/>
        </w:rPr>
        <w:t>דברי התורת חיים דמהא דחשיב ג' איסורים הוכיחו התוס' דאף בשגורמים מעורבים הוי זה וזה גורם</w:t>
      </w:r>
    </w:p>
    <w:p w14:paraId="04A9859C" w14:textId="77777777" w:rsidR="003D504D" w:rsidRDefault="003D504D" w:rsidP="005077A7">
      <w:pPr>
        <w:pStyle w:val="a"/>
        <w:rPr>
          <w:rFonts w:eastAsiaTheme="minorEastAsia" w:cstheme="minorBidi"/>
          <w:sz w:val="22"/>
          <w:szCs w:val="22"/>
          <w:rtl/>
        </w:rPr>
      </w:pPr>
      <w:r>
        <w:rPr>
          <w:rtl/>
        </w:rPr>
        <w:t>דברי התורת חיים דבצד דמבלבל זרעיה חשיב כגורם אחד דהם שווין ולכן לא הקשו התוס' בזה</w:t>
      </w:r>
    </w:p>
    <w:p w14:paraId="7677764E" w14:textId="77777777" w:rsidR="003D504D" w:rsidRDefault="003D504D" w:rsidP="005077A7">
      <w:pPr>
        <w:pStyle w:val="a"/>
        <w:rPr>
          <w:rFonts w:eastAsiaTheme="minorEastAsia" w:cstheme="minorBidi"/>
          <w:sz w:val="22"/>
          <w:szCs w:val="22"/>
          <w:rtl/>
        </w:rPr>
      </w:pPr>
      <w:r>
        <w:rPr>
          <w:rtl/>
        </w:rPr>
        <w:t>דברי התורת חיים דבזה וזה גורם צריך שכל גורם יהיה בפנ"ע ולא דמי לאיסורים שאינם מצטרפים</w:t>
      </w:r>
    </w:p>
    <w:p w14:paraId="600276DC" w14:textId="77777777" w:rsidR="003D504D" w:rsidRDefault="003D504D" w:rsidP="005077A7">
      <w:pPr>
        <w:pStyle w:val="a"/>
        <w:rPr>
          <w:rFonts w:eastAsiaTheme="minorEastAsia" w:cstheme="minorBidi"/>
          <w:sz w:val="22"/>
          <w:szCs w:val="22"/>
          <w:rtl/>
        </w:rPr>
      </w:pPr>
      <w:r>
        <w:rPr>
          <w:rtl/>
        </w:rPr>
        <w:t>דברי הלב אריה דמקושית הגמ' תלתא איסורי מוכח דאבר היוצא הוי איסור ושייך בו זה וזה גורם</w:t>
      </w:r>
    </w:p>
    <w:p w14:paraId="5996BEBF" w14:textId="77777777" w:rsidR="003D504D" w:rsidRDefault="003D504D" w:rsidP="003D504D">
      <w:pPr>
        <w:pStyle w:val="aff4"/>
        <w:rPr>
          <w:rFonts w:eastAsiaTheme="minorEastAsia" w:cstheme="minorBidi"/>
          <w:i/>
          <w:iCs/>
          <w:noProof/>
          <w:sz w:val="22"/>
          <w:szCs w:val="22"/>
          <w:rtl/>
        </w:rPr>
      </w:pPr>
      <w:bookmarkStart w:id="19830" w:name="_Toc19436162"/>
      <w:bookmarkStart w:id="19831" w:name="_Toc20081338"/>
      <w:r>
        <w:rPr>
          <w:noProof/>
          <w:rtl/>
        </w:rPr>
        <w:t>ביאור הבכור שור דאחר קושית הגמ' מבואר דהאבר הוא איסור</w:t>
      </w:r>
      <w:bookmarkEnd w:id="19830"/>
      <w:bookmarkEnd w:id="19831"/>
    </w:p>
    <w:p w14:paraId="072083A6" w14:textId="77777777" w:rsidR="003D504D" w:rsidRDefault="003D504D" w:rsidP="005077A7">
      <w:pPr>
        <w:pStyle w:val="a"/>
        <w:rPr>
          <w:rFonts w:eastAsiaTheme="minorEastAsia" w:cstheme="minorBidi"/>
          <w:sz w:val="22"/>
          <w:szCs w:val="22"/>
          <w:rtl/>
        </w:rPr>
      </w:pPr>
      <w:r>
        <w:rPr>
          <w:rtl/>
        </w:rPr>
        <w:t>דברי הבכור שור דלמסקנא דמבלבל זרעיה בכל אבר ואבר הוי זה וזה גורם</w:t>
      </w:r>
    </w:p>
    <w:p w14:paraId="05673E1E" w14:textId="77777777" w:rsidR="003D504D" w:rsidRDefault="003D504D" w:rsidP="005077A7">
      <w:pPr>
        <w:pStyle w:val="a"/>
        <w:rPr>
          <w:rFonts w:eastAsiaTheme="minorEastAsia" w:cstheme="minorBidi"/>
          <w:sz w:val="22"/>
          <w:szCs w:val="22"/>
          <w:rtl/>
        </w:rPr>
      </w:pPr>
      <w:r>
        <w:rPr>
          <w:rtl/>
        </w:rPr>
        <w:t>ביאור הבכור שור דמסברא לא הוי זה וזה גורם דהאבר היוצא אינו איסור אלא דלא מהני לו שחיטה</w:t>
      </w:r>
    </w:p>
    <w:p w14:paraId="64C6AAF6" w14:textId="77777777" w:rsidR="003D504D" w:rsidRDefault="003D504D" w:rsidP="005077A7">
      <w:pPr>
        <w:pStyle w:val="a"/>
        <w:rPr>
          <w:rFonts w:eastAsiaTheme="minorEastAsia" w:cstheme="minorBidi"/>
          <w:sz w:val="22"/>
          <w:szCs w:val="22"/>
        </w:rPr>
      </w:pPr>
      <w:r>
        <w:rPr>
          <w:rtl/>
        </w:rPr>
        <w:t>תירוץ הבכור שור דאחר קושית הגמ' דהוי תלתא איסורי הקשו התוס' דאבר היוצא הוא איסור</w:t>
      </w:r>
    </w:p>
    <w:p w14:paraId="349983B2" w14:textId="77777777" w:rsidR="003D504D" w:rsidRDefault="003D504D" w:rsidP="005077A7">
      <w:pPr>
        <w:pStyle w:val="a"/>
        <w:rPr>
          <w:rtl/>
        </w:rPr>
      </w:pPr>
    </w:p>
    <w:p w14:paraId="005E25D3" w14:textId="77777777" w:rsidR="003D504D" w:rsidRDefault="003D504D" w:rsidP="003D504D">
      <w:pPr>
        <w:pStyle w:val="2"/>
        <w:rPr>
          <w:rFonts w:eastAsiaTheme="minorEastAsia" w:cstheme="minorBidi"/>
          <w:i/>
          <w:iCs/>
          <w:noProof/>
          <w:sz w:val="22"/>
          <w:szCs w:val="22"/>
          <w:rtl/>
        </w:rPr>
      </w:pPr>
      <w:bookmarkStart w:id="19832" w:name="_Toc19436163"/>
      <w:r>
        <w:rPr>
          <w:noProof/>
          <w:rtl/>
        </w:rPr>
        <w:t>בגדר דין זה וזה גורם</w:t>
      </w:r>
      <w:bookmarkEnd w:id="19832"/>
    </w:p>
    <w:p w14:paraId="36DDC12E" w14:textId="77777777" w:rsidR="003D504D" w:rsidRDefault="003D504D" w:rsidP="003D504D">
      <w:pPr>
        <w:pStyle w:val="aff4"/>
        <w:rPr>
          <w:rFonts w:eastAsiaTheme="minorEastAsia" w:cstheme="minorBidi"/>
          <w:i/>
          <w:iCs/>
          <w:noProof/>
          <w:sz w:val="22"/>
          <w:szCs w:val="22"/>
          <w:rtl/>
        </w:rPr>
      </w:pPr>
      <w:bookmarkStart w:id="19833" w:name="_Toc19436164"/>
      <w:bookmarkStart w:id="19834" w:name="_Toc20081339"/>
      <w:r>
        <w:rPr>
          <w:noProof/>
          <w:rtl/>
        </w:rPr>
        <w:t>דעת הר"ן דהולד בא משני גורמים של היתר ואי"ז זה וזה גורם</w:t>
      </w:r>
      <w:bookmarkEnd w:id="19833"/>
      <w:bookmarkEnd w:id="19834"/>
    </w:p>
    <w:p w14:paraId="7448DE05" w14:textId="77777777" w:rsidR="003D504D" w:rsidRDefault="003D504D" w:rsidP="005077A7">
      <w:pPr>
        <w:pStyle w:val="a"/>
        <w:rPr>
          <w:rFonts w:eastAsiaTheme="minorEastAsia" w:cstheme="minorBidi"/>
          <w:sz w:val="22"/>
          <w:szCs w:val="22"/>
          <w:rtl/>
        </w:rPr>
      </w:pPr>
      <w:r>
        <w:rPr>
          <w:rtl/>
        </w:rPr>
        <w:t>דברי הר"ן דולד דאין לו תקנה ל"ה זה וזה גורם דאף מאמו אינו אסור אלא דחייב שחיטה</w:t>
      </w:r>
    </w:p>
    <w:p w14:paraId="2A7A6C04" w14:textId="77777777" w:rsidR="003D504D" w:rsidRDefault="003D504D" w:rsidP="003D504D">
      <w:pPr>
        <w:pStyle w:val="aff4"/>
        <w:rPr>
          <w:rFonts w:eastAsiaTheme="minorEastAsia" w:cstheme="minorBidi"/>
          <w:i/>
          <w:iCs/>
          <w:noProof/>
          <w:sz w:val="22"/>
          <w:szCs w:val="22"/>
          <w:rtl/>
        </w:rPr>
      </w:pPr>
      <w:bookmarkStart w:id="19835" w:name="_Toc19436165"/>
      <w:bookmarkStart w:id="19836" w:name="_Toc20081340"/>
      <w:r>
        <w:rPr>
          <w:noProof/>
          <w:rtl/>
        </w:rPr>
        <w:t>דברי התוס' לעיל דזה וזה גורם הוא רק כשיש גורם אסור</w:t>
      </w:r>
      <w:bookmarkEnd w:id="19835"/>
      <w:bookmarkEnd w:id="19836"/>
    </w:p>
    <w:p w14:paraId="358E9538" w14:textId="77777777" w:rsidR="003D504D" w:rsidRDefault="003D504D" w:rsidP="005077A7">
      <w:pPr>
        <w:pStyle w:val="a"/>
        <w:rPr>
          <w:rFonts w:eastAsiaTheme="minorEastAsia" w:cstheme="minorBidi"/>
          <w:sz w:val="22"/>
          <w:szCs w:val="22"/>
          <w:rtl/>
        </w:rPr>
      </w:pPr>
      <w:r>
        <w:rPr>
          <w:rtl/>
        </w:rPr>
        <w:t>קושית התוס' לעיל דלמ"ד דאין חוששין לזרע האב לא שייך זה וזה גורם דהאב אינו גורם</w:t>
      </w:r>
    </w:p>
    <w:p w14:paraId="39FF4EED" w14:textId="77777777" w:rsidR="003D504D" w:rsidRDefault="003D504D" w:rsidP="005077A7">
      <w:pPr>
        <w:pStyle w:val="a"/>
        <w:rPr>
          <w:rFonts w:eastAsiaTheme="minorEastAsia" w:cstheme="minorBidi"/>
          <w:sz w:val="22"/>
          <w:szCs w:val="22"/>
          <w:rtl/>
        </w:rPr>
      </w:pPr>
      <w:r>
        <w:rPr>
          <w:rtl/>
        </w:rPr>
        <w:t>דברי התוס' דדין זה וזה גורם הוא דוקא כשיש גורם של איסור אבל בב' גורמי היתר אי"ז זה וזה גורם</w:t>
      </w:r>
    </w:p>
    <w:p w14:paraId="12839BD0" w14:textId="77777777" w:rsidR="003D504D" w:rsidRDefault="003D504D" w:rsidP="003D504D">
      <w:pPr>
        <w:pStyle w:val="aff4"/>
        <w:rPr>
          <w:rFonts w:eastAsiaTheme="minorEastAsia" w:cstheme="minorBidi"/>
          <w:i/>
          <w:iCs/>
          <w:noProof/>
          <w:sz w:val="22"/>
          <w:szCs w:val="22"/>
          <w:rtl/>
        </w:rPr>
      </w:pPr>
      <w:bookmarkStart w:id="19837" w:name="_Toc19436166"/>
      <w:bookmarkStart w:id="19838" w:name="_Toc20081341"/>
      <w:r>
        <w:rPr>
          <w:noProof/>
          <w:rtl/>
        </w:rPr>
        <w:t>קושית התוס' בבכורות דלמ"ד דאין חוששין האב אינו גורם</w:t>
      </w:r>
      <w:bookmarkEnd w:id="19837"/>
      <w:bookmarkEnd w:id="19838"/>
    </w:p>
    <w:p w14:paraId="5DFD3980" w14:textId="77777777" w:rsidR="003D504D" w:rsidRDefault="003D504D" w:rsidP="005077A7">
      <w:pPr>
        <w:pStyle w:val="a"/>
        <w:rPr>
          <w:rFonts w:eastAsiaTheme="minorEastAsia" w:cstheme="minorBidi"/>
          <w:sz w:val="22"/>
          <w:szCs w:val="22"/>
          <w:rtl/>
        </w:rPr>
      </w:pPr>
      <w:r>
        <w:rPr>
          <w:rtl/>
        </w:rPr>
        <w:t>דברי התוס' בבכורות דדין זה וזה גורם שייך כשיש גורם של איסור והיתר ולא בשניהם היתר</w:t>
      </w:r>
    </w:p>
    <w:p w14:paraId="5693D384" w14:textId="77777777" w:rsidR="003D504D" w:rsidRDefault="003D504D" w:rsidP="005077A7">
      <w:pPr>
        <w:pStyle w:val="a"/>
        <w:rPr>
          <w:rFonts w:eastAsiaTheme="minorEastAsia" w:cstheme="minorBidi"/>
          <w:sz w:val="22"/>
          <w:szCs w:val="22"/>
          <w:rtl/>
        </w:rPr>
      </w:pPr>
      <w:r>
        <w:rPr>
          <w:rtl/>
        </w:rPr>
        <w:t>קושית התוס' בבכורות דבולד טריפה אי אין חוששין לזרע האב האב אינו גורם ויש רק איסור</w:t>
      </w:r>
    </w:p>
    <w:p w14:paraId="00265E00" w14:textId="77777777" w:rsidR="003D504D" w:rsidRDefault="003D504D" w:rsidP="003D504D">
      <w:pPr>
        <w:pStyle w:val="aff4"/>
        <w:rPr>
          <w:rFonts w:eastAsiaTheme="minorEastAsia" w:cstheme="minorBidi"/>
          <w:i/>
          <w:iCs/>
          <w:noProof/>
          <w:sz w:val="22"/>
          <w:szCs w:val="22"/>
          <w:rtl/>
        </w:rPr>
      </w:pPr>
      <w:bookmarkStart w:id="19839" w:name="_Toc19436167"/>
      <w:bookmarkStart w:id="19840" w:name="_Toc20081342"/>
      <w:r>
        <w:rPr>
          <w:noProof/>
          <w:rtl/>
        </w:rPr>
        <w:t>קושית התוס' בסנהדרין מדין זה וזה גורם בסוגיין</w:t>
      </w:r>
      <w:bookmarkEnd w:id="19839"/>
      <w:bookmarkEnd w:id="19840"/>
    </w:p>
    <w:p w14:paraId="5AF0E0D1" w14:textId="77777777" w:rsidR="003D504D" w:rsidRDefault="003D504D" w:rsidP="005077A7">
      <w:pPr>
        <w:pStyle w:val="a"/>
        <w:rPr>
          <w:rFonts w:eastAsiaTheme="minorEastAsia" w:cstheme="minorBidi"/>
          <w:sz w:val="22"/>
          <w:szCs w:val="22"/>
          <w:rtl/>
        </w:rPr>
      </w:pPr>
      <w:r>
        <w:rPr>
          <w:rtl/>
        </w:rPr>
        <w:t>קושית התוס' בסנהדרין דלמ"ד דאין חוששין לזרע האב אינו גורם ולא שייך דין זה וזה גורם</w:t>
      </w:r>
    </w:p>
    <w:p w14:paraId="65EDA251" w14:textId="77777777" w:rsidR="003D504D" w:rsidRDefault="003D504D" w:rsidP="005077A7">
      <w:pPr>
        <w:pStyle w:val="a"/>
        <w:rPr>
          <w:rFonts w:eastAsiaTheme="minorEastAsia" w:cstheme="minorBidi"/>
          <w:sz w:val="22"/>
          <w:szCs w:val="22"/>
          <w:rtl/>
        </w:rPr>
      </w:pPr>
      <w:r>
        <w:rPr>
          <w:rtl/>
        </w:rPr>
        <w:t>דברי התוס' בסנהדרין דכשהאב הוא גורם של איסור לכו"ע חוששין לזרע האב והוי זה וזה גורם</w:t>
      </w:r>
    </w:p>
    <w:p w14:paraId="6878F755" w14:textId="77777777" w:rsidR="003D504D" w:rsidRDefault="003D504D" w:rsidP="005077A7">
      <w:pPr>
        <w:pStyle w:val="a"/>
        <w:rPr>
          <w:rFonts w:eastAsiaTheme="minorEastAsia" w:cstheme="minorBidi"/>
          <w:sz w:val="22"/>
          <w:szCs w:val="22"/>
          <w:rtl/>
        </w:rPr>
      </w:pPr>
      <w:r>
        <w:rPr>
          <w:rtl/>
        </w:rPr>
        <w:t>קושית התוס' בסנהדרין דבספק בסוגיין אי חוששין לזרע של בן פקועה מבואר דלא כדבריהם</w:t>
      </w:r>
    </w:p>
    <w:p w14:paraId="03B56607" w14:textId="77777777" w:rsidR="003D504D" w:rsidRDefault="003D504D" w:rsidP="005077A7">
      <w:pPr>
        <w:pStyle w:val="a"/>
        <w:rPr>
          <w:rFonts w:eastAsiaTheme="minorEastAsia" w:cstheme="minorBidi"/>
          <w:sz w:val="22"/>
          <w:szCs w:val="22"/>
          <w:rtl/>
        </w:rPr>
      </w:pPr>
      <w:r>
        <w:rPr>
          <w:rtl/>
        </w:rPr>
        <w:t>ביאור המלא הרועים דבבן פקועה שבא על בהמה מעלמא אין איסור ומשמע דהוי זה וזה גורם</w:t>
      </w:r>
    </w:p>
    <w:p w14:paraId="6117CE77" w14:textId="77777777" w:rsidR="003D504D" w:rsidRDefault="003D504D" w:rsidP="003D504D">
      <w:pPr>
        <w:pStyle w:val="aff4"/>
        <w:rPr>
          <w:rFonts w:eastAsiaTheme="minorEastAsia" w:cstheme="minorBidi"/>
          <w:i/>
          <w:iCs/>
          <w:noProof/>
          <w:sz w:val="22"/>
          <w:szCs w:val="22"/>
          <w:rtl/>
        </w:rPr>
      </w:pPr>
      <w:bookmarkStart w:id="19841" w:name="_Toc19436168"/>
      <w:bookmarkStart w:id="19842" w:name="_Toc20081343"/>
      <w:r>
        <w:rPr>
          <w:noProof/>
          <w:rtl/>
        </w:rPr>
        <w:t>ביאור החזו"א בדעת התוס' בזה וזה גורם ובחוששין לזרע האב</w:t>
      </w:r>
      <w:bookmarkEnd w:id="19841"/>
      <w:bookmarkEnd w:id="19842"/>
    </w:p>
    <w:p w14:paraId="6958A6B6" w14:textId="77777777" w:rsidR="003D504D" w:rsidRDefault="003D504D" w:rsidP="005077A7">
      <w:pPr>
        <w:pStyle w:val="a"/>
        <w:rPr>
          <w:rFonts w:eastAsiaTheme="minorEastAsia" w:cstheme="minorBidi"/>
          <w:sz w:val="22"/>
          <w:szCs w:val="22"/>
          <w:rtl/>
        </w:rPr>
      </w:pPr>
      <w:r>
        <w:rPr>
          <w:rtl/>
        </w:rPr>
        <w:t>דברי החזו"א דכוונת התוס' לעיל דהנדון על מין האב הוא על מהות הנולד ולא על מי שנולד ממנו</w:t>
      </w:r>
    </w:p>
    <w:p w14:paraId="09007B26" w14:textId="77777777" w:rsidR="003D504D" w:rsidRDefault="003D504D" w:rsidP="005077A7">
      <w:pPr>
        <w:pStyle w:val="a"/>
        <w:rPr>
          <w:rFonts w:eastAsiaTheme="minorEastAsia" w:cstheme="minorBidi"/>
          <w:sz w:val="22"/>
          <w:szCs w:val="22"/>
          <w:rtl/>
        </w:rPr>
      </w:pPr>
      <w:r>
        <w:rPr>
          <w:rtl/>
        </w:rPr>
        <w:t>דברי החזו"א דבנולד מאיסור הנדון אינו בולד מצד עצמו אלא בדבר שנוצר ממנו ולכו"ע האב גורם</w:t>
      </w:r>
    </w:p>
    <w:p w14:paraId="72810AE9" w14:textId="77777777" w:rsidR="003D504D" w:rsidRDefault="003D504D" w:rsidP="005077A7">
      <w:pPr>
        <w:pStyle w:val="a"/>
        <w:rPr>
          <w:rFonts w:eastAsiaTheme="minorEastAsia" w:cstheme="minorBidi"/>
          <w:sz w:val="22"/>
          <w:szCs w:val="22"/>
          <w:rtl/>
        </w:rPr>
      </w:pPr>
      <w:r>
        <w:rPr>
          <w:rtl/>
        </w:rPr>
        <w:t>דברי החזו"א דטהורה שנתעברה מטמאה יש גם נדון בזה וזה גורם וגם בחוששין לזרע האב</w:t>
      </w:r>
    </w:p>
    <w:p w14:paraId="5B8C8FFE" w14:textId="77777777" w:rsidR="003D504D" w:rsidRDefault="003D504D" w:rsidP="005077A7">
      <w:pPr>
        <w:pStyle w:val="a"/>
        <w:rPr>
          <w:rFonts w:eastAsiaTheme="minorEastAsia" w:cstheme="minorBidi"/>
          <w:sz w:val="22"/>
          <w:szCs w:val="22"/>
          <w:rtl/>
        </w:rPr>
      </w:pPr>
      <w:r>
        <w:rPr>
          <w:rtl/>
        </w:rPr>
        <w:t>ביאור החזו"א בתוס' בבכורות דבכלאים הנדון אי חוששין לזרע האב ובנולד מטמא בזה וזה גורם</w:t>
      </w:r>
    </w:p>
    <w:p w14:paraId="3A7CED26" w14:textId="77777777" w:rsidR="003D504D" w:rsidRDefault="003D504D" w:rsidP="005077A7">
      <w:pPr>
        <w:pStyle w:val="a"/>
        <w:rPr>
          <w:rFonts w:eastAsiaTheme="minorEastAsia" w:cstheme="minorBidi"/>
          <w:sz w:val="22"/>
          <w:szCs w:val="22"/>
          <w:rtl/>
        </w:rPr>
      </w:pPr>
      <w:r>
        <w:rPr>
          <w:rtl/>
        </w:rPr>
        <w:t>ביאור החזו"א בקושית התוס' בבכורות דאין אין חוששין לזרע האב לא שייך זה וזה גורם</w:t>
      </w:r>
    </w:p>
    <w:p w14:paraId="65A29787" w14:textId="77777777" w:rsidR="003D504D" w:rsidRDefault="003D504D" w:rsidP="003D504D">
      <w:pPr>
        <w:pStyle w:val="2"/>
        <w:rPr>
          <w:rFonts w:eastAsiaTheme="minorEastAsia" w:cstheme="minorBidi"/>
          <w:i/>
          <w:iCs/>
          <w:noProof/>
          <w:sz w:val="22"/>
          <w:szCs w:val="22"/>
          <w:rtl/>
        </w:rPr>
      </w:pPr>
      <w:bookmarkStart w:id="19843" w:name="_Toc19436169"/>
      <w:r>
        <w:rPr>
          <w:noProof/>
          <w:rtl/>
        </w:rPr>
        <w:t>ביאורי ראשי הישיבות על הסוגיא</w:t>
      </w:r>
      <w:bookmarkEnd w:id="19843"/>
    </w:p>
    <w:p w14:paraId="299C163F" w14:textId="77777777" w:rsidR="003D504D" w:rsidRDefault="003D504D" w:rsidP="003D504D">
      <w:pPr>
        <w:pStyle w:val="2"/>
        <w:rPr>
          <w:rFonts w:eastAsiaTheme="minorEastAsia" w:cstheme="minorBidi"/>
          <w:i/>
          <w:iCs/>
          <w:noProof/>
          <w:sz w:val="22"/>
          <w:szCs w:val="22"/>
          <w:rtl/>
        </w:rPr>
      </w:pPr>
      <w:bookmarkStart w:id="19844" w:name="_Toc19436170"/>
      <w:r>
        <w:rPr>
          <w:noProof/>
          <w:rtl/>
        </w:rPr>
        <w:t>בגדר זה וזה גורם</w:t>
      </w:r>
      <w:bookmarkEnd w:id="19844"/>
    </w:p>
    <w:p w14:paraId="640E408F" w14:textId="77777777" w:rsidR="003D504D" w:rsidRDefault="003D504D" w:rsidP="003D504D">
      <w:pPr>
        <w:pStyle w:val="aff4"/>
        <w:rPr>
          <w:rFonts w:eastAsiaTheme="minorEastAsia" w:cstheme="minorBidi"/>
          <w:i/>
          <w:iCs/>
          <w:noProof/>
          <w:sz w:val="22"/>
          <w:szCs w:val="22"/>
          <w:rtl/>
        </w:rPr>
      </w:pPr>
      <w:bookmarkStart w:id="19845" w:name="_Toc19436171"/>
      <w:bookmarkStart w:id="19846" w:name="_Toc20081344"/>
      <w:r>
        <w:rPr>
          <w:noProof/>
          <w:rtl/>
        </w:rPr>
        <w:t>דברי הגר"ח והקוב"ש בביאור קושית התוס' לעיל</w:t>
      </w:r>
      <w:bookmarkEnd w:id="19845"/>
      <w:bookmarkEnd w:id="19846"/>
    </w:p>
    <w:p w14:paraId="11CF8758" w14:textId="77777777" w:rsidR="003D504D" w:rsidRDefault="003D504D" w:rsidP="005077A7">
      <w:pPr>
        <w:pStyle w:val="a"/>
        <w:rPr>
          <w:rFonts w:eastAsiaTheme="minorEastAsia" w:cstheme="minorBidi"/>
          <w:sz w:val="22"/>
          <w:szCs w:val="22"/>
          <w:rtl/>
        </w:rPr>
      </w:pPr>
      <w:r>
        <w:rPr>
          <w:rtl/>
        </w:rPr>
        <w:t>הביאור הא' בגר"ח דקושית התוס' לעיל דאף אי חוששין לזרע האב יהיה מותר מדין זה וזה גורם</w:t>
      </w:r>
    </w:p>
    <w:p w14:paraId="6187E2D4" w14:textId="77777777" w:rsidR="003D504D" w:rsidRDefault="003D504D" w:rsidP="005077A7">
      <w:pPr>
        <w:pStyle w:val="a"/>
        <w:rPr>
          <w:rFonts w:eastAsiaTheme="minorEastAsia" w:cstheme="minorBidi"/>
          <w:sz w:val="22"/>
          <w:szCs w:val="22"/>
          <w:rtl/>
        </w:rPr>
      </w:pPr>
      <w:r>
        <w:rPr>
          <w:rtl/>
        </w:rPr>
        <w:t>הביאור הב' בגר"ח דקושית התוס' לעיל דאי אין חוששין</w:t>
      </w:r>
    </w:p>
    <w:p w14:paraId="3515D122" w14:textId="77777777" w:rsidR="003D504D" w:rsidRDefault="003D504D" w:rsidP="005077A7">
      <w:pPr>
        <w:pStyle w:val="a"/>
        <w:rPr>
          <w:rFonts w:eastAsiaTheme="minorEastAsia" w:cstheme="minorBidi"/>
          <w:sz w:val="22"/>
          <w:szCs w:val="22"/>
          <w:rtl/>
        </w:rPr>
      </w:pPr>
      <w:r>
        <w:rPr>
          <w:rtl/>
        </w:rPr>
        <w:t>ביאור הקוב"ש בתוס' לעיל ובסנהדרין דאי אין חוששין לזרע האב לא הוי זה וזה גורם</w:t>
      </w:r>
    </w:p>
    <w:p w14:paraId="2104D155" w14:textId="77777777" w:rsidR="003D504D" w:rsidRDefault="003D504D" w:rsidP="003D504D">
      <w:pPr>
        <w:pStyle w:val="aff4"/>
        <w:rPr>
          <w:rFonts w:eastAsiaTheme="minorEastAsia" w:cstheme="minorBidi"/>
          <w:i/>
          <w:iCs/>
          <w:noProof/>
          <w:sz w:val="22"/>
          <w:szCs w:val="22"/>
          <w:rtl/>
        </w:rPr>
      </w:pPr>
      <w:bookmarkStart w:id="19847" w:name="_Toc19436172"/>
      <w:bookmarkStart w:id="19848" w:name="_Toc20081345"/>
      <w:r>
        <w:rPr>
          <w:noProof/>
          <w:rtl/>
        </w:rPr>
        <w:t>ביאור הגר"ח דדין זה וזה גורם הוא בדבר שאין אסור מצד עצמו</w:t>
      </w:r>
      <w:bookmarkEnd w:id="19847"/>
      <w:bookmarkEnd w:id="19848"/>
    </w:p>
    <w:p w14:paraId="50DF6466" w14:textId="77777777" w:rsidR="003D504D" w:rsidRDefault="003D504D" w:rsidP="005077A7">
      <w:pPr>
        <w:pStyle w:val="a"/>
        <w:rPr>
          <w:rFonts w:eastAsiaTheme="minorEastAsia" w:cstheme="minorBidi"/>
          <w:sz w:val="22"/>
          <w:szCs w:val="22"/>
          <w:rtl/>
        </w:rPr>
      </w:pPr>
      <w:r>
        <w:rPr>
          <w:rtl/>
        </w:rPr>
        <w:t>ביאור הגר"ח דיש ב' דינים ביוצא מטמא הא' דבר שאיסורו מצד עצמו והב' שאסור מחמת אמו</w:t>
      </w:r>
    </w:p>
    <w:p w14:paraId="251B7193" w14:textId="77777777" w:rsidR="003D504D" w:rsidRDefault="003D504D" w:rsidP="005077A7">
      <w:pPr>
        <w:pStyle w:val="a"/>
        <w:rPr>
          <w:rFonts w:eastAsiaTheme="minorEastAsia" w:cstheme="minorBidi"/>
          <w:sz w:val="22"/>
          <w:szCs w:val="22"/>
          <w:rtl/>
        </w:rPr>
      </w:pPr>
      <w:r>
        <w:rPr>
          <w:rtl/>
        </w:rPr>
        <w:t>דברי הגר"ח דולד טריפה אינו אסור מצד עצמו אלא מחמת דנולד מטרפה</w:t>
      </w:r>
    </w:p>
    <w:p w14:paraId="28E0EA0C" w14:textId="77777777" w:rsidR="003D504D" w:rsidRDefault="003D504D" w:rsidP="005077A7">
      <w:pPr>
        <w:pStyle w:val="a"/>
        <w:rPr>
          <w:rFonts w:eastAsiaTheme="minorEastAsia" w:cstheme="minorBidi"/>
          <w:sz w:val="22"/>
          <w:szCs w:val="22"/>
          <w:rtl/>
        </w:rPr>
      </w:pPr>
      <w:r>
        <w:rPr>
          <w:rtl/>
        </w:rPr>
        <w:t>דברי הגר"ח דדין זה וזה גורם הוא כשאין אסור מצד עצמו ובזה קיי"ל דמותר</w:t>
      </w:r>
    </w:p>
    <w:p w14:paraId="577F9970" w14:textId="77777777" w:rsidR="003D504D" w:rsidRDefault="003D504D" w:rsidP="005077A7">
      <w:pPr>
        <w:pStyle w:val="a"/>
        <w:rPr>
          <w:rFonts w:eastAsiaTheme="minorEastAsia" w:cstheme="minorBidi"/>
          <w:sz w:val="22"/>
          <w:szCs w:val="22"/>
          <w:rtl/>
        </w:rPr>
      </w:pPr>
      <w:r>
        <w:rPr>
          <w:rtl/>
        </w:rPr>
        <w:t>דברי הקוב"ש דזו כוונת התוס' לעיל והתוס' בסנהדרין ואף למ"ד דאין חוששין האב חשיב גורם</w:t>
      </w:r>
    </w:p>
    <w:p w14:paraId="552E37AD" w14:textId="77777777" w:rsidR="003D504D" w:rsidRDefault="003D504D" w:rsidP="003D504D">
      <w:pPr>
        <w:pStyle w:val="aff4"/>
        <w:rPr>
          <w:rFonts w:eastAsiaTheme="minorEastAsia" w:cstheme="minorBidi"/>
          <w:i/>
          <w:iCs/>
          <w:noProof/>
          <w:sz w:val="22"/>
          <w:szCs w:val="22"/>
          <w:rtl/>
        </w:rPr>
      </w:pPr>
      <w:bookmarkStart w:id="19849" w:name="_Toc19436173"/>
      <w:bookmarkStart w:id="19850" w:name="_Toc20081346"/>
      <w:r>
        <w:rPr>
          <w:noProof/>
          <w:rtl/>
        </w:rPr>
        <w:t>ביאור הגר"ח והקוב"ש בדין חוששין לזרע האב</w:t>
      </w:r>
      <w:bookmarkEnd w:id="19849"/>
      <w:bookmarkEnd w:id="19850"/>
    </w:p>
    <w:p w14:paraId="691AC774" w14:textId="77777777" w:rsidR="003D504D" w:rsidRDefault="003D504D" w:rsidP="005077A7">
      <w:pPr>
        <w:pStyle w:val="a"/>
        <w:rPr>
          <w:rFonts w:eastAsiaTheme="minorEastAsia" w:cstheme="minorBidi"/>
          <w:sz w:val="22"/>
          <w:szCs w:val="22"/>
          <w:rtl/>
        </w:rPr>
      </w:pPr>
      <w:r>
        <w:rPr>
          <w:rtl/>
        </w:rPr>
        <w:t>ביאור הגר"ח והקוב"ש דדין חוששין לזרע האב הוא כשלא בא מאיסור והנדון אם הוא כמין אביו</w:t>
      </w:r>
    </w:p>
    <w:p w14:paraId="4362A4A7" w14:textId="77777777" w:rsidR="003D504D" w:rsidRDefault="003D504D" w:rsidP="005077A7">
      <w:pPr>
        <w:pStyle w:val="a"/>
        <w:rPr>
          <w:rFonts w:eastAsiaTheme="minorEastAsia" w:cstheme="minorBidi"/>
          <w:sz w:val="22"/>
          <w:szCs w:val="22"/>
          <w:rtl/>
        </w:rPr>
      </w:pPr>
      <w:r>
        <w:rPr>
          <w:rtl/>
        </w:rPr>
        <w:t>ביאור הגר"ח דביוצא מאיסור מותר מדין זה וזה גורם ובדין חוששין א"א להתיר מדין זה וזה גורם</w:t>
      </w:r>
    </w:p>
    <w:p w14:paraId="3A5369A5" w14:textId="77777777" w:rsidR="003D504D" w:rsidRDefault="003D504D" w:rsidP="005077A7">
      <w:pPr>
        <w:pStyle w:val="a"/>
        <w:rPr>
          <w:rFonts w:eastAsiaTheme="minorEastAsia" w:cstheme="minorBidi"/>
          <w:sz w:val="22"/>
          <w:szCs w:val="22"/>
          <w:rtl/>
        </w:rPr>
      </w:pPr>
      <w:r>
        <w:rPr>
          <w:rtl/>
        </w:rPr>
        <w:t>דברי הגר"ח דלמ"ד דזה וזה גורם אסור ולד טריפה אסור אף למ"ד דאין חוששין לזרע האב</w:t>
      </w:r>
    </w:p>
    <w:p w14:paraId="2D08A3A7" w14:textId="77777777" w:rsidR="003D504D" w:rsidRPr="00092461" w:rsidRDefault="003D504D" w:rsidP="005077A7">
      <w:pPr>
        <w:pStyle w:val="a"/>
        <w:rPr>
          <w:rFonts w:eastAsiaTheme="minorEastAsia" w:cstheme="minorBidi"/>
          <w:sz w:val="22"/>
          <w:szCs w:val="22"/>
        </w:rPr>
      </w:pPr>
      <w:r>
        <w:rPr>
          <w:rtl/>
        </w:rPr>
        <w:t>ביאור הגרי"ז בגר"ח דדין חוששין הוא בנדון ממין טהור או טמא ודין זה וזה גורם הוא בבא מאיסור</w:t>
      </w:r>
    </w:p>
    <w:p w14:paraId="3F7B06CC" w14:textId="77777777" w:rsidR="003D504D" w:rsidRDefault="003D504D" w:rsidP="005077A7">
      <w:pPr>
        <w:pStyle w:val="a"/>
        <w:rPr>
          <w:rFonts w:eastAsiaTheme="minorEastAsia" w:cstheme="minorBidi"/>
          <w:sz w:val="22"/>
          <w:szCs w:val="22"/>
          <w:rtl/>
        </w:rPr>
      </w:pPr>
      <w:r>
        <w:rPr>
          <w:rtl/>
        </w:rPr>
        <w:t>קושית האבי עזרי דמקושית התוס' בבכורות מוכח דלא כביאור הגר"ח</w:t>
      </w:r>
    </w:p>
    <w:p w14:paraId="6DC0A4BC" w14:textId="77777777" w:rsidR="003D504D" w:rsidRPr="00092461" w:rsidRDefault="003D504D" w:rsidP="005077A7">
      <w:pPr>
        <w:pStyle w:val="a"/>
        <w:rPr>
          <w:rFonts w:eastAsiaTheme="minorEastAsia" w:cstheme="minorBidi"/>
          <w:sz w:val="22"/>
          <w:szCs w:val="22"/>
          <w:rtl/>
        </w:rPr>
      </w:pPr>
      <w:r>
        <w:rPr>
          <w:rtl/>
        </w:rPr>
        <w:t>דברי הגרי"ז דלהגר"ח מתורצת קושית התוס' בבכורות דאף למ"ד אין חוששין האב חשיב גורם</w:t>
      </w:r>
    </w:p>
    <w:p w14:paraId="127CBE54" w14:textId="77777777" w:rsidR="003D504D" w:rsidRDefault="003D504D" w:rsidP="003D504D">
      <w:pPr>
        <w:pStyle w:val="aff4"/>
        <w:rPr>
          <w:rFonts w:eastAsiaTheme="minorEastAsia" w:cstheme="minorBidi"/>
          <w:i/>
          <w:iCs/>
          <w:noProof/>
          <w:sz w:val="22"/>
          <w:szCs w:val="22"/>
          <w:rtl/>
        </w:rPr>
      </w:pPr>
      <w:bookmarkStart w:id="19851" w:name="_Toc19436174"/>
      <w:bookmarkStart w:id="19852" w:name="_Toc20081347"/>
      <w:r>
        <w:rPr>
          <w:noProof/>
          <w:rtl/>
        </w:rPr>
        <w:t>קושית החזו"א והגרי"ז על הגר"ח</w:t>
      </w:r>
      <w:bookmarkEnd w:id="19851"/>
      <w:bookmarkEnd w:id="19852"/>
    </w:p>
    <w:p w14:paraId="569E6412" w14:textId="77777777" w:rsidR="003D504D" w:rsidRDefault="003D504D" w:rsidP="005077A7">
      <w:pPr>
        <w:pStyle w:val="a"/>
        <w:rPr>
          <w:rFonts w:eastAsiaTheme="minorEastAsia" w:cstheme="minorBidi"/>
          <w:sz w:val="22"/>
          <w:szCs w:val="22"/>
          <w:rtl/>
        </w:rPr>
      </w:pPr>
      <w:r>
        <w:rPr>
          <w:rtl/>
        </w:rPr>
        <w:t>קושית החזו"א דבבכורות מוכח דאף קלוט שאסור מחמת עצמו מותר מדין זה וזה גורם</w:t>
      </w:r>
    </w:p>
    <w:p w14:paraId="1571F24A" w14:textId="77777777" w:rsidR="003D504D" w:rsidRDefault="003D504D" w:rsidP="005077A7">
      <w:pPr>
        <w:pStyle w:val="a"/>
        <w:rPr>
          <w:rFonts w:eastAsiaTheme="minorEastAsia" w:cstheme="minorBidi"/>
          <w:sz w:val="22"/>
          <w:szCs w:val="22"/>
          <w:rtl/>
        </w:rPr>
      </w:pPr>
      <w:r>
        <w:rPr>
          <w:rtl/>
        </w:rPr>
        <w:t>דברי החזו"א דמקור דברי התוס' בבכורות והתוס' לעיל הוא ממה דהוכיח מהגמ' בבכורות</w:t>
      </w:r>
    </w:p>
    <w:p w14:paraId="4F68BC00" w14:textId="77777777" w:rsidR="003D504D" w:rsidRDefault="003D504D" w:rsidP="005077A7">
      <w:pPr>
        <w:pStyle w:val="a"/>
        <w:rPr>
          <w:rFonts w:eastAsiaTheme="minorEastAsia" w:cstheme="minorBidi"/>
          <w:sz w:val="22"/>
          <w:szCs w:val="22"/>
          <w:rtl/>
        </w:rPr>
      </w:pPr>
      <w:r>
        <w:rPr>
          <w:rtl/>
        </w:rPr>
        <w:t>קושית הגרי"ז על הגר"ח דבקלוט הנדון מאיזה מין הוא ואפ"ה הגמ' מדמה לדין זה וזה גורם</w:t>
      </w:r>
    </w:p>
    <w:p w14:paraId="000131E8" w14:textId="77777777" w:rsidR="003D504D" w:rsidRDefault="003D504D" w:rsidP="003D504D">
      <w:pPr>
        <w:pStyle w:val="aff4"/>
        <w:rPr>
          <w:rtl/>
        </w:rPr>
      </w:pPr>
      <w:bookmarkStart w:id="19853" w:name="_Toc19436175"/>
      <w:bookmarkStart w:id="19854" w:name="_Toc20081348"/>
      <w:r>
        <w:rPr>
          <w:rFonts w:hint="cs"/>
          <w:rtl/>
        </w:rPr>
        <w:t>תירוץ הגר"ח דקלוט אינו מין טמא אלא אסור מדין יוצא</w:t>
      </w:r>
      <w:bookmarkEnd w:id="19853"/>
      <w:bookmarkEnd w:id="19854"/>
    </w:p>
    <w:p w14:paraId="48E445F5" w14:textId="77777777" w:rsidR="003D504D" w:rsidRDefault="003D504D" w:rsidP="005077A7">
      <w:pPr>
        <w:pStyle w:val="a"/>
        <w:rPr>
          <w:rFonts w:eastAsiaTheme="minorEastAsia" w:cstheme="minorBidi"/>
          <w:sz w:val="22"/>
          <w:szCs w:val="22"/>
          <w:rtl/>
        </w:rPr>
      </w:pPr>
      <w:r>
        <w:rPr>
          <w:rtl/>
        </w:rPr>
        <w:t>תירוץ הגר"ח דקלוט אינו מין טמא ואינו אסור מצד עצמו אלא אסור מחמת יוצא מטמא</w:t>
      </w:r>
    </w:p>
    <w:p w14:paraId="785C9614" w14:textId="77777777" w:rsidR="003D504D" w:rsidRPr="00092461" w:rsidRDefault="003D504D" w:rsidP="005077A7">
      <w:pPr>
        <w:pStyle w:val="a"/>
        <w:rPr>
          <w:rFonts w:eastAsiaTheme="minorEastAsia" w:cstheme="minorBidi"/>
          <w:sz w:val="22"/>
          <w:szCs w:val="22"/>
          <w:rtl/>
        </w:rPr>
      </w:pPr>
      <w:r>
        <w:rPr>
          <w:rtl/>
        </w:rPr>
        <w:t>דברי הקוב"ש דמתירוץ הגמ' בבכורות מוכח דקלוט אינו מין טמא ולכן שייך בו דין זה וזה גורם</w:t>
      </w:r>
    </w:p>
    <w:p w14:paraId="12F66F4F" w14:textId="77777777" w:rsidR="003D504D" w:rsidRDefault="003D504D" w:rsidP="003D504D">
      <w:pPr>
        <w:pStyle w:val="2"/>
        <w:rPr>
          <w:noProof/>
          <w:rtl/>
        </w:rPr>
      </w:pPr>
      <w:bookmarkStart w:id="19855" w:name="_Toc19436176"/>
      <w:r>
        <w:rPr>
          <w:rFonts w:hint="cs"/>
          <w:noProof/>
          <w:rtl/>
        </w:rPr>
        <w:t>בקושית התוס' להתיר מדין זה וזה גורם</w:t>
      </w:r>
      <w:bookmarkEnd w:id="19855"/>
    </w:p>
    <w:p w14:paraId="1318EEDC" w14:textId="77777777" w:rsidR="003D504D" w:rsidRDefault="003D504D" w:rsidP="003D504D">
      <w:pPr>
        <w:pStyle w:val="aff4"/>
        <w:rPr>
          <w:rFonts w:eastAsiaTheme="minorEastAsia" w:cstheme="minorBidi"/>
          <w:i/>
          <w:iCs/>
          <w:noProof/>
          <w:sz w:val="22"/>
          <w:szCs w:val="22"/>
          <w:rtl/>
        </w:rPr>
      </w:pPr>
      <w:bookmarkStart w:id="19856" w:name="_Toc19436177"/>
      <w:bookmarkStart w:id="19857" w:name="_Toc20081349"/>
      <w:r>
        <w:rPr>
          <w:noProof/>
          <w:rtl/>
        </w:rPr>
        <w:t>ביאור הקוב"ש בקושית התוס' דתלתא איסורי הוי זה וזה גורם</w:t>
      </w:r>
      <w:bookmarkEnd w:id="19856"/>
      <w:bookmarkEnd w:id="19857"/>
    </w:p>
    <w:p w14:paraId="3E903A80" w14:textId="77777777" w:rsidR="003D504D" w:rsidRDefault="003D504D" w:rsidP="005077A7">
      <w:pPr>
        <w:pStyle w:val="a"/>
        <w:rPr>
          <w:rFonts w:eastAsiaTheme="minorEastAsia" w:cstheme="minorBidi"/>
          <w:sz w:val="22"/>
          <w:szCs w:val="22"/>
          <w:rtl/>
        </w:rPr>
      </w:pPr>
      <w:r>
        <w:rPr>
          <w:rtl/>
        </w:rPr>
        <w:t>ביאור הקוב"ש דקושית התוס' דהוי זה וזה גורם לא שייכא בנדון חוששין לזרע האב דרב משרשיא</w:t>
      </w:r>
    </w:p>
    <w:p w14:paraId="3E210C67" w14:textId="77777777" w:rsidR="003D504D" w:rsidRDefault="003D504D" w:rsidP="003D504D">
      <w:pPr>
        <w:pStyle w:val="aff4"/>
      </w:pPr>
      <w:bookmarkStart w:id="19858" w:name="_Toc19436178"/>
      <w:bookmarkStart w:id="19859" w:name="_Toc20081350"/>
      <w:r w:rsidRPr="007C15FC">
        <w:rPr>
          <w:rFonts w:hint="cs"/>
          <w:rtl/>
        </w:rPr>
        <w:t>דברי האבי עזרי דלהגר"ח מיושבת קושית תוס'</w:t>
      </w:r>
      <w:r>
        <w:rPr>
          <w:rFonts w:hint="cs"/>
          <w:rtl/>
        </w:rPr>
        <w:t xml:space="preserve"> מזה וזה גורם</w:t>
      </w:r>
      <w:bookmarkEnd w:id="19858"/>
      <w:bookmarkEnd w:id="19859"/>
      <w:r>
        <w:rPr>
          <w:rFonts w:hint="cs"/>
          <w:rtl/>
        </w:rPr>
        <w:t xml:space="preserve"> </w:t>
      </w:r>
    </w:p>
    <w:p w14:paraId="14E5A556" w14:textId="77777777" w:rsidR="003D504D" w:rsidRPr="0084442B" w:rsidRDefault="003D504D" w:rsidP="005077A7">
      <w:pPr>
        <w:pStyle w:val="a"/>
      </w:pPr>
      <w:r w:rsidRPr="007B6060">
        <w:rPr>
          <w:rFonts w:hint="cs"/>
          <w:rtl/>
        </w:rPr>
        <w:t>דברי האבי עזרי</w:t>
      </w:r>
      <w:r>
        <w:rPr>
          <w:rFonts w:hint="cs"/>
          <w:rtl/>
        </w:rPr>
        <w:t xml:space="preserve"> דמבואר בסוגיין דהנדון אי הולד כאבר היוצא ודינו כחי תלוי בחוששין לזרע האב</w:t>
      </w:r>
      <w:r w:rsidRPr="008F2557">
        <w:rPr>
          <w:rFonts w:hint="cs"/>
          <w:rtl/>
        </w:rPr>
        <w:t xml:space="preserve"> </w:t>
      </w:r>
    </w:p>
    <w:p w14:paraId="49048685" w14:textId="77777777" w:rsidR="003D504D" w:rsidRDefault="003D504D" w:rsidP="005077A7">
      <w:pPr>
        <w:pStyle w:val="a"/>
        <w:rPr>
          <w:rFonts w:eastAsiaTheme="minorEastAsia" w:cstheme="minorBidi"/>
          <w:sz w:val="22"/>
          <w:szCs w:val="22"/>
          <w:rtl/>
        </w:rPr>
      </w:pPr>
      <w:r>
        <w:rPr>
          <w:rFonts w:hint="cs"/>
          <w:rtl/>
        </w:rPr>
        <w:t>דברי האבי עזרי דלרש"י מיושבת קושית התוס' דאף דמדין זה וזה גורם מותר אסור מדין חוששין</w:t>
      </w:r>
    </w:p>
    <w:p w14:paraId="4DA97196" w14:textId="77777777" w:rsidR="003D504D" w:rsidRDefault="003D504D" w:rsidP="003D504D">
      <w:pPr>
        <w:pStyle w:val="2"/>
        <w:rPr>
          <w:rFonts w:eastAsiaTheme="minorEastAsia" w:cstheme="minorBidi"/>
          <w:i/>
          <w:iCs/>
          <w:noProof/>
          <w:sz w:val="22"/>
          <w:szCs w:val="22"/>
          <w:rtl/>
        </w:rPr>
      </w:pPr>
      <w:bookmarkStart w:id="19860" w:name="_Toc19436179"/>
      <w:r>
        <w:rPr>
          <w:noProof/>
          <w:rtl/>
        </w:rPr>
        <w:t>בדין ולד שאין לו תקנה בזה וזה גורם</w:t>
      </w:r>
      <w:bookmarkEnd w:id="19860"/>
    </w:p>
    <w:p w14:paraId="78775617" w14:textId="77777777" w:rsidR="003D504D" w:rsidRDefault="003D504D" w:rsidP="003D504D">
      <w:pPr>
        <w:pStyle w:val="aff4"/>
        <w:rPr>
          <w:rFonts w:eastAsiaTheme="minorEastAsia" w:cstheme="minorBidi"/>
          <w:i/>
          <w:iCs/>
          <w:noProof/>
          <w:sz w:val="22"/>
          <w:szCs w:val="22"/>
          <w:rtl/>
        </w:rPr>
      </w:pPr>
      <w:bookmarkStart w:id="19861" w:name="_Toc19436180"/>
      <w:bookmarkStart w:id="19862" w:name="_Toc20081351"/>
      <w:r>
        <w:rPr>
          <w:noProof/>
          <w:rtl/>
        </w:rPr>
        <w:t>דברי השער"י בדין זה וזה גורם בולד שאין לו תקנה</w:t>
      </w:r>
      <w:bookmarkEnd w:id="19861"/>
      <w:bookmarkEnd w:id="19862"/>
    </w:p>
    <w:p w14:paraId="152E9EF4" w14:textId="77777777" w:rsidR="003D504D" w:rsidRDefault="003D504D" w:rsidP="005077A7">
      <w:pPr>
        <w:pStyle w:val="a"/>
        <w:rPr>
          <w:rFonts w:eastAsiaTheme="minorEastAsia" w:cstheme="minorBidi"/>
          <w:sz w:val="22"/>
          <w:szCs w:val="22"/>
          <w:rtl/>
        </w:rPr>
      </w:pPr>
      <w:r>
        <w:rPr>
          <w:rtl/>
        </w:rPr>
        <w:t>דברי השער"י דדין ולד טריפה תלוי במחלוקת בזה וזה גורם אי חצי גורם פועל דין על הולד</w:t>
      </w:r>
    </w:p>
    <w:p w14:paraId="3894AE03" w14:textId="77777777" w:rsidR="003D504D" w:rsidRDefault="003D504D" w:rsidP="005077A7">
      <w:pPr>
        <w:pStyle w:val="a"/>
        <w:rPr>
          <w:rFonts w:eastAsiaTheme="minorEastAsia" w:cstheme="minorBidi"/>
          <w:sz w:val="22"/>
          <w:szCs w:val="22"/>
          <w:rtl/>
        </w:rPr>
      </w:pPr>
      <w:r>
        <w:rPr>
          <w:rtl/>
        </w:rPr>
        <w:t>קושית השער"י דדין הולד שאין לו תקנה צריך להיות תלוי בדין זה וזה גורם</w:t>
      </w:r>
    </w:p>
    <w:p w14:paraId="3AE48BD9" w14:textId="77777777" w:rsidR="003D504D" w:rsidRDefault="003D504D" w:rsidP="005077A7">
      <w:pPr>
        <w:pStyle w:val="a"/>
        <w:rPr>
          <w:rFonts w:eastAsiaTheme="minorEastAsia" w:cstheme="minorBidi"/>
          <w:sz w:val="22"/>
          <w:szCs w:val="22"/>
          <w:rtl/>
        </w:rPr>
      </w:pPr>
      <w:r>
        <w:rPr>
          <w:rtl/>
        </w:rPr>
        <w:t>קושית השער"י דחיוב שחיטה הוא חיוב על כל בהמה מצד עצמה ואף בר משרשיא צריך להתחייב</w:t>
      </w:r>
    </w:p>
    <w:p w14:paraId="6CD5C6BE" w14:textId="77777777" w:rsidR="003D504D" w:rsidRDefault="003D504D" w:rsidP="003D504D">
      <w:pPr>
        <w:pStyle w:val="aff4"/>
        <w:rPr>
          <w:rFonts w:eastAsiaTheme="minorEastAsia" w:cstheme="minorBidi"/>
          <w:i/>
          <w:iCs/>
          <w:noProof/>
          <w:sz w:val="22"/>
          <w:szCs w:val="22"/>
          <w:rtl/>
        </w:rPr>
      </w:pPr>
      <w:bookmarkStart w:id="19863" w:name="_Toc19436181"/>
      <w:bookmarkStart w:id="19864" w:name="_Toc20081352"/>
      <w:r>
        <w:rPr>
          <w:noProof/>
          <w:rtl/>
        </w:rPr>
        <w:t>ביאור השער"י בר"ן דאין בולד חיוב שחיטה ול"ש בזה זזו"ג</w:t>
      </w:r>
      <w:bookmarkEnd w:id="19863"/>
      <w:bookmarkEnd w:id="19864"/>
    </w:p>
    <w:p w14:paraId="603648BA" w14:textId="77777777" w:rsidR="003D504D" w:rsidRDefault="003D504D" w:rsidP="005077A7">
      <w:pPr>
        <w:pStyle w:val="a"/>
        <w:rPr>
          <w:rFonts w:eastAsiaTheme="minorEastAsia" w:cstheme="minorBidi"/>
          <w:sz w:val="22"/>
          <w:szCs w:val="22"/>
          <w:rtl/>
        </w:rPr>
      </w:pPr>
      <w:r>
        <w:rPr>
          <w:rtl/>
        </w:rPr>
        <w:t>דברי השער"י בר"ן דמצד אמו חייב שחיטה אף למ"ד זה וזה גורם מותר דמצד עצמו חייב שחיטה</w:t>
      </w:r>
    </w:p>
    <w:p w14:paraId="1D910261" w14:textId="77777777" w:rsidR="003D504D" w:rsidRDefault="003D504D" w:rsidP="005077A7">
      <w:pPr>
        <w:pStyle w:val="a"/>
        <w:rPr>
          <w:rFonts w:eastAsiaTheme="minorEastAsia" w:cstheme="minorBidi"/>
          <w:sz w:val="22"/>
          <w:szCs w:val="22"/>
          <w:rtl/>
        </w:rPr>
      </w:pPr>
      <w:r>
        <w:rPr>
          <w:rtl/>
        </w:rPr>
        <w:t>דברי השער"י דבצד אביו אי"ז היתר מדין גורם שלא חייב שחיטה אלא לא חל חיוב שחיטה מעיקרא</w:t>
      </w:r>
    </w:p>
    <w:p w14:paraId="5F1511E9" w14:textId="77777777" w:rsidR="003D504D" w:rsidRDefault="003D504D" w:rsidP="005077A7">
      <w:pPr>
        <w:pStyle w:val="a"/>
        <w:rPr>
          <w:rFonts w:eastAsiaTheme="minorEastAsia" w:cstheme="minorBidi"/>
          <w:sz w:val="22"/>
          <w:szCs w:val="22"/>
          <w:rtl/>
        </w:rPr>
      </w:pPr>
      <w:r>
        <w:rPr>
          <w:rtl/>
        </w:rPr>
        <w:t>דברי השער"י דולד של בן פקועה חסר בעצמו סיבת חיוב השחיטה ואף חצי סיבה חשיבא חסרון</w:t>
      </w:r>
    </w:p>
    <w:p w14:paraId="465D0D35" w14:textId="77777777" w:rsidR="003D504D" w:rsidRDefault="003D504D" w:rsidP="003D504D">
      <w:pPr>
        <w:pStyle w:val="aff4"/>
        <w:rPr>
          <w:rFonts w:eastAsiaTheme="minorEastAsia" w:cstheme="minorBidi"/>
          <w:i/>
          <w:iCs/>
          <w:noProof/>
          <w:sz w:val="22"/>
          <w:szCs w:val="22"/>
          <w:rtl/>
        </w:rPr>
      </w:pPr>
      <w:bookmarkStart w:id="19865" w:name="_Toc19436182"/>
      <w:bookmarkStart w:id="19866" w:name="_Toc20081353"/>
      <w:r>
        <w:rPr>
          <w:noProof/>
          <w:rtl/>
        </w:rPr>
        <w:t>ביאור המקדש דוד בדברי התוס' לעיל</w:t>
      </w:r>
      <w:bookmarkEnd w:id="19865"/>
      <w:bookmarkEnd w:id="19866"/>
    </w:p>
    <w:p w14:paraId="7AD083DD" w14:textId="77777777" w:rsidR="003D504D" w:rsidRDefault="003D504D" w:rsidP="005077A7">
      <w:pPr>
        <w:pStyle w:val="a"/>
        <w:rPr>
          <w:rFonts w:eastAsiaTheme="minorEastAsia" w:cstheme="minorBidi"/>
          <w:sz w:val="22"/>
          <w:szCs w:val="22"/>
          <w:rtl/>
        </w:rPr>
      </w:pPr>
      <w:r>
        <w:rPr>
          <w:rtl/>
        </w:rPr>
        <w:t>קושית המקדש דוד דצריך להתיר את דינא דרב משרשיא מצד זה וזה גורם</w:t>
      </w:r>
    </w:p>
    <w:p w14:paraId="2C5FBEC8" w14:textId="77777777" w:rsidR="003D504D" w:rsidRDefault="003D504D" w:rsidP="005077A7">
      <w:pPr>
        <w:pStyle w:val="a"/>
        <w:rPr>
          <w:rFonts w:eastAsiaTheme="minorEastAsia" w:cstheme="minorBidi"/>
          <w:sz w:val="22"/>
          <w:szCs w:val="22"/>
          <w:rtl/>
        </w:rPr>
      </w:pPr>
      <w:r>
        <w:rPr>
          <w:rtl/>
        </w:rPr>
        <w:t>ביאור המקדש דוד בתוס' לעיל דבגורם היתר ואיסור גורם ההיתר עדיף דהוא כח דהיתרא</w:t>
      </w:r>
    </w:p>
    <w:p w14:paraId="7026BE1E" w14:textId="77777777" w:rsidR="003D504D" w:rsidRDefault="003D504D" w:rsidP="003D504D">
      <w:pPr>
        <w:pStyle w:val="aff4"/>
        <w:rPr>
          <w:rFonts w:eastAsiaTheme="minorEastAsia" w:cstheme="minorBidi"/>
          <w:i/>
          <w:iCs/>
          <w:noProof/>
          <w:sz w:val="22"/>
          <w:szCs w:val="22"/>
          <w:rtl/>
        </w:rPr>
      </w:pPr>
      <w:bookmarkStart w:id="19867" w:name="_Toc19436183"/>
      <w:bookmarkStart w:id="19868" w:name="_Toc20081354"/>
      <w:r>
        <w:rPr>
          <w:noProof/>
          <w:rtl/>
        </w:rPr>
        <w:t>דברי המקדש דוד בדין זה וזה גורם בולד שאין לו תקנה</w:t>
      </w:r>
      <w:bookmarkEnd w:id="19867"/>
      <w:bookmarkEnd w:id="19868"/>
    </w:p>
    <w:p w14:paraId="19587F55" w14:textId="77777777" w:rsidR="003D504D" w:rsidRDefault="003D504D" w:rsidP="005077A7">
      <w:pPr>
        <w:pStyle w:val="a"/>
        <w:rPr>
          <w:rFonts w:eastAsiaTheme="minorEastAsia" w:cstheme="minorBidi"/>
          <w:sz w:val="22"/>
          <w:szCs w:val="22"/>
          <w:rtl/>
        </w:rPr>
      </w:pPr>
      <w:r>
        <w:rPr>
          <w:rtl/>
        </w:rPr>
        <w:t>ביאור המקדש דוד דבשניהם היתר אין עדיפות לגורם שחייב שחיטה</w:t>
      </w:r>
    </w:p>
    <w:p w14:paraId="7319B239" w14:textId="77777777" w:rsidR="003D504D" w:rsidRDefault="003D504D" w:rsidP="005077A7">
      <w:pPr>
        <w:pStyle w:val="a"/>
        <w:rPr>
          <w:rFonts w:eastAsiaTheme="minorEastAsia" w:cstheme="minorBidi"/>
          <w:sz w:val="22"/>
          <w:szCs w:val="22"/>
          <w:rtl/>
        </w:rPr>
      </w:pPr>
      <w:r>
        <w:rPr>
          <w:rtl/>
        </w:rPr>
        <w:t>קושית המקדש דוד דכ"ז שלא נשחטה האם היא אסורה והיא גורם של איסור והוי זה וזה גורם</w:t>
      </w:r>
    </w:p>
    <w:p w14:paraId="3BD72673" w14:textId="77777777" w:rsidR="003D504D" w:rsidRDefault="003D504D" w:rsidP="005077A7">
      <w:pPr>
        <w:pStyle w:val="a"/>
        <w:rPr>
          <w:rFonts w:eastAsiaTheme="minorEastAsia" w:cstheme="minorBidi"/>
          <w:sz w:val="22"/>
          <w:szCs w:val="22"/>
          <w:rtl/>
        </w:rPr>
      </w:pPr>
      <w:r>
        <w:rPr>
          <w:rtl/>
        </w:rPr>
        <w:t>תירוץ המקדש דוד דחיוב שחיטה הוא בולד מצד עצמו ולא מגורם והיתר בן פקועה הוא ע"י גורם</w:t>
      </w:r>
    </w:p>
    <w:p w14:paraId="47EAD96D" w14:textId="77777777" w:rsidR="003D504D" w:rsidRDefault="003D504D" w:rsidP="005077A7">
      <w:pPr>
        <w:pStyle w:val="a"/>
        <w:rPr>
          <w:rFonts w:eastAsiaTheme="minorEastAsia" w:cstheme="minorBidi"/>
          <w:sz w:val="22"/>
          <w:szCs w:val="22"/>
          <w:rtl/>
        </w:rPr>
      </w:pPr>
      <w:r>
        <w:rPr>
          <w:rtl/>
        </w:rPr>
        <w:t>ביאור המקדש דוד שיש גורם היתר ע"י האב ומצד עצמו חייב שחיטה לכן אין לו תקנה</w:t>
      </w:r>
    </w:p>
    <w:p w14:paraId="17A407A9" w14:textId="77777777" w:rsidR="003D504D" w:rsidRDefault="003D504D" w:rsidP="003D504D">
      <w:pPr>
        <w:pStyle w:val="2"/>
        <w:rPr>
          <w:noProof/>
          <w:rtl/>
        </w:rPr>
      </w:pPr>
      <w:bookmarkStart w:id="19869" w:name="_Toc19436184"/>
      <w:r>
        <w:rPr>
          <w:rFonts w:hint="cs"/>
          <w:noProof/>
          <w:rtl/>
        </w:rPr>
        <w:t>בדין כל מכח לא אמרינן</w:t>
      </w:r>
      <w:bookmarkEnd w:id="19869"/>
    </w:p>
    <w:p w14:paraId="0AC6A8CD" w14:textId="77777777" w:rsidR="003D504D" w:rsidRDefault="003D504D" w:rsidP="003D504D">
      <w:pPr>
        <w:pStyle w:val="aff4"/>
        <w:rPr>
          <w:rFonts w:eastAsiaTheme="minorEastAsia" w:cstheme="minorBidi"/>
          <w:i/>
          <w:iCs/>
          <w:noProof/>
          <w:sz w:val="22"/>
          <w:szCs w:val="22"/>
          <w:rtl/>
        </w:rPr>
      </w:pPr>
      <w:bookmarkStart w:id="19870" w:name="_Toc19436185"/>
      <w:bookmarkStart w:id="19871" w:name="_Toc20081355"/>
      <w:r>
        <w:rPr>
          <w:noProof/>
          <w:rtl/>
        </w:rPr>
        <w:t>דברי השער"י בביאור כל מכח לא אמרינן</w:t>
      </w:r>
      <w:bookmarkEnd w:id="19870"/>
      <w:bookmarkEnd w:id="19871"/>
    </w:p>
    <w:p w14:paraId="0246821D" w14:textId="77777777" w:rsidR="003D504D" w:rsidRDefault="003D504D" w:rsidP="005077A7">
      <w:pPr>
        <w:pStyle w:val="a"/>
        <w:rPr>
          <w:rFonts w:eastAsiaTheme="minorEastAsia" w:cstheme="minorBidi"/>
          <w:sz w:val="22"/>
          <w:szCs w:val="22"/>
          <w:rtl/>
        </w:rPr>
      </w:pPr>
      <w:r>
        <w:rPr>
          <w:rtl/>
        </w:rPr>
        <w:t>קושית השער"י דהיאך מותר הולד מדין כל מכח ומ"ש מולד שאין לו תקנה</w:t>
      </w:r>
    </w:p>
    <w:p w14:paraId="65FA4A81" w14:textId="77777777" w:rsidR="003D504D" w:rsidRDefault="003D504D" w:rsidP="005077A7">
      <w:pPr>
        <w:pStyle w:val="a"/>
        <w:rPr>
          <w:rFonts w:eastAsiaTheme="minorEastAsia" w:cstheme="minorBidi"/>
          <w:sz w:val="22"/>
          <w:szCs w:val="22"/>
          <w:rtl/>
        </w:rPr>
      </w:pPr>
      <w:r>
        <w:rPr>
          <w:rtl/>
        </w:rPr>
        <w:t>דברי השער"י דדין יוצא מטמא תלוי ברוב הדבר שיצא ממנו ולא במיעוט דאמרינן רובו ככולו</w:t>
      </w:r>
    </w:p>
    <w:p w14:paraId="4E092B01" w14:textId="77777777" w:rsidR="003D504D" w:rsidRDefault="003D504D" w:rsidP="005077A7">
      <w:pPr>
        <w:pStyle w:val="a"/>
        <w:rPr>
          <w:rFonts w:eastAsiaTheme="minorEastAsia" w:cstheme="minorBidi"/>
          <w:sz w:val="22"/>
          <w:szCs w:val="22"/>
          <w:rtl/>
        </w:rPr>
      </w:pPr>
      <w:r>
        <w:rPr>
          <w:rtl/>
        </w:rPr>
        <w:t>ביאור השער"י בקושית הגמ' דדבר שבא מאיסור חשיב שהאיסור מעורב בכולו</w:t>
      </w:r>
    </w:p>
    <w:p w14:paraId="50C3A4AC" w14:textId="77777777" w:rsidR="003D504D" w:rsidRDefault="003D504D" w:rsidP="005077A7">
      <w:pPr>
        <w:pStyle w:val="a"/>
        <w:rPr>
          <w:rFonts w:eastAsiaTheme="minorEastAsia" w:cstheme="minorBidi"/>
          <w:sz w:val="22"/>
          <w:szCs w:val="22"/>
          <w:rtl/>
        </w:rPr>
      </w:pPr>
      <w:r>
        <w:rPr>
          <w:rtl/>
        </w:rPr>
        <w:t>ביאור השער"י במסקנת הגמ' דבולד לא מעורב איסור מאביו ואמו ודין יוצא אינו מכח מיעוט</w:t>
      </w:r>
    </w:p>
    <w:p w14:paraId="7C91361E" w14:textId="77777777" w:rsidR="003D504D" w:rsidRDefault="003D504D" w:rsidP="005077A7">
      <w:pPr>
        <w:pStyle w:val="a"/>
        <w:rPr>
          <w:rFonts w:eastAsiaTheme="minorEastAsia" w:cstheme="minorBidi"/>
          <w:sz w:val="22"/>
          <w:szCs w:val="22"/>
          <w:rtl/>
        </w:rPr>
        <w:sectPr w:rsidR="003D504D" w:rsidSect="007C6A7B">
          <w:type w:val="continuous"/>
          <w:pgSz w:w="11906" w:h="16838"/>
          <w:pgMar w:top="720" w:right="720" w:bottom="720" w:left="720" w:header="283" w:footer="283" w:gutter="0"/>
          <w:cols w:num="2" w:space="113"/>
          <w:bidi/>
          <w:rtlGutter/>
          <w:docGrid w:linePitch="299"/>
        </w:sectPr>
      </w:pPr>
      <w:r>
        <w:rPr>
          <w:rtl/>
        </w:rPr>
        <w:t>דברי השער"י דקושית התוס' דבאבר היוצא הוי זה וזה גורם הוא רק בקושית הגמ' ולא במסקנא</w:t>
      </w:r>
    </w:p>
    <w:p w14:paraId="69D622B8" w14:textId="77777777" w:rsidR="003D504D" w:rsidRDefault="003D504D" w:rsidP="005077A7">
      <w:pPr>
        <w:pStyle w:val="a"/>
        <w:numPr>
          <w:ilvl w:val="0"/>
          <w:numId w:val="0"/>
        </w:numPr>
        <w:ind w:left="567"/>
        <w:rPr>
          <w:rtl/>
        </w:rPr>
      </w:pPr>
    </w:p>
    <w:p w14:paraId="56FED691" w14:textId="77777777" w:rsidR="003D504D" w:rsidRDefault="003D504D" w:rsidP="003D504D">
      <w:pPr>
        <w:pStyle w:val="aff4"/>
        <w:rPr>
          <w:rtl/>
        </w:rPr>
        <w:sectPr w:rsidR="003D504D" w:rsidSect="007C6A7B">
          <w:type w:val="continuous"/>
          <w:pgSz w:w="11906" w:h="16838"/>
          <w:pgMar w:top="720" w:right="720" w:bottom="720" w:left="720" w:header="283" w:footer="283" w:gutter="0"/>
          <w:cols w:num="2" w:space="113"/>
          <w:bidi/>
          <w:rtlGutter/>
          <w:docGrid w:linePitch="299"/>
        </w:sectPr>
      </w:pPr>
      <w:r>
        <w:rPr>
          <w:rtl/>
        </w:rPr>
        <w:fldChar w:fldCharType="end"/>
      </w:r>
    </w:p>
    <w:p w14:paraId="097A5DD5" w14:textId="77777777" w:rsidR="003D504D" w:rsidRDefault="003D504D" w:rsidP="003D504D">
      <w:pPr>
        <w:pStyle w:val="afe"/>
        <w:rPr>
          <w:rtl/>
        </w:rPr>
      </w:pPr>
      <w:bookmarkStart w:id="19872" w:name="_Toc955085"/>
      <w:bookmarkStart w:id="19873" w:name="_Toc974526"/>
      <w:bookmarkStart w:id="19874" w:name="_Toc984442"/>
      <w:bookmarkStart w:id="19875" w:name="_Toc1056555"/>
      <w:bookmarkStart w:id="19876" w:name="_Toc1109713"/>
      <w:bookmarkStart w:id="19877" w:name="_Toc1128679"/>
      <w:bookmarkStart w:id="19878" w:name="_Toc1250059"/>
      <w:bookmarkStart w:id="19879" w:name="_Toc1258063"/>
      <w:bookmarkStart w:id="19880" w:name="_Toc19436186"/>
      <w:bookmarkStart w:id="19881" w:name="_Toc20081356"/>
      <w:r>
        <w:rPr>
          <w:rFonts w:hint="cs"/>
          <w:rtl/>
        </w:rPr>
        <w:t>מראי מקומות וביאורים על הסוגיא</w:t>
      </w:r>
      <w:bookmarkEnd w:id="19872"/>
      <w:bookmarkEnd w:id="19873"/>
      <w:bookmarkEnd w:id="19874"/>
      <w:bookmarkEnd w:id="19875"/>
      <w:bookmarkEnd w:id="19876"/>
      <w:bookmarkEnd w:id="19877"/>
      <w:bookmarkEnd w:id="19878"/>
      <w:bookmarkEnd w:id="19879"/>
      <w:bookmarkEnd w:id="19880"/>
      <w:bookmarkEnd w:id="19881"/>
    </w:p>
    <w:p w14:paraId="366E7019" w14:textId="77777777" w:rsidR="003D504D" w:rsidRPr="0065105E" w:rsidRDefault="003D504D" w:rsidP="003D504D">
      <w:pPr>
        <w:pStyle w:val="2"/>
        <w:keepNext w:val="0"/>
        <w:keepLines w:val="0"/>
        <w:bidi w:val="0"/>
        <w:rPr>
          <w:rFonts w:asciiTheme="minorHAnsi" w:hAnsiTheme="minorHAnsi"/>
          <w:bCs/>
          <w:sz w:val="18"/>
          <w:szCs w:val="28"/>
          <w:rtl/>
        </w:rPr>
        <w:sectPr w:rsidR="003D504D" w:rsidRPr="0065105E" w:rsidSect="003D504D">
          <w:pgSz w:w="11906" w:h="16838"/>
          <w:pgMar w:top="720" w:right="720" w:bottom="720" w:left="720" w:header="283" w:footer="283" w:gutter="0"/>
          <w:cols w:space="720"/>
          <w:bidi/>
          <w:rtlGutter/>
          <w:docGrid w:linePitch="299"/>
        </w:sectPr>
      </w:pPr>
    </w:p>
    <w:p w14:paraId="45CF4001" w14:textId="77777777" w:rsidR="003D504D" w:rsidRPr="00B06D6B" w:rsidRDefault="003D504D" w:rsidP="003D504D">
      <w:pPr>
        <w:pStyle w:val="afe"/>
        <w:rPr>
          <w:rtl/>
        </w:rPr>
      </w:pPr>
      <w:bookmarkStart w:id="19882" w:name="_Toc536786998"/>
      <w:bookmarkStart w:id="19883" w:name="_Toc519034"/>
      <w:bookmarkStart w:id="19884" w:name="_Toc725013"/>
      <w:bookmarkStart w:id="19885" w:name="_Toc773232"/>
      <w:bookmarkStart w:id="19886" w:name="_Toc862077"/>
      <w:bookmarkStart w:id="19887" w:name="_Toc890745"/>
      <w:bookmarkStart w:id="19888" w:name="_Toc903139"/>
      <w:bookmarkStart w:id="19889" w:name="_Toc955510"/>
      <w:bookmarkStart w:id="19890" w:name="_Toc955803"/>
      <w:bookmarkStart w:id="19891" w:name="_Toc1039457"/>
      <w:bookmarkStart w:id="19892" w:name="_Toc1040700"/>
      <w:bookmarkStart w:id="19893" w:name="_Toc1056556"/>
      <w:bookmarkStart w:id="19894" w:name="_Toc1109714"/>
      <w:bookmarkStart w:id="19895" w:name="_Toc1128680"/>
      <w:bookmarkStart w:id="19896" w:name="_Toc1250060"/>
      <w:bookmarkStart w:id="19897" w:name="_Toc1258064"/>
      <w:bookmarkStart w:id="19898" w:name="_Toc19436187"/>
      <w:bookmarkStart w:id="19899" w:name="_Toc20081357"/>
      <w:bookmarkStart w:id="19900" w:name="_Toc519049"/>
      <w:bookmarkStart w:id="19901" w:name="_Toc725028"/>
      <w:bookmarkStart w:id="19902" w:name="_Toc773237"/>
      <w:bookmarkStart w:id="19903" w:name="_Toc862083"/>
      <w:bookmarkStart w:id="19904" w:name="_Toc890756"/>
      <w:bookmarkStart w:id="19905" w:name="_Toc903165"/>
      <w:bookmarkStart w:id="19906" w:name="_Toc974527"/>
      <w:bookmarkStart w:id="19907" w:name="_Toc984443"/>
      <w:bookmarkStart w:id="19908" w:name="_Toc536786976"/>
      <w:bookmarkStart w:id="19909" w:name="_Toc536787002"/>
      <w:bookmarkStart w:id="19910" w:name="_Toc519038"/>
      <w:bookmarkStart w:id="19911" w:name="_Toc725017"/>
      <w:bookmarkStart w:id="19912" w:name="_Toc773236"/>
      <w:bookmarkStart w:id="19913" w:name="_Toc862082"/>
      <w:bookmarkStart w:id="19914" w:name="_Toc890755"/>
      <w:bookmarkStart w:id="19915" w:name="_Toc903160"/>
      <w:bookmarkStart w:id="19916" w:name="_Toc955086"/>
      <w:r>
        <w:rPr>
          <w:rFonts w:hint="cs"/>
          <w:rtl/>
        </w:rPr>
        <w:t xml:space="preserve">בביאור הספק </w:t>
      </w:r>
      <w:r w:rsidRPr="00B06D6B">
        <w:rPr>
          <w:rFonts w:hint="cs"/>
          <w:rtl/>
        </w:rPr>
        <w:t>בבא על בן פקועה דכוותיה</w:t>
      </w:r>
      <w:bookmarkEnd w:id="19882"/>
      <w:bookmarkEnd w:id="19883"/>
      <w:bookmarkEnd w:id="19884"/>
      <w:bookmarkEnd w:id="19885"/>
      <w:bookmarkEnd w:id="19886"/>
      <w:bookmarkEnd w:id="19887"/>
      <w:bookmarkEnd w:id="19888"/>
      <w:bookmarkEnd w:id="19889"/>
      <w:bookmarkEnd w:id="19890"/>
      <w:bookmarkEnd w:id="19891"/>
      <w:bookmarkEnd w:id="19892"/>
      <w:bookmarkEnd w:id="19893"/>
      <w:bookmarkEnd w:id="19894"/>
      <w:bookmarkEnd w:id="19895"/>
      <w:bookmarkEnd w:id="19896"/>
      <w:bookmarkEnd w:id="19897"/>
      <w:bookmarkEnd w:id="19898"/>
      <w:bookmarkEnd w:id="19899"/>
    </w:p>
    <w:p w14:paraId="3AD746CC" w14:textId="77777777" w:rsidR="003D504D" w:rsidRPr="00B06D6B" w:rsidRDefault="003D504D" w:rsidP="00BF39B2">
      <w:pPr>
        <w:pStyle w:val="1"/>
        <w:rPr>
          <w:rtl/>
        </w:rPr>
      </w:pPr>
      <w:bookmarkStart w:id="19917" w:name="_Toc862078"/>
      <w:bookmarkStart w:id="19918" w:name="_Toc890746"/>
      <w:bookmarkStart w:id="19919" w:name="_Toc903140"/>
      <w:bookmarkStart w:id="19920" w:name="_Toc955511"/>
      <w:bookmarkStart w:id="19921" w:name="_Toc955804"/>
      <w:bookmarkStart w:id="19922" w:name="_Toc1039458"/>
      <w:bookmarkStart w:id="19923" w:name="_Toc1040701"/>
      <w:bookmarkStart w:id="19924" w:name="_Toc1056557"/>
      <w:bookmarkStart w:id="19925" w:name="_Toc1109715"/>
      <w:bookmarkStart w:id="19926" w:name="_Toc1128681"/>
      <w:bookmarkStart w:id="19927" w:name="_Toc1250061"/>
      <w:bookmarkStart w:id="19928" w:name="_Toc1258065"/>
      <w:bookmarkStart w:id="19929" w:name="_Toc19391503"/>
      <w:bookmarkStart w:id="19930" w:name="_Toc19395000"/>
      <w:bookmarkStart w:id="19931" w:name="_Toc536775934"/>
      <w:bookmarkStart w:id="19932" w:name="_Toc536775963"/>
      <w:bookmarkStart w:id="19933" w:name="_Toc536786973"/>
      <w:bookmarkStart w:id="19934" w:name="_Toc536786999"/>
      <w:bookmarkStart w:id="19935" w:name="_Toc519035"/>
      <w:bookmarkStart w:id="19936" w:name="_Toc725014"/>
      <w:bookmarkStart w:id="19937" w:name="_Toc773233"/>
      <w:r>
        <w:rPr>
          <w:rFonts w:hint="cs"/>
          <w:rtl/>
        </w:rPr>
        <w:t>ביאור המהר"ם</w:t>
      </w:r>
      <w:r w:rsidRPr="00B06D6B">
        <w:rPr>
          <w:rFonts w:hint="cs"/>
          <w:rtl/>
        </w:rPr>
        <w:t xml:space="preserve"> </w:t>
      </w:r>
      <w:r>
        <w:rPr>
          <w:rFonts w:hint="cs"/>
          <w:rtl/>
        </w:rPr>
        <w:t>ב</w:t>
      </w:r>
      <w:r w:rsidRPr="00B06D6B">
        <w:rPr>
          <w:rFonts w:hint="cs"/>
          <w:rtl/>
        </w:rPr>
        <w:t>רש"י</w:t>
      </w:r>
      <w:bookmarkEnd w:id="19917"/>
      <w:bookmarkEnd w:id="19918"/>
      <w:r>
        <w:rPr>
          <w:rFonts w:hint="cs"/>
          <w:rtl/>
        </w:rPr>
        <w:t xml:space="preserve"> שבא על בת פקועה שאין בה אבר היוצא</w:t>
      </w:r>
      <w:bookmarkEnd w:id="19919"/>
      <w:bookmarkEnd w:id="19920"/>
      <w:bookmarkEnd w:id="19921"/>
      <w:bookmarkEnd w:id="19922"/>
      <w:bookmarkEnd w:id="19923"/>
      <w:bookmarkEnd w:id="19924"/>
      <w:bookmarkEnd w:id="19925"/>
      <w:bookmarkEnd w:id="19926"/>
      <w:bookmarkEnd w:id="19927"/>
      <w:bookmarkEnd w:id="19928"/>
      <w:bookmarkEnd w:id="19929"/>
      <w:bookmarkEnd w:id="19930"/>
    </w:p>
    <w:p w14:paraId="6FC3D12E" w14:textId="77777777" w:rsidR="003D504D" w:rsidRPr="00B06D6B" w:rsidRDefault="003D504D" w:rsidP="003D504D">
      <w:pPr>
        <w:pStyle w:val="a3"/>
        <w:rPr>
          <w:rtl/>
        </w:rPr>
      </w:pPr>
      <w:bookmarkStart w:id="19938" w:name="_Toc890747"/>
      <w:bookmarkStart w:id="19939" w:name="_Toc903141"/>
      <w:bookmarkStart w:id="19940" w:name="_Toc955512"/>
      <w:bookmarkStart w:id="19941" w:name="_Toc955805"/>
      <w:bookmarkStart w:id="19942" w:name="_Toc1039459"/>
      <w:bookmarkStart w:id="19943" w:name="_Toc1040702"/>
      <w:bookmarkStart w:id="19944" w:name="_Toc1056558"/>
      <w:bookmarkStart w:id="19945" w:name="_Toc1109716"/>
      <w:bookmarkStart w:id="19946" w:name="_Toc1128682"/>
      <w:bookmarkStart w:id="19947" w:name="_Toc1250062"/>
      <w:bookmarkStart w:id="19948" w:name="_Toc1258066"/>
      <w:bookmarkStart w:id="19949" w:name="_Toc19391504"/>
      <w:bookmarkStart w:id="19950" w:name="_Toc19395001"/>
      <w:r>
        <w:rPr>
          <w:rFonts w:hint="cs"/>
          <w:rtl/>
        </w:rPr>
        <w:t>דברי רש"י דהספק בבא על בן פקועה דכוותיה הוא רק למ"ד דחוששין לזרע האב</w:t>
      </w:r>
      <w:bookmarkEnd w:id="19938"/>
      <w:bookmarkEnd w:id="19939"/>
      <w:bookmarkEnd w:id="19940"/>
      <w:bookmarkEnd w:id="19941"/>
      <w:bookmarkEnd w:id="19942"/>
      <w:bookmarkEnd w:id="19943"/>
      <w:bookmarkEnd w:id="19944"/>
      <w:bookmarkEnd w:id="19945"/>
      <w:bookmarkEnd w:id="19946"/>
      <w:bookmarkEnd w:id="19947"/>
      <w:bookmarkEnd w:id="19948"/>
      <w:bookmarkEnd w:id="19949"/>
      <w:bookmarkEnd w:id="19950"/>
    </w:p>
    <w:p w14:paraId="463CC015" w14:textId="77777777" w:rsidR="003D504D" w:rsidRPr="00B06D6B" w:rsidRDefault="003D504D" w:rsidP="00E12979">
      <w:pPr>
        <w:pStyle w:val="a0"/>
        <w:numPr>
          <w:ilvl w:val="0"/>
          <w:numId w:val="37"/>
        </w:numPr>
        <w:rPr>
          <w:rtl/>
        </w:rPr>
      </w:pPr>
      <w:bookmarkStart w:id="19951" w:name="_Ref1284187"/>
      <w:r w:rsidRPr="00B06D6B">
        <w:rPr>
          <w:rFonts w:hint="cs"/>
          <w:rtl/>
        </w:rPr>
        <w:t xml:space="preserve">כתב </w:t>
      </w:r>
      <w:r w:rsidRPr="00B06D6B">
        <w:rPr>
          <w:rStyle w:val="af9"/>
          <w:rFonts w:hint="cs"/>
          <w:rtl/>
        </w:rPr>
        <w:t>רש"י</w:t>
      </w:r>
      <w:r w:rsidRPr="00B06D6B">
        <w:rPr>
          <w:rFonts w:hint="cs"/>
          <w:rtl/>
        </w:rPr>
        <w:t xml:space="preserve"> </w:t>
      </w:r>
      <w:r w:rsidRPr="00223668">
        <w:rPr>
          <w:rStyle w:val="af7"/>
          <w:rFonts w:eastAsia="Guttman Hodes" w:hint="cs"/>
          <w:rtl/>
        </w:rPr>
        <w:t xml:space="preserve">(ד"ה אבן פקועה) </w:t>
      </w:r>
      <w:r>
        <w:rPr>
          <w:rFonts w:hint="cs"/>
          <w:rtl/>
        </w:rPr>
        <w:t xml:space="preserve">דבבא על בן פקועה דכוותיה, הספק הוא האם כיון שהולד טעון שחיטה, רק מחמת האבר היוצא שלא הותר בשחיטה, חותך את האבר ושאר הולד מותר, או דכולו אסור, והוסיף </w:t>
      </w:r>
      <w:r w:rsidRPr="00B06D6B">
        <w:rPr>
          <w:rStyle w:val="af9"/>
          <w:rFonts w:hint="cs"/>
          <w:rtl/>
        </w:rPr>
        <w:t>רש"י</w:t>
      </w:r>
      <w:r w:rsidRPr="00B06D6B">
        <w:rPr>
          <w:rFonts w:hint="cs"/>
          <w:rtl/>
        </w:rPr>
        <w:t xml:space="preserve"> </w:t>
      </w:r>
      <w:r w:rsidRPr="00223668">
        <w:rPr>
          <w:rStyle w:val="af7"/>
          <w:rFonts w:eastAsia="Guttman Hodes" w:hint="cs"/>
          <w:rtl/>
        </w:rPr>
        <w:t>(ד"ה מבלבל זרעיה)</w:t>
      </w:r>
      <w:r w:rsidRPr="00B06D6B">
        <w:rPr>
          <w:rFonts w:hint="cs"/>
          <w:rtl/>
        </w:rPr>
        <w:t xml:space="preserve"> </w:t>
      </w:r>
      <w:r>
        <w:rPr>
          <w:rFonts w:hint="cs"/>
          <w:rtl/>
        </w:rPr>
        <w:t>דהספק הוא רק אליבא דחנניא דס"ל דחוששין לזרע האב.</w:t>
      </w:r>
      <w:bookmarkEnd w:id="19951"/>
    </w:p>
    <w:p w14:paraId="23A1AE89" w14:textId="77777777" w:rsidR="003D504D" w:rsidRPr="00B06D6B" w:rsidRDefault="003D504D" w:rsidP="003D504D">
      <w:pPr>
        <w:pStyle w:val="a3"/>
        <w:rPr>
          <w:rtl/>
        </w:rPr>
      </w:pPr>
      <w:bookmarkStart w:id="19952" w:name="_Toc890748"/>
      <w:bookmarkStart w:id="19953" w:name="_Toc903142"/>
      <w:bookmarkStart w:id="19954" w:name="_Toc955513"/>
      <w:bookmarkStart w:id="19955" w:name="_Toc955806"/>
      <w:bookmarkStart w:id="19956" w:name="_Toc1039460"/>
      <w:bookmarkStart w:id="19957" w:name="_Toc1040703"/>
      <w:bookmarkStart w:id="19958" w:name="_Toc1056559"/>
      <w:bookmarkStart w:id="19959" w:name="_Toc1109717"/>
      <w:bookmarkStart w:id="19960" w:name="_Toc1128683"/>
      <w:bookmarkStart w:id="19961" w:name="_Toc1250063"/>
      <w:bookmarkStart w:id="19962" w:name="_Toc1258067"/>
      <w:bookmarkStart w:id="19963" w:name="_Toc19391505"/>
      <w:bookmarkStart w:id="19964" w:name="_Toc19395002"/>
      <w:r>
        <w:rPr>
          <w:rFonts w:hint="cs"/>
          <w:rtl/>
        </w:rPr>
        <w:t>דברי המהר"ם דמבואר ברש"י דאיירי בבא על בת פקועה שאין בה אבר היוצא</w:t>
      </w:r>
      <w:bookmarkEnd w:id="19952"/>
      <w:bookmarkEnd w:id="19953"/>
      <w:bookmarkEnd w:id="19954"/>
      <w:bookmarkEnd w:id="19955"/>
      <w:bookmarkEnd w:id="19956"/>
      <w:bookmarkEnd w:id="19957"/>
      <w:bookmarkEnd w:id="19958"/>
      <w:bookmarkEnd w:id="19959"/>
      <w:bookmarkEnd w:id="19960"/>
      <w:bookmarkEnd w:id="19961"/>
      <w:bookmarkEnd w:id="19962"/>
      <w:bookmarkEnd w:id="19963"/>
      <w:bookmarkEnd w:id="19964"/>
    </w:p>
    <w:p w14:paraId="0CB18D7F" w14:textId="77777777" w:rsidR="003D504D" w:rsidRPr="00B06D6B" w:rsidRDefault="003D504D" w:rsidP="00223668">
      <w:pPr>
        <w:pStyle w:val="a0"/>
        <w:rPr>
          <w:rtl/>
        </w:rPr>
      </w:pPr>
      <w:bookmarkStart w:id="19965" w:name="_Ref536701362"/>
      <w:r w:rsidRPr="00B06D6B">
        <w:rPr>
          <w:rFonts w:hint="cs"/>
          <w:rtl/>
        </w:rPr>
        <w:t xml:space="preserve">וכתב </w:t>
      </w:r>
      <w:r w:rsidRPr="00B06D6B">
        <w:rPr>
          <w:rStyle w:val="af9"/>
          <w:rFonts w:hint="cs"/>
          <w:rtl/>
        </w:rPr>
        <w:t>המהר"ם</w:t>
      </w:r>
      <w:r w:rsidRPr="00B06D6B">
        <w:rPr>
          <w:rFonts w:hint="cs"/>
          <w:rtl/>
        </w:rPr>
        <w:t xml:space="preserve"> </w:t>
      </w:r>
      <w:r w:rsidRPr="005679AC">
        <w:rPr>
          <w:rStyle w:val="af7"/>
          <w:rFonts w:eastAsia="Guttman Hodes" w:hint="cs"/>
          <w:rtl/>
        </w:rPr>
        <w:t xml:space="preserve">(על תוד"ה דאתא) </w:t>
      </w:r>
      <w:r w:rsidRPr="00B06D6B">
        <w:rPr>
          <w:rFonts w:hint="cs"/>
          <w:rtl/>
        </w:rPr>
        <w:t xml:space="preserve">דמבואר מדברי </w:t>
      </w:r>
      <w:r w:rsidRPr="00B06D6B">
        <w:rPr>
          <w:rStyle w:val="af9"/>
          <w:rFonts w:hint="cs"/>
          <w:rtl/>
        </w:rPr>
        <w:t>רש"י</w:t>
      </w:r>
      <w:r w:rsidRPr="00B06D6B">
        <w:rPr>
          <w:rFonts w:hint="cs"/>
          <w:rtl/>
        </w:rPr>
        <w:t>, ד</w:t>
      </w:r>
      <w:r>
        <w:rPr>
          <w:rFonts w:hint="cs"/>
          <w:rtl/>
        </w:rPr>
        <w:t xml:space="preserve">הבן פקועה שיש בו אבר היוצא, </w:t>
      </w:r>
      <w:r w:rsidRPr="00B06D6B">
        <w:rPr>
          <w:rFonts w:hint="cs"/>
          <w:rtl/>
        </w:rPr>
        <w:t xml:space="preserve">בא על בן פקועה </w:t>
      </w:r>
      <w:r>
        <w:rPr>
          <w:rFonts w:hint="cs"/>
          <w:rtl/>
        </w:rPr>
        <w:t xml:space="preserve">בעלמא </w:t>
      </w:r>
      <w:r w:rsidRPr="00B06D6B">
        <w:rPr>
          <w:rFonts w:hint="cs"/>
          <w:rtl/>
        </w:rPr>
        <w:t xml:space="preserve">שאין בו אבר </w:t>
      </w:r>
      <w:r>
        <w:rPr>
          <w:rFonts w:hint="cs"/>
          <w:rtl/>
        </w:rPr>
        <w:t>היוצא</w:t>
      </w:r>
      <w:r w:rsidRPr="00B06D6B">
        <w:rPr>
          <w:rFonts w:hint="cs"/>
          <w:rtl/>
        </w:rPr>
        <w:t xml:space="preserve">, ודלא </w:t>
      </w:r>
      <w:r w:rsidRPr="00B06D6B">
        <w:rPr>
          <w:rStyle w:val="af9"/>
          <w:rFonts w:hint="cs"/>
          <w:rtl/>
        </w:rPr>
        <w:t>כתוס'</w:t>
      </w:r>
      <w:r w:rsidRPr="00B06D6B">
        <w:rPr>
          <w:rFonts w:hint="cs"/>
          <w:rtl/>
        </w:rPr>
        <w:t xml:space="preserve">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Ref536701315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ה)</w:t>
      </w:r>
      <w:r w:rsidRPr="00B06D6B">
        <w:rPr>
          <w:rStyle w:val="af7"/>
          <w:rFonts w:eastAsia="Guttman Hodes"/>
          <w:rtl/>
        </w:rPr>
        <w:fldChar w:fldCharType="end"/>
      </w:r>
      <w:r w:rsidRPr="00B06D6B">
        <w:rPr>
          <w:rFonts w:hint="cs"/>
          <w:rtl/>
        </w:rPr>
        <w:t xml:space="preserve"> דכתבו דבא על בן פקועה שאבר אחד שלו אסור בא</w:t>
      </w:r>
      <w:r>
        <w:rPr>
          <w:rFonts w:hint="cs"/>
          <w:rtl/>
        </w:rPr>
        <w:t>בר</w:t>
      </w:r>
      <w:r w:rsidRPr="00B06D6B">
        <w:rPr>
          <w:rFonts w:hint="cs"/>
          <w:rtl/>
        </w:rPr>
        <w:t xml:space="preserve"> </w:t>
      </w:r>
      <w:r>
        <w:rPr>
          <w:rFonts w:hint="cs"/>
          <w:rtl/>
        </w:rPr>
        <w:t>ה</w:t>
      </w:r>
      <w:r w:rsidRPr="00B06D6B">
        <w:rPr>
          <w:rFonts w:hint="cs"/>
          <w:rtl/>
        </w:rPr>
        <w:t>יוצא, ד</w:t>
      </w:r>
      <w:r>
        <w:rPr>
          <w:rFonts w:hint="cs"/>
          <w:rtl/>
        </w:rPr>
        <w:t xml:space="preserve">הא </w:t>
      </w:r>
      <w:r w:rsidRPr="00B06D6B">
        <w:rPr>
          <w:rFonts w:hint="cs"/>
          <w:rtl/>
        </w:rPr>
        <w:t>ל</w:t>
      </w:r>
      <w:r>
        <w:rPr>
          <w:rFonts w:hint="cs"/>
          <w:rtl/>
        </w:rPr>
        <w:t>ד</w:t>
      </w:r>
      <w:r w:rsidRPr="00B06D6B">
        <w:rPr>
          <w:rFonts w:hint="cs"/>
          <w:rtl/>
        </w:rPr>
        <w:t xml:space="preserve">ברי </w:t>
      </w:r>
      <w:r w:rsidRPr="00B06D6B">
        <w:rPr>
          <w:rStyle w:val="af9"/>
          <w:rFonts w:hint="cs"/>
          <w:rtl/>
        </w:rPr>
        <w:t>התוס'</w:t>
      </w:r>
      <w:r w:rsidRPr="00B06D6B">
        <w:rPr>
          <w:rFonts w:hint="cs"/>
          <w:rtl/>
        </w:rPr>
        <w:t xml:space="preserve"> אף למ"ד דאין חוששין לזרע האב, האבר אסור</w:t>
      </w:r>
      <w:r>
        <w:rPr>
          <w:rFonts w:hint="cs"/>
          <w:rtl/>
        </w:rPr>
        <w:t xml:space="preserve"> כיון שאף באם יש אבר היוצא</w:t>
      </w:r>
      <w:r w:rsidRPr="00B06D6B">
        <w:rPr>
          <w:rFonts w:hint="cs"/>
          <w:rtl/>
        </w:rPr>
        <w:t xml:space="preserve">, וכתב </w:t>
      </w:r>
      <w:r w:rsidRPr="00B06D6B">
        <w:rPr>
          <w:rStyle w:val="af9"/>
          <w:rFonts w:hint="cs"/>
          <w:rtl/>
        </w:rPr>
        <w:t>המהר"ם</w:t>
      </w:r>
      <w:r w:rsidRPr="00B06D6B">
        <w:rPr>
          <w:rFonts w:hint="cs"/>
          <w:rtl/>
        </w:rPr>
        <w:t xml:space="preserve"> </w:t>
      </w:r>
      <w:r w:rsidRPr="00B06D6B">
        <w:rPr>
          <w:rStyle w:val="af9"/>
          <w:rFonts w:hint="cs"/>
          <w:rtl/>
        </w:rPr>
        <w:t>דרש"י</w:t>
      </w:r>
      <w:r w:rsidRPr="00B06D6B">
        <w:rPr>
          <w:rFonts w:hint="cs"/>
          <w:rtl/>
        </w:rPr>
        <w:t xml:space="preserve"> ס"ל דלשון הגמ' "דכוותיה" הוא לאו </w:t>
      </w:r>
      <w:bookmarkEnd w:id="19965"/>
      <w:r>
        <w:rPr>
          <w:rFonts w:hint="cs"/>
          <w:rtl/>
        </w:rPr>
        <w:t xml:space="preserve">דוקא, ודייק </w:t>
      </w:r>
      <w:r w:rsidRPr="00303851">
        <w:rPr>
          <w:rStyle w:val="af9"/>
          <w:rFonts w:hint="cs"/>
          <w:rtl/>
        </w:rPr>
        <w:t>רש"י</w:t>
      </w:r>
      <w:r>
        <w:rPr>
          <w:rFonts w:hint="cs"/>
          <w:rtl/>
        </w:rPr>
        <w:t xml:space="preserve"> כן מלשון הגמ' "דמבלבל זרעיה" דמשמע שהאיסור הוא רק מהזכר ולא מהנקיבה, דכוונת הגמ' לומר דבלבול הזרע הוא רק מהאב ולא מהאם, דמהאם אפילו אם היה איסור </w:t>
      </w:r>
      <w:r w:rsidRPr="0062499D">
        <w:rPr>
          <w:rFonts w:hint="cs"/>
          <w:rtl/>
        </w:rPr>
        <w:t>יוצא</w:t>
      </w:r>
      <w:r>
        <w:rPr>
          <w:rFonts w:hint="cs"/>
          <w:rtl/>
        </w:rPr>
        <w:t>,</w:t>
      </w:r>
      <w:r w:rsidRPr="0062499D">
        <w:rPr>
          <w:rStyle w:val="afb"/>
          <w:rFonts w:hint="cs"/>
          <w:rtl/>
        </w:rPr>
        <w:t xml:space="preserve"> [דהיינו דכשבאם יש אבר שאסור ודאי דחותכו ומותר], </w:t>
      </w:r>
      <w:r w:rsidRPr="0062499D">
        <w:rPr>
          <w:rFonts w:hint="cs"/>
          <w:rtl/>
        </w:rPr>
        <w:t>ולכן ביאר</w:t>
      </w:r>
      <w:r w:rsidRPr="0062499D">
        <w:rPr>
          <w:rStyle w:val="af9"/>
          <w:rFonts w:hint="cs"/>
          <w:rtl/>
        </w:rPr>
        <w:t xml:space="preserve"> רש"י</w:t>
      </w:r>
      <w:r w:rsidRPr="0062499D">
        <w:rPr>
          <w:rFonts w:hint="cs"/>
          <w:rtl/>
        </w:rPr>
        <w:t xml:space="preserve"> דהספק הוא</w:t>
      </w:r>
      <w:r>
        <w:rPr>
          <w:rFonts w:hint="cs"/>
          <w:rtl/>
        </w:rPr>
        <w:t xml:space="preserve"> אליבא דחנניא.</w:t>
      </w:r>
    </w:p>
    <w:p w14:paraId="128DFECE" w14:textId="77777777" w:rsidR="003D504D" w:rsidRDefault="003D504D" w:rsidP="003D504D">
      <w:pPr>
        <w:pStyle w:val="a3"/>
        <w:rPr>
          <w:rtl/>
        </w:rPr>
      </w:pPr>
      <w:bookmarkStart w:id="19966" w:name="_Toc903143"/>
      <w:bookmarkStart w:id="19967" w:name="_Toc955514"/>
      <w:bookmarkStart w:id="19968" w:name="_Toc955807"/>
      <w:bookmarkStart w:id="19969" w:name="_Toc1039461"/>
      <w:bookmarkStart w:id="19970" w:name="_Toc1040704"/>
      <w:bookmarkStart w:id="19971" w:name="_Toc1056560"/>
      <w:bookmarkStart w:id="19972" w:name="_Toc1109718"/>
      <w:bookmarkStart w:id="19973" w:name="_Toc1128684"/>
      <w:bookmarkStart w:id="19974" w:name="_Toc1250064"/>
      <w:bookmarkStart w:id="19975" w:name="_Toc1258068"/>
      <w:bookmarkStart w:id="19976" w:name="_Toc19391506"/>
      <w:bookmarkStart w:id="19977" w:name="_Toc19395003"/>
      <w:bookmarkStart w:id="19978" w:name="_Toc890749"/>
      <w:r>
        <w:rPr>
          <w:rFonts w:hint="cs"/>
          <w:rtl/>
        </w:rPr>
        <w:t>דברי היעב"ץ דאף לרש"י איירי בבא על בת פקועה שיש בה אבר היוצא</w:t>
      </w:r>
      <w:bookmarkEnd w:id="19966"/>
      <w:bookmarkEnd w:id="19967"/>
      <w:bookmarkEnd w:id="19968"/>
      <w:bookmarkEnd w:id="19969"/>
      <w:bookmarkEnd w:id="19970"/>
      <w:bookmarkEnd w:id="19971"/>
      <w:bookmarkEnd w:id="19972"/>
      <w:bookmarkEnd w:id="19973"/>
      <w:bookmarkEnd w:id="19974"/>
      <w:bookmarkEnd w:id="19975"/>
      <w:bookmarkEnd w:id="19976"/>
      <w:bookmarkEnd w:id="19977"/>
    </w:p>
    <w:p w14:paraId="6C74EB1E" w14:textId="77777777" w:rsidR="003D504D" w:rsidRDefault="003D504D" w:rsidP="00223668">
      <w:pPr>
        <w:pStyle w:val="a0"/>
        <w:rPr>
          <w:rtl/>
        </w:rPr>
      </w:pPr>
      <w:r>
        <w:rPr>
          <w:rFonts w:hint="cs"/>
          <w:rtl/>
        </w:rPr>
        <w:t xml:space="preserve">אבל </w:t>
      </w:r>
      <w:r w:rsidRPr="00D403D9">
        <w:rPr>
          <w:rStyle w:val="af9"/>
          <w:rFonts w:hint="cs"/>
          <w:rtl/>
        </w:rPr>
        <w:t>בהג' יעב"ץ</w:t>
      </w:r>
      <w:r>
        <w:rPr>
          <w:rFonts w:hint="cs"/>
          <w:rtl/>
        </w:rPr>
        <w:t xml:space="preserve"> </w:t>
      </w:r>
      <w:r w:rsidRPr="005679AC">
        <w:rPr>
          <w:rStyle w:val="af7"/>
          <w:rFonts w:eastAsia="Guttman Hodes" w:hint="cs"/>
          <w:rtl/>
        </w:rPr>
        <w:t>(על רש"י ד"ה מבלבל)</w:t>
      </w:r>
      <w:r>
        <w:rPr>
          <w:rFonts w:hint="cs"/>
          <w:rtl/>
        </w:rPr>
        <w:t xml:space="preserve"> ביאר דס"ל </w:t>
      </w:r>
      <w:r w:rsidRPr="00D403D9">
        <w:rPr>
          <w:rStyle w:val="af9"/>
          <w:rFonts w:hint="cs"/>
          <w:rtl/>
        </w:rPr>
        <w:t>לרש"י</w:t>
      </w:r>
      <w:r>
        <w:rPr>
          <w:rFonts w:hint="cs"/>
          <w:rtl/>
        </w:rPr>
        <w:t xml:space="preserve"> דלמ"ד דאין חוששין לזרע האב, הוי זה וזה גורם ומותר לכו"ע, </w:t>
      </w:r>
      <w:r w:rsidRPr="00F62865">
        <w:rPr>
          <w:rStyle w:val="afb"/>
          <w:rFonts w:hint="cs"/>
          <w:rtl/>
        </w:rPr>
        <w:t>[ולענין זה וזה גורם חשיב האב כגורם</w:t>
      </w:r>
      <w:r>
        <w:rPr>
          <w:rStyle w:val="afb"/>
          <w:rFonts w:hint="cs"/>
          <w:rtl/>
        </w:rPr>
        <w:t>,</w:t>
      </w:r>
      <w:r w:rsidRPr="00F62865">
        <w:rPr>
          <w:rStyle w:val="afb"/>
          <w:rFonts w:hint="cs"/>
          <w:rtl/>
        </w:rPr>
        <w:t xml:space="preserve"> אף דאין חוששין לזרע האב],</w:t>
      </w:r>
      <w:r>
        <w:rPr>
          <w:rFonts w:hint="cs"/>
          <w:rtl/>
        </w:rPr>
        <w:t xml:space="preserve"> והוסיף </w:t>
      </w:r>
      <w:r w:rsidRPr="00D403D9">
        <w:rPr>
          <w:rStyle w:val="af9"/>
          <w:rFonts w:hint="cs"/>
          <w:rtl/>
        </w:rPr>
        <w:t>בהג' יעב"ץ</w:t>
      </w:r>
      <w:r>
        <w:rPr>
          <w:rFonts w:hint="cs"/>
          <w:rtl/>
        </w:rPr>
        <w:t xml:space="preserve"> דאף </w:t>
      </w:r>
      <w:r w:rsidRPr="00D403D9">
        <w:rPr>
          <w:rStyle w:val="af9"/>
          <w:rFonts w:hint="cs"/>
          <w:rtl/>
        </w:rPr>
        <w:t>רש"י</w:t>
      </w:r>
      <w:r>
        <w:rPr>
          <w:rFonts w:hint="cs"/>
          <w:rtl/>
        </w:rPr>
        <w:t xml:space="preserve"> מודה לביאור </w:t>
      </w:r>
      <w:r w:rsidRPr="00D403D9">
        <w:rPr>
          <w:rStyle w:val="af9"/>
          <w:rFonts w:hint="cs"/>
          <w:rtl/>
        </w:rPr>
        <w:t>התוס'</w:t>
      </w:r>
      <w:r>
        <w:rPr>
          <w:rFonts w:hint="cs"/>
          <w:rtl/>
        </w:rPr>
        <w:t xml:space="preserve"> </w:t>
      </w:r>
      <w:r w:rsidRPr="005679AC">
        <w:rPr>
          <w:rStyle w:val="af7"/>
          <w:rFonts w:eastAsia="Guttman Hodes" w:hint="cs"/>
          <w:rtl/>
        </w:rPr>
        <w:t xml:space="preserve">(עי' אות </w:t>
      </w:r>
      <w:r w:rsidRPr="007A6C65">
        <w:rPr>
          <w:rStyle w:val="af7"/>
          <w:rFonts w:eastAsia="Guttman Hodes"/>
          <w:rtl/>
        </w:rPr>
        <w:fldChar w:fldCharType="begin"/>
      </w:r>
      <w:r w:rsidRPr="007A6C65">
        <w:rPr>
          <w:rStyle w:val="af7"/>
          <w:rFonts w:eastAsia="Guttman Hodes"/>
          <w:rtl/>
        </w:rPr>
        <w:instrText xml:space="preserve"> </w:instrText>
      </w:r>
      <w:r w:rsidRPr="007A6C65">
        <w:rPr>
          <w:rStyle w:val="af7"/>
          <w:rFonts w:eastAsia="Guttman Hodes" w:hint="cs"/>
        </w:rPr>
        <w:instrText>REF</w:instrText>
      </w:r>
      <w:r w:rsidRPr="007A6C65">
        <w:rPr>
          <w:rStyle w:val="af7"/>
          <w:rFonts w:eastAsia="Guttman Hodes" w:hint="cs"/>
          <w:rtl/>
        </w:rPr>
        <w:instrText xml:space="preserve"> _</w:instrText>
      </w:r>
      <w:r w:rsidRPr="007A6C65">
        <w:rPr>
          <w:rStyle w:val="af7"/>
          <w:rFonts w:eastAsia="Guttman Hodes" w:hint="cs"/>
        </w:rPr>
        <w:instrText>Ref901397 \r \h</w:instrText>
      </w:r>
      <w:r w:rsidRPr="007A6C65">
        <w:rPr>
          <w:rStyle w:val="af7"/>
          <w:rFonts w:eastAsia="Guttman Hodes"/>
          <w:rtl/>
        </w:rPr>
        <w:instrText xml:space="preserve"> </w:instrText>
      </w:r>
      <w:r w:rsidRPr="007A6C65">
        <w:rPr>
          <w:rStyle w:val="af7"/>
          <w:rFonts w:eastAsia="Guttman Hodes"/>
          <w:rtl/>
        </w:rPr>
      </w:r>
      <w:r w:rsidRPr="007A6C65">
        <w:rPr>
          <w:rStyle w:val="af7"/>
          <w:rFonts w:eastAsia="Guttman Hodes"/>
          <w:rtl/>
        </w:rPr>
        <w:fldChar w:fldCharType="separate"/>
      </w:r>
      <w:r w:rsidR="00345400">
        <w:rPr>
          <w:rStyle w:val="af7"/>
          <w:rFonts w:eastAsia="Guttman Hodes"/>
          <w:cs/>
        </w:rPr>
        <w:t>‎</w:t>
      </w:r>
      <w:r w:rsidR="00345400">
        <w:rPr>
          <w:rStyle w:val="af7"/>
          <w:rFonts w:eastAsia="Guttman Hodes"/>
          <w:rtl/>
        </w:rPr>
        <w:t>ה)</w:t>
      </w:r>
      <w:r w:rsidRPr="007A6C65">
        <w:rPr>
          <w:rStyle w:val="af7"/>
          <w:rFonts w:eastAsia="Guttman Hodes"/>
          <w:rtl/>
        </w:rPr>
        <w:fldChar w:fldCharType="end"/>
      </w:r>
      <w:r>
        <w:rPr>
          <w:rFonts w:hint="cs"/>
          <w:rtl/>
        </w:rPr>
        <w:t xml:space="preserve"> דאיירי בבא על בת פקועה שיש בה אבר היוצא, דאל"ה מותר מדין זה וזה גורם, וכדביאר </w:t>
      </w:r>
      <w:r w:rsidRPr="00D403D9">
        <w:rPr>
          <w:rStyle w:val="af9"/>
          <w:rFonts w:hint="cs"/>
          <w:rtl/>
        </w:rPr>
        <w:t>בהג' יעב"ץ</w:t>
      </w:r>
      <w:r>
        <w:rPr>
          <w:rFonts w:hint="cs"/>
          <w:rtl/>
        </w:rPr>
        <w:t xml:space="preserve"> </w:t>
      </w:r>
      <w:r w:rsidRPr="005679AC">
        <w:rPr>
          <w:rStyle w:val="af7"/>
          <w:rFonts w:eastAsia="Guttman Hodes" w:hint="cs"/>
          <w:rtl/>
        </w:rPr>
        <w:t xml:space="preserve">(עי' אות </w:t>
      </w:r>
      <w:r w:rsidRPr="007A6C65">
        <w:rPr>
          <w:rStyle w:val="af7"/>
          <w:rFonts w:eastAsia="Guttman Hodes"/>
          <w:rtl/>
        </w:rPr>
        <w:fldChar w:fldCharType="begin"/>
      </w:r>
      <w:r w:rsidRPr="007A6C65">
        <w:rPr>
          <w:rStyle w:val="af7"/>
          <w:rFonts w:eastAsia="Guttman Hodes"/>
          <w:rtl/>
        </w:rPr>
        <w:instrText xml:space="preserve"> </w:instrText>
      </w:r>
      <w:r w:rsidRPr="007A6C65">
        <w:rPr>
          <w:rStyle w:val="af7"/>
          <w:rFonts w:eastAsia="Guttman Hodes" w:hint="cs"/>
        </w:rPr>
        <w:instrText>REF</w:instrText>
      </w:r>
      <w:r w:rsidRPr="007A6C65">
        <w:rPr>
          <w:rStyle w:val="af7"/>
          <w:rFonts w:eastAsia="Guttman Hodes" w:hint="cs"/>
          <w:rtl/>
        </w:rPr>
        <w:instrText xml:space="preserve"> _</w:instrText>
      </w:r>
      <w:r w:rsidRPr="007A6C65">
        <w:rPr>
          <w:rStyle w:val="af7"/>
          <w:rFonts w:eastAsia="Guttman Hodes" w:hint="cs"/>
        </w:rPr>
        <w:instrText>Ref901406 \r \h</w:instrText>
      </w:r>
      <w:r w:rsidRPr="007A6C65">
        <w:rPr>
          <w:rStyle w:val="af7"/>
          <w:rFonts w:eastAsia="Guttman Hodes"/>
          <w:rtl/>
        </w:rPr>
        <w:instrText xml:space="preserve"> </w:instrText>
      </w:r>
      <w:r w:rsidRPr="007A6C65">
        <w:rPr>
          <w:rStyle w:val="af7"/>
          <w:rFonts w:eastAsia="Guttman Hodes"/>
          <w:rtl/>
        </w:rPr>
      </w:r>
      <w:r w:rsidRPr="007A6C65">
        <w:rPr>
          <w:rStyle w:val="af7"/>
          <w:rFonts w:eastAsia="Guttman Hodes"/>
          <w:rtl/>
        </w:rPr>
        <w:fldChar w:fldCharType="separate"/>
      </w:r>
      <w:r w:rsidR="00345400">
        <w:rPr>
          <w:rStyle w:val="af7"/>
          <w:rFonts w:eastAsia="Guttman Hodes"/>
          <w:cs/>
        </w:rPr>
        <w:t>‎</w:t>
      </w:r>
      <w:r w:rsidR="00345400">
        <w:rPr>
          <w:rStyle w:val="af7"/>
          <w:rFonts w:eastAsia="Guttman Hodes"/>
          <w:rtl/>
        </w:rPr>
        <w:t>ט)</w:t>
      </w:r>
      <w:r w:rsidRPr="007A6C65">
        <w:rPr>
          <w:rStyle w:val="af7"/>
          <w:rFonts w:eastAsia="Guttman Hodes"/>
          <w:rtl/>
        </w:rPr>
        <w:fldChar w:fldCharType="end"/>
      </w:r>
      <w:r>
        <w:rPr>
          <w:rFonts w:hint="cs"/>
          <w:rtl/>
        </w:rPr>
        <w:t xml:space="preserve"> בדעת </w:t>
      </w:r>
      <w:r w:rsidRPr="00D403D9">
        <w:rPr>
          <w:rStyle w:val="af9"/>
          <w:rFonts w:hint="cs"/>
          <w:rtl/>
        </w:rPr>
        <w:t>התוס'</w:t>
      </w:r>
      <w:r>
        <w:rPr>
          <w:rFonts w:hint="cs"/>
          <w:rtl/>
        </w:rPr>
        <w:t xml:space="preserve">.  </w:t>
      </w:r>
    </w:p>
    <w:p w14:paraId="5C6CC646" w14:textId="77777777" w:rsidR="003D504D" w:rsidRPr="00B06D6B" w:rsidRDefault="003D504D" w:rsidP="003D504D">
      <w:pPr>
        <w:pStyle w:val="a3"/>
        <w:rPr>
          <w:rtl/>
        </w:rPr>
      </w:pPr>
      <w:bookmarkStart w:id="19979" w:name="_Toc903144"/>
      <w:bookmarkStart w:id="19980" w:name="_Toc955515"/>
      <w:bookmarkStart w:id="19981" w:name="_Toc955808"/>
      <w:bookmarkStart w:id="19982" w:name="_Toc1039462"/>
      <w:bookmarkStart w:id="19983" w:name="_Toc1040705"/>
      <w:bookmarkStart w:id="19984" w:name="_Toc1056561"/>
      <w:bookmarkStart w:id="19985" w:name="_Toc1109719"/>
      <w:bookmarkStart w:id="19986" w:name="_Toc1128685"/>
      <w:bookmarkStart w:id="19987" w:name="_Toc1250065"/>
      <w:bookmarkStart w:id="19988" w:name="_Toc1258069"/>
      <w:bookmarkStart w:id="19989" w:name="_Toc19391507"/>
      <w:bookmarkStart w:id="19990" w:name="_Toc19395004"/>
      <w:r>
        <w:rPr>
          <w:rFonts w:hint="cs"/>
          <w:rtl/>
        </w:rPr>
        <w:t>דברי רבינו גרשום דבא על בן פקועה דכוותיה שא"צ שחיטה לא מאביו ולא מאמו</w:t>
      </w:r>
      <w:bookmarkEnd w:id="19978"/>
      <w:bookmarkEnd w:id="19979"/>
      <w:bookmarkEnd w:id="19980"/>
      <w:bookmarkEnd w:id="19981"/>
      <w:bookmarkEnd w:id="19982"/>
      <w:bookmarkEnd w:id="19983"/>
      <w:bookmarkEnd w:id="19984"/>
      <w:bookmarkEnd w:id="19985"/>
      <w:bookmarkEnd w:id="19986"/>
      <w:bookmarkEnd w:id="19987"/>
      <w:bookmarkEnd w:id="19988"/>
      <w:bookmarkEnd w:id="19989"/>
      <w:bookmarkEnd w:id="19990"/>
    </w:p>
    <w:p w14:paraId="53FF4651" w14:textId="77777777" w:rsidR="003D504D" w:rsidRPr="009826A1" w:rsidRDefault="003D504D" w:rsidP="00223668">
      <w:pPr>
        <w:pStyle w:val="a0"/>
        <w:rPr>
          <w:rStyle w:val="afb"/>
          <w:rtl/>
        </w:rPr>
      </w:pPr>
      <w:r w:rsidRPr="00B06D6B">
        <w:rPr>
          <w:rStyle w:val="af9"/>
          <w:rFonts w:hint="cs"/>
          <w:rtl/>
        </w:rPr>
        <w:t>וברבינו גרשום</w:t>
      </w:r>
      <w:r w:rsidRPr="00B06D6B">
        <w:rPr>
          <w:rFonts w:hint="cs"/>
          <w:rtl/>
        </w:rPr>
        <w:t xml:space="preserve"> </w:t>
      </w:r>
      <w:r w:rsidRPr="005679AC">
        <w:rPr>
          <w:rStyle w:val="af7"/>
          <w:rFonts w:eastAsia="Guttman Hodes" w:hint="cs"/>
          <w:rtl/>
        </w:rPr>
        <w:t>(ד"ה לא צריכא)</w:t>
      </w:r>
      <w:r w:rsidRPr="00B06D6B">
        <w:rPr>
          <w:rFonts w:hint="cs"/>
          <w:rtl/>
        </w:rPr>
        <w:t xml:space="preserve"> ביאר את לשון הגמ' "דאזל אבן פקועה דכוותיה", </w:t>
      </w:r>
      <w:r>
        <w:rPr>
          <w:rFonts w:hint="cs"/>
          <w:rtl/>
        </w:rPr>
        <w:t>דכוונת הגמ' לומר</w:t>
      </w:r>
      <w:r w:rsidRPr="00B06D6B">
        <w:rPr>
          <w:rFonts w:hint="cs"/>
          <w:rtl/>
        </w:rPr>
        <w:t xml:space="preserve"> שהולד שנולד יש לו תקנה שא"צ שחיטה לא מצד אביו ולא מצד אמו</w:t>
      </w:r>
      <w:r>
        <w:rPr>
          <w:rFonts w:hint="cs"/>
          <w:rtl/>
        </w:rPr>
        <w:t>.</w:t>
      </w:r>
      <w:r w:rsidRPr="00B06D6B">
        <w:rPr>
          <w:rFonts w:hint="cs"/>
          <w:rtl/>
        </w:rPr>
        <w:t xml:space="preserve"> </w:t>
      </w:r>
      <w:r w:rsidRPr="00B06D6B">
        <w:rPr>
          <w:rStyle w:val="afb"/>
          <w:rFonts w:hint="cs"/>
          <w:rtl/>
        </w:rPr>
        <w:t>[ומשמע דביאר דהלשון "</w:t>
      </w:r>
      <w:r>
        <w:rPr>
          <w:rStyle w:val="afb"/>
          <w:rFonts w:hint="cs"/>
          <w:rtl/>
        </w:rPr>
        <w:t>ד</w:t>
      </w:r>
      <w:r w:rsidRPr="00B06D6B">
        <w:rPr>
          <w:rStyle w:val="afb"/>
          <w:rFonts w:hint="cs"/>
          <w:rtl/>
        </w:rPr>
        <w:t>כוותיה" היינו שיש לו תקנה שא"צ שחיטה</w:t>
      </w:r>
      <w:r w:rsidRPr="009826A1">
        <w:rPr>
          <w:rStyle w:val="afb"/>
          <w:rFonts w:hint="cs"/>
          <w:rtl/>
        </w:rPr>
        <w:t xml:space="preserve">, ועי' בדברי </w:t>
      </w:r>
      <w:r w:rsidRPr="009826A1">
        <w:rPr>
          <w:rStyle w:val="affa"/>
          <w:rFonts w:hint="cs"/>
          <w:rtl/>
        </w:rPr>
        <w:t>הבכור שור</w:t>
      </w:r>
      <w:r w:rsidRPr="009826A1">
        <w:rPr>
          <w:rStyle w:val="afb"/>
          <w:rFonts w:hint="cs"/>
          <w:rtl/>
        </w:rPr>
        <w:t xml:space="preserve"> </w:t>
      </w:r>
      <w:r w:rsidRPr="009826A1">
        <w:rPr>
          <w:rStyle w:val="aff6"/>
          <w:rFonts w:hint="cs"/>
          <w:rtl/>
        </w:rPr>
        <w:t>(על תוד"ה דאתא בתו"ד, נד' בסוף התבו"ש)</w:t>
      </w:r>
      <w:r w:rsidRPr="009826A1">
        <w:rPr>
          <w:rStyle w:val="afb"/>
          <w:rFonts w:hint="cs"/>
          <w:rtl/>
        </w:rPr>
        <w:t xml:space="preserve"> דמשמע דביאר</w:t>
      </w:r>
      <w:r>
        <w:rPr>
          <w:rStyle w:val="afb"/>
          <w:rFonts w:hint="cs"/>
          <w:rtl/>
        </w:rPr>
        <w:t xml:space="preserve"> כן בדברי</w:t>
      </w:r>
      <w:r w:rsidRPr="009826A1">
        <w:rPr>
          <w:rStyle w:val="afb"/>
          <w:rFonts w:hint="cs"/>
          <w:rtl/>
        </w:rPr>
        <w:t xml:space="preserve"> </w:t>
      </w:r>
      <w:r w:rsidRPr="009826A1">
        <w:rPr>
          <w:rStyle w:val="affa"/>
          <w:rFonts w:hint="cs"/>
          <w:rtl/>
        </w:rPr>
        <w:t>רש"י</w:t>
      </w:r>
      <w:r w:rsidRPr="009826A1">
        <w:rPr>
          <w:rStyle w:val="afb"/>
          <w:rFonts w:hint="cs"/>
          <w:rtl/>
        </w:rPr>
        <w:t>].</w:t>
      </w:r>
    </w:p>
    <w:p w14:paraId="033977EF" w14:textId="77777777" w:rsidR="003D504D" w:rsidRPr="00B06D6B" w:rsidRDefault="003D504D" w:rsidP="00BF39B2">
      <w:pPr>
        <w:pStyle w:val="1"/>
        <w:rPr>
          <w:rtl/>
        </w:rPr>
      </w:pPr>
      <w:bookmarkStart w:id="19991" w:name="_Toc862079"/>
      <w:bookmarkStart w:id="19992" w:name="_Toc890750"/>
      <w:bookmarkStart w:id="19993" w:name="_Toc903145"/>
      <w:bookmarkStart w:id="19994" w:name="_Toc955516"/>
      <w:bookmarkStart w:id="19995" w:name="_Toc955809"/>
      <w:bookmarkStart w:id="19996" w:name="_Toc1039463"/>
      <w:bookmarkStart w:id="19997" w:name="_Toc1040706"/>
      <w:bookmarkStart w:id="19998" w:name="_Toc1056562"/>
      <w:bookmarkStart w:id="19999" w:name="_Toc1109720"/>
      <w:bookmarkStart w:id="20000" w:name="_Toc1128686"/>
      <w:bookmarkStart w:id="20001" w:name="_Toc1250066"/>
      <w:bookmarkStart w:id="20002" w:name="_Toc1258070"/>
      <w:bookmarkStart w:id="20003" w:name="_Toc19391508"/>
      <w:bookmarkStart w:id="20004" w:name="_Toc19395005"/>
      <w:r w:rsidRPr="00B06D6B">
        <w:rPr>
          <w:rFonts w:hint="cs"/>
          <w:rtl/>
        </w:rPr>
        <w:t>בדברי התוס'</w:t>
      </w:r>
      <w:bookmarkEnd w:id="19931"/>
      <w:bookmarkEnd w:id="19932"/>
      <w:bookmarkEnd w:id="19933"/>
      <w:bookmarkEnd w:id="19934"/>
      <w:bookmarkEnd w:id="19935"/>
      <w:bookmarkEnd w:id="19936"/>
      <w:bookmarkEnd w:id="19937"/>
      <w:bookmarkEnd w:id="19991"/>
      <w:bookmarkEnd w:id="19992"/>
      <w:r>
        <w:rPr>
          <w:rFonts w:hint="cs"/>
          <w:rtl/>
        </w:rPr>
        <w:t xml:space="preserve"> דבא על בת פקועה שיש בה אבר היוצא</w:t>
      </w:r>
      <w:bookmarkEnd w:id="19993"/>
      <w:bookmarkEnd w:id="19994"/>
      <w:bookmarkEnd w:id="19995"/>
      <w:bookmarkEnd w:id="19996"/>
      <w:bookmarkEnd w:id="19997"/>
      <w:bookmarkEnd w:id="19998"/>
      <w:bookmarkEnd w:id="19999"/>
      <w:bookmarkEnd w:id="20000"/>
      <w:bookmarkEnd w:id="20001"/>
      <w:bookmarkEnd w:id="20002"/>
      <w:bookmarkEnd w:id="20003"/>
      <w:bookmarkEnd w:id="20004"/>
    </w:p>
    <w:p w14:paraId="4EBAAB85" w14:textId="77777777" w:rsidR="003D504D" w:rsidRPr="00B06D6B" w:rsidRDefault="003D504D" w:rsidP="003D504D">
      <w:pPr>
        <w:pStyle w:val="a3"/>
        <w:rPr>
          <w:rtl/>
        </w:rPr>
      </w:pPr>
      <w:bookmarkStart w:id="20005" w:name="_Toc890751"/>
      <w:bookmarkStart w:id="20006" w:name="_Toc903146"/>
      <w:bookmarkStart w:id="20007" w:name="_Toc955517"/>
      <w:bookmarkStart w:id="20008" w:name="_Toc955810"/>
      <w:bookmarkStart w:id="20009" w:name="_Toc1039464"/>
      <w:bookmarkStart w:id="20010" w:name="_Toc1040707"/>
      <w:bookmarkStart w:id="20011" w:name="_Toc1056563"/>
      <w:bookmarkStart w:id="20012" w:name="_Toc1109721"/>
      <w:bookmarkStart w:id="20013" w:name="_Toc1128687"/>
      <w:bookmarkStart w:id="20014" w:name="_Toc1250067"/>
      <w:bookmarkStart w:id="20015" w:name="_Toc1258071"/>
      <w:bookmarkStart w:id="20016" w:name="_Toc19391509"/>
      <w:bookmarkStart w:id="20017" w:name="_Toc19395006"/>
      <w:r>
        <w:rPr>
          <w:rFonts w:hint="cs"/>
          <w:rtl/>
        </w:rPr>
        <w:t>דברי התוס' והר"ן דהספק הוא כשגם באב וגם באם יש אבר היוצא</w:t>
      </w:r>
      <w:bookmarkEnd w:id="20005"/>
      <w:bookmarkEnd w:id="20006"/>
      <w:bookmarkEnd w:id="20007"/>
      <w:bookmarkEnd w:id="20008"/>
      <w:bookmarkEnd w:id="20009"/>
      <w:bookmarkEnd w:id="20010"/>
      <w:bookmarkEnd w:id="20011"/>
      <w:bookmarkEnd w:id="20012"/>
      <w:bookmarkEnd w:id="20013"/>
      <w:bookmarkEnd w:id="20014"/>
      <w:bookmarkEnd w:id="20015"/>
      <w:bookmarkEnd w:id="20016"/>
      <w:bookmarkEnd w:id="20017"/>
    </w:p>
    <w:p w14:paraId="6A52E0C9" w14:textId="77777777" w:rsidR="003D504D" w:rsidRPr="00B06D6B" w:rsidRDefault="003D504D" w:rsidP="00223668">
      <w:pPr>
        <w:pStyle w:val="a0"/>
        <w:rPr>
          <w:rtl/>
        </w:rPr>
      </w:pPr>
      <w:r w:rsidRPr="00B06D6B">
        <w:rPr>
          <w:rFonts w:hint="cs"/>
          <w:rtl/>
        </w:rPr>
        <w:t xml:space="preserve"> </w:t>
      </w:r>
      <w:bookmarkStart w:id="20018" w:name="_Ref901397"/>
      <w:bookmarkStart w:id="20019" w:name="_Ref536701315"/>
      <w:r w:rsidRPr="007C31FD">
        <w:rPr>
          <w:rStyle w:val="af9"/>
          <w:rFonts w:hint="cs"/>
          <w:rtl/>
        </w:rPr>
        <w:t>וה</w:t>
      </w:r>
      <w:r w:rsidRPr="00B06D6B">
        <w:rPr>
          <w:rStyle w:val="af9"/>
          <w:rFonts w:hint="cs"/>
          <w:rtl/>
        </w:rPr>
        <w:t>תוס'</w:t>
      </w:r>
      <w:r w:rsidRPr="00B06D6B">
        <w:rPr>
          <w:rFonts w:hint="cs"/>
          <w:rtl/>
        </w:rPr>
        <w:t xml:space="preserve"> </w:t>
      </w:r>
      <w:r w:rsidRPr="005679AC">
        <w:rPr>
          <w:rStyle w:val="af7"/>
          <w:rFonts w:eastAsia="Guttman Hodes" w:hint="cs"/>
          <w:rtl/>
        </w:rPr>
        <w:t xml:space="preserve">(ד"ה דאתא) </w:t>
      </w:r>
      <w:r>
        <w:rPr>
          <w:rStyle w:val="af9"/>
          <w:rFonts w:hint="cs"/>
          <w:rtl/>
        </w:rPr>
        <w:t>ו</w:t>
      </w:r>
      <w:r w:rsidRPr="00B06D6B">
        <w:rPr>
          <w:rStyle w:val="af9"/>
          <w:rFonts w:hint="cs"/>
          <w:rtl/>
        </w:rPr>
        <w:t>הר"ן בחי'</w:t>
      </w:r>
      <w:r>
        <w:rPr>
          <w:rFonts w:hint="cs"/>
          <w:rtl/>
        </w:rPr>
        <w:t xml:space="preserve"> </w:t>
      </w:r>
      <w:r w:rsidRPr="005679AC">
        <w:rPr>
          <w:rStyle w:val="af7"/>
          <w:rFonts w:eastAsia="Guttman Hodes" w:hint="cs"/>
          <w:rtl/>
        </w:rPr>
        <w:t xml:space="preserve">(עי' אות </w:t>
      </w:r>
      <w:r w:rsidRPr="00600C73">
        <w:rPr>
          <w:rStyle w:val="af7"/>
          <w:rFonts w:eastAsia="Guttman Hodes"/>
          <w:rtl/>
        </w:rPr>
        <w:fldChar w:fldCharType="begin"/>
      </w:r>
      <w:r w:rsidRPr="00600C73">
        <w:rPr>
          <w:rStyle w:val="af7"/>
          <w:rFonts w:eastAsia="Guttman Hodes"/>
          <w:rtl/>
        </w:rPr>
        <w:instrText xml:space="preserve"> </w:instrText>
      </w:r>
      <w:r w:rsidRPr="00600C73">
        <w:rPr>
          <w:rStyle w:val="af7"/>
          <w:rFonts w:eastAsia="Guttman Hodes" w:hint="cs"/>
        </w:rPr>
        <w:instrText>REF</w:instrText>
      </w:r>
      <w:r w:rsidRPr="00600C73">
        <w:rPr>
          <w:rStyle w:val="af7"/>
          <w:rFonts w:eastAsia="Guttman Hodes" w:hint="cs"/>
          <w:rtl/>
        </w:rPr>
        <w:instrText xml:space="preserve"> _</w:instrText>
      </w:r>
      <w:r w:rsidRPr="00600C73">
        <w:rPr>
          <w:rStyle w:val="af7"/>
          <w:rFonts w:eastAsia="Guttman Hodes" w:hint="cs"/>
        </w:rPr>
        <w:instrText>Ref536697102 \r \h</w:instrText>
      </w:r>
      <w:r w:rsidRPr="00600C73">
        <w:rPr>
          <w:rStyle w:val="af7"/>
          <w:rFonts w:eastAsia="Guttman Hodes"/>
          <w:rtl/>
        </w:rPr>
        <w:instrText xml:space="preserve"> </w:instrText>
      </w:r>
      <w:r w:rsidRPr="00600C73">
        <w:rPr>
          <w:rStyle w:val="af7"/>
          <w:rFonts w:eastAsia="Guttman Hodes"/>
          <w:rtl/>
        </w:rPr>
      </w:r>
      <w:r w:rsidRPr="00600C73">
        <w:rPr>
          <w:rStyle w:val="af7"/>
          <w:rFonts w:eastAsia="Guttman Hodes"/>
          <w:rtl/>
        </w:rPr>
        <w:fldChar w:fldCharType="separate"/>
      </w:r>
      <w:r w:rsidR="00345400">
        <w:rPr>
          <w:rStyle w:val="af7"/>
          <w:rFonts w:eastAsia="Guttman Hodes"/>
          <w:cs/>
        </w:rPr>
        <w:t>‎</w:t>
      </w:r>
      <w:r w:rsidR="00345400">
        <w:rPr>
          <w:rStyle w:val="af7"/>
          <w:rFonts w:eastAsia="Guttman Hodes"/>
          <w:rtl/>
        </w:rPr>
        <w:t>יד)</w:t>
      </w:r>
      <w:r w:rsidRPr="00600C73">
        <w:rPr>
          <w:rStyle w:val="af7"/>
          <w:rFonts w:eastAsia="Guttman Hodes"/>
          <w:rtl/>
        </w:rPr>
        <w:fldChar w:fldCharType="end"/>
      </w:r>
      <w:r>
        <w:rPr>
          <w:rFonts w:hint="cs"/>
          <w:rtl/>
        </w:rPr>
        <w:t xml:space="preserve"> </w:t>
      </w:r>
      <w:r w:rsidRPr="00B06D6B">
        <w:rPr>
          <w:rFonts w:hint="cs"/>
          <w:rtl/>
        </w:rPr>
        <w:t xml:space="preserve">כתבו </w:t>
      </w:r>
      <w:r>
        <w:rPr>
          <w:rFonts w:hint="cs"/>
          <w:rtl/>
        </w:rPr>
        <w:t xml:space="preserve">דבספק בבא על בן פקועה דכוותיה, איירי </w:t>
      </w:r>
      <w:r w:rsidRPr="00B06D6B">
        <w:rPr>
          <w:rFonts w:hint="cs"/>
          <w:rtl/>
        </w:rPr>
        <w:t>שבא על בן פקועה ש</w:t>
      </w:r>
      <w:r>
        <w:rPr>
          <w:rFonts w:hint="cs"/>
          <w:rtl/>
        </w:rPr>
        <w:t xml:space="preserve">גם לו יש </w:t>
      </w:r>
      <w:r w:rsidRPr="00B06D6B">
        <w:rPr>
          <w:rFonts w:hint="cs"/>
          <w:rtl/>
        </w:rPr>
        <w:t xml:space="preserve">אבר אחד שאסור באיסור </w:t>
      </w:r>
      <w:r>
        <w:rPr>
          <w:rFonts w:hint="cs"/>
          <w:rtl/>
        </w:rPr>
        <w:t>אבר ה</w:t>
      </w:r>
      <w:r w:rsidRPr="00B06D6B">
        <w:rPr>
          <w:rFonts w:hint="cs"/>
          <w:rtl/>
        </w:rPr>
        <w:t>יוצא</w:t>
      </w:r>
      <w:r>
        <w:rPr>
          <w:rStyle w:val="af9"/>
          <w:rFonts w:hint="cs"/>
          <w:rtl/>
        </w:rPr>
        <w:t xml:space="preserve">, </w:t>
      </w:r>
      <w:r>
        <w:rPr>
          <w:rFonts w:hint="cs"/>
          <w:rtl/>
        </w:rPr>
        <w:t xml:space="preserve">וביאר </w:t>
      </w:r>
      <w:r w:rsidRPr="00B06D6B">
        <w:rPr>
          <w:rStyle w:val="af9"/>
          <w:rFonts w:hint="cs"/>
          <w:rtl/>
        </w:rPr>
        <w:t xml:space="preserve">הר"ן </w:t>
      </w:r>
      <w:r>
        <w:rPr>
          <w:rFonts w:hint="cs"/>
          <w:rtl/>
        </w:rPr>
        <w:t xml:space="preserve">דלכן נקטה הגמ' לשון </w:t>
      </w:r>
      <w:r w:rsidRPr="00B06D6B">
        <w:rPr>
          <w:rFonts w:hint="cs"/>
          <w:rtl/>
        </w:rPr>
        <w:t>"דאזל אבן פקועה דכוותיה".</w:t>
      </w:r>
      <w:bookmarkEnd w:id="20018"/>
      <w:r w:rsidRPr="00B06D6B">
        <w:rPr>
          <w:rFonts w:hint="cs"/>
          <w:rtl/>
        </w:rPr>
        <w:t xml:space="preserve"> </w:t>
      </w:r>
      <w:bookmarkEnd w:id="20019"/>
    </w:p>
    <w:p w14:paraId="08867D34" w14:textId="77777777" w:rsidR="003D504D" w:rsidRPr="00B06D6B" w:rsidRDefault="003D504D" w:rsidP="003D504D">
      <w:pPr>
        <w:pStyle w:val="a3"/>
        <w:rPr>
          <w:rtl/>
        </w:rPr>
      </w:pPr>
      <w:bookmarkStart w:id="20020" w:name="_Toc890752"/>
      <w:bookmarkStart w:id="20021" w:name="_Toc903147"/>
      <w:bookmarkStart w:id="20022" w:name="_Toc955518"/>
      <w:bookmarkStart w:id="20023" w:name="_Toc955811"/>
      <w:bookmarkStart w:id="20024" w:name="_Toc1039465"/>
      <w:bookmarkStart w:id="20025" w:name="_Toc1040708"/>
      <w:bookmarkStart w:id="20026" w:name="_Toc1056564"/>
      <w:bookmarkStart w:id="20027" w:name="_Toc1109722"/>
      <w:bookmarkStart w:id="20028" w:name="_Toc1128688"/>
      <w:bookmarkStart w:id="20029" w:name="_Toc1250068"/>
      <w:bookmarkStart w:id="20030" w:name="_Toc1258072"/>
      <w:bookmarkStart w:id="20031" w:name="_Toc19391510"/>
      <w:bookmarkStart w:id="20032" w:name="_Toc19395007"/>
      <w:r>
        <w:rPr>
          <w:rFonts w:hint="cs"/>
          <w:rtl/>
        </w:rPr>
        <w:t>קושית המהרש"א דאף דכן משמע לשון הגמ' מ"מ אמאי הוצרכה הגמ' להעמיד בכה"ג</w:t>
      </w:r>
      <w:bookmarkEnd w:id="20020"/>
      <w:bookmarkEnd w:id="20021"/>
      <w:bookmarkEnd w:id="20022"/>
      <w:bookmarkEnd w:id="20023"/>
      <w:bookmarkEnd w:id="20024"/>
      <w:bookmarkEnd w:id="20025"/>
      <w:bookmarkEnd w:id="20026"/>
      <w:bookmarkEnd w:id="20027"/>
      <w:bookmarkEnd w:id="20028"/>
      <w:bookmarkEnd w:id="20029"/>
      <w:bookmarkEnd w:id="20030"/>
      <w:bookmarkEnd w:id="20031"/>
      <w:bookmarkEnd w:id="20032"/>
    </w:p>
    <w:p w14:paraId="2A7DE2DF" w14:textId="77777777" w:rsidR="003D504D" w:rsidRDefault="003D504D" w:rsidP="00223668">
      <w:pPr>
        <w:pStyle w:val="a0"/>
        <w:rPr>
          <w:rtl/>
        </w:rPr>
      </w:pPr>
      <w:bookmarkStart w:id="20033" w:name="_Ref536787014"/>
      <w:r w:rsidRPr="00B06D6B">
        <w:rPr>
          <w:rFonts w:hint="cs"/>
          <w:rtl/>
        </w:rPr>
        <w:t xml:space="preserve">וכתבו </w:t>
      </w:r>
      <w:r w:rsidRPr="00B06D6B">
        <w:rPr>
          <w:rStyle w:val="af9"/>
          <w:rFonts w:hint="cs"/>
          <w:rtl/>
        </w:rPr>
        <w:t>המהרש"א</w:t>
      </w:r>
      <w:r w:rsidRPr="00B06D6B">
        <w:rPr>
          <w:rFonts w:hint="cs"/>
          <w:rtl/>
        </w:rPr>
        <w:t xml:space="preserve"> </w:t>
      </w:r>
      <w:r w:rsidRPr="005679AC">
        <w:rPr>
          <w:rStyle w:val="af7"/>
          <w:rFonts w:eastAsia="Guttman Hodes" w:hint="cs"/>
          <w:rtl/>
        </w:rPr>
        <w:t xml:space="preserve">(על תוד"ה דאתא) </w:t>
      </w:r>
      <w:r w:rsidRPr="00B06D6B">
        <w:rPr>
          <w:rStyle w:val="af9"/>
          <w:rFonts w:hint="cs"/>
          <w:rtl/>
        </w:rPr>
        <w:t>והמהר"ם</w:t>
      </w:r>
      <w:r w:rsidRPr="00B06D6B">
        <w:rPr>
          <w:rFonts w:hint="cs"/>
          <w:rtl/>
        </w:rPr>
        <w:t xml:space="preserve"> </w:t>
      </w:r>
      <w:r w:rsidRPr="005679AC">
        <w:rPr>
          <w:rStyle w:val="af7"/>
          <w:rFonts w:eastAsia="Guttman Hodes" w:hint="cs"/>
          <w:rtl/>
        </w:rPr>
        <w:t>(על תוד"ה דאתא)</w:t>
      </w:r>
      <w:r w:rsidRPr="00B06D6B">
        <w:rPr>
          <w:rFonts w:hint="cs"/>
          <w:rtl/>
        </w:rPr>
        <w:t xml:space="preserve"> דמשמעות לשון הגמ' "דכוותיה", משמע כדברי </w:t>
      </w:r>
      <w:r w:rsidRPr="00B06D6B">
        <w:rPr>
          <w:rStyle w:val="af9"/>
          <w:rFonts w:hint="cs"/>
          <w:rtl/>
        </w:rPr>
        <w:t>התוס'</w:t>
      </w:r>
      <w:r w:rsidRPr="00B06D6B">
        <w:rPr>
          <w:rFonts w:hint="cs"/>
          <w:rtl/>
        </w:rPr>
        <w:t xml:space="preserve">, אך הקשה </w:t>
      </w:r>
      <w:r w:rsidRPr="00B06D6B">
        <w:rPr>
          <w:rStyle w:val="af9"/>
          <w:rFonts w:hint="cs"/>
          <w:rtl/>
        </w:rPr>
        <w:t>המהרש"א</w:t>
      </w:r>
      <w:r w:rsidRPr="00B06D6B">
        <w:rPr>
          <w:rFonts w:hint="cs"/>
          <w:rtl/>
        </w:rPr>
        <w:t xml:space="preserve"> דאמאי הוצרכה הגמ' להעמיד באופן זה.</w:t>
      </w:r>
      <w:bookmarkEnd w:id="20033"/>
    </w:p>
    <w:p w14:paraId="3A755A95" w14:textId="77777777" w:rsidR="007E0A48" w:rsidRPr="007E0A48" w:rsidRDefault="007E0A48" w:rsidP="007E0A48">
      <w:pPr>
        <w:pStyle w:val="a3"/>
        <w:rPr>
          <w:rtl/>
        </w:rPr>
      </w:pPr>
    </w:p>
    <w:p w14:paraId="4320CA3D" w14:textId="77777777" w:rsidR="003D504D" w:rsidRPr="00B06D6B" w:rsidRDefault="003D504D" w:rsidP="003D504D">
      <w:pPr>
        <w:pStyle w:val="a3"/>
        <w:rPr>
          <w:rtl/>
        </w:rPr>
      </w:pPr>
      <w:bookmarkStart w:id="20034" w:name="_Toc903148"/>
      <w:bookmarkStart w:id="20035" w:name="_Toc955519"/>
      <w:bookmarkStart w:id="20036" w:name="_Toc955812"/>
      <w:bookmarkStart w:id="20037" w:name="_Toc1039466"/>
      <w:bookmarkStart w:id="20038" w:name="_Toc1040709"/>
      <w:bookmarkStart w:id="20039" w:name="_Toc1056565"/>
      <w:bookmarkStart w:id="20040" w:name="_Toc1109723"/>
      <w:bookmarkStart w:id="20041" w:name="_Toc1128689"/>
      <w:bookmarkStart w:id="20042" w:name="_Toc1250069"/>
      <w:bookmarkStart w:id="20043" w:name="_Toc1258073"/>
      <w:bookmarkStart w:id="20044" w:name="_Toc19391511"/>
      <w:bookmarkStart w:id="20045" w:name="_Toc19395008"/>
      <w:r>
        <w:rPr>
          <w:rFonts w:hint="cs"/>
          <w:rtl/>
        </w:rPr>
        <w:t>ביאור המהרש"א דבבא על בת פקועה שאין בה אבר היוצא פשיטא דמותר מדין זה וזה גורם</w:t>
      </w:r>
      <w:bookmarkEnd w:id="20034"/>
      <w:bookmarkEnd w:id="20035"/>
      <w:bookmarkEnd w:id="20036"/>
      <w:bookmarkEnd w:id="20037"/>
      <w:bookmarkEnd w:id="20038"/>
      <w:bookmarkEnd w:id="20039"/>
      <w:bookmarkEnd w:id="20040"/>
      <w:bookmarkEnd w:id="20041"/>
      <w:bookmarkEnd w:id="20042"/>
      <w:bookmarkEnd w:id="20043"/>
      <w:bookmarkEnd w:id="20044"/>
      <w:bookmarkEnd w:id="20045"/>
      <w:r>
        <w:rPr>
          <w:rFonts w:hint="cs"/>
          <w:rtl/>
        </w:rPr>
        <w:t xml:space="preserve"> </w:t>
      </w:r>
    </w:p>
    <w:p w14:paraId="5BFB6445" w14:textId="77777777" w:rsidR="003D504D" w:rsidRPr="00B06D6B" w:rsidRDefault="003D504D" w:rsidP="00223668">
      <w:pPr>
        <w:pStyle w:val="a0"/>
        <w:rPr>
          <w:rtl/>
        </w:rPr>
      </w:pPr>
      <w:bookmarkStart w:id="20046" w:name="_Ref536698250"/>
      <w:r w:rsidRPr="00B06D6B">
        <w:rPr>
          <w:rFonts w:hint="cs"/>
          <w:rtl/>
        </w:rPr>
        <w:t xml:space="preserve">ותירץ </w:t>
      </w:r>
      <w:r w:rsidRPr="00B06D6B">
        <w:rPr>
          <w:rStyle w:val="af9"/>
          <w:rFonts w:hint="cs"/>
          <w:rtl/>
        </w:rPr>
        <w:t>המהרש"א</w:t>
      </w:r>
      <w:r w:rsidRPr="00B06D6B">
        <w:rPr>
          <w:rFonts w:hint="cs"/>
          <w:rtl/>
        </w:rPr>
        <w:t xml:space="preserve"> דאי איירי ד</w:t>
      </w:r>
      <w:r>
        <w:rPr>
          <w:rFonts w:hint="cs"/>
          <w:rtl/>
        </w:rPr>
        <w:t>בא על בת פקועה שאין בה אבר היוצא</w:t>
      </w:r>
      <w:r w:rsidRPr="00B06D6B">
        <w:rPr>
          <w:rFonts w:hint="cs"/>
          <w:rtl/>
        </w:rPr>
        <w:t xml:space="preserve">, פשיטא דהולד מותר, דבכה"ג אף בזה וזה גורם מותר, דדמי לגמ' לעיל </w:t>
      </w:r>
      <w:r w:rsidRPr="005679AC">
        <w:rPr>
          <w:rStyle w:val="af7"/>
          <w:rFonts w:eastAsia="Guttman Hodes" w:hint="cs"/>
          <w:rtl/>
        </w:rPr>
        <w:t xml:space="preserve">(נח.) </w:t>
      </w:r>
      <w:r w:rsidRPr="00B06D6B">
        <w:rPr>
          <w:rFonts w:hint="cs"/>
          <w:rtl/>
        </w:rPr>
        <w:t xml:space="preserve">לגבי "שיחלא בתרא" דהיא ביצת טריפה שנוצרה לאחר שנטרפה מותרת, כיון שנגרמה גם ע"י הזכר ובכה"ג זה וזה גורם מותר, </w:t>
      </w:r>
      <w:r w:rsidRPr="00B06D6B">
        <w:rPr>
          <w:rStyle w:val="afb"/>
          <w:rFonts w:hint="cs"/>
          <w:rtl/>
        </w:rPr>
        <w:t xml:space="preserve">[ודלא </w:t>
      </w:r>
      <w:r w:rsidRPr="00B06D6B">
        <w:rPr>
          <w:rStyle w:val="affa"/>
          <w:rFonts w:hint="cs"/>
          <w:rtl/>
        </w:rPr>
        <w:t xml:space="preserve">כהר"ן </w:t>
      </w:r>
      <w:r w:rsidRPr="00B06D6B">
        <w:rPr>
          <w:rStyle w:val="aff6"/>
          <w:rFonts w:hint="cs"/>
          <w:rtl/>
        </w:rPr>
        <w:t xml:space="preserve">(עי' אות </w:t>
      </w:r>
      <w:r w:rsidRPr="00B06D6B">
        <w:rPr>
          <w:rStyle w:val="aff6"/>
          <w:rtl/>
        </w:rPr>
        <w:fldChar w:fldCharType="begin"/>
      </w:r>
      <w:r w:rsidRPr="00B06D6B">
        <w:rPr>
          <w:rStyle w:val="aff6"/>
          <w:rtl/>
        </w:rPr>
        <w:instrText xml:space="preserve"> </w:instrText>
      </w:r>
      <w:r w:rsidRPr="00B06D6B">
        <w:rPr>
          <w:rStyle w:val="aff6"/>
          <w:rFonts w:hint="cs"/>
        </w:rPr>
        <w:instrText>REF</w:instrText>
      </w:r>
      <w:r w:rsidRPr="00B06D6B">
        <w:rPr>
          <w:rStyle w:val="aff6"/>
          <w:rFonts w:hint="cs"/>
          <w:rtl/>
        </w:rPr>
        <w:instrText xml:space="preserve"> _</w:instrText>
      </w:r>
      <w:r w:rsidRPr="00B06D6B">
        <w:rPr>
          <w:rStyle w:val="aff6"/>
          <w:rFonts w:hint="cs"/>
        </w:rPr>
        <w:instrText>Ref536697102 \r \h</w:instrText>
      </w:r>
      <w:r w:rsidRPr="00B06D6B">
        <w:rPr>
          <w:rStyle w:val="aff6"/>
          <w:rtl/>
        </w:rPr>
        <w:instrText xml:space="preserve">  \* </w:instrText>
      </w:r>
      <w:r w:rsidRPr="00B06D6B">
        <w:rPr>
          <w:rStyle w:val="aff6"/>
        </w:rPr>
        <w:instrText>MERGEFORMAT</w:instrText>
      </w:r>
      <w:r w:rsidRPr="00B06D6B">
        <w:rPr>
          <w:rStyle w:val="aff6"/>
          <w:rtl/>
        </w:rPr>
        <w:instrText xml:space="preserve"> </w:instrText>
      </w:r>
      <w:r w:rsidRPr="00B06D6B">
        <w:rPr>
          <w:rStyle w:val="aff6"/>
          <w:rtl/>
        </w:rPr>
      </w:r>
      <w:r w:rsidRPr="00B06D6B">
        <w:rPr>
          <w:rStyle w:val="aff6"/>
          <w:rtl/>
        </w:rPr>
        <w:fldChar w:fldCharType="separate"/>
      </w:r>
      <w:r w:rsidR="00345400">
        <w:rPr>
          <w:rStyle w:val="aff6"/>
          <w:cs/>
        </w:rPr>
        <w:t>‎</w:t>
      </w:r>
      <w:r w:rsidR="00345400">
        <w:rPr>
          <w:rStyle w:val="aff6"/>
          <w:rtl/>
        </w:rPr>
        <w:t>יד)</w:t>
      </w:r>
      <w:r w:rsidRPr="00B06D6B">
        <w:rPr>
          <w:rStyle w:val="aff6"/>
          <w:rtl/>
        </w:rPr>
        <w:fldChar w:fldCharType="end"/>
      </w:r>
      <w:r w:rsidRPr="00B06D6B">
        <w:rPr>
          <w:rStyle w:val="afb"/>
          <w:rFonts w:hint="cs"/>
          <w:rtl/>
        </w:rPr>
        <w:t>]</w:t>
      </w:r>
      <w:r w:rsidRPr="00B06D6B">
        <w:rPr>
          <w:rFonts w:hint="cs"/>
          <w:rtl/>
        </w:rPr>
        <w:t>.</w:t>
      </w:r>
      <w:bookmarkEnd w:id="20046"/>
    </w:p>
    <w:p w14:paraId="56428A4D" w14:textId="77777777" w:rsidR="003D504D" w:rsidRPr="00B06D6B" w:rsidRDefault="003D504D" w:rsidP="003D504D">
      <w:pPr>
        <w:pStyle w:val="a3"/>
        <w:rPr>
          <w:rtl/>
        </w:rPr>
      </w:pPr>
      <w:bookmarkStart w:id="20047" w:name="_Toc903149"/>
      <w:bookmarkStart w:id="20048" w:name="_Toc955520"/>
      <w:bookmarkStart w:id="20049" w:name="_Toc955813"/>
      <w:bookmarkStart w:id="20050" w:name="_Toc1039467"/>
      <w:bookmarkStart w:id="20051" w:name="_Toc1040710"/>
      <w:bookmarkStart w:id="20052" w:name="_Toc1056566"/>
      <w:bookmarkStart w:id="20053" w:name="_Toc1109724"/>
      <w:bookmarkStart w:id="20054" w:name="_Toc1128690"/>
      <w:bookmarkStart w:id="20055" w:name="_Toc1250070"/>
      <w:bookmarkStart w:id="20056" w:name="_Toc1258074"/>
      <w:bookmarkStart w:id="20057" w:name="_Toc19391512"/>
      <w:bookmarkStart w:id="20058" w:name="_Toc19395009"/>
      <w:r>
        <w:rPr>
          <w:rFonts w:hint="cs"/>
          <w:rtl/>
        </w:rPr>
        <w:t>דברי המהרש"א דבשור בעלמא שבא על בת פקועה שיש בה אבר היוצא לכו"ע מותר מדין זוז"ג</w:t>
      </w:r>
      <w:bookmarkEnd w:id="20047"/>
      <w:bookmarkEnd w:id="20048"/>
      <w:bookmarkEnd w:id="20049"/>
      <w:bookmarkEnd w:id="20050"/>
      <w:bookmarkEnd w:id="20051"/>
      <w:bookmarkEnd w:id="20052"/>
      <w:bookmarkEnd w:id="20053"/>
      <w:bookmarkEnd w:id="20054"/>
      <w:bookmarkEnd w:id="20055"/>
      <w:bookmarkEnd w:id="20056"/>
      <w:bookmarkEnd w:id="20057"/>
      <w:bookmarkEnd w:id="20058"/>
      <w:r>
        <w:rPr>
          <w:rFonts w:hint="cs"/>
          <w:rtl/>
        </w:rPr>
        <w:t xml:space="preserve"> </w:t>
      </w:r>
    </w:p>
    <w:p w14:paraId="51C080A4" w14:textId="77777777" w:rsidR="003D504D" w:rsidRPr="00B06D6B" w:rsidRDefault="003D504D" w:rsidP="00223668">
      <w:pPr>
        <w:pStyle w:val="a0"/>
        <w:rPr>
          <w:rtl/>
        </w:rPr>
      </w:pPr>
      <w:r w:rsidRPr="00B06D6B">
        <w:rPr>
          <w:rFonts w:hint="cs"/>
          <w:rtl/>
        </w:rPr>
        <w:t xml:space="preserve">וכתב </w:t>
      </w:r>
      <w:r w:rsidRPr="00B06D6B">
        <w:rPr>
          <w:rStyle w:val="af9"/>
          <w:rFonts w:hint="cs"/>
          <w:rtl/>
        </w:rPr>
        <w:t>המהרש"א</w:t>
      </w:r>
      <w:r w:rsidRPr="00B06D6B">
        <w:rPr>
          <w:rFonts w:hint="cs"/>
          <w:rtl/>
        </w:rPr>
        <w:t xml:space="preserve"> דבזה מבואר הא דלא העמידה הגמ' את הספק של רב ירמיה למ"ד דאין חוששין לזרע האב, ואיירי </w:t>
      </w:r>
      <w:r>
        <w:rPr>
          <w:rFonts w:hint="cs"/>
          <w:rtl/>
        </w:rPr>
        <w:t>בשור מעלמא שבא על בת</w:t>
      </w:r>
      <w:r w:rsidRPr="00B06D6B">
        <w:rPr>
          <w:rFonts w:hint="cs"/>
          <w:rtl/>
        </w:rPr>
        <w:t xml:space="preserve"> פקועה שיש בה </w:t>
      </w:r>
      <w:r>
        <w:rPr>
          <w:rFonts w:hint="cs"/>
          <w:rtl/>
        </w:rPr>
        <w:t>אבר היוצא</w:t>
      </w:r>
      <w:r w:rsidRPr="00B06D6B">
        <w:rPr>
          <w:rFonts w:hint="cs"/>
          <w:rtl/>
        </w:rPr>
        <w:t xml:space="preserve">, דבכה"ג ודאי דמותר מדין זה וזה גורם, דאף שהזכר הוא גורם את ההיתר, וס"ל דאין חוששין לזרע האב, מ"מ כיון שיש  לו צד אחד של איסור וצד אחד של היתר, הוי זה וזה גורם ומותר לכו"ע, וכמבואר </w:t>
      </w:r>
      <w:r w:rsidRPr="00B06D6B">
        <w:rPr>
          <w:rStyle w:val="af9"/>
          <w:rFonts w:hint="cs"/>
          <w:rtl/>
        </w:rPr>
        <w:t>בתוס' לעיל</w:t>
      </w:r>
      <w:r w:rsidRPr="00B06D6B">
        <w:rPr>
          <w:rFonts w:hint="cs"/>
          <w:rtl/>
        </w:rPr>
        <w:t xml:space="preserve"> </w:t>
      </w:r>
      <w:r w:rsidRPr="005679AC">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Ref536786982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Pr>
          <w:rStyle w:val="af7"/>
          <w:rFonts w:eastAsia="Guttman Hodes"/>
          <w:rtl/>
        </w:rPr>
        <w:fldChar w:fldCharType="end"/>
      </w:r>
      <w:r>
        <w:rPr>
          <w:rFonts w:hint="cs"/>
          <w:rtl/>
        </w:rPr>
        <w:t>.</w:t>
      </w:r>
    </w:p>
    <w:p w14:paraId="6113F728" w14:textId="77777777" w:rsidR="003D504D" w:rsidRDefault="003D504D" w:rsidP="003D504D">
      <w:pPr>
        <w:pStyle w:val="a3"/>
        <w:rPr>
          <w:rtl/>
        </w:rPr>
      </w:pPr>
      <w:bookmarkStart w:id="20059" w:name="_Toc903150"/>
      <w:bookmarkStart w:id="20060" w:name="_Toc955521"/>
      <w:bookmarkStart w:id="20061" w:name="_Toc955814"/>
      <w:bookmarkStart w:id="20062" w:name="_Toc1039468"/>
      <w:bookmarkStart w:id="20063" w:name="_Toc1040711"/>
      <w:bookmarkStart w:id="20064" w:name="_Toc1056567"/>
      <w:bookmarkStart w:id="20065" w:name="_Toc1109725"/>
      <w:bookmarkStart w:id="20066" w:name="_Toc1128691"/>
      <w:bookmarkStart w:id="20067" w:name="_Toc1250071"/>
      <w:bookmarkStart w:id="20068" w:name="_Toc1258075"/>
      <w:bookmarkStart w:id="20069" w:name="_Toc19391513"/>
      <w:bookmarkStart w:id="20070" w:name="_Toc19395010"/>
      <w:r>
        <w:rPr>
          <w:rFonts w:hint="cs"/>
          <w:rtl/>
        </w:rPr>
        <w:t>דברי היבע"ץ דהוכיחו התוס' כן מדלא הסתפקה הגמ' בבא על בת פקועה שיש בה אבר היוצא</w:t>
      </w:r>
      <w:bookmarkEnd w:id="20059"/>
      <w:bookmarkEnd w:id="20060"/>
      <w:bookmarkEnd w:id="20061"/>
      <w:bookmarkEnd w:id="20062"/>
      <w:bookmarkEnd w:id="20063"/>
      <w:bookmarkEnd w:id="20064"/>
      <w:bookmarkEnd w:id="20065"/>
      <w:bookmarkEnd w:id="20066"/>
      <w:bookmarkEnd w:id="20067"/>
      <w:bookmarkEnd w:id="20068"/>
      <w:bookmarkEnd w:id="20069"/>
      <w:bookmarkEnd w:id="20070"/>
    </w:p>
    <w:p w14:paraId="55FDA2BB" w14:textId="77777777" w:rsidR="003D504D" w:rsidRDefault="003D504D" w:rsidP="00223668">
      <w:pPr>
        <w:pStyle w:val="a0"/>
        <w:rPr>
          <w:rtl/>
        </w:rPr>
      </w:pPr>
      <w:bookmarkStart w:id="20071" w:name="_Ref901406"/>
      <w:r>
        <w:rPr>
          <w:rFonts w:hint="cs"/>
          <w:rtl/>
        </w:rPr>
        <w:t xml:space="preserve">וכן ביאר </w:t>
      </w:r>
      <w:r w:rsidRPr="00F23217">
        <w:rPr>
          <w:rStyle w:val="af9"/>
          <w:rFonts w:hint="cs"/>
          <w:rtl/>
        </w:rPr>
        <w:t xml:space="preserve">בהג' יעב"ץ </w:t>
      </w:r>
      <w:r w:rsidRPr="005679AC">
        <w:rPr>
          <w:rStyle w:val="af7"/>
          <w:rFonts w:eastAsia="Guttman Hodes" w:hint="cs"/>
          <w:rtl/>
        </w:rPr>
        <w:t>(על תוד"ה דאתא)</w:t>
      </w:r>
      <w:r>
        <w:rPr>
          <w:rFonts w:hint="cs"/>
          <w:rtl/>
        </w:rPr>
        <w:t xml:space="preserve"> דס"ל </w:t>
      </w:r>
      <w:r w:rsidRPr="00F23217">
        <w:rPr>
          <w:rStyle w:val="af9"/>
          <w:rFonts w:hint="cs"/>
          <w:rtl/>
        </w:rPr>
        <w:t xml:space="preserve">להתוס' </w:t>
      </w:r>
      <w:r>
        <w:rPr>
          <w:rFonts w:hint="cs"/>
          <w:rtl/>
        </w:rPr>
        <w:t>דאי הספק הוא בבא על בן פקועה כשר שאין בו אבר היוצא, א"כ שייך להסתפק רק למ"ד דחוששין לזרע האב, והיה לגמ' להסתפק לכו"ע, באופן שבאם יש אבר היוצא, ומדלא הסתפקה הגמ' בזה מוכח דבכה"ג לכו"ע מותר מדין זה וזה גורם, וא"כ ה"ה בזכר שיש בו אבר היוצא, שבא על בת פקועה שאין בה אבר היוצא דמותר מדין זה וזה גורם.</w:t>
      </w:r>
      <w:bookmarkEnd w:id="20071"/>
    </w:p>
    <w:p w14:paraId="7E58BAAB" w14:textId="77777777" w:rsidR="003D504D" w:rsidRPr="00B06D6B" w:rsidRDefault="003D504D" w:rsidP="003D504D">
      <w:pPr>
        <w:pStyle w:val="a3"/>
        <w:rPr>
          <w:rtl/>
        </w:rPr>
      </w:pPr>
      <w:bookmarkStart w:id="20072" w:name="_Toc903151"/>
      <w:bookmarkStart w:id="20073" w:name="_Toc955522"/>
      <w:bookmarkStart w:id="20074" w:name="_Toc955815"/>
      <w:bookmarkStart w:id="20075" w:name="_Toc1039469"/>
      <w:bookmarkStart w:id="20076" w:name="_Toc1040712"/>
      <w:bookmarkStart w:id="20077" w:name="_Toc1056568"/>
      <w:bookmarkStart w:id="20078" w:name="_Toc1109726"/>
      <w:bookmarkStart w:id="20079" w:name="_Toc1128692"/>
      <w:bookmarkStart w:id="20080" w:name="_Toc1250072"/>
      <w:bookmarkStart w:id="20081" w:name="_Toc1258076"/>
      <w:bookmarkStart w:id="20082" w:name="_Toc19391514"/>
      <w:bookmarkStart w:id="20083" w:name="_Toc19395011"/>
      <w:bookmarkStart w:id="20084" w:name="_Toc862080"/>
      <w:bookmarkStart w:id="20085" w:name="_Toc890753"/>
      <w:r>
        <w:rPr>
          <w:rFonts w:hint="cs"/>
          <w:rtl/>
        </w:rPr>
        <w:t>דברי המהר"ם דלתוס' הספק הוא אף למ"ד דאין חוששין לזרע האב</w:t>
      </w:r>
      <w:bookmarkEnd w:id="20072"/>
      <w:bookmarkEnd w:id="20073"/>
      <w:bookmarkEnd w:id="20074"/>
      <w:bookmarkEnd w:id="20075"/>
      <w:bookmarkEnd w:id="20076"/>
      <w:bookmarkEnd w:id="20077"/>
      <w:bookmarkEnd w:id="20078"/>
      <w:bookmarkEnd w:id="20079"/>
      <w:bookmarkEnd w:id="20080"/>
      <w:bookmarkEnd w:id="20081"/>
      <w:bookmarkEnd w:id="20082"/>
      <w:bookmarkEnd w:id="20083"/>
    </w:p>
    <w:p w14:paraId="2CFE310D" w14:textId="77777777" w:rsidR="003D504D" w:rsidRDefault="003D504D" w:rsidP="00223668">
      <w:pPr>
        <w:pStyle w:val="a0"/>
        <w:rPr>
          <w:rtl/>
        </w:rPr>
      </w:pPr>
      <w:r w:rsidRPr="00B06D6B">
        <w:rPr>
          <w:rStyle w:val="af9"/>
          <w:rFonts w:hint="cs"/>
          <w:rtl/>
        </w:rPr>
        <w:t>והמהר"ם</w:t>
      </w:r>
      <w:r w:rsidRPr="00B06D6B">
        <w:rPr>
          <w:rFonts w:hint="cs"/>
          <w:rtl/>
        </w:rPr>
        <w:t xml:space="preserve"> </w:t>
      </w:r>
      <w:r w:rsidRPr="005679AC">
        <w:rPr>
          <w:rStyle w:val="af7"/>
          <w:rFonts w:eastAsia="Guttman Hodes" w:hint="cs"/>
          <w:rtl/>
        </w:rPr>
        <w:t>(על תוד"ה דאתא)</w:t>
      </w:r>
      <w:r w:rsidRPr="00B06D6B">
        <w:rPr>
          <w:rFonts w:hint="cs"/>
          <w:rtl/>
        </w:rPr>
        <w:t xml:space="preserve"> כתב דלדעת </w:t>
      </w:r>
      <w:r w:rsidRPr="00B06D6B">
        <w:rPr>
          <w:rStyle w:val="af9"/>
          <w:rFonts w:hint="cs"/>
          <w:rtl/>
        </w:rPr>
        <w:t>התוס'</w:t>
      </w:r>
      <w:r w:rsidRPr="00B06D6B">
        <w:rPr>
          <w:rFonts w:hint="cs"/>
          <w:rtl/>
        </w:rPr>
        <w:t xml:space="preserve">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Ref536701315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ה)</w:t>
      </w:r>
      <w:r w:rsidRPr="00B06D6B">
        <w:rPr>
          <w:rStyle w:val="af7"/>
          <w:rFonts w:eastAsia="Guttman Hodes"/>
          <w:rtl/>
        </w:rPr>
        <w:fldChar w:fldCharType="end"/>
      </w:r>
      <w:r w:rsidRPr="005679AC">
        <w:rPr>
          <w:rStyle w:val="af7"/>
          <w:rFonts w:eastAsia="Guttman Hodes" w:hint="cs"/>
          <w:rtl/>
        </w:rPr>
        <w:t xml:space="preserve"> </w:t>
      </w:r>
      <w:r w:rsidRPr="00B06D6B">
        <w:rPr>
          <w:rFonts w:hint="cs"/>
          <w:rtl/>
        </w:rPr>
        <w:t>ד</w:t>
      </w:r>
      <w:r>
        <w:rPr>
          <w:rFonts w:hint="cs"/>
          <w:rtl/>
        </w:rPr>
        <w:t>איירי ב</w:t>
      </w:r>
      <w:r w:rsidRPr="00B06D6B">
        <w:rPr>
          <w:rFonts w:hint="cs"/>
          <w:rtl/>
        </w:rPr>
        <w:t>בא על בן פקועה שאבר אחד שלו אסור ב</w:t>
      </w:r>
      <w:r>
        <w:rPr>
          <w:rFonts w:hint="cs"/>
          <w:rtl/>
        </w:rPr>
        <w:t>אבר ה</w:t>
      </w:r>
      <w:r w:rsidRPr="00B06D6B">
        <w:rPr>
          <w:rFonts w:hint="cs"/>
          <w:rtl/>
        </w:rPr>
        <w:t xml:space="preserve">יוצא, א"כ הספק הוא לכו"ע דאף למ"ד דאין חוששין לזרע האב, צריך לחתוך את האבר והשאר מותר, </w:t>
      </w:r>
      <w:r w:rsidRPr="00B06D6B">
        <w:rPr>
          <w:rStyle w:val="afb"/>
          <w:rFonts w:hint="cs"/>
          <w:rtl/>
        </w:rPr>
        <w:t>[דאף לאם היה אבר שאסור],</w:t>
      </w:r>
      <w:r w:rsidRPr="00B06D6B">
        <w:rPr>
          <w:rFonts w:hint="cs"/>
          <w:rtl/>
        </w:rPr>
        <w:t xml:space="preserve"> ודלא כמבואר </w:t>
      </w:r>
      <w:r w:rsidRPr="00B06D6B">
        <w:rPr>
          <w:rStyle w:val="af9"/>
          <w:rFonts w:hint="cs"/>
          <w:rtl/>
        </w:rPr>
        <w:t>ברש"י</w:t>
      </w:r>
      <w:r w:rsidRPr="00B06D6B">
        <w:rPr>
          <w:rFonts w:hint="cs"/>
          <w:rtl/>
        </w:rPr>
        <w:t xml:space="preserve">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Ref536701362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B06D6B">
        <w:rPr>
          <w:rStyle w:val="af7"/>
          <w:rFonts w:eastAsia="Guttman Hodes"/>
          <w:rtl/>
        </w:rPr>
        <w:fldChar w:fldCharType="end"/>
      </w:r>
      <w:r w:rsidRPr="00B06D6B">
        <w:rPr>
          <w:rFonts w:hint="cs"/>
          <w:rtl/>
        </w:rPr>
        <w:t>.</w:t>
      </w:r>
    </w:p>
    <w:p w14:paraId="2EAC8E2D" w14:textId="77777777" w:rsidR="003D504D" w:rsidRDefault="003D504D" w:rsidP="00BF39B2">
      <w:pPr>
        <w:pStyle w:val="1"/>
        <w:rPr>
          <w:rtl/>
        </w:rPr>
      </w:pPr>
      <w:bookmarkStart w:id="20086" w:name="_Toc903152"/>
      <w:bookmarkStart w:id="20087" w:name="_Toc955523"/>
      <w:bookmarkStart w:id="20088" w:name="_Toc955816"/>
      <w:bookmarkStart w:id="20089" w:name="_Toc1039470"/>
      <w:bookmarkStart w:id="20090" w:name="_Toc1040713"/>
      <w:bookmarkStart w:id="20091" w:name="_Toc1056569"/>
      <w:bookmarkStart w:id="20092" w:name="_Toc1109727"/>
      <w:bookmarkStart w:id="20093" w:name="_Toc1128693"/>
      <w:bookmarkStart w:id="20094" w:name="_Toc1250073"/>
      <w:bookmarkStart w:id="20095" w:name="_Toc1258077"/>
      <w:bookmarkStart w:id="20096" w:name="_Toc19391515"/>
      <w:bookmarkStart w:id="20097" w:name="_Toc19395012"/>
      <w:r>
        <w:rPr>
          <w:rFonts w:hint="cs"/>
          <w:rtl/>
        </w:rPr>
        <w:t xml:space="preserve">ביאור הבכור שור בתוס' </w:t>
      </w:r>
      <w:bookmarkEnd w:id="20084"/>
      <w:bookmarkEnd w:id="20085"/>
      <w:r>
        <w:rPr>
          <w:rFonts w:hint="cs"/>
          <w:rtl/>
        </w:rPr>
        <w:t>דאיירי שבנקיבה יש אבר היוצא</w:t>
      </w:r>
      <w:bookmarkEnd w:id="20086"/>
      <w:bookmarkEnd w:id="20087"/>
      <w:bookmarkEnd w:id="20088"/>
      <w:bookmarkEnd w:id="20089"/>
      <w:bookmarkEnd w:id="20090"/>
      <w:bookmarkEnd w:id="20091"/>
      <w:bookmarkEnd w:id="20092"/>
      <w:bookmarkEnd w:id="20093"/>
      <w:bookmarkEnd w:id="20094"/>
      <w:bookmarkEnd w:id="20095"/>
      <w:bookmarkEnd w:id="20096"/>
      <w:bookmarkEnd w:id="20097"/>
    </w:p>
    <w:p w14:paraId="2CD70EA5" w14:textId="77777777" w:rsidR="003D504D" w:rsidRPr="00E80292" w:rsidRDefault="003D504D" w:rsidP="003D504D">
      <w:pPr>
        <w:pStyle w:val="a3"/>
        <w:rPr>
          <w:rtl/>
        </w:rPr>
      </w:pPr>
      <w:bookmarkStart w:id="20098" w:name="_Toc903153"/>
      <w:bookmarkStart w:id="20099" w:name="_Toc955524"/>
      <w:bookmarkStart w:id="20100" w:name="_Toc955817"/>
      <w:bookmarkStart w:id="20101" w:name="_Toc1039471"/>
      <w:bookmarkStart w:id="20102" w:name="_Toc1040714"/>
      <w:bookmarkStart w:id="20103" w:name="_Toc1056570"/>
      <w:bookmarkStart w:id="20104" w:name="_Toc1109728"/>
      <w:bookmarkStart w:id="20105" w:name="_Toc1128694"/>
      <w:bookmarkStart w:id="20106" w:name="_Toc1250074"/>
      <w:bookmarkStart w:id="20107" w:name="_Toc1258078"/>
      <w:bookmarkStart w:id="20108" w:name="_Toc19391516"/>
      <w:bookmarkStart w:id="20109" w:name="_Toc19395013"/>
      <w:r>
        <w:rPr>
          <w:rFonts w:hint="cs"/>
          <w:rtl/>
        </w:rPr>
        <w:t>קושית הבכור שור דלמהרש"א איירי דאותו אבר אסור באב ובאם ולא משמע כן בתוס'</w:t>
      </w:r>
      <w:bookmarkEnd w:id="20098"/>
      <w:bookmarkEnd w:id="20099"/>
      <w:bookmarkEnd w:id="20100"/>
      <w:bookmarkEnd w:id="20101"/>
      <w:bookmarkEnd w:id="20102"/>
      <w:bookmarkEnd w:id="20103"/>
      <w:bookmarkEnd w:id="20104"/>
      <w:bookmarkEnd w:id="20105"/>
      <w:bookmarkEnd w:id="20106"/>
      <w:bookmarkEnd w:id="20107"/>
      <w:bookmarkEnd w:id="20108"/>
      <w:bookmarkEnd w:id="20109"/>
    </w:p>
    <w:p w14:paraId="51598F8E" w14:textId="77777777" w:rsidR="003D504D" w:rsidRPr="00B06D6B" w:rsidRDefault="003D504D" w:rsidP="00223668">
      <w:pPr>
        <w:pStyle w:val="a0"/>
        <w:rPr>
          <w:rtl/>
        </w:rPr>
      </w:pPr>
      <w:r w:rsidRPr="00B06D6B">
        <w:rPr>
          <w:rFonts w:hint="cs"/>
          <w:rtl/>
        </w:rPr>
        <w:t xml:space="preserve">אבל </w:t>
      </w:r>
      <w:r w:rsidRPr="00B06D6B">
        <w:rPr>
          <w:rStyle w:val="af9"/>
          <w:rFonts w:hint="cs"/>
          <w:rtl/>
        </w:rPr>
        <w:t xml:space="preserve">הבכור שור </w:t>
      </w:r>
      <w:r w:rsidRPr="005679AC">
        <w:rPr>
          <w:rStyle w:val="af7"/>
          <w:rFonts w:eastAsia="Guttman Hodes" w:hint="cs"/>
          <w:rtl/>
        </w:rPr>
        <w:t>(על תוד"ה דאתא, נד' בסוף התבו"ש)</w:t>
      </w:r>
      <w:r w:rsidRPr="00B06D6B">
        <w:rPr>
          <w:rFonts w:hint="cs"/>
          <w:rtl/>
        </w:rPr>
        <w:t xml:space="preserve"> כתב דביאור </w:t>
      </w:r>
      <w:r w:rsidRPr="00B06D6B">
        <w:rPr>
          <w:rStyle w:val="af9"/>
          <w:rFonts w:hint="cs"/>
          <w:rtl/>
        </w:rPr>
        <w:t xml:space="preserve">המהרש"א בתוס' </w:t>
      </w:r>
      <w:r w:rsidRPr="00B06D6B">
        <w:rPr>
          <w:rFonts w:hint="cs"/>
          <w:rtl/>
        </w:rPr>
        <w:t xml:space="preserve">הוא דחוק, דלדבריו א"א לומר דבזכר ובנקיבה בכ"א מהם יצא אבר אחר, היאך אמרינן דאבר מוליד אבר וחותך אותו השאר מותר, הרי יש בו ב' אברים שכ"א יש בו היתר מצד אחד ואיסור צד אחר, וא"כ לדברי </w:t>
      </w:r>
      <w:r w:rsidRPr="00B06D6B">
        <w:rPr>
          <w:rStyle w:val="af9"/>
          <w:rFonts w:hint="cs"/>
          <w:rtl/>
        </w:rPr>
        <w:t xml:space="preserve">המהרש"א </w:t>
      </w:r>
      <w:r w:rsidRPr="00B06D6B">
        <w:rPr>
          <w:rFonts w:hint="cs"/>
          <w:rtl/>
        </w:rPr>
        <w:t xml:space="preserve">צ"ל דאותו האבר יצא בזכר ובנקיבה, וא"כ אמאי כתבו </w:t>
      </w:r>
      <w:r w:rsidRPr="00462E4F">
        <w:rPr>
          <w:rStyle w:val="af9"/>
          <w:rFonts w:hint="cs"/>
          <w:rtl/>
        </w:rPr>
        <w:t>התוס'</w:t>
      </w:r>
      <w:r w:rsidRPr="00B06D6B">
        <w:rPr>
          <w:rFonts w:hint="cs"/>
          <w:rtl/>
        </w:rPr>
        <w:t xml:space="preserve"> שיש בו </w:t>
      </w:r>
      <w:r>
        <w:rPr>
          <w:rFonts w:hint="cs"/>
          <w:rtl/>
        </w:rPr>
        <w:t>אבר היוצא</w:t>
      </w:r>
      <w:r w:rsidRPr="00B06D6B">
        <w:rPr>
          <w:rFonts w:hint="cs"/>
          <w:rtl/>
        </w:rPr>
        <w:t xml:space="preserve"> באבר אחד, ולא כתבו "באותו אבר</w:t>
      </w:r>
      <w:r>
        <w:rPr>
          <w:rFonts w:hint="cs"/>
          <w:rtl/>
        </w:rPr>
        <w:t xml:space="preserve">", וע"ע במה שהקשה </w:t>
      </w:r>
      <w:r w:rsidRPr="00B22F22">
        <w:rPr>
          <w:rStyle w:val="af9"/>
          <w:rFonts w:hint="cs"/>
          <w:rtl/>
        </w:rPr>
        <w:t xml:space="preserve">הבכור שור </w:t>
      </w:r>
      <w:r>
        <w:rPr>
          <w:rFonts w:hint="cs"/>
          <w:rtl/>
        </w:rPr>
        <w:t xml:space="preserve">מדברי </w:t>
      </w:r>
      <w:r w:rsidRPr="00B22F22">
        <w:rPr>
          <w:rStyle w:val="af9"/>
          <w:rFonts w:hint="cs"/>
          <w:rtl/>
        </w:rPr>
        <w:t>התוס'</w:t>
      </w:r>
      <w:r>
        <w:rPr>
          <w:rFonts w:hint="cs"/>
          <w:rtl/>
        </w:rPr>
        <w:t xml:space="preserve"> </w:t>
      </w:r>
      <w:r w:rsidRPr="005679AC">
        <w:rPr>
          <w:rStyle w:val="af7"/>
          <w:rFonts w:eastAsia="Guttman Hodes" w:hint="cs"/>
          <w:rtl/>
        </w:rPr>
        <w:t>(ד"ה דאתא)</w:t>
      </w:r>
      <w:r>
        <w:rPr>
          <w:rFonts w:hint="cs"/>
          <w:rtl/>
        </w:rPr>
        <w:t>.</w:t>
      </w:r>
    </w:p>
    <w:p w14:paraId="73E51C97" w14:textId="77777777" w:rsidR="003D504D" w:rsidRPr="00B06D6B" w:rsidRDefault="003D504D" w:rsidP="003D504D">
      <w:pPr>
        <w:pStyle w:val="a3"/>
        <w:rPr>
          <w:rtl/>
        </w:rPr>
      </w:pPr>
      <w:bookmarkStart w:id="20110" w:name="_Toc903154"/>
      <w:bookmarkStart w:id="20111" w:name="_Toc955525"/>
      <w:bookmarkStart w:id="20112" w:name="_Toc955818"/>
      <w:bookmarkStart w:id="20113" w:name="_Toc1039472"/>
      <w:bookmarkStart w:id="20114" w:name="_Toc1040715"/>
      <w:bookmarkStart w:id="20115" w:name="_Toc1056571"/>
      <w:bookmarkStart w:id="20116" w:name="_Toc1109729"/>
      <w:bookmarkStart w:id="20117" w:name="_Toc1128695"/>
      <w:bookmarkStart w:id="20118" w:name="_Toc1250075"/>
      <w:bookmarkStart w:id="20119" w:name="_Toc1258079"/>
      <w:bookmarkStart w:id="20120" w:name="_Toc19391517"/>
      <w:bookmarkStart w:id="20121" w:name="_Toc19395014"/>
      <w:r>
        <w:rPr>
          <w:rFonts w:hint="cs"/>
          <w:rtl/>
        </w:rPr>
        <w:t>ביאור הבכור שור דאיירי שבנקיבה יש אבר שאסור והספק אף למ"ד דאין חוששין לזרע האב</w:t>
      </w:r>
      <w:bookmarkEnd w:id="20110"/>
      <w:bookmarkEnd w:id="20111"/>
      <w:bookmarkEnd w:id="20112"/>
      <w:bookmarkEnd w:id="20113"/>
      <w:bookmarkEnd w:id="20114"/>
      <w:bookmarkEnd w:id="20115"/>
      <w:bookmarkEnd w:id="20116"/>
      <w:bookmarkEnd w:id="20117"/>
      <w:bookmarkEnd w:id="20118"/>
      <w:bookmarkEnd w:id="20119"/>
      <w:bookmarkEnd w:id="20120"/>
      <w:bookmarkEnd w:id="20121"/>
    </w:p>
    <w:p w14:paraId="3786BD2C" w14:textId="77777777" w:rsidR="003D504D" w:rsidRDefault="003D504D" w:rsidP="00223668">
      <w:pPr>
        <w:pStyle w:val="a0"/>
        <w:rPr>
          <w:rtl/>
        </w:rPr>
      </w:pPr>
      <w:bookmarkStart w:id="20122" w:name="_Ref1258537"/>
      <w:bookmarkStart w:id="20123" w:name="_Toc536775935"/>
      <w:bookmarkStart w:id="20124" w:name="_Toc536775964"/>
      <w:bookmarkStart w:id="20125" w:name="_Toc536786974"/>
      <w:bookmarkStart w:id="20126" w:name="_Toc536787000"/>
      <w:bookmarkStart w:id="20127" w:name="_Toc519036"/>
      <w:bookmarkStart w:id="20128" w:name="_Toc725015"/>
      <w:bookmarkStart w:id="20129" w:name="_Toc773234"/>
      <w:r w:rsidRPr="00B06D6B">
        <w:rPr>
          <w:rFonts w:hint="cs"/>
          <w:rtl/>
        </w:rPr>
        <w:t xml:space="preserve">אלא ביאר </w:t>
      </w:r>
      <w:r w:rsidRPr="00B06D6B">
        <w:rPr>
          <w:rStyle w:val="af9"/>
          <w:rFonts w:hint="cs"/>
          <w:rtl/>
        </w:rPr>
        <w:t>הבכור שור</w:t>
      </w:r>
      <w:r w:rsidRPr="00B06D6B">
        <w:rPr>
          <w:rFonts w:hint="cs"/>
          <w:rtl/>
        </w:rPr>
        <w:t xml:space="preserve"> דכוונת </w:t>
      </w:r>
      <w:r w:rsidRPr="00B06D6B">
        <w:rPr>
          <w:rStyle w:val="af9"/>
          <w:rFonts w:hint="cs"/>
          <w:rtl/>
        </w:rPr>
        <w:t>התוס'</w:t>
      </w:r>
      <w:r w:rsidRPr="00B06D6B">
        <w:rPr>
          <w:rFonts w:hint="cs"/>
          <w:rtl/>
        </w:rPr>
        <w:t xml:space="preserve"> לומר דאיירי בזכר בן פקועה שמותר לגמרי שבא על נקיבה שיש בה </w:t>
      </w:r>
      <w:r>
        <w:rPr>
          <w:rFonts w:hint="cs"/>
          <w:rtl/>
        </w:rPr>
        <w:t>אבר היוצא</w:t>
      </w:r>
      <w:r w:rsidRPr="00B06D6B">
        <w:rPr>
          <w:rFonts w:hint="cs"/>
          <w:rtl/>
        </w:rPr>
        <w:t xml:space="preserve">, </w:t>
      </w:r>
      <w:r w:rsidRPr="00B06D6B">
        <w:rPr>
          <w:rStyle w:val="afb"/>
          <w:rFonts w:hint="cs"/>
          <w:rtl/>
        </w:rPr>
        <w:t>[ומה שכתבו לשון זכר הוא לאו דוקא, דעובר הוא לשון זכר],</w:t>
      </w:r>
      <w:r w:rsidRPr="00B06D6B">
        <w:rPr>
          <w:rFonts w:hint="cs"/>
          <w:rtl/>
        </w:rPr>
        <w:t xml:space="preserve"> וא"כ הספק הוא בין למ"ד דחוששין לזרע האב ובין למ"ד דאין חוששין לזרע האב, דהא לכו"ע חוששין לזרע האם</w:t>
      </w:r>
      <w:r>
        <w:rPr>
          <w:rFonts w:hint="cs"/>
          <w:rtl/>
        </w:rPr>
        <w:t xml:space="preserve">, וע"ע בדברי </w:t>
      </w:r>
      <w:r w:rsidRPr="007D19AE">
        <w:rPr>
          <w:rStyle w:val="af9"/>
          <w:rFonts w:hint="cs"/>
          <w:rtl/>
        </w:rPr>
        <w:t>הבכור שור</w:t>
      </w:r>
      <w:r>
        <w:rPr>
          <w:rFonts w:hint="cs"/>
          <w:rtl/>
        </w:rPr>
        <w:t xml:space="preserve"> </w:t>
      </w:r>
      <w:r w:rsidRPr="007D19AE">
        <w:rPr>
          <w:rStyle w:val="af7"/>
          <w:rFonts w:eastAsia="Guttman Hodes" w:hint="cs"/>
          <w:rtl/>
        </w:rPr>
        <w:t xml:space="preserve">(עי' אות </w:t>
      </w:r>
      <w:r w:rsidRPr="007D19AE">
        <w:rPr>
          <w:rStyle w:val="af7"/>
          <w:rFonts w:eastAsia="Guttman Hodes"/>
          <w:rtl/>
        </w:rPr>
        <w:fldChar w:fldCharType="begin"/>
      </w:r>
      <w:r w:rsidRPr="007D19AE">
        <w:rPr>
          <w:rStyle w:val="af7"/>
          <w:rFonts w:eastAsia="Guttman Hodes"/>
          <w:rtl/>
        </w:rPr>
        <w:instrText xml:space="preserve"> </w:instrText>
      </w:r>
      <w:r w:rsidRPr="007D19AE">
        <w:rPr>
          <w:rStyle w:val="af7"/>
          <w:rFonts w:eastAsia="Guttman Hodes" w:hint="cs"/>
        </w:rPr>
        <w:instrText>REF</w:instrText>
      </w:r>
      <w:r w:rsidRPr="007D19AE">
        <w:rPr>
          <w:rStyle w:val="af7"/>
          <w:rFonts w:eastAsia="Guttman Hodes" w:hint="cs"/>
          <w:rtl/>
        </w:rPr>
        <w:instrText xml:space="preserve"> _</w:instrText>
      </w:r>
      <w:r w:rsidRPr="007D19AE">
        <w:rPr>
          <w:rStyle w:val="af7"/>
          <w:rFonts w:eastAsia="Guttman Hodes" w:hint="cs"/>
        </w:rPr>
        <w:instrText>Ref1258581 \r \h</w:instrText>
      </w:r>
      <w:r w:rsidRPr="007D19AE">
        <w:rPr>
          <w:rStyle w:val="af7"/>
          <w:rFonts w:eastAsia="Guttman Hodes"/>
          <w:rtl/>
        </w:rPr>
        <w:instrText xml:space="preserve"> </w:instrText>
      </w:r>
      <w:r w:rsidRPr="007D19AE">
        <w:rPr>
          <w:rStyle w:val="af7"/>
          <w:rFonts w:eastAsia="Guttman Hodes"/>
          <w:rtl/>
        </w:rPr>
      </w:r>
      <w:r w:rsidRPr="007D19AE">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7D19AE">
        <w:rPr>
          <w:rStyle w:val="af7"/>
          <w:rFonts w:eastAsia="Guttman Hodes"/>
          <w:rtl/>
        </w:rPr>
        <w:fldChar w:fldCharType="end"/>
      </w:r>
      <w:r w:rsidRPr="00B06D6B">
        <w:rPr>
          <w:rFonts w:hint="cs"/>
          <w:rtl/>
        </w:rPr>
        <w:t>.</w:t>
      </w:r>
      <w:bookmarkEnd w:id="20122"/>
    </w:p>
    <w:p w14:paraId="4714259D" w14:textId="77777777" w:rsidR="003D504D" w:rsidRPr="00B06D6B" w:rsidRDefault="003D504D" w:rsidP="00BF39B2">
      <w:pPr>
        <w:pStyle w:val="1"/>
        <w:rPr>
          <w:rtl/>
        </w:rPr>
      </w:pPr>
      <w:bookmarkStart w:id="20130" w:name="_Toc1258080"/>
      <w:bookmarkStart w:id="20131" w:name="_Toc19391518"/>
      <w:bookmarkStart w:id="20132" w:name="_Toc19395015"/>
      <w:bookmarkEnd w:id="20123"/>
      <w:bookmarkEnd w:id="20124"/>
      <w:bookmarkEnd w:id="20125"/>
      <w:bookmarkEnd w:id="20126"/>
      <w:bookmarkEnd w:id="20127"/>
      <w:bookmarkEnd w:id="20128"/>
      <w:bookmarkEnd w:id="20129"/>
      <w:r>
        <w:rPr>
          <w:rFonts w:hint="cs"/>
          <w:rtl/>
        </w:rPr>
        <w:t>ביאור הר"ן בביאור בא על בן פקועה דכוותיה בדין זוז"ג</w:t>
      </w:r>
      <w:bookmarkEnd w:id="20130"/>
      <w:bookmarkEnd w:id="20131"/>
      <w:bookmarkEnd w:id="20132"/>
      <w:r>
        <w:rPr>
          <w:rFonts w:hint="cs"/>
          <w:rtl/>
        </w:rPr>
        <w:t xml:space="preserve"> </w:t>
      </w:r>
    </w:p>
    <w:p w14:paraId="6AF3CFB3" w14:textId="77777777" w:rsidR="003D504D" w:rsidRPr="00B06D6B" w:rsidRDefault="003D504D" w:rsidP="003D504D">
      <w:pPr>
        <w:pStyle w:val="a3"/>
        <w:rPr>
          <w:rtl/>
        </w:rPr>
      </w:pPr>
      <w:bookmarkStart w:id="20133" w:name="_Toc903157"/>
      <w:bookmarkStart w:id="20134" w:name="_Toc955528"/>
      <w:bookmarkStart w:id="20135" w:name="_Toc955821"/>
      <w:bookmarkStart w:id="20136" w:name="_Toc1039474"/>
      <w:bookmarkStart w:id="20137" w:name="_Toc1040717"/>
      <w:bookmarkStart w:id="20138" w:name="_Toc1056573"/>
      <w:bookmarkStart w:id="20139" w:name="_Toc1109731"/>
      <w:bookmarkStart w:id="20140" w:name="_Toc1128697"/>
      <w:bookmarkStart w:id="20141" w:name="_Toc1250077"/>
      <w:bookmarkStart w:id="20142" w:name="_Toc1258081"/>
      <w:bookmarkStart w:id="20143" w:name="_Toc19391519"/>
      <w:bookmarkStart w:id="20144" w:name="_Toc19395016"/>
      <w:r>
        <w:rPr>
          <w:rFonts w:hint="cs"/>
          <w:rtl/>
        </w:rPr>
        <w:t>דברי הר"ן דהצד דחותך את האבר הוא בין למ"ד דזה וזה גורם מותר ובין למ"ד דזה וזה גורם אסור</w:t>
      </w:r>
      <w:bookmarkEnd w:id="20133"/>
      <w:bookmarkEnd w:id="20134"/>
      <w:bookmarkEnd w:id="20135"/>
      <w:bookmarkEnd w:id="20136"/>
      <w:bookmarkEnd w:id="20137"/>
      <w:bookmarkEnd w:id="20138"/>
      <w:bookmarkEnd w:id="20139"/>
      <w:bookmarkEnd w:id="20140"/>
      <w:bookmarkEnd w:id="20141"/>
      <w:bookmarkEnd w:id="20142"/>
      <w:bookmarkEnd w:id="20143"/>
      <w:bookmarkEnd w:id="20144"/>
    </w:p>
    <w:p w14:paraId="2673F3CD" w14:textId="77777777" w:rsidR="003D504D" w:rsidRDefault="003D504D" w:rsidP="00223668">
      <w:pPr>
        <w:pStyle w:val="a0"/>
        <w:rPr>
          <w:rtl/>
        </w:rPr>
      </w:pPr>
      <w:r w:rsidRPr="00B06D6B">
        <w:rPr>
          <w:rFonts w:hint="cs"/>
          <w:rtl/>
        </w:rPr>
        <w:t>כתב</w:t>
      </w:r>
      <w:r w:rsidRPr="00B06D6B">
        <w:rPr>
          <w:rStyle w:val="af9"/>
          <w:rFonts w:hint="cs"/>
          <w:rtl/>
        </w:rPr>
        <w:t xml:space="preserve"> הר"ן בחי'</w:t>
      </w:r>
      <w:r w:rsidRPr="00B06D6B">
        <w:rPr>
          <w:rFonts w:hint="cs"/>
          <w:rtl/>
        </w:rPr>
        <w:t xml:space="preserve"> </w:t>
      </w:r>
      <w:r w:rsidRPr="005679AC">
        <w:rPr>
          <w:rStyle w:val="af7"/>
          <w:rFonts w:eastAsia="Guttman Hodes" w:hint="cs"/>
          <w:rtl/>
        </w:rPr>
        <w:t>(ד"ה לא)</w:t>
      </w:r>
      <w:r w:rsidRPr="00B06D6B">
        <w:rPr>
          <w:rFonts w:hint="cs"/>
          <w:rtl/>
        </w:rPr>
        <w:t xml:space="preserve"> דהצד שצריך לחתוך את האבר, הוא בין למ"ד דזה וזה גורם אסור, ובין למ"ד דזה וזה גורם מותר, כיון שיש בו רק גורם אחד של איסור, </w:t>
      </w:r>
      <w:r w:rsidRPr="00A33EBF">
        <w:rPr>
          <w:rStyle w:val="afb"/>
          <w:rFonts w:hint="cs"/>
          <w:rtl/>
        </w:rPr>
        <w:t>[</w:t>
      </w:r>
      <w:r>
        <w:rPr>
          <w:rStyle w:val="afb"/>
          <w:rFonts w:hint="cs"/>
          <w:rtl/>
        </w:rPr>
        <w:t>והיינו דאין באבר האסור גורם של איסור וגורם של היתר</w:t>
      </w:r>
      <w:r w:rsidRPr="00A33EBF">
        <w:rPr>
          <w:rStyle w:val="afb"/>
          <w:rFonts w:hint="cs"/>
          <w:rtl/>
        </w:rPr>
        <w:t>],</w:t>
      </w:r>
      <w:r>
        <w:rPr>
          <w:rFonts w:hint="cs"/>
          <w:rtl/>
        </w:rPr>
        <w:t xml:space="preserve"> לכן </w:t>
      </w:r>
      <w:r w:rsidRPr="00B06D6B">
        <w:rPr>
          <w:rFonts w:hint="cs"/>
          <w:rtl/>
        </w:rPr>
        <w:t>חותך את האבר והשאר מותר.</w:t>
      </w:r>
    </w:p>
    <w:p w14:paraId="495CB6FF" w14:textId="77777777" w:rsidR="007E0A48" w:rsidRPr="007E0A48" w:rsidRDefault="007E0A48" w:rsidP="007E0A48">
      <w:pPr>
        <w:pStyle w:val="a3"/>
        <w:rPr>
          <w:rtl/>
        </w:rPr>
      </w:pPr>
    </w:p>
    <w:p w14:paraId="04E51EF8" w14:textId="77777777" w:rsidR="003D504D" w:rsidRPr="00B06D6B" w:rsidRDefault="003D504D" w:rsidP="003D504D">
      <w:pPr>
        <w:pStyle w:val="a3"/>
        <w:rPr>
          <w:rtl/>
        </w:rPr>
      </w:pPr>
      <w:bookmarkStart w:id="20145" w:name="_Toc903158"/>
      <w:bookmarkStart w:id="20146" w:name="_Toc955529"/>
      <w:bookmarkStart w:id="20147" w:name="_Toc955822"/>
      <w:bookmarkStart w:id="20148" w:name="_Toc1039475"/>
      <w:bookmarkStart w:id="20149" w:name="_Toc1040718"/>
      <w:bookmarkStart w:id="20150" w:name="_Toc1056574"/>
      <w:bookmarkStart w:id="20151" w:name="_Toc1109732"/>
      <w:bookmarkStart w:id="20152" w:name="_Toc1128698"/>
      <w:bookmarkStart w:id="20153" w:name="_Toc1250078"/>
      <w:bookmarkStart w:id="20154" w:name="_Toc1258082"/>
      <w:bookmarkStart w:id="20155" w:name="_Toc19391520"/>
      <w:bookmarkStart w:id="20156" w:name="_Toc19395017"/>
      <w:r>
        <w:rPr>
          <w:rFonts w:hint="cs"/>
          <w:rtl/>
        </w:rPr>
        <w:t>דברי הר"ן דבבא על בת פקועה שאין בה אבר היוצא אפש"ל דהאבר מותר לגמרי וא"צ לחותכו</w:t>
      </w:r>
      <w:bookmarkEnd w:id="20145"/>
      <w:bookmarkEnd w:id="20146"/>
      <w:bookmarkEnd w:id="20147"/>
      <w:bookmarkEnd w:id="20148"/>
      <w:bookmarkEnd w:id="20149"/>
      <w:bookmarkEnd w:id="20150"/>
      <w:bookmarkEnd w:id="20151"/>
      <w:bookmarkEnd w:id="20152"/>
      <w:bookmarkEnd w:id="20153"/>
      <w:bookmarkEnd w:id="20154"/>
      <w:bookmarkEnd w:id="20155"/>
      <w:bookmarkEnd w:id="20156"/>
    </w:p>
    <w:p w14:paraId="64E1CAC3" w14:textId="77777777" w:rsidR="003D504D" w:rsidRPr="00B06D6B" w:rsidRDefault="003D504D" w:rsidP="00223668">
      <w:pPr>
        <w:pStyle w:val="a0"/>
        <w:rPr>
          <w:rtl/>
        </w:rPr>
      </w:pPr>
      <w:bookmarkStart w:id="20157" w:name="_Ref536697102"/>
      <w:r w:rsidRPr="00B06D6B">
        <w:rPr>
          <w:rFonts w:hint="cs"/>
          <w:rtl/>
        </w:rPr>
        <w:t xml:space="preserve">וכתב </w:t>
      </w:r>
      <w:r w:rsidRPr="00B06D6B">
        <w:rPr>
          <w:rStyle w:val="af9"/>
          <w:rFonts w:hint="cs"/>
          <w:rtl/>
        </w:rPr>
        <w:t>הר"ן בחי'</w:t>
      </w:r>
      <w:r w:rsidRPr="00B06D6B">
        <w:rPr>
          <w:rFonts w:hint="cs"/>
          <w:rtl/>
        </w:rPr>
        <w:t xml:space="preserve"> דהביאור בלשון הגמ' דבא על בן פקועה "דכוותיה", דבא על בן פקועה שיש לו ג"כ </w:t>
      </w:r>
      <w:r>
        <w:rPr>
          <w:rFonts w:hint="cs"/>
          <w:rtl/>
        </w:rPr>
        <w:t>אבר היוצא</w:t>
      </w:r>
      <w:r w:rsidRPr="00B06D6B">
        <w:rPr>
          <w:rFonts w:hint="cs"/>
          <w:rtl/>
        </w:rPr>
        <w:t xml:space="preserve">, אבל אם </w:t>
      </w:r>
      <w:r>
        <w:rPr>
          <w:rFonts w:hint="cs"/>
          <w:rtl/>
        </w:rPr>
        <w:t>בא על בת פקועה שאין בה אבר היוצא</w:t>
      </w:r>
      <w:r w:rsidRPr="00B06D6B">
        <w:rPr>
          <w:rFonts w:hint="cs"/>
          <w:rtl/>
        </w:rPr>
        <w:t xml:space="preserve">, א"כ לדעת רבנן דאין חוששין לזרע האב, יתכן דאף למ"ד דזה וזה גורם אסור, האבר של הולד מותר לגמרי, ולמ"ד דזה וזה גורם מותר, אף לדעת חנניא דחוששין לזרע האב, האבר של הולד מותר לגמרי, ולכן הגמ' מסתפקת רק כשיש גם לאביו וגם לאמו, </w:t>
      </w:r>
      <w:r>
        <w:rPr>
          <w:rFonts w:hint="cs"/>
          <w:rtl/>
        </w:rPr>
        <w:t>אבר היוצא</w:t>
      </w:r>
      <w:r w:rsidRPr="00B06D6B">
        <w:rPr>
          <w:rFonts w:hint="cs"/>
          <w:rtl/>
        </w:rPr>
        <w:t xml:space="preserve">, דלכו"ע צריך לחתוך את האבר, </w:t>
      </w:r>
      <w:r w:rsidRPr="00B06D6B">
        <w:rPr>
          <w:rStyle w:val="afb"/>
          <w:rFonts w:hint="cs"/>
          <w:rtl/>
        </w:rPr>
        <w:t xml:space="preserve">[ודלא </w:t>
      </w:r>
      <w:r w:rsidRPr="00B06D6B">
        <w:rPr>
          <w:rStyle w:val="affa"/>
          <w:rFonts w:hint="cs"/>
          <w:rtl/>
        </w:rPr>
        <w:t>כמהרש"א</w:t>
      </w:r>
      <w:r w:rsidRPr="00B06D6B">
        <w:rPr>
          <w:rStyle w:val="afb"/>
          <w:rFonts w:hint="cs"/>
          <w:rtl/>
        </w:rPr>
        <w:t xml:space="preserve"> </w:t>
      </w:r>
      <w:r w:rsidRPr="00B06D6B">
        <w:rPr>
          <w:rStyle w:val="aff6"/>
          <w:rFonts w:hint="cs"/>
          <w:rtl/>
        </w:rPr>
        <w:t xml:space="preserve">(עי' אות </w:t>
      </w:r>
      <w:r w:rsidRPr="00B06D6B">
        <w:rPr>
          <w:rStyle w:val="aff6"/>
          <w:rtl/>
        </w:rPr>
        <w:fldChar w:fldCharType="begin"/>
      </w:r>
      <w:r w:rsidRPr="00B06D6B">
        <w:rPr>
          <w:rStyle w:val="aff6"/>
          <w:rtl/>
        </w:rPr>
        <w:instrText xml:space="preserve"> </w:instrText>
      </w:r>
      <w:r w:rsidRPr="00B06D6B">
        <w:rPr>
          <w:rStyle w:val="aff6"/>
          <w:rFonts w:hint="cs"/>
        </w:rPr>
        <w:instrText>REF</w:instrText>
      </w:r>
      <w:r w:rsidRPr="00B06D6B">
        <w:rPr>
          <w:rStyle w:val="aff6"/>
          <w:rFonts w:hint="cs"/>
          <w:rtl/>
        </w:rPr>
        <w:instrText xml:space="preserve"> _</w:instrText>
      </w:r>
      <w:r w:rsidRPr="00B06D6B">
        <w:rPr>
          <w:rStyle w:val="aff6"/>
          <w:rFonts w:hint="cs"/>
        </w:rPr>
        <w:instrText>Ref536698250 \r \h</w:instrText>
      </w:r>
      <w:r w:rsidRPr="00B06D6B">
        <w:rPr>
          <w:rStyle w:val="aff6"/>
          <w:rtl/>
        </w:rPr>
        <w:instrText xml:space="preserve">  \* </w:instrText>
      </w:r>
      <w:r w:rsidRPr="00B06D6B">
        <w:rPr>
          <w:rStyle w:val="aff6"/>
        </w:rPr>
        <w:instrText>MERGEFORMAT</w:instrText>
      </w:r>
      <w:r w:rsidRPr="00B06D6B">
        <w:rPr>
          <w:rStyle w:val="aff6"/>
          <w:rtl/>
        </w:rPr>
        <w:instrText xml:space="preserve"> </w:instrText>
      </w:r>
      <w:r w:rsidRPr="00B06D6B">
        <w:rPr>
          <w:rStyle w:val="aff6"/>
          <w:rtl/>
        </w:rPr>
      </w:r>
      <w:r w:rsidRPr="00B06D6B">
        <w:rPr>
          <w:rStyle w:val="aff6"/>
          <w:rtl/>
        </w:rPr>
        <w:fldChar w:fldCharType="separate"/>
      </w:r>
      <w:r w:rsidR="00345400">
        <w:rPr>
          <w:rStyle w:val="aff6"/>
          <w:cs/>
        </w:rPr>
        <w:t>‎</w:t>
      </w:r>
      <w:r w:rsidR="00345400">
        <w:rPr>
          <w:rStyle w:val="aff6"/>
          <w:rtl/>
        </w:rPr>
        <w:t>ז)</w:t>
      </w:r>
      <w:r w:rsidRPr="00B06D6B">
        <w:rPr>
          <w:rStyle w:val="aff6"/>
          <w:rtl/>
        </w:rPr>
        <w:fldChar w:fldCharType="end"/>
      </w:r>
      <w:r w:rsidRPr="00B06D6B">
        <w:rPr>
          <w:rStyle w:val="afb"/>
          <w:rFonts w:hint="cs"/>
          <w:rtl/>
        </w:rPr>
        <w:t>]</w:t>
      </w:r>
      <w:r w:rsidRPr="00B06D6B">
        <w:rPr>
          <w:rFonts w:hint="cs"/>
          <w:rtl/>
        </w:rPr>
        <w:t>.</w:t>
      </w:r>
      <w:bookmarkEnd w:id="20157"/>
    </w:p>
    <w:p w14:paraId="452C7D4C" w14:textId="77777777" w:rsidR="003D504D" w:rsidRPr="00B06D6B" w:rsidRDefault="003D504D" w:rsidP="003D504D">
      <w:pPr>
        <w:pStyle w:val="a3"/>
        <w:rPr>
          <w:rtl/>
        </w:rPr>
      </w:pPr>
      <w:bookmarkStart w:id="20158" w:name="_Toc903159"/>
      <w:bookmarkStart w:id="20159" w:name="_Toc955530"/>
      <w:bookmarkStart w:id="20160" w:name="_Toc955823"/>
      <w:bookmarkStart w:id="20161" w:name="_Toc1039476"/>
      <w:bookmarkStart w:id="20162" w:name="_Toc1040719"/>
      <w:bookmarkStart w:id="20163" w:name="_Toc1056575"/>
      <w:bookmarkStart w:id="20164" w:name="_Toc1109733"/>
      <w:bookmarkStart w:id="20165" w:name="_Toc1128699"/>
      <w:bookmarkStart w:id="20166" w:name="_Toc1250079"/>
      <w:bookmarkStart w:id="20167" w:name="_Toc1258083"/>
      <w:bookmarkStart w:id="20168" w:name="_Toc19391521"/>
      <w:bookmarkStart w:id="20169" w:name="_Toc19395018"/>
      <w:r>
        <w:rPr>
          <w:rFonts w:hint="cs"/>
          <w:rtl/>
        </w:rPr>
        <w:t>דברי הר"ן דאי מבלבל זרעיה למ"ד דזה וזה גורם אסור כולו אסור ולמ"ד דמותר כולו מותר</w:t>
      </w:r>
      <w:bookmarkEnd w:id="20158"/>
      <w:bookmarkEnd w:id="20159"/>
      <w:bookmarkEnd w:id="20160"/>
      <w:bookmarkEnd w:id="20161"/>
      <w:bookmarkEnd w:id="20162"/>
      <w:bookmarkEnd w:id="20163"/>
      <w:bookmarkEnd w:id="20164"/>
      <w:bookmarkEnd w:id="20165"/>
      <w:bookmarkEnd w:id="20166"/>
      <w:bookmarkEnd w:id="20167"/>
      <w:bookmarkEnd w:id="20168"/>
      <w:bookmarkEnd w:id="20169"/>
    </w:p>
    <w:p w14:paraId="56CF9A02" w14:textId="77777777" w:rsidR="003D504D" w:rsidRPr="000D1F39" w:rsidRDefault="003D504D" w:rsidP="00223668">
      <w:pPr>
        <w:pStyle w:val="a0"/>
        <w:rPr>
          <w:rtl/>
        </w:rPr>
      </w:pPr>
      <w:r w:rsidRPr="00B06D6B">
        <w:rPr>
          <w:rFonts w:hint="cs"/>
          <w:rtl/>
        </w:rPr>
        <w:t xml:space="preserve">ובצד דמבלבל זרעיה, ביאר </w:t>
      </w:r>
      <w:r w:rsidRPr="00B06D6B">
        <w:rPr>
          <w:rStyle w:val="af9"/>
          <w:rFonts w:hint="cs"/>
          <w:rtl/>
        </w:rPr>
        <w:t>הר"ן בחי'</w:t>
      </w:r>
      <w:r w:rsidRPr="00B06D6B">
        <w:rPr>
          <w:rFonts w:hint="cs"/>
          <w:rtl/>
        </w:rPr>
        <w:t xml:space="preserve"> דלמ"ד דזה וזה גורם אסור, כל הולד אסור, ולא מהני חתיכת האבר </w:t>
      </w:r>
      <w:r w:rsidRPr="000D1F39">
        <w:rPr>
          <w:rFonts w:hint="cs"/>
          <w:rtl/>
        </w:rPr>
        <w:t xml:space="preserve">להתירו, ולמ"ד דזה וזה גורם מותר, כולו מותר וא"צ לחתוך את האבר, ועי' בדברי </w:t>
      </w:r>
      <w:r w:rsidRPr="000D1F39">
        <w:rPr>
          <w:rStyle w:val="af9"/>
          <w:rFonts w:hint="cs"/>
          <w:rtl/>
        </w:rPr>
        <w:t>הראש יוסף</w:t>
      </w:r>
      <w:r w:rsidRPr="000D1F39">
        <w:rPr>
          <w:rFonts w:hint="cs"/>
          <w:rtl/>
        </w:rPr>
        <w:t xml:space="preserve"> </w:t>
      </w:r>
      <w:r w:rsidRPr="000D1F39">
        <w:rPr>
          <w:rStyle w:val="af7"/>
          <w:rFonts w:eastAsia="Guttman Hodes" w:hint="cs"/>
          <w:rtl/>
        </w:rPr>
        <w:t>(ד"ה ומה שהקשה</w:t>
      </w:r>
      <w:r>
        <w:rPr>
          <w:rStyle w:val="af7"/>
          <w:rFonts w:eastAsia="Guttman Hodes" w:hint="cs"/>
          <w:rtl/>
        </w:rPr>
        <w:t>)</w:t>
      </w:r>
      <w:r w:rsidRPr="000D1F39">
        <w:rPr>
          <w:rFonts w:hint="cs"/>
          <w:rtl/>
        </w:rPr>
        <w:t>.</w:t>
      </w:r>
    </w:p>
    <w:p w14:paraId="755430EA" w14:textId="77777777" w:rsidR="003D504D" w:rsidRDefault="003D504D" w:rsidP="003D504D">
      <w:pPr>
        <w:pStyle w:val="afe"/>
        <w:rPr>
          <w:rtl/>
        </w:rPr>
      </w:pPr>
      <w:bookmarkStart w:id="20170" w:name="_Toc1128700"/>
      <w:bookmarkStart w:id="20171" w:name="_Toc1250080"/>
      <w:bookmarkStart w:id="20172" w:name="_Toc1258084"/>
      <w:bookmarkStart w:id="20173" w:name="_Toc19436188"/>
      <w:bookmarkStart w:id="20174" w:name="_Toc20081358"/>
      <w:bookmarkStart w:id="20175" w:name="_Toc1056576"/>
      <w:bookmarkStart w:id="20176" w:name="_Toc1109734"/>
      <w:r>
        <w:rPr>
          <w:rFonts w:hint="cs"/>
          <w:rtl/>
        </w:rPr>
        <w:t>בספק דהולד אסור דבא מכח איסור</w:t>
      </w:r>
      <w:bookmarkEnd w:id="20170"/>
      <w:bookmarkEnd w:id="20171"/>
      <w:bookmarkEnd w:id="20172"/>
      <w:bookmarkEnd w:id="20173"/>
      <w:bookmarkEnd w:id="20174"/>
    </w:p>
    <w:p w14:paraId="39E57A51" w14:textId="77777777" w:rsidR="003D504D" w:rsidRDefault="003D504D" w:rsidP="00BF39B2">
      <w:pPr>
        <w:pStyle w:val="1"/>
        <w:rPr>
          <w:rtl/>
        </w:rPr>
      </w:pPr>
      <w:bookmarkStart w:id="20177" w:name="_Toc1128701"/>
      <w:bookmarkStart w:id="20178" w:name="_Toc1250081"/>
      <w:bookmarkStart w:id="20179" w:name="_Toc1258085"/>
      <w:bookmarkStart w:id="20180" w:name="_Toc19391522"/>
      <w:bookmarkStart w:id="20181" w:name="_Toc19395019"/>
      <w:r>
        <w:rPr>
          <w:rFonts w:hint="cs"/>
          <w:rtl/>
        </w:rPr>
        <w:t>דברי המאירי</w:t>
      </w:r>
      <w:bookmarkEnd w:id="20175"/>
      <w:bookmarkEnd w:id="20176"/>
      <w:r>
        <w:rPr>
          <w:rFonts w:hint="cs"/>
          <w:rtl/>
        </w:rPr>
        <w:t xml:space="preserve"> בביאור קושית הגמ' דבא מכח איסור</w:t>
      </w:r>
      <w:bookmarkEnd w:id="20177"/>
      <w:bookmarkEnd w:id="20178"/>
      <w:bookmarkEnd w:id="20179"/>
      <w:bookmarkEnd w:id="20180"/>
      <w:bookmarkEnd w:id="20181"/>
    </w:p>
    <w:p w14:paraId="33925243" w14:textId="77777777" w:rsidR="003D504D" w:rsidRDefault="003D504D" w:rsidP="003D504D">
      <w:pPr>
        <w:pStyle w:val="a3"/>
        <w:rPr>
          <w:rtl/>
        </w:rPr>
      </w:pPr>
      <w:bookmarkStart w:id="20182" w:name="_Toc1128702"/>
      <w:bookmarkStart w:id="20183" w:name="_Toc1250082"/>
      <w:bookmarkStart w:id="20184" w:name="_Toc1258086"/>
      <w:bookmarkStart w:id="20185" w:name="_Toc19391523"/>
      <w:bookmarkStart w:id="20186" w:name="_Toc19395020"/>
      <w:r>
        <w:rPr>
          <w:rFonts w:hint="cs"/>
          <w:rtl/>
        </w:rPr>
        <w:t>ביאור המאירי דא"א לאסור את הולד מחמת שלא הותר האבר מ"מ יאסר כיון שבא מכח איסור</w:t>
      </w:r>
      <w:bookmarkEnd w:id="20182"/>
      <w:bookmarkEnd w:id="20183"/>
      <w:bookmarkEnd w:id="20184"/>
      <w:bookmarkEnd w:id="20185"/>
      <w:bookmarkEnd w:id="20186"/>
    </w:p>
    <w:p w14:paraId="0F6AB035" w14:textId="77777777" w:rsidR="003D504D" w:rsidRDefault="003D504D" w:rsidP="00223668">
      <w:pPr>
        <w:pStyle w:val="a0"/>
        <w:rPr>
          <w:rtl/>
        </w:rPr>
      </w:pPr>
      <w:bookmarkStart w:id="20187" w:name="_Toc1056577"/>
      <w:bookmarkStart w:id="20188" w:name="_Toc1109735"/>
      <w:r w:rsidRPr="00B06D6B">
        <w:rPr>
          <w:rFonts w:hint="cs"/>
          <w:rtl/>
        </w:rPr>
        <w:t xml:space="preserve">בספק הגמ' </w:t>
      </w:r>
      <w:r>
        <w:rPr>
          <w:rFonts w:hint="cs"/>
          <w:rtl/>
        </w:rPr>
        <w:t>דהולד יאסר כיון שבא מכח איסור</w:t>
      </w:r>
      <w:r w:rsidRPr="00B06D6B">
        <w:rPr>
          <w:rFonts w:hint="cs"/>
          <w:rtl/>
        </w:rPr>
        <w:t xml:space="preserve">, </w:t>
      </w:r>
      <w:r>
        <w:rPr>
          <w:rFonts w:hint="cs"/>
          <w:rtl/>
        </w:rPr>
        <w:t xml:space="preserve">ביאר </w:t>
      </w:r>
      <w:r w:rsidRPr="00CD0A2B">
        <w:rPr>
          <w:rStyle w:val="af9"/>
          <w:rFonts w:hint="cs"/>
          <w:rtl/>
        </w:rPr>
        <w:t xml:space="preserve">המאירי </w:t>
      </w:r>
      <w:r w:rsidRPr="00A67522">
        <w:rPr>
          <w:rStyle w:val="af7"/>
          <w:rFonts w:eastAsia="Guttman Hodes" w:hint="cs"/>
          <w:rtl/>
        </w:rPr>
        <w:t>(ד"ה זה שיראה)</w:t>
      </w:r>
      <w:r>
        <w:rPr>
          <w:rFonts w:hint="cs"/>
          <w:rtl/>
        </w:rPr>
        <w:t xml:space="preserve"> דאחר מסקנת הגמ' דבא על בן פקועה דכוותיה אסור, דכיון דמבלבל זרעיה א"כ האבר האסור מסייע לאחרים ואין לו תקנה, ביארה הגמ' דלא זהו הספק, כיון דבכל בן פקועה אין בו תורת שחיטה מעיקר הדין, וחשיב שנשחטו סימניו, ובבן פקועה שיש בו אבר היוצא, יש בו תורת שחיטה מצד האבר אלא שאין השחיטה מתירתו, וא"א לאסור את הולד ע"י שנסתלק מאביו חיוב השחיטה, אלא הספק הוא דכיון שהולד בא מכח האבר האסור, דהאבר האסור מסייע בהולדה של הולד, לכן אף הולד יהיה אסור, ומסקנת הגמ' דאף שהאבר מסייע מ"מ אין הולד אסור, דכל מכח לא אמרינן, אף למ"ד דחוששין לזרע האב.</w:t>
      </w:r>
    </w:p>
    <w:p w14:paraId="0AF688E5" w14:textId="77777777" w:rsidR="003D504D" w:rsidRPr="00B06D6B" w:rsidRDefault="003D504D" w:rsidP="00BF39B2">
      <w:pPr>
        <w:pStyle w:val="1"/>
        <w:rPr>
          <w:rtl/>
        </w:rPr>
      </w:pPr>
      <w:bookmarkStart w:id="20189" w:name="_Toc1128704"/>
      <w:bookmarkStart w:id="20190" w:name="_Toc1250083"/>
      <w:bookmarkStart w:id="20191" w:name="_Toc1258087"/>
      <w:bookmarkStart w:id="20192" w:name="_Toc19391524"/>
      <w:bookmarkStart w:id="20193" w:name="_Toc19395021"/>
      <w:bookmarkEnd w:id="19900"/>
      <w:bookmarkEnd w:id="19901"/>
      <w:bookmarkEnd w:id="19902"/>
      <w:bookmarkEnd w:id="19903"/>
      <w:bookmarkEnd w:id="19904"/>
      <w:bookmarkEnd w:id="19905"/>
      <w:bookmarkEnd w:id="19906"/>
      <w:bookmarkEnd w:id="19907"/>
      <w:bookmarkEnd w:id="20187"/>
      <w:bookmarkEnd w:id="20188"/>
      <w:r>
        <w:rPr>
          <w:rFonts w:hint="cs"/>
          <w:rtl/>
        </w:rPr>
        <w:t>קושית התוס' דבתלתא איסורי אפשר להתיר מדין זה וזה גורם</w:t>
      </w:r>
      <w:bookmarkEnd w:id="20189"/>
      <w:bookmarkEnd w:id="20190"/>
      <w:bookmarkEnd w:id="20191"/>
      <w:bookmarkEnd w:id="20192"/>
      <w:bookmarkEnd w:id="20193"/>
    </w:p>
    <w:p w14:paraId="2EEE700A" w14:textId="77777777" w:rsidR="003D504D" w:rsidRPr="00B06D6B" w:rsidRDefault="003D504D" w:rsidP="003D504D">
      <w:pPr>
        <w:pStyle w:val="a3"/>
        <w:rPr>
          <w:rtl/>
        </w:rPr>
      </w:pPr>
      <w:bookmarkStart w:id="20194" w:name="_Toc1128705"/>
      <w:bookmarkStart w:id="20195" w:name="_Toc1250084"/>
      <w:bookmarkStart w:id="20196" w:name="_Toc1258088"/>
      <w:bookmarkStart w:id="20197" w:name="_Toc19391525"/>
      <w:bookmarkStart w:id="20198" w:name="_Toc19395022"/>
      <w:r>
        <w:rPr>
          <w:rFonts w:hint="cs"/>
          <w:rtl/>
        </w:rPr>
        <w:t>קושית התוס' דאף אי מכח לא אמרינן יהיה מותר מדין זה וזה גורם</w:t>
      </w:r>
      <w:bookmarkEnd w:id="20194"/>
      <w:bookmarkEnd w:id="20195"/>
      <w:bookmarkEnd w:id="20196"/>
      <w:bookmarkEnd w:id="20197"/>
      <w:bookmarkEnd w:id="20198"/>
    </w:p>
    <w:p w14:paraId="0C4D07FA" w14:textId="77777777" w:rsidR="003D504D" w:rsidRDefault="003D504D" w:rsidP="00223668">
      <w:pPr>
        <w:pStyle w:val="a0"/>
        <w:rPr>
          <w:rtl/>
        </w:rPr>
      </w:pPr>
      <w:bookmarkStart w:id="20199" w:name="_Ref1249101"/>
      <w:bookmarkStart w:id="20200" w:name="_Ref636523"/>
      <w:r w:rsidRPr="00B06D6B">
        <w:rPr>
          <w:rFonts w:hint="cs"/>
          <w:rtl/>
        </w:rPr>
        <w:t>בספק הגמ' אי כמו ד</w:t>
      </w:r>
      <w:r>
        <w:rPr>
          <w:rFonts w:hint="cs"/>
          <w:rtl/>
        </w:rPr>
        <w:t xml:space="preserve">ולד הבא </w:t>
      </w:r>
      <w:r w:rsidRPr="00B06D6B">
        <w:rPr>
          <w:rFonts w:hint="cs"/>
          <w:rtl/>
        </w:rPr>
        <w:t xml:space="preserve">מכח </w:t>
      </w:r>
      <w:r w:rsidRPr="00B06D6B">
        <w:rPr>
          <w:rtl/>
        </w:rPr>
        <w:t>חֵלֶב</w:t>
      </w:r>
      <w:r w:rsidRPr="00B06D6B">
        <w:rPr>
          <w:rFonts w:hint="cs"/>
          <w:rtl/>
        </w:rPr>
        <w:t xml:space="preserve"> ודם </w:t>
      </w:r>
      <w:r>
        <w:rPr>
          <w:rFonts w:hint="cs"/>
          <w:rtl/>
        </w:rPr>
        <w:t>מותר</w:t>
      </w:r>
      <w:r w:rsidRPr="00B06D6B">
        <w:rPr>
          <w:rFonts w:hint="cs"/>
          <w:rtl/>
        </w:rPr>
        <w:t xml:space="preserve">, ה"ה </w:t>
      </w:r>
      <w:r>
        <w:rPr>
          <w:rFonts w:hint="cs"/>
          <w:rtl/>
        </w:rPr>
        <w:t>דולד ה</w:t>
      </w:r>
      <w:r w:rsidRPr="00B06D6B">
        <w:rPr>
          <w:rFonts w:hint="cs"/>
          <w:rtl/>
        </w:rPr>
        <w:t>בא מכח</w:t>
      </w:r>
      <w:r>
        <w:rPr>
          <w:rFonts w:hint="cs"/>
          <w:rtl/>
        </w:rPr>
        <w:t xml:space="preserve"> אבר ה</w:t>
      </w:r>
      <w:r w:rsidRPr="00B06D6B">
        <w:rPr>
          <w:rFonts w:hint="cs"/>
          <w:rtl/>
        </w:rPr>
        <w:t>יוצא</w:t>
      </w:r>
      <w:r>
        <w:rPr>
          <w:rFonts w:hint="cs"/>
          <w:rtl/>
        </w:rPr>
        <w:t xml:space="preserve"> מותר</w:t>
      </w:r>
      <w:r w:rsidRPr="00B06D6B">
        <w:rPr>
          <w:rFonts w:hint="cs"/>
          <w:rtl/>
        </w:rPr>
        <w:t>, או ד</w:t>
      </w:r>
      <w:r>
        <w:rPr>
          <w:rFonts w:hint="cs"/>
          <w:rtl/>
        </w:rPr>
        <w:t>כיון ש</w:t>
      </w:r>
      <w:r w:rsidRPr="00B06D6B">
        <w:rPr>
          <w:rFonts w:hint="cs"/>
          <w:rtl/>
        </w:rPr>
        <w:t xml:space="preserve">בא מכח </w:t>
      </w:r>
      <w:r w:rsidRPr="00B06D6B">
        <w:rPr>
          <w:rtl/>
        </w:rPr>
        <w:t>חֵלֶב</w:t>
      </w:r>
      <w:r w:rsidRPr="00B06D6B">
        <w:rPr>
          <w:rFonts w:hint="cs"/>
          <w:rtl/>
        </w:rPr>
        <w:t xml:space="preserve"> ודם </w:t>
      </w:r>
      <w:r>
        <w:rPr>
          <w:rFonts w:hint="cs"/>
          <w:rtl/>
        </w:rPr>
        <w:t>ואבר ה</w:t>
      </w:r>
      <w:r w:rsidRPr="00B06D6B">
        <w:rPr>
          <w:rFonts w:hint="cs"/>
          <w:rtl/>
        </w:rPr>
        <w:t>יוצא</w:t>
      </w:r>
      <w:r>
        <w:rPr>
          <w:rFonts w:hint="cs"/>
          <w:rtl/>
        </w:rPr>
        <w:t xml:space="preserve"> שהם </w:t>
      </w:r>
      <w:r w:rsidRPr="00B06D6B">
        <w:rPr>
          <w:rFonts w:hint="cs"/>
          <w:rtl/>
        </w:rPr>
        <w:t xml:space="preserve">שלוש איסורים אסור, הקשו </w:t>
      </w:r>
      <w:r w:rsidRPr="00B06D6B">
        <w:rPr>
          <w:rStyle w:val="af9"/>
          <w:rFonts w:hint="cs"/>
          <w:rtl/>
        </w:rPr>
        <w:t>התוס'</w:t>
      </w:r>
      <w:r w:rsidRPr="00B06D6B">
        <w:rPr>
          <w:rFonts w:hint="cs"/>
          <w:rtl/>
        </w:rPr>
        <w:t xml:space="preserve"> </w:t>
      </w:r>
      <w:r w:rsidRPr="005679AC">
        <w:rPr>
          <w:rStyle w:val="af7"/>
          <w:rFonts w:eastAsia="Guttman Hodes" w:hint="cs"/>
          <w:rtl/>
        </w:rPr>
        <w:t>(ד"ה תלתא)</w:t>
      </w:r>
      <w:r w:rsidRPr="00B06D6B">
        <w:rPr>
          <w:rFonts w:hint="cs"/>
          <w:rtl/>
        </w:rPr>
        <w:t xml:space="preserve"> דהרי קיי"ל דזה וזה גורם מותר,</w:t>
      </w:r>
      <w:r>
        <w:rPr>
          <w:rFonts w:hint="cs"/>
          <w:rtl/>
        </w:rPr>
        <w:t xml:space="preserve"> </w:t>
      </w:r>
      <w:r w:rsidRPr="00B06D6B">
        <w:rPr>
          <w:rFonts w:hint="cs"/>
          <w:rtl/>
        </w:rPr>
        <w:t>ועי' במה שביאר</w:t>
      </w:r>
      <w:r>
        <w:rPr>
          <w:rFonts w:hint="cs"/>
          <w:rtl/>
        </w:rPr>
        <w:t xml:space="preserve">ו </w:t>
      </w:r>
      <w:r w:rsidRPr="00DD1692">
        <w:rPr>
          <w:rStyle w:val="af9"/>
          <w:rFonts w:hint="cs"/>
          <w:rtl/>
        </w:rPr>
        <w:t>השער"י</w:t>
      </w:r>
      <w:r>
        <w:rPr>
          <w:rFonts w:hint="cs"/>
          <w:rtl/>
        </w:rPr>
        <w:t xml:space="preserve"> </w:t>
      </w:r>
      <w:r w:rsidRPr="00DD1692">
        <w:rPr>
          <w:rStyle w:val="af7"/>
          <w:rFonts w:eastAsia="Guttman Hodes" w:hint="cs"/>
          <w:rtl/>
        </w:rPr>
        <w:t xml:space="preserve">(עי' אות </w:t>
      </w:r>
      <w:r w:rsidRPr="00DD1692">
        <w:rPr>
          <w:rStyle w:val="af7"/>
          <w:rFonts w:eastAsia="Guttman Hodes"/>
          <w:rtl/>
        </w:rPr>
        <w:fldChar w:fldCharType="begin"/>
      </w:r>
      <w:r w:rsidRPr="00DD1692">
        <w:rPr>
          <w:rStyle w:val="af7"/>
          <w:rFonts w:eastAsia="Guttman Hodes"/>
          <w:rtl/>
        </w:rPr>
        <w:instrText xml:space="preserve"> </w:instrText>
      </w:r>
      <w:r w:rsidRPr="00DD1692">
        <w:rPr>
          <w:rStyle w:val="af7"/>
          <w:rFonts w:eastAsia="Guttman Hodes" w:hint="cs"/>
        </w:rPr>
        <w:instrText>REF</w:instrText>
      </w:r>
      <w:r w:rsidRPr="00DD1692">
        <w:rPr>
          <w:rStyle w:val="af7"/>
          <w:rFonts w:eastAsia="Guttman Hodes" w:hint="cs"/>
          <w:rtl/>
        </w:rPr>
        <w:instrText xml:space="preserve"> _</w:instrText>
      </w:r>
      <w:r w:rsidRPr="00DD1692">
        <w:rPr>
          <w:rStyle w:val="af7"/>
          <w:rFonts w:eastAsia="Guttman Hodes" w:hint="cs"/>
        </w:rPr>
        <w:instrText>Ref1249132 \r \h</w:instrText>
      </w:r>
      <w:r w:rsidRPr="00DD1692">
        <w:rPr>
          <w:rStyle w:val="af7"/>
          <w:rFonts w:eastAsia="Guttman Hodes"/>
          <w:rtl/>
        </w:rPr>
        <w:instrText xml:space="preserve"> </w:instrText>
      </w:r>
      <w:r w:rsidRPr="00DD1692">
        <w:rPr>
          <w:rStyle w:val="af7"/>
          <w:rFonts w:eastAsia="Guttman Hodes"/>
          <w:rtl/>
        </w:rPr>
      </w:r>
      <w:r w:rsidRPr="00DD1692">
        <w:rPr>
          <w:rStyle w:val="af7"/>
          <w:rFonts w:eastAsia="Guttman Hodes"/>
          <w:rtl/>
        </w:rPr>
        <w:fldChar w:fldCharType="separate"/>
      </w:r>
      <w:r w:rsidR="00345400">
        <w:rPr>
          <w:rStyle w:val="af7"/>
          <w:rFonts w:eastAsia="Guttman Hodes"/>
          <w:cs/>
        </w:rPr>
        <w:t>‎</w:t>
      </w:r>
      <w:r w:rsidR="00345400">
        <w:rPr>
          <w:rStyle w:val="af7"/>
          <w:rFonts w:eastAsia="Guttman Hodes"/>
        </w:rPr>
        <w:t>0</w:t>
      </w:r>
      <w:r w:rsidRPr="00DD1692">
        <w:rPr>
          <w:rStyle w:val="af7"/>
          <w:rFonts w:eastAsia="Guttman Hodes"/>
          <w:rtl/>
        </w:rPr>
        <w:fldChar w:fldCharType="end"/>
      </w:r>
      <w:r w:rsidRPr="00B06D6B">
        <w:rPr>
          <w:rFonts w:hint="cs"/>
          <w:rtl/>
        </w:rPr>
        <w:t xml:space="preserve"> </w:t>
      </w:r>
      <w:r w:rsidRPr="00B06D6B">
        <w:rPr>
          <w:rStyle w:val="af9"/>
          <w:rFonts w:hint="cs"/>
          <w:rtl/>
        </w:rPr>
        <w:t xml:space="preserve">הקוב"ש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Ref636580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סא)</w:t>
      </w:r>
      <w:r w:rsidRPr="00B06D6B">
        <w:rPr>
          <w:rStyle w:val="af7"/>
          <w:rFonts w:eastAsia="Guttman Hodes"/>
          <w:rtl/>
        </w:rPr>
        <w:fldChar w:fldCharType="end"/>
      </w:r>
      <w:r w:rsidRPr="00B06D6B">
        <w:rPr>
          <w:rFonts w:hint="cs"/>
          <w:rtl/>
        </w:rPr>
        <w:t xml:space="preserve"> בדברי </w:t>
      </w:r>
      <w:r w:rsidRPr="00B06D6B">
        <w:rPr>
          <w:rStyle w:val="af9"/>
          <w:rFonts w:hint="cs"/>
          <w:rtl/>
        </w:rPr>
        <w:t>התוס'</w:t>
      </w:r>
      <w:r>
        <w:rPr>
          <w:rFonts w:hint="cs"/>
          <w:rtl/>
        </w:rPr>
        <w:t xml:space="preserve">, ובמה שישב </w:t>
      </w:r>
      <w:r w:rsidRPr="006756C1">
        <w:rPr>
          <w:rStyle w:val="af9"/>
          <w:rFonts w:hint="cs"/>
          <w:rtl/>
        </w:rPr>
        <w:t>האבי עזרי</w:t>
      </w:r>
      <w:r>
        <w:rPr>
          <w:rFonts w:hint="cs"/>
          <w:rtl/>
        </w:rPr>
        <w:t xml:space="preserve"> </w:t>
      </w:r>
      <w:r w:rsidRPr="006756C1">
        <w:rPr>
          <w:rStyle w:val="af7"/>
          <w:rFonts w:eastAsia="Guttman Hodes" w:hint="cs"/>
          <w:rtl/>
        </w:rPr>
        <w:t xml:space="preserve">(עי' אות </w:t>
      </w:r>
      <w:r w:rsidRPr="006756C1">
        <w:rPr>
          <w:rStyle w:val="af7"/>
          <w:rFonts w:eastAsia="Guttman Hodes"/>
          <w:rtl/>
        </w:rPr>
        <w:fldChar w:fldCharType="begin"/>
      </w:r>
      <w:r w:rsidRPr="006756C1">
        <w:rPr>
          <w:rStyle w:val="af7"/>
          <w:rFonts w:eastAsia="Guttman Hodes"/>
          <w:rtl/>
        </w:rPr>
        <w:instrText xml:space="preserve"> </w:instrText>
      </w:r>
      <w:r w:rsidRPr="006756C1">
        <w:rPr>
          <w:rStyle w:val="af7"/>
          <w:rFonts w:eastAsia="Guttman Hodes" w:hint="cs"/>
        </w:rPr>
        <w:instrText>REF</w:instrText>
      </w:r>
      <w:r w:rsidRPr="006756C1">
        <w:rPr>
          <w:rStyle w:val="af7"/>
          <w:rFonts w:eastAsia="Guttman Hodes" w:hint="cs"/>
          <w:rtl/>
        </w:rPr>
        <w:instrText xml:space="preserve"> _</w:instrText>
      </w:r>
      <w:r w:rsidRPr="006756C1">
        <w:rPr>
          <w:rStyle w:val="af7"/>
          <w:rFonts w:eastAsia="Guttman Hodes" w:hint="cs"/>
        </w:rPr>
        <w:instrText>Ref1284291 \r \h</w:instrText>
      </w:r>
      <w:r w:rsidRPr="006756C1">
        <w:rPr>
          <w:rStyle w:val="af7"/>
          <w:rFonts w:eastAsia="Guttman Hodes"/>
          <w:rtl/>
        </w:rPr>
        <w:instrText xml:space="preserve"> </w:instrText>
      </w:r>
      <w:r w:rsidRPr="006756C1">
        <w:rPr>
          <w:rStyle w:val="af7"/>
          <w:rFonts w:eastAsia="Guttman Hodes"/>
          <w:rtl/>
        </w:rPr>
      </w:r>
      <w:r w:rsidRPr="006756C1">
        <w:rPr>
          <w:rStyle w:val="af7"/>
          <w:rFonts w:eastAsia="Guttman Hodes"/>
          <w:rtl/>
        </w:rPr>
        <w:fldChar w:fldCharType="separate"/>
      </w:r>
      <w:r w:rsidR="00345400">
        <w:rPr>
          <w:rStyle w:val="af7"/>
          <w:rFonts w:eastAsia="Guttman Hodes"/>
          <w:cs/>
        </w:rPr>
        <w:t>‎</w:t>
      </w:r>
      <w:r w:rsidR="00345400">
        <w:rPr>
          <w:rStyle w:val="af7"/>
          <w:rFonts w:eastAsia="Guttman Hodes"/>
          <w:rtl/>
        </w:rPr>
        <w:t>סג)</w:t>
      </w:r>
      <w:r w:rsidRPr="006756C1">
        <w:rPr>
          <w:rStyle w:val="af7"/>
          <w:rFonts w:eastAsia="Guttman Hodes"/>
          <w:rtl/>
        </w:rPr>
        <w:fldChar w:fldCharType="end"/>
      </w:r>
      <w:r>
        <w:rPr>
          <w:rFonts w:hint="cs"/>
          <w:rtl/>
        </w:rPr>
        <w:t xml:space="preserve"> עפ"י דברי </w:t>
      </w:r>
      <w:r w:rsidRPr="006756C1">
        <w:rPr>
          <w:rStyle w:val="af9"/>
          <w:rFonts w:hint="cs"/>
          <w:rtl/>
        </w:rPr>
        <w:t>רש"י</w:t>
      </w:r>
      <w:r>
        <w:rPr>
          <w:rFonts w:hint="cs"/>
          <w:rtl/>
        </w:rPr>
        <w:t>.</w:t>
      </w:r>
      <w:bookmarkEnd w:id="20199"/>
    </w:p>
    <w:p w14:paraId="0237BB38" w14:textId="77777777" w:rsidR="003D504D" w:rsidRPr="0087022C" w:rsidRDefault="003D504D" w:rsidP="003D504D">
      <w:pPr>
        <w:pStyle w:val="a3"/>
      </w:pPr>
      <w:bookmarkStart w:id="20201" w:name="_Toc1128706"/>
      <w:bookmarkStart w:id="20202" w:name="_Toc1250085"/>
      <w:bookmarkStart w:id="20203" w:name="_Toc1258089"/>
      <w:bookmarkStart w:id="20204" w:name="_Toc19391526"/>
      <w:bookmarkStart w:id="20205" w:name="_Toc19395023"/>
      <w:r>
        <w:rPr>
          <w:rFonts w:hint="cs"/>
          <w:rtl/>
        </w:rPr>
        <w:t>דברי הרמב"ן בשם תוס' דלמ"ד דזה וזה גורם מותר א"צ את ההיתר דכל מכח ואף בג' איסורים מותר</w:t>
      </w:r>
      <w:bookmarkEnd w:id="20201"/>
      <w:bookmarkEnd w:id="20202"/>
      <w:bookmarkEnd w:id="20203"/>
      <w:bookmarkEnd w:id="20204"/>
      <w:bookmarkEnd w:id="20205"/>
    </w:p>
    <w:p w14:paraId="2F160C11" w14:textId="77777777" w:rsidR="003D504D" w:rsidRPr="00B06D6B" w:rsidRDefault="003D504D" w:rsidP="00223668">
      <w:pPr>
        <w:pStyle w:val="a0"/>
        <w:rPr>
          <w:rStyle w:val="afb"/>
          <w:rtl/>
        </w:rPr>
      </w:pPr>
      <w:r w:rsidRPr="00B06D6B">
        <w:rPr>
          <w:rFonts w:hint="cs"/>
          <w:rtl/>
        </w:rPr>
        <w:t xml:space="preserve">וכתב </w:t>
      </w:r>
      <w:r w:rsidRPr="00B06D6B">
        <w:rPr>
          <w:rStyle w:val="af9"/>
          <w:rFonts w:hint="cs"/>
          <w:rtl/>
        </w:rPr>
        <w:t xml:space="preserve">הרמב"ן </w:t>
      </w:r>
      <w:r w:rsidRPr="005679AC">
        <w:rPr>
          <w:rStyle w:val="af7"/>
          <w:rFonts w:eastAsia="Guttman Hodes" w:hint="cs"/>
          <w:rtl/>
        </w:rPr>
        <w:t>(ד"ה או דילמא)</w:t>
      </w:r>
      <w:r w:rsidRPr="00B06D6B">
        <w:rPr>
          <w:rFonts w:hint="cs"/>
          <w:rtl/>
        </w:rPr>
        <w:t xml:space="preserve"> בשם </w:t>
      </w:r>
      <w:r w:rsidRPr="00B06D6B">
        <w:rPr>
          <w:rStyle w:val="af9"/>
          <w:rFonts w:hint="cs"/>
          <w:rtl/>
        </w:rPr>
        <w:t xml:space="preserve">התוס' </w:t>
      </w:r>
      <w:r>
        <w:rPr>
          <w:rFonts w:hint="cs"/>
          <w:rtl/>
        </w:rPr>
        <w:t xml:space="preserve">דהא דהוצרכה הגמ' לומר דלא מהני ההיתר דכל מכח לא אמרינן, כיון שבא מכח שלוש איסורים אסור, זהו </w:t>
      </w:r>
      <w:r w:rsidRPr="00B06D6B">
        <w:rPr>
          <w:rFonts w:hint="cs"/>
          <w:rtl/>
        </w:rPr>
        <w:t>רק למ"ד דזה וזה גורם אסור, אבל למ"ד ד</w:t>
      </w:r>
      <w:r>
        <w:rPr>
          <w:rFonts w:hint="cs"/>
          <w:rtl/>
        </w:rPr>
        <w:t>בכל האיסורים בתורה אמרינן ד</w:t>
      </w:r>
      <w:r w:rsidRPr="00B06D6B">
        <w:rPr>
          <w:rFonts w:hint="cs"/>
          <w:rtl/>
        </w:rPr>
        <w:t xml:space="preserve">זה וזה גורם מותר, </w:t>
      </w:r>
      <w:r>
        <w:rPr>
          <w:rFonts w:hint="cs"/>
          <w:rtl/>
        </w:rPr>
        <w:t>א"כ א"צ להתיר מחמת דכל מכח לא אמרינן, ואף אי בשלוש איסורים אין את ההיתר דכל מכח לא אמרינן, מ"מ מותר מדין זה וזה גורם</w:t>
      </w:r>
      <w:r w:rsidRPr="00B06D6B">
        <w:rPr>
          <w:rFonts w:hint="cs"/>
          <w:rtl/>
        </w:rPr>
        <w:t>.</w:t>
      </w:r>
      <w:bookmarkEnd w:id="20200"/>
    </w:p>
    <w:p w14:paraId="7BD9AEE8" w14:textId="77777777" w:rsidR="003D504D" w:rsidRDefault="003D504D" w:rsidP="00BF39B2">
      <w:pPr>
        <w:pStyle w:val="1"/>
        <w:rPr>
          <w:rtl/>
        </w:rPr>
      </w:pPr>
      <w:bookmarkStart w:id="20206" w:name="_Toc1128707"/>
      <w:bookmarkStart w:id="20207" w:name="_Toc1250086"/>
      <w:bookmarkStart w:id="20208" w:name="_Toc1258090"/>
      <w:bookmarkStart w:id="20209" w:name="_Toc19391527"/>
      <w:bookmarkStart w:id="20210" w:name="_Toc19395024"/>
      <w:r>
        <w:rPr>
          <w:rFonts w:hint="cs"/>
          <w:rtl/>
        </w:rPr>
        <w:t>דברי המהר"ם דבכל גורם מעורבים איסור והיתר</w:t>
      </w:r>
      <w:bookmarkEnd w:id="20206"/>
      <w:bookmarkEnd w:id="20207"/>
      <w:bookmarkEnd w:id="20208"/>
      <w:bookmarkEnd w:id="20209"/>
      <w:bookmarkEnd w:id="20210"/>
    </w:p>
    <w:p w14:paraId="6917FD1B" w14:textId="77777777" w:rsidR="003D504D" w:rsidRPr="00B06D6B" w:rsidRDefault="003D504D" w:rsidP="003D504D">
      <w:pPr>
        <w:pStyle w:val="a3"/>
      </w:pPr>
      <w:bookmarkStart w:id="20211" w:name="_Toc1128708"/>
      <w:bookmarkStart w:id="20212" w:name="_Toc1250087"/>
      <w:bookmarkStart w:id="20213" w:name="_Toc1258091"/>
      <w:bookmarkStart w:id="20214" w:name="_Toc19391528"/>
      <w:bookmarkStart w:id="20215" w:name="_Toc19395025"/>
      <w:r>
        <w:rPr>
          <w:rFonts w:hint="cs"/>
          <w:rtl/>
        </w:rPr>
        <w:t>קושית המהר"ם דלתוס' באב ובאם יש אבר היוצא והאיסור הוא בשניהם ואי"ז זה וזה גורם</w:t>
      </w:r>
      <w:bookmarkEnd w:id="20211"/>
      <w:bookmarkEnd w:id="20212"/>
      <w:bookmarkEnd w:id="20213"/>
      <w:bookmarkEnd w:id="20214"/>
      <w:bookmarkEnd w:id="20215"/>
      <w:r>
        <w:rPr>
          <w:rFonts w:hint="cs"/>
          <w:rtl/>
        </w:rPr>
        <w:t xml:space="preserve"> </w:t>
      </w:r>
    </w:p>
    <w:p w14:paraId="5855D457" w14:textId="77777777" w:rsidR="003D504D" w:rsidRPr="00B06D6B" w:rsidRDefault="003D504D" w:rsidP="00223668">
      <w:pPr>
        <w:pStyle w:val="a0"/>
        <w:rPr>
          <w:rtl/>
        </w:rPr>
      </w:pPr>
      <w:r w:rsidRPr="00B06D6B">
        <w:rPr>
          <w:rFonts w:hint="cs"/>
          <w:rtl/>
        </w:rPr>
        <w:t xml:space="preserve"> והקשה </w:t>
      </w:r>
      <w:r w:rsidRPr="00B06D6B">
        <w:rPr>
          <w:rStyle w:val="af9"/>
          <w:rFonts w:hint="cs"/>
          <w:rtl/>
        </w:rPr>
        <w:t>המהר"ם</w:t>
      </w:r>
      <w:r w:rsidRPr="005679AC">
        <w:rPr>
          <w:rStyle w:val="af7"/>
          <w:rFonts w:eastAsia="Guttman Hodes" w:hint="cs"/>
          <w:rtl/>
        </w:rPr>
        <w:t xml:space="preserve"> (על תוד"ה תלתא) </w:t>
      </w:r>
      <w:r w:rsidRPr="00B06D6B">
        <w:rPr>
          <w:rFonts w:hint="cs"/>
          <w:rtl/>
        </w:rPr>
        <w:t xml:space="preserve">על </w:t>
      </w:r>
      <w:r w:rsidRPr="00B06D6B">
        <w:rPr>
          <w:rStyle w:val="af9"/>
          <w:rFonts w:hint="cs"/>
          <w:rtl/>
        </w:rPr>
        <w:t xml:space="preserve">התוס' </w:t>
      </w:r>
      <w:r w:rsidRPr="00B06D6B">
        <w:rPr>
          <w:rFonts w:hint="cs"/>
          <w:rtl/>
        </w:rPr>
        <w:t xml:space="preserve">דהרי לדעת </w:t>
      </w:r>
      <w:r w:rsidRPr="00B06D6B">
        <w:rPr>
          <w:rStyle w:val="af9"/>
          <w:rFonts w:hint="cs"/>
          <w:rtl/>
        </w:rPr>
        <w:t xml:space="preserve">התוס'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Ref536787014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ו)</w:t>
      </w:r>
      <w:r w:rsidRPr="00B06D6B">
        <w:rPr>
          <w:rStyle w:val="af7"/>
          <w:rFonts w:eastAsia="Guttman Hodes"/>
          <w:rtl/>
        </w:rPr>
        <w:fldChar w:fldCharType="end"/>
      </w:r>
      <w:r w:rsidRPr="005679AC">
        <w:rPr>
          <w:rStyle w:val="af7"/>
          <w:rFonts w:eastAsia="Guttman Hodes" w:hint="cs"/>
          <w:rtl/>
        </w:rPr>
        <w:t xml:space="preserve"> </w:t>
      </w:r>
      <w:r w:rsidRPr="00B06D6B">
        <w:rPr>
          <w:rFonts w:hint="cs"/>
          <w:rtl/>
        </w:rPr>
        <w:t xml:space="preserve">דבבא על בן פקועה דכוותיה, איירי שבא על בן פקועה שגם בו יש </w:t>
      </w:r>
      <w:r>
        <w:rPr>
          <w:rFonts w:hint="cs"/>
          <w:rtl/>
        </w:rPr>
        <w:t>אבר היוצא</w:t>
      </w:r>
      <w:r w:rsidRPr="00B06D6B">
        <w:rPr>
          <w:rFonts w:hint="cs"/>
          <w:rtl/>
        </w:rPr>
        <w:t>, וא"כ אי"ז זה וזה גורם שאחד מהם מותר, ד</w:t>
      </w:r>
      <w:r>
        <w:rPr>
          <w:rFonts w:hint="cs"/>
          <w:rtl/>
        </w:rPr>
        <w:t xml:space="preserve">הרי </w:t>
      </w:r>
      <w:r w:rsidRPr="00B06D6B">
        <w:rPr>
          <w:rFonts w:hint="cs"/>
          <w:rtl/>
        </w:rPr>
        <w:t>יש איסור בב' הצדדים.</w:t>
      </w:r>
    </w:p>
    <w:p w14:paraId="6FBFFE25" w14:textId="77777777" w:rsidR="003D504D" w:rsidRPr="00B06D6B" w:rsidRDefault="003D504D" w:rsidP="003D504D">
      <w:pPr>
        <w:pStyle w:val="a3"/>
        <w:rPr>
          <w:rtl/>
        </w:rPr>
      </w:pPr>
      <w:bookmarkStart w:id="20216" w:name="_Toc1128709"/>
      <w:bookmarkStart w:id="20217" w:name="_Toc1250088"/>
      <w:bookmarkStart w:id="20218" w:name="_Toc1258092"/>
      <w:bookmarkStart w:id="20219" w:name="_Toc19391529"/>
      <w:bookmarkStart w:id="20220" w:name="_Toc19395026"/>
      <w:r>
        <w:rPr>
          <w:rFonts w:hint="cs"/>
          <w:rtl/>
        </w:rPr>
        <w:t>ביאור המהר"ם דכיון שרק אבר אחד שלהם אסור הוי זה וזה גורם באב בפנ"ע ובאם בפנ"ע</w:t>
      </w:r>
      <w:bookmarkEnd w:id="20216"/>
      <w:bookmarkEnd w:id="20217"/>
      <w:bookmarkEnd w:id="20218"/>
      <w:bookmarkEnd w:id="20219"/>
      <w:bookmarkEnd w:id="20220"/>
    </w:p>
    <w:p w14:paraId="3385CAE7" w14:textId="77777777" w:rsidR="003D504D" w:rsidRPr="00B06D6B" w:rsidRDefault="003D504D" w:rsidP="00223668">
      <w:pPr>
        <w:pStyle w:val="a0"/>
        <w:rPr>
          <w:rtl/>
        </w:rPr>
      </w:pPr>
      <w:r w:rsidRPr="00B06D6B">
        <w:rPr>
          <w:rFonts w:hint="cs"/>
          <w:rtl/>
        </w:rPr>
        <w:t xml:space="preserve">ותירץ </w:t>
      </w:r>
      <w:r w:rsidRPr="00B06D6B">
        <w:rPr>
          <w:rStyle w:val="af9"/>
          <w:rFonts w:hint="cs"/>
          <w:rtl/>
        </w:rPr>
        <w:t xml:space="preserve">המהר"ם </w:t>
      </w:r>
      <w:r w:rsidRPr="00B06D6B">
        <w:rPr>
          <w:rFonts w:hint="cs"/>
          <w:rtl/>
        </w:rPr>
        <w:t>דס"ל ל</w:t>
      </w:r>
      <w:r w:rsidRPr="00B06D6B">
        <w:rPr>
          <w:rStyle w:val="af9"/>
          <w:rFonts w:hint="cs"/>
          <w:rtl/>
        </w:rPr>
        <w:t xml:space="preserve">התוס' </w:t>
      </w:r>
      <w:r w:rsidRPr="00B06D6B">
        <w:rPr>
          <w:rFonts w:hint="cs"/>
          <w:rtl/>
        </w:rPr>
        <w:t>דבכל אחד מהם חשיב שיש זה וזה גורם, דבין בזכר ובין בנקיבה הכל מותר מלבד האבר שיצא, ולכן בכל אחד מהם בפנ"ע חשיב שיש גורם היתר ואיסור.</w:t>
      </w:r>
    </w:p>
    <w:p w14:paraId="2EC5C454" w14:textId="77777777" w:rsidR="003D504D" w:rsidRDefault="003D504D" w:rsidP="00BF39B2">
      <w:pPr>
        <w:pStyle w:val="1"/>
        <w:rPr>
          <w:rtl/>
        </w:rPr>
      </w:pPr>
      <w:bookmarkStart w:id="20221" w:name="_Toc1128710"/>
      <w:bookmarkStart w:id="20222" w:name="_Toc1250089"/>
      <w:bookmarkStart w:id="20223" w:name="_Toc1258093"/>
      <w:bookmarkStart w:id="20224" w:name="_Toc19391530"/>
      <w:bookmarkStart w:id="20225" w:name="_Toc19395027"/>
      <w:r>
        <w:rPr>
          <w:rFonts w:hint="cs"/>
          <w:rtl/>
        </w:rPr>
        <w:t>דברי התורת חיים דמבואר בתוס' דא"צ שכל גורם יהיה בפנ"ע</w:t>
      </w:r>
      <w:bookmarkEnd w:id="20221"/>
      <w:bookmarkEnd w:id="20222"/>
      <w:bookmarkEnd w:id="20223"/>
      <w:bookmarkEnd w:id="20224"/>
      <w:bookmarkEnd w:id="20225"/>
    </w:p>
    <w:p w14:paraId="74099E22" w14:textId="77777777" w:rsidR="003D504D" w:rsidRPr="007F048A" w:rsidRDefault="003D504D" w:rsidP="003D504D">
      <w:pPr>
        <w:pStyle w:val="a3"/>
        <w:rPr>
          <w:rtl/>
        </w:rPr>
      </w:pPr>
      <w:bookmarkStart w:id="20226" w:name="_Toc1128711"/>
      <w:bookmarkStart w:id="20227" w:name="_Toc1250090"/>
      <w:bookmarkStart w:id="20228" w:name="_Toc1258094"/>
      <w:bookmarkStart w:id="20229" w:name="_Toc19391531"/>
      <w:bookmarkStart w:id="20230" w:name="_Toc19395028"/>
      <w:r>
        <w:rPr>
          <w:rFonts w:hint="cs"/>
          <w:rtl/>
        </w:rPr>
        <w:t>תירוץ התורת חיים על קושית התוס' דכיון שאין כל גורם עומד בפנ"ע לא חשיב זה וזה גורם</w:t>
      </w:r>
      <w:bookmarkEnd w:id="20226"/>
      <w:bookmarkEnd w:id="20227"/>
      <w:bookmarkEnd w:id="20228"/>
      <w:bookmarkEnd w:id="20229"/>
      <w:bookmarkEnd w:id="20230"/>
    </w:p>
    <w:p w14:paraId="30047377" w14:textId="77777777" w:rsidR="003D504D" w:rsidRPr="00F155F9" w:rsidRDefault="003D504D" w:rsidP="00223668">
      <w:pPr>
        <w:pStyle w:val="a0"/>
        <w:rPr>
          <w:rtl/>
        </w:rPr>
      </w:pPr>
      <w:r>
        <w:rPr>
          <w:rFonts w:hint="cs"/>
          <w:rtl/>
        </w:rPr>
        <w:t xml:space="preserve">וכתב </w:t>
      </w:r>
      <w:r w:rsidRPr="00F440F6">
        <w:rPr>
          <w:rStyle w:val="af9"/>
          <w:rFonts w:hint="cs"/>
          <w:rtl/>
        </w:rPr>
        <w:t>התורת חיים</w:t>
      </w:r>
      <w:r w:rsidRPr="00F155F9">
        <w:rPr>
          <w:rFonts w:hint="cs"/>
          <w:rtl/>
        </w:rPr>
        <w:t xml:space="preserve"> </w:t>
      </w:r>
      <w:r w:rsidRPr="005679AC">
        <w:rPr>
          <w:rStyle w:val="af7"/>
          <w:rFonts w:eastAsia="Guttman Hodes" w:hint="cs"/>
          <w:rtl/>
        </w:rPr>
        <w:t xml:space="preserve">(ד"ה </w:t>
      </w:r>
      <w:r w:rsidRPr="0079019C">
        <w:rPr>
          <w:rStyle w:val="af7"/>
          <w:rFonts w:eastAsia="Guttman Hodes" w:hint="cs"/>
          <w:rtl/>
        </w:rPr>
        <w:t>תלתא)</w:t>
      </w:r>
      <w:r w:rsidRPr="0079019C">
        <w:rPr>
          <w:rFonts w:hint="cs"/>
          <w:rtl/>
        </w:rPr>
        <w:t xml:space="preserve"> </w:t>
      </w:r>
      <w:r>
        <w:rPr>
          <w:rFonts w:hint="cs"/>
          <w:rtl/>
        </w:rPr>
        <w:t>דהיה אפשר ל</w:t>
      </w:r>
      <w:r w:rsidRPr="0079019C">
        <w:rPr>
          <w:rFonts w:hint="cs"/>
          <w:rtl/>
        </w:rPr>
        <w:t xml:space="preserve">תרץ את קושית </w:t>
      </w:r>
      <w:r w:rsidRPr="0079019C">
        <w:rPr>
          <w:rStyle w:val="af9"/>
          <w:rFonts w:hint="cs"/>
          <w:rtl/>
        </w:rPr>
        <w:t>התוס'</w:t>
      </w:r>
      <w:r w:rsidRPr="0079019C">
        <w:rPr>
          <w:rFonts w:hint="cs"/>
          <w:rtl/>
        </w:rPr>
        <w:t xml:space="preserve"> דכל ההיתר בזה וזה גורם, הוא רק כשהגורם של האיסור עומד בפנ"ע, והגורם של ההיתר עומד בפנ"ע, אבל</w:t>
      </w:r>
      <w:r w:rsidRPr="00F155F9">
        <w:rPr>
          <w:rFonts w:hint="cs"/>
          <w:rtl/>
        </w:rPr>
        <w:t xml:space="preserve"> כשבשני הגורמים מעורבים גם היתר וגם איסור, דהזכר והנקיבה הן מותרים, ויש בהם </w:t>
      </w:r>
      <w:r>
        <w:rPr>
          <w:rFonts w:hint="cs"/>
          <w:rtl/>
        </w:rPr>
        <w:t>אבר היוצא</w:t>
      </w:r>
      <w:r w:rsidRPr="00F155F9">
        <w:rPr>
          <w:rFonts w:hint="cs"/>
          <w:rtl/>
        </w:rPr>
        <w:t>, חשיבי כגורם אחד, ולא שייך בזה ההיתר דזה וזה גורם.</w:t>
      </w:r>
    </w:p>
    <w:p w14:paraId="35CE7279" w14:textId="77777777" w:rsidR="003D504D" w:rsidRPr="00F155F9" w:rsidRDefault="003D504D" w:rsidP="003D504D">
      <w:pPr>
        <w:pStyle w:val="a3"/>
        <w:rPr>
          <w:rtl/>
        </w:rPr>
      </w:pPr>
      <w:bookmarkStart w:id="20231" w:name="_Toc1128712"/>
      <w:bookmarkStart w:id="20232" w:name="_Toc1250091"/>
      <w:bookmarkStart w:id="20233" w:name="_Toc1258095"/>
      <w:bookmarkStart w:id="20234" w:name="_Toc19391532"/>
      <w:bookmarkStart w:id="20235" w:name="_Toc19395029"/>
      <w:r>
        <w:rPr>
          <w:rFonts w:hint="cs"/>
          <w:rtl/>
        </w:rPr>
        <w:t>דברי התורת חיים דמהא דחשיב ג' איסורים הוכיחו התוס' דאף בשגורמים מעורבים הוי זה וזה גורם</w:t>
      </w:r>
      <w:bookmarkEnd w:id="20231"/>
      <w:bookmarkEnd w:id="20232"/>
      <w:bookmarkEnd w:id="20233"/>
      <w:bookmarkEnd w:id="20234"/>
      <w:bookmarkEnd w:id="20235"/>
      <w:r>
        <w:rPr>
          <w:rFonts w:hint="cs"/>
          <w:rtl/>
        </w:rPr>
        <w:t xml:space="preserve"> </w:t>
      </w:r>
    </w:p>
    <w:p w14:paraId="4C0A686B" w14:textId="77777777" w:rsidR="003D504D" w:rsidRDefault="003D504D" w:rsidP="00223668">
      <w:pPr>
        <w:pStyle w:val="a0"/>
        <w:rPr>
          <w:rtl/>
        </w:rPr>
      </w:pPr>
      <w:r>
        <w:rPr>
          <w:rFonts w:hint="cs"/>
          <w:rtl/>
        </w:rPr>
        <w:t xml:space="preserve">אך </w:t>
      </w:r>
      <w:r w:rsidRPr="00F155F9">
        <w:rPr>
          <w:rFonts w:hint="cs"/>
          <w:rtl/>
        </w:rPr>
        <w:t>כתב</w:t>
      </w:r>
      <w:r w:rsidRPr="00AB79FA">
        <w:rPr>
          <w:rStyle w:val="af9"/>
          <w:rFonts w:hint="cs"/>
          <w:rtl/>
        </w:rPr>
        <w:t xml:space="preserve"> </w:t>
      </w:r>
      <w:r w:rsidRPr="0079019C">
        <w:rPr>
          <w:rStyle w:val="af9"/>
          <w:rFonts w:hint="cs"/>
          <w:rtl/>
        </w:rPr>
        <w:t xml:space="preserve">התורת חיים </w:t>
      </w:r>
      <w:r w:rsidRPr="0079019C">
        <w:rPr>
          <w:rFonts w:hint="cs"/>
          <w:rtl/>
        </w:rPr>
        <w:t>ד</w:t>
      </w:r>
      <w:r>
        <w:rPr>
          <w:rFonts w:hint="cs"/>
          <w:rtl/>
        </w:rPr>
        <w:t>מהא דהקשו</w:t>
      </w:r>
      <w:r w:rsidRPr="0079019C">
        <w:rPr>
          <w:rFonts w:hint="cs"/>
          <w:rtl/>
        </w:rPr>
        <w:t xml:space="preserve"> </w:t>
      </w:r>
      <w:r w:rsidRPr="0079019C">
        <w:rPr>
          <w:rStyle w:val="af9"/>
          <w:rFonts w:hint="cs"/>
          <w:rtl/>
        </w:rPr>
        <w:t>התוס'</w:t>
      </w:r>
      <w:r w:rsidRPr="0079019C">
        <w:rPr>
          <w:rFonts w:hint="cs"/>
          <w:rtl/>
        </w:rPr>
        <w:t xml:space="preserve"> </w:t>
      </w:r>
      <w:r>
        <w:rPr>
          <w:rFonts w:hint="cs"/>
          <w:rtl/>
        </w:rPr>
        <w:t xml:space="preserve">דהוי זה וזה גורם, א"כ </w:t>
      </w:r>
      <w:r w:rsidRPr="0079019C">
        <w:rPr>
          <w:rFonts w:hint="cs"/>
          <w:rtl/>
        </w:rPr>
        <w:t xml:space="preserve">מבואר דס"ל </w:t>
      </w:r>
      <w:r>
        <w:rPr>
          <w:rFonts w:hint="cs"/>
          <w:rtl/>
        </w:rPr>
        <w:t>ל</w:t>
      </w:r>
      <w:r w:rsidRPr="0079019C">
        <w:rPr>
          <w:rStyle w:val="af9"/>
          <w:rFonts w:hint="cs"/>
          <w:rtl/>
        </w:rPr>
        <w:t>התוס'</w:t>
      </w:r>
      <w:r w:rsidRPr="0079019C">
        <w:rPr>
          <w:rFonts w:hint="cs"/>
          <w:rtl/>
        </w:rPr>
        <w:t xml:space="preserve"> דאף כשבשני הגורמים מעורבים היתר ואיסור, מ"מ חשיב כזה וזה גורם, ו</w:t>
      </w:r>
      <w:r>
        <w:rPr>
          <w:rFonts w:hint="cs"/>
          <w:rtl/>
        </w:rPr>
        <w:t xml:space="preserve">ביאר </w:t>
      </w:r>
      <w:r w:rsidRPr="0079019C">
        <w:rPr>
          <w:rStyle w:val="af9"/>
          <w:rFonts w:hint="cs"/>
          <w:rtl/>
        </w:rPr>
        <w:t xml:space="preserve">התורת חיים </w:t>
      </w:r>
      <w:r>
        <w:rPr>
          <w:rStyle w:val="af9"/>
          <w:rFonts w:hint="cs"/>
          <w:rtl/>
        </w:rPr>
        <w:t>ד</w:t>
      </w:r>
      <w:r w:rsidRPr="0079019C">
        <w:rPr>
          <w:rStyle w:val="af9"/>
          <w:rFonts w:hint="cs"/>
          <w:rtl/>
        </w:rPr>
        <w:t>התוס'</w:t>
      </w:r>
      <w:r w:rsidRPr="0079019C">
        <w:rPr>
          <w:rFonts w:hint="cs"/>
          <w:rtl/>
        </w:rPr>
        <w:t xml:space="preserve"> הוכיחו כן מקושית הגמ'</w:t>
      </w:r>
      <w:r>
        <w:rPr>
          <w:rFonts w:hint="cs"/>
          <w:rtl/>
        </w:rPr>
        <w:t>,</w:t>
      </w:r>
      <w:r w:rsidRPr="0079019C">
        <w:rPr>
          <w:rFonts w:hint="cs"/>
          <w:rtl/>
        </w:rPr>
        <w:t xml:space="preserve"> דאי </w:t>
      </w:r>
      <w:r>
        <w:rPr>
          <w:rFonts w:hint="cs"/>
          <w:rtl/>
        </w:rPr>
        <w:t>דין זה וזה גורם הוא רק כש</w:t>
      </w:r>
      <w:r w:rsidRPr="0079019C">
        <w:rPr>
          <w:rFonts w:hint="cs"/>
          <w:rtl/>
        </w:rPr>
        <w:t xml:space="preserve">כל גורם </w:t>
      </w:r>
      <w:r>
        <w:rPr>
          <w:rFonts w:hint="cs"/>
          <w:rtl/>
        </w:rPr>
        <w:t xml:space="preserve">הוא </w:t>
      </w:r>
      <w:r w:rsidRPr="0079019C">
        <w:rPr>
          <w:rFonts w:hint="cs"/>
          <w:rtl/>
        </w:rPr>
        <w:t>בפנ"ע א"כ אין כל חילוק בין תרי איסורי לתלתא</w:t>
      </w:r>
      <w:r>
        <w:rPr>
          <w:rFonts w:hint="cs"/>
          <w:rtl/>
        </w:rPr>
        <w:t xml:space="preserve"> איסורי, דכיון שהם שווים אין כל חילוק בין איסור אחד לג' איסורים, וא"כ כל התלתא איסורי היו צריכים להחשב כאיסור אחד.</w:t>
      </w:r>
    </w:p>
    <w:p w14:paraId="4654B041" w14:textId="77777777" w:rsidR="003D504D" w:rsidRPr="00B06D6B" w:rsidRDefault="003D504D" w:rsidP="003D504D">
      <w:pPr>
        <w:pStyle w:val="a3"/>
        <w:rPr>
          <w:rtl/>
        </w:rPr>
      </w:pPr>
      <w:bookmarkStart w:id="20236" w:name="_Toc1128713"/>
      <w:bookmarkStart w:id="20237" w:name="_Toc1250092"/>
      <w:bookmarkStart w:id="20238" w:name="_Toc1258096"/>
      <w:bookmarkStart w:id="20239" w:name="_Toc19391533"/>
      <w:bookmarkStart w:id="20240" w:name="_Toc19395030"/>
      <w:r>
        <w:rPr>
          <w:rFonts w:hint="cs"/>
          <w:rtl/>
        </w:rPr>
        <w:t>דברי התורת חיים דבצד דמבלבל זרעיה חשיב כגורם אחד דהם שווין ולכן לא הקשו התוס' בזה</w:t>
      </w:r>
      <w:bookmarkEnd w:id="20236"/>
      <w:bookmarkEnd w:id="20237"/>
      <w:bookmarkEnd w:id="20238"/>
      <w:bookmarkEnd w:id="20239"/>
      <w:bookmarkEnd w:id="20240"/>
    </w:p>
    <w:p w14:paraId="39FA9038" w14:textId="77777777" w:rsidR="003D504D" w:rsidRPr="00F4498C" w:rsidRDefault="003D504D" w:rsidP="00223668">
      <w:pPr>
        <w:pStyle w:val="a0"/>
        <w:rPr>
          <w:rtl/>
        </w:rPr>
      </w:pPr>
      <w:bookmarkStart w:id="20241" w:name="_Ref729887"/>
      <w:r w:rsidRPr="00B06D6B">
        <w:rPr>
          <w:rFonts w:hint="cs"/>
          <w:rtl/>
        </w:rPr>
        <w:t>ו</w:t>
      </w:r>
      <w:r>
        <w:rPr>
          <w:rFonts w:hint="cs"/>
          <w:rtl/>
        </w:rPr>
        <w:t>הוסיף</w:t>
      </w:r>
      <w:r w:rsidRPr="00B06D6B">
        <w:rPr>
          <w:rFonts w:hint="cs"/>
          <w:rtl/>
        </w:rPr>
        <w:t xml:space="preserve"> </w:t>
      </w:r>
      <w:r w:rsidRPr="00B06D6B">
        <w:rPr>
          <w:rStyle w:val="af9"/>
          <w:rFonts w:hint="cs"/>
          <w:rtl/>
        </w:rPr>
        <w:t>התורת חיים</w:t>
      </w:r>
      <w:r w:rsidRPr="00B06D6B">
        <w:rPr>
          <w:rFonts w:hint="cs"/>
          <w:rtl/>
        </w:rPr>
        <w:t xml:space="preserve"> דלכן לא הקשו </w:t>
      </w:r>
      <w:r w:rsidRPr="00D616BF">
        <w:rPr>
          <w:rStyle w:val="af9"/>
          <w:rFonts w:hint="cs"/>
          <w:rtl/>
        </w:rPr>
        <w:t>התוס'</w:t>
      </w:r>
      <w:r w:rsidRPr="00B06D6B">
        <w:rPr>
          <w:rFonts w:hint="cs"/>
          <w:rtl/>
        </w:rPr>
        <w:t xml:space="preserve"> את קושייתם על </w:t>
      </w:r>
      <w:r w:rsidRPr="00817FAC">
        <w:rPr>
          <w:rFonts w:hint="cs"/>
          <w:rtl/>
        </w:rPr>
        <w:t xml:space="preserve">הצד בגמ' "דמבלבל זרעיה", דבזה אפש"ל שחשיבי כגורם אחד כיון שהם שווין, </w:t>
      </w:r>
      <w:r>
        <w:rPr>
          <w:rFonts w:hint="cs"/>
          <w:rtl/>
        </w:rPr>
        <w:t xml:space="preserve">ועי' במה שתירץ </w:t>
      </w:r>
      <w:r w:rsidRPr="00F4498C">
        <w:rPr>
          <w:rStyle w:val="af9"/>
          <w:rFonts w:hint="cs"/>
          <w:rtl/>
        </w:rPr>
        <w:t>הלב אריה</w:t>
      </w:r>
      <w:r w:rsidRPr="00F4498C">
        <w:rPr>
          <w:rFonts w:hint="cs"/>
          <w:rtl/>
        </w:rPr>
        <w:t xml:space="preserve"> </w:t>
      </w:r>
      <w:r w:rsidRPr="00F4498C">
        <w:rPr>
          <w:rStyle w:val="af7"/>
          <w:rFonts w:eastAsia="Guttman Hodes" w:hint="cs"/>
          <w:rtl/>
        </w:rPr>
        <w:t xml:space="preserve">(עי' אות </w:t>
      </w:r>
      <w:r w:rsidRPr="00F4498C">
        <w:rPr>
          <w:rStyle w:val="af7"/>
          <w:rFonts w:eastAsia="Guttman Hodes"/>
          <w:rtl/>
        </w:rPr>
        <w:fldChar w:fldCharType="begin"/>
      </w:r>
      <w:r w:rsidRPr="00F4498C">
        <w:rPr>
          <w:rStyle w:val="af7"/>
          <w:rFonts w:eastAsia="Guttman Hodes"/>
          <w:rtl/>
        </w:rPr>
        <w:instrText xml:space="preserve"> </w:instrText>
      </w:r>
      <w:r w:rsidRPr="00F4498C">
        <w:rPr>
          <w:rStyle w:val="af7"/>
          <w:rFonts w:eastAsia="Guttman Hodes" w:hint="cs"/>
        </w:rPr>
        <w:instrText>REF</w:instrText>
      </w:r>
      <w:r w:rsidRPr="00F4498C">
        <w:rPr>
          <w:rStyle w:val="af7"/>
          <w:rFonts w:eastAsia="Guttman Hodes" w:hint="cs"/>
          <w:rtl/>
        </w:rPr>
        <w:instrText xml:space="preserve"> _</w:instrText>
      </w:r>
      <w:r w:rsidRPr="00F4498C">
        <w:rPr>
          <w:rStyle w:val="af7"/>
          <w:rFonts w:eastAsia="Guttman Hodes" w:hint="cs"/>
        </w:rPr>
        <w:instrText>Ref1123452 \r \h</w:instrText>
      </w:r>
      <w:r w:rsidRPr="00F4498C">
        <w:rPr>
          <w:rStyle w:val="af7"/>
          <w:rFonts w:eastAsia="Guttman Hodes"/>
          <w:rtl/>
        </w:rPr>
        <w:instrText xml:space="preserve">  \* </w:instrText>
      </w:r>
      <w:r w:rsidRPr="00F4498C">
        <w:rPr>
          <w:rStyle w:val="af7"/>
          <w:rFonts w:eastAsia="Guttman Hodes"/>
        </w:rPr>
        <w:instrText>MERGEFORMAT</w:instrText>
      </w:r>
      <w:r w:rsidRPr="00F4498C">
        <w:rPr>
          <w:rStyle w:val="af7"/>
          <w:rFonts w:eastAsia="Guttman Hodes"/>
          <w:rtl/>
        </w:rPr>
        <w:instrText xml:space="preserve"> </w:instrText>
      </w:r>
      <w:r w:rsidRPr="00F4498C">
        <w:rPr>
          <w:rStyle w:val="af7"/>
          <w:rFonts w:eastAsia="Guttman Hodes"/>
          <w:rtl/>
        </w:rPr>
      </w:r>
      <w:r w:rsidRPr="00F4498C">
        <w:rPr>
          <w:rStyle w:val="af7"/>
          <w:rFonts w:eastAsia="Guttman Hodes"/>
          <w:rtl/>
        </w:rPr>
        <w:fldChar w:fldCharType="separate"/>
      </w:r>
      <w:r w:rsidR="00345400">
        <w:rPr>
          <w:rStyle w:val="af7"/>
          <w:rFonts w:eastAsia="Guttman Hodes"/>
          <w:cs/>
        </w:rPr>
        <w:t>‎</w:t>
      </w:r>
      <w:r w:rsidR="00345400">
        <w:rPr>
          <w:rStyle w:val="af7"/>
          <w:rFonts w:eastAsia="Guttman Hodes"/>
          <w:rtl/>
        </w:rPr>
        <w:t>כה)</w:t>
      </w:r>
      <w:r w:rsidRPr="00F4498C">
        <w:rPr>
          <w:rStyle w:val="af7"/>
          <w:rFonts w:eastAsia="Guttman Hodes"/>
          <w:rtl/>
        </w:rPr>
        <w:fldChar w:fldCharType="end"/>
      </w:r>
      <w:r w:rsidRPr="00F4498C">
        <w:rPr>
          <w:rFonts w:hint="cs"/>
          <w:rtl/>
        </w:rPr>
        <w:t xml:space="preserve">, ועי' במה שביאר </w:t>
      </w:r>
      <w:r w:rsidRPr="00F4498C">
        <w:rPr>
          <w:rStyle w:val="af9"/>
          <w:rFonts w:hint="cs"/>
          <w:rtl/>
        </w:rPr>
        <w:t>הראש יוסף</w:t>
      </w:r>
      <w:r w:rsidRPr="00F4498C">
        <w:rPr>
          <w:rFonts w:hint="cs"/>
          <w:rtl/>
        </w:rPr>
        <w:t xml:space="preserve"> </w:t>
      </w:r>
      <w:r w:rsidRPr="00F4498C">
        <w:rPr>
          <w:rStyle w:val="af7"/>
          <w:rFonts w:eastAsia="Guttman Hodes" w:hint="cs"/>
          <w:rtl/>
        </w:rPr>
        <w:t>(ד"ה עוד שם מהו לחוש)</w:t>
      </w:r>
      <w:r w:rsidRPr="00F4498C">
        <w:rPr>
          <w:rFonts w:hint="cs"/>
          <w:rtl/>
        </w:rPr>
        <w:t>.</w:t>
      </w:r>
      <w:bookmarkEnd w:id="20241"/>
    </w:p>
    <w:p w14:paraId="5C7B8FAE" w14:textId="77777777" w:rsidR="003D504D" w:rsidRPr="00B06D6B" w:rsidRDefault="003D504D" w:rsidP="003D504D">
      <w:pPr>
        <w:pStyle w:val="a3"/>
        <w:rPr>
          <w:rtl/>
        </w:rPr>
      </w:pPr>
      <w:bookmarkStart w:id="20242" w:name="_Toc1128714"/>
      <w:bookmarkStart w:id="20243" w:name="_Toc1250093"/>
      <w:bookmarkStart w:id="20244" w:name="_Toc1258097"/>
      <w:bookmarkStart w:id="20245" w:name="_Toc19391534"/>
      <w:bookmarkStart w:id="20246" w:name="_Toc19395031"/>
      <w:r>
        <w:rPr>
          <w:rFonts w:hint="cs"/>
          <w:rtl/>
        </w:rPr>
        <w:t>דברי התורת חיים דבזה וזה גורם צריך שכל גורם יהיה בפנ"ע ולא דמי לאיסורים שאינם מצטרפים</w:t>
      </w:r>
      <w:bookmarkEnd w:id="20242"/>
      <w:bookmarkEnd w:id="20243"/>
      <w:bookmarkEnd w:id="20244"/>
      <w:bookmarkEnd w:id="20245"/>
      <w:bookmarkEnd w:id="20246"/>
    </w:p>
    <w:p w14:paraId="0B43F02A" w14:textId="77777777" w:rsidR="003D504D" w:rsidRPr="00B06D6B" w:rsidRDefault="003D504D" w:rsidP="00223668">
      <w:pPr>
        <w:pStyle w:val="a0"/>
        <w:rPr>
          <w:rtl/>
        </w:rPr>
      </w:pPr>
      <w:r w:rsidRPr="00B06D6B">
        <w:rPr>
          <w:rFonts w:hint="cs"/>
          <w:rtl/>
        </w:rPr>
        <w:t xml:space="preserve">אך מ"מ כתב </w:t>
      </w:r>
      <w:r w:rsidRPr="00B06D6B">
        <w:rPr>
          <w:rStyle w:val="af9"/>
          <w:rFonts w:hint="cs"/>
          <w:rtl/>
        </w:rPr>
        <w:t>התורת חיים</w:t>
      </w:r>
      <w:r w:rsidRPr="00B06D6B">
        <w:rPr>
          <w:rFonts w:hint="cs"/>
          <w:rtl/>
        </w:rPr>
        <w:t xml:space="preserve"> דמסתבר</w:t>
      </w:r>
      <w:r>
        <w:rPr>
          <w:rFonts w:hint="cs"/>
          <w:rtl/>
        </w:rPr>
        <w:t xml:space="preserve"> דדין זה וזה גורם, שייך </w:t>
      </w:r>
      <w:r w:rsidRPr="00B06D6B">
        <w:rPr>
          <w:rFonts w:hint="cs"/>
          <w:rtl/>
        </w:rPr>
        <w:t xml:space="preserve">דוקא </w:t>
      </w:r>
      <w:r>
        <w:rPr>
          <w:rFonts w:hint="cs"/>
          <w:rtl/>
        </w:rPr>
        <w:t xml:space="preserve">במקום </w:t>
      </w:r>
      <w:r w:rsidRPr="00B06D6B">
        <w:rPr>
          <w:rFonts w:hint="cs"/>
          <w:rtl/>
        </w:rPr>
        <w:t xml:space="preserve">שכל גורם עומד בפנ"ע, </w:t>
      </w:r>
      <w:r>
        <w:rPr>
          <w:rFonts w:hint="cs"/>
          <w:rtl/>
        </w:rPr>
        <w:t xml:space="preserve">ואין להוכיח מקושית הגמ' דהוי תלתא איסורים, דהא דחשיב </w:t>
      </w:r>
      <w:r w:rsidRPr="002C6E4F">
        <w:rPr>
          <w:rFonts w:hint="cs"/>
          <w:rtl/>
        </w:rPr>
        <w:t>כל איסור כדבר בפנ"ע, הוא כיון שאינם מצטרפים, ד</w:t>
      </w:r>
      <w:r>
        <w:rPr>
          <w:rFonts w:hint="cs"/>
          <w:rtl/>
        </w:rPr>
        <w:t>ה</w:t>
      </w:r>
      <w:r w:rsidRPr="002C6E4F">
        <w:rPr>
          <w:rFonts w:hint="cs"/>
          <w:rtl/>
        </w:rPr>
        <w:t xml:space="preserve">אוכל חצי זית </w:t>
      </w:r>
      <w:r w:rsidRPr="002C6E4F">
        <w:rPr>
          <w:rtl/>
        </w:rPr>
        <w:t>חֵלֶב</w:t>
      </w:r>
      <w:r w:rsidRPr="002C6E4F">
        <w:rPr>
          <w:rFonts w:hint="cs"/>
          <w:rtl/>
        </w:rPr>
        <w:t xml:space="preserve"> אינו מצטרף לחצי זית דם למלקות, </w:t>
      </w:r>
      <w:r>
        <w:rPr>
          <w:rFonts w:hint="cs"/>
          <w:rtl/>
        </w:rPr>
        <w:t>ו</w:t>
      </w:r>
      <w:r w:rsidRPr="002C6E4F">
        <w:rPr>
          <w:rFonts w:hint="cs"/>
          <w:rtl/>
        </w:rPr>
        <w:t>לכן יש חילוק בין תרי איסורי לתלתא, אע"ג</w:t>
      </w:r>
      <w:r w:rsidRPr="00B06D6B">
        <w:rPr>
          <w:rFonts w:hint="cs"/>
          <w:rtl/>
        </w:rPr>
        <w:t xml:space="preserve"> שהם שוין.</w:t>
      </w:r>
    </w:p>
    <w:p w14:paraId="48612897" w14:textId="77777777" w:rsidR="003D504D" w:rsidRPr="00B06D6B" w:rsidRDefault="003D504D" w:rsidP="003D504D">
      <w:pPr>
        <w:pStyle w:val="a3"/>
        <w:rPr>
          <w:rtl/>
        </w:rPr>
      </w:pPr>
      <w:bookmarkStart w:id="20247" w:name="_Toc1128715"/>
      <w:bookmarkStart w:id="20248" w:name="_Toc1250094"/>
      <w:bookmarkStart w:id="20249" w:name="_Toc1258098"/>
      <w:bookmarkStart w:id="20250" w:name="_Toc19391535"/>
      <w:bookmarkStart w:id="20251" w:name="_Toc19395032"/>
      <w:r>
        <w:rPr>
          <w:rFonts w:hint="cs"/>
          <w:rtl/>
        </w:rPr>
        <w:t>דברי הלב אריה דמקושית הגמ' תלתא איסורי מוכח דאבר היוצא הוי איסור ושייך בו זה וזה גורם</w:t>
      </w:r>
      <w:bookmarkEnd w:id="20247"/>
      <w:bookmarkEnd w:id="20248"/>
      <w:bookmarkEnd w:id="20249"/>
      <w:bookmarkEnd w:id="20250"/>
      <w:bookmarkEnd w:id="20251"/>
    </w:p>
    <w:p w14:paraId="525EFE93" w14:textId="77777777" w:rsidR="003D504D" w:rsidRDefault="003D504D" w:rsidP="00223668">
      <w:pPr>
        <w:pStyle w:val="a0"/>
        <w:rPr>
          <w:rtl/>
        </w:rPr>
      </w:pPr>
      <w:bookmarkStart w:id="20252" w:name="_Ref1123452"/>
      <w:r w:rsidRPr="00B06D6B">
        <w:rPr>
          <w:rStyle w:val="af9"/>
          <w:rFonts w:hint="cs"/>
          <w:rtl/>
        </w:rPr>
        <w:t xml:space="preserve">והלב אריה </w:t>
      </w:r>
      <w:r w:rsidRPr="005679AC">
        <w:rPr>
          <w:rStyle w:val="af7"/>
          <w:rFonts w:eastAsia="Guttman Hodes" w:hint="cs"/>
          <w:rtl/>
        </w:rPr>
        <w:t>(על תוד"ה תלתא)</w:t>
      </w:r>
      <w:r w:rsidRPr="00B06D6B">
        <w:rPr>
          <w:rFonts w:hint="cs"/>
          <w:rtl/>
        </w:rPr>
        <w:t xml:space="preserve"> כתב ד</w:t>
      </w:r>
      <w:r>
        <w:rPr>
          <w:rFonts w:hint="cs"/>
          <w:rtl/>
        </w:rPr>
        <w:t xml:space="preserve">היה </w:t>
      </w:r>
      <w:r w:rsidRPr="00B06D6B">
        <w:rPr>
          <w:rFonts w:hint="cs"/>
          <w:rtl/>
        </w:rPr>
        <w:t>אפש</w:t>
      </w:r>
      <w:r>
        <w:rPr>
          <w:rFonts w:hint="cs"/>
          <w:rtl/>
        </w:rPr>
        <w:t xml:space="preserve">ר לתרץ את קושית </w:t>
      </w:r>
      <w:r w:rsidRPr="00F57835">
        <w:rPr>
          <w:rStyle w:val="af9"/>
          <w:rFonts w:hint="cs"/>
          <w:rtl/>
        </w:rPr>
        <w:t xml:space="preserve">התוס' </w:t>
      </w:r>
      <w:r w:rsidRPr="00B06D6B">
        <w:rPr>
          <w:rFonts w:hint="cs"/>
          <w:rtl/>
        </w:rPr>
        <w:t xml:space="preserve">דאבר היוצא אינו נחשב כאיסור גמור, אלא אסור כיון שלא הועילה לו שחיטה, ולכן לא שייך לומר בו זה וזה גורם, </w:t>
      </w:r>
      <w:r>
        <w:rPr>
          <w:rFonts w:hint="cs"/>
          <w:rtl/>
        </w:rPr>
        <w:t xml:space="preserve">אך </w:t>
      </w:r>
      <w:r w:rsidRPr="00B06D6B">
        <w:rPr>
          <w:rFonts w:hint="cs"/>
          <w:rtl/>
        </w:rPr>
        <w:t xml:space="preserve">ביאר </w:t>
      </w:r>
      <w:r w:rsidRPr="00BD4E2B">
        <w:rPr>
          <w:rStyle w:val="af9"/>
          <w:rFonts w:hint="cs"/>
          <w:rtl/>
        </w:rPr>
        <w:t>הלב אריה</w:t>
      </w:r>
      <w:r w:rsidRPr="00B06D6B">
        <w:rPr>
          <w:rFonts w:hint="cs"/>
          <w:rtl/>
        </w:rPr>
        <w:t xml:space="preserve"> דכיון שהגמ' מקשה דע"י אבר היוצא יש תלתא איסורי א"כ </w:t>
      </w:r>
      <w:r>
        <w:rPr>
          <w:rFonts w:hint="cs"/>
          <w:rtl/>
        </w:rPr>
        <w:t xml:space="preserve">מזה הוכיחו </w:t>
      </w:r>
      <w:r w:rsidRPr="00F57835">
        <w:rPr>
          <w:rStyle w:val="af9"/>
          <w:rFonts w:hint="cs"/>
          <w:rtl/>
        </w:rPr>
        <w:t>התוס'</w:t>
      </w:r>
      <w:r>
        <w:rPr>
          <w:rFonts w:hint="cs"/>
          <w:rtl/>
        </w:rPr>
        <w:t xml:space="preserve"> ד</w:t>
      </w:r>
      <w:r w:rsidRPr="00B06D6B">
        <w:rPr>
          <w:rFonts w:hint="cs"/>
          <w:rtl/>
        </w:rPr>
        <w:t>מבואר דאבר היוצא חשיב כאיסור גמור, והיינו דאף דאכשר ביה רחמנא ד' סימנים, מ"מ הוי האבר כטריפה גמורה, ולכן הקשו</w:t>
      </w:r>
      <w:r w:rsidRPr="00B06D6B">
        <w:rPr>
          <w:rStyle w:val="af9"/>
          <w:rFonts w:hint="cs"/>
          <w:rtl/>
        </w:rPr>
        <w:t xml:space="preserve"> התוס' </w:t>
      </w:r>
      <w:r w:rsidRPr="00B06D6B">
        <w:rPr>
          <w:rFonts w:hint="cs"/>
          <w:rtl/>
        </w:rPr>
        <w:t xml:space="preserve">דשייך בו זה וזה גורם, והוסיף </w:t>
      </w:r>
      <w:r w:rsidRPr="00B06D6B">
        <w:rPr>
          <w:rStyle w:val="af9"/>
          <w:rFonts w:hint="cs"/>
          <w:rtl/>
        </w:rPr>
        <w:t>הלב אריה</w:t>
      </w:r>
      <w:r w:rsidRPr="00B06D6B">
        <w:rPr>
          <w:rFonts w:hint="cs"/>
          <w:rtl/>
        </w:rPr>
        <w:t xml:space="preserve"> דלפי"ז מתורצת קושית </w:t>
      </w:r>
      <w:r w:rsidRPr="00B06D6B">
        <w:rPr>
          <w:rStyle w:val="af9"/>
          <w:rFonts w:hint="cs"/>
          <w:rtl/>
        </w:rPr>
        <w:t>התורת חיים</w:t>
      </w:r>
      <w:r w:rsidRPr="005679AC">
        <w:rPr>
          <w:rStyle w:val="af7"/>
          <w:rFonts w:eastAsia="Guttman Hodes" w:hint="cs"/>
          <w:rtl/>
        </w:rPr>
        <w:t xml:space="preserve"> (עי'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Ref729887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כג)</w:t>
      </w:r>
      <w:r w:rsidRPr="00B06D6B">
        <w:rPr>
          <w:rStyle w:val="af7"/>
          <w:rFonts w:eastAsia="Guttman Hodes"/>
          <w:rtl/>
        </w:rPr>
        <w:fldChar w:fldCharType="end"/>
      </w:r>
      <w:r w:rsidRPr="005679AC">
        <w:rPr>
          <w:rStyle w:val="af7"/>
          <w:rFonts w:eastAsia="Guttman Hodes" w:hint="cs"/>
          <w:rtl/>
        </w:rPr>
        <w:t xml:space="preserve"> </w:t>
      </w:r>
      <w:r w:rsidRPr="00B06D6B">
        <w:rPr>
          <w:rFonts w:hint="cs"/>
          <w:rtl/>
        </w:rPr>
        <w:t xml:space="preserve">אמאי לא הקשו </w:t>
      </w:r>
      <w:r w:rsidRPr="00B06D6B">
        <w:rPr>
          <w:rStyle w:val="af9"/>
          <w:rFonts w:hint="cs"/>
          <w:rtl/>
        </w:rPr>
        <w:t>התוס'</w:t>
      </w:r>
      <w:r w:rsidRPr="00B06D6B">
        <w:rPr>
          <w:rFonts w:hint="cs"/>
          <w:rtl/>
        </w:rPr>
        <w:t xml:space="preserve"> את קושיתם על הצד בגמ' "דמבלבל זרעיה", דרק אחר דמקשה הגמ' דע"י האבר היוצא יש תלתא איסורי, יכולים </w:t>
      </w:r>
      <w:r w:rsidRPr="00B06D6B">
        <w:rPr>
          <w:rStyle w:val="af9"/>
          <w:rFonts w:hint="cs"/>
          <w:rtl/>
        </w:rPr>
        <w:t xml:space="preserve">התוס' </w:t>
      </w:r>
      <w:r w:rsidRPr="00B06D6B">
        <w:rPr>
          <w:rFonts w:hint="cs"/>
          <w:rtl/>
        </w:rPr>
        <w:t>להקשות שהוא איסור בפנ"ע ויש בו זה וזה גורם.</w:t>
      </w:r>
      <w:bookmarkEnd w:id="20252"/>
    </w:p>
    <w:p w14:paraId="21591F73" w14:textId="77777777" w:rsidR="003D504D" w:rsidRPr="00B666CF" w:rsidRDefault="003D504D" w:rsidP="00BF39B2">
      <w:pPr>
        <w:pStyle w:val="1"/>
        <w:rPr>
          <w:rtl/>
        </w:rPr>
      </w:pPr>
      <w:bookmarkStart w:id="20253" w:name="_Toc1250095"/>
      <w:bookmarkStart w:id="20254" w:name="_Toc1258099"/>
      <w:bookmarkStart w:id="20255" w:name="_Toc19391536"/>
      <w:bookmarkStart w:id="20256" w:name="_Toc19395033"/>
      <w:r>
        <w:rPr>
          <w:rFonts w:hint="cs"/>
          <w:rtl/>
        </w:rPr>
        <w:t>ביאור הבכור שור דאחר קושית הגמ' מבואר דהאבר הוא איסור</w:t>
      </w:r>
      <w:bookmarkEnd w:id="20253"/>
      <w:bookmarkEnd w:id="20254"/>
      <w:bookmarkEnd w:id="20255"/>
      <w:bookmarkEnd w:id="20256"/>
    </w:p>
    <w:p w14:paraId="731854A4" w14:textId="77777777" w:rsidR="003D504D" w:rsidRPr="00B06D6B" w:rsidRDefault="003D504D" w:rsidP="003D504D">
      <w:pPr>
        <w:pStyle w:val="a3"/>
        <w:rPr>
          <w:rtl/>
        </w:rPr>
      </w:pPr>
      <w:bookmarkStart w:id="20257" w:name="_Toc1250096"/>
      <w:bookmarkStart w:id="20258" w:name="_Toc1258100"/>
      <w:bookmarkStart w:id="20259" w:name="_Toc19391537"/>
      <w:bookmarkStart w:id="20260" w:name="_Toc19395034"/>
      <w:r>
        <w:rPr>
          <w:rFonts w:hint="cs"/>
          <w:rtl/>
        </w:rPr>
        <w:t>דברי הבכור שור דלמסקנא דמבלבל זרעיה בכל אבר ואבר הוי זה וזה גורם</w:t>
      </w:r>
      <w:bookmarkEnd w:id="20257"/>
      <w:bookmarkEnd w:id="20258"/>
      <w:bookmarkEnd w:id="20259"/>
      <w:bookmarkEnd w:id="20260"/>
    </w:p>
    <w:p w14:paraId="07741DEE" w14:textId="77777777" w:rsidR="003D504D" w:rsidRDefault="003D504D" w:rsidP="00223668">
      <w:pPr>
        <w:pStyle w:val="a0"/>
        <w:rPr>
          <w:rtl/>
        </w:rPr>
      </w:pPr>
      <w:bookmarkStart w:id="20261" w:name="_Ref1258581"/>
      <w:r>
        <w:rPr>
          <w:rStyle w:val="af9"/>
          <w:rFonts w:hint="cs"/>
          <w:rtl/>
        </w:rPr>
        <w:t>ו</w:t>
      </w:r>
      <w:r w:rsidRPr="00B06D6B">
        <w:rPr>
          <w:rStyle w:val="af9"/>
          <w:rFonts w:hint="cs"/>
          <w:rtl/>
        </w:rPr>
        <w:t xml:space="preserve">הבכור שור </w:t>
      </w:r>
      <w:r w:rsidRPr="005679AC">
        <w:rPr>
          <w:rStyle w:val="af7"/>
          <w:rFonts w:eastAsia="Guttman Hodes" w:hint="cs"/>
          <w:rtl/>
        </w:rPr>
        <w:t>(על תוד"ה דאתא, נד' בסוף התבו"ש)</w:t>
      </w:r>
      <w:r w:rsidRPr="00B06D6B">
        <w:rPr>
          <w:rFonts w:hint="cs"/>
          <w:rtl/>
        </w:rPr>
        <w:t xml:space="preserve"> כתב דכוונת </w:t>
      </w:r>
      <w:r w:rsidRPr="00B06D6B">
        <w:rPr>
          <w:rStyle w:val="af9"/>
          <w:rFonts w:hint="cs"/>
          <w:rtl/>
        </w:rPr>
        <w:t>התוס'</w:t>
      </w:r>
      <w:r w:rsidRPr="00B06D6B">
        <w:rPr>
          <w:rFonts w:hint="cs"/>
          <w:rtl/>
        </w:rPr>
        <w:t xml:space="preserve"> להקשות אחר דאמרינן דמבלבל זרעיה, א"כ כל בכל אבר ואבר יש זה וזה גורם, ולכן הקשו דצריך להיות הדין דמותר, והקשה </w:t>
      </w:r>
      <w:r w:rsidRPr="00B06D6B">
        <w:rPr>
          <w:rStyle w:val="af9"/>
          <w:rFonts w:hint="cs"/>
          <w:rtl/>
        </w:rPr>
        <w:t>הבכור שור</w:t>
      </w:r>
      <w:r w:rsidRPr="00B06D6B">
        <w:rPr>
          <w:rFonts w:hint="cs"/>
          <w:rtl/>
        </w:rPr>
        <w:t xml:space="preserve"> </w:t>
      </w:r>
      <w:r w:rsidRPr="00B666AF">
        <w:rPr>
          <w:rStyle w:val="afb"/>
          <w:rFonts w:hint="cs"/>
          <w:rtl/>
        </w:rPr>
        <w:t xml:space="preserve">[כקושית </w:t>
      </w:r>
      <w:r w:rsidRPr="00B666AF">
        <w:rPr>
          <w:rStyle w:val="affa"/>
          <w:rFonts w:hint="cs"/>
          <w:rtl/>
        </w:rPr>
        <w:t>התורת חיים</w:t>
      </w:r>
      <w:r w:rsidRPr="00B666AF">
        <w:rPr>
          <w:rStyle w:val="afb"/>
          <w:rFonts w:hint="cs"/>
          <w:rtl/>
        </w:rPr>
        <w:t xml:space="preserve"> </w:t>
      </w:r>
      <w:r w:rsidRPr="00B666AF">
        <w:rPr>
          <w:rStyle w:val="aff6"/>
          <w:rFonts w:hint="cs"/>
          <w:rtl/>
        </w:rPr>
        <w:t xml:space="preserve">(עי' אות </w:t>
      </w:r>
      <w:r w:rsidRPr="00B666AF">
        <w:rPr>
          <w:rStyle w:val="aff6"/>
          <w:rtl/>
        </w:rPr>
        <w:fldChar w:fldCharType="begin"/>
      </w:r>
      <w:r w:rsidRPr="00B666AF">
        <w:rPr>
          <w:rStyle w:val="aff6"/>
          <w:rtl/>
        </w:rPr>
        <w:instrText xml:space="preserve"> </w:instrText>
      </w:r>
      <w:r w:rsidRPr="00B666AF">
        <w:rPr>
          <w:rStyle w:val="aff6"/>
          <w:rFonts w:hint="cs"/>
        </w:rPr>
        <w:instrText>REF</w:instrText>
      </w:r>
      <w:r w:rsidRPr="00B666AF">
        <w:rPr>
          <w:rStyle w:val="aff6"/>
          <w:rFonts w:hint="cs"/>
          <w:rtl/>
        </w:rPr>
        <w:instrText xml:space="preserve"> _</w:instrText>
      </w:r>
      <w:r w:rsidRPr="00B666AF">
        <w:rPr>
          <w:rStyle w:val="aff6"/>
          <w:rFonts w:hint="cs"/>
        </w:rPr>
        <w:instrText>Ref729887 \r \h</w:instrText>
      </w:r>
      <w:r w:rsidRPr="00B666AF">
        <w:rPr>
          <w:rStyle w:val="aff6"/>
          <w:rtl/>
        </w:rPr>
        <w:instrText xml:space="preserve">  \* </w:instrText>
      </w:r>
      <w:r w:rsidRPr="00B666AF">
        <w:rPr>
          <w:rStyle w:val="aff6"/>
        </w:rPr>
        <w:instrText>MERGEFORMAT</w:instrText>
      </w:r>
      <w:r w:rsidRPr="00B666AF">
        <w:rPr>
          <w:rStyle w:val="aff6"/>
          <w:rtl/>
        </w:rPr>
        <w:instrText xml:space="preserve"> </w:instrText>
      </w:r>
      <w:r w:rsidRPr="00B666AF">
        <w:rPr>
          <w:rStyle w:val="aff6"/>
          <w:rtl/>
        </w:rPr>
      </w:r>
      <w:r w:rsidRPr="00B666AF">
        <w:rPr>
          <w:rStyle w:val="aff6"/>
          <w:rtl/>
        </w:rPr>
        <w:fldChar w:fldCharType="separate"/>
      </w:r>
      <w:r w:rsidR="00345400">
        <w:rPr>
          <w:rStyle w:val="aff6"/>
          <w:cs/>
        </w:rPr>
        <w:t>‎</w:t>
      </w:r>
      <w:r w:rsidR="00345400">
        <w:rPr>
          <w:rStyle w:val="aff6"/>
          <w:rtl/>
        </w:rPr>
        <w:t>כג)</w:t>
      </w:r>
      <w:r w:rsidRPr="00B666AF">
        <w:rPr>
          <w:rStyle w:val="aff6"/>
          <w:rtl/>
        </w:rPr>
        <w:fldChar w:fldCharType="end"/>
      </w:r>
      <w:r w:rsidRPr="00B666AF">
        <w:rPr>
          <w:rStyle w:val="afb"/>
          <w:rFonts w:hint="cs"/>
          <w:rtl/>
        </w:rPr>
        <w:t>]</w:t>
      </w:r>
      <w:r w:rsidRPr="00B06D6B">
        <w:rPr>
          <w:rFonts w:hint="cs"/>
          <w:rtl/>
        </w:rPr>
        <w:t xml:space="preserve"> אמאי לא הקשו </w:t>
      </w:r>
      <w:r w:rsidRPr="00B06D6B">
        <w:rPr>
          <w:rStyle w:val="af9"/>
          <w:rFonts w:hint="cs"/>
          <w:rtl/>
        </w:rPr>
        <w:t>התוס'</w:t>
      </w:r>
      <w:r w:rsidRPr="00B06D6B">
        <w:rPr>
          <w:rFonts w:hint="cs"/>
          <w:rtl/>
        </w:rPr>
        <w:t xml:space="preserve"> את קושיתם גם על הצד בגמ' דמבלבל זרעיה.</w:t>
      </w:r>
      <w:bookmarkEnd w:id="20261"/>
    </w:p>
    <w:p w14:paraId="0CACDACD" w14:textId="77777777" w:rsidR="003D504D" w:rsidRPr="00B06D6B" w:rsidRDefault="003D504D" w:rsidP="003D504D">
      <w:pPr>
        <w:pStyle w:val="a3"/>
        <w:rPr>
          <w:rtl/>
        </w:rPr>
      </w:pPr>
      <w:bookmarkStart w:id="20262" w:name="_Toc1250097"/>
      <w:bookmarkStart w:id="20263" w:name="_Toc1258101"/>
      <w:bookmarkStart w:id="20264" w:name="_Toc19391538"/>
      <w:bookmarkStart w:id="20265" w:name="_Toc19395035"/>
      <w:r>
        <w:rPr>
          <w:rFonts w:hint="cs"/>
          <w:rtl/>
        </w:rPr>
        <w:t>ביאור הבכור שור דמסברא לא הוי זה וזה גורם דהאבר היוצא אינו איסור אלא דלא מהני לו שחיטה</w:t>
      </w:r>
      <w:bookmarkEnd w:id="20262"/>
      <w:bookmarkEnd w:id="20263"/>
      <w:bookmarkEnd w:id="20264"/>
      <w:bookmarkEnd w:id="20265"/>
    </w:p>
    <w:p w14:paraId="5E52ABCF" w14:textId="77777777" w:rsidR="003D504D" w:rsidRPr="004A1CF6" w:rsidRDefault="003D504D" w:rsidP="00223668">
      <w:pPr>
        <w:pStyle w:val="a0"/>
        <w:rPr>
          <w:rtl/>
        </w:rPr>
      </w:pPr>
      <w:r w:rsidRPr="004A1CF6">
        <w:rPr>
          <w:rFonts w:hint="cs"/>
          <w:rtl/>
        </w:rPr>
        <w:t xml:space="preserve">אלא ביאר </w:t>
      </w:r>
      <w:r w:rsidRPr="004A1CF6">
        <w:rPr>
          <w:rStyle w:val="af9"/>
          <w:rFonts w:hint="cs"/>
          <w:rtl/>
        </w:rPr>
        <w:t>הבכור שור</w:t>
      </w:r>
      <w:r w:rsidRPr="004A1CF6">
        <w:rPr>
          <w:rFonts w:hint="cs"/>
          <w:rtl/>
        </w:rPr>
        <w:t xml:space="preserve"> על פי ביאורו  בדברי </w:t>
      </w:r>
      <w:r w:rsidRPr="004A1CF6">
        <w:rPr>
          <w:rStyle w:val="af9"/>
          <w:rFonts w:hint="cs"/>
          <w:rtl/>
        </w:rPr>
        <w:t>התוס'</w:t>
      </w:r>
      <w:r w:rsidRPr="004A1CF6">
        <w:rPr>
          <w:rFonts w:hint="cs"/>
          <w:rtl/>
        </w:rPr>
        <w:t xml:space="preserve"> </w:t>
      </w:r>
      <w:r w:rsidRPr="007D19AE">
        <w:rPr>
          <w:rStyle w:val="af7"/>
          <w:rFonts w:eastAsia="Guttman Hodes" w:hint="cs"/>
          <w:rtl/>
        </w:rPr>
        <w:t xml:space="preserve">(עי' אות </w:t>
      </w:r>
      <w:r w:rsidRPr="007D19AE">
        <w:rPr>
          <w:rStyle w:val="af7"/>
          <w:rFonts w:eastAsia="Guttman Hodes"/>
          <w:rtl/>
        </w:rPr>
        <w:fldChar w:fldCharType="begin"/>
      </w:r>
      <w:r w:rsidRPr="007D19AE">
        <w:rPr>
          <w:rStyle w:val="af7"/>
          <w:rFonts w:eastAsia="Guttman Hodes"/>
          <w:rtl/>
        </w:rPr>
        <w:instrText xml:space="preserve"> </w:instrText>
      </w:r>
      <w:r w:rsidRPr="007D19AE">
        <w:rPr>
          <w:rStyle w:val="af7"/>
          <w:rFonts w:eastAsia="Guttman Hodes" w:hint="cs"/>
        </w:rPr>
        <w:instrText>REF</w:instrText>
      </w:r>
      <w:r w:rsidRPr="007D19AE">
        <w:rPr>
          <w:rStyle w:val="af7"/>
          <w:rFonts w:eastAsia="Guttman Hodes" w:hint="cs"/>
          <w:rtl/>
        </w:rPr>
        <w:instrText xml:space="preserve"> _</w:instrText>
      </w:r>
      <w:r w:rsidRPr="007D19AE">
        <w:rPr>
          <w:rStyle w:val="af7"/>
          <w:rFonts w:eastAsia="Guttman Hodes" w:hint="cs"/>
        </w:rPr>
        <w:instrText>Ref1258537 \r \h</w:instrText>
      </w:r>
      <w:r w:rsidRPr="007D19AE">
        <w:rPr>
          <w:rStyle w:val="af7"/>
          <w:rFonts w:eastAsia="Guttman Hodes"/>
          <w:rtl/>
        </w:rPr>
        <w:instrText xml:space="preserve"> </w:instrText>
      </w:r>
      <w:r w:rsidRPr="007D19AE">
        <w:rPr>
          <w:rStyle w:val="af7"/>
          <w:rFonts w:eastAsia="Guttman Hodes"/>
          <w:rtl/>
        </w:rPr>
      </w:r>
      <w:r w:rsidRPr="007D19AE">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7D19AE">
        <w:rPr>
          <w:rStyle w:val="af7"/>
          <w:rFonts w:eastAsia="Guttman Hodes"/>
          <w:rtl/>
        </w:rPr>
        <w:fldChar w:fldCharType="end"/>
      </w:r>
      <w:r>
        <w:rPr>
          <w:rFonts w:hint="cs"/>
          <w:rtl/>
        </w:rPr>
        <w:t xml:space="preserve"> </w:t>
      </w:r>
      <w:r w:rsidRPr="004A1CF6">
        <w:rPr>
          <w:rFonts w:hint="cs"/>
          <w:rtl/>
        </w:rPr>
        <w:t>דאיירי בזכר בן פקועה שמותר לגמרי</w:t>
      </w:r>
      <w:r>
        <w:rPr>
          <w:rFonts w:hint="cs"/>
          <w:rtl/>
        </w:rPr>
        <w:t>,</w:t>
      </w:r>
      <w:r w:rsidRPr="004A1CF6">
        <w:rPr>
          <w:rFonts w:hint="cs"/>
          <w:rtl/>
        </w:rPr>
        <w:t xml:space="preserve"> שבא על נקיבה שיש בה אבר היוצא, </w:t>
      </w:r>
      <w:r>
        <w:rPr>
          <w:rFonts w:hint="cs"/>
          <w:rtl/>
        </w:rPr>
        <w:t>ו</w:t>
      </w:r>
      <w:r w:rsidRPr="004A1CF6">
        <w:rPr>
          <w:rFonts w:hint="cs"/>
          <w:rtl/>
        </w:rPr>
        <w:t xml:space="preserve">ס"ל </w:t>
      </w:r>
      <w:r w:rsidRPr="004A1CF6">
        <w:rPr>
          <w:rStyle w:val="af9"/>
          <w:rFonts w:hint="cs"/>
          <w:rtl/>
        </w:rPr>
        <w:t xml:space="preserve">להתוס' </w:t>
      </w:r>
      <w:r w:rsidRPr="004A1CF6">
        <w:rPr>
          <w:rFonts w:hint="cs"/>
          <w:rtl/>
        </w:rPr>
        <w:t>ד</w:t>
      </w:r>
      <w:r>
        <w:rPr>
          <w:rFonts w:hint="cs"/>
          <w:rtl/>
        </w:rPr>
        <w:t xml:space="preserve">מסברא </w:t>
      </w:r>
      <w:r w:rsidRPr="004A1CF6">
        <w:rPr>
          <w:rFonts w:hint="cs"/>
          <w:rtl/>
        </w:rPr>
        <w:t>האב</w:t>
      </w:r>
      <w:r>
        <w:rPr>
          <w:rFonts w:hint="cs"/>
          <w:rtl/>
        </w:rPr>
        <w:t>ר היוצא</w:t>
      </w:r>
      <w:r w:rsidRPr="004A1CF6">
        <w:rPr>
          <w:rFonts w:hint="cs"/>
          <w:rtl/>
        </w:rPr>
        <w:t xml:space="preserve"> לא חשיב כאיסור,</w:t>
      </w:r>
      <w:r>
        <w:rPr>
          <w:rFonts w:hint="cs"/>
          <w:rtl/>
        </w:rPr>
        <w:t xml:space="preserve"> אלא ככל בהמה בחייה שלא נשחטה, </w:t>
      </w:r>
      <w:r w:rsidRPr="004A1CF6">
        <w:rPr>
          <w:rFonts w:hint="cs"/>
          <w:rtl/>
        </w:rPr>
        <w:t>וכ</w:t>
      </w:r>
      <w:r>
        <w:rPr>
          <w:rFonts w:hint="cs"/>
          <w:rtl/>
        </w:rPr>
        <w:t xml:space="preserve">עי"ז </w:t>
      </w:r>
      <w:r w:rsidRPr="004A1CF6">
        <w:rPr>
          <w:rFonts w:hint="cs"/>
          <w:rtl/>
        </w:rPr>
        <w:t xml:space="preserve">כתבו </w:t>
      </w:r>
      <w:r w:rsidRPr="004A1CF6">
        <w:rPr>
          <w:rStyle w:val="af9"/>
          <w:rFonts w:hint="cs"/>
          <w:rtl/>
        </w:rPr>
        <w:t>הרשב"א והר"ן</w:t>
      </w:r>
      <w:r w:rsidRPr="004A1CF6">
        <w:rPr>
          <w:rFonts w:hint="cs"/>
          <w:rtl/>
        </w:rPr>
        <w:t xml:space="preserve"> </w:t>
      </w:r>
      <w:r w:rsidRPr="003D39AF">
        <w:rPr>
          <w:rStyle w:val="afb"/>
          <w:rFonts w:hint="cs"/>
          <w:rtl/>
        </w:rPr>
        <w:t xml:space="preserve">[אולי כוונתו  לדברי </w:t>
      </w:r>
      <w:r w:rsidRPr="00B666CF">
        <w:rPr>
          <w:rStyle w:val="affa"/>
          <w:rFonts w:hint="cs"/>
          <w:rtl/>
        </w:rPr>
        <w:t>הרשב"א בחי'</w:t>
      </w:r>
      <w:r w:rsidRPr="003D39AF">
        <w:rPr>
          <w:rStyle w:val="afb"/>
          <w:rFonts w:hint="cs"/>
          <w:rtl/>
        </w:rPr>
        <w:t xml:space="preserve"> </w:t>
      </w:r>
      <w:r w:rsidRPr="0037541D">
        <w:rPr>
          <w:rStyle w:val="aff6"/>
          <w:rFonts w:hint="cs"/>
          <w:rtl/>
        </w:rPr>
        <w:t>(עה: ד"ה אמר)</w:t>
      </w:r>
      <w:r w:rsidRPr="003D39AF">
        <w:rPr>
          <w:rStyle w:val="afb"/>
          <w:rFonts w:hint="cs"/>
          <w:rtl/>
        </w:rPr>
        <w:t xml:space="preserve"> </w:t>
      </w:r>
      <w:r w:rsidRPr="00B666CF">
        <w:rPr>
          <w:rStyle w:val="affa"/>
          <w:rFonts w:hint="cs"/>
          <w:rtl/>
        </w:rPr>
        <w:t>ובתוה"ב</w:t>
      </w:r>
      <w:r w:rsidRPr="003D39AF">
        <w:rPr>
          <w:rStyle w:val="afb"/>
          <w:rFonts w:hint="cs"/>
          <w:rtl/>
        </w:rPr>
        <w:t xml:space="preserve"> </w:t>
      </w:r>
      <w:r w:rsidRPr="0037541D">
        <w:rPr>
          <w:rStyle w:val="aff6"/>
          <w:rFonts w:hint="cs"/>
          <w:rtl/>
        </w:rPr>
        <w:t>(ב"ב ש"ה דף סא. מדה"ס)</w:t>
      </w:r>
      <w:r w:rsidRPr="003D39AF">
        <w:rPr>
          <w:rStyle w:val="afb"/>
          <w:rFonts w:hint="cs"/>
          <w:rtl/>
        </w:rPr>
        <w:t xml:space="preserve">  </w:t>
      </w:r>
      <w:r w:rsidRPr="00B666CF">
        <w:rPr>
          <w:rStyle w:val="affa"/>
          <w:rFonts w:hint="cs"/>
          <w:rtl/>
        </w:rPr>
        <w:t>והר"ן על הרי"ף</w:t>
      </w:r>
      <w:r w:rsidRPr="003D39AF">
        <w:rPr>
          <w:rStyle w:val="afb"/>
          <w:rFonts w:hint="cs"/>
          <w:rtl/>
        </w:rPr>
        <w:t xml:space="preserve"> </w:t>
      </w:r>
      <w:r w:rsidRPr="0037541D">
        <w:rPr>
          <w:rStyle w:val="aff6"/>
          <w:rFonts w:hint="cs"/>
          <w:rtl/>
        </w:rPr>
        <w:t>(כה: מדפי הרי"ף ד"ה וגרסי', הובאו בסימן ג' אות י')</w:t>
      </w:r>
      <w:r>
        <w:rPr>
          <w:rStyle w:val="afb"/>
          <w:rFonts w:hint="cs"/>
          <w:rtl/>
        </w:rPr>
        <w:t>]</w:t>
      </w:r>
      <w:r w:rsidRPr="004A1CF6">
        <w:rPr>
          <w:rFonts w:hint="cs"/>
          <w:rtl/>
        </w:rPr>
        <w:t xml:space="preserve">, וא"כ לא שייך בזה זה וזה גורם כלל, וכדכתבו </w:t>
      </w:r>
      <w:r w:rsidRPr="004A1CF6">
        <w:rPr>
          <w:rStyle w:val="af9"/>
          <w:rFonts w:hint="cs"/>
          <w:rtl/>
        </w:rPr>
        <w:t>התוס' לעיל</w:t>
      </w:r>
      <w:r w:rsidRPr="004A1CF6">
        <w:rPr>
          <w:rFonts w:hint="cs"/>
          <w:rtl/>
        </w:rPr>
        <w:t xml:space="preserve"> </w:t>
      </w:r>
      <w:r w:rsidRPr="004A1CF6">
        <w:rPr>
          <w:rStyle w:val="af7"/>
          <w:rFonts w:eastAsia="Guttman Hodes" w:hint="cs"/>
          <w:rtl/>
        </w:rPr>
        <w:t xml:space="preserve">(עי' אות </w:t>
      </w:r>
      <w:r w:rsidRPr="004A1CF6">
        <w:rPr>
          <w:rStyle w:val="af7"/>
          <w:rFonts w:eastAsia="Guttman Hodes"/>
          <w:rtl/>
        </w:rPr>
        <w:fldChar w:fldCharType="begin"/>
      </w:r>
      <w:r w:rsidRPr="004A1CF6">
        <w:rPr>
          <w:rStyle w:val="af7"/>
          <w:rFonts w:eastAsia="Guttman Hodes"/>
          <w:rtl/>
        </w:rPr>
        <w:instrText xml:space="preserve"> </w:instrText>
      </w:r>
      <w:r w:rsidRPr="004A1CF6">
        <w:rPr>
          <w:rStyle w:val="af7"/>
          <w:rFonts w:eastAsia="Guttman Hodes" w:hint="cs"/>
        </w:rPr>
        <w:instrText>REF</w:instrText>
      </w:r>
      <w:r w:rsidRPr="004A1CF6">
        <w:rPr>
          <w:rStyle w:val="af7"/>
          <w:rFonts w:eastAsia="Guttman Hodes" w:hint="cs"/>
          <w:rtl/>
        </w:rPr>
        <w:instrText xml:space="preserve"> _</w:instrText>
      </w:r>
      <w:r w:rsidRPr="004A1CF6">
        <w:rPr>
          <w:rStyle w:val="af7"/>
          <w:rFonts w:eastAsia="Guttman Hodes" w:hint="cs"/>
        </w:rPr>
        <w:instrText>Ref536786982 \r \h</w:instrText>
      </w:r>
      <w:r w:rsidRPr="004A1CF6">
        <w:rPr>
          <w:rStyle w:val="af7"/>
          <w:rFonts w:eastAsia="Guttman Hodes"/>
          <w:rtl/>
        </w:rPr>
        <w:instrText xml:space="preserve">  \* </w:instrText>
      </w:r>
      <w:r w:rsidRPr="004A1CF6">
        <w:rPr>
          <w:rStyle w:val="af7"/>
          <w:rFonts w:eastAsia="Guttman Hodes"/>
        </w:rPr>
        <w:instrText>MERGEFORMAT</w:instrText>
      </w:r>
      <w:r w:rsidRPr="004A1CF6">
        <w:rPr>
          <w:rStyle w:val="af7"/>
          <w:rFonts w:eastAsia="Guttman Hodes"/>
          <w:rtl/>
        </w:rPr>
        <w:instrText xml:space="preserve"> </w:instrText>
      </w:r>
      <w:r w:rsidRPr="004A1CF6">
        <w:rPr>
          <w:rStyle w:val="af7"/>
          <w:rFonts w:eastAsia="Guttman Hodes"/>
          <w:rtl/>
        </w:rPr>
      </w:r>
      <w:r w:rsidRPr="004A1CF6">
        <w:rPr>
          <w:rStyle w:val="af7"/>
          <w:rFonts w:eastAsia="Guttman Hodes"/>
          <w:rtl/>
        </w:rPr>
        <w:fldChar w:fldCharType="separate"/>
      </w:r>
      <w:r w:rsidR="00345400" w:rsidRPr="00345400">
        <w:rPr>
          <w:rStyle w:val="af7"/>
          <w:rFonts w:eastAsia="Guttman Hodes"/>
          <w:b/>
          <w:bCs/>
          <w:cs/>
        </w:rPr>
        <w:t>‎</w:t>
      </w:r>
      <w:r w:rsidR="00345400">
        <w:rPr>
          <w:rStyle w:val="af7"/>
          <w:rFonts w:eastAsia="Guttman Hodes"/>
          <w:rtl/>
        </w:rPr>
        <w:t>לא)</w:t>
      </w:r>
      <w:r w:rsidRPr="004A1CF6">
        <w:rPr>
          <w:rStyle w:val="af7"/>
          <w:rFonts w:eastAsia="Guttman Hodes"/>
          <w:rtl/>
        </w:rPr>
        <w:fldChar w:fldCharType="end"/>
      </w:r>
      <w:r w:rsidRPr="004A1CF6">
        <w:rPr>
          <w:rFonts w:hint="cs"/>
          <w:rtl/>
        </w:rPr>
        <w:t xml:space="preserve"> דדוקא כשיש גורם שאסור אמרינן זה וזה גורם.</w:t>
      </w:r>
    </w:p>
    <w:p w14:paraId="24960D07" w14:textId="77777777" w:rsidR="003D504D" w:rsidRPr="00B06D6B" w:rsidRDefault="003D504D" w:rsidP="003D504D">
      <w:pPr>
        <w:pStyle w:val="a3"/>
        <w:rPr>
          <w:rtl/>
        </w:rPr>
      </w:pPr>
      <w:bookmarkStart w:id="20266" w:name="_Toc1250098"/>
      <w:bookmarkStart w:id="20267" w:name="_Toc1258102"/>
      <w:bookmarkStart w:id="20268" w:name="_Toc19391539"/>
      <w:bookmarkStart w:id="20269" w:name="_Toc19395036"/>
      <w:r>
        <w:rPr>
          <w:rFonts w:hint="cs"/>
          <w:rtl/>
        </w:rPr>
        <w:t>תירוץ הבכור שור דאחר קושית הגמ' דהוי תלתא איסורי הקשו התוס' דאבר היוצא הוא איסור</w:t>
      </w:r>
      <w:bookmarkEnd w:id="20266"/>
      <w:bookmarkEnd w:id="20267"/>
      <w:bookmarkEnd w:id="20268"/>
      <w:bookmarkEnd w:id="20269"/>
    </w:p>
    <w:p w14:paraId="2B7E7D71" w14:textId="77777777" w:rsidR="003D504D" w:rsidRPr="00B06D6B" w:rsidRDefault="003D504D" w:rsidP="00223668">
      <w:pPr>
        <w:pStyle w:val="a0"/>
        <w:rPr>
          <w:rtl/>
        </w:rPr>
      </w:pPr>
      <w:r w:rsidRPr="00B06D6B">
        <w:rPr>
          <w:rFonts w:hint="cs"/>
          <w:rtl/>
        </w:rPr>
        <w:t>ו</w:t>
      </w:r>
      <w:r>
        <w:rPr>
          <w:rFonts w:hint="cs"/>
          <w:rtl/>
        </w:rPr>
        <w:t>כתב</w:t>
      </w:r>
      <w:r w:rsidRPr="00B06D6B">
        <w:rPr>
          <w:rFonts w:hint="cs"/>
          <w:rtl/>
        </w:rPr>
        <w:t xml:space="preserve"> </w:t>
      </w:r>
      <w:r w:rsidRPr="00B06D6B">
        <w:rPr>
          <w:rStyle w:val="af9"/>
          <w:rFonts w:hint="cs"/>
          <w:rtl/>
        </w:rPr>
        <w:t>הבכור שור</w:t>
      </w:r>
      <w:r w:rsidRPr="00B06D6B">
        <w:rPr>
          <w:rFonts w:hint="cs"/>
          <w:rtl/>
        </w:rPr>
        <w:t xml:space="preserve"> דלכן הקשו </w:t>
      </w:r>
      <w:r w:rsidRPr="00B06D6B">
        <w:rPr>
          <w:rStyle w:val="af9"/>
          <w:rFonts w:hint="cs"/>
          <w:rtl/>
        </w:rPr>
        <w:t>התוס'</w:t>
      </w:r>
      <w:r w:rsidRPr="00B06D6B">
        <w:rPr>
          <w:rFonts w:hint="cs"/>
          <w:rtl/>
        </w:rPr>
        <w:t xml:space="preserve"> רק לאחר דאמרינן בגמ' דיש תלתא איסורי, דמבואר בגמ' דהאבר היוצא חשיב כאיסור, והגמ' מסתפקת האם דבר שבא מכח האסור ג"כ אסור, וא"כ קשה דהוי זה וזה גורם ומותר.</w:t>
      </w:r>
    </w:p>
    <w:p w14:paraId="2E9F1EDC" w14:textId="77777777" w:rsidR="003D504D" w:rsidRPr="00B06D6B" w:rsidRDefault="003D504D" w:rsidP="003D504D">
      <w:pPr>
        <w:pStyle w:val="afe"/>
        <w:rPr>
          <w:rtl/>
        </w:rPr>
      </w:pPr>
      <w:bookmarkStart w:id="20270" w:name="_Toc974529"/>
      <w:bookmarkStart w:id="20271" w:name="_Toc984445"/>
      <w:bookmarkStart w:id="20272" w:name="_Toc1056579"/>
      <w:bookmarkStart w:id="20273" w:name="_Toc1109737"/>
      <w:bookmarkStart w:id="20274" w:name="_Toc1128716"/>
      <w:bookmarkStart w:id="20275" w:name="_Toc1250099"/>
      <w:bookmarkStart w:id="20276" w:name="_Toc1258103"/>
      <w:bookmarkStart w:id="20277" w:name="_Toc19436189"/>
      <w:bookmarkStart w:id="20278" w:name="_Toc20081359"/>
      <w:r>
        <w:rPr>
          <w:rFonts w:hint="cs"/>
          <w:rtl/>
        </w:rPr>
        <w:t xml:space="preserve">בגדר דין </w:t>
      </w:r>
      <w:r w:rsidRPr="00B06D6B">
        <w:rPr>
          <w:rFonts w:hint="cs"/>
          <w:rtl/>
        </w:rPr>
        <w:t>זה וזה גורם</w:t>
      </w:r>
      <w:bookmarkEnd w:id="19908"/>
      <w:bookmarkEnd w:id="19909"/>
      <w:bookmarkEnd w:id="19910"/>
      <w:bookmarkEnd w:id="19911"/>
      <w:bookmarkEnd w:id="19912"/>
      <w:bookmarkEnd w:id="19913"/>
      <w:bookmarkEnd w:id="19914"/>
      <w:bookmarkEnd w:id="19915"/>
      <w:bookmarkEnd w:id="19916"/>
      <w:bookmarkEnd w:id="20270"/>
      <w:bookmarkEnd w:id="20271"/>
      <w:bookmarkEnd w:id="20272"/>
      <w:bookmarkEnd w:id="20273"/>
      <w:bookmarkEnd w:id="20274"/>
      <w:bookmarkEnd w:id="20275"/>
      <w:bookmarkEnd w:id="20276"/>
      <w:bookmarkEnd w:id="20277"/>
      <w:bookmarkEnd w:id="20278"/>
      <w:r w:rsidRPr="00B06D6B">
        <w:rPr>
          <w:rFonts w:hint="cs"/>
          <w:rtl/>
        </w:rPr>
        <w:t xml:space="preserve"> </w:t>
      </w:r>
    </w:p>
    <w:p w14:paraId="296FAA5A" w14:textId="77777777" w:rsidR="003D504D" w:rsidRDefault="003D504D" w:rsidP="00BF39B2">
      <w:pPr>
        <w:pStyle w:val="1"/>
        <w:rPr>
          <w:rtl/>
        </w:rPr>
      </w:pPr>
      <w:bookmarkStart w:id="20279" w:name="_Toc903161"/>
      <w:bookmarkStart w:id="20280" w:name="_Toc955087"/>
      <w:bookmarkStart w:id="20281" w:name="_Toc974530"/>
      <w:bookmarkStart w:id="20282" w:name="_Toc984446"/>
      <w:bookmarkStart w:id="20283" w:name="_Toc1056580"/>
      <w:bookmarkStart w:id="20284" w:name="_Toc1109738"/>
      <w:bookmarkStart w:id="20285" w:name="_Toc1128717"/>
      <w:bookmarkStart w:id="20286" w:name="_Toc1250100"/>
      <w:bookmarkStart w:id="20287" w:name="_Toc1258104"/>
      <w:bookmarkStart w:id="20288" w:name="_Toc19391540"/>
      <w:bookmarkStart w:id="20289" w:name="_Toc19395037"/>
      <w:r>
        <w:rPr>
          <w:rFonts w:hint="cs"/>
          <w:rtl/>
        </w:rPr>
        <w:t xml:space="preserve">דעת הר"ן </w:t>
      </w:r>
      <w:bookmarkEnd w:id="20279"/>
      <w:bookmarkEnd w:id="20280"/>
      <w:bookmarkEnd w:id="20281"/>
      <w:bookmarkEnd w:id="20282"/>
      <w:bookmarkEnd w:id="20283"/>
      <w:bookmarkEnd w:id="20284"/>
      <w:bookmarkEnd w:id="20285"/>
      <w:r>
        <w:rPr>
          <w:rFonts w:hint="cs"/>
          <w:rtl/>
        </w:rPr>
        <w:t>דהולד בא משני גורמים של היתר ואי"ז זה וזה גורם</w:t>
      </w:r>
      <w:bookmarkEnd w:id="20286"/>
      <w:bookmarkEnd w:id="20287"/>
      <w:bookmarkEnd w:id="20288"/>
      <w:bookmarkEnd w:id="20289"/>
    </w:p>
    <w:p w14:paraId="3BE6FCA9" w14:textId="77777777" w:rsidR="003D504D" w:rsidRPr="00B06D6B" w:rsidRDefault="003D504D" w:rsidP="003D504D">
      <w:pPr>
        <w:pStyle w:val="a3"/>
        <w:rPr>
          <w:rtl/>
        </w:rPr>
      </w:pPr>
      <w:bookmarkStart w:id="20290" w:name="_Toc903164"/>
      <w:bookmarkStart w:id="20291" w:name="_Toc955090"/>
      <w:bookmarkStart w:id="20292" w:name="_Toc974533"/>
      <w:bookmarkStart w:id="20293" w:name="_Toc984449"/>
      <w:bookmarkStart w:id="20294" w:name="_Toc1056583"/>
      <w:bookmarkStart w:id="20295" w:name="_Toc1109741"/>
      <w:bookmarkStart w:id="20296" w:name="_Toc1128720"/>
      <w:bookmarkStart w:id="20297" w:name="_Toc1250101"/>
      <w:bookmarkStart w:id="20298" w:name="_Toc1258105"/>
      <w:bookmarkStart w:id="20299" w:name="_Toc19391541"/>
      <w:bookmarkStart w:id="20300" w:name="_Toc19395038"/>
      <w:bookmarkStart w:id="20301" w:name="_Toc903162"/>
      <w:bookmarkStart w:id="20302" w:name="_Toc955088"/>
      <w:bookmarkStart w:id="20303" w:name="_Toc974531"/>
      <w:bookmarkStart w:id="20304" w:name="_Toc984447"/>
      <w:bookmarkStart w:id="20305" w:name="_Toc1056581"/>
      <w:bookmarkStart w:id="20306" w:name="_Toc1109739"/>
      <w:bookmarkStart w:id="20307" w:name="_Toc1128718"/>
      <w:r>
        <w:rPr>
          <w:rFonts w:hint="cs"/>
          <w:rtl/>
        </w:rPr>
        <w:t>דברי הר"ן דולד דאין לו תקנה ל"ה זה וזה גורם דאף מאמו אינו אסור אלא דחייב שחיטה</w:t>
      </w:r>
      <w:bookmarkEnd w:id="20290"/>
      <w:bookmarkEnd w:id="20291"/>
      <w:bookmarkEnd w:id="20292"/>
      <w:bookmarkEnd w:id="20293"/>
      <w:bookmarkEnd w:id="20294"/>
      <w:bookmarkEnd w:id="20295"/>
      <w:bookmarkEnd w:id="20296"/>
      <w:bookmarkEnd w:id="20297"/>
      <w:bookmarkEnd w:id="20298"/>
      <w:bookmarkEnd w:id="20299"/>
      <w:bookmarkEnd w:id="20300"/>
    </w:p>
    <w:p w14:paraId="2777C18D" w14:textId="77777777" w:rsidR="003D504D" w:rsidRPr="00F92A12" w:rsidRDefault="003D504D" w:rsidP="00223668">
      <w:pPr>
        <w:pStyle w:val="a0"/>
        <w:rPr>
          <w:rtl/>
        </w:rPr>
      </w:pPr>
      <w:bookmarkStart w:id="20308" w:name="_Ref689282"/>
      <w:r>
        <w:rPr>
          <w:rFonts w:hint="cs"/>
          <w:rtl/>
        </w:rPr>
        <w:t xml:space="preserve">כתב </w:t>
      </w:r>
      <w:r w:rsidRPr="00D21E4D">
        <w:rPr>
          <w:rFonts w:hint="cs"/>
          <w:rtl/>
        </w:rPr>
        <w:t xml:space="preserve"> </w:t>
      </w:r>
      <w:r w:rsidRPr="00D21E4D">
        <w:rPr>
          <w:rStyle w:val="af9"/>
          <w:rFonts w:hint="cs"/>
          <w:rtl/>
        </w:rPr>
        <w:t>הר"ן בחי'</w:t>
      </w:r>
      <w:r w:rsidRPr="00D21E4D">
        <w:rPr>
          <w:rFonts w:hint="cs"/>
          <w:rtl/>
        </w:rPr>
        <w:t xml:space="preserve"> </w:t>
      </w:r>
      <w:r w:rsidRPr="005679AC">
        <w:rPr>
          <w:rStyle w:val="af7"/>
          <w:rFonts w:eastAsia="Guttman Hodes" w:hint="cs"/>
          <w:rtl/>
        </w:rPr>
        <w:t>(ד"ה בן פקועה)</w:t>
      </w:r>
      <w:r w:rsidRPr="00D21E4D">
        <w:rPr>
          <w:rFonts w:hint="cs"/>
          <w:rtl/>
        </w:rPr>
        <w:t xml:space="preserve"> ד</w:t>
      </w:r>
      <w:r>
        <w:rPr>
          <w:rFonts w:hint="cs"/>
          <w:rtl/>
        </w:rPr>
        <w:t xml:space="preserve">דדינא דרב משרשיא דבהמה מעלמא הבא על בן פקועה דהולד </w:t>
      </w:r>
      <w:r w:rsidRPr="00D21E4D">
        <w:rPr>
          <w:rFonts w:hint="cs"/>
          <w:rtl/>
        </w:rPr>
        <w:t xml:space="preserve">אין לו תקנה, </w:t>
      </w:r>
      <w:r>
        <w:rPr>
          <w:rFonts w:hint="cs"/>
          <w:rtl/>
        </w:rPr>
        <w:t xml:space="preserve">הוא </w:t>
      </w:r>
      <w:r w:rsidRPr="00D21E4D">
        <w:rPr>
          <w:rFonts w:hint="cs"/>
          <w:rtl/>
        </w:rPr>
        <w:t xml:space="preserve">אף למ"ד דזה וזה גורם מותר, דכל ההיתר בזה וזה גורם הוא כשדבר אחד גורם היתר, ודבר אחר גורם איסור, אבל ולד </w:t>
      </w:r>
      <w:r>
        <w:rPr>
          <w:rFonts w:hint="cs"/>
          <w:rtl/>
        </w:rPr>
        <w:t>של בהמה מעלמא ו</w:t>
      </w:r>
      <w:r w:rsidRPr="00D21E4D">
        <w:rPr>
          <w:rFonts w:hint="cs"/>
          <w:rtl/>
        </w:rPr>
        <w:t>בן פקועה אין בו איסור לא מצד אביו ולא מצד אמו, דשניהם של היתר, אלא דמצד אביו אינו</w:t>
      </w:r>
      <w:r w:rsidRPr="00B06D6B">
        <w:rPr>
          <w:rFonts w:hint="cs"/>
          <w:rtl/>
        </w:rPr>
        <w:t xml:space="preserve"> חייב שחיטה ומצד אמו חייב שחיטה</w:t>
      </w:r>
      <w:r w:rsidRPr="00F92A12">
        <w:rPr>
          <w:rFonts w:hint="cs"/>
          <w:rtl/>
        </w:rPr>
        <w:t xml:space="preserve">, ולכן אין לו תקנה, ועי' במה שביאר </w:t>
      </w:r>
      <w:r w:rsidRPr="00F92A12">
        <w:rPr>
          <w:rStyle w:val="af9"/>
          <w:rFonts w:hint="cs"/>
          <w:rtl/>
        </w:rPr>
        <w:t>השער"י</w:t>
      </w:r>
      <w:r w:rsidRPr="00F92A12">
        <w:rPr>
          <w:rFonts w:hint="cs"/>
          <w:rtl/>
        </w:rPr>
        <w:t xml:space="preserve"> </w:t>
      </w:r>
      <w:r w:rsidRPr="00F92A12">
        <w:rPr>
          <w:rStyle w:val="af7"/>
          <w:rFonts w:eastAsia="Guttman Hodes" w:hint="cs"/>
          <w:rtl/>
        </w:rPr>
        <w:t xml:space="preserve">(עי' אות </w:t>
      </w:r>
      <w:r w:rsidRPr="00F92A12">
        <w:rPr>
          <w:rStyle w:val="af7"/>
          <w:rFonts w:eastAsia="Guttman Hodes"/>
          <w:rtl/>
        </w:rPr>
        <w:fldChar w:fldCharType="begin"/>
      </w:r>
      <w:r w:rsidRPr="00F92A12">
        <w:rPr>
          <w:rStyle w:val="af7"/>
          <w:rFonts w:eastAsia="Guttman Hodes"/>
          <w:rtl/>
        </w:rPr>
        <w:instrText xml:space="preserve"> </w:instrText>
      </w:r>
      <w:r w:rsidRPr="00F92A12">
        <w:rPr>
          <w:rStyle w:val="af7"/>
          <w:rFonts w:eastAsia="Guttman Hodes" w:hint="cs"/>
        </w:rPr>
        <w:instrText>REF</w:instrText>
      </w:r>
      <w:r w:rsidRPr="00F92A12">
        <w:rPr>
          <w:rStyle w:val="af7"/>
          <w:rFonts w:eastAsia="Guttman Hodes" w:hint="cs"/>
          <w:rtl/>
        </w:rPr>
        <w:instrText xml:space="preserve"> _</w:instrText>
      </w:r>
      <w:r w:rsidRPr="00F92A12">
        <w:rPr>
          <w:rStyle w:val="af7"/>
          <w:rFonts w:eastAsia="Guttman Hodes" w:hint="cs"/>
        </w:rPr>
        <w:instrText>Ref689321 \r \h</w:instrText>
      </w:r>
      <w:r w:rsidRPr="00F92A12">
        <w:rPr>
          <w:rStyle w:val="af7"/>
          <w:rFonts w:eastAsia="Guttman Hodes"/>
          <w:rtl/>
        </w:rPr>
        <w:instrText xml:space="preserve">  \* </w:instrText>
      </w:r>
      <w:r w:rsidRPr="00F92A12">
        <w:rPr>
          <w:rStyle w:val="af7"/>
          <w:rFonts w:eastAsia="Guttman Hodes"/>
        </w:rPr>
        <w:instrText>MERGEFORMAT</w:instrText>
      </w:r>
      <w:r w:rsidRPr="00F92A12">
        <w:rPr>
          <w:rStyle w:val="af7"/>
          <w:rFonts w:eastAsia="Guttman Hodes"/>
          <w:rtl/>
        </w:rPr>
        <w:instrText xml:space="preserve"> </w:instrText>
      </w:r>
      <w:r w:rsidRPr="00F92A12">
        <w:rPr>
          <w:rStyle w:val="af7"/>
          <w:rFonts w:eastAsia="Guttman Hodes"/>
          <w:rtl/>
        </w:rPr>
      </w:r>
      <w:r w:rsidRPr="00F92A12">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F92A12">
        <w:rPr>
          <w:rStyle w:val="af7"/>
          <w:rFonts w:eastAsia="Guttman Hodes"/>
          <w:rtl/>
        </w:rPr>
        <w:fldChar w:fldCharType="end"/>
      </w:r>
      <w:r w:rsidRPr="00F92A12">
        <w:rPr>
          <w:rFonts w:hint="cs"/>
          <w:rtl/>
        </w:rPr>
        <w:t xml:space="preserve"> בדברי </w:t>
      </w:r>
      <w:r w:rsidRPr="00F92A12">
        <w:rPr>
          <w:rStyle w:val="af9"/>
          <w:rFonts w:hint="cs"/>
          <w:rtl/>
        </w:rPr>
        <w:t>הר"ן</w:t>
      </w:r>
      <w:bookmarkEnd w:id="20308"/>
      <w:r>
        <w:rPr>
          <w:rFonts w:hint="cs"/>
          <w:rtl/>
        </w:rPr>
        <w:t>,</w:t>
      </w:r>
      <w:r w:rsidRPr="00F92A12">
        <w:rPr>
          <w:rFonts w:hint="cs"/>
          <w:rtl/>
        </w:rPr>
        <w:t xml:space="preserve"> </w:t>
      </w:r>
      <w:r>
        <w:rPr>
          <w:rFonts w:hint="cs"/>
          <w:rtl/>
        </w:rPr>
        <w:t xml:space="preserve">וע"ע בדברי </w:t>
      </w:r>
      <w:r w:rsidRPr="00F92A12">
        <w:rPr>
          <w:rStyle w:val="af9"/>
          <w:rFonts w:hint="cs"/>
          <w:rtl/>
        </w:rPr>
        <w:t>האשר לשלמה</w:t>
      </w:r>
      <w:r w:rsidRPr="00F92A12">
        <w:rPr>
          <w:rFonts w:hint="cs"/>
          <w:rtl/>
        </w:rPr>
        <w:t xml:space="preserve"> </w:t>
      </w:r>
      <w:r w:rsidRPr="00F92A12">
        <w:rPr>
          <w:rStyle w:val="af7"/>
          <w:rFonts w:eastAsia="Guttman Hodes" w:hint="cs"/>
          <w:rtl/>
        </w:rPr>
        <w:t>(קדשים סי' ס"ב [מהדו' ישנה ח"ג סי' נ"ד] ד"ה ויש לעיין)</w:t>
      </w:r>
      <w:r>
        <w:rPr>
          <w:rStyle w:val="af7"/>
          <w:rFonts w:eastAsia="Guttman Hodes" w:hint="cs"/>
          <w:rtl/>
        </w:rPr>
        <w:t>.</w:t>
      </w:r>
    </w:p>
    <w:p w14:paraId="3849161D" w14:textId="77777777" w:rsidR="003D504D" w:rsidRDefault="003D504D" w:rsidP="00BF39B2">
      <w:pPr>
        <w:pStyle w:val="1"/>
        <w:rPr>
          <w:rtl/>
        </w:rPr>
      </w:pPr>
      <w:bookmarkStart w:id="20309" w:name="_Toc1250102"/>
      <w:bookmarkStart w:id="20310" w:name="_Toc1258106"/>
      <w:bookmarkStart w:id="20311" w:name="_Toc19391542"/>
      <w:bookmarkStart w:id="20312" w:name="_Toc19395039"/>
      <w:r>
        <w:rPr>
          <w:rFonts w:hint="cs"/>
          <w:rtl/>
        </w:rPr>
        <w:t>דברי התוס' לעיל דזה וזה גורם הוא רק כשיש גורם אסור</w:t>
      </w:r>
      <w:bookmarkEnd w:id="20309"/>
      <w:bookmarkEnd w:id="20310"/>
      <w:bookmarkEnd w:id="20311"/>
      <w:bookmarkEnd w:id="20312"/>
    </w:p>
    <w:p w14:paraId="66E232D8" w14:textId="77777777" w:rsidR="003D504D" w:rsidRPr="00B06D6B" w:rsidRDefault="003D504D" w:rsidP="003D504D">
      <w:pPr>
        <w:pStyle w:val="a3"/>
        <w:rPr>
          <w:rtl/>
        </w:rPr>
      </w:pPr>
      <w:bookmarkStart w:id="20313" w:name="_Toc1250103"/>
      <w:bookmarkStart w:id="20314" w:name="_Toc1258107"/>
      <w:bookmarkStart w:id="20315" w:name="_Toc19391543"/>
      <w:bookmarkStart w:id="20316" w:name="_Toc19395040"/>
      <w:r>
        <w:rPr>
          <w:rFonts w:hint="cs"/>
          <w:rtl/>
        </w:rPr>
        <w:t>קושית התוס' לעיל דלמ"ד דאין חוששין לזרע האב לא שייך זה וזה גורם דהאב אינו גורם</w:t>
      </w:r>
      <w:bookmarkEnd w:id="20301"/>
      <w:bookmarkEnd w:id="20302"/>
      <w:bookmarkEnd w:id="20303"/>
      <w:bookmarkEnd w:id="20304"/>
      <w:bookmarkEnd w:id="20305"/>
      <w:bookmarkEnd w:id="20306"/>
      <w:bookmarkEnd w:id="20307"/>
      <w:bookmarkEnd w:id="20313"/>
      <w:bookmarkEnd w:id="20314"/>
      <w:bookmarkEnd w:id="20315"/>
      <w:bookmarkEnd w:id="20316"/>
    </w:p>
    <w:p w14:paraId="0EC58048" w14:textId="77777777" w:rsidR="003D504D" w:rsidRPr="00B06D6B" w:rsidRDefault="003D504D" w:rsidP="00223668">
      <w:pPr>
        <w:pStyle w:val="a0"/>
        <w:rPr>
          <w:rtl/>
        </w:rPr>
      </w:pPr>
      <w:bookmarkStart w:id="20317" w:name="_Ref536786977"/>
      <w:r w:rsidRPr="00B06D6B">
        <w:rPr>
          <w:rFonts w:hint="cs"/>
          <w:rtl/>
        </w:rPr>
        <w:t xml:space="preserve">איתא בגמ' לעיל </w:t>
      </w:r>
      <w:r w:rsidRPr="005679AC">
        <w:rPr>
          <w:rStyle w:val="af7"/>
          <w:rFonts w:eastAsia="Guttman Hodes" w:hint="cs"/>
          <w:rtl/>
        </w:rPr>
        <w:t xml:space="preserve">(נח.) </w:t>
      </w:r>
      <w:r w:rsidRPr="00B06D6B">
        <w:rPr>
          <w:rFonts w:hint="cs"/>
          <w:rtl/>
        </w:rPr>
        <w:t>דביצת טריפה שנמצאת במעי אמ</w:t>
      </w:r>
      <w:r>
        <w:rPr>
          <w:rFonts w:hint="cs"/>
          <w:rtl/>
        </w:rPr>
        <w:t>ה,</w:t>
      </w:r>
      <w:r w:rsidRPr="00B06D6B">
        <w:rPr>
          <w:rFonts w:hint="cs"/>
          <w:rtl/>
        </w:rPr>
        <w:t xml:space="preserve"> דהביצה שהיתה במעיה בשעה שנטרפה</w:t>
      </w:r>
      <w:r w:rsidRPr="00B06D6B">
        <w:rPr>
          <w:rStyle w:val="afb"/>
          <w:rFonts w:hint="cs"/>
          <w:rtl/>
        </w:rPr>
        <w:t xml:space="preserve"> ["</w:t>
      </w:r>
      <w:r w:rsidRPr="00B06D6B">
        <w:rPr>
          <w:rStyle w:val="afb"/>
          <w:rtl/>
        </w:rPr>
        <w:t>שיחלא קמא</w:t>
      </w:r>
      <w:r w:rsidRPr="00B06D6B">
        <w:rPr>
          <w:rStyle w:val="afb"/>
          <w:rFonts w:hint="cs"/>
          <w:rtl/>
        </w:rPr>
        <w:t>"]</w:t>
      </w:r>
      <w:r w:rsidRPr="00B06D6B">
        <w:rPr>
          <w:rtl/>
        </w:rPr>
        <w:t xml:space="preserve"> </w:t>
      </w:r>
      <w:r w:rsidRPr="00B06D6B">
        <w:rPr>
          <w:rFonts w:hint="cs"/>
          <w:rtl/>
        </w:rPr>
        <w:t xml:space="preserve">אסורה, והביצה שנוצרה לאחר שנטרפה </w:t>
      </w:r>
      <w:r w:rsidRPr="00B06D6B">
        <w:rPr>
          <w:rStyle w:val="afb"/>
          <w:rFonts w:hint="cs"/>
          <w:rtl/>
        </w:rPr>
        <w:t>["שיחלא בתרא"]</w:t>
      </w:r>
      <w:r w:rsidRPr="00B06D6B">
        <w:rPr>
          <w:rFonts w:hint="cs"/>
          <w:rtl/>
        </w:rPr>
        <w:t xml:space="preserve"> מותרת, כיון שנגרמה גם ע"י הזכר ובכה"ג זה וזה גורם מותר, והקשו</w:t>
      </w:r>
      <w:r w:rsidRPr="00B06D6B">
        <w:rPr>
          <w:rStyle w:val="af9"/>
          <w:rFonts w:hint="cs"/>
          <w:rtl/>
        </w:rPr>
        <w:t xml:space="preserve"> התוס' לעיל</w:t>
      </w:r>
      <w:r w:rsidRPr="00B06D6B">
        <w:rPr>
          <w:rFonts w:hint="cs"/>
          <w:rtl/>
        </w:rPr>
        <w:t xml:space="preserve"> </w:t>
      </w:r>
      <w:r w:rsidRPr="005679AC">
        <w:rPr>
          <w:rStyle w:val="af7"/>
          <w:rFonts w:eastAsia="Guttman Hodes" w:hint="cs"/>
          <w:rtl/>
        </w:rPr>
        <w:t>(נח. ד"ה מכאן)</w:t>
      </w:r>
      <w:r w:rsidRPr="00B06D6B">
        <w:rPr>
          <w:rFonts w:hint="cs"/>
          <w:rtl/>
        </w:rPr>
        <w:t xml:space="preserve"> דהא קיי"ל כרבי יהודה דמספקא ליה </w:t>
      </w:r>
      <w:r w:rsidRPr="00E972B3">
        <w:rPr>
          <w:rtl/>
        </w:rPr>
        <w:t xml:space="preserve">בגמ' לקמן </w:t>
      </w:r>
      <w:r w:rsidRPr="00E972B3">
        <w:rPr>
          <w:rStyle w:val="af7"/>
          <w:rFonts w:eastAsia="Guttman Hodes"/>
          <w:rtl/>
        </w:rPr>
        <w:t>(עט.)</w:t>
      </w:r>
      <w:r w:rsidRPr="00E972B3">
        <w:rPr>
          <w:rtl/>
        </w:rPr>
        <w:t xml:space="preserve"> </w:t>
      </w:r>
      <w:r w:rsidRPr="00E972B3">
        <w:rPr>
          <w:rFonts w:hint="cs"/>
          <w:rtl/>
        </w:rPr>
        <w:t>א</w:t>
      </w:r>
      <w:r w:rsidRPr="00B06D6B">
        <w:rPr>
          <w:rFonts w:hint="cs"/>
          <w:rtl/>
        </w:rPr>
        <w:t xml:space="preserve">י חוששין לזרע האב, וא"כ אינו שייך לזה וזה גורם, דהזכר אינו גורם, ועי' במה </w:t>
      </w:r>
      <w:r w:rsidRPr="005F4DD8">
        <w:rPr>
          <w:rFonts w:hint="cs"/>
          <w:rtl/>
        </w:rPr>
        <w:t xml:space="preserve">שביארו </w:t>
      </w:r>
      <w:r w:rsidRPr="005F4DD8">
        <w:rPr>
          <w:rStyle w:val="af9"/>
          <w:rFonts w:hint="cs"/>
          <w:rtl/>
        </w:rPr>
        <w:t xml:space="preserve">הגר"ח </w:t>
      </w:r>
      <w:r w:rsidRPr="005F4DD8">
        <w:rPr>
          <w:rStyle w:val="af7"/>
          <w:rFonts w:eastAsia="Guttman Hodes" w:hint="cs"/>
          <w:rtl/>
        </w:rPr>
        <w:t xml:space="preserve">(עי' אות </w:t>
      </w:r>
      <w:r w:rsidRPr="005F4DD8">
        <w:rPr>
          <w:rStyle w:val="af7"/>
          <w:rFonts w:eastAsia="Guttman Hodes"/>
          <w:rtl/>
        </w:rPr>
        <w:fldChar w:fldCharType="begin"/>
      </w:r>
      <w:r w:rsidRPr="005F4DD8">
        <w:rPr>
          <w:rStyle w:val="af7"/>
          <w:rFonts w:eastAsia="Guttman Hodes"/>
          <w:rtl/>
        </w:rPr>
        <w:instrText xml:space="preserve"> </w:instrText>
      </w:r>
      <w:r w:rsidRPr="005F4DD8">
        <w:rPr>
          <w:rStyle w:val="af7"/>
          <w:rFonts w:eastAsia="Guttman Hodes" w:hint="cs"/>
        </w:rPr>
        <w:instrText>REF</w:instrText>
      </w:r>
      <w:r w:rsidRPr="005F4DD8">
        <w:rPr>
          <w:rStyle w:val="af7"/>
          <w:rFonts w:eastAsia="Guttman Hodes" w:hint="cs"/>
          <w:rtl/>
        </w:rPr>
        <w:instrText xml:space="preserve"> _</w:instrText>
      </w:r>
      <w:r w:rsidRPr="005F4DD8">
        <w:rPr>
          <w:rStyle w:val="af7"/>
          <w:rFonts w:eastAsia="Guttman Hodes" w:hint="cs"/>
        </w:rPr>
        <w:instrText>Ref536786980 \r \h</w:instrText>
      </w:r>
      <w:r w:rsidRPr="005F4DD8">
        <w:rPr>
          <w:rStyle w:val="af7"/>
          <w:rFonts w:eastAsia="Guttman Hodes"/>
          <w:rtl/>
        </w:rPr>
        <w:instrText xml:space="preserve">  \* </w:instrText>
      </w:r>
      <w:r w:rsidRPr="005F4DD8">
        <w:rPr>
          <w:rStyle w:val="af7"/>
          <w:rFonts w:eastAsia="Guttman Hodes"/>
        </w:rPr>
        <w:instrText>MERGEFORMAT</w:instrText>
      </w:r>
      <w:r w:rsidRPr="005F4DD8">
        <w:rPr>
          <w:rStyle w:val="af7"/>
          <w:rFonts w:eastAsia="Guttman Hodes"/>
          <w:rtl/>
        </w:rPr>
        <w:instrText xml:space="preserve"> </w:instrText>
      </w:r>
      <w:r w:rsidRPr="005F4DD8">
        <w:rPr>
          <w:rStyle w:val="af7"/>
          <w:rFonts w:eastAsia="Guttman Hodes"/>
          <w:rtl/>
        </w:rPr>
      </w:r>
      <w:r w:rsidRPr="005F4DD8">
        <w:rPr>
          <w:rStyle w:val="af7"/>
          <w:rFonts w:eastAsia="Guttman Hodes"/>
          <w:rtl/>
        </w:rPr>
        <w:fldChar w:fldCharType="separate"/>
      </w:r>
      <w:r w:rsidR="00345400">
        <w:rPr>
          <w:rStyle w:val="af7"/>
          <w:rFonts w:eastAsia="Guttman Hodes"/>
          <w:cs/>
        </w:rPr>
        <w:t>‎</w:t>
      </w:r>
      <w:r w:rsidR="00345400">
        <w:rPr>
          <w:rStyle w:val="af7"/>
          <w:rFonts w:eastAsia="Guttman Hodes"/>
          <w:rtl/>
        </w:rPr>
        <w:t>מג)</w:t>
      </w:r>
      <w:r w:rsidRPr="005F4DD8">
        <w:rPr>
          <w:rStyle w:val="af7"/>
          <w:rFonts w:eastAsia="Guttman Hodes"/>
          <w:rtl/>
        </w:rPr>
        <w:fldChar w:fldCharType="end"/>
      </w:r>
      <w:r w:rsidRPr="005F4DD8">
        <w:rPr>
          <w:rFonts w:hint="cs"/>
          <w:rtl/>
        </w:rPr>
        <w:t xml:space="preserve"> </w:t>
      </w:r>
      <w:r w:rsidRPr="005F4DD8">
        <w:rPr>
          <w:rStyle w:val="af9"/>
          <w:rFonts w:hint="cs"/>
          <w:rtl/>
        </w:rPr>
        <w:t xml:space="preserve">והקוב"ש </w:t>
      </w:r>
      <w:r w:rsidRPr="005F4DD8">
        <w:rPr>
          <w:rStyle w:val="af7"/>
          <w:rFonts w:eastAsia="Guttman Hodes" w:hint="cs"/>
          <w:rtl/>
        </w:rPr>
        <w:t xml:space="preserve">(עי' אות </w:t>
      </w:r>
      <w:r w:rsidRPr="005F4DD8">
        <w:rPr>
          <w:rStyle w:val="af7"/>
          <w:rFonts w:eastAsia="Guttman Hodes"/>
          <w:rtl/>
        </w:rPr>
        <w:fldChar w:fldCharType="begin"/>
      </w:r>
      <w:r w:rsidRPr="005F4DD8">
        <w:rPr>
          <w:rStyle w:val="af7"/>
          <w:rFonts w:eastAsia="Guttman Hodes"/>
          <w:rtl/>
        </w:rPr>
        <w:instrText xml:space="preserve"> </w:instrText>
      </w:r>
      <w:r w:rsidRPr="005F4DD8">
        <w:rPr>
          <w:rStyle w:val="af7"/>
          <w:rFonts w:eastAsia="Guttman Hodes" w:hint="cs"/>
        </w:rPr>
        <w:instrText>REF</w:instrText>
      </w:r>
      <w:r w:rsidRPr="005F4DD8">
        <w:rPr>
          <w:rStyle w:val="af7"/>
          <w:rFonts w:eastAsia="Guttman Hodes" w:hint="cs"/>
          <w:rtl/>
        </w:rPr>
        <w:instrText xml:space="preserve"> _</w:instrText>
      </w:r>
      <w:r w:rsidRPr="005F4DD8">
        <w:rPr>
          <w:rStyle w:val="af7"/>
          <w:rFonts w:eastAsia="Guttman Hodes" w:hint="cs"/>
        </w:rPr>
        <w:instrText>Ref1252499 \r \h</w:instrText>
      </w:r>
      <w:r w:rsidRPr="005F4DD8">
        <w:rPr>
          <w:rStyle w:val="af7"/>
          <w:rFonts w:eastAsia="Guttman Hodes"/>
          <w:rtl/>
        </w:rPr>
        <w:instrText xml:space="preserve">  \* </w:instrText>
      </w:r>
      <w:r w:rsidRPr="005F4DD8">
        <w:rPr>
          <w:rStyle w:val="af7"/>
          <w:rFonts w:eastAsia="Guttman Hodes"/>
        </w:rPr>
        <w:instrText>MERGEFORMAT</w:instrText>
      </w:r>
      <w:r w:rsidRPr="005F4DD8">
        <w:rPr>
          <w:rStyle w:val="af7"/>
          <w:rFonts w:eastAsia="Guttman Hodes"/>
          <w:rtl/>
        </w:rPr>
        <w:instrText xml:space="preserve"> </w:instrText>
      </w:r>
      <w:r w:rsidRPr="005F4DD8">
        <w:rPr>
          <w:rStyle w:val="af7"/>
          <w:rFonts w:eastAsia="Guttman Hodes"/>
          <w:rtl/>
        </w:rPr>
      </w:r>
      <w:r w:rsidRPr="005F4DD8">
        <w:rPr>
          <w:rStyle w:val="af7"/>
          <w:rFonts w:eastAsia="Guttman Hodes"/>
          <w:rtl/>
        </w:rPr>
        <w:fldChar w:fldCharType="separate"/>
      </w:r>
      <w:r w:rsidR="00345400">
        <w:rPr>
          <w:rStyle w:val="af7"/>
          <w:rFonts w:eastAsia="Guttman Hodes"/>
          <w:cs/>
        </w:rPr>
        <w:t>‎</w:t>
      </w:r>
      <w:r w:rsidR="00345400">
        <w:rPr>
          <w:rStyle w:val="af7"/>
          <w:rFonts w:eastAsia="Guttman Hodes"/>
          <w:rtl/>
        </w:rPr>
        <w:t>מה)</w:t>
      </w:r>
      <w:r w:rsidRPr="005F4DD8">
        <w:rPr>
          <w:rStyle w:val="af7"/>
          <w:rFonts w:eastAsia="Guttman Hodes"/>
          <w:rtl/>
        </w:rPr>
        <w:fldChar w:fldCharType="end"/>
      </w:r>
      <w:r w:rsidRPr="005F4DD8">
        <w:rPr>
          <w:rStyle w:val="af7"/>
          <w:rFonts w:eastAsia="Guttman Hodes" w:hint="cs"/>
          <w:rtl/>
        </w:rPr>
        <w:t xml:space="preserve"> </w:t>
      </w:r>
      <w:r w:rsidRPr="005F4DD8">
        <w:rPr>
          <w:rStyle w:val="af9"/>
          <w:rFonts w:hint="cs"/>
          <w:rtl/>
        </w:rPr>
        <w:t>והאבי עזרי</w:t>
      </w:r>
      <w:r w:rsidRPr="005F4DD8">
        <w:rPr>
          <w:rFonts w:hint="cs"/>
          <w:rtl/>
        </w:rPr>
        <w:t xml:space="preserve"> </w:t>
      </w:r>
      <w:r w:rsidRPr="005F4DD8">
        <w:rPr>
          <w:rStyle w:val="af7"/>
          <w:rFonts w:eastAsia="Guttman Hodes" w:hint="cs"/>
          <w:rtl/>
        </w:rPr>
        <w:t xml:space="preserve">(עי' אות </w:t>
      </w:r>
      <w:r w:rsidRPr="005F4DD8">
        <w:rPr>
          <w:rStyle w:val="af7"/>
          <w:rFonts w:eastAsia="Guttman Hodes"/>
          <w:rtl/>
        </w:rPr>
        <w:fldChar w:fldCharType="begin"/>
      </w:r>
      <w:r w:rsidRPr="005F4DD8">
        <w:rPr>
          <w:rStyle w:val="af7"/>
          <w:rFonts w:eastAsia="Guttman Hodes"/>
          <w:rtl/>
        </w:rPr>
        <w:instrText xml:space="preserve"> </w:instrText>
      </w:r>
      <w:r w:rsidRPr="005F4DD8">
        <w:rPr>
          <w:rStyle w:val="af7"/>
          <w:rFonts w:eastAsia="Guttman Hodes" w:hint="cs"/>
        </w:rPr>
        <w:instrText>REF</w:instrText>
      </w:r>
      <w:r w:rsidRPr="005F4DD8">
        <w:rPr>
          <w:rStyle w:val="af7"/>
          <w:rFonts w:eastAsia="Guttman Hodes" w:hint="cs"/>
          <w:rtl/>
        </w:rPr>
        <w:instrText xml:space="preserve"> _</w:instrText>
      </w:r>
      <w:r w:rsidRPr="005F4DD8">
        <w:rPr>
          <w:rStyle w:val="af7"/>
          <w:rFonts w:eastAsia="Guttman Hodes" w:hint="cs"/>
        </w:rPr>
        <w:instrText>Ref536787011 \r \h</w:instrText>
      </w:r>
      <w:r w:rsidRPr="005F4DD8">
        <w:rPr>
          <w:rStyle w:val="af7"/>
          <w:rFonts w:eastAsia="Guttman Hodes"/>
          <w:rtl/>
        </w:rPr>
        <w:instrText xml:space="preserve">  \* </w:instrText>
      </w:r>
      <w:r w:rsidRPr="005F4DD8">
        <w:rPr>
          <w:rStyle w:val="af7"/>
          <w:rFonts w:eastAsia="Guttman Hodes"/>
        </w:rPr>
        <w:instrText>MERGEFORMAT</w:instrText>
      </w:r>
      <w:r w:rsidRPr="005F4DD8">
        <w:rPr>
          <w:rStyle w:val="af7"/>
          <w:rFonts w:eastAsia="Guttman Hodes"/>
          <w:rtl/>
        </w:rPr>
        <w:instrText xml:space="preserve"> </w:instrText>
      </w:r>
      <w:r w:rsidRPr="005F4DD8">
        <w:rPr>
          <w:rStyle w:val="af7"/>
          <w:rFonts w:eastAsia="Guttman Hodes"/>
          <w:rtl/>
        </w:rPr>
      </w:r>
      <w:r w:rsidRPr="005F4DD8">
        <w:rPr>
          <w:rStyle w:val="af7"/>
          <w:rFonts w:eastAsia="Guttman Hodes"/>
          <w:rtl/>
        </w:rPr>
        <w:fldChar w:fldCharType="separate"/>
      </w:r>
      <w:r w:rsidR="00345400">
        <w:rPr>
          <w:rStyle w:val="af7"/>
          <w:rFonts w:eastAsia="Guttman Hodes"/>
          <w:cs/>
        </w:rPr>
        <w:t>‎</w:t>
      </w:r>
      <w:r w:rsidR="00345400">
        <w:rPr>
          <w:rStyle w:val="af7"/>
          <w:rFonts w:eastAsia="Guttman Hodes"/>
          <w:rtl/>
        </w:rPr>
        <w:t>נד)</w:t>
      </w:r>
      <w:r w:rsidRPr="005F4DD8">
        <w:rPr>
          <w:rStyle w:val="af7"/>
          <w:rFonts w:eastAsia="Guttman Hodes"/>
          <w:rtl/>
        </w:rPr>
        <w:fldChar w:fldCharType="end"/>
      </w:r>
      <w:r w:rsidRPr="005F4DD8">
        <w:rPr>
          <w:rStyle w:val="af7"/>
          <w:rFonts w:eastAsia="Guttman Hodes" w:hint="cs"/>
          <w:rtl/>
        </w:rPr>
        <w:t xml:space="preserve"> </w:t>
      </w:r>
      <w:r w:rsidRPr="005F4DD8">
        <w:rPr>
          <w:rFonts w:hint="cs"/>
          <w:rtl/>
        </w:rPr>
        <w:t>בקושית</w:t>
      </w:r>
      <w:r w:rsidRPr="00B06D6B">
        <w:rPr>
          <w:rFonts w:hint="cs"/>
          <w:rtl/>
        </w:rPr>
        <w:t xml:space="preserve"> </w:t>
      </w:r>
      <w:r w:rsidRPr="00B06D6B">
        <w:rPr>
          <w:rStyle w:val="af9"/>
          <w:rFonts w:hint="cs"/>
          <w:rtl/>
        </w:rPr>
        <w:t>התוס'</w:t>
      </w:r>
      <w:r w:rsidRPr="00B06D6B">
        <w:rPr>
          <w:rFonts w:hint="cs"/>
          <w:rtl/>
        </w:rPr>
        <w:t>.</w:t>
      </w:r>
      <w:bookmarkEnd w:id="20317"/>
    </w:p>
    <w:p w14:paraId="49D70EA4" w14:textId="77777777" w:rsidR="003D504D" w:rsidRPr="00B06D6B" w:rsidRDefault="003D504D" w:rsidP="003D504D">
      <w:pPr>
        <w:pStyle w:val="a3"/>
      </w:pPr>
      <w:bookmarkStart w:id="20318" w:name="_Toc903163"/>
      <w:bookmarkStart w:id="20319" w:name="_Toc955089"/>
      <w:bookmarkStart w:id="20320" w:name="_Toc974532"/>
      <w:bookmarkStart w:id="20321" w:name="_Toc984448"/>
      <w:bookmarkStart w:id="20322" w:name="_Toc1056582"/>
      <w:bookmarkStart w:id="20323" w:name="_Toc1109740"/>
      <w:bookmarkStart w:id="20324" w:name="_Toc1128719"/>
      <w:bookmarkStart w:id="20325" w:name="_Toc1250104"/>
      <w:bookmarkStart w:id="20326" w:name="_Toc1258108"/>
      <w:bookmarkStart w:id="20327" w:name="_Toc19391544"/>
      <w:bookmarkStart w:id="20328" w:name="_Toc19395041"/>
      <w:r>
        <w:rPr>
          <w:rFonts w:hint="cs"/>
          <w:rtl/>
        </w:rPr>
        <w:t>דברי התוס' דדין זה וזה גורם הוא דוקא כשיש גורם של איסור אבל בב' גורמי היתר אי"ז זה וזה גורם</w:t>
      </w:r>
      <w:bookmarkEnd w:id="20318"/>
      <w:bookmarkEnd w:id="20319"/>
      <w:bookmarkEnd w:id="20320"/>
      <w:bookmarkEnd w:id="20321"/>
      <w:bookmarkEnd w:id="20322"/>
      <w:bookmarkEnd w:id="20323"/>
      <w:bookmarkEnd w:id="20324"/>
      <w:bookmarkEnd w:id="20325"/>
      <w:bookmarkEnd w:id="20326"/>
      <w:bookmarkEnd w:id="20327"/>
      <w:bookmarkEnd w:id="20328"/>
    </w:p>
    <w:p w14:paraId="5A59842A" w14:textId="77777777" w:rsidR="003D504D" w:rsidRPr="00B06D6B" w:rsidRDefault="003D504D" w:rsidP="00223668">
      <w:pPr>
        <w:pStyle w:val="a0"/>
        <w:rPr>
          <w:rtl/>
        </w:rPr>
      </w:pPr>
      <w:bookmarkStart w:id="20329" w:name="_Ref536786982"/>
      <w:r w:rsidRPr="00B06D6B">
        <w:rPr>
          <w:rFonts w:hint="cs"/>
          <w:rtl/>
        </w:rPr>
        <w:t xml:space="preserve">ותירצו </w:t>
      </w:r>
      <w:r w:rsidRPr="00B06D6B">
        <w:rPr>
          <w:rStyle w:val="af9"/>
          <w:rFonts w:hint="cs"/>
          <w:rtl/>
        </w:rPr>
        <w:t>התוס' לעיל</w:t>
      </w:r>
      <w:r w:rsidRPr="00B06D6B">
        <w:rPr>
          <w:rFonts w:hint="cs"/>
          <w:rtl/>
        </w:rPr>
        <w:t xml:space="preserve"> דהא </w:t>
      </w:r>
      <w:r>
        <w:rPr>
          <w:rFonts w:hint="cs"/>
          <w:rtl/>
        </w:rPr>
        <w:t>ד</w:t>
      </w:r>
      <w:r w:rsidRPr="00B06D6B">
        <w:rPr>
          <w:rFonts w:hint="cs"/>
          <w:rtl/>
        </w:rPr>
        <w:t>קיי"ל כרבי יהודה דמספקא ליה אי חוששין לזרע האב, זהו דוקא במקום שכל אחד מהם מותר בפנ"ע, דלא שייך בזה זה וזה גורם, אבל במקום שאחד הוא איסור ואחד היתר, הוי זה וזה גורם</w:t>
      </w:r>
      <w:r>
        <w:rPr>
          <w:rFonts w:hint="cs"/>
          <w:rtl/>
        </w:rPr>
        <w:t xml:space="preserve">, ועי' במה שביאר </w:t>
      </w:r>
      <w:r w:rsidRPr="00EC3AFE">
        <w:rPr>
          <w:rStyle w:val="af9"/>
          <w:rFonts w:hint="cs"/>
          <w:rtl/>
        </w:rPr>
        <w:t xml:space="preserve">הרש"ש </w:t>
      </w:r>
      <w:r w:rsidRPr="005679AC">
        <w:rPr>
          <w:rStyle w:val="af7"/>
          <w:rFonts w:eastAsia="Guttman Hodes" w:hint="cs"/>
          <w:rtl/>
        </w:rPr>
        <w:t xml:space="preserve">(נח. על תוד"ה מכאן) </w:t>
      </w:r>
      <w:r>
        <w:rPr>
          <w:rFonts w:hint="cs"/>
          <w:rtl/>
        </w:rPr>
        <w:t xml:space="preserve">בסברת </w:t>
      </w:r>
      <w:r w:rsidRPr="00EC3AFE">
        <w:rPr>
          <w:rStyle w:val="af9"/>
          <w:rFonts w:hint="cs"/>
          <w:rtl/>
        </w:rPr>
        <w:t>התוס'</w:t>
      </w:r>
      <w:r>
        <w:rPr>
          <w:rStyle w:val="af1"/>
          <w:b/>
          <w:bCs/>
          <w:rtl/>
        </w:rPr>
        <w:footnoteReference w:id="116"/>
      </w:r>
      <w:r>
        <w:rPr>
          <w:rFonts w:hint="cs"/>
          <w:rtl/>
        </w:rPr>
        <w:t xml:space="preserve">, ועי' בדברי </w:t>
      </w:r>
      <w:r>
        <w:rPr>
          <w:rStyle w:val="af9"/>
          <w:rFonts w:hint="cs"/>
          <w:rtl/>
        </w:rPr>
        <w:t xml:space="preserve">הקוב"ש </w:t>
      </w:r>
      <w:r w:rsidRPr="00D948FB">
        <w:rPr>
          <w:rStyle w:val="af7"/>
          <w:rFonts w:eastAsia="Guttman Hodes" w:hint="cs"/>
          <w:rtl/>
        </w:rPr>
        <w:t xml:space="preserve">(עי' אות </w:t>
      </w:r>
      <w:r w:rsidRPr="00D948FB">
        <w:rPr>
          <w:rStyle w:val="af7"/>
          <w:rFonts w:eastAsia="Guttman Hodes"/>
          <w:rtl/>
        </w:rPr>
        <w:fldChar w:fldCharType="begin"/>
      </w:r>
      <w:r w:rsidRPr="00D948FB">
        <w:rPr>
          <w:rStyle w:val="af7"/>
          <w:rFonts w:eastAsia="Guttman Hodes"/>
          <w:rtl/>
        </w:rPr>
        <w:instrText xml:space="preserve"> </w:instrText>
      </w:r>
      <w:r w:rsidRPr="00D948FB">
        <w:rPr>
          <w:rStyle w:val="af7"/>
          <w:rFonts w:eastAsia="Guttman Hodes" w:hint="cs"/>
        </w:rPr>
        <w:instrText>REF</w:instrText>
      </w:r>
      <w:r w:rsidRPr="00D948FB">
        <w:rPr>
          <w:rStyle w:val="af7"/>
          <w:rFonts w:eastAsia="Guttman Hodes" w:hint="cs"/>
          <w:rtl/>
        </w:rPr>
        <w:instrText xml:space="preserve"> _</w:instrText>
      </w:r>
      <w:r w:rsidRPr="00D948FB">
        <w:rPr>
          <w:rStyle w:val="af7"/>
          <w:rFonts w:eastAsia="Guttman Hodes" w:hint="cs"/>
        </w:rPr>
        <w:instrText>Ref1252898 \r \h</w:instrText>
      </w:r>
      <w:r w:rsidRPr="00D948FB">
        <w:rPr>
          <w:rStyle w:val="af7"/>
          <w:rFonts w:eastAsia="Guttman Hodes"/>
          <w:rtl/>
        </w:rPr>
        <w:instrText xml:space="preserve"> </w:instrText>
      </w:r>
      <w:r w:rsidRPr="00D948FB">
        <w:rPr>
          <w:rStyle w:val="af7"/>
          <w:rFonts w:eastAsia="Guttman Hodes"/>
          <w:rtl/>
        </w:rPr>
      </w:r>
      <w:r w:rsidRPr="00D948FB">
        <w:rPr>
          <w:rStyle w:val="af7"/>
          <w:rFonts w:eastAsia="Guttman Hodes"/>
          <w:rtl/>
        </w:rPr>
        <w:fldChar w:fldCharType="separate"/>
      </w:r>
      <w:r w:rsidR="00345400">
        <w:rPr>
          <w:rStyle w:val="af7"/>
          <w:rFonts w:eastAsia="Guttman Hodes"/>
          <w:cs/>
        </w:rPr>
        <w:t>‎</w:t>
      </w:r>
      <w:r w:rsidR="00345400">
        <w:rPr>
          <w:rStyle w:val="af7"/>
          <w:rFonts w:eastAsia="Guttman Hodes"/>
          <w:rtl/>
        </w:rPr>
        <w:t>מט)</w:t>
      </w:r>
      <w:r w:rsidRPr="00D948FB">
        <w:rPr>
          <w:rStyle w:val="af7"/>
          <w:rFonts w:eastAsia="Guttman Hodes"/>
          <w:rtl/>
        </w:rPr>
        <w:fldChar w:fldCharType="end"/>
      </w:r>
      <w:r>
        <w:rPr>
          <w:rStyle w:val="af9"/>
          <w:rFonts w:hint="cs"/>
          <w:rtl/>
        </w:rPr>
        <w:t xml:space="preserve"> ו</w:t>
      </w:r>
      <w:r w:rsidRPr="007E7DDA">
        <w:rPr>
          <w:rStyle w:val="af9"/>
          <w:rFonts w:hint="cs"/>
          <w:rtl/>
        </w:rPr>
        <w:t>המקדש דוד</w:t>
      </w:r>
      <w:r>
        <w:rPr>
          <w:rFonts w:hint="cs"/>
          <w:rtl/>
        </w:rPr>
        <w:t xml:space="preserve"> </w:t>
      </w:r>
      <w:r w:rsidRPr="007E7DDA">
        <w:rPr>
          <w:rStyle w:val="af7"/>
          <w:rFonts w:eastAsia="Guttman Hodes" w:hint="cs"/>
          <w:rtl/>
        </w:rPr>
        <w:t xml:space="preserve">(עי' אות </w:t>
      </w:r>
      <w:r w:rsidRPr="007E7DDA">
        <w:rPr>
          <w:rStyle w:val="af7"/>
          <w:rFonts w:eastAsia="Guttman Hodes"/>
          <w:rtl/>
        </w:rPr>
        <w:fldChar w:fldCharType="begin"/>
      </w:r>
      <w:r w:rsidRPr="007E7DDA">
        <w:rPr>
          <w:rStyle w:val="af7"/>
          <w:rFonts w:eastAsia="Guttman Hodes"/>
          <w:rtl/>
        </w:rPr>
        <w:instrText xml:space="preserve"> </w:instrText>
      </w:r>
      <w:r w:rsidRPr="007E7DDA">
        <w:rPr>
          <w:rStyle w:val="af7"/>
          <w:rFonts w:eastAsia="Guttman Hodes" w:hint="cs"/>
        </w:rPr>
        <w:instrText>REF</w:instrText>
      </w:r>
      <w:r w:rsidRPr="007E7DDA">
        <w:rPr>
          <w:rStyle w:val="af7"/>
          <w:rFonts w:eastAsia="Guttman Hodes" w:hint="cs"/>
          <w:rtl/>
        </w:rPr>
        <w:instrText xml:space="preserve"> _</w:instrText>
      </w:r>
      <w:r w:rsidRPr="007E7DDA">
        <w:rPr>
          <w:rStyle w:val="af7"/>
          <w:rFonts w:eastAsia="Guttman Hodes" w:hint="cs"/>
        </w:rPr>
        <w:instrText>Ref1246947 \r \h</w:instrText>
      </w:r>
      <w:r w:rsidRPr="007E7DDA">
        <w:rPr>
          <w:rStyle w:val="af7"/>
          <w:rFonts w:eastAsia="Guttman Hodes"/>
          <w:rtl/>
        </w:rPr>
        <w:instrText xml:space="preserve"> </w:instrText>
      </w:r>
      <w:r w:rsidRPr="007E7DDA">
        <w:rPr>
          <w:rStyle w:val="af7"/>
          <w:rFonts w:eastAsia="Guttman Hodes"/>
          <w:rtl/>
        </w:rPr>
      </w:r>
      <w:r w:rsidRPr="007E7DDA">
        <w:rPr>
          <w:rStyle w:val="af7"/>
          <w:rFonts w:eastAsia="Guttman Hodes"/>
          <w:rtl/>
        </w:rPr>
        <w:fldChar w:fldCharType="separate"/>
      </w:r>
      <w:r w:rsidR="00345400">
        <w:rPr>
          <w:rStyle w:val="af7"/>
          <w:rFonts w:eastAsia="Guttman Hodes"/>
          <w:cs/>
        </w:rPr>
        <w:t>‎</w:t>
      </w:r>
      <w:r w:rsidR="00345400">
        <w:rPr>
          <w:rStyle w:val="af7"/>
          <w:rFonts w:eastAsia="Guttman Hodes"/>
          <w:rtl/>
        </w:rPr>
        <w:t>ע)</w:t>
      </w:r>
      <w:r w:rsidRPr="007E7DDA">
        <w:rPr>
          <w:rStyle w:val="af7"/>
          <w:rFonts w:eastAsia="Guttman Hodes"/>
          <w:rtl/>
        </w:rPr>
        <w:fldChar w:fldCharType="end"/>
      </w:r>
      <w:r w:rsidRPr="00B06D6B">
        <w:rPr>
          <w:rFonts w:hint="cs"/>
          <w:rtl/>
        </w:rPr>
        <w:t>.</w:t>
      </w:r>
      <w:bookmarkEnd w:id="20329"/>
    </w:p>
    <w:p w14:paraId="37303040" w14:textId="77777777" w:rsidR="003D504D" w:rsidRDefault="003D504D" w:rsidP="00BF39B2">
      <w:pPr>
        <w:pStyle w:val="1"/>
        <w:rPr>
          <w:rtl/>
        </w:rPr>
      </w:pPr>
      <w:bookmarkStart w:id="20330" w:name="_Toc1250105"/>
      <w:bookmarkStart w:id="20331" w:name="_Toc1258109"/>
      <w:bookmarkStart w:id="20332" w:name="_Toc19391545"/>
      <w:bookmarkStart w:id="20333" w:name="_Toc19395042"/>
      <w:bookmarkStart w:id="20334" w:name="_Toc955091"/>
      <w:bookmarkStart w:id="20335" w:name="_Toc974534"/>
      <w:bookmarkStart w:id="20336" w:name="_Toc984450"/>
      <w:bookmarkStart w:id="20337" w:name="_Toc1056584"/>
      <w:bookmarkStart w:id="20338" w:name="_Toc1109742"/>
      <w:bookmarkStart w:id="20339" w:name="_Toc1128721"/>
      <w:r>
        <w:rPr>
          <w:rFonts w:hint="cs"/>
          <w:rtl/>
        </w:rPr>
        <w:t>קושית התוס' בבכורות דלמ"ד דאין חוששין האב אינו גורם</w:t>
      </w:r>
      <w:bookmarkEnd w:id="20330"/>
      <w:bookmarkEnd w:id="20331"/>
      <w:bookmarkEnd w:id="20332"/>
      <w:bookmarkEnd w:id="20333"/>
      <w:r>
        <w:rPr>
          <w:rFonts w:hint="cs"/>
          <w:rtl/>
        </w:rPr>
        <w:t xml:space="preserve"> </w:t>
      </w:r>
    </w:p>
    <w:p w14:paraId="4EB7DDCB" w14:textId="77777777" w:rsidR="003D504D" w:rsidRPr="00B06D6B" w:rsidRDefault="003D504D" w:rsidP="003D504D">
      <w:pPr>
        <w:pStyle w:val="a3"/>
        <w:rPr>
          <w:rtl/>
        </w:rPr>
      </w:pPr>
      <w:bookmarkStart w:id="20340" w:name="_Toc1250106"/>
      <w:bookmarkStart w:id="20341" w:name="_Toc1258110"/>
      <w:bookmarkStart w:id="20342" w:name="_Toc19391546"/>
      <w:bookmarkStart w:id="20343" w:name="_Toc19395043"/>
      <w:r>
        <w:rPr>
          <w:rFonts w:hint="cs"/>
          <w:rtl/>
        </w:rPr>
        <w:t>דברי התוס' בבכורות דדין זה וזה גורם שייך כשיש גורם של איסור והיתר ולא בשניהם היתר</w:t>
      </w:r>
      <w:bookmarkEnd w:id="20334"/>
      <w:bookmarkEnd w:id="20335"/>
      <w:bookmarkEnd w:id="20336"/>
      <w:bookmarkEnd w:id="20337"/>
      <w:bookmarkEnd w:id="20338"/>
      <w:bookmarkEnd w:id="20339"/>
      <w:bookmarkEnd w:id="20340"/>
      <w:bookmarkEnd w:id="20341"/>
      <w:bookmarkEnd w:id="20342"/>
      <w:bookmarkEnd w:id="20343"/>
    </w:p>
    <w:p w14:paraId="7EC486B7" w14:textId="77777777" w:rsidR="003D504D" w:rsidRPr="00F41784" w:rsidRDefault="003D504D" w:rsidP="00223668">
      <w:pPr>
        <w:pStyle w:val="a0"/>
        <w:rPr>
          <w:rStyle w:val="afb"/>
          <w:rtl/>
        </w:rPr>
      </w:pPr>
      <w:bookmarkStart w:id="20344" w:name="_Ref951066"/>
      <w:r w:rsidRPr="00B06D6B">
        <w:rPr>
          <w:rFonts w:hint="cs"/>
          <w:rtl/>
        </w:rPr>
        <w:t xml:space="preserve">איתא בגמ' בבכורות </w:t>
      </w:r>
      <w:r w:rsidRPr="005679AC">
        <w:rPr>
          <w:rStyle w:val="af7"/>
          <w:rFonts w:eastAsia="Guttman Hodes" w:hint="cs"/>
          <w:rtl/>
        </w:rPr>
        <w:t xml:space="preserve">(ז.) </w:t>
      </w:r>
      <w:r>
        <w:rPr>
          <w:rFonts w:hint="cs"/>
          <w:rtl/>
        </w:rPr>
        <w:t xml:space="preserve">דדין </w:t>
      </w:r>
      <w:r w:rsidRPr="00B06D6B">
        <w:rPr>
          <w:rFonts w:hint="cs"/>
          <w:rtl/>
        </w:rPr>
        <w:t xml:space="preserve">בהמה טהורה שנתעברה מבהמה טמאה, </w:t>
      </w:r>
      <w:r>
        <w:rPr>
          <w:rFonts w:hint="cs"/>
          <w:rtl/>
        </w:rPr>
        <w:t xml:space="preserve">וכן </w:t>
      </w:r>
      <w:r w:rsidRPr="00B06D6B">
        <w:rPr>
          <w:rFonts w:hint="cs"/>
          <w:rtl/>
        </w:rPr>
        <w:t xml:space="preserve">הדין דולד טריפה אי מותר להקריבו ע"ג המזבח,  </w:t>
      </w:r>
      <w:r>
        <w:rPr>
          <w:rFonts w:hint="cs"/>
          <w:rtl/>
        </w:rPr>
        <w:t xml:space="preserve">הם </w:t>
      </w:r>
      <w:r w:rsidRPr="00B06D6B">
        <w:rPr>
          <w:rFonts w:hint="cs"/>
          <w:rtl/>
        </w:rPr>
        <w:t>תלוי</w:t>
      </w:r>
      <w:r>
        <w:rPr>
          <w:rFonts w:hint="cs"/>
          <w:rtl/>
        </w:rPr>
        <w:t>ים</w:t>
      </w:r>
      <w:r w:rsidRPr="00B06D6B">
        <w:rPr>
          <w:rFonts w:hint="cs"/>
          <w:rtl/>
        </w:rPr>
        <w:t xml:space="preserve"> במחלוקת בזה וזה גורם, וכתבו </w:t>
      </w:r>
      <w:r w:rsidRPr="00B06D6B">
        <w:rPr>
          <w:rStyle w:val="af9"/>
          <w:rFonts w:hint="cs"/>
          <w:rtl/>
        </w:rPr>
        <w:t>התוס' בבכורות</w:t>
      </w:r>
      <w:r w:rsidRPr="00B06D6B">
        <w:rPr>
          <w:rFonts w:hint="cs"/>
          <w:rtl/>
        </w:rPr>
        <w:t xml:space="preserve"> </w:t>
      </w:r>
      <w:r w:rsidRPr="005679AC">
        <w:rPr>
          <w:rStyle w:val="af7"/>
          <w:rFonts w:eastAsia="Guttman Hodes" w:hint="cs"/>
          <w:rtl/>
        </w:rPr>
        <w:t xml:space="preserve">(ז. ד"ה והא) </w:t>
      </w:r>
      <w:r w:rsidRPr="009A7972">
        <w:rPr>
          <w:rFonts w:hint="cs"/>
          <w:rtl/>
        </w:rPr>
        <w:t>דהא דנקטה</w:t>
      </w:r>
      <w:r w:rsidRPr="00B06D6B">
        <w:rPr>
          <w:rFonts w:hint="cs"/>
          <w:rtl/>
        </w:rPr>
        <w:t xml:space="preserve"> הגמ' בבכורות את הלשון "זה וזה גורם", ואילו לגבי דין כלאים בנולדים מן הסוס ומן החמור, </w:t>
      </w:r>
      <w:r>
        <w:rPr>
          <w:rFonts w:hint="cs"/>
          <w:rtl/>
        </w:rPr>
        <w:t>נקטה</w:t>
      </w:r>
      <w:r w:rsidRPr="00B06D6B">
        <w:rPr>
          <w:rFonts w:hint="cs"/>
          <w:rtl/>
        </w:rPr>
        <w:t xml:space="preserve"> הגמ' לקמן </w:t>
      </w:r>
      <w:r w:rsidRPr="005679AC">
        <w:rPr>
          <w:rStyle w:val="af7"/>
          <w:rFonts w:eastAsia="Guttman Hodes" w:hint="cs"/>
          <w:rtl/>
        </w:rPr>
        <w:t xml:space="preserve">(עט.) </w:t>
      </w:r>
      <w:r w:rsidRPr="00B06D6B">
        <w:rPr>
          <w:rFonts w:hint="cs"/>
          <w:rtl/>
        </w:rPr>
        <w:t>את הלשון "חוששין לזרע האב", הוא כיון דבגמ' בבכורות איירי בדבר שבא מהיתר</w:t>
      </w:r>
      <w:r>
        <w:rPr>
          <w:rFonts w:hint="cs"/>
          <w:rtl/>
        </w:rPr>
        <w:t xml:space="preserve"> </w:t>
      </w:r>
      <w:r w:rsidRPr="00B06D6B">
        <w:rPr>
          <w:rFonts w:hint="cs"/>
          <w:rtl/>
        </w:rPr>
        <w:t xml:space="preserve">ומאיסור </w:t>
      </w:r>
      <w:r w:rsidRPr="000C6923">
        <w:rPr>
          <w:rStyle w:val="afb"/>
          <w:rFonts w:hint="cs"/>
          <w:rtl/>
        </w:rPr>
        <w:t>[בהמה טמאה וטריפה]</w:t>
      </w:r>
      <w:r w:rsidRPr="00B06D6B">
        <w:rPr>
          <w:rFonts w:hint="cs"/>
          <w:rtl/>
        </w:rPr>
        <w:t>, ובזה שייך הלשון זה וזה גורם</w:t>
      </w:r>
      <w:r>
        <w:rPr>
          <w:rFonts w:hint="cs"/>
          <w:rtl/>
        </w:rPr>
        <w:t>.</w:t>
      </w:r>
      <w:r w:rsidRPr="00B06D6B">
        <w:rPr>
          <w:rFonts w:hint="cs"/>
          <w:rtl/>
        </w:rPr>
        <w:t xml:space="preserve"> </w:t>
      </w:r>
      <w:r w:rsidRPr="00B06D6B">
        <w:rPr>
          <w:rStyle w:val="afb"/>
          <w:rFonts w:hint="cs"/>
          <w:rtl/>
        </w:rPr>
        <w:t>[אבל בגמ' לקמן דאיירי בדין כלאים ששניהם היתר</w:t>
      </w:r>
      <w:r>
        <w:rPr>
          <w:rStyle w:val="afb"/>
          <w:rFonts w:hint="cs"/>
          <w:rtl/>
        </w:rPr>
        <w:t>,</w:t>
      </w:r>
      <w:r w:rsidRPr="00B06D6B">
        <w:rPr>
          <w:rStyle w:val="afb"/>
          <w:rFonts w:hint="cs"/>
          <w:rtl/>
        </w:rPr>
        <w:t xml:space="preserve"> לא שייך זה וזה גורם, אלא לשון חוששין לזרע </w:t>
      </w:r>
      <w:r w:rsidRPr="00F41784">
        <w:rPr>
          <w:rStyle w:val="afb"/>
          <w:rFonts w:hint="cs"/>
          <w:rtl/>
        </w:rPr>
        <w:t>האב]</w:t>
      </w:r>
      <w:bookmarkEnd w:id="20344"/>
      <w:r>
        <w:rPr>
          <w:rStyle w:val="afb"/>
          <w:rFonts w:hint="cs"/>
          <w:rtl/>
        </w:rPr>
        <w:t>,</w:t>
      </w:r>
      <w:r w:rsidRPr="004F1324">
        <w:rPr>
          <w:rFonts w:hint="cs"/>
          <w:rtl/>
        </w:rPr>
        <w:t xml:space="preserve"> ועי' בביאור </w:t>
      </w:r>
      <w:r w:rsidRPr="004F1324">
        <w:rPr>
          <w:rStyle w:val="af9"/>
          <w:rFonts w:hint="cs"/>
          <w:rtl/>
        </w:rPr>
        <w:t xml:space="preserve">החזו"א </w:t>
      </w:r>
      <w:r w:rsidRPr="008B6C8A">
        <w:rPr>
          <w:rStyle w:val="af7"/>
          <w:rFonts w:eastAsia="Guttman Hodes" w:hint="cs"/>
          <w:rtl/>
        </w:rPr>
        <w:t xml:space="preserve">(עי' אות </w:t>
      </w:r>
      <w:r w:rsidRPr="008B6C8A">
        <w:rPr>
          <w:rStyle w:val="af7"/>
          <w:rFonts w:eastAsia="Guttman Hodes"/>
          <w:rtl/>
        </w:rPr>
        <w:fldChar w:fldCharType="begin"/>
      </w:r>
      <w:r w:rsidRPr="008B6C8A">
        <w:rPr>
          <w:rStyle w:val="af7"/>
          <w:rFonts w:eastAsia="Guttman Hodes"/>
          <w:rtl/>
        </w:rPr>
        <w:instrText xml:space="preserve"> </w:instrText>
      </w:r>
      <w:r w:rsidRPr="008B6C8A">
        <w:rPr>
          <w:rStyle w:val="af7"/>
          <w:rFonts w:eastAsia="Guttman Hodes" w:hint="cs"/>
        </w:rPr>
        <w:instrText>REF</w:instrText>
      </w:r>
      <w:r w:rsidRPr="008B6C8A">
        <w:rPr>
          <w:rStyle w:val="af7"/>
          <w:rFonts w:eastAsia="Guttman Hodes" w:hint="cs"/>
          <w:rtl/>
        </w:rPr>
        <w:instrText xml:space="preserve"> _</w:instrText>
      </w:r>
      <w:r w:rsidRPr="008B6C8A">
        <w:rPr>
          <w:rStyle w:val="af7"/>
          <w:rFonts w:eastAsia="Guttman Hodes" w:hint="cs"/>
        </w:rPr>
        <w:instrText>Ref1252203 \r \h</w:instrText>
      </w:r>
      <w:r w:rsidRPr="008B6C8A">
        <w:rPr>
          <w:rStyle w:val="af7"/>
          <w:rFonts w:eastAsia="Guttman Hodes"/>
          <w:rtl/>
        </w:rPr>
        <w:instrText xml:space="preserve"> </w:instrText>
      </w:r>
      <w:r w:rsidRPr="008B6C8A">
        <w:rPr>
          <w:rStyle w:val="af7"/>
          <w:rFonts w:eastAsia="Guttman Hodes"/>
          <w:rtl/>
        </w:rPr>
      </w:r>
      <w:r w:rsidRPr="008B6C8A">
        <w:rPr>
          <w:rStyle w:val="af7"/>
          <w:rFonts w:eastAsia="Guttman Hodes"/>
          <w:rtl/>
        </w:rPr>
        <w:fldChar w:fldCharType="separate"/>
      </w:r>
      <w:r w:rsidR="00345400">
        <w:rPr>
          <w:rStyle w:val="af7"/>
          <w:rFonts w:eastAsia="Guttman Hodes"/>
          <w:cs/>
        </w:rPr>
        <w:t>‎</w:t>
      </w:r>
      <w:r w:rsidR="00345400">
        <w:rPr>
          <w:rStyle w:val="af7"/>
          <w:rFonts w:eastAsia="Guttman Hodes"/>
          <w:rtl/>
        </w:rPr>
        <w:t>מא)</w:t>
      </w:r>
      <w:r w:rsidRPr="008B6C8A">
        <w:rPr>
          <w:rStyle w:val="af7"/>
          <w:rFonts w:eastAsia="Guttman Hodes"/>
          <w:rtl/>
        </w:rPr>
        <w:fldChar w:fldCharType="end"/>
      </w:r>
      <w:r w:rsidRPr="004F1324">
        <w:rPr>
          <w:rFonts w:hint="cs"/>
          <w:rtl/>
        </w:rPr>
        <w:t xml:space="preserve"> בדברי </w:t>
      </w:r>
      <w:r w:rsidRPr="004F1324">
        <w:rPr>
          <w:rStyle w:val="af9"/>
          <w:rFonts w:hint="cs"/>
          <w:rtl/>
        </w:rPr>
        <w:t>התוס' בבכורות</w:t>
      </w:r>
      <w:r w:rsidRPr="004F1324">
        <w:rPr>
          <w:rFonts w:hint="cs"/>
          <w:rtl/>
        </w:rPr>
        <w:t>.</w:t>
      </w:r>
    </w:p>
    <w:p w14:paraId="54710FBE" w14:textId="77777777" w:rsidR="003D504D" w:rsidRPr="00061029" w:rsidRDefault="003D504D" w:rsidP="003D504D">
      <w:pPr>
        <w:pStyle w:val="a3"/>
      </w:pPr>
      <w:bookmarkStart w:id="20345" w:name="_Toc955092"/>
      <w:bookmarkStart w:id="20346" w:name="_Toc974535"/>
      <w:bookmarkStart w:id="20347" w:name="_Toc984451"/>
      <w:bookmarkStart w:id="20348" w:name="_Toc1056585"/>
      <w:bookmarkStart w:id="20349" w:name="_Toc1109743"/>
      <w:bookmarkStart w:id="20350" w:name="_Toc1128722"/>
      <w:bookmarkStart w:id="20351" w:name="_Toc1250107"/>
      <w:bookmarkStart w:id="20352" w:name="_Toc1258111"/>
      <w:bookmarkStart w:id="20353" w:name="_Toc19391547"/>
      <w:bookmarkStart w:id="20354" w:name="_Toc19395044"/>
      <w:r w:rsidRPr="00061029">
        <w:rPr>
          <w:rFonts w:hint="cs"/>
          <w:rtl/>
        </w:rPr>
        <w:t>קושית התוס' בבכורות דבולד טריפה אי אין חוששין לזרע האב האב אינו גורם ויש רק איסור</w:t>
      </w:r>
      <w:bookmarkStart w:id="20355" w:name="_Ref536787010"/>
      <w:bookmarkStart w:id="20356" w:name="_Ref951077"/>
      <w:bookmarkEnd w:id="20345"/>
      <w:bookmarkEnd w:id="20346"/>
      <w:bookmarkEnd w:id="20347"/>
      <w:bookmarkEnd w:id="20348"/>
      <w:bookmarkEnd w:id="20349"/>
      <w:bookmarkEnd w:id="20350"/>
      <w:bookmarkEnd w:id="20351"/>
      <w:bookmarkEnd w:id="20352"/>
      <w:bookmarkEnd w:id="20353"/>
      <w:bookmarkEnd w:id="20354"/>
    </w:p>
    <w:p w14:paraId="1075D035" w14:textId="77777777" w:rsidR="003D504D" w:rsidRPr="00061029" w:rsidRDefault="003D504D" w:rsidP="00223668">
      <w:pPr>
        <w:pStyle w:val="a0"/>
        <w:rPr>
          <w:rtl/>
        </w:rPr>
      </w:pPr>
      <w:bookmarkStart w:id="20357" w:name="_Ref1258703"/>
      <w:r w:rsidRPr="00061029">
        <w:rPr>
          <w:rFonts w:hint="cs"/>
          <w:rtl/>
        </w:rPr>
        <w:t xml:space="preserve">אך הקשו </w:t>
      </w:r>
      <w:r w:rsidRPr="00061029">
        <w:rPr>
          <w:rStyle w:val="af9"/>
          <w:rFonts w:hint="cs"/>
          <w:rtl/>
        </w:rPr>
        <w:t>התוס' בבכורות</w:t>
      </w:r>
      <w:r w:rsidRPr="00061029">
        <w:rPr>
          <w:rFonts w:hint="cs"/>
          <w:rtl/>
        </w:rPr>
        <w:t xml:space="preserve"> דלמ"ד דאין חוששין לזרע האב, א"כ א"כ דין ולד טריפה אינו שייך כלל לזה וזה גורם, דהרי חשיב שיש רק גורם אחד ואסור. </w:t>
      </w:r>
      <w:r w:rsidRPr="00061029">
        <w:rPr>
          <w:rStyle w:val="afb"/>
          <w:rFonts w:hint="cs"/>
          <w:rtl/>
        </w:rPr>
        <w:t xml:space="preserve">[ורק האם הטריפה נחשבת כגורם, עפ"י הגהת </w:t>
      </w:r>
      <w:r w:rsidRPr="00061029">
        <w:rPr>
          <w:rStyle w:val="affa"/>
          <w:rFonts w:hint="cs"/>
          <w:rtl/>
        </w:rPr>
        <w:t>השיטמ"ק בבכורות</w:t>
      </w:r>
      <w:r w:rsidRPr="00061029">
        <w:rPr>
          <w:rStyle w:val="afb"/>
          <w:rFonts w:hint="cs"/>
          <w:rtl/>
        </w:rPr>
        <w:t>]</w:t>
      </w:r>
      <w:r w:rsidRPr="00061029">
        <w:rPr>
          <w:rFonts w:hint="cs"/>
          <w:rtl/>
        </w:rPr>
        <w:t xml:space="preserve"> ועי' במה שתירץ </w:t>
      </w:r>
      <w:r w:rsidRPr="00061029">
        <w:rPr>
          <w:rStyle w:val="af9"/>
          <w:rFonts w:hint="cs"/>
          <w:rtl/>
        </w:rPr>
        <w:t xml:space="preserve">הגר"ח </w:t>
      </w:r>
      <w:r w:rsidRPr="00061029">
        <w:rPr>
          <w:rStyle w:val="af7"/>
          <w:rFonts w:eastAsia="Guttman Hodes" w:hint="cs"/>
          <w:rtl/>
        </w:rPr>
        <w:t xml:space="preserve">(עי' אות </w:t>
      </w:r>
      <w:r w:rsidRPr="00061029">
        <w:rPr>
          <w:rStyle w:val="af7"/>
          <w:rFonts w:eastAsia="Guttman Hodes"/>
          <w:rtl/>
        </w:rPr>
        <w:fldChar w:fldCharType="begin"/>
      </w:r>
      <w:r w:rsidRPr="00061029">
        <w:rPr>
          <w:rStyle w:val="af7"/>
          <w:rFonts w:eastAsia="Guttman Hodes"/>
          <w:rtl/>
        </w:rPr>
        <w:instrText xml:space="preserve"> </w:instrText>
      </w:r>
      <w:r w:rsidRPr="00061029">
        <w:rPr>
          <w:rStyle w:val="af7"/>
          <w:rFonts w:eastAsia="Guttman Hodes" w:hint="cs"/>
        </w:rPr>
        <w:instrText>REF</w:instrText>
      </w:r>
      <w:r w:rsidRPr="00061029">
        <w:rPr>
          <w:rStyle w:val="af7"/>
          <w:rFonts w:eastAsia="Guttman Hodes" w:hint="cs"/>
          <w:rtl/>
        </w:rPr>
        <w:instrText xml:space="preserve"> _</w:instrText>
      </w:r>
      <w:r w:rsidRPr="00061029">
        <w:rPr>
          <w:rStyle w:val="af7"/>
          <w:rFonts w:eastAsia="Guttman Hodes" w:hint="cs"/>
        </w:rPr>
        <w:instrText>Ref1245276 \r \h</w:instrText>
      </w:r>
      <w:r w:rsidRPr="0006102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061029">
        <w:rPr>
          <w:rStyle w:val="af7"/>
          <w:rFonts w:eastAsia="Guttman Hodes"/>
          <w:rtl/>
        </w:rPr>
      </w:r>
      <w:r w:rsidRPr="00061029">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061029">
        <w:rPr>
          <w:rStyle w:val="af7"/>
          <w:rFonts w:eastAsia="Guttman Hodes"/>
          <w:rtl/>
        </w:rPr>
        <w:fldChar w:fldCharType="end"/>
      </w:r>
      <w:r w:rsidRPr="00061029">
        <w:rPr>
          <w:rStyle w:val="af7"/>
          <w:rFonts w:eastAsia="Guttman Hodes" w:hint="cs"/>
          <w:rtl/>
        </w:rPr>
        <w:t xml:space="preserve"> </w:t>
      </w:r>
      <w:r w:rsidRPr="00061029">
        <w:rPr>
          <w:rFonts w:hint="cs"/>
          <w:rtl/>
        </w:rPr>
        <w:t xml:space="preserve">על קושית </w:t>
      </w:r>
      <w:r w:rsidRPr="00061029">
        <w:rPr>
          <w:rStyle w:val="af9"/>
          <w:rFonts w:hint="cs"/>
          <w:rtl/>
        </w:rPr>
        <w:t>התוס' בבכורות</w:t>
      </w:r>
      <w:r w:rsidRPr="00061029">
        <w:rPr>
          <w:rFonts w:hint="cs"/>
          <w:rtl/>
        </w:rPr>
        <w:t xml:space="preserve">, ובמה שהקשה </w:t>
      </w:r>
      <w:r w:rsidRPr="00061029">
        <w:rPr>
          <w:rStyle w:val="af9"/>
          <w:rFonts w:hint="cs"/>
          <w:rtl/>
        </w:rPr>
        <w:t xml:space="preserve">החזו"א </w:t>
      </w:r>
      <w:r w:rsidRPr="00061029">
        <w:rPr>
          <w:rStyle w:val="af7"/>
          <w:rFonts w:eastAsia="Guttman Hodes" w:hint="cs"/>
          <w:rtl/>
        </w:rPr>
        <w:t xml:space="preserve">(עי' אות </w:t>
      </w:r>
      <w:r w:rsidRPr="00061029">
        <w:rPr>
          <w:rStyle w:val="af7"/>
          <w:rFonts w:eastAsia="Guttman Hodes"/>
          <w:rtl/>
        </w:rPr>
        <w:fldChar w:fldCharType="begin"/>
      </w:r>
      <w:r w:rsidRPr="00061029">
        <w:rPr>
          <w:rStyle w:val="af7"/>
          <w:rFonts w:eastAsia="Guttman Hodes"/>
          <w:rtl/>
        </w:rPr>
        <w:instrText xml:space="preserve"> </w:instrText>
      </w:r>
      <w:r w:rsidRPr="00061029">
        <w:rPr>
          <w:rStyle w:val="af7"/>
          <w:rFonts w:eastAsia="Guttman Hodes" w:hint="cs"/>
        </w:rPr>
        <w:instrText>REF</w:instrText>
      </w:r>
      <w:r w:rsidRPr="00061029">
        <w:rPr>
          <w:rStyle w:val="af7"/>
          <w:rFonts w:eastAsia="Guttman Hodes" w:hint="cs"/>
          <w:rtl/>
        </w:rPr>
        <w:instrText xml:space="preserve"> _</w:instrText>
      </w:r>
      <w:r w:rsidRPr="00061029">
        <w:rPr>
          <w:rStyle w:val="af7"/>
          <w:rFonts w:eastAsia="Guttman Hodes" w:hint="cs"/>
        </w:rPr>
        <w:instrText>Ref536787017 \r \h</w:instrText>
      </w:r>
      <w:r w:rsidRPr="00061029">
        <w:rPr>
          <w:rStyle w:val="af7"/>
          <w:rFonts w:eastAsia="Guttman Hodes"/>
          <w:rtl/>
        </w:rPr>
        <w:instrText xml:space="preserve">  \* </w:instrText>
      </w:r>
      <w:r w:rsidRPr="00061029">
        <w:rPr>
          <w:rStyle w:val="af7"/>
          <w:rFonts w:eastAsia="Guttman Hodes"/>
        </w:rPr>
        <w:instrText>MERGEFORMAT</w:instrText>
      </w:r>
      <w:r w:rsidRPr="00061029">
        <w:rPr>
          <w:rStyle w:val="af7"/>
          <w:rFonts w:eastAsia="Guttman Hodes"/>
          <w:rtl/>
        </w:rPr>
        <w:instrText xml:space="preserve"> </w:instrText>
      </w:r>
      <w:r w:rsidRPr="00061029">
        <w:rPr>
          <w:rStyle w:val="af7"/>
          <w:rFonts w:eastAsia="Guttman Hodes"/>
          <w:rtl/>
        </w:rPr>
      </w:r>
      <w:r w:rsidRPr="00061029">
        <w:rPr>
          <w:rStyle w:val="af7"/>
          <w:rFonts w:eastAsia="Guttman Hodes"/>
          <w:rtl/>
        </w:rPr>
        <w:fldChar w:fldCharType="separate"/>
      </w:r>
      <w:r w:rsidR="00345400">
        <w:rPr>
          <w:rStyle w:val="af7"/>
          <w:rFonts w:eastAsia="Guttman Hodes"/>
          <w:cs/>
        </w:rPr>
        <w:t>‎</w:t>
      </w:r>
      <w:r w:rsidR="00345400">
        <w:rPr>
          <w:rStyle w:val="af7"/>
          <w:rFonts w:eastAsia="Guttman Hodes"/>
          <w:rtl/>
        </w:rPr>
        <w:t>נז)</w:t>
      </w:r>
      <w:r w:rsidRPr="00061029">
        <w:rPr>
          <w:rStyle w:val="af7"/>
          <w:rFonts w:eastAsia="Guttman Hodes"/>
          <w:rtl/>
        </w:rPr>
        <w:fldChar w:fldCharType="end"/>
      </w:r>
      <w:r w:rsidRPr="00061029">
        <w:rPr>
          <w:rFonts w:hint="cs"/>
          <w:rtl/>
        </w:rPr>
        <w:t xml:space="preserve"> על </w:t>
      </w:r>
      <w:r w:rsidRPr="00061029">
        <w:rPr>
          <w:rStyle w:val="af9"/>
          <w:rFonts w:hint="cs"/>
          <w:rtl/>
        </w:rPr>
        <w:t>הגר"ח</w:t>
      </w:r>
      <w:r w:rsidRPr="00061029">
        <w:rPr>
          <w:rFonts w:hint="cs"/>
          <w:rtl/>
        </w:rPr>
        <w:t xml:space="preserve"> מדברי </w:t>
      </w:r>
      <w:r w:rsidRPr="00061029">
        <w:rPr>
          <w:rStyle w:val="af9"/>
          <w:rFonts w:hint="cs"/>
          <w:rtl/>
        </w:rPr>
        <w:t>התוס' בבכורות</w:t>
      </w:r>
      <w:r w:rsidRPr="00061029">
        <w:rPr>
          <w:rFonts w:hint="cs"/>
          <w:rtl/>
        </w:rPr>
        <w:t>.</w:t>
      </w:r>
      <w:bookmarkEnd w:id="20355"/>
      <w:r w:rsidRPr="00061029">
        <w:rPr>
          <w:rFonts w:hint="cs"/>
          <w:rtl/>
        </w:rPr>
        <w:t xml:space="preserve"> וע"ע במ"ש </w:t>
      </w:r>
      <w:r w:rsidRPr="00061029">
        <w:rPr>
          <w:rStyle w:val="af9"/>
          <w:rFonts w:hint="cs"/>
          <w:rtl/>
        </w:rPr>
        <w:t>החזו"א</w:t>
      </w:r>
      <w:r w:rsidRPr="00061029">
        <w:rPr>
          <w:rFonts w:hint="cs"/>
          <w:rtl/>
        </w:rPr>
        <w:t xml:space="preserve"> </w:t>
      </w:r>
      <w:r w:rsidRPr="00061029">
        <w:rPr>
          <w:rStyle w:val="af7"/>
          <w:rFonts w:eastAsia="Guttman Hodes" w:hint="cs"/>
          <w:rtl/>
        </w:rPr>
        <w:t xml:space="preserve">(עי' אות </w:t>
      </w:r>
      <w:r w:rsidRPr="00061029">
        <w:rPr>
          <w:rStyle w:val="af7"/>
          <w:rFonts w:eastAsia="Guttman Hodes"/>
          <w:rtl/>
        </w:rPr>
        <w:fldChar w:fldCharType="begin"/>
      </w:r>
      <w:r w:rsidRPr="00061029">
        <w:rPr>
          <w:rStyle w:val="af7"/>
          <w:rFonts w:eastAsia="Guttman Hodes"/>
          <w:rtl/>
        </w:rPr>
        <w:instrText xml:space="preserve"> </w:instrText>
      </w:r>
      <w:r w:rsidRPr="00061029">
        <w:rPr>
          <w:rStyle w:val="af7"/>
          <w:rFonts w:eastAsia="Guttman Hodes" w:hint="cs"/>
        </w:rPr>
        <w:instrText>REF</w:instrText>
      </w:r>
      <w:r w:rsidRPr="00061029">
        <w:rPr>
          <w:rStyle w:val="af7"/>
          <w:rFonts w:eastAsia="Guttman Hodes" w:hint="cs"/>
          <w:rtl/>
        </w:rPr>
        <w:instrText xml:space="preserve"> _</w:instrText>
      </w:r>
      <w:r w:rsidRPr="00061029">
        <w:rPr>
          <w:rStyle w:val="af7"/>
          <w:rFonts w:eastAsia="Guttman Hodes" w:hint="cs"/>
        </w:rPr>
        <w:instrText>Ref1252116 \r \h</w:instrText>
      </w:r>
      <w:r w:rsidRPr="0006102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061029">
        <w:rPr>
          <w:rStyle w:val="af7"/>
          <w:rFonts w:eastAsia="Guttman Hodes"/>
          <w:rtl/>
        </w:rPr>
      </w:r>
      <w:r w:rsidRPr="00061029">
        <w:rPr>
          <w:rStyle w:val="af7"/>
          <w:rFonts w:eastAsia="Guttman Hodes"/>
          <w:rtl/>
        </w:rPr>
        <w:fldChar w:fldCharType="separate"/>
      </w:r>
      <w:r w:rsidR="00345400">
        <w:rPr>
          <w:rStyle w:val="af7"/>
          <w:rFonts w:eastAsia="Guttman Hodes"/>
          <w:cs/>
        </w:rPr>
        <w:t>‎</w:t>
      </w:r>
      <w:r w:rsidR="00345400">
        <w:rPr>
          <w:rStyle w:val="af7"/>
          <w:rFonts w:eastAsia="Guttman Hodes"/>
          <w:rtl/>
        </w:rPr>
        <w:t>מב)</w:t>
      </w:r>
      <w:r w:rsidRPr="00061029">
        <w:rPr>
          <w:rStyle w:val="af7"/>
          <w:rFonts w:eastAsia="Guttman Hodes"/>
          <w:rtl/>
        </w:rPr>
        <w:fldChar w:fldCharType="end"/>
      </w:r>
      <w:r w:rsidRPr="00061029">
        <w:rPr>
          <w:rFonts w:hint="cs"/>
          <w:rtl/>
        </w:rPr>
        <w:t xml:space="preserve"> </w:t>
      </w:r>
      <w:r w:rsidRPr="00061029">
        <w:rPr>
          <w:rStyle w:val="af9"/>
          <w:rFonts w:hint="cs"/>
          <w:rtl/>
        </w:rPr>
        <w:t>דהתוס' לעיל</w:t>
      </w:r>
      <w:r w:rsidRPr="00061029">
        <w:rPr>
          <w:rFonts w:hint="cs"/>
          <w:rtl/>
        </w:rPr>
        <w:t xml:space="preserve"> </w:t>
      </w:r>
      <w:r w:rsidRPr="00061029">
        <w:rPr>
          <w:rStyle w:val="af7"/>
          <w:rFonts w:eastAsia="Guttman Hodes" w:hint="cs"/>
          <w:rtl/>
        </w:rPr>
        <w:t xml:space="preserve">(עי' אות </w:t>
      </w:r>
      <w:r w:rsidRPr="00061029">
        <w:rPr>
          <w:rStyle w:val="af7"/>
          <w:rFonts w:eastAsia="Guttman Hodes"/>
          <w:rtl/>
        </w:rPr>
        <w:fldChar w:fldCharType="begin"/>
      </w:r>
      <w:r w:rsidRPr="00061029">
        <w:rPr>
          <w:rStyle w:val="af7"/>
          <w:rFonts w:eastAsia="Guttman Hodes"/>
          <w:rtl/>
        </w:rPr>
        <w:instrText xml:space="preserve"> </w:instrText>
      </w:r>
      <w:r w:rsidRPr="00061029">
        <w:rPr>
          <w:rStyle w:val="af7"/>
          <w:rFonts w:eastAsia="Guttman Hodes" w:hint="cs"/>
        </w:rPr>
        <w:instrText>REF</w:instrText>
      </w:r>
      <w:r w:rsidRPr="00061029">
        <w:rPr>
          <w:rStyle w:val="af7"/>
          <w:rFonts w:eastAsia="Guttman Hodes" w:hint="cs"/>
          <w:rtl/>
        </w:rPr>
        <w:instrText xml:space="preserve"> _</w:instrText>
      </w:r>
      <w:r w:rsidRPr="00061029">
        <w:rPr>
          <w:rStyle w:val="af7"/>
          <w:rFonts w:eastAsia="Guttman Hodes" w:hint="cs"/>
        </w:rPr>
        <w:instrText>Ref536786982 \r \h</w:instrText>
      </w:r>
      <w:r w:rsidRPr="00061029">
        <w:rPr>
          <w:rStyle w:val="af7"/>
          <w:rFonts w:eastAsia="Guttman Hodes"/>
          <w:rtl/>
        </w:rPr>
        <w:instrText xml:space="preserve">  \* </w:instrText>
      </w:r>
      <w:r w:rsidRPr="00061029">
        <w:rPr>
          <w:rStyle w:val="af7"/>
          <w:rFonts w:eastAsia="Guttman Hodes"/>
        </w:rPr>
        <w:instrText>MERGEFORMAT</w:instrText>
      </w:r>
      <w:r w:rsidRPr="00061029">
        <w:rPr>
          <w:rStyle w:val="af7"/>
          <w:rFonts w:eastAsia="Guttman Hodes"/>
          <w:rtl/>
        </w:rPr>
        <w:instrText xml:space="preserve"> </w:instrText>
      </w:r>
      <w:r w:rsidRPr="00061029">
        <w:rPr>
          <w:rStyle w:val="af7"/>
          <w:rFonts w:eastAsia="Guttman Hodes"/>
          <w:rtl/>
        </w:rPr>
      </w:r>
      <w:r w:rsidRPr="00061029">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061029">
        <w:rPr>
          <w:rStyle w:val="af7"/>
          <w:rFonts w:eastAsia="Guttman Hodes"/>
          <w:rtl/>
        </w:rPr>
        <w:fldChar w:fldCharType="end"/>
      </w:r>
      <w:r w:rsidRPr="00061029">
        <w:rPr>
          <w:rFonts w:hint="cs"/>
          <w:rtl/>
        </w:rPr>
        <w:t xml:space="preserve"> תירצו קושיה זו, ובמ"ש </w:t>
      </w:r>
      <w:r w:rsidRPr="00061029">
        <w:rPr>
          <w:rStyle w:val="af9"/>
          <w:rFonts w:hint="cs"/>
          <w:rtl/>
        </w:rPr>
        <w:t>הגרי"ז</w:t>
      </w:r>
      <w:r w:rsidRPr="00061029">
        <w:rPr>
          <w:rFonts w:hint="cs"/>
          <w:rtl/>
        </w:rPr>
        <w:t xml:space="preserve"> </w:t>
      </w:r>
      <w:r w:rsidRPr="00061029">
        <w:rPr>
          <w:rStyle w:val="af7"/>
          <w:rFonts w:eastAsia="Guttman Hodes" w:hint="cs"/>
          <w:rtl/>
        </w:rPr>
        <w:t xml:space="preserve">(עי' אות </w:t>
      </w:r>
      <w:r w:rsidRPr="00061029">
        <w:rPr>
          <w:rStyle w:val="af7"/>
          <w:rFonts w:eastAsia="Guttman Hodes"/>
          <w:rtl/>
        </w:rPr>
        <w:fldChar w:fldCharType="begin"/>
      </w:r>
      <w:r w:rsidRPr="00061029">
        <w:rPr>
          <w:rStyle w:val="af7"/>
          <w:rFonts w:eastAsia="Guttman Hodes"/>
          <w:rtl/>
        </w:rPr>
        <w:instrText xml:space="preserve"> </w:instrText>
      </w:r>
      <w:r w:rsidRPr="00061029">
        <w:rPr>
          <w:rStyle w:val="af7"/>
          <w:rFonts w:eastAsia="Guttman Hodes" w:hint="cs"/>
        </w:rPr>
        <w:instrText>REF</w:instrText>
      </w:r>
      <w:r w:rsidRPr="00061029">
        <w:rPr>
          <w:rStyle w:val="af7"/>
          <w:rFonts w:eastAsia="Guttman Hodes" w:hint="cs"/>
          <w:rtl/>
        </w:rPr>
        <w:instrText xml:space="preserve"> _</w:instrText>
      </w:r>
      <w:r w:rsidRPr="00061029">
        <w:rPr>
          <w:rStyle w:val="af7"/>
          <w:rFonts w:eastAsia="Guttman Hodes" w:hint="cs"/>
        </w:rPr>
        <w:instrText>Ref1245276 \r \h</w:instrText>
      </w:r>
      <w:r w:rsidRPr="00061029">
        <w:rPr>
          <w:rStyle w:val="af7"/>
          <w:rFonts w:eastAsia="Guttman Hodes"/>
          <w:rtl/>
        </w:rPr>
        <w:instrText xml:space="preserve">  \* </w:instrText>
      </w:r>
      <w:r w:rsidRPr="00061029">
        <w:rPr>
          <w:rStyle w:val="af7"/>
          <w:rFonts w:eastAsia="Guttman Hodes"/>
        </w:rPr>
        <w:instrText>MERGEFORMAT</w:instrText>
      </w:r>
      <w:r w:rsidRPr="00061029">
        <w:rPr>
          <w:rStyle w:val="af7"/>
          <w:rFonts w:eastAsia="Guttman Hodes"/>
          <w:rtl/>
        </w:rPr>
        <w:instrText xml:space="preserve"> </w:instrText>
      </w:r>
      <w:r w:rsidRPr="00061029">
        <w:rPr>
          <w:rStyle w:val="af7"/>
          <w:rFonts w:eastAsia="Guttman Hodes"/>
          <w:rtl/>
        </w:rPr>
      </w:r>
      <w:r w:rsidRPr="00061029">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061029">
        <w:rPr>
          <w:rStyle w:val="af7"/>
          <w:rFonts w:eastAsia="Guttman Hodes"/>
          <w:rtl/>
        </w:rPr>
        <w:fldChar w:fldCharType="end"/>
      </w:r>
      <w:r w:rsidRPr="00061029">
        <w:rPr>
          <w:rFonts w:hint="cs"/>
          <w:rtl/>
        </w:rPr>
        <w:t xml:space="preserve"> </w:t>
      </w:r>
      <w:r w:rsidRPr="00061029">
        <w:rPr>
          <w:rStyle w:val="af9"/>
          <w:rFonts w:hint="cs"/>
          <w:rtl/>
        </w:rPr>
        <w:t>דלהגר"ח</w:t>
      </w:r>
      <w:r w:rsidRPr="00061029">
        <w:rPr>
          <w:rFonts w:hint="cs"/>
          <w:rtl/>
        </w:rPr>
        <w:t xml:space="preserve"> מתורצת קושיה זו.</w:t>
      </w:r>
      <w:bookmarkEnd w:id="20356"/>
      <w:bookmarkEnd w:id="20357"/>
    </w:p>
    <w:p w14:paraId="12C12F1D" w14:textId="77777777" w:rsidR="003D504D" w:rsidRDefault="003D504D" w:rsidP="00BF39B2">
      <w:pPr>
        <w:pStyle w:val="1"/>
        <w:rPr>
          <w:rtl/>
        </w:rPr>
      </w:pPr>
      <w:bookmarkStart w:id="20358" w:name="_Toc1250108"/>
      <w:bookmarkStart w:id="20359" w:name="_Toc1258112"/>
      <w:bookmarkStart w:id="20360" w:name="_Toc19391548"/>
      <w:bookmarkStart w:id="20361" w:name="_Toc19395045"/>
      <w:bookmarkStart w:id="20362" w:name="_Toc955093"/>
      <w:bookmarkStart w:id="20363" w:name="_Toc974536"/>
      <w:bookmarkStart w:id="20364" w:name="_Toc984452"/>
      <w:bookmarkStart w:id="20365" w:name="_Toc1056586"/>
      <w:bookmarkStart w:id="20366" w:name="_Toc1109744"/>
      <w:bookmarkStart w:id="20367" w:name="_Toc1128723"/>
      <w:r>
        <w:rPr>
          <w:rFonts w:hint="cs"/>
          <w:rtl/>
        </w:rPr>
        <w:t>קושית התוס' בסנהדרין מדין זה וזה גורם בסוגיין</w:t>
      </w:r>
      <w:bookmarkEnd w:id="20358"/>
      <w:bookmarkEnd w:id="20359"/>
      <w:bookmarkEnd w:id="20360"/>
      <w:bookmarkEnd w:id="20361"/>
    </w:p>
    <w:p w14:paraId="1839254F" w14:textId="77777777" w:rsidR="003D504D" w:rsidRPr="00B06D6B" w:rsidRDefault="003D504D" w:rsidP="003D504D">
      <w:pPr>
        <w:pStyle w:val="a3"/>
        <w:rPr>
          <w:rtl/>
        </w:rPr>
      </w:pPr>
      <w:bookmarkStart w:id="20368" w:name="_Toc1250109"/>
      <w:bookmarkStart w:id="20369" w:name="_Toc1258113"/>
      <w:bookmarkStart w:id="20370" w:name="_Toc19391549"/>
      <w:bookmarkStart w:id="20371" w:name="_Toc19395046"/>
      <w:r>
        <w:rPr>
          <w:rFonts w:hint="cs"/>
          <w:rtl/>
        </w:rPr>
        <w:t>קושית התוס' בסנהדרין דלמ"ד דאין חוששין לזרע האב אינו גורם ולא שייך דין זה וזה גורם</w:t>
      </w:r>
      <w:bookmarkEnd w:id="20362"/>
      <w:bookmarkEnd w:id="20363"/>
      <w:bookmarkEnd w:id="20364"/>
      <w:bookmarkEnd w:id="20365"/>
      <w:bookmarkEnd w:id="20366"/>
      <w:bookmarkEnd w:id="20367"/>
      <w:bookmarkEnd w:id="20368"/>
      <w:bookmarkEnd w:id="20369"/>
      <w:bookmarkEnd w:id="20370"/>
      <w:bookmarkEnd w:id="20371"/>
    </w:p>
    <w:p w14:paraId="6358FCE5" w14:textId="77777777" w:rsidR="003D504D" w:rsidRPr="00B06D6B" w:rsidRDefault="003D504D" w:rsidP="00223668">
      <w:pPr>
        <w:pStyle w:val="a0"/>
        <w:rPr>
          <w:rtl/>
        </w:rPr>
      </w:pPr>
      <w:bookmarkStart w:id="20372" w:name="_Ref635874"/>
      <w:r w:rsidRPr="00B06D6B">
        <w:rPr>
          <w:rFonts w:hint="cs"/>
          <w:rtl/>
        </w:rPr>
        <w:t xml:space="preserve">איתא בבברייתא בסנהדרין </w:t>
      </w:r>
      <w:r w:rsidRPr="005679AC">
        <w:rPr>
          <w:rStyle w:val="af7"/>
          <w:rFonts w:eastAsia="Guttman Hodes" w:hint="cs"/>
          <w:rtl/>
        </w:rPr>
        <w:t>(פ.)</w:t>
      </w:r>
      <w:r w:rsidRPr="00B06D6B">
        <w:rPr>
          <w:rFonts w:hint="cs"/>
          <w:rtl/>
        </w:rPr>
        <w:t xml:space="preserve"> דפרה שהמיתה וולדה אסור, והעמידה הגמ' דאחר שנגמר דינה למיתה עיברה וילדה, וולדה אסור, ומקשה הגמ' למ"ד דזה וזה גורם מותר אמאי הולד אסור, וכתבו </w:t>
      </w:r>
      <w:r w:rsidRPr="00B06D6B">
        <w:rPr>
          <w:rStyle w:val="af9"/>
          <w:rFonts w:hint="cs"/>
          <w:rtl/>
        </w:rPr>
        <w:t>התוס' בסנהדרין</w:t>
      </w:r>
      <w:r w:rsidRPr="00B06D6B">
        <w:rPr>
          <w:rFonts w:hint="cs"/>
          <w:rtl/>
        </w:rPr>
        <w:t xml:space="preserve"> </w:t>
      </w:r>
      <w:r w:rsidRPr="005679AC">
        <w:rPr>
          <w:rStyle w:val="af7"/>
          <w:rFonts w:eastAsia="Guttman Hodes" w:hint="cs"/>
          <w:rtl/>
        </w:rPr>
        <w:t>(פ: ד"ה אלא)</w:t>
      </w:r>
      <w:r w:rsidRPr="00B06D6B">
        <w:rPr>
          <w:rFonts w:hint="cs"/>
          <w:rtl/>
        </w:rPr>
        <w:t xml:space="preserve"> דהא דחשיב כזה וזה גורם הוא למ"ד דחוששין לזרע האב, אבל למ"ד דאין חוששין לזרע האב, יש רק גורם אחד, אך הקשו </w:t>
      </w:r>
      <w:r w:rsidRPr="00B06D6B">
        <w:rPr>
          <w:rStyle w:val="af9"/>
          <w:rFonts w:hint="cs"/>
          <w:rtl/>
        </w:rPr>
        <w:t>התוס' בסנהדרין</w:t>
      </w:r>
      <w:r w:rsidRPr="00B06D6B">
        <w:rPr>
          <w:rFonts w:hint="cs"/>
          <w:rtl/>
        </w:rPr>
        <w:t xml:space="preserve"> דמה מקשה הגמ' למ"ד דזה וזה גורם מותר, הרי הברייתא דפרה היא לדעת רבי יהודה, ואיתא בגמ' לקמן </w:t>
      </w:r>
      <w:r w:rsidRPr="005679AC">
        <w:rPr>
          <w:rStyle w:val="af7"/>
          <w:rFonts w:eastAsia="Guttman Hodes" w:hint="cs"/>
          <w:rtl/>
        </w:rPr>
        <w:t>(עט.)</w:t>
      </w:r>
      <w:r w:rsidRPr="00B06D6B">
        <w:rPr>
          <w:rFonts w:hint="cs"/>
          <w:rtl/>
        </w:rPr>
        <w:t xml:space="preserve"> דלר"י אין חוששין לזרע האב, וא"כ לדבריו אין כל נדון אי הוי זה וזה גורם.</w:t>
      </w:r>
      <w:bookmarkEnd w:id="20372"/>
    </w:p>
    <w:p w14:paraId="67EADC0B" w14:textId="77777777" w:rsidR="003D504D" w:rsidRPr="00B06D6B" w:rsidRDefault="003D504D" w:rsidP="003D504D">
      <w:pPr>
        <w:pStyle w:val="a3"/>
        <w:rPr>
          <w:rtl/>
        </w:rPr>
      </w:pPr>
      <w:bookmarkStart w:id="20373" w:name="_Toc955094"/>
      <w:bookmarkStart w:id="20374" w:name="_Toc974537"/>
      <w:bookmarkStart w:id="20375" w:name="_Toc984453"/>
      <w:bookmarkStart w:id="20376" w:name="_Toc1056587"/>
      <w:bookmarkStart w:id="20377" w:name="_Toc1109745"/>
      <w:bookmarkStart w:id="20378" w:name="_Toc1128724"/>
      <w:bookmarkStart w:id="20379" w:name="_Toc1250110"/>
      <w:bookmarkStart w:id="20380" w:name="_Toc1258114"/>
      <w:bookmarkStart w:id="20381" w:name="_Toc19391550"/>
      <w:bookmarkStart w:id="20382" w:name="_Toc19395047"/>
      <w:r>
        <w:rPr>
          <w:rFonts w:hint="cs"/>
          <w:rtl/>
        </w:rPr>
        <w:t>דברי התוס' בסנהדרין דכשהאב הוא גורם של איסור לכו"ע חוששין לזרע האב והוי זה וזה גורם</w:t>
      </w:r>
      <w:bookmarkEnd w:id="20373"/>
      <w:bookmarkEnd w:id="20374"/>
      <w:bookmarkEnd w:id="20375"/>
      <w:bookmarkEnd w:id="20376"/>
      <w:bookmarkEnd w:id="20377"/>
      <w:bookmarkEnd w:id="20378"/>
      <w:bookmarkEnd w:id="20379"/>
      <w:bookmarkEnd w:id="20380"/>
      <w:bookmarkEnd w:id="20381"/>
      <w:bookmarkEnd w:id="20382"/>
    </w:p>
    <w:p w14:paraId="38087FB1" w14:textId="77777777" w:rsidR="003D504D" w:rsidRPr="00B06D6B" w:rsidRDefault="003D504D" w:rsidP="00223668">
      <w:pPr>
        <w:pStyle w:val="a0"/>
        <w:rPr>
          <w:rtl/>
        </w:rPr>
      </w:pPr>
      <w:r w:rsidRPr="00B326E4">
        <w:rPr>
          <w:rFonts w:hint="cs"/>
          <w:rtl/>
        </w:rPr>
        <w:t xml:space="preserve">ותירצו </w:t>
      </w:r>
      <w:r w:rsidRPr="00B326E4">
        <w:rPr>
          <w:rStyle w:val="af9"/>
          <w:rFonts w:hint="cs"/>
          <w:rtl/>
        </w:rPr>
        <w:t>התוס' בסנהדרין בביאור הא'</w:t>
      </w:r>
      <w:r w:rsidRPr="00B326E4">
        <w:rPr>
          <w:rFonts w:hint="cs"/>
          <w:rtl/>
        </w:rPr>
        <w:t xml:space="preserve"> דהגמ' לקמן מסתפקת אי פשיטא ליה לר"י דאין חוששין לזרע האב, או שהוא מסתפק בזה</w:t>
      </w:r>
      <w:bookmarkStart w:id="20383" w:name="_Ref635949"/>
      <w:r>
        <w:rPr>
          <w:rFonts w:hint="cs"/>
          <w:rtl/>
        </w:rPr>
        <w:t xml:space="preserve">, </w:t>
      </w:r>
      <w:r w:rsidRPr="00B326E4">
        <w:rPr>
          <w:rFonts w:hint="cs"/>
          <w:rtl/>
        </w:rPr>
        <w:t xml:space="preserve">ובביאור </w:t>
      </w:r>
      <w:r w:rsidRPr="00B326E4">
        <w:rPr>
          <w:rStyle w:val="af9"/>
          <w:rFonts w:hint="cs"/>
          <w:rtl/>
        </w:rPr>
        <w:t>הב' התוס' בסנהדרין</w:t>
      </w:r>
      <w:r w:rsidRPr="00B326E4">
        <w:rPr>
          <w:rFonts w:hint="cs"/>
          <w:rtl/>
        </w:rPr>
        <w:t xml:space="preserve"> כתבו דכל המחלוקת אי חוששין לזרע האב, זהו דוקא במקום שהאב והאם</w:t>
      </w:r>
      <w:r w:rsidRPr="00B06D6B">
        <w:rPr>
          <w:rFonts w:hint="cs"/>
          <w:rtl/>
        </w:rPr>
        <w:t xml:space="preserve"> הם מותרים, אבל במקום שאחד מהם אסור לכו"ע חוששין לזרע האב, וא"כ לכו"ע שייך שם הנדון אי דזה וזה גורם.</w:t>
      </w:r>
      <w:bookmarkEnd w:id="20383"/>
      <w:r w:rsidRPr="00D07AA3">
        <w:rPr>
          <w:rStyle w:val="afb"/>
          <w:rFonts w:hint="cs"/>
          <w:rtl/>
        </w:rPr>
        <w:t xml:space="preserve"> [</w:t>
      </w:r>
      <w:r>
        <w:rPr>
          <w:rStyle w:val="afb"/>
          <w:rFonts w:hint="cs"/>
          <w:rtl/>
        </w:rPr>
        <w:t xml:space="preserve">ולכאו' משמע דלביאור </w:t>
      </w:r>
      <w:r w:rsidRPr="00D07AA3">
        <w:rPr>
          <w:rStyle w:val="affa"/>
          <w:rFonts w:hint="cs"/>
          <w:rtl/>
        </w:rPr>
        <w:t>הא' בתוס' בסנהדרין</w:t>
      </w:r>
      <w:r>
        <w:rPr>
          <w:rStyle w:val="afb"/>
          <w:rFonts w:hint="cs"/>
          <w:rtl/>
        </w:rPr>
        <w:t xml:space="preserve"> אף כשאין אחד איסור הוי זה וזה גורם</w:t>
      </w:r>
      <w:r w:rsidRPr="00D07AA3">
        <w:rPr>
          <w:rStyle w:val="afb"/>
          <w:rFonts w:hint="cs"/>
          <w:rtl/>
        </w:rPr>
        <w:t>]</w:t>
      </w:r>
      <w:r>
        <w:rPr>
          <w:rFonts w:hint="cs"/>
          <w:rtl/>
        </w:rPr>
        <w:t xml:space="preserve">, ועי' בדברי </w:t>
      </w:r>
      <w:r>
        <w:rPr>
          <w:rStyle w:val="af9"/>
          <w:rFonts w:hint="cs"/>
          <w:rtl/>
        </w:rPr>
        <w:t xml:space="preserve">הקוב"ש </w:t>
      </w:r>
      <w:r w:rsidRPr="00D948FB">
        <w:rPr>
          <w:rStyle w:val="af7"/>
          <w:rFonts w:eastAsia="Guttman Hodes" w:hint="cs"/>
          <w:rtl/>
        </w:rPr>
        <w:t xml:space="preserve">(עי' אות </w:t>
      </w:r>
      <w:r w:rsidRPr="00D948FB">
        <w:rPr>
          <w:rStyle w:val="af7"/>
          <w:rFonts w:eastAsia="Guttman Hodes"/>
          <w:rtl/>
        </w:rPr>
        <w:fldChar w:fldCharType="begin"/>
      </w:r>
      <w:r w:rsidRPr="00D948FB">
        <w:rPr>
          <w:rStyle w:val="af7"/>
          <w:rFonts w:eastAsia="Guttman Hodes"/>
          <w:rtl/>
        </w:rPr>
        <w:instrText xml:space="preserve"> </w:instrText>
      </w:r>
      <w:r w:rsidRPr="00D948FB">
        <w:rPr>
          <w:rStyle w:val="af7"/>
          <w:rFonts w:eastAsia="Guttman Hodes" w:hint="cs"/>
        </w:rPr>
        <w:instrText>REF</w:instrText>
      </w:r>
      <w:r w:rsidRPr="00D948FB">
        <w:rPr>
          <w:rStyle w:val="af7"/>
          <w:rFonts w:eastAsia="Guttman Hodes" w:hint="cs"/>
          <w:rtl/>
        </w:rPr>
        <w:instrText xml:space="preserve"> _</w:instrText>
      </w:r>
      <w:r w:rsidRPr="00D948FB">
        <w:rPr>
          <w:rStyle w:val="af7"/>
          <w:rFonts w:eastAsia="Guttman Hodes" w:hint="cs"/>
        </w:rPr>
        <w:instrText>Ref1252898 \r \h</w:instrText>
      </w:r>
      <w:r w:rsidRPr="00D948FB">
        <w:rPr>
          <w:rStyle w:val="af7"/>
          <w:rFonts w:eastAsia="Guttman Hodes"/>
          <w:rtl/>
        </w:rPr>
        <w:instrText xml:space="preserve"> </w:instrText>
      </w:r>
      <w:r w:rsidRPr="00D948FB">
        <w:rPr>
          <w:rStyle w:val="af7"/>
          <w:rFonts w:eastAsia="Guttman Hodes"/>
          <w:rtl/>
        </w:rPr>
      </w:r>
      <w:r w:rsidRPr="00D948FB">
        <w:rPr>
          <w:rStyle w:val="af7"/>
          <w:rFonts w:eastAsia="Guttman Hodes"/>
          <w:rtl/>
        </w:rPr>
        <w:fldChar w:fldCharType="separate"/>
      </w:r>
      <w:r w:rsidR="00345400">
        <w:rPr>
          <w:rStyle w:val="af7"/>
          <w:rFonts w:eastAsia="Guttman Hodes"/>
          <w:cs/>
        </w:rPr>
        <w:t>‎</w:t>
      </w:r>
      <w:r w:rsidR="00345400">
        <w:rPr>
          <w:rStyle w:val="af7"/>
          <w:rFonts w:eastAsia="Guttman Hodes"/>
          <w:rtl/>
        </w:rPr>
        <w:t>מט)</w:t>
      </w:r>
      <w:r w:rsidRPr="00D948FB">
        <w:rPr>
          <w:rStyle w:val="af7"/>
          <w:rFonts w:eastAsia="Guttman Hodes"/>
          <w:rtl/>
        </w:rPr>
        <w:fldChar w:fldCharType="end"/>
      </w:r>
      <w:r>
        <w:rPr>
          <w:rFonts w:hint="cs"/>
          <w:rtl/>
        </w:rPr>
        <w:t>.</w:t>
      </w:r>
    </w:p>
    <w:p w14:paraId="39178025" w14:textId="77777777" w:rsidR="003D504D" w:rsidRPr="00B06D6B" w:rsidRDefault="003D504D" w:rsidP="003D504D">
      <w:pPr>
        <w:pStyle w:val="a3"/>
        <w:rPr>
          <w:rtl/>
        </w:rPr>
      </w:pPr>
      <w:bookmarkStart w:id="20384" w:name="_Toc955095"/>
      <w:bookmarkStart w:id="20385" w:name="_Toc974538"/>
      <w:bookmarkStart w:id="20386" w:name="_Toc984454"/>
      <w:bookmarkStart w:id="20387" w:name="_Toc1056588"/>
      <w:bookmarkStart w:id="20388" w:name="_Toc1109746"/>
      <w:bookmarkStart w:id="20389" w:name="_Toc1128725"/>
      <w:bookmarkStart w:id="20390" w:name="_Toc1250111"/>
      <w:bookmarkStart w:id="20391" w:name="_Toc1258115"/>
      <w:bookmarkStart w:id="20392" w:name="_Toc19391551"/>
      <w:bookmarkStart w:id="20393" w:name="_Toc19395048"/>
      <w:r>
        <w:rPr>
          <w:rFonts w:hint="cs"/>
          <w:rtl/>
        </w:rPr>
        <w:t>קושית התוס' בסנהדרין דבספק בסוגיין אי חוששין לזרע של בן פקועה מבואר דלא כדבריהם</w:t>
      </w:r>
      <w:bookmarkEnd w:id="20384"/>
      <w:bookmarkEnd w:id="20385"/>
      <w:bookmarkEnd w:id="20386"/>
      <w:bookmarkEnd w:id="20387"/>
      <w:bookmarkEnd w:id="20388"/>
      <w:bookmarkEnd w:id="20389"/>
      <w:bookmarkEnd w:id="20390"/>
      <w:bookmarkEnd w:id="20391"/>
      <w:bookmarkEnd w:id="20392"/>
      <w:bookmarkEnd w:id="20393"/>
    </w:p>
    <w:p w14:paraId="559BD2EC" w14:textId="77777777" w:rsidR="003D504D" w:rsidRPr="00B06D6B" w:rsidRDefault="003D504D" w:rsidP="00223668">
      <w:pPr>
        <w:pStyle w:val="a0"/>
        <w:rPr>
          <w:rtl/>
        </w:rPr>
      </w:pPr>
      <w:r w:rsidRPr="00B06D6B">
        <w:rPr>
          <w:rFonts w:hint="cs"/>
          <w:rtl/>
        </w:rPr>
        <w:t xml:space="preserve">אך כתבו </w:t>
      </w:r>
      <w:r w:rsidRPr="00B06D6B">
        <w:rPr>
          <w:rStyle w:val="af9"/>
          <w:rFonts w:hint="cs"/>
          <w:rtl/>
        </w:rPr>
        <w:t>התוס' בסנהדרין</w:t>
      </w:r>
      <w:r w:rsidRPr="00B06D6B">
        <w:rPr>
          <w:rFonts w:hint="cs"/>
          <w:rtl/>
        </w:rPr>
        <w:t xml:space="preserve"> דבסוגיין דהגמ' מסתפקת האם צריך לחוש לזרעו של בן פקועה, מבואר דלא </w:t>
      </w:r>
      <w:r w:rsidRPr="00B06D6B">
        <w:rPr>
          <w:rStyle w:val="af9"/>
          <w:rFonts w:hint="cs"/>
          <w:rtl/>
        </w:rPr>
        <w:t>כביאור הב' בתוס' בסנהדרין</w:t>
      </w:r>
      <w:r w:rsidRPr="00B06D6B">
        <w:rPr>
          <w:rFonts w:hint="cs"/>
          <w:rtl/>
        </w:rPr>
        <w:t>.</w:t>
      </w:r>
    </w:p>
    <w:p w14:paraId="55F78C83" w14:textId="77777777" w:rsidR="003D504D" w:rsidRPr="00B06D6B" w:rsidRDefault="003D504D" w:rsidP="003D504D">
      <w:pPr>
        <w:pStyle w:val="a3"/>
        <w:rPr>
          <w:rtl/>
        </w:rPr>
      </w:pPr>
      <w:bookmarkStart w:id="20394" w:name="_Toc955096"/>
      <w:bookmarkStart w:id="20395" w:name="_Toc974539"/>
      <w:bookmarkStart w:id="20396" w:name="_Toc984455"/>
      <w:bookmarkStart w:id="20397" w:name="_Toc1056589"/>
      <w:bookmarkStart w:id="20398" w:name="_Toc1109747"/>
      <w:bookmarkStart w:id="20399" w:name="_Toc1128726"/>
      <w:bookmarkStart w:id="20400" w:name="_Toc1250112"/>
      <w:bookmarkStart w:id="20401" w:name="_Toc1258116"/>
      <w:bookmarkStart w:id="20402" w:name="_Toc19391552"/>
      <w:bookmarkStart w:id="20403" w:name="_Toc19395049"/>
      <w:r>
        <w:rPr>
          <w:rFonts w:hint="cs"/>
          <w:rtl/>
        </w:rPr>
        <w:t>ביאור המלא הרועים דבבן פקועה</w:t>
      </w:r>
      <w:r w:rsidRPr="002429E9">
        <w:rPr>
          <w:rFonts w:hint="cs"/>
          <w:rtl/>
        </w:rPr>
        <w:t xml:space="preserve"> </w:t>
      </w:r>
      <w:r>
        <w:rPr>
          <w:rFonts w:hint="cs"/>
          <w:rtl/>
        </w:rPr>
        <w:t>שבא על בהמה מעלמא אין איסור ומשמע דהוי זה וזה גורם</w:t>
      </w:r>
      <w:bookmarkEnd w:id="20394"/>
      <w:bookmarkEnd w:id="20395"/>
      <w:bookmarkEnd w:id="20396"/>
      <w:bookmarkEnd w:id="20397"/>
      <w:bookmarkEnd w:id="20398"/>
      <w:bookmarkEnd w:id="20399"/>
      <w:bookmarkEnd w:id="20400"/>
      <w:bookmarkEnd w:id="20401"/>
      <w:bookmarkEnd w:id="20402"/>
      <w:bookmarkEnd w:id="20403"/>
    </w:p>
    <w:p w14:paraId="14D66332" w14:textId="77777777" w:rsidR="003D504D" w:rsidRDefault="003D504D" w:rsidP="00223668">
      <w:pPr>
        <w:pStyle w:val="a0"/>
        <w:rPr>
          <w:rtl/>
        </w:rPr>
      </w:pPr>
      <w:r w:rsidRPr="00B06D6B">
        <w:rPr>
          <w:rFonts w:hint="cs"/>
          <w:rtl/>
        </w:rPr>
        <w:t xml:space="preserve">וביאר </w:t>
      </w:r>
      <w:r w:rsidRPr="00B06D6B">
        <w:rPr>
          <w:rStyle w:val="af9"/>
          <w:rFonts w:hint="cs"/>
          <w:rtl/>
        </w:rPr>
        <w:t xml:space="preserve">המלא הרועים </w:t>
      </w:r>
      <w:r w:rsidRPr="005679AC">
        <w:rPr>
          <w:rStyle w:val="af7"/>
          <w:rFonts w:eastAsia="Guttman Hodes" w:hint="cs"/>
          <w:rtl/>
        </w:rPr>
        <w:t xml:space="preserve">(סנהדרין פ: על תוד"ה אלא) </w:t>
      </w:r>
      <w:r w:rsidRPr="00B06D6B">
        <w:rPr>
          <w:rFonts w:hint="cs"/>
          <w:rtl/>
        </w:rPr>
        <w:t xml:space="preserve">דכוונת </w:t>
      </w:r>
      <w:r w:rsidRPr="00B06D6B">
        <w:rPr>
          <w:rStyle w:val="af9"/>
          <w:rFonts w:hint="cs"/>
          <w:rtl/>
        </w:rPr>
        <w:t xml:space="preserve">התוס' בסנהדרין </w:t>
      </w:r>
      <w:r w:rsidRPr="00B06D6B">
        <w:rPr>
          <w:rFonts w:hint="cs"/>
          <w:rtl/>
        </w:rPr>
        <w:t xml:space="preserve">להקשות דבסוגיין מוכח דאין חילוק בדין זה וזה גורם בין אם שניהם היתר או דאחד מהם אסור, מדמקשה הגמ' על ספיקא רב ירמיה מהו לחוש לזרעו של בן פקועה שיש לו </w:t>
      </w:r>
      <w:r>
        <w:rPr>
          <w:rFonts w:hint="cs"/>
          <w:rtl/>
        </w:rPr>
        <w:t>אבר היוצא</w:t>
      </w:r>
      <w:r w:rsidRPr="00B06D6B">
        <w:rPr>
          <w:rFonts w:hint="cs"/>
          <w:rtl/>
        </w:rPr>
        <w:t xml:space="preserve">, דאפשר להסתפק בכל בן פקועה שבא על בהמה מעלמא, דלמ"ד דחוששין לזרע אין לולד תקנה, וכתב </w:t>
      </w:r>
      <w:r w:rsidRPr="00B06D6B">
        <w:rPr>
          <w:rStyle w:val="af9"/>
          <w:rFonts w:hint="cs"/>
          <w:rtl/>
        </w:rPr>
        <w:t xml:space="preserve">המלא הרועים </w:t>
      </w:r>
      <w:r w:rsidRPr="00B06D6B">
        <w:rPr>
          <w:rFonts w:hint="cs"/>
          <w:rtl/>
        </w:rPr>
        <w:t xml:space="preserve">דהוקשה </w:t>
      </w:r>
      <w:r w:rsidRPr="00B06D6B">
        <w:rPr>
          <w:rStyle w:val="af9"/>
          <w:rFonts w:hint="cs"/>
          <w:rtl/>
        </w:rPr>
        <w:t xml:space="preserve">להתוס' בסנהדרין </w:t>
      </w:r>
      <w:r w:rsidRPr="00B06D6B">
        <w:rPr>
          <w:rFonts w:hint="cs"/>
          <w:rtl/>
        </w:rPr>
        <w:t>דאי יש חילוק בזה וזה גורם בין אם שניהם של</w:t>
      </w:r>
      <w:r w:rsidRPr="00AF376F">
        <w:rPr>
          <w:rFonts w:hint="cs"/>
          <w:rtl/>
        </w:rPr>
        <w:t xml:space="preserve"> </w:t>
      </w:r>
      <w:r w:rsidRPr="00B06D6B">
        <w:rPr>
          <w:rFonts w:hint="cs"/>
          <w:rtl/>
        </w:rPr>
        <w:t>היתר</w:t>
      </w:r>
      <w:r>
        <w:rPr>
          <w:rFonts w:hint="cs"/>
          <w:rtl/>
        </w:rPr>
        <w:t>,</w:t>
      </w:r>
      <w:r w:rsidRPr="00B06D6B">
        <w:rPr>
          <w:rFonts w:hint="cs"/>
          <w:rtl/>
        </w:rPr>
        <w:t xml:space="preserve"> או דאח</w:t>
      </w:r>
      <w:r>
        <w:rPr>
          <w:rFonts w:hint="cs"/>
          <w:rtl/>
        </w:rPr>
        <w:t>ד</w:t>
      </w:r>
      <w:r w:rsidRPr="00B06D6B">
        <w:rPr>
          <w:rFonts w:hint="cs"/>
          <w:rtl/>
        </w:rPr>
        <w:t xml:space="preserve"> הוא איסור, א"כ מבואר אמאי הסתפק רב ירמיה בבן פקועה שיש לו </w:t>
      </w:r>
      <w:r>
        <w:rPr>
          <w:rFonts w:hint="cs"/>
          <w:rtl/>
        </w:rPr>
        <w:t>אבר היוצא</w:t>
      </w:r>
      <w:r w:rsidRPr="00B06D6B">
        <w:rPr>
          <w:rFonts w:hint="cs"/>
          <w:rtl/>
        </w:rPr>
        <w:t xml:space="preserve">, דכיון שאחד מהגורמים יש בו איסור, א"כ אף למ"ד דאין חוששין לזרע האב, חוששין לגורם האסור, אבל בבן פקועה שאין לו </w:t>
      </w:r>
      <w:r>
        <w:rPr>
          <w:rFonts w:hint="cs"/>
          <w:rtl/>
        </w:rPr>
        <w:t>אבר היוצא</w:t>
      </w:r>
      <w:r w:rsidRPr="00B06D6B">
        <w:rPr>
          <w:rFonts w:hint="cs"/>
          <w:rtl/>
        </w:rPr>
        <w:t xml:space="preserve"> שבא על בהמה מעלמא ששניהם הם היתר, אין לו תקנה רק למ"ד דחוששין לזרע האב, ולא למ"ד דאין חוששין לזרע האב, אמנם </w:t>
      </w:r>
      <w:r>
        <w:rPr>
          <w:rFonts w:hint="cs"/>
          <w:rtl/>
        </w:rPr>
        <w:t>י</w:t>
      </w:r>
      <w:r w:rsidRPr="00B06D6B">
        <w:rPr>
          <w:rFonts w:hint="cs"/>
          <w:rtl/>
        </w:rPr>
        <w:t>ע</w:t>
      </w:r>
      <w:r>
        <w:rPr>
          <w:rFonts w:hint="cs"/>
          <w:rtl/>
        </w:rPr>
        <w:t>ו</w:t>
      </w:r>
      <w:r w:rsidRPr="00B06D6B">
        <w:rPr>
          <w:rFonts w:hint="cs"/>
          <w:rtl/>
        </w:rPr>
        <w:t xml:space="preserve">י' בדברי </w:t>
      </w:r>
      <w:r w:rsidRPr="00B06D6B">
        <w:rPr>
          <w:rStyle w:val="af9"/>
          <w:rFonts w:hint="cs"/>
          <w:rtl/>
        </w:rPr>
        <w:t>הערול"נ</w:t>
      </w:r>
      <w:r w:rsidRPr="00B06D6B">
        <w:rPr>
          <w:rFonts w:hint="cs"/>
          <w:rtl/>
        </w:rPr>
        <w:t xml:space="preserve"> </w:t>
      </w:r>
      <w:r w:rsidRPr="005679AC">
        <w:rPr>
          <w:rStyle w:val="af7"/>
          <w:rFonts w:eastAsia="Guttman Hodes" w:hint="cs"/>
          <w:rtl/>
        </w:rPr>
        <w:t xml:space="preserve">(סנהדרין פ: ד"ה בא"ד כו"ע) </w:t>
      </w:r>
      <w:r w:rsidRPr="00B06D6B">
        <w:rPr>
          <w:rFonts w:hint="cs"/>
          <w:rtl/>
        </w:rPr>
        <w:t xml:space="preserve">שביאר את קושית </w:t>
      </w:r>
      <w:r w:rsidRPr="00B06D6B">
        <w:rPr>
          <w:rStyle w:val="af9"/>
          <w:rFonts w:hint="cs"/>
          <w:rtl/>
        </w:rPr>
        <w:t>התוס' בסנהדרין</w:t>
      </w:r>
      <w:r w:rsidRPr="00B06D6B">
        <w:rPr>
          <w:rFonts w:hint="cs"/>
          <w:rtl/>
        </w:rPr>
        <w:t xml:space="preserve"> באופ"א.</w:t>
      </w:r>
    </w:p>
    <w:p w14:paraId="7FA83453" w14:textId="77777777" w:rsidR="003D504D" w:rsidRDefault="003D504D" w:rsidP="00BF39B2">
      <w:pPr>
        <w:pStyle w:val="1"/>
        <w:rPr>
          <w:rtl/>
        </w:rPr>
      </w:pPr>
      <w:bookmarkStart w:id="20404" w:name="_Toc955097"/>
      <w:bookmarkStart w:id="20405" w:name="_Toc974540"/>
      <w:bookmarkStart w:id="20406" w:name="_Toc984456"/>
      <w:bookmarkStart w:id="20407" w:name="_Toc1056590"/>
      <w:bookmarkStart w:id="20408" w:name="_Toc1109748"/>
      <w:bookmarkStart w:id="20409" w:name="_Toc1128727"/>
      <w:bookmarkStart w:id="20410" w:name="_Toc1250113"/>
      <w:bookmarkStart w:id="20411" w:name="_Toc1258117"/>
      <w:bookmarkStart w:id="20412" w:name="_Toc19391553"/>
      <w:bookmarkStart w:id="20413" w:name="_Toc19395050"/>
      <w:r>
        <w:rPr>
          <w:rFonts w:hint="cs"/>
          <w:rtl/>
        </w:rPr>
        <w:t>ביאור החזו"א בדעת התוס' בזה וזה גורם ובחוששין לזרע האב</w:t>
      </w:r>
      <w:bookmarkEnd w:id="20404"/>
      <w:bookmarkEnd w:id="20405"/>
      <w:bookmarkEnd w:id="20406"/>
      <w:bookmarkEnd w:id="20407"/>
      <w:bookmarkEnd w:id="20408"/>
      <w:bookmarkEnd w:id="20409"/>
      <w:bookmarkEnd w:id="20410"/>
      <w:bookmarkEnd w:id="20411"/>
      <w:bookmarkEnd w:id="20412"/>
      <w:bookmarkEnd w:id="20413"/>
    </w:p>
    <w:p w14:paraId="72EC5913" w14:textId="77777777" w:rsidR="003D504D" w:rsidRPr="00B06D6B" w:rsidRDefault="003D504D" w:rsidP="003D504D">
      <w:pPr>
        <w:pStyle w:val="a3"/>
        <w:rPr>
          <w:rtl/>
        </w:rPr>
      </w:pPr>
      <w:bookmarkStart w:id="20414" w:name="_Toc955098"/>
      <w:bookmarkStart w:id="20415" w:name="_Toc974541"/>
      <w:bookmarkStart w:id="20416" w:name="_Toc984457"/>
      <w:bookmarkStart w:id="20417" w:name="_Toc1056591"/>
      <w:bookmarkStart w:id="20418" w:name="_Toc1109749"/>
      <w:bookmarkStart w:id="20419" w:name="_Toc1128728"/>
      <w:bookmarkStart w:id="20420" w:name="_Toc1250114"/>
      <w:bookmarkStart w:id="20421" w:name="_Toc1258118"/>
      <w:bookmarkStart w:id="20422" w:name="_Toc19391554"/>
      <w:bookmarkStart w:id="20423" w:name="_Toc19395051"/>
      <w:r>
        <w:rPr>
          <w:rFonts w:hint="cs"/>
          <w:rtl/>
        </w:rPr>
        <w:t>דברי החזו"א דכוונת התוס' לעיל דהנדון על מין האב הוא על מהות הנולד ולא על מי שנולד ממנו</w:t>
      </w:r>
      <w:bookmarkEnd w:id="20414"/>
      <w:bookmarkEnd w:id="20415"/>
      <w:bookmarkEnd w:id="20416"/>
      <w:bookmarkEnd w:id="20417"/>
      <w:bookmarkEnd w:id="20418"/>
      <w:bookmarkEnd w:id="20419"/>
      <w:bookmarkEnd w:id="20420"/>
      <w:bookmarkEnd w:id="20421"/>
      <w:bookmarkEnd w:id="20422"/>
      <w:bookmarkEnd w:id="20423"/>
    </w:p>
    <w:p w14:paraId="702210BB" w14:textId="77777777" w:rsidR="003D504D" w:rsidRPr="00D60546" w:rsidRDefault="003D504D" w:rsidP="00223668">
      <w:pPr>
        <w:pStyle w:val="a0"/>
        <w:rPr>
          <w:rtl/>
        </w:rPr>
      </w:pPr>
      <w:bookmarkStart w:id="20424" w:name="_Ref951125"/>
      <w:r w:rsidRPr="00B06D6B">
        <w:rPr>
          <w:rFonts w:hint="cs"/>
          <w:rtl/>
        </w:rPr>
        <w:t xml:space="preserve">כתב </w:t>
      </w:r>
      <w:r w:rsidRPr="00B06D6B">
        <w:rPr>
          <w:rStyle w:val="af9"/>
          <w:rFonts w:hint="cs"/>
          <w:rtl/>
        </w:rPr>
        <w:t>החזו"א</w:t>
      </w:r>
      <w:r w:rsidRPr="005679AC">
        <w:rPr>
          <w:rStyle w:val="af7"/>
          <w:rFonts w:eastAsia="Guttman Hodes" w:hint="cs"/>
          <w:rtl/>
        </w:rPr>
        <w:t xml:space="preserve"> (בכורות ז. סי' ט"ז [א'] סקי"א,</w:t>
      </w:r>
      <w:r w:rsidRPr="005679AC">
        <w:rPr>
          <w:rStyle w:val="af7"/>
          <w:rFonts w:eastAsia="Guttman Hodes"/>
          <w:rtl/>
        </w:rPr>
        <w:t xml:space="preserve"> יו"ד סי' י"א סק"ב</w:t>
      </w:r>
      <w:r w:rsidRPr="005679AC">
        <w:rPr>
          <w:rStyle w:val="af7"/>
          <w:rFonts w:eastAsia="Guttman Hodes" w:hint="cs"/>
          <w:rtl/>
        </w:rPr>
        <w:t xml:space="preserve">) </w:t>
      </w:r>
      <w:r w:rsidRPr="00B06D6B">
        <w:rPr>
          <w:rFonts w:hint="cs"/>
          <w:rtl/>
        </w:rPr>
        <w:t xml:space="preserve">דכוונת </w:t>
      </w:r>
      <w:r w:rsidRPr="00B06D6B">
        <w:rPr>
          <w:rStyle w:val="af9"/>
          <w:rFonts w:hint="cs"/>
          <w:rtl/>
        </w:rPr>
        <w:t>התוס' לעיל</w:t>
      </w:r>
      <w:r w:rsidRPr="00B06D6B">
        <w:rPr>
          <w:rFonts w:hint="cs"/>
          <w:rtl/>
        </w:rPr>
        <w:t xml:space="preserve"> לומר, דכשהנדון הוא האם הולד הוא ממין האב או ממין האם, א"א לומר דמדין זה וזה גורם יהיה היתר</w:t>
      </w:r>
      <w:r>
        <w:rPr>
          <w:rFonts w:hint="cs"/>
          <w:rtl/>
        </w:rPr>
        <w:t>,</w:t>
      </w:r>
      <w:r w:rsidRPr="00B06D6B">
        <w:rPr>
          <w:rFonts w:hint="cs"/>
          <w:rtl/>
        </w:rPr>
        <w:t xml:space="preserve"> </w:t>
      </w:r>
      <w:r w:rsidRPr="00B71FD1">
        <w:rPr>
          <w:rStyle w:val="afb"/>
          <w:rFonts w:hint="cs"/>
          <w:rtl/>
        </w:rPr>
        <w:t>[</w:t>
      </w:r>
      <w:r>
        <w:rPr>
          <w:rStyle w:val="afb"/>
          <w:rFonts w:hint="cs"/>
          <w:rtl/>
        </w:rPr>
        <w:t xml:space="preserve">כגון </w:t>
      </w:r>
      <w:r w:rsidRPr="00B71FD1">
        <w:rPr>
          <w:rStyle w:val="afb"/>
          <w:rFonts w:hint="cs"/>
          <w:rtl/>
        </w:rPr>
        <w:t>לענין אותו ואת בנו]</w:t>
      </w:r>
      <w:r w:rsidRPr="00B06D6B">
        <w:rPr>
          <w:rFonts w:hint="cs"/>
          <w:rtl/>
        </w:rPr>
        <w:t xml:space="preserve">, דכיון שאין הנדון עליו מכח אביו או מכח </w:t>
      </w:r>
      <w:r w:rsidRPr="00D60546">
        <w:rPr>
          <w:rFonts w:hint="cs"/>
          <w:rtl/>
        </w:rPr>
        <w:t xml:space="preserve">אמו, אלא הנדון הוא על מהותו בעצמו דכל נולד דנים אותו מכח הדורות שבא מהם מהי מהותו עצמו, אלא כתב </w:t>
      </w:r>
      <w:r w:rsidRPr="00D60546">
        <w:rPr>
          <w:rStyle w:val="af9"/>
          <w:rFonts w:hint="cs"/>
          <w:rtl/>
        </w:rPr>
        <w:t>החזו"א</w:t>
      </w:r>
      <w:r w:rsidRPr="00D60546">
        <w:rPr>
          <w:rFonts w:hint="cs"/>
          <w:rtl/>
        </w:rPr>
        <w:t xml:space="preserve"> דשייך לדון בו בדין חוששין לזרע האב, וכעי"ז כתב </w:t>
      </w:r>
      <w:r w:rsidRPr="00D60546">
        <w:rPr>
          <w:rStyle w:val="af9"/>
          <w:rFonts w:hint="cs"/>
          <w:rtl/>
        </w:rPr>
        <w:t>הגר"ח</w:t>
      </w:r>
      <w:r w:rsidRPr="00D60546">
        <w:rPr>
          <w:rFonts w:hint="cs"/>
          <w:rtl/>
        </w:rPr>
        <w:t xml:space="preserve"> </w:t>
      </w:r>
      <w:r w:rsidRPr="00D60546">
        <w:rPr>
          <w:rStyle w:val="af7"/>
          <w:rFonts w:eastAsia="Guttman Hodes" w:hint="cs"/>
          <w:rtl/>
        </w:rPr>
        <w:t xml:space="preserve">(עי' אות </w:t>
      </w:r>
      <w:r w:rsidRPr="00D60546">
        <w:rPr>
          <w:rStyle w:val="af7"/>
          <w:rFonts w:eastAsia="Guttman Hodes"/>
          <w:rtl/>
        </w:rPr>
        <w:fldChar w:fldCharType="begin"/>
      </w:r>
      <w:r w:rsidRPr="00D60546">
        <w:rPr>
          <w:rStyle w:val="af7"/>
          <w:rFonts w:eastAsia="Guttman Hodes"/>
          <w:rtl/>
        </w:rPr>
        <w:instrText xml:space="preserve"> </w:instrText>
      </w:r>
      <w:r w:rsidRPr="00D60546">
        <w:rPr>
          <w:rStyle w:val="af7"/>
          <w:rFonts w:eastAsia="Guttman Hodes" w:hint="cs"/>
        </w:rPr>
        <w:instrText>REF</w:instrText>
      </w:r>
      <w:r w:rsidRPr="00D60546">
        <w:rPr>
          <w:rStyle w:val="af7"/>
          <w:rFonts w:eastAsia="Guttman Hodes" w:hint="cs"/>
          <w:rtl/>
        </w:rPr>
        <w:instrText xml:space="preserve"> _</w:instrText>
      </w:r>
      <w:r w:rsidRPr="00D60546">
        <w:rPr>
          <w:rStyle w:val="af7"/>
          <w:rFonts w:eastAsia="Guttman Hodes" w:hint="cs"/>
        </w:rPr>
        <w:instrText>Ref381473 \r \h</w:instrText>
      </w:r>
      <w:r w:rsidRPr="00D60546">
        <w:rPr>
          <w:rStyle w:val="af7"/>
          <w:rFonts w:eastAsia="Guttman Hodes"/>
          <w:rtl/>
        </w:rPr>
        <w:instrText xml:space="preserve">  \* </w:instrText>
      </w:r>
      <w:r w:rsidRPr="00D60546">
        <w:rPr>
          <w:rStyle w:val="af7"/>
          <w:rFonts w:eastAsia="Guttman Hodes"/>
        </w:rPr>
        <w:instrText>MERGEFORMAT</w:instrText>
      </w:r>
      <w:r w:rsidRPr="00D60546">
        <w:rPr>
          <w:rStyle w:val="af7"/>
          <w:rFonts w:eastAsia="Guttman Hodes"/>
          <w:rtl/>
        </w:rPr>
        <w:instrText xml:space="preserve"> </w:instrText>
      </w:r>
      <w:r w:rsidRPr="00D60546">
        <w:rPr>
          <w:rStyle w:val="af7"/>
          <w:rFonts w:eastAsia="Guttman Hodes"/>
          <w:rtl/>
        </w:rPr>
      </w:r>
      <w:r w:rsidRPr="00D60546">
        <w:rPr>
          <w:rStyle w:val="af7"/>
          <w:rFonts w:eastAsia="Guttman Hodes"/>
          <w:rtl/>
        </w:rPr>
        <w:fldChar w:fldCharType="separate"/>
      </w:r>
      <w:r w:rsidR="00345400">
        <w:rPr>
          <w:rStyle w:val="af7"/>
          <w:rFonts w:eastAsia="Guttman Hodes"/>
          <w:cs/>
        </w:rPr>
        <w:t>‎</w:t>
      </w:r>
      <w:r w:rsidR="00345400">
        <w:rPr>
          <w:rStyle w:val="af7"/>
          <w:rFonts w:eastAsia="Guttman Hodes"/>
          <w:rtl/>
        </w:rPr>
        <w:t>נ)</w:t>
      </w:r>
      <w:r w:rsidRPr="00D60546">
        <w:rPr>
          <w:rStyle w:val="af7"/>
          <w:rFonts w:eastAsia="Guttman Hodes"/>
          <w:rtl/>
        </w:rPr>
        <w:fldChar w:fldCharType="end"/>
      </w:r>
      <w:r w:rsidRPr="00D60546">
        <w:rPr>
          <w:rFonts w:hint="cs"/>
          <w:rtl/>
        </w:rPr>
        <w:t>.</w:t>
      </w:r>
      <w:bookmarkEnd w:id="20424"/>
    </w:p>
    <w:p w14:paraId="65E8C640" w14:textId="77777777" w:rsidR="003D504D" w:rsidRPr="00B06D6B" w:rsidRDefault="003D504D" w:rsidP="003D504D">
      <w:pPr>
        <w:pStyle w:val="a3"/>
        <w:rPr>
          <w:rtl/>
        </w:rPr>
      </w:pPr>
      <w:bookmarkStart w:id="20425" w:name="_Toc955099"/>
      <w:bookmarkStart w:id="20426" w:name="_Toc974542"/>
      <w:bookmarkStart w:id="20427" w:name="_Toc984458"/>
      <w:bookmarkStart w:id="20428" w:name="_Toc1056592"/>
      <w:bookmarkStart w:id="20429" w:name="_Toc1109750"/>
      <w:bookmarkStart w:id="20430" w:name="_Toc1128729"/>
      <w:bookmarkStart w:id="20431" w:name="_Toc1250115"/>
      <w:bookmarkStart w:id="20432" w:name="_Toc1258119"/>
      <w:bookmarkStart w:id="20433" w:name="_Toc19391555"/>
      <w:bookmarkStart w:id="20434" w:name="_Toc19395052"/>
      <w:r w:rsidRPr="00D60546">
        <w:rPr>
          <w:rFonts w:hint="cs"/>
          <w:rtl/>
        </w:rPr>
        <w:t>דברי החזו"א דבנולד מאיסור הנדון אינו בולד מצד עצמו</w:t>
      </w:r>
      <w:r>
        <w:rPr>
          <w:rFonts w:hint="cs"/>
          <w:rtl/>
        </w:rPr>
        <w:t xml:space="preserve"> אלא בדבר שנוצר ממנו ולכו"ע האב גורם</w:t>
      </w:r>
      <w:bookmarkEnd w:id="20425"/>
      <w:bookmarkEnd w:id="20426"/>
      <w:bookmarkEnd w:id="20427"/>
      <w:bookmarkEnd w:id="20428"/>
      <w:bookmarkEnd w:id="20429"/>
      <w:bookmarkEnd w:id="20430"/>
      <w:bookmarkEnd w:id="20431"/>
      <w:bookmarkEnd w:id="20432"/>
      <w:bookmarkEnd w:id="20433"/>
      <w:bookmarkEnd w:id="20434"/>
    </w:p>
    <w:p w14:paraId="2E0A69E1" w14:textId="77777777" w:rsidR="003D504D" w:rsidRPr="00D60546" w:rsidRDefault="003D504D" w:rsidP="00223668">
      <w:pPr>
        <w:pStyle w:val="a0"/>
        <w:rPr>
          <w:rtl/>
        </w:rPr>
      </w:pPr>
      <w:r w:rsidRPr="00B06D6B">
        <w:rPr>
          <w:rFonts w:hint="cs"/>
          <w:rtl/>
        </w:rPr>
        <w:t xml:space="preserve">אבל </w:t>
      </w:r>
      <w:r>
        <w:rPr>
          <w:rFonts w:hint="cs"/>
          <w:rtl/>
        </w:rPr>
        <w:t>במקום שהנדון הוא בנולד מאיסור, כגון בכשרה שנתעברה מן ה</w:t>
      </w:r>
      <w:r w:rsidRPr="00B06D6B">
        <w:rPr>
          <w:rFonts w:hint="cs"/>
          <w:rtl/>
        </w:rPr>
        <w:t>טריפה</w:t>
      </w:r>
      <w:r>
        <w:rPr>
          <w:rFonts w:hint="cs"/>
          <w:rtl/>
        </w:rPr>
        <w:t>,</w:t>
      </w:r>
      <w:r w:rsidRPr="00B06D6B">
        <w:rPr>
          <w:rFonts w:hint="cs"/>
          <w:rtl/>
        </w:rPr>
        <w:t xml:space="preserve"> ביאר </w:t>
      </w:r>
      <w:r w:rsidRPr="00B06D6B">
        <w:rPr>
          <w:rStyle w:val="af9"/>
          <w:rFonts w:hint="cs"/>
          <w:rtl/>
        </w:rPr>
        <w:t>החזו"א</w:t>
      </w:r>
      <w:r w:rsidRPr="00B06D6B">
        <w:rPr>
          <w:rFonts w:hint="cs"/>
          <w:rtl/>
        </w:rPr>
        <w:t xml:space="preserve"> </w:t>
      </w:r>
      <w:r>
        <w:rPr>
          <w:rFonts w:hint="cs"/>
          <w:rtl/>
        </w:rPr>
        <w:t>דס"ל</w:t>
      </w:r>
      <w:r w:rsidRPr="00B06D6B">
        <w:rPr>
          <w:rFonts w:hint="cs"/>
          <w:rtl/>
        </w:rPr>
        <w:t xml:space="preserve"> </w:t>
      </w:r>
      <w:r>
        <w:rPr>
          <w:rStyle w:val="af9"/>
          <w:rFonts w:hint="cs"/>
          <w:rtl/>
        </w:rPr>
        <w:t>ל</w:t>
      </w:r>
      <w:r w:rsidRPr="00B06D6B">
        <w:rPr>
          <w:rStyle w:val="af9"/>
          <w:rFonts w:hint="cs"/>
          <w:rtl/>
        </w:rPr>
        <w:t>התוס' לעיל</w:t>
      </w:r>
      <w:r w:rsidRPr="00B06D6B">
        <w:rPr>
          <w:rFonts w:hint="cs"/>
          <w:rtl/>
        </w:rPr>
        <w:t xml:space="preserve"> </w:t>
      </w:r>
      <w:r>
        <w:rPr>
          <w:rFonts w:hint="cs"/>
          <w:rtl/>
        </w:rPr>
        <w:t xml:space="preserve">דבכה"ג </w:t>
      </w:r>
      <w:r w:rsidRPr="00B06D6B">
        <w:rPr>
          <w:rFonts w:hint="cs"/>
          <w:rtl/>
        </w:rPr>
        <w:t xml:space="preserve">אין הנדון על הולד אם הוא טריפה מחמת יחוס אביו שהוא טריפה, דפשיטא </w:t>
      </w:r>
      <w:r>
        <w:rPr>
          <w:rFonts w:hint="cs"/>
          <w:rtl/>
        </w:rPr>
        <w:t>ד</w:t>
      </w:r>
      <w:r w:rsidRPr="00B06D6B">
        <w:rPr>
          <w:rFonts w:hint="cs"/>
          <w:rtl/>
        </w:rPr>
        <w:t xml:space="preserve">הולד אינו טריפה מצד עצמו, אלא הנדון הוא כיון דקיי"ל דדדבר שאסרתו תורה, אף דבר שנוצר ממנו אסור, וזהו האיסור בולד טריפה שנוצר מאיסור, וכתב </w:t>
      </w:r>
      <w:r w:rsidRPr="00B06D6B">
        <w:rPr>
          <w:rStyle w:val="af9"/>
          <w:rFonts w:hint="cs"/>
          <w:rtl/>
        </w:rPr>
        <w:t>החזו"א</w:t>
      </w:r>
      <w:r w:rsidRPr="00B06D6B">
        <w:rPr>
          <w:rFonts w:hint="cs"/>
          <w:rtl/>
        </w:rPr>
        <w:t xml:space="preserve"> שיש בזה קולא וחומרא, דאף למ"ד דאין חוששין לזרע </w:t>
      </w:r>
      <w:r w:rsidRPr="00D60546">
        <w:rPr>
          <w:rFonts w:hint="cs"/>
          <w:rtl/>
        </w:rPr>
        <w:t xml:space="preserve">האב, מ"מ האב נחשב כגורם שהולד נוצר ממנו, ולכן למ"ד דזה וזה גורם מותר כיון שהוא נוצר גם ע"י האם אין בו כל איסור של טריפה, ולמ"ד דזה וזה גורם אסור, הולד אסור, וכעי"ז כתב </w:t>
      </w:r>
      <w:r w:rsidRPr="00D60546">
        <w:rPr>
          <w:rStyle w:val="af9"/>
          <w:rFonts w:hint="cs"/>
          <w:rtl/>
        </w:rPr>
        <w:t>הגר"ח</w:t>
      </w:r>
      <w:r w:rsidRPr="00D60546">
        <w:rPr>
          <w:rFonts w:hint="cs"/>
          <w:rtl/>
        </w:rPr>
        <w:t xml:space="preserve"> </w:t>
      </w:r>
      <w:r w:rsidRPr="00D60546">
        <w:rPr>
          <w:rStyle w:val="af7"/>
          <w:rFonts w:eastAsia="Guttman Hodes" w:hint="cs"/>
          <w:rtl/>
        </w:rPr>
        <w:t xml:space="preserve">(עי' אות </w:t>
      </w:r>
      <w:r w:rsidRPr="00D60546">
        <w:rPr>
          <w:rStyle w:val="af7"/>
          <w:rFonts w:eastAsia="Guttman Hodes"/>
          <w:rtl/>
        </w:rPr>
        <w:fldChar w:fldCharType="begin"/>
      </w:r>
      <w:r w:rsidRPr="00D60546">
        <w:rPr>
          <w:rStyle w:val="af7"/>
          <w:rFonts w:eastAsia="Guttman Hodes"/>
          <w:rtl/>
        </w:rPr>
        <w:instrText xml:space="preserve"> </w:instrText>
      </w:r>
      <w:r w:rsidRPr="00D60546">
        <w:rPr>
          <w:rStyle w:val="af7"/>
          <w:rFonts w:eastAsia="Guttman Hodes" w:hint="cs"/>
        </w:rPr>
        <w:instrText>REF</w:instrText>
      </w:r>
      <w:r w:rsidRPr="00D60546">
        <w:rPr>
          <w:rStyle w:val="af7"/>
          <w:rFonts w:eastAsia="Guttman Hodes" w:hint="cs"/>
          <w:rtl/>
        </w:rPr>
        <w:instrText xml:space="preserve"> _</w:instrText>
      </w:r>
      <w:r w:rsidRPr="00D60546">
        <w:rPr>
          <w:rStyle w:val="af7"/>
          <w:rFonts w:eastAsia="Guttman Hodes" w:hint="cs"/>
        </w:rPr>
        <w:instrText>Ref381482 \r \h</w:instrText>
      </w:r>
      <w:r w:rsidRPr="00D60546">
        <w:rPr>
          <w:rStyle w:val="af7"/>
          <w:rFonts w:eastAsia="Guttman Hodes"/>
          <w:rtl/>
        </w:rPr>
        <w:instrText xml:space="preserve">  \* </w:instrText>
      </w:r>
      <w:r w:rsidRPr="00D60546">
        <w:rPr>
          <w:rStyle w:val="af7"/>
          <w:rFonts w:eastAsia="Guttman Hodes"/>
        </w:rPr>
        <w:instrText>MERGEFORMAT</w:instrText>
      </w:r>
      <w:r w:rsidRPr="00D60546">
        <w:rPr>
          <w:rStyle w:val="af7"/>
          <w:rFonts w:eastAsia="Guttman Hodes"/>
          <w:rtl/>
        </w:rPr>
        <w:instrText xml:space="preserve"> </w:instrText>
      </w:r>
      <w:r w:rsidRPr="00D60546">
        <w:rPr>
          <w:rStyle w:val="af7"/>
          <w:rFonts w:eastAsia="Guttman Hodes"/>
          <w:rtl/>
        </w:rPr>
      </w:r>
      <w:r w:rsidRPr="00D60546">
        <w:rPr>
          <w:rStyle w:val="af7"/>
          <w:rFonts w:eastAsia="Guttman Hodes"/>
          <w:rtl/>
        </w:rPr>
        <w:fldChar w:fldCharType="separate"/>
      </w:r>
      <w:r w:rsidR="00345400">
        <w:rPr>
          <w:rStyle w:val="af7"/>
          <w:rFonts w:eastAsia="Guttman Hodes"/>
          <w:cs/>
        </w:rPr>
        <w:t>‎</w:t>
      </w:r>
      <w:r w:rsidR="00345400">
        <w:rPr>
          <w:rStyle w:val="af7"/>
          <w:rFonts w:eastAsia="Guttman Hodes"/>
          <w:rtl/>
        </w:rPr>
        <w:t>נא)</w:t>
      </w:r>
      <w:r w:rsidRPr="00D60546">
        <w:rPr>
          <w:rStyle w:val="af7"/>
          <w:rFonts w:eastAsia="Guttman Hodes"/>
          <w:rtl/>
        </w:rPr>
        <w:fldChar w:fldCharType="end"/>
      </w:r>
      <w:r w:rsidRPr="00D60546">
        <w:rPr>
          <w:rFonts w:hint="cs"/>
          <w:rtl/>
        </w:rPr>
        <w:t xml:space="preserve">, וע"ע בדברי </w:t>
      </w:r>
      <w:r w:rsidRPr="00D60546">
        <w:rPr>
          <w:rStyle w:val="af9"/>
          <w:rFonts w:hint="cs"/>
          <w:rtl/>
        </w:rPr>
        <w:t>החזו"א בגליונות</w:t>
      </w:r>
      <w:r w:rsidRPr="00D60546">
        <w:rPr>
          <w:rFonts w:hint="cs"/>
          <w:rtl/>
        </w:rPr>
        <w:t xml:space="preserve"> </w:t>
      </w:r>
      <w:r w:rsidRPr="00D60546">
        <w:rPr>
          <w:rStyle w:val="af7"/>
          <w:rFonts w:eastAsia="Guttman Hodes" w:hint="cs"/>
          <w:rtl/>
        </w:rPr>
        <w:t xml:space="preserve">(עי' אות </w:t>
      </w:r>
      <w:r w:rsidRPr="00D60546">
        <w:rPr>
          <w:rStyle w:val="af7"/>
          <w:rFonts w:eastAsia="Guttman Hodes"/>
          <w:rtl/>
        </w:rPr>
        <w:fldChar w:fldCharType="begin"/>
      </w:r>
      <w:r w:rsidRPr="00D60546">
        <w:rPr>
          <w:rStyle w:val="af7"/>
          <w:rFonts w:eastAsia="Guttman Hodes"/>
          <w:rtl/>
        </w:rPr>
        <w:instrText xml:space="preserve"> </w:instrText>
      </w:r>
      <w:r w:rsidRPr="00D60546">
        <w:rPr>
          <w:rStyle w:val="af7"/>
          <w:rFonts w:eastAsia="Guttman Hodes" w:hint="cs"/>
        </w:rPr>
        <w:instrText>REF</w:instrText>
      </w:r>
      <w:r w:rsidRPr="00D60546">
        <w:rPr>
          <w:rStyle w:val="af7"/>
          <w:rFonts w:eastAsia="Guttman Hodes" w:hint="cs"/>
          <w:rtl/>
        </w:rPr>
        <w:instrText xml:space="preserve"> _</w:instrText>
      </w:r>
      <w:r w:rsidRPr="00D60546">
        <w:rPr>
          <w:rStyle w:val="af7"/>
          <w:rFonts w:eastAsia="Guttman Hodes" w:hint="cs"/>
        </w:rPr>
        <w:instrText>Ref1252782 \r \h</w:instrText>
      </w:r>
      <w:r w:rsidRPr="00D60546">
        <w:rPr>
          <w:rStyle w:val="af7"/>
          <w:rFonts w:eastAsia="Guttman Hodes"/>
          <w:rtl/>
        </w:rPr>
        <w:instrText xml:space="preserve">  \* </w:instrText>
      </w:r>
      <w:r w:rsidRPr="00D60546">
        <w:rPr>
          <w:rStyle w:val="af7"/>
          <w:rFonts w:eastAsia="Guttman Hodes"/>
        </w:rPr>
        <w:instrText>MERGEFORMAT</w:instrText>
      </w:r>
      <w:r w:rsidRPr="00D60546">
        <w:rPr>
          <w:rStyle w:val="af7"/>
          <w:rFonts w:eastAsia="Guttman Hodes"/>
          <w:rtl/>
        </w:rPr>
        <w:instrText xml:space="preserve"> </w:instrText>
      </w:r>
      <w:r w:rsidRPr="00D60546">
        <w:rPr>
          <w:rStyle w:val="af7"/>
          <w:rFonts w:eastAsia="Guttman Hodes"/>
          <w:rtl/>
        </w:rPr>
      </w:r>
      <w:r w:rsidRPr="00D60546">
        <w:rPr>
          <w:rStyle w:val="af7"/>
          <w:rFonts w:eastAsia="Guttman Hodes"/>
          <w:rtl/>
        </w:rPr>
        <w:fldChar w:fldCharType="separate"/>
      </w:r>
      <w:r w:rsidR="00345400">
        <w:rPr>
          <w:rStyle w:val="af7"/>
          <w:rFonts w:eastAsia="Guttman Hodes"/>
          <w:cs/>
        </w:rPr>
        <w:t>‎</w:t>
      </w:r>
      <w:r w:rsidR="00345400">
        <w:rPr>
          <w:rStyle w:val="af7"/>
          <w:rFonts w:eastAsia="Guttman Hodes"/>
          <w:rtl/>
        </w:rPr>
        <w:t>נו)</w:t>
      </w:r>
      <w:r w:rsidRPr="00D60546">
        <w:rPr>
          <w:rStyle w:val="af7"/>
          <w:rFonts w:eastAsia="Guttman Hodes"/>
          <w:rtl/>
        </w:rPr>
        <w:fldChar w:fldCharType="end"/>
      </w:r>
      <w:r w:rsidRPr="00D60546">
        <w:rPr>
          <w:rFonts w:hint="cs"/>
          <w:rtl/>
        </w:rPr>
        <w:t>.</w:t>
      </w:r>
    </w:p>
    <w:p w14:paraId="608CB467" w14:textId="77777777" w:rsidR="003D504D" w:rsidRPr="00B06D6B" w:rsidRDefault="003D504D" w:rsidP="003D504D">
      <w:pPr>
        <w:pStyle w:val="a3"/>
        <w:rPr>
          <w:rtl/>
        </w:rPr>
      </w:pPr>
      <w:bookmarkStart w:id="20435" w:name="_Toc955100"/>
      <w:bookmarkStart w:id="20436" w:name="_Toc974543"/>
      <w:bookmarkStart w:id="20437" w:name="_Toc984459"/>
      <w:bookmarkStart w:id="20438" w:name="_Toc1056593"/>
      <w:bookmarkStart w:id="20439" w:name="_Toc1109751"/>
      <w:bookmarkStart w:id="20440" w:name="_Toc1128730"/>
      <w:bookmarkStart w:id="20441" w:name="_Toc1250116"/>
      <w:bookmarkStart w:id="20442" w:name="_Toc1258120"/>
      <w:bookmarkStart w:id="20443" w:name="_Toc19391556"/>
      <w:bookmarkStart w:id="20444" w:name="_Toc19395053"/>
      <w:r w:rsidRPr="00D60546">
        <w:rPr>
          <w:rFonts w:hint="cs"/>
          <w:rtl/>
        </w:rPr>
        <w:t>דברי החזו"א דטהורה שנתעברה מטמאה</w:t>
      </w:r>
      <w:r>
        <w:rPr>
          <w:rFonts w:hint="cs"/>
          <w:rtl/>
        </w:rPr>
        <w:t xml:space="preserve"> יש גם נדון בזה וזה גורם וגם בחוששין לזרע האב</w:t>
      </w:r>
      <w:bookmarkEnd w:id="20435"/>
      <w:bookmarkEnd w:id="20436"/>
      <w:bookmarkEnd w:id="20437"/>
      <w:bookmarkEnd w:id="20438"/>
      <w:bookmarkEnd w:id="20439"/>
      <w:bookmarkEnd w:id="20440"/>
      <w:bookmarkEnd w:id="20441"/>
      <w:bookmarkEnd w:id="20442"/>
      <w:bookmarkEnd w:id="20443"/>
      <w:bookmarkEnd w:id="20444"/>
    </w:p>
    <w:p w14:paraId="10F1C131" w14:textId="77777777" w:rsidR="003D504D" w:rsidRPr="00C82926" w:rsidRDefault="003D504D" w:rsidP="00223668">
      <w:pPr>
        <w:pStyle w:val="a0"/>
        <w:rPr>
          <w:rtl/>
        </w:rPr>
      </w:pPr>
      <w:bookmarkStart w:id="20445" w:name="_Ref1244793"/>
      <w:r w:rsidRPr="00B06D6B">
        <w:rPr>
          <w:rFonts w:hint="cs"/>
          <w:rtl/>
        </w:rPr>
        <w:t xml:space="preserve">ובנדון בגמ' בבכורות </w:t>
      </w:r>
      <w:r w:rsidRPr="005679AC">
        <w:rPr>
          <w:rStyle w:val="af7"/>
          <w:rFonts w:eastAsia="Guttman Hodes" w:hint="cs"/>
          <w:rtl/>
        </w:rPr>
        <w:t>(ז.)</w:t>
      </w:r>
      <w:r w:rsidRPr="00B06D6B">
        <w:rPr>
          <w:rFonts w:hint="cs"/>
          <w:rtl/>
        </w:rPr>
        <w:t xml:space="preserve"> בבהמה טהורה שנתעברה מבהמה טמאה, כתב </w:t>
      </w:r>
      <w:r w:rsidRPr="00B06D6B">
        <w:rPr>
          <w:rStyle w:val="af9"/>
          <w:rFonts w:hint="cs"/>
          <w:rtl/>
        </w:rPr>
        <w:t xml:space="preserve">החזו"א </w:t>
      </w:r>
      <w:r w:rsidRPr="005679AC">
        <w:rPr>
          <w:rStyle w:val="af7"/>
          <w:rFonts w:eastAsia="Guttman Hodes" w:hint="cs"/>
          <w:rtl/>
        </w:rPr>
        <w:t>(בכורות ז. סי' ט"ז [א'] סקי"א ד"ה וטהורה,</w:t>
      </w:r>
      <w:r w:rsidRPr="005679AC">
        <w:rPr>
          <w:rStyle w:val="af7"/>
          <w:rFonts w:eastAsia="Guttman Hodes"/>
          <w:rtl/>
        </w:rPr>
        <w:t xml:space="preserve"> יו"ד סי' י"א סק"ב</w:t>
      </w:r>
      <w:r w:rsidRPr="005679AC">
        <w:rPr>
          <w:rStyle w:val="af7"/>
          <w:rFonts w:eastAsia="Guttman Hodes" w:hint="cs"/>
          <w:rtl/>
        </w:rPr>
        <w:t>)</w:t>
      </w:r>
      <w:r w:rsidRPr="00B06D6B">
        <w:rPr>
          <w:rFonts w:hint="cs"/>
          <w:rtl/>
        </w:rPr>
        <w:t xml:space="preserve"> דהנדון על הולד הוא גם על מהותו שיש בו מקצת גמל, ונדון זה תלוי אי חוששין לזרע האב, וצריך לאוסרו מדין שהוא מקצת גמל, ולא שייך להתירו מדין זה וזה גורם, אך יש בו נדון נוסף דכיון שנוצר מאיסור בהמה טמאה, אינו עדיף מולד שנוצר מאיסור טריפה דהוא אסור, ולמ"ד דזה וזה גורם אסור, אף בנוצר מטמא אסור, ואי"ז שייך כלל לנדון אי חוששין לזרע האב, ולמ"ד דזה וזה גורם מותר, אפשר להתירו בצירוף </w:t>
      </w:r>
      <w:r>
        <w:rPr>
          <w:rFonts w:hint="cs"/>
          <w:rtl/>
        </w:rPr>
        <w:t>ב' הדינים ד</w:t>
      </w:r>
      <w:r w:rsidRPr="00B06D6B">
        <w:rPr>
          <w:rFonts w:hint="cs"/>
          <w:rtl/>
        </w:rPr>
        <w:t xml:space="preserve">זה </w:t>
      </w:r>
      <w:r w:rsidRPr="00C82926">
        <w:rPr>
          <w:rFonts w:hint="cs"/>
          <w:rtl/>
        </w:rPr>
        <w:t xml:space="preserve">וזה גורם ואין חוששין לזרע האב, </w:t>
      </w:r>
      <w:r w:rsidRPr="00C82926">
        <w:rPr>
          <w:rStyle w:val="afb"/>
          <w:rFonts w:hint="cs"/>
          <w:rtl/>
        </w:rPr>
        <w:t>[לדעת ר"א דיש בזה ילפותא מיוחדת דבכה"ג אין חוששין לזרע האב, וזה וזה גורם מותר],</w:t>
      </w:r>
      <w:r w:rsidRPr="00C82926">
        <w:rPr>
          <w:rFonts w:hint="cs"/>
          <w:rtl/>
        </w:rPr>
        <w:t xml:space="preserve"> וכעי"ז כתב </w:t>
      </w:r>
      <w:r w:rsidRPr="00C82926">
        <w:rPr>
          <w:rStyle w:val="af9"/>
          <w:rFonts w:hint="cs"/>
          <w:rtl/>
        </w:rPr>
        <w:t>הגר"ח</w:t>
      </w:r>
      <w:r w:rsidRPr="00C82926">
        <w:rPr>
          <w:rFonts w:hint="cs"/>
          <w:rtl/>
        </w:rPr>
        <w:t xml:space="preserve"> </w:t>
      </w:r>
      <w:r w:rsidRPr="00C82926">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Ref536787016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נט)</w:t>
      </w:r>
      <w:r>
        <w:rPr>
          <w:rStyle w:val="af7"/>
          <w:rFonts w:eastAsia="Guttman Hodes"/>
          <w:rtl/>
        </w:rPr>
        <w:fldChar w:fldCharType="end"/>
      </w:r>
      <w:r w:rsidRPr="00C82926">
        <w:rPr>
          <w:rFonts w:hint="cs"/>
          <w:rtl/>
        </w:rPr>
        <w:t>.</w:t>
      </w:r>
      <w:bookmarkEnd w:id="20445"/>
    </w:p>
    <w:p w14:paraId="258D2C40" w14:textId="77777777" w:rsidR="003D504D" w:rsidRPr="00C82926" w:rsidRDefault="003D504D" w:rsidP="003D504D">
      <w:pPr>
        <w:pStyle w:val="a3"/>
        <w:rPr>
          <w:rtl/>
        </w:rPr>
      </w:pPr>
      <w:bookmarkStart w:id="20446" w:name="_Toc955101"/>
      <w:bookmarkStart w:id="20447" w:name="_Toc974544"/>
      <w:bookmarkStart w:id="20448" w:name="_Toc984460"/>
      <w:bookmarkStart w:id="20449" w:name="_Toc1056594"/>
      <w:bookmarkStart w:id="20450" w:name="_Toc1109752"/>
      <w:bookmarkStart w:id="20451" w:name="_Toc1128731"/>
      <w:bookmarkStart w:id="20452" w:name="_Toc1250117"/>
      <w:bookmarkStart w:id="20453" w:name="_Toc1258121"/>
      <w:bookmarkStart w:id="20454" w:name="_Toc19391557"/>
      <w:bookmarkStart w:id="20455" w:name="_Toc19395054"/>
      <w:r w:rsidRPr="00C82926">
        <w:rPr>
          <w:rFonts w:hint="cs"/>
          <w:rtl/>
        </w:rPr>
        <w:t>ביאור החזו"א בתוס' בבכורות דבכלאים הנדון אי חוששין לזרע האב ובנולד מטמא בזה וזה גורם</w:t>
      </w:r>
      <w:bookmarkEnd w:id="20446"/>
      <w:bookmarkEnd w:id="20447"/>
      <w:bookmarkEnd w:id="20448"/>
      <w:bookmarkEnd w:id="20449"/>
      <w:bookmarkEnd w:id="20450"/>
      <w:bookmarkEnd w:id="20451"/>
      <w:bookmarkEnd w:id="20452"/>
      <w:bookmarkEnd w:id="20453"/>
      <w:bookmarkEnd w:id="20454"/>
      <w:bookmarkEnd w:id="20455"/>
    </w:p>
    <w:p w14:paraId="33E7569D" w14:textId="77777777" w:rsidR="003D504D" w:rsidRPr="00B06D6B" w:rsidRDefault="003D504D" w:rsidP="00223668">
      <w:pPr>
        <w:pStyle w:val="a0"/>
        <w:rPr>
          <w:rtl/>
        </w:rPr>
      </w:pPr>
      <w:bookmarkStart w:id="20456" w:name="_Ref1252203"/>
      <w:r w:rsidRPr="00C82926">
        <w:rPr>
          <w:rFonts w:hint="cs"/>
          <w:rtl/>
        </w:rPr>
        <w:t xml:space="preserve">ובדברי </w:t>
      </w:r>
      <w:r w:rsidRPr="00C82926">
        <w:rPr>
          <w:rStyle w:val="af9"/>
          <w:rFonts w:hint="cs"/>
          <w:rtl/>
        </w:rPr>
        <w:t>התוס' בבכורות</w:t>
      </w:r>
      <w:r w:rsidRPr="00C82926">
        <w:rPr>
          <w:rStyle w:val="af7"/>
          <w:rFonts w:eastAsia="Guttman Hodes" w:hint="cs"/>
          <w:rtl/>
        </w:rPr>
        <w:t xml:space="preserve"> (עי' אות </w:t>
      </w:r>
      <w:r w:rsidRPr="00C82926">
        <w:rPr>
          <w:rStyle w:val="af7"/>
          <w:rFonts w:eastAsia="Guttman Hodes"/>
          <w:rtl/>
        </w:rPr>
        <w:fldChar w:fldCharType="begin"/>
      </w:r>
      <w:r w:rsidRPr="00C82926">
        <w:rPr>
          <w:rStyle w:val="af7"/>
          <w:rFonts w:eastAsia="Guttman Hodes"/>
          <w:rtl/>
        </w:rPr>
        <w:instrText xml:space="preserve"> </w:instrText>
      </w:r>
      <w:r w:rsidRPr="00C82926">
        <w:rPr>
          <w:rStyle w:val="af7"/>
          <w:rFonts w:eastAsia="Guttman Hodes" w:hint="cs"/>
        </w:rPr>
        <w:instrText>REF</w:instrText>
      </w:r>
      <w:r w:rsidRPr="00C82926">
        <w:rPr>
          <w:rStyle w:val="af7"/>
          <w:rFonts w:eastAsia="Guttman Hodes" w:hint="cs"/>
          <w:rtl/>
        </w:rPr>
        <w:instrText xml:space="preserve"> _</w:instrText>
      </w:r>
      <w:r w:rsidRPr="00C82926">
        <w:rPr>
          <w:rStyle w:val="af7"/>
          <w:rFonts w:eastAsia="Guttman Hodes" w:hint="cs"/>
        </w:rPr>
        <w:instrText>Ref951066 \r \h</w:instrText>
      </w:r>
      <w:r w:rsidRPr="00C82926">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82926">
        <w:rPr>
          <w:rStyle w:val="af7"/>
          <w:rFonts w:eastAsia="Guttman Hodes"/>
          <w:rtl/>
        </w:rPr>
      </w:r>
      <w:r w:rsidRPr="00C82926">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sidRPr="00C82926">
        <w:rPr>
          <w:rStyle w:val="af7"/>
          <w:rFonts w:eastAsia="Guttman Hodes"/>
          <w:rtl/>
        </w:rPr>
        <w:fldChar w:fldCharType="end"/>
      </w:r>
      <w:r w:rsidRPr="00C82926">
        <w:rPr>
          <w:rStyle w:val="af7"/>
          <w:rFonts w:eastAsia="Guttman Hodes" w:hint="cs"/>
          <w:rtl/>
        </w:rPr>
        <w:t xml:space="preserve"> </w:t>
      </w:r>
      <w:r w:rsidRPr="00C82926">
        <w:rPr>
          <w:rFonts w:hint="cs"/>
          <w:rtl/>
        </w:rPr>
        <w:t>כתב</w:t>
      </w:r>
      <w:r w:rsidRPr="00B06D6B">
        <w:rPr>
          <w:rStyle w:val="af9"/>
          <w:rFonts w:hint="cs"/>
          <w:rtl/>
        </w:rPr>
        <w:t xml:space="preserve"> החזו"א </w:t>
      </w:r>
      <w:r w:rsidRPr="005679AC">
        <w:rPr>
          <w:rStyle w:val="af7"/>
          <w:rFonts w:eastAsia="Guttman Hodes" w:hint="cs"/>
          <w:rtl/>
        </w:rPr>
        <w:t>(בכורות ז. סי' ט"ז [א'] סקי"א ד"ה ולשון התוס',</w:t>
      </w:r>
      <w:r w:rsidRPr="005679AC">
        <w:rPr>
          <w:rStyle w:val="af7"/>
          <w:rFonts w:eastAsia="Guttman Hodes"/>
          <w:rtl/>
        </w:rPr>
        <w:t xml:space="preserve"> יו"ד סי' י"א סק"ב</w:t>
      </w:r>
      <w:r w:rsidRPr="005679AC">
        <w:rPr>
          <w:rStyle w:val="af7"/>
          <w:rFonts w:eastAsia="Guttman Hodes" w:hint="cs"/>
          <w:rtl/>
        </w:rPr>
        <w:t>)</w:t>
      </w:r>
      <w:r w:rsidRPr="00B06D6B">
        <w:rPr>
          <w:rFonts w:hint="cs"/>
          <w:rtl/>
        </w:rPr>
        <w:t xml:space="preserve"> דכוונתם לומר דלגבי דין כלאים בנולדים מן הסוס ומן החמור, נקטה הגמ' לקמן </w:t>
      </w:r>
      <w:r w:rsidRPr="005679AC">
        <w:rPr>
          <w:rStyle w:val="af7"/>
          <w:rFonts w:eastAsia="Guttman Hodes" w:hint="cs"/>
          <w:rtl/>
        </w:rPr>
        <w:t>(עט.)</w:t>
      </w:r>
      <w:r w:rsidRPr="00B06D6B">
        <w:rPr>
          <w:rFonts w:hint="cs"/>
          <w:rtl/>
        </w:rPr>
        <w:t xml:space="preserve"> את הלשון אי חוששין לזרע האב, כיון שרק זהו הנדון, אבל אי חיישינן לזרע האב וצריך להחמיר בו את חומרת האב, לא שייך להתיר מדין זה וזה גורם, אבל בגמ' בבכורות לגבי איסור נולד מן הטמא, הנדון הוא מדין זה וזה גורם.</w:t>
      </w:r>
      <w:bookmarkEnd w:id="20456"/>
    </w:p>
    <w:p w14:paraId="4CF283D3" w14:textId="77777777" w:rsidR="003D504D" w:rsidRPr="00B06D6B" w:rsidRDefault="003D504D" w:rsidP="003D504D">
      <w:pPr>
        <w:pStyle w:val="a3"/>
        <w:rPr>
          <w:rtl/>
        </w:rPr>
      </w:pPr>
      <w:bookmarkStart w:id="20457" w:name="_Toc955102"/>
      <w:bookmarkStart w:id="20458" w:name="_Toc974545"/>
      <w:bookmarkStart w:id="20459" w:name="_Toc984461"/>
      <w:bookmarkStart w:id="20460" w:name="_Toc1056595"/>
      <w:bookmarkStart w:id="20461" w:name="_Toc1109753"/>
      <w:bookmarkStart w:id="20462" w:name="_Toc1128732"/>
      <w:bookmarkStart w:id="20463" w:name="_Toc1250118"/>
      <w:bookmarkStart w:id="20464" w:name="_Toc1258122"/>
      <w:bookmarkStart w:id="20465" w:name="_Toc19391558"/>
      <w:bookmarkStart w:id="20466" w:name="_Toc19395055"/>
      <w:r>
        <w:rPr>
          <w:rFonts w:hint="cs"/>
          <w:rtl/>
        </w:rPr>
        <w:t>ביאור החזו"א בקושית התוס' בבכורות דאין אין חוששין לזרע האב לא שייך זה וזה גורם</w:t>
      </w:r>
      <w:bookmarkEnd w:id="20457"/>
      <w:bookmarkEnd w:id="20458"/>
      <w:bookmarkEnd w:id="20459"/>
      <w:bookmarkEnd w:id="20460"/>
      <w:bookmarkEnd w:id="20461"/>
      <w:bookmarkEnd w:id="20462"/>
      <w:bookmarkEnd w:id="20463"/>
      <w:bookmarkEnd w:id="20464"/>
      <w:bookmarkEnd w:id="20465"/>
      <w:bookmarkEnd w:id="20466"/>
    </w:p>
    <w:p w14:paraId="0EB817BD" w14:textId="77777777" w:rsidR="003D504D" w:rsidRPr="00B06D6B" w:rsidRDefault="003D504D" w:rsidP="00223668">
      <w:pPr>
        <w:pStyle w:val="a0"/>
        <w:rPr>
          <w:rtl/>
        </w:rPr>
        <w:sectPr w:rsidR="003D504D" w:rsidRPr="00B06D6B" w:rsidSect="005049E2">
          <w:type w:val="continuous"/>
          <w:pgSz w:w="11906" w:h="16838"/>
          <w:pgMar w:top="720" w:right="720" w:bottom="720" w:left="720" w:header="283" w:footer="283" w:gutter="0"/>
          <w:cols w:num="2" w:space="567"/>
          <w:titlePg/>
          <w:bidi/>
          <w:rtlGutter/>
          <w:docGrid w:linePitch="299"/>
        </w:sectPr>
      </w:pPr>
      <w:bookmarkStart w:id="20467" w:name="_Ref1252116"/>
      <w:r w:rsidRPr="00B06D6B">
        <w:rPr>
          <w:rFonts w:hint="cs"/>
          <w:rtl/>
        </w:rPr>
        <w:t xml:space="preserve">ובקושית </w:t>
      </w:r>
      <w:r w:rsidRPr="00B06D6B">
        <w:rPr>
          <w:rStyle w:val="af9"/>
          <w:rFonts w:hint="cs"/>
          <w:rtl/>
        </w:rPr>
        <w:t>התוס' בבכורות</w:t>
      </w:r>
      <w:r>
        <w:rPr>
          <w:rFonts w:hint="cs"/>
          <w:rtl/>
        </w:rPr>
        <w:t xml:space="preserve"> </w:t>
      </w:r>
      <w:r w:rsidRPr="00AB33FA">
        <w:rPr>
          <w:rStyle w:val="af7"/>
          <w:rFonts w:eastAsia="Guttman Hodes" w:hint="cs"/>
          <w:rtl/>
        </w:rPr>
        <w:t xml:space="preserve">(עי' אות </w:t>
      </w:r>
      <w:r w:rsidRPr="00AB33FA">
        <w:rPr>
          <w:rStyle w:val="af7"/>
          <w:rFonts w:eastAsia="Guttman Hodes"/>
          <w:rtl/>
        </w:rPr>
        <w:fldChar w:fldCharType="begin"/>
      </w:r>
      <w:r w:rsidRPr="00AB33FA">
        <w:rPr>
          <w:rStyle w:val="af7"/>
          <w:rFonts w:eastAsia="Guttman Hodes"/>
          <w:rtl/>
        </w:rPr>
        <w:instrText xml:space="preserve"> </w:instrText>
      </w:r>
      <w:r w:rsidRPr="00AB33FA">
        <w:rPr>
          <w:rStyle w:val="af7"/>
          <w:rFonts w:eastAsia="Guttman Hodes" w:hint="cs"/>
        </w:rPr>
        <w:instrText>REF</w:instrText>
      </w:r>
      <w:r w:rsidRPr="00AB33FA">
        <w:rPr>
          <w:rStyle w:val="af7"/>
          <w:rFonts w:eastAsia="Guttman Hodes" w:hint="cs"/>
          <w:rtl/>
        </w:rPr>
        <w:instrText xml:space="preserve"> _</w:instrText>
      </w:r>
      <w:r w:rsidRPr="00AB33FA">
        <w:rPr>
          <w:rStyle w:val="af7"/>
          <w:rFonts w:eastAsia="Guttman Hodes" w:hint="cs"/>
        </w:rPr>
        <w:instrText>Ref1258703 \r \h</w:instrText>
      </w:r>
      <w:r w:rsidRPr="00AB33FA">
        <w:rPr>
          <w:rStyle w:val="af7"/>
          <w:rFonts w:eastAsia="Guttman Hodes"/>
          <w:rtl/>
        </w:rPr>
        <w:instrText xml:space="preserve"> </w:instrText>
      </w:r>
      <w:r w:rsidRPr="00AB33FA">
        <w:rPr>
          <w:rStyle w:val="af7"/>
          <w:rFonts w:eastAsia="Guttman Hodes"/>
          <w:rtl/>
        </w:rPr>
      </w:r>
      <w:r w:rsidRPr="00AB33FA">
        <w:rPr>
          <w:rStyle w:val="af7"/>
          <w:rFonts w:eastAsia="Guttman Hodes"/>
          <w:rtl/>
        </w:rPr>
        <w:fldChar w:fldCharType="separate"/>
      </w:r>
      <w:r w:rsidR="00345400">
        <w:rPr>
          <w:rStyle w:val="af7"/>
          <w:rFonts w:eastAsia="Guttman Hodes"/>
          <w:cs/>
        </w:rPr>
        <w:t>‎</w:t>
      </w:r>
      <w:r w:rsidR="00345400">
        <w:rPr>
          <w:rStyle w:val="af7"/>
          <w:rFonts w:eastAsia="Guttman Hodes"/>
          <w:rtl/>
        </w:rPr>
        <w:t>לג)</w:t>
      </w:r>
      <w:r w:rsidRPr="00AB33FA">
        <w:rPr>
          <w:rStyle w:val="af7"/>
          <w:rFonts w:eastAsia="Guttman Hodes"/>
          <w:rtl/>
        </w:rPr>
        <w:fldChar w:fldCharType="end"/>
      </w:r>
      <w:r>
        <w:rPr>
          <w:rFonts w:hint="cs"/>
          <w:rtl/>
        </w:rPr>
        <w:t xml:space="preserve"> </w:t>
      </w:r>
      <w:r w:rsidRPr="00B06D6B">
        <w:rPr>
          <w:rFonts w:hint="cs"/>
          <w:rtl/>
        </w:rPr>
        <w:t xml:space="preserve">ביאר </w:t>
      </w:r>
      <w:r w:rsidRPr="00B06D6B">
        <w:rPr>
          <w:rStyle w:val="af9"/>
          <w:rFonts w:hint="cs"/>
          <w:rtl/>
        </w:rPr>
        <w:t>החזו"א</w:t>
      </w:r>
      <w:r w:rsidRPr="00B06D6B">
        <w:rPr>
          <w:rFonts w:hint="cs"/>
          <w:rtl/>
        </w:rPr>
        <w:t xml:space="preserve"> דמ"מ הוקשה להם דאי אין חוששין לזרע האב, א"כ לא שייך לומר בזה זה וזה גורם, אך כתב </w:t>
      </w:r>
      <w:r w:rsidRPr="00B06D6B">
        <w:rPr>
          <w:rStyle w:val="af9"/>
          <w:rFonts w:hint="cs"/>
          <w:rtl/>
        </w:rPr>
        <w:t>החזו"א דהתוס' לעיל</w:t>
      </w:r>
      <w:r w:rsidRPr="00B06D6B">
        <w:rPr>
          <w:rFonts w:hint="cs"/>
          <w:rtl/>
        </w:rPr>
        <w:t xml:space="preserve"> </w:t>
      </w:r>
      <w:r w:rsidRPr="005679AC">
        <w:rPr>
          <w:rStyle w:val="af7"/>
          <w:rFonts w:eastAsia="Guttman Hodes" w:hint="cs"/>
          <w:rtl/>
        </w:rPr>
        <w:t xml:space="preserve">(עי' אות </w:t>
      </w:r>
      <w:r w:rsidRPr="00557E89">
        <w:rPr>
          <w:rStyle w:val="af7"/>
          <w:rFonts w:eastAsia="Guttman Hodes"/>
          <w:rtl/>
        </w:rPr>
        <w:fldChar w:fldCharType="begin"/>
      </w:r>
      <w:r w:rsidRPr="00557E89">
        <w:rPr>
          <w:rStyle w:val="af7"/>
          <w:rFonts w:eastAsia="Guttman Hodes"/>
          <w:rtl/>
        </w:rPr>
        <w:instrText xml:space="preserve"> </w:instrText>
      </w:r>
      <w:r w:rsidRPr="00557E89">
        <w:rPr>
          <w:rStyle w:val="af7"/>
          <w:rFonts w:eastAsia="Guttman Hodes" w:hint="cs"/>
        </w:rPr>
        <w:instrText>REF</w:instrText>
      </w:r>
      <w:r w:rsidRPr="00557E89">
        <w:rPr>
          <w:rStyle w:val="af7"/>
          <w:rFonts w:eastAsia="Guttman Hodes" w:hint="cs"/>
          <w:rtl/>
        </w:rPr>
        <w:instrText xml:space="preserve"> _</w:instrText>
      </w:r>
      <w:r w:rsidRPr="00557E89">
        <w:rPr>
          <w:rStyle w:val="af7"/>
          <w:rFonts w:eastAsia="Guttman Hodes" w:hint="cs"/>
        </w:rPr>
        <w:instrText>Ref536786982 \r \h</w:instrText>
      </w:r>
      <w:r w:rsidRPr="00557E89">
        <w:rPr>
          <w:rStyle w:val="af7"/>
          <w:rFonts w:eastAsia="Guttman Hodes"/>
          <w:rtl/>
        </w:rPr>
        <w:instrText xml:space="preserve"> </w:instrText>
      </w:r>
      <w:r w:rsidRPr="00557E89">
        <w:rPr>
          <w:rStyle w:val="af7"/>
          <w:rFonts w:eastAsia="Guttman Hodes"/>
          <w:rtl/>
        </w:rPr>
      </w:r>
      <w:r w:rsidRPr="00557E89">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557E89">
        <w:rPr>
          <w:rStyle w:val="af7"/>
          <w:rFonts w:eastAsia="Guttman Hodes"/>
          <w:rtl/>
        </w:rPr>
        <w:fldChar w:fldCharType="end"/>
      </w:r>
      <w:r w:rsidRPr="00B06D6B">
        <w:rPr>
          <w:rFonts w:hint="cs"/>
          <w:rtl/>
        </w:rPr>
        <w:t xml:space="preserve"> תירצו את קושית </w:t>
      </w:r>
      <w:r w:rsidRPr="00B06D6B">
        <w:rPr>
          <w:rStyle w:val="af9"/>
          <w:rFonts w:hint="cs"/>
          <w:rtl/>
        </w:rPr>
        <w:t>התוס' בבכורות</w:t>
      </w:r>
      <w:r w:rsidRPr="00B06D6B">
        <w:rPr>
          <w:rFonts w:hint="cs"/>
          <w:rtl/>
        </w:rPr>
        <w:t>, וכדביאר</w:t>
      </w:r>
      <w:r w:rsidRPr="00B06D6B">
        <w:rPr>
          <w:rStyle w:val="af9"/>
          <w:rFonts w:hint="cs"/>
          <w:rtl/>
        </w:rPr>
        <w:t xml:space="preserve"> החזו"א</w:t>
      </w:r>
      <w:r w:rsidRPr="00B06D6B">
        <w:rPr>
          <w:rFonts w:hint="cs"/>
          <w:rtl/>
        </w:rPr>
        <w:t xml:space="preserve"> </w:t>
      </w:r>
      <w:r w:rsidRPr="005679AC">
        <w:rPr>
          <w:rStyle w:val="af7"/>
          <w:rFonts w:eastAsia="Guttman Hodes" w:hint="cs"/>
          <w:rtl/>
        </w:rPr>
        <w:t xml:space="preserve">(עי' אות </w:t>
      </w:r>
      <w:r w:rsidRPr="00557E89">
        <w:rPr>
          <w:rStyle w:val="af7"/>
          <w:rFonts w:eastAsia="Guttman Hodes"/>
          <w:rtl/>
        </w:rPr>
        <w:fldChar w:fldCharType="begin"/>
      </w:r>
      <w:r w:rsidRPr="00557E89">
        <w:rPr>
          <w:rStyle w:val="af7"/>
          <w:rFonts w:eastAsia="Guttman Hodes"/>
          <w:rtl/>
        </w:rPr>
        <w:instrText xml:space="preserve"> </w:instrText>
      </w:r>
      <w:r w:rsidRPr="00557E89">
        <w:rPr>
          <w:rStyle w:val="af7"/>
          <w:rFonts w:eastAsia="Guttman Hodes" w:hint="cs"/>
        </w:rPr>
        <w:instrText>REF</w:instrText>
      </w:r>
      <w:r w:rsidRPr="00557E89">
        <w:rPr>
          <w:rStyle w:val="af7"/>
          <w:rFonts w:eastAsia="Guttman Hodes" w:hint="cs"/>
          <w:rtl/>
        </w:rPr>
        <w:instrText xml:space="preserve"> _</w:instrText>
      </w:r>
      <w:r w:rsidRPr="00557E89">
        <w:rPr>
          <w:rStyle w:val="af7"/>
          <w:rFonts w:eastAsia="Guttman Hodes" w:hint="cs"/>
        </w:rPr>
        <w:instrText>Ref951125 \r \h</w:instrText>
      </w:r>
      <w:r w:rsidRPr="00557E89">
        <w:rPr>
          <w:rStyle w:val="af7"/>
          <w:rFonts w:eastAsia="Guttman Hodes"/>
          <w:rtl/>
        </w:rPr>
        <w:instrText xml:space="preserve"> </w:instrText>
      </w:r>
      <w:r w:rsidRPr="00557E89">
        <w:rPr>
          <w:rStyle w:val="af7"/>
          <w:rFonts w:eastAsia="Guttman Hodes"/>
          <w:rtl/>
        </w:rPr>
      </w:r>
      <w:r w:rsidRPr="00557E89">
        <w:rPr>
          <w:rStyle w:val="af7"/>
          <w:rFonts w:eastAsia="Guttman Hodes"/>
          <w:rtl/>
        </w:rPr>
        <w:fldChar w:fldCharType="separate"/>
      </w:r>
      <w:r w:rsidR="00345400">
        <w:rPr>
          <w:rStyle w:val="af7"/>
          <w:rFonts w:eastAsia="Guttman Hodes"/>
          <w:cs/>
        </w:rPr>
        <w:t>‎</w:t>
      </w:r>
      <w:r w:rsidR="00345400">
        <w:rPr>
          <w:rStyle w:val="af7"/>
          <w:rFonts w:eastAsia="Guttman Hodes"/>
          <w:rtl/>
        </w:rPr>
        <w:t>לח)</w:t>
      </w:r>
      <w:r w:rsidRPr="00557E89">
        <w:rPr>
          <w:rStyle w:val="af7"/>
          <w:rFonts w:eastAsia="Guttman Hodes"/>
          <w:rtl/>
        </w:rPr>
        <w:fldChar w:fldCharType="end"/>
      </w:r>
      <w:r w:rsidRPr="00B06D6B">
        <w:rPr>
          <w:rFonts w:hint="cs"/>
          <w:rtl/>
        </w:rPr>
        <w:t xml:space="preserve"> בדבריהם</w:t>
      </w:r>
      <w:r>
        <w:rPr>
          <w:rFonts w:hint="cs"/>
          <w:rtl/>
        </w:rPr>
        <w:t>.</w:t>
      </w:r>
      <w:bookmarkEnd w:id="20467"/>
    </w:p>
    <w:p w14:paraId="47735838" w14:textId="77777777" w:rsidR="003D504D" w:rsidRPr="00B06D6B" w:rsidRDefault="003D504D" w:rsidP="003D504D">
      <w:pPr>
        <w:pStyle w:val="a3"/>
        <w:jc w:val="both"/>
        <w:rPr>
          <w:rtl/>
        </w:rPr>
        <w:sectPr w:rsidR="003D504D" w:rsidRPr="00B06D6B" w:rsidSect="003D504D">
          <w:footerReference w:type="default" r:id="rId120"/>
          <w:type w:val="continuous"/>
          <w:pgSz w:w="11906" w:h="16838"/>
          <w:pgMar w:top="720" w:right="720" w:bottom="720" w:left="720" w:header="283" w:footer="283" w:gutter="0"/>
          <w:cols w:space="567"/>
          <w:titlePg/>
          <w:bidi/>
          <w:rtlGutter/>
          <w:docGrid w:linePitch="299"/>
        </w:sectPr>
      </w:pPr>
    </w:p>
    <w:p w14:paraId="2F0C3CC7" w14:textId="77777777" w:rsidR="003D504D" w:rsidRDefault="003D504D" w:rsidP="003D504D">
      <w:pPr>
        <w:tabs>
          <w:tab w:val="left" w:pos="1163"/>
        </w:tabs>
        <w:spacing w:after="120" w:line="240" w:lineRule="auto"/>
        <w:ind w:left="0"/>
        <w:rPr>
          <w:rFonts w:ascii="Guttman Hodes" w:eastAsia="Guttman Hodes" w:hAnsi="Guttman Hodes" w:cs="Guttman Hodes"/>
          <w:noProof/>
          <w:sz w:val="18"/>
          <w:szCs w:val="18"/>
        </w:rPr>
        <w:sectPr w:rsidR="003D504D" w:rsidSect="003D504D">
          <w:footerReference w:type="default" r:id="rId121"/>
          <w:type w:val="continuous"/>
          <w:pgSz w:w="11906" w:h="16838"/>
          <w:pgMar w:top="720" w:right="720" w:bottom="720" w:left="720" w:header="283" w:footer="283" w:gutter="0"/>
          <w:cols w:space="567"/>
          <w:bidi/>
          <w:rtlGutter/>
          <w:docGrid w:linePitch="299"/>
        </w:sectPr>
      </w:pPr>
    </w:p>
    <w:p w14:paraId="03846F5F" w14:textId="77777777" w:rsidR="003D504D" w:rsidRPr="00B06D6B" w:rsidRDefault="004B65FC" w:rsidP="003D504D">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36B2A0B7">
          <v:shape id="_x0000_i1050" type="#_x0000_t75" style="width:404.55pt;height:6.8pt" o:hrpct="0" o:hralign="center" o:hr="t">
            <v:imagedata r:id="rId21" o:title="BD14845_"/>
          </v:shape>
        </w:pict>
      </w:r>
      <w:r w:rsidR="003D504D" w:rsidRPr="00B06D6B">
        <w:rPr>
          <w:rFonts w:ascii="Guttman Hodes" w:eastAsia="Guttman Hodes" w:hAnsi="Guttman Hodes" w:cs="Guttman Hodes" w:hint="cs"/>
          <w:noProof/>
          <w:sz w:val="18"/>
          <w:szCs w:val="18"/>
          <w:rtl/>
        </w:rPr>
        <w:t xml:space="preserve"> </w:t>
      </w:r>
    </w:p>
    <w:p w14:paraId="0AB13128" w14:textId="77777777" w:rsidR="003D504D" w:rsidRDefault="003D504D" w:rsidP="003D504D">
      <w:pPr>
        <w:pStyle w:val="2"/>
        <w:rPr>
          <w:rtl/>
        </w:rPr>
        <w:sectPr w:rsidR="003D504D" w:rsidSect="003D504D">
          <w:pgSz w:w="11906" w:h="16838"/>
          <w:pgMar w:top="720" w:right="720" w:bottom="720" w:left="720" w:header="283" w:footer="283" w:gutter="0"/>
          <w:cols w:space="567"/>
          <w:bidi/>
          <w:rtlGutter/>
          <w:docGrid w:linePitch="299"/>
        </w:sectPr>
      </w:pPr>
      <w:bookmarkStart w:id="20468" w:name="_Toc955103"/>
      <w:bookmarkStart w:id="20469" w:name="_Toc974546"/>
      <w:bookmarkStart w:id="20470" w:name="_Toc984462"/>
      <w:bookmarkStart w:id="20471" w:name="_Toc1056596"/>
      <w:bookmarkStart w:id="20472" w:name="_Toc1109754"/>
      <w:bookmarkStart w:id="20473" w:name="_Toc1128733"/>
      <w:bookmarkStart w:id="20474" w:name="_Toc1250119"/>
      <w:bookmarkStart w:id="20475" w:name="_Toc1258123"/>
      <w:bookmarkStart w:id="20476" w:name="_Toc19436190"/>
      <w:r w:rsidRPr="00B06D6B">
        <w:rPr>
          <w:rFonts w:hint="cs"/>
          <w:rtl/>
        </w:rPr>
        <w:t>ביאורי ראשי הישיבות על הסוגיא</w:t>
      </w:r>
      <w:bookmarkEnd w:id="20468"/>
      <w:bookmarkEnd w:id="20469"/>
      <w:bookmarkEnd w:id="20470"/>
      <w:bookmarkEnd w:id="20471"/>
      <w:bookmarkEnd w:id="20472"/>
      <w:bookmarkEnd w:id="20473"/>
      <w:bookmarkEnd w:id="20474"/>
      <w:bookmarkEnd w:id="20475"/>
      <w:bookmarkEnd w:id="20476"/>
    </w:p>
    <w:p w14:paraId="4AB7945C" w14:textId="77777777" w:rsidR="003D504D" w:rsidRPr="00B06D6B" w:rsidRDefault="003D504D" w:rsidP="003D504D">
      <w:pPr>
        <w:pStyle w:val="afe"/>
      </w:pPr>
      <w:bookmarkStart w:id="20477" w:name="_Toc519054"/>
      <w:bookmarkStart w:id="20478" w:name="_Toc725033"/>
      <w:bookmarkStart w:id="20479" w:name="_Toc773242"/>
      <w:bookmarkStart w:id="20480" w:name="_Toc862094"/>
      <w:bookmarkStart w:id="20481" w:name="_Toc890767"/>
      <w:bookmarkStart w:id="20482" w:name="_Toc903176"/>
      <w:bookmarkStart w:id="20483" w:name="_Toc955104"/>
      <w:bookmarkStart w:id="20484" w:name="_Toc974547"/>
      <w:bookmarkStart w:id="20485" w:name="_Toc984463"/>
      <w:bookmarkStart w:id="20486" w:name="_Toc1056597"/>
      <w:bookmarkStart w:id="20487" w:name="_Toc1109755"/>
      <w:bookmarkStart w:id="20488" w:name="_Toc1128734"/>
      <w:bookmarkStart w:id="20489" w:name="_Toc1250120"/>
      <w:bookmarkStart w:id="20490" w:name="_Toc1258124"/>
      <w:bookmarkStart w:id="20491" w:name="_Toc19436191"/>
      <w:bookmarkStart w:id="20492" w:name="_Toc20081360"/>
      <w:r w:rsidRPr="00B06D6B">
        <w:rPr>
          <w:rFonts w:hint="cs"/>
          <w:rtl/>
        </w:rPr>
        <w:t>ב</w:t>
      </w:r>
      <w:r>
        <w:rPr>
          <w:rFonts w:hint="cs"/>
          <w:rtl/>
        </w:rPr>
        <w:t xml:space="preserve">גדר </w:t>
      </w:r>
      <w:r w:rsidRPr="00B06D6B">
        <w:rPr>
          <w:rFonts w:hint="cs"/>
          <w:rtl/>
        </w:rPr>
        <w:t>זה וזה גורם</w:t>
      </w:r>
      <w:bookmarkEnd w:id="20477"/>
      <w:bookmarkEnd w:id="20478"/>
      <w:bookmarkEnd w:id="20479"/>
      <w:bookmarkEnd w:id="20480"/>
      <w:bookmarkEnd w:id="20481"/>
      <w:bookmarkEnd w:id="20482"/>
      <w:bookmarkEnd w:id="20483"/>
      <w:bookmarkEnd w:id="20484"/>
      <w:bookmarkEnd w:id="20485"/>
      <w:bookmarkEnd w:id="20486"/>
      <w:bookmarkEnd w:id="20487"/>
      <w:bookmarkEnd w:id="20488"/>
      <w:bookmarkEnd w:id="20489"/>
      <w:bookmarkEnd w:id="20490"/>
      <w:bookmarkEnd w:id="20491"/>
      <w:bookmarkEnd w:id="20492"/>
      <w:r w:rsidRPr="00B06D6B">
        <w:rPr>
          <w:rFonts w:hint="cs"/>
          <w:rtl/>
        </w:rPr>
        <w:t xml:space="preserve"> </w:t>
      </w:r>
    </w:p>
    <w:p w14:paraId="7FC37C89" w14:textId="77777777" w:rsidR="003D504D" w:rsidRPr="00B06D6B" w:rsidRDefault="003D504D" w:rsidP="00BF39B2">
      <w:pPr>
        <w:pStyle w:val="1"/>
        <w:rPr>
          <w:rtl/>
        </w:rPr>
      </w:pPr>
      <w:bookmarkStart w:id="20493" w:name="_Toc536787005"/>
      <w:bookmarkStart w:id="20494" w:name="_Toc519055"/>
      <w:bookmarkStart w:id="20495" w:name="_Toc725034"/>
      <w:bookmarkStart w:id="20496" w:name="_Toc773243"/>
      <w:bookmarkStart w:id="20497" w:name="_Toc862095"/>
      <w:bookmarkStart w:id="20498" w:name="_Toc890768"/>
      <w:bookmarkStart w:id="20499" w:name="_Toc903177"/>
      <w:bookmarkStart w:id="20500" w:name="_Toc955105"/>
      <w:bookmarkStart w:id="20501" w:name="_Toc974548"/>
      <w:bookmarkStart w:id="20502" w:name="_Toc984464"/>
      <w:bookmarkStart w:id="20503" w:name="_Toc1056598"/>
      <w:bookmarkStart w:id="20504" w:name="_Toc1109756"/>
      <w:bookmarkStart w:id="20505" w:name="_Toc1128735"/>
      <w:bookmarkStart w:id="20506" w:name="_Toc1250121"/>
      <w:bookmarkStart w:id="20507" w:name="_Toc1258125"/>
      <w:bookmarkStart w:id="20508" w:name="_Toc19391559"/>
      <w:bookmarkStart w:id="20509" w:name="_Toc19395056"/>
      <w:r w:rsidRPr="00B06D6B">
        <w:rPr>
          <w:rFonts w:hint="cs"/>
          <w:rtl/>
        </w:rPr>
        <w:t>דברי הגר"ח</w:t>
      </w:r>
      <w:bookmarkEnd w:id="20493"/>
      <w:bookmarkEnd w:id="20494"/>
      <w:bookmarkEnd w:id="20495"/>
      <w:bookmarkEnd w:id="20496"/>
      <w:bookmarkEnd w:id="20497"/>
      <w:bookmarkEnd w:id="20498"/>
      <w:bookmarkEnd w:id="20499"/>
      <w:bookmarkEnd w:id="20500"/>
      <w:bookmarkEnd w:id="20501"/>
      <w:bookmarkEnd w:id="20502"/>
      <w:bookmarkEnd w:id="20503"/>
      <w:bookmarkEnd w:id="20504"/>
      <w:bookmarkEnd w:id="20505"/>
      <w:r>
        <w:rPr>
          <w:rFonts w:hint="cs"/>
          <w:rtl/>
        </w:rPr>
        <w:t xml:space="preserve"> והקוב"ש בביאור קושית התוס' לעיל</w:t>
      </w:r>
      <w:bookmarkEnd w:id="20506"/>
      <w:bookmarkEnd w:id="20507"/>
      <w:bookmarkEnd w:id="20508"/>
      <w:bookmarkEnd w:id="20509"/>
    </w:p>
    <w:p w14:paraId="098DA249" w14:textId="77777777" w:rsidR="003D504D" w:rsidRPr="00B06D6B" w:rsidRDefault="003D504D" w:rsidP="003D504D">
      <w:pPr>
        <w:pStyle w:val="a3"/>
      </w:pPr>
      <w:bookmarkStart w:id="20510" w:name="_Toc1250122"/>
      <w:bookmarkStart w:id="20511" w:name="_Toc1258126"/>
      <w:bookmarkStart w:id="20512" w:name="_Toc19391560"/>
      <w:bookmarkStart w:id="20513" w:name="_Toc19395057"/>
      <w:r>
        <w:rPr>
          <w:rFonts w:hint="cs"/>
          <w:rtl/>
        </w:rPr>
        <w:t>הביאור הא' בגר"ח דקושית התוס' לעיל דאף אי חוששין לזרע האב יהיה מותר מדין זה וזה גורם</w:t>
      </w:r>
      <w:bookmarkEnd w:id="20510"/>
      <w:bookmarkEnd w:id="20511"/>
      <w:bookmarkEnd w:id="20512"/>
      <w:bookmarkEnd w:id="20513"/>
    </w:p>
    <w:p w14:paraId="19979095" w14:textId="77777777" w:rsidR="003D504D" w:rsidRPr="00B06D6B" w:rsidRDefault="003D504D" w:rsidP="00223668">
      <w:pPr>
        <w:pStyle w:val="a0"/>
      </w:pPr>
      <w:bookmarkStart w:id="20514" w:name="_Ref536786980"/>
      <w:r w:rsidRPr="00B06D6B">
        <w:rPr>
          <w:rFonts w:hint="cs"/>
          <w:rtl/>
        </w:rPr>
        <w:t xml:space="preserve">בקושית </w:t>
      </w:r>
      <w:r w:rsidRPr="00B06D6B">
        <w:rPr>
          <w:rStyle w:val="af9"/>
          <w:rFonts w:hint="cs"/>
          <w:rtl/>
        </w:rPr>
        <w:t>התוס' לעיל</w:t>
      </w:r>
      <w:r w:rsidRPr="005679AC">
        <w:rPr>
          <w:rStyle w:val="af7"/>
          <w:rFonts w:eastAsia="Guttman Hodes" w:hint="cs"/>
          <w:rtl/>
        </w:rPr>
        <w:t xml:space="preserve"> (עי'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Ref536786977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ל)</w:t>
      </w:r>
      <w:r w:rsidRPr="00B06D6B">
        <w:rPr>
          <w:rStyle w:val="af7"/>
          <w:rFonts w:eastAsia="Guttman Hodes"/>
          <w:rtl/>
        </w:rPr>
        <w:fldChar w:fldCharType="end"/>
      </w:r>
      <w:r w:rsidRPr="00B06D6B">
        <w:rPr>
          <w:rFonts w:hint="cs"/>
          <w:rtl/>
        </w:rPr>
        <w:t xml:space="preserve"> דאמאי ביצת הטריפה מותרת מדין זה וזה גורם, הרי קיי"ל כרבי יהודה דמספקא ליה אי חוששין לזרע האב, כתב </w:t>
      </w:r>
      <w:r w:rsidRPr="00B06D6B">
        <w:rPr>
          <w:rStyle w:val="af9"/>
          <w:rFonts w:hint="cs"/>
          <w:rtl/>
        </w:rPr>
        <w:t>הגר"ח</w:t>
      </w:r>
      <w:r w:rsidRPr="00B06D6B">
        <w:rPr>
          <w:rFonts w:hint="cs"/>
          <w:rtl/>
        </w:rPr>
        <w:t xml:space="preserve"> </w:t>
      </w:r>
      <w:r w:rsidRPr="005679AC">
        <w:rPr>
          <w:rStyle w:val="af7"/>
          <w:rFonts w:eastAsia="Guttman Hodes" w:hint="cs"/>
          <w:rtl/>
        </w:rPr>
        <w:t>(מאכ"א פ"ג הי"א)</w:t>
      </w:r>
      <w:r w:rsidRPr="00B06D6B">
        <w:rPr>
          <w:rFonts w:hint="cs"/>
          <w:rtl/>
        </w:rPr>
        <w:t xml:space="preserve"> דאפשר לבאר את קושית </w:t>
      </w:r>
      <w:r w:rsidRPr="00B06D6B">
        <w:rPr>
          <w:rStyle w:val="af9"/>
          <w:rFonts w:hint="cs"/>
          <w:rtl/>
        </w:rPr>
        <w:t>התוס' לעיל</w:t>
      </w:r>
      <w:r w:rsidRPr="00B06D6B">
        <w:rPr>
          <w:rFonts w:hint="cs"/>
          <w:rtl/>
        </w:rPr>
        <w:t xml:space="preserve"> בב' אופנים, או דכוונתם להקשות דאף אם חוששין לזרע האב מ"מ יחשב כזה וזה גורם ומותר, </w:t>
      </w:r>
      <w:r w:rsidRPr="00B06D6B">
        <w:rPr>
          <w:rStyle w:val="afb"/>
          <w:rFonts w:hint="cs"/>
          <w:rtl/>
        </w:rPr>
        <w:t xml:space="preserve">[היינו דאף בגמ' לקמן </w:t>
      </w:r>
      <w:r w:rsidRPr="00B06D6B">
        <w:rPr>
          <w:rStyle w:val="aff6"/>
          <w:rFonts w:hint="cs"/>
          <w:rtl/>
        </w:rPr>
        <w:t>(עט.)</w:t>
      </w:r>
      <w:r w:rsidRPr="00B06D6B">
        <w:rPr>
          <w:rStyle w:val="afb"/>
          <w:rFonts w:hint="cs"/>
          <w:rtl/>
        </w:rPr>
        <w:t xml:space="preserve"> יהיה מותר]</w:t>
      </w:r>
      <w:r w:rsidRPr="00B06D6B">
        <w:rPr>
          <w:rFonts w:hint="cs"/>
          <w:rtl/>
        </w:rPr>
        <w:t xml:space="preserve">, ועי' בדברי </w:t>
      </w:r>
      <w:r w:rsidRPr="00B06D6B">
        <w:rPr>
          <w:rStyle w:val="af9"/>
          <w:rFonts w:hint="cs"/>
          <w:rtl/>
        </w:rPr>
        <w:t>האבי עזרי</w:t>
      </w:r>
      <w:r w:rsidRPr="00B06D6B">
        <w:rPr>
          <w:rFonts w:hint="cs"/>
          <w:rtl/>
        </w:rPr>
        <w:t xml:space="preserve">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Ref536787011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נד)</w:t>
      </w:r>
      <w:r w:rsidRPr="00B06D6B">
        <w:rPr>
          <w:rStyle w:val="af7"/>
          <w:rFonts w:eastAsia="Guttman Hodes"/>
          <w:rtl/>
        </w:rPr>
        <w:fldChar w:fldCharType="end"/>
      </w:r>
      <w:r w:rsidRPr="00B06D6B">
        <w:rPr>
          <w:rFonts w:hint="cs"/>
          <w:rtl/>
        </w:rPr>
        <w:t xml:space="preserve"> ד</w:t>
      </w:r>
      <w:r>
        <w:rPr>
          <w:rFonts w:hint="cs"/>
          <w:rtl/>
        </w:rPr>
        <w:t>כתב ד</w:t>
      </w:r>
      <w:r w:rsidRPr="00B06D6B">
        <w:rPr>
          <w:rFonts w:hint="cs"/>
          <w:rtl/>
        </w:rPr>
        <w:t xml:space="preserve">כן מבואר </w:t>
      </w:r>
      <w:r w:rsidRPr="00B06D6B">
        <w:rPr>
          <w:rStyle w:val="af9"/>
          <w:rFonts w:hint="cs"/>
          <w:rtl/>
        </w:rPr>
        <w:t>בתוס' בבכורות</w:t>
      </w:r>
      <w:r w:rsidRPr="00B06D6B">
        <w:rPr>
          <w:rFonts w:hint="cs"/>
          <w:rtl/>
        </w:rPr>
        <w:t>.</w:t>
      </w:r>
      <w:bookmarkEnd w:id="20514"/>
    </w:p>
    <w:p w14:paraId="6692513C" w14:textId="77777777" w:rsidR="003D504D" w:rsidRPr="00B06D6B" w:rsidRDefault="003D504D" w:rsidP="003D504D">
      <w:pPr>
        <w:pStyle w:val="a3"/>
        <w:rPr>
          <w:rtl/>
        </w:rPr>
      </w:pPr>
      <w:bookmarkStart w:id="20515" w:name="_Toc1250123"/>
      <w:bookmarkStart w:id="20516" w:name="_Toc1258127"/>
      <w:bookmarkStart w:id="20517" w:name="_Toc19391561"/>
      <w:bookmarkStart w:id="20518" w:name="_Toc19395058"/>
      <w:r>
        <w:rPr>
          <w:rFonts w:hint="cs"/>
          <w:rtl/>
        </w:rPr>
        <w:t>הביאור הב' בגר"ח דקושית התוס' לעיל דאי אין חוששין</w:t>
      </w:r>
      <w:bookmarkEnd w:id="20515"/>
      <w:bookmarkEnd w:id="20516"/>
      <w:bookmarkEnd w:id="20517"/>
      <w:bookmarkEnd w:id="20518"/>
      <w:r>
        <w:rPr>
          <w:rFonts w:hint="cs"/>
          <w:rtl/>
        </w:rPr>
        <w:t xml:space="preserve"> </w:t>
      </w:r>
    </w:p>
    <w:p w14:paraId="164351FA" w14:textId="77777777" w:rsidR="003D504D" w:rsidRDefault="003D504D" w:rsidP="00223668">
      <w:pPr>
        <w:pStyle w:val="a0"/>
        <w:rPr>
          <w:rtl/>
        </w:rPr>
      </w:pPr>
      <w:r w:rsidRPr="00B06D6B">
        <w:rPr>
          <w:rFonts w:hint="cs"/>
          <w:rtl/>
        </w:rPr>
        <w:t>והאופן הב' ביאר</w:t>
      </w:r>
      <w:r w:rsidRPr="00B06D6B">
        <w:rPr>
          <w:rStyle w:val="af9"/>
          <w:rFonts w:hint="cs"/>
          <w:rtl/>
        </w:rPr>
        <w:t xml:space="preserve"> הגר"ח</w:t>
      </w:r>
      <w:r w:rsidRPr="00B06D6B">
        <w:rPr>
          <w:rFonts w:hint="cs"/>
          <w:rtl/>
        </w:rPr>
        <w:t xml:space="preserve"> דכוונת </w:t>
      </w:r>
      <w:r w:rsidRPr="00B06D6B">
        <w:rPr>
          <w:rStyle w:val="af9"/>
          <w:rFonts w:hint="cs"/>
          <w:rtl/>
        </w:rPr>
        <w:t>התוס' לעיל</w:t>
      </w:r>
      <w:r w:rsidRPr="00B06D6B">
        <w:rPr>
          <w:rFonts w:hint="cs"/>
          <w:rtl/>
        </w:rPr>
        <w:t xml:space="preserve"> להקשות דכיון דלר"י אין חוששין לזרע האב, א"כ אי"ז חשיב כזה וזה גורם כלל, ואף בביצת טריפה יהיה ספק אי חוששין לזרע האב, ותלוי בזה וזה גורם או דאין חוששין לו והזכר אינו גורם כלל, וא"כ ביצת טריפה אסורה</w:t>
      </w:r>
      <w:r>
        <w:rPr>
          <w:rFonts w:hint="cs"/>
          <w:rtl/>
        </w:rPr>
        <w:t>.</w:t>
      </w:r>
    </w:p>
    <w:p w14:paraId="2FAC9BDE" w14:textId="77777777" w:rsidR="003D504D" w:rsidRPr="0082283F" w:rsidRDefault="003D504D" w:rsidP="003D504D">
      <w:pPr>
        <w:pStyle w:val="a3"/>
      </w:pPr>
      <w:bookmarkStart w:id="20519" w:name="_Toc1250124"/>
      <w:bookmarkStart w:id="20520" w:name="_Toc1258128"/>
      <w:bookmarkStart w:id="20521" w:name="_Toc19391562"/>
      <w:bookmarkStart w:id="20522" w:name="_Toc19395059"/>
      <w:r>
        <w:rPr>
          <w:rFonts w:hint="cs"/>
          <w:rtl/>
        </w:rPr>
        <w:t>ביאור הקוב"ש בתוס' לעיל ובסנהדרין דאי אין חוששין לזרע האב לא הוי זה וזה גורם</w:t>
      </w:r>
      <w:bookmarkEnd w:id="20519"/>
      <w:bookmarkEnd w:id="20520"/>
      <w:bookmarkEnd w:id="20521"/>
      <w:bookmarkEnd w:id="20522"/>
    </w:p>
    <w:p w14:paraId="0BE46865" w14:textId="77777777" w:rsidR="003D504D" w:rsidRPr="00B06D6B" w:rsidRDefault="003D504D" w:rsidP="00223668">
      <w:pPr>
        <w:pStyle w:val="a0"/>
        <w:rPr>
          <w:rtl/>
        </w:rPr>
      </w:pPr>
      <w:bookmarkStart w:id="20523" w:name="_Ref1252499"/>
      <w:r w:rsidRPr="00B06D6B">
        <w:rPr>
          <w:rFonts w:hint="cs"/>
          <w:rtl/>
        </w:rPr>
        <w:t>וכ</w:t>
      </w:r>
      <w:r>
        <w:rPr>
          <w:rFonts w:hint="cs"/>
          <w:rtl/>
        </w:rPr>
        <w:t>ן ביאר</w:t>
      </w:r>
      <w:r w:rsidRPr="00B06D6B">
        <w:rPr>
          <w:rStyle w:val="af9"/>
          <w:rFonts w:hint="cs"/>
          <w:rtl/>
        </w:rPr>
        <w:t xml:space="preserve"> הקוב"ש </w:t>
      </w:r>
      <w:r w:rsidRPr="005679AC">
        <w:rPr>
          <w:rStyle w:val="af7"/>
          <w:rFonts w:eastAsia="Guttman Hodes" w:hint="cs"/>
          <w:rtl/>
        </w:rPr>
        <w:t xml:space="preserve">(ח"ב קובץ שמועות חולין כ"ט) </w:t>
      </w:r>
      <w:r>
        <w:rPr>
          <w:rFonts w:hint="cs"/>
          <w:rtl/>
        </w:rPr>
        <w:t>את קושית</w:t>
      </w:r>
      <w:r w:rsidRPr="00B06D6B">
        <w:rPr>
          <w:rFonts w:hint="cs"/>
          <w:rtl/>
        </w:rPr>
        <w:t xml:space="preserve"> </w:t>
      </w:r>
      <w:r w:rsidRPr="00B06D6B">
        <w:rPr>
          <w:rStyle w:val="af9"/>
          <w:rFonts w:hint="cs"/>
          <w:rtl/>
        </w:rPr>
        <w:t xml:space="preserve">התוס' לעיל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Ref536786977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ל)</w:t>
      </w:r>
      <w:r w:rsidRPr="00B06D6B">
        <w:rPr>
          <w:rStyle w:val="af7"/>
          <w:rFonts w:eastAsia="Guttman Hodes"/>
          <w:rtl/>
        </w:rPr>
        <w:fldChar w:fldCharType="end"/>
      </w:r>
      <w:r w:rsidRPr="00B06D6B">
        <w:rPr>
          <w:rFonts w:hint="cs"/>
          <w:rtl/>
        </w:rPr>
        <w:t xml:space="preserve"> </w:t>
      </w:r>
      <w:r>
        <w:rPr>
          <w:rFonts w:hint="cs"/>
          <w:rtl/>
        </w:rPr>
        <w:t>וכתב</w:t>
      </w:r>
      <w:r w:rsidRPr="00B06D6B">
        <w:rPr>
          <w:rStyle w:val="af9"/>
          <w:rFonts w:hint="cs"/>
          <w:rtl/>
        </w:rPr>
        <w:t xml:space="preserve"> הקוב"ש</w:t>
      </w:r>
      <w:r>
        <w:rPr>
          <w:rStyle w:val="af9"/>
          <w:rFonts w:hint="cs"/>
          <w:rtl/>
        </w:rPr>
        <w:t xml:space="preserve"> </w:t>
      </w:r>
      <w:r w:rsidRPr="0082283F">
        <w:rPr>
          <w:rFonts w:hint="cs"/>
          <w:rtl/>
        </w:rPr>
        <w:t>דזו כוונת</w:t>
      </w:r>
      <w:r w:rsidRPr="00B06D6B">
        <w:rPr>
          <w:rStyle w:val="af9"/>
          <w:rFonts w:hint="cs"/>
          <w:rtl/>
        </w:rPr>
        <w:t xml:space="preserve"> והתוס' בסנהדרין</w:t>
      </w:r>
      <w:r w:rsidRPr="00B06D6B">
        <w:rPr>
          <w:rFonts w:hint="cs"/>
          <w:rtl/>
        </w:rPr>
        <w:t xml:space="preserve">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Ref635874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sidRPr="00B06D6B">
        <w:rPr>
          <w:rStyle w:val="af7"/>
          <w:rFonts w:eastAsia="Guttman Hodes"/>
          <w:rtl/>
        </w:rPr>
        <w:fldChar w:fldCharType="end"/>
      </w:r>
      <w:r w:rsidRPr="00B06D6B">
        <w:rPr>
          <w:rFonts w:hint="cs"/>
          <w:rtl/>
        </w:rPr>
        <w:t xml:space="preserve"> להקשות דאם אין חוששין לזרע האב, ממילא יש רק גורם אחד </w:t>
      </w:r>
      <w:r w:rsidRPr="00B06D6B">
        <w:rPr>
          <w:rStyle w:val="afb"/>
          <w:rFonts w:hint="cs"/>
          <w:rtl/>
        </w:rPr>
        <w:t>[דהיא האם]</w:t>
      </w:r>
      <w:r w:rsidRPr="00B06D6B">
        <w:rPr>
          <w:rFonts w:hint="cs"/>
          <w:rtl/>
        </w:rPr>
        <w:t>, ולא שייך בזה זה וזה גורם.</w:t>
      </w:r>
      <w:bookmarkEnd w:id="20523"/>
    </w:p>
    <w:p w14:paraId="5485AEE0" w14:textId="77777777" w:rsidR="003D504D" w:rsidRDefault="003D504D" w:rsidP="00BF39B2">
      <w:pPr>
        <w:pStyle w:val="1"/>
        <w:rPr>
          <w:rtl/>
        </w:rPr>
      </w:pPr>
      <w:bookmarkStart w:id="20524" w:name="_Toc1250125"/>
      <w:bookmarkStart w:id="20525" w:name="_Toc1258129"/>
      <w:bookmarkStart w:id="20526" w:name="_Toc19391563"/>
      <w:bookmarkStart w:id="20527" w:name="_Toc19395060"/>
      <w:r>
        <w:rPr>
          <w:rFonts w:hint="cs"/>
          <w:rtl/>
        </w:rPr>
        <w:t>ביאור הגר"ח דדין זה וזה גורם הוא בדבר שאין אסור מצד עצמו</w:t>
      </w:r>
      <w:bookmarkEnd w:id="20524"/>
      <w:bookmarkEnd w:id="20525"/>
      <w:bookmarkEnd w:id="20526"/>
      <w:bookmarkEnd w:id="20527"/>
    </w:p>
    <w:p w14:paraId="2792AC75" w14:textId="77777777" w:rsidR="003D504D" w:rsidRPr="009C25A5" w:rsidRDefault="003D504D" w:rsidP="003D504D">
      <w:pPr>
        <w:pStyle w:val="a3"/>
        <w:rPr>
          <w:rtl/>
        </w:rPr>
      </w:pPr>
      <w:bookmarkStart w:id="20528" w:name="_Toc1250126"/>
      <w:bookmarkStart w:id="20529" w:name="_Toc1258130"/>
      <w:bookmarkStart w:id="20530" w:name="_Toc19391564"/>
      <w:bookmarkStart w:id="20531" w:name="_Toc19395061"/>
      <w:r>
        <w:rPr>
          <w:rFonts w:hint="cs"/>
          <w:rtl/>
        </w:rPr>
        <w:t>ביאור הגר"ח דיש ב' דינים ביוצא מטמא הא' דבר שאיסורו מצד עצמו</w:t>
      </w:r>
      <w:r w:rsidRPr="00827955">
        <w:rPr>
          <w:rFonts w:hint="cs"/>
          <w:rtl/>
        </w:rPr>
        <w:t xml:space="preserve"> </w:t>
      </w:r>
      <w:r>
        <w:rPr>
          <w:rFonts w:hint="cs"/>
          <w:rtl/>
        </w:rPr>
        <w:t>והב' שאסור מחמת אמו</w:t>
      </w:r>
      <w:bookmarkEnd w:id="20528"/>
      <w:bookmarkEnd w:id="20529"/>
      <w:bookmarkEnd w:id="20530"/>
      <w:bookmarkEnd w:id="20531"/>
    </w:p>
    <w:p w14:paraId="40EEB941" w14:textId="77777777" w:rsidR="003D504D" w:rsidRDefault="003D504D" w:rsidP="00223668">
      <w:pPr>
        <w:pStyle w:val="a0"/>
        <w:rPr>
          <w:rtl/>
        </w:rPr>
      </w:pPr>
      <w:bookmarkStart w:id="20532" w:name="_Ref1284165"/>
      <w:bookmarkStart w:id="20533" w:name="_Ref536786984"/>
      <w:r w:rsidRPr="00B06D6B">
        <w:rPr>
          <w:rFonts w:hint="cs"/>
          <w:rtl/>
        </w:rPr>
        <w:t xml:space="preserve">כתב </w:t>
      </w:r>
      <w:r w:rsidRPr="00B06D6B">
        <w:rPr>
          <w:rStyle w:val="af9"/>
          <w:rFonts w:hint="cs"/>
          <w:rtl/>
        </w:rPr>
        <w:t>הגר"ח</w:t>
      </w:r>
      <w:r w:rsidRPr="00B06D6B">
        <w:rPr>
          <w:rFonts w:hint="cs"/>
          <w:rtl/>
        </w:rPr>
        <w:t xml:space="preserve"> דמבואר דבדין דהיוצא מן הטמא אסור, יש ב' איסורים, הא' דטהור שנולד מטמאה יש בו איסור מצד עצמו, דהוא כאמו, והב' דאף ששאינו בדין של אמו ואין בו איסור מצד עצמו, מ"מ אסור מדין יוצא מן הטמא</w:t>
      </w:r>
      <w:r>
        <w:rPr>
          <w:rFonts w:hint="cs"/>
          <w:rtl/>
        </w:rPr>
        <w:t>.</w:t>
      </w:r>
      <w:bookmarkEnd w:id="20532"/>
    </w:p>
    <w:p w14:paraId="2145C7A9" w14:textId="77777777" w:rsidR="003D504D" w:rsidRPr="00E52F7E" w:rsidRDefault="003D504D" w:rsidP="003D504D">
      <w:pPr>
        <w:pStyle w:val="a3"/>
      </w:pPr>
      <w:bookmarkStart w:id="20534" w:name="_Toc1250127"/>
      <w:bookmarkStart w:id="20535" w:name="_Toc1258131"/>
      <w:bookmarkStart w:id="20536" w:name="_Toc19391565"/>
      <w:bookmarkStart w:id="20537" w:name="_Toc19395062"/>
      <w:r>
        <w:rPr>
          <w:rFonts w:hint="cs"/>
          <w:rtl/>
        </w:rPr>
        <w:t>דברי הגר"ח דולד טריפה אינו אסור מצד עצמו אלא מחמת דנולד מטרפה</w:t>
      </w:r>
      <w:bookmarkEnd w:id="20534"/>
      <w:bookmarkEnd w:id="20535"/>
      <w:bookmarkEnd w:id="20536"/>
      <w:bookmarkEnd w:id="20537"/>
    </w:p>
    <w:p w14:paraId="0D095818" w14:textId="77777777" w:rsidR="003D504D" w:rsidRPr="00B06D6B" w:rsidRDefault="003D504D" w:rsidP="00223668">
      <w:pPr>
        <w:pStyle w:val="a0"/>
        <w:rPr>
          <w:rtl/>
        </w:rPr>
      </w:pPr>
      <w:r w:rsidRPr="00B06D6B">
        <w:rPr>
          <w:rFonts w:hint="cs"/>
          <w:rtl/>
        </w:rPr>
        <w:t xml:space="preserve">וכתב </w:t>
      </w:r>
      <w:r w:rsidRPr="00B06D6B">
        <w:rPr>
          <w:rStyle w:val="af9"/>
          <w:rFonts w:hint="cs"/>
          <w:rtl/>
        </w:rPr>
        <w:t>הגר"ח</w:t>
      </w:r>
      <w:r w:rsidRPr="00B06D6B">
        <w:rPr>
          <w:rFonts w:hint="cs"/>
          <w:rtl/>
        </w:rPr>
        <w:t xml:space="preserve"> דולד טריפה אין בו איסור מצד עצמו, דאף האם אינה אסורה מצד עצמה אלא דכיון שנטרפה נאסרה וחשיב דדבר אחר גרם לה איסור, ולכן אף דהולד הוא כמוה אין בו איסור מצד עצמו </w:t>
      </w:r>
      <w:r w:rsidRPr="00B06D6B">
        <w:rPr>
          <w:rStyle w:val="afb"/>
          <w:rFonts w:hint="cs"/>
          <w:rtl/>
        </w:rPr>
        <w:t>[דהוא אינו טריפה]</w:t>
      </w:r>
      <w:r w:rsidRPr="00B06D6B">
        <w:rPr>
          <w:rFonts w:hint="cs"/>
          <w:rtl/>
        </w:rPr>
        <w:t xml:space="preserve">, אלא איסורו הוא מחמת שיצא מדבר האסור, ואמו גרמה לו איסור, עיי"ש דהוכיח </w:t>
      </w:r>
      <w:r w:rsidRPr="00B06D6B">
        <w:rPr>
          <w:rStyle w:val="af9"/>
          <w:rFonts w:hint="cs"/>
          <w:rtl/>
        </w:rPr>
        <w:t>הגר"ח</w:t>
      </w:r>
      <w:r w:rsidRPr="00B06D6B">
        <w:rPr>
          <w:rFonts w:hint="cs"/>
          <w:rtl/>
        </w:rPr>
        <w:t xml:space="preserve"> כן מדברי </w:t>
      </w:r>
      <w:r w:rsidRPr="00B06D6B">
        <w:rPr>
          <w:rStyle w:val="af9"/>
          <w:rFonts w:hint="cs"/>
          <w:rtl/>
        </w:rPr>
        <w:t>הרמב"ם</w:t>
      </w:r>
      <w:r w:rsidRPr="00B06D6B">
        <w:rPr>
          <w:rFonts w:hint="cs"/>
          <w:rtl/>
        </w:rPr>
        <w:t>.</w:t>
      </w:r>
      <w:bookmarkEnd w:id="20533"/>
    </w:p>
    <w:p w14:paraId="3A853EF3" w14:textId="77777777" w:rsidR="003D504D" w:rsidRPr="00B06D6B" w:rsidRDefault="003D504D" w:rsidP="003D504D">
      <w:pPr>
        <w:pStyle w:val="a3"/>
        <w:rPr>
          <w:rtl/>
        </w:rPr>
      </w:pPr>
      <w:bookmarkStart w:id="20538" w:name="_Toc1250128"/>
      <w:bookmarkStart w:id="20539" w:name="_Toc1258132"/>
      <w:bookmarkStart w:id="20540" w:name="_Toc19391566"/>
      <w:bookmarkStart w:id="20541" w:name="_Toc19395063"/>
      <w:r>
        <w:rPr>
          <w:rFonts w:hint="cs"/>
          <w:rtl/>
        </w:rPr>
        <w:t>דברי הגר"ח דדין זה וזה גורם הוא כשאין אסור מצד עצמו ובזה קיי"ל דמותר</w:t>
      </w:r>
      <w:bookmarkEnd w:id="20538"/>
      <w:bookmarkEnd w:id="20539"/>
      <w:bookmarkEnd w:id="20540"/>
      <w:bookmarkEnd w:id="20541"/>
    </w:p>
    <w:p w14:paraId="24CCCCE4" w14:textId="77777777" w:rsidR="003D504D" w:rsidRDefault="003D504D" w:rsidP="00223668">
      <w:pPr>
        <w:pStyle w:val="a0"/>
        <w:rPr>
          <w:rtl/>
        </w:rPr>
      </w:pPr>
      <w:bookmarkStart w:id="20542" w:name="_Ref636439"/>
      <w:r w:rsidRPr="00B06D6B">
        <w:rPr>
          <w:rFonts w:hint="cs"/>
          <w:rtl/>
        </w:rPr>
        <w:t xml:space="preserve">ולפי"ז ביאר </w:t>
      </w:r>
      <w:r w:rsidRPr="00B06D6B">
        <w:rPr>
          <w:rStyle w:val="af9"/>
          <w:rFonts w:hint="cs"/>
          <w:rtl/>
        </w:rPr>
        <w:t>הגר"ח</w:t>
      </w:r>
      <w:r w:rsidRPr="00B06D6B">
        <w:rPr>
          <w:rFonts w:hint="cs"/>
          <w:rtl/>
        </w:rPr>
        <w:t xml:space="preserve"> את החילוק בין הדין דחוששין לזרע האב, לבין הדין דזה וזה גורם, דדין זה וזה גורם, הוא רק במקום שאין בו איסור מצד עצמו, ואיסורו הוא מחמת שיצא מדבר האסור, שהדבר שיצא ממנו הוא גורם את איסורו, ובכה"ג קיי"ל דזה וזה גורם מותר</w:t>
      </w:r>
      <w:r>
        <w:rPr>
          <w:rFonts w:hint="cs"/>
          <w:rtl/>
        </w:rPr>
        <w:t>.</w:t>
      </w:r>
    </w:p>
    <w:p w14:paraId="5FDD0DC9" w14:textId="77777777" w:rsidR="003D504D" w:rsidRPr="00556488" w:rsidRDefault="003D504D" w:rsidP="003D504D">
      <w:pPr>
        <w:pStyle w:val="a3"/>
      </w:pPr>
      <w:bookmarkStart w:id="20543" w:name="_Toc1250129"/>
      <w:bookmarkStart w:id="20544" w:name="_Toc1258133"/>
      <w:bookmarkStart w:id="20545" w:name="_Toc19391567"/>
      <w:bookmarkStart w:id="20546" w:name="_Toc19395064"/>
      <w:r>
        <w:rPr>
          <w:rFonts w:hint="cs"/>
          <w:rtl/>
        </w:rPr>
        <w:t>דברי הקוב"ש דזו כוונת התוס' לעיל והתוס' בסנהדרין ואף למ"ד דאין חוששין האב חשיב גורם</w:t>
      </w:r>
      <w:bookmarkEnd w:id="20543"/>
      <w:bookmarkEnd w:id="20544"/>
      <w:bookmarkEnd w:id="20545"/>
      <w:bookmarkEnd w:id="20546"/>
    </w:p>
    <w:p w14:paraId="3E66B262" w14:textId="77777777" w:rsidR="003D504D" w:rsidRPr="00B06D6B" w:rsidRDefault="003D504D" w:rsidP="00223668">
      <w:pPr>
        <w:pStyle w:val="a0"/>
        <w:rPr>
          <w:rtl/>
        </w:rPr>
      </w:pPr>
      <w:bookmarkStart w:id="20547" w:name="_Ref1252898"/>
      <w:r w:rsidRPr="00B06D6B">
        <w:rPr>
          <w:rFonts w:hint="cs"/>
          <w:rtl/>
        </w:rPr>
        <w:t xml:space="preserve">וכ"כ </w:t>
      </w:r>
      <w:r w:rsidRPr="00B06D6B">
        <w:rPr>
          <w:rStyle w:val="af9"/>
          <w:rFonts w:hint="cs"/>
          <w:rtl/>
        </w:rPr>
        <w:t xml:space="preserve">הקוב"ש </w:t>
      </w:r>
      <w:r w:rsidRPr="005679AC">
        <w:rPr>
          <w:rStyle w:val="af7"/>
          <w:rFonts w:eastAsia="Guttman Hodes" w:hint="cs"/>
          <w:rtl/>
        </w:rPr>
        <w:t>(ח"ב קובץ שמועות חולין כ"ט)</w:t>
      </w:r>
      <w:r w:rsidRPr="00B06D6B">
        <w:rPr>
          <w:rFonts w:hint="cs"/>
          <w:rtl/>
        </w:rPr>
        <w:t xml:space="preserve"> </w:t>
      </w:r>
      <w:r>
        <w:rPr>
          <w:rFonts w:hint="cs"/>
          <w:rtl/>
        </w:rPr>
        <w:t xml:space="preserve">והוסיף </w:t>
      </w:r>
      <w:r w:rsidRPr="00B06D6B">
        <w:rPr>
          <w:rFonts w:hint="cs"/>
          <w:rtl/>
        </w:rPr>
        <w:t xml:space="preserve">דזו כוונת תירוץ </w:t>
      </w:r>
      <w:r w:rsidRPr="00B06D6B">
        <w:rPr>
          <w:rStyle w:val="af9"/>
          <w:rFonts w:hint="cs"/>
          <w:rtl/>
        </w:rPr>
        <w:t>התוס' לעיל</w:t>
      </w:r>
      <w:r w:rsidRPr="00B06D6B">
        <w:rPr>
          <w:rFonts w:hint="cs"/>
          <w:rtl/>
        </w:rPr>
        <w:t xml:space="preserve">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Ref536786982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B06D6B">
        <w:rPr>
          <w:rStyle w:val="af7"/>
          <w:rFonts w:eastAsia="Guttman Hodes"/>
          <w:rtl/>
        </w:rPr>
        <w:fldChar w:fldCharType="end"/>
      </w:r>
      <w:r w:rsidRPr="00B06D6B">
        <w:rPr>
          <w:rFonts w:hint="cs"/>
          <w:rtl/>
        </w:rPr>
        <w:t xml:space="preserve"> </w:t>
      </w:r>
      <w:r w:rsidRPr="00B06D6B">
        <w:rPr>
          <w:rStyle w:val="af9"/>
          <w:rFonts w:hint="cs"/>
          <w:rtl/>
        </w:rPr>
        <w:t>והתוס' בסנהדרין</w:t>
      </w:r>
      <w:r w:rsidRPr="00B06D6B">
        <w:rPr>
          <w:rFonts w:hint="cs"/>
          <w:rtl/>
        </w:rPr>
        <w:t xml:space="preserve">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Ref635949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לה)</w:t>
      </w:r>
      <w:r w:rsidRPr="00B06D6B">
        <w:rPr>
          <w:rStyle w:val="af7"/>
          <w:rFonts w:eastAsia="Guttman Hodes"/>
          <w:rtl/>
        </w:rPr>
        <w:fldChar w:fldCharType="end"/>
      </w:r>
      <w:r w:rsidRPr="00B06D6B">
        <w:rPr>
          <w:rFonts w:hint="cs"/>
          <w:rtl/>
        </w:rPr>
        <w:t xml:space="preserve">, והוסיף </w:t>
      </w:r>
      <w:r w:rsidRPr="00B06D6B">
        <w:rPr>
          <w:rStyle w:val="af9"/>
          <w:rFonts w:hint="cs"/>
          <w:rtl/>
        </w:rPr>
        <w:t xml:space="preserve">הקוב"ש </w:t>
      </w:r>
      <w:r w:rsidRPr="00B06D6B">
        <w:rPr>
          <w:rFonts w:hint="cs"/>
          <w:rtl/>
        </w:rPr>
        <w:t>דאף למ"ד דאין חוששין לזרע האב, אמרינן דזה וזה גורם מותר, דאף שאין חוששין לאב, מ"מ הוא גורם, ולולי האב לא היה הולד בעולם.</w:t>
      </w:r>
      <w:bookmarkEnd w:id="20542"/>
      <w:bookmarkEnd w:id="20547"/>
    </w:p>
    <w:p w14:paraId="04D635B1" w14:textId="77777777" w:rsidR="003D504D" w:rsidRDefault="003D504D" w:rsidP="00BF39B2">
      <w:pPr>
        <w:pStyle w:val="1"/>
        <w:rPr>
          <w:rtl/>
        </w:rPr>
      </w:pPr>
      <w:bookmarkStart w:id="20548" w:name="_Toc1250130"/>
      <w:bookmarkStart w:id="20549" w:name="_Toc1258134"/>
      <w:bookmarkStart w:id="20550" w:name="_Toc19391568"/>
      <w:bookmarkStart w:id="20551" w:name="_Toc19395065"/>
      <w:r>
        <w:rPr>
          <w:rFonts w:hint="cs"/>
          <w:rtl/>
        </w:rPr>
        <w:t>ביאור הגר"ח והקוב"ש בדין חוששין לזרע האב</w:t>
      </w:r>
      <w:bookmarkEnd w:id="20548"/>
      <w:bookmarkEnd w:id="20549"/>
      <w:bookmarkEnd w:id="20550"/>
      <w:bookmarkEnd w:id="20551"/>
    </w:p>
    <w:p w14:paraId="28D683D8" w14:textId="77777777" w:rsidR="003D504D" w:rsidRPr="006050C8" w:rsidRDefault="003D504D" w:rsidP="003D504D">
      <w:pPr>
        <w:pStyle w:val="a3"/>
      </w:pPr>
      <w:bookmarkStart w:id="20552" w:name="_Toc1250131"/>
      <w:bookmarkStart w:id="20553" w:name="_Toc1258135"/>
      <w:bookmarkStart w:id="20554" w:name="_Toc19391569"/>
      <w:bookmarkStart w:id="20555" w:name="_Toc19395066"/>
      <w:r>
        <w:rPr>
          <w:rFonts w:hint="cs"/>
          <w:rtl/>
        </w:rPr>
        <w:t>ביאור הגר"ח והקוב"ש דדין חוששין לזרע האב הוא כשלא בא מאיסור והנדון אם הוא כמין אביו</w:t>
      </w:r>
      <w:bookmarkEnd w:id="20552"/>
      <w:bookmarkEnd w:id="20553"/>
      <w:bookmarkEnd w:id="20554"/>
      <w:bookmarkEnd w:id="20555"/>
      <w:r>
        <w:rPr>
          <w:rFonts w:hint="cs"/>
          <w:rtl/>
        </w:rPr>
        <w:t xml:space="preserve"> </w:t>
      </w:r>
    </w:p>
    <w:p w14:paraId="488CC651" w14:textId="77777777" w:rsidR="003D504D" w:rsidRPr="00B06D6B" w:rsidRDefault="003D504D" w:rsidP="00223668">
      <w:pPr>
        <w:pStyle w:val="a0"/>
        <w:rPr>
          <w:rtl/>
        </w:rPr>
      </w:pPr>
      <w:bookmarkStart w:id="20556" w:name="_Ref381473"/>
      <w:r w:rsidRPr="00B06D6B">
        <w:rPr>
          <w:rFonts w:hint="cs"/>
          <w:rtl/>
        </w:rPr>
        <w:t xml:space="preserve">אבל במחלוקת אי חוששין לזרע האב, ביאר </w:t>
      </w:r>
      <w:r w:rsidRPr="00B06D6B">
        <w:rPr>
          <w:rStyle w:val="af9"/>
          <w:rFonts w:hint="cs"/>
          <w:rtl/>
        </w:rPr>
        <w:t>הגר"ח</w:t>
      </w:r>
      <w:r w:rsidRPr="00B06D6B">
        <w:rPr>
          <w:rFonts w:hint="cs"/>
          <w:rtl/>
        </w:rPr>
        <w:t xml:space="preserve"> דהיא במקום שאינו בא מאיסור כלל, והנדון האם חוששין לזרע האב, הוא האם אמרינן דמינו הוא כמין אביו, ויש בו את דינו אביו, וא"כ האיסור שיש בו הוא מחמת עצמו, דמינו כמין אביו, ולא מחמת שיצא מדבר האסור, </w:t>
      </w:r>
      <w:r w:rsidRPr="00B06D6B">
        <w:rPr>
          <w:rStyle w:val="afb"/>
          <w:rFonts w:hint="cs"/>
          <w:rtl/>
        </w:rPr>
        <w:t xml:space="preserve">[וכתב </w:t>
      </w:r>
      <w:r w:rsidRPr="00B06D6B">
        <w:rPr>
          <w:rStyle w:val="affa"/>
          <w:rFonts w:hint="cs"/>
          <w:rtl/>
        </w:rPr>
        <w:t>הגר"ח</w:t>
      </w:r>
      <w:r w:rsidRPr="00B06D6B">
        <w:rPr>
          <w:rStyle w:val="afb"/>
          <w:rFonts w:hint="cs"/>
          <w:rtl/>
        </w:rPr>
        <w:t xml:space="preserve"> דכן מבואר בגמ' לקמן </w:t>
      </w:r>
      <w:r w:rsidRPr="00B06D6B">
        <w:rPr>
          <w:rStyle w:val="aff6"/>
          <w:rFonts w:hint="cs"/>
          <w:rtl/>
        </w:rPr>
        <w:t xml:space="preserve">(עט.) </w:t>
      </w:r>
      <w:r w:rsidRPr="00B06D6B">
        <w:rPr>
          <w:rStyle w:val="afb"/>
          <w:rFonts w:hint="cs"/>
          <w:rtl/>
        </w:rPr>
        <w:t>דדין חוששין לזרע האב, הוא לענין ארבעה דברים, הא' לענין איסור אותו ואת בנו, הב' לענין ה</w:t>
      </w:r>
      <w:r w:rsidRPr="00B06D6B">
        <w:rPr>
          <w:rStyle w:val="afb"/>
          <w:rtl/>
        </w:rPr>
        <w:t>חֵלֶב</w:t>
      </w:r>
      <w:r w:rsidRPr="00B06D6B">
        <w:rPr>
          <w:rStyle w:val="afb"/>
          <w:rFonts w:hint="cs"/>
          <w:rtl/>
        </w:rPr>
        <w:t xml:space="preserve"> של כוי אי מותר או אסור, הג' לענין דמו דכוי אי טעון כיסוי, הד' לענין חיוב מתנות כהונה בכוי, ובכל הד' דינים האלו א"א לומר דהוא מדין היוצא מאיסור, דאינו בא מאיסור כלל].</w:t>
      </w:r>
      <w:r>
        <w:rPr>
          <w:rFonts w:hint="cs"/>
          <w:rtl/>
        </w:rPr>
        <w:t xml:space="preserve"> </w:t>
      </w:r>
      <w:r w:rsidRPr="00B06D6B">
        <w:rPr>
          <w:rFonts w:hint="cs"/>
          <w:rtl/>
        </w:rPr>
        <w:t xml:space="preserve">וכ"כ </w:t>
      </w:r>
      <w:r w:rsidRPr="00B06D6B">
        <w:rPr>
          <w:rStyle w:val="af9"/>
          <w:rFonts w:hint="cs"/>
          <w:rtl/>
        </w:rPr>
        <w:t>הקוב"ש</w:t>
      </w:r>
      <w:r w:rsidRPr="005679AC">
        <w:rPr>
          <w:rStyle w:val="af7"/>
          <w:rFonts w:eastAsia="Guttman Hodes" w:hint="cs"/>
          <w:rtl/>
        </w:rPr>
        <w:t xml:space="preserve"> (ח"ב קובץ שמועות חולין כ"ט)</w:t>
      </w:r>
      <w:r w:rsidRPr="00B06D6B">
        <w:rPr>
          <w:rFonts w:hint="cs"/>
          <w:rtl/>
        </w:rPr>
        <w:t xml:space="preserve"> </w:t>
      </w:r>
      <w:r>
        <w:rPr>
          <w:rFonts w:hint="cs"/>
          <w:rtl/>
        </w:rPr>
        <w:t xml:space="preserve">והוסיף </w:t>
      </w:r>
      <w:r w:rsidRPr="00B06D6B">
        <w:rPr>
          <w:rFonts w:hint="cs"/>
          <w:rtl/>
        </w:rPr>
        <w:t xml:space="preserve">דזו כוונת תירוץ </w:t>
      </w:r>
      <w:r w:rsidRPr="00B06D6B">
        <w:rPr>
          <w:rStyle w:val="af9"/>
          <w:rFonts w:hint="cs"/>
          <w:rtl/>
        </w:rPr>
        <w:t>התוס' לעיל</w:t>
      </w:r>
      <w:r w:rsidRPr="00B06D6B">
        <w:rPr>
          <w:rFonts w:hint="cs"/>
          <w:rtl/>
        </w:rPr>
        <w:t xml:space="preserve">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Ref536786982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B06D6B">
        <w:rPr>
          <w:rStyle w:val="af7"/>
          <w:rFonts w:eastAsia="Guttman Hodes"/>
          <w:rtl/>
        </w:rPr>
        <w:fldChar w:fldCharType="end"/>
      </w:r>
      <w:r w:rsidRPr="00B06D6B">
        <w:rPr>
          <w:rFonts w:hint="cs"/>
          <w:rtl/>
        </w:rPr>
        <w:t xml:space="preserve"> </w:t>
      </w:r>
      <w:r w:rsidRPr="00B06D6B">
        <w:rPr>
          <w:rStyle w:val="af9"/>
          <w:rFonts w:hint="cs"/>
          <w:rtl/>
        </w:rPr>
        <w:t>והתוס' בסנהדרין</w:t>
      </w:r>
      <w:r w:rsidRPr="00B06D6B">
        <w:rPr>
          <w:rFonts w:hint="cs"/>
          <w:rtl/>
        </w:rPr>
        <w:t xml:space="preserve">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Ref635949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לה)</w:t>
      </w:r>
      <w:r w:rsidRPr="00B06D6B">
        <w:rPr>
          <w:rStyle w:val="af7"/>
          <w:rFonts w:eastAsia="Guttman Hodes"/>
          <w:rtl/>
        </w:rPr>
        <w:fldChar w:fldCharType="end"/>
      </w:r>
      <w:r w:rsidRPr="00B06D6B">
        <w:rPr>
          <w:rFonts w:hint="cs"/>
          <w:rtl/>
        </w:rPr>
        <w:t>.</w:t>
      </w:r>
      <w:r w:rsidRPr="00B06D6B">
        <w:rPr>
          <w:rStyle w:val="afb"/>
          <w:rFonts w:hint="cs"/>
          <w:rtl/>
        </w:rPr>
        <w:t xml:space="preserve"> </w:t>
      </w:r>
      <w:bookmarkEnd w:id="20556"/>
    </w:p>
    <w:p w14:paraId="5BA0EAE4" w14:textId="77777777" w:rsidR="003D504D" w:rsidRPr="00B06D6B" w:rsidRDefault="003D504D" w:rsidP="003D504D">
      <w:pPr>
        <w:pStyle w:val="a3"/>
        <w:rPr>
          <w:rtl/>
        </w:rPr>
      </w:pPr>
      <w:bookmarkStart w:id="20557" w:name="_Toc1250132"/>
      <w:bookmarkStart w:id="20558" w:name="_Toc1258136"/>
      <w:bookmarkStart w:id="20559" w:name="_Toc19391570"/>
      <w:bookmarkStart w:id="20560" w:name="_Toc19395067"/>
      <w:r>
        <w:rPr>
          <w:rFonts w:hint="cs"/>
          <w:rtl/>
        </w:rPr>
        <w:t>ביאור הגר"ח דביוצא מאיסור מותר מדין זה וזה גורם ובדין חוששין א"א להתיר מדין זה וזה גורם</w:t>
      </w:r>
      <w:bookmarkEnd w:id="20557"/>
      <w:bookmarkEnd w:id="20558"/>
      <w:bookmarkEnd w:id="20559"/>
      <w:bookmarkEnd w:id="20560"/>
    </w:p>
    <w:p w14:paraId="47600205" w14:textId="77777777" w:rsidR="003D504D" w:rsidRPr="00B06D6B" w:rsidRDefault="003D504D" w:rsidP="00223668">
      <w:pPr>
        <w:pStyle w:val="a0"/>
        <w:rPr>
          <w:rtl/>
        </w:rPr>
      </w:pPr>
      <w:bookmarkStart w:id="20561" w:name="_Ref381482"/>
      <w:r w:rsidRPr="00B06D6B">
        <w:rPr>
          <w:rFonts w:hint="cs"/>
          <w:rtl/>
        </w:rPr>
        <w:t xml:space="preserve">ובזה ביאר </w:t>
      </w:r>
      <w:r w:rsidRPr="00B06D6B">
        <w:rPr>
          <w:rStyle w:val="af9"/>
          <w:rFonts w:hint="cs"/>
          <w:rtl/>
        </w:rPr>
        <w:t>הגר"ח</w:t>
      </w:r>
      <w:r w:rsidRPr="00B06D6B">
        <w:rPr>
          <w:rFonts w:hint="cs"/>
          <w:rtl/>
        </w:rPr>
        <w:t xml:space="preserve"> את דין ולד טריפה</w:t>
      </w:r>
      <w:r>
        <w:rPr>
          <w:rFonts w:hint="cs"/>
          <w:rtl/>
        </w:rPr>
        <w:t>,</w:t>
      </w:r>
      <w:r w:rsidRPr="00B06D6B">
        <w:rPr>
          <w:rFonts w:hint="cs"/>
          <w:rtl/>
        </w:rPr>
        <w:t xml:space="preserve"> דבנדון אי חוששין לזרע האב, א"א להתירו מדין זה וזה גורם, דדין זה וזה גורם הוא רק במקום שאין בו איסור מצד עצמו, ואיסורו הוא מחמת שיצא מדבר האסור, שהדבר שיצא ממנו הוא גורם את איסורו, ובכה"ג קיי"ל דזה וזה גורם מותר, אבל בנדון אי חוששין לזרע האב, האיסור שבו הוא מחמת עצמו, דאי אמרינן דמינו הוא כמין אביו, א"כ הוא מצד עצמו אסור, ואין אביו חשיב כגורם איסור, אלא דמחמת אביו יש לו איסור מצד עצמו, ולכן דינו כאביו לאיסור ולהיתר.</w:t>
      </w:r>
      <w:bookmarkEnd w:id="20561"/>
    </w:p>
    <w:p w14:paraId="493A67D0" w14:textId="77777777" w:rsidR="003D504D" w:rsidRPr="00B06D6B" w:rsidRDefault="003D504D" w:rsidP="003D504D">
      <w:pPr>
        <w:pStyle w:val="a3"/>
        <w:rPr>
          <w:rtl/>
        </w:rPr>
      </w:pPr>
      <w:bookmarkStart w:id="20562" w:name="_Toc1250133"/>
      <w:bookmarkStart w:id="20563" w:name="_Toc1258137"/>
      <w:bookmarkStart w:id="20564" w:name="_Toc19391571"/>
      <w:bookmarkStart w:id="20565" w:name="_Toc19395068"/>
      <w:r>
        <w:rPr>
          <w:rFonts w:hint="cs"/>
          <w:rtl/>
        </w:rPr>
        <w:t>דברי הגר"ח דלמ"ד דזה וזה גורם אסור ולד טריפה אסור אף למ"ד דאין חוששין לזרע האב</w:t>
      </w:r>
      <w:bookmarkEnd w:id="20562"/>
      <w:bookmarkEnd w:id="20563"/>
      <w:bookmarkEnd w:id="20564"/>
      <w:bookmarkEnd w:id="20565"/>
    </w:p>
    <w:p w14:paraId="60AD62EA" w14:textId="77777777" w:rsidR="003D504D" w:rsidRPr="00B06D6B" w:rsidRDefault="003D504D" w:rsidP="00223668">
      <w:pPr>
        <w:pStyle w:val="a0"/>
        <w:rPr>
          <w:rtl/>
        </w:rPr>
      </w:pPr>
      <w:r w:rsidRPr="00B06D6B">
        <w:rPr>
          <w:rFonts w:hint="cs"/>
          <w:rtl/>
        </w:rPr>
        <w:t xml:space="preserve">וכתב </w:t>
      </w:r>
      <w:r w:rsidRPr="00B06D6B">
        <w:rPr>
          <w:rStyle w:val="af9"/>
          <w:rFonts w:hint="cs"/>
          <w:rtl/>
        </w:rPr>
        <w:t>הגר"ח</w:t>
      </w:r>
      <w:r w:rsidRPr="00B06D6B">
        <w:rPr>
          <w:rFonts w:hint="cs"/>
          <w:rtl/>
        </w:rPr>
        <w:t xml:space="preserve"> אף למ"ד דזה וזה גורם אסור, האיסור בולד טריפה הוא מדין זה וזה גורם, אף למ"ד דאין חוששין לזרע האב, דאף דאינו חשיב כמינו של אביו, ולא חלים עליו הדינים של אביו מצד עצמו, מ"מ יש בו איסור מדין זה וזה גורם, דהוא כיוצא מן הטמא.</w:t>
      </w:r>
    </w:p>
    <w:p w14:paraId="76B8885E" w14:textId="77777777" w:rsidR="003D504D" w:rsidRPr="00B06D6B" w:rsidRDefault="003D504D" w:rsidP="003D504D">
      <w:pPr>
        <w:pStyle w:val="a3"/>
        <w:rPr>
          <w:rtl/>
        </w:rPr>
      </w:pPr>
      <w:bookmarkStart w:id="20566" w:name="_Toc1250134"/>
      <w:bookmarkStart w:id="20567" w:name="_Toc1258138"/>
      <w:bookmarkStart w:id="20568" w:name="_Toc19391572"/>
      <w:bookmarkStart w:id="20569" w:name="_Toc19395069"/>
      <w:r>
        <w:rPr>
          <w:rFonts w:hint="cs"/>
          <w:rtl/>
        </w:rPr>
        <w:t>ביאור הגרי"ז בגר"ח דדין חוששין הוא בנדון ממין טהור או טמא ודין זה וזה גורם הוא בבא מאיסור</w:t>
      </w:r>
      <w:bookmarkEnd w:id="20566"/>
      <w:bookmarkEnd w:id="20567"/>
      <w:bookmarkEnd w:id="20568"/>
      <w:bookmarkEnd w:id="20569"/>
    </w:p>
    <w:p w14:paraId="2054646E" w14:textId="77777777" w:rsidR="003D504D" w:rsidRPr="00B06D6B" w:rsidRDefault="003D504D" w:rsidP="00223668">
      <w:pPr>
        <w:pStyle w:val="a0"/>
        <w:rPr>
          <w:rtl/>
        </w:rPr>
      </w:pPr>
      <w:r w:rsidRPr="00B06D6B">
        <w:rPr>
          <w:rFonts w:hint="cs"/>
          <w:rtl/>
        </w:rPr>
        <w:t xml:space="preserve">וביאר </w:t>
      </w:r>
      <w:r w:rsidRPr="00B06D6B">
        <w:rPr>
          <w:rStyle w:val="af9"/>
          <w:rFonts w:hint="cs"/>
          <w:rtl/>
        </w:rPr>
        <w:t>הגרי"ז</w:t>
      </w:r>
      <w:r w:rsidRPr="00B06D6B">
        <w:rPr>
          <w:rFonts w:hint="cs"/>
          <w:rtl/>
        </w:rPr>
        <w:t xml:space="preserve"> </w:t>
      </w:r>
      <w:r w:rsidRPr="005679AC">
        <w:rPr>
          <w:rStyle w:val="af7"/>
          <w:rFonts w:eastAsia="Guttman Hodes" w:hint="cs"/>
          <w:rtl/>
        </w:rPr>
        <w:t>(חי' הגרי"ז בכורות ז. ד"ה והנה הגר"ח)</w:t>
      </w:r>
      <w:r w:rsidRPr="00B06D6B">
        <w:rPr>
          <w:rFonts w:hint="cs"/>
          <w:rtl/>
        </w:rPr>
        <w:t xml:space="preserve"> את דברי </w:t>
      </w:r>
      <w:r w:rsidRPr="00B06D6B">
        <w:rPr>
          <w:rStyle w:val="af9"/>
          <w:rFonts w:hint="cs"/>
          <w:rtl/>
        </w:rPr>
        <w:t>הגר"ח</w:t>
      </w:r>
      <w:r w:rsidRPr="00B06D6B">
        <w:rPr>
          <w:rFonts w:hint="cs"/>
          <w:rtl/>
        </w:rPr>
        <w:t xml:space="preserve"> דבבהמה טהורה שילדה מין טמא, אין איסורו מחמת שהוא מין טמא, כיון שנולד מטהור, והנולד מטהור טהור, ובמקום שהאב הוא טמא, שייך לדון בזה מדין חוששין לזרע האב, האם הוא מתייחס למין הטהור של אמו, או למין הטמא של אביו, אבל במקום שהנדון אינו מאיזה מין הולד, אלא האם בא מהיתר או מאיסור כולד טריפה, בזה לא שייך לדון מדין חוששין לזרע האב, אלא מדין זה וזה גורם, דא"א לומר שהולד עצמו אסור </w:t>
      </w:r>
      <w:r w:rsidRPr="00F00AD9">
        <w:rPr>
          <w:rStyle w:val="afb"/>
          <w:rFonts w:hint="cs"/>
          <w:rtl/>
        </w:rPr>
        <w:t>[דהא הולד אינו טריפה]</w:t>
      </w:r>
      <w:r w:rsidRPr="00B06D6B">
        <w:rPr>
          <w:rFonts w:hint="cs"/>
          <w:rtl/>
        </w:rPr>
        <w:t xml:space="preserve">, והנדון האם הולד בא מהיתר או מאיסור. </w:t>
      </w:r>
    </w:p>
    <w:p w14:paraId="609D8130" w14:textId="77777777" w:rsidR="003D504D" w:rsidRPr="00B06D6B" w:rsidRDefault="003D504D" w:rsidP="003D504D">
      <w:pPr>
        <w:pStyle w:val="a3"/>
        <w:rPr>
          <w:rtl/>
        </w:rPr>
      </w:pPr>
      <w:bookmarkStart w:id="20570" w:name="_Toc1250142"/>
      <w:bookmarkStart w:id="20571" w:name="_Toc1258147"/>
      <w:bookmarkStart w:id="20572" w:name="_Toc19391573"/>
      <w:bookmarkStart w:id="20573" w:name="_Toc19395070"/>
      <w:bookmarkStart w:id="20574" w:name="_Toc1250141"/>
      <w:bookmarkStart w:id="20575" w:name="_Toc1258145"/>
      <w:bookmarkStart w:id="20576" w:name="_Toc519056"/>
      <w:bookmarkStart w:id="20577" w:name="_Toc725035"/>
      <w:bookmarkStart w:id="20578" w:name="_Toc773244"/>
      <w:bookmarkStart w:id="20579" w:name="_Toc862096"/>
      <w:bookmarkStart w:id="20580" w:name="_Toc890769"/>
      <w:bookmarkStart w:id="20581" w:name="_Toc903178"/>
      <w:bookmarkStart w:id="20582" w:name="_Toc955106"/>
      <w:bookmarkStart w:id="20583" w:name="_Toc974549"/>
      <w:bookmarkStart w:id="20584" w:name="_Toc984465"/>
      <w:bookmarkStart w:id="20585" w:name="_Toc1056599"/>
      <w:bookmarkStart w:id="20586" w:name="_Toc1109757"/>
      <w:bookmarkStart w:id="20587" w:name="_Toc1128736"/>
      <w:bookmarkStart w:id="20588" w:name="_Toc1250135"/>
      <w:bookmarkStart w:id="20589" w:name="_Toc1258139"/>
      <w:r>
        <w:rPr>
          <w:rFonts w:hint="cs"/>
          <w:rtl/>
        </w:rPr>
        <w:t>קושית האבי עזרי דמקושית התוס' בבכורות מוכח דלא כביאור הגר"ח</w:t>
      </w:r>
      <w:bookmarkEnd w:id="20570"/>
      <w:bookmarkEnd w:id="20571"/>
      <w:bookmarkEnd w:id="20572"/>
      <w:bookmarkEnd w:id="20573"/>
    </w:p>
    <w:p w14:paraId="1571F53E" w14:textId="77777777" w:rsidR="003D504D" w:rsidRPr="00B06D6B" w:rsidRDefault="003D504D" w:rsidP="00223668">
      <w:pPr>
        <w:pStyle w:val="a0"/>
        <w:rPr>
          <w:rStyle w:val="afb"/>
          <w:rtl/>
        </w:rPr>
      </w:pPr>
      <w:bookmarkStart w:id="20590" w:name="_Ref536787011"/>
      <w:r>
        <w:rPr>
          <w:rFonts w:hint="cs"/>
          <w:rtl/>
        </w:rPr>
        <w:t>ו</w:t>
      </w:r>
      <w:r w:rsidRPr="00B06D6B">
        <w:rPr>
          <w:rFonts w:hint="cs"/>
          <w:rtl/>
        </w:rPr>
        <w:t xml:space="preserve">הקשה </w:t>
      </w:r>
      <w:r w:rsidRPr="00B06D6B">
        <w:rPr>
          <w:rStyle w:val="af9"/>
          <w:rFonts w:hint="cs"/>
          <w:rtl/>
        </w:rPr>
        <w:t xml:space="preserve">האבי עזרי </w:t>
      </w:r>
      <w:r w:rsidRPr="005679AC">
        <w:rPr>
          <w:rStyle w:val="af7"/>
          <w:rFonts w:eastAsia="Guttman Hodes" w:hint="cs"/>
          <w:rtl/>
        </w:rPr>
        <w:t>(מאכ"א פ"ג ה"ה ד"ה ואשר יראה בתוך הסוגריים)</w:t>
      </w:r>
      <w:r w:rsidRPr="00B06D6B">
        <w:rPr>
          <w:rFonts w:hint="cs"/>
          <w:rtl/>
        </w:rPr>
        <w:t xml:space="preserve"> על </w:t>
      </w:r>
      <w:r w:rsidRPr="00B06D6B">
        <w:rPr>
          <w:rStyle w:val="af9"/>
          <w:rFonts w:hint="cs"/>
          <w:rtl/>
        </w:rPr>
        <w:t>הגר"ח התוס' בבכורות</w:t>
      </w:r>
      <w:r>
        <w:rPr>
          <w:rFonts w:hint="cs"/>
          <w:rtl/>
        </w:rPr>
        <w:t xml:space="preserve"> </w:t>
      </w:r>
      <w:r w:rsidRPr="00AB33FA">
        <w:rPr>
          <w:rStyle w:val="af7"/>
          <w:rFonts w:eastAsia="Guttman Hodes" w:hint="cs"/>
          <w:rtl/>
        </w:rPr>
        <w:t xml:space="preserve">(עי' אות </w:t>
      </w:r>
      <w:r w:rsidRPr="00AB33FA">
        <w:rPr>
          <w:rStyle w:val="af7"/>
          <w:rFonts w:eastAsia="Guttman Hodes"/>
          <w:rtl/>
        </w:rPr>
        <w:fldChar w:fldCharType="begin"/>
      </w:r>
      <w:r w:rsidRPr="00AB33FA">
        <w:rPr>
          <w:rStyle w:val="af7"/>
          <w:rFonts w:eastAsia="Guttman Hodes"/>
          <w:rtl/>
        </w:rPr>
        <w:instrText xml:space="preserve"> </w:instrText>
      </w:r>
      <w:r w:rsidRPr="00AB33FA">
        <w:rPr>
          <w:rStyle w:val="af7"/>
          <w:rFonts w:eastAsia="Guttman Hodes" w:hint="cs"/>
        </w:rPr>
        <w:instrText>REF</w:instrText>
      </w:r>
      <w:r w:rsidRPr="00AB33FA">
        <w:rPr>
          <w:rStyle w:val="af7"/>
          <w:rFonts w:eastAsia="Guttman Hodes" w:hint="cs"/>
          <w:rtl/>
        </w:rPr>
        <w:instrText xml:space="preserve"> _</w:instrText>
      </w:r>
      <w:r w:rsidRPr="00AB33FA">
        <w:rPr>
          <w:rStyle w:val="af7"/>
          <w:rFonts w:eastAsia="Guttman Hodes" w:hint="cs"/>
        </w:rPr>
        <w:instrText>Ref1258703 \r \h</w:instrText>
      </w:r>
      <w:r w:rsidRPr="00AB33FA">
        <w:rPr>
          <w:rStyle w:val="af7"/>
          <w:rFonts w:eastAsia="Guttman Hodes"/>
          <w:rtl/>
        </w:rPr>
        <w:instrText xml:space="preserve"> </w:instrText>
      </w:r>
      <w:r w:rsidRPr="00AB33FA">
        <w:rPr>
          <w:rStyle w:val="af7"/>
          <w:rFonts w:eastAsia="Guttman Hodes"/>
          <w:rtl/>
        </w:rPr>
      </w:r>
      <w:r w:rsidRPr="00AB33FA">
        <w:rPr>
          <w:rStyle w:val="af7"/>
          <w:rFonts w:eastAsia="Guttman Hodes"/>
          <w:rtl/>
        </w:rPr>
        <w:fldChar w:fldCharType="separate"/>
      </w:r>
      <w:r w:rsidR="00345400">
        <w:rPr>
          <w:rStyle w:val="af7"/>
          <w:rFonts w:eastAsia="Guttman Hodes"/>
          <w:cs/>
        </w:rPr>
        <w:t>‎</w:t>
      </w:r>
      <w:r w:rsidR="00345400">
        <w:rPr>
          <w:rStyle w:val="af7"/>
          <w:rFonts w:eastAsia="Guttman Hodes"/>
          <w:rtl/>
        </w:rPr>
        <w:t>לג)</w:t>
      </w:r>
      <w:r w:rsidRPr="00AB33FA">
        <w:rPr>
          <w:rStyle w:val="af7"/>
          <w:rFonts w:eastAsia="Guttman Hodes"/>
          <w:rtl/>
        </w:rPr>
        <w:fldChar w:fldCharType="end"/>
      </w:r>
      <w:r>
        <w:rPr>
          <w:rFonts w:hint="cs"/>
          <w:rtl/>
        </w:rPr>
        <w:t xml:space="preserve"> </w:t>
      </w:r>
      <w:r w:rsidRPr="00B06D6B">
        <w:rPr>
          <w:rFonts w:hint="cs"/>
          <w:rtl/>
        </w:rPr>
        <w:t xml:space="preserve">הקשו </w:t>
      </w:r>
      <w:r w:rsidRPr="00B06D6B">
        <w:rPr>
          <w:rStyle w:val="af9"/>
          <w:rFonts w:hint="cs"/>
          <w:rtl/>
        </w:rPr>
        <w:t>כהתוס' לעיל</w:t>
      </w:r>
      <w:r w:rsidRPr="00B06D6B">
        <w:rPr>
          <w:rFonts w:hint="cs"/>
          <w:rtl/>
        </w:rPr>
        <w:t xml:space="preserve">, ומפורש בדבריהם כהצד הראשון של </w:t>
      </w:r>
      <w:r w:rsidRPr="00B06D6B">
        <w:rPr>
          <w:rStyle w:val="af9"/>
          <w:rFonts w:hint="cs"/>
          <w:rtl/>
        </w:rPr>
        <w:t>הגר"ח</w:t>
      </w:r>
      <w:r w:rsidRPr="00B06D6B">
        <w:rPr>
          <w:rFonts w:hint="cs"/>
          <w:rtl/>
        </w:rPr>
        <w:t xml:space="preserve">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Ref536786980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מג)</w:t>
      </w:r>
      <w:r w:rsidRPr="00B06D6B">
        <w:rPr>
          <w:rStyle w:val="af7"/>
          <w:rFonts w:eastAsia="Guttman Hodes"/>
          <w:rtl/>
        </w:rPr>
        <w:fldChar w:fldCharType="end"/>
      </w:r>
      <w:r w:rsidRPr="00B06D6B">
        <w:rPr>
          <w:rFonts w:hint="cs"/>
          <w:rtl/>
        </w:rPr>
        <w:t xml:space="preserve"> בביאור קושית </w:t>
      </w:r>
      <w:r w:rsidRPr="00B06D6B">
        <w:rPr>
          <w:rStyle w:val="af9"/>
          <w:rFonts w:hint="cs"/>
          <w:rtl/>
        </w:rPr>
        <w:t>התוס' לעיל</w:t>
      </w:r>
      <w:r w:rsidRPr="00B06D6B">
        <w:rPr>
          <w:rFonts w:hint="cs"/>
          <w:rtl/>
        </w:rPr>
        <w:t xml:space="preserve">, </w:t>
      </w:r>
      <w:r w:rsidRPr="00B06D6B">
        <w:rPr>
          <w:rStyle w:val="afb"/>
          <w:rFonts w:hint="cs"/>
          <w:rtl/>
        </w:rPr>
        <w:t xml:space="preserve">[דאף בגמ' לקמן </w:t>
      </w:r>
      <w:r w:rsidRPr="00B06D6B">
        <w:rPr>
          <w:rStyle w:val="aff6"/>
          <w:rFonts w:hint="cs"/>
          <w:rtl/>
        </w:rPr>
        <w:t>(עט.)</w:t>
      </w:r>
      <w:r w:rsidRPr="00B06D6B">
        <w:rPr>
          <w:rStyle w:val="afb"/>
          <w:rFonts w:hint="cs"/>
          <w:rtl/>
        </w:rPr>
        <w:t xml:space="preserve"> יהיה מותר מדין זה וזה גורם],</w:t>
      </w:r>
      <w:r w:rsidRPr="00B06D6B">
        <w:rPr>
          <w:rFonts w:hint="cs"/>
          <w:rtl/>
        </w:rPr>
        <w:t xml:space="preserve"> ותירצו </w:t>
      </w:r>
      <w:r w:rsidRPr="00B06D6B">
        <w:rPr>
          <w:rStyle w:val="af9"/>
          <w:rFonts w:hint="cs"/>
          <w:rtl/>
        </w:rPr>
        <w:t xml:space="preserve">התוס' בבכורות </w:t>
      </w:r>
      <w:r w:rsidRPr="00B06D6B">
        <w:rPr>
          <w:rFonts w:hint="cs"/>
          <w:rtl/>
        </w:rPr>
        <w:t xml:space="preserve">כתירוץ </w:t>
      </w:r>
      <w:r w:rsidRPr="00B06D6B">
        <w:rPr>
          <w:rStyle w:val="af9"/>
          <w:rFonts w:hint="cs"/>
          <w:rtl/>
        </w:rPr>
        <w:t>התוס' לעיל</w:t>
      </w:r>
      <w:r w:rsidRPr="00B06D6B">
        <w:rPr>
          <w:rFonts w:hint="cs"/>
          <w:rtl/>
        </w:rPr>
        <w:t xml:space="preserve">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Ref536786982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B06D6B">
        <w:rPr>
          <w:rStyle w:val="af7"/>
          <w:rFonts w:eastAsia="Guttman Hodes"/>
          <w:rtl/>
        </w:rPr>
        <w:fldChar w:fldCharType="end"/>
      </w:r>
      <w:r w:rsidRPr="00B06D6B">
        <w:rPr>
          <w:rFonts w:hint="cs"/>
          <w:rtl/>
        </w:rPr>
        <w:t xml:space="preserve"> דבדבר שבא מאיסור ומהיתר, שייך הלשון זה וזה גורם, ובמקום ששניהם היתר שייך הלשון חוששין לזרע האב, ואח"כ הקשו </w:t>
      </w:r>
      <w:r w:rsidRPr="00B06D6B">
        <w:rPr>
          <w:rStyle w:val="af9"/>
          <w:rFonts w:hint="cs"/>
          <w:rtl/>
        </w:rPr>
        <w:t>התוס' בבכורות</w:t>
      </w:r>
      <w:r>
        <w:rPr>
          <w:rFonts w:hint="cs"/>
          <w:rtl/>
        </w:rPr>
        <w:t xml:space="preserve"> </w:t>
      </w:r>
      <w:r w:rsidRPr="00AB33FA">
        <w:rPr>
          <w:rStyle w:val="af7"/>
          <w:rFonts w:eastAsia="Guttman Hodes" w:hint="cs"/>
          <w:rtl/>
        </w:rPr>
        <w:t xml:space="preserve">(עי' אות </w:t>
      </w:r>
      <w:r w:rsidRPr="00AB33FA">
        <w:rPr>
          <w:rStyle w:val="af7"/>
          <w:rFonts w:eastAsia="Guttman Hodes"/>
          <w:rtl/>
        </w:rPr>
        <w:fldChar w:fldCharType="begin"/>
      </w:r>
      <w:r w:rsidRPr="00AB33FA">
        <w:rPr>
          <w:rStyle w:val="af7"/>
          <w:rFonts w:eastAsia="Guttman Hodes"/>
          <w:rtl/>
        </w:rPr>
        <w:instrText xml:space="preserve"> </w:instrText>
      </w:r>
      <w:r w:rsidRPr="00AB33FA">
        <w:rPr>
          <w:rStyle w:val="af7"/>
          <w:rFonts w:eastAsia="Guttman Hodes" w:hint="cs"/>
        </w:rPr>
        <w:instrText>REF</w:instrText>
      </w:r>
      <w:r w:rsidRPr="00AB33FA">
        <w:rPr>
          <w:rStyle w:val="af7"/>
          <w:rFonts w:eastAsia="Guttman Hodes" w:hint="cs"/>
          <w:rtl/>
        </w:rPr>
        <w:instrText xml:space="preserve"> _</w:instrText>
      </w:r>
      <w:r w:rsidRPr="00AB33FA">
        <w:rPr>
          <w:rStyle w:val="af7"/>
          <w:rFonts w:eastAsia="Guttman Hodes" w:hint="cs"/>
        </w:rPr>
        <w:instrText>Ref1258703 \r \h</w:instrText>
      </w:r>
      <w:r w:rsidRPr="00AB33FA">
        <w:rPr>
          <w:rStyle w:val="af7"/>
          <w:rFonts w:eastAsia="Guttman Hodes"/>
          <w:rtl/>
        </w:rPr>
        <w:instrText xml:space="preserve"> </w:instrText>
      </w:r>
      <w:r w:rsidRPr="00AB33FA">
        <w:rPr>
          <w:rStyle w:val="af7"/>
          <w:rFonts w:eastAsia="Guttman Hodes"/>
          <w:rtl/>
        </w:rPr>
      </w:r>
      <w:r w:rsidRPr="00AB33FA">
        <w:rPr>
          <w:rStyle w:val="af7"/>
          <w:rFonts w:eastAsia="Guttman Hodes"/>
          <w:rtl/>
        </w:rPr>
        <w:fldChar w:fldCharType="separate"/>
      </w:r>
      <w:r w:rsidR="00345400">
        <w:rPr>
          <w:rStyle w:val="af7"/>
          <w:rFonts w:eastAsia="Guttman Hodes"/>
          <w:cs/>
        </w:rPr>
        <w:t>‎</w:t>
      </w:r>
      <w:r w:rsidR="00345400">
        <w:rPr>
          <w:rStyle w:val="af7"/>
          <w:rFonts w:eastAsia="Guttman Hodes"/>
          <w:rtl/>
        </w:rPr>
        <w:t>לג)</w:t>
      </w:r>
      <w:r w:rsidRPr="00AB33FA">
        <w:rPr>
          <w:rStyle w:val="af7"/>
          <w:rFonts w:eastAsia="Guttman Hodes"/>
          <w:rtl/>
        </w:rPr>
        <w:fldChar w:fldCharType="end"/>
      </w:r>
      <w:r>
        <w:rPr>
          <w:rFonts w:hint="cs"/>
          <w:rtl/>
        </w:rPr>
        <w:t xml:space="preserve"> </w:t>
      </w:r>
      <w:r w:rsidRPr="00B06D6B">
        <w:rPr>
          <w:rFonts w:hint="cs"/>
          <w:rtl/>
        </w:rPr>
        <w:t xml:space="preserve">דלמ"ד דאין חוששין לזרע האב, א"כ א"כ דין ולד טריפה אינו שייך כלל לזה וזה גורם, דהרי חשיב שיש רק גורם אחד ואסור, והניחו </w:t>
      </w:r>
      <w:r w:rsidRPr="00B06D6B">
        <w:rPr>
          <w:rStyle w:val="af9"/>
          <w:rFonts w:hint="cs"/>
          <w:rtl/>
        </w:rPr>
        <w:t xml:space="preserve">התוס' בבכורות </w:t>
      </w:r>
      <w:r w:rsidRPr="00B06D6B">
        <w:rPr>
          <w:rFonts w:hint="cs"/>
          <w:rtl/>
        </w:rPr>
        <w:t xml:space="preserve">בקושיה. </w:t>
      </w:r>
      <w:r w:rsidRPr="00B06D6B">
        <w:rPr>
          <w:rStyle w:val="afb"/>
          <w:rFonts w:hint="cs"/>
          <w:rtl/>
        </w:rPr>
        <w:t xml:space="preserve">[ומבואר מדבריהם דלא </w:t>
      </w:r>
      <w:r w:rsidRPr="00B06D6B">
        <w:rPr>
          <w:rStyle w:val="affa"/>
          <w:rFonts w:hint="cs"/>
          <w:rtl/>
        </w:rPr>
        <w:t>כהגר"ח</w:t>
      </w:r>
      <w:r w:rsidRPr="00B06D6B">
        <w:rPr>
          <w:rStyle w:val="afb"/>
          <w:rFonts w:hint="cs"/>
          <w:rtl/>
        </w:rPr>
        <w:t xml:space="preserve"> דאף דזה וזה גורם הוא רק בדבר שיש בו צד איסור, מ"מ קשה דאי אין חוששין לזרע האב בולד טריפה יש רק גורם אחד].</w:t>
      </w:r>
      <w:bookmarkEnd w:id="20590"/>
    </w:p>
    <w:p w14:paraId="4FDA0717" w14:textId="77777777" w:rsidR="003D504D" w:rsidRPr="00B06D6B" w:rsidRDefault="003D504D" w:rsidP="003D504D">
      <w:pPr>
        <w:pStyle w:val="a3"/>
        <w:rPr>
          <w:rtl/>
        </w:rPr>
      </w:pPr>
      <w:bookmarkStart w:id="20591" w:name="_Toc19391574"/>
      <w:bookmarkStart w:id="20592" w:name="_Toc19395071"/>
      <w:r>
        <w:rPr>
          <w:rFonts w:hint="cs"/>
          <w:rtl/>
        </w:rPr>
        <w:t>דברי הגרי"ז דלהגר"ח מתורצת קושית התוס' בבכורות דאף למ"ד אין חוששין האב חשיב גורם</w:t>
      </w:r>
      <w:bookmarkEnd w:id="20574"/>
      <w:bookmarkEnd w:id="20575"/>
      <w:bookmarkEnd w:id="20591"/>
      <w:bookmarkEnd w:id="20592"/>
    </w:p>
    <w:p w14:paraId="7A4EE6B4" w14:textId="77777777" w:rsidR="003D504D" w:rsidRDefault="003D504D" w:rsidP="00223668">
      <w:pPr>
        <w:pStyle w:val="a0"/>
        <w:rPr>
          <w:rtl/>
        </w:rPr>
      </w:pPr>
      <w:bookmarkStart w:id="20593" w:name="_Ref1245276"/>
      <w:r w:rsidRPr="00B06D6B">
        <w:rPr>
          <w:rFonts w:hint="cs"/>
          <w:rtl/>
        </w:rPr>
        <w:t xml:space="preserve">וכתב </w:t>
      </w:r>
      <w:r w:rsidRPr="00B06D6B">
        <w:rPr>
          <w:rStyle w:val="af9"/>
          <w:rFonts w:hint="cs"/>
          <w:rtl/>
        </w:rPr>
        <w:t>הגרי"ז</w:t>
      </w:r>
      <w:r w:rsidRPr="00B06D6B">
        <w:rPr>
          <w:rFonts w:hint="cs"/>
          <w:rtl/>
        </w:rPr>
        <w:t xml:space="preserve"> </w:t>
      </w:r>
      <w:r w:rsidRPr="005679AC">
        <w:rPr>
          <w:rStyle w:val="af7"/>
          <w:rFonts w:eastAsia="Guttman Hodes" w:hint="cs"/>
          <w:rtl/>
        </w:rPr>
        <w:t>(חי' הגרי"ז בכורות ז. ד"ה בסוה"ד ומיהו קשה)</w:t>
      </w:r>
      <w:r w:rsidRPr="00B06D6B">
        <w:rPr>
          <w:rFonts w:hint="cs"/>
          <w:rtl/>
        </w:rPr>
        <w:t xml:space="preserve"> דלדברי </w:t>
      </w:r>
      <w:r w:rsidRPr="00B06D6B">
        <w:rPr>
          <w:rStyle w:val="af9"/>
          <w:rFonts w:hint="cs"/>
          <w:rtl/>
        </w:rPr>
        <w:t>הגר"ח</w:t>
      </w:r>
      <w:r w:rsidRPr="00B06D6B">
        <w:rPr>
          <w:rFonts w:hint="cs"/>
          <w:rtl/>
        </w:rPr>
        <w:t xml:space="preserve">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Ref536786984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מו)</w:t>
      </w:r>
      <w:r w:rsidRPr="00B06D6B">
        <w:rPr>
          <w:rStyle w:val="af7"/>
          <w:rFonts w:eastAsia="Guttman Hodes"/>
          <w:rtl/>
        </w:rPr>
        <w:fldChar w:fldCharType="end"/>
      </w:r>
      <w:r w:rsidRPr="00B06D6B">
        <w:rPr>
          <w:rFonts w:hint="cs"/>
          <w:rtl/>
        </w:rPr>
        <w:t xml:space="preserve"> מתורצת בקושית </w:t>
      </w:r>
      <w:r w:rsidRPr="00B06D6B">
        <w:rPr>
          <w:rStyle w:val="af9"/>
          <w:rFonts w:hint="cs"/>
          <w:rtl/>
        </w:rPr>
        <w:t>התוס' בבכורות</w:t>
      </w:r>
      <w:r>
        <w:rPr>
          <w:rFonts w:hint="cs"/>
          <w:rtl/>
        </w:rPr>
        <w:t xml:space="preserve"> </w:t>
      </w:r>
      <w:r w:rsidRPr="00AB33FA">
        <w:rPr>
          <w:rStyle w:val="af7"/>
          <w:rFonts w:eastAsia="Guttman Hodes" w:hint="cs"/>
          <w:rtl/>
        </w:rPr>
        <w:t xml:space="preserve">(עי' אות </w:t>
      </w:r>
      <w:r w:rsidRPr="00AB33FA">
        <w:rPr>
          <w:rStyle w:val="af7"/>
          <w:rFonts w:eastAsia="Guttman Hodes"/>
          <w:rtl/>
        </w:rPr>
        <w:fldChar w:fldCharType="begin"/>
      </w:r>
      <w:r w:rsidRPr="00AB33FA">
        <w:rPr>
          <w:rStyle w:val="af7"/>
          <w:rFonts w:eastAsia="Guttman Hodes"/>
          <w:rtl/>
        </w:rPr>
        <w:instrText xml:space="preserve"> </w:instrText>
      </w:r>
      <w:r w:rsidRPr="00AB33FA">
        <w:rPr>
          <w:rStyle w:val="af7"/>
          <w:rFonts w:eastAsia="Guttman Hodes" w:hint="cs"/>
        </w:rPr>
        <w:instrText>REF</w:instrText>
      </w:r>
      <w:r w:rsidRPr="00AB33FA">
        <w:rPr>
          <w:rStyle w:val="af7"/>
          <w:rFonts w:eastAsia="Guttman Hodes" w:hint="cs"/>
          <w:rtl/>
        </w:rPr>
        <w:instrText xml:space="preserve"> _</w:instrText>
      </w:r>
      <w:r w:rsidRPr="00AB33FA">
        <w:rPr>
          <w:rStyle w:val="af7"/>
          <w:rFonts w:eastAsia="Guttman Hodes" w:hint="cs"/>
        </w:rPr>
        <w:instrText>Ref1258703 \r \h</w:instrText>
      </w:r>
      <w:r w:rsidRPr="00AB33FA">
        <w:rPr>
          <w:rStyle w:val="af7"/>
          <w:rFonts w:eastAsia="Guttman Hodes"/>
          <w:rtl/>
        </w:rPr>
        <w:instrText xml:space="preserve"> </w:instrText>
      </w:r>
      <w:r w:rsidRPr="00AB33FA">
        <w:rPr>
          <w:rStyle w:val="af7"/>
          <w:rFonts w:eastAsia="Guttman Hodes"/>
          <w:rtl/>
        </w:rPr>
      </w:r>
      <w:r w:rsidRPr="00AB33FA">
        <w:rPr>
          <w:rStyle w:val="af7"/>
          <w:rFonts w:eastAsia="Guttman Hodes"/>
          <w:rtl/>
        </w:rPr>
        <w:fldChar w:fldCharType="separate"/>
      </w:r>
      <w:r w:rsidR="00345400">
        <w:rPr>
          <w:rStyle w:val="af7"/>
          <w:rFonts w:eastAsia="Guttman Hodes"/>
          <w:cs/>
        </w:rPr>
        <w:t>‎</w:t>
      </w:r>
      <w:r w:rsidR="00345400">
        <w:rPr>
          <w:rStyle w:val="af7"/>
          <w:rFonts w:eastAsia="Guttman Hodes"/>
          <w:rtl/>
        </w:rPr>
        <w:t>לג)</w:t>
      </w:r>
      <w:r w:rsidRPr="00AB33FA">
        <w:rPr>
          <w:rStyle w:val="af7"/>
          <w:rFonts w:eastAsia="Guttman Hodes"/>
          <w:rtl/>
        </w:rPr>
        <w:fldChar w:fldCharType="end"/>
      </w:r>
      <w:r>
        <w:rPr>
          <w:rFonts w:hint="cs"/>
          <w:rtl/>
        </w:rPr>
        <w:t xml:space="preserve"> </w:t>
      </w:r>
      <w:r w:rsidRPr="00B06D6B">
        <w:rPr>
          <w:rFonts w:hint="cs"/>
          <w:rtl/>
        </w:rPr>
        <w:t>למ"ד דאין חוששין לזרע האב, א"כ לא שייך בולד זה וזה גורם, דהאב אינו גורם כלל, דאף דלענין לתת לו דין מין האב אין חוששין לזרע האב, מ"מ עדיין חשיב האב כגורם כיון שהולד יצא מהאיסור של האב ונגרם ממנו, והמחלוקת אי חוששין לזרע האב היא לענין מין האב, ולא שייכא כלל למחלוקת אי זה וזה גורם מותר או אסור, דהיא בדין יוצא מאיסור.</w:t>
      </w:r>
      <w:bookmarkEnd w:id="20593"/>
    </w:p>
    <w:p w14:paraId="3FF57011" w14:textId="77777777" w:rsidR="003D504D" w:rsidRPr="00B06D6B" w:rsidRDefault="003D504D" w:rsidP="00BF39B2">
      <w:pPr>
        <w:pStyle w:val="1"/>
        <w:rPr>
          <w:rtl/>
        </w:rPr>
      </w:pPr>
      <w:bookmarkStart w:id="20594" w:name="_Toc19391575"/>
      <w:bookmarkStart w:id="20595" w:name="_Toc19395072"/>
      <w:r w:rsidRPr="00B06D6B">
        <w:rPr>
          <w:rFonts w:hint="cs"/>
          <w:rtl/>
        </w:rPr>
        <w:t>קושית החזו"א והגרי"ז על הגר"ח</w:t>
      </w:r>
      <w:bookmarkEnd w:id="20576"/>
      <w:bookmarkEnd w:id="20577"/>
      <w:bookmarkEnd w:id="20578"/>
      <w:bookmarkEnd w:id="20579"/>
      <w:bookmarkEnd w:id="20580"/>
      <w:bookmarkEnd w:id="20581"/>
      <w:bookmarkEnd w:id="20582"/>
      <w:bookmarkEnd w:id="20583"/>
      <w:bookmarkEnd w:id="20584"/>
      <w:bookmarkEnd w:id="20585"/>
      <w:bookmarkEnd w:id="20586"/>
      <w:bookmarkEnd w:id="20587"/>
      <w:bookmarkEnd w:id="20588"/>
      <w:bookmarkEnd w:id="20589"/>
      <w:bookmarkEnd w:id="20594"/>
      <w:bookmarkEnd w:id="20595"/>
    </w:p>
    <w:p w14:paraId="45D90C93" w14:textId="77777777" w:rsidR="003D504D" w:rsidRPr="00B06D6B" w:rsidRDefault="003D504D" w:rsidP="003D504D">
      <w:pPr>
        <w:pStyle w:val="a3"/>
      </w:pPr>
      <w:bookmarkStart w:id="20596" w:name="_Toc1250136"/>
      <w:bookmarkStart w:id="20597" w:name="_Toc1258140"/>
      <w:bookmarkStart w:id="20598" w:name="_Toc19391576"/>
      <w:bookmarkStart w:id="20599" w:name="_Toc19395073"/>
      <w:r>
        <w:rPr>
          <w:rFonts w:hint="cs"/>
          <w:rtl/>
        </w:rPr>
        <w:t>קושית החזו"א דבבכורות מוכח דאף קלוט שאסור מחמת עצמו מותר מדין זה וזה גורם</w:t>
      </w:r>
      <w:bookmarkEnd w:id="20596"/>
      <w:bookmarkEnd w:id="20597"/>
      <w:bookmarkEnd w:id="20598"/>
      <w:bookmarkEnd w:id="20599"/>
    </w:p>
    <w:p w14:paraId="32C4396C" w14:textId="77777777" w:rsidR="003D504D" w:rsidRPr="00B06D6B" w:rsidRDefault="003D504D" w:rsidP="00223668">
      <w:pPr>
        <w:pStyle w:val="a0"/>
      </w:pPr>
      <w:bookmarkStart w:id="20600" w:name="_Ref1252782"/>
      <w:r w:rsidRPr="00B06D6B">
        <w:rPr>
          <w:rFonts w:hint="cs"/>
          <w:rtl/>
        </w:rPr>
        <w:t xml:space="preserve">אך הקשה </w:t>
      </w:r>
      <w:r w:rsidRPr="00B06D6B">
        <w:rPr>
          <w:rStyle w:val="af9"/>
          <w:rFonts w:hint="cs"/>
          <w:rtl/>
        </w:rPr>
        <w:t>החזו"א בגליונות</w:t>
      </w:r>
      <w:r w:rsidRPr="00B06D6B">
        <w:rPr>
          <w:rFonts w:hint="cs"/>
          <w:rtl/>
        </w:rPr>
        <w:t xml:space="preserve"> </w:t>
      </w:r>
      <w:r w:rsidRPr="005679AC">
        <w:rPr>
          <w:rStyle w:val="af7"/>
          <w:rFonts w:eastAsia="Guttman Hodes" w:hint="cs"/>
          <w:rtl/>
        </w:rPr>
        <w:t>(מאכ"א פ"ג הי"א)</w:t>
      </w:r>
      <w:r w:rsidRPr="00B06D6B">
        <w:rPr>
          <w:rFonts w:hint="cs"/>
          <w:rtl/>
        </w:rPr>
        <w:t xml:space="preserve"> על </w:t>
      </w:r>
      <w:r w:rsidRPr="00B06D6B">
        <w:rPr>
          <w:rStyle w:val="af9"/>
          <w:rFonts w:hint="cs"/>
          <w:rtl/>
        </w:rPr>
        <w:t>הגר"ח</w:t>
      </w:r>
      <w:r w:rsidRPr="00B06D6B">
        <w:rPr>
          <w:rFonts w:hint="cs"/>
          <w:rtl/>
        </w:rPr>
        <w:t xml:space="preserve"> דבגמ' בבכורות </w:t>
      </w:r>
      <w:r w:rsidRPr="005679AC">
        <w:rPr>
          <w:rStyle w:val="af7"/>
          <w:rFonts w:eastAsia="Guttman Hodes" w:hint="cs"/>
          <w:rtl/>
        </w:rPr>
        <w:t>(ז.)</w:t>
      </w:r>
      <w:r w:rsidRPr="00B06D6B">
        <w:rPr>
          <w:rFonts w:hint="cs"/>
          <w:rtl/>
        </w:rPr>
        <w:t xml:space="preserve"> אמר רבי ירמיה דטמא שנולד מאם טהורה ואב קלוט </w:t>
      </w:r>
      <w:r w:rsidRPr="00B06D6B">
        <w:rPr>
          <w:rStyle w:val="afb"/>
          <w:rFonts w:hint="cs"/>
          <w:rtl/>
        </w:rPr>
        <w:t>[לדעת ר"ש דקרי לקלוט טמא]</w:t>
      </w:r>
      <w:r w:rsidRPr="00B06D6B">
        <w:rPr>
          <w:rFonts w:hint="cs"/>
          <w:rtl/>
        </w:rPr>
        <w:t xml:space="preserve">, דאמרינן בו זה וזה גורם מותר, וכתב </w:t>
      </w:r>
      <w:r w:rsidRPr="00B06D6B">
        <w:rPr>
          <w:rStyle w:val="af9"/>
          <w:rFonts w:hint="cs"/>
          <w:rtl/>
        </w:rPr>
        <w:t>החזו"א בגליונות</w:t>
      </w:r>
      <w:r w:rsidRPr="00B06D6B">
        <w:rPr>
          <w:rFonts w:hint="cs"/>
          <w:rtl/>
        </w:rPr>
        <w:t xml:space="preserve"> דמוכח דאף באיסור שהוא מחמת עצמו מהני זה וזה גורם להתיר, דהא התם הולד עצמו הוא טמא</w:t>
      </w:r>
      <w:r>
        <w:rPr>
          <w:rFonts w:hint="cs"/>
          <w:rtl/>
        </w:rPr>
        <w:t xml:space="preserve">, אמנם יעוי' במה שביאר </w:t>
      </w:r>
      <w:r w:rsidRPr="0095750F">
        <w:rPr>
          <w:rStyle w:val="af9"/>
          <w:rFonts w:hint="cs"/>
          <w:rtl/>
        </w:rPr>
        <w:t>החזו"א</w:t>
      </w:r>
      <w:r w:rsidRPr="00500629">
        <w:rPr>
          <w:rStyle w:val="af7"/>
          <w:rFonts w:eastAsia="Guttman Hodes" w:hint="cs"/>
          <w:rtl/>
        </w:rPr>
        <w:t xml:space="preserve"> (עי' אות </w:t>
      </w:r>
      <w:r w:rsidRPr="00500629">
        <w:rPr>
          <w:rStyle w:val="af7"/>
          <w:rFonts w:eastAsia="Guttman Hodes"/>
          <w:rtl/>
        </w:rPr>
        <w:fldChar w:fldCharType="begin"/>
      </w:r>
      <w:r w:rsidRPr="00500629">
        <w:rPr>
          <w:rStyle w:val="af7"/>
          <w:rFonts w:eastAsia="Guttman Hodes"/>
          <w:rtl/>
        </w:rPr>
        <w:instrText xml:space="preserve"> </w:instrText>
      </w:r>
      <w:r w:rsidRPr="00500629">
        <w:rPr>
          <w:rStyle w:val="af7"/>
          <w:rFonts w:eastAsia="Guttman Hodes" w:hint="cs"/>
        </w:rPr>
        <w:instrText>REF</w:instrText>
      </w:r>
      <w:r w:rsidRPr="00500629">
        <w:rPr>
          <w:rStyle w:val="af7"/>
          <w:rFonts w:eastAsia="Guttman Hodes" w:hint="cs"/>
          <w:rtl/>
        </w:rPr>
        <w:instrText xml:space="preserve"> _</w:instrText>
      </w:r>
      <w:r w:rsidRPr="00500629">
        <w:rPr>
          <w:rStyle w:val="af7"/>
          <w:rFonts w:eastAsia="Guttman Hodes" w:hint="cs"/>
        </w:rPr>
        <w:instrText>Ref1244793 \r \h</w:instrText>
      </w:r>
      <w:r w:rsidRPr="00500629">
        <w:rPr>
          <w:rStyle w:val="af7"/>
          <w:rFonts w:eastAsia="Guttman Hodes"/>
          <w:rtl/>
        </w:rPr>
        <w:instrText xml:space="preserve"> </w:instrText>
      </w:r>
      <w:r w:rsidRPr="00500629">
        <w:rPr>
          <w:rStyle w:val="af7"/>
          <w:rFonts w:eastAsia="Guttman Hodes"/>
          <w:rtl/>
        </w:rPr>
      </w:r>
      <w:r w:rsidRPr="00500629">
        <w:rPr>
          <w:rStyle w:val="af7"/>
          <w:rFonts w:eastAsia="Guttman Hodes"/>
          <w:rtl/>
        </w:rPr>
        <w:fldChar w:fldCharType="separate"/>
      </w:r>
      <w:r w:rsidR="00345400">
        <w:rPr>
          <w:rStyle w:val="af7"/>
          <w:rFonts w:eastAsia="Guttman Hodes"/>
          <w:cs/>
        </w:rPr>
        <w:t>‎</w:t>
      </w:r>
      <w:r w:rsidR="00345400">
        <w:rPr>
          <w:rStyle w:val="af7"/>
          <w:rFonts w:eastAsia="Guttman Hodes"/>
          <w:rtl/>
        </w:rPr>
        <w:t>מ)</w:t>
      </w:r>
      <w:r w:rsidRPr="00500629">
        <w:rPr>
          <w:rStyle w:val="af7"/>
          <w:rFonts w:eastAsia="Guttman Hodes"/>
          <w:rtl/>
        </w:rPr>
        <w:fldChar w:fldCharType="end"/>
      </w:r>
      <w:r w:rsidRPr="00500629">
        <w:rPr>
          <w:rStyle w:val="af7"/>
          <w:rFonts w:eastAsia="Guttman Hodes" w:hint="cs"/>
          <w:rtl/>
        </w:rPr>
        <w:t xml:space="preserve"> </w:t>
      </w:r>
      <w:r>
        <w:rPr>
          <w:rFonts w:hint="cs"/>
          <w:rtl/>
        </w:rPr>
        <w:t>בגמ' בבכורות</w:t>
      </w:r>
      <w:r w:rsidRPr="00B06D6B">
        <w:rPr>
          <w:rFonts w:hint="cs"/>
          <w:rtl/>
        </w:rPr>
        <w:t>.</w:t>
      </w:r>
      <w:bookmarkEnd w:id="20600"/>
    </w:p>
    <w:p w14:paraId="2CDBABCB" w14:textId="77777777" w:rsidR="003D504D" w:rsidRPr="00B06D6B" w:rsidRDefault="003D504D" w:rsidP="003D504D">
      <w:pPr>
        <w:pStyle w:val="a3"/>
        <w:rPr>
          <w:rtl/>
        </w:rPr>
      </w:pPr>
      <w:bookmarkStart w:id="20601" w:name="_Toc1250137"/>
      <w:bookmarkStart w:id="20602" w:name="_Toc1258141"/>
      <w:bookmarkStart w:id="20603" w:name="_Toc19391577"/>
      <w:bookmarkStart w:id="20604" w:name="_Toc19395074"/>
      <w:r>
        <w:rPr>
          <w:rFonts w:hint="cs"/>
          <w:rtl/>
        </w:rPr>
        <w:t>דברי החזו"א דמקור דברי התוס' בבכורות והתוס' לעיל הוא ממה דהוכיח מהגמ' בבכורות</w:t>
      </w:r>
      <w:bookmarkEnd w:id="20601"/>
      <w:bookmarkEnd w:id="20602"/>
      <w:bookmarkEnd w:id="20603"/>
      <w:bookmarkEnd w:id="20604"/>
    </w:p>
    <w:p w14:paraId="025A5022" w14:textId="77777777" w:rsidR="003D504D" w:rsidRPr="00B06D6B" w:rsidRDefault="003D504D" w:rsidP="00223668">
      <w:pPr>
        <w:pStyle w:val="a0"/>
        <w:rPr>
          <w:rtl/>
        </w:rPr>
      </w:pPr>
      <w:bookmarkStart w:id="20605" w:name="_Ref536787017"/>
      <w:r w:rsidRPr="00B06D6B">
        <w:rPr>
          <w:rFonts w:hint="cs"/>
          <w:rtl/>
        </w:rPr>
        <w:t xml:space="preserve">וכתב </w:t>
      </w:r>
      <w:r w:rsidRPr="00B06D6B">
        <w:rPr>
          <w:rStyle w:val="af9"/>
          <w:rFonts w:hint="cs"/>
          <w:rtl/>
        </w:rPr>
        <w:t>החזו"א בגליונות</w:t>
      </w:r>
      <w:r w:rsidRPr="00B06D6B">
        <w:rPr>
          <w:rFonts w:hint="cs"/>
          <w:rtl/>
        </w:rPr>
        <w:t xml:space="preserve"> דכיון דמכח הראיה הזו מהגמ' בבכורות ביארו </w:t>
      </w:r>
      <w:r w:rsidRPr="00B06D6B">
        <w:rPr>
          <w:rStyle w:val="af9"/>
          <w:rFonts w:hint="cs"/>
          <w:rtl/>
        </w:rPr>
        <w:t>התוס' בבכורות</w:t>
      </w:r>
      <w:r w:rsidRPr="00B06D6B">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Ref951066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Pr>
          <w:rStyle w:val="af7"/>
          <w:rFonts w:eastAsia="Guttman Hodes"/>
          <w:rtl/>
        </w:rPr>
        <w:fldChar w:fldCharType="end"/>
      </w:r>
      <w:r>
        <w:rPr>
          <w:rStyle w:val="af7"/>
          <w:rFonts w:eastAsia="Guttman Hodes" w:hint="cs"/>
          <w:rtl/>
        </w:rPr>
        <w:t xml:space="preserve"> </w:t>
      </w:r>
      <w:r w:rsidRPr="00B06D6B">
        <w:rPr>
          <w:rFonts w:hint="cs"/>
          <w:rtl/>
        </w:rPr>
        <w:t xml:space="preserve"> </w:t>
      </w:r>
      <w:r w:rsidRPr="00B06D6B">
        <w:rPr>
          <w:rStyle w:val="af9"/>
          <w:rFonts w:hint="cs"/>
          <w:rtl/>
        </w:rPr>
        <w:t xml:space="preserve">והתוס' לעיל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Ref536786982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B06D6B">
        <w:rPr>
          <w:rStyle w:val="af7"/>
          <w:rFonts w:eastAsia="Guttman Hodes"/>
          <w:rtl/>
        </w:rPr>
        <w:fldChar w:fldCharType="end"/>
      </w:r>
      <w:r w:rsidRPr="00B06D6B">
        <w:rPr>
          <w:rFonts w:hint="cs"/>
          <w:rtl/>
        </w:rPr>
        <w:t xml:space="preserve"> לומר דדין זה וזה גורם הוא שייך במקום שיש גורם אחד מותר, וגורם אחד אסור, ואינו שייך במקום ששניהם היתר, אך לא חילקו </w:t>
      </w:r>
      <w:r w:rsidRPr="00B06D6B">
        <w:rPr>
          <w:rStyle w:val="af9"/>
          <w:rFonts w:hint="cs"/>
          <w:rtl/>
        </w:rPr>
        <w:t xml:space="preserve">התוס' בבכורות והתוס' לעיל </w:t>
      </w:r>
      <w:r w:rsidRPr="00B06D6B">
        <w:rPr>
          <w:rFonts w:hint="cs"/>
          <w:rtl/>
        </w:rPr>
        <w:t xml:space="preserve">בין איסור מחמת שהוא ממין האב </w:t>
      </w:r>
      <w:r w:rsidRPr="00B06D6B">
        <w:rPr>
          <w:rStyle w:val="afb"/>
          <w:rFonts w:hint="cs"/>
          <w:rtl/>
        </w:rPr>
        <w:t>[דהיינו איסור מחמת עצמו]</w:t>
      </w:r>
      <w:r w:rsidRPr="00B06D6B">
        <w:rPr>
          <w:rFonts w:hint="cs"/>
          <w:rtl/>
        </w:rPr>
        <w:t xml:space="preserve">, לאיסור אחר </w:t>
      </w:r>
      <w:r w:rsidRPr="00B06D6B">
        <w:rPr>
          <w:rStyle w:val="afb"/>
          <w:rFonts w:hint="cs"/>
          <w:rtl/>
        </w:rPr>
        <w:t>[דהיינו איסור מדין יוצא מן הטמא]</w:t>
      </w:r>
      <w:r w:rsidRPr="00B06D6B">
        <w:rPr>
          <w:rFonts w:hint="cs"/>
          <w:rtl/>
        </w:rPr>
        <w:t xml:space="preserve">, כדחילק </w:t>
      </w:r>
      <w:r w:rsidRPr="00B06D6B">
        <w:rPr>
          <w:rStyle w:val="af9"/>
          <w:rFonts w:hint="cs"/>
          <w:rtl/>
        </w:rPr>
        <w:t>הגר"ח</w:t>
      </w:r>
      <w:r w:rsidRPr="00B06D6B">
        <w:rPr>
          <w:rFonts w:hint="cs"/>
          <w:rtl/>
        </w:rPr>
        <w:t>.</w:t>
      </w:r>
      <w:bookmarkEnd w:id="20605"/>
    </w:p>
    <w:p w14:paraId="5DC0E378" w14:textId="77777777" w:rsidR="003D504D" w:rsidRDefault="003D504D" w:rsidP="003D504D">
      <w:pPr>
        <w:pStyle w:val="a3"/>
      </w:pPr>
      <w:bookmarkStart w:id="20606" w:name="_Toc1250138"/>
      <w:bookmarkStart w:id="20607" w:name="_Toc1258142"/>
      <w:bookmarkStart w:id="20608" w:name="_Toc19391578"/>
      <w:bookmarkStart w:id="20609" w:name="_Toc19395075"/>
      <w:r>
        <w:rPr>
          <w:rFonts w:hint="cs"/>
          <w:rtl/>
        </w:rPr>
        <w:t>קושית הגרי"ז על הגר"ח דבקלוט הנדון מאיזה מין הוא ואפ"ה הגמ' מדמה לדין זה וזה גורם</w:t>
      </w:r>
      <w:bookmarkEnd w:id="20606"/>
      <w:bookmarkEnd w:id="20607"/>
      <w:bookmarkEnd w:id="20608"/>
      <w:bookmarkEnd w:id="20609"/>
    </w:p>
    <w:p w14:paraId="4BE35880" w14:textId="77777777" w:rsidR="003D504D" w:rsidRPr="00B06D6B" w:rsidRDefault="003D504D" w:rsidP="00223668">
      <w:pPr>
        <w:pStyle w:val="a0"/>
        <w:rPr>
          <w:rtl/>
        </w:rPr>
      </w:pPr>
      <w:r w:rsidRPr="00B06D6B">
        <w:rPr>
          <w:rFonts w:hint="cs"/>
          <w:rtl/>
        </w:rPr>
        <w:t xml:space="preserve">וכבר הקשה כן </w:t>
      </w:r>
      <w:r w:rsidRPr="00B06D6B">
        <w:rPr>
          <w:rStyle w:val="af9"/>
          <w:rFonts w:hint="cs"/>
          <w:rtl/>
        </w:rPr>
        <w:t>הגרי"ז</w:t>
      </w:r>
      <w:r w:rsidRPr="00B06D6B">
        <w:rPr>
          <w:rFonts w:hint="cs"/>
          <w:rtl/>
        </w:rPr>
        <w:t xml:space="preserve"> </w:t>
      </w:r>
      <w:r w:rsidRPr="005679AC">
        <w:rPr>
          <w:rStyle w:val="af7"/>
          <w:rFonts w:eastAsia="Guttman Hodes" w:hint="cs"/>
          <w:rtl/>
        </w:rPr>
        <w:t>(בחי' הגר"ח עהש"ס בכורות ז. בדין יוצא מן הטמא, חי' הגרי"ז בכורות ז. ד"ה והנה הגר"ח)</w:t>
      </w:r>
      <w:r w:rsidRPr="00B06D6B">
        <w:rPr>
          <w:rFonts w:hint="cs"/>
          <w:rtl/>
        </w:rPr>
        <w:t xml:space="preserve"> </w:t>
      </w:r>
      <w:r w:rsidRPr="00B06D6B">
        <w:rPr>
          <w:rStyle w:val="af9"/>
          <w:rFonts w:hint="cs"/>
          <w:rtl/>
        </w:rPr>
        <w:t>להגר"ח</w:t>
      </w:r>
      <w:r w:rsidRPr="00B06D6B">
        <w:rPr>
          <w:rFonts w:hint="cs"/>
          <w:rtl/>
        </w:rPr>
        <w:t xml:space="preserve"> דכיון דקלוט הוא בכלל בהמה טמאה, ואיירי כשנתעברה מאב טמא, א"כ אי חוששין לזרע האב, חל על הולד שנולד ממנו איסור מצד עצמו, ואפ"ה הגמ' בבכורות </w:t>
      </w:r>
      <w:r w:rsidRPr="005679AC">
        <w:rPr>
          <w:rStyle w:val="af7"/>
          <w:rFonts w:eastAsia="Guttman Hodes" w:hint="cs"/>
          <w:rtl/>
        </w:rPr>
        <w:t>(ז.)</w:t>
      </w:r>
      <w:r w:rsidRPr="00B06D6B">
        <w:rPr>
          <w:rFonts w:hint="cs"/>
          <w:rtl/>
        </w:rPr>
        <w:t xml:space="preserve"> מדמה את דינו,  לדין זה וזה גורם לענין ולד טריפה, ומבואר בגמ' בבכורות דאף שהנדון בקלוט מאיזה מין הוא, ולא אם בא מכח ההיתר או האיסור, מ"מ שייך להתירו מדין זה וזה גורם. </w:t>
      </w:r>
    </w:p>
    <w:p w14:paraId="6BC6F22D" w14:textId="77777777" w:rsidR="003D504D" w:rsidRDefault="003D504D" w:rsidP="00BF39B2">
      <w:pPr>
        <w:pStyle w:val="1"/>
        <w:rPr>
          <w:rtl/>
        </w:rPr>
      </w:pPr>
      <w:bookmarkStart w:id="20610" w:name="_Toc19391579"/>
      <w:bookmarkStart w:id="20611" w:name="_Toc19395076"/>
      <w:bookmarkStart w:id="20612" w:name="_Toc1250139"/>
      <w:bookmarkStart w:id="20613" w:name="_Toc1258143"/>
      <w:r>
        <w:rPr>
          <w:rFonts w:hint="cs"/>
          <w:rtl/>
        </w:rPr>
        <w:t>תירוץ הגר"ח דקלוט אינו מין טמא אלא אסור מדין יוצא</w:t>
      </w:r>
      <w:bookmarkEnd w:id="20610"/>
      <w:bookmarkEnd w:id="20611"/>
    </w:p>
    <w:p w14:paraId="4A4593B8" w14:textId="77777777" w:rsidR="003D504D" w:rsidRPr="00B06D6B" w:rsidRDefault="003D504D" w:rsidP="003D504D">
      <w:pPr>
        <w:pStyle w:val="a3"/>
        <w:rPr>
          <w:rtl/>
        </w:rPr>
      </w:pPr>
      <w:bookmarkStart w:id="20614" w:name="_Toc19391580"/>
      <w:bookmarkStart w:id="20615" w:name="_Toc19395077"/>
      <w:r>
        <w:rPr>
          <w:rFonts w:hint="cs"/>
          <w:rtl/>
        </w:rPr>
        <w:t>תירוץ הגר"ח דקלוט אינו מין טמא ואינו אסור מצד עצמו אלא אסור מחמת יוצא מטמא</w:t>
      </w:r>
      <w:bookmarkEnd w:id="20612"/>
      <w:bookmarkEnd w:id="20613"/>
      <w:bookmarkEnd w:id="20614"/>
      <w:bookmarkEnd w:id="20615"/>
    </w:p>
    <w:p w14:paraId="6A40DEEB" w14:textId="77777777" w:rsidR="003D504D" w:rsidRPr="00B06D6B" w:rsidRDefault="003D504D" w:rsidP="00223668">
      <w:pPr>
        <w:pStyle w:val="a0"/>
        <w:rPr>
          <w:rtl/>
        </w:rPr>
      </w:pPr>
      <w:bookmarkStart w:id="20616" w:name="_Ref536787016"/>
      <w:r w:rsidRPr="00B06D6B">
        <w:rPr>
          <w:rStyle w:val="af9"/>
          <w:rFonts w:hint="cs"/>
          <w:rtl/>
        </w:rPr>
        <w:t>והגר"ח</w:t>
      </w:r>
      <w:r w:rsidRPr="00B06D6B">
        <w:rPr>
          <w:rFonts w:hint="cs"/>
          <w:rtl/>
        </w:rPr>
        <w:t xml:space="preserve"> תירץ </w:t>
      </w:r>
      <w:r w:rsidRPr="00B06D6B">
        <w:rPr>
          <w:rStyle w:val="af9"/>
          <w:rFonts w:hint="cs"/>
          <w:rtl/>
        </w:rPr>
        <w:t>להגרי"ז</w:t>
      </w:r>
      <w:r w:rsidRPr="00B06D6B">
        <w:rPr>
          <w:rFonts w:hint="cs"/>
          <w:rtl/>
        </w:rPr>
        <w:t xml:space="preserve"> דקלוט עצמו האיסור שלו אינו מחמת שהוא מין טמא, דהא המין שלו הוא טהור, אלא הוא אסור מחמת שחסרים לו סימני טהרה, </w:t>
      </w:r>
      <w:r w:rsidRPr="00B06D6B">
        <w:rPr>
          <w:rStyle w:val="afb"/>
          <w:rFonts w:hint="cs"/>
          <w:rtl/>
        </w:rPr>
        <w:t>[שהוא רק חפצא של טמא, דכיון שהוא קלוט חשיב טמא],</w:t>
      </w:r>
      <w:r w:rsidRPr="00B06D6B">
        <w:rPr>
          <w:rFonts w:hint="cs"/>
          <w:rtl/>
        </w:rPr>
        <w:t xml:space="preserve"> א"כ א"א לומר שהיוצא ממנו איסורו הוא מחמת עצמו דהוא מין טמא, דהא אף האב הקלוט אינו אסור מדין מין טמא, ולכן האיסור על הולד שלו הוא מדין יוצא מן הטמא, וממילא שייך בו היתר מדין זה וזה גורם, ועיי"ש עוד במה שהקשה </w:t>
      </w:r>
      <w:r w:rsidRPr="00B06D6B">
        <w:rPr>
          <w:rStyle w:val="af9"/>
          <w:rFonts w:hint="cs"/>
          <w:rtl/>
        </w:rPr>
        <w:t>הגרי"ז</w:t>
      </w:r>
      <w:r w:rsidRPr="00B06D6B">
        <w:rPr>
          <w:rFonts w:hint="cs"/>
          <w:rtl/>
        </w:rPr>
        <w:t xml:space="preserve"> מהגמ' בבכורות</w:t>
      </w:r>
      <w:r>
        <w:rPr>
          <w:rFonts w:hint="cs"/>
          <w:rtl/>
        </w:rPr>
        <w:t xml:space="preserve">, וכעי"ז ביאר </w:t>
      </w:r>
      <w:r w:rsidRPr="0095750F">
        <w:rPr>
          <w:rStyle w:val="af9"/>
          <w:rFonts w:hint="cs"/>
          <w:rtl/>
        </w:rPr>
        <w:t>החזו"א</w:t>
      </w:r>
      <w:r w:rsidRPr="00500629">
        <w:rPr>
          <w:rStyle w:val="af7"/>
          <w:rFonts w:eastAsia="Guttman Hodes" w:hint="cs"/>
          <w:rtl/>
        </w:rPr>
        <w:t xml:space="preserve"> (עי' אות </w:t>
      </w:r>
      <w:r w:rsidRPr="00500629">
        <w:rPr>
          <w:rStyle w:val="af7"/>
          <w:rFonts w:eastAsia="Guttman Hodes"/>
          <w:rtl/>
        </w:rPr>
        <w:fldChar w:fldCharType="begin"/>
      </w:r>
      <w:r w:rsidRPr="00500629">
        <w:rPr>
          <w:rStyle w:val="af7"/>
          <w:rFonts w:eastAsia="Guttman Hodes"/>
          <w:rtl/>
        </w:rPr>
        <w:instrText xml:space="preserve"> </w:instrText>
      </w:r>
      <w:r w:rsidRPr="00500629">
        <w:rPr>
          <w:rStyle w:val="af7"/>
          <w:rFonts w:eastAsia="Guttman Hodes" w:hint="cs"/>
        </w:rPr>
        <w:instrText>REF</w:instrText>
      </w:r>
      <w:r w:rsidRPr="00500629">
        <w:rPr>
          <w:rStyle w:val="af7"/>
          <w:rFonts w:eastAsia="Guttman Hodes" w:hint="cs"/>
          <w:rtl/>
        </w:rPr>
        <w:instrText xml:space="preserve"> _</w:instrText>
      </w:r>
      <w:r w:rsidRPr="00500629">
        <w:rPr>
          <w:rStyle w:val="af7"/>
          <w:rFonts w:eastAsia="Guttman Hodes" w:hint="cs"/>
        </w:rPr>
        <w:instrText>Ref1244793 \r \h</w:instrText>
      </w:r>
      <w:r w:rsidRPr="00500629">
        <w:rPr>
          <w:rStyle w:val="af7"/>
          <w:rFonts w:eastAsia="Guttman Hodes"/>
          <w:rtl/>
        </w:rPr>
        <w:instrText xml:space="preserve"> </w:instrText>
      </w:r>
      <w:r w:rsidRPr="00500629">
        <w:rPr>
          <w:rStyle w:val="af7"/>
          <w:rFonts w:eastAsia="Guttman Hodes"/>
          <w:rtl/>
        </w:rPr>
      </w:r>
      <w:r w:rsidRPr="00500629">
        <w:rPr>
          <w:rStyle w:val="af7"/>
          <w:rFonts w:eastAsia="Guttman Hodes"/>
          <w:rtl/>
        </w:rPr>
        <w:fldChar w:fldCharType="separate"/>
      </w:r>
      <w:r w:rsidR="00345400">
        <w:rPr>
          <w:rStyle w:val="af7"/>
          <w:rFonts w:eastAsia="Guttman Hodes"/>
          <w:cs/>
        </w:rPr>
        <w:t>‎</w:t>
      </w:r>
      <w:r w:rsidR="00345400">
        <w:rPr>
          <w:rStyle w:val="af7"/>
          <w:rFonts w:eastAsia="Guttman Hodes"/>
          <w:rtl/>
        </w:rPr>
        <w:t>מ)</w:t>
      </w:r>
      <w:r w:rsidRPr="00500629">
        <w:rPr>
          <w:rStyle w:val="af7"/>
          <w:rFonts w:eastAsia="Guttman Hodes"/>
          <w:rtl/>
        </w:rPr>
        <w:fldChar w:fldCharType="end"/>
      </w:r>
      <w:r w:rsidRPr="00500629">
        <w:rPr>
          <w:rStyle w:val="af7"/>
          <w:rFonts w:eastAsia="Guttman Hodes" w:hint="cs"/>
          <w:rtl/>
        </w:rPr>
        <w:t xml:space="preserve"> </w:t>
      </w:r>
      <w:r>
        <w:rPr>
          <w:rFonts w:hint="cs"/>
          <w:rtl/>
        </w:rPr>
        <w:t>בגמ' בבכורות</w:t>
      </w:r>
      <w:r w:rsidRPr="00B06D6B">
        <w:rPr>
          <w:rFonts w:hint="cs"/>
          <w:rtl/>
        </w:rPr>
        <w:t>.</w:t>
      </w:r>
      <w:bookmarkEnd w:id="20616"/>
    </w:p>
    <w:p w14:paraId="55B4DED9" w14:textId="77777777" w:rsidR="003D504D" w:rsidRPr="00B06D6B" w:rsidRDefault="003D504D" w:rsidP="003D504D">
      <w:pPr>
        <w:pStyle w:val="a3"/>
        <w:rPr>
          <w:rtl/>
        </w:rPr>
      </w:pPr>
      <w:bookmarkStart w:id="20617" w:name="_Toc1250140"/>
      <w:bookmarkStart w:id="20618" w:name="_Toc1258144"/>
      <w:bookmarkStart w:id="20619" w:name="_Toc19391581"/>
      <w:bookmarkStart w:id="20620" w:name="_Toc19395078"/>
      <w:r>
        <w:rPr>
          <w:rFonts w:hint="cs"/>
          <w:rtl/>
        </w:rPr>
        <w:t>דברי הקוב"ש דמתירוץ הגמ' בבכורות מוכח דקלוט אינו מין טמא ולכן שייך בו דין זה וזה גורם</w:t>
      </w:r>
      <w:bookmarkEnd w:id="20617"/>
      <w:bookmarkEnd w:id="20618"/>
      <w:bookmarkEnd w:id="20619"/>
      <w:bookmarkEnd w:id="20620"/>
    </w:p>
    <w:p w14:paraId="16D5FFE1" w14:textId="77777777" w:rsidR="003D504D" w:rsidRDefault="003D504D" w:rsidP="00223668">
      <w:pPr>
        <w:pStyle w:val="a0"/>
        <w:rPr>
          <w:rtl/>
        </w:rPr>
      </w:pPr>
      <w:r w:rsidRPr="00B06D6B">
        <w:rPr>
          <w:rFonts w:hint="cs"/>
          <w:rtl/>
        </w:rPr>
        <w:t xml:space="preserve">וכ"כ </w:t>
      </w:r>
      <w:r w:rsidRPr="00B06D6B">
        <w:rPr>
          <w:rStyle w:val="af9"/>
          <w:rFonts w:hint="cs"/>
          <w:rtl/>
        </w:rPr>
        <w:t xml:space="preserve">הקוב"ש </w:t>
      </w:r>
      <w:r w:rsidRPr="005679AC">
        <w:rPr>
          <w:rStyle w:val="af7"/>
          <w:rFonts w:eastAsia="Guttman Hodes" w:hint="cs"/>
          <w:rtl/>
        </w:rPr>
        <w:t>(ח"ב קובץ שמועות חולין סוף אות כ"ט)</w:t>
      </w:r>
      <w:r w:rsidRPr="00B06D6B">
        <w:rPr>
          <w:rFonts w:hint="cs"/>
          <w:rtl/>
        </w:rPr>
        <w:t xml:space="preserve"> דמבואר בגמ' בבכורות דקלוט אינו מין טמא אלא יש עליו איסור בעלמא, ולכן הוא תלוי בדין זה וזה גורם, ולא בדין חוששין לזרע האב, כבהמה טמאה, וכתב </w:t>
      </w:r>
      <w:r w:rsidRPr="00B06D6B">
        <w:rPr>
          <w:rStyle w:val="af9"/>
          <w:rFonts w:hint="cs"/>
          <w:rtl/>
        </w:rPr>
        <w:t>הקוב"ש</w:t>
      </w:r>
      <w:r w:rsidRPr="00B06D6B">
        <w:rPr>
          <w:rFonts w:hint="cs"/>
          <w:rtl/>
        </w:rPr>
        <w:t xml:space="preserve"> דכן מוכח מהא דהגמ' בבכורות תירצה דאף דטהורה אינה מתעברת מטמא מ"מ איירי שנתעברה מקלוט, ואי קלוט הוא מין טמא, מה תירצה הגמ' הרי אף הוא כטמא שאינה מתעברת ממנו.</w:t>
      </w:r>
    </w:p>
    <w:p w14:paraId="2AC6146F" w14:textId="77777777" w:rsidR="005E4B5C" w:rsidRPr="005E4B5C" w:rsidRDefault="005E4B5C" w:rsidP="005E4B5C">
      <w:pPr>
        <w:pStyle w:val="a3"/>
        <w:rPr>
          <w:rtl/>
        </w:rPr>
      </w:pPr>
    </w:p>
    <w:p w14:paraId="0C0ABAEC" w14:textId="77777777" w:rsidR="005E4B5C" w:rsidRPr="005E4B5C" w:rsidRDefault="005E4B5C" w:rsidP="005E4B5C">
      <w:pPr>
        <w:pStyle w:val="a3"/>
        <w:rPr>
          <w:rtl/>
        </w:rPr>
      </w:pPr>
    </w:p>
    <w:p w14:paraId="12B1A5FC" w14:textId="77777777" w:rsidR="003D504D" w:rsidRDefault="003D504D" w:rsidP="003D504D">
      <w:pPr>
        <w:pStyle w:val="afe"/>
        <w:rPr>
          <w:rtl/>
        </w:rPr>
      </w:pPr>
      <w:bookmarkStart w:id="20621" w:name="_Toc19436192"/>
      <w:bookmarkStart w:id="20622" w:name="_Toc20081361"/>
      <w:bookmarkStart w:id="20623" w:name="_Toc725037"/>
      <w:bookmarkStart w:id="20624" w:name="_Toc773246"/>
      <w:bookmarkStart w:id="20625" w:name="_Toc862098"/>
      <w:bookmarkStart w:id="20626" w:name="_Toc890771"/>
      <w:bookmarkStart w:id="20627" w:name="_Toc903180"/>
      <w:bookmarkStart w:id="20628" w:name="_Toc955108"/>
      <w:bookmarkStart w:id="20629" w:name="_Toc974551"/>
      <w:bookmarkStart w:id="20630" w:name="_Toc984467"/>
      <w:bookmarkStart w:id="20631" w:name="_Toc1056601"/>
      <w:bookmarkStart w:id="20632" w:name="_Toc1109759"/>
      <w:bookmarkStart w:id="20633" w:name="_Toc1128738"/>
      <w:bookmarkStart w:id="20634" w:name="_Toc1250143"/>
      <w:bookmarkStart w:id="20635" w:name="_Toc1258149"/>
      <w:bookmarkStart w:id="20636" w:name="_Toc519058"/>
      <w:r>
        <w:rPr>
          <w:rFonts w:hint="cs"/>
          <w:rtl/>
        </w:rPr>
        <w:t>בקושית התוס' להתיר מדין זה וזה גורם</w:t>
      </w:r>
      <w:bookmarkEnd w:id="20621"/>
      <w:bookmarkEnd w:id="20622"/>
    </w:p>
    <w:p w14:paraId="44397B81" w14:textId="77777777" w:rsidR="003D504D" w:rsidRPr="00B06D6B" w:rsidRDefault="003D504D" w:rsidP="00BF39B2">
      <w:pPr>
        <w:pStyle w:val="1"/>
        <w:rPr>
          <w:rtl/>
        </w:rPr>
      </w:pPr>
      <w:bookmarkStart w:id="20637" w:name="_Toc19391582"/>
      <w:bookmarkStart w:id="20638" w:name="_Toc19395079"/>
      <w:r w:rsidRPr="00B06D6B">
        <w:rPr>
          <w:rFonts w:hint="cs"/>
          <w:rtl/>
        </w:rPr>
        <w:t>ביאור הקוב"ש בקושית התוס' דתלתא איסורי הוי זה וזה גורם</w:t>
      </w:r>
      <w:bookmarkEnd w:id="20623"/>
      <w:bookmarkEnd w:id="20624"/>
      <w:bookmarkEnd w:id="20625"/>
      <w:bookmarkEnd w:id="20626"/>
      <w:bookmarkEnd w:id="20627"/>
      <w:bookmarkEnd w:id="20628"/>
      <w:bookmarkEnd w:id="20629"/>
      <w:bookmarkEnd w:id="20630"/>
      <w:bookmarkEnd w:id="20631"/>
      <w:bookmarkEnd w:id="20632"/>
      <w:bookmarkEnd w:id="20633"/>
      <w:bookmarkEnd w:id="20634"/>
      <w:bookmarkEnd w:id="20635"/>
      <w:bookmarkEnd w:id="20637"/>
      <w:bookmarkEnd w:id="20638"/>
    </w:p>
    <w:p w14:paraId="6C43DE39" w14:textId="77777777" w:rsidR="003D504D" w:rsidRPr="00B06D6B" w:rsidRDefault="003D504D" w:rsidP="003D504D">
      <w:pPr>
        <w:pStyle w:val="a3"/>
        <w:rPr>
          <w:rtl/>
        </w:rPr>
      </w:pPr>
      <w:bookmarkStart w:id="20639" w:name="_Toc1250144"/>
      <w:bookmarkStart w:id="20640" w:name="_Toc1258150"/>
      <w:bookmarkStart w:id="20641" w:name="_Toc19391583"/>
      <w:bookmarkStart w:id="20642" w:name="_Toc19395080"/>
      <w:r>
        <w:rPr>
          <w:rFonts w:hint="cs"/>
          <w:rtl/>
        </w:rPr>
        <w:t>ביאור הקוב"ש דקושית התוס' דהוי זה וזה גורם לא שייכא בנדון חוששין לזרע האב דרב משרשיא</w:t>
      </w:r>
      <w:bookmarkEnd w:id="20639"/>
      <w:bookmarkEnd w:id="20640"/>
      <w:bookmarkEnd w:id="20641"/>
      <w:bookmarkEnd w:id="20642"/>
    </w:p>
    <w:p w14:paraId="02B13329" w14:textId="77777777" w:rsidR="003D504D" w:rsidRPr="00B06D6B" w:rsidRDefault="003D504D" w:rsidP="00223668">
      <w:pPr>
        <w:pStyle w:val="a0"/>
        <w:rPr>
          <w:rtl/>
        </w:rPr>
      </w:pPr>
      <w:bookmarkStart w:id="20643" w:name="_Ref636580"/>
      <w:r w:rsidRPr="00B06D6B">
        <w:rPr>
          <w:rFonts w:hint="cs"/>
          <w:rtl/>
        </w:rPr>
        <w:t>בקושית</w:t>
      </w:r>
      <w:r w:rsidRPr="00B06D6B">
        <w:rPr>
          <w:rStyle w:val="af9"/>
          <w:rFonts w:hint="cs"/>
          <w:rtl/>
        </w:rPr>
        <w:t xml:space="preserve"> התוס'</w:t>
      </w:r>
      <w:r w:rsidRPr="00B06D6B">
        <w:rPr>
          <w:rFonts w:hint="cs"/>
          <w:rtl/>
        </w:rPr>
        <w:t xml:space="preserve">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Ref636523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sidRPr="00345400">
        <w:rPr>
          <w:rStyle w:val="af7"/>
          <w:rFonts w:eastAsia="Guttman Hodes"/>
          <w:b/>
          <w:bCs/>
          <w:cs/>
        </w:rPr>
        <w:t>‎</w:t>
      </w:r>
      <w:r w:rsidR="00345400" w:rsidRPr="00345400">
        <w:rPr>
          <w:rStyle w:val="af7"/>
          <w:rFonts w:eastAsia="Guttman Hodes"/>
          <w:b/>
          <w:bCs/>
          <w:rtl/>
        </w:rPr>
        <w:t>יז)</w:t>
      </w:r>
      <w:r w:rsidRPr="00B06D6B">
        <w:rPr>
          <w:rStyle w:val="af7"/>
          <w:rFonts w:eastAsia="Guttman Hodes"/>
          <w:rtl/>
        </w:rPr>
        <w:fldChar w:fldCharType="end"/>
      </w:r>
      <w:r w:rsidRPr="00B06D6B">
        <w:rPr>
          <w:rFonts w:hint="cs"/>
          <w:rtl/>
        </w:rPr>
        <w:t xml:space="preserve"> דתלתא איסורי הוי זה וזה גורם וקיי"ל דמותר, כתב </w:t>
      </w:r>
      <w:r w:rsidRPr="00B06D6B">
        <w:rPr>
          <w:rStyle w:val="af9"/>
          <w:rFonts w:hint="cs"/>
          <w:rtl/>
        </w:rPr>
        <w:t>הקוב"ש</w:t>
      </w:r>
      <w:r w:rsidRPr="00B06D6B">
        <w:rPr>
          <w:rFonts w:hint="cs"/>
          <w:rtl/>
        </w:rPr>
        <w:t xml:space="preserve"> </w:t>
      </w:r>
      <w:r w:rsidRPr="005679AC">
        <w:rPr>
          <w:rStyle w:val="af7"/>
          <w:rFonts w:eastAsia="Guttman Hodes" w:hint="cs"/>
          <w:rtl/>
        </w:rPr>
        <w:t>(ח"ב קובץ שמועות חולין כ"ט)</w:t>
      </w:r>
      <w:r w:rsidRPr="00B06D6B">
        <w:rPr>
          <w:rFonts w:hint="cs"/>
          <w:rtl/>
        </w:rPr>
        <w:t xml:space="preserve"> דהא </w:t>
      </w:r>
      <w:r w:rsidRPr="00B06D6B">
        <w:rPr>
          <w:rStyle w:val="af9"/>
          <w:rFonts w:hint="cs"/>
          <w:rtl/>
        </w:rPr>
        <w:t>דהתוס'</w:t>
      </w:r>
      <w:r w:rsidRPr="00B06D6B">
        <w:rPr>
          <w:rFonts w:hint="cs"/>
          <w:rtl/>
        </w:rPr>
        <w:t xml:space="preserve"> הקשו כן רק על קושית הגמ', ולא </w:t>
      </w:r>
      <w:bookmarkEnd w:id="20643"/>
      <w:r w:rsidRPr="00B06D6B">
        <w:rPr>
          <w:rFonts w:hint="cs"/>
          <w:rtl/>
        </w:rPr>
        <w:t xml:space="preserve">הקשו על רב משרשיא, הוא כיון דדין זה וזה גורם, אינו שייך כלל לנדון אי חוששין לזרע האב, כדביארו </w:t>
      </w:r>
      <w:r w:rsidRPr="00B06D6B">
        <w:rPr>
          <w:rStyle w:val="af9"/>
          <w:rFonts w:hint="cs"/>
          <w:rtl/>
        </w:rPr>
        <w:t>הגר"ח והקוב"ש</w:t>
      </w:r>
      <w:r w:rsidRPr="005679AC">
        <w:rPr>
          <w:rStyle w:val="af7"/>
          <w:rFonts w:eastAsia="Guttman Hodes" w:hint="cs"/>
          <w:rtl/>
        </w:rPr>
        <w:t xml:space="preserve"> (עי'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Ref636439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מח)</w:t>
      </w:r>
      <w:r w:rsidRPr="00B06D6B">
        <w:rPr>
          <w:rStyle w:val="af7"/>
          <w:rFonts w:eastAsia="Guttman Hodes"/>
          <w:rtl/>
        </w:rPr>
        <w:fldChar w:fldCharType="end"/>
      </w:r>
      <w:r w:rsidRPr="00B06D6B">
        <w:rPr>
          <w:rFonts w:hint="cs"/>
          <w:rtl/>
        </w:rPr>
        <w:t xml:space="preserve">, דדין זה וזה גורם הוא מדין יוצא מדבר האסור, ודין חוששין לזרע האב הוא בדבר שאיסורו מחמת עצמו, וכתב </w:t>
      </w:r>
      <w:r w:rsidRPr="00B06D6B">
        <w:rPr>
          <w:rStyle w:val="af9"/>
          <w:rFonts w:hint="cs"/>
          <w:rtl/>
        </w:rPr>
        <w:t xml:space="preserve">הקוב"ש </w:t>
      </w:r>
      <w:r w:rsidRPr="00B06D6B">
        <w:rPr>
          <w:rFonts w:hint="cs"/>
          <w:rtl/>
        </w:rPr>
        <w:t xml:space="preserve">דא"כ לגבי שחיטה דהולד טעון שחיטה מצד עצמו, ולא מחמת שהוא יצא מאמו, דאף הבהמה הראשונה שנבראה בעולם טעונה שחיטה, ולכן הנדון הוא רק אי חוששין לזרע האב, ולא שייכא בזה קושית </w:t>
      </w:r>
      <w:r w:rsidRPr="006561F0">
        <w:rPr>
          <w:rStyle w:val="af9"/>
          <w:rFonts w:hint="cs"/>
          <w:rtl/>
        </w:rPr>
        <w:t xml:space="preserve">התוס' </w:t>
      </w:r>
      <w:r w:rsidRPr="00B06D6B">
        <w:rPr>
          <w:rFonts w:hint="cs"/>
          <w:rtl/>
        </w:rPr>
        <w:t>דיהיה מותר מדין זה וזה גורם.</w:t>
      </w:r>
    </w:p>
    <w:p w14:paraId="63046882" w14:textId="77777777" w:rsidR="003D504D" w:rsidRPr="002143A8" w:rsidRDefault="003D504D" w:rsidP="00BF39B2">
      <w:pPr>
        <w:pStyle w:val="1"/>
        <w:rPr>
          <w:rtl/>
        </w:rPr>
      </w:pPr>
      <w:bookmarkStart w:id="20644" w:name="_Toc1258146"/>
      <w:bookmarkStart w:id="20645" w:name="_Toc19391584"/>
      <w:bookmarkStart w:id="20646" w:name="_Toc19395081"/>
      <w:bookmarkStart w:id="20647" w:name="_Toc1258148"/>
      <w:bookmarkStart w:id="20648" w:name="_Toc1258151"/>
      <w:bookmarkStart w:id="20649" w:name="_Toc725038"/>
      <w:bookmarkStart w:id="20650" w:name="_Toc773247"/>
      <w:bookmarkStart w:id="20651" w:name="_Toc862099"/>
      <w:bookmarkStart w:id="20652" w:name="_Toc890772"/>
      <w:bookmarkStart w:id="20653" w:name="_Toc903181"/>
      <w:bookmarkStart w:id="20654" w:name="_Toc955109"/>
      <w:bookmarkStart w:id="20655" w:name="_Toc974552"/>
      <w:bookmarkStart w:id="20656" w:name="_Toc984468"/>
      <w:bookmarkStart w:id="20657" w:name="_Toc1056602"/>
      <w:bookmarkStart w:id="20658" w:name="_Toc1109760"/>
      <w:bookmarkStart w:id="20659" w:name="_Toc1128739"/>
      <w:bookmarkStart w:id="20660" w:name="_Toc1250145"/>
      <w:r w:rsidRPr="007C15FC">
        <w:rPr>
          <w:rFonts w:hint="cs"/>
          <w:rtl/>
        </w:rPr>
        <w:t>דברי האבי עזרי</w:t>
      </w:r>
      <w:bookmarkEnd w:id="20644"/>
      <w:r w:rsidRPr="007C15FC">
        <w:rPr>
          <w:rFonts w:hint="cs"/>
          <w:rtl/>
        </w:rPr>
        <w:t xml:space="preserve"> דלהגר"ח מיושבת קושית תוס'</w:t>
      </w:r>
      <w:r>
        <w:rPr>
          <w:rFonts w:hint="cs"/>
          <w:rtl/>
        </w:rPr>
        <w:t xml:space="preserve"> מזה וזה גורם</w:t>
      </w:r>
      <w:bookmarkEnd w:id="20645"/>
      <w:bookmarkEnd w:id="20646"/>
      <w:r>
        <w:rPr>
          <w:rFonts w:hint="cs"/>
          <w:rtl/>
        </w:rPr>
        <w:t xml:space="preserve"> </w:t>
      </w:r>
    </w:p>
    <w:p w14:paraId="3B2A4169" w14:textId="77777777" w:rsidR="003D504D" w:rsidRPr="008F2557" w:rsidRDefault="003D504D" w:rsidP="003D504D">
      <w:pPr>
        <w:pStyle w:val="a3"/>
        <w:rPr>
          <w:rtl/>
        </w:rPr>
      </w:pPr>
      <w:bookmarkStart w:id="20661" w:name="_Toc19391585"/>
      <w:bookmarkStart w:id="20662" w:name="_Toc19395082"/>
      <w:r w:rsidRPr="007B6060">
        <w:rPr>
          <w:rFonts w:hint="cs"/>
          <w:rtl/>
        </w:rPr>
        <w:t>דברי האבי עזרי</w:t>
      </w:r>
      <w:bookmarkEnd w:id="20647"/>
      <w:r>
        <w:rPr>
          <w:rFonts w:hint="cs"/>
          <w:rtl/>
        </w:rPr>
        <w:t xml:space="preserve"> דמבואר בסוגיין דהנדון אי הולד כאבר היוצא ודינו כחי תלוי בחוששין לזרע האב</w:t>
      </w:r>
      <w:bookmarkEnd w:id="20661"/>
      <w:bookmarkEnd w:id="20662"/>
    </w:p>
    <w:p w14:paraId="5F1C1F20" w14:textId="77777777" w:rsidR="003D504D" w:rsidRDefault="003D504D" w:rsidP="00223668">
      <w:pPr>
        <w:pStyle w:val="a0"/>
        <w:rPr>
          <w:rtl/>
        </w:rPr>
      </w:pPr>
      <w:r w:rsidRPr="00AC3111">
        <w:rPr>
          <w:rFonts w:hint="cs"/>
          <w:rtl/>
        </w:rPr>
        <w:t xml:space="preserve">כתב </w:t>
      </w:r>
      <w:r w:rsidRPr="00AC3111">
        <w:rPr>
          <w:rStyle w:val="af9"/>
          <w:rFonts w:hint="cs"/>
          <w:rtl/>
        </w:rPr>
        <w:t xml:space="preserve">האבי עזרי </w:t>
      </w:r>
      <w:r w:rsidRPr="00AC3111">
        <w:rPr>
          <w:rStyle w:val="af7"/>
          <w:rFonts w:eastAsia="Guttman Hodes" w:hint="cs"/>
          <w:rtl/>
        </w:rPr>
        <w:t>(מאכ"א פ"ג ה"ה ד"ה והנה בחולין)</w:t>
      </w:r>
      <w:r w:rsidRPr="00AC3111">
        <w:rPr>
          <w:rFonts w:hint="cs"/>
          <w:rtl/>
        </w:rPr>
        <w:t xml:space="preserve"> </w:t>
      </w:r>
      <w:r w:rsidRPr="00AC3111">
        <w:rPr>
          <w:rStyle w:val="afb"/>
          <w:rFonts w:hint="cs"/>
          <w:rtl/>
        </w:rPr>
        <w:t xml:space="preserve">[עפ"י ביאור </w:t>
      </w:r>
      <w:r w:rsidRPr="00AC3111">
        <w:rPr>
          <w:rStyle w:val="affa"/>
          <w:rFonts w:hint="cs"/>
          <w:rtl/>
        </w:rPr>
        <w:t>הגר"ח</w:t>
      </w:r>
      <w:r w:rsidRPr="00AC3111">
        <w:rPr>
          <w:rStyle w:val="afb"/>
          <w:rFonts w:hint="cs"/>
          <w:rtl/>
        </w:rPr>
        <w:t xml:space="preserve"> </w:t>
      </w:r>
      <w:r w:rsidRPr="006756C1">
        <w:rPr>
          <w:rStyle w:val="aff6"/>
          <w:rFonts w:hint="cs"/>
          <w:rtl/>
        </w:rPr>
        <w:t xml:space="preserve">(עי' אות </w:t>
      </w:r>
      <w:r w:rsidRPr="006756C1">
        <w:rPr>
          <w:rStyle w:val="aff6"/>
          <w:rtl/>
        </w:rPr>
        <w:fldChar w:fldCharType="begin"/>
      </w:r>
      <w:r w:rsidRPr="006756C1">
        <w:rPr>
          <w:rStyle w:val="aff6"/>
          <w:rtl/>
        </w:rPr>
        <w:instrText xml:space="preserve"> </w:instrText>
      </w:r>
      <w:r w:rsidRPr="006756C1">
        <w:rPr>
          <w:rStyle w:val="aff6"/>
          <w:rFonts w:hint="cs"/>
        </w:rPr>
        <w:instrText>REF</w:instrText>
      </w:r>
      <w:r w:rsidRPr="006756C1">
        <w:rPr>
          <w:rStyle w:val="aff6"/>
          <w:rFonts w:hint="cs"/>
          <w:rtl/>
        </w:rPr>
        <w:instrText xml:space="preserve"> _</w:instrText>
      </w:r>
      <w:r w:rsidRPr="006756C1">
        <w:rPr>
          <w:rStyle w:val="aff6"/>
          <w:rFonts w:hint="cs"/>
        </w:rPr>
        <w:instrText>Ref1284165 \r \h</w:instrText>
      </w:r>
      <w:r w:rsidRPr="006756C1">
        <w:rPr>
          <w:rStyle w:val="aff6"/>
          <w:rtl/>
        </w:rPr>
        <w:instrText xml:space="preserve"> </w:instrText>
      </w:r>
      <w:r w:rsidRPr="006756C1">
        <w:rPr>
          <w:rStyle w:val="aff6"/>
          <w:rtl/>
        </w:rPr>
      </w:r>
      <w:r w:rsidRPr="006756C1">
        <w:rPr>
          <w:rStyle w:val="aff6"/>
          <w:rtl/>
        </w:rPr>
        <w:fldChar w:fldCharType="separate"/>
      </w:r>
      <w:r w:rsidR="00345400">
        <w:rPr>
          <w:rStyle w:val="aff6"/>
          <w:cs/>
        </w:rPr>
        <w:t>‎</w:t>
      </w:r>
      <w:r w:rsidR="00345400">
        <w:rPr>
          <w:rStyle w:val="aff6"/>
          <w:rtl/>
        </w:rPr>
        <w:t>מו)</w:t>
      </w:r>
      <w:r w:rsidRPr="006756C1">
        <w:rPr>
          <w:rStyle w:val="aff6"/>
          <w:rtl/>
        </w:rPr>
        <w:fldChar w:fldCharType="end"/>
      </w:r>
      <w:r w:rsidRPr="00AC3111">
        <w:rPr>
          <w:rStyle w:val="afb"/>
          <w:rFonts w:hint="cs"/>
          <w:rtl/>
        </w:rPr>
        <w:t>]</w:t>
      </w:r>
      <w:r w:rsidRPr="00AC3111">
        <w:rPr>
          <w:rFonts w:hint="cs"/>
          <w:rtl/>
        </w:rPr>
        <w:t xml:space="preserve"> </w:t>
      </w:r>
      <w:r>
        <w:rPr>
          <w:rFonts w:hint="cs"/>
          <w:rtl/>
        </w:rPr>
        <w:t xml:space="preserve">דמהא דאיתא בגמ' דבבן פקועה שבא על בהמה מעלמא, דלמ"ד דאין חוששין לזרע האב אין לו תקנה, מבואר דהנדון אי הולד חשיב כבן פקועה ודינו כשחוט, או שהוא ככל בהמה ודינו כחי שחייב שחיטה, דנדון זה הוא תלוי בדין חוששין לזרע האב, וכן הספק בולד שבא מכח אבר היוצא, מבואר דהוא תלוי בדין חוששין לזרע האב, וכדכתב רש"י (עי' אות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Ref1284187 \r \h</w:instrText>
      </w:r>
      <w:r>
        <w:rPr>
          <w:rtl/>
        </w:rPr>
        <w:instrText xml:space="preserve"> </w:instrText>
      </w:r>
      <w:r>
        <w:rPr>
          <w:rtl/>
        </w:rPr>
      </w:r>
      <w:r>
        <w:rPr>
          <w:rtl/>
        </w:rPr>
        <w:fldChar w:fldCharType="separate"/>
      </w:r>
      <w:r w:rsidR="00345400">
        <w:rPr>
          <w:cs/>
        </w:rPr>
        <w:t>‎</w:t>
      </w:r>
      <w:r w:rsidR="00345400">
        <w:rPr>
          <w:rtl/>
        </w:rPr>
        <w:t>א)</w:t>
      </w:r>
      <w:r>
        <w:rPr>
          <w:rtl/>
        </w:rPr>
        <w:fldChar w:fldCharType="end"/>
      </w:r>
      <w:r>
        <w:rPr>
          <w:rFonts w:hint="cs"/>
          <w:rtl/>
        </w:rPr>
        <w:t xml:space="preserve"> דהספק הוא רק אליבא דחנניא דס"ל דחוששין לזרע האב, וכתב האבי עזרי דמשמע דהנדון אם הולד הוא כאבר היוצא שחיטה דחשיב הולד כיוצא ממנו ואין לו היתר בשחיטה, הוא תלוי בדין חוששין לזרע האב.</w:t>
      </w:r>
    </w:p>
    <w:p w14:paraId="54E3017D" w14:textId="77777777" w:rsidR="003D504D" w:rsidRPr="0084442B" w:rsidRDefault="003D504D" w:rsidP="003D504D">
      <w:pPr>
        <w:pStyle w:val="a3"/>
      </w:pPr>
      <w:bookmarkStart w:id="20663" w:name="_Toc19391586"/>
      <w:bookmarkStart w:id="20664" w:name="_Toc19395083"/>
      <w:r>
        <w:rPr>
          <w:rFonts w:hint="cs"/>
          <w:rtl/>
        </w:rPr>
        <w:t>דברי האבי עזרי דלרש"י מיושבת קושית התוס' דאף דמדין זה וזה גורם מותר אסור מדין חוששין</w:t>
      </w:r>
      <w:bookmarkEnd w:id="20663"/>
      <w:bookmarkEnd w:id="20664"/>
    </w:p>
    <w:p w14:paraId="23BD03B6" w14:textId="77777777" w:rsidR="003D504D" w:rsidRDefault="003D504D" w:rsidP="00223668">
      <w:pPr>
        <w:pStyle w:val="a0"/>
      </w:pPr>
      <w:bookmarkStart w:id="20665" w:name="_Ref1284291"/>
      <w:r w:rsidRPr="00AC3111">
        <w:rPr>
          <w:rFonts w:hint="cs"/>
          <w:rtl/>
        </w:rPr>
        <w:t xml:space="preserve">וכתב </w:t>
      </w:r>
      <w:r w:rsidRPr="00AC3111">
        <w:rPr>
          <w:rStyle w:val="af9"/>
          <w:rFonts w:hint="cs"/>
          <w:rtl/>
        </w:rPr>
        <w:t>האבי עזרי</w:t>
      </w:r>
      <w:r w:rsidRPr="00AC3111">
        <w:rPr>
          <w:rFonts w:hint="cs"/>
          <w:rtl/>
        </w:rPr>
        <w:t xml:space="preserve"> דא"כ מיושבת קושית </w:t>
      </w:r>
      <w:r w:rsidRPr="00AC3111">
        <w:rPr>
          <w:rStyle w:val="af9"/>
          <w:rFonts w:hint="cs"/>
          <w:rtl/>
        </w:rPr>
        <w:t xml:space="preserve">התוס' </w:t>
      </w:r>
      <w:r w:rsidRPr="006756C1">
        <w:rPr>
          <w:rStyle w:val="af7"/>
          <w:rFonts w:eastAsia="Guttman Hodes" w:hint="cs"/>
          <w:rtl/>
        </w:rPr>
        <w:t xml:space="preserve">(עי' אות </w:t>
      </w:r>
      <w:r w:rsidRPr="006756C1">
        <w:rPr>
          <w:rStyle w:val="af7"/>
          <w:rFonts w:eastAsia="Guttman Hodes"/>
          <w:rtl/>
        </w:rPr>
        <w:fldChar w:fldCharType="begin"/>
      </w:r>
      <w:r w:rsidRPr="006756C1">
        <w:rPr>
          <w:rStyle w:val="af7"/>
          <w:rFonts w:eastAsia="Guttman Hodes"/>
          <w:rtl/>
        </w:rPr>
        <w:instrText xml:space="preserve"> </w:instrText>
      </w:r>
      <w:r w:rsidRPr="006756C1">
        <w:rPr>
          <w:rStyle w:val="af7"/>
          <w:rFonts w:eastAsia="Guttman Hodes" w:hint="cs"/>
        </w:rPr>
        <w:instrText>REF</w:instrText>
      </w:r>
      <w:r w:rsidRPr="006756C1">
        <w:rPr>
          <w:rStyle w:val="af7"/>
          <w:rFonts w:eastAsia="Guttman Hodes" w:hint="cs"/>
          <w:rtl/>
        </w:rPr>
        <w:instrText xml:space="preserve"> _</w:instrText>
      </w:r>
      <w:r w:rsidRPr="006756C1">
        <w:rPr>
          <w:rStyle w:val="af7"/>
          <w:rFonts w:eastAsia="Guttman Hodes" w:hint="cs"/>
        </w:rPr>
        <w:instrText>Ref1249101 \r \h</w:instrText>
      </w:r>
      <w:r w:rsidRPr="006756C1">
        <w:rPr>
          <w:rStyle w:val="af7"/>
          <w:rFonts w:eastAsia="Guttman Hodes"/>
          <w:rtl/>
        </w:rPr>
        <w:instrText xml:space="preserve"> </w:instrText>
      </w:r>
      <w:r w:rsidRPr="006756C1">
        <w:rPr>
          <w:rStyle w:val="af7"/>
          <w:rFonts w:eastAsia="Guttman Hodes"/>
          <w:rtl/>
        </w:rPr>
      </w:r>
      <w:r w:rsidRPr="006756C1">
        <w:rPr>
          <w:rStyle w:val="af7"/>
          <w:rFonts w:eastAsia="Guttman Hodes"/>
          <w:rtl/>
        </w:rPr>
        <w:fldChar w:fldCharType="separate"/>
      </w:r>
      <w:r w:rsidR="00345400">
        <w:rPr>
          <w:rStyle w:val="af7"/>
          <w:rFonts w:eastAsia="Guttman Hodes"/>
          <w:cs/>
        </w:rPr>
        <w:t>‎</w:t>
      </w:r>
      <w:r w:rsidR="00345400">
        <w:rPr>
          <w:rStyle w:val="af7"/>
          <w:rFonts w:eastAsia="Guttman Hodes"/>
          <w:rtl/>
        </w:rPr>
        <w:t>יז)</w:t>
      </w:r>
      <w:r w:rsidRPr="006756C1">
        <w:rPr>
          <w:rStyle w:val="af7"/>
          <w:rFonts w:eastAsia="Guttman Hodes"/>
          <w:rtl/>
        </w:rPr>
        <w:fldChar w:fldCharType="end"/>
      </w:r>
      <w:r w:rsidRPr="00AC3111">
        <w:rPr>
          <w:rFonts w:hint="cs"/>
          <w:rtl/>
        </w:rPr>
        <w:t xml:space="preserve"> </w:t>
      </w:r>
      <w:r>
        <w:rPr>
          <w:rFonts w:hint="cs"/>
          <w:rtl/>
        </w:rPr>
        <w:t>דצריך להתיר ולד הבא מכח אבר היוצא כיון ד</w:t>
      </w:r>
      <w:r w:rsidRPr="00AC3111">
        <w:rPr>
          <w:rFonts w:hint="cs"/>
          <w:rtl/>
        </w:rPr>
        <w:t xml:space="preserve">קיי"ל דזה וזה גורם מותר, דלדברי </w:t>
      </w:r>
      <w:r w:rsidRPr="00AC3111">
        <w:rPr>
          <w:rStyle w:val="af9"/>
          <w:rFonts w:hint="cs"/>
          <w:rtl/>
        </w:rPr>
        <w:t>רש"י</w:t>
      </w:r>
      <w:r w:rsidRPr="00AC3111">
        <w:rPr>
          <w:rFonts w:hint="cs"/>
          <w:rtl/>
        </w:rPr>
        <w:t xml:space="preserve"> </w:t>
      </w:r>
      <w:r>
        <w:rPr>
          <w:rFonts w:hint="cs"/>
          <w:rtl/>
        </w:rPr>
        <w:t xml:space="preserve">אף דמדין זה וזה גורם הוא מותר, </w:t>
      </w:r>
      <w:r w:rsidRPr="00AC3111">
        <w:rPr>
          <w:rFonts w:hint="cs"/>
          <w:rtl/>
        </w:rPr>
        <w:t xml:space="preserve">מ"מ מדין "חוששין לזרע האב" הולד אסור, דהולד חשיב כאבר מן החי, </w:t>
      </w:r>
      <w:r w:rsidRPr="00AC3111">
        <w:rPr>
          <w:rStyle w:val="afb"/>
          <w:rFonts w:hint="cs"/>
          <w:rtl/>
        </w:rPr>
        <w:t xml:space="preserve">[מדין יוצא מן הטמא, וכדביאר </w:t>
      </w:r>
      <w:r w:rsidRPr="00AC3111">
        <w:rPr>
          <w:rStyle w:val="affa"/>
          <w:rFonts w:hint="cs"/>
          <w:rtl/>
        </w:rPr>
        <w:t>הגר"ח</w:t>
      </w:r>
      <w:r w:rsidRPr="00AC3111">
        <w:rPr>
          <w:rStyle w:val="afb"/>
          <w:rFonts w:hint="cs"/>
          <w:rtl/>
        </w:rPr>
        <w:t>]</w:t>
      </w:r>
      <w:r w:rsidRPr="00AC3111">
        <w:rPr>
          <w:rFonts w:hint="cs"/>
          <w:rtl/>
        </w:rPr>
        <w:t>.</w:t>
      </w:r>
      <w:bookmarkEnd w:id="20665"/>
    </w:p>
    <w:p w14:paraId="254414CA" w14:textId="77777777" w:rsidR="003D504D" w:rsidRDefault="003D504D" w:rsidP="003D504D">
      <w:pPr>
        <w:pStyle w:val="2"/>
        <w:rPr>
          <w:noProof/>
          <w:rtl/>
        </w:rPr>
      </w:pPr>
      <w:bookmarkStart w:id="20666" w:name="_Toc19436193"/>
      <w:r>
        <w:rPr>
          <w:rFonts w:hint="cs"/>
          <w:noProof/>
          <w:rtl/>
        </w:rPr>
        <w:t>בדין ולד שאין לו תקנה בזה וזה גורם</w:t>
      </w:r>
      <w:bookmarkEnd w:id="20648"/>
      <w:bookmarkEnd w:id="20666"/>
    </w:p>
    <w:p w14:paraId="3FDE61A6" w14:textId="77777777" w:rsidR="003D504D" w:rsidRPr="00B06D6B" w:rsidRDefault="003D504D" w:rsidP="00BF39B2">
      <w:pPr>
        <w:pStyle w:val="1"/>
        <w:rPr>
          <w:rtl/>
        </w:rPr>
      </w:pPr>
      <w:bookmarkStart w:id="20667" w:name="_Toc1258152"/>
      <w:bookmarkStart w:id="20668" w:name="_Toc19391587"/>
      <w:bookmarkStart w:id="20669" w:name="_Toc19395084"/>
      <w:r w:rsidRPr="00B06D6B">
        <w:rPr>
          <w:rFonts w:hint="cs"/>
          <w:rtl/>
        </w:rPr>
        <w:t>דברי השער"י</w:t>
      </w:r>
      <w:bookmarkEnd w:id="20649"/>
      <w:bookmarkEnd w:id="20650"/>
      <w:bookmarkEnd w:id="20651"/>
      <w:bookmarkEnd w:id="20652"/>
      <w:bookmarkEnd w:id="20653"/>
      <w:bookmarkEnd w:id="20654"/>
      <w:bookmarkEnd w:id="20655"/>
      <w:bookmarkEnd w:id="20656"/>
      <w:bookmarkEnd w:id="20657"/>
      <w:bookmarkEnd w:id="20658"/>
      <w:bookmarkEnd w:id="20659"/>
      <w:r w:rsidRPr="00B06D6B">
        <w:rPr>
          <w:rFonts w:hint="cs"/>
          <w:rtl/>
        </w:rPr>
        <w:t xml:space="preserve"> </w:t>
      </w:r>
      <w:r>
        <w:rPr>
          <w:rFonts w:hint="cs"/>
          <w:rtl/>
        </w:rPr>
        <w:t>בדין זה וזה גורם בולד שאין לו תקנה</w:t>
      </w:r>
      <w:bookmarkEnd w:id="20660"/>
      <w:bookmarkEnd w:id="20667"/>
      <w:bookmarkEnd w:id="20668"/>
      <w:bookmarkEnd w:id="20669"/>
    </w:p>
    <w:p w14:paraId="5154F618" w14:textId="77777777" w:rsidR="003D504D" w:rsidRPr="00B06D6B" w:rsidRDefault="003D504D" w:rsidP="003D504D">
      <w:pPr>
        <w:pStyle w:val="a3"/>
        <w:rPr>
          <w:rtl/>
        </w:rPr>
      </w:pPr>
      <w:bookmarkStart w:id="20670" w:name="_Toc1250146"/>
      <w:bookmarkStart w:id="20671" w:name="_Toc1258153"/>
      <w:bookmarkStart w:id="20672" w:name="_Toc19391588"/>
      <w:bookmarkStart w:id="20673" w:name="_Toc19395085"/>
      <w:r>
        <w:rPr>
          <w:rFonts w:hint="cs"/>
          <w:rtl/>
        </w:rPr>
        <w:t>דברי השער"י דדין ולד טריפה תלוי במחלוקת בזה וזה גורם אי חצי גורם פועל דין על הולד</w:t>
      </w:r>
      <w:bookmarkEnd w:id="20670"/>
      <w:bookmarkEnd w:id="20671"/>
      <w:bookmarkEnd w:id="20672"/>
      <w:bookmarkEnd w:id="20673"/>
    </w:p>
    <w:p w14:paraId="4371D9ED" w14:textId="77777777" w:rsidR="003D504D" w:rsidRPr="00B06D6B" w:rsidRDefault="003D504D" w:rsidP="00223668">
      <w:pPr>
        <w:pStyle w:val="a0"/>
        <w:rPr>
          <w:rtl/>
        </w:rPr>
      </w:pPr>
      <w:r w:rsidRPr="00B06D6B">
        <w:rPr>
          <w:rFonts w:hint="cs"/>
          <w:rtl/>
        </w:rPr>
        <w:t xml:space="preserve">כתב </w:t>
      </w:r>
      <w:r w:rsidRPr="00B06D6B">
        <w:rPr>
          <w:rStyle w:val="af9"/>
          <w:rFonts w:hint="cs"/>
          <w:rtl/>
        </w:rPr>
        <w:t>השער"י</w:t>
      </w:r>
      <w:r w:rsidRPr="00B06D6B">
        <w:rPr>
          <w:rFonts w:hint="cs"/>
          <w:rtl/>
        </w:rPr>
        <w:t xml:space="preserve"> </w:t>
      </w:r>
      <w:r w:rsidRPr="005679AC">
        <w:rPr>
          <w:rStyle w:val="af7"/>
          <w:rFonts w:eastAsia="Guttman Hodes" w:hint="cs"/>
          <w:rtl/>
        </w:rPr>
        <w:t>(ש"ג פכ"ה ד"ה ובהא דאמרינן)</w:t>
      </w:r>
      <w:r w:rsidRPr="00B06D6B">
        <w:rPr>
          <w:rFonts w:hint="cs"/>
          <w:rtl/>
        </w:rPr>
        <w:t xml:space="preserve"> דהאיסור בולד טריפה הוא איסור עצמי מדין יוצא מן הטמא, אך הוא תלוי בדין זה וזה גורם אי נחשב שיצא מן הטמא, דלמ"ד דזה וזה גורם אסור, היינו דס"ל דחצי גורם חשיב כגורם שלם, א"כ דינו כיוצא מן הטמא, ולמ"ד דזה וזה גורם מותר היינו דחצי גורם אינו פועל שום דין על הדבר שנגרם ממנו, ממילא אין לולד דין יוצא.</w:t>
      </w:r>
    </w:p>
    <w:p w14:paraId="01C21F76" w14:textId="77777777" w:rsidR="003D504D" w:rsidRDefault="003D504D" w:rsidP="003D504D">
      <w:pPr>
        <w:pStyle w:val="a3"/>
        <w:rPr>
          <w:rtl/>
        </w:rPr>
      </w:pPr>
      <w:bookmarkStart w:id="20674" w:name="_Toc1250147"/>
      <w:bookmarkStart w:id="20675" w:name="_Toc1258154"/>
    </w:p>
    <w:p w14:paraId="0F3D947D" w14:textId="77777777" w:rsidR="003D504D" w:rsidRPr="00B06D6B" w:rsidRDefault="003D504D" w:rsidP="003D504D">
      <w:pPr>
        <w:pStyle w:val="a3"/>
        <w:rPr>
          <w:rtl/>
        </w:rPr>
      </w:pPr>
      <w:bookmarkStart w:id="20676" w:name="_Toc19391589"/>
      <w:bookmarkStart w:id="20677" w:name="_Toc19395086"/>
      <w:r>
        <w:rPr>
          <w:rFonts w:hint="cs"/>
          <w:rtl/>
        </w:rPr>
        <w:t>קושית השער"י דדין הולד שאין לו תקנה צריך להיות תלוי בדין זה וזה גורם</w:t>
      </w:r>
      <w:bookmarkEnd w:id="20674"/>
      <w:bookmarkEnd w:id="20675"/>
      <w:bookmarkEnd w:id="20676"/>
      <w:bookmarkEnd w:id="20677"/>
      <w:r>
        <w:rPr>
          <w:rFonts w:hint="cs"/>
          <w:rtl/>
        </w:rPr>
        <w:t xml:space="preserve"> </w:t>
      </w:r>
    </w:p>
    <w:p w14:paraId="48762FBE" w14:textId="77777777" w:rsidR="003D504D" w:rsidRPr="00B06D6B" w:rsidRDefault="003D504D" w:rsidP="00223668">
      <w:pPr>
        <w:pStyle w:val="a0"/>
        <w:rPr>
          <w:rtl/>
        </w:rPr>
      </w:pPr>
      <w:r w:rsidRPr="00B06D6B">
        <w:rPr>
          <w:rFonts w:hint="cs"/>
          <w:rtl/>
        </w:rPr>
        <w:t xml:space="preserve">והקשה </w:t>
      </w:r>
      <w:r w:rsidRPr="00B06D6B">
        <w:rPr>
          <w:rStyle w:val="af9"/>
          <w:rFonts w:hint="cs"/>
          <w:rtl/>
        </w:rPr>
        <w:t>השער"י</w:t>
      </w:r>
      <w:r w:rsidRPr="00B06D6B">
        <w:rPr>
          <w:rFonts w:hint="cs"/>
          <w:rtl/>
        </w:rPr>
        <w:t xml:space="preserve"> על דינא דרב משרשיא דאמר דולד של בן פקועה הבא על בהמה מעלמא דאין לו תקנה, דלכאורה דינו תלוי בדין זה וזה גורם, וצריך להיות מותר בלא שחיטה</w:t>
      </w:r>
      <w:r>
        <w:rPr>
          <w:rFonts w:hint="cs"/>
          <w:rtl/>
        </w:rPr>
        <w:t>,</w:t>
      </w:r>
      <w:r w:rsidRPr="00B06D6B">
        <w:rPr>
          <w:rFonts w:hint="cs"/>
          <w:rtl/>
        </w:rPr>
        <w:t xml:space="preserve"> או שיהיה מותר בשחיטה.</w:t>
      </w:r>
    </w:p>
    <w:p w14:paraId="79125C91" w14:textId="77777777" w:rsidR="003D504D" w:rsidRPr="00B06D6B" w:rsidRDefault="003D504D" w:rsidP="003D504D">
      <w:pPr>
        <w:pStyle w:val="a3"/>
        <w:rPr>
          <w:rtl/>
        </w:rPr>
      </w:pPr>
      <w:bookmarkStart w:id="20678" w:name="_Toc1250148"/>
      <w:bookmarkStart w:id="20679" w:name="_Toc1258155"/>
      <w:bookmarkStart w:id="20680" w:name="_Toc19391590"/>
      <w:bookmarkStart w:id="20681" w:name="_Toc19395087"/>
      <w:r>
        <w:rPr>
          <w:rFonts w:hint="cs"/>
          <w:rtl/>
        </w:rPr>
        <w:t>קושית השער"י דחיוב שחיטה הוא חיוב על כל בהמה מצד עצמה ואף בר משרשיא צריך להתחייב</w:t>
      </w:r>
      <w:bookmarkEnd w:id="20678"/>
      <w:bookmarkEnd w:id="20679"/>
      <w:bookmarkEnd w:id="20680"/>
      <w:bookmarkEnd w:id="20681"/>
    </w:p>
    <w:p w14:paraId="507630FE" w14:textId="77777777" w:rsidR="003D504D" w:rsidRPr="00B06D6B" w:rsidRDefault="003D504D" w:rsidP="00223668">
      <w:pPr>
        <w:pStyle w:val="a0"/>
        <w:rPr>
          <w:rtl/>
        </w:rPr>
      </w:pPr>
      <w:r w:rsidRPr="00B06D6B">
        <w:rPr>
          <w:rFonts w:hint="cs"/>
          <w:rtl/>
        </w:rPr>
        <w:t xml:space="preserve">והוסיף </w:t>
      </w:r>
      <w:r w:rsidRPr="00B06D6B">
        <w:rPr>
          <w:rStyle w:val="af9"/>
          <w:rFonts w:hint="cs"/>
          <w:rtl/>
        </w:rPr>
        <w:t>השער"י</w:t>
      </w:r>
      <w:r w:rsidRPr="00B06D6B">
        <w:rPr>
          <w:rFonts w:hint="cs"/>
          <w:rtl/>
        </w:rPr>
        <w:t xml:space="preserve"> להקשות דהחיוב שחיטה בכל בהמה וחיה, הוא חיוב מצד עצמם, דאי החיוב הוא מכח האב והאם שנולדו מהם, א"כ היאך הבהמה הראשונה התחייבה שחיטה, אבל ולד בן פקועה שמותר בלא שחיטה עד סוף כל הדורות, ההיתר שלו הוא מכח אביו ואמו, וא"כ למ"ד דזה וזה גורם מותר דס"ל שחצי גורם אינו פועל דין על הנגרם, א"כ בבן פקועה שבא על בהמה מעלמא, צריך להיות הדין שישאר לולד חיוב השחיטה שלו כמו כל בהמה וחיה, דהא חצי גורם אינו מחדש על הנגרם דין חדש, וא"כ אמאי אמר רב משרשיא דאין לולד תקנה, ואינו חייב שחיטה ככל בהמה.</w:t>
      </w:r>
    </w:p>
    <w:p w14:paraId="61426619" w14:textId="77777777" w:rsidR="003D504D" w:rsidRDefault="003D504D" w:rsidP="00BF39B2">
      <w:pPr>
        <w:pStyle w:val="1"/>
        <w:rPr>
          <w:rtl/>
        </w:rPr>
      </w:pPr>
      <w:bookmarkStart w:id="20682" w:name="_Toc725039"/>
      <w:bookmarkStart w:id="20683" w:name="_Toc773248"/>
      <w:bookmarkStart w:id="20684" w:name="_Toc862100"/>
      <w:bookmarkStart w:id="20685" w:name="_Toc890773"/>
      <w:bookmarkStart w:id="20686" w:name="_Toc903182"/>
      <w:bookmarkStart w:id="20687" w:name="_Toc955110"/>
      <w:bookmarkStart w:id="20688" w:name="_Toc974553"/>
      <w:bookmarkStart w:id="20689" w:name="_Toc984469"/>
      <w:bookmarkStart w:id="20690" w:name="_Toc1056603"/>
      <w:bookmarkStart w:id="20691" w:name="_Toc1109761"/>
      <w:bookmarkStart w:id="20692" w:name="_Toc1128740"/>
      <w:bookmarkStart w:id="20693" w:name="_Toc1250149"/>
      <w:bookmarkStart w:id="20694" w:name="_Toc1258156"/>
      <w:bookmarkStart w:id="20695" w:name="_Toc19391591"/>
      <w:bookmarkStart w:id="20696" w:name="_Toc19395088"/>
      <w:r w:rsidRPr="00B06D6B">
        <w:rPr>
          <w:rFonts w:hint="cs"/>
          <w:rtl/>
        </w:rPr>
        <w:t>ביאור השער"י בר"ן דאין בולד חיוב שחיטה ול"ש בזה זזו"ג</w:t>
      </w:r>
      <w:bookmarkEnd w:id="20682"/>
      <w:bookmarkEnd w:id="20683"/>
      <w:bookmarkEnd w:id="20684"/>
      <w:bookmarkEnd w:id="20685"/>
      <w:bookmarkEnd w:id="20686"/>
      <w:bookmarkEnd w:id="20687"/>
      <w:bookmarkEnd w:id="20688"/>
      <w:bookmarkEnd w:id="20689"/>
      <w:bookmarkEnd w:id="20690"/>
      <w:bookmarkEnd w:id="20691"/>
      <w:bookmarkEnd w:id="20692"/>
      <w:bookmarkEnd w:id="20693"/>
      <w:bookmarkEnd w:id="20694"/>
      <w:bookmarkEnd w:id="20695"/>
      <w:bookmarkEnd w:id="20696"/>
    </w:p>
    <w:p w14:paraId="4B53C784" w14:textId="77777777" w:rsidR="003D504D" w:rsidRPr="00F319C8" w:rsidRDefault="003D504D" w:rsidP="003D504D">
      <w:pPr>
        <w:pStyle w:val="a3"/>
        <w:rPr>
          <w:rtl/>
        </w:rPr>
      </w:pPr>
      <w:bookmarkStart w:id="20697" w:name="_Toc1250150"/>
      <w:bookmarkStart w:id="20698" w:name="_Toc1258157"/>
      <w:bookmarkStart w:id="20699" w:name="_Toc19391592"/>
      <w:bookmarkStart w:id="20700" w:name="_Toc19395089"/>
      <w:r>
        <w:rPr>
          <w:rFonts w:hint="cs"/>
          <w:rtl/>
        </w:rPr>
        <w:t>דברי השער"י בר"ן דמצד אמו חייב שחיטה אף למ"ד זה וזה גורם מותר דמצד עצמו חייב שחיטה</w:t>
      </w:r>
      <w:bookmarkEnd w:id="20697"/>
      <w:bookmarkEnd w:id="20698"/>
      <w:bookmarkEnd w:id="20699"/>
      <w:bookmarkEnd w:id="20700"/>
    </w:p>
    <w:p w14:paraId="6819E526" w14:textId="77777777" w:rsidR="003D504D" w:rsidRPr="00B06D6B" w:rsidRDefault="003D504D" w:rsidP="00223668">
      <w:pPr>
        <w:pStyle w:val="a0"/>
        <w:rPr>
          <w:rtl/>
        </w:rPr>
      </w:pPr>
      <w:bookmarkStart w:id="20701" w:name="_Ref689321"/>
      <w:r w:rsidRPr="00B06D6B">
        <w:rPr>
          <w:rFonts w:hint="cs"/>
          <w:rtl/>
        </w:rPr>
        <w:t xml:space="preserve">והביא </w:t>
      </w:r>
      <w:r w:rsidRPr="00B06D6B">
        <w:rPr>
          <w:rStyle w:val="af9"/>
          <w:rFonts w:hint="cs"/>
          <w:rtl/>
        </w:rPr>
        <w:t xml:space="preserve">השער"י </w:t>
      </w:r>
      <w:r w:rsidRPr="005679AC">
        <w:rPr>
          <w:rStyle w:val="af7"/>
          <w:rFonts w:eastAsia="Guttman Hodes" w:hint="cs"/>
          <w:rtl/>
        </w:rPr>
        <w:t xml:space="preserve">(ש"ג פכ"ה ד"ה והר"ן כתב) </w:t>
      </w:r>
      <w:r w:rsidRPr="00B06D6B">
        <w:rPr>
          <w:rFonts w:hint="cs"/>
          <w:rtl/>
        </w:rPr>
        <w:t xml:space="preserve">את דברי </w:t>
      </w:r>
      <w:r w:rsidRPr="00B06D6B">
        <w:rPr>
          <w:rStyle w:val="af9"/>
          <w:rFonts w:hint="cs"/>
          <w:rtl/>
        </w:rPr>
        <w:t xml:space="preserve">הר"ן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Ref689282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כט)</w:t>
      </w:r>
      <w:r w:rsidRPr="00B06D6B">
        <w:rPr>
          <w:rStyle w:val="af7"/>
          <w:rFonts w:eastAsia="Guttman Hodes"/>
          <w:rtl/>
        </w:rPr>
        <w:fldChar w:fldCharType="end"/>
      </w:r>
      <w:r w:rsidRPr="00B06D6B">
        <w:rPr>
          <w:rFonts w:hint="cs"/>
          <w:rtl/>
        </w:rPr>
        <w:t xml:space="preserve"> דכתב דזה וזה גורם מותר רק כשאחד מהגורמים הוא אסור, אבל הכא שניהם היתר ואחד טעון שחיטה ואחד אינו טעון שחיטה, לא אמרינן דזה וזה גורם מותר, וכתב </w:t>
      </w:r>
      <w:r w:rsidRPr="00B06D6B">
        <w:rPr>
          <w:rStyle w:val="af9"/>
          <w:rFonts w:hint="cs"/>
          <w:rtl/>
        </w:rPr>
        <w:t>השער"י</w:t>
      </w:r>
      <w:r w:rsidRPr="00B06D6B">
        <w:rPr>
          <w:rFonts w:hint="cs"/>
          <w:rtl/>
        </w:rPr>
        <w:t xml:space="preserve"> דדברי </w:t>
      </w:r>
      <w:r w:rsidRPr="00B06D6B">
        <w:rPr>
          <w:rStyle w:val="af9"/>
          <w:rFonts w:hint="cs"/>
          <w:rtl/>
        </w:rPr>
        <w:t>הר"ן</w:t>
      </w:r>
      <w:r w:rsidRPr="00B06D6B">
        <w:rPr>
          <w:rFonts w:hint="cs"/>
          <w:rtl/>
        </w:rPr>
        <w:t xml:space="preserve"> צ"ב, וכתב </w:t>
      </w:r>
      <w:r w:rsidRPr="00B06D6B">
        <w:rPr>
          <w:rStyle w:val="af9"/>
          <w:rFonts w:hint="cs"/>
          <w:rtl/>
        </w:rPr>
        <w:t xml:space="preserve">השער"י </w:t>
      </w:r>
      <w:r w:rsidRPr="00B06D6B">
        <w:rPr>
          <w:rFonts w:hint="cs"/>
          <w:rtl/>
        </w:rPr>
        <w:t>דהביאור בזה הוא, דכיון דמ"ד דזה וזה גורם מותר ס"ל שחצי גורם אינו פועל דין על הנגרם, א"כ בגורם של האם דחייבת שחיטה א"א לומר שהאם לא תגרום שהולד יהיה טעון שחיטה, וישאר דינו שהוא מותר בלא שחיטה כאביו, דהא אף אם האם אינה גורמת כל דין על הולד, אפ"ה הולד טעון שחיטה מצד עצמו ככל בהמה וחיה.</w:t>
      </w:r>
      <w:bookmarkEnd w:id="20701"/>
    </w:p>
    <w:p w14:paraId="4478C69C" w14:textId="77777777" w:rsidR="003D504D" w:rsidRPr="00B06D6B" w:rsidRDefault="003D504D" w:rsidP="003D504D">
      <w:pPr>
        <w:pStyle w:val="a3"/>
        <w:rPr>
          <w:rtl/>
        </w:rPr>
      </w:pPr>
      <w:bookmarkStart w:id="20702" w:name="_Toc1250151"/>
      <w:bookmarkStart w:id="20703" w:name="_Toc1258158"/>
      <w:bookmarkStart w:id="20704" w:name="_Toc19391593"/>
      <w:bookmarkStart w:id="20705" w:name="_Toc19395090"/>
      <w:r>
        <w:rPr>
          <w:rFonts w:hint="cs"/>
          <w:rtl/>
        </w:rPr>
        <w:t>דברי השער"י דבצד אביו אי"ז היתר מדין גורם שלא חייב שחיטה אלא לא חל חיוב שחיטה מעיקרא</w:t>
      </w:r>
      <w:bookmarkEnd w:id="20702"/>
      <w:bookmarkEnd w:id="20703"/>
      <w:bookmarkEnd w:id="20704"/>
      <w:bookmarkEnd w:id="20705"/>
    </w:p>
    <w:p w14:paraId="68682669" w14:textId="77777777" w:rsidR="003D504D" w:rsidRPr="00B06D6B" w:rsidRDefault="003D504D" w:rsidP="00223668">
      <w:pPr>
        <w:pStyle w:val="a0"/>
        <w:rPr>
          <w:rtl/>
        </w:rPr>
      </w:pPr>
      <w:r w:rsidRPr="00B06D6B">
        <w:rPr>
          <w:rFonts w:hint="cs"/>
          <w:rtl/>
        </w:rPr>
        <w:t xml:space="preserve">וכתב </w:t>
      </w:r>
      <w:r w:rsidRPr="00B06D6B">
        <w:rPr>
          <w:rStyle w:val="af9"/>
          <w:rFonts w:hint="cs"/>
          <w:rtl/>
        </w:rPr>
        <w:t>השער"י</w:t>
      </w:r>
      <w:r w:rsidRPr="00B06D6B">
        <w:rPr>
          <w:rFonts w:hint="cs"/>
          <w:rtl/>
        </w:rPr>
        <w:t xml:space="preserve"> דכל מה ששייך בזה דין זה וזה גורם הוא בגורם של האב, דכיון דלמ"ד זה וזה גורם מותר חצי גורם אינו פועל דין על הנגרם, א"כ נאמר שההיתר של האב הבן פקועה לא יגרום היתר על הבן, וביאר </w:t>
      </w:r>
      <w:r w:rsidRPr="00B06D6B">
        <w:rPr>
          <w:rStyle w:val="af9"/>
          <w:rFonts w:hint="cs"/>
          <w:rtl/>
        </w:rPr>
        <w:t>השער"י</w:t>
      </w:r>
      <w:r w:rsidRPr="00B06D6B">
        <w:rPr>
          <w:rFonts w:hint="cs"/>
          <w:rtl/>
        </w:rPr>
        <w:t xml:space="preserve"> דלכן כח ההיתר שמכח האב, אינו דומה לכח האיסור </w:t>
      </w:r>
      <w:r w:rsidRPr="00B06D6B">
        <w:rPr>
          <w:rStyle w:val="afb"/>
          <w:rFonts w:hint="cs"/>
          <w:rtl/>
        </w:rPr>
        <w:t>[שהוא חייב שחיטה מצד עצמו]</w:t>
      </w:r>
      <w:r w:rsidRPr="00B06D6B">
        <w:rPr>
          <w:rFonts w:hint="cs"/>
          <w:rtl/>
        </w:rPr>
        <w:t xml:space="preserve">, דבכל היתר הגדר הוא שדבר שהיה אסור יש בו היתר, אבל בולד של בן פקועה, אין הגדר שיש היתר שמתיר איסור, אלא דלא חל על הולד של הבן פקועה חיוב שחיטה מעולם, וא"כ אף בגורם של האב לא שייך לומר דכיון שהוא חצי גורם אינו פועל היתר בולד, דבכל ולד בן פקועה אין האב פועל היתר בולד, אלא דע"י האב לא חל חיוב שחיטה על הולד, דאף שכל בהמה חייבת שחיטה מצד עצמה, </w:t>
      </w:r>
      <w:r w:rsidRPr="00B06D6B">
        <w:rPr>
          <w:rStyle w:val="afb"/>
          <w:rFonts w:hint="cs"/>
          <w:rtl/>
        </w:rPr>
        <w:t>[אף אם נוצרה מעצמה],</w:t>
      </w:r>
      <w:r w:rsidRPr="00B06D6B">
        <w:rPr>
          <w:rFonts w:hint="cs"/>
          <w:rtl/>
        </w:rPr>
        <w:t xml:space="preserve"> מ"מ ולד בן פקועה, כיון שנולד מדבר שמותר בלא שחיטה, חשיב כנולד מן הטהור דהוא טהור מצד עצמו, והוסיף </w:t>
      </w:r>
      <w:r w:rsidRPr="00B06D6B">
        <w:rPr>
          <w:rStyle w:val="af9"/>
          <w:rFonts w:hint="cs"/>
          <w:rtl/>
        </w:rPr>
        <w:t>השער"י</w:t>
      </w:r>
      <w:r w:rsidRPr="00B06D6B">
        <w:rPr>
          <w:rFonts w:hint="cs"/>
          <w:rtl/>
        </w:rPr>
        <w:t xml:space="preserve"> דעוד אפשר לבאר דקים להו לחז"ל מדין אחר </w:t>
      </w:r>
      <w:r w:rsidRPr="00B06D6B">
        <w:rPr>
          <w:rStyle w:val="afb"/>
          <w:rFonts w:hint="cs"/>
          <w:rtl/>
        </w:rPr>
        <w:t>[ולא מדין יוצא מן הטהור]</w:t>
      </w:r>
      <w:r w:rsidRPr="00B06D6B">
        <w:rPr>
          <w:rFonts w:hint="cs"/>
          <w:rtl/>
        </w:rPr>
        <w:t>, דכל שנולד מדבר שא"צ שחיטה, אף הולד א"צ שחיטה.</w:t>
      </w:r>
    </w:p>
    <w:p w14:paraId="7E967EE1" w14:textId="77777777" w:rsidR="003D504D" w:rsidRPr="00B06D6B" w:rsidRDefault="003D504D" w:rsidP="003D504D">
      <w:pPr>
        <w:pStyle w:val="a3"/>
        <w:rPr>
          <w:rtl/>
        </w:rPr>
      </w:pPr>
      <w:bookmarkStart w:id="20706" w:name="_Toc1250152"/>
      <w:bookmarkStart w:id="20707" w:name="_Toc1258159"/>
      <w:bookmarkStart w:id="20708" w:name="_Toc19391594"/>
      <w:bookmarkStart w:id="20709" w:name="_Toc19395091"/>
      <w:r>
        <w:rPr>
          <w:rFonts w:hint="cs"/>
          <w:rtl/>
        </w:rPr>
        <w:t>דברי השער"י דולד של בן פקועה חסר בעצמו סיבת חיוב השחיטה ואף חצי סיבה חשיבא חסרון</w:t>
      </w:r>
      <w:bookmarkEnd w:id="20706"/>
      <w:bookmarkEnd w:id="20707"/>
      <w:bookmarkEnd w:id="20708"/>
      <w:bookmarkEnd w:id="20709"/>
    </w:p>
    <w:p w14:paraId="6E8E7DCA" w14:textId="77777777" w:rsidR="003D504D" w:rsidRDefault="003D504D" w:rsidP="00223668">
      <w:pPr>
        <w:pStyle w:val="a0"/>
        <w:rPr>
          <w:rStyle w:val="afb"/>
          <w:rtl/>
        </w:rPr>
      </w:pPr>
      <w:r w:rsidRPr="00B06D6B">
        <w:rPr>
          <w:rFonts w:hint="cs"/>
          <w:rtl/>
        </w:rPr>
        <w:t xml:space="preserve">וכתב </w:t>
      </w:r>
      <w:r w:rsidRPr="00B06D6B">
        <w:rPr>
          <w:rStyle w:val="af9"/>
          <w:rFonts w:hint="cs"/>
          <w:rtl/>
        </w:rPr>
        <w:t>השער"י</w:t>
      </w:r>
      <w:r w:rsidRPr="00B06D6B">
        <w:rPr>
          <w:rFonts w:hint="cs"/>
          <w:rtl/>
        </w:rPr>
        <w:t xml:space="preserve"> דכיון שההיתר של הולד בלא שחיטה, הוא </w:t>
      </w:r>
      <w:r>
        <w:rPr>
          <w:rFonts w:hint="cs"/>
          <w:rtl/>
        </w:rPr>
        <w:t xml:space="preserve">מחמת </w:t>
      </w:r>
      <w:r w:rsidRPr="00B06D6B">
        <w:rPr>
          <w:rFonts w:hint="cs"/>
          <w:rtl/>
        </w:rPr>
        <w:t>שנוצר ע"י מולד שאינו חייב שחיטה, א"כ חשיב שלולד עצמו חסרה הסיבה המחייבת שחיטה, א"כ לא שייך לומר בזה דזה וזה גורם מותר, דאף דחצי גורם אינו יכול לפעול דין בנגרם, מ"מ לענין חסרון של סיבה אף חצי סיבה חשיב כחסרון, ולכן דין הולד הוא כחציו שחוט וחציו אינו שחוט.</w:t>
      </w:r>
      <w:r w:rsidRPr="00B06D6B">
        <w:rPr>
          <w:rStyle w:val="afb"/>
          <w:rFonts w:hint="cs"/>
          <w:rtl/>
        </w:rPr>
        <w:t xml:space="preserve"> [והיינו דההיתר של הולד אינו מחמת היתר חיובי שהאב מתיר בו, אלא הוא דין שלילי דכיון שנוצר מדבר המותר בלא שחיטה אף הוא אין בו את חיוב השחיטה, וכיון שהוא חסרון סיבה בחיוב השחיטה של עצמו, לא שייכא בו </w:t>
      </w:r>
      <w:r w:rsidRPr="00AB436F">
        <w:rPr>
          <w:rStyle w:val="afb"/>
          <w:rFonts w:hint="cs"/>
          <w:rtl/>
        </w:rPr>
        <w:t>הסברא דחצי גורם אינו פועל דין בנגרם, דהא לולד עצמו יש חצי סיבה שאינו חייב שחיטה].</w:t>
      </w:r>
    </w:p>
    <w:p w14:paraId="6B7C988E" w14:textId="77777777" w:rsidR="005E4B5C" w:rsidRPr="005E4B5C" w:rsidRDefault="005E4B5C" w:rsidP="005E4B5C">
      <w:pPr>
        <w:pStyle w:val="a3"/>
        <w:rPr>
          <w:rtl/>
        </w:rPr>
      </w:pPr>
    </w:p>
    <w:p w14:paraId="25F56843" w14:textId="77777777" w:rsidR="003D504D" w:rsidRPr="00B06D6B" w:rsidRDefault="003D504D" w:rsidP="00BF39B2">
      <w:pPr>
        <w:pStyle w:val="1"/>
        <w:rPr>
          <w:rtl/>
        </w:rPr>
      </w:pPr>
      <w:bookmarkStart w:id="20710" w:name="_Toc519059"/>
      <w:bookmarkStart w:id="20711" w:name="_Toc725042"/>
      <w:bookmarkStart w:id="20712" w:name="_Toc773251"/>
      <w:bookmarkStart w:id="20713" w:name="_Toc862101"/>
      <w:bookmarkStart w:id="20714" w:name="_Toc890774"/>
      <w:bookmarkStart w:id="20715" w:name="_Toc903183"/>
      <w:bookmarkStart w:id="20716" w:name="_Toc955111"/>
      <w:bookmarkStart w:id="20717" w:name="_Toc974554"/>
      <w:bookmarkStart w:id="20718" w:name="_Toc984470"/>
      <w:bookmarkStart w:id="20719" w:name="_Toc1056604"/>
      <w:bookmarkStart w:id="20720" w:name="_Toc1109762"/>
      <w:bookmarkStart w:id="20721" w:name="_Toc1128741"/>
      <w:bookmarkStart w:id="20722" w:name="_Toc1250153"/>
      <w:bookmarkStart w:id="20723" w:name="_Toc1258160"/>
      <w:bookmarkStart w:id="20724" w:name="_Toc19391595"/>
      <w:bookmarkStart w:id="20725" w:name="_Toc19395092"/>
      <w:bookmarkEnd w:id="20636"/>
      <w:r w:rsidRPr="00B06D6B">
        <w:rPr>
          <w:rFonts w:hint="cs"/>
          <w:rtl/>
        </w:rPr>
        <w:t>ביאור המקדש דוד בדברי התוס' לעיל</w:t>
      </w:r>
      <w:bookmarkEnd w:id="20710"/>
      <w:bookmarkEnd w:id="20711"/>
      <w:bookmarkEnd w:id="20712"/>
      <w:bookmarkEnd w:id="20713"/>
      <w:bookmarkEnd w:id="20714"/>
      <w:bookmarkEnd w:id="20715"/>
      <w:bookmarkEnd w:id="20716"/>
      <w:bookmarkEnd w:id="20717"/>
      <w:bookmarkEnd w:id="20718"/>
      <w:bookmarkEnd w:id="20719"/>
      <w:bookmarkEnd w:id="20720"/>
      <w:bookmarkEnd w:id="20721"/>
      <w:bookmarkEnd w:id="20722"/>
      <w:bookmarkEnd w:id="20723"/>
      <w:bookmarkEnd w:id="20724"/>
      <w:bookmarkEnd w:id="20725"/>
      <w:r w:rsidRPr="00B06D6B">
        <w:rPr>
          <w:rFonts w:hint="cs"/>
          <w:rtl/>
        </w:rPr>
        <w:t xml:space="preserve"> </w:t>
      </w:r>
    </w:p>
    <w:p w14:paraId="52ADA2BD" w14:textId="77777777" w:rsidR="003D504D" w:rsidRPr="00B06D6B" w:rsidRDefault="003D504D" w:rsidP="003D504D">
      <w:pPr>
        <w:pStyle w:val="a3"/>
        <w:rPr>
          <w:rtl/>
        </w:rPr>
      </w:pPr>
      <w:bookmarkStart w:id="20726" w:name="_Toc1250154"/>
      <w:bookmarkStart w:id="20727" w:name="_Toc1258161"/>
      <w:bookmarkStart w:id="20728" w:name="_Toc19391596"/>
      <w:bookmarkStart w:id="20729" w:name="_Toc19395093"/>
      <w:r>
        <w:rPr>
          <w:rFonts w:hint="cs"/>
          <w:rtl/>
        </w:rPr>
        <w:t>קושית המקדש דוד דצריך להתיר את דינא דרב משרשיא מצד זה וזה גורם</w:t>
      </w:r>
      <w:bookmarkEnd w:id="20726"/>
      <w:bookmarkEnd w:id="20727"/>
      <w:bookmarkEnd w:id="20728"/>
      <w:bookmarkEnd w:id="20729"/>
    </w:p>
    <w:p w14:paraId="6A4902AD" w14:textId="77777777" w:rsidR="003D504D" w:rsidRPr="00B06D6B" w:rsidRDefault="003D504D" w:rsidP="00223668">
      <w:pPr>
        <w:pStyle w:val="a0"/>
        <w:rPr>
          <w:rtl/>
        </w:rPr>
      </w:pPr>
      <w:bookmarkStart w:id="20730" w:name="_Ref1246947"/>
      <w:r w:rsidRPr="00B06D6B">
        <w:rPr>
          <w:rFonts w:hint="cs"/>
          <w:rtl/>
        </w:rPr>
        <w:t xml:space="preserve">בדברי רב משרשיא דבבן פקועה הבא על בהמה מעלמא אין לולד תקנה, הקשה </w:t>
      </w:r>
      <w:r w:rsidRPr="00B06D6B">
        <w:rPr>
          <w:rStyle w:val="af9"/>
          <w:rtl/>
        </w:rPr>
        <w:t>בשיעורי המקדש דוד</w:t>
      </w:r>
      <w:r w:rsidRPr="00B06D6B">
        <w:rPr>
          <w:rtl/>
        </w:rPr>
        <w:t xml:space="preserve"> </w:t>
      </w:r>
      <w:r w:rsidRPr="005679AC">
        <w:rPr>
          <w:rStyle w:val="af7"/>
          <w:rFonts w:eastAsia="Guttman Hodes" w:hint="cs"/>
          <w:rtl/>
        </w:rPr>
        <w:t>(</w:t>
      </w:r>
      <w:bookmarkStart w:id="20731" w:name="_Ref1247051"/>
      <w:r w:rsidRPr="00B06D6B">
        <w:rPr>
          <w:rStyle w:val="af1"/>
          <w:rtl/>
        </w:rPr>
        <w:footnoteReference w:id="117"/>
      </w:r>
      <w:bookmarkEnd w:id="20731"/>
      <w:r w:rsidRPr="005679AC">
        <w:rPr>
          <w:rStyle w:val="af7"/>
          <w:rFonts w:eastAsia="Guttman Hodes" w:hint="cs"/>
          <w:rtl/>
        </w:rPr>
        <w:t>חולין סי' א' אות י')</w:t>
      </w:r>
      <w:r w:rsidRPr="00B06D6B">
        <w:rPr>
          <w:rtl/>
        </w:rPr>
        <w:t xml:space="preserve"> </w:t>
      </w:r>
      <w:r w:rsidRPr="00B06D6B">
        <w:rPr>
          <w:rFonts w:hint="cs"/>
          <w:rtl/>
        </w:rPr>
        <w:t>דהרי לדעת רבנן דזה וזה גורם מותר</w:t>
      </w:r>
      <w:r>
        <w:rPr>
          <w:rFonts w:hint="cs"/>
          <w:rtl/>
        </w:rPr>
        <w:t>,</w:t>
      </w:r>
      <w:r w:rsidRPr="00B06D6B">
        <w:rPr>
          <w:rFonts w:hint="cs"/>
          <w:rtl/>
        </w:rPr>
        <w:t xml:space="preserve"> אמאי א"א להתירו מדין זה וזה גורם.</w:t>
      </w:r>
      <w:bookmarkEnd w:id="20730"/>
    </w:p>
    <w:p w14:paraId="0DF894C5" w14:textId="77777777" w:rsidR="003D504D" w:rsidRPr="00B06D6B" w:rsidRDefault="003D504D" w:rsidP="003D504D">
      <w:pPr>
        <w:pStyle w:val="a3"/>
        <w:rPr>
          <w:rtl/>
        </w:rPr>
      </w:pPr>
      <w:bookmarkStart w:id="20732" w:name="_Toc1250155"/>
      <w:bookmarkStart w:id="20733" w:name="_Toc1258162"/>
      <w:bookmarkStart w:id="20734" w:name="_Toc19391597"/>
      <w:bookmarkStart w:id="20735" w:name="_Toc19395094"/>
      <w:r>
        <w:rPr>
          <w:rFonts w:hint="cs"/>
          <w:rtl/>
        </w:rPr>
        <w:t>ביאור המקדש דוד בתוס' לעיל דבגורם היתר ואיסור גורם ההיתר עדיף דהוא כח דהיתרא</w:t>
      </w:r>
      <w:bookmarkEnd w:id="20732"/>
      <w:bookmarkEnd w:id="20733"/>
      <w:bookmarkEnd w:id="20734"/>
      <w:bookmarkEnd w:id="20735"/>
    </w:p>
    <w:p w14:paraId="14700EF4" w14:textId="77777777" w:rsidR="003D504D" w:rsidRPr="00B06D6B" w:rsidRDefault="003D504D" w:rsidP="00223668">
      <w:pPr>
        <w:pStyle w:val="a0"/>
        <w:rPr>
          <w:rtl/>
        </w:rPr>
      </w:pPr>
      <w:r w:rsidRPr="00B06D6B">
        <w:rPr>
          <w:rFonts w:hint="cs"/>
          <w:rtl/>
        </w:rPr>
        <w:t xml:space="preserve">והביא </w:t>
      </w:r>
      <w:r w:rsidRPr="00B06D6B">
        <w:rPr>
          <w:rStyle w:val="af9"/>
          <w:rFonts w:hint="cs"/>
          <w:rtl/>
        </w:rPr>
        <w:t>בשיעורי המקדש דוד</w:t>
      </w:r>
      <w:r w:rsidRPr="00B06D6B">
        <w:rPr>
          <w:rFonts w:hint="cs"/>
          <w:rtl/>
        </w:rPr>
        <w:t xml:space="preserve"> את דברי </w:t>
      </w:r>
      <w:r w:rsidRPr="00B06D6B">
        <w:rPr>
          <w:rStyle w:val="af9"/>
          <w:rFonts w:hint="cs"/>
          <w:rtl/>
        </w:rPr>
        <w:t>התוס' לעיל</w:t>
      </w:r>
      <w:r w:rsidRPr="00B06D6B">
        <w:rPr>
          <w:rFonts w:hint="cs"/>
          <w:rtl/>
        </w:rPr>
        <w:t xml:space="preserve"> </w:t>
      </w:r>
      <w:r w:rsidRPr="005679AC">
        <w:rPr>
          <w:rStyle w:val="af7"/>
          <w:rFonts w:eastAsia="Guttman Hodes" w:hint="cs"/>
          <w:rtl/>
        </w:rPr>
        <w:t xml:space="preserve">(עי' אות </w:t>
      </w:r>
      <w:r w:rsidRPr="00B06D6B">
        <w:rPr>
          <w:rStyle w:val="af7"/>
          <w:rFonts w:eastAsia="Guttman Hodes"/>
          <w:rtl/>
        </w:rPr>
        <w:fldChar w:fldCharType="begin"/>
      </w:r>
      <w:r w:rsidRPr="00B06D6B">
        <w:rPr>
          <w:rStyle w:val="af7"/>
          <w:rFonts w:eastAsia="Guttman Hodes"/>
          <w:rtl/>
        </w:rPr>
        <w:instrText xml:space="preserve"> </w:instrText>
      </w:r>
      <w:r w:rsidRPr="00B06D6B">
        <w:rPr>
          <w:rStyle w:val="af7"/>
          <w:rFonts w:eastAsia="Guttman Hodes" w:hint="cs"/>
        </w:rPr>
        <w:instrText>REF</w:instrText>
      </w:r>
      <w:r w:rsidRPr="00B06D6B">
        <w:rPr>
          <w:rStyle w:val="af7"/>
          <w:rFonts w:eastAsia="Guttman Hodes" w:hint="cs"/>
          <w:rtl/>
        </w:rPr>
        <w:instrText xml:space="preserve"> _</w:instrText>
      </w:r>
      <w:r w:rsidRPr="00B06D6B">
        <w:rPr>
          <w:rStyle w:val="af7"/>
          <w:rFonts w:eastAsia="Guttman Hodes" w:hint="cs"/>
        </w:rPr>
        <w:instrText>Ref536786982 \r \h</w:instrText>
      </w:r>
      <w:r w:rsidRPr="00B06D6B">
        <w:rPr>
          <w:rStyle w:val="af7"/>
          <w:rFonts w:eastAsia="Guttman Hodes"/>
          <w:rtl/>
        </w:rPr>
        <w:instrText xml:space="preserve">  \* </w:instrText>
      </w:r>
      <w:r w:rsidRPr="00B06D6B">
        <w:rPr>
          <w:rStyle w:val="af7"/>
          <w:rFonts w:eastAsia="Guttman Hodes"/>
        </w:rPr>
        <w:instrText>MERGEFORMAT</w:instrText>
      </w:r>
      <w:r w:rsidRPr="00B06D6B">
        <w:rPr>
          <w:rStyle w:val="af7"/>
          <w:rFonts w:eastAsia="Guttman Hodes"/>
          <w:rtl/>
        </w:rPr>
        <w:instrText xml:space="preserve"> </w:instrText>
      </w:r>
      <w:r w:rsidRPr="00B06D6B">
        <w:rPr>
          <w:rStyle w:val="af7"/>
          <w:rFonts w:eastAsia="Guttman Hodes"/>
          <w:rtl/>
        </w:rPr>
      </w:r>
      <w:r w:rsidRPr="00B06D6B">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B06D6B">
        <w:rPr>
          <w:rStyle w:val="af7"/>
          <w:rFonts w:eastAsia="Guttman Hodes"/>
          <w:rtl/>
        </w:rPr>
        <w:fldChar w:fldCharType="end"/>
      </w:r>
      <w:r w:rsidRPr="00B06D6B">
        <w:rPr>
          <w:rFonts w:hint="cs"/>
          <w:rtl/>
        </w:rPr>
        <w:t xml:space="preserve"> דכתבו דהא דקיי"ל דזה וזה גורם מותר הוא רק כשיש גורם של היתר וגורם של איסור, </w:t>
      </w:r>
      <w:r w:rsidRPr="00B06D6B">
        <w:rPr>
          <w:rtl/>
        </w:rPr>
        <w:t xml:space="preserve">וביאר </w:t>
      </w:r>
      <w:r w:rsidRPr="00B06D6B">
        <w:rPr>
          <w:rStyle w:val="af9"/>
          <w:rtl/>
        </w:rPr>
        <w:t>בשיעורי המקדש דוד</w:t>
      </w:r>
      <w:r w:rsidRPr="00B06D6B">
        <w:rPr>
          <w:rFonts w:hint="cs"/>
          <w:rtl/>
        </w:rPr>
        <w:t xml:space="preserve"> דכוונת </w:t>
      </w:r>
      <w:r w:rsidRPr="00B06D6B">
        <w:rPr>
          <w:rStyle w:val="af9"/>
          <w:rFonts w:hint="cs"/>
          <w:rtl/>
        </w:rPr>
        <w:t>התוס' לעיל</w:t>
      </w:r>
      <w:r w:rsidRPr="00B06D6B">
        <w:rPr>
          <w:rFonts w:hint="cs"/>
          <w:rtl/>
        </w:rPr>
        <w:t xml:space="preserve"> לומר דכששניהם מותרים אין כל סברא לומר דגורם אחד שהוא האב או האם עדיפי על הגורם השני, אבל כשיש גורם אחד של איסור, וגורם של היתר, קיי"ל דזה וזה גורם מותר, דכח דהיתרא עדיף.</w:t>
      </w:r>
    </w:p>
    <w:p w14:paraId="29FA61C3" w14:textId="77777777" w:rsidR="003D504D" w:rsidRDefault="003D504D" w:rsidP="00BF39B2">
      <w:pPr>
        <w:pStyle w:val="1"/>
        <w:rPr>
          <w:rtl/>
        </w:rPr>
      </w:pPr>
      <w:bookmarkStart w:id="20736" w:name="_Toc1250156"/>
      <w:bookmarkStart w:id="20737" w:name="_Toc1258163"/>
      <w:bookmarkStart w:id="20738" w:name="_Toc19391598"/>
      <w:bookmarkStart w:id="20739" w:name="_Toc19395095"/>
      <w:r>
        <w:rPr>
          <w:rFonts w:hint="cs"/>
          <w:rtl/>
        </w:rPr>
        <w:t>דברי המקדש דוד בדין זה וזה גורם בולד שאין לו תקנה</w:t>
      </w:r>
      <w:bookmarkEnd w:id="20736"/>
      <w:bookmarkEnd w:id="20737"/>
      <w:bookmarkEnd w:id="20738"/>
      <w:bookmarkEnd w:id="20739"/>
    </w:p>
    <w:p w14:paraId="05853562" w14:textId="77777777" w:rsidR="003D504D" w:rsidRPr="00B06D6B" w:rsidRDefault="003D504D" w:rsidP="003D504D">
      <w:pPr>
        <w:pStyle w:val="a3"/>
        <w:rPr>
          <w:rtl/>
        </w:rPr>
      </w:pPr>
      <w:bookmarkStart w:id="20740" w:name="_Toc1250157"/>
      <w:bookmarkStart w:id="20741" w:name="_Toc1258164"/>
      <w:bookmarkStart w:id="20742" w:name="_Toc19391599"/>
      <w:bookmarkStart w:id="20743" w:name="_Toc19395096"/>
      <w:r>
        <w:rPr>
          <w:rFonts w:hint="cs"/>
          <w:rtl/>
        </w:rPr>
        <w:t>ביאור המקדש דוד דבשניהם היתר אין עדיפות לגורם שחייב שחיטה</w:t>
      </w:r>
      <w:bookmarkEnd w:id="20740"/>
      <w:bookmarkEnd w:id="20741"/>
      <w:bookmarkEnd w:id="20742"/>
      <w:bookmarkEnd w:id="20743"/>
    </w:p>
    <w:p w14:paraId="625DA546" w14:textId="77777777" w:rsidR="003D504D" w:rsidRPr="00B06D6B" w:rsidRDefault="003D504D" w:rsidP="00223668">
      <w:pPr>
        <w:pStyle w:val="a0"/>
        <w:rPr>
          <w:rtl/>
        </w:rPr>
      </w:pPr>
      <w:r w:rsidRPr="00B06D6B">
        <w:rPr>
          <w:rFonts w:hint="cs"/>
          <w:rtl/>
        </w:rPr>
        <w:t xml:space="preserve">וכתב </w:t>
      </w:r>
      <w:r w:rsidRPr="00B06D6B">
        <w:rPr>
          <w:rStyle w:val="af9"/>
          <w:rFonts w:hint="cs"/>
          <w:rtl/>
        </w:rPr>
        <w:t>בשיעורי המקדש דוד</w:t>
      </w:r>
      <w:r w:rsidRPr="00B06D6B">
        <w:rPr>
          <w:rFonts w:hint="cs"/>
          <w:rtl/>
        </w:rPr>
        <w:t xml:space="preserve"> דלפי דברי </w:t>
      </w:r>
      <w:r w:rsidRPr="00B06D6B">
        <w:rPr>
          <w:rStyle w:val="af9"/>
          <w:rFonts w:hint="cs"/>
          <w:rtl/>
        </w:rPr>
        <w:t>התוס' לעיל</w:t>
      </w:r>
      <w:r w:rsidRPr="00B06D6B">
        <w:rPr>
          <w:rFonts w:hint="cs"/>
          <w:rtl/>
        </w:rPr>
        <w:t xml:space="preserve"> מבואר אמאי אין לולד תקנה דכיון ששניהם היתר, דהאב הבן פקועה מותר בלא שחיטה, ומצד האם הוא מותר ע"י שחיטה, לא שייך לומר דכחו של אחד מהגורמים עדיף על הגורם השני, ולכן חוששין לזרע האב, והולד מותר במקצת ואין לו תקנה.</w:t>
      </w:r>
    </w:p>
    <w:p w14:paraId="3D9A62DE" w14:textId="77777777" w:rsidR="003D504D" w:rsidRPr="00B06D6B" w:rsidRDefault="003D504D" w:rsidP="003D504D">
      <w:pPr>
        <w:pStyle w:val="a3"/>
        <w:rPr>
          <w:rtl/>
        </w:rPr>
      </w:pPr>
      <w:bookmarkStart w:id="20744" w:name="_Toc1250158"/>
      <w:bookmarkStart w:id="20745" w:name="_Toc1258165"/>
      <w:bookmarkStart w:id="20746" w:name="_Toc19391600"/>
      <w:bookmarkStart w:id="20747" w:name="_Toc19395097"/>
      <w:r>
        <w:rPr>
          <w:rFonts w:hint="cs"/>
          <w:rtl/>
        </w:rPr>
        <w:t>קושית המקדש דוד דכ"ז שלא נשחטה האם היא אסורה והיא גורם של איסור והוי זה וזה גורם</w:t>
      </w:r>
      <w:bookmarkEnd w:id="20744"/>
      <w:bookmarkEnd w:id="20745"/>
      <w:bookmarkEnd w:id="20746"/>
      <w:bookmarkEnd w:id="20747"/>
      <w:r>
        <w:rPr>
          <w:rFonts w:hint="cs"/>
          <w:rtl/>
        </w:rPr>
        <w:t xml:space="preserve"> </w:t>
      </w:r>
    </w:p>
    <w:p w14:paraId="66CFC2D3" w14:textId="77777777" w:rsidR="003D504D" w:rsidRPr="00B06D6B" w:rsidRDefault="003D504D" w:rsidP="00223668">
      <w:pPr>
        <w:pStyle w:val="a0"/>
        <w:rPr>
          <w:rtl/>
        </w:rPr>
      </w:pPr>
      <w:r w:rsidRPr="00B06D6B">
        <w:rPr>
          <w:rFonts w:hint="cs"/>
          <w:rtl/>
        </w:rPr>
        <w:t xml:space="preserve">אך הקשה </w:t>
      </w:r>
      <w:r w:rsidRPr="00B06D6B">
        <w:rPr>
          <w:rStyle w:val="af9"/>
          <w:rFonts w:hint="cs"/>
          <w:rtl/>
        </w:rPr>
        <w:t>בשיעורי המקדש דוד</w:t>
      </w:r>
      <w:r w:rsidRPr="00B06D6B">
        <w:rPr>
          <w:rFonts w:hint="cs"/>
          <w:rtl/>
        </w:rPr>
        <w:t xml:space="preserve"> </w:t>
      </w:r>
      <w:r w:rsidRPr="005679AC">
        <w:rPr>
          <w:rStyle w:val="af7"/>
          <w:rFonts w:eastAsia="Guttman Hodes" w:hint="cs"/>
          <w:rtl/>
        </w:rPr>
        <w:t>(</w:t>
      </w:r>
      <w:r w:rsidRPr="009626D4">
        <w:rPr>
          <w:vertAlign w:val="superscript"/>
          <w:rtl/>
        </w:rPr>
        <w:fldChar w:fldCharType="begin"/>
      </w:r>
      <w:r w:rsidRPr="009626D4">
        <w:rPr>
          <w:vertAlign w:val="superscript"/>
          <w:rtl/>
        </w:rPr>
        <w:instrText xml:space="preserve"> </w:instrText>
      </w:r>
      <w:r w:rsidRPr="009626D4">
        <w:rPr>
          <w:rFonts w:hint="cs"/>
          <w:vertAlign w:val="superscript"/>
        </w:rPr>
        <w:instrText>NOTEREF</w:instrText>
      </w:r>
      <w:r w:rsidRPr="009626D4">
        <w:rPr>
          <w:rFonts w:hint="cs"/>
          <w:vertAlign w:val="superscript"/>
          <w:rtl/>
        </w:rPr>
        <w:instrText xml:space="preserve"> _</w:instrText>
      </w:r>
      <w:r w:rsidRPr="009626D4">
        <w:rPr>
          <w:rFonts w:hint="cs"/>
          <w:vertAlign w:val="superscript"/>
        </w:rPr>
        <w:instrText>Ref1247051 \h</w:instrText>
      </w:r>
      <w:r w:rsidRPr="009626D4">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626D4">
        <w:rPr>
          <w:vertAlign w:val="superscript"/>
          <w:rtl/>
        </w:rPr>
      </w:r>
      <w:r w:rsidRPr="009626D4">
        <w:rPr>
          <w:vertAlign w:val="superscript"/>
          <w:rtl/>
        </w:rPr>
        <w:fldChar w:fldCharType="separate"/>
      </w:r>
      <w:r w:rsidR="00345400">
        <w:rPr>
          <w:vertAlign w:val="superscript"/>
          <w:rtl/>
        </w:rPr>
        <w:t>117</w:t>
      </w:r>
      <w:r w:rsidRPr="009626D4">
        <w:rPr>
          <w:vertAlign w:val="superscript"/>
          <w:rtl/>
        </w:rPr>
        <w:fldChar w:fldCharType="end"/>
      </w:r>
      <w:r w:rsidRPr="005679AC">
        <w:rPr>
          <w:rStyle w:val="af7"/>
          <w:rFonts w:eastAsia="Guttman Hodes" w:hint="cs"/>
          <w:rtl/>
        </w:rPr>
        <w:t>חולין סי' א' אות י' ד"ה אך אכתי)</w:t>
      </w:r>
      <w:r w:rsidRPr="00B06D6B">
        <w:rPr>
          <w:rFonts w:hint="cs"/>
          <w:rtl/>
        </w:rPr>
        <w:t xml:space="preserve"> דאף שהגורם של האם חשיב כגורם של היתר כיון שאפשר להתירה ע"י שחיטה, מ"מ כ"ז שלא נשחטה האם עד</w:t>
      </w:r>
      <w:r>
        <w:rPr>
          <w:rFonts w:hint="cs"/>
          <w:rtl/>
        </w:rPr>
        <w:t>י</w:t>
      </w:r>
      <w:r w:rsidRPr="00B06D6B">
        <w:rPr>
          <w:rFonts w:hint="cs"/>
          <w:rtl/>
        </w:rPr>
        <w:t xml:space="preserve">ין היא אסורה, וא"כ הוי זה וזה גורם כשצד אחד של איסור, ועדיין קשה אמאי אין לולד היתר מדין זה וזה גורם, וכבר הקשה כן </w:t>
      </w:r>
      <w:r w:rsidRPr="00B06D6B">
        <w:rPr>
          <w:rStyle w:val="af9"/>
          <w:rFonts w:hint="cs"/>
          <w:rtl/>
        </w:rPr>
        <w:t>היד יהודה</w:t>
      </w:r>
      <w:r w:rsidRPr="00B06D6B">
        <w:rPr>
          <w:rFonts w:hint="cs"/>
          <w:rtl/>
        </w:rPr>
        <w:t xml:space="preserve"> </w:t>
      </w:r>
      <w:r w:rsidRPr="005679AC">
        <w:rPr>
          <w:rStyle w:val="af7"/>
          <w:rFonts w:eastAsia="Guttman Hodes" w:hint="cs"/>
          <w:rtl/>
        </w:rPr>
        <w:t>(סי' י"ג סק"י)</w:t>
      </w:r>
      <w:r w:rsidRPr="00B06D6B">
        <w:rPr>
          <w:rFonts w:hint="cs"/>
          <w:rtl/>
        </w:rPr>
        <w:t xml:space="preserve"> דכ"ש שלא נשחטה היא אסורה באבר מן החי, או באיסור אינו זבוח.</w:t>
      </w:r>
    </w:p>
    <w:p w14:paraId="4B72133C" w14:textId="77777777" w:rsidR="003D504D" w:rsidRPr="00B06D6B" w:rsidRDefault="003D504D" w:rsidP="003D504D">
      <w:pPr>
        <w:pStyle w:val="a3"/>
        <w:rPr>
          <w:rtl/>
        </w:rPr>
      </w:pPr>
      <w:bookmarkStart w:id="20748" w:name="_Toc1250159"/>
      <w:bookmarkStart w:id="20749" w:name="_Toc1258166"/>
      <w:bookmarkStart w:id="20750" w:name="_Toc19391601"/>
      <w:bookmarkStart w:id="20751" w:name="_Toc19395098"/>
      <w:r>
        <w:rPr>
          <w:rFonts w:hint="cs"/>
          <w:rtl/>
        </w:rPr>
        <w:t>תירוץ המקדש דוד דחיוב שחיטה הוא בולד מצד עצמו ולא מגורם והיתר בן פקועה הוא ע"י גורם</w:t>
      </w:r>
      <w:bookmarkEnd w:id="20748"/>
      <w:bookmarkEnd w:id="20749"/>
      <w:bookmarkEnd w:id="20750"/>
      <w:bookmarkEnd w:id="20751"/>
    </w:p>
    <w:p w14:paraId="7258C4ED" w14:textId="77777777" w:rsidR="003D504D" w:rsidRPr="00B06D6B" w:rsidRDefault="003D504D" w:rsidP="00223668">
      <w:pPr>
        <w:pStyle w:val="a0"/>
        <w:rPr>
          <w:rtl/>
        </w:rPr>
      </w:pPr>
      <w:r w:rsidRPr="00B06D6B">
        <w:rPr>
          <w:rFonts w:hint="cs"/>
          <w:rtl/>
        </w:rPr>
        <w:t xml:space="preserve">ותירץ </w:t>
      </w:r>
      <w:r w:rsidRPr="00B06D6B">
        <w:rPr>
          <w:rStyle w:val="af9"/>
          <w:rFonts w:hint="cs"/>
          <w:rtl/>
        </w:rPr>
        <w:t>בשיעורי המקדש דוד</w:t>
      </w:r>
      <w:r w:rsidRPr="00B06D6B">
        <w:rPr>
          <w:rFonts w:hint="cs"/>
          <w:rtl/>
        </w:rPr>
        <w:t xml:space="preserve"> דחיוב בהמה בשחיטה, אינו חיוב שבא מכח אביו או מכח אמו, אלא הוא דין בבהמה עצמה שהיא חייבת שחיטה, ורק בבן פקועה שהוא מותר בלא שחיטה, יש סיבה באב שמתירה אף את הבן</w:t>
      </w:r>
      <w:r>
        <w:rPr>
          <w:rFonts w:hint="cs"/>
          <w:rtl/>
        </w:rPr>
        <w:t xml:space="preserve">, </w:t>
      </w:r>
      <w:r w:rsidRPr="00B06D6B">
        <w:rPr>
          <w:rFonts w:hint="cs"/>
          <w:rtl/>
        </w:rPr>
        <w:t xml:space="preserve">וכתב </w:t>
      </w:r>
      <w:r w:rsidRPr="00B06D6B">
        <w:rPr>
          <w:rStyle w:val="af9"/>
          <w:rFonts w:hint="cs"/>
          <w:rtl/>
        </w:rPr>
        <w:t>בשיעורי המקדש דוד</w:t>
      </w:r>
      <w:r w:rsidRPr="00B06D6B">
        <w:rPr>
          <w:rFonts w:hint="cs"/>
          <w:rtl/>
        </w:rPr>
        <w:t xml:space="preserve"> דא"כ כל מה ששייך לומר את דין זה וזה גורם, הוא דוקא כשהנדון בדבר שיש בולד מכח אביו ואמו, ובזה קיי"ל דזה וזה גורם מותר דכח דהיתרא עדיף, אבל כשהוא אסור מחמת עצמו ולא מחמת שנולד מאביו או מאמו לא שייך בזה דין זה וזה גורם כלל, ולכן לענין איסור שחיטה שהוא איסור מחמת עצמו, לא חשיבא האם כגורם של איסור, דהא הולד חייב שחיטה מצד אינו חיוב שיש לו מכח האם, אלא הוא חיוב מחמת עצמו, ולכן אי"ז חשיב כגורם איסור,  ולא אמרינן דאזילן בתר גורם ההיתר.</w:t>
      </w:r>
    </w:p>
    <w:p w14:paraId="5287BA06" w14:textId="77777777" w:rsidR="003D504D" w:rsidRPr="00B06D6B" w:rsidRDefault="003D504D" w:rsidP="003D504D">
      <w:pPr>
        <w:pStyle w:val="a3"/>
        <w:rPr>
          <w:rtl/>
        </w:rPr>
      </w:pPr>
      <w:bookmarkStart w:id="20752" w:name="_Toc1250160"/>
      <w:bookmarkStart w:id="20753" w:name="_Toc1258167"/>
      <w:bookmarkStart w:id="20754" w:name="_Toc19391602"/>
      <w:bookmarkStart w:id="20755" w:name="_Toc19395099"/>
      <w:r>
        <w:rPr>
          <w:rFonts w:hint="cs"/>
          <w:rtl/>
        </w:rPr>
        <w:t>ביאור המקדש דוד שיש גורם היתר ע"י האב ומצד עצמו חייב שחיטה לכן אין לו תקנה</w:t>
      </w:r>
      <w:bookmarkEnd w:id="20752"/>
      <w:bookmarkEnd w:id="20753"/>
      <w:bookmarkEnd w:id="20754"/>
      <w:bookmarkEnd w:id="20755"/>
    </w:p>
    <w:p w14:paraId="3BF850D2" w14:textId="77777777" w:rsidR="003D504D" w:rsidRDefault="003D504D" w:rsidP="00223668">
      <w:pPr>
        <w:pStyle w:val="a0"/>
        <w:rPr>
          <w:rtl/>
        </w:rPr>
      </w:pPr>
      <w:r w:rsidRPr="00B06D6B">
        <w:rPr>
          <w:rFonts w:hint="cs"/>
          <w:rtl/>
        </w:rPr>
        <w:t xml:space="preserve">וביאר </w:t>
      </w:r>
      <w:r w:rsidRPr="00B06D6B">
        <w:rPr>
          <w:rStyle w:val="af9"/>
          <w:rFonts w:hint="cs"/>
          <w:rtl/>
        </w:rPr>
        <w:t>בשיעורי המקדש דוד</w:t>
      </w:r>
      <w:r w:rsidRPr="00B06D6B">
        <w:rPr>
          <w:rFonts w:hint="cs"/>
          <w:rtl/>
        </w:rPr>
        <w:t xml:space="preserve"> דאף שהצד שחייב שחיטה הוא מחמת עצמו, מ"מ יש לו צד היתר מכח אביו הבן פקועה, וצד זה אינו היתר מחמת עצמו אלא הוא היתר מכח האב, דע"י היתר האב יש סיבה להתיר אף את הולד, וכיון שיש בו צד איסור מצד עצמו, וצד היתר מכח האב, לכן אין לו תקנה. </w:t>
      </w:r>
    </w:p>
    <w:p w14:paraId="40415D8F" w14:textId="77777777" w:rsidR="005E4B5C" w:rsidRPr="005E4B5C" w:rsidRDefault="005E4B5C" w:rsidP="005E4B5C">
      <w:pPr>
        <w:pStyle w:val="a3"/>
        <w:rPr>
          <w:rtl/>
        </w:rPr>
      </w:pPr>
    </w:p>
    <w:p w14:paraId="26AF058D" w14:textId="77777777" w:rsidR="003D504D" w:rsidRDefault="003D504D" w:rsidP="003D504D">
      <w:pPr>
        <w:pStyle w:val="afe"/>
        <w:rPr>
          <w:rtl/>
        </w:rPr>
      </w:pPr>
      <w:bookmarkStart w:id="20756" w:name="_Toc19436194"/>
      <w:bookmarkStart w:id="20757" w:name="_Toc20081362"/>
      <w:bookmarkStart w:id="20758" w:name="_Toc862093"/>
      <w:bookmarkStart w:id="20759" w:name="_Toc890766"/>
      <w:bookmarkStart w:id="20760" w:name="_Toc903175"/>
      <w:bookmarkStart w:id="20761" w:name="_Toc974555"/>
      <w:bookmarkStart w:id="20762" w:name="_Toc984471"/>
      <w:bookmarkStart w:id="20763" w:name="_Toc1056605"/>
      <w:bookmarkStart w:id="20764" w:name="_Toc1109763"/>
      <w:bookmarkStart w:id="20765" w:name="_Toc1128742"/>
      <w:bookmarkStart w:id="20766" w:name="_Toc1250161"/>
      <w:bookmarkStart w:id="20767" w:name="_Toc1258168"/>
      <w:r>
        <w:rPr>
          <w:rFonts w:hint="cs"/>
          <w:rtl/>
        </w:rPr>
        <w:t>בדין כל מכח לא אמרינן</w:t>
      </w:r>
      <w:bookmarkEnd w:id="20756"/>
      <w:bookmarkEnd w:id="20757"/>
    </w:p>
    <w:p w14:paraId="2374BA75" w14:textId="77777777" w:rsidR="003D504D" w:rsidRPr="00B06D6B" w:rsidRDefault="003D504D" w:rsidP="00BF39B2">
      <w:pPr>
        <w:pStyle w:val="1"/>
        <w:rPr>
          <w:rtl/>
        </w:rPr>
      </w:pPr>
      <w:bookmarkStart w:id="20768" w:name="_Toc19391603"/>
      <w:bookmarkStart w:id="20769" w:name="_Toc19395100"/>
      <w:r w:rsidRPr="00744257">
        <w:rPr>
          <w:rFonts w:hint="cs"/>
          <w:rtl/>
        </w:rPr>
        <w:t>דברי השער"י בביאור כל מכח לא אמרינן</w:t>
      </w:r>
      <w:bookmarkEnd w:id="20758"/>
      <w:bookmarkEnd w:id="20759"/>
      <w:bookmarkEnd w:id="20760"/>
      <w:bookmarkEnd w:id="20761"/>
      <w:bookmarkEnd w:id="20762"/>
      <w:bookmarkEnd w:id="20763"/>
      <w:bookmarkEnd w:id="20764"/>
      <w:bookmarkEnd w:id="20765"/>
      <w:bookmarkEnd w:id="20766"/>
      <w:bookmarkEnd w:id="20767"/>
      <w:bookmarkEnd w:id="20768"/>
      <w:bookmarkEnd w:id="20769"/>
    </w:p>
    <w:p w14:paraId="5021D1E0" w14:textId="77777777" w:rsidR="003D504D" w:rsidRPr="00B06D6B" w:rsidRDefault="003D504D" w:rsidP="003D504D">
      <w:pPr>
        <w:pStyle w:val="a3"/>
        <w:rPr>
          <w:rtl/>
        </w:rPr>
      </w:pPr>
      <w:bookmarkStart w:id="20770" w:name="_Toc1250162"/>
      <w:bookmarkStart w:id="20771" w:name="_Toc1258169"/>
      <w:bookmarkStart w:id="20772" w:name="_Toc19391604"/>
      <w:bookmarkStart w:id="20773" w:name="_Toc19395101"/>
      <w:r>
        <w:rPr>
          <w:rFonts w:hint="cs"/>
          <w:rtl/>
        </w:rPr>
        <w:t>קושית השער"י דהיאך מותר הולד מדין כל מכח ומ"ש מולד שאין לו תקנה</w:t>
      </w:r>
      <w:bookmarkEnd w:id="20770"/>
      <w:bookmarkEnd w:id="20771"/>
      <w:bookmarkEnd w:id="20772"/>
      <w:bookmarkEnd w:id="20773"/>
    </w:p>
    <w:p w14:paraId="3C7D6122" w14:textId="77777777" w:rsidR="003D504D" w:rsidRPr="00B06D6B" w:rsidRDefault="003D504D" w:rsidP="00223668">
      <w:pPr>
        <w:pStyle w:val="a0"/>
        <w:rPr>
          <w:rStyle w:val="afb"/>
          <w:rtl/>
        </w:rPr>
      </w:pPr>
      <w:bookmarkStart w:id="20774" w:name="_Toc725041"/>
      <w:r w:rsidRPr="00B06D6B">
        <w:rPr>
          <w:rFonts w:hint="cs"/>
          <w:rtl/>
        </w:rPr>
        <w:t xml:space="preserve">במסקנת הגמ' דולד של בן פקועה שיש בו אבר היוצא מותר, כיון דכל מכח לא אמרינן, הקשה </w:t>
      </w:r>
      <w:r w:rsidRPr="00B06D6B">
        <w:rPr>
          <w:rStyle w:val="af9"/>
          <w:rFonts w:hint="cs"/>
          <w:rtl/>
        </w:rPr>
        <w:t>השער"י</w:t>
      </w:r>
      <w:r w:rsidRPr="00B06D6B">
        <w:rPr>
          <w:rFonts w:hint="cs"/>
          <w:rtl/>
        </w:rPr>
        <w:t xml:space="preserve"> </w:t>
      </w:r>
      <w:r w:rsidRPr="005679AC">
        <w:rPr>
          <w:rStyle w:val="af7"/>
          <w:rFonts w:eastAsia="Guttman Hodes" w:hint="cs"/>
          <w:rtl/>
        </w:rPr>
        <w:t xml:space="preserve">(ש"ג פכ"ה ד"ה ובהא דאיתא) </w:t>
      </w:r>
      <w:r w:rsidRPr="00B06D6B">
        <w:rPr>
          <w:rFonts w:hint="cs"/>
          <w:rtl/>
        </w:rPr>
        <w:t xml:space="preserve">דאמאי הולד מותר בלא שחיטה, הרי אם אביו ואמו היו חצי שחוטים וחצי לא שחוטים </w:t>
      </w:r>
      <w:r w:rsidRPr="00B06D6B">
        <w:rPr>
          <w:rStyle w:val="afb"/>
          <w:rFonts w:hint="cs"/>
          <w:rtl/>
        </w:rPr>
        <w:t>[דאביו שחוט ואמו אינה שחוטה]</w:t>
      </w:r>
      <w:r w:rsidRPr="00B06D6B">
        <w:rPr>
          <w:rFonts w:hint="cs"/>
          <w:rtl/>
        </w:rPr>
        <w:t xml:space="preserve">, אין לולד תקנה ואסור בלא שחיטה, וא"כ אמאי הולד שבא מכח אבר אחד שאינו כשחוט אסור, ומ"ש בא מאבר אחד שאינו שחוט, לבא מכח הרבה אברים שאינם שחוטים. </w:t>
      </w:r>
      <w:r w:rsidRPr="00B06D6B">
        <w:rPr>
          <w:rStyle w:val="afb"/>
          <w:rFonts w:hint="cs"/>
          <w:rtl/>
        </w:rPr>
        <w:t xml:space="preserve">[וכתב </w:t>
      </w:r>
      <w:r w:rsidRPr="00B06D6B">
        <w:rPr>
          <w:rStyle w:val="affa"/>
          <w:rFonts w:hint="cs"/>
          <w:rtl/>
        </w:rPr>
        <w:t>השער"י</w:t>
      </w:r>
      <w:r w:rsidRPr="00B06D6B">
        <w:rPr>
          <w:rStyle w:val="afb"/>
          <w:rFonts w:hint="cs"/>
          <w:rtl/>
        </w:rPr>
        <w:t xml:space="preserve"> דלא שייך לומר דבאבר אחד יש ביטול ברוב, כיון דמבלבל זרעיה ואין אבר אחד שאסור, וגם אם היה האיסור מתחלק בגופו, לא אמרינן ביטול בב' גורמים].</w:t>
      </w:r>
    </w:p>
    <w:p w14:paraId="31041844" w14:textId="77777777" w:rsidR="003D504D" w:rsidRPr="00B06D6B" w:rsidRDefault="003D504D" w:rsidP="003D504D">
      <w:pPr>
        <w:pStyle w:val="a3"/>
        <w:rPr>
          <w:rtl/>
        </w:rPr>
      </w:pPr>
      <w:bookmarkStart w:id="20775" w:name="_Toc1250163"/>
      <w:bookmarkStart w:id="20776" w:name="_Toc1258170"/>
      <w:bookmarkStart w:id="20777" w:name="_Toc19391605"/>
      <w:bookmarkStart w:id="20778" w:name="_Toc19395102"/>
      <w:r>
        <w:rPr>
          <w:rFonts w:hint="cs"/>
          <w:rtl/>
        </w:rPr>
        <w:t>דברי השער"י דדין יוצא מטמא תלוי ברוב הדבר שיצא ממנו ולא במיעוט דאמרינן רובו ככולו</w:t>
      </w:r>
      <w:bookmarkEnd w:id="20775"/>
      <w:bookmarkEnd w:id="20776"/>
      <w:bookmarkEnd w:id="20777"/>
      <w:bookmarkEnd w:id="20778"/>
    </w:p>
    <w:p w14:paraId="0523A40D" w14:textId="77777777" w:rsidR="003D504D" w:rsidRDefault="003D504D" w:rsidP="00223668">
      <w:pPr>
        <w:pStyle w:val="a0"/>
        <w:rPr>
          <w:rtl/>
        </w:rPr>
      </w:pPr>
      <w:bookmarkStart w:id="20779" w:name="_Ref859993"/>
      <w:r>
        <w:rPr>
          <w:rFonts w:hint="cs"/>
          <w:rtl/>
        </w:rPr>
        <w:t xml:space="preserve">וכתב </w:t>
      </w:r>
      <w:r w:rsidRPr="002C76A1">
        <w:rPr>
          <w:rStyle w:val="af9"/>
          <w:rFonts w:hint="cs"/>
          <w:rtl/>
        </w:rPr>
        <w:t>השער"י</w:t>
      </w:r>
      <w:r>
        <w:rPr>
          <w:rFonts w:hint="cs"/>
          <w:rtl/>
        </w:rPr>
        <w:t xml:space="preserve"> </w:t>
      </w:r>
      <w:r w:rsidRPr="005679AC">
        <w:rPr>
          <w:rStyle w:val="af7"/>
          <w:rFonts w:eastAsia="Guttman Hodes" w:hint="cs"/>
          <w:rtl/>
        </w:rPr>
        <w:t>(ש"ג פכ"ה ד"ה ונלענ"ד על פי)</w:t>
      </w:r>
      <w:r>
        <w:rPr>
          <w:rFonts w:hint="cs"/>
          <w:rtl/>
        </w:rPr>
        <w:t xml:space="preserve"> דבדברי </w:t>
      </w:r>
      <w:r w:rsidRPr="002C76A1">
        <w:rPr>
          <w:rStyle w:val="af9"/>
          <w:rFonts w:hint="cs"/>
          <w:rtl/>
        </w:rPr>
        <w:t>התוס' בע"ז</w:t>
      </w:r>
      <w:r>
        <w:rPr>
          <w:rFonts w:hint="cs"/>
          <w:rtl/>
        </w:rPr>
        <w:t xml:space="preserve"> </w:t>
      </w:r>
      <w:r w:rsidRPr="005679AC">
        <w:rPr>
          <w:rStyle w:val="af7"/>
          <w:rFonts w:eastAsia="Guttman Hodes" w:hint="cs"/>
          <w:rtl/>
        </w:rPr>
        <w:t>(מט. ד"ה שאם, הביאו השער"י ש"</w:t>
      </w:r>
      <w:r w:rsidRPr="005679AC">
        <w:rPr>
          <w:rStyle w:val="af7"/>
          <w:rFonts w:eastAsia="Guttman Hodes"/>
          <w:rtl/>
        </w:rPr>
        <w:t>ג פכ</w:t>
      </w:r>
      <w:r w:rsidRPr="005679AC">
        <w:rPr>
          <w:rStyle w:val="af7"/>
          <w:rFonts w:eastAsia="Guttman Hodes" w:hint="cs"/>
          <w:rtl/>
        </w:rPr>
        <w:t>"ה ד"ה ועפ"י מה)</w:t>
      </w:r>
      <w:r>
        <w:rPr>
          <w:rFonts w:hint="cs"/>
          <w:rtl/>
        </w:rPr>
        <w:t xml:space="preserve"> מבואר דבאיסורי אכילה לא שייך דין גורם, והאיסור הוא רק מדין יוצא מן הטמא, וכתב </w:t>
      </w:r>
      <w:r w:rsidRPr="002C76A1">
        <w:rPr>
          <w:rStyle w:val="af9"/>
          <w:rFonts w:hint="cs"/>
          <w:rtl/>
        </w:rPr>
        <w:t>השער"י</w:t>
      </w:r>
      <w:r>
        <w:rPr>
          <w:rFonts w:hint="cs"/>
          <w:rtl/>
        </w:rPr>
        <w:t xml:space="preserve"> דדין יוצא מן הטמא בולד תלוי בדין של הבהמה שנולד ממנה, דאם רובה אסורה חשיב הולד כיוצא מן הטמא, אבל אם רק מיעוט הבהמה אסור, הולד מותר, וביאר </w:t>
      </w:r>
      <w:r w:rsidRPr="002C76A1">
        <w:rPr>
          <w:rStyle w:val="af9"/>
          <w:rFonts w:hint="cs"/>
          <w:rtl/>
        </w:rPr>
        <w:t>השער"י</w:t>
      </w:r>
      <w:r>
        <w:rPr>
          <w:rFonts w:hint="cs"/>
          <w:rtl/>
        </w:rPr>
        <w:t xml:space="preserve"> דאי"ז מדין ביטול ברוב, אלא הוא מדין רובו ככולו.</w:t>
      </w:r>
      <w:bookmarkEnd w:id="20779"/>
    </w:p>
    <w:p w14:paraId="435934CE" w14:textId="77777777" w:rsidR="005E4B5C" w:rsidRPr="005E4B5C" w:rsidRDefault="005E4B5C" w:rsidP="005E4B5C">
      <w:pPr>
        <w:pStyle w:val="a3"/>
        <w:rPr>
          <w:rtl/>
        </w:rPr>
      </w:pPr>
    </w:p>
    <w:p w14:paraId="504B9183" w14:textId="77777777" w:rsidR="005E4B5C" w:rsidRPr="005E4B5C" w:rsidRDefault="005E4B5C" w:rsidP="005E4B5C">
      <w:pPr>
        <w:pStyle w:val="a3"/>
        <w:rPr>
          <w:rtl/>
        </w:rPr>
      </w:pPr>
    </w:p>
    <w:p w14:paraId="7E1A1DC9" w14:textId="77777777" w:rsidR="003D504D" w:rsidRPr="00172CC5" w:rsidRDefault="003D504D" w:rsidP="003D504D">
      <w:pPr>
        <w:pStyle w:val="a3"/>
        <w:rPr>
          <w:rtl/>
        </w:rPr>
      </w:pPr>
      <w:bookmarkStart w:id="20780" w:name="_Toc1250164"/>
      <w:bookmarkStart w:id="20781" w:name="_Toc1258171"/>
      <w:bookmarkStart w:id="20782" w:name="_Toc19391606"/>
      <w:bookmarkStart w:id="20783" w:name="_Toc19395103"/>
      <w:r>
        <w:rPr>
          <w:rFonts w:hint="cs"/>
          <w:rtl/>
        </w:rPr>
        <w:t>ביאור השער"י בקושית הגמ' דדבר שבא מאיסור חשיב שהאיסור מעורב בכולו</w:t>
      </w:r>
      <w:bookmarkEnd w:id="20780"/>
      <w:bookmarkEnd w:id="20781"/>
      <w:bookmarkEnd w:id="20782"/>
      <w:bookmarkEnd w:id="20783"/>
    </w:p>
    <w:p w14:paraId="4AF5A7FF" w14:textId="77777777" w:rsidR="003D504D" w:rsidRDefault="003D504D" w:rsidP="00223668">
      <w:pPr>
        <w:pStyle w:val="a0"/>
        <w:rPr>
          <w:rtl/>
        </w:rPr>
      </w:pPr>
      <w:r>
        <w:rPr>
          <w:rFonts w:hint="cs"/>
          <w:rtl/>
        </w:rPr>
        <w:t xml:space="preserve">ובקושית הגמ' דולד שבא מכח תלתא איסורי יהיה אסור, ביאר </w:t>
      </w:r>
      <w:r w:rsidRPr="004C6552">
        <w:rPr>
          <w:rStyle w:val="af9"/>
          <w:rFonts w:hint="cs"/>
          <w:rtl/>
        </w:rPr>
        <w:t>השער"י</w:t>
      </w:r>
      <w:r>
        <w:rPr>
          <w:rFonts w:hint="cs"/>
          <w:rtl/>
        </w:rPr>
        <w:t xml:space="preserve"> דסברה הגמ' דב</w:t>
      </w:r>
      <w:r>
        <w:rPr>
          <w:rtl/>
        </w:rPr>
        <w:t>חֵלֶב</w:t>
      </w:r>
      <w:r>
        <w:rPr>
          <w:rFonts w:hint="cs"/>
          <w:rtl/>
        </w:rPr>
        <w:t xml:space="preserve"> ודם הוא חידוש דהתירה התורה, אבל מדינא דבר הבא מכח איסור צריך להיות אסור, מחמת שבא מגורם של איסור, או דחשיב כאילו מעורב בולד האיסור של ה</w:t>
      </w:r>
      <w:r>
        <w:rPr>
          <w:rtl/>
        </w:rPr>
        <w:t>חֵלֶב</w:t>
      </w:r>
      <w:r>
        <w:rPr>
          <w:rFonts w:hint="cs"/>
          <w:rtl/>
        </w:rPr>
        <w:t xml:space="preserve"> והדם, וא"כ אבר היוצא צריך לאסור את הולד.</w:t>
      </w:r>
    </w:p>
    <w:p w14:paraId="4D3AC4C4" w14:textId="77777777" w:rsidR="003D504D" w:rsidRPr="003F565A" w:rsidRDefault="003D504D" w:rsidP="003D504D">
      <w:pPr>
        <w:pStyle w:val="a3"/>
        <w:rPr>
          <w:rtl/>
        </w:rPr>
      </w:pPr>
      <w:bookmarkStart w:id="20784" w:name="_Toc1250165"/>
      <w:bookmarkStart w:id="20785" w:name="_Toc1258172"/>
      <w:bookmarkStart w:id="20786" w:name="_Toc19391607"/>
      <w:bookmarkStart w:id="20787" w:name="_Toc19395104"/>
      <w:r>
        <w:rPr>
          <w:rFonts w:hint="cs"/>
          <w:rtl/>
        </w:rPr>
        <w:t>ביאור השער"י במסקנת הגמ' דבולד לא מעורב איסור מאביו ואמו ודין יוצא אינו מכח מיעוט</w:t>
      </w:r>
      <w:bookmarkEnd w:id="20784"/>
      <w:bookmarkEnd w:id="20785"/>
      <w:bookmarkEnd w:id="20786"/>
      <w:bookmarkEnd w:id="20787"/>
    </w:p>
    <w:p w14:paraId="629B78F4" w14:textId="77777777" w:rsidR="003D504D" w:rsidRDefault="003D504D" w:rsidP="00223668">
      <w:pPr>
        <w:pStyle w:val="a0"/>
        <w:rPr>
          <w:rtl/>
        </w:rPr>
      </w:pPr>
      <w:r>
        <w:rPr>
          <w:rFonts w:hint="cs"/>
          <w:rtl/>
        </w:rPr>
        <w:t xml:space="preserve">ובמסקנת הגמ' דכל מכח לא אמרינן, ביאר </w:t>
      </w:r>
      <w:r w:rsidRPr="004C6552">
        <w:rPr>
          <w:rStyle w:val="af9"/>
          <w:rFonts w:hint="cs"/>
          <w:rtl/>
        </w:rPr>
        <w:t>השער"י</w:t>
      </w:r>
      <w:r>
        <w:rPr>
          <w:rFonts w:hint="cs"/>
          <w:rtl/>
        </w:rPr>
        <w:t xml:space="preserve"> דבולד לא מעורב כל איסור שהיה באביו ובאמו, ומדין גורם ג"כ א"א לאוסרו כמבואר </w:t>
      </w:r>
      <w:r w:rsidRPr="004C6552">
        <w:rPr>
          <w:rStyle w:val="af9"/>
          <w:rFonts w:hint="cs"/>
          <w:rtl/>
        </w:rPr>
        <w:t>בתוס' בע"ז</w:t>
      </w:r>
      <w:r>
        <w:rPr>
          <w:rFonts w:hint="cs"/>
          <w:rtl/>
        </w:rPr>
        <w:t xml:space="preserve"> </w:t>
      </w:r>
      <w:r w:rsidRPr="005679AC">
        <w:rPr>
          <w:rStyle w:val="af7"/>
          <w:rFonts w:eastAsia="Guttman Hodes" w:hint="cs"/>
          <w:rtl/>
        </w:rPr>
        <w:t xml:space="preserve">(עי' אות </w:t>
      </w:r>
      <w:r w:rsidRPr="004C6552">
        <w:rPr>
          <w:rStyle w:val="af7"/>
          <w:rFonts w:eastAsia="Guttman Hodes"/>
          <w:rtl/>
        </w:rPr>
        <w:fldChar w:fldCharType="begin"/>
      </w:r>
      <w:r w:rsidRPr="004C6552">
        <w:rPr>
          <w:rStyle w:val="af7"/>
          <w:rFonts w:eastAsia="Guttman Hodes"/>
          <w:rtl/>
        </w:rPr>
        <w:instrText xml:space="preserve"> </w:instrText>
      </w:r>
      <w:r w:rsidRPr="004C6552">
        <w:rPr>
          <w:rStyle w:val="af7"/>
          <w:rFonts w:eastAsia="Guttman Hodes" w:hint="cs"/>
        </w:rPr>
        <w:instrText>REF</w:instrText>
      </w:r>
      <w:r w:rsidRPr="004C6552">
        <w:rPr>
          <w:rStyle w:val="af7"/>
          <w:rFonts w:eastAsia="Guttman Hodes" w:hint="cs"/>
          <w:rtl/>
        </w:rPr>
        <w:instrText xml:space="preserve"> _</w:instrText>
      </w:r>
      <w:r w:rsidRPr="004C6552">
        <w:rPr>
          <w:rStyle w:val="af7"/>
          <w:rFonts w:eastAsia="Guttman Hodes" w:hint="cs"/>
        </w:rPr>
        <w:instrText>Ref859993 \r \h</w:instrText>
      </w:r>
      <w:r w:rsidRPr="004C6552">
        <w:rPr>
          <w:rStyle w:val="af7"/>
          <w:rFonts w:eastAsia="Guttman Hodes"/>
          <w:rtl/>
        </w:rPr>
        <w:instrText xml:space="preserve"> </w:instrText>
      </w:r>
      <w:r w:rsidRPr="004C6552">
        <w:rPr>
          <w:rStyle w:val="af7"/>
          <w:rFonts w:eastAsia="Guttman Hodes"/>
          <w:rtl/>
        </w:rPr>
      </w:r>
      <w:r w:rsidRPr="004C6552">
        <w:rPr>
          <w:rStyle w:val="af7"/>
          <w:rFonts w:eastAsia="Guttman Hodes"/>
          <w:rtl/>
        </w:rPr>
        <w:fldChar w:fldCharType="separate"/>
      </w:r>
      <w:r w:rsidR="00345400">
        <w:rPr>
          <w:rStyle w:val="af7"/>
          <w:rFonts w:eastAsia="Guttman Hodes"/>
          <w:cs/>
        </w:rPr>
        <w:t>‎</w:t>
      </w:r>
      <w:r w:rsidR="00345400">
        <w:rPr>
          <w:rStyle w:val="af7"/>
          <w:rFonts w:eastAsia="Guttman Hodes"/>
          <w:rtl/>
        </w:rPr>
        <w:t>עז)</w:t>
      </w:r>
      <w:r w:rsidRPr="004C6552">
        <w:rPr>
          <w:rStyle w:val="af7"/>
          <w:rFonts w:eastAsia="Guttman Hodes"/>
          <w:rtl/>
        </w:rPr>
        <w:fldChar w:fldCharType="end"/>
      </w:r>
      <w:r>
        <w:rPr>
          <w:rFonts w:hint="cs"/>
          <w:rtl/>
        </w:rPr>
        <w:t xml:space="preserve"> דבאיסורי אכילה אין דין גורם, וכל מה שאפשר לאוסרו הוא רק מדין יוצא מן הטמא, ודין יוצא הוא דוקא במקום שרוב הבהמה או חציה אסורה, אבל באבר שהוא רק מיעוט אין בו דין יוצא מן הטמא, ולכן הולד מותר בלא שחיטה.</w:t>
      </w:r>
    </w:p>
    <w:p w14:paraId="017C1C1C" w14:textId="77777777" w:rsidR="003D504D" w:rsidRPr="00324D86" w:rsidRDefault="003D504D" w:rsidP="003D504D">
      <w:pPr>
        <w:pStyle w:val="a3"/>
        <w:rPr>
          <w:rtl/>
        </w:rPr>
      </w:pPr>
      <w:bookmarkStart w:id="20788" w:name="_Toc1250166"/>
      <w:bookmarkStart w:id="20789" w:name="_Toc1258173"/>
      <w:bookmarkStart w:id="20790" w:name="_Toc19391608"/>
      <w:bookmarkStart w:id="20791" w:name="_Toc19395105"/>
      <w:r>
        <w:rPr>
          <w:rFonts w:hint="cs"/>
          <w:rtl/>
        </w:rPr>
        <w:t>דברי השער"י דקושית התוס' דבאבר היוצא הוי זה וזה גורם הוא רק בקושית הגמ' ולא במסקנא</w:t>
      </w:r>
      <w:bookmarkEnd w:id="20788"/>
      <w:bookmarkEnd w:id="20789"/>
      <w:bookmarkEnd w:id="20790"/>
      <w:bookmarkEnd w:id="20791"/>
    </w:p>
    <w:p w14:paraId="114F0E21" w14:textId="77777777" w:rsidR="003D504D" w:rsidRPr="00035EC2" w:rsidRDefault="003D504D" w:rsidP="00223668">
      <w:pPr>
        <w:pStyle w:val="a0"/>
        <w:numPr>
          <w:ilvl w:val="0"/>
          <w:numId w:val="0"/>
        </w:numPr>
        <w:rPr>
          <w:rtl/>
        </w:rPr>
      </w:pPr>
      <w:bookmarkStart w:id="20792" w:name="_Ref1249132"/>
      <w:r>
        <w:rPr>
          <w:rFonts w:hint="cs"/>
          <w:rtl/>
        </w:rPr>
        <w:t xml:space="preserve">ובמה שהקשו </w:t>
      </w:r>
      <w:r w:rsidRPr="00324D86">
        <w:rPr>
          <w:rStyle w:val="af9"/>
          <w:rFonts w:hint="cs"/>
          <w:rtl/>
        </w:rPr>
        <w:t xml:space="preserve">התוס' </w:t>
      </w:r>
      <w:r w:rsidRPr="00035EC2">
        <w:rPr>
          <w:rStyle w:val="af7"/>
          <w:rFonts w:eastAsia="Guttman Hodes" w:hint="cs"/>
          <w:rtl/>
        </w:rPr>
        <w:t xml:space="preserve">(עי' אות </w:t>
      </w:r>
      <w:r w:rsidRPr="00035EC2">
        <w:rPr>
          <w:rStyle w:val="af7"/>
          <w:rFonts w:eastAsia="Guttman Hodes"/>
          <w:rtl/>
        </w:rPr>
        <w:fldChar w:fldCharType="begin"/>
      </w:r>
      <w:r w:rsidRPr="00035EC2">
        <w:rPr>
          <w:rStyle w:val="af7"/>
          <w:rFonts w:eastAsia="Guttman Hodes"/>
          <w:rtl/>
        </w:rPr>
        <w:instrText xml:space="preserve"> </w:instrText>
      </w:r>
      <w:r w:rsidRPr="00035EC2">
        <w:rPr>
          <w:rStyle w:val="af7"/>
          <w:rFonts w:eastAsia="Guttman Hodes" w:hint="cs"/>
        </w:rPr>
        <w:instrText>REF</w:instrText>
      </w:r>
      <w:r w:rsidRPr="00035EC2">
        <w:rPr>
          <w:rStyle w:val="af7"/>
          <w:rFonts w:eastAsia="Guttman Hodes" w:hint="cs"/>
          <w:rtl/>
        </w:rPr>
        <w:instrText xml:space="preserve"> _</w:instrText>
      </w:r>
      <w:r w:rsidRPr="00035EC2">
        <w:rPr>
          <w:rStyle w:val="af7"/>
          <w:rFonts w:eastAsia="Guttman Hodes" w:hint="cs"/>
        </w:rPr>
        <w:instrText>Ref1249101 \r \h</w:instrText>
      </w:r>
      <w:r w:rsidRPr="00035EC2">
        <w:rPr>
          <w:rStyle w:val="af7"/>
          <w:rFonts w:eastAsia="Guttman Hodes"/>
          <w:rtl/>
        </w:rPr>
        <w:instrText xml:space="preserve"> </w:instrText>
      </w:r>
      <w:r w:rsidRPr="00035EC2">
        <w:rPr>
          <w:rStyle w:val="af7"/>
          <w:rFonts w:eastAsia="Guttman Hodes"/>
          <w:rtl/>
        </w:rPr>
      </w:r>
      <w:r w:rsidRPr="00035EC2">
        <w:rPr>
          <w:rStyle w:val="af7"/>
          <w:rFonts w:eastAsia="Guttman Hodes"/>
          <w:rtl/>
        </w:rPr>
        <w:fldChar w:fldCharType="separate"/>
      </w:r>
      <w:r w:rsidR="00345400">
        <w:rPr>
          <w:rStyle w:val="af7"/>
          <w:rFonts w:eastAsia="Guttman Hodes"/>
          <w:cs/>
        </w:rPr>
        <w:t>‎</w:t>
      </w:r>
      <w:r w:rsidR="00345400">
        <w:rPr>
          <w:rStyle w:val="af7"/>
          <w:rFonts w:eastAsia="Guttman Hodes"/>
          <w:rtl/>
        </w:rPr>
        <w:t>יז)</w:t>
      </w:r>
      <w:r w:rsidRPr="00035EC2">
        <w:rPr>
          <w:rStyle w:val="af7"/>
          <w:rFonts w:eastAsia="Guttman Hodes"/>
          <w:rtl/>
        </w:rPr>
        <w:fldChar w:fldCharType="end"/>
      </w:r>
      <w:r>
        <w:rPr>
          <w:rFonts w:hint="cs"/>
          <w:rtl/>
        </w:rPr>
        <w:t xml:space="preserve"> על קושית הגמ' דבתלתא איסורי יהיה הולד אסור, דהא קיי"ל דזה וזה גורם מותר, כתב </w:t>
      </w:r>
      <w:r w:rsidRPr="00324D86">
        <w:rPr>
          <w:rStyle w:val="af9"/>
          <w:rFonts w:hint="cs"/>
          <w:rtl/>
        </w:rPr>
        <w:t xml:space="preserve">השער"י </w:t>
      </w:r>
      <w:r>
        <w:rPr>
          <w:rFonts w:hint="cs"/>
          <w:rtl/>
        </w:rPr>
        <w:t xml:space="preserve">דמהא </w:t>
      </w:r>
      <w:r w:rsidRPr="00AB436F">
        <w:rPr>
          <w:rStyle w:val="af9"/>
          <w:rFonts w:hint="cs"/>
          <w:rtl/>
        </w:rPr>
        <w:t>דה</w:t>
      </w:r>
      <w:r w:rsidRPr="00324D86">
        <w:rPr>
          <w:rStyle w:val="af9"/>
          <w:rFonts w:hint="cs"/>
          <w:rtl/>
        </w:rPr>
        <w:t>תוס'</w:t>
      </w:r>
      <w:r>
        <w:rPr>
          <w:rFonts w:hint="cs"/>
          <w:rtl/>
        </w:rPr>
        <w:t xml:space="preserve"> לא הקשו כן על דברי רב משרשיא, א"כ מבואר דס"ל </w:t>
      </w:r>
      <w:r>
        <w:rPr>
          <w:rStyle w:val="af9"/>
          <w:rFonts w:hint="cs"/>
          <w:rtl/>
        </w:rPr>
        <w:t>ל</w:t>
      </w:r>
      <w:r w:rsidRPr="00AB436F">
        <w:rPr>
          <w:rStyle w:val="af9"/>
          <w:rFonts w:hint="cs"/>
          <w:rtl/>
        </w:rPr>
        <w:t>ה</w:t>
      </w:r>
      <w:r w:rsidRPr="00324D86">
        <w:rPr>
          <w:rStyle w:val="af9"/>
          <w:rFonts w:hint="cs"/>
          <w:rtl/>
        </w:rPr>
        <w:t>תוס'</w:t>
      </w:r>
      <w:r>
        <w:rPr>
          <w:rFonts w:hint="cs"/>
          <w:rtl/>
        </w:rPr>
        <w:t xml:space="preserve"> כדביאר </w:t>
      </w:r>
      <w:r w:rsidRPr="00324D86">
        <w:rPr>
          <w:rStyle w:val="af9"/>
          <w:rFonts w:hint="cs"/>
          <w:rtl/>
        </w:rPr>
        <w:t xml:space="preserve">השער"י </w:t>
      </w:r>
      <w:r>
        <w:rPr>
          <w:rFonts w:hint="cs"/>
          <w:rtl/>
        </w:rPr>
        <w:t xml:space="preserve">בדעת </w:t>
      </w:r>
      <w:r w:rsidRPr="00324D86">
        <w:rPr>
          <w:rStyle w:val="af9"/>
          <w:rFonts w:hint="cs"/>
          <w:rtl/>
        </w:rPr>
        <w:t xml:space="preserve">הר"ן </w:t>
      </w:r>
      <w:r w:rsidRPr="00035EC2">
        <w:rPr>
          <w:rStyle w:val="af7"/>
          <w:rFonts w:eastAsia="Guttman Hodes" w:hint="cs"/>
          <w:rtl/>
        </w:rPr>
        <w:t xml:space="preserve">(עי' אות </w:t>
      </w:r>
      <w:r w:rsidRPr="00035EC2">
        <w:rPr>
          <w:rStyle w:val="af7"/>
          <w:rFonts w:eastAsia="Guttman Hodes"/>
          <w:rtl/>
        </w:rPr>
        <w:fldChar w:fldCharType="begin"/>
      </w:r>
      <w:r w:rsidRPr="00035EC2">
        <w:rPr>
          <w:rStyle w:val="af7"/>
          <w:rFonts w:eastAsia="Guttman Hodes"/>
          <w:rtl/>
        </w:rPr>
        <w:instrText xml:space="preserve"> </w:instrText>
      </w:r>
      <w:r w:rsidRPr="00035EC2">
        <w:rPr>
          <w:rStyle w:val="af7"/>
          <w:rFonts w:eastAsia="Guttman Hodes" w:hint="cs"/>
        </w:rPr>
        <w:instrText>REF</w:instrText>
      </w:r>
      <w:r w:rsidRPr="00035EC2">
        <w:rPr>
          <w:rStyle w:val="af7"/>
          <w:rFonts w:eastAsia="Guttman Hodes" w:hint="cs"/>
          <w:rtl/>
        </w:rPr>
        <w:instrText xml:space="preserve"> _</w:instrText>
      </w:r>
      <w:r w:rsidRPr="00035EC2">
        <w:rPr>
          <w:rStyle w:val="af7"/>
          <w:rFonts w:eastAsia="Guttman Hodes" w:hint="cs"/>
        </w:rPr>
        <w:instrText>Ref689321 \r \h</w:instrText>
      </w:r>
      <w:r w:rsidRPr="00035EC2">
        <w:rPr>
          <w:rStyle w:val="af7"/>
          <w:rFonts w:eastAsia="Guttman Hodes"/>
          <w:rtl/>
        </w:rPr>
        <w:instrText xml:space="preserve"> </w:instrText>
      </w:r>
      <w:r w:rsidRPr="00035EC2">
        <w:rPr>
          <w:rStyle w:val="af7"/>
          <w:rFonts w:eastAsia="Guttman Hodes"/>
          <w:rtl/>
        </w:rPr>
      </w:r>
      <w:r w:rsidRPr="00035EC2">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035EC2">
        <w:rPr>
          <w:rStyle w:val="af7"/>
          <w:rFonts w:eastAsia="Guttman Hodes"/>
          <w:rtl/>
        </w:rPr>
        <w:fldChar w:fldCharType="end"/>
      </w:r>
      <w:r>
        <w:rPr>
          <w:rFonts w:hint="cs"/>
          <w:rtl/>
        </w:rPr>
        <w:t xml:space="preserve"> דדינא דאין חוששין לזרע האב אינו שייך כלל, לדין זה וזה גורם, ורק בקושית הגמ' דבתלתא איסורי יהיה אסור, דמוכח דכוונת הגמ' להקשות מדין גורם או מחמת דמעורב בולד תערובת איסור, בזה הקשו </w:t>
      </w:r>
      <w:r w:rsidRPr="00324D86">
        <w:rPr>
          <w:rStyle w:val="af9"/>
          <w:rFonts w:hint="cs"/>
          <w:rtl/>
        </w:rPr>
        <w:t xml:space="preserve">התוס' </w:t>
      </w:r>
      <w:r>
        <w:rPr>
          <w:rFonts w:hint="cs"/>
          <w:rtl/>
        </w:rPr>
        <w:t xml:space="preserve">דכיון דזה וזה גורם מותר, וכתב </w:t>
      </w:r>
      <w:r w:rsidRPr="00324D86">
        <w:rPr>
          <w:rStyle w:val="af9"/>
          <w:rFonts w:hint="cs"/>
          <w:rtl/>
        </w:rPr>
        <w:t xml:space="preserve">השער"י </w:t>
      </w:r>
      <w:r>
        <w:rPr>
          <w:rFonts w:hint="cs"/>
          <w:rtl/>
        </w:rPr>
        <w:t xml:space="preserve">דכל קושית </w:t>
      </w:r>
      <w:r w:rsidRPr="00324D86">
        <w:rPr>
          <w:rStyle w:val="af9"/>
          <w:rFonts w:hint="cs"/>
          <w:rtl/>
        </w:rPr>
        <w:t>התוס'</w:t>
      </w:r>
      <w:r>
        <w:rPr>
          <w:rFonts w:hint="cs"/>
          <w:rtl/>
        </w:rPr>
        <w:t xml:space="preserve"> היא רק להו"א בגמ', אבל למסקנא דכל מכח לא אמרינן, שאין דין גורם כלל באיסורי אכילה, ואין בולד גם תערובת של איסור מאביו ואמו, ואיסור יוצא גם אין בו כיון שרוב הבהמה שנוצר ממנה מותרת, לכן פשיטא דהולד מותר ולא שייך בזה הנדון דזה וזה גורם כלל</w:t>
      </w:r>
      <w:bookmarkEnd w:id="20792"/>
    </w:p>
    <w:p w14:paraId="20DDC50F" w14:textId="77777777" w:rsidR="003D504D" w:rsidRDefault="003D504D" w:rsidP="00223668">
      <w:pPr>
        <w:pStyle w:val="a0"/>
        <w:numPr>
          <w:ilvl w:val="0"/>
          <w:numId w:val="0"/>
        </w:numPr>
        <w:rPr>
          <w:rtl/>
        </w:rPr>
        <w:sectPr w:rsidR="003D504D" w:rsidSect="005049E2">
          <w:type w:val="continuous"/>
          <w:pgSz w:w="11906" w:h="16838"/>
          <w:pgMar w:top="720" w:right="720" w:bottom="720" w:left="720" w:header="283" w:footer="283" w:gutter="0"/>
          <w:cols w:num="2" w:space="567"/>
          <w:titlePg/>
          <w:bidi/>
          <w:rtlGutter/>
          <w:docGrid w:linePitch="299"/>
        </w:sectPr>
      </w:pPr>
    </w:p>
    <w:bookmarkEnd w:id="20774"/>
    <w:p w14:paraId="76DD90D9" w14:textId="77777777" w:rsidR="003D504D" w:rsidRDefault="003D504D" w:rsidP="00223668">
      <w:pPr>
        <w:pStyle w:val="a0"/>
        <w:numPr>
          <w:ilvl w:val="0"/>
          <w:numId w:val="0"/>
        </w:numPr>
        <w:rPr>
          <w:rtl/>
        </w:rPr>
        <w:sectPr w:rsidR="003D504D" w:rsidSect="005049E2">
          <w:type w:val="continuous"/>
          <w:pgSz w:w="11906" w:h="16838"/>
          <w:pgMar w:top="720" w:right="720" w:bottom="720" w:left="720" w:header="283" w:footer="283" w:gutter="0"/>
          <w:cols w:num="2" w:space="567"/>
          <w:titlePg/>
          <w:bidi/>
          <w:rtlGutter/>
          <w:docGrid w:linePitch="299"/>
        </w:sectPr>
      </w:pPr>
    </w:p>
    <w:p w14:paraId="2D0AC676" w14:textId="77777777" w:rsidR="003D504D" w:rsidRPr="002A56BB" w:rsidRDefault="003D504D" w:rsidP="00DC2A42">
      <w:pPr>
        <w:pStyle w:val="afd"/>
        <w:spacing w:before="240"/>
      </w:pPr>
      <w:bookmarkStart w:id="20793" w:name="_Toc5356388"/>
      <w:bookmarkStart w:id="20794" w:name="_Toc16669771"/>
      <w:bookmarkStart w:id="20795" w:name="_Toc19436195"/>
      <w:bookmarkStart w:id="20796" w:name="_Toc20081363"/>
      <w:bookmarkStart w:id="20797" w:name="_Toc1318691"/>
      <w:bookmarkStart w:id="20798" w:name="_Toc1380106"/>
      <w:bookmarkStart w:id="20799" w:name="_Toc1419313"/>
      <w:bookmarkStart w:id="20800" w:name="_Toc1592193"/>
      <w:bookmarkStart w:id="20801" w:name="_Toc1668710"/>
      <w:bookmarkStart w:id="20802" w:name="_Toc1716575"/>
      <w:bookmarkStart w:id="20803" w:name="_Toc1725719"/>
      <w:bookmarkStart w:id="20804" w:name="_Toc1728097"/>
      <w:bookmarkStart w:id="20805" w:name="_Toc1938637"/>
      <w:bookmarkStart w:id="20806" w:name="_Toc1938730"/>
      <w:bookmarkStart w:id="20807" w:name="_Toc2078415"/>
      <w:r w:rsidRPr="002A56BB">
        <w:rPr>
          <w:rFonts w:hint="cs"/>
          <w:rtl/>
        </w:rPr>
        <w:t xml:space="preserve">סימן </w:t>
      </w:r>
      <w:bookmarkEnd w:id="20793"/>
      <w:r w:rsidR="00DC2A42">
        <w:rPr>
          <w:rFonts w:hint="cs"/>
          <w:rtl/>
        </w:rPr>
        <w:t>י"ט</w:t>
      </w:r>
      <w:bookmarkEnd w:id="20794"/>
      <w:bookmarkEnd w:id="20795"/>
      <w:bookmarkEnd w:id="20796"/>
    </w:p>
    <w:p w14:paraId="116C7536" w14:textId="77777777" w:rsidR="003D504D" w:rsidRPr="002A56BB" w:rsidRDefault="003D504D" w:rsidP="003D504D">
      <w:pPr>
        <w:pStyle w:val="afd"/>
        <w:rPr>
          <w:rtl/>
        </w:rPr>
      </w:pPr>
      <w:bookmarkStart w:id="20808" w:name="_Toc1419314"/>
      <w:bookmarkStart w:id="20809" w:name="_Toc1592194"/>
      <w:bookmarkStart w:id="20810" w:name="_Toc1668711"/>
      <w:bookmarkStart w:id="20811" w:name="_Toc1716576"/>
      <w:bookmarkStart w:id="20812" w:name="_Toc1725720"/>
      <w:bookmarkStart w:id="20813" w:name="_Toc1728098"/>
      <w:bookmarkStart w:id="20814" w:name="_Toc1938638"/>
      <w:bookmarkStart w:id="20815" w:name="_Toc1938731"/>
      <w:bookmarkStart w:id="20816" w:name="_Toc5356389"/>
      <w:bookmarkStart w:id="20817" w:name="_Toc16669772"/>
      <w:bookmarkStart w:id="20818" w:name="_Toc19436196"/>
      <w:bookmarkStart w:id="20819" w:name="_Toc20081364"/>
      <w:r w:rsidRPr="002A56BB">
        <w:rPr>
          <w:rFonts w:hint="cs"/>
          <w:rtl/>
        </w:rPr>
        <w:t xml:space="preserve">בספיקא דרב </w:t>
      </w:r>
      <w:r>
        <w:rPr>
          <w:rFonts w:hint="cs"/>
          <w:rtl/>
        </w:rPr>
        <w:t>הושעיא</w:t>
      </w:r>
      <w:r w:rsidRPr="002A56BB">
        <w:rPr>
          <w:rFonts w:hint="cs"/>
          <w:rtl/>
        </w:rPr>
        <w:t xml:space="preserve"> בשחט עובר במעי אמו</w:t>
      </w:r>
      <w:bookmarkEnd w:id="20808"/>
      <w:bookmarkEnd w:id="20809"/>
      <w:bookmarkEnd w:id="20810"/>
      <w:bookmarkEnd w:id="20811"/>
      <w:bookmarkEnd w:id="20812"/>
      <w:bookmarkEnd w:id="20813"/>
      <w:bookmarkEnd w:id="20814"/>
      <w:bookmarkEnd w:id="20815"/>
      <w:bookmarkEnd w:id="20816"/>
      <w:bookmarkEnd w:id="20817"/>
      <w:bookmarkEnd w:id="20818"/>
      <w:bookmarkEnd w:id="20819"/>
      <w:r w:rsidRPr="002A56BB">
        <w:rPr>
          <w:rFonts w:hint="cs"/>
          <w:rtl/>
        </w:rPr>
        <w:t xml:space="preserve"> </w:t>
      </w:r>
    </w:p>
    <w:p w14:paraId="08D95204" w14:textId="77777777" w:rsidR="003D504D" w:rsidRPr="002A56BB" w:rsidRDefault="000A0C31" w:rsidP="003D504D">
      <w:pPr>
        <w:pStyle w:val="2"/>
        <w:keepNext w:val="0"/>
        <w:keepLines w:val="0"/>
        <w:rPr>
          <w:rtl/>
        </w:rPr>
        <w:sectPr w:rsidR="003D504D" w:rsidRPr="002A56BB" w:rsidSect="003D504D">
          <w:headerReference w:type="default" r:id="rId122"/>
          <w:headerReference w:type="first" r:id="rId123"/>
          <w:footerReference w:type="first" r:id="rId124"/>
          <w:pgSz w:w="11906" w:h="16838"/>
          <w:pgMar w:top="720" w:right="720" w:bottom="720" w:left="720" w:header="283" w:footer="283" w:gutter="0"/>
          <w:cols w:space="113"/>
          <w:bidi/>
          <w:rtlGutter/>
          <w:docGrid w:linePitch="299"/>
        </w:sectPr>
      </w:pPr>
      <w:r>
        <w:rPr>
          <w:rtl/>
        </w:rPr>
        <w:t>מפתח הסוגיא</w:t>
      </w:r>
    </w:p>
    <w:p w14:paraId="142C1C2D" w14:textId="77777777" w:rsidR="007F0C65" w:rsidRDefault="007F0C65" w:rsidP="007F0C65">
      <w:pPr>
        <w:pStyle w:val="2"/>
        <w:rPr>
          <w:noProof/>
        </w:rPr>
      </w:pPr>
      <w:r>
        <w:rPr>
          <w:noProof/>
          <w:rtl/>
        </w:rPr>
        <w:t>מראי מקומות וביאורים על הסוגיא</w:t>
      </w:r>
      <w:r>
        <w:rPr>
          <w:rtl/>
        </w:rPr>
        <w:t xml:space="preserve"> </w:t>
      </w: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p>
    <w:p w14:paraId="7B41B114" w14:textId="77777777" w:rsidR="007F0C65" w:rsidRDefault="007F0C65" w:rsidP="007F0C65">
      <w:pPr>
        <w:pStyle w:val="2"/>
        <w:rPr>
          <w:rFonts w:eastAsiaTheme="minorEastAsia" w:cstheme="minorBidi"/>
          <w:i/>
          <w:iCs/>
          <w:noProof/>
          <w:sz w:val="22"/>
          <w:szCs w:val="22"/>
          <w:rtl/>
        </w:rPr>
      </w:pPr>
      <w:r>
        <w:rPr>
          <w:noProof/>
          <w:rtl/>
        </w:rPr>
        <w:t>בשחט עובר במעי אמו</w:t>
      </w:r>
    </w:p>
    <w:p w14:paraId="22333817" w14:textId="77777777" w:rsidR="007F0C65" w:rsidRDefault="007F0C65" w:rsidP="007F0C65">
      <w:pPr>
        <w:pStyle w:val="aff4"/>
        <w:rPr>
          <w:rFonts w:eastAsiaTheme="minorEastAsia" w:cstheme="minorBidi"/>
          <w:i/>
          <w:iCs/>
          <w:sz w:val="22"/>
          <w:szCs w:val="22"/>
          <w:rtl/>
        </w:rPr>
      </w:pPr>
      <w:r>
        <w:rPr>
          <w:rtl/>
        </w:rPr>
        <w:t>דברי רש"י בביאור ספיקא דרב הושעיא לר"מ ולרבנן</w:t>
      </w:r>
    </w:p>
    <w:p w14:paraId="21FB8C85" w14:textId="77777777" w:rsidR="007F0C65" w:rsidRDefault="007F0C65" w:rsidP="007F0C65">
      <w:pPr>
        <w:pStyle w:val="a"/>
        <w:numPr>
          <w:ilvl w:val="0"/>
          <w:numId w:val="3"/>
        </w:numPr>
        <w:rPr>
          <w:rFonts w:eastAsiaTheme="minorEastAsia" w:cstheme="minorBidi"/>
          <w:sz w:val="22"/>
          <w:szCs w:val="22"/>
          <w:rtl/>
        </w:rPr>
      </w:pPr>
      <w:r>
        <w:rPr>
          <w:rtl/>
        </w:rPr>
        <w:t>דברי רש"י דבבן ח' פשיטא דלא מהני שחיטה במעי אמו דאף אחר שנולד לא מהני ליה שחיטה</w:t>
      </w:r>
    </w:p>
    <w:p w14:paraId="4A4A8CB4" w14:textId="77777777" w:rsidR="007F0C65" w:rsidRDefault="007F0C65" w:rsidP="007F0C65">
      <w:pPr>
        <w:pStyle w:val="a"/>
        <w:numPr>
          <w:ilvl w:val="0"/>
          <w:numId w:val="3"/>
        </w:numPr>
        <w:rPr>
          <w:rFonts w:eastAsiaTheme="minorEastAsia" w:cstheme="minorBidi"/>
          <w:sz w:val="22"/>
          <w:szCs w:val="22"/>
          <w:rtl/>
        </w:rPr>
      </w:pPr>
      <w:r>
        <w:rPr>
          <w:rtl/>
        </w:rPr>
        <w:t>ביאור רש"י דהצד דלא מהני שחיטה לר"מ וכ"ש לרבנן דאף לאחר שחיטת אמו אין לו שחיטה</w:t>
      </w:r>
    </w:p>
    <w:p w14:paraId="2904ACAF" w14:textId="77777777" w:rsidR="007F0C65" w:rsidRDefault="007F0C65" w:rsidP="007F0C65">
      <w:pPr>
        <w:pStyle w:val="a"/>
        <w:numPr>
          <w:ilvl w:val="0"/>
          <w:numId w:val="3"/>
        </w:numPr>
        <w:rPr>
          <w:rFonts w:eastAsiaTheme="minorEastAsia" w:cstheme="minorBidi"/>
          <w:sz w:val="22"/>
          <w:szCs w:val="22"/>
          <w:rtl/>
        </w:rPr>
      </w:pPr>
      <w:r>
        <w:rPr>
          <w:rtl/>
        </w:rPr>
        <w:t>ביאור רש"י דהצד דמהני שחיטה לרבנן  מדין ד' סימנים וכ"ש לר"מ דהוא חייב שחיטה</w:t>
      </w:r>
    </w:p>
    <w:p w14:paraId="33618081" w14:textId="77777777" w:rsidR="007F0C65" w:rsidRDefault="007F0C65" w:rsidP="007F0C65">
      <w:pPr>
        <w:pStyle w:val="aff4"/>
        <w:rPr>
          <w:rFonts w:eastAsiaTheme="minorEastAsia" w:cstheme="minorBidi"/>
          <w:i/>
          <w:iCs/>
          <w:sz w:val="22"/>
          <w:szCs w:val="22"/>
          <w:rtl/>
        </w:rPr>
      </w:pPr>
      <w:r>
        <w:rPr>
          <w:rtl/>
        </w:rPr>
        <w:t>דברי התוס' דספיקא דרב הושעיא אינו תלוי בדין ד' סימנים</w:t>
      </w:r>
    </w:p>
    <w:p w14:paraId="3E8BA0EA" w14:textId="77777777" w:rsidR="007F0C65" w:rsidRDefault="007F0C65" w:rsidP="007F0C65">
      <w:pPr>
        <w:pStyle w:val="a"/>
        <w:numPr>
          <w:ilvl w:val="0"/>
          <w:numId w:val="3"/>
        </w:numPr>
        <w:rPr>
          <w:rFonts w:eastAsiaTheme="minorEastAsia" w:cstheme="minorBidi"/>
          <w:sz w:val="22"/>
          <w:szCs w:val="22"/>
          <w:rtl/>
        </w:rPr>
      </w:pPr>
      <w:r>
        <w:rPr>
          <w:rtl/>
        </w:rPr>
        <w:t>דברי התוס' דהמחלוקת בשחיטת ולד טריפה אי סימניו כחצי שחוטים בנשחטה האם ולא בנקרעה</w:t>
      </w:r>
    </w:p>
    <w:p w14:paraId="0DA918DD" w14:textId="77777777" w:rsidR="007F0C65" w:rsidRDefault="007F0C65" w:rsidP="007F0C65">
      <w:pPr>
        <w:pStyle w:val="a"/>
        <w:numPr>
          <w:ilvl w:val="0"/>
          <w:numId w:val="3"/>
        </w:numPr>
        <w:rPr>
          <w:rFonts w:eastAsiaTheme="minorEastAsia" w:cstheme="minorBidi"/>
          <w:sz w:val="22"/>
          <w:szCs w:val="22"/>
          <w:rtl/>
        </w:rPr>
      </w:pPr>
      <w:r>
        <w:rPr>
          <w:rtl/>
        </w:rPr>
        <w:t>דברי התוס' לקמן דהספק אף לרבנן דפסלי בשחיטת ולד טריפה כיון דהכא סימני האם לא נשחטו</w:t>
      </w:r>
    </w:p>
    <w:p w14:paraId="2B2B8052" w14:textId="77777777" w:rsidR="007F0C65" w:rsidRDefault="007F0C65" w:rsidP="007F0C65">
      <w:pPr>
        <w:pStyle w:val="a"/>
        <w:numPr>
          <w:ilvl w:val="0"/>
          <w:numId w:val="3"/>
        </w:numPr>
        <w:rPr>
          <w:rFonts w:eastAsiaTheme="minorEastAsia" w:cstheme="minorBidi"/>
          <w:sz w:val="22"/>
          <w:szCs w:val="22"/>
          <w:rtl/>
        </w:rPr>
      </w:pPr>
      <w:r>
        <w:rPr>
          <w:rtl/>
        </w:rPr>
        <w:t>דברי התוס' לקמן והרשב"א דהספק אף למ"ד דד' סימנים דיתכן דרק בנולד יש לו ד' סימנים</w:t>
      </w:r>
    </w:p>
    <w:p w14:paraId="3EE69FCF" w14:textId="77777777" w:rsidR="007F0C65" w:rsidRDefault="007F0C65" w:rsidP="007F0C65">
      <w:pPr>
        <w:pStyle w:val="aff4"/>
        <w:rPr>
          <w:rFonts w:eastAsiaTheme="minorEastAsia" w:cstheme="minorBidi"/>
          <w:i/>
          <w:iCs/>
          <w:sz w:val="22"/>
          <w:szCs w:val="22"/>
          <w:rtl/>
        </w:rPr>
      </w:pPr>
      <w:r>
        <w:rPr>
          <w:rtl/>
        </w:rPr>
        <w:t>ביאור הר"ן בשם תוס' דהספק הוא בגדר ד' סימנים</w:t>
      </w:r>
    </w:p>
    <w:p w14:paraId="308D8FC2" w14:textId="77777777" w:rsidR="007F0C65" w:rsidRDefault="007F0C65" w:rsidP="007F0C65">
      <w:pPr>
        <w:pStyle w:val="a"/>
        <w:numPr>
          <w:ilvl w:val="0"/>
          <w:numId w:val="3"/>
        </w:numPr>
        <w:rPr>
          <w:rFonts w:eastAsiaTheme="minorEastAsia" w:cstheme="minorBidi"/>
          <w:sz w:val="22"/>
          <w:szCs w:val="22"/>
          <w:rtl/>
        </w:rPr>
      </w:pPr>
      <w:r>
        <w:rPr>
          <w:rtl/>
        </w:rPr>
        <w:t>דברי הר"ן בשם תוס' דהספק הוא אי ד' סמנים מהני רק כשלא נשחטה האם כלל</w:t>
      </w:r>
    </w:p>
    <w:p w14:paraId="41D0CADC" w14:textId="77777777" w:rsidR="007F0C65" w:rsidRDefault="007F0C65" w:rsidP="007F0C65">
      <w:pPr>
        <w:pStyle w:val="a"/>
        <w:numPr>
          <w:ilvl w:val="0"/>
          <w:numId w:val="3"/>
        </w:numPr>
        <w:rPr>
          <w:rFonts w:eastAsiaTheme="minorEastAsia" w:cstheme="minorBidi"/>
          <w:sz w:val="22"/>
          <w:szCs w:val="22"/>
          <w:rtl/>
        </w:rPr>
      </w:pPr>
      <w:r>
        <w:rPr>
          <w:rtl/>
        </w:rPr>
        <w:t>קושית הגרעק"א על הר"ן בשם תוס' דבטריפה שאין לו את סימני אמו תועיל שחיטתו במעי אמו</w:t>
      </w:r>
    </w:p>
    <w:p w14:paraId="02033B68" w14:textId="77777777" w:rsidR="007F0C65" w:rsidRDefault="007F0C65" w:rsidP="007F0C65">
      <w:pPr>
        <w:pStyle w:val="aff4"/>
        <w:rPr>
          <w:rFonts w:eastAsiaTheme="minorEastAsia" w:cstheme="minorBidi"/>
          <w:i/>
          <w:iCs/>
          <w:sz w:val="22"/>
          <w:szCs w:val="22"/>
          <w:rtl/>
        </w:rPr>
      </w:pPr>
      <w:r>
        <w:rPr>
          <w:rtl/>
        </w:rPr>
        <w:t>דברי המאירי דלפני שנולד הוא במקום שא"צ שחיטה</w:t>
      </w:r>
    </w:p>
    <w:p w14:paraId="510AC452" w14:textId="77777777" w:rsidR="007F0C65" w:rsidRDefault="007F0C65" w:rsidP="007F0C65">
      <w:pPr>
        <w:pStyle w:val="a"/>
        <w:numPr>
          <w:ilvl w:val="0"/>
          <w:numId w:val="3"/>
        </w:numPr>
        <w:rPr>
          <w:rFonts w:eastAsiaTheme="minorEastAsia" w:cstheme="minorBidi"/>
          <w:sz w:val="22"/>
          <w:szCs w:val="22"/>
          <w:rtl/>
        </w:rPr>
      </w:pPr>
      <w:r>
        <w:rPr>
          <w:rtl/>
        </w:rPr>
        <w:t>ביאור המאירי דאף דכשיולד יהיה בו שחיטה עכשיו הוא במקום שא"צ שחיטה ומהני שחיטת אמו</w:t>
      </w:r>
    </w:p>
    <w:p w14:paraId="251A58D5" w14:textId="77777777" w:rsidR="007F0C65" w:rsidRDefault="007F0C65" w:rsidP="007F0C65">
      <w:pPr>
        <w:pStyle w:val="aff4"/>
        <w:rPr>
          <w:rFonts w:eastAsiaTheme="minorEastAsia" w:cstheme="minorBidi"/>
          <w:i/>
          <w:iCs/>
          <w:sz w:val="22"/>
          <w:szCs w:val="22"/>
          <w:rtl/>
        </w:rPr>
      </w:pPr>
      <w:r>
        <w:rPr>
          <w:rtl/>
        </w:rPr>
        <w:t>ביאור הר"ן בדעת הרי"ף דלמ"ד ד' סימנים מהני השחיטה</w:t>
      </w:r>
    </w:p>
    <w:p w14:paraId="7ECEA217" w14:textId="77777777" w:rsidR="007F0C65" w:rsidRDefault="007F0C65" w:rsidP="007F0C65">
      <w:pPr>
        <w:pStyle w:val="a"/>
        <w:numPr>
          <w:ilvl w:val="0"/>
          <w:numId w:val="3"/>
        </w:numPr>
        <w:rPr>
          <w:rFonts w:eastAsiaTheme="minorEastAsia" w:cstheme="minorBidi"/>
          <w:sz w:val="22"/>
          <w:szCs w:val="22"/>
          <w:rtl/>
        </w:rPr>
      </w:pPr>
      <w:r>
        <w:rPr>
          <w:rtl/>
        </w:rPr>
        <w:t>דברי הר"ן דלהרי"ף קיי"ל כמ"ד דד' סימנים ופשיטא דמהני שחיטה במעי אמו</w:t>
      </w:r>
    </w:p>
    <w:p w14:paraId="582D4DD5" w14:textId="77777777" w:rsidR="007F0C65" w:rsidRDefault="007F0C65" w:rsidP="007F0C65">
      <w:pPr>
        <w:pStyle w:val="a"/>
        <w:numPr>
          <w:ilvl w:val="0"/>
          <w:numId w:val="3"/>
        </w:numPr>
        <w:rPr>
          <w:rFonts w:eastAsiaTheme="minorEastAsia" w:cstheme="minorBidi"/>
          <w:sz w:val="22"/>
          <w:szCs w:val="22"/>
          <w:rtl/>
        </w:rPr>
      </w:pPr>
      <w:r>
        <w:rPr>
          <w:rtl/>
        </w:rPr>
        <w:t>קושית הגרעק"א דלר"מ פשיטא דמהני שחיטת עצמו בבן ט' ואפ"ה הספק הוא אף לדעת ר"מ</w:t>
      </w:r>
    </w:p>
    <w:p w14:paraId="5D0FB96C" w14:textId="77777777" w:rsidR="007F0C65" w:rsidRDefault="007F0C65" w:rsidP="007F0C65">
      <w:pPr>
        <w:pStyle w:val="a"/>
        <w:numPr>
          <w:ilvl w:val="0"/>
          <w:numId w:val="3"/>
        </w:numPr>
        <w:rPr>
          <w:rFonts w:eastAsiaTheme="minorEastAsia" w:cstheme="minorBidi"/>
          <w:sz w:val="22"/>
          <w:szCs w:val="22"/>
          <w:rtl/>
        </w:rPr>
      </w:pPr>
      <w:r>
        <w:rPr>
          <w:rtl/>
        </w:rPr>
        <w:t>דברי ה</w:t>
      </w:r>
      <w:r w:rsidR="00345400">
        <w:rPr>
          <w:rtl/>
        </w:rPr>
        <w:t>פלתי</w:t>
      </w:r>
      <w:r>
        <w:rPr>
          <w:rtl/>
        </w:rPr>
        <w:t xml:space="preserve"> והשבות יעקב דלהרי"ף והרמב"ם והרא"ש למ"ד ד' סימנים מהני שחיטה במעיה</w:t>
      </w:r>
    </w:p>
    <w:p w14:paraId="3F49444B" w14:textId="77777777" w:rsidR="007F0C65" w:rsidRDefault="007F0C65" w:rsidP="007F0C65">
      <w:pPr>
        <w:pStyle w:val="aff4"/>
        <w:rPr>
          <w:rFonts w:eastAsiaTheme="minorEastAsia" w:cstheme="minorBidi"/>
          <w:i/>
          <w:iCs/>
          <w:sz w:val="22"/>
          <w:szCs w:val="22"/>
          <w:rtl/>
        </w:rPr>
      </w:pPr>
      <w:r>
        <w:rPr>
          <w:rtl/>
        </w:rPr>
        <w:t>ביאור התורת יקותיאל דנחלקו התוס' והר"ן בגדר ד' סימנים</w:t>
      </w:r>
    </w:p>
    <w:p w14:paraId="78CDC5D6" w14:textId="77777777" w:rsidR="007F0C65" w:rsidRDefault="007F0C65" w:rsidP="007F0C65">
      <w:pPr>
        <w:pStyle w:val="a"/>
        <w:numPr>
          <w:ilvl w:val="0"/>
          <w:numId w:val="3"/>
        </w:numPr>
        <w:rPr>
          <w:rFonts w:eastAsiaTheme="minorEastAsia" w:cstheme="minorBidi"/>
          <w:sz w:val="22"/>
          <w:szCs w:val="22"/>
          <w:rtl/>
        </w:rPr>
      </w:pPr>
      <w:r>
        <w:rPr>
          <w:rtl/>
        </w:rPr>
        <w:t>דברי התורת יקותיאל דלהר"ן בשם תוס' רק כשהאם כשרה לא מהני השחיטה במעיה ובטריפה מהני</w:t>
      </w:r>
    </w:p>
    <w:p w14:paraId="092BA5B8" w14:textId="77777777" w:rsidR="007F0C65" w:rsidRDefault="007F0C65" w:rsidP="007F0C65">
      <w:pPr>
        <w:pStyle w:val="a"/>
        <w:numPr>
          <w:ilvl w:val="0"/>
          <w:numId w:val="3"/>
        </w:numPr>
        <w:rPr>
          <w:rFonts w:eastAsiaTheme="minorEastAsia" w:cstheme="minorBidi"/>
          <w:sz w:val="22"/>
          <w:szCs w:val="22"/>
          <w:rtl/>
        </w:rPr>
      </w:pPr>
      <w:r>
        <w:rPr>
          <w:rtl/>
        </w:rPr>
        <w:t>ביאור התורת יקותיאל בתוס' דלהצד דלא מהני היינו דאי"ז שחיטה וא"כ בכל גווני השחיטה פסולה</w:t>
      </w:r>
    </w:p>
    <w:p w14:paraId="6A814ACC" w14:textId="77777777" w:rsidR="007F0C65" w:rsidRDefault="007F0C65" w:rsidP="007F0C65">
      <w:pPr>
        <w:pStyle w:val="a"/>
        <w:numPr>
          <w:ilvl w:val="0"/>
          <w:numId w:val="3"/>
        </w:numPr>
        <w:rPr>
          <w:rFonts w:eastAsiaTheme="minorEastAsia" w:cstheme="minorBidi"/>
          <w:sz w:val="22"/>
          <w:szCs w:val="22"/>
          <w:rtl/>
        </w:rPr>
      </w:pPr>
      <w:r>
        <w:rPr>
          <w:rtl/>
        </w:rPr>
        <w:t>קושית התורת יקותיאל על הרמ"א דפסק דלא מהני השחיטה במעיה ולא חילק בין כשרה לטריפה</w:t>
      </w:r>
    </w:p>
    <w:p w14:paraId="7D1F74D5" w14:textId="77777777" w:rsidR="007F0C65" w:rsidRDefault="007F0C65" w:rsidP="007F0C65">
      <w:pPr>
        <w:pStyle w:val="aff4"/>
        <w:rPr>
          <w:rFonts w:eastAsiaTheme="minorEastAsia" w:cstheme="minorBidi"/>
          <w:i/>
          <w:iCs/>
          <w:sz w:val="22"/>
          <w:szCs w:val="22"/>
          <w:rtl/>
        </w:rPr>
      </w:pPr>
      <w:r>
        <w:rPr>
          <w:rtl/>
        </w:rPr>
        <w:t>ביאור האחרונים בתוס' בביצה דקיי"ל דמהני שחיטה במעיה</w:t>
      </w:r>
    </w:p>
    <w:p w14:paraId="3AD211D4" w14:textId="77777777" w:rsidR="007F0C65" w:rsidRDefault="007F0C65" w:rsidP="007F0C65">
      <w:pPr>
        <w:pStyle w:val="a"/>
        <w:numPr>
          <w:ilvl w:val="0"/>
          <w:numId w:val="3"/>
        </w:numPr>
        <w:rPr>
          <w:rFonts w:eastAsiaTheme="minorEastAsia" w:cstheme="minorBidi"/>
          <w:sz w:val="22"/>
          <w:szCs w:val="22"/>
          <w:rtl/>
        </w:rPr>
      </w:pPr>
      <w:r>
        <w:rPr>
          <w:rtl/>
        </w:rPr>
        <w:t>קושית התוס' בביצה דולד טריפה מוכן לשחיטה ביו"ט דאפשר לשוחטו במעיה</w:t>
      </w:r>
    </w:p>
    <w:p w14:paraId="2802D4FF" w14:textId="77777777" w:rsidR="007F0C65" w:rsidRDefault="007F0C65" w:rsidP="007F0C65">
      <w:pPr>
        <w:pStyle w:val="a"/>
        <w:numPr>
          <w:ilvl w:val="0"/>
          <w:numId w:val="3"/>
        </w:numPr>
        <w:rPr>
          <w:rFonts w:eastAsiaTheme="minorEastAsia" w:cstheme="minorBidi"/>
          <w:sz w:val="22"/>
          <w:szCs w:val="22"/>
          <w:rtl/>
        </w:rPr>
      </w:pPr>
      <w:r w:rsidRPr="00C5537F">
        <w:rPr>
          <w:rtl/>
        </w:rPr>
        <w:t>התירוץ הב' בתוס' בביצה דרק לכתחילה אסור לשחוט את העובר במעי אמו</w:t>
      </w:r>
    </w:p>
    <w:p w14:paraId="0FB21275" w14:textId="77777777" w:rsidR="007F0C65" w:rsidRDefault="007F0C65" w:rsidP="007F0C65">
      <w:pPr>
        <w:pStyle w:val="a"/>
        <w:numPr>
          <w:ilvl w:val="0"/>
          <w:numId w:val="3"/>
        </w:numPr>
        <w:rPr>
          <w:rFonts w:eastAsiaTheme="minorEastAsia" w:cstheme="minorBidi"/>
          <w:sz w:val="22"/>
          <w:szCs w:val="22"/>
          <w:rtl/>
        </w:rPr>
      </w:pPr>
      <w:r>
        <w:rPr>
          <w:rtl/>
        </w:rPr>
        <w:t>דברי השבות יעקב דמסקנת התוס' בביצה דלמ"ד ד' סימנים בדיעבד מהני שחיטה במעיה</w:t>
      </w:r>
    </w:p>
    <w:p w14:paraId="3D7AC17C" w14:textId="77777777" w:rsidR="007F0C65" w:rsidRDefault="007F0C65" w:rsidP="007F0C65">
      <w:pPr>
        <w:pStyle w:val="a"/>
        <w:numPr>
          <w:ilvl w:val="0"/>
          <w:numId w:val="3"/>
        </w:numPr>
        <w:rPr>
          <w:rFonts w:eastAsiaTheme="minorEastAsia" w:cstheme="minorBidi"/>
          <w:sz w:val="22"/>
          <w:szCs w:val="22"/>
          <w:rtl/>
        </w:rPr>
      </w:pPr>
      <w:r>
        <w:rPr>
          <w:rtl/>
        </w:rPr>
        <w:t>דברי ה</w:t>
      </w:r>
      <w:r w:rsidR="00345400">
        <w:rPr>
          <w:rtl/>
        </w:rPr>
        <w:t>פלתי</w:t>
      </w:r>
      <w:r>
        <w:rPr>
          <w:rtl/>
        </w:rPr>
        <w:t xml:space="preserve"> דמבואר מדברי התוס' בביצה דספיקא דרב הושעיא נפשט ומהני השחיטה במעיה</w:t>
      </w:r>
    </w:p>
    <w:p w14:paraId="295D879E" w14:textId="77777777" w:rsidR="007F0C65" w:rsidRDefault="007F0C65" w:rsidP="007F0C65">
      <w:pPr>
        <w:pStyle w:val="aff4"/>
      </w:pPr>
      <w:r>
        <w:rPr>
          <w:rFonts w:hint="cs"/>
          <w:rtl/>
        </w:rPr>
        <w:t>התי' הג' ברא"ה בביצה דבאמו טריפה לא מהני שחיטה במעיה</w:t>
      </w:r>
    </w:p>
    <w:p w14:paraId="04287C83" w14:textId="77777777" w:rsidR="007F0C65" w:rsidRDefault="007F0C65" w:rsidP="007F0C65">
      <w:pPr>
        <w:pStyle w:val="a"/>
        <w:numPr>
          <w:ilvl w:val="0"/>
          <w:numId w:val="3"/>
        </w:numPr>
        <w:rPr>
          <w:rFonts w:eastAsiaTheme="minorEastAsia" w:cstheme="minorBidi"/>
          <w:sz w:val="22"/>
          <w:szCs w:val="22"/>
          <w:rtl/>
        </w:rPr>
      </w:pPr>
      <w:r>
        <w:rPr>
          <w:rFonts w:hint="cs"/>
          <w:rtl/>
        </w:rPr>
        <w:t>התי' הג' ברא"ה בביצה דדוקא בכשירה מהני שחיטה במעיה אבל באם טריפה לא מהני השחיטה</w:t>
      </w:r>
    </w:p>
    <w:p w14:paraId="203D6557" w14:textId="77777777" w:rsidR="007F0C65" w:rsidRDefault="007F0C65" w:rsidP="007F0C65">
      <w:pPr>
        <w:pStyle w:val="aff4"/>
        <w:rPr>
          <w:rFonts w:eastAsiaTheme="minorEastAsia" w:cstheme="minorBidi"/>
          <w:i/>
          <w:iCs/>
          <w:sz w:val="22"/>
          <w:szCs w:val="22"/>
          <w:rtl/>
        </w:rPr>
      </w:pPr>
      <w:r>
        <w:rPr>
          <w:rtl/>
        </w:rPr>
        <w:t>דברי הלבוש דשחיטה במעי האם פסולה מדין חלדה</w:t>
      </w:r>
    </w:p>
    <w:p w14:paraId="6E657379" w14:textId="77777777" w:rsidR="007F0C65" w:rsidRDefault="007F0C65" w:rsidP="007F0C65">
      <w:pPr>
        <w:pStyle w:val="a"/>
        <w:numPr>
          <w:ilvl w:val="0"/>
          <w:numId w:val="3"/>
        </w:numPr>
        <w:rPr>
          <w:rFonts w:eastAsiaTheme="minorEastAsia" w:cstheme="minorBidi"/>
          <w:sz w:val="22"/>
          <w:szCs w:val="22"/>
          <w:rtl/>
        </w:rPr>
      </w:pPr>
      <w:r>
        <w:rPr>
          <w:rtl/>
        </w:rPr>
        <w:t>דברי הרמ"א דקיי"ל דשחיטת הולד במעי אמו פסולה וביאור הלבוש דהוי כחלדה</w:t>
      </w:r>
    </w:p>
    <w:p w14:paraId="450BE3FD" w14:textId="77777777" w:rsidR="007F0C65" w:rsidRDefault="007F0C65" w:rsidP="007F0C65">
      <w:pPr>
        <w:pStyle w:val="a"/>
        <w:numPr>
          <w:ilvl w:val="0"/>
          <w:numId w:val="3"/>
        </w:numPr>
        <w:rPr>
          <w:rFonts w:eastAsiaTheme="minorEastAsia" w:cstheme="minorBidi"/>
          <w:sz w:val="22"/>
          <w:szCs w:val="22"/>
          <w:rtl/>
        </w:rPr>
      </w:pPr>
      <w:r>
        <w:rPr>
          <w:rtl/>
        </w:rPr>
        <w:t>קושית הש"ך והט"ז דבסוגיין מבואר דהפסול כיון שלא יצא לאויר העולם ולא מחמת חלדה</w:t>
      </w:r>
    </w:p>
    <w:p w14:paraId="743644A3" w14:textId="77777777" w:rsidR="007F0C65" w:rsidRDefault="007F0C65" w:rsidP="007F0C65">
      <w:pPr>
        <w:pStyle w:val="a"/>
        <w:numPr>
          <w:ilvl w:val="0"/>
          <w:numId w:val="3"/>
        </w:numPr>
        <w:rPr>
          <w:rFonts w:eastAsiaTheme="minorEastAsia" w:cstheme="minorBidi"/>
          <w:sz w:val="22"/>
          <w:szCs w:val="22"/>
          <w:rtl/>
        </w:rPr>
      </w:pPr>
      <w:r>
        <w:rPr>
          <w:rtl/>
        </w:rPr>
        <w:t>דברי הט"ז והש"ך בנקודות הכסף והפרמ"ג דהכא לא שייך פסול חלדה</w:t>
      </w:r>
    </w:p>
    <w:p w14:paraId="60F41859" w14:textId="77777777" w:rsidR="007F0C65" w:rsidRDefault="007F0C65" w:rsidP="007F0C65">
      <w:pPr>
        <w:pStyle w:val="aff4"/>
        <w:rPr>
          <w:rFonts w:eastAsiaTheme="minorEastAsia" w:cstheme="minorBidi"/>
          <w:i/>
          <w:iCs/>
          <w:sz w:val="22"/>
          <w:szCs w:val="22"/>
          <w:rtl/>
        </w:rPr>
      </w:pPr>
      <w:r>
        <w:rPr>
          <w:rtl/>
        </w:rPr>
        <w:t>דברי הש"ך והגרעק"א באופנים דמהני שחיטה במעיה</w:t>
      </w:r>
    </w:p>
    <w:p w14:paraId="0F570758" w14:textId="77777777" w:rsidR="007F0C65" w:rsidRDefault="007F0C65" w:rsidP="007F0C65">
      <w:pPr>
        <w:pStyle w:val="a"/>
        <w:numPr>
          <w:ilvl w:val="0"/>
          <w:numId w:val="3"/>
        </w:numPr>
        <w:rPr>
          <w:rFonts w:eastAsiaTheme="minorEastAsia" w:cstheme="minorBidi"/>
          <w:sz w:val="22"/>
          <w:szCs w:val="22"/>
          <w:rtl/>
        </w:rPr>
      </w:pPr>
      <w:r>
        <w:rPr>
          <w:rtl/>
        </w:rPr>
        <w:t>דברי הש"ך דבשחטו במעי אמו ואח"כ שחט את האם ויצא אחר שנשחטה האם מותר בשחיטתה</w:t>
      </w:r>
    </w:p>
    <w:p w14:paraId="18C17BDC" w14:textId="77777777" w:rsidR="007F0C65" w:rsidRDefault="007F0C65" w:rsidP="007F0C65">
      <w:pPr>
        <w:pStyle w:val="a"/>
        <w:numPr>
          <w:ilvl w:val="0"/>
          <w:numId w:val="3"/>
        </w:numPr>
        <w:rPr>
          <w:rFonts w:eastAsiaTheme="minorEastAsia" w:cstheme="minorBidi"/>
          <w:sz w:val="22"/>
          <w:szCs w:val="22"/>
          <w:rtl/>
        </w:rPr>
      </w:pPr>
      <w:r>
        <w:rPr>
          <w:rtl/>
        </w:rPr>
        <w:t>ספק הגרעק"א במתה האם ונשחט הולד במעיה אי חשיב בבהמה בפנ"ע ומותר בשחיטת עצמו</w:t>
      </w:r>
    </w:p>
    <w:p w14:paraId="51B965F0" w14:textId="77777777" w:rsidR="007F0C65" w:rsidRDefault="007F0C65" w:rsidP="007F0C65">
      <w:pPr>
        <w:pStyle w:val="aff4"/>
        <w:rPr>
          <w:rFonts w:eastAsiaTheme="minorEastAsia" w:cstheme="minorBidi"/>
          <w:i/>
          <w:iCs/>
          <w:sz w:val="22"/>
          <w:szCs w:val="22"/>
          <w:rtl/>
        </w:rPr>
      </w:pPr>
      <w:r>
        <w:rPr>
          <w:rtl/>
        </w:rPr>
        <w:t>דברי התוס' דספיקא דרב הושעיא הוא בין לריו"ח ובין לר"ל</w:t>
      </w:r>
    </w:p>
    <w:p w14:paraId="508878CF" w14:textId="77777777" w:rsidR="007F0C65" w:rsidRDefault="007F0C65" w:rsidP="007F0C65">
      <w:pPr>
        <w:pStyle w:val="a"/>
        <w:numPr>
          <w:ilvl w:val="0"/>
          <w:numId w:val="3"/>
        </w:numPr>
        <w:rPr>
          <w:rFonts w:eastAsiaTheme="minorEastAsia" w:cstheme="minorBidi"/>
          <w:sz w:val="22"/>
          <w:szCs w:val="22"/>
          <w:rtl/>
        </w:rPr>
      </w:pPr>
      <w:r>
        <w:rPr>
          <w:rtl/>
        </w:rPr>
        <w:t>דברי התוס' לקמן דהספק אף לריו"ח דחדשים ואוירא גרמי דאפש"ל דהיינו דוקא לאיסור חלב</w:t>
      </w:r>
    </w:p>
    <w:p w14:paraId="1E8F8820" w14:textId="77777777" w:rsidR="007F0C65" w:rsidRDefault="007F0C65" w:rsidP="007F0C65">
      <w:pPr>
        <w:pStyle w:val="a"/>
        <w:numPr>
          <w:ilvl w:val="0"/>
          <w:numId w:val="3"/>
        </w:numPr>
        <w:rPr>
          <w:rFonts w:eastAsiaTheme="minorEastAsia" w:cstheme="minorBidi"/>
          <w:sz w:val="22"/>
          <w:szCs w:val="22"/>
          <w:rtl/>
        </w:rPr>
      </w:pPr>
      <w:r>
        <w:rPr>
          <w:rtl/>
        </w:rPr>
        <w:t>דברי התוס' לקמן דהספק אף לר"ל דחדשים גרמי אי מהני שחיטת עצמו כמו דמהני שחיטת האם</w:t>
      </w:r>
    </w:p>
    <w:p w14:paraId="0365EED3" w14:textId="77777777" w:rsidR="007F0C65" w:rsidRDefault="007F0C65" w:rsidP="007F0C65">
      <w:pPr>
        <w:pStyle w:val="aff4"/>
        <w:rPr>
          <w:rFonts w:eastAsiaTheme="minorEastAsia" w:cstheme="minorBidi"/>
          <w:i/>
          <w:iCs/>
          <w:sz w:val="22"/>
          <w:szCs w:val="22"/>
          <w:rtl/>
        </w:rPr>
      </w:pPr>
      <w:r>
        <w:rPr>
          <w:rtl/>
        </w:rPr>
        <w:t>קושית הגר"י ענגיל דלר"ל אינו בהמה וודאי דל"מ שחיטה</w:t>
      </w:r>
    </w:p>
    <w:p w14:paraId="7887B4CB" w14:textId="77777777" w:rsidR="007F0C65" w:rsidRDefault="007F0C65" w:rsidP="007F0C65">
      <w:pPr>
        <w:pStyle w:val="a"/>
        <w:numPr>
          <w:ilvl w:val="0"/>
          <w:numId w:val="3"/>
        </w:numPr>
        <w:rPr>
          <w:rFonts w:eastAsiaTheme="minorEastAsia" w:cstheme="minorBidi"/>
          <w:sz w:val="22"/>
          <w:szCs w:val="22"/>
          <w:rtl/>
        </w:rPr>
      </w:pPr>
      <w:r>
        <w:rPr>
          <w:rtl/>
        </w:rPr>
        <w:t>קושית הגר"י ענגיל על תוס' דלר"ל דחדשים ואוירא גרמי ודאי דל"מ שחיטה במעיה דאינו בהמה</w:t>
      </w:r>
    </w:p>
    <w:p w14:paraId="092FCD08" w14:textId="77777777" w:rsidR="007F0C65" w:rsidRPr="007F0C65" w:rsidRDefault="007F0C65" w:rsidP="007F0C65">
      <w:pPr>
        <w:pStyle w:val="a"/>
        <w:numPr>
          <w:ilvl w:val="0"/>
          <w:numId w:val="3"/>
        </w:numPr>
        <w:rPr>
          <w:rFonts w:eastAsiaTheme="minorEastAsia" w:cstheme="minorBidi"/>
          <w:sz w:val="22"/>
          <w:szCs w:val="22"/>
        </w:rPr>
      </w:pPr>
      <w:r>
        <w:rPr>
          <w:rtl/>
        </w:rPr>
        <w:t xml:space="preserve">קושית הגר"י ענגיל להצד דיש בו היתר "בהמה בבהמה" ודאי שאין לו שחיטה מצד </w:t>
      </w:r>
      <w:r>
        <w:rPr>
          <w:rFonts w:hint="cs"/>
          <w:rtl/>
        </w:rPr>
        <w:t>עצמו</w:t>
      </w:r>
    </w:p>
    <w:p w14:paraId="09D953FF" w14:textId="77777777" w:rsidR="007F0C65" w:rsidRDefault="007F0C65" w:rsidP="007F0C65">
      <w:pPr>
        <w:pStyle w:val="a"/>
        <w:numPr>
          <w:ilvl w:val="0"/>
          <w:numId w:val="3"/>
        </w:numPr>
        <w:rPr>
          <w:rFonts w:eastAsiaTheme="minorEastAsia" w:cstheme="minorBidi"/>
          <w:sz w:val="22"/>
          <w:szCs w:val="22"/>
          <w:rtl/>
        </w:rPr>
      </w:pPr>
      <w:r w:rsidRPr="007F0C65">
        <w:rPr>
          <w:rtl/>
        </w:rPr>
        <w:t xml:space="preserve">קושית הגר"י ענגיל להצד דחשיב כשחוט בשחיטת אמו הוא דהוי כאבר אמו ול"מ שחיטת </w:t>
      </w:r>
      <w:r>
        <w:rPr>
          <w:rtl/>
        </w:rPr>
        <w:t>עצמו</w:t>
      </w:r>
    </w:p>
    <w:p w14:paraId="717817EE" w14:textId="77777777" w:rsidR="003D504D" w:rsidRPr="00B27417" w:rsidRDefault="007F0C65" w:rsidP="007F0C65">
      <w:pPr>
        <w:pStyle w:val="a"/>
        <w:numPr>
          <w:ilvl w:val="0"/>
          <w:numId w:val="0"/>
        </w:numPr>
        <w:rPr>
          <w:rtl/>
        </w:rPr>
        <w:sectPr w:rsidR="003D504D" w:rsidRPr="00B27417" w:rsidSect="003D504D">
          <w:headerReference w:type="default" r:id="rId125"/>
          <w:footerReference w:type="default" r:id="rId126"/>
          <w:headerReference w:type="first" r:id="rId127"/>
          <w:footerReference w:type="first" r:id="rId128"/>
          <w:type w:val="continuous"/>
          <w:pgSz w:w="11906" w:h="16838"/>
          <w:pgMar w:top="720" w:right="720" w:bottom="720" w:left="720" w:header="283" w:footer="283" w:gutter="0"/>
          <w:cols w:num="2" w:space="170"/>
          <w:titlePg/>
          <w:bidi/>
          <w:rtlGutter/>
          <w:docGrid w:linePitch="299"/>
        </w:sectPr>
      </w:pPr>
      <w:r>
        <w:rPr>
          <w:rtl/>
        </w:rPr>
        <w:fldChar w:fldCharType="end"/>
      </w:r>
    </w:p>
    <w:bookmarkEnd w:id="20797"/>
    <w:bookmarkEnd w:id="20798"/>
    <w:bookmarkEnd w:id="20799"/>
    <w:bookmarkEnd w:id="20800"/>
    <w:bookmarkEnd w:id="20801"/>
    <w:bookmarkEnd w:id="20802"/>
    <w:bookmarkEnd w:id="20803"/>
    <w:bookmarkEnd w:id="20804"/>
    <w:bookmarkEnd w:id="20805"/>
    <w:bookmarkEnd w:id="20806"/>
    <w:bookmarkEnd w:id="20807"/>
    <w:p w14:paraId="273AEB71" w14:textId="77777777" w:rsidR="003D504D" w:rsidRPr="002A56BB" w:rsidRDefault="003D504D" w:rsidP="003D504D">
      <w:pPr>
        <w:pStyle w:val="2"/>
        <w:keepNext w:val="0"/>
        <w:keepLines w:val="0"/>
        <w:rPr>
          <w:rtl/>
        </w:rPr>
        <w:sectPr w:rsidR="003D504D" w:rsidRPr="002A56BB" w:rsidSect="003D504D">
          <w:footerReference w:type="default" r:id="rId129"/>
          <w:type w:val="continuous"/>
          <w:pgSz w:w="11906" w:h="16838"/>
          <w:pgMar w:top="720" w:right="720" w:bottom="720" w:left="720" w:header="283" w:footer="283" w:gutter="0"/>
          <w:cols w:num="2" w:space="170"/>
          <w:titlePg/>
          <w:bidi/>
          <w:rtlGutter/>
          <w:docGrid w:linePitch="299"/>
        </w:sectPr>
      </w:pPr>
    </w:p>
    <w:p w14:paraId="1A6709C5" w14:textId="77777777" w:rsidR="003D504D" w:rsidRDefault="003D504D" w:rsidP="003D504D">
      <w:pPr>
        <w:pStyle w:val="afe"/>
        <w:rPr>
          <w:rtl/>
        </w:rPr>
      </w:pPr>
      <w:bookmarkStart w:id="20820" w:name="_Toc19436198"/>
      <w:bookmarkStart w:id="20821" w:name="_Toc20081365"/>
      <w:bookmarkStart w:id="20822" w:name="_Toc1318693"/>
      <w:bookmarkStart w:id="20823" w:name="_Toc1380108"/>
      <w:bookmarkStart w:id="20824" w:name="_Toc1419316"/>
      <w:bookmarkStart w:id="20825" w:name="_Toc1592196"/>
      <w:bookmarkStart w:id="20826" w:name="_Toc1668713"/>
      <w:bookmarkStart w:id="20827" w:name="_Toc1716578"/>
      <w:bookmarkStart w:id="20828" w:name="_Toc1725723"/>
      <w:bookmarkStart w:id="20829" w:name="_Toc1728101"/>
      <w:bookmarkStart w:id="20830" w:name="_Toc1938641"/>
      <w:bookmarkStart w:id="20831" w:name="_Toc1938734"/>
      <w:bookmarkStart w:id="20832" w:name="_Toc2078419"/>
      <w:r>
        <w:rPr>
          <w:rFonts w:hint="cs"/>
          <w:rtl/>
        </w:rPr>
        <w:t>מראי מקומות וביאורים על הסוגיא</w:t>
      </w:r>
      <w:bookmarkEnd w:id="20820"/>
      <w:bookmarkEnd w:id="20821"/>
    </w:p>
    <w:p w14:paraId="7DEE9B7C" w14:textId="77777777" w:rsidR="003D504D" w:rsidRPr="0065105E" w:rsidRDefault="003D504D" w:rsidP="003D504D">
      <w:pPr>
        <w:pStyle w:val="2"/>
        <w:keepNext w:val="0"/>
        <w:keepLines w:val="0"/>
        <w:bidi w:val="0"/>
        <w:rPr>
          <w:rFonts w:asciiTheme="minorHAnsi" w:hAnsiTheme="minorHAnsi"/>
          <w:bCs/>
          <w:sz w:val="18"/>
          <w:szCs w:val="28"/>
          <w:rtl/>
        </w:rPr>
        <w:sectPr w:rsidR="003D504D" w:rsidRPr="0065105E" w:rsidSect="003D504D">
          <w:headerReference w:type="default" r:id="rId130"/>
          <w:pgSz w:w="11906" w:h="16838"/>
          <w:pgMar w:top="720" w:right="720" w:bottom="720" w:left="720" w:header="283" w:footer="283" w:gutter="0"/>
          <w:cols w:space="720"/>
          <w:bidi/>
          <w:rtlGutter/>
          <w:docGrid w:linePitch="299"/>
        </w:sectPr>
      </w:pPr>
    </w:p>
    <w:p w14:paraId="45CFEAD8" w14:textId="77777777" w:rsidR="003D504D" w:rsidRDefault="003D504D" w:rsidP="003D504D">
      <w:pPr>
        <w:pStyle w:val="afe"/>
        <w:rPr>
          <w:rtl/>
        </w:rPr>
      </w:pPr>
      <w:bookmarkStart w:id="20833" w:name="_Toc1318694"/>
      <w:bookmarkStart w:id="20834" w:name="_Toc1380109"/>
      <w:bookmarkStart w:id="20835" w:name="_Toc1419317"/>
      <w:bookmarkStart w:id="20836" w:name="_Toc1592197"/>
      <w:bookmarkStart w:id="20837" w:name="_Toc1668714"/>
      <w:bookmarkStart w:id="20838" w:name="_Toc1716579"/>
      <w:bookmarkStart w:id="20839" w:name="_Toc1725724"/>
      <w:bookmarkStart w:id="20840" w:name="_Toc1728102"/>
      <w:bookmarkStart w:id="20841" w:name="_Toc1938642"/>
      <w:bookmarkStart w:id="20842" w:name="_Toc1938735"/>
      <w:bookmarkStart w:id="20843" w:name="_Toc2078420"/>
      <w:bookmarkStart w:id="20844" w:name="_Toc19436199"/>
      <w:bookmarkStart w:id="20845" w:name="_Toc20081366"/>
      <w:r>
        <w:rPr>
          <w:rFonts w:hint="cs"/>
          <w:rtl/>
        </w:rPr>
        <w:t>בשחט עובר במעי אמו</w:t>
      </w:r>
      <w:bookmarkEnd w:id="20833"/>
      <w:bookmarkEnd w:id="20834"/>
      <w:bookmarkEnd w:id="20835"/>
      <w:bookmarkEnd w:id="20836"/>
      <w:bookmarkEnd w:id="20837"/>
      <w:bookmarkEnd w:id="20838"/>
      <w:bookmarkEnd w:id="20839"/>
      <w:bookmarkEnd w:id="20840"/>
      <w:bookmarkEnd w:id="20841"/>
      <w:bookmarkEnd w:id="20842"/>
      <w:bookmarkEnd w:id="20843"/>
      <w:bookmarkEnd w:id="20844"/>
      <w:bookmarkEnd w:id="20845"/>
    </w:p>
    <w:p w14:paraId="5471319D" w14:textId="77777777" w:rsidR="003D504D" w:rsidRDefault="003D504D" w:rsidP="00BF39B2">
      <w:pPr>
        <w:pStyle w:val="1"/>
        <w:rPr>
          <w:rtl/>
        </w:rPr>
      </w:pPr>
      <w:bookmarkStart w:id="20846" w:name="_Toc1318695"/>
      <w:bookmarkStart w:id="20847" w:name="_Toc1380110"/>
      <w:bookmarkStart w:id="20848" w:name="_Toc1419318"/>
      <w:bookmarkStart w:id="20849" w:name="_Toc1592198"/>
      <w:bookmarkStart w:id="20850" w:name="_Toc1668715"/>
      <w:bookmarkStart w:id="20851" w:name="_Toc1716580"/>
      <w:bookmarkStart w:id="20852" w:name="_Toc1725725"/>
      <w:bookmarkStart w:id="20853" w:name="_Toc1728103"/>
      <w:bookmarkStart w:id="20854" w:name="_Toc1938643"/>
      <w:bookmarkStart w:id="20855" w:name="_Toc1938736"/>
      <w:bookmarkStart w:id="20856" w:name="_Toc2078421"/>
      <w:bookmarkStart w:id="20857" w:name="_Toc19391609"/>
      <w:bookmarkStart w:id="20858" w:name="_Toc19395106"/>
      <w:r>
        <w:rPr>
          <w:rFonts w:hint="cs"/>
          <w:rtl/>
        </w:rPr>
        <w:t>דברי רש"י</w:t>
      </w:r>
      <w:bookmarkEnd w:id="20846"/>
      <w:bookmarkEnd w:id="20847"/>
      <w:bookmarkEnd w:id="20848"/>
      <w:bookmarkEnd w:id="20849"/>
      <w:r>
        <w:rPr>
          <w:rFonts w:hint="cs"/>
          <w:rtl/>
        </w:rPr>
        <w:t xml:space="preserve"> בביאור ספיקא דרב הושעיא לר"מ ולרבנן</w:t>
      </w:r>
      <w:bookmarkEnd w:id="20850"/>
      <w:bookmarkEnd w:id="20851"/>
      <w:bookmarkEnd w:id="20852"/>
      <w:bookmarkEnd w:id="20853"/>
      <w:bookmarkEnd w:id="20854"/>
      <w:bookmarkEnd w:id="20855"/>
      <w:bookmarkEnd w:id="20856"/>
      <w:bookmarkEnd w:id="20857"/>
      <w:bookmarkEnd w:id="20858"/>
    </w:p>
    <w:p w14:paraId="15894960" w14:textId="77777777" w:rsidR="003D504D" w:rsidRPr="001B003D" w:rsidRDefault="003D504D" w:rsidP="003D504D">
      <w:pPr>
        <w:pStyle w:val="a3"/>
        <w:rPr>
          <w:rtl/>
        </w:rPr>
      </w:pPr>
      <w:bookmarkStart w:id="20859" w:name="_Toc1668716"/>
      <w:bookmarkStart w:id="20860" w:name="_Toc1716581"/>
      <w:bookmarkStart w:id="20861" w:name="_Toc1725726"/>
      <w:bookmarkStart w:id="20862" w:name="_Toc1728104"/>
      <w:bookmarkStart w:id="20863" w:name="_Toc1938644"/>
      <w:bookmarkStart w:id="20864" w:name="_Toc1938737"/>
      <w:bookmarkStart w:id="20865" w:name="_Toc2078422"/>
      <w:bookmarkStart w:id="20866" w:name="_Toc19391610"/>
      <w:bookmarkStart w:id="20867" w:name="_Toc19395107"/>
      <w:r>
        <w:rPr>
          <w:rFonts w:hint="cs"/>
          <w:rtl/>
        </w:rPr>
        <w:t>דברי רש"י דבבן ח' פשיטא דלא מהני שחיטה במעי אמו דאף אחר שנולד לא מהני ליה שחיטה</w:t>
      </w:r>
      <w:bookmarkEnd w:id="20859"/>
      <w:bookmarkEnd w:id="20860"/>
      <w:bookmarkEnd w:id="20861"/>
      <w:bookmarkEnd w:id="20862"/>
      <w:bookmarkEnd w:id="20863"/>
      <w:bookmarkEnd w:id="20864"/>
      <w:bookmarkEnd w:id="20865"/>
      <w:bookmarkEnd w:id="20866"/>
      <w:bookmarkEnd w:id="20867"/>
    </w:p>
    <w:p w14:paraId="4ED0AC95" w14:textId="77777777" w:rsidR="003D504D" w:rsidRPr="00D62335" w:rsidRDefault="003D504D" w:rsidP="00E12979">
      <w:pPr>
        <w:pStyle w:val="a0"/>
        <w:numPr>
          <w:ilvl w:val="0"/>
          <w:numId w:val="38"/>
        </w:numPr>
        <w:rPr>
          <w:rtl/>
        </w:rPr>
      </w:pPr>
      <w:r w:rsidRPr="00D62335">
        <w:rPr>
          <w:rFonts w:hint="cs"/>
          <w:rtl/>
        </w:rPr>
        <w:t xml:space="preserve">בספיקא דרב </w:t>
      </w:r>
      <w:r>
        <w:rPr>
          <w:rFonts w:hint="cs"/>
          <w:rtl/>
        </w:rPr>
        <w:t>הושעיא</w:t>
      </w:r>
      <w:r w:rsidRPr="00D62335">
        <w:rPr>
          <w:rFonts w:hint="cs"/>
          <w:rtl/>
        </w:rPr>
        <w:t xml:space="preserve"> בהושיט ידו למעי בהמה ושחט בן ט' חי, כתב </w:t>
      </w:r>
      <w:r w:rsidRPr="00D62335">
        <w:rPr>
          <w:rStyle w:val="af9"/>
          <w:rFonts w:hint="cs"/>
          <w:rtl/>
        </w:rPr>
        <w:t>רש"י</w:t>
      </w:r>
      <w:r w:rsidRPr="00223668">
        <w:rPr>
          <w:rStyle w:val="af7"/>
          <w:rFonts w:eastAsia="Guttman Hodes" w:hint="cs"/>
          <w:rtl/>
        </w:rPr>
        <w:t xml:space="preserve"> (ד"ה ושחט) </w:t>
      </w:r>
      <w:r w:rsidRPr="00D62335">
        <w:rPr>
          <w:rFonts w:hint="cs"/>
          <w:rtl/>
        </w:rPr>
        <w:t xml:space="preserve">דאיירי שנולד אחר שחיטתו ואמו עדיין חיה, והא דהספק הוא רק בבן ט', ביאר </w:t>
      </w:r>
      <w:r w:rsidRPr="00D62335">
        <w:rPr>
          <w:rStyle w:val="af9"/>
          <w:rFonts w:hint="cs"/>
          <w:rtl/>
        </w:rPr>
        <w:t>רש"י</w:t>
      </w:r>
      <w:r w:rsidRPr="00D62335">
        <w:rPr>
          <w:rFonts w:hint="cs"/>
          <w:rtl/>
        </w:rPr>
        <w:t xml:space="preserve"> דבבן ח' פשיטא דלא מהני ליה שחיטה, דהא אפילו אם נולד ושחטו לא מהני ליה שחיטה.</w:t>
      </w:r>
    </w:p>
    <w:p w14:paraId="3679BFA0" w14:textId="77777777" w:rsidR="003D504D" w:rsidRPr="00D62335" w:rsidRDefault="003D504D" w:rsidP="003D504D">
      <w:pPr>
        <w:pStyle w:val="a3"/>
        <w:rPr>
          <w:rtl/>
        </w:rPr>
      </w:pPr>
      <w:bookmarkStart w:id="20868" w:name="_Toc1668717"/>
      <w:bookmarkStart w:id="20869" w:name="_Toc1716582"/>
      <w:bookmarkStart w:id="20870" w:name="_Toc1725727"/>
      <w:bookmarkStart w:id="20871" w:name="_Toc1728105"/>
      <w:bookmarkStart w:id="20872" w:name="_Toc1938645"/>
      <w:bookmarkStart w:id="20873" w:name="_Toc1938738"/>
      <w:bookmarkStart w:id="20874" w:name="_Toc2078423"/>
      <w:bookmarkStart w:id="20875" w:name="_Toc19391611"/>
      <w:bookmarkStart w:id="20876" w:name="_Toc19395108"/>
      <w:r>
        <w:rPr>
          <w:rFonts w:hint="cs"/>
          <w:rtl/>
        </w:rPr>
        <w:t>ביאור רש"י דהצד דלא מהני שחיטה לר"מ וכ"ש לרבנן דאף לאחר שחיטת אמו אין לו שחיטה</w:t>
      </w:r>
      <w:bookmarkEnd w:id="20868"/>
      <w:bookmarkEnd w:id="20869"/>
      <w:bookmarkEnd w:id="20870"/>
      <w:bookmarkEnd w:id="20871"/>
      <w:bookmarkEnd w:id="20872"/>
      <w:bookmarkEnd w:id="20873"/>
      <w:bookmarkEnd w:id="20874"/>
      <w:bookmarkEnd w:id="20875"/>
      <w:bookmarkEnd w:id="20876"/>
    </w:p>
    <w:p w14:paraId="77B91B63" w14:textId="77777777" w:rsidR="003D504D" w:rsidRDefault="003D504D" w:rsidP="00223668">
      <w:pPr>
        <w:pStyle w:val="a0"/>
        <w:rPr>
          <w:rtl/>
        </w:rPr>
      </w:pPr>
      <w:bookmarkStart w:id="20877" w:name="_Ref1382138"/>
      <w:bookmarkStart w:id="20878" w:name="_Toc1318696"/>
      <w:r w:rsidRPr="00D62335">
        <w:rPr>
          <w:rFonts w:hint="cs"/>
          <w:rtl/>
        </w:rPr>
        <w:t xml:space="preserve">בצד דלא מהני ליה שחיטה לר"מ, ביאר </w:t>
      </w:r>
      <w:r w:rsidRPr="00D62335">
        <w:rPr>
          <w:rStyle w:val="af9"/>
          <w:rFonts w:hint="cs"/>
          <w:rtl/>
        </w:rPr>
        <w:t xml:space="preserve">רש"י </w:t>
      </w:r>
      <w:r w:rsidRPr="00D62335">
        <w:rPr>
          <w:rStyle w:val="af7"/>
          <w:rFonts w:eastAsia="Guttman Hodes" w:hint="cs"/>
          <w:rtl/>
        </w:rPr>
        <w:t>(ד"ה אבל)</w:t>
      </w:r>
      <w:r w:rsidRPr="00D62335">
        <w:rPr>
          <w:rFonts w:hint="cs"/>
          <w:rtl/>
        </w:rPr>
        <w:t xml:space="preserve"> דכ"ש דלדעת רבנן לא מהני ליה שחיטה, דהרי ס"ל לרבנן דאף ביצא חי לאחר שחיטת אמו אין לו שחיטה, וכל מה דשייך שחיטה בולד הוא רק באופן שיצא לאויר העולם בחיי אמו</w:t>
      </w:r>
      <w:r w:rsidRPr="002A56BB">
        <w:rPr>
          <w:rStyle w:val="af1"/>
          <w:rtl/>
        </w:rPr>
        <w:footnoteReference w:id="118"/>
      </w:r>
      <w:r w:rsidRPr="00D62335">
        <w:rPr>
          <w:rFonts w:hint="cs"/>
          <w:rtl/>
        </w:rPr>
        <w:t>.</w:t>
      </w:r>
      <w:bookmarkEnd w:id="20877"/>
    </w:p>
    <w:p w14:paraId="135CA2FF" w14:textId="77777777" w:rsidR="003D504D" w:rsidRDefault="003D504D" w:rsidP="003D504D">
      <w:pPr>
        <w:pStyle w:val="a3"/>
        <w:rPr>
          <w:rtl/>
        </w:rPr>
      </w:pPr>
      <w:bookmarkStart w:id="20879" w:name="_Toc1668718"/>
      <w:bookmarkStart w:id="20880" w:name="_Toc1716583"/>
      <w:bookmarkStart w:id="20881" w:name="_Toc1725728"/>
      <w:bookmarkStart w:id="20882" w:name="_Toc1728106"/>
      <w:bookmarkStart w:id="20883" w:name="_Toc1938646"/>
      <w:bookmarkStart w:id="20884" w:name="_Toc1938739"/>
      <w:bookmarkStart w:id="20885" w:name="_Toc2078424"/>
      <w:bookmarkStart w:id="20886" w:name="_Toc19391612"/>
      <w:bookmarkStart w:id="20887" w:name="_Toc19395109"/>
      <w:r>
        <w:rPr>
          <w:rFonts w:hint="cs"/>
          <w:rtl/>
        </w:rPr>
        <w:t>ביאור רש"י דהצד דמהני שחיטה לרבנן  מדין ד' סימנים וכ"ש לר"מ דהוא חייב שחיטה</w:t>
      </w:r>
      <w:bookmarkEnd w:id="20879"/>
      <w:bookmarkEnd w:id="20880"/>
      <w:bookmarkEnd w:id="20881"/>
      <w:bookmarkEnd w:id="20882"/>
      <w:bookmarkEnd w:id="20883"/>
      <w:bookmarkEnd w:id="20884"/>
      <w:bookmarkEnd w:id="20885"/>
      <w:bookmarkEnd w:id="20886"/>
      <w:bookmarkEnd w:id="20887"/>
      <w:r>
        <w:rPr>
          <w:rFonts w:hint="cs"/>
          <w:rtl/>
        </w:rPr>
        <w:t xml:space="preserve"> </w:t>
      </w:r>
    </w:p>
    <w:p w14:paraId="63E5D831" w14:textId="77777777" w:rsidR="003D504D" w:rsidRDefault="003D504D" w:rsidP="00223668">
      <w:pPr>
        <w:pStyle w:val="a0"/>
        <w:rPr>
          <w:rtl/>
        </w:rPr>
      </w:pPr>
      <w:bookmarkStart w:id="20888" w:name="_Toc1380111"/>
      <w:bookmarkStart w:id="20889" w:name="_Toc1419319"/>
      <w:bookmarkStart w:id="20890" w:name="_Toc1592199"/>
      <w:r>
        <w:rPr>
          <w:rFonts w:hint="cs"/>
          <w:rtl/>
        </w:rPr>
        <w:t xml:space="preserve">ובצד דמהני ליה שחיטה אף לרבנן, ביאר </w:t>
      </w:r>
      <w:r w:rsidRPr="00632497">
        <w:rPr>
          <w:rStyle w:val="af9"/>
          <w:rFonts w:hint="cs"/>
          <w:rtl/>
        </w:rPr>
        <w:t>רש"י</w:t>
      </w:r>
      <w:r>
        <w:rPr>
          <w:rFonts w:hint="cs"/>
          <w:rtl/>
        </w:rPr>
        <w:t xml:space="preserve"> </w:t>
      </w:r>
      <w:r w:rsidRPr="00632497">
        <w:rPr>
          <w:rStyle w:val="af7"/>
          <w:rFonts w:eastAsia="Guttman Hodes" w:hint="cs"/>
          <w:rtl/>
        </w:rPr>
        <w:t>(ד"ה או דילמא)</w:t>
      </w:r>
      <w:r>
        <w:rPr>
          <w:rFonts w:hint="cs"/>
          <w:rtl/>
        </w:rPr>
        <w:t xml:space="preserve"> דס"ל לרבנן דד' סימנים אכשר ביה רחמנא, וא"כ בין אם נשחט בסימני אמו, ובין אם נשחט בסימני עצמו, השחיטה מתירתו, וכתב </w:t>
      </w:r>
      <w:r w:rsidRPr="00632497">
        <w:rPr>
          <w:rStyle w:val="af9"/>
          <w:rFonts w:hint="cs"/>
          <w:rtl/>
        </w:rPr>
        <w:t>רש"י</w:t>
      </w:r>
      <w:r>
        <w:rPr>
          <w:rFonts w:hint="cs"/>
          <w:rtl/>
        </w:rPr>
        <w:t xml:space="preserve"> דכ"ש לדעת ר"מ דס"ל דבן ט' חי חייב שחיטה, ואינו מותר בשחיטת אמו, וא"כ מהני השחיטה אף במעי אמו.</w:t>
      </w:r>
    </w:p>
    <w:p w14:paraId="03A3BB8D" w14:textId="77777777" w:rsidR="003D504D" w:rsidRDefault="003D504D" w:rsidP="00BF39B2">
      <w:pPr>
        <w:pStyle w:val="1"/>
        <w:rPr>
          <w:rtl/>
        </w:rPr>
      </w:pPr>
      <w:bookmarkStart w:id="20891" w:name="_Toc1668719"/>
      <w:bookmarkStart w:id="20892" w:name="_Toc1716584"/>
      <w:bookmarkStart w:id="20893" w:name="_Toc1725729"/>
      <w:bookmarkStart w:id="20894" w:name="_Toc1728107"/>
      <w:bookmarkStart w:id="20895" w:name="_Toc1938647"/>
      <w:bookmarkStart w:id="20896" w:name="_Toc1938740"/>
      <w:bookmarkStart w:id="20897" w:name="_Toc2078425"/>
      <w:bookmarkStart w:id="20898" w:name="_Toc19391613"/>
      <w:bookmarkStart w:id="20899" w:name="_Toc19395110"/>
      <w:r>
        <w:rPr>
          <w:rFonts w:hint="cs"/>
          <w:rtl/>
        </w:rPr>
        <w:t xml:space="preserve">דברי התוס' </w:t>
      </w:r>
      <w:bookmarkEnd w:id="20878"/>
      <w:bookmarkEnd w:id="20888"/>
      <w:bookmarkEnd w:id="20889"/>
      <w:bookmarkEnd w:id="20890"/>
      <w:bookmarkEnd w:id="20891"/>
      <w:bookmarkEnd w:id="20892"/>
      <w:bookmarkEnd w:id="20893"/>
      <w:bookmarkEnd w:id="20894"/>
      <w:bookmarkEnd w:id="20895"/>
      <w:bookmarkEnd w:id="20896"/>
      <w:r>
        <w:rPr>
          <w:rFonts w:hint="cs"/>
          <w:rtl/>
        </w:rPr>
        <w:t>דספיקא דרב הושעיא אינו תלוי בדין ד' סימנים</w:t>
      </w:r>
      <w:bookmarkEnd w:id="20897"/>
      <w:bookmarkEnd w:id="20898"/>
      <w:bookmarkEnd w:id="20899"/>
    </w:p>
    <w:p w14:paraId="3B5ECB57" w14:textId="77777777" w:rsidR="003D504D" w:rsidRPr="00AD0398" w:rsidRDefault="003D504D" w:rsidP="003D504D">
      <w:pPr>
        <w:pStyle w:val="a3"/>
        <w:rPr>
          <w:rtl/>
        </w:rPr>
      </w:pPr>
      <w:bookmarkStart w:id="20900" w:name="_Toc1668720"/>
      <w:bookmarkStart w:id="20901" w:name="_Toc1716585"/>
      <w:bookmarkStart w:id="20902" w:name="_Toc1725730"/>
      <w:bookmarkStart w:id="20903" w:name="_Toc1728108"/>
      <w:bookmarkStart w:id="20904" w:name="_Toc1938648"/>
      <w:bookmarkStart w:id="20905" w:name="_Toc1938741"/>
      <w:bookmarkStart w:id="20906" w:name="_Toc2078426"/>
      <w:bookmarkStart w:id="20907" w:name="_Toc19391614"/>
      <w:bookmarkStart w:id="20908" w:name="_Toc19395111"/>
      <w:r>
        <w:rPr>
          <w:rFonts w:hint="cs"/>
          <w:rtl/>
        </w:rPr>
        <w:t xml:space="preserve">דברי התוס' </w:t>
      </w:r>
      <w:bookmarkEnd w:id="20900"/>
      <w:r>
        <w:rPr>
          <w:rFonts w:hint="cs"/>
          <w:rtl/>
        </w:rPr>
        <w:t>דהמחלוקת בשחיטת ולד טריפה אי סימניו כחצי שחוטים בנשחטה האם ולא בנקרעה</w:t>
      </w:r>
      <w:bookmarkEnd w:id="20901"/>
      <w:bookmarkEnd w:id="20902"/>
      <w:bookmarkEnd w:id="20903"/>
      <w:bookmarkEnd w:id="20904"/>
      <w:bookmarkEnd w:id="20905"/>
      <w:bookmarkEnd w:id="20906"/>
      <w:bookmarkEnd w:id="20907"/>
      <w:bookmarkEnd w:id="20908"/>
      <w:r>
        <w:rPr>
          <w:rFonts w:hint="cs"/>
          <w:rtl/>
        </w:rPr>
        <w:t xml:space="preserve"> </w:t>
      </w:r>
    </w:p>
    <w:p w14:paraId="3EABAE82" w14:textId="77777777" w:rsidR="003D504D" w:rsidRDefault="003D504D" w:rsidP="00223668">
      <w:pPr>
        <w:pStyle w:val="a0"/>
        <w:rPr>
          <w:rtl/>
        </w:rPr>
      </w:pPr>
      <w:bookmarkStart w:id="20909" w:name="_Ref1318606"/>
      <w:r>
        <w:rPr>
          <w:rFonts w:hint="cs"/>
          <w:rtl/>
        </w:rPr>
        <w:t xml:space="preserve">בהא דאיתא בגמ' לקמן </w:t>
      </w:r>
      <w:r w:rsidRPr="003129FD">
        <w:rPr>
          <w:rStyle w:val="af7"/>
          <w:rFonts w:eastAsia="Guttman Hodes" w:hint="cs"/>
          <w:rtl/>
        </w:rPr>
        <w:t xml:space="preserve">(עה.) </w:t>
      </w:r>
      <w:r>
        <w:rPr>
          <w:rFonts w:hint="cs"/>
          <w:rtl/>
        </w:rPr>
        <w:t xml:space="preserve">דהשוחט את הטריפה ונמצא בה בן ט' חי, דלמ"ד דלא אמרינן דד' סימנים אכשר ביה רחמנא, נחלקו בזה ר"מ ורבנן, דלרבנן דס"ל דשחיטת האם מהני לבן ט' חי, א"כ בנמצאת האם טריפה, לא מהני שחיטת הולד עצמו, ולר"מ דבן ט' חי לא מהני לו שחיטת אמו, בנמצאת טריפה מהני שחיטת הולד עצמו, כתבו </w:t>
      </w:r>
      <w:r w:rsidRPr="00FF54F9">
        <w:rPr>
          <w:rStyle w:val="af9"/>
          <w:rFonts w:hint="cs"/>
          <w:rtl/>
        </w:rPr>
        <w:t>התוס' לקמן</w:t>
      </w:r>
      <w:r>
        <w:rPr>
          <w:rFonts w:hint="cs"/>
          <w:rtl/>
        </w:rPr>
        <w:t xml:space="preserve"> </w:t>
      </w:r>
      <w:r w:rsidRPr="003129FD">
        <w:rPr>
          <w:rStyle w:val="af7"/>
          <w:rFonts w:eastAsia="Guttman Hodes" w:hint="cs"/>
          <w:rtl/>
        </w:rPr>
        <w:t xml:space="preserve">(עה. ד"ה לדברי) </w:t>
      </w:r>
      <w:r>
        <w:rPr>
          <w:rFonts w:hint="cs"/>
          <w:rtl/>
        </w:rPr>
        <w:t>דהמחלוקת היא רק כשנשחטה האם, דלרבנן ע"י שחיטתה חשיב דסימני העובר הם חצי שחוטים, אבל הא דתנן בסיפא דמתני' דבקרע את הטריפה הולד טעון שחיטה, היינו אף לדעת רבנן, דכיון שלא נשחטה האם כלל לא חשיבי סימני הולד כחצי שחוטים, ולכו"ע מהני שחיטת הולד.</w:t>
      </w:r>
    </w:p>
    <w:p w14:paraId="5B528C43" w14:textId="77777777" w:rsidR="003D504D" w:rsidRPr="00C40CFA" w:rsidRDefault="003D504D" w:rsidP="003D504D">
      <w:pPr>
        <w:pStyle w:val="a3"/>
      </w:pPr>
      <w:bookmarkStart w:id="20910" w:name="_Toc1668721"/>
      <w:bookmarkStart w:id="20911" w:name="_Toc1716586"/>
      <w:bookmarkStart w:id="20912" w:name="_Toc1725731"/>
      <w:bookmarkStart w:id="20913" w:name="_Toc1728109"/>
      <w:bookmarkStart w:id="20914" w:name="_Toc1938649"/>
      <w:bookmarkStart w:id="20915" w:name="_Toc1938742"/>
      <w:bookmarkStart w:id="20916" w:name="_Toc2078427"/>
      <w:bookmarkStart w:id="20917" w:name="_Toc19391615"/>
      <w:bookmarkStart w:id="20918" w:name="_Toc19395112"/>
      <w:r w:rsidRPr="003D2CFD">
        <w:rPr>
          <w:rFonts w:hint="cs"/>
          <w:rtl/>
        </w:rPr>
        <w:t>דברי התוס' לקמן דהספק</w:t>
      </w:r>
      <w:r>
        <w:rPr>
          <w:rFonts w:hint="cs"/>
          <w:rtl/>
        </w:rPr>
        <w:t xml:space="preserve"> אף לרבנן דפסלי בשחיטת ולד טריפה כיון דהכא סימני האם לא נשחטו</w:t>
      </w:r>
      <w:bookmarkEnd w:id="20910"/>
      <w:bookmarkEnd w:id="20911"/>
      <w:bookmarkEnd w:id="20912"/>
      <w:bookmarkEnd w:id="20913"/>
      <w:bookmarkEnd w:id="20914"/>
      <w:bookmarkEnd w:id="20915"/>
      <w:bookmarkEnd w:id="20916"/>
      <w:bookmarkEnd w:id="20917"/>
      <w:bookmarkEnd w:id="20918"/>
    </w:p>
    <w:p w14:paraId="08DBDAC8" w14:textId="77777777" w:rsidR="003D504D" w:rsidRDefault="003D504D" w:rsidP="00223668">
      <w:pPr>
        <w:pStyle w:val="a0"/>
        <w:rPr>
          <w:rtl/>
        </w:rPr>
      </w:pPr>
      <w:r>
        <w:rPr>
          <w:rFonts w:hint="cs"/>
          <w:rtl/>
        </w:rPr>
        <w:t xml:space="preserve">והוסיפו </w:t>
      </w:r>
      <w:r w:rsidRPr="00FF54F9">
        <w:rPr>
          <w:rStyle w:val="af9"/>
          <w:rFonts w:hint="cs"/>
          <w:rtl/>
        </w:rPr>
        <w:t>התוס' לקמן</w:t>
      </w:r>
      <w:r>
        <w:rPr>
          <w:rFonts w:hint="cs"/>
          <w:rtl/>
        </w:rPr>
        <w:t xml:space="preserve"> דכן</w:t>
      </w:r>
      <w:r w:rsidRPr="00C35004">
        <w:rPr>
          <w:rFonts w:hint="cs"/>
          <w:rtl/>
        </w:rPr>
        <w:t xml:space="preserve"> </w:t>
      </w:r>
      <w:r>
        <w:rPr>
          <w:rFonts w:hint="cs"/>
          <w:rtl/>
        </w:rPr>
        <w:t xml:space="preserve">למ"ד דלא אמרינן דד' סימנים אכשר ביה רחמנא, לא שייכא המחלוקת בשוחט את הטריפה לספיקא דרב הושעיא, דאף לרבנן דלא מהני שחיטה לולד בנמצאת האם טריפה, היינו כיון שנשחטה האם וחשיבי סימני העובר כחצי שחוטים, אבל בספיקא דרב הושעיא ששחט את הולד במעי אמו ולא נשחטו סימני האם כלל , אף לרבנן יש ספק אי מהני לו שחיטתו, וע"ע בדברי </w:t>
      </w:r>
      <w:r w:rsidRPr="00931074">
        <w:rPr>
          <w:rStyle w:val="af9"/>
          <w:rFonts w:hint="cs"/>
          <w:rtl/>
        </w:rPr>
        <w:t>רש"י לקמן</w:t>
      </w:r>
      <w:r>
        <w:rPr>
          <w:rFonts w:hint="cs"/>
          <w:rtl/>
        </w:rPr>
        <w:t xml:space="preserve"> </w:t>
      </w:r>
      <w:r w:rsidRPr="00931074">
        <w:rPr>
          <w:rStyle w:val="af7"/>
          <w:rFonts w:eastAsia="Guttman Hodes" w:hint="cs"/>
          <w:rtl/>
        </w:rPr>
        <w:t>(עה. ד"ה אוסר)</w:t>
      </w:r>
      <w:r>
        <w:rPr>
          <w:rFonts w:hint="cs"/>
          <w:rtl/>
        </w:rPr>
        <w:t>.</w:t>
      </w:r>
    </w:p>
    <w:p w14:paraId="7564E878" w14:textId="77777777" w:rsidR="003D504D" w:rsidRPr="002E6689" w:rsidRDefault="003D504D" w:rsidP="003D504D">
      <w:pPr>
        <w:pStyle w:val="a3"/>
      </w:pPr>
      <w:bookmarkStart w:id="20919" w:name="_Toc1668722"/>
      <w:bookmarkStart w:id="20920" w:name="_Toc1716587"/>
      <w:bookmarkStart w:id="20921" w:name="_Toc1725732"/>
      <w:bookmarkStart w:id="20922" w:name="_Toc1728110"/>
      <w:bookmarkStart w:id="20923" w:name="_Toc1938650"/>
      <w:bookmarkStart w:id="20924" w:name="_Toc1938743"/>
      <w:bookmarkStart w:id="20925" w:name="_Toc2078428"/>
      <w:bookmarkStart w:id="20926" w:name="_Toc19391616"/>
      <w:bookmarkStart w:id="20927" w:name="_Toc19395113"/>
      <w:r>
        <w:rPr>
          <w:rFonts w:hint="cs"/>
          <w:rtl/>
        </w:rPr>
        <w:t xml:space="preserve">דברי התוס' לקמן והרשב"א </w:t>
      </w:r>
      <w:r w:rsidRPr="003D2CFD">
        <w:rPr>
          <w:rFonts w:hint="cs"/>
          <w:rtl/>
        </w:rPr>
        <w:t>דהספק</w:t>
      </w:r>
      <w:r>
        <w:rPr>
          <w:rFonts w:hint="cs"/>
          <w:rtl/>
        </w:rPr>
        <w:t xml:space="preserve"> אף למ"ד דד' סימנים דיתכן דרק בנולד יש לו ד' סימנים</w:t>
      </w:r>
      <w:bookmarkEnd w:id="20919"/>
      <w:bookmarkEnd w:id="20920"/>
      <w:bookmarkEnd w:id="20921"/>
      <w:bookmarkEnd w:id="20922"/>
      <w:bookmarkEnd w:id="20923"/>
      <w:bookmarkEnd w:id="20924"/>
      <w:bookmarkEnd w:id="20925"/>
      <w:bookmarkEnd w:id="20926"/>
      <w:bookmarkEnd w:id="20927"/>
    </w:p>
    <w:p w14:paraId="3B373E2D" w14:textId="77777777" w:rsidR="003D504D" w:rsidRDefault="003D504D" w:rsidP="00223668">
      <w:pPr>
        <w:pStyle w:val="a0"/>
        <w:rPr>
          <w:rtl/>
        </w:rPr>
      </w:pPr>
      <w:bookmarkStart w:id="20928" w:name="_Ref1680078"/>
      <w:r>
        <w:rPr>
          <w:rFonts w:hint="cs"/>
          <w:rtl/>
        </w:rPr>
        <w:t xml:space="preserve">והוסיפו </w:t>
      </w:r>
      <w:r w:rsidRPr="002E6689">
        <w:rPr>
          <w:rStyle w:val="af9"/>
          <w:rFonts w:hint="cs"/>
          <w:rtl/>
        </w:rPr>
        <w:t>התוס' לקמן</w:t>
      </w:r>
      <w:r>
        <w:rPr>
          <w:rFonts w:hint="cs"/>
          <w:rtl/>
        </w:rPr>
        <w:t xml:space="preserve"> </w:t>
      </w:r>
      <w:r w:rsidRPr="00EA1E37">
        <w:rPr>
          <w:rStyle w:val="af9"/>
          <w:rFonts w:hint="cs"/>
          <w:rtl/>
        </w:rPr>
        <w:t>והר</w:t>
      </w:r>
      <w:r w:rsidRPr="003B0AF9">
        <w:rPr>
          <w:rStyle w:val="af9"/>
          <w:rFonts w:hint="cs"/>
          <w:rtl/>
        </w:rPr>
        <w:t xml:space="preserve">שב"א </w:t>
      </w:r>
      <w:r w:rsidRPr="003B0AF9">
        <w:rPr>
          <w:rStyle w:val="af7"/>
          <w:rFonts w:eastAsia="Guttman Hodes" w:hint="cs"/>
          <w:rtl/>
        </w:rPr>
        <w:t>(ד"ה הא)</w:t>
      </w:r>
      <w:r>
        <w:rPr>
          <w:rFonts w:hint="cs"/>
          <w:rtl/>
        </w:rPr>
        <w:t xml:space="preserve"> בשם </w:t>
      </w:r>
      <w:r w:rsidRPr="003129FD">
        <w:rPr>
          <w:rStyle w:val="af9"/>
          <w:rFonts w:hint="cs"/>
          <w:rtl/>
        </w:rPr>
        <w:t>תוס'</w:t>
      </w:r>
      <w:r>
        <w:rPr>
          <w:rFonts w:hint="cs"/>
          <w:rtl/>
        </w:rPr>
        <w:t xml:space="preserve"> דכן לדעת רבא דס"ל דבנמצאת האם טריפה לכו"ע מהני שחיטת הולד, דד' סימנים אכשר ביה רחמנא, מ"מ בנשחט במעי אמו יש ספק דאפש"ל דכ"מ דד' סימנים אכשר ביה רחמנא, היינו דוקא כשיצא חי לאויר העולם, אבל בנשחט במעי אמו שלא יצא חי, יתכן דלא מהני ליה שחיטה, דאף לר"מ דס"ל דמהני לו שחיטת עצמו, מ"מ כל שלא יצא לאויר העולם הוא אסור, ואפש"ל דלא מהני לו שחיטת עצמו במעי אמו,</w:t>
      </w:r>
      <w:bookmarkEnd w:id="20909"/>
      <w:r>
        <w:rPr>
          <w:rFonts w:hint="cs"/>
          <w:rtl/>
        </w:rPr>
        <w:t xml:space="preserve"> וכתב</w:t>
      </w:r>
      <w:r w:rsidRPr="003B0AF9">
        <w:rPr>
          <w:rStyle w:val="af9"/>
          <w:rFonts w:hint="cs"/>
          <w:rtl/>
        </w:rPr>
        <w:t xml:space="preserve"> הרשב"א</w:t>
      </w:r>
      <w:r>
        <w:rPr>
          <w:rStyle w:val="af9"/>
          <w:rFonts w:hint="cs"/>
          <w:rtl/>
        </w:rPr>
        <w:t xml:space="preserve"> </w:t>
      </w:r>
      <w:r>
        <w:rPr>
          <w:rFonts w:hint="cs"/>
          <w:rtl/>
        </w:rPr>
        <w:t xml:space="preserve">דכיון דספיקא דרב הושעיא לא נפשט, נקטינן </w:t>
      </w:r>
      <w:r w:rsidRPr="00B516AE">
        <w:rPr>
          <w:rFonts w:hint="cs"/>
          <w:rtl/>
        </w:rPr>
        <w:t>לחומרא</w:t>
      </w:r>
      <w:r>
        <w:rPr>
          <w:rFonts w:hint="cs"/>
          <w:rtl/>
        </w:rPr>
        <w:t xml:space="preserve">, ועי' במ"ש </w:t>
      </w:r>
      <w:r w:rsidRPr="00E266C5">
        <w:rPr>
          <w:rStyle w:val="af9"/>
          <w:rFonts w:hint="cs"/>
          <w:rtl/>
        </w:rPr>
        <w:t>הר"ן</w:t>
      </w:r>
      <w:r>
        <w:rPr>
          <w:rFonts w:hint="cs"/>
          <w:rtl/>
        </w:rPr>
        <w:t xml:space="preserve"> </w:t>
      </w:r>
      <w:r w:rsidRPr="00E266C5">
        <w:rPr>
          <w:rStyle w:val="af7"/>
          <w:rFonts w:eastAsia="Guttman Hodes" w:hint="cs"/>
          <w:rtl/>
        </w:rPr>
        <w:t xml:space="preserve">(עי' אות </w:t>
      </w:r>
      <w:r w:rsidRPr="00E266C5">
        <w:rPr>
          <w:rStyle w:val="af7"/>
          <w:rFonts w:eastAsia="Guttman Hodes"/>
          <w:rtl/>
        </w:rPr>
        <w:fldChar w:fldCharType="begin"/>
      </w:r>
      <w:r w:rsidRPr="00E266C5">
        <w:rPr>
          <w:rStyle w:val="af7"/>
          <w:rFonts w:eastAsia="Guttman Hodes"/>
          <w:rtl/>
        </w:rPr>
        <w:instrText xml:space="preserve"> </w:instrText>
      </w:r>
      <w:r w:rsidRPr="00E266C5">
        <w:rPr>
          <w:rStyle w:val="af7"/>
          <w:rFonts w:eastAsia="Guttman Hodes" w:hint="cs"/>
        </w:rPr>
        <w:instrText>REF</w:instrText>
      </w:r>
      <w:r w:rsidRPr="00E266C5">
        <w:rPr>
          <w:rStyle w:val="af7"/>
          <w:rFonts w:eastAsia="Guttman Hodes" w:hint="cs"/>
          <w:rtl/>
        </w:rPr>
        <w:instrText xml:space="preserve"> _</w:instrText>
      </w:r>
      <w:r w:rsidRPr="00E266C5">
        <w:rPr>
          <w:rStyle w:val="af7"/>
          <w:rFonts w:eastAsia="Guttman Hodes" w:hint="cs"/>
        </w:rPr>
        <w:instrText>Ref1379202 \r \h</w:instrText>
      </w:r>
      <w:r w:rsidRPr="00E266C5">
        <w:rPr>
          <w:rStyle w:val="af7"/>
          <w:rFonts w:eastAsia="Guttman Hodes"/>
          <w:rtl/>
        </w:rPr>
        <w:instrText xml:space="preserve"> </w:instrText>
      </w:r>
      <w:r w:rsidRPr="00E266C5">
        <w:rPr>
          <w:rStyle w:val="af7"/>
          <w:rFonts w:eastAsia="Guttman Hodes"/>
          <w:rtl/>
        </w:rPr>
      </w:r>
      <w:r w:rsidRPr="00E266C5">
        <w:rPr>
          <w:rStyle w:val="af7"/>
          <w:rFonts w:eastAsia="Guttman Hodes"/>
          <w:rtl/>
        </w:rPr>
        <w:fldChar w:fldCharType="separate"/>
      </w:r>
      <w:r w:rsidR="00345400">
        <w:rPr>
          <w:rStyle w:val="af7"/>
          <w:rFonts w:eastAsia="Guttman Hodes"/>
          <w:cs/>
        </w:rPr>
        <w:t>‎</w:t>
      </w:r>
      <w:r w:rsidR="00345400">
        <w:rPr>
          <w:rStyle w:val="af7"/>
          <w:rFonts w:eastAsia="Guttman Hodes"/>
          <w:rtl/>
        </w:rPr>
        <w:t>י)</w:t>
      </w:r>
      <w:r w:rsidRPr="00E266C5">
        <w:rPr>
          <w:rStyle w:val="af7"/>
          <w:rFonts w:eastAsia="Guttman Hodes"/>
          <w:rtl/>
        </w:rPr>
        <w:fldChar w:fldCharType="end"/>
      </w:r>
      <w:r>
        <w:rPr>
          <w:rFonts w:hint="cs"/>
          <w:rtl/>
        </w:rPr>
        <w:t xml:space="preserve"> </w:t>
      </w:r>
      <w:r w:rsidRPr="00E266C5">
        <w:rPr>
          <w:rStyle w:val="af9"/>
          <w:rFonts w:hint="cs"/>
          <w:rtl/>
        </w:rPr>
        <w:t>דהרי"ף</w:t>
      </w:r>
      <w:r>
        <w:rPr>
          <w:rFonts w:hint="cs"/>
          <w:rtl/>
        </w:rPr>
        <w:t xml:space="preserve"> פליג וס"ל דלמ"ד דד' סימנים מהני השחיטה במעי אמו, ועי' בביאור </w:t>
      </w:r>
      <w:r w:rsidRPr="00C2298F">
        <w:rPr>
          <w:rStyle w:val="af9"/>
          <w:rFonts w:hint="cs"/>
          <w:rtl/>
        </w:rPr>
        <w:t>השבות יעקב</w:t>
      </w:r>
      <w:r>
        <w:rPr>
          <w:rFonts w:hint="cs"/>
          <w:rtl/>
        </w:rPr>
        <w:t xml:space="preserve"> </w:t>
      </w:r>
      <w:r w:rsidRPr="000065A2">
        <w:rPr>
          <w:rStyle w:val="af7"/>
          <w:rFonts w:eastAsia="Guttman Hodes" w:hint="cs"/>
          <w:rtl/>
        </w:rPr>
        <w:t>(ע</w:t>
      </w:r>
      <w:r w:rsidRPr="00C2298F">
        <w:rPr>
          <w:rStyle w:val="af7"/>
          <w:rFonts w:eastAsia="Guttman Hodes" w:hint="cs"/>
          <w:rtl/>
        </w:rPr>
        <w:t>י' אות</w:t>
      </w:r>
      <w:r w:rsidR="00DE20A1">
        <w:rPr>
          <w:rFonts w:hint="cs"/>
          <w:rtl/>
        </w:rPr>
        <w:t xml:space="preserve"> </w:t>
      </w:r>
      <w:r w:rsidR="00885FD7" w:rsidRPr="00885FD7">
        <w:rPr>
          <w:rStyle w:val="af7"/>
          <w:rFonts w:eastAsia="Guttman Hodes"/>
          <w:rtl/>
        </w:rPr>
        <w:fldChar w:fldCharType="begin"/>
      </w:r>
      <w:r w:rsidR="00885FD7" w:rsidRPr="00885FD7">
        <w:rPr>
          <w:rStyle w:val="af7"/>
          <w:rFonts w:eastAsia="Guttman Hodes"/>
          <w:rtl/>
        </w:rPr>
        <w:instrText xml:space="preserve"> </w:instrText>
      </w:r>
      <w:r w:rsidR="00885FD7" w:rsidRPr="00885FD7">
        <w:rPr>
          <w:rStyle w:val="af7"/>
          <w:rFonts w:eastAsia="Guttman Hodes" w:hint="cs"/>
        </w:rPr>
        <w:instrText>REF</w:instrText>
      </w:r>
      <w:r w:rsidR="00885FD7" w:rsidRPr="00885FD7">
        <w:rPr>
          <w:rStyle w:val="af7"/>
          <w:rFonts w:eastAsia="Guttman Hodes" w:hint="cs"/>
          <w:rtl/>
        </w:rPr>
        <w:instrText xml:space="preserve"> _</w:instrText>
      </w:r>
      <w:r w:rsidR="00885FD7" w:rsidRPr="00885FD7">
        <w:rPr>
          <w:rStyle w:val="af7"/>
          <w:rFonts w:eastAsia="Guttman Hodes" w:hint="cs"/>
        </w:rPr>
        <w:instrText>Ref16616796 \r \h</w:instrText>
      </w:r>
      <w:r w:rsidR="00885FD7" w:rsidRPr="00885FD7">
        <w:rPr>
          <w:rStyle w:val="af7"/>
          <w:rFonts w:eastAsia="Guttman Hodes"/>
          <w:rtl/>
        </w:rPr>
        <w:instrText xml:space="preserve"> </w:instrText>
      </w:r>
      <w:r w:rsidR="00885FD7" w:rsidRPr="00885FD7">
        <w:rPr>
          <w:rStyle w:val="af7"/>
          <w:rFonts w:eastAsia="Guttman Hodes"/>
          <w:rtl/>
        </w:rPr>
      </w:r>
      <w:r w:rsidR="00885FD7" w:rsidRPr="00885FD7">
        <w:rPr>
          <w:rStyle w:val="af7"/>
          <w:rFonts w:eastAsia="Guttman Hodes"/>
          <w:rtl/>
        </w:rPr>
        <w:fldChar w:fldCharType="separate"/>
      </w:r>
      <w:r w:rsidR="00345400">
        <w:rPr>
          <w:rStyle w:val="af7"/>
          <w:rFonts w:eastAsia="Guttman Hodes"/>
          <w:cs/>
        </w:rPr>
        <w:t>‎</w:t>
      </w:r>
      <w:r w:rsidR="00345400">
        <w:rPr>
          <w:rStyle w:val="af7"/>
          <w:rFonts w:eastAsia="Guttman Hodes"/>
          <w:rtl/>
        </w:rPr>
        <w:t>יח)</w:t>
      </w:r>
      <w:r w:rsidR="00885FD7" w:rsidRPr="00885FD7">
        <w:rPr>
          <w:rStyle w:val="af7"/>
          <w:rFonts w:eastAsia="Guttman Hodes"/>
          <w:rtl/>
        </w:rPr>
        <w:fldChar w:fldCharType="end"/>
      </w:r>
      <w:r>
        <w:rPr>
          <w:rFonts w:hint="cs"/>
          <w:rtl/>
        </w:rPr>
        <w:t xml:space="preserve"> </w:t>
      </w:r>
      <w:r w:rsidRPr="00C2298F">
        <w:rPr>
          <w:rStyle w:val="af9"/>
          <w:rFonts w:hint="cs"/>
          <w:rtl/>
        </w:rPr>
        <w:t>בתוס' בביצה</w:t>
      </w:r>
      <w:r>
        <w:rPr>
          <w:rFonts w:hint="cs"/>
          <w:rtl/>
        </w:rPr>
        <w:t xml:space="preserve">, וע"ע בדברי </w:t>
      </w:r>
      <w:r w:rsidRPr="00931074">
        <w:rPr>
          <w:rStyle w:val="af9"/>
          <w:rFonts w:hint="cs"/>
          <w:rtl/>
        </w:rPr>
        <w:t>רש"י לקמן</w:t>
      </w:r>
      <w:r w:rsidRPr="00931074">
        <w:rPr>
          <w:rStyle w:val="af7"/>
          <w:rFonts w:eastAsia="Guttman Hodes" w:hint="cs"/>
          <w:rtl/>
        </w:rPr>
        <w:t xml:space="preserve"> (עה. ד"ה ארבעה סימנים</w:t>
      </w:r>
      <w:r>
        <w:rPr>
          <w:rStyle w:val="af7"/>
          <w:rFonts w:eastAsia="Guttman Hodes" w:hint="cs"/>
          <w:rtl/>
        </w:rPr>
        <w:t>)</w:t>
      </w:r>
      <w:r w:rsidRPr="00B516AE">
        <w:rPr>
          <w:rFonts w:hint="cs"/>
          <w:rtl/>
        </w:rPr>
        <w:t>.</w:t>
      </w:r>
      <w:bookmarkEnd w:id="20928"/>
    </w:p>
    <w:p w14:paraId="5159247B" w14:textId="77777777" w:rsidR="003D504D" w:rsidRDefault="003D504D" w:rsidP="00BF39B2">
      <w:pPr>
        <w:pStyle w:val="1"/>
        <w:rPr>
          <w:rtl/>
        </w:rPr>
      </w:pPr>
      <w:bookmarkStart w:id="20929" w:name="_Toc1318697"/>
      <w:bookmarkStart w:id="20930" w:name="_Toc1380112"/>
      <w:bookmarkStart w:id="20931" w:name="_Toc1419320"/>
      <w:bookmarkStart w:id="20932" w:name="_Toc1592200"/>
      <w:bookmarkStart w:id="20933" w:name="_Toc1668723"/>
      <w:bookmarkStart w:id="20934" w:name="_Toc1716590"/>
      <w:bookmarkStart w:id="20935" w:name="_Toc1725735"/>
      <w:bookmarkStart w:id="20936" w:name="_Toc1728113"/>
      <w:bookmarkStart w:id="20937" w:name="_Toc1938653"/>
      <w:bookmarkStart w:id="20938" w:name="_Toc1938746"/>
      <w:bookmarkStart w:id="20939" w:name="_Toc2078429"/>
      <w:bookmarkStart w:id="20940" w:name="_Toc19391617"/>
      <w:bookmarkStart w:id="20941" w:name="_Toc19395114"/>
      <w:r>
        <w:rPr>
          <w:rFonts w:hint="cs"/>
          <w:rtl/>
        </w:rPr>
        <w:t>ביאור הר"ן בשם תוס'</w:t>
      </w:r>
      <w:bookmarkEnd w:id="20929"/>
      <w:bookmarkEnd w:id="20930"/>
      <w:bookmarkEnd w:id="20931"/>
      <w:bookmarkEnd w:id="20932"/>
      <w:bookmarkEnd w:id="20933"/>
      <w:bookmarkEnd w:id="20934"/>
      <w:bookmarkEnd w:id="20935"/>
      <w:bookmarkEnd w:id="20936"/>
      <w:bookmarkEnd w:id="20937"/>
      <w:bookmarkEnd w:id="20938"/>
      <w:r>
        <w:rPr>
          <w:rFonts w:hint="cs"/>
          <w:rtl/>
        </w:rPr>
        <w:t xml:space="preserve"> דהספק הוא בגדר ד' סימנים</w:t>
      </w:r>
      <w:bookmarkEnd w:id="20939"/>
      <w:bookmarkEnd w:id="20940"/>
      <w:bookmarkEnd w:id="20941"/>
    </w:p>
    <w:p w14:paraId="63D95E3E" w14:textId="77777777" w:rsidR="003D504D" w:rsidRDefault="003D504D" w:rsidP="003D504D">
      <w:pPr>
        <w:pStyle w:val="a3"/>
        <w:rPr>
          <w:rtl/>
        </w:rPr>
      </w:pPr>
      <w:bookmarkStart w:id="20942" w:name="_Toc1318698"/>
      <w:bookmarkStart w:id="20943" w:name="_Toc1380113"/>
      <w:bookmarkStart w:id="20944" w:name="_Toc1419321"/>
      <w:bookmarkStart w:id="20945" w:name="_Toc1592201"/>
      <w:bookmarkStart w:id="20946" w:name="_Toc1668724"/>
      <w:bookmarkStart w:id="20947" w:name="_Toc1716591"/>
      <w:bookmarkStart w:id="20948" w:name="_Toc1725736"/>
      <w:bookmarkStart w:id="20949" w:name="_Toc1728114"/>
      <w:bookmarkStart w:id="20950" w:name="_Toc1938654"/>
      <w:bookmarkStart w:id="20951" w:name="_Toc1938747"/>
      <w:bookmarkStart w:id="20952" w:name="_Toc2078430"/>
      <w:bookmarkStart w:id="20953" w:name="_Toc19391618"/>
      <w:bookmarkStart w:id="20954" w:name="_Toc19395115"/>
      <w:bookmarkStart w:id="20955" w:name="_Toc2078431"/>
      <w:bookmarkStart w:id="20956" w:name="_Toc1668725"/>
      <w:bookmarkStart w:id="20957" w:name="_Toc1716592"/>
      <w:bookmarkStart w:id="20958" w:name="_Toc1725737"/>
      <w:bookmarkStart w:id="20959" w:name="_Toc1728115"/>
      <w:bookmarkStart w:id="20960" w:name="_Toc1938655"/>
      <w:bookmarkStart w:id="20961" w:name="_Toc1938748"/>
      <w:r>
        <w:rPr>
          <w:rFonts w:hint="cs"/>
          <w:rtl/>
        </w:rPr>
        <w:t>דברי הר"ן בשם תוס' דהספק הוא אי ד' סמנים מהני רק כשלא נשחטה האם כלל</w:t>
      </w:r>
      <w:bookmarkEnd w:id="20942"/>
      <w:bookmarkEnd w:id="20943"/>
      <w:bookmarkEnd w:id="20944"/>
      <w:bookmarkEnd w:id="20945"/>
      <w:bookmarkEnd w:id="20946"/>
      <w:bookmarkEnd w:id="20947"/>
      <w:bookmarkEnd w:id="20948"/>
      <w:bookmarkEnd w:id="20949"/>
      <w:bookmarkEnd w:id="20950"/>
      <w:bookmarkEnd w:id="20951"/>
      <w:bookmarkEnd w:id="20952"/>
      <w:bookmarkEnd w:id="20953"/>
      <w:bookmarkEnd w:id="20954"/>
    </w:p>
    <w:p w14:paraId="25016F61" w14:textId="77777777" w:rsidR="003D504D" w:rsidRDefault="003D504D" w:rsidP="00223668">
      <w:pPr>
        <w:pStyle w:val="a0"/>
        <w:rPr>
          <w:rtl/>
        </w:rPr>
      </w:pPr>
      <w:bookmarkStart w:id="20962" w:name="_Ref1379096"/>
      <w:r w:rsidRPr="00710C3B">
        <w:rPr>
          <w:rStyle w:val="af9"/>
          <w:rFonts w:hint="cs"/>
          <w:rtl/>
        </w:rPr>
        <w:t xml:space="preserve">והר"ן על הרי"ף </w:t>
      </w:r>
      <w:r w:rsidRPr="003C1584">
        <w:rPr>
          <w:rStyle w:val="af7"/>
          <w:rFonts w:eastAsia="Guttman Hodes" w:hint="cs"/>
          <w:rtl/>
        </w:rPr>
        <w:t>(כה. מדפי הרי"ף ד"ה גרסי')</w:t>
      </w:r>
      <w:r>
        <w:rPr>
          <w:rFonts w:hint="cs"/>
          <w:rtl/>
        </w:rPr>
        <w:t xml:space="preserve"> הביא בשם </w:t>
      </w:r>
      <w:r w:rsidRPr="00710C3B">
        <w:rPr>
          <w:rStyle w:val="af9"/>
          <w:rFonts w:hint="cs"/>
          <w:rtl/>
        </w:rPr>
        <w:t>התוס'</w:t>
      </w:r>
      <w:r>
        <w:rPr>
          <w:rFonts w:hint="cs"/>
          <w:rtl/>
        </w:rPr>
        <w:t xml:space="preserve"> דכתבו דאעפ"י דקיי"ל דד' סימנים אכשר ביה רחמנא, מ"מ עדיין לא נפשט הספק של רב הושעיא, דאפש"ל דהא דמהני לולד שחיטת עצמו, הוא דוקא במקום שלא הועילו לו סימני אמו, כגון שנטרפה או</w:t>
      </w:r>
      <w:r w:rsidRPr="00AD0398">
        <w:rPr>
          <w:rFonts w:hint="cs"/>
          <w:rtl/>
        </w:rPr>
        <w:t xml:space="preserve"> </w:t>
      </w:r>
      <w:r>
        <w:rPr>
          <w:rFonts w:hint="cs"/>
          <w:rtl/>
        </w:rPr>
        <w:t xml:space="preserve">נקרעה, אבל במקום דסימני אמו הועילו לולד, אין לו את סימני עצמו כלל, והצד השני הוא דבכל גווני יש לעובר ד' סימנים, וא"כ אף בנשחט במעי אמו מהני לו שחיטתו, וכתב </w:t>
      </w:r>
      <w:r w:rsidRPr="00710C3B">
        <w:rPr>
          <w:rStyle w:val="af9"/>
          <w:rFonts w:hint="cs"/>
          <w:rtl/>
        </w:rPr>
        <w:t xml:space="preserve">הר"ן על הרי"ף </w:t>
      </w:r>
      <w:r>
        <w:rPr>
          <w:rFonts w:hint="cs"/>
          <w:rtl/>
        </w:rPr>
        <w:t xml:space="preserve">בשם </w:t>
      </w:r>
      <w:r w:rsidRPr="00710C3B">
        <w:rPr>
          <w:rStyle w:val="af9"/>
          <w:rFonts w:hint="cs"/>
          <w:rtl/>
        </w:rPr>
        <w:t xml:space="preserve">התוס' </w:t>
      </w:r>
      <w:r>
        <w:rPr>
          <w:rFonts w:hint="cs"/>
          <w:rtl/>
        </w:rPr>
        <w:t xml:space="preserve">דכיון דספיקא דרב הושעיא לא נפשט, נקטינן לחומרא, ועי' במ"ש </w:t>
      </w:r>
      <w:r w:rsidRPr="00E266C5">
        <w:rPr>
          <w:rStyle w:val="af9"/>
          <w:rFonts w:hint="cs"/>
          <w:rtl/>
        </w:rPr>
        <w:t>הר"ן</w:t>
      </w:r>
      <w:r>
        <w:rPr>
          <w:rFonts w:hint="cs"/>
          <w:rtl/>
        </w:rPr>
        <w:t xml:space="preserve"> </w:t>
      </w:r>
      <w:r w:rsidRPr="003C1584">
        <w:rPr>
          <w:rStyle w:val="af7"/>
          <w:rFonts w:eastAsia="Guttman Hodes" w:hint="cs"/>
          <w:rtl/>
        </w:rPr>
        <w:t xml:space="preserve">(עי' אות </w:t>
      </w:r>
      <w:r w:rsidRPr="003C1584">
        <w:rPr>
          <w:rStyle w:val="af7"/>
          <w:rFonts w:eastAsia="Guttman Hodes"/>
          <w:rtl/>
        </w:rPr>
        <w:fldChar w:fldCharType="begin"/>
      </w:r>
      <w:r w:rsidRPr="003C1584">
        <w:rPr>
          <w:rStyle w:val="af7"/>
          <w:rFonts w:eastAsia="Guttman Hodes"/>
          <w:rtl/>
        </w:rPr>
        <w:instrText xml:space="preserve"> </w:instrText>
      </w:r>
      <w:r w:rsidRPr="003C1584">
        <w:rPr>
          <w:rStyle w:val="af7"/>
          <w:rFonts w:eastAsia="Guttman Hodes" w:hint="cs"/>
        </w:rPr>
        <w:instrText>REF</w:instrText>
      </w:r>
      <w:r w:rsidRPr="003C1584">
        <w:rPr>
          <w:rStyle w:val="af7"/>
          <w:rFonts w:eastAsia="Guttman Hodes" w:hint="cs"/>
          <w:rtl/>
        </w:rPr>
        <w:instrText xml:space="preserve"> _</w:instrText>
      </w:r>
      <w:r w:rsidRPr="003C1584">
        <w:rPr>
          <w:rStyle w:val="af7"/>
          <w:rFonts w:eastAsia="Guttman Hodes" w:hint="cs"/>
        </w:rPr>
        <w:instrText>Ref1379202 \r \h</w:instrText>
      </w:r>
      <w:r w:rsidRPr="003C1584">
        <w:rPr>
          <w:rStyle w:val="af7"/>
          <w:rFonts w:eastAsia="Guttman Hodes"/>
          <w:rtl/>
        </w:rPr>
        <w:instrText xml:space="preserve"> </w:instrText>
      </w:r>
      <w:r w:rsidRPr="003C1584">
        <w:rPr>
          <w:rStyle w:val="af7"/>
          <w:rFonts w:eastAsia="Guttman Hodes"/>
          <w:rtl/>
        </w:rPr>
      </w:r>
      <w:r w:rsidRPr="003C1584">
        <w:rPr>
          <w:rStyle w:val="af7"/>
          <w:rFonts w:eastAsia="Guttman Hodes"/>
          <w:rtl/>
        </w:rPr>
        <w:fldChar w:fldCharType="separate"/>
      </w:r>
      <w:r w:rsidR="00345400">
        <w:rPr>
          <w:rStyle w:val="af7"/>
          <w:rFonts w:eastAsia="Guttman Hodes"/>
          <w:cs/>
        </w:rPr>
        <w:t>‎</w:t>
      </w:r>
      <w:r w:rsidR="00345400">
        <w:rPr>
          <w:rStyle w:val="af7"/>
          <w:rFonts w:eastAsia="Guttman Hodes"/>
          <w:rtl/>
        </w:rPr>
        <w:t>י)</w:t>
      </w:r>
      <w:r w:rsidRPr="003C1584">
        <w:rPr>
          <w:rStyle w:val="af7"/>
          <w:rFonts w:eastAsia="Guttman Hodes"/>
          <w:rtl/>
        </w:rPr>
        <w:fldChar w:fldCharType="end"/>
      </w:r>
      <w:r>
        <w:rPr>
          <w:rFonts w:hint="cs"/>
          <w:rtl/>
        </w:rPr>
        <w:t xml:space="preserve"> </w:t>
      </w:r>
      <w:r w:rsidRPr="00E266C5">
        <w:rPr>
          <w:rStyle w:val="af9"/>
          <w:rFonts w:hint="cs"/>
          <w:rtl/>
        </w:rPr>
        <w:t>דהרי"ף</w:t>
      </w:r>
      <w:r>
        <w:rPr>
          <w:rFonts w:hint="cs"/>
          <w:rtl/>
        </w:rPr>
        <w:t xml:space="preserve"> פליג וס"ל דלמ"ד דד' סימנים מהני השחיטה במעי אמו,</w:t>
      </w:r>
      <w:r w:rsidRPr="00ED0365">
        <w:rPr>
          <w:rFonts w:hint="cs"/>
          <w:rtl/>
        </w:rPr>
        <w:t xml:space="preserve"> </w:t>
      </w:r>
      <w:r w:rsidRPr="00C1101B">
        <w:rPr>
          <w:rFonts w:hint="cs"/>
          <w:rtl/>
        </w:rPr>
        <w:t xml:space="preserve">ועי' בדברי </w:t>
      </w:r>
      <w:r w:rsidRPr="00C1101B">
        <w:rPr>
          <w:rStyle w:val="af9"/>
          <w:rFonts w:hint="cs"/>
          <w:rtl/>
        </w:rPr>
        <w:t xml:space="preserve">התורת יקותיאל </w:t>
      </w:r>
      <w:r w:rsidRPr="00C1101B">
        <w:rPr>
          <w:rStyle w:val="af7"/>
          <w:rFonts w:eastAsia="Guttman Hodes" w:hint="cs"/>
          <w:rtl/>
        </w:rPr>
        <w:t xml:space="preserve">(עי' אות </w:t>
      </w:r>
      <w:r w:rsidRPr="00C1101B">
        <w:rPr>
          <w:rStyle w:val="af7"/>
          <w:rFonts w:eastAsia="Guttman Hodes"/>
          <w:rtl/>
        </w:rPr>
        <w:fldChar w:fldCharType="begin"/>
      </w:r>
      <w:r w:rsidRPr="00C1101B">
        <w:rPr>
          <w:rStyle w:val="af7"/>
          <w:rFonts w:eastAsia="Guttman Hodes"/>
          <w:rtl/>
        </w:rPr>
        <w:instrText xml:space="preserve"> </w:instrText>
      </w:r>
      <w:r w:rsidRPr="00C1101B">
        <w:rPr>
          <w:rStyle w:val="af7"/>
          <w:rFonts w:eastAsia="Guttman Hodes" w:hint="cs"/>
        </w:rPr>
        <w:instrText>REF</w:instrText>
      </w:r>
      <w:r w:rsidRPr="00C1101B">
        <w:rPr>
          <w:rStyle w:val="af7"/>
          <w:rFonts w:eastAsia="Guttman Hodes" w:hint="cs"/>
          <w:rtl/>
        </w:rPr>
        <w:instrText xml:space="preserve"> _</w:instrText>
      </w:r>
      <w:r w:rsidRPr="00C1101B">
        <w:rPr>
          <w:rStyle w:val="af7"/>
          <w:rFonts w:eastAsia="Guttman Hodes" w:hint="cs"/>
        </w:rPr>
        <w:instrText>Ref1504267 \r \h</w:instrText>
      </w:r>
      <w:r w:rsidRPr="00C1101B">
        <w:rPr>
          <w:rStyle w:val="af7"/>
          <w:rFonts w:eastAsia="Guttman Hodes"/>
          <w:rtl/>
        </w:rPr>
        <w:instrText xml:space="preserve">  \* </w:instrText>
      </w:r>
      <w:r w:rsidRPr="00C1101B">
        <w:rPr>
          <w:rStyle w:val="af7"/>
          <w:rFonts w:eastAsia="Guttman Hodes"/>
        </w:rPr>
        <w:instrText>MERGEFORMAT</w:instrText>
      </w:r>
      <w:r w:rsidRPr="00C1101B">
        <w:rPr>
          <w:rStyle w:val="af7"/>
          <w:rFonts w:eastAsia="Guttman Hodes"/>
          <w:rtl/>
        </w:rPr>
        <w:instrText xml:space="preserve"> </w:instrText>
      </w:r>
      <w:r w:rsidRPr="00C1101B">
        <w:rPr>
          <w:rStyle w:val="af7"/>
          <w:rFonts w:eastAsia="Guttman Hodes"/>
          <w:rtl/>
        </w:rPr>
      </w:r>
      <w:r w:rsidRPr="00C1101B">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C1101B">
        <w:rPr>
          <w:rStyle w:val="af7"/>
          <w:rFonts w:eastAsia="Guttman Hodes"/>
          <w:rtl/>
        </w:rPr>
        <w:fldChar w:fldCharType="end"/>
      </w:r>
      <w:r w:rsidRPr="00C1101B">
        <w:rPr>
          <w:rFonts w:hint="cs"/>
          <w:rtl/>
        </w:rPr>
        <w:t xml:space="preserve"> </w:t>
      </w:r>
      <w:r>
        <w:rPr>
          <w:rFonts w:hint="cs"/>
          <w:rtl/>
        </w:rPr>
        <w:t xml:space="preserve">בביאור החילוק בין דברי </w:t>
      </w:r>
      <w:r w:rsidRPr="00ED0365">
        <w:rPr>
          <w:rStyle w:val="af9"/>
          <w:rFonts w:hint="cs"/>
          <w:rtl/>
        </w:rPr>
        <w:t>התוס'</w:t>
      </w:r>
      <w:r>
        <w:rPr>
          <w:rFonts w:hint="cs"/>
          <w:rtl/>
        </w:rPr>
        <w:t xml:space="preserve">, לדברי </w:t>
      </w:r>
      <w:r w:rsidRPr="00C1101B">
        <w:rPr>
          <w:rStyle w:val="af9"/>
          <w:rFonts w:hint="cs"/>
          <w:rtl/>
        </w:rPr>
        <w:t xml:space="preserve">הר"ן </w:t>
      </w:r>
      <w:r w:rsidRPr="00C1101B">
        <w:rPr>
          <w:rFonts w:hint="cs"/>
          <w:rtl/>
        </w:rPr>
        <w:t xml:space="preserve">בשם </w:t>
      </w:r>
      <w:r w:rsidRPr="00C1101B">
        <w:rPr>
          <w:rStyle w:val="af9"/>
          <w:rFonts w:hint="cs"/>
          <w:rtl/>
        </w:rPr>
        <w:t>התוס'</w:t>
      </w:r>
      <w:r>
        <w:rPr>
          <w:rFonts w:hint="cs"/>
          <w:rtl/>
        </w:rPr>
        <w:t>.</w:t>
      </w:r>
      <w:bookmarkEnd w:id="20962"/>
      <w:r>
        <w:rPr>
          <w:rFonts w:hint="cs"/>
          <w:rtl/>
        </w:rPr>
        <w:t xml:space="preserve">   </w:t>
      </w:r>
    </w:p>
    <w:p w14:paraId="431AA392" w14:textId="77777777" w:rsidR="003D504D" w:rsidRDefault="003D504D" w:rsidP="003D504D">
      <w:pPr>
        <w:pStyle w:val="a3"/>
        <w:rPr>
          <w:rtl/>
        </w:rPr>
      </w:pPr>
      <w:bookmarkStart w:id="20963" w:name="_Toc19391619"/>
      <w:bookmarkStart w:id="20964" w:name="_Toc19395116"/>
      <w:r>
        <w:rPr>
          <w:rFonts w:hint="cs"/>
          <w:rtl/>
        </w:rPr>
        <w:t>קושית הגרעק"א על הר"ן בשם תוס' דבטריפה שאין לו את סימני אמו תועיל שחיטתו במעי אמו</w:t>
      </w:r>
      <w:bookmarkEnd w:id="20955"/>
      <w:bookmarkEnd w:id="20963"/>
      <w:bookmarkEnd w:id="20964"/>
      <w:r>
        <w:rPr>
          <w:rFonts w:hint="cs"/>
          <w:rtl/>
        </w:rPr>
        <w:t xml:space="preserve"> </w:t>
      </w:r>
      <w:bookmarkEnd w:id="20956"/>
      <w:bookmarkEnd w:id="20957"/>
      <w:bookmarkEnd w:id="20958"/>
      <w:bookmarkEnd w:id="20959"/>
      <w:bookmarkEnd w:id="20960"/>
      <w:bookmarkEnd w:id="20961"/>
    </w:p>
    <w:p w14:paraId="7001EEE1" w14:textId="77777777" w:rsidR="003D504D" w:rsidRDefault="003D504D" w:rsidP="00223668">
      <w:pPr>
        <w:pStyle w:val="a0"/>
      </w:pPr>
      <w:bookmarkStart w:id="20965" w:name="_Ref1676261"/>
      <w:bookmarkStart w:id="20966" w:name="_Toc1668726"/>
      <w:bookmarkStart w:id="20967" w:name="_Toc1716593"/>
      <w:bookmarkStart w:id="20968" w:name="_Toc1725738"/>
      <w:bookmarkStart w:id="20969" w:name="_Toc1728116"/>
      <w:bookmarkStart w:id="20970" w:name="_Toc1938656"/>
      <w:bookmarkStart w:id="20971" w:name="_Toc1938749"/>
      <w:bookmarkStart w:id="20972" w:name="_Toc2078432"/>
      <w:r>
        <w:rPr>
          <w:rFonts w:hint="cs"/>
          <w:rtl/>
        </w:rPr>
        <w:t xml:space="preserve">והקשה </w:t>
      </w:r>
      <w:r>
        <w:rPr>
          <w:rStyle w:val="af9"/>
          <w:rtl/>
        </w:rPr>
        <w:t xml:space="preserve">הגרעק"א </w:t>
      </w:r>
      <w:r>
        <w:rPr>
          <w:rStyle w:val="af7"/>
          <w:rFonts w:eastAsia="Guttman Hodes" w:hint="cs"/>
          <w:rtl/>
        </w:rPr>
        <w:t>(ד"ה בהר"ן)</w:t>
      </w:r>
      <w:r>
        <w:rPr>
          <w:rFonts w:hint="cs"/>
          <w:rtl/>
        </w:rPr>
        <w:t xml:space="preserve"> על דברי </w:t>
      </w:r>
      <w:r>
        <w:rPr>
          <w:rStyle w:val="af9"/>
          <w:rtl/>
        </w:rPr>
        <w:t xml:space="preserve">הר"ן </w:t>
      </w:r>
      <w:r>
        <w:rPr>
          <w:rFonts w:hint="cs"/>
          <w:rtl/>
        </w:rPr>
        <w:t xml:space="preserve">בשם </w:t>
      </w:r>
      <w:r>
        <w:rPr>
          <w:rStyle w:val="af9"/>
          <w:rtl/>
        </w:rPr>
        <w:t xml:space="preserve">התוס' </w:t>
      </w:r>
      <w:r>
        <w:rPr>
          <w:rFonts w:hint="cs"/>
          <w:rtl/>
        </w:rPr>
        <w:t xml:space="preserve">דלפי"ז במקום שנמצאת האם טריפה, מהני שחיטת הולד כיון שסימני האם אינם מועילים לולד, והרי לדעת ר"מ דבן ט' חי טעון שחיטה, וא"כ אין לו את סימני אמו, ואפ"ה מספקא ליה לרב הושעיא אי לא מהני שחיטתו במעי אמו, אף לדעת ר"מ, אעפ"י דודאי שסימני אמו אינם מועילים לו, ועי' בדברי </w:t>
      </w:r>
      <w:r>
        <w:rPr>
          <w:rStyle w:val="af9"/>
          <w:rtl/>
        </w:rPr>
        <w:t xml:space="preserve">התורת יקותיאל </w:t>
      </w:r>
      <w:r>
        <w:rPr>
          <w:rStyle w:val="af7"/>
          <w:rFonts w:eastAsia="Guttman Hodes" w:hint="cs"/>
          <w:rtl/>
        </w:rPr>
        <w:t xml:space="preserve">(עי' אות </w:t>
      </w:r>
      <w:r>
        <w:rPr>
          <w:rFont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Ref1504267 \r \h</w:instrText>
      </w:r>
      <w:r>
        <w:rPr>
          <w:rStyle w:val="af7"/>
          <w:rFonts w:eastAsia="Guttman Hodes" w:hint="cs"/>
          <w:rtl/>
        </w:rPr>
        <w:instrText xml:space="preserve">  \* </w:instrText>
      </w:r>
      <w:r>
        <w:rPr>
          <w:rStyle w:val="af7"/>
          <w:rFonts w:eastAsia="Guttman Hodes"/>
        </w:rPr>
        <w:instrText>MERGEFORMAT</w:instrText>
      </w:r>
      <w:r>
        <w:rPr>
          <w:rStyle w:val="af7"/>
          <w:rFonts w:eastAsia="Guttman Hodes" w:hint="cs"/>
          <w:rtl/>
        </w:rPr>
        <w:instrText xml:space="preserve"> </w:instrText>
      </w:r>
      <w:r>
        <w:rPr>
          <w:rFonts w:hint="cs"/>
          <w:rtl/>
        </w:rPr>
      </w:r>
      <w:r>
        <w:rPr>
          <w:rFonts w:hint="cs"/>
          <w:rtl/>
        </w:rPr>
        <w:fldChar w:fldCharType="separate"/>
      </w:r>
      <w:r w:rsidR="00345400">
        <w:rPr>
          <w:rStyle w:val="af7"/>
          <w:rFonts w:eastAsia="Guttman Hodes" w:hint="eastAsia"/>
          <w:cs/>
        </w:rPr>
        <w:t>‎</w:t>
      </w:r>
      <w:r w:rsidR="00345400">
        <w:rPr>
          <w:rStyle w:val="af7"/>
          <w:rFonts w:eastAsia="Guttman Hodes" w:hint="eastAsia"/>
          <w:rtl/>
        </w:rPr>
        <w:t>יג</w:t>
      </w:r>
      <w:r w:rsidR="00345400">
        <w:rPr>
          <w:rStyle w:val="af7"/>
          <w:rFonts w:eastAsia="Guttman Hodes"/>
          <w:rtl/>
        </w:rPr>
        <w:t>)</w:t>
      </w:r>
      <w:r>
        <w:rPr>
          <w:rFonts w:hint="cs"/>
          <w:rtl/>
        </w:rPr>
        <w:fldChar w:fldCharType="end"/>
      </w:r>
      <w:r>
        <w:rPr>
          <w:rFonts w:hint="cs"/>
          <w:rtl/>
        </w:rPr>
        <w:t xml:space="preserve"> דביאר כן בדעת</w:t>
      </w:r>
      <w:r>
        <w:rPr>
          <w:rStyle w:val="af9"/>
          <w:rFonts w:hint="cs"/>
          <w:rtl/>
        </w:rPr>
        <w:t xml:space="preserve"> </w:t>
      </w:r>
      <w:r>
        <w:rPr>
          <w:rStyle w:val="af9"/>
          <w:rtl/>
        </w:rPr>
        <w:t xml:space="preserve">הר"ן </w:t>
      </w:r>
      <w:r>
        <w:rPr>
          <w:rFonts w:hint="cs"/>
          <w:rtl/>
        </w:rPr>
        <w:t xml:space="preserve">בשם </w:t>
      </w:r>
      <w:r>
        <w:rPr>
          <w:rStyle w:val="af9"/>
          <w:rtl/>
        </w:rPr>
        <w:t>התוס'</w:t>
      </w:r>
      <w:r>
        <w:rPr>
          <w:rFonts w:hint="cs"/>
          <w:rtl/>
        </w:rPr>
        <w:t xml:space="preserve"> דכשהאם טריפה מהני שחיטת עובר במעי אמו, ודלא </w:t>
      </w:r>
      <w:r>
        <w:rPr>
          <w:rStyle w:val="af9"/>
          <w:rtl/>
        </w:rPr>
        <w:t>כהרא"ה בביצה בתירוץ הג'</w:t>
      </w:r>
      <w:r>
        <w:rPr>
          <w:rFonts w:hint="cs"/>
          <w:rtl/>
        </w:rPr>
        <w:t xml:space="preserve"> </w:t>
      </w:r>
      <w:r>
        <w:rPr>
          <w:rStyle w:val="af7"/>
          <w:rFonts w:eastAsia="Guttman Hodes" w:hint="cs"/>
          <w:rtl/>
        </w:rPr>
        <w:t xml:space="preserve">(עי' אות </w:t>
      </w:r>
      <w:r>
        <w:rPr>
          <w:rFont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Ref1504217 \r \h</w:instrText>
      </w:r>
      <w:r>
        <w:rPr>
          <w:rStyle w:val="af7"/>
          <w:rFonts w:eastAsia="Guttman Hodes" w:hint="cs"/>
          <w:rtl/>
        </w:rPr>
        <w:instrText xml:space="preserve"> </w:instrText>
      </w:r>
      <w:r>
        <w:rPr>
          <w:rFonts w:hint="cs"/>
          <w:rtl/>
        </w:rPr>
      </w:r>
      <w:r>
        <w:rPr>
          <w:rFonts w:hint="cs"/>
          <w:rtl/>
        </w:rPr>
        <w:fldChar w:fldCharType="separate"/>
      </w:r>
      <w:r w:rsidR="00345400">
        <w:rPr>
          <w:rStyle w:val="af7"/>
          <w:rFonts w:eastAsia="Guttman Hodes" w:hint="eastAsia"/>
          <w:cs/>
        </w:rPr>
        <w:t>‎</w:t>
      </w:r>
      <w:r w:rsidR="00345400">
        <w:rPr>
          <w:rStyle w:val="af7"/>
          <w:rFonts w:eastAsia="Guttman Hodes" w:hint="eastAsia"/>
          <w:rtl/>
        </w:rPr>
        <w:t>כ</w:t>
      </w:r>
      <w:r w:rsidR="00345400">
        <w:rPr>
          <w:rStyle w:val="af7"/>
          <w:rFonts w:eastAsia="Guttman Hodes"/>
          <w:rtl/>
        </w:rPr>
        <w:t>)</w:t>
      </w:r>
      <w:r>
        <w:rPr>
          <w:rFonts w:hint="cs"/>
          <w:rtl/>
        </w:rPr>
        <w:fldChar w:fldCharType="end"/>
      </w:r>
      <w:r>
        <w:rPr>
          <w:rFonts w:hint="cs"/>
          <w:rtl/>
        </w:rPr>
        <w:t>.</w:t>
      </w:r>
      <w:bookmarkEnd w:id="20965"/>
    </w:p>
    <w:p w14:paraId="15361B96" w14:textId="77777777" w:rsidR="003D504D" w:rsidRPr="001578E6" w:rsidRDefault="003D504D" w:rsidP="00BF39B2">
      <w:pPr>
        <w:pStyle w:val="1"/>
        <w:rPr>
          <w:rtl/>
        </w:rPr>
      </w:pPr>
      <w:bookmarkStart w:id="20973" w:name="_Toc19391620"/>
      <w:bookmarkStart w:id="20974" w:name="_Toc19395117"/>
      <w:r>
        <w:rPr>
          <w:rFonts w:hint="cs"/>
          <w:rtl/>
        </w:rPr>
        <w:t>דברי המאירי</w:t>
      </w:r>
      <w:bookmarkEnd w:id="20966"/>
      <w:bookmarkEnd w:id="20967"/>
      <w:bookmarkEnd w:id="20968"/>
      <w:bookmarkEnd w:id="20969"/>
      <w:bookmarkEnd w:id="20970"/>
      <w:bookmarkEnd w:id="20971"/>
      <w:r>
        <w:rPr>
          <w:rFonts w:hint="cs"/>
          <w:rtl/>
        </w:rPr>
        <w:t xml:space="preserve"> דלפני שנולד הוא במקום שא"צ שחיטה</w:t>
      </w:r>
      <w:bookmarkEnd w:id="20972"/>
      <w:bookmarkEnd w:id="20973"/>
      <w:bookmarkEnd w:id="20974"/>
    </w:p>
    <w:p w14:paraId="57CD080E" w14:textId="77777777" w:rsidR="003D504D" w:rsidRDefault="003D504D" w:rsidP="003D504D">
      <w:pPr>
        <w:pStyle w:val="a3"/>
        <w:rPr>
          <w:rtl/>
        </w:rPr>
      </w:pPr>
      <w:bookmarkStart w:id="20975" w:name="_Toc2078433"/>
      <w:bookmarkStart w:id="20976" w:name="_Toc19391621"/>
      <w:bookmarkStart w:id="20977" w:name="_Toc19395118"/>
      <w:bookmarkStart w:id="20978" w:name="_Toc1668727"/>
      <w:bookmarkStart w:id="20979" w:name="_Toc1716594"/>
      <w:bookmarkStart w:id="20980" w:name="_Toc1725739"/>
      <w:bookmarkStart w:id="20981" w:name="_Toc1728117"/>
      <w:bookmarkStart w:id="20982" w:name="_Toc1938657"/>
      <w:bookmarkStart w:id="20983" w:name="_Toc1938750"/>
      <w:r>
        <w:rPr>
          <w:rFonts w:hint="cs"/>
          <w:rtl/>
        </w:rPr>
        <w:t>ביאור המאירי דאף דכשיולד יהיה בו שחיטה עכשיו הוא במקום שא"צ שחיטה ומהני שחיטת אמו</w:t>
      </w:r>
      <w:bookmarkEnd w:id="20975"/>
      <w:bookmarkEnd w:id="20976"/>
      <w:bookmarkEnd w:id="20977"/>
      <w:r>
        <w:rPr>
          <w:rFonts w:hint="cs"/>
          <w:rtl/>
        </w:rPr>
        <w:t xml:space="preserve"> </w:t>
      </w:r>
      <w:bookmarkEnd w:id="20978"/>
      <w:bookmarkEnd w:id="20979"/>
      <w:bookmarkEnd w:id="20980"/>
      <w:bookmarkEnd w:id="20981"/>
      <w:bookmarkEnd w:id="20982"/>
      <w:bookmarkEnd w:id="20983"/>
    </w:p>
    <w:p w14:paraId="6FBAF49F" w14:textId="77777777" w:rsidR="003D504D" w:rsidRPr="00E93559" w:rsidRDefault="003D504D" w:rsidP="00223668">
      <w:pPr>
        <w:pStyle w:val="a0"/>
        <w:rPr>
          <w:rtl/>
        </w:rPr>
      </w:pPr>
      <w:r w:rsidRPr="00E93559">
        <w:rPr>
          <w:rStyle w:val="af9"/>
          <w:rFonts w:hint="cs"/>
          <w:rtl/>
        </w:rPr>
        <w:t>והמאירי</w:t>
      </w:r>
      <w:r w:rsidRPr="00E93559">
        <w:rPr>
          <w:rStyle w:val="af7"/>
          <w:rFonts w:eastAsia="Guttman Hodes" w:hint="cs"/>
          <w:rtl/>
        </w:rPr>
        <w:t xml:space="preserve"> (ד"ה מי) </w:t>
      </w:r>
      <w:r>
        <w:rPr>
          <w:rFonts w:hint="cs"/>
          <w:rtl/>
        </w:rPr>
        <w:t xml:space="preserve">ביאר את הצד דלא מהני ליה שחיטה, דאף שאם נולד הבן ט' היה לו דין שחיטה, מ"מ כיון שעכשיו הוא במקום שא"צ שחיטה, דמותר בשחיטת אמו, לכן לא מהני לו שחיטה, וביאר </w:t>
      </w:r>
      <w:r w:rsidRPr="00E93559">
        <w:rPr>
          <w:rStyle w:val="af9"/>
          <w:rFonts w:hint="cs"/>
          <w:rtl/>
        </w:rPr>
        <w:t xml:space="preserve">המאירי </w:t>
      </w:r>
      <w:r>
        <w:rPr>
          <w:rFonts w:hint="cs"/>
          <w:rtl/>
        </w:rPr>
        <w:t xml:space="preserve">דכ"מ דאמרינן דד' סימנים אכשר ביה רחמנא, היינו במקום שמהני לו שחיטת סימני אמו, ולכן אינו נפטר בשחיטת סימני עצמו, אבל הכא כיון דמותר בשחיטת אמו לא מהני שחיטתו, וכתב </w:t>
      </w:r>
      <w:r w:rsidRPr="00DD4CE8">
        <w:rPr>
          <w:rStyle w:val="af9"/>
          <w:rFonts w:hint="cs"/>
          <w:rtl/>
        </w:rPr>
        <w:t xml:space="preserve">המאירי </w:t>
      </w:r>
      <w:r>
        <w:rPr>
          <w:rFonts w:hint="cs"/>
          <w:rtl/>
        </w:rPr>
        <w:t>דאף דהוא ספק בגמ', מ"מ כיון דלא נפשט ראוי להחמיר.</w:t>
      </w:r>
    </w:p>
    <w:p w14:paraId="72477B68" w14:textId="77777777" w:rsidR="003D504D" w:rsidRDefault="003D504D" w:rsidP="00BF39B2">
      <w:pPr>
        <w:pStyle w:val="1"/>
        <w:rPr>
          <w:rtl/>
        </w:rPr>
      </w:pPr>
      <w:bookmarkStart w:id="20984" w:name="_Toc1318699"/>
      <w:bookmarkStart w:id="20985" w:name="_Toc1380114"/>
      <w:bookmarkStart w:id="20986" w:name="_Toc1419322"/>
      <w:bookmarkStart w:id="20987" w:name="_Toc1592202"/>
      <w:bookmarkStart w:id="20988" w:name="_Toc1668729"/>
      <w:bookmarkStart w:id="20989" w:name="_Toc1716596"/>
      <w:bookmarkStart w:id="20990" w:name="_Toc1725741"/>
      <w:bookmarkStart w:id="20991" w:name="_Toc1728119"/>
      <w:bookmarkStart w:id="20992" w:name="_Toc1938659"/>
      <w:bookmarkStart w:id="20993" w:name="_Toc1938752"/>
      <w:bookmarkStart w:id="20994" w:name="_Toc2078434"/>
      <w:bookmarkStart w:id="20995" w:name="_Toc19391622"/>
      <w:bookmarkStart w:id="20996" w:name="_Toc19395119"/>
      <w:r>
        <w:rPr>
          <w:rFonts w:hint="cs"/>
          <w:rtl/>
        </w:rPr>
        <w:t>ביאור הר"ן בדעת הרי"ף</w:t>
      </w:r>
      <w:bookmarkEnd w:id="20984"/>
      <w:bookmarkEnd w:id="20985"/>
      <w:bookmarkEnd w:id="20986"/>
      <w:bookmarkEnd w:id="20987"/>
      <w:bookmarkEnd w:id="20988"/>
      <w:bookmarkEnd w:id="20989"/>
      <w:bookmarkEnd w:id="20990"/>
      <w:bookmarkEnd w:id="20991"/>
      <w:bookmarkEnd w:id="20992"/>
      <w:bookmarkEnd w:id="20993"/>
      <w:r>
        <w:rPr>
          <w:rFonts w:hint="cs"/>
          <w:rtl/>
        </w:rPr>
        <w:t xml:space="preserve"> דלמ"ד ד' סימנים מהני השחיטה</w:t>
      </w:r>
      <w:bookmarkEnd w:id="20994"/>
      <w:bookmarkEnd w:id="20995"/>
      <w:bookmarkEnd w:id="20996"/>
    </w:p>
    <w:p w14:paraId="3B564A87" w14:textId="77777777" w:rsidR="003D504D" w:rsidRPr="00AD0398" w:rsidRDefault="003D504D" w:rsidP="003D504D">
      <w:pPr>
        <w:pStyle w:val="a3"/>
        <w:rPr>
          <w:rtl/>
        </w:rPr>
      </w:pPr>
      <w:bookmarkStart w:id="20997" w:name="_Toc1668730"/>
      <w:bookmarkStart w:id="20998" w:name="_Toc1716597"/>
      <w:bookmarkStart w:id="20999" w:name="_Toc1725742"/>
      <w:bookmarkStart w:id="21000" w:name="_Toc1728120"/>
      <w:bookmarkStart w:id="21001" w:name="_Toc1938660"/>
      <w:bookmarkStart w:id="21002" w:name="_Toc1938753"/>
      <w:bookmarkStart w:id="21003" w:name="_Toc2078435"/>
      <w:bookmarkStart w:id="21004" w:name="_Toc19391623"/>
      <w:bookmarkStart w:id="21005" w:name="_Toc19395120"/>
      <w:r>
        <w:rPr>
          <w:rFonts w:hint="cs"/>
          <w:rtl/>
        </w:rPr>
        <w:t>דברי הר"ן דלהרי"ף קיי"ל כמ"ד דד' סימנים ופשיטא דמהני שחיטה במעי אמו</w:t>
      </w:r>
      <w:bookmarkEnd w:id="20997"/>
      <w:bookmarkEnd w:id="20998"/>
      <w:bookmarkEnd w:id="20999"/>
      <w:bookmarkEnd w:id="21000"/>
      <w:bookmarkEnd w:id="21001"/>
      <w:bookmarkEnd w:id="21002"/>
      <w:bookmarkEnd w:id="21003"/>
      <w:bookmarkEnd w:id="21004"/>
      <w:bookmarkEnd w:id="21005"/>
    </w:p>
    <w:p w14:paraId="7875FFB8" w14:textId="77777777" w:rsidR="003D504D" w:rsidRDefault="003D504D" w:rsidP="00223668">
      <w:pPr>
        <w:pStyle w:val="a0"/>
        <w:rPr>
          <w:rtl/>
        </w:rPr>
      </w:pPr>
      <w:bookmarkStart w:id="21006" w:name="_Ref1379202"/>
      <w:r w:rsidRPr="00A63C3B">
        <w:rPr>
          <w:rFonts w:hint="cs"/>
          <w:rtl/>
        </w:rPr>
        <w:t xml:space="preserve">בהא </w:t>
      </w:r>
      <w:r w:rsidRPr="00A63C3B">
        <w:rPr>
          <w:rStyle w:val="af9"/>
          <w:rFonts w:hint="cs"/>
          <w:rtl/>
        </w:rPr>
        <w:t xml:space="preserve">דהרי"ף </w:t>
      </w:r>
      <w:r w:rsidRPr="00A63C3B">
        <w:rPr>
          <w:rFonts w:hint="cs"/>
          <w:rtl/>
        </w:rPr>
        <w:t>השמיט את</w:t>
      </w:r>
      <w:r>
        <w:rPr>
          <w:rFonts w:hint="cs"/>
          <w:rtl/>
        </w:rPr>
        <w:t xml:space="preserve"> ספיקא דרב הושעיא, כתב </w:t>
      </w:r>
      <w:r w:rsidRPr="00AD0398">
        <w:rPr>
          <w:rStyle w:val="af9"/>
          <w:rFonts w:hint="cs"/>
          <w:rtl/>
        </w:rPr>
        <w:t>הר"ן על הרי"ף</w:t>
      </w:r>
      <w:r>
        <w:rPr>
          <w:rFonts w:hint="cs"/>
          <w:rtl/>
        </w:rPr>
        <w:t xml:space="preserve"> </w:t>
      </w:r>
      <w:r w:rsidRPr="00AD0398">
        <w:rPr>
          <w:rStyle w:val="af7"/>
          <w:rFonts w:eastAsia="Guttman Hodes" w:hint="cs"/>
          <w:rtl/>
        </w:rPr>
        <w:t>(כה. מדפי הרי"ף ד"ה גרסי')</w:t>
      </w:r>
      <w:r>
        <w:rPr>
          <w:rFonts w:hint="cs"/>
          <w:rtl/>
        </w:rPr>
        <w:t xml:space="preserve"> הוא כיון דקיי"ל כמ"ד דד' סימנים אכשר ביה רחמנא, וא"כ מהני שחיטה לעובר אף במעי אמו, ולא ס"ל </w:t>
      </w:r>
      <w:r w:rsidRPr="00455F2A">
        <w:rPr>
          <w:rStyle w:val="af9"/>
          <w:rFonts w:hint="cs"/>
          <w:rtl/>
        </w:rPr>
        <w:t xml:space="preserve">להרי"ף </w:t>
      </w:r>
      <w:r>
        <w:rPr>
          <w:rFonts w:hint="cs"/>
          <w:rtl/>
        </w:rPr>
        <w:t xml:space="preserve">כדביארו </w:t>
      </w:r>
      <w:r w:rsidRPr="00455F2A">
        <w:rPr>
          <w:rStyle w:val="af9"/>
          <w:rFonts w:hint="cs"/>
          <w:rtl/>
        </w:rPr>
        <w:t>התוס'</w:t>
      </w:r>
      <w:r>
        <w:rPr>
          <w:rStyle w:val="af9"/>
          <w:rFonts w:hint="cs"/>
          <w:rtl/>
        </w:rPr>
        <w:t xml:space="preserve"> והרשב"א</w:t>
      </w:r>
      <w:r>
        <w:rPr>
          <w:rFonts w:hint="cs"/>
          <w:rtl/>
        </w:rPr>
        <w:t xml:space="preserve"> </w:t>
      </w:r>
      <w:r w:rsidRPr="00E266C5">
        <w:rPr>
          <w:rStyle w:val="af7"/>
          <w:rFonts w:eastAsia="Guttman Hodes" w:hint="cs"/>
          <w:rtl/>
        </w:rPr>
        <w:t xml:space="preserve">(עי' אות </w:t>
      </w:r>
      <w:r w:rsidRPr="00E266C5">
        <w:rPr>
          <w:rStyle w:val="af7"/>
          <w:rFonts w:eastAsia="Guttman Hodes"/>
          <w:rtl/>
        </w:rPr>
        <w:fldChar w:fldCharType="begin"/>
      </w:r>
      <w:r w:rsidRPr="00E266C5">
        <w:rPr>
          <w:rStyle w:val="af7"/>
          <w:rFonts w:eastAsia="Guttman Hodes"/>
          <w:rtl/>
        </w:rPr>
        <w:instrText xml:space="preserve"> </w:instrText>
      </w:r>
      <w:r w:rsidRPr="00E266C5">
        <w:rPr>
          <w:rStyle w:val="af7"/>
          <w:rFonts w:eastAsia="Guttman Hodes" w:hint="cs"/>
        </w:rPr>
        <w:instrText>REF</w:instrText>
      </w:r>
      <w:r w:rsidRPr="00E266C5">
        <w:rPr>
          <w:rStyle w:val="af7"/>
          <w:rFonts w:eastAsia="Guttman Hodes" w:hint="cs"/>
          <w:rtl/>
        </w:rPr>
        <w:instrText xml:space="preserve"> _</w:instrText>
      </w:r>
      <w:r w:rsidRPr="00E266C5">
        <w:rPr>
          <w:rStyle w:val="af7"/>
          <w:rFonts w:eastAsia="Guttman Hodes" w:hint="cs"/>
        </w:rPr>
        <w:instrText>Ref1680078 \r \h</w:instrText>
      </w:r>
      <w:r w:rsidRPr="00E266C5">
        <w:rPr>
          <w:rStyle w:val="af7"/>
          <w:rFonts w:eastAsia="Guttman Hodes"/>
          <w:rtl/>
        </w:rPr>
        <w:instrText xml:space="preserve"> </w:instrText>
      </w:r>
      <w:r w:rsidRPr="00E266C5">
        <w:rPr>
          <w:rStyle w:val="af7"/>
          <w:rFonts w:eastAsia="Guttman Hodes"/>
          <w:rtl/>
        </w:rPr>
      </w:r>
      <w:r w:rsidRPr="00E266C5">
        <w:rPr>
          <w:rStyle w:val="af7"/>
          <w:rFonts w:eastAsia="Guttman Hodes"/>
          <w:rtl/>
        </w:rPr>
        <w:fldChar w:fldCharType="separate"/>
      </w:r>
      <w:r w:rsidR="00345400">
        <w:rPr>
          <w:rStyle w:val="af7"/>
          <w:rFonts w:eastAsia="Guttman Hodes"/>
          <w:cs/>
        </w:rPr>
        <w:t>‎</w:t>
      </w:r>
      <w:r w:rsidR="00345400">
        <w:rPr>
          <w:rStyle w:val="af7"/>
          <w:rFonts w:eastAsia="Guttman Hodes"/>
          <w:rtl/>
        </w:rPr>
        <w:t>ו)</w:t>
      </w:r>
      <w:r w:rsidRPr="00E266C5">
        <w:rPr>
          <w:rStyle w:val="af7"/>
          <w:rFonts w:eastAsia="Guttman Hodes"/>
          <w:rtl/>
        </w:rPr>
        <w:fldChar w:fldCharType="end"/>
      </w:r>
      <w:r>
        <w:rPr>
          <w:rFonts w:hint="cs"/>
          <w:rtl/>
        </w:rPr>
        <w:t xml:space="preserve"> </w:t>
      </w:r>
      <w:r w:rsidRPr="00455F2A">
        <w:rPr>
          <w:rStyle w:val="af9"/>
          <w:rFonts w:hint="cs"/>
          <w:rtl/>
        </w:rPr>
        <w:t xml:space="preserve">והר"ן </w:t>
      </w:r>
      <w:r>
        <w:rPr>
          <w:rFonts w:hint="cs"/>
          <w:rtl/>
        </w:rPr>
        <w:t xml:space="preserve">בשם </w:t>
      </w:r>
      <w:r w:rsidRPr="00455F2A">
        <w:rPr>
          <w:rStyle w:val="af9"/>
          <w:rFonts w:hint="cs"/>
          <w:rtl/>
        </w:rPr>
        <w:t>התוס'</w:t>
      </w:r>
      <w:r>
        <w:rPr>
          <w:rFonts w:hint="cs"/>
          <w:rtl/>
        </w:rPr>
        <w:t xml:space="preserve"> </w:t>
      </w:r>
      <w:r w:rsidRPr="00E266C5">
        <w:rPr>
          <w:rStyle w:val="af7"/>
          <w:rFonts w:eastAsia="Guttman Hodes" w:hint="cs"/>
          <w:rtl/>
        </w:rPr>
        <w:t xml:space="preserve">(עי' אות </w:t>
      </w:r>
      <w:r w:rsidRPr="00E266C5">
        <w:rPr>
          <w:rStyle w:val="af7"/>
          <w:rFonts w:eastAsia="Guttman Hodes"/>
          <w:rtl/>
        </w:rPr>
        <w:fldChar w:fldCharType="begin"/>
      </w:r>
      <w:r w:rsidRPr="00E266C5">
        <w:rPr>
          <w:rStyle w:val="af7"/>
          <w:rFonts w:eastAsia="Guttman Hodes"/>
          <w:rtl/>
        </w:rPr>
        <w:instrText xml:space="preserve"> </w:instrText>
      </w:r>
      <w:r w:rsidRPr="00E266C5">
        <w:rPr>
          <w:rStyle w:val="af7"/>
          <w:rFonts w:eastAsia="Guttman Hodes" w:hint="cs"/>
        </w:rPr>
        <w:instrText>REF</w:instrText>
      </w:r>
      <w:r w:rsidRPr="00E266C5">
        <w:rPr>
          <w:rStyle w:val="af7"/>
          <w:rFonts w:eastAsia="Guttman Hodes" w:hint="cs"/>
          <w:rtl/>
        </w:rPr>
        <w:instrText xml:space="preserve"> _</w:instrText>
      </w:r>
      <w:r w:rsidRPr="00E266C5">
        <w:rPr>
          <w:rStyle w:val="af7"/>
          <w:rFonts w:eastAsia="Guttman Hodes" w:hint="cs"/>
        </w:rPr>
        <w:instrText>Ref1379096 \r \h</w:instrText>
      </w:r>
      <w:r w:rsidRPr="00E266C5">
        <w:rPr>
          <w:rStyle w:val="af7"/>
          <w:rFonts w:eastAsia="Guttman Hodes"/>
          <w:rtl/>
        </w:rPr>
        <w:instrText xml:space="preserve"> </w:instrText>
      </w:r>
      <w:r w:rsidRPr="00E266C5">
        <w:rPr>
          <w:rStyle w:val="af7"/>
          <w:rFonts w:eastAsia="Guttman Hodes"/>
          <w:rtl/>
        </w:rPr>
      </w:r>
      <w:r w:rsidRPr="00E266C5">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E266C5">
        <w:rPr>
          <w:rStyle w:val="af7"/>
          <w:rFonts w:eastAsia="Guttman Hodes"/>
          <w:rtl/>
        </w:rPr>
        <w:fldChar w:fldCharType="end"/>
      </w:r>
      <w:r>
        <w:rPr>
          <w:rFonts w:hint="cs"/>
          <w:rtl/>
        </w:rPr>
        <w:t xml:space="preserve"> דהספק הוא אף למ"ד דד' סימנים אכשר ביה רחמנא.</w:t>
      </w:r>
      <w:bookmarkEnd w:id="21006"/>
    </w:p>
    <w:p w14:paraId="61E03E83" w14:textId="77777777" w:rsidR="003D504D" w:rsidRDefault="003D504D" w:rsidP="003D504D">
      <w:pPr>
        <w:pStyle w:val="a3"/>
        <w:rPr>
          <w:rtl/>
        </w:rPr>
      </w:pPr>
      <w:bookmarkStart w:id="21007" w:name="_Toc1668731"/>
      <w:bookmarkStart w:id="21008" w:name="_Toc1716598"/>
      <w:bookmarkStart w:id="21009" w:name="_Toc1725743"/>
      <w:bookmarkStart w:id="21010" w:name="_Toc1728121"/>
      <w:bookmarkStart w:id="21011" w:name="_Toc1938661"/>
      <w:bookmarkStart w:id="21012" w:name="_Toc1938754"/>
      <w:bookmarkStart w:id="21013" w:name="_Toc2078436"/>
      <w:bookmarkStart w:id="21014" w:name="_Toc19391624"/>
      <w:bookmarkStart w:id="21015" w:name="_Toc19395121"/>
      <w:bookmarkStart w:id="21016" w:name="_Toc1380115"/>
      <w:r>
        <w:rPr>
          <w:rFonts w:hint="cs"/>
          <w:rtl/>
        </w:rPr>
        <w:t>קושית הגרעק"א דלר"מ פשיטא דמהני שחיטת עצמו בבן ט' ואפ"ה הספק הוא אף לדעת ר"מ</w:t>
      </w:r>
      <w:bookmarkEnd w:id="21007"/>
      <w:bookmarkEnd w:id="21008"/>
      <w:bookmarkEnd w:id="21009"/>
      <w:bookmarkEnd w:id="21010"/>
      <w:bookmarkEnd w:id="21011"/>
      <w:bookmarkEnd w:id="21012"/>
      <w:bookmarkEnd w:id="21013"/>
      <w:bookmarkEnd w:id="21014"/>
      <w:bookmarkEnd w:id="21015"/>
    </w:p>
    <w:p w14:paraId="72CB0D6A" w14:textId="77777777" w:rsidR="003D504D" w:rsidRDefault="003D504D" w:rsidP="00223668">
      <w:pPr>
        <w:pStyle w:val="a0"/>
        <w:rPr>
          <w:rtl/>
        </w:rPr>
      </w:pPr>
      <w:r>
        <w:rPr>
          <w:rFonts w:hint="cs"/>
          <w:rtl/>
        </w:rPr>
        <w:t xml:space="preserve">והקשה </w:t>
      </w:r>
      <w:r w:rsidRPr="00F22FA2">
        <w:rPr>
          <w:rStyle w:val="af9"/>
          <w:rFonts w:hint="cs"/>
          <w:rtl/>
        </w:rPr>
        <w:t>הגרעק"א</w:t>
      </w:r>
      <w:r>
        <w:rPr>
          <w:rFonts w:hint="cs"/>
          <w:rtl/>
        </w:rPr>
        <w:t xml:space="preserve"> </w:t>
      </w:r>
      <w:r w:rsidRPr="00F22FA2">
        <w:rPr>
          <w:rStyle w:val="af7"/>
          <w:rFonts w:eastAsia="Guttman Hodes" w:hint="cs"/>
          <w:rtl/>
        </w:rPr>
        <w:t>(ד"ה בהר"ן)</w:t>
      </w:r>
      <w:r>
        <w:rPr>
          <w:rFonts w:hint="cs"/>
          <w:rtl/>
        </w:rPr>
        <w:t xml:space="preserve"> על ביאור </w:t>
      </w:r>
      <w:r w:rsidRPr="00F22FA2">
        <w:rPr>
          <w:rStyle w:val="af9"/>
          <w:rFonts w:hint="cs"/>
          <w:rtl/>
        </w:rPr>
        <w:t>הר"ן</w:t>
      </w:r>
      <w:r>
        <w:rPr>
          <w:rFonts w:hint="cs"/>
          <w:rtl/>
        </w:rPr>
        <w:t xml:space="preserve"> בדעת </w:t>
      </w:r>
      <w:r w:rsidRPr="00E266C5">
        <w:rPr>
          <w:rStyle w:val="af9"/>
          <w:rFonts w:hint="cs"/>
          <w:rtl/>
        </w:rPr>
        <w:t>הרי"ף</w:t>
      </w:r>
      <w:r>
        <w:rPr>
          <w:rFonts w:hint="cs"/>
          <w:rtl/>
        </w:rPr>
        <w:t xml:space="preserve"> דהרי ר"מ ס"ל דבן ט' חי טעון שחיטה, וא"כ ודאי שיש לו סימנים שראויים לשחיטה, ואפ"ה מספקא ליה לרב הושעיא אי לא מהני שחיטתו במעי אמו, אף לדעת ר"מ, ולדברי </w:t>
      </w:r>
      <w:r w:rsidRPr="00421892">
        <w:rPr>
          <w:rStyle w:val="af9"/>
          <w:rFonts w:hint="cs"/>
          <w:rtl/>
        </w:rPr>
        <w:t>הר"ן</w:t>
      </w:r>
      <w:r>
        <w:rPr>
          <w:rFonts w:hint="cs"/>
          <w:rtl/>
        </w:rPr>
        <w:t xml:space="preserve"> בדעת </w:t>
      </w:r>
      <w:r w:rsidRPr="00E266C5">
        <w:rPr>
          <w:rStyle w:val="af9"/>
          <w:rFonts w:hint="cs"/>
          <w:rtl/>
        </w:rPr>
        <w:t>הרי"ף</w:t>
      </w:r>
      <w:r>
        <w:rPr>
          <w:rFonts w:hint="cs"/>
          <w:rtl/>
        </w:rPr>
        <w:t xml:space="preserve"> כיון דיש לו ד' סימנים לר"מ, א"כ פשיטא דשחיטתו מהני.</w:t>
      </w:r>
    </w:p>
    <w:p w14:paraId="72CE95F0" w14:textId="77777777" w:rsidR="003D504D" w:rsidRPr="00414DFE" w:rsidRDefault="003D504D" w:rsidP="003D504D">
      <w:pPr>
        <w:pStyle w:val="a3"/>
        <w:rPr>
          <w:rtl/>
        </w:rPr>
      </w:pPr>
      <w:bookmarkStart w:id="21017" w:name="_Toc2078437"/>
      <w:bookmarkStart w:id="21018" w:name="_Toc19391625"/>
      <w:bookmarkStart w:id="21019" w:name="_Toc19395122"/>
      <w:bookmarkStart w:id="21020" w:name="_Toc1380116"/>
      <w:bookmarkStart w:id="21021" w:name="_Toc1419324"/>
      <w:bookmarkStart w:id="21022" w:name="_Toc1592204"/>
      <w:bookmarkStart w:id="21023" w:name="_Toc1668735"/>
      <w:bookmarkStart w:id="21024" w:name="_Toc1716602"/>
      <w:bookmarkStart w:id="21025" w:name="_Toc1725747"/>
      <w:bookmarkStart w:id="21026" w:name="_Toc1728125"/>
      <w:bookmarkStart w:id="21027" w:name="_Toc1938665"/>
      <w:bookmarkStart w:id="21028" w:name="_Toc1938758"/>
      <w:bookmarkEnd w:id="21016"/>
      <w:r>
        <w:rPr>
          <w:rFonts w:hint="cs"/>
          <w:rtl/>
        </w:rPr>
        <w:t>דברי ה</w:t>
      </w:r>
      <w:r w:rsidR="00345400">
        <w:rPr>
          <w:rFonts w:hint="cs"/>
          <w:rtl/>
        </w:rPr>
        <w:t>פלתי</w:t>
      </w:r>
      <w:r>
        <w:rPr>
          <w:rFonts w:hint="cs"/>
          <w:rtl/>
        </w:rPr>
        <w:t xml:space="preserve"> והשבות יעקב דלהרי"ף והרמב"ם והרא"ש למ"ד ד' סימנים מהני שחיטה במעיה</w:t>
      </w:r>
      <w:bookmarkEnd w:id="21017"/>
      <w:bookmarkEnd w:id="21018"/>
      <w:bookmarkEnd w:id="21019"/>
    </w:p>
    <w:p w14:paraId="7A5B10E5" w14:textId="77777777" w:rsidR="003D504D" w:rsidRPr="00A865DF" w:rsidRDefault="003D504D" w:rsidP="00223668">
      <w:pPr>
        <w:pStyle w:val="a0"/>
        <w:rPr>
          <w:rtl/>
        </w:rPr>
      </w:pPr>
      <w:r>
        <w:rPr>
          <w:rFonts w:hint="cs"/>
          <w:rtl/>
        </w:rPr>
        <w:t>ו</w:t>
      </w:r>
      <w:r w:rsidRPr="00A865DF">
        <w:rPr>
          <w:rFonts w:hint="cs"/>
          <w:rtl/>
        </w:rPr>
        <w:t xml:space="preserve">ציינו </w:t>
      </w:r>
      <w:r w:rsidRPr="00A865DF">
        <w:rPr>
          <w:rStyle w:val="af9"/>
          <w:rFonts w:hint="cs"/>
          <w:rtl/>
        </w:rPr>
        <w:t>הגרעק"א</w:t>
      </w:r>
      <w:r w:rsidRPr="00A865DF">
        <w:rPr>
          <w:rFonts w:hint="cs"/>
          <w:rtl/>
        </w:rPr>
        <w:t xml:space="preserve"> </w:t>
      </w:r>
      <w:r w:rsidRPr="00A865DF">
        <w:rPr>
          <w:rStyle w:val="af7"/>
          <w:rFonts w:eastAsia="Guttman Hodes" w:hint="cs"/>
          <w:rtl/>
        </w:rPr>
        <w:t>(סי' י"ד על הט"ז סק"י)</w:t>
      </w:r>
      <w:r w:rsidRPr="00A865DF">
        <w:rPr>
          <w:rFonts w:hint="cs"/>
          <w:rtl/>
        </w:rPr>
        <w:t xml:space="preserve"> </w:t>
      </w:r>
      <w:r w:rsidRPr="00A865DF">
        <w:rPr>
          <w:rStyle w:val="af9"/>
          <w:rFonts w:hint="cs"/>
          <w:rtl/>
        </w:rPr>
        <w:t>והגליון המהרש"א</w:t>
      </w:r>
      <w:r w:rsidRPr="00A865DF">
        <w:rPr>
          <w:rFonts w:hint="cs"/>
          <w:rtl/>
        </w:rPr>
        <w:t xml:space="preserve"> </w:t>
      </w:r>
      <w:r w:rsidRPr="00A865DF">
        <w:rPr>
          <w:rStyle w:val="af7"/>
          <w:rFonts w:eastAsia="Guttman Hodes" w:hint="cs"/>
          <w:rtl/>
        </w:rPr>
        <w:t>(סי' י"ד ו')</w:t>
      </w:r>
      <w:r w:rsidRPr="00A865DF">
        <w:rPr>
          <w:rFonts w:hint="cs"/>
          <w:rtl/>
        </w:rPr>
        <w:t xml:space="preserve"> לדברי </w:t>
      </w:r>
      <w:r w:rsidRPr="00A865DF">
        <w:rPr>
          <w:rStyle w:val="af9"/>
          <w:rFonts w:hint="cs"/>
          <w:rtl/>
        </w:rPr>
        <w:t>השבות יעקב</w:t>
      </w:r>
      <w:r w:rsidRPr="00A865DF">
        <w:rPr>
          <w:rFonts w:hint="cs"/>
          <w:rtl/>
        </w:rPr>
        <w:t xml:space="preserve"> </w:t>
      </w:r>
      <w:r w:rsidRPr="00A865DF">
        <w:rPr>
          <w:rStyle w:val="af7"/>
          <w:rFonts w:eastAsia="Guttman Hodes" w:hint="cs"/>
          <w:rtl/>
        </w:rPr>
        <w:t xml:space="preserve">(ח"א מ"ה ד"ה לכן נ"ל) </w:t>
      </w:r>
      <w:r w:rsidRPr="00A865DF">
        <w:rPr>
          <w:rFonts w:hint="cs"/>
          <w:rtl/>
        </w:rPr>
        <w:t xml:space="preserve">דכתב דכיון </w:t>
      </w:r>
      <w:r w:rsidRPr="00A865DF">
        <w:rPr>
          <w:rStyle w:val="af9"/>
          <w:rFonts w:hint="cs"/>
          <w:rtl/>
        </w:rPr>
        <w:t>דהרי"ף והרמב"ם והרא"ש</w:t>
      </w:r>
      <w:r w:rsidRPr="00A865DF">
        <w:rPr>
          <w:rFonts w:hint="cs"/>
          <w:rtl/>
        </w:rPr>
        <w:t xml:space="preserve"> השמיטו את ספיקא דרב </w:t>
      </w:r>
      <w:r>
        <w:rPr>
          <w:rFonts w:hint="cs"/>
          <w:rtl/>
        </w:rPr>
        <w:t>הושעיא</w:t>
      </w:r>
      <w:r w:rsidRPr="00A865DF">
        <w:rPr>
          <w:rFonts w:hint="cs"/>
          <w:rtl/>
        </w:rPr>
        <w:t xml:space="preserve">, א"כ מבואר </w:t>
      </w:r>
      <w:r>
        <w:rPr>
          <w:rFonts w:hint="cs"/>
          <w:rtl/>
        </w:rPr>
        <w:t>ד</w:t>
      </w:r>
      <w:r w:rsidRPr="00A865DF">
        <w:rPr>
          <w:rFonts w:hint="cs"/>
          <w:rtl/>
        </w:rPr>
        <w:t>ס"ל ד</w:t>
      </w:r>
      <w:r>
        <w:rPr>
          <w:rFonts w:hint="cs"/>
          <w:rtl/>
        </w:rPr>
        <w:t xml:space="preserve">כיון </w:t>
      </w:r>
      <w:r w:rsidRPr="00A865DF">
        <w:rPr>
          <w:rFonts w:hint="cs"/>
          <w:rtl/>
        </w:rPr>
        <w:t xml:space="preserve">דקיי"ל דד' סימנים אכשר ביה רחמנא, </w:t>
      </w:r>
      <w:r>
        <w:rPr>
          <w:rFonts w:hint="cs"/>
          <w:rtl/>
        </w:rPr>
        <w:t xml:space="preserve">א"כ </w:t>
      </w:r>
      <w:r w:rsidRPr="00A865DF">
        <w:rPr>
          <w:rFonts w:hint="cs"/>
          <w:rtl/>
        </w:rPr>
        <w:t>פשיטא דמהני שחיטת העובר במעי אמו</w:t>
      </w:r>
      <w:r>
        <w:rPr>
          <w:rFonts w:hint="cs"/>
          <w:rtl/>
        </w:rPr>
        <w:t xml:space="preserve">, וכ"כ </w:t>
      </w:r>
      <w:r w:rsidRPr="00B87D9C">
        <w:rPr>
          <w:rStyle w:val="af9"/>
          <w:rFonts w:hint="cs"/>
          <w:rtl/>
        </w:rPr>
        <w:t>ה</w:t>
      </w:r>
      <w:r w:rsidR="00345400">
        <w:rPr>
          <w:rStyle w:val="af9"/>
          <w:rFonts w:hint="cs"/>
          <w:rtl/>
        </w:rPr>
        <w:t>פלתי</w:t>
      </w:r>
      <w:r>
        <w:rPr>
          <w:rFonts w:hint="cs"/>
          <w:rtl/>
        </w:rPr>
        <w:t xml:space="preserve"> </w:t>
      </w:r>
      <w:r w:rsidRPr="001E6CA0">
        <w:rPr>
          <w:rStyle w:val="af7"/>
          <w:rFonts w:eastAsia="Guttman Hodes" w:hint="cs"/>
          <w:rtl/>
        </w:rPr>
        <w:t>(סי' י"ד סק"ו)</w:t>
      </w:r>
      <w:r>
        <w:rPr>
          <w:rFonts w:hint="cs"/>
          <w:rtl/>
        </w:rPr>
        <w:t xml:space="preserve"> והוסיף </w:t>
      </w:r>
      <w:r w:rsidRPr="00D11A49">
        <w:rPr>
          <w:rStyle w:val="af9"/>
          <w:rFonts w:hint="cs"/>
          <w:rtl/>
        </w:rPr>
        <w:t>ה</w:t>
      </w:r>
      <w:r w:rsidR="00345400">
        <w:rPr>
          <w:rStyle w:val="af9"/>
          <w:rFonts w:hint="cs"/>
          <w:rtl/>
        </w:rPr>
        <w:t>פלתי</w:t>
      </w:r>
      <w:r>
        <w:rPr>
          <w:rFonts w:hint="cs"/>
          <w:rtl/>
        </w:rPr>
        <w:t xml:space="preserve"> דאף </w:t>
      </w:r>
      <w:r w:rsidRPr="00D11A49">
        <w:rPr>
          <w:rStyle w:val="af9"/>
          <w:rFonts w:hint="cs"/>
          <w:rtl/>
        </w:rPr>
        <w:t>הרשב"א בתוה"ב</w:t>
      </w:r>
      <w:r>
        <w:rPr>
          <w:rFonts w:hint="cs"/>
          <w:rtl/>
        </w:rPr>
        <w:t xml:space="preserve"> השמיט את הספק, ודלא </w:t>
      </w:r>
      <w:r w:rsidRPr="00B87D9C">
        <w:rPr>
          <w:rStyle w:val="af9"/>
          <w:rFonts w:hint="cs"/>
          <w:rtl/>
        </w:rPr>
        <w:t>כ</w:t>
      </w:r>
      <w:r>
        <w:rPr>
          <w:rStyle w:val="af9"/>
          <w:rFonts w:hint="cs"/>
          <w:rtl/>
        </w:rPr>
        <w:t>ה</w:t>
      </w:r>
      <w:r w:rsidRPr="00B87D9C">
        <w:rPr>
          <w:rStyle w:val="af9"/>
          <w:rFonts w:hint="cs"/>
          <w:rtl/>
        </w:rPr>
        <w:t>רשב"א</w:t>
      </w:r>
      <w:r>
        <w:rPr>
          <w:rStyle w:val="af9"/>
          <w:rFonts w:hint="cs"/>
          <w:rtl/>
        </w:rPr>
        <w:t xml:space="preserve"> בחי'</w:t>
      </w:r>
      <w:r>
        <w:rPr>
          <w:rFonts w:hint="cs"/>
          <w:rtl/>
        </w:rPr>
        <w:t xml:space="preserve"> </w:t>
      </w:r>
      <w:r w:rsidRPr="000C58E7">
        <w:rPr>
          <w:rStyle w:val="af7"/>
          <w:rFonts w:eastAsia="Guttman Hodes" w:hint="cs"/>
          <w:rtl/>
        </w:rPr>
        <w:t xml:space="preserve">(עי' אות </w:t>
      </w:r>
      <w:r w:rsidRPr="000C58E7">
        <w:rPr>
          <w:rStyle w:val="af7"/>
          <w:rFonts w:eastAsia="Guttman Hodes"/>
          <w:rtl/>
        </w:rPr>
        <w:fldChar w:fldCharType="begin"/>
      </w:r>
      <w:r w:rsidRPr="000C58E7">
        <w:rPr>
          <w:rStyle w:val="af7"/>
          <w:rFonts w:eastAsia="Guttman Hodes"/>
          <w:rtl/>
        </w:rPr>
        <w:instrText xml:space="preserve"> </w:instrText>
      </w:r>
      <w:r w:rsidRPr="000C58E7">
        <w:rPr>
          <w:rStyle w:val="af7"/>
          <w:rFonts w:eastAsia="Guttman Hodes" w:hint="cs"/>
        </w:rPr>
        <w:instrText>REF</w:instrText>
      </w:r>
      <w:r w:rsidRPr="000C58E7">
        <w:rPr>
          <w:rStyle w:val="af7"/>
          <w:rFonts w:eastAsia="Guttman Hodes" w:hint="cs"/>
          <w:rtl/>
        </w:rPr>
        <w:instrText xml:space="preserve"> _</w:instrText>
      </w:r>
      <w:r w:rsidRPr="000C58E7">
        <w:rPr>
          <w:rStyle w:val="af7"/>
          <w:rFonts w:eastAsia="Guttman Hodes" w:hint="cs"/>
        </w:rPr>
        <w:instrText>Ref1680078 \r \h</w:instrText>
      </w:r>
      <w:r w:rsidRPr="000C58E7">
        <w:rPr>
          <w:rStyle w:val="af7"/>
          <w:rFonts w:eastAsia="Guttman Hodes"/>
          <w:rtl/>
        </w:rPr>
        <w:instrText xml:space="preserve"> </w:instrText>
      </w:r>
      <w:r w:rsidRPr="000C58E7">
        <w:rPr>
          <w:rStyle w:val="af7"/>
          <w:rFonts w:eastAsia="Guttman Hodes"/>
          <w:rtl/>
        </w:rPr>
      </w:r>
      <w:r w:rsidRPr="000C58E7">
        <w:rPr>
          <w:rStyle w:val="af7"/>
          <w:rFonts w:eastAsia="Guttman Hodes"/>
          <w:rtl/>
        </w:rPr>
        <w:fldChar w:fldCharType="separate"/>
      </w:r>
      <w:r w:rsidR="00345400">
        <w:rPr>
          <w:rStyle w:val="af7"/>
          <w:rFonts w:eastAsia="Guttman Hodes"/>
          <w:cs/>
        </w:rPr>
        <w:t>‎</w:t>
      </w:r>
      <w:r w:rsidR="00345400">
        <w:rPr>
          <w:rStyle w:val="af7"/>
          <w:rFonts w:eastAsia="Guttman Hodes"/>
          <w:rtl/>
        </w:rPr>
        <w:t>ו)</w:t>
      </w:r>
      <w:r w:rsidRPr="000C58E7">
        <w:rPr>
          <w:rStyle w:val="af7"/>
          <w:rFonts w:eastAsia="Guttman Hodes"/>
          <w:rtl/>
        </w:rPr>
        <w:fldChar w:fldCharType="end"/>
      </w:r>
      <w:r w:rsidRPr="00B87D9C">
        <w:rPr>
          <w:rStyle w:val="af9"/>
          <w:rFonts w:hint="cs"/>
          <w:rtl/>
        </w:rPr>
        <w:t xml:space="preserve"> והר"ן</w:t>
      </w:r>
      <w:r>
        <w:rPr>
          <w:rFonts w:hint="cs"/>
          <w:rtl/>
        </w:rPr>
        <w:t xml:space="preserve"> </w:t>
      </w:r>
      <w:r w:rsidRPr="000C58E7">
        <w:rPr>
          <w:rStyle w:val="af7"/>
          <w:rFonts w:eastAsia="Guttman Hodes" w:hint="cs"/>
          <w:rtl/>
        </w:rPr>
        <w:t xml:space="preserve">(עי' אות </w:t>
      </w:r>
      <w:r w:rsidRPr="000C58E7">
        <w:rPr>
          <w:rStyle w:val="af7"/>
          <w:rFonts w:eastAsia="Guttman Hodes"/>
          <w:rtl/>
        </w:rPr>
        <w:fldChar w:fldCharType="begin"/>
      </w:r>
      <w:r w:rsidRPr="000C58E7">
        <w:rPr>
          <w:rStyle w:val="af7"/>
          <w:rFonts w:eastAsia="Guttman Hodes"/>
          <w:rtl/>
        </w:rPr>
        <w:instrText xml:space="preserve"> </w:instrText>
      </w:r>
      <w:r w:rsidRPr="000C58E7">
        <w:rPr>
          <w:rStyle w:val="af7"/>
          <w:rFonts w:eastAsia="Guttman Hodes" w:hint="cs"/>
        </w:rPr>
        <w:instrText>REF</w:instrText>
      </w:r>
      <w:r w:rsidRPr="000C58E7">
        <w:rPr>
          <w:rStyle w:val="af7"/>
          <w:rFonts w:eastAsia="Guttman Hodes" w:hint="cs"/>
          <w:rtl/>
        </w:rPr>
        <w:instrText xml:space="preserve"> _</w:instrText>
      </w:r>
      <w:r w:rsidRPr="000C58E7">
        <w:rPr>
          <w:rStyle w:val="af7"/>
          <w:rFonts w:eastAsia="Guttman Hodes" w:hint="cs"/>
        </w:rPr>
        <w:instrText>Ref1379096 \r \h</w:instrText>
      </w:r>
      <w:r w:rsidRPr="000C58E7">
        <w:rPr>
          <w:rStyle w:val="af7"/>
          <w:rFonts w:eastAsia="Guttman Hodes"/>
          <w:rtl/>
        </w:rPr>
        <w:instrText xml:space="preserve"> </w:instrText>
      </w:r>
      <w:r w:rsidRPr="000C58E7">
        <w:rPr>
          <w:rStyle w:val="af7"/>
          <w:rFonts w:eastAsia="Guttman Hodes"/>
          <w:rtl/>
        </w:rPr>
      </w:r>
      <w:r w:rsidRPr="000C58E7">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0C58E7">
        <w:rPr>
          <w:rStyle w:val="af7"/>
          <w:rFonts w:eastAsia="Guttman Hodes"/>
          <w:rtl/>
        </w:rPr>
        <w:fldChar w:fldCharType="end"/>
      </w:r>
      <w:r>
        <w:rPr>
          <w:rFonts w:hint="cs"/>
          <w:rtl/>
        </w:rPr>
        <w:t xml:space="preserve"> דפסקו לחומרא</w:t>
      </w:r>
      <w:r>
        <w:rPr>
          <w:rStyle w:val="af1"/>
          <w:rtl/>
        </w:rPr>
        <w:footnoteReference w:id="119"/>
      </w:r>
      <w:r>
        <w:rPr>
          <w:rFonts w:hint="cs"/>
          <w:rtl/>
        </w:rPr>
        <w:t xml:space="preserve">, וע"ע בביאור </w:t>
      </w:r>
      <w:r w:rsidRPr="00C2298F">
        <w:rPr>
          <w:rStyle w:val="af9"/>
          <w:rFonts w:hint="cs"/>
          <w:rtl/>
        </w:rPr>
        <w:t>השבות יעקב</w:t>
      </w:r>
      <w:r>
        <w:rPr>
          <w:rFonts w:hint="cs"/>
          <w:rtl/>
        </w:rPr>
        <w:t xml:space="preserve"> </w:t>
      </w:r>
      <w:r w:rsidRPr="000065A2">
        <w:rPr>
          <w:rStyle w:val="af7"/>
          <w:rFonts w:eastAsia="Guttman Hodes" w:hint="cs"/>
          <w:rtl/>
        </w:rPr>
        <w:t>(ע</w:t>
      </w:r>
      <w:r w:rsidRPr="00C2298F">
        <w:rPr>
          <w:rStyle w:val="af7"/>
          <w:rFonts w:eastAsia="Guttman Hodes" w:hint="cs"/>
          <w:rtl/>
        </w:rPr>
        <w:t xml:space="preserve">י' אות </w:t>
      </w:r>
      <w:r w:rsidRPr="00C2298F">
        <w:rPr>
          <w:rStyle w:val="af7"/>
          <w:rFonts w:eastAsia="Guttman Hodes"/>
          <w:rtl/>
        </w:rPr>
        <w:fldChar w:fldCharType="begin"/>
      </w:r>
      <w:r w:rsidRPr="00C2298F">
        <w:rPr>
          <w:rStyle w:val="af7"/>
          <w:rFonts w:eastAsia="Guttman Hodes"/>
          <w:rtl/>
        </w:rPr>
        <w:instrText xml:space="preserve"> </w:instrText>
      </w:r>
      <w:r w:rsidRPr="00C2298F">
        <w:rPr>
          <w:rStyle w:val="af7"/>
          <w:rFonts w:eastAsia="Guttman Hodes" w:hint="cs"/>
        </w:rPr>
        <w:instrText>REF</w:instrText>
      </w:r>
      <w:r w:rsidRPr="00C2298F">
        <w:rPr>
          <w:rStyle w:val="af7"/>
          <w:rFonts w:eastAsia="Guttman Hodes" w:hint="cs"/>
          <w:rtl/>
        </w:rPr>
        <w:instrText xml:space="preserve"> _</w:instrText>
      </w:r>
      <w:r w:rsidRPr="00C2298F">
        <w:rPr>
          <w:rStyle w:val="af7"/>
          <w:rFonts w:eastAsia="Guttman Hodes" w:hint="cs"/>
        </w:rPr>
        <w:instrText>Ref2078278 \r \h</w:instrText>
      </w:r>
      <w:r w:rsidRPr="00C2298F">
        <w:rPr>
          <w:rStyle w:val="af7"/>
          <w:rFonts w:eastAsia="Guttman Hodes"/>
          <w:rtl/>
        </w:rPr>
        <w:instrText xml:space="preserve"> </w:instrText>
      </w:r>
      <w:r w:rsidRPr="00C2298F">
        <w:rPr>
          <w:rStyle w:val="af7"/>
          <w:rFonts w:eastAsia="Guttman Hodes"/>
          <w:rtl/>
        </w:rPr>
      </w:r>
      <w:r w:rsidRPr="00C2298F">
        <w:rPr>
          <w:rStyle w:val="af7"/>
          <w:rFonts w:eastAsia="Guttman Hodes"/>
          <w:rtl/>
        </w:rPr>
        <w:fldChar w:fldCharType="separate"/>
      </w:r>
      <w:r w:rsidR="00345400">
        <w:rPr>
          <w:rStyle w:val="af7"/>
          <w:rFonts w:eastAsia="Guttman Hodes" w:hint="cs"/>
          <w:b/>
          <w:bCs/>
          <w:rtl/>
        </w:rPr>
        <w:t>שגיאה! מקור ההפניה לא נמצא.</w:t>
      </w:r>
      <w:r w:rsidRPr="00C2298F">
        <w:rPr>
          <w:rStyle w:val="af7"/>
          <w:rFonts w:eastAsia="Guttman Hodes"/>
          <w:rtl/>
        </w:rPr>
        <w:fldChar w:fldCharType="end"/>
      </w:r>
      <w:r>
        <w:rPr>
          <w:rFonts w:hint="cs"/>
          <w:rtl/>
        </w:rPr>
        <w:t xml:space="preserve"> </w:t>
      </w:r>
      <w:r w:rsidRPr="00C2298F">
        <w:rPr>
          <w:rStyle w:val="af9"/>
          <w:rFonts w:hint="cs"/>
          <w:rtl/>
        </w:rPr>
        <w:t>בתוס' בביצה</w:t>
      </w:r>
      <w:r w:rsidRPr="00A865DF">
        <w:rPr>
          <w:rFonts w:hint="cs"/>
          <w:rtl/>
        </w:rPr>
        <w:t>.</w:t>
      </w:r>
    </w:p>
    <w:p w14:paraId="12A41303" w14:textId="77777777" w:rsidR="003D504D" w:rsidRDefault="003D504D" w:rsidP="00BF39B2">
      <w:pPr>
        <w:pStyle w:val="1"/>
        <w:rPr>
          <w:rtl/>
        </w:rPr>
      </w:pPr>
      <w:bookmarkStart w:id="21029" w:name="_Toc2078438"/>
      <w:bookmarkStart w:id="21030" w:name="_Toc19391626"/>
      <w:bookmarkStart w:id="21031" w:name="_Toc19395123"/>
      <w:r>
        <w:rPr>
          <w:rFonts w:hint="cs"/>
          <w:rtl/>
        </w:rPr>
        <w:t xml:space="preserve">ביאור התורת יקותיאל </w:t>
      </w:r>
      <w:bookmarkEnd w:id="21020"/>
      <w:bookmarkEnd w:id="21021"/>
      <w:bookmarkEnd w:id="21022"/>
      <w:bookmarkEnd w:id="21023"/>
      <w:bookmarkEnd w:id="21024"/>
      <w:bookmarkEnd w:id="21025"/>
      <w:bookmarkEnd w:id="21026"/>
      <w:bookmarkEnd w:id="21027"/>
      <w:bookmarkEnd w:id="21028"/>
      <w:r>
        <w:rPr>
          <w:rFonts w:hint="cs"/>
          <w:rtl/>
        </w:rPr>
        <w:t>דנחלקו התוס' והר"ן בגדר ד' סימנים</w:t>
      </w:r>
      <w:bookmarkEnd w:id="21029"/>
      <w:bookmarkEnd w:id="21030"/>
      <w:bookmarkEnd w:id="21031"/>
    </w:p>
    <w:p w14:paraId="3B7A0A45" w14:textId="77777777" w:rsidR="003D504D" w:rsidRPr="003F5CB1" w:rsidRDefault="003D504D" w:rsidP="003D504D">
      <w:pPr>
        <w:pStyle w:val="a3"/>
        <w:rPr>
          <w:rtl/>
        </w:rPr>
      </w:pPr>
      <w:bookmarkStart w:id="21032" w:name="_Toc1716605"/>
      <w:bookmarkStart w:id="21033" w:name="_Toc1725750"/>
      <w:bookmarkStart w:id="21034" w:name="_Toc1728128"/>
      <w:bookmarkStart w:id="21035" w:name="_Toc1938668"/>
      <w:bookmarkStart w:id="21036" w:name="_Toc1938761"/>
      <w:bookmarkStart w:id="21037" w:name="_Toc2078439"/>
      <w:bookmarkStart w:id="21038" w:name="_Toc19391627"/>
      <w:bookmarkStart w:id="21039" w:name="_Toc19395124"/>
      <w:bookmarkStart w:id="21040" w:name="_Toc1716604"/>
      <w:bookmarkStart w:id="21041" w:name="_Toc1725749"/>
      <w:bookmarkStart w:id="21042" w:name="_Toc1728127"/>
      <w:bookmarkStart w:id="21043" w:name="_Toc1938667"/>
      <w:bookmarkStart w:id="21044" w:name="_Toc1938760"/>
      <w:r>
        <w:rPr>
          <w:rFonts w:hint="cs"/>
          <w:rtl/>
        </w:rPr>
        <w:t>דברי התורת יקותיאל דלהר"ן בשם תוס' רק כשהאם כשרה לא מהני השחיטה במעיה ובטריפה מהני</w:t>
      </w:r>
      <w:bookmarkEnd w:id="21032"/>
      <w:bookmarkEnd w:id="21033"/>
      <w:bookmarkEnd w:id="21034"/>
      <w:bookmarkEnd w:id="21035"/>
      <w:bookmarkEnd w:id="21036"/>
      <w:bookmarkEnd w:id="21037"/>
      <w:bookmarkEnd w:id="21038"/>
      <w:bookmarkEnd w:id="21039"/>
    </w:p>
    <w:p w14:paraId="53E8CB09" w14:textId="77777777" w:rsidR="003D504D" w:rsidRDefault="003D504D" w:rsidP="00223668">
      <w:pPr>
        <w:pStyle w:val="a0"/>
      </w:pPr>
      <w:bookmarkStart w:id="21045" w:name="_Ref1504267"/>
      <w:bookmarkStart w:id="21046" w:name="_Toc2078440"/>
      <w:r>
        <w:rPr>
          <w:rFonts w:hint="cs"/>
          <w:rtl/>
        </w:rPr>
        <w:t xml:space="preserve">כתב </w:t>
      </w:r>
      <w:r>
        <w:rPr>
          <w:rStyle w:val="af9"/>
          <w:rtl/>
        </w:rPr>
        <w:t xml:space="preserve">התורת יקותיאל </w:t>
      </w:r>
      <w:r>
        <w:rPr>
          <w:rStyle w:val="af7"/>
          <w:rFonts w:eastAsia="Guttman Hodes" w:hint="cs"/>
          <w:rtl/>
        </w:rPr>
        <w:t>(סי' י"ד סק"ג)</w:t>
      </w:r>
      <w:r>
        <w:rPr>
          <w:rFonts w:hint="cs"/>
          <w:rtl/>
        </w:rPr>
        <w:t xml:space="preserve"> דלדברי </w:t>
      </w:r>
      <w:r>
        <w:rPr>
          <w:rStyle w:val="af9"/>
          <w:rtl/>
        </w:rPr>
        <w:t xml:space="preserve">הר"ן </w:t>
      </w:r>
      <w:r>
        <w:rPr>
          <w:rFonts w:hint="cs"/>
          <w:rtl/>
        </w:rPr>
        <w:t xml:space="preserve">בשם </w:t>
      </w:r>
      <w:r>
        <w:rPr>
          <w:rStyle w:val="af9"/>
          <w:rtl/>
        </w:rPr>
        <w:t xml:space="preserve">התוס' </w:t>
      </w:r>
      <w:r>
        <w:rPr>
          <w:rStyle w:val="af7"/>
          <w:rFonts w:eastAsia="Guttman Hodes" w:hint="cs"/>
          <w:rtl/>
        </w:rPr>
        <w:t xml:space="preserve">(עי' אות </w:t>
      </w:r>
      <w:r>
        <w:rPr>
          <w:rFont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Ref1379096 \r \h</w:instrText>
      </w:r>
      <w:r>
        <w:rPr>
          <w:rStyle w:val="af7"/>
          <w:rFonts w:eastAsia="Guttman Hodes" w:hint="cs"/>
          <w:rtl/>
        </w:rPr>
        <w:instrText xml:space="preserve"> </w:instrText>
      </w:r>
      <w:r>
        <w:rPr>
          <w:rFonts w:hint="cs"/>
          <w:rtl/>
        </w:rPr>
      </w:r>
      <w:r>
        <w:rPr>
          <w:rFonts w:hint="cs"/>
          <w:rtl/>
        </w:rPr>
        <w:fldChar w:fldCharType="separate"/>
      </w:r>
      <w:r w:rsidR="00345400">
        <w:rPr>
          <w:rStyle w:val="af7"/>
          <w:rFonts w:eastAsia="Guttman Hodes" w:hint="eastAsia"/>
          <w:cs/>
        </w:rPr>
        <w:t>‎</w:t>
      </w:r>
      <w:r w:rsidR="00345400">
        <w:rPr>
          <w:rStyle w:val="af7"/>
          <w:rFonts w:eastAsia="Guttman Hodes" w:hint="eastAsia"/>
          <w:rtl/>
        </w:rPr>
        <w:t>ז</w:t>
      </w:r>
      <w:r w:rsidR="00345400">
        <w:rPr>
          <w:rStyle w:val="af7"/>
          <w:rFonts w:eastAsia="Guttman Hodes"/>
          <w:rtl/>
        </w:rPr>
        <w:t>)</w:t>
      </w:r>
      <w:r>
        <w:rPr>
          <w:rFonts w:hint="cs"/>
          <w:rtl/>
        </w:rPr>
        <w:fldChar w:fldCharType="end"/>
      </w:r>
      <w:r>
        <w:rPr>
          <w:rFonts w:hint="cs"/>
          <w:rtl/>
        </w:rPr>
        <w:t xml:space="preserve"> דביאר דהצד דלא מהני שחיטה במעי אמו, הוא כיון דהא דיש לו ד' סימנים ומהני לו שחיטת עצמו, הוא רק במקום שלא הועילו לולד סימני אמו, כגון שנטרפה או נקרעה, א"כ מבואר דכ"מ דלא מהני שחיטת עובר במעי אמו, היינו כשהאם כשרה, אבל כשהאם טריפה מהני שחיטתו במעי אמו, דכיון שהאם טריפה אין לעובר את סימני אמו, דאף אם תשחט לא מהני לו שחיטתה</w:t>
      </w:r>
      <w:r>
        <w:rPr>
          <w:rStyle w:val="af1"/>
          <w:rtl/>
        </w:rPr>
        <w:footnoteReference w:id="120"/>
      </w:r>
      <w:r>
        <w:rPr>
          <w:rFonts w:hint="cs"/>
          <w:rtl/>
        </w:rPr>
        <w:t xml:space="preserve">, ודלא </w:t>
      </w:r>
      <w:r>
        <w:rPr>
          <w:rStyle w:val="af9"/>
          <w:rtl/>
        </w:rPr>
        <w:t>כהרא"ה בביצה בתירוץ הג'</w:t>
      </w:r>
      <w:r>
        <w:rPr>
          <w:rFonts w:hint="cs"/>
          <w:rtl/>
        </w:rPr>
        <w:t xml:space="preserve"> </w:t>
      </w:r>
      <w:r>
        <w:rPr>
          <w:rStyle w:val="af7"/>
          <w:rFonts w:eastAsia="Guttman Hodes" w:hint="cs"/>
          <w:rtl/>
        </w:rPr>
        <w:t xml:space="preserve">(עי' אות </w:t>
      </w:r>
      <w:r>
        <w:rPr>
          <w:rFont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Ref1504217 \r \h</w:instrText>
      </w:r>
      <w:r>
        <w:rPr>
          <w:rStyle w:val="af7"/>
          <w:rFonts w:eastAsia="Guttman Hodes" w:hint="cs"/>
          <w:rtl/>
        </w:rPr>
        <w:instrText xml:space="preserve"> </w:instrText>
      </w:r>
      <w:r>
        <w:rPr>
          <w:rFonts w:hint="cs"/>
          <w:rtl/>
        </w:rPr>
      </w:r>
      <w:r>
        <w:rPr>
          <w:rFonts w:hint="cs"/>
          <w:rtl/>
        </w:rPr>
        <w:fldChar w:fldCharType="separate"/>
      </w:r>
      <w:r w:rsidR="00345400">
        <w:rPr>
          <w:rStyle w:val="af7"/>
          <w:rFonts w:eastAsia="Guttman Hodes" w:hint="eastAsia"/>
          <w:cs/>
        </w:rPr>
        <w:t>‎</w:t>
      </w:r>
      <w:r w:rsidR="00345400">
        <w:rPr>
          <w:rStyle w:val="af7"/>
          <w:rFonts w:eastAsia="Guttman Hodes" w:hint="eastAsia"/>
          <w:rtl/>
        </w:rPr>
        <w:t>כ</w:t>
      </w:r>
      <w:r w:rsidR="00345400">
        <w:rPr>
          <w:rStyle w:val="af7"/>
          <w:rFonts w:eastAsia="Guttman Hodes"/>
          <w:rtl/>
        </w:rPr>
        <w:t>)</w:t>
      </w:r>
      <w:r>
        <w:rPr>
          <w:rFonts w:hint="cs"/>
          <w:rtl/>
        </w:rPr>
        <w:fldChar w:fldCharType="end"/>
      </w:r>
      <w:r>
        <w:rPr>
          <w:rFonts w:hint="cs"/>
          <w:rtl/>
        </w:rPr>
        <w:t xml:space="preserve">, וע"ע בקושית </w:t>
      </w:r>
      <w:r>
        <w:rPr>
          <w:rStyle w:val="af9"/>
          <w:rtl/>
        </w:rPr>
        <w:t>הגרעק"א</w:t>
      </w:r>
      <w:r>
        <w:rPr>
          <w:rStyle w:val="af7"/>
          <w:rFonts w:eastAsia="Guttman Hodes" w:hint="cs"/>
          <w:rtl/>
        </w:rPr>
        <w:t xml:space="preserve"> (עי' אות </w:t>
      </w:r>
      <w:r>
        <w:rPr>
          <w:rFont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Ref1676261 \r \h</w:instrText>
      </w:r>
      <w:r>
        <w:rPr>
          <w:rStyle w:val="af7"/>
          <w:rFonts w:eastAsia="Guttman Hodes" w:hint="cs"/>
          <w:rtl/>
        </w:rPr>
        <w:instrText xml:space="preserve"> </w:instrText>
      </w:r>
      <w:r>
        <w:rPr>
          <w:rFonts w:hint="cs"/>
          <w:rtl/>
        </w:rPr>
      </w:r>
      <w:r>
        <w:rPr>
          <w:rFonts w:hint="cs"/>
          <w:rtl/>
        </w:rPr>
        <w:fldChar w:fldCharType="separate"/>
      </w:r>
      <w:r w:rsidR="00345400">
        <w:rPr>
          <w:rStyle w:val="af7"/>
          <w:rFonts w:eastAsia="Guttman Hodes" w:hint="eastAsia"/>
          <w:cs/>
        </w:rPr>
        <w:t>‎</w:t>
      </w:r>
      <w:r w:rsidR="00345400">
        <w:rPr>
          <w:rStyle w:val="af7"/>
          <w:rFonts w:eastAsia="Guttman Hodes" w:hint="eastAsia"/>
          <w:rtl/>
        </w:rPr>
        <w:t>ח</w:t>
      </w:r>
      <w:r w:rsidR="00345400">
        <w:rPr>
          <w:rStyle w:val="af7"/>
          <w:rFonts w:eastAsia="Guttman Hodes"/>
          <w:rtl/>
        </w:rPr>
        <w:t>)</w:t>
      </w:r>
      <w:r>
        <w:rPr>
          <w:rFonts w:hint="cs"/>
          <w:rtl/>
        </w:rPr>
        <w:fldChar w:fldCharType="end"/>
      </w:r>
      <w:r>
        <w:rPr>
          <w:rStyle w:val="af7"/>
          <w:rFonts w:eastAsia="Guttman Hodes" w:hint="cs"/>
          <w:rtl/>
        </w:rPr>
        <w:t xml:space="preserve"> </w:t>
      </w:r>
      <w:r>
        <w:rPr>
          <w:rFonts w:hint="cs"/>
          <w:rtl/>
        </w:rPr>
        <w:t xml:space="preserve">על </w:t>
      </w:r>
      <w:r>
        <w:rPr>
          <w:rStyle w:val="af9"/>
          <w:rtl/>
        </w:rPr>
        <w:t>הר"ן</w:t>
      </w:r>
      <w:r>
        <w:rPr>
          <w:rFonts w:hint="cs"/>
          <w:rtl/>
        </w:rPr>
        <w:t>.</w:t>
      </w:r>
      <w:bookmarkEnd w:id="21045"/>
    </w:p>
    <w:p w14:paraId="24C20D89" w14:textId="77777777" w:rsidR="003D504D" w:rsidRDefault="003D504D" w:rsidP="003D504D">
      <w:pPr>
        <w:pStyle w:val="a3"/>
        <w:rPr>
          <w:rtl/>
        </w:rPr>
      </w:pPr>
      <w:bookmarkStart w:id="21047" w:name="_Toc19391628"/>
      <w:bookmarkStart w:id="21048" w:name="_Toc19395125"/>
      <w:r>
        <w:rPr>
          <w:rFonts w:hint="cs"/>
          <w:rtl/>
        </w:rPr>
        <w:t>ביאור התורת יקותיאל בתוס' דלהצד דלא מהני היינו דאי"ז שחיטה וא"כ בכל גווני השחיטה פסולה</w:t>
      </w:r>
      <w:bookmarkEnd w:id="21040"/>
      <w:bookmarkEnd w:id="21041"/>
      <w:bookmarkEnd w:id="21042"/>
      <w:bookmarkEnd w:id="21043"/>
      <w:bookmarkEnd w:id="21044"/>
      <w:bookmarkEnd w:id="21046"/>
      <w:bookmarkEnd w:id="21047"/>
      <w:bookmarkEnd w:id="21048"/>
    </w:p>
    <w:p w14:paraId="438DFE83" w14:textId="77777777" w:rsidR="003D504D" w:rsidRDefault="003D504D" w:rsidP="00223668">
      <w:pPr>
        <w:pStyle w:val="a0"/>
        <w:rPr>
          <w:rtl/>
        </w:rPr>
      </w:pPr>
      <w:r>
        <w:rPr>
          <w:rFonts w:hint="cs"/>
          <w:rtl/>
        </w:rPr>
        <w:t xml:space="preserve">אבל לדברי </w:t>
      </w:r>
      <w:r w:rsidRPr="00281999">
        <w:rPr>
          <w:rStyle w:val="af9"/>
          <w:rFonts w:hint="cs"/>
          <w:rtl/>
        </w:rPr>
        <w:t>התוס'</w:t>
      </w:r>
      <w:r>
        <w:rPr>
          <w:rStyle w:val="af9"/>
          <w:rFonts w:hint="cs"/>
          <w:rtl/>
        </w:rPr>
        <w:t xml:space="preserve"> לקמן</w:t>
      </w:r>
      <w:r>
        <w:rPr>
          <w:rFonts w:hint="cs"/>
          <w:rtl/>
        </w:rPr>
        <w:t xml:space="preserve"> </w:t>
      </w:r>
      <w:r w:rsidRPr="00281999">
        <w:rPr>
          <w:rStyle w:val="af7"/>
          <w:rFonts w:eastAsia="Guttman Hodes" w:hint="cs"/>
          <w:rtl/>
        </w:rPr>
        <w:t xml:space="preserve">(עי' אות </w:t>
      </w:r>
      <w:r w:rsidRPr="00281999">
        <w:rPr>
          <w:rStyle w:val="af7"/>
          <w:rFonts w:eastAsia="Guttman Hodes"/>
          <w:rtl/>
        </w:rPr>
        <w:fldChar w:fldCharType="begin"/>
      </w:r>
      <w:r w:rsidRPr="00281999">
        <w:rPr>
          <w:rStyle w:val="af7"/>
          <w:rFonts w:eastAsia="Guttman Hodes"/>
          <w:rtl/>
        </w:rPr>
        <w:instrText xml:space="preserve"> </w:instrText>
      </w:r>
      <w:r w:rsidRPr="00281999">
        <w:rPr>
          <w:rStyle w:val="af7"/>
          <w:rFonts w:eastAsia="Guttman Hodes" w:hint="cs"/>
        </w:rPr>
        <w:instrText>REF</w:instrText>
      </w:r>
      <w:r w:rsidRPr="00281999">
        <w:rPr>
          <w:rStyle w:val="af7"/>
          <w:rFonts w:eastAsia="Guttman Hodes" w:hint="cs"/>
          <w:rtl/>
        </w:rPr>
        <w:instrText xml:space="preserve"> _</w:instrText>
      </w:r>
      <w:r w:rsidRPr="00281999">
        <w:rPr>
          <w:rStyle w:val="af7"/>
          <w:rFonts w:eastAsia="Guttman Hodes" w:hint="cs"/>
        </w:rPr>
        <w:instrText>Ref1318606 \r \h</w:instrText>
      </w:r>
      <w:r w:rsidRPr="00281999">
        <w:rPr>
          <w:rStyle w:val="af7"/>
          <w:rFonts w:eastAsia="Guttman Hodes"/>
          <w:rtl/>
        </w:rPr>
        <w:instrText xml:space="preserve"> </w:instrText>
      </w:r>
      <w:r w:rsidRPr="00281999">
        <w:rPr>
          <w:rStyle w:val="af7"/>
          <w:rFonts w:eastAsia="Guttman Hodes"/>
          <w:rtl/>
        </w:rPr>
      </w:r>
      <w:r w:rsidRPr="00281999">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281999">
        <w:rPr>
          <w:rStyle w:val="af7"/>
          <w:rFonts w:eastAsia="Guttman Hodes"/>
          <w:rtl/>
        </w:rPr>
        <w:fldChar w:fldCharType="end"/>
      </w:r>
      <w:r>
        <w:rPr>
          <w:rFonts w:hint="cs"/>
          <w:rtl/>
        </w:rPr>
        <w:t xml:space="preserve"> דכתבו דהצד דלא מהני שחיטה לעובר במעי אמו, הוא כיון שאי"ז שחיטה כלל, כתב </w:t>
      </w:r>
      <w:r w:rsidRPr="00281999">
        <w:rPr>
          <w:rStyle w:val="af9"/>
          <w:rFonts w:hint="cs"/>
          <w:rtl/>
        </w:rPr>
        <w:t xml:space="preserve">התורת יקותיאל </w:t>
      </w:r>
      <w:r>
        <w:rPr>
          <w:rFonts w:hint="cs"/>
          <w:rtl/>
        </w:rPr>
        <w:t>דא"כ בכל האופנים לא מהני שחיטה לעובר במעי אמו, בין אם שחיטת האם מהני לעצמה כשהיא כשרה, ובין אם לא מהני כשהיא טריפה.</w:t>
      </w:r>
    </w:p>
    <w:p w14:paraId="3969B4D7" w14:textId="77777777" w:rsidR="00BF0B39" w:rsidRPr="00BF0B39" w:rsidRDefault="00BF0B39" w:rsidP="00BF0B39">
      <w:pPr>
        <w:pStyle w:val="a3"/>
        <w:rPr>
          <w:rtl/>
        </w:rPr>
      </w:pPr>
    </w:p>
    <w:p w14:paraId="274B805D" w14:textId="77777777" w:rsidR="003D504D" w:rsidRPr="003719CE" w:rsidRDefault="003D504D" w:rsidP="003D504D">
      <w:pPr>
        <w:pStyle w:val="a3"/>
        <w:rPr>
          <w:rtl/>
        </w:rPr>
      </w:pPr>
      <w:bookmarkStart w:id="21049" w:name="_Toc1716608"/>
      <w:bookmarkStart w:id="21050" w:name="_Toc1725753"/>
      <w:bookmarkStart w:id="21051" w:name="_Toc1728131"/>
      <w:bookmarkStart w:id="21052" w:name="_Toc1938671"/>
      <w:bookmarkStart w:id="21053" w:name="_Toc1938764"/>
      <w:bookmarkStart w:id="21054" w:name="_Toc2078441"/>
      <w:bookmarkStart w:id="21055" w:name="_Toc19391629"/>
      <w:bookmarkStart w:id="21056" w:name="_Toc19395126"/>
      <w:r>
        <w:rPr>
          <w:rFonts w:hint="cs"/>
          <w:rtl/>
        </w:rPr>
        <w:t>קושית התורת יקותיאל על הרמ"א דפסק דלא מהני השחיטה במעיה ולא חילק בין כשרה לטריפה</w:t>
      </w:r>
      <w:bookmarkEnd w:id="21049"/>
      <w:bookmarkEnd w:id="21050"/>
      <w:bookmarkEnd w:id="21051"/>
      <w:bookmarkEnd w:id="21052"/>
      <w:bookmarkEnd w:id="21053"/>
      <w:bookmarkEnd w:id="21054"/>
      <w:bookmarkEnd w:id="21055"/>
      <w:bookmarkEnd w:id="21056"/>
    </w:p>
    <w:p w14:paraId="1688249D" w14:textId="77777777" w:rsidR="003D504D" w:rsidRDefault="003D504D" w:rsidP="00223668">
      <w:pPr>
        <w:pStyle w:val="a0"/>
        <w:rPr>
          <w:rtl/>
        </w:rPr>
      </w:pPr>
      <w:r>
        <w:rPr>
          <w:rFonts w:hint="cs"/>
          <w:rtl/>
        </w:rPr>
        <w:t xml:space="preserve">וכתב </w:t>
      </w:r>
      <w:r w:rsidRPr="00C22F36">
        <w:rPr>
          <w:rStyle w:val="af9"/>
          <w:rFonts w:hint="cs"/>
          <w:rtl/>
        </w:rPr>
        <w:t xml:space="preserve">התורת יקותיאל </w:t>
      </w:r>
      <w:r>
        <w:rPr>
          <w:rFonts w:hint="cs"/>
          <w:rtl/>
        </w:rPr>
        <w:t xml:space="preserve">דא"כ מבואר דכשהאם טריפה לדעת </w:t>
      </w:r>
      <w:r w:rsidRPr="00C22F36">
        <w:rPr>
          <w:rStyle w:val="af9"/>
          <w:rFonts w:hint="cs"/>
          <w:rtl/>
        </w:rPr>
        <w:t xml:space="preserve">הר"ן </w:t>
      </w:r>
      <w:r>
        <w:rPr>
          <w:rFonts w:hint="cs"/>
          <w:rtl/>
        </w:rPr>
        <w:t xml:space="preserve">בשם </w:t>
      </w:r>
      <w:r w:rsidRPr="00C22F36">
        <w:rPr>
          <w:rStyle w:val="af9"/>
          <w:rFonts w:hint="cs"/>
          <w:rtl/>
        </w:rPr>
        <w:t>התוס'</w:t>
      </w:r>
      <w:r>
        <w:rPr>
          <w:rFonts w:hint="cs"/>
          <w:rtl/>
        </w:rPr>
        <w:t xml:space="preserve"> מהני שחיטת העובר במעי אמו, והקשה </w:t>
      </w:r>
      <w:r w:rsidRPr="00CC474A">
        <w:rPr>
          <w:rStyle w:val="af9"/>
          <w:rFonts w:hint="cs"/>
          <w:rtl/>
        </w:rPr>
        <w:t xml:space="preserve">התורת יקותיאל </w:t>
      </w:r>
      <w:r>
        <w:rPr>
          <w:rFonts w:hint="cs"/>
          <w:rtl/>
        </w:rPr>
        <w:t xml:space="preserve">על </w:t>
      </w:r>
      <w:r w:rsidRPr="00CC474A">
        <w:rPr>
          <w:rStyle w:val="af9"/>
          <w:rFonts w:hint="cs"/>
          <w:rtl/>
        </w:rPr>
        <w:t xml:space="preserve">הדרכ"מ </w:t>
      </w:r>
      <w:r w:rsidRPr="00C22F36">
        <w:rPr>
          <w:rStyle w:val="af7"/>
          <w:rFonts w:eastAsia="Guttman Hodes" w:hint="cs"/>
          <w:rtl/>
        </w:rPr>
        <w:t>(סי' י"ד ב')</w:t>
      </w:r>
      <w:r>
        <w:rPr>
          <w:rFonts w:hint="cs"/>
          <w:rtl/>
        </w:rPr>
        <w:t xml:space="preserve"> שהביא את דברי </w:t>
      </w:r>
      <w:r w:rsidRPr="00CC474A">
        <w:rPr>
          <w:rStyle w:val="af9"/>
          <w:rFonts w:hint="cs"/>
          <w:rtl/>
        </w:rPr>
        <w:t xml:space="preserve">הר"ן </w:t>
      </w:r>
      <w:r>
        <w:rPr>
          <w:rFonts w:hint="cs"/>
          <w:rtl/>
        </w:rPr>
        <w:t xml:space="preserve">בפשיטות וכתב דשחיטת העובר במעי אמו לא מהני, ולא כתב </w:t>
      </w:r>
      <w:r>
        <w:rPr>
          <w:rtl/>
        </w:rPr>
        <w:t xml:space="preserve">דלדעת </w:t>
      </w:r>
      <w:r>
        <w:rPr>
          <w:rStyle w:val="af9"/>
          <w:rtl/>
        </w:rPr>
        <w:t xml:space="preserve">הר"ן </w:t>
      </w:r>
      <w:r>
        <w:rPr>
          <w:rtl/>
        </w:rPr>
        <w:t xml:space="preserve">בשם </w:t>
      </w:r>
      <w:r>
        <w:rPr>
          <w:rStyle w:val="af9"/>
          <w:rtl/>
        </w:rPr>
        <w:t>התוס'</w:t>
      </w:r>
      <w:r>
        <w:rPr>
          <w:rtl/>
        </w:rPr>
        <w:t xml:space="preserve"> </w:t>
      </w:r>
      <w:r>
        <w:rPr>
          <w:rFonts w:hint="cs"/>
          <w:rtl/>
        </w:rPr>
        <w:t xml:space="preserve">יש חילוק בין אם האם כשרה או טריפה, ועי' במ"ש </w:t>
      </w:r>
      <w:r w:rsidRPr="003A0859">
        <w:rPr>
          <w:rStyle w:val="af9"/>
          <w:rFonts w:hint="cs"/>
          <w:rtl/>
        </w:rPr>
        <w:t xml:space="preserve">התורת יקותיאל </w:t>
      </w:r>
      <w:r>
        <w:rPr>
          <w:rFonts w:hint="cs"/>
          <w:rtl/>
        </w:rPr>
        <w:t xml:space="preserve">דביאר לפי"ז את דברי </w:t>
      </w:r>
      <w:r w:rsidRPr="00D81186">
        <w:rPr>
          <w:rStyle w:val="af9"/>
          <w:rFonts w:hint="cs"/>
          <w:rtl/>
        </w:rPr>
        <w:t>הלבוש</w:t>
      </w:r>
      <w:r>
        <w:rPr>
          <w:rFonts w:hint="cs"/>
          <w:rtl/>
        </w:rPr>
        <w:t xml:space="preserve"> </w:t>
      </w:r>
      <w:r w:rsidRPr="00D81186">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Ref1716763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Pr>
          <w:rStyle w:val="af7"/>
          <w:rFonts w:eastAsia="Guttman Hodes"/>
          <w:rtl/>
        </w:rPr>
        <w:fldChar w:fldCharType="end"/>
      </w:r>
      <w:r w:rsidRPr="003A0859">
        <w:rPr>
          <w:rStyle w:val="af7"/>
          <w:rFonts w:eastAsia="Guttman Hodes" w:hint="cs"/>
          <w:rtl/>
        </w:rPr>
        <w:t xml:space="preserve"> </w:t>
      </w:r>
      <w:r>
        <w:rPr>
          <w:rFonts w:hint="cs"/>
          <w:rtl/>
        </w:rPr>
        <w:t>דכתב דהפסול בשחיטה במעי אמו הוא מדין חלדה.</w:t>
      </w:r>
    </w:p>
    <w:p w14:paraId="7FF150AE" w14:textId="77777777" w:rsidR="003D504D" w:rsidRPr="00C80382" w:rsidRDefault="003D504D" w:rsidP="00BF39B2">
      <w:pPr>
        <w:pStyle w:val="1"/>
        <w:rPr>
          <w:rtl/>
        </w:rPr>
      </w:pPr>
      <w:bookmarkStart w:id="21057" w:name="_Toc2078442"/>
      <w:bookmarkStart w:id="21058" w:name="_Toc19391630"/>
      <w:bookmarkStart w:id="21059" w:name="_Toc19395127"/>
      <w:r>
        <w:rPr>
          <w:rFonts w:hint="cs"/>
          <w:rtl/>
        </w:rPr>
        <w:t>ביאור האחרונים בתוס' בביצה דקיי"ל דמהני שחיטה במעיה</w:t>
      </w:r>
      <w:bookmarkEnd w:id="21057"/>
      <w:bookmarkEnd w:id="21058"/>
      <w:bookmarkEnd w:id="21059"/>
    </w:p>
    <w:p w14:paraId="67B12582" w14:textId="77777777" w:rsidR="003D504D" w:rsidRPr="00576967" w:rsidRDefault="003D504D" w:rsidP="003D504D">
      <w:pPr>
        <w:pStyle w:val="a3"/>
        <w:rPr>
          <w:rtl/>
        </w:rPr>
      </w:pPr>
      <w:bookmarkStart w:id="21060" w:name="_Toc1716610"/>
      <w:bookmarkStart w:id="21061" w:name="_Toc1725755"/>
      <w:bookmarkStart w:id="21062" w:name="_Toc1728133"/>
      <w:bookmarkStart w:id="21063" w:name="_Toc1938673"/>
      <w:bookmarkStart w:id="21064" w:name="_Toc1938766"/>
      <w:bookmarkStart w:id="21065" w:name="_Toc2078443"/>
      <w:bookmarkStart w:id="21066" w:name="_Toc19391631"/>
      <w:bookmarkStart w:id="21067" w:name="_Toc19395128"/>
      <w:r>
        <w:rPr>
          <w:rFonts w:hint="cs"/>
          <w:rtl/>
        </w:rPr>
        <w:t>קושית התוס' בביצה דולד טריפה מוכן לשחיטה ביו"ט דאפשר לשוחטו במעיה</w:t>
      </w:r>
      <w:bookmarkEnd w:id="21060"/>
      <w:bookmarkEnd w:id="21061"/>
      <w:bookmarkEnd w:id="21062"/>
      <w:bookmarkEnd w:id="21063"/>
      <w:bookmarkEnd w:id="21064"/>
      <w:bookmarkEnd w:id="21065"/>
      <w:bookmarkEnd w:id="21066"/>
      <w:bookmarkEnd w:id="21067"/>
    </w:p>
    <w:p w14:paraId="11F8E7A3" w14:textId="77777777" w:rsidR="003D504D" w:rsidRPr="00C713B2" w:rsidRDefault="003D504D" w:rsidP="00223668">
      <w:pPr>
        <w:pStyle w:val="a0"/>
        <w:rPr>
          <w:rStyle w:val="afb"/>
        </w:rPr>
      </w:pPr>
      <w:r>
        <w:rPr>
          <w:rFonts w:hint="cs"/>
          <w:rtl/>
        </w:rPr>
        <w:t xml:space="preserve">איתא בגמ' בביצה </w:t>
      </w:r>
      <w:r w:rsidRPr="00C713B2">
        <w:rPr>
          <w:rStyle w:val="af7"/>
          <w:rFonts w:eastAsia="Guttman Hodes" w:hint="cs"/>
          <w:rtl/>
        </w:rPr>
        <w:t xml:space="preserve">(ו.) </w:t>
      </w:r>
      <w:r>
        <w:rPr>
          <w:rFonts w:hint="cs"/>
          <w:rtl/>
        </w:rPr>
        <w:t xml:space="preserve">דעגל שנולד ביו"ט מותר לשחטו, דהוא מוכן לאכילה ואינו מוקצה, כיון שהוא מוכן אגב אמו שאפשר לשוחטה ולהתירו בשחיטתה, ומקשה הגמ' דא"כ אמאי עגל שנולד מן הטריפה אינו מוקצה, דכיון שא"א לשחוט את אמו, א"כ אינו מוכן אגב אמו, והקשו </w:t>
      </w:r>
      <w:r w:rsidRPr="00D81113">
        <w:rPr>
          <w:rStyle w:val="af9"/>
          <w:rFonts w:hint="cs"/>
          <w:rtl/>
        </w:rPr>
        <w:t>התוס' בביצה</w:t>
      </w:r>
      <w:r>
        <w:rPr>
          <w:rFonts w:hint="cs"/>
          <w:rtl/>
        </w:rPr>
        <w:t xml:space="preserve"> </w:t>
      </w:r>
      <w:r w:rsidRPr="00C713B2">
        <w:rPr>
          <w:rStyle w:val="af7"/>
          <w:rFonts w:eastAsia="Guttman Hodes" w:hint="cs"/>
          <w:rtl/>
        </w:rPr>
        <w:t>(ו. ד"ה וכי)</w:t>
      </w:r>
      <w:r>
        <w:rPr>
          <w:rFonts w:hint="cs"/>
          <w:rtl/>
        </w:rPr>
        <w:t xml:space="preserve"> דהא איתא בגמ' לקמן </w:t>
      </w:r>
      <w:r w:rsidRPr="00C713B2">
        <w:rPr>
          <w:rStyle w:val="af7"/>
          <w:rFonts w:eastAsia="Guttman Hodes"/>
          <w:rtl/>
        </w:rPr>
        <w:t>(עה.)</w:t>
      </w:r>
      <w:r>
        <w:rPr>
          <w:rtl/>
        </w:rPr>
        <w:t xml:space="preserve"> </w:t>
      </w:r>
      <w:r>
        <w:rPr>
          <w:rFonts w:hint="cs"/>
          <w:rtl/>
        </w:rPr>
        <w:t>דד' סימנים אכשר ביה רחמנא, וא"כ אפשר להושיט ידו ולשוחטו במעי אמו, והוא מוכן עי"ז.</w:t>
      </w:r>
      <w:r w:rsidRPr="00C713B2">
        <w:rPr>
          <w:rFonts w:asciiTheme="minorHAnsi" w:eastAsiaTheme="minorHAnsi" w:hAnsiTheme="minorHAnsi" w:cstheme="minorBidi" w:hint="cs"/>
          <w:noProof w:val="0"/>
          <w:sz w:val="22"/>
          <w:szCs w:val="22"/>
          <w:rtl/>
        </w:rPr>
        <w:t xml:space="preserve"> </w:t>
      </w:r>
      <w:bookmarkStart w:id="21068" w:name="_Toc1716612"/>
      <w:bookmarkStart w:id="21069" w:name="_Toc1725757"/>
      <w:bookmarkStart w:id="21070" w:name="_Toc1728135"/>
      <w:bookmarkStart w:id="21071" w:name="_Toc1938675"/>
      <w:bookmarkStart w:id="21072" w:name="_Toc1938768"/>
    </w:p>
    <w:p w14:paraId="14DB11EA" w14:textId="77777777" w:rsidR="003D504D" w:rsidRDefault="003D504D" w:rsidP="003D504D">
      <w:pPr>
        <w:pStyle w:val="a3"/>
        <w:rPr>
          <w:rtl/>
        </w:rPr>
      </w:pPr>
      <w:bookmarkStart w:id="21073" w:name="_Toc19391632"/>
      <w:bookmarkStart w:id="21074" w:name="_Toc19395129"/>
      <w:r>
        <w:rPr>
          <w:rFonts w:hint="cs"/>
          <w:rtl/>
        </w:rPr>
        <w:t>התירוץ הב' בתוס' בביצה דרק לכתחילה אסור לשחוט את העובר במעי אמו</w:t>
      </w:r>
      <w:bookmarkEnd w:id="21073"/>
      <w:bookmarkEnd w:id="21074"/>
    </w:p>
    <w:p w14:paraId="334AEC3D" w14:textId="77777777" w:rsidR="003D504D" w:rsidRPr="008D40E5" w:rsidRDefault="003D504D" w:rsidP="00223668">
      <w:pPr>
        <w:pStyle w:val="a0"/>
        <w:rPr>
          <w:rStyle w:val="afb"/>
          <w:rtl/>
        </w:rPr>
      </w:pPr>
      <w:r>
        <w:rPr>
          <w:rFonts w:hint="cs"/>
          <w:rtl/>
        </w:rPr>
        <w:t xml:space="preserve">ותירצו </w:t>
      </w:r>
      <w:r w:rsidRPr="00D81113">
        <w:rPr>
          <w:rStyle w:val="af9"/>
          <w:rFonts w:hint="cs"/>
          <w:rtl/>
        </w:rPr>
        <w:t xml:space="preserve">התוס' בביצה בתירוץ הא' </w:t>
      </w:r>
      <w:r>
        <w:rPr>
          <w:rFonts w:hint="cs"/>
          <w:rtl/>
        </w:rPr>
        <w:t xml:space="preserve">דהגמ' בביצה היא אליבא דרבי הושעיא שמסתפק אי מהני שחיטתו במעי אמו, וכ"כ </w:t>
      </w:r>
      <w:r w:rsidRPr="00993E6B">
        <w:rPr>
          <w:rStyle w:val="af9"/>
          <w:rFonts w:hint="cs"/>
          <w:rtl/>
        </w:rPr>
        <w:t>בתירו</w:t>
      </w:r>
      <w:r>
        <w:rPr>
          <w:rStyle w:val="af9"/>
          <w:rFonts w:hint="cs"/>
          <w:rtl/>
        </w:rPr>
        <w:t>ץ</w:t>
      </w:r>
      <w:r w:rsidRPr="00993E6B">
        <w:rPr>
          <w:rStyle w:val="af9"/>
          <w:rFonts w:hint="cs"/>
          <w:rtl/>
        </w:rPr>
        <w:t xml:space="preserve"> הא'</w:t>
      </w:r>
      <w:r>
        <w:rPr>
          <w:rFonts w:hint="cs"/>
          <w:rtl/>
        </w:rPr>
        <w:t xml:space="preserve"> </w:t>
      </w:r>
      <w:r w:rsidRPr="00993E6B">
        <w:rPr>
          <w:rStyle w:val="af9"/>
          <w:rFonts w:hint="cs"/>
          <w:rtl/>
        </w:rPr>
        <w:t xml:space="preserve">הרא"ה בביצה </w:t>
      </w:r>
      <w:r w:rsidRPr="00FC669D">
        <w:rPr>
          <w:rStyle w:val="af7"/>
          <w:rFonts w:eastAsia="Guttman Hodes" w:hint="cs"/>
          <w:rtl/>
        </w:rPr>
        <w:t>(ו. ד"ה א"ל, נד' בשיטת הקדמונים ביצה)</w:t>
      </w:r>
      <w:r>
        <w:rPr>
          <w:rFonts w:hint="cs"/>
          <w:rtl/>
        </w:rPr>
        <w:t xml:space="preserve">, </w:t>
      </w:r>
      <w:bookmarkStart w:id="21075" w:name="_Ref1419245"/>
      <w:r>
        <w:rPr>
          <w:rFonts w:hint="cs"/>
          <w:rtl/>
        </w:rPr>
        <w:t xml:space="preserve">ועוד תירצו </w:t>
      </w:r>
      <w:r w:rsidRPr="00D81113">
        <w:rPr>
          <w:rStyle w:val="af9"/>
          <w:rFonts w:hint="cs"/>
          <w:rtl/>
        </w:rPr>
        <w:t xml:space="preserve">התוס' בביצה בתירוץ הב' </w:t>
      </w:r>
      <w:r>
        <w:rPr>
          <w:rFonts w:hint="cs"/>
          <w:rtl/>
        </w:rPr>
        <w:t>דלכתחילה אסור לשחוט כיון שהשוחט אינו רואה את הסימנים כמו דאסור לכתחילה לשחוט בלילה,</w:t>
      </w:r>
      <w:r w:rsidRPr="00562C36">
        <w:rPr>
          <w:rFonts w:hint="cs"/>
          <w:rtl/>
        </w:rPr>
        <w:t xml:space="preserve"> </w:t>
      </w:r>
      <w:r>
        <w:rPr>
          <w:rFonts w:hint="cs"/>
          <w:rtl/>
        </w:rPr>
        <w:t xml:space="preserve">לכן לא חשיב מוכן ע"י שחיטה זו. </w:t>
      </w:r>
      <w:r w:rsidRPr="00B7275B">
        <w:rPr>
          <w:rStyle w:val="afb"/>
          <w:rFonts w:hint="cs"/>
          <w:rtl/>
        </w:rPr>
        <w:t xml:space="preserve">[ועוד תירץ </w:t>
      </w:r>
      <w:r w:rsidRPr="00B7275B">
        <w:rPr>
          <w:rStyle w:val="affa"/>
          <w:rFonts w:hint="cs"/>
          <w:rtl/>
        </w:rPr>
        <w:t>הרא"ה בביצה בתירוץ הב'</w:t>
      </w:r>
      <w:r w:rsidRPr="00B7275B">
        <w:rPr>
          <w:rStyle w:val="afb"/>
          <w:rFonts w:hint="cs"/>
          <w:rtl/>
        </w:rPr>
        <w:t xml:space="preserve"> דאף אי נימא דמותר לשוחטו במעי אמו, מ"מ אינו נחשב מוכן עי"ז כיון שאינו שכיח</w:t>
      </w:r>
      <w:bookmarkStart w:id="21076" w:name="_Toc1716627"/>
      <w:bookmarkStart w:id="21077" w:name="_Toc1725772"/>
      <w:bookmarkStart w:id="21078" w:name="_Toc1728150"/>
      <w:bookmarkStart w:id="21079" w:name="_Toc1938690"/>
      <w:bookmarkStart w:id="21080" w:name="_Toc1938783"/>
      <w:bookmarkEnd w:id="21075"/>
      <w:r w:rsidRPr="00B7275B">
        <w:rPr>
          <w:rStyle w:val="afb"/>
          <w:rFonts w:hint="cs"/>
          <w:rtl/>
        </w:rPr>
        <w:t>. ועוד תירצו</w:t>
      </w:r>
      <w:r w:rsidRPr="008D40E5">
        <w:rPr>
          <w:rStyle w:val="afb"/>
          <w:rFonts w:hint="cs"/>
          <w:rtl/>
        </w:rPr>
        <w:t xml:space="preserve"> </w:t>
      </w:r>
      <w:r w:rsidRPr="008D40E5">
        <w:rPr>
          <w:rStyle w:val="affa"/>
          <w:rFonts w:hint="cs"/>
          <w:rtl/>
        </w:rPr>
        <w:t>התוס' בביצה בתירוץ הג'</w:t>
      </w:r>
      <w:r w:rsidRPr="008D40E5">
        <w:rPr>
          <w:rStyle w:val="afb"/>
          <w:rFonts w:hint="cs"/>
          <w:rtl/>
        </w:rPr>
        <w:t xml:space="preserve"> דהא דאיתא בגמ' לקמן </w:t>
      </w:r>
      <w:r w:rsidRPr="008D40E5">
        <w:rPr>
          <w:rStyle w:val="aff6"/>
          <w:rtl/>
        </w:rPr>
        <w:t>(עה.)</w:t>
      </w:r>
      <w:r w:rsidRPr="008D40E5">
        <w:rPr>
          <w:rStyle w:val="afb"/>
          <w:rtl/>
        </w:rPr>
        <w:t xml:space="preserve"> </w:t>
      </w:r>
      <w:r w:rsidRPr="008D40E5">
        <w:rPr>
          <w:rStyle w:val="afb"/>
          <w:rFonts w:hint="cs"/>
          <w:rtl/>
        </w:rPr>
        <w:t xml:space="preserve">דד' סימנים אכשר ביה רחמנא, היינו בעובר דכלו לו חדשיו, ולכן מהני שחיטתו, אבל עובר דלא כלו לו חדשיו פשיטא דלא מהני שחיטתו במעי אמו, דכיון שאין לו שחיטה לעצמו לא נאמר בו דין ד' סימנים, וכתבו </w:t>
      </w:r>
      <w:r w:rsidRPr="008D40E5">
        <w:rPr>
          <w:rStyle w:val="affa"/>
          <w:rFonts w:hint="cs"/>
          <w:rtl/>
        </w:rPr>
        <w:t>התוס' בביצה בתירוץ הג'</w:t>
      </w:r>
      <w:r w:rsidRPr="008D40E5">
        <w:rPr>
          <w:rStyle w:val="afb"/>
          <w:rFonts w:hint="cs"/>
          <w:rtl/>
        </w:rPr>
        <w:t xml:space="preserve"> דבגמ' בביצה איירי בעובר שכלו לו חדשיו רק ביו"ט, וא"כ בין השמשות דיו"ט עדיין לא היה ראוי לשחיטה, וכיון שהיה מוקצה בבין השמשות אינו מוכן].</w:t>
      </w:r>
    </w:p>
    <w:p w14:paraId="5C55BCC5" w14:textId="77777777" w:rsidR="003D504D" w:rsidRPr="0057320B" w:rsidRDefault="003D504D" w:rsidP="003D504D">
      <w:pPr>
        <w:pStyle w:val="a3"/>
      </w:pPr>
      <w:bookmarkStart w:id="21081" w:name="_Toc2078446"/>
      <w:bookmarkStart w:id="21082" w:name="_Toc19391633"/>
      <w:bookmarkStart w:id="21083" w:name="_Toc19395130"/>
      <w:bookmarkStart w:id="21084" w:name="_Toc2078448"/>
      <w:bookmarkStart w:id="21085" w:name="_Toc1938769"/>
      <w:bookmarkStart w:id="21086" w:name="_Toc1938676"/>
      <w:bookmarkStart w:id="21087" w:name="_Toc1728136"/>
      <w:bookmarkStart w:id="21088" w:name="_Toc1725758"/>
      <w:bookmarkStart w:id="21089" w:name="_Toc1716613"/>
      <w:bookmarkStart w:id="21090" w:name="_Toc1419327"/>
      <w:bookmarkStart w:id="21091" w:name="_Toc1592207"/>
      <w:bookmarkStart w:id="21092" w:name="_Toc1668738"/>
      <w:bookmarkStart w:id="21093" w:name="_Toc1716618"/>
      <w:bookmarkStart w:id="21094" w:name="_Toc1725763"/>
      <w:bookmarkStart w:id="21095" w:name="_Toc1728141"/>
      <w:bookmarkStart w:id="21096" w:name="_Toc1938681"/>
      <w:bookmarkStart w:id="21097" w:name="_Toc1938774"/>
      <w:bookmarkStart w:id="21098" w:name="_Toc2078450"/>
      <w:bookmarkEnd w:id="21068"/>
      <w:bookmarkEnd w:id="21069"/>
      <w:bookmarkEnd w:id="21070"/>
      <w:bookmarkEnd w:id="21071"/>
      <w:bookmarkEnd w:id="21072"/>
      <w:bookmarkEnd w:id="21076"/>
      <w:bookmarkEnd w:id="21077"/>
      <w:bookmarkEnd w:id="21078"/>
      <w:bookmarkEnd w:id="21079"/>
      <w:bookmarkEnd w:id="21080"/>
      <w:r>
        <w:rPr>
          <w:rFonts w:hint="cs"/>
          <w:rtl/>
        </w:rPr>
        <w:t>דברי השבות יעקב דמסקנת התוס' בביצה דלמ"ד ד' סימנים בדיעבד מהני שחיטה במעיה</w:t>
      </w:r>
      <w:bookmarkEnd w:id="21081"/>
      <w:bookmarkEnd w:id="21082"/>
      <w:bookmarkEnd w:id="21083"/>
    </w:p>
    <w:p w14:paraId="6037BEE3" w14:textId="77777777" w:rsidR="003D504D" w:rsidRDefault="003D504D" w:rsidP="00223668">
      <w:pPr>
        <w:pStyle w:val="a0"/>
        <w:rPr>
          <w:rtl/>
        </w:rPr>
      </w:pPr>
      <w:bookmarkStart w:id="21099" w:name="_Ref16616796"/>
      <w:r>
        <w:rPr>
          <w:rFonts w:hint="cs"/>
          <w:rtl/>
        </w:rPr>
        <w:t>ו</w:t>
      </w:r>
      <w:r w:rsidRPr="00A865DF">
        <w:rPr>
          <w:rFonts w:hint="cs"/>
          <w:rtl/>
        </w:rPr>
        <w:t xml:space="preserve">ציינו </w:t>
      </w:r>
      <w:r w:rsidRPr="00A865DF">
        <w:rPr>
          <w:rStyle w:val="af9"/>
          <w:rFonts w:hint="cs"/>
          <w:rtl/>
        </w:rPr>
        <w:t>הגרעק"א</w:t>
      </w:r>
      <w:r w:rsidRPr="00A865DF">
        <w:rPr>
          <w:rFonts w:hint="cs"/>
          <w:rtl/>
        </w:rPr>
        <w:t xml:space="preserve"> </w:t>
      </w:r>
      <w:r w:rsidRPr="00A865DF">
        <w:rPr>
          <w:rStyle w:val="af7"/>
          <w:rFonts w:eastAsia="Guttman Hodes" w:hint="cs"/>
          <w:rtl/>
        </w:rPr>
        <w:t>(סי' י"ד על הט"ז סק"י)</w:t>
      </w:r>
      <w:r w:rsidRPr="00A865DF">
        <w:rPr>
          <w:rFonts w:hint="cs"/>
          <w:rtl/>
        </w:rPr>
        <w:t xml:space="preserve"> </w:t>
      </w:r>
      <w:r w:rsidRPr="00A865DF">
        <w:rPr>
          <w:rStyle w:val="af9"/>
          <w:rFonts w:hint="cs"/>
          <w:rtl/>
        </w:rPr>
        <w:t>והגליון המהרש"א</w:t>
      </w:r>
      <w:r w:rsidRPr="00A865DF">
        <w:rPr>
          <w:rFonts w:hint="cs"/>
          <w:rtl/>
        </w:rPr>
        <w:t xml:space="preserve"> </w:t>
      </w:r>
      <w:r w:rsidRPr="00A865DF">
        <w:rPr>
          <w:rStyle w:val="af7"/>
          <w:rFonts w:eastAsia="Guttman Hodes" w:hint="cs"/>
          <w:rtl/>
        </w:rPr>
        <w:t>(סי' י"ד ו')</w:t>
      </w:r>
      <w:r w:rsidRPr="00A865DF">
        <w:rPr>
          <w:rFonts w:hint="cs"/>
          <w:rtl/>
        </w:rPr>
        <w:t xml:space="preserve"> לדברי</w:t>
      </w:r>
      <w:r w:rsidRPr="00186D14">
        <w:rPr>
          <w:rStyle w:val="af9"/>
          <w:rFonts w:hint="cs"/>
          <w:rtl/>
        </w:rPr>
        <w:t xml:space="preserve"> השבות יעקב</w:t>
      </w:r>
      <w:r>
        <w:rPr>
          <w:rFonts w:hint="cs"/>
          <w:rtl/>
        </w:rPr>
        <w:t xml:space="preserve"> </w:t>
      </w:r>
      <w:r w:rsidRPr="00A865DF">
        <w:rPr>
          <w:rStyle w:val="af7"/>
          <w:rFonts w:eastAsia="Guttman Hodes" w:hint="cs"/>
          <w:rtl/>
        </w:rPr>
        <w:t xml:space="preserve">(ח"א </w:t>
      </w:r>
      <w:r>
        <w:rPr>
          <w:rStyle w:val="af7"/>
          <w:rFonts w:eastAsia="Guttman Hodes" w:hint="cs"/>
          <w:rtl/>
        </w:rPr>
        <w:t xml:space="preserve">סו"ס </w:t>
      </w:r>
      <w:r w:rsidRPr="00A865DF">
        <w:rPr>
          <w:rStyle w:val="af7"/>
          <w:rFonts w:eastAsia="Guttman Hodes" w:hint="cs"/>
          <w:rtl/>
        </w:rPr>
        <w:t>מ"ה</w:t>
      </w:r>
      <w:r>
        <w:rPr>
          <w:rStyle w:val="af7"/>
          <w:rFonts w:eastAsia="Guttman Hodes" w:hint="cs"/>
          <w:rtl/>
        </w:rPr>
        <w:t>)</w:t>
      </w:r>
      <w:r w:rsidRPr="00A865DF">
        <w:rPr>
          <w:rStyle w:val="af7"/>
          <w:rFonts w:eastAsia="Guttman Hodes" w:hint="cs"/>
          <w:rtl/>
        </w:rPr>
        <w:t xml:space="preserve"> </w:t>
      </w:r>
      <w:r>
        <w:rPr>
          <w:rFonts w:hint="cs"/>
          <w:rtl/>
        </w:rPr>
        <w:t xml:space="preserve">דכתב כמבואר </w:t>
      </w:r>
      <w:r w:rsidRPr="00186D14">
        <w:rPr>
          <w:rStyle w:val="af9"/>
          <w:rFonts w:hint="cs"/>
          <w:rtl/>
        </w:rPr>
        <w:t>בתירוץ הב' בתוס' בביצה</w:t>
      </w:r>
      <w:r>
        <w:rPr>
          <w:rFonts w:hint="cs"/>
          <w:rtl/>
        </w:rPr>
        <w:t xml:space="preserve"> </w:t>
      </w:r>
      <w:r w:rsidRPr="005A45F1">
        <w:rPr>
          <w:rStyle w:val="af7"/>
          <w:rFonts w:eastAsia="Guttman Hodes" w:hint="cs"/>
          <w:rtl/>
        </w:rPr>
        <w:t xml:space="preserve">(עי' אות </w:t>
      </w:r>
      <w:r w:rsidRPr="005A45F1">
        <w:rPr>
          <w:rStyle w:val="af7"/>
          <w:rFonts w:eastAsia="Guttman Hodes"/>
          <w:rtl/>
        </w:rPr>
        <w:fldChar w:fldCharType="begin"/>
      </w:r>
      <w:r w:rsidRPr="005A45F1">
        <w:rPr>
          <w:rStyle w:val="af7"/>
          <w:rFonts w:eastAsia="Guttman Hodes"/>
          <w:rtl/>
        </w:rPr>
        <w:instrText xml:space="preserve"> </w:instrText>
      </w:r>
      <w:r w:rsidRPr="005A45F1">
        <w:rPr>
          <w:rStyle w:val="af7"/>
          <w:rFonts w:eastAsia="Guttman Hodes" w:hint="cs"/>
        </w:rPr>
        <w:instrText>REF</w:instrText>
      </w:r>
      <w:r w:rsidRPr="005A45F1">
        <w:rPr>
          <w:rStyle w:val="af7"/>
          <w:rFonts w:eastAsia="Guttman Hodes" w:hint="cs"/>
          <w:rtl/>
        </w:rPr>
        <w:instrText xml:space="preserve"> _</w:instrText>
      </w:r>
      <w:r w:rsidRPr="005A45F1">
        <w:rPr>
          <w:rStyle w:val="af7"/>
          <w:rFonts w:eastAsia="Guttman Hodes" w:hint="cs"/>
        </w:rPr>
        <w:instrText>Ref1419245 \r \h</w:instrText>
      </w:r>
      <w:r w:rsidRPr="005A45F1">
        <w:rPr>
          <w:rStyle w:val="af7"/>
          <w:rFonts w:eastAsia="Guttman Hodes"/>
          <w:rtl/>
        </w:rPr>
        <w:instrText xml:space="preserve"> </w:instrText>
      </w:r>
      <w:r w:rsidRPr="005A45F1">
        <w:rPr>
          <w:rStyle w:val="af7"/>
          <w:rFonts w:eastAsia="Guttman Hodes"/>
          <w:rtl/>
        </w:rPr>
      </w:r>
      <w:r w:rsidRPr="005A45F1">
        <w:rPr>
          <w:rStyle w:val="af7"/>
          <w:rFonts w:eastAsia="Guttman Hodes"/>
          <w:rtl/>
        </w:rPr>
        <w:fldChar w:fldCharType="separate"/>
      </w:r>
      <w:r w:rsidR="00345400">
        <w:rPr>
          <w:rStyle w:val="af7"/>
          <w:rFonts w:eastAsia="Guttman Hodes"/>
          <w:cs/>
        </w:rPr>
        <w:t>‎</w:t>
      </w:r>
      <w:r w:rsidR="00345400">
        <w:rPr>
          <w:rStyle w:val="af7"/>
          <w:rFonts w:eastAsia="Guttman Hodes"/>
          <w:rtl/>
        </w:rPr>
        <w:t>יז)</w:t>
      </w:r>
      <w:r w:rsidRPr="005A45F1">
        <w:rPr>
          <w:rStyle w:val="af7"/>
          <w:rFonts w:eastAsia="Guttman Hodes"/>
          <w:rtl/>
        </w:rPr>
        <w:fldChar w:fldCharType="end"/>
      </w:r>
      <w:r>
        <w:rPr>
          <w:rFonts w:hint="cs"/>
          <w:rtl/>
        </w:rPr>
        <w:t xml:space="preserve"> דאף למ"ד דד' סימנים אכשר ביה רחמנא, רק לכתחילה אסור לשוחטו במעי אמו, ומבואר דבדיעבד שחיטתו כשרה, כיון שיש לו את סימני עצמו, וכתב </w:t>
      </w:r>
      <w:r w:rsidRPr="00186D14">
        <w:rPr>
          <w:rStyle w:val="af9"/>
          <w:rFonts w:hint="cs"/>
          <w:rtl/>
        </w:rPr>
        <w:t>השבות יעקב</w:t>
      </w:r>
      <w:r>
        <w:rPr>
          <w:rFonts w:hint="cs"/>
          <w:rtl/>
        </w:rPr>
        <w:t xml:space="preserve"> דאף </w:t>
      </w:r>
      <w:r w:rsidRPr="00186D14">
        <w:rPr>
          <w:rStyle w:val="af9"/>
          <w:rFonts w:hint="cs"/>
          <w:rtl/>
        </w:rPr>
        <w:t>דהתוס'</w:t>
      </w:r>
      <w:r>
        <w:rPr>
          <w:rStyle w:val="af9"/>
          <w:rFonts w:hint="cs"/>
          <w:rtl/>
        </w:rPr>
        <w:t xml:space="preserve"> לקמן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Ref1680078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ו)</w:t>
      </w:r>
      <w:r>
        <w:rPr>
          <w:rStyle w:val="af7"/>
          <w:rFonts w:eastAsia="Guttman Hodes"/>
          <w:rtl/>
        </w:rPr>
        <w:fldChar w:fldCharType="end"/>
      </w:r>
      <w:r>
        <w:rPr>
          <w:rStyle w:val="af7"/>
          <w:rFonts w:eastAsia="Guttman Hodes" w:hint="cs"/>
          <w:rtl/>
        </w:rPr>
        <w:t xml:space="preserve"> </w:t>
      </w:r>
      <w:r>
        <w:rPr>
          <w:rFonts w:hint="cs"/>
          <w:rtl/>
        </w:rPr>
        <w:t xml:space="preserve">כתבו דהספק הוא אף למ"ד דד' סימנים אכשר ביה רחמנא, דכיון שלא יצא לאויר העולם מספקא לן אם יש לו סימנים, מ"מ מדברי </w:t>
      </w:r>
      <w:r w:rsidRPr="00D81113">
        <w:rPr>
          <w:rStyle w:val="af9"/>
          <w:rFonts w:hint="cs"/>
          <w:rtl/>
        </w:rPr>
        <w:t xml:space="preserve">התוס' בביצה </w:t>
      </w:r>
      <w:r w:rsidRPr="003B692A">
        <w:rPr>
          <w:rFonts w:hint="cs"/>
          <w:rtl/>
        </w:rPr>
        <w:t>מבואר דלהלכה לא</w:t>
      </w:r>
      <w:r>
        <w:rPr>
          <w:rFonts w:hint="cs"/>
          <w:rtl/>
        </w:rPr>
        <w:t xml:space="preserve"> פסקו </w:t>
      </w:r>
      <w:r w:rsidRPr="0057320B">
        <w:rPr>
          <w:rStyle w:val="af9"/>
          <w:rFonts w:hint="cs"/>
          <w:rtl/>
        </w:rPr>
        <w:t>התוס'</w:t>
      </w:r>
      <w:r>
        <w:rPr>
          <w:rFonts w:hint="cs"/>
          <w:rtl/>
        </w:rPr>
        <w:t xml:space="preserve"> כן, כמבואר בדברי </w:t>
      </w:r>
      <w:r w:rsidRPr="00B87D9C">
        <w:rPr>
          <w:rStyle w:val="af9"/>
          <w:rFonts w:hint="cs"/>
          <w:rtl/>
        </w:rPr>
        <w:t>פסקי התוס' בביצה</w:t>
      </w:r>
      <w:r>
        <w:rPr>
          <w:rFonts w:hint="cs"/>
          <w:rtl/>
        </w:rPr>
        <w:t xml:space="preserve"> </w:t>
      </w:r>
      <w:r w:rsidRPr="00015616">
        <w:rPr>
          <w:rFonts w:hint="cs"/>
          <w:rtl/>
        </w:rPr>
        <w:t>דפסקו להלכה כתירוצם הב'</w:t>
      </w:r>
      <w:r>
        <w:rPr>
          <w:rFonts w:hint="cs"/>
          <w:rtl/>
        </w:rPr>
        <w:t>.</w:t>
      </w:r>
      <w:bookmarkEnd w:id="21099"/>
    </w:p>
    <w:p w14:paraId="55A2E4D4" w14:textId="77777777" w:rsidR="003D504D" w:rsidRDefault="003D504D" w:rsidP="003D504D">
      <w:pPr>
        <w:pStyle w:val="a3"/>
        <w:rPr>
          <w:rtl/>
        </w:rPr>
      </w:pPr>
      <w:bookmarkStart w:id="21100" w:name="_Toc1716628"/>
      <w:bookmarkStart w:id="21101" w:name="_Toc1725773"/>
      <w:bookmarkStart w:id="21102" w:name="_Toc1728151"/>
      <w:bookmarkStart w:id="21103" w:name="_Toc1938691"/>
      <w:bookmarkStart w:id="21104" w:name="_Toc1938784"/>
      <w:bookmarkStart w:id="21105" w:name="_Toc2078447"/>
      <w:bookmarkStart w:id="21106" w:name="_Toc19391634"/>
      <w:bookmarkStart w:id="21107" w:name="_Toc19395131"/>
      <w:r>
        <w:rPr>
          <w:rFonts w:hint="cs"/>
          <w:rtl/>
        </w:rPr>
        <w:t>דברי ה</w:t>
      </w:r>
      <w:r w:rsidR="00345400">
        <w:rPr>
          <w:rFonts w:hint="cs"/>
          <w:rtl/>
        </w:rPr>
        <w:t>פלתי</w:t>
      </w:r>
      <w:r>
        <w:rPr>
          <w:rFonts w:hint="cs"/>
          <w:rtl/>
        </w:rPr>
        <w:t xml:space="preserve"> דמבואר מדברי התוס' בביצה דספיקא דרב הושעיא נפשט ומהני השחיטה במעיה</w:t>
      </w:r>
      <w:bookmarkEnd w:id="21100"/>
      <w:bookmarkEnd w:id="21101"/>
      <w:bookmarkEnd w:id="21102"/>
      <w:bookmarkEnd w:id="21103"/>
      <w:bookmarkEnd w:id="21104"/>
      <w:bookmarkEnd w:id="21105"/>
      <w:bookmarkEnd w:id="21106"/>
      <w:bookmarkEnd w:id="21107"/>
    </w:p>
    <w:p w14:paraId="6531751A" w14:textId="77777777" w:rsidR="003D504D" w:rsidRDefault="003D504D" w:rsidP="00223668">
      <w:pPr>
        <w:pStyle w:val="a0"/>
        <w:rPr>
          <w:rtl/>
        </w:rPr>
      </w:pPr>
      <w:r w:rsidRPr="00B87D9C">
        <w:rPr>
          <w:rStyle w:val="af9"/>
          <w:rFonts w:hint="cs"/>
          <w:rtl/>
        </w:rPr>
        <w:t>וה</w:t>
      </w:r>
      <w:r w:rsidR="00345400">
        <w:rPr>
          <w:rStyle w:val="af9"/>
          <w:rFonts w:hint="cs"/>
          <w:rtl/>
        </w:rPr>
        <w:t>פלתי</w:t>
      </w:r>
      <w:r>
        <w:rPr>
          <w:rFonts w:hint="cs"/>
          <w:rtl/>
        </w:rPr>
        <w:t xml:space="preserve"> </w:t>
      </w:r>
      <w:r w:rsidRPr="001E6CA0">
        <w:rPr>
          <w:rStyle w:val="af7"/>
          <w:rFonts w:eastAsia="Guttman Hodes" w:hint="cs"/>
          <w:rtl/>
        </w:rPr>
        <w:t>(סי' י"ד סק"ו)</w:t>
      </w:r>
      <w:r>
        <w:rPr>
          <w:rFonts w:hint="cs"/>
          <w:rtl/>
        </w:rPr>
        <w:t xml:space="preserve"> ג"כ הביא את דברי </w:t>
      </w:r>
      <w:r w:rsidRPr="00B87D9C">
        <w:rPr>
          <w:rStyle w:val="af9"/>
          <w:rFonts w:hint="cs"/>
          <w:rtl/>
        </w:rPr>
        <w:t>פסקי התוס' בביצה</w:t>
      </w:r>
      <w:r>
        <w:rPr>
          <w:rFonts w:hint="cs"/>
          <w:rtl/>
        </w:rPr>
        <w:t xml:space="preserve"> דפסקו דרק לכתחילה אסור לשחוט במעי אמו, וכתב </w:t>
      </w:r>
      <w:r w:rsidRPr="002C43C7">
        <w:rPr>
          <w:rStyle w:val="af9"/>
          <w:rFonts w:hint="cs"/>
          <w:rtl/>
        </w:rPr>
        <w:t>ה</w:t>
      </w:r>
      <w:r w:rsidR="00345400">
        <w:rPr>
          <w:rStyle w:val="af9"/>
          <w:rFonts w:hint="cs"/>
          <w:rtl/>
        </w:rPr>
        <w:t>פלתי</w:t>
      </w:r>
      <w:r>
        <w:rPr>
          <w:rFonts w:hint="cs"/>
          <w:rtl/>
        </w:rPr>
        <w:t xml:space="preserve"> דמבואר דמסקנת </w:t>
      </w:r>
      <w:r w:rsidRPr="00B87D9C">
        <w:rPr>
          <w:rStyle w:val="af9"/>
          <w:rFonts w:hint="cs"/>
          <w:rtl/>
        </w:rPr>
        <w:t>התוס' בביצה</w:t>
      </w:r>
      <w:r>
        <w:rPr>
          <w:rFonts w:hint="cs"/>
          <w:rtl/>
        </w:rPr>
        <w:t xml:space="preserve"> דלהלכה מהני שחיטת הולד במעי אמו, וביאר </w:t>
      </w:r>
      <w:r w:rsidRPr="00B87D9C">
        <w:rPr>
          <w:rStyle w:val="af9"/>
          <w:rFonts w:hint="cs"/>
          <w:rtl/>
        </w:rPr>
        <w:t>ה</w:t>
      </w:r>
      <w:r w:rsidR="00345400">
        <w:rPr>
          <w:rStyle w:val="af9"/>
          <w:rFonts w:hint="cs"/>
          <w:rtl/>
        </w:rPr>
        <w:t>פלתי</w:t>
      </w:r>
      <w:r>
        <w:rPr>
          <w:rFonts w:hint="cs"/>
          <w:rtl/>
        </w:rPr>
        <w:t xml:space="preserve"> דמסקנת דברי רבא בסוגיין דספיקא דרב הושעיא נפשט לקולא, ומותר לשחוט את הולד במעי אמו </w:t>
      </w:r>
      <w:r w:rsidRPr="00D11A49">
        <w:rPr>
          <w:rStyle w:val="afb"/>
          <w:rFonts w:hint="cs"/>
          <w:rtl/>
        </w:rPr>
        <w:t>[עיי"ש במה שביאר</w:t>
      </w:r>
      <w:r>
        <w:rPr>
          <w:rStyle w:val="afb"/>
          <w:rFonts w:hint="cs"/>
          <w:rtl/>
        </w:rPr>
        <w:t>]</w:t>
      </w:r>
      <w:r>
        <w:rPr>
          <w:rFonts w:hint="cs"/>
          <w:rtl/>
        </w:rPr>
        <w:t xml:space="preserve">, וכתב </w:t>
      </w:r>
      <w:r w:rsidRPr="00B87D9C">
        <w:rPr>
          <w:rStyle w:val="af9"/>
          <w:rFonts w:hint="cs"/>
          <w:rtl/>
        </w:rPr>
        <w:t>ה</w:t>
      </w:r>
      <w:r w:rsidR="00345400">
        <w:rPr>
          <w:rStyle w:val="af9"/>
          <w:rFonts w:hint="cs"/>
          <w:rtl/>
        </w:rPr>
        <w:t>פלתי</w:t>
      </w:r>
      <w:r>
        <w:rPr>
          <w:rFonts w:hint="cs"/>
          <w:rtl/>
        </w:rPr>
        <w:t xml:space="preserve"> דלכן מסקנת </w:t>
      </w:r>
      <w:r w:rsidRPr="00B87D9C">
        <w:rPr>
          <w:rStyle w:val="af9"/>
          <w:rFonts w:hint="cs"/>
          <w:rtl/>
        </w:rPr>
        <w:t>התוס' בביצה</w:t>
      </w:r>
      <w:r>
        <w:rPr>
          <w:rFonts w:hint="cs"/>
          <w:rtl/>
        </w:rPr>
        <w:t xml:space="preserve"> להלכה דמותר.</w:t>
      </w:r>
      <w:r w:rsidRPr="00A609E2">
        <w:rPr>
          <w:rStyle w:val="afb"/>
          <w:rFonts w:hint="cs"/>
          <w:rtl/>
        </w:rPr>
        <w:t xml:space="preserve"> </w:t>
      </w:r>
      <w:r w:rsidRPr="00D11A49">
        <w:rPr>
          <w:rStyle w:val="afb"/>
          <w:rFonts w:hint="cs"/>
          <w:rtl/>
        </w:rPr>
        <w:t>[עיי"ש במ</w:t>
      </w:r>
      <w:r>
        <w:rPr>
          <w:rStyle w:val="afb"/>
          <w:rFonts w:hint="cs"/>
          <w:rtl/>
        </w:rPr>
        <w:t xml:space="preserve">"ש </w:t>
      </w:r>
      <w:r w:rsidRPr="00A609E2">
        <w:rPr>
          <w:rStyle w:val="affa"/>
          <w:rFonts w:hint="cs"/>
          <w:rtl/>
        </w:rPr>
        <w:t>ה</w:t>
      </w:r>
      <w:r w:rsidR="00345400">
        <w:rPr>
          <w:rStyle w:val="affa"/>
          <w:rFonts w:hint="cs"/>
          <w:rtl/>
        </w:rPr>
        <w:t>פלתי</w:t>
      </w:r>
      <w:r>
        <w:rPr>
          <w:rStyle w:val="afb"/>
          <w:rFonts w:hint="cs"/>
          <w:rtl/>
        </w:rPr>
        <w:t xml:space="preserve"> </w:t>
      </w:r>
      <w:r w:rsidRPr="00A609E2">
        <w:rPr>
          <w:rStyle w:val="afb"/>
          <w:rFonts w:hint="cs"/>
          <w:rtl/>
        </w:rPr>
        <w:t>דכן מוכח בדברי</w:t>
      </w:r>
      <w:r w:rsidRPr="00A609E2">
        <w:rPr>
          <w:rtl/>
        </w:rPr>
        <w:t xml:space="preserve"> </w:t>
      </w:r>
      <w:r w:rsidRPr="00A609E2">
        <w:rPr>
          <w:rStyle w:val="affa"/>
          <w:rtl/>
        </w:rPr>
        <w:t>התוס' בביצה</w:t>
      </w:r>
      <w:r w:rsidRPr="00A609E2">
        <w:rPr>
          <w:rStyle w:val="afb"/>
          <w:rFonts w:hint="cs"/>
          <w:rtl/>
        </w:rPr>
        <w:t>]</w:t>
      </w:r>
      <w:r>
        <w:rPr>
          <w:rStyle w:val="afb"/>
          <w:rFonts w:hint="cs"/>
          <w:rtl/>
        </w:rPr>
        <w:t>.</w:t>
      </w:r>
    </w:p>
    <w:p w14:paraId="3566495A" w14:textId="77777777" w:rsidR="003D504D" w:rsidRDefault="003D504D" w:rsidP="00BF39B2">
      <w:pPr>
        <w:pStyle w:val="1"/>
      </w:pPr>
      <w:bookmarkStart w:id="21108" w:name="_Toc19391635"/>
      <w:bookmarkStart w:id="21109" w:name="_Toc19395132"/>
      <w:bookmarkEnd w:id="21084"/>
      <w:r w:rsidRPr="003D07A2">
        <w:rPr>
          <w:rtl/>
        </w:rPr>
        <w:t>התי' הג' ברא"ה בביצה דבאמו טריפה לא מהני שחיטה במעיה</w:t>
      </w:r>
      <w:bookmarkEnd w:id="21108"/>
      <w:bookmarkEnd w:id="21109"/>
    </w:p>
    <w:p w14:paraId="3018D28B" w14:textId="77777777" w:rsidR="003D504D" w:rsidRDefault="003D504D" w:rsidP="003D504D">
      <w:pPr>
        <w:pStyle w:val="a3"/>
        <w:rPr>
          <w:rtl/>
        </w:rPr>
      </w:pPr>
      <w:bookmarkStart w:id="21110" w:name="_Toc19391636"/>
      <w:bookmarkStart w:id="21111" w:name="_Toc19395133"/>
      <w:bookmarkEnd w:id="21085"/>
      <w:bookmarkEnd w:id="21086"/>
      <w:bookmarkEnd w:id="21087"/>
      <w:bookmarkEnd w:id="21088"/>
      <w:bookmarkEnd w:id="21089"/>
      <w:r>
        <w:rPr>
          <w:rFonts w:hint="cs"/>
          <w:rtl/>
        </w:rPr>
        <w:t>התי' הג' ברא"ה בביצה דדוקא בכשירה מהני שחיטה במעיה אבל באם טריפה לא מהני השחיטה</w:t>
      </w:r>
      <w:bookmarkEnd w:id="21110"/>
      <w:bookmarkEnd w:id="21111"/>
    </w:p>
    <w:p w14:paraId="4351F7F6" w14:textId="77777777" w:rsidR="003D504D" w:rsidRDefault="003D504D" w:rsidP="00223668">
      <w:pPr>
        <w:pStyle w:val="a0"/>
        <w:rPr>
          <w:rtl/>
        </w:rPr>
      </w:pPr>
      <w:bookmarkStart w:id="21112" w:name="_Ref1504217"/>
      <w:r>
        <w:rPr>
          <w:rStyle w:val="af9"/>
          <w:rtl/>
        </w:rPr>
        <w:t>ובתירוץ הג' הרא"ה בביצה</w:t>
      </w:r>
      <w:r>
        <w:rPr>
          <w:rFonts w:hint="cs"/>
          <w:rtl/>
        </w:rPr>
        <w:t xml:space="preserve"> </w:t>
      </w:r>
      <w:r>
        <w:rPr>
          <w:rStyle w:val="af7"/>
          <w:rFonts w:eastAsia="Guttman Hodes" w:hint="cs"/>
          <w:rtl/>
        </w:rPr>
        <w:t xml:space="preserve">(ו. ד"ה א"ל, נד' בשיטת הקדמונים ביצה) </w:t>
      </w:r>
      <w:r>
        <w:rPr>
          <w:rFonts w:hint="cs"/>
          <w:rtl/>
        </w:rPr>
        <w:t xml:space="preserve">כתב דהא דמותר לשחוט עובר במעי אמו, היינו דוקא כשאמו כשרה, אבל באמו טריפה לא מהני שחיטת העובר במעי אמו, וכתב </w:t>
      </w:r>
      <w:r>
        <w:rPr>
          <w:rStyle w:val="af9"/>
          <w:rtl/>
        </w:rPr>
        <w:t>הרא"ה בביצה</w:t>
      </w:r>
      <w:r>
        <w:rPr>
          <w:rFonts w:hint="cs"/>
          <w:rtl/>
        </w:rPr>
        <w:t xml:space="preserve"> דזהו התירוץ הנכון, ודלא </w:t>
      </w:r>
      <w:r>
        <w:rPr>
          <w:rStyle w:val="af9"/>
          <w:rtl/>
        </w:rPr>
        <w:t xml:space="preserve">כהתורת יקותיאל </w:t>
      </w:r>
      <w:r>
        <w:rPr>
          <w:rStyle w:val="af7"/>
          <w:rFonts w:eastAsia="Guttman Hodes" w:hint="cs"/>
          <w:rtl/>
        </w:rPr>
        <w:t xml:space="preserve">(עי' אות </w:t>
      </w:r>
      <w:r>
        <w:rPr>
          <w:rFont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Ref1504267 \r \h</w:instrText>
      </w:r>
      <w:r>
        <w:rPr>
          <w:rStyle w:val="af7"/>
          <w:rFonts w:eastAsia="Guttman Hodes" w:hint="cs"/>
          <w:rtl/>
        </w:rPr>
        <w:instrText xml:space="preserve"> </w:instrText>
      </w:r>
      <w:r>
        <w:rPr>
          <w:rFonts w:hint="cs"/>
          <w:rtl/>
        </w:rPr>
      </w:r>
      <w:r>
        <w:rPr>
          <w:rFonts w:hint="cs"/>
          <w:rtl/>
        </w:rPr>
        <w:fldChar w:fldCharType="separate"/>
      </w:r>
      <w:r w:rsidR="00345400">
        <w:rPr>
          <w:rStyle w:val="af7"/>
          <w:rFonts w:eastAsia="Guttman Hodes" w:hint="eastAsia"/>
          <w:cs/>
        </w:rPr>
        <w:t>‎</w:t>
      </w:r>
      <w:r w:rsidR="00345400">
        <w:rPr>
          <w:rStyle w:val="af7"/>
          <w:rFonts w:eastAsia="Guttman Hodes" w:hint="eastAsia"/>
          <w:rtl/>
        </w:rPr>
        <w:t>יג</w:t>
      </w:r>
      <w:r w:rsidR="00345400">
        <w:rPr>
          <w:rStyle w:val="af7"/>
          <w:rFonts w:eastAsia="Guttman Hodes"/>
          <w:rtl/>
        </w:rPr>
        <w:t>)</w:t>
      </w:r>
      <w:r>
        <w:rPr>
          <w:rFonts w:hint="cs"/>
          <w:rtl/>
        </w:rPr>
        <w:fldChar w:fldCharType="end"/>
      </w:r>
      <w:r>
        <w:rPr>
          <w:rFonts w:hint="cs"/>
          <w:rtl/>
        </w:rPr>
        <w:t xml:space="preserve"> בדעת </w:t>
      </w:r>
      <w:r>
        <w:rPr>
          <w:rStyle w:val="af9"/>
          <w:rtl/>
        </w:rPr>
        <w:t xml:space="preserve">הר"ן </w:t>
      </w:r>
      <w:r>
        <w:rPr>
          <w:rFonts w:hint="cs"/>
          <w:rtl/>
        </w:rPr>
        <w:t xml:space="preserve">בשם </w:t>
      </w:r>
      <w:r>
        <w:rPr>
          <w:rStyle w:val="af9"/>
          <w:rtl/>
        </w:rPr>
        <w:t>התוס'</w:t>
      </w:r>
      <w:r>
        <w:rPr>
          <w:rFonts w:hint="cs"/>
          <w:rtl/>
        </w:rPr>
        <w:t xml:space="preserve">, וע"ע בקושית </w:t>
      </w:r>
      <w:r>
        <w:rPr>
          <w:rStyle w:val="af9"/>
          <w:rtl/>
        </w:rPr>
        <w:t>הגרעק"א</w:t>
      </w:r>
      <w:r>
        <w:rPr>
          <w:rStyle w:val="af7"/>
          <w:rFonts w:eastAsia="Guttman Hodes" w:hint="cs"/>
          <w:rtl/>
        </w:rPr>
        <w:t xml:space="preserve"> (עי' אות </w:t>
      </w:r>
      <w:r>
        <w:rPr>
          <w:rFont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Ref1676261 \r \h</w:instrText>
      </w:r>
      <w:r>
        <w:rPr>
          <w:rStyle w:val="af7"/>
          <w:rFonts w:eastAsia="Guttman Hodes" w:hint="cs"/>
          <w:rtl/>
        </w:rPr>
        <w:instrText xml:space="preserve"> </w:instrText>
      </w:r>
      <w:r>
        <w:rPr>
          <w:rFonts w:hint="cs"/>
          <w:rtl/>
        </w:rPr>
      </w:r>
      <w:r>
        <w:rPr>
          <w:rFonts w:hint="cs"/>
          <w:rtl/>
        </w:rPr>
        <w:fldChar w:fldCharType="separate"/>
      </w:r>
      <w:r w:rsidR="00345400">
        <w:rPr>
          <w:rStyle w:val="af7"/>
          <w:rFonts w:eastAsia="Guttman Hodes" w:hint="eastAsia"/>
          <w:cs/>
        </w:rPr>
        <w:t>‎</w:t>
      </w:r>
      <w:r w:rsidR="00345400">
        <w:rPr>
          <w:rStyle w:val="af7"/>
          <w:rFonts w:eastAsia="Guttman Hodes" w:hint="eastAsia"/>
          <w:rtl/>
        </w:rPr>
        <w:t>ח</w:t>
      </w:r>
      <w:r w:rsidR="00345400">
        <w:rPr>
          <w:rStyle w:val="af7"/>
          <w:rFonts w:eastAsia="Guttman Hodes"/>
          <w:rtl/>
        </w:rPr>
        <w:t>)</w:t>
      </w:r>
      <w:r>
        <w:rPr>
          <w:rFonts w:hint="cs"/>
          <w:rtl/>
        </w:rPr>
        <w:fldChar w:fldCharType="end"/>
      </w:r>
      <w:r>
        <w:rPr>
          <w:rStyle w:val="af7"/>
          <w:rFonts w:eastAsia="Guttman Hodes" w:hint="cs"/>
          <w:rtl/>
        </w:rPr>
        <w:t xml:space="preserve"> </w:t>
      </w:r>
      <w:r>
        <w:rPr>
          <w:rFonts w:hint="cs"/>
          <w:rtl/>
        </w:rPr>
        <w:t xml:space="preserve">על </w:t>
      </w:r>
      <w:r>
        <w:rPr>
          <w:rStyle w:val="af9"/>
          <w:rtl/>
        </w:rPr>
        <w:t>הר"ן</w:t>
      </w:r>
      <w:r>
        <w:rPr>
          <w:rFonts w:hint="cs"/>
          <w:rtl/>
        </w:rPr>
        <w:t>.</w:t>
      </w:r>
      <w:bookmarkEnd w:id="21112"/>
    </w:p>
    <w:p w14:paraId="3AA26D90" w14:textId="77777777" w:rsidR="003D504D" w:rsidRDefault="003D504D" w:rsidP="00BF39B2">
      <w:pPr>
        <w:pStyle w:val="1"/>
        <w:rPr>
          <w:rtl/>
        </w:rPr>
      </w:pPr>
      <w:bookmarkStart w:id="21113" w:name="_Toc19391637"/>
      <w:bookmarkStart w:id="21114" w:name="_Toc19395134"/>
      <w:r>
        <w:rPr>
          <w:rFonts w:hint="cs"/>
          <w:rtl/>
        </w:rPr>
        <w:t>דברי הלבוש</w:t>
      </w:r>
      <w:bookmarkEnd w:id="21090"/>
      <w:bookmarkEnd w:id="21091"/>
      <w:bookmarkEnd w:id="21092"/>
      <w:r>
        <w:rPr>
          <w:rFonts w:hint="cs"/>
          <w:rtl/>
        </w:rPr>
        <w:t xml:space="preserve"> דשחיטה במעי האם פסולה מדין חלדה</w:t>
      </w:r>
      <w:bookmarkEnd w:id="21093"/>
      <w:bookmarkEnd w:id="21094"/>
      <w:bookmarkEnd w:id="21095"/>
      <w:bookmarkEnd w:id="21096"/>
      <w:bookmarkEnd w:id="21097"/>
      <w:bookmarkEnd w:id="21098"/>
      <w:bookmarkEnd w:id="21113"/>
      <w:bookmarkEnd w:id="21114"/>
    </w:p>
    <w:p w14:paraId="0451F4F3" w14:textId="77777777" w:rsidR="003D504D" w:rsidRPr="00FD0458" w:rsidRDefault="003D504D" w:rsidP="003D504D">
      <w:pPr>
        <w:pStyle w:val="a3"/>
        <w:rPr>
          <w:rtl/>
        </w:rPr>
      </w:pPr>
      <w:bookmarkStart w:id="21115" w:name="_Toc1716619"/>
      <w:bookmarkStart w:id="21116" w:name="_Toc1725764"/>
      <w:bookmarkStart w:id="21117" w:name="_Toc1728142"/>
      <w:bookmarkStart w:id="21118" w:name="_Toc1938682"/>
      <w:bookmarkStart w:id="21119" w:name="_Toc1938775"/>
      <w:bookmarkStart w:id="21120" w:name="_Toc2078451"/>
      <w:bookmarkStart w:id="21121" w:name="_Toc19391638"/>
      <w:bookmarkStart w:id="21122" w:name="_Toc19395135"/>
      <w:r>
        <w:rPr>
          <w:rFonts w:hint="cs"/>
          <w:rtl/>
        </w:rPr>
        <w:t>דברי הרמ"א דקיי"ל דשחיטת הולד במעי אמו פסולה וביאור הלבוש דהוי כחלדה</w:t>
      </w:r>
      <w:bookmarkEnd w:id="21115"/>
      <w:bookmarkEnd w:id="21116"/>
      <w:bookmarkEnd w:id="21117"/>
      <w:bookmarkEnd w:id="21118"/>
      <w:bookmarkEnd w:id="21119"/>
      <w:bookmarkEnd w:id="21120"/>
      <w:bookmarkEnd w:id="21121"/>
      <w:bookmarkEnd w:id="21122"/>
    </w:p>
    <w:p w14:paraId="572EB444" w14:textId="77777777" w:rsidR="003D504D" w:rsidRDefault="003D504D" w:rsidP="00223668">
      <w:pPr>
        <w:pStyle w:val="a0"/>
        <w:rPr>
          <w:rtl/>
        </w:rPr>
      </w:pPr>
      <w:bookmarkStart w:id="21123" w:name="_Ref1716763"/>
      <w:r>
        <w:rPr>
          <w:rFonts w:hint="cs"/>
          <w:rtl/>
        </w:rPr>
        <w:t xml:space="preserve">פסק </w:t>
      </w:r>
      <w:r w:rsidRPr="00FD0458">
        <w:rPr>
          <w:rStyle w:val="af9"/>
          <w:rFonts w:hint="cs"/>
          <w:rtl/>
        </w:rPr>
        <w:t xml:space="preserve">הרמ"א </w:t>
      </w:r>
      <w:r w:rsidRPr="00FD0458">
        <w:rPr>
          <w:rStyle w:val="af7"/>
          <w:rFonts w:eastAsia="Guttman Hodes" w:hint="cs"/>
          <w:rtl/>
        </w:rPr>
        <w:t>(סי' י"ד ו')</w:t>
      </w:r>
      <w:r>
        <w:rPr>
          <w:rFonts w:hint="cs"/>
          <w:rtl/>
        </w:rPr>
        <w:t xml:space="preserve"> דהשוחט עובר במעי אמו לא מהני ליה שחיטה, וביאר </w:t>
      </w:r>
      <w:r w:rsidRPr="00FD0458">
        <w:rPr>
          <w:rStyle w:val="af9"/>
          <w:rFonts w:hint="cs"/>
          <w:rtl/>
        </w:rPr>
        <w:t>הלבוש</w:t>
      </w:r>
      <w:r>
        <w:rPr>
          <w:rFonts w:hint="cs"/>
          <w:rtl/>
        </w:rPr>
        <w:t xml:space="preserve"> </w:t>
      </w:r>
      <w:r w:rsidRPr="00FD0458">
        <w:rPr>
          <w:rStyle w:val="af7"/>
          <w:rFonts w:eastAsia="Guttman Hodes" w:hint="cs"/>
          <w:rtl/>
        </w:rPr>
        <w:t>(סי' י"ד ו')</w:t>
      </w:r>
      <w:r>
        <w:rPr>
          <w:rFonts w:hint="cs"/>
          <w:rtl/>
        </w:rPr>
        <w:t xml:space="preserve"> דהוי כחלדה בשחיטה דשחיטתו פסולה.</w:t>
      </w:r>
      <w:bookmarkEnd w:id="21123"/>
      <w:r>
        <w:rPr>
          <w:rFonts w:hint="cs"/>
          <w:rtl/>
        </w:rPr>
        <w:t xml:space="preserve"> </w:t>
      </w:r>
    </w:p>
    <w:p w14:paraId="35C67211" w14:textId="77777777" w:rsidR="003D504D" w:rsidRDefault="003D504D" w:rsidP="003D504D">
      <w:pPr>
        <w:pStyle w:val="a3"/>
        <w:rPr>
          <w:rtl/>
        </w:rPr>
      </w:pPr>
      <w:bookmarkStart w:id="21124" w:name="_Toc1716620"/>
      <w:bookmarkStart w:id="21125" w:name="_Toc1725765"/>
      <w:bookmarkStart w:id="21126" w:name="_Toc1728143"/>
      <w:bookmarkStart w:id="21127" w:name="_Toc1938683"/>
      <w:bookmarkStart w:id="21128" w:name="_Toc1938776"/>
      <w:bookmarkStart w:id="21129" w:name="_Toc2078452"/>
      <w:bookmarkStart w:id="21130" w:name="_Toc19391639"/>
      <w:bookmarkStart w:id="21131" w:name="_Toc19395136"/>
      <w:r>
        <w:rPr>
          <w:rFonts w:hint="cs"/>
          <w:rtl/>
        </w:rPr>
        <w:t>קושית הש"ך והט"ז דבסוגיין מבואר דהפסול כיון שלא יצא לאויר העולם ולא מחמת חלדה</w:t>
      </w:r>
      <w:bookmarkEnd w:id="21124"/>
      <w:bookmarkEnd w:id="21125"/>
      <w:bookmarkEnd w:id="21126"/>
      <w:bookmarkEnd w:id="21127"/>
      <w:bookmarkEnd w:id="21128"/>
      <w:bookmarkEnd w:id="21129"/>
      <w:bookmarkEnd w:id="21130"/>
      <w:bookmarkEnd w:id="21131"/>
    </w:p>
    <w:p w14:paraId="1912B618" w14:textId="77777777" w:rsidR="003D504D" w:rsidRDefault="003D504D" w:rsidP="00223668">
      <w:pPr>
        <w:pStyle w:val="a0"/>
        <w:rPr>
          <w:rtl/>
        </w:rPr>
      </w:pPr>
      <w:r>
        <w:rPr>
          <w:rFonts w:hint="cs"/>
          <w:rtl/>
        </w:rPr>
        <w:t xml:space="preserve">והקשו </w:t>
      </w:r>
      <w:r w:rsidRPr="00867312">
        <w:rPr>
          <w:rStyle w:val="af9"/>
          <w:rFonts w:hint="cs"/>
          <w:rtl/>
        </w:rPr>
        <w:t xml:space="preserve">הש"ך </w:t>
      </w:r>
      <w:r w:rsidRPr="00867312">
        <w:rPr>
          <w:rStyle w:val="af7"/>
          <w:rFonts w:eastAsia="Guttman Hodes" w:hint="cs"/>
          <w:rtl/>
        </w:rPr>
        <w:t>(סי' י"ד סקי"ד)</w:t>
      </w:r>
      <w:r>
        <w:rPr>
          <w:rFonts w:hint="cs"/>
          <w:rtl/>
        </w:rPr>
        <w:t xml:space="preserve"> </w:t>
      </w:r>
      <w:r w:rsidRPr="00867312">
        <w:rPr>
          <w:rStyle w:val="af9"/>
          <w:rFonts w:hint="cs"/>
          <w:rtl/>
        </w:rPr>
        <w:t>וה</w:t>
      </w:r>
      <w:r>
        <w:rPr>
          <w:rStyle w:val="af9"/>
          <w:rFonts w:hint="cs"/>
          <w:rtl/>
        </w:rPr>
        <w:t>ט</w:t>
      </w:r>
      <w:r w:rsidRPr="00867312">
        <w:rPr>
          <w:rStyle w:val="af9"/>
          <w:rFonts w:hint="cs"/>
          <w:rtl/>
        </w:rPr>
        <w:t>"</w:t>
      </w:r>
      <w:r>
        <w:rPr>
          <w:rStyle w:val="af9"/>
          <w:rFonts w:hint="cs"/>
          <w:rtl/>
        </w:rPr>
        <w:t>ז</w:t>
      </w:r>
      <w:r w:rsidRPr="00867312">
        <w:rPr>
          <w:rStyle w:val="af9"/>
          <w:rFonts w:hint="cs"/>
          <w:rtl/>
        </w:rPr>
        <w:t xml:space="preserve"> </w:t>
      </w:r>
      <w:r w:rsidRPr="00867312">
        <w:rPr>
          <w:rStyle w:val="af7"/>
          <w:rFonts w:eastAsia="Guttman Hodes" w:hint="cs"/>
          <w:rtl/>
        </w:rPr>
        <w:t>(סי' י"ד סק</w:t>
      </w:r>
      <w:r>
        <w:rPr>
          <w:rStyle w:val="af7"/>
          <w:rFonts w:eastAsia="Guttman Hodes" w:hint="cs"/>
          <w:rtl/>
        </w:rPr>
        <w:t>"</w:t>
      </w:r>
      <w:r w:rsidRPr="00867312">
        <w:rPr>
          <w:rStyle w:val="af7"/>
          <w:rFonts w:eastAsia="Guttman Hodes" w:hint="cs"/>
          <w:rtl/>
        </w:rPr>
        <w:t>י)</w:t>
      </w:r>
      <w:r>
        <w:rPr>
          <w:rFonts w:hint="cs"/>
          <w:rtl/>
        </w:rPr>
        <w:t xml:space="preserve"> על </w:t>
      </w:r>
      <w:r w:rsidRPr="00867312">
        <w:rPr>
          <w:rStyle w:val="af9"/>
          <w:rFonts w:hint="cs"/>
          <w:rtl/>
        </w:rPr>
        <w:t xml:space="preserve">הלבוש </w:t>
      </w:r>
      <w:r>
        <w:rPr>
          <w:rFonts w:hint="cs"/>
          <w:rtl/>
        </w:rPr>
        <w:t xml:space="preserve">דבסוגיין לא מבואר כלל דהטעם הוא מחמת דהוי חלדה, אלא כדביאר </w:t>
      </w:r>
      <w:r w:rsidRPr="00867312">
        <w:rPr>
          <w:rStyle w:val="af9"/>
          <w:rFonts w:hint="cs"/>
          <w:rtl/>
        </w:rPr>
        <w:t xml:space="preserve">רש"י </w:t>
      </w:r>
      <w:r w:rsidRPr="00867312">
        <w:rPr>
          <w:rStyle w:val="af7"/>
          <w:rFonts w:eastAsia="Guttman Hodes" w:hint="cs"/>
          <w:rtl/>
        </w:rPr>
        <w:t xml:space="preserve">(עי' אות </w:t>
      </w:r>
      <w:r w:rsidRPr="00867312">
        <w:rPr>
          <w:rStyle w:val="af7"/>
          <w:rFonts w:eastAsia="Guttman Hodes"/>
          <w:rtl/>
        </w:rPr>
        <w:fldChar w:fldCharType="begin"/>
      </w:r>
      <w:r w:rsidRPr="00867312">
        <w:rPr>
          <w:rStyle w:val="af7"/>
          <w:rFonts w:eastAsia="Guttman Hodes"/>
          <w:rtl/>
        </w:rPr>
        <w:instrText xml:space="preserve"> </w:instrText>
      </w:r>
      <w:r w:rsidRPr="00867312">
        <w:rPr>
          <w:rStyle w:val="af7"/>
          <w:rFonts w:eastAsia="Guttman Hodes" w:hint="cs"/>
        </w:rPr>
        <w:instrText>REF</w:instrText>
      </w:r>
      <w:r w:rsidRPr="00867312">
        <w:rPr>
          <w:rStyle w:val="af7"/>
          <w:rFonts w:eastAsia="Guttman Hodes" w:hint="cs"/>
          <w:rtl/>
        </w:rPr>
        <w:instrText xml:space="preserve"> _</w:instrText>
      </w:r>
      <w:r w:rsidRPr="00867312">
        <w:rPr>
          <w:rStyle w:val="af7"/>
          <w:rFonts w:eastAsia="Guttman Hodes" w:hint="cs"/>
        </w:rPr>
        <w:instrText>Ref1382138 \r \h</w:instrText>
      </w:r>
      <w:r w:rsidRPr="00867312">
        <w:rPr>
          <w:rStyle w:val="af7"/>
          <w:rFonts w:eastAsia="Guttman Hodes"/>
          <w:rtl/>
        </w:rPr>
        <w:instrText xml:space="preserve"> </w:instrText>
      </w:r>
      <w:r w:rsidRPr="00867312">
        <w:rPr>
          <w:rStyle w:val="af7"/>
          <w:rFonts w:eastAsia="Guttman Hodes"/>
          <w:rtl/>
        </w:rPr>
      </w:r>
      <w:r w:rsidRPr="00867312">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867312">
        <w:rPr>
          <w:rStyle w:val="af7"/>
          <w:rFonts w:eastAsia="Guttman Hodes"/>
          <w:rtl/>
        </w:rPr>
        <w:fldChar w:fldCharType="end"/>
      </w:r>
      <w:r>
        <w:rPr>
          <w:rFonts w:hint="cs"/>
          <w:rtl/>
        </w:rPr>
        <w:t xml:space="preserve"> דאין לו שחיטה עד שיצא לאויר העולם. </w:t>
      </w:r>
    </w:p>
    <w:p w14:paraId="7DE067DE" w14:textId="77777777" w:rsidR="003D504D" w:rsidRDefault="003D504D" w:rsidP="003D504D">
      <w:pPr>
        <w:pStyle w:val="a3"/>
        <w:rPr>
          <w:rtl/>
        </w:rPr>
      </w:pPr>
      <w:bookmarkStart w:id="21132" w:name="_Toc1716621"/>
      <w:bookmarkStart w:id="21133" w:name="_Toc1725766"/>
      <w:bookmarkStart w:id="21134" w:name="_Toc1728144"/>
      <w:bookmarkStart w:id="21135" w:name="_Toc1938684"/>
      <w:bookmarkStart w:id="21136" w:name="_Toc1938777"/>
      <w:bookmarkStart w:id="21137" w:name="_Toc2078453"/>
      <w:bookmarkStart w:id="21138" w:name="_Toc19391640"/>
      <w:bookmarkStart w:id="21139" w:name="_Toc19395137"/>
      <w:r>
        <w:rPr>
          <w:rFonts w:hint="cs"/>
          <w:rtl/>
        </w:rPr>
        <w:t>דברי הט"ז והש"ך בנקודות הכסף והפרמ"ג דהכא לא שייך פסול חלדה</w:t>
      </w:r>
      <w:bookmarkEnd w:id="21132"/>
      <w:bookmarkEnd w:id="21133"/>
      <w:bookmarkEnd w:id="21134"/>
      <w:bookmarkEnd w:id="21135"/>
      <w:bookmarkEnd w:id="21136"/>
      <w:bookmarkEnd w:id="21137"/>
      <w:bookmarkEnd w:id="21138"/>
      <w:bookmarkEnd w:id="21139"/>
    </w:p>
    <w:p w14:paraId="24FDB5D9" w14:textId="77777777" w:rsidR="003D504D" w:rsidRPr="00774222" w:rsidRDefault="003D504D" w:rsidP="00223668">
      <w:pPr>
        <w:pStyle w:val="a0"/>
        <w:rPr>
          <w:rtl/>
        </w:rPr>
      </w:pPr>
      <w:r>
        <w:rPr>
          <w:rFonts w:hint="cs"/>
          <w:rtl/>
        </w:rPr>
        <w:t xml:space="preserve">וציין </w:t>
      </w:r>
      <w:r w:rsidRPr="00774222">
        <w:rPr>
          <w:rStyle w:val="af9"/>
          <w:rFonts w:hint="cs"/>
          <w:rtl/>
        </w:rPr>
        <w:t>הט"ז</w:t>
      </w:r>
      <w:r>
        <w:rPr>
          <w:rFonts w:hint="cs"/>
          <w:rtl/>
        </w:rPr>
        <w:t xml:space="preserve"> לדבריו</w:t>
      </w:r>
      <w:r w:rsidRPr="00774222">
        <w:rPr>
          <w:rStyle w:val="af7"/>
          <w:rFonts w:eastAsia="Guttman Hodes" w:hint="cs"/>
          <w:rtl/>
        </w:rPr>
        <w:t xml:space="preserve"> (סי' כ"ד סק"ד) </w:t>
      </w:r>
      <w:r>
        <w:rPr>
          <w:rFonts w:hint="cs"/>
          <w:rtl/>
        </w:rPr>
        <w:t xml:space="preserve">דכתב דבשחט עובר במעי אמו אין פסול חלדה, כיון שפסול חלדה הוא דוקא כששוחט תחת דבר שקשור בצואר הבהמה, </w:t>
      </w:r>
      <w:r w:rsidRPr="00774222">
        <w:rPr>
          <w:rStyle w:val="af9"/>
          <w:rFonts w:hint="cs"/>
          <w:rtl/>
        </w:rPr>
        <w:t>והש"ך בנקודות הכסף</w:t>
      </w:r>
      <w:r>
        <w:rPr>
          <w:rFonts w:hint="cs"/>
          <w:rtl/>
        </w:rPr>
        <w:t xml:space="preserve"> </w:t>
      </w:r>
      <w:r w:rsidRPr="00774222">
        <w:rPr>
          <w:rStyle w:val="af7"/>
          <w:rFonts w:eastAsia="Guttman Hodes" w:hint="cs"/>
          <w:rtl/>
        </w:rPr>
        <w:t xml:space="preserve">(סי' כ"ד ח') </w:t>
      </w:r>
      <w:r>
        <w:rPr>
          <w:rFonts w:hint="cs"/>
          <w:rtl/>
        </w:rPr>
        <w:t xml:space="preserve">כתב דהכא לא שייך חלדה כלל כיון שלא יצא העובר לאויר העולם, ועיי"ש במ"ש עוד </w:t>
      </w:r>
      <w:r w:rsidRPr="00774222">
        <w:rPr>
          <w:rStyle w:val="af9"/>
          <w:rFonts w:hint="cs"/>
          <w:rtl/>
        </w:rPr>
        <w:t xml:space="preserve">הש"ך בנקודות </w:t>
      </w:r>
      <w:r w:rsidRPr="00896886">
        <w:rPr>
          <w:rStyle w:val="af9"/>
          <w:rFonts w:hint="cs"/>
          <w:rtl/>
        </w:rPr>
        <w:t>הכסף ו</w:t>
      </w:r>
      <w:r>
        <w:rPr>
          <w:rStyle w:val="af9"/>
          <w:rFonts w:hint="cs"/>
          <w:rtl/>
        </w:rPr>
        <w:t>ה</w:t>
      </w:r>
      <w:r w:rsidRPr="00896886">
        <w:rPr>
          <w:rStyle w:val="af9"/>
          <w:rFonts w:hint="cs"/>
          <w:rtl/>
        </w:rPr>
        <w:t>פרמ"ג</w:t>
      </w:r>
      <w:r>
        <w:rPr>
          <w:rFonts w:hint="cs"/>
          <w:rtl/>
        </w:rPr>
        <w:t xml:space="preserve"> </w:t>
      </w:r>
      <w:r w:rsidRPr="00896886">
        <w:rPr>
          <w:rStyle w:val="af7"/>
          <w:rFonts w:eastAsia="Guttman Hodes" w:hint="cs"/>
          <w:rtl/>
        </w:rPr>
        <w:t>(סי' כ"ד משב"ז סק"ד)</w:t>
      </w:r>
      <w:r>
        <w:rPr>
          <w:rFonts w:hint="cs"/>
          <w:rtl/>
        </w:rPr>
        <w:t xml:space="preserve"> בדין פסול חלדה</w:t>
      </w:r>
      <w:r w:rsidRPr="001C45AC">
        <w:rPr>
          <w:rFonts w:hint="cs"/>
          <w:rtl/>
        </w:rPr>
        <w:t xml:space="preserve"> </w:t>
      </w:r>
      <w:r>
        <w:rPr>
          <w:rFonts w:hint="cs"/>
          <w:rtl/>
        </w:rPr>
        <w:t>בסוגיין.</w:t>
      </w:r>
    </w:p>
    <w:p w14:paraId="34360599" w14:textId="77777777" w:rsidR="003D504D" w:rsidRDefault="003D504D" w:rsidP="00BF39B2">
      <w:pPr>
        <w:pStyle w:val="1"/>
        <w:rPr>
          <w:rtl/>
        </w:rPr>
      </w:pPr>
      <w:bookmarkStart w:id="21140" w:name="_Toc1716622"/>
      <w:bookmarkStart w:id="21141" w:name="_Toc1725767"/>
      <w:bookmarkStart w:id="21142" w:name="_Toc1728145"/>
      <w:bookmarkStart w:id="21143" w:name="_Toc1938685"/>
      <w:bookmarkStart w:id="21144" w:name="_Toc1938778"/>
      <w:bookmarkStart w:id="21145" w:name="_Toc2078454"/>
      <w:bookmarkStart w:id="21146" w:name="_Toc19391641"/>
      <w:bookmarkStart w:id="21147" w:name="_Toc19395138"/>
      <w:r>
        <w:rPr>
          <w:rFonts w:hint="cs"/>
          <w:rtl/>
        </w:rPr>
        <w:t>דברי הש"ך והגרעק"א באופנים דמהני שחיטה במעיה</w:t>
      </w:r>
      <w:bookmarkEnd w:id="21140"/>
      <w:bookmarkEnd w:id="21141"/>
      <w:bookmarkEnd w:id="21142"/>
      <w:bookmarkEnd w:id="21143"/>
      <w:bookmarkEnd w:id="21144"/>
      <w:bookmarkEnd w:id="21145"/>
      <w:bookmarkEnd w:id="21146"/>
      <w:bookmarkEnd w:id="21147"/>
    </w:p>
    <w:p w14:paraId="1781882A" w14:textId="77777777" w:rsidR="003D504D" w:rsidRPr="00552760" w:rsidRDefault="003D504D" w:rsidP="003D504D">
      <w:pPr>
        <w:pStyle w:val="a3"/>
        <w:rPr>
          <w:rtl/>
        </w:rPr>
      </w:pPr>
      <w:bookmarkStart w:id="21148" w:name="_Toc1716623"/>
      <w:bookmarkStart w:id="21149" w:name="_Toc1725768"/>
      <w:bookmarkStart w:id="21150" w:name="_Toc1728146"/>
      <w:bookmarkStart w:id="21151" w:name="_Toc1938686"/>
      <w:bookmarkStart w:id="21152" w:name="_Toc1938779"/>
      <w:bookmarkStart w:id="21153" w:name="_Toc2078455"/>
      <w:bookmarkStart w:id="21154" w:name="_Toc19391642"/>
      <w:bookmarkStart w:id="21155" w:name="_Toc19395139"/>
      <w:r>
        <w:rPr>
          <w:rFonts w:hint="cs"/>
          <w:rtl/>
        </w:rPr>
        <w:t>דברי הש"ך דבשחטו במעי אמו ואח"כ שחט את האם ויצא אחר שנשחטה האם מותר בשחיטתה</w:t>
      </w:r>
      <w:bookmarkEnd w:id="21148"/>
      <w:bookmarkEnd w:id="21149"/>
      <w:bookmarkEnd w:id="21150"/>
      <w:bookmarkEnd w:id="21151"/>
      <w:bookmarkEnd w:id="21152"/>
      <w:bookmarkEnd w:id="21153"/>
      <w:bookmarkEnd w:id="21154"/>
      <w:bookmarkEnd w:id="21155"/>
    </w:p>
    <w:p w14:paraId="5F5174F8" w14:textId="77777777" w:rsidR="003D504D" w:rsidRDefault="003D504D" w:rsidP="00223668">
      <w:pPr>
        <w:pStyle w:val="a0"/>
        <w:rPr>
          <w:rtl/>
        </w:rPr>
      </w:pPr>
      <w:r>
        <w:rPr>
          <w:rFonts w:hint="cs"/>
          <w:rtl/>
        </w:rPr>
        <w:t xml:space="preserve">וכתב </w:t>
      </w:r>
      <w:r w:rsidRPr="00867312">
        <w:rPr>
          <w:rStyle w:val="af9"/>
          <w:rFonts w:hint="cs"/>
          <w:rtl/>
        </w:rPr>
        <w:t xml:space="preserve">הש"ך </w:t>
      </w:r>
      <w:r w:rsidRPr="00867312">
        <w:rPr>
          <w:rStyle w:val="af7"/>
          <w:rFonts w:eastAsia="Guttman Hodes" w:hint="cs"/>
          <w:rtl/>
        </w:rPr>
        <w:t>(סי' י"ד סקי"ד)</w:t>
      </w:r>
      <w:r>
        <w:rPr>
          <w:rFonts w:hint="cs"/>
          <w:rtl/>
        </w:rPr>
        <w:t xml:space="preserve"> דהא דבשחט את הולד במעי אמו שחיטתו פסולה, היינו דוקא כשיצא הולד אחר שנשחט וקודם שנשחטה אמו, דבכה"ג אף בן ט' חי אסור מספיקא דרב הושעיא, אבל אם יצא אחר שנשחטה אמו, מותר בשחיטתה.</w:t>
      </w:r>
    </w:p>
    <w:p w14:paraId="53013365" w14:textId="77777777" w:rsidR="003D504D" w:rsidRPr="00316C97" w:rsidRDefault="003D504D" w:rsidP="003D504D">
      <w:pPr>
        <w:pStyle w:val="a3"/>
        <w:rPr>
          <w:rtl/>
        </w:rPr>
      </w:pPr>
    </w:p>
    <w:p w14:paraId="701D99B5" w14:textId="77777777" w:rsidR="003D504D" w:rsidRDefault="003D504D" w:rsidP="003D504D">
      <w:pPr>
        <w:pStyle w:val="a3"/>
        <w:rPr>
          <w:rtl/>
        </w:rPr>
      </w:pPr>
      <w:bookmarkStart w:id="21156" w:name="_Toc1716624"/>
      <w:bookmarkStart w:id="21157" w:name="_Toc1725769"/>
      <w:bookmarkStart w:id="21158" w:name="_Toc1728147"/>
      <w:bookmarkStart w:id="21159" w:name="_Toc1938687"/>
      <w:bookmarkStart w:id="21160" w:name="_Toc1938780"/>
      <w:bookmarkStart w:id="21161" w:name="_Toc2078456"/>
      <w:bookmarkStart w:id="21162" w:name="_Toc19391643"/>
      <w:bookmarkStart w:id="21163" w:name="_Toc19395140"/>
      <w:r>
        <w:rPr>
          <w:rFonts w:hint="cs"/>
          <w:rtl/>
        </w:rPr>
        <w:t>ספק הגרעק"א במתה האם ונשחט הולד במעיה אי חשיב בבהמה בפנ"ע ומותר בשחיטת עצמו</w:t>
      </w:r>
      <w:bookmarkEnd w:id="21156"/>
      <w:bookmarkEnd w:id="21157"/>
      <w:bookmarkEnd w:id="21158"/>
      <w:bookmarkEnd w:id="21159"/>
      <w:bookmarkEnd w:id="21160"/>
      <w:bookmarkEnd w:id="21161"/>
      <w:bookmarkEnd w:id="21162"/>
      <w:bookmarkEnd w:id="21163"/>
    </w:p>
    <w:p w14:paraId="3A9EA3CC" w14:textId="77777777" w:rsidR="003D504D" w:rsidRDefault="003D504D" w:rsidP="00223668">
      <w:pPr>
        <w:pStyle w:val="a0"/>
        <w:rPr>
          <w:rtl/>
        </w:rPr>
      </w:pPr>
      <w:r>
        <w:rPr>
          <w:rFonts w:hint="cs"/>
          <w:rtl/>
        </w:rPr>
        <w:t xml:space="preserve">כתב </w:t>
      </w:r>
      <w:r w:rsidRPr="00D81186">
        <w:rPr>
          <w:rStyle w:val="af9"/>
          <w:rFonts w:hint="cs"/>
          <w:rtl/>
        </w:rPr>
        <w:t xml:space="preserve">הגרעק"א </w:t>
      </w:r>
      <w:r w:rsidRPr="00D81186">
        <w:rPr>
          <w:rStyle w:val="af7"/>
          <w:rFonts w:eastAsia="Guttman Hodes" w:hint="cs"/>
          <w:rtl/>
        </w:rPr>
        <w:t>(</w:t>
      </w:r>
      <w:r>
        <w:rPr>
          <w:rStyle w:val="af7"/>
          <w:rFonts w:eastAsia="Guttman Hodes" w:hint="cs"/>
          <w:rtl/>
        </w:rPr>
        <w:t xml:space="preserve">ד"ה בעי, בהג' שו"ע </w:t>
      </w:r>
      <w:r w:rsidRPr="00D81186">
        <w:rPr>
          <w:rStyle w:val="af7"/>
          <w:rFonts w:eastAsia="Guttman Hodes" w:hint="cs"/>
          <w:rtl/>
        </w:rPr>
        <w:t>סי' י"ד ו')</w:t>
      </w:r>
      <w:r>
        <w:rPr>
          <w:rFonts w:hint="cs"/>
          <w:rtl/>
        </w:rPr>
        <w:t xml:space="preserve"> דיש להסתפק היכא דמתה האם ושחט את הולד במעי אמו, דאפש"ל דכל מה דלא מהני שחיטה במעי האם הוא דוקא כשהאם חיה, דהולד חשיב כחלק מהאם ואינו בהמה בפנ"ע, וא"כ כשמתה האם, חשיב כנולד אלא שהוא כמונח בקופסא, אך כתב </w:t>
      </w:r>
      <w:r w:rsidRPr="00D81186">
        <w:rPr>
          <w:rStyle w:val="af9"/>
          <w:rFonts w:hint="cs"/>
          <w:rtl/>
        </w:rPr>
        <w:t xml:space="preserve">הגרעק"א </w:t>
      </w:r>
      <w:r>
        <w:rPr>
          <w:rFonts w:hint="cs"/>
          <w:rtl/>
        </w:rPr>
        <w:t xml:space="preserve">דלדעת </w:t>
      </w:r>
      <w:r w:rsidRPr="00D81186">
        <w:rPr>
          <w:rStyle w:val="af9"/>
          <w:rFonts w:hint="cs"/>
          <w:rtl/>
        </w:rPr>
        <w:t>הלבוש</w:t>
      </w:r>
      <w:r>
        <w:rPr>
          <w:rFonts w:hint="cs"/>
          <w:rtl/>
        </w:rPr>
        <w:t xml:space="preserve"> </w:t>
      </w:r>
      <w:r w:rsidRPr="00D81186">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Ref1716763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Pr>
          <w:rStyle w:val="af7"/>
          <w:rFonts w:eastAsia="Guttman Hodes"/>
          <w:rtl/>
        </w:rPr>
        <w:fldChar w:fldCharType="end"/>
      </w:r>
      <w:r w:rsidRPr="00D81186">
        <w:rPr>
          <w:rStyle w:val="af7"/>
          <w:rFonts w:eastAsia="Guttman Hodes" w:hint="cs"/>
          <w:rtl/>
        </w:rPr>
        <w:t xml:space="preserve"> </w:t>
      </w:r>
      <w:r>
        <w:rPr>
          <w:rFonts w:hint="cs"/>
          <w:rtl/>
        </w:rPr>
        <w:t xml:space="preserve">דהשחיטה במעי האם פסולה מדין חלדה, א"כ אף כשמתה האם השחיטה פסולה. </w:t>
      </w:r>
    </w:p>
    <w:p w14:paraId="72FEAA70" w14:textId="77777777" w:rsidR="003D504D" w:rsidRPr="00B516AE" w:rsidRDefault="003D504D" w:rsidP="00BF39B2">
      <w:pPr>
        <w:pStyle w:val="1"/>
        <w:rPr>
          <w:rtl/>
        </w:rPr>
      </w:pPr>
      <w:bookmarkStart w:id="21164" w:name="_Toc2078457"/>
      <w:bookmarkStart w:id="21165" w:name="_Toc19391644"/>
      <w:bookmarkStart w:id="21166" w:name="_Toc19395141"/>
      <w:r>
        <w:rPr>
          <w:rFonts w:hint="cs"/>
          <w:rtl/>
        </w:rPr>
        <w:t>דברי התוס' דספיקא דרב הושעיא הוא בין לריו"ח ובין לר"ל</w:t>
      </w:r>
      <w:bookmarkEnd w:id="21164"/>
      <w:bookmarkEnd w:id="21165"/>
      <w:bookmarkEnd w:id="21166"/>
    </w:p>
    <w:p w14:paraId="2EDD8905" w14:textId="77777777" w:rsidR="003D504D" w:rsidRPr="00B516AE" w:rsidRDefault="003D504D" w:rsidP="003D504D">
      <w:pPr>
        <w:pStyle w:val="a3"/>
        <w:rPr>
          <w:rtl/>
        </w:rPr>
      </w:pPr>
      <w:bookmarkStart w:id="21167" w:name="_Toc1716588"/>
      <w:bookmarkStart w:id="21168" w:name="_Toc1725733"/>
      <w:bookmarkStart w:id="21169" w:name="_Toc1728111"/>
      <w:bookmarkStart w:id="21170" w:name="_Toc1938651"/>
      <w:bookmarkStart w:id="21171" w:name="_Toc1938744"/>
      <w:bookmarkStart w:id="21172" w:name="_Toc2078458"/>
      <w:bookmarkStart w:id="21173" w:name="_Toc19391645"/>
      <w:bookmarkStart w:id="21174" w:name="_Toc19395142"/>
      <w:r w:rsidRPr="00B516AE">
        <w:rPr>
          <w:rFonts w:hint="cs"/>
          <w:rtl/>
        </w:rPr>
        <w:t>דברי התוס' לקמן דהספק אף לריו"ח דחדשים ואוירא גרמי דאפש"ל דהיינו דוקא לאיסור חלב</w:t>
      </w:r>
      <w:bookmarkEnd w:id="21167"/>
      <w:bookmarkEnd w:id="21168"/>
      <w:bookmarkEnd w:id="21169"/>
      <w:bookmarkEnd w:id="21170"/>
      <w:bookmarkEnd w:id="21171"/>
      <w:bookmarkEnd w:id="21172"/>
      <w:bookmarkEnd w:id="21173"/>
      <w:bookmarkEnd w:id="21174"/>
    </w:p>
    <w:p w14:paraId="03DE41E3" w14:textId="77777777" w:rsidR="003D504D" w:rsidRPr="00B516AE" w:rsidRDefault="003D504D" w:rsidP="00223668">
      <w:pPr>
        <w:pStyle w:val="a0"/>
        <w:rPr>
          <w:rStyle w:val="afb"/>
          <w:rtl/>
        </w:rPr>
      </w:pPr>
      <w:bookmarkStart w:id="21175" w:name="_Ref1678625"/>
      <w:r>
        <w:rPr>
          <w:rFonts w:hint="cs"/>
          <w:rtl/>
        </w:rPr>
        <w:t>כתבו</w:t>
      </w:r>
      <w:r w:rsidRPr="00B516AE">
        <w:rPr>
          <w:rFonts w:hint="cs"/>
          <w:rtl/>
        </w:rPr>
        <w:t xml:space="preserve"> </w:t>
      </w:r>
      <w:r w:rsidRPr="00B516AE">
        <w:rPr>
          <w:rStyle w:val="af9"/>
          <w:rFonts w:hint="cs"/>
          <w:rtl/>
        </w:rPr>
        <w:t>התוס' לקמן</w:t>
      </w:r>
      <w:r w:rsidRPr="00B516AE">
        <w:rPr>
          <w:rFonts w:hint="cs"/>
          <w:rtl/>
        </w:rPr>
        <w:t xml:space="preserve"> </w:t>
      </w:r>
      <w:r w:rsidRPr="00B516AE">
        <w:rPr>
          <w:rStyle w:val="af7"/>
          <w:rFonts w:eastAsia="Guttman Hodes" w:hint="cs"/>
          <w:rtl/>
        </w:rPr>
        <w:t xml:space="preserve">(עה. סוד"ה לדברי) </w:t>
      </w:r>
      <w:r w:rsidRPr="00B516AE">
        <w:rPr>
          <w:rFonts w:hint="cs"/>
          <w:rtl/>
        </w:rPr>
        <w:t xml:space="preserve">דספיקא דרב </w:t>
      </w:r>
      <w:r>
        <w:rPr>
          <w:rFonts w:hint="cs"/>
          <w:rtl/>
        </w:rPr>
        <w:t>הושעיא</w:t>
      </w:r>
      <w:r w:rsidRPr="00B516AE">
        <w:rPr>
          <w:rFonts w:hint="cs"/>
          <w:rtl/>
        </w:rPr>
        <w:t xml:space="preserve"> הוא אף לריו"ח דס"ל דבתלש חלב מעובר והוציאו לחוץ אסור מדין חלב, דחדשים גרמי לאסור את החלב, דאפש"ל היינו דוקא לענין החלב, דס"ל לריו"ח דאיסור חלב חל רק שיצא לאויר העולם, אבל לענין שחיטת עצמו במעי אמו, אפש"ל דמהני לו שחיטה, אף שלא יצא לאויר העולם. </w:t>
      </w:r>
      <w:r w:rsidRPr="00B516AE">
        <w:rPr>
          <w:rStyle w:val="afb"/>
          <w:rFonts w:hint="cs"/>
          <w:rtl/>
        </w:rPr>
        <w:t xml:space="preserve">[וכ"כ </w:t>
      </w:r>
      <w:r w:rsidRPr="00B516AE">
        <w:rPr>
          <w:rStyle w:val="affa"/>
          <w:rFonts w:hint="cs"/>
          <w:rtl/>
        </w:rPr>
        <w:t>התוס' לקמן</w:t>
      </w:r>
      <w:r w:rsidRPr="00B516AE">
        <w:rPr>
          <w:rStyle w:val="afb"/>
          <w:rFonts w:hint="cs"/>
          <w:rtl/>
        </w:rPr>
        <w:t xml:space="preserve"> </w:t>
      </w:r>
      <w:r w:rsidRPr="00B516AE">
        <w:rPr>
          <w:rStyle w:val="aff6"/>
          <w:rFonts w:hint="cs"/>
          <w:rtl/>
        </w:rPr>
        <w:t>(צ. ד"ה הכא, קג. ד"ה דאיסור)</w:t>
      </w:r>
      <w:r w:rsidRPr="00B516AE">
        <w:rPr>
          <w:rStyle w:val="afb"/>
          <w:rFonts w:hint="cs"/>
          <w:rtl/>
        </w:rPr>
        <w:t xml:space="preserve"> דלריו"ח איסור חלב חל רק בשעה שיצא לאויר העולם].</w:t>
      </w:r>
    </w:p>
    <w:p w14:paraId="0092565E" w14:textId="77777777" w:rsidR="003D504D" w:rsidRPr="00B516AE" w:rsidRDefault="003D504D" w:rsidP="003D504D">
      <w:pPr>
        <w:pStyle w:val="a3"/>
      </w:pPr>
      <w:bookmarkStart w:id="21176" w:name="_Toc1716589"/>
      <w:bookmarkStart w:id="21177" w:name="_Toc1725734"/>
      <w:bookmarkStart w:id="21178" w:name="_Toc1728112"/>
      <w:bookmarkStart w:id="21179" w:name="_Toc1938652"/>
      <w:bookmarkStart w:id="21180" w:name="_Toc1938745"/>
      <w:bookmarkStart w:id="21181" w:name="_Toc2078459"/>
      <w:bookmarkStart w:id="21182" w:name="_Toc19391646"/>
      <w:bookmarkStart w:id="21183" w:name="_Toc19395143"/>
      <w:r w:rsidRPr="00B516AE">
        <w:rPr>
          <w:rFonts w:hint="cs"/>
          <w:rtl/>
        </w:rPr>
        <w:t>דברי התוס' לקמן דהספק אף לר"ל דחדשים גרמי אי מהני שחיטת עצמו כמו דמהני שחיטת האם</w:t>
      </w:r>
      <w:bookmarkEnd w:id="21176"/>
      <w:bookmarkEnd w:id="21177"/>
      <w:bookmarkEnd w:id="21178"/>
      <w:bookmarkEnd w:id="21179"/>
      <w:bookmarkEnd w:id="21180"/>
      <w:bookmarkEnd w:id="21181"/>
      <w:bookmarkEnd w:id="21182"/>
      <w:bookmarkEnd w:id="21183"/>
    </w:p>
    <w:p w14:paraId="090810C5" w14:textId="77777777" w:rsidR="003D504D" w:rsidRPr="00B516AE" w:rsidRDefault="003D504D" w:rsidP="00223668">
      <w:pPr>
        <w:pStyle w:val="a0"/>
        <w:rPr>
          <w:rtl/>
        </w:rPr>
      </w:pPr>
      <w:r w:rsidRPr="00B516AE">
        <w:rPr>
          <w:rFonts w:hint="cs"/>
          <w:rtl/>
        </w:rPr>
        <w:t xml:space="preserve">ועוד הוסיפו </w:t>
      </w:r>
      <w:r w:rsidRPr="00B516AE">
        <w:rPr>
          <w:rStyle w:val="af9"/>
          <w:rFonts w:hint="cs"/>
          <w:rtl/>
        </w:rPr>
        <w:t>התוס' לקמן</w:t>
      </w:r>
      <w:r w:rsidRPr="00B516AE">
        <w:rPr>
          <w:rFonts w:hint="cs"/>
          <w:rtl/>
        </w:rPr>
        <w:t xml:space="preserve"> דכן לדעת ר"ל דס"ל דחדשים ואוירא גרמי ובתלש חלב מעובר והוציאו לחוץ החלב מותר, מ"מ אפש"ל דמהני לו שחיטה במעי אמו, אף שלא יצא לאויר העולם, כמו דמהני לו שחיטת אמו.</w:t>
      </w:r>
      <w:bookmarkEnd w:id="21175"/>
      <w:r w:rsidRPr="00B516AE">
        <w:rPr>
          <w:rFonts w:hint="cs"/>
          <w:rtl/>
        </w:rPr>
        <w:t xml:space="preserve"> </w:t>
      </w:r>
    </w:p>
    <w:p w14:paraId="15780706" w14:textId="77777777" w:rsidR="003D504D" w:rsidRDefault="003D504D" w:rsidP="00BF39B2">
      <w:pPr>
        <w:pStyle w:val="1"/>
        <w:rPr>
          <w:rtl/>
        </w:rPr>
      </w:pPr>
      <w:bookmarkStart w:id="21184" w:name="_Toc1380118"/>
      <w:bookmarkStart w:id="21185" w:name="_Toc1419326"/>
      <w:bookmarkStart w:id="21186" w:name="_Toc1592206"/>
      <w:bookmarkStart w:id="21187" w:name="_Toc1668737"/>
      <w:bookmarkStart w:id="21188" w:name="_Toc1716614"/>
      <w:bookmarkStart w:id="21189" w:name="_Toc1725759"/>
      <w:bookmarkStart w:id="21190" w:name="_Toc1728137"/>
      <w:bookmarkStart w:id="21191" w:name="_Toc1938677"/>
      <w:bookmarkStart w:id="21192" w:name="_Toc1938770"/>
      <w:bookmarkStart w:id="21193" w:name="_Toc2078460"/>
      <w:bookmarkStart w:id="21194" w:name="_Toc19391647"/>
      <w:bookmarkStart w:id="21195" w:name="_Toc19395144"/>
      <w:r>
        <w:rPr>
          <w:rFonts w:hint="cs"/>
          <w:rtl/>
        </w:rPr>
        <w:t xml:space="preserve">קושית </w:t>
      </w:r>
      <w:r w:rsidRPr="0095093F">
        <w:rPr>
          <w:rtl/>
        </w:rPr>
        <w:t xml:space="preserve">הגר"י ענגיל </w:t>
      </w:r>
      <w:bookmarkEnd w:id="21184"/>
      <w:bookmarkEnd w:id="21185"/>
      <w:bookmarkEnd w:id="21186"/>
      <w:bookmarkEnd w:id="21187"/>
      <w:r>
        <w:rPr>
          <w:rFonts w:hint="cs"/>
          <w:rtl/>
        </w:rPr>
        <w:t>דלר"ל אינו בהמה וודאי דל"מ שחיטה</w:t>
      </w:r>
      <w:bookmarkEnd w:id="21188"/>
      <w:bookmarkEnd w:id="21189"/>
      <w:bookmarkEnd w:id="21190"/>
      <w:bookmarkEnd w:id="21191"/>
      <w:bookmarkEnd w:id="21192"/>
      <w:bookmarkEnd w:id="21193"/>
      <w:bookmarkEnd w:id="21194"/>
      <w:bookmarkEnd w:id="21195"/>
    </w:p>
    <w:p w14:paraId="38B22BA9" w14:textId="77777777" w:rsidR="003D504D" w:rsidRPr="006E7662" w:rsidRDefault="003D504D" w:rsidP="003D504D">
      <w:pPr>
        <w:pStyle w:val="a3"/>
      </w:pPr>
      <w:bookmarkStart w:id="21196" w:name="_Toc1716615"/>
      <w:bookmarkStart w:id="21197" w:name="_Toc1725760"/>
      <w:bookmarkStart w:id="21198" w:name="_Toc1728138"/>
      <w:bookmarkStart w:id="21199" w:name="_Toc1938678"/>
      <w:bookmarkStart w:id="21200" w:name="_Toc1938771"/>
      <w:bookmarkStart w:id="21201" w:name="_Toc2078461"/>
      <w:bookmarkStart w:id="21202" w:name="_Toc19391648"/>
      <w:bookmarkStart w:id="21203" w:name="_Toc19395145"/>
      <w:r>
        <w:rPr>
          <w:rFonts w:hint="cs"/>
          <w:rtl/>
        </w:rPr>
        <w:t xml:space="preserve">קושית </w:t>
      </w:r>
      <w:r w:rsidRPr="0095093F">
        <w:rPr>
          <w:rtl/>
        </w:rPr>
        <w:t xml:space="preserve">הגר"י ענגיל </w:t>
      </w:r>
      <w:r w:rsidRPr="006E7662">
        <w:rPr>
          <w:rFonts w:hint="cs"/>
          <w:rtl/>
        </w:rPr>
        <w:t>על תוס' דלר"ל דחדשים ואוירא גרמי ודאי דל"מ שחיטה במעיה דאינו בהמה</w:t>
      </w:r>
      <w:bookmarkEnd w:id="21196"/>
      <w:bookmarkEnd w:id="21197"/>
      <w:bookmarkEnd w:id="21198"/>
      <w:bookmarkEnd w:id="21199"/>
      <w:bookmarkEnd w:id="21200"/>
      <w:bookmarkEnd w:id="21201"/>
      <w:bookmarkEnd w:id="21202"/>
      <w:bookmarkEnd w:id="21203"/>
    </w:p>
    <w:p w14:paraId="2641D69D" w14:textId="77777777" w:rsidR="003D504D" w:rsidRDefault="003D504D" w:rsidP="00223668">
      <w:pPr>
        <w:pStyle w:val="a0"/>
      </w:pPr>
      <w:bookmarkStart w:id="21204" w:name="_Ref1679345"/>
      <w:r>
        <w:rPr>
          <w:rFonts w:hint="cs"/>
          <w:rtl/>
        </w:rPr>
        <w:t>ו</w:t>
      </w:r>
      <w:r w:rsidRPr="006E7662">
        <w:rPr>
          <w:rFonts w:hint="cs"/>
          <w:rtl/>
        </w:rPr>
        <w:t xml:space="preserve">הקשה </w:t>
      </w:r>
      <w:r w:rsidRPr="006E7662">
        <w:rPr>
          <w:rStyle w:val="af9"/>
          <w:rFonts w:hint="cs"/>
          <w:rtl/>
        </w:rPr>
        <w:t>הגר</w:t>
      </w:r>
      <w:r w:rsidRPr="004D452A">
        <w:rPr>
          <w:rStyle w:val="af9"/>
          <w:rFonts w:hint="cs"/>
          <w:rtl/>
        </w:rPr>
        <w:t>"י ענגיל בבית האוצר</w:t>
      </w:r>
      <w:r>
        <w:rPr>
          <w:rFonts w:hint="cs"/>
          <w:rtl/>
        </w:rPr>
        <w:t xml:space="preserve"> </w:t>
      </w:r>
      <w:r w:rsidRPr="008E32C8">
        <w:rPr>
          <w:rStyle w:val="af7"/>
          <w:rFonts w:eastAsia="Guttman Hodes" w:hint="cs"/>
          <w:rtl/>
        </w:rPr>
        <w:t>(ח"א כלל י' עמ' 61 ד"ה וע"ע בחולין)</w:t>
      </w:r>
      <w:r>
        <w:rPr>
          <w:rFonts w:hint="cs"/>
          <w:rtl/>
        </w:rPr>
        <w:t xml:space="preserve"> היאך כתבו</w:t>
      </w:r>
      <w:r w:rsidRPr="006E7662">
        <w:rPr>
          <w:rFonts w:hint="cs"/>
          <w:rtl/>
        </w:rPr>
        <w:t xml:space="preserve"> </w:t>
      </w:r>
      <w:r w:rsidRPr="006E7662">
        <w:rPr>
          <w:rStyle w:val="af9"/>
          <w:rFonts w:hint="cs"/>
          <w:rtl/>
        </w:rPr>
        <w:t>התוס' לקמן</w:t>
      </w:r>
      <w:r w:rsidRPr="006E7662">
        <w:rPr>
          <w:rFonts w:hint="cs"/>
          <w:rtl/>
        </w:rPr>
        <w:t xml:space="preserve"> דאף לר"ל דס"ל דחדשים ואוירא גרמי מ"מ מהנ</w:t>
      </w:r>
      <w:r>
        <w:rPr>
          <w:rFonts w:hint="cs"/>
          <w:rtl/>
        </w:rPr>
        <w:t xml:space="preserve">י לו שחיטה במעי מאמו כמו דמהני </w:t>
      </w:r>
      <w:r w:rsidRPr="006E7662">
        <w:rPr>
          <w:rFonts w:hint="cs"/>
          <w:rtl/>
        </w:rPr>
        <w:t xml:space="preserve">לו שחיטת אמו, </w:t>
      </w:r>
      <w:r>
        <w:rPr>
          <w:rFonts w:hint="cs"/>
          <w:rtl/>
        </w:rPr>
        <w:t>והרי בכדי שיהיה מותר בשחיטת עצמו, צריך שיהיה לו שם בהמה כדכתי' "וזבחת מבקרך ומצאנך", ולעובר אין דין בקר כדמוכח מהא דחלבו מותר, דס"ל לר"ל דחדשים ואוירא גרמי, וא"כ היאך הוא מותר בשחיטת עצמו.</w:t>
      </w:r>
      <w:bookmarkEnd w:id="21204"/>
    </w:p>
    <w:p w14:paraId="46D30985" w14:textId="77777777" w:rsidR="003D504D" w:rsidRPr="0095093F" w:rsidRDefault="003D504D" w:rsidP="003D504D">
      <w:pPr>
        <w:pStyle w:val="a3"/>
      </w:pPr>
      <w:bookmarkStart w:id="21205" w:name="_Toc1716616"/>
      <w:bookmarkStart w:id="21206" w:name="_Toc1725761"/>
      <w:bookmarkStart w:id="21207" w:name="_Toc1728139"/>
      <w:bookmarkStart w:id="21208" w:name="_Toc1938679"/>
      <w:bookmarkStart w:id="21209" w:name="_Toc1938772"/>
      <w:bookmarkStart w:id="21210" w:name="_Toc2078462"/>
      <w:bookmarkStart w:id="21211" w:name="_Toc19391649"/>
      <w:bookmarkStart w:id="21212" w:name="_Toc19395146"/>
      <w:r>
        <w:rPr>
          <w:rFonts w:hint="cs"/>
          <w:rtl/>
        </w:rPr>
        <w:t xml:space="preserve">קושית </w:t>
      </w:r>
      <w:r w:rsidRPr="0095093F">
        <w:rPr>
          <w:rtl/>
        </w:rPr>
        <w:t>הגר"י ענגיל</w:t>
      </w:r>
      <w:r>
        <w:rPr>
          <w:rFonts w:hint="cs"/>
          <w:rtl/>
        </w:rPr>
        <w:t xml:space="preserve"> להצד דיש בו היתר "בהמה בבהמה" ודאי שאין לו שחיטה מצד עצמו</w:t>
      </w:r>
      <w:bookmarkEnd w:id="21205"/>
      <w:bookmarkEnd w:id="21206"/>
      <w:bookmarkEnd w:id="21207"/>
      <w:bookmarkEnd w:id="21208"/>
      <w:bookmarkEnd w:id="21209"/>
      <w:bookmarkEnd w:id="21210"/>
      <w:bookmarkEnd w:id="21211"/>
      <w:bookmarkEnd w:id="21212"/>
    </w:p>
    <w:p w14:paraId="29210DE8" w14:textId="77777777" w:rsidR="003D504D" w:rsidRDefault="003D504D" w:rsidP="00223668">
      <w:pPr>
        <w:pStyle w:val="a0"/>
        <w:rPr>
          <w:rtl/>
        </w:rPr>
      </w:pPr>
      <w:r>
        <w:rPr>
          <w:rFonts w:hint="cs"/>
          <w:rtl/>
        </w:rPr>
        <w:t xml:space="preserve">והביא </w:t>
      </w:r>
      <w:r w:rsidRPr="004D452A">
        <w:rPr>
          <w:rStyle w:val="af9"/>
          <w:rFonts w:hint="cs"/>
          <w:rtl/>
        </w:rPr>
        <w:t>הגר"י ענגיל בבית האוצר</w:t>
      </w:r>
      <w:r>
        <w:rPr>
          <w:rFonts w:hint="cs"/>
          <w:rtl/>
        </w:rPr>
        <w:t xml:space="preserve"> את מה שחקר בספרו </w:t>
      </w:r>
      <w:r w:rsidRPr="003708C0">
        <w:rPr>
          <w:rStyle w:val="af9"/>
          <w:rFonts w:hint="cs"/>
          <w:rtl/>
        </w:rPr>
        <w:t>אתוון דאורייתא</w:t>
      </w:r>
      <w:r>
        <w:rPr>
          <w:rFonts w:hint="cs"/>
          <w:rtl/>
        </w:rPr>
        <w:t xml:space="preserve"> </w:t>
      </w:r>
      <w:r w:rsidRPr="00B81155">
        <w:rPr>
          <w:rStyle w:val="af7"/>
          <w:rFonts w:eastAsia="Guttman Hodes" w:hint="cs"/>
          <w:rtl/>
        </w:rPr>
        <w:t>(כלל י"ד</w:t>
      </w:r>
      <w:r>
        <w:rPr>
          <w:rStyle w:val="af7"/>
          <w:rFonts w:eastAsia="Guttman Hodes" w:hint="cs"/>
          <w:rtl/>
        </w:rPr>
        <w:t xml:space="preserve">, </w:t>
      </w:r>
      <w:r w:rsidR="00AC7E32">
        <w:rPr>
          <w:rStyle w:val="af7"/>
          <w:rFonts w:eastAsia="Guttman Hodes" w:hint="cs"/>
          <w:rtl/>
        </w:rPr>
        <w:t>הובא בסימן</w:t>
      </w:r>
      <w:r>
        <w:rPr>
          <w:rStyle w:val="af7"/>
          <w:rFonts w:eastAsia="Guttman Hodes" w:hint="cs"/>
          <w:rtl/>
        </w:rPr>
        <w:t xml:space="preserve"> א' אות ד'</w:t>
      </w:r>
      <w:r w:rsidRPr="00B81155">
        <w:rPr>
          <w:rStyle w:val="af7"/>
          <w:rFonts w:eastAsia="Guttman Hodes" w:hint="cs"/>
          <w:rtl/>
        </w:rPr>
        <w:t>)</w:t>
      </w:r>
      <w:r>
        <w:rPr>
          <w:rFonts w:hint="cs"/>
          <w:rtl/>
        </w:rPr>
        <w:t>, אי ההיתר דבן פקועה הוא מחמת דחשיב שהוא נשחט בשחיטת אמו, או</w:t>
      </w:r>
      <w:r w:rsidRPr="000C6EEA">
        <w:rPr>
          <w:rFonts w:hint="cs"/>
          <w:rtl/>
        </w:rPr>
        <w:t xml:space="preserve"> </w:t>
      </w:r>
      <w:r>
        <w:rPr>
          <w:rFonts w:hint="cs"/>
          <w:rtl/>
        </w:rPr>
        <w:t xml:space="preserve">דההיתר דבן פקועה שהוא מותר כשנשחטה אמו מגזיה"כ דנאמר בו היתר "בהמה בבהמה", והקשה </w:t>
      </w:r>
      <w:r w:rsidRPr="004D452A">
        <w:rPr>
          <w:rStyle w:val="af9"/>
          <w:rFonts w:hint="cs"/>
          <w:rtl/>
        </w:rPr>
        <w:t>הגר"י ענגיל בבית האוצר</w:t>
      </w:r>
      <w:r>
        <w:rPr>
          <w:rFonts w:hint="cs"/>
          <w:rtl/>
        </w:rPr>
        <w:t xml:space="preserve"> דלהצד שיש בו היתר "בהמה בבהמה", ודאי קשה מנלן שהוא מותר בשחיטת עצמו, הרי אין לו שם בהמה מצד עצמו.</w:t>
      </w:r>
    </w:p>
    <w:p w14:paraId="741F47E8" w14:textId="77777777" w:rsidR="003D504D" w:rsidRPr="0095093F" w:rsidRDefault="003D504D" w:rsidP="003D504D">
      <w:pPr>
        <w:pStyle w:val="a3"/>
      </w:pPr>
      <w:bookmarkStart w:id="21213" w:name="_Toc1716617"/>
      <w:bookmarkStart w:id="21214" w:name="_Toc1725762"/>
      <w:bookmarkStart w:id="21215" w:name="_Toc1728140"/>
      <w:bookmarkStart w:id="21216" w:name="_Toc1938680"/>
      <w:bookmarkStart w:id="21217" w:name="_Toc1938773"/>
      <w:bookmarkStart w:id="21218" w:name="_Toc2078463"/>
      <w:bookmarkStart w:id="21219" w:name="_Toc19391650"/>
      <w:bookmarkStart w:id="21220" w:name="_Toc19395147"/>
      <w:r>
        <w:rPr>
          <w:rFonts w:hint="cs"/>
          <w:rtl/>
        </w:rPr>
        <w:t>קושית הגר"י ענגיל להצד דחשיב כשחוט בשחיטת אמו הוא דהוי כאבר אמו ול"מ שחיטת עצמו</w:t>
      </w:r>
      <w:bookmarkEnd w:id="21213"/>
      <w:bookmarkEnd w:id="21214"/>
      <w:bookmarkEnd w:id="21215"/>
      <w:bookmarkEnd w:id="21216"/>
      <w:bookmarkEnd w:id="21217"/>
      <w:bookmarkEnd w:id="21218"/>
      <w:bookmarkEnd w:id="21219"/>
      <w:bookmarkEnd w:id="21220"/>
    </w:p>
    <w:p w14:paraId="6F168C2F" w14:textId="77777777" w:rsidR="003D504D" w:rsidRDefault="003D504D" w:rsidP="00223668">
      <w:pPr>
        <w:pStyle w:val="a0"/>
        <w:rPr>
          <w:rtl/>
        </w:rPr>
        <w:sectPr w:rsidR="003D504D" w:rsidSect="005049E2">
          <w:type w:val="continuous"/>
          <w:pgSz w:w="11906" w:h="16838"/>
          <w:pgMar w:top="720" w:right="720" w:bottom="720" w:left="720" w:header="283" w:footer="283" w:gutter="0"/>
          <w:cols w:num="2" w:space="567"/>
          <w:titlePg/>
          <w:bidi/>
          <w:rtlGutter/>
          <w:docGrid w:linePitch="299"/>
        </w:sectPr>
      </w:pPr>
      <w:r>
        <w:rPr>
          <w:rFonts w:hint="cs"/>
          <w:rtl/>
        </w:rPr>
        <w:t xml:space="preserve">ואף להצד דהוא מותר מחמת דחשיב שנשחט בשחיטת אמו, הקשה </w:t>
      </w:r>
      <w:r w:rsidRPr="004D452A">
        <w:rPr>
          <w:rStyle w:val="af9"/>
          <w:rFonts w:hint="cs"/>
          <w:rtl/>
        </w:rPr>
        <w:t>הגר"י ענגיל בבית האוצר</w:t>
      </w:r>
      <w:r>
        <w:rPr>
          <w:rFonts w:hint="cs"/>
          <w:rtl/>
        </w:rPr>
        <w:t xml:space="preserve"> דגם לצד זה אין כל ראיה דמהני לו שחיטת עצמו, דהרי ההיתר דשחיטת אמו, אינו גזיה"כ דלענין שחיטה יש לו דין בהמה, אלא מחמת דהוא כאבר מאברי אמו, וכמו שכל אבריה מותרים בשחיטתה, ה"ה העובר, ועדיין קשה מנלן שיש לו שם בהמה להתירו בשחיטת עצמו.</w:t>
      </w:r>
    </w:p>
    <w:bookmarkEnd w:id="20822"/>
    <w:bookmarkEnd w:id="20823"/>
    <w:bookmarkEnd w:id="20824"/>
    <w:bookmarkEnd w:id="20825"/>
    <w:bookmarkEnd w:id="20826"/>
    <w:bookmarkEnd w:id="20827"/>
    <w:bookmarkEnd w:id="20828"/>
    <w:bookmarkEnd w:id="20829"/>
    <w:bookmarkEnd w:id="20830"/>
    <w:bookmarkEnd w:id="20831"/>
    <w:bookmarkEnd w:id="20832"/>
    <w:p w14:paraId="4F0CDF7C" w14:textId="77777777" w:rsidR="003D504D" w:rsidRDefault="003D504D" w:rsidP="003D504D">
      <w:pPr>
        <w:pStyle w:val="a3"/>
        <w:rPr>
          <w:rtl/>
        </w:rPr>
        <w:sectPr w:rsidR="003D504D" w:rsidSect="005049E2">
          <w:footerReference w:type="default" r:id="rId131"/>
          <w:type w:val="continuous"/>
          <w:pgSz w:w="11906" w:h="16838"/>
          <w:pgMar w:top="720" w:right="720" w:bottom="720" w:left="720" w:header="283" w:footer="283" w:gutter="0"/>
          <w:cols w:num="2" w:space="567"/>
          <w:titlePg/>
          <w:bidi/>
          <w:rtlGutter/>
          <w:docGrid w:linePitch="299"/>
        </w:sectPr>
      </w:pPr>
    </w:p>
    <w:p w14:paraId="3BE66DFD" w14:textId="77777777" w:rsidR="003D504D" w:rsidRPr="002A56BB" w:rsidRDefault="003D504D" w:rsidP="00BF0B39">
      <w:pPr>
        <w:pStyle w:val="afd"/>
        <w:spacing w:before="240"/>
      </w:pPr>
      <w:bookmarkStart w:id="21221" w:name="_Toc2164452"/>
      <w:bookmarkStart w:id="21222" w:name="_Toc2187215"/>
      <w:bookmarkStart w:id="21223" w:name="_Toc2198143"/>
      <w:bookmarkStart w:id="21224" w:name="_Toc5356391"/>
      <w:bookmarkStart w:id="21225" w:name="_Toc16669773"/>
      <w:bookmarkStart w:id="21226" w:name="_Toc19436200"/>
      <w:bookmarkStart w:id="21227" w:name="_Toc20081367"/>
      <w:r w:rsidRPr="002A56BB">
        <w:rPr>
          <w:rFonts w:hint="cs"/>
          <w:rtl/>
        </w:rPr>
        <w:t xml:space="preserve">סימן </w:t>
      </w:r>
      <w:r w:rsidR="00BF0B39">
        <w:rPr>
          <w:rFonts w:hint="cs"/>
          <w:rtl/>
        </w:rPr>
        <w:t>כ</w:t>
      </w:r>
      <w:r w:rsidRPr="002A56BB">
        <w:rPr>
          <w:rFonts w:hint="cs"/>
          <w:rtl/>
        </w:rPr>
        <w:t>'</w:t>
      </w:r>
      <w:bookmarkEnd w:id="21221"/>
      <w:bookmarkEnd w:id="21222"/>
      <w:bookmarkEnd w:id="21223"/>
      <w:bookmarkEnd w:id="21224"/>
      <w:bookmarkEnd w:id="21225"/>
      <w:bookmarkEnd w:id="21226"/>
      <w:bookmarkEnd w:id="21227"/>
    </w:p>
    <w:p w14:paraId="121669DD" w14:textId="77777777" w:rsidR="003D504D" w:rsidRPr="002A56BB" w:rsidRDefault="003D504D" w:rsidP="003D504D">
      <w:pPr>
        <w:pStyle w:val="afd"/>
        <w:rPr>
          <w:rtl/>
        </w:rPr>
      </w:pPr>
      <w:bookmarkStart w:id="21228" w:name="_Toc2164453"/>
      <w:bookmarkStart w:id="21229" w:name="_Toc2187216"/>
      <w:bookmarkStart w:id="21230" w:name="_Toc2198144"/>
      <w:bookmarkStart w:id="21231" w:name="_Toc5356392"/>
      <w:bookmarkStart w:id="21232" w:name="_Toc16669774"/>
      <w:bookmarkStart w:id="21233" w:name="_Toc19436201"/>
      <w:bookmarkStart w:id="21234" w:name="_Toc20081368"/>
      <w:r>
        <w:rPr>
          <w:rFonts w:hint="cs"/>
          <w:rtl/>
        </w:rPr>
        <w:t>בהיתר בן ח' ובן ט' מת לכו"ע ו</w:t>
      </w:r>
      <w:r w:rsidRPr="002A56BB">
        <w:rPr>
          <w:rFonts w:hint="cs"/>
          <w:rtl/>
        </w:rPr>
        <w:t>בפלוגתת ר"מ ורבנן בבן ט' חי</w:t>
      </w:r>
      <w:bookmarkEnd w:id="21228"/>
      <w:bookmarkEnd w:id="21229"/>
      <w:bookmarkEnd w:id="21230"/>
      <w:bookmarkEnd w:id="21231"/>
      <w:bookmarkEnd w:id="21232"/>
      <w:bookmarkEnd w:id="21233"/>
      <w:bookmarkEnd w:id="21234"/>
    </w:p>
    <w:p w14:paraId="00E80CCB" w14:textId="77777777" w:rsidR="003D504D" w:rsidRDefault="000A0C31" w:rsidP="003D504D">
      <w:pPr>
        <w:pStyle w:val="2"/>
        <w:keepNext w:val="0"/>
        <w:keepLines w:val="0"/>
        <w:rPr>
          <w:rtl/>
        </w:rPr>
      </w:pPr>
      <w:r>
        <w:rPr>
          <w:rtl/>
        </w:rPr>
        <w:t>מפתח הסוגיא</w:t>
      </w:r>
    </w:p>
    <w:p w14:paraId="613F827D" w14:textId="77777777" w:rsidR="003D504D" w:rsidRDefault="003D504D" w:rsidP="003D504D">
      <w:pPr>
        <w:pStyle w:val="aff4"/>
        <w:rPr>
          <w:rtl/>
        </w:rPr>
        <w:sectPr w:rsidR="003D504D" w:rsidSect="003D504D">
          <w:headerReference w:type="default" r:id="rId132"/>
          <w:headerReference w:type="first" r:id="rId133"/>
          <w:footerReference w:type="first" r:id="rId134"/>
          <w:pgSz w:w="11906" w:h="16838"/>
          <w:pgMar w:top="720" w:right="720" w:bottom="720" w:left="720" w:header="283" w:footer="283" w:gutter="0"/>
          <w:cols w:space="113"/>
          <w:bidi/>
          <w:rtlGutter/>
          <w:docGrid w:linePitch="299"/>
        </w:sectPr>
      </w:pPr>
    </w:p>
    <w:p w14:paraId="5C7DDED6" w14:textId="77777777" w:rsidR="003D504D" w:rsidRDefault="003D504D" w:rsidP="003D504D">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bookmarkStart w:id="21235" w:name="_Toc19436203"/>
      <w:r>
        <w:rPr>
          <w:noProof/>
          <w:rtl/>
        </w:rPr>
        <w:t>מראי מקומות וביאורים על הסוגיא</w:t>
      </w:r>
      <w:bookmarkEnd w:id="21235"/>
    </w:p>
    <w:p w14:paraId="63DA8C7C" w14:textId="77777777" w:rsidR="003D504D" w:rsidRDefault="003D504D" w:rsidP="003D504D">
      <w:pPr>
        <w:pStyle w:val="2"/>
        <w:rPr>
          <w:rFonts w:eastAsiaTheme="minorEastAsia" w:cstheme="minorBidi"/>
          <w:i/>
          <w:iCs/>
          <w:noProof/>
          <w:sz w:val="22"/>
          <w:szCs w:val="22"/>
          <w:rtl/>
        </w:rPr>
      </w:pPr>
      <w:bookmarkStart w:id="21236" w:name="_Toc19436204"/>
      <w:r>
        <w:rPr>
          <w:noProof/>
          <w:rtl/>
        </w:rPr>
        <w:t>בחילוק לר"מ בין בן ט' מת לבן ט' חי</w:t>
      </w:r>
      <w:bookmarkEnd w:id="21236"/>
    </w:p>
    <w:p w14:paraId="524C5B98" w14:textId="77777777" w:rsidR="003D504D" w:rsidRDefault="003D504D" w:rsidP="003D504D">
      <w:pPr>
        <w:pStyle w:val="aff4"/>
        <w:rPr>
          <w:rFonts w:eastAsiaTheme="minorEastAsia" w:cstheme="minorBidi"/>
          <w:i/>
          <w:iCs/>
          <w:noProof/>
          <w:sz w:val="22"/>
          <w:szCs w:val="22"/>
          <w:rtl/>
        </w:rPr>
      </w:pPr>
      <w:bookmarkStart w:id="21237" w:name="_Toc19436205"/>
      <w:bookmarkStart w:id="21238" w:name="_Toc20081369"/>
      <w:r>
        <w:rPr>
          <w:noProof/>
          <w:rtl/>
        </w:rPr>
        <w:t>דברי רש"י בהיתר בן ח' חי ומת ובפלוגתת ר"מ ורבנן בבן ט' חי</w:t>
      </w:r>
      <w:bookmarkEnd w:id="21237"/>
      <w:bookmarkEnd w:id="21238"/>
    </w:p>
    <w:p w14:paraId="5662BB4C" w14:textId="77777777" w:rsidR="00BF0B39" w:rsidRPr="005077A7" w:rsidRDefault="00BF0B39" w:rsidP="00E12979">
      <w:pPr>
        <w:pStyle w:val="a"/>
        <w:numPr>
          <w:ilvl w:val="0"/>
          <w:numId w:val="41"/>
        </w:numPr>
        <w:rPr>
          <w:rFonts w:eastAsiaTheme="minorEastAsia" w:cstheme="minorBidi"/>
          <w:sz w:val="22"/>
          <w:szCs w:val="22"/>
        </w:rPr>
      </w:pPr>
      <w:r w:rsidRPr="00E40E7B">
        <w:rPr>
          <w:rtl/>
        </w:rPr>
        <w:t>דברי רש"י דלר"מ בבן ח' חי או מת ובן ט' מת א"צ שחיטה דאין להם חדשים ואוירא ואינם בהמה</w:t>
      </w:r>
      <w:r>
        <w:rPr>
          <w:rtl/>
        </w:rPr>
        <w:t xml:space="preserve"> </w:t>
      </w:r>
    </w:p>
    <w:p w14:paraId="24B82DB9" w14:textId="77777777" w:rsidR="003D504D" w:rsidRDefault="003D504D" w:rsidP="005077A7">
      <w:pPr>
        <w:pStyle w:val="a"/>
        <w:rPr>
          <w:rFonts w:eastAsiaTheme="minorEastAsia" w:cstheme="minorBidi"/>
          <w:sz w:val="22"/>
          <w:szCs w:val="22"/>
          <w:rtl/>
        </w:rPr>
      </w:pPr>
      <w:r>
        <w:rPr>
          <w:rtl/>
        </w:rPr>
        <w:t>דברי רש"י דלר"מ בן ט' חי חדשים גרמי להחשיבו כבהמה ואינו מותר בשחיטת אמו</w:t>
      </w:r>
    </w:p>
    <w:p w14:paraId="48BEE740" w14:textId="77777777" w:rsidR="003D504D" w:rsidRDefault="003D504D" w:rsidP="005077A7">
      <w:pPr>
        <w:pStyle w:val="a"/>
        <w:rPr>
          <w:rFonts w:eastAsiaTheme="minorEastAsia" w:cstheme="minorBidi"/>
          <w:sz w:val="22"/>
          <w:szCs w:val="22"/>
          <w:rtl/>
        </w:rPr>
      </w:pPr>
      <w:r>
        <w:rPr>
          <w:rtl/>
        </w:rPr>
        <w:t>דברי רש"י דלרבנן רק חדשים ולידה גרמי להחשיבו כבהמה ולחייבו שחיטה</w:t>
      </w:r>
    </w:p>
    <w:p w14:paraId="5EBA624E" w14:textId="77777777" w:rsidR="003D504D" w:rsidRDefault="003D504D" w:rsidP="003D504D">
      <w:pPr>
        <w:pStyle w:val="aff4"/>
        <w:rPr>
          <w:rFonts w:eastAsiaTheme="minorEastAsia" w:cstheme="minorBidi"/>
          <w:i/>
          <w:iCs/>
          <w:noProof/>
          <w:sz w:val="22"/>
          <w:szCs w:val="22"/>
          <w:rtl/>
        </w:rPr>
      </w:pPr>
      <w:bookmarkStart w:id="21239" w:name="_Toc19436206"/>
      <w:bookmarkStart w:id="21240" w:name="_Toc20081370"/>
      <w:r>
        <w:rPr>
          <w:noProof/>
          <w:rtl/>
        </w:rPr>
        <w:t>ביאורי הראשונים בהיתר בן ח' ובפלוגתת ר"מ ורבנן בבן ט'</w:t>
      </w:r>
      <w:bookmarkEnd w:id="21239"/>
      <w:bookmarkEnd w:id="21240"/>
    </w:p>
    <w:p w14:paraId="2F5A454B" w14:textId="77777777" w:rsidR="003D504D" w:rsidRDefault="003D504D" w:rsidP="005077A7">
      <w:pPr>
        <w:pStyle w:val="a"/>
        <w:rPr>
          <w:rFonts w:eastAsiaTheme="minorEastAsia" w:cstheme="minorBidi"/>
          <w:sz w:val="22"/>
          <w:szCs w:val="22"/>
          <w:rtl/>
        </w:rPr>
      </w:pPr>
      <w:r>
        <w:rPr>
          <w:rtl/>
        </w:rPr>
        <w:t>ביאור הרמב"ן והרשב"א ברש"י דלר"מ היתר בן פקועה הוא רק כשאין לו שחיטה בפנ"ע</w:t>
      </w:r>
    </w:p>
    <w:p w14:paraId="35212ADC" w14:textId="77777777" w:rsidR="003D504D" w:rsidRDefault="003D504D" w:rsidP="005077A7">
      <w:pPr>
        <w:pStyle w:val="a"/>
        <w:rPr>
          <w:rFonts w:eastAsiaTheme="minorEastAsia" w:cstheme="minorBidi"/>
          <w:sz w:val="22"/>
          <w:szCs w:val="22"/>
          <w:rtl/>
        </w:rPr>
      </w:pPr>
      <w:r>
        <w:rPr>
          <w:rtl/>
        </w:rPr>
        <w:t>ביאור הר"ן דלר"מ היתר כל בבהמה הוא בבן ח' שאינו בן קיימא אבל בן ט' הוא בהמה בפנ"ע</w:t>
      </w:r>
    </w:p>
    <w:p w14:paraId="547600E1" w14:textId="77777777" w:rsidR="003D504D" w:rsidRDefault="003D504D" w:rsidP="005077A7">
      <w:pPr>
        <w:pStyle w:val="a"/>
        <w:rPr>
          <w:rFonts w:eastAsiaTheme="minorEastAsia" w:cstheme="minorBidi"/>
          <w:sz w:val="22"/>
          <w:szCs w:val="22"/>
          <w:rtl/>
        </w:rPr>
      </w:pPr>
      <w:r>
        <w:rPr>
          <w:rtl/>
        </w:rPr>
        <w:t>דברי הרא"ה דבן ט' שהוא בן קיימא הוא בהמה בפנ"ע ואינו טפל לאמו</w:t>
      </w:r>
    </w:p>
    <w:p w14:paraId="4E0C921A" w14:textId="77777777" w:rsidR="003D504D" w:rsidRDefault="003D504D" w:rsidP="005077A7">
      <w:pPr>
        <w:pStyle w:val="a"/>
        <w:rPr>
          <w:rFonts w:eastAsiaTheme="minorEastAsia" w:cstheme="minorBidi"/>
          <w:sz w:val="22"/>
          <w:szCs w:val="22"/>
        </w:rPr>
      </w:pPr>
      <w:r>
        <w:rPr>
          <w:rtl/>
        </w:rPr>
        <w:t>דברי המאירי דבן ח' חשיב כאבר מאברי אמו ולכן מותר בשחיטתה</w:t>
      </w:r>
    </w:p>
    <w:p w14:paraId="534DCB88" w14:textId="77777777" w:rsidR="003D504D" w:rsidRDefault="003D504D" w:rsidP="005077A7">
      <w:pPr>
        <w:pStyle w:val="a"/>
        <w:rPr>
          <w:rtl/>
        </w:rPr>
      </w:pPr>
      <w:r>
        <w:rPr>
          <w:rFonts w:hint="cs"/>
          <w:rtl/>
        </w:rPr>
        <w:t>דברי רבינו גרשום דפלוגתת ר"מ ורבנן בבן ט' חי היא אי חשיב כירך אמו</w:t>
      </w:r>
    </w:p>
    <w:p w14:paraId="6A86034F" w14:textId="77777777" w:rsidR="003D504D" w:rsidRDefault="003D504D" w:rsidP="003D504D">
      <w:pPr>
        <w:pStyle w:val="aff4"/>
        <w:rPr>
          <w:rFonts w:eastAsiaTheme="minorEastAsia" w:cstheme="minorBidi"/>
          <w:i/>
          <w:iCs/>
          <w:noProof/>
          <w:sz w:val="22"/>
          <w:szCs w:val="22"/>
          <w:rtl/>
        </w:rPr>
      </w:pPr>
      <w:bookmarkStart w:id="21241" w:name="_Toc19436207"/>
      <w:bookmarkStart w:id="21242" w:name="_Toc20081371"/>
      <w:r>
        <w:rPr>
          <w:noProof/>
          <w:rtl/>
        </w:rPr>
        <w:t>ביאור הרי"ד והראש יוסף דר"מ ורבנן נחלקו בילפותא דב"פ</w:t>
      </w:r>
      <w:bookmarkEnd w:id="21241"/>
      <w:bookmarkEnd w:id="21242"/>
    </w:p>
    <w:p w14:paraId="3239E4E9" w14:textId="77777777" w:rsidR="003D504D" w:rsidRDefault="003D504D" w:rsidP="005077A7">
      <w:pPr>
        <w:pStyle w:val="a"/>
        <w:rPr>
          <w:rFonts w:eastAsiaTheme="minorEastAsia" w:cstheme="minorBidi"/>
          <w:sz w:val="22"/>
          <w:szCs w:val="22"/>
          <w:rtl/>
        </w:rPr>
      </w:pPr>
      <w:r>
        <w:rPr>
          <w:rtl/>
        </w:rPr>
        <w:t>ביאור הרי"ד והראש יוסף דרבנן דרשי מבהמה בבהמה דאף שבן ט' הוא בהמה בפנ"ע התירתו תורה</w:t>
      </w:r>
    </w:p>
    <w:p w14:paraId="720F981B" w14:textId="77777777" w:rsidR="003D504D" w:rsidRDefault="003D504D" w:rsidP="005077A7">
      <w:pPr>
        <w:pStyle w:val="a"/>
        <w:rPr>
          <w:rFonts w:eastAsiaTheme="minorEastAsia" w:cstheme="minorBidi"/>
          <w:sz w:val="22"/>
          <w:szCs w:val="22"/>
          <w:rtl/>
        </w:rPr>
      </w:pPr>
      <w:r>
        <w:rPr>
          <w:rtl/>
        </w:rPr>
        <w:t>ביאור הרי"ד והראש יוסף דר"מ דריש מכל בבהמה ובן ט' שהוא בהמה בפנ"ע אינו בכלל ההיתר</w:t>
      </w:r>
    </w:p>
    <w:p w14:paraId="5B4B3F5D" w14:textId="77777777" w:rsidR="003D504D" w:rsidRDefault="003D504D" w:rsidP="003D504D">
      <w:pPr>
        <w:pStyle w:val="aff4"/>
        <w:rPr>
          <w:rFonts w:eastAsiaTheme="minorEastAsia" w:cstheme="minorBidi"/>
          <w:i/>
          <w:iCs/>
          <w:noProof/>
          <w:sz w:val="22"/>
          <w:szCs w:val="22"/>
          <w:rtl/>
        </w:rPr>
      </w:pPr>
      <w:bookmarkStart w:id="21243" w:name="_Toc19436208"/>
      <w:bookmarkStart w:id="21244" w:name="_Toc20081372"/>
      <w:r>
        <w:rPr>
          <w:noProof/>
          <w:rtl/>
        </w:rPr>
        <w:t>ביאור הבכור שור דלהראבי"ה חלוק היתר בן ח' מהיתר בן ט'</w:t>
      </w:r>
      <w:bookmarkEnd w:id="21243"/>
      <w:bookmarkEnd w:id="21244"/>
    </w:p>
    <w:p w14:paraId="70CAC0DA" w14:textId="77777777" w:rsidR="003D504D" w:rsidRDefault="003D504D" w:rsidP="005077A7">
      <w:pPr>
        <w:pStyle w:val="a"/>
        <w:rPr>
          <w:rFonts w:eastAsiaTheme="minorEastAsia" w:cstheme="minorBidi"/>
          <w:sz w:val="22"/>
          <w:szCs w:val="22"/>
          <w:rtl/>
        </w:rPr>
      </w:pPr>
      <w:r>
        <w:rPr>
          <w:rtl/>
        </w:rPr>
        <w:t>דברי הראבי"ה דבן ט' חי שהוא טריפה אינו מותר בשחיטת אמו</w:t>
      </w:r>
    </w:p>
    <w:p w14:paraId="2D5564E1" w14:textId="77777777" w:rsidR="003D504D" w:rsidRDefault="003D504D" w:rsidP="005077A7">
      <w:pPr>
        <w:pStyle w:val="a"/>
        <w:rPr>
          <w:rFonts w:eastAsiaTheme="minorEastAsia" w:cstheme="minorBidi"/>
          <w:sz w:val="22"/>
          <w:szCs w:val="22"/>
          <w:rtl/>
        </w:rPr>
      </w:pPr>
      <w:r>
        <w:rPr>
          <w:rtl/>
        </w:rPr>
        <w:t>דברי הר"ן דבן ט' חי שהוא טריפה מותר בשחיטת אמו דהא אף אם היה מת היה מותר</w:t>
      </w:r>
    </w:p>
    <w:p w14:paraId="400BE4FA" w14:textId="77777777" w:rsidR="003D504D" w:rsidRDefault="003D504D" w:rsidP="005077A7">
      <w:pPr>
        <w:pStyle w:val="a"/>
        <w:rPr>
          <w:rFonts w:eastAsiaTheme="minorEastAsia" w:cstheme="minorBidi"/>
          <w:sz w:val="22"/>
          <w:szCs w:val="22"/>
          <w:rtl/>
        </w:rPr>
      </w:pPr>
      <w:r>
        <w:rPr>
          <w:rtl/>
        </w:rPr>
        <w:t>ביאור הבכור שור בראבי"ה דההיתר בבן ח' דהוא כאבר דאמו ואין לו שחיטה מצד עצמו</w:t>
      </w:r>
    </w:p>
    <w:p w14:paraId="235C3179" w14:textId="77777777" w:rsidR="003D504D" w:rsidRDefault="003D504D" w:rsidP="005077A7">
      <w:pPr>
        <w:pStyle w:val="a"/>
        <w:rPr>
          <w:rFonts w:eastAsiaTheme="minorEastAsia" w:cstheme="minorBidi"/>
          <w:sz w:val="22"/>
          <w:szCs w:val="22"/>
          <w:rtl/>
        </w:rPr>
      </w:pPr>
      <w:r>
        <w:rPr>
          <w:rtl/>
        </w:rPr>
        <w:t>ביאור הבכור שור בראבי"ה דהיתר בן ט' לרבנן דחשיב שנשחט בשחיטת אמו מדין ד' סימנים</w:t>
      </w:r>
    </w:p>
    <w:p w14:paraId="22E2C2F4" w14:textId="77777777" w:rsidR="003D504D" w:rsidRDefault="003D504D" w:rsidP="005077A7">
      <w:pPr>
        <w:pStyle w:val="a"/>
        <w:rPr>
          <w:rFonts w:eastAsiaTheme="minorEastAsia" w:cstheme="minorBidi"/>
          <w:sz w:val="22"/>
          <w:szCs w:val="22"/>
          <w:rtl/>
        </w:rPr>
      </w:pPr>
      <w:r>
        <w:rPr>
          <w:rtl/>
        </w:rPr>
        <w:t>דברי הראבי"ה דבן ח' חי שנמצא טריפה מותר דחשיב כמת ואין טריפה לאחר מיתה</w:t>
      </w:r>
    </w:p>
    <w:p w14:paraId="705DD5DE" w14:textId="77777777" w:rsidR="003D504D" w:rsidRDefault="003D504D" w:rsidP="003D504D">
      <w:pPr>
        <w:pStyle w:val="aff4"/>
        <w:rPr>
          <w:rFonts w:eastAsiaTheme="minorEastAsia" w:cstheme="minorBidi"/>
          <w:i/>
          <w:iCs/>
          <w:noProof/>
          <w:sz w:val="22"/>
          <w:szCs w:val="22"/>
          <w:rtl/>
        </w:rPr>
      </w:pPr>
      <w:bookmarkStart w:id="21245" w:name="_Toc19436209"/>
      <w:bookmarkStart w:id="21246" w:name="_Toc20081373"/>
      <w:r>
        <w:rPr>
          <w:noProof/>
          <w:rtl/>
        </w:rPr>
        <w:t>ביאור הנאות יעקב דנחלקו הר"ן והראבי"ה בגדר היתר ב"פ</w:t>
      </w:r>
      <w:bookmarkEnd w:id="21245"/>
      <w:bookmarkEnd w:id="21246"/>
    </w:p>
    <w:p w14:paraId="5AE28D93" w14:textId="77777777" w:rsidR="003D504D" w:rsidRDefault="003D504D" w:rsidP="005077A7">
      <w:pPr>
        <w:pStyle w:val="a"/>
        <w:rPr>
          <w:rFonts w:eastAsiaTheme="minorEastAsia" w:cstheme="minorBidi"/>
          <w:sz w:val="22"/>
          <w:szCs w:val="22"/>
          <w:rtl/>
        </w:rPr>
      </w:pPr>
      <w:r>
        <w:rPr>
          <w:rtl/>
        </w:rPr>
        <w:t>ביאור הנאות יעקב דלהראבי"ה ההיתר בבן פקועה הוא דחשיב כשחוט ואינו מתיר טריפה</w:t>
      </w:r>
    </w:p>
    <w:p w14:paraId="405E17D8" w14:textId="77777777" w:rsidR="003D504D" w:rsidRDefault="003D504D" w:rsidP="005077A7">
      <w:pPr>
        <w:pStyle w:val="a"/>
        <w:rPr>
          <w:rFonts w:eastAsiaTheme="minorEastAsia" w:cstheme="minorBidi"/>
          <w:sz w:val="22"/>
          <w:szCs w:val="22"/>
          <w:rtl/>
        </w:rPr>
      </w:pPr>
      <w:r>
        <w:rPr>
          <w:rtl/>
        </w:rPr>
        <w:t>ביאור האו"ש והנאות יעקב בר"ן וברא"ה דאין העובר חשיב כשחוט אלא הותרו כל האיסורים שבו</w:t>
      </w:r>
    </w:p>
    <w:p w14:paraId="74C59255" w14:textId="77777777" w:rsidR="003D504D" w:rsidRDefault="003D504D" w:rsidP="003D504D">
      <w:pPr>
        <w:pStyle w:val="2"/>
        <w:rPr>
          <w:rFonts w:eastAsiaTheme="minorEastAsia" w:cstheme="minorBidi"/>
          <w:i/>
          <w:iCs/>
          <w:noProof/>
          <w:sz w:val="22"/>
          <w:szCs w:val="22"/>
          <w:rtl/>
        </w:rPr>
      </w:pPr>
      <w:bookmarkStart w:id="21247" w:name="_Toc19436210"/>
      <w:r>
        <w:rPr>
          <w:noProof/>
          <w:rtl/>
        </w:rPr>
        <w:t>פלוגתת רש"י והראשונים בבן ט' לר"מ</w:t>
      </w:r>
      <w:bookmarkEnd w:id="21247"/>
    </w:p>
    <w:p w14:paraId="5A8BB10D" w14:textId="77777777" w:rsidR="003D504D" w:rsidRDefault="003D504D" w:rsidP="003D504D">
      <w:pPr>
        <w:pStyle w:val="aff4"/>
        <w:rPr>
          <w:rFonts w:eastAsiaTheme="minorEastAsia" w:cstheme="minorBidi"/>
          <w:i/>
          <w:iCs/>
          <w:noProof/>
          <w:sz w:val="22"/>
          <w:szCs w:val="22"/>
          <w:rtl/>
        </w:rPr>
      </w:pPr>
      <w:bookmarkStart w:id="21248" w:name="_Toc19436211"/>
      <w:bookmarkStart w:id="21249" w:name="_Toc20081374"/>
      <w:r>
        <w:rPr>
          <w:noProof/>
          <w:rtl/>
        </w:rPr>
        <w:t>דברי רש"י דלר"מ בן ט' חי חשיב כבהמה דחדשים גרמי</w:t>
      </w:r>
      <w:bookmarkEnd w:id="21248"/>
      <w:bookmarkEnd w:id="21249"/>
    </w:p>
    <w:p w14:paraId="3C142866" w14:textId="77777777" w:rsidR="003D504D" w:rsidRDefault="003D504D" w:rsidP="005077A7">
      <w:pPr>
        <w:pStyle w:val="a"/>
        <w:rPr>
          <w:rFonts w:eastAsiaTheme="minorEastAsia" w:cstheme="minorBidi"/>
          <w:sz w:val="22"/>
          <w:szCs w:val="22"/>
          <w:rtl/>
        </w:rPr>
      </w:pPr>
      <w:r>
        <w:rPr>
          <w:rtl/>
        </w:rPr>
        <w:t>דברי רש"י דלר"מ בן ט' חי חדשים גרמי להחשיבו כבהמה ואינו מותר בשחיטת אמו</w:t>
      </w:r>
    </w:p>
    <w:p w14:paraId="6C5EA160" w14:textId="77777777" w:rsidR="003D504D" w:rsidRDefault="003D504D" w:rsidP="005077A7">
      <w:pPr>
        <w:pStyle w:val="a"/>
        <w:rPr>
          <w:rFonts w:eastAsiaTheme="minorEastAsia" w:cstheme="minorBidi"/>
          <w:sz w:val="22"/>
          <w:szCs w:val="22"/>
          <w:rtl/>
        </w:rPr>
      </w:pPr>
      <w:r>
        <w:rPr>
          <w:rtl/>
        </w:rPr>
        <w:t>הבנת הרמב"ן והרשב"א והרא"ש ברש"י דלר"מ חדשים לבד גרמי להחשיבו כבהמה בפנ"ע</w:t>
      </w:r>
    </w:p>
    <w:p w14:paraId="0561D54B" w14:textId="77777777" w:rsidR="003D504D" w:rsidRDefault="003D504D" w:rsidP="003D504D">
      <w:pPr>
        <w:pStyle w:val="aff4"/>
        <w:rPr>
          <w:rFonts w:eastAsiaTheme="minorEastAsia" w:cstheme="minorBidi"/>
          <w:i/>
          <w:iCs/>
          <w:noProof/>
          <w:sz w:val="22"/>
          <w:szCs w:val="22"/>
          <w:rtl/>
        </w:rPr>
      </w:pPr>
      <w:bookmarkStart w:id="21250" w:name="_Toc19436212"/>
      <w:bookmarkStart w:id="21251" w:name="_Toc20081375"/>
      <w:r>
        <w:rPr>
          <w:noProof/>
          <w:rtl/>
        </w:rPr>
        <w:t>קושיות הראשונים על רש"י דא"א לומר דלר"מ חדשים גרמי</w:t>
      </w:r>
      <w:bookmarkEnd w:id="21250"/>
      <w:bookmarkEnd w:id="21251"/>
    </w:p>
    <w:p w14:paraId="154043A3" w14:textId="77777777" w:rsidR="003D504D" w:rsidRDefault="003D504D" w:rsidP="005077A7">
      <w:pPr>
        <w:pStyle w:val="a"/>
        <w:rPr>
          <w:rFonts w:eastAsiaTheme="minorEastAsia" w:cstheme="minorBidi"/>
          <w:sz w:val="22"/>
          <w:szCs w:val="22"/>
          <w:rtl/>
        </w:rPr>
      </w:pPr>
      <w:r>
        <w:rPr>
          <w:rtl/>
        </w:rPr>
        <w:t>קושית הרמב"ן והרשב"א דאמאי לא גרמי החדשים לאסור בן ט' מת לדעת ר"מ</w:t>
      </w:r>
    </w:p>
    <w:p w14:paraId="5D6F9031" w14:textId="77777777" w:rsidR="003D504D" w:rsidRDefault="003D504D" w:rsidP="005077A7">
      <w:pPr>
        <w:pStyle w:val="a"/>
        <w:rPr>
          <w:rFonts w:eastAsiaTheme="minorEastAsia" w:cstheme="minorBidi"/>
          <w:sz w:val="22"/>
          <w:szCs w:val="22"/>
          <w:rtl/>
        </w:rPr>
      </w:pPr>
      <w:r>
        <w:rPr>
          <w:rtl/>
        </w:rPr>
        <w:t>קושית הרא"ש דלרש"י בנמצא בן ט' מת צריך לחוש שהיה חי בשעת שחיטה ול"מ לו שחיטת אמו</w:t>
      </w:r>
    </w:p>
    <w:p w14:paraId="1BFB88B0" w14:textId="77777777" w:rsidR="003D504D" w:rsidRDefault="003D504D" w:rsidP="003D504D">
      <w:pPr>
        <w:pStyle w:val="aff4"/>
        <w:rPr>
          <w:rFonts w:eastAsiaTheme="minorEastAsia" w:cstheme="minorBidi"/>
          <w:i/>
          <w:iCs/>
          <w:noProof/>
          <w:sz w:val="22"/>
          <w:szCs w:val="22"/>
          <w:rtl/>
        </w:rPr>
      </w:pPr>
      <w:bookmarkStart w:id="21252" w:name="_Toc19436213"/>
      <w:bookmarkStart w:id="21253" w:name="_Toc20081376"/>
      <w:r>
        <w:rPr>
          <w:noProof/>
          <w:rtl/>
        </w:rPr>
        <w:t>ביאור הרמב"ן ברש"י דכל שא"א לשוחטו מהני שחיטת האם</w:t>
      </w:r>
      <w:bookmarkEnd w:id="21252"/>
      <w:bookmarkEnd w:id="21253"/>
    </w:p>
    <w:p w14:paraId="1BB77619" w14:textId="77777777" w:rsidR="003D504D" w:rsidRDefault="003D504D" w:rsidP="005077A7">
      <w:pPr>
        <w:pStyle w:val="a"/>
        <w:rPr>
          <w:rFonts w:eastAsiaTheme="minorEastAsia" w:cstheme="minorBidi"/>
          <w:sz w:val="22"/>
          <w:szCs w:val="22"/>
          <w:rtl/>
        </w:rPr>
      </w:pPr>
      <w:r>
        <w:rPr>
          <w:rtl/>
        </w:rPr>
        <w:t>ביאור הרמב"ן והרשב"א ברש"י דכל שאין לו שחיטה בפנ"ע מהני לו שחיטת אמו</w:t>
      </w:r>
    </w:p>
    <w:p w14:paraId="683A4C5C" w14:textId="77777777" w:rsidR="003D504D" w:rsidRDefault="003D504D" w:rsidP="005077A7">
      <w:pPr>
        <w:pStyle w:val="a"/>
        <w:rPr>
          <w:rFonts w:eastAsiaTheme="minorEastAsia" w:cstheme="minorBidi"/>
          <w:sz w:val="22"/>
          <w:szCs w:val="22"/>
          <w:rtl/>
        </w:rPr>
      </w:pPr>
      <w:r>
        <w:rPr>
          <w:rtl/>
        </w:rPr>
        <w:t>ביאור היד יהודה ברמב"ן דדוקא כשהיה מת בשעת השחיטה מותר דלא שייכא שחיטה בגופו</w:t>
      </w:r>
    </w:p>
    <w:p w14:paraId="1F9056DE" w14:textId="77777777" w:rsidR="003D504D" w:rsidRDefault="003D504D" w:rsidP="005077A7">
      <w:pPr>
        <w:pStyle w:val="a"/>
        <w:rPr>
          <w:rFonts w:eastAsiaTheme="minorEastAsia" w:cstheme="minorBidi"/>
          <w:sz w:val="22"/>
          <w:szCs w:val="22"/>
          <w:rtl/>
        </w:rPr>
      </w:pPr>
      <w:r>
        <w:rPr>
          <w:rtl/>
        </w:rPr>
        <w:t>פלוגתת המהרש"א והיד יהודה אי ביאור הרמב"ן ברש"י מתרץ את קושית הרא"ש</w:t>
      </w:r>
    </w:p>
    <w:p w14:paraId="7F613645" w14:textId="77777777" w:rsidR="003D504D" w:rsidRDefault="003D504D" w:rsidP="003D504D">
      <w:pPr>
        <w:pStyle w:val="aff4"/>
        <w:rPr>
          <w:rFonts w:eastAsiaTheme="minorEastAsia" w:cstheme="minorBidi"/>
          <w:i/>
          <w:iCs/>
          <w:noProof/>
          <w:sz w:val="22"/>
          <w:szCs w:val="22"/>
          <w:rtl/>
        </w:rPr>
      </w:pPr>
      <w:bookmarkStart w:id="21254" w:name="_Toc19436214"/>
      <w:bookmarkStart w:id="21255" w:name="_Toc20081377"/>
      <w:r>
        <w:rPr>
          <w:noProof/>
          <w:rtl/>
        </w:rPr>
        <w:t>ביאור האחרונים ברש"י דלא חיישינן שהיה חי בשעת שחיטה</w:t>
      </w:r>
      <w:bookmarkEnd w:id="21254"/>
      <w:bookmarkEnd w:id="21255"/>
    </w:p>
    <w:p w14:paraId="4F6BFB0A" w14:textId="77777777" w:rsidR="003D504D" w:rsidRDefault="003D504D" w:rsidP="005077A7">
      <w:pPr>
        <w:pStyle w:val="a"/>
        <w:rPr>
          <w:rFonts w:eastAsiaTheme="minorEastAsia" w:cstheme="minorBidi"/>
          <w:sz w:val="22"/>
          <w:szCs w:val="22"/>
          <w:rtl/>
        </w:rPr>
      </w:pPr>
      <w:r>
        <w:rPr>
          <w:rtl/>
        </w:rPr>
        <w:t>תירוץ התורת יקותיאל דאזלינן בתר שעת מציאה שנמצא מת כיון שאין לו חזקת חי</w:t>
      </w:r>
    </w:p>
    <w:p w14:paraId="7C8A7FC7" w14:textId="77777777" w:rsidR="003D504D" w:rsidRDefault="003D504D" w:rsidP="003D504D">
      <w:pPr>
        <w:pStyle w:val="aff4"/>
        <w:rPr>
          <w:rFonts w:eastAsiaTheme="minorEastAsia" w:cstheme="minorBidi"/>
          <w:i/>
          <w:iCs/>
          <w:noProof/>
          <w:sz w:val="22"/>
          <w:szCs w:val="22"/>
          <w:rtl/>
        </w:rPr>
      </w:pPr>
      <w:bookmarkStart w:id="21256" w:name="_Toc19436215"/>
      <w:bookmarkStart w:id="21257" w:name="_Toc20081378"/>
      <w:r>
        <w:rPr>
          <w:noProof/>
          <w:rtl/>
        </w:rPr>
        <w:t>דעת הרמב"ן והרשב"א בשם תוס' והרא"ש דרק ביצא מת אסור</w:t>
      </w:r>
      <w:bookmarkEnd w:id="21256"/>
      <w:bookmarkEnd w:id="21257"/>
    </w:p>
    <w:p w14:paraId="6854EAA1" w14:textId="77777777" w:rsidR="003D504D" w:rsidRDefault="003D504D" w:rsidP="005077A7">
      <w:pPr>
        <w:pStyle w:val="a"/>
        <w:rPr>
          <w:rFonts w:eastAsiaTheme="minorEastAsia" w:cstheme="minorBidi"/>
          <w:sz w:val="22"/>
          <w:szCs w:val="22"/>
          <w:rtl/>
        </w:rPr>
      </w:pPr>
      <w:r>
        <w:rPr>
          <w:rtl/>
        </w:rPr>
        <w:t>דברי הרמב"ן והרשב"א בשם תוס' ודברי הרא"ש דבלא יצא חי מותר לר"מ אף שמת אחר שחיטה</w:t>
      </w:r>
    </w:p>
    <w:p w14:paraId="1CBA0DB7" w14:textId="77777777" w:rsidR="003D504D" w:rsidRDefault="003D504D" w:rsidP="005077A7">
      <w:pPr>
        <w:pStyle w:val="a"/>
        <w:rPr>
          <w:rFonts w:eastAsiaTheme="minorEastAsia" w:cstheme="minorBidi"/>
          <w:sz w:val="22"/>
          <w:szCs w:val="22"/>
          <w:rtl/>
        </w:rPr>
      </w:pPr>
      <w:r>
        <w:rPr>
          <w:rtl/>
        </w:rPr>
        <w:t>ביאור הראש יוסף ברא"ש דלר"מ אף שהותר הבן ט' בשחיטת אמו נאסר כשיצא חי לאויר העולם</w:t>
      </w:r>
    </w:p>
    <w:p w14:paraId="28ACD630" w14:textId="77777777" w:rsidR="003D504D" w:rsidRDefault="003D504D" w:rsidP="005077A7">
      <w:pPr>
        <w:pStyle w:val="a"/>
        <w:rPr>
          <w:rFonts w:eastAsiaTheme="minorEastAsia" w:cstheme="minorBidi"/>
          <w:sz w:val="22"/>
          <w:szCs w:val="22"/>
          <w:rtl/>
        </w:rPr>
      </w:pPr>
      <w:r>
        <w:rPr>
          <w:rtl/>
        </w:rPr>
        <w:t>ביאור הראש יוסף ברא"ש דלרבנן כיון שהותר הבן ט' בשחיטת אמו אינו חוזר ונאסר אף שיצא חי</w:t>
      </w:r>
    </w:p>
    <w:p w14:paraId="09A1A577" w14:textId="77777777" w:rsidR="003D504D" w:rsidRDefault="003D504D" w:rsidP="003D504D">
      <w:pPr>
        <w:pStyle w:val="aff4"/>
        <w:rPr>
          <w:rFonts w:eastAsiaTheme="minorEastAsia" w:cstheme="minorBidi"/>
          <w:i/>
          <w:iCs/>
          <w:noProof/>
          <w:sz w:val="22"/>
          <w:szCs w:val="22"/>
          <w:rtl/>
        </w:rPr>
      </w:pPr>
      <w:bookmarkStart w:id="21258" w:name="_Toc19436216"/>
      <w:bookmarkStart w:id="21259" w:name="_Toc20081379"/>
      <w:r>
        <w:rPr>
          <w:noProof/>
          <w:rtl/>
        </w:rPr>
        <w:t>קושיות האחרונים בסתירת דברי רש"י</w:t>
      </w:r>
      <w:bookmarkEnd w:id="21258"/>
      <w:bookmarkEnd w:id="21259"/>
    </w:p>
    <w:p w14:paraId="19557849" w14:textId="77777777" w:rsidR="003D504D" w:rsidRDefault="003D504D" w:rsidP="005077A7">
      <w:pPr>
        <w:pStyle w:val="a"/>
        <w:rPr>
          <w:rFonts w:eastAsiaTheme="minorEastAsia" w:cstheme="minorBidi"/>
          <w:sz w:val="22"/>
          <w:szCs w:val="22"/>
          <w:rtl/>
        </w:rPr>
      </w:pPr>
      <w:r>
        <w:rPr>
          <w:rtl/>
        </w:rPr>
        <w:t>קושית האחרונים דברישא דמתני' מבואר ברש"י דאף לר"מ חדשים ואוירא גרמי</w:t>
      </w:r>
    </w:p>
    <w:p w14:paraId="7EF448E1" w14:textId="77777777" w:rsidR="003D504D" w:rsidRDefault="003D504D" w:rsidP="005077A7">
      <w:pPr>
        <w:pStyle w:val="a"/>
        <w:rPr>
          <w:rFonts w:eastAsiaTheme="minorEastAsia" w:cstheme="minorBidi"/>
          <w:sz w:val="22"/>
          <w:szCs w:val="22"/>
          <w:rtl/>
        </w:rPr>
      </w:pPr>
      <w:r>
        <w:rPr>
          <w:rtl/>
        </w:rPr>
        <w:t>קושיות האחרונים דברש"י לקמן מבואר דאף לר"מ חדשים ואוירא גרמי</w:t>
      </w:r>
    </w:p>
    <w:p w14:paraId="7C9CE110" w14:textId="77777777" w:rsidR="003D504D" w:rsidRDefault="003D504D" w:rsidP="003D504D">
      <w:pPr>
        <w:pStyle w:val="aff4"/>
        <w:rPr>
          <w:noProof/>
          <w:rtl/>
        </w:rPr>
      </w:pPr>
    </w:p>
    <w:p w14:paraId="2973106F" w14:textId="77777777" w:rsidR="003D504D" w:rsidRDefault="003D504D" w:rsidP="003D504D">
      <w:pPr>
        <w:pStyle w:val="aff4"/>
        <w:rPr>
          <w:rFonts w:eastAsiaTheme="minorEastAsia" w:cstheme="minorBidi"/>
          <w:i/>
          <w:iCs/>
          <w:noProof/>
          <w:sz w:val="22"/>
          <w:szCs w:val="22"/>
          <w:rtl/>
        </w:rPr>
      </w:pPr>
      <w:bookmarkStart w:id="21260" w:name="_Toc19436217"/>
      <w:bookmarkStart w:id="21261" w:name="_Toc20081380"/>
      <w:r>
        <w:rPr>
          <w:noProof/>
          <w:rtl/>
        </w:rPr>
        <w:t>תירוצי האחרונים בסתירת דברי רש"י</w:t>
      </w:r>
      <w:bookmarkEnd w:id="21260"/>
      <w:bookmarkEnd w:id="21261"/>
    </w:p>
    <w:p w14:paraId="3E4A4246" w14:textId="77777777" w:rsidR="003D504D" w:rsidRDefault="003D504D" w:rsidP="005077A7">
      <w:pPr>
        <w:pStyle w:val="a"/>
        <w:rPr>
          <w:rFonts w:eastAsiaTheme="minorEastAsia" w:cstheme="minorBidi"/>
          <w:sz w:val="22"/>
          <w:szCs w:val="22"/>
          <w:rtl/>
        </w:rPr>
      </w:pPr>
      <w:r>
        <w:rPr>
          <w:rtl/>
        </w:rPr>
        <w:t>תירוץ המעדני יו"ט דדברי רש"י ברישא דחדשים ואוירא גרמי הם לרווחא דמילתא</w:t>
      </w:r>
    </w:p>
    <w:p w14:paraId="41DD4A00" w14:textId="77777777" w:rsidR="003D504D" w:rsidRDefault="003D504D" w:rsidP="005077A7">
      <w:pPr>
        <w:pStyle w:val="a"/>
        <w:rPr>
          <w:rFonts w:eastAsiaTheme="minorEastAsia" w:cstheme="minorBidi"/>
          <w:sz w:val="22"/>
          <w:szCs w:val="22"/>
          <w:rtl/>
        </w:rPr>
      </w:pPr>
      <w:r>
        <w:rPr>
          <w:rtl/>
        </w:rPr>
        <w:t>תירוץ התורת יקותיאל דלענין שחיטה רק חדשים גרמי ולענין חלב חדשים ואוירא גרמי</w:t>
      </w:r>
    </w:p>
    <w:p w14:paraId="616CC248" w14:textId="77777777" w:rsidR="003D504D" w:rsidRDefault="003D504D" w:rsidP="003D504D">
      <w:pPr>
        <w:pStyle w:val="aff4"/>
        <w:rPr>
          <w:rFonts w:eastAsiaTheme="minorEastAsia" w:cstheme="minorBidi"/>
          <w:i/>
          <w:iCs/>
          <w:noProof/>
          <w:sz w:val="22"/>
          <w:szCs w:val="22"/>
          <w:rtl/>
        </w:rPr>
      </w:pPr>
      <w:bookmarkStart w:id="21262" w:name="_Toc19436218"/>
      <w:bookmarkStart w:id="21263" w:name="_Toc20081381"/>
      <w:r>
        <w:rPr>
          <w:noProof/>
          <w:rtl/>
        </w:rPr>
        <w:t>דעת האחרונים דאף לרש"י לר"מ חדשים ואוירא גרמי</w:t>
      </w:r>
      <w:bookmarkEnd w:id="21262"/>
      <w:bookmarkEnd w:id="21263"/>
    </w:p>
    <w:p w14:paraId="24662DA8" w14:textId="77777777" w:rsidR="003D504D" w:rsidRDefault="003D504D" w:rsidP="005077A7">
      <w:pPr>
        <w:pStyle w:val="a"/>
        <w:rPr>
          <w:rFonts w:eastAsiaTheme="minorEastAsia" w:cstheme="minorBidi"/>
          <w:sz w:val="22"/>
          <w:szCs w:val="22"/>
          <w:rtl/>
        </w:rPr>
      </w:pPr>
      <w:r>
        <w:rPr>
          <w:rtl/>
        </w:rPr>
        <w:t>דברי הרש"ש דהגירסא ברש"י דלר"מ חדשים ואוירא גרמי ודלא כהבנת הראשונים ברש"י</w:t>
      </w:r>
    </w:p>
    <w:p w14:paraId="7EF25647" w14:textId="77777777" w:rsidR="003D504D" w:rsidRDefault="003D504D" w:rsidP="005077A7">
      <w:pPr>
        <w:pStyle w:val="a"/>
        <w:rPr>
          <w:rFonts w:eastAsiaTheme="minorEastAsia" w:cstheme="minorBidi"/>
          <w:sz w:val="22"/>
          <w:szCs w:val="22"/>
          <w:rtl/>
        </w:rPr>
      </w:pPr>
      <w:r>
        <w:rPr>
          <w:rtl/>
        </w:rPr>
        <w:t>תירוץ הכנה"ג דרש"י כתב בר"מ רק דחדשים גרמי דסמך על דבריו ברישא דחדשים ואוירא גרמי</w:t>
      </w:r>
    </w:p>
    <w:p w14:paraId="31E4D03D" w14:textId="77777777" w:rsidR="003D504D" w:rsidRDefault="003D504D" w:rsidP="005077A7">
      <w:pPr>
        <w:pStyle w:val="a"/>
        <w:rPr>
          <w:rFonts w:eastAsiaTheme="minorEastAsia" w:cstheme="minorBidi"/>
          <w:sz w:val="22"/>
          <w:szCs w:val="22"/>
          <w:rtl/>
        </w:rPr>
      </w:pPr>
      <w:r>
        <w:rPr>
          <w:rtl/>
        </w:rPr>
        <w:t>דברי הכנה"ג דאף לרש"י חדשים גרמי רק ביצא חי אבל ביצא מת לא מהני החדשים לאוסרו</w:t>
      </w:r>
    </w:p>
    <w:p w14:paraId="3215841C" w14:textId="77777777" w:rsidR="003D504D" w:rsidRDefault="003D504D" w:rsidP="005077A7">
      <w:pPr>
        <w:pStyle w:val="a"/>
        <w:rPr>
          <w:rFonts w:eastAsiaTheme="minorEastAsia" w:cstheme="minorBidi"/>
          <w:sz w:val="22"/>
          <w:szCs w:val="22"/>
          <w:rtl/>
        </w:rPr>
      </w:pPr>
      <w:r>
        <w:rPr>
          <w:rtl/>
        </w:rPr>
        <w:t>תירוץ היד יהודה דלרש"י אף שהיה חי בשעת שחיטה מהני שחיטת אמו להתירו ביצא מת</w:t>
      </w:r>
    </w:p>
    <w:p w14:paraId="7E79F8BD" w14:textId="77777777" w:rsidR="003D504D" w:rsidRDefault="003D504D" w:rsidP="005077A7">
      <w:pPr>
        <w:pStyle w:val="a"/>
        <w:rPr>
          <w:rFonts w:eastAsiaTheme="minorEastAsia" w:cstheme="minorBidi"/>
          <w:sz w:val="22"/>
          <w:szCs w:val="22"/>
          <w:rtl/>
        </w:rPr>
      </w:pPr>
      <w:r>
        <w:rPr>
          <w:rtl/>
        </w:rPr>
        <w:t>ביאור היד יהודה ברש"י דבנולד חי נעשה בהמה ומתחייב בשחיטה אף שכבר הותר בשחיטת אמו</w:t>
      </w:r>
    </w:p>
    <w:p w14:paraId="2848714F" w14:textId="77777777" w:rsidR="003D504D" w:rsidRDefault="003D504D" w:rsidP="005077A7">
      <w:pPr>
        <w:pStyle w:val="a"/>
        <w:rPr>
          <w:rFonts w:eastAsiaTheme="minorEastAsia" w:cstheme="minorBidi"/>
          <w:sz w:val="22"/>
          <w:szCs w:val="22"/>
          <w:rtl/>
        </w:rPr>
      </w:pPr>
      <w:r>
        <w:rPr>
          <w:rtl/>
        </w:rPr>
        <w:t>דברי היד יהודה דאף אם הניח את העובר במעיה כדי שימות מהני שחיטת אמו להתירו</w:t>
      </w:r>
    </w:p>
    <w:p w14:paraId="7E2FA6E8" w14:textId="77777777" w:rsidR="003D504D" w:rsidRDefault="003D504D" w:rsidP="003D504D">
      <w:pPr>
        <w:pStyle w:val="2"/>
        <w:rPr>
          <w:rFonts w:eastAsiaTheme="minorEastAsia" w:cstheme="minorBidi"/>
          <w:i/>
          <w:iCs/>
          <w:noProof/>
          <w:sz w:val="22"/>
          <w:szCs w:val="22"/>
          <w:rtl/>
        </w:rPr>
      </w:pPr>
      <w:bookmarkStart w:id="21264" w:name="_Toc19436219"/>
      <w:r>
        <w:rPr>
          <w:noProof/>
          <w:rtl/>
        </w:rPr>
        <w:t>בטומאת נבילה בבן ט' חי לר"מ</w:t>
      </w:r>
      <w:bookmarkEnd w:id="21264"/>
    </w:p>
    <w:p w14:paraId="05230FDD" w14:textId="77777777" w:rsidR="003D504D" w:rsidRDefault="003D504D" w:rsidP="003D504D">
      <w:pPr>
        <w:pStyle w:val="aff4"/>
        <w:rPr>
          <w:rFonts w:eastAsiaTheme="minorEastAsia" w:cstheme="minorBidi"/>
          <w:i/>
          <w:iCs/>
          <w:noProof/>
          <w:sz w:val="22"/>
          <w:szCs w:val="22"/>
          <w:rtl/>
        </w:rPr>
      </w:pPr>
      <w:bookmarkStart w:id="21265" w:name="_Toc19436220"/>
      <w:bookmarkStart w:id="21266" w:name="_Toc20081382"/>
      <w:r>
        <w:rPr>
          <w:noProof/>
          <w:rtl/>
        </w:rPr>
        <w:t>פלוגתת הבעה"מ והרמב"ן אי לר"מ הבן ט' חי טהור מנבילה</w:t>
      </w:r>
      <w:bookmarkEnd w:id="21265"/>
      <w:bookmarkEnd w:id="21266"/>
    </w:p>
    <w:p w14:paraId="2D24553F" w14:textId="77777777" w:rsidR="003D504D" w:rsidRDefault="003D504D" w:rsidP="005077A7">
      <w:pPr>
        <w:pStyle w:val="a"/>
        <w:rPr>
          <w:rFonts w:eastAsiaTheme="minorEastAsia" w:cstheme="minorBidi"/>
          <w:sz w:val="22"/>
          <w:szCs w:val="22"/>
          <w:rtl/>
        </w:rPr>
      </w:pPr>
      <w:r>
        <w:rPr>
          <w:rtl/>
        </w:rPr>
        <w:t>דעת הבעה"מ ורבינו גרשום דלר"מ שחיטת האם מהני לבן ט' חי לטהרו מידי נבילה</w:t>
      </w:r>
    </w:p>
    <w:p w14:paraId="65E7220F" w14:textId="77777777" w:rsidR="003D504D" w:rsidRDefault="003D504D" w:rsidP="005077A7">
      <w:pPr>
        <w:pStyle w:val="a"/>
        <w:rPr>
          <w:rFonts w:eastAsiaTheme="minorEastAsia" w:cstheme="minorBidi"/>
          <w:sz w:val="22"/>
          <w:szCs w:val="22"/>
          <w:rtl/>
        </w:rPr>
      </w:pPr>
      <w:r>
        <w:rPr>
          <w:rtl/>
        </w:rPr>
        <w:t>דעת הרמב"ן דלר"מ לא מהני שחיטת האם לבן ט' כלל כיון שיש לו חיות בפנ"ע ומטמא בנבילה</w:t>
      </w:r>
    </w:p>
    <w:p w14:paraId="6F1280EC" w14:textId="77777777" w:rsidR="003D504D" w:rsidRDefault="003D504D" w:rsidP="003D504D">
      <w:pPr>
        <w:pStyle w:val="2"/>
        <w:rPr>
          <w:rFonts w:eastAsiaTheme="minorEastAsia" w:cstheme="minorBidi"/>
          <w:i/>
          <w:iCs/>
          <w:noProof/>
          <w:sz w:val="22"/>
          <w:szCs w:val="22"/>
          <w:rtl/>
        </w:rPr>
      </w:pPr>
      <w:bookmarkStart w:id="21267" w:name="_Toc19436221"/>
      <w:r>
        <w:rPr>
          <w:noProof/>
          <w:rtl/>
        </w:rPr>
        <w:t>בחילוק בין היתר החֵלֶב והגיד לאיסור הדם</w:t>
      </w:r>
      <w:bookmarkEnd w:id="21267"/>
    </w:p>
    <w:p w14:paraId="33E8D805" w14:textId="77777777" w:rsidR="003D504D" w:rsidRDefault="003D504D" w:rsidP="003D504D">
      <w:pPr>
        <w:pStyle w:val="aff4"/>
        <w:rPr>
          <w:rFonts w:eastAsiaTheme="minorEastAsia" w:cstheme="minorBidi"/>
          <w:i/>
          <w:iCs/>
          <w:noProof/>
          <w:sz w:val="22"/>
          <w:szCs w:val="22"/>
          <w:rtl/>
        </w:rPr>
      </w:pPr>
      <w:bookmarkStart w:id="21268" w:name="_Toc19436222"/>
      <w:bookmarkStart w:id="21269" w:name="_Toc20081383"/>
      <w:r>
        <w:rPr>
          <w:noProof/>
          <w:rtl/>
        </w:rPr>
        <w:t>דברי רבינו גרשום דחלבו מותר דאינו כבהמה</w:t>
      </w:r>
      <w:bookmarkEnd w:id="21268"/>
      <w:bookmarkEnd w:id="21269"/>
    </w:p>
    <w:p w14:paraId="06B3FC14" w14:textId="77777777" w:rsidR="003D504D" w:rsidRDefault="003D504D" w:rsidP="005077A7">
      <w:pPr>
        <w:pStyle w:val="a"/>
        <w:rPr>
          <w:rFonts w:eastAsiaTheme="minorEastAsia" w:cstheme="minorBidi"/>
          <w:sz w:val="22"/>
          <w:szCs w:val="22"/>
          <w:rtl/>
        </w:rPr>
      </w:pPr>
      <w:r>
        <w:rPr>
          <w:rtl/>
        </w:rPr>
        <w:t>דברי רבינו גרשום דבן פקועה אינו חשיב כבהמה ולכן חלבו מותר</w:t>
      </w:r>
    </w:p>
    <w:p w14:paraId="41DA50F3" w14:textId="77777777" w:rsidR="003D504D" w:rsidRDefault="003D504D" w:rsidP="003D504D">
      <w:pPr>
        <w:pStyle w:val="aff4"/>
        <w:rPr>
          <w:rFonts w:eastAsiaTheme="minorEastAsia" w:cstheme="minorBidi"/>
          <w:i/>
          <w:iCs/>
          <w:noProof/>
          <w:sz w:val="22"/>
          <w:szCs w:val="22"/>
          <w:rtl/>
        </w:rPr>
      </w:pPr>
      <w:bookmarkStart w:id="21270" w:name="_Toc19436223"/>
      <w:bookmarkStart w:id="21271" w:name="_Toc20081384"/>
      <w:r>
        <w:rPr>
          <w:noProof/>
          <w:rtl/>
        </w:rPr>
        <w:t>בדברי רש"י דילפינן מאשם להתיר חלב ודמו אסור כדם אברים</w:t>
      </w:r>
      <w:bookmarkEnd w:id="21270"/>
      <w:bookmarkEnd w:id="21271"/>
    </w:p>
    <w:p w14:paraId="6F605144" w14:textId="77777777" w:rsidR="003D504D" w:rsidRDefault="003D504D" w:rsidP="005077A7">
      <w:pPr>
        <w:pStyle w:val="a"/>
        <w:rPr>
          <w:rFonts w:eastAsiaTheme="minorEastAsia" w:cstheme="minorBidi"/>
          <w:sz w:val="22"/>
          <w:szCs w:val="22"/>
          <w:rtl/>
        </w:rPr>
      </w:pPr>
      <w:r>
        <w:rPr>
          <w:rtl/>
        </w:rPr>
        <w:t>דברי רש"י דבבן ח' החלב מותר מהילפותא מאשם והדם אסור דלא גרע מדם האברים של הבהמה</w:t>
      </w:r>
    </w:p>
    <w:p w14:paraId="5D1A997C" w14:textId="77777777" w:rsidR="003D504D" w:rsidRDefault="003D504D" w:rsidP="005077A7">
      <w:pPr>
        <w:pStyle w:val="a"/>
        <w:rPr>
          <w:rFonts w:eastAsiaTheme="minorEastAsia" w:cstheme="minorBidi"/>
          <w:sz w:val="22"/>
          <w:szCs w:val="22"/>
          <w:rtl/>
        </w:rPr>
      </w:pPr>
      <w:r>
        <w:rPr>
          <w:rtl/>
        </w:rPr>
        <w:t>קושית המהדו"ב והראש יוסף דכיון דבן ח' מותר לר"מ ממילא חלבו בכלל ההיתר</w:t>
      </w:r>
    </w:p>
    <w:p w14:paraId="607F0695" w14:textId="77777777" w:rsidR="003D504D" w:rsidRDefault="003D504D" w:rsidP="005077A7">
      <w:pPr>
        <w:pStyle w:val="a"/>
        <w:rPr>
          <w:rFonts w:eastAsiaTheme="minorEastAsia" w:cstheme="minorBidi"/>
          <w:sz w:val="22"/>
          <w:szCs w:val="22"/>
          <w:rtl/>
        </w:rPr>
      </w:pPr>
      <w:r>
        <w:rPr>
          <w:rtl/>
        </w:rPr>
        <w:t>ביאור הראש יוסף ברש"י דלר"מ בכל בבהמה אין היתר לחלב ולדם והיתר החלב הוא מאשם</w:t>
      </w:r>
    </w:p>
    <w:p w14:paraId="042C687C" w14:textId="77777777" w:rsidR="003D504D" w:rsidRDefault="003D504D" w:rsidP="005077A7">
      <w:pPr>
        <w:pStyle w:val="a"/>
        <w:rPr>
          <w:rFonts w:eastAsiaTheme="minorEastAsia" w:cstheme="minorBidi"/>
          <w:sz w:val="22"/>
          <w:szCs w:val="22"/>
          <w:rtl/>
        </w:rPr>
      </w:pPr>
      <w:r>
        <w:rPr>
          <w:rtl/>
        </w:rPr>
        <w:t>ביאור הראש יוסף דלרבנן החלב הוא בכלל היתר "בהמה בבהמה" אבל הדם אינו בכלל ההיתר</w:t>
      </w:r>
    </w:p>
    <w:p w14:paraId="36B1152B" w14:textId="77777777" w:rsidR="003D504D" w:rsidRDefault="003D504D" w:rsidP="005077A7">
      <w:pPr>
        <w:pStyle w:val="a"/>
        <w:rPr>
          <w:rFonts w:eastAsiaTheme="minorEastAsia" w:cstheme="minorBidi"/>
          <w:sz w:val="22"/>
          <w:szCs w:val="22"/>
          <w:rtl/>
        </w:rPr>
      </w:pPr>
      <w:r>
        <w:rPr>
          <w:rtl/>
        </w:rPr>
        <w:t>ביאור החת"ס ברש"י דאחר שהותר החלב מהילפותא באשם הוא בכלל היתר כל בבהמה ולא הדם</w:t>
      </w:r>
    </w:p>
    <w:p w14:paraId="4285EE55" w14:textId="77777777" w:rsidR="003D504D" w:rsidRDefault="003D504D" w:rsidP="003D504D">
      <w:pPr>
        <w:pStyle w:val="aff4"/>
        <w:rPr>
          <w:rFonts w:eastAsiaTheme="minorEastAsia" w:cstheme="minorBidi"/>
          <w:i/>
          <w:iCs/>
          <w:noProof/>
          <w:sz w:val="22"/>
          <w:szCs w:val="22"/>
          <w:rtl/>
        </w:rPr>
      </w:pPr>
      <w:bookmarkStart w:id="21272" w:name="_Toc19436224"/>
      <w:bookmarkStart w:id="21273" w:name="_Toc20081385"/>
      <w:r>
        <w:rPr>
          <w:noProof/>
          <w:rtl/>
        </w:rPr>
        <w:t>ביאור הראבי"ה דהיתר כל בבהמה מהני רק לדין שחיטה</w:t>
      </w:r>
      <w:bookmarkEnd w:id="21272"/>
      <w:bookmarkEnd w:id="21273"/>
    </w:p>
    <w:p w14:paraId="2715194F" w14:textId="77777777" w:rsidR="003D504D" w:rsidRDefault="003D504D" w:rsidP="005077A7">
      <w:pPr>
        <w:pStyle w:val="a"/>
        <w:rPr>
          <w:rFonts w:eastAsiaTheme="minorEastAsia" w:cstheme="minorBidi"/>
          <w:sz w:val="22"/>
          <w:szCs w:val="22"/>
          <w:rtl/>
        </w:rPr>
      </w:pPr>
      <w:r>
        <w:rPr>
          <w:rtl/>
        </w:rPr>
        <w:t>דברי הראבי"ה דהיתר כל בבהמה מתיר רק שחיטה והחלב מותר מאשם והגיד חשיב כבשר</w:t>
      </w:r>
    </w:p>
    <w:p w14:paraId="6F78AAC9" w14:textId="77777777" w:rsidR="003D504D" w:rsidRDefault="003D504D" w:rsidP="003D504D">
      <w:pPr>
        <w:pStyle w:val="aff4"/>
        <w:rPr>
          <w:rFonts w:eastAsiaTheme="minorEastAsia" w:cstheme="minorBidi"/>
          <w:i/>
          <w:iCs/>
          <w:noProof/>
          <w:sz w:val="22"/>
          <w:szCs w:val="22"/>
          <w:rtl/>
        </w:rPr>
      </w:pPr>
      <w:bookmarkStart w:id="21274" w:name="_Toc19436225"/>
      <w:bookmarkStart w:id="21275" w:name="_Toc20081386"/>
      <w:r>
        <w:rPr>
          <w:noProof/>
          <w:rtl/>
        </w:rPr>
        <w:t>בהיתר גיד הנשה בבן פקועה לדעת רש"י</w:t>
      </w:r>
      <w:bookmarkEnd w:id="21274"/>
      <w:bookmarkEnd w:id="21275"/>
    </w:p>
    <w:p w14:paraId="033CDEFA" w14:textId="77777777" w:rsidR="003D504D" w:rsidRDefault="003D504D" w:rsidP="005077A7">
      <w:pPr>
        <w:pStyle w:val="a"/>
        <w:rPr>
          <w:rFonts w:eastAsiaTheme="minorEastAsia" w:cstheme="minorBidi"/>
          <w:sz w:val="22"/>
          <w:szCs w:val="22"/>
          <w:rtl/>
        </w:rPr>
      </w:pPr>
      <w:r>
        <w:rPr>
          <w:rtl/>
        </w:rPr>
        <w:t>קושית הר"ן על רש"י דאי היתר החלב הוא מהילפותא מאשם אמאי הגיד מותר</w:t>
      </w:r>
    </w:p>
    <w:p w14:paraId="5142DD55" w14:textId="77777777" w:rsidR="003D504D" w:rsidRDefault="003D504D" w:rsidP="005077A7">
      <w:pPr>
        <w:pStyle w:val="a"/>
        <w:rPr>
          <w:rFonts w:eastAsiaTheme="minorEastAsia" w:cstheme="minorBidi"/>
          <w:sz w:val="22"/>
          <w:szCs w:val="22"/>
          <w:rtl/>
        </w:rPr>
      </w:pPr>
      <w:r>
        <w:rPr>
          <w:rtl/>
        </w:rPr>
        <w:t>ביאור האו"ז דהגיד  מותר דאינו כבהמה וביאור הראבי"ה דהגיד מותר דהוא כבשר</w:t>
      </w:r>
    </w:p>
    <w:p w14:paraId="0D31EEC9" w14:textId="77777777" w:rsidR="003D504D" w:rsidRDefault="003D504D" w:rsidP="003D504D">
      <w:pPr>
        <w:pStyle w:val="aff4"/>
        <w:rPr>
          <w:rFonts w:eastAsiaTheme="minorEastAsia" w:cstheme="minorBidi"/>
          <w:i/>
          <w:iCs/>
          <w:noProof/>
          <w:sz w:val="22"/>
          <w:szCs w:val="22"/>
          <w:rtl/>
        </w:rPr>
      </w:pPr>
      <w:bookmarkStart w:id="21276" w:name="_Toc19436226"/>
      <w:bookmarkStart w:id="21277" w:name="_Toc20081387"/>
      <w:r>
        <w:rPr>
          <w:noProof/>
          <w:rtl/>
        </w:rPr>
        <w:t>ביאור הר"ן והריטב"א דהדם אינו בכלל ההיתר דהוא משקה</w:t>
      </w:r>
      <w:bookmarkEnd w:id="21276"/>
      <w:bookmarkEnd w:id="21277"/>
    </w:p>
    <w:p w14:paraId="4FA24486" w14:textId="77777777" w:rsidR="003D504D" w:rsidRDefault="003D504D" w:rsidP="005077A7">
      <w:pPr>
        <w:pStyle w:val="a"/>
        <w:rPr>
          <w:rFonts w:eastAsiaTheme="minorEastAsia" w:cstheme="minorBidi"/>
          <w:sz w:val="22"/>
          <w:szCs w:val="22"/>
          <w:rtl/>
        </w:rPr>
      </w:pPr>
      <w:r>
        <w:rPr>
          <w:rtl/>
        </w:rPr>
        <w:t>ביאור הר"ן דהילפותא מאשם היא בחלב שנתלש אבל בבן פקועה החלב בכלל ההיתר שלו</w:t>
      </w:r>
    </w:p>
    <w:p w14:paraId="1F2BA8AA" w14:textId="77777777" w:rsidR="003D504D" w:rsidRDefault="003D504D" w:rsidP="005077A7">
      <w:pPr>
        <w:pStyle w:val="a"/>
        <w:rPr>
          <w:rFonts w:eastAsiaTheme="minorEastAsia" w:cstheme="minorBidi"/>
          <w:sz w:val="22"/>
          <w:szCs w:val="22"/>
          <w:rtl/>
        </w:rPr>
      </w:pPr>
      <w:r>
        <w:rPr>
          <w:rtl/>
        </w:rPr>
        <w:t>קושית הר"ן דאי החלב הוא בכלל ההיתר של הבן פקועה אמאי דמו אסור</w:t>
      </w:r>
    </w:p>
    <w:p w14:paraId="68F24F62" w14:textId="77777777" w:rsidR="003D504D" w:rsidRDefault="003D504D" w:rsidP="005077A7">
      <w:pPr>
        <w:pStyle w:val="a"/>
        <w:rPr>
          <w:rFonts w:eastAsiaTheme="minorEastAsia" w:cstheme="minorBidi"/>
          <w:sz w:val="22"/>
          <w:szCs w:val="22"/>
          <w:rtl/>
        </w:rPr>
      </w:pPr>
      <w:r>
        <w:rPr>
          <w:rtl/>
        </w:rPr>
        <w:t>ביאור הר"ן והריטב"א דהיתר הבן פקועה הוא בדבר שהוא אוכל ולא בדם שהוא משקה</w:t>
      </w:r>
    </w:p>
    <w:p w14:paraId="32DC4356" w14:textId="77777777" w:rsidR="003D504D" w:rsidRDefault="003D504D" w:rsidP="003D504D">
      <w:pPr>
        <w:pStyle w:val="aff4"/>
        <w:rPr>
          <w:rFonts w:eastAsiaTheme="minorEastAsia" w:cstheme="minorBidi"/>
          <w:i/>
          <w:iCs/>
          <w:noProof/>
          <w:sz w:val="22"/>
          <w:szCs w:val="22"/>
          <w:rtl/>
        </w:rPr>
      </w:pPr>
      <w:bookmarkStart w:id="21278" w:name="_Toc19436227"/>
      <w:bookmarkStart w:id="21279" w:name="_Toc20081388"/>
      <w:r w:rsidRPr="004818A3">
        <w:rPr>
          <w:noProof/>
          <w:rtl/>
        </w:rPr>
        <w:t>דברי הרא"ש דהיתר ב"פ מתיר את כל העובר והחלב בכלל</w:t>
      </w:r>
      <w:bookmarkEnd w:id="21278"/>
      <w:bookmarkEnd w:id="21279"/>
    </w:p>
    <w:p w14:paraId="471000D3" w14:textId="77777777" w:rsidR="003D504D" w:rsidRDefault="003D504D" w:rsidP="005077A7">
      <w:pPr>
        <w:pStyle w:val="a"/>
        <w:rPr>
          <w:rFonts w:eastAsiaTheme="minorEastAsia" w:cstheme="minorBidi"/>
          <w:sz w:val="22"/>
          <w:szCs w:val="22"/>
          <w:rtl/>
        </w:rPr>
      </w:pPr>
      <w:r>
        <w:rPr>
          <w:rtl/>
        </w:rPr>
        <w:t>קושית הרא"ש דהיאך מתירה שחיטת האם את חלב העובר יותר ממה שמתירה בעצמה</w:t>
      </w:r>
    </w:p>
    <w:p w14:paraId="4BFC7C89" w14:textId="77777777" w:rsidR="003D504D" w:rsidRDefault="003D504D" w:rsidP="005077A7">
      <w:pPr>
        <w:pStyle w:val="a"/>
        <w:rPr>
          <w:rFonts w:eastAsiaTheme="minorEastAsia" w:cstheme="minorBidi"/>
          <w:sz w:val="22"/>
          <w:szCs w:val="22"/>
          <w:rtl/>
        </w:rPr>
      </w:pPr>
      <w:r>
        <w:rPr>
          <w:rtl/>
        </w:rPr>
        <w:t>ביאור הרא"ש דהיתר בן פקועה הוא גזיה"כ דמתיר אף את כל העובר וחלבו בכלל ההיתר</w:t>
      </w:r>
    </w:p>
    <w:p w14:paraId="30428477" w14:textId="77777777" w:rsidR="003D504D" w:rsidRDefault="003D504D" w:rsidP="003D504D">
      <w:pPr>
        <w:pStyle w:val="aff4"/>
        <w:rPr>
          <w:rFonts w:eastAsiaTheme="minorEastAsia" w:cstheme="minorBidi"/>
          <w:i/>
          <w:iCs/>
          <w:noProof/>
          <w:sz w:val="22"/>
          <w:szCs w:val="22"/>
          <w:rtl/>
        </w:rPr>
      </w:pPr>
      <w:bookmarkStart w:id="21280" w:name="_Toc19436228"/>
      <w:bookmarkStart w:id="21281" w:name="_Toc20081389"/>
      <w:r>
        <w:rPr>
          <w:noProof/>
          <w:rtl/>
        </w:rPr>
        <w:t>ביאור הרא"ש דההיתר ל"מ לדם דהוא נבלע בכל הגוף</w:t>
      </w:r>
      <w:bookmarkEnd w:id="21280"/>
      <w:bookmarkEnd w:id="21281"/>
    </w:p>
    <w:p w14:paraId="02E083E7" w14:textId="77777777" w:rsidR="003D504D" w:rsidRDefault="003D504D" w:rsidP="005077A7">
      <w:pPr>
        <w:pStyle w:val="a"/>
        <w:rPr>
          <w:rFonts w:eastAsiaTheme="minorEastAsia" w:cstheme="minorBidi"/>
          <w:sz w:val="22"/>
          <w:szCs w:val="22"/>
          <w:rtl/>
        </w:rPr>
      </w:pPr>
      <w:r>
        <w:rPr>
          <w:rtl/>
        </w:rPr>
        <w:t>דברי הרא"ש דהדם אסור כיון שנבלע בכל הגוף וחשיב כדם איברים של הבהמה</w:t>
      </w:r>
    </w:p>
    <w:p w14:paraId="7A30F102" w14:textId="77777777" w:rsidR="003D504D" w:rsidRDefault="003D504D" w:rsidP="005077A7">
      <w:pPr>
        <w:pStyle w:val="a"/>
        <w:rPr>
          <w:rFonts w:eastAsiaTheme="minorEastAsia" w:cstheme="minorBidi"/>
          <w:sz w:val="22"/>
          <w:szCs w:val="22"/>
          <w:rtl/>
        </w:rPr>
      </w:pPr>
      <w:r>
        <w:rPr>
          <w:rtl/>
        </w:rPr>
        <w:t>ביאור הט"ז ברא"ש דדם העובר מתערב בדם הבהמה ולכן אינו עדיף מדם הבהמה דאסור</w:t>
      </w:r>
    </w:p>
    <w:p w14:paraId="429ACD7E" w14:textId="77777777" w:rsidR="003D504D" w:rsidRDefault="003D504D" w:rsidP="005077A7">
      <w:pPr>
        <w:pStyle w:val="a"/>
        <w:rPr>
          <w:rFonts w:eastAsiaTheme="minorEastAsia" w:cstheme="minorBidi"/>
          <w:sz w:val="22"/>
          <w:szCs w:val="22"/>
          <w:rtl/>
        </w:rPr>
      </w:pPr>
      <w:r>
        <w:rPr>
          <w:rtl/>
        </w:rPr>
        <w:t>דברי האשכול דדמו מעורב בבהמה וחשיב כדמה אבל חלבו הוא בכלל ההיתר</w:t>
      </w:r>
    </w:p>
    <w:p w14:paraId="47CA3D9B" w14:textId="77777777" w:rsidR="003D504D" w:rsidRDefault="003D504D" w:rsidP="003D504D">
      <w:pPr>
        <w:pStyle w:val="aff4"/>
      </w:pPr>
      <w:bookmarkStart w:id="21282" w:name="_Toc19436229"/>
      <w:bookmarkStart w:id="21283" w:name="_Toc20081390"/>
      <w:r>
        <w:rPr>
          <w:rFonts w:hint="cs"/>
          <w:rtl/>
        </w:rPr>
        <w:t>ביאורי המהרש"ל והלבוש בהיתר חלב וגיד</w:t>
      </w:r>
      <w:bookmarkEnd w:id="21282"/>
      <w:bookmarkEnd w:id="21283"/>
    </w:p>
    <w:p w14:paraId="34AA2D30" w14:textId="77777777" w:rsidR="003D504D" w:rsidRDefault="003D504D" w:rsidP="005077A7">
      <w:pPr>
        <w:pStyle w:val="a"/>
        <w:rPr>
          <w:rtl/>
        </w:rPr>
      </w:pPr>
      <w:r>
        <w:rPr>
          <w:rFonts w:hint="cs"/>
          <w:rtl/>
        </w:rPr>
        <w:t>ביאור המהרש"ל והיד יהודה דהחלב מותר דאינו על הקרב אך דם אסור בכל מקום</w:t>
      </w:r>
    </w:p>
    <w:p w14:paraId="7F946805" w14:textId="77777777" w:rsidR="003D504D" w:rsidRPr="00CC09F6" w:rsidRDefault="003D504D" w:rsidP="005077A7">
      <w:pPr>
        <w:pStyle w:val="a"/>
        <w:rPr>
          <w:rtl/>
        </w:rPr>
      </w:pPr>
      <w:r>
        <w:rPr>
          <w:rFonts w:hint="cs"/>
          <w:rtl/>
        </w:rPr>
        <w:t>דברי הלח"מ דהחילוק בין איסור הדם להיתר החלב נלמד מקראי</w:t>
      </w:r>
    </w:p>
    <w:p w14:paraId="7B6782FF" w14:textId="77777777" w:rsidR="003D504D" w:rsidRDefault="003D504D" w:rsidP="005077A7">
      <w:pPr>
        <w:pStyle w:val="a"/>
        <w:rPr>
          <w:rFonts w:eastAsiaTheme="minorEastAsia" w:cstheme="minorBidi"/>
          <w:sz w:val="22"/>
          <w:szCs w:val="22"/>
          <w:rtl/>
        </w:rPr>
      </w:pPr>
      <w:r>
        <w:rPr>
          <w:rtl/>
        </w:rPr>
        <w:t>ביאור הלבוש דרק אחר שנולד חשיב כחלב שור ועז דאסור</w:t>
      </w:r>
    </w:p>
    <w:p w14:paraId="4D196227" w14:textId="77777777" w:rsidR="003D504D" w:rsidRDefault="003D504D" w:rsidP="003D504D">
      <w:pPr>
        <w:pStyle w:val="aff4"/>
        <w:rPr>
          <w:rFonts w:eastAsiaTheme="minorEastAsia" w:cstheme="minorBidi"/>
          <w:i/>
          <w:iCs/>
          <w:noProof/>
          <w:sz w:val="22"/>
          <w:szCs w:val="22"/>
          <w:rtl/>
        </w:rPr>
      </w:pPr>
      <w:bookmarkStart w:id="21284" w:name="_Toc19436230"/>
      <w:bookmarkStart w:id="21285" w:name="_Toc20081391"/>
      <w:r>
        <w:rPr>
          <w:rtl/>
        </w:rPr>
        <w:t>ביאור הנאו</w:t>
      </w:r>
      <w:r>
        <w:rPr>
          <w:rFonts w:hint="cs"/>
          <w:rtl/>
        </w:rPr>
        <w:t>"י</w:t>
      </w:r>
      <w:r>
        <w:rPr>
          <w:rtl/>
        </w:rPr>
        <w:t xml:space="preserve"> ברא"ש דהיתר בן פקועה </w:t>
      </w:r>
      <w:r>
        <w:rPr>
          <w:rFonts w:hint="cs"/>
          <w:rtl/>
        </w:rPr>
        <w:t xml:space="preserve">מתיר </w:t>
      </w:r>
      <w:r>
        <w:rPr>
          <w:rtl/>
        </w:rPr>
        <w:t>את האיסורים שבו</w:t>
      </w:r>
      <w:bookmarkEnd w:id="21284"/>
      <w:bookmarkEnd w:id="21285"/>
    </w:p>
    <w:p w14:paraId="61D75333" w14:textId="77777777" w:rsidR="003D504D" w:rsidRDefault="003D504D" w:rsidP="005077A7">
      <w:pPr>
        <w:pStyle w:val="a"/>
        <w:rPr>
          <w:rFonts w:eastAsiaTheme="minorEastAsia" w:cstheme="minorBidi"/>
          <w:sz w:val="22"/>
          <w:szCs w:val="22"/>
          <w:rtl/>
        </w:rPr>
      </w:pPr>
      <w:r>
        <w:rPr>
          <w:rtl/>
        </w:rPr>
        <w:t>דברי הנאות יעקב דלרא"ש יש גזיה"כ דהעובר מותר והותרו כל האיסורים שבו בשחיטת אמו</w:t>
      </w:r>
    </w:p>
    <w:p w14:paraId="1C9FADFC" w14:textId="77777777" w:rsidR="003D504D" w:rsidRDefault="003D504D" w:rsidP="003D504D">
      <w:pPr>
        <w:pStyle w:val="aff4"/>
        <w:rPr>
          <w:rFonts w:eastAsiaTheme="minorEastAsia" w:cstheme="minorBidi"/>
          <w:i/>
          <w:iCs/>
          <w:noProof/>
          <w:sz w:val="22"/>
          <w:szCs w:val="22"/>
          <w:rtl/>
        </w:rPr>
      </w:pPr>
      <w:bookmarkStart w:id="21286" w:name="_Toc19436231"/>
      <w:bookmarkStart w:id="21287" w:name="_Toc20081392"/>
      <w:r>
        <w:rPr>
          <w:noProof/>
          <w:rtl/>
        </w:rPr>
        <w:t>ביאור הנאות יעקב ברש"י דאין לבן פקועה דין בהמה</w:t>
      </w:r>
      <w:bookmarkEnd w:id="21286"/>
      <w:bookmarkEnd w:id="21287"/>
    </w:p>
    <w:p w14:paraId="34E269F3" w14:textId="77777777" w:rsidR="003D504D" w:rsidRDefault="003D504D" w:rsidP="005077A7">
      <w:pPr>
        <w:pStyle w:val="a"/>
        <w:rPr>
          <w:rFonts w:eastAsiaTheme="minorEastAsia" w:cstheme="minorBidi"/>
          <w:sz w:val="22"/>
          <w:szCs w:val="22"/>
          <w:rtl/>
        </w:rPr>
      </w:pPr>
      <w:r>
        <w:rPr>
          <w:rtl/>
        </w:rPr>
        <w:t>ביאור הנאות יעקב ברש"י דההיתר בבן פקועה מתיר את כל האיסורים שבו</w:t>
      </w:r>
    </w:p>
    <w:p w14:paraId="6D075B1A" w14:textId="77777777" w:rsidR="003D504D" w:rsidRDefault="003D504D" w:rsidP="005077A7">
      <w:pPr>
        <w:pStyle w:val="a"/>
        <w:rPr>
          <w:rFonts w:eastAsiaTheme="minorEastAsia" w:cstheme="minorBidi"/>
          <w:sz w:val="22"/>
          <w:szCs w:val="22"/>
          <w:rtl/>
        </w:rPr>
      </w:pPr>
      <w:r>
        <w:rPr>
          <w:rtl/>
        </w:rPr>
        <w:t>ביאור הנאות יעקב דס"ל לרש"י דההיתר הוא דאינו כבהמה וממילא אין בו איסורי בהמה</w:t>
      </w:r>
    </w:p>
    <w:p w14:paraId="4E3EEDC1" w14:textId="77777777" w:rsidR="003D504D" w:rsidRDefault="003D504D" w:rsidP="003D504D">
      <w:pPr>
        <w:pStyle w:val="2"/>
        <w:rPr>
          <w:rFonts w:eastAsiaTheme="minorEastAsia" w:cstheme="minorBidi"/>
          <w:i/>
          <w:iCs/>
          <w:noProof/>
          <w:sz w:val="22"/>
          <w:szCs w:val="22"/>
          <w:rtl/>
        </w:rPr>
      </w:pPr>
      <w:bookmarkStart w:id="21288" w:name="_Toc19436232"/>
      <w:r>
        <w:rPr>
          <w:noProof/>
          <w:rtl/>
        </w:rPr>
        <w:t>בענין הרובעו וחורש בו</w:t>
      </w:r>
      <w:bookmarkEnd w:id="21288"/>
    </w:p>
    <w:p w14:paraId="5F33E1F3" w14:textId="77777777" w:rsidR="003D504D" w:rsidRDefault="003D504D" w:rsidP="003D504D">
      <w:pPr>
        <w:pStyle w:val="aff4"/>
        <w:rPr>
          <w:rFonts w:eastAsiaTheme="minorEastAsia" w:cstheme="minorBidi"/>
          <w:i/>
          <w:iCs/>
          <w:noProof/>
          <w:sz w:val="22"/>
          <w:szCs w:val="22"/>
          <w:rtl/>
        </w:rPr>
      </w:pPr>
      <w:bookmarkStart w:id="21289" w:name="_Toc19436233"/>
      <w:bookmarkStart w:id="21290" w:name="_Toc20081393"/>
      <w:r>
        <w:rPr>
          <w:noProof/>
          <w:rtl/>
        </w:rPr>
        <w:t>ביאורי הראשונים באיסור רביעה וחרישה בבן פקועה</w:t>
      </w:r>
      <w:bookmarkEnd w:id="21289"/>
      <w:bookmarkEnd w:id="21290"/>
    </w:p>
    <w:p w14:paraId="64700323" w14:textId="77777777" w:rsidR="003D504D" w:rsidRDefault="003D504D" w:rsidP="005077A7">
      <w:pPr>
        <w:pStyle w:val="a"/>
        <w:rPr>
          <w:rFonts w:eastAsiaTheme="minorEastAsia" w:cstheme="minorBidi"/>
          <w:sz w:val="22"/>
          <w:szCs w:val="22"/>
          <w:rtl/>
        </w:rPr>
      </w:pPr>
      <w:r>
        <w:rPr>
          <w:rtl/>
        </w:rPr>
        <w:t>דברי רש"י דאף שאינו חשיב בהמה מ"מ הרובעו החורש בו בכלאים לוקה</w:t>
      </w:r>
    </w:p>
    <w:p w14:paraId="38354A14" w14:textId="77777777" w:rsidR="003D504D" w:rsidRDefault="003D504D" w:rsidP="005077A7">
      <w:pPr>
        <w:pStyle w:val="a"/>
        <w:rPr>
          <w:rFonts w:eastAsiaTheme="minorEastAsia" w:cstheme="minorBidi"/>
          <w:sz w:val="22"/>
          <w:szCs w:val="22"/>
          <w:rtl/>
        </w:rPr>
      </w:pPr>
      <w:r>
        <w:rPr>
          <w:rtl/>
        </w:rPr>
        <w:t>ביאור המאירי והרי"ד דלענין רביעה וחרישה הוא בהמה גמורה ואינו כאבר מאברי אמו</w:t>
      </w:r>
    </w:p>
    <w:p w14:paraId="6F67BE79" w14:textId="77777777" w:rsidR="003D504D" w:rsidRDefault="003D504D" w:rsidP="003D504D">
      <w:pPr>
        <w:pStyle w:val="aff4"/>
        <w:rPr>
          <w:rFonts w:eastAsiaTheme="minorEastAsia" w:cstheme="minorBidi"/>
          <w:i/>
          <w:iCs/>
          <w:noProof/>
          <w:sz w:val="22"/>
          <w:szCs w:val="22"/>
          <w:rtl/>
        </w:rPr>
      </w:pPr>
      <w:bookmarkStart w:id="21291" w:name="_Toc19436234"/>
      <w:bookmarkStart w:id="21292" w:name="_Toc20081394"/>
      <w:r>
        <w:rPr>
          <w:noProof/>
          <w:rtl/>
        </w:rPr>
        <w:t>דעת רבינו גרשום דאף בבן ט' לר"מ אינו בהמה לרביעה וחרישה</w:t>
      </w:r>
      <w:bookmarkEnd w:id="21291"/>
      <w:bookmarkEnd w:id="21292"/>
    </w:p>
    <w:p w14:paraId="7A0326A8" w14:textId="77777777" w:rsidR="003D504D" w:rsidRDefault="003D504D" w:rsidP="005077A7">
      <w:pPr>
        <w:pStyle w:val="a"/>
        <w:rPr>
          <w:rFonts w:eastAsiaTheme="minorEastAsia" w:cstheme="minorBidi"/>
          <w:sz w:val="22"/>
          <w:szCs w:val="22"/>
          <w:rtl/>
        </w:rPr>
      </w:pPr>
      <w:r>
        <w:rPr>
          <w:rtl/>
        </w:rPr>
        <w:t>דברי רבינו גרשום בהו"א בגמ' דלר"מ חשיב בהמה רק לשחיטה ולא לחלבו וגידו דהם מותרים</w:t>
      </w:r>
    </w:p>
    <w:p w14:paraId="65EF013A" w14:textId="77777777" w:rsidR="003D504D" w:rsidRDefault="003D504D" w:rsidP="005077A7">
      <w:pPr>
        <w:pStyle w:val="a"/>
        <w:rPr>
          <w:rFonts w:eastAsiaTheme="minorEastAsia" w:cstheme="minorBidi"/>
          <w:sz w:val="22"/>
          <w:szCs w:val="22"/>
          <w:rtl/>
        </w:rPr>
      </w:pPr>
      <w:r>
        <w:rPr>
          <w:rtl/>
        </w:rPr>
        <w:t>ביאור רבינו גרשום דלר"מ בן ט' חי מותר ברביעה ובחרישה בכלאים דאינו בהמה ואין לו שם שור</w:t>
      </w:r>
    </w:p>
    <w:p w14:paraId="1D0EF433" w14:textId="77777777" w:rsidR="003D504D" w:rsidRDefault="003D504D" w:rsidP="005077A7">
      <w:pPr>
        <w:pStyle w:val="a"/>
        <w:rPr>
          <w:rFonts w:eastAsiaTheme="minorEastAsia" w:cstheme="minorBidi"/>
          <w:sz w:val="22"/>
          <w:szCs w:val="22"/>
          <w:rtl/>
        </w:rPr>
      </w:pPr>
      <w:r>
        <w:rPr>
          <w:rtl/>
        </w:rPr>
        <w:t>קושית האבי עזרי על רבינו גרשום דהיאך אפש"ל דלר"מ בן ט' חי מותר ברביעה ובחרישה</w:t>
      </w:r>
    </w:p>
    <w:p w14:paraId="61BB121B" w14:textId="77777777" w:rsidR="003D504D" w:rsidRDefault="003D504D" w:rsidP="003D504D">
      <w:pPr>
        <w:pStyle w:val="aff4"/>
        <w:rPr>
          <w:rFonts w:eastAsiaTheme="minorEastAsia" w:cstheme="minorBidi"/>
          <w:i/>
          <w:iCs/>
          <w:noProof/>
          <w:sz w:val="22"/>
          <w:szCs w:val="22"/>
          <w:rtl/>
        </w:rPr>
      </w:pPr>
      <w:bookmarkStart w:id="21293" w:name="_Toc19436235"/>
      <w:bookmarkStart w:id="21294" w:name="_Toc20081395"/>
      <w:r>
        <w:rPr>
          <w:noProof/>
          <w:rtl/>
        </w:rPr>
        <w:t>ביאור התוס' בחילוק בין בן פקועה למפרכסת לענין רביעה</w:t>
      </w:r>
      <w:bookmarkEnd w:id="21293"/>
      <w:bookmarkEnd w:id="21294"/>
    </w:p>
    <w:p w14:paraId="60B27DE2" w14:textId="77777777" w:rsidR="003D504D" w:rsidRDefault="003D504D" w:rsidP="005077A7">
      <w:pPr>
        <w:pStyle w:val="a"/>
        <w:rPr>
          <w:rFonts w:eastAsiaTheme="minorEastAsia" w:cstheme="minorBidi"/>
          <w:sz w:val="22"/>
          <w:szCs w:val="22"/>
          <w:rtl/>
        </w:rPr>
      </w:pPr>
      <w:r>
        <w:rPr>
          <w:rtl/>
        </w:rPr>
        <w:t>דברי התוס' דאף דמפרכסת אסורה ברביעה הו"א דבן פקועה גרע ממפרכסת</w:t>
      </w:r>
    </w:p>
    <w:p w14:paraId="3A942C68" w14:textId="77777777" w:rsidR="003D504D" w:rsidRDefault="003D504D" w:rsidP="005077A7">
      <w:pPr>
        <w:pStyle w:val="a"/>
      </w:pPr>
      <w:r>
        <w:rPr>
          <w:rFonts w:hint="cs"/>
          <w:rtl/>
        </w:rPr>
        <w:t>ביאור הנאות יעקב דמפרכסת היא בהמה גמורה אבל בן פקועה הו"א דאף לרביעה אינו בהמה</w:t>
      </w:r>
    </w:p>
    <w:p w14:paraId="61785B6F" w14:textId="77777777" w:rsidR="003D504D" w:rsidRDefault="003D504D" w:rsidP="005077A7">
      <w:pPr>
        <w:pStyle w:val="a"/>
        <w:rPr>
          <w:rFonts w:eastAsiaTheme="minorEastAsia" w:cstheme="minorBidi"/>
          <w:sz w:val="22"/>
          <w:szCs w:val="22"/>
          <w:rtl/>
        </w:rPr>
      </w:pPr>
      <w:r>
        <w:rPr>
          <w:rtl/>
        </w:rPr>
        <w:t>הביאור הב' בתוס' דמפרכסת אסורה באכילה אבל בן פקועה דמותר באכילה הו"א דמותר ברביעה</w:t>
      </w:r>
    </w:p>
    <w:p w14:paraId="6158A05E" w14:textId="77777777" w:rsidR="003D504D" w:rsidRPr="00D452AD" w:rsidRDefault="003D504D" w:rsidP="005077A7">
      <w:pPr>
        <w:pStyle w:val="a"/>
        <w:rPr>
          <w:rFonts w:eastAsiaTheme="minorEastAsia" w:cstheme="minorBidi"/>
          <w:sz w:val="22"/>
          <w:szCs w:val="22"/>
        </w:rPr>
      </w:pPr>
      <w:r>
        <w:rPr>
          <w:rtl/>
        </w:rPr>
        <w:t>ביאור החזו"א דבן פקועה שמותר באכילה הו"א דאינו בכלל בהמה שאסרה תורה ברביעה</w:t>
      </w:r>
    </w:p>
    <w:p w14:paraId="200D1755" w14:textId="77777777" w:rsidR="003D504D" w:rsidRDefault="003D504D" w:rsidP="003D504D">
      <w:pPr>
        <w:pStyle w:val="2"/>
        <w:rPr>
          <w:rFonts w:eastAsiaTheme="minorEastAsia" w:cstheme="minorBidi"/>
          <w:i/>
          <w:iCs/>
          <w:noProof/>
          <w:sz w:val="22"/>
          <w:szCs w:val="22"/>
          <w:rtl/>
        </w:rPr>
      </w:pPr>
      <w:bookmarkStart w:id="21295" w:name="_Toc19436236"/>
      <w:r>
        <w:rPr>
          <w:noProof/>
          <w:rtl/>
        </w:rPr>
        <w:t>ביאורי ראשי הישיבות על הסוגיא</w:t>
      </w:r>
      <w:bookmarkEnd w:id="21295"/>
    </w:p>
    <w:p w14:paraId="3144E1E9" w14:textId="77777777" w:rsidR="003D504D" w:rsidRDefault="003D504D" w:rsidP="003D504D">
      <w:pPr>
        <w:pStyle w:val="2"/>
        <w:rPr>
          <w:rFonts w:eastAsiaTheme="minorEastAsia" w:cstheme="minorBidi"/>
          <w:i/>
          <w:iCs/>
          <w:noProof/>
          <w:sz w:val="22"/>
          <w:szCs w:val="22"/>
          <w:rtl/>
        </w:rPr>
      </w:pPr>
      <w:bookmarkStart w:id="21296" w:name="_Toc19436237"/>
      <w:r>
        <w:rPr>
          <w:noProof/>
          <w:rtl/>
        </w:rPr>
        <w:t>בגדר היתר בן פקועה וחלב לר"מ ולרבנן</w:t>
      </w:r>
      <w:bookmarkEnd w:id="21296"/>
    </w:p>
    <w:p w14:paraId="3A9B6CCE" w14:textId="77777777" w:rsidR="003D504D" w:rsidRDefault="003D504D" w:rsidP="003D504D">
      <w:pPr>
        <w:pStyle w:val="aff4"/>
        <w:rPr>
          <w:rFonts w:eastAsiaTheme="minorEastAsia" w:cstheme="minorBidi"/>
          <w:i/>
          <w:iCs/>
          <w:noProof/>
          <w:sz w:val="22"/>
          <w:szCs w:val="22"/>
          <w:rtl/>
        </w:rPr>
      </w:pPr>
      <w:bookmarkStart w:id="21297" w:name="_Toc19436238"/>
      <w:bookmarkStart w:id="21298" w:name="_Toc20081396"/>
      <w:r>
        <w:rPr>
          <w:noProof/>
          <w:rtl/>
        </w:rPr>
        <w:t>ביאור הזכר יצחק בפלוגתת ר"מ ורבנן</w:t>
      </w:r>
      <w:bookmarkEnd w:id="21297"/>
      <w:bookmarkEnd w:id="21298"/>
    </w:p>
    <w:p w14:paraId="77A9E769" w14:textId="77777777" w:rsidR="003D504D" w:rsidRDefault="003D504D" w:rsidP="005077A7">
      <w:pPr>
        <w:pStyle w:val="a"/>
        <w:rPr>
          <w:rFonts w:eastAsiaTheme="minorEastAsia" w:cstheme="minorBidi"/>
          <w:sz w:val="22"/>
          <w:szCs w:val="22"/>
          <w:rtl/>
        </w:rPr>
      </w:pPr>
      <w:r>
        <w:rPr>
          <w:rtl/>
        </w:rPr>
        <w:t>קושית הזכר יצחק דבתו"כ מבואר דהיתר בן ח' יותר מחודש מהיתר בן ט' חי ודלא כר"מ</w:t>
      </w:r>
    </w:p>
    <w:p w14:paraId="4C1F9969" w14:textId="77777777" w:rsidR="003D504D" w:rsidRDefault="003D504D" w:rsidP="005077A7">
      <w:pPr>
        <w:pStyle w:val="a"/>
        <w:rPr>
          <w:rFonts w:eastAsiaTheme="minorEastAsia" w:cstheme="minorBidi"/>
          <w:sz w:val="22"/>
          <w:szCs w:val="22"/>
          <w:rtl/>
        </w:rPr>
      </w:pPr>
      <w:r>
        <w:rPr>
          <w:rtl/>
        </w:rPr>
        <w:t>ביאור הזכר יצחק דלרבנן גדר ההיתר דחשיב כשחוט ולכן הו"א דרק בבן ט' מותר דשייך בו שחיטה</w:t>
      </w:r>
    </w:p>
    <w:p w14:paraId="734D2B21" w14:textId="77777777" w:rsidR="003D504D" w:rsidRDefault="003D504D" w:rsidP="005077A7">
      <w:pPr>
        <w:pStyle w:val="a"/>
        <w:rPr>
          <w:rFonts w:eastAsiaTheme="minorEastAsia" w:cstheme="minorBidi"/>
          <w:sz w:val="22"/>
          <w:szCs w:val="22"/>
        </w:rPr>
      </w:pPr>
      <w:r>
        <w:rPr>
          <w:rtl/>
        </w:rPr>
        <w:t>ביאור הזכר יצחק בדעת ר"מ דגדר ההיתר דכל מה שבבהמה מותר ולכן ההיתר הוא רק בבן ח'</w:t>
      </w:r>
    </w:p>
    <w:p w14:paraId="727C96F5" w14:textId="77777777" w:rsidR="003D504D" w:rsidRDefault="003D504D" w:rsidP="003D504D">
      <w:pPr>
        <w:pStyle w:val="2"/>
        <w:rPr>
          <w:rFonts w:eastAsiaTheme="minorEastAsia" w:cstheme="minorBidi"/>
          <w:i/>
          <w:iCs/>
          <w:noProof/>
          <w:sz w:val="22"/>
          <w:szCs w:val="22"/>
          <w:rtl/>
        </w:rPr>
      </w:pPr>
      <w:bookmarkStart w:id="21299" w:name="_Toc19436239"/>
      <w:r>
        <w:rPr>
          <w:noProof/>
          <w:rtl/>
        </w:rPr>
        <w:t>בגדר ההיתר בהיה חי בשחיטה ויצא מת</w:t>
      </w:r>
      <w:bookmarkEnd w:id="21299"/>
    </w:p>
    <w:p w14:paraId="30B82C84" w14:textId="77777777" w:rsidR="003D504D" w:rsidRDefault="003D504D" w:rsidP="003D504D">
      <w:pPr>
        <w:pStyle w:val="aff4"/>
        <w:rPr>
          <w:rFonts w:eastAsiaTheme="minorEastAsia" w:cstheme="minorBidi"/>
          <w:i/>
          <w:iCs/>
          <w:noProof/>
          <w:sz w:val="22"/>
          <w:szCs w:val="22"/>
          <w:rtl/>
        </w:rPr>
      </w:pPr>
      <w:bookmarkStart w:id="21300" w:name="_Toc19436240"/>
      <w:bookmarkStart w:id="21301" w:name="_Toc20081397"/>
      <w:r>
        <w:rPr>
          <w:noProof/>
          <w:rtl/>
        </w:rPr>
        <w:t>דברי הקוה"ע דאף שלא הותר בשחיטה חל שם שחוט אח"כ</w:t>
      </w:r>
      <w:bookmarkEnd w:id="21300"/>
      <w:bookmarkEnd w:id="21301"/>
    </w:p>
    <w:p w14:paraId="24909301" w14:textId="77777777" w:rsidR="003D504D" w:rsidRDefault="003D504D" w:rsidP="005077A7">
      <w:pPr>
        <w:pStyle w:val="a"/>
        <w:rPr>
          <w:rFonts w:eastAsiaTheme="minorEastAsia" w:cstheme="minorBidi"/>
          <w:sz w:val="22"/>
          <w:szCs w:val="22"/>
          <w:rtl/>
        </w:rPr>
      </w:pPr>
      <w:r>
        <w:rPr>
          <w:rtl/>
        </w:rPr>
        <w:t>קושית הקוה"ע על הרמב"ן בשם תוס' דבן ט' חי לא הותר בשחיטה ואיך הותר אח"כ כשיצא מת</w:t>
      </w:r>
    </w:p>
    <w:p w14:paraId="5964590A" w14:textId="77777777" w:rsidR="003D504D" w:rsidRDefault="003D504D" w:rsidP="005077A7">
      <w:pPr>
        <w:pStyle w:val="a"/>
        <w:rPr>
          <w:rFonts w:eastAsiaTheme="minorEastAsia" w:cstheme="minorBidi"/>
          <w:sz w:val="22"/>
          <w:szCs w:val="22"/>
          <w:rtl/>
        </w:rPr>
      </w:pPr>
      <w:r>
        <w:rPr>
          <w:rtl/>
        </w:rPr>
        <w:t>חקירת הקוה"ע אי היתר שחיטה הוא רק בשעת השחיטה ואינה יכולה להאסר אח"כ בנבילה</w:t>
      </w:r>
    </w:p>
    <w:p w14:paraId="79B8C000" w14:textId="77777777" w:rsidR="003D504D" w:rsidRDefault="003D504D" w:rsidP="005077A7">
      <w:pPr>
        <w:pStyle w:val="a"/>
        <w:rPr>
          <w:rFonts w:eastAsiaTheme="minorEastAsia" w:cstheme="minorBidi"/>
          <w:sz w:val="22"/>
          <w:szCs w:val="22"/>
          <w:rtl/>
        </w:rPr>
      </w:pPr>
      <w:r>
        <w:rPr>
          <w:rtl/>
        </w:rPr>
        <w:t>חקירת הקוע"ה אי היתר שחיטה הוא ממשיך בכל שעה דיש לה שם שחוטה שלא תאסר בנבילה</w:t>
      </w:r>
    </w:p>
    <w:p w14:paraId="3FAACB5E" w14:textId="77777777" w:rsidR="003D504D" w:rsidRDefault="003D504D" w:rsidP="005077A7">
      <w:pPr>
        <w:pStyle w:val="a"/>
        <w:rPr>
          <w:rFonts w:eastAsiaTheme="minorEastAsia" w:cstheme="minorBidi"/>
          <w:sz w:val="22"/>
          <w:szCs w:val="22"/>
          <w:rtl/>
        </w:rPr>
      </w:pPr>
      <w:r>
        <w:rPr>
          <w:rtl/>
        </w:rPr>
        <w:t>ביאור הקוה"ע ברמב"ן בשם תוס' דאף שלא הותר בשחיטה מ"מ כשיצא מת יש לו שם שחוט</w:t>
      </w:r>
    </w:p>
    <w:p w14:paraId="1648A94C" w14:textId="77777777" w:rsidR="003D504D" w:rsidRDefault="003D504D" w:rsidP="003D504D">
      <w:pPr>
        <w:pStyle w:val="2"/>
        <w:rPr>
          <w:rFonts w:eastAsiaTheme="minorEastAsia" w:cstheme="minorBidi"/>
          <w:i/>
          <w:iCs/>
          <w:noProof/>
          <w:sz w:val="22"/>
          <w:szCs w:val="22"/>
          <w:rtl/>
        </w:rPr>
      </w:pPr>
      <w:bookmarkStart w:id="21302" w:name="_Toc19436241"/>
      <w:r>
        <w:rPr>
          <w:noProof/>
          <w:rtl/>
        </w:rPr>
        <w:t>בחילוק בין היתר החֵלֶב והגיד לאיסור הדם</w:t>
      </w:r>
      <w:bookmarkEnd w:id="21302"/>
    </w:p>
    <w:p w14:paraId="7C937B68" w14:textId="77777777" w:rsidR="003D504D" w:rsidRDefault="003D504D" w:rsidP="003D504D">
      <w:pPr>
        <w:pStyle w:val="aff4"/>
        <w:rPr>
          <w:rFonts w:eastAsiaTheme="minorEastAsia" w:cstheme="minorBidi"/>
          <w:i/>
          <w:iCs/>
          <w:noProof/>
          <w:sz w:val="22"/>
          <w:szCs w:val="22"/>
          <w:rtl/>
        </w:rPr>
      </w:pPr>
      <w:bookmarkStart w:id="21303" w:name="_Toc19436242"/>
      <w:bookmarkStart w:id="21304" w:name="_Toc20081398"/>
      <w:r>
        <w:rPr>
          <w:noProof/>
          <w:rtl/>
        </w:rPr>
        <w:t>ביאור הקה"י בדברי הרא"ש</w:t>
      </w:r>
      <w:bookmarkEnd w:id="21303"/>
      <w:bookmarkEnd w:id="21304"/>
    </w:p>
    <w:p w14:paraId="40F24AD4" w14:textId="77777777" w:rsidR="003D504D" w:rsidRDefault="003D504D" w:rsidP="005077A7">
      <w:pPr>
        <w:pStyle w:val="a"/>
        <w:rPr>
          <w:rFonts w:eastAsiaTheme="minorEastAsia" w:cstheme="minorBidi"/>
          <w:sz w:val="22"/>
          <w:szCs w:val="22"/>
          <w:rtl/>
        </w:rPr>
      </w:pPr>
      <w:r>
        <w:rPr>
          <w:rtl/>
        </w:rPr>
        <w:t>ביאור הקה"י ברא"ש דכיון שאינו בפנ"ע אין חלבו כחלב הקרב ואין גידו על כף הירך</w:t>
      </w:r>
    </w:p>
    <w:p w14:paraId="2A2D7F35" w14:textId="77777777" w:rsidR="003D504D" w:rsidRDefault="003D504D" w:rsidP="005077A7">
      <w:pPr>
        <w:pStyle w:val="a"/>
        <w:rPr>
          <w:rFonts w:eastAsiaTheme="minorEastAsia" w:cstheme="minorBidi"/>
          <w:sz w:val="22"/>
          <w:szCs w:val="22"/>
          <w:rtl/>
        </w:rPr>
      </w:pPr>
      <w:r>
        <w:rPr>
          <w:rtl/>
        </w:rPr>
        <w:t>ביאור הקה"י ברא"ש דאף דהעובר כאבר של אמו מ"מ דמו אסור דאיסורו בכל מקום</w:t>
      </w:r>
    </w:p>
    <w:p w14:paraId="2E75E614" w14:textId="77777777" w:rsidR="003D504D" w:rsidRDefault="003D504D" w:rsidP="005077A7">
      <w:pPr>
        <w:pStyle w:val="a"/>
        <w:rPr>
          <w:rFonts w:eastAsiaTheme="minorEastAsia" w:cstheme="minorBidi"/>
          <w:sz w:val="22"/>
          <w:szCs w:val="22"/>
          <w:rtl/>
        </w:rPr>
      </w:pPr>
      <w:r>
        <w:rPr>
          <w:rtl/>
        </w:rPr>
        <w:t>ביאור הקה"י בלשון הרא"ש דהדם נבלע בכל הגוף דאין איסורו במקום מסוים</w:t>
      </w:r>
    </w:p>
    <w:p w14:paraId="7C084E3A" w14:textId="77777777" w:rsidR="003D504D" w:rsidRDefault="003D504D" w:rsidP="005077A7">
      <w:pPr>
        <w:pStyle w:val="a"/>
        <w:rPr>
          <w:rFonts w:eastAsiaTheme="minorEastAsia" w:cstheme="minorBidi"/>
          <w:sz w:val="22"/>
          <w:szCs w:val="22"/>
          <w:rtl/>
        </w:rPr>
      </w:pPr>
      <w:r>
        <w:rPr>
          <w:rtl/>
        </w:rPr>
        <w:t>מסקנת הקה"י דכוונת הרא"ש לומר דדם העובר נכנס לגוף אמו ונאסר כשהיה בגוף אמו</w:t>
      </w:r>
    </w:p>
    <w:p w14:paraId="65ADF36A" w14:textId="77777777" w:rsidR="003D504D" w:rsidRDefault="003D504D" w:rsidP="003D504D">
      <w:pPr>
        <w:pStyle w:val="aff4"/>
        <w:rPr>
          <w:rFonts w:eastAsiaTheme="minorEastAsia" w:cstheme="minorBidi"/>
          <w:i/>
          <w:iCs/>
          <w:noProof/>
          <w:sz w:val="22"/>
          <w:szCs w:val="22"/>
          <w:rtl/>
        </w:rPr>
      </w:pPr>
      <w:bookmarkStart w:id="21305" w:name="_Toc19436243"/>
      <w:bookmarkStart w:id="21306" w:name="_Toc20081399"/>
      <w:r>
        <w:rPr>
          <w:noProof/>
          <w:rtl/>
        </w:rPr>
        <w:t>ביאור הקה"י דהעובר כאבר מאמו וכשאר אבריה שהם שחוטים</w:t>
      </w:r>
      <w:bookmarkEnd w:id="21305"/>
      <w:bookmarkEnd w:id="21306"/>
    </w:p>
    <w:p w14:paraId="5D601C85" w14:textId="77777777" w:rsidR="003D504D" w:rsidRDefault="003D504D" w:rsidP="005077A7">
      <w:pPr>
        <w:pStyle w:val="a"/>
        <w:rPr>
          <w:rFonts w:eastAsiaTheme="minorEastAsia" w:cstheme="minorBidi"/>
          <w:sz w:val="22"/>
          <w:szCs w:val="22"/>
          <w:rtl/>
        </w:rPr>
      </w:pPr>
      <w:r>
        <w:rPr>
          <w:rtl/>
        </w:rPr>
        <w:t>חקירת האתוון דאורייתא בגדר היתר בן פקועה</w:t>
      </w:r>
    </w:p>
    <w:p w14:paraId="4B33138D" w14:textId="77777777" w:rsidR="003D504D" w:rsidRDefault="003D504D" w:rsidP="005077A7">
      <w:pPr>
        <w:pStyle w:val="a"/>
        <w:rPr>
          <w:rFonts w:eastAsiaTheme="minorEastAsia" w:cstheme="minorBidi"/>
          <w:sz w:val="22"/>
          <w:szCs w:val="22"/>
          <w:rtl/>
        </w:rPr>
      </w:pPr>
      <w:r>
        <w:rPr>
          <w:rtl/>
        </w:rPr>
        <w:t>דברי הקה"י דמהיתר חלב וגיד מוכח דשחיטת האם מתירה בולד אף איסורים שאין בהם שחיטה</w:t>
      </w:r>
    </w:p>
    <w:p w14:paraId="0181DE05" w14:textId="77777777" w:rsidR="003D504D" w:rsidRDefault="003D504D" w:rsidP="005077A7">
      <w:pPr>
        <w:pStyle w:val="a"/>
        <w:rPr>
          <w:rFonts w:eastAsiaTheme="minorEastAsia" w:cstheme="minorBidi"/>
          <w:sz w:val="22"/>
          <w:szCs w:val="22"/>
          <w:rtl/>
        </w:rPr>
      </w:pPr>
      <w:r>
        <w:rPr>
          <w:rtl/>
        </w:rPr>
        <w:t>קושית הקה"י דמבואר דיש בעובר ב' דינים גם שהוא שחוט וגם דין היתר ומהיכן ילפינן ב' דינים</w:t>
      </w:r>
    </w:p>
    <w:p w14:paraId="6E2F1877" w14:textId="77777777" w:rsidR="003D504D" w:rsidRDefault="003D504D" w:rsidP="005077A7">
      <w:pPr>
        <w:pStyle w:val="a"/>
        <w:rPr>
          <w:rFonts w:eastAsiaTheme="minorEastAsia" w:cstheme="minorBidi"/>
          <w:sz w:val="22"/>
          <w:szCs w:val="22"/>
          <w:rtl/>
        </w:rPr>
      </w:pPr>
      <w:r>
        <w:rPr>
          <w:rtl/>
        </w:rPr>
        <w:t>ביאור הקה"י דהוא דין אחד שההיתר הוא דדינו כאבר מאברי אמו שכל אבריה דינם כשחוטים</w:t>
      </w:r>
    </w:p>
    <w:p w14:paraId="1FCA8558" w14:textId="77777777" w:rsidR="003D504D" w:rsidRDefault="003D504D" w:rsidP="005077A7">
      <w:pPr>
        <w:pStyle w:val="a"/>
        <w:rPr>
          <w:rFonts w:eastAsiaTheme="minorEastAsia" w:cstheme="minorBidi"/>
          <w:sz w:val="22"/>
          <w:szCs w:val="22"/>
          <w:rtl/>
        </w:rPr>
      </w:pPr>
      <w:r>
        <w:rPr>
          <w:rtl/>
        </w:rPr>
        <w:t>דברי הקה"י דכיון שהעובר כאבר שחוט של אמו לא שייך בו איסור חלב וגיד שאינם במקום האסור</w:t>
      </w:r>
    </w:p>
    <w:p w14:paraId="376A4694" w14:textId="77777777" w:rsidR="003D504D" w:rsidRDefault="003D504D" w:rsidP="003D504D">
      <w:pPr>
        <w:pStyle w:val="aff4"/>
        <w:rPr>
          <w:rFonts w:eastAsiaTheme="minorEastAsia" w:cstheme="minorBidi"/>
          <w:i/>
          <w:iCs/>
          <w:noProof/>
          <w:sz w:val="22"/>
          <w:szCs w:val="22"/>
          <w:rtl/>
        </w:rPr>
      </w:pPr>
      <w:bookmarkStart w:id="21307" w:name="_Toc19436244"/>
      <w:bookmarkStart w:id="21308" w:name="_Toc20081400"/>
      <w:r>
        <w:rPr>
          <w:noProof/>
          <w:rtl/>
        </w:rPr>
        <w:t>ביאור האבי עזרי בדברי רש"י והר"ן והרא"ש באיסור דמו</w:t>
      </w:r>
      <w:bookmarkEnd w:id="21307"/>
      <w:bookmarkEnd w:id="21308"/>
    </w:p>
    <w:p w14:paraId="03226BCB" w14:textId="77777777" w:rsidR="003D504D" w:rsidRDefault="003D504D" w:rsidP="005077A7">
      <w:pPr>
        <w:pStyle w:val="a"/>
        <w:rPr>
          <w:rFonts w:eastAsiaTheme="minorEastAsia" w:cstheme="minorBidi"/>
          <w:sz w:val="22"/>
          <w:szCs w:val="22"/>
          <w:rtl/>
        </w:rPr>
      </w:pPr>
      <w:r>
        <w:rPr>
          <w:rtl/>
        </w:rPr>
        <w:t>ביאור האבי עזרי ברש"י דהחלב אינו כחלב שעל הקרב אבל דם הבהמה כולו אסור</w:t>
      </w:r>
    </w:p>
    <w:p w14:paraId="5A8DFDEC" w14:textId="77777777" w:rsidR="003D504D" w:rsidRDefault="003D504D" w:rsidP="005077A7">
      <w:pPr>
        <w:pStyle w:val="a"/>
        <w:rPr>
          <w:rtl/>
        </w:rPr>
      </w:pPr>
      <w:r>
        <w:rPr>
          <w:rtl/>
        </w:rPr>
        <w:t>ביאור האבי עזרי בר"ן וברא"ש דמעיקר הדין היתר בן פקועה מהני להתיר אף את דמו</w:t>
      </w:r>
    </w:p>
    <w:p w14:paraId="145322E7" w14:textId="77777777" w:rsidR="003D504D" w:rsidRDefault="003D504D" w:rsidP="003D504D">
      <w:pPr>
        <w:pStyle w:val="aff4"/>
        <w:rPr>
          <w:rtl/>
        </w:rPr>
      </w:pPr>
      <w:bookmarkStart w:id="21309" w:name="_Toc19436245"/>
      <w:bookmarkStart w:id="21310" w:name="_Toc20081401"/>
      <w:r>
        <w:rPr>
          <w:rFonts w:hint="cs"/>
          <w:rtl/>
        </w:rPr>
        <w:t>ביאור האבי עזר דדמו כדם אמו ולא שייך בו היתר "כל בבהמה"</w:t>
      </w:r>
      <w:bookmarkEnd w:id="21309"/>
      <w:bookmarkEnd w:id="21310"/>
    </w:p>
    <w:p w14:paraId="546EAC11" w14:textId="77777777" w:rsidR="003D504D" w:rsidRDefault="003D504D" w:rsidP="005077A7">
      <w:pPr>
        <w:pStyle w:val="a"/>
        <w:rPr>
          <w:rtl/>
        </w:rPr>
      </w:pPr>
      <w:r>
        <w:rPr>
          <w:rFonts w:hint="cs"/>
          <w:rtl/>
        </w:rPr>
        <w:t>דברי האבי עזרי דחלבו חשיב כחלב של אמו וילפינן מאשם דחייב רק על החלב שלה עצמה</w:t>
      </w:r>
    </w:p>
    <w:p w14:paraId="34CBF233" w14:textId="77777777" w:rsidR="003D504D" w:rsidRPr="008D1863" w:rsidRDefault="003D504D" w:rsidP="005077A7">
      <w:pPr>
        <w:pStyle w:val="a"/>
      </w:pPr>
      <w:r w:rsidRPr="00B62A19">
        <w:rPr>
          <w:rtl/>
        </w:rPr>
        <w:t>דברי האבי עזרי דדמו חשיב כדם אמו ואין ילפותא להתירו וממילא לא שייך בו היתר כל בבהמה</w:t>
      </w:r>
    </w:p>
    <w:p w14:paraId="0F176932" w14:textId="77777777" w:rsidR="003D504D" w:rsidRDefault="003D504D" w:rsidP="003D504D">
      <w:pPr>
        <w:pStyle w:val="2"/>
        <w:rPr>
          <w:rFonts w:eastAsiaTheme="minorEastAsia" w:cstheme="minorBidi"/>
          <w:i/>
          <w:iCs/>
          <w:noProof/>
          <w:sz w:val="22"/>
          <w:szCs w:val="22"/>
          <w:rtl/>
        </w:rPr>
      </w:pPr>
      <w:bookmarkStart w:id="21311" w:name="_Toc19436246"/>
      <w:r>
        <w:rPr>
          <w:noProof/>
          <w:rtl/>
        </w:rPr>
        <w:t>בענין הרובעו וחורש בו</w:t>
      </w:r>
      <w:bookmarkEnd w:id="21311"/>
    </w:p>
    <w:p w14:paraId="102B4E67" w14:textId="77777777" w:rsidR="003D504D" w:rsidRDefault="003D504D" w:rsidP="003D504D">
      <w:pPr>
        <w:pStyle w:val="aff4"/>
        <w:rPr>
          <w:rFonts w:eastAsiaTheme="minorEastAsia" w:cstheme="minorBidi"/>
          <w:i/>
          <w:iCs/>
          <w:noProof/>
          <w:sz w:val="22"/>
          <w:szCs w:val="22"/>
          <w:rtl/>
        </w:rPr>
      </w:pPr>
      <w:bookmarkStart w:id="21312" w:name="_Toc19436247"/>
      <w:bookmarkStart w:id="21313" w:name="_Toc20081402"/>
      <w:r>
        <w:rPr>
          <w:noProof/>
          <w:rtl/>
        </w:rPr>
        <w:t>ביאור האבי עזרי בהשמטת הרמב"ם ובישוב קושית התוס'</w:t>
      </w:r>
      <w:bookmarkEnd w:id="21312"/>
      <w:bookmarkEnd w:id="21313"/>
    </w:p>
    <w:p w14:paraId="686B7179" w14:textId="77777777" w:rsidR="003D504D" w:rsidRDefault="003D504D" w:rsidP="005077A7">
      <w:pPr>
        <w:pStyle w:val="a"/>
        <w:rPr>
          <w:rFonts w:eastAsiaTheme="minorEastAsia" w:cstheme="minorBidi"/>
          <w:sz w:val="22"/>
          <w:szCs w:val="22"/>
          <w:rtl/>
        </w:rPr>
      </w:pPr>
      <w:r>
        <w:rPr>
          <w:rtl/>
        </w:rPr>
        <w:t>קושית האבי עזרי דבמבואר דאיסור רביעה וחרישה בבן פקועה הוא חידוש ואמאי השמיטו הרמב"ם</w:t>
      </w:r>
    </w:p>
    <w:p w14:paraId="7CED27AA" w14:textId="77777777" w:rsidR="003D504D" w:rsidRDefault="003D504D" w:rsidP="005077A7">
      <w:pPr>
        <w:pStyle w:val="a"/>
        <w:rPr>
          <w:rFonts w:eastAsiaTheme="minorEastAsia" w:cstheme="minorBidi"/>
          <w:sz w:val="22"/>
          <w:szCs w:val="22"/>
          <w:rtl/>
        </w:rPr>
      </w:pPr>
      <w:r>
        <w:rPr>
          <w:rtl/>
        </w:rPr>
        <w:t>ביאור האבי עזרי דהחידוש הוא רק לר"ל דאינו בהמה ולהלכה קיי"ל דהוא בהמה ויש בו היתר</w:t>
      </w:r>
    </w:p>
    <w:p w14:paraId="31179680" w14:textId="77777777" w:rsidR="003D504D" w:rsidRDefault="003D504D" w:rsidP="005077A7">
      <w:pPr>
        <w:pStyle w:val="a"/>
        <w:rPr>
          <w:rFonts w:eastAsiaTheme="minorEastAsia" w:cstheme="minorBidi"/>
          <w:sz w:val="22"/>
          <w:szCs w:val="22"/>
          <w:rtl/>
        </w:rPr>
        <w:sectPr w:rsidR="003D504D" w:rsidSect="007C6A7B">
          <w:type w:val="continuous"/>
          <w:pgSz w:w="11906" w:h="16838"/>
          <w:pgMar w:top="720" w:right="720" w:bottom="720" w:left="720" w:header="283" w:footer="283" w:gutter="0"/>
          <w:cols w:num="2" w:space="113"/>
          <w:bidi/>
          <w:rtlGutter/>
          <w:docGrid w:linePitch="299"/>
        </w:sectPr>
      </w:pPr>
      <w:r>
        <w:rPr>
          <w:rtl/>
        </w:rPr>
        <w:t>ישוב האבי עזרי על קושית התוס' דההו"א היא דאינו בהמה ולא דמי למפרכסת דהיא שחוטה</w:t>
      </w:r>
    </w:p>
    <w:p w14:paraId="70F57C25" w14:textId="77777777" w:rsidR="003D504D" w:rsidRDefault="003D504D" w:rsidP="003D504D">
      <w:pPr>
        <w:pStyle w:val="aff4"/>
        <w:rPr>
          <w:rtl/>
        </w:rPr>
        <w:sectPr w:rsidR="003D504D" w:rsidSect="007C6A7B">
          <w:type w:val="continuous"/>
          <w:pgSz w:w="11906" w:h="16838"/>
          <w:pgMar w:top="720" w:right="720" w:bottom="720" w:left="720" w:header="283" w:footer="283" w:gutter="0"/>
          <w:cols w:num="2" w:space="113"/>
          <w:bidi/>
          <w:rtlGutter/>
          <w:docGrid w:linePitch="299"/>
        </w:sectPr>
      </w:pPr>
      <w:r>
        <w:rPr>
          <w:rtl/>
        </w:rPr>
        <w:fldChar w:fldCharType="end"/>
      </w:r>
    </w:p>
    <w:p w14:paraId="14A89ADE" w14:textId="77777777" w:rsidR="003D504D" w:rsidRPr="002A56BB" w:rsidRDefault="003D504D" w:rsidP="003D504D">
      <w:pPr>
        <w:pStyle w:val="afe"/>
        <w:rPr>
          <w:rtl/>
        </w:rPr>
      </w:pPr>
      <w:bookmarkStart w:id="21314" w:name="_Toc2164455"/>
      <w:bookmarkStart w:id="21315" w:name="_Toc2187218"/>
      <w:bookmarkStart w:id="21316" w:name="_Toc2198146"/>
      <w:bookmarkStart w:id="21317" w:name="_Toc19436248"/>
      <w:bookmarkStart w:id="21318" w:name="_Toc20081403"/>
      <w:r w:rsidRPr="002A56BB">
        <w:rPr>
          <w:rFonts w:hint="cs"/>
          <w:rtl/>
        </w:rPr>
        <w:t>מראי מקומות וביאורים על הסוגיא</w:t>
      </w:r>
      <w:bookmarkEnd w:id="21314"/>
      <w:bookmarkEnd w:id="21315"/>
      <w:bookmarkEnd w:id="21316"/>
      <w:bookmarkEnd w:id="21317"/>
      <w:bookmarkEnd w:id="21318"/>
    </w:p>
    <w:p w14:paraId="234A0134" w14:textId="77777777" w:rsidR="003D504D" w:rsidRPr="002A56BB" w:rsidRDefault="003D504D" w:rsidP="003D504D">
      <w:pPr>
        <w:pStyle w:val="2"/>
        <w:keepNext w:val="0"/>
        <w:keepLines w:val="0"/>
        <w:bidi w:val="0"/>
        <w:rPr>
          <w:rFonts w:asciiTheme="minorHAnsi" w:hAnsiTheme="minorHAnsi"/>
          <w:bCs/>
          <w:sz w:val="18"/>
          <w:szCs w:val="28"/>
          <w:rtl/>
        </w:rPr>
        <w:sectPr w:rsidR="003D504D" w:rsidRPr="002A56BB" w:rsidSect="003D504D">
          <w:pgSz w:w="11906" w:h="16838"/>
          <w:pgMar w:top="720" w:right="720" w:bottom="720" w:left="720" w:header="283" w:footer="283" w:gutter="0"/>
          <w:cols w:space="720"/>
          <w:bidi/>
          <w:rtlGutter/>
          <w:docGrid w:linePitch="299"/>
        </w:sectPr>
      </w:pPr>
    </w:p>
    <w:p w14:paraId="691CF776" w14:textId="77777777" w:rsidR="003D504D" w:rsidRPr="002A56BB" w:rsidRDefault="003D504D" w:rsidP="003D504D">
      <w:pPr>
        <w:pStyle w:val="afe"/>
        <w:rPr>
          <w:rtl/>
        </w:rPr>
      </w:pPr>
      <w:bookmarkStart w:id="21319" w:name="_Toc2164456"/>
      <w:bookmarkStart w:id="21320" w:name="_Toc2187219"/>
      <w:bookmarkStart w:id="21321" w:name="_Toc2198147"/>
      <w:bookmarkStart w:id="21322" w:name="_Toc19436249"/>
      <w:bookmarkStart w:id="21323" w:name="_Toc20081404"/>
      <w:r>
        <w:rPr>
          <w:rFonts w:hint="cs"/>
          <w:rtl/>
        </w:rPr>
        <w:t>בחילוק לר"מ בין בן ט' מת לבן ט' חי</w:t>
      </w:r>
      <w:bookmarkEnd w:id="21319"/>
      <w:bookmarkEnd w:id="21320"/>
      <w:bookmarkEnd w:id="21321"/>
      <w:bookmarkEnd w:id="21322"/>
      <w:bookmarkEnd w:id="21323"/>
      <w:r>
        <w:rPr>
          <w:rFonts w:hint="cs"/>
          <w:rtl/>
        </w:rPr>
        <w:t xml:space="preserve"> </w:t>
      </w:r>
    </w:p>
    <w:p w14:paraId="174E6653" w14:textId="77777777" w:rsidR="003D504D" w:rsidRPr="002A56BB" w:rsidRDefault="003D504D" w:rsidP="00BF39B2">
      <w:pPr>
        <w:pStyle w:val="1"/>
        <w:rPr>
          <w:rtl/>
        </w:rPr>
      </w:pPr>
      <w:bookmarkStart w:id="21324" w:name="_Toc1592210"/>
      <w:bookmarkStart w:id="21325" w:name="_Toc1668741"/>
      <w:bookmarkStart w:id="21326" w:name="_Toc1716631"/>
      <w:bookmarkStart w:id="21327" w:name="_Toc1725776"/>
      <w:bookmarkStart w:id="21328" w:name="_Toc1728154"/>
      <w:bookmarkStart w:id="21329" w:name="_Toc1938694"/>
      <w:bookmarkStart w:id="21330" w:name="_Toc1938787"/>
      <w:bookmarkStart w:id="21331" w:name="_Toc2078465"/>
      <w:bookmarkStart w:id="21332" w:name="_Toc2164457"/>
      <w:bookmarkStart w:id="21333" w:name="_Toc2187220"/>
      <w:bookmarkStart w:id="21334" w:name="_Toc2198148"/>
      <w:bookmarkStart w:id="21335" w:name="_Toc19391651"/>
      <w:bookmarkStart w:id="21336" w:name="_Toc19395148"/>
      <w:r w:rsidRPr="002A56BB">
        <w:rPr>
          <w:rFonts w:hint="cs"/>
          <w:rtl/>
        </w:rPr>
        <w:t>דברי רש"</w:t>
      </w:r>
      <w:bookmarkEnd w:id="21324"/>
      <w:bookmarkEnd w:id="21325"/>
      <w:bookmarkEnd w:id="21326"/>
      <w:bookmarkEnd w:id="21327"/>
      <w:bookmarkEnd w:id="21328"/>
      <w:bookmarkEnd w:id="21329"/>
      <w:bookmarkEnd w:id="21330"/>
      <w:bookmarkEnd w:id="21331"/>
      <w:r>
        <w:rPr>
          <w:rFonts w:hint="cs"/>
          <w:rtl/>
        </w:rPr>
        <w:t>י בהיתר בן ח' חי ומת ובפלוגתת ר"מ ורבנן בבן ט' חי</w:t>
      </w:r>
      <w:bookmarkEnd w:id="21332"/>
      <w:bookmarkEnd w:id="21333"/>
      <w:bookmarkEnd w:id="21334"/>
      <w:bookmarkEnd w:id="21335"/>
      <w:bookmarkEnd w:id="21336"/>
    </w:p>
    <w:p w14:paraId="35B84CAE" w14:textId="77777777" w:rsidR="003D504D" w:rsidRPr="002A56BB" w:rsidRDefault="003D504D" w:rsidP="003D504D">
      <w:pPr>
        <w:pStyle w:val="a3"/>
        <w:rPr>
          <w:rtl/>
        </w:rPr>
      </w:pPr>
      <w:bookmarkStart w:id="21337" w:name="_Toc1725777"/>
      <w:bookmarkStart w:id="21338" w:name="_Toc1728155"/>
      <w:bookmarkStart w:id="21339" w:name="_Toc1938695"/>
      <w:bookmarkStart w:id="21340" w:name="_Toc1938788"/>
      <w:bookmarkStart w:id="21341" w:name="_Toc2078466"/>
      <w:bookmarkStart w:id="21342" w:name="_Toc2164458"/>
      <w:bookmarkStart w:id="21343" w:name="_Toc2187221"/>
      <w:bookmarkStart w:id="21344" w:name="_Toc2198149"/>
      <w:bookmarkStart w:id="21345" w:name="_Toc19391652"/>
      <w:bookmarkStart w:id="21346" w:name="_Toc19395149"/>
      <w:r w:rsidRPr="002A56BB">
        <w:rPr>
          <w:rFonts w:hint="cs"/>
          <w:rtl/>
        </w:rPr>
        <w:t>דברי רש"י דלר"מ בבן ח' חי או מת ובן ט' מת א"צ שחיטה דאין להם חדשים ואוירא ואינם בהמה</w:t>
      </w:r>
      <w:bookmarkEnd w:id="21337"/>
      <w:bookmarkEnd w:id="21338"/>
      <w:bookmarkEnd w:id="21339"/>
      <w:bookmarkEnd w:id="21340"/>
      <w:bookmarkEnd w:id="21341"/>
      <w:bookmarkEnd w:id="21342"/>
      <w:bookmarkEnd w:id="21343"/>
      <w:bookmarkEnd w:id="21344"/>
      <w:bookmarkEnd w:id="21345"/>
      <w:bookmarkEnd w:id="21346"/>
      <w:r w:rsidRPr="002A56BB">
        <w:rPr>
          <w:rFonts w:hint="cs"/>
          <w:rtl/>
        </w:rPr>
        <w:t xml:space="preserve"> </w:t>
      </w:r>
    </w:p>
    <w:p w14:paraId="7A627078" w14:textId="77777777" w:rsidR="003D504D" w:rsidRPr="002A56BB" w:rsidRDefault="003D504D" w:rsidP="00E12979">
      <w:pPr>
        <w:pStyle w:val="a0"/>
        <w:numPr>
          <w:ilvl w:val="0"/>
          <w:numId w:val="42"/>
        </w:numPr>
        <w:rPr>
          <w:rtl/>
        </w:rPr>
      </w:pPr>
      <w:bookmarkStart w:id="21347" w:name="_Ref1642588"/>
      <w:bookmarkStart w:id="21348" w:name="_Ref1642508"/>
      <w:r w:rsidRPr="002A56BB">
        <w:rPr>
          <w:rFonts w:hint="cs"/>
          <w:rtl/>
        </w:rPr>
        <w:t xml:space="preserve">כתב </w:t>
      </w:r>
      <w:r w:rsidRPr="002A56BB">
        <w:rPr>
          <w:rStyle w:val="af9"/>
          <w:rFonts w:hint="cs"/>
          <w:rtl/>
        </w:rPr>
        <w:t>רש"י</w:t>
      </w:r>
      <w:r w:rsidRPr="002A56BB">
        <w:rPr>
          <w:rFonts w:hint="cs"/>
          <w:rtl/>
        </w:rPr>
        <w:t xml:space="preserve"> </w:t>
      </w:r>
      <w:r w:rsidRPr="00223668">
        <w:rPr>
          <w:rStyle w:val="af7"/>
          <w:rFonts w:eastAsia="Guttman Hodes" w:hint="cs"/>
          <w:rtl/>
        </w:rPr>
        <w:t>(ד"ה קורעו)</w:t>
      </w:r>
      <w:r w:rsidRPr="002A56BB">
        <w:rPr>
          <w:rFonts w:hint="cs"/>
          <w:rtl/>
        </w:rPr>
        <w:t xml:space="preserve"> דבבן חי חי או מת ובבן ט' מת, מודה ר"מ דהם בכלל היתר "כל בבהמה תאכלו", ומותרים בשחיטת האם וא"צ שחיטה, כיון שאין להם לא חדשים ולא יצאו לאויר העולם, ולכן לא חשיבי כבהמה.</w:t>
      </w:r>
      <w:bookmarkEnd w:id="21347"/>
      <w:r w:rsidRPr="002A56BB">
        <w:rPr>
          <w:rFonts w:hint="cs"/>
          <w:rtl/>
        </w:rPr>
        <w:t xml:space="preserve"> </w:t>
      </w:r>
      <w:bookmarkEnd w:id="21348"/>
    </w:p>
    <w:p w14:paraId="2D81B3D1" w14:textId="77777777" w:rsidR="003D504D" w:rsidRPr="002A56BB" w:rsidRDefault="003D504D" w:rsidP="003D504D">
      <w:pPr>
        <w:pStyle w:val="a3"/>
        <w:rPr>
          <w:rtl/>
        </w:rPr>
      </w:pPr>
      <w:bookmarkStart w:id="21349" w:name="_Toc1725778"/>
      <w:bookmarkStart w:id="21350" w:name="_Toc1728156"/>
      <w:bookmarkStart w:id="21351" w:name="_Toc1938696"/>
      <w:bookmarkStart w:id="21352" w:name="_Toc1938789"/>
      <w:bookmarkStart w:id="21353" w:name="_Toc2078467"/>
      <w:bookmarkStart w:id="21354" w:name="_Toc2164459"/>
      <w:bookmarkStart w:id="21355" w:name="_Toc2187222"/>
      <w:bookmarkStart w:id="21356" w:name="_Toc2198150"/>
      <w:bookmarkStart w:id="21357" w:name="_Toc19391653"/>
      <w:bookmarkStart w:id="21358" w:name="_Toc19395150"/>
      <w:r w:rsidRPr="002A56BB">
        <w:rPr>
          <w:rFonts w:hint="cs"/>
          <w:rtl/>
        </w:rPr>
        <w:t>דברי רש"י דלר"מ בן ט' חי חדשים גרמי להחשיבו כבהמה ואינו מותר בשחיטת אמו</w:t>
      </w:r>
      <w:bookmarkEnd w:id="21349"/>
      <w:bookmarkEnd w:id="21350"/>
      <w:bookmarkEnd w:id="21351"/>
      <w:bookmarkEnd w:id="21352"/>
      <w:bookmarkEnd w:id="21353"/>
      <w:bookmarkEnd w:id="21354"/>
      <w:bookmarkEnd w:id="21355"/>
      <w:bookmarkEnd w:id="21356"/>
      <w:bookmarkEnd w:id="21357"/>
      <w:bookmarkEnd w:id="21358"/>
    </w:p>
    <w:p w14:paraId="63DC1517" w14:textId="77777777" w:rsidR="003D504D" w:rsidRDefault="003D504D" w:rsidP="00223668">
      <w:pPr>
        <w:pStyle w:val="a0"/>
        <w:rPr>
          <w:rtl/>
        </w:rPr>
      </w:pPr>
      <w:bookmarkStart w:id="21359" w:name="_Ref1555747"/>
      <w:r w:rsidRPr="002A56BB">
        <w:rPr>
          <w:rFonts w:hint="cs"/>
          <w:rtl/>
        </w:rPr>
        <w:t xml:space="preserve">אבל בבן ט' חי כתב </w:t>
      </w:r>
      <w:r w:rsidRPr="002A56BB">
        <w:rPr>
          <w:rStyle w:val="af9"/>
          <w:rFonts w:hint="cs"/>
          <w:rtl/>
        </w:rPr>
        <w:t>רש"י</w:t>
      </w:r>
      <w:r w:rsidRPr="002A56BB">
        <w:rPr>
          <w:rFonts w:hint="cs"/>
          <w:rtl/>
        </w:rPr>
        <w:t xml:space="preserve"> </w:t>
      </w:r>
      <w:r w:rsidRPr="002A56BB">
        <w:rPr>
          <w:rStyle w:val="af7"/>
          <w:rFonts w:eastAsia="Guttman Hodes" w:hint="cs"/>
          <w:rtl/>
        </w:rPr>
        <w:t>(ד"ה טעון שחיטה)</w:t>
      </w:r>
      <w:r w:rsidRPr="002A56BB">
        <w:rPr>
          <w:rFonts w:hint="cs"/>
          <w:rtl/>
        </w:rPr>
        <w:t xml:space="preserve"> דס"ל לר"מ דכיון דכלו לו חדשיו, החדשים גרמי להחשיבו כבהמה בפנ"ע, ואינו בכלל היתר "כל בבהמה תאכלו"</w:t>
      </w:r>
      <w:bookmarkEnd w:id="21359"/>
      <w:r>
        <w:rPr>
          <w:rFonts w:hint="cs"/>
          <w:rtl/>
        </w:rPr>
        <w:t xml:space="preserve">, ועי' במה שביארו </w:t>
      </w:r>
      <w:r w:rsidRPr="00FA43E7">
        <w:rPr>
          <w:rStyle w:val="af9"/>
          <w:rFonts w:hint="cs"/>
          <w:rtl/>
        </w:rPr>
        <w:t>הראשונים</w:t>
      </w:r>
      <w:r>
        <w:rPr>
          <w:rFonts w:hint="cs"/>
          <w:rtl/>
        </w:rPr>
        <w:t xml:space="preserve"> </w:t>
      </w:r>
      <w:r w:rsidRPr="00BF7D66">
        <w:rPr>
          <w:rStyle w:val="af7"/>
          <w:rFonts w:eastAsia="Guttman Hodes" w:hint="cs"/>
          <w:rtl/>
        </w:rPr>
        <w:t xml:space="preserve">(עי' אות </w:t>
      </w:r>
      <w:r w:rsidRPr="00BF7D66">
        <w:rPr>
          <w:rStyle w:val="af7"/>
          <w:rFonts w:eastAsia="Guttman Hodes"/>
          <w:rtl/>
        </w:rPr>
        <w:fldChar w:fldCharType="begin"/>
      </w:r>
      <w:r w:rsidRPr="00BF7D66">
        <w:rPr>
          <w:rStyle w:val="af7"/>
          <w:rFonts w:eastAsia="Guttman Hodes"/>
          <w:rtl/>
        </w:rPr>
        <w:instrText xml:space="preserve"> </w:instrText>
      </w:r>
      <w:r w:rsidRPr="00BF7D66">
        <w:rPr>
          <w:rStyle w:val="af7"/>
          <w:rFonts w:eastAsia="Guttman Hodes" w:hint="cs"/>
        </w:rPr>
        <w:instrText>REF</w:instrText>
      </w:r>
      <w:r w:rsidRPr="00BF7D66">
        <w:rPr>
          <w:rStyle w:val="af7"/>
          <w:rFonts w:eastAsia="Guttman Hodes" w:hint="cs"/>
          <w:rtl/>
        </w:rPr>
        <w:instrText xml:space="preserve"> _</w:instrText>
      </w:r>
      <w:r w:rsidRPr="00BF7D66">
        <w:rPr>
          <w:rStyle w:val="af7"/>
          <w:rFonts w:eastAsia="Guttman Hodes" w:hint="cs"/>
        </w:rPr>
        <w:instrText>Ref1723409 \r \h</w:instrText>
      </w:r>
      <w:r w:rsidRPr="00BF7D66">
        <w:rPr>
          <w:rStyle w:val="af7"/>
          <w:rFonts w:eastAsia="Guttman Hodes"/>
          <w:rtl/>
        </w:rPr>
        <w:instrText xml:space="preserve"> </w:instrText>
      </w:r>
      <w:r w:rsidRPr="00BF7D66">
        <w:rPr>
          <w:rStyle w:val="af7"/>
          <w:rFonts w:eastAsia="Guttman Hodes"/>
          <w:rtl/>
        </w:rPr>
      </w:r>
      <w:r w:rsidRPr="00BF7D66">
        <w:rPr>
          <w:rStyle w:val="af7"/>
          <w:rFonts w:eastAsia="Guttman Hodes"/>
          <w:rtl/>
        </w:rPr>
        <w:fldChar w:fldCharType="separate"/>
      </w:r>
      <w:r w:rsidR="00345400">
        <w:rPr>
          <w:rStyle w:val="af7"/>
          <w:rFonts w:eastAsia="Guttman Hodes"/>
          <w:cs/>
        </w:rPr>
        <w:t>‎</w:t>
      </w:r>
      <w:r w:rsidR="00345400">
        <w:rPr>
          <w:rStyle w:val="af7"/>
          <w:rFonts w:eastAsia="Guttman Hodes"/>
          <w:rtl/>
        </w:rPr>
        <w:t>יט)</w:t>
      </w:r>
      <w:r w:rsidRPr="00BF7D66">
        <w:rPr>
          <w:rStyle w:val="af7"/>
          <w:rFonts w:eastAsia="Guttman Hodes"/>
          <w:rtl/>
        </w:rPr>
        <w:fldChar w:fldCharType="end"/>
      </w:r>
      <w:r>
        <w:rPr>
          <w:rFonts w:hint="cs"/>
          <w:rtl/>
        </w:rPr>
        <w:t xml:space="preserve"> בדברי </w:t>
      </w:r>
      <w:r w:rsidRPr="00FA43E7">
        <w:rPr>
          <w:rStyle w:val="af9"/>
          <w:rFonts w:hint="cs"/>
          <w:rtl/>
        </w:rPr>
        <w:t>רש"י</w:t>
      </w:r>
      <w:r>
        <w:rPr>
          <w:rFonts w:hint="cs"/>
          <w:rtl/>
        </w:rPr>
        <w:t xml:space="preserve"> דחדשים לבד גרמי לר"מ, ובמה שהקשו </w:t>
      </w:r>
      <w:r w:rsidRPr="00FA43E7">
        <w:rPr>
          <w:rStyle w:val="af9"/>
          <w:rFonts w:hint="cs"/>
          <w:rtl/>
        </w:rPr>
        <w:t>האחרונים</w:t>
      </w:r>
      <w:r>
        <w:rPr>
          <w:rFonts w:hint="cs"/>
          <w:rtl/>
        </w:rPr>
        <w:t xml:space="preserve"> </w:t>
      </w:r>
      <w:r w:rsidRPr="00BF7D66">
        <w:rPr>
          <w:rStyle w:val="af7"/>
          <w:rFonts w:eastAsia="Guttman Hodes" w:hint="cs"/>
          <w:rtl/>
        </w:rPr>
        <w:t xml:space="preserve">(עי' אות </w:t>
      </w:r>
      <w:r w:rsidRPr="00BF7D66">
        <w:rPr>
          <w:rStyle w:val="af7"/>
          <w:rFonts w:eastAsia="Guttman Hodes"/>
          <w:rtl/>
        </w:rPr>
        <w:fldChar w:fldCharType="begin"/>
      </w:r>
      <w:r w:rsidRPr="00BF7D66">
        <w:rPr>
          <w:rStyle w:val="af7"/>
          <w:rFonts w:eastAsia="Guttman Hodes"/>
          <w:rtl/>
        </w:rPr>
        <w:instrText xml:space="preserve"> </w:instrText>
      </w:r>
      <w:r w:rsidRPr="00BF7D66">
        <w:rPr>
          <w:rStyle w:val="af7"/>
          <w:rFonts w:eastAsia="Guttman Hodes" w:hint="cs"/>
        </w:rPr>
        <w:instrText>REF</w:instrText>
      </w:r>
      <w:r w:rsidRPr="00BF7D66">
        <w:rPr>
          <w:rStyle w:val="af7"/>
          <w:rFonts w:eastAsia="Guttman Hodes" w:hint="cs"/>
          <w:rtl/>
        </w:rPr>
        <w:instrText xml:space="preserve"> _</w:instrText>
      </w:r>
      <w:r w:rsidRPr="00BF7D66">
        <w:rPr>
          <w:rStyle w:val="af7"/>
          <w:rFonts w:eastAsia="Guttman Hodes" w:hint="cs"/>
        </w:rPr>
        <w:instrText>Ref1723432 \r \h</w:instrText>
      </w:r>
      <w:r w:rsidRPr="00BF7D66">
        <w:rPr>
          <w:rStyle w:val="af7"/>
          <w:rFonts w:eastAsia="Guttman Hodes"/>
          <w:rtl/>
        </w:rPr>
        <w:instrText xml:space="preserve"> </w:instrText>
      </w:r>
      <w:r w:rsidRPr="00BF7D66">
        <w:rPr>
          <w:rStyle w:val="af7"/>
          <w:rFonts w:eastAsia="Guttman Hodes"/>
          <w:rtl/>
        </w:rPr>
      </w:r>
      <w:r w:rsidRPr="00BF7D66">
        <w:rPr>
          <w:rStyle w:val="af7"/>
          <w:rFonts w:eastAsia="Guttman Hodes"/>
          <w:rtl/>
        </w:rPr>
        <w:fldChar w:fldCharType="separate"/>
      </w:r>
      <w:r w:rsidR="00345400">
        <w:rPr>
          <w:rStyle w:val="af7"/>
          <w:rFonts w:eastAsia="Guttman Hodes"/>
          <w:cs/>
        </w:rPr>
        <w:t>‎</w:t>
      </w:r>
      <w:r w:rsidR="00345400">
        <w:rPr>
          <w:rStyle w:val="af7"/>
          <w:rFonts w:eastAsia="Guttman Hodes"/>
          <w:rtl/>
        </w:rPr>
        <w:t>כט)</w:t>
      </w:r>
      <w:r w:rsidRPr="00BF7D66">
        <w:rPr>
          <w:rStyle w:val="af7"/>
          <w:rFonts w:eastAsia="Guttman Hodes"/>
          <w:rtl/>
        </w:rPr>
        <w:fldChar w:fldCharType="end"/>
      </w:r>
      <w:r>
        <w:rPr>
          <w:rFonts w:hint="cs"/>
          <w:rtl/>
        </w:rPr>
        <w:t xml:space="preserve"> בסתירת דברי </w:t>
      </w:r>
      <w:r w:rsidRPr="00FA43E7">
        <w:rPr>
          <w:rStyle w:val="af9"/>
          <w:rFonts w:hint="cs"/>
          <w:rtl/>
        </w:rPr>
        <w:t>רש"י</w:t>
      </w:r>
      <w:r>
        <w:rPr>
          <w:rFonts w:hint="cs"/>
          <w:rtl/>
        </w:rPr>
        <w:t>, בדעת ר"מ אי חדשים לבד גרמי או חדשים ואוירא גרמי.</w:t>
      </w:r>
    </w:p>
    <w:p w14:paraId="0D220E17" w14:textId="77777777" w:rsidR="003D504D" w:rsidRPr="00834F85" w:rsidRDefault="003D504D" w:rsidP="003D504D">
      <w:pPr>
        <w:pStyle w:val="a3"/>
      </w:pPr>
      <w:bookmarkStart w:id="21360" w:name="_Toc2164460"/>
      <w:bookmarkStart w:id="21361" w:name="_Toc2187223"/>
      <w:bookmarkStart w:id="21362" w:name="_Toc2198151"/>
      <w:bookmarkStart w:id="21363" w:name="_Toc19391654"/>
      <w:bookmarkStart w:id="21364" w:name="_Toc19395151"/>
      <w:r>
        <w:rPr>
          <w:rFonts w:hint="cs"/>
          <w:rtl/>
        </w:rPr>
        <w:t>דברי רש"י דלרבנן רק חדשים ולידה גרמי להחשיבו כבהמה ולחייבו שחיטה</w:t>
      </w:r>
      <w:bookmarkEnd w:id="21360"/>
      <w:bookmarkEnd w:id="21361"/>
      <w:bookmarkEnd w:id="21362"/>
      <w:bookmarkEnd w:id="21363"/>
      <w:bookmarkEnd w:id="21364"/>
    </w:p>
    <w:p w14:paraId="6E83500F" w14:textId="77777777" w:rsidR="003D504D" w:rsidRPr="002A56BB" w:rsidRDefault="003D504D" w:rsidP="00223668">
      <w:pPr>
        <w:pStyle w:val="a0"/>
        <w:rPr>
          <w:rtl/>
        </w:rPr>
      </w:pPr>
      <w:r>
        <w:rPr>
          <w:rFonts w:hint="cs"/>
          <w:rtl/>
        </w:rPr>
        <w:t>ו</w:t>
      </w:r>
      <w:r w:rsidRPr="002A56BB">
        <w:rPr>
          <w:rFonts w:hint="cs"/>
          <w:rtl/>
        </w:rPr>
        <w:t xml:space="preserve">בדעת רבנן כתב </w:t>
      </w:r>
      <w:r w:rsidRPr="002A56BB">
        <w:rPr>
          <w:rStyle w:val="af9"/>
          <w:rFonts w:hint="cs"/>
          <w:rtl/>
        </w:rPr>
        <w:t>רש"י</w:t>
      </w:r>
      <w:r w:rsidRPr="002A56BB">
        <w:rPr>
          <w:rFonts w:hint="cs"/>
          <w:rtl/>
        </w:rPr>
        <w:t xml:space="preserve"> </w:t>
      </w:r>
      <w:r w:rsidRPr="001D7005">
        <w:rPr>
          <w:rStyle w:val="af7"/>
          <w:rFonts w:eastAsia="Guttman Hodes" w:hint="cs"/>
          <w:rtl/>
        </w:rPr>
        <w:t>(ד"ה טעון שחיטה)</w:t>
      </w:r>
      <w:r w:rsidRPr="002A56BB">
        <w:rPr>
          <w:rFonts w:hint="cs"/>
          <w:rtl/>
        </w:rPr>
        <w:t xml:space="preserve"> דרק חדשים ולידה גרמי להחשיבו כבהמה בפנ"ע, אבל כל שלא נולד, הוא בכלל היתר "כל בבהמה תאכלו", אף דכלו לו חדשיו.</w:t>
      </w:r>
    </w:p>
    <w:p w14:paraId="3EA34922" w14:textId="77777777" w:rsidR="003D504D" w:rsidRDefault="003D504D" w:rsidP="00BF39B2">
      <w:pPr>
        <w:pStyle w:val="1"/>
        <w:rPr>
          <w:rtl/>
        </w:rPr>
      </w:pPr>
      <w:bookmarkStart w:id="21365" w:name="_Toc2187224"/>
      <w:bookmarkStart w:id="21366" w:name="_Toc2198152"/>
      <w:bookmarkStart w:id="21367" w:name="_Toc19391655"/>
      <w:bookmarkStart w:id="21368" w:name="_Toc19395152"/>
      <w:bookmarkStart w:id="21369" w:name="_Toc2164461"/>
      <w:bookmarkStart w:id="21370" w:name="_Toc1728177"/>
      <w:bookmarkStart w:id="21371" w:name="_Toc1938717"/>
      <w:bookmarkStart w:id="21372" w:name="_Toc1938810"/>
      <w:bookmarkStart w:id="21373" w:name="_Toc2078488"/>
      <w:bookmarkStart w:id="21374" w:name="_Toc1725779"/>
      <w:bookmarkStart w:id="21375" w:name="_Toc1728157"/>
      <w:bookmarkStart w:id="21376" w:name="_Toc1938697"/>
      <w:bookmarkStart w:id="21377" w:name="_Toc1938790"/>
      <w:bookmarkStart w:id="21378" w:name="_Toc2078468"/>
      <w:r>
        <w:rPr>
          <w:rFonts w:hint="cs"/>
          <w:rtl/>
        </w:rPr>
        <w:t>ביאורי הראשונים בהיתר בן ח' ובפלוגתת ר"מ ורבנן בבן ט'</w:t>
      </w:r>
      <w:bookmarkEnd w:id="21365"/>
      <w:bookmarkEnd w:id="21366"/>
      <w:bookmarkEnd w:id="21367"/>
      <w:bookmarkEnd w:id="21368"/>
    </w:p>
    <w:p w14:paraId="19397698" w14:textId="77777777" w:rsidR="003D504D" w:rsidRPr="002A56BB" w:rsidRDefault="003D504D" w:rsidP="003D504D">
      <w:pPr>
        <w:pStyle w:val="a3"/>
        <w:rPr>
          <w:rtl/>
        </w:rPr>
      </w:pPr>
      <w:bookmarkStart w:id="21379" w:name="_Toc2187225"/>
      <w:bookmarkStart w:id="21380" w:name="_Toc2198153"/>
      <w:bookmarkStart w:id="21381" w:name="_Toc19391656"/>
      <w:bookmarkStart w:id="21382" w:name="_Toc19395153"/>
      <w:r w:rsidRPr="002A56BB">
        <w:rPr>
          <w:rFonts w:hint="cs"/>
          <w:rtl/>
        </w:rPr>
        <w:t>ביאור הרמב"ן והרשב"א ברש"י ד</w:t>
      </w:r>
      <w:r>
        <w:rPr>
          <w:rFonts w:hint="cs"/>
          <w:rtl/>
        </w:rPr>
        <w:t>לר"מ היתר בן פקועה הוא רק כש</w:t>
      </w:r>
      <w:r w:rsidRPr="002A56BB">
        <w:rPr>
          <w:rFonts w:hint="cs"/>
          <w:rtl/>
        </w:rPr>
        <w:t>אין לו שחיטה בפנ"ע</w:t>
      </w:r>
      <w:bookmarkEnd w:id="21369"/>
      <w:bookmarkEnd w:id="21379"/>
      <w:bookmarkEnd w:id="21380"/>
      <w:bookmarkEnd w:id="21381"/>
      <w:bookmarkEnd w:id="21382"/>
      <w:r w:rsidRPr="002A56BB">
        <w:rPr>
          <w:rFonts w:hint="cs"/>
          <w:rtl/>
        </w:rPr>
        <w:t xml:space="preserve"> </w:t>
      </w:r>
    </w:p>
    <w:p w14:paraId="4C876582" w14:textId="77777777" w:rsidR="003D504D" w:rsidRPr="002A56BB" w:rsidRDefault="003D504D" w:rsidP="00223668">
      <w:pPr>
        <w:pStyle w:val="a0"/>
        <w:rPr>
          <w:rStyle w:val="afb"/>
          <w:rtl/>
        </w:rPr>
      </w:pPr>
      <w:bookmarkStart w:id="21383" w:name="_Ref2161129"/>
      <w:r>
        <w:rPr>
          <w:rFonts w:hint="cs"/>
          <w:rtl/>
        </w:rPr>
        <w:t>כתבו</w:t>
      </w:r>
      <w:r w:rsidRPr="002A56BB">
        <w:rPr>
          <w:rFonts w:hint="cs"/>
          <w:rtl/>
        </w:rPr>
        <w:t xml:space="preserve"> </w:t>
      </w:r>
      <w:r w:rsidRPr="002A56BB">
        <w:rPr>
          <w:rStyle w:val="af9"/>
          <w:rFonts w:hint="cs"/>
          <w:rtl/>
        </w:rPr>
        <w:t>הרמב"ן</w:t>
      </w:r>
      <w:r w:rsidRPr="002A56BB">
        <w:rPr>
          <w:rFonts w:hint="cs"/>
          <w:rtl/>
        </w:rPr>
        <w:t xml:space="preserve"> </w:t>
      </w:r>
      <w:r>
        <w:rPr>
          <w:rStyle w:val="af9"/>
          <w:rFonts w:hint="cs"/>
          <w:rtl/>
        </w:rPr>
        <w:t>ו</w:t>
      </w:r>
      <w:r w:rsidRPr="002A56BB">
        <w:rPr>
          <w:rStyle w:val="af9"/>
          <w:rFonts w:hint="cs"/>
          <w:rtl/>
        </w:rPr>
        <w:t>הרשב"א</w:t>
      </w:r>
      <w:r>
        <w:rPr>
          <w:rFonts w:hint="cs"/>
          <w:rtl/>
        </w:rPr>
        <w:t xml:space="preserve"> </w:t>
      </w:r>
      <w:r w:rsidRPr="00A528E9">
        <w:rPr>
          <w:rStyle w:val="af7"/>
          <w:rFonts w:eastAsia="Guttman Hodes" w:hint="cs"/>
          <w:rtl/>
        </w:rPr>
        <w:t xml:space="preserve">(עי' אות </w:t>
      </w:r>
      <w:r w:rsidRPr="00A528E9">
        <w:rPr>
          <w:rStyle w:val="af7"/>
          <w:rFonts w:eastAsia="Guttman Hodes"/>
          <w:rtl/>
        </w:rPr>
        <w:fldChar w:fldCharType="begin"/>
      </w:r>
      <w:r w:rsidRPr="00A528E9">
        <w:rPr>
          <w:rStyle w:val="af7"/>
          <w:rFonts w:eastAsia="Guttman Hodes"/>
          <w:rtl/>
        </w:rPr>
        <w:instrText xml:space="preserve"> </w:instrText>
      </w:r>
      <w:r w:rsidRPr="00A528E9">
        <w:rPr>
          <w:rStyle w:val="af7"/>
          <w:rFonts w:eastAsia="Guttman Hodes" w:hint="cs"/>
        </w:rPr>
        <w:instrText>REF</w:instrText>
      </w:r>
      <w:r w:rsidRPr="00A528E9">
        <w:rPr>
          <w:rStyle w:val="af7"/>
          <w:rFonts w:eastAsia="Guttman Hodes" w:hint="cs"/>
          <w:rtl/>
        </w:rPr>
        <w:instrText xml:space="preserve"> _</w:instrText>
      </w:r>
      <w:r w:rsidRPr="00A528E9">
        <w:rPr>
          <w:rStyle w:val="af7"/>
          <w:rFonts w:eastAsia="Guttman Hodes" w:hint="cs"/>
        </w:rPr>
        <w:instrText>Ref2094389 \r \h</w:instrText>
      </w:r>
      <w:r w:rsidRPr="00A528E9">
        <w:rPr>
          <w:rStyle w:val="af7"/>
          <w:rFonts w:eastAsia="Guttman Hodes"/>
          <w:rtl/>
        </w:rPr>
        <w:instrText xml:space="preserve"> </w:instrText>
      </w:r>
      <w:r w:rsidRPr="00A528E9">
        <w:rPr>
          <w:rStyle w:val="af7"/>
          <w:rFonts w:eastAsia="Guttman Hodes"/>
          <w:rtl/>
        </w:rPr>
      </w:r>
      <w:r w:rsidRPr="00A528E9">
        <w:rPr>
          <w:rStyle w:val="af7"/>
          <w:rFonts w:eastAsia="Guttman Hodes"/>
          <w:rtl/>
        </w:rPr>
        <w:fldChar w:fldCharType="separate"/>
      </w:r>
      <w:r w:rsidR="00345400">
        <w:rPr>
          <w:rStyle w:val="af7"/>
          <w:rFonts w:eastAsia="Guttman Hodes"/>
          <w:cs/>
        </w:rPr>
        <w:t>‎</w:t>
      </w:r>
      <w:r w:rsidR="00345400">
        <w:rPr>
          <w:rStyle w:val="af7"/>
          <w:rFonts w:eastAsia="Guttman Hodes"/>
          <w:rtl/>
        </w:rPr>
        <w:t>כב)</w:t>
      </w:r>
      <w:r w:rsidRPr="00A528E9">
        <w:rPr>
          <w:rStyle w:val="af7"/>
          <w:rFonts w:eastAsia="Guttman Hodes"/>
          <w:rtl/>
        </w:rPr>
        <w:fldChar w:fldCharType="end"/>
      </w:r>
      <w:r>
        <w:rPr>
          <w:rFonts w:hint="cs"/>
          <w:rtl/>
        </w:rPr>
        <w:t xml:space="preserve"> בדעת</w:t>
      </w:r>
      <w:r w:rsidRPr="002A56BB">
        <w:rPr>
          <w:rFonts w:hint="cs"/>
          <w:rtl/>
        </w:rPr>
        <w:t xml:space="preserve"> </w:t>
      </w:r>
      <w:r w:rsidRPr="002A56BB">
        <w:rPr>
          <w:rStyle w:val="af9"/>
          <w:rFonts w:hint="cs"/>
          <w:rtl/>
        </w:rPr>
        <w:t>רש"י</w:t>
      </w:r>
      <w:r w:rsidRPr="002A56BB">
        <w:rPr>
          <w:rFonts w:hint="cs"/>
          <w:rtl/>
        </w:rPr>
        <w:t xml:space="preserve"> </w:t>
      </w:r>
      <w:r>
        <w:rPr>
          <w:rFonts w:hint="cs"/>
          <w:rtl/>
        </w:rPr>
        <w:t>דבן ח' חי או מת ובן ט' מת שאין לו</w:t>
      </w:r>
      <w:r w:rsidRPr="002A56BB">
        <w:rPr>
          <w:rFonts w:hint="cs"/>
          <w:rtl/>
        </w:rPr>
        <w:t xml:space="preserve"> שחיטה בעצמו, </w:t>
      </w:r>
      <w:r>
        <w:rPr>
          <w:rFonts w:hint="cs"/>
          <w:rtl/>
        </w:rPr>
        <w:t xml:space="preserve">אף לר"מ </w:t>
      </w:r>
      <w:r w:rsidRPr="002A56BB">
        <w:rPr>
          <w:rFonts w:hint="cs"/>
          <w:rtl/>
        </w:rPr>
        <w:t>הוא בכלל היתר "כל בבהמה תאכלו", ובן ט' חי שאפשר להתירו בשחיטת עצמו, לא התירתו תורה כלל</w:t>
      </w:r>
      <w:r>
        <w:rPr>
          <w:rFonts w:hint="cs"/>
          <w:rtl/>
        </w:rPr>
        <w:t>,</w:t>
      </w:r>
      <w:r w:rsidRPr="000D0765">
        <w:rPr>
          <w:rFonts w:hint="cs"/>
          <w:rtl/>
        </w:rPr>
        <w:t xml:space="preserve"> </w:t>
      </w:r>
      <w:r>
        <w:rPr>
          <w:rFonts w:hint="cs"/>
          <w:rtl/>
        </w:rPr>
        <w:t>וכ"כ</w:t>
      </w:r>
      <w:r w:rsidRPr="002A56BB">
        <w:rPr>
          <w:rFonts w:hint="cs"/>
          <w:rtl/>
        </w:rPr>
        <w:t xml:space="preserve"> </w:t>
      </w:r>
      <w:r w:rsidRPr="002A56BB">
        <w:rPr>
          <w:rStyle w:val="af9"/>
          <w:rFonts w:hint="cs"/>
          <w:rtl/>
        </w:rPr>
        <w:t>הר"ן בחי'</w:t>
      </w:r>
      <w:r w:rsidRPr="002A56BB">
        <w:rPr>
          <w:rFonts w:hint="cs"/>
          <w:rtl/>
        </w:rPr>
        <w:t xml:space="preserve"> </w:t>
      </w:r>
      <w:r w:rsidRPr="00EF5EA4">
        <w:rPr>
          <w:rStyle w:val="af7"/>
          <w:rFonts w:eastAsia="Guttman Hodes" w:hint="cs"/>
          <w:rtl/>
        </w:rPr>
        <w:t xml:space="preserve">(ד"ה מצא) </w:t>
      </w:r>
      <w:r>
        <w:rPr>
          <w:rFonts w:hint="cs"/>
          <w:rtl/>
        </w:rPr>
        <w:t>והוסיף ד</w:t>
      </w:r>
      <w:r w:rsidRPr="002A56BB">
        <w:rPr>
          <w:rFonts w:hint="cs"/>
          <w:rtl/>
        </w:rPr>
        <w:t xml:space="preserve">רבנן ס"ל דהתירה התורה כל </w:t>
      </w:r>
      <w:r>
        <w:rPr>
          <w:rFonts w:hint="cs"/>
          <w:rtl/>
        </w:rPr>
        <w:t>שנמצא בבהמה, אף אם הוא בן ט' חי</w:t>
      </w:r>
      <w:r w:rsidRPr="002A56BB">
        <w:rPr>
          <w:rFonts w:hint="cs"/>
          <w:rtl/>
        </w:rPr>
        <w:t>.</w:t>
      </w:r>
      <w:bookmarkEnd w:id="21383"/>
    </w:p>
    <w:p w14:paraId="014E003A" w14:textId="77777777" w:rsidR="003D504D" w:rsidRDefault="003D504D" w:rsidP="003D504D">
      <w:pPr>
        <w:pStyle w:val="a3"/>
        <w:rPr>
          <w:rtl/>
        </w:rPr>
      </w:pPr>
      <w:bookmarkStart w:id="21384" w:name="_Toc2187226"/>
      <w:bookmarkStart w:id="21385" w:name="_Toc2198154"/>
      <w:bookmarkStart w:id="21386" w:name="_Toc19391657"/>
      <w:bookmarkStart w:id="21387" w:name="_Toc19395154"/>
      <w:r>
        <w:rPr>
          <w:rFonts w:hint="cs"/>
          <w:rtl/>
        </w:rPr>
        <w:t>ביאור הר"ן דלר"מ היתר כל בבהמה הוא בבן ח' שאינו בן קיימא אבל בן ט' הוא בהמה בפנ"ע</w:t>
      </w:r>
      <w:bookmarkEnd w:id="21384"/>
      <w:bookmarkEnd w:id="21385"/>
      <w:bookmarkEnd w:id="21386"/>
      <w:bookmarkEnd w:id="21387"/>
    </w:p>
    <w:p w14:paraId="286B55F0" w14:textId="77777777" w:rsidR="003D504D" w:rsidRDefault="003D504D" w:rsidP="00223668">
      <w:pPr>
        <w:pStyle w:val="a0"/>
        <w:rPr>
          <w:rtl/>
        </w:rPr>
      </w:pPr>
      <w:bookmarkStart w:id="21388" w:name="_Ref2161208"/>
      <w:r>
        <w:rPr>
          <w:rStyle w:val="af9"/>
          <w:rFonts w:hint="cs"/>
          <w:rtl/>
        </w:rPr>
        <w:t>ו</w:t>
      </w:r>
      <w:r w:rsidRPr="007602E7">
        <w:rPr>
          <w:rStyle w:val="af9"/>
          <w:rFonts w:hint="cs"/>
          <w:rtl/>
        </w:rPr>
        <w:t xml:space="preserve">הר"ן על הרי"ף </w:t>
      </w:r>
      <w:r w:rsidRPr="007602E7">
        <w:rPr>
          <w:rStyle w:val="af7"/>
          <w:rFonts w:eastAsia="Guttman Hodes" w:hint="cs"/>
          <w:rtl/>
        </w:rPr>
        <w:t>(כה. מדפי הרי"ף ד"ה השוחט)</w:t>
      </w:r>
      <w:r>
        <w:rPr>
          <w:rFonts w:hint="cs"/>
          <w:rtl/>
        </w:rPr>
        <w:t xml:space="preserve"> כתב דבבן ח' חי ובן ט' מת, כיון שאינם בני קיימא מודה ר"מ דהם בכלל</w:t>
      </w:r>
      <w:r w:rsidRPr="00D434AF">
        <w:rPr>
          <w:rFonts w:hint="cs"/>
          <w:rtl/>
        </w:rPr>
        <w:t xml:space="preserve"> </w:t>
      </w:r>
      <w:r>
        <w:rPr>
          <w:rFonts w:hint="cs"/>
          <w:rtl/>
        </w:rPr>
        <w:t>ריבוי "כל בבהמה תאכלו", ובבן ט' חי ס"ל לר"מ דחדשים גרמי דיחשב בהמה בפנ"ע, ולכן אינו בכלל ריבוי "כל בבהמה תאכלו",</w:t>
      </w:r>
      <w:r w:rsidRPr="008C4C51">
        <w:rPr>
          <w:rFonts w:hint="cs"/>
          <w:rtl/>
        </w:rPr>
        <w:t xml:space="preserve"> </w:t>
      </w:r>
      <w:r w:rsidRPr="002A56BB">
        <w:rPr>
          <w:rFonts w:hint="cs"/>
          <w:rtl/>
        </w:rPr>
        <w:t>ו</w:t>
      </w:r>
      <w:r>
        <w:rPr>
          <w:rFonts w:hint="cs"/>
          <w:rtl/>
        </w:rPr>
        <w:t xml:space="preserve">בדעת רבנן </w:t>
      </w:r>
      <w:r w:rsidRPr="002A56BB">
        <w:rPr>
          <w:rFonts w:hint="cs"/>
          <w:rtl/>
        </w:rPr>
        <w:t>ביאר</w:t>
      </w:r>
      <w:r w:rsidRPr="002A56BB">
        <w:rPr>
          <w:rtl/>
        </w:rPr>
        <w:t xml:space="preserve"> </w:t>
      </w:r>
      <w:r w:rsidRPr="002A56BB">
        <w:rPr>
          <w:rStyle w:val="af9"/>
          <w:rtl/>
        </w:rPr>
        <w:t>הר</w:t>
      </w:r>
      <w:r w:rsidRPr="002A56BB">
        <w:rPr>
          <w:rStyle w:val="af9"/>
          <w:rFonts w:hint="cs"/>
          <w:rtl/>
        </w:rPr>
        <w:t>"</w:t>
      </w:r>
      <w:r w:rsidRPr="002A56BB">
        <w:rPr>
          <w:rStyle w:val="af9"/>
          <w:rtl/>
        </w:rPr>
        <w:t>ן על הרי</w:t>
      </w:r>
      <w:r w:rsidRPr="002A56BB">
        <w:rPr>
          <w:rStyle w:val="af9"/>
          <w:rFonts w:hint="cs"/>
          <w:rtl/>
        </w:rPr>
        <w:t>"</w:t>
      </w:r>
      <w:r w:rsidRPr="002A56BB">
        <w:rPr>
          <w:rStyle w:val="af9"/>
          <w:rtl/>
        </w:rPr>
        <w:t xml:space="preserve">ף </w:t>
      </w:r>
      <w:r w:rsidRPr="002A56BB">
        <w:rPr>
          <w:rFonts w:hint="cs"/>
          <w:rtl/>
        </w:rPr>
        <w:t xml:space="preserve">דס"ל דחדשים ולידה גרמי, ולכן אף בן ט' חי הוא בכלל </w:t>
      </w:r>
      <w:r w:rsidRPr="002A56BB">
        <w:rPr>
          <w:rtl/>
        </w:rPr>
        <w:t xml:space="preserve">ריבוי </w:t>
      </w:r>
      <w:r w:rsidRPr="002A56BB">
        <w:rPr>
          <w:rFonts w:hint="cs"/>
          <w:rtl/>
        </w:rPr>
        <w:t>"</w:t>
      </w:r>
      <w:r w:rsidRPr="002A56BB">
        <w:rPr>
          <w:rtl/>
        </w:rPr>
        <w:t>כל בבהמה תאכלו</w:t>
      </w:r>
      <w:r w:rsidRPr="002A56BB">
        <w:rPr>
          <w:rFonts w:hint="cs"/>
          <w:rtl/>
        </w:rPr>
        <w:t>"</w:t>
      </w:r>
      <w:r>
        <w:rPr>
          <w:rFonts w:hint="cs"/>
          <w:rtl/>
        </w:rPr>
        <w:t>.</w:t>
      </w:r>
      <w:bookmarkEnd w:id="21388"/>
    </w:p>
    <w:p w14:paraId="38CC99C0" w14:textId="77777777" w:rsidR="003D504D" w:rsidRPr="0062742F" w:rsidRDefault="003D504D" w:rsidP="003D504D">
      <w:pPr>
        <w:pStyle w:val="a3"/>
        <w:rPr>
          <w:rtl/>
        </w:rPr>
      </w:pPr>
      <w:bookmarkStart w:id="21389" w:name="_Toc2187227"/>
      <w:bookmarkStart w:id="21390" w:name="_Toc2198155"/>
      <w:bookmarkStart w:id="21391" w:name="_Toc19391658"/>
      <w:bookmarkStart w:id="21392" w:name="_Toc19395155"/>
      <w:bookmarkStart w:id="21393" w:name="_Toc1728178"/>
      <w:bookmarkStart w:id="21394" w:name="_Toc1938718"/>
      <w:bookmarkStart w:id="21395" w:name="_Toc1938811"/>
      <w:bookmarkStart w:id="21396" w:name="_Toc2078489"/>
      <w:bookmarkStart w:id="21397" w:name="_Toc1725791"/>
      <w:r>
        <w:rPr>
          <w:rFonts w:hint="cs"/>
          <w:rtl/>
        </w:rPr>
        <w:t>דברי הרא"ה דבן ט' שהוא בן קיימא הוא בהמה בפנ"ע ואינו טפל לאמו</w:t>
      </w:r>
      <w:bookmarkEnd w:id="21389"/>
      <w:bookmarkEnd w:id="21390"/>
      <w:bookmarkEnd w:id="21391"/>
      <w:bookmarkEnd w:id="21392"/>
      <w:r>
        <w:rPr>
          <w:rFonts w:hint="cs"/>
          <w:rtl/>
        </w:rPr>
        <w:t xml:space="preserve"> </w:t>
      </w:r>
    </w:p>
    <w:p w14:paraId="1C333D9F" w14:textId="77777777" w:rsidR="003D504D" w:rsidRDefault="003D504D" w:rsidP="00223668">
      <w:pPr>
        <w:pStyle w:val="a0"/>
        <w:rPr>
          <w:rtl/>
        </w:rPr>
      </w:pPr>
      <w:bookmarkStart w:id="21398" w:name="_Ref2161149"/>
      <w:r w:rsidRPr="002A56BB">
        <w:rPr>
          <w:rFonts w:hint="cs"/>
          <w:rtl/>
        </w:rPr>
        <w:t xml:space="preserve">כתב </w:t>
      </w:r>
      <w:r w:rsidRPr="002A56BB">
        <w:rPr>
          <w:rStyle w:val="af9"/>
          <w:rFonts w:hint="cs"/>
          <w:rtl/>
        </w:rPr>
        <w:t>הרא"ה בחי'</w:t>
      </w:r>
      <w:r w:rsidRPr="002A56BB">
        <w:rPr>
          <w:rFonts w:hint="cs"/>
          <w:rtl/>
        </w:rPr>
        <w:t xml:space="preserve"> </w:t>
      </w:r>
      <w:r w:rsidRPr="002A56BB">
        <w:rPr>
          <w:rStyle w:val="af7"/>
          <w:rFonts w:eastAsia="Guttman Hodes" w:hint="cs"/>
          <w:rtl/>
        </w:rPr>
        <w:t>(ד"ה השוחט)</w:t>
      </w:r>
      <w:r w:rsidRPr="002A56BB">
        <w:rPr>
          <w:rFonts w:hint="cs"/>
          <w:rtl/>
        </w:rPr>
        <w:t xml:space="preserve"> בדעת ר"מ </w:t>
      </w:r>
      <w:r>
        <w:rPr>
          <w:rFonts w:hint="cs"/>
          <w:rtl/>
        </w:rPr>
        <w:t>ד</w:t>
      </w:r>
      <w:r w:rsidRPr="002A56BB">
        <w:rPr>
          <w:rFonts w:hint="cs"/>
          <w:rtl/>
        </w:rPr>
        <w:t>בן ט' חי שהוא בן קיימא אינו טפל לאמו, ואינו מותר בשחיטתה, ולרבנן כל שעדיין לא נולד הוא מותר בשחיטת אמו</w:t>
      </w:r>
      <w:r>
        <w:rPr>
          <w:rFonts w:hint="cs"/>
          <w:rtl/>
        </w:rPr>
        <w:t xml:space="preserve">, </w:t>
      </w:r>
      <w:r w:rsidRPr="002A56BB">
        <w:rPr>
          <w:rFonts w:hint="cs"/>
          <w:rtl/>
        </w:rPr>
        <w:t xml:space="preserve">והוסיף </w:t>
      </w:r>
      <w:r w:rsidRPr="002A56BB">
        <w:rPr>
          <w:rStyle w:val="af9"/>
          <w:rFonts w:hint="cs"/>
          <w:rtl/>
        </w:rPr>
        <w:t>הרא"ה בחי' לקמן</w:t>
      </w:r>
      <w:r w:rsidRPr="002A56BB">
        <w:rPr>
          <w:rFonts w:hint="cs"/>
          <w:rtl/>
        </w:rPr>
        <w:t xml:space="preserve"> </w:t>
      </w:r>
      <w:r w:rsidRPr="002A56BB">
        <w:rPr>
          <w:rStyle w:val="af7"/>
          <w:rFonts w:eastAsia="Guttman Hodes" w:hint="cs"/>
          <w:rtl/>
        </w:rPr>
        <w:t>(</w:t>
      </w:r>
      <w:r>
        <w:rPr>
          <w:rStyle w:val="af7"/>
          <w:rFonts w:eastAsia="Guttman Hodes" w:hint="cs"/>
          <w:rtl/>
        </w:rPr>
        <w:t xml:space="preserve">עה. </w:t>
      </w:r>
      <w:r w:rsidRPr="002A56BB">
        <w:rPr>
          <w:rStyle w:val="af7"/>
          <w:rFonts w:eastAsia="Guttman Hodes" w:hint="cs"/>
          <w:rtl/>
        </w:rPr>
        <w:t>ד"ה אמר)</w:t>
      </w:r>
      <w:r w:rsidRPr="002A56BB">
        <w:rPr>
          <w:rFonts w:hint="cs"/>
          <w:rtl/>
        </w:rPr>
        <w:t xml:space="preserve"> דלר"מ בן ט' חי טעון שחיטה, דחשיב כבהמה גמורה, ולכן הוא מותר בשחיטת עצמו, ולרבנן דס"ל דאף בן ט' חי נשחט בשחיטת אמו, א"כ חשיב כאבר מאבריה והוי כגוף אחד</w:t>
      </w:r>
      <w:r>
        <w:rPr>
          <w:rFonts w:hint="cs"/>
          <w:rtl/>
        </w:rPr>
        <w:t>.</w:t>
      </w:r>
    </w:p>
    <w:p w14:paraId="74CFB6E7" w14:textId="77777777" w:rsidR="003D504D" w:rsidRPr="0054191D" w:rsidRDefault="003D504D" w:rsidP="003D504D">
      <w:pPr>
        <w:pStyle w:val="a3"/>
      </w:pPr>
      <w:bookmarkStart w:id="21399" w:name="_Toc2187228"/>
      <w:bookmarkStart w:id="21400" w:name="_Toc2198156"/>
      <w:bookmarkStart w:id="21401" w:name="_Toc19391659"/>
      <w:bookmarkStart w:id="21402" w:name="_Toc19395156"/>
      <w:r>
        <w:rPr>
          <w:rFonts w:hint="cs"/>
          <w:rtl/>
        </w:rPr>
        <w:t>דברי המאירי דבן ח' חשיב כאבר מאברי אמו ולכן מותר בשחיטתה</w:t>
      </w:r>
      <w:bookmarkEnd w:id="21399"/>
      <w:bookmarkEnd w:id="21400"/>
      <w:bookmarkEnd w:id="21401"/>
      <w:bookmarkEnd w:id="21402"/>
    </w:p>
    <w:p w14:paraId="5FA8BA52" w14:textId="77777777" w:rsidR="003D504D" w:rsidRDefault="003D504D" w:rsidP="00223668">
      <w:pPr>
        <w:pStyle w:val="a0"/>
        <w:rPr>
          <w:rtl/>
        </w:rPr>
      </w:pPr>
      <w:r>
        <w:rPr>
          <w:rStyle w:val="af9"/>
          <w:rFonts w:hint="cs"/>
          <w:rtl/>
        </w:rPr>
        <w:t>ו</w:t>
      </w:r>
      <w:r w:rsidRPr="002A56BB">
        <w:rPr>
          <w:rStyle w:val="af9"/>
          <w:rFonts w:hint="cs"/>
          <w:rtl/>
        </w:rPr>
        <w:t>המאירי</w:t>
      </w:r>
      <w:r w:rsidRPr="002A56BB">
        <w:rPr>
          <w:rFonts w:hint="cs"/>
          <w:rtl/>
        </w:rPr>
        <w:t xml:space="preserve"> </w:t>
      </w:r>
      <w:r w:rsidRPr="002A56BB">
        <w:rPr>
          <w:rStyle w:val="af7"/>
          <w:rFonts w:eastAsia="Guttman Hodes" w:hint="cs"/>
          <w:rtl/>
        </w:rPr>
        <w:t>(ד"ה אמר המאירי)</w:t>
      </w:r>
      <w:r w:rsidRPr="002A56BB">
        <w:rPr>
          <w:rFonts w:hint="cs"/>
          <w:rtl/>
        </w:rPr>
        <w:t xml:space="preserve"> כתב דההיתר בבן חי חי או מת, ובבן ט' מת, הוא כיון דחשיב כאבר מאברי אמו, ולכן הוא מותר בשחיטתה.</w:t>
      </w:r>
      <w:bookmarkEnd w:id="21398"/>
    </w:p>
    <w:p w14:paraId="6700C61C" w14:textId="77777777" w:rsidR="003D504D" w:rsidRDefault="003D504D" w:rsidP="003D504D">
      <w:pPr>
        <w:pStyle w:val="a3"/>
        <w:rPr>
          <w:rtl/>
        </w:rPr>
      </w:pPr>
      <w:bookmarkStart w:id="21403" w:name="_Toc19391660"/>
      <w:bookmarkStart w:id="21404" w:name="_Toc19395157"/>
      <w:bookmarkStart w:id="21405" w:name="_Toc2164465"/>
      <w:bookmarkStart w:id="21406" w:name="_Toc2187229"/>
      <w:bookmarkStart w:id="21407" w:name="_Toc2198157"/>
      <w:bookmarkEnd w:id="21370"/>
      <w:bookmarkEnd w:id="21371"/>
      <w:bookmarkEnd w:id="21372"/>
      <w:bookmarkEnd w:id="21373"/>
      <w:bookmarkEnd w:id="21393"/>
      <w:bookmarkEnd w:id="21394"/>
      <w:bookmarkEnd w:id="21395"/>
      <w:bookmarkEnd w:id="21396"/>
      <w:bookmarkEnd w:id="21397"/>
      <w:r>
        <w:rPr>
          <w:rFonts w:hint="cs"/>
          <w:rtl/>
        </w:rPr>
        <w:t>דברי רבינו גרשום דפלוגתת ר"מ ורבנן בבן ט' חי היא אי חשיב כירך אמו</w:t>
      </w:r>
      <w:bookmarkEnd w:id="21403"/>
      <w:bookmarkEnd w:id="21404"/>
    </w:p>
    <w:p w14:paraId="23BD16B6" w14:textId="77777777" w:rsidR="003D504D" w:rsidRDefault="003D504D" w:rsidP="00223668">
      <w:pPr>
        <w:pStyle w:val="a0"/>
        <w:rPr>
          <w:rtl/>
        </w:rPr>
      </w:pPr>
      <w:bookmarkStart w:id="21408" w:name="_Ref2245911"/>
      <w:r w:rsidRPr="00463A46">
        <w:rPr>
          <w:rStyle w:val="af9"/>
          <w:rFonts w:hint="cs"/>
          <w:rtl/>
        </w:rPr>
        <w:t>וברבינו גרשום לקמן</w:t>
      </w:r>
      <w:r>
        <w:rPr>
          <w:rFonts w:hint="cs"/>
          <w:rtl/>
        </w:rPr>
        <w:t xml:space="preserve"> </w:t>
      </w:r>
      <w:r w:rsidRPr="00463A46">
        <w:rPr>
          <w:rStyle w:val="af7"/>
          <w:rFonts w:eastAsia="Guttman Hodes" w:hint="cs"/>
          <w:rtl/>
        </w:rPr>
        <w:t>(עה. ד"ה לדברי)</w:t>
      </w:r>
      <w:r>
        <w:rPr>
          <w:rFonts w:hint="cs"/>
          <w:rtl/>
        </w:rPr>
        <w:t xml:space="preserve"> ביאר דר"מ אוסר בבן ט' חי, כיון דס"ל דעובר לאו ירך אמו, ורבנן מתירים בבן ט' חי, דס"ל דעובר ירך אמו, ועי' בדברי </w:t>
      </w:r>
      <w:r w:rsidRPr="00597FCB">
        <w:rPr>
          <w:rStyle w:val="af9"/>
          <w:rFonts w:hint="cs"/>
          <w:rtl/>
        </w:rPr>
        <w:t>רבינו גרשום</w:t>
      </w:r>
      <w:r>
        <w:rPr>
          <w:rFonts w:hint="cs"/>
          <w:rtl/>
        </w:rPr>
        <w:t xml:space="preserve"> </w:t>
      </w:r>
      <w:r>
        <w:rPr>
          <w:rStyle w:val="af7"/>
          <w:rFonts w:eastAsia="Guttman Hodes" w:hint="cs"/>
          <w:rtl/>
        </w:rPr>
        <w:t>(</w:t>
      </w:r>
      <w:r w:rsidRPr="00597FCB">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Ref2245947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לט)</w:t>
      </w:r>
      <w:r>
        <w:rPr>
          <w:rStyle w:val="af7"/>
          <w:rFonts w:eastAsia="Guttman Hodes"/>
          <w:rtl/>
        </w:rPr>
        <w:fldChar w:fldCharType="end"/>
      </w:r>
      <w:r>
        <w:rPr>
          <w:rFonts w:hint="cs"/>
          <w:rtl/>
        </w:rPr>
        <w:t xml:space="preserve"> דלר"מ שחיטת בן ט' מטהרתו מידי נבילה, ובמ"ש</w:t>
      </w:r>
      <w:r w:rsidRPr="00597FCB">
        <w:rPr>
          <w:rStyle w:val="af9"/>
          <w:rFonts w:hint="cs"/>
          <w:rtl/>
        </w:rPr>
        <w:t xml:space="preserve"> רבינו גרשום</w:t>
      </w:r>
      <w:r>
        <w:rPr>
          <w:rFonts w:hint="cs"/>
          <w:rtl/>
        </w:rPr>
        <w:t xml:space="preserve"> </w:t>
      </w:r>
      <w:r w:rsidRPr="00597FCB">
        <w:rPr>
          <w:rStyle w:val="af7"/>
          <w:rFonts w:eastAsia="Guttman Hodes" w:hint="cs"/>
          <w:rtl/>
        </w:rPr>
        <w:t xml:space="preserve">(עי' אות </w:t>
      </w:r>
      <w:r w:rsidRPr="00597FCB">
        <w:rPr>
          <w:rStyle w:val="af7"/>
          <w:rFonts w:eastAsia="Guttman Hodes"/>
          <w:rtl/>
        </w:rPr>
        <w:fldChar w:fldCharType="begin"/>
      </w:r>
      <w:r w:rsidRPr="00597FCB">
        <w:rPr>
          <w:rStyle w:val="af7"/>
          <w:rFonts w:eastAsia="Guttman Hodes"/>
          <w:rtl/>
        </w:rPr>
        <w:instrText xml:space="preserve"> </w:instrText>
      </w:r>
      <w:r w:rsidRPr="00597FCB">
        <w:rPr>
          <w:rStyle w:val="af7"/>
          <w:rFonts w:eastAsia="Guttman Hodes" w:hint="cs"/>
        </w:rPr>
        <w:instrText>REF</w:instrText>
      </w:r>
      <w:r w:rsidRPr="00597FCB">
        <w:rPr>
          <w:rStyle w:val="af7"/>
          <w:rFonts w:eastAsia="Guttman Hodes" w:hint="cs"/>
          <w:rtl/>
        </w:rPr>
        <w:instrText xml:space="preserve"> _</w:instrText>
      </w:r>
      <w:r w:rsidRPr="00597FCB">
        <w:rPr>
          <w:rStyle w:val="af7"/>
          <w:rFonts w:eastAsia="Guttman Hodes" w:hint="cs"/>
        </w:rPr>
        <w:instrText>Ref2246023 \r \h</w:instrText>
      </w:r>
      <w:r w:rsidRPr="00597FCB">
        <w:rPr>
          <w:rStyle w:val="af7"/>
          <w:rFonts w:eastAsia="Guttman Hodes"/>
          <w:rtl/>
        </w:rPr>
        <w:instrText xml:space="preserve"> </w:instrText>
      </w:r>
      <w:r w:rsidRPr="00597FCB">
        <w:rPr>
          <w:rStyle w:val="af7"/>
          <w:rFonts w:eastAsia="Guttman Hodes"/>
          <w:rtl/>
        </w:rPr>
      </w:r>
      <w:r w:rsidRPr="00597FCB">
        <w:rPr>
          <w:rStyle w:val="af7"/>
          <w:rFonts w:eastAsia="Guttman Hodes"/>
          <w:rtl/>
        </w:rPr>
        <w:fldChar w:fldCharType="separate"/>
      </w:r>
      <w:r w:rsidR="00345400">
        <w:rPr>
          <w:rStyle w:val="af7"/>
          <w:rFonts w:eastAsia="Guttman Hodes"/>
          <w:cs/>
        </w:rPr>
        <w:t>‎</w:t>
      </w:r>
      <w:r w:rsidR="00345400">
        <w:rPr>
          <w:rStyle w:val="af7"/>
          <w:rFonts w:eastAsia="Guttman Hodes"/>
          <w:rtl/>
        </w:rPr>
        <w:t>מא)</w:t>
      </w:r>
      <w:r w:rsidRPr="00597FCB">
        <w:rPr>
          <w:rStyle w:val="af7"/>
          <w:rFonts w:eastAsia="Guttman Hodes"/>
          <w:rtl/>
        </w:rPr>
        <w:fldChar w:fldCharType="end"/>
      </w:r>
      <w:r>
        <w:rPr>
          <w:rFonts w:hint="cs"/>
          <w:rtl/>
        </w:rPr>
        <w:t xml:space="preserve"> דחלבו מותר דאינו כבהמה, ובמ"ש </w:t>
      </w:r>
      <w:r w:rsidRPr="00597FCB">
        <w:rPr>
          <w:rStyle w:val="af9"/>
          <w:rFonts w:hint="cs"/>
          <w:rtl/>
        </w:rPr>
        <w:t>רבינו גרשום</w:t>
      </w:r>
      <w:r>
        <w:rPr>
          <w:rFonts w:hint="cs"/>
          <w:rtl/>
        </w:rPr>
        <w:t xml:space="preserve"> </w:t>
      </w:r>
      <w:r w:rsidRPr="00597FCB">
        <w:rPr>
          <w:rStyle w:val="af7"/>
          <w:rFonts w:eastAsia="Guttman Hodes" w:hint="cs"/>
          <w:rtl/>
        </w:rPr>
        <w:t xml:space="preserve">(עי' אות </w:t>
      </w:r>
      <w:r w:rsidRPr="00597FCB">
        <w:rPr>
          <w:rStyle w:val="af7"/>
          <w:rFonts w:eastAsia="Guttman Hodes"/>
          <w:rtl/>
        </w:rPr>
        <w:fldChar w:fldCharType="begin"/>
      </w:r>
      <w:r w:rsidRPr="00597FCB">
        <w:rPr>
          <w:rStyle w:val="af7"/>
          <w:rFonts w:eastAsia="Guttman Hodes"/>
          <w:rtl/>
        </w:rPr>
        <w:instrText xml:space="preserve"> </w:instrText>
      </w:r>
      <w:r w:rsidRPr="00597FCB">
        <w:rPr>
          <w:rStyle w:val="af7"/>
          <w:rFonts w:eastAsia="Guttman Hodes" w:hint="cs"/>
        </w:rPr>
        <w:instrText>REF</w:instrText>
      </w:r>
      <w:r w:rsidRPr="00597FCB">
        <w:rPr>
          <w:rStyle w:val="af7"/>
          <w:rFonts w:eastAsia="Guttman Hodes" w:hint="cs"/>
          <w:rtl/>
        </w:rPr>
        <w:instrText xml:space="preserve"> _</w:instrText>
      </w:r>
      <w:r w:rsidRPr="00597FCB">
        <w:rPr>
          <w:rStyle w:val="af7"/>
          <w:rFonts w:eastAsia="Guttman Hodes" w:hint="cs"/>
        </w:rPr>
        <w:instrText>Ref2246046 \r \h</w:instrText>
      </w:r>
      <w:r w:rsidRPr="00597FCB">
        <w:rPr>
          <w:rStyle w:val="af7"/>
          <w:rFonts w:eastAsia="Guttman Hodes"/>
          <w:rtl/>
        </w:rPr>
        <w:instrText xml:space="preserve"> </w:instrText>
      </w:r>
      <w:r w:rsidRPr="00597FCB">
        <w:rPr>
          <w:rStyle w:val="af7"/>
          <w:rFonts w:eastAsia="Guttman Hodes"/>
          <w:rtl/>
        </w:rPr>
      </w:r>
      <w:r w:rsidRPr="00597FCB">
        <w:rPr>
          <w:rStyle w:val="af7"/>
          <w:rFonts w:eastAsia="Guttman Hodes"/>
          <w:rtl/>
        </w:rPr>
        <w:fldChar w:fldCharType="separate"/>
      </w:r>
      <w:r w:rsidR="00345400">
        <w:rPr>
          <w:rStyle w:val="af7"/>
          <w:rFonts w:eastAsia="Guttman Hodes"/>
          <w:cs/>
        </w:rPr>
        <w:t>‎</w:t>
      </w:r>
      <w:r w:rsidR="00345400">
        <w:rPr>
          <w:rStyle w:val="af7"/>
          <w:rFonts w:eastAsia="Guttman Hodes"/>
          <w:rtl/>
        </w:rPr>
        <w:t>סו)</w:t>
      </w:r>
      <w:r w:rsidRPr="00597FCB">
        <w:rPr>
          <w:rStyle w:val="af7"/>
          <w:rFonts w:eastAsia="Guttman Hodes"/>
          <w:rtl/>
        </w:rPr>
        <w:fldChar w:fldCharType="end"/>
      </w:r>
      <w:r>
        <w:rPr>
          <w:rFonts w:hint="cs"/>
          <w:rtl/>
        </w:rPr>
        <w:t xml:space="preserve"> דאף לר"מ אינו כבהמה לענין רביעה וחרישה בכלאים.</w:t>
      </w:r>
      <w:bookmarkEnd w:id="21408"/>
    </w:p>
    <w:p w14:paraId="281D053B" w14:textId="77777777" w:rsidR="003D504D" w:rsidRPr="00D52BFF" w:rsidRDefault="003D504D" w:rsidP="00BF39B2">
      <w:pPr>
        <w:pStyle w:val="1"/>
        <w:rPr>
          <w:rtl/>
        </w:rPr>
      </w:pPr>
      <w:bookmarkStart w:id="21409" w:name="_Toc19391661"/>
      <w:bookmarkStart w:id="21410" w:name="_Toc19395158"/>
      <w:r>
        <w:rPr>
          <w:rFonts w:hint="cs"/>
          <w:rtl/>
        </w:rPr>
        <w:t xml:space="preserve">ביאור הרי"ד והראש יוסף </w:t>
      </w:r>
      <w:bookmarkEnd w:id="21405"/>
      <w:r>
        <w:rPr>
          <w:rFonts w:hint="cs"/>
          <w:rtl/>
        </w:rPr>
        <w:t>דר"מ ורבנן נחלקו בילפותא דב"פ</w:t>
      </w:r>
      <w:bookmarkEnd w:id="21406"/>
      <w:bookmarkEnd w:id="21407"/>
      <w:bookmarkEnd w:id="21409"/>
      <w:bookmarkEnd w:id="21410"/>
    </w:p>
    <w:p w14:paraId="7C5E7C5A" w14:textId="77777777" w:rsidR="003D504D" w:rsidRDefault="003D504D" w:rsidP="003D504D">
      <w:pPr>
        <w:pStyle w:val="a3"/>
        <w:rPr>
          <w:rtl/>
        </w:rPr>
      </w:pPr>
      <w:bookmarkStart w:id="21411" w:name="_Toc2164466"/>
      <w:bookmarkStart w:id="21412" w:name="_Toc2187230"/>
      <w:bookmarkStart w:id="21413" w:name="_Toc2198158"/>
      <w:bookmarkStart w:id="21414" w:name="_Toc19391662"/>
      <w:bookmarkStart w:id="21415" w:name="_Toc19395159"/>
      <w:r>
        <w:rPr>
          <w:rFonts w:hint="cs"/>
          <w:rtl/>
        </w:rPr>
        <w:t xml:space="preserve">ביאור הרי"ד </w:t>
      </w:r>
      <w:bookmarkEnd w:id="21411"/>
      <w:r>
        <w:rPr>
          <w:rFonts w:hint="cs"/>
          <w:rtl/>
        </w:rPr>
        <w:t>והראש יוסף דרבנן דרשי מבהמה בבהמה דאף שבן ט' הוא בהמה בפנ"ע התירתו תורה</w:t>
      </w:r>
      <w:bookmarkEnd w:id="21412"/>
      <w:bookmarkEnd w:id="21413"/>
      <w:bookmarkEnd w:id="21414"/>
      <w:bookmarkEnd w:id="21415"/>
    </w:p>
    <w:p w14:paraId="4FD57351" w14:textId="77777777" w:rsidR="003D504D" w:rsidRDefault="003D504D" w:rsidP="00223668">
      <w:pPr>
        <w:pStyle w:val="a0"/>
        <w:rPr>
          <w:rtl/>
        </w:rPr>
      </w:pPr>
      <w:bookmarkStart w:id="21416" w:name="_Ref2187316"/>
      <w:r w:rsidRPr="00491E97">
        <w:rPr>
          <w:rStyle w:val="af9"/>
          <w:rFonts w:hint="cs"/>
          <w:rtl/>
        </w:rPr>
        <w:t>ובפסקי הרי"ד</w:t>
      </w:r>
      <w:r>
        <w:rPr>
          <w:rFonts w:hint="cs"/>
          <w:rtl/>
        </w:rPr>
        <w:t xml:space="preserve"> </w:t>
      </w:r>
      <w:r w:rsidRPr="00491E97">
        <w:rPr>
          <w:rStyle w:val="af7"/>
          <w:rFonts w:eastAsia="Guttman Hodes" w:hint="cs"/>
          <w:rtl/>
        </w:rPr>
        <w:t>(עה: ד"ה וקיימא, הועתק בקובץ שיטות קמאי חולין ח"ב עמ' אלף תרנ"ד)</w:t>
      </w:r>
      <w:r>
        <w:rPr>
          <w:rFonts w:hint="cs"/>
          <w:rtl/>
        </w:rPr>
        <w:t xml:space="preserve"> ביאר דלדעת רבנן ההיתר של בן פקועה, אינו מחמת דלא חשיב בהמה, דהא כיון שכלו לו חדשיו ולא מת לפני שיצא לאויר העולם, חשיב כבהמה גמורה, אלא דהתירתו תורה מדין היתר "בהמה בבהמה תאכלו", דהיינו דאף שחשיב בהמה החשיבתו תורה כאבר מאברי אמו, ומותר בשחיטתה, וכ"כ </w:t>
      </w:r>
      <w:r w:rsidRPr="00902072">
        <w:rPr>
          <w:rStyle w:val="af9"/>
          <w:rFonts w:hint="cs"/>
          <w:rtl/>
        </w:rPr>
        <w:t xml:space="preserve">המרומי שדה </w:t>
      </w:r>
      <w:r w:rsidRPr="00902072">
        <w:rPr>
          <w:rStyle w:val="af7"/>
          <w:rFonts w:eastAsia="Guttman Hodes" w:hint="cs"/>
          <w:rtl/>
        </w:rPr>
        <w:t>(ד"ה ונראה עוד)</w:t>
      </w:r>
      <w:r>
        <w:rPr>
          <w:rFonts w:hint="cs"/>
          <w:rtl/>
        </w:rPr>
        <w:t xml:space="preserve"> בדעת </w:t>
      </w:r>
      <w:r w:rsidRPr="00902072">
        <w:rPr>
          <w:rStyle w:val="af9"/>
          <w:rFonts w:hint="cs"/>
          <w:rtl/>
        </w:rPr>
        <w:t>רש"י והרי"ף</w:t>
      </w:r>
      <w:r>
        <w:rPr>
          <w:rFonts w:hint="cs"/>
          <w:rtl/>
        </w:rPr>
        <w:t>,</w:t>
      </w:r>
      <w:r w:rsidRPr="00BF102F">
        <w:rPr>
          <w:rFonts w:hint="cs"/>
          <w:rtl/>
        </w:rPr>
        <w:t xml:space="preserve"> </w:t>
      </w:r>
      <w:r>
        <w:rPr>
          <w:rFonts w:hint="cs"/>
          <w:rtl/>
        </w:rPr>
        <w:t xml:space="preserve">וכ"כ </w:t>
      </w:r>
      <w:r w:rsidRPr="004B7C61">
        <w:rPr>
          <w:rStyle w:val="af9"/>
          <w:rFonts w:hint="cs"/>
          <w:rtl/>
        </w:rPr>
        <w:t>הראש יוסף לעיל</w:t>
      </w:r>
      <w:r>
        <w:rPr>
          <w:rFonts w:hint="cs"/>
          <w:rtl/>
        </w:rPr>
        <w:t xml:space="preserve"> </w:t>
      </w:r>
      <w:r w:rsidRPr="004B7C61">
        <w:rPr>
          <w:rStyle w:val="af7"/>
          <w:rFonts w:eastAsia="Guttman Hodes" w:hint="cs"/>
          <w:rtl/>
        </w:rPr>
        <w:t>(סט: ד"ה הא)</w:t>
      </w:r>
      <w:r>
        <w:rPr>
          <w:rFonts w:hint="cs"/>
          <w:rtl/>
        </w:rPr>
        <w:t xml:space="preserve">, ועי' במה שביאר בזה </w:t>
      </w:r>
      <w:r w:rsidRPr="004B7C61">
        <w:rPr>
          <w:rStyle w:val="af9"/>
          <w:rFonts w:hint="cs"/>
          <w:rtl/>
        </w:rPr>
        <w:t>הראש יוסף</w:t>
      </w:r>
      <w:r>
        <w:rPr>
          <w:rFonts w:hint="cs"/>
          <w:rtl/>
        </w:rPr>
        <w:t xml:space="preserve"> </w:t>
      </w:r>
      <w:r w:rsidRPr="004B7C61">
        <w:rPr>
          <w:rStyle w:val="af7"/>
          <w:rFonts w:eastAsia="Guttman Hodes" w:hint="cs"/>
          <w:rtl/>
        </w:rPr>
        <w:t xml:space="preserve">(עי' אות </w:t>
      </w:r>
      <w:r w:rsidRPr="004B7C61">
        <w:rPr>
          <w:rStyle w:val="af7"/>
          <w:rFonts w:eastAsia="Guttman Hodes"/>
          <w:rtl/>
        </w:rPr>
        <w:fldChar w:fldCharType="begin"/>
      </w:r>
      <w:r w:rsidRPr="004B7C61">
        <w:rPr>
          <w:rStyle w:val="af7"/>
          <w:rFonts w:eastAsia="Guttman Hodes"/>
          <w:rtl/>
        </w:rPr>
        <w:instrText xml:space="preserve"> </w:instrText>
      </w:r>
      <w:r w:rsidRPr="004B7C61">
        <w:rPr>
          <w:rStyle w:val="af7"/>
          <w:rFonts w:eastAsia="Guttman Hodes" w:hint="cs"/>
        </w:rPr>
        <w:instrText>REF</w:instrText>
      </w:r>
      <w:r w:rsidRPr="004B7C61">
        <w:rPr>
          <w:rStyle w:val="af7"/>
          <w:rFonts w:eastAsia="Guttman Hodes" w:hint="cs"/>
          <w:rtl/>
        </w:rPr>
        <w:instrText xml:space="preserve"> _</w:instrText>
      </w:r>
      <w:r w:rsidRPr="004B7C61">
        <w:rPr>
          <w:rStyle w:val="af7"/>
          <w:rFonts w:eastAsia="Guttman Hodes" w:hint="cs"/>
        </w:rPr>
        <w:instrText>Ref2157704 \r \h</w:instrText>
      </w:r>
      <w:r w:rsidRPr="004B7C61">
        <w:rPr>
          <w:rStyle w:val="af7"/>
          <w:rFonts w:eastAsia="Guttman Hodes"/>
          <w:rtl/>
        </w:rPr>
        <w:instrText xml:space="preserve"> </w:instrText>
      </w:r>
      <w:r w:rsidRPr="004B7C61">
        <w:rPr>
          <w:rStyle w:val="af7"/>
          <w:rFonts w:eastAsia="Guttman Hodes"/>
          <w:rtl/>
        </w:rPr>
      </w:r>
      <w:r w:rsidRPr="004B7C61">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4B7C61">
        <w:rPr>
          <w:rStyle w:val="af7"/>
          <w:rFonts w:eastAsia="Guttman Hodes"/>
          <w:rtl/>
        </w:rPr>
        <w:fldChar w:fldCharType="end"/>
      </w:r>
      <w:r>
        <w:rPr>
          <w:rFonts w:hint="cs"/>
          <w:rtl/>
        </w:rPr>
        <w:t xml:space="preserve"> את דברי </w:t>
      </w:r>
      <w:r w:rsidRPr="004B7C61">
        <w:rPr>
          <w:rStyle w:val="af9"/>
          <w:rFonts w:hint="cs"/>
          <w:rtl/>
        </w:rPr>
        <w:t>רש"י</w:t>
      </w:r>
      <w:r>
        <w:rPr>
          <w:rFonts w:hint="cs"/>
          <w:rtl/>
        </w:rPr>
        <w:t xml:space="preserve"> לענין חלב ודם.</w:t>
      </w:r>
      <w:bookmarkEnd w:id="21416"/>
    </w:p>
    <w:p w14:paraId="4AB5D68C" w14:textId="77777777" w:rsidR="003D504D" w:rsidRPr="00BF785E" w:rsidRDefault="003D504D" w:rsidP="003D504D">
      <w:pPr>
        <w:pStyle w:val="a3"/>
      </w:pPr>
      <w:bookmarkStart w:id="21417" w:name="_Toc2187231"/>
      <w:bookmarkStart w:id="21418" w:name="_Toc2198159"/>
      <w:bookmarkStart w:id="21419" w:name="_Toc19391663"/>
      <w:bookmarkStart w:id="21420" w:name="_Toc19395160"/>
      <w:r>
        <w:rPr>
          <w:rFonts w:hint="cs"/>
          <w:rtl/>
        </w:rPr>
        <w:t>ביאור הרי"ד והראש יוסף דר"מ דריש מכל בבהמה ובן ט' שהוא בהמה בפנ"ע אינו בכלל ההיתר</w:t>
      </w:r>
      <w:bookmarkEnd w:id="21417"/>
      <w:bookmarkEnd w:id="21418"/>
      <w:bookmarkEnd w:id="21419"/>
      <w:bookmarkEnd w:id="21420"/>
    </w:p>
    <w:p w14:paraId="3CF496D2" w14:textId="77777777" w:rsidR="003D504D" w:rsidRDefault="003D504D" w:rsidP="00223668">
      <w:pPr>
        <w:pStyle w:val="a0"/>
        <w:rPr>
          <w:rtl/>
        </w:rPr>
      </w:pPr>
      <w:r>
        <w:rPr>
          <w:rFonts w:hint="cs"/>
          <w:rtl/>
        </w:rPr>
        <w:t xml:space="preserve">ובדעת ר"מ ביאר </w:t>
      </w:r>
      <w:r w:rsidRPr="00491E97">
        <w:rPr>
          <w:rStyle w:val="af9"/>
          <w:rFonts w:hint="cs"/>
          <w:rtl/>
        </w:rPr>
        <w:t>בפסקי הרי"ד</w:t>
      </w:r>
      <w:r>
        <w:rPr>
          <w:rFonts w:hint="cs"/>
          <w:rtl/>
        </w:rPr>
        <w:t xml:space="preserve"> דס"ל דלא דרשינן "בהמה בבהמה", אלא דריש "כל שבבהמה תאכלו", וההיתר הוא רק בבן ח' דהוא נפל שלא כלו לו חדשיו </w:t>
      </w:r>
      <w:r w:rsidRPr="000E461C">
        <w:rPr>
          <w:rStyle w:val="afb"/>
          <w:rFonts w:hint="cs"/>
          <w:rtl/>
        </w:rPr>
        <w:t>[דאינו נקרא בהמה בפנ"ע]</w:t>
      </w:r>
      <w:r>
        <w:rPr>
          <w:rFonts w:hint="cs"/>
          <w:rtl/>
        </w:rPr>
        <w:t>, אבל בן ט' דכלו לו חדשיו שהוא בהמה בפנ"ע, לא התירתו תורה וטעון שחיטה ככל בהמה גמורה,</w:t>
      </w:r>
      <w:r w:rsidRPr="00BF102F">
        <w:rPr>
          <w:rFonts w:hint="cs"/>
          <w:rtl/>
        </w:rPr>
        <w:t xml:space="preserve"> </w:t>
      </w:r>
      <w:r>
        <w:rPr>
          <w:rFonts w:hint="cs"/>
          <w:rtl/>
        </w:rPr>
        <w:t xml:space="preserve">וכ"כ </w:t>
      </w:r>
      <w:r w:rsidRPr="004B7C61">
        <w:rPr>
          <w:rStyle w:val="af9"/>
          <w:rFonts w:hint="cs"/>
          <w:rtl/>
        </w:rPr>
        <w:t>הראש יוסף לעיל</w:t>
      </w:r>
      <w:r>
        <w:rPr>
          <w:rFonts w:hint="cs"/>
          <w:rtl/>
        </w:rPr>
        <w:t xml:space="preserve"> </w:t>
      </w:r>
      <w:r w:rsidRPr="004B7C61">
        <w:rPr>
          <w:rStyle w:val="af7"/>
          <w:rFonts w:eastAsia="Guttman Hodes" w:hint="cs"/>
          <w:rtl/>
        </w:rPr>
        <w:t>(סט: ד"ה הא)</w:t>
      </w:r>
      <w:r>
        <w:rPr>
          <w:rFonts w:hint="cs"/>
          <w:rtl/>
        </w:rPr>
        <w:t xml:space="preserve"> דר"מ ס"ל דהיתר בן פקועה הוא "כל בבהמה תאכלו", ולכן רק בן ח' מותר בשחיטת האם, אבל בן ט' חי שהוא בהמה בפנ"ע אינו בכלל ההיתר, והוסיף </w:t>
      </w:r>
      <w:r w:rsidRPr="002A56BB">
        <w:rPr>
          <w:rStyle w:val="af9"/>
          <w:rFonts w:hint="cs"/>
          <w:rtl/>
        </w:rPr>
        <w:t>הראש יוסף</w:t>
      </w:r>
      <w:r w:rsidRPr="002A56BB">
        <w:rPr>
          <w:rFonts w:hint="cs"/>
          <w:rtl/>
        </w:rPr>
        <w:t xml:space="preserve"> </w:t>
      </w:r>
      <w:r w:rsidRPr="002A56BB">
        <w:rPr>
          <w:rStyle w:val="af7"/>
          <w:rFonts w:eastAsia="Guttman Hodes" w:hint="cs"/>
          <w:rtl/>
        </w:rPr>
        <w:t>(</w:t>
      </w:r>
      <w:r>
        <w:rPr>
          <w:rStyle w:val="af7"/>
          <w:rFonts w:eastAsia="Guttman Hodes" w:hint="cs"/>
          <w:rtl/>
        </w:rPr>
        <w:t xml:space="preserve">בסוגיין </w:t>
      </w:r>
      <w:r w:rsidRPr="002A56BB">
        <w:rPr>
          <w:rStyle w:val="af7"/>
          <w:rFonts w:eastAsia="Guttman Hodes" w:hint="cs"/>
          <w:rtl/>
        </w:rPr>
        <w:t>ד"ה היה נראה</w:t>
      </w:r>
      <w:r>
        <w:rPr>
          <w:rStyle w:val="af7"/>
          <w:rFonts w:eastAsia="Guttman Hodes" w:hint="cs"/>
          <w:rtl/>
        </w:rPr>
        <w:t xml:space="preserve">) </w:t>
      </w:r>
      <w:r>
        <w:rPr>
          <w:rFonts w:hint="cs"/>
          <w:rtl/>
        </w:rPr>
        <w:t>דא"א לומר דאף לר"מ ההיתר הוא מדין "בהמה בבהמה" דא"כ אמאי בן ט' חי אינו בכלל ההיתר.</w:t>
      </w:r>
    </w:p>
    <w:p w14:paraId="0E4AC797" w14:textId="77777777" w:rsidR="003D504D" w:rsidRPr="00054337" w:rsidRDefault="003D504D" w:rsidP="00BF39B2">
      <w:pPr>
        <w:pStyle w:val="1"/>
        <w:rPr>
          <w:rtl/>
        </w:rPr>
      </w:pPr>
      <w:bookmarkStart w:id="21421" w:name="_Toc2164468"/>
      <w:bookmarkStart w:id="21422" w:name="_Toc2187232"/>
      <w:bookmarkStart w:id="21423" w:name="_Toc2198160"/>
      <w:bookmarkStart w:id="21424" w:name="_Toc19391664"/>
      <w:bookmarkStart w:id="21425" w:name="_Toc19395161"/>
      <w:r w:rsidRPr="00054337">
        <w:rPr>
          <w:rFonts w:hint="cs"/>
          <w:rtl/>
        </w:rPr>
        <w:t xml:space="preserve">ביאור הבכור שור דלהראבי"ה </w:t>
      </w:r>
      <w:r>
        <w:rPr>
          <w:rFonts w:hint="cs"/>
          <w:rtl/>
        </w:rPr>
        <w:t>חלוק היתר בן ח' מהיתר בן ט'</w:t>
      </w:r>
      <w:bookmarkEnd w:id="21421"/>
      <w:bookmarkEnd w:id="21422"/>
      <w:bookmarkEnd w:id="21423"/>
      <w:bookmarkEnd w:id="21424"/>
      <w:bookmarkEnd w:id="21425"/>
    </w:p>
    <w:p w14:paraId="65D7A267" w14:textId="77777777" w:rsidR="003D504D" w:rsidRDefault="003D504D" w:rsidP="003D504D">
      <w:pPr>
        <w:pStyle w:val="a3"/>
        <w:rPr>
          <w:rtl/>
        </w:rPr>
      </w:pPr>
      <w:bookmarkStart w:id="21426" w:name="_Toc2164469"/>
      <w:bookmarkStart w:id="21427" w:name="_Toc2187233"/>
      <w:bookmarkStart w:id="21428" w:name="_Toc2198161"/>
      <w:bookmarkStart w:id="21429" w:name="_Toc19391665"/>
      <w:bookmarkStart w:id="21430" w:name="_Toc19395162"/>
      <w:r>
        <w:rPr>
          <w:rFonts w:hint="cs"/>
          <w:rtl/>
        </w:rPr>
        <w:t>דברי הראבי"ה דבן ט' חי שהוא טריפה אינו מותר בשחיטת אמו</w:t>
      </w:r>
      <w:bookmarkEnd w:id="21426"/>
      <w:bookmarkEnd w:id="21427"/>
      <w:bookmarkEnd w:id="21428"/>
      <w:bookmarkEnd w:id="21429"/>
      <w:bookmarkEnd w:id="21430"/>
    </w:p>
    <w:p w14:paraId="1C7E2C40" w14:textId="77777777" w:rsidR="003D504D" w:rsidRDefault="003D504D" w:rsidP="00223668">
      <w:pPr>
        <w:pStyle w:val="a0"/>
        <w:rPr>
          <w:rStyle w:val="af9"/>
          <w:b w:val="0"/>
          <w:bCs w:val="0"/>
          <w:rtl/>
        </w:rPr>
      </w:pPr>
      <w:bookmarkStart w:id="21431" w:name="_Ref5351852"/>
      <w:r>
        <w:rPr>
          <w:rFonts w:hint="cs"/>
          <w:rtl/>
        </w:rPr>
        <w:t>הביא</w:t>
      </w:r>
      <w:r w:rsidRPr="00FC23EA">
        <w:rPr>
          <w:rStyle w:val="af9"/>
          <w:rFonts w:hint="cs"/>
          <w:rtl/>
        </w:rPr>
        <w:t xml:space="preserve"> </w:t>
      </w:r>
      <w:r w:rsidRPr="00054337">
        <w:rPr>
          <w:rStyle w:val="af9"/>
          <w:rFonts w:hint="cs"/>
          <w:rtl/>
        </w:rPr>
        <w:t xml:space="preserve">הבכור שור </w:t>
      </w:r>
      <w:r w:rsidRPr="00F81428">
        <w:rPr>
          <w:rStyle w:val="af7"/>
          <w:rFonts w:eastAsia="Guttman Hodes" w:hint="cs"/>
          <w:rtl/>
        </w:rPr>
        <w:t>(ד"ה מצא, נד' בסוף התבו"ש)</w:t>
      </w:r>
      <w:r w:rsidRPr="00054337">
        <w:rPr>
          <w:rFonts w:hint="cs"/>
          <w:rtl/>
        </w:rPr>
        <w:t xml:space="preserve"> </w:t>
      </w:r>
      <w:r>
        <w:rPr>
          <w:rFonts w:hint="cs"/>
          <w:rtl/>
        </w:rPr>
        <w:t xml:space="preserve"> את דברי </w:t>
      </w:r>
      <w:r w:rsidRPr="00DA0AB6">
        <w:rPr>
          <w:rStyle w:val="af9"/>
          <w:rtl/>
        </w:rPr>
        <w:t>ההג' אשר"י</w:t>
      </w:r>
      <w:r w:rsidRPr="00BC2C4E">
        <w:rPr>
          <w:szCs w:val="14"/>
          <w:rtl/>
        </w:rPr>
        <w:t xml:space="preserve"> </w:t>
      </w:r>
      <w:r w:rsidRPr="00DA0AB6">
        <w:rPr>
          <w:rStyle w:val="af7"/>
          <w:rFonts w:eastAsia="Guttman Hodes"/>
          <w:rtl/>
        </w:rPr>
        <w:t>(על הרא"ש סי' ה')</w:t>
      </w:r>
      <w:r w:rsidRPr="00C35569">
        <w:rPr>
          <w:rFonts w:hint="cs"/>
          <w:rtl/>
        </w:rPr>
        <w:t xml:space="preserve"> בשם</w:t>
      </w:r>
      <w:r>
        <w:rPr>
          <w:rStyle w:val="af7"/>
          <w:rFonts w:eastAsia="Guttman Hodes" w:hint="cs"/>
          <w:rtl/>
        </w:rPr>
        <w:t xml:space="preserve"> </w:t>
      </w:r>
      <w:r w:rsidRPr="0051751A">
        <w:rPr>
          <w:rStyle w:val="af9"/>
          <w:rFonts w:hint="cs"/>
          <w:rtl/>
        </w:rPr>
        <w:t>הראבי"ה</w:t>
      </w:r>
      <w:r>
        <w:rPr>
          <w:rFonts w:hint="cs"/>
          <w:rtl/>
        </w:rPr>
        <w:t xml:space="preserve"> </w:t>
      </w:r>
      <w:r w:rsidRPr="00F81428">
        <w:rPr>
          <w:rStyle w:val="af7"/>
          <w:rFonts w:eastAsia="Guttman Hodes" w:hint="cs"/>
          <w:rtl/>
        </w:rPr>
        <w:t>(אלף צ"ו</w:t>
      </w:r>
      <w:bookmarkStart w:id="21432" w:name="_Ref2159865"/>
      <w:r>
        <w:rPr>
          <w:rStyle w:val="af1"/>
          <w:rtl/>
        </w:rPr>
        <w:footnoteReference w:id="121"/>
      </w:r>
      <w:bookmarkEnd w:id="21432"/>
      <w:r w:rsidRPr="00F81428">
        <w:rPr>
          <w:rStyle w:val="af7"/>
          <w:rFonts w:eastAsia="Guttman Hodes" w:hint="cs"/>
          <w:rtl/>
        </w:rPr>
        <w:t xml:space="preserve">) </w:t>
      </w:r>
      <w:r>
        <w:rPr>
          <w:rFonts w:hint="cs"/>
          <w:rtl/>
        </w:rPr>
        <w:t xml:space="preserve">דכתב דבן ט' חי שנמצא טריפה, אין שחיטת אמו מטהרתו, </w:t>
      </w:r>
      <w:r w:rsidRPr="000E53C5">
        <w:rPr>
          <w:rStyle w:val="afb"/>
          <w:rFonts w:hint="cs"/>
          <w:rtl/>
        </w:rPr>
        <w:t>[</w:t>
      </w:r>
      <w:r>
        <w:rPr>
          <w:rStyle w:val="afb"/>
          <w:rFonts w:hint="cs"/>
          <w:rtl/>
        </w:rPr>
        <w:t xml:space="preserve">ועי' במה שביאר </w:t>
      </w:r>
      <w:r w:rsidRPr="004D419E">
        <w:rPr>
          <w:rStyle w:val="affa"/>
          <w:rFonts w:hint="cs"/>
          <w:rtl/>
        </w:rPr>
        <w:t>הראבי"ה</w:t>
      </w:r>
      <w:r>
        <w:rPr>
          <w:rStyle w:val="afb"/>
          <w:rFonts w:hint="cs"/>
          <w:rtl/>
        </w:rPr>
        <w:t xml:space="preserve"> </w:t>
      </w:r>
      <w:r w:rsidRPr="004D419E">
        <w:rPr>
          <w:rStyle w:val="aff6"/>
          <w:rFonts w:hint="cs"/>
          <w:rtl/>
        </w:rPr>
        <w:t xml:space="preserve">(עי' אות </w:t>
      </w:r>
      <w:r w:rsidRPr="004D419E">
        <w:rPr>
          <w:rStyle w:val="aff6"/>
          <w:rtl/>
        </w:rPr>
        <w:fldChar w:fldCharType="begin"/>
      </w:r>
      <w:r w:rsidRPr="004D419E">
        <w:rPr>
          <w:rStyle w:val="aff6"/>
          <w:rtl/>
        </w:rPr>
        <w:instrText xml:space="preserve"> </w:instrText>
      </w:r>
      <w:r w:rsidRPr="004D419E">
        <w:rPr>
          <w:rStyle w:val="aff6"/>
          <w:rFonts w:hint="cs"/>
        </w:rPr>
        <w:instrText>REF</w:instrText>
      </w:r>
      <w:r w:rsidRPr="004D419E">
        <w:rPr>
          <w:rStyle w:val="aff6"/>
          <w:rFonts w:hint="cs"/>
          <w:rtl/>
        </w:rPr>
        <w:instrText xml:space="preserve"> _</w:instrText>
      </w:r>
      <w:r w:rsidRPr="004D419E">
        <w:rPr>
          <w:rStyle w:val="aff6"/>
          <w:rFonts w:hint="cs"/>
        </w:rPr>
        <w:instrText>Ref2159592 \r \h</w:instrText>
      </w:r>
      <w:r w:rsidRPr="004D419E">
        <w:rPr>
          <w:rStyle w:val="aff6"/>
          <w:rtl/>
        </w:rPr>
        <w:instrText xml:space="preserve"> </w:instrText>
      </w:r>
      <w:r w:rsidRPr="004D419E">
        <w:rPr>
          <w:rStyle w:val="aff6"/>
          <w:rtl/>
        </w:rPr>
      </w:r>
      <w:r w:rsidRPr="004D419E">
        <w:rPr>
          <w:rStyle w:val="aff6"/>
          <w:rtl/>
        </w:rPr>
        <w:fldChar w:fldCharType="separate"/>
      </w:r>
      <w:r w:rsidR="00345400">
        <w:rPr>
          <w:rStyle w:val="aff6"/>
          <w:cs/>
        </w:rPr>
        <w:t>‎</w:t>
      </w:r>
      <w:r w:rsidR="00345400">
        <w:rPr>
          <w:rStyle w:val="aff6"/>
          <w:rtl/>
        </w:rPr>
        <w:t>מז)</w:t>
      </w:r>
      <w:r w:rsidRPr="004D419E">
        <w:rPr>
          <w:rStyle w:val="aff6"/>
          <w:rtl/>
        </w:rPr>
        <w:fldChar w:fldCharType="end"/>
      </w:r>
      <w:r>
        <w:rPr>
          <w:rStyle w:val="afb"/>
          <w:rFonts w:hint="cs"/>
          <w:rtl/>
        </w:rPr>
        <w:t xml:space="preserve"> בזה בדין חלבו ודמו, וע"ע</w:t>
      </w:r>
      <w:r w:rsidRPr="000E53C5">
        <w:rPr>
          <w:rStyle w:val="afb"/>
          <w:rFonts w:hint="cs"/>
          <w:rtl/>
        </w:rPr>
        <w:t xml:space="preserve"> </w:t>
      </w:r>
      <w:r>
        <w:rPr>
          <w:rStyle w:val="affa"/>
          <w:rFonts w:hint="cs"/>
          <w:rtl/>
        </w:rPr>
        <w:t>בראבי"ה</w:t>
      </w:r>
      <w:r w:rsidRPr="000E53C5">
        <w:rPr>
          <w:rStyle w:val="afb"/>
          <w:rFonts w:hint="cs"/>
          <w:rtl/>
        </w:rPr>
        <w:t xml:space="preserve"> שהביא ראיה לזה </w:t>
      </w:r>
      <w:r>
        <w:rPr>
          <w:rStyle w:val="afb"/>
          <w:rFonts w:hint="cs"/>
          <w:rtl/>
        </w:rPr>
        <w:t>מדברי רבא בספיקא דרב הושעיא</w:t>
      </w:r>
      <w:r w:rsidRPr="00EF4FD3">
        <w:rPr>
          <w:rStyle w:val="afb"/>
          <w:rFonts w:hint="cs"/>
          <w:rtl/>
        </w:rPr>
        <w:t>].</w:t>
      </w:r>
      <w:bookmarkEnd w:id="21431"/>
    </w:p>
    <w:p w14:paraId="2F745D21" w14:textId="77777777" w:rsidR="003D504D" w:rsidRDefault="003D504D" w:rsidP="003D504D">
      <w:pPr>
        <w:pStyle w:val="a3"/>
        <w:rPr>
          <w:rtl/>
        </w:rPr>
      </w:pPr>
      <w:bookmarkStart w:id="21433" w:name="_Toc2187234"/>
      <w:bookmarkStart w:id="21434" w:name="_Toc2198162"/>
      <w:bookmarkStart w:id="21435" w:name="_Toc19391666"/>
      <w:bookmarkStart w:id="21436" w:name="_Toc19395163"/>
      <w:r>
        <w:rPr>
          <w:rFonts w:hint="cs"/>
          <w:rtl/>
        </w:rPr>
        <w:t>דברי הר"ן דבן ט' חי שהוא טריפה מותר בשחיטת אמו דהא אף אם היה מת היה מותר</w:t>
      </w:r>
      <w:bookmarkEnd w:id="21433"/>
      <w:bookmarkEnd w:id="21434"/>
      <w:bookmarkEnd w:id="21435"/>
      <w:bookmarkEnd w:id="21436"/>
    </w:p>
    <w:p w14:paraId="1E259893" w14:textId="77777777" w:rsidR="003D504D" w:rsidRDefault="003D504D" w:rsidP="00223668">
      <w:pPr>
        <w:pStyle w:val="a0"/>
        <w:rPr>
          <w:rtl/>
        </w:rPr>
      </w:pPr>
      <w:bookmarkStart w:id="21437" w:name="_Ref2195774"/>
      <w:r>
        <w:rPr>
          <w:rFonts w:hint="cs"/>
          <w:rtl/>
        </w:rPr>
        <w:t xml:space="preserve">ועוד הביא </w:t>
      </w:r>
      <w:r w:rsidRPr="002511EE">
        <w:rPr>
          <w:rStyle w:val="af9"/>
          <w:rFonts w:hint="cs"/>
          <w:rtl/>
        </w:rPr>
        <w:t>הבכור שור</w:t>
      </w:r>
      <w:r>
        <w:rPr>
          <w:rFonts w:hint="cs"/>
          <w:rtl/>
        </w:rPr>
        <w:t xml:space="preserve"> </w:t>
      </w:r>
      <w:r>
        <w:rPr>
          <w:rStyle w:val="af9"/>
          <w:rFonts w:hint="cs"/>
          <w:rtl/>
        </w:rPr>
        <w:t>ד</w:t>
      </w:r>
      <w:r w:rsidRPr="006F5D4B">
        <w:rPr>
          <w:rStyle w:val="af9"/>
          <w:rFonts w:hint="cs"/>
          <w:rtl/>
        </w:rPr>
        <w:t>הר"ן על הרי"ף</w:t>
      </w:r>
      <w:r w:rsidRPr="002C4FB3">
        <w:rPr>
          <w:rFonts w:hint="cs"/>
          <w:rtl/>
        </w:rPr>
        <w:t xml:space="preserve"> </w:t>
      </w:r>
      <w:r w:rsidRPr="006F5D4B">
        <w:rPr>
          <w:rStyle w:val="af7"/>
          <w:rFonts w:eastAsia="Guttman Hodes" w:hint="cs"/>
          <w:rtl/>
        </w:rPr>
        <w:t>(כד. מדפי הרי"ף ד"ה חותך)</w:t>
      </w:r>
      <w:r w:rsidRPr="002C4FB3">
        <w:rPr>
          <w:rFonts w:hint="cs"/>
          <w:rtl/>
        </w:rPr>
        <w:t xml:space="preserve"> </w:t>
      </w:r>
      <w:r>
        <w:rPr>
          <w:rFonts w:hint="cs"/>
          <w:rtl/>
        </w:rPr>
        <w:t xml:space="preserve">פליג וכתב דאף אם נמצא העובר טריפה הוא מותר, דכ"ז שהוא במעי אמו אין בו איסור טריפה כלל, דהא אף אם היה מת שחיטת אמו מתירתו. </w:t>
      </w:r>
      <w:r w:rsidRPr="00637458">
        <w:rPr>
          <w:rStyle w:val="afb"/>
          <w:rFonts w:hint="cs"/>
          <w:rtl/>
        </w:rPr>
        <w:t>[וכ"כ</w:t>
      </w:r>
      <w:r>
        <w:rPr>
          <w:rFonts w:hint="cs"/>
          <w:rtl/>
        </w:rPr>
        <w:t xml:space="preserve"> </w:t>
      </w:r>
      <w:r>
        <w:rPr>
          <w:rStyle w:val="affa"/>
          <w:rFonts w:hint="cs"/>
          <w:rtl/>
        </w:rPr>
        <w:t>ה</w:t>
      </w:r>
      <w:r w:rsidRPr="008C399C">
        <w:rPr>
          <w:rStyle w:val="affa"/>
          <w:rtl/>
        </w:rPr>
        <w:t>הג' אשר"י</w:t>
      </w:r>
      <w:r w:rsidRPr="00BC2C4E">
        <w:rPr>
          <w:szCs w:val="14"/>
          <w:rtl/>
        </w:rPr>
        <w:t xml:space="preserve"> </w:t>
      </w:r>
      <w:r w:rsidRPr="008C399C">
        <w:rPr>
          <w:rStyle w:val="aff6"/>
          <w:rtl/>
        </w:rPr>
        <w:t>(על הרא"ש סי' ה')</w:t>
      </w:r>
      <w:r w:rsidRPr="008C399C">
        <w:rPr>
          <w:rStyle w:val="aff6"/>
          <w:rFonts w:hint="cs"/>
          <w:rtl/>
        </w:rPr>
        <w:t xml:space="preserve"> </w:t>
      </w:r>
      <w:r w:rsidRPr="00637458">
        <w:rPr>
          <w:rStyle w:val="affa"/>
          <w:rFonts w:hint="cs"/>
          <w:rtl/>
        </w:rPr>
        <w:t>ו</w:t>
      </w:r>
      <w:r>
        <w:rPr>
          <w:rStyle w:val="affa"/>
          <w:rFonts w:hint="cs"/>
          <w:rtl/>
        </w:rPr>
        <w:t>ה</w:t>
      </w:r>
      <w:r w:rsidRPr="00637458">
        <w:rPr>
          <w:rStyle w:val="affa"/>
          <w:rFonts w:hint="cs"/>
          <w:rtl/>
        </w:rPr>
        <w:t>ראבי"ה</w:t>
      </w:r>
      <w:r w:rsidRPr="0085216D">
        <w:rPr>
          <w:vertAlign w:val="superscript"/>
          <w:rtl/>
        </w:rPr>
        <w:fldChar w:fldCharType="begin"/>
      </w:r>
      <w:r w:rsidRPr="0085216D">
        <w:rPr>
          <w:vertAlign w:val="superscript"/>
          <w:rtl/>
        </w:rPr>
        <w:instrText xml:space="preserve"> </w:instrText>
      </w:r>
      <w:r w:rsidRPr="0085216D">
        <w:rPr>
          <w:rFonts w:hint="cs"/>
          <w:vertAlign w:val="superscript"/>
        </w:rPr>
        <w:instrText>NOTEREF</w:instrText>
      </w:r>
      <w:r w:rsidRPr="0085216D">
        <w:rPr>
          <w:rFonts w:hint="cs"/>
          <w:vertAlign w:val="superscript"/>
          <w:rtl/>
        </w:rPr>
        <w:instrText xml:space="preserve"> _</w:instrText>
      </w:r>
      <w:r w:rsidRPr="0085216D">
        <w:rPr>
          <w:rFonts w:hint="cs"/>
          <w:vertAlign w:val="superscript"/>
        </w:rPr>
        <w:instrText>Ref2159865 \h</w:instrText>
      </w:r>
      <w:r w:rsidRPr="0085216D">
        <w:rPr>
          <w:vertAlign w:val="superscript"/>
          <w:rtl/>
        </w:rPr>
        <w:instrText xml:space="preserve">  \* </w:instrText>
      </w:r>
      <w:r w:rsidRPr="0085216D">
        <w:rPr>
          <w:vertAlign w:val="superscript"/>
        </w:rPr>
        <w:instrText>MERGEFORMAT</w:instrText>
      </w:r>
      <w:r w:rsidRPr="0085216D">
        <w:rPr>
          <w:vertAlign w:val="superscript"/>
          <w:rtl/>
        </w:rPr>
        <w:instrText xml:space="preserve"> </w:instrText>
      </w:r>
      <w:r w:rsidRPr="0085216D">
        <w:rPr>
          <w:vertAlign w:val="superscript"/>
          <w:rtl/>
        </w:rPr>
      </w:r>
      <w:r w:rsidRPr="0085216D">
        <w:rPr>
          <w:vertAlign w:val="superscript"/>
          <w:rtl/>
        </w:rPr>
        <w:fldChar w:fldCharType="separate"/>
      </w:r>
      <w:r w:rsidR="00345400">
        <w:rPr>
          <w:vertAlign w:val="superscript"/>
          <w:rtl/>
        </w:rPr>
        <w:t>121</w:t>
      </w:r>
      <w:r w:rsidRPr="0085216D">
        <w:rPr>
          <w:vertAlign w:val="superscript"/>
          <w:rtl/>
        </w:rPr>
        <w:fldChar w:fldCharType="end"/>
      </w:r>
      <w:r w:rsidRPr="0085216D">
        <w:rPr>
          <w:rStyle w:val="afb"/>
          <w:rFonts w:hint="cs"/>
          <w:rtl/>
        </w:rPr>
        <w:t xml:space="preserve"> </w:t>
      </w:r>
      <w:r w:rsidRPr="00637458">
        <w:rPr>
          <w:rStyle w:val="afb"/>
          <w:rFonts w:hint="cs"/>
          <w:rtl/>
        </w:rPr>
        <w:t xml:space="preserve">בשם </w:t>
      </w:r>
      <w:r w:rsidRPr="00637458">
        <w:rPr>
          <w:rStyle w:val="affa"/>
          <w:rFonts w:hint="cs"/>
          <w:rtl/>
        </w:rPr>
        <w:t>רבינו שמואל בר נטרונאי</w:t>
      </w:r>
      <w:r>
        <w:rPr>
          <w:rStyle w:val="affa"/>
          <w:rFonts w:hint="cs"/>
          <w:rtl/>
        </w:rPr>
        <w:t xml:space="preserve"> </w:t>
      </w:r>
      <w:r w:rsidRPr="00642DCF">
        <w:rPr>
          <w:rStyle w:val="afb"/>
          <w:rFonts w:hint="cs"/>
          <w:rtl/>
        </w:rPr>
        <w:t>וכ"כ</w:t>
      </w:r>
      <w:r>
        <w:rPr>
          <w:rStyle w:val="affa"/>
          <w:rFonts w:hint="cs"/>
          <w:rtl/>
        </w:rPr>
        <w:t xml:space="preserve"> </w:t>
      </w:r>
      <w:r w:rsidRPr="00637458">
        <w:rPr>
          <w:rStyle w:val="affa"/>
          <w:rFonts w:hint="cs"/>
          <w:rtl/>
        </w:rPr>
        <w:t>הרא"ה בחי' לעיל</w:t>
      </w:r>
      <w:r>
        <w:rPr>
          <w:rFonts w:hint="cs"/>
          <w:rtl/>
        </w:rPr>
        <w:t xml:space="preserve"> </w:t>
      </w:r>
      <w:r w:rsidRPr="00637458">
        <w:rPr>
          <w:rStyle w:val="aff6"/>
          <w:rFonts w:hint="cs"/>
          <w:rtl/>
        </w:rPr>
        <w:t>(סח. ד"ה בהמה המקשה)</w:t>
      </w:r>
      <w:r w:rsidRPr="00642DCF">
        <w:rPr>
          <w:rStyle w:val="afb"/>
          <w:rFonts w:hint="cs"/>
          <w:rtl/>
        </w:rPr>
        <w:t>].</w:t>
      </w:r>
      <w:bookmarkEnd w:id="21437"/>
    </w:p>
    <w:p w14:paraId="235B1439" w14:textId="77777777" w:rsidR="003D504D" w:rsidRPr="003A15B1" w:rsidRDefault="003D504D" w:rsidP="003D504D">
      <w:pPr>
        <w:pStyle w:val="a3"/>
      </w:pPr>
    </w:p>
    <w:p w14:paraId="782399DB" w14:textId="77777777" w:rsidR="003D504D" w:rsidRPr="00054337" w:rsidRDefault="003D504D" w:rsidP="003D504D">
      <w:pPr>
        <w:pStyle w:val="a3"/>
        <w:rPr>
          <w:rtl/>
        </w:rPr>
      </w:pPr>
      <w:bookmarkStart w:id="21438" w:name="_Toc2164470"/>
      <w:bookmarkStart w:id="21439" w:name="_Toc2187235"/>
      <w:bookmarkStart w:id="21440" w:name="_Toc2198163"/>
      <w:bookmarkStart w:id="21441" w:name="_Toc19391667"/>
      <w:bookmarkStart w:id="21442" w:name="_Toc19395164"/>
      <w:r>
        <w:rPr>
          <w:rFonts w:hint="cs"/>
          <w:rtl/>
        </w:rPr>
        <w:t>ביאור</w:t>
      </w:r>
      <w:r w:rsidRPr="00054337">
        <w:rPr>
          <w:rFonts w:hint="cs"/>
          <w:rtl/>
        </w:rPr>
        <w:t xml:space="preserve"> הבכור שור </w:t>
      </w:r>
      <w:r>
        <w:rPr>
          <w:rFonts w:hint="cs"/>
          <w:rtl/>
        </w:rPr>
        <w:t>ב</w:t>
      </w:r>
      <w:r w:rsidRPr="00054337">
        <w:rPr>
          <w:rFonts w:hint="cs"/>
          <w:rtl/>
        </w:rPr>
        <w:t>ראבי"ה</w:t>
      </w:r>
      <w:bookmarkEnd w:id="21438"/>
      <w:r w:rsidRPr="00054337">
        <w:rPr>
          <w:rFonts w:hint="cs"/>
          <w:rtl/>
        </w:rPr>
        <w:t xml:space="preserve"> </w:t>
      </w:r>
      <w:r>
        <w:rPr>
          <w:rFonts w:hint="cs"/>
          <w:rtl/>
        </w:rPr>
        <w:t>דההיתר בבן ח' דהוא כאבר דאמו ואין לו שחיטה מצד עצמו</w:t>
      </w:r>
      <w:bookmarkEnd w:id="21439"/>
      <w:bookmarkEnd w:id="21440"/>
      <w:bookmarkEnd w:id="21441"/>
      <w:bookmarkEnd w:id="21442"/>
    </w:p>
    <w:p w14:paraId="08D26DE2" w14:textId="77777777" w:rsidR="003D504D" w:rsidRPr="00F13874" w:rsidRDefault="003D504D" w:rsidP="00223668">
      <w:pPr>
        <w:pStyle w:val="a0"/>
        <w:rPr>
          <w:rStyle w:val="afb"/>
          <w:rtl/>
        </w:rPr>
      </w:pPr>
      <w:bookmarkStart w:id="21443" w:name="_Ref2185566"/>
      <w:r>
        <w:rPr>
          <w:rFonts w:hint="cs"/>
          <w:rtl/>
        </w:rPr>
        <w:t>ו</w:t>
      </w:r>
      <w:r w:rsidRPr="00054337">
        <w:rPr>
          <w:rFonts w:hint="cs"/>
          <w:rtl/>
        </w:rPr>
        <w:t xml:space="preserve">ביאר </w:t>
      </w:r>
      <w:r w:rsidRPr="00054337">
        <w:rPr>
          <w:rStyle w:val="af9"/>
          <w:rFonts w:hint="cs"/>
          <w:rtl/>
        </w:rPr>
        <w:t xml:space="preserve">הבכור שור </w:t>
      </w:r>
      <w:r w:rsidRPr="00054337">
        <w:rPr>
          <w:rFonts w:hint="cs"/>
          <w:rtl/>
        </w:rPr>
        <w:t xml:space="preserve">דס"ל </w:t>
      </w:r>
      <w:r w:rsidRPr="00054337">
        <w:rPr>
          <w:rStyle w:val="af9"/>
          <w:rFonts w:hint="cs"/>
          <w:rtl/>
        </w:rPr>
        <w:t>להראבי"ה</w:t>
      </w:r>
      <w:r w:rsidRPr="00054337">
        <w:rPr>
          <w:rFonts w:hint="cs"/>
          <w:rtl/>
        </w:rPr>
        <w:t xml:space="preserve"> </w:t>
      </w:r>
      <w:r>
        <w:rPr>
          <w:rFonts w:hint="cs"/>
          <w:rtl/>
        </w:rPr>
        <w:t xml:space="preserve">דההיתר </w:t>
      </w:r>
      <w:r w:rsidRPr="00054337">
        <w:rPr>
          <w:rFonts w:hint="cs"/>
          <w:rtl/>
        </w:rPr>
        <w:t xml:space="preserve">בבן </w:t>
      </w:r>
      <w:r>
        <w:rPr>
          <w:rFonts w:hint="cs"/>
          <w:rtl/>
        </w:rPr>
        <w:t>ח'</w:t>
      </w:r>
      <w:r w:rsidRPr="00054337">
        <w:rPr>
          <w:rFonts w:hint="cs"/>
          <w:rtl/>
        </w:rPr>
        <w:t xml:space="preserve"> חי </w:t>
      </w:r>
      <w:r>
        <w:rPr>
          <w:rFonts w:hint="cs"/>
          <w:rtl/>
        </w:rPr>
        <w:t>ו</w:t>
      </w:r>
      <w:r w:rsidRPr="00054337">
        <w:rPr>
          <w:rFonts w:hint="cs"/>
          <w:rtl/>
        </w:rPr>
        <w:t xml:space="preserve">בן </w:t>
      </w:r>
      <w:r>
        <w:rPr>
          <w:rFonts w:hint="cs"/>
          <w:rtl/>
        </w:rPr>
        <w:t>ט'</w:t>
      </w:r>
      <w:r w:rsidRPr="00054337">
        <w:rPr>
          <w:rFonts w:hint="cs"/>
          <w:rtl/>
        </w:rPr>
        <w:t xml:space="preserve"> מת</w:t>
      </w:r>
      <w:r>
        <w:rPr>
          <w:rFonts w:hint="cs"/>
          <w:rtl/>
        </w:rPr>
        <w:t>,</w:t>
      </w:r>
      <w:r w:rsidRPr="00054337">
        <w:rPr>
          <w:rFonts w:hint="cs"/>
          <w:rtl/>
        </w:rPr>
        <w:t xml:space="preserve"> </w:t>
      </w:r>
      <w:r>
        <w:rPr>
          <w:rFonts w:hint="cs"/>
          <w:rtl/>
        </w:rPr>
        <w:t>הוא כיון ד</w:t>
      </w:r>
      <w:r w:rsidRPr="00054337">
        <w:rPr>
          <w:rFonts w:hint="cs"/>
          <w:rtl/>
        </w:rPr>
        <w:t xml:space="preserve">חשיב כאבר מאברי אמו, </w:t>
      </w:r>
      <w:r>
        <w:rPr>
          <w:rFonts w:hint="cs"/>
          <w:rtl/>
        </w:rPr>
        <w:t xml:space="preserve">כיון שאינו ראוי לשחיטה מצד עצמו. </w:t>
      </w:r>
      <w:r w:rsidRPr="00F13874">
        <w:rPr>
          <w:rStyle w:val="afb"/>
          <w:rFonts w:hint="cs"/>
          <w:rtl/>
        </w:rPr>
        <w:t xml:space="preserve">[ועי' בדברי </w:t>
      </w:r>
      <w:r w:rsidRPr="00F13874">
        <w:rPr>
          <w:rStyle w:val="affa"/>
          <w:rFonts w:hint="cs"/>
          <w:rtl/>
        </w:rPr>
        <w:t>העונג יו"ט</w:t>
      </w:r>
      <w:r w:rsidRPr="00F13874">
        <w:rPr>
          <w:rStyle w:val="afb"/>
          <w:rFonts w:hint="cs"/>
          <w:rtl/>
        </w:rPr>
        <w:t xml:space="preserve"> </w:t>
      </w:r>
      <w:r w:rsidRPr="007A5830">
        <w:rPr>
          <w:rStyle w:val="aff6"/>
          <w:rFonts w:hint="cs"/>
          <w:rtl/>
        </w:rPr>
        <w:t>(סי' ס"ז ד"ה ולי נראה דברי)</w:t>
      </w:r>
      <w:r w:rsidRPr="00F13874">
        <w:rPr>
          <w:rStyle w:val="afb"/>
          <w:rFonts w:hint="cs"/>
          <w:rtl/>
        </w:rPr>
        <w:t xml:space="preserve"> דביאר בדעת </w:t>
      </w:r>
      <w:r w:rsidRPr="00F13874">
        <w:rPr>
          <w:rStyle w:val="affa"/>
          <w:rFonts w:hint="cs"/>
          <w:rtl/>
        </w:rPr>
        <w:t>הרמב"ם</w:t>
      </w:r>
      <w:r w:rsidRPr="00F13874">
        <w:rPr>
          <w:rStyle w:val="afb"/>
          <w:rFonts w:hint="cs"/>
          <w:rtl/>
        </w:rPr>
        <w:t xml:space="preserve"> </w:t>
      </w:r>
      <w:r w:rsidRPr="007A5830">
        <w:rPr>
          <w:rStyle w:val="aff6"/>
          <w:rFonts w:hint="cs"/>
          <w:rtl/>
        </w:rPr>
        <w:t>(</w:t>
      </w:r>
      <w:r w:rsidRPr="007A5830">
        <w:rPr>
          <w:rStyle w:val="aff6"/>
          <w:rtl/>
        </w:rPr>
        <w:t>אבות הטומאה פ"ב ה</w:t>
      </w:r>
      <w:r w:rsidRPr="007A5830">
        <w:rPr>
          <w:rStyle w:val="aff6"/>
          <w:rFonts w:hint="cs"/>
          <w:rtl/>
        </w:rPr>
        <w:t>"ו</w:t>
      </w:r>
      <w:r w:rsidRPr="007A5830">
        <w:rPr>
          <w:rStyle w:val="aff6"/>
          <w:rtl/>
        </w:rPr>
        <w:t>)</w:t>
      </w:r>
      <w:r w:rsidRPr="00F13874">
        <w:rPr>
          <w:rStyle w:val="afb"/>
          <w:rtl/>
        </w:rPr>
        <w:t xml:space="preserve"> </w:t>
      </w:r>
      <w:r w:rsidRPr="00F13874">
        <w:rPr>
          <w:rStyle w:val="afb"/>
          <w:rFonts w:hint="cs"/>
          <w:rtl/>
        </w:rPr>
        <w:t xml:space="preserve"> דבבן ח' שאינו בר שחיטה לא יתכן דשחיטת אמו תחשב שהוא נשחט, אלא דהוא מותר בשחיטת אמו כאחד מאבריה, והביא </w:t>
      </w:r>
      <w:r w:rsidRPr="00F13874">
        <w:rPr>
          <w:rStyle w:val="affa"/>
          <w:rFonts w:hint="cs"/>
          <w:rtl/>
        </w:rPr>
        <w:t>העונג יו"ט</w:t>
      </w:r>
      <w:r w:rsidRPr="00F13874">
        <w:rPr>
          <w:rStyle w:val="afb"/>
          <w:rFonts w:hint="cs"/>
          <w:rtl/>
        </w:rPr>
        <w:t xml:space="preserve"> דכן מבואר בדברי </w:t>
      </w:r>
      <w:r w:rsidRPr="00F13874">
        <w:rPr>
          <w:rStyle w:val="affa"/>
          <w:rFonts w:hint="cs"/>
          <w:rtl/>
        </w:rPr>
        <w:t>התוס' לקמן</w:t>
      </w:r>
      <w:r w:rsidRPr="00F13874">
        <w:rPr>
          <w:rStyle w:val="afb"/>
          <w:rFonts w:hint="cs"/>
          <w:rtl/>
        </w:rPr>
        <w:t xml:space="preserve"> </w:t>
      </w:r>
      <w:r w:rsidRPr="007A5830">
        <w:rPr>
          <w:rStyle w:val="aff6"/>
          <w:rFonts w:hint="cs"/>
          <w:rtl/>
        </w:rPr>
        <w:t>(פה: ד"ה אימא)</w:t>
      </w:r>
      <w:r w:rsidRPr="00F13874">
        <w:rPr>
          <w:rStyle w:val="afb"/>
          <w:rFonts w:hint="cs"/>
          <w:rtl/>
        </w:rPr>
        <w:t>, עיי"ש בדבריו</w:t>
      </w:r>
      <w:r>
        <w:rPr>
          <w:rStyle w:val="afb"/>
          <w:rFonts w:hint="cs"/>
          <w:rtl/>
        </w:rPr>
        <w:t xml:space="preserve">, וע"ע בדברי </w:t>
      </w:r>
      <w:r w:rsidRPr="007A5830">
        <w:rPr>
          <w:rStyle w:val="affa"/>
          <w:rFonts w:hint="cs"/>
          <w:rtl/>
        </w:rPr>
        <w:t>הרשב"א לקמן</w:t>
      </w:r>
      <w:r w:rsidRPr="00EE28C8">
        <w:rPr>
          <w:rStyle w:val="af7"/>
          <w:rFonts w:eastAsia="Guttman Hodes" w:hint="cs"/>
          <w:rtl/>
        </w:rPr>
        <w:t xml:space="preserve"> </w:t>
      </w:r>
      <w:r w:rsidRPr="007A5830">
        <w:rPr>
          <w:rStyle w:val="aff6"/>
          <w:rFonts w:hint="cs"/>
          <w:rtl/>
        </w:rPr>
        <w:t>(פה: ד"ה ותסברא)</w:t>
      </w:r>
      <w:r w:rsidRPr="00F13874">
        <w:rPr>
          <w:rStyle w:val="afb"/>
          <w:rFonts w:hint="cs"/>
          <w:rtl/>
        </w:rPr>
        <w:t>].</w:t>
      </w:r>
      <w:bookmarkEnd w:id="21443"/>
    </w:p>
    <w:p w14:paraId="0BCE2C61" w14:textId="77777777" w:rsidR="003D504D" w:rsidRPr="00562007" w:rsidRDefault="003D504D" w:rsidP="003D504D">
      <w:pPr>
        <w:pStyle w:val="a3"/>
      </w:pPr>
      <w:bookmarkStart w:id="21444" w:name="_Toc2187236"/>
      <w:bookmarkStart w:id="21445" w:name="_Toc2198164"/>
      <w:bookmarkStart w:id="21446" w:name="_Toc19391668"/>
      <w:bookmarkStart w:id="21447" w:name="_Toc19395165"/>
      <w:r>
        <w:rPr>
          <w:rFonts w:hint="cs"/>
          <w:rtl/>
        </w:rPr>
        <w:t>ביאור הבכור שור בראבי"ה דהיתר בן ט' לרבנן דחשיב שנשחט בשחיטת אמו מדין ד' סימנים</w:t>
      </w:r>
      <w:bookmarkEnd w:id="21444"/>
      <w:bookmarkEnd w:id="21445"/>
      <w:bookmarkEnd w:id="21446"/>
      <w:bookmarkEnd w:id="21447"/>
    </w:p>
    <w:p w14:paraId="7F893E55" w14:textId="77777777" w:rsidR="003D504D" w:rsidRDefault="003D504D" w:rsidP="00223668">
      <w:pPr>
        <w:pStyle w:val="a0"/>
        <w:rPr>
          <w:rStyle w:val="afb"/>
          <w:rtl/>
        </w:rPr>
      </w:pPr>
      <w:r w:rsidRPr="00054337">
        <w:rPr>
          <w:rFonts w:hint="cs"/>
          <w:rtl/>
        </w:rPr>
        <w:t xml:space="preserve">אבל בבן </w:t>
      </w:r>
      <w:r>
        <w:rPr>
          <w:rFonts w:hint="cs"/>
          <w:rtl/>
        </w:rPr>
        <w:t>ט'</w:t>
      </w:r>
      <w:r w:rsidRPr="00054337">
        <w:rPr>
          <w:rFonts w:hint="cs"/>
          <w:rtl/>
        </w:rPr>
        <w:t xml:space="preserve"> חי שראוי לשחיטה מצד עצמו, ביאר </w:t>
      </w:r>
      <w:r w:rsidRPr="00054337">
        <w:rPr>
          <w:rStyle w:val="af9"/>
          <w:rFonts w:hint="cs"/>
          <w:rtl/>
        </w:rPr>
        <w:t>הבכור שור</w:t>
      </w:r>
      <w:r w:rsidRPr="00054337">
        <w:rPr>
          <w:rFonts w:hint="cs"/>
          <w:rtl/>
        </w:rPr>
        <w:t xml:space="preserve"> דס"ל </w:t>
      </w:r>
      <w:r w:rsidRPr="00054337">
        <w:rPr>
          <w:rStyle w:val="af9"/>
          <w:rFonts w:hint="cs"/>
          <w:rtl/>
        </w:rPr>
        <w:t>להראבי"ה</w:t>
      </w:r>
      <w:r w:rsidRPr="00054337">
        <w:rPr>
          <w:rFonts w:hint="cs"/>
          <w:rtl/>
        </w:rPr>
        <w:t xml:space="preserve"> ד</w:t>
      </w:r>
      <w:r>
        <w:rPr>
          <w:rFonts w:hint="cs"/>
          <w:rtl/>
        </w:rPr>
        <w:t xml:space="preserve">לרבנן </w:t>
      </w:r>
      <w:r w:rsidRPr="00054337">
        <w:rPr>
          <w:rFonts w:hint="cs"/>
          <w:rtl/>
        </w:rPr>
        <w:t>אינו מותר מדין אבר מאברי אמו, אלא הוא טעון שחיטה, וחשיב שנשחט בשחיטת אמו, דד' סימנים אכשר ביה רחמנא,</w:t>
      </w:r>
      <w:r>
        <w:rPr>
          <w:rFonts w:hint="cs"/>
          <w:rtl/>
        </w:rPr>
        <w:t xml:space="preserve"> </w:t>
      </w:r>
      <w:r w:rsidRPr="00B75004">
        <w:rPr>
          <w:rStyle w:val="afb"/>
          <w:rFonts w:hint="cs"/>
          <w:rtl/>
        </w:rPr>
        <w:t>[ומשמע דבזה גופא פליג ר"מ],</w:t>
      </w:r>
      <w:r w:rsidRPr="00054337">
        <w:rPr>
          <w:rFonts w:hint="cs"/>
          <w:rtl/>
        </w:rPr>
        <w:t xml:space="preserve"> ולכן כשנמצא טריפה אסור, ככל טריפה שנשחטה</w:t>
      </w:r>
      <w:r>
        <w:rPr>
          <w:rStyle w:val="af1"/>
          <w:rtl/>
        </w:rPr>
        <w:footnoteReference w:id="122"/>
      </w:r>
      <w:r w:rsidRPr="00054337">
        <w:rPr>
          <w:rFonts w:hint="cs"/>
          <w:rtl/>
        </w:rPr>
        <w:t>.</w:t>
      </w:r>
      <w:r>
        <w:rPr>
          <w:rFonts w:hint="cs"/>
          <w:rtl/>
        </w:rPr>
        <w:t xml:space="preserve"> </w:t>
      </w:r>
      <w:r w:rsidRPr="00FD7211">
        <w:rPr>
          <w:rStyle w:val="afb"/>
          <w:rFonts w:hint="cs"/>
          <w:rtl/>
        </w:rPr>
        <w:t>[</w:t>
      </w:r>
      <w:r w:rsidRPr="00B720BE">
        <w:rPr>
          <w:rStyle w:val="afb"/>
          <w:rtl/>
        </w:rPr>
        <w:t xml:space="preserve">ומשמע מדברי </w:t>
      </w:r>
      <w:r w:rsidRPr="00367F8A">
        <w:rPr>
          <w:rStyle w:val="affa"/>
          <w:rtl/>
        </w:rPr>
        <w:t>הבכור שור</w:t>
      </w:r>
      <w:r w:rsidRPr="00B720BE">
        <w:rPr>
          <w:rStyle w:val="afb"/>
          <w:rtl/>
        </w:rPr>
        <w:t xml:space="preserve"> דלדעת </w:t>
      </w:r>
      <w:r w:rsidRPr="00367F8A">
        <w:rPr>
          <w:rStyle w:val="affa"/>
          <w:rtl/>
        </w:rPr>
        <w:t>הר"ן</w:t>
      </w:r>
      <w:r w:rsidRPr="00B720BE">
        <w:rPr>
          <w:rStyle w:val="afb"/>
          <w:rtl/>
        </w:rPr>
        <w:t xml:space="preserve"> [</w:t>
      </w:r>
      <w:r w:rsidRPr="00367F8A">
        <w:rPr>
          <w:rStyle w:val="affa"/>
          <w:rtl/>
        </w:rPr>
        <w:t>והרא"ה בחי'</w:t>
      </w:r>
      <w:r w:rsidRPr="00B720BE">
        <w:rPr>
          <w:rStyle w:val="afb"/>
          <w:rtl/>
        </w:rPr>
        <w:t xml:space="preserve">] דכתבו דבן ט' חי שהוא טריפה מותר בשחיטת אמו, מבואר מדבריהם דאין חילוק בין ההיתר בבן ח' להיתר דבן ט', וכדכתב </w:t>
      </w:r>
      <w:r w:rsidRPr="00367F8A">
        <w:rPr>
          <w:rStyle w:val="affa"/>
          <w:rtl/>
        </w:rPr>
        <w:t>הר"ן</w:t>
      </w:r>
      <w:r w:rsidRPr="00B720BE">
        <w:rPr>
          <w:rStyle w:val="afb"/>
          <w:rtl/>
        </w:rPr>
        <w:t xml:space="preserve"> דבן ט' חי טריפה מותר, כיון שאף בן ט' מת מותר, ועי' בדברי </w:t>
      </w:r>
      <w:r w:rsidRPr="00367F8A">
        <w:rPr>
          <w:rStyle w:val="affa"/>
          <w:rtl/>
        </w:rPr>
        <w:t>הר"ן בחי' בסוגיין</w:t>
      </w:r>
      <w:r w:rsidRPr="00B720BE">
        <w:rPr>
          <w:rStyle w:val="afb"/>
          <w:rtl/>
        </w:rPr>
        <w:t xml:space="preserve"> </w:t>
      </w:r>
      <w:r w:rsidRPr="00367F8A">
        <w:rPr>
          <w:rStyle w:val="aff6"/>
          <w:rtl/>
        </w:rPr>
        <w:t xml:space="preserve">(עי' אות </w:t>
      </w:r>
      <w:r w:rsidRPr="00367F8A">
        <w:rPr>
          <w:rStyle w:val="aff6"/>
          <w:cs/>
        </w:rPr>
        <w:t>‎</w:t>
      </w:r>
      <w:r w:rsidRPr="00367F8A">
        <w:rPr>
          <w:rStyle w:val="aff6"/>
          <w:rtl/>
        </w:rPr>
        <w:t>ד)</w:t>
      </w:r>
      <w:r w:rsidRPr="00B720BE">
        <w:rPr>
          <w:rStyle w:val="afb"/>
          <w:rtl/>
        </w:rPr>
        <w:t xml:space="preserve"> ובדברי </w:t>
      </w:r>
      <w:r w:rsidRPr="00367F8A">
        <w:rPr>
          <w:rStyle w:val="affa"/>
          <w:rtl/>
        </w:rPr>
        <w:t>הר"ן על הרי"ף</w:t>
      </w:r>
      <w:r w:rsidRPr="00B720BE">
        <w:rPr>
          <w:rStyle w:val="afb"/>
          <w:rtl/>
        </w:rPr>
        <w:t xml:space="preserve"> </w:t>
      </w:r>
      <w:r w:rsidRPr="00367F8A">
        <w:rPr>
          <w:rStyle w:val="aff6"/>
          <w:rtl/>
        </w:rPr>
        <w:t xml:space="preserve">(עי' אות </w:t>
      </w:r>
      <w:r w:rsidRPr="00367F8A">
        <w:rPr>
          <w:rStyle w:val="aff6"/>
          <w:cs/>
        </w:rPr>
        <w:t>‎</w:t>
      </w:r>
      <w:r w:rsidRPr="00367F8A">
        <w:rPr>
          <w:rStyle w:val="aff6"/>
          <w:rtl/>
        </w:rPr>
        <w:t>ה)</w:t>
      </w:r>
      <w:r w:rsidRPr="00B720BE">
        <w:rPr>
          <w:rStyle w:val="afb"/>
          <w:rtl/>
        </w:rPr>
        <w:t xml:space="preserve"> ובדברי </w:t>
      </w:r>
      <w:r w:rsidRPr="00367F8A">
        <w:rPr>
          <w:rStyle w:val="affa"/>
          <w:rtl/>
        </w:rPr>
        <w:t>הרא"ה בחי' בסוגיין</w:t>
      </w:r>
      <w:r w:rsidRPr="00B720BE">
        <w:rPr>
          <w:rStyle w:val="afb"/>
          <w:rtl/>
        </w:rPr>
        <w:t xml:space="preserve"> </w:t>
      </w:r>
      <w:r w:rsidRPr="00367F8A">
        <w:rPr>
          <w:rStyle w:val="aff6"/>
          <w:rtl/>
        </w:rPr>
        <w:t xml:space="preserve">(עי' אות </w:t>
      </w:r>
      <w:r w:rsidRPr="00367F8A">
        <w:rPr>
          <w:rStyle w:val="aff6"/>
          <w:cs/>
        </w:rPr>
        <w:t>‎</w:t>
      </w:r>
      <w:r w:rsidRPr="00367F8A">
        <w:rPr>
          <w:rStyle w:val="aff6"/>
          <w:rtl/>
        </w:rPr>
        <w:t>ז)</w:t>
      </w:r>
      <w:r w:rsidRPr="00FD7211">
        <w:rPr>
          <w:rStyle w:val="afb"/>
          <w:rFonts w:hint="cs"/>
          <w:rtl/>
        </w:rPr>
        <w:t>].</w:t>
      </w:r>
    </w:p>
    <w:p w14:paraId="4F292C74" w14:textId="77777777" w:rsidR="003D504D" w:rsidRDefault="003D504D" w:rsidP="003D504D">
      <w:pPr>
        <w:pStyle w:val="a3"/>
        <w:rPr>
          <w:rtl/>
        </w:rPr>
      </w:pPr>
      <w:bookmarkStart w:id="21448" w:name="_Toc2187237"/>
      <w:bookmarkStart w:id="21449" w:name="_Toc2198165"/>
      <w:bookmarkStart w:id="21450" w:name="_Toc19391669"/>
      <w:bookmarkStart w:id="21451" w:name="_Toc19395166"/>
      <w:r>
        <w:rPr>
          <w:rFonts w:hint="cs"/>
          <w:rtl/>
        </w:rPr>
        <w:t>דברי הראבי"ה דבן ח' חי שנמצא טריפה מותר דחשיב כמת ואין טריפה לאחר מיתה</w:t>
      </w:r>
      <w:bookmarkEnd w:id="21448"/>
      <w:bookmarkEnd w:id="21449"/>
      <w:bookmarkEnd w:id="21450"/>
      <w:bookmarkEnd w:id="21451"/>
    </w:p>
    <w:p w14:paraId="799B356E" w14:textId="77777777" w:rsidR="003D504D" w:rsidRPr="00AA0B00" w:rsidRDefault="003D504D" w:rsidP="00223668">
      <w:pPr>
        <w:pStyle w:val="a0"/>
        <w:rPr>
          <w:rStyle w:val="afb"/>
          <w:rtl/>
        </w:rPr>
      </w:pPr>
      <w:bookmarkStart w:id="21452" w:name="_Toc2164471"/>
      <w:r>
        <w:rPr>
          <w:rFonts w:hint="cs"/>
          <w:rtl/>
        </w:rPr>
        <w:t xml:space="preserve">אמנם יעוי' בדברי </w:t>
      </w:r>
      <w:r w:rsidRPr="00AA0B00">
        <w:rPr>
          <w:rStyle w:val="af9"/>
          <w:rtl/>
        </w:rPr>
        <w:t>הראבי"ה</w:t>
      </w:r>
      <w:r>
        <w:rPr>
          <w:rtl/>
        </w:rPr>
        <w:t xml:space="preserve"> </w:t>
      </w:r>
      <w:r>
        <w:rPr>
          <w:rFonts w:hint="cs"/>
          <w:rtl/>
        </w:rPr>
        <w:t xml:space="preserve">דהוסיף דבן ח' חי שנמצא טריפה אינו אסור דהוא כמת, ואין טריפה לאחר מיתה. </w:t>
      </w:r>
      <w:r w:rsidRPr="00AA0B00">
        <w:rPr>
          <w:rStyle w:val="afb"/>
          <w:rFonts w:hint="cs"/>
          <w:rtl/>
        </w:rPr>
        <w:t>[ומשמע דההיתר בבן ח' הוא אותו ההיתר דבן ט' חי, אלא דבבן ח' לא שייך דין טריפה].</w:t>
      </w:r>
    </w:p>
    <w:p w14:paraId="525DAE40" w14:textId="77777777" w:rsidR="003D504D" w:rsidRDefault="003D504D" w:rsidP="00BF39B2">
      <w:pPr>
        <w:pStyle w:val="1"/>
        <w:rPr>
          <w:rtl/>
        </w:rPr>
      </w:pPr>
      <w:bookmarkStart w:id="21453" w:name="_Toc2198166"/>
      <w:bookmarkStart w:id="21454" w:name="_Toc19391670"/>
      <w:bookmarkStart w:id="21455" w:name="_Toc19395167"/>
      <w:bookmarkStart w:id="21456" w:name="_Toc2187238"/>
      <w:r>
        <w:rPr>
          <w:rFonts w:hint="cs"/>
          <w:rtl/>
        </w:rPr>
        <w:t>ביאור הנאות יעקב דנחלקו הר"ן והראבי"ה בגדר היתר ב"פ</w:t>
      </w:r>
      <w:bookmarkEnd w:id="21453"/>
      <w:bookmarkEnd w:id="21454"/>
      <w:bookmarkEnd w:id="21455"/>
    </w:p>
    <w:p w14:paraId="6EF2BFAA" w14:textId="77777777" w:rsidR="003D504D" w:rsidRPr="00642F9C" w:rsidRDefault="003D504D" w:rsidP="003D504D">
      <w:pPr>
        <w:pStyle w:val="a3"/>
        <w:rPr>
          <w:rtl/>
        </w:rPr>
      </w:pPr>
      <w:bookmarkStart w:id="21457" w:name="_Toc2198167"/>
      <w:bookmarkStart w:id="21458" w:name="_Toc19391671"/>
      <w:bookmarkStart w:id="21459" w:name="_Toc19395168"/>
      <w:r>
        <w:rPr>
          <w:rFonts w:hint="cs"/>
          <w:rtl/>
        </w:rPr>
        <w:t>ביאור הנאות יעקב דלהראבי"ה ההיתר בבן פקועה הוא דחשיב כשחוט ואינו מתיר טריפה</w:t>
      </w:r>
      <w:bookmarkEnd w:id="21452"/>
      <w:bookmarkEnd w:id="21456"/>
      <w:bookmarkEnd w:id="21457"/>
      <w:bookmarkEnd w:id="21458"/>
      <w:bookmarkEnd w:id="21459"/>
    </w:p>
    <w:p w14:paraId="71AFC49B" w14:textId="77777777" w:rsidR="003D504D" w:rsidRDefault="003D504D" w:rsidP="00223668">
      <w:pPr>
        <w:pStyle w:val="a0"/>
        <w:rPr>
          <w:rtl/>
        </w:rPr>
      </w:pPr>
      <w:bookmarkStart w:id="21460" w:name="_Ref2185822"/>
      <w:r>
        <w:rPr>
          <w:rStyle w:val="af9"/>
          <w:rFonts w:hint="cs"/>
          <w:rtl/>
        </w:rPr>
        <w:t>ו</w:t>
      </w:r>
      <w:r w:rsidRPr="0051751A">
        <w:rPr>
          <w:rStyle w:val="af9"/>
          <w:rFonts w:hint="cs"/>
          <w:rtl/>
        </w:rPr>
        <w:t>הנאות יעקב</w:t>
      </w:r>
      <w:r>
        <w:rPr>
          <w:rFonts w:hint="cs"/>
          <w:rtl/>
        </w:rPr>
        <w:t xml:space="preserve"> </w:t>
      </w:r>
      <w:r w:rsidRPr="0051751A">
        <w:rPr>
          <w:rStyle w:val="af7"/>
          <w:rFonts w:eastAsia="Guttman Hodes" w:hint="cs"/>
          <w:rtl/>
        </w:rPr>
        <w:t xml:space="preserve">(סי' כ"ב ס"ק ו' ד"ה ולדידי בסוגריים) </w:t>
      </w:r>
      <w:r>
        <w:rPr>
          <w:rFonts w:hint="cs"/>
          <w:rtl/>
        </w:rPr>
        <w:t xml:space="preserve">ביאר דס"ל </w:t>
      </w:r>
      <w:r>
        <w:rPr>
          <w:rStyle w:val="af9"/>
          <w:rFonts w:hint="cs"/>
          <w:rtl/>
        </w:rPr>
        <w:t>ל</w:t>
      </w:r>
      <w:r w:rsidRPr="0051751A">
        <w:rPr>
          <w:rStyle w:val="af9"/>
          <w:rFonts w:hint="cs"/>
          <w:rtl/>
        </w:rPr>
        <w:t>הראבי"ה</w:t>
      </w:r>
      <w:r>
        <w:rPr>
          <w:rFonts w:hint="cs"/>
          <w:rtl/>
        </w:rPr>
        <w:t xml:space="preserve"> דההיתר דבן פקועה בשחיטת אמו, הוא דחשיב שהעובר עצמו נשחט, ולכן אם נמצא העובר </w:t>
      </w:r>
      <w:r w:rsidRPr="005248B2">
        <w:rPr>
          <w:rFonts w:hint="cs"/>
          <w:rtl/>
        </w:rPr>
        <w:t xml:space="preserve">טריפה לא מהניא ליה שחיטתו, ודלא כדביאר </w:t>
      </w:r>
      <w:r w:rsidRPr="005248B2">
        <w:rPr>
          <w:rStyle w:val="af9"/>
          <w:rFonts w:hint="cs"/>
          <w:rtl/>
        </w:rPr>
        <w:t>הנאות יעקב</w:t>
      </w:r>
      <w:r w:rsidRPr="005248B2">
        <w:rPr>
          <w:rFonts w:hint="cs"/>
          <w:rtl/>
        </w:rPr>
        <w:t xml:space="preserve"> </w:t>
      </w:r>
      <w:r w:rsidRPr="005248B2">
        <w:rPr>
          <w:rStyle w:val="af7"/>
          <w:rFonts w:eastAsia="Guttman Hodes" w:hint="cs"/>
          <w:rtl/>
        </w:rPr>
        <w:t xml:space="preserve">(עי' אות </w:t>
      </w:r>
      <w:r w:rsidRPr="005248B2">
        <w:rPr>
          <w:rStyle w:val="af7"/>
          <w:rFonts w:eastAsia="Guttman Hodes"/>
          <w:rtl/>
        </w:rPr>
        <w:fldChar w:fldCharType="begin"/>
      </w:r>
      <w:r w:rsidRPr="005248B2">
        <w:rPr>
          <w:rStyle w:val="af7"/>
          <w:rFonts w:eastAsia="Guttman Hodes"/>
          <w:rtl/>
        </w:rPr>
        <w:instrText xml:space="preserve"> </w:instrText>
      </w:r>
      <w:r w:rsidRPr="005248B2">
        <w:rPr>
          <w:rStyle w:val="af7"/>
          <w:rFonts w:eastAsia="Guttman Hodes" w:hint="cs"/>
        </w:rPr>
        <w:instrText>REF</w:instrText>
      </w:r>
      <w:r w:rsidRPr="005248B2">
        <w:rPr>
          <w:rStyle w:val="af7"/>
          <w:rFonts w:eastAsia="Guttman Hodes" w:hint="cs"/>
          <w:rtl/>
        </w:rPr>
        <w:instrText xml:space="preserve"> _</w:instrText>
      </w:r>
      <w:r w:rsidRPr="005248B2">
        <w:rPr>
          <w:rStyle w:val="af7"/>
          <w:rFonts w:eastAsia="Guttman Hodes" w:hint="cs"/>
        </w:rPr>
        <w:instrText>Ref2161174 \r \h</w:instrText>
      </w:r>
      <w:r w:rsidRPr="005248B2">
        <w:rPr>
          <w:rStyle w:val="af7"/>
          <w:rFonts w:eastAsia="Guttman Hodes"/>
          <w:rtl/>
        </w:rPr>
        <w:instrText xml:space="preserve">  \* </w:instrText>
      </w:r>
      <w:r w:rsidRPr="005248B2">
        <w:rPr>
          <w:rStyle w:val="af7"/>
          <w:rFonts w:eastAsia="Guttman Hodes"/>
        </w:rPr>
        <w:instrText>MERGEFORMAT</w:instrText>
      </w:r>
      <w:r w:rsidRPr="005248B2">
        <w:rPr>
          <w:rStyle w:val="af7"/>
          <w:rFonts w:eastAsia="Guttman Hodes"/>
          <w:rtl/>
        </w:rPr>
        <w:instrText xml:space="preserve"> </w:instrText>
      </w:r>
      <w:r w:rsidRPr="005248B2">
        <w:rPr>
          <w:rStyle w:val="af7"/>
          <w:rFonts w:eastAsia="Guttman Hodes"/>
          <w:rtl/>
        </w:rPr>
      </w:r>
      <w:r w:rsidRPr="005248B2">
        <w:rPr>
          <w:rStyle w:val="af7"/>
          <w:rFonts w:eastAsia="Guttman Hodes"/>
          <w:rtl/>
        </w:rPr>
        <w:fldChar w:fldCharType="separate"/>
      </w:r>
      <w:r w:rsidR="00345400">
        <w:rPr>
          <w:rStyle w:val="af7"/>
          <w:rFonts w:eastAsia="Guttman Hodes"/>
          <w:cs/>
        </w:rPr>
        <w:t>‎</w:t>
      </w:r>
      <w:r w:rsidR="00345400">
        <w:rPr>
          <w:rStyle w:val="af7"/>
          <w:rFonts w:eastAsia="Guttman Hodes"/>
          <w:rtl/>
        </w:rPr>
        <w:t>סא)</w:t>
      </w:r>
      <w:r w:rsidRPr="005248B2">
        <w:rPr>
          <w:rStyle w:val="af7"/>
          <w:rFonts w:eastAsia="Guttman Hodes"/>
          <w:rtl/>
        </w:rPr>
        <w:fldChar w:fldCharType="end"/>
      </w:r>
      <w:r w:rsidRPr="005248B2">
        <w:rPr>
          <w:rFonts w:hint="cs"/>
          <w:rtl/>
        </w:rPr>
        <w:t xml:space="preserve"> בדעת </w:t>
      </w:r>
      <w:r w:rsidRPr="005248B2">
        <w:rPr>
          <w:rStyle w:val="af9"/>
          <w:rFonts w:hint="cs"/>
          <w:rtl/>
        </w:rPr>
        <w:t>הרא"ש</w:t>
      </w:r>
      <w:r w:rsidRPr="005248B2">
        <w:rPr>
          <w:rFonts w:hint="cs"/>
          <w:rtl/>
        </w:rPr>
        <w:t>.</w:t>
      </w:r>
      <w:bookmarkEnd w:id="21460"/>
    </w:p>
    <w:p w14:paraId="7F166537" w14:textId="77777777" w:rsidR="003D504D" w:rsidRPr="006C4C8D" w:rsidRDefault="003D504D" w:rsidP="003D504D">
      <w:pPr>
        <w:pStyle w:val="a3"/>
      </w:pPr>
      <w:bookmarkStart w:id="21461" w:name="_Toc2198168"/>
      <w:bookmarkStart w:id="21462" w:name="_Toc19391672"/>
      <w:bookmarkStart w:id="21463" w:name="_Toc19395169"/>
      <w:bookmarkStart w:id="21464" w:name="_Toc2187239"/>
      <w:r>
        <w:rPr>
          <w:rFonts w:hint="cs"/>
          <w:rtl/>
        </w:rPr>
        <w:t>ביאור האו"ש והנאות יעקב בר"ן וברא"ה דאין העובר חשיב כשחוט אלא הותרו כל האיסורים שבו</w:t>
      </w:r>
      <w:bookmarkEnd w:id="21461"/>
      <w:bookmarkEnd w:id="21462"/>
      <w:bookmarkEnd w:id="21463"/>
    </w:p>
    <w:p w14:paraId="1935F960" w14:textId="77777777" w:rsidR="003D504D" w:rsidRDefault="003D504D" w:rsidP="00223668">
      <w:pPr>
        <w:pStyle w:val="a0"/>
        <w:rPr>
          <w:rtl/>
        </w:rPr>
      </w:pPr>
      <w:bookmarkStart w:id="21465" w:name="_Ref2195906"/>
      <w:r>
        <w:rPr>
          <w:rFonts w:hint="cs"/>
          <w:rtl/>
        </w:rPr>
        <w:t xml:space="preserve">ובדעת </w:t>
      </w:r>
      <w:r w:rsidRPr="006B5D82">
        <w:rPr>
          <w:rStyle w:val="af9"/>
          <w:rFonts w:hint="cs"/>
          <w:rtl/>
        </w:rPr>
        <w:t>הראשונים</w:t>
      </w:r>
      <w:r>
        <w:rPr>
          <w:rFonts w:hint="cs"/>
          <w:rtl/>
        </w:rPr>
        <w:t xml:space="preserve"> [</w:t>
      </w:r>
      <w:r w:rsidRPr="006B5D82">
        <w:rPr>
          <w:rStyle w:val="af9"/>
          <w:rFonts w:hint="cs"/>
          <w:rtl/>
        </w:rPr>
        <w:t>הר"ן והרא"ה</w:t>
      </w:r>
      <w:r w:rsidRPr="006B5D82">
        <w:rPr>
          <w:rFonts w:hint="cs"/>
          <w:rtl/>
        </w:rPr>
        <w:t>]</w:t>
      </w:r>
      <w:r>
        <w:rPr>
          <w:rFonts w:hint="cs"/>
          <w:rtl/>
        </w:rPr>
        <w:t xml:space="preserve"> </w:t>
      </w:r>
      <w:r w:rsidRPr="006B5D82">
        <w:rPr>
          <w:rStyle w:val="af7"/>
          <w:rFonts w:eastAsia="Guttman Hodes" w:hint="cs"/>
          <w:rtl/>
        </w:rPr>
        <w:t xml:space="preserve">(עי' אות </w:t>
      </w:r>
      <w:r w:rsidRPr="006B5D82">
        <w:rPr>
          <w:rStyle w:val="af7"/>
          <w:rFonts w:eastAsia="Guttman Hodes"/>
          <w:rtl/>
        </w:rPr>
        <w:fldChar w:fldCharType="begin"/>
      </w:r>
      <w:r w:rsidRPr="006B5D82">
        <w:rPr>
          <w:rStyle w:val="af7"/>
          <w:rFonts w:eastAsia="Guttman Hodes"/>
          <w:rtl/>
        </w:rPr>
        <w:instrText xml:space="preserve"> </w:instrText>
      </w:r>
      <w:r w:rsidRPr="006B5D82">
        <w:rPr>
          <w:rStyle w:val="af7"/>
          <w:rFonts w:eastAsia="Guttman Hodes" w:hint="cs"/>
        </w:rPr>
        <w:instrText>REF</w:instrText>
      </w:r>
      <w:r w:rsidRPr="006B5D82">
        <w:rPr>
          <w:rStyle w:val="af7"/>
          <w:rFonts w:eastAsia="Guttman Hodes" w:hint="cs"/>
          <w:rtl/>
        </w:rPr>
        <w:instrText xml:space="preserve"> _</w:instrText>
      </w:r>
      <w:r w:rsidRPr="006B5D82">
        <w:rPr>
          <w:rStyle w:val="af7"/>
          <w:rFonts w:eastAsia="Guttman Hodes" w:hint="cs"/>
        </w:rPr>
        <w:instrText>Ref2195774 \r \h</w:instrText>
      </w:r>
      <w:r w:rsidRPr="006B5D82">
        <w:rPr>
          <w:rStyle w:val="af7"/>
          <w:rFonts w:eastAsia="Guttman Hodes"/>
          <w:rtl/>
        </w:rPr>
        <w:instrText xml:space="preserve"> </w:instrText>
      </w:r>
      <w:r w:rsidRPr="006B5D82">
        <w:rPr>
          <w:rStyle w:val="af7"/>
          <w:rFonts w:eastAsia="Guttman Hodes"/>
          <w:rtl/>
        </w:rPr>
      </w:r>
      <w:r w:rsidRPr="006B5D82">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6B5D82">
        <w:rPr>
          <w:rStyle w:val="af7"/>
          <w:rFonts w:eastAsia="Guttman Hodes"/>
          <w:rtl/>
        </w:rPr>
        <w:fldChar w:fldCharType="end"/>
      </w:r>
      <w:r>
        <w:rPr>
          <w:rFonts w:hint="cs"/>
          <w:rtl/>
        </w:rPr>
        <w:t xml:space="preserve"> דהתירו בנמצא העובר טריפה, ביאר </w:t>
      </w:r>
      <w:r w:rsidRPr="006C4C8D">
        <w:rPr>
          <w:rStyle w:val="af9"/>
          <w:rFonts w:hint="cs"/>
          <w:rtl/>
        </w:rPr>
        <w:t>האו"ש</w:t>
      </w:r>
      <w:r w:rsidRPr="00B5698A">
        <w:rPr>
          <w:rFonts w:hint="cs"/>
          <w:rtl/>
        </w:rPr>
        <w:t xml:space="preserve"> </w:t>
      </w:r>
      <w:r w:rsidRPr="006C4C8D">
        <w:rPr>
          <w:rStyle w:val="af7"/>
          <w:rFonts w:eastAsia="Guttman Hodes" w:hint="cs"/>
          <w:rtl/>
        </w:rPr>
        <w:t>(מקואות פ"א ה"ח בהגה"ה)</w:t>
      </w:r>
      <w:r w:rsidRPr="00B5698A">
        <w:rPr>
          <w:rFonts w:hint="cs"/>
          <w:rtl/>
        </w:rPr>
        <w:t xml:space="preserve"> </w:t>
      </w:r>
      <w:r>
        <w:rPr>
          <w:rFonts w:hint="cs"/>
          <w:rtl/>
        </w:rPr>
        <w:t>דס"ל דהיתר בן פקועה אינו מחמת שחשיב שנשחט בשחיטת אמו, אלא ד</w:t>
      </w:r>
      <w:r w:rsidRPr="00B5698A">
        <w:rPr>
          <w:rFonts w:hint="cs"/>
          <w:rtl/>
        </w:rPr>
        <w:t>שחיטת אמו מתירתו מדין "</w:t>
      </w:r>
      <w:r>
        <w:rPr>
          <w:rFonts w:hint="cs"/>
          <w:rtl/>
        </w:rPr>
        <w:t xml:space="preserve">כל </w:t>
      </w:r>
      <w:r w:rsidRPr="00B5698A">
        <w:rPr>
          <w:rFonts w:hint="cs"/>
          <w:rtl/>
        </w:rPr>
        <w:t>בבהמה</w:t>
      </w:r>
      <w:r>
        <w:rPr>
          <w:rFonts w:hint="cs"/>
          <w:rtl/>
        </w:rPr>
        <w:t xml:space="preserve"> תאכלו</w:t>
      </w:r>
      <w:r w:rsidRPr="00B5698A">
        <w:rPr>
          <w:rFonts w:hint="cs"/>
          <w:rtl/>
        </w:rPr>
        <w:t>",</w:t>
      </w:r>
      <w:r>
        <w:rPr>
          <w:rFonts w:hint="cs"/>
          <w:rtl/>
        </w:rPr>
        <w:t xml:space="preserve"> דחשיב כאחד מאבריה, וכיון שבשחיטת הבהמה היא מותרת אף בלא כוונה, ה"ה דהעובר מותר אף כשאינו מתכוון להתירו, וכ"כ </w:t>
      </w:r>
      <w:r w:rsidRPr="005863D3">
        <w:rPr>
          <w:rStyle w:val="af9"/>
          <w:rFonts w:hint="cs"/>
          <w:rtl/>
        </w:rPr>
        <w:t>הנאות יעקב</w:t>
      </w:r>
      <w:r>
        <w:rPr>
          <w:rFonts w:hint="cs"/>
          <w:rtl/>
        </w:rPr>
        <w:t xml:space="preserve"> </w:t>
      </w:r>
      <w:r w:rsidRPr="006C4C8D">
        <w:rPr>
          <w:rStyle w:val="af7"/>
          <w:rFonts w:eastAsia="Guttman Hodes" w:hint="cs"/>
          <w:rtl/>
        </w:rPr>
        <w:t>(סי' כ"ב ס"ק ו' ד"ה ולדידי)</w:t>
      </w:r>
      <w:r>
        <w:rPr>
          <w:rFonts w:hint="cs"/>
          <w:rtl/>
        </w:rPr>
        <w:t xml:space="preserve"> דס"ל דע"י היתר </w:t>
      </w:r>
      <w:r w:rsidRPr="00B5698A">
        <w:rPr>
          <w:rFonts w:hint="cs"/>
          <w:rtl/>
        </w:rPr>
        <w:t>"</w:t>
      </w:r>
      <w:r>
        <w:rPr>
          <w:rFonts w:hint="cs"/>
          <w:rtl/>
        </w:rPr>
        <w:t xml:space="preserve">כל </w:t>
      </w:r>
      <w:r w:rsidRPr="00B5698A">
        <w:rPr>
          <w:rFonts w:hint="cs"/>
          <w:rtl/>
        </w:rPr>
        <w:t>בבהמה</w:t>
      </w:r>
      <w:r>
        <w:rPr>
          <w:rFonts w:hint="cs"/>
          <w:rtl/>
        </w:rPr>
        <w:t xml:space="preserve"> תאכלו</w:t>
      </w:r>
      <w:r w:rsidRPr="00B5698A">
        <w:rPr>
          <w:rFonts w:hint="cs"/>
          <w:rtl/>
        </w:rPr>
        <w:t>"</w:t>
      </w:r>
      <w:r>
        <w:rPr>
          <w:rFonts w:hint="cs"/>
          <w:rtl/>
        </w:rPr>
        <w:t xml:space="preserve"> הותרו כל האיסורים שבו ולכן אף שנמצא העובר טריפה הוא מותר, וכן ביאר </w:t>
      </w:r>
      <w:r w:rsidRPr="006B5D82">
        <w:rPr>
          <w:rStyle w:val="af9"/>
          <w:rFonts w:hint="cs"/>
          <w:rtl/>
        </w:rPr>
        <w:t>הנאות יעקב</w:t>
      </w:r>
      <w:r>
        <w:rPr>
          <w:rFonts w:hint="cs"/>
          <w:rtl/>
        </w:rPr>
        <w:t xml:space="preserve"> בדברי </w:t>
      </w:r>
      <w:r w:rsidRPr="006B5D82">
        <w:rPr>
          <w:rStyle w:val="af9"/>
          <w:rFonts w:hint="cs"/>
          <w:rtl/>
        </w:rPr>
        <w:t>הרא"ש</w:t>
      </w:r>
      <w:r>
        <w:rPr>
          <w:rFonts w:hint="cs"/>
          <w:rtl/>
        </w:rPr>
        <w:t xml:space="preserve"> </w:t>
      </w:r>
      <w:r w:rsidRPr="006B5D82">
        <w:rPr>
          <w:rStyle w:val="af7"/>
          <w:rFonts w:eastAsia="Guttman Hodes" w:hint="cs"/>
          <w:rtl/>
        </w:rPr>
        <w:t xml:space="preserve">(עי' אות </w:t>
      </w:r>
      <w:r w:rsidRPr="006B5D82">
        <w:rPr>
          <w:rStyle w:val="af7"/>
          <w:rFonts w:eastAsia="Guttman Hodes"/>
          <w:rtl/>
        </w:rPr>
        <w:fldChar w:fldCharType="begin"/>
      </w:r>
      <w:r w:rsidRPr="006B5D82">
        <w:rPr>
          <w:rStyle w:val="af7"/>
          <w:rFonts w:eastAsia="Guttman Hodes"/>
          <w:rtl/>
        </w:rPr>
        <w:instrText xml:space="preserve"> </w:instrText>
      </w:r>
      <w:r w:rsidRPr="006B5D82">
        <w:rPr>
          <w:rStyle w:val="af7"/>
          <w:rFonts w:eastAsia="Guttman Hodes" w:hint="cs"/>
        </w:rPr>
        <w:instrText>REF</w:instrText>
      </w:r>
      <w:r w:rsidRPr="006B5D82">
        <w:rPr>
          <w:rStyle w:val="af7"/>
          <w:rFonts w:eastAsia="Guttman Hodes" w:hint="cs"/>
          <w:rtl/>
        </w:rPr>
        <w:instrText xml:space="preserve"> _</w:instrText>
      </w:r>
      <w:r w:rsidRPr="006B5D82">
        <w:rPr>
          <w:rStyle w:val="af7"/>
          <w:rFonts w:eastAsia="Guttman Hodes" w:hint="cs"/>
        </w:rPr>
        <w:instrText>Ref2161174 \r \h</w:instrText>
      </w:r>
      <w:r w:rsidRPr="006B5D82">
        <w:rPr>
          <w:rStyle w:val="af7"/>
          <w:rFonts w:eastAsia="Guttman Hodes"/>
          <w:rtl/>
        </w:rPr>
        <w:instrText xml:space="preserve"> </w:instrText>
      </w:r>
      <w:r w:rsidRPr="006B5D82">
        <w:rPr>
          <w:rStyle w:val="af7"/>
          <w:rFonts w:eastAsia="Guttman Hodes"/>
          <w:rtl/>
        </w:rPr>
      </w:r>
      <w:r w:rsidRPr="006B5D82">
        <w:rPr>
          <w:rStyle w:val="af7"/>
          <w:rFonts w:eastAsia="Guttman Hodes"/>
          <w:rtl/>
        </w:rPr>
        <w:fldChar w:fldCharType="separate"/>
      </w:r>
      <w:r w:rsidR="00345400">
        <w:rPr>
          <w:rStyle w:val="af7"/>
          <w:rFonts w:eastAsia="Guttman Hodes"/>
          <w:cs/>
        </w:rPr>
        <w:t>‎</w:t>
      </w:r>
      <w:r w:rsidR="00345400">
        <w:rPr>
          <w:rStyle w:val="af7"/>
          <w:rFonts w:eastAsia="Guttman Hodes"/>
          <w:rtl/>
        </w:rPr>
        <w:t>סא)</w:t>
      </w:r>
      <w:r w:rsidRPr="006B5D82">
        <w:rPr>
          <w:rStyle w:val="af7"/>
          <w:rFonts w:eastAsia="Guttman Hodes"/>
          <w:rtl/>
        </w:rPr>
        <w:fldChar w:fldCharType="end"/>
      </w:r>
      <w:r>
        <w:rPr>
          <w:rFonts w:hint="cs"/>
          <w:rtl/>
        </w:rPr>
        <w:t xml:space="preserve"> </w:t>
      </w:r>
      <w:r w:rsidRPr="006B5D82">
        <w:rPr>
          <w:rStyle w:val="af9"/>
          <w:rFonts w:hint="cs"/>
          <w:rtl/>
        </w:rPr>
        <w:t>ורש"י</w:t>
      </w:r>
      <w:r>
        <w:rPr>
          <w:rFonts w:hint="cs"/>
          <w:rtl/>
        </w:rPr>
        <w:t xml:space="preserve"> </w:t>
      </w:r>
      <w:r w:rsidRPr="006B5D82">
        <w:rPr>
          <w:rStyle w:val="af7"/>
          <w:rFonts w:eastAsia="Guttman Hodes" w:hint="cs"/>
          <w:rtl/>
        </w:rPr>
        <w:t xml:space="preserve">(עי' אות </w:t>
      </w:r>
      <w:r w:rsidRPr="006B5D82">
        <w:rPr>
          <w:rStyle w:val="af7"/>
          <w:rFonts w:eastAsia="Guttman Hodes"/>
          <w:rtl/>
        </w:rPr>
        <w:fldChar w:fldCharType="begin"/>
      </w:r>
      <w:r w:rsidRPr="006B5D82">
        <w:rPr>
          <w:rStyle w:val="af7"/>
          <w:rFonts w:eastAsia="Guttman Hodes"/>
          <w:rtl/>
        </w:rPr>
        <w:instrText xml:space="preserve"> </w:instrText>
      </w:r>
      <w:r w:rsidRPr="006B5D82">
        <w:rPr>
          <w:rStyle w:val="af7"/>
          <w:rFonts w:eastAsia="Guttman Hodes" w:hint="cs"/>
        </w:rPr>
        <w:instrText>REF</w:instrText>
      </w:r>
      <w:r w:rsidRPr="006B5D82">
        <w:rPr>
          <w:rStyle w:val="af7"/>
          <w:rFonts w:eastAsia="Guttman Hodes" w:hint="cs"/>
          <w:rtl/>
        </w:rPr>
        <w:instrText xml:space="preserve"> _</w:instrText>
      </w:r>
      <w:r w:rsidRPr="006B5D82">
        <w:rPr>
          <w:rStyle w:val="af7"/>
          <w:rFonts w:eastAsia="Guttman Hodes" w:hint="cs"/>
        </w:rPr>
        <w:instrText>Ref2195842 \r \h</w:instrText>
      </w:r>
      <w:r w:rsidRPr="006B5D82">
        <w:rPr>
          <w:rStyle w:val="af7"/>
          <w:rFonts w:eastAsia="Guttman Hodes"/>
          <w:rtl/>
        </w:rPr>
        <w:instrText xml:space="preserve"> </w:instrText>
      </w:r>
      <w:r w:rsidRPr="006B5D82">
        <w:rPr>
          <w:rStyle w:val="af7"/>
          <w:rFonts w:eastAsia="Guttman Hodes"/>
          <w:rtl/>
        </w:rPr>
      </w:r>
      <w:r w:rsidRPr="006B5D82">
        <w:rPr>
          <w:rStyle w:val="af7"/>
          <w:rFonts w:eastAsia="Guttman Hodes"/>
          <w:rtl/>
        </w:rPr>
        <w:fldChar w:fldCharType="separate"/>
      </w:r>
      <w:r w:rsidR="00345400">
        <w:rPr>
          <w:rStyle w:val="af7"/>
          <w:rFonts w:eastAsia="Guttman Hodes"/>
          <w:cs/>
        </w:rPr>
        <w:t>‎</w:t>
      </w:r>
      <w:r w:rsidR="00345400">
        <w:rPr>
          <w:rStyle w:val="af7"/>
          <w:rFonts w:eastAsia="Guttman Hodes"/>
          <w:rtl/>
        </w:rPr>
        <w:t>סב)</w:t>
      </w:r>
      <w:r w:rsidRPr="006B5D82">
        <w:rPr>
          <w:rStyle w:val="af7"/>
          <w:rFonts w:eastAsia="Guttman Hodes"/>
          <w:rtl/>
        </w:rPr>
        <w:fldChar w:fldCharType="end"/>
      </w:r>
      <w:r>
        <w:rPr>
          <w:rFonts w:hint="cs"/>
          <w:rtl/>
        </w:rPr>
        <w:t>.</w:t>
      </w:r>
      <w:bookmarkEnd w:id="21465"/>
      <w:r>
        <w:rPr>
          <w:rFonts w:hint="cs"/>
          <w:rtl/>
        </w:rPr>
        <w:t xml:space="preserve"> </w:t>
      </w:r>
    </w:p>
    <w:p w14:paraId="46AC9E3C" w14:textId="77777777" w:rsidR="003D504D" w:rsidRDefault="003D504D" w:rsidP="003D504D">
      <w:pPr>
        <w:pStyle w:val="afe"/>
        <w:rPr>
          <w:rtl/>
        </w:rPr>
      </w:pPr>
      <w:bookmarkStart w:id="21466" w:name="_Toc2198169"/>
      <w:bookmarkStart w:id="21467" w:name="_Toc19436250"/>
      <w:bookmarkStart w:id="21468" w:name="_Toc20081405"/>
      <w:r>
        <w:rPr>
          <w:rFonts w:hint="cs"/>
          <w:rtl/>
        </w:rPr>
        <w:t>פלוגתת רש"י והראשונים בבן ט' לר"מ</w:t>
      </w:r>
      <w:bookmarkEnd w:id="21464"/>
      <w:bookmarkEnd w:id="21466"/>
      <w:bookmarkEnd w:id="21467"/>
      <w:bookmarkEnd w:id="21468"/>
    </w:p>
    <w:p w14:paraId="673F2CC6" w14:textId="77777777" w:rsidR="003D504D" w:rsidRPr="002A56BB" w:rsidRDefault="003D504D" w:rsidP="00BF39B2">
      <w:pPr>
        <w:pStyle w:val="1"/>
        <w:rPr>
          <w:rtl/>
        </w:rPr>
      </w:pPr>
      <w:bookmarkStart w:id="21469" w:name="_Toc2164473"/>
      <w:bookmarkStart w:id="21470" w:name="_Toc2187240"/>
      <w:bookmarkStart w:id="21471" w:name="_Toc2198170"/>
      <w:bookmarkStart w:id="21472" w:name="_Toc19391673"/>
      <w:bookmarkStart w:id="21473" w:name="_Toc19395170"/>
      <w:r w:rsidRPr="002A56BB">
        <w:rPr>
          <w:rFonts w:hint="cs"/>
          <w:rtl/>
        </w:rPr>
        <w:t>דברי רש"י דלר"מ בן ט' חי חשיב כבהמה דחדשים גרמי</w:t>
      </w:r>
      <w:bookmarkEnd w:id="21469"/>
      <w:bookmarkEnd w:id="21470"/>
      <w:bookmarkEnd w:id="21471"/>
      <w:bookmarkEnd w:id="21472"/>
      <w:bookmarkEnd w:id="21473"/>
      <w:r w:rsidRPr="002A56BB">
        <w:rPr>
          <w:rFonts w:hint="cs"/>
          <w:rtl/>
        </w:rPr>
        <w:t xml:space="preserve"> </w:t>
      </w:r>
    </w:p>
    <w:p w14:paraId="7DA5A4FB" w14:textId="77777777" w:rsidR="003D504D" w:rsidRPr="002A56BB" w:rsidRDefault="003D504D" w:rsidP="003D504D">
      <w:pPr>
        <w:pStyle w:val="a3"/>
        <w:rPr>
          <w:rtl/>
        </w:rPr>
      </w:pPr>
      <w:bookmarkStart w:id="21474" w:name="_Toc2164474"/>
      <w:bookmarkStart w:id="21475" w:name="_Toc2187241"/>
      <w:bookmarkStart w:id="21476" w:name="_Toc2198171"/>
      <w:bookmarkStart w:id="21477" w:name="_Toc19391674"/>
      <w:bookmarkStart w:id="21478" w:name="_Toc19395171"/>
      <w:r w:rsidRPr="002A56BB">
        <w:rPr>
          <w:rFonts w:hint="cs"/>
          <w:rtl/>
        </w:rPr>
        <w:t>דברי רש"י דלר"מ בן ט' חי חדשים גרמי להחשיבו כבהמה ואינו מותר בשחיטת אמו</w:t>
      </w:r>
      <w:bookmarkEnd w:id="21474"/>
      <w:bookmarkEnd w:id="21475"/>
      <w:bookmarkEnd w:id="21476"/>
      <w:bookmarkEnd w:id="21477"/>
      <w:bookmarkEnd w:id="21478"/>
    </w:p>
    <w:p w14:paraId="56B73774" w14:textId="77777777" w:rsidR="003D504D" w:rsidRDefault="003D504D" w:rsidP="00223668">
      <w:pPr>
        <w:pStyle w:val="a0"/>
        <w:rPr>
          <w:rtl/>
        </w:rPr>
      </w:pPr>
      <w:r w:rsidRPr="002A56BB">
        <w:rPr>
          <w:rFonts w:hint="cs"/>
          <w:rtl/>
        </w:rPr>
        <w:t xml:space="preserve">כתב </w:t>
      </w:r>
      <w:r w:rsidRPr="002A56BB">
        <w:rPr>
          <w:rStyle w:val="af9"/>
          <w:rFonts w:hint="cs"/>
          <w:rtl/>
        </w:rPr>
        <w:t>רש"י</w:t>
      </w:r>
      <w:r w:rsidRPr="002A56BB">
        <w:rPr>
          <w:rFonts w:hint="cs"/>
          <w:rtl/>
        </w:rPr>
        <w:t xml:space="preserve"> </w:t>
      </w:r>
      <w:r w:rsidRPr="002A56BB">
        <w:rPr>
          <w:rStyle w:val="af7"/>
          <w:rFonts w:eastAsia="Guttman Hodes" w:hint="cs"/>
          <w:rtl/>
        </w:rPr>
        <w:t>(ד"ה טעון שחיטה)</w:t>
      </w:r>
      <w:r w:rsidRPr="002A56BB">
        <w:rPr>
          <w:rFonts w:hint="cs"/>
          <w:rtl/>
        </w:rPr>
        <w:t xml:space="preserve"> </w:t>
      </w:r>
      <w:r>
        <w:rPr>
          <w:rFonts w:hint="cs"/>
          <w:rtl/>
        </w:rPr>
        <w:t>ד</w:t>
      </w:r>
      <w:r w:rsidRPr="002A56BB">
        <w:rPr>
          <w:rFonts w:hint="cs"/>
          <w:rtl/>
        </w:rPr>
        <w:t>בבן ט' חי ס"ל לר"מ דכיון דכלו לו חדשיו, החדשים גרמי להחשיבו כבהמה בפנ"ע, ואינו בכלל היתר "כל בבהמה תאכלו.</w:t>
      </w:r>
    </w:p>
    <w:p w14:paraId="4DD74A29" w14:textId="77777777" w:rsidR="00BF0B39" w:rsidRPr="00BF0B39" w:rsidRDefault="00BF0B39" w:rsidP="00BF0B39">
      <w:pPr>
        <w:pStyle w:val="a3"/>
        <w:rPr>
          <w:rtl/>
        </w:rPr>
      </w:pPr>
    </w:p>
    <w:p w14:paraId="5744EBBF" w14:textId="77777777" w:rsidR="00BF0B39" w:rsidRPr="00BF0B39" w:rsidRDefault="00BF0B39" w:rsidP="00BF0B39">
      <w:pPr>
        <w:pStyle w:val="a3"/>
        <w:rPr>
          <w:rtl/>
        </w:rPr>
      </w:pPr>
    </w:p>
    <w:p w14:paraId="0A14EAF6" w14:textId="77777777" w:rsidR="003D504D" w:rsidRPr="002A56BB" w:rsidRDefault="003D504D" w:rsidP="003D504D">
      <w:pPr>
        <w:pStyle w:val="a3"/>
        <w:rPr>
          <w:rtl/>
        </w:rPr>
      </w:pPr>
      <w:bookmarkStart w:id="21479" w:name="_Toc2164475"/>
      <w:bookmarkStart w:id="21480" w:name="_Toc2187242"/>
      <w:bookmarkStart w:id="21481" w:name="_Toc2198172"/>
      <w:bookmarkStart w:id="21482" w:name="_Toc19391675"/>
      <w:bookmarkStart w:id="21483" w:name="_Toc19395172"/>
      <w:r w:rsidRPr="002A56BB">
        <w:rPr>
          <w:rFonts w:hint="cs"/>
          <w:rtl/>
        </w:rPr>
        <w:t>הבנת הרמב"ן והרשב"א והרא"ש ברש"י דלר"מ חדשים לבד גרמי להחשיבו כבהמה בפנ"ע</w:t>
      </w:r>
      <w:bookmarkEnd w:id="21374"/>
      <w:bookmarkEnd w:id="21375"/>
      <w:bookmarkEnd w:id="21376"/>
      <w:bookmarkEnd w:id="21377"/>
      <w:bookmarkEnd w:id="21378"/>
      <w:bookmarkEnd w:id="21479"/>
      <w:bookmarkEnd w:id="21480"/>
      <w:bookmarkEnd w:id="21481"/>
      <w:bookmarkEnd w:id="21482"/>
      <w:bookmarkEnd w:id="21483"/>
      <w:r w:rsidRPr="002A56BB">
        <w:rPr>
          <w:rFonts w:hint="cs"/>
          <w:rtl/>
        </w:rPr>
        <w:t xml:space="preserve"> </w:t>
      </w:r>
    </w:p>
    <w:p w14:paraId="5F869A69" w14:textId="77777777" w:rsidR="003D504D" w:rsidRPr="002A56BB" w:rsidRDefault="003D504D" w:rsidP="00223668">
      <w:pPr>
        <w:pStyle w:val="a0"/>
        <w:rPr>
          <w:rtl/>
        </w:rPr>
      </w:pPr>
      <w:bookmarkStart w:id="21484" w:name="_Ref1723409"/>
      <w:r w:rsidRPr="002A56BB">
        <w:rPr>
          <w:rFonts w:hint="cs"/>
          <w:rtl/>
        </w:rPr>
        <w:t xml:space="preserve">וכתבו </w:t>
      </w:r>
      <w:r w:rsidRPr="002A56BB">
        <w:rPr>
          <w:rStyle w:val="af9"/>
          <w:rFonts w:hint="cs"/>
          <w:rtl/>
        </w:rPr>
        <w:t>הרמב"ן</w:t>
      </w:r>
      <w:r w:rsidRPr="002A56BB">
        <w:rPr>
          <w:rFonts w:hint="cs"/>
          <w:rtl/>
        </w:rPr>
        <w:t xml:space="preserve"> </w:t>
      </w:r>
      <w:r w:rsidRPr="002A56BB">
        <w:rPr>
          <w:rStyle w:val="af7"/>
          <w:rFonts w:eastAsia="Guttman Hodes" w:hint="cs"/>
          <w:rtl/>
        </w:rPr>
        <w:t>(ד"ה הא)</w:t>
      </w:r>
      <w:r w:rsidRPr="002A56BB">
        <w:rPr>
          <w:rFonts w:hint="cs"/>
          <w:rtl/>
        </w:rPr>
        <w:t xml:space="preserve"> </w:t>
      </w:r>
      <w:r w:rsidRPr="002A56BB">
        <w:rPr>
          <w:rStyle w:val="af9"/>
          <w:rFonts w:hint="cs"/>
          <w:rtl/>
        </w:rPr>
        <w:t>והרשב"א</w:t>
      </w:r>
      <w:r w:rsidRPr="002A56BB">
        <w:rPr>
          <w:rFonts w:hint="cs"/>
          <w:rtl/>
        </w:rPr>
        <w:t xml:space="preserve"> </w:t>
      </w:r>
      <w:r w:rsidRPr="002A56BB">
        <w:rPr>
          <w:rStyle w:val="af7"/>
          <w:rFonts w:eastAsia="Guttman Hodes" w:hint="cs"/>
          <w:rtl/>
        </w:rPr>
        <w:t>(ד"ה מצא)</w:t>
      </w:r>
      <w:r w:rsidRPr="002A56BB">
        <w:rPr>
          <w:rFonts w:hint="cs"/>
          <w:rtl/>
        </w:rPr>
        <w:t xml:space="preserve"> </w:t>
      </w:r>
      <w:r w:rsidRPr="002A56BB">
        <w:rPr>
          <w:rStyle w:val="af9"/>
          <w:rFonts w:hint="cs"/>
          <w:rtl/>
        </w:rPr>
        <w:t>והרא"ש</w:t>
      </w:r>
      <w:r w:rsidRPr="002A56BB">
        <w:rPr>
          <w:rFonts w:hint="cs"/>
          <w:rtl/>
        </w:rPr>
        <w:t xml:space="preserve"> </w:t>
      </w:r>
      <w:r w:rsidRPr="002A56BB">
        <w:rPr>
          <w:rStyle w:val="af7"/>
          <w:rFonts w:eastAsia="Guttman Hodes" w:hint="cs"/>
          <w:rtl/>
        </w:rPr>
        <w:t>(סי' ה')</w:t>
      </w:r>
      <w:r w:rsidRPr="002A56BB">
        <w:rPr>
          <w:rFonts w:hint="cs"/>
          <w:rtl/>
        </w:rPr>
        <w:t xml:space="preserve"> דמבואר מדברי </w:t>
      </w:r>
      <w:r w:rsidRPr="002A56BB">
        <w:rPr>
          <w:rStyle w:val="af9"/>
          <w:rFonts w:hint="cs"/>
          <w:rtl/>
        </w:rPr>
        <w:t>רש"י</w:t>
      </w:r>
      <w:r w:rsidRPr="002A56BB">
        <w:rPr>
          <w:rFonts w:hint="cs"/>
          <w:rtl/>
        </w:rPr>
        <w:t xml:space="preserve"> דס"ל לר"מ דחדשים לבד גרמי שיחשב בהמה בפנ"ע, ולכן לא מהני השחיטה לבן ט' חי, ועי' במה שהקשו </w:t>
      </w:r>
      <w:r w:rsidRPr="002A56BB">
        <w:rPr>
          <w:rStyle w:val="af9"/>
          <w:rFonts w:hint="cs"/>
          <w:rtl/>
        </w:rPr>
        <w:t>האחרונים</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Ref1723432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כט)</w:t>
      </w:r>
      <w:r w:rsidRPr="002A56BB">
        <w:rPr>
          <w:rStyle w:val="af7"/>
          <w:rFonts w:eastAsia="Guttman Hodes"/>
          <w:rtl/>
        </w:rPr>
        <w:fldChar w:fldCharType="end"/>
      </w:r>
      <w:r w:rsidRPr="002A56BB">
        <w:rPr>
          <w:rFonts w:hint="cs"/>
          <w:rtl/>
        </w:rPr>
        <w:t xml:space="preserve"> בסתירת דברי </w:t>
      </w:r>
      <w:r w:rsidRPr="002A56BB">
        <w:rPr>
          <w:rStyle w:val="af9"/>
          <w:rFonts w:hint="cs"/>
          <w:rtl/>
        </w:rPr>
        <w:t>רש"י</w:t>
      </w:r>
      <w:r w:rsidRPr="002A56BB">
        <w:rPr>
          <w:rFonts w:hint="cs"/>
          <w:rtl/>
        </w:rPr>
        <w:t>.</w:t>
      </w:r>
      <w:bookmarkEnd w:id="21484"/>
    </w:p>
    <w:p w14:paraId="49DE8D14" w14:textId="77777777" w:rsidR="003D504D" w:rsidRPr="002A56BB" w:rsidRDefault="003D504D" w:rsidP="00BF39B2">
      <w:pPr>
        <w:pStyle w:val="1"/>
        <w:rPr>
          <w:rtl/>
        </w:rPr>
      </w:pPr>
      <w:bookmarkStart w:id="21485" w:name="_Toc1592211"/>
      <w:bookmarkStart w:id="21486" w:name="_Toc1668742"/>
      <w:bookmarkStart w:id="21487" w:name="_Toc1716632"/>
      <w:bookmarkStart w:id="21488" w:name="_Toc1725780"/>
      <w:bookmarkStart w:id="21489" w:name="_Toc1728158"/>
      <w:bookmarkStart w:id="21490" w:name="_Toc1938698"/>
      <w:bookmarkStart w:id="21491" w:name="_Toc1938791"/>
      <w:bookmarkStart w:id="21492" w:name="_Toc2078469"/>
      <w:bookmarkStart w:id="21493" w:name="_Toc2164476"/>
      <w:bookmarkStart w:id="21494" w:name="_Toc2187243"/>
      <w:bookmarkStart w:id="21495" w:name="_Toc2198173"/>
      <w:bookmarkStart w:id="21496" w:name="_Toc19391676"/>
      <w:bookmarkStart w:id="21497" w:name="_Toc19395173"/>
      <w:r w:rsidRPr="002A56BB">
        <w:rPr>
          <w:rFonts w:hint="cs"/>
          <w:rtl/>
        </w:rPr>
        <w:t xml:space="preserve">קושיות </w:t>
      </w:r>
      <w:bookmarkEnd w:id="21485"/>
      <w:bookmarkEnd w:id="21486"/>
      <w:bookmarkEnd w:id="21487"/>
      <w:r w:rsidRPr="002A56BB">
        <w:rPr>
          <w:rFonts w:hint="cs"/>
          <w:rtl/>
        </w:rPr>
        <w:t>הראשונים על רש"י דא"א לומר דלר"מ חדשים גרמי</w:t>
      </w:r>
      <w:bookmarkEnd w:id="21488"/>
      <w:bookmarkEnd w:id="21489"/>
      <w:bookmarkEnd w:id="21490"/>
      <w:bookmarkEnd w:id="21491"/>
      <w:bookmarkEnd w:id="21492"/>
      <w:bookmarkEnd w:id="21493"/>
      <w:bookmarkEnd w:id="21494"/>
      <w:bookmarkEnd w:id="21495"/>
      <w:bookmarkEnd w:id="21496"/>
      <w:bookmarkEnd w:id="21497"/>
    </w:p>
    <w:p w14:paraId="79D7176C" w14:textId="77777777" w:rsidR="003D504D" w:rsidRPr="002A56BB" w:rsidRDefault="003D504D" w:rsidP="003D504D">
      <w:pPr>
        <w:pStyle w:val="a3"/>
        <w:rPr>
          <w:rtl/>
        </w:rPr>
      </w:pPr>
      <w:bookmarkStart w:id="21498" w:name="_Toc1725781"/>
      <w:bookmarkStart w:id="21499" w:name="_Toc1728159"/>
      <w:bookmarkStart w:id="21500" w:name="_Toc1938699"/>
      <w:bookmarkStart w:id="21501" w:name="_Toc1938792"/>
      <w:bookmarkStart w:id="21502" w:name="_Toc2078470"/>
      <w:bookmarkStart w:id="21503" w:name="_Toc2164477"/>
      <w:bookmarkStart w:id="21504" w:name="_Toc2187244"/>
      <w:bookmarkStart w:id="21505" w:name="_Toc2198174"/>
      <w:bookmarkStart w:id="21506" w:name="_Toc19391677"/>
      <w:bookmarkStart w:id="21507" w:name="_Toc19395174"/>
      <w:r w:rsidRPr="002A56BB">
        <w:rPr>
          <w:rFonts w:hint="cs"/>
          <w:rtl/>
        </w:rPr>
        <w:t>קושית הרמב"ן והרשב"א דאמאי לא גרמי החדשים לאסור בן ט' מת לדעת ר"מ</w:t>
      </w:r>
      <w:bookmarkEnd w:id="21498"/>
      <w:bookmarkEnd w:id="21499"/>
      <w:bookmarkEnd w:id="21500"/>
      <w:bookmarkEnd w:id="21501"/>
      <w:bookmarkEnd w:id="21502"/>
      <w:bookmarkEnd w:id="21503"/>
      <w:bookmarkEnd w:id="21504"/>
      <w:bookmarkEnd w:id="21505"/>
      <w:bookmarkEnd w:id="21506"/>
      <w:bookmarkEnd w:id="21507"/>
    </w:p>
    <w:p w14:paraId="4BAA7E4C" w14:textId="77777777" w:rsidR="003D504D" w:rsidRPr="002A56BB" w:rsidRDefault="003D504D" w:rsidP="00223668">
      <w:pPr>
        <w:pStyle w:val="a0"/>
        <w:rPr>
          <w:rtl/>
        </w:rPr>
      </w:pPr>
      <w:bookmarkStart w:id="21508" w:name="_Ref1589357"/>
      <w:r w:rsidRPr="002A56BB">
        <w:rPr>
          <w:rFonts w:hint="cs"/>
          <w:rtl/>
        </w:rPr>
        <w:t xml:space="preserve">והקשו </w:t>
      </w:r>
      <w:r w:rsidRPr="002A56BB">
        <w:rPr>
          <w:rStyle w:val="af9"/>
          <w:rFonts w:hint="cs"/>
          <w:rtl/>
        </w:rPr>
        <w:t>הרמב"ן</w:t>
      </w:r>
      <w:r w:rsidRPr="002A56BB">
        <w:rPr>
          <w:rFonts w:hint="cs"/>
          <w:rtl/>
        </w:rPr>
        <w:t xml:space="preserve"> </w:t>
      </w:r>
      <w:r w:rsidRPr="002A56BB">
        <w:rPr>
          <w:rStyle w:val="af7"/>
          <w:rFonts w:eastAsia="Guttman Hodes" w:hint="cs"/>
          <w:rtl/>
        </w:rPr>
        <w:t>(ד"ה הא)</w:t>
      </w:r>
      <w:r w:rsidRPr="002A56BB">
        <w:rPr>
          <w:rFonts w:hint="cs"/>
          <w:rtl/>
        </w:rPr>
        <w:t xml:space="preserve"> </w:t>
      </w:r>
      <w:r w:rsidRPr="002A56BB">
        <w:rPr>
          <w:rStyle w:val="af9"/>
          <w:rFonts w:hint="cs"/>
          <w:rtl/>
        </w:rPr>
        <w:t>והרשב"א</w:t>
      </w:r>
      <w:r w:rsidRPr="002A56BB">
        <w:rPr>
          <w:rFonts w:hint="cs"/>
          <w:rtl/>
        </w:rPr>
        <w:t xml:space="preserve"> </w:t>
      </w:r>
      <w:r w:rsidRPr="002A56BB">
        <w:rPr>
          <w:rStyle w:val="af7"/>
          <w:rFonts w:eastAsia="Guttman Hodes" w:hint="cs"/>
          <w:rtl/>
        </w:rPr>
        <w:t>(ד"ה מצא)</w:t>
      </w:r>
      <w:r w:rsidRPr="002A56BB">
        <w:rPr>
          <w:rFonts w:hint="cs"/>
          <w:rtl/>
        </w:rPr>
        <w:t xml:space="preserve"> על </w:t>
      </w:r>
      <w:r w:rsidRPr="002A56BB">
        <w:rPr>
          <w:rStyle w:val="af9"/>
          <w:rFonts w:hint="cs"/>
          <w:rtl/>
        </w:rPr>
        <w:t>רש"י</w:t>
      </w:r>
      <w:r w:rsidRPr="002A56BB">
        <w:rPr>
          <w:rFonts w:hint="cs"/>
          <w:rtl/>
        </w:rPr>
        <w:t xml:space="preserve"> דאי לר"מ חדשים גרמי שיחשב בהמה בפנ"ע, א"כ אמאי התיר ר"מ בן ט' מת בשחיטת אמו, הרי כלו לו חדשיו לפני שמת, והחדשים גרמי שיחשב כבהמה בפנ"ע, והיאך הותר בשחיטת אמו.</w:t>
      </w:r>
      <w:bookmarkEnd w:id="21508"/>
    </w:p>
    <w:p w14:paraId="66BC1162" w14:textId="77777777" w:rsidR="003D504D" w:rsidRPr="002A56BB" w:rsidRDefault="003D504D" w:rsidP="003D504D">
      <w:pPr>
        <w:pStyle w:val="a3"/>
      </w:pPr>
      <w:bookmarkStart w:id="21509" w:name="_Toc1725782"/>
      <w:bookmarkStart w:id="21510" w:name="_Toc1728160"/>
      <w:bookmarkStart w:id="21511" w:name="_Toc1938700"/>
      <w:bookmarkStart w:id="21512" w:name="_Toc1938793"/>
      <w:bookmarkStart w:id="21513" w:name="_Toc2078471"/>
      <w:bookmarkStart w:id="21514" w:name="_Toc2164478"/>
      <w:bookmarkStart w:id="21515" w:name="_Toc2187245"/>
      <w:bookmarkStart w:id="21516" w:name="_Toc2198175"/>
      <w:bookmarkStart w:id="21517" w:name="_Toc19391678"/>
      <w:bookmarkStart w:id="21518" w:name="_Toc19395175"/>
      <w:r w:rsidRPr="002A56BB">
        <w:rPr>
          <w:rFonts w:hint="cs"/>
          <w:rtl/>
        </w:rPr>
        <w:t>קושית הרא"ש דלרש"י בנמצא בן ט' מת צריך לחוש שהיה חי בשעת שחיטה ול"מ לו שחיטת אמו</w:t>
      </w:r>
      <w:bookmarkEnd w:id="21509"/>
      <w:bookmarkEnd w:id="21510"/>
      <w:bookmarkEnd w:id="21511"/>
      <w:bookmarkEnd w:id="21512"/>
      <w:bookmarkEnd w:id="21513"/>
      <w:bookmarkEnd w:id="21514"/>
      <w:bookmarkEnd w:id="21515"/>
      <w:bookmarkEnd w:id="21516"/>
      <w:bookmarkEnd w:id="21517"/>
      <w:bookmarkEnd w:id="21518"/>
    </w:p>
    <w:p w14:paraId="57F3CC65" w14:textId="77777777" w:rsidR="003D504D" w:rsidRPr="002A56BB" w:rsidRDefault="003D504D" w:rsidP="00223668">
      <w:pPr>
        <w:pStyle w:val="a0"/>
        <w:rPr>
          <w:rtl/>
        </w:rPr>
      </w:pPr>
      <w:bookmarkStart w:id="21519" w:name="_Ref1494993"/>
      <w:r w:rsidRPr="002A56BB">
        <w:rPr>
          <w:rStyle w:val="af9"/>
          <w:rFonts w:hint="cs"/>
          <w:rtl/>
        </w:rPr>
        <w:t>והרא"ש</w:t>
      </w:r>
      <w:r w:rsidRPr="002A56BB">
        <w:rPr>
          <w:rFonts w:hint="cs"/>
          <w:rtl/>
        </w:rPr>
        <w:t xml:space="preserve"> </w:t>
      </w:r>
      <w:r w:rsidRPr="002A56BB">
        <w:rPr>
          <w:rStyle w:val="af7"/>
          <w:rFonts w:eastAsia="Guttman Hodes" w:hint="cs"/>
          <w:rtl/>
        </w:rPr>
        <w:t>(סי' ה')</w:t>
      </w:r>
      <w:r w:rsidRPr="002A56BB">
        <w:rPr>
          <w:rFonts w:hint="cs"/>
          <w:rtl/>
        </w:rPr>
        <w:t xml:space="preserve"> הקשה על </w:t>
      </w:r>
      <w:r w:rsidRPr="002A56BB">
        <w:rPr>
          <w:rStyle w:val="af9"/>
          <w:rFonts w:hint="cs"/>
          <w:rtl/>
        </w:rPr>
        <w:t xml:space="preserve">רש"י </w:t>
      </w:r>
      <w:r w:rsidRPr="002A56BB">
        <w:rPr>
          <w:rFonts w:hint="cs"/>
          <w:rtl/>
        </w:rPr>
        <w:t xml:space="preserve">דאי החדשים גרמי, א"כ היאך אפשר להתיר בן ט' שנמצא מת, הרי יתכן שהיה חי בשעת השחיטה ומת לאחר השחיטה ולא הותר בשחיטת אמו, דחדשים גרמי שיחשב בהמה בפנ"ע, וא"כ לדעת ר"מ בנמצא מת צריך לברר אם מת לפני שחיטה, והוא מותר או דמת לאחר שחיטה ואסור, ועי' במ"ש </w:t>
      </w:r>
      <w:r w:rsidRPr="002A56BB">
        <w:rPr>
          <w:rStyle w:val="af9"/>
          <w:rFonts w:hint="cs"/>
          <w:rtl/>
        </w:rPr>
        <w:t>האחרונים</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Ref1898068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2A56BB">
        <w:rPr>
          <w:rStyle w:val="af7"/>
          <w:rFonts w:eastAsia="Guttman Hodes"/>
          <w:rtl/>
        </w:rPr>
        <w:fldChar w:fldCharType="end"/>
      </w:r>
      <w:r w:rsidRPr="002A56BB">
        <w:rPr>
          <w:rFonts w:hint="cs"/>
          <w:rtl/>
        </w:rPr>
        <w:t xml:space="preserve"> בדברי </w:t>
      </w:r>
      <w:r w:rsidRPr="002A56BB">
        <w:rPr>
          <w:rStyle w:val="af9"/>
          <w:rFonts w:hint="cs"/>
          <w:rtl/>
        </w:rPr>
        <w:t>הרא"ש</w:t>
      </w:r>
      <w:r w:rsidRPr="002A56BB">
        <w:rPr>
          <w:rFonts w:hint="cs"/>
          <w:rtl/>
        </w:rPr>
        <w:t xml:space="preserve">, ועי' במה שתמה </w:t>
      </w:r>
      <w:r w:rsidRPr="002A56BB">
        <w:rPr>
          <w:rStyle w:val="af9"/>
          <w:rFonts w:hint="cs"/>
          <w:rtl/>
        </w:rPr>
        <w:t>הכנה"ג</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Ref1898083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לה)</w:t>
      </w:r>
      <w:r w:rsidRPr="002A56BB">
        <w:rPr>
          <w:rStyle w:val="af7"/>
          <w:rFonts w:eastAsia="Guttman Hodes"/>
          <w:rtl/>
        </w:rPr>
        <w:fldChar w:fldCharType="end"/>
      </w:r>
      <w:r w:rsidRPr="002A56BB">
        <w:rPr>
          <w:rFonts w:hint="cs"/>
          <w:rtl/>
        </w:rPr>
        <w:t xml:space="preserve"> על </w:t>
      </w:r>
      <w:r w:rsidRPr="002A56BB">
        <w:rPr>
          <w:rStyle w:val="af9"/>
          <w:rFonts w:hint="cs"/>
          <w:rtl/>
        </w:rPr>
        <w:t>הרא"ש</w:t>
      </w:r>
      <w:r w:rsidRPr="002A56BB">
        <w:rPr>
          <w:rFonts w:hint="cs"/>
          <w:rtl/>
        </w:rPr>
        <w:t xml:space="preserve">, ועי' במה שביאר </w:t>
      </w:r>
      <w:r w:rsidRPr="002A56BB">
        <w:rPr>
          <w:rStyle w:val="af9"/>
          <w:rFonts w:hint="cs"/>
          <w:rtl/>
        </w:rPr>
        <w:t xml:space="preserve">הזכר יצחק </w:t>
      </w:r>
      <w:r w:rsidRPr="002A56BB">
        <w:rPr>
          <w:rStyle w:val="af7"/>
          <w:rFonts w:eastAsia="Guttman Hodes" w:hint="cs"/>
          <w:rtl/>
        </w:rPr>
        <w:t xml:space="preserve">(ח"א סי' ל"ה ד"ה ומעתה שכן) </w:t>
      </w:r>
      <w:r w:rsidRPr="002A56BB">
        <w:rPr>
          <w:rFonts w:hint="cs"/>
          <w:rtl/>
        </w:rPr>
        <w:t xml:space="preserve">בדברי </w:t>
      </w:r>
      <w:r w:rsidRPr="002A56BB">
        <w:rPr>
          <w:rStyle w:val="af9"/>
          <w:rFonts w:hint="cs"/>
          <w:rtl/>
        </w:rPr>
        <w:t>רש"י</w:t>
      </w:r>
      <w:r w:rsidRPr="002A56BB">
        <w:rPr>
          <w:rFonts w:hint="cs"/>
          <w:rtl/>
        </w:rPr>
        <w:t>.</w:t>
      </w:r>
      <w:bookmarkEnd w:id="21519"/>
    </w:p>
    <w:p w14:paraId="3EF518D5" w14:textId="77777777" w:rsidR="003D504D" w:rsidRPr="002A56BB" w:rsidRDefault="003D504D" w:rsidP="00BF39B2">
      <w:pPr>
        <w:pStyle w:val="1"/>
        <w:rPr>
          <w:rtl/>
        </w:rPr>
      </w:pPr>
      <w:bookmarkStart w:id="21520" w:name="_Toc1725783"/>
      <w:bookmarkStart w:id="21521" w:name="_Toc1728161"/>
      <w:bookmarkStart w:id="21522" w:name="_Toc1938701"/>
      <w:bookmarkStart w:id="21523" w:name="_Toc1938794"/>
      <w:bookmarkStart w:id="21524" w:name="_Toc2078472"/>
      <w:bookmarkStart w:id="21525" w:name="_Toc2164479"/>
      <w:bookmarkStart w:id="21526" w:name="_Toc2187246"/>
      <w:bookmarkStart w:id="21527" w:name="_Toc2198176"/>
      <w:bookmarkStart w:id="21528" w:name="_Toc19391679"/>
      <w:bookmarkStart w:id="21529" w:name="_Toc19395176"/>
      <w:r w:rsidRPr="002A56BB">
        <w:rPr>
          <w:rFonts w:hint="cs"/>
          <w:rtl/>
        </w:rPr>
        <w:t>ביאור הרמב"ן ברש"י דכל שא"א לשוחטו מהני שחיטת האם</w:t>
      </w:r>
      <w:bookmarkEnd w:id="21520"/>
      <w:bookmarkEnd w:id="21521"/>
      <w:bookmarkEnd w:id="21522"/>
      <w:bookmarkEnd w:id="21523"/>
      <w:bookmarkEnd w:id="21524"/>
      <w:bookmarkEnd w:id="21525"/>
      <w:bookmarkEnd w:id="21526"/>
      <w:bookmarkEnd w:id="21527"/>
      <w:bookmarkEnd w:id="21528"/>
      <w:bookmarkEnd w:id="21529"/>
    </w:p>
    <w:p w14:paraId="5BC66A8F" w14:textId="77777777" w:rsidR="003D504D" w:rsidRPr="002A56BB" w:rsidRDefault="003D504D" w:rsidP="003D504D">
      <w:pPr>
        <w:pStyle w:val="a3"/>
        <w:rPr>
          <w:rtl/>
        </w:rPr>
      </w:pPr>
      <w:bookmarkStart w:id="21530" w:name="_Toc1725784"/>
      <w:bookmarkStart w:id="21531" w:name="_Toc1728162"/>
      <w:bookmarkStart w:id="21532" w:name="_Toc1938702"/>
      <w:bookmarkStart w:id="21533" w:name="_Toc1938795"/>
      <w:bookmarkStart w:id="21534" w:name="_Toc2078473"/>
      <w:bookmarkStart w:id="21535" w:name="_Toc2164480"/>
      <w:bookmarkStart w:id="21536" w:name="_Toc2187247"/>
      <w:bookmarkStart w:id="21537" w:name="_Toc2198177"/>
      <w:bookmarkStart w:id="21538" w:name="_Toc19391680"/>
      <w:bookmarkStart w:id="21539" w:name="_Toc19395177"/>
      <w:r w:rsidRPr="002A56BB">
        <w:rPr>
          <w:rFonts w:hint="cs"/>
          <w:rtl/>
        </w:rPr>
        <w:t>ביאור הרמב"ן והרשב"א ברש"י דכל שאין לו שחיטה בפנ"ע מהני לו שחיטת אמו</w:t>
      </w:r>
      <w:bookmarkEnd w:id="21530"/>
      <w:bookmarkEnd w:id="21531"/>
      <w:bookmarkEnd w:id="21532"/>
      <w:bookmarkEnd w:id="21533"/>
      <w:bookmarkEnd w:id="21534"/>
      <w:bookmarkEnd w:id="21535"/>
      <w:bookmarkEnd w:id="21536"/>
      <w:bookmarkEnd w:id="21537"/>
      <w:bookmarkEnd w:id="21538"/>
      <w:bookmarkEnd w:id="21539"/>
    </w:p>
    <w:p w14:paraId="65F2DF37" w14:textId="77777777" w:rsidR="003D504D" w:rsidRPr="002A56BB" w:rsidRDefault="003D504D" w:rsidP="00223668">
      <w:pPr>
        <w:pStyle w:val="a0"/>
        <w:rPr>
          <w:rStyle w:val="afb"/>
          <w:rtl/>
        </w:rPr>
      </w:pPr>
      <w:bookmarkStart w:id="21540" w:name="_Ref1495046"/>
      <w:bookmarkStart w:id="21541" w:name="_Ref2094389"/>
      <w:r w:rsidRPr="002A56BB">
        <w:rPr>
          <w:rFonts w:hint="cs"/>
          <w:rtl/>
        </w:rPr>
        <w:t xml:space="preserve">ותירץ </w:t>
      </w:r>
      <w:r w:rsidRPr="002A56BB">
        <w:rPr>
          <w:rStyle w:val="af9"/>
          <w:rFonts w:hint="cs"/>
          <w:rtl/>
        </w:rPr>
        <w:t>הרמב"ן</w:t>
      </w:r>
      <w:r w:rsidRPr="002A56BB">
        <w:rPr>
          <w:rFonts w:hint="cs"/>
          <w:rtl/>
        </w:rPr>
        <w:t xml:space="preserve"> דס"ל </w:t>
      </w:r>
      <w:r w:rsidRPr="002A56BB">
        <w:rPr>
          <w:rStyle w:val="af9"/>
          <w:rFonts w:hint="cs"/>
          <w:rtl/>
        </w:rPr>
        <w:t>לרש"י</w:t>
      </w:r>
      <w:r w:rsidRPr="002A56BB">
        <w:rPr>
          <w:rFonts w:hint="cs"/>
          <w:rtl/>
        </w:rPr>
        <w:t xml:space="preserve"> דמודה ר"מ דבכל מקום שאין לעובר שחיטה בעצמו, דהוא בכלל היתר "כל בבהמה תאכלו", וא"כ בן ט' מת שא"א לשוחטו, מהני לו שחיטת אמו, אף שכלו לו חדשיו, ורק בן ט' חי שיש שחיטה בעצמו, ס"ל לר"מ דאינו בכלל ההיתר, וכ"כ </w:t>
      </w:r>
      <w:r w:rsidRPr="002A56BB">
        <w:rPr>
          <w:rStyle w:val="af9"/>
          <w:rFonts w:hint="cs"/>
          <w:rtl/>
        </w:rPr>
        <w:t>הרשב"א</w:t>
      </w:r>
      <w:bookmarkEnd w:id="21540"/>
      <w:r>
        <w:rPr>
          <w:rFonts w:hint="cs"/>
          <w:rtl/>
        </w:rPr>
        <w:t xml:space="preserve">, וכן </w:t>
      </w:r>
      <w:r w:rsidRPr="002A56BB">
        <w:rPr>
          <w:rFonts w:hint="cs"/>
          <w:rtl/>
        </w:rPr>
        <w:t xml:space="preserve">ביאר </w:t>
      </w:r>
      <w:r w:rsidRPr="002A56BB">
        <w:rPr>
          <w:rStyle w:val="af9"/>
          <w:rFonts w:hint="cs"/>
          <w:rtl/>
        </w:rPr>
        <w:t>הר"ן בחי'</w:t>
      </w:r>
      <w:r w:rsidRPr="002A56BB">
        <w:rPr>
          <w:rFonts w:hint="cs"/>
          <w:rtl/>
        </w:rPr>
        <w:t xml:space="preserve"> </w:t>
      </w:r>
      <w:r w:rsidRPr="002A56BB">
        <w:rPr>
          <w:rStyle w:val="af7"/>
          <w:rFonts w:eastAsia="Guttman Hodes" w:hint="cs"/>
          <w:rtl/>
        </w:rPr>
        <w:t>(ד"ה מצא)</w:t>
      </w:r>
      <w:r w:rsidRPr="002A56BB">
        <w:rPr>
          <w:rFonts w:hint="cs"/>
          <w:rtl/>
        </w:rPr>
        <w:t xml:space="preserve"> דס"ל </w:t>
      </w:r>
      <w:r>
        <w:rPr>
          <w:rFonts w:hint="cs"/>
          <w:rtl/>
        </w:rPr>
        <w:t>ל</w:t>
      </w:r>
      <w:r w:rsidRPr="002A56BB">
        <w:rPr>
          <w:rFonts w:hint="cs"/>
          <w:rtl/>
        </w:rPr>
        <w:t>ר"מ דההיתר הוא דוקא במקום שא"א לשוחטו בשחיטת עצמו, כבן ח' חי ומת או בן ט' מת, אבל בן ט' חי שאפשר להתירו בשחיטת עצמו, לא התירתו תורה כלל</w:t>
      </w:r>
      <w:r>
        <w:rPr>
          <w:rFonts w:hint="cs"/>
          <w:rtl/>
        </w:rPr>
        <w:t>,</w:t>
      </w:r>
      <w:r w:rsidRPr="000D0765">
        <w:rPr>
          <w:rFonts w:hint="cs"/>
          <w:rtl/>
        </w:rPr>
        <w:t xml:space="preserve"> </w:t>
      </w:r>
      <w:r>
        <w:rPr>
          <w:rFonts w:hint="cs"/>
          <w:rtl/>
        </w:rPr>
        <w:t>ו</w:t>
      </w:r>
      <w:r w:rsidRPr="002A56BB">
        <w:rPr>
          <w:rFonts w:hint="cs"/>
          <w:rtl/>
        </w:rPr>
        <w:t xml:space="preserve">בדעת רבנן כתב </w:t>
      </w:r>
      <w:r w:rsidRPr="002A56BB">
        <w:rPr>
          <w:rStyle w:val="af9"/>
          <w:rFonts w:hint="cs"/>
          <w:rtl/>
        </w:rPr>
        <w:t>הר"ן בחי'</w:t>
      </w:r>
      <w:r w:rsidRPr="002A56BB">
        <w:rPr>
          <w:rFonts w:hint="cs"/>
          <w:rtl/>
        </w:rPr>
        <w:t xml:space="preserve"> דס"ל דהתירה התורה כל </w:t>
      </w:r>
      <w:r>
        <w:rPr>
          <w:rFonts w:hint="cs"/>
          <w:rtl/>
        </w:rPr>
        <w:t>שנמצא בבהמה, אף אם הוא בן ט' חי</w:t>
      </w:r>
      <w:r w:rsidRPr="002A56BB">
        <w:rPr>
          <w:rFonts w:hint="cs"/>
          <w:rtl/>
        </w:rPr>
        <w:t>.</w:t>
      </w:r>
      <w:bookmarkEnd w:id="21541"/>
    </w:p>
    <w:p w14:paraId="316A3712" w14:textId="77777777" w:rsidR="003D504D" w:rsidRPr="002A56BB" w:rsidRDefault="003D504D" w:rsidP="003D504D">
      <w:pPr>
        <w:pStyle w:val="a3"/>
        <w:rPr>
          <w:rtl/>
        </w:rPr>
      </w:pPr>
      <w:bookmarkStart w:id="21542" w:name="_Toc1725785"/>
      <w:bookmarkStart w:id="21543" w:name="_Toc1728163"/>
      <w:bookmarkStart w:id="21544" w:name="_Toc1938703"/>
      <w:bookmarkStart w:id="21545" w:name="_Toc1938796"/>
      <w:bookmarkStart w:id="21546" w:name="_Toc2078474"/>
      <w:bookmarkStart w:id="21547" w:name="_Toc2164481"/>
      <w:bookmarkStart w:id="21548" w:name="_Toc2187248"/>
      <w:bookmarkStart w:id="21549" w:name="_Toc2198178"/>
      <w:bookmarkStart w:id="21550" w:name="_Toc19391681"/>
      <w:bookmarkStart w:id="21551" w:name="_Toc19395178"/>
      <w:r w:rsidRPr="002A56BB">
        <w:rPr>
          <w:rFonts w:hint="cs"/>
          <w:rtl/>
        </w:rPr>
        <w:t>ביאור היד יהודה ברמב"ן דדוקא כשהיה מת בשעת השחיטה מותר דלא שייכא שחיטה בגופו</w:t>
      </w:r>
      <w:bookmarkEnd w:id="21542"/>
      <w:bookmarkEnd w:id="21543"/>
      <w:bookmarkEnd w:id="21544"/>
      <w:bookmarkEnd w:id="21545"/>
      <w:bookmarkEnd w:id="21546"/>
      <w:bookmarkEnd w:id="21547"/>
      <w:bookmarkEnd w:id="21548"/>
      <w:bookmarkEnd w:id="21549"/>
      <w:bookmarkEnd w:id="21550"/>
      <w:bookmarkEnd w:id="21551"/>
    </w:p>
    <w:p w14:paraId="52CF6B34" w14:textId="77777777" w:rsidR="003D504D" w:rsidRPr="002A56BB" w:rsidRDefault="003D504D" w:rsidP="00223668">
      <w:pPr>
        <w:pStyle w:val="a0"/>
        <w:rPr>
          <w:rtl/>
        </w:rPr>
      </w:pPr>
      <w:r w:rsidRPr="002A56BB">
        <w:rPr>
          <w:rFonts w:hint="cs"/>
          <w:rtl/>
        </w:rPr>
        <w:t>וביאר</w:t>
      </w:r>
      <w:r w:rsidRPr="002A56BB">
        <w:rPr>
          <w:rStyle w:val="af9"/>
          <w:rFonts w:hint="cs"/>
          <w:rtl/>
        </w:rPr>
        <w:t xml:space="preserve"> היד יהודה</w:t>
      </w:r>
      <w:r w:rsidRPr="002A56BB">
        <w:rPr>
          <w:rFonts w:hint="cs"/>
          <w:rtl/>
        </w:rPr>
        <w:t xml:space="preserve"> </w:t>
      </w:r>
      <w:r w:rsidRPr="002A56BB">
        <w:rPr>
          <w:rStyle w:val="af7"/>
          <w:rFonts w:eastAsia="Guttman Hodes" w:hint="cs"/>
          <w:rtl/>
        </w:rPr>
        <w:t>(סי' י"ג ריש סק"ה ד"ה אבל הרמב"ן)</w:t>
      </w:r>
      <w:r w:rsidRPr="002A56BB">
        <w:rPr>
          <w:rFonts w:hint="cs"/>
          <w:rtl/>
        </w:rPr>
        <w:t xml:space="preserve"> </w:t>
      </w:r>
      <w:r w:rsidRPr="002A56BB">
        <w:rPr>
          <w:rStyle w:val="af9"/>
          <w:rFonts w:hint="cs"/>
          <w:rtl/>
        </w:rPr>
        <w:t>דהרמב"ן</w:t>
      </w:r>
      <w:r w:rsidRPr="002A56BB">
        <w:rPr>
          <w:rFonts w:hint="cs"/>
          <w:rtl/>
        </w:rPr>
        <w:t xml:space="preserve"> הבין בדעת </w:t>
      </w:r>
      <w:r w:rsidRPr="002A56BB">
        <w:rPr>
          <w:rStyle w:val="af9"/>
          <w:rFonts w:hint="cs"/>
          <w:rtl/>
        </w:rPr>
        <w:t>רש"י</w:t>
      </w:r>
      <w:r w:rsidRPr="002A56BB">
        <w:rPr>
          <w:rFonts w:hint="cs"/>
          <w:rtl/>
        </w:rPr>
        <w:t xml:space="preserve"> דלר"מ רק חדשים גרמי, ויציאתו לאויר העולם אינה גורמת כלל, ולכן הקשה </w:t>
      </w:r>
      <w:r w:rsidRPr="002A56BB">
        <w:rPr>
          <w:rStyle w:val="af9"/>
          <w:rFonts w:hint="cs"/>
          <w:rtl/>
        </w:rPr>
        <w:t>הרמב"ן</w:t>
      </w:r>
      <w:r w:rsidRPr="002A56BB">
        <w:rPr>
          <w:rFonts w:hint="cs"/>
          <w:rtl/>
        </w:rPr>
        <w:t xml:space="preserve"> דכל בן ט' מת יתכן שאחר שנעשה בן ט' וכלו לו חדשיו מת, וא"כ לא מהני לו שחיטה, וע"ז תירץ </w:t>
      </w:r>
      <w:r w:rsidRPr="002A56BB">
        <w:rPr>
          <w:rStyle w:val="af9"/>
          <w:rFonts w:hint="cs"/>
          <w:rtl/>
        </w:rPr>
        <w:t>הרמב"ן</w:t>
      </w:r>
      <w:r w:rsidRPr="002A56BB">
        <w:rPr>
          <w:rFonts w:hint="cs"/>
          <w:rtl/>
        </w:rPr>
        <w:t xml:space="preserve"> דכיון שבשעת שחיטת אמו היה מת, מודה ר"מ דמהני לו שחיטה, אף שנעשה כבר בן ט', כיון שלא שייכא שחיטה בגופו, אך כתב </w:t>
      </w:r>
      <w:r w:rsidRPr="002A56BB">
        <w:rPr>
          <w:rStyle w:val="af9"/>
          <w:rFonts w:hint="cs"/>
          <w:rtl/>
        </w:rPr>
        <w:t>היד יהודה</w:t>
      </w:r>
      <w:r w:rsidRPr="002A56BB">
        <w:rPr>
          <w:rFonts w:hint="cs"/>
          <w:rtl/>
        </w:rPr>
        <w:t xml:space="preserve"> דאם היה חי בשעת השחיטה, לביאור </w:t>
      </w:r>
      <w:r w:rsidRPr="002A56BB">
        <w:rPr>
          <w:rStyle w:val="af9"/>
          <w:rFonts w:hint="cs"/>
          <w:rtl/>
        </w:rPr>
        <w:t>הרמב"ן</w:t>
      </w:r>
      <w:r w:rsidRPr="002A56BB">
        <w:rPr>
          <w:rFonts w:hint="cs"/>
          <w:rtl/>
        </w:rPr>
        <w:t xml:space="preserve"> בדעת </w:t>
      </w:r>
      <w:r w:rsidRPr="002A56BB">
        <w:rPr>
          <w:rStyle w:val="af9"/>
          <w:rFonts w:hint="cs"/>
          <w:rtl/>
        </w:rPr>
        <w:t>רש"י</w:t>
      </w:r>
      <w:r w:rsidRPr="002A56BB">
        <w:rPr>
          <w:rFonts w:hint="cs"/>
          <w:rtl/>
        </w:rPr>
        <w:t xml:space="preserve"> לא מהני לו שחיטת אמו.</w:t>
      </w:r>
    </w:p>
    <w:p w14:paraId="7A509689" w14:textId="77777777" w:rsidR="003D504D" w:rsidRPr="002A56BB" w:rsidRDefault="003D504D" w:rsidP="003D504D">
      <w:pPr>
        <w:pStyle w:val="a3"/>
      </w:pPr>
      <w:bookmarkStart w:id="21552" w:name="_Toc1725786"/>
      <w:bookmarkStart w:id="21553" w:name="_Toc1728164"/>
      <w:bookmarkStart w:id="21554" w:name="_Toc1938704"/>
      <w:bookmarkStart w:id="21555" w:name="_Toc1938797"/>
      <w:bookmarkStart w:id="21556" w:name="_Toc2078475"/>
      <w:bookmarkStart w:id="21557" w:name="_Toc2164482"/>
      <w:bookmarkStart w:id="21558" w:name="_Toc2187249"/>
      <w:bookmarkStart w:id="21559" w:name="_Toc2198179"/>
      <w:bookmarkStart w:id="21560" w:name="_Toc19391682"/>
      <w:bookmarkStart w:id="21561" w:name="_Toc19395179"/>
      <w:r w:rsidRPr="002A56BB">
        <w:rPr>
          <w:rFonts w:hint="cs"/>
          <w:rtl/>
        </w:rPr>
        <w:t xml:space="preserve">פלוגתת המהרש"א והיד יהודה אי </w:t>
      </w:r>
      <w:r>
        <w:rPr>
          <w:rFonts w:hint="cs"/>
          <w:rtl/>
        </w:rPr>
        <w:t xml:space="preserve">ביאור </w:t>
      </w:r>
      <w:r w:rsidRPr="002A56BB">
        <w:rPr>
          <w:rFonts w:hint="cs"/>
          <w:rtl/>
        </w:rPr>
        <w:t xml:space="preserve">הרמב"ן </w:t>
      </w:r>
      <w:r>
        <w:rPr>
          <w:rFonts w:hint="cs"/>
          <w:rtl/>
        </w:rPr>
        <w:t xml:space="preserve">ברש"י </w:t>
      </w:r>
      <w:r w:rsidRPr="002A56BB">
        <w:rPr>
          <w:rFonts w:hint="cs"/>
          <w:rtl/>
        </w:rPr>
        <w:t>מתרץ את קושית הרא"ש</w:t>
      </w:r>
      <w:bookmarkEnd w:id="21552"/>
      <w:bookmarkEnd w:id="21553"/>
      <w:bookmarkEnd w:id="21554"/>
      <w:bookmarkEnd w:id="21555"/>
      <w:bookmarkEnd w:id="21556"/>
      <w:bookmarkEnd w:id="21557"/>
      <w:bookmarkEnd w:id="21558"/>
      <w:bookmarkEnd w:id="21559"/>
      <w:bookmarkEnd w:id="21560"/>
      <w:bookmarkEnd w:id="21561"/>
    </w:p>
    <w:p w14:paraId="00ABEE26" w14:textId="77777777" w:rsidR="003D504D" w:rsidRPr="002A56BB" w:rsidRDefault="003D504D" w:rsidP="00223668">
      <w:pPr>
        <w:pStyle w:val="a0"/>
        <w:rPr>
          <w:rtl/>
        </w:rPr>
      </w:pPr>
      <w:bookmarkStart w:id="21562" w:name="_Ref1898068"/>
      <w:r w:rsidRPr="002A56BB">
        <w:rPr>
          <w:rStyle w:val="af9"/>
          <w:rFonts w:hint="cs"/>
          <w:rtl/>
        </w:rPr>
        <w:t>והמהרש"א</w:t>
      </w:r>
      <w:r w:rsidRPr="002A56BB">
        <w:rPr>
          <w:rFonts w:hint="cs"/>
          <w:rtl/>
        </w:rPr>
        <w:t xml:space="preserve"> </w:t>
      </w:r>
      <w:r w:rsidRPr="002A56BB">
        <w:rPr>
          <w:rStyle w:val="af7"/>
          <w:rFonts w:eastAsia="Guttman Hodes" w:hint="cs"/>
          <w:rtl/>
        </w:rPr>
        <w:t>(על רש"י ד"ה טעון)</w:t>
      </w:r>
      <w:r w:rsidRPr="002A56BB">
        <w:rPr>
          <w:rFonts w:hint="cs"/>
          <w:rtl/>
        </w:rPr>
        <w:t xml:space="preserve"> כתב </w:t>
      </w:r>
      <w:r w:rsidRPr="002A56BB">
        <w:rPr>
          <w:rStyle w:val="af9"/>
          <w:rFonts w:hint="cs"/>
          <w:rtl/>
        </w:rPr>
        <w:t>דלהרשב"א</w:t>
      </w:r>
      <w:r w:rsidRPr="002A56BB">
        <w:rPr>
          <w:rFonts w:hint="cs"/>
          <w:rtl/>
        </w:rPr>
        <w:t xml:space="preserve"> [</w:t>
      </w:r>
      <w:r w:rsidRPr="002A56BB">
        <w:rPr>
          <w:rStyle w:val="af9"/>
          <w:rFonts w:hint="cs"/>
          <w:rtl/>
        </w:rPr>
        <w:t>והרמב"ן</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Ref1495046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כב)</w:t>
      </w:r>
      <w:r w:rsidRPr="002A56BB">
        <w:rPr>
          <w:rStyle w:val="af7"/>
          <w:rFonts w:eastAsia="Guttman Hodes"/>
          <w:rtl/>
        </w:rPr>
        <w:fldChar w:fldCharType="end"/>
      </w:r>
      <w:r w:rsidRPr="002A56BB">
        <w:rPr>
          <w:rFonts w:hint="cs"/>
          <w:rtl/>
        </w:rPr>
        <w:t xml:space="preserve"> מתורצת קושית </w:t>
      </w:r>
      <w:r w:rsidRPr="002A56BB">
        <w:rPr>
          <w:rStyle w:val="af9"/>
          <w:rFonts w:hint="cs"/>
          <w:rtl/>
        </w:rPr>
        <w:t>הרא"ש</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Ref1494993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2A56BB">
        <w:rPr>
          <w:rStyle w:val="af7"/>
          <w:rFonts w:eastAsia="Guttman Hodes"/>
          <w:rtl/>
        </w:rPr>
        <w:fldChar w:fldCharType="end"/>
      </w:r>
      <w:r w:rsidRPr="002A56BB">
        <w:rPr>
          <w:rFonts w:hint="cs"/>
          <w:rtl/>
        </w:rPr>
        <w:t xml:space="preserve">, והקשה </w:t>
      </w:r>
      <w:r w:rsidRPr="002A56BB">
        <w:rPr>
          <w:rStyle w:val="af9"/>
          <w:rtl/>
        </w:rPr>
        <w:t>היד יהודה</w:t>
      </w:r>
      <w:r w:rsidRPr="002A56BB">
        <w:rPr>
          <w:rtl/>
        </w:rPr>
        <w:t xml:space="preserve"> </w:t>
      </w:r>
      <w:r w:rsidRPr="002A56BB">
        <w:rPr>
          <w:rStyle w:val="af7"/>
          <w:rFonts w:eastAsia="Guttman Hodes"/>
          <w:rtl/>
        </w:rPr>
        <w:t>(סי' י"ג סק"ה ד"ה</w:t>
      </w:r>
      <w:r w:rsidRPr="002A56BB">
        <w:rPr>
          <w:rStyle w:val="af7"/>
          <w:rFonts w:eastAsia="Guttman Hodes" w:hint="cs"/>
          <w:rtl/>
        </w:rPr>
        <w:t xml:space="preserve"> ותמה אני)</w:t>
      </w:r>
      <w:r w:rsidRPr="002A56BB">
        <w:rPr>
          <w:rFonts w:hint="cs"/>
          <w:rtl/>
        </w:rPr>
        <w:t xml:space="preserve"> דתירוץ </w:t>
      </w:r>
      <w:r w:rsidRPr="002A56BB">
        <w:rPr>
          <w:rStyle w:val="af9"/>
          <w:rFonts w:hint="cs"/>
          <w:rtl/>
        </w:rPr>
        <w:t>הרשב"א</w:t>
      </w:r>
      <w:r w:rsidRPr="002A56BB">
        <w:rPr>
          <w:rFonts w:hint="cs"/>
          <w:rtl/>
        </w:rPr>
        <w:t xml:space="preserve"> אינו מתרץ כלל את קושית </w:t>
      </w:r>
      <w:r w:rsidRPr="002A56BB">
        <w:rPr>
          <w:rStyle w:val="af9"/>
          <w:rFonts w:hint="cs"/>
          <w:rtl/>
        </w:rPr>
        <w:t>הרא"ש</w:t>
      </w:r>
      <w:r w:rsidRPr="002A56BB">
        <w:rPr>
          <w:rFonts w:hint="cs"/>
          <w:rtl/>
        </w:rPr>
        <w:t xml:space="preserve">, דידע </w:t>
      </w:r>
      <w:r w:rsidRPr="002A56BB">
        <w:rPr>
          <w:rStyle w:val="af9"/>
          <w:rFonts w:hint="cs"/>
          <w:rtl/>
        </w:rPr>
        <w:t>הרא"ש</w:t>
      </w:r>
      <w:r w:rsidRPr="002A56BB">
        <w:rPr>
          <w:rFonts w:hint="cs"/>
          <w:rtl/>
        </w:rPr>
        <w:t xml:space="preserve"> דאפשר לבאר </w:t>
      </w:r>
      <w:r w:rsidRPr="002A56BB">
        <w:rPr>
          <w:rStyle w:val="af9"/>
          <w:rFonts w:hint="cs"/>
          <w:rtl/>
        </w:rPr>
        <w:t xml:space="preserve">ברש"י </w:t>
      </w:r>
      <w:r w:rsidRPr="002A56BB">
        <w:rPr>
          <w:rFonts w:hint="cs"/>
          <w:rtl/>
        </w:rPr>
        <w:t xml:space="preserve">כדביאר </w:t>
      </w:r>
      <w:r w:rsidRPr="002A56BB">
        <w:rPr>
          <w:rStyle w:val="af9"/>
          <w:rFonts w:hint="cs"/>
          <w:rtl/>
        </w:rPr>
        <w:t>הרמב"ן</w:t>
      </w:r>
      <w:r w:rsidRPr="002A56BB">
        <w:rPr>
          <w:rFonts w:hint="cs"/>
          <w:rtl/>
        </w:rPr>
        <w:t xml:space="preserve"> דכל שהיה מת בשעת השחיטה הותר בשחיטת אמו, כיון שאין לו שחיטה בגופו, אך עדיין הקשה </w:t>
      </w:r>
      <w:r w:rsidRPr="002A56BB">
        <w:rPr>
          <w:rStyle w:val="af9"/>
          <w:rFonts w:hint="cs"/>
          <w:rtl/>
        </w:rPr>
        <w:t>הרא"ש</w:t>
      </w:r>
      <w:r w:rsidRPr="002A56BB">
        <w:rPr>
          <w:rFonts w:hint="cs"/>
          <w:rtl/>
        </w:rPr>
        <w:t xml:space="preserve"> דיתכן שהיה חי בשעת השחיטה ומת לאחר השחיטה, עיי"ש בדבריו.</w:t>
      </w:r>
      <w:bookmarkEnd w:id="21562"/>
    </w:p>
    <w:p w14:paraId="5EDBDC54" w14:textId="77777777" w:rsidR="003D504D" w:rsidRPr="002A56BB" w:rsidRDefault="003D504D" w:rsidP="00BF39B2">
      <w:pPr>
        <w:pStyle w:val="1"/>
        <w:rPr>
          <w:rtl/>
        </w:rPr>
      </w:pPr>
      <w:bookmarkStart w:id="21563" w:name="_Toc1725787"/>
      <w:bookmarkStart w:id="21564" w:name="_Toc1728165"/>
      <w:bookmarkStart w:id="21565" w:name="_Toc1938705"/>
      <w:bookmarkStart w:id="21566" w:name="_Toc1938798"/>
      <w:bookmarkStart w:id="21567" w:name="_Toc2078476"/>
      <w:bookmarkStart w:id="21568" w:name="_Toc2164483"/>
      <w:bookmarkStart w:id="21569" w:name="_Toc2187250"/>
      <w:bookmarkStart w:id="21570" w:name="_Toc2198180"/>
      <w:bookmarkStart w:id="21571" w:name="_Toc19391683"/>
      <w:bookmarkStart w:id="21572" w:name="_Toc19395180"/>
      <w:bookmarkStart w:id="21573" w:name="_Toc1592212"/>
      <w:bookmarkStart w:id="21574" w:name="_Toc1668743"/>
      <w:bookmarkStart w:id="21575" w:name="_Toc1716633"/>
      <w:r w:rsidRPr="002A56BB">
        <w:rPr>
          <w:rFonts w:hint="cs"/>
          <w:rtl/>
        </w:rPr>
        <w:t>ביאור האחרונים ברש"י דלא חיישינן שהיה חי בשעת שחיטה</w:t>
      </w:r>
      <w:bookmarkEnd w:id="21563"/>
      <w:bookmarkEnd w:id="21564"/>
      <w:bookmarkEnd w:id="21565"/>
      <w:bookmarkEnd w:id="21566"/>
      <w:bookmarkEnd w:id="21567"/>
      <w:bookmarkEnd w:id="21568"/>
      <w:bookmarkEnd w:id="21569"/>
      <w:bookmarkEnd w:id="21570"/>
      <w:bookmarkEnd w:id="21571"/>
      <w:bookmarkEnd w:id="21572"/>
    </w:p>
    <w:p w14:paraId="33A06905" w14:textId="77777777" w:rsidR="003D504D" w:rsidRPr="002A56BB" w:rsidRDefault="003D504D" w:rsidP="003D504D">
      <w:pPr>
        <w:pStyle w:val="a3"/>
        <w:rPr>
          <w:rtl/>
        </w:rPr>
      </w:pPr>
      <w:bookmarkStart w:id="21576" w:name="_Toc1725788"/>
      <w:bookmarkStart w:id="21577" w:name="_Toc1728166"/>
      <w:bookmarkStart w:id="21578" w:name="_Toc1938706"/>
      <w:bookmarkStart w:id="21579" w:name="_Toc1938799"/>
      <w:bookmarkStart w:id="21580" w:name="_Toc2078477"/>
      <w:bookmarkStart w:id="21581" w:name="_Toc2164484"/>
      <w:bookmarkStart w:id="21582" w:name="_Toc2187251"/>
      <w:bookmarkStart w:id="21583" w:name="_Toc2198181"/>
      <w:bookmarkStart w:id="21584" w:name="_Toc19391684"/>
      <w:bookmarkStart w:id="21585" w:name="_Toc19395181"/>
      <w:r w:rsidRPr="002A56BB">
        <w:rPr>
          <w:rFonts w:hint="cs"/>
          <w:rtl/>
        </w:rPr>
        <w:t>תירוץ הבכור שור והתורת יקותיאל דאזלינן בתר שעת מציאה שנמצא מת כיון שאין לו חזקת חי</w:t>
      </w:r>
      <w:bookmarkEnd w:id="21573"/>
      <w:bookmarkEnd w:id="21574"/>
      <w:bookmarkEnd w:id="21575"/>
      <w:bookmarkEnd w:id="21576"/>
      <w:bookmarkEnd w:id="21577"/>
      <w:bookmarkEnd w:id="21578"/>
      <w:bookmarkEnd w:id="21579"/>
      <w:bookmarkEnd w:id="21580"/>
      <w:bookmarkEnd w:id="21581"/>
      <w:bookmarkEnd w:id="21582"/>
      <w:bookmarkEnd w:id="21583"/>
      <w:bookmarkEnd w:id="21584"/>
      <w:bookmarkEnd w:id="21585"/>
    </w:p>
    <w:p w14:paraId="2BE9B657" w14:textId="77777777" w:rsidR="003D504D" w:rsidRPr="004C4B9B" w:rsidRDefault="003D504D" w:rsidP="00223668">
      <w:pPr>
        <w:pStyle w:val="a0"/>
        <w:rPr>
          <w:rStyle w:val="afb"/>
          <w:rtl/>
        </w:rPr>
      </w:pPr>
      <w:bookmarkStart w:id="21586" w:name="_Ref2161819"/>
      <w:bookmarkStart w:id="21587" w:name="_Toc1592213"/>
      <w:bookmarkStart w:id="21588" w:name="_Toc1668744"/>
      <w:bookmarkStart w:id="21589" w:name="_Toc1716634"/>
      <w:bookmarkStart w:id="21590" w:name="_Toc1725796"/>
      <w:bookmarkStart w:id="21591" w:name="_Toc1728167"/>
      <w:bookmarkStart w:id="21592" w:name="_Toc1938707"/>
      <w:bookmarkStart w:id="21593" w:name="_Toc1938800"/>
      <w:bookmarkStart w:id="21594" w:name="_Toc2078478"/>
      <w:bookmarkStart w:id="21595" w:name="_Toc2164485"/>
      <w:bookmarkStart w:id="21596" w:name="_Toc2187252"/>
      <w:bookmarkStart w:id="21597" w:name="_Toc2198182"/>
      <w:bookmarkStart w:id="21598" w:name="_Toc1592214"/>
      <w:bookmarkStart w:id="21599" w:name="_Toc1668745"/>
      <w:bookmarkStart w:id="21600" w:name="_Toc1716635"/>
      <w:bookmarkStart w:id="21601" w:name="_Toc1725789"/>
      <w:r w:rsidRPr="002A56BB">
        <w:rPr>
          <w:rStyle w:val="af9"/>
          <w:rFonts w:hint="cs"/>
          <w:rtl/>
        </w:rPr>
        <w:t>והתורת יקותיאל</w:t>
      </w:r>
      <w:r w:rsidRPr="002A56BB">
        <w:rPr>
          <w:rFonts w:hint="cs"/>
          <w:rtl/>
        </w:rPr>
        <w:t xml:space="preserve"> </w:t>
      </w:r>
      <w:r w:rsidRPr="002A56BB">
        <w:rPr>
          <w:rStyle w:val="af7"/>
          <w:rFonts w:eastAsia="Guttman Hodes" w:hint="cs"/>
          <w:rtl/>
        </w:rPr>
        <w:t xml:space="preserve">(סי' ס"ד סק"א ד"ה ולפענ"ד) </w:t>
      </w:r>
      <w:r w:rsidRPr="002A56BB">
        <w:rPr>
          <w:rFonts w:hint="cs"/>
          <w:rtl/>
        </w:rPr>
        <w:t xml:space="preserve">תירץ את קושית </w:t>
      </w:r>
      <w:r w:rsidRPr="002A56BB">
        <w:rPr>
          <w:rStyle w:val="af9"/>
          <w:rFonts w:hint="cs"/>
          <w:rtl/>
        </w:rPr>
        <w:t>הרא"ש</w:t>
      </w:r>
      <w:r w:rsidRPr="002A56BB">
        <w:rPr>
          <w:rFonts w:hint="cs"/>
          <w:rtl/>
        </w:rPr>
        <w:t xml:space="preserve"> דס"ל </w:t>
      </w:r>
      <w:r w:rsidRPr="002A56BB">
        <w:rPr>
          <w:rStyle w:val="af9"/>
          <w:rFonts w:hint="cs"/>
          <w:rtl/>
        </w:rPr>
        <w:t>לרש"י</w:t>
      </w:r>
      <w:r w:rsidRPr="002A56BB">
        <w:rPr>
          <w:rFonts w:hint="cs"/>
          <w:rtl/>
        </w:rPr>
        <w:t xml:space="preserve"> דבנמצא מת לא חיישינן שמא היה חי בשעת השחיטה, דמחזיקנן לו כשעת מציאתו שהוא מת, כיון שלא היתה לו חזקת חי מעולם, אבל במקום שידוע שהיה חי בשעת שחיטה, ס"ל </w:t>
      </w:r>
      <w:r w:rsidRPr="002A56BB">
        <w:rPr>
          <w:rStyle w:val="af9"/>
          <w:rFonts w:hint="cs"/>
          <w:rtl/>
        </w:rPr>
        <w:t>לרש"י</w:t>
      </w:r>
      <w:r w:rsidRPr="002A56BB">
        <w:rPr>
          <w:rFonts w:hint="cs"/>
          <w:rtl/>
        </w:rPr>
        <w:t xml:space="preserve"> דלדעת ר"מ לא מהני ליה שחיטה</w:t>
      </w:r>
      <w:r>
        <w:rPr>
          <w:rFonts w:hint="cs"/>
          <w:rtl/>
        </w:rPr>
        <w:t>.</w:t>
      </w:r>
      <w:r w:rsidRPr="002A56BB">
        <w:rPr>
          <w:rFonts w:hint="cs"/>
          <w:rtl/>
        </w:rPr>
        <w:t xml:space="preserve"> </w:t>
      </w:r>
      <w:r w:rsidRPr="004C4B9B">
        <w:rPr>
          <w:rStyle w:val="afb"/>
          <w:rFonts w:hint="cs"/>
          <w:rtl/>
        </w:rPr>
        <w:t xml:space="preserve">וע"ע בדברי </w:t>
      </w:r>
      <w:r w:rsidRPr="004C4B9B">
        <w:rPr>
          <w:rStyle w:val="affa"/>
          <w:rFonts w:hint="cs"/>
          <w:rtl/>
        </w:rPr>
        <w:t>הבכור שור</w:t>
      </w:r>
      <w:r w:rsidRPr="004C4B9B">
        <w:rPr>
          <w:rStyle w:val="afb"/>
          <w:rFonts w:hint="cs"/>
          <w:rtl/>
        </w:rPr>
        <w:t xml:space="preserve"> </w:t>
      </w:r>
      <w:r w:rsidRPr="004C4B9B">
        <w:rPr>
          <w:rStyle w:val="aff6"/>
          <w:rFonts w:hint="cs"/>
          <w:rtl/>
        </w:rPr>
        <w:t>(ד"ה מצא, נד' בסוף התבו"ש)</w:t>
      </w:r>
      <w:r w:rsidRPr="004C4B9B">
        <w:rPr>
          <w:rStyle w:val="afb"/>
          <w:rFonts w:hint="cs"/>
          <w:rtl/>
        </w:rPr>
        <w:t xml:space="preserve"> דכתב כסברא זו לענין </w:t>
      </w:r>
      <w:r>
        <w:rPr>
          <w:rStyle w:val="afb"/>
          <w:rFonts w:hint="cs"/>
          <w:rtl/>
        </w:rPr>
        <w:t xml:space="preserve">בן ט' שנמצא מת, דדלעת </w:t>
      </w:r>
      <w:r w:rsidRPr="00151ABC">
        <w:rPr>
          <w:rStyle w:val="affa"/>
          <w:rFonts w:hint="cs"/>
          <w:rtl/>
        </w:rPr>
        <w:t>הראבי"ה</w:t>
      </w:r>
      <w:r>
        <w:rPr>
          <w:rStyle w:val="afb"/>
          <w:rFonts w:hint="cs"/>
          <w:rtl/>
        </w:rPr>
        <w:t xml:space="preserve"> </w:t>
      </w:r>
      <w:r w:rsidRPr="00151ABC">
        <w:rPr>
          <w:rStyle w:val="aff6"/>
          <w:rFonts w:hint="cs"/>
          <w:rtl/>
        </w:rPr>
        <w:t xml:space="preserve">(עי' </w:t>
      </w:r>
      <w:r w:rsidRPr="008C45B9">
        <w:rPr>
          <w:rStyle w:val="aff6"/>
          <w:rFonts w:hint="cs"/>
          <w:rtl/>
        </w:rPr>
        <w:t xml:space="preserve">אות </w:t>
      </w:r>
      <w:r w:rsidRPr="008C45B9">
        <w:rPr>
          <w:rStyle w:val="aff6"/>
          <w:rtl/>
        </w:rPr>
        <w:fldChar w:fldCharType="begin"/>
      </w:r>
      <w:r w:rsidRPr="008C45B9">
        <w:rPr>
          <w:rStyle w:val="aff6"/>
          <w:rtl/>
        </w:rPr>
        <w:instrText xml:space="preserve"> </w:instrText>
      </w:r>
      <w:r w:rsidRPr="008C45B9">
        <w:rPr>
          <w:rStyle w:val="aff6"/>
          <w:rFonts w:hint="cs"/>
        </w:rPr>
        <w:instrText>REF</w:instrText>
      </w:r>
      <w:r w:rsidRPr="008C45B9">
        <w:rPr>
          <w:rStyle w:val="aff6"/>
          <w:rFonts w:hint="cs"/>
          <w:rtl/>
        </w:rPr>
        <w:instrText xml:space="preserve"> _</w:instrText>
      </w:r>
      <w:r w:rsidRPr="008C45B9">
        <w:rPr>
          <w:rStyle w:val="aff6"/>
          <w:rFonts w:hint="cs"/>
        </w:rPr>
        <w:instrText>Ref5351852 \r \h</w:instrText>
      </w:r>
      <w:r w:rsidRPr="008C45B9">
        <w:rPr>
          <w:rStyle w:val="aff6"/>
          <w:rtl/>
        </w:rPr>
        <w:instrText xml:space="preserve"> </w:instrText>
      </w:r>
      <w:r w:rsidRPr="008C45B9">
        <w:rPr>
          <w:rStyle w:val="aff6"/>
          <w:rtl/>
        </w:rPr>
      </w:r>
      <w:r w:rsidRPr="008C45B9">
        <w:rPr>
          <w:rStyle w:val="aff6"/>
          <w:rtl/>
        </w:rPr>
        <w:fldChar w:fldCharType="separate"/>
      </w:r>
      <w:r w:rsidR="00345400">
        <w:rPr>
          <w:rStyle w:val="aff6"/>
          <w:cs/>
        </w:rPr>
        <w:t>‎</w:t>
      </w:r>
      <w:r w:rsidR="00345400">
        <w:rPr>
          <w:rStyle w:val="aff6"/>
          <w:rtl/>
        </w:rPr>
        <w:t>יא)</w:t>
      </w:r>
      <w:r w:rsidRPr="008C45B9">
        <w:rPr>
          <w:rStyle w:val="aff6"/>
          <w:rtl/>
        </w:rPr>
        <w:fldChar w:fldCharType="end"/>
      </w:r>
      <w:r>
        <w:rPr>
          <w:rStyle w:val="afb"/>
          <w:rFonts w:hint="cs"/>
          <w:rtl/>
        </w:rPr>
        <w:t xml:space="preserve"> לא חיישינן שהיה העובר חי בשעת השחיטה והיה טריפה,</w:t>
      </w:r>
      <w:r w:rsidRPr="004C4B9B">
        <w:rPr>
          <w:rStyle w:val="afb"/>
          <w:rFonts w:hint="cs"/>
          <w:rtl/>
        </w:rPr>
        <w:t xml:space="preserve"> דאזלינן בתר שעת מציאה שנמצא מת, [כדעת רבנן בעירובין </w:t>
      </w:r>
      <w:r w:rsidRPr="004C4B9B">
        <w:rPr>
          <w:rStyle w:val="aff6"/>
          <w:rFonts w:hint="cs"/>
          <w:rtl/>
        </w:rPr>
        <w:t>(לה:)</w:t>
      </w:r>
      <w:r w:rsidRPr="004C4B9B">
        <w:rPr>
          <w:rStyle w:val="afb"/>
          <w:rFonts w:hint="cs"/>
          <w:rtl/>
        </w:rPr>
        <w:t xml:space="preserve"> דפליגי על ר"מ</w:t>
      </w:r>
      <w:r>
        <w:rPr>
          <w:rStyle w:val="afb"/>
          <w:rFonts w:hint="cs"/>
          <w:rtl/>
        </w:rPr>
        <w:t>, עיי"ש</w:t>
      </w:r>
      <w:r w:rsidRPr="004C4B9B">
        <w:rPr>
          <w:rStyle w:val="afb"/>
          <w:rFonts w:hint="cs"/>
          <w:rtl/>
        </w:rPr>
        <w:t>], ואף לקולא אזלינן בתר שעת מציאה, כיון שאין כנגדה חזקת חי.</w:t>
      </w:r>
      <w:bookmarkEnd w:id="21586"/>
    </w:p>
    <w:p w14:paraId="4004F30F" w14:textId="77777777" w:rsidR="003D504D" w:rsidRPr="002A56BB" w:rsidRDefault="003D504D" w:rsidP="00BF39B2">
      <w:pPr>
        <w:pStyle w:val="1"/>
        <w:rPr>
          <w:rtl/>
        </w:rPr>
      </w:pPr>
      <w:bookmarkStart w:id="21602" w:name="_Toc19391685"/>
      <w:bookmarkStart w:id="21603" w:name="_Toc19395182"/>
      <w:r w:rsidRPr="002A56BB">
        <w:rPr>
          <w:rFonts w:hint="cs"/>
          <w:rtl/>
        </w:rPr>
        <w:t>דעת</w:t>
      </w:r>
      <w:r>
        <w:rPr>
          <w:rFonts w:hint="cs"/>
          <w:rtl/>
        </w:rPr>
        <w:t xml:space="preserve"> הרמב"ן והרשב"א בשם תוס'</w:t>
      </w:r>
      <w:r w:rsidRPr="002A56BB">
        <w:rPr>
          <w:rFonts w:hint="cs"/>
          <w:rtl/>
        </w:rPr>
        <w:t xml:space="preserve"> </w:t>
      </w:r>
      <w:r>
        <w:rPr>
          <w:rFonts w:hint="cs"/>
          <w:rtl/>
        </w:rPr>
        <w:t>ו</w:t>
      </w:r>
      <w:r w:rsidRPr="002A56BB">
        <w:rPr>
          <w:rFonts w:hint="cs"/>
          <w:rtl/>
        </w:rPr>
        <w:t>הרא"ש</w:t>
      </w:r>
      <w:bookmarkEnd w:id="21587"/>
      <w:bookmarkEnd w:id="21588"/>
      <w:bookmarkEnd w:id="21589"/>
      <w:bookmarkEnd w:id="21590"/>
      <w:bookmarkEnd w:id="21591"/>
      <w:bookmarkEnd w:id="21592"/>
      <w:bookmarkEnd w:id="21593"/>
      <w:bookmarkEnd w:id="21594"/>
      <w:r>
        <w:rPr>
          <w:rFonts w:hint="cs"/>
          <w:rtl/>
        </w:rPr>
        <w:t xml:space="preserve"> דרק ביצא מת אסור</w:t>
      </w:r>
      <w:bookmarkEnd w:id="21595"/>
      <w:bookmarkEnd w:id="21596"/>
      <w:bookmarkEnd w:id="21597"/>
      <w:bookmarkEnd w:id="21602"/>
      <w:bookmarkEnd w:id="21603"/>
    </w:p>
    <w:p w14:paraId="18ED5CEB" w14:textId="77777777" w:rsidR="003D504D" w:rsidRPr="002A56BB" w:rsidRDefault="003D504D" w:rsidP="003D504D">
      <w:pPr>
        <w:pStyle w:val="a3"/>
        <w:rPr>
          <w:rtl/>
        </w:rPr>
      </w:pPr>
      <w:bookmarkStart w:id="21604" w:name="_Toc2164486"/>
      <w:bookmarkStart w:id="21605" w:name="_Toc2187253"/>
      <w:bookmarkStart w:id="21606" w:name="_Toc2198183"/>
      <w:bookmarkStart w:id="21607" w:name="_Toc19391686"/>
      <w:bookmarkStart w:id="21608" w:name="_Toc19395183"/>
      <w:r>
        <w:rPr>
          <w:rFonts w:hint="cs"/>
          <w:rtl/>
        </w:rPr>
        <w:t>דברי הרמב"ן והרשב"א בשם תוס' ודברי הרא"ש דבלא יצא חי מותר לר"מ אף שמת אחר שחיטה</w:t>
      </w:r>
      <w:bookmarkEnd w:id="21604"/>
      <w:bookmarkEnd w:id="21605"/>
      <w:bookmarkEnd w:id="21606"/>
      <w:bookmarkEnd w:id="21607"/>
      <w:bookmarkEnd w:id="21608"/>
    </w:p>
    <w:p w14:paraId="65126E5F" w14:textId="77777777" w:rsidR="003D504D" w:rsidRDefault="003D504D" w:rsidP="00223668">
      <w:pPr>
        <w:pStyle w:val="a0"/>
        <w:rPr>
          <w:rtl/>
        </w:rPr>
      </w:pPr>
      <w:bookmarkStart w:id="21609" w:name="_Ref1467235"/>
      <w:r w:rsidRPr="002A56BB">
        <w:rPr>
          <w:rFonts w:hint="cs"/>
          <w:rtl/>
        </w:rPr>
        <w:t xml:space="preserve">כתב </w:t>
      </w:r>
      <w:r w:rsidRPr="002A56BB">
        <w:rPr>
          <w:rStyle w:val="af9"/>
          <w:rFonts w:hint="cs"/>
          <w:rtl/>
        </w:rPr>
        <w:t>הרא"ש</w:t>
      </w:r>
      <w:r w:rsidRPr="002A56BB">
        <w:rPr>
          <w:rFonts w:hint="cs"/>
          <w:rtl/>
        </w:rPr>
        <w:t xml:space="preserve"> </w:t>
      </w:r>
      <w:r w:rsidRPr="002A56BB">
        <w:rPr>
          <w:rStyle w:val="af7"/>
          <w:rFonts w:eastAsia="Guttman Hodes" w:hint="cs"/>
          <w:rtl/>
        </w:rPr>
        <w:t>(סי' ה')</w:t>
      </w:r>
      <w:r w:rsidRPr="002A56BB">
        <w:rPr>
          <w:rFonts w:hint="cs"/>
          <w:rtl/>
        </w:rPr>
        <w:t xml:space="preserve"> דלדעת ר"מ בן ט' מותר כל זמן שלא יצא חי לאויר העולם, ואף אם מת לאחר שנשחטה אמו, מ"מ כיון שלא יצא חי הוא מותר, וכ"כ </w:t>
      </w:r>
      <w:r w:rsidRPr="002A56BB">
        <w:rPr>
          <w:rStyle w:val="af9"/>
          <w:rFonts w:hint="cs"/>
          <w:rtl/>
        </w:rPr>
        <w:t>הרמב"ן</w:t>
      </w:r>
      <w:r w:rsidRPr="002A56BB">
        <w:rPr>
          <w:rFonts w:hint="cs"/>
          <w:rtl/>
        </w:rPr>
        <w:t xml:space="preserve"> </w:t>
      </w:r>
      <w:r w:rsidRPr="002A56BB">
        <w:rPr>
          <w:rStyle w:val="af7"/>
          <w:rFonts w:eastAsia="Guttman Hodes" w:hint="cs"/>
          <w:rtl/>
        </w:rPr>
        <w:t>(ד"ה הא)</w:t>
      </w:r>
      <w:r w:rsidRPr="002A56BB">
        <w:rPr>
          <w:rFonts w:hint="cs"/>
          <w:rtl/>
        </w:rPr>
        <w:t xml:space="preserve"> </w:t>
      </w:r>
      <w:r w:rsidRPr="002A56BB">
        <w:rPr>
          <w:rStyle w:val="af9"/>
          <w:rFonts w:hint="cs"/>
          <w:rtl/>
        </w:rPr>
        <w:t>והרשב"א</w:t>
      </w:r>
      <w:r w:rsidRPr="002A56BB">
        <w:rPr>
          <w:rFonts w:hint="cs"/>
          <w:rtl/>
        </w:rPr>
        <w:t xml:space="preserve"> </w:t>
      </w:r>
      <w:r w:rsidRPr="002A56BB">
        <w:rPr>
          <w:rStyle w:val="af7"/>
          <w:rFonts w:eastAsia="Guttman Hodes" w:hint="cs"/>
          <w:rtl/>
        </w:rPr>
        <w:t>(ד"ה מצא,</w:t>
      </w:r>
      <w:r w:rsidRPr="002A56BB">
        <w:rPr>
          <w:rtl/>
        </w:rPr>
        <w:t xml:space="preserve"> </w:t>
      </w:r>
      <w:r w:rsidRPr="002A56BB">
        <w:rPr>
          <w:rStyle w:val="af7"/>
          <w:rFonts w:eastAsia="Guttman Hodes"/>
          <w:rtl/>
        </w:rPr>
        <w:t>עה: ד"ה איכא</w:t>
      </w:r>
      <w:r w:rsidRPr="002A56BB">
        <w:rPr>
          <w:rStyle w:val="af7"/>
          <w:rFonts w:eastAsia="Guttman Hodes" w:hint="cs"/>
          <w:rtl/>
        </w:rPr>
        <w:t>)</w:t>
      </w:r>
      <w:r w:rsidRPr="002A56BB">
        <w:rPr>
          <w:rFonts w:hint="cs"/>
          <w:rtl/>
        </w:rPr>
        <w:t xml:space="preserve"> בשם </w:t>
      </w:r>
      <w:r w:rsidRPr="002A56BB">
        <w:rPr>
          <w:rStyle w:val="af9"/>
          <w:rFonts w:hint="cs"/>
          <w:rtl/>
        </w:rPr>
        <w:t>התוס'</w:t>
      </w:r>
      <w:r w:rsidRPr="002A56BB">
        <w:rPr>
          <w:rFonts w:hint="cs"/>
          <w:rtl/>
        </w:rPr>
        <w:t xml:space="preserve"> דדוקא כשיצא לאויר העולם כשהוא חי אמרינן דחדשים גרמי וחשיב ולד, אבל אם יצא מת חדשים לא גרמי, ואף אם מת לאחר שנשחטה אמו, מודה ר"מ דהוא מותר</w:t>
      </w:r>
      <w:r>
        <w:rPr>
          <w:rFonts w:hint="cs"/>
          <w:rtl/>
        </w:rPr>
        <w:t xml:space="preserve">, </w:t>
      </w:r>
      <w:r w:rsidRPr="002A56BB">
        <w:rPr>
          <w:rFonts w:hint="cs"/>
          <w:rtl/>
        </w:rPr>
        <w:t xml:space="preserve">אך כתבו </w:t>
      </w:r>
      <w:r w:rsidRPr="002A56BB">
        <w:rPr>
          <w:rStyle w:val="af9"/>
          <w:rFonts w:hint="cs"/>
          <w:rtl/>
        </w:rPr>
        <w:t>הרמב"ן והרשב"א</w:t>
      </w:r>
      <w:r w:rsidRPr="002A56BB">
        <w:rPr>
          <w:rFonts w:hint="cs"/>
          <w:rtl/>
        </w:rPr>
        <w:t xml:space="preserve"> דאי"ז נכון</w:t>
      </w:r>
      <w:r>
        <w:rPr>
          <w:rFonts w:hint="cs"/>
          <w:rtl/>
        </w:rPr>
        <w:t>,</w:t>
      </w:r>
      <w:r w:rsidRPr="002A56BB">
        <w:rPr>
          <w:rFonts w:hint="cs"/>
          <w:rtl/>
        </w:rPr>
        <w:t xml:space="preserve"> ועי' במה שביאר </w:t>
      </w:r>
      <w:r w:rsidRPr="002A56BB">
        <w:rPr>
          <w:rStyle w:val="af9"/>
          <w:rFonts w:hint="cs"/>
          <w:rtl/>
        </w:rPr>
        <w:t>הקוה"ע</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Ref1898388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עו)</w:t>
      </w:r>
      <w:r w:rsidRPr="002A56BB">
        <w:rPr>
          <w:rStyle w:val="af7"/>
          <w:rFonts w:eastAsia="Guttman Hodes"/>
          <w:rtl/>
        </w:rPr>
        <w:fldChar w:fldCharType="end"/>
      </w:r>
      <w:r w:rsidRPr="002A56BB">
        <w:rPr>
          <w:rFonts w:hint="cs"/>
          <w:rtl/>
        </w:rPr>
        <w:t xml:space="preserve"> בדברי </w:t>
      </w:r>
      <w:r w:rsidRPr="002A56BB">
        <w:rPr>
          <w:rStyle w:val="af9"/>
          <w:rFonts w:hint="cs"/>
          <w:rtl/>
        </w:rPr>
        <w:t>הרמב"ן</w:t>
      </w:r>
      <w:r w:rsidRPr="002A56BB">
        <w:rPr>
          <w:rFonts w:hint="cs"/>
          <w:rtl/>
        </w:rPr>
        <w:t xml:space="preserve"> בשם </w:t>
      </w:r>
      <w:r w:rsidRPr="002A56BB">
        <w:rPr>
          <w:rStyle w:val="af9"/>
          <w:rFonts w:hint="cs"/>
          <w:rtl/>
        </w:rPr>
        <w:t>התוס'</w:t>
      </w:r>
      <w:r>
        <w:rPr>
          <w:rStyle w:val="af9"/>
          <w:rFonts w:hint="cs"/>
          <w:rtl/>
        </w:rPr>
        <w:t xml:space="preserve"> </w:t>
      </w:r>
      <w:r w:rsidRPr="002A56BB">
        <w:rPr>
          <w:rStyle w:val="af1"/>
          <w:rtl/>
        </w:rPr>
        <w:footnoteReference w:id="123"/>
      </w:r>
      <w:r w:rsidRPr="002A56BB">
        <w:rPr>
          <w:rFonts w:hint="cs"/>
          <w:rtl/>
        </w:rPr>
        <w:t>.</w:t>
      </w:r>
      <w:bookmarkEnd w:id="21609"/>
    </w:p>
    <w:p w14:paraId="0F212BE6" w14:textId="77777777" w:rsidR="003D504D" w:rsidRDefault="003D504D" w:rsidP="003D504D">
      <w:pPr>
        <w:pStyle w:val="a3"/>
        <w:rPr>
          <w:rtl/>
        </w:rPr>
      </w:pPr>
      <w:bookmarkStart w:id="21610" w:name="_Toc2164487"/>
      <w:bookmarkStart w:id="21611" w:name="_Toc2187254"/>
      <w:bookmarkStart w:id="21612" w:name="_Toc2198184"/>
      <w:bookmarkStart w:id="21613" w:name="_Toc19391687"/>
      <w:bookmarkStart w:id="21614" w:name="_Toc19395184"/>
      <w:r>
        <w:rPr>
          <w:rFonts w:hint="cs"/>
          <w:rtl/>
        </w:rPr>
        <w:t>ביאור הראש יוסף ברא"ש דלר"מ אף שהותר הבן ט' בשחיטת אמו נאסר כשיצא חי לאויר העולם</w:t>
      </w:r>
      <w:bookmarkEnd w:id="21610"/>
      <w:bookmarkEnd w:id="21611"/>
      <w:bookmarkEnd w:id="21612"/>
      <w:bookmarkEnd w:id="21613"/>
      <w:bookmarkEnd w:id="21614"/>
    </w:p>
    <w:p w14:paraId="069DD3ED" w14:textId="77777777" w:rsidR="003D504D" w:rsidRDefault="003D504D" w:rsidP="00223668">
      <w:pPr>
        <w:pStyle w:val="a0"/>
        <w:rPr>
          <w:rtl/>
        </w:rPr>
      </w:pPr>
      <w:bookmarkStart w:id="21615" w:name="_Toc1728171"/>
      <w:bookmarkStart w:id="21616" w:name="_Toc1938711"/>
      <w:bookmarkStart w:id="21617" w:name="_Toc1938804"/>
      <w:bookmarkStart w:id="21618" w:name="_Toc2078482"/>
      <w:bookmarkStart w:id="21619" w:name="_Toc1728168"/>
      <w:bookmarkStart w:id="21620" w:name="_Toc1938708"/>
      <w:bookmarkStart w:id="21621" w:name="_Toc1938801"/>
      <w:bookmarkStart w:id="21622" w:name="_Toc2078479"/>
      <w:r>
        <w:rPr>
          <w:rFonts w:hint="cs"/>
          <w:rtl/>
        </w:rPr>
        <w:t xml:space="preserve">וביאר </w:t>
      </w:r>
      <w:r w:rsidRPr="0013718C">
        <w:rPr>
          <w:rStyle w:val="af9"/>
          <w:rFonts w:hint="cs"/>
          <w:rtl/>
        </w:rPr>
        <w:t>הראש יוסף לקמן</w:t>
      </w:r>
      <w:r>
        <w:rPr>
          <w:rFonts w:hint="cs"/>
          <w:rtl/>
        </w:rPr>
        <w:t xml:space="preserve"> </w:t>
      </w:r>
      <w:r w:rsidRPr="0013718C">
        <w:rPr>
          <w:rStyle w:val="af7"/>
          <w:rFonts w:eastAsia="Guttman Hodes" w:hint="cs"/>
          <w:rtl/>
        </w:rPr>
        <w:t>(צב: ד"ה וזה לשון הרא"ש)</w:t>
      </w:r>
      <w:r>
        <w:rPr>
          <w:rFonts w:hint="cs"/>
          <w:rtl/>
        </w:rPr>
        <w:t xml:space="preserve"> דס"ל </w:t>
      </w:r>
      <w:r w:rsidRPr="0013718C">
        <w:rPr>
          <w:rStyle w:val="af9"/>
          <w:rFonts w:hint="cs"/>
          <w:rtl/>
        </w:rPr>
        <w:t>להרא"ש</w:t>
      </w:r>
      <w:r>
        <w:rPr>
          <w:rFonts w:hint="cs"/>
          <w:rtl/>
        </w:rPr>
        <w:t xml:space="preserve"> דאף ר"מ מודה דחדשים ואוירא דלידה גרמי </w:t>
      </w:r>
      <w:r w:rsidRPr="0013718C">
        <w:rPr>
          <w:rStyle w:val="afb"/>
          <w:rFonts w:hint="cs"/>
          <w:rtl/>
        </w:rPr>
        <w:t xml:space="preserve">[וכדעת ר"ל לקמן </w:t>
      </w:r>
      <w:r w:rsidRPr="0013718C">
        <w:rPr>
          <w:rStyle w:val="aff6"/>
          <w:rFonts w:hint="cs"/>
          <w:rtl/>
        </w:rPr>
        <w:t>(עה.)</w:t>
      </w:r>
      <w:r w:rsidRPr="0013718C">
        <w:rPr>
          <w:rStyle w:val="afb"/>
          <w:rFonts w:hint="cs"/>
          <w:rtl/>
        </w:rPr>
        <w:t>]</w:t>
      </w:r>
      <w:r>
        <w:rPr>
          <w:rFonts w:hint="cs"/>
          <w:rtl/>
        </w:rPr>
        <w:t>, ולכן כל שהוא במעי אמו, אף שהוא חי חשיב כאחד מאבריה, וכנשחטה חשיב כבשרא בדיקולא, ומ"מ כשיצא הבן ט' חי לאויר העולם, ס"ל לר"מ דכיון שיצא חי לאויר העולם קרינן ביה "וזבחת מבקרך", ונאסר באכילה ומשעת יציאתו לאויר העולם אינו כבשרא בדיקולא, ומתחייב בשחיטה.</w:t>
      </w:r>
    </w:p>
    <w:p w14:paraId="6FD7D581" w14:textId="77777777" w:rsidR="003D504D" w:rsidRPr="0013718C" w:rsidRDefault="003D504D" w:rsidP="003D504D">
      <w:pPr>
        <w:pStyle w:val="a3"/>
      </w:pPr>
      <w:bookmarkStart w:id="21623" w:name="_Toc2164488"/>
      <w:bookmarkStart w:id="21624" w:name="_Toc2187255"/>
      <w:bookmarkStart w:id="21625" w:name="_Toc2198185"/>
      <w:bookmarkStart w:id="21626" w:name="_Toc19391688"/>
      <w:bookmarkStart w:id="21627" w:name="_Toc19395185"/>
      <w:r>
        <w:rPr>
          <w:rFonts w:hint="cs"/>
          <w:rtl/>
        </w:rPr>
        <w:t>ביאור הראש יוסף ברא"ש דלרבנן כיון שהותר הבן ט' בשחיטת אמו אינו חוזר ונאסר אף שיצא חי</w:t>
      </w:r>
      <w:bookmarkEnd w:id="21623"/>
      <w:bookmarkEnd w:id="21624"/>
      <w:bookmarkEnd w:id="21625"/>
      <w:bookmarkEnd w:id="21626"/>
      <w:bookmarkEnd w:id="21627"/>
    </w:p>
    <w:p w14:paraId="4626AEB9" w14:textId="77777777" w:rsidR="003D504D" w:rsidRDefault="003D504D" w:rsidP="00223668">
      <w:pPr>
        <w:pStyle w:val="a0"/>
        <w:rPr>
          <w:rtl/>
        </w:rPr>
      </w:pPr>
      <w:r>
        <w:rPr>
          <w:rFonts w:hint="cs"/>
          <w:rtl/>
        </w:rPr>
        <w:t xml:space="preserve">ובדעת רבנן ביאר </w:t>
      </w:r>
      <w:r w:rsidRPr="0013718C">
        <w:rPr>
          <w:rStyle w:val="af9"/>
          <w:rFonts w:hint="cs"/>
          <w:rtl/>
        </w:rPr>
        <w:t>הראש יוסף</w:t>
      </w:r>
      <w:r>
        <w:rPr>
          <w:rFonts w:hint="cs"/>
          <w:rtl/>
        </w:rPr>
        <w:t xml:space="preserve"> דס"ל </w:t>
      </w:r>
      <w:r w:rsidRPr="0013718C">
        <w:rPr>
          <w:rStyle w:val="af9"/>
          <w:rFonts w:hint="cs"/>
          <w:rtl/>
        </w:rPr>
        <w:t>להרא"ש</w:t>
      </w:r>
      <w:r>
        <w:rPr>
          <w:rFonts w:hint="cs"/>
          <w:rtl/>
        </w:rPr>
        <w:t xml:space="preserve"> דכיון שכבר הותר בשחיטת אמו, אף שיצא חי לאויר העולם לא מסתבר לאוסרו, או דס"ל לרבנן דאחר שהותר בשחיטת אמו חשיב כבשרא בדיקולא, ולא שייך שיתחייב בשחיטה.</w:t>
      </w:r>
    </w:p>
    <w:p w14:paraId="5509C898" w14:textId="77777777" w:rsidR="003D504D" w:rsidRPr="002A56BB" w:rsidRDefault="003D504D" w:rsidP="00BF39B2">
      <w:pPr>
        <w:pStyle w:val="1"/>
        <w:rPr>
          <w:rtl/>
        </w:rPr>
      </w:pPr>
      <w:bookmarkStart w:id="21628" w:name="_Toc2164489"/>
      <w:bookmarkStart w:id="21629" w:name="_Toc2187256"/>
      <w:bookmarkStart w:id="21630" w:name="_Toc2198186"/>
      <w:bookmarkStart w:id="21631" w:name="_Toc19391689"/>
      <w:bookmarkStart w:id="21632" w:name="_Toc19395186"/>
      <w:r w:rsidRPr="002A56BB">
        <w:rPr>
          <w:rFonts w:hint="cs"/>
          <w:rtl/>
        </w:rPr>
        <w:t>קושיות האחרונים בסתירת דברי רש"י</w:t>
      </w:r>
      <w:bookmarkEnd w:id="21615"/>
      <w:bookmarkEnd w:id="21616"/>
      <w:bookmarkEnd w:id="21617"/>
      <w:bookmarkEnd w:id="21618"/>
      <w:bookmarkEnd w:id="21628"/>
      <w:bookmarkEnd w:id="21629"/>
      <w:bookmarkEnd w:id="21630"/>
      <w:bookmarkEnd w:id="21631"/>
      <w:bookmarkEnd w:id="21632"/>
    </w:p>
    <w:p w14:paraId="736163CE" w14:textId="77777777" w:rsidR="003D504D" w:rsidRPr="002A56BB" w:rsidRDefault="003D504D" w:rsidP="003D504D">
      <w:pPr>
        <w:pStyle w:val="a3"/>
        <w:rPr>
          <w:rtl/>
        </w:rPr>
      </w:pPr>
      <w:bookmarkStart w:id="21633" w:name="_Toc2164490"/>
      <w:bookmarkStart w:id="21634" w:name="_Toc2187257"/>
      <w:bookmarkStart w:id="21635" w:name="_Toc2198187"/>
      <w:bookmarkStart w:id="21636" w:name="_Toc19391690"/>
      <w:bookmarkStart w:id="21637" w:name="_Toc19395187"/>
      <w:r>
        <w:rPr>
          <w:rFonts w:hint="cs"/>
          <w:rtl/>
        </w:rPr>
        <w:t xml:space="preserve">קושית האחרונים דברישא דמתני' מבואר ברש"י </w:t>
      </w:r>
      <w:r w:rsidRPr="002A56BB">
        <w:rPr>
          <w:rFonts w:hint="cs"/>
          <w:rtl/>
        </w:rPr>
        <w:t xml:space="preserve">דאף לר"מ </w:t>
      </w:r>
      <w:r>
        <w:rPr>
          <w:rFonts w:hint="cs"/>
          <w:rtl/>
        </w:rPr>
        <w:t>חדשים ואוירא גרמי</w:t>
      </w:r>
      <w:bookmarkEnd w:id="21633"/>
      <w:bookmarkEnd w:id="21634"/>
      <w:bookmarkEnd w:id="21635"/>
      <w:bookmarkEnd w:id="21636"/>
      <w:bookmarkEnd w:id="21637"/>
    </w:p>
    <w:p w14:paraId="7A3EC7F3" w14:textId="77777777" w:rsidR="003D504D" w:rsidRPr="002A56BB" w:rsidRDefault="003D504D" w:rsidP="00223668">
      <w:pPr>
        <w:pStyle w:val="a0"/>
        <w:rPr>
          <w:rtl/>
        </w:rPr>
      </w:pPr>
      <w:bookmarkStart w:id="21638" w:name="_Ref1723432"/>
      <w:r w:rsidRPr="002A56BB">
        <w:rPr>
          <w:rFonts w:hint="cs"/>
          <w:rtl/>
        </w:rPr>
        <w:t>בהא דהבינו</w:t>
      </w:r>
      <w:r w:rsidRPr="002A56BB">
        <w:rPr>
          <w:rStyle w:val="af9"/>
          <w:rFonts w:hint="cs"/>
          <w:rtl/>
        </w:rPr>
        <w:t xml:space="preserve"> הראשונים</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Ref1723409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יט)</w:t>
      </w:r>
      <w:r w:rsidRPr="002A56BB">
        <w:rPr>
          <w:rStyle w:val="af7"/>
          <w:rFonts w:eastAsia="Guttman Hodes"/>
          <w:rtl/>
        </w:rPr>
        <w:fldChar w:fldCharType="end"/>
      </w:r>
      <w:r w:rsidRPr="002A56BB">
        <w:rPr>
          <w:rFonts w:hint="cs"/>
          <w:rtl/>
        </w:rPr>
        <w:t xml:space="preserve"> בדעת </w:t>
      </w:r>
      <w:r w:rsidRPr="002A56BB">
        <w:rPr>
          <w:rStyle w:val="af9"/>
          <w:rFonts w:hint="cs"/>
          <w:rtl/>
        </w:rPr>
        <w:t>רש"י</w:t>
      </w:r>
      <w:r w:rsidRPr="002A56BB">
        <w:rPr>
          <w:rFonts w:hint="cs"/>
          <w:rtl/>
        </w:rPr>
        <w:t xml:space="preserve"> דס"ל לר"מ דחדשים לבד גרמי שיחשב בהמה בפנ"ע, הקשו</w:t>
      </w:r>
      <w:r w:rsidRPr="002A56BB">
        <w:rPr>
          <w:rStyle w:val="af9"/>
          <w:rFonts w:hint="cs"/>
          <w:rtl/>
        </w:rPr>
        <w:t xml:space="preserve"> הכנה"ג</w:t>
      </w:r>
      <w:r w:rsidRPr="002A56BB">
        <w:rPr>
          <w:rFonts w:hint="cs"/>
          <w:rtl/>
        </w:rPr>
        <w:t xml:space="preserve"> </w:t>
      </w:r>
      <w:r w:rsidRPr="002A56BB">
        <w:rPr>
          <w:rStyle w:val="af7"/>
          <w:rFonts w:eastAsia="Guttman Hodes" w:hint="cs"/>
          <w:rtl/>
        </w:rPr>
        <w:t>(סי' ס"ד הג' טור ח')</w:t>
      </w:r>
      <w:r w:rsidRPr="002A56BB">
        <w:rPr>
          <w:rFonts w:hint="cs"/>
          <w:rtl/>
        </w:rPr>
        <w:t xml:space="preserve"> </w:t>
      </w:r>
      <w:r w:rsidRPr="002A56BB">
        <w:rPr>
          <w:rStyle w:val="af9"/>
          <w:rFonts w:hint="cs"/>
          <w:rtl/>
        </w:rPr>
        <w:t>והיד יהודה</w:t>
      </w:r>
      <w:r w:rsidRPr="002A56BB">
        <w:rPr>
          <w:rFonts w:hint="cs"/>
          <w:rtl/>
        </w:rPr>
        <w:t xml:space="preserve"> </w:t>
      </w:r>
      <w:r w:rsidRPr="002A56BB">
        <w:rPr>
          <w:rStyle w:val="af7"/>
          <w:rFonts w:eastAsia="Guttman Hodes" w:hint="cs"/>
          <w:rtl/>
        </w:rPr>
        <w:t>(סי' י"ג ריש סק"ה ד"ה ואח"כ כתב)</w:t>
      </w:r>
      <w:r w:rsidRPr="002A56BB">
        <w:rPr>
          <w:rFonts w:hint="cs"/>
          <w:rtl/>
        </w:rPr>
        <w:t xml:space="preserve"> </w:t>
      </w:r>
      <w:r w:rsidRPr="002A56BB">
        <w:rPr>
          <w:rStyle w:val="af9"/>
          <w:rFonts w:hint="cs"/>
          <w:rtl/>
        </w:rPr>
        <w:t>והמעדני יו"ט</w:t>
      </w:r>
      <w:r w:rsidRPr="002A56BB">
        <w:rPr>
          <w:rFonts w:hint="cs"/>
          <w:rtl/>
        </w:rPr>
        <w:t xml:space="preserve"> </w:t>
      </w:r>
      <w:r w:rsidRPr="002A56BB">
        <w:rPr>
          <w:rStyle w:val="af7"/>
          <w:rFonts w:eastAsia="Guttman Hodes" w:hint="cs"/>
          <w:rtl/>
        </w:rPr>
        <w:t xml:space="preserve">(על הרא"ש סי' ד' אות ח') </w:t>
      </w:r>
      <w:r w:rsidRPr="002A56BB">
        <w:rPr>
          <w:rFonts w:hint="cs"/>
          <w:rtl/>
        </w:rPr>
        <w:t xml:space="preserve">דהרי ברישא דמתני' כתב </w:t>
      </w:r>
      <w:r w:rsidRPr="002A56BB">
        <w:rPr>
          <w:rStyle w:val="af9"/>
          <w:rFonts w:hint="cs"/>
          <w:rtl/>
        </w:rPr>
        <w:t>רש"י</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Ref1642508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2A56BB">
        <w:rPr>
          <w:rStyle w:val="af7"/>
          <w:rFonts w:eastAsia="Guttman Hodes"/>
          <w:rtl/>
        </w:rPr>
        <w:fldChar w:fldCharType="end"/>
      </w:r>
      <w:r w:rsidRPr="002A56BB">
        <w:rPr>
          <w:rFonts w:hint="cs"/>
          <w:rtl/>
        </w:rPr>
        <w:t xml:space="preserve"> דההיתר בבן ח' חי או מת ובבן ט' מת, הוא כיון שאין להם לא חדשים ולא אוירא, ומשמע דאף לר"מ לא רק החדשים לבד גרמי.</w:t>
      </w:r>
      <w:bookmarkEnd w:id="21638"/>
    </w:p>
    <w:p w14:paraId="5589A7B1" w14:textId="77777777" w:rsidR="003D504D" w:rsidRPr="002A56BB" w:rsidRDefault="003D504D" w:rsidP="003D504D">
      <w:pPr>
        <w:pStyle w:val="a3"/>
        <w:rPr>
          <w:rtl/>
        </w:rPr>
      </w:pPr>
      <w:bookmarkStart w:id="21639" w:name="_Toc1725792"/>
      <w:bookmarkStart w:id="21640" w:name="_Toc1728172"/>
      <w:bookmarkStart w:id="21641" w:name="_Toc1938712"/>
      <w:bookmarkStart w:id="21642" w:name="_Toc1938805"/>
      <w:bookmarkStart w:id="21643" w:name="_Toc2078483"/>
      <w:bookmarkStart w:id="21644" w:name="_Toc2164491"/>
      <w:bookmarkStart w:id="21645" w:name="_Toc2187258"/>
      <w:bookmarkStart w:id="21646" w:name="_Toc2198188"/>
      <w:bookmarkStart w:id="21647" w:name="_Toc19391691"/>
      <w:bookmarkStart w:id="21648" w:name="_Toc19395188"/>
      <w:r w:rsidRPr="002A56BB">
        <w:rPr>
          <w:rFonts w:hint="cs"/>
          <w:rtl/>
        </w:rPr>
        <w:t>קושיות האחרונים דברש"י לקמן מבואר דאף לר"מ חדשים ואוירא גרמי</w:t>
      </w:r>
      <w:bookmarkEnd w:id="21639"/>
      <w:bookmarkEnd w:id="21640"/>
      <w:bookmarkEnd w:id="21641"/>
      <w:bookmarkEnd w:id="21642"/>
      <w:bookmarkEnd w:id="21643"/>
      <w:bookmarkEnd w:id="21644"/>
      <w:bookmarkEnd w:id="21645"/>
      <w:bookmarkEnd w:id="21646"/>
      <w:bookmarkEnd w:id="21647"/>
      <w:bookmarkEnd w:id="21648"/>
    </w:p>
    <w:p w14:paraId="1CF3193B" w14:textId="77777777" w:rsidR="003D504D" w:rsidRPr="002A56BB" w:rsidRDefault="003D504D" w:rsidP="00223668">
      <w:pPr>
        <w:pStyle w:val="a0"/>
        <w:rPr>
          <w:rtl/>
        </w:rPr>
      </w:pPr>
      <w:bookmarkStart w:id="21649" w:name="_Ref1898920"/>
      <w:r w:rsidRPr="002A56BB">
        <w:rPr>
          <w:rFonts w:hint="cs"/>
          <w:rtl/>
        </w:rPr>
        <w:t xml:space="preserve">ועוד הקשו </w:t>
      </w:r>
      <w:r w:rsidRPr="002A56BB">
        <w:rPr>
          <w:rStyle w:val="af9"/>
          <w:rFonts w:hint="cs"/>
          <w:rtl/>
        </w:rPr>
        <w:t>הרש"ש</w:t>
      </w:r>
      <w:r w:rsidRPr="002A56BB">
        <w:rPr>
          <w:rFonts w:hint="cs"/>
          <w:rtl/>
        </w:rPr>
        <w:t xml:space="preserve"> </w:t>
      </w:r>
      <w:r w:rsidRPr="002A56BB">
        <w:rPr>
          <w:rStyle w:val="af7"/>
          <w:rFonts w:eastAsia="Guttman Hodes" w:hint="cs"/>
          <w:rtl/>
        </w:rPr>
        <w:t>(על רש"י ד"ה טעון)</w:t>
      </w:r>
      <w:r w:rsidRPr="002A56BB">
        <w:rPr>
          <w:rFonts w:hint="cs"/>
          <w:rtl/>
        </w:rPr>
        <w:t xml:space="preserve"> </w:t>
      </w:r>
      <w:r w:rsidRPr="002A56BB">
        <w:rPr>
          <w:rStyle w:val="af9"/>
          <w:rFonts w:hint="cs"/>
          <w:rtl/>
        </w:rPr>
        <w:t>והתורת יקותיאל</w:t>
      </w:r>
      <w:r w:rsidRPr="002A56BB">
        <w:rPr>
          <w:rFonts w:hint="cs"/>
          <w:rtl/>
        </w:rPr>
        <w:t xml:space="preserve"> </w:t>
      </w:r>
      <w:r w:rsidRPr="002A56BB">
        <w:rPr>
          <w:rStyle w:val="af7"/>
          <w:rFonts w:eastAsia="Guttman Hodes" w:hint="cs"/>
          <w:rtl/>
        </w:rPr>
        <w:t>(סי' ס"ד סק"א ד"ה והנה אף)</w:t>
      </w:r>
      <w:r w:rsidRPr="002A56BB">
        <w:rPr>
          <w:rFonts w:hint="cs"/>
          <w:rtl/>
        </w:rPr>
        <w:t xml:space="preserve"> </w:t>
      </w:r>
      <w:r w:rsidRPr="002A56BB">
        <w:rPr>
          <w:rStyle w:val="af9"/>
          <w:rFonts w:hint="cs"/>
          <w:rtl/>
        </w:rPr>
        <w:t>והיד יהודה</w:t>
      </w:r>
      <w:r w:rsidRPr="002A56BB">
        <w:rPr>
          <w:rFonts w:hint="cs"/>
          <w:rtl/>
        </w:rPr>
        <w:t xml:space="preserve"> </w:t>
      </w:r>
      <w:r w:rsidRPr="002A56BB">
        <w:rPr>
          <w:rStyle w:val="af7"/>
          <w:rFonts w:eastAsia="Guttman Hodes" w:hint="cs"/>
          <w:rtl/>
        </w:rPr>
        <w:t>(סי' י"ג ריש סק"ה ד"ה ואח"כ כתב)</w:t>
      </w:r>
      <w:r w:rsidRPr="002A56BB">
        <w:rPr>
          <w:rFonts w:hint="cs"/>
          <w:rtl/>
        </w:rPr>
        <w:t xml:space="preserve"> דהא </w:t>
      </w:r>
      <w:r w:rsidRPr="002A56BB">
        <w:rPr>
          <w:rStyle w:val="af9"/>
          <w:rFonts w:hint="cs"/>
          <w:rtl/>
        </w:rPr>
        <w:t xml:space="preserve">רש"י לקמן </w:t>
      </w:r>
      <w:r w:rsidRPr="002A56BB">
        <w:rPr>
          <w:rStyle w:val="af7"/>
          <w:rFonts w:eastAsia="Guttman Hodes" w:hint="cs"/>
          <w:rtl/>
        </w:rPr>
        <w:t xml:space="preserve">(עד: ד"ה למעוטי, וד"ה חלבו) </w:t>
      </w:r>
      <w:r w:rsidRPr="002A56BB">
        <w:rPr>
          <w:rFonts w:hint="cs"/>
          <w:rtl/>
        </w:rPr>
        <w:t xml:space="preserve">כתב דבבן ט' חי חדשים ואוירא גרמי לאסור את חלבו, ומבואר דאף לר"מ חדשים לבד לא גרמי, ועוד הקשה </w:t>
      </w:r>
      <w:r w:rsidRPr="002A56BB">
        <w:rPr>
          <w:rStyle w:val="af9"/>
          <w:rFonts w:hint="cs"/>
          <w:rtl/>
        </w:rPr>
        <w:t>התורת יקותיאל</w:t>
      </w:r>
      <w:r w:rsidRPr="002A56BB">
        <w:rPr>
          <w:rStyle w:val="af7"/>
          <w:rFonts w:eastAsia="Guttman Hodes" w:hint="cs"/>
          <w:rtl/>
        </w:rPr>
        <w:t xml:space="preserve"> (סי' ס"ד סק"א ד"ה ולפי"ז י"ל) </w:t>
      </w:r>
      <w:r w:rsidRPr="002A56BB">
        <w:rPr>
          <w:rStyle w:val="af9"/>
          <w:rFonts w:hint="cs"/>
          <w:rtl/>
        </w:rPr>
        <w:t>דברש"י לקמן</w:t>
      </w:r>
      <w:r w:rsidRPr="002A56BB">
        <w:rPr>
          <w:rFonts w:hint="cs"/>
          <w:rtl/>
        </w:rPr>
        <w:t xml:space="preserve"> </w:t>
      </w:r>
      <w:r w:rsidRPr="002A56BB">
        <w:rPr>
          <w:rStyle w:val="af7"/>
          <w:rFonts w:eastAsia="Guttman Hodes" w:hint="cs"/>
          <w:rtl/>
        </w:rPr>
        <w:t xml:space="preserve">(צב: ד"ה בבן תשעה) </w:t>
      </w:r>
      <w:r w:rsidRPr="002A56BB">
        <w:rPr>
          <w:rFonts w:hint="cs"/>
          <w:rtl/>
        </w:rPr>
        <w:t>כתב דאסר ר"מ בבן ט' כשהוא חי, ועמד לפנינו אחר שנשחטה ונקרעה אמו, ומשמע דאסר ר"מ דוקא כשנולד חי דחדשים ואוירא גרמי.</w:t>
      </w:r>
      <w:bookmarkEnd w:id="21649"/>
    </w:p>
    <w:p w14:paraId="351B9D70" w14:textId="77777777" w:rsidR="003D504D" w:rsidRPr="002A56BB" w:rsidRDefault="003D504D" w:rsidP="00BF39B2">
      <w:pPr>
        <w:pStyle w:val="1"/>
        <w:rPr>
          <w:rtl/>
        </w:rPr>
      </w:pPr>
      <w:bookmarkStart w:id="21650" w:name="_Toc1725793"/>
      <w:bookmarkStart w:id="21651" w:name="_Toc1728173"/>
      <w:bookmarkStart w:id="21652" w:name="_Toc1938713"/>
      <w:bookmarkStart w:id="21653" w:name="_Toc1938806"/>
      <w:bookmarkStart w:id="21654" w:name="_Toc2078484"/>
      <w:bookmarkStart w:id="21655" w:name="_Toc2164492"/>
      <w:bookmarkStart w:id="21656" w:name="_Toc2187259"/>
      <w:bookmarkStart w:id="21657" w:name="_Toc2198189"/>
      <w:bookmarkStart w:id="21658" w:name="_Toc19391692"/>
      <w:bookmarkStart w:id="21659" w:name="_Toc19395189"/>
      <w:r w:rsidRPr="002A56BB">
        <w:rPr>
          <w:rFonts w:hint="cs"/>
          <w:rtl/>
        </w:rPr>
        <w:t>תירוצי האחרונים בסתירת דברי רש"י</w:t>
      </w:r>
      <w:bookmarkEnd w:id="21650"/>
      <w:bookmarkEnd w:id="21651"/>
      <w:bookmarkEnd w:id="21652"/>
      <w:bookmarkEnd w:id="21653"/>
      <w:bookmarkEnd w:id="21654"/>
      <w:bookmarkEnd w:id="21655"/>
      <w:bookmarkEnd w:id="21656"/>
      <w:bookmarkEnd w:id="21657"/>
      <w:bookmarkEnd w:id="21658"/>
      <w:bookmarkEnd w:id="21659"/>
    </w:p>
    <w:p w14:paraId="7F73A395" w14:textId="77777777" w:rsidR="003D504D" w:rsidRPr="002A56BB" w:rsidRDefault="003D504D" w:rsidP="003D504D">
      <w:pPr>
        <w:pStyle w:val="a3"/>
        <w:rPr>
          <w:rtl/>
        </w:rPr>
      </w:pPr>
      <w:bookmarkStart w:id="21660" w:name="_Toc2164493"/>
      <w:bookmarkStart w:id="21661" w:name="_Toc2187260"/>
      <w:bookmarkStart w:id="21662" w:name="_Toc2198190"/>
      <w:bookmarkStart w:id="21663" w:name="_Toc19391693"/>
      <w:bookmarkStart w:id="21664" w:name="_Toc19395190"/>
      <w:r>
        <w:rPr>
          <w:rFonts w:hint="cs"/>
          <w:rtl/>
        </w:rPr>
        <w:t>תירוץ המעדני יו"ט דדברי רש"י ברישא דחדשים ואוירא גרמי הם לרווחא דמילתא</w:t>
      </w:r>
      <w:bookmarkEnd w:id="21660"/>
      <w:bookmarkEnd w:id="21661"/>
      <w:bookmarkEnd w:id="21662"/>
      <w:bookmarkEnd w:id="21663"/>
      <w:bookmarkEnd w:id="21664"/>
    </w:p>
    <w:p w14:paraId="1257796D" w14:textId="77777777" w:rsidR="003D504D" w:rsidRPr="000564B9" w:rsidRDefault="003D504D" w:rsidP="00223668">
      <w:pPr>
        <w:pStyle w:val="a0"/>
        <w:rPr>
          <w:rtl/>
        </w:rPr>
      </w:pPr>
      <w:r w:rsidRPr="000564B9">
        <w:rPr>
          <w:rFonts w:hint="cs"/>
          <w:rtl/>
        </w:rPr>
        <w:t>ו</w:t>
      </w:r>
      <w:r>
        <w:rPr>
          <w:rFonts w:hint="cs"/>
          <w:rtl/>
        </w:rPr>
        <w:t>תירץ</w:t>
      </w:r>
      <w:r w:rsidRPr="000564B9">
        <w:rPr>
          <w:rFonts w:hint="cs"/>
          <w:rtl/>
        </w:rPr>
        <w:t xml:space="preserve"> </w:t>
      </w:r>
      <w:r w:rsidRPr="000564B9">
        <w:rPr>
          <w:rStyle w:val="af9"/>
          <w:rFonts w:hint="cs"/>
          <w:rtl/>
        </w:rPr>
        <w:t>המעדני יו"ט</w:t>
      </w:r>
      <w:r w:rsidRPr="000564B9">
        <w:rPr>
          <w:rFonts w:hint="cs"/>
          <w:rtl/>
        </w:rPr>
        <w:t xml:space="preserve"> </w:t>
      </w:r>
      <w:r w:rsidRPr="000564B9">
        <w:rPr>
          <w:rStyle w:val="af7"/>
          <w:rFonts w:eastAsia="Guttman Hodes" w:hint="cs"/>
          <w:rtl/>
        </w:rPr>
        <w:t xml:space="preserve">(על הרא"ש סי' ד' אות ח') </w:t>
      </w:r>
      <w:r w:rsidRPr="000564B9">
        <w:rPr>
          <w:rFonts w:hint="cs"/>
          <w:rtl/>
        </w:rPr>
        <w:t>ד</w:t>
      </w:r>
      <w:r>
        <w:rPr>
          <w:rFonts w:hint="cs"/>
          <w:rtl/>
        </w:rPr>
        <w:t xml:space="preserve">ממ"ש </w:t>
      </w:r>
      <w:r w:rsidRPr="000564B9">
        <w:rPr>
          <w:rStyle w:val="af9"/>
          <w:rFonts w:hint="cs"/>
          <w:rtl/>
        </w:rPr>
        <w:t>רש"י</w:t>
      </w:r>
      <w:r w:rsidRPr="000564B9">
        <w:rPr>
          <w:rFonts w:hint="cs"/>
          <w:rtl/>
        </w:rPr>
        <w:t xml:space="preserve"> </w:t>
      </w:r>
      <w:r w:rsidRPr="000564B9">
        <w:rPr>
          <w:rStyle w:val="af7"/>
          <w:rFonts w:eastAsia="Guttman Hodes" w:hint="cs"/>
          <w:rtl/>
        </w:rPr>
        <w:t xml:space="preserve">(עי' אות </w:t>
      </w:r>
      <w:r w:rsidRPr="000564B9">
        <w:rPr>
          <w:rStyle w:val="af7"/>
          <w:rFonts w:eastAsia="Guttman Hodes"/>
          <w:rtl/>
        </w:rPr>
        <w:fldChar w:fldCharType="begin"/>
      </w:r>
      <w:r w:rsidRPr="000564B9">
        <w:rPr>
          <w:rStyle w:val="af7"/>
          <w:rFonts w:eastAsia="Guttman Hodes"/>
          <w:rtl/>
        </w:rPr>
        <w:instrText xml:space="preserve"> </w:instrText>
      </w:r>
      <w:r w:rsidRPr="000564B9">
        <w:rPr>
          <w:rStyle w:val="af7"/>
          <w:rFonts w:eastAsia="Guttman Hodes" w:hint="cs"/>
        </w:rPr>
        <w:instrText>REF</w:instrText>
      </w:r>
      <w:r w:rsidRPr="000564B9">
        <w:rPr>
          <w:rStyle w:val="af7"/>
          <w:rFonts w:eastAsia="Guttman Hodes" w:hint="cs"/>
          <w:rtl/>
        </w:rPr>
        <w:instrText xml:space="preserve"> _</w:instrText>
      </w:r>
      <w:r w:rsidRPr="000564B9">
        <w:rPr>
          <w:rStyle w:val="af7"/>
          <w:rFonts w:eastAsia="Guttman Hodes" w:hint="cs"/>
        </w:rPr>
        <w:instrText>Ref1642508 \r \h</w:instrText>
      </w:r>
      <w:r w:rsidRPr="000564B9">
        <w:rPr>
          <w:rStyle w:val="af7"/>
          <w:rFonts w:eastAsia="Guttman Hodes"/>
          <w:rtl/>
        </w:rPr>
        <w:instrText xml:space="preserve">  \* </w:instrText>
      </w:r>
      <w:r w:rsidRPr="000564B9">
        <w:rPr>
          <w:rStyle w:val="af7"/>
          <w:rFonts w:eastAsia="Guttman Hodes"/>
        </w:rPr>
        <w:instrText>MERGEFORMAT</w:instrText>
      </w:r>
      <w:r w:rsidRPr="000564B9">
        <w:rPr>
          <w:rStyle w:val="af7"/>
          <w:rFonts w:eastAsia="Guttman Hodes"/>
          <w:rtl/>
        </w:rPr>
        <w:instrText xml:space="preserve"> </w:instrText>
      </w:r>
      <w:r w:rsidRPr="000564B9">
        <w:rPr>
          <w:rStyle w:val="af7"/>
          <w:rFonts w:eastAsia="Guttman Hodes"/>
          <w:rtl/>
        </w:rPr>
      </w:r>
      <w:r w:rsidRPr="000564B9">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0564B9">
        <w:rPr>
          <w:rStyle w:val="af7"/>
          <w:rFonts w:eastAsia="Guttman Hodes"/>
          <w:rtl/>
        </w:rPr>
        <w:fldChar w:fldCharType="end"/>
      </w:r>
      <w:r w:rsidRPr="000564B9">
        <w:rPr>
          <w:rFonts w:hint="cs"/>
          <w:rtl/>
        </w:rPr>
        <w:t xml:space="preserve"> ברישא דמתני' דההיתר בבן ח' חי או מת ובבן ט' מת, הוא כיון שאין להם לא חדשים ולא אוירא, א"א להוכיח דס"ל </w:t>
      </w:r>
      <w:r w:rsidRPr="000564B9">
        <w:rPr>
          <w:rStyle w:val="af9"/>
          <w:rFonts w:hint="cs"/>
          <w:rtl/>
        </w:rPr>
        <w:t>לרש"י</w:t>
      </w:r>
      <w:r w:rsidRPr="000564B9">
        <w:rPr>
          <w:rFonts w:hint="cs"/>
          <w:rtl/>
        </w:rPr>
        <w:t xml:space="preserve"> דלדעת ר"מ גם חדשים וגם אוירא גרמי, דאפש"ל דכתב</w:t>
      </w:r>
      <w:r w:rsidRPr="000564B9">
        <w:rPr>
          <w:rStyle w:val="af9"/>
          <w:rFonts w:hint="cs"/>
          <w:rtl/>
        </w:rPr>
        <w:t xml:space="preserve"> רש"י</w:t>
      </w:r>
      <w:r w:rsidRPr="000564B9">
        <w:rPr>
          <w:rFonts w:hint="cs"/>
          <w:rtl/>
        </w:rPr>
        <w:t xml:space="preserve"> כן לרווחא דמילתא שאין להם לא חדשים ולא אוירא, אבל אין מזה נ"מ לדעת ר"מ, דהא בסיפא דמתני' כתב </w:t>
      </w:r>
      <w:r w:rsidRPr="000564B9">
        <w:rPr>
          <w:rStyle w:val="af9"/>
          <w:rFonts w:hint="cs"/>
          <w:rtl/>
        </w:rPr>
        <w:t>רש"י</w:t>
      </w:r>
      <w:r w:rsidRPr="000564B9">
        <w:rPr>
          <w:rFonts w:hint="cs"/>
          <w:rtl/>
        </w:rPr>
        <w:t xml:space="preserve"> </w:t>
      </w:r>
      <w:r w:rsidRPr="000564B9">
        <w:rPr>
          <w:rStyle w:val="af7"/>
          <w:rFonts w:eastAsia="Guttman Hodes" w:hint="cs"/>
          <w:rtl/>
        </w:rPr>
        <w:t xml:space="preserve">(עי' אות </w:t>
      </w:r>
      <w:r w:rsidRPr="000564B9">
        <w:rPr>
          <w:rStyle w:val="af7"/>
          <w:rFonts w:eastAsia="Guttman Hodes"/>
          <w:rtl/>
        </w:rPr>
        <w:fldChar w:fldCharType="begin"/>
      </w:r>
      <w:r w:rsidRPr="000564B9">
        <w:rPr>
          <w:rStyle w:val="af7"/>
          <w:rFonts w:eastAsia="Guttman Hodes"/>
          <w:rtl/>
        </w:rPr>
        <w:instrText xml:space="preserve"> </w:instrText>
      </w:r>
      <w:r w:rsidRPr="000564B9">
        <w:rPr>
          <w:rStyle w:val="af7"/>
          <w:rFonts w:eastAsia="Guttman Hodes" w:hint="cs"/>
        </w:rPr>
        <w:instrText>REF</w:instrText>
      </w:r>
      <w:r w:rsidRPr="000564B9">
        <w:rPr>
          <w:rStyle w:val="af7"/>
          <w:rFonts w:eastAsia="Guttman Hodes" w:hint="cs"/>
          <w:rtl/>
        </w:rPr>
        <w:instrText xml:space="preserve"> _</w:instrText>
      </w:r>
      <w:r w:rsidRPr="000564B9">
        <w:rPr>
          <w:rStyle w:val="af7"/>
          <w:rFonts w:eastAsia="Guttman Hodes" w:hint="cs"/>
        </w:rPr>
        <w:instrText>Ref1555747 \r \h</w:instrText>
      </w:r>
      <w:r w:rsidRPr="000564B9">
        <w:rPr>
          <w:rStyle w:val="af7"/>
          <w:rFonts w:eastAsia="Guttman Hodes"/>
          <w:rtl/>
        </w:rPr>
        <w:instrText xml:space="preserve">  \* </w:instrText>
      </w:r>
      <w:r w:rsidRPr="000564B9">
        <w:rPr>
          <w:rStyle w:val="af7"/>
          <w:rFonts w:eastAsia="Guttman Hodes"/>
        </w:rPr>
        <w:instrText>MERGEFORMAT</w:instrText>
      </w:r>
      <w:r w:rsidRPr="000564B9">
        <w:rPr>
          <w:rStyle w:val="af7"/>
          <w:rFonts w:eastAsia="Guttman Hodes"/>
          <w:rtl/>
        </w:rPr>
        <w:instrText xml:space="preserve"> </w:instrText>
      </w:r>
      <w:r w:rsidRPr="000564B9">
        <w:rPr>
          <w:rStyle w:val="af7"/>
          <w:rFonts w:eastAsia="Guttman Hodes"/>
          <w:rtl/>
        </w:rPr>
      </w:r>
      <w:r w:rsidRPr="000564B9">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0564B9">
        <w:rPr>
          <w:rStyle w:val="af7"/>
          <w:rFonts w:eastAsia="Guttman Hodes"/>
          <w:rtl/>
        </w:rPr>
        <w:fldChar w:fldCharType="end"/>
      </w:r>
      <w:r w:rsidRPr="000564B9">
        <w:rPr>
          <w:rFonts w:hint="cs"/>
          <w:rtl/>
        </w:rPr>
        <w:t xml:space="preserve"> להדיא דלר"מ חדשים גרמי, ועוד תירץ </w:t>
      </w:r>
      <w:r w:rsidRPr="000564B9">
        <w:rPr>
          <w:rStyle w:val="af9"/>
          <w:rFonts w:hint="cs"/>
          <w:rtl/>
        </w:rPr>
        <w:t>המעדני יו"ט</w:t>
      </w:r>
      <w:r w:rsidRPr="000564B9">
        <w:rPr>
          <w:rFonts w:hint="cs"/>
          <w:rtl/>
        </w:rPr>
        <w:t xml:space="preserve"> דמ"ש </w:t>
      </w:r>
      <w:r w:rsidRPr="000564B9">
        <w:rPr>
          <w:rStyle w:val="af9"/>
          <w:rFonts w:hint="cs"/>
          <w:rtl/>
        </w:rPr>
        <w:t>רש"י</w:t>
      </w:r>
      <w:r w:rsidRPr="000564B9">
        <w:rPr>
          <w:rFonts w:hint="cs"/>
          <w:rtl/>
        </w:rPr>
        <w:t xml:space="preserve"> ברישא דמתני' דאין להם לא חדשים ולא אוירא, כוונתו לומר דכיון שאין להם חדשים אינם ראויים לחיות באויר העולם.</w:t>
      </w:r>
    </w:p>
    <w:p w14:paraId="40DA0C76" w14:textId="77777777" w:rsidR="003D504D" w:rsidRPr="002A56BB" w:rsidRDefault="003D504D" w:rsidP="003D504D">
      <w:pPr>
        <w:pStyle w:val="a3"/>
        <w:rPr>
          <w:rtl/>
        </w:rPr>
      </w:pPr>
      <w:bookmarkStart w:id="21665" w:name="_Toc2164494"/>
      <w:bookmarkStart w:id="21666" w:name="_Toc2187261"/>
      <w:bookmarkStart w:id="21667" w:name="_Toc2198191"/>
      <w:bookmarkStart w:id="21668" w:name="_Toc19391694"/>
      <w:bookmarkStart w:id="21669" w:name="_Toc19395191"/>
      <w:r>
        <w:rPr>
          <w:rFonts w:hint="cs"/>
          <w:rtl/>
        </w:rPr>
        <w:t>תירוץ התורת יקותיאל דלענין שחיטה רק חדשים גרמי ולענין חלב חדשים ואוירא גרמי</w:t>
      </w:r>
      <w:bookmarkEnd w:id="21665"/>
      <w:bookmarkEnd w:id="21666"/>
      <w:bookmarkEnd w:id="21667"/>
      <w:bookmarkEnd w:id="21668"/>
      <w:bookmarkEnd w:id="21669"/>
    </w:p>
    <w:p w14:paraId="081CD7BF" w14:textId="77777777" w:rsidR="003D504D" w:rsidRPr="002A56BB" w:rsidRDefault="003D504D" w:rsidP="00223668">
      <w:pPr>
        <w:pStyle w:val="a0"/>
        <w:rPr>
          <w:rtl/>
        </w:rPr>
      </w:pPr>
      <w:bookmarkStart w:id="21670" w:name="_Ref1643501"/>
      <w:r w:rsidRPr="002A56BB">
        <w:rPr>
          <w:rStyle w:val="af9"/>
          <w:rFonts w:hint="cs"/>
          <w:rtl/>
        </w:rPr>
        <w:t>והתורת יקותיאל</w:t>
      </w:r>
      <w:r w:rsidRPr="002A56BB">
        <w:rPr>
          <w:rFonts w:hint="cs"/>
          <w:rtl/>
        </w:rPr>
        <w:t xml:space="preserve"> </w:t>
      </w:r>
      <w:r w:rsidRPr="002A56BB">
        <w:rPr>
          <w:rStyle w:val="af7"/>
          <w:rFonts w:eastAsia="Guttman Hodes" w:hint="cs"/>
          <w:rtl/>
        </w:rPr>
        <w:t>(סי' ס"ד סק"א ד"ה והנה אף)</w:t>
      </w:r>
      <w:r w:rsidRPr="002A56BB">
        <w:rPr>
          <w:rFonts w:hint="cs"/>
          <w:rtl/>
        </w:rPr>
        <w:t xml:space="preserve"> תירץ את סתירת דברי </w:t>
      </w:r>
      <w:r w:rsidRPr="002A56BB">
        <w:rPr>
          <w:rStyle w:val="af9"/>
          <w:rFonts w:hint="cs"/>
          <w:rtl/>
        </w:rPr>
        <w:t>רש"י</w:t>
      </w:r>
      <w:r w:rsidRPr="002A56BB">
        <w:rPr>
          <w:rFonts w:hint="cs"/>
          <w:rtl/>
        </w:rPr>
        <w:t>, דמהא דכתב</w:t>
      </w:r>
      <w:r w:rsidRPr="002A56BB">
        <w:rPr>
          <w:rStyle w:val="af9"/>
          <w:rFonts w:hint="cs"/>
          <w:rtl/>
        </w:rPr>
        <w:t xml:space="preserve"> רש"י לקמן</w:t>
      </w:r>
      <w:r w:rsidRPr="002A56BB">
        <w:rPr>
          <w:rFonts w:hint="cs"/>
          <w:rtl/>
        </w:rPr>
        <w:t xml:space="preserve"> </w:t>
      </w:r>
      <w:r w:rsidRPr="002A56BB">
        <w:rPr>
          <w:rStyle w:val="af7"/>
          <w:rFonts w:eastAsia="Guttman Hodes" w:hint="cs"/>
          <w:rtl/>
        </w:rPr>
        <w:t>(עד: ד"ה למעוטי)</w:t>
      </w:r>
      <w:r w:rsidRPr="002A56BB">
        <w:rPr>
          <w:rFonts w:hint="cs"/>
          <w:rtl/>
        </w:rPr>
        <w:t xml:space="preserve"> דכשמצאוהו חי חדשים ואוירא גרמי, אין ראיה דביאר כן בדעת ר"מ, דאפש"ל דכתב </w:t>
      </w:r>
      <w:r w:rsidRPr="002A56BB">
        <w:rPr>
          <w:rStyle w:val="af9"/>
          <w:rFonts w:hint="cs"/>
          <w:rtl/>
        </w:rPr>
        <w:t>רש"י</w:t>
      </w:r>
      <w:r w:rsidRPr="002A56BB">
        <w:rPr>
          <w:rFonts w:hint="cs"/>
          <w:rtl/>
        </w:rPr>
        <w:t xml:space="preserve"> כן רק לפי ההו"א דאף ר"י מודה דהחלב והגיד אסורים, ולר"י חדשים ואוירא גרמי, ובהא דכתב</w:t>
      </w:r>
      <w:r w:rsidRPr="002A56BB">
        <w:rPr>
          <w:rStyle w:val="af9"/>
          <w:rFonts w:hint="cs"/>
          <w:rtl/>
        </w:rPr>
        <w:t xml:space="preserve"> רש"י לקמן </w:t>
      </w:r>
      <w:r w:rsidRPr="002A56BB">
        <w:rPr>
          <w:rStyle w:val="af7"/>
          <w:rFonts w:eastAsia="Guttman Hodes" w:hint="cs"/>
          <w:rtl/>
        </w:rPr>
        <w:t>(עד: ד"ה חלבו)</w:t>
      </w:r>
      <w:r w:rsidRPr="002A56BB">
        <w:rPr>
          <w:rStyle w:val="af9"/>
          <w:rFonts w:hint="cs"/>
          <w:rtl/>
        </w:rPr>
        <w:t xml:space="preserve"> </w:t>
      </w:r>
      <w:r w:rsidRPr="002A56BB">
        <w:rPr>
          <w:rFonts w:hint="cs"/>
          <w:rtl/>
        </w:rPr>
        <w:t xml:space="preserve">דר"מ ס"ל דחדשים ואוירא גרמי לענין איסור חלב בשליל, ביאר </w:t>
      </w:r>
      <w:r w:rsidRPr="002A56BB">
        <w:rPr>
          <w:rStyle w:val="af9"/>
          <w:rFonts w:hint="cs"/>
          <w:rtl/>
        </w:rPr>
        <w:t>התורת יקותיאל</w:t>
      </w:r>
      <w:r w:rsidRPr="002A56BB">
        <w:rPr>
          <w:rFonts w:hint="cs"/>
          <w:rtl/>
        </w:rPr>
        <w:t xml:space="preserve"> </w:t>
      </w:r>
      <w:r w:rsidRPr="002A56BB">
        <w:rPr>
          <w:rStyle w:val="af7"/>
          <w:rFonts w:eastAsia="Guttman Hodes" w:hint="cs"/>
          <w:rtl/>
        </w:rPr>
        <w:t xml:space="preserve">(סי' ס"ד סק"א ד"ה ולפענ"ד) </w:t>
      </w:r>
      <w:r w:rsidRPr="002A56BB">
        <w:rPr>
          <w:rFonts w:hint="cs"/>
          <w:rtl/>
        </w:rPr>
        <w:t xml:space="preserve">דהיינו דוקא לענין חלב, דבחלב אף לר"מ חדשים ואוירא גרמי לדעת ר"ל, אבל במתני' ביאר </w:t>
      </w:r>
      <w:r w:rsidRPr="002A56BB">
        <w:rPr>
          <w:rStyle w:val="af9"/>
          <w:rFonts w:hint="cs"/>
          <w:rtl/>
        </w:rPr>
        <w:t>רש"י</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Ref1555747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2A56BB">
        <w:rPr>
          <w:rStyle w:val="af7"/>
          <w:rFonts w:eastAsia="Guttman Hodes"/>
          <w:rtl/>
        </w:rPr>
        <w:fldChar w:fldCharType="end"/>
      </w:r>
      <w:r w:rsidRPr="002A56BB">
        <w:rPr>
          <w:rFonts w:hint="cs"/>
          <w:rtl/>
        </w:rPr>
        <w:t xml:space="preserve"> את דין בן ט' רק לענין שחיטה, ובשחיטה ס"ל לר"מ דרק חדשים גרמי, דכיון שההיתר תלוי בשחיטת האם, ובן ט' חי לא מהני לו שחיטת אמו, וכן ביאר </w:t>
      </w:r>
      <w:r w:rsidRPr="002A56BB">
        <w:rPr>
          <w:rStyle w:val="af9"/>
          <w:rFonts w:hint="cs"/>
          <w:rtl/>
        </w:rPr>
        <w:t>התורת יקותיאל</w:t>
      </w:r>
      <w:r w:rsidRPr="002A56BB">
        <w:rPr>
          <w:rStyle w:val="af7"/>
          <w:rFonts w:eastAsia="Guttman Hodes" w:hint="cs"/>
          <w:rtl/>
        </w:rPr>
        <w:t xml:space="preserve"> (סי' ס"ד סק"א ד"ה ולפי"ז י"ל) </w:t>
      </w:r>
      <w:r w:rsidRPr="002A56BB">
        <w:rPr>
          <w:rFonts w:hint="cs"/>
          <w:rtl/>
        </w:rPr>
        <w:t xml:space="preserve">בדברי </w:t>
      </w:r>
      <w:r w:rsidRPr="002A56BB">
        <w:rPr>
          <w:rStyle w:val="af9"/>
          <w:rFonts w:hint="cs"/>
          <w:rtl/>
        </w:rPr>
        <w:t>רש"י לקמן</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Ref1723432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כט)</w:t>
      </w:r>
      <w:r w:rsidRPr="002A56BB">
        <w:rPr>
          <w:rStyle w:val="af7"/>
          <w:rFonts w:eastAsia="Guttman Hodes"/>
          <w:rtl/>
        </w:rPr>
        <w:fldChar w:fldCharType="end"/>
      </w:r>
      <w:r w:rsidRPr="002A56BB">
        <w:rPr>
          <w:rFonts w:hint="cs"/>
          <w:rtl/>
        </w:rPr>
        <w:t xml:space="preserve"> עיי"ש בדברי</w:t>
      </w:r>
      <w:r>
        <w:rPr>
          <w:rFonts w:hint="cs"/>
          <w:rtl/>
        </w:rPr>
        <w:t>ו,</w:t>
      </w:r>
      <w:r w:rsidRPr="002A56BB">
        <w:rPr>
          <w:rFonts w:hint="cs"/>
          <w:rtl/>
        </w:rPr>
        <w:t xml:space="preserve"> וכעי"ז כתב </w:t>
      </w:r>
      <w:r w:rsidRPr="002A56BB">
        <w:rPr>
          <w:rStyle w:val="af9"/>
          <w:rFonts w:hint="cs"/>
          <w:rtl/>
        </w:rPr>
        <w:t>הלב אריה</w:t>
      </w:r>
      <w:r w:rsidRPr="002A56BB">
        <w:rPr>
          <w:rStyle w:val="af7"/>
          <w:rFonts w:eastAsia="Guttman Hodes" w:hint="cs"/>
          <w:rtl/>
        </w:rPr>
        <w:t xml:space="preserve"> (עד: על רש"י ד"ה למעוטי)</w:t>
      </w:r>
      <w:r w:rsidRPr="002A56BB">
        <w:rPr>
          <w:rFonts w:hint="cs"/>
          <w:rtl/>
        </w:rPr>
        <w:t>.</w:t>
      </w:r>
      <w:bookmarkEnd w:id="21670"/>
    </w:p>
    <w:p w14:paraId="558D7BCC" w14:textId="77777777" w:rsidR="003D504D" w:rsidRPr="002A56BB" w:rsidRDefault="003D504D" w:rsidP="00BF39B2">
      <w:pPr>
        <w:pStyle w:val="1"/>
        <w:rPr>
          <w:rtl/>
        </w:rPr>
      </w:pPr>
      <w:bookmarkStart w:id="21671" w:name="_Toc1725794"/>
      <w:bookmarkStart w:id="21672" w:name="_Toc1728174"/>
      <w:bookmarkStart w:id="21673" w:name="_Toc1938714"/>
      <w:bookmarkStart w:id="21674" w:name="_Toc1938807"/>
      <w:bookmarkStart w:id="21675" w:name="_Toc2078485"/>
      <w:bookmarkStart w:id="21676" w:name="_Toc2164495"/>
      <w:bookmarkStart w:id="21677" w:name="_Toc2187262"/>
      <w:bookmarkStart w:id="21678" w:name="_Toc2198192"/>
      <w:bookmarkStart w:id="21679" w:name="_Toc19391695"/>
      <w:bookmarkStart w:id="21680" w:name="_Toc19395192"/>
      <w:r w:rsidRPr="002A56BB">
        <w:rPr>
          <w:rFonts w:hint="cs"/>
          <w:rtl/>
        </w:rPr>
        <w:t>דעת האחרונים דאף לרש"י לר"מ חדשים ואוירא גרמי</w:t>
      </w:r>
      <w:bookmarkEnd w:id="21671"/>
      <w:bookmarkEnd w:id="21672"/>
      <w:bookmarkEnd w:id="21673"/>
      <w:bookmarkEnd w:id="21674"/>
      <w:bookmarkEnd w:id="21675"/>
      <w:bookmarkEnd w:id="21676"/>
      <w:bookmarkEnd w:id="21677"/>
      <w:bookmarkEnd w:id="21678"/>
      <w:bookmarkEnd w:id="21679"/>
      <w:bookmarkEnd w:id="21680"/>
      <w:r w:rsidRPr="002A56BB">
        <w:rPr>
          <w:rFonts w:hint="cs"/>
          <w:rtl/>
        </w:rPr>
        <w:t xml:space="preserve"> </w:t>
      </w:r>
    </w:p>
    <w:p w14:paraId="2FD330E7" w14:textId="77777777" w:rsidR="003D504D" w:rsidRPr="002A56BB" w:rsidRDefault="003D504D" w:rsidP="003D504D">
      <w:pPr>
        <w:pStyle w:val="a3"/>
        <w:rPr>
          <w:rtl/>
        </w:rPr>
      </w:pPr>
      <w:bookmarkStart w:id="21681" w:name="_Toc1725795"/>
      <w:bookmarkStart w:id="21682" w:name="_Toc1728175"/>
      <w:bookmarkStart w:id="21683" w:name="_Toc1938715"/>
      <w:bookmarkStart w:id="21684" w:name="_Toc1938808"/>
      <w:bookmarkStart w:id="21685" w:name="_Toc2078486"/>
      <w:bookmarkStart w:id="21686" w:name="_Toc2164496"/>
      <w:bookmarkStart w:id="21687" w:name="_Toc2187263"/>
      <w:bookmarkStart w:id="21688" w:name="_Toc2198193"/>
      <w:bookmarkStart w:id="21689" w:name="_Toc19391696"/>
      <w:bookmarkStart w:id="21690" w:name="_Toc19395193"/>
      <w:r w:rsidRPr="002A56BB">
        <w:rPr>
          <w:rFonts w:hint="cs"/>
          <w:rtl/>
        </w:rPr>
        <w:t>דברי הרש"ש דהגירסא ברש"י דלר"מ חדשים ואוירא גרמי ודלא כהבנת הראשונים ברש"י</w:t>
      </w:r>
      <w:bookmarkEnd w:id="21681"/>
      <w:bookmarkEnd w:id="21682"/>
      <w:bookmarkEnd w:id="21683"/>
      <w:bookmarkEnd w:id="21684"/>
      <w:bookmarkEnd w:id="21685"/>
      <w:bookmarkEnd w:id="21686"/>
      <w:bookmarkEnd w:id="21687"/>
      <w:bookmarkEnd w:id="21688"/>
      <w:bookmarkEnd w:id="21689"/>
      <w:bookmarkEnd w:id="21690"/>
    </w:p>
    <w:p w14:paraId="5407E80E" w14:textId="77777777" w:rsidR="003D504D" w:rsidRDefault="003D504D" w:rsidP="00223668">
      <w:pPr>
        <w:pStyle w:val="a0"/>
      </w:pPr>
      <w:r w:rsidRPr="002A56BB">
        <w:rPr>
          <w:rStyle w:val="af9"/>
          <w:rFonts w:hint="cs"/>
          <w:rtl/>
        </w:rPr>
        <w:t>והרש"ש</w:t>
      </w:r>
      <w:r w:rsidRPr="002A56BB">
        <w:rPr>
          <w:rFonts w:hint="cs"/>
          <w:rtl/>
        </w:rPr>
        <w:t xml:space="preserve"> </w:t>
      </w:r>
      <w:r w:rsidRPr="002A56BB">
        <w:rPr>
          <w:rStyle w:val="af7"/>
          <w:rFonts w:eastAsia="Guttman Hodes" w:hint="cs"/>
          <w:rtl/>
        </w:rPr>
        <w:t>(על רש"י ד"ה טעון)</w:t>
      </w:r>
      <w:r w:rsidRPr="002A56BB">
        <w:rPr>
          <w:rFonts w:hint="cs"/>
          <w:rtl/>
        </w:rPr>
        <w:t xml:space="preserve"> כתב דמדברי רש"י לקמן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Ref1898920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ל)</w:t>
      </w:r>
      <w:r w:rsidRPr="002A56BB">
        <w:rPr>
          <w:rStyle w:val="af7"/>
          <w:rFonts w:eastAsia="Guttman Hodes"/>
          <w:rtl/>
        </w:rPr>
        <w:fldChar w:fldCharType="end"/>
      </w:r>
      <w:r w:rsidRPr="002A56BB">
        <w:rPr>
          <w:rFonts w:hint="cs"/>
          <w:rtl/>
        </w:rPr>
        <w:t xml:space="preserve"> מוכח דאף לר"מ חדשים ואוירא גרמי, וא"כ צריך לגרוס בדברי </w:t>
      </w:r>
      <w:r w:rsidRPr="002A56BB">
        <w:rPr>
          <w:rStyle w:val="af9"/>
          <w:rFonts w:hint="cs"/>
          <w:rtl/>
        </w:rPr>
        <w:t xml:space="preserve">רש"י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Ref1555747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2A56BB">
        <w:rPr>
          <w:rStyle w:val="af7"/>
          <w:rFonts w:eastAsia="Guttman Hodes"/>
          <w:rtl/>
        </w:rPr>
        <w:fldChar w:fldCharType="end"/>
      </w:r>
      <w:r w:rsidRPr="002A56BB">
        <w:rPr>
          <w:rFonts w:hint="cs"/>
          <w:rtl/>
        </w:rPr>
        <w:t xml:space="preserve"> בביאור דברי ר"מ באיסור בן ט' חי, דחדשים ואוירא גרמי, ודלא כהבנת</w:t>
      </w:r>
      <w:r w:rsidRPr="002A56BB">
        <w:rPr>
          <w:rStyle w:val="af9"/>
          <w:rFonts w:hint="cs"/>
          <w:rtl/>
        </w:rPr>
        <w:t xml:space="preserve"> הראשונים</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Ref1723409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יט)</w:t>
      </w:r>
      <w:r w:rsidRPr="002A56BB">
        <w:rPr>
          <w:rStyle w:val="af7"/>
          <w:rFonts w:eastAsia="Guttman Hodes"/>
          <w:rtl/>
        </w:rPr>
        <w:fldChar w:fldCharType="end"/>
      </w:r>
      <w:r w:rsidRPr="002A56BB">
        <w:rPr>
          <w:rFonts w:hint="cs"/>
          <w:rtl/>
        </w:rPr>
        <w:t xml:space="preserve"> בדעת </w:t>
      </w:r>
      <w:r w:rsidRPr="002A56BB">
        <w:rPr>
          <w:rStyle w:val="af9"/>
          <w:rFonts w:hint="cs"/>
          <w:rtl/>
        </w:rPr>
        <w:t>רש"י</w:t>
      </w:r>
      <w:r w:rsidRPr="002A56BB">
        <w:rPr>
          <w:rFonts w:hint="cs"/>
          <w:rtl/>
        </w:rPr>
        <w:t>.</w:t>
      </w:r>
      <w:r w:rsidRPr="00C3146D">
        <w:rPr>
          <w:rFonts w:hint="cs"/>
          <w:rtl/>
        </w:rPr>
        <w:t xml:space="preserve"> </w:t>
      </w:r>
    </w:p>
    <w:p w14:paraId="4E5E4EA1" w14:textId="77777777" w:rsidR="003D504D" w:rsidRPr="002A56BB" w:rsidRDefault="003D504D" w:rsidP="003D504D">
      <w:pPr>
        <w:pStyle w:val="a3"/>
        <w:rPr>
          <w:rtl/>
        </w:rPr>
      </w:pPr>
      <w:bookmarkStart w:id="21691" w:name="_Toc2164497"/>
      <w:bookmarkStart w:id="21692" w:name="_Toc2187264"/>
      <w:bookmarkStart w:id="21693" w:name="_Toc2198194"/>
      <w:bookmarkStart w:id="21694" w:name="_Toc19391697"/>
      <w:bookmarkStart w:id="21695" w:name="_Toc19395194"/>
      <w:r>
        <w:rPr>
          <w:rFonts w:hint="cs"/>
          <w:rtl/>
        </w:rPr>
        <w:t>תירוץ הכנה"ג דרש"י כתב בר"מ רק דחדשים גרמי דסמך על דבריו ברישא דחדשים ואוירא גרמי</w:t>
      </w:r>
      <w:bookmarkEnd w:id="21691"/>
      <w:bookmarkEnd w:id="21692"/>
      <w:bookmarkEnd w:id="21693"/>
      <w:bookmarkEnd w:id="21694"/>
      <w:bookmarkEnd w:id="21695"/>
    </w:p>
    <w:p w14:paraId="12FB65C3" w14:textId="77777777" w:rsidR="003D504D" w:rsidRPr="002A56BB" w:rsidRDefault="003D504D" w:rsidP="00223668">
      <w:pPr>
        <w:pStyle w:val="a0"/>
        <w:rPr>
          <w:rtl/>
        </w:rPr>
      </w:pPr>
      <w:bookmarkStart w:id="21696" w:name="_Ref1899250"/>
      <w:r w:rsidRPr="002A56BB">
        <w:rPr>
          <w:rStyle w:val="af9"/>
          <w:rFonts w:hint="cs"/>
          <w:rtl/>
        </w:rPr>
        <w:t>והכנה"ג</w:t>
      </w:r>
      <w:r w:rsidRPr="002A56BB">
        <w:rPr>
          <w:rFonts w:hint="cs"/>
          <w:rtl/>
        </w:rPr>
        <w:t xml:space="preserve"> </w:t>
      </w:r>
      <w:r w:rsidRPr="002A56BB">
        <w:rPr>
          <w:rStyle w:val="af7"/>
          <w:rFonts w:eastAsia="Guttman Hodes" w:hint="cs"/>
          <w:rtl/>
        </w:rPr>
        <w:t>(סי' ס"ד הג' טור ח')</w:t>
      </w:r>
      <w:r w:rsidRPr="002A56BB">
        <w:rPr>
          <w:rFonts w:hint="cs"/>
          <w:rtl/>
        </w:rPr>
        <w:t xml:space="preserve"> כתב דמדברי </w:t>
      </w:r>
      <w:r w:rsidRPr="00801014">
        <w:rPr>
          <w:rStyle w:val="af9"/>
          <w:rFonts w:hint="cs"/>
          <w:rtl/>
        </w:rPr>
        <w:t>רש"י</w:t>
      </w:r>
      <w:r w:rsidRPr="002A56BB">
        <w:rPr>
          <w:rFonts w:hint="cs"/>
          <w:rtl/>
        </w:rPr>
        <w:t xml:space="preserve"> ברישא דמתני' מוכח דס"ל דאף לר"מ חודשים ואוירא גרמי, ודלא כביאור </w:t>
      </w:r>
      <w:r w:rsidRPr="002A56BB">
        <w:rPr>
          <w:rStyle w:val="af9"/>
          <w:rFonts w:hint="cs"/>
          <w:rtl/>
        </w:rPr>
        <w:t>הרא"ש</w:t>
      </w:r>
      <w:r w:rsidRPr="002A56BB">
        <w:rPr>
          <w:rStyle w:val="af7"/>
          <w:rFonts w:eastAsia="Guttman Hodes" w:hint="cs"/>
          <w:rtl/>
        </w:rPr>
        <w:t xml:space="preserve"> (עי'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Ref1494993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2A56BB">
        <w:rPr>
          <w:rStyle w:val="af7"/>
          <w:rFonts w:eastAsia="Guttman Hodes"/>
          <w:rtl/>
        </w:rPr>
        <w:fldChar w:fldCharType="end"/>
      </w:r>
      <w:r w:rsidRPr="002A56BB">
        <w:rPr>
          <w:rFonts w:hint="cs"/>
          <w:rtl/>
        </w:rPr>
        <w:t xml:space="preserve"> בדעת </w:t>
      </w:r>
      <w:r w:rsidRPr="002A56BB">
        <w:rPr>
          <w:rStyle w:val="af9"/>
          <w:rFonts w:hint="cs"/>
          <w:rtl/>
        </w:rPr>
        <w:t>רש"י</w:t>
      </w:r>
      <w:r w:rsidRPr="002A56BB">
        <w:rPr>
          <w:rFonts w:hint="cs"/>
          <w:rtl/>
        </w:rPr>
        <w:t xml:space="preserve">, ומ"ש </w:t>
      </w:r>
      <w:r w:rsidRPr="002A56BB">
        <w:rPr>
          <w:rStyle w:val="af9"/>
          <w:rFonts w:hint="cs"/>
          <w:rtl/>
        </w:rPr>
        <w:t xml:space="preserve">רש"י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Ref1555747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ב)</w:t>
      </w:r>
      <w:r w:rsidRPr="002A56BB">
        <w:rPr>
          <w:rStyle w:val="af7"/>
          <w:rFonts w:eastAsia="Guttman Hodes"/>
          <w:rtl/>
        </w:rPr>
        <w:fldChar w:fldCharType="end"/>
      </w:r>
      <w:r w:rsidRPr="002A56BB">
        <w:rPr>
          <w:rFonts w:hint="cs"/>
          <w:rtl/>
        </w:rPr>
        <w:t xml:space="preserve"> דלר"מ חדשים גרמי, סמך על דבריו דכתב ברישא דמתני' שצריך גם אוירא, דא"א לומר דדסגי בחדשים לבד, דא"כ בן ט' מת יאסר לדעת ר"מ.</w:t>
      </w:r>
      <w:r w:rsidRPr="002A56BB">
        <w:rPr>
          <w:rStyle w:val="afb"/>
          <w:rFonts w:hint="cs"/>
          <w:rtl/>
        </w:rPr>
        <w:t xml:space="preserve"> [והוסיף </w:t>
      </w:r>
      <w:r w:rsidRPr="002A56BB">
        <w:rPr>
          <w:rStyle w:val="affa"/>
          <w:rFonts w:hint="cs"/>
          <w:rtl/>
        </w:rPr>
        <w:t>הכנה"ג</w:t>
      </w:r>
      <w:r w:rsidRPr="002A56BB">
        <w:rPr>
          <w:rStyle w:val="afb"/>
          <w:rFonts w:hint="cs"/>
          <w:rtl/>
        </w:rPr>
        <w:t xml:space="preserve"> דא"א לומר דכוונת </w:t>
      </w:r>
      <w:r w:rsidRPr="002A56BB">
        <w:rPr>
          <w:rStyle w:val="affa"/>
          <w:rFonts w:hint="cs"/>
          <w:rtl/>
        </w:rPr>
        <w:t>רש"י</w:t>
      </w:r>
      <w:r w:rsidRPr="002A56BB">
        <w:rPr>
          <w:rStyle w:val="afb"/>
          <w:rFonts w:hint="cs"/>
          <w:rtl/>
        </w:rPr>
        <w:t xml:space="preserve"> ברישא דמתני' היא דההיתר בחלב הוא רק כשלא כלו לו חדשיו ולא נולד, אבל אם יש לו חדשים או אוירא, חלבו אסור, דהרי רק לל"ק דנדחתה בגמ' מהני אוירא לבד לאסור </w:t>
      </w:r>
      <w:r w:rsidRPr="00801014">
        <w:rPr>
          <w:rStyle w:val="afb"/>
          <w:rFonts w:hint="cs"/>
          <w:rtl/>
        </w:rPr>
        <w:t>את החלב, ולמסקנא לכו"ע לא מהני אוירא</w:t>
      </w:r>
      <w:r w:rsidRPr="002A56BB">
        <w:rPr>
          <w:rStyle w:val="afb"/>
          <w:rFonts w:hint="cs"/>
          <w:rtl/>
        </w:rPr>
        <w:t xml:space="preserve"> לבד, וא"כ מוכח דכוונת </w:t>
      </w:r>
      <w:r w:rsidRPr="002A56BB">
        <w:rPr>
          <w:rStyle w:val="affa"/>
          <w:rFonts w:hint="cs"/>
          <w:rtl/>
        </w:rPr>
        <w:t>רש"י</w:t>
      </w:r>
      <w:r w:rsidRPr="002A56BB">
        <w:rPr>
          <w:rStyle w:val="afb"/>
          <w:rFonts w:hint="cs"/>
          <w:rtl/>
        </w:rPr>
        <w:t xml:space="preserve"> לומר דבכדי להתיר צריך שלא יהיה לו לא חדשים ולא אוירא].</w:t>
      </w:r>
      <w:bookmarkEnd w:id="21696"/>
    </w:p>
    <w:p w14:paraId="517B9333" w14:textId="77777777" w:rsidR="003D504D" w:rsidRPr="002A56BB" w:rsidRDefault="003D504D" w:rsidP="003D504D">
      <w:pPr>
        <w:pStyle w:val="a3"/>
        <w:rPr>
          <w:rtl/>
        </w:rPr>
      </w:pPr>
      <w:bookmarkStart w:id="21697" w:name="_Toc2164498"/>
      <w:bookmarkStart w:id="21698" w:name="_Toc2187265"/>
      <w:bookmarkStart w:id="21699" w:name="_Toc2198195"/>
      <w:bookmarkStart w:id="21700" w:name="_Toc19391698"/>
      <w:bookmarkStart w:id="21701" w:name="_Toc19395195"/>
      <w:r>
        <w:rPr>
          <w:rFonts w:hint="cs"/>
          <w:rtl/>
        </w:rPr>
        <w:t>דברי הכנה"ג דאף לרש"י חדשים גרמי רק ביצא חי אבל ביצא מת לא מהני החדשים לאוסרו</w:t>
      </w:r>
      <w:bookmarkEnd w:id="21697"/>
      <w:bookmarkEnd w:id="21698"/>
      <w:bookmarkEnd w:id="21699"/>
      <w:bookmarkEnd w:id="21700"/>
      <w:bookmarkEnd w:id="21701"/>
      <w:r>
        <w:rPr>
          <w:rFonts w:hint="cs"/>
          <w:rtl/>
        </w:rPr>
        <w:t xml:space="preserve"> </w:t>
      </w:r>
    </w:p>
    <w:p w14:paraId="0CCAEF8F" w14:textId="77777777" w:rsidR="003D504D" w:rsidRPr="002A56BB" w:rsidRDefault="003D504D" w:rsidP="00223668">
      <w:pPr>
        <w:pStyle w:val="a0"/>
        <w:rPr>
          <w:sz w:val="10"/>
          <w:szCs w:val="14"/>
          <w:rtl/>
        </w:rPr>
      </w:pPr>
      <w:bookmarkStart w:id="21702" w:name="_Ref1898083"/>
      <w:r w:rsidRPr="002A56BB">
        <w:rPr>
          <w:rFonts w:hint="cs"/>
          <w:rtl/>
        </w:rPr>
        <w:t xml:space="preserve">ותמה </w:t>
      </w:r>
      <w:r w:rsidRPr="002A56BB">
        <w:rPr>
          <w:rStyle w:val="af9"/>
          <w:rFonts w:hint="cs"/>
          <w:rtl/>
        </w:rPr>
        <w:t>הכנה"ג</w:t>
      </w:r>
      <w:r w:rsidRPr="002A56BB">
        <w:rPr>
          <w:rFonts w:hint="cs"/>
          <w:rtl/>
        </w:rPr>
        <w:t xml:space="preserve"> על קושית </w:t>
      </w:r>
      <w:r w:rsidRPr="002A56BB">
        <w:rPr>
          <w:rStyle w:val="af9"/>
          <w:rFonts w:hint="cs"/>
          <w:rtl/>
        </w:rPr>
        <w:t>הרא"ש</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Ref1494993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2A56BB">
        <w:rPr>
          <w:rStyle w:val="af7"/>
          <w:rFonts w:eastAsia="Guttman Hodes"/>
          <w:rtl/>
        </w:rPr>
        <w:fldChar w:fldCharType="end"/>
      </w:r>
      <w:r w:rsidRPr="002A56BB">
        <w:rPr>
          <w:rFonts w:hint="cs"/>
          <w:rtl/>
        </w:rPr>
        <w:t xml:space="preserve"> דלא מבואר </w:t>
      </w:r>
      <w:r w:rsidRPr="002A56BB">
        <w:rPr>
          <w:rStyle w:val="af9"/>
          <w:rFonts w:hint="cs"/>
          <w:rtl/>
        </w:rPr>
        <w:t>ברש"י</w:t>
      </w:r>
      <w:r w:rsidRPr="002A56BB">
        <w:rPr>
          <w:rFonts w:hint="cs"/>
          <w:rtl/>
        </w:rPr>
        <w:t xml:space="preserve"> דחדשים גרמי כשיצא מת, דכ"מ דכתב </w:t>
      </w:r>
      <w:r w:rsidRPr="002A56BB">
        <w:rPr>
          <w:rStyle w:val="af9"/>
          <w:rFonts w:hint="cs"/>
          <w:rtl/>
        </w:rPr>
        <w:t>רש"י</w:t>
      </w:r>
      <w:r w:rsidRPr="002A56BB">
        <w:rPr>
          <w:rFonts w:hint="cs"/>
          <w:rtl/>
        </w:rPr>
        <w:t xml:space="preserve"> דחדשים גרמי היינו ביצא חי דיש חדשים וחיות, אבל ביצא מת שאין בו חיות, לא מהני החדשים ל</w:t>
      </w:r>
      <w:r>
        <w:rPr>
          <w:rFonts w:hint="cs"/>
          <w:rtl/>
        </w:rPr>
        <w:t xml:space="preserve">אוסרו אף לדעת </w:t>
      </w:r>
      <w:r w:rsidRPr="000827B8">
        <w:rPr>
          <w:rStyle w:val="af9"/>
          <w:rFonts w:hint="cs"/>
          <w:rtl/>
        </w:rPr>
        <w:t>רש"י</w:t>
      </w:r>
      <w:r w:rsidRPr="002A56BB">
        <w:rPr>
          <w:rFonts w:hint="cs"/>
          <w:rtl/>
        </w:rPr>
        <w:t>.</w:t>
      </w:r>
      <w:bookmarkEnd w:id="21702"/>
    </w:p>
    <w:p w14:paraId="6055073B" w14:textId="77777777" w:rsidR="003D504D" w:rsidRPr="002A56BB" w:rsidRDefault="003D504D" w:rsidP="003D504D">
      <w:pPr>
        <w:pStyle w:val="a3"/>
        <w:rPr>
          <w:rtl/>
        </w:rPr>
      </w:pPr>
      <w:bookmarkStart w:id="21703" w:name="_Toc2164500"/>
      <w:bookmarkStart w:id="21704" w:name="_Toc2187267"/>
      <w:bookmarkStart w:id="21705" w:name="_Toc2198197"/>
      <w:bookmarkStart w:id="21706" w:name="_Toc19391699"/>
      <w:bookmarkStart w:id="21707" w:name="_Toc19395196"/>
      <w:r>
        <w:rPr>
          <w:rFonts w:hint="cs"/>
          <w:rtl/>
        </w:rPr>
        <w:t>תירוץ היד יהודה דלרש"י אף שהיה חי בשעת שחיטה מהני שחיטת אמו להתירו ביצא מת</w:t>
      </w:r>
      <w:bookmarkEnd w:id="21703"/>
      <w:bookmarkEnd w:id="21704"/>
      <w:bookmarkEnd w:id="21705"/>
      <w:bookmarkEnd w:id="21706"/>
      <w:bookmarkEnd w:id="21707"/>
    </w:p>
    <w:p w14:paraId="39034ACF" w14:textId="77777777" w:rsidR="003D504D" w:rsidRPr="002A56BB" w:rsidRDefault="003D504D" w:rsidP="00223668">
      <w:pPr>
        <w:pStyle w:val="a0"/>
        <w:rPr>
          <w:rtl/>
        </w:rPr>
      </w:pPr>
      <w:r w:rsidRPr="002A56BB">
        <w:rPr>
          <w:rStyle w:val="af9"/>
          <w:rFonts w:hint="cs"/>
          <w:rtl/>
        </w:rPr>
        <w:t>והיד יהודה</w:t>
      </w:r>
      <w:r w:rsidRPr="002A56BB">
        <w:rPr>
          <w:rFonts w:hint="cs"/>
          <w:rtl/>
        </w:rPr>
        <w:t xml:space="preserve"> </w:t>
      </w:r>
      <w:r w:rsidRPr="002A56BB">
        <w:rPr>
          <w:rStyle w:val="af7"/>
          <w:rFonts w:eastAsia="Guttman Hodes" w:hint="cs"/>
          <w:rtl/>
        </w:rPr>
        <w:t>(סי' י"ג ריש סק"ה ד"ה ונראה דהענין)</w:t>
      </w:r>
      <w:r w:rsidRPr="002A56BB">
        <w:rPr>
          <w:rFonts w:hint="cs"/>
          <w:rtl/>
        </w:rPr>
        <w:t xml:space="preserve"> כתב דמבואר מדברי </w:t>
      </w:r>
      <w:r w:rsidRPr="002A56BB">
        <w:rPr>
          <w:rStyle w:val="af9"/>
          <w:rFonts w:hint="cs"/>
          <w:rtl/>
        </w:rPr>
        <w:t>רש"י</w:t>
      </w:r>
      <w:r w:rsidRPr="002A56BB">
        <w:rPr>
          <w:rFonts w:hint="cs"/>
          <w:rtl/>
        </w:rPr>
        <w:t xml:space="preserve"> דאף לר"מ חדשים ואוירא גרמי, ולדעת ר"מ ההיתר בשחיטת בן ט', הוא מיתלא תלי וקאי, וביצא מת לאויר העולם מהני לו שחיטת אמו, אף שהיה חי בשעת שחיטה, דמ"מ אינו נחשב בהמה כ"ז שלא יצא לאויר </w:t>
      </w:r>
      <w:r w:rsidRPr="007C4C29">
        <w:rPr>
          <w:rFonts w:hint="cs"/>
          <w:rtl/>
        </w:rPr>
        <w:t xml:space="preserve">העולם, וכמבואר </w:t>
      </w:r>
      <w:r w:rsidRPr="007C4C29">
        <w:rPr>
          <w:rStyle w:val="af9"/>
          <w:rFonts w:hint="cs"/>
          <w:rtl/>
        </w:rPr>
        <w:t>ברש"י לקמן</w:t>
      </w:r>
      <w:r w:rsidRPr="007C4C29">
        <w:rPr>
          <w:rStyle w:val="af7"/>
          <w:rFonts w:eastAsia="Guttman Hodes" w:hint="cs"/>
          <w:rtl/>
        </w:rPr>
        <w:t xml:space="preserve"> (צב: ד"ה לשיטתו)</w:t>
      </w:r>
      <w:r w:rsidRPr="007C4C29">
        <w:rPr>
          <w:rFonts w:hint="cs"/>
          <w:rtl/>
        </w:rPr>
        <w:t xml:space="preserve"> דכ"ז שלא נולד לא חשיב בהמה בפנ"ע לענין דחלבו לא נקרא חלב</w:t>
      </w:r>
      <w:r w:rsidRPr="002A56BB">
        <w:rPr>
          <w:rFonts w:hint="cs"/>
          <w:rtl/>
        </w:rPr>
        <w:t xml:space="preserve"> שור או כשב, ולכן שחיטת אמו מתירתו אף שהיה חי בשעת שחיטה.</w:t>
      </w:r>
    </w:p>
    <w:p w14:paraId="4E59C203" w14:textId="77777777" w:rsidR="003D504D" w:rsidRPr="002A56BB" w:rsidRDefault="003D504D" w:rsidP="003D504D">
      <w:pPr>
        <w:pStyle w:val="a3"/>
        <w:rPr>
          <w:rtl/>
        </w:rPr>
      </w:pPr>
      <w:bookmarkStart w:id="21708" w:name="_Toc2164501"/>
      <w:bookmarkStart w:id="21709" w:name="_Toc2187268"/>
      <w:bookmarkStart w:id="21710" w:name="_Toc2198198"/>
      <w:bookmarkStart w:id="21711" w:name="_Toc19391700"/>
      <w:bookmarkStart w:id="21712" w:name="_Toc19395197"/>
      <w:r>
        <w:rPr>
          <w:rFonts w:hint="cs"/>
          <w:rtl/>
        </w:rPr>
        <w:t>ביאור היד יהודה ברש"י דבנולד חי נעשה בהמה ומתחייב בשחיטה אף שכבר הותר בשחיטת אמו</w:t>
      </w:r>
      <w:bookmarkEnd w:id="21708"/>
      <w:bookmarkEnd w:id="21709"/>
      <w:bookmarkEnd w:id="21710"/>
      <w:bookmarkEnd w:id="21711"/>
      <w:bookmarkEnd w:id="21712"/>
    </w:p>
    <w:p w14:paraId="6474CC9F" w14:textId="77777777" w:rsidR="003D504D" w:rsidRPr="002A56BB" w:rsidRDefault="003D504D" w:rsidP="00223668">
      <w:pPr>
        <w:pStyle w:val="a0"/>
        <w:rPr>
          <w:rtl/>
        </w:rPr>
      </w:pPr>
      <w:r w:rsidRPr="002A56BB">
        <w:rPr>
          <w:rFonts w:hint="cs"/>
          <w:rtl/>
        </w:rPr>
        <w:t xml:space="preserve">ובנולד חי ביאר </w:t>
      </w:r>
      <w:r w:rsidRPr="002A56BB">
        <w:rPr>
          <w:rStyle w:val="af9"/>
          <w:rFonts w:hint="cs"/>
          <w:rtl/>
        </w:rPr>
        <w:t>היד יהודה</w:t>
      </w:r>
      <w:r w:rsidRPr="002A56BB">
        <w:rPr>
          <w:rFonts w:hint="cs"/>
          <w:rtl/>
        </w:rPr>
        <w:t xml:space="preserve"> </w:t>
      </w:r>
      <w:r w:rsidRPr="002A56BB">
        <w:rPr>
          <w:rStyle w:val="af9"/>
          <w:rFonts w:hint="cs"/>
          <w:rtl/>
        </w:rPr>
        <w:t>ברש"י</w:t>
      </w:r>
      <w:r w:rsidRPr="002A56BB">
        <w:rPr>
          <w:rFonts w:hint="cs"/>
          <w:rtl/>
        </w:rPr>
        <w:t xml:space="preserve"> דס"ל לר"מ דאף שהיה לו היתר בשעת שחיטה דעדיין לא היה חשיב בהמה בפנ"ע, מ"מ עכשיו כשנולד ונעשה בהמה בפנ"ע, הוא מתחייב בשחיטה בפנ"ע בכדי להתירו כיון שנעשה בהמה בפנ"ע, ולכן אחר שנולד חי לא מועיל לו ההיתר שחיטת אמו, שהיה בשעה שלא היה נקרא בהמה, </w:t>
      </w:r>
      <w:r w:rsidRPr="002A56BB">
        <w:rPr>
          <w:rStyle w:val="afb"/>
          <w:rFonts w:hint="cs"/>
          <w:rtl/>
        </w:rPr>
        <w:t>[</w:t>
      </w:r>
      <w:r>
        <w:rPr>
          <w:rStyle w:val="afb"/>
          <w:rFonts w:hint="cs"/>
          <w:rtl/>
        </w:rPr>
        <w:t>ו</w:t>
      </w:r>
      <w:r w:rsidRPr="002A56BB">
        <w:rPr>
          <w:rStyle w:val="afb"/>
          <w:rFonts w:hint="cs"/>
          <w:rtl/>
        </w:rPr>
        <w:t xml:space="preserve">כתב </w:t>
      </w:r>
      <w:r w:rsidRPr="002A56BB">
        <w:rPr>
          <w:rStyle w:val="affa"/>
          <w:rFonts w:hint="cs"/>
          <w:rtl/>
        </w:rPr>
        <w:t>היד יהודה</w:t>
      </w:r>
      <w:r w:rsidRPr="002A56BB">
        <w:rPr>
          <w:rStyle w:val="afb"/>
          <w:rFonts w:hint="cs"/>
          <w:rtl/>
        </w:rPr>
        <w:t xml:space="preserve"> דאין הביאור </w:t>
      </w:r>
      <w:r w:rsidRPr="002A56BB">
        <w:rPr>
          <w:rStyle w:val="affa"/>
          <w:rFonts w:hint="cs"/>
          <w:rtl/>
        </w:rPr>
        <w:t>ככנה"ג</w:t>
      </w:r>
      <w:r w:rsidRPr="002A56BB">
        <w:rPr>
          <w:rStyle w:val="aff6"/>
          <w:rFonts w:hint="cs"/>
          <w:rtl/>
        </w:rPr>
        <w:t xml:space="preserve"> (עי' אות </w:t>
      </w:r>
      <w:r w:rsidRPr="002A56BB">
        <w:rPr>
          <w:rStyle w:val="aff6"/>
          <w:rtl/>
        </w:rPr>
        <w:fldChar w:fldCharType="begin"/>
      </w:r>
      <w:r w:rsidRPr="002A56BB">
        <w:rPr>
          <w:rStyle w:val="aff6"/>
          <w:rtl/>
        </w:rPr>
        <w:instrText xml:space="preserve"> </w:instrText>
      </w:r>
      <w:r w:rsidRPr="002A56BB">
        <w:rPr>
          <w:rStyle w:val="aff6"/>
          <w:rFonts w:hint="cs"/>
        </w:rPr>
        <w:instrText>REF</w:instrText>
      </w:r>
      <w:r w:rsidRPr="002A56BB">
        <w:rPr>
          <w:rStyle w:val="aff6"/>
          <w:rFonts w:hint="cs"/>
          <w:rtl/>
        </w:rPr>
        <w:instrText xml:space="preserve"> _</w:instrText>
      </w:r>
      <w:r w:rsidRPr="002A56BB">
        <w:rPr>
          <w:rStyle w:val="aff6"/>
          <w:rFonts w:hint="cs"/>
        </w:rPr>
        <w:instrText>Ref1899250 \r \h</w:instrText>
      </w:r>
      <w:r w:rsidRPr="002A56BB">
        <w:rPr>
          <w:rStyle w:val="aff6"/>
          <w:rtl/>
        </w:rPr>
        <w:instrText xml:space="preserve">  \* </w:instrText>
      </w:r>
      <w:r w:rsidRPr="002A56BB">
        <w:rPr>
          <w:rStyle w:val="aff6"/>
        </w:rPr>
        <w:instrText>MERGEFORMAT</w:instrText>
      </w:r>
      <w:r w:rsidRPr="002A56BB">
        <w:rPr>
          <w:rStyle w:val="aff6"/>
          <w:rtl/>
        </w:rPr>
        <w:instrText xml:space="preserve"> </w:instrText>
      </w:r>
      <w:r w:rsidRPr="002A56BB">
        <w:rPr>
          <w:rStyle w:val="aff6"/>
          <w:rtl/>
        </w:rPr>
      </w:r>
      <w:r w:rsidRPr="002A56BB">
        <w:rPr>
          <w:rStyle w:val="aff6"/>
          <w:rtl/>
        </w:rPr>
        <w:fldChar w:fldCharType="separate"/>
      </w:r>
      <w:r w:rsidR="00345400">
        <w:rPr>
          <w:rStyle w:val="aff6"/>
          <w:cs/>
        </w:rPr>
        <w:t>‎</w:t>
      </w:r>
      <w:r w:rsidR="00345400">
        <w:rPr>
          <w:rStyle w:val="aff6"/>
          <w:rtl/>
        </w:rPr>
        <w:t>לד)</w:t>
      </w:r>
      <w:r w:rsidRPr="002A56BB">
        <w:rPr>
          <w:rStyle w:val="aff6"/>
          <w:rtl/>
        </w:rPr>
        <w:fldChar w:fldCharType="end"/>
      </w:r>
      <w:r w:rsidRPr="002A56BB">
        <w:rPr>
          <w:rStyle w:val="afb"/>
          <w:rFonts w:hint="cs"/>
          <w:rtl/>
        </w:rPr>
        <w:t xml:space="preserve"> </w:t>
      </w:r>
      <w:r w:rsidRPr="002A56BB">
        <w:rPr>
          <w:rStyle w:val="affa"/>
          <w:rFonts w:hint="cs"/>
          <w:rtl/>
        </w:rPr>
        <w:t>דרש"י</w:t>
      </w:r>
      <w:r w:rsidRPr="002A56BB">
        <w:rPr>
          <w:rStyle w:val="afb"/>
          <w:rFonts w:hint="cs"/>
          <w:rtl/>
        </w:rPr>
        <w:t xml:space="preserve"> ס"ל כ</w:t>
      </w:r>
      <w:r w:rsidRPr="002A56BB">
        <w:rPr>
          <w:rStyle w:val="affa"/>
          <w:rFonts w:hint="cs"/>
          <w:rtl/>
        </w:rPr>
        <w:t>תוס'</w:t>
      </w:r>
      <w:r w:rsidRPr="002A56BB">
        <w:rPr>
          <w:rStyle w:val="afb"/>
          <w:rFonts w:hint="cs"/>
          <w:rtl/>
        </w:rPr>
        <w:t xml:space="preserve"> דחדשים ואוירא גרמי]</w:t>
      </w:r>
      <w:r w:rsidRPr="002A56BB">
        <w:rPr>
          <w:rFonts w:hint="cs"/>
          <w:rtl/>
        </w:rPr>
        <w:t>.</w:t>
      </w:r>
    </w:p>
    <w:p w14:paraId="6FDAE04D" w14:textId="77777777" w:rsidR="003D504D" w:rsidRPr="002A56BB" w:rsidRDefault="003D504D" w:rsidP="003D504D">
      <w:pPr>
        <w:pStyle w:val="a3"/>
        <w:rPr>
          <w:rtl/>
        </w:rPr>
      </w:pPr>
      <w:bookmarkStart w:id="21713" w:name="_Toc2164502"/>
      <w:bookmarkStart w:id="21714" w:name="_Toc2187269"/>
      <w:bookmarkStart w:id="21715" w:name="_Toc2198199"/>
      <w:bookmarkStart w:id="21716" w:name="_Toc19391701"/>
      <w:bookmarkStart w:id="21717" w:name="_Toc19395198"/>
      <w:r>
        <w:rPr>
          <w:rFonts w:hint="cs"/>
          <w:rtl/>
        </w:rPr>
        <w:t>דברי היד יהודה דאף אם הניח את העובר במעיה כדי שימות מהני שחיטת אמו להתירו</w:t>
      </w:r>
      <w:bookmarkEnd w:id="21713"/>
      <w:bookmarkEnd w:id="21714"/>
      <w:bookmarkEnd w:id="21715"/>
      <w:bookmarkEnd w:id="21716"/>
      <w:bookmarkEnd w:id="21717"/>
    </w:p>
    <w:p w14:paraId="3ADBE36F" w14:textId="77777777" w:rsidR="003D504D" w:rsidRPr="002A56BB" w:rsidRDefault="003D504D" w:rsidP="00223668">
      <w:pPr>
        <w:pStyle w:val="a0"/>
        <w:rPr>
          <w:rtl/>
        </w:rPr>
      </w:pPr>
      <w:r w:rsidRPr="002A56BB">
        <w:rPr>
          <w:rFonts w:hint="cs"/>
          <w:rtl/>
        </w:rPr>
        <w:t>והוסיף</w:t>
      </w:r>
      <w:r w:rsidRPr="002A56BB">
        <w:rPr>
          <w:rStyle w:val="af9"/>
          <w:rFonts w:hint="cs"/>
          <w:rtl/>
        </w:rPr>
        <w:t xml:space="preserve"> היד יהודה</w:t>
      </w:r>
      <w:r w:rsidRPr="002A56BB">
        <w:rPr>
          <w:rFonts w:hint="cs"/>
          <w:rtl/>
        </w:rPr>
        <w:t xml:space="preserve"> </w:t>
      </w:r>
      <w:r w:rsidRPr="002A56BB">
        <w:rPr>
          <w:rStyle w:val="af7"/>
          <w:rFonts w:eastAsia="Guttman Hodes" w:hint="cs"/>
          <w:rtl/>
        </w:rPr>
        <w:t xml:space="preserve">(סי' י"ג ריש סק"ה ד"ה כל זה) </w:t>
      </w:r>
      <w:r w:rsidRPr="002A56BB">
        <w:rPr>
          <w:rFonts w:hint="cs"/>
          <w:rtl/>
        </w:rPr>
        <w:t xml:space="preserve">דאף אם שחט את האם והניחה, ומחמת זה מת הולד שבמעיה, אפ"ה ס"ל </w:t>
      </w:r>
      <w:r w:rsidRPr="002A56BB">
        <w:rPr>
          <w:rStyle w:val="af9"/>
          <w:rFonts w:hint="cs"/>
          <w:rtl/>
        </w:rPr>
        <w:t>לרש"י</w:t>
      </w:r>
      <w:r w:rsidRPr="002A56BB">
        <w:rPr>
          <w:rFonts w:hint="cs"/>
          <w:rtl/>
        </w:rPr>
        <w:t xml:space="preserve"> דלר"מ מהני לו שחיטת אמו, כיון שלא יצא חי לאויר העולם, ולא כהבנת </w:t>
      </w:r>
      <w:r w:rsidRPr="002A56BB">
        <w:rPr>
          <w:rStyle w:val="af9"/>
          <w:rFonts w:hint="cs"/>
          <w:rtl/>
        </w:rPr>
        <w:t>הרמב"ן והרשב"א</w:t>
      </w:r>
      <w:r w:rsidRPr="002A56BB">
        <w:rPr>
          <w:rFonts w:hint="cs"/>
          <w:rtl/>
        </w:rPr>
        <w:t xml:space="preserve"> </w:t>
      </w:r>
      <w:r w:rsidRPr="002A56BB">
        <w:rPr>
          <w:rStyle w:val="af9"/>
          <w:rFonts w:hint="cs"/>
          <w:rtl/>
        </w:rPr>
        <w:t>והרא"ש</w:t>
      </w:r>
      <w:r w:rsidRPr="002A56BB">
        <w:rPr>
          <w:rStyle w:val="af7"/>
          <w:rFonts w:eastAsia="Guttman Hodes" w:hint="cs"/>
          <w:rtl/>
        </w:rPr>
        <w:t xml:space="preserve"> (עי'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Ref1723409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יט)</w:t>
      </w:r>
      <w:r w:rsidRPr="002A56BB">
        <w:rPr>
          <w:rStyle w:val="af7"/>
          <w:rFonts w:eastAsia="Guttman Hodes"/>
          <w:rtl/>
        </w:rPr>
        <w:fldChar w:fldCharType="end"/>
      </w:r>
      <w:r w:rsidRPr="002A56BB">
        <w:rPr>
          <w:rFonts w:hint="cs"/>
          <w:rtl/>
        </w:rPr>
        <w:t xml:space="preserve"> בדעת </w:t>
      </w:r>
      <w:r w:rsidRPr="002A56BB">
        <w:rPr>
          <w:rStyle w:val="af9"/>
          <w:rFonts w:hint="cs"/>
          <w:rtl/>
        </w:rPr>
        <w:t>רש"י</w:t>
      </w:r>
      <w:r w:rsidRPr="002A56BB">
        <w:rPr>
          <w:rFonts w:hint="cs"/>
          <w:rtl/>
        </w:rPr>
        <w:t>.</w:t>
      </w:r>
    </w:p>
    <w:p w14:paraId="20B0DDBC" w14:textId="77777777" w:rsidR="003D504D" w:rsidRPr="002A56BB" w:rsidRDefault="003D504D" w:rsidP="003D504D">
      <w:pPr>
        <w:pStyle w:val="afe"/>
        <w:rPr>
          <w:rtl/>
        </w:rPr>
      </w:pPr>
      <w:bookmarkStart w:id="21718" w:name="_Toc1938720"/>
      <w:bookmarkStart w:id="21719" w:name="_Toc1938813"/>
      <w:bookmarkStart w:id="21720" w:name="_Toc2078491"/>
      <w:bookmarkStart w:id="21721" w:name="_Toc2164503"/>
      <w:bookmarkStart w:id="21722" w:name="_Toc2187270"/>
      <w:bookmarkStart w:id="21723" w:name="_Toc2198200"/>
      <w:bookmarkStart w:id="21724" w:name="_Toc19436251"/>
      <w:bookmarkStart w:id="21725" w:name="_Toc20081406"/>
      <w:bookmarkStart w:id="21726" w:name="_Toc1592217"/>
      <w:bookmarkStart w:id="21727" w:name="_Toc1668748"/>
      <w:bookmarkStart w:id="21728" w:name="_Toc1716638"/>
      <w:bookmarkStart w:id="21729" w:name="_Toc1725798"/>
      <w:bookmarkStart w:id="21730" w:name="_Toc1728180"/>
      <w:bookmarkEnd w:id="21598"/>
      <w:bookmarkEnd w:id="21599"/>
      <w:bookmarkEnd w:id="21600"/>
      <w:bookmarkEnd w:id="21601"/>
      <w:bookmarkEnd w:id="21619"/>
      <w:bookmarkEnd w:id="21620"/>
      <w:bookmarkEnd w:id="21621"/>
      <w:bookmarkEnd w:id="21622"/>
      <w:r w:rsidRPr="002A56BB">
        <w:rPr>
          <w:rFonts w:hint="cs"/>
          <w:rtl/>
        </w:rPr>
        <w:t>בטומאת נבילה בבן ט' חי לר"מ</w:t>
      </w:r>
      <w:bookmarkEnd w:id="21718"/>
      <w:bookmarkEnd w:id="21719"/>
      <w:bookmarkEnd w:id="21720"/>
      <w:bookmarkEnd w:id="21721"/>
      <w:bookmarkEnd w:id="21722"/>
      <w:bookmarkEnd w:id="21723"/>
      <w:bookmarkEnd w:id="21724"/>
      <w:bookmarkEnd w:id="21725"/>
    </w:p>
    <w:p w14:paraId="3C3748EB" w14:textId="77777777" w:rsidR="003D504D" w:rsidRPr="002A56BB" w:rsidRDefault="003D504D" w:rsidP="00BF39B2">
      <w:pPr>
        <w:pStyle w:val="1"/>
        <w:rPr>
          <w:rtl/>
        </w:rPr>
      </w:pPr>
      <w:bookmarkStart w:id="21731" w:name="_Toc1938721"/>
      <w:bookmarkStart w:id="21732" w:name="_Toc1938814"/>
      <w:bookmarkStart w:id="21733" w:name="_Toc2078492"/>
      <w:bookmarkStart w:id="21734" w:name="_Toc2164504"/>
      <w:bookmarkStart w:id="21735" w:name="_Toc2187271"/>
      <w:bookmarkStart w:id="21736" w:name="_Toc2198201"/>
      <w:bookmarkStart w:id="21737" w:name="_Toc19391702"/>
      <w:bookmarkStart w:id="21738" w:name="_Toc19395199"/>
      <w:r w:rsidRPr="002A56BB">
        <w:rPr>
          <w:rFonts w:hint="cs"/>
          <w:rtl/>
        </w:rPr>
        <w:t>פלוגתת הבעה"מ והרמב"ן אי לר"מ הבן ט' חי טהור מנבילה</w:t>
      </w:r>
      <w:bookmarkEnd w:id="21731"/>
      <w:bookmarkEnd w:id="21732"/>
      <w:bookmarkEnd w:id="21733"/>
      <w:bookmarkEnd w:id="21734"/>
      <w:bookmarkEnd w:id="21735"/>
      <w:bookmarkEnd w:id="21736"/>
      <w:bookmarkEnd w:id="21737"/>
      <w:bookmarkEnd w:id="21738"/>
      <w:r w:rsidRPr="002A56BB">
        <w:rPr>
          <w:rFonts w:hint="cs"/>
          <w:rtl/>
        </w:rPr>
        <w:t xml:space="preserve"> </w:t>
      </w:r>
    </w:p>
    <w:p w14:paraId="2FF52E1F" w14:textId="77777777" w:rsidR="003D504D" w:rsidRPr="002A56BB" w:rsidRDefault="003D504D" w:rsidP="003D504D">
      <w:pPr>
        <w:pStyle w:val="a3"/>
        <w:rPr>
          <w:rtl/>
        </w:rPr>
      </w:pPr>
      <w:bookmarkStart w:id="21739" w:name="_Toc2164505"/>
      <w:bookmarkStart w:id="21740" w:name="_Toc2187272"/>
      <w:bookmarkStart w:id="21741" w:name="_Toc2198202"/>
      <w:bookmarkStart w:id="21742" w:name="_Toc19391703"/>
      <w:bookmarkStart w:id="21743" w:name="_Toc19395200"/>
      <w:r>
        <w:rPr>
          <w:rFonts w:hint="cs"/>
          <w:rtl/>
        </w:rPr>
        <w:t>דעת הבעה"מ ורבינו גרשום דלר"מ שחיטת האם מהני לבן ט' חי לטהרו מידי נבילה</w:t>
      </w:r>
      <w:bookmarkEnd w:id="21739"/>
      <w:bookmarkEnd w:id="21740"/>
      <w:bookmarkEnd w:id="21741"/>
      <w:bookmarkEnd w:id="21742"/>
      <w:bookmarkEnd w:id="21743"/>
    </w:p>
    <w:p w14:paraId="6BF7316D" w14:textId="77777777" w:rsidR="003D504D" w:rsidRPr="002A56BB" w:rsidRDefault="003D504D" w:rsidP="00223668">
      <w:pPr>
        <w:pStyle w:val="a0"/>
        <w:rPr>
          <w:rtl/>
        </w:rPr>
      </w:pPr>
      <w:bookmarkStart w:id="21744" w:name="_Ref2245947"/>
      <w:r w:rsidRPr="002A56BB">
        <w:rPr>
          <w:rFonts w:hint="cs"/>
          <w:rtl/>
        </w:rPr>
        <w:t xml:space="preserve">כתב </w:t>
      </w:r>
      <w:r w:rsidRPr="002A56BB">
        <w:rPr>
          <w:rStyle w:val="af9"/>
          <w:rFonts w:hint="cs"/>
          <w:rtl/>
        </w:rPr>
        <w:t>הבעה"מ לקמן</w:t>
      </w:r>
      <w:r w:rsidRPr="002A56BB">
        <w:rPr>
          <w:rStyle w:val="af7"/>
          <w:rFonts w:eastAsia="Guttman Hodes" w:hint="cs"/>
          <w:rtl/>
        </w:rPr>
        <w:t xml:space="preserve"> (כה: מדפי הרי"ף בסוד"ה השוחט)</w:t>
      </w:r>
      <w:r w:rsidRPr="002A56BB">
        <w:rPr>
          <w:rFonts w:hint="cs"/>
          <w:rtl/>
        </w:rPr>
        <w:t xml:space="preserve"> דאף דס"ל לר"מ דבן ט' חי אינו מותר בשחיטת אמו, וטעון שחיטה להתירו באכילה, מ"מ מהני לו מחיצת אמו לטהרו מידי נבילה, וכ"כ </w:t>
      </w:r>
      <w:r w:rsidRPr="002A56BB">
        <w:rPr>
          <w:rStyle w:val="af9"/>
          <w:rFonts w:hint="cs"/>
          <w:rtl/>
        </w:rPr>
        <w:t>רבינו גרשום לקמן</w:t>
      </w:r>
      <w:r w:rsidRPr="002A56BB">
        <w:rPr>
          <w:rFonts w:hint="cs"/>
          <w:rtl/>
        </w:rPr>
        <w:t xml:space="preserve"> </w:t>
      </w:r>
      <w:r w:rsidRPr="002A56BB">
        <w:rPr>
          <w:rStyle w:val="af7"/>
          <w:rFonts w:eastAsia="Guttman Hodes" w:hint="cs"/>
          <w:rtl/>
        </w:rPr>
        <w:t>(עה: ד"ה לדידי)</w:t>
      </w:r>
      <w:r w:rsidRPr="002A56BB">
        <w:rPr>
          <w:rFonts w:hint="cs"/>
          <w:rtl/>
        </w:rPr>
        <w:t xml:space="preserve"> דלר"מ אם שחט את העובר הותר באכילה, ואם לא שחט את העובר, ושחט רק את אמו, מהני שחיטת האם לטהרו מידי נבילה, וע"ע בדברי </w:t>
      </w:r>
      <w:r w:rsidRPr="002A56BB">
        <w:rPr>
          <w:rStyle w:val="af9"/>
          <w:rFonts w:hint="cs"/>
          <w:rtl/>
        </w:rPr>
        <w:t>הבכור שור</w:t>
      </w:r>
      <w:r w:rsidRPr="002A56BB">
        <w:rPr>
          <w:rFonts w:hint="cs"/>
          <w:rtl/>
        </w:rPr>
        <w:t xml:space="preserve"> </w:t>
      </w:r>
      <w:r w:rsidRPr="002A56BB">
        <w:rPr>
          <w:rStyle w:val="af7"/>
          <w:rFonts w:eastAsia="Guttman Hodes" w:hint="cs"/>
          <w:rtl/>
        </w:rPr>
        <w:t>(עב: ד"ה בן ח')</w:t>
      </w:r>
      <w:r>
        <w:rPr>
          <w:rFonts w:hint="cs"/>
          <w:rtl/>
        </w:rPr>
        <w:t xml:space="preserve">, ועי' בדברי </w:t>
      </w:r>
      <w:r w:rsidRPr="00F7731B">
        <w:rPr>
          <w:rStyle w:val="af9"/>
          <w:rFonts w:hint="cs"/>
          <w:rtl/>
        </w:rPr>
        <w:t>רבינו גרשום</w:t>
      </w:r>
      <w:r>
        <w:rPr>
          <w:rFonts w:hint="cs"/>
          <w:rtl/>
        </w:rPr>
        <w:t xml:space="preserve"> </w:t>
      </w:r>
      <w:r w:rsidRPr="00F7731B">
        <w:rPr>
          <w:rStyle w:val="af7"/>
          <w:rFonts w:eastAsia="Guttman Hodes" w:hint="cs"/>
          <w:rtl/>
        </w:rPr>
        <w:t xml:space="preserve">(עי' אות </w:t>
      </w:r>
      <w:r w:rsidRPr="00F7731B">
        <w:rPr>
          <w:rStyle w:val="af7"/>
          <w:rFonts w:eastAsia="Guttman Hodes"/>
          <w:rtl/>
        </w:rPr>
        <w:fldChar w:fldCharType="begin"/>
      </w:r>
      <w:r w:rsidRPr="00F7731B">
        <w:rPr>
          <w:rStyle w:val="af7"/>
          <w:rFonts w:eastAsia="Guttman Hodes"/>
          <w:rtl/>
        </w:rPr>
        <w:instrText xml:space="preserve"> </w:instrText>
      </w:r>
      <w:r w:rsidRPr="00F7731B">
        <w:rPr>
          <w:rStyle w:val="af7"/>
          <w:rFonts w:eastAsia="Guttman Hodes" w:hint="cs"/>
        </w:rPr>
        <w:instrText>REF</w:instrText>
      </w:r>
      <w:r w:rsidRPr="00F7731B">
        <w:rPr>
          <w:rStyle w:val="af7"/>
          <w:rFonts w:eastAsia="Guttman Hodes" w:hint="cs"/>
          <w:rtl/>
        </w:rPr>
        <w:instrText xml:space="preserve"> _</w:instrText>
      </w:r>
      <w:r w:rsidRPr="00F7731B">
        <w:rPr>
          <w:rStyle w:val="af7"/>
          <w:rFonts w:eastAsia="Guttman Hodes" w:hint="cs"/>
        </w:rPr>
        <w:instrText>Ref2245911 \r \h</w:instrText>
      </w:r>
      <w:r w:rsidRPr="00F7731B">
        <w:rPr>
          <w:rStyle w:val="af7"/>
          <w:rFonts w:eastAsia="Guttman Hodes"/>
          <w:rtl/>
        </w:rPr>
        <w:instrText xml:space="preserve"> </w:instrText>
      </w:r>
      <w:r w:rsidRPr="00F7731B">
        <w:rPr>
          <w:rStyle w:val="af7"/>
          <w:rFonts w:eastAsia="Guttman Hodes"/>
          <w:rtl/>
        </w:rPr>
      </w:r>
      <w:r w:rsidRPr="00F7731B">
        <w:rPr>
          <w:rStyle w:val="af7"/>
          <w:rFonts w:eastAsia="Guttman Hodes"/>
          <w:rtl/>
        </w:rPr>
        <w:fldChar w:fldCharType="separate"/>
      </w:r>
      <w:r w:rsidR="00345400">
        <w:rPr>
          <w:rStyle w:val="af7"/>
          <w:rFonts w:eastAsia="Guttman Hodes"/>
          <w:cs/>
        </w:rPr>
        <w:t>‎</w:t>
      </w:r>
      <w:r w:rsidR="00345400">
        <w:rPr>
          <w:rStyle w:val="af7"/>
          <w:rFonts w:eastAsia="Guttman Hodes"/>
          <w:rtl/>
        </w:rPr>
        <w:t>ח)</w:t>
      </w:r>
      <w:r w:rsidRPr="00F7731B">
        <w:rPr>
          <w:rStyle w:val="af7"/>
          <w:rFonts w:eastAsia="Guttman Hodes"/>
          <w:rtl/>
        </w:rPr>
        <w:fldChar w:fldCharType="end"/>
      </w:r>
      <w:r>
        <w:rPr>
          <w:rFonts w:hint="cs"/>
          <w:rtl/>
        </w:rPr>
        <w:t xml:space="preserve"> בביאור פלוגתת ר"מ ורבנן, ובמ"ש </w:t>
      </w:r>
      <w:r w:rsidRPr="00597FCB">
        <w:rPr>
          <w:rStyle w:val="af9"/>
          <w:rFonts w:hint="cs"/>
          <w:rtl/>
        </w:rPr>
        <w:t>רבינו גרשום</w:t>
      </w:r>
      <w:r>
        <w:rPr>
          <w:rFonts w:hint="cs"/>
          <w:rtl/>
        </w:rPr>
        <w:t xml:space="preserve"> </w:t>
      </w:r>
      <w:r w:rsidRPr="00597FCB">
        <w:rPr>
          <w:rStyle w:val="af7"/>
          <w:rFonts w:eastAsia="Guttman Hodes" w:hint="cs"/>
          <w:rtl/>
        </w:rPr>
        <w:t xml:space="preserve">(עי' אות </w:t>
      </w:r>
      <w:r w:rsidRPr="00597FCB">
        <w:rPr>
          <w:rStyle w:val="af7"/>
          <w:rFonts w:eastAsia="Guttman Hodes"/>
          <w:rtl/>
        </w:rPr>
        <w:fldChar w:fldCharType="begin"/>
      </w:r>
      <w:r w:rsidRPr="00597FCB">
        <w:rPr>
          <w:rStyle w:val="af7"/>
          <w:rFonts w:eastAsia="Guttman Hodes"/>
          <w:rtl/>
        </w:rPr>
        <w:instrText xml:space="preserve"> </w:instrText>
      </w:r>
      <w:r w:rsidRPr="00597FCB">
        <w:rPr>
          <w:rStyle w:val="af7"/>
          <w:rFonts w:eastAsia="Guttman Hodes" w:hint="cs"/>
        </w:rPr>
        <w:instrText>REF</w:instrText>
      </w:r>
      <w:r w:rsidRPr="00597FCB">
        <w:rPr>
          <w:rStyle w:val="af7"/>
          <w:rFonts w:eastAsia="Guttman Hodes" w:hint="cs"/>
          <w:rtl/>
        </w:rPr>
        <w:instrText xml:space="preserve"> _</w:instrText>
      </w:r>
      <w:r w:rsidRPr="00597FCB">
        <w:rPr>
          <w:rStyle w:val="af7"/>
          <w:rFonts w:eastAsia="Guttman Hodes" w:hint="cs"/>
        </w:rPr>
        <w:instrText>Ref2246023 \r \h</w:instrText>
      </w:r>
      <w:r w:rsidRPr="00597FCB">
        <w:rPr>
          <w:rStyle w:val="af7"/>
          <w:rFonts w:eastAsia="Guttman Hodes"/>
          <w:rtl/>
        </w:rPr>
        <w:instrText xml:space="preserve"> </w:instrText>
      </w:r>
      <w:r w:rsidRPr="00597FCB">
        <w:rPr>
          <w:rStyle w:val="af7"/>
          <w:rFonts w:eastAsia="Guttman Hodes"/>
          <w:rtl/>
        </w:rPr>
      </w:r>
      <w:r w:rsidRPr="00597FCB">
        <w:rPr>
          <w:rStyle w:val="af7"/>
          <w:rFonts w:eastAsia="Guttman Hodes"/>
          <w:rtl/>
        </w:rPr>
        <w:fldChar w:fldCharType="separate"/>
      </w:r>
      <w:r w:rsidR="00345400">
        <w:rPr>
          <w:rStyle w:val="af7"/>
          <w:rFonts w:eastAsia="Guttman Hodes"/>
          <w:cs/>
        </w:rPr>
        <w:t>‎</w:t>
      </w:r>
      <w:r w:rsidR="00345400">
        <w:rPr>
          <w:rStyle w:val="af7"/>
          <w:rFonts w:eastAsia="Guttman Hodes"/>
          <w:rtl/>
        </w:rPr>
        <w:t>מא)</w:t>
      </w:r>
      <w:r w:rsidRPr="00597FCB">
        <w:rPr>
          <w:rStyle w:val="af7"/>
          <w:rFonts w:eastAsia="Guttman Hodes"/>
          <w:rtl/>
        </w:rPr>
        <w:fldChar w:fldCharType="end"/>
      </w:r>
      <w:r>
        <w:rPr>
          <w:rFonts w:hint="cs"/>
          <w:rtl/>
        </w:rPr>
        <w:t xml:space="preserve"> דחלבו מותר דאינו כבהמה, ובמ"ש </w:t>
      </w:r>
      <w:r w:rsidRPr="00597FCB">
        <w:rPr>
          <w:rStyle w:val="af9"/>
          <w:rFonts w:hint="cs"/>
          <w:rtl/>
        </w:rPr>
        <w:t>רבינו גרשום</w:t>
      </w:r>
      <w:r>
        <w:rPr>
          <w:rFonts w:hint="cs"/>
          <w:rtl/>
        </w:rPr>
        <w:t xml:space="preserve"> </w:t>
      </w:r>
      <w:r w:rsidRPr="00597FCB">
        <w:rPr>
          <w:rStyle w:val="af7"/>
          <w:rFonts w:eastAsia="Guttman Hodes" w:hint="cs"/>
          <w:rtl/>
        </w:rPr>
        <w:t xml:space="preserve">(עי' אות </w:t>
      </w:r>
      <w:r w:rsidRPr="00597FCB">
        <w:rPr>
          <w:rStyle w:val="af7"/>
          <w:rFonts w:eastAsia="Guttman Hodes"/>
          <w:rtl/>
        </w:rPr>
        <w:fldChar w:fldCharType="begin"/>
      </w:r>
      <w:r w:rsidRPr="00597FCB">
        <w:rPr>
          <w:rStyle w:val="af7"/>
          <w:rFonts w:eastAsia="Guttman Hodes"/>
          <w:rtl/>
        </w:rPr>
        <w:instrText xml:space="preserve"> </w:instrText>
      </w:r>
      <w:r w:rsidRPr="00597FCB">
        <w:rPr>
          <w:rStyle w:val="af7"/>
          <w:rFonts w:eastAsia="Guttman Hodes" w:hint="cs"/>
        </w:rPr>
        <w:instrText>REF</w:instrText>
      </w:r>
      <w:r w:rsidRPr="00597FCB">
        <w:rPr>
          <w:rStyle w:val="af7"/>
          <w:rFonts w:eastAsia="Guttman Hodes" w:hint="cs"/>
          <w:rtl/>
        </w:rPr>
        <w:instrText xml:space="preserve"> _</w:instrText>
      </w:r>
      <w:r w:rsidRPr="00597FCB">
        <w:rPr>
          <w:rStyle w:val="af7"/>
          <w:rFonts w:eastAsia="Guttman Hodes" w:hint="cs"/>
        </w:rPr>
        <w:instrText>Ref2246046 \r \h</w:instrText>
      </w:r>
      <w:r w:rsidRPr="00597FCB">
        <w:rPr>
          <w:rStyle w:val="af7"/>
          <w:rFonts w:eastAsia="Guttman Hodes"/>
          <w:rtl/>
        </w:rPr>
        <w:instrText xml:space="preserve"> </w:instrText>
      </w:r>
      <w:r w:rsidRPr="00597FCB">
        <w:rPr>
          <w:rStyle w:val="af7"/>
          <w:rFonts w:eastAsia="Guttman Hodes"/>
          <w:rtl/>
        </w:rPr>
      </w:r>
      <w:r w:rsidRPr="00597FCB">
        <w:rPr>
          <w:rStyle w:val="af7"/>
          <w:rFonts w:eastAsia="Guttman Hodes"/>
          <w:rtl/>
        </w:rPr>
        <w:fldChar w:fldCharType="separate"/>
      </w:r>
      <w:r w:rsidR="00345400">
        <w:rPr>
          <w:rStyle w:val="af7"/>
          <w:rFonts w:eastAsia="Guttman Hodes"/>
          <w:cs/>
        </w:rPr>
        <w:t>‎</w:t>
      </w:r>
      <w:r w:rsidR="00345400">
        <w:rPr>
          <w:rStyle w:val="af7"/>
          <w:rFonts w:eastAsia="Guttman Hodes"/>
          <w:rtl/>
        </w:rPr>
        <w:t>סו)</w:t>
      </w:r>
      <w:r w:rsidRPr="00597FCB">
        <w:rPr>
          <w:rStyle w:val="af7"/>
          <w:rFonts w:eastAsia="Guttman Hodes"/>
          <w:rtl/>
        </w:rPr>
        <w:fldChar w:fldCharType="end"/>
      </w:r>
      <w:r>
        <w:rPr>
          <w:rFonts w:hint="cs"/>
          <w:rtl/>
        </w:rPr>
        <w:t xml:space="preserve"> דאף לר"מ אינו כבהמה לענין רביעה וחרישה בכלאים</w:t>
      </w:r>
      <w:r w:rsidRPr="002A56BB">
        <w:rPr>
          <w:rFonts w:hint="cs"/>
          <w:rtl/>
        </w:rPr>
        <w:t>.</w:t>
      </w:r>
      <w:bookmarkEnd w:id="21744"/>
    </w:p>
    <w:p w14:paraId="05301E75" w14:textId="77777777" w:rsidR="003D504D" w:rsidRPr="002A56BB" w:rsidRDefault="003D504D" w:rsidP="003D504D">
      <w:pPr>
        <w:pStyle w:val="a3"/>
        <w:rPr>
          <w:rtl/>
        </w:rPr>
      </w:pPr>
      <w:bookmarkStart w:id="21745" w:name="_Toc2164506"/>
      <w:bookmarkStart w:id="21746" w:name="_Toc2187273"/>
      <w:bookmarkStart w:id="21747" w:name="_Toc2198203"/>
      <w:bookmarkStart w:id="21748" w:name="_Toc19391704"/>
      <w:bookmarkStart w:id="21749" w:name="_Toc19395201"/>
      <w:r>
        <w:rPr>
          <w:rFonts w:hint="cs"/>
          <w:rtl/>
        </w:rPr>
        <w:t>דעת הרמב"ן דלר"מ לא מהני שחיטת האם לבן ט' כלל כיון שיש לו חיות בפנ"ע ומטמא בנבילה</w:t>
      </w:r>
      <w:bookmarkEnd w:id="21745"/>
      <w:bookmarkEnd w:id="21746"/>
      <w:bookmarkEnd w:id="21747"/>
      <w:bookmarkEnd w:id="21748"/>
      <w:bookmarkEnd w:id="21749"/>
    </w:p>
    <w:p w14:paraId="220D2BB9" w14:textId="77777777" w:rsidR="003D504D" w:rsidRDefault="003D504D" w:rsidP="00223668">
      <w:pPr>
        <w:pStyle w:val="a0"/>
        <w:rPr>
          <w:rtl/>
        </w:rPr>
      </w:pPr>
      <w:r w:rsidRPr="002A56BB">
        <w:rPr>
          <w:rFonts w:hint="cs"/>
          <w:rtl/>
        </w:rPr>
        <w:t xml:space="preserve">אבל </w:t>
      </w:r>
      <w:r w:rsidRPr="002A56BB">
        <w:rPr>
          <w:rStyle w:val="af9"/>
          <w:rFonts w:hint="cs"/>
          <w:rtl/>
        </w:rPr>
        <w:t>הרמב"ן בחי' לקמן</w:t>
      </w:r>
      <w:r w:rsidRPr="002A56BB">
        <w:rPr>
          <w:rFonts w:hint="cs"/>
          <w:rtl/>
        </w:rPr>
        <w:t xml:space="preserve"> </w:t>
      </w:r>
      <w:r w:rsidRPr="002A56BB">
        <w:rPr>
          <w:rStyle w:val="af7"/>
          <w:rFonts w:eastAsia="Guttman Hodes" w:hint="cs"/>
          <w:rtl/>
        </w:rPr>
        <w:t>(עה. ד"ה והאומר)</w:t>
      </w:r>
      <w:r w:rsidRPr="002A56BB">
        <w:rPr>
          <w:rFonts w:hint="cs"/>
          <w:rtl/>
        </w:rPr>
        <w:t xml:space="preserve"> פליג וכתב דלר"מ לא מהני שחיטה לבן ט' חי כלל, דכיון שיש לו  חיות בפנ"ע לא הוכשר בשחיטת אמו, אף לענין דמטמא כנבילה.</w:t>
      </w:r>
    </w:p>
    <w:p w14:paraId="6E531B0A" w14:textId="77777777" w:rsidR="00313A86" w:rsidRPr="00313A86" w:rsidRDefault="00313A86" w:rsidP="00313A86">
      <w:pPr>
        <w:pStyle w:val="a3"/>
        <w:rPr>
          <w:rtl/>
        </w:rPr>
      </w:pPr>
    </w:p>
    <w:p w14:paraId="05414FBD" w14:textId="77777777" w:rsidR="003D504D" w:rsidRPr="002A56BB" w:rsidRDefault="003D504D" w:rsidP="003D504D">
      <w:pPr>
        <w:pStyle w:val="afe"/>
        <w:rPr>
          <w:rtl/>
        </w:rPr>
      </w:pPr>
      <w:bookmarkStart w:id="21750" w:name="_Toc19436252"/>
      <w:bookmarkStart w:id="21751" w:name="_Toc20081407"/>
      <w:bookmarkEnd w:id="21726"/>
      <w:r>
        <w:rPr>
          <w:rFonts w:hint="cs"/>
          <w:rtl/>
        </w:rPr>
        <w:t>בחילוק בין היתר החֵלֶב והגיד לאיסור הדם</w:t>
      </w:r>
      <w:bookmarkEnd w:id="21727"/>
      <w:bookmarkEnd w:id="21728"/>
      <w:bookmarkEnd w:id="21729"/>
      <w:bookmarkEnd w:id="21730"/>
      <w:bookmarkEnd w:id="21750"/>
      <w:bookmarkEnd w:id="21751"/>
    </w:p>
    <w:p w14:paraId="359CB7F0" w14:textId="77777777" w:rsidR="003D504D" w:rsidRDefault="003D504D" w:rsidP="00BF39B2">
      <w:pPr>
        <w:pStyle w:val="1"/>
        <w:rPr>
          <w:rtl/>
        </w:rPr>
      </w:pPr>
      <w:bookmarkStart w:id="21752" w:name="_Toc2187275"/>
      <w:bookmarkStart w:id="21753" w:name="_Toc2198205"/>
      <w:bookmarkStart w:id="21754" w:name="_Toc19391705"/>
      <w:bookmarkStart w:id="21755" w:name="_Toc19395202"/>
      <w:bookmarkStart w:id="21756" w:name="_Toc2164526"/>
      <w:bookmarkStart w:id="21757" w:name="_Toc2164509"/>
      <w:r>
        <w:rPr>
          <w:rFonts w:hint="cs"/>
          <w:rtl/>
        </w:rPr>
        <w:t>דברי רבינו גרשום דחלבו מותר דאינו כבהמה</w:t>
      </w:r>
      <w:bookmarkEnd w:id="21752"/>
      <w:bookmarkEnd w:id="21753"/>
      <w:bookmarkEnd w:id="21754"/>
      <w:bookmarkEnd w:id="21755"/>
    </w:p>
    <w:p w14:paraId="58494774" w14:textId="77777777" w:rsidR="003D504D" w:rsidRPr="002A56BB" w:rsidRDefault="003D504D" w:rsidP="003D504D">
      <w:pPr>
        <w:pStyle w:val="a3"/>
        <w:rPr>
          <w:rtl/>
        </w:rPr>
      </w:pPr>
      <w:bookmarkStart w:id="21758" w:name="_Toc2187276"/>
      <w:bookmarkStart w:id="21759" w:name="_Toc2198206"/>
      <w:bookmarkStart w:id="21760" w:name="_Toc19391706"/>
      <w:bookmarkStart w:id="21761" w:name="_Toc19395203"/>
      <w:r>
        <w:rPr>
          <w:rFonts w:hint="cs"/>
          <w:rtl/>
        </w:rPr>
        <w:t>דברי רבינו גרשום דבן פקועה אינו חשיב כבהמה ולכן חלבו מותר</w:t>
      </w:r>
      <w:bookmarkEnd w:id="21756"/>
      <w:bookmarkEnd w:id="21758"/>
      <w:bookmarkEnd w:id="21759"/>
      <w:bookmarkEnd w:id="21760"/>
      <w:bookmarkEnd w:id="21761"/>
    </w:p>
    <w:p w14:paraId="0E47221B" w14:textId="77777777" w:rsidR="003D504D" w:rsidRDefault="003D504D" w:rsidP="00223668">
      <w:pPr>
        <w:pStyle w:val="a0"/>
        <w:rPr>
          <w:rtl/>
        </w:rPr>
      </w:pPr>
      <w:bookmarkStart w:id="21762" w:name="_Ref2246023"/>
      <w:r w:rsidRPr="001213DD">
        <w:rPr>
          <w:rFonts w:hint="cs"/>
          <w:rtl/>
        </w:rPr>
        <w:t xml:space="preserve">כתב </w:t>
      </w:r>
      <w:r w:rsidRPr="001213DD">
        <w:rPr>
          <w:rStyle w:val="af9"/>
          <w:rFonts w:hint="cs"/>
          <w:rtl/>
        </w:rPr>
        <w:t xml:space="preserve">רבינו גרשום </w:t>
      </w:r>
      <w:r w:rsidRPr="001213DD">
        <w:rPr>
          <w:rStyle w:val="af7"/>
          <w:rFonts w:eastAsia="Guttman Hodes" w:hint="cs"/>
          <w:rtl/>
        </w:rPr>
        <w:t>(</w:t>
      </w:r>
      <w:r>
        <w:rPr>
          <w:rStyle w:val="af7"/>
          <w:rFonts w:eastAsia="Guttman Hodes" w:hint="cs"/>
          <w:rtl/>
        </w:rPr>
        <w:t xml:space="preserve">עד: ד"ה והלך, </w:t>
      </w:r>
      <w:r w:rsidRPr="001213DD">
        <w:rPr>
          <w:rStyle w:val="af7"/>
          <w:rFonts w:eastAsia="Guttman Hodes" w:hint="cs"/>
          <w:rtl/>
        </w:rPr>
        <w:t>סט. ד"ה אי)</w:t>
      </w:r>
      <w:r w:rsidRPr="001213DD">
        <w:rPr>
          <w:rFonts w:hint="cs"/>
          <w:rtl/>
        </w:rPr>
        <w:t xml:space="preserve"> </w:t>
      </w:r>
      <w:r>
        <w:rPr>
          <w:rFonts w:hint="cs"/>
          <w:rtl/>
        </w:rPr>
        <w:t xml:space="preserve">דלרבי יהודה דבן ט' חי </w:t>
      </w:r>
      <w:r w:rsidRPr="001213DD">
        <w:rPr>
          <w:rFonts w:hint="cs"/>
          <w:rtl/>
        </w:rPr>
        <w:t>שחיטת אמו מטהרתו אין בו איסור חלב, כיון שאינו חשוב כבהמה</w:t>
      </w:r>
      <w:r>
        <w:rPr>
          <w:rFonts w:hint="cs"/>
          <w:rtl/>
        </w:rPr>
        <w:t xml:space="preserve">, ועי' בדברי </w:t>
      </w:r>
      <w:r w:rsidRPr="00F7731B">
        <w:rPr>
          <w:rStyle w:val="af9"/>
          <w:rFonts w:hint="cs"/>
          <w:rtl/>
        </w:rPr>
        <w:t>רבינו גרשום</w:t>
      </w:r>
      <w:r>
        <w:rPr>
          <w:rFonts w:hint="cs"/>
          <w:rtl/>
        </w:rPr>
        <w:t xml:space="preserve"> </w:t>
      </w:r>
      <w:r w:rsidRPr="00F7731B">
        <w:rPr>
          <w:rStyle w:val="af7"/>
          <w:rFonts w:eastAsia="Guttman Hodes" w:hint="cs"/>
          <w:rtl/>
        </w:rPr>
        <w:t xml:space="preserve">(עי' אות </w:t>
      </w:r>
      <w:r w:rsidRPr="00F7731B">
        <w:rPr>
          <w:rStyle w:val="af7"/>
          <w:rFonts w:eastAsia="Guttman Hodes"/>
          <w:rtl/>
        </w:rPr>
        <w:fldChar w:fldCharType="begin"/>
      </w:r>
      <w:r w:rsidRPr="00F7731B">
        <w:rPr>
          <w:rStyle w:val="af7"/>
          <w:rFonts w:eastAsia="Guttman Hodes"/>
          <w:rtl/>
        </w:rPr>
        <w:instrText xml:space="preserve"> </w:instrText>
      </w:r>
      <w:r w:rsidRPr="00F7731B">
        <w:rPr>
          <w:rStyle w:val="af7"/>
          <w:rFonts w:eastAsia="Guttman Hodes" w:hint="cs"/>
        </w:rPr>
        <w:instrText>REF</w:instrText>
      </w:r>
      <w:r w:rsidRPr="00F7731B">
        <w:rPr>
          <w:rStyle w:val="af7"/>
          <w:rFonts w:eastAsia="Guttman Hodes" w:hint="cs"/>
          <w:rtl/>
        </w:rPr>
        <w:instrText xml:space="preserve"> _</w:instrText>
      </w:r>
      <w:r w:rsidRPr="00F7731B">
        <w:rPr>
          <w:rStyle w:val="af7"/>
          <w:rFonts w:eastAsia="Guttman Hodes" w:hint="cs"/>
        </w:rPr>
        <w:instrText>Ref2245911 \r \h</w:instrText>
      </w:r>
      <w:r w:rsidRPr="00F7731B">
        <w:rPr>
          <w:rStyle w:val="af7"/>
          <w:rFonts w:eastAsia="Guttman Hodes"/>
          <w:rtl/>
        </w:rPr>
        <w:instrText xml:space="preserve"> </w:instrText>
      </w:r>
      <w:r w:rsidRPr="00F7731B">
        <w:rPr>
          <w:rStyle w:val="af7"/>
          <w:rFonts w:eastAsia="Guttman Hodes"/>
          <w:rtl/>
        </w:rPr>
      </w:r>
      <w:r w:rsidRPr="00F7731B">
        <w:rPr>
          <w:rStyle w:val="af7"/>
          <w:rFonts w:eastAsia="Guttman Hodes"/>
          <w:rtl/>
        </w:rPr>
        <w:fldChar w:fldCharType="separate"/>
      </w:r>
      <w:r w:rsidR="00345400">
        <w:rPr>
          <w:rStyle w:val="af7"/>
          <w:rFonts w:eastAsia="Guttman Hodes"/>
          <w:cs/>
        </w:rPr>
        <w:t>‎</w:t>
      </w:r>
      <w:r w:rsidR="00345400">
        <w:rPr>
          <w:rStyle w:val="af7"/>
          <w:rFonts w:eastAsia="Guttman Hodes"/>
          <w:rtl/>
        </w:rPr>
        <w:t>ח)</w:t>
      </w:r>
      <w:r w:rsidRPr="00F7731B">
        <w:rPr>
          <w:rStyle w:val="af7"/>
          <w:rFonts w:eastAsia="Guttman Hodes"/>
          <w:rtl/>
        </w:rPr>
        <w:fldChar w:fldCharType="end"/>
      </w:r>
      <w:r>
        <w:rPr>
          <w:rFonts w:hint="cs"/>
          <w:rtl/>
        </w:rPr>
        <w:t xml:space="preserve"> בביאור פלוגתת ר"מ ורבנן, ובמ"ש</w:t>
      </w:r>
      <w:r w:rsidRPr="00597FCB">
        <w:rPr>
          <w:rStyle w:val="af9"/>
          <w:rFonts w:hint="cs"/>
          <w:rtl/>
        </w:rPr>
        <w:t xml:space="preserve"> רבינו גרשום</w:t>
      </w:r>
      <w:r>
        <w:rPr>
          <w:rFonts w:hint="cs"/>
          <w:rtl/>
        </w:rPr>
        <w:t xml:space="preserve"> </w:t>
      </w:r>
      <w:r w:rsidRPr="00597FCB">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Ref2245947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לט)</w:t>
      </w:r>
      <w:r>
        <w:rPr>
          <w:rStyle w:val="af7"/>
          <w:rFonts w:eastAsia="Guttman Hodes"/>
          <w:rtl/>
        </w:rPr>
        <w:fldChar w:fldCharType="end"/>
      </w:r>
      <w:r>
        <w:rPr>
          <w:rFonts w:hint="cs"/>
          <w:rtl/>
        </w:rPr>
        <w:t xml:space="preserve"> דלר"מ שחיטת בן ט' מטהרתו מידי נבילה, ובמ"ש </w:t>
      </w:r>
      <w:r w:rsidRPr="00597FCB">
        <w:rPr>
          <w:rStyle w:val="af9"/>
          <w:rFonts w:hint="cs"/>
          <w:rtl/>
        </w:rPr>
        <w:t>רבינו גרשום</w:t>
      </w:r>
      <w:r>
        <w:rPr>
          <w:rFonts w:hint="cs"/>
          <w:rtl/>
        </w:rPr>
        <w:t xml:space="preserve"> </w:t>
      </w:r>
      <w:r w:rsidRPr="00597FCB">
        <w:rPr>
          <w:rStyle w:val="af7"/>
          <w:rFonts w:eastAsia="Guttman Hodes" w:hint="cs"/>
          <w:rtl/>
        </w:rPr>
        <w:t xml:space="preserve">(עי' אות </w:t>
      </w:r>
      <w:r w:rsidRPr="00597FCB">
        <w:rPr>
          <w:rStyle w:val="af7"/>
          <w:rFonts w:eastAsia="Guttman Hodes"/>
          <w:rtl/>
        </w:rPr>
        <w:fldChar w:fldCharType="begin"/>
      </w:r>
      <w:r w:rsidRPr="00597FCB">
        <w:rPr>
          <w:rStyle w:val="af7"/>
          <w:rFonts w:eastAsia="Guttman Hodes"/>
          <w:rtl/>
        </w:rPr>
        <w:instrText xml:space="preserve"> </w:instrText>
      </w:r>
      <w:r w:rsidRPr="00597FCB">
        <w:rPr>
          <w:rStyle w:val="af7"/>
          <w:rFonts w:eastAsia="Guttman Hodes" w:hint="cs"/>
        </w:rPr>
        <w:instrText>REF</w:instrText>
      </w:r>
      <w:r w:rsidRPr="00597FCB">
        <w:rPr>
          <w:rStyle w:val="af7"/>
          <w:rFonts w:eastAsia="Guttman Hodes" w:hint="cs"/>
          <w:rtl/>
        </w:rPr>
        <w:instrText xml:space="preserve"> _</w:instrText>
      </w:r>
      <w:r w:rsidRPr="00597FCB">
        <w:rPr>
          <w:rStyle w:val="af7"/>
          <w:rFonts w:eastAsia="Guttman Hodes" w:hint="cs"/>
        </w:rPr>
        <w:instrText>Ref2246046 \r \h</w:instrText>
      </w:r>
      <w:r w:rsidRPr="00597FCB">
        <w:rPr>
          <w:rStyle w:val="af7"/>
          <w:rFonts w:eastAsia="Guttman Hodes"/>
          <w:rtl/>
        </w:rPr>
        <w:instrText xml:space="preserve"> </w:instrText>
      </w:r>
      <w:r w:rsidRPr="00597FCB">
        <w:rPr>
          <w:rStyle w:val="af7"/>
          <w:rFonts w:eastAsia="Guttman Hodes"/>
          <w:rtl/>
        </w:rPr>
      </w:r>
      <w:r w:rsidRPr="00597FCB">
        <w:rPr>
          <w:rStyle w:val="af7"/>
          <w:rFonts w:eastAsia="Guttman Hodes"/>
          <w:rtl/>
        </w:rPr>
        <w:fldChar w:fldCharType="separate"/>
      </w:r>
      <w:r w:rsidR="00345400">
        <w:rPr>
          <w:rStyle w:val="af7"/>
          <w:rFonts w:eastAsia="Guttman Hodes"/>
          <w:cs/>
        </w:rPr>
        <w:t>‎</w:t>
      </w:r>
      <w:r w:rsidR="00345400">
        <w:rPr>
          <w:rStyle w:val="af7"/>
          <w:rFonts w:eastAsia="Guttman Hodes"/>
          <w:rtl/>
        </w:rPr>
        <w:t>סו)</w:t>
      </w:r>
      <w:r w:rsidRPr="00597FCB">
        <w:rPr>
          <w:rStyle w:val="af7"/>
          <w:rFonts w:eastAsia="Guttman Hodes"/>
          <w:rtl/>
        </w:rPr>
        <w:fldChar w:fldCharType="end"/>
      </w:r>
      <w:r>
        <w:rPr>
          <w:rFonts w:hint="cs"/>
          <w:rtl/>
        </w:rPr>
        <w:t xml:space="preserve"> דאף לר"מ אינו כבהמה לענין רביעה וחרישה בכלאים</w:t>
      </w:r>
      <w:r w:rsidRPr="001213DD">
        <w:rPr>
          <w:rFonts w:hint="cs"/>
          <w:rtl/>
        </w:rPr>
        <w:t>.</w:t>
      </w:r>
      <w:bookmarkEnd w:id="21762"/>
    </w:p>
    <w:p w14:paraId="59F42E0A" w14:textId="77777777" w:rsidR="003D504D" w:rsidRPr="002A56BB" w:rsidRDefault="003D504D" w:rsidP="00BF39B2">
      <w:pPr>
        <w:pStyle w:val="1"/>
        <w:rPr>
          <w:rtl/>
        </w:rPr>
      </w:pPr>
      <w:bookmarkStart w:id="21763" w:name="_Toc2164508"/>
      <w:bookmarkStart w:id="21764" w:name="_Toc2187277"/>
      <w:bookmarkStart w:id="21765" w:name="_Toc2198207"/>
      <w:bookmarkStart w:id="21766" w:name="_Toc19391707"/>
      <w:bookmarkStart w:id="21767" w:name="_Toc19395204"/>
      <w:r>
        <w:rPr>
          <w:rFonts w:hint="cs"/>
          <w:rtl/>
        </w:rPr>
        <w:t>בדברי רש"י</w:t>
      </w:r>
      <w:bookmarkEnd w:id="21763"/>
      <w:bookmarkEnd w:id="21764"/>
      <w:r>
        <w:rPr>
          <w:rFonts w:hint="cs"/>
          <w:rtl/>
        </w:rPr>
        <w:t xml:space="preserve"> דילפינן מאשם להתיר חלב ודמו אסור כדם אברים</w:t>
      </w:r>
      <w:bookmarkEnd w:id="21765"/>
      <w:bookmarkEnd w:id="21766"/>
      <w:bookmarkEnd w:id="21767"/>
    </w:p>
    <w:p w14:paraId="0797135F" w14:textId="77777777" w:rsidR="003D504D" w:rsidRPr="002A56BB" w:rsidRDefault="003D504D" w:rsidP="003D504D">
      <w:pPr>
        <w:pStyle w:val="a3"/>
        <w:rPr>
          <w:rtl/>
        </w:rPr>
      </w:pPr>
      <w:bookmarkStart w:id="21768" w:name="_Toc2187278"/>
      <w:bookmarkStart w:id="21769" w:name="_Toc2198208"/>
      <w:bookmarkStart w:id="21770" w:name="_Toc19391708"/>
      <w:bookmarkStart w:id="21771" w:name="_Toc19395205"/>
      <w:r>
        <w:rPr>
          <w:rFonts w:hint="cs"/>
          <w:rtl/>
        </w:rPr>
        <w:t>דברי רש"י דבבן ח' ה</w:t>
      </w:r>
      <w:r>
        <w:rPr>
          <w:rtl/>
        </w:rPr>
        <w:t>ח</w:t>
      </w:r>
      <w:r>
        <w:rPr>
          <w:rFonts w:hint="cs"/>
          <w:rtl/>
        </w:rPr>
        <w:t>לב מותר מהילפותא מאשם והדם אסור דלא גרע מדם האברים של הבהמה</w:t>
      </w:r>
      <w:bookmarkEnd w:id="21757"/>
      <w:bookmarkEnd w:id="21768"/>
      <w:bookmarkEnd w:id="21769"/>
      <w:bookmarkEnd w:id="21770"/>
      <w:bookmarkEnd w:id="21771"/>
    </w:p>
    <w:p w14:paraId="49CEDFE7" w14:textId="77777777" w:rsidR="003D504D" w:rsidRPr="000C0676" w:rsidRDefault="003D504D" w:rsidP="00223668">
      <w:pPr>
        <w:pStyle w:val="a0"/>
        <w:rPr>
          <w:sz w:val="10"/>
          <w:szCs w:val="14"/>
          <w:rtl/>
        </w:rPr>
      </w:pPr>
      <w:bookmarkStart w:id="21772" w:name="_Ref2109210"/>
      <w:r w:rsidRPr="002A56BB">
        <w:rPr>
          <w:rFonts w:hint="cs"/>
          <w:rtl/>
        </w:rPr>
        <w:t xml:space="preserve">בהא דצריך להוציא את דמו, כתב </w:t>
      </w:r>
      <w:r w:rsidRPr="002A56BB">
        <w:rPr>
          <w:rStyle w:val="af9"/>
          <w:rFonts w:hint="cs"/>
          <w:rtl/>
        </w:rPr>
        <w:t>רש"י</w:t>
      </w:r>
      <w:r w:rsidRPr="002A56BB">
        <w:rPr>
          <w:rFonts w:hint="cs"/>
          <w:rtl/>
        </w:rPr>
        <w:t xml:space="preserve"> </w:t>
      </w:r>
      <w:r w:rsidRPr="002A56BB">
        <w:rPr>
          <w:rStyle w:val="af7"/>
          <w:rFonts w:eastAsia="Guttman Hodes" w:hint="cs"/>
          <w:rtl/>
        </w:rPr>
        <w:t xml:space="preserve">(ד"ה ומוציא) </w:t>
      </w:r>
      <w:r w:rsidRPr="002A56BB">
        <w:rPr>
          <w:rFonts w:hint="cs"/>
          <w:rtl/>
        </w:rPr>
        <w:t xml:space="preserve">דבן ח' חי או מת ובן ט' מת שמודה ר"מ שמותרים, החלב שלהם מותר מהילפותא בגמ' לקמן </w:t>
      </w:r>
      <w:r w:rsidRPr="002A56BB">
        <w:rPr>
          <w:rStyle w:val="af7"/>
          <w:rFonts w:eastAsia="Guttman Hodes" w:hint="cs"/>
          <w:rtl/>
        </w:rPr>
        <w:t>(עה.)</w:t>
      </w:r>
      <w:r w:rsidRPr="002A56BB">
        <w:rPr>
          <w:rFonts w:hint="cs"/>
          <w:rtl/>
        </w:rPr>
        <w:t xml:space="preserve"> מאשם מוצא מכלל שליל, אבל הדם שלהם אסור, דלא גרע מדם האיברים דעובר עליו בלא תעשה,</w:t>
      </w:r>
      <w:r>
        <w:rPr>
          <w:rFonts w:hint="cs"/>
          <w:rtl/>
        </w:rPr>
        <w:t xml:space="preserve"> </w:t>
      </w:r>
      <w:r w:rsidRPr="002A56BB">
        <w:rPr>
          <w:rFonts w:hint="cs"/>
          <w:rtl/>
        </w:rPr>
        <w:t xml:space="preserve">ועי' במה שביאר </w:t>
      </w:r>
      <w:r w:rsidRPr="002A56BB">
        <w:rPr>
          <w:rStyle w:val="af9"/>
          <w:rFonts w:hint="cs"/>
          <w:rtl/>
        </w:rPr>
        <w:t>האבי עזרי</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Ref1936770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פט)</w:t>
      </w:r>
      <w:r w:rsidRPr="002A56BB">
        <w:rPr>
          <w:rStyle w:val="af7"/>
          <w:rFonts w:eastAsia="Guttman Hodes"/>
          <w:rtl/>
        </w:rPr>
        <w:fldChar w:fldCharType="end"/>
      </w:r>
      <w:r w:rsidRPr="002A56BB">
        <w:rPr>
          <w:rFonts w:hint="cs"/>
          <w:rtl/>
        </w:rPr>
        <w:t>.</w:t>
      </w:r>
      <w:bookmarkEnd w:id="21772"/>
    </w:p>
    <w:p w14:paraId="20708A32" w14:textId="77777777" w:rsidR="003D504D" w:rsidRPr="002A56BB" w:rsidRDefault="003D504D" w:rsidP="003D504D">
      <w:pPr>
        <w:pStyle w:val="a3"/>
        <w:rPr>
          <w:rtl/>
        </w:rPr>
      </w:pPr>
      <w:bookmarkStart w:id="21773" w:name="_Toc2164510"/>
      <w:bookmarkStart w:id="21774" w:name="_Toc2187279"/>
      <w:bookmarkStart w:id="21775" w:name="_Toc2198209"/>
      <w:bookmarkStart w:id="21776" w:name="_Toc19391709"/>
      <w:bookmarkStart w:id="21777" w:name="_Toc19395206"/>
      <w:r>
        <w:rPr>
          <w:rFonts w:hint="cs"/>
          <w:rtl/>
        </w:rPr>
        <w:t>קושית המהדו"ב והראש יוסף דכיון דבן ח' מותר לר"מ ממילא חלבו בכלל ההיתר</w:t>
      </w:r>
      <w:bookmarkEnd w:id="21773"/>
      <w:bookmarkEnd w:id="21774"/>
      <w:bookmarkEnd w:id="21775"/>
      <w:bookmarkEnd w:id="21776"/>
      <w:bookmarkEnd w:id="21777"/>
    </w:p>
    <w:p w14:paraId="18725B83" w14:textId="77777777" w:rsidR="003D504D" w:rsidRPr="002A56BB" w:rsidRDefault="003D504D" w:rsidP="00223668">
      <w:pPr>
        <w:pStyle w:val="a0"/>
        <w:rPr>
          <w:rtl/>
        </w:rPr>
      </w:pPr>
      <w:r w:rsidRPr="002A56BB">
        <w:rPr>
          <w:rFonts w:hint="cs"/>
          <w:rtl/>
        </w:rPr>
        <w:t xml:space="preserve">והקשו </w:t>
      </w:r>
      <w:r w:rsidRPr="002A56BB">
        <w:rPr>
          <w:rStyle w:val="af9"/>
          <w:rFonts w:hint="cs"/>
          <w:rtl/>
        </w:rPr>
        <w:t>המהדו"ב</w:t>
      </w:r>
      <w:r w:rsidRPr="002A56BB">
        <w:rPr>
          <w:rFonts w:hint="cs"/>
          <w:rtl/>
        </w:rPr>
        <w:t xml:space="preserve"> </w:t>
      </w:r>
      <w:r w:rsidRPr="002A56BB">
        <w:rPr>
          <w:rStyle w:val="af7"/>
          <w:rFonts w:eastAsia="Guttman Hodes" w:hint="cs"/>
          <w:rtl/>
        </w:rPr>
        <w:t xml:space="preserve">(על רש"י ד"ה ומוציא) </w:t>
      </w:r>
      <w:r w:rsidRPr="002A56BB">
        <w:rPr>
          <w:rStyle w:val="af9"/>
          <w:rFonts w:hint="cs"/>
          <w:rtl/>
        </w:rPr>
        <w:t>והראש יוסף</w:t>
      </w:r>
      <w:r w:rsidRPr="002A56BB">
        <w:rPr>
          <w:rFonts w:hint="cs"/>
          <w:rtl/>
        </w:rPr>
        <w:t xml:space="preserve"> </w:t>
      </w:r>
      <w:r w:rsidRPr="002A56BB">
        <w:rPr>
          <w:rStyle w:val="af7"/>
          <w:rFonts w:eastAsia="Guttman Hodes" w:hint="cs"/>
          <w:rtl/>
        </w:rPr>
        <w:t xml:space="preserve">(ד"ה השוחט) </w:t>
      </w:r>
      <w:r w:rsidRPr="002A56BB">
        <w:rPr>
          <w:rFonts w:hint="cs"/>
          <w:rtl/>
        </w:rPr>
        <w:t>דהרי בבן ח' א"צ להתירו מילפותא מאשם, דהרי הוא בכלל היתר "</w:t>
      </w:r>
      <w:r>
        <w:rPr>
          <w:rFonts w:hint="cs"/>
          <w:rtl/>
        </w:rPr>
        <w:t>כל בבהמה תאכלו</w:t>
      </w:r>
      <w:r w:rsidRPr="002A56BB">
        <w:rPr>
          <w:rFonts w:hint="cs"/>
          <w:rtl/>
        </w:rPr>
        <w:t>", דכיון שמותר בשחיטת אמו, ממילא חלבו מותר, כמו דר"י ס"ל דבן ט' חי מותר</w:t>
      </w:r>
      <w:r>
        <w:rPr>
          <w:rFonts w:hint="cs"/>
          <w:rtl/>
        </w:rPr>
        <w:t>,</w:t>
      </w:r>
      <w:r w:rsidRPr="002A56BB">
        <w:rPr>
          <w:rFonts w:hint="cs"/>
          <w:rtl/>
        </w:rPr>
        <w:t xml:space="preserve"> וממילא חלבו מותר</w:t>
      </w:r>
      <w:r>
        <w:rPr>
          <w:rStyle w:val="af1"/>
          <w:rtl/>
        </w:rPr>
        <w:footnoteReference w:id="124"/>
      </w:r>
      <w:r w:rsidRPr="002A56BB">
        <w:rPr>
          <w:rFonts w:hint="cs"/>
          <w:rtl/>
        </w:rPr>
        <w:t>.</w:t>
      </w:r>
    </w:p>
    <w:p w14:paraId="762D5EAB" w14:textId="77777777" w:rsidR="003D504D" w:rsidRDefault="003D504D" w:rsidP="003D504D">
      <w:pPr>
        <w:pStyle w:val="a3"/>
        <w:rPr>
          <w:rtl/>
        </w:rPr>
      </w:pPr>
      <w:bookmarkStart w:id="21778" w:name="_Toc2187280"/>
      <w:bookmarkStart w:id="21779" w:name="_Toc2198210"/>
      <w:bookmarkStart w:id="21780" w:name="_Toc19391710"/>
      <w:bookmarkStart w:id="21781" w:name="_Toc19395207"/>
      <w:r>
        <w:rPr>
          <w:rFonts w:hint="cs"/>
          <w:rtl/>
        </w:rPr>
        <w:t>ביאור הראש יוסף ברש"י דלר"מ בכל בבהמה אין היתר לחלב ולדם והיתר החלב הוא מאשם</w:t>
      </w:r>
      <w:bookmarkEnd w:id="21778"/>
      <w:bookmarkEnd w:id="21779"/>
      <w:bookmarkEnd w:id="21780"/>
      <w:bookmarkEnd w:id="21781"/>
    </w:p>
    <w:p w14:paraId="4595BB29" w14:textId="77777777" w:rsidR="003D504D" w:rsidRDefault="003D504D" w:rsidP="00223668">
      <w:pPr>
        <w:pStyle w:val="a0"/>
        <w:rPr>
          <w:rtl/>
        </w:rPr>
      </w:pPr>
      <w:bookmarkStart w:id="21782" w:name="_Ref2157704"/>
      <w:r>
        <w:rPr>
          <w:rFonts w:hint="cs"/>
          <w:rtl/>
        </w:rPr>
        <w:t xml:space="preserve">וציין </w:t>
      </w:r>
      <w:r w:rsidRPr="009D3EDF">
        <w:rPr>
          <w:rStyle w:val="af9"/>
          <w:rFonts w:hint="cs"/>
          <w:rtl/>
        </w:rPr>
        <w:t xml:space="preserve">הראש יוסף </w:t>
      </w:r>
      <w:r>
        <w:rPr>
          <w:rFonts w:hint="cs"/>
          <w:rtl/>
        </w:rPr>
        <w:t xml:space="preserve">לדבריו לעיל </w:t>
      </w:r>
      <w:r w:rsidRPr="004B7C61">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Ref2187316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ט)</w:t>
      </w:r>
      <w:r>
        <w:rPr>
          <w:rStyle w:val="af7"/>
          <w:rFonts w:eastAsia="Guttman Hodes"/>
          <w:rtl/>
        </w:rPr>
        <w:fldChar w:fldCharType="end"/>
      </w:r>
      <w:r w:rsidRPr="004B7C61">
        <w:rPr>
          <w:rStyle w:val="af7"/>
          <w:rFonts w:eastAsia="Guttman Hodes" w:hint="cs"/>
          <w:rtl/>
        </w:rPr>
        <w:t xml:space="preserve"> </w:t>
      </w:r>
      <w:r>
        <w:rPr>
          <w:rFonts w:hint="cs"/>
          <w:rtl/>
        </w:rPr>
        <w:t xml:space="preserve">דר"מ ס"ל דהיתר בן פקועה הוא "כל בבהמה תאכלו", ובן ט' חי שהוא בהמה בפנ"ע אינו בכלל ההיתר, ורבנן ס"ל דהיתר בן פקועה מדין "בהמה בבהמה", </w:t>
      </w:r>
      <w:r w:rsidRPr="00AC39E9">
        <w:rPr>
          <w:rFonts w:hint="cs"/>
          <w:rtl/>
        </w:rPr>
        <w:t>ו</w:t>
      </w:r>
      <w:r>
        <w:rPr>
          <w:rFonts w:hint="cs"/>
          <w:rtl/>
        </w:rPr>
        <w:t>בזה ביאר</w:t>
      </w:r>
      <w:r w:rsidRPr="00AC39E9">
        <w:rPr>
          <w:rFonts w:hint="cs"/>
          <w:rtl/>
        </w:rPr>
        <w:t xml:space="preserve"> </w:t>
      </w:r>
      <w:r w:rsidRPr="00AC39E9">
        <w:rPr>
          <w:rStyle w:val="af9"/>
          <w:rFonts w:hint="cs"/>
          <w:rtl/>
        </w:rPr>
        <w:t>הראש יוסף</w:t>
      </w:r>
      <w:r w:rsidRPr="00AC39E9">
        <w:rPr>
          <w:rFonts w:hint="cs"/>
          <w:rtl/>
        </w:rPr>
        <w:t xml:space="preserve"> </w:t>
      </w:r>
      <w:r w:rsidRPr="00CC0129">
        <w:rPr>
          <w:rStyle w:val="af7"/>
          <w:rFonts w:eastAsia="Guttman Hodes" w:hint="cs"/>
          <w:rtl/>
        </w:rPr>
        <w:t>(ד"ה והיה נראה)</w:t>
      </w:r>
      <w:r w:rsidRPr="00AC39E9">
        <w:rPr>
          <w:rFonts w:hint="cs"/>
          <w:rtl/>
        </w:rPr>
        <w:t xml:space="preserve"> </w:t>
      </w:r>
      <w:r>
        <w:rPr>
          <w:rFonts w:hint="cs"/>
          <w:rtl/>
        </w:rPr>
        <w:t xml:space="preserve">את דברי </w:t>
      </w:r>
      <w:r w:rsidRPr="00015821">
        <w:rPr>
          <w:rStyle w:val="af9"/>
          <w:rFonts w:hint="cs"/>
          <w:rtl/>
        </w:rPr>
        <w:t>רש"י</w:t>
      </w:r>
      <w:r>
        <w:rPr>
          <w:rFonts w:hint="cs"/>
          <w:rtl/>
        </w:rPr>
        <w:t xml:space="preserve"> בהיתר החלב, דלדעת ר"מ </w:t>
      </w:r>
      <w:r w:rsidRPr="00AC39E9">
        <w:rPr>
          <w:rFonts w:hint="cs"/>
          <w:rtl/>
        </w:rPr>
        <w:t xml:space="preserve">דס"ל דההיתר נלמד "מכל" בבהמה תאכלו, </w:t>
      </w:r>
      <w:r>
        <w:rPr>
          <w:rFonts w:hint="cs"/>
          <w:rtl/>
        </w:rPr>
        <w:t>א</w:t>
      </w:r>
      <w:r w:rsidRPr="00AC39E9">
        <w:rPr>
          <w:rFonts w:hint="cs"/>
          <w:rtl/>
        </w:rPr>
        <w:t xml:space="preserve">"כ אף דמו הוא בכלל ההיתר, ולכן ביאר </w:t>
      </w:r>
      <w:r w:rsidRPr="00AC39E9">
        <w:rPr>
          <w:rStyle w:val="af9"/>
          <w:rFonts w:hint="cs"/>
          <w:rtl/>
        </w:rPr>
        <w:t>רש"י</w:t>
      </w:r>
      <w:r w:rsidRPr="00AC39E9">
        <w:rPr>
          <w:rFonts w:hint="cs"/>
          <w:rtl/>
        </w:rPr>
        <w:t xml:space="preserve"> ד</w:t>
      </w:r>
      <w:r>
        <w:rPr>
          <w:rFonts w:hint="cs"/>
          <w:rtl/>
        </w:rPr>
        <w:t>היתר "כל בבהמה תאכלו" אינו מתיר לא את החלב ולא את הדם, ו</w:t>
      </w:r>
      <w:r w:rsidRPr="00AC39E9">
        <w:rPr>
          <w:rFonts w:hint="cs"/>
          <w:rtl/>
        </w:rPr>
        <w:t>ההיתר בחלב הוא מהילפותא "</w:t>
      </w:r>
      <w:r>
        <w:rPr>
          <w:rFonts w:hint="cs"/>
          <w:rtl/>
        </w:rPr>
        <w:t>ד</w:t>
      </w:r>
      <w:r w:rsidRPr="00AC39E9">
        <w:rPr>
          <w:rFonts w:hint="cs"/>
          <w:rtl/>
        </w:rPr>
        <w:t xml:space="preserve">אשם מוצא מכלל שליל", וא"כ ההיתר הוא רק לענין החלב של העובר, אבל הדם אינו בכלל </w:t>
      </w:r>
      <w:r>
        <w:rPr>
          <w:rFonts w:hint="cs"/>
          <w:rtl/>
        </w:rPr>
        <w:t>ה</w:t>
      </w:r>
      <w:r w:rsidRPr="00AC39E9">
        <w:rPr>
          <w:rFonts w:hint="cs"/>
          <w:rtl/>
        </w:rPr>
        <w:t>היתר.</w:t>
      </w:r>
      <w:r w:rsidRPr="007943E9">
        <w:rPr>
          <w:rStyle w:val="afb"/>
          <w:rFonts w:hint="cs"/>
          <w:rtl/>
        </w:rPr>
        <w:t xml:space="preserve"> </w:t>
      </w:r>
      <w:r w:rsidRPr="00AC39E9">
        <w:rPr>
          <w:rStyle w:val="afb"/>
          <w:rFonts w:hint="cs"/>
          <w:rtl/>
        </w:rPr>
        <w:t>[ו</w:t>
      </w:r>
      <w:r>
        <w:rPr>
          <w:rStyle w:val="afb"/>
          <w:rFonts w:hint="cs"/>
          <w:rtl/>
        </w:rPr>
        <w:t xml:space="preserve">כתב </w:t>
      </w:r>
      <w:r w:rsidRPr="007943E9">
        <w:rPr>
          <w:rStyle w:val="affa"/>
          <w:rFonts w:hint="cs"/>
          <w:rtl/>
        </w:rPr>
        <w:t>הראש יוסף</w:t>
      </w:r>
      <w:r>
        <w:rPr>
          <w:rStyle w:val="afb"/>
          <w:rFonts w:hint="cs"/>
          <w:rtl/>
        </w:rPr>
        <w:t xml:space="preserve"> ד</w:t>
      </w:r>
      <w:r w:rsidRPr="00AC39E9">
        <w:rPr>
          <w:rStyle w:val="afb"/>
          <w:rFonts w:hint="cs"/>
          <w:rtl/>
        </w:rPr>
        <w:t xml:space="preserve">לא נראה </w:t>
      </w:r>
      <w:r w:rsidRPr="00AC39E9">
        <w:rPr>
          <w:rStyle w:val="affa"/>
          <w:rFonts w:hint="cs"/>
          <w:rtl/>
        </w:rPr>
        <w:t>לרש"י</w:t>
      </w:r>
      <w:r w:rsidRPr="00AC39E9">
        <w:rPr>
          <w:rStyle w:val="afb"/>
          <w:rFonts w:hint="cs"/>
          <w:rtl/>
        </w:rPr>
        <w:t xml:space="preserve"> לבאר כסברת </w:t>
      </w:r>
      <w:r w:rsidRPr="00AC39E9">
        <w:rPr>
          <w:rStyle w:val="affa"/>
          <w:rFonts w:hint="cs"/>
          <w:rtl/>
        </w:rPr>
        <w:t>הרא"ש</w:t>
      </w:r>
      <w:r w:rsidRPr="00AC39E9">
        <w:rPr>
          <w:rStyle w:val="afb"/>
          <w:rFonts w:hint="cs"/>
          <w:rtl/>
        </w:rPr>
        <w:t xml:space="preserve"> </w:t>
      </w:r>
      <w:r w:rsidRPr="00AC39E9">
        <w:rPr>
          <w:rStyle w:val="aff6"/>
          <w:rFonts w:hint="cs"/>
          <w:rtl/>
        </w:rPr>
        <w:t xml:space="preserve">(עי' אות </w:t>
      </w:r>
      <w:r w:rsidRPr="00AC39E9">
        <w:rPr>
          <w:rStyle w:val="aff6"/>
          <w:rtl/>
        </w:rPr>
        <w:fldChar w:fldCharType="begin"/>
      </w:r>
      <w:r w:rsidRPr="00AC39E9">
        <w:rPr>
          <w:rStyle w:val="aff6"/>
          <w:rtl/>
        </w:rPr>
        <w:instrText xml:space="preserve"> </w:instrText>
      </w:r>
      <w:r w:rsidRPr="00AC39E9">
        <w:rPr>
          <w:rStyle w:val="aff6"/>
          <w:rFonts w:hint="cs"/>
        </w:rPr>
        <w:instrText>REF</w:instrText>
      </w:r>
      <w:r w:rsidRPr="00AC39E9">
        <w:rPr>
          <w:rStyle w:val="aff6"/>
          <w:rFonts w:hint="cs"/>
          <w:rtl/>
        </w:rPr>
        <w:instrText xml:space="preserve"> _</w:instrText>
      </w:r>
      <w:r w:rsidRPr="00AC39E9">
        <w:rPr>
          <w:rStyle w:val="aff6"/>
          <w:rFonts w:hint="cs"/>
        </w:rPr>
        <w:instrText>Ref1937481 \r \h</w:instrText>
      </w:r>
      <w:r w:rsidRPr="00AC39E9">
        <w:rPr>
          <w:rStyle w:val="aff6"/>
          <w:rtl/>
        </w:rPr>
        <w:instrText xml:space="preserve">  \* </w:instrText>
      </w:r>
      <w:r w:rsidRPr="00AC39E9">
        <w:rPr>
          <w:rStyle w:val="aff6"/>
        </w:rPr>
        <w:instrText>MERGEFORMAT</w:instrText>
      </w:r>
      <w:r w:rsidRPr="00AC39E9">
        <w:rPr>
          <w:rStyle w:val="aff6"/>
          <w:rtl/>
        </w:rPr>
        <w:instrText xml:space="preserve"> </w:instrText>
      </w:r>
      <w:r w:rsidRPr="00AC39E9">
        <w:rPr>
          <w:rStyle w:val="aff6"/>
          <w:rtl/>
        </w:rPr>
      </w:r>
      <w:r w:rsidRPr="00AC39E9">
        <w:rPr>
          <w:rStyle w:val="aff6"/>
          <w:rtl/>
        </w:rPr>
        <w:fldChar w:fldCharType="separate"/>
      </w:r>
      <w:r w:rsidR="00345400">
        <w:rPr>
          <w:rStyle w:val="aff6"/>
          <w:cs/>
        </w:rPr>
        <w:t>‎</w:t>
      </w:r>
      <w:r w:rsidR="00345400">
        <w:rPr>
          <w:rStyle w:val="aff6"/>
          <w:rtl/>
        </w:rPr>
        <w:t>נה)</w:t>
      </w:r>
      <w:r w:rsidRPr="00AC39E9">
        <w:rPr>
          <w:rStyle w:val="aff6"/>
          <w:rtl/>
        </w:rPr>
        <w:fldChar w:fldCharType="end"/>
      </w:r>
      <w:r w:rsidRPr="00AC39E9">
        <w:rPr>
          <w:rStyle w:val="afb"/>
          <w:rFonts w:hint="cs"/>
          <w:rtl/>
        </w:rPr>
        <w:t xml:space="preserve"> דהדם מתערב בכל הגוף וא"א להתירו</w:t>
      </w:r>
      <w:r>
        <w:rPr>
          <w:rStyle w:val="afb"/>
          <w:rFonts w:hint="cs"/>
          <w:rtl/>
        </w:rPr>
        <w:t>].</w:t>
      </w:r>
      <w:bookmarkEnd w:id="21782"/>
    </w:p>
    <w:p w14:paraId="1C39E33F" w14:textId="77777777" w:rsidR="003D504D" w:rsidRPr="00AC4F62" w:rsidRDefault="003D504D" w:rsidP="003D504D">
      <w:pPr>
        <w:pStyle w:val="a3"/>
        <w:rPr>
          <w:rtl/>
        </w:rPr>
      </w:pPr>
      <w:bookmarkStart w:id="21783" w:name="_Toc2187281"/>
      <w:bookmarkStart w:id="21784" w:name="_Toc2198211"/>
      <w:bookmarkStart w:id="21785" w:name="_Toc19391711"/>
      <w:bookmarkStart w:id="21786" w:name="_Toc19395208"/>
      <w:r>
        <w:rPr>
          <w:rFonts w:hint="cs"/>
          <w:rtl/>
        </w:rPr>
        <w:t>ביאור הראש יוסף דלרבנן החלב הוא בכלל היתר "בהמה בבהמה" אבל הדם אינו בכלל ההיתר</w:t>
      </w:r>
      <w:bookmarkEnd w:id="21783"/>
      <w:bookmarkEnd w:id="21784"/>
      <w:bookmarkEnd w:id="21785"/>
      <w:bookmarkEnd w:id="21786"/>
    </w:p>
    <w:p w14:paraId="73CFA912" w14:textId="77777777" w:rsidR="003D504D" w:rsidRPr="002A56BB" w:rsidRDefault="003D504D" w:rsidP="00223668">
      <w:pPr>
        <w:pStyle w:val="a0"/>
        <w:rPr>
          <w:rtl/>
        </w:rPr>
      </w:pPr>
      <w:r w:rsidRPr="00AC39E9">
        <w:rPr>
          <w:rFonts w:hint="cs"/>
          <w:rtl/>
        </w:rPr>
        <w:t xml:space="preserve">אבל בדעת </w:t>
      </w:r>
      <w:r>
        <w:rPr>
          <w:rFonts w:hint="cs"/>
          <w:rtl/>
        </w:rPr>
        <w:t xml:space="preserve">רבנן </w:t>
      </w:r>
      <w:r w:rsidRPr="009A117A">
        <w:rPr>
          <w:rStyle w:val="afb"/>
          <w:rFonts w:hint="cs"/>
          <w:rtl/>
        </w:rPr>
        <w:t>[לריו"ח]</w:t>
      </w:r>
      <w:r w:rsidRPr="00AC39E9">
        <w:rPr>
          <w:rFonts w:hint="cs"/>
          <w:rtl/>
        </w:rPr>
        <w:t xml:space="preserve"> כתב </w:t>
      </w:r>
      <w:r w:rsidRPr="00AC39E9">
        <w:rPr>
          <w:rStyle w:val="af9"/>
          <w:rFonts w:hint="cs"/>
          <w:rtl/>
        </w:rPr>
        <w:t xml:space="preserve">הראש יוסף </w:t>
      </w:r>
      <w:r w:rsidRPr="00AC39E9">
        <w:rPr>
          <w:rFonts w:hint="cs"/>
          <w:rtl/>
        </w:rPr>
        <w:t>ד</w:t>
      </w:r>
      <w:r>
        <w:rPr>
          <w:rFonts w:hint="cs"/>
          <w:rtl/>
        </w:rPr>
        <w:t>כיון ד</w:t>
      </w:r>
      <w:r w:rsidRPr="00AC39E9">
        <w:rPr>
          <w:rFonts w:hint="cs"/>
          <w:rtl/>
        </w:rPr>
        <w:t xml:space="preserve">ההיתר הוא </w:t>
      </w:r>
      <w:r>
        <w:rPr>
          <w:rFonts w:hint="cs"/>
          <w:rtl/>
        </w:rPr>
        <w:t>מדין</w:t>
      </w:r>
      <w:r w:rsidRPr="00AC39E9">
        <w:rPr>
          <w:rFonts w:hint="cs"/>
          <w:rtl/>
        </w:rPr>
        <w:t xml:space="preserve"> "בהמה בבהמה"</w:t>
      </w:r>
      <w:r>
        <w:rPr>
          <w:rFonts w:hint="cs"/>
          <w:rtl/>
        </w:rPr>
        <w:t>,</w:t>
      </w:r>
      <w:r w:rsidRPr="00AC39E9">
        <w:rPr>
          <w:rFonts w:hint="cs"/>
          <w:rtl/>
        </w:rPr>
        <w:t xml:space="preserve"> א"כ רק החלב חשיב בכלל הבהמה</w:t>
      </w:r>
      <w:r>
        <w:rPr>
          <w:rFonts w:hint="cs"/>
          <w:rtl/>
        </w:rPr>
        <w:t>,</w:t>
      </w:r>
      <w:r w:rsidRPr="00AC39E9">
        <w:rPr>
          <w:rFonts w:hint="cs"/>
          <w:rtl/>
        </w:rPr>
        <w:t xml:space="preserve"> אבל הדם אינו בכלל ההיתר</w:t>
      </w:r>
      <w:r>
        <w:rPr>
          <w:rFonts w:hint="cs"/>
          <w:rtl/>
        </w:rPr>
        <w:t xml:space="preserve">, דרק החלב נחשב כחלק מהבהמה ולא הדם, </w:t>
      </w:r>
      <w:r w:rsidRPr="009A117A">
        <w:rPr>
          <w:rStyle w:val="afb"/>
          <w:rFonts w:hint="cs"/>
          <w:rtl/>
        </w:rPr>
        <w:t xml:space="preserve">[וכמבואר </w:t>
      </w:r>
      <w:r w:rsidRPr="009A117A">
        <w:rPr>
          <w:rStyle w:val="affa"/>
          <w:rFonts w:hint="cs"/>
          <w:rtl/>
        </w:rPr>
        <w:t>בתוס' בפסחים</w:t>
      </w:r>
      <w:r w:rsidRPr="009A117A">
        <w:rPr>
          <w:rStyle w:val="afb"/>
          <w:rFonts w:hint="cs"/>
          <w:rtl/>
        </w:rPr>
        <w:t xml:space="preserve"> </w:t>
      </w:r>
      <w:r w:rsidRPr="009A117A">
        <w:rPr>
          <w:rStyle w:val="aff6"/>
          <w:rFonts w:hint="cs"/>
          <w:rtl/>
        </w:rPr>
        <w:t>(כב. ד"ה והרי)</w:t>
      </w:r>
      <w:r w:rsidRPr="009A117A">
        <w:rPr>
          <w:rStyle w:val="afb"/>
          <w:rFonts w:hint="cs"/>
          <w:rtl/>
        </w:rPr>
        <w:t>]</w:t>
      </w:r>
      <w:r>
        <w:rPr>
          <w:rFonts w:hint="cs"/>
          <w:rtl/>
        </w:rPr>
        <w:t>.</w:t>
      </w:r>
      <w:r w:rsidRPr="00AC39E9">
        <w:rPr>
          <w:rFonts w:hint="cs"/>
          <w:rtl/>
        </w:rPr>
        <w:t xml:space="preserve"> </w:t>
      </w:r>
      <w:r>
        <w:rPr>
          <w:rFonts w:hint="cs"/>
          <w:rtl/>
        </w:rPr>
        <w:t xml:space="preserve">  </w:t>
      </w:r>
    </w:p>
    <w:p w14:paraId="009618CB" w14:textId="77777777" w:rsidR="003D504D" w:rsidRPr="002A56BB" w:rsidRDefault="003D504D" w:rsidP="003D504D">
      <w:pPr>
        <w:pStyle w:val="a3"/>
        <w:rPr>
          <w:rtl/>
        </w:rPr>
      </w:pPr>
      <w:bookmarkStart w:id="21787" w:name="_Toc2164511"/>
      <w:bookmarkStart w:id="21788" w:name="_Toc2187282"/>
      <w:bookmarkStart w:id="21789" w:name="_Toc2198212"/>
      <w:bookmarkStart w:id="21790" w:name="_Toc19391712"/>
      <w:bookmarkStart w:id="21791" w:name="_Toc19395209"/>
      <w:r>
        <w:rPr>
          <w:rFonts w:hint="cs"/>
          <w:rtl/>
        </w:rPr>
        <w:t>ביאור החת"ס ברש"י דאחר שהותר החלב מהילפותא באשם הוא בכלל היתר כל בבהמה ולא הדם</w:t>
      </w:r>
      <w:bookmarkEnd w:id="21787"/>
      <w:bookmarkEnd w:id="21788"/>
      <w:bookmarkEnd w:id="21789"/>
      <w:bookmarkEnd w:id="21790"/>
      <w:bookmarkEnd w:id="21791"/>
    </w:p>
    <w:p w14:paraId="1941E3F6" w14:textId="77777777" w:rsidR="003D504D" w:rsidRPr="002A56BB" w:rsidRDefault="003D504D" w:rsidP="00223668">
      <w:pPr>
        <w:pStyle w:val="a0"/>
        <w:rPr>
          <w:rtl/>
        </w:rPr>
      </w:pPr>
      <w:bookmarkStart w:id="21792" w:name="_Ref1936710"/>
      <w:r>
        <w:rPr>
          <w:rStyle w:val="af9"/>
          <w:rFonts w:hint="cs"/>
          <w:rtl/>
        </w:rPr>
        <w:t>ו</w:t>
      </w:r>
      <w:r w:rsidRPr="004C268C">
        <w:rPr>
          <w:rStyle w:val="af9"/>
          <w:rFonts w:hint="cs"/>
          <w:rtl/>
        </w:rPr>
        <w:t>ה</w:t>
      </w:r>
      <w:r w:rsidRPr="002A56BB">
        <w:rPr>
          <w:rStyle w:val="af9"/>
          <w:rFonts w:hint="cs"/>
          <w:rtl/>
        </w:rPr>
        <w:t>חת"ס</w:t>
      </w:r>
      <w:r w:rsidRPr="002A56BB">
        <w:rPr>
          <w:rFonts w:hint="cs"/>
          <w:rtl/>
        </w:rPr>
        <w:t xml:space="preserve"> </w:t>
      </w:r>
      <w:r w:rsidRPr="002A56BB">
        <w:rPr>
          <w:rStyle w:val="af7"/>
          <w:rFonts w:eastAsia="Guttman Hodes" w:hint="cs"/>
          <w:rtl/>
        </w:rPr>
        <w:t xml:space="preserve">(ד"ה קורעו) </w:t>
      </w:r>
      <w:r w:rsidRPr="002A56BB">
        <w:rPr>
          <w:rFonts w:hint="cs"/>
          <w:rtl/>
        </w:rPr>
        <w:t>כתב</w:t>
      </w:r>
      <w:r>
        <w:rPr>
          <w:rFonts w:hint="cs"/>
          <w:rtl/>
        </w:rPr>
        <w:t xml:space="preserve"> </w:t>
      </w:r>
      <w:r w:rsidRPr="002A56BB">
        <w:rPr>
          <w:rFonts w:hint="cs"/>
          <w:rtl/>
        </w:rPr>
        <w:t xml:space="preserve">דמ"ש </w:t>
      </w:r>
      <w:r w:rsidRPr="002A56BB">
        <w:rPr>
          <w:rStyle w:val="af9"/>
          <w:rFonts w:hint="cs"/>
          <w:rtl/>
        </w:rPr>
        <w:t>רש"י</w:t>
      </w:r>
      <w:r w:rsidRPr="002A56BB">
        <w:rPr>
          <w:rFonts w:hint="cs"/>
          <w:rtl/>
        </w:rPr>
        <w:t xml:space="preserve"> דדמו לא גרע מדם האיברים, אין כוונת </w:t>
      </w:r>
      <w:r w:rsidRPr="004C268C">
        <w:rPr>
          <w:rStyle w:val="af9"/>
          <w:rFonts w:hint="cs"/>
          <w:rtl/>
        </w:rPr>
        <w:t>רש"י</w:t>
      </w:r>
      <w:r w:rsidRPr="002A56BB">
        <w:rPr>
          <w:rFonts w:hint="cs"/>
          <w:rtl/>
        </w:rPr>
        <w:t xml:space="preserve"> לומר דהעובר הוא כאבר של אמו, וא"כ הדם חשיב כדם איברים של אמו, דהא העובר הוא גוף בפנ"ע</w:t>
      </w:r>
      <w:r>
        <w:rPr>
          <w:rFonts w:hint="cs"/>
          <w:rtl/>
        </w:rPr>
        <w:t>,</w:t>
      </w:r>
      <w:r w:rsidRPr="002A56BB">
        <w:rPr>
          <w:rFonts w:hint="cs"/>
          <w:rtl/>
        </w:rPr>
        <w:t xml:space="preserve"> ויש בו את היתר "כל בבהמה תאכלו", אלא ביאר </w:t>
      </w:r>
      <w:r w:rsidRPr="002A56BB">
        <w:rPr>
          <w:rStyle w:val="af9"/>
          <w:rFonts w:hint="cs"/>
          <w:rtl/>
        </w:rPr>
        <w:t>החת"ס</w:t>
      </w:r>
      <w:r w:rsidRPr="002A56BB">
        <w:rPr>
          <w:rFonts w:hint="cs"/>
          <w:rtl/>
        </w:rPr>
        <w:t xml:space="preserve"> דכוונת </w:t>
      </w:r>
      <w:r w:rsidRPr="002A56BB">
        <w:rPr>
          <w:rStyle w:val="af9"/>
          <w:rFonts w:hint="cs"/>
          <w:rtl/>
        </w:rPr>
        <w:t>רש"י</w:t>
      </w:r>
      <w:r w:rsidRPr="002A56BB">
        <w:rPr>
          <w:rFonts w:hint="cs"/>
          <w:rtl/>
        </w:rPr>
        <w:t xml:space="preserve"> לומר דכל הריבוי להיתר אכילה מכל בבהמה תאכלו</w:t>
      </w:r>
      <w:r>
        <w:rPr>
          <w:rFonts w:hint="cs"/>
          <w:rtl/>
        </w:rPr>
        <w:t>,</w:t>
      </w:r>
      <w:r w:rsidRPr="002A56BB">
        <w:rPr>
          <w:rFonts w:hint="cs"/>
          <w:rtl/>
        </w:rPr>
        <w:t xml:space="preserve"> הוא רק אחר הילפותא להתיר חלב, "מאשם מוצא מכלל שליל", וכיון דבדם האברים לא שייכא ילפותא זו, </w:t>
      </w:r>
      <w:r w:rsidRPr="002A56BB">
        <w:rPr>
          <w:rStyle w:val="afb"/>
          <w:rFonts w:hint="cs"/>
          <w:rtl/>
        </w:rPr>
        <w:t xml:space="preserve">[דאינו ראוי לזריקה], </w:t>
      </w:r>
      <w:r w:rsidRPr="002A56BB">
        <w:rPr>
          <w:rFonts w:hint="cs"/>
          <w:rtl/>
        </w:rPr>
        <w:t>לכן לא נאמר בו היתר "כל בבהמה תאכלו", עיי"ש בדבריו.</w:t>
      </w:r>
      <w:bookmarkEnd w:id="21792"/>
    </w:p>
    <w:p w14:paraId="0FD32166" w14:textId="77777777" w:rsidR="003D504D" w:rsidRDefault="003D504D" w:rsidP="00BF39B2">
      <w:pPr>
        <w:pStyle w:val="1"/>
        <w:rPr>
          <w:rtl/>
        </w:rPr>
      </w:pPr>
      <w:bookmarkStart w:id="21793" w:name="_Toc2187283"/>
      <w:bookmarkStart w:id="21794" w:name="_Toc2198213"/>
      <w:bookmarkStart w:id="21795" w:name="_Toc19391713"/>
      <w:bookmarkStart w:id="21796" w:name="_Toc19395210"/>
      <w:r>
        <w:rPr>
          <w:rFonts w:hint="cs"/>
          <w:rtl/>
        </w:rPr>
        <w:t>ביאור הראבי"ה דהיתר כל בבהמה מהני רק לדין שחיטה</w:t>
      </w:r>
      <w:bookmarkEnd w:id="21793"/>
      <w:bookmarkEnd w:id="21794"/>
      <w:bookmarkEnd w:id="21795"/>
      <w:bookmarkEnd w:id="21796"/>
    </w:p>
    <w:p w14:paraId="31B4FA8B" w14:textId="77777777" w:rsidR="003D504D" w:rsidRPr="009E5047" w:rsidRDefault="003D504D" w:rsidP="003D504D">
      <w:pPr>
        <w:pStyle w:val="a3"/>
        <w:rPr>
          <w:rtl/>
        </w:rPr>
      </w:pPr>
      <w:bookmarkStart w:id="21797" w:name="_Toc2187284"/>
      <w:bookmarkStart w:id="21798" w:name="_Toc2198214"/>
      <w:bookmarkStart w:id="21799" w:name="_Toc19391714"/>
      <w:bookmarkStart w:id="21800" w:name="_Toc19395211"/>
      <w:r>
        <w:rPr>
          <w:rFonts w:hint="cs"/>
          <w:rtl/>
        </w:rPr>
        <w:t>דברי הראבי"ה דהיתר כל בבהמה מתיר רק שחיטה והחלב מותר מאשם והגיד חשיב כבשר</w:t>
      </w:r>
      <w:bookmarkEnd w:id="21797"/>
      <w:bookmarkEnd w:id="21798"/>
      <w:bookmarkEnd w:id="21799"/>
      <w:bookmarkEnd w:id="21800"/>
    </w:p>
    <w:p w14:paraId="06FC7656" w14:textId="77777777" w:rsidR="003D504D" w:rsidRDefault="003D504D" w:rsidP="00223668">
      <w:pPr>
        <w:pStyle w:val="a0"/>
        <w:rPr>
          <w:rtl/>
        </w:rPr>
      </w:pPr>
      <w:bookmarkStart w:id="21801" w:name="_Ref2186398"/>
      <w:bookmarkStart w:id="21802" w:name="_Ref2159592"/>
      <w:bookmarkStart w:id="21803" w:name="_Ref2185901"/>
      <w:r w:rsidRPr="002A56BB">
        <w:rPr>
          <w:rFonts w:hint="cs"/>
          <w:rtl/>
        </w:rPr>
        <w:t xml:space="preserve">כתב </w:t>
      </w:r>
      <w:r w:rsidRPr="002A56BB">
        <w:rPr>
          <w:rFonts w:hint="cs"/>
          <w:b/>
          <w:bCs/>
          <w:rtl/>
        </w:rPr>
        <w:t>הראבי"ה</w:t>
      </w:r>
      <w:r w:rsidRPr="002A56BB">
        <w:rPr>
          <w:rStyle w:val="af7"/>
          <w:rFonts w:eastAsia="Guttman Hodes" w:hint="cs"/>
          <w:rtl/>
        </w:rPr>
        <w:t xml:space="preserve"> (אלף צ"ו ד"ה ואני קיבלתי</w:t>
      </w:r>
      <w:bookmarkStart w:id="21804" w:name="_Ref2186119"/>
      <w:r w:rsidRPr="002A56BB">
        <w:rPr>
          <w:rStyle w:val="af1"/>
          <w:rtl/>
        </w:rPr>
        <w:footnoteReference w:id="125"/>
      </w:r>
      <w:bookmarkEnd w:id="21804"/>
      <w:r w:rsidRPr="002A56BB">
        <w:rPr>
          <w:rStyle w:val="af7"/>
          <w:rFonts w:eastAsia="Guttman Hodes" w:hint="cs"/>
          <w:rtl/>
        </w:rPr>
        <w:t>)</w:t>
      </w:r>
      <w:r w:rsidRPr="002A56BB">
        <w:rPr>
          <w:rFonts w:hint="cs"/>
          <w:rtl/>
        </w:rPr>
        <w:t xml:space="preserve"> דהיתר "כל בבהמה תאכלו", נאמר רק לענין שחיטה, שהוא מותר בלא שחיטה, אך אינו היתר לאוכלו אם העובר עצמו טריפה, וכן אינו מתיר את דמו, והא דהחלב מותר הוא מילפותא "דאשם מוצא מכלל שליל"</w:t>
      </w:r>
      <w:r>
        <w:rPr>
          <w:rFonts w:hint="cs"/>
          <w:rtl/>
        </w:rPr>
        <w:t>,</w:t>
      </w:r>
      <w:r w:rsidRPr="00833953">
        <w:rPr>
          <w:rFonts w:hint="cs"/>
          <w:rtl/>
        </w:rPr>
        <w:t xml:space="preserve"> </w:t>
      </w:r>
      <w:r>
        <w:rPr>
          <w:rFonts w:hint="cs"/>
          <w:rtl/>
        </w:rPr>
        <w:t xml:space="preserve">וע"ע במה שביאר </w:t>
      </w:r>
      <w:r w:rsidRPr="00632CCB">
        <w:rPr>
          <w:rStyle w:val="af9"/>
          <w:rFonts w:hint="cs"/>
          <w:rtl/>
        </w:rPr>
        <w:t>הבכור שור</w:t>
      </w:r>
      <w:r>
        <w:rPr>
          <w:rFonts w:hint="cs"/>
          <w:rtl/>
        </w:rPr>
        <w:t xml:space="preserve"> </w:t>
      </w:r>
      <w:r w:rsidRPr="00632CCB">
        <w:rPr>
          <w:rStyle w:val="af7"/>
          <w:rFonts w:eastAsia="Guttman Hodes" w:hint="cs"/>
          <w:rtl/>
        </w:rPr>
        <w:t xml:space="preserve">(עי' אות </w:t>
      </w:r>
      <w:r w:rsidRPr="00632CCB">
        <w:rPr>
          <w:rStyle w:val="af7"/>
          <w:rFonts w:eastAsia="Guttman Hodes"/>
          <w:rtl/>
        </w:rPr>
        <w:fldChar w:fldCharType="begin"/>
      </w:r>
      <w:r w:rsidRPr="00632CCB">
        <w:rPr>
          <w:rStyle w:val="af7"/>
          <w:rFonts w:eastAsia="Guttman Hodes"/>
          <w:rtl/>
        </w:rPr>
        <w:instrText xml:space="preserve"> </w:instrText>
      </w:r>
      <w:r w:rsidRPr="00632CCB">
        <w:rPr>
          <w:rStyle w:val="af7"/>
          <w:rFonts w:eastAsia="Guttman Hodes" w:hint="cs"/>
        </w:rPr>
        <w:instrText>REF</w:instrText>
      </w:r>
      <w:r w:rsidRPr="00632CCB">
        <w:rPr>
          <w:rStyle w:val="af7"/>
          <w:rFonts w:eastAsia="Guttman Hodes" w:hint="cs"/>
          <w:rtl/>
        </w:rPr>
        <w:instrText xml:space="preserve"> _</w:instrText>
      </w:r>
      <w:r w:rsidRPr="00632CCB">
        <w:rPr>
          <w:rStyle w:val="af7"/>
          <w:rFonts w:eastAsia="Guttman Hodes" w:hint="cs"/>
        </w:rPr>
        <w:instrText>Ref2185566 \r \h</w:instrText>
      </w:r>
      <w:r w:rsidRPr="00632CCB">
        <w:rPr>
          <w:rStyle w:val="af7"/>
          <w:rFonts w:eastAsia="Guttman Hodes"/>
          <w:rtl/>
        </w:rPr>
        <w:instrText xml:space="preserve"> </w:instrText>
      </w:r>
      <w:r w:rsidRPr="00632CCB">
        <w:rPr>
          <w:rStyle w:val="af7"/>
          <w:rFonts w:eastAsia="Guttman Hodes"/>
          <w:rtl/>
        </w:rPr>
      </w:r>
      <w:r w:rsidRPr="00632CCB">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632CCB">
        <w:rPr>
          <w:rStyle w:val="af7"/>
          <w:rFonts w:eastAsia="Guttman Hodes"/>
          <w:rtl/>
        </w:rPr>
        <w:fldChar w:fldCharType="end"/>
      </w:r>
      <w:r>
        <w:rPr>
          <w:rFonts w:hint="cs"/>
          <w:rtl/>
        </w:rPr>
        <w:t xml:space="preserve"> בדברי </w:t>
      </w:r>
      <w:r w:rsidRPr="00632CCB">
        <w:rPr>
          <w:rStyle w:val="af9"/>
          <w:rFonts w:hint="cs"/>
          <w:rtl/>
        </w:rPr>
        <w:t>הראבי"ה</w:t>
      </w:r>
      <w:r>
        <w:rPr>
          <w:rFonts w:hint="cs"/>
          <w:rtl/>
        </w:rPr>
        <w:t xml:space="preserve">, ובמה שביאר </w:t>
      </w:r>
      <w:r w:rsidRPr="007C06ED">
        <w:rPr>
          <w:rStyle w:val="af9"/>
          <w:rFonts w:hint="cs"/>
          <w:rtl/>
        </w:rPr>
        <w:t>הנאות יעקב</w:t>
      </w:r>
      <w:r w:rsidRPr="007C06ED">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Ref2185822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טז)</w:t>
      </w:r>
      <w:r>
        <w:rPr>
          <w:rStyle w:val="af7"/>
          <w:rFonts w:eastAsia="Guttman Hodes"/>
          <w:rtl/>
        </w:rPr>
        <w:fldChar w:fldCharType="end"/>
      </w:r>
      <w:r w:rsidRPr="007C06ED">
        <w:rPr>
          <w:rStyle w:val="af7"/>
          <w:rFonts w:eastAsia="Guttman Hodes" w:hint="cs"/>
          <w:rtl/>
        </w:rPr>
        <w:t xml:space="preserve"> </w:t>
      </w:r>
      <w:r>
        <w:rPr>
          <w:rFonts w:hint="cs"/>
          <w:rtl/>
        </w:rPr>
        <w:t>בדברי</w:t>
      </w:r>
      <w:r w:rsidRPr="007C06ED">
        <w:rPr>
          <w:rFonts w:hint="cs"/>
          <w:rtl/>
        </w:rPr>
        <w:t xml:space="preserve"> </w:t>
      </w:r>
      <w:r w:rsidRPr="007C06ED">
        <w:rPr>
          <w:rStyle w:val="af9"/>
          <w:rFonts w:hint="cs"/>
          <w:rtl/>
        </w:rPr>
        <w:t>הראבי"ה</w:t>
      </w:r>
      <w:r>
        <w:rPr>
          <w:rFonts w:hint="cs"/>
          <w:rtl/>
        </w:rPr>
        <w:t>.</w:t>
      </w:r>
      <w:bookmarkEnd w:id="21801"/>
    </w:p>
    <w:p w14:paraId="1E54762E" w14:textId="77777777" w:rsidR="003D504D" w:rsidRDefault="003D504D" w:rsidP="00BF39B2">
      <w:pPr>
        <w:pStyle w:val="1"/>
        <w:rPr>
          <w:rtl/>
        </w:rPr>
      </w:pPr>
      <w:bookmarkStart w:id="21805" w:name="_Toc2187285"/>
      <w:bookmarkStart w:id="21806" w:name="_Toc2198215"/>
      <w:bookmarkStart w:id="21807" w:name="_Toc19391715"/>
      <w:bookmarkStart w:id="21808" w:name="_Toc19395212"/>
      <w:bookmarkStart w:id="21809" w:name="_Toc2164513"/>
      <w:r>
        <w:rPr>
          <w:rFonts w:hint="cs"/>
          <w:rtl/>
        </w:rPr>
        <w:t>בהיתר גיד הנשה בבן פקועה לדעת רש"י</w:t>
      </w:r>
      <w:bookmarkEnd w:id="21805"/>
      <w:bookmarkEnd w:id="21806"/>
      <w:bookmarkEnd w:id="21807"/>
      <w:bookmarkEnd w:id="21808"/>
    </w:p>
    <w:p w14:paraId="294695FF" w14:textId="77777777" w:rsidR="003D504D" w:rsidRPr="00635A08" w:rsidRDefault="003D504D" w:rsidP="003D504D">
      <w:pPr>
        <w:pStyle w:val="a3"/>
        <w:rPr>
          <w:rtl/>
        </w:rPr>
      </w:pPr>
      <w:bookmarkStart w:id="21810" w:name="_Toc2187286"/>
      <w:bookmarkStart w:id="21811" w:name="_Toc2198216"/>
      <w:bookmarkStart w:id="21812" w:name="_Toc19391716"/>
      <w:bookmarkStart w:id="21813" w:name="_Toc19395213"/>
      <w:r>
        <w:rPr>
          <w:rFonts w:hint="cs"/>
          <w:rtl/>
        </w:rPr>
        <w:t>קושית הר"ן על רש"י דאי היתר החלב הוא מהילפותא מאשם אמאי הגיד מותר</w:t>
      </w:r>
      <w:bookmarkEnd w:id="21809"/>
      <w:bookmarkEnd w:id="21810"/>
      <w:bookmarkEnd w:id="21811"/>
      <w:bookmarkEnd w:id="21812"/>
      <w:bookmarkEnd w:id="21813"/>
    </w:p>
    <w:p w14:paraId="13F51A37" w14:textId="77777777" w:rsidR="003D504D" w:rsidRPr="002A56BB" w:rsidRDefault="003D504D" w:rsidP="00223668">
      <w:pPr>
        <w:pStyle w:val="a0"/>
        <w:rPr>
          <w:rtl/>
        </w:rPr>
      </w:pPr>
      <w:bookmarkStart w:id="21814" w:name="_Ref2185911"/>
      <w:r w:rsidRPr="002A56BB">
        <w:rPr>
          <w:rFonts w:hint="cs"/>
          <w:rtl/>
        </w:rPr>
        <w:t xml:space="preserve">הקשה </w:t>
      </w:r>
      <w:r w:rsidRPr="002A56BB">
        <w:rPr>
          <w:rStyle w:val="af9"/>
          <w:rFonts w:hint="cs"/>
          <w:rtl/>
        </w:rPr>
        <w:t>הר"ן בחי'</w:t>
      </w:r>
      <w:r w:rsidRPr="002A56BB">
        <w:rPr>
          <w:rFonts w:hint="cs"/>
          <w:rtl/>
        </w:rPr>
        <w:t xml:space="preserve"> </w:t>
      </w:r>
      <w:r w:rsidRPr="002A56BB">
        <w:rPr>
          <w:rStyle w:val="af7"/>
          <w:rFonts w:eastAsia="Guttman Hodes" w:hint="cs"/>
          <w:rtl/>
        </w:rPr>
        <w:t>(ד"ה השוחט)</w:t>
      </w:r>
      <w:r w:rsidRPr="002A56BB">
        <w:rPr>
          <w:rFonts w:hint="cs"/>
          <w:rtl/>
        </w:rPr>
        <w:t xml:space="preserve"> על </w:t>
      </w:r>
      <w:r w:rsidRPr="002A56BB">
        <w:rPr>
          <w:rStyle w:val="af9"/>
          <w:rFonts w:hint="cs"/>
          <w:rtl/>
        </w:rPr>
        <w:t>רש"י</w:t>
      </w:r>
      <w:r w:rsidRPr="002A56BB">
        <w:rPr>
          <w:rFonts w:hint="cs"/>
          <w:rtl/>
        </w:rPr>
        <w:t xml:space="preserve"> </w:t>
      </w:r>
      <w:r w:rsidRPr="00635A08">
        <w:rPr>
          <w:rStyle w:val="af7"/>
          <w:rFonts w:eastAsia="Guttman Hodes" w:hint="cs"/>
          <w:rtl/>
        </w:rPr>
        <w:t xml:space="preserve">(עי' אות </w:t>
      </w:r>
      <w:r w:rsidRPr="00635A08">
        <w:rPr>
          <w:rStyle w:val="af7"/>
          <w:rFonts w:eastAsia="Guttman Hodes"/>
          <w:rtl/>
        </w:rPr>
        <w:fldChar w:fldCharType="begin"/>
      </w:r>
      <w:r w:rsidRPr="00635A08">
        <w:rPr>
          <w:rStyle w:val="af7"/>
          <w:rFonts w:eastAsia="Guttman Hodes"/>
          <w:rtl/>
        </w:rPr>
        <w:instrText xml:space="preserve"> </w:instrText>
      </w:r>
      <w:r w:rsidRPr="00635A08">
        <w:rPr>
          <w:rStyle w:val="af7"/>
          <w:rFonts w:eastAsia="Guttman Hodes" w:hint="cs"/>
        </w:rPr>
        <w:instrText>REF</w:instrText>
      </w:r>
      <w:r w:rsidRPr="00635A08">
        <w:rPr>
          <w:rStyle w:val="af7"/>
          <w:rFonts w:eastAsia="Guttman Hodes" w:hint="cs"/>
          <w:rtl/>
        </w:rPr>
        <w:instrText xml:space="preserve"> _</w:instrText>
      </w:r>
      <w:r w:rsidRPr="00635A08">
        <w:rPr>
          <w:rStyle w:val="af7"/>
          <w:rFonts w:eastAsia="Guttman Hodes" w:hint="cs"/>
        </w:rPr>
        <w:instrText>Ref2109210 \r \h</w:instrText>
      </w:r>
      <w:r w:rsidRPr="00635A08">
        <w:rPr>
          <w:rStyle w:val="af7"/>
          <w:rFonts w:eastAsia="Guttman Hodes"/>
          <w:rtl/>
        </w:rPr>
        <w:instrText xml:space="preserve"> </w:instrText>
      </w:r>
      <w:r w:rsidRPr="00635A08">
        <w:rPr>
          <w:rStyle w:val="af7"/>
          <w:rFonts w:eastAsia="Guttman Hodes"/>
          <w:rtl/>
        </w:rPr>
      </w:r>
      <w:r w:rsidRPr="00635A08">
        <w:rPr>
          <w:rStyle w:val="af7"/>
          <w:rFonts w:eastAsia="Guttman Hodes"/>
          <w:rtl/>
        </w:rPr>
        <w:fldChar w:fldCharType="separate"/>
      </w:r>
      <w:r w:rsidR="00345400">
        <w:rPr>
          <w:rStyle w:val="af7"/>
          <w:rFonts w:eastAsia="Guttman Hodes"/>
          <w:cs/>
        </w:rPr>
        <w:t>‎</w:t>
      </w:r>
      <w:r w:rsidR="00345400">
        <w:rPr>
          <w:rStyle w:val="af7"/>
          <w:rFonts w:eastAsia="Guttman Hodes"/>
          <w:rtl/>
        </w:rPr>
        <w:t>מב)</w:t>
      </w:r>
      <w:r w:rsidRPr="00635A08">
        <w:rPr>
          <w:rStyle w:val="af7"/>
          <w:rFonts w:eastAsia="Guttman Hodes"/>
          <w:rtl/>
        </w:rPr>
        <w:fldChar w:fldCharType="end"/>
      </w:r>
      <w:r>
        <w:rPr>
          <w:rFonts w:hint="cs"/>
          <w:rtl/>
        </w:rPr>
        <w:t xml:space="preserve"> </w:t>
      </w:r>
      <w:r w:rsidRPr="002A56BB">
        <w:rPr>
          <w:rFonts w:hint="cs"/>
          <w:rtl/>
        </w:rPr>
        <w:t>דאי ההיתר בחלב הוא מהילפותא "דאשם מוצא מכלל שליל", א"כ אמאי הגיד הנשה של השליל מותר.</w:t>
      </w:r>
      <w:bookmarkEnd w:id="21814"/>
    </w:p>
    <w:p w14:paraId="3CFB5F26" w14:textId="77777777" w:rsidR="003D504D" w:rsidRPr="00833953" w:rsidRDefault="003D504D" w:rsidP="003D504D">
      <w:pPr>
        <w:pStyle w:val="a3"/>
      </w:pPr>
      <w:bookmarkStart w:id="21815" w:name="_Toc2187287"/>
      <w:bookmarkStart w:id="21816" w:name="_Toc2198217"/>
      <w:bookmarkStart w:id="21817" w:name="_Toc19391717"/>
      <w:bookmarkStart w:id="21818" w:name="_Toc19395214"/>
      <w:r>
        <w:rPr>
          <w:rFonts w:hint="cs"/>
          <w:rtl/>
        </w:rPr>
        <w:t>ביאור האו"ז דהגיד  מותר דאינו כבהמה וביאור הראבי"ה דהגיד מותר דהוא כבשר</w:t>
      </w:r>
      <w:bookmarkEnd w:id="21815"/>
      <w:bookmarkEnd w:id="21816"/>
      <w:bookmarkEnd w:id="21817"/>
      <w:bookmarkEnd w:id="21818"/>
    </w:p>
    <w:p w14:paraId="127E089D" w14:textId="77777777" w:rsidR="003D504D" w:rsidRPr="002A56BB" w:rsidRDefault="003D504D" w:rsidP="00223668">
      <w:pPr>
        <w:pStyle w:val="a0"/>
        <w:rPr>
          <w:rtl/>
        </w:rPr>
      </w:pPr>
      <w:r w:rsidRPr="00833953">
        <w:rPr>
          <w:rStyle w:val="af9"/>
          <w:rFonts w:hint="cs"/>
          <w:rtl/>
        </w:rPr>
        <w:t>ובאו"ז</w:t>
      </w:r>
      <w:r w:rsidRPr="00186DA3">
        <w:rPr>
          <w:rFonts w:hint="cs"/>
          <w:rtl/>
        </w:rPr>
        <w:t xml:space="preserve"> </w:t>
      </w:r>
      <w:r w:rsidRPr="00833953">
        <w:rPr>
          <w:rStyle w:val="af7"/>
          <w:rFonts w:eastAsia="Guttman Hodes" w:hint="cs"/>
          <w:rtl/>
        </w:rPr>
        <w:t>(סי' תל"ט</w:t>
      </w:r>
      <w:r w:rsidRPr="00435D40">
        <w:rPr>
          <w:vertAlign w:val="superscript"/>
          <w:rtl/>
        </w:rPr>
        <w:fldChar w:fldCharType="begin"/>
      </w:r>
      <w:r w:rsidRPr="00435D40">
        <w:rPr>
          <w:vertAlign w:val="superscript"/>
          <w:rtl/>
        </w:rPr>
        <w:instrText xml:space="preserve"> </w:instrText>
      </w:r>
      <w:r w:rsidRPr="00435D40">
        <w:rPr>
          <w:rFonts w:hint="cs"/>
          <w:vertAlign w:val="superscript"/>
        </w:rPr>
        <w:instrText>NOTEREF</w:instrText>
      </w:r>
      <w:r w:rsidRPr="00435D40">
        <w:rPr>
          <w:rFonts w:hint="cs"/>
          <w:vertAlign w:val="superscript"/>
          <w:rtl/>
        </w:rPr>
        <w:instrText xml:space="preserve"> _</w:instrText>
      </w:r>
      <w:r w:rsidRPr="00435D40">
        <w:rPr>
          <w:rFonts w:hint="cs"/>
          <w:vertAlign w:val="superscript"/>
        </w:rPr>
        <w:instrText>Ref2186119 \h</w:instrText>
      </w:r>
      <w:r w:rsidRPr="00435D40">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35D40">
        <w:rPr>
          <w:vertAlign w:val="superscript"/>
          <w:rtl/>
        </w:rPr>
      </w:r>
      <w:r w:rsidRPr="00435D40">
        <w:rPr>
          <w:vertAlign w:val="superscript"/>
          <w:rtl/>
        </w:rPr>
        <w:fldChar w:fldCharType="separate"/>
      </w:r>
      <w:r w:rsidR="00345400">
        <w:rPr>
          <w:vertAlign w:val="superscript"/>
          <w:rtl/>
        </w:rPr>
        <w:t>125</w:t>
      </w:r>
      <w:r w:rsidRPr="00435D40">
        <w:rPr>
          <w:vertAlign w:val="superscript"/>
          <w:rtl/>
        </w:rPr>
        <w:fldChar w:fldCharType="end"/>
      </w:r>
      <w:r w:rsidRPr="00833953">
        <w:rPr>
          <w:rStyle w:val="af7"/>
          <w:rFonts w:eastAsia="Guttman Hodes" w:hint="cs"/>
          <w:rtl/>
        </w:rPr>
        <w:t>)</w:t>
      </w:r>
      <w:r w:rsidRPr="00435D40">
        <w:rPr>
          <w:rStyle w:val="af7"/>
          <w:rFonts w:eastAsia="Guttman Hodes" w:hint="cs"/>
          <w:rtl/>
        </w:rPr>
        <w:t xml:space="preserve"> </w:t>
      </w:r>
      <w:r w:rsidRPr="00186DA3">
        <w:rPr>
          <w:rFonts w:hint="cs"/>
          <w:rtl/>
        </w:rPr>
        <w:t xml:space="preserve">העתיק את דברי </w:t>
      </w:r>
      <w:r w:rsidRPr="00833953">
        <w:rPr>
          <w:rStyle w:val="af9"/>
          <w:rFonts w:hint="cs"/>
          <w:rtl/>
        </w:rPr>
        <w:t>רש"י</w:t>
      </w:r>
      <w:r w:rsidRPr="00186DA3">
        <w:rPr>
          <w:rFonts w:hint="cs"/>
          <w:rtl/>
        </w:rPr>
        <w:t xml:space="preserve"> </w:t>
      </w:r>
      <w:r w:rsidRPr="00833953">
        <w:rPr>
          <w:rStyle w:val="af7"/>
          <w:rFonts w:eastAsia="Guttman Hodes" w:hint="cs"/>
          <w:rtl/>
        </w:rPr>
        <w:t xml:space="preserve">(עי' אות </w:t>
      </w:r>
      <w:r w:rsidRPr="00833953">
        <w:rPr>
          <w:rStyle w:val="af7"/>
          <w:rFonts w:eastAsia="Guttman Hodes"/>
          <w:rtl/>
        </w:rPr>
        <w:fldChar w:fldCharType="begin"/>
      </w:r>
      <w:r w:rsidRPr="00833953">
        <w:rPr>
          <w:rStyle w:val="af7"/>
          <w:rFonts w:eastAsia="Guttman Hodes"/>
          <w:rtl/>
        </w:rPr>
        <w:instrText xml:space="preserve"> </w:instrText>
      </w:r>
      <w:r w:rsidRPr="00833953">
        <w:rPr>
          <w:rStyle w:val="af7"/>
          <w:rFonts w:eastAsia="Guttman Hodes" w:hint="cs"/>
        </w:rPr>
        <w:instrText>REF</w:instrText>
      </w:r>
      <w:r w:rsidRPr="00833953">
        <w:rPr>
          <w:rStyle w:val="af7"/>
          <w:rFonts w:eastAsia="Guttman Hodes" w:hint="cs"/>
          <w:rtl/>
        </w:rPr>
        <w:instrText xml:space="preserve"> _</w:instrText>
      </w:r>
      <w:r w:rsidRPr="00833953">
        <w:rPr>
          <w:rStyle w:val="af7"/>
          <w:rFonts w:eastAsia="Guttman Hodes" w:hint="cs"/>
        </w:rPr>
        <w:instrText>Ref2109210 \r \h</w:instrText>
      </w:r>
      <w:r w:rsidRPr="00833953">
        <w:rPr>
          <w:rStyle w:val="af7"/>
          <w:rFonts w:eastAsia="Guttman Hodes"/>
          <w:rtl/>
        </w:rPr>
        <w:instrText xml:space="preserve"> </w:instrText>
      </w:r>
      <w:r w:rsidRPr="00833953">
        <w:rPr>
          <w:rStyle w:val="af7"/>
          <w:rFonts w:eastAsia="Guttman Hodes"/>
          <w:rtl/>
        </w:rPr>
      </w:r>
      <w:r w:rsidRPr="00833953">
        <w:rPr>
          <w:rStyle w:val="af7"/>
          <w:rFonts w:eastAsia="Guttman Hodes"/>
          <w:rtl/>
        </w:rPr>
        <w:fldChar w:fldCharType="separate"/>
      </w:r>
      <w:r w:rsidR="00345400">
        <w:rPr>
          <w:rStyle w:val="af7"/>
          <w:rFonts w:eastAsia="Guttman Hodes"/>
          <w:cs/>
        </w:rPr>
        <w:t>‎</w:t>
      </w:r>
      <w:r w:rsidR="00345400">
        <w:rPr>
          <w:rStyle w:val="af7"/>
          <w:rFonts w:eastAsia="Guttman Hodes"/>
          <w:rtl/>
        </w:rPr>
        <w:t>מב)</w:t>
      </w:r>
      <w:r w:rsidRPr="00833953">
        <w:rPr>
          <w:rStyle w:val="af7"/>
          <w:rFonts w:eastAsia="Guttman Hodes"/>
          <w:rtl/>
        </w:rPr>
        <w:fldChar w:fldCharType="end"/>
      </w:r>
      <w:r w:rsidRPr="00186DA3">
        <w:rPr>
          <w:rFonts w:hint="cs"/>
          <w:rtl/>
        </w:rPr>
        <w:t xml:space="preserve"> דהחלב מותר מהילפותא מאשם והדם אסור כדם האברים, והוסיף </w:t>
      </w:r>
      <w:r w:rsidRPr="00833953">
        <w:rPr>
          <w:rStyle w:val="af9"/>
          <w:rFonts w:hint="cs"/>
          <w:rtl/>
        </w:rPr>
        <w:t>האו"ז</w:t>
      </w:r>
      <w:r w:rsidRPr="00186DA3">
        <w:rPr>
          <w:rFonts w:hint="cs"/>
          <w:rtl/>
        </w:rPr>
        <w:t xml:space="preserve"> דמסתבר דגידו מותר </w:t>
      </w:r>
      <w:r>
        <w:rPr>
          <w:rFonts w:hint="cs"/>
          <w:rtl/>
        </w:rPr>
        <w:t xml:space="preserve">כיון </w:t>
      </w:r>
      <w:r w:rsidRPr="00186DA3">
        <w:rPr>
          <w:rFonts w:hint="cs"/>
          <w:rtl/>
        </w:rPr>
        <w:t>ד</w:t>
      </w:r>
      <w:r>
        <w:rPr>
          <w:rFonts w:hint="cs"/>
          <w:rtl/>
        </w:rPr>
        <w:t xml:space="preserve">הבן פקועה </w:t>
      </w:r>
      <w:r w:rsidRPr="00186DA3">
        <w:rPr>
          <w:rFonts w:hint="cs"/>
          <w:rtl/>
        </w:rPr>
        <w:t>אינו בהמה</w:t>
      </w:r>
      <w:r>
        <w:rPr>
          <w:rFonts w:hint="cs"/>
          <w:rtl/>
        </w:rPr>
        <w:t xml:space="preserve">, </w:t>
      </w:r>
      <w:r>
        <w:rPr>
          <w:rFonts w:hint="cs"/>
          <w:b/>
          <w:bCs/>
          <w:rtl/>
        </w:rPr>
        <w:t>ו</w:t>
      </w:r>
      <w:r w:rsidRPr="002A56BB">
        <w:rPr>
          <w:rFonts w:hint="cs"/>
          <w:b/>
          <w:bCs/>
          <w:rtl/>
        </w:rPr>
        <w:t>הראבי"ה</w:t>
      </w:r>
      <w:r w:rsidRPr="002A56BB">
        <w:rPr>
          <w:rStyle w:val="af7"/>
          <w:rFonts w:eastAsia="Guttman Hode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Ref2186398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מז)</w:t>
      </w:r>
      <w:r>
        <w:rPr>
          <w:rStyle w:val="af7"/>
          <w:rFonts w:eastAsia="Guttman Hodes"/>
          <w:rtl/>
        </w:rPr>
        <w:fldChar w:fldCharType="end"/>
      </w:r>
      <w:r>
        <w:rPr>
          <w:rStyle w:val="af7"/>
          <w:rFonts w:eastAsia="Guttman Hodes" w:hint="cs"/>
          <w:rtl/>
        </w:rPr>
        <w:t xml:space="preserve"> </w:t>
      </w:r>
      <w:r>
        <w:rPr>
          <w:rFonts w:hint="cs"/>
          <w:rtl/>
        </w:rPr>
        <w:t xml:space="preserve">דכתב דהיתר "כל בבהמה תאכלו" מהני רק לענין שחיטה, ולא לחלב ודם,, הוסיף </w:t>
      </w:r>
      <w:r w:rsidRPr="002A56BB">
        <w:rPr>
          <w:rFonts w:hint="cs"/>
          <w:b/>
          <w:bCs/>
          <w:rtl/>
        </w:rPr>
        <w:t>הראבי"ה</w:t>
      </w:r>
      <w:r>
        <w:rPr>
          <w:rFonts w:hint="cs"/>
          <w:rtl/>
        </w:rPr>
        <w:t xml:space="preserve"> לבאר </w:t>
      </w:r>
      <w:r w:rsidRPr="002A56BB">
        <w:rPr>
          <w:rFonts w:hint="cs"/>
          <w:rtl/>
        </w:rPr>
        <w:t>ד</w:t>
      </w:r>
      <w:r>
        <w:rPr>
          <w:rFonts w:hint="cs"/>
          <w:rtl/>
        </w:rPr>
        <w:t xml:space="preserve">ההיתר בגיד הוא </w:t>
      </w:r>
      <w:r w:rsidRPr="002A56BB">
        <w:rPr>
          <w:rFonts w:hint="cs"/>
          <w:rtl/>
        </w:rPr>
        <w:t>חשיב כבשר, ובשרו מותר מהיתר "כל בבהמה תאכלו".</w:t>
      </w:r>
      <w:bookmarkEnd w:id="21802"/>
      <w:bookmarkEnd w:id="21803"/>
    </w:p>
    <w:p w14:paraId="081D3C11" w14:textId="77777777" w:rsidR="003D504D" w:rsidRDefault="003D504D" w:rsidP="00BF39B2">
      <w:pPr>
        <w:pStyle w:val="1"/>
        <w:rPr>
          <w:rtl/>
        </w:rPr>
      </w:pPr>
      <w:bookmarkStart w:id="21819" w:name="_Toc2164512"/>
      <w:bookmarkStart w:id="21820" w:name="_Toc2187288"/>
      <w:bookmarkStart w:id="21821" w:name="_Toc2198218"/>
      <w:bookmarkStart w:id="21822" w:name="_Toc19391718"/>
      <w:bookmarkStart w:id="21823" w:name="_Toc19395215"/>
      <w:r>
        <w:rPr>
          <w:rFonts w:hint="cs"/>
          <w:rtl/>
        </w:rPr>
        <w:t>ביאור הר"ן והריטב"א דהדם אינו בכלל ההיתר דהוא משקה</w:t>
      </w:r>
      <w:bookmarkEnd w:id="21819"/>
      <w:bookmarkEnd w:id="21820"/>
      <w:bookmarkEnd w:id="21821"/>
      <w:bookmarkEnd w:id="21822"/>
      <w:bookmarkEnd w:id="21823"/>
    </w:p>
    <w:p w14:paraId="64960129" w14:textId="77777777" w:rsidR="003D504D" w:rsidRPr="002A56BB" w:rsidRDefault="003D504D" w:rsidP="003D504D">
      <w:pPr>
        <w:pStyle w:val="a3"/>
        <w:rPr>
          <w:rtl/>
        </w:rPr>
      </w:pPr>
      <w:bookmarkStart w:id="21824" w:name="_Toc2164514"/>
      <w:bookmarkStart w:id="21825" w:name="_Toc2187289"/>
      <w:bookmarkStart w:id="21826" w:name="_Toc2198219"/>
      <w:bookmarkStart w:id="21827" w:name="_Toc19391719"/>
      <w:bookmarkStart w:id="21828" w:name="_Toc19395216"/>
      <w:r>
        <w:rPr>
          <w:rFonts w:hint="cs"/>
          <w:rtl/>
        </w:rPr>
        <w:t>ביאור הר"ן דהילפותא מאשם היא בחלב שנתלש אבל בבן פקועה החלב בכלל ההיתר שלו</w:t>
      </w:r>
      <w:bookmarkEnd w:id="21824"/>
      <w:bookmarkEnd w:id="21825"/>
      <w:bookmarkEnd w:id="21826"/>
      <w:bookmarkEnd w:id="21827"/>
      <w:bookmarkEnd w:id="21828"/>
    </w:p>
    <w:p w14:paraId="69B76971" w14:textId="77777777" w:rsidR="003D504D" w:rsidRPr="002A56BB" w:rsidRDefault="003D504D" w:rsidP="00223668">
      <w:pPr>
        <w:pStyle w:val="a0"/>
        <w:rPr>
          <w:rtl/>
        </w:rPr>
      </w:pPr>
      <w:r>
        <w:rPr>
          <w:rStyle w:val="af9"/>
          <w:rFonts w:hint="cs"/>
          <w:rtl/>
        </w:rPr>
        <w:t>ו</w:t>
      </w:r>
      <w:r w:rsidRPr="002A56BB">
        <w:rPr>
          <w:rStyle w:val="af9"/>
          <w:rFonts w:hint="cs"/>
          <w:rtl/>
        </w:rPr>
        <w:t>הר"ן בחי'</w:t>
      </w:r>
      <w:r w:rsidRPr="002A56BB">
        <w:rPr>
          <w:rFonts w:hint="cs"/>
          <w:rtl/>
        </w:rPr>
        <w:t xml:space="preserve"> </w:t>
      </w:r>
      <w:r w:rsidRPr="002A56BB">
        <w:rPr>
          <w:rStyle w:val="af7"/>
          <w:rFonts w:eastAsia="Guttman Hodes" w:hint="cs"/>
          <w:rtl/>
        </w:rPr>
        <w:t>(ד"ה השוחט)</w:t>
      </w:r>
      <w:r w:rsidRPr="002A56BB">
        <w:rPr>
          <w:rFonts w:hint="cs"/>
          <w:rtl/>
        </w:rPr>
        <w:t xml:space="preserve"> </w:t>
      </w:r>
      <w:r>
        <w:rPr>
          <w:rFonts w:hint="cs"/>
          <w:rtl/>
        </w:rPr>
        <w:t xml:space="preserve">דחה את ביאור </w:t>
      </w:r>
      <w:r w:rsidRPr="006D0D54">
        <w:rPr>
          <w:rStyle w:val="af9"/>
          <w:rFonts w:hint="cs"/>
          <w:rtl/>
        </w:rPr>
        <w:t>רש"י</w:t>
      </w:r>
      <w:r>
        <w:rPr>
          <w:rFonts w:hint="cs"/>
          <w:rtl/>
        </w:rPr>
        <w:t xml:space="preserve"> </w:t>
      </w:r>
      <w:r w:rsidRPr="006D0D54">
        <w:rPr>
          <w:rStyle w:val="af7"/>
          <w:rFonts w:eastAsia="Guttman Hodes" w:hint="cs"/>
          <w:rtl/>
        </w:rPr>
        <w:t xml:space="preserve">(עי' אות </w:t>
      </w:r>
      <w:r w:rsidRPr="006D0D54">
        <w:rPr>
          <w:rStyle w:val="af7"/>
          <w:rFonts w:eastAsia="Guttman Hodes"/>
          <w:rtl/>
        </w:rPr>
        <w:fldChar w:fldCharType="begin"/>
      </w:r>
      <w:r w:rsidRPr="006D0D54">
        <w:rPr>
          <w:rStyle w:val="af7"/>
          <w:rFonts w:eastAsia="Guttman Hodes"/>
          <w:rtl/>
        </w:rPr>
        <w:instrText xml:space="preserve"> </w:instrText>
      </w:r>
      <w:r w:rsidRPr="006D0D54">
        <w:rPr>
          <w:rStyle w:val="af7"/>
          <w:rFonts w:eastAsia="Guttman Hodes" w:hint="cs"/>
        </w:rPr>
        <w:instrText>REF</w:instrText>
      </w:r>
      <w:r w:rsidRPr="006D0D54">
        <w:rPr>
          <w:rStyle w:val="af7"/>
          <w:rFonts w:eastAsia="Guttman Hodes" w:hint="cs"/>
          <w:rtl/>
        </w:rPr>
        <w:instrText xml:space="preserve"> _</w:instrText>
      </w:r>
      <w:r w:rsidRPr="006D0D54">
        <w:rPr>
          <w:rStyle w:val="af7"/>
          <w:rFonts w:eastAsia="Guttman Hodes" w:hint="cs"/>
        </w:rPr>
        <w:instrText>Ref2109210 \r \h</w:instrText>
      </w:r>
      <w:r w:rsidRPr="006D0D54">
        <w:rPr>
          <w:rStyle w:val="af7"/>
          <w:rFonts w:eastAsia="Guttman Hodes"/>
          <w:rtl/>
        </w:rPr>
        <w:instrText xml:space="preserve"> </w:instrText>
      </w:r>
      <w:r w:rsidRPr="006D0D54">
        <w:rPr>
          <w:rStyle w:val="af7"/>
          <w:rFonts w:eastAsia="Guttman Hodes"/>
          <w:rtl/>
        </w:rPr>
      </w:r>
      <w:r w:rsidRPr="006D0D54">
        <w:rPr>
          <w:rStyle w:val="af7"/>
          <w:rFonts w:eastAsia="Guttman Hodes"/>
          <w:rtl/>
        </w:rPr>
        <w:fldChar w:fldCharType="separate"/>
      </w:r>
      <w:r w:rsidR="00345400">
        <w:rPr>
          <w:rStyle w:val="af7"/>
          <w:rFonts w:eastAsia="Guttman Hodes"/>
          <w:cs/>
        </w:rPr>
        <w:t>‎</w:t>
      </w:r>
      <w:r w:rsidR="00345400">
        <w:rPr>
          <w:rStyle w:val="af7"/>
          <w:rFonts w:eastAsia="Guttman Hodes"/>
          <w:rtl/>
        </w:rPr>
        <w:t>מב)</w:t>
      </w:r>
      <w:r w:rsidRPr="006D0D54">
        <w:rPr>
          <w:rStyle w:val="af7"/>
          <w:rFonts w:eastAsia="Guttman Hodes"/>
          <w:rtl/>
        </w:rPr>
        <w:fldChar w:fldCharType="end"/>
      </w:r>
      <w:r>
        <w:rPr>
          <w:rFonts w:hint="cs"/>
          <w:rtl/>
        </w:rPr>
        <w:t xml:space="preserve"> ו</w:t>
      </w:r>
      <w:r w:rsidRPr="002A56BB">
        <w:rPr>
          <w:rFonts w:hint="cs"/>
          <w:rtl/>
        </w:rPr>
        <w:t xml:space="preserve">כתב </w:t>
      </w:r>
      <w:r w:rsidRPr="002A56BB">
        <w:rPr>
          <w:rStyle w:val="af9"/>
          <w:rFonts w:hint="cs"/>
          <w:rtl/>
        </w:rPr>
        <w:t>הר"ן בחי'</w:t>
      </w:r>
      <w:r w:rsidRPr="002A56BB">
        <w:rPr>
          <w:rFonts w:hint="cs"/>
          <w:rtl/>
        </w:rPr>
        <w:t xml:space="preserve"> דהילפותא "דאשם מוצא מכלל שליל"</w:t>
      </w:r>
      <w:r>
        <w:rPr>
          <w:rFonts w:hint="cs"/>
          <w:rtl/>
        </w:rPr>
        <w:t>,</w:t>
      </w:r>
      <w:r w:rsidRPr="002A56BB">
        <w:rPr>
          <w:rFonts w:hint="cs"/>
          <w:rtl/>
        </w:rPr>
        <w:t xml:space="preserve"> היא להתיר חלב של עובר </w:t>
      </w:r>
      <w:r>
        <w:rPr>
          <w:rFonts w:hint="cs"/>
          <w:rtl/>
        </w:rPr>
        <w:t xml:space="preserve">רק </w:t>
      </w:r>
      <w:r w:rsidRPr="002A56BB">
        <w:rPr>
          <w:rFonts w:hint="cs"/>
          <w:rtl/>
        </w:rPr>
        <w:t>כשלא נשחטה אמו, דהיינו בהושיט ידו למעי בהמה ותלש חלב מהעובר, לדעת ר"ל דאינו אסור באיסור חלב, אבל ההיתר בחלב של בן פקועה הוא מחמת שהותר בשחיטת אמו, מהיתר "כל בבהמה תאכלו".</w:t>
      </w:r>
    </w:p>
    <w:p w14:paraId="3C55154D" w14:textId="77777777" w:rsidR="003D504D" w:rsidRPr="002A56BB" w:rsidRDefault="003D504D" w:rsidP="003D504D">
      <w:pPr>
        <w:pStyle w:val="a3"/>
        <w:rPr>
          <w:rtl/>
        </w:rPr>
      </w:pPr>
      <w:bookmarkStart w:id="21829" w:name="_Toc2164515"/>
      <w:bookmarkStart w:id="21830" w:name="_Toc2187290"/>
      <w:bookmarkStart w:id="21831" w:name="_Toc2198220"/>
      <w:bookmarkStart w:id="21832" w:name="_Toc19391720"/>
      <w:bookmarkStart w:id="21833" w:name="_Toc19395217"/>
      <w:r>
        <w:rPr>
          <w:rFonts w:hint="cs"/>
          <w:rtl/>
        </w:rPr>
        <w:t>קושית הר"ן דאי החלב הוא בכלל ההיתר של הבן פקועה אמאי דמו אסור</w:t>
      </w:r>
      <w:bookmarkEnd w:id="21829"/>
      <w:bookmarkEnd w:id="21830"/>
      <w:bookmarkEnd w:id="21831"/>
      <w:bookmarkEnd w:id="21832"/>
      <w:bookmarkEnd w:id="21833"/>
    </w:p>
    <w:p w14:paraId="271F117A" w14:textId="77777777" w:rsidR="003D504D" w:rsidRPr="002A56BB" w:rsidRDefault="003D504D" w:rsidP="00223668">
      <w:pPr>
        <w:pStyle w:val="a0"/>
        <w:rPr>
          <w:rtl/>
        </w:rPr>
      </w:pPr>
      <w:r w:rsidRPr="002A56BB">
        <w:rPr>
          <w:rFonts w:hint="cs"/>
          <w:rtl/>
        </w:rPr>
        <w:t xml:space="preserve">אך הקשה </w:t>
      </w:r>
      <w:r w:rsidRPr="002A56BB">
        <w:rPr>
          <w:rStyle w:val="af9"/>
          <w:rFonts w:hint="cs"/>
          <w:rtl/>
        </w:rPr>
        <w:t>הר"ן בחי'</w:t>
      </w:r>
      <w:r w:rsidRPr="002A56BB">
        <w:rPr>
          <w:rFonts w:hint="cs"/>
          <w:rtl/>
        </w:rPr>
        <w:t xml:space="preserve"> דא"כ אמאי דמו אסור, ואינו בכלל היתר "כל בבהמה תאכלו".</w:t>
      </w:r>
    </w:p>
    <w:p w14:paraId="6DEE3B60" w14:textId="77777777" w:rsidR="003D504D" w:rsidRPr="002A56BB" w:rsidRDefault="003D504D" w:rsidP="003D504D">
      <w:pPr>
        <w:pStyle w:val="a3"/>
        <w:rPr>
          <w:rtl/>
        </w:rPr>
      </w:pPr>
      <w:bookmarkStart w:id="21834" w:name="_Toc2164516"/>
      <w:bookmarkStart w:id="21835" w:name="_Toc2187291"/>
      <w:bookmarkStart w:id="21836" w:name="_Toc2198221"/>
      <w:bookmarkStart w:id="21837" w:name="_Toc19391721"/>
      <w:bookmarkStart w:id="21838" w:name="_Toc19395218"/>
      <w:r>
        <w:rPr>
          <w:rFonts w:hint="cs"/>
          <w:rtl/>
        </w:rPr>
        <w:t>ביאור הר"ן והריטב"א דהיתר הבן פקועה הוא בדבר שהוא אוכל ולא בדם שהוא משקה</w:t>
      </w:r>
      <w:bookmarkEnd w:id="21834"/>
      <w:bookmarkEnd w:id="21835"/>
      <w:bookmarkEnd w:id="21836"/>
      <w:bookmarkEnd w:id="21837"/>
      <w:bookmarkEnd w:id="21838"/>
    </w:p>
    <w:p w14:paraId="6768CBB5" w14:textId="77777777" w:rsidR="003D504D" w:rsidRDefault="003D504D" w:rsidP="00223668">
      <w:pPr>
        <w:pStyle w:val="a0"/>
        <w:rPr>
          <w:rtl/>
        </w:rPr>
      </w:pPr>
      <w:bookmarkStart w:id="21839" w:name="_Ref1937208"/>
      <w:r w:rsidRPr="002A56BB">
        <w:rPr>
          <w:rFonts w:hint="cs"/>
          <w:rtl/>
        </w:rPr>
        <w:t xml:space="preserve">אלא ביארו </w:t>
      </w:r>
      <w:r w:rsidRPr="002A56BB">
        <w:rPr>
          <w:rStyle w:val="af9"/>
          <w:rFonts w:hint="cs"/>
          <w:rtl/>
        </w:rPr>
        <w:t>הר"ן בחי'</w:t>
      </w:r>
      <w:r w:rsidRPr="002A56BB">
        <w:rPr>
          <w:rFonts w:hint="cs"/>
          <w:rtl/>
        </w:rPr>
        <w:t xml:space="preserve"> </w:t>
      </w:r>
      <w:r w:rsidRPr="002A56BB">
        <w:rPr>
          <w:rStyle w:val="af7"/>
          <w:rFonts w:eastAsia="Guttman Hodes" w:hint="cs"/>
          <w:rtl/>
        </w:rPr>
        <w:t>(ד"ה השוחט)</w:t>
      </w:r>
      <w:r w:rsidRPr="002A56BB">
        <w:rPr>
          <w:rFonts w:hint="cs"/>
          <w:rtl/>
        </w:rPr>
        <w:t xml:space="preserve"> </w:t>
      </w:r>
      <w:r w:rsidRPr="002A56BB">
        <w:rPr>
          <w:rStyle w:val="af9"/>
          <w:rFonts w:hint="cs"/>
          <w:rtl/>
        </w:rPr>
        <w:t>ו</w:t>
      </w:r>
      <w:r w:rsidRPr="002A56BB">
        <w:rPr>
          <w:rStyle w:val="af9"/>
          <w:rtl/>
        </w:rPr>
        <w:t>על הרי"ף</w:t>
      </w:r>
      <w:r w:rsidRPr="002A56BB">
        <w:rPr>
          <w:rtl/>
        </w:rPr>
        <w:t xml:space="preserve"> </w:t>
      </w:r>
      <w:r w:rsidRPr="002A56BB">
        <w:rPr>
          <w:rStyle w:val="af7"/>
          <w:rFonts w:eastAsia="Guttman Hodes"/>
          <w:rtl/>
        </w:rPr>
        <w:t>(כה. מדפי הרי"ף ד"ה השוחט)</w:t>
      </w:r>
      <w:r w:rsidRPr="002A56BB">
        <w:rPr>
          <w:rtl/>
        </w:rPr>
        <w:t xml:space="preserve"> </w:t>
      </w:r>
      <w:r w:rsidRPr="002A56BB">
        <w:rPr>
          <w:rStyle w:val="af9"/>
          <w:rtl/>
        </w:rPr>
        <w:t>והריטב"א</w:t>
      </w:r>
      <w:r w:rsidRPr="002A56BB">
        <w:rPr>
          <w:rtl/>
        </w:rPr>
        <w:t xml:space="preserve"> </w:t>
      </w:r>
      <w:r w:rsidRPr="002A56BB">
        <w:rPr>
          <w:rStyle w:val="af7"/>
          <w:rFonts w:eastAsia="Guttman Hodes"/>
          <w:rtl/>
        </w:rPr>
        <w:t>(ד"ה השוחט)</w:t>
      </w:r>
      <w:r w:rsidRPr="002A56BB">
        <w:rPr>
          <w:rtl/>
        </w:rPr>
        <w:t xml:space="preserve"> דהיתר "כל בבהמה תאכלו" היינו בדבר שהוא אוכל כגון חלב וגיד הנשה, כלשון הפסוק "תאכלו", אבל בדם שהוא משקה, אינו נלמד מהיתר "כל בבהמה תאכלו"</w:t>
      </w:r>
      <w:r w:rsidRPr="002A56BB">
        <w:rPr>
          <w:rFonts w:hint="cs"/>
          <w:rtl/>
        </w:rPr>
        <w:t xml:space="preserve">, ולכן </w:t>
      </w:r>
      <w:r w:rsidRPr="002A56BB">
        <w:rPr>
          <w:rtl/>
        </w:rPr>
        <w:t>אף דהחלב של הבן פקועה מותר, מ"מ דמו אסור</w:t>
      </w:r>
      <w:r w:rsidRPr="002A56BB">
        <w:rPr>
          <w:rFonts w:hint="cs"/>
          <w:rtl/>
        </w:rPr>
        <w:t xml:space="preserve">, ועי' בדברי </w:t>
      </w:r>
      <w:r w:rsidRPr="002A56BB">
        <w:rPr>
          <w:rStyle w:val="af9"/>
          <w:rFonts w:hint="cs"/>
          <w:rtl/>
        </w:rPr>
        <w:t>הגרעק"א</w:t>
      </w:r>
      <w:r w:rsidRPr="002A56BB">
        <w:rPr>
          <w:rFonts w:hint="cs"/>
          <w:rtl/>
        </w:rPr>
        <w:t xml:space="preserve"> </w:t>
      </w:r>
      <w:r w:rsidRPr="002A56BB">
        <w:rPr>
          <w:rStyle w:val="af7"/>
          <w:rFonts w:eastAsia="Guttman Hodes" w:hint="cs"/>
          <w:rtl/>
        </w:rPr>
        <w:t>(סי' י"ג על הש"ך סק"ב)</w:t>
      </w:r>
      <w:r w:rsidRPr="002A56BB">
        <w:rPr>
          <w:rFonts w:hint="cs"/>
          <w:rtl/>
        </w:rPr>
        <w:t xml:space="preserve"> במה שהקשה על </w:t>
      </w:r>
      <w:r w:rsidRPr="002A56BB">
        <w:rPr>
          <w:rStyle w:val="af9"/>
          <w:rFonts w:hint="cs"/>
          <w:rtl/>
        </w:rPr>
        <w:t>הר"ן</w:t>
      </w:r>
      <w:r w:rsidRPr="002A56BB">
        <w:rPr>
          <w:rFonts w:hint="cs"/>
          <w:rtl/>
        </w:rPr>
        <w:t xml:space="preserve">, ובמ"ש </w:t>
      </w:r>
      <w:r w:rsidRPr="002A56BB">
        <w:rPr>
          <w:rStyle w:val="af9"/>
          <w:rFonts w:hint="cs"/>
          <w:rtl/>
        </w:rPr>
        <w:t>הנאות יעקב</w:t>
      </w:r>
      <w:r w:rsidRPr="002A56BB">
        <w:rPr>
          <w:rFonts w:hint="cs"/>
          <w:rtl/>
        </w:rPr>
        <w:t xml:space="preserve"> </w:t>
      </w:r>
      <w:r w:rsidRPr="002A56BB">
        <w:rPr>
          <w:rStyle w:val="af7"/>
          <w:rFonts w:eastAsia="Guttman Hodes" w:hint="cs"/>
          <w:rtl/>
        </w:rPr>
        <w:t xml:space="preserve">(סי' כ"ב אות ז' ד"ה ובזה תסור) </w:t>
      </w:r>
      <w:r w:rsidRPr="002A56BB">
        <w:rPr>
          <w:rFonts w:hint="cs"/>
          <w:rtl/>
        </w:rPr>
        <w:t xml:space="preserve">ע"ד </w:t>
      </w:r>
      <w:r w:rsidRPr="002A56BB">
        <w:rPr>
          <w:rStyle w:val="af9"/>
          <w:rFonts w:hint="cs"/>
          <w:rtl/>
        </w:rPr>
        <w:t>הגרעק"א</w:t>
      </w:r>
      <w:r w:rsidRPr="002A56BB">
        <w:rPr>
          <w:rFonts w:hint="cs"/>
          <w:rtl/>
        </w:rPr>
        <w:t xml:space="preserve">, וע"ע במה שביאר </w:t>
      </w:r>
      <w:r w:rsidRPr="002A56BB">
        <w:rPr>
          <w:rStyle w:val="af9"/>
          <w:rFonts w:hint="cs"/>
          <w:rtl/>
        </w:rPr>
        <w:t>האבי עזרי</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Ref1937224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צ)</w:t>
      </w:r>
      <w:r w:rsidRPr="002A56BB">
        <w:rPr>
          <w:rStyle w:val="af7"/>
          <w:rFonts w:eastAsia="Guttman Hodes"/>
          <w:rtl/>
        </w:rPr>
        <w:fldChar w:fldCharType="end"/>
      </w:r>
      <w:r w:rsidRPr="002A56BB">
        <w:rPr>
          <w:rFonts w:hint="cs"/>
          <w:rtl/>
        </w:rPr>
        <w:t>.</w:t>
      </w:r>
      <w:bookmarkEnd w:id="21839"/>
    </w:p>
    <w:p w14:paraId="3A5BC615" w14:textId="77777777" w:rsidR="003D504D" w:rsidRDefault="003D504D" w:rsidP="00BF39B2">
      <w:pPr>
        <w:pStyle w:val="1"/>
        <w:rPr>
          <w:rtl/>
        </w:rPr>
      </w:pPr>
      <w:bookmarkStart w:id="21840" w:name="_Toc2164517"/>
      <w:bookmarkStart w:id="21841" w:name="_Toc2187292"/>
      <w:bookmarkStart w:id="21842" w:name="_Toc2198222"/>
      <w:bookmarkStart w:id="21843" w:name="_Toc19391722"/>
      <w:bookmarkStart w:id="21844" w:name="_Toc19395219"/>
      <w:r>
        <w:rPr>
          <w:rFonts w:hint="cs"/>
          <w:rtl/>
        </w:rPr>
        <w:t>דברי הרא"ש</w:t>
      </w:r>
      <w:bookmarkEnd w:id="21840"/>
      <w:bookmarkEnd w:id="21841"/>
      <w:bookmarkEnd w:id="21842"/>
      <w:r>
        <w:rPr>
          <w:rFonts w:hint="cs"/>
          <w:rtl/>
        </w:rPr>
        <w:t xml:space="preserve"> דהיתר ב"פ מתיר את כל העובר והחלב בכלל</w:t>
      </w:r>
      <w:bookmarkEnd w:id="21843"/>
      <w:bookmarkEnd w:id="21844"/>
    </w:p>
    <w:p w14:paraId="6DCAD99C" w14:textId="77777777" w:rsidR="003D504D" w:rsidRPr="007E11D5" w:rsidRDefault="003D504D" w:rsidP="003D504D">
      <w:pPr>
        <w:pStyle w:val="a3"/>
        <w:rPr>
          <w:rtl/>
        </w:rPr>
      </w:pPr>
      <w:bookmarkStart w:id="21845" w:name="_Toc2164518"/>
      <w:bookmarkStart w:id="21846" w:name="_Toc2187293"/>
      <w:bookmarkStart w:id="21847" w:name="_Toc2198223"/>
      <w:bookmarkStart w:id="21848" w:name="_Toc19391723"/>
      <w:bookmarkStart w:id="21849" w:name="_Toc19395220"/>
      <w:r>
        <w:rPr>
          <w:rFonts w:hint="cs"/>
          <w:rtl/>
        </w:rPr>
        <w:t>קושית הרא"ש דהיאך מתירה שחיטת האם את חלב העובר יותר ממה שמתירה בעצמה</w:t>
      </w:r>
      <w:bookmarkEnd w:id="21845"/>
      <w:bookmarkEnd w:id="21846"/>
      <w:bookmarkEnd w:id="21847"/>
      <w:bookmarkEnd w:id="21848"/>
      <w:bookmarkEnd w:id="21849"/>
    </w:p>
    <w:p w14:paraId="1A0B288A" w14:textId="77777777" w:rsidR="003D504D" w:rsidRPr="002A56BB" w:rsidRDefault="003D504D" w:rsidP="00223668">
      <w:pPr>
        <w:pStyle w:val="a0"/>
        <w:rPr>
          <w:rtl/>
        </w:rPr>
      </w:pPr>
      <w:r w:rsidRPr="002A56BB">
        <w:rPr>
          <w:rFonts w:hint="cs"/>
          <w:rtl/>
        </w:rPr>
        <w:t xml:space="preserve">הקשה </w:t>
      </w:r>
      <w:r w:rsidRPr="002A56BB">
        <w:rPr>
          <w:rStyle w:val="af9"/>
          <w:rFonts w:hint="cs"/>
          <w:rtl/>
        </w:rPr>
        <w:t>הרא"ש</w:t>
      </w:r>
      <w:r w:rsidRPr="002A56BB">
        <w:rPr>
          <w:rFonts w:hint="cs"/>
          <w:rtl/>
        </w:rPr>
        <w:t xml:space="preserve"> </w:t>
      </w:r>
      <w:r w:rsidRPr="002A56BB">
        <w:rPr>
          <w:rStyle w:val="af7"/>
          <w:rFonts w:eastAsia="Guttman Hodes" w:hint="cs"/>
          <w:rtl/>
        </w:rPr>
        <w:t>(סי' ה')</w:t>
      </w:r>
      <w:r w:rsidRPr="002A56BB">
        <w:rPr>
          <w:rFonts w:hint="cs"/>
          <w:rtl/>
        </w:rPr>
        <w:t xml:space="preserve"> דהיאך מותר החלב של העובר בשחיטת האם, לדעת ריו"ח דס"ל לקמן </w:t>
      </w:r>
      <w:r w:rsidRPr="002A56BB">
        <w:rPr>
          <w:rStyle w:val="af7"/>
          <w:rFonts w:eastAsia="Guttman Hodes" w:hint="cs"/>
          <w:rtl/>
        </w:rPr>
        <w:t>(עה.)</w:t>
      </w:r>
      <w:r w:rsidRPr="002A56BB">
        <w:rPr>
          <w:rFonts w:hint="cs"/>
          <w:rtl/>
        </w:rPr>
        <w:t xml:space="preserve"> דחדשים גרמי וחלבו כחלב בהמה, </w:t>
      </w:r>
      <w:r w:rsidRPr="002A56BB">
        <w:rPr>
          <w:rStyle w:val="afb"/>
          <w:rFonts w:hint="cs"/>
          <w:rtl/>
        </w:rPr>
        <w:t>[לענין הושיט ידו למעי בהמה ותלש חלב מהעובר שבמעיה]</w:t>
      </w:r>
      <w:r>
        <w:rPr>
          <w:rFonts w:hint="cs"/>
          <w:rtl/>
        </w:rPr>
        <w:t xml:space="preserve">, והרי </w:t>
      </w:r>
      <w:r w:rsidRPr="002A56BB">
        <w:rPr>
          <w:rFonts w:hint="cs"/>
          <w:rtl/>
        </w:rPr>
        <w:t>שחיטת האם אינה מתירה את החלב שלה, והיאך יש כח בשחיטתה להתיר בעובר יותר ממה שמותר בשחיטת עצמה</w:t>
      </w:r>
      <w:r>
        <w:rPr>
          <w:rFonts w:hint="cs"/>
          <w:rtl/>
        </w:rPr>
        <w:t xml:space="preserve">, ועי' במה שביאר </w:t>
      </w:r>
      <w:r w:rsidRPr="00146131">
        <w:rPr>
          <w:rStyle w:val="af9"/>
          <w:rFonts w:hint="cs"/>
          <w:rtl/>
        </w:rPr>
        <w:t>הראש יוסף</w:t>
      </w:r>
      <w:r>
        <w:rPr>
          <w:rFonts w:hint="cs"/>
          <w:rtl/>
        </w:rPr>
        <w:t xml:space="preserve"> </w:t>
      </w:r>
      <w:r w:rsidRPr="00756D7B">
        <w:rPr>
          <w:rStyle w:val="af9"/>
          <w:rFonts w:hint="cs"/>
          <w:rtl/>
        </w:rPr>
        <w:t>לקמן</w:t>
      </w:r>
      <w:r>
        <w:rPr>
          <w:rFonts w:hint="cs"/>
          <w:rtl/>
        </w:rPr>
        <w:t xml:space="preserve"> </w:t>
      </w:r>
      <w:r w:rsidRPr="00146131">
        <w:rPr>
          <w:rStyle w:val="af7"/>
          <w:rFonts w:eastAsia="Guttman Hodes" w:hint="cs"/>
          <w:rtl/>
        </w:rPr>
        <w:t>(צב: ד"ה ועל זה)</w:t>
      </w:r>
      <w:r w:rsidRPr="00146131">
        <w:rPr>
          <w:rFonts w:hint="cs"/>
          <w:rtl/>
        </w:rPr>
        <w:t xml:space="preserve"> </w:t>
      </w:r>
      <w:r>
        <w:rPr>
          <w:rFonts w:hint="cs"/>
          <w:rtl/>
        </w:rPr>
        <w:t xml:space="preserve">בדברי </w:t>
      </w:r>
      <w:r w:rsidRPr="00146131">
        <w:rPr>
          <w:rStyle w:val="af9"/>
          <w:rFonts w:hint="cs"/>
          <w:rtl/>
        </w:rPr>
        <w:t>הרא"ש</w:t>
      </w:r>
      <w:r w:rsidRPr="002A56BB">
        <w:rPr>
          <w:rFonts w:hint="cs"/>
          <w:rtl/>
        </w:rPr>
        <w:t>.</w:t>
      </w:r>
    </w:p>
    <w:p w14:paraId="391EFB24" w14:textId="77777777" w:rsidR="003D504D" w:rsidRPr="002A56BB" w:rsidRDefault="003D504D" w:rsidP="003D504D">
      <w:pPr>
        <w:pStyle w:val="a3"/>
        <w:rPr>
          <w:rtl/>
        </w:rPr>
      </w:pPr>
      <w:bookmarkStart w:id="21850" w:name="_Toc2164519"/>
      <w:bookmarkStart w:id="21851" w:name="_Toc2187294"/>
      <w:bookmarkStart w:id="21852" w:name="_Toc2198224"/>
      <w:bookmarkStart w:id="21853" w:name="_Toc19391724"/>
      <w:bookmarkStart w:id="21854" w:name="_Toc19395221"/>
      <w:r>
        <w:rPr>
          <w:rFonts w:hint="cs"/>
          <w:rtl/>
        </w:rPr>
        <w:t>ביאור הרא"ש דהיתר בן פקועה הוא גזיה"כ דמתיר אף את כל העובר וחלבו בכלל ההיתר</w:t>
      </w:r>
      <w:bookmarkEnd w:id="21850"/>
      <w:bookmarkEnd w:id="21851"/>
      <w:bookmarkEnd w:id="21852"/>
      <w:bookmarkEnd w:id="21853"/>
      <w:bookmarkEnd w:id="21854"/>
    </w:p>
    <w:p w14:paraId="74957914" w14:textId="77777777" w:rsidR="003D504D" w:rsidRPr="002A56BB" w:rsidRDefault="003D504D" w:rsidP="00223668">
      <w:pPr>
        <w:pStyle w:val="a0"/>
        <w:rPr>
          <w:rtl/>
        </w:rPr>
      </w:pPr>
      <w:bookmarkStart w:id="21855" w:name="_Ref2195569"/>
      <w:r w:rsidRPr="002A56BB">
        <w:rPr>
          <w:rFonts w:hint="cs"/>
          <w:rtl/>
        </w:rPr>
        <w:t xml:space="preserve">ותירץ </w:t>
      </w:r>
      <w:r w:rsidRPr="002A56BB">
        <w:rPr>
          <w:rStyle w:val="af9"/>
          <w:rFonts w:hint="cs"/>
          <w:rtl/>
        </w:rPr>
        <w:t>הרא"ש</w:t>
      </w:r>
      <w:r w:rsidRPr="002A56BB">
        <w:rPr>
          <w:rFonts w:hint="cs"/>
          <w:rtl/>
        </w:rPr>
        <w:t xml:space="preserve"> דהיתר העובר הוא גזיה"כ דיש בו היתר "כל בבהמה תאכלו", והיתר זה מתיר אף את חלבו דההיתר בבן פקועה הוא שמתיר את כל העובר, אף שהאם עצמה אין החלב שלה מותר בשחיטתה, וכתב </w:t>
      </w:r>
      <w:r w:rsidRPr="002A56BB">
        <w:rPr>
          <w:rStyle w:val="af9"/>
          <w:rFonts w:hint="cs"/>
          <w:rtl/>
        </w:rPr>
        <w:t>הרא"ש</w:t>
      </w:r>
      <w:r w:rsidRPr="002A56BB">
        <w:rPr>
          <w:rFonts w:hint="cs"/>
          <w:rtl/>
        </w:rPr>
        <w:t xml:space="preserve"> דכן מוכח מדינא דמתני' לעיל </w:t>
      </w:r>
      <w:r w:rsidRPr="002A56BB">
        <w:rPr>
          <w:rStyle w:val="af7"/>
          <w:rFonts w:eastAsia="Guttman Hodes" w:hint="cs"/>
          <w:rtl/>
        </w:rPr>
        <w:t>(סח.)</w:t>
      </w:r>
      <w:r w:rsidRPr="002A56BB">
        <w:rPr>
          <w:rtl/>
        </w:rPr>
        <w:t xml:space="preserve"> דהחותך מעובר במעי בהמה ושחטה מותר באכילה, </w:t>
      </w:r>
      <w:r w:rsidRPr="002A56BB">
        <w:rPr>
          <w:rFonts w:hint="cs"/>
          <w:rtl/>
        </w:rPr>
        <w:t xml:space="preserve">אבל </w:t>
      </w:r>
      <w:r w:rsidRPr="002A56BB">
        <w:rPr>
          <w:rtl/>
        </w:rPr>
        <w:t xml:space="preserve">אם חתך מן הטחול ומן הכליות של </w:t>
      </w:r>
      <w:r w:rsidRPr="002A56BB">
        <w:rPr>
          <w:rFonts w:hint="cs"/>
          <w:rtl/>
        </w:rPr>
        <w:t>ה</w:t>
      </w:r>
      <w:r w:rsidRPr="002A56BB">
        <w:rPr>
          <w:rtl/>
        </w:rPr>
        <w:t xml:space="preserve">בהמה עצמה אסור באכילה, </w:t>
      </w:r>
      <w:r w:rsidRPr="002A56BB">
        <w:rPr>
          <w:rFonts w:hint="cs"/>
          <w:rtl/>
        </w:rPr>
        <w:t>ולכן מהני שחיטת אמו להתיר את החלב של העובר, אף שיש לו דין חלב.</w:t>
      </w:r>
      <w:bookmarkEnd w:id="21855"/>
    </w:p>
    <w:p w14:paraId="2552EEC6" w14:textId="77777777" w:rsidR="003D504D" w:rsidRDefault="003D504D" w:rsidP="00BF39B2">
      <w:pPr>
        <w:pStyle w:val="1"/>
        <w:rPr>
          <w:rtl/>
        </w:rPr>
      </w:pPr>
      <w:bookmarkStart w:id="21856" w:name="_Toc2187296"/>
      <w:bookmarkStart w:id="21857" w:name="_Toc2198225"/>
      <w:bookmarkStart w:id="21858" w:name="_Toc19391725"/>
      <w:bookmarkStart w:id="21859" w:name="_Toc19395222"/>
      <w:bookmarkStart w:id="21860" w:name="_Toc2164520"/>
      <w:r>
        <w:rPr>
          <w:rFonts w:hint="cs"/>
          <w:rtl/>
        </w:rPr>
        <w:t>ביאור הרא"ש דההיתר ל"מ לדם דהוא נבלע בכל הגוף</w:t>
      </w:r>
      <w:bookmarkEnd w:id="21856"/>
      <w:bookmarkEnd w:id="21857"/>
      <w:bookmarkEnd w:id="21858"/>
      <w:bookmarkEnd w:id="21859"/>
    </w:p>
    <w:p w14:paraId="799EFB2B" w14:textId="77777777" w:rsidR="003D504D" w:rsidRPr="002A56BB" w:rsidRDefault="003D504D" w:rsidP="003D504D">
      <w:pPr>
        <w:pStyle w:val="a3"/>
        <w:rPr>
          <w:rtl/>
        </w:rPr>
      </w:pPr>
      <w:bookmarkStart w:id="21861" w:name="_Toc2187297"/>
      <w:bookmarkStart w:id="21862" w:name="_Toc2198226"/>
      <w:bookmarkStart w:id="21863" w:name="_Toc19391726"/>
      <w:bookmarkStart w:id="21864" w:name="_Toc19395223"/>
      <w:r>
        <w:rPr>
          <w:rFonts w:hint="cs"/>
          <w:rtl/>
        </w:rPr>
        <w:t>דברי הרא"ש דהדם אסור כיון שנבלע בכל הגוף וחשיב כדם איברים של הבהמה</w:t>
      </w:r>
      <w:bookmarkEnd w:id="21860"/>
      <w:bookmarkEnd w:id="21861"/>
      <w:bookmarkEnd w:id="21862"/>
      <w:bookmarkEnd w:id="21863"/>
      <w:bookmarkEnd w:id="21864"/>
    </w:p>
    <w:p w14:paraId="63168745" w14:textId="77777777" w:rsidR="003D504D" w:rsidRDefault="003D504D" w:rsidP="00223668">
      <w:pPr>
        <w:pStyle w:val="a0"/>
        <w:rPr>
          <w:rtl/>
        </w:rPr>
      </w:pPr>
      <w:bookmarkStart w:id="21865" w:name="_Ref1937481"/>
      <w:r w:rsidRPr="002A56BB">
        <w:rPr>
          <w:rFonts w:hint="cs"/>
          <w:rtl/>
        </w:rPr>
        <w:t xml:space="preserve">והוסיף </w:t>
      </w:r>
      <w:r w:rsidRPr="002A56BB">
        <w:rPr>
          <w:rStyle w:val="af9"/>
          <w:rFonts w:hint="cs"/>
          <w:rtl/>
        </w:rPr>
        <w:t>הרא"ש</w:t>
      </w:r>
      <w:r w:rsidRPr="002A56BB">
        <w:rPr>
          <w:rFonts w:hint="cs"/>
          <w:rtl/>
        </w:rPr>
        <w:t xml:space="preserve"> ד</w:t>
      </w:r>
      <w:r>
        <w:rPr>
          <w:rFonts w:hint="cs"/>
          <w:rtl/>
        </w:rPr>
        <w:t>אעפ"י שיש</w:t>
      </w:r>
      <w:r w:rsidRPr="002A56BB">
        <w:rPr>
          <w:rFonts w:hint="cs"/>
          <w:rtl/>
        </w:rPr>
        <w:t xml:space="preserve"> גזיה"כ דההיתר בבן פקועה הוא שמתיר את כל העובר,</w:t>
      </w:r>
      <w:r>
        <w:rPr>
          <w:rFonts w:hint="cs"/>
          <w:rtl/>
        </w:rPr>
        <w:t xml:space="preserve"> ואף חלבו מותר בזה , מ"מ </w:t>
      </w:r>
      <w:r w:rsidRPr="002A56BB">
        <w:rPr>
          <w:rFonts w:hint="cs"/>
          <w:rtl/>
        </w:rPr>
        <w:t xml:space="preserve">דמו אסור, כיון שהדם נבלע בכל הגוף, וחשיב כדם האברים של הבהמה עצמה שפירש, ועי' במה שביאר </w:t>
      </w:r>
      <w:r w:rsidRPr="002A56BB">
        <w:rPr>
          <w:rStyle w:val="af9"/>
          <w:rFonts w:hint="cs"/>
          <w:rtl/>
        </w:rPr>
        <w:t>האבי עזרי</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Ref1937224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צ)</w:t>
      </w:r>
      <w:r w:rsidRPr="002A56BB">
        <w:rPr>
          <w:rStyle w:val="af7"/>
          <w:rFonts w:eastAsia="Guttman Hodes"/>
          <w:rtl/>
        </w:rPr>
        <w:fldChar w:fldCharType="end"/>
      </w:r>
      <w:r w:rsidRPr="002A56BB">
        <w:rPr>
          <w:rStyle w:val="af1"/>
          <w:rtl/>
        </w:rPr>
        <w:footnoteReference w:id="126"/>
      </w:r>
      <w:r w:rsidRPr="002A56BB">
        <w:rPr>
          <w:rFonts w:hint="cs"/>
          <w:rtl/>
        </w:rPr>
        <w:t>.</w:t>
      </w:r>
      <w:bookmarkEnd w:id="21865"/>
    </w:p>
    <w:p w14:paraId="72505C92" w14:textId="77777777" w:rsidR="003D504D" w:rsidRPr="008A5610" w:rsidRDefault="003D504D" w:rsidP="003D504D">
      <w:pPr>
        <w:pStyle w:val="a3"/>
        <w:rPr>
          <w:rtl/>
        </w:rPr>
      </w:pPr>
      <w:bookmarkStart w:id="21866" w:name="_Toc2164521"/>
      <w:bookmarkStart w:id="21867" w:name="_Toc2187298"/>
      <w:bookmarkStart w:id="21868" w:name="_Toc2198227"/>
      <w:bookmarkStart w:id="21869" w:name="_Toc19391727"/>
      <w:bookmarkStart w:id="21870" w:name="_Toc19395224"/>
      <w:r>
        <w:rPr>
          <w:rFonts w:hint="cs"/>
          <w:rtl/>
        </w:rPr>
        <w:t>ביאור הט"ז ברא"ש דדם העובר מתערב בדם הבהמה ולכן אינו עדיף מדם הבהמה דאסור</w:t>
      </w:r>
      <w:bookmarkEnd w:id="21866"/>
      <w:bookmarkEnd w:id="21867"/>
      <w:bookmarkEnd w:id="21868"/>
      <w:bookmarkEnd w:id="21869"/>
      <w:bookmarkEnd w:id="21870"/>
    </w:p>
    <w:p w14:paraId="0FFC4C92" w14:textId="77777777" w:rsidR="003D504D" w:rsidRPr="002A56BB" w:rsidRDefault="003D504D" w:rsidP="00223668">
      <w:pPr>
        <w:pStyle w:val="a0"/>
        <w:rPr>
          <w:rtl/>
        </w:rPr>
      </w:pPr>
      <w:r w:rsidRPr="002A56BB">
        <w:rPr>
          <w:rFonts w:hint="cs"/>
          <w:rtl/>
        </w:rPr>
        <w:t xml:space="preserve">והקשה </w:t>
      </w:r>
      <w:r w:rsidRPr="002A56BB">
        <w:rPr>
          <w:rStyle w:val="af9"/>
          <w:rFonts w:hint="cs"/>
          <w:rtl/>
        </w:rPr>
        <w:t>הט"ז</w:t>
      </w:r>
      <w:r w:rsidRPr="002A56BB">
        <w:rPr>
          <w:rFonts w:hint="cs"/>
          <w:rtl/>
        </w:rPr>
        <w:t xml:space="preserve"> </w:t>
      </w:r>
      <w:r w:rsidRPr="002A56BB">
        <w:rPr>
          <w:rStyle w:val="af7"/>
          <w:rFonts w:eastAsia="Guttman Hodes" w:hint="cs"/>
          <w:rtl/>
        </w:rPr>
        <w:t>(סי' י"ג סק"ג)</w:t>
      </w:r>
      <w:r w:rsidRPr="002A56BB">
        <w:rPr>
          <w:rFonts w:hint="cs"/>
          <w:rtl/>
        </w:rPr>
        <w:t xml:space="preserve"> על </w:t>
      </w:r>
      <w:r w:rsidRPr="002A56BB">
        <w:rPr>
          <w:rStyle w:val="af9"/>
          <w:rFonts w:hint="cs"/>
          <w:rtl/>
        </w:rPr>
        <w:t>הרא"ש</w:t>
      </w:r>
      <w:r w:rsidRPr="002A56BB">
        <w:rPr>
          <w:rFonts w:hint="cs"/>
          <w:rtl/>
        </w:rPr>
        <w:t xml:space="preserve"> דכמו שהדם חשיב כדם הבהמה ואסור, א"כ אף החלב חשיב כחלב הבהמה וצריך להיות אסור, וביאר </w:t>
      </w:r>
      <w:r w:rsidRPr="002A56BB">
        <w:rPr>
          <w:rStyle w:val="af9"/>
          <w:rFonts w:hint="cs"/>
          <w:rtl/>
        </w:rPr>
        <w:t>הט"ז</w:t>
      </w:r>
      <w:r w:rsidRPr="002A56BB">
        <w:rPr>
          <w:rFonts w:hint="cs"/>
          <w:rtl/>
        </w:rPr>
        <w:t xml:space="preserve"> דכוונת </w:t>
      </w:r>
      <w:r w:rsidRPr="002A56BB">
        <w:rPr>
          <w:rStyle w:val="af9"/>
          <w:rFonts w:hint="cs"/>
          <w:rtl/>
        </w:rPr>
        <w:t>הרא"ש</w:t>
      </w:r>
      <w:r w:rsidRPr="002A56BB">
        <w:rPr>
          <w:rFonts w:hint="cs"/>
          <w:rtl/>
        </w:rPr>
        <w:t xml:space="preserve"> לומר דהדם שבעובר מתערב עם הדם של הבהמה עצמה, שהעובר נוצר ונזון מדם הבהמה, ולכן הדם של העובר לא עדיף מהדם של הבהמה.</w:t>
      </w:r>
    </w:p>
    <w:p w14:paraId="5D123682" w14:textId="77777777" w:rsidR="003D504D" w:rsidRPr="002A56BB" w:rsidRDefault="003D504D" w:rsidP="003D504D">
      <w:pPr>
        <w:pStyle w:val="a3"/>
        <w:rPr>
          <w:rtl/>
        </w:rPr>
      </w:pPr>
      <w:bookmarkStart w:id="21871" w:name="_Toc2164522"/>
      <w:bookmarkStart w:id="21872" w:name="_Toc2187299"/>
      <w:bookmarkStart w:id="21873" w:name="_Toc2198228"/>
      <w:bookmarkStart w:id="21874" w:name="_Toc19391728"/>
      <w:bookmarkStart w:id="21875" w:name="_Toc19395225"/>
      <w:r>
        <w:rPr>
          <w:rFonts w:hint="cs"/>
          <w:rtl/>
        </w:rPr>
        <w:t>דברי האשכול דדמו מעורב בבהמה וחשיב כדמה אבל חלבו הוא בכלל ההיתר</w:t>
      </w:r>
      <w:bookmarkEnd w:id="21871"/>
      <w:bookmarkEnd w:id="21872"/>
      <w:bookmarkEnd w:id="21873"/>
      <w:bookmarkEnd w:id="21874"/>
      <w:bookmarkEnd w:id="21875"/>
    </w:p>
    <w:p w14:paraId="1EC1FF48" w14:textId="77777777" w:rsidR="003D504D" w:rsidRDefault="003D504D" w:rsidP="00223668">
      <w:pPr>
        <w:pStyle w:val="a0"/>
        <w:rPr>
          <w:rtl/>
        </w:rPr>
      </w:pPr>
      <w:r w:rsidRPr="002A56BB">
        <w:rPr>
          <w:rFonts w:hint="cs"/>
          <w:rtl/>
        </w:rPr>
        <w:t xml:space="preserve">וכתב </w:t>
      </w:r>
      <w:r w:rsidRPr="002A56BB">
        <w:rPr>
          <w:rStyle w:val="af9"/>
          <w:rFonts w:hint="cs"/>
          <w:rtl/>
        </w:rPr>
        <w:t xml:space="preserve">היד יהודה </w:t>
      </w:r>
      <w:r w:rsidRPr="002A56BB">
        <w:rPr>
          <w:rStyle w:val="af7"/>
          <w:rFonts w:eastAsia="Guttman Hodes" w:hint="cs"/>
          <w:rtl/>
        </w:rPr>
        <w:t>(סי' י"ג סק"ג)</w:t>
      </w:r>
      <w:r w:rsidRPr="002A56BB">
        <w:rPr>
          <w:rFonts w:hint="cs"/>
          <w:rtl/>
        </w:rPr>
        <w:t xml:space="preserve"> דדוחק גדול לבאר בדברי </w:t>
      </w:r>
      <w:r w:rsidRPr="002A56BB">
        <w:rPr>
          <w:rStyle w:val="af9"/>
          <w:rFonts w:hint="cs"/>
          <w:rtl/>
        </w:rPr>
        <w:t xml:space="preserve">הרא"ש </w:t>
      </w:r>
      <w:r w:rsidRPr="002A56BB">
        <w:rPr>
          <w:rFonts w:hint="cs"/>
          <w:rtl/>
        </w:rPr>
        <w:t xml:space="preserve">כביאור </w:t>
      </w:r>
      <w:r w:rsidRPr="002A56BB">
        <w:rPr>
          <w:rStyle w:val="af9"/>
          <w:rFonts w:hint="cs"/>
          <w:rtl/>
        </w:rPr>
        <w:t xml:space="preserve">הט"ז, </w:t>
      </w:r>
      <w:r w:rsidRPr="002A56BB">
        <w:rPr>
          <w:rFonts w:hint="cs"/>
          <w:rtl/>
        </w:rPr>
        <w:t xml:space="preserve">אך הביא </w:t>
      </w:r>
      <w:r w:rsidRPr="002A56BB">
        <w:rPr>
          <w:rStyle w:val="af9"/>
          <w:rFonts w:hint="cs"/>
          <w:rtl/>
        </w:rPr>
        <w:t xml:space="preserve">היד יהודה </w:t>
      </w:r>
      <w:r w:rsidRPr="002A56BB">
        <w:rPr>
          <w:rFonts w:hint="cs"/>
          <w:rtl/>
        </w:rPr>
        <w:t xml:space="preserve">דכן מפורש </w:t>
      </w:r>
      <w:r w:rsidRPr="002A56BB">
        <w:rPr>
          <w:rStyle w:val="af9"/>
          <w:rFonts w:hint="cs"/>
          <w:rtl/>
        </w:rPr>
        <w:t>באשכול</w:t>
      </w:r>
      <w:r w:rsidRPr="002A56BB">
        <w:rPr>
          <w:rFonts w:hint="cs"/>
          <w:rtl/>
        </w:rPr>
        <w:t xml:space="preserve"> </w:t>
      </w:r>
      <w:r w:rsidRPr="002A56BB">
        <w:rPr>
          <w:rStyle w:val="af7"/>
          <w:rFonts w:eastAsia="Guttman Hodes" w:hint="cs"/>
          <w:rtl/>
        </w:rPr>
        <w:t>(בפירקין עמ' 70, הועתק בקובץ שיטות קמאי חולין ח"ב עמ' אלף תרל"ז)</w:t>
      </w:r>
      <w:r w:rsidRPr="002A56BB">
        <w:rPr>
          <w:rFonts w:hint="cs"/>
          <w:rtl/>
        </w:rPr>
        <w:t xml:space="preserve"> דכתב דהדם של העובר אסור כיון שמתערב תמיד אם הדם של הבהמה ונזון ממנה, ולכן חשיב כדם של הבהמה ואסור, אבל החלב הוא בכלל היתר בבהמה אותה תאכלו.</w:t>
      </w:r>
    </w:p>
    <w:p w14:paraId="136B2FC5" w14:textId="77777777" w:rsidR="003D504D" w:rsidRDefault="003D504D" w:rsidP="00BF39B2">
      <w:pPr>
        <w:pStyle w:val="1"/>
      </w:pPr>
      <w:bookmarkStart w:id="21876" w:name="_Toc2187301"/>
      <w:bookmarkStart w:id="21877" w:name="_Toc2198229"/>
      <w:bookmarkStart w:id="21878" w:name="_Toc19391729"/>
      <w:bookmarkStart w:id="21879" w:name="_Toc19395226"/>
      <w:bookmarkStart w:id="21880" w:name="_Toc2164525"/>
      <w:bookmarkStart w:id="21881" w:name="_Toc2187303"/>
      <w:bookmarkStart w:id="21882" w:name="_Toc2198231"/>
      <w:r>
        <w:rPr>
          <w:rFonts w:hint="cs"/>
          <w:rtl/>
        </w:rPr>
        <w:t>ביאורי המהרש"ל והלבוש</w:t>
      </w:r>
      <w:bookmarkEnd w:id="21876"/>
      <w:r>
        <w:rPr>
          <w:rFonts w:hint="cs"/>
          <w:rtl/>
        </w:rPr>
        <w:t xml:space="preserve"> בהיתר חלב וגיד</w:t>
      </w:r>
      <w:bookmarkEnd w:id="21877"/>
      <w:bookmarkEnd w:id="21878"/>
      <w:bookmarkEnd w:id="21879"/>
    </w:p>
    <w:p w14:paraId="12145E67" w14:textId="77777777" w:rsidR="003D504D" w:rsidRDefault="003D504D" w:rsidP="003D504D">
      <w:pPr>
        <w:pStyle w:val="a3"/>
        <w:rPr>
          <w:rtl/>
        </w:rPr>
      </w:pPr>
      <w:bookmarkStart w:id="21883" w:name="_Toc19391730"/>
      <w:bookmarkStart w:id="21884" w:name="_Toc19395227"/>
      <w:bookmarkStart w:id="21885" w:name="_Toc2198230"/>
      <w:bookmarkStart w:id="21886" w:name="_Toc2187302"/>
      <w:bookmarkStart w:id="21887" w:name="_Toc2164524"/>
      <w:bookmarkStart w:id="21888" w:name="_Toc2078495"/>
      <w:r>
        <w:rPr>
          <w:rFonts w:hint="cs"/>
          <w:rtl/>
        </w:rPr>
        <w:t>ביאור המהרש"ל והיד יהודה דהחלב מותר דאינו על הקרב אך דם אסור בכל מקום</w:t>
      </w:r>
      <w:bookmarkEnd w:id="21883"/>
      <w:bookmarkEnd w:id="21884"/>
    </w:p>
    <w:p w14:paraId="327653FC" w14:textId="77777777" w:rsidR="003D504D" w:rsidRDefault="003D504D" w:rsidP="00223668">
      <w:pPr>
        <w:pStyle w:val="a0"/>
        <w:rPr>
          <w:rtl/>
        </w:rPr>
      </w:pPr>
      <w:bookmarkStart w:id="21889" w:name="_Ref2197713"/>
      <w:r>
        <w:rPr>
          <w:rFonts w:hint="cs"/>
          <w:rtl/>
        </w:rPr>
        <w:t xml:space="preserve">כתב </w:t>
      </w:r>
      <w:r>
        <w:rPr>
          <w:rStyle w:val="af9"/>
          <w:rtl/>
        </w:rPr>
        <w:t>הסמ"ג</w:t>
      </w:r>
      <w:r>
        <w:rPr>
          <w:rFonts w:hint="cs"/>
          <w:rtl/>
        </w:rPr>
        <w:t xml:space="preserve"> </w:t>
      </w:r>
      <w:r>
        <w:rPr>
          <w:rStyle w:val="af7"/>
          <w:rFonts w:eastAsia="Guttman Hodes" w:hint="cs"/>
          <w:rtl/>
        </w:rPr>
        <w:t>(לאוין ל"ת קל"ו ד"ה תניא גיד)</w:t>
      </w:r>
      <w:r>
        <w:rPr>
          <w:rFonts w:hint="cs"/>
          <w:rtl/>
        </w:rPr>
        <w:t xml:space="preserve"> דרבי יהודה מתיר את גידו וחלבו, כיון דבן ט' חי שחיטת אמו  מטהרתו, אבל דמו אסור, וביאר </w:t>
      </w:r>
      <w:r>
        <w:rPr>
          <w:rStyle w:val="af9"/>
          <w:rtl/>
        </w:rPr>
        <w:t>המהרש"ל בעמודי שלמה</w:t>
      </w:r>
      <w:r>
        <w:rPr>
          <w:rFonts w:hint="cs"/>
          <w:rtl/>
        </w:rPr>
        <w:t xml:space="preserve"> </w:t>
      </w:r>
      <w:r>
        <w:rPr>
          <w:rStyle w:val="af7"/>
          <w:rFonts w:eastAsia="Guttman Hodes" w:hint="cs"/>
          <w:rtl/>
        </w:rPr>
        <w:t>(על הסמ"ג לאוין סוף ל"ת קל"ו ד"ה ולכן מתיר)</w:t>
      </w:r>
      <w:r>
        <w:rPr>
          <w:rFonts w:hint="cs"/>
          <w:rtl/>
        </w:rPr>
        <w:t xml:space="preserve"> דהעובר חשיב כחתיכת בשר, ואיסור חלב דאסרה תורה, הוא רק בחלב שעל הקרב, וכן מקצת גידין </w:t>
      </w:r>
      <w:r>
        <w:rPr>
          <w:rStyle w:val="afb"/>
          <w:rtl/>
        </w:rPr>
        <w:t>[דהיינו גיד הנשה]</w:t>
      </w:r>
      <w:r>
        <w:rPr>
          <w:rFonts w:hint="cs"/>
          <w:rtl/>
        </w:rPr>
        <w:t xml:space="preserve">, אבל הדם אסור בכל מקום שהוא, וכ"כ </w:t>
      </w:r>
      <w:r>
        <w:rPr>
          <w:rStyle w:val="af9"/>
          <w:rtl/>
        </w:rPr>
        <w:t xml:space="preserve">הר"י ששפורטש בתשב"ץ </w:t>
      </w:r>
      <w:r>
        <w:rPr>
          <w:rStyle w:val="af7"/>
          <w:rFonts w:eastAsia="Guttman Hodes" w:hint="cs"/>
          <w:rtl/>
        </w:rPr>
        <w:t xml:space="preserve"> (ח"ה מכת"י תשו' קנ"ה, הובא בלח"מ מאכ"א פ"ו ה"ה)</w:t>
      </w:r>
      <w:r>
        <w:rPr>
          <w:rFonts w:hint="cs"/>
          <w:rtl/>
        </w:rPr>
        <w:t xml:space="preserve"> דאיסור הדם הוא בכל דם של עוף ובהמה, אבל איסור החלב הוא רק בחלב שור כשב ועז, ושליל שיש בו היתר "כל בבהמה תאכלו", דהוא כאבר מאברי הבהמה, לכן דמו אסור ככל הדם של הבהמה, והדם הכנוס בלבו הוא בכרת, אבל חלבו אינו החלב שאסרה תורה בשור וכשב, דהוא אינו על אותו האבר שאסרה תורה, וכן ביאר </w:t>
      </w:r>
      <w:r>
        <w:rPr>
          <w:rStyle w:val="af9"/>
          <w:rtl/>
        </w:rPr>
        <w:t xml:space="preserve">היד יהודה </w:t>
      </w:r>
      <w:r>
        <w:rPr>
          <w:rStyle w:val="af7"/>
          <w:rFonts w:eastAsia="Guttman Hodes" w:hint="cs"/>
          <w:rtl/>
        </w:rPr>
        <w:t>(סי' י"ג סק"ג)</w:t>
      </w:r>
      <w:r>
        <w:rPr>
          <w:rFonts w:hint="cs"/>
          <w:rtl/>
        </w:rPr>
        <w:t xml:space="preserve"> בדברי </w:t>
      </w:r>
      <w:r>
        <w:rPr>
          <w:rStyle w:val="af9"/>
          <w:rtl/>
        </w:rPr>
        <w:t>הרא"ש,</w:t>
      </w:r>
      <w:r>
        <w:rPr>
          <w:rFonts w:hint="cs"/>
          <w:rtl/>
        </w:rPr>
        <w:t xml:space="preserve"> וכ"כ </w:t>
      </w:r>
      <w:r>
        <w:rPr>
          <w:rStyle w:val="af9"/>
          <w:rtl/>
        </w:rPr>
        <w:t>המהר"ץ חיות</w:t>
      </w:r>
      <w:r>
        <w:rPr>
          <w:rFonts w:hint="cs"/>
          <w:rtl/>
        </w:rPr>
        <w:t xml:space="preserve"> </w:t>
      </w:r>
      <w:r>
        <w:rPr>
          <w:rStyle w:val="af7"/>
          <w:rFonts w:eastAsia="Guttman Hodes" w:hint="cs"/>
          <w:rtl/>
        </w:rPr>
        <w:t>(עד: ד"ה לדברי)</w:t>
      </w:r>
      <w:r>
        <w:rPr>
          <w:rFonts w:hint="cs"/>
          <w:rtl/>
        </w:rPr>
        <w:t xml:space="preserve"> בשם </w:t>
      </w:r>
      <w:r>
        <w:rPr>
          <w:rStyle w:val="af9"/>
          <w:rtl/>
        </w:rPr>
        <w:t>יד המלך</w:t>
      </w:r>
      <w:r>
        <w:rPr>
          <w:rFonts w:hint="cs"/>
          <w:rtl/>
        </w:rPr>
        <w:t>,</w:t>
      </w:r>
      <w:r>
        <w:rPr>
          <w:rStyle w:val="af9"/>
          <w:rtl/>
        </w:rPr>
        <w:t xml:space="preserve"> </w:t>
      </w:r>
      <w:r>
        <w:rPr>
          <w:rFonts w:hint="cs"/>
          <w:rtl/>
        </w:rPr>
        <w:t xml:space="preserve">ועי' בדברי </w:t>
      </w:r>
      <w:r>
        <w:rPr>
          <w:rStyle w:val="af9"/>
          <w:rtl/>
        </w:rPr>
        <w:t>הקה"י</w:t>
      </w:r>
      <w:r>
        <w:rPr>
          <w:rFonts w:hint="cs"/>
          <w:rtl/>
        </w:rPr>
        <w:t xml:space="preserve"> </w:t>
      </w:r>
      <w:r>
        <w:rPr>
          <w:rStyle w:val="af7"/>
          <w:rFonts w:eastAsia="Guttman Hodes" w:hint="cs"/>
          <w:rtl/>
        </w:rPr>
        <w:t xml:space="preserve">(עי' אות </w:t>
      </w:r>
      <w:r>
        <w:rPr>
          <w:rFont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Ref1985198 \r \h</w:instrText>
      </w:r>
      <w:r>
        <w:rPr>
          <w:rStyle w:val="af7"/>
          <w:rFonts w:eastAsia="Guttman Hodes" w:hint="cs"/>
          <w:rtl/>
        </w:rPr>
        <w:instrText xml:space="preserve"> </w:instrText>
      </w:r>
      <w:r>
        <w:rPr>
          <w:rFonts w:hint="cs"/>
          <w:rtl/>
        </w:rPr>
      </w:r>
      <w:r>
        <w:rPr>
          <w:rFonts w:hint="cs"/>
          <w:rtl/>
        </w:rPr>
        <w:fldChar w:fldCharType="separate"/>
      </w:r>
      <w:r w:rsidR="00345400">
        <w:rPr>
          <w:rStyle w:val="af7"/>
          <w:rFonts w:eastAsia="Guttman Hodes" w:hint="eastAsia"/>
          <w:cs/>
        </w:rPr>
        <w:t>‎</w:t>
      </w:r>
      <w:r w:rsidR="00345400">
        <w:rPr>
          <w:rStyle w:val="af7"/>
          <w:rFonts w:eastAsia="Guttman Hodes" w:hint="eastAsia"/>
          <w:rtl/>
        </w:rPr>
        <w:t>פ</w:t>
      </w:r>
      <w:r w:rsidR="00345400">
        <w:rPr>
          <w:rStyle w:val="af7"/>
          <w:rFonts w:eastAsia="Guttman Hodes"/>
          <w:rtl/>
        </w:rPr>
        <w:t>)</w:t>
      </w:r>
      <w:r>
        <w:rPr>
          <w:rFonts w:hint="cs"/>
          <w:rtl/>
        </w:rPr>
        <w:fldChar w:fldCharType="end"/>
      </w:r>
      <w:r>
        <w:rPr>
          <w:rStyle w:val="af9"/>
          <w:rtl/>
        </w:rPr>
        <w:t xml:space="preserve"> והאבי עזרי</w:t>
      </w:r>
      <w:r>
        <w:rPr>
          <w:rFonts w:hint="cs"/>
          <w:rtl/>
        </w:rPr>
        <w:t xml:space="preserve"> </w:t>
      </w:r>
      <w:r>
        <w:rPr>
          <w:rStyle w:val="af7"/>
          <w:rFonts w:eastAsia="Guttman Hodes" w:hint="cs"/>
          <w:rtl/>
        </w:rPr>
        <w:t xml:space="preserve">(עי' אות </w:t>
      </w:r>
      <w:r>
        <w:rPr>
          <w:rFont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Ref1936770 \r \h</w:instrText>
      </w:r>
      <w:r>
        <w:rPr>
          <w:rStyle w:val="af7"/>
          <w:rFonts w:eastAsia="Guttman Hodes" w:hint="cs"/>
          <w:rtl/>
        </w:rPr>
        <w:instrText xml:space="preserve"> </w:instrText>
      </w:r>
      <w:r>
        <w:rPr>
          <w:rFonts w:hint="cs"/>
          <w:rtl/>
        </w:rPr>
      </w:r>
      <w:r>
        <w:rPr>
          <w:rFonts w:hint="cs"/>
          <w:rtl/>
        </w:rPr>
        <w:fldChar w:fldCharType="separate"/>
      </w:r>
      <w:r w:rsidR="00345400">
        <w:rPr>
          <w:rStyle w:val="af7"/>
          <w:rFonts w:eastAsia="Guttman Hodes" w:hint="eastAsia"/>
          <w:cs/>
        </w:rPr>
        <w:t>‎</w:t>
      </w:r>
      <w:r w:rsidR="00345400">
        <w:rPr>
          <w:rStyle w:val="af7"/>
          <w:rFonts w:eastAsia="Guttman Hodes" w:hint="eastAsia"/>
          <w:rtl/>
        </w:rPr>
        <w:t>פט</w:t>
      </w:r>
      <w:r w:rsidR="00345400">
        <w:rPr>
          <w:rStyle w:val="af7"/>
          <w:rFonts w:eastAsia="Guttman Hodes"/>
          <w:rtl/>
        </w:rPr>
        <w:t>)</w:t>
      </w:r>
      <w:r>
        <w:rPr>
          <w:rFonts w:hint="cs"/>
          <w:rtl/>
        </w:rPr>
        <w:fldChar w:fldCharType="end"/>
      </w:r>
      <w:r>
        <w:rPr>
          <w:rFonts w:hint="cs"/>
          <w:rtl/>
        </w:rPr>
        <w:t>.</w:t>
      </w:r>
      <w:bookmarkEnd w:id="21889"/>
    </w:p>
    <w:p w14:paraId="0080B7BA" w14:textId="77777777" w:rsidR="003D504D" w:rsidRDefault="003D504D" w:rsidP="003D504D">
      <w:pPr>
        <w:pStyle w:val="a3"/>
        <w:rPr>
          <w:rtl/>
        </w:rPr>
      </w:pPr>
      <w:bookmarkStart w:id="21890" w:name="_Toc19391731"/>
      <w:bookmarkStart w:id="21891" w:name="_Toc19395228"/>
      <w:r>
        <w:rPr>
          <w:rFonts w:hint="cs"/>
          <w:rtl/>
        </w:rPr>
        <w:t>דברי הלח"מ דהחילוק בין איסור הדם להיתר החלב נלמד מקראי</w:t>
      </w:r>
      <w:bookmarkEnd w:id="21890"/>
      <w:bookmarkEnd w:id="21891"/>
    </w:p>
    <w:p w14:paraId="6515117E" w14:textId="77777777" w:rsidR="003D504D" w:rsidRDefault="003D504D" w:rsidP="00223668">
      <w:pPr>
        <w:pStyle w:val="a0"/>
        <w:rPr>
          <w:rtl/>
        </w:rPr>
      </w:pPr>
      <w:r>
        <w:rPr>
          <w:rStyle w:val="af9"/>
          <w:rtl/>
        </w:rPr>
        <w:t>והלח"מ</w:t>
      </w:r>
      <w:r>
        <w:rPr>
          <w:rFonts w:hint="cs"/>
          <w:rtl/>
        </w:rPr>
        <w:t xml:space="preserve"> </w:t>
      </w:r>
      <w:r>
        <w:rPr>
          <w:rStyle w:val="af7"/>
          <w:rFonts w:eastAsia="Guttman Hodes" w:hint="cs"/>
          <w:rtl/>
        </w:rPr>
        <w:t xml:space="preserve">(מאכ"א פ"ו ה"ה) </w:t>
      </w:r>
      <w:r>
        <w:rPr>
          <w:rFonts w:hint="cs"/>
          <w:rtl/>
        </w:rPr>
        <w:t xml:space="preserve">כתב דכל דברי </w:t>
      </w:r>
      <w:r>
        <w:rPr>
          <w:rStyle w:val="af9"/>
          <w:rtl/>
        </w:rPr>
        <w:t xml:space="preserve">הר"י ששפורטש בתשב"ץ </w:t>
      </w:r>
      <w:r>
        <w:rPr>
          <w:rStyle w:val="af7"/>
          <w:rFonts w:eastAsia="Guttman Hodes" w:hint="cs"/>
          <w:rtl/>
        </w:rPr>
        <w:t xml:space="preserve"> </w:t>
      </w:r>
      <w:r>
        <w:rPr>
          <w:rFonts w:hint="cs"/>
          <w:rtl/>
        </w:rPr>
        <w:t xml:space="preserve">הם להשיב לשואל שלא ידע את הגמ' בסוגיין, דהא בסוגיין מבואר שהחילוק בין האיסור בדם להיתר בחלב </w:t>
      </w:r>
      <w:r>
        <w:rPr>
          <w:rStyle w:val="afb"/>
          <w:rtl/>
        </w:rPr>
        <w:t xml:space="preserve">[בבן ח' לדעת </w:t>
      </w:r>
      <w:r>
        <w:rPr>
          <w:rStyle w:val="affa"/>
          <w:rtl/>
        </w:rPr>
        <w:t>הרמב"ם</w:t>
      </w:r>
      <w:r>
        <w:rPr>
          <w:rStyle w:val="afb"/>
          <w:rtl/>
        </w:rPr>
        <w:t>]</w:t>
      </w:r>
      <w:r>
        <w:rPr>
          <w:rFonts w:hint="cs"/>
          <w:rtl/>
        </w:rPr>
        <w:t>, הוא ילפותא מקראי.</w:t>
      </w:r>
      <w:bookmarkEnd w:id="21885"/>
      <w:bookmarkEnd w:id="21886"/>
      <w:bookmarkEnd w:id="21887"/>
      <w:bookmarkEnd w:id="21888"/>
    </w:p>
    <w:p w14:paraId="744CEE15" w14:textId="77777777" w:rsidR="003D504D" w:rsidRPr="002A56BB" w:rsidRDefault="003D504D" w:rsidP="003D504D">
      <w:pPr>
        <w:pStyle w:val="a3"/>
        <w:rPr>
          <w:rtl/>
        </w:rPr>
      </w:pPr>
      <w:bookmarkStart w:id="21892" w:name="_Toc19391732"/>
      <w:bookmarkStart w:id="21893" w:name="_Toc19395229"/>
      <w:r>
        <w:rPr>
          <w:rFonts w:hint="cs"/>
          <w:rtl/>
        </w:rPr>
        <w:t>ביאור הלבוש דרק אחר שנולד חשיב כחלב שור ועז דאסור</w:t>
      </w:r>
      <w:bookmarkEnd w:id="21880"/>
      <w:bookmarkEnd w:id="21881"/>
      <w:bookmarkEnd w:id="21882"/>
      <w:bookmarkEnd w:id="21892"/>
      <w:bookmarkEnd w:id="21893"/>
    </w:p>
    <w:p w14:paraId="465682BB" w14:textId="77777777" w:rsidR="003D504D" w:rsidRDefault="003D504D" w:rsidP="00223668">
      <w:pPr>
        <w:pStyle w:val="a0"/>
        <w:rPr>
          <w:rtl/>
        </w:rPr>
      </w:pPr>
      <w:r w:rsidRPr="002A56BB">
        <w:rPr>
          <w:rStyle w:val="af9"/>
          <w:rFonts w:hint="cs"/>
          <w:rtl/>
        </w:rPr>
        <w:t>והלבוש</w:t>
      </w:r>
      <w:r w:rsidRPr="002A56BB">
        <w:rPr>
          <w:rFonts w:hint="cs"/>
          <w:rtl/>
        </w:rPr>
        <w:t xml:space="preserve"> </w:t>
      </w:r>
      <w:r w:rsidRPr="00F43A43">
        <w:rPr>
          <w:rStyle w:val="af7"/>
          <w:rFonts w:eastAsia="Guttman Hodes" w:hint="cs"/>
          <w:rtl/>
        </w:rPr>
        <w:t>(סי' ס"ד ב')</w:t>
      </w:r>
      <w:r w:rsidRPr="002A56BB">
        <w:rPr>
          <w:rFonts w:hint="cs"/>
          <w:rtl/>
        </w:rPr>
        <w:t xml:space="preserve"> הביא בשם </w:t>
      </w:r>
      <w:r w:rsidRPr="002A56BB">
        <w:rPr>
          <w:rStyle w:val="af9"/>
          <w:rFonts w:hint="cs"/>
          <w:rtl/>
        </w:rPr>
        <w:t xml:space="preserve">י"א </w:t>
      </w:r>
      <w:r w:rsidRPr="002A56BB">
        <w:rPr>
          <w:rFonts w:hint="cs"/>
          <w:rtl/>
        </w:rPr>
        <w:t xml:space="preserve">דהחלב מותר כיון שאינו מכסה את הקרב </w:t>
      </w:r>
      <w:r w:rsidRPr="002A56BB">
        <w:rPr>
          <w:rStyle w:val="afb"/>
          <w:rFonts w:hint="cs"/>
          <w:rtl/>
        </w:rPr>
        <w:t>[דהיינו שאינו שמן כ"כ לכסות את כל הקרב]</w:t>
      </w:r>
      <w:r w:rsidRPr="002A56BB">
        <w:rPr>
          <w:rFonts w:hint="cs"/>
          <w:rtl/>
        </w:rPr>
        <w:t xml:space="preserve">, ודחה </w:t>
      </w:r>
      <w:r w:rsidRPr="002A56BB">
        <w:rPr>
          <w:rStyle w:val="af9"/>
          <w:rFonts w:hint="cs"/>
          <w:rtl/>
        </w:rPr>
        <w:t xml:space="preserve">הלבוש </w:t>
      </w:r>
      <w:r w:rsidRPr="002A56BB">
        <w:rPr>
          <w:rFonts w:hint="cs"/>
          <w:rtl/>
        </w:rPr>
        <w:t xml:space="preserve">דמ"מ כיון שהוא פרוס על הקרב כמו בבהמה, חשיב שהוא חלבו, אלא ביאר </w:t>
      </w:r>
      <w:r w:rsidRPr="002A56BB">
        <w:rPr>
          <w:rStyle w:val="af9"/>
          <w:rFonts w:hint="cs"/>
          <w:rtl/>
        </w:rPr>
        <w:t>הלבוש</w:t>
      </w:r>
      <w:r w:rsidRPr="002A56BB">
        <w:rPr>
          <w:rFonts w:hint="cs"/>
          <w:rtl/>
        </w:rPr>
        <w:t xml:space="preserve"> </w:t>
      </w:r>
      <w:r w:rsidRPr="00F43A43">
        <w:rPr>
          <w:rStyle w:val="af7"/>
          <w:rFonts w:eastAsia="Guttman Hodes" w:hint="cs"/>
          <w:rtl/>
        </w:rPr>
        <w:t>(סי' י"ג ב', סי' ס"ד ב')</w:t>
      </w:r>
      <w:r w:rsidRPr="002A56BB">
        <w:rPr>
          <w:rFonts w:hint="cs"/>
          <w:rtl/>
        </w:rPr>
        <w:t xml:space="preserve"> דאסרה תורה חלב של שור וכשב ועז, ורק אחר שנולד הוא נקרא שור כשב או עז, ולא כשהוא עדיין עובר, ועוד ביאר </w:t>
      </w:r>
      <w:r w:rsidRPr="002A56BB">
        <w:rPr>
          <w:rStyle w:val="af9"/>
          <w:rFonts w:hint="cs"/>
          <w:rtl/>
        </w:rPr>
        <w:t>הלבוש</w:t>
      </w:r>
      <w:r w:rsidRPr="002A56BB">
        <w:rPr>
          <w:rFonts w:hint="cs"/>
          <w:rtl/>
        </w:rPr>
        <w:t xml:space="preserve"> דהותר מהילפותא "דאשם מוצא מכלל שליל", ובהיתר דגיד הנשה כתב הלבוש דכיון שאינו נקרא בהמה, ממילא לא חשיב שהגיד הוא על כף הירך.</w:t>
      </w:r>
    </w:p>
    <w:p w14:paraId="7FE2175F" w14:textId="77777777" w:rsidR="003D504D" w:rsidRDefault="003D504D" w:rsidP="00BF39B2">
      <w:pPr>
        <w:pStyle w:val="1"/>
        <w:rPr>
          <w:rtl/>
        </w:rPr>
      </w:pPr>
      <w:bookmarkStart w:id="21894" w:name="_Toc19391733"/>
      <w:bookmarkStart w:id="21895" w:name="_Toc19395230"/>
      <w:bookmarkStart w:id="21896" w:name="_Toc2164523"/>
      <w:bookmarkStart w:id="21897" w:name="_Toc2187295"/>
      <w:bookmarkStart w:id="21898" w:name="_Toc2198233"/>
      <w:r w:rsidRPr="00E2066C">
        <w:rPr>
          <w:rtl/>
        </w:rPr>
        <w:t>ביאור הנאו"י ברא"ש דהיתר בן פקועה מתיר את האיסורים שבו</w:t>
      </w:r>
      <w:bookmarkEnd w:id="21894"/>
      <w:bookmarkEnd w:id="21895"/>
    </w:p>
    <w:p w14:paraId="1FA796BE" w14:textId="77777777" w:rsidR="003D504D" w:rsidRPr="00374B6E" w:rsidRDefault="003D504D" w:rsidP="003D504D">
      <w:pPr>
        <w:pStyle w:val="a3"/>
        <w:rPr>
          <w:b/>
          <w:bCs/>
          <w:sz w:val="18"/>
          <w:szCs w:val="18"/>
        </w:rPr>
      </w:pPr>
      <w:bookmarkStart w:id="21899" w:name="_Toc19391734"/>
      <w:bookmarkStart w:id="21900" w:name="_Toc19395231"/>
      <w:r>
        <w:rPr>
          <w:rFonts w:hint="cs"/>
          <w:rtl/>
        </w:rPr>
        <w:t>דברי הנאות יעקב דלרא"ש יש גזיה"כ דהעובר מותר והותרו כל האיסורים שבו בשחיטת אמו</w:t>
      </w:r>
      <w:bookmarkEnd w:id="21896"/>
      <w:bookmarkEnd w:id="21897"/>
      <w:bookmarkEnd w:id="21898"/>
      <w:bookmarkEnd w:id="21899"/>
      <w:bookmarkEnd w:id="21900"/>
    </w:p>
    <w:p w14:paraId="7B4EBAFB" w14:textId="77777777" w:rsidR="003D504D" w:rsidRPr="006B5D82" w:rsidRDefault="003D504D" w:rsidP="00223668">
      <w:pPr>
        <w:pStyle w:val="a0"/>
        <w:rPr>
          <w:rtl/>
        </w:rPr>
      </w:pPr>
      <w:bookmarkStart w:id="21901" w:name="_Ref2161174"/>
      <w:r w:rsidRPr="002A56BB">
        <w:rPr>
          <w:rtl/>
        </w:rPr>
        <w:t xml:space="preserve">כתב </w:t>
      </w:r>
      <w:r w:rsidRPr="002A56BB">
        <w:rPr>
          <w:rStyle w:val="af9"/>
          <w:rtl/>
        </w:rPr>
        <w:t>הנאות יעקב</w:t>
      </w:r>
      <w:r w:rsidRPr="002A56BB">
        <w:rPr>
          <w:rtl/>
        </w:rPr>
        <w:t xml:space="preserve"> </w:t>
      </w:r>
      <w:r w:rsidRPr="002A56BB">
        <w:rPr>
          <w:rStyle w:val="af7"/>
          <w:rFonts w:eastAsiaTheme="minorHAnsi" w:hint="cs"/>
          <w:rtl/>
        </w:rPr>
        <w:t>(סי' כ"ב ס"ק ו' ד"ה ולדידי)</w:t>
      </w:r>
      <w:r w:rsidRPr="002A56BB">
        <w:rPr>
          <w:rtl/>
        </w:rPr>
        <w:t xml:space="preserve"> דמבואר מדברי </w:t>
      </w:r>
      <w:r w:rsidRPr="002A56BB">
        <w:rPr>
          <w:rStyle w:val="af9"/>
          <w:rtl/>
        </w:rPr>
        <w:t>הרא"ש</w:t>
      </w:r>
      <w:r w:rsidRPr="002A56BB">
        <w:rPr>
          <w:rtl/>
        </w:rPr>
        <w:t xml:space="preserve"> </w:t>
      </w:r>
      <w:r w:rsidRPr="001B664D">
        <w:rPr>
          <w:rStyle w:val="af7"/>
          <w:rFonts w:eastAsia="Guttman Hodes" w:hint="cs"/>
          <w:rtl/>
        </w:rPr>
        <w:t xml:space="preserve">(עי' אות </w:t>
      </w:r>
      <w:r w:rsidRPr="001B664D">
        <w:rPr>
          <w:rStyle w:val="af7"/>
          <w:rFonts w:eastAsia="Guttman Hodes"/>
          <w:rtl/>
        </w:rPr>
        <w:fldChar w:fldCharType="begin"/>
      </w:r>
      <w:r w:rsidRPr="001B664D">
        <w:rPr>
          <w:rStyle w:val="af7"/>
          <w:rFonts w:eastAsia="Guttman Hodes"/>
          <w:rtl/>
        </w:rPr>
        <w:instrText xml:space="preserve"> </w:instrText>
      </w:r>
      <w:r w:rsidRPr="001B664D">
        <w:rPr>
          <w:rStyle w:val="af7"/>
          <w:rFonts w:eastAsia="Guttman Hodes" w:hint="cs"/>
        </w:rPr>
        <w:instrText>REF</w:instrText>
      </w:r>
      <w:r w:rsidRPr="001B664D">
        <w:rPr>
          <w:rStyle w:val="af7"/>
          <w:rFonts w:eastAsia="Guttman Hodes" w:hint="cs"/>
          <w:rtl/>
        </w:rPr>
        <w:instrText xml:space="preserve"> _</w:instrText>
      </w:r>
      <w:r w:rsidRPr="001B664D">
        <w:rPr>
          <w:rStyle w:val="af7"/>
          <w:rFonts w:eastAsia="Guttman Hodes" w:hint="cs"/>
        </w:rPr>
        <w:instrText>Ref2195569 \r \h</w:instrText>
      </w:r>
      <w:r w:rsidRPr="001B664D">
        <w:rPr>
          <w:rStyle w:val="af7"/>
          <w:rFonts w:eastAsia="Guttman Hodes"/>
          <w:rtl/>
        </w:rPr>
        <w:instrText xml:space="preserve"> </w:instrText>
      </w:r>
      <w:r w:rsidRPr="001B664D">
        <w:rPr>
          <w:rStyle w:val="af7"/>
          <w:rFonts w:eastAsia="Guttman Hodes"/>
          <w:rtl/>
        </w:rPr>
      </w:r>
      <w:r w:rsidRPr="001B664D">
        <w:rPr>
          <w:rStyle w:val="af7"/>
          <w:rFonts w:eastAsia="Guttman Hodes"/>
          <w:rtl/>
        </w:rPr>
        <w:fldChar w:fldCharType="separate"/>
      </w:r>
      <w:r w:rsidR="00345400">
        <w:rPr>
          <w:rStyle w:val="af7"/>
          <w:rFonts w:eastAsia="Guttman Hodes"/>
          <w:cs/>
        </w:rPr>
        <w:t>‎</w:t>
      </w:r>
      <w:r w:rsidR="00345400">
        <w:rPr>
          <w:rStyle w:val="af7"/>
          <w:rFonts w:eastAsia="Guttman Hodes"/>
          <w:rtl/>
        </w:rPr>
        <w:t>נד)</w:t>
      </w:r>
      <w:r w:rsidRPr="001B664D">
        <w:rPr>
          <w:rStyle w:val="af7"/>
          <w:rFonts w:eastAsia="Guttman Hodes"/>
          <w:rtl/>
        </w:rPr>
        <w:fldChar w:fldCharType="end"/>
      </w:r>
      <w:r w:rsidRPr="001B664D">
        <w:rPr>
          <w:rStyle w:val="af7"/>
          <w:rFonts w:eastAsia="Guttman Hodes" w:hint="cs"/>
          <w:rtl/>
        </w:rPr>
        <w:t xml:space="preserve"> </w:t>
      </w:r>
      <w:r w:rsidRPr="002A56BB">
        <w:rPr>
          <w:rtl/>
        </w:rPr>
        <w:t>דבבן פקועה יש היתר מיוחד דמתיר את כל האיסורים שבו, ואינו רק מדין שחיטת אמו דחשיב שהוא עצמו שחוט, דהא א</w:t>
      </w:r>
      <w:r w:rsidRPr="002A56BB">
        <w:rPr>
          <w:rFonts w:hint="cs"/>
          <w:rtl/>
        </w:rPr>
        <w:t>"</w:t>
      </w:r>
      <w:r w:rsidRPr="002A56BB">
        <w:rPr>
          <w:rtl/>
        </w:rPr>
        <w:t>א לומר שהחתיכה חשיבא שנשחטה</w:t>
      </w:r>
      <w:r w:rsidRPr="002A56BB">
        <w:rPr>
          <w:rFonts w:hint="cs"/>
          <w:rtl/>
        </w:rPr>
        <w:t>,</w:t>
      </w:r>
      <w:r w:rsidRPr="002A56BB">
        <w:rPr>
          <w:rtl/>
        </w:rPr>
        <w:t xml:space="preserve"> </w:t>
      </w:r>
      <w:r w:rsidRPr="002A56BB">
        <w:rPr>
          <w:rFonts w:hint="cs"/>
          <w:rtl/>
        </w:rPr>
        <w:t xml:space="preserve">וביאר </w:t>
      </w:r>
      <w:r w:rsidRPr="002A56BB">
        <w:rPr>
          <w:rStyle w:val="af9"/>
          <w:rtl/>
        </w:rPr>
        <w:t>הנאות יעקב</w:t>
      </w:r>
      <w:r w:rsidRPr="002A56BB">
        <w:rPr>
          <w:rtl/>
        </w:rPr>
        <w:t xml:space="preserve"> </w:t>
      </w:r>
      <w:r w:rsidRPr="002A56BB">
        <w:rPr>
          <w:rFonts w:hint="cs"/>
          <w:rtl/>
        </w:rPr>
        <w:t xml:space="preserve">דס"ל </w:t>
      </w:r>
      <w:r w:rsidRPr="002A56BB">
        <w:rPr>
          <w:rStyle w:val="af9"/>
          <w:rFonts w:hint="cs"/>
          <w:rtl/>
        </w:rPr>
        <w:t>להרא"ש</w:t>
      </w:r>
      <w:r w:rsidRPr="002A56BB">
        <w:rPr>
          <w:rFonts w:hint="cs"/>
          <w:rtl/>
        </w:rPr>
        <w:t xml:space="preserve"> דע"י היתר "כל בבהמה תאכלו", הותרו כל האיסורים שבעובר בשחיטת אמו, ואף החלב של העובר הותר ע"י שחיטת אמו</w:t>
      </w:r>
      <w:r>
        <w:rPr>
          <w:rFonts w:hint="cs"/>
          <w:rtl/>
        </w:rPr>
        <w:t xml:space="preserve">, </w:t>
      </w:r>
      <w:r w:rsidRPr="000250A1">
        <w:rPr>
          <w:rStyle w:val="afb"/>
          <w:rFonts w:hint="cs"/>
          <w:rtl/>
        </w:rPr>
        <w:t xml:space="preserve">[ואף דמו היה צריך להיות בכלל ההיתר כמבואר בדברי </w:t>
      </w:r>
      <w:r w:rsidRPr="000250A1">
        <w:rPr>
          <w:rStyle w:val="affa"/>
          <w:rFonts w:hint="cs"/>
          <w:rtl/>
        </w:rPr>
        <w:t>הרא"ש</w:t>
      </w:r>
      <w:r w:rsidRPr="000250A1">
        <w:rPr>
          <w:rStyle w:val="afb"/>
          <w:rFonts w:hint="cs"/>
          <w:rtl/>
        </w:rPr>
        <w:t xml:space="preserve"> </w:t>
      </w:r>
      <w:r w:rsidRPr="00F43A43">
        <w:rPr>
          <w:rStyle w:val="aff6"/>
          <w:rFonts w:hint="cs"/>
          <w:rtl/>
        </w:rPr>
        <w:t xml:space="preserve">(עי' אות </w:t>
      </w:r>
      <w:r w:rsidRPr="00F43A43">
        <w:rPr>
          <w:rStyle w:val="aff6"/>
          <w:rtl/>
        </w:rPr>
        <w:fldChar w:fldCharType="begin"/>
      </w:r>
      <w:r w:rsidRPr="00F43A43">
        <w:rPr>
          <w:rStyle w:val="aff6"/>
          <w:rtl/>
        </w:rPr>
        <w:instrText xml:space="preserve"> </w:instrText>
      </w:r>
      <w:r w:rsidRPr="00F43A43">
        <w:rPr>
          <w:rStyle w:val="aff6"/>
          <w:rFonts w:hint="cs"/>
        </w:rPr>
        <w:instrText>REF</w:instrText>
      </w:r>
      <w:r w:rsidRPr="00F43A43">
        <w:rPr>
          <w:rStyle w:val="aff6"/>
          <w:rFonts w:hint="cs"/>
          <w:rtl/>
        </w:rPr>
        <w:instrText xml:space="preserve"> _</w:instrText>
      </w:r>
      <w:r w:rsidRPr="00F43A43">
        <w:rPr>
          <w:rStyle w:val="aff6"/>
          <w:rFonts w:hint="cs"/>
        </w:rPr>
        <w:instrText>Ref1937481 \r \h</w:instrText>
      </w:r>
      <w:r w:rsidRPr="00F43A43">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F43A43">
        <w:rPr>
          <w:rStyle w:val="aff6"/>
          <w:rtl/>
        </w:rPr>
      </w:r>
      <w:r w:rsidRPr="00F43A43">
        <w:rPr>
          <w:rStyle w:val="aff6"/>
          <w:rtl/>
        </w:rPr>
        <w:fldChar w:fldCharType="separate"/>
      </w:r>
      <w:r w:rsidR="00345400">
        <w:rPr>
          <w:rStyle w:val="aff6"/>
          <w:cs/>
        </w:rPr>
        <w:t>‎</w:t>
      </w:r>
      <w:r w:rsidR="00345400">
        <w:rPr>
          <w:rStyle w:val="aff6"/>
          <w:rtl/>
        </w:rPr>
        <w:t>נה)</w:t>
      </w:r>
      <w:r w:rsidRPr="00F43A43">
        <w:rPr>
          <w:rStyle w:val="aff6"/>
          <w:rtl/>
        </w:rPr>
        <w:fldChar w:fldCharType="end"/>
      </w:r>
      <w:r w:rsidRPr="000250A1">
        <w:rPr>
          <w:rStyle w:val="afb"/>
          <w:rFonts w:hint="cs"/>
          <w:rtl/>
        </w:rPr>
        <w:t>]</w:t>
      </w:r>
      <w:r>
        <w:rPr>
          <w:rStyle w:val="afb"/>
          <w:rFonts w:hint="cs"/>
          <w:rtl/>
        </w:rPr>
        <w:t xml:space="preserve">, </w:t>
      </w:r>
      <w:r w:rsidRPr="006B5D82">
        <w:rPr>
          <w:rFonts w:hint="cs"/>
          <w:rtl/>
        </w:rPr>
        <w:t xml:space="preserve">וע"ע במה שביאר </w:t>
      </w:r>
      <w:r w:rsidRPr="006B5D82">
        <w:rPr>
          <w:rStyle w:val="af9"/>
          <w:rFonts w:hint="cs"/>
          <w:rtl/>
        </w:rPr>
        <w:t>הנאות יעקב</w:t>
      </w:r>
      <w:r w:rsidRPr="006B5D82">
        <w:rPr>
          <w:rFonts w:hint="cs"/>
          <w:rtl/>
        </w:rPr>
        <w:t xml:space="preserve"> </w:t>
      </w:r>
      <w:r w:rsidRPr="006B5D82">
        <w:rPr>
          <w:rStyle w:val="af7"/>
          <w:rFonts w:eastAsia="Guttman Hodes" w:hint="cs"/>
          <w:rtl/>
        </w:rPr>
        <w:t xml:space="preserve">(עי' אות </w:t>
      </w:r>
      <w:r w:rsidRPr="006B5D82">
        <w:rPr>
          <w:rStyle w:val="af7"/>
          <w:rFonts w:eastAsia="Guttman Hodes"/>
          <w:rtl/>
        </w:rPr>
        <w:fldChar w:fldCharType="begin"/>
      </w:r>
      <w:r w:rsidRPr="006B5D82">
        <w:rPr>
          <w:rStyle w:val="af7"/>
          <w:rFonts w:eastAsia="Guttman Hodes"/>
          <w:rtl/>
        </w:rPr>
        <w:instrText xml:space="preserve"> </w:instrText>
      </w:r>
      <w:r w:rsidRPr="006B5D82">
        <w:rPr>
          <w:rStyle w:val="af7"/>
          <w:rFonts w:eastAsia="Guttman Hodes" w:hint="cs"/>
        </w:rPr>
        <w:instrText>REF</w:instrText>
      </w:r>
      <w:r w:rsidRPr="006B5D82">
        <w:rPr>
          <w:rStyle w:val="af7"/>
          <w:rFonts w:eastAsia="Guttman Hodes" w:hint="cs"/>
          <w:rtl/>
        </w:rPr>
        <w:instrText xml:space="preserve"> _</w:instrText>
      </w:r>
      <w:r w:rsidRPr="006B5D82">
        <w:rPr>
          <w:rStyle w:val="af7"/>
          <w:rFonts w:eastAsia="Guttman Hodes" w:hint="cs"/>
        </w:rPr>
        <w:instrText>Ref2195906 \r \h</w:instrText>
      </w:r>
      <w:r w:rsidRPr="006B5D82">
        <w:rPr>
          <w:rStyle w:val="af7"/>
          <w:rFonts w:eastAsia="Guttman Hodes"/>
          <w:rtl/>
        </w:rPr>
        <w:instrText xml:space="preserve"> </w:instrText>
      </w:r>
      <w:r w:rsidRPr="006B5D82">
        <w:rPr>
          <w:rStyle w:val="af7"/>
          <w:rFonts w:eastAsia="Guttman Hodes"/>
          <w:rtl/>
        </w:rPr>
      </w:r>
      <w:r w:rsidRPr="006B5D82">
        <w:rPr>
          <w:rStyle w:val="af7"/>
          <w:rFonts w:eastAsia="Guttman Hodes"/>
          <w:rtl/>
        </w:rPr>
        <w:fldChar w:fldCharType="separate"/>
      </w:r>
      <w:r w:rsidR="00345400">
        <w:rPr>
          <w:rStyle w:val="af7"/>
          <w:rFonts w:eastAsia="Guttman Hodes"/>
          <w:cs/>
        </w:rPr>
        <w:t>‎</w:t>
      </w:r>
      <w:r w:rsidR="00345400">
        <w:rPr>
          <w:rStyle w:val="af7"/>
          <w:rFonts w:eastAsia="Guttman Hodes"/>
          <w:rtl/>
        </w:rPr>
        <w:t>יז)</w:t>
      </w:r>
      <w:r w:rsidRPr="006B5D82">
        <w:rPr>
          <w:rStyle w:val="af7"/>
          <w:rFonts w:eastAsia="Guttman Hodes"/>
          <w:rtl/>
        </w:rPr>
        <w:fldChar w:fldCharType="end"/>
      </w:r>
      <w:r>
        <w:rPr>
          <w:rFonts w:hint="cs"/>
          <w:rtl/>
        </w:rPr>
        <w:t xml:space="preserve"> </w:t>
      </w:r>
      <w:r w:rsidRPr="006B5D82">
        <w:rPr>
          <w:rFonts w:hint="cs"/>
          <w:rtl/>
        </w:rPr>
        <w:t xml:space="preserve">בדעת </w:t>
      </w:r>
      <w:r w:rsidRPr="006B5D82">
        <w:rPr>
          <w:rStyle w:val="af9"/>
          <w:rFonts w:hint="cs"/>
          <w:rtl/>
        </w:rPr>
        <w:t>הר"ן והרא"ה</w:t>
      </w:r>
      <w:r w:rsidRPr="006B5D82">
        <w:rPr>
          <w:rFonts w:hint="cs"/>
          <w:rtl/>
        </w:rPr>
        <w:t>.</w:t>
      </w:r>
      <w:bookmarkEnd w:id="21901"/>
    </w:p>
    <w:p w14:paraId="166825B9" w14:textId="77777777" w:rsidR="003D504D" w:rsidRDefault="003D504D" w:rsidP="00BF39B2">
      <w:pPr>
        <w:pStyle w:val="1"/>
        <w:rPr>
          <w:rtl/>
        </w:rPr>
      </w:pPr>
      <w:bookmarkStart w:id="21902" w:name="_Toc2198234"/>
      <w:bookmarkStart w:id="21903" w:name="_Toc19391735"/>
      <w:bookmarkStart w:id="21904" w:name="_Toc19395232"/>
      <w:r w:rsidRPr="00583503">
        <w:rPr>
          <w:rFonts w:hint="cs"/>
          <w:rtl/>
        </w:rPr>
        <w:t>ביאור הנאו</w:t>
      </w:r>
      <w:r>
        <w:rPr>
          <w:rFonts w:hint="cs"/>
          <w:rtl/>
        </w:rPr>
        <w:t>ת יעקב</w:t>
      </w:r>
      <w:r w:rsidRPr="00583503">
        <w:rPr>
          <w:rFonts w:hint="cs"/>
          <w:rtl/>
        </w:rPr>
        <w:t xml:space="preserve"> ברש"י דאין לבן פקועה דין בהמה</w:t>
      </w:r>
      <w:bookmarkEnd w:id="21902"/>
      <w:bookmarkEnd w:id="21903"/>
      <w:bookmarkEnd w:id="21904"/>
    </w:p>
    <w:p w14:paraId="347BEB78" w14:textId="77777777" w:rsidR="003D504D" w:rsidRPr="00642B2E" w:rsidRDefault="003D504D" w:rsidP="003D504D">
      <w:pPr>
        <w:pStyle w:val="a3"/>
        <w:rPr>
          <w:rtl/>
        </w:rPr>
      </w:pPr>
      <w:bookmarkStart w:id="21905" w:name="_Toc2198235"/>
      <w:bookmarkStart w:id="21906" w:name="_Toc19391736"/>
      <w:bookmarkStart w:id="21907" w:name="_Toc19395233"/>
      <w:r>
        <w:rPr>
          <w:rFonts w:hint="cs"/>
          <w:rtl/>
        </w:rPr>
        <w:t>ביאור הנאות יעקב ברש"י דההיתר בבן פקועה מתיר את כל האיסורים שבו</w:t>
      </w:r>
      <w:bookmarkEnd w:id="21905"/>
      <w:bookmarkEnd w:id="21906"/>
      <w:bookmarkEnd w:id="21907"/>
    </w:p>
    <w:p w14:paraId="11053C74" w14:textId="77777777" w:rsidR="003D504D" w:rsidRDefault="003D504D" w:rsidP="00223668">
      <w:pPr>
        <w:pStyle w:val="a0"/>
        <w:rPr>
          <w:rtl/>
        </w:rPr>
      </w:pPr>
      <w:bookmarkStart w:id="21908" w:name="_Ref2195842"/>
      <w:r>
        <w:rPr>
          <w:rFonts w:hint="cs"/>
          <w:rtl/>
        </w:rPr>
        <w:t xml:space="preserve">והביא </w:t>
      </w:r>
      <w:r w:rsidRPr="00521F0E">
        <w:rPr>
          <w:rStyle w:val="af9"/>
          <w:rFonts w:hint="cs"/>
          <w:rtl/>
        </w:rPr>
        <w:t>הנאות יעקב</w:t>
      </w:r>
      <w:r>
        <w:rPr>
          <w:rFonts w:hint="cs"/>
          <w:rtl/>
        </w:rPr>
        <w:t xml:space="preserve"> את דברי </w:t>
      </w:r>
      <w:r w:rsidRPr="00521F0E">
        <w:rPr>
          <w:rStyle w:val="af9"/>
          <w:rFonts w:hint="cs"/>
          <w:rtl/>
        </w:rPr>
        <w:t>רש"י לקמן</w:t>
      </w:r>
      <w:r>
        <w:rPr>
          <w:rFonts w:hint="cs"/>
          <w:rtl/>
        </w:rPr>
        <w:t xml:space="preserve"> </w:t>
      </w:r>
      <w:r w:rsidRPr="00521F0E">
        <w:rPr>
          <w:rStyle w:val="af7"/>
          <w:rFonts w:eastAsia="Guttman Hodes" w:hint="cs"/>
          <w:rtl/>
        </w:rPr>
        <w:t>(עה. ד"ה דהושיט)</w:t>
      </w:r>
      <w:r>
        <w:rPr>
          <w:rFonts w:hint="cs"/>
          <w:rtl/>
        </w:rPr>
        <w:t xml:space="preserve"> דכתב דלדעת ריו"ח לקמן </w:t>
      </w:r>
      <w:r w:rsidRPr="009C202D">
        <w:rPr>
          <w:rStyle w:val="af7"/>
          <w:rFonts w:eastAsia="Guttman Hodes" w:hint="cs"/>
          <w:rtl/>
        </w:rPr>
        <w:t>(</w:t>
      </w:r>
      <w:r>
        <w:rPr>
          <w:rStyle w:val="af7"/>
          <w:rFonts w:eastAsia="Guttman Hodes" w:hint="cs"/>
          <w:rtl/>
        </w:rPr>
        <w:t>עה.</w:t>
      </w:r>
      <w:r w:rsidRPr="009C202D">
        <w:rPr>
          <w:rStyle w:val="af7"/>
          <w:rFonts w:eastAsia="Guttman Hodes" w:hint="cs"/>
          <w:rtl/>
        </w:rPr>
        <w:t>)</w:t>
      </w:r>
      <w:r>
        <w:rPr>
          <w:rFonts w:hint="cs"/>
          <w:rtl/>
        </w:rPr>
        <w:t xml:space="preserve"> דעובר שכלו לו חדשיו חלבו אסור, </w:t>
      </w:r>
      <w:r w:rsidRPr="00521F0E">
        <w:rPr>
          <w:rStyle w:val="afb"/>
          <w:rFonts w:hint="cs"/>
          <w:rtl/>
        </w:rPr>
        <w:t>[</w:t>
      </w:r>
      <w:r>
        <w:rPr>
          <w:rStyle w:val="afb"/>
          <w:rFonts w:hint="cs"/>
          <w:rtl/>
        </w:rPr>
        <w:t>ב</w:t>
      </w:r>
      <w:r w:rsidRPr="00521F0E">
        <w:rPr>
          <w:rStyle w:val="afb"/>
          <w:rFonts w:hint="cs"/>
          <w:rtl/>
        </w:rPr>
        <w:t>הושיט את ידו למעי אמו ותלש חתיכת חלב</w:t>
      </w:r>
      <w:r>
        <w:rPr>
          <w:rStyle w:val="afb"/>
          <w:rFonts w:hint="cs"/>
          <w:rtl/>
        </w:rPr>
        <w:t xml:space="preserve"> מהעובר</w:t>
      </w:r>
      <w:r w:rsidRPr="00521F0E">
        <w:rPr>
          <w:rStyle w:val="afb"/>
          <w:rFonts w:hint="cs"/>
          <w:rtl/>
        </w:rPr>
        <w:t>]</w:t>
      </w:r>
      <w:r>
        <w:rPr>
          <w:rFonts w:hint="cs"/>
          <w:rtl/>
        </w:rPr>
        <w:t xml:space="preserve">, מ"מ אחר שנשחטה אמו ס"ל לריו"ח דחלבו מותר, כיון שיש בו היתר "כל בבהמה תאכלו", </w:t>
      </w:r>
      <w:r w:rsidRPr="002077B7">
        <w:rPr>
          <w:rFonts w:hint="cs"/>
          <w:rtl/>
        </w:rPr>
        <w:t xml:space="preserve">וכתב </w:t>
      </w:r>
      <w:r w:rsidRPr="002077B7">
        <w:rPr>
          <w:rStyle w:val="af9"/>
          <w:rFonts w:hint="cs"/>
          <w:rtl/>
        </w:rPr>
        <w:t>הנאות יעקב</w:t>
      </w:r>
      <w:r w:rsidRPr="002077B7">
        <w:rPr>
          <w:rFonts w:hint="cs"/>
          <w:rtl/>
        </w:rPr>
        <w:t xml:space="preserve"> דמבואר מדברי </w:t>
      </w:r>
      <w:r w:rsidRPr="002077B7">
        <w:rPr>
          <w:rStyle w:val="af9"/>
          <w:rFonts w:hint="cs"/>
          <w:rtl/>
        </w:rPr>
        <w:t>רש"י לקמן</w:t>
      </w:r>
      <w:r w:rsidRPr="002077B7">
        <w:rPr>
          <w:rFonts w:hint="cs"/>
          <w:rtl/>
        </w:rPr>
        <w:t xml:space="preserve"> דס"ל כדברי </w:t>
      </w:r>
      <w:r w:rsidRPr="002077B7">
        <w:rPr>
          <w:rStyle w:val="af9"/>
          <w:rFonts w:hint="cs"/>
          <w:rtl/>
        </w:rPr>
        <w:t>הרא"ש</w:t>
      </w:r>
      <w:r>
        <w:rPr>
          <w:rFonts w:hint="cs"/>
          <w:rtl/>
        </w:rPr>
        <w:t xml:space="preserve"> </w:t>
      </w:r>
      <w:r w:rsidRPr="002077B7">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Ref2161174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סא)</w:t>
      </w:r>
      <w:r>
        <w:rPr>
          <w:rStyle w:val="af7"/>
          <w:rFonts w:eastAsia="Guttman Hodes"/>
          <w:rtl/>
        </w:rPr>
        <w:fldChar w:fldCharType="end"/>
      </w:r>
      <w:r w:rsidRPr="002077B7">
        <w:rPr>
          <w:rFonts w:hint="cs"/>
          <w:rtl/>
        </w:rPr>
        <w:t>, דההיתר בבן פקועה אינו מחמת שחשיב שנשחט בשחיטת אמו, אלא</w:t>
      </w:r>
      <w:r>
        <w:rPr>
          <w:rFonts w:hint="cs"/>
          <w:rtl/>
        </w:rPr>
        <w:t xml:space="preserve"> שיש בו היתר מיוחד שמתיר את כל האיסורים שבו.</w:t>
      </w:r>
      <w:bookmarkEnd w:id="21908"/>
    </w:p>
    <w:p w14:paraId="10ECEA29" w14:textId="77777777" w:rsidR="003D504D" w:rsidRDefault="003D504D" w:rsidP="003D504D">
      <w:pPr>
        <w:pStyle w:val="a3"/>
        <w:rPr>
          <w:rtl/>
        </w:rPr>
      </w:pPr>
      <w:bookmarkStart w:id="21909" w:name="_Toc2198236"/>
      <w:bookmarkStart w:id="21910" w:name="_Toc19391737"/>
      <w:bookmarkStart w:id="21911" w:name="_Toc19395234"/>
      <w:r>
        <w:rPr>
          <w:rFonts w:hint="cs"/>
          <w:rtl/>
        </w:rPr>
        <w:t>ביאור הנאות יעקב דס"ל לרש"י דההיתר הוא דאינו כבהמה וממילא אין בו איסורי בהמה</w:t>
      </w:r>
      <w:bookmarkEnd w:id="21909"/>
      <w:bookmarkEnd w:id="21910"/>
      <w:bookmarkEnd w:id="21911"/>
    </w:p>
    <w:p w14:paraId="6BDFED53" w14:textId="77777777" w:rsidR="003D504D" w:rsidRDefault="003D504D" w:rsidP="00223668">
      <w:pPr>
        <w:pStyle w:val="a0"/>
        <w:rPr>
          <w:rtl/>
        </w:rPr>
        <w:sectPr w:rsidR="003D504D" w:rsidSect="005049E2">
          <w:type w:val="continuous"/>
          <w:pgSz w:w="11906" w:h="16838"/>
          <w:pgMar w:top="720" w:right="720" w:bottom="720" w:left="720" w:header="283" w:footer="283" w:gutter="0"/>
          <w:cols w:num="2" w:space="567"/>
          <w:titlePg/>
          <w:bidi/>
          <w:rtlGutter/>
          <w:docGrid w:linePitch="299"/>
        </w:sectPr>
      </w:pPr>
      <w:bookmarkStart w:id="21912" w:name="_Ref2539965"/>
      <w:r>
        <w:rPr>
          <w:rFonts w:hint="cs"/>
          <w:rtl/>
        </w:rPr>
        <w:t xml:space="preserve">ועו"כ </w:t>
      </w:r>
      <w:r w:rsidRPr="00902598">
        <w:rPr>
          <w:rStyle w:val="af9"/>
          <w:rFonts w:hint="cs"/>
          <w:rtl/>
        </w:rPr>
        <w:t>הנאות יעקב</w:t>
      </w:r>
      <w:r>
        <w:rPr>
          <w:rFonts w:hint="cs"/>
          <w:rtl/>
        </w:rPr>
        <w:t xml:space="preserve"> </w:t>
      </w:r>
      <w:r>
        <w:rPr>
          <w:rStyle w:val="af9"/>
          <w:rFonts w:hint="cs"/>
          <w:rtl/>
        </w:rPr>
        <w:t>דב</w:t>
      </w:r>
      <w:r w:rsidRPr="00902598">
        <w:rPr>
          <w:rStyle w:val="af9"/>
          <w:rFonts w:hint="cs"/>
          <w:rtl/>
        </w:rPr>
        <w:t>רש"</w:t>
      </w:r>
      <w:r>
        <w:rPr>
          <w:rStyle w:val="af9"/>
          <w:rFonts w:hint="cs"/>
          <w:rtl/>
        </w:rPr>
        <w:t>י ל</w:t>
      </w:r>
      <w:r w:rsidRPr="00902598">
        <w:rPr>
          <w:rStyle w:val="af9"/>
          <w:rFonts w:hint="cs"/>
          <w:rtl/>
        </w:rPr>
        <w:t>קמן</w:t>
      </w:r>
      <w:r>
        <w:rPr>
          <w:rFonts w:hint="cs"/>
          <w:rtl/>
        </w:rPr>
        <w:t xml:space="preserve"> </w:t>
      </w:r>
      <w:r w:rsidRPr="00691D87">
        <w:rPr>
          <w:rStyle w:val="af7"/>
          <w:rFonts w:eastAsia="Guttman Hodes" w:hint="cs"/>
          <w:rtl/>
        </w:rPr>
        <w:t>(עד: ד"ה אלא על עסקי שחיטה בלבד)</w:t>
      </w:r>
      <w:r>
        <w:rPr>
          <w:rFonts w:hint="cs"/>
          <w:rtl/>
        </w:rPr>
        <w:t xml:space="preserve"> כתב ביתר ביאור, דבהא דאיתא בגמ' לקמן </w:t>
      </w:r>
      <w:r w:rsidRPr="00691D87">
        <w:rPr>
          <w:rStyle w:val="af7"/>
          <w:rFonts w:eastAsia="Guttman Hodes" w:hint="cs"/>
          <w:rtl/>
        </w:rPr>
        <w:t>(עד:)</w:t>
      </w:r>
      <w:r>
        <w:rPr>
          <w:rFonts w:hint="cs"/>
          <w:rtl/>
        </w:rPr>
        <w:t xml:space="preserve"> דכל מה שהתירו חכמים בבן פקועה, שאין לו דין בהמה היינו רק לעסקי אכילה, ולא לענין שאר דבריו כהרובעו והחורש בו, ביאר </w:t>
      </w:r>
      <w:r w:rsidRPr="00902598">
        <w:rPr>
          <w:rStyle w:val="af9"/>
          <w:rFonts w:hint="cs"/>
          <w:rtl/>
        </w:rPr>
        <w:t>רש"</w:t>
      </w:r>
      <w:r>
        <w:rPr>
          <w:rStyle w:val="af9"/>
          <w:rFonts w:hint="cs"/>
          <w:rtl/>
        </w:rPr>
        <w:t>י ל</w:t>
      </w:r>
      <w:r w:rsidRPr="00902598">
        <w:rPr>
          <w:rStyle w:val="af9"/>
          <w:rFonts w:hint="cs"/>
          <w:rtl/>
        </w:rPr>
        <w:t>קמן</w:t>
      </w:r>
      <w:r>
        <w:rPr>
          <w:rFonts w:hint="cs"/>
          <w:rtl/>
        </w:rPr>
        <w:t xml:space="preserve"> דלשאר דבריו מודו רבנן דהוא כבהמה מעלייתא, וכתב </w:t>
      </w:r>
      <w:r w:rsidRPr="00902598">
        <w:rPr>
          <w:rStyle w:val="af9"/>
          <w:rFonts w:hint="cs"/>
          <w:rtl/>
        </w:rPr>
        <w:t>הנאות יעקב</w:t>
      </w:r>
      <w:r>
        <w:rPr>
          <w:rFonts w:hint="cs"/>
          <w:rtl/>
        </w:rPr>
        <w:t xml:space="preserve"> דמדברי </w:t>
      </w:r>
      <w:r w:rsidRPr="00902598">
        <w:rPr>
          <w:rStyle w:val="af9"/>
          <w:rFonts w:hint="cs"/>
          <w:rtl/>
        </w:rPr>
        <w:t>רש"י</w:t>
      </w:r>
      <w:r>
        <w:rPr>
          <w:rFonts w:hint="cs"/>
          <w:rtl/>
        </w:rPr>
        <w:t xml:space="preserve"> אלו מבואר דההיתר דבן פקועה, הוא דאינו חשוב כבהמה כלל, ולכן אין בו את האיסורים שנוהגים בבהמה</w:t>
      </w:r>
      <w:bookmarkEnd w:id="21912"/>
      <w:r>
        <w:rPr>
          <w:rFonts w:hint="cs"/>
          <w:rtl/>
        </w:rPr>
        <w:t>.</w:t>
      </w:r>
    </w:p>
    <w:p w14:paraId="08A07F78" w14:textId="77777777" w:rsidR="003D504D" w:rsidRDefault="003D504D" w:rsidP="00223668">
      <w:pPr>
        <w:pStyle w:val="a0"/>
        <w:numPr>
          <w:ilvl w:val="0"/>
          <w:numId w:val="0"/>
        </w:numPr>
        <w:rPr>
          <w:rtl/>
        </w:rPr>
      </w:pPr>
    </w:p>
    <w:p w14:paraId="1046CAE1" w14:textId="77777777" w:rsidR="003D504D" w:rsidRDefault="003D504D" w:rsidP="003D504D">
      <w:pPr>
        <w:pStyle w:val="afe"/>
        <w:rPr>
          <w:rtl/>
        </w:rPr>
        <w:sectPr w:rsidR="003D504D" w:rsidSect="005049E2">
          <w:type w:val="continuous"/>
          <w:pgSz w:w="11906" w:h="16838"/>
          <w:pgMar w:top="720" w:right="720" w:bottom="720" w:left="720" w:header="283" w:footer="283" w:gutter="0"/>
          <w:cols w:num="2" w:space="567"/>
          <w:titlePg/>
          <w:bidi/>
          <w:rtlGutter/>
          <w:docGrid w:linePitch="299"/>
        </w:sectPr>
      </w:pPr>
    </w:p>
    <w:p w14:paraId="06E1DAA1" w14:textId="77777777" w:rsidR="003D504D" w:rsidRDefault="003D504D" w:rsidP="003D504D">
      <w:pPr>
        <w:pStyle w:val="afe"/>
        <w:rPr>
          <w:rtl/>
        </w:rPr>
      </w:pPr>
      <w:bookmarkStart w:id="21913" w:name="_Toc19436253"/>
      <w:bookmarkStart w:id="21914" w:name="_Toc20081408"/>
      <w:r>
        <w:rPr>
          <w:rFonts w:hint="cs"/>
          <w:rtl/>
        </w:rPr>
        <w:t>בענין הרובעו וחורש בו</w:t>
      </w:r>
      <w:bookmarkEnd w:id="21913"/>
      <w:bookmarkEnd w:id="21914"/>
    </w:p>
    <w:p w14:paraId="218D1181" w14:textId="77777777" w:rsidR="003D504D" w:rsidRDefault="003D504D" w:rsidP="00BF39B2">
      <w:pPr>
        <w:pStyle w:val="1"/>
        <w:rPr>
          <w:rtl/>
        </w:rPr>
      </w:pPr>
      <w:bookmarkStart w:id="21915" w:name="_Toc19391738"/>
      <w:bookmarkStart w:id="21916" w:name="_Toc19395235"/>
      <w:r>
        <w:rPr>
          <w:rFonts w:hint="cs"/>
          <w:rtl/>
        </w:rPr>
        <w:t>ביאורי הראשונים באיסור רביעה וחרישה בבן פקועה</w:t>
      </w:r>
      <w:bookmarkEnd w:id="21915"/>
      <w:bookmarkEnd w:id="21916"/>
    </w:p>
    <w:p w14:paraId="3BE5527D" w14:textId="77777777" w:rsidR="003D504D" w:rsidRDefault="003D504D" w:rsidP="003D504D">
      <w:pPr>
        <w:pStyle w:val="a3"/>
        <w:rPr>
          <w:rtl/>
        </w:rPr>
      </w:pPr>
      <w:bookmarkStart w:id="21917" w:name="_Toc19391739"/>
      <w:bookmarkStart w:id="21918" w:name="_Toc19395236"/>
      <w:r>
        <w:rPr>
          <w:rFonts w:hint="cs"/>
          <w:rtl/>
        </w:rPr>
        <w:t>דברי רש"י דאף שאינו חשיב בהמה מ"מ הרובעו החורש בו בכלאים לוקה</w:t>
      </w:r>
      <w:bookmarkEnd w:id="21917"/>
      <w:bookmarkEnd w:id="21918"/>
    </w:p>
    <w:p w14:paraId="679A49F8" w14:textId="77777777" w:rsidR="003D504D" w:rsidRDefault="003D504D" w:rsidP="00223668">
      <w:pPr>
        <w:pStyle w:val="a0"/>
        <w:rPr>
          <w:rtl/>
        </w:rPr>
      </w:pPr>
      <w:bookmarkStart w:id="21919" w:name="_Ref2246675"/>
      <w:r>
        <w:rPr>
          <w:rFonts w:hint="cs"/>
          <w:rtl/>
        </w:rPr>
        <w:t xml:space="preserve">בדברי רב אושעיה דדין בן פקועה הוא לענין אכילה, ולא לענין רביעה וחרישה, כתב </w:t>
      </w:r>
      <w:r w:rsidRPr="000113BF">
        <w:rPr>
          <w:rStyle w:val="af9"/>
          <w:rFonts w:hint="cs"/>
          <w:rtl/>
        </w:rPr>
        <w:t xml:space="preserve">רש"י </w:t>
      </w:r>
      <w:r w:rsidRPr="000113BF">
        <w:rPr>
          <w:rStyle w:val="af7"/>
          <w:rFonts w:eastAsia="Guttman Hodes" w:hint="cs"/>
          <w:rtl/>
        </w:rPr>
        <w:t>(ד"ה לא הילכו, ד"ה אלא, ד"ה למעוטי)</w:t>
      </w:r>
      <w:r>
        <w:rPr>
          <w:rFonts w:hint="cs"/>
          <w:rtl/>
        </w:rPr>
        <w:t xml:space="preserve"> דהא דאמרו חכמים שבן פקועה אינו נחשב בהמה, היינו רק לענין דמותר לאוכלו בלא שחיטה, וכן דחלבו וגידו מותרים באכילה, אבל הרובעו החורש בו בשור וחמור לוקה.</w:t>
      </w:r>
      <w:bookmarkEnd w:id="21919"/>
    </w:p>
    <w:p w14:paraId="251490A7" w14:textId="77777777" w:rsidR="003D504D" w:rsidRDefault="003D504D" w:rsidP="003D504D">
      <w:pPr>
        <w:pStyle w:val="a3"/>
        <w:rPr>
          <w:rtl/>
        </w:rPr>
      </w:pPr>
      <w:bookmarkStart w:id="21920" w:name="_Toc19391740"/>
      <w:bookmarkStart w:id="21921" w:name="_Toc19395237"/>
      <w:r>
        <w:rPr>
          <w:rFonts w:hint="cs"/>
          <w:rtl/>
        </w:rPr>
        <w:t>ביאור המאירי והרי"ד דלענין רביעה וחרישה הוא בהמה גמורה ואינו כאבר מאברי אמו</w:t>
      </w:r>
      <w:bookmarkEnd w:id="21920"/>
      <w:bookmarkEnd w:id="21921"/>
    </w:p>
    <w:p w14:paraId="20FE1D2D" w14:textId="77777777" w:rsidR="003D504D" w:rsidRDefault="003D504D" w:rsidP="00223668">
      <w:pPr>
        <w:pStyle w:val="a0"/>
        <w:rPr>
          <w:rtl/>
        </w:rPr>
      </w:pPr>
      <w:bookmarkStart w:id="21922" w:name="_Ref2246687"/>
      <w:r>
        <w:rPr>
          <w:rFonts w:hint="cs"/>
          <w:rtl/>
        </w:rPr>
        <w:t xml:space="preserve">וביאר </w:t>
      </w:r>
      <w:r w:rsidRPr="00CB17F8">
        <w:rPr>
          <w:rStyle w:val="af9"/>
          <w:rFonts w:hint="cs"/>
          <w:rtl/>
        </w:rPr>
        <w:t>המאירי</w:t>
      </w:r>
      <w:r>
        <w:rPr>
          <w:rFonts w:hint="cs"/>
          <w:rtl/>
        </w:rPr>
        <w:t xml:space="preserve"> </w:t>
      </w:r>
      <w:r w:rsidRPr="00CB17F8">
        <w:rPr>
          <w:rStyle w:val="af7"/>
          <w:rFonts w:eastAsia="Guttman Hodes" w:hint="cs"/>
          <w:rtl/>
        </w:rPr>
        <w:t>(ד"ה זהו)</w:t>
      </w:r>
      <w:r>
        <w:rPr>
          <w:rFonts w:hint="cs"/>
          <w:rtl/>
        </w:rPr>
        <w:t xml:space="preserve"> דאף דמעיקר הדין בן פקועה אינו נחשב בהמה לענין שחיטה, וחיוב השחיטה שלו הוא רק מדרבנן, וכן חלבו וגידו מותרים, מ"מ לענין איסור הרבעה בכלאים וחרישה בכלאים, חשיב כבהמה גמורה, וכ"כ </w:t>
      </w:r>
      <w:r w:rsidRPr="00CB17F8">
        <w:rPr>
          <w:rStyle w:val="af9"/>
          <w:rFonts w:hint="cs"/>
          <w:rtl/>
        </w:rPr>
        <w:t xml:space="preserve">בפסקי הרי"ד </w:t>
      </w:r>
      <w:r w:rsidRPr="007A56CC">
        <w:rPr>
          <w:rStyle w:val="af7"/>
          <w:rFonts w:eastAsia="Guttman Hodes" w:hint="cs"/>
          <w:rtl/>
        </w:rPr>
        <w:t>(ד"ה אמר</w:t>
      </w:r>
      <w:r>
        <w:rPr>
          <w:rStyle w:val="af7"/>
          <w:rFonts w:eastAsia="Guttman Hodes" w:hint="cs"/>
          <w:rtl/>
        </w:rPr>
        <w:t>,</w:t>
      </w:r>
      <w:r w:rsidRPr="007A56CC">
        <w:rPr>
          <w:rStyle w:val="af7"/>
          <w:rFonts w:eastAsia="Guttman Hodes" w:hint="cs"/>
          <w:rtl/>
        </w:rPr>
        <w:t xml:space="preserve"> </w:t>
      </w:r>
      <w:r w:rsidRPr="00491E97">
        <w:rPr>
          <w:rStyle w:val="af7"/>
          <w:rFonts w:eastAsia="Guttman Hodes" w:hint="cs"/>
          <w:rtl/>
        </w:rPr>
        <w:t xml:space="preserve">הועתק בקובץ שיטות קמאי חולין ח"ב עמ' </w:t>
      </w:r>
      <w:r w:rsidRPr="007A56CC">
        <w:rPr>
          <w:rStyle w:val="af7"/>
          <w:rFonts w:eastAsia="Guttman Hodes" w:hint="cs"/>
          <w:rtl/>
        </w:rPr>
        <w:t>אלף תרנ"ב)</w:t>
      </w:r>
      <w:r>
        <w:rPr>
          <w:rFonts w:hint="cs"/>
          <w:rtl/>
        </w:rPr>
        <w:t xml:space="preserve"> דרק לענין אכילה החשיבוהו כאבר מאברי אמו, ועי' במה שביאר </w:t>
      </w:r>
      <w:r w:rsidRPr="002E0EC6">
        <w:rPr>
          <w:rStyle w:val="af9"/>
          <w:rFonts w:hint="cs"/>
          <w:rtl/>
        </w:rPr>
        <w:t>האבי עזרי</w:t>
      </w:r>
      <w:r>
        <w:rPr>
          <w:rFonts w:hint="cs"/>
          <w:rtl/>
        </w:rPr>
        <w:t xml:space="preserve"> </w:t>
      </w:r>
      <w:r w:rsidRPr="002E0EC6">
        <w:rPr>
          <w:rStyle w:val="af7"/>
          <w:rFonts w:eastAsia="Guttman Hodes" w:hint="cs"/>
          <w:rtl/>
        </w:rPr>
        <w:t xml:space="preserve">(עי' אות </w:t>
      </w:r>
      <w:r w:rsidRPr="002E0EC6">
        <w:rPr>
          <w:rStyle w:val="af7"/>
          <w:rFonts w:eastAsia="Guttman Hodes"/>
          <w:rtl/>
        </w:rPr>
        <w:fldChar w:fldCharType="begin"/>
      </w:r>
      <w:r w:rsidRPr="002E0EC6">
        <w:rPr>
          <w:rStyle w:val="af7"/>
          <w:rFonts w:eastAsia="Guttman Hodes"/>
          <w:rtl/>
        </w:rPr>
        <w:instrText xml:space="preserve"> </w:instrText>
      </w:r>
      <w:r w:rsidRPr="002E0EC6">
        <w:rPr>
          <w:rStyle w:val="af7"/>
          <w:rFonts w:eastAsia="Guttman Hodes" w:hint="cs"/>
        </w:rPr>
        <w:instrText>REF</w:instrText>
      </w:r>
      <w:r w:rsidRPr="002E0EC6">
        <w:rPr>
          <w:rStyle w:val="af7"/>
          <w:rFonts w:eastAsia="Guttman Hodes" w:hint="cs"/>
          <w:rtl/>
        </w:rPr>
        <w:instrText xml:space="preserve"> _</w:instrText>
      </w:r>
      <w:r w:rsidRPr="002E0EC6">
        <w:rPr>
          <w:rStyle w:val="af7"/>
          <w:rFonts w:eastAsia="Guttman Hodes" w:hint="cs"/>
        </w:rPr>
        <w:instrText>Ref2247857 \r \h</w:instrText>
      </w:r>
      <w:r w:rsidRPr="002E0EC6">
        <w:rPr>
          <w:rStyle w:val="af7"/>
          <w:rFonts w:eastAsia="Guttman Hodes"/>
          <w:rtl/>
        </w:rPr>
        <w:instrText xml:space="preserve"> </w:instrText>
      </w:r>
      <w:r w:rsidRPr="002E0EC6">
        <w:rPr>
          <w:rStyle w:val="af7"/>
          <w:rFonts w:eastAsia="Guttman Hodes"/>
          <w:rtl/>
        </w:rPr>
      </w:r>
      <w:r w:rsidRPr="002E0EC6">
        <w:rPr>
          <w:rStyle w:val="af7"/>
          <w:rFonts w:eastAsia="Guttman Hodes"/>
          <w:rtl/>
        </w:rPr>
        <w:fldChar w:fldCharType="separate"/>
      </w:r>
      <w:r w:rsidR="00345400">
        <w:rPr>
          <w:rStyle w:val="af7"/>
          <w:rFonts w:eastAsia="Guttman Hodes"/>
          <w:cs/>
        </w:rPr>
        <w:t>‎</w:t>
      </w:r>
      <w:r w:rsidR="00345400">
        <w:rPr>
          <w:rStyle w:val="af7"/>
          <w:rFonts w:eastAsia="Guttman Hodes"/>
          <w:rtl/>
        </w:rPr>
        <w:t>צג)</w:t>
      </w:r>
      <w:r w:rsidRPr="002E0EC6">
        <w:rPr>
          <w:rStyle w:val="af7"/>
          <w:rFonts w:eastAsia="Guttman Hodes"/>
          <w:rtl/>
        </w:rPr>
        <w:fldChar w:fldCharType="end"/>
      </w:r>
      <w:r>
        <w:rPr>
          <w:rFonts w:hint="cs"/>
          <w:rtl/>
        </w:rPr>
        <w:t xml:space="preserve"> בדעת </w:t>
      </w:r>
      <w:r w:rsidRPr="002E0EC6">
        <w:rPr>
          <w:rStyle w:val="af9"/>
          <w:rFonts w:hint="cs"/>
          <w:rtl/>
        </w:rPr>
        <w:t>הרמב"ם</w:t>
      </w:r>
      <w:r>
        <w:rPr>
          <w:rFonts w:hint="cs"/>
          <w:rtl/>
        </w:rPr>
        <w:t xml:space="preserve"> דלהלכה אינו כבהמה וא"צ לחדש דאסור ברביעה וחרישה.</w:t>
      </w:r>
      <w:bookmarkEnd w:id="21922"/>
    </w:p>
    <w:p w14:paraId="4FB21E44" w14:textId="77777777" w:rsidR="003D504D" w:rsidRDefault="003D504D" w:rsidP="00BF39B2">
      <w:pPr>
        <w:pStyle w:val="1"/>
        <w:rPr>
          <w:rtl/>
        </w:rPr>
      </w:pPr>
      <w:bookmarkStart w:id="21923" w:name="_Toc19391741"/>
      <w:bookmarkStart w:id="21924" w:name="_Toc19395238"/>
      <w:r>
        <w:rPr>
          <w:rFonts w:hint="cs"/>
          <w:rtl/>
        </w:rPr>
        <w:t>דעת רבינו גרשום דאף בבן ט' לר"מ אינו בהמה לרביעה וחרישה</w:t>
      </w:r>
      <w:bookmarkEnd w:id="21923"/>
      <w:bookmarkEnd w:id="21924"/>
      <w:r>
        <w:rPr>
          <w:rFonts w:hint="cs"/>
          <w:rtl/>
        </w:rPr>
        <w:t xml:space="preserve"> </w:t>
      </w:r>
    </w:p>
    <w:p w14:paraId="7F3FE526" w14:textId="77777777" w:rsidR="003D504D" w:rsidRDefault="003D504D" w:rsidP="003D504D">
      <w:pPr>
        <w:pStyle w:val="a3"/>
      </w:pPr>
      <w:bookmarkStart w:id="21925" w:name="_Toc19391742"/>
      <w:bookmarkStart w:id="21926" w:name="_Toc19395239"/>
      <w:r>
        <w:rPr>
          <w:rFonts w:hint="cs"/>
          <w:rtl/>
        </w:rPr>
        <w:t>דברי רבינו גרשום בהו"א בגמ' דלר"מ חשיב בהמה רק לשחיטה ולא לחלבו וגידו דהם מותרים</w:t>
      </w:r>
      <w:bookmarkEnd w:id="21925"/>
      <w:bookmarkEnd w:id="21926"/>
    </w:p>
    <w:p w14:paraId="5146E9D3" w14:textId="77777777" w:rsidR="003D504D" w:rsidRDefault="003D504D" w:rsidP="00223668">
      <w:pPr>
        <w:pStyle w:val="a0"/>
        <w:rPr>
          <w:rtl/>
        </w:rPr>
      </w:pPr>
      <w:bookmarkStart w:id="21927" w:name="_Ref2246046"/>
      <w:r>
        <w:rPr>
          <w:rFonts w:hint="cs"/>
          <w:rtl/>
        </w:rPr>
        <w:t xml:space="preserve">אבל </w:t>
      </w:r>
      <w:r w:rsidRPr="00F70133">
        <w:rPr>
          <w:rStyle w:val="af9"/>
          <w:rFonts w:hint="cs"/>
          <w:rtl/>
        </w:rPr>
        <w:t>רבינו גרשום</w:t>
      </w:r>
      <w:r>
        <w:rPr>
          <w:rFonts w:hint="cs"/>
          <w:rtl/>
        </w:rPr>
        <w:t xml:space="preserve"> </w:t>
      </w:r>
      <w:r w:rsidRPr="00F70133">
        <w:rPr>
          <w:rStyle w:val="af7"/>
          <w:rFonts w:eastAsia="Guttman Hodes" w:hint="cs"/>
          <w:rtl/>
        </w:rPr>
        <w:t xml:space="preserve">(ד"ה לא הילכו) </w:t>
      </w:r>
      <w:r>
        <w:rPr>
          <w:rFonts w:hint="cs"/>
          <w:rtl/>
        </w:rPr>
        <w:t>כתב דאף ר"מ דמחייב שחיטה בבן ט' חי, מחשיבו כבהמה רק לענין שחיטה, ולהו"א בגמ' אינו מחשיבו כבהמה אף לענין חלבו וגידו דהם מותרים.</w:t>
      </w:r>
      <w:bookmarkEnd w:id="21927"/>
    </w:p>
    <w:p w14:paraId="288529C8" w14:textId="77777777" w:rsidR="003D504D" w:rsidRPr="004E505E" w:rsidRDefault="003D504D" w:rsidP="003D504D">
      <w:pPr>
        <w:pStyle w:val="a3"/>
        <w:rPr>
          <w:rtl/>
        </w:rPr>
      </w:pPr>
      <w:bookmarkStart w:id="21928" w:name="_Toc19391743"/>
      <w:bookmarkStart w:id="21929" w:name="_Toc19395240"/>
      <w:r>
        <w:rPr>
          <w:rFonts w:hint="cs"/>
          <w:rtl/>
        </w:rPr>
        <w:t>ביאור רבינו גרשום דלר"מ בן ט' חי מותר ברביעה ובחרישה בכלאים דאינו בהמה ואין לו שם שור</w:t>
      </w:r>
      <w:bookmarkEnd w:id="21928"/>
      <w:bookmarkEnd w:id="21929"/>
      <w:r>
        <w:rPr>
          <w:rFonts w:hint="cs"/>
          <w:rtl/>
        </w:rPr>
        <w:t xml:space="preserve"> </w:t>
      </w:r>
    </w:p>
    <w:p w14:paraId="17A0A73D" w14:textId="77777777" w:rsidR="003D504D" w:rsidRDefault="003D504D" w:rsidP="00223668">
      <w:pPr>
        <w:pStyle w:val="a0"/>
        <w:rPr>
          <w:rtl/>
        </w:rPr>
      </w:pPr>
      <w:r>
        <w:rPr>
          <w:rFonts w:hint="cs"/>
          <w:rtl/>
        </w:rPr>
        <w:t xml:space="preserve">ובמסקנת הגמ' דר"מ אוסר בחלבו וגידו, ורב אושעיא אמר דהילכו בו רק לענין היתר אכילה, ולא לענין רביעה וחרישה, ביאר </w:t>
      </w:r>
      <w:r w:rsidRPr="00315916">
        <w:rPr>
          <w:rStyle w:val="af9"/>
          <w:rFonts w:hint="cs"/>
          <w:rtl/>
        </w:rPr>
        <w:t>רבינו גרשום</w:t>
      </w:r>
      <w:r>
        <w:rPr>
          <w:rFonts w:hint="cs"/>
          <w:rtl/>
        </w:rPr>
        <w:t xml:space="preserve"> </w:t>
      </w:r>
      <w:r w:rsidRPr="00315916">
        <w:rPr>
          <w:rStyle w:val="af7"/>
          <w:rFonts w:eastAsia="Guttman Hodes" w:hint="cs"/>
          <w:rtl/>
        </w:rPr>
        <w:t>(ד"ה רובעו)</w:t>
      </w:r>
      <w:r>
        <w:rPr>
          <w:rFonts w:hint="cs"/>
          <w:rtl/>
        </w:rPr>
        <w:t xml:space="preserve"> דכוונת רב אושעיא להתיר את הבן פקועה ברביעה ובחרישה בכלאים, וביאר רבינו גרשום דאיסור רביעה בכלאים נאמר בלשון "בהמתך" לא תרביע כלאים, ואילו בן פקועה אינו נחשב בהמה, וכן באיסור חרישה בכלאים נאמר "לא תחרוש בשור ובחמור", ואילו בן פקועה אינו נחשב כשור, דהוא בשר בעלמא, ועי' בדברי </w:t>
      </w:r>
      <w:r w:rsidRPr="00F7731B">
        <w:rPr>
          <w:rStyle w:val="af9"/>
          <w:rFonts w:hint="cs"/>
          <w:rtl/>
        </w:rPr>
        <w:t>רבינו גרשום</w:t>
      </w:r>
      <w:r>
        <w:rPr>
          <w:rFonts w:hint="cs"/>
          <w:rtl/>
        </w:rPr>
        <w:t xml:space="preserve"> </w:t>
      </w:r>
      <w:r w:rsidRPr="00F7731B">
        <w:rPr>
          <w:rStyle w:val="af7"/>
          <w:rFonts w:eastAsia="Guttman Hodes" w:hint="cs"/>
          <w:rtl/>
        </w:rPr>
        <w:t xml:space="preserve">(עי' אות </w:t>
      </w:r>
      <w:r w:rsidRPr="00F7731B">
        <w:rPr>
          <w:rStyle w:val="af7"/>
          <w:rFonts w:eastAsia="Guttman Hodes"/>
          <w:rtl/>
        </w:rPr>
        <w:fldChar w:fldCharType="begin"/>
      </w:r>
      <w:r w:rsidRPr="00F7731B">
        <w:rPr>
          <w:rStyle w:val="af7"/>
          <w:rFonts w:eastAsia="Guttman Hodes"/>
          <w:rtl/>
        </w:rPr>
        <w:instrText xml:space="preserve"> </w:instrText>
      </w:r>
      <w:r w:rsidRPr="00F7731B">
        <w:rPr>
          <w:rStyle w:val="af7"/>
          <w:rFonts w:eastAsia="Guttman Hodes" w:hint="cs"/>
        </w:rPr>
        <w:instrText>REF</w:instrText>
      </w:r>
      <w:r w:rsidRPr="00F7731B">
        <w:rPr>
          <w:rStyle w:val="af7"/>
          <w:rFonts w:eastAsia="Guttman Hodes" w:hint="cs"/>
          <w:rtl/>
        </w:rPr>
        <w:instrText xml:space="preserve"> _</w:instrText>
      </w:r>
      <w:r w:rsidRPr="00F7731B">
        <w:rPr>
          <w:rStyle w:val="af7"/>
          <w:rFonts w:eastAsia="Guttman Hodes" w:hint="cs"/>
        </w:rPr>
        <w:instrText>Ref2245911 \r \h</w:instrText>
      </w:r>
      <w:r w:rsidRPr="00F7731B">
        <w:rPr>
          <w:rStyle w:val="af7"/>
          <w:rFonts w:eastAsia="Guttman Hodes"/>
          <w:rtl/>
        </w:rPr>
        <w:instrText xml:space="preserve"> </w:instrText>
      </w:r>
      <w:r w:rsidRPr="00F7731B">
        <w:rPr>
          <w:rStyle w:val="af7"/>
          <w:rFonts w:eastAsia="Guttman Hodes"/>
          <w:rtl/>
        </w:rPr>
      </w:r>
      <w:r w:rsidRPr="00F7731B">
        <w:rPr>
          <w:rStyle w:val="af7"/>
          <w:rFonts w:eastAsia="Guttman Hodes"/>
          <w:rtl/>
        </w:rPr>
        <w:fldChar w:fldCharType="separate"/>
      </w:r>
      <w:r w:rsidR="00345400">
        <w:rPr>
          <w:rStyle w:val="af7"/>
          <w:rFonts w:eastAsia="Guttman Hodes"/>
          <w:cs/>
        </w:rPr>
        <w:t>‎</w:t>
      </w:r>
      <w:r w:rsidR="00345400">
        <w:rPr>
          <w:rStyle w:val="af7"/>
          <w:rFonts w:eastAsia="Guttman Hodes"/>
          <w:rtl/>
        </w:rPr>
        <w:t>ח)</w:t>
      </w:r>
      <w:r w:rsidRPr="00F7731B">
        <w:rPr>
          <w:rStyle w:val="af7"/>
          <w:rFonts w:eastAsia="Guttman Hodes"/>
          <w:rtl/>
        </w:rPr>
        <w:fldChar w:fldCharType="end"/>
      </w:r>
      <w:r>
        <w:rPr>
          <w:rFonts w:hint="cs"/>
          <w:rtl/>
        </w:rPr>
        <w:t xml:space="preserve"> בביאור פלוגתת ר"מ ורבנן, ובמ"ש </w:t>
      </w:r>
      <w:r w:rsidRPr="00597FCB">
        <w:rPr>
          <w:rStyle w:val="af9"/>
          <w:rFonts w:hint="cs"/>
          <w:rtl/>
        </w:rPr>
        <w:t>רבינו גרשום</w:t>
      </w:r>
      <w:r>
        <w:rPr>
          <w:rFonts w:hint="cs"/>
          <w:rtl/>
        </w:rPr>
        <w:t xml:space="preserve"> </w:t>
      </w:r>
      <w:r w:rsidRPr="00597FCB">
        <w:rPr>
          <w:rStyle w:val="af7"/>
          <w:rFonts w:eastAsia="Guttman Hodes" w:hint="cs"/>
          <w:rtl/>
        </w:rPr>
        <w:t xml:space="preserve">(עי' אות </w:t>
      </w:r>
      <w:r w:rsidRPr="00597FCB">
        <w:rPr>
          <w:rStyle w:val="af7"/>
          <w:rFonts w:eastAsia="Guttman Hodes"/>
          <w:rtl/>
        </w:rPr>
        <w:fldChar w:fldCharType="begin"/>
      </w:r>
      <w:r w:rsidRPr="00597FCB">
        <w:rPr>
          <w:rStyle w:val="af7"/>
          <w:rFonts w:eastAsia="Guttman Hodes"/>
          <w:rtl/>
        </w:rPr>
        <w:instrText xml:space="preserve"> </w:instrText>
      </w:r>
      <w:r w:rsidRPr="00597FCB">
        <w:rPr>
          <w:rStyle w:val="af7"/>
          <w:rFonts w:eastAsia="Guttman Hodes" w:hint="cs"/>
        </w:rPr>
        <w:instrText>REF</w:instrText>
      </w:r>
      <w:r w:rsidRPr="00597FCB">
        <w:rPr>
          <w:rStyle w:val="af7"/>
          <w:rFonts w:eastAsia="Guttman Hodes" w:hint="cs"/>
          <w:rtl/>
        </w:rPr>
        <w:instrText xml:space="preserve"> _</w:instrText>
      </w:r>
      <w:r w:rsidRPr="00597FCB">
        <w:rPr>
          <w:rStyle w:val="af7"/>
          <w:rFonts w:eastAsia="Guttman Hodes" w:hint="cs"/>
        </w:rPr>
        <w:instrText>Ref2246023 \r \h</w:instrText>
      </w:r>
      <w:r w:rsidRPr="00597FCB">
        <w:rPr>
          <w:rStyle w:val="af7"/>
          <w:rFonts w:eastAsia="Guttman Hodes"/>
          <w:rtl/>
        </w:rPr>
        <w:instrText xml:space="preserve"> </w:instrText>
      </w:r>
      <w:r w:rsidRPr="00597FCB">
        <w:rPr>
          <w:rStyle w:val="af7"/>
          <w:rFonts w:eastAsia="Guttman Hodes"/>
          <w:rtl/>
        </w:rPr>
      </w:r>
      <w:r w:rsidRPr="00597FCB">
        <w:rPr>
          <w:rStyle w:val="af7"/>
          <w:rFonts w:eastAsia="Guttman Hodes"/>
          <w:rtl/>
        </w:rPr>
        <w:fldChar w:fldCharType="separate"/>
      </w:r>
      <w:r w:rsidR="00345400">
        <w:rPr>
          <w:rStyle w:val="af7"/>
          <w:rFonts w:eastAsia="Guttman Hodes"/>
          <w:cs/>
        </w:rPr>
        <w:t>‎</w:t>
      </w:r>
      <w:r w:rsidR="00345400">
        <w:rPr>
          <w:rStyle w:val="af7"/>
          <w:rFonts w:eastAsia="Guttman Hodes"/>
          <w:rtl/>
        </w:rPr>
        <w:t>מא)</w:t>
      </w:r>
      <w:r w:rsidRPr="00597FCB">
        <w:rPr>
          <w:rStyle w:val="af7"/>
          <w:rFonts w:eastAsia="Guttman Hodes"/>
          <w:rtl/>
        </w:rPr>
        <w:fldChar w:fldCharType="end"/>
      </w:r>
      <w:r>
        <w:rPr>
          <w:rFonts w:hint="cs"/>
          <w:rtl/>
        </w:rPr>
        <w:t xml:space="preserve"> דחלבו מותר דאינו כבהמה, ובמ"ש</w:t>
      </w:r>
      <w:r w:rsidRPr="00597FCB">
        <w:rPr>
          <w:rStyle w:val="af9"/>
          <w:rFonts w:hint="cs"/>
          <w:rtl/>
        </w:rPr>
        <w:t xml:space="preserve"> רבינו גרשום</w:t>
      </w:r>
      <w:r>
        <w:rPr>
          <w:rFonts w:hint="cs"/>
          <w:rtl/>
        </w:rPr>
        <w:t xml:space="preserve"> </w:t>
      </w:r>
      <w:r w:rsidRPr="00597FCB">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Ref2245947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לט)</w:t>
      </w:r>
      <w:r>
        <w:rPr>
          <w:rStyle w:val="af7"/>
          <w:rFonts w:eastAsia="Guttman Hodes"/>
          <w:rtl/>
        </w:rPr>
        <w:fldChar w:fldCharType="end"/>
      </w:r>
      <w:r>
        <w:rPr>
          <w:rFonts w:hint="cs"/>
          <w:rtl/>
        </w:rPr>
        <w:t xml:space="preserve"> דלר"מ שחיטת בן ט' מטהרתו מידי נבילה.</w:t>
      </w:r>
    </w:p>
    <w:p w14:paraId="093C90E0" w14:textId="77777777" w:rsidR="003D504D" w:rsidRPr="00663A8A" w:rsidRDefault="003D504D" w:rsidP="003D504D">
      <w:pPr>
        <w:pStyle w:val="a3"/>
        <w:rPr>
          <w:rtl/>
        </w:rPr>
      </w:pPr>
      <w:bookmarkStart w:id="21930" w:name="_Toc19391744"/>
      <w:bookmarkStart w:id="21931" w:name="_Toc19395241"/>
      <w:r>
        <w:rPr>
          <w:rFonts w:hint="cs"/>
          <w:rtl/>
        </w:rPr>
        <w:t>קושית האבי עזרי על רבינו גרשום דהיאך אפש"ל דלר"מ בן ט' חי מותר ברביעה ובחרישה</w:t>
      </w:r>
      <w:bookmarkEnd w:id="21930"/>
      <w:bookmarkEnd w:id="21931"/>
    </w:p>
    <w:p w14:paraId="738EA050" w14:textId="77777777" w:rsidR="003D504D" w:rsidRDefault="003D504D" w:rsidP="00223668">
      <w:pPr>
        <w:pStyle w:val="a0"/>
        <w:rPr>
          <w:rtl/>
        </w:rPr>
      </w:pPr>
      <w:r>
        <w:rPr>
          <w:rFonts w:hint="cs"/>
          <w:rtl/>
        </w:rPr>
        <w:t xml:space="preserve">וכתב </w:t>
      </w:r>
      <w:r w:rsidRPr="00F70133">
        <w:rPr>
          <w:rStyle w:val="af9"/>
          <w:rFonts w:hint="cs"/>
          <w:rtl/>
        </w:rPr>
        <w:t>האבי עזרי</w:t>
      </w:r>
      <w:r>
        <w:rPr>
          <w:rFonts w:hint="cs"/>
          <w:rtl/>
        </w:rPr>
        <w:t xml:space="preserve"> </w:t>
      </w:r>
      <w:r w:rsidRPr="00F70133">
        <w:rPr>
          <w:rStyle w:val="af7"/>
          <w:rFonts w:eastAsia="Guttman Hodes" w:hint="cs"/>
          <w:rtl/>
        </w:rPr>
        <w:t xml:space="preserve">(מאכ"א </w:t>
      </w:r>
      <w:r w:rsidRPr="00F70133">
        <w:rPr>
          <w:rStyle w:val="af7"/>
          <w:rFonts w:eastAsia="Guttman Hodes"/>
          <w:rtl/>
        </w:rPr>
        <w:t>פ"ז ה"ג</w:t>
      </w:r>
      <w:r w:rsidRPr="00F70133">
        <w:rPr>
          <w:rStyle w:val="af7"/>
          <w:rFonts w:eastAsia="Guttman Hodes" w:hint="cs"/>
          <w:rtl/>
        </w:rPr>
        <w:t xml:space="preserve"> ד"ה והנה שם</w:t>
      </w:r>
      <w:r>
        <w:rPr>
          <w:rStyle w:val="af7"/>
          <w:rFonts w:eastAsia="Guttman Hodes" w:hint="cs"/>
          <w:rtl/>
        </w:rPr>
        <w:t xml:space="preserve"> בחולין דף עד</w:t>
      </w:r>
      <w:r w:rsidRPr="00F70133">
        <w:rPr>
          <w:rStyle w:val="af7"/>
          <w:rFonts w:eastAsia="Guttman Hodes" w:hint="cs"/>
          <w:rtl/>
        </w:rPr>
        <w:t xml:space="preserve">) </w:t>
      </w:r>
      <w:r>
        <w:rPr>
          <w:rFonts w:hint="cs"/>
          <w:rtl/>
        </w:rPr>
        <w:t xml:space="preserve">דמבואר מדברי </w:t>
      </w:r>
      <w:r w:rsidRPr="00F70133">
        <w:rPr>
          <w:rStyle w:val="af9"/>
          <w:rFonts w:hint="cs"/>
          <w:rtl/>
        </w:rPr>
        <w:t>רבינו גרשום</w:t>
      </w:r>
      <w:r>
        <w:rPr>
          <w:rFonts w:hint="cs"/>
          <w:rtl/>
        </w:rPr>
        <w:t xml:space="preserve"> דאף לדעת ר"מ דאוסר בבן ט' חי ומחייבו שחיטה, מ"מ מודה ר"מ דאינו חשיב בהמה, ואינו חשיב כשור, ומותר ברביעה וחרישה בכלאים, ותמה </w:t>
      </w:r>
      <w:r w:rsidRPr="00F70133">
        <w:rPr>
          <w:rStyle w:val="af9"/>
          <w:rFonts w:hint="cs"/>
          <w:rtl/>
        </w:rPr>
        <w:t>האבי עזרי</w:t>
      </w:r>
      <w:r>
        <w:rPr>
          <w:rFonts w:hint="cs"/>
          <w:rtl/>
        </w:rPr>
        <w:t xml:space="preserve"> על </w:t>
      </w:r>
      <w:r w:rsidRPr="00F70133">
        <w:rPr>
          <w:rStyle w:val="af9"/>
          <w:rFonts w:hint="cs"/>
          <w:rtl/>
        </w:rPr>
        <w:t>רבינו גרשום</w:t>
      </w:r>
      <w:r>
        <w:rPr>
          <w:rFonts w:hint="cs"/>
          <w:rtl/>
        </w:rPr>
        <w:t xml:space="preserve"> דהיאך יתכן לומר דמתיר ר"מ בבן ט' חי ברביעה וחרישה בכלאים.</w:t>
      </w:r>
    </w:p>
    <w:p w14:paraId="41A90D15" w14:textId="77777777" w:rsidR="003D504D" w:rsidRPr="00EB0C4A" w:rsidRDefault="003D504D" w:rsidP="00BF39B2">
      <w:pPr>
        <w:pStyle w:val="1"/>
        <w:rPr>
          <w:rtl/>
        </w:rPr>
      </w:pPr>
      <w:bookmarkStart w:id="21932" w:name="_Toc19391745"/>
      <w:bookmarkStart w:id="21933" w:name="_Toc19395242"/>
      <w:r>
        <w:rPr>
          <w:rFonts w:hint="cs"/>
          <w:rtl/>
        </w:rPr>
        <w:t>ביאור התוס' בחילוק בין בן פקועה למפרכסת לענין רביעה</w:t>
      </w:r>
      <w:bookmarkEnd w:id="21932"/>
      <w:bookmarkEnd w:id="21933"/>
    </w:p>
    <w:p w14:paraId="0D67A763" w14:textId="77777777" w:rsidR="003D504D" w:rsidRPr="00315916" w:rsidRDefault="003D504D" w:rsidP="003D504D">
      <w:pPr>
        <w:pStyle w:val="a3"/>
        <w:rPr>
          <w:rtl/>
        </w:rPr>
      </w:pPr>
      <w:bookmarkStart w:id="21934" w:name="_Toc19391746"/>
      <w:bookmarkStart w:id="21935" w:name="_Toc19395243"/>
      <w:r>
        <w:rPr>
          <w:rFonts w:hint="cs"/>
          <w:rtl/>
        </w:rPr>
        <w:t>דברי התוס' דאף דמפרכסת אסורה ברביעה הו"א דבן פקועה גרע ממפרכסת</w:t>
      </w:r>
      <w:bookmarkEnd w:id="21934"/>
      <w:bookmarkEnd w:id="21935"/>
    </w:p>
    <w:p w14:paraId="5C8D42C0" w14:textId="77777777" w:rsidR="003D504D" w:rsidRDefault="003D504D" w:rsidP="00223668">
      <w:pPr>
        <w:pStyle w:val="a0"/>
      </w:pPr>
      <w:bookmarkStart w:id="21936" w:name="_Ref2247646"/>
      <w:r w:rsidRPr="000113BF">
        <w:rPr>
          <w:rStyle w:val="af9"/>
          <w:rFonts w:hint="cs"/>
          <w:rtl/>
        </w:rPr>
        <w:t>ובתוס'</w:t>
      </w:r>
      <w:r>
        <w:rPr>
          <w:rFonts w:hint="cs"/>
          <w:rtl/>
        </w:rPr>
        <w:t xml:space="preserve"> </w:t>
      </w:r>
      <w:r w:rsidRPr="007C61A8">
        <w:rPr>
          <w:rStyle w:val="af7"/>
          <w:rFonts w:eastAsia="Guttman Hodes" w:hint="cs"/>
          <w:rtl/>
        </w:rPr>
        <w:t>(ד"ה למעוטי)</w:t>
      </w:r>
      <w:r>
        <w:rPr>
          <w:rFonts w:hint="cs"/>
          <w:rtl/>
        </w:rPr>
        <w:t xml:space="preserve"> ביארו דאף דבבהמה מפרכסת איתא בגמ' לקמן </w:t>
      </w:r>
      <w:r w:rsidRPr="007C61A8">
        <w:rPr>
          <w:rStyle w:val="af7"/>
          <w:rFonts w:eastAsia="Guttman Hodes" w:hint="cs"/>
          <w:rtl/>
        </w:rPr>
        <w:t>(קכא:)</w:t>
      </w:r>
      <w:r>
        <w:rPr>
          <w:rFonts w:hint="cs"/>
          <w:rtl/>
        </w:rPr>
        <w:t xml:space="preserve"> דאסור לרובעה, מ"מ הו"א דבן פקועה גרע ממפרכסת ומותר ברביעה.</w:t>
      </w:r>
    </w:p>
    <w:p w14:paraId="3246AC06" w14:textId="77777777" w:rsidR="003D504D" w:rsidRDefault="003D504D" w:rsidP="003D504D">
      <w:pPr>
        <w:pStyle w:val="a3"/>
      </w:pPr>
      <w:bookmarkStart w:id="21937" w:name="_Toc19391747"/>
      <w:bookmarkStart w:id="21938" w:name="_Toc19395244"/>
      <w:r>
        <w:rPr>
          <w:rFonts w:hint="cs"/>
          <w:rtl/>
        </w:rPr>
        <w:t>ביאור הנאות יעקב דמפרכסת היא בהמה גמורה אבל בן פקועה הו"א דאף לרביעה אינו בהמה</w:t>
      </w:r>
      <w:bookmarkEnd w:id="21937"/>
      <w:bookmarkEnd w:id="21938"/>
    </w:p>
    <w:p w14:paraId="5C4227B6" w14:textId="77777777" w:rsidR="003D504D" w:rsidRDefault="003D504D" w:rsidP="00223668">
      <w:pPr>
        <w:pStyle w:val="a0"/>
        <w:rPr>
          <w:rtl/>
        </w:rPr>
      </w:pPr>
      <w:r>
        <w:rPr>
          <w:rFonts w:hint="cs"/>
          <w:rtl/>
        </w:rPr>
        <w:t xml:space="preserve">וביאר </w:t>
      </w:r>
      <w:r>
        <w:rPr>
          <w:rStyle w:val="af9"/>
          <w:rtl/>
        </w:rPr>
        <w:t>הנאות יעקב</w:t>
      </w:r>
      <w:r>
        <w:rPr>
          <w:rtl/>
        </w:rPr>
        <w:t xml:space="preserve"> </w:t>
      </w:r>
      <w:r w:rsidRPr="007C61A8">
        <w:rPr>
          <w:rStyle w:val="af7"/>
          <w:rFonts w:eastAsia="Guttman Hodes" w:hint="cs"/>
          <w:rtl/>
        </w:rPr>
        <w:t xml:space="preserve">(סי' כ"ב ס"ק ו' ד"ה ובזה) </w:t>
      </w:r>
      <w:r w:rsidRPr="00142B82">
        <w:rPr>
          <w:rStyle w:val="af9"/>
          <w:rFonts w:hint="cs"/>
          <w:rtl/>
        </w:rPr>
        <w:t>דהתוס'</w:t>
      </w:r>
      <w:r>
        <w:rPr>
          <w:rFonts w:hint="cs"/>
          <w:rtl/>
        </w:rPr>
        <w:t xml:space="preserve"> לא ביארו מה הסברא דבן פקועה גרע ממפרכסת, וכתב </w:t>
      </w:r>
      <w:r w:rsidRPr="00142B82">
        <w:rPr>
          <w:rStyle w:val="af9"/>
          <w:rFonts w:hint="cs"/>
          <w:rtl/>
        </w:rPr>
        <w:t>הנאות יעקב</w:t>
      </w:r>
      <w:r>
        <w:rPr>
          <w:rFonts w:hint="cs"/>
          <w:rtl/>
        </w:rPr>
        <w:t xml:space="preserve"> דאפש"ל דמפרכסת יש לה שם בהמה, אלא דמותרת באכילה כיון שנשחטה, אף שהיא עדיין חיה ולא מתה, וכיון שהיא בהמה גמורה אין כל סברא דהרובעה יפטר, אבל בן פקועה שמותר באכילה מגזיה"כ "כל בבהמה תאכלו" דהיינו שאין לו דין בהמה, לכן היה לגמ' הו"א דאף לענין רביעה אין לו דין בהמה, וגרע ממפרכסת דפשיטא שאסורה ברביעה, וקמ"ל הגמ' דהא דאין לו דין בהמה</w:t>
      </w:r>
      <w:r w:rsidRPr="0026398D">
        <w:rPr>
          <w:rFonts w:hint="cs"/>
          <w:rtl/>
        </w:rPr>
        <w:t xml:space="preserve"> </w:t>
      </w:r>
      <w:r>
        <w:rPr>
          <w:rFonts w:hint="cs"/>
          <w:rtl/>
        </w:rPr>
        <w:t xml:space="preserve">הוא רק לענין אכילה, וכדביאר </w:t>
      </w:r>
      <w:r w:rsidRPr="00142B82">
        <w:rPr>
          <w:rStyle w:val="af9"/>
          <w:rFonts w:hint="cs"/>
          <w:rtl/>
        </w:rPr>
        <w:t>הנאות יעקב</w:t>
      </w:r>
      <w:r>
        <w:rPr>
          <w:rFonts w:hint="cs"/>
          <w:rtl/>
        </w:rPr>
        <w:t xml:space="preserve"> בדברי </w:t>
      </w:r>
      <w:r w:rsidRPr="00142B82">
        <w:rPr>
          <w:rStyle w:val="af9"/>
          <w:rFonts w:hint="cs"/>
          <w:rtl/>
        </w:rPr>
        <w:t>רש"י</w:t>
      </w:r>
      <w:r>
        <w:rPr>
          <w:rFonts w:hint="cs"/>
          <w:rtl/>
        </w:rPr>
        <w:t xml:space="preserve"> </w:t>
      </w:r>
      <w:r w:rsidRPr="00142B82">
        <w:rPr>
          <w:rStyle w:val="af7"/>
          <w:rFonts w:eastAsia="Guttman Hodes" w:hint="cs"/>
          <w:rtl/>
        </w:rPr>
        <w:t xml:space="preserve">(עי' אות </w:t>
      </w:r>
      <w:r w:rsidRPr="00142B82">
        <w:rPr>
          <w:rStyle w:val="af7"/>
          <w:rFonts w:eastAsia="Guttman Hodes"/>
          <w:rtl/>
        </w:rPr>
        <w:fldChar w:fldCharType="begin"/>
      </w:r>
      <w:r w:rsidRPr="00142B82">
        <w:rPr>
          <w:rStyle w:val="af7"/>
          <w:rFonts w:eastAsia="Guttman Hodes"/>
          <w:rtl/>
        </w:rPr>
        <w:instrText xml:space="preserve"> </w:instrText>
      </w:r>
      <w:r w:rsidRPr="00142B82">
        <w:rPr>
          <w:rStyle w:val="af7"/>
          <w:rFonts w:eastAsia="Guttman Hodes" w:hint="cs"/>
        </w:rPr>
        <w:instrText>REF</w:instrText>
      </w:r>
      <w:r w:rsidRPr="00142B82">
        <w:rPr>
          <w:rStyle w:val="af7"/>
          <w:rFonts w:eastAsia="Guttman Hodes" w:hint="cs"/>
          <w:rtl/>
        </w:rPr>
        <w:instrText xml:space="preserve"> _</w:instrText>
      </w:r>
      <w:r w:rsidRPr="00142B82">
        <w:rPr>
          <w:rStyle w:val="af7"/>
          <w:rFonts w:eastAsia="Guttman Hodes" w:hint="cs"/>
        </w:rPr>
        <w:instrText>Ref2539965 \r \h</w:instrText>
      </w:r>
      <w:r w:rsidRPr="00142B82">
        <w:rPr>
          <w:rStyle w:val="af7"/>
          <w:rFonts w:eastAsia="Guttman Hodes"/>
          <w:rtl/>
        </w:rPr>
        <w:instrText xml:space="preserve"> </w:instrText>
      </w:r>
      <w:r w:rsidRPr="00142B82">
        <w:rPr>
          <w:rStyle w:val="af7"/>
          <w:rFonts w:eastAsia="Guttman Hodes"/>
          <w:rtl/>
        </w:rPr>
      </w:r>
      <w:r w:rsidRPr="00142B82">
        <w:rPr>
          <w:rStyle w:val="af7"/>
          <w:rFonts w:eastAsia="Guttman Hodes"/>
          <w:rtl/>
        </w:rPr>
        <w:fldChar w:fldCharType="separate"/>
      </w:r>
      <w:r w:rsidR="00345400">
        <w:rPr>
          <w:rStyle w:val="af7"/>
          <w:rFonts w:eastAsia="Guttman Hodes"/>
          <w:cs/>
        </w:rPr>
        <w:t>‎</w:t>
      </w:r>
      <w:r w:rsidR="00345400">
        <w:rPr>
          <w:rStyle w:val="af7"/>
          <w:rFonts w:eastAsia="Guttman Hodes"/>
          <w:rtl/>
        </w:rPr>
        <w:t>סג)</w:t>
      </w:r>
      <w:r w:rsidRPr="00142B82">
        <w:rPr>
          <w:rStyle w:val="af7"/>
          <w:rFonts w:eastAsia="Guttman Hodes"/>
          <w:rtl/>
        </w:rPr>
        <w:fldChar w:fldCharType="end"/>
      </w:r>
      <w:r>
        <w:rPr>
          <w:rFonts w:hint="cs"/>
          <w:rtl/>
        </w:rPr>
        <w:t>, אבל לשאר דברים דינו כבהמה גמורה.</w:t>
      </w:r>
    </w:p>
    <w:p w14:paraId="70FA6088" w14:textId="77777777" w:rsidR="003D504D" w:rsidRPr="00CD49F1" w:rsidRDefault="003D504D" w:rsidP="003D504D">
      <w:pPr>
        <w:pStyle w:val="a3"/>
      </w:pPr>
      <w:bookmarkStart w:id="21939" w:name="_Toc19391748"/>
      <w:bookmarkStart w:id="21940" w:name="_Toc19395245"/>
      <w:r>
        <w:rPr>
          <w:rFonts w:hint="cs"/>
          <w:rtl/>
        </w:rPr>
        <w:t>הביאור הב' בתוס' דמפרכסת אסורה באכילה אבל בן פקועה דמותר באכילה הו"א דמותר ברביעה</w:t>
      </w:r>
      <w:bookmarkEnd w:id="21939"/>
      <w:bookmarkEnd w:id="21940"/>
    </w:p>
    <w:p w14:paraId="5056456E" w14:textId="77777777" w:rsidR="003D504D" w:rsidRDefault="003D504D" w:rsidP="00223668">
      <w:pPr>
        <w:pStyle w:val="a0"/>
        <w:rPr>
          <w:rtl/>
        </w:rPr>
      </w:pPr>
      <w:r>
        <w:rPr>
          <w:rFonts w:hint="cs"/>
          <w:rtl/>
        </w:rPr>
        <w:t xml:space="preserve">ועוד ביארו </w:t>
      </w:r>
      <w:r w:rsidRPr="000113BF">
        <w:rPr>
          <w:rStyle w:val="af9"/>
          <w:rFonts w:hint="cs"/>
          <w:rtl/>
        </w:rPr>
        <w:t>התוס'</w:t>
      </w:r>
      <w:r>
        <w:rPr>
          <w:rFonts w:hint="cs"/>
          <w:rtl/>
        </w:rPr>
        <w:t xml:space="preserve"> דהגמ' לקמן אסרה במפרכסת לענין ישראל שרובע בהמה טמאה דהיא אסורה לו באכילה, וכן לענין עכו"ם שרובע בהמה טהורה מפרכסת, </w:t>
      </w:r>
      <w:r w:rsidRPr="000113BF">
        <w:rPr>
          <w:rStyle w:val="afb"/>
          <w:rFonts w:hint="cs"/>
          <w:rtl/>
        </w:rPr>
        <w:t>[דאסורה לו באבר מן החי כ"ז שלא מתה, דאין לו היתר שחיטה],</w:t>
      </w:r>
      <w:r>
        <w:rPr>
          <w:rFonts w:hint="cs"/>
          <w:rtl/>
        </w:rPr>
        <w:t xml:space="preserve"> אבל בבן פקועה שהוא מותר באכילה הו"א דהרובעו אינו חייב. </w:t>
      </w:r>
      <w:r w:rsidRPr="00672E74">
        <w:rPr>
          <w:rStyle w:val="afb"/>
          <w:rFonts w:hint="cs"/>
          <w:rtl/>
        </w:rPr>
        <w:t xml:space="preserve">[ומשמע דביארו </w:t>
      </w:r>
      <w:r w:rsidRPr="00655373">
        <w:rPr>
          <w:rStyle w:val="affa"/>
          <w:rFonts w:hint="cs"/>
          <w:rtl/>
        </w:rPr>
        <w:t>התוס'</w:t>
      </w:r>
      <w:r w:rsidRPr="00672E74">
        <w:rPr>
          <w:rStyle w:val="afb"/>
          <w:rFonts w:hint="cs"/>
          <w:rtl/>
        </w:rPr>
        <w:t xml:space="preserve"> דאיסור רביעה היינו באדם ולא בכלאים בבהמה, כדביארו </w:t>
      </w:r>
      <w:r w:rsidRPr="00655373">
        <w:rPr>
          <w:rStyle w:val="affa"/>
          <w:rFonts w:hint="cs"/>
          <w:rtl/>
        </w:rPr>
        <w:t>המאירי ופסקי הרי"ד</w:t>
      </w:r>
      <w:r w:rsidRPr="00672E74">
        <w:rPr>
          <w:rStyle w:val="afb"/>
          <w:rFonts w:hint="cs"/>
          <w:rtl/>
        </w:rPr>
        <w:t xml:space="preserve"> </w:t>
      </w:r>
      <w:r w:rsidRPr="00655373">
        <w:rPr>
          <w:rStyle w:val="aff6"/>
          <w:rFonts w:hint="cs"/>
          <w:rtl/>
        </w:rPr>
        <w:t xml:space="preserve">(עי' אות </w:t>
      </w:r>
      <w:r w:rsidRPr="00655373">
        <w:rPr>
          <w:rStyle w:val="aff6"/>
          <w:rtl/>
        </w:rPr>
        <w:fldChar w:fldCharType="begin"/>
      </w:r>
      <w:r w:rsidRPr="00655373">
        <w:rPr>
          <w:rStyle w:val="aff6"/>
          <w:rtl/>
        </w:rPr>
        <w:instrText xml:space="preserve"> </w:instrText>
      </w:r>
      <w:r w:rsidRPr="00655373">
        <w:rPr>
          <w:rStyle w:val="aff6"/>
          <w:rFonts w:hint="cs"/>
        </w:rPr>
        <w:instrText>REF</w:instrText>
      </w:r>
      <w:r w:rsidRPr="00655373">
        <w:rPr>
          <w:rStyle w:val="aff6"/>
          <w:rFonts w:hint="cs"/>
          <w:rtl/>
        </w:rPr>
        <w:instrText xml:space="preserve"> _</w:instrText>
      </w:r>
      <w:r w:rsidRPr="00655373">
        <w:rPr>
          <w:rStyle w:val="aff6"/>
          <w:rFonts w:hint="cs"/>
        </w:rPr>
        <w:instrText>Ref2246687 \r \h</w:instrText>
      </w:r>
      <w:r w:rsidRPr="00655373">
        <w:rPr>
          <w:rStyle w:val="aff6"/>
          <w:rtl/>
        </w:rPr>
        <w:instrText xml:space="preserve"> </w:instrText>
      </w:r>
      <w:r w:rsidRPr="00655373">
        <w:rPr>
          <w:rStyle w:val="aff6"/>
          <w:rtl/>
        </w:rPr>
      </w:r>
      <w:r w:rsidRPr="00655373">
        <w:rPr>
          <w:rStyle w:val="aff6"/>
          <w:rtl/>
        </w:rPr>
        <w:fldChar w:fldCharType="separate"/>
      </w:r>
      <w:r w:rsidR="00345400">
        <w:rPr>
          <w:rStyle w:val="aff6"/>
          <w:cs/>
        </w:rPr>
        <w:t>‎</w:t>
      </w:r>
      <w:r w:rsidR="00345400">
        <w:rPr>
          <w:rStyle w:val="aff6"/>
          <w:rtl/>
        </w:rPr>
        <w:t>סה)</w:t>
      </w:r>
      <w:r w:rsidRPr="00655373">
        <w:rPr>
          <w:rStyle w:val="aff6"/>
          <w:rtl/>
        </w:rPr>
        <w:fldChar w:fldCharType="end"/>
      </w:r>
      <w:r w:rsidRPr="00672E74">
        <w:rPr>
          <w:rStyle w:val="afb"/>
          <w:rFonts w:hint="cs"/>
          <w:rtl/>
        </w:rPr>
        <w:t xml:space="preserve"> וכמשמעות דברי </w:t>
      </w:r>
      <w:r w:rsidRPr="00655373">
        <w:rPr>
          <w:rStyle w:val="affa"/>
          <w:rFonts w:hint="cs"/>
          <w:rtl/>
        </w:rPr>
        <w:t>רש"י</w:t>
      </w:r>
      <w:r w:rsidRPr="00672E74">
        <w:rPr>
          <w:rStyle w:val="afb"/>
          <w:rFonts w:hint="cs"/>
          <w:rtl/>
        </w:rPr>
        <w:t xml:space="preserve"> </w:t>
      </w:r>
      <w:r w:rsidRPr="00655373">
        <w:rPr>
          <w:rStyle w:val="aff6"/>
          <w:rFonts w:hint="cs"/>
          <w:rtl/>
        </w:rPr>
        <w:t xml:space="preserve">(עי' אות </w:t>
      </w:r>
      <w:r w:rsidRPr="00655373">
        <w:rPr>
          <w:rStyle w:val="aff6"/>
          <w:rtl/>
        </w:rPr>
        <w:fldChar w:fldCharType="begin"/>
      </w:r>
      <w:r w:rsidRPr="00655373">
        <w:rPr>
          <w:rStyle w:val="aff6"/>
          <w:rtl/>
        </w:rPr>
        <w:instrText xml:space="preserve"> </w:instrText>
      </w:r>
      <w:r w:rsidRPr="00655373">
        <w:rPr>
          <w:rStyle w:val="aff6"/>
          <w:rFonts w:hint="cs"/>
        </w:rPr>
        <w:instrText>REF</w:instrText>
      </w:r>
      <w:r w:rsidRPr="00655373">
        <w:rPr>
          <w:rStyle w:val="aff6"/>
          <w:rFonts w:hint="cs"/>
          <w:rtl/>
        </w:rPr>
        <w:instrText xml:space="preserve"> _</w:instrText>
      </w:r>
      <w:r w:rsidRPr="00655373">
        <w:rPr>
          <w:rStyle w:val="aff6"/>
          <w:rFonts w:hint="cs"/>
        </w:rPr>
        <w:instrText>Ref2246675 \r \h</w:instrText>
      </w:r>
      <w:r w:rsidRPr="00655373">
        <w:rPr>
          <w:rStyle w:val="aff6"/>
          <w:rtl/>
        </w:rPr>
        <w:instrText xml:space="preserve"> </w:instrText>
      </w:r>
      <w:r w:rsidRPr="00655373">
        <w:rPr>
          <w:rStyle w:val="aff6"/>
          <w:rtl/>
        </w:rPr>
      </w:r>
      <w:r w:rsidRPr="00655373">
        <w:rPr>
          <w:rStyle w:val="aff6"/>
          <w:rtl/>
        </w:rPr>
        <w:fldChar w:fldCharType="separate"/>
      </w:r>
      <w:r w:rsidR="00345400">
        <w:rPr>
          <w:rStyle w:val="aff6"/>
          <w:cs/>
        </w:rPr>
        <w:t>‎</w:t>
      </w:r>
      <w:r w:rsidR="00345400">
        <w:rPr>
          <w:rStyle w:val="aff6"/>
          <w:rtl/>
        </w:rPr>
        <w:t>סד)</w:t>
      </w:r>
      <w:r w:rsidRPr="00655373">
        <w:rPr>
          <w:rStyle w:val="aff6"/>
          <w:rtl/>
        </w:rPr>
        <w:fldChar w:fldCharType="end"/>
      </w:r>
      <w:r w:rsidRPr="00672E74">
        <w:rPr>
          <w:rStyle w:val="afb"/>
          <w:rFonts w:hint="cs"/>
          <w:rtl/>
        </w:rPr>
        <w:t>]</w:t>
      </w:r>
      <w:bookmarkEnd w:id="21936"/>
      <w:r w:rsidRPr="006D3183">
        <w:rPr>
          <w:rFonts w:hint="cs"/>
          <w:rtl/>
        </w:rPr>
        <w:t>,</w:t>
      </w:r>
      <w:r>
        <w:rPr>
          <w:rFonts w:hint="cs"/>
          <w:rtl/>
        </w:rPr>
        <w:t xml:space="preserve"> ועי' במ"ש </w:t>
      </w:r>
      <w:r w:rsidRPr="006D3183">
        <w:rPr>
          <w:rStyle w:val="af9"/>
          <w:rFonts w:hint="cs"/>
          <w:rtl/>
        </w:rPr>
        <w:t xml:space="preserve">האבי עזרי </w:t>
      </w:r>
      <w:r w:rsidRPr="006D3183">
        <w:rPr>
          <w:rStyle w:val="af7"/>
          <w:rFonts w:eastAsia="Guttman Hodes" w:hint="cs"/>
          <w:rtl/>
        </w:rPr>
        <w:t xml:space="preserve">(עי' אות </w:t>
      </w:r>
      <w:r w:rsidRPr="006D3183">
        <w:rPr>
          <w:rStyle w:val="af7"/>
          <w:rFonts w:eastAsia="Guttman Hodes"/>
          <w:rtl/>
        </w:rPr>
        <w:fldChar w:fldCharType="begin"/>
      </w:r>
      <w:r w:rsidRPr="006D3183">
        <w:rPr>
          <w:rStyle w:val="af7"/>
          <w:rFonts w:eastAsia="Guttman Hodes"/>
          <w:rtl/>
        </w:rPr>
        <w:instrText xml:space="preserve"> </w:instrText>
      </w:r>
      <w:r w:rsidRPr="006D3183">
        <w:rPr>
          <w:rStyle w:val="af7"/>
          <w:rFonts w:eastAsia="Guttman Hodes" w:hint="cs"/>
        </w:rPr>
        <w:instrText>REF</w:instrText>
      </w:r>
      <w:r w:rsidRPr="006D3183">
        <w:rPr>
          <w:rStyle w:val="af7"/>
          <w:rFonts w:eastAsia="Guttman Hodes" w:hint="cs"/>
          <w:rtl/>
        </w:rPr>
        <w:instrText xml:space="preserve"> _</w:instrText>
      </w:r>
      <w:r w:rsidRPr="006D3183">
        <w:rPr>
          <w:rStyle w:val="af7"/>
          <w:rFonts w:eastAsia="Guttman Hodes" w:hint="cs"/>
        </w:rPr>
        <w:instrText>Ref2247906 \r \h</w:instrText>
      </w:r>
      <w:r w:rsidRPr="006D3183">
        <w:rPr>
          <w:rStyle w:val="af7"/>
          <w:rFonts w:eastAsia="Guttman Hodes"/>
          <w:rtl/>
        </w:rPr>
        <w:instrText xml:space="preserve"> </w:instrText>
      </w:r>
      <w:r w:rsidRPr="006D3183">
        <w:rPr>
          <w:rStyle w:val="af7"/>
          <w:rFonts w:eastAsia="Guttman Hodes"/>
          <w:rtl/>
        </w:rPr>
      </w:r>
      <w:r w:rsidRPr="006D3183">
        <w:rPr>
          <w:rStyle w:val="af7"/>
          <w:rFonts w:eastAsia="Guttman Hodes"/>
          <w:rtl/>
        </w:rPr>
        <w:fldChar w:fldCharType="separate"/>
      </w:r>
      <w:r w:rsidR="00345400">
        <w:rPr>
          <w:rStyle w:val="af7"/>
          <w:rFonts w:eastAsia="Guttman Hodes"/>
          <w:cs/>
        </w:rPr>
        <w:t>‎</w:t>
      </w:r>
      <w:r w:rsidR="00345400">
        <w:rPr>
          <w:rStyle w:val="af7"/>
          <w:rFonts w:eastAsia="Guttman Hodes"/>
          <w:rtl/>
        </w:rPr>
        <w:t>צה)</w:t>
      </w:r>
      <w:r w:rsidRPr="006D3183">
        <w:rPr>
          <w:rStyle w:val="af7"/>
          <w:rFonts w:eastAsia="Guttman Hodes"/>
          <w:rtl/>
        </w:rPr>
        <w:fldChar w:fldCharType="end"/>
      </w:r>
      <w:r>
        <w:rPr>
          <w:rFonts w:hint="cs"/>
          <w:rtl/>
        </w:rPr>
        <w:t xml:space="preserve"> דלדעת </w:t>
      </w:r>
      <w:r w:rsidRPr="006D3183">
        <w:rPr>
          <w:rStyle w:val="af9"/>
          <w:rFonts w:hint="cs"/>
          <w:rtl/>
        </w:rPr>
        <w:t xml:space="preserve">הרמב"ם </w:t>
      </w:r>
      <w:r>
        <w:rPr>
          <w:rFonts w:hint="cs"/>
          <w:rtl/>
        </w:rPr>
        <w:t xml:space="preserve">מיושבת קושית </w:t>
      </w:r>
      <w:r w:rsidRPr="006D3183">
        <w:rPr>
          <w:rStyle w:val="af9"/>
          <w:rFonts w:hint="cs"/>
          <w:rtl/>
        </w:rPr>
        <w:t>התוס'</w:t>
      </w:r>
      <w:r>
        <w:rPr>
          <w:rFonts w:hint="cs"/>
          <w:rtl/>
        </w:rPr>
        <w:t>.</w:t>
      </w:r>
      <w:r w:rsidRPr="006D3183">
        <w:rPr>
          <w:rFonts w:hint="cs"/>
          <w:rtl/>
        </w:rPr>
        <w:t xml:space="preserve"> </w:t>
      </w:r>
    </w:p>
    <w:p w14:paraId="18B268E7" w14:textId="77777777" w:rsidR="003D504D" w:rsidRDefault="003D504D" w:rsidP="003D504D">
      <w:pPr>
        <w:pStyle w:val="a3"/>
        <w:rPr>
          <w:rtl/>
        </w:rPr>
      </w:pPr>
      <w:bookmarkStart w:id="21941" w:name="_Toc19391749"/>
      <w:bookmarkStart w:id="21942" w:name="_Toc19395246"/>
      <w:r>
        <w:rPr>
          <w:rFonts w:hint="cs"/>
          <w:rtl/>
        </w:rPr>
        <w:t>ביאור החזו"א דבן פקועה שמותר באכילה הו"א דאינו בכלל בהמה שאסרה תורה ברביעה</w:t>
      </w:r>
      <w:bookmarkEnd w:id="21941"/>
      <w:bookmarkEnd w:id="21942"/>
    </w:p>
    <w:p w14:paraId="0F6F1487" w14:textId="77777777" w:rsidR="003D504D" w:rsidRDefault="003D504D" w:rsidP="00223668">
      <w:pPr>
        <w:pStyle w:val="a0"/>
        <w:rPr>
          <w:rtl/>
        </w:rPr>
        <w:sectPr w:rsidR="003D504D" w:rsidSect="003D504D">
          <w:pgSz w:w="11906" w:h="16838"/>
          <w:pgMar w:top="720" w:right="720" w:bottom="720" w:left="720" w:header="283" w:footer="283" w:gutter="0"/>
          <w:cols w:num="2" w:space="567"/>
          <w:bidi/>
          <w:rtlGutter/>
          <w:docGrid w:linePitch="299"/>
        </w:sectPr>
      </w:pPr>
      <w:r>
        <w:rPr>
          <w:rFonts w:hint="cs"/>
          <w:rtl/>
        </w:rPr>
        <w:t xml:space="preserve">והקשה </w:t>
      </w:r>
      <w:r w:rsidRPr="00066606">
        <w:rPr>
          <w:rStyle w:val="af9"/>
          <w:rFonts w:hint="cs"/>
          <w:rtl/>
        </w:rPr>
        <w:t>החזו"א</w:t>
      </w:r>
      <w:r>
        <w:rPr>
          <w:rFonts w:hint="cs"/>
          <w:rtl/>
        </w:rPr>
        <w:t xml:space="preserve"> </w:t>
      </w:r>
      <w:r w:rsidRPr="00D31F7F">
        <w:rPr>
          <w:rStyle w:val="af7"/>
          <w:rFonts w:eastAsia="Guttman Hodes" w:hint="cs"/>
          <w:rtl/>
        </w:rPr>
        <w:t>(יו"ד סי' רי"ד חולין דף קכא:)</w:t>
      </w:r>
      <w:r>
        <w:rPr>
          <w:rFonts w:hint="cs"/>
          <w:rtl/>
        </w:rPr>
        <w:t xml:space="preserve"> על </w:t>
      </w:r>
      <w:r w:rsidRPr="00066606">
        <w:rPr>
          <w:rStyle w:val="af9"/>
          <w:rFonts w:hint="cs"/>
          <w:rtl/>
        </w:rPr>
        <w:t>התוס'</w:t>
      </w:r>
      <w:r>
        <w:rPr>
          <w:rFonts w:hint="cs"/>
          <w:rtl/>
        </w:rPr>
        <w:t xml:space="preserve"> דמה ההו"א דההיתר אכילה יתיר את איסור רביעה, וביאר </w:t>
      </w:r>
      <w:r w:rsidRPr="00066606">
        <w:rPr>
          <w:rStyle w:val="af9"/>
          <w:rFonts w:hint="cs"/>
          <w:rtl/>
        </w:rPr>
        <w:t>החזו"א</w:t>
      </w:r>
      <w:r>
        <w:rPr>
          <w:rFonts w:hint="cs"/>
          <w:rtl/>
        </w:rPr>
        <w:t xml:space="preserve"> דכיון דאיסור רביעה, אינו בכל בהמה, אלא במינים המיוחדים לרביעה, א"כ הו"א דבהותרה באכילה אינה בכלל הבהמה שאסרה התורה</w:t>
      </w:r>
    </w:p>
    <w:p w14:paraId="337331C5" w14:textId="77777777" w:rsidR="003D504D" w:rsidRDefault="003D504D" w:rsidP="00223668">
      <w:pPr>
        <w:pStyle w:val="a0"/>
        <w:numPr>
          <w:ilvl w:val="0"/>
          <w:numId w:val="0"/>
        </w:numPr>
        <w:sectPr w:rsidR="003D504D" w:rsidSect="003D504D">
          <w:type w:val="continuous"/>
          <w:pgSz w:w="11906" w:h="16838"/>
          <w:pgMar w:top="720" w:right="720" w:bottom="720" w:left="720" w:header="283" w:footer="283" w:gutter="0"/>
          <w:cols w:space="567"/>
          <w:bidi/>
          <w:rtlGutter/>
          <w:docGrid w:linePitch="299"/>
        </w:sectPr>
      </w:pPr>
    </w:p>
    <w:p w14:paraId="65492B48" w14:textId="77777777" w:rsidR="003D504D" w:rsidRPr="002A56BB" w:rsidRDefault="004B65FC" w:rsidP="00223668">
      <w:pPr>
        <w:pStyle w:val="a0"/>
        <w:numPr>
          <w:ilvl w:val="0"/>
          <w:numId w:val="0"/>
        </w:numPr>
        <w:rPr>
          <w:rtl/>
        </w:rPr>
      </w:pPr>
      <w:r>
        <w:pict w14:anchorId="7DCC6E8F">
          <v:shape id="_x0000_i1051" type="#_x0000_t75" style="width:404.55pt;height:6.8pt" o:hrpct="0" o:hralign="center" o:hr="t">
            <v:imagedata r:id="rId21" o:title="BD14845_"/>
          </v:shape>
        </w:pict>
      </w:r>
    </w:p>
    <w:p w14:paraId="430E4565" w14:textId="77777777" w:rsidR="003D504D" w:rsidRPr="002A56BB" w:rsidRDefault="003D504D" w:rsidP="003D504D">
      <w:pPr>
        <w:pStyle w:val="afe"/>
        <w:rPr>
          <w:rtl/>
        </w:rPr>
      </w:pPr>
      <w:bookmarkStart w:id="21943" w:name="_Toc1592218"/>
      <w:bookmarkStart w:id="21944" w:name="_Toc1668749"/>
      <w:bookmarkStart w:id="21945" w:name="_Toc1716639"/>
      <w:bookmarkStart w:id="21946" w:name="_Toc1725799"/>
      <w:bookmarkStart w:id="21947" w:name="_Toc1728181"/>
      <w:bookmarkStart w:id="21948" w:name="_Toc1938724"/>
      <w:bookmarkStart w:id="21949" w:name="_Toc1938817"/>
      <w:bookmarkStart w:id="21950" w:name="_Toc2078496"/>
      <w:bookmarkStart w:id="21951" w:name="_Toc2164527"/>
      <w:bookmarkStart w:id="21952" w:name="_Toc2187304"/>
      <w:bookmarkStart w:id="21953" w:name="_Toc2198237"/>
      <w:bookmarkStart w:id="21954" w:name="_Toc19436254"/>
      <w:bookmarkStart w:id="21955" w:name="_Toc20081409"/>
      <w:r w:rsidRPr="002A56BB">
        <w:rPr>
          <w:rFonts w:hint="cs"/>
          <w:rtl/>
        </w:rPr>
        <w:t>ביאורי ראשי הישיבות על הסוגיא</w:t>
      </w:r>
      <w:bookmarkEnd w:id="21943"/>
      <w:bookmarkEnd w:id="21944"/>
      <w:bookmarkEnd w:id="21945"/>
      <w:bookmarkEnd w:id="21946"/>
      <w:bookmarkEnd w:id="21947"/>
      <w:bookmarkEnd w:id="21948"/>
      <w:bookmarkEnd w:id="21949"/>
      <w:bookmarkEnd w:id="21950"/>
      <w:bookmarkEnd w:id="21951"/>
      <w:bookmarkEnd w:id="21952"/>
      <w:bookmarkEnd w:id="21953"/>
      <w:bookmarkEnd w:id="21954"/>
      <w:bookmarkEnd w:id="21955"/>
    </w:p>
    <w:p w14:paraId="1588FE2C" w14:textId="77777777" w:rsidR="003D504D" w:rsidRPr="002A56BB" w:rsidRDefault="003D504D" w:rsidP="003D504D">
      <w:pPr>
        <w:pStyle w:val="afe"/>
        <w:rPr>
          <w:rtl/>
        </w:rPr>
        <w:sectPr w:rsidR="003D504D" w:rsidRPr="002A56BB" w:rsidSect="003D504D">
          <w:pgSz w:w="11906" w:h="16838"/>
          <w:pgMar w:top="720" w:right="720" w:bottom="720" w:left="720" w:header="283" w:footer="283" w:gutter="0"/>
          <w:cols w:space="567"/>
          <w:bidi/>
          <w:rtlGutter/>
          <w:docGrid w:linePitch="299"/>
        </w:sectPr>
      </w:pPr>
    </w:p>
    <w:p w14:paraId="438BA697" w14:textId="77777777" w:rsidR="003D504D" w:rsidRDefault="003D504D" w:rsidP="003D504D">
      <w:pPr>
        <w:pStyle w:val="afe"/>
        <w:rPr>
          <w:rtl/>
        </w:rPr>
      </w:pPr>
      <w:bookmarkStart w:id="21956" w:name="_Toc2198238"/>
      <w:bookmarkStart w:id="21957" w:name="_Toc19436255"/>
      <w:bookmarkStart w:id="21958" w:name="_Toc20081410"/>
      <w:bookmarkStart w:id="21959" w:name="_Toc1592219"/>
      <w:bookmarkStart w:id="21960" w:name="_Toc1668751"/>
      <w:bookmarkStart w:id="21961" w:name="_Toc1716641"/>
      <w:bookmarkStart w:id="21962" w:name="_Toc1725801"/>
      <w:bookmarkStart w:id="21963" w:name="_Toc1728183"/>
      <w:bookmarkStart w:id="21964" w:name="_Toc1938726"/>
      <w:bookmarkStart w:id="21965" w:name="_Toc1938819"/>
      <w:bookmarkStart w:id="21966" w:name="_Toc2078498"/>
      <w:bookmarkStart w:id="21967" w:name="_Toc2164528"/>
      <w:bookmarkStart w:id="21968" w:name="_Toc2187305"/>
      <w:r>
        <w:rPr>
          <w:rFonts w:hint="cs"/>
          <w:rtl/>
        </w:rPr>
        <w:t>בגדר היתר בן פקועה וחלב</w:t>
      </w:r>
      <w:r w:rsidRPr="00685040">
        <w:rPr>
          <w:rFonts w:hint="cs"/>
          <w:rtl/>
        </w:rPr>
        <w:t xml:space="preserve"> </w:t>
      </w:r>
      <w:r>
        <w:rPr>
          <w:rFonts w:hint="cs"/>
          <w:rtl/>
        </w:rPr>
        <w:t>לר"מ ולרבנן</w:t>
      </w:r>
      <w:bookmarkEnd w:id="21956"/>
      <w:bookmarkEnd w:id="21957"/>
      <w:bookmarkEnd w:id="21958"/>
    </w:p>
    <w:p w14:paraId="5F82C911" w14:textId="77777777" w:rsidR="003D504D" w:rsidRDefault="003D504D" w:rsidP="00BF39B2">
      <w:pPr>
        <w:pStyle w:val="1"/>
        <w:rPr>
          <w:rtl/>
        </w:rPr>
      </w:pPr>
      <w:bookmarkStart w:id="21969" w:name="_Toc2198239"/>
      <w:bookmarkStart w:id="21970" w:name="_Toc19391750"/>
      <w:bookmarkStart w:id="21971" w:name="_Toc19395247"/>
      <w:r>
        <w:rPr>
          <w:rFonts w:hint="cs"/>
          <w:rtl/>
        </w:rPr>
        <w:t>ביאור הזכר יצחק בפלוגתת ר"מ ורבנן</w:t>
      </w:r>
      <w:bookmarkEnd w:id="21969"/>
      <w:bookmarkEnd w:id="21970"/>
      <w:bookmarkEnd w:id="21971"/>
    </w:p>
    <w:p w14:paraId="376885B1" w14:textId="77777777" w:rsidR="003D504D" w:rsidRDefault="003D504D" w:rsidP="003D504D">
      <w:pPr>
        <w:pStyle w:val="a3"/>
        <w:rPr>
          <w:rtl/>
        </w:rPr>
      </w:pPr>
      <w:bookmarkStart w:id="21972" w:name="_Toc2198240"/>
      <w:bookmarkStart w:id="21973" w:name="_Toc19391751"/>
      <w:bookmarkStart w:id="21974" w:name="_Toc19395248"/>
      <w:r>
        <w:rPr>
          <w:rFonts w:hint="cs"/>
          <w:rtl/>
        </w:rPr>
        <w:t>קושית הזכר יצחק דבתו"כ מבואר דהיתר בן ח' יותר מחודש מהיתר בן ט' חי ודלא כר"מ</w:t>
      </w:r>
      <w:bookmarkEnd w:id="21972"/>
      <w:bookmarkEnd w:id="21973"/>
      <w:bookmarkEnd w:id="21974"/>
    </w:p>
    <w:p w14:paraId="3FDD9C16" w14:textId="77777777" w:rsidR="003D504D" w:rsidRDefault="003D504D" w:rsidP="00223668">
      <w:pPr>
        <w:pStyle w:val="a0"/>
        <w:rPr>
          <w:rtl/>
        </w:rPr>
      </w:pPr>
      <w:r>
        <w:rPr>
          <w:rFonts w:hint="cs"/>
          <w:rtl/>
        </w:rPr>
        <w:t xml:space="preserve">הביא </w:t>
      </w:r>
      <w:r w:rsidRPr="00685040">
        <w:rPr>
          <w:rStyle w:val="af9"/>
          <w:rFonts w:hint="cs"/>
          <w:rtl/>
        </w:rPr>
        <w:t>בזכר יצחק</w:t>
      </w:r>
      <w:r>
        <w:rPr>
          <w:rFonts w:hint="cs"/>
          <w:rtl/>
        </w:rPr>
        <w:t xml:space="preserve"> </w:t>
      </w:r>
      <w:r w:rsidRPr="00685040">
        <w:rPr>
          <w:rStyle w:val="af7"/>
          <w:rFonts w:eastAsia="Guttman Hodes" w:hint="cs"/>
          <w:rtl/>
        </w:rPr>
        <w:t xml:space="preserve">(סי' ל"ה ד"ה ובת"כ) </w:t>
      </w:r>
      <w:r>
        <w:rPr>
          <w:rFonts w:hint="cs"/>
          <w:rtl/>
        </w:rPr>
        <w:t xml:space="preserve">את דברי התורת כהנים </w:t>
      </w:r>
      <w:r w:rsidRPr="00685040">
        <w:rPr>
          <w:rStyle w:val="af7"/>
          <w:rFonts w:eastAsia="Guttman Hodes" w:hint="cs"/>
          <w:rtl/>
        </w:rPr>
        <w:t>(</w:t>
      </w:r>
      <w:r w:rsidRPr="00685040">
        <w:rPr>
          <w:rStyle w:val="af7"/>
          <w:rFonts w:eastAsia="Guttman Hodes"/>
          <w:rtl/>
        </w:rPr>
        <w:t>שמיני פרשה ב</w:t>
      </w:r>
      <w:r w:rsidRPr="00685040">
        <w:rPr>
          <w:rStyle w:val="af7"/>
          <w:rFonts w:eastAsia="Guttman Hodes" w:hint="cs"/>
          <w:rtl/>
        </w:rPr>
        <w:t>'</w:t>
      </w:r>
      <w:r w:rsidRPr="00685040">
        <w:rPr>
          <w:rStyle w:val="af7"/>
          <w:rFonts w:eastAsia="Guttman Hodes"/>
          <w:rtl/>
        </w:rPr>
        <w:t xml:space="preserve"> </w:t>
      </w:r>
      <w:r w:rsidRPr="00685040">
        <w:rPr>
          <w:rStyle w:val="af7"/>
          <w:rFonts w:eastAsia="Guttman Hodes" w:hint="cs"/>
          <w:rtl/>
        </w:rPr>
        <w:t>[</w:t>
      </w:r>
      <w:r w:rsidRPr="00685040">
        <w:rPr>
          <w:rStyle w:val="af7"/>
          <w:rFonts w:eastAsia="Guttman Hodes"/>
          <w:rtl/>
        </w:rPr>
        <w:t>סוף פ</w:t>
      </w:r>
      <w:r w:rsidRPr="00685040">
        <w:rPr>
          <w:rStyle w:val="af7"/>
          <w:rFonts w:eastAsia="Guttman Hodes" w:hint="cs"/>
          <w:rtl/>
        </w:rPr>
        <w:t>"</w:t>
      </w:r>
      <w:r w:rsidRPr="00685040">
        <w:rPr>
          <w:rStyle w:val="af7"/>
          <w:rFonts w:eastAsia="Guttman Hodes"/>
          <w:rtl/>
        </w:rPr>
        <w:t>ב</w:t>
      </w:r>
      <w:r w:rsidRPr="00685040">
        <w:rPr>
          <w:rStyle w:val="af7"/>
          <w:rFonts w:eastAsia="Guttman Hodes" w:hint="cs"/>
          <w:rtl/>
        </w:rPr>
        <w:t xml:space="preserve">] ה"י) </w:t>
      </w:r>
      <w:r>
        <w:rPr>
          <w:rFonts w:hint="cs"/>
          <w:rtl/>
        </w:rPr>
        <w:t xml:space="preserve">דמהא דכתיב "בבהמה אותה תאכלו" ילפינן דשליל מותר באכילה, אך תני בתורת כהנים דמילפותא זו אפש"ל דרק בן ט' חי מותר, ולכן ילפינן מיתור הפסוק דכתיב "כל מפרסת פרסה וגו'", דאף בן חי חי או מת ובן ט' מת מותרים, והקשה </w:t>
      </w:r>
      <w:r w:rsidRPr="00685040">
        <w:rPr>
          <w:rStyle w:val="af9"/>
          <w:rFonts w:hint="cs"/>
          <w:rtl/>
        </w:rPr>
        <w:t>הזכר יצחק</w:t>
      </w:r>
      <w:r>
        <w:rPr>
          <w:rFonts w:hint="cs"/>
          <w:rtl/>
        </w:rPr>
        <w:t xml:space="preserve"> דמבואר בתורת כהנים דההיתר בבן ח' הוא יותר מחודש מההיתר בבן ט' חי, והרי בדברי ר"מ במתני' מבואר להיפך דס"ל דדוקא בן ח' מותר, ואילו בן ט' חי אסור.</w:t>
      </w:r>
    </w:p>
    <w:p w14:paraId="33B9C817" w14:textId="77777777" w:rsidR="003D504D" w:rsidRDefault="003D504D" w:rsidP="003D504D">
      <w:pPr>
        <w:pStyle w:val="a3"/>
        <w:rPr>
          <w:rtl/>
        </w:rPr>
      </w:pPr>
      <w:bookmarkStart w:id="21975" w:name="_Toc2198241"/>
      <w:bookmarkStart w:id="21976" w:name="_Toc19391752"/>
      <w:bookmarkStart w:id="21977" w:name="_Toc19395249"/>
      <w:r>
        <w:rPr>
          <w:rFonts w:hint="cs"/>
          <w:rtl/>
        </w:rPr>
        <w:t>ביאור הזכר יצחק דלרבנן גדר ההיתר דחשיב כשחוט ולכן הו"א דרק בבן ט' מותר דשייך בו שחיטה</w:t>
      </w:r>
      <w:bookmarkEnd w:id="21975"/>
      <w:bookmarkEnd w:id="21976"/>
      <w:bookmarkEnd w:id="21977"/>
    </w:p>
    <w:p w14:paraId="793DFADC" w14:textId="77777777" w:rsidR="003D504D" w:rsidRDefault="003D504D" w:rsidP="00223668">
      <w:pPr>
        <w:pStyle w:val="a0"/>
        <w:rPr>
          <w:rtl/>
        </w:rPr>
      </w:pPr>
      <w:r>
        <w:rPr>
          <w:rFonts w:hint="cs"/>
          <w:rtl/>
        </w:rPr>
        <w:t xml:space="preserve">וביאר </w:t>
      </w:r>
      <w:r w:rsidRPr="00685040">
        <w:rPr>
          <w:rStyle w:val="af9"/>
          <w:rFonts w:hint="cs"/>
          <w:rtl/>
        </w:rPr>
        <w:t>הזכר יצחק</w:t>
      </w:r>
      <w:r>
        <w:rPr>
          <w:rFonts w:hint="cs"/>
          <w:rtl/>
        </w:rPr>
        <w:t xml:space="preserve"> דנחלקו ר"מ ורבנן בגדר ההיתר בבן פקועה, דלרבנן ההיתר הוא דחשיב העובר כשחוט בשחיטת אמו, והתורת כהנים קאי בשיטת רבנן, וס"ל להתורת כהנים דההיתר דבן פקועה אינו מתיר את חלבו, </w:t>
      </w:r>
      <w:r w:rsidRPr="00E547DC">
        <w:rPr>
          <w:rStyle w:val="afb"/>
          <w:rFonts w:hint="cs"/>
          <w:rtl/>
        </w:rPr>
        <w:t xml:space="preserve">[דמעשה שחיטה אינו מתיר </w:t>
      </w:r>
      <w:r>
        <w:rPr>
          <w:rStyle w:val="afb"/>
          <w:rFonts w:hint="cs"/>
          <w:rtl/>
        </w:rPr>
        <w:t xml:space="preserve">איסור </w:t>
      </w:r>
      <w:r w:rsidRPr="00E547DC">
        <w:rPr>
          <w:rStyle w:val="afb"/>
          <w:rFonts w:hint="cs"/>
          <w:rtl/>
        </w:rPr>
        <w:t xml:space="preserve">חלב], </w:t>
      </w:r>
      <w:r>
        <w:rPr>
          <w:rFonts w:hint="cs"/>
          <w:rtl/>
        </w:rPr>
        <w:t>ולכן היה הו"א לתורת כהנים דההיתר הוא רק בבן ט' חי ששייך בו שחיטה, ולא בבן ח' שלא שייך בו שחיטה, או בבן ט' מת שהוא כבר נבילה, וקמ"ל מיתור הפסוק דאף בן ח' ובן ט' מת הם בכלל ההיתר.</w:t>
      </w:r>
    </w:p>
    <w:p w14:paraId="59CDC853" w14:textId="77777777" w:rsidR="003D504D" w:rsidRDefault="003D504D" w:rsidP="003D504D">
      <w:pPr>
        <w:pStyle w:val="a3"/>
        <w:rPr>
          <w:rtl/>
        </w:rPr>
      </w:pPr>
      <w:bookmarkStart w:id="21978" w:name="_Toc2198242"/>
      <w:bookmarkStart w:id="21979" w:name="_Toc19391753"/>
      <w:bookmarkStart w:id="21980" w:name="_Toc19395250"/>
      <w:r>
        <w:rPr>
          <w:rFonts w:hint="cs"/>
          <w:rtl/>
        </w:rPr>
        <w:t>ביאור הזכר יצחק בדעת ר"מ דגדר ההיתר דכל מה שבבהמה מותר ולכן ההיתר הוא רק בבן ח'</w:t>
      </w:r>
      <w:bookmarkEnd w:id="21978"/>
      <w:bookmarkEnd w:id="21979"/>
      <w:bookmarkEnd w:id="21980"/>
    </w:p>
    <w:p w14:paraId="468B027A" w14:textId="77777777" w:rsidR="003D504D" w:rsidRPr="0083656F" w:rsidRDefault="003D504D" w:rsidP="00223668">
      <w:pPr>
        <w:pStyle w:val="a0"/>
        <w:rPr>
          <w:rtl/>
        </w:rPr>
      </w:pPr>
      <w:r>
        <w:rPr>
          <w:rFonts w:hint="cs"/>
          <w:rtl/>
        </w:rPr>
        <w:t xml:space="preserve">אבל בדעת ר"מ ביאר </w:t>
      </w:r>
      <w:r w:rsidRPr="00685040">
        <w:rPr>
          <w:rStyle w:val="af9"/>
          <w:rFonts w:hint="cs"/>
          <w:rtl/>
        </w:rPr>
        <w:t>הזכר יצחק</w:t>
      </w:r>
      <w:r>
        <w:rPr>
          <w:rFonts w:hint="cs"/>
          <w:rtl/>
        </w:rPr>
        <w:t xml:space="preserve"> דס"ל דההיתר דבן פקועה מתיר אף את חלבו, וא"כ גדר ההיתר אינו דנחשב כשחוט, אלא דהתירה התורה את כל מה שנמצא בבהמה, ולכן ס"ל לר"מ דההיתר הוא רק בבן ח' או בן ט' מת, ולא בבן ט' חי, </w:t>
      </w:r>
      <w:r w:rsidRPr="00685040">
        <w:rPr>
          <w:rStyle w:val="afb"/>
          <w:rFonts w:hint="cs"/>
          <w:rtl/>
        </w:rPr>
        <w:t>[דהוא בהמה בפנ"ע]</w:t>
      </w:r>
      <w:r>
        <w:rPr>
          <w:rFonts w:hint="cs"/>
          <w:rtl/>
        </w:rPr>
        <w:t>.</w:t>
      </w:r>
    </w:p>
    <w:p w14:paraId="5DEAD27E" w14:textId="77777777" w:rsidR="003D504D" w:rsidRPr="002A56BB" w:rsidRDefault="003D504D" w:rsidP="003D504D">
      <w:pPr>
        <w:pStyle w:val="afe"/>
        <w:rPr>
          <w:rtl/>
        </w:rPr>
      </w:pPr>
      <w:bookmarkStart w:id="21981" w:name="_Toc2198243"/>
      <w:bookmarkStart w:id="21982" w:name="_Toc19436256"/>
      <w:bookmarkStart w:id="21983" w:name="_Toc20081411"/>
      <w:bookmarkEnd w:id="21959"/>
      <w:bookmarkEnd w:id="21960"/>
      <w:bookmarkEnd w:id="21961"/>
      <w:bookmarkEnd w:id="21962"/>
      <w:bookmarkEnd w:id="21963"/>
      <w:bookmarkEnd w:id="21964"/>
      <w:bookmarkEnd w:id="21965"/>
      <w:bookmarkEnd w:id="21966"/>
      <w:bookmarkEnd w:id="21967"/>
      <w:bookmarkEnd w:id="21968"/>
      <w:r>
        <w:rPr>
          <w:rFonts w:hint="cs"/>
          <w:rtl/>
        </w:rPr>
        <w:t>בגדר ההיתר בהיה חי בשחיטה ויצא מת</w:t>
      </w:r>
      <w:bookmarkEnd w:id="21981"/>
      <w:bookmarkEnd w:id="21982"/>
      <w:bookmarkEnd w:id="21983"/>
    </w:p>
    <w:p w14:paraId="149A1341" w14:textId="77777777" w:rsidR="003D504D" w:rsidRPr="002A56BB" w:rsidRDefault="003D504D" w:rsidP="00BF39B2">
      <w:pPr>
        <w:pStyle w:val="1"/>
        <w:rPr>
          <w:rtl/>
        </w:rPr>
      </w:pPr>
      <w:bookmarkStart w:id="21984" w:name="_Toc1592220"/>
      <w:bookmarkStart w:id="21985" w:name="_Toc1668752"/>
      <w:bookmarkStart w:id="21986" w:name="_Toc1716642"/>
      <w:bookmarkStart w:id="21987" w:name="_Toc1725802"/>
      <w:bookmarkStart w:id="21988" w:name="_Toc1728184"/>
      <w:bookmarkStart w:id="21989" w:name="_Toc1938727"/>
      <w:bookmarkStart w:id="21990" w:name="_Toc1938820"/>
      <w:bookmarkStart w:id="21991" w:name="_Toc2078499"/>
      <w:bookmarkStart w:id="21992" w:name="_Toc2164529"/>
      <w:bookmarkStart w:id="21993" w:name="_Toc2187306"/>
      <w:bookmarkStart w:id="21994" w:name="_Toc2198244"/>
      <w:bookmarkStart w:id="21995" w:name="_Toc19391754"/>
      <w:bookmarkStart w:id="21996" w:name="_Toc19395251"/>
      <w:r w:rsidRPr="002A56BB">
        <w:rPr>
          <w:rFonts w:hint="cs"/>
          <w:rtl/>
        </w:rPr>
        <w:t>דברי הקוה"ע</w:t>
      </w:r>
      <w:bookmarkEnd w:id="21984"/>
      <w:bookmarkEnd w:id="21985"/>
      <w:bookmarkEnd w:id="21986"/>
      <w:bookmarkEnd w:id="21987"/>
      <w:bookmarkEnd w:id="21988"/>
      <w:bookmarkEnd w:id="21989"/>
      <w:bookmarkEnd w:id="21990"/>
      <w:bookmarkEnd w:id="21991"/>
      <w:bookmarkEnd w:id="21992"/>
      <w:bookmarkEnd w:id="21993"/>
      <w:r>
        <w:rPr>
          <w:rFonts w:hint="cs"/>
          <w:rtl/>
        </w:rPr>
        <w:t xml:space="preserve"> דאף שלא הותר בשחיטה חל שם שחוט אח"כ</w:t>
      </w:r>
      <w:bookmarkEnd w:id="21994"/>
      <w:bookmarkEnd w:id="21995"/>
      <w:bookmarkEnd w:id="21996"/>
    </w:p>
    <w:p w14:paraId="75E1522B" w14:textId="77777777" w:rsidR="003D504D" w:rsidRPr="002A56BB" w:rsidRDefault="003D504D" w:rsidP="003D504D">
      <w:pPr>
        <w:pStyle w:val="a3"/>
        <w:rPr>
          <w:rtl/>
        </w:rPr>
      </w:pPr>
      <w:bookmarkStart w:id="21997" w:name="_Toc2198245"/>
      <w:bookmarkStart w:id="21998" w:name="_Toc19391755"/>
      <w:bookmarkStart w:id="21999" w:name="_Toc19395252"/>
      <w:r>
        <w:rPr>
          <w:rFonts w:hint="cs"/>
          <w:rtl/>
        </w:rPr>
        <w:t>קושית הקוה"ע על הרמב"ן בשם תוס' דבן ט' חי לא הותר בשחיטה ואיך הותר אח"כ כשיצא מת</w:t>
      </w:r>
      <w:bookmarkEnd w:id="21997"/>
      <w:bookmarkEnd w:id="21998"/>
      <w:bookmarkEnd w:id="21999"/>
    </w:p>
    <w:p w14:paraId="601A263E" w14:textId="77777777" w:rsidR="003D504D" w:rsidRPr="002A56BB" w:rsidRDefault="003D504D" w:rsidP="00223668">
      <w:pPr>
        <w:pStyle w:val="a0"/>
        <w:rPr>
          <w:rtl/>
        </w:rPr>
      </w:pPr>
      <w:bookmarkStart w:id="22000" w:name="_Ref1898388"/>
      <w:r w:rsidRPr="002A56BB">
        <w:rPr>
          <w:rFonts w:hint="cs"/>
          <w:rtl/>
        </w:rPr>
        <w:t xml:space="preserve">בדברי </w:t>
      </w:r>
      <w:r w:rsidRPr="002A56BB">
        <w:rPr>
          <w:rStyle w:val="af9"/>
          <w:rFonts w:hint="cs"/>
          <w:rtl/>
        </w:rPr>
        <w:t>הרמב"ן</w:t>
      </w:r>
      <w:r w:rsidRPr="002A56BB">
        <w:rPr>
          <w:rFonts w:hint="cs"/>
          <w:rtl/>
        </w:rPr>
        <w:t xml:space="preserve"> בשם </w:t>
      </w:r>
      <w:r w:rsidRPr="002A56BB">
        <w:rPr>
          <w:rStyle w:val="af9"/>
          <w:rFonts w:hint="cs"/>
          <w:rtl/>
        </w:rPr>
        <w:t>התוס'</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Ref1467235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כו)</w:t>
      </w:r>
      <w:r w:rsidRPr="002A56BB">
        <w:rPr>
          <w:rStyle w:val="af7"/>
          <w:rFonts w:eastAsia="Guttman Hodes"/>
          <w:rtl/>
        </w:rPr>
        <w:fldChar w:fldCharType="end"/>
      </w:r>
      <w:r w:rsidRPr="002A56BB">
        <w:rPr>
          <w:rFonts w:hint="cs"/>
          <w:rtl/>
        </w:rPr>
        <w:t xml:space="preserve"> דכתב דלדעת ר"מ בן ט' שיצא מת  לאויר העולם הוא מותר, אף אם היה חי בשעת השחיטה, הקשה </w:t>
      </w:r>
      <w:r w:rsidRPr="002A56BB">
        <w:rPr>
          <w:rStyle w:val="af9"/>
          <w:rFonts w:hint="cs"/>
          <w:rtl/>
        </w:rPr>
        <w:t>הקוע"ה</w:t>
      </w:r>
      <w:r w:rsidRPr="002A56BB">
        <w:rPr>
          <w:rFonts w:hint="cs"/>
          <w:rtl/>
        </w:rPr>
        <w:t xml:space="preserve"> </w:t>
      </w:r>
      <w:r w:rsidRPr="002A56BB">
        <w:rPr>
          <w:rStyle w:val="af7"/>
          <w:rFonts w:eastAsia="Guttman Hodes" w:hint="cs"/>
          <w:rtl/>
        </w:rPr>
        <w:t>(סי' נ"ט ו')</w:t>
      </w:r>
      <w:r w:rsidRPr="002A56BB">
        <w:rPr>
          <w:rFonts w:hint="cs"/>
          <w:rtl/>
        </w:rPr>
        <w:t xml:space="preserve"> הרי בשעת שחיטת האם כשהיה העובר חי במעיה, לא </w:t>
      </w:r>
      <w:r>
        <w:rPr>
          <w:rFonts w:hint="cs"/>
          <w:rtl/>
        </w:rPr>
        <w:t xml:space="preserve">התירה אותו השחיטה, דלר"מ בן ט' </w:t>
      </w:r>
      <w:r w:rsidRPr="002A56BB">
        <w:rPr>
          <w:rFonts w:hint="cs"/>
          <w:rtl/>
        </w:rPr>
        <w:t>חי אינו מותר בשחיטת אמו, וא"כ היאך אפש"ל דהוא מותר לאחר השחיטה כשיצא מת לאויר העולם.</w:t>
      </w:r>
      <w:bookmarkEnd w:id="22000"/>
    </w:p>
    <w:p w14:paraId="663A04A5" w14:textId="77777777" w:rsidR="003D504D" w:rsidRPr="002A56BB" w:rsidRDefault="003D504D" w:rsidP="003D504D">
      <w:pPr>
        <w:pStyle w:val="a3"/>
        <w:rPr>
          <w:rtl/>
        </w:rPr>
      </w:pPr>
      <w:bookmarkStart w:id="22001" w:name="_Toc2198246"/>
      <w:bookmarkStart w:id="22002" w:name="_Toc19391756"/>
      <w:bookmarkStart w:id="22003" w:name="_Toc19395253"/>
      <w:r>
        <w:rPr>
          <w:rFonts w:hint="cs"/>
          <w:rtl/>
        </w:rPr>
        <w:t>חקירת הקוה"ע אי היתר שחיטה הוא רק בשעת השחיטה ואינה יכולה להאסר אח"כ בנבילה</w:t>
      </w:r>
      <w:bookmarkEnd w:id="22001"/>
      <w:bookmarkEnd w:id="22002"/>
      <w:bookmarkEnd w:id="22003"/>
    </w:p>
    <w:p w14:paraId="5AD10BE6" w14:textId="77777777" w:rsidR="003D504D" w:rsidRDefault="003D504D" w:rsidP="00223668">
      <w:pPr>
        <w:pStyle w:val="a0"/>
        <w:rPr>
          <w:rtl/>
        </w:rPr>
      </w:pPr>
      <w:r w:rsidRPr="002A56BB">
        <w:rPr>
          <w:rFonts w:hint="cs"/>
          <w:rtl/>
        </w:rPr>
        <w:t xml:space="preserve">וכתב </w:t>
      </w:r>
      <w:r w:rsidRPr="002A56BB">
        <w:rPr>
          <w:rStyle w:val="af9"/>
          <w:rFonts w:hint="cs"/>
          <w:rtl/>
        </w:rPr>
        <w:t>הקוה"ע</w:t>
      </w:r>
      <w:r w:rsidRPr="002A56BB">
        <w:rPr>
          <w:rFonts w:hint="cs"/>
          <w:rtl/>
        </w:rPr>
        <w:t xml:space="preserve"> </w:t>
      </w:r>
      <w:r w:rsidRPr="002A56BB">
        <w:rPr>
          <w:rStyle w:val="af7"/>
          <w:rFonts w:eastAsia="Guttman Hodes" w:hint="cs"/>
          <w:rtl/>
        </w:rPr>
        <w:t>(סי' נ"ט ה')</w:t>
      </w:r>
      <w:r w:rsidRPr="002A56BB">
        <w:rPr>
          <w:rFonts w:hint="cs"/>
          <w:rtl/>
        </w:rPr>
        <w:t xml:space="preserve"> דיש לחקור בגדר ההיתר בשחיטה, אי השחיטה מתירה רק בזמן השחיטה, ואף אם אח"כ יפקע מהבהמה שם שחוטה, לא יהיה בה איסור נבילה, כיון שמיתתה הייתה בשחיטה כשרה, וכל שלא נעשית נבילה בשעת מיתה, לא שייך שתאסר אח"כ באיסור נבילה</w:t>
      </w:r>
      <w:r>
        <w:rPr>
          <w:rFonts w:hint="cs"/>
          <w:rtl/>
        </w:rPr>
        <w:t>.</w:t>
      </w:r>
    </w:p>
    <w:p w14:paraId="20C26E38" w14:textId="77777777" w:rsidR="00313A86" w:rsidRPr="00313A86" w:rsidRDefault="00313A86" w:rsidP="00313A86">
      <w:pPr>
        <w:pStyle w:val="a3"/>
        <w:rPr>
          <w:rtl/>
        </w:rPr>
      </w:pPr>
    </w:p>
    <w:p w14:paraId="5E0B10E4" w14:textId="77777777" w:rsidR="003D504D" w:rsidRPr="003A6CD0" w:rsidRDefault="003D504D" w:rsidP="003D504D">
      <w:pPr>
        <w:pStyle w:val="a3"/>
      </w:pPr>
      <w:bookmarkStart w:id="22004" w:name="_Toc2198247"/>
      <w:bookmarkStart w:id="22005" w:name="_Toc19391757"/>
      <w:bookmarkStart w:id="22006" w:name="_Toc19395254"/>
      <w:r>
        <w:rPr>
          <w:rFonts w:hint="cs"/>
          <w:rtl/>
        </w:rPr>
        <w:t>חקירת הקוע"ה אי היתר שחיטה הוא ממשיך בכל שעה דיש לה שם שחוטה שלא תאסר בנבילה</w:t>
      </w:r>
      <w:bookmarkEnd w:id="22004"/>
      <w:bookmarkEnd w:id="22005"/>
      <w:bookmarkEnd w:id="22006"/>
    </w:p>
    <w:p w14:paraId="6993DDA8" w14:textId="77777777" w:rsidR="003D504D" w:rsidRPr="002A56BB" w:rsidRDefault="003D504D" w:rsidP="00223668">
      <w:pPr>
        <w:pStyle w:val="a0"/>
        <w:rPr>
          <w:rtl/>
        </w:rPr>
      </w:pPr>
      <w:r>
        <w:rPr>
          <w:rFonts w:hint="cs"/>
          <w:rtl/>
        </w:rPr>
        <w:t xml:space="preserve">והצד השני כתב </w:t>
      </w:r>
      <w:r w:rsidRPr="008939D2">
        <w:rPr>
          <w:rStyle w:val="af9"/>
          <w:rFonts w:hint="cs"/>
          <w:rtl/>
        </w:rPr>
        <w:t>הקוע"ה</w:t>
      </w:r>
      <w:r w:rsidRPr="002A56BB">
        <w:rPr>
          <w:rFonts w:hint="cs"/>
          <w:rtl/>
        </w:rPr>
        <w:t xml:space="preserve"> דכל בהמה שמתה יש בה סיבה שתהיה נבילה, והשחיטה אינה מתירה אותה בשעת השחיטה לעולם, אלא דכיון שנשחטה כראוי ויש לה שם שחוטה, היא מותרת בכל שעה ושעה, וההיתר אינו מחמת שנשחטה בשחיטה כשרה, אלא מחמת שיש לה שם שחוטה, ואם יתכן שאחר השחיטה יתבטל ממנה השם שחוטה, ממילא תאסר מדין נבילה, אף שנשחטה בשחיטה כשרה.</w:t>
      </w:r>
    </w:p>
    <w:p w14:paraId="68AB6646" w14:textId="77777777" w:rsidR="003D504D" w:rsidRPr="002A56BB" w:rsidRDefault="003D504D" w:rsidP="003D504D">
      <w:pPr>
        <w:pStyle w:val="a3"/>
        <w:rPr>
          <w:rtl/>
        </w:rPr>
      </w:pPr>
      <w:bookmarkStart w:id="22007" w:name="_Toc2198248"/>
      <w:bookmarkStart w:id="22008" w:name="_Toc19391758"/>
      <w:bookmarkStart w:id="22009" w:name="_Toc19395255"/>
      <w:r>
        <w:rPr>
          <w:rFonts w:hint="cs"/>
          <w:rtl/>
        </w:rPr>
        <w:t>ביאור הקוה"ע ברמב"ן בשם תוס' דאף שלא הותר בשחיטה מ"מ כשיצא מת יש לו שם שחוט</w:t>
      </w:r>
      <w:bookmarkEnd w:id="22007"/>
      <w:bookmarkEnd w:id="22008"/>
      <w:bookmarkEnd w:id="22009"/>
    </w:p>
    <w:p w14:paraId="127F6905" w14:textId="77777777" w:rsidR="003D504D" w:rsidRPr="008567E2" w:rsidRDefault="003D504D" w:rsidP="00223668">
      <w:pPr>
        <w:pStyle w:val="a0"/>
        <w:rPr>
          <w:rStyle w:val="afb"/>
        </w:rPr>
      </w:pPr>
      <w:r w:rsidRPr="002A56BB">
        <w:rPr>
          <w:rFonts w:hint="cs"/>
          <w:rtl/>
        </w:rPr>
        <w:t xml:space="preserve">וכתב </w:t>
      </w:r>
      <w:r w:rsidRPr="002A56BB">
        <w:rPr>
          <w:rStyle w:val="af9"/>
          <w:rFonts w:hint="cs"/>
          <w:rtl/>
        </w:rPr>
        <w:t>הקוה"ע</w:t>
      </w:r>
      <w:r w:rsidRPr="002A56BB">
        <w:rPr>
          <w:rFonts w:hint="cs"/>
          <w:rtl/>
        </w:rPr>
        <w:t xml:space="preserve"> </w:t>
      </w:r>
      <w:r w:rsidRPr="002A56BB">
        <w:rPr>
          <w:rStyle w:val="af7"/>
          <w:rFonts w:eastAsia="Guttman Hodes" w:hint="cs"/>
          <w:rtl/>
        </w:rPr>
        <w:t>(סי' נ"ט ו')</w:t>
      </w:r>
      <w:r w:rsidRPr="002A56BB">
        <w:rPr>
          <w:rFonts w:hint="cs"/>
          <w:rtl/>
        </w:rPr>
        <w:t xml:space="preserve"> דמבואר בדברי </w:t>
      </w:r>
      <w:r w:rsidRPr="002A56BB">
        <w:rPr>
          <w:rStyle w:val="af9"/>
          <w:rFonts w:hint="cs"/>
          <w:rtl/>
        </w:rPr>
        <w:t>הרמב"ן</w:t>
      </w:r>
      <w:r w:rsidRPr="002A56BB">
        <w:rPr>
          <w:rFonts w:hint="cs"/>
          <w:rtl/>
        </w:rPr>
        <w:t xml:space="preserve"> בשם </w:t>
      </w:r>
      <w:r w:rsidRPr="002A56BB">
        <w:rPr>
          <w:rStyle w:val="af9"/>
          <w:rFonts w:hint="cs"/>
          <w:rtl/>
        </w:rPr>
        <w:t>התוס'</w:t>
      </w:r>
      <w:r w:rsidRPr="002A56BB">
        <w:rPr>
          <w:rFonts w:hint="cs"/>
          <w:rtl/>
        </w:rPr>
        <w:t xml:space="preserve">, דהיתר שחיטה הוא בכל שעה ושעה שיש לה </w:t>
      </w:r>
      <w:r w:rsidRPr="002A56BB">
        <w:rPr>
          <w:rtl/>
        </w:rPr>
        <w:t>שם שחוטה,</w:t>
      </w:r>
      <w:r w:rsidRPr="002A56BB">
        <w:rPr>
          <w:rFonts w:hint="cs"/>
          <w:rtl/>
        </w:rPr>
        <w:t xml:space="preserve"> ולכן אף שבשעת שחיטת האם לא הותר הולד, מ"מ כיון שמת לפני שיצא לאויר </w:t>
      </w:r>
      <w:r w:rsidRPr="00775F9C">
        <w:rPr>
          <w:rFonts w:hint="cs"/>
          <w:rtl/>
        </w:rPr>
        <w:t xml:space="preserve">העולם, מודה ר"מ דהוא מותר, דכל שיצא מת יש לו </w:t>
      </w:r>
      <w:r w:rsidRPr="00775F9C">
        <w:rPr>
          <w:rtl/>
        </w:rPr>
        <w:t>שם שחוט</w:t>
      </w:r>
      <w:r w:rsidRPr="00775F9C">
        <w:rPr>
          <w:rFonts w:hint="cs"/>
          <w:rtl/>
        </w:rPr>
        <w:t xml:space="preserve">, אך הביא </w:t>
      </w:r>
      <w:r w:rsidRPr="00775F9C">
        <w:rPr>
          <w:rStyle w:val="af9"/>
          <w:rFonts w:hint="cs"/>
          <w:rtl/>
        </w:rPr>
        <w:t>הקוה"ע</w:t>
      </w:r>
      <w:r w:rsidRPr="00775F9C">
        <w:rPr>
          <w:rFonts w:hint="cs"/>
          <w:rtl/>
        </w:rPr>
        <w:t xml:space="preserve"> </w:t>
      </w:r>
      <w:r w:rsidRPr="00775F9C">
        <w:rPr>
          <w:rStyle w:val="af9"/>
          <w:rFonts w:hint="cs"/>
          <w:rtl/>
        </w:rPr>
        <w:t>דהרמב"ן</w:t>
      </w:r>
      <w:r w:rsidRPr="00775F9C">
        <w:rPr>
          <w:rFonts w:hint="cs"/>
          <w:rtl/>
        </w:rPr>
        <w:t xml:space="preserve"> דחה את דברי </w:t>
      </w:r>
      <w:r w:rsidRPr="00775F9C">
        <w:rPr>
          <w:rStyle w:val="af9"/>
          <w:rFonts w:hint="cs"/>
          <w:rtl/>
        </w:rPr>
        <w:t>התוס'</w:t>
      </w:r>
      <w:r w:rsidRPr="00775F9C">
        <w:rPr>
          <w:rFonts w:hint="cs"/>
          <w:rtl/>
        </w:rPr>
        <w:t>.</w:t>
      </w:r>
      <w:r w:rsidRPr="00775F9C">
        <w:rPr>
          <w:rStyle w:val="afb"/>
          <w:rFonts w:hint="cs"/>
          <w:rtl/>
        </w:rPr>
        <w:t xml:space="preserve"> [אמנם </w:t>
      </w:r>
      <w:r>
        <w:rPr>
          <w:rStyle w:val="afb"/>
          <w:rFonts w:hint="cs"/>
          <w:rtl/>
        </w:rPr>
        <w:t xml:space="preserve">יעוי' </w:t>
      </w:r>
      <w:r w:rsidRPr="00775F9C">
        <w:rPr>
          <w:rStyle w:val="afb"/>
          <w:rFonts w:hint="cs"/>
          <w:rtl/>
        </w:rPr>
        <w:t xml:space="preserve">בדברי </w:t>
      </w:r>
      <w:r w:rsidRPr="00775F9C">
        <w:rPr>
          <w:rStyle w:val="affa"/>
          <w:rFonts w:hint="cs"/>
          <w:rtl/>
        </w:rPr>
        <w:t>הרא"ש</w:t>
      </w:r>
      <w:r w:rsidRPr="00775F9C">
        <w:rPr>
          <w:rStyle w:val="afb"/>
          <w:rFonts w:hint="cs"/>
          <w:rtl/>
        </w:rPr>
        <w:t xml:space="preserve"> </w:t>
      </w:r>
      <w:r w:rsidRPr="008567E2">
        <w:rPr>
          <w:rStyle w:val="aff6"/>
          <w:rFonts w:hint="cs"/>
          <w:rtl/>
        </w:rPr>
        <w:t xml:space="preserve">(עי' אות </w:t>
      </w:r>
      <w:r w:rsidRPr="008567E2">
        <w:rPr>
          <w:rStyle w:val="aff6"/>
          <w:rtl/>
        </w:rPr>
        <w:fldChar w:fldCharType="begin"/>
      </w:r>
      <w:r w:rsidRPr="008567E2">
        <w:rPr>
          <w:rStyle w:val="aff6"/>
          <w:rtl/>
        </w:rPr>
        <w:instrText xml:space="preserve"> </w:instrText>
      </w:r>
      <w:r w:rsidRPr="008567E2">
        <w:rPr>
          <w:rStyle w:val="aff6"/>
          <w:rFonts w:hint="cs"/>
        </w:rPr>
        <w:instrText>REF</w:instrText>
      </w:r>
      <w:r w:rsidRPr="008567E2">
        <w:rPr>
          <w:rStyle w:val="aff6"/>
          <w:rFonts w:hint="cs"/>
          <w:rtl/>
        </w:rPr>
        <w:instrText xml:space="preserve"> _</w:instrText>
      </w:r>
      <w:r w:rsidRPr="008567E2">
        <w:rPr>
          <w:rStyle w:val="aff6"/>
          <w:rFonts w:hint="cs"/>
        </w:rPr>
        <w:instrText>Ref1467235 \r \h</w:instrText>
      </w:r>
      <w:r w:rsidRPr="008567E2">
        <w:rPr>
          <w:rStyle w:val="aff6"/>
          <w:rtl/>
        </w:rPr>
        <w:instrText xml:space="preserve"> </w:instrText>
      </w:r>
      <w:r w:rsidRPr="008567E2">
        <w:rPr>
          <w:rStyle w:val="aff6"/>
          <w:rtl/>
        </w:rPr>
      </w:r>
      <w:r w:rsidRPr="008567E2">
        <w:rPr>
          <w:rStyle w:val="aff6"/>
          <w:rtl/>
        </w:rPr>
        <w:fldChar w:fldCharType="separate"/>
      </w:r>
      <w:r w:rsidR="00345400">
        <w:rPr>
          <w:rStyle w:val="aff6"/>
          <w:cs/>
        </w:rPr>
        <w:t>‎</w:t>
      </w:r>
      <w:r w:rsidR="00345400">
        <w:rPr>
          <w:rStyle w:val="aff6"/>
          <w:rtl/>
        </w:rPr>
        <w:t>כו)</w:t>
      </w:r>
      <w:r w:rsidRPr="008567E2">
        <w:rPr>
          <w:rStyle w:val="aff6"/>
          <w:rtl/>
        </w:rPr>
        <w:fldChar w:fldCharType="end"/>
      </w:r>
      <w:r>
        <w:rPr>
          <w:rStyle w:val="afb"/>
          <w:rFonts w:hint="cs"/>
          <w:rtl/>
        </w:rPr>
        <w:t xml:space="preserve"> דכתב דכל שיצא מת הוא מותר דרק חדשים ויציאתו לאויר העולם גרמי לאוסרו].</w:t>
      </w:r>
    </w:p>
    <w:p w14:paraId="3CEC9346" w14:textId="77777777" w:rsidR="003D504D" w:rsidRPr="002A56BB" w:rsidRDefault="003D504D" w:rsidP="003D504D">
      <w:pPr>
        <w:pStyle w:val="afe"/>
        <w:rPr>
          <w:rtl/>
        </w:rPr>
      </w:pPr>
      <w:bookmarkStart w:id="22010" w:name="_Toc19436257"/>
      <w:bookmarkStart w:id="22011" w:name="_Toc20081412"/>
      <w:r>
        <w:rPr>
          <w:rFonts w:hint="cs"/>
          <w:rtl/>
        </w:rPr>
        <w:t>בחילוק בין היתר החֵלֶב והגיד לאיסור הדם</w:t>
      </w:r>
      <w:bookmarkEnd w:id="22010"/>
      <w:bookmarkEnd w:id="22011"/>
    </w:p>
    <w:p w14:paraId="5ADAAF95" w14:textId="77777777" w:rsidR="003D504D" w:rsidRPr="002A56BB" w:rsidRDefault="003D504D" w:rsidP="00BF39B2">
      <w:pPr>
        <w:pStyle w:val="1"/>
        <w:rPr>
          <w:rtl/>
        </w:rPr>
      </w:pPr>
      <w:bookmarkStart w:id="22012" w:name="_Toc2078501"/>
      <w:bookmarkStart w:id="22013" w:name="_Toc2164531"/>
      <w:bookmarkStart w:id="22014" w:name="_Toc2187308"/>
      <w:bookmarkStart w:id="22015" w:name="_Toc2198250"/>
      <w:bookmarkStart w:id="22016" w:name="_Toc19391759"/>
      <w:bookmarkStart w:id="22017" w:name="_Toc19395256"/>
      <w:bookmarkStart w:id="22018" w:name="_Toc1938729"/>
      <w:bookmarkStart w:id="22019" w:name="_Toc1938822"/>
      <w:r w:rsidRPr="002A56BB">
        <w:rPr>
          <w:rFonts w:hint="cs"/>
          <w:rtl/>
        </w:rPr>
        <w:t>ביאור הקה"י בדברי הרא"ש</w:t>
      </w:r>
      <w:bookmarkEnd w:id="22012"/>
      <w:bookmarkEnd w:id="22013"/>
      <w:bookmarkEnd w:id="22014"/>
      <w:bookmarkEnd w:id="22015"/>
      <w:bookmarkEnd w:id="22016"/>
      <w:bookmarkEnd w:id="22017"/>
    </w:p>
    <w:p w14:paraId="128EC817" w14:textId="77777777" w:rsidR="003D504D" w:rsidRPr="002A56BB" w:rsidRDefault="003D504D" w:rsidP="003D504D">
      <w:pPr>
        <w:pStyle w:val="a3"/>
        <w:rPr>
          <w:rtl/>
        </w:rPr>
      </w:pPr>
      <w:bookmarkStart w:id="22020" w:name="_Toc2198251"/>
      <w:bookmarkStart w:id="22021" w:name="_Toc19391760"/>
      <w:bookmarkStart w:id="22022" w:name="_Toc19395257"/>
      <w:r>
        <w:rPr>
          <w:rFonts w:hint="cs"/>
          <w:rtl/>
        </w:rPr>
        <w:t>ביאור הקה"י ברא"ש דכיון שאינו בפנ"ע אין חלבו כחלב הקרב ואין גידו על כף הירך</w:t>
      </w:r>
      <w:bookmarkEnd w:id="22020"/>
      <w:bookmarkEnd w:id="22021"/>
      <w:bookmarkEnd w:id="22022"/>
    </w:p>
    <w:p w14:paraId="0A9ECF7C" w14:textId="77777777" w:rsidR="003D504D" w:rsidRPr="002A56BB" w:rsidRDefault="003D504D" w:rsidP="00223668">
      <w:pPr>
        <w:pStyle w:val="a0"/>
        <w:rPr>
          <w:rtl/>
        </w:rPr>
      </w:pPr>
      <w:bookmarkStart w:id="22023" w:name="_Ref1985198"/>
      <w:r w:rsidRPr="002A56BB">
        <w:rPr>
          <w:rFonts w:hint="cs"/>
          <w:rtl/>
        </w:rPr>
        <w:t xml:space="preserve">בדברי </w:t>
      </w:r>
      <w:r w:rsidRPr="002A56BB">
        <w:rPr>
          <w:rStyle w:val="af9"/>
          <w:rFonts w:hint="cs"/>
          <w:rtl/>
        </w:rPr>
        <w:t>הרא"ש</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Ref1937481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2A56BB">
        <w:rPr>
          <w:rStyle w:val="af7"/>
          <w:rFonts w:eastAsia="Guttman Hodes"/>
          <w:rtl/>
        </w:rPr>
        <w:fldChar w:fldCharType="end"/>
      </w:r>
      <w:r w:rsidRPr="002A56BB">
        <w:rPr>
          <w:rStyle w:val="af7"/>
          <w:rFonts w:eastAsia="Guttman Hodes" w:hint="cs"/>
          <w:rtl/>
        </w:rPr>
        <w:t xml:space="preserve"> </w:t>
      </w:r>
      <w:r w:rsidRPr="002A56BB">
        <w:rPr>
          <w:rFonts w:hint="cs"/>
          <w:rtl/>
        </w:rPr>
        <w:t xml:space="preserve">דכתב דהדם אסור כיון שהוא נבלע בכל האברים, הביא </w:t>
      </w:r>
      <w:r w:rsidRPr="002A56BB">
        <w:rPr>
          <w:rStyle w:val="af9"/>
          <w:rFonts w:hint="cs"/>
          <w:rtl/>
        </w:rPr>
        <w:t>הקה"י</w:t>
      </w:r>
      <w:r w:rsidRPr="002A56BB">
        <w:rPr>
          <w:rFonts w:hint="cs"/>
          <w:rtl/>
        </w:rPr>
        <w:t xml:space="preserve"> </w:t>
      </w:r>
      <w:r w:rsidRPr="002A56BB">
        <w:rPr>
          <w:rStyle w:val="af7"/>
          <w:rFonts w:eastAsia="Guttman Hodes" w:hint="cs"/>
          <w:rtl/>
        </w:rPr>
        <w:t xml:space="preserve">(סי' י"ט א') </w:t>
      </w:r>
      <w:r w:rsidRPr="002A56BB">
        <w:rPr>
          <w:rFonts w:hint="cs"/>
          <w:rtl/>
        </w:rPr>
        <w:t xml:space="preserve">את דברי </w:t>
      </w:r>
      <w:r w:rsidRPr="002A56BB">
        <w:rPr>
          <w:rStyle w:val="af9"/>
          <w:rFonts w:hint="cs"/>
          <w:rtl/>
        </w:rPr>
        <w:t>הג' נחלת צבי</w:t>
      </w:r>
      <w:r w:rsidRPr="002A56BB">
        <w:rPr>
          <w:rFonts w:hint="cs"/>
          <w:rtl/>
        </w:rPr>
        <w:t xml:space="preserve"> </w:t>
      </w:r>
      <w:r w:rsidRPr="002A56BB">
        <w:rPr>
          <w:rStyle w:val="af7"/>
          <w:rFonts w:eastAsia="Guttman Hodes" w:hint="cs"/>
          <w:rtl/>
        </w:rPr>
        <w:t xml:space="preserve">(נד' על השו"ע יו"ד סו"ס פ"א) </w:t>
      </w:r>
      <w:r w:rsidRPr="002A56BB">
        <w:rPr>
          <w:rFonts w:hint="cs"/>
          <w:rtl/>
        </w:rPr>
        <w:t xml:space="preserve">דכתב דביאור </w:t>
      </w:r>
      <w:r w:rsidRPr="002A56BB">
        <w:rPr>
          <w:rStyle w:val="af9"/>
          <w:rFonts w:hint="cs"/>
          <w:rtl/>
        </w:rPr>
        <w:t>הרא"ש</w:t>
      </w:r>
      <w:r w:rsidRPr="002A56BB">
        <w:rPr>
          <w:rFonts w:hint="cs"/>
          <w:rtl/>
        </w:rPr>
        <w:t xml:space="preserve"> אינו מובן </w:t>
      </w:r>
      <w:r w:rsidRPr="002A56BB">
        <w:rPr>
          <w:rStyle w:val="afb"/>
          <w:rFonts w:hint="cs"/>
          <w:rtl/>
        </w:rPr>
        <w:t xml:space="preserve">[עיי"ש בדברי </w:t>
      </w:r>
      <w:r w:rsidRPr="002A56BB">
        <w:rPr>
          <w:rStyle w:val="affa"/>
          <w:rFonts w:hint="cs"/>
          <w:rtl/>
        </w:rPr>
        <w:t>הנחלת צבי</w:t>
      </w:r>
      <w:r w:rsidRPr="002A56BB">
        <w:rPr>
          <w:rStyle w:val="afb"/>
          <w:rFonts w:hint="cs"/>
          <w:rtl/>
        </w:rPr>
        <w:t>]</w:t>
      </w:r>
      <w:r w:rsidRPr="002A56BB">
        <w:rPr>
          <w:rFonts w:hint="cs"/>
          <w:rtl/>
        </w:rPr>
        <w:t xml:space="preserve">, וכתב </w:t>
      </w:r>
      <w:r w:rsidRPr="002A56BB">
        <w:rPr>
          <w:rStyle w:val="af9"/>
          <w:rFonts w:hint="cs"/>
          <w:rtl/>
        </w:rPr>
        <w:t>הקה"י</w:t>
      </w:r>
      <w:r w:rsidRPr="002A56BB">
        <w:rPr>
          <w:rFonts w:hint="cs"/>
          <w:rtl/>
        </w:rPr>
        <w:t xml:space="preserve"> דכוונת</w:t>
      </w:r>
      <w:r w:rsidRPr="002A56BB">
        <w:rPr>
          <w:rStyle w:val="af9"/>
          <w:rFonts w:hint="cs"/>
          <w:rtl/>
        </w:rPr>
        <w:t xml:space="preserve"> הרא"ש</w:t>
      </w:r>
      <w:r w:rsidRPr="002A56BB">
        <w:rPr>
          <w:rFonts w:hint="cs"/>
          <w:rtl/>
        </w:rPr>
        <w:t xml:space="preserve"> לומר דבהיתר "כל בבהמה תאכלו" דמסברא התירה תורה דוקא דבר שאם היה העובר אבר של אמו היה מותר, דהיינו חלב וגיד הנשה שהאיסור שלהם הוא במקום מסוים, דדוקא חלב שעל הקרב אסור, וכן רק גיד הנשה שעל כף הירך אסור, וא"כ כיון שהעובר הוא כאבר של הבהמה, א"כ כלפי הבהמה אין החלב של העובר כחלב שעל הקרב, וכן הגיד אינו על כף הירך, ולכן אם העובר נדון כבהמה בפנ"ע החלב והגיד שלו אסורים, דהם חלב שעל הקרב וגיד שעל כף הירך, אבל אחר היתר "כל בבהמה תאכלו", חשיב דהעובר נדון כאבר מאברי הבהמה, ולכן חלבו וגידו מותר</w:t>
      </w:r>
      <w:r>
        <w:rPr>
          <w:rFonts w:hint="cs"/>
          <w:rtl/>
        </w:rPr>
        <w:t xml:space="preserve">, וכבר כתב כן </w:t>
      </w:r>
      <w:r w:rsidRPr="000C1E79">
        <w:rPr>
          <w:rStyle w:val="af9"/>
          <w:rFonts w:hint="cs"/>
          <w:rtl/>
        </w:rPr>
        <w:t>המהרש"ל</w:t>
      </w:r>
      <w:r>
        <w:rPr>
          <w:rFonts w:hint="cs"/>
          <w:rtl/>
        </w:rPr>
        <w:t xml:space="preserve"> </w:t>
      </w:r>
      <w:r w:rsidRPr="000C1E79">
        <w:rPr>
          <w:rStyle w:val="af7"/>
          <w:rFonts w:eastAsia="Guttman Hodes" w:hint="cs"/>
          <w:rtl/>
        </w:rPr>
        <w:t xml:space="preserve">(עי' אות </w:t>
      </w:r>
      <w:r w:rsidRPr="000C1E79">
        <w:rPr>
          <w:rStyle w:val="af7"/>
          <w:rFonts w:eastAsia="Guttman Hodes"/>
          <w:rtl/>
        </w:rPr>
        <w:fldChar w:fldCharType="begin"/>
      </w:r>
      <w:r w:rsidRPr="000C1E79">
        <w:rPr>
          <w:rStyle w:val="af7"/>
          <w:rFonts w:eastAsia="Guttman Hodes"/>
          <w:rtl/>
        </w:rPr>
        <w:instrText xml:space="preserve"> </w:instrText>
      </w:r>
      <w:r w:rsidRPr="000C1E79">
        <w:rPr>
          <w:rStyle w:val="af7"/>
          <w:rFonts w:eastAsia="Guttman Hodes" w:hint="cs"/>
        </w:rPr>
        <w:instrText>REF</w:instrText>
      </w:r>
      <w:r w:rsidRPr="000C1E79">
        <w:rPr>
          <w:rStyle w:val="af7"/>
          <w:rFonts w:eastAsia="Guttman Hodes" w:hint="cs"/>
          <w:rtl/>
        </w:rPr>
        <w:instrText xml:space="preserve"> _</w:instrText>
      </w:r>
      <w:r w:rsidRPr="000C1E79">
        <w:rPr>
          <w:rStyle w:val="af7"/>
          <w:rFonts w:eastAsia="Guttman Hodes" w:hint="cs"/>
        </w:rPr>
        <w:instrText>Ref2197713 \r \h</w:instrText>
      </w:r>
      <w:r w:rsidRPr="000C1E79">
        <w:rPr>
          <w:rStyle w:val="af7"/>
          <w:rFonts w:eastAsia="Guttman Hodes"/>
          <w:rtl/>
        </w:rPr>
        <w:instrText xml:space="preserve"> </w:instrText>
      </w:r>
      <w:r w:rsidRPr="000C1E79">
        <w:rPr>
          <w:rStyle w:val="af7"/>
          <w:rFonts w:eastAsia="Guttman Hodes"/>
          <w:rtl/>
        </w:rPr>
      </w:r>
      <w:r w:rsidRPr="000C1E79">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0C1E79">
        <w:rPr>
          <w:rStyle w:val="af7"/>
          <w:rFonts w:eastAsia="Guttman Hodes"/>
          <w:rtl/>
        </w:rPr>
        <w:fldChar w:fldCharType="end"/>
      </w:r>
      <w:r w:rsidRPr="002A56BB">
        <w:rPr>
          <w:rFonts w:hint="cs"/>
          <w:rtl/>
        </w:rPr>
        <w:t>.</w:t>
      </w:r>
      <w:bookmarkEnd w:id="22023"/>
    </w:p>
    <w:p w14:paraId="098A7336" w14:textId="77777777" w:rsidR="003D504D" w:rsidRPr="002A56BB" w:rsidRDefault="003D504D" w:rsidP="003D504D">
      <w:pPr>
        <w:pStyle w:val="a3"/>
        <w:rPr>
          <w:rtl/>
        </w:rPr>
      </w:pPr>
      <w:bookmarkStart w:id="22024" w:name="_Toc2198252"/>
      <w:bookmarkStart w:id="22025" w:name="_Toc19391761"/>
      <w:bookmarkStart w:id="22026" w:name="_Toc19395258"/>
      <w:r>
        <w:rPr>
          <w:rFonts w:hint="cs"/>
          <w:rtl/>
        </w:rPr>
        <w:t>ביאור הקה"י ברא"ש דאף דהעובר כאבר של אמו מ"מ דמו אסור דאיסורו בכל מקום</w:t>
      </w:r>
      <w:bookmarkEnd w:id="22024"/>
      <w:bookmarkEnd w:id="22025"/>
      <w:bookmarkEnd w:id="22026"/>
    </w:p>
    <w:p w14:paraId="1F7283B6" w14:textId="77777777" w:rsidR="003D504D" w:rsidRPr="002A56BB" w:rsidRDefault="003D504D" w:rsidP="00223668">
      <w:pPr>
        <w:pStyle w:val="a0"/>
        <w:rPr>
          <w:rtl/>
        </w:rPr>
      </w:pPr>
      <w:r w:rsidRPr="002A56BB">
        <w:rPr>
          <w:rFonts w:hint="cs"/>
          <w:rtl/>
        </w:rPr>
        <w:t xml:space="preserve">אבל לענין דמו כתב </w:t>
      </w:r>
      <w:r w:rsidRPr="002A56BB">
        <w:rPr>
          <w:rStyle w:val="af9"/>
          <w:rFonts w:hint="cs"/>
          <w:rtl/>
        </w:rPr>
        <w:t>הקה"י</w:t>
      </w:r>
      <w:r w:rsidRPr="002A56BB">
        <w:rPr>
          <w:rFonts w:hint="cs"/>
          <w:rtl/>
        </w:rPr>
        <w:t xml:space="preserve"> דביאר </w:t>
      </w:r>
      <w:r w:rsidRPr="002A56BB">
        <w:rPr>
          <w:rStyle w:val="af9"/>
          <w:rFonts w:hint="cs"/>
          <w:rtl/>
        </w:rPr>
        <w:t>הרא"ש</w:t>
      </w:r>
      <w:r w:rsidRPr="002A56BB">
        <w:rPr>
          <w:rFonts w:hint="cs"/>
          <w:rtl/>
        </w:rPr>
        <w:t xml:space="preserve"> דאף אם העובר חשיב כאבר של אמו, מ"מ הדם אסור, דאסרה תורה את כל דם האברים כשפירש, ואין האיסור דוקא בדם במקום מסוים, ולכן אף לאחר היתר "כל בבהמה תאכלו", דחשיב העובר כאבר של אמו, מ"מ דמו אסור, דאין דינו יותר קל מדין אמו.</w:t>
      </w:r>
    </w:p>
    <w:p w14:paraId="07338D3A" w14:textId="77777777" w:rsidR="003D504D" w:rsidRPr="002A56BB" w:rsidRDefault="003D504D" w:rsidP="003D504D">
      <w:pPr>
        <w:pStyle w:val="a3"/>
        <w:rPr>
          <w:rtl/>
        </w:rPr>
      </w:pPr>
      <w:bookmarkStart w:id="22027" w:name="_Toc2198253"/>
      <w:bookmarkStart w:id="22028" w:name="_Toc19391762"/>
      <w:bookmarkStart w:id="22029" w:name="_Toc19395259"/>
      <w:r>
        <w:rPr>
          <w:rFonts w:hint="cs"/>
          <w:rtl/>
        </w:rPr>
        <w:t>ביאור הקה"י בלשון הרא"ש דהדם נבלע בכל הגוף דאין איסורו במקום מסוים</w:t>
      </w:r>
      <w:bookmarkEnd w:id="22027"/>
      <w:bookmarkEnd w:id="22028"/>
      <w:bookmarkEnd w:id="22029"/>
    </w:p>
    <w:p w14:paraId="5FBD8EB5" w14:textId="77777777" w:rsidR="003D504D" w:rsidRPr="002A56BB" w:rsidRDefault="003D504D" w:rsidP="00223668">
      <w:pPr>
        <w:pStyle w:val="a0"/>
        <w:rPr>
          <w:rStyle w:val="afb"/>
          <w:rtl/>
        </w:rPr>
      </w:pPr>
      <w:r w:rsidRPr="002A56BB">
        <w:rPr>
          <w:rFonts w:hint="cs"/>
          <w:rtl/>
        </w:rPr>
        <w:t xml:space="preserve">והוסיף </w:t>
      </w:r>
      <w:r w:rsidRPr="002A56BB">
        <w:rPr>
          <w:rStyle w:val="af9"/>
          <w:rFonts w:hint="cs"/>
          <w:rtl/>
        </w:rPr>
        <w:t>הקה"י</w:t>
      </w:r>
      <w:r w:rsidRPr="002A56BB">
        <w:rPr>
          <w:rFonts w:hint="cs"/>
          <w:rtl/>
        </w:rPr>
        <w:t xml:space="preserve"> דלפי"ז ביאור לשון </w:t>
      </w:r>
      <w:r w:rsidRPr="002A56BB">
        <w:rPr>
          <w:rStyle w:val="af9"/>
          <w:rFonts w:hint="cs"/>
          <w:rtl/>
        </w:rPr>
        <w:t>הרא"ש</w:t>
      </w:r>
      <w:r w:rsidRPr="002A56BB">
        <w:rPr>
          <w:rFonts w:hint="cs"/>
          <w:rtl/>
        </w:rPr>
        <w:t xml:space="preserve"> דכתב דהדם נבלע בכל הגוף, וחשיב כדם האברים של הבהמה, היינו דאין בבהמה מקום מסויים שבו הדם אסור, אלא בכל גופה יש איסור בדם, ולכן אם העובר חשיב כאבר מאברי אמו דמו אסור, ואם חשיב כבהמה בפנ"ע ודאי דדמו אסור</w:t>
      </w:r>
      <w:r>
        <w:rPr>
          <w:rFonts w:hint="cs"/>
          <w:rtl/>
        </w:rPr>
        <w:t>, א</w:t>
      </w:r>
      <w:r w:rsidRPr="002A56BB">
        <w:rPr>
          <w:rFonts w:hint="cs"/>
          <w:rtl/>
        </w:rPr>
        <w:t xml:space="preserve">בל בחלב וגיד הנשה, ביאר </w:t>
      </w:r>
      <w:r w:rsidRPr="002A56BB">
        <w:rPr>
          <w:rStyle w:val="af9"/>
          <w:rFonts w:hint="cs"/>
          <w:rtl/>
        </w:rPr>
        <w:t>הקה"י</w:t>
      </w:r>
      <w:r w:rsidRPr="002A56BB">
        <w:rPr>
          <w:rFonts w:hint="cs"/>
          <w:rtl/>
        </w:rPr>
        <w:t xml:space="preserve"> </w:t>
      </w:r>
      <w:r>
        <w:rPr>
          <w:rFonts w:hint="cs"/>
          <w:rtl/>
        </w:rPr>
        <w:t>דאיסורם ב</w:t>
      </w:r>
      <w:r w:rsidRPr="002A56BB">
        <w:rPr>
          <w:rFonts w:hint="cs"/>
          <w:rtl/>
        </w:rPr>
        <w:t>מקום מסוים</w:t>
      </w:r>
      <w:r w:rsidRPr="000C1E79">
        <w:rPr>
          <w:rFonts w:hint="cs"/>
          <w:rtl/>
        </w:rPr>
        <w:t xml:space="preserve"> </w:t>
      </w:r>
      <w:r w:rsidRPr="002A56BB">
        <w:rPr>
          <w:rFonts w:hint="cs"/>
          <w:rtl/>
        </w:rPr>
        <w:t>לגבי הבהמה</w:t>
      </w:r>
      <w:r>
        <w:rPr>
          <w:rFonts w:hint="cs"/>
          <w:rtl/>
        </w:rPr>
        <w:t>,</w:t>
      </w:r>
      <w:r w:rsidRPr="002A56BB">
        <w:rPr>
          <w:rFonts w:hint="cs"/>
          <w:rtl/>
        </w:rPr>
        <w:t xml:space="preserve"> </w:t>
      </w:r>
      <w:r>
        <w:rPr>
          <w:rFonts w:hint="cs"/>
          <w:rtl/>
        </w:rPr>
        <w:t xml:space="preserve">כיון דהוא כאבר דאמו </w:t>
      </w:r>
      <w:r w:rsidRPr="002A56BB">
        <w:rPr>
          <w:rFonts w:hint="cs"/>
          <w:rtl/>
        </w:rPr>
        <w:t xml:space="preserve">אינם במקום המסויים שנאסר. </w:t>
      </w:r>
      <w:r w:rsidRPr="002A56BB">
        <w:rPr>
          <w:rStyle w:val="afb"/>
          <w:rFonts w:hint="cs"/>
          <w:rtl/>
        </w:rPr>
        <w:t xml:space="preserve">[אך כתב </w:t>
      </w:r>
      <w:r w:rsidRPr="002A56BB">
        <w:rPr>
          <w:rStyle w:val="affa"/>
          <w:rFonts w:hint="cs"/>
          <w:rtl/>
        </w:rPr>
        <w:t>הקה"י</w:t>
      </w:r>
      <w:r w:rsidRPr="002A56BB">
        <w:rPr>
          <w:rStyle w:val="afb"/>
          <w:rFonts w:hint="cs"/>
          <w:rtl/>
        </w:rPr>
        <w:t xml:space="preserve"> </w:t>
      </w:r>
      <w:r w:rsidRPr="002A56BB">
        <w:rPr>
          <w:rStyle w:val="aff6"/>
          <w:rFonts w:hint="cs"/>
          <w:rtl/>
        </w:rPr>
        <w:t>(סי' י"ט אות ב')</w:t>
      </w:r>
      <w:r w:rsidRPr="002A56BB">
        <w:rPr>
          <w:rStyle w:val="afb"/>
          <w:rFonts w:hint="cs"/>
          <w:rtl/>
        </w:rPr>
        <w:t xml:space="preserve"> דכל ביאורו בדברי </w:t>
      </w:r>
      <w:r w:rsidRPr="002A56BB">
        <w:rPr>
          <w:rStyle w:val="affa"/>
          <w:rFonts w:hint="cs"/>
          <w:rtl/>
        </w:rPr>
        <w:t>הרא"ש</w:t>
      </w:r>
      <w:r w:rsidRPr="002A56BB">
        <w:rPr>
          <w:rStyle w:val="afb"/>
          <w:rFonts w:hint="cs"/>
          <w:rtl/>
        </w:rPr>
        <w:t xml:space="preserve"> דהחלב של העובר לא חשיב כחלב שעל הקרב ומותר, היינו דוקא לדעת ריו"ח, אבל לר"ל ס"ל דכיון שהחלב במציאות נמצא על הקרב של העובר יש לו דין חלב, עיי"ש בדבריו].</w:t>
      </w:r>
    </w:p>
    <w:p w14:paraId="0618AF24" w14:textId="77777777" w:rsidR="003D504D" w:rsidRPr="002A56BB" w:rsidRDefault="003D504D" w:rsidP="003D504D">
      <w:pPr>
        <w:pStyle w:val="a3"/>
        <w:rPr>
          <w:rtl/>
        </w:rPr>
      </w:pPr>
      <w:bookmarkStart w:id="22030" w:name="_Toc2198254"/>
      <w:bookmarkStart w:id="22031" w:name="_Toc19391763"/>
      <w:bookmarkStart w:id="22032" w:name="_Toc19395260"/>
      <w:r>
        <w:rPr>
          <w:rFonts w:hint="cs"/>
          <w:rtl/>
        </w:rPr>
        <w:t>מסקנת הקה"י דכוונת הרא"ש לומר דדם העובר נכנס לגוף אמו ונאסר כשהיה בגוף אמו</w:t>
      </w:r>
      <w:bookmarkEnd w:id="22030"/>
      <w:bookmarkEnd w:id="22031"/>
      <w:bookmarkEnd w:id="22032"/>
    </w:p>
    <w:p w14:paraId="7C03B571" w14:textId="77777777" w:rsidR="003D504D" w:rsidRPr="002A56BB" w:rsidRDefault="003D504D" w:rsidP="00223668">
      <w:pPr>
        <w:pStyle w:val="a0"/>
        <w:rPr>
          <w:rtl/>
        </w:rPr>
      </w:pPr>
      <w:r w:rsidRPr="002A56BB">
        <w:rPr>
          <w:rFonts w:hint="cs"/>
          <w:rtl/>
        </w:rPr>
        <w:t xml:space="preserve">אך בסו"ד כתב </w:t>
      </w:r>
      <w:r w:rsidRPr="002A56BB">
        <w:rPr>
          <w:rStyle w:val="af9"/>
          <w:rFonts w:hint="cs"/>
          <w:rtl/>
        </w:rPr>
        <w:t>הקה"י</w:t>
      </w:r>
      <w:r w:rsidRPr="002A56BB">
        <w:rPr>
          <w:rFonts w:hint="cs"/>
          <w:rtl/>
        </w:rPr>
        <w:t xml:space="preserve"> </w:t>
      </w:r>
      <w:r w:rsidRPr="002A56BB">
        <w:rPr>
          <w:rStyle w:val="af7"/>
          <w:rFonts w:eastAsia="Guttman Hodes" w:hint="cs"/>
          <w:rtl/>
        </w:rPr>
        <w:t>(סי' י"ט סוף אות ב')</w:t>
      </w:r>
      <w:r w:rsidRPr="002A56BB">
        <w:rPr>
          <w:rFonts w:hint="cs"/>
          <w:rtl/>
        </w:rPr>
        <w:t xml:space="preserve"> דדוחק לבאר כן את לשון </w:t>
      </w:r>
      <w:r w:rsidRPr="002A56BB">
        <w:rPr>
          <w:rStyle w:val="af9"/>
          <w:rFonts w:hint="cs"/>
          <w:rtl/>
        </w:rPr>
        <w:t>הרא"ש</w:t>
      </w:r>
      <w:r w:rsidRPr="002A56BB">
        <w:rPr>
          <w:rFonts w:hint="cs"/>
          <w:rtl/>
        </w:rPr>
        <w:t xml:space="preserve">, אלא משמע דכוונת </w:t>
      </w:r>
      <w:r w:rsidRPr="002A56BB">
        <w:rPr>
          <w:rStyle w:val="af9"/>
          <w:rFonts w:hint="cs"/>
          <w:rtl/>
        </w:rPr>
        <w:t>הרא"ש</w:t>
      </w:r>
      <w:r w:rsidRPr="002A56BB">
        <w:rPr>
          <w:rFonts w:hint="cs"/>
          <w:rtl/>
        </w:rPr>
        <w:t xml:space="preserve"> לומר דכיון שהדם של העובר מעורב עם הדם של האם ונכנס ויוצא לתוך האם, לכן הוא נאסר כשנמצא בגוף של האם.</w:t>
      </w:r>
    </w:p>
    <w:p w14:paraId="3554A730" w14:textId="77777777" w:rsidR="003D504D" w:rsidRPr="002A56BB" w:rsidRDefault="003D504D" w:rsidP="00BF39B2">
      <w:pPr>
        <w:pStyle w:val="1"/>
        <w:rPr>
          <w:rtl/>
        </w:rPr>
      </w:pPr>
      <w:bookmarkStart w:id="22033" w:name="_Toc2078502"/>
      <w:bookmarkStart w:id="22034" w:name="_Toc2164532"/>
      <w:bookmarkStart w:id="22035" w:name="_Toc2187309"/>
      <w:bookmarkStart w:id="22036" w:name="_Toc2198255"/>
      <w:bookmarkStart w:id="22037" w:name="_Toc19391764"/>
      <w:bookmarkStart w:id="22038" w:name="_Toc19395261"/>
      <w:r w:rsidRPr="002A56BB">
        <w:rPr>
          <w:rFonts w:hint="cs"/>
          <w:rtl/>
        </w:rPr>
        <w:t>ביאור הקה"י דהעובר כאבר מאמו וכשאר אבריה שהם שחוטים</w:t>
      </w:r>
      <w:bookmarkEnd w:id="22033"/>
      <w:bookmarkEnd w:id="22034"/>
      <w:bookmarkEnd w:id="22035"/>
      <w:bookmarkEnd w:id="22036"/>
      <w:bookmarkEnd w:id="22037"/>
      <w:bookmarkEnd w:id="22038"/>
    </w:p>
    <w:p w14:paraId="0B9EAF16" w14:textId="77777777" w:rsidR="003D504D" w:rsidRPr="002A56BB" w:rsidRDefault="003D504D" w:rsidP="003D504D">
      <w:pPr>
        <w:pStyle w:val="a3"/>
        <w:rPr>
          <w:rtl/>
        </w:rPr>
      </w:pPr>
      <w:bookmarkStart w:id="22039" w:name="_Toc2078503"/>
      <w:bookmarkStart w:id="22040" w:name="_Toc2164533"/>
      <w:bookmarkStart w:id="22041" w:name="_Toc2187310"/>
      <w:bookmarkStart w:id="22042" w:name="_Toc2198256"/>
      <w:bookmarkStart w:id="22043" w:name="_Toc19391765"/>
      <w:bookmarkStart w:id="22044" w:name="_Toc19395262"/>
      <w:r w:rsidRPr="002A56BB">
        <w:rPr>
          <w:rFonts w:hint="cs"/>
          <w:rtl/>
        </w:rPr>
        <w:t>חקירת האתוון דאורייתא בגדר היתר בן פקועה</w:t>
      </w:r>
      <w:bookmarkEnd w:id="22039"/>
      <w:bookmarkEnd w:id="22040"/>
      <w:bookmarkEnd w:id="22041"/>
      <w:bookmarkEnd w:id="22042"/>
      <w:bookmarkEnd w:id="22043"/>
      <w:bookmarkEnd w:id="22044"/>
    </w:p>
    <w:p w14:paraId="61AF9FE1" w14:textId="77777777" w:rsidR="003D504D" w:rsidRPr="002A56BB" w:rsidRDefault="003D504D" w:rsidP="00223668">
      <w:pPr>
        <w:pStyle w:val="a0"/>
        <w:rPr>
          <w:rtl/>
        </w:rPr>
      </w:pPr>
      <w:r w:rsidRPr="002A56BB">
        <w:rPr>
          <w:rFonts w:hint="cs"/>
          <w:rtl/>
        </w:rPr>
        <w:t xml:space="preserve">והביא </w:t>
      </w:r>
      <w:r w:rsidRPr="002A56BB">
        <w:rPr>
          <w:rStyle w:val="af9"/>
          <w:rFonts w:hint="cs"/>
          <w:rtl/>
        </w:rPr>
        <w:t>הקה"י</w:t>
      </w:r>
      <w:r w:rsidRPr="002A56BB">
        <w:rPr>
          <w:rFonts w:hint="cs"/>
          <w:rtl/>
        </w:rPr>
        <w:t xml:space="preserve"> </w:t>
      </w:r>
      <w:r w:rsidRPr="002A56BB">
        <w:rPr>
          <w:rStyle w:val="af7"/>
          <w:rFonts w:eastAsia="Guttman Hodes" w:hint="cs"/>
          <w:rtl/>
        </w:rPr>
        <w:t>(סי' י"ט אות ג' ד"ה ובזה)</w:t>
      </w:r>
      <w:r w:rsidRPr="002A56BB">
        <w:rPr>
          <w:rFonts w:hint="cs"/>
          <w:rtl/>
        </w:rPr>
        <w:t xml:space="preserve"> את חקירת </w:t>
      </w:r>
      <w:r w:rsidRPr="002A56BB">
        <w:rPr>
          <w:rStyle w:val="af9"/>
          <w:rFonts w:hint="cs"/>
          <w:rtl/>
        </w:rPr>
        <w:t>האתוון דאורייתא</w:t>
      </w:r>
      <w:r w:rsidRPr="002A56BB">
        <w:rPr>
          <w:rFonts w:hint="cs"/>
          <w:rtl/>
        </w:rPr>
        <w:t xml:space="preserve"> </w:t>
      </w:r>
      <w:r w:rsidRPr="002A56BB">
        <w:rPr>
          <w:rStyle w:val="af7"/>
          <w:rFonts w:eastAsia="Guttman Hodes" w:hint="cs"/>
          <w:rtl/>
        </w:rPr>
        <w:t>(כלל י"ד)</w:t>
      </w:r>
      <w:r w:rsidRPr="002A56BB">
        <w:rPr>
          <w:rFonts w:hint="cs"/>
          <w:rtl/>
        </w:rPr>
        <w:t xml:space="preserve"> בגדר היתר בן פקועה, אי חשיב דע"י שחיטת אמו חשיב שהוא נשחט, או דבאמת העובר אינו שחוט כלל, ומדיני שחיטה היה צריך להיות אסור, אלא שיש בו היתר "כל בבהמה תאכלו" דהתירה תורה עובר שנמצא במעי אמו בשעת שחיטתו. </w:t>
      </w:r>
    </w:p>
    <w:p w14:paraId="2995601E" w14:textId="77777777" w:rsidR="003D504D" w:rsidRPr="002A56BB" w:rsidRDefault="003D504D" w:rsidP="003D504D">
      <w:pPr>
        <w:pStyle w:val="a3"/>
        <w:rPr>
          <w:rtl/>
        </w:rPr>
      </w:pPr>
      <w:bookmarkStart w:id="22045" w:name="_Toc2078504"/>
      <w:bookmarkStart w:id="22046" w:name="_Toc2164534"/>
      <w:bookmarkStart w:id="22047" w:name="_Toc2187311"/>
      <w:bookmarkStart w:id="22048" w:name="_Toc2198257"/>
      <w:bookmarkStart w:id="22049" w:name="_Toc19391766"/>
      <w:bookmarkStart w:id="22050" w:name="_Toc19395263"/>
      <w:r w:rsidRPr="002A56BB">
        <w:rPr>
          <w:rFonts w:hint="cs"/>
          <w:rtl/>
        </w:rPr>
        <w:t>דברי הקה"י דמהיתר חלב וגיד מוכח דשחיטת האם מתירה בולד אף איסורים שאין בהם שחיטה</w:t>
      </w:r>
      <w:bookmarkEnd w:id="22045"/>
      <w:bookmarkEnd w:id="22046"/>
      <w:bookmarkEnd w:id="22047"/>
      <w:bookmarkEnd w:id="22048"/>
      <w:bookmarkEnd w:id="22049"/>
      <w:bookmarkEnd w:id="22050"/>
    </w:p>
    <w:p w14:paraId="62952F85" w14:textId="77777777" w:rsidR="003D504D" w:rsidRPr="002A56BB" w:rsidRDefault="003D504D" w:rsidP="00223668">
      <w:pPr>
        <w:pStyle w:val="a0"/>
        <w:rPr>
          <w:rtl/>
        </w:rPr>
      </w:pPr>
      <w:r w:rsidRPr="002A56BB">
        <w:rPr>
          <w:rFonts w:hint="cs"/>
          <w:rtl/>
        </w:rPr>
        <w:t xml:space="preserve">וכתב </w:t>
      </w:r>
      <w:r w:rsidRPr="002A56BB">
        <w:rPr>
          <w:rStyle w:val="af9"/>
          <w:rFonts w:hint="cs"/>
          <w:rtl/>
        </w:rPr>
        <w:t>הקה"י</w:t>
      </w:r>
      <w:r w:rsidRPr="002A56BB">
        <w:rPr>
          <w:rFonts w:hint="cs"/>
          <w:rtl/>
        </w:rPr>
        <w:t xml:space="preserve"> </w:t>
      </w:r>
      <w:r w:rsidRPr="002A56BB">
        <w:rPr>
          <w:rStyle w:val="af7"/>
          <w:rFonts w:eastAsia="Guttman Hodes" w:hint="cs"/>
          <w:rtl/>
        </w:rPr>
        <w:t>(סי' י"ט אות ג' סוד"ה ובזה)</w:t>
      </w:r>
      <w:r w:rsidRPr="002A56BB">
        <w:rPr>
          <w:rFonts w:hint="cs"/>
          <w:rtl/>
        </w:rPr>
        <w:t xml:space="preserve"> דמהא דהחלב והגיד של העובר מותרים בשחיטת האם, מבואר דששחיטת האם עושה "היתר" בוולד, ובכחה להתיר אף איסורים שאינם מותרים ע"י שחיטה, שחיטה אינה מתירה את איסור חלב וגיד.</w:t>
      </w:r>
    </w:p>
    <w:p w14:paraId="104CEC3E" w14:textId="77777777" w:rsidR="003D504D" w:rsidRPr="002A56BB" w:rsidRDefault="003D504D" w:rsidP="003D504D">
      <w:pPr>
        <w:pStyle w:val="a3"/>
      </w:pPr>
      <w:bookmarkStart w:id="22051" w:name="_Toc2078505"/>
      <w:bookmarkStart w:id="22052" w:name="_Toc2164535"/>
      <w:bookmarkStart w:id="22053" w:name="_Toc2187312"/>
      <w:bookmarkStart w:id="22054" w:name="_Toc2198258"/>
      <w:bookmarkStart w:id="22055" w:name="_Toc19391767"/>
      <w:bookmarkStart w:id="22056" w:name="_Toc19395264"/>
      <w:r w:rsidRPr="002A56BB">
        <w:rPr>
          <w:rFonts w:hint="cs"/>
          <w:rtl/>
        </w:rPr>
        <w:t>קושית הקה"י דמבואר דיש בעובר ב' דינים גם שהוא שחוט וגם דין היתר ומהיכן ילפינן ב' דינים</w:t>
      </w:r>
      <w:bookmarkEnd w:id="22051"/>
      <w:bookmarkEnd w:id="22052"/>
      <w:bookmarkEnd w:id="22053"/>
      <w:bookmarkEnd w:id="22054"/>
      <w:bookmarkEnd w:id="22055"/>
      <w:bookmarkEnd w:id="22056"/>
    </w:p>
    <w:p w14:paraId="720FC1B7" w14:textId="77777777" w:rsidR="003D504D" w:rsidRPr="002A56BB" w:rsidRDefault="003D504D" w:rsidP="00223668">
      <w:pPr>
        <w:pStyle w:val="a0"/>
        <w:rPr>
          <w:rtl/>
        </w:rPr>
      </w:pPr>
      <w:r w:rsidRPr="002A56BB">
        <w:rPr>
          <w:rFonts w:hint="cs"/>
          <w:rtl/>
        </w:rPr>
        <w:t xml:space="preserve">ועיי"ש בדברי </w:t>
      </w:r>
      <w:r w:rsidRPr="002A56BB">
        <w:rPr>
          <w:rStyle w:val="af9"/>
          <w:rFonts w:hint="cs"/>
          <w:rtl/>
        </w:rPr>
        <w:t>הקה"י</w:t>
      </w:r>
      <w:r w:rsidRPr="002A56BB">
        <w:rPr>
          <w:rFonts w:hint="cs"/>
          <w:rtl/>
        </w:rPr>
        <w:t xml:space="preserve"> דכתב להוכיח דיש  דיש ב' דינים בבן פקועה, גם את היתר "כל בבהמה תאכלו", וגם דחשיב כשחוט, והקשה </w:t>
      </w:r>
      <w:r w:rsidRPr="002A56BB">
        <w:rPr>
          <w:rStyle w:val="af9"/>
          <w:rFonts w:hint="cs"/>
          <w:rtl/>
        </w:rPr>
        <w:t>הקה"י</w:t>
      </w:r>
      <w:r w:rsidRPr="002A56BB">
        <w:rPr>
          <w:rFonts w:hint="cs"/>
          <w:rtl/>
        </w:rPr>
        <w:t xml:space="preserve"> מהיכן ילפינן ב' דינים שונים.</w:t>
      </w:r>
    </w:p>
    <w:p w14:paraId="61877659" w14:textId="77777777" w:rsidR="003D504D" w:rsidRPr="002A56BB" w:rsidRDefault="003D504D" w:rsidP="003D504D">
      <w:pPr>
        <w:pStyle w:val="a3"/>
        <w:rPr>
          <w:rtl/>
        </w:rPr>
      </w:pPr>
      <w:bookmarkStart w:id="22057" w:name="_Toc2078506"/>
      <w:bookmarkStart w:id="22058" w:name="_Toc2164536"/>
      <w:bookmarkStart w:id="22059" w:name="_Toc2187313"/>
      <w:bookmarkStart w:id="22060" w:name="_Toc2198259"/>
      <w:bookmarkStart w:id="22061" w:name="_Toc19391768"/>
      <w:bookmarkStart w:id="22062" w:name="_Toc19395265"/>
      <w:r w:rsidRPr="002A56BB">
        <w:rPr>
          <w:rFonts w:hint="cs"/>
          <w:rtl/>
        </w:rPr>
        <w:t>ביאור הקה"י דהוא דין אחד שההיתר הוא דדינו כאבר מאברי אמו שכל אבריה דינם כשחוטים</w:t>
      </w:r>
      <w:bookmarkEnd w:id="22057"/>
      <w:bookmarkEnd w:id="22058"/>
      <w:bookmarkEnd w:id="22059"/>
      <w:bookmarkEnd w:id="22060"/>
      <w:bookmarkEnd w:id="22061"/>
      <w:bookmarkEnd w:id="22062"/>
    </w:p>
    <w:p w14:paraId="24D431B0" w14:textId="77777777" w:rsidR="003D504D" w:rsidRDefault="003D504D" w:rsidP="00223668">
      <w:pPr>
        <w:pStyle w:val="a0"/>
        <w:rPr>
          <w:rtl/>
        </w:rPr>
      </w:pPr>
      <w:r w:rsidRPr="002A56BB">
        <w:rPr>
          <w:rFonts w:hint="cs"/>
          <w:rtl/>
        </w:rPr>
        <w:t xml:space="preserve">אלא ביאר </w:t>
      </w:r>
      <w:r w:rsidRPr="002A56BB">
        <w:rPr>
          <w:rStyle w:val="af9"/>
          <w:rFonts w:hint="cs"/>
          <w:rtl/>
        </w:rPr>
        <w:t>הקה"י</w:t>
      </w:r>
      <w:r w:rsidRPr="002A56BB">
        <w:rPr>
          <w:rFonts w:hint="cs"/>
          <w:rtl/>
        </w:rPr>
        <w:t xml:space="preserve"> </w:t>
      </w:r>
      <w:r w:rsidRPr="002A56BB">
        <w:rPr>
          <w:rStyle w:val="af7"/>
          <w:rFonts w:eastAsia="Guttman Hodes" w:hint="cs"/>
          <w:rtl/>
        </w:rPr>
        <w:t>(סי' י"ט אות ג' ד"ה אבל)</w:t>
      </w:r>
      <w:r w:rsidRPr="002A56BB">
        <w:rPr>
          <w:rFonts w:hint="cs"/>
          <w:rtl/>
        </w:rPr>
        <w:t xml:space="preserve"> דאי"ז ב' דינים שונים, אלא דדין בן פקועה הוא דע"י שחיטת אמו חשיב כאבר מאבריה, ולא כבהמה בפנ"ע, ולכן כמו ששאר אברי הבהמה דינם כשחוטים, אף העובר דינו כשחוט, ואף בנמצא מת שלא מהני לו שחיטה כבהמה בפנ"ע, מ"מ כיון שהוא כאבר מאברי אמו, אין לו דין מת כלל, דהא אמו חיה והוא כאבר של בהמה חיה שנשחטה.</w:t>
      </w:r>
    </w:p>
    <w:p w14:paraId="7B83025A" w14:textId="77777777" w:rsidR="003D504D" w:rsidRPr="000F6188" w:rsidRDefault="003D504D" w:rsidP="003D504D">
      <w:pPr>
        <w:pStyle w:val="a3"/>
        <w:rPr>
          <w:rtl/>
        </w:rPr>
      </w:pPr>
    </w:p>
    <w:p w14:paraId="6BFE3998" w14:textId="77777777" w:rsidR="003D504D" w:rsidRPr="000F6188" w:rsidRDefault="003D504D" w:rsidP="003D504D">
      <w:pPr>
        <w:pStyle w:val="a3"/>
        <w:rPr>
          <w:rtl/>
        </w:rPr>
      </w:pPr>
    </w:p>
    <w:p w14:paraId="12F462A6" w14:textId="77777777" w:rsidR="003D504D" w:rsidRPr="002A56BB" w:rsidRDefault="003D504D" w:rsidP="003D504D">
      <w:pPr>
        <w:pStyle w:val="a3"/>
      </w:pPr>
      <w:bookmarkStart w:id="22063" w:name="_Toc2078507"/>
      <w:bookmarkStart w:id="22064" w:name="_Toc2164537"/>
      <w:bookmarkStart w:id="22065" w:name="_Toc2187314"/>
      <w:bookmarkStart w:id="22066" w:name="_Toc2198260"/>
      <w:bookmarkStart w:id="22067" w:name="_Toc19391769"/>
      <w:bookmarkStart w:id="22068" w:name="_Toc19395266"/>
      <w:r w:rsidRPr="002A56BB">
        <w:rPr>
          <w:rFonts w:hint="cs"/>
          <w:rtl/>
        </w:rPr>
        <w:t>דברי הקה"י דכיון שהעובר כאבר שחוט של אמו לא שייך בו איסור חלב וגיד שאינם במקום האסור</w:t>
      </w:r>
      <w:bookmarkEnd w:id="22063"/>
      <w:bookmarkEnd w:id="22064"/>
      <w:bookmarkEnd w:id="22065"/>
      <w:bookmarkEnd w:id="22066"/>
      <w:bookmarkEnd w:id="22067"/>
      <w:bookmarkEnd w:id="22068"/>
    </w:p>
    <w:p w14:paraId="44793978" w14:textId="77777777" w:rsidR="003D504D" w:rsidRPr="002A56BB" w:rsidRDefault="003D504D" w:rsidP="00223668">
      <w:pPr>
        <w:pStyle w:val="a0"/>
        <w:rPr>
          <w:rtl/>
        </w:rPr>
      </w:pPr>
      <w:r w:rsidRPr="002A56BB">
        <w:rPr>
          <w:rFonts w:hint="cs"/>
          <w:rtl/>
        </w:rPr>
        <w:t xml:space="preserve">וכתב </w:t>
      </w:r>
      <w:r w:rsidRPr="002A56BB">
        <w:rPr>
          <w:rStyle w:val="af9"/>
          <w:rFonts w:hint="cs"/>
          <w:rtl/>
        </w:rPr>
        <w:t>הקה"י</w:t>
      </w:r>
      <w:r w:rsidRPr="002A56BB">
        <w:rPr>
          <w:rFonts w:hint="cs"/>
          <w:rtl/>
        </w:rPr>
        <w:t xml:space="preserve"> דלפי"ז מבואר מה שביאר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Ref1985198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פ)</w:t>
      </w:r>
      <w:r w:rsidRPr="002A56BB">
        <w:rPr>
          <w:rStyle w:val="af7"/>
          <w:rFonts w:eastAsia="Guttman Hodes"/>
          <w:rtl/>
        </w:rPr>
        <w:fldChar w:fldCharType="end"/>
      </w:r>
      <w:r w:rsidRPr="002A56BB">
        <w:rPr>
          <w:rFonts w:hint="cs"/>
          <w:rtl/>
        </w:rPr>
        <w:t xml:space="preserve"> דההיתר בחלבו וגידו, דכיון שהוא אבר מהאם, חלבו אינו חלב שעל הקרב, וגידו אינו גיד הנשה.</w:t>
      </w:r>
    </w:p>
    <w:p w14:paraId="799E8F26" w14:textId="77777777" w:rsidR="003D504D" w:rsidRPr="002A56BB" w:rsidRDefault="003D504D" w:rsidP="00BF39B2">
      <w:pPr>
        <w:pStyle w:val="1"/>
        <w:rPr>
          <w:rtl/>
        </w:rPr>
      </w:pPr>
      <w:bookmarkStart w:id="22069" w:name="_Toc2078508"/>
      <w:bookmarkStart w:id="22070" w:name="_Toc2164538"/>
      <w:bookmarkStart w:id="22071" w:name="_Toc2187315"/>
      <w:bookmarkStart w:id="22072" w:name="_Toc2198261"/>
      <w:bookmarkStart w:id="22073" w:name="_Toc19391770"/>
      <w:bookmarkStart w:id="22074" w:name="_Toc19395267"/>
      <w:r w:rsidRPr="002A56BB">
        <w:rPr>
          <w:rFonts w:hint="cs"/>
          <w:rtl/>
        </w:rPr>
        <w:t>ביאור האבי עזרי בדברי רש"י והר"ן והרא"ש באיסור דמו</w:t>
      </w:r>
      <w:bookmarkEnd w:id="22018"/>
      <w:bookmarkEnd w:id="22019"/>
      <w:bookmarkEnd w:id="22069"/>
      <w:bookmarkEnd w:id="22070"/>
      <w:bookmarkEnd w:id="22071"/>
      <w:bookmarkEnd w:id="22072"/>
      <w:bookmarkEnd w:id="22073"/>
      <w:bookmarkEnd w:id="22074"/>
    </w:p>
    <w:p w14:paraId="52E6ADD9" w14:textId="77777777" w:rsidR="003D504D" w:rsidRPr="002A56BB" w:rsidRDefault="003D504D" w:rsidP="003D504D">
      <w:pPr>
        <w:pStyle w:val="a3"/>
        <w:rPr>
          <w:rtl/>
        </w:rPr>
      </w:pPr>
      <w:bookmarkStart w:id="22075" w:name="_Toc2198262"/>
      <w:bookmarkStart w:id="22076" w:name="_Toc19391771"/>
      <w:bookmarkStart w:id="22077" w:name="_Toc19395268"/>
      <w:r>
        <w:rPr>
          <w:rFonts w:hint="cs"/>
          <w:rtl/>
        </w:rPr>
        <w:t>ביאור האבי עזרי ברש"י דהחלב אינו כחלב שעל הקרב אבל דם הבהמה כולו אסור</w:t>
      </w:r>
      <w:bookmarkEnd w:id="22075"/>
      <w:bookmarkEnd w:id="22076"/>
      <w:bookmarkEnd w:id="22077"/>
    </w:p>
    <w:p w14:paraId="76A84036" w14:textId="77777777" w:rsidR="003D504D" w:rsidRPr="002A56BB" w:rsidRDefault="003D504D" w:rsidP="00223668">
      <w:pPr>
        <w:pStyle w:val="a0"/>
        <w:rPr>
          <w:rtl/>
        </w:rPr>
      </w:pPr>
      <w:bookmarkStart w:id="22078" w:name="_Ref1936770"/>
      <w:r w:rsidRPr="002A56BB">
        <w:rPr>
          <w:rFonts w:hint="cs"/>
          <w:rtl/>
        </w:rPr>
        <w:t xml:space="preserve">בדברי </w:t>
      </w:r>
      <w:r w:rsidRPr="002A56BB">
        <w:rPr>
          <w:rStyle w:val="af9"/>
          <w:rFonts w:hint="cs"/>
          <w:rtl/>
        </w:rPr>
        <w:t>רש"י</w:t>
      </w:r>
      <w:r w:rsidRPr="002A56BB">
        <w:rPr>
          <w:rFonts w:hint="cs"/>
          <w:rtl/>
        </w:rPr>
        <w:t xml:space="preserve"> </w:t>
      </w:r>
      <w:r w:rsidRPr="002A56BB">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Ref2109210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מב)</w:t>
      </w:r>
      <w:r>
        <w:rPr>
          <w:rStyle w:val="af7"/>
          <w:rFonts w:eastAsia="Guttman Hodes"/>
          <w:rtl/>
        </w:rPr>
        <w:fldChar w:fldCharType="end"/>
      </w:r>
      <w:r>
        <w:rPr>
          <w:rStyle w:val="af7"/>
          <w:rFonts w:eastAsia="Guttman Hodes" w:hint="cs"/>
          <w:rtl/>
        </w:rPr>
        <w:t xml:space="preserve"> </w:t>
      </w:r>
      <w:r w:rsidRPr="002A56BB">
        <w:rPr>
          <w:rFonts w:hint="cs"/>
          <w:rtl/>
        </w:rPr>
        <w:t xml:space="preserve">דביאר דדמו אסור דהוי כדם האברים, כתב </w:t>
      </w:r>
      <w:r w:rsidRPr="002A56BB">
        <w:rPr>
          <w:rStyle w:val="af9"/>
          <w:rFonts w:hint="cs"/>
          <w:rtl/>
        </w:rPr>
        <w:t>האבי עזרי</w:t>
      </w:r>
      <w:r w:rsidRPr="002A56BB">
        <w:rPr>
          <w:rFonts w:hint="cs"/>
          <w:rtl/>
        </w:rPr>
        <w:t xml:space="preserve"> </w:t>
      </w:r>
      <w:r w:rsidRPr="002A56BB">
        <w:rPr>
          <w:rStyle w:val="af7"/>
          <w:rFonts w:eastAsia="Guttman Hodes" w:hint="cs"/>
          <w:rtl/>
        </w:rPr>
        <w:t>(טומאת מת פכ"ה ה"ט ד"ה והנה בחולין)</w:t>
      </w:r>
      <w:r w:rsidRPr="002A56BB">
        <w:rPr>
          <w:rFonts w:hint="cs"/>
          <w:rtl/>
        </w:rPr>
        <w:t xml:space="preserve"> דמשמע </w:t>
      </w:r>
      <w:r w:rsidRPr="002A56BB">
        <w:rPr>
          <w:rStyle w:val="af9"/>
          <w:rFonts w:hint="cs"/>
          <w:rtl/>
        </w:rPr>
        <w:t>מרש"י</w:t>
      </w:r>
      <w:r w:rsidRPr="002A56BB">
        <w:rPr>
          <w:rFonts w:hint="cs"/>
          <w:rtl/>
        </w:rPr>
        <w:t xml:space="preserve"> דמכח היתר "כל בבהמה תאכלו", חשיב שהעובר הוא כגוף האם, וא"כ החלב של העובר אינו חלב שאסור, דלא חשיב חלב שעל הקרב, וחלב שאינו על הקרב לא אסרה תורה, אבל הדם של העובר אינו מותר במה שחשיב כגוף הבהמה, דכל דם של הבהמה אסור, וכתב </w:t>
      </w:r>
      <w:r w:rsidRPr="002A56BB">
        <w:rPr>
          <w:rStyle w:val="af9"/>
          <w:rFonts w:hint="cs"/>
          <w:rtl/>
        </w:rPr>
        <w:t>האבי עזרי</w:t>
      </w:r>
      <w:r w:rsidRPr="002A56BB">
        <w:rPr>
          <w:rFonts w:hint="cs"/>
          <w:rtl/>
        </w:rPr>
        <w:t xml:space="preserve"> דזו כוונת </w:t>
      </w:r>
      <w:r w:rsidRPr="002A56BB">
        <w:rPr>
          <w:rStyle w:val="af9"/>
          <w:rFonts w:hint="cs"/>
          <w:rtl/>
        </w:rPr>
        <w:t>רש"י</w:t>
      </w:r>
      <w:r w:rsidRPr="002A56BB">
        <w:rPr>
          <w:rFonts w:hint="cs"/>
          <w:rtl/>
        </w:rPr>
        <w:t xml:space="preserve"> דכתב דלא גרע מדם האברים שאסור, וממילא אין בו את היתר "כל בבהמה תאכלו", ועי' במ"ש </w:t>
      </w:r>
      <w:r w:rsidRPr="002A56BB">
        <w:rPr>
          <w:rStyle w:val="af9"/>
          <w:rFonts w:hint="cs"/>
          <w:rtl/>
        </w:rPr>
        <w:t>החת"ס</w:t>
      </w:r>
      <w:r w:rsidRPr="002A56BB">
        <w:rPr>
          <w:rFonts w:hint="cs"/>
          <w:rtl/>
        </w:rPr>
        <w:t xml:space="preserve"> </w:t>
      </w:r>
      <w:r w:rsidRPr="002A56BB">
        <w:rPr>
          <w:rStyle w:val="af7"/>
          <w:rFonts w:eastAsia="Guttman Hodes" w:hint="cs"/>
          <w:rtl/>
        </w:rPr>
        <w:t xml:space="preserve">(עי' אות </w:t>
      </w:r>
      <w:r w:rsidRPr="002A56BB">
        <w:rPr>
          <w:rStyle w:val="af7"/>
          <w:rFonts w:eastAsia="Guttman Hodes"/>
          <w:rtl/>
        </w:rPr>
        <w:fldChar w:fldCharType="begin"/>
      </w:r>
      <w:r w:rsidRPr="002A56BB">
        <w:rPr>
          <w:rStyle w:val="af7"/>
          <w:rFonts w:eastAsia="Guttman Hodes"/>
          <w:rtl/>
        </w:rPr>
        <w:instrText xml:space="preserve"> </w:instrText>
      </w:r>
      <w:r w:rsidRPr="002A56BB">
        <w:rPr>
          <w:rStyle w:val="af7"/>
          <w:rFonts w:eastAsia="Guttman Hodes" w:hint="cs"/>
        </w:rPr>
        <w:instrText>REF</w:instrText>
      </w:r>
      <w:r w:rsidRPr="002A56BB">
        <w:rPr>
          <w:rStyle w:val="af7"/>
          <w:rFonts w:eastAsia="Guttman Hodes" w:hint="cs"/>
          <w:rtl/>
        </w:rPr>
        <w:instrText xml:space="preserve"> _</w:instrText>
      </w:r>
      <w:r w:rsidRPr="002A56BB">
        <w:rPr>
          <w:rStyle w:val="af7"/>
          <w:rFonts w:eastAsia="Guttman Hodes" w:hint="cs"/>
        </w:rPr>
        <w:instrText>Ref1936710 \r \h</w:instrText>
      </w:r>
      <w:r w:rsidRPr="002A56BB">
        <w:rPr>
          <w:rStyle w:val="af7"/>
          <w:rFonts w:eastAsia="Guttman Hodes"/>
          <w:rtl/>
        </w:rPr>
        <w:instrText xml:space="preserve">  \* </w:instrText>
      </w:r>
      <w:r w:rsidRPr="002A56BB">
        <w:rPr>
          <w:rStyle w:val="af7"/>
          <w:rFonts w:eastAsia="Guttman Hodes"/>
        </w:rPr>
        <w:instrText>MERGEFORMAT</w:instrText>
      </w:r>
      <w:r w:rsidRPr="002A56BB">
        <w:rPr>
          <w:rStyle w:val="af7"/>
          <w:rFonts w:eastAsia="Guttman Hodes"/>
          <w:rtl/>
        </w:rPr>
        <w:instrText xml:space="preserve"> </w:instrText>
      </w:r>
      <w:r w:rsidRPr="002A56BB">
        <w:rPr>
          <w:rStyle w:val="af7"/>
          <w:rFonts w:eastAsia="Guttman Hodes"/>
          <w:rtl/>
        </w:rPr>
      </w:r>
      <w:r w:rsidRPr="002A56BB">
        <w:rPr>
          <w:rStyle w:val="af7"/>
          <w:rFonts w:eastAsia="Guttman Hodes"/>
          <w:rtl/>
        </w:rPr>
        <w:fldChar w:fldCharType="separate"/>
      </w:r>
      <w:r w:rsidR="00345400">
        <w:rPr>
          <w:rStyle w:val="af7"/>
          <w:rFonts w:eastAsia="Guttman Hodes"/>
          <w:cs/>
        </w:rPr>
        <w:t>‎</w:t>
      </w:r>
      <w:r w:rsidR="00345400">
        <w:rPr>
          <w:rStyle w:val="af7"/>
          <w:rFonts w:eastAsia="Guttman Hodes"/>
          <w:rtl/>
        </w:rPr>
        <w:t>מו)</w:t>
      </w:r>
      <w:r w:rsidRPr="002A56BB">
        <w:rPr>
          <w:rStyle w:val="af7"/>
          <w:rFonts w:eastAsia="Guttman Hodes"/>
          <w:rtl/>
        </w:rPr>
        <w:fldChar w:fldCharType="end"/>
      </w:r>
      <w:r w:rsidRPr="002A56BB">
        <w:rPr>
          <w:rFonts w:hint="cs"/>
          <w:rtl/>
        </w:rPr>
        <w:t>.</w:t>
      </w:r>
      <w:bookmarkEnd w:id="22078"/>
    </w:p>
    <w:p w14:paraId="2FB4446A" w14:textId="77777777" w:rsidR="003D504D" w:rsidRPr="002A56BB" w:rsidRDefault="003D504D" w:rsidP="003D504D">
      <w:pPr>
        <w:pStyle w:val="a3"/>
        <w:rPr>
          <w:rtl/>
        </w:rPr>
      </w:pPr>
      <w:bookmarkStart w:id="22079" w:name="_Toc2198263"/>
      <w:bookmarkStart w:id="22080" w:name="_Toc19391772"/>
      <w:bookmarkStart w:id="22081" w:name="_Toc19395269"/>
      <w:r>
        <w:rPr>
          <w:rFonts w:hint="cs"/>
          <w:rtl/>
        </w:rPr>
        <w:t>ביאור האבי עזרי בר"ן וברא"ש דמעיקר הדין היתר בן פקועה מהני להתיר אף את דמו</w:t>
      </w:r>
      <w:bookmarkEnd w:id="22079"/>
      <w:bookmarkEnd w:id="22080"/>
      <w:bookmarkEnd w:id="22081"/>
    </w:p>
    <w:p w14:paraId="31B16675" w14:textId="77777777" w:rsidR="003D504D" w:rsidRDefault="003D504D" w:rsidP="00223668">
      <w:pPr>
        <w:pStyle w:val="a0"/>
        <w:rPr>
          <w:rtl/>
        </w:rPr>
      </w:pPr>
      <w:bookmarkStart w:id="22082" w:name="_Ref1937224"/>
      <w:r w:rsidRPr="002A56BB">
        <w:rPr>
          <w:rFonts w:hint="cs"/>
          <w:rtl/>
        </w:rPr>
        <w:t xml:space="preserve">ובדברי </w:t>
      </w:r>
      <w:r w:rsidRPr="002A56BB">
        <w:rPr>
          <w:rStyle w:val="af9"/>
          <w:rFonts w:hint="cs"/>
          <w:rtl/>
        </w:rPr>
        <w:t>הר"ן</w:t>
      </w:r>
      <w:r w:rsidRPr="002A56BB">
        <w:rPr>
          <w:rFonts w:hint="cs"/>
          <w:rtl/>
        </w:rPr>
        <w:t xml:space="preserve"> </w:t>
      </w:r>
      <w:r w:rsidRPr="001213DD">
        <w:rPr>
          <w:rStyle w:val="af7"/>
          <w:rFonts w:eastAsia="Guttman Hodes" w:hint="cs"/>
          <w:rtl/>
        </w:rPr>
        <w:t xml:space="preserve">(עי' אות </w:t>
      </w:r>
      <w:r w:rsidRPr="001213DD">
        <w:rPr>
          <w:rStyle w:val="af7"/>
          <w:rFonts w:eastAsia="Guttman Hodes"/>
          <w:rtl/>
        </w:rPr>
        <w:fldChar w:fldCharType="begin"/>
      </w:r>
      <w:r w:rsidRPr="001213DD">
        <w:rPr>
          <w:rStyle w:val="af7"/>
          <w:rFonts w:eastAsia="Guttman Hodes"/>
          <w:rtl/>
        </w:rPr>
        <w:instrText xml:space="preserve"> </w:instrText>
      </w:r>
      <w:r w:rsidRPr="001213DD">
        <w:rPr>
          <w:rStyle w:val="af7"/>
          <w:rFonts w:eastAsia="Guttman Hodes" w:hint="cs"/>
        </w:rPr>
        <w:instrText>REF</w:instrText>
      </w:r>
      <w:r w:rsidRPr="001213DD">
        <w:rPr>
          <w:rStyle w:val="af7"/>
          <w:rFonts w:eastAsia="Guttman Hodes" w:hint="cs"/>
          <w:rtl/>
        </w:rPr>
        <w:instrText xml:space="preserve"> _</w:instrText>
      </w:r>
      <w:r w:rsidRPr="001213DD">
        <w:rPr>
          <w:rStyle w:val="af7"/>
          <w:rFonts w:eastAsia="Guttman Hodes" w:hint="cs"/>
        </w:rPr>
        <w:instrText>Ref1937208 \r \h</w:instrText>
      </w:r>
      <w:r w:rsidRPr="001213DD">
        <w:rPr>
          <w:rStyle w:val="af7"/>
          <w:rFonts w:eastAsia="Guttman Hodes"/>
          <w:rtl/>
        </w:rPr>
        <w:instrText xml:space="preserve">  \* </w:instrText>
      </w:r>
      <w:r w:rsidRPr="001213DD">
        <w:rPr>
          <w:rStyle w:val="af7"/>
          <w:rFonts w:eastAsia="Guttman Hodes"/>
        </w:rPr>
        <w:instrText>MERGEFORMAT</w:instrText>
      </w:r>
      <w:r w:rsidRPr="001213DD">
        <w:rPr>
          <w:rStyle w:val="af7"/>
          <w:rFonts w:eastAsia="Guttman Hodes"/>
          <w:rtl/>
        </w:rPr>
        <w:instrText xml:space="preserve"> </w:instrText>
      </w:r>
      <w:r w:rsidRPr="001213DD">
        <w:rPr>
          <w:rStyle w:val="af7"/>
          <w:rFonts w:eastAsia="Guttman Hodes"/>
          <w:rtl/>
        </w:rPr>
      </w:r>
      <w:r w:rsidRPr="001213DD">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1213DD">
        <w:rPr>
          <w:rStyle w:val="af7"/>
          <w:rFonts w:eastAsia="Guttman Hodes"/>
          <w:rtl/>
        </w:rPr>
        <w:fldChar w:fldCharType="end"/>
      </w:r>
      <w:r w:rsidRPr="002A56BB">
        <w:rPr>
          <w:rFonts w:hint="cs"/>
          <w:rtl/>
        </w:rPr>
        <w:t xml:space="preserve"> דכתב דהא דהחלב מותר והדם אסור, הוא כיון שהיתר "כל בבהמה תאכלו", הוא רק בדבר שהוא אוכל כחלב וגיד הנשה, אבל לא בדם שהוא משקה, וכן בדברי </w:t>
      </w:r>
      <w:r w:rsidRPr="002A56BB">
        <w:rPr>
          <w:rStyle w:val="af9"/>
          <w:rFonts w:hint="cs"/>
          <w:rtl/>
        </w:rPr>
        <w:t>הרא"ש</w:t>
      </w:r>
      <w:r w:rsidRPr="002A56BB">
        <w:rPr>
          <w:rFonts w:hint="cs"/>
          <w:rtl/>
        </w:rPr>
        <w:t xml:space="preserve"> </w:t>
      </w:r>
      <w:r w:rsidRPr="001213DD">
        <w:rPr>
          <w:rStyle w:val="af7"/>
          <w:rFonts w:eastAsia="Guttman Hodes" w:hint="cs"/>
          <w:rtl/>
        </w:rPr>
        <w:t xml:space="preserve">(עי' אות </w:t>
      </w:r>
      <w:r w:rsidRPr="001213DD">
        <w:rPr>
          <w:rStyle w:val="af7"/>
          <w:rFonts w:eastAsia="Guttman Hodes"/>
          <w:rtl/>
        </w:rPr>
        <w:fldChar w:fldCharType="begin"/>
      </w:r>
      <w:r w:rsidRPr="001213DD">
        <w:rPr>
          <w:rStyle w:val="af7"/>
          <w:rFonts w:eastAsia="Guttman Hodes"/>
          <w:rtl/>
        </w:rPr>
        <w:instrText xml:space="preserve"> </w:instrText>
      </w:r>
      <w:r w:rsidRPr="001213DD">
        <w:rPr>
          <w:rStyle w:val="af7"/>
          <w:rFonts w:eastAsia="Guttman Hodes" w:hint="cs"/>
        </w:rPr>
        <w:instrText>REF</w:instrText>
      </w:r>
      <w:r w:rsidRPr="001213DD">
        <w:rPr>
          <w:rStyle w:val="af7"/>
          <w:rFonts w:eastAsia="Guttman Hodes" w:hint="cs"/>
          <w:rtl/>
        </w:rPr>
        <w:instrText xml:space="preserve"> _</w:instrText>
      </w:r>
      <w:r w:rsidRPr="001213DD">
        <w:rPr>
          <w:rStyle w:val="af7"/>
          <w:rFonts w:eastAsia="Guttman Hodes" w:hint="cs"/>
        </w:rPr>
        <w:instrText>Ref1937481 \r \h</w:instrText>
      </w:r>
      <w:r w:rsidRPr="001213DD">
        <w:rPr>
          <w:rStyle w:val="af7"/>
          <w:rFonts w:eastAsia="Guttman Hodes"/>
          <w:rtl/>
        </w:rPr>
        <w:instrText xml:space="preserve">  \* </w:instrText>
      </w:r>
      <w:r w:rsidRPr="001213DD">
        <w:rPr>
          <w:rStyle w:val="af7"/>
          <w:rFonts w:eastAsia="Guttman Hodes"/>
        </w:rPr>
        <w:instrText>MERGEFORMAT</w:instrText>
      </w:r>
      <w:r w:rsidRPr="001213DD">
        <w:rPr>
          <w:rStyle w:val="af7"/>
          <w:rFonts w:eastAsia="Guttman Hodes"/>
          <w:rtl/>
        </w:rPr>
        <w:instrText xml:space="preserve"> </w:instrText>
      </w:r>
      <w:r w:rsidRPr="001213DD">
        <w:rPr>
          <w:rStyle w:val="af7"/>
          <w:rFonts w:eastAsia="Guttman Hodes"/>
          <w:rtl/>
        </w:rPr>
      </w:r>
      <w:r w:rsidRPr="001213DD">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1213DD">
        <w:rPr>
          <w:rStyle w:val="af7"/>
          <w:rFonts w:eastAsia="Guttman Hodes"/>
          <w:rtl/>
        </w:rPr>
        <w:fldChar w:fldCharType="end"/>
      </w:r>
      <w:r w:rsidRPr="002A56BB">
        <w:rPr>
          <w:rFonts w:hint="cs"/>
          <w:rtl/>
        </w:rPr>
        <w:t xml:space="preserve"> דכתב דהיתר "כל בבהמה תאכלו" מתיר את החלב, והא דהדם אסור הוא כיון דנבלע הדם בכל הגוף, כתב </w:t>
      </w:r>
      <w:r w:rsidRPr="002A56BB">
        <w:rPr>
          <w:rStyle w:val="af9"/>
          <w:rFonts w:hint="cs"/>
          <w:rtl/>
        </w:rPr>
        <w:t>האבי עזרי</w:t>
      </w:r>
      <w:r w:rsidRPr="002A56BB">
        <w:rPr>
          <w:rFonts w:hint="cs"/>
          <w:rtl/>
        </w:rPr>
        <w:t xml:space="preserve"> דמבואר מדברי </w:t>
      </w:r>
      <w:r w:rsidRPr="002A56BB">
        <w:rPr>
          <w:rStyle w:val="af9"/>
          <w:rFonts w:hint="cs"/>
          <w:rtl/>
        </w:rPr>
        <w:t>הר"ן והרא"ש</w:t>
      </w:r>
      <w:r w:rsidRPr="002A56BB">
        <w:rPr>
          <w:rFonts w:hint="cs"/>
          <w:rtl/>
        </w:rPr>
        <w:t xml:space="preserve"> דמעיקר הדין היתר "כל בבהמה תאכלו" היה מועיל להתיר גם את החלב וגם את הדם, רק שלא נאמר ההיתר במשקה, אך גדר ההיתר בכל בן פקועה אינו דחשיב שחלה שחיטת האם על העובר, אלא דלא חשיב שנשחט העובר בשחיטת אמו, ומ"מ יש בו היתר מגזיה"כ, דכל מה שנמצא בבהמה מותר, ולכן מותר גם החלב של העובר, ומעיקר הדין היה מותר גם דמו, אלא כתב </w:t>
      </w:r>
      <w:r w:rsidRPr="002A56BB">
        <w:rPr>
          <w:rStyle w:val="af9"/>
          <w:rFonts w:hint="cs"/>
          <w:rtl/>
        </w:rPr>
        <w:t>האבי עזרי</w:t>
      </w:r>
      <w:r w:rsidRPr="002A56BB">
        <w:rPr>
          <w:rFonts w:hint="cs"/>
          <w:rtl/>
        </w:rPr>
        <w:t xml:space="preserve"> </w:t>
      </w:r>
      <w:r w:rsidRPr="002A56BB">
        <w:rPr>
          <w:rStyle w:val="af9"/>
          <w:rFonts w:hint="cs"/>
          <w:rtl/>
        </w:rPr>
        <w:t>דלהר"ן</w:t>
      </w:r>
      <w:r w:rsidRPr="002A56BB">
        <w:rPr>
          <w:rFonts w:hint="cs"/>
          <w:rtl/>
        </w:rPr>
        <w:t xml:space="preserve"> נאמר ההיתר רק בדבר שהוא אוכל, </w:t>
      </w:r>
      <w:r w:rsidRPr="002A56BB">
        <w:rPr>
          <w:rStyle w:val="af9"/>
          <w:rFonts w:hint="cs"/>
          <w:rtl/>
        </w:rPr>
        <w:t>ולהרא"ש</w:t>
      </w:r>
      <w:r w:rsidRPr="002A56BB">
        <w:rPr>
          <w:rFonts w:hint="cs"/>
          <w:rtl/>
        </w:rPr>
        <w:t xml:space="preserve"> הוא אסור כיון שנבלע בכל הגוף.</w:t>
      </w:r>
      <w:bookmarkEnd w:id="22082"/>
    </w:p>
    <w:p w14:paraId="7DB46912" w14:textId="77777777" w:rsidR="003D504D" w:rsidRDefault="003D504D" w:rsidP="00BF39B2">
      <w:pPr>
        <w:pStyle w:val="1"/>
        <w:rPr>
          <w:rtl/>
        </w:rPr>
      </w:pPr>
      <w:bookmarkStart w:id="22083" w:name="_Toc19391773"/>
      <w:bookmarkStart w:id="22084" w:name="_Toc19395270"/>
      <w:r>
        <w:rPr>
          <w:rFonts w:hint="cs"/>
          <w:rtl/>
        </w:rPr>
        <w:t>ביאור האבי עזר דדמו כדם אמו ולא שייך בו היתר "כל בבהמה"</w:t>
      </w:r>
      <w:bookmarkEnd w:id="22083"/>
      <w:bookmarkEnd w:id="22084"/>
    </w:p>
    <w:p w14:paraId="0D2FDE30" w14:textId="77777777" w:rsidR="003D504D" w:rsidRPr="008D1863" w:rsidRDefault="003D504D" w:rsidP="003D504D">
      <w:pPr>
        <w:pStyle w:val="a3"/>
      </w:pPr>
      <w:bookmarkStart w:id="22085" w:name="_Toc19391774"/>
      <w:bookmarkStart w:id="22086" w:name="_Toc19395271"/>
      <w:r>
        <w:rPr>
          <w:rFonts w:hint="cs"/>
          <w:rtl/>
        </w:rPr>
        <w:t>דברי האבי עזרי דחלבו חשיב כחלב של אמו וילפינן מאשם דחייב רק על החלב שלה עצמה</w:t>
      </w:r>
      <w:bookmarkEnd w:id="22085"/>
      <w:bookmarkEnd w:id="22086"/>
    </w:p>
    <w:p w14:paraId="006B9AA7" w14:textId="77777777" w:rsidR="003D504D" w:rsidRDefault="003D504D" w:rsidP="00223668">
      <w:pPr>
        <w:pStyle w:val="a0"/>
      </w:pPr>
      <w:r>
        <w:rPr>
          <w:rFonts w:hint="cs"/>
          <w:rtl/>
        </w:rPr>
        <w:t xml:space="preserve">ועוד ביאר </w:t>
      </w:r>
      <w:r w:rsidRPr="0010462C">
        <w:rPr>
          <w:rStyle w:val="af9"/>
          <w:rFonts w:hint="cs"/>
          <w:rtl/>
        </w:rPr>
        <w:t>האבי עזרי</w:t>
      </w:r>
      <w:r>
        <w:rPr>
          <w:rFonts w:hint="cs"/>
          <w:rtl/>
        </w:rPr>
        <w:t xml:space="preserve"> </w:t>
      </w:r>
      <w:r w:rsidRPr="008D1863">
        <w:rPr>
          <w:rStyle w:val="af7"/>
          <w:rFonts w:eastAsia="Guttman Hodes" w:hint="cs"/>
          <w:rtl/>
        </w:rPr>
        <w:t>(מאכ"א פ"ז ה"ג ד"ה והנה שם בחולין דף עה)</w:t>
      </w:r>
      <w:r w:rsidRPr="00B62A19">
        <w:rPr>
          <w:rStyle w:val="af7"/>
          <w:rFonts w:eastAsia="Guttman Hodes" w:hint="cs"/>
          <w:rtl/>
        </w:rPr>
        <w:t xml:space="preserve"> </w:t>
      </w:r>
      <w:r>
        <w:rPr>
          <w:rFonts w:hint="cs"/>
          <w:rtl/>
        </w:rPr>
        <w:t>דבדברי התורת כהנים</w:t>
      </w:r>
      <w:r w:rsidRPr="00BF7205">
        <w:rPr>
          <w:rFonts w:hint="cs"/>
          <w:rtl/>
        </w:rPr>
        <w:t xml:space="preserve"> </w:t>
      </w:r>
      <w:r>
        <w:rPr>
          <w:rFonts w:hint="cs"/>
          <w:rtl/>
        </w:rPr>
        <w:t xml:space="preserve">בדין חלב, מבואר דמעיקר הדין החלב של העובר חשיב כחלב של הבהמה עצמה, אלא שיש ילפותא להתיר את החלב, דהילפותא בחלב "דאשם מוצא מכלל שליל" היינו דבאיסור החלב שעל הכליות כתיב "שתי הכליות" ולא ארבע כליות, וביאר </w:t>
      </w:r>
      <w:r w:rsidRPr="00BB7E6E">
        <w:rPr>
          <w:rStyle w:val="af9"/>
          <w:rFonts w:hint="cs"/>
          <w:rtl/>
        </w:rPr>
        <w:t>האבי עזרי</w:t>
      </w:r>
      <w:r>
        <w:rPr>
          <w:rFonts w:hint="cs"/>
          <w:rtl/>
        </w:rPr>
        <w:t xml:space="preserve"> דאף דחלב השליל חשיב כחלב הבהמה עצמה, וצריך להיות אסור מדין הבהמה, אף אם מצד השליל אינו נחשב כחלב שעל הקרב, וע"ז נאמרה ילפותא דבבהמה יש איסור רק בחלב של שתי הכליות ולא בחלב של העובר, עיי"ש בדבריו.</w:t>
      </w:r>
    </w:p>
    <w:p w14:paraId="3B18A986" w14:textId="77777777" w:rsidR="003D504D" w:rsidRDefault="003D504D" w:rsidP="003D504D">
      <w:pPr>
        <w:pStyle w:val="a3"/>
      </w:pPr>
      <w:bookmarkStart w:id="22087" w:name="_Toc19391775"/>
      <w:bookmarkStart w:id="22088" w:name="_Toc19395272"/>
      <w:r>
        <w:rPr>
          <w:rFonts w:hint="cs"/>
          <w:rtl/>
        </w:rPr>
        <w:t>דברי האבי עזרי דדמו חשיב כדם אמו ואין ילפותא להתירו וממילא לא שייך בו היתר כל בבהמה</w:t>
      </w:r>
      <w:bookmarkEnd w:id="22087"/>
      <w:bookmarkEnd w:id="22088"/>
    </w:p>
    <w:p w14:paraId="3C2C3DA4" w14:textId="77777777" w:rsidR="003D504D" w:rsidRDefault="003D504D" w:rsidP="00223668">
      <w:pPr>
        <w:pStyle w:val="a0"/>
        <w:rPr>
          <w:rtl/>
        </w:rPr>
      </w:pPr>
      <w:r>
        <w:rPr>
          <w:rFonts w:hint="cs"/>
          <w:rtl/>
        </w:rPr>
        <w:t xml:space="preserve">אבל בדין דמו של השליל כתב </w:t>
      </w:r>
      <w:r w:rsidRPr="0010462C">
        <w:rPr>
          <w:rStyle w:val="af9"/>
          <w:rFonts w:hint="cs"/>
          <w:rtl/>
        </w:rPr>
        <w:t>האבי עזרי</w:t>
      </w:r>
      <w:r>
        <w:rPr>
          <w:rFonts w:hint="cs"/>
          <w:rtl/>
        </w:rPr>
        <w:t xml:space="preserve"> </w:t>
      </w:r>
      <w:r w:rsidRPr="008D1863">
        <w:rPr>
          <w:rStyle w:val="af7"/>
          <w:rFonts w:eastAsia="Guttman Hodes" w:hint="cs"/>
          <w:rtl/>
        </w:rPr>
        <w:t>(מאכ"א פ"ז ה"ג ד"ה</w:t>
      </w:r>
      <w:r w:rsidRPr="008D1863">
        <w:rPr>
          <w:rStyle w:val="af7"/>
          <w:rFonts w:eastAsiaTheme="minorEastAsia" w:hint="cs"/>
          <w:rtl/>
        </w:rPr>
        <w:t xml:space="preserve"> אולם נראה)</w:t>
      </w:r>
      <w:r w:rsidRPr="004D451D">
        <w:rPr>
          <w:rStyle w:val="a8"/>
          <w:rFonts w:hint="cs"/>
          <w:rtl/>
        </w:rPr>
        <w:t xml:space="preserve"> </w:t>
      </w:r>
      <w:r>
        <w:rPr>
          <w:rFonts w:hint="cs"/>
          <w:rtl/>
        </w:rPr>
        <w:t>דכיון דדמו חשיב כדם אמו, ובדם אין בדם ילפותא להתירו כמו בחלב, ולכן כיון שהוכדם של הבהמה עצמה, ממילא לא שייך בו היתר "כל בבהמה תאכלו", דודאי שהדם של הבהמה אינו בכלל ההיתר.</w:t>
      </w:r>
    </w:p>
    <w:p w14:paraId="08459838" w14:textId="77777777" w:rsidR="003D504D" w:rsidRDefault="003D504D" w:rsidP="003D504D">
      <w:pPr>
        <w:pStyle w:val="afe"/>
        <w:rPr>
          <w:rtl/>
        </w:rPr>
      </w:pPr>
      <w:bookmarkStart w:id="22089" w:name="_Toc19436258"/>
      <w:bookmarkStart w:id="22090" w:name="_Toc20081413"/>
      <w:r>
        <w:rPr>
          <w:rFonts w:hint="cs"/>
          <w:rtl/>
        </w:rPr>
        <w:t>בענין הרובעו וחורש בו</w:t>
      </w:r>
      <w:bookmarkEnd w:id="22089"/>
      <w:bookmarkEnd w:id="22090"/>
    </w:p>
    <w:p w14:paraId="70ED5570" w14:textId="77777777" w:rsidR="003D504D" w:rsidRDefault="003D504D" w:rsidP="00BF39B2">
      <w:pPr>
        <w:pStyle w:val="1"/>
        <w:rPr>
          <w:rtl/>
        </w:rPr>
      </w:pPr>
      <w:bookmarkStart w:id="22091" w:name="_Toc19391776"/>
      <w:bookmarkStart w:id="22092" w:name="_Toc19395273"/>
      <w:r>
        <w:rPr>
          <w:rFonts w:hint="cs"/>
          <w:rtl/>
        </w:rPr>
        <w:t>ביאור האבי עזרי בהשמטת הרמב"ם ובישוב קושית התוס'</w:t>
      </w:r>
      <w:bookmarkEnd w:id="22091"/>
      <w:bookmarkEnd w:id="22092"/>
    </w:p>
    <w:p w14:paraId="5BF39343" w14:textId="77777777" w:rsidR="003D504D" w:rsidRDefault="003D504D" w:rsidP="003D504D">
      <w:pPr>
        <w:pStyle w:val="a3"/>
        <w:rPr>
          <w:rtl/>
        </w:rPr>
      </w:pPr>
      <w:bookmarkStart w:id="22093" w:name="_Toc19391777"/>
      <w:bookmarkStart w:id="22094" w:name="_Toc19395274"/>
      <w:r>
        <w:rPr>
          <w:rFonts w:hint="cs"/>
          <w:rtl/>
        </w:rPr>
        <w:t>קושית האבי עזרי דבמבואר דאיסור רביעה וחרישה בבן פקועה הוא חידוש ואמאי השמיטו הרמב"ם</w:t>
      </w:r>
      <w:bookmarkEnd w:id="22093"/>
      <w:bookmarkEnd w:id="22094"/>
    </w:p>
    <w:p w14:paraId="2A6548A2" w14:textId="77777777" w:rsidR="003D504D" w:rsidRDefault="003D504D" w:rsidP="00223668">
      <w:pPr>
        <w:pStyle w:val="a0"/>
        <w:rPr>
          <w:rtl/>
        </w:rPr>
      </w:pPr>
      <w:bookmarkStart w:id="22095" w:name="_Ref2247857"/>
      <w:r>
        <w:rPr>
          <w:rFonts w:hint="cs"/>
          <w:rtl/>
        </w:rPr>
        <w:t xml:space="preserve">הקשה </w:t>
      </w:r>
      <w:r w:rsidRPr="002E0EC6">
        <w:rPr>
          <w:rStyle w:val="af9"/>
          <w:rFonts w:hint="cs"/>
          <w:rtl/>
        </w:rPr>
        <w:t>האבי עזרי</w:t>
      </w:r>
      <w:r>
        <w:rPr>
          <w:rFonts w:hint="cs"/>
          <w:rtl/>
        </w:rPr>
        <w:t xml:space="preserve"> </w:t>
      </w:r>
      <w:r w:rsidRPr="002E0EC6">
        <w:rPr>
          <w:rStyle w:val="af7"/>
          <w:rFonts w:eastAsia="Guttman Hodes" w:hint="cs"/>
          <w:rtl/>
        </w:rPr>
        <w:t xml:space="preserve">(מאכ"א </w:t>
      </w:r>
      <w:r w:rsidRPr="002E0EC6">
        <w:rPr>
          <w:rStyle w:val="af7"/>
          <w:rFonts w:eastAsia="Guttman Hodes"/>
          <w:rtl/>
        </w:rPr>
        <w:t>פ"ז ה"ג</w:t>
      </w:r>
      <w:r w:rsidRPr="002E0EC6">
        <w:rPr>
          <w:rStyle w:val="af7"/>
          <w:rFonts w:eastAsia="Guttman Hodes" w:hint="cs"/>
          <w:rtl/>
        </w:rPr>
        <w:t xml:space="preserve"> </w:t>
      </w:r>
      <w:r>
        <w:rPr>
          <w:rStyle w:val="af7"/>
          <w:rFonts w:eastAsia="Guttman Hodes" w:hint="cs"/>
          <w:rtl/>
        </w:rPr>
        <w:t>ד</w:t>
      </w:r>
      <w:r w:rsidRPr="00F70133">
        <w:rPr>
          <w:rStyle w:val="af7"/>
          <w:rFonts w:eastAsia="Guttman Hodes" w:hint="cs"/>
          <w:rtl/>
        </w:rPr>
        <w:t>"ה והנה שם</w:t>
      </w:r>
      <w:r>
        <w:rPr>
          <w:rStyle w:val="af7"/>
          <w:rFonts w:eastAsia="Guttman Hodes" w:hint="cs"/>
          <w:rtl/>
        </w:rPr>
        <w:t xml:space="preserve"> בחולין דף עד</w:t>
      </w:r>
      <w:r w:rsidRPr="002E0EC6">
        <w:rPr>
          <w:rStyle w:val="af7"/>
          <w:rFonts w:eastAsia="Guttman Hodes" w:hint="cs"/>
          <w:rtl/>
        </w:rPr>
        <w:t>)</w:t>
      </w:r>
      <w:r>
        <w:rPr>
          <w:rFonts w:hint="cs"/>
          <w:rtl/>
        </w:rPr>
        <w:t xml:space="preserve"> אמאי השמיט </w:t>
      </w:r>
      <w:r w:rsidRPr="002E0EC6">
        <w:rPr>
          <w:rStyle w:val="af9"/>
          <w:rFonts w:hint="cs"/>
          <w:rtl/>
        </w:rPr>
        <w:t>הרמב"ם</w:t>
      </w:r>
      <w:r>
        <w:rPr>
          <w:rFonts w:hint="cs"/>
          <w:rtl/>
        </w:rPr>
        <w:t xml:space="preserve"> דבן פקועה אסור ברביעה ובחרישה בכלאים, ואף שמסתימת דברי </w:t>
      </w:r>
      <w:r w:rsidRPr="002E0EC6">
        <w:rPr>
          <w:rStyle w:val="af9"/>
          <w:rFonts w:hint="cs"/>
          <w:rtl/>
        </w:rPr>
        <w:t>הרמב"ם</w:t>
      </w:r>
      <w:r>
        <w:rPr>
          <w:rFonts w:hint="cs"/>
          <w:rtl/>
        </w:rPr>
        <w:t xml:space="preserve"> דלא התיר בזה, ממילא משמע דאסור, מ"מ הקשה </w:t>
      </w:r>
      <w:r w:rsidRPr="002E0EC6">
        <w:rPr>
          <w:rStyle w:val="af9"/>
          <w:rFonts w:hint="cs"/>
          <w:rtl/>
        </w:rPr>
        <w:t>האבי עזרי</w:t>
      </w:r>
      <w:r>
        <w:rPr>
          <w:rFonts w:hint="cs"/>
          <w:rtl/>
        </w:rPr>
        <w:t xml:space="preserve"> דכיון דרב אושעיא אמר כן כחידוש דין, היה </w:t>
      </w:r>
      <w:r w:rsidRPr="002E0EC6">
        <w:rPr>
          <w:rStyle w:val="af9"/>
          <w:rFonts w:hint="cs"/>
          <w:rtl/>
        </w:rPr>
        <w:t>להרמב"ם</w:t>
      </w:r>
      <w:r>
        <w:rPr>
          <w:rFonts w:hint="cs"/>
          <w:rtl/>
        </w:rPr>
        <w:t xml:space="preserve"> להביאו.</w:t>
      </w:r>
      <w:bookmarkEnd w:id="22095"/>
    </w:p>
    <w:p w14:paraId="0AA039C9" w14:textId="77777777" w:rsidR="003D504D" w:rsidRDefault="003D504D" w:rsidP="003D504D">
      <w:pPr>
        <w:pStyle w:val="a3"/>
        <w:rPr>
          <w:rtl/>
        </w:rPr>
      </w:pPr>
      <w:bookmarkStart w:id="22096" w:name="_Toc19391778"/>
      <w:bookmarkStart w:id="22097" w:name="_Toc19395275"/>
      <w:r>
        <w:rPr>
          <w:rFonts w:hint="cs"/>
          <w:rtl/>
        </w:rPr>
        <w:t>ביאור האבי עזרי דהחידוש הוא רק לר"ל דאינו בהמה ולהלכה קיי"ל דהוא בהמה ויש בו היתר</w:t>
      </w:r>
      <w:bookmarkEnd w:id="22096"/>
      <w:bookmarkEnd w:id="22097"/>
    </w:p>
    <w:p w14:paraId="3FD579B5" w14:textId="77777777" w:rsidR="003D504D" w:rsidRDefault="003D504D" w:rsidP="00223668">
      <w:pPr>
        <w:pStyle w:val="a0"/>
        <w:rPr>
          <w:rtl/>
        </w:rPr>
      </w:pPr>
      <w:r>
        <w:rPr>
          <w:rFonts w:hint="cs"/>
          <w:rtl/>
        </w:rPr>
        <w:t xml:space="preserve">וביאר </w:t>
      </w:r>
      <w:r w:rsidRPr="002E0EC6">
        <w:rPr>
          <w:rStyle w:val="af9"/>
          <w:rFonts w:hint="cs"/>
          <w:rtl/>
        </w:rPr>
        <w:t>האבי עזרי</w:t>
      </w:r>
      <w:r>
        <w:rPr>
          <w:rFonts w:hint="cs"/>
          <w:rtl/>
        </w:rPr>
        <w:t xml:space="preserve"> דכל מה שהוצרך רב אושעיא לחדש דאסור ברביעה ובחרישה, הוא כיון דס"ל כר"ל דבעינן חדשים ואוירא דלידה, וההיתר לר"י הוא כיון שאינו נחשב כבהמה בפנ"ע, ואף חלבו וגידו מותר, ולכן הו"א דאף לענין רביעה וחרישה אין לו דין בהמה, אבל להלכה דקיי"ל כריו"ח דחדשים לבד גרמי, וההיתר בבן פקועה הוא מגזיה"כ "וכל בבהמה תאכלו", אך אין גדר ההיתר מחמת דאינו נחשב כבהמה, אלא דאף שהוא בהמה מהני שחיטת אמו להתירו, א"כ אין כל חידוש דאסור ברביעה ובחרישה, ולכן לא הוצרך הרמב"ם להביא דמותר ברביעה ובחרישה, דמבואר בגמ' דהחידוש הוא רק לר"ל ולא לריו"ח.</w:t>
      </w:r>
    </w:p>
    <w:p w14:paraId="7BAAFC9A" w14:textId="77777777" w:rsidR="00313A86" w:rsidRPr="00313A86" w:rsidRDefault="00313A86" w:rsidP="00313A86">
      <w:pPr>
        <w:pStyle w:val="a3"/>
        <w:rPr>
          <w:rtl/>
        </w:rPr>
      </w:pPr>
    </w:p>
    <w:p w14:paraId="69A996B4" w14:textId="77777777" w:rsidR="00313A86" w:rsidRPr="00313A86" w:rsidRDefault="00313A86" w:rsidP="00313A86">
      <w:pPr>
        <w:pStyle w:val="a3"/>
        <w:rPr>
          <w:rtl/>
        </w:rPr>
      </w:pPr>
    </w:p>
    <w:p w14:paraId="2A0773D9" w14:textId="77777777" w:rsidR="003D504D" w:rsidRDefault="003D504D" w:rsidP="003D504D">
      <w:pPr>
        <w:pStyle w:val="a3"/>
        <w:rPr>
          <w:rtl/>
        </w:rPr>
      </w:pPr>
      <w:bookmarkStart w:id="22098" w:name="_Toc19391779"/>
      <w:bookmarkStart w:id="22099" w:name="_Toc19395276"/>
      <w:r>
        <w:rPr>
          <w:rFonts w:hint="cs"/>
          <w:rtl/>
        </w:rPr>
        <w:t>ישוב האבי עזרי על קושית התוס' דההו"א היא דאינו בהמה ולא דמי למפרכסת דהיא שחוטה</w:t>
      </w:r>
      <w:bookmarkEnd w:id="22098"/>
      <w:bookmarkEnd w:id="22099"/>
    </w:p>
    <w:p w14:paraId="7AF41A5B" w14:textId="77777777" w:rsidR="003D504D" w:rsidRPr="00456E17" w:rsidRDefault="003D504D" w:rsidP="00223668">
      <w:pPr>
        <w:pStyle w:val="a0"/>
        <w:rPr>
          <w:rtl/>
        </w:rPr>
      </w:pPr>
      <w:bookmarkStart w:id="22100" w:name="_Ref2247906"/>
      <w:r>
        <w:rPr>
          <w:rFonts w:hint="cs"/>
          <w:rtl/>
        </w:rPr>
        <w:t xml:space="preserve">וכתב </w:t>
      </w:r>
      <w:r w:rsidRPr="002E0EC6">
        <w:rPr>
          <w:rStyle w:val="af9"/>
          <w:rFonts w:hint="cs"/>
          <w:rtl/>
        </w:rPr>
        <w:t xml:space="preserve">האבי עזרי </w:t>
      </w:r>
      <w:r>
        <w:rPr>
          <w:rFonts w:hint="cs"/>
          <w:rtl/>
        </w:rPr>
        <w:t xml:space="preserve">דלפי"ז מיושבת קושית </w:t>
      </w:r>
      <w:r w:rsidRPr="002E0EC6">
        <w:rPr>
          <w:rStyle w:val="af9"/>
          <w:rFonts w:hint="cs"/>
          <w:rtl/>
        </w:rPr>
        <w:t>התוס'</w:t>
      </w:r>
      <w:r>
        <w:rPr>
          <w:rFonts w:hint="cs"/>
          <w:rtl/>
        </w:rPr>
        <w:t xml:space="preserve"> </w:t>
      </w:r>
      <w:r w:rsidRPr="002E0EC6">
        <w:rPr>
          <w:rStyle w:val="af7"/>
          <w:rFonts w:eastAsia="Guttman Hodes" w:hint="cs"/>
          <w:rtl/>
        </w:rPr>
        <w:t xml:space="preserve">(עי' אות </w:t>
      </w:r>
      <w:r w:rsidRPr="002E0EC6">
        <w:rPr>
          <w:rStyle w:val="af7"/>
          <w:rFonts w:eastAsia="Guttman Hodes"/>
          <w:rtl/>
        </w:rPr>
        <w:fldChar w:fldCharType="begin"/>
      </w:r>
      <w:r w:rsidRPr="002E0EC6">
        <w:rPr>
          <w:rStyle w:val="af7"/>
          <w:rFonts w:eastAsia="Guttman Hodes"/>
          <w:rtl/>
        </w:rPr>
        <w:instrText xml:space="preserve"> </w:instrText>
      </w:r>
      <w:r w:rsidRPr="002E0EC6">
        <w:rPr>
          <w:rStyle w:val="af7"/>
          <w:rFonts w:eastAsia="Guttman Hodes" w:hint="cs"/>
        </w:rPr>
        <w:instrText>REF</w:instrText>
      </w:r>
      <w:r w:rsidRPr="002E0EC6">
        <w:rPr>
          <w:rStyle w:val="af7"/>
          <w:rFonts w:eastAsia="Guttman Hodes" w:hint="cs"/>
          <w:rtl/>
        </w:rPr>
        <w:instrText xml:space="preserve"> _</w:instrText>
      </w:r>
      <w:r w:rsidRPr="002E0EC6">
        <w:rPr>
          <w:rStyle w:val="af7"/>
          <w:rFonts w:eastAsia="Guttman Hodes" w:hint="cs"/>
        </w:rPr>
        <w:instrText>Ref2247646 \r \h</w:instrText>
      </w:r>
      <w:r w:rsidRPr="002E0EC6">
        <w:rPr>
          <w:rStyle w:val="af7"/>
          <w:rFonts w:eastAsia="Guttman Hodes"/>
          <w:rtl/>
        </w:rPr>
        <w:instrText xml:space="preserve"> </w:instrText>
      </w:r>
      <w:r w:rsidRPr="002E0EC6">
        <w:rPr>
          <w:rStyle w:val="af7"/>
          <w:rFonts w:eastAsia="Guttman Hodes"/>
          <w:rtl/>
        </w:rPr>
      </w:r>
      <w:r w:rsidRPr="002E0EC6">
        <w:rPr>
          <w:rStyle w:val="af7"/>
          <w:rFonts w:eastAsia="Guttman Hodes"/>
          <w:rtl/>
        </w:rPr>
        <w:fldChar w:fldCharType="separate"/>
      </w:r>
      <w:r w:rsidR="00345400">
        <w:rPr>
          <w:rStyle w:val="af7"/>
          <w:rFonts w:eastAsia="Guttman Hodes"/>
          <w:cs/>
        </w:rPr>
        <w:t>‎</w:t>
      </w:r>
      <w:r w:rsidR="00345400">
        <w:rPr>
          <w:rStyle w:val="af7"/>
          <w:rFonts w:eastAsia="Guttman Hodes"/>
          <w:rtl/>
        </w:rPr>
        <w:t>סט)</w:t>
      </w:r>
      <w:r w:rsidRPr="002E0EC6">
        <w:rPr>
          <w:rStyle w:val="af7"/>
          <w:rFonts w:eastAsia="Guttman Hodes"/>
          <w:rtl/>
        </w:rPr>
        <w:fldChar w:fldCharType="end"/>
      </w:r>
      <w:r>
        <w:rPr>
          <w:rFonts w:hint="cs"/>
          <w:rtl/>
        </w:rPr>
        <w:t xml:space="preserve"> דמה החידוש דבן פקועה אסור ברביעה, הא אף מפרכסת אסורה ברביעה, וביאר </w:t>
      </w:r>
      <w:r w:rsidRPr="002E0EC6">
        <w:rPr>
          <w:rStyle w:val="af9"/>
          <w:rFonts w:hint="cs"/>
          <w:rtl/>
        </w:rPr>
        <w:t>האבי עזרי</w:t>
      </w:r>
      <w:r>
        <w:rPr>
          <w:rFonts w:hint="cs"/>
          <w:rtl/>
        </w:rPr>
        <w:t xml:space="preserve"> דהא דהוצרך רב אושעיא לחדש דאסור ברביעה ובחרישה, אינו מחמת דנחשב לשחוט, דאף בבהמה שחוטה יש איסור רביעה כדין מפרכסת, אלא דכוונת רב אושעיא לומר דאף שאין לו שם בהמה לדעת ר"ל דחדשים ואוירא דלידה גרמי, מ"מ לענין רביעה וחרישה דינו כבהמה גמורה, ולא דמי כלל למפרכסת שהיא בהמה גמורה, והיא עדיין חיה ולכן פשיטא דאסורה ברביעה, וע"ע במה שהקשה </w:t>
      </w:r>
      <w:r w:rsidRPr="002E0EC6">
        <w:rPr>
          <w:rStyle w:val="af9"/>
          <w:rFonts w:hint="cs"/>
          <w:rtl/>
        </w:rPr>
        <w:t xml:space="preserve">האבי עזרי </w:t>
      </w:r>
      <w:r>
        <w:rPr>
          <w:rFonts w:hint="cs"/>
          <w:rtl/>
        </w:rPr>
        <w:t xml:space="preserve">על תירוץ </w:t>
      </w:r>
      <w:r w:rsidRPr="002E0EC6">
        <w:rPr>
          <w:rStyle w:val="af9"/>
          <w:rFonts w:hint="cs"/>
          <w:rtl/>
        </w:rPr>
        <w:t xml:space="preserve">התוס' </w:t>
      </w:r>
      <w:r>
        <w:rPr>
          <w:rFonts w:hint="cs"/>
          <w:rtl/>
        </w:rPr>
        <w:t>דההו"א דבן פקועה גרע ממפרכסת.</w:t>
      </w:r>
      <w:bookmarkEnd w:id="22100"/>
    </w:p>
    <w:p w14:paraId="01A3FCB0" w14:textId="77777777" w:rsidR="003D504D" w:rsidRDefault="003D504D" w:rsidP="003D504D">
      <w:pPr>
        <w:pStyle w:val="a3"/>
        <w:jc w:val="both"/>
        <w:rPr>
          <w:rtl/>
        </w:rPr>
        <w:sectPr w:rsidR="003D504D" w:rsidSect="003D504D">
          <w:type w:val="continuous"/>
          <w:pgSz w:w="11906" w:h="16838"/>
          <w:pgMar w:top="720" w:right="720" w:bottom="720" w:left="720" w:header="283" w:footer="283" w:gutter="0"/>
          <w:cols w:num="2" w:space="567"/>
          <w:bidi/>
          <w:rtlGutter/>
          <w:docGrid w:linePitch="299"/>
        </w:sectPr>
      </w:pPr>
    </w:p>
    <w:p w14:paraId="0B21A782" w14:textId="77777777" w:rsidR="003D504D" w:rsidRDefault="003D504D" w:rsidP="003D504D">
      <w:pPr>
        <w:pStyle w:val="a3"/>
        <w:jc w:val="both"/>
        <w:rPr>
          <w:rtl/>
        </w:rPr>
      </w:pPr>
    </w:p>
    <w:p w14:paraId="2523E937" w14:textId="77777777" w:rsidR="003D504D" w:rsidRDefault="003D504D" w:rsidP="003D504D">
      <w:pPr>
        <w:pStyle w:val="a3"/>
        <w:rPr>
          <w:rtl/>
        </w:rPr>
        <w:sectPr w:rsidR="003D504D" w:rsidSect="005049E2">
          <w:type w:val="continuous"/>
          <w:pgSz w:w="11906" w:h="16838"/>
          <w:pgMar w:top="720" w:right="720" w:bottom="720" w:left="720" w:header="283" w:footer="283" w:gutter="0"/>
          <w:cols w:num="2" w:space="567"/>
          <w:titlePg/>
          <w:bidi/>
          <w:rtlGutter/>
          <w:docGrid w:linePitch="299"/>
        </w:sectPr>
      </w:pPr>
    </w:p>
    <w:p w14:paraId="6DB6B0CB" w14:textId="77777777" w:rsidR="003D504D" w:rsidRDefault="003D504D" w:rsidP="00313A86">
      <w:pPr>
        <w:pStyle w:val="afd"/>
        <w:rPr>
          <w:rtl/>
        </w:rPr>
      </w:pPr>
      <w:bookmarkStart w:id="22101" w:name="_Toc2718652"/>
      <w:bookmarkStart w:id="22102" w:name="_Toc2866713"/>
      <w:bookmarkStart w:id="22103" w:name="_Toc3234462"/>
      <w:bookmarkStart w:id="22104" w:name="_Toc3287695"/>
      <w:bookmarkStart w:id="22105" w:name="_Toc3322196"/>
      <w:bookmarkStart w:id="22106" w:name="_Toc3480658"/>
      <w:bookmarkStart w:id="22107" w:name="_Toc3484922"/>
      <w:bookmarkStart w:id="22108" w:name="_Toc3535769"/>
      <w:bookmarkStart w:id="22109" w:name="_Toc3543111"/>
      <w:bookmarkStart w:id="22110" w:name="_Toc3550807"/>
      <w:bookmarkStart w:id="22111" w:name="_Toc3550963"/>
      <w:bookmarkStart w:id="22112" w:name="_Toc5356393"/>
      <w:bookmarkStart w:id="22113" w:name="_Toc16669775"/>
      <w:bookmarkStart w:id="22114" w:name="_Toc19436259"/>
      <w:bookmarkStart w:id="22115" w:name="_Toc20081414"/>
      <w:r>
        <w:rPr>
          <w:rFonts w:hint="cs"/>
          <w:rtl/>
        </w:rPr>
        <w:t>סימן</w:t>
      </w:r>
      <w:bookmarkEnd w:id="22101"/>
      <w:r w:rsidR="00313A86">
        <w:rPr>
          <w:rFonts w:hint="cs"/>
          <w:rtl/>
        </w:rPr>
        <w:t xml:space="preserve"> </w:t>
      </w:r>
      <w:bookmarkEnd w:id="22102"/>
      <w:bookmarkEnd w:id="22103"/>
      <w:bookmarkEnd w:id="22104"/>
      <w:bookmarkEnd w:id="22105"/>
      <w:bookmarkEnd w:id="22106"/>
      <w:bookmarkEnd w:id="22107"/>
      <w:bookmarkEnd w:id="22108"/>
      <w:bookmarkEnd w:id="22109"/>
      <w:bookmarkEnd w:id="22110"/>
      <w:bookmarkEnd w:id="22111"/>
      <w:bookmarkEnd w:id="22112"/>
      <w:r w:rsidR="00313A86">
        <w:rPr>
          <w:rFonts w:hint="cs"/>
          <w:rtl/>
        </w:rPr>
        <w:t>כ"א</w:t>
      </w:r>
      <w:bookmarkEnd w:id="22113"/>
      <w:bookmarkEnd w:id="22114"/>
      <w:bookmarkEnd w:id="22115"/>
    </w:p>
    <w:p w14:paraId="14A93AB8" w14:textId="77777777" w:rsidR="003D504D" w:rsidRDefault="003D504D" w:rsidP="003D504D">
      <w:pPr>
        <w:pStyle w:val="afd"/>
        <w:rPr>
          <w:rtl/>
        </w:rPr>
      </w:pPr>
      <w:bookmarkStart w:id="22116" w:name="_Toc5356394"/>
      <w:bookmarkStart w:id="22117" w:name="_Toc16669776"/>
      <w:bookmarkStart w:id="22118" w:name="_Toc19436260"/>
      <w:bookmarkStart w:id="22119" w:name="_Toc20081415"/>
      <w:bookmarkStart w:id="22120" w:name="_Toc2866714"/>
      <w:bookmarkStart w:id="22121" w:name="_Toc3234463"/>
      <w:bookmarkStart w:id="22122" w:name="_Toc3287696"/>
      <w:bookmarkStart w:id="22123" w:name="_Toc3322197"/>
      <w:bookmarkStart w:id="22124" w:name="_Toc3480659"/>
      <w:bookmarkStart w:id="22125" w:name="_Toc3484923"/>
      <w:bookmarkStart w:id="22126" w:name="_Toc3535770"/>
      <w:bookmarkStart w:id="22127" w:name="_Toc3543112"/>
      <w:bookmarkStart w:id="22128" w:name="_Toc3550808"/>
      <w:bookmarkStart w:id="22129" w:name="_Toc3550964"/>
      <w:r>
        <w:rPr>
          <w:rtl/>
        </w:rPr>
        <w:t>סוגיא דחלב וגיד (א')</w:t>
      </w:r>
      <w:bookmarkEnd w:id="22116"/>
      <w:bookmarkEnd w:id="22117"/>
      <w:bookmarkEnd w:id="22118"/>
      <w:bookmarkEnd w:id="22119"/>
    </w:p>
    <w:p w14:paraId="3B3E7458" w14:textId="77777777" w:rsidR="003D504D" w:rsidRDefault="003D504D" w:rsidP="003D504D">
      <w:pPr>
        <w:pStyle w:val="afd"/>
        <w:rPr>
          <w:rtl/>
        </w:rPr>
      </w:pPr>
      <w:bookmarkStart w:id="22130" w:name="_Toc5356395"/>
      <w:bookmarkStart w:id="22131" w:name="_Toc16669777"/>
      <w:bookmarkStart w:id="22132" w:name="_Toc19436261"/>
      <w:bookmarkStart w:id="22133" w:name="_Toc20081416"/>
      <w:r>
        <w:rPr>
          <w:rFonts w:hint="cs"/>
          <w:rtl/>
        </w:rPr>
        <w:t>בדברי רב הושעיא דר"מ ור"י הלכו לשיטתם ו</w:t>
      </w:r>
      <w:r w:rsidRPr="007D0319">
        <w:rPr>
          <w:rFonts w:hint="cs"/>
          <w:rtl/>
        </w:rPr>
        <w:t>בפלוגתת ריו"ח ור"ל ב</w:t>
      </w:r>
      <w:r>
        <w:rPr>
          <w:rFonts w:hint="cs"/>
          <w:rtl/>
        </w:rPr>
        <w:t>חלב</w:t>
      </w:r>
      <w:bookmarkEnd w:id="22120"/>
      <w:bookmarkEnd w:id="22121"/>
      <w:bookmarkEnd w:id="22122"/>
      <w:bookmarkEnd w:id="22123"/>
      <w:bookmarkEnd w:id="22124"/>
      <w:bookmarkEnd w:id="22125"/>
      <w:bookmarkEnd w:id="22126"/>
      <w:bookmarkEnd w:id="22127"/>
      <w:bookmarkEnd w:id="22128"/>
      <w:bookmarkEnd w:id="22129"/>
      <w:bookmarkEnd w:id="22130"/>
      <w:bookmarkEnd w:id="22131"/>
      <w:bookmarkEnd w:id="22132"/>
      <w:bookmarkEnd w:id="22133"/>
    </w:p>
    <w:p w14:paraId="66022317" w14:textId="77777777" w:rsidR="003D504D" w:rsidRDefault="000A0C31" w:rsidP="003D504D">
      <w:pPr>
        <w:pStyle w:val="2"/>
        <w:keepNext w:val="0"/>
        <w:keepLines w:val="0"/>
        <w:rPr>
          <w:rtl/>
        </w:rPr>
      </w:pPr>
      <w:r>
        <w:rPr>
          <w:rtl/>
        </w:rPr>
        <w:t>מפתח הסוגיא</w:t>
      </w:r>
    </w:p>
    <w:p w14:paraId="7B09225D" w14:textId="77777777" w:rsidR="003D504D" w:rsidRDefault="003D504D" w:rsidP="003D504D">
      <w:pPr>
        <w:pStyle w:val="aff4"/>
        <w:rPr>
          <w:rtl/>
        </w:rPr>
        <w:sectPr w:rsidR="003D504D" w:rsidSect="003D504D">
          <w:headerReference w:type="default" r:id="rId135"/>
          <w:headerReference w:type="first" r:id="rId136"/>
          <w:footerReference w:type="first" r:id="rId137"/>
          <w:pgSz w:w="11906" w:h="16838"/>
          <w:pgMar w:top="720" w:right="720" w:bottom="720" w:left="720" w:header="283" w:footer="283" w:gutter="0"/>
          <w:cols w:space="113"/>
          <w:bidi/>
          <w:rtlGutter/>
          <w:docGrid w:linePitch="299"/>
        </w:sectPr>
      </w:pPr>
    </w:p>
    <w:p w14:paraId="2878310A" w14:textId="77777777" w:rsidR="003D504D" w:rsidRDefault="003D504D" w:rsidP="003D504D">
      <w:pPr>
        <w:pStyle w:val="2"/>
        <w:rPr>
          <w:noProof/>
        </w:rPr>
      </w:pPr>
      <w:bookmarkStart w:id="22134" w:name="_Toc3287698"/>
      <w:bookmarkStart w:id="22135" w:name="_Toc3322199"/>
      <w:bookmarkStart w:id="22136" w:name="_Toc3480661"/>
      <w:bookmarkStart w:id="22137" w:name="_Toc3484925"/>
      <w:bookmarkStart w:id="22138" w:name="_Toc3535772"/>
      <w:bookmarkStart w:id="22139" w:name="_Toc3543114"/>
      <w:bookmarkStart w:id="22140" w:name="_Toc3550810"/>
      <w:bookmarkStart w:id="22141" w:name="_Toc3550966"/>
      <w:bookmarkStart w:id="22142" w:name="_Toc19436263"/>
      <w:r>
        <w:rPr>
          <w:noProof/>
          <w:rtl/>
        </w:rPr>
        <w:t>מראי מקומות וביאורים על הסוגיא</w:t>
      </w:r>
      <w:bookmarkEnd w:id="22134"/>
      <w:bookmarkEnd w:id="22135"/>
      <w:bookmarkEnd w:id="22136"/>
      <w:bookmarkEnd w:id="22137"/>
      <w:bookmarkEnd w:id="22138"/>
      <w:bookmarkEnd w:id="22139"/>
      <w:bookmarkEnd w:id="22140"/>
      <w:bookmarkEnd w:id="22141"/>
      <w:bookmarkEnd w:id="22142"/>
      <w:r>
        <w:rPr>
          <w:rtl/>
        </w:rPr>
        <w:t xml:space="preserve"> </w:t>
      </w: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p>
    <w:p w14:paraId="25FE0BCD" w14:textId="77777777" w:rsidR="003D504D" w:rsidRDefault="003D504D" w:rsidP="003D504D">
      <w:pPr>
        <w:pStyle w:val="2"/>
        <w:rPr>
          <w:rFonts w:eastAsiaTheme="minorEastAsia" w:cstheme="minorBidi"/>
          <w:i/>
          <w:iCs/>
          <w:noProof/>
          <w:sz w:val="22"/>
          <w:szCs w:val="22"/>
          <w:rtl/>
        </w:rPr>
      </w:pPr>
      <w:bookmarkStart w:id="22143" w:name="_Toc19436264"/>
      <w:r>
        <w:rPr>
          <w:noProof/>
          <w:rtl/>
        </w:rPr>
        <w:t>דברי רב הושעיא דר"מ ור"י הלכו לשיטתם</w:t>
      </w:r>
      <w:bookmarkEnd w:id="22143"/>
    </w:p>
    <w:p w14:paraId="1E176FAC" w14:textId="77777777" w:rsidR="003D504D" w:rsidRDefault="003D504D" w:rsidP="003D504D">
      <w:pPr>
        <w:pStyle w:val="aff4"/>
        <w:rPr>
          <w:rFonts w:eastAsiaTheme="minorEastAsia" w:cstheme="minorBidi"/>
          <w:i/>
          <w:iCs/>
          <w:noProof/>
          <w:sz w:val="22"/>
          <w:szCs w:val="22"/>
          <w:rtl/>
        </w:rPr>
      </w:pPr>
      <w:bookmarkStart w:id="22144" w:name="_Toc19436265"/>
      <w:bookmarkStart w:id="22145" w:name="_Toc20081417"/>
      <w:r>
        <w:rPr>
          <w:noProof/>
          <w:rtl/>
        </w:rPr>
        <w:t>ביאורי הראשונים דנחלקו ר"י ור"מ אי הוה בהמה בפנ"ע</w:t>
      </w:r>
      <w:bookmarkEnd w:id="22144"/>
      <w:bookmarkEnd w:id="22145"/>
    </w:p>
    <w:p w14:paraId="0423D5CE" w14:textId="77777777" w:rsidR="00313A86" w:rsidRPr="005077A7" w:rsidRDefault="00313A86" w:rsidP="00E12979">
      <w:pPr>
        <w:pStyle w:val="a"/>
        <w:numPr>
          <w:ilvl w:val="0"/>
          <w:numId w:val="43"/>
        </w:numPr>
        <w:rPr>
          <w:rFonts w:eastAsiaTheme="minorEastAsia" w:cstheme="minorBidi"/>
          <w:sz w:val="22"/>
          <w:szCs w:val="22"/>
        </w:rPr>
      </w:pPr>
      <w:r w:rsidRPr="00DE6469">
        <w:rPr>
          <w:rtl/>
        </w:rPr>
        <w:t>דברי רש"י דלר"מ בן ט' חי חשיב כבהמה ולא כשליל ואינו בכלל ההיתר ולכן גידו וחלבו אסורים</w:t>
      </w:r>
      <w:r>
        <w:rPr>
          <w:rtl/>
        </w:rPr>
        <w:t xml:space="preserve"> </w:t>
      </w:r>
    </w:p>
    <w:p w14:paraId="6DCDFBC7" w14:textId="77777777" w:rsidR="003D504D" w:rsidRDefault="003D504D" w:rsidP="005077A7">
      <w:pPr>
        <w:pStyle w:val="a"/>
        <w:rPr>
          <w:rFonts w:eastAsiaTheme="minorEastAsia" w:cstheme="minorBidi"/>
          <w:sz w:val="22"/>
          <w:szCs w:val="22"/>
          <w:rtl/>
        </w:rPr>
      </w:pPr>
      <w:r>
        <w:rPr>
          <w:rtl/>
        </w:rPr>
        <w:t>דברי הריטב"א והר"ן דלר"מ בן ט' חשיב כבהמה בפנ"ע לענין שחיטה וחלב וגיד ולר"י אינו בהמה</w:t>
      </w:r>
    </w:p>
    <w:p w14:paraId="1240E720" w14:textId="77777777" w:rsidR="003D504D" w:rsidRDefault="003D504D" w:rsidP="005077A7">
      <w:pPr>
        <w:pStyle w:val="a"/>
        <w:rPr>
          <w:rFonts w:eastAsiaTheme="minorEastAsia" w:cstheme="minorBidi"/>
          <w:sz w:val="22"/>
          <w:szCs w:val="22"/>
          <w:rtl/>
        </w:rPr>
      </w:pPr>
      <w:r>
        <w:rPr>
          <w:rtl/>
        </w:rPr>
        <w:t>דברי רבינו גרשום דלר"מ בן ט' חשיב כבהמה וחלבו אסור ולר"י אינו חשיב כבהמה ולכן חלבו מותר</w:t>
      </w:r>
    </w:p>
    <w:p w14:paraId="5EEF6468" w14:textId="77777777" w:rsidR="003D504D" w:rsidRDefault="003D504D" w:rsidP="003D504D">
      <w:pPr>
        <w:pStyle w:val="aff4"/>
        <w:rPr>
          <w:rFonts w:eastAsiaTheme="minorEastAsia" w:cstheme="minorBidi"/>
          <w:i/>
          <w:iCs/>
          <w:noProof/>
          <w:sz w:val="22"/>
          <w:szCs w:val="22"/>
          <w:rtl/>
        </w:rPr>
      </w:pPr>
      <w:bookmarkStart w:id="22146" w:name="_Toc19436266"/>
      <w:bookmarkStart w:id="22147" w:name="_Toc20081418"/>
      <w:r>
        <w:rPr>
          <w:noProof/>
          <w:rtl/>
        </w:rPr>
        <w:t>דעת הרמב"ם דבשחיטה קיי"ל כר"י ובחלב כר"מ</w:t>
      </w:r>
      <w:bookmarkEnd w:id="22146"/>
      <w:bookmarkEnd w:id="22147"/>
    </w:p>
    <w:p w14:paraId="20EBC2F3" w14:textId="77777777" w:rsidR="003D504D" w:rsidRDefault="003D504D" w:rsidP="005077A7">
      <w:pPr>
        <w:pStyle w:val="a"/>
        <w:rPr>
          <w:rFonts w:eastAsiaTheme="minorEastAsia" w:cstheme="minorBidi"/>
          <w:sz w:val="22"/>
          <w:szCs w:val="22"/>
          <w:rtl/>
        </w:rPr>
      </w:pPr>
      <w:r>
        <w:rPr>
          <w:rtl/>
        </w:rPr>
        <w:t>דברי הרמב"ם דבן ט' חי מותר בשחיטת אמו אבל חלבו אסור ובן ח' חלבו מותר</w:t>
      </w:r>
    </w:p>
    <w:p w14:paraId="0FA29D9A" w14:textId="77777777" w:rsidR="003D504D" w:rsidRDefault="003D504D" w:rsidP="003D504D">
      <w:pPr>
        <w:pStyle w:val="aff4"/>
        <w:rPr>
          <w:rFonts w:eastAsiaTheme="minorEastAsia" w:cstheme="minorBidi"/>
          <w:i/>
          <w:iCs/>
          <w:noProof/>
          <w:sz w:val="22"/>
          <w:szCs w:val="22"/>
          <w:rtl/>
        </w:rPr>
      </w:pPr>
      <w:bookmarkStart w:id="22148" w:name="_Toc19436267"/>
      <w:bookmarkStart w:id="22149" w:name="_Toc20081419"/>
      <w:r>
        <w:rPr>
          <w:noProof/>
          <w:rtl/>
        </w:rPr>
        <w:t>דברי הראשונים דקיי"ל כר"י בשחיטה ובחלב כדברי רב הושעיא</w:t>
      </w:r>
      <w:bookmarkEnd w:id="22148"/>
      <w:bookmarkEnd w:id="22149"/>
    </w:p>
    <w:p w14:paraId="6C84CEB2" w14:textId="77777777" w:rsidR="003D504D" w:rsidRDefault="003D504D" w:rsidP="005077A7">
      <w:pPr>
        <w:pStyle w:val="a"/>
        <w:rPr>
          <w:rFonts w:eastAsiaTheme="minorEastAsia" w:cstheme="minorBidi"/>
          <w:sz w:val="22"/>
          <w:szCs w:val="22"/>
          <w:rtl/>
        </w:rPr>
      </w:pPr>
      <w:r>
        <w:rPr>
          <w:rtl/>
        </w:rPr>
        <w:t>ראיות הראשונים דמוכח בגמ' דקיי"ל כרב הושעיא</w:t>
      </w:r>
    </w:p>
    <w:p w14:paraId="3DFA73E2" w14:textId="77777777" w:rsidR="003D504D" w:rsidRDefault="003D504D" w:rsidP="005077A7">
      <w:pPr>
        <w:pStyle w:val="a"/>
        <w:rPr>
          <w:rFonts w:eastAsiaTheme="minorEastAsia" w:cstheme="minorBidi"/>
          <w:sz w:val="22"/>
          <w:szCs w:val="22"/>
          <w:rtl/>
        </w:rPr>
      </w:pPr>
      <w:r>
        <w:rPr>
          <w:rtl/>
        </w:rPr>
        <w:t>דברי הרמב"ן והרשב"א דמוכח בגמ' דקיי"ל כרב הושעיא</w:t>
      </w:r>
    </w:p>
    <w:p w14:paraId="4C3C6A43" w14:textId="77777777" w:rsidR="003D504D" w:rsidRDefault="003D504D" w:rsidP="005077A7">
      <w:pPr>
        <w:pStyle w:val="a"/>
        <w:rPr>
          <w:rFonts w:eastAsiaTheme="minorEastAsia" w:cstheme="minorBidi"/>
          <w:sz w:val="22"/>
          <w:szCs w:val="22"/>
          <w:rtl/>
        </w:rPr>
      </w:pPr>
      <w:r>
        <w:rPr>
          <w:rtl/>
        </w:rPr>
        <w:t>דברי הראשונים דאף דבפלוגתת ר"מ ור"י בגיד משמע דלא כרב הושעיא הגמ' שם נדחית למסקנא</w:t>
      </w:r>
    </w:p>
    <w:p w14:paraId="44C558EB" w14:textId="77777777" w:rsidR="003D504D" w:rsidRDefault="003D504D" w:rsidP="005077A7">
      <w:pPr>
        <w:pStyle w:val="a"/>
        <w:rPr>
          <w:rFonts w:eastAsiaTheme="minorEastAsia" w:cstheme="minorBidi"/>
          <w:sz w:val="22"/>
          <w:szCs w:val="22"/>
          <w:rtl/>
        </w:rPr>
      </w:pPr>
      <w:r>
        <w:rPr>
          <w:rtl/>
        </w:rPr>
        <w:t>דברי הבעה"מ והרשב"א דכן נדחית למסקנא הגמ' לענין גיד בטמאה דהיא דלא כרב הושעיא</w:t>
      </w:r>
    </w:p>
    <w:p w14:paraId="61F0FB46" w14:textId="77777777" w:rsidR="003D504D" w:rsidRDefault="003D504D" w:rsidP="005077A7">
      <w:pPr>
        <w:pStyle w:val="a"/>
        <w:rPr>
          <w:rFonts w:eastAsiaTheme="minorEastAsia" w:cstheme="minorBidi"/>
          <w:sz w:val="22"/>
          <w:szCs w:val="22"/>
          <w:rtl/>
        </w:rPr>
      </w:pPr>
      <w:r>
        <w:rPr>
          <w:rtl/>
        </w:rPr>
        <w:t>תירוץ המאירי דבגיד חל האיסור משעת יצירה לענין אם יתלוש אותו ובחלב חל רק בבן ט'</w:t>
      </w:r>
    </w:p>
    <w:p w14:paraId="74E48657" w14:textId="77777777" w:rsidR="003D504D" w:rsidRDefault="003D504D" w:rsidP="003D504D">
      <w:pPr>
        <w:pStyle w:val="2"/>
        <w:rPr>
          <w:rFonts w:eastAsiaTheme="minorEastAsia" w:cstheme="minorBidi"/>
          <w:i/>
          <w:iCs/>
          <w:noProof/>
          <w:sz w:val="22"/>
          <w:szCs w:val="22"/>
          <w:rtl/>
        </w:rPr>
      </w:pPr>
      <w:bookmarkStart w:id="22150" w:name="_Toc19436268"/>
      <w:r>
        <w:rPr>
          <w:noProof/>
          <w:rtl/>
        </w:rPr>
        <w:t>ביאורי הראשונים בחידוש רב הושעיא</w:t>
      </w:r>
      <w:bookmarkEnd w:id="22150"/>
    </w:p>
    <w:p w14:paraId="7E02B69B" w14:textId="77777777" w:rsidR="003D504D" w:rsidRDefault="003D504D" w:rsidP="003D504D">
      <w:pPr>
        <w:pStyle w:val="aff4"/>
        <w:rPr>
          <w:rFonts w:eastAsiaTheme="minorEastAsia" w:cstheme="minorBidi"/>
          <w:i/>
          <w:iCs/>
          <w:noProof/>
          <w:sz w:val="22"/>
          <w:szCs w:val="22"/>
          <w:rtl/>
        </w:rPr>
      </w:pPr>
      <w:bookmarkStart w:id="22151" w:name="_Toc19436269"/>
      <w:bookmarkStart w:id="22152" w:name="_Toc20081420"/>
      <w:r>
        <w:rPr>
          <w:noProof/>
          <w:rtl/>
        </w:rPr>
        <w:t>ביאור הראשונים דרב הושעיא חידש דנחלקו בגדר דין בן ט'</w:t>
      </w:r>
      <w:bookmarkEnd w:id="22151"/>
      <w:bookmarkEnd w:id="22152"/>
    </w:p>
    <w:p w14:paraId="49245404" w14:textId="77777777" w:rsidR="003D504D" w:rsidRDefault="003D504D" w:rsidP="005077A7">
      <w:pPr>
        <w:pStyle w:val="a"/>
        <w:rPr>
          <w:rFonts w:eastAsiaTheme="minorEastAsia" w:cstheme="minorBidi"/>
          <w:sz w:val="22"/>
          <w:szCs w:val="22"/>
          <w:rtl/>
        </w:rPr>
      </w:pPr>
      <w:r>
        <w:rPr>
          <w:rtl/>
        </w:rPr>
        <w:t>קושית הראשונים אמאי הוצרכה הגמ' לקמן להביא את דברי רב הושעיא</w:t>
      </w:r>
    </w:p>
    <w:p w14:paraId="11B7F319" w14:textId="77777777" w:rsidR="003D504D" w:rsidRDefault="003D504D" w:rsidP="005077A7">
      <w:pPr>
        <w:pStyle w:val="a"/>
        <w:rPr>
          <w:rFonts w:eastAsiaTheme="minorEastAsia" w:cstheme="minorBidi"/>
          <w:sz w:val="22"/>
          <w:szCs w:val="22"/>
          <w:rtl/>
        </w:rPr>
      </w:pPr>
      <w:r>
        <w:rPr>
          <w:rtl/>
        </w:rPr>
        <w:t>דברי הרמב"ן והרשב"א דחידש רב הושעיא דנחלקו בחלב וגיד בדין חדשים ואוירא ולא בילפותא</w:t>
      </w:r>
    </w:p>
    <w:p w14:paraId="58F5D129" w14:textId="77777777" w:rsidR="003D504D" w:rsidRDefault="003D504D" w:rsidP="005077A7">
      <w:pPr>
        <w:pStyle w:val="a"/>
        <w:rPr>
          <w:rFonts w:eastAsiaTheme="minorEastAsia" w:cstheme="minorBidi"/>
          <w:sz w:val="22"/>
          <w:szCs w:val="22"/>
          <w:rtl/>
        </w:rPr>
      </w:pPr>
      <w:r>
        <w:rPr>
          <w:rtl/>
        </w:rPr>
        <w:t>דברי הרמב"ן דברב הושעיא מוכח דפלוגתת ר"מ ור"י היא בחלב וגיד של בן ט'</w:t>
      </w:r>
    </w:p>
    <w:p w14:paraId="6965EBE2" w14:textId="77777777" w:rsidR="003D504D" w:rsidRDefault="003D504D" w:rsidP="003D504D">
      <w:pPr>
        <w:pStyle w:val="2"/>
        <w:rPr>
          <w:rFonts w:eastAsiaTheme="minorEastAsia" w:cstheme="minorBidi"/>
          <w:i/>
          <w:iCs/>
          <w:noProof/>
          <w:sz w:val="22"/>
          <w:szCs w:val="22"/>
          <w:rtl/>
        </w:rPr>
      </w:pPr>
      <w:bookmarkStart w:id="22153" w:name="_Toc19436270"/>
      <w:r>
        <w:rPr>
          <w:noProof/>
          <w:rtl/>
        </w:rPr>
        <w:t>באיסור גיד בשליל במעי אמו</w:t>
      </w:r>
      <w:bookmarkEnd w:id="22153"/>
    </w:p>
    <w:p w14:paraId="06171CB7" w14:textId="77777777" w:rsidR="003D504D" w:rsidRDefault="003D504D" w:rsidP="003D504D">
      <w:pPr>
        <w:pStyle w:val="aff4"/>
        <w:rPr>
          <w:rFonts w:eastAsiaTheme="minorEastAsia" w:cstheme="minorBidi"/>
          <w:i/>
          <w:iCs/>
          <w:noProof/>
          <w:sz w:val="22"/>
          <w:szCs w:val="22"/>
          <w:rtl/>
        </w:rPr>
      </w:pPr>
      <w:bookmarkStart w:id="22154" w:name="_Toc19436271"/>
      <w:bookmarkStart w:id="22155" w:name="_Toc20081421"/>
      <w:r>
        <w:rPr>
          <w:noProof/>
          <w:rtl/>
        </w:rPr>
        <w:t>דברי התוס' דגיד מותר בשחיטת האם ולכן האיסור חל כשנולד</w:t>
      </w:r>
      <w:bookmarkEnd w:id="22154"/>
      <w:bookmarkEnd w:id="22155"/>
    </w:p>
    <w:p w14:paraId="3FB54344" w14:textId="77777777" w:rsidR="003D504D" w:rsidRDefault="003D504D" w:rsidP="005077A7">
      <w:pPr>
        <w:pStyle w:val="a"/>
        <w:rPr>
          <w:rFonts w:eastAsiaTheme="minorEastAsia" w:cstheme="minorBidi"/>
          <w:sz w:val="22"/>
          <w:szCs w:val="22"/>
          <w:rtl/>
        </w:rPr>
      </w:pPr>
      <w:r>
        <w:rPr>
          <w:rtl/>
        </w:rPr>
        <w:t>קושית התוס' והרשב"א דלר"מ איסור גיד לא חל משעת יצירה אלא בבן ט' דהא חדשים גרמי</w:t>
      </w:r>
    </w:p>
    <w:p w14:paraId="27E256AE" w14:textId="77777777" w:rsidR="003D504D" w:rsidRDefault="003D504D" w:rsidP="005077A7">
      <w:pPr>
        <w:pStyle w:val="a"/>
        <w:rPr>
          <w:rFonts w:eastAsiaTheme="minorEastAsia" w:cstheme="minorBidi"/>
          <w:sz w:val="22"/>
          <w:szCs w:val="22"/>
          <w:rtl/>
        </w:rPr>
      </w:pPr>
      <w:r>
        <w:rPr>
          <w:rtl/>
        </w:rPr>
        <w:t>תירוץ התוס' דלר"מ חל איסור גיד משעת יצירה אלא דבבן ח' דיש לו היתר בשחיטה אף גידו מותר</w:t>
      </w:r>
    </w:p>
    <w:p w14:paraId="312415EC" w14:textId="77777777" w:rsidR="003D504D" w:rsidRDefault="003D504D" w:rsidP="005077A7">
      <w:pPr>
        <w:pStyle w:val="a"/>
        <w:rPr>
          <w:rFonts w:eastAsiaTheme="minorEastAsia" w:cstheme="minorBidi"/>
          <w:sz w:val="22"/>
          <w:szCs w:val="22"/>
          <w:rtl/>
        </w:rPr>
      </w:pPr>
      <w:r>
        <w:rPr>
          <w:rtl/>
        </w:rPr>
        <w:t>קושית הגרעק"א על תוס' דאף לר"י בבן ט' כל שלא נשחטה לא חל איסור גיד</w:t>
      </w:r>
    </w:p>
    <w:p w14:paraId="5069C7DD" w14:textId="77777777" w:rsidR="003D504D" w:rsidRDefault="003D504D" w:rsidP="003D504D">
      <w:pPr>
        <w:pStyle w:val="aff4"/>
        <w:rPr>
          <w:rFonts w:eastAsiaTheme="minorEastAsia" w:cstheme="minorBidi"/>
          <w:i/>
          <w:iCs/>
          <w:noProof/>
          <w:sz w:val="22"/>
          <w:szCs w:val="22"/>
          <w:rtl/>
        </w:rPr>
      </w:pPr>
      <w:bookmarkStart w:id="22156" w:name="_Toc19436272"/>
      <w:bookmarkStart w:id="22157" w:name="_Toc20081422"/>
      <w:r>
        <w:rPr>
          <w:noProof/>
          <w:rtl/>
        </w:rPr>
        <w:t>תירוץ הראשונים דהגמ' בדין גיד פליגא על רב הושעיא</w:t>
      </w:r>
      <w:bookmarkEnd w:id="22156"/>
      <w:bookmarkEnd w:id="22157"/>
    </w:p>
    <w:p w14:paraId="05254DEB" w14:textId="77777777" w:rsidR="003D504D" w:rsidRDefault="003D504D" w:rsidP="005077A7">
      <w:pPr>
        <w:pStyle w:val="a"/>
        <w:rPr>
          <w:rFonts w:eastAsiaTheme="minorEastAsia" w:cstheme="minorBidi"/>
          <w:sz w:val="22"/>
          <w:szCs w:val="22"/>
          <w:rtl/>
        </w:rPr>
      </w:pPr>
      <w:r>
        <w:rPr>
          <w:rtl/>
        </w:rPr>
        <w:t>דעת הבהע"מ והרשב"א והריטב"א דהגמ' בדין גיד פליגא על רב הושעיא ואינה להלכה</w:t>
      </w:r>
    </w:p>
    <w:p w14:paraId="032AE1AE" w14:textId="77777777" w:rsidR="003D504D" w:rsidRDefault="003D504D" w:rsidP="003D504D">
      <w:pPr>
        <w:pStyle w:val="aff4"/>
        <w:rPr>
          <w:rFonts w:eastAsiaTheme="minorEastAsia" w:cstheme="minorBidi"/>
          <w:i/>
          <w:iCs/>
          <w:noProof/>
          <w:sz w:val="22"/>
          <w:szCs w:val="22"/>
          <w:rtl/>
        </w:rPr>
      </w:pPr>
      <w:bookmarkStart w:id="22158" w:name="_Toc19436273"/>
      <w:bookmarkStart w:id="22159" w:name="_Toc20081423"/>
      <w:r>
        <w:rPr>
          <w:noProof/>
          <w:rtl/>
        </w:rPr>
        <w:t>ביאור הראש יוסף דנחלקו הראשונים בגדר היתר גיד בבן ח'</w:t>
      </w:r>
      <w:bookmarkEnd w:id="22158"/>
      <w:bookmarkEnd w:id="22159"/>
    </w:p>
    <w:p w14:paraId="1F207142" w14:textId="77777777" w:rsidR="003D504D" w:rsidRDefault="003D504D" w:rsidP="005077A7">
      <w:pPr>
        <w:pStyle w:val="a"/>
        <w:rPr>
          <w:rFonts w:eastAsiaTheme="minorEastAsia" w:cstheme="minorBidi"/>
          <w:sz w:val="22"/>
          <w:szCs w:val="22"/>
          <w:rtl/>
        </w:rPr>
      </w:pPr>
      <w:r>
        <w:rPr>
          <w:rtl/>
        </w:rPr>
        <w:t>ביאור הראש יוסף בתוס' דבבן ח' אף שחל איסור גיד השחיטה מתירתו מדין "כל בבהמה תאכלו"</w:t>
      </w:r>
    </w:p>
    <w:p w14:paraId="3AA5A86D" w14:textId="77777777" w:rsidR="003D504D" w:rsidRDefault="003D504D" w:rsidP="005077A7">
      <w:pPr>
        <w:pStyle w:val="a"/>
        <w:rPr>
          <w:rFonts w:eastAsiaTheme="minorEastAsia" w:cstheme="minorBidi"/>
          <w:sz w:val="22"/>
          <w:szCs w:val="22"/>
          <w:rtl/>
        </w:rPr>
      </w:pPr>
      <w:r>
        <w:rPr>
          <w:rtl/>
        </w:rPr>
        <w:t>דברי הראש יוסף ברשב"א ובריטב"א השחיטה אינה מתירה איסור גיד ובבן ח' לא חל איסור גיד</w:t>
      </w:r>
    </w:p>
    <w:p w14:paraId="003B37F7" w14:textId="77777777" w:rsidR="003D504D" w:rsidRDefault="003D504D" w:rsidP="003D504D">
      <w:pPr>
        <w:pStyle w:val="aff4"/>
        <w:rPr>
          <w:rFonts w:eastAsiaTheme="minorEastAsia" w:cstheme="minorBidi"/>
          <w:i/>
          <w:iCs/>
          <w:noProof/>
          <w:sz w:val="22"/>
          <w:szCs w:val="22"/>
          <w:rtl/>
        </w:rPr>
      </w:pPr>
      <w:bookmarkStart w:id="22160" w:name="_Toc19436274"/>
      <w:bookmarkStart w:id="22161" w:name="_Toc20081424"/>
      <w:r>
        <w:rPr>
          <w:noProof/>
          <w:rtl/>
        </w:rPr>
        <w:t>דעת התוס' דאיסור גיד חל בשעת יצירה ולא דמי לחלב</w:t>
      </w:r>
      <w:bookmarkEnd w:id="22160"/>
      <w:bookmarkEnd w:id="22161"/>
    </w:p>
    <w:p w14:paraId="7ADEB473" w14:textId="77777777" w:rsidR="003D504D" w:rsidRDefault="003D504D" w:rsidP="005077A7">
      <w:pPr>
        <w:pStyle w:val="a"/>
        <w:rPr>
          <w:rFonts w:eastAsiaTheme="minorEastAsia" w:cstheme="minorBidi"/>
          <w:sz w:val="22"/>
          <w:szCs w:val="22"/>
          <w:rtl/>
        </w:rPr>
      </w:pPr>
      <w:r>
        <w:rPr>
          <w:rtl/>
        </w:rPr>
        <w:t xml:space="preserve">קושית התוס' דמדברי ריו"ח ור"ל מוכח דבבן </w:t>
      </w:r>
      <w:r>
        <w:rPr>
          <w:rFonts w:hint="cs"/>
          <w:rtl/>
        </w:rPr>
        <w:t xml:space="preserve">ח' </w:t>
      </w:r>
      <w:r>
        <w:rPr>
          <w:rtl/>
        </w:rPr>
        <w:t>לכו"ע אין איסור חלב וא"כ ה"ה דאין איסור גיד</w:t>
      </w:r>
    </w:p>
    <w:p w14:paraId="4CBDA90C" w14:textId="77777777" w:rsidR="003D504D" w:rsidRDefault="003D504D" w:rsidP="005077A7">
      <w:pPr>
        <w:pStyle w:val="a"/>
      </w:pPr>
      <w:r>
        <w:rPr>
          <w:rtl/>
        </w:rPr>
        <w:t>תירוץ התוס' דחלב דבן ח' אינו נקרא שור ולכן חלבו מותר אבל איסור גיד הוא מ</w:t>
      </w:r>
      <w:r w:rsidRPr="00144838">
        <w:rPr>
          <w:rtl/>
        </w:rPr>
        <w:t>שעת יצירה</w:t>
      </w:r>
    </w:p>
    <w:p w14:paraId="230B1098" w14:textId="77777777" w:rsidR="003D504D" w:rsidRPr="00144838" w:rsidRDefault="003D504D" w:rsidP="005077A7">
      <w:pPr>
        <w:pStyle w:val="a"/>
        <w:rPr>
          <w:rtl/>
        </w:rPr>
      </w:pPr>
      <w:r w:rsidRPr="00144838">
        <w:rPr>
          <w:rtl/>
        </w:rPr>
        <w:t>דעת רב האי גאון והראב"ן דחלב מותר דכתיב שור וגיד אסור דכתיב כף הירך בסתמא</w:t>
      </w:r>
    </w:p>
    <w:p w14:paraId="7A886BE2" w14:textId="77777777" w:rsidR="003D504D" w:rsidRDefault="003D504D" w:rsidP="003D504D">
      <w:pPr>
        <w:pStyle w:val="2"/>
        <w:rPr>
          <w:rFonts w:eastAsiaTheme="minorEastAsia" w:cstheme="minorBidi"/>
          <w:i/>
          <w:iCs/>
          <w:noProof/>
          <w:sz w:val="22"/>
          <w:szCs w:val="22"/>
          <w:rtl/>
        </w:rPr>
      </w:pPr>
      <w:bookmarkStart w:id="22162" w:name="_Toc19436275"/>
      <w:r>
        <w:rPr>
          <w:noProof/>
          <w:rtl/>
        </w:rPr>
        <w:t>אי אמר רב הושעיא דהלכו לשיטתם בגיד</w:t>
      </w:r>
      <w:bookmarkEnd w:id="22162"/>
    </w:p>
    <w:p w14:paraId="5E9FC70B" w14:textId="77777777" w:rsidR="003D504D" w:rsidRDefault="003D504D" w:rsidP="003D504D">
      <w:pPr>
        <w:pStyle w:val="aff4"/>
        <w:rPr>
          <w:rFonts w:eastAsiaTheme="minorEastAsia" w:cstheme="minorBidi"/>
          <w:i/>
          <w:iCs/>
          <w:noProof/>
          <w:sz w:val="22"/>
          <w:szCs w:val="22"/>
          <w:rtl/>
        </w:rPr>
      </w:pPr>
      <w:bookmarkStart w:id="22163" w:name="_Toc19436276"/>
      <w:bookmarkStart w:id="22164" w:name="_Toc20081425"/>
      <w:r>
        <w:rPr>
          <w:noProof/>
          <w:rtl/>
        </w:rPr>
        <w:t>דברי הרשב"א ברש"י דלרב הושעיא אף בגיד הלכו לשיטתם</w:t>
      </w:r>
      <w:bookmarkEnd w:id="22163"/>
      <w:bookmarkEnd w:id="22164"/>
    </w:p>
    <w:p w14:paraId="32A3DA45" w14:textId="77777777" w:rsidR="003D504D" w:rsidRDefault="003D504D" w:rsidP="005077A7">
      <w:pPr>
        <w:pStyle w:val="a"/>
        <w:rPr>
          <w:rFonts w:eastAsiaTheme="minorEastAsia" w:cstheme="minorBidi"/>
          <w:sz w:val="22"/>
          <w:szCs w:val="22"/>
          <w:rtl/>
        </w:rPr>
      </w:pPr>
      <w:r>
        <w:rPr>
          <w:rtl/>
        </w:rPr>
        <w:t>ביאור הרשב"א ברש"י דר"מ ור"י הלכו לשיטתם בבן ט' חי בשחיטה ובחלב וגיד</w:t>
      </w:r>
    </w:p>
    <w:p w14:paraId="52F96AC6" w14:textId="77777777" w:rsidR="003D504D" w:rsidRDefault="003D504D" w:rsidP="003D504D">
      <w:pPr>
        <w:pStyle w:val="aff4"/>
        <w:rPr>
          <w:rFonts w:eastAsiaTheme="minorEastAsia" w:cstheme="minorBidi"/>
          <w:i/>
          <w:iCs/>
          <w:noProof/>
          <w:sz w:val="22"/>
          <w:szCs w:val="22"/>
          <w:rtl/>
        </w:rPr>
      </w:pPr>
      <w:bookmarkStart w:id="22165" w:name="_Toc19436277"/>
      <w:bookmarkStart w:id="22166" w:name="_Toc20081426"/>
      <w:r>
        <w:rPr>
          <w:noProof/>
          <w:rtl/>
        </w:rPr>
        <w:t>דברי הרשב"א בשם תוס' דבגיד לא הלכו לשיטתם</w:t>
      </w:r>
      <w:bookmarkEnd w:id="22165"/>
      <w:bookmarkEnd w:id="22166"/>
    </w:p>
    <w:p w14:paraId="45820260" w14:textId="77777777" w:rsidR="003D504D" w:rsidRDefault="003D504D" w:rsidP="005077A7">
      <w:pPr>
        <w:pStyle w:val="a"/>
        <w:rPr>
          <w:rFonts w:eastAsiaTheme="minorEastAsia" w:cstheme="minorBidi"/>
          <w:sz w:val="22"/>
          <w:szCs w:val="22"/>
          <w:rtl/>
        </w:rPr>
      </w:pPr>
      <w:r>
        <w:rPr>
          <w:rtl/>
        </w:rPr>
        <w:t>דברי הרשב"א בשם תוס' דלרב הושעיא הלכו לשיטתם בשחיטה ובחלב דלר"מ חשיב בהמה</w:t>
      </w:r>
    </w:p>
    <w:p w14:paraId="27A1EB8D" w14:textId="77777777" w:rsidR="003D504D" w:rsidRDefault="003D504D" w:rsidP="005077A7">
      <w:pPr>
        <w:pStyle w:val="a"/>
        <w:rPr>
          <w:rFonts w:eastAsiaTheme="minorEastAsia" w:cstheme="minorBidi"/>
          <w:sz w:val="22"/>
          <w:szCs w:val="22"/>
          <w:rtl/>
        </w:rPr>
      </w:pPr>
      <w:r>
        <w:rPr>
          <w:rtl/>
        </w:rPr>
        <w:t>ביאור הרשב"א בשם תוס' דלר"י אינו נחשב בהמה לענין שחיטה וחלב דלא נקרא שור</w:t>
      </w:r>
    </w:p>
    <w:p w14:paraId="09D64F6D" w14:textId="77777777" w:rsidR="003D504D" w:rsidRDefault="003D504D" w:rsidP="005077A7">
      <w:pPr>
        <w:pStyle w:val="a"/>
        <w:rPr>
          <w:rFonts w:eastAsiaTheme="minorEastAsia" w:cstheme="minorBidi"/>
          <w:sz w:val="22"/>
          <w:szCs w:val="22"/>
          <w:rtl/>
        </w:rPr>
      </w:pPr>
      <w:r>
        <w:rPr>
          <w:rtl/>
        </w:rPr>
        <w:t>ביאור הרשב"א בשם תוס' דהמחלוקת בגיד לא שייכא כלל למחלוקת בשחיטה וחלב</w:t>
      </w:r>
    </w:p>
    <w:p w14:paraId="7DB1BBD8" w14:textId="77777777" w:rsidR="003D504D" w:rsidRDefault="003D504D" w:rsidP="005077A7">
      <w:pPr>
        <w:pStyle w:val="a"/>
        <w:rPr>
          <w:rFonts w:eastAsiaTheme="minorEastAsia" w:cstheme="minorBidi"/>
          <w:sz w:val="22"/>
          <w:szCs w:val="22"/>
          <w:rtl/>
        </w:rPr>
      </w:pPr>
      <w:r>
        <w:rPr>
          <w:rtl/>
        </w:rPr>
        <w:t>דברי הר"ן דר"י ור"מ הלכו לשיטתם בשחיטה ובחלב וגיד ונחלקו אי בן ט' חי הוה בהמה בפנ"ע</w:t>
      </w:r>
    </w:p>
    <w:p w14:paraId="268056F7" w14:textId="77777777" w:rsidR="003D504D" w:rsidRDefault="003D504D" w:rsidP="003D504D">
      <w:pPr>
        <w:pStyle w:val="aff4"/>
        <w:rPr>
          <w:rFonts w:eastAsiaTheme="minorEastAsia" w:cstheme="minorBidi"/>
          <w:i/>
          <w:iCs/>
          <w:noProof/>
          <w:sz w:val="22"/>
          <w:szCs w:val="22"/>
          <w:rtl/>
        </w:rPr>
      </w:pPr>
      <w:bookmarkStart w:id="22167" w:name="_Toc19436278"/>
      <w:bookmarkStart w:id="22168" w:name="_Toc20081427"/>
      <w:r>
        <w:rPr>
          <w:noProof/>
          <w:rtl/>
        </w:rPr>
        <w:t>קושיות הראש יוסף והגרעק"א על דברי הרשב"א בשם תוס'</w:t>
      </w:r>
      <w:bookmarkEnd w:id="22167"/>
      <w:bookmarkEnd w:id="22168"/>
    </w:p>
    <w:p w14:paraId="24950132" w14:textId="77777777" w:rsidR="003D504D" w:rsidRDefault="003D504D" w:rsidP="005077A7">
      <w:pPr>
        <w:pStyle w:val="a"/>
        <w:rPr>
          <w:rFonts w:eastAsiaTheme="minorEastAsia" w:cstheme="minorBidi"/>
          <w:sz w:val="22"/>
          <w:szCs w:val="22"/>
          <w:rtl/>
        </w:rPr>
      </w:pPr>
      <w:r>
        <w:rPr>
          <w:rtl/>
        </w:rPr>
        <w:t>ביאור הראש יוסף ברשב"א בשם תוס' דהיתר חלב אינו מגזיה"כ אלא אין לו דין</w:t>
      </w:r>
      <w:r>
        <w:rPr>
          <w:rFonts w:hint="cs"/>
          <w:rtl/>
        </w:rPr>
        <w:t xml:space="preserve"> </w:t>
      </w:r>
      <w:r>
        <w:rPr>
          <w:rtl/>
        </w:rPr>
        <w:t>חלב</w:t>
      </w:r>
    </w:p>
    <w:p w14:paraId="035BAF3D" w14:textId="77777777" w:rsidR="003D504D" w:rsidRDefault="003D504D" w:rsidP="005077A7">
      <w:pPr>
        <w:pStyle w:val="a"/>
        <w:rPr>
          <w:rFonts w:eastAsiaTheme="minorEastAsia" w:cstheme="minorBidi"/>
          <w:sz w:val="22"/>
          <w:szCs w:val="22"/>
        </w:rPr>
      </w:pPr>
      <w:r>
        <w:rPr>
          <w:rtl/>
        </w:rPr>
        <w:t>קושית הראש יוסף דבתוס' לקמן כתבו להדיא דאף בגיד הלכו לשיטתם ודלא כהרשב"א בשם התוס'</w:t>
      </w:r>
    </w:p>
    <w:p w14:paraId="6F5E62FE" w14:textId="77777777" w:rsidR="003D504D" w:rsidRDefault="003D504D" w:rsidP="005077A7">
      <w:pPr>
        <w:pStyle w:val="a"/>
        <w:rPr>
          <w:rFonts w:eastAsiaTheme="minorEastAsia" w:cstheme="minorBidi"/>
          <w:sz w:val="22"/>
          <w:szCs w:val="22"/>
          <w:rtl/>
        </w:rPr>
      </w:pPr>
      <w:r>
        <w:rPr>
          <w:rtl/>
        </w:rPr>
        <w:t>קושית הגרעק"א דבגמ' לקמן מוכח דא"א לומר דבן ח' לר"מ ובן ט' לר"י אינם בהמה לענין חלב</w:t>
      </w:r>
    </w:p>
    <w:p w14:paraId="13088E15" w14:textId="77777777" w:rsidR="003D504D" w:rsidRDefault="003D504D" w:rsidP="003D504D">
      <w:pPr>
        <w:pStyle w:val="aff4"/>
        <w:rPr>
          <w:rFonts w:eastAsiaTheme="minorEastAsia" w:cstheme="minorBidi"/>
          <w:i/>
          <w:iCs/>
          <w:noProof/>
          <w:sz w:val="22"/>
          <w:szCs w:val="22"/>
          <w:rtl/>
        </w:rPr>
      </w:pPr>
      <w:bookmarkStart w:id="22169" w:name="_Toc19436279"/>
      <w:bookmarkStart w:id="22170" w:name="_Toc20081428"/>
      <w:r>
        <w:rPr>
          <w:noProof/>
          <w:rtl/>
        </w:rPr>
        <w:t>דברי התוס' הרשב"א והתוס' הרא"ש בדין גידו לר"י ולריו"ח</w:t>
      </w:r>
      <w:bookmarkEnd w:id="22169"/>
      <w:bookmarkEnd w:id="22170"/>
    </w:p>
    <w:p w14:paraId="4A3F6D02" w14:textId="77777777" w:rsidR="003D504D" w:rsidRDefault="003D504D" w:rsidP="005077A7">
      <w:pPr>
        <w:pStyle w:val="a"/>
        <w:rPr>
          <w:rFonts w:eastAsiaTheme="minorEastAsia" w:cstheme="minorBidi"/>
          <w:sz w:val="22"/>
          <w:szCs w:val="22"/>
          <w:rtl/>
        </w:rPr>
      </w:pPr>
      <w:r>
        <w:rPr>
          <w:rtl/>
        </w:rPr>
        <w:t>קושית התוס' דר"י מודה דבלא נשחטה האם גידו אסור כדמוכח מדברי ריו"ח</w:t>
      </w:r>
    </w:p>
    <w:p w14:paraId="7E45B419" w14:textId="77777777" w:rsidR="003D504D" w:rsidRDefault="003D504D" w:rsidP="005077A7">
      <w:pPr>
        <w:pStyle w:val="a"/>
        <w:rPr>
          <w:rFonts w:eastAsiaTheme="minorEastAsia" w:cstheme="minorBidi"/>
          <w:sz w:val="22"/>
          <w:szCs w:val="22"/>
          <w:rtl/>
        </w:rPr>
      </w:pPr>
      <w:r>
        <w:rPr>
          <w:rtl/>
        </w:rPr>
        <w:t>תירוץ התוס' הרא"ש דאף לריו"ח איסור חלב הוא רק ביצא לאויר העולם ולא במעי אמו</w:t>
      </w:r>
    </w:p>
    <w:p w14:paraId="531B2322" w14:textId="77777777" w:rsidR="003D504D" w:rsidRDefault="003D504D" w:rsidP="005077A7">
      <w:pPr>
        <w:pStyle w:val="a"/>
        <w:rPr>
          <w:rFonts w:eastAsiaTheme="minorEastAsia" w:cstheme="minorBidi"/>
          <w:sz w:val="22"/>
          <w:szCs w:val="22"/>
          <w:rtl/>
        </w:rPr>
      </w:pPr>
      <w:r>
        <w:rPr>
          <w:rtl/>
        </w:rPr>
        <w:t>תירוץ חי' רמ"ש דבגיד שחל איסור אין כח בשחיטה להתירו ובחלב לא חל איסור דלא יצא לאויר</w:t>
      </w:r>
    </w:p>
    <w:p w14:paraId="531FB986" w14:textId="77777777" w:rsidR="003D504D" w:rsidRDefault="003D504D" w:rsidP="005077A7">
      <w:pPr>
        <w:pStyle w:val="a"/>
        <w:rPr>
          <w:rFonts w:eastAsiaTheme="minorEastAsia" w:cstheme="minorBidi"/>
          <w:sz w:val="22"/>
          <w:szCs w:val="22"/>
          <w:rtl/>
        </w:rPr>
      </w:pPr>
      <w:r>
        <w:rPr>
          <w:rtl/>
        </w:rPr>
        <w:t>דברי הרשב"א דלתיר</w:t>
      </w:r>
      <w:r>
        <w:rPr>
          <w:rFonts w:hint="cs"/>
          <w:rtl/>
        </w:rPr>
        <w:t>ו</w:t>
      </w:r>
      <w:r>
        <w:rPr>
          <w:rtl/>
        </w:rPr>
        <w:t>צו דהגמ' בדין גיד לא קיימא להלכה מיושב</w:t>
      </w:r>
    </w:p>
    <w:p w14:paraId="031D3249" w14:textId="77777777" w:rsidR="003D504D" w:rsidRDefault="003D504D" w:rsidP="005077A7">
      <w:pPr>
        <w:pStyle w:val="a"/>
        <w:rPr>
          <w:rFonts w:eastAsiaTheme="minorEastAsia" w:cstheme="minorBidi"/>
          <w:sz w:val="22"/>
          <w:szCs w:val="22"/>
          <w:rtl/>
        </w:rPr>
      </w:pPr>
      <w:r>
        <w:rPr>
          <w:rtl/>
        </w:rPr>
        <w:t>תירוץ הרשב"א לפי דבריו בשם תוס' דאיסור גיד לא חל משעת יצירה דהא יש לו היתר בשחיטה</w:t>
      </w:r>
    </w:p>
    <w:p w14:paraId="121EBD84" w14:textId="77777777" w:rsidR="003D504D" w:rsidRDefault="003D504D" w:rsidP="005077A7">
      <w:pPr>
        <w:pStyle w:val="a"/>
        <w:rPr>
          <w:rFonts w:eastAsiaTheme="minorEastAsia" w:cstheme="minorBidi"/>
          <w:sz w:val="22"/>
          <w:szCs w:val="22"/>
          <w:rtl/>
        </w:rPr>
      </w:pPr>
      <w:r>
        <w:rPr>
          <w:rtl/>
        </w:rPr>
        <w:t>הוכחת הרשב"א מדברי ריו"ח דאיסור חלב רק כשיצא לאויר דהוא תלוי ועומד שמא תשחט האם</w:t>
      </w:r>
    </w:p>
    <w:p w14:paraId="40591DC3" w14:textId="77777777" w:rsidR="003D504D" w:rsidRDefault="003D504D" w:rsidP="005077A7">
      <w:pPr>
        <w:pStyle w:val="a"/>
        <w:rPr>
          <w:rFonts w:eastAsiaTheme="minorEastAsia" w:cstheme="minorBidi"/>
          <w:sz w:val="22"/>
          <w:szCs w:val="22"/>
          <w:rtl/>
        </w:rPr>
      </w:pPr>
      <w:r>
        <w:rPr>
          <w:rtl/>
        </w:rPr>
        <w:t>ביאור הרשב"א בקושית הגמ' לקמן דאף בלא נשחטה האם אין איסור בגיד שמא יותר בשחיטה</w:t>
      </w:r>
    </w:p>
    <w:p w14:paraId="35D7A426" w14:textId="77777777" w:rsidR="003D504D" w:rsidRDefault="003D504D" w:rsidP="005077A7">
      <w:pPr>
        <w:pStyle w:val="a"/>
        <w:rPr>
          <w:rFonts w:eastAsiaTheme="minorEastAsia" w:cstheme="minorBidi"/>
          <w:sz w:val="22"/>
          <w:szCs w:val="22"/>
          <w:rtl/>
        </w:rPr>
      </w:pPr>
      <w:r>
        <w:rPr>
          <w:rtl/>
        </w:rPr>
        <w:t>קושית הראש יוסף על הרשב"א דלר"מ איסור גיד וקדשים חל יחד בבן ח' שמותר בשחיטת אמו</w:t>
      </w:r>
    </w:p>
    <w:p w14:paraId="2CC10545" w14:textId="77777777" w:rsidR="003D504D" w:rsidRDefault="003D504D" w:rsidP="003D504D">
      <w:pPr>
        <w:pStyle w:val="aff4"/>
        <w:rPr>
          <w:rFonts w:eastAsiaTheme="minorEastAsia" w:cstheme="minorBidi"/>
          <w:i/>
          <w:iCs/>
          <w:noProof/>
          <w:sz w:val="22"/>
          <w:szCs w:val="22"/>
          <w:rtl/>
        </w:rPr>
      </w:pPr>
      <w:bookmarkStart w:id="22171" w:name="_Toc19436280"/>
      <w:bookmarkStart w:id="22172" w:name="_Toc20081429"/>
      <w:r>
        <w:rPr>
          <w:noProof/>
          <w:rtl/>
        </w:rPr>
        <w:t>ביאור הרשב"א בדעת הרי"ף דהגיד אינו מותר בשחיטת האם</w:t>
      </w:r>
      <w:bookmarkEnd w:id="22171"/>
      <w:bookmarkEnd w:id="22172"/>
    </w:p>
    <w:p w14:paraId="03F3FC24" w14:textId="77777777" w:rsidR="003D504D" w:rsidRDefault="003D504D" w:rsidP="005077A7">
      <w:pPr>
        <w:pStyle w:val="a"/>
        <w:rPr>
          <w:rFonts w:eastAsiaTheme="minorEastAsia" w:cstheme="minorBidi"/>
          <w:sz w:val="22"/>
          <w:szCs w:val="22"/>
          <w:rtl/>
        </w:rPr>
      </w:pPr>
      <w:r>
        <w:rPr>
          <w:rtl/>
        </w:rPr>
        <w:t>דברי הרשב"א דדעת הרי"ף דדין גידו לא שייך לפלוגתת ר"י ור"מ בשחיטה ובחלב וגידו אסור</w:t>
      </w:r>
    </w:p>
    <w:p w14:paraId="421C9CE9" w14:textId="77777777" w:rsidR="003D504D" w:rsidRDefault="003D504D" w:rsidP="005077A7">
      <w:pPr>
        <w:pStyle w:val="a"/>
        <w:rPr>
          <w:rFonts w:eastAsiaTheme="minorEastAsia" w:cstheme="minorBidi"/>
          <w:sz w:val="22"/>
          <w:szCs w:val="22"/>
          <w:rtl/>
        </w:rPr>
      </w:pPr>
      <w:r>
        <w:rPr>
          <w:rtl/>
        </w:rPr>
        <w:t>הביאור הא' בראש יוסף ברי"ף דאין איסור חלב בלא אויר ויש איסור גיד ולכן הגיד אסור</w:t>
      </w:r>
    </w:p>
    <w:p w14:paraId="5EBC7A73" w14:textId="77777777" w:rsidR="003D504D" w:rsidRDefault="003D504D" w:rsidP="005077A7">
      <w:pPr>
        <w:pStyle w:val="a"/>
        <w:rPr>
          <w:rFonts w:eastAsiaTheme="minorEastAsia" w:cstheme="minorBidi"/>
          <w:sz w:val="22"/>
          <w:szCs w:val="22"/>
          <w:rtl/>
        </w:rPr>
      </w:pPr>
      <w:r>
        <w:rPr>
          <w:rtl/>
        </w:rPr>
        <w:t>הביאור הב' בראש יוסף ברי"ף דלריו"ח סתמא דמתני' דאסור בחלב ובגיד ולר"ל הסתמא רק בגיד</w:t>
      </w:r>
    </w:p>
    <w:p w14:paraId="7FB26584" w14:textId="77777777" w:rsidR="003D504D" w:rsidRDefault="003D504D" w:rsidP="003D504D">
      <w:pPr>
        <w:pStyle w:val="aff4"/>
        <w:rPr>
          <w:rFonts w:eastAsiaTheme="minorEastAsia" w:cstheme="minorBidi"/>
          <w:i/>
          <w:iCs/>
          <w:noProof/>
          <w:sz w:val="22"/>
          <w:szCs w:val="22"/>
          <w:rtl/>
        </w:rPr>
      </w:pPr>
      <w:bookmarkStart w:id="22173" w:name="_Toc19436281"/>
      <w:bookmarkStart w:id="22174" w:name="_Toc20081430"/>
      <w:r>
        <w:rPr>
          <w:noProof/>
          <w:rtl/>
        </w:rPr>
        <w:t>דברי העיטור דאיסור הגיד מתברר למפרע כשנעשה בן קיימא</w:t>
      </w:r>
      <w:bookmarkEnd w:id="22173"/>
      <w:bookmarkEnd w:id="22174"/>
    </w:p>
    <w:p w14:paraId="79ED6DB0" w14:textId="77777777" w:rsidR="003D504D" w:rsidRDefault="003D504D" w:rsidP="005077A7">
      <w:pPr>
        <w:pStyle w:val="a"/>
        <w:rPr>
          <w:rFonts w:eastAsiaTheme="minorEastAsia" w:cstheme="minorBidi"/>
          <w:sz w:val="22"/>
          <w:szCs w:val="22"/>
          <w:rtl/>
        </w:rPr>
      </w:pPr>
      <w:r>
        <w:rPr>
          <w:rtl/>
        </w:rPr>
        <w:t>דברי העיטור בשם י"א דר"מ אוסר בגיד אף בבן ח' חי  ובן ט' מת דהא איסור הגיד משעת יצירה</w:t>
      </w:r>
    </w:p>
    <w:p w14:paraId="2495F924" w14:textId="77777777" w:rsidR="003D504D" w:rsidRDefault="003D504D" w:rsidP="005077A7">
      <w:pPr>
        <w:pStyle w:val="a"/>
        <w:rPr>
          <w:rFonts w:eastAsiaTheme="minorEastAsia" w:cstheme="minorBidi"/>
          <w:sz w:val="22"/>
          <w:szCs w:val="22"/>
          <w:rtl/>
        </w:rPr>
      </w:pPr>
      <w:r>
        <w:rPr>
          <w:rtl/>
        </w:rPr>
        <w:t>דחיית העיטור דבבן ט' הוברר למפרע שנאסר הגיד משעת יצירה אבל בבן ח' אין איסור גיד</w:t>
      </w:r>
    </w:p>
    <w:p w14:paraId="2883ABD4" w14:textId="77777777" w:rsidR="003D504D" w:rsidRDefault="003D504D" w:rsidP="003D504D">
      <w:pPr>
        <w:pStyle w:val="2"/>
        <w:rPr>
          <w:rFonts w:eastAsiaTheme="minorEastAsia" w:cstheme="minorBidi"/>
          <w:i/>
          <w:iCs/>
          <w:noProof/>
          <w:sz w:val="22"/>
          <w:szCs w:val="22"/>
          <w:rtl/>
        </w:rPr>
      </w:pPr>
      <w:bookmarkStart w:id="22175" w:name="_Toc19436282"/>
      <w:r>
        <w:rPr>
          <w:noProof/>
          <w:rtl/>
        </w:rPr>
        <w:t>דעת ריו"ח ור"ל בפלוגתת ר"מ ור"י</w:t>
      </w:r>
      <w:bookmarkEnd w:id="22175"/>
    </w:p>
    <w:p w14:paraId="5E639E02" w14:textId="77777777" w:rsidR="003D504D" w:rsidRDefault="003D504D" w:rsidP="003D504D">
      <w:pPr>
        <w:pStyle w:val="aff4"/>
        <w:rPr>
          <w:rFonts w:eastAsiaTheme="minorEastAsia" w:cstheme="minorBidi"/>
          <w:i/>
          <w:iCs/>
          <w:noProof/>
          <w:sz w:val="22"/>
          <w:szCs w:val="22"/>
          <w:rtl/>
        </w:rPr>
      </w:pPr>
      <w:bookmarkStart w:id="22176" w:name="_Toc19436283"/>
      <w:bookmarkStart w:id="22177" w:name="_Toc20081431"/>
      <w:r>
        <w:rPr>
          <w:noProof/>
          <w:rtl/>
        </w:rPr>
        <w:t>דברי רש"י ותוס' דריו"ח אסר אף לדעת ר"י דהתיר אחר שחיטה</w:t>
      </w:r>
      <w:bookmarkEnd w:id="22176"/>
      <w:bookmarkEnd w:id="22177"/>
    </w:p>
    <w:p w14:paraId="2EB1A332" w14:textId="77777777" w:rsidR="003D504D" w:rsidRDefault="003D504D" w:rsidP="005077A7">
      <w:pPr>
        <w:pStyle w:val="a"/>
        <w:rPr>
          <w:rFonts w:eastAsiaTheme="minorEastAsia" w:cstheme="minorBidi"/>
          <w:sz w:val="22"/>
          <w:szCs w:val="22"/>
          <w:rtl/>
        </w:rPr>
      </w:pPr>
      <w:r>
        <w:rPr>
          <w:rtl/>
        </w:rPr>
        <w:t>דברי רש"י דריו"ח אסר בחלב דנפל אף לר"י דהא דהתיר בבן פקועה הוא כיון שלא יצא לאויר</w:t>
      </w:r>
    </w:p>
    <w:p w14:paraId="6FCE814A" w14:textId="77777777" w:rsidR="003D504D" w:rsidRDefault="003D504D" w:rsidP="005077A7">
      <w:pPr>
        <w:pStyle w:val="a"/>
        <w:rPr>
          <w:rFonts w:eastAsiaTheme="minorEastAsia" w:cstheme="minorBidi"/>
          <w:sz w:val="22"/>
          <w:szCs w:val="22"/>
          <w:rtl/>
        </w:rPr>
      </w:pPr>
      <w:r>
        <w:rPr>
          <w:rtl/>
        </w:rPr>
        <w:t>דברי רש"י דריו"ח אסר בתלש חלב מעובר ואם נשחטה האם החלב מותר לר"י מדין כל בבהמה</w:t>
      </w:r>
    </w:p>
    <w:p w14:paraId="6042E2B3" w14:textId="77777777" w:rsidR="003D504D" w:rsidRDefault="003D504D" w:rsidP="005077A7">
      <w:pPr>
        <w:pStyle w:val="a"/>
        <w:rPr>
          <w:rFonts w:eastAsiaTheme="minorEastAsia" w:cstheme="minorBidi"/>
          <w:sz w:val="22"/>
          <w:szCs w:val="22"/>
          <w:rtl/>
        </w:rPr>
      </w:pPr>
      <w:r>
        <w:rPr>
          <w:rtl/>
        </w:rPr>
        <w:t>דברי התוס' דריו"ח אסר רק כשהוציא את החלב לחוץ ור"י התיר בנשחטה האם</w:t>
      </w:r>
    </w:p>
    <w:p w14:paraId="00FFDFBF" w14:textId="77777777" w:rsidR="003D504D" w:rsidRDefault="003D504D" w:rsidP="003D504D">
      <w:pPr>
        <w:pStyle w:val="aff4"/>
        <w:rPr>
          <w:rFonts w:eastAsiaTheme="minorEastAsia" w:cstheme="minorBidi"/>
          <w:i/>
          <w:iCs/>
          <w:noProof/>
          <w:sz w:val="22"/>
          <w:szCs w:val="22"/>
          <w:rtl/>
        </w:rPr>
      </w:pPr>
      <w:bookmarkStart w:id="22178" w:name="_Toc19436284"/>
      <w:bookmarkStart w:id="22179" w:name="_Toc20081432"/>
      <w:r>
        <w:rPr>
          <w:noProof/>
          <w:rtl/>
        </w:rPr>
        <w:t>ביאור הר"ן בדעת רש"י דריו"ח ור"ל ס"ל כר"י</w:t>
      </w:r>
      <w:bookmarkEnd w:id="22178"/>
      <w:bookmarkEnd w:id="22179"/>
    </w:p>
    <w:p w14:paraId="73375962" w14:textId="77777777" w:rsidR="003D504D" w:rsidRDefault="003D504D" w:rsidP="005077A7">
      <w:pPr>
        <w:pStyle w:val="a"/>
        <w:rPr>
          <w:rFonts w:eastAsiaTheme="minorEastAsia" w:cstheme="minorBidi"/>
          <w:sz w:val="22"/>
          <w:szCs w:val="22"/>
          <w:rtl/>
        </w:rPr>
      </w:pPr>
      <w:r>
        <w:rPr>
          <w:rtl/>
        </w:rPr>
        <w:t>ביאור הר"ן דלריו"ח ההיתר הוא בכל מה שבבהמה אף דהשליל וחלבו חשיבי כבהמה בפנ"ע</w:t>
      </w:r>
    </w:p>
    <w:p w14:paraId="2D6CEAE2" w14:textId="77777777" w:rsidR="003D504D" w:rsidRDefault="003D504D" w:rsidP="005077A7">
      <w:pPr>
        <w:pStyle w:val="a"/>
        <w:rPr>
          <w:rFonts w:eastAsiaTheme="minorEastAsia" w:cstheme="minorBidi"/>
          <w:sz w:val="22"/>
          <w:szCs w:val="22"/>
          <w:rtl/>
        </w:rPr>
      </w:pPr>
      <w:r>
        <w:rPr>
          <w:rtl/>
        </w:rPr>
        <w:t>ביאור הר"ן דלר"ל כיון שהתירה תורה שליל מוכח דחלבו לא חשיב חלב דהא שחיטה אינה מתירתו</w:t>
      </w:r>
    </w:p>
    <w:p w14:paraId="467B9CDE" w14:textId="77777777" w:rsidR="003D504D" w:rsidRDefault="003D504D" w:rsidP="005077A7">
      <w:pPr>
        <w:pStyle w:val="a"/>
        <w:rPr>
          <w:rFonts w:eastAsiaTheme="minorEastAsia" w:cstheme="minorBidi"/>
          <w:sz w:val="22"/>
          <w:szCs w:val="22"/>
          <w:rtl/>
        </w:rPr>
      </w:pPr>
      <w:r>
        <w:rPr>
          <w:rtl/>
        </w:rPr>
        <w:t>דברי הר"ן והמאירי דקיי"ל כר"י וכריו"ח וביאור המאירי דבתלש חשיב שיצא העובר ממעי אמו</w:t>
      </w:r>
    </w:p>
    <w:p w14:paraId="0F3DD668" w14:textId="77777777" w:rsidR="003D504D" w:rsidRDefault="003D504D" w:rsidP="003D504D">
      <w:pPr>
        <w:pStyle w:val="aff4"/>
        <w:rPr>
          <w:rtl/>
        </w:rPr>
      </w:pPr>
      <w:bookmarkStart w:id="22180" w:name="_Toc19436285"/>
      <w:bookmarkStart w:id="22181" w:name="_Toc20081433"/>
      <w:r>
        <w:rPr>
          <w:rFonts w:hint="cs"/>
          <w:rtl/>
        </w:rPr>
        <w:t>ביאורי העיטור בדעת הרי"ף ורש"י</w:t>
      </w:r>
      <w:bookmarkEnd w:id="22180"/>
      <w:bookmarkEnd w:id="22181"/>
    </w:p>
    <w:p w14:paraId="5256FA85" w14:textId="77777777" w:rsidR="003D504D" w:rsidRDefault="003D504D" w:rsidP="005077A7">
      <w:pPr>
        <w:pStyle w:val="a"/>
        <w:rPr>
          <w:rFonts w:eastAsiaTheme="minorEastAsia" w:cstheme="minorBidi"/>
          <w:sz w:val="22"/>
          <w:szCs w:val="22"/>
          <w:rtl/>
        </w:rPr>
      </w:pPr>
      <w:r>
        <w:rPr>
          <w:rtl/>
        </w:rPr>
        <w:t>דברי העיטור בדעת הרי"ף דס"ל דריו"ח ס"ל כר"י ומתיר בחלב בנשחטה האם</w:t>
      </w:r>
    </w:p>
    <w:p w14:paraId="6DD596A2" w14:textId="77777777" w:rsidR="003D504D" w:rsidRDefault="003D504D" w:rsidP="005077A7">
      <w:pPr>
        <w:pStyle w:val="a"/>
        <w:rPr>
          <w:rFonts w:eastAsiaTheme="minorEastAsia" w:cstheme="minorBidi"/>
          <w:sz w:val="22"/>
          <w:szCs w:val="22"/>
          <w:rtl/>
        </w:rPr>
      </w:pPr>
      <w:r>
        <w:rPr>
          <w:rtl/>
        </w:rPr>
        <w:t>דברי העיטור בשם רש"י דריו"ח ור"ל נחלקו רק בדעת ר"מ ולא בדעת ר"י</w:t>
      </w:r>
    </w:p>
    <w:p w14:paraId="3600A848" w14:textId="77777777" w:rsidR="003D504D" w:rsidRDefault="003D504D" w:rsidP="003D504D">
      <w:pPr>
        <w:pStyle w:val="aff4"/>
        <w:rPr>
          <w:rFonts w:eastAsiaTheme="minorEastAsia" w:cstheme="minorBidi"/>
          <w:i/>
          <w:iCs/>
          <w:noProof/>
          <w:sz w:val="22"/>
          <w:szCs w:val="22"/>
          <w:rtl/>
        </w:rPr>
      </w:pPr>
      <w:bookmarkStart w:id="22182" w:name="_Toc19436286"/>
      <w:bookmarkStart w:id="22183" w:name="_Toc20081434"/>
      <w:r>
        <w:rPr>
          <w:noProof/>
          <w:rtl/>
        </w:rPr>
        <w:t>דעת התוס' דאף לריו"ח בעינן אויר העולם</w:t>
      </w:r>
      <w:bookmarkEnd w:id="22182"/>
      <w:bookmarkEnd w:id="22183"/>
    </w:p>
    <w:p w14:paraId="5244AD7E" w14:textId="77777777" w:rsidR="003D504D" w:rsidRDefault="003D504D" w:rsidP="005077A7">
      <w:pPr>
        <w:pStyle w:val="a"/>
        <w:rPr>
          <w:rFonts w:eastAsiaTheme="minorEastAsia" w:cstheme="minorBidi"/>
          <w:sz w:val="22"/>
          <w:szCs w:val="22"/>
          <w:rtl/>
        </w:rPr>
      </w:pPr>
      <w:r>
        <w:rPr>
          <w:rtl/>
        </w:rPr>
        <w:t>קושית התוס' לקמן היאך אמר ריו"ח דאיסור חלב חל כשיצאה רובה הרי ס"ל דחדשים גרמי</w:t>
      </w:r>
    </w:p>
    <w:p w14:paraId="2FC0A4B9" w14:textId="77777777" w:rsidR="003D504D" w:rsidRDefault="003D504D" w:rsidP="005077A7">
      <w:pPr>
        <w:pStyle w:val="a"/>
        <w:rPr>
          <w:rFonts w:eastAsiaTheme="minorEastAsia" w:cstheme="minorBidi"/>
          <w:sz w:val="22"/>
          <w:szCs w:val="22"/>
          <w:rtl/>
        </w:rPr>
      </w:pPr>
      <w:r>
        <w:rPr>
          <w:rtl/>
        </w:rPr>
        <w:t>דברי התוס' לקמן דלריו"ח אף דלא בעינן אויר לידה אויר העולם בעינן ורק כשיצא החלב נאסר</w:t>
      </w:r>
    </w:p>
    <w:p w14:paraId="0C7C20E8" w14:textId="77777777" w:rsidR="003D504D" w:rsidRDefault="003D504D" w:rsidP="005077A7">
      <w:pPr>
        <w:pStyle w:val="a"/>
        <w:rPr>
          <w:rFonts w:eastAsiaTheme="minorEastAsia" w:cstheme="minorBidi"/>
          <w:sz w:val="22"/>
          <w:szCs w:val="22"/>
          <w:rtl/>
        </w:rPr>
      </w:pPr>
      <w:r>
        <w:rPr>
          <w:rtl/>
        </w:rPr>
        <w:t>דברי התוס' דהספק בשחט עובר במעי אמו הוא אף לריו"ח דחדשים גרמי כיון שלא יצא לאויר</w:t>
      </w:r>
    </w:p>
    <w:p w14:paraId="110713A4" w14:textId="77777777" w:rsidR="003D504D" w:rsidRDefault="003D504D" w:rsidP="005077A7">
      <w:pPr>
        <w:pStyle w:val="a"/>
        <w:rPr>
          <w:rFonts w:eastAsiaTheme="minorEastAsia" w:cstheme="minorBidi"/>
          <w:sz w:val="22"/>
          <w:szCs w:val="22"/>
          <w:rtl/>
        </w:rPr>
      </w:pPr>
      <w:r>
        <w:rPr>
          <w:rtl/>
        </w:rPr>
        <w:t>דחיית הר"ן להוכחת התוס' מדברי ריו"ח לקמן</w:t>
      </w:r>
    </w:p>
    <w:p w14:paraId="57892643" w14:textId="77777777" w:rsidR="003D504D" w:rsidRDefault="003D504D" w:rsidP="003D504D">
      <w:pPr>
        <w:pStyle w:val="aff4"/>
        <w:rPr>
          <w:rFonts w:eastAsiaTheme="minorEastAsia" w:cstheme="minorBidi"/>
          <w:i/>
          <w:iCs/>
          <w:noProof/>
          <w:sz w:val="22"/>
          <w:szCs w:val="22"/>
          <w:rtl/>
        </w:rPr>
      </w:pPr>
      <w:bookmarkStart w:id="22184" w:name="_Toc19436287"/>
      <w:bookmarkStart w:id="22185" w:name="_Toc20081435"/>
      <w:r>
        <w:rPr>
          <w:noProof/>
          <w:rtl/>
        </w:rPr>
        <w:t>דעת הרשב"א והרא"ש דריו"ח ור"ל נחלקו בין לר"י ובין לר"מ</w:t>
      </w:r>
      <w:bookmarkEnd w:id="22184"/>
      <w:bookmarkEnd w:id="22185"/>
    </w:p>
    <w:p w14:paraId="438DAE35" w14:textId="77777777" w:rsidR="003D504D" w:rsidRDefault="003D504D" w:rsidP="005077A7">
      <w:pPr>
        <w:pStyle w:val="a"/>
        <w:rPr>
          <w:rFonts w:eastAsiaTheme="minorEastAsia" w:cstheme="minorBidi"/>
          <w:sz w:val="22"/>
          <w:szCs w:val="22"/>
          <w:rtl/>
        </w:rPr>
      </w:pPr>
      <w:r>
        <w:rPr>
          <w:rtl/>
        </w:rPr>
        <w:t>דברי הרשב"א דא"א לומר דלריו"ח חדשים לבד גרמי דהא בן ט' מת מותר לכו"ע אף דכלו חדשיו</w:t>
      </w:r>
    </w:p>
    <w:p w14:paraId="2D61073D" w14:textId="77777777" w:rsidR="003D504D" w:rsidRDefault="003D504D" w:rsidP="005077A7">
      <w:pPr>
        <w:pStyle w:val="a"/>
        <w:rPr>
          <w:rFonts w:eastAsiaTheme="minorEastAsia" w:cstheme="minorBidi"/>
          <w:sz w:val="22"/>
          <w:szCs w:val="22"/>
          <w:rtl/>
        </w:rPr>
      </w:pPr>
      <w:r>
        <w:rPr>
          <w:rtl/>
        </w:rPr>
        <w:t>דברי הרשב"א והרא"ש דפלוגתת ריו"ח ור"ל לא שייכא לר"מ ור"י וריו"ח מתיר אף לר"י</w:t>
      </w:r>
    </w:p>
    <w:p w14:paraId="7E5F7CC8" w14:textId="77777777" w:rsidR="003D504D" w:rsidRDefault="003D504D" w:rsidP="005077A7">
      <w:pPr>
        <w:pStyle w:val="a"/>
        <w:rPr>
          <w:rFonts w:eastAsiaTheme="minorEastAsia" w:cstheme="minorBidi"/>
          <w:sz w:val="22"/>
          <w:szCs w:val="22"/>
          <w:rtl/>
        </w:rPr>
      </w:pPr>
      <w:r>
        <w:rPr>
          <w:rtl/>
        </w:rPr>
        <w:t>ביאור הרשב"א והרא"ש דר"ל התיר בתלש חלב אף לר"מ דר"מ אסר רק אחר שחיטה</w:t>
      </w:r>
    </w:p>
    <w:p w14:paraId="30430BC1" w14:textId="77777777" w:rsidR="003D504D" w:rsidRDefault="003D504D" w:rsidP="005077A7">
      <w:pPr>
        <w:pStyle w:val="a"/>
        <w:rPr>
          <w:rFonts w:eastAsiaTheme="minorEastAsia" w:cstheme="minorBidi"/>
          <w:sz w:val="22"/>
          <w:szCs w:val="22"/>
          <w:rtl/>
        </w:rPr>
      </w:pPr>
      <w:r>
        <w:rPr>
          <w:rtl/>
        </w:rPr>
        <w:t>דברי הרא"ש דלר"ל חדשים ואוירא גרמי אף לר"מ ודלא כרש"י במתני'</w:t>
      </w:r>
    </w:p>
    <w:p w14:paraId="1726B1C6" w14:textId="77777777" w:rsidR="003D504D" w:rsidRDefault="003D504D" w:rsidP="003D504D">
      <w:pPr>
        <w:pStyle w:val="aff4"/>
        <w:rPr>
          <w:rFonts w:eastAsiaTheme="minorEastAsia" w:cstheme="minorBidi"/>
          <w:i/>
          <w:iCs/>
          <w:noProof/>
          <w:sz w:val="22"/>
          <w:szCs w:val="22"/>
          <w:rtl/>
        </w:rPr>
      </w:pPr>
      <w:bookmarkStart w:id="22186" w:name="_Toc19436288"/>
      <w:bookmarkStart w:id="22187" w:name="_Toc20081436"/>
      <w:r>
        <w:rPr>
          <w:noProof/>
          <w:rtl/>
        </w:rPr>
        <w:t>דברי הרא"ש דכל בבהמה מתיר את כל העובר והחלב בכלל</w:t>
      </w:r>
      <w:bookmarkEnd w:id="22186"/>
      <w:bookmarkEnd w:id="22187"/>
    </w:p>
    <w:p w14:paraId="427EB76C" w14:textId="77777777" w:rsidR="003D504D" w:rsidRDefault="003D504D" w:rsidP="005077A7">
      <w:pPr>
        <w:pStyle w:val="a"/>
        <w:rPr>
          <w:rFonts w:eastAsiaTheme="minorEastAsia" w:cstheme="minorBidi"/>
          <w:sz w:val="22"/>
          <w:szCs w:val="22"/>
          <w:rtl/>
        </w:rPr>
      </w:pPr>
      <w:r>
        <w:rPr>
          <w:rtl/>
        </w:rPr>
        <w:t>קושית הרא"ש דהיאך מתירה שחיטת האם את חלב העובר יותר ממה שמתירה בעצמה</w:t>
      </w:r>
    </w:p>
    <w:p w14:paraId="124F7072" w14:textId="77777777" w:rsidR="003D504D" w:rsidRDefault="003D504D" w:rsidP="005077A7">
      <w:pPr>
        <w:pStyle w:val="a"/>
        <w:rPr>
          <w:rFonts w:eastAsiaTheme="minorEastAsia" w:cstheme="minorBidi"/>
          <w:sz w:val="22"/>
          <w:szCs w:val="22"/>
          <w:rtl/>
        </w:rPr>
      </w:pPr>
      <w:r>
        <w:rPr>
          <w:rtl/>
        </w:rPr>
        <w:t>ביאור הרא"ש דהיתר בן פקועה הוא גזיה"כ דמתיר אף את כל העובר וחלבו בכלל ההיתר</w:t>
      </w:r>
    </w:p>
    <w:p w14:paraId="0C998076" w14:textId="77777777" w:rsidR="003D504D" w:rsidRDefault="003D504D" w:rsidP="005077A7">
      <w:pPr>
        <w:pStyle w:val="a"/>
        <w:rPr>
          <w:rFonts w:eastAsiaTheme="minorEastAsia" w:cstheme="minorBidi"/>
          <w:sz w:val="22"/>
          <w:szCs w:val="22"/>
          <w:rtl/>
        </w:rPr>
      </w:pPr>
      <w:r>
        <w:rPr>
          <w:rtl/>
        </w:rPr>
        <w:t>דברי הרא"ש דאף לר"ל החלב אסור מדין אבמה"ח ואין מפלוגתתם נ"מ לדינא</w:t>
      </w:r>
    </w:p>
    <w:p w14:paraId="77E1E76F" w14:textId="77777777" w:rsidR="003D504D" w:rsidRDefault="003D504D" w:rsidP="003D504D">
      <w:pPr>
        <w:pStyle w:val="aff4"/>
        <w:rPr>
          <w:rFonts w:eastAsiaTheme="minorEastAsia" w:cstheme="minorBidi"/>
          <w:i/>
          <w:iCs/>
          <w:noProof/>
          <w:sz w:val="22"/>
          <w:szCs w:val="22"/>
          <w:rtl/>
        </w:rPr>
      </w:pPr>
      <w:bookmarkStart w:id="22188" w:name="_Toc19436289"/>
      <w:bookmarkStart w:id="22189" w:name="_Toc20081437"/>
      <w:r>
        <w:rPr>
          <w:noProof/>
          <w:rtl/>
        </w:rPr>
        <w:t>ביאור הראש יוסף בדברי הרא"ש</w:t>
      </w:r>
      <w:bookmarkEnd w:id="22188"/>
      <w:bookmarkEnd w:id="22189"/>
    </w:p>
    <w:p w14:paraId="307892D9" w14:textId="77777777" w:rsidR="003D504D" w:rsidRDefault="003D504D" w:rsidP="005077A7">
      <w:pPr>
        <w:pStyle w:val="a"/>
        <w:rPr>
          <w:rFonts w:eastAsiaTheme="minorEastAsia" w:cstheme="minorBidi"/>
          <w:sz w:val="22"/>
          <w:szCs w:val="22"/>
          <w:rtl/>
        </w:rPr>
      </w:pPr>
      <w:r>
        <w:rPr>
          <w:rtl/>
        </w:rPr>
        <w:t>ביאור הראש יוסף ברא"ש דלר"מ אף שהותר הבן ט' בשחיטת אמו נאסר כשיצא חי לאויר העולם</w:t>
      </w:r>
    </w:p>
    <w:p w14:paraId="1CA65CAF" w14:textId="77777777" w:rsidR="003D504D" w:rsidRDefault="003D504D" w:rsidP="005077A7">
      <w:pPr>
        <w:pStyle w:val="a"/>
        <w:rPr>
          <w:rFonts w:eastAsiaTheme="minorEastAsia" w:cstheme="minorBidi"/>
          <w:sz w:val="22"/>
          <w:szCs w:val="22"/>
          <w:rtl/>
        </w:rPr>
      </w:pPr>
      <w:r>
        <w:rPr>
          <w:rtl/>
        </w:rPr>
        <w:t>ביאור הראש יוסף ברא"ש דלרבנן כיון שהותר הבן ט' בשחיטת אמו אינו חוזר ונאסר אף שיצא חי</w:t>
      </w:r>
    </w:p>
    <w:p w14:paraId="353E74D9" w14:textId="77777777" w:rsidR="003D504D" w:rsidRDefault="003D504D" w:rsidP="005077A7">
      <w:pPr>
        <w:pStyle w:val="a"/>
        <w:rPr>
          <w:rFonts w:eastAsiaTheme="minorEastAsia" w:cstheme="minorBidi"/>
          <w:sz w:val="22"/>
          <w:szCs w:val="22"/>
          <w:rtl/>
        </w:rPr>
      </w:pPr>
      <w:r>
        <w:rPr>
          <w:rtl/>
        </w:rPr>
        <w:t>ביאור הראש יוסף ברא"ש דלר"ל החלב כבשר והוא בכלל ההיתר אך לריו"ח דחשיב חלב קשה</w:t>
      </w:r>
    </w:p>
    <w:p w14:paraId="3815896A" w14:textId="77777777" w:rsidR="003D504D" w:rsidRDefault="003D504D" w:rsidP="005077A7">
      <w:pPr>
        <w:pStyle w:val="a"/>
        <w:rPr>
          <w:rFonts w:eastAsiaTheme="minorEastAsia" w:cstheme="minorBidi"/>
          <w:sz w:val="22"/>
          <w:szCs w:val="22"/>
          <w:rtl/>
        </w:rPr>
      </w:pPr>
      <w:r>
        <w:rPr>
          <w:rtl/>
        </w:rPr>
        <w:t>דברי הראש יוסף דמקושית הרא"ש מוכח דס"ל דלריו"ח לא בעינן אוירא כלל ודלא כתוס' לקמן</w:t>
      </w:r>
    </w:p>
    <w:p w14:paraId="2D458685" w14:textId="77777777" w:rsidR="003D504D" w:rsidRDefault="003D504D" w:rsidP="003D504D">
      <w:pPr>
        <w:pStyle w:val="aff4"/>
        <w:rPr>
          <w:rFonts w:eastAsiaTheme="minorEastAsia" w:cstheme="minorBidi"/>
          <w:i/>
          <w:iCs/>
          <w:noProof/>
          <w:sz w:val="22"/>
          <w:szCs w:val="22"/>
          <w:rtl/>
        </w:rPr>
      </w:pPr>
      <w:bookmarkStart w:id="22190" w:name="_Toc19436290"/>
      <w:bookmarkStart w:id="22191" w:name="_Toc20081438"/>
      <w:r>
        <w:rPr>
          <w:noProof/>
          <w:rtl/>
        </w:rPr>
        <w:t>ראיות הרמב"ן והרשב"א דלריו"ח חדשים גרמי אף לר"י</w:t>
      </w:r>
      <w:bookmarkEnd w:id="22190"/>
      <w:bookmarkEnd w:id="22191"/>
    </w:p>
    <w:p w14:paraId="5F465C14" w14:textId="77777777" w:rsidR="003D504D" w:rsidRDefault="003D504D" w:rsidP="005077A7">
      <w:pPr>
        <w:pStyle w:val="a"/>
        <w:rPr>
          <w:rFonts w:eastAsiaTheme="minorEastAsia" w:cstheme="minorBidi"/>
          <w:sz w:val="22"/>
          <w:szCs w:val="22"/>
          <w:rtl/>
        </w:rPr>
      </w:pPr>
      <w:r>
        <w:rPr>
          <w:rtl/>
        </w:rPr>
        <w:t>הוכחת הרמב"ן דריו"ח אסר בתלש חלב אף לדעת ר"י דבגיד חדשים גרמי ומותר בשחיטת אמו</w:t>
      </w:r>
    </w:p>
    <w:p w14:paraId="29475B36" w14:textId="77777777" w:rsidR="003D504D" w:rsidRDefault="003D504D" w:rsidP="005077A7">
      <w:pPr>
        <w:pStyle w:val="a"/>
        <w:rPr>
          <w:rFonts w:eastAsiaTheme="minorEastAsia" w:cstheme="minorBidi"/>
          <w:sz w:val="22"/>
          <w:szCs w:val="22"/>
          <w:rtl/>
        </w:rPr>
      </w:pPr>
      <w:r>
        <w:rPr>
          <w:rtl/>
        </w:rPr>
        <w:t>ראיית הרמב"ן והרשב"א דבגיד ודאי חדשים גרמי ואפ"ה שחיטת האם מתירתו</w:t>
      </w:r>
    </w:p>
    <w:p w14:paraId="3182E855" w14:textId="77777777" w:rsidR="003D504D" w:rsidRDefault="003D504D" w:rsidP="005077A7">
      <w:pPr>
        <w:pStyle w:val="a"/>
        <w:rPr>
          <w:rFonts w:eastAsiaTheme="minorEastAsia" w:cstheme="minorBidi"/>
          <w:sz w:val="22"/>
          <w:szCs w:val="22"/>
          <w:rtl/>
        </w:rPr>
      </w:pPr>
      <w:r>
        <w:rPr>
          <w:rtl/>
        </w:rPr>
        <w:t>קושית הרמב"ן דלקמן אמר ריו"ח דאיסור חלב חל רק כשיצא לאויר והיאך אמר ריו"ח דחדשים גרמי</w:t>
      </w:r>
    </w:p>
    <w:p w14:paraId="0617C3D3" w14:textId="77777777" w:rsidR="003D504D" w:rsidRDefault="003D504D" w:rsidP="003D504D">
      <w:pPr>
        <w:pStyle w:val="aff4"/>
        <w:rPr>
          <w:rFonts w:eastAsiaTheme="minorEastAsia" w:cstheme="minorBidi"/>
          <w:i/>
          <w:iCs/>
          <w:noProof/>
          <w:sz w:val="22"/>
          <w:szCs w:val="22"/>
          <w:rtl/>
        </w:rPr>
      </w:pPr>
      <w:bookmarkStart w:id="22192" w:name="_Toc19436291"/>
      <w:bookmarkStart w:id="22193" w:name="_Toc20081439"/>
      <w:r>
        <w:rPr>
          <w:noProof/>
          <w:rtl/>
        </w:rPr>
        <w:t>דברי הרמב"ן דלריו"ח לא נאסר החלב דאפשר להתירו בשחיטה</w:t>
      </w:r>
      <w:bookmarkEnd w:id="22192"/>
      <w:bookmarkEnd w:id="22193"/>
    </w:p>
    <w:p w14:paraId="58C018F1" w14:textId="77777777" w:rsidR="003D504D" w:rsidRDefault="003D504D" w:rsidP="005077A7">
      <w:pPr>
        <w:pStyle w:val="a"/>
        <w:rPr>
          <w:rFonts w:eastAsiaTheme="minorEastAsia" w:cstheme="minorBidi"/>
          <w:sz w:val="22"/>
          <w:szCs w:val="22"/>
          <w:rtl/>
        </w:rPr>
      </w:pPr>
      <w:r>
        <w:rPr>
          <w:rtl/>
        </w:rPr>
        <w:t>ביאור הרמב"ן דכיון שאם תשחט האם מותר החלב לכן לא חל האיסור במעי האם אף דחדשים גרמי</w:t>
      </w:r>
    </w:p>
    <w:p w14:paraId="5C89C498" w14:textId="77777777" w:rsidR="003D504D" w:rsidRDefault="003D504D" w:rsidP="005077A7">
      <w:pPr>
        <w:pStyle w:val="a"/>
        <w:rPr>
          <w:rFonts w:eastAsiaTheme="minorEastAsia" w:cstheme="minorBidi"/>
          <w:sz w:val="22"/>
          <w:szCs w:val="22"/>
          <w:rtl/>
        </w:rPr>
      </w:pPr>
      <w:r>
        <w:rPr>
          <w:rtl/>
        </w:rPr>
        <w:t>דברי הרמב"ן דכן מוכח באיסור אבר מן החי דחל כשיצא רובו אף דבתלש אבר ודאי חייב עליו</w:t>
      </w:r>
    </w:p>
    <w:p w14:paraId="2C47DC67" w14:textId="77777777" w:rsidR="003D504D" w:rsidRDefault="003D504D" w:rsidP="003D504D">
      <w:pPr>
        <w:pStyle w:val="aff4"/>
        <w:rPr>
          <w:rFonts w:eastAsiaTheme="minorEastAsia" w:cstheme="minorBidi"/>
          <w:i/>
          <w:iCs/>
          <w:noProof/>
          <w:sz w:val="22"/>
          <w:szCs w:val="22"/>
          <w:rtl/>
        </w:rPr>
      </w:pPr>
      <w:bookmarkStart w:id="22194" w:name="_Toc19436292"/>
      <w:bookmarkStart w:id="22195" w:name="_Toc20081440"/>
      <w:r>
        <w:rPr>
          <w:noProof/>
          <w:rtl/>
        </w:rPr>
        <w:t>ביאור הרמב"ן בגדר דין החלב אם הותר לבסוף ואם לא הותר</w:t>
      </w:r>
      <w:bookmarkEnd w:id="22194"/>
      <w:bookmarkEnd w:id="22195"/>
    </w:p>
    <w:p w14:paraId="5BDF2572" w14:textId="77777777" w:rsidR="003D504D" w:rsidRDefault="003D504D" w:rsidP="005077A7">
      <w:pPr>
        <w:pStyle w:val="a"/>
        <w:rPr>
          <w:rFonts w:eastAsiaTheme="minorEastAsia" w:cstheme="minorBidi"/>
          <w:sz w:val="22"/>
          <w:szCs w:val="22"/>
          <w:rtl/>
        </w:rPr>
      </w:pPr>
      <w:r>
        <w:rPr>
          <w:rtl/>
        </w:rPr>
        <w:t>דברי התוס' לקמן דאף דריו"ח מתיר בחלב בן ח' מ"מ משעה שיצא לאויר לא הייתה לו שעת הכושר</w:t>
      </w:r>
    </w:p>
    <w:p w14:paraId="1AAC71F0" w14:textId="77777777" w:rsidR="003D504D" w:rsidRDefault="003D504D" w:rsidP="005077A7">
      <w:pPr>
        <w:pStyle w:val="a"/>
        <w:rPr>
          <w:rFonts w:eastAsiaTheme="minorEastAsia" w:cstheme="minorBidi"/>
          <w:sz w:val="22"/>
          <w:szCs w:val="22"/>
          <w:rtl/>
        </w:rPr>
      </w:pPr>
      <w:r>
        <w:rPr>
          <w:rtl/>
        </w:rPr>
        <w:t>דברי הראשונים לקמן דלר"י דמתיר בחלב שליל לא הייתה לו שעת הכושר משעה שיצא לאויר</w:t>
      </w:r>
    </w:p>
    <w:p w14:paraId="649BD0C3" w14:textId="77777777" w:rsidR="003D504D" w:rsidRDefault="003D504D" w:rsidP="005077A7">
      <w:pPr>
        <w:pStyle w:val="a"/>
        <w:rPr>
          <w:rFonts w:eastAsiaTheme="minorEastAsia" w:cstheme="minorBidi"/>
          <w:sz w:val="22"/>
          <w:szCs w:val="22"/>
          <w:rtl/>
        </w:rPr>
      </w:pPr>
      <w:r>
        <w:rPr>
          <w:rtl/>
        </w:rPr>
        <w:t>קושית הרמב"ן דלריו"ח חלב במעי האם הייתה לו שעת הכושר דאם תשחט האם יהיה מותר</w:t>
      </w:r>
    </w:p>
    <w:p w14:paraId="48A4BB1B" w14:textId="77777777" w:rsidR="003D504D" w:rsidRDefault="003D504D" w:rsidP="005077A7">
      <w:pPr>
        <w:pStyle w:val="a"/>
        <w:rPr>
          <w:rFonts w:eastAsiaTheme="minorEastAsia" w:cstheme="minorBidi"/>
          <w:sz w:val="22"/>
          <w:szCs w:val="22"/>
          <w:rtl/>
        </w:rPr>
      </w:pPr>
      <w:r>
        <w:rPr>
          <w:rtl/>
        </w:rPr>
        <w:t>ביאור הרמב"ן דבמקום שנשחטה האם לא היה שם חלב מעיקרא ובלא נשחטה נאסר משעת יצירתו</w:t>
      </w:r>
    </w:p>
    <w:p w14:paraId="72AAD4B8" w14:textId="77777777" w:rsidR="003D504D" w:rsidRDefault="003D504D" w:rsidP="003D504D">
      <w:pPr>
        <w:pStyle w:val="aff4"/>
        <w:rPr>
          <w:rFonts w:eastAsiaTheme="minorEastAsia" w:cstheme="minorBidi"/>
          <w:i/>
          <w:iCs/>
          <w:noProof/>
          <w:sz w:val="22"/>
          <w:szCs w:val="22"/>
          <w:rtl/>
        </w:rPr>
      </w:pPr>
      <w:bookmarkStart w:id="22196" w:name="_Toc19436293"/>
      <w:bookmarkStart w:id="22197" w:name="_Toc20081441"/>
      <w:r>
        <w:rPr>
          <w:noProof/>
          <w:rtl/>
        </w:rPr>
        <w:t>ביאורי הראש יוסף ברשב"א</w:t>
      </w:r>
      <w:bookmarkEnd w:id="22196"/>
      <w:bookmarkEnd w:id="22197"/>
    </w:p>
    <w:p w14:paraId="1EAF95D9" w14:textId="77777777" w:rsidR="003D504D" w:rsidRDefault="003D504D" w:rsidP="005077A7">
      <w:pPr>
        <w:pStyle w:val="a"/>
        <w:rPr>
          <w:rFonts w:eastAsiaTheme="minorEastAsia" w:cstheme="minorBidi"/>
          <w:sz w:val="22"/>
          <w:szCs w:val="22"/>
          <w:rtl/>
        </w:rPr>
      </w:pPr>
      <w:r>
        <w:rPr>
          <w:rtl/>
        </w:rPr>
        <w:t>ביאור הראש יוסף ברשב"א דלריו"ח אף דנקרא שור יש בו ובחלבו היתר כל בבהמה תאכלו</w:t>
      </w:r>
    </w:p>
    <w:p w14:paraId="51147B2D" w14:textId="77777777" w:rsidR="003D504D" w:rsidRDefault="003D504D" w:rsidP="005077A7">
      <w:pPr>
        <w:pStyle w:val="a"/>
        <w:rPr>
          <w:rFonts w:eastAsiaTheme="minorEastAsia" w:cstheme="minorBidi"/>
          <w:sz w:val="22"/>
          <w:szCs w:val="22"/>
          <w:rtl/>
        </w:rPr>
      </w:pPr>
      <w:r>
        <w:rPr>
          <w:rtl/>
        </w:rPr>
        <w:t>ביאור הראש יוסף בראיית הרשב"א מגיד דלא כתיב ביה "שור" ואפ"ה מותר בשחיטה</w:t>
      </w:r>
    </w:p>
    <w:p w14:paraId="19C642EB" w14:textId="77777777" w:rsidR="003D504D" w:rsidRDefault="003D504D" w:rsidP="005077A7">
      <w:pPr>
        <w:pStyle w:val="a"/>
        <w:rPr>
          <w:rFonts w:eastAsiaTheme="minorEastAsia" w:cstheme="minorBidi"/>
          <w:sz w:val="22"/>
          <w:szCs w:val="22"/>
          <w:rtl/>
        </w:rPr>
      </w:pPr>
      <w:r>
        <w:rPr>
          <w:rtl/>
        </w:rPr>
        <w:t>הביאור הא' הראש יוסף ברשב"א דלריו"ח לא חל איסור חלב דאפשר להתירו בשחיטה</w:t>
      </w:r>
    </w:p>
    <w:p w14:paraId="6601F57B" w14:textId="77777777" w:rsidR="003D504D" w:rsidRDefault="003D504D" w:rsidP="005077A7">
      <w:pPr>
        <w:pStyle w:val="a"/>
        <w:rPr>
          <w:rFonts w:eastAsiaTheme="minorEastAsia" w:cstheme="minorBidi"/>
          <w:sz w:val="22"/>
          <w:szCs w:val="22"/>
          <w:rtl/>
        </w:rPr>
      </w:pPr>
      <w:r>
        <w:rPr>
          <w:rtl/>
        </w:rPr>
        <w:t>הביאור הב' בראש יוסף ברשב"א דלריו"ח בעינן אוירא דעלמא והיתר החלב אינו מגזיה"כ</w:t>
      </w:r>
    </w:p>
    <w:p w14:paraId="74334DCA" w14:textId="77777777" w:rsidR="003D504D" w:rsidRDefault="003D504D" w:rsidP="003D504D">
      <w:pPr>
        <w:pStyle w:val="aff4"/>
        <w:rPr>
          <w:rFonts w:eastAsiaTheme="minorEastAsia" w:cstheme="minorBidi"/>
          <w:i/>
          <w:iCs/>
          <w:noProof/>
          <w:sz w:val="22"/>
          <w:szCs w:val="22"/>
          <w:rtl/>
        </w:rPr>
      </w:pPr>
      <w:bookmarkStart w:id="22198" w:name="_Toc19436294"/>
      <w:bookmarkStart w:id="22199" w:name="_Toc20081442"/>
      <w:r>
        <w:rPr>
          <w:noProof/>
          <w:rtl/>
        </w:rPr>
        <w:t>ביאורי הרשב"א והמהרש"א בקושית ר"ל מהילפותא באשם</w:t>
      </w:r>
      <w:bookmarkEnd w:id="22198"/>
      <w:bookmarkEnd w:id="22199"/>
    </w:p>
    <w:p w14:paraId="6F3C43FA" w14:textId="77777777" w:rsidR="003D504D" w:rsidRDefault="003D504D" w:rsidP="005077A7">
      <w:pPr>
        <w:pStyle w:val="a"/>
        <w:rPr>
          <w:rFonts w:eastAsiaTheme="minorEastAsia" w:cstheme="minorBidi"/>
          <w:sz w:val="22"/>
          <w:szCs w:val="22"/>
          <w:rtl/>
        </w:rPr>
      </w:pPr>
      <w:r>
        <w:rPr>
          <w:rtl/>
        </w:rPr>
        <w:t>קושית הרשב"א דאי מודה ריו"ח דהחלב מותר בשחיטה מה הקשה לו ר"ל מילפותא דאשם</w:t>
      </w:r>
    </w:p>
    <w:p w14:paraId="7608C8ED" w14:textId="77777777" w:rsidR="003D504D" w:rsidRDefault="003D504D" w:rsidP="005077A7">
      <w:pPr>
        <w:pStyle w:val="a"/>
        <w:rPr>
          <w:rFonts w:eastAsiaTheme="minorEastAsia" w:cstheme="minorBidi"/>
          <w:sz w:val="22"/>
          <w:szCs w:val="22"/>
          <w:rtl/>
        </w:rPr>
      </w:pPr>
      <w:r>
        <w:rPr>
          <w:rtl/>
        </w:rPr>
        <w:t>תירוץ הרשב"א דלריו"ח דחשיב חלב דחדשים גרמי אף שהותר באכילה מ"מ אמאי נתמעט מהקרבה</w:t>
      </w:r>
    </w:p>
    <w:p w14:paraId="4A1116B8" w14:textId="77777777" w:rsidR="003D504D" w:rsidRDefault="003D504D" w:rsidP="005077A7">
      <w:pPr>
        <w:pStyle w:val="a"/>
        <w:rPr>
          <w:rFonts w:eastAsiaTheme="minorEastAsia" w:cstheme="minorBidi"/>
          <w:sz w:val="22"/>
          <w:szCs w:val="22"/>
          <w:rtl/>
        </w:rPr>
      </w:pPr>
      <w:r>
        <w:rPr>
          <w:rtl/>
        </w:rPr>
        <w:t>ביאור הראש יוסף בתירוץ הרשב"א דלריו"ח חשיב חלב גמור והיתרו לא שייך לדין הקרבה</w:t>
      </w:r>
    </w:p>
    <w:p w14:paraId="0CA17CF8" w14:textId="77777777" w:rsidR="003D504D" w:rsidRDefault="003D504D" w:rsidP="005077A7">
      <w:pPr>
        <w:pStyle w:val="a"/>
        <w:rPr>
          <w:rFonts w:eastAsiaTheme="minorEastAsia" w:cstheme="minorBidi"/>
          <w:sz w:val="22"/>
          <w:szCs w:val="22"/>
          <w:rtl/>
        </w:rPr>
      </w:pPr>
      <w:r>
        <w:rPr>
          <w:rtl/>
        </w:rPr>
        <w:t>קושית המהרש"א על הרשב"א דאחר שהותר באכילה מבואר שיש בו מיעוט אף מהקרבה</w:t>
      </w:r>
    </w:p>
    <w:p w14:paraId="2A43EDB1" w14:textId="77777777" w:rsidR="003D504D" w:rsidRDefault="003D504D" w:rsidP="005077A7">
      <w:pPr>
        <w:pStyle w:val="a"/>
        <w:rPr>
          <w:rFonts w:eastAsiaTheme="minorEastAsia" w:cstheme="minorBidi"/>
          <w:sz w:val="22"/>
          <w:szCs w:val="22"/>
          <w:rtl/>
        </w:rPr>
      </w:pPr>
      <w:r>
        <w:rPr>
          <w:rtl/>
        </w:rPr>
        <w:t>ביאור המהרש"א עפ"י הרא"ש דלריו"ח לר"מ אין בו היתר אכילה וקשה אמאי נתמעט מהקרבה</w:t>
      </w:r>
    </w:p>
    <w:p w14:paraId="0B02709A" w14:textId="77777777" w:rsidR="003D504D" w:rsidRDefault="003D504D" w:rsidP="003D504D">
      <w:pPr>
        <w:pStyle w:val="aff4"/>
        <w:rPr>
          <w:rFonts w:eastAsiaTheme="minorEastAsia" w:cstheme="minorBidi"/>
          <w:i/>
          <w:iCs/>
          <w:noProof/>
          <w:sz w:val="22"/>
          <w:szCs w:val="22"/>
          <w:rtl/>
        </w:rPr>
      </w:pPr>
      <w:bookmarkStart w:id="22200" w:name="_Toc19436295"/>
      <w:bookmarkStart w:id="22201" w:name="_Toc20081443"/>
      <w:r>
        <w:rPr>
          <w:noProof/>
          <w:rtl/>
        </w:rPr>
        <w:t>ביאורי הרשב"א בסתירת סתימת המשניות לדעת ריו"ח</w:t>
      </w:r>
      <w:bookmarkEnd w:id="22200"/>
      <w:bookmarkEnd w:id="22201"/>
    </w:p>
    <w:p w14:paraId="77A67A7D" w14:textId="77777777" w:rsidR="003D504D" w:rsidRDefault="003D504D" w:rsidP="005077A7">
      <w:pPr>
        <w:pStyle w:val="a"/>
        <w:rPr>
          <w:rFonts w:eastAsiaTheme="minorEastAsia" w:cstheme="minorBidi"/>
          <w:sz w:val="22"/>
          <w:szCs w:val="22"/>
          <w:rtl/>
        </w:rPr>
      </w:pPr>
      <w:r>
        <w:rPr>
          <w:rtl/>
        </w:rPr>
        <w:t>קושית הרשב"א דכיון דסתמא בתרא היא כר"מ מבואר דריו"ח ס"ל כר"מ ואמאי לא פסק כן בשחיטה</w:t>
      </w:r>
    </w:p>
    <w:p w14:paraId="48B6169B" w14:textId="77777777" w:rsidR="003D504D" w:rsidRDefault="003D504D" w:rsidP="005077A7">
      <w:pPr>
        <w:pStyle w:val="a"/>
        <w:rPr>
          <w:rFonts w:eastAsiaTheme="minorEastAsia" w:cstheme="minorBidi"/>
          <w:sz w:val="22"/>
          <w:szCs w:val="22"/>
          <w:rtl/>
        </w:rPr>
      </w:pPr>
      <w:r>
        <w:rPr>
          <w:rtl/>
        </w:rPr>
        <w:t>תירוצי הרשב"א דאמוראי נחלקו אליבא דריו"ח או דריו"ח גופיה לא ס"ל את דין ד' סימנים</w:t>
      </w:r>
    </w:p>
    <w:p w14:paraId="0C8E0244" w14:textId="77777777" w:rsidR="003D504D" w:rsidRPr="00906AD7" w:rsidRDefault="003D504D" w:rsidP="005077A7">
      <w:pPr>
        <w:pStyle w:val="a"/>
        <w:rPr>
          <w:rFonts w:eastAsiaTheme="minorEastAsia" w:cstheme="minorBidi"/>
          <w:sz w:val="22"/>
          <w:szCs w:val="22"/>
          <w:rtl/>
        </w:rPr>
      </w:pPr>
      <w:r>
        <w:rPr>
          <w:rtl/>
        </w:rPr>
        <w:t>דברי הרשב"א דלדעת התוס' דבגיד לא הלכו לשיטתם אין סתירה בין סתימת המשניות</w:t>
      </w:r>
    </w:p>
    <w:p w14:paraId="3EF9A8E5" w14:textId="77777777" w:rsidR="003D504D" w:rsidRDefault="003D504D" w:rsidP="003D504D">
      <w:pPr>
        <w:pStyle w:val="2"/>
        <w:rPr>
          <w:rtl/>
        </w:rPr>
      </w:pPr>
      <w:bookmarkStart w:id="22202" w:name="_Toc19436296"/>
      <w:r>
        <w:rPr>
          <w:rFonts w:hint="cs"/>
          <w:rtl/>
        </w:rPr>
        <w:t>דעת רבינו אפרים</w:t>
      </w:r>
      <w:bookmarkEnd w:id="22202"/>
    </w:p>
    <w:p w14:paraId="0AD129E5" w14:textId="77777777" w:rsidR="003D504D" w:rsidRDefault="003D504D" w:rsidP="003D504D">
      <w:pPr>
        <w:pStyle w:val="aff4"/>
        <w:rPr>
          <w:rFonts w:eastAsiaTheme="minorEastAsia" w:cstheme="minorBidi"/>
          <w:i/>
          <w:iCs/>
          <w:noProof/>
          <w:sz w:val="22"/>
          <w:szCs w:val="22"/>
          <w:rtl/>
        </w:rPr>
      </w:pPr>
      <w:bookmarkStart w:id="22203" w:name="_Toc19436297"/>
      <w:bookmarkStart w:id="22204" w:name="_Toc20081444"/>
      <w:r>
        <w:rPr>
          <w:noProof/>
          <w:rtl/>
        </w:rPr>
        <w:t>דעת רבינו אפרים דקיי"ל כר"מ בשחיטה ובחלב כדפסק ריו"ח</w:t>
      </w:r>
      <w:bookmarkEnd w:id="22203"/>
      <w:bookmarkEnd w:id="22204"/>
    </w:p>
    <w:p w14:paraId="1540DB5C" w14:textId="77777777" w:rsidR="003D504D" w:rsidRDefault="003D504D" w:rsidP="005077A7">
      <w:pPr>
        <w:pStyle w:val="a"/>
        <w:rPr>
          <w:rFonts w:eastAsiaTheme="minorEastAsia" w:cstheme="minorBidi"/>
          <w:sz w:val="22"/>
          <w:szCs w:val="22"/>
          <w:rtl/>
        </w:rPr>
      </w:pPr>
      <w:r>
        <w:rPr>
          <w:rtl/>
        </w:rPr>
        <w:t>דברי רבינו אפרים דכיון דקיי"ל כריו"ח דחדשים גרמי לכן קיי"ל כר"מ לענין שחיטה וחלב</w:t>
      </w:r>
    </w:p>
    <w:p w14:paraId="742C0F7E" w14:textId="77777777" w:rsidR="003D504D" w:rsidRDefault="003D504D" w:rsidP="005077A7">
      <w:pPr>
        <w:pStyle w:val="a"/>
        <w:rPr>
          <w:rFonts w:eastAsiaTheme="minorEastAsia" w:cstheme="minorBidi"/>
          <w:sz w:val="22"/>
          <w:szCs w:val="22"/>
          <w:rtl/>
        </w:rPr>
      </w:pPr>
      <w:r>
        <w:rPr>
          <w:rtl/>
        </w:rPr>
        <w:t>ביאור הרשב"א והריטב"א דרבינו אפרים פסק כריו"ח דס"ל כר"מ וביאור העיטור דאף ר"ל ס"ל כר"מ</w:t>
      </w:r>
    </w:p>
    <w:p w14:paraId="595B4205" w14:textId="77777777" w:rsidR="003D504D" w:rsidRDefault="003D504D" w:rsidP="005077A7">
      <w:pPr>
        <w:pStyle w:val="a"/>
        <w:rPr>
          <w:rFonts w:eastAsiaTheme="minorEastAsia" w:cstheme="minorBidi"/>
          <w:sz w:val="22"/>
          <w:szCs w:val="22"/>
          <w:rtl/>
        </w:rPr>
      </w:pPr>
      <w:r>
        <w:rPr>
          <w:rtl/>
        </w:rPr>
        <w:t>השגת הראב"ד על רבינו אפרים דסתמא דמתני' כר"י ולא יתכן דנח' ריו"ח ור"ל בפלוגתת ר"מ ור"י</w:t>
      </w:r>
    </w:p>
    <w:p w14:paraId="1D008D5D" w14:textId="77777777" w:rsidR="003D504D" w:rsidRDefault="003D504D" w:rsidP="005077A7">
      <w:pPr>
        <w:pStyle w:val="a"/>
        <w:rPr>
          <w:rFonts w:eastAsiaTheme="minorEastAsia" w:cstheme="minorBidi"/>
          <w:sz w:val="22"/>
          <w:szCs w:val="22"/>
          <w:rtl/>
        </w:rPr>
      </w:pPr>
      <w:r>
        <w:rPr>
          <w:rtl/>
        </w:rPr>
        <w:t>קושית הרשב"א והריטב"א על רבינו אפרים דמוכח בסוגיין דקיי"ל כר"י ולא כר"מ</w:t>
      </w:r>
    </w:p>
    <w:p w14:paraId="393BF091" w14:textId="77777777" w:rsidR="003D504D" w:rsidRDefault="003D504D" w:rsidP="005077A7">
      <w:pPr>
        <w:pStyle w:val="a"/>
        <w:rPr>
          <w:rFonts w:eastAsiaTheme="minorEastAsia" w:cstheme="minorBidi"/>
          <w:sz w:val="22"/>
          <w:szCs w:val="22"/>
          <w:rtl/>
        </w:rPr>
      </w:pPr>
      <w:r>
        <w:rPr>
          <w:rtl/>
        </w:rPr>
        <w:t>קושיות הרשב"א והריטב"א דבדברי כל האמוראים בהמשך הסוגיא מוכח דקיי"ל כר"י ולא כר"מ</w:t>
      </w:r>
    </w:p>
    <w:p w14:paraId="4B88C4F7" w14:textId="77777777" w:rsidR="003D504D" w:rsidRDefault="003D504D" w:rsidP="003D504D">
      <w:pPr>
        <w:pStyle w:val="aff4"/>
        <w:rPr>
          <w:rFonts w:eastAsiaTheme="minorEastAsia" w:cstheme="minorBidi"/>
          <w:i/>
          <w:iCs/>
          <w:noProof/>
          <w:sz w:val="22"/>
          <w:szCs w:val="22"/>
          <w:rtl/>
        </w:rPr>
      </w:pPr>
      <w:bookmarkStart w:id="22205" w:name="_Toc19436298"/>
      <w:bookmarkStart w:id="22206" w:name="_Toc20081445"/>
      <w:r>
        <w:rPr>
          <w:noProof/>
          <w:rtl/>
        </w:rPr>
        <w:t>בביאור דעת רבינו אפרים אי ס"ל כהרמב"ם</w:t>
      </w:r>
      <w:bookmarkEnd w:id="22205"/>
      <w:bookmarkEnd w:id="22206"/>
    </w:p>
    <w:p w14:paraId="58F90CD9" w14:textId="77777777" w:rsidR="003D504D" w:rsidRDefault="003D504D" w:rsidP="005077A7">
      <w:pPr>
        <w:pStyle w:val="a"/>
        <w:rPr>
          <w:rFonts w:eastAsiaTheme="minorEastAsia" w:cstheme="minorBidi"/>
          <w:sz w:val="22"/>
          <w:szCs w:val="22"/>
          <w:rtl/>
        </w:rPr>
      </w:pPr>
      <w:r>
        <w:rPr>
          <w:rtl/>
        </w:rPr>
        <w:t>דברי הראב"ד והרמ"ך בשם רבינו אפרים דפסק בשחיטה כר"י ובחלב כר"מ כדעת הרמב"ם</w:t>
      </w:r>
    </w:p>
    <w:p w14:paraId="656EC7DB" w14:textId="77777777" w:rsidR="003D504D" w:rsidRDefault="003D504D" w:rsidP="005077A7">
      <w:pPr>
        <w:pStyle w:val="a"/>
        <w:rPr>
          <w:rFonts w:eastAsiaTheme="minorEastAsia" w:cstheme="minorBidi"/>
          <w:sz w:val="22"/>
          <w:szCs w:val="22"/>
          <w:rtl/>
        </w:rPr>
      </w:pPr>
      <w:r>
        <w:rPr>
          <w:rtl/>
        </w:rPr>
        <w:t>דברי המאירי דרבינו אפרים פסק כר"מ בשחיטה ובחלב דנחלקו ריו"ח ור"ל בפלוגתת ר"מ ור"י</w:t>
      </w:r>
    </w:p>
    <w:p w14:paraId="65F61365" w14:textId="77777777" w:rsidR="003D504D" w:rsidRDefault="003D504D" w:rsidP="005077A7">
      <w:pPr>
        <w:pStyle w:val="a"/>
        <w:rPr>
          <w:rFonts w:eastAsiaTheme="minorEastAsia" w:cstheme="minorBidi"/>
          <w:sz w:val="22"/>
          <w:szCs w:val="22"/>
          <w:rtl/>
        </w:rPr>
      </w:pPr>
      <w:r>
        <w:rPr>
          <w:rtl/>
        </w:rPr>
        <w:t>דברי המאירי דהרמב"ם ביאר כרבינו אפרים בפלוגתת ריו"ח ור"ל אך בשחיטה פסק כסתם מתני'</w:t>
      </w:r>
    </w:p>
    <w:p w14:paraId="2C52E6AE" w14:textId="77777777" w:rsidR="003D504D" w:rsidRDefault="003D504D" w:rsidP="003D504D">
      <w:pPr>
        <w:pStyle w:val="aff4"/>
        <w:rPr>
          <w:rFonts w:eastAsiaTheme="minorEastAsia" w:cstheme="minorBidi"/>
          <w:i/>
          <w:iCs/>
          <w:noProof/>
          <w:sz w:val="22"/>
          <w:szCs w:val="22"/>
          <w:rtl/>
        </w:rPr>
      </w:pPr>
      <w:bookmarkStart w:id="22207" w:name="_Toc19436299"/>
      <w:bookmarkStart w:id="22208" w:name="_Toc20081446"/>
      <w:r>
        <w:rPr>
          <w:noProof/>
          <w:rtl/>
        </w:rPr>
        <w:t>קושיות הראש יוסף על רבינו אפרים</w:t>
      </w:r>
      <w:bookmarkEnd w:id="22207"/>
      <w:bookmarkEnd w:id="22208"/>
    </w:p>
    <w:p w14:paraId="036864A7" w14:textId="77777777" w:rsidR="003D504D" w:rsidRDefault="003D504D" w:rsidP="005077A7">
      <w:pPr>
        <w:pStyle w:val="a"/>
        <w:rPr>
          <w:rFonts w:eastAsiaTheme="minorEastAsia" w:cstheme="minorBidi"/>
          <w:sz w:val="22"/>
          <w:szCs w:val="22"/>
          <w:rtl/>
        </w:rPr>
      </w:pPr>
      <w:r>
        <w:rPr>
          <w:rtl/>
        </w:rPr>
        <w:t>ביאור הראש יוסף ברבינו אפרים דלר"מ וריו"ח חדשים גרמי ולר"י ור"ל אוירא גרים וקיי"ל כר"מ</w:t>
      </w:r>
    </w:p>
    <w:p w14:paraId="56E9FA10" w14:textId="77777777" w:rsidR="003D504D" w:rsidRDefault="003D504D" w:rsidP="005077A7">
      <w:pPr>
        <w:pStyle w:val="a"/>
        <w:rPr>
          <w:rFonts w:eastAsiaTheme="minorEastAsia" w:cstheme="minorBidi"/>
          <w:sz w:val="22"/>
          <w:szCs w:val="22"/>
          <w:rtl/>
        </w:rPr>
      </w:pPr>
      <w:r>
        <w:rPr>
          <w:rtl/>
        </w:rPr>
        <w:t>קושית הראש יוסף על רבינו אפרים דלא מסתבר דנחלקו אמוראים במחלוקת תנאים</w:t>
      </w:r>
    </w:p>
    <w:p w14:paraId="692B15C5" w14:textId="77777777" w:rsidR="003D504D" w:rsidRDefault="003D504D" w:rsidP="005077A7">
      <w:pPr>
        <w:pStyle w:val="a"/>
        <w:rPr>
          <w:rFonts w:eastAsiaTheme="minorEastAsia" w:cstheme="minorBidi"/>
          <w:sz w:val="22"/>
          <w:szCs w:val="22"/>
          <w:rtl/>
        </w:rPr>
      </w:pPr>
      <w:r>
        <w:rPr>
          <w:rtl/>
        </w:rPr>
        <w:t>קושית הראש יוסף על רבינו אפרים דאמאי לא תירץ ר"ל דהברייתא דאשם היא כר"מ</w:t>
      </w:r>
    </w:p>
    <w:p w14:paraId="34EF1E3A" w14:textId="77777777" w:rsidR="003D504D" w:rsidRDefault="003D504D" w:rsidP="005077A7">
      <w:pPr>
        <w:pStyle w:val="a"/>
        <w:rPr>
          <w:rFonts w:eastAsiaTheme="minorEastAsia" w:cstheme="minorBidi"/>
          <w:sz w:val="22"/>
          <w:szCs w:val="22"/>
          <w:rtl/>
        </w:rPr>
      </w:pPr>
      <w:r>
        <w:rPr>
          <w:rtl/>
        </w:rPr>
        <w:t>קושית הראש יוסף על רבינו אפרים דבברייתא דאשם מבואר דהיא לר"י ומה הקשה ר"ל לריו"ח</w:t>
      </w:r>
    </w:p>
    <w:p w14:paraId="546773FB" w14:textId="77777777" w:rsidR="003D504D" w:rsidRDefault="003D504D" w:rsidP="005077A7">
      <w:pPr>
        <w:pStyle w:val="a"/>
        <w:rPr>
          <w:rFonts w:eastAsiaTheme="minorEastAsia" w:cstheme="minorBidi"/>
          <w:sz w:val="22"/>
          <w:szCs w:val="22"/>
          <w:rtl/>
        </w:rPr>
      </w:pPr>
      <w:r>
        <w:rPr>
          <w:rtl/>
        </w:rPr>
        <w:t>קושית הראש יוסף על רבינו אפרים מהוכחת התוס' דאף לריו"ח בעינן אוירא דעלמא ולא רק חדשים</w:t>
      </w:r>
    </w:p>
    <w:p w14:paraId="1FD94704" w14:textId="77777777" w:rsidR="003D504D" w:rsidRDefault="003D504D" w:rsidP="005077A7">
      <w:pPr>
        <w:pStyle w:val="a"/>
        <w:rPr>
          <w:rFonts w:eastAsiaTheme="minorEastAsia" w:cstheme="minorBidi"/>
          <w:sz w:val="22"/>
          <w:szCs w:val="22"/>
          <w:rtl/>
        </w:rPr>
      </w:pPr>
      <w:r>
        <w:rPr>
          <w:rtl/>
        </w:rPr>
        <w:t>דברי הראש יוסף דלרבינו אפרים א"א לתרץ כרשב"א דעומד להיתר בשחיטה דהא פסק כר"מ</w:t>
      </w:r>
    </w:p>
    <w:p w14:paraId="6D862E54" w14:textId="77777777" w:rsidR="003D504D" w:rsidRDefault="003D504D" w:rsidP="003D504D">
      <w:pPr>
        <w:pStyle w:val="2"/>
        <w:rPr>
          <w:rtl/>
        </w:rPr>
      </w:pPr>
      <w:bookmarkStart w:id="22209" w:name="_Toc19436300"/>
      <w:r>
        <w:rPr>
          <w:rFonts w:hint="cs"/>
          <w:rtl/>
        </w:rPr>
        <w:t>דעת העיטור</w:t>
      </w:r>
      <w:bookmarkEnd w:id="22209"/>
    </w:p>
    <w:p w14:paraId="4FAC5077" w14:textId="77777777" w:rsidR="003D504D" w:rsidRDefault="003D504D" w:rsidP="003D504D">
      <w:pPr>
        <w:pStyle w:val="aff4"/>
        <w:rPr>
          <w:rFonts w:eastAsiaTheme="minorEastAsia" w:cstheme="minorBidi"/>
          <w:i/>
          <w:iCs/>
          <w:noProof/>
          <w:sz w:val="22"/>
          <w:szCs w:val="22"/>
          <w:rtl/>
        </w:rPr>
      </w:pPr>
      <w:bookmarkStart w:id="22210" w:name="_Toc19436301"/>
      <w:bookmarkStart w:id="22211" w:name="_Toc20081447"/>
      <w:r>
        <w:rPr>
          <w:noProof/>
          <w:rtl/>
        </w:rPr>
        <w:t>דעת העיטור דריו"ח ור"ל נחלקו רק לדעת ר"מ ולא לר"י</w:t>
      </w:r>
      <w:bookmarkEnd w:id="22210"/>
      <w:bookmarkEnd w:id="22211"/>
    </w:p>
    <w:p w14:paraId="2097BA20" w14:textId="77777777" w:rsidR="003D504D" w:rsidRDefault="003D504D" w:rsidP="005077A7">
      <w:pPr>
        <w:pStyle w:val="a"/>
        <w:rPr>
          <w:rFonts w:eastAsiaTheme="minorEastAsia" w:cstheme="minorBidi"/>
          <w:sz w:val="22"/>
          <w:szCs w:val="22"/>
          <w:rtl/>
        </w:rPr>
      </w:pPr>
      <w:r>
        <w:rPr>
          <w:rtl/>
        </w:rPr>
        <w:t>דברי העיטור דבשחיטה קיי"ל כסתם מתני' כר"י ובחלב וגיד כריו"ח ור"ל דנחלקו בדעת ר"מ</w:t>
      </w:r>
    </w:p>
    <w:p w14:paraId="77CC2FBE" w14:textId="77777777" w:rsidR="003D504D" w:rsidRDefault="003D504D" w:rsidP="005077A7">
      <w:pPr>
        <w:pStyle w:val="a"/>
        <w:rPr>
          <w:rFonts w:eastAsiaTheme="minorEastAsia" w:cstheme="minorBidi"/>
          <w:sz w:val="22"/>
          <w:szCs w:val="22"/>
          <w:rtl/>
        </w:rPr>
      </w:pPr>
      <w:r>
        <w:rPr>
          <w:rtl/>
        </w:rPr>
        <w:t>ביאור העיטור דריו"ח ור"ל ס"ל כר"מ ור"ל מתיר דוקא בתלש דליכא אוירא אבל בבן פקועה אסור</w:t>
      </w:r>
    </w:p>
    <w:p w14:paraId="6F508F38" w14:textId="77777777" w:rsidR="003D504D" w:rsidRDefault="003D504D" w:rsidP="005077A7">
      <w:pPr>
        <w:pStyle w:val="a"/>
        <w:rPr>
          <w:rFonts w:eastAsiaTheme="minorEastAsia" w:cstheme="minorBidi"/>
          <w:sz w:val="22"/>
          <w:szCs w:val="22"/>
          <w:rtl/>
        </w:rPr>
      </w:pPr>
      <w:r>
        <w:rPr>
          <w:rtl/>
        </w:rPr>
        <w:t>דברי העיטור דר"י ס"ל דבעינן אוירא דלידה להחשיבו כשור ובתלש ס"ל לרבנן דהחלב מותר</w:t>
      </w:r>
    </w:p>
    <w:p w14:paraId="009359A6" w14:textId="77777777" w:rsidR="003D504D" w:rsidRDefault="003D504D" w:rsidP="005077A7">
      <w:pPr>
        <w:pStyle w:val="a"/>
        <w:rPr>
          <w:rFonts w:eastAsiaTheme="minorEastAsia" w:cstheme="minorBidi"/>
          <w:sz w:val="22"/>
          <w:szCs w:val="22"/>
          <w:rtl/>
        </w:rPr>
      </w:pPr>
      <w:r>
        <w:rPr>
          <w:rtl/>
        </w:rPr>
        <w:t>הוכחת העיטור מדלא אמר ר"ל דבעינן אוירא דלידה דס"ל דחלב בן ט' אסור כר"מ ובן ח' מותר</w:t>
      </w:r>
    </w:p>
    <w:p w14:paraId="2FE2E3FC" w14:textId="77777777" w:rsidR="003D504D" w:rsidRDefault="003D504D" w:rsidP="005077A7">
      <w:pPr>
        <w:pStyle w:val="a"/>
        <w:rPr>
          <w:rFonts w:eastAsiaTheme="minorEastAsia" w:cstheme="minorBidi"/>
          <w:sz w:val="22"/>
          <w:szCs w:val="22"/>
          <w:rtl/>
        </w:rPr>
      </w:pPr>
      <w:r>
        <w:rPr>
          <w:rtl/>
        </w:rPr>
        <w:t>קושית העיטור דאי נחלקו ריו"ח ור"ל רק כשלא נשחטה מה הקשה ר"ל לריו"ח מהילפותא באשם</w:t>
      </w:r>
    </w:p>
    <w:p w14:paraId="2E511A9C" w14:textId="77777777" w:rsidR="003D504D" w:rsidRDefault="003D504D" w:rsidP="005077A7">
      <w:pPr>
        <w:pStyle w:val="a"/>
        <w:rPr>
          <w:rFonts w:eastAsiaTheme="minorEastAsia" w:cstheme="minorBidi"/>
          <w:sz w:val="22"/>
          <w:szCs w:val="22"/>
          <w:rtl/>
        </w:rPr>
      </w:pPr>
      <w:r>
        <w:rPr>
          <w:rtl/>
        </w:rPr>
        <w:t>ביאור העיטור בדעת רש"י דריו"ח ור"ל נחלקו אליבא דר"מ ולא ס"ל כר"י</w:t>
      </w:r>
    </w:p>
    <w:p w14:paraId="78768C67" w14:textId="77777777" w:rsidR="003D504D" w:rsidRDefault="003D504D" w:rsidP="005077A7">
      <w:pPr>
        <w:pStyle w:val="a"/>
        <w:rPr>
          <w:rFonts w:eastAsiaTheme="minorEastAsia" w:cstheme="minorBidi"/>
          <w:sz w:val="22"/>
          <w:szCs w:val="22"/>
          <w:rtl/>
        </w:rPr>
      </w:pPr>
      <w:r>
        <w:rPr>
          <w:rtl/>
        </w:rPr>
        <w:t>קושית הרשב"א על הרמב"ם והעיטור דמבואר ברב הושעיא דדין חלב תלוי בדין השחיטה</w:t>
      </w:r>
    </w:p>
    <w:p w14:paraId="76F536AD" w14:textId="77777777" w:rsidR="003D504D" w:rsidRDefault="003D504D" w:rsidP="003D504D">
      <w:pPr>
        <w:pStyle w:val="aff4"/>
        <w:rPr>
          <w:rFonts w:eastAsiaTheme="minorEastAsia" w:cstheme="minorBidi"/>
          <w:i/>
          <w:iCs/>
          <w:noProof/>
          <w:sz w:val="22"/>
          <w:szCs w:val="22"/>
          <w:rtl/>
        </w:rPr>
      </w:pPr>
      <w:bookmarkStart w:id="22212" w:name="_Toc19436302"/>
      <w:bookmarkStart w:id="22213" w:name="_Toc20081448"/>
      <w:r>
        <w:rPr>
          <w:noProof/>
          <w:rtl/>
        </w:rPr>
        <w:t>דברי התוס' דספיקא דרב הושעיא הוא בין לריו"ח ובין לר"ל</w:t>
      </w:r>
      <w:bookmarkEnd w:id="22212"/>
      <w:bookmarkEnd w:id="22213"/>
    </w:p>
    <w:p w14:paraId="383F789E" w14:textId="77777777" w:rsidR="003D504D" w:rsidRDefault="003D504D" w:rsidP="005077A7">
      <w:pPr>
        <w:pStyle w:val="a"/>
        <w:rPr>
          <w:rFonts w:eastAsiaTheme="minorEastAsia" w:cstheme="minorBidi"/>
          <w:sz w:val="22"/>
          <w:szCs w:val="22"/>
          <w:rtl/>
        </w:rPr>
      </w:pPr>
      <w:r>
        <w:rPr>
          <w:rtl/>
        </w:rPr>
        <w:t>דברי התוס' דהספק בשחט עובר במעי אמו הוא אף לריו"ח דחדשים גרמי כיון שלא יצא לאויר</w:t>
      </w:r>
    </w:p>
    <w:p w14:paraId="76032348" w14:textId="77777777" w:rsidR="003D504D" w:rsidRDefault="003D504D" w:rsidP="005077A7">
      <w:pPr>
        <w:pStyle w:val="a"/>
        <w:rPr>
          <w:rFonts w:eastAsiaTheme="minorEastAsia" w:cstheme="minorBidi"/>
          <w:sz w:val="22"/>
          <w:szCs w:val="22"/>
          <w:rtl/>
        </w:rPr>
      </w:pPr>
      <w:r>
        <w:rPr>
          <w:rtl/>
        </w:rPr>
        <w:t>דברי התוס' לקמן דהספק אף לר"ל דחדשים ואוירא גרמי אי מהני שחיטתו כמו דמהני שחיטת האם</w:t>
      </w:r>
    </w:p>
    <w:p w14:paraId="716D71D9" w14:textId="77777777" w:rsidR="003D504D" w:rsidRDefault="003D504D" w:rsidP="003D504D">
      <w:pPr>
        <w:pStyle w:val="aff4"/>
        <w:rPr>
          <w:rFonts w:eastAsiaTheme="minorEastAsia" w:cstheme="minorBidi"/>
          <w:i/>
          <w:iCs/>
          <w:noProof/>
          <w:sz w:val="22"/>
          <w:szCs w:val="22"/>
          <w:rtl/>
        </w:rPr>
      </w:pPr>
      <w:bookmarkStart w:id="22214" w:name="_Toc19436303"/>
      <w:bookmarkStart w:id="22215" w:name="_Toc20081449"/>
      <w:r>
        <w:rPr>
          <w:noProof/>
          <w:rtl/>
        </w:rPr>
        <w:t>קושית הגר"י ענגיל דלר"ל אינו בהמה וודאי דל"מ שחיטה</w:t>
      </w:r>
      <w:bookmarkEnd w:id="22214"/>
      <w:bookmarkEnd w:id="22215"/>
    </w:p>
    <w:p w14:paraId="0EB572DE" w14:textId="77777777" w:rsidR="003D504D" w:rsidRDefault="003D504D" w:rsidP="005077A7">
      <w:pPr>
        <w:pStyle w:val="a"/>
        <w:rPr>
          <w:rFonts w:eastAsiaTheme="minorEastAsia" w:cstheme="minorBidi"/>
          <w:sz w:val="22"/>
          <w:szCs w:val="22"/>
          <w:rtl/>
        </w:rPr>
      </w:pPr>
      <w:r>
        <w:rPr>
          <w:rtl/>
        </w:rPr>
        <w:t>קושית הגר"י ענגיל על תוס' דלר"ל דחדשים ואוירא גרמי ודאי דל"מ שחיטה במעיה דאינו בהמה</w:t>
      </w:r>
    </w:p>
    <w:p w14:paraId="62046AD0" w14:textId="77777777" w:rsidR="003D504D" w:rsidRDefault="003D504D" w:rsidP="005077A7">
      <w:pPr>
        <w:pStyle w:val="a"/>
        <w:rPr>
          <w:rFonts w:eastAsiaTheme="minorEastAsia" w:cstheme="minorBidi"/>
          <w:sz w:val="22"/>
          <w:szCs w:val="22"/>
          <w:rtl/>
        </w:rPr>
      </w:pPr>
      <w:r>
        <w:rPr>
          <w:rtl/>
        </w:rPr>
        <w:t>קושית הגר"י ענגיל להצד דיש בו היתר "בהמה בבהמה" ודאי שאין לו שחיטה מצד עצמו</w:t>
      </w:r>
    </w:p>
    <w:p w14:paraId="5E82A84B" w14:textId="77777777" w:rsidR="003D504D" w:rsidRDefault="003D504D" w:rsidP="005077A7">
      <w:pPr>
        <w:pStyle w:val="a"/>
        <w:rPr>
          <w:rFonts w:eastAsiaTheme="minorEastAsia" w:cstheme="minorBidi"/>
          <w:sz w:val="22"/>
          <w:szCs w:val="22"/>
          <w:rtl/>
        </w:rPr>
        <w:sectPr w:rsidR="003D504D" w:rsidSect="007C6A7B">
          <w:type w:val="continuous"/>
          <w:pgSz w:w="11906" w:h="16838"/>
          <w:pgMar w:top="720" w:right="720" w:bottom="720" w:left="720" w:header="283" w:footer="283" w:gutter="0"/>
          <w:cols w:num="2" w:space="113"/>
          <w:bidi/>
          <w:rtlGutter/>
          <w:docGrid w:linePitch="299"/>
        </w:sectPr>
      </w:pPr>
      <w:r>
        <w:rPr>
          <w:rtl/>
        </w:rPr>
        <w:t>קושית הגר"י ענגיל להצד דחשיב כשחוט בשחיטת אמו הוא דהוי כאבר אמו ול"מ שחיטת עצמו</w:t>
      </w:r>
    </w:p>
    <w:p w14:paraId="557F3351" w14:textId="77777777" w:rsidR="003D504D" w:rsidRDefault="003D504D" w:rsidP="005077A7">
      <w:pPr>
        <w:pStyle w:val="a"/>
        <w:numPr>
          <w:ilvl w:val="0"/>
          <w:numId w:val="0"/>
        </w:numPr>
        <w:ind w:left="567"/>
        <w:rPr>
          <w:rtl/>
        </w:rPr>
      </w:pPr>
    </w:p>
    <w:p w14:paraId="0BE07DC0" w14:textId="77777777" w:rsidR="003D504D" w:rsidRDefault="003D504D" w:rsidP="003D504D">
      <w:pPr>
        <w:pStyle w:val="aff4"/>
        <w:rPr>
          <w:rtl/>
        </w:rPr>
        <w:sectPr w:rsidR="003D504D" w:rsidSect="007C6A7B">
          <w:type w:val="continuous"/>
          <w:pgSz w:w="11906" w:h="16838"/>
          <w:pgMar w:top="720" w:right="720" w:bottom="720" w:left="720" w:header="283" w:footer="283" w:gutter="0"/>
          <w:cols w:num="2" w:space="113"/>
          <w:bidi/>
          <w:rtlGutter/>
          <w:docGrid w:linePitch="299"/>
        </w:sectPr>
      </w:pPr>
      <w:r>
        <w:rPr>
          <w:rtl/>
        </w:rPr>
        <w:fldChar w:fldCharType="end"/>
      </w:r>
    </w:p>
    <w:p w14:paraId="3E44E1A0" w14:textId="77777777" w:rsidR="003D504D" w:rsidRDefault="003D504D" w:rsidP="003D504D">
      <w:pPr>
        <w:pStyle w:val="afe"/>
        <w:rPr>
          <w:rtl/>
        </w:rPr>
      </w:pPr>
      <w:bookmarkStart w:id="22216" w:name="_Toc2718654"/>
      <w:bookmarkStart w:id="22217" w:name="_Toc2866716"/>
      <w:bookmarkStart w:id="22218" w:name="_Toc3234465"/>
      <w:bookmarkStart w:id="22219" w:name="_Toc3287699"/>
      <w:bookmarkStart w:id="22220" w:name="_Toc3322200"/>
      <w:bookmarkStart w:id="22221" w:name="_Toc3480662"/>
      <w:bookmarkStart w:id="22222" w:name="_Toc3484926"/>
      <w:bookmarkStart w:id="22223" w:name="_Toc3535773"/>
      <w:bookmarkStart w:id="22224" w:name="_Toc3543115"/>
      <w:bookmarkStart w:id="22225" w:name="_Toc3550811"/>
      <w:bookmarkStart w:id="22226" w:name="_Toc3550967"/>
      <w:bookmarkStart w:id="22227" w:name="_Toc19436304"/>
      <w:bookmarkStart w:id="22228" w:name="_Toc20081450"/>
      <w:r>
        <w:rPr>
          <w:rFonts w:hint="cs"/>
          <w:rtl/>
        </w:rPr>
        <w:t>מראי מקומות וביאורים על הסוגיא</w:t>
      </w:r>
      <w:bookmarkEnd w:id="22216"/>
      <w:bookmarkEnd w:id="22217"/>
      <w:bookmarkEnd w:id="22218"/>
      <w:bookmarkEnd w:id="22219"/>
      <w:bookmarkEnd w:id="22220"/>
      <w:bookmarkEnd w:id="22221"/>
      <w:bookmarkEnd w:id="22222"/>
      <w:bookmarkEnd w:id="22223"/>
      <w:bookmarkEnd w:id="22224"/>
      <w:bookmarkEnd w:id="22225"/>
      <w:bookmarkEnd w:id="22226"/>
      <w:bookmarkEnd w:id="22227"/>
      <w:bookmarkEnd w:id="22228"/>
    </w:p>
    <w:p w14:paraId="73909DC6" w14:textId="77777777" w:rsidR="00E43F2E" w:rsidRDefault="00E43F2E" w:rsidP="003D504D">
      <w:pPr>
        <w:pStyle w:val="afe"/>
        <w:rPr>
          <w:rtl/>
        </w:rPr>
        <w:sectPr w:rsidR="00E43F2E" w:rsidSect="00E43F2E">
          <w:pgSz w:w="11906" w:h="16838"/>
          <w:pgMar w:top="720" w:right="720" w:bottom="720" w:left="720" w:header="283" w:footer="283" w:gutter="0"/>
          <w:cols w:space="567"/>
          <w:bidi/>
          <w:rtlGutter/>
          <w:docGrid w:linePitch="299"/>
        </w:sectPr>
      </w:pPr>
      <w:bookmarkStart w:id="22229" w:name="_Toc3322201"/>
      <w:bookmarkStart w:id="22230" w:name="_Toc3480663"/>
      <w:bookmarkStart w:id="22231" w:name="_Toc3484927"/>
      <w:bookmarkStart w:id="22232" w:name="_Toc3535774"/>
      <w:bookmarkStart w:id="22233" w:name="_Toc3543116"/>
      <w:bookmarkStart w:id="22234" w:name="_Toc3550812"/>
      <w:bookmarkStart w:id="22235" w:name="_Toc3550968"/>
      <w:bookmarkStart w:id="22236" w:name="_Toc2597309"/>
    </w:p>
    <w:p w14:paraId="0E01AF4A" w14:textId="77777777" w:rsidR="003D504D" w:rsidRPr="00DF6D39" w:rsidRDefault="003D504D" w:rsidP="003D504D">
      <w:pPr>
        <w:pStyle w:val="afe"/>
        <w:rPr>
          <w:rFonts w:cs="Cambria"/>
          <w:rtl/>
        </w:rPr>
      </w:pPr>
      <w:bookmarkStart w:id="22237" w:name="_Toc19436305"/>
      <w:bookmarkStart w:id="22238" w:name="_Toc20081451"/>
      <w:r>
        <w:rPr>
          <w:rFonts w:hint="cs"/>
          <w:rtl/>
        </w:rPr>
        <w:t>דברי רב הושעיא דר"מ ור"י הלכו לשיטתם</w:t>
      </w:r>
      <w:bookmarkEnd w:id="22229"/>
      <w:bookmarkEnd w:id="22230"/>
      <w:bookmarkEnd w:id="22231"/>
      <w:bookmarkEnd w:id="22232"/>
      <w:bookmarkEnd w:id="22233"/>
      <w:bookmarkEnd w:id="22234"/>
      <w:bookmarkEnd w:id="22235"/>
      <w:bookmarkEnd w:id="22237"/>
      <w:bookmarkEnd w:id="22238"/>
    </w:p>
    <w:p w14:paraId="71AE752F" w14:textId="77777777" w:rsidR="003D504D" w:rsidRDefault="003D504D" w:rsidP="00BF39B2">
      <w:pPr>
        <w:pStyle w:val="1"/>
        <w:rPr>
          <w:rtl/>
        </w:rPr>
      </w:pPr>
      <w:bookmarkStart w:id="22239" w:name="_Toc3480664"/>
      <w:bookmarkStart w:id="22240" w:name="_Toc3484928"/>
      <w:bookmarkStart w:id="22241" w:name="_Toc3535775"/>
      <w:bookmarkStart w:id="22242" w:name="_Toc3543117"/>
      <w:bookmarkStart w:id="22243" w:name="_Toc3550813"/>
      <w:bookmarkStart w:id="22244" w:name="_Toc3550969"/>
      <w:bookmarkStart w:id="22245" w:name="_Toc19391780"/>
      <w:bookmarkStart w:id="22246" w:name="_Toc19395277"/>
      <w:r>
        <w:rPr>
          <w:rFonts w:hint="cs"/>
          <w:rtl/>
        </w:rPr>
        <w:t>ביאורי הראשונים דנחלקו ר"י ור"מ אי הוה בהמה בפנ"ע</w:t>
      </w:r>
      <w:bookmarkEnd w:id="22239"/>
      <w:bookmarkEnd w:id="22240"/>
      <w:bookmarkEnd w:id="22241"/>
      <w:bookmarkEnd w:id="22242"/>
      <w:bookmarkEnd w:id="22243"/>
      <w:bookmarkEnd w:id="22244"/>
      <w:bookmarkEnd w:id="22245"/>
      <w:bookmarkEnd w:id="22246"/>
    </w:p>
    <w:p w14:paraId="4CD27AF8" w14:textId="77777777" w:rsidR="003D504D" w:rsidRDefault="003D504D" w:rsidP="003D504D">
      <w:pPr>
        <w:pStyle w:val="a3"/>
        <w:rPr>
          <w:rtl/>
        </w:rPr>
      </w:pPr>
      <w:bookmarkStart w:id="22247" w:name="_Toc3234467"/>
      <w:bookmarkStart w:id="22248" w:name="_Toc3287701"/>
      <w:bookmarkStart w:id="22249" w:name="_Toc3322202"/>
      <w:bookmarkStart w:id="22250" w:name="_Toc3480665"/>
      <w:bookmarkStart w:id="22251" w:name="_Toc3484929"/>
      <w:bookmarkStart w:id="22252" w:name="_Toc3535776"/>
      <w:bookmarkStart w:id="22253" w:name="_Toc3543118"/>
      <w:bookmarkStart w:id="22254" w:name="_Toc3550814"/>
      <w:bookmarkStart w:id="22255" w:name="_Toc3550970"/>
      <w:bookmarkStart w:id="22256" w:name="_Toc19391781"/>
      <w:bookmarkStart w:id="22257" w:name="_Toc19395278"/>
      <w:r>
        <w:rPr>
          <w:rFonts w:hint="cs"/>
          <w:rtl/>
        </w:rPr>
        <w:t>דברי רש"י דלר"מ בן ט' חי חשיב כבהמה ולא כשליל ואינו בכלל ההיתר ולכן גידו וחלבו אסורים</w:t>
      </w:r>
      <w:bookmarkEnd w:id="22247"/>
      <w:bookmarkEnd w:id="22248"/>
      <w:bookmarkEnd w:id="22249"/>
      <w:bookmarkEnd w:id="22250"/>
      <w:bookmarkEnd w:id="22251"/>
      <w:bookmarkEnd w:id="22252"/>
      <w:bookmarkEnd w:id="22253"/>
      <w:bookmarkEnd w:id="22254"/>
      <w:bookmarkEnd w:id="22255"/>
      <w:bookmarkEnd w:id="22256"/>
      <w:bookmarkEnd w:id="22257"/>
    </w:p>
    <w:p w14:paraId="41C44F57" w14:textId="77777777" w:rsidR="003D504D" w:rsidRDefault="003D504D" w:rsidP="00E12979">
      <w:pPr>
        <w:pStyle w:val="a0"/>
        <w:numPr>
          <w:ilvl w:val="0"/>
          <w:numId w:val="44"/>
        </w:numPr>
        <w:rPr>
          <w:rtl/>
        </w:rPr>
      </w:pPr>
      <w:r>
        <w:rPr>
          <w:rFonts w:hint="cs"/>
          <w:rtl/>
        </w:rPr>
        <w:t xml:space="preserve">בדברי רב הושעיא דהלכו ר"מ ור"י לשיטתם, כתב </w:t>
      </w:r>
      <w:r w:rsidRPr="003A6D9D">
        <w:rPr>
          <w:rStyle w:val="af9"/>
          <w:rFonts w:hint="cs"/>
          <w:rtl/>
        </w:rPr>
        <w:t xml:space="preserve">רש"י </w:t>
      </w:r>
      <w:r w:rsidRPr="00223668">
        <w:rPr>
          <w:rStyle w:val="af7"/>
          <w:rFonts w:eastAsia="Guttman Hodes" w:hint="cs"/>
          <w:rtl/>
        </w:rPr>
        <w:t xml:space="preserve">(עד: ד"ה והלך) </w:t>
      </w:r>
      <w:r>
        <w:rPr>
          <w:rFonts w:hint="cs"/>
          <w:rtl/>
        </w:rPr>
        <w:t xml:space="preserve">דר"מ דס"ל דבן ט' חי חשיב כבהמה, ולכן חלבו אסור, </w:t>
      </w:r>
      <w:r w:rsidRPr="003A6D9D">
        <w:rPr>
          <w:rStyle w:val="af9"/>
          <w:rFonts w:hint="cs"/>
          <w:rtl/>
        </w:rPr>
        <w:t xml:space="preserve">וברש"י לקמן </w:t>
      </w:r>
      <w:r w:rsidRPr="00223668">
        <w:rPr>
          <w:rStyle w:val="af7"/>
          <w:rFonts w:eastAsia="Guttman Hodes" w:hint="cs"/>
          <w:rtl/>
        </w:rPr>
        <w:t xml:space="preserve">(צב: ד"ה לשיטתו) </w:t>
      </w:r>
      <w:r>
        <w:rPr>
          <w:rFonts w:hint="cs"/>
          <w:rtl/>
        </w:rPr>
        <w:t xml:space="preserve">הוסיף לבאר דלר"מ דבן ט' חי טעון שחיטה, אינו נקרא שליל בכדי להתירו בשחיטת אמו, ואינו בכלל "כל בבהמה תאכלו", ולכן חלבו וגידו אסור ככל חלב וגיד של בהמה בעלמא, וע"ע בדברי </w:t>
      </w:r>
      <w:r w:rsidRPr="008F5C6D">
        <w:rPr>
          <w:rStyle w:val="af9"/>
          <w:rFonts w:hint="cs"/>
          <w:rtl/>
        </w:rPr>
        <w:t>רש"י לקמן</w:t>
      </w:r>
      <w:r>
        <w:rPr>
          <w:rFonts w:hint="cs"/>
          <w:rtl/>
        </w:rPr>
        <w:t xml:space="preserve"> </w:t>
      </w:r>
      <w:r w:rsidRPr="00223668">
        <w:rPr>
          <w:rStyle w:val="af7"/>
          <w:rFonts w:eastAsia="Guttman Hodes" w:hint="cs"/>
          <w:rtl/>
        </w:rPr>
        <w:t>(פה: ד"ה בן ט')</w:t>
      </w:r>
      <w:r>
        <w:rPr>
          <w:rFonts w:hint="cs"/>
          <w:rtl/>
        </w:rPr>
        <w:t>.</w:t>
      </w:r>
    </w:p>
    <w:p w14:paraId="23248EE1" w14:textId="77777777" w:rsidR="003D504D" w:rsidRPr="00A17F81" w:rsidRDefault="003D504D" w:rsidP="003D504D">
      <w:pPr>
        <w:pStyle w:val="a3"/>
        <w:rPr>
          <w:rtl/>
        </w:rPr>
      </w:pPr>
      <w:bookmarkStart w:id="22258" w:name="_Toc3234468"/>
      <w:bookmarkStart w:id="22259" w:name="_Toc3287702"/>
      <w:bookmarkStart w:id="22260" w:name="_Toc3322203"/>
      <w:bookmarkStart w:id="22261" w:name="_Toc3480666"/>
      <w:bookmarkStart w:id="22262" w:name="_Toc3484930"/>
      <w:bookmarkStart w:id="22263" w:name="_Toc3535777"/>
      <w:bookmarkStart w:id="22264" w:name="_Toc3543119"/>
      <w:bookmarkStart w:id="22265" w:name="_Toc3550815"/>
      <w:bookmarkStart w:id="22266" w:name="_Toc3550971"/>
      <w:bookmarkStart w:id="22267" w:name="_Toc19391782"/>
      <w:bookmarkStart w:id="22268" w:name="_Toc19395279"/>
      <w:bookmarkEnd w:id="22236"/>
      <w:r>
        <w:rPr>
          <w:rFonts w:hint="cs"/>
          <w:rtl/>
        </w:rPr>
        <w:t>דברי הריטב"א והר"ן דלר"מ בן ט' חשיב כבהמה בפנ"ע לענין שחיטה וחלב וגיד</w:t>
      </w:r>
      <w:r w:rsidRPr="007E59E7">
        <w:rPr>
          <w:rFonts w:hint="cs"/>
          <w:rtl/>
        </w:rPr>
        <w:t xml:space="preserve"> </w:t>
      </w:r>
      <w:r>
        <w:rPr>
          <w:rFonts w:hint="cs"/>
          <w:rtl/>
        </w:rPr>
        <w:t>ולר"י אינו בהמה</w:t>
      </w:r>
      <w:bookmarkEnd w:id="22258"/>
      <w:bookmarkEnd w:id="22259"/>
      <w:bookmarkEnd w:id="22260"/>
      <w:bookmarkEnd w:id="22261"/>
      <w:bookmarkEnd w:id="22262"/>
      <w:bookmarkEnd w:id="22263"/>
      <w:bookmarkEnd w:id="22264"/>
      <w:bookmarkEnd w:id="22265"/>
      <w:bookmarkEnd w:id="22266"/>
      <w:bookmarkEnd w:id="22267"/>
      <w:bookmarkEnd w:id="22268"/>
    </w:p>
    <w:p w14:paraId="4C8A1226" w14:textId="77777777" w:rsidR="003D504D" w:rsidRDefault="003D504D" w:rsidP="00223668">
      <w:pPr>
        <w:pStyle w:val="a0"/>
        <w:rPr>
          <w:rtl/>
        </w:rPr>
      </w:pPr>
      <w:r>
        <w:rPr>
          <w:rFonts w:hint="cs"/>
          <w:rtl/>
        </w:rPr>
        <w:t xml:space="preserve">וכן ביארו </w:t>
      </w:r>
      <w:r w:rsidRPr="0055109A">
        <w:rPr>
          <w:rStyle w:val="af9"/>
          <w:rFonts w:hint="cs"/>
          <w:rtl/>
        </w:rPr>
        <w:t>הריטב</w:t>
      </w:r>
      <w:r w:rsidRPr="007548FE">
        <w:rPr>
          <w:rStyle w:val="af9"/>
          <w:rFonts w:hint="cs"/>
          <w:rtl/>
        </w:rPr>
        <w:t>"א</w:t>
      </w:r>
      <w:r>
        <w:rPr>
          <w:rFonts w:hint="cs"/>
          <w:rtl/>
        </w:rPr>
        <w:t xml:space="preserve"> </w:t>
      </w:r>
      <w:r w:rsidRPr="00284ECE">
        <w:rPr>
          <w:rStyle w:val="af7"/>
          <w:rFonts w:eastAsia="Guttman Hodes" w:hint="cs"/>
          <w:rtl/>
        </w:rPr>
        <w:t xml:space="preserve">(עד: ד"ה חלבו) </w:t>
      </w:r>
      <w:r w:rsidRPr="00B67A2F">
        <w:rPr>
          <w:rStyle w:val="af9"/>
          <w:rFonts w:hint="cs"/>
          <w:rtl/>
        </w:rPr>
        <w:t>והר"ן על הרי"ף</w:t>
      </w:r>
      <w:r w:rsidRPr="00284ECE">
        <w:rPr>
          <w:rStyle w:val="af7"/>
          <w:rFonts w:eastAsia="Guttman Hodes" w:hint="cs"/>
          <w:rtl/>
        </w:rPr>
        <w:t xml:space="preserve"> (ל. מדפי הרי"ף ד"ה ונוהג) </w:t>
      </w:r>
      <w:r>
        <w:rPr>
          <w:rFonts w:hint="cs"/>
          <w:rtl/>
        </w:rPr>
        <w:t>דפלוגתת ר"מ ור"י בגיד וחלב בבן ט', היא לשיטם דנחלקו בדין שחיטה, דר"מ ס"ל דבן ט' חי חשיב בהמה בפנ"ע לענין שחיטה, ולכן גם חלבו וגידו אסורים, ולר"י דס"ל דבן ט' אינו בהמה בפנ"ע ומותר בשחיטת אמו, ולכן לא נו</w:t>
      </w:r>
      <w:bookmarkStart w:id="22269" w:name="_Toc2718662"/>
      <w:bookmarkStart w:id="22270" w:name="_Toc2866724"/>
      <w:bookmarkStart w:id="22271" w:name="_Toc3234491"/>
      <w:bookmarkStart w:id="22272" w:name="_Toc3287729"/>
      <w:bookmarkStart w:id="22273" w:name="_Toc3322208"/>
      <w:bookmarkStart w:id="22274" w:name="_Toc3322206"/>
      <w:bookmarkStart w:id="22275" w:name="_Toc2500228"/>
      <w:bookmarkStart w:id="22276" w:name="_Toc2541655"/>
      <w:bookmarkStart w:id="22277" w:name="_Toc2597310"/>
      <w:r>
        <w:rPr>
          <w:rFonts w:hint="cs"/>
          <w:rtl/>
        </w:rPr>
        <w:t xml:space="preserve">הג בו איסור גיד הנשה וחלבו מותר, והוסיף </w:t>
      </w:r>
      <w:r w:rsidRPr="00284ECE">
        <w:rPr>
          <w:rStyle w:val="af9"/>
          <w:rFonts w:hint="cs"/>
          <w:rtl/>
        </w:rPr>
        <w:t>הר"ן על הרי"ף</w:t>
      </w:r>
      <w:r>
        <w:rPr>
          <w:rFonts w:hint="cs"/>
          <w:rtl/>
        </w:rPr>
        <w:t xml:space="preserve"> דלר"י קרינן ביה "בהמה בבהמה תאכלו" דההיתר הוא בכל מה שבבהמה שנמצאת בבהמה אחרת, וכדברי רב הושעיא דר"מ ור"י הלכו לשיטתם, אבל בבן ח' חי אף ר"מ מודה דמותר בשחיטת אמו ואף חלבו וגידו מותרים.</w:t>
      </w:r>
    </w:p>
    <w:p w14:paraId="67E70F6C" w14:textId="77777777" w:rsidR="003D504D" w:rsidRPr="00EE523C" w:rsidRDefault="003D504D" w:rsidP="003D504D">
      <w:pPr>
        <w:pStyle w:val="a3"/>
        <w:rPr>
          <w:rtl/>
        </w:rPr>
      </w:pPr>
      <w:bookmarkStart w:id="22278" w:name="_Toc3480667"/>
      <w:bookmarkStart w:id="22279" w:name="_Toc3484931"/>
      <w:bookmarkStart w:id="22280" w:name="_Toc3535778"/>
      <w:bookmarkStart w:id="22281" w:name="_Toc3543120"/>
      <w:bookmarkStart w:id="22282" w:name="_Toc3550816"/>
      <w:bookmarkStart w:id="22283" w:name="_Toc3550972"/>
      <w:bookmarkStart w:id="22284" w:name="_Toc19391783"/>
      <w:bookmarkStart w:id="22285" w:name="_Toc19395280"/>
      <w:r>
        <w:rPr>
          <w:rFonts w:hint="cs"/>
          <w:rtl/>
        </w:rPr>
        <w:t>דברי רבינו גרשום דלר"מ בן ט' חשיב כבהמה וחלבו אסור ולר"י אינו חשיב כבהמה ולכן חלבו מותר</w:t>
      </w:r>
      <w:bookmarkEnd w:id="22269"/>
      <w:bookmarkEnd w:id="22270"/>
      <w:bookmarkEnd w:id="22271"/>
      <w:bookmarkEnd w:id="22272"/>
      <w:bookmarkEnd w:id="22273"/>
      <w:bookmarkEnd w:id="22278"/>
      <w:bookmarkEnd w:id="22279"/>
      <w:bookmarkEnd w:id="22280"/>
      <w:bookmarkEnd w:id="22281"/>
      <w:bookmarkEnd w:id="22282"/>
      <w:bookmarkEnd w:id="22283"/>
      <w:bookmarkEnd w:id="22284"/>
      <w:bookmarkEnd w:id="22285"/>
    </w:p>
    <w:p w14:paraId="26479759" w14:textId="77777777" w:rsidR="003D504D" w:rsidRPr="009D7A57" w:rsidRDefault="003D504D" w:rsidP="00223668">
      <w:pPr>
        <w:pStyle w:val="a0"/>
        <w:rPr>
          <w:rStyle w:val="afb"/>
          <w:rtl/>
        </w:rPr>
      </w:pPr>
      <w:r>
        <w:rPr>
          <w:rStyle w:val="af9"/>
          <w:rFonts w:hint="cs"/>
          <w:rtl/>
        </w:rPr>
        <w:t>ו</w:t>
      </w:r>
      <w:r w:rsidRPr="001213DD">
        <w:rPr>
          <w:rStyle w:val="af9"/>
          <w:rFonts w:hint="cs"/>
          <w:rtl/>
        </w:rPr>
        <w:t xml:space="preserve">רבינו גרשום </w:t>
      </w:r>
      <w:r w:rsidRPr="009D7A57">
        <w:rPr>
          <w:rStyle w:val="af7"/>
          <w:rFonts w:eastAsia="Guttman Hodes" w:hint="cs"/>
          <w:rtl/>
        </w:rPr>
        <w:t>(עד: ד"ה והלך, סט. ד"ה אי)</w:t>
      </w:r>
      <w:r w:rsidRPr="001213DD">
        <w:rPr>
          <w:rFonts w:hint="cs"/>
          <w:rtl/>
        </w:rPr>
        <w:t xml:space="preserve"> </w:t>
      </w:r>
      <w:r>
        <w:rPr>
          <w:rFonts w:hint="cs"/>
          <w:rtl/>
        </w:rPr>
        <w:t>ביאר</w:t>
      </w:r>
      <w:r w:rsidRPr="001213DD">
        <w:rPr>
          <w:rFonts w:hint="cs"/>
          <w:rtl/>
        </w:rPr>
        <w:t xml:space="preserve"> </w:t>
      </w:r>
      <w:r>
        <w:rPr>
          <w:rFonts w:hint="cs"/>
          <w:rtl/>
        </w:rPr>
        <w:t>בדברי רב הושעיא דלר"מ דבן ט' חי טעון שחיטה, היינו כיון דס"ל לר"מ דהוא חשיב כבהמה, ולכן חלבו אסור, ולרבי יהודה ד</w:t>
      </w:r>
      <w:r w:rsidRPr="001213DD">
        <w:rPr>
          <w:rFonts w:hint="cs"/>
          <w:rtl/>
        </w:rPr>
        <w:t xml:space="preserve">שחיטת אמו מטהרתו, </w:t>
      </w:r>
      <w:r>
        <w:rPr>
          <w:rFonts w:hint="cs"/>
          <w:rtl/>
        </w:rPr>
        <w:t xml:space="preserve">היינו </w:t>
      </w:r>
      <w:r w:rsidRPr="001213DD">
        <w:rPr>
          <w:rFonts w:hint="cs"/>
          <w:rtl/>
        </w:rPr>
        <w:t>כיון שאינו חשוב כבהמה</w:t>
      </w:r>
      <w:r>
        <w:rPr>
          <w:rFonts w:hint="cs"/>
          <w:rtl/>
        </w:rPr>
        <w:t xml:space="preserve">, ולכן </w:t>
      </w:r>
      <w:r w:rsidRPr="001213DD">
        <w:rPr>
          <w:rFonts w:hint="cs"/>
          <w:rtl/>
        </w:rPr>
        <w:t>אין בו איסור חלב</w:t>
      </w:r>
      <w:r>
        <w:rPr>
          <w:rFonts w:hint="cs"/>
          <w:rtl/>
        </w:rPr>
        <w:t xml:space="preserve">, ועוד </w:t>
      </w:r>
      <w:r w:rsidRPr="00EE523C">
        <w:rPr>
          <w:rFonts w:hint="cs"/>
          <w:rtl/>
        </w:rPr>
        <w:t xml:space="preserve">ביאר </w:t>
      </w:r>
      <w:r w:rsidRPr="00EE523C">
        <w:rPr>
          <w:rStyle w:val="af9"/>
          <w:rFonts w:hint="cs"/>
          <w:rtl/>
        </w:rPr>
        <w:t xml:space="preserve">רבינו גרשום </w:t>
      </w:r>
      <w:r w:rsidRPr="00086399">
        <w:rPr>
          <w:rStyle w:val="af7"/>
          <w:rFonts w:eastAsia="Guttman Hodes" w:hint="cs"/>
          <w:rtl/>
        </w:rPr>
        <w:t>(עה. ד"ה לדברי)</w:t>
      </w:r>
      <w:r w:rsidRPr="00EE523C">
        <w:rPr>
          <w:rFonts w:hint="cs"/>
          <w:rtl/>
        </w:rPr>
        <w:t xml:space="preserve"> דר"מ אוסר בבן ט' חי, כיון דס"ל דעובר לאו ירך אמו, ורבנן מתירים בבן ט' חי, דס"ל דעובר ירך אמו</w:t>
      </w:r>
      <w:r>
        <w:rPr>
          <w:rFonts w:hint="cs"/>
          <w:rtl/>
        </w:rPr>
        <w:t>.</w:t>
      </w:r>
      <w:r w:rsidRPr="00EE523C">
        <w:rPr>
          <w:rFonts w:hint="cs"/>
          <w:rtl/>
        </w:rPr>
        <w:t xml:space="preserve"> </w:t>
      </w:r>
      <w:r>
        <w:rPr>
          <w:rStyle w:val="afb"/>
          <w:rFonts w:hint="cs"/>
          <w:rtl/>
        </w:rPr>
        <w:t>[</w:t>
      </w:r>
      <w:r w:rsidRPr="009D7A57">
        <w:rPr>
          <w:rStyle w:val="afb"/>
          <w:rFonts w:hint="cs"/>
          <w:rtl/>
        </w:rPr>
        <w:t xml:space="preserve">וע"ע בדברי </w:t>
      </w:r>
      <w:r w:rsidRPr="009D7A57">
        <w:rPr>
          <w:rStyle w:val="affa"/>
          <w:rFonts w:hint="cs"/>
          <w:rtl/>
        </w:rPr>
        <w:t>רבינו גרשום לקמן</w:t>
      </w:r>
      <w:r w:rsidRPr="009D7A57">
        <w:rPr>
          <w:rStyle w:val="afb"/>
          <w:rFonts w:hint="cs"/>
          <w:rtl/>
        </w:rPr>
        <w:t xml:space="preserve"> </w:t>
      </w:r>
      <w:r w:rsidRPr="009D7A57">
        <w:rPr>
          <w:rStyle w:val="aff6"/>
          <w:rFonts w:hint="cs"/>
          <w:rtl/>
        </w:rPr>
        <w:t xml:space="preserve">(עה: ד"ה לדידי) </w:t>
      </w:r>
      <w:r w:rsidRPr="009D7A57">
        <w:rPr>
          <w:rStyle w:val="afb"/>
          <w:rFonts w:hint="cs"/>
          <w:rtl/>
        </w:rPr>
        <w:t xml:space="preserve">דכתב דלר"מ אם שחט את העובר הותר באכילה, ואם לא שחט את העובר, ושחט רק את אמו, מהני שחיטת האם לטהרו מידי נבילה ובמ"ש </w:t>
      </w:r>
      <w:r w:rsidRPr="009D7A57">
        <w:rPr>
          <w:rStyle w:val="affa"/>
          <w:rFonts w:hint="cs"/>
          <w:rtl/>
        </w:rPr>
        <w:t>רבינו גרשום</w:t>
      </w:r>
      <w:r w:rsidRPr="009D7A57">
        <w:rPr>
          <w:rStyle w:val="afb"/>
          <w:rFonts w:hint="cs"/>
          <w:rtl/>
        </w:rPr>
        <w:t xml:space="preserve"> </w:t>
      </w:r>
      <w:r w:rsidRPr="009D7A57">
        <w:rPr>
          <w:rStyle w:val="aff6"/>
          <w:rFonts w:hint="cs"/>
          <w:rtl/>
        </w:rPr>
        <w:t xml:space="preserve">(עד: ד"ה לא הילכו) </w:t>
      </w:r>
      <w:r w:rsidRPr="009D7A57">
        <w:rPr>
          <w:rStyle w:val="afb"/>
          <w:rFonts w:hint="cs"/>
          <w:rtl/>
        </w:rPr>
        <w:t>דאף לר"מ אינו כבהמה לענין רביעה וחרישה בכלאים</w:t>
      </w:r>
      <w:r>
        <w:rPr>
          <w:rStyle w:val="afb"/>
          <w:rFonts w:hint="cs"/>
          <w:rtl/>
        </w:rPr>
        <w:t>]</w:t>
      </w:r>
      <w:r w:rsidRPr="009D7A57">
        <w:rPr>
          <w:rStyle w:val="afb"/>
          <w:rFonts w:hint="cs"/>
          <w:rtl/>
        </w:rPr>
        <w:t>.</w:t>
      </w:r>
    </w:p>
    <w:p w14:paraId="23860780" w14:textId="77777777" w:rsidR="003D504D" w:rsidRDefault="003D504D" w:rsidP="00BF39B2">
      <w:pPr>
        <w:pStyle w:val="1"/>
        <w:rPr>
          <w:rtl/>
        </w:rPr>
      </w:pPr>
      <w:bookmarkStart w:id="22286" w:name="_Toc3543121"/>
      <w:bookmarkStart w:id="22287" w:name="_Toc3550817"/>
      <w:bookmarkStart w:id="22288" w:name="_Toc3550973"/>
      <w:bookmarkStart w:id="22289" w:name="_Toc19391784"/>
      <w:bookmarkStart w:id="22290" w:name="_Toc19395281"/>
      <w:bookmarkEnd w:id="22274"/>
      <w:r>
        <w:rPr>
          <w:rFonts w:hint="cs"/>
          <w:rtl/>
        </w:rPr>
        <w:t>דעת הרמב"ם דבשחיטה קיי"ל כר"י ובחלב כר"מ</w:t>
      </w:r>
      <w:bookmarkEnd w:id="22286"/>
      <w:bookmarkEnd w:id="22287"/>
      <w:bookmarkEnd w:id="22288"/>
      <w:bookmarkEnd w:id="22289"/>
      <w:bookmarkEnd w:id="22290"/>
    </w:p>
    <w:p w14:paraId="67DA8EFE" w14:textId="77777777" w:rsidR="003D504D" w:rsidRPr="006A47C9" w:rsidRDefault="003D504D" w:rsidP="003D504D">
      <w:pPr>
        <w:pStyle w:val="a3"/>
        <w:rPr>
          <w:rtl/>
        </w:rPr>
      </w:pPr>
      <w:bookmarkStart w:id="22291" w:name="_Toc3543122"/>
      <w:bookmarkStart w:id="22292" w:name="_Toc3550818"/>
      <w:bookmarkStart w:id="22293" w:name="_Toc3550974"/>
      <w:bookmarkStart w:id="22294" w:name="_Toc19391785"/>
      <w:bookmarkStart w:id="22295" w:name="_Toc19395282"/>
      <w:r>
        <w:rPr>
          <w:rFonts w:hint="cs"/>
          <w:rtl/>
        </w:rPr>
        <w:t>דברי הרמב"ם דבן ט' חי מותר בשחיטת אמו אבל חלבו אסור ובן ח' חלבו מותר</w:t>
      </w:r>
      <w:bookmarkEnd w:id="22291"/>
      <w:bookmarkEnd w:id="22292"/>
      <w:bookmarkEnd w:id="22293"/>
      <w:bookmarkEnd w:id="22294"/>
      <w:bookmarkEnd w:id="22295"/>
    </w:p>
    <w:p w14:paraId="46AC89C7" w14:textId="77777777" w:rsidR="003D504D" w:rsidRPr="00223EC7" w:rsidRDefault="003D504D" w:rsidP="00223668">
      <w:pPr>
        <w:pStyle w:val="a0"/>
        <w:rPr>
          <w:rtl/>
        </w:rPr>
      </w:pPr>
      <w:bookmarkStart w:id="22296" w:name="_Ref3145560"/>
      <w:r>
        <w:rPr>
          <w:rFonts w:hint="cs"/>
          <w:rtl/>
        </w:rPr>
        <w:t xml:space="preserve">כתב </w:t>
      </w:r>
      <w:r w:rsidRPr="003D10E0">
        <w:rPr>
          <w:rStyle w:val="af9"/>
          <w:rFonts w:hint="cs"/>
          <w:rtl/>
        </w:rPr>
        <w:t>הרמב"ם</w:t>
      </w:r>
      <w:r>
        <w:rPr>
          <w:rFonts w:hint="cs"/>
          <w:rtl/>
        </w:rPr>
        <w:t xml:space="preserve"> </w:t>
      </w:r>
      <w:r w:rsidRPr="00590D1E">
        <w:rPr>
          <w:rStyle w:val="af7"/>
          <w:rFonts w:eastAsia="Guttman Hodes" w:hint="cs"/>
          <w:rtl/>
        </w:rPr>
        <w:t>(מאכ"א פ"ז ה"ג)</w:t>
      </w:r>
      <w:r>
        <w:rPr>
          <w:rFonts w:hint="cs"/>
          <w:rtl/>
        </w:rPr>
        <w:t xml:space="preserve"> דבן ח' חי, חלבו מותר בשחיטת אמו, ובן ט' חי אינו טעון שחיטה, אבל חלבו אסור וחייבין עליו כרת,</w:t>
      </w:r>
      <w:r w:rsidRPr="00590D1E">
        <w:rPr>
          <w:rFonts w:hint="cs"/>
          <w:rtl/>
        </w:rPr>
        <w:t xml:space="preserve"> </w:t>
      </w:r>
      <w:r>
        <w:rPr>
          <w:rFonts w:hint="cs"/>
          <w:rtl/>
        </w:rPr>
        <w:t xml:space="preserve">וכ"כ </w:t>
      </w:r>
      <w:r w:rsidRPr="00590D1E">
        <w:rPr>
          <w:rStyle w:val="af9"/>
          <w:rFonts w:hint="cs"/>
          <w:rtl/>
        </w:rPr>
        <w:t>הרמב"ם בפיהמ"ש בסוגיין</w:t>
      </w:r>
      <w:r>
        <w:rPr>
          <w:rFonts w:hint="cs"/>
          <w:rtl/>
        </w:rPr>
        <w:t xml:space="preserve"> דבן ט' חי שמותר לאוכלו לדעת חכמים, חלבו ודמו אסורים, וקיי"ל </w:t>
      </w:r>
      <w:r w:rsidRPr="00223EC7">
        <w:rPr>
          <w:rFonts w:hint="cs"/>
          <w:rtl/>
        </w:rPr>
        <w:t xml:space="preserve">כחכמים, </w:t>
      </w:r>
      <w:r w:rsidRPr="00223EC7">
        <w:rPr>
          <w:rStyle w:val="afb"/>
          <w:rFonts w:hint="cs"/>
          <w:rtl/>
        </w:rPr>
        <w:t>[דברי הרמב"ם הובאו באריכות בסימן ח']</w:t>
      </w:r>
      <w:r w:rsidRPr="00223EC7">
        <w:rPr>
          <w:rFonts w:hint="cs"/>
          <w:rtl/>
        </w:rPr>
        <w:t>.</w:t>
      </w:r>
      <w:bookmarkEnd w:id="22296"/>
    </w:p>
    <w:p w14:paraId="642E7986" w14:textId="77777777" w:rsidR="003D504D" w:rsidRDefault="003D504D" w:rsidP="00BF39B2">
      <w:pPr>
        <w:pStyle w:val="1"/>
        <w:rPr>
          <w:rtl/>
        </w:rPr>
      </w:pPr>
      <w:bookmarkStart w:id="22297" w:name="_Toc3480668"/>
      <w:bookmarkStart w:id="22298" w:name="_Toc3484932"/>
      <w:bookmarkStart w:id="22299" w:name="_Toc3535779"/>
      <w:bookmarkStart w:id="22300" w:name="_Toc3543123"/>
      <w:bookmarkStart w:id="22301" w:name="_Toc3550819"/>
      <w:bookmarkStart w:id="22302" w:name="_Toc3550975"/>
      <w:bookmarkStart w:id="22303" w:name="_Toc19391786"/>
      <w:bookmarkStart w:id="22304" w:name="_Toc19395283"/>
      <w:bookmarkStart w:id="22305" w:name="_Toc3480669"/>
      <w:bookmarkStart w:id="22306" w:name="_Toc3484933"/>
      <w:bookmarkStart w:id="22307" w:name="_Toc3535780"/>
      <w:r>
        <w:rPr>
          <w:rFonts w:hint="cs"/>
          <w:rtl/>
        </w:rPr>
        <w:t>דברי הראשונים דקיי"ל כר"י בשחיטה ובחלב</w:t>
      </w:r>
      <w:r w:rsidRPr="009929E0">
        <w:rPr>
          <w:rFonts w:hint="cs"/>
          <w:rtl/>
        </w:rPr>
        <w:t xml:space="preserve"> </w:t>
      </w:r>
      <w:r>
        <w:rPr>
          <w:rFonts w:hint="cs"/>
          <w:rtl/>
        </w:rPr>
        <w:t>כדברי רב הושעיא</w:t>
      </w:r>
      <w:bookmarkEnd w:id="22297"/>
      <w:bookmarkEnd w:id="22298"/>
      <w:bookmarkEnd w:id="22299"/>
      <w:bookmarkEnd w:id="22300"/>
      <w:bookmarkEnd w:id="22301"/>
      <w:bookmarkEnd w:id="22302"/>
      <w:bookmarkEnd w:id="22303"/>
      <w:bookmarkEnd w:id="22304"/>
    </w:p>
    <w:p w14:paraId="65F8E889" w14:textId="77777777" w:rsidR="003D504D" w:rsidRPr="004518E0" w:rsidRDefault="003D504D" w:rsidP="003D504D">
      <w:pPr>
        <w:pStyle w:val="a3"/>
      </w:pPr>
      <w:bookmarkStart w:id="22308" w:name="_Toc3543124"/>
      <w:bookmarkStart w:id="22309" w:name="_Toc3550820"/>
      <w:bookmarkStart w:id="22310" w:name="_Toc3550976"/>
      <w:bookmarkStart w:id="22311" w:name="_Toc19391787"/>
      <w:bookmarkStart w:id="22312" w:name="_Toc19395284"/>
      <w:r>
        <w:rPr>
          <w:rFonts w:hint="cs"/>
          <w:rtl/>
        </w:rPr>
        <w:t>ראיות הראשונים דמוכח בגמ' דקיי"ל כרב הושעיא</w:t>
      </w:r>
      <w:bookmarkEnd w:id="22305"/>
      <w:bookmarkEnd w:id="22306"/>
      <w:bookmarkEnd w:id="22307"/>
      <w:bookmarkEnd w:id="22308"/>
      <w:bookmarkEnd w:id="22309"/>
      <w:bookmarkEnd w:id="22310"/>
      <w:bookmarkEnd w:id="22311"/>
      <w:bookmarkEnd w:id="22312"/>
    </w:p>
    <w:p w14:paraId="18FDCE53" w14:textId="77777777" w:rsidR="003D504D" w:rsidRDefault="003D504D" w:rsidP="00223668">
      <w:pPr>
        <w:pStyle w:val="a0"/>
        <w:rPr>
          <w:rtl/>
        </w:rPr>
      </w:pPr>
      <w:r>
        <w:rPr>
          <w:rFonts w:hint="cs"/>
          <w:rtl/>
        </w:rPr>
        <w:t xml:space="preserve">ודחו </w:t>
      </w:r>
      <w:r w:rsidRPr="006654E4">
        <w:rPr>
          <w:rStyle w:val="af9"/>
          <w:rFonts w:hint="cs"/>
          <w:rtl/>
        </w:rPr>
        <w:t>הרשב"א</w:t>
      </w:r>
      <w:r>
        <w:rPr>
          <w:rFonts w:hint="cs"/>
          <w:rtl/>
        </w:rPr>
        <w:t xml:space="preserve"> </w:t>
      </w:r>
      <w:r w:rsidRPr="006654E4">
        <w:rPr>
          <w:rStyle w:val="af7"/>
          <w:rFonts w:eastAsia="Guttman Hodes" w:hint="cs"/>
          <w:rtl/>
        </w:rPr>
        <w:t>(עה. ד"ה איכא)</w:t>
      </w:r>
      <w:r>
        <w:rPr>
          <w:rFonts w:hint="cs"/>
          <w:rtl/>
        </w:rPr>
        <w:t xml:space="preserve"> </w:t>
      </w:r>
      <w:r>
        <w:rPr>
          <w:rStyle w:val="af9"/>
          <w:rFonts w:hint="cs"/>
          <w:rtl/>
        </w:rPr>
        <w:t>ו</w:t>
      </w:r>
      <w:r w:rsidRPr="00F7436F">
        <w:rPr>
          <w:rStyle w:val="af9"/>
          <w:rFonts w:hint="cs"/>
          <w:rtl/>
        </w:rPr>
        <w:t>הר"ן בחי'</w:t>
      </w:r>
      <w:r w:rsidRPr="00F7436F">
        <w:rPr>
          <w:rStyle w:val="af7"/>
          <w:rFonts w:eastAsia="Guttman Hodes" w:hint="cs"/>
          <w:rtl/>
        </w:rPr>
        <w:t xml:space="preserve"> (</w:t>
      </w:r>
      <w:r>
        <w:rPr>
          <w:rStyle w:val="af7"/>
          <w:rFonts w:eastAsia="Guttman Hodes" w:hint="cs"/>
          <w:rtl/>
        </w:rPr>
        <w:t xml:space="preserve">עה. </w:t>
      </w:r>
      <w:r w:rsidRPr="00F7436F">
        <w:rPr>
          <w:rStyle w:val="af7"/>
          <w:rFonts w:eastAsia="Guttman Hodes" w:hint="cs"/>
          <w:rtl/>
        </w:rPr>
        <w:t xml:space="preserve">ד"ה כי) </w:t>
      </w:r>
      <w:r>
        <w:rPr>
          <w:rStyle w:val="af9"/>
          <w:rFonts w:hint="cs"/>
          <w:rtl/>
        </w:rPr>
        <w:t>ו</w:t>
      </w:r>
      <w:r w:rsidRPr="006D1692">
        <w:rPr>
          <w:rStyle w:val="af9"/>
          <w:rFonts w:hint="cs"/>
          <w:rtl/>
        </w:rPr>
        <w:t>על הרי"ף</w:t>
      </w:r>
      <w:r>
        <w:rPr>
          <w:rFonts w:hint="cs"/>
          <w:rtl/>
        </w:rPr>
        <w:t xml:space="preserve"> </w:t>
      </w:r>
      <w:r w:rsidRPr="006D1692">
        <w:rPr>
          <w:rStyle w:val="af7"/>
          <w:rFonts w:eastAsia="Guttman Hodes" w:hint="cs"/>
          <w:rtl/>
        </w:rPr>
        <w:t>(ל. מדפי הרי"ף ד"ה ונוהג)</w:t>
      </w:r>
      <w:r>
        <w:rPr>
          <w:rFonts w:hint="cs"/>
          <w:rtl/>
        </w:rPr>
        <w:t xml:space="preserve"> את דברי </w:t>
      </w:r>
      <w:r w:rsidRPr="006654E4">
        <w:rPr>
          <w:rStyle w:val="af9"/>
          <w:rFonts w:hint="cs"/>
          <w:rtl/>
        </w:rPr>
        <w:t>הרמב"ם</w:t>
      </w:r>
      <w:r>
        <w:rPr>
          <w:rFonts w:hint="cs"/>
          <w:rtl/>
        </w:rPr>
        <w:t xml:space="preserve"> דהא תני בברייתא דר"מ אוסר בחלב וגיד, ור"י מתיר, ואמר רב הושעיא דהלכו לשיטתם בשחיטה, ולא מצינו בגמ' אמורא שחולק על רב הושעיא בזה.</w:t>
      </w:r>
    </w:p>
    <w:p w14:paraId="5BE117F9" w14:textId="77777777" w:rsidR="003D504D" w:rsidRPr="00274BB6" w:rsidRDefault="003D504D" w:rsidP="003D504D">
      <w:pPr>
        <w:pStyle w:val="a3"/>
        <w:rPr>
          <w:rtl/>
        </w:rPr>
      </w:pPr>
    </w:p>
    <w:p w14:paraId="656192C8" w14:textId="77777777" w:rsidR="003D504D" w:rsidRPr="00274BB6" w:rsidRDefault="003D504D" w:rsidP="003D504D">
      <w:pPr>
        <w:pStyle w:val="a3"/>
        <w:rPr>
          <w:rtl/>
        </w:rPr>
      </w:pPr>
    </w:p>
    <w:p w14:paraId="6B48EF00" w14:textId="77777777" w:rsidR="003D504D" w:rsidRDefault="003D504D" w:rsidP="003D504D">
      <w:pPr>
        <w:pStyle w:val="a3"/>
      </w:pPr>
      <w:bookmarkStart w:id="22313" w:name="_Toc3543125"/>
      <w:bookmarkStart w:id="22314" w:name="_Toc3550821"/>
      <w:bookmarkStart w:id="22315" w:name="_Toc3550977"/>
      <w:bookmarkStart w:id="22316" w:name="_Toc19391788"/>
      <w:bookmarkStart w:id="22317" w:name="_Toc19395285"/>
      <w:r>
        <w:rPr>
          <w:rFonts w:hint="cs"/>
          <w:rtl/>
        </w:rPr>
        <w:t>דברי הרמב"ן והרשב"א דמוכח בגמ' דקיי"ל כרב הושעיא</w:t>
      </w:r>
      <w:bookmarkEnd w:id="22313"/>
      <w:bookmarkEnd w:id="22314"/>
      <w:bookmarkEnd w:id="22315"/>
      <w:bookmarkEnd w:id="22316"/>
      <w:bookmarkEnd w:id="22317"/>
    </w:p>
    <w:p w14:paraId="6805C5DD" w14:textId="77777777" w:rsidR="003D504D" w:rsidRDefault="003D504D" w:rsidP="00223668">
      <w:pPr>
        <w:pStyle w:val="a0"/>
        <w:rPr>
          <w:rtl/>
        </w:rPr>
      </w:pPr>
      <w:r>
        <w:rPr>
          <w:rFonts w:hint="cs"/>
          <w:rtl/>
        </w:rPr>
        <w:t xml:space="preserve">וכתבו </w:t>
      </w:r>
      <w:r w:rsidRPr="00E10530">
        <w:rPr>
          <w:rStyle w:val="af9"/>
          <w:rFonts w:hint="cs"/>
          <w:rtl/>
        </w:rPr>
        <w:t>הרמב"ן לקמן</w:t>
      </w:r>
      <w:r>
        <w:rPr>
          <w:rFonts w:hint="cs"/>
          <w:rtl/>
        </w:rPr>
        <w:t xml:space="preserve"> </w:t>
      </w:r>
      <w:r w:rsidRPr="00E10530">
        <w:rPr>
          <w:rStyle w:val="af7"/>
          <w:rFonts w:eastAsia="Guttman Hodes" w:hint="cs"/>
          <w:rtl/>
        </w:rPr>
        <w:t xml:space="preserve">(צב: ד"ה ומדמקשינן) </w:t>
      </w:r>
      <w:r>
        <w:rPr>
          <w:rStyle w:val="af9"/>
          <w:rFonts w:hint="cs"/>
          <w:rtl/>
        </w:rPr>
        <w:t>ו</w:t>
      </w:r>
      <w:r w:rsidRPr="006654E4">
        <w:rPr>
          <w:rStyle w:val="af9"/>
          <w:rFonts w:hint="cs"/>
          <w:rtl/>
        </w:rPr>
        <w:t>הרשב"א</w:t>
      </w:r>
      <w:r>
        <w:rPr>
          <w:rFonts w:hint="cs"/>
          <w:rtl/>
        </w:rPr>
        <w:t xml:space="preserve"> </w:t>
      </w:r>
      <w:r w:rsidRPr="006654E4">
        <w:rPr>
          <w:rStyle w:val="af7"/>
          <w:rFonts w:eastAsia="Guttman Hodes" w:hint="cs"/>
          <w:rtl/>
        </w:rPr>
        <w:t>(עה. ד"ה איכא</w:t>
      </w:r>
      <w:r>
        <w:rPr>
          <w:rStyle w:val="af7"/>
          <w:rFonts w:eastAsia="Guttman Hodes" w:hint="cs"/>
          <w:rtl/>
        </w:rPr>
        <w:t xml:space="preserve">, </w:t>
      </w:r>
      <w:r w:rsidRPr="00D40CE2">
        <w:rPr>
          <w:rStyle w:val="af7"/>
          <w:rFonts w:eastAsia="Guttman Hodes" w:hint="cs"/>
          <w:rtl/>
        </w:rPr>
        <w:t xml:space="preserve">צב: ד"ה </w:t>
      </w:r>
      <w:r>
        <w:rPr>
          <w:rStyle w:val="af7"/>
          <w:rFonts w:eastAsia="Guttman Hodes" w:hint="cs"/>
          <w:rtl/>
        </w:rPr>
        <w:t>ולענין</w:t>
      </w:r>
      <w:r w:rsidRPr="006654E4">
        <w:rPr>
          <w:rStyle w:val="af7"/>
          <w:rFonts w:eastAsia="Guttman Hodes" w:hint="cs"/>
          <w:rtl/>
        </w:rPr>
        <w:t>)</w:t>
      </w:r>
      <w:r>
        <w:rPr>
          <w:rFonts w:hint="cs"/>
          <w:rtl/>
        </w:rPr>
        <w:t xml:space="preserve"> דכן מוכח בגמ' לקמן </w:t>
      </w:r>
      <w:r w:rsidRPr="006654E4">
        <w:rPr>
          <w:rStyle w:val="af7"/>
          <w:rFonts w:eastAsia="Guttman Hodes" w:hint="cs"/>
          <w:rtl/>
        </w:rPr>
        <w:t>(צב:)</w:t>
      </w:r>
      <w:r>
        <w:rPr>
          <w:rFonts w:hint="cs"/>
          <w:rtl/>
        </w:rPr>
        <w:t xml:space="preserve"> דמקשה על שמואל מדברי רב הושעיא, ולא תירצה הגמ' לקמן דשמואל חולק על רב הושעיא, ומוכח דאין מ"ד דפליג על רב הושעיא, </w:t>
      </w:r>
      <w:r w:rsidRPr="0073426E">
        <w:rPr>
          <w:rFonts w:hint="cs"/>
          <w:rtl/>
        </w:rPr>
        <w:t xml:space="preserve">וכן מבואר בגמ' לעיל </w:t>
      </w:r>
      <w:r w:rsidRPr="0073426E">
        <w:rPr>
          <w:rStyle w:val="af7"/>
          <w:rFonts w:eastAsia="Guttman Hodes" w:hint="cs"/>
          <w:rtl/>
        </w:rPr>
        <w:t>(סט.)</w:t>
      </w:r>
      <w:r w:rsidRPr="0073426E">
        <w:rPr>
          <w:rFonts w:hint="cs"/>
          <w:rtl/>
        </w:rPr>
        <w:t xml:space="preserve"> דבספק בדין ה</w:t>
      </w:r>
      <w:r w:rsidRPr="0073426E">
        <w:rPr>
          <w:rtl/>
        </w:rPr>
        <w:t>חָלָב</w:t>
      </w:r>
      <w:r w:rsidRPr="0073426E">
        <w:rPr>
          <w:rFonts w:hint="cs"/>
          <w:rtl/>
        </w:rPr>
        <w:t xml:space="preserve"> </w:t>
      </w:r>
      <w:r>
        <w:rPr>
          <w:rFonts w:hint="cs"/>
          <w:rtl/>
        </w:rPr>
        <w:t>הבא מכח אבר היוצא ב</w:t>
      </w:r>
      <w:r w:rsidRPr="0073426E">
        <w:rPr>
          <w:rFonts w:hint="cs"/>
          <w:rtl/>
        </w:rPr>
        <w:t xml:space="preserve">בן פקועה, אמרינן דלר"י אין בו איסור </w:t>
      </w:r>
      <w:r w:rsidRPr="0073426E">
        <w:rPr>
          <w:rtl/>
        </w:rPr>
        <w:t>חֵלֶב</w:t>
      </w:r>
      <w:r w:rsidRPr="0073426E">
        <w:rPr>
          <w:rFonts w:hint="cs"/>
          <w:rtl/>
        </w:rPr>
        <w:t>, ולר"מ אין בו איסור יוצא, דלא מהני ליה שחיטה, ומוכח דקיי"ל כרב הושעיא</w:t>
      </w:r>
      <w:r>
        <w:rPr>
          <w:rFonts w:hint="cs"/>
          <w:rtl/>
        </w:rPr>
        <w:t>,</w:t>
      </w:r>
      <w:r w:rsidRPr="00E10530">
        <w:rPr>
          <w:rFonts w:hint="cs"/>
          <w:rtl/>
        </w:rPr>
        <w:t xml:space="preserve"> </w:t>
      </w:r>
      <w:r>
        <w:rPr>
          <w:rFonts w:hint="cs"/>
          <w:rtl/>
        </w:rPr>
        <w:t xml:space="preserve">וכתב </w:t>
      </w:r>
      <w:r w:rsidRPr="006654E4">
        <w:rPr>
          <w:rStyle w:val="af9"/>
          <w:rFonts w:hint="cs"/>
          <w:rtl/>
        </w:rPr>
        <w:t>הרשב"א</w:t>
      </w:r>
      <w:r>
        <w:rPr>
          <w:rFonts w:hint="cs"/>
          <w:rtl/>
        </w:rPr>
        <w:t xml:space="preserve"> דא"כ מבואר דכיון דקיי"ל כר"י בשחיטה, אף בחלב קיי"ל כר"י דחלבו מותר</w:t>
      </w:r>
      <w:r w:rsidRPr="0073426E">
        <w:rPr>
          <w:rFonts w:hint="cs"/>
          <w:rtl/>
        </w:rPr>
        <w:t xml:space="preserve">, </w:t>
      </w:r>
      <w:r>
        <w:rPr>
          <w:rFonts w:hint="cs"/>
          <w:rtl/>
        </w:rPr>
        <w:t xml:space="preserve"> וכ"כ </w:t>
      </w:r>
      <w:r w:rsidRPr="0055109A">
        <w:rPr>
          <w:rStyle w:val="af9"/>
          <w:rFonts w:hint="cs"/>
          <w:rtl/>
        </w:rPr>
        <w:t>הריטב</w:t>
      </w:r>
      <w:r w:rsidRPr="007548FE">
        <w:rPr>
          <w:rStyle w:val="af9"/>
          <w:rFonts w:hint="cs"/>
          <w:rtl/>
        </w:rPr>
        <w:t>"א</w:t>
      </w:r>
      <w:r>
        <w:rPr>
          <w:rStyle w:val="af9"/>
          <w:rFonts w:hint="cs"/>
          <w:rtl/>
        </w:rPr>
        <w:t xml:space="preserve"> לקמן</w:t>
      </w:r>
      <w:r>
        <w:rPr>
          <w:rFonts w:hint="cs"/>
          <w:rtl/>
        </w:rPr>
        <w:t xml:space="preserve"> </w:t>
      </w:r>
      <w:r w:rsidRPr="00284ECE">
        <w:rPr>
          <w:rStyle w:val="af7"/>
          <w:rFonts w:eastAsia="Guttman Hodes" w:hint="cs"/>
          <w:rtl/>
        </w:rPr>
        <w:t>(</w:t>
      </w:r>
      <w:r w:rsidRPr="009A7E50">
        <w:rPr>
          <w:rStyle w:val="af7"/>
          <w:rFonts w:eastAsia="Guttman Hodes"/>
          <w:rtl/>
        </w:rPr>
        <w:t xml:space="preserve">צב: ד"ה </w:t>
      </w:r>
      <w:r>
        <w:rPr>
          <w:rStyle w:val="af7"/>
          <w:rFonts w:eastAsia="Guttman Hodes" w:hint="cs"/>
          <w:rtl/>
        </w:rPr>
        <w:t>ו</w:t>
      </w:r>
      <w:r w:rsidRPr="009A7E50">
        <w:rPr>
          <w:rStyle w:val="af7"/>
          <w:rFonts w:eastAsia="Guttman Hodes"/>
          <w:rtl/>
        </w:rPr>
        <w:t>אמר</w:t>
      </w:r>
      <w:r w:rsidRPr="00284ECE">
        <w:rPr>
          <w:rStyle w:val="af7"/>
          <w:rFonts w:eastAsia="Guttman Hodes" w:hint="cs"/>
          <w:rtl/>
        </w:rPr>
        <w:t>)</w:t>
      </w:r>
      <w:r>
        <w:rPr>
          <w:rFonts w:hint="cs"/>
          <w:rtl/>
        </w:rPr>
        <w:t>.</w:t>
      </w:r>
    </w:p>
    <w:p w14:paraId="40849AA8" w14:textId="77777777" w:rsidR="003D504D" w:rsidRPr="0066212E" w:rsidRDefault="003D504D" w:rsidP="003D504D">
      <w:pPr>
        <w:pStyle w:val="a3"/>
        <w:rPr>
          <w:rtl/>
        </w:rPr>
      </w:pPr>
      <w:bookmarkStart w:id="22318" w:name="_Toc3480670"/>
      <w:bookmarkStart w:id="22319" w:name="_Toc3484934"/>
      <w:bookmarkStart w:id="22320" w:name="_Toc3535781"/>
      <w:bookmarkStart w:id="22321" w:name="_Toc3543126"/>
      <w:bookmarkStart w:id="22322" w:name="_Toc3550822"/>
      <w:bookmarkStart w:id="22323" w:name="_Toc3550978"/>
      <w:bookmarkStart w:id="22324" w:name="_Toc19391789"/>
      <w:bookmarkStart w:id="22325" w:name="_Toc19395286"/>
      <w:r>
        <w:rPr>
          <w:rFonts w:hint="cs"/>
          <w:rtl/>
        </w:rPr>
        <w:t>דברי הראשונים דאף דבפלוגתת ר"מ ור"י בגיד משמע דלא כרב הושעיא הגמ' שם נדחית למסקנא</w:t>
      </w:r>
      <w:bookmarkEnd w:id="22318"/>
      <w:bookmarkEnd w:id="22319"/>
      <w:bookmarkEnd w:id="22320"/>
      <w:bookmarkEnd w:id="22321"/>
      <w:bookmarkEnd w:id="22322"/>
      <w:bookmarkEnd w:id="22323"/>
      <w:bookmarkEnd w:id="22324"/>
      <w:bookmarkEnd w:id="22325"/>
    </w:p>
    <w:p w14:paraId="3A2E0409" w14:textId="77777777" w:rsidR="003D504D" w:rsidRDefault="003D504D" w:rsidP="00223668">
      <w:pPr>
        <w:pStyle w:val="a0"/>
        <w:rPr>
          <w:rtl/>
        </w:rPr>
      </w:pPr>
      <w:bookmarkStart w:id="22326" w:name="_Ref3541677"/>
      <w:bookmarkStart w:id="22327" w:name="_Ref3494696"/>
      <w:r w:rsidRPr="00FF0EA6">
        <w:rPr>
          <w:rFonts w:hint="cs"/>
          <w:rtl/>
        </w:rPr>
        <w:t xml:space="preserve">וכתבו </w:t>
      </w:r>
      <w:r w:rsidRPr="00FF0EA6">
        <w:rPr>
          <w:rStyle w:val="af9"/>
          <w:rFonts w:hint="cs"/>
          <w:rtl/>
        </w:rPr>
        <w:t>הבעה"מ</w:t>
      </w:r>
      <w:r w:rsidRPr="00FF0EA6">
        <w:rPr>
          <w:rFonts w:hint="cs"/>
          <w:rtl/>
        </w:rPr>
        <w:t xml:space="preserve"> </w:t>
      </w:r>
      <w:r w:rsidRPr="005F3931">
        <w:rPr>
          <w:rStyle w:val="af7"/>
          <w:rFonts w:eastAsia="Guttman Hodes" w:hint="cs"/>
          <w:rtl/>
        </w:rPr>
        <w:t>(ל. מדפי הרי"ף ד"ה ובמסקנא)</w:t>
      </w:r>
      <w:r w:rsidRPr="00FF0EA6">
        <w:rPr>
          <w:rFonts w:hint="cs"/>
          <w:rtl/>
        </w:rPr>
        <w:t xml:space="preserve"> </w:t>
      </w:r>
      <w:r w:rsidRPr="00FF0EA6">
        <w:rPr>
          <w:rStyle w:val="af9"/>
          <w:rFonts w:hint="cs"/>
          <w:rtl/>
        </w:rPr>
        <w:t xml:space="preserve">והרשב"א </w:t>
      </w:r>
      <w:r w:rsidRPr="00FF0EA6">
        <w:rPr>
          <w:rStyle w:val="af9"/>
          <w:rtl/>
        </w:rPr>
        <w:t>לקמן</w:t>
      </w:r>
      <w:r w:rsidRPr="00FF0EA6">
        <w:rPr>
          <w:rtl/>
        </w:rPr>
        <w:t xml:space="preserve"> </w:t>
      </w:r>
      <w:r w:rsidRPr="005F3931">
        <w:rPr>
          <w:rStyle w:val="af7"/>
          <w:rFonts w:eastAsia="Guttman Hodes" w:hint="cs"/>
          <w:rtl/>
        </w:rPr>
        <w:t xml:space="preserve">(צב: </w:t>
      </w:r>
      <w:r>
        <w:rPr>
          <w:rStyle w:val="af7"/>
          <w:rFonts w:eastAsia="Guttman Hodes" w:hint="cs"/>
          <w:rtl/>
        </w:rPr>
        <w:t>סו</w:t>
      </w:r>
      <w:r w:rsidRPr="005F3931">
        <w:rPr>
          <w:rStyle w:val="af7"/>
          <w:rFonts w:eastAsia="Guttman Hodes" w:hint="cs"/>
          <w:rtl/>
        </w:rPr>
        <w:t>ד"ה ולענין</w:t>
      </w:r>
      <w:r w:rsidRPr="005F3931">
        <w:rPr>
          <w:rStyle w:val="af7"/>
          <w:rFonts w:eastAsiaTheme="minorHAnsi" w:hint="cs"/>
          <w:rtl/>
        </w:rPr>
        <w:t xml:space="preserve">, </w:t>
      </w:r>
      <w:r>
        <w:rPr>
          <w:rStyle w:val="af7"/>
          <w:rFonts w:eastAsiaTheme="minorHAnsi" w:hint="cs"/>
          <w:rtl/>
        </w:rPr>
        <w:t>פט: ד"ה אלא בולדות</w:t>
      </w:r>
      <w:r w:rsidRPr="005F3931">
        <w:rPr>
          <w:rStyle w:val="af7"/>
          <w:rFonts w:eastAsiaTheme="minorHAnsi" w:hint="cs"/>
          <w:rtl/>
        </w:rPr>
        <w:t xml:space="preserve">) </w:t>
      </w:r>
      <w:r w:rsidRPr="005F3931">
        <w:rPr>
          <w:rStyle w:val="af9"/>
          <w:rFonts w:hint="cs"/>
          <w:rtl/>
        </w:rPr>
        <w:t>והריטב"א לקמן</w:t>
      </w:r>
      <w:r>
        <w:rPr>
          <w:rFonts w:hint="cs"/>
          <w:rtl/>
        </w:rPr>
        <w:t xml:space="preserve"> </w:t>
      </w:r>
      <w:r w:rsidRPr="005F3931">
        <w:rPr>
          <w:rStyle w:val="af7"/>
          <w:rFonts w:eastAsia="Guttman Hodes" w:hint="cs"/>
          <w:rtl/>
        </w:rPr>
        <w:t>(פט. ד"ה דאיסור גיד)</w:t>
      </w:r>
      <w:r>
        <w:rPr>
          <w:rFonts w:hint="cs"/>
          <w:rtl/>
        </w:rPr>
        <w:t xml:space="preserve"> דאף</w:t>
      </w:r>
      <w:r w:rsidRPr="00FF0EA6">
        <w:rPr>
          <w:rFonts w:hint="cs"/>
          <w:rtl/>
        </w:rPr>
        <w:t xml:space="preserve"> </w:t>
      </w:r>
      <w:r>
        <w:rPr>
          <w:rFonts w:hint="cs"/>
          <w:rtl/>
        </w:rPr>
        <w:t>ד</w:t>
      </w:r>
      <w:r w:rsidRPr="00FF0EA6">
        <w:rPr>
          <w:rFonts w:hint="cs"/>
          <w:rtl/>
        </w:rPr>
        <w:t xml:space="preserve">בגמ' לקמן </w:t>
      </w:r>
      <w:r w:rsidRPr="005F3931">
        <w:rPr>
          <w:rStyle w:val="af7"/>
          <w:rFonts w:eastAsia="Guttman Hodes" w:hint="cs"/>
          <w:rtl/>
        </w:rPr>
        <w:t xml:space="preserve">(פט:) </w:t>
      </w:r>
      <w:r>
        <w:rPr>
          <w:rFonts w:hint="cs"/>
          <w:rtl/>
        </w:rPr>
        <w:t xml:space="preserve">משמע דלא כרב הושעיא דאמרינן </w:t>
      </w:r>
      <w:r w:rsidRPr="00FF0EA6">
        <w:rPr>
          <w:rFonts w:hint="cs"/>
          <w:rtl/>
        </w:rPr>
        <w:t xml:space="preserve">דלמ"ד דוולדות קדשים קדושים ממעי אמם, ואיסור גיד ואיסור קדשים חלו יחד במעי האם, </w:t>
      </w:r>
      <w:r>
        <w:rPr>
          <w:rFonts w:hint="cs"/>
          <w:rtl/>
        </w:rPr>
        <w:t xml:space="preserve">והרי לדברי רב הושעיא בבן ח' חי ובן ט' מת כו"ע מודו דחלבו וגידו מותרים, וא"כ מוכח דאיסור גיד חל רק כשכלו לו חדשיו ונעשה בן ט', וא"כ </w:t>
      </w:r>
      <w:r w:rsidRPr="00FF0EA6">
        <w:rPr>
          <w:rFonts w:hint="cs"/>
          <w:rtl/>
        </w:rPr>
        <w:t xml:space="preserve">מבואר </w:t>
      </w:r>
      <w:r>
        <w:rPr>
          <w:rFonts w:hint="cs"/>
          <w:rtl/>
        </w:rPr>
        <w:t>דהגמ' לקמן היא</w:t>
      </w:r>
      <w:r w:rsidRPr="00FF0EA6">
        <w:rPr>
          <w:rFonts w:hint="cs"/>
          <w:rtl/>
        </w:rPr>
        <w:t xml:space="preserve"> דלא כדעת רב הושעיא </w:t>
      </w:r>
      <w:r>
        <w:rPr>
          <w:rFonts w:hint="cs"/>
          <w:rtl/>
        </w:rPr>
        <w:t xml:space="preserve">אך כתבו </w:t>
      </w:r>
      <w:r w:rsidRPr="00F8406F">
        <w:rPr>
          <w:rStyle w:val="af9"/>
          <w:rFonts w:hint="cs"/>
          <w:rtl/>
        </w:rPr>
        <w:t xml:space="preserve">הבעה"מ והרשב"א והריטב"א </w:t>
      </w:r>
      <w:r>
        <w:rPr>
          <w:rFonts w:hint="cs"/>
          <w:rtl/>
        </w:rPr>
        <w:t>ד</w:t>
      </w:r>
      <w:r w:rsidRPr="00FF0EA6">
        <w:rPr>
          <w:rFonts w:hint="cs"/>
          <w:rtl/>
        </w:rPr>
        <w:t xml:space="preserve">למסקנא קיי"ל כרב הושעיא, והגמ' שם </w:t>
      </w:r>
      <w:r w:rsidRPr="00223EC7">
        <w:rPr>
          <w:rFonts w:hint="cs"/>
          <w:rtl/>
        </w:rPr>
        <w:t xml:space="preserve">נדחית, וכתב </w:t>
      </w:r>
      <w:r w:rsidRPr="00223EC7">
        <w:rPr>
          <w:rStyle w:val="af9"/>
          <w:rFonts w:hint="cs"/>
          <w:rtl/>
        </w:rPr>
        <w:t>הרמב"ן במלחמות</w:t>
      </w:r>
      <w:r w:rsidRPr="00223EC7">
        <w:rPr>
          <w:rFonts w:hint="cs"/>
          <w:rtl/>
        </w:rPr>
        <w:t xml:space="preserve"> </w:t>
      </w:r>
      <w:r w:rsidRPr="00223EC7">
        <w:rPr>
          <w:rStyle w:val="af7"/>
          <w:rFonts w:eastAsia="Guttman Hodes" w:hint="cs"/>
          <w:rtl/>
        </w:rPr>
        <w:t>(ל. מדפי הרי"ף ד"ה ובמסקנא)</w:t>
      </w:r>
      <w:r w:rsidRPr="00223EC7">
        <w:rPr>
          <w:rFonts w:hint="cs"/>
          <w:rtl/>
        </w:rPr>
        <w:t xml:space="preserve"> דכן מבואר בדברי </w:t>
      </w:r>
      <w:r w:rsidRPr="00223EC7">
        <w:rPr>
          <w:rStyle w:val="af9"/>
          <w:rFonts w:hint="cs"/>
          <w:rtl/>
        </w:rPr>
        <w:t>הרי"ף</w:t>
      </w:r>
      <w:r w:rsidRPr="00223EC7">
        <w:rPr>
          <w:rFonts w:hint="cs"/>
          <w:rtl/>
        </w:rPr>
        <w:t>,  ועי'</w:t>
      </w:r>
      <w:r w:rsidRPr="00FF0EA6">
        <w:rPr>
          <w:rFonts w:hint="cs"/>
          <w:rtl/>
        </w:rPr>
        <w:t xml:space="preserve"> במ"ש </w:t>
      </w:r>
      <w:r w:rsidRPr="00FF0EA6">
        <w:rPr>
          <w:rStyle w:val="af9"/>
          <w:rFonts w:hint="cs"/>
          <w:rtl/>
        </w:rPr>
        <w:t>הראש יוסף לקמן</w:t>
      </w:r>
      <w:r w:rsidRPr="00FF0EA6">
        <w:rPr>
          <w:rFonts w:hint="cs"/>
          <w:rtl/>
        </w:rPr>
        <w:t xml:space="preserve"> </w:t>
      </w:r>
      <w:r w:rsidRPr="00FF0EA6">
        <w:rPr>
          <w:rStyle w:val="af7"/>
          <w:rFonts w:eastAsia="Guttman Hodes" w:hint="cs"/>
          <w:rtl/>
        </w:rPr>
        <w:t xml:space="preserve">(עי' אות </w:t>
      </w:r>
      <w:r w:rsidRPr="00FF0EA6">
        <w:rPr>
          <w:rStyle w:val="af7"/>
          <w:rFonts w:eastAsia="Guttman Hodes"/>
          <w:rtl/>
        </w:rPr>
        <w:fldChar w:fldCharType="begin"/>
      </w:r>
      <w:r w:rsidRPr="00FF0EA6">
        <w:rPr>
          <w:rStyle w:val="af7"/>
          <w:rFonts w:eastAsia="Guttman Hodes"/>
          <w:rtl/>
        </w:rPr>
        <w:instrText xml:space="preserve"> </w:instrText>
      </w:r>
      <w:r w:rsidRPr="00FF0EA6">
        <w:rPr>
          <w:rStyle w:val="af7"/>
          <w:rFonts w:eastAsia="Guttman Hodes" w:hint="cs"/>
        </w:rPr>
        <w:instrText>REF</w:instrText>
      </w:r>
      <w:r w:rsidRPr="00FF0EA6">
        <w:rPr>
          <w:rStyle w:val="af7"/>
          <w:rFonts w:eastAsia="Guttman Hodes" w:hint="cs"/>
          <w:rtl/>
        </w:rPr>
        <w:instrText xml:space="preserve"> _</w:instrText>
      </w:r>
      <w:r w:rsidRPr="00FF0EA6">
        <w:rPr>
          <w:rStyle w:val="af7"/>
          <w:rFonts w:eastAsia="Guttman Hodes" w:hint="cs"/>
        </w:rPr>
        <w:instrText>Ref3374072 \r \h</w:instrText>
      </w:r>
      <w:r w:rsidRPr="00FF0EA6">
        <w:rPr>
          <w:rStyle w:val="af7"/>
          <w:rFonts w:eastAsia="Guttman Hodes"/>
          <w:rtl/>
        </w:rPr>
        <w:instrText xml:space="preserve">  \* </w:instrText>
      </w:r>
      <w:r w:rsidRPr="00FF0EA6">
        <w:rPr>
          <w:rStyle w:val="af7"/>
          <w:rFonts w:eastAsia="Guttman Hodes"/>
        </w:rPr>
        <w:instrText>MERGEFORMAT</w:instrText>
      </w:r>
      <w:r w:rsidRPr="00FF0EA6">
        <w:rPr>
          <w:rStyle w:val="af7"/>
          <w:rFonts w:eastAsia="Guttman Hodes"/>
          <w:rtl/>
        </w:rPr>
        <w:instrText xml:space="preserve"> </w:instrText>
      </w:r>
      <w:r w:rsidRPr="00FF0EA6">
        <w:rPr>
          <w:rStyle w:val="af7"/>
          <w:rFonts w:eastAsia="Guttman Hodes"/>
          <w:rtl/>
        </w:rPr>
      </w:r>
      <w:r w:rsidRPr="00FF0EA6">
        <w:rPr>
          <w:rStyle w:val="af7"/>
          <w:rFonts w:eastAsia="Guttman Hodes"/>
          <w:rtl/>
        </w:rPr>
        <w:fldChar w:fldCharType="separate"/>
      </w:r>
      <w:r w:rsidR="00345400">
        <w:rPr>
          <w:rStyle w:val="af7"/>
          <w:rFonts w:eastAsia="Guttman Hodes"/>
          <w:cs/>
        </w:rPr>
        <w:t>‎</w:t>
      </w:r>
      <w:r w:rsidR="00345400">
        <w:rPr>
          <w:rStyle w:val="af7"/>
          <w:rFonts w:eastAsia="Guttman Hodes"/>
          <w:rtl/>
        </w:rPr>
        <w:t>יח)</w:t>
      </w:r>
      <w:r w:rsidRPr="00FF0EA6">
        <w:rPr>
          <w:rStyle w:val="af7"/>
          <w:rFonts w:eastAsia="Guttman Hodes"/>
          <w:rtl/>
        </w:rPr>
        <w:fldChar w:fldCharType="end"/>
      </w:r>
      <w:r w:rsidRPr="00FF0EA6">
        <w:rPr>
          <w:rFonts w:hint="cs"/>
          <w:rtl/>
        </w:rPr>
        <w:t xml:space="preserve"> בדברי </w:t>
      </w:r>
      <w:r w:rsidRPr="00FF0EA6">
        <w:rPr>
          <w:rStyle w:val="af9"/>
          <w:rFonts w:hint="cs"/>
          <w:rtl/>
        </w:rPr>
        <w:t>הרשב"א והריטב"א</w:t>
      </w:r>
      <w:r>
        <w:rPr>
          <w:rFonts w:hint="cs"/>
          <w:rtl/>
        </w:rPr>
        <w:t xml:space="preserve">, וע"ע </w:t>
      </w:r>
      <w:r w:rsidRPr="00FF0EA6">
        <w:rPr>
          <w:rFonts w:hint="cs"/>
          <w:rtl/>
        </w:rPr>
        <w:t xml:space="preserve">בדברי </w:t>
      </w:r>
      <w:r w:rsidRPr="008D7A2A">
        <w:rPr>
          <w:rStyle w:val="af9"/>
          <w:rFonts w:hint="cs"/>
          <w:rtl/>
        </w:rPr>
        <w:t xml:space="preserve">הרשב"א לקמן </w:t>
      </w:r>
      <w:r>
        <w:rPr>
          <w:rFonts w:hint="cs"/>
          <w:rtl/>
        </w:rPr>
        <w:t>דכתב</w:t>
      </w:r>
      <w:r w:rsidRPr="00FF0EA6">
        <w:rPr>
          <w:rFonts w:hint="cs"/>
          <w:rtl/>
        </w:rPr>
        <w:t xml:space="preserve"> בשם </w:t>
      </w:r>
      <w:r w:rsidRPr="008D7A2A">
        <w:rPr>
          <w:rStyle w:val="af9"/>
          <w:rFonts w:hint="cs"/>
          <w:rtl/>
        </w:rPr>
        <w:t>תוס'</w:t>
      </w:r>
      <w:r w:rsidRPr="00FF0EA6">
        <w:rPr>
          <w:rFonts w:hint="cs"/>
          <w:rtl/>
        </w:rPr>
        <w:t xml:space="preserve"> </w:t>
      </w:r>
      <w:r w:rsidRPr="00F34DC1">
        <w:rPr>
          <w:rStyle w:val="af7"/>
          <w:rFonts w:eastAsia="Guttman Hodes" w:hint="cs"/>
          <w:rtl/>
        </w:rPr>
        <w:t xml:space="preserve">(עי' אות </w:t>
      </w:r>
      <w:r w:rsidRPr="00F34DC1">
        <w:rPr>
          <w:rStyle w:val="af7"/>
          <w:rFonts w:eastAsia="Guttman Hodes"/>
          <w:rtl/>
        </w:rPr>
        <w:fldChar w:fldCharType="begin"/>
      </w:r>
      <w:r w:rsidRPr="00F34DC1">
        <w:rPr>
          <w:rStyle w:val="af7"/>
          <w:rFonts w:eastAsia="Guttman Hodes"/>
          <w:rtl/>
        </w:rPr>
        <w:instrText xml:space="preserve"> </w:instrText>
      </w:r>
      <w:r w:rsidRPr="00F34DC1">
        <w:rPr>
          <w:rStyle w:val="af7"/>
          <w:rFonts w:eastAsia="Guttman Hodes" w:hint="cs"/>
        </w:rPr>
        <w:instrText>REF</w:instrText>
      </w:r>
      <w:r w:rsidRPr="00F34DC1">
        <w:rPr>
          <w:rStyle w:val="af7"/>
          <w:rFonts w:eastAsia="Guttman Hodes" w:hint="cs"/>
          <w:rtl/>
        </w:rPr>
        <w:instrText xml:space="preserve"> _</w:instrText>
      </w:r>
      <w:r w:rsidRPr="00F34DC1">
        <w:rPr>
          <w:rStyle w:val="af7"/>
          <w:rFonts w:eastAsia="Guttman Hodes" w:hint="cs"/>
        </w:rPr>
        <w:instrText>Ref2850869 \r \h</w:instrText>
      </w:r>
      <w:r w:rsidRPr="00F34DC1">
        <w:rPr>
          <w:rStyle w:val="af7"/>
          <w:rFonts w:eastAsia="Guttman Hodes"/>
          <w:rtl/>
        </w:rPr>
        <w:instrText xml:space="preserve">  \* </w:instrText>
      </w:r>
      <w:r w:rsidRPr="00F34DC1">
        <w:rPr>
          <w:rStyle w:val="af7"/>
          <w:rFonts w:eastAsia="Guttman Hodes"/>
        </w:rPr>
        <w:instrText>MERGEFORMAT</w:instrText>
      </w:r>
      <w:r w:rsidRPr="00F34DC1">
        <w:rPr>
          <w:rStyle w:val="af7"/>
          <w:rFonts w:eastAsia="Guttman Hodes"/>
          <w:rtl/>
        </w:rPr>
        <w:instrText xml:space="preserve"> </w:instrText>
      </w:r>
      <w:r w:rsidRPr="00F34DC1">
        <w:rPr>
          <w:rStyle w:val="af7"/>
          <w:rFonts w:eastAsia="Guttman Hodes"/>
          <w:rtl/>
        </w:rPr>
      </w:r>
      <w:r w:rsidRPr="00F34DC1">
        <w:rPr>
          <w:rStyle w:val="af7"/>
          <w:rFonts w:eastAsia="Guttman Hodes"/>
          <w:rtl/>
        </w:rPr>
        <w:fldChar w:fldCharType="separate"/>
      </w:r>
      <w:r w:rsidR="00345400">
        <w:rPr>
          <w:rStyle w:val="af7"/>
          <w:rFonts w:eastAsia="Guttman Hodes"/>
          <w:cs/>
        </w:rPr>
        <w:t>‎</w:t>
      </w:r>
      <w:r w:rsidR="00345400">
        <w:rPr>
          <w:rStyle w:val="af7"/>
          <w:rFonts w:eastAsia="Guttman Hodes"/>
          <w:rtl/>
        </w:rPr>
        <w:t>כג)</w:t>
      </w:r>
      <w:r w:rsidRPr="00F34DC1">
        <w:rPr>
          <w:rStyle w:val="af7"/>
          <w:rFonts w:eastAsia="Guttman Hodes"/>
          <w:rtl/>
        </w:rPr>
        <w:fldChar w:fldCharType="end"/>
      </w:r>
      <w:r w:rsidRPr="00FF0EA6">
        <w:rPr>
          <w:rFonts w:hint="cs"/>
          <w:rtl/>
        </w:rPr>
        <w:t xml:space="preserve"> ד</w:t>
      </w:r>
      <w:r>
        <w:rPr>
          <w:rFonts w:hint="cs"/>
          <w:rtl/>
        </w:rPr>
        <w:t xml:space="preserve">דוקא בשחיטה ובחלב הלכו ר"מ ור"י לשיטתם, אבל </w:t>
      </w:r>
      <w:r w:rsidRPr="00FF0EA6">
        <w:rPr>
          <w:rFonts w:hint="cs"/>
          <w:rtl/>
        </w:rPr>
        <w:t>בגיד לא הלכו לשיטתם</w:t>
      </w:r>
      <w:r>
        <w:rPr>
          <w:rFonts w:hint="cs"/>
          <w:rtl/>
        </w:rPr>
        <w:t>.</w:t>
      </w:r>
      <w:bookmarkEnd w:id="22326"/>
    </w:p>
    <w:p w14:paraId="125DA16B" w14:textId="77777777" w:rsidR="003D504D" w:rsidRPr="00FF0EA6" w:rsidRDefault="003D504D" w:rsidP="003D504D">
      <w:pPr>
        <w:pStyle w:val="a3"/>
      </w:pPr>
      <w:bookmarkStart w:id="22328" w:name="_Toc3480671"/>
      <w:bookmarkStart w:id="22329" w:name="_Toc3484935"/>
      <w:bookmarkStart w:id="22330" w:name="_Toc3535782"/>
      <w:bookmarkStart w:id="22331" w:name="_Toc3543127"/>
      <w:bookmarkStart w:id="22332" w:name="_Toc3550823"/>
      <w:bookmarkStart w:id="22333" w:name="_Toc3550979"/>
      <w:bookmarkStart w:id="22334" w:name="_Toc19391790"/>
      <w:bookmarkStart w:id="22335" w:name="_Toc19395287"/>
      <w:r>
        <w:rPr>
          <w:rFonts w:hint="cs"/>
          <w:rtl/>
        </w:rPr>
        <w:t>דברי הבעה"מ והרשב"א דכן נדחית למסקנא הגמ' לענין גיד בטמאה דהיא דלא כרב הושעיא</w:t>
      </w:r>
      <w:bookmarkEnd w:id="22328"/>
      <w:bookmarkEnd w:id="22329"/>
      <w:bookmarkEnd w:id="22330"/>
      <w:bookmarkEnd w:id="22331"/>
      <w:bookmarkEnd w:id="22332"/>
      <w:bookmarkEnd w:id="22333"/>
      <w:bookmarkEnd w:id="22334"/>
      <w:bookmarkEnd w:id="22335"/>
    </w:p>
    <w:p w14:paraId="2D0638AD" w14:textId="77777777" w:rsidR="003D504D" w:rsidRPr="00FF0EA6" w:rsidRDefault="003D504D" w:rsidP="00223668">
      <w:pPr>
        <w:pStyle w:val="a0"/>
        <w:rPr>
          <w:rtl/>
        </w:rPr>
      </w:pPr>
      <w:bookmarkStart w:id="22336" w:name="_Ref3373937"/>
      <w:r w:rsidRPr="00FF0EA6">
        <w:rPr>
          <w:rFonts w:hint="cs"/>
          <w:rtl/>
        </w:rPr>
        <w:t xml:space="preserve">והוסיפו </w:t>
      </w:r>
      <w:r w:rsidRPr="00FF0EA6">
        <w:rPr>
          <w:rStyle w:val="af9"/>
          <w:rFonts w:hint="cs"/>
          <w:rtl/>
        </w:rPr>
        <w:t>הבעה"מ</w:t>
      </w:r>
      <w:r w:rsidRPr="00FF0EA6">
        <w:rPr>
          <w:rFonts w:hint="cs"/>
          <w:rtl/>
        </w:rPr>
        <w:t xml:space="preserve"> </w:t>
      </w:r>
      <w:r w:rsidRPr="00FF0EA6">
        <w:rPr>
          <w:rStyle w:val="af9"/>
          <w:rFonts w:hint="cs"/>
          <w:rtl/>
        </w:rPr>
        <w:t>והרשב"א לקמן</w:t>
      </w:r>
      <w:r w:rsidRPr="00FF0EA6">
        <w:rPr>
          <w:rFonts w:hint="cs"/>
          <w:rtl/>
        </w:rPr>
        <w:t xml:space="preserve"> דכן נדחה למסקנא הא דאיתא בגמ' לקמן </w:t>
      </w:r>
      <w:r w:rsidRPr="00FF0EA6">
        <w:rPr>
          <w:rStyle w:val="af7"/>
          <w:rFonts w:eastAsia="Guttman Hodes" w:hint="cs"/>
          <w:rtl/>
        </w:rPr>
        <w:t xml:space="preserve">(ק:) </w:t>
      </w:r>
      <w:r w:rsidRPr="00FF0EA6">
        <w:rPr>
          <w:rFonts w:hint="cs"/>
          <w:rtl/>
        </w:rPr>
        <w:t xml:space="preserve">דבבהמה טמאה איסור גיד נוהג בשליל, דאיסור גיד ואיסור טומאה חלו ביחד במעי האם, וכתב </w:t>
      </w:r>
      <w:r w:rsidRPr="00FF0EA6">
        <w:rPr>
          <w:rStyle w:val="af9"/>
          <w:rFonts w:hint="cs"/>
          <w:rtl/>
        </w:rPr>
        <w:t xml:space="preserve">הרשב"א </w:t>
      </w:r>
      <w:r w:rsidRPr="00FF0EA6">
        <w:rPr>
          <w:rStyle w:val="af9"/>
          <w:rtl/>
        </w:rPr>
        <w:t>לקמן</w:t>
      </w:r>
      <w:r w:rsidRPr="00FF0EA6">
        <w:rPr>
          <w:rtl/>
        </w:rPr>
        <w:t xml:space="preserve"> </w:t>
      </w:r>
      <w:r w:rsidRPr="00FF0EA6">
        <w:rPr>
          <w:rStyle w:val="af7"/>
          <w:rFonts w:eastAsia="Guttman Hodes" w:hint="cs"/>
          <w:rtl/>
        </w:rPr>
        <w:t>(צב: ד"ה ולענין</w:t>
      </w:r>
      <w:r w:rsidRPr="00FF0EA6">
        <w:rPr>
          <w:rStyle w:val="af7"/>
          <w:rFonts w:eastAsiaTheme="minorHAnsi" w:hint="cs"/>
          <w:rtl/>
        </w:rPr>
        <w:t xml:space="preserve">) </w:t>
      </w:r>
      <w:r w:rsidRPr="00FF0EA6">
        <w:rPr>
          <w:rFonts w:hint="cs"/>
          <w:rtl/>
        </w:rPr>
        <w:t>דכיון דלמסקנא נדחו הסוגיות הללו, א"כ קיי"ל כרב הושעיא דהלכו לשיטתם ופלוגתת ר"י ור"מ בחלב, תליא בפלוגתתם בשחיטה</w:t>
      </w:r>
      <w:bookmarkEnd w:id="22336"/>
      <w:r w:rsidRPr="00FF0EA6">
        <w:rPr>
          <w:rFonts w:hint="cs"/>
          <w:rtl/>
        </w:rPr>
        <w:t>.</w:t>
      </w:r>
    </w:p>
    <w:p w14:paraId="62B8FE2A" w14:textId="77777777" w:rsidR="003D504D" w:rsidRPr="00167851" w:rsidRDefault="003D504D" w:rsidP="003D504D">
      <w:pPr>
        <w:pStyle w:val="a3"/>
      </w:pPr>
      <w:bookmarkStart w:id="22337" w:name="_Toc3535783"/>
      <w:bookmarkStart w:id="22338" w:name="_Toc3543128"/>
      <w:bookmarkStart w:id="22339" w:name="_Toc3550824"/>
      <w:bookmarkStart w:id="22340" w:name="_Toc3550980"/>
      <w:bookmarkStart w:id="22341" w:name="_Toc19391791"/>
      <w:bookmarkStart w:id="22342" w:name="_Toc19395288"/>
      <w:r>
        <w:rPr>
          <w:rFonts w:hint="cs"/>
          <w:rtl/>
        </w:rPr>
        <w:t>תירוץ המאירי דבגיד חל האיסור משעת יצירה לענין אם יתלוש אותו ובחלב חל רק בבן ט'</w:t>
      </w:r>
      <w:bookmarkEnd w:id="22337"/>
      <w:bookmarkEnd w:id="22338"/>
      <w:bookmarkEnd w:id="22339"/>
      <w:bookmarkEnd w:id="22340"/>
      <w:bookmarkEnd w:id="22341"/>
      <w:bookmarkEnd w:id="22342"/>
    </w:p>
    <w:p w14:paraId="6DFB8FBC" w14:textId="77777777" w:rsidR="003D504D" w:rsidRPr="00FF0EA6" w:rsidRDefault="003D504D" w:rsidP="00223668">
      <w:pPr>
        <w:pStyle w:val="a0"/>
        <w:rPr>
          <w:rtl/>
        </w:rPr>
      </w:pPr>
      <w:r w:rsidRPr="00F8406F">
        <w:rPr>
          <w:rStyle w:val="af9"/>
          <w:rFonts w:hint="cs"/>
          <w:rtl/>
        </w:rPr>
        <w:t>והמאירי</w:t>
      </w:r>
      <w:r>
        <w:rPr>
          <w:rFonts w:hint="cs"/>
          <w:rtl/>
        </w:rPr>
        <w:t xml:space="preserve"> </w:t>
      </w:r>
      <w:r w:rsidRPr="00F8406F">
        <w:rPr>
          <w:rStyle w:val="af7"/>
          <w:rFonts w:eastAsia="Guttman Hodes" w:hint="cs"/>
          <w:rtl/>
        </w:rPr>
        <w:t>(עד. סוד"ה מצא)</w:t>
      </w:r>
      <w:r>
        <w:rPr>
          <w:rFonts w:hint="cs"/>
          <w:rtl/>
        </w:rPr>
        <w:t xml:space="preserve"> כתב דלדעת ר"י צריך לדחוק דכוונת הגמ' </w:t>
      </w:r>
      <w:r w:rsidRPr="00FF0EA6">
        <w:rPr>
          <w:rFonts w:hint="cs"/>
          <w:rtl/>
        </w:rPr>
        <w:t xml:space="preserve">לקמן </w:t>
      </w:r>
      <w:r w:rsidRPr="005F3931">
        <w:rPr>
          <w:rStyle w:val="af7"/>
          <w:rFonts w:eastAsia="Guttman Hodes" w:hint="cs"/>
          <w:rtl/>
        </w:rPr>
        <w:t xml:space="preserve">(פט:) </w:t>
      </w:r>
      <w:r>
        <w:rPr>
          <w:rFonts w:hint="cs"/>
          <w:rtl/>
        </w:rPr>
        <w:t xml:space="preserve">לומר דאיסור גיד ומוקדשין חלים יחד, כיון שאם ישיט ידו למעי בהמה ויתלוש את הגיד יהיה חייב משעת יצירתו, ואילו בתלש חלב חייב עליו </w:t>
      </w:r>
      <w:r w:rsidRPr="00167851">
        <w:rPr>
          <w:rStyle w:val="afb"/>
          <w:rFonts w:hint="cs"/>
          <w:rtl/>
        </w:rPr>
        <w:t>[לריו"ח]</w:t>
      </w:r>
      <w:r>
        <w:rPr>
          <w:rFonts w:hint="cs"/>
          <w:rtl/>
        </w:rPr>
        <w:t>, רק אחר שנעשה בן ט'</w:t>
      </w:r>
      <w:r w:rsidRPr="00FF0EA6">
        <w:rPr>
          <w:rFonts w:hint="cs"/>
          <w:rtl/>
        </w:rPr>
        <w:t>.</w:t>
      </w:r>
      <w:bookmarkEnd w:id="22327"/>
      <w:r w:rsidRPr="00D972D2">
        <w:rPr>
          <w:rFonts w:hint="cs"/>
          <w:rtl/>
        </w:rPr>
        <w:t xml:space="preserve"> </w:t>
      </w:r>
    </w:p>
    <w:p w14:paraId="66C61083" w14:textId="77777777" w:rsidR="003D504D" w:rsidRDefault="003D504D" w:rsidP="003D504D">
      <w:pPr>
        <w:pStyle w:val="afe"/>
        <w:rPr>
          <w:rtl/>
        </w:rPr>
      </w:pPr>
      <w:bookmarkStart w:id="22343" w:name="_Toc3543129"/>
      <w:bookmarkStart w:id="22344" w:name="_Toc3550825"/>
      <w:bookmarkStart w:id="22345" w:name="_Toc3550981"/>
      <w:bookmarkStart w:id="22346" w:name="_Toc19436306"/>
      <w:bookmarkStart w:id="22347" w:name="_Toc20081452"/>
      <w:bookmarkStart w:id="22348" w:name="_Toc3234469"/>
      <w:bookmarkStart w:id="22349" w:name="_Toc3287703"/>
      <w:bookmarkStart w:id="22350" w:name="_Toc3322204"/>
      <w:bookmarkStart w:id="22351" w:name="_Toc3480714"/>
      <w:bookmarkStart w:id="22352" w:name="_Toc3484989"/>
      <w:bookmarkStart w:id="22353" w:name="_Toc3535861"/>
      <w:bookmarkStart w:id="22354" w:name="_Toc2866730"/>
      <w:bookmarkStart w:id="22355" w:name="_Toc3234498"/>
      <w:bookmarkStart w:id="22356" w:name="_Toc3287736"/>
      <w:bookmarkStart w:id="22357" w:name="_Toc3322251"/>
      <w:bookmarkStart w:id="22358" w:name="_Toc3480673"/>
      <w:bookmarkStart w:id="22359" w:name="_Toc3484936"/>
      <w:bookmarkStart w:id="22360" w:name="_Toc3535784"/>
      <w:bookmarkStart w:id="22361" w:name="_Toc3234472"/>
      <w:bookmarkStart w:id="22362" w:name="_Toc3287706"/>
      <w:bookmarkStart w:id="22363" w:name="_Toc3322211"/>
      <w:r>
        <w:rPr>
          <w:rFonts w:hint="cs"/>
          <w:rtl/>
        </w:rPr>
        <w:t>ביאורי הראשונים בחידוש רב הושעיא</w:t>
      </w:r>
      <w:bookmarkEnd w:id="22343"/>
      <w:bookmarkEnd w:id="22344"/>
      <w:bookmarkEnd w:id="22345"/>
      <w:bookmarkEnd w:id="22346"/>
      <w:bookmarkEnd w:id="22347"/>
    </w:p>
    <w:p w14:paraId="57745D1C" w14:textId="77777777" w:rsidR="003D504D" w:rsidRDefault="003D504D" w:rsidP="00BF39B2">
      <w:pPr>
        <w:pStyle w:val="1"/>
        <w:rPr>
          <w:rtl/>
        </w:rPr>
      </w:pPr>
      <w:bookmarkStart w:id="22364" w:name="_Toc3543130"/>
      <w:bookmarkStart w:id="22365" w:name="_Toc3550826"/>
      <w:bookmarkStart w:id="22366" w:name="_Toc3550982"/>
      <w:bookmarkStart w:id="22367" w:name="_Toc19391792"/>
      <w:bookmarkStart w:id="22368" w:name="_Toc19395289"/>
      <w:r>
        <w:rPr>
          <w:rFonts w:hint="cs"/>
          <w:rtl/>
        </w:rPr>
        <w:t>ביאור הראשונים דרב הושעיא חידש דנחלקו בגדר דין בן ט'</w:t>
      </w:r>
      <w:bookmarkEnd w:id="22364"/>
      <w:bookmarkEnd w:id="22365"/>
      <w:bookmarkEnd w:id="22366"/>
      <w:bookmarkEnd w:id="22367"/>
      <w:bookmarkEnd w:id="22368"/>
    </w:p>
    <w:p w14:paraId="2624EE1D" w14:textId="77777777" w:rsidR="003D504D" w:rsidRPr="00936CF8" w:rsidRDefault="003D504D" w:rsidP="003D504D">
      <w:pPr>
        <w:pStyle w:val="a3"/>
        <w:rPr>
          <w:rtl/>
        </w:rPr>
      </w:pPr>
      <w:bookmarkStart w:id="22369" w:name="_Toc3543131"/>
      <w:bookmarkStart w:id="22370" w:name="_Toc3550827"/>
      <w:bookmarkStart w:id="22371" w:name="_Toc3550983"/>
      <w:bookmarkStart w:id="22372" w:name="_Toc19391793"/>
      <w:bookmarkStart w:id="22373" w:name="_Toc19395290"/>
      <w:r>
        <w:rPr>
          <w:rFonts w:hint="cs"/>
          <w:rtl/>
        </w:rPr>
        <w:t>קושית הראשונים אמאי הוצרכה הגמ' לקמן להביא את דברי רב הושעיא</w:t>
      </w:r>
      <w:bookmarkEnd w:id="22369"/>
      <w:bookmarkEnd w:id="22370"/>
      <w:bookmarkEnd w:id="22371"/>
      <w:bookmarkEnd w:id="22372"/>
      <w:bookmarkEnd w:id="22373"/>
    </w:p>
    <w:p w14:paraId="71CF9A6F" w14:textId="77777777" w:rsidR="003D504D" w:rsidRDefault="003D504D" w:rsidP="00223668">
      <w:pPr>
        <w:pStyle w:val="a0"/>
        <w:rPr>
          <w:rtl/>
        </w:rPr>
      </w:pPr>
      <w:bookmarkStart w:id="22374" w:name="_Ref3388234"/>
      <w:bookmarkEnd w:id="22348"/>
      <w:bookmarkEnd w:id="22349"/>
      <w:bookmarkEnd w:id="22350"/>
      <w:bookmarkEnd w:id="22351"/>
      <w:bookmarkEnd w:id="22352"/>
      <w:bookmarkEnd w:id="22353"/>
      <w:r>
        <w:rPr>
          <w:rFonts w:hint="cs"/>
          <w:rtl/>
        </w:rPr>
        <w:t xml:space="preserve">בהא דאמר שמואל בגמ' לקמן </w:t>
      </w:r>
      <w:r w:rsidRPr="00706C04">
        <w:rPr>
          <w:rStyle w:val="af7"/>
          <w:rFonts w:eastAsia="Guttman Hodes" w:hint="cs"/>
          <w:rtl/>
        </w:rPr>
        <w:t>(צב:)</w:t>
      </w:r>
      <w:r>
        <w:rPr>
          <w:rFonts w:hint="cs"/>
          <w:rtl/>
        </w:rPr>
        <w:t xml:space="preserve"> דחלב מותר לכו"ע, הוכיחה הגמ' דאין כוונתו לחלב השליל דהא תני בברייתא דנחלקו ר"י ור"מ בדין החלב, והוסיפה הגמ' את דברי רב הושעיא דנחלקו בבן ט' חי, ור"מ ור"י הלכו לשיטתם, </w:t>
      </w:r>
      <w:r w:rsidRPr="008A18A8">
        <w:rPr>
          <w:rFonts w:hint="cs"/>
          <w:rtl/>
        </w:rPr>
        <w:t xml:space="preserve">והקשו </w:t>
      </w:r>
      <w:r w:rsidRPr="008A18A8">
        <w:rPr>
          <w:rStyle w:val="af9"/>
          <w:rFonts w:hint="cs"/>
          <w:rtl/>
        </w:rPr>
        <w:t xml:space="preserve">התוס' לקמן </w:t>
      </w:r>
      <w:r w:rsidRPr="008A18A8">
        <w:rPr>
          <w:rStyle w:val="af7"/>
          <w:rFonts w:eastAsia="Guttman Hodes" w:hint="cs"/>
          <w:rtl/>
        </w:rPr>
        <w:t>(צב: ד"ה ואמר)</w:t>
      </w:r>
      <w:r w:rsidRPr="008A18A8">
        <w:rPr>
          <w:rStyle w:val="af9"/>
          <w:rFonts w:hint="cs"/>
          <w:rtl/>
        </w:rPr>
        <w:t xml:space="preserve"> והרמב"ן לקמן</w:t>
      </w:r>
      <w:r w:rsidRPr="008A18A8">
        <w:rPr>
          <w:rFonts w:hint="cs"/>
          <w:rtl/>
        </w:rPr>
        <w:t xml:space="preserve"> </w:t>
      </w:r>
      <w:r w:rsidRPr="008A18A8">
        <w:rPr>
          <w:rStyle w:val="af7"/>
          <w:rFonts w:eastAsia="Guttman Hodes" w:hint="cs"/>
          <w:rtl/>
        </w:rPr>
        <w:t>(צב: ד"ה אילימא)</w:t>
      </w:r>
      <w:r w:rsidRPr="008A18A8">
        <w:rPr>
          <w:rFonts w:hint="cs"/>
          <w:rtl/>
        </w:rPr>
        <w:t xml:space="preserve"> </w:t>
      </w:r>
      <w:r w:rsidRPr="008A18A8">
        <w:rPr>
          <w:rStyle w:val="af9"/>
          <w:rFonts w:hint="cs"/>
          <w:rtl/>
        </w:rPr>
        <w:t>והרשב"א לקמן</w:t>
      </w:r>
      <w:r w:rsidRPr="008A18A8">
        <w:rPr>
          <w:rFonts w:hint="cs"/>
          <w:rtl/>
        </w:rPr>
        <w:t xml:space="preserve"> </w:t>
      </w:r>
      <w:r w:rsidRPr="008A18A8">
        <w:rPr>
          <w:rStyle w:val="af7"/>
          <w:rFonts w:eastAsia="Guttman Hodes" w:hint="cs"/>
          <w:rtl/>
        </w:rPr>
        <w:t>(צב: ד"ה חלבו)</w:t>
      </w:r>
      <w:r w:rsidRPr="008A18A8">
        <w:rPr>
          <w:rFonts w:hint="cs"/>
          <w:rtl/>
        </w:rPr>
        <w:t xml:space="preserve"> </w:t>
      </w:r>
      <w:r w:rsidRPr="008A18A8">
        <w:rPr>
          <w:rStyle w:val="af9"/>
          <w:rFonts w:hint="cs"/>
          <w:rtl/>
        </w:rPr>
        <w:t>והר"ן בחי' לקמן</w:t>
      </w:r>
      <w:r w:rsidRPr="008A18A8">
        <w:rPr>
          <w:rFonts w:hint="cs"/>
          <w:rtl/>
        </w:rPr>
        <w:t xml:space="preserve"> </w:t>
      </w:r>
      <w:r w:rsidRPr="008A18A8">
        <w:rPr>
          <w:rStyle w:val="af7"/>
          <w:rFonts w:eastAsia="Guttman Hodes" w:hint="cs"/>
          <w:rtl/>
        </w:rPr>
        <w:t>(צב: ד"ה וא"</w:t>
      </w:r>
      <w:r w:rsidRPr="00F62E08">
        <w:rPr>
          <w:rStyle w:val="af7"/>
          <w:rFonts w:eastAsia="Guttman Hodes" w:hint="cs"/>
          <w:rtl/>
        </w:rPr>
        <w:t>ר אלעזר)</w:t>
      </w:r>
      <w:r>
        <w:rPr>
          <w:rStyle w:val="af7"/>
          <w:rFonts w:eastAsia="Guttman Hodes" w:hint="cs"/>
          <w:rtl/>
        </w:rPr>
        <w:t xml:space="preserve"> </w:t>
      </w:r>
      <w:r>
        <w:rPr>
          <w:rFonts w:hint="cs"/>
          <w:rtl/>
        </w:rPr>
        <w:t xml:space="preserve">אמאי הוצרכה הגמ' להביא את דברי רב הושעיא, הא כבר בברייתא מבואר דר"מ ור"י נחלקו בדין חלב שליל, </w:t>
      </w:r>
      <w:r>
        <w:rPr>
          <w:rStyle w:val="af9"/>
          <w:rFonts w:hint="cs"/>
          <w:rtl/>
        </w:rPr>
        <w:t>ו</w:t>
      </w:r>
      <w:r w:rsidRPr="00F1613A">
        <w:rPr>
          <w:rStyle w:val="af9"/>
          <w:rFonts w:hint="cs"/>
          <w:rtl/>
        </w:rPr>
        <w:t>הריטב"א לקמן</w:t>
      </w:r>
      <w:r w:rsidRPr="00F1613A">
        <w:rPr>
          <w:rStyle w:val="af7"/>
          <w:rFonts w:eastAsia="Guttman Hodes" w:hint="cs"/>
          <w:rtl/>
        </w:rPr>
        <w:t xml:space="preserve"> (צב: ד"ה אמר) </w:t>
      </w:r>
      <w:r>
        <w:rPr>
          <w:rFonts w:hint="cs"/>
          <w:rtl/>
        </w:rPr>
        <w:t>הוסיף להקשות דאף בלא הברייתא קשה על שמואל, מה הסברא לומר דנחלקו בגיד ולא בחלב, דאי השליל חשיב בהמה גמורה בין החלב ובין הגיד אסורים, ואי אינו בהמה גמורה בין החלב ובין הגיד מותרים.</w:t>
      </w:r>
    </w:p>
    <w:p w14:paraId="4464949A" w14:textId="77777777" w:rsidR="003D504D" w:rsidRDefault="003D504D" w:rsidP="003D504D">
      <w:pPr>
        <w:pStyle w:val="a3"/>
        <w:rPr>
          <w:rtl/>
        </w:rPr>
      </w:pPr>
      <w:bookmarkStart w:id="22375" w:name="_Toc3543132"/>
      <w:bookmarkStart w:id="22376" w:name="_Toc3550828"/>
      <w:bookmarkStart w:id="22377" w:name="_Toc3550984"/>
      <w:bookmarkStart w:id="22378" w:name="_Toc19391794"/>
      <w:bookmarkStart w:id="22379" w:name="_Toc19395291"/>
      <w:r>
        <w:rPr>
          <w:rFonts w:hint="cs"/>
          <w:rtl/>
        </w:rPr>
        <w:t>דברי הרמב"ן והרשב"א</w:t>
      </w:r>
      <w:r w:rsidRPr="006B0BA3">
        <w:rPr>
          <w:rFonts w:hint="cs"/>
          <w:rtl/>
        </w:rPr>
        <w:t xml:space="preserve"> </w:t>
      </w:r>
      <w:r>
        <w:rPr>
          <w:rFonts w:hint="cs"/>
          <w:rtl/>
        </w:rPr>
        <w:t>דחידש רב</w:t>
      </w:r>
      <w:r w:rsidRPr="006B0BA3">
        <w:rPr>
          <w:rFonts w:hint="cs"/>
          <w:rtl/>
        </w:rPr>
        <w:t xml:space="preserve"> הושעיא </w:t>
      </w:r>
      <w:r>
        <w:rPr>
          <w:rFonts w:hint="cs"/>
          <w:rtl/>
        </w:rPr>
        <w:t>דנחלקו בחלב וגיד בדין חדשים ואוירא ולא בילפותא</w:t>
      </w:r>
      <w:bookmarkEnd w:id="22375"/>
      <w:bookmarkEnd w:id="22376"/>
      <w:bookmarkEnd w:id="22377"/>
      <w:bookmarkEnd w:id="22378"/>
      <w:bookmarkEnd w:id="22379"/>
    </w:p>
    <w:p w14:paraId="61A5B095" w14:textId="77777777" w:rsidR="003D504D" w:rsidRDefault="003D504D" w:rsidP="00223668">
      <w:pPr>
        <w:pStyle w:val="a0"/>
        <w:rPr>
          <w:rtl/>
        </w:rPr>
      </w:pPr>
      <w:r>
        <w:rPr>
          <w:rFonts w:hint="cs"/>
          <w:rtl/>
        </w:rPr>
        <w:t xml:space="preserve">ותירצו </w:t>
      </w:r>
      <w:r w:rsidRPr="008A18A8">
        <w:rPr>
          <w:rStyle w:val="af9"/>
          <w:rFonts w:hint="cs"/>
          <w:rtl/>
        </w:rPr>
        <w:t>התוס' והר"ן</w:t>
      </w:r>
      <w:r>
        <w:rPr>
          <w:rFonts w:hint="cs"/>
          <w:rtl/>
        </w:rPr>
        <w:t xml:space="preserve"> </w:t>
      </w:r>
      <w:r w:rsidRPr="008A18A8">
        <w:rPr>
          <w:rStyle w:val="af9"/>
          <w:rFonts w:hint="cs"/>
          <w:rtl/>
        </w:rPr>
        <w:t>לקמן</w:t>
      </w:r>
      <w:r>
        <w:rPr>
          <w:rFonts w:hint="cs"/>
          <w:rtl/>
        </w:rPr>
        <w:t xml:space="preserve"> דלולי דברי רב הושעיא אפשר לבאר את הברייתא דנחלקו בחלב של גיד הנשה, ולא בחלב של השליל, ולכן הביאה הגמ' את דברי רב הושעיא דאמר דהלכו לשיטתם, ומוכח דנחלקו בין בגיד הנשה ובין בחלב של השליל עצמו, והוסיפו </w:t>
      </w:r>
      <w:r w:rsidRPr="008A18A8">
        <w:rPr>
          <w:rStyle w:val="af9"/>
          <w:rFonts w:hint="cs"/>
          <w:rtl/>
        </w:rPr>
        <w:t xml:space="preserve">הרמב"ן והרשב"א </w:t>
      </w:r>
      <w:r>
        <w:rPr>
          <w:rFonts w:hint="cs"/>
          <w:rtl/>
        </w:rPr>
        <w:t>לקמן דלולי דברי רב הושעיא הו"א דנחלקו בדין הגיד אי חדשים גרמי או אוירא גרים, דר"י ס"ל דכל שלא יצא לאויר העולם הגיד חשיב כבשר ואינו נקרא גיד כלל, אבל בחלב כו"ע מודו דהוא מותר מילפותא "דאשם מוצא מכלל שליל",</w:t>
      </w:r>
      <w:r w:rsidRPr="00CA162F">
        <w:rPr>
          <w:rFonts w:hint="cs"/>
          <w:rtl/>
        </w:rPr>
        <w:t xml:space="preserve"> </w:t>
      </w:r>
      <w:r>
        <w:rPr>
          <w:rFonts w:hint="cs"/>
          <w:rtl/>
        </w:rPr>
        <w:t xml:space="preserve">והוסיף </w:t>
      </w:r>
      <w:r w:rsidRPr="00F1613A">
        <w:rPr>
          <w:rStyle w:val="af9"/>
          <w:rFonts w:hint="cs"/>
          <w:rtl/>
        </w:rPr>
        <w:t>הריטב"א לקמן</w:t>
      </w:r>
      <w:r>
        <w:rPr>
          <w:rFonts w:hint="cs"/>
          <w:rtl/>
        </w:rPr>
        <w:t xml:space="preserve"> דאף אי חשיב בהמה גמורה, מ"מ חלבו מותר מהילפותא "דאשם מוצא מכלל שליל".</w:t>
      </w:r>
    </w:p>
    <w:p w14:paraId="2C743FC3" w14:textId="77777777" w:rsidR="003D504D" w:rsidRPr="003748CA" w:rsidRDefault="003D504D" w:rsidP="003D504D">
      <w:pPr>
        <w:pStyle w:val="a3"/>
      </w:pPr>
      <w:bookmarkStart w:id="22380" w:name="_Toc3543133"/>
      <w:bookmarkStart w:id="22381" w:name="_Toc3550829"/>
      <w:bookmarkStart w:id="22382" w:name="_Toc3550985"/>
      <w:bookmarkStart w:id="22383" w:name="_Toc19391795"/>
      <w:bookmarkStart w:id="22384" w:name="_Toc19395292"/>
      <w:r>
        <w:rPr>
          <w:rFonts w:hint="cs"/>
          <w:rtl/>
        </w:rPr>
        <w:t>דברי הרמב"ן דברב הושעיא מוכח דפלוגתת ר"מ ור"י היא בחלב וגיד של בן ט'</w:t>
      </w:r>
      <w:bookmarkEnd w:id="22380"/>
      <w:bookmarkEnd w:id="22381"/>
      <w:bookmarkEnd w:id="22382"/>
      <w:bookmarkEnd w:id="22383"/>
      <w:bookmarkEnd w:id="22384"/>
    </w:p>
    <w:p w14:paraId="02BEEA72" w14:textId="77777777" w:rsidR="003D504D" w:rsidRPr="00752422" w:rsidRDefault="003D504D" w:rsidP="00223668">
      <w:pPr>
        <w:pStyle w:val="a0"/>
        <w:rPr>
          <w:rtl/>
        </w:rPr>
      </w:pPr>
      <w:r>
        <w:rPr>
          <w:rFonts w:hint="cs"/>
          <w:rtl/>
        </w:rPr>
        <w:t xml:space="preserve">ועוד תירץ </w:t>
      </w:r>
      <w:r w:rsidRPr="008444E1">
        <w:rPr>
          <w:rStyle w:val="af9"/>
          <w:rFonts w:hint="cs"/>
          <w:rtl/>
        </w:rPr>
        <w:t>הרמב"ן לקמן</w:t>
      </w:r>
      <w:r>
        <w:rPr>
          <w:rFonts w:hint="cs"/>
          <w:rtl/>
        </w:rPr>
        <w:t xml:space="preserve"> דלולי דברי רב הושעיא הו"א דר"מ אוסר בכל גיד בין בבן ח' ובין בבן ט', ור"י מתיר בכל שליל, והא דתני' במתני' שם דחלב מותר, היינו בחלב של בן ח', אבל מדברי רב הושעיא מוכח דנחלקו אף בגיד של בן ט', וא"כ מוכח דאף בחלב איירי בבן ט' </w:t>
      </w:r>
      <w:r w:rsidRPr="00752422">
        <w:rPr>
          <w:rFonts w:hint="cs"/>
          <w:rtl/>
        </w:rPr>
        <w:t>.</w:t>
      </w:r>
      <w:bookmarkEnd w:id="22374"/>
    </w:p>
    <w:p w14:paraId="7134B947" w14:textId="77777777" w:rsidR="003D504D" w:rsidRDefault="003D504D" w:rsidP="003D504D">
      <w:pPr>
        <w:pStyle w:val="afe"/>
        <w:rPr>
          <w:rtl/>
        </w:rPr>
      </w:pPr>
      <w:bookmarkStart w:id="22385" w:name="_Toc3543134"/>
      <w:bookmarkStart w:id="22386" w:name="_Toc3550830"/>
      <w:bookmarkStart w:id="22387" w:name="_Toc3550986"/>
      <w:bookmarkStart w:id="22388" w:name="_Toc19436307"/>
      <w:bookmarkStart w:id="22389" w:name="_Toc20081453"/>
      <w:bookmarkStart w:id="22390" w:name="_Toc3480716"/>
      <w:bookmarkStart w:id="22391" w:name="_Toc3484991"/>
      <w:bookmarkStart w:id="22392" w:name="_Toc3535863"/>
      <w:r>
        <w:rPr>
          <w:rFonts w:hint="cs"/>
          <w:rtl/>
        </w:rPr>
        <w:t>באיסור גיד בשליל במעי אמו</w:t>
      </w:r>
      <w:bookmarkEnd w:id="22385"/>
      <w:bookmarkEnd w:id="22386"/>
      <w:bookmarkEnd w:id="22387"/>
      <w:bookmarkEnd w:id="22388"/>
      <w:bookmarkEnd w:id="22389"/>
    </w:p>
    <w:p w14:paraId="0EB4DCE6" w14:textId="77777777" w:rsidR="003D504D" w:rsidRDefault="003D504D" w:rsidP="00BF39B2">
      <w:pPr>
        <w:pStyle w:val="1"/>
        <w:rPr>
          <w:rtl/>
        </w:rPr>
      </w:pPr>
      <w:bookmarkStart w:id="22393" w:name="_Toc3543135"/>
      <w:bookmarkStart w:id="22394" w:name="_Toc3550831"/>
      <w:bookmarkStart w:id="22395" w:name="_Toc3550987"/>
      <w:bookmarkStart w:id="22396" w:name="_Toc19391796"/>
      <w:bookmarkStart w:id="22397" w:name="_Toc19395293"/>
      <w:r>
        <w:rPr>
          <w:rFonts w:hint="cs"/>
          <w:rtl/>
        </w:rPr>
        <w:t>דברי התוס'</w:t>
      </w:r>
      <w:bookmarkEnd w:id="22354"/>
      <w:bookmarkEnd w:id="22355"/>
      <w:bookmarkEnd w:id="22356"/>
      <w:bookmarkEnd w:id="22357"/>
      <w:r>
        <w:rPr>
          <w:rFonts w:hint="cs"/>
          <w:rtl/>
        </w:rPr>
        <w:t xml:space="preserve"> דגיד מותר בשחיטת האם ולכן האיסור חל כשנולד</w:t>
      </w:r>
      <w:bookmarkEnd w:id="22390"/>
      <w:bookmarkEnd w:id="22391"/>
      <w:bookmarkEnd w:id="22392"/>
      <w:bookmarkEnd w:id="22393"/>
      <w:bookmarkEnd w:id="22394"/>
      <w:bookmarkEnd w:id="22395"/>
      <w:bookmarkEnd w:id="22396"/>
      <w:bookmarkEnd w:id="22397"/>
      <w:r>
        <w:rPr>
          <w:rFonts w:hint="cs"/>
          <w:rtl/>
        </w:rPr>
        <w:t xml:space="preserve"> </w:t>
      </w:r>
    </w:p>
    <w:p w14:paraId="4B8B1096" w14:textId="77777777" w:rsidR="003D504D" w:rsidRPr="00496DBE" w:rsidRDefault="003D504D" w:rsidP="003D504D">
      <w:pPr>
        <w:pStyle w:val="a3"/>
        <w:rPr>
          <w:rtl/>
        </w:rPr>
      </w:pPr>
      <w:bookmarkStart w:id="22398" w:name="_Toc3543136"/>
      <w:bookmarkStart w:id="22399" w:name="_Toc3550832"/>
      <w:bookmarkStart w:id="22400" w:name="_Toc3550988"/>
      <w:bookmarkStart w:id="22401" w:name="_Toc19391797"/>
      <w:bookmarkStart w:id="22402" w:name="_Toc19395294"/>
      <w:r>
        <w:rPr>
          <w:rFonts w:hint="cs"/>
          <w:rtl/>
        </w:rPr>
        <w:t>קושית התוס' והרשב"א דלר"מ איסור גיד לא חל משעת יצירה אלא בבן ט' דהא חדשים גרמי</w:t>
      </w:r>
      <w:bookmarkEnd w:id="22398"/>
      <w:bookmarkEnd w:id="22399"/>
      <w:bookmarkEnd w:id="22400"/>
      <w:bookmarkEnd w:id="22401"/>
      <w:bookmarkEnd w:id="22402"/>
    </w:p>
    <w:p w14:paraId="31082AB4" w14:textId="77777777" w:rsidR="003D504D" w:rsidRPr="00496DBE" w:rsidRDefault="003D504D" w:rsidP="00223668">
      <w:pPr>
        <w:pStyle w:val="a0"/>
        <w:rPr>
          <w:rStyle w:val="afb"/>
          <w:rtl/>
        </w:rPr>
      </w:pPr>
      <w:r>
        <w:rPr>
          <w:rFonts w:hint="cs"/>
          <w:rtl/>
        </w:rPr>
        <w:t>בהא דאיתא בגמ' לקמן</w:t>
      </w:r>
      <w:r>
        <w:rPr>
          <w:rStyle w:val="af7"/>
          <w:rFonts w:eastAsiaTheme="minorHAnsi" w:hint="cs"/>
          <w:rtl/>
        </w:rPr>
        <w:t xml:space="preserve"> (פט:)</w:t>
      </w:r>
      <w:r>
        <w:rPr>
          <w:rFonts w:hint="cs"/>
          <w:rtl/>
        </w:rPr>
        <w:t xml:space="preserve"> דלמ"ד דולדות קדשים קדושים ממעי אמן, איסור גיד ואיסור חלב חלים עליהם יחד במעי אמן, הקשו </w:t>
      </w:r>
      <w:r>
        <w:rPr>
          <w:rStyle w:val="af9"/>
          <w:rFonts w:hint="cs"/>
          <w:rtl/>
        </w:rPr>
        <w:t>התוס'</w:t>
      </w:r>
      <w:r w:rsidRPr="008012BE">
        <w:rPr>
          <w:rStyle w:val="af9"/>
          <w:rFonts w:hint="cs"/>
          <w:rtl/>
        </w:rPr>
        <w:t xml:space="preserve"> לקמן</w:t>
      </w:r>
      <w:r>
        <w:rPr>
          <w:rFonts w:hint="cs"/>
          <w:rtl/>
        </w:rPr>
        <w:t xml:space="preserve"> </w:t>
      </w:r>
      <w:r>
        <w:rPr>
          <w:rStyle w:val="af7"/>
          <w:rFonts w:eastAsiaTheme="minorHAnsi" w:hint="cs"/>
          <w:rtl/>
        </w:rPr>
        <w:t>(פט: ד"ה בולדות)</w:t>
      </w:r>
      <w:r>
        <w:rPr>
          <w:rFonts w:hint="cs"/>
          <w:rtl/>
        </w:rPr>
        <w:t xml:space="preserve"> </w:t>
      </w:r>
      <w:r>
        <w:rPr>
          <w:rStyle w:val="af9"/>
          <w:rFonts w:hint="cs"/>
          <w:rtl/>
        </w:rPr>
        <w:t>ו</w:t>
      </w:r>
      <w:r w:rsidRPr="008012BE">
        <w:rPr>
          <w:rStyle w:val="af9"/>
          <w:rFonts w:hint="cs"/>
          <w:rtl/>
        </w:rPr>
        <w:t xml:space="preserve">הרשב"א </w:t>
      </w:r>
      <w:r>
        <w:rPr>
          <w:rStyle w:val="af9"/>
          <w:rFonts w:hint="cs"/>
          <w:rtl/>
        </w:rPr>
        <w:t xml:space="preserve">בחי' </w:t>
      </w:r>
      <w:r w:rsidRPr="008012BE">
        <w:rPr>
          <w:rStyle w:val="af9"/>
          <w:rFonts w:hint="cs"/>
          <w:rtl/>
        </w:rPr>
        <w:t>לקמן</w:t>
      </w:r>
      <w:r>
        <w:rPr>
          <w:rFonts w:hint="cs"/>
          <w:rtl/>
        </w:rPr>
        <w:t xml:space="preserve"> </w:t>
      </w:r>
      <w:r>
        <w:rPr>
          <w:rStyle w:val="af7"/>
          <w:rFonts w:eastAsiaTheme="minorHAnsi" w:hint="cs"/>
          <w:rtl/>
        </w:rPr>
        <w:t xml:space="preserve">(פט: ד"ה אלא בולדות) </w:t>
      </w:r>
      <w:r>
        <w:rPr>
          <w:rStyle w:val="af9"/>
          <w:rFonts w:hint="cs"/>
          <w:rtl/>
        </w:rPr>
        <w:t xml:space="preserve">ובתוה"ב </w:t>
      </w:r>
      <w:r w:rsidRPr="00134302">
        <w:rPr>
          <w:rStyle w:val="af7"/>
          <w:rFonts w:eastAsia="Guttman Hodes" w:hint="cs"/>
          <w:rtl/>
        </w:rPr>
        <w:t>(ב"ב ש"ה דף נט. מדה"ס)</w:t>
      </w:r>
      <w:r>
        <w:rPr>
          <w:rStyle w:val="af9"/>
          <w:rFonts w:hint="cs"/>
          <w:rtl/>
        </w:rPr>
        <w:t xml:space="preserve"> </w:t>
      </w:r>
      <w:r>
        <w:rPr>
          <w:rFonts w:hint="cs"/>
          <w:rtl/>
        </w:rPr>
        <w:t>דלדברי רב הושעיא דהלכו לשיטתם בשחיטה ובחלב וגיד, א"כ אף לדעת ר"מ דס"ל דגיד נוהג בשליל, מ"מ רק אחר דכלו לו חדשיו חל עליו איסור גיד, דהא לדעת ר"מ חדשים גרמי, ואילו איסור קדשים חל על השליל משעת יצירתו</w:t>
      </w:r>
      <w:r>
        <w:rPr>
          <w:rStyle w:val="afb"/>
          <w:rFonts w:hint="cs"/>
          <w:rtl/>
        </w:rPr>
        <w:t>.</w:t>
      </w:r>
      <w:r w:rsidRPr="00A37081">
        <w:rPr>
          <w:rStyle w:val="af9"/>
          <w:rFonts w:hint="cs"/>
          <w:rtl/>
        </w:rPr>
        <w:t xml:space="preserve"> </w:t>
      </w:r>
    </w:p>
    <w:p w14:paraId="215AF78F" w14:textId="77777777" w:rsidR="003D504D" w:rsidRDefault="003D504D" w:rsidP="003D504D">
      <w:pPr>
        <w:pStyle w:val="a3"/>
        <w:rPr>
          <w:rtl/>
        </w:rPr>
      </w:pPr>
      <w:bookmarkStart w:id="22403" w:name="_Toc3543137"/>
      <w:bookmarkStart w:id="22404" w:name="_Toc3550833"/>
      <w:bookmarkStart w:id="22405" w:name="_Toc3550989"/>
      <w:bookmarkStart w:id="22406" w:name="_Toc19391798"/>
      <w:bookmarkStart w:id="22407" w:name="_Toc19395295"/>
      <w:r>
        <w:rPr>
          <w:rFonts w:hint="cs"/>
          <w:rtl/>
        </w:rPr>
        <w:t>תירוץ התוס' דלר"מ חל איסור גיד משעת יצירה אלא דבבן ח' דיש לו היתר בשחיטה אף גידו מותר</w:t>
      </w:r>
      <w:bookmarkEnd w:id="22403"/>
      <w:bookmarkEnd w:id="22404"/>
      <w:bookmarkEnd w:id="22405"/>
      <w:bookmarkEnd w:id="22406"/>
      <w:bookmarkEnd w:id="22407"/>
    </w:p>
    <w:p w14:paraId="39D7FD52" w14:textId="77777777" w:rsidR="003D504D" w:rsidRPr="00F712C9" w:rsidRDefault="003D504D" w:rsidP="00223668">
      <w:pPr>
        <w:pStyle w:val="a0"/>
        <w:rPr>
          <w:rtl/>
        </w:rPr>
      </w:pPr>
      <w:bookmarkStart w:id="22408" w:name="_Ref3366863"/>
      <w:r>
        <w:rPr>
          <w:rFonts w:hint="cs"/>
          <w:rtl/>
        </w:rPr>
        <w:t xml:space="preserve">ותירצו </w:t>
      </w:r>
      <w:r w:rsidRPr="00496DBE">
        <w:rPr>
          <w:rStyle w:val="af9"/>
          <w:rFonts w:hint="cs"/>
          <w:rtl/>
        </w:rPr>
        <w:t>התוס' לקמן</w:t>
      </w:r>
      <w:r>
        <w:rPr>
          <w:rFonts w:hint="cs"/>
          <w:rtl/>
        </w:rPr>
        <w:t xml:space="preserve"> דאף בבן ח' מודה ר"מ שיש בו איסור גיד משעת יצירתו, והא דהתיר ר"מ בגיד של בן ח', היינו לאחר שנשחטה אמו, </w:t>
      </w:r>
      <w:r w:rsidRPr="00F712C9">
        <w:rPr>
          <w:rFonts w:hint="cs"/>
          <w:rtl/>
        </w:rPr>
        <w:t>דכיון שמותר בשחיטה אף גידו בכלל ההיתר, אבל כל שלא נשחטה יש בו איסור גיד</w:t>
      </w:r>
      <w:r>
        <w:rPr>
          <w:rFonts w:hint="cs"/>
          <w:rtl/>
        </w:rPr>
        <w:t>,</w:t>
      </w:r>
      <w:r w:rsidRPr="00F712C9">
        <w:rPr>
          <w:rFonts w:hint="cs"/>
          <w:rtl/>
        </w:rPr>
        <w:t xml:space="preserve"> </w:t>
      </w:r>
      <w:r>
        <w:rPr>
          <w:rFonts w:hint="cs"/>
          <w:rtl/>
        </w:rPr>
        <w:t>וע"ע בדברי</w:t>
      </w:r>
      <w:r w:rsidRPr="00F712C9">
        <w:rPr>
          <w:rFonts w:hint="cs"/>
          <w:rtl/>
        </w:rPr>
        <w:t xml:space="preserve"> </w:t>
      </w:r>
      <w:r w:rsidRPr="00F712C9">
        <w:rPr>
          <w:rStyle w:val="af9"/>
          <w:rFonts w:hint="cs"/>
          <w:rtl/>
        </w:rPr>
        <w:t>הרשב"א</w:t>
      </w:r>
      <w:r w:rsidRPr="00F712C9">
        <w:rPr>
          <w:rFonts w:hint="cs"/>
          <w:rtl/>
        </w:rPr>
        <w:t xml:space="preserve"> </w:t>
      </w:r>
      <w:r w:rsidRPr="00F712C9">
        <w:rPr>
          <w:rStyle w:val="af7"/>
          <w:rFonts w:eastAsia="Guttman Hodes" w:hint="cs"/>
          <w:rtl/>
        </w:rPr>
        <w:t xml:space="preserve">(עי' אות </w:t>
      </w:r>
      <w:r w:rsidRPr="00F712C9">
        <w:rPr>
          <w:rStyle w:val="af7"/>
          <w:rFonts w:eastAsia="Guttman Hodes"/>
          <w:rtl/>
        </w:rPr>
        <w:fldChar w:fldCharType="begin"/>
      </w:r>
      <w:r w:rsidRPr="00F712C9">
        <w:rPr>
          <w:rStyle w:val="af7"/>
          <w:rFonts w:eastAsia="Guttman Hodes"/>
          <w:rtl/>
        </w:rPr>
        <w:instrText xml:space="preserve"> </w:instrText>
      </w:r>
      <w:r w:rsidRPr="00F712C9">
        <w:rPr>
          <w:rStyle w:val="af7"/>
          <w:rFonts w:eastAsia="Guttman Hodes" w:hint="cs"/>
        </w:rPr>
        <w:instrText>REF</w:instrText>
      </w:r>
      <w:r w:rsidRPr="00F712C9">
        <w:rPr>
          <w:rStyle w:val="af7"/>
          <w:rFonts w:eastAsia="Guttman Hodes" w:hint="cs"/>
          <w:rtl/>
        </w:rPr>
        <w:instrText xml:space="preserve"> _</w:instrText>
      </w:r>
      <w:r w:rsidRPr="00F712C9">
        <w:rPr>
          <w:rStyle w:val="af7"/>
          <w:rFonts w:eastAsia="Guttman Hodes" w:hint="cs"/>
        </w:rPr>
        <w:instrText>Ref3367115 \r \h</w:instrText>
      </w:r>
      <w:r w:rsidRPr="00F712C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F712C9">
        <w:rPr>
          <w:rStyle w:val="af7"/>
          <w:rFonts w:eastAsia="Guttman Hodes"/>
          <w:rtl/>
        </w:rPr>
      </w:r>
      <w:r w:rsidRPr="00F712C9">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sidRPr="00F712C9">
        <w:rPr>
          <w:rStyle w:val="af7"/>
          <w:rFonts w:eastAsia="Guttman Hodes"/>
          <w:rtl/>
        </w:rPr>
        <w:fldChar w:fldCharType="end"/>
      </w:r>
      <w:r w:rsidRPr="00F712C9">
        <w:rPr>
          <w:rFonts w:hint="cs"/>
          <w:rtl/>
        </w:rPr>
        <w:t xml:space="preserve"> </w:t>
      </w:r>
      <w:r>
        <w:rPr>
          <w:rFonts w:hint="cs"/>
          <w:rtl/>
        </w:rPr>
        <w:t>ובדברי</w:t>
      </w:r>
      <w:r w:rsidRPr="00F712C9">
        <w:rPr>
          <w:rFonts w:hint="cs"/>
          <w:rtl/>
        </w:rPr>
        <w:t xml:space="preserve"> </w:t>
      </w:r>
      <w:r w:rsidRPr="00F712C9">
        <w:rPr>
          <w:rStyle w:val="af9"/>
          <w:rFonts w:hint="cs"/>
          <w:rtl/>
        </w:rPr>
        <w:t>הרמב"ן</w:t>
      </w:r>
      <w:r w:rsidRPr="00F712C9">
        <w:rPr>
          <w:rFonts w:hint="cs"/>
          <w:rtl/>
        </w:rPr>
        <w:t xml:space="preserve"> לענין חלב </w:t>
      </w:r>
      <w:r w:rsidRPr="00F712C9">
        <w:rPr>
          <w:rStyle w:val="af7"/>
          <w:rFonts w:eastAsia="Guttman Hodes" w:hint="cs"/>
          <w:rtl/>
        </w:rPr>
        <w:t xml:space="preserve">(עי' אות </w:t>
      </w:r>
      <w:r w:rsidRPr="00F712C9">
        <w:rPr>
          <w:rStyle w:val="af7"/>
          <w:rFonts w:eastAsia="Guttman Hodes"/>
          <w:rtl/>
        </w:rPr>
        <w:fldChar w:fldCharType="begin"/>
      </w:r>
      <w:r w:rsidRPr="00F712C9">
        <w:rPr>
          <w:rStyle w:val="af7"/>
          <w:rFonts w:eastAsia="Guttman Hodes"/>
          <w:rtl/>
        </w:rPr>
        <w:instrText xml:space="preserve"> </w:instrText>
      </w:r>
      <w:r w:rsidRPr="00F712C9">
        <w:rPr>
          <w:rStyle w:val="af7"/>
          <w:rFonts w:eastAsia="Guttman Hodes" w:hint="cs"/>
        </w:rPr>
        <w:instrText>REF</w:instrText>
      </w:r>
      <w:r w:rsidRPr="00F712C9">
        <w:rPr>
          <w:rStyle w:val="af7"/>
          <w:rFonts w:eastAsia="Guttman Hodes" w:hint="cs"/>
          <w:rtl/>
        </w:rPr>
        <w:instrText xml:space="preserve"> _</w:instrText>
      </w:r>
      <w:r w:rsidRPr="00F712C9">
        <w:rPr>
          <w:rStyle w:val="af7"/>
          <w:rFonts w:eastAsia="Guttman Hodes" w:hint="cs"/>
        </w:rPr>
        <w:instrText>Ref3321917 \r \h</w:instrText>
      </w:r>
      <w:r w:rsidRPr="00F712C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F712C9">
        <w:rPr>
          <w:rStyle w:val="af7"/>
          <w:rFonts w:eastAsia="Guttman Hodes"/>
          <w:rtl/>
        </w:rPr>
      </w:r>
      <w:r w:rsidRPr="00F712C9">
        <w:rPr>
          <w:rStyle w:val="af7"/>
          <w:rFonts w:eastAsia="Guttman Hodes"/>
          <w:rtl/>
        </w:rPr>
        <w:fldChar w:fldCharType="separate"/>
      </w:r>
      <w:r w:rsidR="00345400">
        <w:rPr>
          <w:rStyle w:val="af7"/>
          <w:rFonts w:eastAsia="Guttman Hodes"/>
          <w:cs/>
        </w:rPr>
        <w:t>‎</w:t>
      </w:r>
      <w:r w:rsidR="00345400">
        <w:rPr>
          <w:rStyle w:val="af7"/>
          <w:rFonts w:eastAsia="Guttman Hodes"/>
          <w:rtl/>
        </w:rPr>
        <w:t>סט)</w:t>
      </w:r>
      <w:r w:rsidRPr="00F712C9">
        <w:rPr>
          <w:rStyle w:val="af7"/>
          <w:rFonts w:eastAsia="Guttman Hodes"/>
          <w:rtl/>
        </w:rPr>
        <w:fldChar w:fldCharType="end"/>
      </w:r>
      <w:r w:rsidRPr="00F712C9">
        <w:rPr>
          <w:rFonts w:hint="cs"/>
          <w:rtl/>
        </w:rPr>
        <w:t>.</w:t>
      </w:r>
      <w:bookmarkEnd w:id="22408"/>
    </w:p>
    <w:p w14:paraId="2E1DFA7F" w14:textId="77777777" w:rsidR="003D504D" w:rsidRDefault="003D504D" w:rsidP="003D504D">
      <w:pPr>
        <w:pStyle w:val="a3"/>
        <w:rPr>
          <w:rtl/>
        </w:rPr>
      </w:pPr>
      <w:bookmarkStart w:id="22409" w:name="_Toc3543138"/>
      <w:bookmarkStart w:id="22410" w:name="_Toc3550834"/>
      <w:bookmarkStart w:id="22411" w:name="_Toc3550990"/>
      <w:bookmarkStart w:id="22412" w:name="_Toc19391799"/>
      <w:bookmarkStart w:id="22413" w:name="_Toc19395296"/>
      <w:r>
        <w:rPr>
          <w:rFonts w:hint="cs"/>
          <w:rtl/>
        </w:rPr>
        <w:t>קושית הגרעק"א על תוס' דאף לר"י בבן ט' כל שלא נשחטה לא חל איסור גיד</w:t>
      </w:r>
      <w:bookmarkEnd w:id="22409"/>
      <w:bookmarkEnd w:id="22410"/>
      <w:bookmarkEnd w:id="22411"/>
      <w:bookmarkEnd w:id="22412"/>
      <w:bookmarkEnd w:id="22413"/>
    </w:p>
    <w:p w14:paraId="4F1FAD75" w14:textId="77777777" w:rsidR="003D504D" w:rsidRPr="002309D9" w:rsidRDefault="003D504D" w:rsidP="00223668">
      <w:pPr>
        <w:pStyle w:val="a0"/>
        <w:rPr>
          <w:rStyle w:val="afb"/>
          <w:rtl/>
        </w:rPr>
      </w:pPr>
      <w:r>
        <w:rPr>
          <w:rFonts w:hint="cs"/>
          <w:rtl/>
        </w:rPr>
        <w:t xml:space="preserve">והקשה </w:t>
      </w:r>
      <w:r w:rsidRPr="009070DB">
        <w:rPr>
          <w:rStyle w:val="af9"/>
          <w:rFonts w:hint="cs"/>
          <w:rtl/>
        </w:rPr>
        <w:t>הגרעק"א לקמן</w:t>
      </w:r>
      <w:r>
        <w:rPr>
          <w:rFonts w:hint="cs"/>
          <w:rtl/>
        </w:rPr>
        <w:t xml:space="preserve"> </w:t>
      </w:r>
      <w:r w:rsidRPr="00747AE1">
        <w:rPr>
          <w:rStyle w:val="af7"/>
          <w:rFonts w:eastAsia="Guttman Hodes" w:hint="cs"/>
          <w:rtl/>
        </w:rPr>
        <w:t>(פט: על תוד"ה בולדות)</w:t>
      </w:r>
      <w:r>
        <w:rPr>
          <w:rFonts w:hint="cs"/>
          <w:rtl/>
        </w:rPr>
        <w:t xml:space="preserve"> על דברי </w:t>
      </w:r>
      <w:r w:rsidRPr="009070DB">
        <w:rPr>
          <w:rStyle w:val="af9"/>
          <w:rFonts w:hint="cs"/>
          <w:rtl/>
        </w:rPr>
        <w:t>התוס' לקמן</w:t>
      </w:r>
      <w:r>
        <w:rPr>
          <w:rFonts w:hint="cs"/>
          <w:rtl/>
        </w:rPr>
        <w:t xml:space="preserve">, דאמאי כתבו </w:t>
      </w:r>
      <w:r w:rsidRPr="00364616">
        <w:rPr>
          <w:rStyle w:val="af9"/>
          <w:rFonts w:hint="cs"/>
          <w:rtl/>
        </w:rPr>
        <w:t xml:space="preserve">התוס' </w:t>
      </w:r>
      <w:r>
        <w:rPr>
          <w:rFonts w:hint="cs"/>
          <w:rtl/>
        </w:rPr>
        <w:t xml:space="preserve">דלר"מ בבן ח' כל שלא נשחטה הגיד אסור, הרי אף לדעת ר"י כל שלא נשחטה הגיד אסור אף בבן ט', ואי כוונת </w:t>
      </w:r>
      <w:r w:rsidRPr="002309D9">
        <w:rPr>
          <w:rStyle w:val="af9"/>
          <w:rFonts w:hint="cs"/>
          <w:rtl/>
        </w:rPr>
        <w:t xml:space="preserve">התוס' </w:t>
      </w:r>
      <w:r>
        <w:rPr>
          <w:rFonts w:hint="cs"/>
          <w:rtl/>
        </w:rPr>
        <w:t xml:space="preserve">לומר דלרבנן כיון דבן ט' מותר בשחיטת אמו, א"כ אף לפני השחיטה לא חל איסור גיד, א"כ אף לר"מ נימא דבבן ח' כיון שיש לו היתר בשחיטה, לא חל עליו איסור גיד. </w:t>
      </w:r>
      <w:r w:rsidRPr="002309D9">
        <w:rPr>
          <w:rStyle w:val="afb"/>
          <w:rFonts w:hint="cs"/>
          <w:rtl/>
        </w:rPr>
        <w:t xml:space="preserve">[וכתב </w:t>
      </w:r>
      <w:r w:rsidRPr="002309D9">
        <w:rPr>
          <w:rStyle w:val="affa"/>
          <w:rFonts w:hint="cs"/>
          <w:rtl/>
        </w:rPr>
        <w:t xml:space="preserve">הגרעק"א </w:t>
      </w:r>
      <w:r w:rsidRPr="002309D9">
        <w:rPr>
          <w:rStyle w:val="afb"/>
          <w:rFonts w:hint="cs"/>
          <w:rtl/>
        </w:rPr>
        <w:t>דאף דבהמשך דבריהם הקשו</w:t>
      </w:r>
      <w:r w:rsidRPr="002309D9">
        <w:rPr>
          <w:rStyle w:val="affa"/>
          <w:rFonts w:hint="cs"/>
          <w:rtl/>
        </w:rPr>
        <w:t xml:space="preserve"> התוס' </w:t>
      </w:r>
      <w:r w:rsidRPr="002309D9">
        <w:rPr>
          <w:rStyle w:val="aff6"/>
          <w:rFonts w:hint="cs"/>
          <w:rtl/>
        </w:rPr>
        <w:t xml:space="preserve">(עי' </w:t>
      </w:r>
      <w:r w:rsidRPr="005F1D50">
        <w:rPr>
          <w:rStyle w:val="aff6"/>
          <w:rFonts w:hint="cs"/>
          <w:rtl/>
        </w:rPr>
        <w:t xml:space="preserve">אות </w:t>
      </w:r>
      <w:r w:rsidRPr="005F1D50">
        <w:rPr>
          <w:rStyle w:val="aff6"/>
          <w:rtl/>
        </w:rPr>
        <w:fldChar w:fldCharType="begin"/>
      </w:r>
      <w:r w:rsidRPr="005F1D50">
        <w:rPr>
          <w:rStyle w:val="aff6"/>
          <w:rtl/>
        </w:rPr>
        <w:instrText xml:space="preserve"> </w:instrText>
      </w:r>
      <w:r w:rsidRPr="005F1D50">
        <w:rPr>
          <w:rStyle w:val="aff6"/>
          <w:rFonts w:hint="cs"/>
        </w:rPr>
        <w:instrText>REF</w:instrText>
      </w:r>
      <w:r w:rsidRPr="005F1D50">
        <w:rPr>
          <w:rStyle w:val="aff6"/>
          <w:rFonts w:hint="cs"/>
          <w:rtl/>
        </w:rPr>
        <w:instrText xml:space="preserve"> _</w:instrText>
      </w:r>
      <w:r w:rsidRPr="005F1D50">
        <w:rPr>
          <w:rStyle w:val="aff6"/>
          <w:rFonts w:hint="cs"/>
        </w:rPr>
        <w:instrText>Ref3550960 \r \h</w:instrText>
      </w:r>
      <w:r w:rsidRPr="005F1D50">
        <w:rPr>
          <w:rStyle w:val="aff6"/>
          <w:rtl/>
        </w:rPr>
        <w:instrText xml:space="preserve"> </w:instrText>
      </w:r>
      <w:r w:rsidRPr="005F1D50">
        <w:rPr>
          <w:rStyle w:val="aff6"/>
          <w:rtl/>
        </w:rPr>
      </w:r>
      <w:r w:rsidRPr="005F1D50">
        <w:rPr>
          <w:rStyle w:val="aff6"/>
          <w:rtl/>
        </w:rPr>
        <w:fldChar w:fldCharType="separate"/>
      </w:r>
      <w:r w:rsidR="00345400">
        <w:rPr>
          <w:rStyle w:val="aff6"/>
          <w:cs/>
        </w:rPr>
        <w:t>‎</w:t>
      </w:r>
      <w:r w:rsidR="00345400">
        <w:rPr>
          <w:rStyle w:val="aff6"/>
          <w:rtl/>
        </w:rPr>
        <w:t>ל)</w:t>
      </w:r>
      <w:r w:rsidRPr="005F1D50">
        <w:rPr>
          <w:rStyle w:val="aff6"/>
          <w:rtl/>
        </w:rPr>
        <w:fldChar w:fldCharType="end"/>
      </w:r>
      <w:r>
        <w:rPr>
          <w:rStyle w:val="afb"/>
          <w:rFonts w:hint="cs"/>
          <w:rtl/>
        </w:rPr>
        <w:t xml:space="preserve"> </w:t>
      </w:r>
      <w:r w:rsidRPr="002309D9">
        <w:rPr>
          <w:rStyle w:val="afb"/>
          <w:rFonts w:hint="cs"/>
          <w:rtl/>
        </w:rPr>
        <w:t xml:space="preserve">על קושית הגמ' דהא אף ר"י מודה דהגיד אסור כל שלא נשחטה האם, מ"מ היה </w:t>
      </w:r>
      <w:r w:rsidRPr="002309D9">
        <w:rPr>
          <w:rStyle w:val="affa"/>
          <w:rFonts w:hint="cs"/>
          <w:rtl/>
        </w:rPr>
        <w:t>להתוס'</w:t>
      </w:r>
      <w:r w:rsidRPr="002309D9">
        <w:rPr>
          <w:rStyle w:val="afb"/>
          <w:rFonts w:hint="cs"/>
          <w:rtl/>
        </w:rPr>
        <w:t xml:space="preserve"> לומר בתחילת דבריהם דבין לר"מ ובין לר"י חל איסור כ"ז שלא נשחטה האם].</w:t>
      </w:r>
    </w:p>
    <w:p w14:paraId="0D4E3ABF" w14:textId="77777777" w:rsidR="003D504D" w:rsidRDefault="003D504D" w:rsidP="00BF39B2">
      <w:pPr>
        <w:pStyle w:val="1"/>
        <w:rPr>
          <w:rtl/>
        </w:rPr>
      </w:pPr>
      <w:bookmarkStart w:id="22414" w:name="_Toc3543139"/>
      <w:bookmarkStart w:id="22415" w:name="_Toc3550835"/>
      <w:bookmarkStart w:id="22416" w:name="_Toc3550991"/>
      <w:bookmarkStart w:id="22417" w:name="_Toc19391800"/>
      <w:bookmarkStart w:id="22418" w:name="_Toc19395297"/>
      <w:r>
        <w:rPr>
          <w:rFonts w:hint="cs"/>
          <w:rtl/>
        </w:rPr>
        <w:t>תירוץ הראשונים דהגמ' בדין גיד פליגא על רב הושעיא</w:t>
      </w:r>
      <w:bookmarkEnd w:id="22414"/>
      <w:bookmarkEnd w:id="22415"/>
      <w:bookmarkEnd w:id="22416"/>
      <w:bookmarkEnd w:id="22417"/>
      <w:bookmarkEnd w:id="22418"/>
    </w:p>
    <w:p w14:paraId="0D3071AE" w14:textId="77777777" w:rsidR="003D504D" w:rsidRDefault="003D504D" w:rsidP="003D504D">
      <w:pPr>
        <w:pStyle w:val="a3"/>
        <w:rPr>
          <w:rtl/>
        </w:rPr>
      </w:pPr>
      <w:bookmarkStart w:id="22419" w:name="_Toc3543140"/>
      <w:bookmarkStart w:id="22420" w:name="_Toc3550836"/>
      <w:bookmarkStart w:id="22421" w:name="_Toc3550992"/>
      <w:bookmarkStart w:id="22422" w:name="_Toc19391801"/>
      <w:bookmarkStart w:id="22423" w:name="_Toc19395298"/>
      <w:r>
        <w:rPr>
          <w:rFonts w:hint="cs"/>
          <w:rtl/>
        </w:rPr>
        <w:t>דעת הבהע"מ והרשב"א והריטב"א דהגמ' בדין גיד פליגא על רב הושעיא ואינה להלכה</w:t>
      </w:r>
      <w:bookmarkEnd w:id="22419"/>
      <w:bookmarkEnd w:id="22420"/>
      <w:bookmarkEnd w:id="22421"/>
      <w:bookmarkEnd w:id="22422"/>
      <w:bookmarkEnd w:id="22423"/>
    </w:p>
    <w:p w14:paraId="1685CDD8" w14:textId="77777777" w:rsidR="003D504D" w:rsidRDefault="003D504D" w:rsidP="00223668">
      <w:pPr>
        <w:pStyle w:val="a0"/>
        <w:rPr>
          <w:rtl/>
        </w:rPr>
      </w:pPr>
      <w:bookmarkStart w:id="22424" w:name="_Ref2850825"/>
      <w:bookmarkStart w:id="22425" w:name="_Ref3146218"/>
      <w:r w:rsidRPr="00776CA0">
        <w:rPr>
          <w:rStyle w:val="af9"/>
          <w:rFonts w:hint="cs"/>
          <w:rtl/>
        </w:rPr>
        <w:t>והבעה"מ</w:t>
      </w:r>
      <w:r>
        <w:rPr>
          <w:rFonts w:hint="cs"/>
          <w:rtl/>
        </w:rPr>
        <w:t xml:space="preserve"> </w:t>
      </w:r>
      <w:r w:rsidRPr="00337E08">
        <w:rPr>
          <w:rStyle w:val="af7"/>
          <w:rFonts w:eastAsia="Guttman Hodes" w:hint="cs"/>
          <w:rtl/>
        </w:rPr>
        <w:t xml:space="preserve">(עי' אות </w:t>
      </w:r>
      <w:r w:rsidRPr="00337E08">
        <w:rPr>
          <w:rStyle w:val="af7"/>
          <w:rFonts w:eastAsia="Guttman Hodes"/>
          <w:rtl/>
        </w:rPr>
        <w:fldChar w:fldCharType="begin"/>
      </w:r>
      <w:r w:rsidRPr="00337E08">
        <w:rPr>
          <w:rStyle w:val="af7"/>
          <w:rFonts w:eastAsia="Guttman Hodes"/>
          <w:rtl/>
        </w:rPr>
        <w:instrText xml:space="preserve"> </w:instrText>
      </w:r>
      <w:r w:rsidRPr="00337E08">
        <w:rPr>
          <w:rStyle w:val="af7"/>
          <w:rFonts w:eastAsia="Guttman Hodes" w:hint="cs"/>
        </w:rPr>
        <w:instrText>REF</w:instrText>
      </w:r>
      <w:r w:rsidRPr="00337E08">
        <w:rPr>
          <w:rStyle w:val="af7"/>
          <w:rFonts w:eastAsia="Guttman Hodes" w:hint="cs"/>
          <w:rtl/>
        </w:rPr>
        <w:instrText xml:space="preserve"> _</w:instrText>
      </w:r>
      <w:r w:rsidRPr="00337E08">
        <w:rPr>
          <w:rStyle w:val="af7"/>
          <w:rFonts w:eastAsia="Guttman Hodes" w:hint="cs"/>
        </w:rPr>
        <w:instrText>Ref3541677 \r \h</w:instrText>
      </w:r>
      <w:r w:rsidRPr="00337E08">
        <w:rPr>
          <w:rStyle w:val="af7"/>
          <w:rFonts w:eastAsia="Guttman Hodes"/>
          <w:rtl/>
        </w:rPr>
        <w:instrText xml:space="preserve"> </w:instrText>
      </w:r>
      <w:r w:rsidRPr="00337E08">
        <w:rPr>
          <w:rStyle w:val="af7"/>
          <w:rFonts w:eastAsia="Guttman Hodes"/>
          <w:rtl/>
        </w:rPr>
      </w:r>
      <w:r w:rsidRPr="00337E08">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337E08">
        <w:rPr>
          <w:rStyle w:val="af7"/>
          <w:rFonts w:eastAsia="Guttman Hodes"/>
          <w:rtl/>
        </w:rPr>
        <w:fldChar w:fldCharType="end"/>
      </w:r>
      <w:r>
        <w:rPr>
          <w:rStyle w:val="af9"/>
          <w:rFonts w:hint="cs"/>
          <w:rtl/>
        </w:rPr>
        <w:t xml:space="preserve"> ו</w:t>
      </w:r>
      <w:r w:rsidRPr="008012BE">
        <w:rPr>
          <w:rStyle w:val="af9"/>
          <w:rFonts w:hint="cs"/>
          <w:rtl/>
        </w:rPr>
        <w:t>הרשב"א לקמן</w:t>
      </w:r>
      <w:r>
        <w:rPr>
          <w:rFonts w:hint="cs"/>
          <w:rtl/>
        </w:rPr>
        <w:t xml:space="preserve"> </w:t>
      </w:r>
      <w:r>
        <w:rPr>
          <w:rStyle w:val="af7"/>
          <w:rFonts w:eastAsiaTheme="minorHAnsi" w:hint="cs"/>
          <w:rtl/>
        </w:rPr>
        <w:t xml:space="preserve">(פט: ד"ה אלא בולדות, </w:t>
      </w:r>
      <w:r w:rsidRPr="005F3931">
        <w:rPr>
          <w:rStyle w:val="af7"/>
          <w:rFonts w:eastAsia="Guttman Hodes" w:hint="cs"/>
          <w:rtl/>
        </w:rPr>
        <w:t xml:space="preserve">צב: </w:t>
      </w:r>
      <w:r>
        <w:rPr>
          <w:rStyle w:val="af7"/>
          <w:rFonts w:eastAsia="Guttman Hodes" w:hint="cs"/>
          <w:rtl/>
        </w:rPr>
        <w:t>סו</w:t>
      </w:r>
      <w:r w:rsidRPr="005F3931">
        <w:rPr>
          <w:rStyle w:val="af7"/>
          <w:rFonts w:eastAsia="Guttman Hodes" w:hint="cs"/>
          <w:rtl/>
        </w:rPr>
        <w:t>ד"ה ולענין</w:t>
      </w:r>
      <w:r>
        <w:rPr>
          <w:rStyle w:val="af7"/>
          <w:rFonts w:eastAsiaTheme="minorHAnsi" w:hint="cs"/>
          <w:rtl/>
        </w:rPr>
        <w:t xml:space="preserve">) </w:t>
      </w:r>
      <w:r>
        <w:rPr>
          <w:rFonts w:hint="cs"/>
          <w:rtl/>
        </w:rPr>
        <w:t xml:space="preserve">תירצו דהגמ' לקמן </w:t>
      </w:r>
      <w:r>
        <w:rPr>
          <w:rStyle w:val="af7"/>
          <w:rFonts w:eastAsiaTheme="minorHAnsi" w:hint="cs"/>
          <w:rtl/>
        </w:rPr>
        <w:t>(פט:)</w:t>
      </w:r>
      <w:r>
        <w:rPr>
          <w:rFonts w:hint="cs"/>
          <w:rtl/>
        </w:rPr>
        <w:t xml:space="preserve"> חולקת על רב הושעיא, וכן הא דאיתא </w:t>
      </w:r>
      <w:r w:rsidRPr="000B0BA1">
        <w:rPr>
          <w:rFonts w:hint="cs"/>
          <w:rtl/>
        </w:rPr>
        <w:t>בגמ' לקמן</w:t>
      </w:r>
      <w:r w:rsidRPr="000B0BA1">
        <w:rPr>
          <w:rStyle w:val="af7"/>
          <w:rFonts w:eastAsia="Guttman Hodes" w:hint="cs"/>
          <w:rtl/>
        </w:rPr>
        <w:t xml:space="preserve"> (ק:) </w:t>
      </w:r>
      <w:r w:rsidRPr="000B0BA1">
        <w:rPr>
          <w:rFonts w:hint="cs"/>
          <w:rtl/>
        </w:rPr>
        <w:t>דבשליל</w:t>
      </w:r>
      <w:r>
        <w:rPr>
          <w:rFonts w:hint="cs"/>
          <w:rtl/>
        </w:rPr>
        <w:t xml:space="preserve"> של בהמה טמאה חל איסור גיד ואיסור טומאה יחד, הוא דלא כרב הושעיא</w:t>
      </w:r>
      <w:bookmarkEnd w:id="22424"/>
      <w:r>
        <w:rPr>
          <w:rFonts w:hint="cs"/>
          <w:rtl/>
        </w:rPr>
        <w:t xml:space="preserve">, ולהלכה הגמ' סוגיות אלו נדחו, וקיי"ל כרב הושעיא, וכ"כ </w:t>
      </w:r>
      <w:r w:rsidRPr="00FE150E">
        <w:rPr>
          <w:rStyle w:val="af9"/>
          <w:rFonts w:hint="cs"/>
          <w:rtl/>
        </w:rPr>
        <w:t>הריטב"א לקמן</w:t>
      </w:r>
      <w:r>
        <w:rPr>
          <w:rFonts w:hint="cs"/>
          <w:rtl/>
        </w:rPr>
        <w:t xml:space="preserve"> </w:t>
      </w:r>
      <w:r w:rsidRPr="00337E08">
        <w:rPr>
          <w:rStyle w:val="af7"/>
          <w:rFonts w:eastAsia="Guttman Hodes" w:hint="cs"/>
          <w:rtl/>
        </w:rPr>
        <w:t xml:space="preserve">(עי' אות </w:t>
      </w:r>
      <w:r w:rsidRPr="00337E08">
        <w:rPr>
          <w:rStyle w:val="af7"/>
          <w:rFonts w:eastAsia="Guttman Hodes"/>
          <w:rtl/>
        </w:rPr>
        <w:fldChar w:fldCharType="begin"/>
      </w:r>
      <w:r w:rsidRPr="00337E08">
        <w:rPr>
          <w:rStyle w:val="af7"/>
          <w:rFonts w:eastAsia="Guttman Hodes"/>
          <w:rtl/>
        </w:rPr>
        <w:instrText xml:space="preserve"> </w:instrText>
      </w:r>
      <w:r w:rsidRPr="00337E08">
        <w:rPr>
          <w:rStyle w:val="af7"/>
          <w:rFonts w:eastAsia="Guttman Hodes" w:hint="cs"/>
        </w:rPr>
        <w:instrText>REF</w:instrText>
      </w:r>
      <w:r w:rsidRPr="00337E08">
        <w:rPr>
          <w:rStyle w:val="af7"/>
          <w:rFonts w:eastAsia="Guttman Hodes" w:hint="cs"/>
          <w:rtl/>
        </w:rPr>
        <w:instrText xml:space="preserve"> _</w:instrText>
      </w:r>
      <w:r w:rsidRPr="00337E08">
        <w:rPr>
          <w:rStyle w:val="af7"/>
          <w:rFonts w:eastAsia="Guttman Hodes" w:hint="cs"/>
        </w:rPr>
        <w:instrText>Ref3541677 \r \h</w:instrText>
      </w:r>
      <w:r w:rsidRPr="00337E08">
        <w:rPr>
          <w:rStyle w:val="af7"/>
          <w:rFonts w:eastAsia="Guttman Hodes"/>
          <w:rtl/>
        </w:rPr>
        <w:instrText xml:space="preserve"> </w:instrText>
      </w:r>
      <w:r w:rsidRPr="00337E08">
        <w:rPr>
          <w:rStyle w:val="af7"/>
          <w:rFonts w:eastAsia="Guttman Hodes"/>
          <w:rtl/>
        </w:rPr>
      </w:r>
      <w:r w:rsidRPr="00337E08">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337E08">
        <w:rPr>
          <w:rStyle w:val="af7"/>
          <w:rFonts w:eastAsia="Guttman Hodes"/>
          <w:rtl/>
        </w:rPr>
        <w:fldChar w:fldCharType="end"/>
      </w:r>
      <w:r>
        <w:rPr>
          <w:rFonts w:hint="cs"/>
          <w:rtl/>
        </w:rPr>
        <w:t>.</w:t>
      </w:r>
      <w:bookmarkEnd w:id="22425"/>
    </w:p>
    <w:p w14:paraId="2636A2B3" w14:textId="77777777" w:rsidR="003D504D" w:rsidRDefault="003D504D" w:rsidP="00BF39B2">
      <w:pPr>
        <w:pStyle w:val="1"/>
        <w:rPr>
          <w:rtl/>
        </w:rPr>
      </w:pPr>
      <w:bookmarkStart w:id="22426" w:name="_Toc3543141"/>
      <w:bookmarkStart w:id="22427" w:name="_Toc3550837"/>
      <w:bookmarkStart w:id="22428" w:name="_Toc3550993"/>
      <w:bookmarkStart w:id="22429" w:name="_Toc19391802"/>
      <w:bookmarkStart w:id="22430" w:name="_Toc19395299"/>
      <w:r>
        <w:rPr>
          <w:rFonts w:hint="cs"/>
          <w:rtl/>
        </w:rPr>
        <w:t>ביאור הראש יוסף דנחלקו הראשונים בגדר היתר גיד בבן ח'</w:t>
      </w:r>
      <w:bookmarkEnd w:id="22426"/>
      <w:bookmarkEnd w:id="22427"/>
      <w:bookmarkEnd w:id="22428"/>
      <w:bookmarkEnd w:id="22429"/>
      <w:bookmarkEnd w:id="22430"/>
    </w:p>
    <w:p w14:paraId="190C6E98" w14:textId="77777777" w:rsidR="003D504D" w:rsidRDefault="003D504D" w:rsidP="003D504D">
      <w:pPr>
        <w:pStyle w:val="a3"/>
        <w:rPr>
          <w:rtl/>
        </w:rPr>
      </w:pPr>
      <w:bookmarkStart w:id="22431" w:name="_Toc3543142"/>
      <w:bookmarkStart w:id="22432" w:name="_Toc3550838"/>
      <w:bookmarkStart w:id="22433" w:name="_Toc3550994"/>
      <w:bookmarkStart w:id="22434" w:name="_Toc19391803"/>
      <w:bookmarkStart w:id="22435" w:name="_Toc19395300"/>
      <w:r>
        <w:rPr>
          <w:rFonts w:hint="cs"/>
          <w:rtl/>
        </w:rPr>
        <w:t>ביאור הראש יוסף בתוס' דבבן ח' אף שחל איסור גיד השחיטה מתירתו מדין "כל בבהמה תאכלו"</w:t>
      </w:r>
      <w:bookmarkEnd w:id="22431"/>
      <w:bookmarkEnd w:id="22432"/>
      <w:bookmarkEnd w:id="22433"/>
      <w:bookmarkEnd w:id="22434"/>
      <w:bookmarkEnd w:id="22435"/>
    </w:p>
    <w:p w14:paraId="0CFB6E3A" w14:textId="77777777" w:rsidR="003D504D" w:rsidRDefault="003D504D" w:rsidP="00223668">
      <w:pPr>
        <w:pStyle w:val="a0"/>
        <w:rPr>
          <w:rtl/>
        </w:rPr>
      </w:pPr>
      <w:r>
        <w:rPr>
          <w:rFonts w:hint="cs"/>
          <w:rtl/>
        </w:rPr>
        <w:t xml:space="preserve">וביאר </w:t>
      </w:r>
      <w:r w:rsidRPr="00B130F0">
        <w:rPr>
          <w:rStyle w:val="af9"/>
          <w:rFonts w:hint="cs"/>
          <w:rtl/>
        </w:rPr>
        <w:t>הראש יוסף לקמן</w:t>
      </w:r>
      <w:r>
        <w:rPr>
          <w:rFonts w:hint="cs"/>
          <w:rtl/>
        </w:rPr>
        <w:t xml:space="preserve"> </w:t>
      </w:r>
      <w:r w:rsidRPr="00747AE1">
        <w:rPr>
          <w:rStyle w:val="af7"/>
          <w:rFonts w:eastAsia="Guttman Hodes" w:hint="cs"/>
          <w:rtl/>
        </w:rPr>
        <w:t>(פט. על תוד"ה בולדות)</w:t>
      </w:r>
      <w:r>
        <w:rPr>
          <w:rFonts w:hint="cs"/>
          <w:rtl/>
        </w:rPr>
        <w:t xml:space="preserve"> דכוונת </w:t>
      </w:r>
      <w:r w:rsidRPr="00B130F0">
        <w:rPr>
          <w:rStyle w:val="af9"/>
          <w:rFonts w:hint="cs"/>
          <w:rtl/>
        </w:rPr>
        <w:t>התוס'</w:t>
      </w:r>
      <w:r>
        <w:rPr>
          <w:rStyle w:val="af9"/>
          <w:rFonts w:hint="cs"/>
          <w:rtl/>
        </w:rPr>
        <w:t xml:space="preserve"> לקמן</w:t>
      </w:r>
      <w:r>
        <w:rPr>
          <w:rFonts w:hint="cs"/>
          <w:rtl/>
        </w:rPr>
        <w:t xml:space="preserve"> </w:t>
      </w:r>
      <w:r w:rsidRPr="00790861">
        <w:rPr>
          <w:rStyle w:val="af7"/>
          <w:rFonts w:eastAsia="Guttman Hodes" w:hint="cs"/>
          <w:rtl/>
        </w:rPr>
        <w:t xml:space="preserve">(עי' אות </w:t>
      </w:r>
      <w:r w:rsidRPr="00790861">
        <w:rPr>
          <w:rStyle w:val="af7"/>
          <w:rFonts w:eastAsia="Guttman Hodes"/>
          <w:rtl/>
        </w:rPr>
        <w:fldChar w:fldCharType="begin"/>
      </w:r>
      <w:r w:rsidRPr="00790861">
        <w:rPr>
          <w:rStyle w:val="af7"/>
          <w:rFonts w:eastAsia="Guttman Hodes"/>
          <w:rtl/>
        </w:rPr>
        <w:instrText xml:space="preserve"> </w:instrText>
      </w:r>
      <w:r w:rsidRPr="00790861">
        <w:rPr>
          <w:rStyle w:val="af7"/>
          <w:rFonts w:eastAsia="Guttman Hodes" w:hint="cs"/>
        </w:rPr>
        <w:instrText>REF</w:instrText>
      </w:r>
      <w:r w:rsidRPr="00790861">
        <w:rPr>
          <w:rStyle w:val="af7"/>
          <w:rFonts w:eastAsia="Guttman Hodes" w:hint="cs"/>
          <w:rtl/>
        </w:rPr>
        <w:instrText xml:space="preserve"> _</w:instrText>
      </w:r>
      <w:r w:rsidRPr="00790861">
        <w:rPr>
          <w:rStyle w:val="af7"/>
          <w:rFonts w:eastAsia="Guttman Hodes" w:hint="cs"/>
        </w:rPr>
        <w:instrText>Ref3366863 \r \h</w:instrText>
      </w:r>
      <w:r w:rsidRPr="00790861">
        <w:rPr>
          <w:rStyle w:val="af7"/>
          <w:rFonts w:eastAsia="Guttman Hodes"/>
          <w:rtl/>
        </w:rPr>
        <w:instrText xml:space="preserve"> </w:instrText>
      </w:r>
      <w:r w:rsidRPr="00790861">
        <w:rPr>
          <w:rStyle w:val="af7"/>
          <w:rFonts w:eastAsia="Guttman Hodes"/>
          <w:rtl/>
        </w:rPr>
      </w:r>
      <w:r w:rsidRPr="00790861">
        <w:rPr>
          <w:rStyle w:val="af7"/>
          <w:rFonts w:eastAsia="Guttman Hodes"/>
          <w:rtl/>
        </w:rPr>
        <w:fldChar w:fldCharType="separate"/>
      </w:r>
      <w:r w:rsidR="00345400">
        <w:rPr>
          <w:rStyle w:val="af7"/>
          <w:rFonts w:eastAsia="Guttman Hodes"/>
          <w:cs/>
        </w:rPr>
        <w:t>‎</w:t>
      </w:r>
      <w:r w:rsidR="00345400">
        <w:rPr>
          <w:rStyle w:val="af7"/>
          <w:rFonts w:eastAsia="Guttman Hodes"/>
          <w:rtl/>
        </w:rPr>
        <w:t>יד)</w:t>
      </w:r>
      <w:r w:rsidRPr="00790861">
        <w:rPr>
          <w:rStyle w:val="af7"/>
          <w:rFonts w:eastAsia="Guttman Hodes"/>
          <w:rtl/>
        </w:rPr>
        <w:fldChar w:fldCharType="end"/>
      </w:r>
      <w:r w:rsidRPr="00790861">
        <w:rPr>
          <w:rStyle w:val="af7"/>
          <w:rFonts w:eastAsia="Guttman Hodes" w:hint="cs"/>
          <w:rtl/>
        </w:rPr>
        <w:t xml:space="preserve"> </w:t>
      </w:r>
      <w:r>
        <w:rPr>
          <w:rFonts w:hint="cs"/>
          <w:rtl/>
        </w:rPr>
        <w:t xml:space="preserve">לתרץ דאיסור גיד חל משעת יצירת הולד, אלא דבבן ח' מודה ר"מ דהגיד מותר מדין "כל בבהמה תאכלו", וכדכתב </w:t>
      </w:r>
      <w:r w:rsidRPr="00B130F0">
        <w:rPr>
          <w:rStyle w:val="af9"/>
          <w:rFonts w:hint="cs"/>
          <w:rtl/>
        </w:rPr>
        <w:t>הרא"ש</w:t>
      </w:r>
      <w:r>
        <w:rPr>
          <w:rFonts w:hint="cs"/>
          <w:rtl/>
        </w:rPr>
        <w:t xml:space="preserve"> </w:t>
      </w:r>
      <w:r w:rsidRPr="00153B93">
        <w:rPr>
          <w:rStyle w:val="af7"/>
          <w:rFonts w:eastAsia="Guttman Hodes" w:hint="cs"/>
          <w:rtl/>
        </w:rPr>
        <w:t>(עי'</w:t>
      </w:r>
      <w:r w:rsidRPr="00747AE1">
        <w:rPr>
          <w:rStyle w:val="af7"/>
          <w:rFonts w:eastAsia="Guttman Hodes" w:hint="cs"/>
          <w:rtl/>
        </w:rPr>
        <w:t xml:space="preserve"> אות </w:t>
      </w:r>
      <w:r w:rsidRPr="00747AE1">
        <w:rPr>
          <w:rStyle w:val="af7"/>
          <w:rFonts w:eastAsia="Guttman Hodes"/>
          <w:rtl/>
        </w:rPr>
        <w:fldChar w:fldCharType="begin"/>
      </w:r>
      <w:r w:rsidRPr="00747AE1">
        <w:rPr>
          <w:rStyle w:val="af7"/>
          <w:rFonts w:eastAsia="Guttman Hodes"/>
          <w:rtl/>
        </w:rPr>
        <w:instrText xml:space="preserve"> </w:instrText>
      </w:r>
      <w:r w:rsidRPr="00747AE1">
        <w:rPr>
          <w:rStyle w:val="af7"/>
          <w:rFonts w:eastAsia="Guttman Hodes" w:hint="cs"/>
        </w:rPr>
        <w:instrText>REF</w:instrText>
      </w:r>
      <w:r w:rsidRPr="00747AE1">
        <w:rPr>
          <w:rStyle w:val="af7"/>
          <w:rFonts w:eastAsia="Guttman Hodes" w:hint="cs"/>
          <w:rtl/>
        </w:rPr>
        <w:instrText xml:space="preserve"> _</w:instrText>
      </w:r>
      <w:r w:rsidRPr="00747AE1">
        <w:rPr>
          <w:rStyle w:val="af7"/>
          <w:rFonts w:eastAsia="Guttman Hodes" w:hint="cs"/>
        </w:rPr>
        <w:instrText>Ref2195569 \r \h</w:instrText>
      </w:r>
      <w:r w:rsidRPr="00747AE1">
        <w:rPr>
          <w:rStyle w:val="af7"/>
          <w:rFonts w:eastAsia="Guttman Hodes"/>
          <w:rtl/>
        </w:rPr>
        <w:instrText xml:space="preserve"> </w:instrText>
      </w:r>
      <w:r w:rsidRPr="00747AE1">
        <w:rPr>
          <w:rStyle w:val="af7"/>
          <w:rFonts w:eastAsia="Guttman Hodes"/>
          <w:rtl/>
        </w:rPr>
      </w:r>
      <w:r w:rsidRPr="00747AE1">
        <w:rPr>
          <w:rStyle w:val="af7"/>
          <w:rFonts w:eastAsia="Guttman Hodes"/>
          <w:rtl/>
        </w:rPr>
        <w:fldChar w:fldCharType="separate"/>
      </w:r>
      <w:r w:rsidR="00345400">
        <w:rPr>
          <w:rStyle w:val="af7"/>
          <w:rFonts w:eastAsia="Guttman Hodes"/>
          <w:cs/>
        </w:rPr>
        <w:t>‎</w:t>
      </w:r>
      <w:r w:rsidR="00345400">
        <w:rPr>
          <w:rStyle w:val="af7"/>
          <w:rFonts w:eastAsia="Guttman Hodes"/>
          <w:rtl/>
        </w:rPr>
        <w:t>נד)</w:t>
      </w:r>
      <w:r w:rsidRPr="00747AE1">
        <w:rPr>
          <w:rStyle w:val="af7"/>
          <w:rFonts w:eastAsia="Guttman Hodes"/>
          <w:rtl/>
        </w:rPr>
        <w:fldChar w:fldCharType="end"/>
      </w:r>
      <w:r>
        <w:rPr>
          <w:rFonts w:hint="cs"/>
          <w:rtl/>
        </w:rPr>
        <w:t xml:space="preserve"> לענין חלב לדעת ריו"ח דאף דכלו לו חדשיו ויש לו דין חלב, מ"מ שחיטת האם מתירתו, ובקושית </w:t>
      </w:r>
      <w:r w:rsidRPr="00B130F0">
        <w:rPr>
          <w:rStyle w:val="af9"/>
          <w:rFonts w:hint="cs"/>
          <w:rtl/>
        </w:rPr>
        <w:t>התוס'</w:t>
      </w:r>
      <w:r>
        <w:rPr>
          <w:rFonts w:hint="cs"/>
          <w:rtl/>
        </w:rPr>
        <w:t xml:space="preserve"> ביאר </w:t>
      </w:r>
      <w:r w:rsidRPr="00B130F0">
        <w:rPr>
          <w:rStyle w:val="af9"/>
          <w:rFonts w:hint="cs"/>
          <w:rtl/>
        </w:rPr>
        <w:t>הראש יוסף לקמן</w:t>
      </w:r>
      <w:r>
        <w:rPr>
          <w:rFonts w:hint="cs"/>
          <w:rtl/>
        </w:rPr>
        <w:t xml:space="preserve"> דס"ל דאין כח בשחיטה להתיר איסורים, וכדהקשה </w:t>
      </w:r>
      <w:r w:rsidRPr="00B130F0">
        <w:rPr>
          <w:rStyle w:val="af9"/>
          <w:rFonts w:hint="cs"/>
          <w:rtl/>
        </w:rPr>
        <w:t>הרא"ש</w:t>
      </w:r>
      <w:r>
        <w:rPr>
          <w:rFonts w:hint="cs"/>
          <w:rtl/>
        </w:rPr>
        <w:t xml:space="preserve"> </w:t>
      </w:r>
      <w:r w:rsidRPr="00747AE1">
        <w:rPr>
          <w:rStyle w:val="af7"/>
          <w:rFonts w:eastAsia="Guttman Hodes" w:hint="cs"/>
          <w:rtl/>
        </w:rPr>
        <w:t xml:space="preserve">(עי' אות </w:t>
      </w:r>
      <w:r w:rsidRPr="00747AE1">
        <w:rPr>
          <w:rStyle w:val="af7"/>
          <w:rFonts w:eastAsia="Guttman Hodes"/>
          <w:rtl/>
        </w:rPr>
        <w:fldChar w:fldCharType="begin"/>
      </w:r>
      <w:r w:rsidRPr="00747AE1">
        <w:rPr>
          <w:rStyle w:val="af7"/>
          <w:rFonts w:eastAsia="Guttman Hodes"/>
          <w:rtl/>
        </w:rPr>
        <w:instrText xml:space="preserve"> </w:instrText>
      </w:r>
      <w:r w:rsidRPr="00747AE1">
        <w:rPr>
          <w:rStyle w:val="af7"/>
          <w:rFonts w:eastAsia="Guttman Hodes" w:hint="cs"/>
        </w:rPr>
        <w:instrText>REF</w:instrText>
      </w:r>
      <w:r w:rsidRPr="00747AE1">
        <w:rPr>
          <w:rStyle w:val="af7"/>
          <w:rFonts w:eastAsia="Guttman Hodes" w:hint="cs"/>
          <w:rtl/>
        </w:rPr>
        <w:instrText xml:space="preserve"> _</w:instrText>
      </w:r>
      <w:r w:rsidRPr="00747AE1">
        <w:rPr>
          <w:rStyle w:val="af7"/>
          <w:rFonts w:eastAsia="Guttman Hodes" w:hint="cs"/>
        </w:rPr>
        <w:instrText>Ref3310201 \r \h</w:instrText>
      </w:r>
      <w:r w:rsidRPr="00747AE1">
        <w:rPr>
          <w:rStyle w:val="af7"/>
          <w:rFonts w:eastAsia="Guttman Hodes"/>
          <w:rtl/>
        </w:rPr>
        <w:instrText xml:space="preserve"> </w:instrText>
      </w:r>
      <w:r w:rsidRPr="00747AE1">
        <w:rPr>
          <w:rStyle w:val="af7"/>
          <w:rFonts w:eastAsia="Guttman Hodes"/>
          <w:rtl/>
        </w:rPr>
      </w:r>
      <w:r w:rsidRPr="00747AE1">
        <w:rPr>
          <w:rStyle w:val="af7"/>
          <w:rFonts w:eastAsia="Guttman Hodes"/>
          <w:rtl/>
        </w:rPr>
        <w:fldChar w:fldCharType="separate"/>
      </w:r>
      <w:r w:rsidR="00345400">
        <w:rPr>
          <w:rStyle w:val="af7"/>
          <w:rFonts w:eastAsia="Guttman Hodes"/>
          <w:cs/>
        </w:rPr>
        <w:t>‎</w:t>
      </w:r>
      <w:r w:rsidR="00345400">
        <w:rPr>
          <w:rStyle w:val="af7"/>
          <w:rFonts w:eastAsia="Guttman Hodes"/>
          <w:rtl/>
        </w:rPr>
        <w:t>נט)</w:t>
      </w:r>
      <w:r w:rsidRPr="00747AE1">
        <w:rPr>
          <w:rStyle w:val="af7"/>
          <w:rFonts w:eastAsia="Guttman Hodes"/>
          <w:rtl/>
        </w:rPr>
        <w:fldChar w:fldCharType="end"/>
      </w:r>
      <w:r>
        <w:rPr>
          <w:rFonts w:hint="cs"/>
          <w:rtl/>
        </w:rPr>
        <w:t xml:space="preserve"> לענין חלב.</w:t>
      </w:r>
    </w:p>
    <w:p w14:paraId="24C0529B" w14:textId="77777777" w:rsidR="003D504D" w:rsidRDefault="003D504D" w:rsidP="003D504D">
      <w:pPr>
        <w:pStyle w:val="a3"/>
        <w:rPr>
          <w:rtl/>
        </w:rPr>
      </w:pPr>
      <w:bookmarkStart w:id="22436" w:name="_Toc3543143"/>
      <w:bookmarkStart w:id="22437" w:name="_Toc3550839"/>
      <w:bookmarkStart w:id="22438" w:name="_Toc3550995"/>
      <w:bookmarkStart w:id="22439" w:name="_Toc19391804"/>
      <w:bookmarkStart w:id="22440" w:name="_Toc19395301"/>
      <w:r>
        <w:rPr>
          <w:rFonts w:hint="cs"/>
          <w:rtl/>
        </w:rPr>
        <w:t>דברי הראש יוסף ברשב"א ובריטב"א השחיטה אינה מתירה איסור גיד ובבן ח' לא חל איסור גיד</w:t>
      </w:r>
      <w:bookmarkEnd w:id="22436"/>
      <w:bookmarkEnd w:id="22437"/>
      <w:bookmarkEnd w:id="22438"/>
      <w:bookmarkEnd w:id="22439"/>
      <w:bookmarkEnd w:id="22440"/>
    </w:p>
    <w:p w14:paraId="012DCC3E" w14:textId="77777777" w:rsidR="003D504D" w:rsidRPr="00F56DBC" w:rsidRDefault="003D504D" w:rsidP="00223668">
      <w:pPr>
        <w:pStyle w:val="a0"/>
        <w:rPr>
          <w:rtl/>
        </w:rPr>
      </w:pPr>
      <w:bookmarkStart w:id="22441" w:name="_Ref3374072"/>
      <w:r>
        <w:rPr>
          <w:rFonts w:hint="cs"/>
          <w:rtl/>
        </w:rPr>
        <w:t>וביאר</w:t>
      </w:r>
      <w:r w:rsidRPr="004D71F8">
        <w:rPr>
          <w:rStyle w:val="af9"/>
          <w:rFonts w:hint="cs"/>
          <w:rtl/>
        </w:rPr>
        <w:t xml:space="preserve"> הראש יוסף לקמן</w:t>
      </w:r>
      <w:r>
        <w:rPr>
          <w:rFonts w:hint="cs"/>
          <w:rtl/>
        </w:rPr>
        <w:t xml:space="preserve"> דלדברי </w:t>
      </w:r>
      <w:r>
        <w:rPr>
          <w:rStyle w:val="af9"/>
          <w:rFonts w:hint="cs"/>
          <w:rtl/>
        </w:rPr>
        <w:t>דהרשב"א ו</w:t>
      </w:r>
      <w:r w:rsidRPr="002173B3">
        <w:rPr>
          <w:rStyle w:val="af9"/>
          <w:rtl/>
        </w:rPr>
        <w:t xml:space="preserve">הריטב"א </w:t>
      </w:r>
      <w:r w:rsidRPr="00E5343A">
        <w:rPr>
          <w:rStyle w:val="af7"/>
          <w:rFonts w:eastAsia="Guttman Hodes" w:hint="cs"/>
          <w:rtl/>
        </w:rPr>
        <w:t xml:space="preserve">(עי' אות </w:t>
      </w:r>
      <w:r w:rsidRPr="00E5343A">
        <w:rPr>
          <w:rStyle w:val="af7"/>
          <w:rFonts w:eastAsia="Guttman Hodes"/>
          <w:rtl/>
        </w:rPr>
        <w:fldChar w:fldCharType="begin"/>
      </w:r>
      <w:r w:rsidRPr="00E5343A">
        <w:rPr>
          <w:rStyle w:val="af7"/>
          <w:rFonts w:eastAsia="Guttman Hodes"/>
          <w:rtl/>
        </w:rPr>
        <w:instrText xml:space="preserve"> </w:instrText>
      </w:r>
      <w:r w:rsidRPr="00E5343A">
        <w:rPr>
          <w:rStyle w:val="af7"/>
          <w:rFonts w:eastAsia="Guttman Hodes" w:hint="cs"/>
        </w:rPr>
        <w:instrText>REF</w:instrText>
      </w:r>
      <w:r w:rsidRPr="00E5343A">
        <w:rPr>
          <w:rStyle w:val="af7"/>
          <w:rFonts w:eastAsia="Guttman Hodes" w:hint="cs"/>
          <w:rtl/>
        </w:rPr>
        <w:instrText xml:space="preserve"> _</w:instrText>
      </w:r>
      <w:r w:rsidRPr="00E5343A">
        <w:rPr>
          <w:rStyle w:val="af7"/>
          <w:rFonts w:eastAsia="Guttman Hodes" w:hint="cs"/>
        </w:rPr>
        <w:instrText>Ref3146218 \r \h</w:instrText>
      </w:r>
      <w:r w:rsidRPr="00E5343A">
        <w:rPr>
          <w:rStyle w:val="af7"/>
          <w:rFonts w:eastAsia="Guttman Hodes"/>
          <w:rtl/>
        </w:rPr>
        <w:instrText xml:space="preserve"> </w:instrText>
      </w:r>
      <w:r w:rsidRPr="00E5343A">
        <w:rPr>
          <w:rStyle w:val="af7"/>
          <w:rFonts w:eastAsia="Guttman Hodes"/>
          <w:rtl/>
        </w:rPr>
      </w:r>
      <w:r w:rsidRPr="00E5343A">
        <w:rPr>
          <w:rStyle w:val="af7"/>
          <w:rFonts w:eastAsia="Guttman Hodes"/>
          <w:rtl/>
        </w:rPr>
        <w:fldChar w:fldCharType="separate"/>
      </w:r>
      <w:r w:rsidR="00345400">
        <w:rPr>
          <w:rStyle w:val="af7"/>
          <w:rFonts w:eastAsia="Guttman Hodes"/>
          <w:cs/>
        </w:rPr>
        <w:t>‎</w:t>
      </w:r>
      <w:r w:rsidR="00345400">
        <w:rPr>
          <w:rStyle w:val="af7"/>
          <w:rFonts w:eastAsia="Guttman Hodes"/>
          <w:rtl/>
        </w:rPr>
        <w:t>טז)</w:t>
      </w:r>
      <w:r w:rsidRPr="00E5343A">
        <w:rPr>
          <w:rStyle w:val="af7"/>
          <w:rFonts w:eastAsia="Guttman Hodes"/>
          <w:rtl/>
        </w:rPr>
        <w:fldChar w:fldCharType="end"/>
      </w:r>
      <w:r w:rsidRPr="00E5343A">
        <w:rPr>
          <w:rStyle w:val="af7"/>
          <w:rFonts w:eastAsia="Guttman Hodes" w:hint="cs"/>
          <w:rtl/>
        </w:rPr>
        <w:t xml:space="preserve"> </w:t>
      </w:r>
      <w:r>
        <w:rPr>
          <w:rFonts w:hint="cs"/>
          <w:rtl/>
        </w:rPr>
        <w:t xml:space="preserve">דכתבו דהגמ' לקמן </w:t>
      </w:r>
      <w:r w:rsidRPr="00747AE1">
        <w:rPr>
          <w:rStyle w:val="af7"/>
          <w:rFonts w:eastAsia="Guttman Hodes" w:hint="cs"/>
          <w:rtl/>
        </w:rPr>
        <w:t>(פט:)</w:t>
      </w:r>
      <w:r>
        <w:rPr>
          <w:rFonts w:hint="cs"/>
          <w:rtl/>
        </w:rPr>
        <w:t xml:space="preserve"> פליגא על רב הושעיא, ס"ל דאין כח בשחיטה להתיר בעובר, יותר ממה שהיא מתירה באם, וא"כ מוכח דההיתר בגיד בבן ח' לדעת ר"מ הוא כיון דחדשים גרמי, ואינו אסור באיסור גיד.</w:t>
      </w:r>
      <w:bookmarkEnd w:id="22441"/>
      <w:r>
        <w:rPr>
          <w:rFonts w:hint="cs"/>
          <w:rtl/>
        </w:rPr>
        <w:t xml:space="preserve"> </w:t>
      </w:r>
    </w:p>
    <w:p w14:paraId="55012862" w14:textId="77777777" w:rsidR="003D504D" w:rsidRDefault="003D504D" w:rsidP="00BF39B2">
      <w:pPr>
        <w:pStyle w:val="1"/>
        <w:rPr>
          <w:rtl/>
        </w:rPr>
      </w:pPr>
      <w:bookmarkStart w:id="22442" w:name="_Toc3543144"/>
      <w:bookmarkStart w:id="22443" w:name="_Toc3550840"/>
      <w:bookmarkStart w:id="22444" w:name="_Toc3550996"/>
      <w:bookmarkStart w:id="22445" w:name="_Toc19391805"/>
      <w:bookmarkStart w:id="22446" w:name="_Toc19395302"/>
      <w:bookmarkStart w:id="22447" w:name="_Toc2866728"/>
      <w:bookmarkStart w:id="22448" w:name="_Toc3234496"/>
      <w:bookmarkStart w:id="22449" w:name="_Toc3287734"/>
      <w:bookmarkStart w:id="22450" w:name="_Toc3322249"/>
      <w:bookmarkStart w:id="22451" w:name="_Toc3480712"/>
      <w:bookmarkStart w:id="22452" w:name="_Toc3484987"/>
      <w:bookmarkStart w:id="22453" w:name="_Toc3535859"/>
      <w:bookmarkStart w:id="22454" w:name="_Toc2866729"/>
      <w:bookmarkStart w:id="22455" w:name="_Toc3234497"/>
      <w:bookmarkStart w:id="22456" w:name="_Toc3287735"/>
      <w:bookmarkStart w:id="22457" w:name="_Toc3322250"/>
      <w:bookmarkStart w:id="22458" w:name="_Toc3480713"/>
      <w:bookmarkStart w:id="22459" w:name="_Toc3484988"/>
      <w:bookmarkStart w:id="22460" w:name="_Toc3535860"/>
      <w:bookmarkStart w:id="22461" w:name="_Toc3480717"/>
      <w:bookmarkStart w:id="22462" w:name="_Toc3484992"/>
      <w:bookmarkStart w:id="22463" w:name="_Toc3535864"/>
      <w:r>
        <w:rPr>
          <w:rFonts w:hint="cs"/>
          <w:rtl/>
        </w:rPr>
        <w:t>דעת התוס' דאיסור גיד חל בשעת יצירה ולא דמי לחלב</w:t>
      </w:r>
      <w:bookmarkEnd w:id="22442"/>
      <w:bookmarkEnd w:id="22443"/>
      <w:bookmarkEnd w:id="22444"/>
      <w:bookmarkEnd w:id="22445"/>
      <w:bookmarkEnd w:id="22446"/>
    </w:p>
    <w:p w14:paraId="28772AD8" w14:textId="77777777" w:rsidR="003D504D" w:rsidRPr="00F50086" w:rsidRDefault="003D504D" w:rsidP="003D504D">
      <w:pPr>
        <w:pStyle w:val="a3"/>
        <w:rPr>
          <w:rtl/>
        </w:rPr>
      </w:pPr>
      <w:bookmarkStart w:id="22464" w:name="_Toc3543145"/>
      <w:bookmarkStart w:id="22465" w:name="_Toc3550841"/>
      <w:bookmarkStart w:id="22466" w:name="_Toc3550997"/>
      <w:bookmarkStart w:id="22467" w:name="_Toc19391806"/>
      <w:bookmarkStart w:id="22468" w:name="_Toc19395303"/>
      <w:r>
        <w:rPr>
          <w:rFonts w:hint="cs"/>
          <w:rtl/>
        </w:rPr>
        <w:t>קושית התוס' דמדברי ריו"ח ור"ל מוכח דבבן ח' לכו"ע אין איסור חלב וא"כ ה"ה דאין איסור גיד</w:t>
      </w:r>
      <w:bookmarkEnd w:id="22464"/>
      <w:bookmarkEnd w:id="22465"/>
      <w:bookmarkEnd w:id="22466"/>
      <w:bookmarkEnd w:id="22467"/>
      <w:bookmarkEnd w:id="22468"/>
    </w:p>
    <w:p w14:paraId="7EB36D57" w14:textId="77777777" w:rsidR="003D504D" w:rsidRDefault="003D504D" w:rsidP="00223668">
      <w:pPr>
        <w:pStyle w:val="a0"/>
        <w:rPr>
          <w:rtl/>
        </w:rPr>
      </w:pPr>
      <w:r>
        <w:rPr>
          <w:rFonts w:hint="cs"/>
          <w:rtl/>
        </w:rPr>
        <w:t xml:space="preserve">ועוד הקשו </w:t>
      </w:r>
      <w:r w:rsidRPr="00EB3D9A">
        <w:rPr>
          <w:rStyle w:val="af9"/>
          <w:rFonts w:hint="cs"/>
          <w:rtl/>
        </w:rPr>
        <w:t xml:space="preserve">התוס' לקמן </w:t>
      </w:r>
      <w:r>
        <w:rPr>
          <w:rStyle w:val="af7"/>
          <w:rFonts w:eastAsiaTheme="minorHAnsi" w:hint="cs"/>
          <w:rtl/>
        </w:rPr>
        <w:t>(פט: ד"ה בולדות)</w:t>
      </w:r>
      <w:r>
        <w:rPr>
          <w:rFonts w:hint="cs"/>
          <w:rtl/>
        </w:rPr>
        <w:t xml:space="preserve"> </w:t>
      </w:r>
      <w:r w:rsidRPr="00EB3D9A">
        <w:rPr>
          <w:rStyle w:val="af9"/>
          <w:rFonts w:hint="cs"/>
          <w:rtl/>
        </w:rPr>
        <w:t>והתוס' הרא"ש לקמן</w:t>
      </w:r>
      <w:r>
        <w:rPr>
          <w:rFonts w:hint="cs"/>
          <w:rtl/>
        </w:rPr>
        <w:t xml:space="preserve"> </w:t>
      </w:r>
      <w:r w:rsidRPr="00EB3D9A">
        <w:rPr>
          <w:rStyle w:val="af7"/>
          <w:rFonts w:eastAsia="Guttman Hodes" w:hint="cs"/>
          <w:rtl/>
        </w:rPr>
        <w:t>(פט: ד"ה דאיסור)</w:t>
      </w:r>
      <w:r>
        <w:rPr>
          <w:rFonts w:hint="cs"/>
          <w:rtl/>
        </w:rPr>
        <w:t xml:space="preserve"> דמהא דנחלקו ריו"ח ור"ל בסוגיין בתולש חלב מבן ט' חי, אי חדשים גרמי או חדשים ואוירא גרמי, ומשמע דבבן ח' כו"ע מודו שאין בו איסור חלב, דהא אין לו לא חדשים ולא אוירא, וא"כ ה"ה שאין בבן ח' איסור גיד, והיאך אמרינן דאיסור גיד חל יחד עם האיסור מוקדשין.</w:t>
      </w:r>
    </w:p>
    <w:p w14:paraId="4476B0BF" w14:textId="77777777" w:rsidR="003D504D" w:rsidRDefault="003D504D" w:rsidP="003D504D">
      <w:pPr>
        <w:pStyle w:val="a3"/>
        <w:rPr>
          <w:rtl/>
        </w:rPr>
      </w:pPr>
      <w:bookmarkStart w:id="22469" w:name="_Toc3543146"/>
      <w:bookmarkStart w:id="22470" w:name="_Toc3550842"/>
      <w:bookmarkStart w:id="22471" w:name="_Toc3550998"/>
      <w:bookmarkStart w:id="22472" w:name="_Toc19391807"/>
      <w:bookmarkStart w:id="22473" w:name="_Toc19395304"/>
      <w:r>
        <w:rPr>
          <w:rFonts w:hint="cs"/>
          <w:rtl/>
        </w:rPr>
        <w:t>תירוץ התוס' דחלב דבן ח' אינו נקרא שור ולכן חלבו מותר אבל איסור גיד הוא משעת יצירה</w:t>
      </w:r>
      <w:bookmarkEnd w:id="22469"/>
      <w:bookmarkEnd w:id="22470"/>
      <w:bookmarkEnd w:id="22471"/>
      <w:bookmarkEnd w:id="22472"/>
      <w:bookmarkEnd w:id="22473"/>
    </w:p>
    <w:p w14:paraId="186758E5" w14:textId="77777777" w:rsidR="003D504D" w:rsidRDefault="003D504D" w:rsidP="00223668">
      <w:pPr>
        <w:pStyle w:val="a0"/>
        <w:rPr>
          <w:sz w:val="10"/>
          <w:szCs w:val="14"/>
          <w:rtl/>
        </w:rPr>
      </w:pPr>
      <w:bookmarkStart w:id="22474" w:name="_Ref3286571"/>
      <w:r>
        <w:rPr>
          <w:rFonts w:hint="cs"/>
          <w:rtl/>
        </w:rPr>
        <w:t xml:space="preserve">ותירצו </w:t>
      </w:r>
      <w:r w:rsidRPr="00EB3D9A">
        <w:rPr>
          <w:rStyle w:val="af9"/>
          <w:rFonts w:hint="cs"/>
          <w:rtl/>
        </w:rPr>
        <w:t>התוס' לקמן</w:t>
      </w:r>
      <w:r>
        <w:rPr>
          <w:rFonts w:hint="cs"/>
          <w:rtl/>
        </w:rPr>
        <w:t xml:space="preserve"> דדוקא איסור חלב לא חל בבן ח', כיון דכתיב "כל חלב שור וכשב" ובן ח' אינו נקרא שור וכשב, אבל איסור גיד חל אף בבן ח',</w:t>
      </w:r>
      <w:r w:rsidRPr="008D1BF8">
        <w:rPr>
          <w:rFonts w:hint="cs"/>
          <w:rtl/>
        </w:rPr>
        <w:t xml:space="preserve"> </w:t>
      </w:r>
      <w:r>
        <w:rPr>
          <w:rFonts w:hint="cs"/>
          <w:rtl/>
        </w:rPr>
        <w:t xml:space="preserve">והוסיף </w:t>
      </w:r>
      <w:r w:rsidRPr="00EB3D9A">
        <w:rPr>
          <w:rStyle w:val="af9"/>
          <w:rFonts w:hint="cs"/>
          <w:rtl/>
        </w:rPr>
        <w:t>התוס' הרא"ש לקמן</w:t>
      </w:r>
      <w:r>
        <w:rPr>
          <w:rFonts w:hint="cs"/>
          <w:rtl/>
        </w:rPr>
        <w:t xml:space="preserve"> דבגיד האיסור תלוי בכף הירך, ולכן אף שאינו נחשב שור גידו אסור, ועי' במ"ש </w:t>
      </w:r>
      <w:r w:rsidRPr="00F16561">
        <w:rPr>
          <w:rStyle w:val="af9"/>
          <w:rFonts w:hint="cs"/>
          <w:rtl/>
        </w:rPr>
        <w:t>הראש יוסף</w:t>
      </w:r>
      <w:r w:rsidRPr="00880F82">
        <w:rPr>
          <w:rFonts w:hint="cs"/>
          <w:rtl/>
        </w:rPr>
        <w:t xml:space="preserve"> </w:t>
      </w:r>
      <w:r w:rsidRPr="00F16561">
        <w:rPr>
          <w:rStyle w:val="af7"/>
          <w:rFonts w:eastAsia="Guttman Hodes" w:hint="cs"/>
          <w:rtl/>
        </w:rPr>
        <w:t xml:space="preserve">(עי' אות </w:t>
      </w:r>
      <w:r w:rsidRPr="00F16561">
        <w:rPr>
          <w:rStyle w:val="af7"/>
          <w:rFonts w:eastAsia="Guttman Hodes"/>
          <w:rtl/>
        </w:rPr>
        <w:fldChar w:fldCharType="begin"/>
      </w:r>
      <w:r w:rsidRPr="00F16561">
        <w:rPr>
          <w:rStyle w:val="af7"/>
          <w:rFonts w:eastAsia="Guttman Hodes"/>
          <w:rtl/>
        </w:rPr>
        <w:instrText xml:space="preserve"> </w:instrText>
      </w:r>
      <w:r w:rsidRPr="00F16561">
        <w:rPr>
          <w:rStyle w:val="af7"/>
          <w:rFonts w:eastAsia="Guttman Hodes" w:hint="cs"/>
        </w:rPr>
        <w:instrText>REF</w:instrText>
      </w:r>
      <w:r w:rsidRPr="00F16561">
        <w:rPr>
          <w:rStyle w:val="af7"/>
          <w:rFonts w:eastAsia="Guttman Hodes" w:hint="cs"/>
          <w:rtl/>
        </w:rPr>
        <w:instrText xml:space="preserve"> _</w:instrText>
      </w:r>
      <w:r w:rsidRPr="00F16561">
        <w:rPr>
          <w:rStyle w:val="af7"/>
          <w:rFonts w:eastAsia="Guttman Hodes" w:hint="cs"/>
        </w:rPr>
        <w:instrText>Ref3742734 \r \h</w:instrText>
      </w:r>
      <w:r w:rsidRPr="00F16561">
        <w:rPr>
          <w:rStyle w:val="af7"/>
          <w:rFonts w:eastAsia="Guttman Hodes"/>
          <w:rtl/>
        </w:rPr>
        <w:instrText xml:space="preserve"> </w:instrText>
      </w:r>
      <w:r w:rsidRPr="00F16561">
        <w:rPr>
          <w:rStyle w:val="af7"/>
          <w:rFonts w:eastAsia="Guttman Hodes"/>
          <w:rtl/>
        </w:rPr>
      </w:r>
      <w:r w:rsidRPr="00F16561">
        <w:rPr>
          <w:rStyle w:val="af7"/>
          <w:rFonts w:eastAsia="Guttman Hodes"/>
          <w:rtl/>
        </w:rPr>
        <w:fldChar w:fldCharType="separate"/>
      </w:r>
      <w:r w:rsidR="00345400">
        <w:rPr>
          <w:rStyle w:val="af7"/>
          <w:rFonts w:eastAsia="Guttman Hodes"/>
          <w:cs/>
        </w:rPr>
        <w:t>‎</w:t>
      </w:r>
      <w:r w:rsidR="00345400">
        <w:rPr>
          <w:rStyle w:val="af7"/>
          <w:rFonts w:eastAsia="Guttman Hodes"/>
          <w:rtl/>
        </w:rPr>
        <w:t>כח)</w:t>
      </w:r>
      <w:r w:rsidRPr="00F16561">
        <w:rPr>
          <w:rStyle w:val="af7"/>
          <w:rFonts w:eastAsia="Guttman Hodes"/>
          <w:rtl/>
        </w:rPr>
        <w:fldChar w:fldCharType="end"/>
      </w:r>
      <w:r>
        <w:rPr>
          <w:rFonts w:hint="cs"/>
          <w:rtl/>
        </w:rPr>
        <w:t xml:space="preserve"> בביאור דברי </w:t>
      </w:r>
      <w:r w:rsidRPr="00F16561">
        <w:rPr>
          <w:rStyle w:val="af9"/>
          <w:rFonts w:hint="cs"/>
          <w:rtl/>
        </w:rPr>
        <w:t>התוס'</w:t>
      </w:r>
      <w:r>
        <w:rPr>
          <w:rFonts w:hint="cs"/>
          <w:rtl/>
        </w:rPr>
        <w:t xml:space="preserve">. </w:t>
      </w:r>
      <w:r w:rsidRPr="00EB3D9A">
        <w:rPr>
          <w:rStyle w:val="afb"/>
          <w:rFonts w:hint="cs"/>
          <w:rtl/>
        </w:rPr>
        <w:t xml:space="preserve">[ועוד תירצו </w:t>
      </w:r>
      <w:r w:rsidRPr="00A87EBB">
        <w:rPr>
          <w:rStyle w:val="affa"/>
          <w:rFonts w:hint="cs"/>
          <w:rtl/>
        </w:rPr>
        <w:t>התוס' לקמן בתירוץ הב'</w:t>
      </w:r>
      <w:r w:rsidRPr="00EB3D9A">
        <w:rPr>
          <w:rStyle w:val="afb"/>
          <w:rFonts w:hint="cs"/>
          <w:rtl/>
        </w:rPr>
        <w:t xml:space="preserve"> דהגמ' </w:t>
      </w:r>
      <w:r>
        <w:rPr>
          <w:rStyle w:val="afb"/>
          <w:rFonts w:hint="cs"/>
          <w:rtl/>
        </w:rPr>
        <w:t>דניחא לגמ' להקשות</w:t>
      </w:r>
      <w:r w:rsidRPr="00EB3D9A">
        <w:rPr>
          <w:rStyle w:val="afb"/>
          <w:rFonts w:hint="cs"/>
          <w:rtl/>
        </w:rPr>
        <w:t xml:space="preserve"> מהמשנה בנזיר דמוכח </w:t>
      </w:r>
      <w:r>
        <w:rPr>
          <w:rStyle w:val="afb"/>
          <w:rFonts w:hint="cs"/>
          <w:rtl/>
        </w:rPr>
        <w:t xml:space="preserve">שם </w:t>
      </w:r>
      <w:r w:rsidRPr="00EB3D9A">
        <w:rPr>
          <w:rStyle w:val="afb"/>
          <w:rFonts w:hint="cs"/>
          <w:rtl/>
        </w:rPr>
        <w:t>דלא חלו איסור מוקדשים ואיסור גיד יחד</w:t>
      </w:r>
      <w:r>
        <w:rPr>
          <w:rStyle w:val="afb"/>
          <w:rFonts w:hint="cs"/>
          <w:rtl/>
        </w:rPr>
        <w:t>.</w:t>
      </w:r>
      <w:r w:rsidRPr="00EB3D9A">
        <w:rPr>
          <w:rStyle w:val="afb"/>
          <w:rFonts w:hint="cs"/>
          <w:rtl/>
        </w:rPr>
        <w:t xml:space="preserve"> ומשמע </w:t>
      </w:r>
      <w:r w:rsidRPr="00A87EBB">
        <w:rPr>
          <w:rStyle w:val="affa"/>
          <w:rFonts w:hint="cs"/>
          <w:rtl/>
        </w:rPr>
        <w:t>דלתירוץ הב' בתוס' לקמן</w:t>
      </w:r>
      <w:r w:rsidRPr="00EB3D9A">
        <w:rPr>
          <w:rStyle w:val="afb"/>
          <w:rFonts w:hint="cs"/>
          <w:rtl/>
        </w:rPr>
        <w:t xml:space="preserve"> </w:t>
      </w:r>
      <w:r>
        <w:rPr>
          <w:rStyle w:val="afb"/>
          <w:rFonts w:hint="cs"/>
          <w:rtl/>
        </w:rPr>
        <w:t>בין איסור חלב ובין איסור גיד אסורים</w:t>
      </w:r>
      <w:r w:rsidRPr="00EB3D9A">
        <w:rPr>
          <w:rStyle w:val="afb"/>
          <w:rFonts w:hint="cs"/>
          <w:rtl/>
        </w:rPr>
        <w:t xml:space="preserve"> רק </w:t>
      </w:r>
      <w:r>
        <w:rPr>
          <w:rStyle w:val="afb"/>
          <w:rFonts w:hint="cs"/>
          <w:rtl/>
        </w:rPr>
        <w:t xml:space="preserve">בשליל דכלו לו חדשיו ונעשה </w:t>
      </w:r>
      <w:r w:rsidRPr="00EB3D9A">
        <w:rPr>
          <w:rStyle w:val="afb"/>
          <w:rFonts w:hint="cs"/>
          <w:rtl/>
        </w:rPr>
        <w:t>בן ט']</w:t>
      </w:r>
      <w:r>
        <w:rPr>
          <w:rStyle w:val="afb"/>
          <w:rFonts w:hint="cs"/>
          <w:rtl/>
        </w:rPr>
        <w:t>.</w:t>
      </w:r>
      <w:bookmarkEnd w:id="22474"/>
    </w:p>
    <w:p w14:paraId="4FCA03EF" w14:textId="77777777" w:rsidR="003D504D" w:rsidRDefault="003D504D" w:rsidP="003D504D">
      <w:pPr>
        <w:pStyle w:val="a3"/>
        <w:rPr>
          <w:rtl/>
        </w:rPr>
      </w:pPr>
      <w:bookmarkStart w:id="22475" w:name="_Toc19391808"/>
      <w:bookmarkStart w:id="22476" w:name="_Toc19395305"/>
      <w:r>
        <w:rPr>
          <w:rFonts w:hint="cs"/>
          <w:rtl/>
        </w:rPr>
        <w:t>דעת רב האי גאון והראב"ן דחלב מותר דכתיב שור וגיד אסור דכתיב כף הירך בסתמא</w:t>
      </w:r>
      <w:bookmarkEnd w:id="22475"/>
      <w:bookmarkEnd w:id="22476"/>
    </w:p>
    <w:p w14:paraId="1405D140" w14:textId="77777777" w:rsidR="003D504D" w:rsidRDefault="003D504D" w:rsidP="00223668">
      <w:pPr>
        <w:pStyle w:val="a0"/>
        <w:rPr>
          <w:rtl/>
        </w:rPr>
      </w:pPr>
      <w:bookmarkStart w:id="22477" w:name="_Toc3543147"/>
      <w:bookmarkStart w:id="22478" w:name="_Toc3550843"/>
      <w:bookmarkStart w:id="22479" w:name="_Toc3550999"/>
      <w:r>
        <w:rPr>
          <w:rFonts w:hint="cs"/>
          <w:rtl/>
        </w:rPr>
        <w:t xml:space="preserve">ועי' בדברי </w:t>
      </w:r>
      <w:r w:rsidRPr="00971509">
        <w:rPr>
          <w:rStyle w:val="af9"/>
          <w:rFonts w:hint="cs"/>
          <w:rtl/>
        </w:rPr>
        <w:t>המרדכי לקמן</w:t>
      </w:r>
      <w:r>
        <w:rPr>
          <w:rFonts w:hint="cs"/>
          <w:rtl/>
        </w:rPr>
        <w:t xml:space="preserve"> </w:t>
      </w:r>
      <w:r w:rsidRPr="00971509">
        <w:rPr>
          <w:rStyle w:val="af7"/>
          <w:rFonts w:eastAsia="Guttman Hodes" w:hint="cs"/>
          <w:rtl/>
        </w:rPr>
        <w:t xml:space="preserve">(רמז תרמ"ז) </w:t>
      </w:r>
      <w:r>
        <w:rPr>
          <w:rFonts w:hint="cs"/>
          <w:rtl/>
        </w:rPr>
        <w:t xml:space="preserve">דפסק כר"י דבן ט' חי מותר בשחיטת אמו וחלבו וגידו מותרים מדין "כל בבהמה תאכלו", אך הביא </w:t>
      </w:r>
      <w:r w:rsidRPr="00EF09C8">
        <w:rPr>
          <w:rStyle w:val="af9"/>
          <w:rFonts w:hint="cs"/>
          <w:rtl/>
        </w:rPr>
        <w:t>המרדכי</w:t>
      </w:r>
      <w:r>
        <w:rPr>
          <w:rFonts w:hint="cs"/>
          <w:rtl/>
        </w:rPr>
        <w:t xml:space="preserve"> את דברי </w:t>
      </w:r>
      <w:r w:rsidRPr="00971509">
        <w:rPr>
          <w:rStyle w:val="af9"/>
          <w:rFonts w:hint="cs"/>
          <w:rtl/>
        </w:rPr>
        <w:t>הראבי"ה</w:t>
      </w:r>
      <w:r>
        <w:rPr>
          <w:rFonts w:hint="cs"/>
          <w:rtl/>
        </w:rPr>
        <w:t xml:space="preserve"> </w:t>
      </w:r>
      <w:r w:rsidRPr="00971509">
        <w:rPr>
          <w:rStyle w:val="af7"/>
          <w:rFonts w:eastAsia="Guttman Hodes" w:hint="cs"/>
          <w:rtl/>
        </w:rPr>
        <w:t xml:space="preserve">(אלף צ"ו, הועתק בקובץ שיטות קמאי חולין ח"ב עמ' אלף תר"נ) </w:t>
      </w:r>
      <w:r>
        <w:rPr>
          <w:rFonts w:hint="cs"/>
          <w:rtl/>
        </w:rPr>
        <w:t xml:space="preserve">בשם </w:t>
      </w:r>
      <w:r w:rsidRPr="001431EC">
        <w:rPr>
          <w:rStyle w:val="af9"/>
          <w:rFonts w:hint="cs"/>
          <w:rtl/>
        </w:rPr>
        <w:t>רב האי</w:t>
      </w:r>
      <w:r w:rsidRPr="00971509">
        <w:rPr>
          <w:rStyle w:val="af9"/>
          <w:rFonts w:hint="cs"/>
          <w:rtl/>
        </w:rPr>
        <w:t xml:space="preserve"> גאון</w:t>
      </w:r>
      <w:r w:rsidRPr="00EF09C8">
        <w:rPr>
          <w:rFonts w:hint="cs"/>
          <w:rtl/>
        </w:rPr>
        <w:t xml:space="preserve"> ובשם</w:t>
      </w:r>
      <w:r>
        <w:rPr>
          <w:rStyle w:val="af9"/>
          <w:rFonts w:hint="cs"/>
          <w:rtl/>
        </w:rPr>
        <w:t xml:space="preserve"> </w:t>
      </w:r>
      <w:r w:rsidRPr="00971509">
        <w:rPr>
          <w:rStyle w:val="af9"/>
          <w:rFonts w:hint="cs"/>
          <w:rtl/>
        </w:rPr>
        <w:t>הראב"ן</w:t>
      </w:r>
      <w:r>
        <w:rPr>
          <w:rFonts w:hint="cs"/>
          <w:rtl/>
        </w:rPr>
        <w:t xml:space="preserve"> </w:t>
      </w:r>
      <w:r w:rsidRPr="00971509">
        <w:rPr>
          <w:rStyle w:val="af7"/>
          <w:rFonts w:eastAsia="Guttman Hodes" w:hint="cs"/>
          <w:rtl/>
        </w:rPr>
        <w:t xml:space="preserve">(חולין רע"ח, הועתק בקובץ שיטות קמאי חולין ח"ב עמ' אלף תתתקי"ח) </w:t>
      </w:r>
      <w:r>
        <w:rPr>
          <w:rFonts w:hint="cs"/>
          <w:rtl/>
        </w:rPr>
        <w:t>דפסקו דגיד הנשה נוהג בשליל, כיון דכתיב "כף הירך" בסתמא, משא"כ בחלב דכתיב "חלב שור וכשב ועז".</w:t>
      </w:r>
    </w:p>
    <w:p w14:paraId="3E394D88" w14:textId="77777777" w:rsidR="007D3AFB" w:rsidRPr="007D3AFB" w:rsidRDefault="007D3AFB" w:rsidP="007D3AFB">
      <w:pPr>
        <w:pStyle w:val="a3"/>
        <w:rPr>
          <w:rtl/>
        </w:rPr>
      </w:pPr>
    </w:p>
    <w:p w14:paraId="3760269C" w14:textId="77777777" w:rsidR="007D3AFB" w:rsidRPr="007D3AFB" w:rsidRDefault="007D3AFB" w:rsidP="007D3AFB">
      <w:pPr>
        <w:pStyle w:val="a3"/>
        <w:rPr>
          <w:rtl/>
        </w:rPr>
      </w:pPr>
    </w:p>
    <w:p w14:paraId="7EB5FE18" w14:textId="77777777" w:rsidR="007D3AFB" w:rsidRPr="007D3AFB" w:rsidRDefault="007D3AFB" w:rsidP="007D3AFB">
      <w:pPr>
        <w:pStyle w:val="a3"/>
        <w:rPr>
          <w:rtl/>
        </w:rPr>
      </w:pPr>
    </w:p>
    <w:p w14:paraId="26E1CD3D" w14:textId="77777777" w:rsidR="007D3AFB" w:rsidRPr="007D3AFB" w:rsidRDefault="007D3AFB" w:rsidP="007D3AFB">
      <w:pPr>
        <w:pStyle w:val="a3"/>
        <w:rPr>
          <w:rtl/>
        </w:rPr>
      </w:pPr>
    </w:p>
    <w:p w14:paraId="3F8B7401" w14:textId="77777777" w:rsidR="007D3AFB" w:rsidRPr="007D3AFB" w:rsidRDefault="007D3AFB" w:rsidP="007D3AFB">
      <w:pPr>
        <w:pStyle w:val="a3"/>
        <w:rPr>
          <w:rtl/>
        </w:rPr>
      </w:pPr>
    </w:p>
    <w:p w14:paraId="63EE11D8" w14:textId="77777777" w:rsidR="003D504D" w:rsidRDefault="003D504D" w:rsidP="003D504D">
      <w:pPr>
        <w:pStyle w:val="afe"/>
        <w:rPr>
          <w:rtl/>
        </w:rPr>
      </w:pPr>
      <w:bookmarkStart w:id="22480" w:name="_Toc19436308"/>
      <w:bookmarkStart w:id="22481" w:name="_Toc20081454"/>
      <w:r w:rsidRPr="00071EE8">
        <w:rPr>
          <w:rFonts w:hint="cs"/>
          <w:rtl/>
        </w:rPr>
        <w:t xml:space="preserve">אי </w:t>
      </w:r>
      <w:r>
        <w:rPr>
          <w:rFonts w:hint="cs"/>
          <w:rtl/>
        </w:rPr>
        <w:t>אמר רב הושעיא ד</w:t>
      </w:r>
      <w:r w:rsidRPr="00071EE8">
        <w:rPr>
          <w:rFonts w:hint="cs"/>
          <w:rtl/>
        </w:rPr>
        <w:t xml:space="preserve">הלכו לשיטתם </w:t>
      </w:r>
      <w:r>
        <w:rPr>
          <w:rFonts w:hint="cs"/>
          <w:rtl/>
        </w:rPr>
        <w:t>ב</w:t>
      </w:r>
      <w:r w:rsidRPr="00071EE8">
        <w:rPr>
          <w:rFonts w:hint="cs"/>
          <w:rtl/>
        </w:rPr>
        <w:t>גיד</w:t>
      </w:r>
      <w:bookmarkEnd w:id="22447"/>
      <w:bookmarkEnd w:id="22448"/>
      <w:bookmarkEnd w:id="22449"/>
      <w:bookmarkEnd w:id="22450"/>
      <w:bookmarkEnd w:id="22451"/>
      <w:bookmarkEnd w:id="22452"/>
      <w:bookmarkEnd w:id="22453"/>
      <w:bookmarkEnd w:id="22477"/>
      <w:bookmarkEnd w:id="22478"/>
      <w:bookmarkEnd w:id="22479"/>
      <w:bookmarkEnd w:id="22480"/>
      <w:bookmarkEnd w:id="22481"/>
    </w:p>
    <w:p w14:paraId="3F2F703F" w14:textId="77777777" w:rsidR="003D504D" w:rsidRDefault="003D504D" w:rsidP="00BF39B2">
      <w:pPr>
        <w:pStyle w:val="1"/>
        <w:rPr>
          <w:rtl/>
        </w:rPr>
      </w:pPr>
      <w:bookmarkStart w:id="22482" w:name="_Toc3543148"/>
      <w:bookmarkStart w:id="22483" w:name="_Toc3550844"/>
      <w:bookmarkStart w:id="22484" w:name="_Toc3551000"/>
      <w:bookmarkStart w:id="22485" w:name="_Toc19391809"/>
      <w:bookmarkStart w:id="22486" w:name="_Toc19395306"/>
      <w:r w:rsidRPr="00015688">
        <w:rPr>
          <w:rFonts w:hint="cs"/>
          <w:rtl/>
        </w:rPr>
        <w:t>דברי הרשב"א ברש"י דלרב הושעיא אף בגיד הלכו לשיטתם</w:t>
      </w:r>
      <w:bookmarkEnd w:id="22454"/>
      <w:bookmarkEnd w:id="22455"/>
      <w:bookmarkEnd w:id="22456"/>
      <w:bookmarkEnd w:id="22457"/>
      <w:bookmarkEnd w:id="22458"/>
      <w:bookmarkEnd w:id="22459"/>
      <w:bookmarkEnd w:id="22460"/>
      <w:bookmarkEnd w:id="22482"/>
      <w:bookmarkEnd w:id="22483"/>
      <w:bookmarkEnd w:id="22484"/>
      <w:bookmarkEnd w:id="22485"/>
      <w:bookmarkEnd w:id="22486"/>
    </w:p>
    <w:p w14:paraId="19F2067E" w14:textId="77777777" w:rsidR="003D504D" w:rsidRDefault="003D504D" w:rsidP="003D504D">
      <w:pPr>
        <w:pStyle w:val="a3"/>
        <w:rPr>
          <w:rtl/>
        </w:rPr>
      </w:pPr>
      <w:bookmarkStart w:id="22487" w:name="_Toc3543149"/>
      <w:bookmarkStart w:id="22488" w:name="_Toc3550845"/>
      <w:bookmarkStart w:id="22489" w:name="_Toc3551001"/>
      <w:bookmarkStart w:id="22490" w:name="_Toc19391810"/>
      <w:bookmarkStart w:id="22491" w:name="_Toc19395307"/>
      <w:r>
        <w:rPr>
          <w:rFonts w:hint="cs"/>
          <w:rtl/>
        </w:rPr>
        <w:t>ביאור הרשב"א ברש"י דר"מ ור"י הלכו לשיטתם בבן ט' חי בשחיטה ובחלב וגיד</w:t>
      </w:r>
      <w:bookmarkEnd w:id="22487"/>
      <w:bookmarkEnd w:id="22488"/>
      <w:bookmarkEnd w:id="22489"/>
      <w:bookmarkEnd w:id="22490"/>
      <w:bookmarkEnd w:id="22491"/>
    </w:p>
    <w:p w14:paraId="74EFCEEF" w14:textId="77777777" w:rsidR="003D504D" w:rsidRDefault="003D504D" w:rsidP="00223668">
      <w:pPr>
        <w:pStyle w:val="a0"/>
        <w:rPr>
          <w:rtl/>
        </w:rPr>
      </w:pPr>
      <w:r>
        <w:rPr>
          <w:rFonts w:hint="cs"/>
          <w:rtl/>
        </w:rPr>
        <w:t xml:space="preserve">בפלוגתת רבנן ור"י במתני' לקמן </w:t>
      </w:r>
      <w:r w:rsidRPr="00A16539">
        <w:rPr>
          <w:rStyle w:val="af7"/>
          <w:rFonts w:eastAsia="Guttman Hodes" w:hint="cs"/>
          <w:rtl/>
        </w:rPr>
        <w:t xml:space="preserve">(פט:) </w:t>
      </w:r>
      <w:r>
        <w:rPr>
          <w:rFonts w:hint="cs"/>
          <w:rtl/>
        </w:rPr>
        <w:t xml:space="preserve">דלרבנן גיד הנשה נוהג בשליל, ולר"י אינו נוהג בשליל וחלבו מותר, כתב </w:t>
      </w:r>
      <w:r w:rsidRPr="00866395">
        <w:rPr>
          <w:rStyle w:val="af9"/>
          <w:rFonts w:hint="cs"/>
          <w:rtl/>
        </w:rPr>
        <w:t>רש"י לקמן</w:t>
      </w:r>
      <w:r>
        <w:rPr>
          <w:rFonts w:hint="cs"/>
          <w:rtl/>
        </w:rPr>
        <w:t xml:space="preserve"> </w:t>
      </w:r>
      <w:r w:rsidRPr="00E40DDA">
        <w:rPr>
          <w:rStyle w:val="af7"/>
          <w:rFonts w:eastAsia="Guttman Hodes" w:hint="cs"/>
          <w:rtl/>
        </w:rPr>
        <w:t>(פט: ד"ה ונוהג)</w:t>
      </w:r>
      <w:r>
        <w:rPr>
          <w:rFonts w:hint="cs"/>
          <w:rtl/>
        </w:rPr>
        <w:t xml:space="preserve"> דאיירי בבן ט' חי שנמצא במעי אמו, וביאר </w:t>
      </w:r>
      <w:r w:rsidRPr="00866395">
        <w:rPr>
          <w:rStyle w:val="af9"/>
          <w:rFonts w:hint="cs"/>
          <w:rtl/>
        </w:rPr>
        <w:t>הרשב"א לקמן</w:t>
      </w:r>
      <w:r>
        <w:rPr>
          <w:rFonts w:hint="cs"/>
          <w:rtl/>
        </w:rPr>
        <w:t xml:space="preserve"> </w:t>
      </w:r>
      <w:r w:rsidRPr="00A16539">
        <w:rPr>
          <w:rStyle w:val="af7"/>
          <w:rFonts w:eastAsia="Guttman Hodes" w:hint="cs"/>
          <w:rtl/>
        </w:rPr>
        <w:t xml:space="preserve">(פט: ד"ה ונוהג) </w:t>
      </w:r>
      <w:r>
        <w:rPr>
          <w:rFonts w:hint="cs"/>
          <w:rtl/>
        </w:rPr>
        <w:t xml:space="preserve">דכוונת </w:t>
      </w:r>
      <w:r w:rsidRPr="00866395">
        <w:rPr>
          <w:rStyle w:val="af9"/>
          <w:rFonts w:hint="cs"/>
          <w:rtl/>
        </w:rPr>
        <w:t>רש"י</w:t>
      </w:r>
      <w:r>
        <w:rPr>
          <w:rFonts w:hint="cs"/>
          <w:rtl/>
        </w:rPr>
        <w:t xml:space="preserve"> לומר דכיון דאמר רב הושעיא דר"מ ור"י דנחלקו בשחיטה בבן ט' חי הלכו לשיטתם, היינו דאף לענין הגיד הלכו לשיטתם, דבבן ט' חי לר"מ טעון שחיטה וגידו וחלבו אסורים, ולר"י אינו טעון שחיטה וגידו וחלבו מותרים, וכתב </w:t>
      </w:r>
      <w:r w:rsidRPr="00866395">
        <w:rPr>
          <w:rStyle w:val="af9"/>
          <w:rFonts w:hint="cs"/>
          <w:rtl/>
        </w:rPr>
        <w:t>הרשב"א לקמן</w:t>
      </w:r>
      <w:r>
        <w:rPr>
          <w:rFonts w:hint="cs"/>
          <w:rtl/>
        </w:rPr>
        <w:t xml:space="preserve"> דכן דעת </w:t>
      </w:r>
      <w:r w:rsidRPr="00866395">
        <w:rPr>
          <w:rStyle w:val="af9"/>
          <w:rFonts w:hint="cs"/>
          <w:rtl/>
        </w:rPr>
        <w:t>רוב המפרשים</w:t>
      </w:r>
      <w:r>
        <w:rPr>
          <w:rFonts w:hint="cs"/>
          <w:rtl/>
        </w:rPr>
        <w:t>.</w:t>
      </w:r>
    </w:p>
    <w:p w14:paraId="2EE2ABC0" w14:textId="77777777" w:rsidR="003D504D" w:rsidRDefault="003D504D" w:rsidP="00BF39B2">
      <w:pPr>
        <w:pStyle w:val="1"/>
        <w:rPr>
          <w:rtl/>
        </w:rPr>
      </w:pPr>
      <w:bookmarkStart w:id="22492" w:name="_Toc2866731"/>
      <w:bookmarkStart w:id="22493" w:name="_Toc3234499"/>
      <w:bookmarkStart w:id="22494" w:name="_Toc3287737"/>
      <w:bookmarkStart w:id="22495" w:name="_Toc3322252"/>
      <w:bookmarkStart w:id="22496" w:name="_Toc3480718"/>
      <w:bookmarkStart w:id="22497" w:name="_Toc3484993"/>
      <w:bookmarkStart w:id="22498" w:name="_Toc3535865"/>
      <w:bookmarkStart w:id="22499" w:name="_Toc3543150"/>
      <w:bookmarkStart w:id="22500" w:name="_Toc3550846"/>
      <w:bookmarkStart w:id="22501" w:name="_Toc3551002"/>
      <w:bookmarkStart w:id="22502" w:name="_Toc19391811"/>
      <w:bookmarkStart w:id="22503" w:name="_Toc19395308"/>
      <w:bookmarkEnd w:id="22461"/>
      <w:bookmarkEnd w:id="22462"/>
      <w:bookmarkEnd w:id="22463"/>
      <w:r>
        <w:rPr>
          <w:rFonts w:hint="cs"/>
          <w:rtl/>
        </w:rPr>
        <w:t xml:space="preserve">דברי הרשב"א </w:t>
      </w:r>
      <w:r w:rsidRPr="00476287">
        <w:rPr>
          <w:rFonts w:hint="cs"/>
          <w:rtl/>
        </w:rPr>
        <w:t>בשם תוס' דבגיד לא הלכו לשיטתם</w:t>
      </w:r>
      <w:bookmarkEnd w:id="22492"/>
      <w:bookmarkEnd w:id="22493"/>
      <w:bookmarkEnd w:id="22494"/>
      <w:bookmarkEnd w:id="22495"/>
      <w:bookmarkEnd w:id="22496"/>
      <w:bookmarkEnd w:id="22497"/>
      <w:bookmarkEnd w:id="22498"/>
      <w:bookmarkEnd w:id="22499"/>
      <w:bookmarkEnd w:id="22500"/>
      <w:bookmarkEnd w:id="22501"/>
      <w:bookmarkEnd w:id="22502"/>
      <w:bookmarkEnd w:id="22503"/>
    </w:p>
    <w:p w14:paraId="48E3A138" w14:textId="77777777" w:rsidR="003D504D" w:rsidRDefault="003D504D" w:rsidP="003D504D">
      <w:pPr>
        <w:pStyle w:val="a3"/>
        <w:rPr>
          <w:rtl/>
        </w:rPr>
      </w:pPr>
      <w:bookmarkStart w:id="22504" w:name="_Toc3543151"/>
      <w:bookmarkStart w:id="22505" w:name="_Toc3550847"/>
      <w:bookmarkStart w:id="22506" w:name="_Toc3551003"/>
      <w:bookmarkStart w:id="22507" w:name="_Toc19391812"/>
      <w:bookmarkStart w:id="22508" w:name="_Toc19395309"/>
      <w:r>
        <w:rPr>
          <w:rFonts w:hint="cs"/>
          <w:rtl/>
        </w:rPr>
        <w:t>דברי הרשב"א בשם תוס' דלרב הושעיא הלכו לשיטתם בשחיטה ובחלב דלר"מ חשיב בהמה</w:t>
      </w:r>
      <w:bookmarkEnd w:id="22504"/>
      <w:bookmarkEnd w:id="22505"/>
      <w:bookmarkEnd w:id="22506"/>
      <w:bookmarkEnd w:id="22507"/>
      <w:bookmarkEnd w:id="22508"/>
    </w:p>
    <w:p w14:paraId="5FACAB39" w14:textId="77777777" w:rsidR="003D504D" w:rsidRDefault="003D504D" w:rsidP="00223668">
      <w:pPr>
        <w:pStyle w:val="a0"/>
        <w:rPr>
          <w:rtl/>
        </w:rPr>
      </w:pPr>
      <w:bookmarkStart w:id="22509" w:name="_Ref2850869"/>
      <w:r>
        <w:rPr>
          <w:rFonts w:hint="cs"/>
          <w:rtl/>
        </w:rPr>
        <w:t xml:space="preserve">והביא </w:t>
      </w:r>
      <w:r w:rsidRPr="008012BE">
        <w:rPr>
          <w:rStyle w:val="af9"/>
          <w:rFonts w:hint="cs"/>
          <w:rtl/>
        </w:rPr>
        <w:t xml:space="preserve">הרשב"א </w:t>
      </w:r>
      <w:r>
        <w:rPr>
          <w:rStyle w:val="af9"/>
          <w:rFonts w:hint="cs"/>
          <w:rtl/>
        </w:rPr>
        <w:t xml:space="preserve">בחי' </w:t>
      </w:r>
      <w:r w:rsidRPr="008012BE">
        <w:rPr>
          <w:rStyle w:val="af9"/>
          <w:rFonts w:hint="cs"/>
          <w:rtl/>
        </w:rPr>
        <w:t>לקמן</w:t>
      </w:r>
      <w:r>
        <w:rPr>
          <w:rFonts w:hint="cs"/>
          <w:rtl/>
        </w:rPr>
        <w:t xml:space="preserve"> </w:t>
      </w:r>
      <w:r>
        <w:rPr>
          <w:rStyle w:val="af7"/>
          <w:rFonts w:eastAsiaTheme="minorHAnsi" w:hint="cs"/>
          <w:rtl/>
        </w:rPr>
        <w:t xml:space="preserve">(פט: ד"ה אלא בולדות) </w:t>
      </w:r>
      <w:r>
        <w:rPr>
          <w:rStyle w:val="af9"/>
          <w:rFonts w:hint="cs"/>
          <w:rtl/>
        </w:rPr>
        <w:t xml:space="preserve">ובתוה"ב </w:t>
      </w:r>
      <w:r w:rsidRPr="00134302">
        <w:rPr>
          <w:rStyle w:val="af7"/>
          <w:rFonts w:eastAsia="Guttman Hodes" w:hint="cs"/>
          <w:rtl/>
        </w:rPr>
        <w:t>(ב"ב ש"ה דף נט. מדה"ס)</w:t>
      </w:r>
      <w:r>
        <w:rPr>
          <w:rStyle w:val="af9"/>
          <w:rFonts w:hint="cs"/>
          <w:rtl/>
        </w:rPr>
        <w:t xml:space="preserve"> </w:t>
      </w:r>
      <w:r>
        <w:rPr>
          <w:rFonts w:hint="cs"/>
          <w:rtl/>
        </w:rPr>
        <w:t>בשם</w:t>
      </w:r>
      <w:r w:rsidRPr="008012BE">
        <w:rPr>
          <w:rStyle w:val="af9"/>
          <w:rFonts w:hint="cs"/>
          <w:rtl/>
        </w:rPr>
        <w:t xml:space="preserve"> התוס'</w:t>
      </w:r>
      <w:r>
        <w:rPr>
          <w:rFonts w:hint="cs"/>
          <w:rtl/>
        </w:rPr>
        <w:t xml:space="preserve"> </w:t>
      </w:r>
      <w:r w:rsidRPr="00AA4908">
        <w:rPr>
          <w:rStyle w:val="af7"/>
          <w:rFonts w:eastAsia="Guttman Hodes" w:hint="cs"/>
          <w:rtl/>
        </w:rPr>
        <w:t xml:space="preserve">(עי' אות </w:t>
      </w:r>
      <w:r w:rsidRPr="00AA4908">
        <w:rPr>
          <w:rStyle w:val="af7"/>
          <w:rFonts w:eastAsia="Guttman Hodes"/>
          <w:rtl/>
        </w:rPr>
        <w:fldChar w:fldCharType="begin"/>
      </w:r>
      <w:r w:rsidRPr="00AA4908">
        <w:rPr>
          <w:rStyle w:val="af7"/>
          <w:rFonts w:eastAsia="Guttman Hodes"/>
          <w:rtl/>
        </w:rPr>
        <w:instrText xml:space="preserve"> </w:instrText>
      </w:r>
      <w:r w:rsidRPr="00AA4908">
        <w:rPr>
          <w:rStyle w:val="af7"/>
          <w:rFonts w:eastAsia="Guttman Hodes" w:hint="cs"/>
        </w:rPr>
        <w:instrText>REF</w:instrText>
      </w:r>
      <w:r w:rsidRPr="00AA4908">
        <w:rPr>
          <w:rStyle w:val="af7"/>
          <w:rFonts w:eastAsia="Guttman Hodes" w:hint="cs"/>
          <w:rtl/>
        </w:rPr>
        <w:instrText xml:space="preserve"> _</w:instrText>
      </w:r>
      <w:r w:rsidRPr="00AA4908">
        <w:rPr>
          <w:rStyle w:val="af7"/>
          <w:rFonts w:eastAsia="Guttman Hodes" w:hint="cs"/>
        </w:rPr>
        <w:instrText>Ref3286571 \r \h</w:instrText>
      </w:r>
      <w:r w:rsidRPr="00AA4908">
        <w:rPr>
          <w:rStyle w:val="af7"/>
          <w:rFonts w:eastAsia="Guttman Hodes"/>
          <w:rtl/>
        </w:rPr>
        <w:instrText xml:space="preserve"> </w:instrText>
      </w:r>
      <w:r w:rsidRPr="00AA4908">
        <w:rPr>
          <w:rStyle w:val="af7"/>
          <w:rFonts w:eastAsia="Guttman Hodes"/>
          <w:rtl/>
        </w:rPr>
      </w:r>
      <w:r w:rsidRPr="00AA4908">
        <w:rPr>
          <w:rStyle w:val="af7"/>
          <w:rFonts w:eastAsia="Guttman Hodes"/>
          <w:rtl/>
        </w:rPr>
        <w:fldChar w:fldCharType="separate"/>
      </w:r>
      <w:r w:rsidR="00345400">
        <w:rPr>
          <w:rStyle w:val="af7"/>
          <w:rFonts w:eastAsia="Guttman Hodes"/>
          <w:cs/>
        </w:rPr>
        <w:t>‎</w:t>
      </w:r>
      <w:r w:rsidR="00345400">
        <w:rPr>
          <w:rStyle w:val="af7"/>
          <w:rFonts w:eastAsia="Guttman Hodes"/>
          <w:rtl/>
        </w:rPr>
        <w:t>כ)</w:t>
      </w:r>
      <w:r w:rsidRPr="00AA4908">
        <w:rPr>
          <w:rStyle w:val="af7"/>
          <w:rFonts w:eastAsia="Guttman Hodes"/>
          <w:rtl/>
        </w:rPr>
        <w:fldChar w:fldCharType="end"/>
      </w:r>
      <w:r>
        <w:rPr>
          <w:rFonts w:hint="cs"/>
          <w:rtl/>
        </w:rPr>
        <w:t xml:space="preserve"> דביארו דאף דבברייתא בסוגיין תני דנחלקו ר"י ור"מ בחלב וגיד דשליל, ועל הברייתא הזו, אמר רב הושעיא דהלכו לשיטתם, מ"מ כוונת רב הושעיא לומר דהלכו לשיטתם בשחיטה ובחלב, אבל לא לענין גיד, והיינו דר"מ דס"ל דבן ט' חי טעון שחיטה, א"כ ס"ל דהוא חשיב כבהמה גמורה, וקרינן ביה "וזבחת מבקרך ומצאנך", וה"ה לענין החלב דחדשים גרמי להחשיבו כבהמה גמורה, וקרינן ביה "שור כשב ועז".</w:t>
      </w:r>
      <w:bookmarkEnd w:id="22509"/>
    </w:p>
    <w:p w14:paraId="7E31874A" w14:textId="77777777" w:rsidR="003D504D" w:rsidRPr="00E21692" w:rsidRDefault="003D504D" w:rsidP="003D504D">
      <w:pPr>
        <w:pStyle w:val="a3"/>
        <w:rPr>
          <w:rtl/>
        </w:rPr>
      </w:pPr>
      <w:bookmarkStart w:id="22510" w:name="_Toc3543152"/>
      <w:bookmarkStart w:id="22511" w:name="_Toc3550848"/>
      <w:bookmarkStart w:id="22512" w:name="_Toc3551004"/>
      <w:bookmarkStart w:id="22513" w:name="_Toc19391813"/>
      <w:bookmarkStart w:id="22514" w:name="_Toc19395310"/>
      <w:r>
        <w:rPr>
          <w:rFonts w:hint="cs"/>
          <w:rtl/>
        </w:rPr>
        <w:t>ביאור הרשב"א בשם תוס' דלר"י אינו נחשב בהמה לענין שחיטה וחלב דלא נקרא שור</w:t>
      </w:r>
      <w:bookmarkEnd w:id="22510"/>
      <w:bookmarkEnd w:id="22511"/>
      <w:bookmarkEnd w:id="22512"/>
      <w:bookmarkEnd w:id="22513"/>
      <w:bookmarkEnd w:id="22514"/>
    </w:p>
    <w:p w14:paraId="4D201D10" w14:textId="77777777" w:rsidR="003D504D" w:rsidRDefault="003D504D" w:rsidP="00223668">
      <w:pPr>
        <w:pStyle w:val="a0"/>
        <w:rPr>
          <w:rtl/>
        </w:rPr>
      </w:pPr>
      <w:r>
        <w:rPr>
          <w:rFonts w:hint="cs"/>
          <w:rtl/>
        </w:rPr>
        <w:t xml:space="preserve">ובדעת ר"י ביאר </w:t>
      </w:r>
      <w:r w:rsidRPr="00C1332B">
        <w:rPr>
          <w:rStyle w:val="af9"/>
          <w:rFonts w:hint="cs"/>
          <w:rtl/>
        </w:rPr>
        <w:t xml:space="preserve">הרשב"א </w:t>
      </w:r>
      <w:r>
        <w:rPr>
          <w:rStyle w:val="af9"/>
          <w:rFonts w:hint="cs"/>
          <w:rtl/>
        </w:rPr>
        <w:t xml:space="preserve">בחי' </w:t>
      </w:r>
      <w:r w:rsidRPr="008012BE">
        <w:rPr>
          <w:rStyle w:val="af9"/>
          <w:rFonts w:hint="cs"/>
          <w:rtl/>
        </w:rPr>
        <w:t>לקמן</w:t>
      </w:r>
      <w:r>
        <w:rPr>
          <w:rFonts w:hint="cs"/>
          <w:rtl/>
        </w:rPr>
        <w:t xml:space="preserve"> </w:t>
      </w:r>
      <w:r>
        <w:rPr>
          <w:rStyle w:val="af9"/>
          <w:rFonts w:hint="cs"/>
          <w:rtl/>
        </w:rPr>
        <w:t xml:space="preserve">ובתוה"ב </w:t>
      </w:r>
      <w:r>
        <w:rPr>
          <w:rFonts w:hint="cs"/>
          <w:rtl/>
        </w:rPr>
        <w:t xml:space="preserve">בשם </w:t>
      </w:r>
      <w:r w:rsidRPr="00C1332B">
        <w:rPr>
          <w:rStyle w:val="af9"/>
          <w:rFonts w:hint="cs"/>
          <w:rtl/>
        </w:rPr>
        <w:t xml:space="preserve">התוס' </w:t>
      </w:r>
      <w:r>
        <w:rPr>
          <w:rFonts w:hint="cs"/>
          <w:rtl/>
        </w:rPr>
        <w:t>דס"ל דהשליל אינו נחשב בהמה, ולא קרינן ביה בקר וצאן לענין שחיטה, דאינו טעון שחיטה ומותר בשחיטת אמו, וכן לענין חלב לא קרינן ביה שור או כשב עד שעה שנולד, דהא כתיב "שור או כשב או עז כי יולד", ולכן חלבו מותר.</w:t>
      </w:r>
    </w:p>
    <w:p w14:paraId="6407E054" w14:textId="77777777" w:rsidR="003D504D" w:rsidRPr="00853A5E" w:rsidRDefault="003D504D" w:rsidP="003D504D">
      <w:pPr>
        <w:pStyle w:val="a3"/>
        <w:rPr>
          <w:rtl/>
        </w:rPr>
      </w:pPr>
      <w:bookmarkStart w:id="22515" w:name="_Toc3543153"/>
      <w:bookmarkStart w:id="22516" w:name="_Toc3550849"/>
      <w:bookmarkStart w:id="22517" w:name="_Toc3551005"/>
      <w:bookmarkStart w:id="22518" w:name="_Toc19391814"/>
      <w:bookmarkStart w:id="22519" w:name="_Toc19395311"/>
      <w:r>
        <w:rPr>
          <w:rFonts w:hint="cs"/>
          <w:rtl/>
        </w:rPr>
        <w:t>ביאור הרשב"א בשם תוס' דהמחלוקת בגיד לא שייכא כלל למחלוקת בשחיטה וחלב</w:t>
      </w:r>
      <w:bookmarkEnd w:id="22515"/>
      <w:bookmarkEnd w:id="22516"/>
      <w:bookmarkEnd w:id="22517"/>
      <w:bookmarkEnd w:id="22518"/>
      <w:bookmarkEnd w:id="22519"/>
    </w:p>
    <w:p w14:paraId="1D35D77A" w14:textId="77777777" w:rsidR="003D504D" w:rsidRDefault="003D504D" w:rsidP="00223668">
      <w:pPr>
        <w:pStyle w:val="a0"/>
        <w:rPr>
          <w:rtl/>
        </w:rPr>
      </w:pPr>
      <w:bookmarkStart w:id="22520" w:name="_Ref3146317"/>
      <w:r>
        <w:rPr>
          <w:rFonts w:hint="cs"/>
          <w:rtl/>
        </w:rPr>
        <w:t xml:space="preserve">אבל בפלוגתת ר"מ ור"י בדין הגיד, כתב </w:t>
      </w:r>
      <w:r w:rsidRPr="00C1332B">
        <w:rPr>
          <w:rStyle w:val="af9"/>
          <w:rFonts w:hint="cs"/>
          <w:rtl/>
        </w:rPr>
        <w:t xml:space="preserve">הרשב"א </w:t>
      </w:r>
      <w:r>
        <w:rPr>
          <w:rStyle w:val="af9"/>
          <w:rFonts w:hint="cs"/>
          <w:rtl/>
        </w:rPr>
        <w:t xml:space="preserve">בחי' </w:t>
      </w:r>
      <w:r w:rsidRPr="008012BE">
        <w:rPr>
          <w:rStyle w:val="af9"/>
          <w:rFonts w:hint="cs"/>
          <w:rtl/>
        </w:rPr>
        <w:t>לקמן</w:t>
      </w:r>
      <w:r>
        <w:rPr>
          <w:rFonts w:hint="cs"/>
          <w:rtl/>
        </w:rPr>
        <w:t xml:space="preserve"> </w:t>
      </w:r>
      <w:r>
        <w:rPr>
          <w:rStyle w:val="af9"/>
          <w:rFonts w:hint="cs"/>
          <w:rtl/>
        </w:rPr>
        <w:t>ובתוה"ב</w:t>
      </w:r>
      <w:r w:rsidRPr="00C1332B">
        <w:rPr>
          <w:rStyle w:val="af9"/>
          <w:rFonts w:hint="cs"/>
          <w:rtl/>
        </w:rPr>
        <w:t xml:space="preserve"> </w:t>
      </w:r>
      <w:r>
        <w:rPr>
          <w:rFonts w:hint="cs"/>
          <w:rtl/>
        </w:rPr>
        <w:t xml:space="preserve">בשם </w:t>
      </w:r>
      <w:r w:rsidRPr="00C1332B">
        <w:rPr>
          <w:rStyle w:val="af9"/>
          <w:rFonts w:hint="cs"/>
          <w:rtl/>
        </w:rPr>
        <w:t>התוס'</w:t>
      </w:r>
      <w:r>
        <w:rPr>
          <w:rFonts w:hint="cs"/>
          <w:rtl/>
        </w:rPr>
        <w:t xml:space="preserve"> דלא הלכו ר"מ ור"י לשיטתם, ואי"ז שייך למחלוקתם בשחיטה, אלא דס"ל לר"י דגידו בכלל היתר "כל בבהמה תאכלו", ולכן גידו מותר,</w:t>
      </w:r>
      <w:r w:rsidRPr="005A0FEC">
        <w:rPr>
          <w:rFonts w:hint="cs"/>
          <w:rtl/>
        </w:rPr>
        <w:t xml:space="preserve"> </w:t>
      </w:r>
      <w:r>
        <w:rPr>
          <w:rFonts w:hint="cs"/>
          <w:rtl/>
        </w:rPr>
        <w:t xml:space="preserve">וכ"כ </w:t>
      </w:r>
      <w:r w:rsidRPr="00C37183">
        <w:rPr>
          <w:rStyle w:val="af9"/>
          <w:rFonts w:hint="cs"/>
          <w:rtl/>
        </w:rPr>
        <w:t xml:space="preserve">המאירי </w:t>
      </w:r>
      <w:r w:rsidRPr="00C37183">
        <w:rPr>
          <w:rStyle w:val="af7"/>
          <w:rFonts w:eastAsia="Guttman Hodes" w:hint="cs"/>
          <w:rtl/>
        </w:rPr>
        <w:t>(עד. ד"ה מצא)</w:t>
      </w:r>
      <w:r>
        <w:rPr>
          <w:rFonts w:hint="cs"/>
          <w:rtl/>
        </w:rPr>
        <w:t xml:space="preserve"> </w:t>
      </w:r>
      <w:r w:rsidRPr="00067499">
        <w:rPr>
          <w:rStyle w:val="af9"/>
          <w:rFonts w:hint="cs"/>
          <w:rtl/>
        </w:rPr>
        <w:t xml:space="preserve">והר"ן על הרי"ף </w:t>
      </w:r>
      <w:r w:rsidRPr="00067499">
        <w:rPr>
          <w:rStyle w:val="af7"/>
          <w:rFonts w:eastAsia="Guttman Hodes" w:hint="cs"/>
          <w:rtl/>
        </w:rPr>
        <w:t xml:space="preserve">(ל. מדפי הרי"ף </w:t>
      </w:r>
      <w:r>
        <w:rPr>
          <w:rStyle w:val="af7"/>
          <w:rFonts w:eastAsia="Guttman Hodes" w:hint="cs"/>
          <w:rtl/>
        </w:rPr>
        <w:t>סו</w:t>
      </w:r>
      <w:r w:rsidRPr="00067499">
        <w:rPr>
          <w:rStyle w:val="af7"/>
          <w:rFonts w:eastAsia="Guttman Hodes" w:hint="cs"/>
          <w:rtl/>
        </w:rPr>
        <w:t>ד"ה ונוהג)</w:t>
      </w:r>
      <w:r>
        <w:rPr>
          <w:rFonts w:hint="cs"/>
          <w:rtl/>
        </w:rPr>
        <w:t xml:space="preserve"> בשם </w:t>
      </w:r>
      <w:r w:rsidRPr="00C37183">
        <w:rPr>
          <w:rStyle w:val="af9"/>
          <w:rFonts w:hint="cs"/>
          <w:rtl/>
        </w:rPr>
        <w:t>התוס'</w:t>
      </w:r>
      <w:r>
        <w:rPr>
          <w:rFonts w:hint="cs"/>
          <w:rtl/>
        </w:rPr>
        <w:t xml:space="preserve">, וכתב </w:t>
      </w:r>
      <w:r w:rsidRPr="00C1332B">
        <w:rPr>
          <w:rStyle w:val="af9"/>
          <w:rFonts w:hint="cs"/>
          <w:rtl/>
        </w:rPr>
        <w:t xml:space="preserve">הרשב"א </w:t>
      </w:r>
      <w:r>
        <w:rPr>
          <w:rStyle w:val="af9"/>
          <w:rFonts w:hint="cs"/>
          <w:rtl/>
        </w:rPr>
        <w:t xml:space="preserve">בחי' </w:t>
      </w:r>
      <w:r w:rsidRPr="008012BE">
        <w:rPr>
          <w:rStyle w:val="af9"/>
          <w:rFonts w:hint="cs"/>
          <w:rtl/>
        </w:rPr>
        <w:t>לקמן</w:t>
      </w:r>
      <w:r>
        <w:rPr>
          <w:rFonts w:hint="cs"/>
          <w:rtl/>
        </w:rPr>
        <w:t xml:space="preserve"> </w:t>
      </w:r>
      <w:r>
        <w:rPr>
          <w:rStyle w:val="af9"/>
          <w:rFonts w:hint="cs"/>
          <w:rtl/>
        </w:rPr>
        <w:t>ובתוה"ב</w:t>
      </w:r>
      <w:r w:rsidRPr="00C1332B">
        <w:rPr>
          <w:rStyle w:val="af9"/>
          <w:rFonts w:hint="cs"/>
          <w:rtl/>
        </w:rPr>
        <w:t xml:space="preserve"> </w:t>
      </w:r>
      <w:r>
        <w:rPr>
          <w:rFonts w:hint="cs"/>
          <w:rtl/>
        </w:rPr>
        <w:t xml:space="preserve">דביאור </w:t>
      </w:r>
      <w:r w:rsidRPr="00D80D7B">
        <w:rPr>
          <w:rStyle w:val="af9"/>
          <w:rFonts w:hint="cs"/>
          <w:rtl/>
        </w:rPr>
        <w:t>הת</w:t>
      </w:r>
      <w:r w:rsidRPr="00C1332B">
        <w:rPr>
          <w:rStyle w:val="af9"/>
          <w:rFonts w:hint="cs"/>
          <w:rtl/>
        </w:rPr>
        <w:t>וס'</w:t>
      </w:r>
      <w:r>
        <w:rPr>
          <w:rFonts w:hint="cs"/>
          <w:rtl/>
        </w:rPr>
        <w:t xml:space="preserve"> הוא נכון.</w:t>
      </w:r>
      <w:bookmarkEnd w:id="22520"/>
    </w:p>
    <w:p w14:paraId="35981872" w14:textId="77777777" w:rsidR="003D504D" w:rsidRDefault="003D504D" w:rsidP="003D504D">
      <w:pPr>
        <w:pStyle w:val="a3"/>
        <w:rPr>
          <w:rtl/>
        </w:rPr>
      </w:pPr>
      <w:bookmarkStart w:id="22521" w:name="_Toc3550850"/>
      <w:bookmarkStart w:id="22522" w:name="_Toc3551006"/>
      <w:bookmarkStart w:id="22523" w:name="_Toc19391815"/>
      <w:bookmarkStart w:id="22524" w:name="_Toc19395312"/>
      <w:bookmarkStart w:id="22525" w:name="_Toc3543154"/>
      <w:r>
        <w:rPr>
          <w:rFonts w:hint="cs"/>
          <w:rtl/>
        </w:rPr>
        <w:t>דברי הר"ן דר"י ור"מ הלכו לשיטתם בשחיטה ובחלב וגיד ונחלקו אי בן ט' חי הוה בהמה בפנ"ע</w:t>
      </w:r>
      <w:bookmarkEnd w:id="22521"/>
      <w:bookmarkEnd w:id="22522"/>
      <w:bookmarkEnd w:id="22523"/>
      <w:bookmarkEnd w:id="22524"/>
    </w:p>
    <w:p w14:paraId="26EE9EF0" w14:textId="77777777" w:rsidR="003D504D" w:rsidRDefault="003D504D" w:rsidP="00223668">
      <w:pPr>
        <w:pStyle w:val="a0"/>
        <w:rPr>
          <w:rtl/>
        </w:rPr>
      </w:pPr>
      <w:bookmarkStart w:id="22526" w:name="_Ref2878438"/>
      <w:r>
        <w:rPr>
          <w:rFonts w:hint="cs"/>
          <w:rtl/>
        </w:rPr>
        <w:t>ו</w:t>
      </w:r>
      <w:r w:rsidRPr="005A218D">
        <w:rPr>
          <w:rFonts w:hint="cs"/>
          <w:rtl/>
        </w:rPr>
        <w:t xml:space="preserve">דחה </w:t>
      </w:r>
      <w:r w:rsidRPr="00067499">
        <w:rPr>
          <w:rStyle w:val="af9"/>
          <w:rFonts w:hint="cs"/>
          <w:rtl/>
        </w:rPr>
        <w:t xml:space="preserve">הר"ן על </w:t>
      </w:r>
      <w:r w:rsidRPr="005A218D">
        <w:rPr>
          <w:rStyle w:val="af9"/>
          <w:rFonts w:hint="cs"/>
          <w:rtl/>
        </w:rPr>
        <w:t xml:space="preserve">הרי"ף </w:t>
      </w:r>
      <w:r w:rsidRPr="00B25B0C">
        <w:rPr>
          <w:rStyle w:val="af7"/>
          <w:rFonts w:eastAsia="Guttman Hodes" w:hint="cs"/>
          <w:rtl/>
        </w:rPr>
        <w:t>(ל. מדפי הרי"ף ד"ה ונוהג)</w:t>
      </w:r>
      <w:r w:rsidRPr="005A218D">
        <w:rPr>
          <w:rFonts w:hint="cs"/>
          <w:rtl/>
        </w:rPr>
        <w:t xml:space="preserve"> את דברי </w:t>
      </w:r>
      <w:r w:rsidRPr="005A218D">
        <w:rPr>
          <w:rStyle w:val="af9"/>
          <w:rFonts w:hint="cs"/>
          <w:rtl/>
        </w:rPr>
        <w:t>התוס'</w:t>
      </w:r>
      <w:r w:rsidRPr="005A218D">
        <w:rPr>
          <w:rFonts w:hint="cs"/>
          <w:rtl/>
        </w:rPr>
        <w:t xml:space="preserve"> דפסקו בשחיטה ובחלב כר"י דמותר, ובגיד פסקו לאיסור כר"מ, דהא פלוגתת ר"י ור"מ בחלב תלויה בפלוגתתם בשחיטה, כדאמר רב הושעיא</w:t>
      </w:r>
      <w:bookmarkEnd w:id="22526"/>
      <w:r>
        <w:rPr>
          <w:rFonts w:hint="cs"/>
          <w:rtl/>
        </w:rPr>
        <w:t xml:space="preserve">, אלא כתב </w:t>
      </w:r>
      <w:r w:rsidRPr="005A218D">
        <w:rPr>
          <w:rStyle w:val="af9"/>
          <w:rFonts w:hint="cs"/>
          <w:rtl/>
        </w:rPr>
        <w:t>הר"ן על הרי"ף</w:t>
      </w:r>
      <w:r w:rsidRPr="005A218D">
        <w:rPr>
          <w:rFonts w:hint="cs"/>
          <w:rtl/>
        </w:rPr>
        <w:t xml:space="preserve"> דר"מ ס"ל דבן ט' חי אינו מותר בשחיטת אמו, ולכן חשיב בהמה בפנ"ע וחלבו וגידו אסורים, ור"י ס"ל דשחיטת</w:t>
      </w:r>
      <w:r>
        <w:rPr>
          <w:rFonts w:hint="cs"/>
          <w:rtl/>
        </w:rPr>
        <w:t xml:space="preserve"> אמו מתירתו, ולכן אינו בהמה בפנ"ע דקרינן ביה "בהמה בבהמה תאכלו" ולכן גם חלבו וגידו מותרים, דההיתר הוא בכל מה שבבהמה שנמצאת בבהמה אחרת, וכדברי רב הושעיא דר"מ ור"י הלכו לשיטתם, אבל בבן ח' חי אף ר"מ מודה דמותר בשחיטת אמו ואף חלבו וגידו מותרים.</w:t>
      </w:r>
    </w:p>
    <w:p w14:paraId="2B5428A4" w14:textId="77777777" w:rsidR="007D3AFB" w:rsidRPr="007D3AFB" w:rsidRDefault="007D3AFB" w:rsidP="007D3AFB">
      <w:pPr>
        <w:pStyle w:val="a3"/>
        <w:rPr>
          <w:rtl/>
        </w:rPr>
      </w:pPr>
    </w:p>
    <w:p w14:paraId="56A7F20B" w14:textId="77777777" w:rsidR="003D504D" w:rsidRDefault="003D504D" w:rsidP="00BF39B2">
      <w:pPr>
        <w:pStyle w:val="1"/>
        <w:rPr>
          <w:rtl/>
        </w:rPr>
      </w:pPr>
      <w:bookmarkStart w:id="22527" w:name="_Toc3550851"/>
      <w:bookmarkStart w:id="22528" w:name="_Toc3551007"/>
      <w:bookmarkStart w:id="22529" w:name="_Toc19391816"/>
      <w:bookmarkStart w:id="22530" w:name="_Toc19395313"/>
      <w:r>
        <w:rPr>
          <w:rFonts w:hint="cs"/>
          <w:rtl/>
        </w:rPr>
        <w:t>קושיות הראש יוסף והגרעק"א על דברי הרשב"א בשם תוס'</w:t>
      </w:r>
      <w:bookmarkEnd w:id="22525"/>
      <w:bookmarkEnd w:id="22527"/>
      <w:bookmarkEnd w:id="22528"/>
      <w:bookmarkEnd w:id="22529"/>
      <w:bookmarkEnd w:id="22530"/>
      <w:r>
        <w:rPr>
          <w:rFonts w:hint="cs"/>
          <w:rtl/>
        </w:rPr>
        <w:t xml:space="preserve"> </w:t>
      </w:r>
    </w:p>
    <w:p w14:paraId="03FD815E" w14:textId="77777777" w:rsidR="003D504D" w:rsidRPr="00E2271D" w:rsidRDefault="003D504D" w:rsidP="003D504D">
      <w:pPr>
        <w:pStyle w:val="a3"/>
        <w:rPr>
          <w:rtl/>
        </w:rPr>
      </w:pPr>
      <w:bookmarkStart w:id="22531" w:name="_Toc3550852"/>
      <w:bookmarkStart w:id="22532" w:name="_Toc3551008"/>
      <w:bookmarkStart w:id="22533" w:name="_Toc19391817"/>
      <w:bookmarkStart w:id="22534" w:name="_Toc19395314"/>
      <w:r>
        <w:rPr>
          <w:rFonts w:hint="cs"/>
          <w:rtl/>
        </w:rPr>
        <w:t>ביאור הראש יוסף ברשב"א בשם תוס' דהיתר חלב אינו מגזיה"כ אלא אין לו דין חלב</w:t>
      </w:r>
      <w:bookmarkEnd w:id="22531"/>
      <w:bookmarkEnd w:id="22532"/>
      <w:bookmarkEnd w:id="22533"/>
      <w:bookmarkEnd w:id="22534"/>
    </w:p>
    <w:p w14:paraId="2F589FCF" w14:textId="77777777" w:rsidR="003D504D" w:rsidRDefault="003D504D" w:rsidP="00223668">
      <w:pPr>
        <w:pStyle w:val="a0"/>
        <w:rPr>
          <w:rtl/>
        </w:rPr>
      </w:pPr>
      <w:r>
        <w:rPr>
          <w:rFonts w:hint="cs"/>
          <w:rtl/>
        </w:rPr>
        <w:t xml:space="preserve">וביאר </w:t>
      </w:r>
      <w:r w:rsidRPr="004D71F8">
        <w:rPr>
          <w:rStyle w:val="af9"/>
          <w:rFonts w:hint="cs"/>
          <w:rtl/>
        </w:rPr>
        <w:t>הראש יוסף לקמן</w:t>
      </w:r>
      <w:r>
        <w:rPr>
          <w:rFonts w:hint="cs"/>
          <w:rtl/>
        </w:rPr>
        <w:t xml:space="preserve"> </w:t>
      </w:r>
      <w:r w:rsidRPr="003B7D19">
        <w:rPr>
          <w:rStyle w:val="af7"/>
          <w:rFonts w:eastAsia="Guttman Hodes" w:hint="cs"/>
          <w:rtl/>
        </w:rPr>
        <w:t xml:space="preserve">(פט. ד"ה וראיתי) </w:t>
      </w:r>
      <w:r>
        <w:rPr>
          <w:rFonts w:hint="cs"/>
          <w:rtl/>
        </w:rPr>
        <w:t xml:space="preserve">דכוונת </w:t>
      </w:r>
      <w:r w:rsidRPr="003B7D19">
        <w:rPr>
          <w:rStyle w:val="af9"/>
          <w:rFonts w:hint="cs"/>
          <w:rtl/>
        </w:rPr>
        <w:t xml:space="preserve">הרשב"א </w:t>
      </w:r>
      <w:r>
        <w:rPr>
          <w:rFonts w:hint="cs"/>
          <w:rtl/>
        </w:rPr>
        <w:t>בשם</w:t>
      </w:r>
      <w:r w:rsidRPr="003B7D19">
        <w:rPr>
          <w:rStyle w:val="af9"/>
          <w:rFonts w:hint="cs"/>
          <w:rtl/>
        </w:rPr>
        <w:t xml:space="preserve"> תוס' </w:t>
      </w:r>
      <w:r>
        <w:rPr>
          <w:rFonts w:hint="cs"/>
          <w:rtl/>
        </w:rPr>
        <w:t xml:space="preserve">לומר דהיתר חלב אינו מגזיה"כ כדביאר </w:t>
      </w:r>
      <w:r w:rsidRPr="003B7D19">
        <w:rPr>
          <w:rStyle w:val="af9"/>
          <w:rFonts w:hint="cs"/>
          <w:rtl/>
        </w:rPr>
        <w:t xml:space="preserve">הרא"ש </w:t>
      </w:r>
      <w:r w:rsidRPr="00476287">
        <w:rPr>
          <w:rStyle w:val="af7"/>
          <w:rFonts w:eastAsia="Guttman Hodes" w:hint="cs"/>
          <w:rtl/>
        </w:rPr>
        <w:t xml:space="preserve">(עי' אות </w:t>
      </w:r>
      <w:r w:rsidRPr="00476287">
        <w:rPr>
          <w:rStyle w:val="af7"/>
          <w:rFonts w:eastAsia="Guttman Hodes"/>
          <w:rtl/>
        </w:rPr>
        <w:fldChar w:fldCharType="begin"/>
      </w:r>
      <w:r w:rsidRPr="00476287">
        <w:rPr>
          <w:rStyle w:val="af7"/>
          <w:rFonts w:eastAsia="Guttman Hodes"/>
          <w:rtl/>
        </w:rPr>
        <w:instrText xml:space="preserve"> </w:instrText>
      </w:r>
      <w:r w:rsidRPr="00476287">
        <w:rPr>
          <w:rStyle w:val="af7"/>
          <w:rFonts w:eastAsia="Guttman Hodes" w:hint="cs"/>
        </w:rPr>
        <w:instrText>REF</w:instrText>
      </w:r>
      <w:r w:rsidRPr="00476287">
        <w:rPr>
          <w:rStyle w:val="af7"/>
          <w:rFonts w:eastAsia="Guttman Hodes" w:hint="cs"/>
          <w:rtl/>
        </w:rPr>
        <w:instrText xml:space="preserve"> _</w:instrText>
      </w:r>
      <w:r w:rsidRPr="00476287">
        <w:rPr>
          <w:rStyle w:val="af7"/>
          <w:rFonts w:eastAsia="Guttman Hodes" w:hint="cs"/>
        </w:rPr>
        <w:instrText>Ref2195569 \r \h</w:instrText>
      </w:r>
      <w:r w:rsidRPr="00476287">
        <w:rPr>
          <w:rStyle w:val="af7"/>
          <w:rFonts w:eastAsia="Guttman Hodes"/>
          <w:rtl/>
        </w:rPr>
        <w:instrText xml:space="preserve"> </w:instrText>
      </w:r>
      <w:r w:rsidRPr="00476287">
        <w:rPr>
          <w:rStyle w:val="af7"/>
          <w:rFonts w:eastAsia="Guttman Hodes"/>
          <w:rtl/>
        </w:rPr>
      </w:r>
      <w:r w:rsidRPr="00476287">
        <w:rPr>
          <w:rStyle w:val="af7"/>
          <w:rFonts w:eastAsia="Guttman Hodes"/>
          <w:rtl/>
        </w:rPr>
        <w:fldChar w:fldCharType="separate"/>
      </w:r>
      <w:r w:rsidR="00345400">
        <w:rPr>
          <w:rStyle w:val="af7"/>
          <w:rFonts w:eastAsia="Guttman Hodes"/>
          <w:cs/>
        </w:rPr>
        <w:t>‎</w:t>
      </w:r>
      <w:r w:rsidR="00345400">
        <w:rPr>
          <w:rStyle w:val="af7"/>
          <w:rFonts w:eastAsia="Guttman Hodes"/>
          <w:rtl/>
        </w:rPr>
        <w:t>נד)</w:t>
      </w:r>
      <w:r w:rsidRPr="00476287">
        <w:rPr>
          <w:rStyle w:val="af7"/>
          <w:rFonts w:eastAsia="Guttman Hodes"/>
          <w:rtl/>
        </w:rPr>
        <w:fldChar w:fldCharType="end"/>
      </w:r>
      <w:r>
        <w:rPr>
          <w:rFonts w:hint="cs"/>
          <w:rtl/>
        </w:rPr>
        <w:t xml:space="preserve">, אלא דס"ל לר"י לענין חלב, דחדשים גרמי ואינו נקרא חלב, ולכן מותר בשחיטת אמו, אבל בגיד לא אמרינן דחדשים גרמי, ולא הלך בזה ר"י לשיטתו, והקשה </w:t>
      </w:r>
      <w:r w:rsidRPr="003B7D19">
        <w:rPr>
          <w:rStyle w:val="af9"/>
          <w:rFonts w:hint="cs"/>
          <w:rtl/>
        </w:rPr>
        <w:t xml:space="preserve">הראש יוסף </w:t>
      </w:r>
      <w:r>
        <w:rPr>
          <w:rFonts w:hint="cs"/>
          <w:rtl/>
        </w:rPr>
        <w:t xml:space="preserve">דאמאי הוצרך </w:t>
      </w:r>
      <w:r w:rsidRPr="003B7D19">
        <w:rPr>
          <w:rStyle w:val="af9"/>
          <w:rFonts w:hint="cs"/>
          <w:rtl/>
        </w:rPr>
        <w:t xml:space="preserve">הרשב"א </w:t>
      </w:r>
      <w:r>
        <w:rPr>
          <w:rFonts w:hint="cs"/>
          <w:rtl/>
        </w:rPr>
        <w:t xml:space="preserve">בשם </w:t>
      </w:r>
      <w:r w:rsidRPr="003B7D19">
        <w:rPr>
          <w:rStyle w:val="af9"/>
          <w:rFonts w:hint="cs"/>
          <w:rtl/>
        </w:rPr>
        <w:t>תוס'</w:t>
      </w:r>
      <w:r>
        <w:rPr>
          <w:rFonts w:hint="cs"/>
          <w:rtl/>
        </w:rPr>
        <w:t xml:space="preserve"> לבאר כן, הא אפש"ל דהלכו לשיטתם ואף דלר"י נקרא גיד, מ"מ הוא מותר מדין "כל בבהמה תאכלו", ועי' במה שתירץ </w:t>
      </w:r>
      <w:r w:rsidRPr="00FA322D">
        <w:rPr>
          <w:rStyle w:val="af9"/>
          <w:rFonts w:hint="cs"/>
          <w:rtl/>
        </w:rPr>
        <w:t>האבהא"ז</w:t>
      </w:r>
      <w:r>
        <w:rPr>
          <w:rFonts w:hint="cs"/>
          <w:rtl/>
        </w:rPr>
        <w:t xml:space="preserve"> </w:t>
      </w:r>
      <w:r w:rsidRPr="00FA322D">
        <w:rPr>
          <w:rStyle w:val="af7"/>
          <w:rFonts w:eastAsia="Guttman Hodes" w:hint="cs"/>
          <w:rtl/>
        </w:rPr>
        <w:t>(מאכ"א פ"ח ה"א ד"ה ונראה דכוונת הרשב"א)</w:t>
      </w:r>
      <w:r>
        <w:rPr>
          <w:rFonts w:hint="cs"/>
          <w:rtl/>
        </w:rPr>
        <w:t>.</w:t>
      </w:r>
    </w:p>
    <w:p w14:paraId="75F78590" w14:textId="77777777" w:rsidR="003D504D" w:rsidRDefault="003D504D" w:rsidP="003D504D">
      <w:pPr>
        <w:pStyle w:val="a3"/>
        <w:rPr>
          <w:rtl/>
        </w:rPr>
      </w:pPr>
      <w:bookmarkStart w:id="22535" w:name="_Toc3480719"/>
      <w:bookmarkStart w:id="22536" w:name="_Toc3484994"/>
      <w:bookmarkStart w:id="22537" w:name="_Toc3535866"/>
      <w:bookmarkStart w:id="22538" w:name="_Toc3543155"/>
      <w:bookmarkStart w:id="22539" w:name="_Toc3550853"/>
      <w:bookmarkStart w:id="22540" w:name="_Toc3551009"/>
      <w:bookmarkStart w:id="22541" w:name="_Toc19391818"/>
      <w:bookmarkStart w:id="22542" w:name="_Toc19395315"/>
      <w:r>
        <w:rPr>
          <w:rFonts w:hint="cs"/>
          <w:rtl/>
        </w:rPr>
        <w:t>קושית הראש יוסף דבתוס' לקמן כתבו להדיא דאף בגיד הלכו לשיטתם ודלא כהרשב"א בשם התוס'</w:t>
      </w:r>
      <w:bookmarkEnd w:id="22535"/>
      <w:bookmarkEnd w:id="22536"/>
      <w:bookmarkEnd w:id="22537"/>
      <w:bookmarkEnd w:id="22538"/>
      <w:bookmarkEnd w:id="22539"/>
      <w:bookmarkEnd w:id="22540"/>
      <w:bookmarkEnd w:id="22541"/>
      <w:bookmarkEnd w:id="22542"/>
    </w:p>
    <w:p w14:paraId="33CBDC73" w14:textId="77777777" w:rsidR="003D504D" w:rsidRDefault="003D504D" w:rsidP="00223668">
      <w:pPr>
        <w:pStyle w:val="a0"/>
        <w:rPr>
          <w:rtl/>
        </w:rPr>
      </w:pPr>
      <w:bookmarkStart w:id="22543" w:name="_Ref3742734"/>
      <w:r>
        <w:rPr>
          <w:rFonts w:hint="cs"/>
          <w:rtl/>
        </w:rPr>
        <w:t xml:space="preserve">ועוד הקשה </w:t>
      </w:r>
      <w:r w:rsidRPr="003B7D19">
        <w:rPr>
          <w:rStyle w:val="af9"/>
          <w:rFonts w:hint="cs"/>
          <w:rtl/>
        </w:rPr>
        <w:t xml:space="preserve">הראש יוסף לקמן </w:t>
      </w:r>
      <w:r w:rsidRPr="003B7D19">
        <w:rPr>
          <w:rStyle w:val="af7"/>
          <w:rFonts w:eastAsia="Guttman Hodes" w:hint="cs"/>
          <w:rtl/>
        </w:rPr>
        <w:t>(פט. ד"ה הנה)</w:t>
      </w:r>
      <w:r>
        <w:rPr>
          <w:rFonts w:hint="cs"/>
          <w:rtl/>
        </w:rPr>
        <w:t xml:space="preserve"> </w:t>
      </w:r>
      <w:r w:rsidRPr="003B7D19">
        <w:rPr>
          <w:rStyle w:val="af9"/>
          <w:rFonts w:hint="cs"/>
          <w:rtl/>
        </w:rPr>
        <w:t xml:space="preserve">דבתוס' לקמן </w:t>
      </w:r>
      <w:r w:rsidRPr="00075F16">
        <w:rPr>
          <w:rStyle w:val="af7"/>
          <w:rFonts w:eastAsia="Guttman Hodes" w:hint="cs"/>
          <w:rtl/>
        </w:rPr>
        <w:t xml:space="preserve">(עי' אות </w:t>
      </w:r>
      <w:r w:rsidRPr="00075F16">
        <w:rPr>
          <w:rStyle w:val="af7"/>
          <w:rFonts w:eastAsia="Guttman Hodes"/>
          <w:rtl/>
        </w:rPr>
        <w:fldChar w:fldCharType="begin"/>
      </w:r>
      <w:r w:rsidRPr="00075F16">
        <w:rPr>
          <w:rStyle w:val="af7"/>
          <w:rFonts w:eastAsia="Guttman Hodes"/>
          <w:rtl/>
        </w:rPr>
        <w:instrText xml:space="preserve"> </w:instrText>
      </w:r>
      <w:r w:rsidRPr="00075F16">
        <w:rPr>
          <w:rStyle w:val="af7"/>
          <w:rFonts w:eastAsia="Guttman Hodes" w:hint="cs"/>
        </w:rPr>
        <w:instrText>REF</w:instrText>
      </w:r>
      <w:r w:rsidRPr="00075F16">
        <w:rPr>
          <w:rStyle w:val="af7"/>
          <w:rFonts w:eastAsia="Guttman Hodes" w:hint="cs"/>
          <w:rtl/>
        </w:rPr>
        <w:instrText xml:space="preserve"> _</w:instrText>
      </w:r>
      <w:r w:rsidRPr="00075F16">
        <w:rPr>
          <w:rStyle w:val="af7"/>
          <w:rFonts w:eastAsia="Guttman Hodes" w:hint="cs"/>
        </w:rPr>
        <w:instrText>Ref3388234 \r \h</w:instrText>
      </w:r>
      <w:r w:rsidRPr="00075F16">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075F16">
        <w:rPr>
          <w:rStyle w:val="af7"/>
          <w:rFonts w:eastAsia="Guttman Hodes"/>
          <w:rtl/>
        </w:rPr>
      </w:r>
      <w:r w:rsidRPr="00075F16">
        <w:rPr>
          <w:rStyle w:val="af7"/>
          <w:rFonts w:eastAsia="Guttman Hodes"/>
          <w:rtl/>
        </w:rPr>
        <w:fldChar w:fldCharType="separate"/>
      </w:r>
      <w:r w:rsidR="00345400">
        <w:rPr>
          <w:rStyle w:val="af7"/>
          <w:rFonts w:eastAsia="Guttman Hodes"/>
          <w:cs/>
        </w:rPr>
        <w:t>‎</w:t>
      </w:r>
      <w:r w:rsidR="00345400">
        <w:rPr>
          <w:rStyle w:val="af7"/>
          <w:rFonts w:eastAsia="Guttman Hodes"/>
          <w:rtl/>
        </w:rPr>
        <w:t>י)</w:t>
      </w:r>
      <w:r w:rsidRPr="00075F16">
        <w:rPr>
          <w:rStyle w:val="af7"/>
          <w:rFonts w:eastAsia="Guttman Hodes"/>
          <w:rtl/>
        </w:rPr>
        <w:fldChar w:fldCharType="end"/>
      </w:r>
      <w:r>
        <w:rPr>
          <w:rFonts w:hint="cs"/>
          <w:rtl/>
        </w:rPr>
        <w:t xml:space="preserve"> כתבו להדיא דדברי רב הושעיא דהלכו לשיטתם, היינו בין בגיד ובין בחלב, וכתב </w:t>
      </w:r>
      <w:r w:rsidRPr="003B7D19">
        <w:rPr>
          <w:rStyle w:val="af9"/>
          <w:rFonts w:hint="cs"/>
          <w:rtl/>
        </w:rPr>
        <w:t xml:space="preserve">הראש יוסף לקמן </w:t>
      </w:r>
      <w:r>
        <w:rPr>
          <w:rFonts w:hint="cs"/>
          <w:rtl/>
        </w:rPr>
        <w:t xml:space="preserve">דמ"ש </w:t>
      </w:r>
      <w:r w:rsidRPr="003B7D19">
        <w:rPr>
          <w:rStyle w:val="af9"/>
          <w:rFonts w:hint="cs"/>
          <w:rtl/>
        </w:rPr>
        <w:t xml:space="preserve">הרשב"א </w:t>
      </w:r>
      <w:r>
        <w:rPr>
          <w:rFonts w:hint="cs"/>
          <w:rtl/>
        </w:rPr>
        <w:t xml:space="preserve">בשם </w:t>
      </w:r>
      <w:r w:rsidRPr="003B7D19">
        <w:rPr>
          <w:rStyle w:val="af9"/>
          <w:rFonts w:hint="cs"/>
          <w:rtl/>
        </w:rPr>
        <w:t>תוס'</w:t>
      </w:r>
      <w:r>
        <w:rPr>
          <w:rFonts w:hint="cs"/>
          <w:rtl/>
        </w:rPr>
        <w:t xml:space="preserve">, אינו נמצא </w:t>
      </w:r>
      <w:r w:rsidRPr="003B7D19">
        <w:rPr>
          <w:rStyle w:val="af9"/>
          <w:rFonts w:hint="cs"/>
          <w:rtl/>
        </w:rPr>
        <w:t xml:space="preserve">בתוס' </w:t>
      </w:r>
      <w:r>
        <w:rPr>
          <w:rFonts w:hint="cs"/>
          <w:rtl/>
        </w:rPr>
        <w:t xml:space="preserve">לפנינו, דאף שכתבו </w:t>
      </w:r>
      <w:r w:rsidRPr="003B7D19">
        <w:rPr>
          <w:rStyle w:val="af9"/>
          <w:rFonts w:hint="cs"/>
          <w:rtl/>
        </w:rPr>
        <w:t>התוס'</w:t>
      </w:r>
      <w:r>
        <w:rPr>
          <w:rFonts w:hint="cs"/>
          <w:rtl/>
        </w:rPr>
        <w:t xml:space="preserve"> </w:t>
      </w:r>
      <w:r w:rsidRPr="003B7D19">
        <w:rPr>
          <w:rStyle w:val="af7"/>
          <w:rFonts w:eastAsia="Guttman Hodes" w:hint="cs"/>
          <w:rtl/>
        </w:rPr>
        <w:t xml:space="preserve">(עי' אות </w:t>
      </w:r>
      <w:r w:rsidRPr="003B7D19">
        <w:rPr>
          <w:rStyle w:val="af7"/>
          <w:rFonts w:eastAsia="Guttman Hodes"/>
          <w:rtl/>
        </w:rPr>
        <w:fldChar w:fldCharType="begin"/>
      </w:r>
      <w:r w:rsidRPr="003B7D19">
        <w:rPr>
          <w:rStyle w:val="af7"/>
          <w:rFonts w:eastAsia="Guttman Hodes"/>
          <w:rtl/>
        </w:rPr>
        <w:instrText xml:space="preserve"> </w:instrText>
      </w:r>
      <w:r w:rsidRPr="003B7D19">
        <w:rPr>
          <w:rStyle w:val="af7"/>
          <w:rFonts w:eastAsia="Guttman Hodes" w:hint="cs"/>
        </w:rPr>
        <w:instrText>REF</w:instrText>
      </w:r>
      <w:r w:rsidRPr="003B7D19">
        <w:rPr>
          <w:rStyle w:val="af7"/>
          <w:rFonts w:eastAsia="Guttman Hodes" w:hint="cs"/>
          <w:rtl/>
        </w:rPr>
        <w:instrText xml:space="preserve"> _</w:instrText>
      </w:r>
      <w:r w:rsidRPr="003B7D19">
        <w:rPr>
          <w:rStyle w:val="af7"/>
          <w:rFonts w:eastAsia="Guttman Hodes" w:hint="cs"/>
        </w:rPr>
        <w:instrText>Ref3286571 \r \h</w:instrText>
      </w:r>
      <w:r w:rsidRPr="003B7D19">
        <w:rPr>
          <w:rStyle w:val="af7"/>
          <w:rFonts w:eastAsia="Guttman Hodes"/>
          <w:rtl/>
        </w:rPr>
        <w:instrText xml:space="preserve"> </w:instrText>
      </w:r>
      <w:r w:rsidRPr="003B7D19">
        <w:rPr>
          <w:rStyle w:val="af7"/>
          <w:rFonts w:eastAsia="Guttman Hodes"/>
          <w:rtl/>
        </w:rPr>
      </w:r>
      <w:r w:rsidRPr="003B7D19">
        <w:rPr>
          <w:rStyle w:val="af7"/>
          <w:rFonts w:eastAsia="Guttman Hodes"/>
          <w:rtl/>
        </w:rPr>
        <w:fldChar w:fldCharType="separate"/>
      </w:r>
      <w:r w:rsidR="00345400">
        <w:rPr>
          <w:rStyle w:val="af7"/>
          <w:rFonts w:eastAsia="Guttman Hodes"/>
          <w:cs/>
        </w:rPr>
        <w:t>‎</w:t>
      </w:r>
      <w:r w:rsidR="00345400">
        <w:rPr>
          <w:rStyle w:val="af7"/>
          <w:rFonts w:eastAsia="Guttman Hodes"/>
          <w:rtl/>
        </w:rPr>
        <w:t>כ)</w:t>
      </w:r>
      <w:r w:rsidRPr="003B7D19">
        <w:rPr>
          <w:rStyle w:val="af7"/>
          <w:rFonts w:eastAsia="Guttman Hodes"/>
          <w:rtl/>
        </w:rPr>
        <w:fldChar w:fldCharType="end"/>
      </w:r>
      <w:r>
        <w:rPr>
          <w:rFonts w:hint="cs"/>
          <w:rtl/>
        </w:rPr>
        <w:t xml:space="preserve"> דדוקא איסור חלב לא חל בבן ח', כיון דכתיב "כל חלב שור וכשב" ובן ח' אינו נקרא שור וכשב, אבל איסור גיד חל אף בבן ח', מ"מ לא כתבו </w:t>
      </w:r>
      <w:r w:rsidRPr="003B7D19">
        <w:rPr>
          <w:rStyle w:val="af9"/>
          <w:rFonts w:hint="cs"/>
          <w:rtl/>
        </w:rPr>
        <w:t xml:space="preserve">התוס' </w:t>
      </w:r>
      <w:r>
        <w:rPr>
          <w:rFonts w:hint="cs"/>
          <w:rtl/>
        </w:rPr>
        <w:t>דהא דאמר רב הושעיא דהלכו לשיטתם, אין כוונתו לענין גיד.</w:t>
      </w:r>
      <w:bookmarkEnd w:id="22543"/>
    </w:p>
    <w:p w14:paraId="2ED4FA6D" w14:textId="77777777" w:rsidR="003D504D" w:rsidRPr="0066178F" w:rsidRDefault="003D504D" w:rsidP="003D504D">
      <w:pPr>
        <w:pStyle w:val="a3"/>
        <w:rPr>
          <w:rtl/>
        </w:rPr>
      </w:pPr>
      <w:bookmarkStart w:id="22544" w:name="_Toc3550854"/>
      <w:bookmarkStart w:id="22545" w:name="_Toc3551010"/>
      <w:bookmarkStart w:id="22546" w:name="_Toc19391819"/>
      <w:bookmarkStart w:id="22547" w:name="_Toc19395316"/>
      <w:r>
        <w:rPr>
          <w:rFonts w:hint="cs"/>
          <w:rtl/>
        </w:rPr>
        <w:t>קושית הגרעק"א דבגמ' לקמן מוכח דא"א לומר דבן ח' לר"מ ובן ט' לר"י אינם בהמה לענין חלב</w:t>
      </w:r>
      <w:bookmarkEnd w:id="22544"/>
      <w:bookmarkEnd w:id="22545"/>
      <w:bookmarkEnd w:id="22546"/>
      <w:bookmarkEnd w:id="22547"/>
    </w:p>
    <w:p w14:paraId="3B97E87C" w14:textId="77777777" w:rsidR="003D504D" w:rsidRDefault="003D504D" w:rsidP="00223668">
      <w:pPr>
        <w:pStyle w:val="a0"/>
        <w:rPr>
          <w:rtl/>
        </w:rPr>
      </w:pPr>
      <w:r>
        <w:rPr>
          <w:rFonts w:hint="cs"/>
          <w:rtl/>
        </w:rPr>
        <w:t xml:space="preserve">והקשה </w:t>
      </w:r>
      <w:r w:rsidRPr="006D0BAF">
        <w:rPr>
          <w:rStyle w:val="af9"/>
          <w:rFonts w:hint="cs"/>
          <w:rtl/>
        </w:rPr>
        <w:t>הגרעק"א לקמן</w:t>
      </w:r>
      <w:r>
        <w:rPr>
          <w:rFonts w:hint="cs"/>
          <w:rtl/>
        </w:rPr>
        <w:t xml:space="preserve"> </w:t>
      </w:r>
      <w:r w:rsidRPr="006D0BAF">
        <w:rPr>
          <w:rStyle w:val="af7"/>
          <w:rFonts w:eastAsia="Guttman Hodes" w:hint="cs"/>
          <w:rtl/>
        </w:rPr>
        <w:t>(צב: ד"ה אילימא</w:t>
      </w:r>
      <w:r w:rsidRPr="00D643DF">
        <w:rPr>
          <w:rStyle w:val="af7"/>
          <w:rFonts w:eastAsia="Guttman Hodes" w:hint="cs"/>
          <w:rtl/>
        </w:rPr>
        <w:t>)</w:t>
      </w:r>
      <w:r w:rsidRPr="00D643DF">
        <w:rPr>
          <w:rFonts w:hint="cs"/>
          <w:rtl/>
        </w:rPr>
        <w:t xml:space="preserve"> על שיטת </w:t>
      </w:r>
      <w:r w:rsidRPr="00D643DF">
        <w:rPr>
          <w:rStyle w:val="af9"/>
          <w:rFonts w:hint="cs"/>
          <w:rtl/>
        </w:rPr>
        <w:t>התוס'</w:t>
      </w:r>
      <w:r w:rsidRPr="00D643DF">
        <w:rPr>
          <w:rFonts w:hint="cs"/>
          <w:rtl/>
        </w:rPr>
        <w:t xml:space="preserve"> שהביאו </w:t>
      </w:r>
      <w:r w:rsidRPr="00D643DF">
        <w:rPr>
          <w:rStyle w:val="af9"/>
          <w:rFonts w:hint="cs"/>
          <w:rtl/>
        </w:rPr>
        <w:t>הרשב"א</w:t>
      </w:r>
      <w:r w:rsidRPr="00D643DF">
        <w:rPr>
          <w:rFonts w:hint="cs"/>
          <w:rtl/>
        </w:rPr>
        <w:t xml:space="preserve"> </w:t>
      </w:r>
      <w:r w:rsidRPr="00D643DF">
        <w:rPr>
          <w:rStyle w:val="af9"/>
          <w:rFonts w:hint="cs"/>
          <w:rtl/>
        </w:rPr>
        <w:t>והר"ן</w:t>
      </w:r>
      <w:r w:rsidRPr="00D643DF">
        <w:rPr>
          <w:rFonts w:hint="cs"/>
          <w:rtl/>
        </w:rPr>
        <w:t xml:space="preserve"> דלענין גיד לא דהלכו ר"מ ור"י לשיטתם בשחיטה ובחלב, דבשחיטה ובחלב נחלקו אי בן רק בן ח' לא נקרא שור, או דאף בן ט' לא נקרא שור</w:t>
      </w:r>
      <w:r>
        <w:rPr>
          <w:rFonts w:hint="cs"/>
          <w:rtl/>
        </w:rPr>
        <w:t xml:space="preserve">, דא"כ מה מקשה הגמ' לקמן </w:t>
      </w:r>
      <w:r w:rsidRPr="006D0BAF">
        <w:rPr>
          <w:rStyle w:val="af7"/>
          <w:rFonts w:eastAsia="Guttman Hodes" w:hint="cs"/>
          <w:rtl/>
        </w:rPr>
        <w:t>(צב:)</w:t>
      </w:r>
      <w:r>
        <w:rPr>
          <w:rFonts w:hint="cs"/>
          <w:rtl/>
        </w:rPr>
        <w:t xml:space="preserve"> על דברי שמואל דאמר דחלבו מותר, דא"א לומר דכוונתו לחלב דשליל דהא נחלקו בזה ר"מ ור"י, והרי אפש"ל דהכוונה לבן ח' לר"מ דהוא נחשב שליל לר"מ ואינו בהמה בפנ"ע, וחלבו מותר, ולבן ט' לר"י דהוא הנחשב שליל לר"י ואינו בהמה בפנ"ע, וחלבו מותר.</w:t>
      </w:r>
    </w:p>
    <w:p w14:paraId="4DBEC26D" w14:textId="77777777" w:rsidR="003D504D" w:rsidRDefault="003D504D" w:rsidP="00BF39B2">
      <w:pPr>
        <w:pStyle w:val="1"/>
        <w:rPr>
          <w:rtl/>
        </w:rPr>
      </w:pPr>
      <w:bookmarkStart w:id="22548" w:name="_Toc2866732"/>
      <w:bookmarkStart w:id="22549" w:name="_Toc3234500"/>
      <w:bookmarkStart w:id="22550" w:name="_Toc3287738"/>
      <w:bookmarkStart w:id="22551" w:name="_Toc3322253"/>
      <w:bookmarkStart w:id="22552" w:name="_Toc3480720"/>
      <w:bookmarkStart w:id="22553" w:name="_Toc3484995"/>
      <w:bookmarkStart w:id="22554" w:name="_Toc3535867"/>
      <w:bookmarkStart w:id="22555" w:name="_Toc3543156"/>
      <w:bookmarkStart w:id="22556" w:name="_Toc3550855"/>
      <w:bookmarkStart w:id="22557" w:name="_Toc3551011"/>
      <w:bookmarkStart w:id="22558" w:name="_Toc19391820"/>
      <w:bookmarkStart w:id="22559" w:name="_Toc19395317"/>
      <w:r w:rsidRPr="004C7220">
        <w:rPr>
          <w:rFonts w:hint="cs"/>
          <w:rtl/>
        </w:rPr>
        <w:t>דברי התוס' הרשב"א והתוס' הרא"ש בדין גידו לר"י ולריו"ח</w:t>
      </w:r>
      <w:bookmarkEnd w:id="22548"/>
      <w:bookmarkEnd w:id="22549"/>
      <w:bookmarkEnd w:id="22550"/>
      <w:bookmarkEnd w:id="22551"/>
      <w:bookmarkEnd w:id="22552"/>
      <w:bookmarkEnd w:id="22553"/>
      <w:bookmarkEnd w:id="22554"/>
      <w:bookmarkEnd w:id="22555"/>
      <w:bookmarkEnd w:id="22556"/>
      <w:bookmarkEnd w:id="22557"/>
      <w:bookmarkEnd w:id="22558"/>
      <w:bookmarkEnd w:id="22559"/>
    </w:p>
    <w:p w14:paraId="2A35A039" w14:textId="77777777" w:rsidR="003D504D" w:rsidRDefault="003D504D" w:rsidP="003D504D">
      <w:pPr>
        <w:pStyle w:val="a3"/>
        <w:rPr>
          <w:rtl/>
        </w:rPr>
      </w:pPr>
      <w:bookmarkStart w:id="22560" w:name="_Toc3550856"/>
      <w:bookmarkStart w:id="22561" w:name="_Toc3551012"/>
      <w:bookmarkStart w:id="22562" w:name="_Toc19391821"/>
      <w:bookmarkStart w:id="22563" w:name="_Toc19395318"/>
      <w:r>
        <w:rPr>
          <w:rFonts w:hint="cs"/>
          <w:rtl/>
        </w:rPr>
        <w:t>קושית התוס' דר"י מודה דבלא נשחטה האם גידו אסור כדמוכח מדברי ריו"ח</w:t>
      </w:r>
      <w:bookmarkEnd w:id="22560"/>
      <w:bookmarkEnd w:id="22561"/>
      <w:bookmarkEnd w:id="22562"/>
      <w:bookmarkEnd w:id="22563"/>
    </w:p>
    <w:p w14:paraId="66506F44" w14:textId="77777777" w:rsidR="003D504D" w:rsidRDefault="003D504D" w:rsidP="00223668">
      <w:pPr>
        <w:pStyle w:val="a0"/>
      </w:pPr>
      <w:bookmarkStart w:id="22564" w:name="_Ref3550960"/>
      <w:r>
        <w:rPr>
          <w:rFonts w:hint="cs"/>
          <w:rtl/>
        </w:rPr>
        <w:t xml:space="preserve">בהא דהעמידה הגמ' לקמן </w:t>
      </w:r>
      <w:r w:rsidRPr="00A719F8">
        <w:rPr>
          <w:rStyle w:val="af7"/>
          <w:rFonts w:eastAsia="Guttman Hodes" w:hint="cs"/>
          <w:rtl/>
        </w:rPr>
        <w:t>(פט:)</w:t>
      </w:r>
      <w:r>
        <w:rPr>
          <w:rFonts w:hint="cs"/>
          <w:rtl/>
        </w:rPr>
        <w:t xml:space="preserve"> את הרישא דמתני' שם דגיד הנשה חל במוקדשין איירי בשליל, ומקשה הגמ' דברישא דכיון דבסיפא נחלקו רבנן ור"מ אי גיד נוהג בשליל, א"כ משמע דברישא לא איירי בשליל, ותירצה הגמ' דהסיפא של המשנה מבארת את הרישא דנחלקו בזה רבנן ור"י, </w:t>
      </w:r>
      <w:r w:rsidRPr="0085514D">
        <w:rPr>
          <w:rFonts w:hint="cs"/>
          <w:rtl/>
        </w:rPr>
        <w:t xml:space="preserve">והקשו </w:t>
      </w:r>
      <w:r w:rsidRPr="00A719F8">
        <w:rPr>
          <w:rStyle w:val="af9"/>
          <w:rFonts w:hint="cs"/>
          <w:rtl/>
        </w:rPr>
        <w:t>התוס' לקמן</w:t>
      </w:r>
      <w:r>
        <w:rPr>
          <w:rFonts w:hint="cs"/>
          <w:rtl/>
        </w:rPr>
        <w:t xml:space="preserve"> </w:t>
      </w:r>
      <w:r w:rsidRPr="00A719F8">
        <w:rPr>
          <w:rStyle w:val="af7"/>
          <w:rFonts w:eastAsia="Guttman Hodes" w:hint="cs"/>
          <w:rtl/>
        </w:rPr>
        <w:t>(פט: ד"ה והא)</w:t>
      </w:r>
      <w:r>
        <w:rPr>
          <w:rFonts w:hint="cs"/>
          <w:rtl/>
        </w:rPr>
        <w:t xml:space="preserve"> דמה מקשה הגמ' הרי הסיפא איירי בשליל שנשחטה אמו, ולכן התיר ר"י, והרישא איירי בלא נשחטה אמו, ולכן גידו אסור, ועוד הקשו </w:t>
      </w:r>
      <w:r w:rsidRPr="00A02E42">
        <w:rPr>
          <w:rStyle w:val="af9"/>
          <w:rFonts w:hint="cs"/>
          <w:rtl/>
        </w:rPr>
        <w:t xml:space="preserve">התוס' </w:t>
      </w:r>
      <w:r w:rsidRPr="00A719F8">
        <w:rPr>
          <w:rStyle w:val="af9"/>
          <w:rFonts w:hint="cs"/>
          <w:rtl/>
        </w:rPr>
        <w:t>לקמן</w:t>
      </w:r>
      <w:r>
        <w:rPr>
          <w:rFonts w:hint="cs"/>
          <w:rtl/>
        </w:rPr>
        <w:t xml:space="preserve"> דמה תירצה הגמ' דהסיפא מבארת את הרישא דנחלקו ר"י ור"מ בדין שליל, הרי גם ר"י מודה דבלא נשחטה גידו אסור, </w:t>
      </w:r>
      <w:r w:rsidRPr="00ED082E">
        <w:rPr>
          <w:rFonts w:hint="cs"/>
          <w:rtl/>
        </w:rPr>
        <w:t xml:space="preserve">וכתבו </w:t>
      </w:r>
      <w:r w:rsidRPr="00A719F8">
        <w:rPr>
          <w:rStyle w:val="af9"/>
          <w:rFonts w:hint="cs"/>
          <w:rtl/>
        </w:rPr>
        <w:t>התוס' לקמן</w:t>
      </w:r>
      <w:r>
        <w:rPr>
          <w:rFonts w:hint="cs"/>
          <w:rtl/>
        </w:rPr>
        <w:t xml:space="preserve"> דכן מוכח מדברי ריו"ח בסוגיין דמחייב בחלב שנתלש מעובר במעי אמו, אעפ"י שאם נשחטה אמו, מודה ריו"ח דכולו מותר ואף חלבו וגידו מותרים מהיתר "כל בבהמה תאכלו", וכן הקשה </w:t>
      </w:r>
      <w:r w:rsidRPr="008012BE">
        <w:rPr>
          <w:rStyle w:val="af9"/>
          <w:rFonts w:hint="cs"/>
          <w:rtl/>
        </w:rPr>
        <w:t xml:space="preserve">הרשב"א </w:t>
      </w:r>
      <w:r>
        <w:rPr>
          <w:rStyle w:val="af9"/>
          <w:rFonts w:hint="cs"/>
          <w:rtl/>
        </w:rPr>
        <w:t xml:space="preserve">בחי' </w:t>
      </w:r>
      <w:r w:rsidRPr="008012BE">
        <w:rPr>
          <w:rStyle w:val="af9"/>
          <w:rFonts w:hint="cs"/>
          <w:rtl/>
        </w:rPr>
        <w:t>לקמן</w:t>
      </w:r>
      <w:r>
        <w:rPr>
          <w:rFonts w:hint="cs"/>
          <w:rtl/>
        </w:rPr>
        <w:t xml:space="preserve"> </w:t>
      </w:r>
      <w:r>
        <w:rPr>
          <w:rStyle w:val="af7"/>
          <w:rFonts w:eastAsiaTheme="minorHAnsi" w:hint="cs"/>
          <w:rtl/>
        </w:rPr>
        <w:t xml:space="preserve">(פט: ד"ה אלא שיש) </w:t>
      </w:r>
      <w:r>
        <w:rPr>
          <w:rStyle w:val="af9"/>
          <w:rFonts w:hint="cs"/>
          <w:rtl/>
        </w:rPr>
        <w:t xml:space="preserve">ובתוה"ב </w:t>
      </w:r>
      <w:r w:rsidRPr="00134302">
        <w:rPr>
          <w:rStyle w:val="af7"/>
          <w:rFonts w:eastAsia="Guttman Hodes" w:hint="cs"/>
          <w:rtl/>
        </w:rPr>
        <w:t>(ב"ב ש"ה דף נט</w:t>
      </w:r>
      <w:r>
        <w:rPr>
          <w:rStyle w:val="af7"/>
          <w:rFonts w:eastAsia="Guttman Hodes" w:hint="cs"/>
          <w:rtl/>
        </w:rPr>
        <w:t>:</w:t>
      </w:r>
      <w:r w:rsidRPr="00134302">
        <w:rPr>
          <w:rStyle w:val="af7"/>
          <w:rFonts w:eastAsia="Guttman Hodes" w:hint="cs"/>
          <w:rtl/>
        </w:rPr>
        <w:t xml:space="preserve"> מדה"ס)</w:t>
      </w:r>
      <w:r>
        <w:rPr>
          <w:rFonts w:hint="cs"/>
          <w:rtl/>
        </w:rPr>
        <w:t>, ועי' במ"ש</w:t>
      </w:r>
      <w:r>
        <w:rPr>
          <w:rtl/>
        </w:rPr>
        <w:t xml:space="preserve"> </w:t>
      </w:r>
      <w:r>
        <w:rPr>
          <w:rStyle w:val="af9"/>
          <w:rtl/>
        </w:rPr>
        <w:t xml:space="preserve">העונג יו"ט </w:t>
      </w:r>
      <w:r w:rsidRPr="00AE63FE">
        <w:rPr>
          <w:rStyle w:val="af7"/>
          <w:rFonts w:eastAsiaTheme="minorHAnsi" w:hint="cs"/>
          <w:rtl/>
        </w:rPr>
        <w:t>(סי' ס"ז</w:t>
      </w:r>
      <w:r>
        <w:rPr>
          <w:rFonts w:hint="cs"/>
          <w:rtl/>
        </w:rPr>
        <w:t xml:space="preserve"> </w:t>
      </w:r>
      <w:r w:rsidRPr="00AE63FE">
        <w:rPr>
          <w:rStyle w:val="af7"/>
          <w:rFonts w:eastAsia="Guttman Hodes" w:hint="cs"/>
          <w:rtl/>
        </w:rPr>
        <w:t xml:space="preserve">ד"ה </w:t>
      </w:r>
      <w:r w:rsidRPr="00AE63FE">
        <w:rPr>
          <w:rStyle w:val="af7"/>
          <w:rFonts w:eastAsia="Guttman Hodes"/>
          <w:rtl/>
        </w:rPr>
        <w:t>והיה מיושב</w:t>
      </w:r>
      <w:r w:rsidRPr="00AE63FE">
        <w:rPr>
          <w:rStyle w:val="af7"/>
          <w:rFonts w:eastAsiaTheme="minorHAnsi" w:hint="cs"/>
          <w:rtl/>
        </w:rPr>
        <w:t xml:space="preserve">) </w:t>
      </w:r>
      <w:r>
        <w:rPr>
          <w:rtl/>
        </w:rPr>
        <w:t>על</w:t>
      </w:r>
      <w:r>
        <w:rPr>
          <w:rFonts w:hint="cs"/>
          <w:rtl/>
        </w:rPr>
        <w:t xml:space="preserve"> דברי</w:t>
      </w:r>
      <w:r>
        <w:rPr>
          <w:rtl/>
        </w:rPr>
        <w:t xml:space="preserve"> </w:t>
      </w:r>
      <w:r>
        <w:rPr>
          <w:rStyle w:val="af9"/>
          <w:rtl/>
        </w:rPr>
        <w:t>התוס'</w:t>
      </w:r>
      <w:r>
        <w:rPr>
          <w:rFonts w:hint="cs"/>
          <w:rtl/>
        </w:rPr>
        <w:t>.</w:t>
      </w:r>
      <w:bookmarkEnd w:id="22564"/>
      <w:r w:rsidRPr="00AE63FE">
        <w:rPr>
          <w:rFonts w:hint="cs"/>
          <w:rtl/>
        </w:rPr>
        <w:t xml:space="preserve"> </w:t>
      </w:r>
    </w:p>
    <w:p w14:paraId="36C96543" w14:textId="77777777" w:rsidR="003D504D" w:rsidRDefault="003D504D" w:rsidP="003D504D">
      <w:pPr>
        <w:pStyle w:val="a3"/>
        <w:rPr>
          <w:rtl/>
        </w:rPr>
      </w:pPr>
      <w:bookmarkStart w:id="22565" w:name="_Toc3550857"/>
      <w:bookmarkStart w:id="22566" w:name="_Toc3551013"/>
      <w:bookmarkStart w:id="22567" w:name="_Toc19391822"/>
      <w:bookmarkStart w:id="22568" w:name="_Toc19395319"/>
      <w:r>
        <w:rPr>
          <w:rFonts w:hint="cs"/>
          <w:rtl/>
        </w:rPr>
        <w:t>תירוץ התוס' הרא"ש דאף לריו"ח איסור חלב הוא רק ביצא לאויר העולם ולא במעי אמו</w:t>
      </w:r>
      <w:bookmarkEnd w:id="22565"/>
      <w:bookmarkEnd w:id="22566"/>
      <w:bookmarkEnd w:id="22567"/>
      <w:bookmarkEnd w:id="22568"/>
    </w:p>
    <w:p w14:paraId="673E81D8" w14:textId="77777777" w:rsidR="003D504D" w:rsidRDefault="003D504D" w:rsidP="00223668">
      <w:pPr>
        <w:pStyle w:val="a0"/>
        <w:rPr>
          <w:rtl/>
        </w:rPr>
      </w:pPr>
      <w:bookmarkStart w:id="22569" w:name="_Ref3550962"/>
      <w:r>
        <w:rPr>
          <w:rFonts w:hint="cs"/>
          <w:rtl/>
        </w:rPr>
        <w:t xml:space="preserve">ותירץ </w:t>
      </w:r>
      <w:r w:rsidRPr="00A719F8">
        <w:rPr>
          <w:rStyle w:val="af9"/>
          <w:rFonts w:hint="cs"/>
          <w:rtl/>
        </w:rPr>
        <w:t>התוס' הרא"ש לקמן</w:t>
      </w:r>
      <w:r>
        <w:rPr>
          <w:rFonts w:hint="cs"/>
          <w:rtl/>
        </w:rPr>
        <w:t xml:space="preserve"> </w:t>
      </w:r>
      <w:r w:rsidRPr="00A719F8">
        <w:rPr>
          <w:rStyle w:val="af7"/>
          <w:rFonts w:eastAsia="Guttman Hodes" w:hint="cs"/>
          <w:rtl/>
        </w:rPr>
        <w:t>(פט: ד"ה מכלל)</w:t>
      </w:r>
      <w:r>
        <w:rPr>
          <w:rFonts w:hint="cs"/>
          <w:rtl/>
        </w:rPr>
        <w:t xml:space="preserve"> דהא דאמר ריו"ח דחדשים גרמי לאיסור חלב, היינו דוקא כשתלשו והוציאו לאויר העולם, וכדעת </w:t>
      </w:r>
      <w:r w:rsidRPr="00F50086">
        <w:rPr>
          <w:rStyle w:val="af9"/>
          <w:rFonts w:hint="cs"/>
          <w:rtl/>
        </w:rPr>
        <w:t>התוס'</w:t>
      </w:r>
      <w:r>
        <w:rPr>
          <w:rFonts w:hint="cs"/>
          <w:rtl/>
        </w:rPr>
        <w:t xml:space="preserve"> </w:t>
      </w:r>
      <w:r w:rsidRPr="00F50086">
        <w:rPr>
          <w:rStyle w:val="af7"/>
          <w:rFonts w:eastAsia="Guttman Hodes" w:hint="cs"/>
          <w:rtl/>
        </w:rPr>
        <w:t xml:space="preserve">(עי' אות </w:t>
      </w:r>
      <w:r w:rsidRPr="00F50086">
        <w:rPr>
          <w:rStyle w:val="af7"/>
          <w:rFonts w:eastAsia="Guttman Hodes"/>
          <w:rtl/>
        </w:rPr>
        <w:fldChar w:fldCharType="begin"/>
      </w:r>
      <w:r w:rsidRPr="00F50086">
        <w:rPr>
          <w:rStyle w:val="af7"/>
          <w:rFonts w:eastAsia="Guttman Hodes"/>
          <w:rtl/>
        </w:rPr>
        <w:instrText xml:space="preserve"> </w:instrText>
      </w:r>
      <w:r w:rsidRPr="00F50086">
        <w:rPr>
          <w:rStyle w:val="af7"/>
          <w:rFonts w:eastAsia="Guttman Hodes" w:hint="cs"/>
        </w:rPr>
        <w:instrText>REF</w:instrText>
      </w:r>
      <w:r w:rsidRPr="00F50086">
        <w:rPr>
          <w:rStyle w:val="af7"/>
          <w:rFonts w:eastAsia="Guttman Hodes" w:hint="cs"/>
          <w:rtl/>
        </w:rPr>
        <w:instrText xml:space="preserve"> _</w:instrText>
      </w:r>
      <w:r w:rsidRPr="00F50086">
        <w:rPr>
          <w:rStyle w:val="af7"/>
          <w:rFonts w:eastAsia="Guttman Hodes" w:hint="cs"/>
        </w:rPr>
        <w:instrText>Ref3319699 \r \h</w:instrText>
      </w:r>
      <w:r w:rsidRPr="00F50086">
        <w:rPr>
          <w:rStyle w:val="af7"/>
          <w:rFonts w:eastAsia="Guttman Hodes"/>
          <w:rtl/>
        </w:rPr>
        <w:instrText xml:space="preserve"> </w:instrText>
      </w:r>
      <w:r w:rsidRPr="00F50086">
        <w:rPr>
          <w:rStyle w:val="af7"/>
          <w:rFonts w:eastAsia="Guttman Hodes"/>
          <w:rtl/>
        </w:rPr>
      </w:r>
      <w:r w:rsidRPr="00F50086">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F50086">
        <w:rPr>
          <w:rStyle w:val="af7"/>
          <w:rFonts w:eastAsia="Guttman Hodes"/>
          <w:rtl/>
        </w:rPr>
        <w:fldChar w:fldCharType="end"/>
      </w:r>
      <w:r>
        <w:rPr>
          <w:rFonts w:hint="cs"/>
          <w:rtl/>
        </w:rPr>
        <w:t xml:space="preserve">, אבל במעי אמו אף לריו"ח לא חל על השליל שם חלב וגיד, ולר"ל ודאי דלא חל עליו דהא ס"ל דאוירא גרים, וכשיצא לאויר העולם חל האיסור, </w:t>
      </w:r>
      <w:r w:rsidRPr="003D6AB7">
        <w:rPr>
          <w:rStyle w:val="afb"/>
          <w:rFonts w:hint="cs"/>
          <w:rtl/>
        </w:rPr>
        <w:t>[</w:t>
      </w:r>
      <w:r>
        <w:rPr>
          <w:rStyle w:val="afb"/>
          <w:rFonts w:hint="cs"/>
          <w:rtl/>
        </w:rPr>
        <w:t xml:space="preserve">אמנם </w:t>
      </w:r>
      <w:r w:rsidRPr="003D6AB7">
        <w:rPr>
          <w:rStyle w:val="afb"/>
          <w:rFonts w:hint="cs"/>
          <w:rtl/>
        </w:rPr>
        <w:t xml:space="preserve">יעוי' בדברי </w:t>
      </w:r>
      <w:r w:rsidRPr="003D6AB7">
        <w:rPr>
          <w:rStyle w:val="affa"/>
          <w:rFonts w:hint="cs"/>
          <w:rtl/>
        </w:rPr>
        <w:t xml:space="preserve">הראש יוסף </w:t>
      </w:r>
      <w:r w:rsidRPr="003D6AB7">
        <w:rPr>
          <w:rStyle w:val="af7"/>
          <w:rFonts w:eastAsia="Guttman Hodes" w:hint="cs"/>
          <w:rtl/>
        </w:rPr>
        <w:t xml:space="preserve">(עי' אות </w:t>
      </w:r>
      <w:r w:rsidRPr="003D6AB7">
        <w:rPr>
          <w:rStyle w:val="af7"/>
          <w:rFonts w:eastAsia="Guttman Hodes"/>
          <w:rtl/>
        </w:rPr>
        <w:fldChar w:fldCharType="begin"/>
      </w:r>
      <w:r w:rsidRPr="003D6AB7">
        <w:rPr>
          <w:rStyle w:val="af7"/>
          <w:rFonts w:eastAsia="Guttman Hodes"/>
          <w:rtl/>
        </w:rPr>
        <w:instrText xml:space="preserve"> </w:instrText>
      </w:r>
      <w:r w:rsidRPr="003D6AB7">
        <w:rPr>
          <w:rStyle w:val="af7"/>
          <w:rFonts w:eastAsia="Guttman Hodes" w:hint="cs"/>
        </w:rPr>
        <w:instrText>REF</w:instrText>
      </w:r>
      <w:r w:rsidRPr="003D6AB7">
        <w:rPr>
          <w:rStyle w:val="af7"/>
          <w:rFonts w:eastAsia="Guttman Hodes" w:hint="cs"/>
          <w:rtl/>
        </w:rPr>
        <w:instrText xml:space="preserve"> _</w:instrText>
      </w:r>
      <w:r w:rsidRPr="003D6AB7">
        <w:rPr>
          <w:rStyle w:val="af7"/>
          <w:rFonts w:eastAsia="Guttman Hodes" w:hint="cs"/>
        </w:rPr>
        <w:instrText>Ref3367279 \r \h</w:instrText>
      </w:r>
      <w:r w:rsidRPr="003D6AB7">
        <w:rPr>
          <w:rStyle w:val="af7"/>
          <w:rFonts w:eastAsia="Guttman Hodes"/>
          <w:rtl/>
        </w:rPr>
        <w:instrText xml:space="preserve"> </w:instrText>
      </w:r>
      <w:r w:rsidRPr="003D6AB7">
        <w:rPr>
          <w:rStyle w:val="af7"/>
          <w:rFonts w:eastAsia="Guttman Hodes"/>
          <w:rtl/>
        </w:rPr>
      </w:r>
      <w:r w:rsidRPr="003D6AB7">
        <w:rPr>
          <w:rStyle w:val="af7"/>
          <w:rFonts w:eastAsia="Guttman Hodes"/>
          <w:rtl/>
        </w:rPr>
        <w:fldChar w:fldCharType="separate"/>
      </w:r>
      <w:r w:rsidR="00345400">
        <w:rPr>
          <w:rStyle w:val="af7"/>
          <w:rFonts w:eastAsia="Guttman Hodes"/>
          <w:cs/>
        </w:rPr>
        <w:t>‎</w:t>
      </w:r>
      <w:r w:rsidR="00345400">
        <w:rPr>
          <w:rStyle w:val="af7"/>
          <w:rFonts w:eastAsia="Guttman Hodes"/>
          <w:rtl/>
        </w:rPr>
        <w:t>סה)</w:t>
      </w:r>
      <w:r w:rsidRPr="003D6AB7">
        <w:rPr>
          <w:rStyle w:val="af7"/>
          <w:rFonts w:eastAsia="Guttman Hodes"/>
          <w:rtl/>
        </w:rPr>
        <w:fldChar w:fldCharType="end"/>
      </w:r>
      <w:r w:rsidRPr="003D6AB7">
        <w:rPr>
          <w:rStyle w:val="afb"/>
          <w:rFonts w:hint="cs"/>
          <w:rtl/>
        </w:rPr>
        <w:t xml:space="preserve"> דכתב </w:t>
      </w:r>
      <w:r w:rsidRPr="003D6AB7">
        <w:rPr>
          <w:rStyle w:val="affa"/>
          <w:rFonts w:hint="cs"/>
          <w:rtl/>
        </w:rPr>
        <w:t>דהרא"ש</w:t>
      </w:r>
      <w:r w:rsidRPr="003D6AB7">
        <w:rPr>
          <w:rStyle w:val="afb"/>
          <w:rFonts w:hint="cs"/>
          <w:rtl/>
        </w:rPr>
        <w:t xml:space="preserve"> פליג על סברת </w:t>
      </w:r>
      <w:r w:rsidRPr="003D6AB7">
        <w:rPr>
          <w:rStyle w:val="affa"/>
          <w:rFonts w:hint="cs"/>
          <w:rtl/>
        </w:rPr>
        <w:t>התוס'</w:t>
      </w:r>
      <w:r w:rsidRPr="003D6AB7">
        <w:rPr>
          <w:rStyle w:val="afb"/>
          <w:rFonts w:hint="cs"/>
          <w:rtl/>
        </w:rPr>
        <w:t>],</w:t>
      </w:r>
      <w:r>
        <w:rPr>
          <w:rFonts w:hint="cs"/>
          <w:rtl/>
        </w:rPr>
        <w:t xml:space="preserve"> והקשו </w:t>
      </w:r>
      <w:r w:rsidRPr="00C8329F">
        <w:rPr>
          <w:rStyle w:val="af9"/>
          <w:rFonts w:hint="cs"/>
          <w:rtl/>
        </w:rPr>
        <w:t>הגרעק"א</w:t>
      </w:r>
      <w:r>
        <w:rPr>
          <w:rFonts w:hint="cs"/>
          <w:rtl/>
        </w:rPr>
        <w:t xml:space="preserve"> </w:t>
      </w:r>
      <w:r w:rsidRPr="004F1EB2">
        <w:rPr>
          <w:rStyle w:val="af7"/>
          <w:rFonts w:eastAsia="Guttman Hodes" w:hint="cs"/>
          <w:rtl/>
        </w:rPr>
        <w:t>(פט: על תוד"ה והא)</w:t>
      </w:r>
      <w:r>
        <w:rPr>
          <w:rFonts w:hint="cs"/>
          <w:rtl/>
        </w:rPr>
        <w:t xml:space="preserve"> </w:t>
      </w:r>
      <w:r w:rsidRPr="004F1EB2">
        <w:rPr>
          <w:rStyle w:val="af9"/>
          <w:rFonts w:hint="cs"/>
          <w:rtl/>
        </w:rPr>
        <w:t>והרש"ש</w:t>
      </w:r>
      <w:r>
        <w:rPr>
          <w:rFonts w:hint="cs"/>
          <w:rtl/>
        </w:rPr>
        <w:t xml:space="preserve"> </w:t>
      </w:r>
      <w:r w:rsidRPr="004F1EB2">
        <w:rPr>
          <w:rStyle w:val="af7"/>
          <w:rFonts w:eastAsia="Guttman Hodes" w:hint="cs"/>
          <w:rtl/>
        </w:rPr>
        <w:t>(פט: על תוד"ה והא)</w:t>
      </w:r>
      <w:r>
        <w:rPr>
          <w:rFonts w:hint="cs"/>
          <w:rtl/>
        </w:rPr>
        <w:t xml:space="preserve"> אמאי </w:t>
      </w:r>
      <w:r w:rsidRPr="004F1EB2">
        <w:rPr>
          <w:rStyle w:val="af9"/>
          <w:rFonts w:hint="cs"/>
          <w:rtl/>
        </w:rPr>
        <w:t>התוס'</w:t>
      </w:r>
      <w:r>
        <w:rPr>
          <w:rStyle w:val="af9"/>
          <w:rFonts w:hint="cs"/>
          <w:rtl/>
        </w:rPr>
        <w:t xml:space="preserve"> לקמן </w:t>
      </w:r>
      <w:r w:rsidRPr="00A719F8">
        <w:rPr>
          <w:rStyle w:val="af7"/>
          <w:rFonts w:eastAsia="Guttman Hodes" w:hint="cs"/>
          <w:rtl/>
        </w:rPr>
        <w:t>(פט: ד"ה והא)</w:t>
      </w:r>
      <w:r>
        <w:rPr>
          <w:rFonts w:hint="cs"/>
          <w:rtl/>
        </w:rPr>
        <w:t xml:space="preserve"> לא תירצו כן.</w:t>
      </w:r>
      <w:bookmarkEnd w:id="22569"/>
    </w:p>
    <w:p w14:paraId="640838BF" w14:textId="77777777" w:rsidR="007D3AFB" w:rsidRPr="007D3AFB" w:rsidRDefault="007D3AFB" w:rsidP="007D3AFB">
      <w:pPr>
        <w:pStyle w:val="a3"/>
        <w:rPr>
          <w:rtl/>
        </w:rPr>
      </w:pPr>
    </w:p>
    <w:p w14:paraId="2A75EC34" w14:textId="77777777" w:rsidR="007D3AFB" w:rsidRPr="007D3AFB" w:rsidRDefault="007D3AFB" w:rsidP="007D3AFB">
      <w:pPr>
        <w:pStyle w:val="a3"/>
        <w:rPr>
          <w:rtl/>
        </w:rPr>
      </w:pPr>
    </w:p>
    <w:p w14:paraId="08F34130" w14:textId="77777777" w:rsidR="003D504D" w:rsidRPr="00C31AC6" w:rsidRDefault="003D504D" w:rsidP="003D504D">
      <w:pPr>
        <w:pStyle w:val="a3"/>
      </w:pPr>
      <w:bookmarkStart w:id="22570" w:name="_Toc3550858"/>
      <w:bookmarkStart w:id="22571" w:name="_Toc3551014"/>
      <w:bookmarkStart w:id="22572" w:name="_Toc19391823"/>
      <w:bookmarkStart w:id="22573" w:name="_Toc19395320"/>
      <w:r>
        <w:rPr>
          <w:rFonts w:hint="cs"/>
          <w:rtl/>
        </w:rPr>
        <w:t>תירוץ חי' רמ"ש דבגיד שחל איסור אין כח בשחיטה להתירו ובחלב לא חל איסור דלא יצא לאויר</w:t>
      </w:r>
      <w:bookmarkEnd w:id="22570"/>
      <w:bookmarkEnd w:id="22571"/>
      <w:bookmarkEnd w:id="22572"/>
      <w:bookmarkEnd w:id="22573"/>
    </w:p>
    <w:p w14:paraId="77188E0C" w14:textId="77777777" w:rsidR="003D504D" w:rsidRDefault="003D504D" w:rsidP="00223668">
      <w:pPr>
        <w:pStyle w:val="a0"/>
        <w:rPr>
          <w:rtl/>
        </w:rPr>
      </w:pPr>
      <w:r w:rsidRPr="003D6AB7">
        <w:rPr>
          <w:rStyle w:val="af9"/>
          <w:rFonts w:hint="cs"/>
          <w:rtl/>
        </w:rPr>
        <w:t xml:space="preserve">ובחי' רמ"ש לקמן </w:t>
      </w:r>
      <w:r w:rsidRPr="00D21535">
        <w:rPr>
          <w:rStyle w:val="af7"/>
          <w:rFonts w:eastAsia="Guttman Hodes" w:hint="cs"/>
          <w:rtl/>
        </w:rPr>
        <w:t xml:space="preserve">(פט: ד"ה והא) </w:t>
      </w:r>
      <w:r>
        <w:rPr>
          <w:rFonts w:hint="cs"/>
          <w:rtl/>
        </w:rPr>
        <w:t xml:space="preserve">תירץ דאין כח בשחיטת האם להתיר איסורים, אלא דבחלב לא חל איסור כ"ז שהוא במעי אמו ולא יצא לאויר העולם, כדעת </w:t>
      </w:r>
      <w:r w:rsidRPr="00F50086">
        <w:rPr>
          <w:rStyle w:val="af9"/>
          <w:rFonts w:hint="cs"/>
          <w:rtl/>
        </w:rPr>
        <w:t>התוס'</w:t>
      </w:r>
      <w:r>
        <w:rPr>
          <w:rFonts w:hint="cs"/>
          <w:rtl/>
        </w:rPr>
        <w:t xml:space="preserve"> </w:t>
      </w:r>
      <w:r w:rsidRPr="00F50086">
        <w:rPr>
          <w:rStyle w:val="af7"/>
          <w:rFonts w:eastAsia="Guttman Hodes" w:hint="cs"/>
          <w:rtl/>
        </w:rPr>
        <w:t xml:space="preserve">(עי' אות </w:t>
      </w:r>
      <w:r w:rsidRPr="00F50086">
        <w:rPr>
          <w:rStyle w:val="af7"/>
          <w:rFonts w:eastAsia="Guttman Hodes"/>
          <w:rtl/>
        </w:rPr>
        <w:fldChar w:fldCharType="begin"/>
      </w:r>
      <w:r w:rsidRPr="00F50086">
        <w:rPr>
          <w:rStyle w:val="af7"/>
          <w:rFonts w:eastAsia="Guttman Hodes"/>
          <w:rtl/>
        </w:rPr>
        <w:instrText xml:space="preserve"> </w:instrText>
      </w:r>
      <w:r w:rsidRPr="00F50086">
        <w:rPr>
          <w:rStyle w:val="af7"/>
          <w:rFonts w:eastAsia="Guttman Hodes" w:hint="cs"/>
        </w:rPr>
        <w:instrText>REF</w:instrText>
      </w:r>
      <w:r w:rsidRPr="00F50086">
        <w:rPr>
          <w:rStyle w:val="af7"/>
          <w:rFonts w:eastAsia="Guttman Hodes" w:hint="cs"/>
          <w:rtl/>
        </w:rPr>
        <w:instrText xml:space="preserve"> _</w:instrText>
      </w:r>
      <w:r w:rsidRPr="00F50086">
        <w:rPr>
          <w:rStyle w:val="af7"/>
          <w:rFonts w:eastAsia="Guttman Hodes" w:hint="cs"/>
        </w:rPr>
        <w:instrText>Ref3319699 \r \h</w:instrText>
      </w:r>
      <w:r w:rsidRPr="00F50086">
        <w:rPr>
          <w:rStyle w:val="af7"/>
          <w:rFonts w:eastAsia="Guttman Hodes"/>
          <w:rtl/>
        </w:rPr>
        <w:instrText xml:space="preserve"> </w:instrText>
      </w:r>
      <w:r w:rsidRPr="00F50086">
        <w:rPr>
          <w:rStyle w:val="af7"/>
          <w:rFonts w:eastAsia="Guttman Hodes"/>
          <w:rtl/>
        </w:rPr>
      </w:r>
      <w:r w:rsidRPr="00F50086">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F50086">
        <w:rPr>
          <w:rStyle w:val="af7"/>
          <w:rFonts w:eastAsia="Guttman Hodes"/>
          <w:rtl/>
        </w:rPr>
        <w:fldChar w:fldCharType="end"/>
      </w:r>
      <w:r>
        <w:rPr>
          <w:rFonts w:hint="cs"/>
          <w:rtl/>
        </w:rPr>
        <w:t>, אבל בגיד כיון שנאסר משעת יצירתו, לא שייך להתירו בשחיטה.</w:t>
      </w:r>
    </w:p>
    <w:p w14:paraId="040E6ABC" w14:textId="77777777" w:rsidR="003D504D" w:rsidRDefault="003D504D" w:rsidP="003D504D">
      <w:pPr>
        <w:pStyle w:val="a3"/>
        <w:rPr>
          <w:rtl/>
        </w:rPr>
      </w:pPr>
      <w:bookmarkStart w:id="22574" w:name="_Toc3550859"/>
      <w:bookmarkStart w:id="22575" w:name="_Toc3551015"/>
      <w:bookmarkStart w:id="22576" w:name="_Toc19391824"/>
      <w:bookmarkStart w:id="22577" w:name="_Toc19395321"/>
      <w:r>
        <w:rPr>
          <w:rFonts w:hint="cs"/>
          <w:rtl/>
        </w:rPr>
        <w:t>דברי הרשב"א דלתירוצו דהגמ' בדין גיד לא קיימא להלכה מיושב</w:t>
      </w:r>
      <w:bookmarkEnd w:id="22574"/>
      <w:bookmarkEnd w:id="22575"/>
      <w:bookmarkEnd w:id="22576"/>
      <w:bookmarkEnd w:id="22577"/>
    </w:p>
    <w:p w14:paraId="382151E3" w14:textId="77777777" w:rsidR="003D504D" w:rsidRDefault="003D504D" w:rsidP="00223668">
      <w:pPr>
        <w:pStyle w:val="a0"/>
        <w:rPr>
          <w:rtl/>
        </w:rPr>
      </w:pPr>
      <w:bookmarkStart w:id="22578" w:name="_Ref3367055"/>
      <w:r>
        <w:rPr>
          <w:rFonts w:hint="cs"/>
          <w:rtl/>
        </w:rPr>
        <w:t xml:space="preserve">וכתב </w:t>
      </w:r>
      <w:r w:rsidRPr="00F9718D">
        <w:rPr>
          <w:rStyle w:val="af9"/>
          <w:rFonts w:hint="cs"/>
          <w:rtl/>
        </w:rPr>
        <w:t xml:space="preserve">הרשב"א </w:t>
      </w:r>
      <w:r>
        <w:rPr>
          <w:rStyle w:val="af9"/>
          <w:rFonts w:hint="cs"/>
          <w:rtl/>
        </w:rPr>
        <w:t xml:space="preserve">בחי' </w:t>
      </w:r>
      <w:r w:rsidRPr="008012BE">
        <w:rPr>
          <w:rStyle w:val="af9"/>
          <w:rFonts w:hint="cs"/>
          <w:rtl/>
        </w:rPr>
        <w:t>לקמן</w:t>
      </w:r>
      <w:r w:rsidRPr="00F9718D">
        <w:rPr>
          <w:rStyle w:val="af9"/>
          <w:rFonts w:hint="cs"/>
          <w:rtl/>
        </w:rPr>
        <w:t xml:space="preserve"> </w:t>
      </w:r>
      <w:r w:rsidRPr="00A719F8">
        <w:rPr>
          <w:rStyle w:val="af7"/>
          <w:rFonts w:eastAsia="Guttman Hodes" w:hint="cs"/>
          <w:rtl/>
        </w:rPr>
        <w:t>(פט: ד"ה מכלל)</w:t>
      </w:r>
      <w:r>
        <w:rPr>
          <w:rFonts w:hint="cs"/>
          <w:rtl/>
        </w:rPr>
        <w:t xml:space="preserve"> דלפי תירוצו הראשון דכתב </w:t>
      </w:r>
      <w:r w:rsidRPr="00F9718D">
        <w:rPr>
          <w:rStyle w:val="af9"/>
          <w:rFonts w:hint="cs"/>
          <w:rtl/>
        </w:rPr>
        <w:t xml:space="preserve">הרשב"א לקמן </w:t>
      </w:r>
      <w:r w:rsidRPr="00853E6C">
        <w:rPr>
          <w:rStyle w:val="af7"/>
          <w:rFonts w:eastAsia="Guttman Hodes" w:hint="cs"/>
          <w:rtl/>
        </w:rPr>
        <w:t xml:space="preserve">(עי' אות </w:t>
      </w:r>
      <w:r w:rsidRPr="00853E6C">
        <w:rPr>
          <w:rStyle w:val="af7"/>
          <w:rFonts w:eastAsia="Guttman Hodes"/>
          <w:rtl/>
        </w:rPr>
        <w:fldChar w:fldCharType="begin"/>
      </w:r>
      <w:r w:rsidRPr="00853E6C">
        <w:rPr>
          <w:rStyle w:val="af7"/>
          <w:rFonts w:eastAsia="Guttman Hodes"/>
          <w:rtl/>
        </w:rPr>
        <w:instrText xml:space="preserve"> </w:instrText>
      </w:r>
      <w:r w:rsidRPr="00853E6C">
        <w:rPr>
          <w:rStyle w:val="af7"/>
          <w:rFonts w:eastAsia="Guttman Hodes" w:hint="cs"/>
        </w:rPr>
        <w:instrText>REF</w:instrText>
      </w:r>
      <w:r w:rsidRPr="00853E6C">
        <w:rPr>
          <w:rStyle w:val="af7"/>
          <w:rFonts w:eastAsia="Guttman Hodes" w:hint="cs"/>
          <w:rtl/>
        </w:rPr>
        <w:instrText xml:space="preserve"> _</w:instrText>
      </w:r>
      <w:r w:rsidRPr="00853E6C">
        <w:rPr>
          <w:rStyle w:val="af7"/>
          <w:rFonts w:eastAsia="Guttman Hodes" w:hint="cs"/>
        </w:rPr>
        <w:instrText>Ref3146218 \r \h</w:instrText>
      </w:r>
      <w:r w:rsidRPr="00853E6C">
        <w:rPr>
          <w:rStyle w:val="af7"/>
          <w:rFonts w:eastAsia="Guttman Hodes"/>
          <w:rtl/>
        </w:rPr>
        <w:instrText xml:space="preserve"> </w:instrText>
      </w:r>
      <w:r w:rsidRPr="00853E6C">
        <w:rPr>
          <w:rStyle w:val="af7"/>
          <w:rFonts w:eastAsia="Guttman Hodes"/>
          <w:rtl/>
        </w:rPr>
      </w:r>
      <w:r w:rsidRPr="00853E6C">
        <w:rPr>
          <w:rStyle w:val="af7"/>
          <w:rFonts w:eastAsia="Guttman Hodes"/>
          <w:rtl/>
        </w:rPr>
        <w:fldChar w:fldCharType="separate"/>
      </w:r>
      <w:r w:rsidR="00345400">
        <w:rPr>
          <w:rStyle w:val="af7"/>
          <w:rFonts w:eastAsia="Guttman Hodes"/>
          <w:cs/>
        </w:rPr>
        <w:t>‎</w:t>
      </w:r>
      <w:r w:rsidR="00345400">
        <w:rPr>
          <w:rStyle w:val="af7"/>
          <w:rFonts w:eastAsia="Guttman Hodes"/>
          <w:rtl/>
        </w:rPr>
        <w:t>טז)</w:t>
      </w:r>
      <w:r w:rsidRPr="00853E6C">
        <w:rPr>
          <w:rStyle w:val="af7"/>
          <w:rFonts w:eastAsia="Guttman Hodes"/>
          <w:rtl/>
        </w:rPr>
        <w:fldChar w:fldCharType="end"/>
      </w:r>
      <w:r>
        <w:rPr>
          <w:rFonts w:hint="cs"/>
          <w:rtl/>
        </w:rPr>
        <w:t xml:space="preserve"> דהגמ' שם פליגא על רב הושעיא א"כ אי"ז אליבא דהלכתא, ולכן לא האריכה הגמ' בזה, ועי' במ"ש </w:t>
      </w:r>
      <w:r w:rsidRPr="004D71F8">
        <w:rPr>
          <w:rStyle w:val="af9"/>
          <w:rFonts w:hint="cs"/>
          <w:rtl/>
        </w:rPr>
        <w:t>הראש יוסף לקמן</w:t>
      </w:r>
      <w:r>
        <w:rPr>
          <w:rFonts w:hint="cs"/>
          <w:rtl/>
        </w:rPr>
        <w:t xml:space="preserve"> </w:t>
      </w:r>
      <w:r w:rsidRPr="003B7D19">
        <w:rPr>
          <w:rStyle w:val="af7"/>
          <w:rFonts w:eastAsia="Guttman Hodes" w:hint="cs"/>
          <w:rtl/>
        </w:rPr>
        <w:t>(פט. ד"</w:t>
      </w:r>
      <w:r w:rsidRPr="00074B8B">
        <w:rPr>
          <w:rStyle w:val="af7"/>
          <w:rFonts w:eastAsia="Guttman Hodes" w:hint="cs"/>
          <w:rtl/>
        </w:rPr>
        <w:t>ה עוד כתב הרשב"א)</w:t>
      </w:r>
      <w:r>
        <w:rPr>
          <w:rFonts w:hint="cs"/>
          <w:rtl/>
        </w:rPr>
        <w:t xml:space="preserve"> בביאור דברי </w:t>
      </w:r>
      <w:r w:rsidRPr="002F7E18">
        <w:rPr>
          <w:rStyle w:val="af9"/>
          <w:rFonts w:hint="cs"/>
          <w:rtl/>
        </w:rPr>
        <w:t>הרשב"א</w:t>
      </w:r>
      <w:r>
        <w:rPr>
          <w:rFonts w:hint="cs"/>
          <w:rtl/>
        </w:rPr>
        <w:t>.</w:t>
      </w:r>
      <w:bookmarkEnd w:id="22578"/>
    </w:p>
    <w:p w14:paraId="714F5604" w14:textId="77777777" w:rsidR="003D504D" w:rsidRPr="00B7667D" w:rsidRDefault="003D504D" w:rsidP="003D504D">
      <w:pPr>
        <w:pStyle w:val="a3"/>
      </w:pPr>
      <w:bookmarkStart w:id="22579" w:name="_Toc3550860"/>
      <w:bookmarkStart w:id="22580" w:name="_Toc3551016"/>
      <w:bookmarkStart w:id="22581" w:name="_Toc19391825"/>
      <w:bookmarkStart w:id="22582" w:name="_Toc19395322"/>
      <w:r>
        <w:rPr>
          <w:rFonts w:hint="cs"/>
          <w:rtl/>
        </w:rPr>
        <w:t>תירוץ הרשב"א לפי דבריו בשם תוס' דאיסור גיד לא חל משעת יצירה דהא יש לו היתר בשחיטה</w:t>
      </w:r>
      <w:bookmarkEnd w:id="22579"/>
      <w:bookmarkEnd w:id="22580"/>
      <w:bookmarkEnd w:id="22581"/>
      <w:bookmarkEnd w:id="22582"/>
    </w:p>
    <w:p w14:paraId="0BA3CE85" w14:textId="77777777" w:rsidR="003D504D" w:rsidRDefault="003D504D" w:rsidP="00223668">
      <w:pPr>
        <w:pStyle w:val="a0"/>
        <w:rPr>
          <w:rtl/>
        </w:rPr>
      </w:pPr>
      <w:bookmarkStart w:id="22583" w:name="_Ref3367115"/>
      <w:bookmarkStart w:id="22584" w:name="_Ref2930209"/>
      <w:r>
        <w:rPr>
          <w:rFonts w:hint="cs"/>
          <w:rtl/>
        </w:rPr>
        <w:t xml:space="preserve">והביא </w:t>
      </w:r>
      <w:r w:rsidRPr="008012BE">
        <w:rPr>
          <w:rStyle w:val="af9"/>
          <w:rFonts w:hint="cs"/>
          <w:rtl/>
        </w:rPr>
        <w:t xml:space="preserve">הרשב"א </w:t>
      </w:r>
      <w:r>
        <w:rPr>
          <w:rStyle w:val="af9"/>
          <w:rFonts w:hint="cs"/>
          <w:rtl/>
        </w:rPr>
        <w:t xml:space="preserve">בחי' </w:t>
      </w:r>
      <w:r w:rsidRPr="008012BE">
        <w:rPr>
          <w:rStyle w:val="af9"/>
          <w:rFonts w:hint="cs"/>
          <w:rtl/>
        </w:rPr>
        <w:t>לקמן</w:t>
      </w:r>
      <w:r>
        <w:rPr>
          <w:rFonts w:hint="cs"/>
          <w:rtl/>
        </w:rPr>
        <w:t xml:space="preserve"> </w:t>
      </w:r>
      <w:r>
        <w:rPr>
          <w:rStyle w:val="af7"/>
          <w:rFonts w:eastAsiaTheme="minorHAnsi" w:hint="cs"/>
          <w:rtl/>
        </w:rPr>
        <w:t xml:space="preserve">(פט: ד"ה אלא שיש) </w:t>
      </w:r>
      <w:r>
        <w:rPr>
          <w:rStyle w:val="af9"/>
          <w:rFonts w:hint="cs"/>
          <w:rtl/>
        </w:rPr>
        <w:t xml:space="preserve">ובתוה"ב </w:t>
      </w:r>
      <w:r w:rsidRPr="00134302">
        <w:rPr>
          <w:rStyle w:val="af7"/>
          <w:rFonts w:eastAsia="Guttman Hodes" w:hint="cs"/>
          <w:rtl/>
        </w:rPr>
        <w:t>(ב"ב ש"ה דף נט</w:t>
      </w:r>
      <w:r>
        <w:rPr>
          <w:rStyle w:val="af7"/>
          <w:rFonts w:eastAsia="Guttman Hodes" w:hint="cs"/>
          <w:rtl/>
        </w:rPr>
        <w:t>:</w:t>
      </w:r>
      <w:r w:rsidRPr="00134302">
        <w:rPr>
          <w:rStyle w:val="af7"/>
          <w:rFonts w:eastAsia="Guttman Hodes" w:hint="cs"/>
          <w:rtl/>
        </w:rPr>
        <w:t xml:space="preserve"> מדה"ס)</w:t>
      </w:r>
      <w:r>
        <w:rPr>
          <w:rFonts w:hint="cs"/>
          <w:rtl/>
        </w:rPr>
        <w:t xml:space="preserve"> את מה שביאר</w:t>
      </w:r>
      <w:r w:rsidRPr="00F9718D">
        <w:rPr>
          <w:rStyle w:val="af9"/>
          <w:rFonts w:hint="cs"/>
          <w:rtl/>
        </w:rPr>
        <w:t xml:space="preserve"> </w:t>
      </w:r>
      <w:r>
        <w:rPr>
          <w:rFonts w:hint="cs"/>
          <w:rtl/>
        </w:rPr>
        <w:t xml:space="preserve">בשם </w:t>
      </w:r>
      <w:r w:rsidRPr="00F9718D">
        <w:rPr>
          <w:rStyle w:val="af9"/>
          <w:rFonts w:hint="cs"/>
          <w:rtl/>
        </w:rPr>
        <w:t>התוס'</w:t>
      </w:r>
      <w:r>
        <w:rPr>
          <w:rFonts w:hint="cs"/>
          <w:rtl/>
        </w:rPr>
        <w:t xml:space="preserve"> </w:t>
      </w:r>
      <w:r w:rsidRPr="00224221">
        <w:rPr>
          <w:rStyle w:val="af7"/>
          <w:rFonts w:eastAsia="Guttman Hodes" w:hint="cs"/>
          <w:rtl/>
        </w:rPr>
        <w:t xml:space="preserve">(עי' אות </w:t>
      </w:r>
      <w:r w:rsidRPr="00224221">
        <w:rPr>
          <w:rStyle w:val="af7"/>
          <w:rFonts w:eastAsia="Guttman Hodes"/>
          <w:rtl/>
        </w:rPr>
        <w:fldChar w:fldCharType="begin"/>
      </w:r>
      <w:r w:rsidRPr="00224221">
        <w:rPr>
          <w:rStyle w:val="af7"/>
          <w:rFonts w:eastAsia="Guttman Hodes"/>
          <w:rtl/>
        </w:rPr>
        <w:instrText xml:space="preserve"> </w:instrText>
      </w:r>
      <w:r w:rsidRPr="00224221">
        <w:rPr>
          <w:rStyle w:val="af7"/>
          <w:rFonts w:eastAsia="Guttman Hodes" w:hint="cs"/>
        </w:rPr>
        <w:instrText>REF</w:instrText>
      </w:r>
      <w:r w:rsidRPr="00224221">
        <w:rPr>
          <w:rStyle w:val="af7"/>
          <w:rFonts w:eastAsia="Guttman Hodes" w:hint="cs"/>
          <w:rtl/>
        </w:rPr>
        <w:instrText xml:space="preserve"> _</w:instrText>
      </w:r>
      <w:r w:rsidRPr="00224221">
        <w:rPr>
          <w:rStyle w:val="af7"/>
          <w:rFonts w:eastAsia="Guttman Hodes" w:hint="cs"/>
        </w:rPr>
        <w:instrText>Ref3146317 \r \h</w:instrText>
      </w:r>
      <w:r w:rsidRPr="00224221">
        <w:rPr>
          <w:rStyle w:val="af7"/>
          <w:rFonts w:eastAsia="Guttman Hodes"/>
          <w:rtl/>
        </w:rPr>
        <w:instrText xml:space="preserve"> </w:instrText>
      </w:r>
      <w:r w:rsidRPr="00224221">
        <w:rPr>
          <w:rStyle w:val="af7"/>
          <w:rFonts w:eastAsia="Guttman Hodes"/>
          <w:rtl/>
        </w:rPr>
      </w:r>
      <w:r w:rsidRPr="00224221">
        <w:rPr>
          <w:rStyle w:val="af7"/>
          <w:rFonts w:eastAsia="Guttman Hodes"/>
          <w:rtl/>
        </w:rPr>
        <w:fldChar w:fldCharType="separate"/>
      </w:r>
      <w:r w:rsidR="00345400">
        <w:rPr>
          <w:rStyle w:val="af7"/>
          <w:rFonts w:eastAsia="Guttman Hodes"/>
          <w:cs/>
        </w:rPr>
        <w:t>‎</w:t>
      </w:r>
      <w:r w:rsidR="00345400">
        <w:rPr>
          <w:rStyle w:val="af7"/>
          <w:rFonts w:eastAsia="Guttman Hodes"/>
          <w:rtl/>
        </w:rPr>
        <w:t>כה)</w:t>
      </w:r>
      <w:r w:rsidRPr="00224221">
        <w:rPr>
          <w:rStyle w:val="af7"/>
          <w:rFonts w:eastAsia="Guttman Hodes"/>
          <w:rtl/>
        </w:rPr>
        <w:fldChar w:fldCharType="end"/>
      </w:r>
      <w:r>
        <w:rPr>
          <w:rFonts w:hint="cs"/>
          <w:rtl/>
        </w:rPr>
        <w:t xml:space="preserve"> דמודה ר"י דבתלש גיד והוציא לחוץ לוקה, ובנשחטה אמו מותר הגיד מהיתר "כל בבהמה תאכלו", וכתב </w:t>
      </w:r>
      <w:r w:rsidRPr="00C95C56">
        <w:rPr>
          <w:rStyle w:val="af9"/>
          <w:rFonts w:hint="cs"/>
          <w:rtl/>
        </w:rPr>
        <w:t>הרשב"א</w:t>
      </w:r>
      <w:r>
        <w:rPr>
          <w:rFonts w:hint="cs"/>
          <w:rtl/>
        </w:rPr>
        <w:t xml:space="preserve"> דלפי"ז ג"כ כתב לתרץ דלא חשיב שחל האיסור גיד בשעת יצירתו, דהא יתכן שתשחט אמו, ויהיה הגיד מותר באכילה, לכן אמרינן דאיסור גיד חל רק בשעת לידתו, או בשעה שיציאוהו לאויר העולם, אם יושיט ידו ויתלוש את הגיד בחיי האם.</w:t>
      </w:r>
      <w:bookmarkEnd w:id="22583"/>
    </w:p>
    <w:p w14:paraId="2636698F" w14:textId="77777777" w:rsidR="003D504D" w:rsidRPr="00325742" w:rsidRDefault="003D504D" w:rsidP="003D504D">
      <w:pPr>
        <w:pStyle w:val="a3"/>
      </w:pPr>
      <w:bookmarkStart w:id="22585" w:name="_Toc3550861"/>
      <w:bookmarkStart w:id="22586" w:name="_Toc3551017"/>
      <w:bookmarkStart w:id="22587" w:name="_Toc19391826"/>
      <w:bookmarkStart w:id="22588" w:name="_Toc19395323"/>
      <w:r>
        <w:rPr>
          <w:rFonts w:hint="cs"/>
          <w:rtl/>
        </w:rPr>
        <w:t>הוכחת הרשב"א מדברי ריו"ח דאיסור חלב רק כשיצא לאויר דהוא תלוי ועומד שמא תשחט האם</w:t>
      </w:r>
      <w:bookmarkEnd w:id="22585"/>
      <w:bookmarkEnd w:id="22586"/>
      <w:bookmarkEnd w:id="22587"/>
      <w:bookmarkEnd w:id="22588"/>
    </w:p>
    <w:p w14:paraId="107C50FE" w14:textId="77777777" w:rsidR="003D504D" w:rsidRDefault="003D504D" w:rsidP="00223668">
      <w:pPr>
        <w:pStyle w:val="a0"/>
        <w:rPr>
          <w:rtl/>
        </w:rPr>
      </w:pPr>
      <w:r>
        <w:rPr>
          <w:rFonts w:hint="cs"/>
          <w:rtl/>
        </w:rPr>
        <w:t xml:space="preserve">וכתב </w:t>
      </w:r>
      <w:r w:rsidRPr="00F9718D">
        <w:rPr>
          <w:rStyle w:val="af9"/>
          <w:rFonts w:hint="cs"/>
          <w:rtl/>
        </w:rPr>
        <w:t xml:space="preserve">הרשב"א </w:t>
      </w:r>
      <w:r>
        <w:rPr>
          <w:rStyle w:val="af9"/>
          <w:rtl/>
        </w:rPr>
        <w:t>בחי' לקמן</w:t>
      </w:r>
      <w:r>
        <w:rPr>
          <w:rtl/>
        </w:rPr>
        <w:t xml:space="preserve"> </w:t>
      </w:r>
      <w:r>
        <w:rPr>
          <w:rStyle w:val="af7"/>
          <w:rFonts w:eastAsiaTheme="minorHAnsi" w:hint="cs"/>
          <w:rtl/>
        </w:rPr>
        <w:t xml:space="preserve">(פט: ד"ה אלא שיש) </w:t>
      </w:r>
      <w:r>
        <w:rPr>
          <w:rStyle w:val="af9"/>
          <w:rFonts w:hint="cs"/>
          <w:rtl/>
        </w:rPr>
        <w:t xml:space="preserve">ובתוה"ב </w:t>
      </w:r>
      <w:r w:rsidRPr="00134302">
        <w:rPr>
          <w:rStyle w:val="af7"/>
          <w:rFonts w:eastAsia="Guttman Hodes" w:hint="cs"/>
          <w:rtl/>
        </w:rPr>
        <w:t>(ב"ב ש"ה דף נט</w:t>
      </w:r>
      <w:r>
        <w:rPr>
          <w:rStyle w:val="af7"/>
          <w:rFonts w:eastAsia="Guttman Hodes" w:hint="cs"/>
          <w:rtl/>
        </w:rPr>
        <w:t>:</w:t>
      </w:r>
      <w:r w:rsidRPr="00134302">
        <w:rPr>
          <w:rStyle w:val="af7"/>
          <w:rFonts w:eastAsia="Guttman Hodes" w:hint="cs"/>
          <w:rtl/>
        </w:rPr>
        <w:t xml:space="preserve"> מדה"ס)</w:t>
      </w:r>
      <w:r>
        <w:rPr>
          <w:rFonts w:hint="cs"/>
          <w:rtl/>
        </w:rPr>
        <w:t xml:space="preserve"> דכן מבואר בגמ' לקמן </w:t>
      </w:r>
      <w:r w:rsidRPr="00F9718D">
        <w:rPr>
          <w:rStyle w:val="af7"/>
          <w:rFonts w:eastAsia="Guttman Hodes" w:hint="cs"/>
          <w:rtl/>
        </w:rPr>
        <w:t>(</w:t>
      </w:r>
      <w:r>
        <w:rPr>
          <w:rStyle w:val="af7"/>
          <w:rFonts w:eastAsia="Guttman Hodes" w:hint="cs"/>
          <w:rtl/>
        </w:rPr>
        <w:t>קג.</w:t>
      </w:r>
      <w:r w:rsidRPr="00F9718D">
        <w:rPr>
          <w:rStyle w:val="af7"/>
          <w:rFonts w:eastAsia="Guttman Hodes" w:hint="cs"/>
          <w:rtl/>
        </w:rPr>
        <w:t>)</w:t>
      </w:r>
      <w:r>
        <w:rPr>
          <w:rFonts w:hint="cs"/>
          <w:rtl/>
        </w:rPr>
        <w:t xml:space="preserve"> לענין חלב, דלריו"ח איסור חלב חל רק בשעת יציאתו לאויר העולם, אעפ"י דס"ל לריו"ח בסוגיין דבהושיט ידו ותלש חלב, דחדשים גרמי ואסור באיסור חלב, מ"מ כל שלא נולד איסור החלב הוא תלוי ועומד, דשמא תשחט האם ויהיה החלב מותר בשחיטתה, לכן אף בחיי האם לא חשיב שחל האיסור חלב, וה"ה לענין גיד,</w:t>
      </w:r>
      <w:r w:rsidRPr="001E3954">
        <w:rPr>
          <w:rFonts w:hint="cs"/>
          <w:rtl/>
        </w:rPr>
        <w:t xml:space="preserve"> </w:t>
      </w:r>
      <w:r>
        <w:rPr>
          <w:rFonts w:hint="cs"/>
          <w:rtl/>
        </w:rPr>
        <w:t xml:space="preserve">וכ"כ </w:t>
      </w:r>
      <w:r w:rsidRPr="001E3954">
        <w:rPr>
          <w:rStyle w:val="af9"/>
          <w:rFonts w:hint="cs"/>
          <w:rtl/>
        </w:rPr>
        <w:t>הרמב"ן</w:t>
      </w:r>
      <w:r>
        <w:rPr>
          <w:rFonts w:hint="cs"/>
          <w:rtl/>
        </w:rPr>
        <w:t xml:space="preserve"> </w:t>
      </w:r>
      <w:r w:rsidRPr="001E3954">
        <w:rPr>
          <w:rStyle w:val="af7"/>
          <w:rFonts w:eastAsia="Guttman Hodes" w:hint="cs"/>
          <w:rtl/>
        </w:rPr>
        <w:t xml:space="preserve">(עי' אות </w:t>
      </w:r>
      <w:r w:rsidRPr="001E3954">
        <w:rPr>
          <w:rStyle w:val="af7"/>
          <w:rFonts w:eastAsia="Guttman Hodes"/>
          <w:rtl/>
        </w:rPr>
        <w:fldChar w:fldCharType="begin"/>
      </w:r>
      <w:r w:rsidRPr="001E3954">
        <w:rPr>
          <w:rStyle w:val="af7"/>
          <w:rFonts w:eastAsia="Guttman Hodes"/>
          <w:rtl/>
        </w:rPr>
        <w:instrText xml:space="preserve"> </w:instrText>
      </w:r>
      <w:r w:rsidRPr="001E3954">
        <w:rPr>
          <w:rStyle w:val="af7"/>
          <w:rFonts w:eastAsia="Guttman Hodes" w:hint="cs"/>
        </w:rPr>
        <w:instrText>REF</w:instrText>
      </w:r>
      <w:r w:rsidRPr="001E3954">
        <w:rPr>
          <w:rStyle w:val="af7"/>
          <w:rFonts w:eastAsia="Guttman Hodes" w:hint="cs"/>
          <w:rtl/>
        </w:rPr>
        <w:instrText xml:space="preserve"> _</w:instrText>
      </w:r>
      <w:r w:rsidRPr="001E3954">
        <w:rPr>
          <w:rStyle w:val="af7"/>
          <w:rFonts w:eastAsia="Guttman Hodes" w:hint="cs"/>
        </w:rPr>
        <w:instrText>Ref3483007 \r \h</w:instrText>
      </w:r>
      <w:r w:rsidRPr="001E3954">
        <w:rPr>
          <w:rStyle w:val="af7"/>
          <w:rFonts w:eastAsia="Guttman Hodes"/>
          <w:rtl/>
        </w:rPr>
        <w:instrText xml:space="preserve"> </w:instrText>
      </w:r>
      <w:r w:rsidRPr="001E3954">
        <w:rPr>
          <w:rStyle w:val="af7"/>
          <w:rFonts w:eastAsia="Guttman Hodes"/>
          <w:rtl/>
        </w:rPr>
      </w:r>
      <w:r w:rsidRPr="001E3954">
        <w:rPr>
          <w:rStyle w:val="af7"/>
          <w:rFonts w:eastAsia="Guttman Hodes"/>
          <w:rtl/>
        </w:rPr>
        <w:fldChar w:fldCharType="separate"/>
      </w:r>
      <w:r w:rsidR="00345400">
        <w:rPr>
          <w:rStyle w:val="af7"/>
          <w:rFonts w:eastAsia="Guttman Hodes"/>
          <w:cs/>
        </w:rPr>
        <w:t>‎</w:t>
      </w:r>
      <w:r w:rsidR="00345400">
        <w:rPr>
          <w:rStyle w:val="af7"/>
          <w:rFonts w:eastAsia="Guttman Hodes"/>
          <w:rtl/>
        </w:rPr>
        <w:t>סט)</w:t>
      </w:r>
      <w:r w:rsidRPr="001E3954">
        <w:rPr>
          <w:rStyle w:val="af7"/>
          <w:rFonts w:eastAsia="Guttman Hodes"/>
          <w:rtl/>
        </w:rPr>
        <w:fldChar w:fldCharType="end"/>
      </w:r>
      <w:r>
        <w:rPr>
          <w:rFonts w:hint="cs"/>
          <w:rtl/>
        </w:rPr>
        <w:t>.</w:t>
      </w:r>
      <w:bookmarkEnd w:id="22584"/>
    </w:p>
    <w:p w14:paraId="0C3BE30A" w14:textId="77777777" w:rsidR="003D504D" w:rsidRDefault="003D504D" w:rsidP="003D504D">
      <w:pPr>
        <w:pStyle w:val="a3"/>
        <w:rPr>
          <w:rtl/>
        </w:rPr>
      </w:pPr>
      <w:bookmarkStart w:id="22589" w:name="_Toc3550862"/>
      <w:bookmarkStart w:id="22590" w:name="_Toc3551018"/>
      <w:bookmarkStart w:id="22591" w:name="_Toc19391827"/>
      <w:bookmarkStart w:id="22592" w:name="_Toc19395324"/>
      <w:r>
        <w:rPr>
          <w:rFonts w:hint="cs"/>
          <w:rtl/>
        </w:rPr>
        <w:t>ביאור הרשב"א בקושית הגמ' לקמן דאף בלא נשחטה האם אין איסור בגיד שמא יותר בשחיטה</w:t>
      </w:r>
      <w:bookmarkEnd w:id="22589"/>
      <w:bookmarkEnd w:id="22590"/>
      <w:bookmarkEnd w:id="22591"/>
      <w:bookmarkEnd w:id="22592"/>
    </w:p>
    <w:p w14:paraId="7081A409" w14:textId="77777777" w:rsidR="003D504D" w:rsidRDefault="003D504D" w:rsidP="00223668">
      <w:pPr>
        <w:pStyle w:val="a0"/>
        <w:rPr>
          <w:rtl/>
        </w:rPr>
      </w:pPr>
      <w:r>
        <w:rPr>
          <w:rFonts w:hint="cs"/>
          <w:rtl/>
        </w:rPr>
        <w:t xml:space="preserve">וביאר </w:t>
      </w:r>
      <w:r w:rsidRPr="007051B0">
        <w:rPr>
          <w:rStyle w:val="af9"/>
          <w:rFonts w:hint="cs"/>
          <w:rtl/>
        </w:rPr>
        <w:t xml:space="preserve">הרשב"א </w:t>
      </w:r>
      <w:r>
        <w:rPr>
          <w:rStyle w:val="af9"/>
          <w:rFonts w:hint="cs"/>
          <w:rtl/>
        </w:rPr>
        <w:t xml:space="preserve">בחי' </w:t>
      </w:r>
      <w:r w:rsidRPr="007051B0">
        <w:rPr>
          <w:rStyle w:val="af9"/>
          <w:rFonts w:hint="cs"/>
          <w:rtl/>
        </w:rPr>
        <w:t>לקמן</w:t>
      </w:r>
      <w:r>
        <w:rPr>
          <w:rFonts w:hint="cs"/>
          <w:rtl/>
        </w:rPr>
        <w:t xml:space="preserve"> </w:t>
      </w:r>
      <w:r>
        <w:rPr>
          <w:rStyle w:val="af7"/>
          <w:rFonts w:eastAsiaTheme="minorHAnsi" w:hint="cs"/>
          <w:rtl/>
        </w:rPr>
        <w:t xml:space="preserve">(פט: ד"ה אלא שיש) </w:t>
      </w:r>
      <w:r>
        <w:rPr>
          <w:rFonts w:hint="cs"/>
          <w:rtl/>
        </w:rPr>
        <w:t>דלכן הגמ' שם מקשה דכיון דבסיפא של המשנה איירי בשליל, מוכח דברישא לא איירי בשליל, וא"א לתרץ דהרישא איירי בשליל שלא נשחטה אמו, דכיון דנחלקו ר"י ורבנן בהיתר גיד שנשחטה אמו, א"כ ה"ה בחיי האם לא נאסר הגיד דכל שיש לו היתר אחר שחיטה לא חשיב דחל עליו איסור גיד, ואי"ז ב' מחלוקות אלא הכל הוא מחלוקת אחת, וזו כוונת הגמ' בתירוץ דהסיפא מבארת את הרישא דבדין גיד דשליל נחלקו רבנן ור"י.</w:t>
      </w:r>
    </w:p>
    <w:p w14:paraId="387EF052" w14:textId="77777777" w:rsidR="003D504D" w:rsidRDefault="003D504D" w:rsidP="003D504D">
      <w:pPr>
        <w:pStyle w:val="a3"/>
        <w:rPr>
          <w:rtl/>
        </w:rPr>
      </w:pPr>
      <w:bookmarkStart w:id="22593" w:name="_Toc3550863"/>
      <w:bookmarkStart w:id="22594" w:name="_Toc3551019"/>
      <w:bookmarkStart w:id="22595" w:name="_Toc19391828"/>
      <w:bookmarkStart w:id="22596" w:name="_Toc19395325"/>
      <w:r>
        <w:rPr>
          <w:rFonts w:hint="cs"/>
          <w:rtl/>
        </w:rPr>
        <w:t>קושית הראש יוסף על הרשב"א דלר"מ איסור גיד וקדשים חל יחד בבן ח' שמותר בשחיטת אמו</w:t>
      </w:r>
      <w:bookmarkEnd w:id="22593"/>
      <w:bookmarkEnd w:id="22594"/>
      <w:bookmarkEnd w:id="22595"/>
      <w:bookmarkEnd w:id="22596"/>
    </w:p>
    <w:p w14:paraId="78D647C9" w14:textId="77777777" w:rsidR="003D504D" w:rsidRDefault="003D504D" w:rsidP="00223668">
      <w:pPr>
        <w:pStyle w:val="a0"/>
        <w:rPr>
          <w:rtl/>
        </w:rPr>
      </w:pPr>
      <w:bookmarkStart w:id="22597" w:name="_Toc3322254"/>
      <w:r>
        <w:rPr>
          <w:rFonts w:hint="cs"/>
          <w:rtl/>
        </w:rPr>
        <w:t xml:space="preserve">והקשה </w:t>
      </w:r>
      <w:r w:rsidRPr="004D71F8">
        <w:rPr>
          <w:rStyle w:val="af9"/>
          <w:rFonts w:hint="cs"/>
          <w:rtl/>
        </w:rPr>
        <w:t>הראש יוסף לקמן</w:t>
      </w:r>
      <w:r>
        <w:rPr>
          <w:rFonts w:hint="cs"/>
          <w:rtl/>
        </w:rPr>
        <w:t xml:space="preserve"> </w:t>
      </w:r>
      <w:r w:rsidRPr="003B7D19">
        <w:rPr>
          <w:rStyle w:val="af7"/>
          <w:rFonts w:eastAsia="Guttman Hodes" w:hint="cs"/>
          <w:rtl/>
        </w:rPr>
        <w:t>(פט. ד"ה</w:t>
      </w:r>
      <w:r>
        <w:rPr>
          <w:rStyle w:val="af7"/>
          <w:rFonts w:eastAsia="Guttman Hodes" w:hint="cs"/>
          <w:rtl/>
        </w:rPr>
        <w:t xml:space="preserve"> תו כתב)</w:t>
      </w:r>
      <w:r>
        <w:rPr>
          <w:rFonts w:hint="cs"/>
          <w:rtl/>
        </w:rPr>
        <w:t xml:space="preserve"> על תירוץ </w:t>
      </w:r>
      <w:r w:rsidRPr="006D653A">
        <w:rPr>
          <w:rStyle w:val="af9"/>
          <w:rFonts w:hint="cs"/>
          <w:rtl/>
        </w:rPr>
        <w:t xml:space="preserve">הרשב"א </w:t>
      </w:r>
      <w:r>
        <w:rPr>
          <w:rFonts w:hint="cs"/>
          <w:rtl/>
        </w:rPr>
        <w:t xml:space="preserve">דאי לא חל איסור על הגיד, כיון שיכול לבא לידי היתר ע"י שחיטה, א"כ מה תירצה הגמ' דהסיפא של המשנה מבארת דר"י ור"מ נחלקו בדין של הרישא, הרי אף לדעת ר"מ בן ח' חי מותר בשחיטת אמו, וא"כ חשיב שלא חל האיסור גיד, דהא יכול לבא לידי היתר בשחיטת אמו, וא"כ יכול איסור גיד ואיסור קדשים לחול יחד בבן ח' חי, עד שיהיה בן ט', ועיי"ש </w:t>
      </w:r>
      <w:r w:rsidRPr="006D653A">
        <w:rPr>
          <w:rStyle w:val="af9"/>
          <w:rFonts w:hint="cs"/>
          <w:rtl/>
        </w:rPr>
        <w:t>בראש יוסף</w:t>
      </w:r>
      <w:r>
        <w:rPr>
          <w:rFonts w:hint="cs"/>
          <w:rtl/>
        </w:rPr>
        <w:t xml:space="preserve"> במה שתירץ. </w:t>
      </w:r>
    </w:p>
    <w:p w14:paraId="4F8CED98" w14:textId="77777777" w:rsidR="003D504D" w:rsidRDefault="003D504D" w:rsidP="00BF39B2">
      <w:pPr>
        <w:pStyle w:val="1"/>
        <w:rPr>
          <w:rtl/>
        </w:rPr>
      </w:pPr>
      <w:bookmarkStart w:id="22598" w:name="_Toc3480721"/>
      <w:bookmarkStart w:id="22599" w:name="_Toc3484996"/>
      <w:bookmarkStart w:id="22600" w:name="_Toc3535868"/>
      <w:bookmarkStart w:id="22601" w:name="_Toc3543157"/>
      <w:bookmarkStart w:id="22602" w:name="_Toc3550864"/>
      <w:bookmarkStart w:id="22603" w:name="_Toc3551020"/>
      <w:bookmarkStart w:id="22604" w:name="_Toc19391829"/>
      <w:bookmarkStart w:id="22605" w:name="_Toc19395326"/>
      <w:r>
        <w:rPr>
          <w:rFonts w:hint="cs"/>
          <w:rtl/>
        </w:rPr>
        <w:t>ביאור הרשב"א בדעת הרי"ף</w:t>
      </w:r>
      <w:bookmarkEnd w:id="22597"/>
      <w:bookmarkEnd w:id="22598"/>
      <w:bookmarkEnd w:id="22599"/>
      <w:bookmarkEnd w:id="22600"/>
      <w:bookmarkEnd w:id="22601"/>
      <w:r>
        <w:rPr>
          <w:rFonts w:hint="cs"/>
          <w:rtl/>
        </w:rPr>
        <w:t xml:space="preserve"> דהגיד אינו מותר בשחיטת האם</w:t>
      </w:r>
      <w:bookmarkEnd w:id="22602"/>
      <w:bookmarkEnd w:id="22603"/>
      <w:bookmarkEnd w:id="22604"/>
      <w:bookmarkEnd w:id="22605"/>
    </w:p>
    <w:p w14:paraId="6C83B88F" w14:textId="77777777" w:rsidR="003D504D" w:rsidRPr="00801355" w:rsidRDefault="003D504D" w:rsidP="003D504D">
      <w:pPr>
        <w:pStyle w:val="a3"/>
        <w:rPr>
          <w:rtl/>
        </w:rPr>
      </w:pPr>
      <w:bookmarkStart w:id="22606" w:name="_Toc3550865"/>
      <w:bookmarkStart w:id="22607" w:name="_Toc3551021"/>
      <w:bookmarkStart w:id="22608" w:name="_Toc19391830"/>
      <w:bookmarkStart w:id="22609" w:name="_Toc19395327"/>
      <w:r>
        <w:rPr>
          <w:rFonts w:hint="cs"/>
          <w:rtl/>
        </w:rPr>
        <w:t>דברי הרשב"א דדעת הרי"ף דדין גידו לא שייך לפלוגתת ר"י ור"מ בשחיטה ובחלב וגידו אסור</w:t>
      </w:r>
      <w:bookmarkEnd w:id="22606"/>
      <w:bookmarkEnd w:id="22607"/>
      <w:bookmarkEnd w:id="22608"/>
      <w:bookmarkEnd w:id="22609"/>
    </w:p>
    <w:p w14:paraId="144C25B6" w14:textId="77777777" w:rsidR="003D504D" w:rsidRDefault="003D504D" w:rsidP="00223668">
      <w:pPr>
        <w:pStyle w:val="a0"/>
        <w:rPr>
          <w:rtl/>
        </w:rPr>
      </w:pPr>
      <w:r>
        <w:rPr>
          <w:rFonts w:hint="cs"/>
          <w:rtl/>
        </w:rPr>
        <w:t xml:space="preserve">וכתב </w:t>
      </w:r>
      <w:r w:rsidRPr="00E93928">
        <w:rPr>
          <w:rStyle w:val="af9"/>
          <w:rFonts w:hint="cs"/>
          <w:rtl/>
        </w:rPr>
        <w:t>הרשב"א בחי' לקמן</w:t>
      </w:r>
      <w:r w:rsidRPr="00E93928">
        <w:rPr>
          <w:rFonts w:hint="cs"/>
          <w:rtl/>
        </w:rPr>
        <w:t xml:space="preserve"> </w:t>
      </w:r>
      <w:r w:rsidRPr="00E93928">
        <w:rPr>
          <w:rStyle w:val="af7"/>
          <w:rFonts w:eastAsia="Guttman Hodes" w:hint="cs"/>
          <w:rtl/>
        </w:rPr>
        <w:t>(צב: ד"ה ומיהו נראה)</w:t>
      </w:r>
      <w:r w:rsidRPr="00E93928">
        <w:rPr>
          <w:rFonts w:hint="cs"/>
          <w:rtl/>
        </w:rPr>
        <w:t xml:space="preserve"> </w:t>
      </w:r>
      <w:r w:rsidRPr="00E93928">
        <w:rPr>
          <w:rStyle w:val="af9"/>
          <w:rFonts w:hint="cs"/>
          <w:rtl/>
        </w:rPr>
        <w:t>ו</w:t>
      </w:r>
      <w:r w:rsidRPr="00E93928">
        <w:rPr>
          <w:rStyle w:val="af9"/>
          <w:rtl/>
        </w:rPr>
        <w:t xml:space="preserve">בתוה"ב </w:t>
      </w:r>
      <w:r w:rsidRPr="00E93928">
        <w:rPr>
          <w:rStyle w:val="af7"/>
          <w:rFonts w:eastAsia="Guttman Hodes" w:hint="cs"/>
          <w:rtl/>
        </w:rPr>
        <w:t>(ב"ב ש"ה דף ס. מדה"ס)</w:t>
      </w:r>
      <w:r w:rsidRPr="00E93928">
        <w:rPr>
          <w:rFonts w:hint="cs"/>
          <w:rtl/>
        </w:rPr>
        <w:t xml:space="preserve"> דכן משמע מדברי </w:t>
      </w:r>
      <w:r w:rsidRPr="00E93928">
        <w:rPr>
          <w:rStyle w:val="af9"/>
          <w:rFonts w:hint="cs"/>
          <w:rtl/>
        </w:rPr>
        <w:t>הרי"ף</w:t>
      </w:r>
      <w:r w:rsidRPr="00E93928">
        <w:rPr>
          <w:rFonts w:hint="cs"/>
          <w:rtl/>
        </w:rPr>
        <w:t xml:space="preserve"> דדין גידו אינו שייך למחלוקת ר"מ ור"י בחלב ובשחיטה,</w:t>
      </w:r>
      <w:r>
        <w:rPr>
          <w:rFonts w:hint="cs"/>
          <w:rtl/>
        </w:rPr>
        <w:t xml:space="preserve"> דבסוגיין פסק </w:t>
      </w:r>
      <w:r w:rsidRPr="00C34315">
        <w:rPr>
          <w:rStyle w:val="af9"/>
          <w:rFonts w:hint="cs"/>
          <w:rtl/>
        </w:rPr>
        <w:t xml:space="preserve">הרי"ף </w:t>
      </w:r>
      <w:r w:rsidRPr="00EB1B62">
        <w:rPr>
          <w:rStyle w:val="af7"/>
          <w:rFonts w:eastAsia="Guttman Hodes" w:hint="cs"/>
          <w:rtl/>
        </w:rPr>
        <w:t>(כה. מדפי הרי"ף)</w:t>
      </w:r>
      <w:r>
        <w:rPr>
          <w:rFonts w:hint="cs"/>
          <w:rtl/>
        </w:rPr>
        <w:t xml:space="preserve"> כרבנן דבן ט' מותר בשחיטת אמו, וחלבו מותר ודמו אסור, וכתב </w:t>
      </w:r>
      <w:r w:rsidRPr="00C34315">
        <w:rPr>
          <w:rStyle w:val="af9"/>
          <w:rFonts w:hint="cs"/>
          <w:rtl/>
        </w:rPr>
        <w:t xml:space="preserve">הרשב"א </w:t>
      </w:r>
      <w:r>
        <w:rPr>
          <w:rStyle w:val="af9"/>
          <w:rFonts w:hint="cs"/>
          <w:rtl/>
        </w:rPr>
        <w:t xml:space="preserve">בחי' </w:t>
      </w:r>
      <w:r w:rsidRPr="00D40CE2">
        <w:rPr>
          <w:rStyle w:val="af9"/>
          <w:rFonts w:hint="cs"/>
          <w:rtl/>
        </w:rPr>
        <w:t>לקמן</w:t>
      </w:r>
      <w:r>
        <w:rPr>
          <w:rFonts w:hint="cs"/>
          <w:rtl/>
        </w:rPr>
        <w:t xml:space="preserve"> </w:t>
      </w:r>
      <w:r>
        <w:rPr>
          <w:rStyle w:val="af9"/>
          <w:rFonts w:hint="cs"/>
          <w:rtl/>
        </w:rPr>
        <w:t>ו</w:t>
      </w:r>
      <w:r>
        <w:rPr>
          <w:rStyle w:val="af9"/>
          <w:rtl/>
        </w:rPr>
        <w:t>בתוה"ב</w:t>
      </w:r>
      <w:r>
        <w:rPr>
          <w:rFonts w:hint="cs"/>
          <w:rtl/>
        </w:rPr>
        <w:t xml:space="preserve"> דמדכתב </w:t>
      </w:r>
      <w:r w:rsidRPr="00C34315">
        <w:rPr>
          <w:rStyle w:val="af9"/>
          <w:rFonts w:hint="cs"/>
          <w:rtl/>
        </w:rPr>
        <w:t xml:space="preserve">הרי"ף </w:t>
      </w:r>
      <w:r>
        <w:rPr>
          <w:rFonts w:hint="cs"/>
          <w:rtl/>
        </w:rPr>
        <w:t xml:space="preserve">רק את דין חלבו ודמו, והשמיט את דין גידו אעפ"י דתני בברייתא דר"י התיר בחלבו וגידו, א"כ מבואר דס"ל </w:t>
      </w:r>
      <w:r w:rsidRPr="00C34315">
        <w:rPr>
          <w:rStyle w:val="af9"/>
          <w:rFonts w:hint="cs"/>
          <w:rtl/>
        </w:rPr>
        <w:t xml:space="preserve">להרי"ף </w:t>
      </w:r>
      <w:r>
        <w:rPr>
          <w:rFonts w:hint="cs"/>
          <w:rtl/>
        </w:rPr>
        <w:t xml:space="preserve">דרק חלבו מותר אבל גידו אסור, והוסיף </w:t>
      </w:r>
      <w:r w:rsidRPr="00C34315">
        <w:rPr>
          <w:rStyle w:val="af9"/>
          <w:rFonts w:hint="cs"/>
          <w:rtl/>
        </w:rPr>
        <w:t xml:space="preserve">הרשב"א לקמן </w:t>
      </w:r>
      <w:r>
        <w:rPr>
          <w:rFonts w:hint="cs"/>
          <w:rtl/>
        </w:rPr>
        <w:t xml:space="preserve">דכן מבואר מדברי </w:t>
      </w:r>
      <w:r w:rsidRPr="00C34315">
        <w:rPr>
          <w:rStyle w:val="af9"/>
          <w:rFonts w:hint="cs"/>
          <w:rtl/>
        </w:rPr>
        <w:t xml:space="preserve">הרי"ף לקמן </w:t>
      </w:r>
      <w:r w:rsidRPr="00EB1B62">
        <w:rPr>
          <w:rStyle w:val="af7"/>
          <w:rFonts w:eastAsia="Guttman Hodes" w:hint="cs"/>
          <w:rtl/>
        </w:rPr>
        <w:t>(ל. מדפי הרי"ף)</w:t>
      </w:r>
      <w:r>
        <w:rPr>
          <w:rFonts w:hint="cs"/>
          <w:rtl/>
        </w:rPr>
        <w:t xml:space="preserve"> דהביא את סתמא דמתני' </w:t>
      </w:r>
      <w:r w:rsidRPr="009A23C2">
        <w:rPr>
          <w:rStyle w:val="af7"/>
          <w:rFonts w:eastAsia="Guttman Hodes" w:hint="cs"/>
          <w:rtl/>
        </w:rPr>
        <w:t>(פט:)</w:t>
      </w:r>
      <w:r>
        <w:rPr>
          <w:rFonts w:hint="cs"/>
          <w:rtl/>
        </w:rPr>
        <w:t xml:space="preserve"> דגיד הנשה נוהג בשליל.</w:t>
      </w:r>
    </w:p>
    <w:p w14:paraId="484F6FFD" w14:textId="77777777" w:rsidR="003D504D" w:rsidRDefault="003D504D" w:rsidP="003D504D">
      <w:pPr>
        <w:pStyle w:val="a3"/>
        <w:rPr>
          <w:rtl/>
        </w:rPr>
      </w:pPr>
      <w:bookmarkStart w:id="22610" w:name="_Toc3550866"/>
      <w:bookmarkStart w:id="22611" w:name="_Toc3551022"/>
      <w:bookmarkStart w:id="22612" w:name="_Toc19391831"/>
      <w:bookmarkStart w:id="22613" w:name="_Toc19395328"/>
      <w:r>
        <w:rPr>
          <w:rFonts w:hint="cs"/>
          <w:rtl/>
        </w:rPr>
        <w:t>הביאור הא' בראש יוסף ברי"ף דאין איסור חלב בלא אויר ויש איסור גיד ולכן הגיד אסור</w:t>
      </w:r>
      <w:bookmarkEnd w:id="22610"/>
      <w:bookmarkEnd w:id="22611"/>
      <w:bookmarkEnd w:id="22612"/>
      <w:bookmarkEnd w:id="22613"/>
    </w:p>
    <w:p w14:paraId="2A881195" w14:textId="77777777" w:rsidR="003D504D" w:rsidRDefault="003D504D" w:rsidP="00223668">
      <w:pPr>
        <w:pStyle w:val="a0"/>
        <w:rPr>
          <w:rtl/>
        </w:rPr>
      </w:pPr>
      <w:r>
        <w:rPr>
          <w:rFonts w:hint="cs"/>
          <w:rtl/>
        </w:rPr>
        <w:t xml:space="preserve">וכתב </w:t>
      </w:r>
      <w:r w:rsidRPr="002A4410">
        <w:rPr>
          <w:rStyle w:val="af9"/>
          <w:rFonts w:hint="cs"/>
          <w:rtl/>
        </w:rPr>
        <w:t>הראש יוסף לקמן</w:t>
      </w:r>
      <w:r>
        <w:rPr>
          <w:rFonts w:hint="cs"/>
          <w:rtl/>
        </w:rPr>
        <w:t xml:space="preserve"> </w:t>
      </w:r>
      <w:r w:rsidRPr="002A4410">
        <w:rPr>
          <w:rStyle w:val="af9"/>
          <w:rFonts w:hint="cs"/>
          <w:rtl/>
        </w:rPr>
        <w:t>בביאור</w:t>
      </w:r>
      <w:r>
        <w:rPr>
          <w:rStyle w:val="af9"/>
          <w:rFonts w:hint="cs"/>
          <w:rtl/>
        </w:rPr>
        <w:t>ו</w:t>
      </w:r>
      <w:r w:rsidRPr="002A4410">
        <w:rPr>
          <w:rStyle w:val="af9"/>
          <w:rFonts w:hint="cs"/>
          <w:rtl/>
        </w:rPr>
        <w:t xml:space="preserve"> הא'</w:t>
      </w:r>
      <w:r>
        <w:rPr>
          <w:rFonts w:hint="cs"/>
          <w:rtl/>
        </w:rPr>
        <w:t xml:space="preserve"> </w:t>
      </w:r>
      <w:r w:rsidRPr="002A4410">
        <w:rPr>
          <w:rStyle w:val="af7"/>
          <w:rFonts w:eastAsia="Guttman Hodes" w:hint="cs"/>
          <w:rtl/>
        </w:rPr>
        <w:t>(צב: ד"ה שיטה הד')</w:t>
      </w:r>
      <w:r>
        <w:rPr>
          <w:rFonts w:hint="cs"/>
          <w:rtl/>
        </w:rPr>
        <w:t xml:space="preserve"> דכוונת </w:t>
      </w:r>
      <w:r w:rsidRPr="002A4410">
        <w:rPr>
          <w:rStyle w:val="af9"/>
          <w:rFonts w:hint="cs"/>
          <w:rtl/>
        </w:rPr>
        <w:t>הרשב"א</w:t>
      </w:r>
      <w:r>
        <w:rPr>
          <w:rFonts w:hint="cs"/>
          <w:rtl/>
        </w:rPr>
        <w:t xml:space="preserve"> לבאר בדעת </w:t>
      </w:r>
      <w:r w:rsidRPr="002A4410">
        <w:rPr>
          <w:rStyle w:val="af9"/>
          <w:rFonts w:hint="cs"/>
          <w:rtl/>
        </w:rPr>
        <w:t>הרי"ף</w:t>
      </w:r>
      <w:r>
        <w:rPr>
          <w:rFonts w:hint="cs"/>
          <w:rtl/>
        </w:rPr>
        <w:t xml:space="preserve"> דאף דקיי"ל כריו"ח דחדשים גרמי, ואף דלא בעינן אוירא דלידה, מ"מ בענין שיוציאו לאויר העולם, אבל במעי אמו לא חשיב חלב כלל, דאינו נקרא שור ואינו חלב שור, ולכן מהני שחיטת אמו להתירו, אבל הגיד שנוהג במעי אמו, אסור דאינו בכלל "כל בבהמה תאכלו", ולכן רק לענין גיד סתמה מתני' לקמן </w:t>
      </w:r>
      <w:r w:rsidRPr="002A4410">
        <w:rPr>
          <w:rStyle w:val="af7"/>
          <w:rFonts w:eastAsia="Guttman Hodes" w:hint="cs"/>
          <w:rtl/>
        </w:rPr>
        <w:t>(פט:)</w:t>
      </w:r>
      <w:r>
        <w:rPr>
          <w:rFonts w:hint="cs"/>
          <w:rtl/>
        </w:rPr>
        <w:t xml:space="preserve"> דהוא נוהג בשליל, ולא לענין חלב, והא דתנן במתני' וחלבו מותר, היינו כדברי שמואל דהכוונה לחלב הגיד ואינו המשך פלוגתת ר"מ ור"י.</w:t>
      </w:r>
    </w:p>
    <w:p w14:paraId="41173E58" w14:textId="77777777" w:rsidR="003D504D" w:rsidRDefault="003D504D" w:rsidP="003D504D">
      <w:pPr>
        <w:pStyle w:val="a3"/>
        <w:rPr>
          <w:rtl/>
        </w:rPr>
      </w:pPr>
      <w:bookmarkStart w:id="22614" w:name="_Toc3550867"/>
      <w:bookmarkStart w:id="22615" w:name="_Toc3551023"/>
      <w:bookmarkStart w:id="22616" w:name="_Toc19391832"/>
      <w:bookmarkStart w:id="22617" w:name="_Toc19395329"/>
      <w:r>
        <w:rPr>
          <w:rFonts w:hint="cs"/>
          <w:rtl/>
        </w:rPr>
        <w:t>הביאור הב' בראש יוסף ברי"ף דלריו"ח סתמא דמתני' דאסור בחלב ובגיד ולר"ל הסתמא רק בגיד</w:t>
      </w:r>
      <w:bookmarkEnd w:id="22614"/>
      <w:bookmarkEnd w:id="22615"/>
      <w:bookmarkEnd w:id="22616"/>
      <w:bookmarkEnd w:id="22617"/>
    </w:p>
    <w:p w14:paraId="33BF9F2B" w14:textId="77777777" w:rsidR="003D504D" w:rsidRDefault="003D504D" w:rsidP="00223668">
      <w:pPr>
        <w:pStyle w:val="a0"/>
        <w:rPr>
          <w:rtl/>
        </w:rPr>
      </w:pPr>
      <w:r>
        <w:rPr>
          <w:rFonts w:hint="cs"/>
          <w:rtl/>
        </w:rPr>
        <w:t xml:space="preserve">ועוד ביאר </w:t>
      </w:r>
      <w:r w:rsidRPr="002E025B">
        <w:rPr>
          <w:rStyle w:val="af9"/>
          <w:rFonts w:hint="cs"/>
          <w:rtl/>
        </w:rPr>
        <w:t>הראש יוסף לקמן בביאורו הב'</w:t>
      </w:r>
      <w:r>
        <w:rPr>
          <w:rFonts w:hint="cs"/>
          <w:rtl/>
        </w:rPr>
        <w:t xml:space="preserve"> דכוונת </w:t>
      </w:r>
      <w:r w:rsidRPr="002E025B">
        <w:rPr>
          <w:rStyle w:val="af9"/>
          <w:rFonts w:hint="cs"/>
          <w:rtl/>
        </w:rPr>
        <w:t>הרשב"א</w:t>
      </w:r>
      <w:r>
        <w:rPr>
          <w:rFonts w:hint="cs"/>
          <w:rtl/>
        </w:rPr>
        <w:t xml:space="preserve"> לבאר בדעת </w:t>
      </w:r>
      <w:r w:rsidRPr="002E025B">
        <w:rPr>
          <w:rStyle w:val="af9"/>
          <w:rFonts w:hint="cs"/>
          <w:rtl/>
        </w:rPr>
        <w:t>הרי"ף</w:t>
      </w:r>
      <w:r>
        <w:rPr>
          <w:rFonts w:hint="cs"/>
          <w:rtl/>
        </w:rPr>
        <w:t xml:space="preserve"> דלריו"ח סתמא דמתני' לקמן </w:t>
      </w:r>
      <w:r w:rsidRPr="002E025B">
        <w:rPr>
          <w:rStyle w:val="af7"/>
          <w:rFonts w:eastAsia="Guttman Hodes" w:hint="cs"/>
          <w:rtl/>
        </w:rPr>
        <w:t>(פט:)</w:t>
      </w:r>
      <w:r>
        <w:rPr>
          <w:rFonts w:hint="cs"/>
          <w:rtl/>
        </w:rPr>
        <w:t xml:space="preserve"> היא בחלב ובגיד, דחדשים גרמי לאסור בשניהם, ואינם בכלל היתר "כל בבהמה תאכלו", ופלוגתת ר"י ור"מ היא גם לענין החלב, ור"ל ס"ל דבחלב אוירא דלידה בעינן, וסתמא דמתני' היא רק לענין גיד ולא לענין חלב, ופסק </w:t>
      </w:r>
      <w:r w:rsidRPr="002E025B">
        <w:rPr>
          <w:rStyle w:val="af9"/>
          <w:rFonts w:hint="cs"/>
          <w:rtl/>
        </w:rPr>
        <w:t>הרי"ף</w:t>
      </w:r>
      <w:r>
        <w:rPr>
          <w:rFonts w:hint="cs"/>
          <w:rtl/>
        </w:rPr>
        <w:t xml:space="preserve"> כר"ל, דהא שמואל דאמר דהחלב מותר לכו"ע ואיירי בחלב דגיד ולא בחלב דשליל קאי כוותיה, וס"ל </w:t>
      </w:r>
      <w:r w:rsidRPr="002E025B">
        <w:rPr>
          <w:rStyle w:val="af9"/>
          <w:rFonts w:hint="cs"/>
          <w:rtl/>
        </w:rPr>
        <w:t>להרי"ף</w:t>
      </w:r>
      <w:r>
        <w:rPr>
          <w:rFonts w:hint="cs"/>
          <w:rtl/>
        </w:rPr>
        <w:t xml:space="preserve"> דמסתבר כר"ל דהא כתיב "חלב שור" ואינו נקרא שור לפני שנולד כדכתיב "שור או כשב או עז כי יולד", אבל בגיד חדשים לבד גרמי, עיי"ש בדברי </w:t>
      </w:r>
      <w:r w:rsidRPr="00DA7DA3">
        <w:rPr>
          <w:rStyle w:val="af9"/>
          <w:rFonts w:hint="cs"/>
          <w:rtl/>
        </w:rPr>
        <w:t>הראש יוסף</w:t>
      </w:r>
      <w:r>
        <w:rPr>
          <w:rFonts w:hint="cs"/>
          <w:rtl/>
        </w:rPr>
        <w:t>.</w:t>
      </w:r>
    </w:p>
    <w:p w14:paraId="594A0F5C" w14:textId="77777777" w:rsidR="003D504D" w:rsidRDefault="003D504D" w:rsidP="00BF39B2">
      <w:pPr>
        <w:pStyle w:val="1"/>
        <w:rPr>
          <w:rtl/>
        </w:rPr>
      </w:pPr>
      <w:bookmarkStart w:id="22618" w:name="_Toc3535869"/>
      <w:bookmarkStart w:id="22619" w:name="_Toc3543158"/>
      <w:bookmarkStart w:id="22620" w:name="_Toc3550868"/>
      <w:bookmarkStart w:id="22621" w:name="_Toc3551024"/>
      <w:bookmarkStart w:id="22622" w:name="_Toc19391833"/>
      <w:bookmarkStart w:id="22623" w:name="_Toc19395330"/>
      <w:r>
        <w:rPr>
          <w:rFonts w:hint="cs"/>
          <w:rtl/>
        </w:rPr>
        <w:t>דברי העיטור דאיסור הגיד מתברר למפרע כשנעשה בן קיימא</w:t>
      </w:r>
      <w:bookmarkEnd w:id="22618"/>
      <w:bookmarkEnd w:id="22619"/>
      <w:bookmarkEnd w:id="22620"/>
      <w:bookmarkEnd w:id="22621"/>
      <w:bookmarkEnd w:id="22622"/>
      <w:bookmarkEnd w:id="22623"/>
    </w:p>
    <w:p w14:paraId="093C14FE" w14:textId="77777777" w:rsidR="003D504D" w:rsidRDefault="003D504D" w:rsidP="003D504D">
      <w:pPr>
        <w:pStyle w:val="a3"/>
        <w:rPr>
          <w:rtl/>
        </w:rPr>
      </w:pPr>
      <w:bookmarkStart w:id="22624" w:name="_Toc3535870"/>
      <w:bookmarkStart w:id="22625" w:name="_Toc3543159"/>
      <w:bookmarkStart w:id="22626" w:name="_Toc3550869"/>
      <w:bookmarkStart w:id="22627" w:name="_Toc3551025"/>
      <w:bookmarkStart w:id="22628" w:name="_Toc19391834"/>
      <w:bookmarkStart w:id="22629" w:name="_Toc19395331"/>
      <w:r>
        <w:rPr>
          <w:rFonts w:hint="cs"/>
          <w:rtl/>
        </w:rPr>
        <w:t>דברי העיטור בשם י"א דר"מ אוסר בגיד אף בבן ח' חי  ובן ט' מת דהא איסור הגיד משעת יצירה</w:t>
      </w:r>
      <w:bookmarkEnd w:id="22624"/>
      <w:bookmarkEnd w:id="22625"/>
      <w:bookmarkEnd w:id="22626"/>
      <w:bookmarkEnd w:id="22627"/>
      <w:bookmarkEnd w:id="22628"/>
      <w:bookmarkEnd w:id="22629"/>
    </w:p>
    <w:p w14:paraId="60FDFC35" w14:textId="77777777" w:rsidR="003D504D" w:rsidRDefault="003D504D" w:rsidP="00223668">
      <w:pPr>
        <w:pStyle w:val="a0"/>
        <w:rPr>
          <w:rStyle w:val="afb"/>
          <w:rtl/>
        </w:rPr>
      </w:pPr>
      <w:r>
        <w:rPr>
          <w:rFonts w:hint="cs"/>
          <w:rtl/>
        </w:rPr>
        <w:t xml:space="preserve">הביא </w:t>
      </w:r>
      <w:r w:rsidRPr="00E419A6">
        <w:rPr>
          <w:rStyle w:val="af9"/>
          <w:rFonts w:hint="cs"/>
          <w:rtl/>
        </w:rPr>
        <w:t>העיטור</w:t>
      </w:r>
      <w:r>
        <w:rPr>
          <w:rFonts w:hint="cs"/>
          <w:rtl/>
        </w:rPr>
        <w:t xml:space="preserve"> </w:t>
      </w:r>
      <w:r w:rsidRPr="00F12178">
        <w:rPr>
          <w:rStyle w:val="af7"/>
          <w:rFonts w:eastAsia="Guttman Hodes" w:hint="cs"/>
          <w:rtl/>
        </w:rPr>
        <w:t>(</w:t>
      </w:r>
      <w:r w:rsidRPr="00F12178">
        <w:rPr>
          <w:rStyle w:val="af7"/>
          <w:rFonts w:eastAsia="Guttman Hodes"/>
          <w:rtl/>
        </w:rPr>
        <w:t>ש</w:t>
      </w:r>
      <w:r w:rsidRPr="00F12178">
        <w:rPr>
          <w:rStyle w:val="af7"/>
          <w:rFonts w:eastAsia="Guttman Hodes" w:hint="cs"/>
          <w:rtl/>
        </w:rPr>
        <w:t>"</w:t>
      </w:r>
      <w:r w:rsidRPr="00F12178">
        <w:rPr>
          <w:rStyle w:val="af7"/>
          <w:rFonts w:eastAsia="Guttman Hodes"/>
          <w:rtl/>
        </w:rPr>
        <w:t>ב</w:t>
      </w:r>
      <w:r w:rsidRPr="00F12178">
        <w:rPr>
          <w:rStyle w:val="af7"/>
          <w:rFonts w:eastAsia="Guttman Hodes" w:hint="cs"/>
          <w:rtl/>
        </w:rPr>
        <w:t xml:space="preserve"> </w:t>
      </w:r>
      <w:r w:rsidRPr="00F12178">
        <w:rPr>
          <w:rStyle w:val="af7"/>
          <w:rFonts w:eastAsia="Guttman Hodes"/>
          <w:rtl/>
        </w:rPr>
        <w:t xml:space="preserve">הלכות שחיטה </w:t>
      </w:r>
      <w:r w:rsidRPr="00F12178">
        <w:rPr>
          <w:rStyle w:val="af7"/>
          <w:rFonts w:eastAsia="Guttman Hodes" w:hint="cs"/>
          <w:rtl/>
        </w:rPr>
        <w:t xml:space="preserve">ח"ג מהחלק השלישי </w:t>
      </w:r>
      <w:r w:rsidRPr="00F12178">
        <w:rPr>
          <w:rStyle w:val="af7"/>
          <w:rFonts w:eastAsia="Guttman Hodes"/>
          <w:rtl/>
        </w:rPr>
        <w:t>דף כ</w:t>
      </w:r>
      <w:r w:rsidRPr="00F12178">
        <w:rPr>
          <w:rStyle w:val="af7"/>
          <w:rFonts w:eastAsia="Guttman Hodes" w:hint="cs"/>
          <w:rtl/>
        </w:rPr>
        <w:t>"</w:t>
      </w:r>
      <w:r>
        <w:rPr>
          <w:rStyle w:val="af7"/>
          <w:rFonts w:eastAsia="Guttman Hodes" w:hint="cs"/>
          <w:rtl/>
        </w:rPr>
        <w:t>ט.</w:t>
      </w:r>
      <w:r w:rsidRPr="00F12178">
        <w:rPr>
          <w:rStyle w:val="af7"/>
          <w:rFonts w:eastAsia="Guttman Hodes" w:hint="cs"/>
          <w:rtl/>
        </w:rPr>
        <w:t xml:space="preserve">, הועתק בקובץ שיטות קמאי חולין ח"ב עמ' אלף תרנ"ו) </w:t>
      </w:r>
      <w:r>
        <w:rPr>
          <w:rFonts w:hint="cs"/>
          <w:rtl/>
        </w:rPr>
        <w:t xml:space="preserve">בשם </w:t>
      </w:r>
      <w:r w:rsidRPr="008234D2">
        <w:rPr>
          <w:rStyle w:val="af9"/>
          <w:rFonts w:hint="cs"/>
          <w:rtl/>
        </w:rPr>
        <w:t xml:space="preserve">י"א </w:t>
      </w:r>
      <w:r>
        <w:rPr>
          <w:rFonts w:hint="cs"/>
          <w:rtl/>
        </w:rPr>
        <w:t xml:space="preserve">דר"מ אוסר בגיד גם בבן ח' חי, או בבן ט' מת, כמבואר בגמ' לקמן </w:t>
      </w:r>
      <w:r w:rsidRPr="008234D2">
        <w:rPr>
          <w:rStyle w:val="af7"/>
          <w:rFonts w:eastAsia="Guttman Hodes" w:hint="cs"/>
          <w:rtl/>
        </w:rPr>
        <w:t>(פט:)</w:t>
      </w:r>
      <w:r>
        <w:rPr>
          <w:rFonts w:hint="cs"/>
          <w:rtl/>
        </w:rPr>
        <w:t xml:space="preserve"> דבוולדות קדשים למ"ד דקדושים ממעי אמן, איסור גיד ואיסור מוקדשים חלים יחד, </w:t>
      </w:r>
      <w:r w:rsidRPr="008234D2">
        <w:rPr>
          <w:rStyle w:val="afb"/>
          <w:rFonts w:hint="cs"/>
          <w:rtl/>
        </w:rPr>
        <w:t>[ומבואר דאיסור גיד חל בשליל משעת יצירתו]</w:t>
      </w:r>
      <w:r>
        <w:rPr>
          <w:rStyle w:val="afb"/>
          <w:rFonts w:hint="cs"/>
          <w:rtl/>
        </w:rPr>
        <w:t>.</w:t>
      </w:r>
    </w:p>
    <w:p w14:paraId="0AC17657" w14:textId="77777777" w:rsidR="003D504D" w:rsidRPr="00B36DDA" w:rsidRDefault="003D504D" w:rsidP="003D504D">
      <w:pPr>
        <w:pStyle w:val="a3"/>
      </w:pPr>
      <w:bookmarkStart w:id="22630" w:name="_Toc3535871"/>
      <w:bookmarkStart w:id="22631" w:name="_Toc3543160"/>
      <w:bookmarkStart w:id="22632" w:name="_Toc3550870"/>
      <w:bookmarkStart w:id="22633" w:name="_Toc3551026"/>
      <w:bookmarkStart w:id="22634" w:name="_Toc19391835"/>
      <w:bookmarkStart w:id="22635" w:name="_Toc19395332"/>
      <w:r>
        <w:rPr>
          <w:rFonts w:hint="cs"/>
          <w:rtl/>
        </w:rPr>
        <w:t>דחיית העיטור דבבן ט' הוברר למפרע שנאסר הגיד משעת יצירה אבל בבן ח' אין איסור גיד</w:t>
      </w:r>
      <w:bookmarkEnd w:id="22630"/>
      <w:bookmarkEnd w:id="22631"/>
      <w:bookmarkEnd w:id="22632"/>
      <w:bookmarkEnd w:id="22633"/>
      <w:bookmarkEnd w:id="22634"/>
      <w:bookmarkEnd w:id="22635"/>
    </w:p>
    <w:p w14:paraId="3AE5AF76" w14:textId="77777777" w:rsidR="003D504D" w:rsidRDefault="003D504D" w:rsidP="00223668">
      <w:pPr>
        <w:pStyle w:val="a0"/>
        <w:rPr>
          <w:rtl/>
        </w:rPr>
      </w:pPr>
      <w:r>
        <w:rPr>
          <w:rFonts w:hint="cs"/>
          <w:rtl/>
        </w:rPr>
        <w:t xml:space="preserve">ודחה </w:t>
      </w:r>
      <w:r w:rsidRPr="008234D2">
        <w:rPr>
          <w:rStyle w:val="af9"/>
          <w:rFonts w:hint="cs"/>
          <w:rtl/>
        </w:rPr>
        <w:t>העיטור</w:t>
      </w:r>
      <w:r>
        <w:rPr>
          <w:rFonts w:hint="cs"/>
          <w:rtl/>
        </w:rPr>
        <w:t xml:space="preserve"> דכוונת הגמ' לקמן לומר דבן ט' חי שנולד התברר למפרע דחל עליו איסור גיד יחד עם איסור קדשים</w:t>
      </w:r>
      <w:r w:rsidRPr="00524FB8">
        <w:rPr>
          <w:rFonts w:hint="cs"/>
          <w:rtl/>
        </w:rPr>
        <w:t xml:space="preserve"> </w:t>
      </w:r>
      <w:r w:rsidRPr="008234D2">
        <w:rPr>
          <w:rStyle w:val="afb"/>
          <w:rFonts w:hint="cs"/>
          <w:rtl/>
        </w:rPr>
        <w:t>[משעת יצירתו]</w:t>
      </w:r>
      <w:r>
        <w:rPr>
          <w:rFonts w:hint="cs"/>
          <w:rtl/>
        </w:rPr>
        <w:t xml:space="preserve">, אבל בבן ח' חי אין בו איסור גיד, וביאר </w:t>
      </w:r>
      <w:r w:rsidRPr="008234D2">
        <w:rPr>
          <w:rStyle w:val="af9"/>
          <w:rFonts w:hint="cs"/>
          <w:rtl/>
        </w:rPr>
        <w:t xml:space="preserve">בהג' שער החדש על העיטור </w:t>
      </w:r>
      <w:r w:rsidRPr="008234D2">
        <w:rPr>
          <w:rStyle w:val="af7"/>
          <w:rFonts w:eastAsia="Guttman Hodes" w:hint="cs"/>
          <w:rtl/>
        </w:rPr>
        <w:t xml:space="preserve">(אות פ"א) </w:t>
      </w:r>
      <w:r>
        <w:rPr>
          <w:rFonts w:hint="cs"/>
          <w:rtl/>
        </w:rPr>
        <w:t xml:space="preserve">דכוונת </w:t>
      </w:r>
      <w:r w:rsidRPr="008234D2">
        <w:rPr>
          <w:rStyle w:val="af9"/>
          <w:rFonts w:hint="cs"/>
          <w:rtl/>
        </w:rPr>
        <w:t>העיטור</w:t>
      </w:r>
      <w:r>
        <w:rPr>
          <w:rFonts w:hint="cs"/>
          <w:rtl/>
        </w:rPr>
        <w:t xml:space="preserve"> לומר דבן ט' חי שנעשה לבסוף בן קיימא התברר למפרע דגידו אסור מעיקרא, אבל בן חי ח' שנמצא במעי אמו, אין בו איסור גיד.</w:t>
      </w:r>
      <w:r w:rsidRPr="00F777CF">
        <w:t xml:space="preserve"> </w:t>
      </w:r>
    </w:p>
    <w:p w14:paraId="18892320" w14:textId="77777777" w:rsidR="003D504D" w:rsidRDefault="003D504D" w:rsidP="003D504D">
      <w:pPr>
        <w:pStyle w:val="afe"/>
        <w:rPr>
          <w:rtl/>
        </w:rPr>
      </w:pPr>
      <w:bookmarkStart w:id="22636" w:name="_Toc3543161"/>
      <w:bookmarkStart w:id="22637" w:name="_Toc3550871"/>
      <w:bookmarkStart w:id="22638" w:name="_Toc3551027"/>
      <w:bookmarkStart w:id="22639" w:name="_Toc19436309"/>
      <w:bookmarkStart w:id="22640" w:name="_Toc20081455"/>
      <w:r>
        <w:rPr>
          <w:rFonts w:hint="cs"/>
          <w:rtl/>
        </w:rPr>
        <w:t>דעת ריו"ח ור"ל בפלוגתת ר"מ ור"י</w:t>
      </w:r>
      <w:bookmarkEnd w:id="22358"/>
      <w:bookmarkEnd w:id="22359"/>
      <w:bookmarkEnd w:id="22360"/>
      <w:bookmarkEnd w:id="22636"/>
      <w:bookmarkEnd w:id="22637"/>
      <w:bookmarkEnd w:id="22638"/>
      <w:bookmarkEnd w:id="22639"/>
      <w:bookmarkEnd w:id="22640"/>
    </w:p>
    <w:p w14:paraId="6015539F" w14:textId="77777777" w:rsidR="003D504D" w:rsidRPr="0090261B" w:rsidRDefault="003D504D" w:rsidP="00BF39B2">
      <w:pPr>
        <w:pStyle w:val="1"/>
        <w:rPr>
          <w:rtl/>
        </w:rPr>
      </w:pPr>
      <w:bookmarkStart w:id="22641" w:name="_Toc3480674"/>
      <w:bookmarkStart w:id="22642" w:name="_Toc3484937"/>
      <w:bookmarkStart w:id="22643" w:name="_Toc3535785"/>
      <w:bookmarkStart w:id="22644" w:name="_Toc3543162"/>
      <w:bookmarkStart w:id="22645" w:name="_Toc3550872"/>
      <w:bookmarkStart w:id="22646" w:name="_Toc3551028"/>
      <w:bookmarkStart w:id="22647" w:name="_Toc19391836"/>
      <w:bookmarkStart w:id="22648" w:name="_Toc19395333"/>
      <w:r>
        <w:rPr>
          <w:rFonts w:hint="cs"/>
          <w:rtl/>
        </w:rPr>
        <w:t>דברי רש"י ותוס' דריו"ח אסר אף לדעת ר"י דהתיר אחר שחיטה</w:t>
      </w:r>
      <w:bookmarkEnd w:id="22361"/>
      <w:bookmarkEnd w:id="22362"/>
      <w:bookmarkEnd w:id="22363"/>
      <w:bookmarkEnd w:id="22641"/>
      <w:bookmarkEnd w:id="22642"/>
      <w:bookmarkEnd w:id="22643"/>
      <w:bookmarkEnd w:id="22644"/>
      <w:bookmarkEnd w:id="22645"/>
      <w:bookmarkEnd w:id="22646"/>
      <w:bookmarkEnd w:id="22647"/>
      <w:bookmarkEnd w:id="22648"/>
    </w:p>
    <w:p w14:paraId="2D35E22A" w14:textId="77777777" w:rsidR="003D504D" w:rsidRDefault="003D504D" w:rsidP="003D504D">
      <w:pPr>
        <w:pStyle w:val="a3"/>
        <w:rPr>
          <w:rtl/>
        </w:rPr>
      </w:pPr>
      <w:bookmarkStart w:id="22649" w:name="_Toc3234473"/>
      <w:bookmarkStart w:id="22650" w:name="_Toc3287707"/>
      <w:bookmarkStart w:id="22651" w:name="_Toc3322212"/>
      <w:bookmarkStart w:id="22652" w:name="_Toc3480675"/>
      <w:bookmarkStart w:id="22653" w:name="_Toc3484938"/>
      <w:bookmarkStart w:id="22654" w:name="_Toc3535786"/>
      <w:bookmarkStart w:id="22655" w:name="_Toc3543163"/>
      <w:bookmarkStart w:id="22656" w:name="_Toc3550873"/>
      <w:bookmarkStart w:id="22657" w:name="_Toc3551029"/>
      <w:bookmarkStart w:id="22658" w:name="_Toc19391837"/>
      <w:bookmarkStart w:id="22659" w:name="_Toc19395334"/>
      <w:r>
        <w:rPr>
          <w:rFonts w:hint="cs"/>
          <w:rtl/>
        </w:rPr>
        <w:t>דברי רש"י דריו"ח אסר בחלב דנפל אף לר"י דהא דהתיר בבן פקועה הוא כיון שלא יצא לאויר</w:t>
      </w:r>
      <w:bookmarkEnd w:id="22649"/>
      <w:bookmarkEnd w:id="22650"/>
      <w:bookmarkEnd w:id="22651"/>
      <w:bookmarkEnd w:id="22652"/>
      <w:bookmarkEnd w:id="22653"/>
      <w:bookmarkEnd w:id="22654"/>
      <w:bookmarkEnd w:id="22655"/>
      <w:bookmarkEnd w:id="22656"/>
      <w:bookmarkEnd w:id="22657"/>
      <w:bookmarkEnd w:id="22658"/>
      <w:bookmarkEnd w:id="22659"/>
    </w:p>
    <w:p w14:paraId="07323237" w14:textId="77777777" w:rsidR="003D504D" w:rsidRDefault="003D504D" w:rsidP="00223668">
      <w:pPr>
        <w:pStyle w:val="a0"/>
        <w:rPr>
          <w:rtl/>
        </w:rPr>
      </w:pPr>
      <w:r>
        <w:rPr>
          <w:rFonts w:hint="cs"/>
          <w:rtl/>
        </w:rPr>
        <w:t xml:space="preserve">בפלוגתת ריו"ח ור"ל בהטילה נפל, כתב </w:t>
      </w:r>
      <w:r w:rsidRPr="00F65887">
        <w:rPr>
          <w:rStyle w:val="af9"/>
          <w:rFonts w:hint="cs"/>
          <w:rtl/>
        </w:rPr>
        <w:t>רש"י</w:t>
      </w:r>
      <w:r>
        <w:rPr>
          <w:rFonts w:hint="cs"/>
          <w:rtl/>
        </w:rPr>
        <w:t xml:space="preserve"> </w:t>
      </w:r>
      <w:r w:rsidRPr="00F65887">
        <w:rPr>
          <w:rStyle w:val="af7"/>
          <w:rFonts w:eastAsia="Guttman Hodes" w:hint="cs"/>
          <w:rtl/>
        </w:rPr>
        <w:t>(</w:t>
      </w:r>
      <w:r>
        <w:rPr>
          <w:rStyle w:val="af7"/>
          <w:rFonts w:eastAsia="Guttman Hodes" w:hint="cs"/>
          <w:rtl/>
        </w:rPr>
        <w:t xml:space="preserve">עה. </w:t>
      </w:r>
      <w:r w:rsidRPr="00F65887">
        <w:rPr>
          <w:rStyle w:val="af7"/>
          <w:rFonts w:eastAsia="Guttman Hodes" w:hint="cs"/>
          <w:rtl/>
        </w:rPr>
        <w:t>ד"ה אוירא גרים)</w:t>
      </w:r>
      <w:r>
        <w:rPr>
          <w:rFonts w:hint="cs"/>
          <w:rtl/>
        </w:rPr>
        <w:t xml:space="preserve"> דלריו"ח אוירא גרים להחשיבו כבהמה, וכיון שנולד נאסר, אף לדעת ר"י דמתיר בחלב בן פקועה כיון שלא יצא לאויר, ובדעת ר"ל כתב </w:t>
      </w:r>
      <w:r w:rsidRPr="009F3889">
        <w:rPr>
          <w:rStyle w:val="af9"/>
          <w:rFonts w:hint="cs"/>
          <w:rtl/>
        </w:rPr>
        <w:t>רש"י</w:t>
      </w:r>
      <w:r>
        <w:rPr>
          <w:rFonts w:hint="cs"/>
          <w:rtl/>
        </w:rPr>
        <w:t xml:space="preserve"> </w:t>
      </w:r>
      <w:r w:rsidRPr="009F3889">
        <w:rPr>
          <w:rStyle w:val="af7"/>
          <w:rFonts w:eastAsia="Guttman Hodes" w:hint="cs"/>
          <w:rtl/>
        </w:rPr>
        <w:t>(</w:t>
      </w:r>
      <w:r>
        <w:rPr>
          <w:rStyle w:val="af7"/>
          <w:rFonts w:eastAsia="Guttman Hodes" w:hint="cs"/>
          <w:rtl/>
        </w:rPr>
        <w:t xml:space="preserve">עה. </w:t>
      </w:r>
      <w:r w:rsidRPr="009F3889">
        <w:rPr>
          <w:rStyle w:val="af7"/>
          <w:rFonts w:eastAsia="Guttman Hodes" w:hint="cs"/>
          <w:rtl/>
        </w:rPr>
        <w:t>ד"ה חלבו כחלב)</w:t>
      </w:r>
      <w:r>
        <w:rPr>
          <w:rFonts w:hint="cs"/>
          <w:rtl/>
        </w:rPr>
        <w:t xml:space="preserve"> דחדשים ואוירא בעינן. </w:t>
      </w:r>
    </w:p>
    <w:p w14:paraId="2BBD0A00" w14:textId="77777777" w:rsidR="003D504D" w:rsidRPr="00F65887" w:rsidRDefault="003D504D" w:rsidP="003D504D">
      <w:pPr>
        <w:pStyle w:val="a3"/>
      </w:pPr>
      <w:bookmarkStart w:id="22660" w:name="_Toc3234474"/>
      <w:bookmarkStart w:id="22661" w:name="_Toc3287708"/>
      <w:bookmarkStart w:id="22662" w:name="_Toc3322213"/>
      <w:bookmarkStart w:id="22663" w:name="_Toc3480676"/>
      <w:bookmarkStart w:id="22664" w:name="_Toc3484939"/>
      <w:bookmarkStart w:id="22665" w:name="_Toc3535787"/>
      <w:bookmarkStart w:id="22666" w:name="_Toc3543164"/>
      <w:bookmarkStart w:id="22667" w:name="_Toc3550874"/>
      <w:bookmarkStart w:id="22668" w:name="_Toc3551030"/>
      <w:bookmarkStart w:id="22669" w:name="_Toc19391838"/>
      <w:bookmarkStart w:id="22670" w:name="_Toc19395335"/>
      <w:r>
        <w:rPr>
          <w:rFonts w:hint="cs"/>
          <w:rtl/>
        </w:rPr>
        <w:t>דברי רש"י דריו"ח אסר בתלש חלב מעובר ואם נשחטה האם החלב מותר לר"י מדין כל בבהמה</w:t>
      </w:r>
      <w:bookmarkEnd w:id="22660"/>
      <w:bookmarkEnd w:id="22661"/>
      <w:bookmarkEnd w:id="22662"/>
      <w:bookmarkEnd w:id="22663"/>
      <w:bookmarkEnd w:id="22664"/>
      <w:bookmarkEnd w:id="22665"/>
      <w:bookmarkEnd w:id="22666"/>
      <w:bookmarkEnd w:id="22667"/>
      <w:bookmarkEnd w:id="22668"/>
      <w:bookmarkEnd w:id="22669"/>
      <w:bookmarkEnd w:id="22670"/>
      <w:r>
        <w:rPr>
          <w:rFonts w:hint="cs"/>
          <w:rtl/>
        </w:rPr>
        <w:t xml:space="preserve"> </w:t>
      </w:r>
    </w:p>
    <w:p w14:paraId="0E356750" w14:textId="77777777" w:rsidR="003D504D" w:rsidRDefault="003D504D" w:rsidP="00223668">
      <w:pPr>
        <w:pStyle w:val="a0"/>
        <w:rPr>
          <w:rtl/>
        </w:rPr>
      </w:pPr>
      <w:bookmarkStart w:id="22671" w:name="_Ref2886390"/>
      <w:r>
        <w:rPr>
          <w:rFonts w:hint="cs"/>
          <w:rtl/>
        </w:rPr>
        <w:t xml:space="preserve">ובתלש חלב והוציאו לחוץ, כתב </w:t>
      </w:r>
      <w:r w:rsidRPr="00F65887">
        <w:rPr>
          <w:rStyle w:val="af9"/>
          <w:rFonts w:hint="cs"/>
          <w:rtl/>
        </w:rPr>
        <w:t>רש"י</w:t>
      </w:r>
      <w:r>
        <w:rPr>
          <w:rFonts w:hint="cs"/>
          <w:rtl/>
        </w:rPr>
        <w:t xml:space="preserve"> </w:t>
      </w:r>
      <w:r w:rsidRPr="009645A9">
        <w:rPr>
          <w:rStyle w:val="af7"/>
          <w:rFonts w:eastAsia="Guttman Hodes" w:hint="cs"/>
          <w:rtl/>
        </w:rPr>
        <w:t>(עה. ד"ה דהושיט)</w:t>
      </w:r>
      <w:r>
        <w:rPr>
          <w:rFonts w:hint="cs"/>
          <w:rtl/>
        </w:rPr>
        <w:t xml:space="preserve"> דלריו"ח כיון דכלו לו חדשיו חלבו אסור, אבל אם נשחט במעי אמו, הוא מותר לדעת ר"י דהוא בכלל היתר "כל בבהמה תאכלו"</w:t>
      </w:r>
      <w:bookmarkStart w:id="22672" w:name="_Toc3234475"/>
      <w:bookmarkStart w:id="22673" w:name="_Toc3287709"/>
      <w:bookmarkEnd w:id="22671"/>
      <w:r>
        <w:rPr>
          <w:rFonts w:hint="cs"/>
          <w:rtl/>
        </w:rPr>
        <w:t>.</w:t>
      </w:r>
    </w:p>
    <w:p w14:paraId="31C91C37" w14:textId="77777777" w:rsidR="007D3AFB" w:rsidRPr="007D3AFB" w:rsidRDefault="007D3AFB" w:rsidP="007D3AFB">
      <w:pPr>
        <w:pStyle w:val="a3"/>
        <w:rPr>
          <w:rtl/>
        </w:rPr>
      </w:pPr>
    </w:p>
    <w:p w14:paraId="0B4C2DA5" w14:textId="77777777" w:rsidR="007D3AFB" w:rsidRPr="007D3AFB" w:rsidRDefault="007D3AFB" w:rsidP="007D3AFB">
      <w:pPr>
        <w:pStyle w:val="a3"/>
      </w:pPr>
    </w:p>
    <w:p w14:paraId="047FC73F" w14:textId="77777777" w:rsidR="003D504D" w:rsidRPr="0037625A" w:rsidRDefault="003D504D" w:rsidP="003D504D">
      <w:pPr>
        <w:pStyle w:val="a3"/>
        <w:rPr>
          <w:rtl/>
        </w:rPr>
      </w:pPr>
      <w:bookmarkStart w:id="22674" w:name="_Toc3322214"/>
      <w:bookmarkStart w:id="22675" w:name="_Toc3480677"/>
      <w:bookmarkStart w:id="22676" w:name="_Toc3484940"/>
      <w:bookmarkStart w:id="22677" w:name="_Toc3535788"/>
      <w:bookmarkStart w:id="22678" w:name="_Toc3543165"/>
      <w:bookmarkStart w:id="22679" w:name="_Toc3550875"/>
      <w:bookmarkStart w:id="22680" w:name="_Toc3551031"/>
      <w:bookmarkStart w:id="22681" w:name="_Toc19391839"/>
      <w:bookmarkStart w:id="22682" w:name="_Toc19395336"/>
      <w:r>
        <w:rPr>
          <w:rFonts w:hint="cs"/>
          <w:rtl/>
        </w:rPr>
        <w:t>דברי התוס' דריו"ח אסר רק כשהוציא את החלב לחוץ ור"י התיר בנשחטה האם</w:t>
      </w:r>
      <w:bookmarkEnd w:id="22672"/>
      <w:bookmarkEnd w:id="22673"/>
      <w:bookmarkEnd w:id="22674"/>
      <w:bookmarkEnd w:id="22675"/>
      <w:bookmarkEnd w:id="22676"/>
      <w:bookmarkEnd w:id="22677"/>
      <w:bookmarkEnd w:id="22678"/>
      <w:bookmarkEnd w:id="22679"/>
      <w:bookmarkEnd w:id="22680"/>
      <w:bookmarkEnd w:id="22681"/>
      <w:bookmarkEnd w:id="22682"/>
    </w:p>
    <w:p w14:paraId="350B671F" w14:textId="77777777" w:rsidR="003D504D" w:rsidRPr="00AA1615" w:rsidRDefault="003D504D" w:rsidP="00223668">
      <w:pPr>
        <w:pStyle w:val="a0"/>
        <w:rPr>
          <w:rtl/>
        </w:rPr>
      </w:pPr>
      <w:bookmarkStart w:id="22683" w:name="_Ref2886400"/>
      <w:r>
        <w:rPr>
          <w:rFonts w:hint="cs"/>
          <w:rtl/>
        </w:rPr>
        <w:t xml:space="preserve">וכ"כ </w:t>
      </w:r>
      <w:r w:rsidRPr="0037625A">
        <w:rPr>
          <w:rStyle w:val="af9"/>
          <w:rFonts w:hint="cs"/>
          <w:rtl/>
        </w:rPr>
        <w:t>התוס'</w:t>
      </w:r>
      <w:r w:rsidRPr="00E124A1">
        <w:rPr>
          <w:rStyle w:val="af7"/>
          <w:rFonts w:eastAsia="Guttman Hodes" w:hint="cs"/>
          <w:rtl/>
        </w:rPr>
        <w:t xml:space="preserve"> (</w:t>
      </w:r>
      <w:r>
        <w:rPr>
          <w:rStyle w:val="af7"/>
          <w:rFonts w:eastAsia="Guttman Hodes" w:hint="cs"/>
          <w:rtl/>
        </w:rPr>
        <w:t xml:space="preserve">עה. </w:t>
      </w:r>
      <w:r w:rsidRPr="00E124A1">
        <w:rPr>
          <w:rStyle w:val="af7"/>
          <w:rFonts w:eastAsia="Guttman Hodes" w:hint="cs"/>
          <w:rtl/>
        </w:rPr>
        <w:t xml:space="preserve">ד"ה ריו"ח) </w:t>
      </w:r>
      <w:r>
        <w:rPr>
          <w:rFonts w:hint="cs"/>
          <w:rtl/>
        </w:rPr>
        <w:t xml:space="preserve">דהא דס"ל לריו"ח דחלבו אסור, היינו כשהוציאו לחוץ, והא דהתיר ר"י בחלב בן ט', היינו אחר שנשחטה אמו והותר </w:t>
      </w:r>
      <w:r w:rsidRPr="00AA1615">
        <w:rPr>
          <w:rFonts w:hint="cs"/>
          <w:rtl/>
        </w:rPr>
        <w:t>בשחיטתה</w:t>
      </w:r>
      <w:r>
        <w:rPr>
          <w:rFonts w:hint="cs"/>
          <w:rtl/>
        </w:rPr>
        <w:t>,</w:t>
      </w:r>
      <w:r w:rsidRPr="00AA1615">
        <w:rPr>
          <w:rFonts w:hint="cs"/>
          <w:rtl/>
        </w:rPr>
        <w:t xml:space="preserve"> וכ"כ </w:t>
      </w:r>
      <w:r w:rsidRPr="00AA1615">
        <w:rPr>
          <w:rStyle w:val="af9"/>
          <w:rFonts w:hint="cs"/>
          <w:rtl/>
        </w:rPr>
        <w:t>הרא"ש</w:t>
      </w:r>
      <w:r w:rsidRPr="00AA1615">
        <w:rPr>
          <w:rFonts w:hint="cs"/>
          <w:rtl/>
        </w:rPr>
        <w:t xml:space="preserve"> </w:t>
      </w:r>
      <w:r w:rsidRPr="00AA1615">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Ref3389340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נו)</w:t>
      </w:r>
      <w:r>
        <w:rPr>
          <w:rStyle w:val="af7"/>
          <w:rFonts w:eastAsia="Guttman Hodes"/>
          <w:rtl/>
        </w:rPr>
        <w:fldChar w:fldCharType="end"/>
      </w:r>
      <w:r w:rsidRPr="00AA1615">
        <w:rPr>
          <w:rFonts w:hint="cs"/>
          <w:rtl/>
        </w:rPr>
        <w:t>.</w:t>
      </w:r>
      <w:bookmarkEnd w:id="22683"/>
    </w:p>
    <w:p w14:paraId="117FE2B0" w14:textId="77777777" w:rsidR="003D504D" w:rsidRDefault="003D504D" w:rsidP="00BF39B2">
      <w:pPr>
        <w:pStyle w:val="1"/>
        <w:rPr>
          <w:rtl/>
        </w:rPr>
      </w:pPr>
      <w:bookmarkStart w:id="22684" w:name="_Toc3234488"/>
      <w:bookmarkStart w:id="22685" w:name="_Toc3287726"/>
      <w:bookmarkStart w:id="22686" w:name="_Toc3322215"/>
      <w:bookmarkStart w:id="22687" w:name="_Toc3480678"/>
      <w:bookmarkStart w:id="22688" w:name="_Toc3484941"/>
      <w:bookmarkStart w:id="22689" w:name="_Toc3535789"/>
      <w:bookmarkStart w:id="22690" w:name="_Toc3543166"/>
      <w:bookmarkStart w:id="22691" w:name="_Toc3550876"/>
      <w:bookmarkStart w:id="22692" w:name="_Toc3551032"/>
      <w:bookmarkStart w:id="22693" w:name="_Toc19391840"/>
      <w:bookmarkStart w:id="22694" w:name="_Toc19395337"/>
      <w:bookmarkStart w:id="22695" w:name="_Toc3234476"/>
      <w:bookmarkStart w:id="22696" w:name="_Toc3287710"/>
      <w:r>
        <w:rPr>
          <w:rFonts w:hint="cs"/>
          <w:rtl/>
        </w:rPr>
        <w:t>ביאור הר"ן בדעת רש"י</w:t>
      </w:r>
      <w:bookmarkEnd w:id="22684"/>
      <w:bookmarkEnd w:id="22685"/>
      <w:r>
        <w:rPr>
          <w:rFonts w:hint="cs"/>
          <w:rtl/>
        </w:rPr>
        <w:t xml:space="preserve"> דריו"ח ור"ל ס"ל כר"י</w:t>
      </w:r>
      <w:bookmarkEnd w:id="22686"/>
      <w:bookmarkEnd w:id="22687"/>
      <w:bookmarkEnd w:id="22688"/>
      <w:bookmarkEnd w:id="22689"/>
      <w:bookmarkEnd w:id="22690"/>
      <w:bookmarkEnd w:id="22691"/>
      <w:bookmarkEnd w:id="22692"/>
      <w:bookmarkEnd w:id="22693"/>
      <w:bookmarkEnd w:id="22694"/>
    </w:p>
    <w:p w14:paraId="722825EB" w14:textId="77777777" w:rsidR="003D504D" w:rsidRPr="00CC34AA" w:rsidRDefault="003D504D" w:rsidP="003D504D">
      <w:pPr>
        <w:pStyle w:val="a3"/>
        <w:rPr>
          <w:rtl/>
        </w:rPr>
      </w:pPr>
      <w:bookmarkStart w:id="22697" w:name="_Toc3322216"/>
      <w:bookmarkStart w:id="22698" w:name="_Toc3480679"/>
      <w:bookmarkStart w:id="22699" w:name="_Toc3484942"/>
      <w:bookmarkStart w:id="22700" w:name="_Toc3535790"/>
      <w:bookmarkStart w:id="22701" w:name="_Toc3543167"/>
      <w:bookmarkStart w:id="22702" w:name="_Toc3550877"/>
      <w:bookmarkStart w:id="22703" w:name="_Toc3551033"/>
      <w:bookmarkStart w:id="22704" w:name="_Toc19391841"/>
      <w:bookmarkStart w:id="22705" w:name="_Toc19395338"/>
      <w:r>
        <w:rPr>
          <w:rFonts w:hint="cs"/>
          <w:rtl/>
        </w:rPr>
        <w:t>ביאור הר"ן דלריו"ח ההיתר הוא בכל מה שבבהמה אף דהשליל וחלבו חשיבי כבהמה בפנ"ע</w:t>
      </w:r>
      <w:bookmarkEnd w:id="22697"/>
      <w:bookmarkEnd w:id="22698"/>
      <w:bookmarkEnd w:id="22699"/>
      <w:bookmarkEnd w:id="22700"/>
      <w:bookmarkEnd w:id="22701"/>
      <w:bookmarkEnd w:id="22702"/>
      <w:bookmarkEnd w:id="22703"/>
      <w:bookmarkEnd w:id="22704"/>
      <w:bookmarkEnd w:id="22705"/>
    </w:p>
    <w:p w14:paraId="09439A1E" w14:textId="77777777" w:rsidR="003D504D" w:rsidRPr="002B6CE9" w:rsidRDefault="003D504D" w:rsidP="00223668">
      <w:pPr>
        <w:pStyle w:val="a0"/>
        <w:rPr>
          <w:rtl/>
        </w:rPr>
      </w:pPr>
      <w:bookmarkStart w:id="22706" w:name="_Ref3132810"/>
      <w:r>
        <w:rPr>
          <w:rFonts w:hint="cs"/>
          <w:rtl/>
        </w:rPr>
        <w:t xml:space="preserve">הביא </w:t>
      </w:r>
      <w:r w:rsidRPr="000C17D5">
        <w:rPr>
          <w:rStyle w:val="af9"/>
          <w:rFonts w:hint="cs"/>
          <w:rtl/>
        </w:rPr>
        <w:t>הר"ן בחי'</w:t>
      </w:r>
      <w:r>
        <w:rPr>
          <w:rFonts w:hint="cs"/>
          <w:rtl/>
        </w:rPr>
        <w:t xml:space="preserve"> </w:t>
      </w:r>
      <w:r w:rsidRPr="000C17D5">
        <w:rPr>
          <w:rStyle w:val="af7"/>
          <w:rFonts w:eastAsia="Guttman Hodes" w:hint="cs"/>
          <w:rtl/>
        </w:rPr>
        <w:t>(</w:t>
      </w:r>
      <w:r>
        <w:rPr>
          <w:rStyle w:val="af7"/>
          <w:rFonts w:eastAsia="Guttman Hodes" w:hint="cs"/>
          <w:rtl/>
        </w:rPr>
        <w:t xml:space="preserve">עה. </w:t>
      </w:r>
      <w:r w:rsidRPr="000C17D5">
        <w:rPr>
          <w:rStyle w:val="af7"/>
          <w:rFonts w:eastAsia="Guttman Hodes" w:hint="cs"/>
          <w:rtl/>
        </w:rPr>
        <w:t>ד"ה כי)</w:t>
      </w:r>
      <w:r>
        <w:rPr>
          <w:rFonts w:hint="cs"/>
          <w:rtl/>
        </w:rPr>
        <w:t xml:space="preserve"> את דברי </w:t>
      </w:r>
      <w:r w:rsidRPr="000C17D5">
        <w:rPr>
          <w:rStyle w:val="af9"/>
          <w:rFonts w:hint="cs"/>
          <w:rtl/>
        </w:rPr>
        <w:t>רש"י</w:t>
      </w:r>
      <w:r>
        <w:rPr>
          <w:rFonts w:hint="cs"/>
          <w:rtl/>
        </w:rPr>
        <w:t xml:space="preserve"> </w:t>
      </w:r>
      <w:r w:rsidRPr="00E76CE1">
        <w:rPr>
          <w:rStyle w:val="af7"/>
          <w:rFonts w:eastAsia="Guttman Hodes" w:hint="cs"/>
          <w:rtl/>
        </w:rPr>
        <w:t xml:space="preserve">(עי' </w:t>
      </w:r>
      <w:r w:rsidRPr="00224948">
        <w:rPr>
          <w:rStyle w:val="af7"/>
          <w:rFonts w:eastAsia="Guttman Hodes" w:hint="cs"/>
          <w:rtl/>
        </w:rPr>
        <w:t xml:space="preserve">אות </w:t>
      </w:r>
      <w:r w:rsidRPr="00224948">
        <w:rPr>
          <w:rStyle w:val="af7"/>
          <w:rFonts w:eastAsia="Guttman Hodes"/>
          <w:rtl/>
        </w:rPr>
        <w:fldChar w:fldCharType="begin"/>
      </w:r>
      <w:r w:rsidRPr="00224948">
        <w:rPr>
          <w:rStyle w:val="af7"/>
          <w:rFonts w:eastAsia="Guttman Hodes"/>
          <w:rtl/>
        </w:rPr>
        <w:instrText xml:space="preserve"> </w:instrText>
      </w:r>
      <w:r w:rsidRPr="00224948">
        <w:rPr>
          <w:rStyle w:val="af7"/>
          <w:rFonts w:eastAsia="Guttman Hodes" w:hint="cs"/>
        </w:rPr>
        <w:instrText>REF</w:instrText>
      </w:r>
      <w:r w:rsidRPr="00224948">
        <w:rPr>
          <w:rStyle w:val="af7"/>
          <w:rFonts w:eastAsia="Guttman Hodes" w:hint="cs"/>
          <w:rtl/>
        </w:rPr>
        <w:instrText xml:space="preserve"> _</w:instrText>
      </w:r>
      <w:r w:rsidRPr="00224948">
        <w:rPr>
          <w:rStyle w:val="af7"/>
          <w:rFonts w:eastAsia="Guttman Hodes" w:hint="cs"/>
        </w:rPr>
        <w:instrText>Ref2886390 \r \h</w:instrText>
      </w:r>
      <w:r w:rsidRPr="0022494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224948">
        <w:rPr>
          <w:rStyle w:val="af7"/>
          <w:rFonts w:eastAsia="Guttman Hodes"/>
          <w:rtl/>
        </w:rPr>
      </w:r>
      <w:r w:rsidRPr="00224948">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224948">
        <w:rPr>
          <w:rStyle w:val="af7"/>
          <w:rFonts w:eastAsia="Guttman Hodes"/>
          <w:rtl/>
        </w:rPr>
        <w:fldChar w:fldCharType="end"/>
      </w:r>
      <w:r>
        <w:rPr>
          <w:rFonts w:hint="cs"/>
          <w:rtl/>
        </w:rPr>
        <w:t xml:space="preserve"> דריו"ח ור"ל ס"ל כר"י ונחלקו בדעתו, וביאר </w:t>
      </w:r>
      <w:r w:rsidRPr="002B6CE9">
        <w:rPr>
          <w:rStyle w:val="af9"/>
          <w:rFonts w:hint="cs"/>
          <w:rtl/>
        </w:rPr>
        <w:t>הר"ן בחי'</w:t>
      </w:r>
      <w:r w:rsidRPr="002B6CE9">
        <w:rPr>
          <w:rFonts w:hint="cs"/>
          <w:rtl/>
        </w:rPr>
        <w:t xml:space="preserve"> </w:t>
      </w:r>
      <w:r w:rsidRPr="002B6CE9">
        <w:rPr>
          <w:rStyle w:val="afb"/>
          <w:rFonts w:hint="cs"/>
          <w:rtl/>
        </w:rPr>
        <w:t xml:space="preserve">[בדעת </w:t>
      </w:r>
      <w:r w:rsidRPr="002B6CE9">
        <w:rPr>
          <w:rStyle w:val="affa"/>
          <w:rFonts w:hint="cs"/>
          <w:rtl/>
        </w:rPr>
        <w:t>רש"י</w:t>
      </w:r>
      <w:r w:rsidRPr="002B6CE9">
        <w:rPr>
          <w:rStyle w:val="afb"/>
          <w:rFonts w:hint="cs"/>
          <w:rtl/>
        </w:rPr>
        <w:t>]</w:t>
      </w:r>
      <w:r w:rsidRPr="002B6CE9">
        <w:rPr>
          <w:rFonts w:hint="cs"/>
          <w:rtl/>
        </w:rPr>
        <w:t xml:space="preserve"> דריו"ח ס"ל דכיון דכתיב "בהמה בבהמה" א"כ מבואר דנקרא השליל בהמה, והוא כבהמה גמורה, אלא דהתירה תורה את כל מה שנמצא במעי אמו, מהיתר "כל בבהמה תאכלו", ולכן אף חלבו וגידו מותרים, אבל בתלש חלב והוציאו לחוץ, הוא כחלב בהמה גמורה</w:t>
      </w:r>
      <w:bookmarkEnd w:id="22706"/>
      <w:r>
        <w:rPr>
          <w:rFonts w:hint="cs"/>
          <w:rtl/>
        </w:rPr>
        <w:t>.</w:t>
      </w:r>
    </w:p>
    <w:p w14:paraId="017C1A30" w14:textId="77777777" w:rsidR="003D504D" w:rsidRPr="002B6CE9" w:rsidRDefault="003D504D" w:rsidP="003D504D">
      <w:pPr>
        <w:pStyle w:val="a3"/>
        <w:rPr>
          <w:rtl/>
        </w:rPr>
      </w:pPr>
      <w:bookmarkStart w:id="22707" w:name="_Toc3322217"/>
      <w:bookmarkStart w:id="22708" w:name="_Toc3480680"/>
      <w:bookmarkStart w:id="22709" w:name="_Toc3484943"/>
      <w:bookmarkStart w:id="22710" w:name="_Toc3535791"/>
      <w:bookmarkStart w:id="22711" w:name="_Toc3543168"/>
      <w:bookmarkStart w:id="22712" w:name="_Toc3550878"/>
      <w:bookmarkStart w:id="22713" w:name="_Toc3551034"/>
      <w:bookmarkStart w:id="22714" w:name="_Toc19391842"/>
      <w:bookmarkStart w:id="22715" w:name="_Toc19395339"/>
      <w:r>
        <w:rPr>
          <w:rFonts w:hint="cs"/>
          <w:rtl/>
        </w:rPr>
        <w:t>ביאור הר"ן דלר"ל כיון שהתירה תורה שליל מוכח דחלבו לא חשיב חלב דהא שחיטה אינה מתירתו</w:t>
      </w:r>
      <w:bookmarkEnd w:id="22707"/>
      <w:bookmarkEnd w:id="22708"/>
      <w:bookmarkEnd w:id="22709"/>
      <w:bookmarkEnd w:id="22710"/>
      <w:bookmarkEnd w:id="22711"/>
      <w:bookmarkEnd w:id="22712"/>
      <w:bookmarkEnd w:id="22713"/>
      <w:bookmarkEnd w:id="22714"/>
      <w:bookmarkEnd w:id="22715"/>
    </w:p>
    <w:p w14:paraId="11055A23" w14:textId="77777777" w:rsidR="003D504D" w:rsidRDefault="003D504D" w:rsidP="00223668">
      <w:pPr>
        <w:pStyle w:val="a0"/>
        <w:rPr>
          <w:rtl/>
        </w:rPr>
      </w:pPr>
      <w:r w:rsidRPr="002B6CE9">
        <w:rPr>
          <w:rFonts w:hint="cs"/>
          <w:rtl/>
        </w:rPr>
        <w:t xml:space="preserve">ובדעת ר"ל ביאר </w:t>
      </w:r>
      <w:r w:rsidRPr="002B6CE9">
        <w:rPr>
          <w:rStyle w:val="af9"/>
          <w:rFonts w:hint="cs"/>
          <w:rtl/>
        </w:rPr>
        <w:t>הר"ן בחי'</w:t>
      </w:r>
      <w:r w:rsidRPr="002B6CE9">
        <w:rPr>
          <w:rFonts w:hint="cs"/>
          <w:rtl/>
        </w:rPr>
        <w:t xml:space="preserve"> </w:t>
      </w:r>
      <w:r w:rsidRPr="002B6CE9">
        <w:rPr>
          <w:rStyle w:val="afb"/>
          <w:rFonts w:hint="cs"/>
          <w:rtl/>
        </w:rPr>
        <w:t xml:space="preserve">[בדעת </w:t>
      </w:r>
      <w:r w:rsidRPr="002B6CE9">
        <w:rPr>
          <w:rStyle w:val="affa"/>
          <w:rFonts w:hint="cs"/>
          <w:rtl/>
        </w:rPr>
        <w:t>רש"י</w:t>
      </w:r>
      <w:r w:rsidRPr="002B6CE9">
        <w:rPr>
          <w:rStyle w:val="afb"/>
          <w:rFonts w:hint="cs"/>
          <w:rtl/>
        </w:rPr>
        <w:t>]</w:t>
      </w:r>
      <w:r w:rsidRPr="002B6CE9">
        <w:rPr>
          <w:rFonts w:hint="cs"/>
          <w:rtl/>
        </w:rPr>
        <w:t xml:space="preserve"> דאי חלבו כחלב גמור, לא יתכן לומר שהתירתו תורה בשחיטה, </w:t>
      </w:r>
      <w:r w:rsidRPr="002B6CE9">
        <w:rPr>
          <w:rStyle w:val="afb"/>
          <w:rFonts w:hint="cs"/>
          <w:rtl/>
        </w:rPr>
        <w:t>[דהשחיטה</w:t>
      </w:r>
      <w:r w:rsidRPr="000C17D5">
        <w:rPr>
          <w:rStyle w:val="afb"/>
          <w:rFonts w:hint="cs"/>
          <w:rtl/>
        </w:rPr>
        <w:t xml:space="preserve"> אינה מתרת את איסור חלב],</w:t>
      </w:r>
      <w:r>
        <w:rPr>
          <w:rFonts w:hint="cs"/>
          <w:rtl/>
        </w:rPr>
        <w:t xml:space="preserve"> וכיון דאמרה תורה דחלבו וגידו מותר בהיתר "כל בבהמה תאכלו", א"כ מוכח דחלבו לא נקרא חלב עד דכלו לו חדשיו ויצא לאויר העולם, ולכן אמר ר"ל דאף כשתלש את חלבו והוציאו לחוץ מותר, דאין בו איסור חלב, וכ"כ </w:t>
      </w:r>
      <w:r w:rsidRPr="00D17A4B">
        <w:rPr>
          <w:rStyle w:val="af9"/>
          <w:rFonts w:hint="cs"/>
          <w:rtl/>
        </w:rPr>
        <w:t>הראבי"ה</w:t>
      </w:r>
      <w:r>
        <w:rPr>
          <w:rFonts w:hint="cs"/>
          <w:rtl/>
        </w:rPr>
        <w:t xml:space="preserve"> </w:t>
      </w:r>
      <w:r w:rsidRPr="00D17A4B">
        <w:rPr>
          <w:rStyle w:val="af7"/>
          <w:rFonts w:eastAsia="Guttman Hodes" w:hint="cs"/>
          <w:rtl/>
        </w:rPr>
        <w:t>(סי' אלף קל"ט</w:t>
      </w:r>
      <w:r>
        <w:rPr>
          <w:rStyle w:val="af7"/>
          <w:rFonts w:eastAsia="Guttman Hodes" w:hint="cs"/>
          <w:rtl/>
        </w:rPr>
        <w:t>, הועתק בקובץ שיטות קמאי חולין ח"ב עמ' אלף תרנ"ה</w:t>
      </w:r>
      <w:r w:rsidRPr="00D17A4B">
        <w:rPr>
          <w:rStyle w:val="af7"/>
          <w:rFonts w:eastAsia="Guttman Hodes" w:hint="cs"/>
          <w:rtl/>
        </w:rPr>
        <w:t>)</w:t>
      </w:r>
      <w:r>
        <w:rPr>
          <w:rFonts w:hint="cs"/>
          <w:rtl/>
        </w:rPr>
        <w:t xml:space="preserve"> דריו"ח ור"ל נחלקו אליבא דר"י, אבל לר"מ פשיטא דאסור בתלש חלב., אך כתב </w:t>
      </w:r>
      <w:r w:rsidRPr="000C17D5">
        <w:rPr>
          <w:rStyle w:val="af9"/>
          <w:rFonts w:hint="cs"/>
          <w:rtl/>
        </w:rPr>
        <w:t>הר"ן על הרי"ף</w:t>
      </w:r>
      <w:r>
        <w:rPr>
          <w:rFonts w:hint="cs"/>
          <w:rtl/>
        </w:rPr>
        <w:t xml:space="preserve"> </w:t>
      </w:r>
      <w:r w:rsidRPr="000C17D5">
        <w:rPr>
          <w:rStyle w:val="af7"/>
          <w:rFonts w:eastAsia="Guttman Hodes" w:hint="cs"/>
          <w:rtl/>
        </w:rPr>
        <w:t>(כה. מדפי הרי"ף ד"ה גרסי')</w:t>
      </w:r>
      <w:r>
        <w:rPr>
          <w:rFonts w:hint="cs"/>
          <w:rtl/>
        </w:rPr>
        <w:t xml:space="preserve"> דאין כוונת ר"ל לומר דמותר לגמרי, דמודה ר"ל שהוא אסור כאבר היוצא שאינו מותר בשחיטת אמו, אלא דאין בו איסור חלב</w:t>
      </w:r>
    </w:p>
    <w:p w14:paraId="155FBB1F" w14:textId="77777777" w:rsidR="003D504D" w:rsidRDefault="003D504D" w:rsidP="003D504D">
      <w:pPr>
        <w:pStyle w:val="a3"/>
        <w:rPr>
          <w:rtl/>
        </w:rPr>
      </w:pPr>
      <w:bookmarkStart w:id="22716" w:name="_Toc3322218"/>
      <w:bookmarkStart w:id="22717" w:name="_Toc3480681"/>
      <w:bookmarkStart w:id="22718" w:name="_Toc3484944"/>
      <w:bookmarkStart w:id="22719" w:name="_Toc3535792"/>
      <w:bookmarkStart w:id="22720" w:name="_Toc3543169"/>
      <w:bookmarkStart w:id="22721" w:name="_Toc3550879"/>
      <w:bookmarkStart w:id="22722" w:name="_Toc3551035"/>
      <w:bookmarkStart w:id="22723" w:name="_Toc19391843"/>
      <w:bookmarkStart w:id="22724" w:name="_Toc19395340"/>
      <w:r>
        <w:rPr>
          <w:rFonts w:hint="cs"/>
          <w:rtl/>
        </w:rPr>
        <w:t>דברי הר"ן והמאירי דקיי"ל כר"י וכריו"ח וביאור המאירי דבתלש חשיב שיצא העובר ממעי אמו</w:t>
      </w:r>
      <w:bookmarkEnd w:id="22716"/>
      <w:bookmarkEnd w:id="22717"/>
      <w:bookmarkEnd w:id="22718"/>
      <w:bookmarkEnd w:id="22719"/>
      <w:bookmarkEnd w:id="22720"/>
      <w:bookmarkEnd w:id="22721"/>
      <w:bookmarkEnd w:id="22722"/>
      <w:bookmarkEnd w:id="22723"/>
      <w:bookmarkEnd w:id="22724"/>
    </w:p>
    <w:p w14:paraId="149A6167" w14:textId="77777777" w:rsidR="003D504D" w:rsidRDefault="003D504D" w:rsidP="00223668">
      <w:pPr>
        <w:pStyle w:val="a0"/>
        <w:rPr>
          <w:rtl/>
        </w:rPr>
      </w:pPr>
      <w:r>
        <w:rPr>
          <w:rFonts w:hint="cs"/>
          <w:rtl/>
        </w:rPr>
        <w:t xml:space="preserve">וכתב </w:t>
      </w:r>
      <w:r w:rsidRPr="005E7921">
        <w:rPr>
          <w:rStyle w:val="af9"/>
          <w:rFonts w:hint="cs"/>
          <w:rtl/>
        </w:rPr>
        <w:t>הר"ן בחי'</w:t>
      </w:r>
      <w:r>
        <w:rPr>
          <w:rFonts w:hint="cs"/>
          <w:rtl/>
        </w:rPr>
        <w:t xml:space="preserve"> דלפי"ז קיי"ל כר"י דהחלב והגיד של הבן פקועה מותר בשחיטת אמו, ובתלש ממנו חלב והוציאו לחוץ קיי"ל כריו"ח דחדשים גרמי, וכתב </w:t>
      </w:r>
      <w:r w:rsidRPr="005E7921">
        <w:rPr>
          <w:rStyle w:val="af9"/>
          <w:rFonts w:hint="cs"/>
          <w:rtl/>
        </w:rPr>
        <w:t>הר"ן בחי'</w:t>
      </w:r>
      <w:r>
        <w:rPr>
          <w:rFonts w:hint="cs"/>
          <w:rtl/>
        </w:rPr>
        <w:t xml:space="preserve"> דכן מבואר </w:t>
      </w:r>
      <w:r w:rsidRPr="00A7560A">
        <w:rPr>
          <w:rFonts w:hint="cs"/>
          <w:rtl/>
        </w:rPr>
        <w:t xml:space="preserve">בדברי </w:t>
      </w:r>
      <w:r w:rsidRPr="00A7560A">
        <w:rPr>
          <w:rStyle w:val="af9"/>
          <w:rFonts w:hint="cs"/>
          <w:rtl/>
        </w:rPr>
        <w:t>הרי"ף</w:t>
      </w:r>
      <w:r w:rsidRPr="00A7560A">
        <w:rPr>
          <w:rFonts w:hint="cs"/>
          <w:rtl/>
        </w:rPr>
        <w:t>, וכ"כ</w:t>
      </w:r>
      <w:r w:rsidRPr="00A7560A">
        <w:rPr>
          <w:rStyle w:val="af9"/>
          <w:rFonts w:hint="cs"/>
          <w:rtl/>
        </w:rPr>
        <w:t xml:space="preserve"> המאירי</w:t>
      </w:r>
      <w:r w:rsidRPr="00A7560A">
        <w:rPr>
          <w:rFonts w:hint="cs"/>
          <w:rtl/>
        </w:rPr>
        <w:t xml:space="preserve"> </w:t>
      </w:r>
      <w:r w:rsidRPr="00A7560A">
        <w:rPr>
          <w:rStyle w:val="af7"/>
          <w:rFonts w:eastAsia="Guttman Hodes" w:hint="cs"/>
          <w:rtl/>
        </w:rPr>
        <w:t>(עה. ד"ה מצא)</w:t>
      </w:r>
      <w:r w:rsidRPr="00A7560A">
        <w:rPr>
          <w:rFonts w:hint="cs"/>
          <w:rtl/>
        </w:rPr>
        <w:t xml:space="preserve"> והוסיף דהא דמודה</w:t>
      </w:r>
      <w:r>
        <w:rPr>
          <w:rFonts w:hint="cs"/>
          <w:rtl/>
        </w:rPr>
        <w:t xml:space="preserve"> ר"י דבתלש חלב אסור, הוא כיון דלענין החלב חשיב כאילו יצא הבן ט' ממעי אמו.</w:t>
      </w:r>
    </w:p>
    <w:p w14:paraId="0197730B" w14:textId="77777777" w:rsidR="003D504D" w:rsidRDefault="003D504D" w:rsidP="00BF39B2">
      <w:pPr>
        <w:pStyle w:val="1"/>
        <w:rPr>
          <w:rtl/>
        </w:rPr>
      </w:pPr>
      <w:bookmarkStart w:id="22725" w:name="_Toc19391844"/>
      <w:bookmarkStart w:id="22726" w:name="_Toc19395341"/>
      <w:bookmarkStart w:id="22727" w:name="_Toc3550880"/>
      <w:bookmarkStart w:id="22728" w:name="_Toc3551036"/>
      <w:bookmarkStart w:id="22729" w:name="_Toc3322219"/>
      <w:bookmarkStart w:id="22730" w:name="_Toc3480682"/>
      <w:bookmarkStart w:id="22731" w:name="_Toc3484945"/>
      <w:bookmarkStart w:id="22732" w:name="_Toc3535793"/>
      <w:bookmarkStart w:id="22733" w:name="_Toc3543170"/>
      <w:r>
        <w:rPr>
          <w:rFonts w:hint="cs"/>
          <w:rtl/>
        </w:rPr>
        <w:t>ביאורי העיטור בדעת הרי"ף ורש"י</w:t>
      </w:r>
      <w:bookmarkEnd w:id="22725"/>
      <w:bookmarkEnd w:id="22726"/>
    </w:p>
    <w:p w14:paraId="2A2514D2" w14:textId="77777777" w:rsidR="003D504D" w:rsidRDefault="003D504D" w:rsidP="003D504D">
      <w:pPr>
        <w:pStyle w:val="a3"/>
        <w:rPr>
          <w:rtl/>
        </w:rPr>
      </w:pPr>
      <w:bookmarkStart w:id="22734" w:name="_Toc19391845"/>
      <w:bookmarkStart w:id="22735" w:name="_Toc19395342"/>
      <w:r>
        <w:rPr>
          <w:rFonts w:hint="cs"/>
          <w:rtl/>
        </w:rPr>
        <w:t>דברי העיטור בדעת הרי"ף דס"ל דריו"ח ס"ל כר"י ומתיר בחלב בנשחטה האם</w:t>
      </w:r>
      <w:bookmarkEnd w:id="22727"/>
      <w:bookmarkEnd w:id="22728"/>
      <w:bookmarkEnd w:id="22734"/>
      <w:bookmarkEnd w:id="22735"/>
    </w:p>
    <w:p w14:paraId="6B9C97BD" w14:textId="77777777" w:rsidR="003D504D" w:rsidRDefault="003D504D" w:rsidP="00223668">
      <w:pPr>
        <w:pStyle w:val="a0"/>
        <w:rPr>
          <w:rtl/>
        </w:rPr>
      </w:pPr>
      <w:bookmarkStart w:id="22736" w:name="_Ref3550095"/>
      <w:r>
        <w:rPr>
          <w:rStyle w:val="af9"/>
          <w:rFonts w:hint="cs"/>
          <w:rtl/>
        </w:rPr>
        <w:t>ו</w:t>
      </w:r>
      <w:r w:rsidRPr="005868AC">
        <w:rPr>
          <w:rStyle w:val="af9"/>
          <w:rFonts w:hint="cs"/>
          <w:rtl/>
        </w:rPr>
        <w:t>העיטור</w:t>
      </w:r>
      <w:r w:rsidRPr="005868AC">
        <w:rPr>
          <w:rFonts w:hint="cs"/>
          <w:rtl/>
        </w:rPr>
        <w:t xml:space="preserve"> </w:t>
      </w:r>
      <w:r w:rsidRPr="005868AC">
        <w:rPr>
          <w:rStyle w:val="af7"/>
          <w:rFonts w:eastAsia="Guttman Hodes" w:hint="cs"/>
          <w:rtl/>
        </w:rPr>
        <w:t>(</w:t>
      </w:r>
      <w:r w:rsidRPr="005868AC">
        <w:rPr>
          <w:rStyle w:val="af7"/>
          <w:rFonts w:eastAsia="Guttman Hodes"/>
          <w:rtl/>
        </w:rPr>
        <w:t>ש</w:t>
      </w:r>
      <w:r w:rsidRPr="005868AC">
        <w:rPr>
          <w:rStyle w:val="af7"/>
          <w:rFonts w:eastAsia="Guttman Hodes" w:hint="cs"/>
          <w:rtl/>
        </w:rPr>
        <w:t>"</w:t>
      </w:r>
      <w:r w:rsidRPr="005868AC">
        <w:rPr>
          <w:rStyle w:val="af7"/>
          <w:rFonts w:eastAsia="Guttman Hodes"/>
          <w:rtl/>
        </w:rPr>
        <w:t>ב</w:t>
      </w:r>
      <w:r w:rsidRPr="005868AC">
        <w:rPr>
          <w:rStyle w:val="af7"/>
          <w:rFonts w:eastAsia="Guttman Hodes" w:hint="cs"/>
          <w:rtl/>
        </w:rPr>
        <w:t xml:space="preserve"> </w:t>
      </w:r>
      <w:r w:rsidRPr="005868AC">
        <w:rPr>
          <w:rStyle w:val="af7"/>
          <w:rFonts w:eastAsia="Guttman Hodes"/>
          <w:rtl/>
        </w:rPr>
        <w:t xml:space="preserve">הלכות שחיטה </w:t>
      </w:r>
      <w:r w:rsidRPr="005868AC">
        <w:rPr>
          <w:rStyle w:val="af7"/>
          <w:rFonts w:eastAsia="Guttman Hodes" w:hint="cs"/>
          <w:rtl/>
        </w:rPr>
        <w:t xml:space="preserve">ח"ג מהחלק השלישי </w:t>
      </w:r>
      <w:r w:rsidRPr="005868AC">
        <w:rPr>
          <w:rStyle w:val="af7"/>
          <w:rFonts w:eastAsia="Guttman Hodes"/>
          <w:rtl/>
        </w:rPr>
        <w:t>דף כ</w:t>
      </w:r>
      <w:r w:rsidRPr="005868AC">
        <w:rPr>
          <w:rStyle w:val="af7"/>
          <w:rFonts w:eastAsia="Guttman Hodes" w:hint="cs"/>
          <w:rtl/>
        </w:rPr>
        <w:t xml:space="preserve">"ט., הועתק בקובץ שיטות קמאי חולין ח"ב עמ' אלף תרנ"ז) </w:t>
      </w:r>
      <w:r w:rsidRPr="005868AC">
        <w:rPr>
          <w:rFonts w:hint="cs"/>
          <w:rtl/>
        </w:rPr>
        <w:t xml:space="preserve">הביא </w:t>
      </w:r>
      <w:r w:rsidRPr="005868AC">
        <w:rPr>
          <w:rStyle w:val="af9"/>
          <w:rFonts w:hint="cs"/>
          <w:rtl/>
        </w:rPr>
        <w:t>דהרי"ף</w:t>
      </w:r>
      <w:r w:rsidRPr="005868AC">
        <w:rPr>
          <w:rFonts w:hint="cs"/>
          <w:rtl/>
        </w:rPr>
        <w:t xml:space="preserve"> פסק כרבנן בין לענין שחיטה ובין לענין החלב, וביאר </w:t>
      </w:r>
      <w:r w:rsidRPr="005868AC">
        <w:rPr>
          <w:rStyle w:val="af9"/>
          <w:rFonts w:hint="cs"/>
          <w:rtl/>
        </w:rPr>
        <w:t>העיטור</w:t>
      </w:r>
      <w:r w:rsidRPr="005868AC">
        <w:rPr>
          <w:rFonts w:hint="cs"/>
          <w:rtl/>
        </w:rPr>
        <w:t xml:space="preserve"> דס"ל </w:t>
      </w:r>
      <w:r w:rsidRPr="005868AC">
        <w:rPr>
          <w:rStyle w:val="af9"/>
          <w:rFonts w:hint="cs"/>
          <w:rtl/>
        </w:rPr>
        <w:t>להרי"ף</w:t>
      </w:r>
      <w:r w:rsidRPr="005868AC">
        <w:rPr>
          <w:rFonts w:hint="cs"/>
          <w:rtl/>
        </w:rPr>
        <w:t xml:space="preserve"> דהא דאסר ריו"ח בתלש חלב, היינו כיון שלא נשחטה הבהמה, אבל בנשחטה ס"ל לריו"ח דהחלב מותר לר"י מהיתר "כל בבהמה תאכלו", אבל כשלא נשחטה הבהמה אף לדעת ר"י החלב אסור.</w:t>
      </w:r>
      <w:bookmarkEnd w:id="22736"/>
    </w:p>
    <w:p w14:paraId="71761A61" w14:textId="77777777" w:rsidR="003D504D" w:rsidRDefault="003D504D" w:rsidP="003D504D">
      <w:pPr>
        <w:pStyle w:val="a3"/>
        <w:rPr>
          <w:rtl/>
        </w:rPr>
      </w:pPr>
      <w:bookmarkStart w:id="22737" w:name="_Toc3550881"/>
      <w:bookmarkStart w:id="22738" w:name="_Toc3551037"/>
      <w:bookmarkStart w:id="22739" w:name="_Toc19391846"/>
      <w:bookmarkStart w:id="22740" w:name="_Toc19395343"/>
      <w:r>
        <w:rPr>
          <w:rFonts w:hint="cs"/>
          <w:rtl/>
        </w:rPr>
        <w:t>דברי העיטור בשם רש"י דריו"ח ור"ל נחלקו רק בדעת ר"מ ולא בדעת ר"י</w:t>
      </w:r>
      <w:bookmarkEnd w:id="22737"/>
      <w:bookmarkEnd w:id="22738"/>
      <w:bookmarkEnd w:id="22739"/>
      <w:bookmarkEnd w:id="22740"/>
    </w:p>
    <w:p w14:paraId="5ADEEAA8" w14:textId="77777777" w:rsidR="003D504D" w:rsidRDefault="003D504D" w:rsidP="00223668">
      <w:pPr>
        <w:pStyle w:val="a0"/>
        <w:rPr>
          <w:rtl/>
        </w:rPr>
      </w:pPr>
      <w:r w:rsidRPr="0057066D">
        <w:rPr>
          <w:rFonts w:hint="cs"/>
          <w:rtl/>
        </w:rPr>
        <w:t xml:space="preserve">ודחה </w:t>
      </w:r>
      <w:r w:rsidRPr="0057066D">
        <w:rPr>
          <w:rStyle w:val="af9"/>
          <w:rFonts w:hint="cs"/>
          <w:rtl/>
        </w:rPr>
        <w:t>העיטור</w:t>
      </w:r>
      <w:r w:rsidRPr="0057066D">
        <w:rPr>
          <w:rFonts w:hint="cs"/>
          <w:rtl/>
        </w:rPr>
        <w:t xml:space="preserve"> את דברי </w:t>
      </w:r>
      <w:r w:rsidRPr="0057066D">
        <w:rPr>
          <w:rStyle w:val="af9"/>
          <w:rFonts w:hint="cs"/>
          <w:rtl/>
        </w:rPr>
        <w:t xml:space="preserve">הרי"ף </w:t>
      </w:r>
      <w:r w:rsidRPr="0057066D">
        <w:rPr>
          <w:rFonts w:hint="cs"/>
          <w:rtl/>
        </w:rPr>
        <w:t xml:space="preserve">וכתב </w:t>
      </w:r>
      <w:r w:rsidRPr="0057066D">
        <w:rPr>
          <w:rStyle w:val="af9"/>
          <w:rFonts w:hint="cs"/>
          <w:rtl/>
        </w:rPr>
        <w:t>העיטור</w:t>
      </w:r>
      <w:r w:rsidRPr="0057066D">
        <w:rPr>
          <w:rFonts w:hint="cs"/>
          <w:rtl/>
        </w:rPr>
        <w:t xml:space="preserve"> דהמחלוקת של ריו"ח ור"ל היא אפילו כשנשחטה הבהמה, ונחלקו רק אליבא דר"מ דס"ל דבן ט' חי טעון שחיטה, ו</w:t>
      </w:r>
      <w:r>
        <w:rPr>
          <w:rFonts w:hint="cs"/>
          <w:rtl/>
        </w:rPr>
        <w:t>כד</w:t>
      </w:r>
      <w:r w:rsidRPr="0057066D">
        <w:rPr>
          <w:rFonts w:hint="cs"/>
          <w:rtl/>
        </w:rPr>
        <w:t xml:space="preserve">ביאר </w:t>
      </w:r>
      <w:r w:rsidRPr="0057066D">
        <w:rPr>
          <w:rStyle w:val="af9"/>
          <w:rFonts w:hint="cs"/>
          <w:rtl/>
        </w:rPr>
        <w:t xml:space="preserve">העיטור </w:t>
      </w:r>
      <w:r w:rsidRPr="0090221B">
        <w:rPr>
          <w:rStyle w:val="af7"/>
          <w:rFonts w:eastAsia="Guttman Hodes" w:hint="cs"/>
          <w:rtl/>
        </w:rPr>
        <w:t xml:space="preserve">(עי' אות </w:t>
      </w:r>
      <w:r w:rsidRPr="0090221B">
        <w:rPr>
          <w:rStyle w:val="af7"/>
          <w:rFonts w:eastAsia="Guttman Hodes"/>
          <w:rtl/>
        </w:rPr>
        <w:fldChar w:fldCharType="begin"/>
      </w:r>
      <w:r w:rsidRPr="0090221B">
        <w:rPr>
          <w:rStyle w:val="af7"/>
          <w:rFonts w:eastAsia="Guttman Hodes"/>
          <w:rtl/>
        </w:rPr>
        <w:instrText xml:space="preserve"> </w:instrText>
      </w:r>
      <w:r w:rsidRPr="0090221B">
        <w:rPr>
          <w:rStyle w:val="af7"/>
          <w:rFonts w:eastAsia="Guttman Hodes" w:hint="cs"/>
        </w:rPr>
        <w:instrText>REF</w:instrText>
      </w:r>
      <w:r w:rsidRPr="0090221B">
        <w:rPr>
          <w:rStyle w:val="af7"/>
          <w:rFonts w:eastAsia="Guttman Hodes" w:hint="cs"/>
          <w:rtl/>
        </w:rPr>
        <w:instrText xml:space="preserve"> _</w:instrText>
      </w:r>
      <w:r w:rsidRPr="0090221B">
        <w:rPr>
          <w:rStyle w:val="af7"/>
          <w:rFonts w:eastAsia="Guttman Hodes" w:hint="cs"/>
        </w:rPr>
        <w:instrText>Ref3493954 \r \h</w:instrText>
      </w:r>
      <w:r w:rsidRPr="0090221B">
        <w:rPr>
          <w:rStyle w:val="af7"/>
          <w:rFonts w:eastAsia="Guttman Hodes"/>
          <w:rtl/>
        </w:rPr>
        <w:instrText xml:space="preserve"> </w:instrText>
      </w:r>
      <w:r w:rsidRPr="0090221B">
        <w:rPr>
          <w:rStyle w:val="af7"/>
          <w:rFonts w:eastAsia="Guttman Hodes"/>
          <w:rtl/>
        </w:rPr>
      </w:r>
      <w:r w:rsidRPr="0090221B">
        <w:rPr>
          <w:rStyle w:val="af7"/>
          <w:rFonts w:eastAsia="Guttman Hodes"/>
          <w:rtl/>
        </w:rPr>
        <w:fldChar w:fldCharType="separate"/>
      </w:r>
      <w:r w:rsidR="00345400">
        <w:rPr>
          <w:rStyle w:val="af7"/>
          <w:rFonts w:eastAsia="Guttman Hodes"/>
          <w:cs/>
        </w:rPr>
        <w:t>‎</w:t>
      </w:r>
      <w:r w:rsidR="00345400">
        <w:rPr>
          <w:rStyle w:val="af7"/>
          <w:rFonts w:eastAsia="Guttman Hodes"/>
          <w:rtl/>
        </w:rPr>
        <w:t>קב)</w:t>
      </w:r>
      <w:r w:rsidRPr="0090221B">
        <w:rPr>
          <w:rStyle w:val="af7"/>
          <w:rFonts w:eastAsia="Guttman Hodes"/>
          <w:rtl/>
        </w:rPr>
        <w:fldChar w:fldCharType="end"/>
      </w:r>
      <w:r>
        <w:rPr>
          <w:rFonts w:hint="cs"/>
          <w:rtl/>
        </w:rPr>
        <w:t xml:space="preserve">, וכתב </w:t>
      </w:r>
      <w:bookmarkEnd w:id="22729"/>
      <w:bookmarkEnd w:id="22730"/>
      <w:bookmarkEnd w:id="22731"/>
      <w:bookmarkEnd w:id="22732"/>
      <w:bookmarkEnd w:id="22733"/>
      <w:r w:rsidRPr="00A73CD5">
        <w:rPr>
          <w:rStyle w:val="af9"/>
          <w:rFonts w:hint="cs"/>
          <w:rtl/>
        </w:rPr>
        <w:t>העיטור</w:t>
      </w:r>
      <w:r>
        <w:rPr>
          <w:rFonts w:hint="cs"/>
          <w:rtl/>
        </w:rPr>
        <w:t xml:space="preserve"> </w:t>
      </w:r>
      <w:r w:rsidRPr="0090221B">
        <w:rPr>
          <w:rStyle w:val="af7"/>
          <w:rFonts w:eastAsia="Guttman Hodes" w:hint="cs"/>
          <w:rtl/>
        </w:rPr>
        <w:t>(עי' אות</w:t>
      </w:r>
      <w:r w:rsidRPr="00637702">
        <w:rPr>
          <w:rStyle w:val="af7"/>
          <w:rFonts w:eastAsia="Guttman Hodes" w:hint="cs"/>
          <w:rtl/>
        </w:rPr>
        <w:t xml:space="preserve"> </w:t>
      </w:r>
      <w:r w:rsidRPr="00637702">
        <w:rPr>
          <w:rStyle w:val="af7"/>
          <w:rFonts w:eastAsia="Guttman Hodes"/>
          <w:rtl/>
        </w:rPr>
        <w:fldChar w:fldCharType="begin"/>
      </w:r>
      <w:r w:rsidRPr="00637702">
        <w:rPr>
          <w:rStyle w:val="af7"/>
          <w:rFonts w:eastAsia="Guttman Hodes"/>
          <w:rtl/>
        </w:rPr>
        <w:instrText xml:space="preserve"> </w:instrText>
      </w:r>
      <w:r w:rsidRPr="00637702">
        <w:rPr>
          <w:rStyle w:val="af7"/>
          <w:rFonts w:eastAsia="Guttman Hodes" w:hint="cs"/>
        </w:rPr>
        <w:instrText>REF</w:instrText>
      </w:r>
      <w:r w:rsidRPr="00637702">
        <w:rPr>
          <w:rStyle w:val="af7"/>
          <w:rFonts w:eastAsia="Guttman Hodes" w:hint="cs"/>
          <w:rtl/>
        </w:rPr>
        <w:instrText xml:space="preserve"> _</w:instrText>
      </w:r>
      <w:r w:rsidRPr="00637702">
        <w:rPr>
          <w:rStyle w:val="af7"/>
          <w:rFonts w:eastAsia="Guttman Hodes" w:hint="cs"/>
        </w:rPr>
        <w:instrText>Ref3550128 \r \h</w:instrText>
      </w:r>
      <w:r w:rsidRPr="00637702">
        <w:rPr>
          <w:rStyle w:val="af7"/>
          <w:rFonts w:eastAsia="Guttman Hodes"/>
          <w:rtl/>
        </w:rPr>
        <w:instrText xml:space="preserve"> </w:instrText>
      </w:r>
      <w:r w:rsidRPr="00637702">
        <w:rPr>
          <w:rStyle w:val="af7"/>
          <w:rFonts w:eastAsia="Guttman Hodes"/>
          <w:rtl/>
        </w:rPr>
      </w:r>
      <w:r w:rsidRPr="00637702">
        <w:rPr>
          <w:rStyle w:val="af7"/>
          <w:rFonts w:eastAsia="Guttman Hodes"/>
          <w:rtl/>
        </w:rPr>
        <w:fldChar w:fldCharType="separate"/>
      </w:r>
      <w:r w:rsidR="00345400">
        <w:rPr>
          <w:rStyle w:val="af7"/>
          <w:rFonts w:eastAsia="Guttman Hodes"/>
          <w:cs/>
        </w:rPr>
        <w:t>‎</w:t>
      </w:r>
      <w:r w:rsidR="00345400">
        <w:rPr>
          <w:rStyle w:val="af7"/>
          <w:rFonts w:eastAsia="Guttman Hodes"/>
          <w:rtl/>
        </w:rPr>
        <w:t>קו)</w:t>
      </w:r>
      <w:r w:rsidRPr="00637702">
        <w:rPr>
          <w:rStyle w:val="af7"/>
          <w:rFonts w:eastAsia="Guttman Hodes"/>
          <w:rtl/>
        </w:rPr>
        <w:fldChar w:fldCharType="end"/>
      </w:r>
      <w:r>
        <w:rPr>
          <w:rFonts w:hint="cs"/>
          <w:rtl/>
        </w:rPr>
        <w:t xml:space="preserve"> בשם </w:t>
      </w:r>
      <w:r w:rsidRPr="00A73CD5">
        <w:rPr>
          <w:rStyle w:val="af9"/>
          <w:rFonts w:hint="cs"/>
          <w:rtl/>
        </w:rPr>
        <w:t>רש"י</w:t>
      </w:r>
      <w:r w:rsidRPr="009645A9">
        <w:rPr>
          <w:rFonts w:hint="cs"/>
          <w:rtl/>
        </w:rPr>
        <w:t xml:space="preserve"> </w:t>
      </w:r>
      <w:r>
        <w:rPr>
          <w:rFonts w:hint="cs"/>
          <w:rtl/>
        </w:rPr>
        <w:t xml:space="preserve">דריו"ח ור"ל נחלקו רק בדעת ר"מ, ולא בדעת ר"י </w:t>
      </w:r>
      <w:r w:rsidRPr="009645A9">
        <w:rPr>
          <w:rStyle w:val="afb"/>
          <w:rFonts w:hint="cs"/>
          <w:rtl/>
        </w:rPr>
        <w:t>[</w:t>
      </w:r>
      <w:r>
        <w:rPr>
          <w:rStyle w:val="afb"/>
          <w:rFonts w:hint="cs"/>
          <w:rtl/>
        </w:rPr>
        <w:t>ו</w:t>
      </w:r>
      <w:r w:rsidRPr="009645A9">
        <w:rPr>
          <w:rStyle w:val="afb"/>
          <w:rFonts w:hint="cs"/>
          <w:rtl/>
        </w:rPr>
        <w:t xml:space="preserve">להיפך מדברי </w:t>
      </w:r>
      <w:r w:rsidRPr="009645A9">
        <w:rPr>
          <w:rStyle w:val="affa"/>
          <w:rFonts w:hint="cs"/>
          <w:rtl/>
        </w:rPr>
        <w:t>הר"ן</w:t>
      </w:r>
      <w:r w:rsidRPr="009645A9">
        <w:rPr>
          <w:rStyle w:val="afb"/>
          <w:rFonts w:hint="cs"/>
          <w:rtl/>
        </w:rPr>
        <w:t>]</w:t>
      </w:r>
      <w:r>
        <w:rPr>
          <w:rFonts w:hint="cs"/>
          <w:rtl/>
        </w:rPr>
        <w:t>.</w:t>
      </w:r>
    </w:p>
    <w:p w14:paraId="34DD0CC4" w14:textId="77777777" w:rsidR="003D504D" w:rsidRDefault="003D504D" w:rsidP="00BF39B2">
      <w:pPr>
        <w:pStyle w:val="1"/>
        <w:rPr>
          <w:rtl/>
        </w:rPr>
      </w:pPr>
      <w:bookmarkStart w:id="22741" w:name="_Toc3322220"/>
      <w:bookmarkStart w:id="22742" w:name="_Toc3480683"/>
      <w:bookmarkStart w:id="22743" w:name="_Toc3484946"/>
      <w:bookmarkStart w:id="22744" w:name="_Toc3535794"/>
      <w:bookmarkStart w:id="22745" w:name="_Toc3543171"/>
      <w:bookmarkStart w:id="22746" w:name="_Toc3550882"/>
      <w:bookmarkStart w:id="22747" w:name="_Toc3551038"/>
      <w:bookmarkStart w:id="22748" w:name="_Toc19391847"/>
      <w:bookmarkStart w:id="22749" w:name="_Toc19395344"/>
      <w:bookmarkStart w:id="22750" w:name="_Toc3234493"/>
      <w:bookmarkStart w:id="22751" w:name="_Toc3287731"/>
      <w:r>
        <w:rPr>
          <w:rFonts w:hint="cs"/>
          <w:rtl/>
        </w:rPr>
        <w:t>דעת התוס' דאף לריו"ח בעינן אויר העולם</w:t>
      </w:r>
      <w:bookmarkEnd w:id="22741"/>
      <w:bookmarkEnd w:id="22742"/>
      <w:bookmarkEnd w:id="22743"/>
      <w:bookmarkEnd w:id="22744"/>
      <w:bookmarkEnd w:id="22745"/>
      <w:bookmarkEnd w:id="22746"/>
      <w:bookmarkEnd w:id="22747"/>
      <w:bookmarkEnd w:id="22748"/>
      <w:bookmarkEnd w:id="22749"/>
      <w:r>
        <w:rPr>
          <w:rFonts w:hint="cs"/>
          <w:rtl/>
        </w:rPr>
        <w:t xml:space="preserve"> </w:t>
      </w:r>
      <w:bookmarkEnd w:id="22750"/>
      <w:bookmarkEnd w:id="22751"/>
    </w:p>
    <w:p w14:paraId="1F3F9DF6" w14:textId="77777777" w:rsidR="003D504D" w:rsidRDefault="003D504D" w:rsidP="003D504D">
      <w:pPr>
        <w:pStyle w:val="a3"/>
        <w:rPr>
          <w:rtl/>
        </w:rPr>
      </w:pPr>
      <w:bookmarkStart w:id="22752" w:name="_Toc3480684"/>
      <w:bookmarkStart w:id="22753" w:name="_Toc3484947"/>
      <w:bookmarkStart w:id="22754" w:name="_Toc3535795"/>
      <w:bookmarkStart w:id="22755" w:name="_Toc3543172"/>
      <w:bookmarkStart w:id="22756" w:name="_Toc3550883"/>
      <w:bookmarkStart w:id="22757" w:name="_Toc3551039"/>
      <w:bookmarkStart w:id="22758" w:name="_Toc19391848"/>
      <w:bookmarkStart w:id="22759" w:name="_Toc19395345"/>
      <w:r>
        <w:rPr>
          <w:rFonts w:hint="cs"/>
          <w:rtl/>
        </w:rPr>
        <w:t>קושית התוס' לקמן היאך אמר ריו"ח דאיסור חלב חל כשיצאה רובה הרי ס"ל דחדשים גרמי</w:t>
      </w:r>
      <w:bookmarkEnd w:id="22752"/>
      <w:bookmarkEnd w:id="22753"/>
      <w:bookmarkEnd w:id="22754"/>
      <w:bookmarkEnd w:id="22755"/>
      <w:bookmarkEnd w:id="22756"/>
      <w:bookmarkEnd w:id="22757"/>
      <w:bookmarkEnd w:id="22758"/>
      <w:bookmarkEnd w:id="22759"/>
    </w:p>
    <w:p w14:paraId="669BA947" w14:textId="77777777" w:rsidR="003D504D" w:rsidRDefault="003D504D" w:rsidP="00223668">
      <w:pPr>
        <w:pStyle w:val="a0"/>
        <w:rPr>
          <w:rtl/>
        </w:rPr>
      </w:pPr>
      <w:bookmarkStart w:id="22760" w:name="_Ref3285785"/>
      <w:r>
        <w:rPr>
          <w:rFonts w:hint="cs"/>
          <w:rtl/>
        </w:rPr>
        <w:t xml:space="preserve">בהא דאמר ריו"ח בגמ' לקמן </w:t>
      </w:r>
      <w:r w:rsidRPr="004754BB">
        <w:rPr>
          <w:rStyle w:val="af7"/>
          <w:rFonts w:eastAsia="Guttman Hodes" w:hint="cs"/>
          <w:rtl/>
        </w:rPr>
        <w:t xml:space="preserve">(קג.) </w:t>
      </w:r>
      <w:r>
        <w:rPr>
          <w:rFonts w:hint="cs"/>
          <w:rtl/>
        </w:rPr>
        <w:t xml:space="preserve">דבנטרפה כשיצאה רובה דאיסור חלב ואיסור טריפה חלים יחד, ביאר </w:t>
      </w:r>
      <w:r w:rsidRPr="004754BB">
        <w:rPr>
          <w:rStyle w:val="af9"/>
          <w:rFonts w:hint="cs"/>
          <w:rtl/>
        </w:rPr>
        <w:t xml:space="preserve">רש"י לקמן </w:t>
      </w:r>
      <w:r w:rsidRPr="004754BB">
        <w:rPr>
          <w:rStyle w:val="af7"/>
          <w:rFonts w:eastAsia="Guttman Hodes" w:hint="cs"/>
          <w:rtl/>
        </w:rPr>
        <w:t xml:space="preserve">(קג. ד"ה איתמר נמי) </w:t>
      </w:r>
      <w:r>
        <w:rPr>
          <w:rFonts w:hint="cs"/>
          <w:rtl/>
        </w:rPr>
        <w:t xml:space="preserve">דאיסור חלב חל רק בשעת הלידה, דהא חלב שליל מותר מדין "כל בבהמה תאכלו", והקשו </w:t>
      </w:r>
      <w:r w:rsidRPr="004754BB">
        <w:rPr>
          <w:rStyle w:val="af9"/>
          <w:rFonts w:hint="cs"/>
          <w:rtl/>
        </w:rPr>
        <w:t xml:space="preserve">התוס' לקמן </w:t>
      </w:r>
      <w:r w:rsidRPr="004754BB">
        <w:rPr>
          <w:rStyle w:val="af7"/>
          <w:rFonts w:eastAsia="Guttman Hodes" w:hint="cs"/>
          <w:rtl/>
        </w:rPr>
        <w:t xml:space="preserve">(קג. ד"ה דאיסור) </w:t>
      </w:r>
      <w:r>
        <w:rPr>
          <w:rFonts w:hint="cs"/>
          <w:rtl/>
        </w:rPr>
        <w:t xml:space="preserve">דהרי ריו"ח ס"ל דבתלש חלב מבן ט' חי חייב, וא"כ איסור חלב קודם לאיסור טריפה שנטרפה רק ביציאת רובה, ועי' במה שתירץ </w:t>
      </w:r>
      <w:r w:rsidRPr="00D6256F">
        <w:rPr>
          <w:rStyle w:val="af9"/>
          <w:rFonts w:hint="cs"/>
          <w:rtl/>
        </w:rPr>
        <w:t>הרמב"ן</w:t>
      </w:r>
      <w:r>
        <w:rPr>
          <w:rFonts w:hint="cs"/>
          <w:rtl/>
        </w:rPr>
        <w:t xml:space="preserve"> </w:t>
      </w:r>
      <w:r w:rsidRPr="00D6256F">
        <w:rPr>
          <w:rStyle w:val="af7"/>
          <w:rFonts w:eastAsia="Guttman Hodes" w:hint="cs"/>
          <w:rtl/>
        </w:rPr>
        <w:t xml:space="preserve">(עי' אות </w:t>
      </w:r>
      <w:r w:rsidRPr="00D6256F">
        <w:rPr>
          <w:rStyle w:val="af7"/>
          <w:rFonts w:eastAsia="Guttman Hodes"/>
          <w:rtl/>
        </w:rPr>
        <w:fldChar w:fldCharType="begin"/>
      </w:r>
      <w:r w:rsidRPr="00D6256F">
        <w:rPr>
          <w:rStyle w:val="af7"/>
          <w:rFonts w:eastAsia="Guttman Hodes"/>
          <w:rtl/>
        </w:rPr>
        <w:instrText xml:space="preserve"> </w:instrText>
      </w:r>
      <w:r w:rsidRPr="00D6256F">
        <w:rPr>
          <w:rStyle w:val="af7"/>
          <w:rFonts w:eastAsia="Guttman Hodes" w:hint="cs"/>
        </w:rPr>
        <w:instrText>REF</w:instrText>
      </w:r>
      <w:r w:rsidRPr="00D6256F">
        <w:rPr>
          <w:rStyle w:val="af7"/>
          <w:rFonts w:eastAsia="Guttman Hodes" w:hint="cs"/>
          <w:rtl/>
        </w:rPr>
        <w:instrText xml:space="preserve"> _</w:instrText>
      </w:r>
      <w:r w:rsidRPr="00D6256F">
        <w:rPr>
          <w:rStyle w:val="af7"/>
          <w:rFonts w:eastAsia="Guttman Hodes" w:hint="cs"/>
        </w:rPr>
        <w:instrText>Ref3321917 \r \h</w:instrText>
      </w:r>
      <w:r w:rsidRPr="00D6256F">
        <w:rPr>
          <w:rStyle w:val="af7"/>
          <w:rFonts w:eastAsia="Guttman Hodes"/>
          <w:rtl/>
        </w:rPr>
        <w:instrText xml:space="preserve"> </w:instrText>
      </w:r>
      <w:r w:rsidRPr="00D6256F">
        <w:rPr>
          <w:rStyle w:val="af7"/>
          <w:rFonts w:eastAsia="Guttman Hodes"/>
          <w:rtl/>
        </w:rPr>
      </w:r>
      <w:r w:rsidRPr="00D6256F">
        <w:rPr>
          <w:rStyle w:val="af7"/>
          <w:rFonts w:eastAsia="Guttman Hodes"/>
          <w:rtl/>
        </w:rPr>
        <w:fldChar w:fldCharType="separate"/>
      </w:r>
      <w:r w:rsidR="00345400">
        <w:rPr>
          <w:rStyle w:val="af7"/>
          <w:rFonts w:eastAsia="Guttman Hodes"/>
          <w:cs/>
        </w:rPr>
        <w:t>‎</w:t>
      </w:r>
      <w:r w:rsidR="00345400">
        <w:rPr>
          <w:rStyle w:val="af7"/>
          <w:rFonts w:eastAsia="Guttman Hodes"/>
          <w:rtl/>
        </w:rPr>
        <w:t>סט)</w:t>
      </w:r>
      <w:r w:rsidRPr="00D6256F">
        <w:rPr>
          <w:rStyle w:val="af7"/>
          <w:rFonts w:eastAsia="Guttman Hodes"/>
          <w:rtl/>
        </w:rPr>
        <w:fldChar w:fldCharType="end"/>
      </w:r>
      <w:r>
        <w:rPr>
          <w:rFonts w:hint="cs"/>
          <w:rtl/>
        </w:rPr>
        <w:t>.</w:t>
      </w:r>
    </w:p>
    <w:p w14:paraId="7CB9EA7F" w14:textId="77777777" w:rsidR="003D504D" w:rsidRPr="006130A3" w:rsidRDefault="003D504D" w:rsidP="003D504D">
      <w:pPr>
        <w:pStyle w:val="a3"/>
      </w:pPr>
      <w:bookmarkStart w:id="22761" w:name="_Toc3480685"/>
      <w:bookmarkStart w:id="22762" w:name="_Toc3484948"/>
      <w:bookmarkStart w:id="22763" w:name="_Toc3535796"/>
      <w:bookmarkStart w:id="22764" w:name="_Toc3543173"/>
      <w:bookmarkStart w:id="22765" w:name="_Toc3550884"/>
      <w:bookmarkStart w:id="22766" w:name="_Toc3551040"/>
      <w:bookmarkStart w:id="22767" w:name="_Toc19391849"/>
      <w:bookmarkStart w:id="22768" w:name="_Toc19395346"/>
      <w:r>
        <w:rPr>
          <w:rFonts w:hint="cs"/>
          <w:rtl/>
        </w:rPr>
        <w:t>דברי התוס' לקמן דלריו"ח אף דלא בעינן אויר לידה אויר העולם בעינן ורק כשיצא החלב נאסר</w:t>
      </w:r>
      <w:bookmarkEnd w:id="22761"/>
      <w:bookmarkEnd w:id="22762"/>
      <w:bookmarkEnd w:id="22763"/>
      <w:bookmarkEnd w:id="22764"/>
      <w:bookmarkEnd w:id="22765"/>
      <w:bookmarkEnd w:id="22766"/>
      <w:bookmarkEnd w:id="22767"/>
      <w:bookmarkEnd w:id="22768"/>
    </w:p>
    <w:p w14:paraId="036604F3" w14:textId="77777777" w:rsidR="003D504D" w:rsidRDefault="003D504D" w:rsidP="00223668">
      <w:pPr>
        <w:pStyle w:val="a0"/>
        <w:rPr>
          <w:rtl/>
        </w:rPr>
      </w:pPr>
      <w:bookmarkStart w:id="22769" w:name="_Ref3319699"/>
      <w:r>
        <w:rPr>
          <w:rFonts w:hint="cs"/>
          <w:rtl/>
        </w:rPr>
        <w:t xml:space="preserve">ותירצו </w:t>
      </w:r>
      <w:r w:rsidRPr="004754BB">
        <w:rPr>
          <w:rStyle w:val="af9"/>
          <w:rFonts w:hint="cs"/>
          <w:rtl/>
        </w:rPr>
        <w:t xml:space="preserve">התוס' לקמן </w:t>
      </w:r>
      <w:r w:rsidRPr="004754BB">
        <w:rPr>
          <w:rStyle w:val="af7"/>
          <w:rFonts w:eastAsia="Guttman Hodes" w:hint="cs"/>
          <w:rtl/>
        </w:rPr>
        <w:t xml:space="preserve">(קג. ד"ה דאיסור) </w:t>
      </w:r>
      <w:r w:rsidRPr="004754BB">
        <w:rPr>
          <w:rStyle w:val="afb"/>
          <w:rFonts w:hint="cs"/>
          <w:rtl/>
        </w:rPr>
        <w:t>[במסקנת דבריהם]</w:t>
      </w:r>
      <w:r>
        <w:rPr>
          <w:rFonts w:hint="cs"/>
          <w:rtl/>
        </w:rPr>
        <w:t xml:space="preserve"> דהא דס"ל לריו"ח דחדשים גרמי לאסור את החלב, הוא דוקא כשהוציאו לאויר העולם וכדאמר ריו"ח דתלש את החלב והוציא ממעי אמו לחוץ, דאף דס"ל לריו"ח דלא בעינן אוירא היינו דלא בעינן שהבהמה כולה תצא לאויר העולם בלידה, אך לחלב עצמו בעינן אוירא שיצא לאויר העולם, וממילא כל האיסורים חלים יחד בשעה שיוצא לאויר העולם,</w:t>
      </w:r>
      <w:r w:rsidRPr="005139F9">
        <w:rPr>
          <w:rFonts w:hint="cs"/>
          <w:rtl/>
        </w:rPr>
        <w:t xml:space="preserve"> </w:t>
      </w:r>
      <w:r>
        <w:rPr>
          <w:rFonts w:hint="cs"/>
          <w:rtl/>
        </w:rPr>
        <w:t xml:space="preserve">וכן הוכיחו </w:t>
      </w:r>
      <w:r w:rsidRPr="004754BB">
        <w:rPr>
          <w:rStyle w:val="af9"/>
          <w:rFonts w:hint="cs"/>
          <w:rtl/>
        </w:rPr>
        <w:t xml:space="preserve">התוס' </w:t>
      </w:r>
      <w:r w:rsidRPr="00D20324">
        <w:rPr>
          <w:rStyle w:val="af9"/>
          <w:rFonts w:hint="cs"/>
          <w:rtl/>
        </w:rPr>
        <w:t>לקמן</w:t>
      </w:r>
      <w:r>
        <w:rPr>
          <w:rFonts w:hint="cs"/>
          <w:rtl/>
        </w:rPr>
        <w:t xml:space="preserve"> </w:t>
      </w:r>
      <w:r w:rsidRPr="00D20324">
        <w:rPr>
          <w:rStyle w:val="af7"/>
          <w:rFonts w:eastAsia="Guttman Hodes" w:hint="cs"/>
          <w:rtl/>
        </w:rPr>
        <w:t>(צ. ד"ה הכא)</w:t>
      </w:r>
      <w:r>
        <w:rPr>
          <w:rFonts w:hint="cs"/>
          <w:rtl/>
        </w:rPr>
        <w:t xml:space="preserve"> מהא דאיתא בגמ' לקמן </w:t>
      </w:r>
      <w:r w:rsidRPr="00D20324">
        <w:rPr>
          <w:rStyle w:val="af7"/>
          <w:rFonts w:eastAsia="Guttman Hodes" w:hint="cs"/>
          <w:rtl/>
        </w:rPr>
        <w:t>(צ.)</w:t>
      </w:r>
      <w:r>
        <w:rPr>
          <w:rFonts w:hint="cs"/>
          <w:rtl/>
        </w:rPr>
        <w:t xml:space="preserve"> דבבכור דקדוש מרחם איסור גיד ואיסור בכור חלים יחד,</w:t>
      </w:r>
      <w:r w:rsidRPr="00A022F6">
        <w:rPr>
          <w:rFonts w:hint="cs"/>
          <w:rtl/>
        </w:rPr>
        <w:t xml:space="preserve"> </w:t>
      </w:r>
      <w:r>
        <w:rPr>
          <w:rFonts w:hint="cs"/>
          <w:rtl/>
        </w:rPr>
        <w:t xml:space="preserve">וכ"כ </w:t>
      </w:r>
      <w:r w:rsidRPr="00A022F6">
        <w:rPr>
          <w:rStyle w:val="af9"/>
          <w:rFonts w:hint="cs"/>
          <w:rtl/>
        </w:rPr>
        <w:t>התוס' בכריתות</w:t>
      </w:r>
      <w:r>
        <w:rPr>
          <w:rFonts w:hint="cs"/>
          <w:rtl/>
        </w:rPr>
        <w:t xml:space="preserve"> </w:t>
      </w:r>
      <w:r w:rsidRPr="00A022F6">
        <w:rPr>
          <w:rStyle w:val="af7"/>
          <w:rFonts w:eastAsia="Guttman Hodes" w:hint="cs"/>
          <w:rtl/>
        </w:rPr>
        <w:t>(כג: ד"ה בוולדות)</w:t>
      </w:r>
      <w:r>
        <w:rPr>
          <w:rFonts w:hint="cs"/>
          <w:rtl/>
        </w:rPr>
        <w:t xml:space="preserve">, ועי' בדברי </w:t>
      </w:r>
      <w:r w:rsidRPr="006130A3">
        <w:rPr>
          <w:rStyle w:val="af9"/>
          <w:rFonts w:hint="cs"/>
          <w:rtl/>
        </w:rPr>
        <w:t>הראש יוסף</w:t>
      </w:r>
      <w:r>
        <w:rPr>
          <w:rFonts w:hint="cs"/>
          <w:rtl/>
        </w:rPr>
        <w:t xml:space="preserve"> </w:t>
      </w:r>
      <w:r w:rsidRPr="006130A3">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Ref3367279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סה)</w:t>
      </w:r>
      <w:r>
        <w:rPr>
          <w:rStyle w:val="af7"/>
          <w:rFonts w:eastAsia="Guttman Hodes"/>
          <w:rtl/>
        </w:rPr>
        <w:fldChar w:fldCharType="end"/>
      </w:r>
      <w:r w:rsidRPr="006130A3">
        <w:rPr>
          <w:rStyle w:val="af7"/>
          <w:rFonts w:eastAsia="Guttman Hodes" w:hint="cs"/>
          <w:rtl/>
        </w:rPr>
        <w:t xml:space="preserve"> </w:t>
      </w:r>
      <w:r w:rsidRPr="006130A3">
        <w:rPr>
          <w:rStyle w:val="af9"/>
          <w:rFonts w:hint="cs"/>
          <w:rtl/>
        </w:rPr>
        <w:t>דהרא"ש</w:t>
      </w:r>
      <w:r>
        <w:rPr>
          <w:rFonts w:hint="cs"/>
          <w:rtl/>
        </w:rPr>
        <w:t xml:space="preserve"> פליג על </w:t>
      </w:r>
      <w:r w:rsidRPr="006130A3">
        <w:rPr>
          <w:rStyle w:val="af9"/>
          <w:rFonts w:hint="cs"/>
          <w:rtl/>
        </w:rPr>
        <w:t>התוס'</w:t>
      </w:r>
      <w:r>
        <w:rPr>
          <w:rFonts w:hint="cs"/>
          <w:rtl/>
        </w:rPr>
        <w:t xml:space="preserve"> בזה,</w:t>
      </w:r>
      <w:r w:rsidRPr="007C7453">
        <w:rPr>
          <w:rFonts w:hint="cs"/>
          <w:rtl/>
        </w:rPr>
        <w:t xml:space="preserve"> </w:t>
      </w:r>
      <w:r>
        <w:rPr>
          <w:rFonts w:hint="cs"/>
          <w:rtl/>
        </w:rPr>
        <w:t xml:space="preserve">וע"ע במה שהקשה </w:t>
      </w:r>
      <w:r w:rsidRPr="007C7453">
        <w:rPr>
          <w:rStyle w:val="af9"/>
          <w:rFonts w:hint="cs"/>
          <w:rtl/>
        </w:rPr>
        <w:t xml:space="preserve">העונג יו"ט </w:t>
      </w:r>
      <w:r w:rsidRPr="007C7453">
        <w:rPr>
          <w:rStyle w:val="af7"/>
          <w:rFonts w:eastAsia="Guttman Hodes" w:hint="cs"/>
          <w:rtl/>
        </w:rPr>
        <w:t>(רי</w:t>
      </w:r>
      <w:r>
        <w:rPr>
          <w:rStyle w:val="af7"/>
          <w:rFonts w:eastAsia="Guttman Hodes" w:hint="cs"/>
          <w:rtl/>
        </w:rPr>
        <w:t>ש</w:t>
      </w:r>
      <w:r w:rsidRPr="007C7453">
        <w:rPr>
          <w:rStyle w:val="af7"/>
          <w:rFonts w:eastAsia="Guttman Hodes" w:hint="cs"/>
          <w:rtl/>
        </w:rPr>
        <w:t xml:space="preserve"> סי' ס"ז) </w:t>
      </w:r>
      <w:r>
        <w:rPr>
          <w:rFonts w:hint="cs"/>
          <w:rtl/>
        </w:rPr>
        <w:t xml:space="preserve">על </w:t>
      </w:r>
      <w:r w:rsidRPr="007C7453">
        <w:rPr>
          <w:rStyle w:val="af9"/>
          <w:rFonts w:hint="cs"/>
          <w:rtl/>
        </w:rPr>
        <w:t>התוס'</w:t>
      </w:r>
      <w:r>
        <w:rPr>
          <w:rFonts w:hint="cs"/>
          <w:rtl/>
        </w:rPr>
        <w:t xml:space="preserve"> מספיקא דרב הושעיא לעיל </w:t>
      </w:r>
      <w:r w:rsidRPr="007C7453">
        <w:rPr>
          <w:rStyle w:val="af7"/>
          <w:rFonts w:eastAsia="Guttman Hodes" w:hint="cs"/>
          <w:rtl/>
        </w:rPr>
        <w:t>(עד.)</w:t>
      </w:r>
      <w:r>
        <w:rPr>
          <w:rFonts w:hint="cs"/>
          <w:rtl/>
        </w:rPr>
        <w:t xml:space="preserve">, ובמה שהקשה </w:t>
      </w:r>
      <w:r w:rsidRPr="002D6A78">
        <w:rPr>
          <w:rStyle w:val="af9"/>
          <w:rFonts w:hint="cs"/>
          <w:rtl/>
        </w:rPr>
        <w:t xml:space="preserve">הבית מאיר בחי' בכריתות </w:t>
      </w:r>
      <w:r w:rsidRPr="002D6A78">
        <w:rPr>
          <w:rStyle w:val="af7"/>
          <w:rFonts w:eastAsia="Guttman Hodes" w:hint="cs"/>
          <w:rtl/>
        </w:rPr>
        <w:t xml:space="preserve">(כג: על תוד"ה בוולדות) </w:t>
      </w:r>
      <w:r>
        <w:rPr>
          <w:rFonts w:hint="cs"/>
          <w:rtl/>
        </w:rPr>
        <w:t xml:space="preserve">על דברי </w:t>
      </w:r>
      <w:r w:rsidRPr="002D6A78">
        <w:rPr>
          <w:rStyle w:val="af9"/>
          <w:rFonts w:hint="cs"/>
          <w:rtl/>
        </w:rPr>
        <w:t>התוס'</w:t>
      </w:r>
      <w:r>
        <w:rPr>
          <w:rFonts w:hint="cs"/>
          <w:rtl/>
        </w:rPr>
        <w:t>.</w:t>
      </w:r>
      <w:bookmarkEnd w:id="22760"/>
      <w:bookmarkEnd w:id="22769"/>
    </w:p>
    <w:p w14:paraId="7BD886A9" w14:textId="77777777" w:rsidR="003D504D" w:rsidRPr="00580AEE" w:rsidRDefault="003D504D" w:rsidP="003D504D">
      <w:pPr>
        <w:pStyle w:val="a3"/>
        <w:rPr>
          <w:rtl/>
        </w:rPr>
      </w:pPr>
      <w:bookmarkStart w:id="22770" w:name="_Toc3322222"/>
      <w:bookmarkStart w:id="22771" w:name="_Toc3480686"/>
      <w:bookmarkStart w:id="22772" w:name="_Toc3484949"/>
      <w:bookmarkStart w:id="22773" w:name="_Toc3535797"/>
      <w:bookmarkStart w:id="22774" w:name="_Toc3543174"/>
      <w:bookmarkStart w:id="22775" w:name="_Toc3550885"/>
      <w:bookmarkStart w:id="22776" w:name="_Toc3551041"/>
      <w:bookmarkStart w:id="22777" w:name="_Toc19391850"/>
      <w:bookmarkStart w:id="22778" w:name="_Toc19395347"/>
      <w:r w:rsidRPr="00580AEE">
        <w:rPr>
          <w:rFonts w:hint="cs"/>
          <w:rtl/>
        </w:rPr>
        <w:t xml:space="preserve">דברי התוס' דהספק </w:t>
      </w:r>
      <w:r>
        <w:rPr>
          <w:rFonts w:hint="cs"/>
          <w:rtl/>
        </w:rPr>
        <w:t>בשחט עובר במעי אמו הוא אף</w:t>
      </w:r>
      <w:r w:rsidRPr="00580AEE">
        <w:rPr>
          <w:rFonts w:hint="cs"/>
          <w:rtl/>
        </w:rPr>
        <w:t xml:space="preserve"> לריו"ח דחדשים </w:t>
      </w:r>
      <w:r>
        <w:rPr>
          <w:rFonts w:hint="cs"/>
          <w:rtl/>
        </w:rPr>
        <w:t>גרמי כיון שלא יצא לאויר</w:t>
      </w:r>
      <w:bookmarkEnd w:id="22770"/>
      <w:bookmarkEnd w:id="22771"/>
      <w:bookmarkEnd w:id="22772"/>
      <w:bookmarkEnd w:id="22773"/>
      <w:bookmarkEnd w:id="22774"/>
      <w:bookmarkEnd w:id="22775"/>
      <w:bookmarkEnd w:id="22776"/>
      <w:bookmarkEnd w:id="22777"/>
      <w:bookmarkEnd w:id="22778"/>
    </w:p>
    <w:p w14:paraId="3CB2FDED" w14:textId="77777777" w:rsidR="003D504D" w:rsidRPr="00580AEE" w:rsidRDefault="003D504D" w:rsidP="00223668">
      <w:pPr>
        <w:pStyle w:val="a0"/>
        <w:rPr>
          <w:rStyle w:val="afb"/>
          <w:rtl/>
        </w:rPr>
      </w:pPr>
      <w:r>
        <w:rPr>
          <w:rFonts w:hint="cs"/>
          <w:rtl/>
        </w:rPr>
        <w:t>וכ"כ</w:t>
      </w:r>
      <w:r w:rsidRPr="00580AEE">
        <w:rPr>
          <w:rFonts w:hint="cs"/>
          <w:rtl/>
        </w:rPr>
        <w:t xml:space="preserve"> </w:t>
      </w:r>
      <w:r w:rsidRPr="00580AEE">
        <w:rPr>
          <w:rStyle w:val="af9"/>
          <w:rFonts w:hint="cs"/>
          <w:rtl/>
        </w:rPr>
        <w:t>התוס'</w:t>
      </w:r>
      <w:r>
        <w:rPr>
          <w:rStyle w:val="af9"/>
          <w:rFonts w:hint="cs"/>
          <w:rtl/>
        </w:rPr>
        <w:t xml:space="preserve"> בסוגיין</w:t>
      </w:r>
      <w:r w:rsidRPr="00580AEE">
        <w:rPr>
          <w:rStyle w:val="af9"/>
          <w:rFonts w:hint="cs"/>
          <w:rtl/>
        </w:rPr>
        <w:t xml:space="preserve"> </w:t>
      </w:r>
      <w:r w:rsidRPr="00580AEE">
        <w:rPr>
          <w:rStyle w:val="af7"/>
          <w:rFonts w:eastAsia="Guttman Hodes" w:hint="cs"/>
          <w:rtl/>
        </w:rPr>
        <w:t xml:space="preserve">(עה. סוד"ה לדברי) </w:t>
      </w:r>
      <w:r>
        <w:rPr>
          <w:rFonts w:hint="cs"/>
          <w:rtl/>
        </w:rPr>
        <w:t>ד</w:t>
      </w:r>
      <w:r w:rsidRPr="00580AEE">
        <w:rPr>
          <w:rFonts w:hint="cs"/>
          <w:rtl/>
        </w:rPr>
        <w:t xml:space="preserve">אף דס"ל לריו"ח דבתלש חלב משליל והוציאו לחוץ אסור מדין חלב דחדשים גרמי, </w:t>
      </w:r>
      <w:r>
        <w:rPr>
          <w:rFonts w:hint="cs"/>
          <w:rtl/>
        </w:rPr>
        <w:t xml:space="preserve">מ"מ </w:t>
      </w:r>
      <w:r w:rsidRPr="00580AEE">
        <w:rPr>
          <w:rFonts w:hint="cs"/>
          <w:rtl/>
        </w:rPr>
        <w:t xml:space="preserve">ס"ל לריו"ח דאיסור חלב חל רק שיצא לאויר העולם, אבל </w:t>
      </w:r>
      <w:r>
        <w:rPr>
          <w:rFonts w:hint="cs"/>
          <w:rtl/>
        </w:rPr>
        <w:t>כשהוא במעי אמו</w:t>
      </w:r>
      <w:r w:rsidRPr="00580AEE">
        <w:rPr>
          <w:rFonts w:hint="cs"/>
          <w:rtl/>
        </w:rPr>
        <w:t xml:space="preserve"> </w:t>
      </w:r>
      <w:r>
        <w:rPr>
          <w:rFonts w:hint="cs"/>
          <w:rtl/>
        </w:rPr>
        <w:t xml:space="preserve">לא חל איסור החלב עד שיוולד, כדמוכח בגמ' לקמן </w:t>
      </w:r>
      <w:r w:rsidRPr="004754BB">
        <w:rPr>
          <w:rStyle w:val="af7"/>
          <w:rFonts w:eastAsia="Guttman Hodes" w:hint="cs"/>
          <w:rtl/>
        </w:rPr>
        <w:t xml:space="preserve">(קג.) </w:t>
      </w:r>
      <w:r>
        <w:rPr>
          <w:rFonts w:hint="cs"/>
          <w:rtl/>
        </w:rPr>
        <w:t xml:space="preserve">ובגמ' </w:t>
      </w:r>
      <w:r w:rsidRPr="00691C29">
        <w:rPr>
          <w:rFonts w:hint="cs"/>
          <w:rtl/>
        </w:rPr>
        <w:t xml:space="preserve">בכריתות </w:t>
      </w:r>
      <w:r w:rsidRPr="00A022F6">
        <w:rPr>
          <w:rStyle w:val="af7"/>
          <w:rFonts w:eastAsia="Guttman Hodes" w:hint="cs"/>
          <w:rtl/>
        </w:rPr>
        <w:t>(כג:)</w:t>
      </w:r>
      <w:r>
        <w:rPr>
          <w:rFonts w:hint="cs"/>
          <w:rtl/>
        </w:rPr>
        <w:t xml:space="preserve">, ועי' במה שביארו </w:t>
      </w:r>
      <w:r w:rsidRPr="00691C29">
        <w:rPr>
          <w:rStyle w:val="af9"/>
          <w:rFonts w:hint="cs"/>
          <w:rtl/>
        </w:rPr>
        <w:t>התוס'</w:t>
      </w:r>
      <w:r>
        <w:rPr>
          <w:rFonts w:hint="cs"/>
          <w:rtl/>
        </w:rPr>
        <w:t xml:space="preserve"> </w:t>
      </w:r>
      <w:r w:rsidRPr="00691C29">
        <w:rPr>
          <w:rStyle w:val="af7"/>
          <w:rFonts w:eastAsia="Guttman Hodes" w:hint="cs"/>
          <w:rtl/>
        </w:rPr>
        <w:t xml:space="preserve">(עי' אות </w:t>
      </w:r>
      <w:r w:rsidRPr="00691C29">
        <w:rPr>
          <w:rStyle w:val="af7"/>
          <w:rFonts w:eastAsia="Guttman Hodes"/>
          <w:rtl/>
        </w:rPr>
        <w:fldChar w:fldCharType="begin"/>
      </w:r>
      <w:r w:rsidRPr="00691C29">
        <w:rPr>
          <w:rStyle w:val="af7"/>
          <w:rFonts w:eastAsia="Guttman Hodes"/>
          <w:rtl/>
        </w:rPr>
        <w:instrText xml:space="preserve"> </w:instrText>
      </w:r>
      <w:r w:rsidRPr="00691C29">
        <w:rPr>
          <w:rStyle w:val="af7"/>
          <w:rFonts w:eastAsia="Guttman Hodes" w:hint="cs"/>
        </w:rPr>
        <w:instrText>REF</w:instrText>
      </w:r>
      <w:r w:rsidRPr="00691C29">
        <w:rPr>
          <w:rStyle w:val="af7"/>
          <w:rFonts w:eastAsia="Guttman Hodes" w:hint="cs"/>
          <w:rtl/>
        </w:rPr>
        <w:instrText xml:space="preserve"> _</w:instrText>
      </w:r>
      <w:r w:rsidRPr="00691C29">
        <w:rPr>
          <w:rStyle w:val="af7"/>
          <w:rFonts w:eastAsia="Guttman Hodes" w:hint="cs"/>
        </w:rPr>
        <w:instrText>Ref3320784 \r \h</w:instrText>
      </w:r>
      <w:r w:rsidRPr="00691C29">
        <w:rPr>
          <w:rStyle w:val="af7"/>
          <w:rFonts w:eastAsia="Guttman Hodes"/>
          <w:rtl/>
        </w:rPr>
        <w:instrText xml:space="preserve"> </w:instrText>
      </w:r>
      <w:r w:rsidRPr="00691C29">
        <w:rPr>
          <w:rStyle w:val="af7"/>
          <w:rFonts w:eastAsia="Guttman Hodes"/>
          <w:rtl/>
        </w:rPr>
      </w:r>
      <w:r w:rsidRPr="00691C29">
        <w:rPr>
          <w:rStyle w:val="af7"/>
          <w:rFonts w:eastAsia="Guttman Hodes"/>
          <w:rtl/>
        </w:rPr>
        <w:fldChar w:fldCharType="separate"/>
      </w:r>
      <w:r w:rsidR="00345400">
        <w:rPr>
          <w:rStyle w:val="af7"/>
          <w:rFonts w:eastAsia="Guttman Hodes"/>
          <w:cs/>
        </w:rPr>
        <w:t>‎</w:t>
      </w:r>
      <w:r w:rsidR="00345400">
        <w:rPr>
          <w:rStyle w:val="af7"/>
          <w:rFonts w:eastAsia="Guttman Hodes"/>
          <w:rtl/>
        </w:rPr>
        <w:t>קז)</w:t>
      </w:r>
      <w:r w:rsidRPr="00691C29">
        <w:rPr>
          <w:rStyle w:val="af7"/>
          <w:rFonts w:eastAsia="Guttman Hodes"/>
          <w:rtl/>
        </w:rPr>
        <w:fldChar w:fldCharType="end"/>
      </w:r>
      <w:r>
        <w:rPr>
          <w:rFonts w:hint="cs"/>
          <w:rtl/>
        </w:rPr>
        <w:t xml:space="preserve"> לפי"ז </w:t>
      </w:r>
      <w:r w:rsidRPr="00580AEE">
        <w:rPr>
          <w:rFonts w:hint="cs"/>
          <w:rtl/>
        </w:rPr>
        <w:t>דספיקא דרב הושעיא</w:t>
      </w:r>
      <w:r>
        <w:rPr>
          <w:rFonts w:hint="cs"/>
          <w:rtl/>
        </w:rPr>
        <w:t xml:space="preserve"> בגמ' לעיל </w:t>
      </w:r>
      <w:r w:rsidRPr="009868AC">
        <w:rPr>
          <w:rStyle w:val="af7"/>
          <w:rFonts w:eastAsia="Guttman Hodes" w:hint="cs"/>
          <w:rtl/>
        </w:rPr>
        <w:t>(עד.)</w:t>
      </w:r>
      <w:r w:rsidRPr="00580AEE">
        <w:rPr>
          <w:rFonts w:hint="cs"/>
          <w:rtl/>
        </w:rPr>
        <w:t xml:space="preserve"> </w:t>
      </w:r>
      <w:r>
        <w:rPr>
          <w:rFonts w:hint="cs"/>
          <w:rtl/>
        </w:rPr>
        <w:t xml:space="preserve">בשחט עובר במעי אמו, </w:t>
      </w:r>
      <w:r w:rsidRPr="00580AEE">
        <w:rPr>
          <w:rFonts w:hint="cs"/>
          <w:rtl/>
        </w:rPr>
        <w:t xml:space="preserve">הוא </w:t>
      </w:r>
      <w:r>
        <w:rPr>
          <w:rFonts w:hint="cs"/>
          <w:rtl/>
        </w:rPr>
        <w:t>בין לדעת ריו"ח, ובין לדעת ר"ל</w:t>
      </w:r>
      <w:r w:rsidRPr="00580AEE">
        <w:rPr>
          <w:rFonts w:hint="cs"/>
          <w:rtl/>
        </w:rPr>
        <w:t xml:space="preserve">. </w:t>
      </w:r>
    </w:p>
    <w:p w14:paraId="39C442BE" w14:textId="77777777" w:rsidR="003D504D" w:rsidRDefault="003D504D" w:rsidP="003D504D">
      <w:pPr>
        <w:pStyle w:val="a3"/>
        <w:rPr>
          <w:rtl/>
        </w:rPr>
      </w:pPr>
      <w:bookmarkStart w:id="22779" w:name="_Toc3480687"/>
      <w:bookmarkStart w:id="22780" w:name="_Toc3484950"/>
      <w:bookmarkStart w:id="22781" w:name="_Toc3535798"/>
      <w:bookmarkStart w:id="22782" w:name="_Toc3543175"/>
      <w:bookmarkStart w:id="22783" w:name="_Toc3550886"/>
      <w:bookmarkStart w:id="22784" w:name="_Toc3551042"/>
      <w:bookmarkStart w:id="22785" w:name="_Toc19391851"/>
      <w:bookmarkStart w:id="22786" w:name="_Toc19395348"/>
      <w:r>
        <w:rPr>
          <w:rFonts w:hint="cs"/>
          <w:rtl/>
        </w:rPr>
        <w:t>דחיית הר"ן להוכחת התוס' מדברי ריו"ח לקמן</w:t>
      </w:r>
      <w:bookmarkEnd w:id="22779"/>
      <w:bookmarkEnd w:id="22780"/>
      <w:bookmarkEnd w:id="22781"/>
      <w:bookmarkEnd w:id="22782"/>
      <w:bookmarkEnd w:id="22783"/>
      <w:bookmarkEnd w:id="22784"/>
      <w:bookmarkEnd w:id="22785"/>
      <w:bookmarkEnd w:id="22786"/>
    </w:p>
    <w:p w14:paraId="39413E1A" w14:textId="77777777" w:rsidR="003D504D" w:rsidRDefault="003D504D" w:rsidP="00223668">
      <w:pPr>
        <w:pStyle w:val="a0"/>
        <w:rPr>
          <w:rtl/>
        </w:rPr>
      </w:pPr>
      <w:r>
        <w:rPr>
          <w:rFonts w:hint="cs"/>
          <w:rtl/>
        </w:rPr>
        <w:t>אבל</w:t>
      </w:r>
      <w:r w:rsidRPr="00E00B06">
        <w:rPr>
          <w:rFonts w:hint="cs"/>
          <w:rtl/>
        </w:rPr>
        <w:t xml:space="preserve"> </w:t>
      </w:r>
      <w:r w:rsidRPr="00E00B06">
        <w:rPr>
          <w:rStyle w:val="af9"/>
          <w:rFonts w:hint="cs"/>
          <w:rtl/>
        </w:rPr>
        <w:t>הר"ן בחי' לקמן</w:t>
      </w:r>
      <w:r>
        <w:rPr>
          <w:rFonts w:hint="cs"/>
          <w:rtl/>
        </w:rPr>
        <w:t xml:space="preserve"> </w:t>
      </w:r>
      <w:r w:rsidRPr="00E00B06">
        <w:rPr>
          <w:rStyle w:val="af7"/>
          <w:rFonts w:eastAsia="Guttman Hodes" w:hint="cs"/>
          <w:rtl/>
        </w:rPr>
        <w:t>(קג. ד"ה כגון)</w:t>
      </w:r>
      <w:r>
        <w:rPr>
          <w:rFonts w:hint="cs"/>
          <w:rtl/>
        </w:rPr>
        <w:t xml:space="preserve"> ביאר דלא איירי בגמ' לקמן </w:t>
      </w:r>
      <w:r w:rsidRPr="004754BB">
        <w:rPr>
          <w:rStyle w:val="af7"/>
          <w:rFonts w:eastAsia="Guttman Hodes" w:hint="cs"/>
          <w:rtl/>
        </w:rPr>
        <w:t xml:space="preserve">(קג.) </w:t>
      </w:r>
      <w:r>
        <w:rPr>
          <w:rFonts w:hint="cs"/>
          <w:rtl/>
        </w:rPr>
        <w:t xml:space="preserve">שנטרפה עם יציאת רובה, אלא דה"ה אם נטרפה במעי אמה, אלא דאיסור טריפה לא חייל על העובר עד שיצא רובו, דהרי אם תשחט האם יהיה העובר מותר אף שהוא טריפה, וא"כ האיסור טריפה מיתלא תלי וקאי, דאם תשחט האם לא יאסר ואם יוולד העובר יאסר, ולכן חל האיסור טריפה רק בשעת יציאת רובה, </w:t>
      </w:r>
      <w:r w:rsidRPr="00F75DAD">
        <w:rPr>
          <w:rStyle w:val="afb"/>
          <w:rFonts w:hint="cs"/>
          <w:rtl/>
        </w:rPr>
        <w:t xml:space="preserve">[ודלא כדברי </w:t>
      </w:r>
      <w:r w:rsidRPr="00F75DAD">
        <w:rPr>
          <w:rStyle w:val="affa"/>
          <w:rtl/>
        </w:rPr>
        <w:t>ההג' אשר"י</w:t>
      </w:r>
      <w:r w:rsidRPr="00F75DAD">
        <w:rPr>
          <w:rStyle w:val="aff6"/>
          <w:rtl/>
        </w:rPr>
        <w:t xml:space="preserve"> (על הרא"ש סי' ה')</w:t>
      </w:r>
      <w:r w:rsidRPr="00F75DAD">
        <w:rPr>
          <w:rStyle w:val="aff6"/>
          <w:rFonts w:hint="cs"/>
          <w:rtl/>
        </w:rPr>
        <w:t xml:space="preserve"> </w:t>
      </w:r>
      <w:r w:rsidRPr="00F75DAD">
        <w:rPr>
          <w:rStyle w:val="afb"/>
          <w:rFonts w:hint="cs"/>
          <w:rtl/>
        </w:rPr>
        <w:t xml:space="preserve">בשם </w:t>
      </w:r>
      <w:r w:rsidRPr="00F75DAD">
        <w:rPr>
          <w:rStyle w:val="affa"/>
          <w:rFonts w:hint="cs"/>
          <w:rtl/>
        </w:rPr>
        <w:t xml:space="preserve">הראבי"ה </w:t>
      </w:r>
      <w:r w:rsidRPr="00F81428">
        <w:rPr>
          <w:rStyle w:val="af7"/>
          <w:rFonts w:eastAsia="Guttman Hodes" w:hint="cs"/>
          <w:rtl/>
        </w:rPr>
        <w:t>(אלף צ"ו</w:t>
      </w:r>
      <w:r>
        <w:rPr>
          <w:rStyle w:val="af1"/>
          <w:rtl/>
        </w:rPr>
        <w:footnoteReference w:id="127"/>
      </w:r>
      <w:r w:rsidRPr="00F75DAD">
        <w:rPr>
          <w:rStyle w:val="aff6"/>
          <w:rFonts w:hint="cs"/>
          <w:rtl/>
        </w:rPr>
        <w:t>)</w:t>
      </w:r>
      <w:r>
        <w:rPr>
          <w:rStyle w:val="afb"/>
          <w:rFonts w:hint="cs"/>
          <w:rtl/>
        </w:rPr>
        <w:t xml:space="preserve"> דכתב דעובר טריפה אינו מותר בשחיטת אמו</w:t>
      </w:r>
      <w:r w:rsidRPr="00F75DAD">
        <w:rPr>
          <w:rStyle w:val="afb"/>
          <w:rFonts w:hint="cs"/>
          <w:rtl/>
        </w:rPr>
        <w:t>]</w:t>
      </w:r>
      <w:r>
        <w:rPr>
          <w:rFonts w:hint="cs"/>
          <w:rtl/>
        </w:rPr>
        <w:t>.</w:t>
      </w:r>
    </w:p>
    <w:p w14:paraId="16F84570" w14:textId="77777777" w:rsidR="003D504D" w:rsidRDefault="003D504D" w:rsidP="00BF39B2">
      <w:pPr>
        <w:pStyle w:val="1"/>
        <w:rPr>
          <w:rtl/>
        </w:rPr>
      </w:pPr>
      <w:bookmarkStart w:id="22787" w:name="_Toc3322224"/>
      <w:bookmarkStart w:id="22788" w:name="_Toc3480688"/>
      <w:bookmarkStart w:id="22789" w:name="_Toc3484951"/>
      <w:bookmarkStart w:id="22790" w:name="_Toc3535799"/>
      <w:bookmarkStart w:id="22791" w:name="_Toc3543176"/>
      <w:bookmarkStart w:id="22792" w:name="_Toc3550887"/>
      <w:bookmarkStart w:id="22793" w:name="_Toc3551043"/>
      <w:bookmarkStart w:id="22794" w:name="_Toc19391852"/>
      <w:bookmarkStart w:id="22795" w:name="_Toc19395349"/>
      <w:r>
        <w:rPr>
          <w:rFonts w:hint="cs"/>
          <w:rtl/>
        </w:rPr>
        <w:t>דעת הרשב"א</w:t>
      </w:r>
      <w:r w:rsidRPr="00A87171">
        <w:rPr>
          <w:rFonts w:hint="cs"/>
          <w:rtl/>
        </w:rPr>
        <w:t xml:space="preserve"> </w:t>
      </w:r>
      <w:r>
        <w:rPr>
          <w:rFonts w:hint="cs"/>
          <w:rtl/>
        </w:rPr>
        <w:t>והרא"ש דריו"ח ור"ל נחלקו בין לר"י ובין לר"מ</w:t>
      </w:r>
      <w:bookmarkEnd w:id="22787"/>
      <w:bookmarkEnd w:id="22788"/>
      <w:bookmarkEnd w:id="22789"/>
      <w:bookmarkEnd w:id="22790"/>
      <w:bookmarkEnd w:id="22791"/>
      <w:bookmarkEnd w:id="22792"/>
      <w:bookmarkEnd w:id="22793"/>
      <w:bookmarkEnd w:id="22794"/>
      <w:bookmarkEnd w:id="22795"/>
      <w:r>
        <w:rPr>
          <w:rFonts w:hint="cs"/>
          <w:rtl/>
        </w:rPr>
        <w:t xml:space="preserve"> </w:t>
      </w:r>
    </w:p>
    <w:p w14:paraId="4D8C92EF" w14:textId="77777777" w:rsidR="003D504D" w:rsidRPr="00F65887" w:rsidRDefault="003D504D" w:rsidP="003D504D">
      <w:pPr>
        <w:pStyle w:val="a3"/>
        <w:rPr>
          <w:rtl/>
        </w:rPr>
      </w:pPr>
      <w:bookmarkStart w:id="22796" w:name="_Toc3322225"/>
      <w:bookmarkStart w:id="22797" w:name="_Toc3480689"/>
      <w:bookmarkStart w:id="22798" w:name="_Toc3484952"/>
      <w:bookmarkStart w:id="22799" w:name="_Toc3535800"/>
      <w:bookmarkStart w:id="22800" w:name="_Toc3543177"/>
      <w:bookmarkStart w:id="22801" w:name="_Toc3550888"/>
      <w:bookmarkStart w:id="22802" w:name="_Toc3551044"/>
      <w:bookmarkStart w:id="22803" w:name="_Toc19391853"/>
      <w:bookmarkStart w:id="22804" w:name="_Toc19395350"/>
      <w:r>
        <w:rPr>
          <w:rFonts w:hint="cs"/>
          <w:rtl/>
        </w:rPr>
        <w:t>דברי הרשב"א דא"א לומר דלריו"ח חדשים לבד גרמי דהא בן ט' מת מותר לכו"ע אף דכלו חדשיו</w:t>
      </w:r>
      <w:bookmarkEnd w:id="22796"/>
      <w:bookmarkEnd w:id="22797"/>
      <w:bookmarkEnd w:id="22798"/>
      <w:bookmarkEnd w:id="22799"/>
      <w:bookmarkEnd w:id="22800"/>
      <w:bookmarkEnd w:id="22801"/>
      <w:bookmarkEnd w:id="22802"/>
      <w:bookmarkEnd w:id="22803"/>
      <w:bookmarkEnd w:id="22804"/>
    </w:p>
    <w:p w14:paraId="24EDABF9" w14:textId="77777777" w:rsidR="003D504D" w:rsidRDefault="003D504D" w:rsidP="00223668">
      <w:pPr>
        <w:pStyle w:val="a0"/>
        <w:rPr>
          <w:rtl/>
        </w:rPr>
      </w:pPr>
      <w:r>
        <w:rPr>
          <w:rFonts w:hint="cs"/>
          <w:rtl/>
        </w:rPr>
        <w:t xml:space="preserve">כתב </w:t>
      </w:r>
      <w:r w:rsidRPr="006654E4">
        <w:rPr>
          <w:rStyle w:val="af9"/>
          <w:rFonts w:hint="cs"/>
          <w:rtl/>
        </w:rPr>
        <w:t>הרשב"א</w:t>
      </w:r>
      <w:r>
        <w:rPr>
          <w:rFonts w:hint="cs"/>
          <w:rtl/>
        </w:rPr>
        <w:t xml:space="preserve"> </w:t>
      </w:r>
      <w:r w:rsidRPr="00EA02D1">
        <w:rPr>
          <w:rStyle w:val="af7"/>
          <w:rFonts w:eastAsia="Guttman Hodes" w:hint="cs"/>
          <w:rtl/>
        </w:rPr>
        <w:t>(עה. ד"ה איכא)</w:t>
      </w:r>
      <w:r>
        <w:rPr>
          <w:rFonts w:hint="cs"/>
          <w:rtl/>
        </w:rPr>
        <w:t xml:space="preserve"> דמדברי </w:t>
      </w:r>
      <w:r w:rsidRPr="006654E4">
        <w:rPr>
          <w:rStyle w:val="af9"/>
          <w:rFonts w:hint="cs"/>
          <w:rtl/>
        </w:rPr>
        <w:t>הרמב"ם</w:t>
      </w:r>
      <w:r w:rsidRPr="001433AF">
        <w:rPr>
          <w:rStyle w:val="af7"/>
          <w:rFonts w:eastAsia="Guttman Hodes" w:hint="cs"/>
          <w:rtl/>
        </w:rPr>
        <w:t xml:space="preserve"> (עי' אות </w:t>
      </w:r>
      <w:r w:rsidRPr="001433AF">
        <w:rPr>
          <w:rStyle w:val="af7"/>
          <w:rFonts w:eastAsia="Guttman Hodes"/>
          <w:rtl/>
        </w:rPr>
        <w:fldChar w:fldCharType="begin"/>
      </w:r>
      <w:r w:rsidRPr="001433AF">
        <w:rPr>
          <w:rStyle w:val="af7"/>
          <w:rFonts w:eastAsia="Guttman Hodes"/>
          <w:rtl/>
        </w:rPr>
        <w:instrText xml:space="preserve"> </w:instrText>
      </w:r>
      <w:r w:rsidRPr="001433AF">
        <w:rPr>
          <w:rStyle w:val="af7"/>
          <w:rFonts w:eastAsia="Guttman Hodes" w:hint="cs"/>
        </w:rPr>
        <w:instrText>REF</w:instrText>
      </w:r>
      <w:r w:rsidRPr="001433AF">
        <w:rPr>
          <w:rStyle w:val="af7"/>
          <w:rFonts w:eastAsia="Guttman Hodes" w:hint="cs"/>
          <w:rtl/>
        </w:rPr>
        <w:instrText xml:space="preserve"> _</w:instrText>
      </w:r>
      <w:r w:rsidRPr="001433AF">
        <w:rPr>
          <w:rStyle w:val="af7"/>
          <w:rFonts w:eastAsia="Guttman Hodes" w:hint="cs"/>
        </w:rPr>
        <w:instrText>Ref3145560 \r \h</w:instrText>
      </w:r>
      <w:r w:rsidRPr="001433AF">
        <w:rPr>
          <w:rStyle w:val="af7"/>
          <w:rFonts w:eastAsia="Guttman Hodes"/>
          <w:rtl/>
        </w:rPr>
        <w:instrText xml:space="preserve">  \* </w:instrText>
      </w:r>
      <w:r w:rsidRPr="001433AF">
        <w:rPr>
          <w:rStyle w:val="af7"/>
          <w:rFonts w:eastAsia="Guttman Hodes"/>
        </w:rPr>
        <w:instrText>MERGEFORMAT</w:instrText>
      </w:r>
      <w:r w:rsidRPr="001433AF">
        <w:rPr>
          <w:rStyle w:val="af7"/>
          <w:rFonts w:eastAsia="Guttman Hodes"/>
          <w:rtl/>
        </w:rPr>
        <w:instrText xml:space="preserve"> </w:instrText>
      </w:r>
      <w:r w:rsidRPr="001433AF">
        <w:rPr>
          <w:rStyle w:val="af7"/>
          <w:rFonts w:eastAsia="Guttman Hodes"/>
          <w:rtl/>
        </w:rPr>
      </w:r>
      <w:r w:rsidRPr="001433AF">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1433AF">
        <w:rPr>
          <w:rStyle w:val="af7"/>
          <w:rFonts w:eastAsia="Guttman Hodes"/>
          <w:rtl/>
        </w:rPr>
        <w:fldChar w:fldCharType="end"/>
      </w:r>
      <w:r w:rsidRPr="001433AF">
        <w:rPr>
          <w:rStyle w:val="af7"/>
          <w:rFonts w:eastAsia="Guttman Hodes" w:hint="cs"/>
          <w:rtl/>
        </w:rPr>
        <w:t xml:space="preserve"> </w:t>
      </w:r>
      <w:r>
        <w:rPr>
          <w:rFonts w:hint="cs"/>
          <w:rtl/>
        </w:rPr>
        <w:t xml:space="preserve">מבואר דריו"ח ור"ל נחלקו בכל בן פקועה בן ט', וס"ל לריו"ח דחדשים לבד גרמי, ור"ל ס"ל דאוירא וחדשים גרמי, </w:t>
      </w:r>
      <w:r w:rsidRPr="001C3A02">
        <w:rPr>
          <w:rStyle w:val="afb"/>
          <w:rFonts w:hint="cs"/>
          <w:rtl/>
        </w:rPr>
        <w:t xml:space="preserve">[עיי"ש במה שדחה </w:t>
      </w:r>
      <w:r w:rsidRPr="001C3A02">
        <w:rPr>
          <w:rStyle w:val="affa"/>
          <w:rFonts w:hint="cs"/>
          <w:rtl/>
        </w:rPr>
        <w:t>הרשב"א</w:t>
      </w:r>
      <w:r w:rsidRPr="001C3A02">
        <w:rPr>
          <w:rStyle w:val="afb"/>
          <w:rFonts w:hint="cs"/>
          <w:rtl/>
        </w:rPr>
        <w:t xml:space="preserve"> את דברי </w:t>
      </w:r>
      <w:r w:rsidRPr="001C3A02">
        <w:rPr>
          <w:rStyle w:val="affa"/>
          <w:rFonts w:hint="cs"/>
          <w:rtl/>
        </w:rPr>
        <w:t>הרמב"ם</w:t>
      </w:r>
      <w:r w:rsidRPr="004C7220">
        <w:rPr>
          <w:rStyle w:val="afb"/>
          <w:rFonts w:hint="cs"/>
          <w:rtl/>
        </w:rPr>
        <w:t xml:space="preserve"> [</w:t>
      </w:r>
      <w:r>
        <w:rPr>
          <w:rStyle w:val="afb"/>
          <w:rFonts w:hint="cs"/>
          <w:rtl/>
        </w:rPr>
        <w:t>הובא</w:t>
      </w:r>
      <w:r w:rsidRPr="004C7220">
        <w:rPr>
          <w:rStyle w:val="afb"/>
          <w:rFonts w:hint="cs"/>
          <w:rtl/>
        </w:rPr>
        <w:t xml:space="preserve"> בסימן ח' ע"ד הרמב"ם</w:t>
      </w:r>
      <w:r w:rsidRPr="001C3A02">
        <w:rPr>
          <w:rStyle w:val="afb"/>
          <w:rFonts w:hint="cs"/>
          <w:rtl/>
        </w:rPr>
        <w:t>],</w:t>
      </w:r>
      <w:r>
        <w:rPr>
          <w:rFonts w:hint="cs"/>
          <w:rtl/>
        </w:rPr>
        <w:t xml:space="preserve"> וכתב </w:t>
      </w:r>
      <w:r w:rsidRPr="0090391F">
        <w:rPr>
          <w:rStyle w:val="af9"/>
          <w:rFonts w:hint="cs"/>
          <w:rtl/>
        </w:rPr>
        <w:t xml:space="preserve">הרשב"א </w:t>
      </w:r>
      <w:r>
        <w:rPr>
          <w:rFonts w:hint="cs"/>
          <w:rtl/>
        </w:rPr>
        <w:t xml:space="preserve">דמהא דתני ברישא דמתני' </w:t>
      </w:r>
      <w:r w:rsidRPr="00EA02D1">
        <w:rPr>
          <w:rStyle w:val="af7"/>
          <w:rFonts w:eastAsia="Guttman Hodes" w:hint="cs"/>
          <w:rtl/>
        </w:rPr>
        <w:t>(עד.)</w:t>
      </w:r>
      <w:r>
        <w:rPr>
          <w:rFonts w:hint="cs"/>
          <w:rtl/>
        </w:rPr>
        <w:t xml:space="preserve"> דלכו"ע בן ט' מת מותר בשחיטת אמו, מבואר דאף דכלו לו חדשיו מ"מ לכו"ע לא אמרינן דחדשים לבד גרמי, ואי ס"ל לרוי"ח חדשים לבד גרמי דהחלב אסור, היה להגמ' להקשות על ריו"ח מרישא, וע"ע בדברי </w:t>
      </w:r>
      <w:r w:rsidRPr="00EA5389">
        <w:rPr>
          <w:rStyle w:val="af9"/>
          <w:rFonts w:hint="cs"/>
          <w:rtl/>
        </w:rPr>
        <w:t>הרמב"ן</w:t>
      </w:r>
      <w:r>
        <w:rPr>
          <w:rFonts w:hint="cs"/>
          <w:rtl/>
        </w:rPr>
        <w:t xml:space="preserve"> </w:t>
      </w:r>
      <w:r w:rsidRPr="00EA5389">
        <w:rPr>
          <w:rStyle w:val="af7"/>
          <w:rFonts w:eastAsia="Guttman Hodes" w:hint="cs"/>
          <w:rtl/>
        </w:rPr>
        <w:t xml:space="preserve">(עי' אות </w:t>
      </w:r>
      <w:r w:rsidRPr="00EA5389">
        <w:rPr>
          <w:rStyle w:val="af7"/>
          <w:rFonts w:eastAsia="Guttman Hodes"/>
          <w:rtl/>
        </w:rPr>
        <w:fldChar w:fldCharType="begin"/>
      </w:r>
      <w:r w:rsidRPr="00EA5389">
        <w:rPr>
          <w:rStyle w:val="af7"/>
          <w:rFonts w:eastAsia="Guttman Hodes"/>
          <w:rtl/>
        </w:rPr>
        <w:instrText xml:space="preserve"> </w:instrText>
      </w:r>
      <w:r w:rsidRPr="00EA5389">
        <w:rPr>
          <w:rStyle w:val="af7"/>
          <w:rFonts w:eastAsia="Guttman Hodes" w:hint="cs"/>
        </w:rPr>
        <w:instrText>REF</w:instrText>
      </w:r>
      <w:r w:rsidRPr="00EA5389">
        <w:rPr>
          <w:rStyle w:val="af7"/>
          <w:rFonts w:eastAsia="Guttman Hodes" w:hint="cs"/>
          <w:rtl/>
        </w:rPr>
        <w:instrText xml:space="preserve"> _</w:instrText>
      </w:r>
      <w:r w:rsidRPr="00EA5389">
        <w:rPr>
          <w:rStyle w:val="af7"/>
          <w:rFonts w:eastAsia="Guttman Hodes" w:hint="cs"/>
        </w:rPr>
        <w:instrText>Ref4149170 \r \h</w:instrText>
      </w:r>
      <w:r w:rsidRPr="00EA5389">
        <w:rPr>
          <w:rStyle w:val="af7"/>
          <w:rFonts w:eastAsia="Guttman Hodes"/>
          <w:rtl/>
        </w:rPr>
        <w:instrText xml:space="preserve"> </w:instrText>
      </w:r>
      <w:r w:rsidRPr="00EA5389">
        <w:rPr>
          <w:rStyle w:val="af7"/>
          <w:rFonts w:eastAsia="Guttman Hodes"/>
          <w:rtl/>
        </w:rPr>
      </w:r>
      <w:r w:rsidRPr="00EA5389">
        <w:rPr>
          <w:rStyle w:val="af7"/>
          <w:rFonts w:eastAsia="Guttman Hodes"/>
          <w:rtl/>
        </w:rPr>
        <w:fldChar w:fldCharType="separate"/>
      </w:r>
      <w:r w:rsidR="00345400">
        <w:rPr>
          <w:rStyle w:val="af7"/>
          <w:rFonts w:eastAsia="Guttman Hodes"/>
          <w:cs/>
        </w:rPr>
        <w:t>‎</w:t>
      </w:r>
      <w:r w:rsidR="00345400">
        <w:rPr>
          <w:rStyle w:val="af7"/>
          <w:rFonts w:eastAsia="Guttman Hodes"/>
          <w:rtl/>
        </w:rPr>
        <w:t>סו)</w:t>
      </w:r>
      <w:r w:rsidRPr="00EA5389">
        <w:rPr>
          <w:rStyle w:val="af7"/>
          <w:rFonts w:eastAsia="Guttman Hodes"/>
          <w:rtl/>
        </w:rPr>
        <w:fldChar w:fldCharType="end"/>
      </w:r>
      <w:r>
        <w:rPr>
          <w:rFonts w:hint="cs"/>
          <w:rtl/>
        </w:rPr>
        <w:t>.</w:t>
      </w:r>
    </w:p>
    <w:p w14:paraId="4CEB3E6E" w14:textId="77777777" w:rsidR="007D3AFB" w:rsidRPr="007D3AFB" w:rsidRDefault="007D3AFB" w:rsidP="007D3AFB">
      <w:pPr>
        <w:pStyle w:val="a3"/>
        <w:rPr>
          <w:rtl/>
        </w:rPr>
      </w:pPr>
    </w:p>
    <w:p w14:paraId="77C6ED08" w14:textId="77777777" w:rsidR="003D504D" w:rsidRPr="00F15823" w:rsidRDefault="003D504D" w:rsidP="003D504D">
      <w:pPr>
        <w:pStyle w:val="a3"/>
        <w:rPr>
          <w:rtl/>
        </w:rPr>
      </w:pPr>
      <w:bookmarkStart w:id="22805" w:name="_Toc3322226"/>
      <w:bookmarkStart w:id="22806" w:name="_Toc3480690"/>
      <w:bookmarkStart w:id="22807" w:name="_Toc3484953"/>
      <w:bookmarkStart w:id="22808" w:name="_Toc3535801"/>
      <w:bookmarkStart w:id="22809" w:name="_Toc3543178"/>
      <w:bookmarkStart w:id="22810" w:name="_Toc3550889"/>
      <w:bookmarkStart w:id="22811" w:name="_Toc3551045"/>
      <w:bookmarkStart w:id="22812" w:name="_Toc19391854"/>
      <w:bookmarkStart w:id="22813" w:name="_Toc19395351"/>
      <w:r>
        <w:rPr>
          <w:rFonts w:hint="cs"/>
          <w:rtl/>
        </w:rPr>
        <w:t>דברי הרשב"א והרא"ש דפלוגתת ריו"ח ור"ל לא שייכא לר"מ ור"י וריו"ח מתיר אף לר"י</w:t>
      </w:r>
      <w:bookmarkEnd w:id="22805"/>
      <w:bookmarkEnd w:id="22806"/>
      <w:bookmarkEnd w:id="22807"/>
      <w:bookmarkEnd w:id="22808"/>
      <w:bookmarkEnd w:id="22809"/>
      <w:bookmarkEnd w:id="22810"/>
      <w:bookmarkEnd w:id="22811"/>
      <w:bookmarkEnd w:id="22812"/>
      <w:bookmarkEnd w:id="22813"/>
    </w:p>
    <w:p w14:paraId="25803B67" w14:textId="77777777" w:rsidR="003D504D" w:rsidRPr="002B66F1" w:rsidRDefault="003D504D" w:rsidP="00223668">
      <w:pPr>
        <w:pStyle w:val="a0"/>
        <w:rPr>
          <w:rtl/>
        </w:rPr>
      </w:pPr>
      <w:bookmarkStart w:id="22814" w:name="_Ref3389340"/>
      <w:bookmarkStart w:id="22815" w:name="_Ref3310298"/>
      <w:r>
        <w:rPr>
          <w:rFonts w:hint="cs"/>
          <w:rtl/>
        </w:rPr>
        <w:t xml:space="preserve">וביארו </w:t>
      </w:r>
      <w:r w:rsidRPr="006654E4">
        <w:rPr>
          <w:rStyle w:val="af9"/>
          <w:rFonts w:hint="cs"/>
          <w:rtl/>
        </w:rPr>
        <w:t>הרשב"א</w:t>
      </w:r>
      <w:r>
        <w:rPr>
          <w:rFonts w:hint="cs"/>
          <w:rtl/>
        </w:rPr>
        <w:t xml:space="preserve"> </w:t>
      </w:r>
      <w:r>
        <w:rPr>
          <w:rStyle w:val="af9"/>
          <w:rtl/>
        </w:rPr>
        <w:t xml:space="preserve">בחי' </w:t>
      </w:r>
      <w:r w:rsidRPr="002B66F1">
        <w:rPr>
          <w:rStyle w:val="af7"/>
          <w:rFonts w:eastAsia="Guttman Hodes" w:hint="cs"/>
          <w:rtl/>
        </w:rPr>
        <w:t>(</w:t>
      </w:r>
      <w:r w:rsidRPr="00EA02D1">
        <w:rPr>
          <w:rStyle w:val="af7"/>
          <w:rFonts w:eastAsia="Guttman Hodes" w:hint="cs"/>
          <w:rtl/>
        </w:rPr>
        <w:t>עה. ד"ה איכא</w:t>
      </w:r>
      <w:r>
        <w:rPr>
          <w:rStyle w:val="af7"/>
          <w:rFonts w:eastAsia="Guttman Hodes" w:hint="cs"/>
          <w:rtl/>
        </w:rPr>
        <w:t>,</w:t>
      </w:r>
      <w:r w:rsidRPr="002B66F1">
        <w:rPr>
          <w:rStyle w:val="af7"/>
          <w:rFonts w:eastAsia="Guttman Hodes" w:hint="cs"/>
          <w:rtl/>
        </w:rPr>
        <w:t xml:space="preserve"> צב: ד"ה ולענין</w:t>
      </w:r>
      <w:r w:rsidRPr="002B66F1">
        <w:rPr>
          <w:rStyle w:val="af7"/>
          <w:rFonts w:eastAsiaTheme="minorHAnsi" w:hint="cs"/>
          <w:rtl/>
        </w:rPr>
        <w:t>)</w:t>
      </w:r>
      <w:r>
        <w:rPr>
          <w:rStyle w:val="af7"/>
          <w:rFonts w:eastAsiaTheme="minorHAnsi" w:hint="cs"/>
          <w:rtl/>
        </w:rPr>
        <w:t xml:space="preserve"> </w:t>
      </w:r>
      <w:r>
        <w:rPr>
          <w:rStyle w:val="af9"/>
          <w:rtl/>
        </w:rPr>
        <w:t xml:space="preserve">ובתוה"ב </w:t>
      </w:r>
      <w:r w:rsidRPr="002B66F1">
        <w:rPr>
          <w:rStyle w:val="af7"/>
          <w:rFonts w:eastAsia="Guttman Hodes" w:hint="cs"/>
          <w:rtl/>
        </w:rPr>
        <w:t>(ב"ב ש"ה דף נט: מדה"ס)</w:t>
      </w:r>
      <w:r>
        <w:rPr>
          <w:rFonts w:hint="cs"/>
          <w:rtl/>
        </w:rPr>
        <w:t xml:space="preserve"> </w:t>
      </w:r>
      <w:r>
        <w:rPr>
          <w:rStyle w:val="af9"/>
          <w:rFonts w:hint="cs"/>
          <w:rtl/>
        </w:rPr>
        <w:t>ו</w:t>
      </w:r>
      <w:r w:rsidRPr="001C3803">
        <w:rPr>
          <w:rStyle w:val="af9"/>
          <w:rFonts w:hint="cs"/>
          <w:rtl/>
        </w:rPr>
        <w:t>הרא"ש</w:t>
      </w:r>
      <w:r>
        <w:rPr>
          <w:rFonts w:hint="cs"/>
          <w:rtl/>
        </w:rPr>
        <w:t xml:space="preserve"> </w:t>
      </w:r>
      <w:r w:rsidRPr="002B66F1">
        <w:rPr>
          <w:rStyle w:val="af7"/>
          <w:rFonts w:eastAsia="Guttman Hodes" w:hint="cs"/>
          <w:rtl/>
        </w:rPr>
        <w:t>(סי' ה')</w:t>
      </w:r>
      <w:r>
        <w:rPr>
          <w:rFonts w:hint="cs"/>
          <w:rtl/>
        </w:rPr>
        <w:t xml:space="preserve"> דפלוגתת ריו"ח ור"ל לא שייכא לפלוגתת ר"מ ור"י בדין שחיטה בבן ט' חי, ובתלש חלב נחלקו ריו"ח ור"ל בין לדעת ר"י ובין לדעת ר"מ, דס"ל לריו"ח דכ"מ שהתיר ר"י את החלב הוא רק לאחר שחיטת אמו, אבל לפני השחיטה מודה ר"י לדברי ריו"ח דבתלש חלב והוציאו לחוץ, דחלבו כחלב בהמה דחדשים גרמי, כיון שהוציאו לחוץ לפני שנשחטה אמו, ולאחר שחיטת אמו אף לריו"ח חלבו מותר, דהוא בכלל היתר "כל בבהמה תאכלו</w:t>
      </w:r>
      <w:bookmarkEnd w:id="22814"/>
      <w:r>
        <w:rPr>
          <w:rFonts w:hint="cs"/>
          <w:rtl/>
        </w:rPr>
        <w:t>".</w:t>
      </w:r>
    </w:p>
    <w:p w14:paraId="43739CAF" w14:textId="77777777" w:rsidR="003D504D" w:rsidRPr="007A43A8" w:rsidRDefault="003D504D" w:rsidP="003D504D">
      <w:pPr>
        <w:pStyle w:val="a3"/>
      </w:pPr>
      <w:bookmarkStart w:id="22816" w:name="_Toc3322227"/>
      <w:bookmarkStart w:id="22817" w:name="_Toc3480691"/>
      <w:bookmarkStart w:id="22818" w:name="_Toc3484954"/>
      <w:bookmarkStart w:id="22819" w:name="_Toc3535802"/>
      <w:bookmarkStart w:id="22820" w:name="_Toc3543179"/>
      <w:bookmarkStart w:id="22821" w:name="_Toc3550890"/>
      <w:bookmarkStart w:id="22822" w:name="_Toc3551046"/>
      <w:bookmarkStart w:id="22823" w:name="_Toc19391855"/>
      <w:bookmarkStart w:id="22824" w:name="_Toc19395352"/>
      <w:r>
        <w:rPr>
          <w:rFonts w:hint="cs"/>
          <w:rtl/>
        </w:rPr>
        <w:t xml:space="preserve">ביאור </w:t>
      </w:r>
      <w:r w:rsidRPr="0046082F">
        <w:rPr>
          <w:rFonts w:hint="cs"/>
          <w:rtl/>
        </w:rPr>
        <w:t xml:space="preserve">הרשב"א והרא"ש </w:t>
      </w:r>
      <w:r>
        <w:rPr>
          <w:rFonts w:hint="cs"/>
          <w:rtl/>
        </w:rPr>
        <w:t>דר"ל התיר בתלש חלב אף לר"מ דר"מ אסר רק אחר שחיטה</w:t>
      </w:r>
      <w:bookmarkEnd w:id="22816"/>
      <w:bookmarkEnd w:id="22817"/>
      <w:bookmarkEnd w:id="22818"/>
      <w:bookmarkEnd w:id="22819"/>
      <w:bookmarkEnd w:id="22820"/>
      <w:bookmarkEnd w:id="22821"/>
      <w:bookmarkEnd w:id="22822"/>
      <w:bookmarkEnd w:id="22823"/>
      <w:bookmarkEnd w:id="22824"/>
    </w:p>
    <w:p w14:paraId="454EBD3E" w14:textId="77777777" w:rsidR="003D504D" w:rsidRPr="004F06BF" w:rsidRDefault="003D504D" w:rsidP="00223668">
      <w:pPr>
        <w:pStyle w:val="a0"/>
        <w:rPr>
          <w:rtl/>
        </w:rPr>
      </w:pPr>
      <w:r>
        <w:rPr>
          <w:rFonts w:hint="cs"/>
          <w:rtl/>
        </w:rPr>
        <w:t xml:space="preserve">ובדעת ר"ל כתבו </w:t>
      </w:r>
      <w:r w:rsidRPr="006654E4">
        <w:rPr>
          <w:rStyle w:val="af9"/>
          <w:rFonts w:hint="cs"/>
          <w:rtl/>
        </w:rPr>
        <w:t>הרשב"א</w:t>
      </w:r>
      <w:r>
        <w:rPr>
          <w:rFonts w:hint="cs"/>
          <w:rtl/>
        </w:rPr>
        <w:t xml:space="preserve"> </w:t>
      </w:r>
      <w:r w:rsidRPr="00EA02D1">
        <w:rPr>
          <w:rStyle w:val="af7"/>
          <w:rFonts w:eastAsia="Guttman Hodes" w:hint="cs"/>
          <w:rtl/>
        </w:rPr>
        <w:t>(עה. ד"ה איכא)</w:t>
      </w:r>
      <w:r>
        <w:rPr>
          <w:rFonts w:hint="cs"/>
          <w:rtl/>
        </w:rPr>
        <w:t xml:space="preserve"> </w:t>
      </w:r>
      <w:r>
        <w:rPr>
          <w:rStyle w:val="af9"/>
          <w:rFonts w:hint="cs"/>
          <w:rtl/>
        </w:rPr>
        <w:t>ו</w:t>
      </w:r>
      <w:r w:rsidRPr="001C3803">
        <w:rPr>
          <w:rStyle w:val="af9"/>
          <w:rFonts w:hint="cs"/>
          <w:rtl/>
        </w:rPr>
        <w:t>הרא"ש</w:t>
      </w:r>
      <w:r>
        <w:rPr>
          <w:rFonts w:hint="cs"/>
          <w:rtl/>
        </w:rPr>
        <w:t xml:space="preserve"> </w:t>
      </w:r>
      <w:r w:rsidRPr="00E04AE7">
        <w:rPr>
          <w:rStyle w:val="af7"/>
          <w:rFonts w:eastAsia="Guttman Hodes" w:hint="cs"/>
          <w:rtl/>
        </w:rPr>
        <w:t>(סי' ה')</w:t>
      </w:r>
      <w:r>
        <w:rPr>
          <w:rFonts w:hint="cs"/>
          <w:rtl/>
        </w:rPr>
        <w:t xml:space="preserve"> דר"ל דאמר דבתלש חלב חלבו כחלב חיה, אמר כן אף לדעת ר"מ, דס"ל לר"ל דר"מ אסר את החלב</w:t>
      </w:r>
      <w:r w:rsidRPr="004F06BF">
        <w:rPr>
          <w:rFonts w:hint="cs"/>
          <w:rtl/>
        </w:rPr>
        <w:t xml:space="preserve">, רק לאחר השחיטה כשיצא לאויר העולם, אבל לפני השחיטה לא אסר ר"מ, וכתב </w:t>
      </w:r>
      <w:r w:rsidRPr="004F06BF">
        <w:rPr>
          <w:rStyle w:val="af9"/>
          <w:rFonts w:hint="cs"/>
          <w:rtl/>
        </w:rPr>
        <w:t>הרשב"א</w:t>
      </w:r>
      <w:r w:rsidRPr="004F06BF">
        <w:rPr>
          <w:rFonts w:hint="cs"/>
          <w:rtl/>
        </w:rPr>
        <w:t xml:space="preserve"> דקיי"ל כריו"ח, ובחלב של בן פקועה שנשחט קיי"ל כר"י דמתיר, וכתב </w:t>
      </w:r>
      <w:r w:rsidRPr="004F06BF">
        <w:rPr>
          <w:rStyle w:val="af9"/>
          <w:rFonts w:hint="cs"/>
          <w:rtl/>
        </w:rPr>
        <w:t>הרשב"א</w:t>
      </w:r>
      <w:r w:rsidRPr="004F06BF">
        <w:rPr>
          <w:rFonts w:hint="cs"/>
          <w:rtl/>
        </w:rPr>
        <w:t xml:space="preserve"> דכן דעת </w:t>
      </w:r>
      <w:r w:rsidRPr="004F06BF">
        <w:rPr>
          <w:rStyle w:val="af9"/>
          <w:rFonts w:hint="cs"/>
          <w:rtl/>
        </w:rPr>
        <w:t xml:space="preserve">רש"י </w:t>
      </w:r>
      <w:r w:rsidRPr="004F06BF">
        <w:rPr>
          <w:rStyle w:val="af7"/>
          <w:rFonts w:eastAsia="Guttman Hodes" w:hint="cs"/>
          <w:rtl/>
        </w:rPr>
        <w:t xml:space="preserve">(עי' אות </w:t>
      </w:r>
      <w:r w:rsidRPr="004F06BF">
        <w:rPr>
          <w:rStyle w:val="af7"/>
          <w:rFonts w:eastAsia="Guttman Hodes"/>
          <w:rtl/>
        </w:rPr>
        <w:fldChar w:fldCharType="begin"/>
      </w:r>
      <w:r w:rsidRPr="004F06BF">
        <w:rPr>
          <w:rStyle w:val="af7"/>
          <w:rFonts w:eastAsia="Guttman Hodes"/>
          <w:rtl/>
        </w:rPr>
        <w:instrText xml:space="preserve"> </w:instrText>
      </w:r>
      <w:r w:rsidRPr="004F06BF">
        <w:rPr>
          <w:rStyle w:val="af7"/>
          <w:rFonts w:eastAsia="Guttman Hodes" w:hint="cs"/>
        </w:rPr>
        <w:instrText>REF</w:instrText>
      </w:r>
      <w:r w:rsidRPr="004F06BF">
        <w:rPr>
          <w:rStyle w:val="af7"/>
          <w:rFonts w:eastAsia="Guttman Hodes" w:hint="cs"/>
          <w:rtl/>
        </w:rPr>
        <w:instrText xml:space="preserve"> _</w:instrText>
      </w:r>
      <w:r w:rsidRPr="004F06BF">
        <w:rPr>
          <w:rStyle w:val="af7"/>
          <w:rFonts w:eastAsia="Guttman Hodes" w:hint="cs"/>
        </w:rPr>
        <w:instrText>Ref2886390 \r \h</w:instrText>
      </w:r>
      <w:r w:rsidRPr="004F06BF">
        <w:rPr>
          <w:rStyle w:val="af7"/>
          <w:rFonts w:eastAsia="Guttman Hodes"/>
          <w:rtl/>
        </w:rPr>
        <w:instrText xml:space="preserve">  \* </w:instrText>
      </w:r>
      <w:r w:rsidRPr="004F06BF">
        <w:rPr>
          <w:rStyle w:val="af7"/>
          <w:rFonts w:eastAsia="Guttman Hodes"/>
        </w:rPr>
        <w:instrText>MERGEFORMAT</w:instrText>
      </w:r>
      <w:r w:rsidRPr="004F06BF">
        <w:rPr>
          <w:rStyle w:val="af7"/>
          <w:rFonts w:eastAsia="Guttman Hodes"/>
          <w:rtl/>
        </w:rPr>
        <w:instrText xml:space="preserve"> </w:instrText>
      </w:r>
      <w:r w:rsidRPr="004F06BF">
        <w:rPr>
          <w:rStyle w:val="af7"/>
          <w:rFonts w:eastAsia="Guttman Hodes"/>
          <w:rtl/>
        </w:rPr>
      </w:r>
      <w:r w:rsidRPr="004F06BF">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4F06BF">
        <w:rPr>
          <w:rStyle w:val="af7"/>
          <w:rFonts w:eastAsia="Guttman Hodes"/>
          <w:rtl/>
        </w:rPr>
        <w:fldChar w:fldCharType="end"/>
      </w:r>
      <w:r w:rsidRPr="004F06BF">
        <w:rPr>
          <w:rFonts w:hint="cs"/>
          <w:rtl/>
        </w:rPr>
        <w:t xml:space="preserve"> </w:t>
      </w:r>
      <w:r w:rsidRPr="004F06BF">
        <w:rPr>
          <w:rStyle w:val="af9"/>
          <w:rFonts w:hint="cs"/>
          <w:rtl/>
        </w:rPr>
        <w:t xml:space="preserve">והתוס' </w:t>
      </w:r>
      <w:r w:rsidRPr="004F06BF">
        <w:rPr>
          <w:rStyle w:val="af7"/>
          <w:rFonts w:eastAsia="Guttman Hodes" w:hint="cs"/>
          <w:rtl/>
        </w:rPr>
        <w:t xml:space="preserve">(עי' אות </w:t>
      </w:r>
      <w:r w:rsidRPr="004F06BF">
        <w:rPr>
          <w:rStyle w:val="af7"/>
          <w:rFonts w:eastAsia="Guttman Hodes"/>
          <w:rtl/>
        </w:rPr>
        <w:fldChar w:fldCharType="begin"/>
      </w:r>
      <w:r w:rsidRPr="004F06BF">
        <w:rPr>
          <w:rStyle w:val="af7"/>
          <w:rFonts w:eastAsia="Guttman Hodes"/>
          <w:rtl/>
        </w:rPr>
        <w:instrText xml:space="preserve"> </w:instrText>
      </w:r>
      <w:r w:rsidRPr="004F06BF">
        <w:rPr>
          <w:rStyle w:val="af7"/>
          <w:rFonts w:eastAsia="Guttman Hodes" w:hint="cs"/>
        </w:rPr>
        <w:instrText>REF</w:instrText>
      </w:r>
      <w:r w:rsidRPr="004F06BF">
        <w:rPr>
          <w:rStyle w:val="af7"/>
          <w:rFonts w:eastAsia="Guttman Hodes" w:hint="cs"/>
          <w:rtl/>
        </w:rPr>
        <w:instrText xml:space="preserve"> _</w:instrText>
      </w:r>
      <w:r w:rsidRPr="004F06BF">
        <w:rPr>
          <w:rStyle w:val="af7"/>
          <w:rFonts w:eastAsia="Guttman Hodes" w:hint="cs"/>
        </w:rPr>
        <w:instrText>Ref2886400 \r \h</w:instrText>
      </w:r>
      <w:r w:rsidRPr="004F06BF">
        <w:rPr>
          <w:rStyle w:val="af7"/>
          <w:rFonts w:eastAsia="Guttman Hodes"/>
          <w:rtl/>
        </w:rPr>
        <w:instrText xml:space="preserve">  \* </w:instrText>
      </w:r>
      <w:r w:rsidRPr="004F06BF">
        <w:rPr>
          <w:rStyle w:val="af7"/>
          <w:rFonts w:eastAsia="Guttman Hodes"/>
        </w:rPr>
        <w:instrText>MERGEFORMAT</w:instrText>
      </w:r>
      <w:r w:rsidRPr="004F06BF">
        <w:rPr>
          <w:rStyle w:val="af7"/>
          <w:rFonts w:eastAsia="Guttman Hodes"/>
          <w:rtl/>
        </w:rPr>
        <w:instrText xml:space="preserve"> </w:instrText>
      </w:r>
      <w:r w:rsidRPr="004F06BF">
        <w:rPr>
          <w:rStyle w:val="af7"/>
          <w:rFonts w:eastAsia="Guttman Hodes"/>
          <w:rtl/>
        </w:rPr>
      </w:r>
      <w:r w:rsidRPr="004F06BF">
        <w:rPr>
          <w:rStyle w:val="af7"/>
          <w:rFonts w:eastAsia="Guttman Hodes"/>
          <w:rtl/>
        </w:rPr>
        <w:fldChar w:fldCharType="separate"/>
      </w:r>
      <w:r w:rsidR="00345400">
        <w:rPr>
          <w:rStyle w:val="af7"/>
          <w:rFonts w:eastAsia="Guttman Hodes"/>
          <w:cs/>
        </w:rPr>
        <w:t>‎</w:t>
      </w:r>
      <w:r w:rsidR="00345400">
        <w:rPr>
          <w:rStyle w:val="af7"/>
          <w:rFonts w:eastAsia="Guttman Hodes"/>
          <w:rtl/>
        </w:rPr>
        <w:t>מה)</w:t>
      </w:r>
      <w:r w:rsidRPr="004F06BF">
        <w:rPr>
          <w:rStyle w:val="af7"/>
          <w:rFonts w:eastAsia="Guttman Hodes"/>
          <w:rtl/>
        </w:rPr>
        <w:fldChar w:fldCharType="end"/>
      </w:r>
      <w:r w:rsidRPr="004F06BF">
        <w:rPr>
          <w:rStyle w:val="af9"/>
          <w:rFonts w:hint="cs"/>
          <w:rtl/>
        </w:rPr>
        <w:t xml:space="preserve"> והרי"</w:t>
      </w:r>
      <w:r>
        <w:rPr>
          <w:rStyle w:val="af9"/>
          <w:rFonts w:hint="cs"/>
          <w:rtl/>
        </w:rPr>
        <w:t>ף</w:t>
      </w:r>
      <w:r w:rsidRPr="004F06BF">
        <w:rPr>
          <w:rFonts w:hint="cs"/>
          <w:rtl/>
        </w:rPr>
        <w:t>.</w:t>
      </w:r>
    </w:p>
    <w:p w14:paraId="78BEBAED" w14:textId="77777777" w:rsidR="003D504D" w:rsidRPr="004F06BF" w:rsidRDefault="003D504D" w:rsidP="003D504D">
      <w:pPr>
        <w:pStyle w:val="a3"/>
      </w:pPr>
      <w:bookmarkStart w:id="22825" w:name="_Toc3484955"/>
      <w:bookmarkStart w:id="22826" w:name="_Toc3535803"/>
      <w:bookmarkStart w:id="22827" w:name="_Toc3543180"/>
      <w:bookmarkStart w:id="22828" w:name="_Toc3550891"/>
      <w:bookmarkStart w:id="22829" w:name="_Toc3551047"/>
      <w:bookmarkStart w:id="22830" w:name="_Toc19391856"/>
      <w:bookmarkStart w:id="22831" w:name="_Toc19395353"/>
      <w:r w:rsidRPr="004F06BF">
        <w:rPr>
          <w:rFonts w:hint="cs"/>
          <w:rtl/>
        </w:rPr>
        <w:t>דברי הרא"ש דלר"ל חדשים ואוירא גרמי אף לר"מ ודלא כרש"י במתני'</w:t>
      </w:r>
      <w:bookmarkEnd w:id="22825"/>
      <w:bookmarkEnd w:id="22826"/>
      <w:bookmarkEnd w:id="22827"/>
      <w:bookmarkEnd w:id="22828"/>
      <w:bookmarkEnd w:id="22829"/>
      <w:bookmarkEnd w:id="22830"/>
      <w:bookmarkEnd w:id="22831"/>
    </w:p>
    <w:p w14:paraId="48161A45" w14:textId="77777777" w:rsidR="003D504D" w:rsidRDefault="003D504D" w:rsidP="00223668">
      <w:pPr>
        <w:pStyle w:val="a0"/>
        <w:rPr>
          <w:rtl/>
        </w:rPr>
      </w:pPr>
      <w:bookmarkStart w:id="22832" w:name="_Ref3368746"/>
      <w:r w:rsidRPr="004F06BF">
        <w:rPr>
          <w:rFonts w:hint="cs"/>
          <w:rtl/>
        </w:rPr>
        <w:t xml:space="preserve">והוסיף </w:t>
      </w:r>
      <w:r w:rsidRPr="004F06BF">
        <w:rPr>
          <w:rStyle w:val="af9"/>
          <w:rFonts w:hint="cs"/>
          <w:rtl/>
        </w:rPr>
        <w:t>הרא"ש</w:t>
      </w:r>
      <w:r w:rsidRPr="004F06BF">
        <w:rPr>
          <w:rFonts w:hint="cs"/>
          <w:rtl/>
        </w:rPr>
        <w:t xml:space="preserve"> דדברי ר"ל דחדשים</w:t>
      </w:r>
      <w:r>
        <w:rPr>
          <w:rFonts w:hint="cs"/>
          <w:rtl/>
        </w:rPr>
        <w:t xml:space="preserve"> ואוירא גרמי הם גם לדעת ר"מ, ודלא </w:t>
      </w:r>
      <w:r w:rsidRPr="001C3803">
        <w:rPr>
          <w:rStyle w:val="af9"/>
          <w:rFonts w:hint="cs"/>
          <w:rtl/>
        </w:rPr>
        <w:t>כרש"</w:t>
      </w:r>
      <w:r w:rsidRPr="00D33A96">
        <w:rPr>
          <w:rStyle w:val="af9"/>
          <w:rFonts w:hint="cs"/>
          <w:rtl/>
        </w:rPr>
        <w:t>י במתני'</w:t>
      </w:r>
      <w:r>
        <w:rPr>
          <w:rFonts w:hint="cs"/>
          <w:rtl/>
        </w:rPr>
        <w:t xml:space="preserve"> </w:t>
      </w:r>
      <w:r w:rsidRPr="00BA18F0">
        <w:rPr>
          <w:rStyle w:val="af7"/>
          <w:rFonts w:eastAsia="Guttman Hodes" w:hint="cs"/>
          <w:rtl/>
        </w:rPr>
        <w:t xml:space="preserve">(עד. ד"ה טעון שחיטה) </w:t>
      </w:r>
      <w:r>
        <w:rPr>
          <w:rFonts w:hint="cs"/>
          <w:rtl/>
        </w:rPr>
        <w:t>דכתב דלר"מ חדשים גרמי, דהא ר"מ מתיר בבן ט' מת",</w:t>
      </w:r>
      <w:r w:rsidRPr="00BA18F0">
        <w:rPr>
          <w:rFonts w:hint="cs"/>
          <w:rtl/>
        </w:rPr>
        <w:t xml:space="preserve"> </w:t>
      </w:r>
      <w:r>
        <w:rPr>
          <w:rFonts w:hint="cs"/>
          <w:rtl/>
        </w:rPr>
        <w:t xml:space="preserve">וע'י במה שהקשה </w:t>
      </w:r>
      <w:r w:rsidRPr="00BA18F0">
        <w:rPr>
          <w:rStyle w:val="af9"/>
          <w:rFonts w:hint="cs"/>
          <w:rtl/>
        </w:rPr>
        <w:t>התורת יקותיאל</w:t>
      </w:r>
      <w:r>
        <w:rPr>
          <w:rFonts w:hint="cs"/>
          <w:rtl/>
        </w:rPr>
        <w:t xml:space="preserve"> </w:t>
      </w:r>
      <w:r w:rsidRPr="00BA18F0">
        <w:rPr>
          <w:rStyle w:val="af7"/>
          <w:rFonts w:eastAsia="Guttman Hodes" w:hint="cs"/>
          <w:rtl/>
        </w:rPr>
        <w:t xml:space="preserve">(סי' ס"ד סק"א ד"ה והנה אף) </w:t>
      </w:r>
      <w:r>
        <w:rPr>
          <w:rFonts w:hint="cs"/>
          <w:rtl/>
        </w:rPr>
        <w:t xml:space="preserve">על דברי </w:t>
      </w:r>
      <w:r w:rsidRPr="00BA18F0">
        <w:rPr>
          <w:rStyle w:val="af9"/>
          <w:rFonts w:hint="cs"/>
          <w:rtl/>
        </w:rPr>
        <w:t>הרא"ש</w:t>
      </w:r>
      <w:r>
        <w:rPr>
          <w:rFonts w:hint="cs"/>
          <w:rtl/>
        </w:rPr>
        <w:t>.</w:t>
      </w:r>
      <w:bookmarkEnd w:id="22815"/>
      <w:bookmarkEnd w:id="22832"/>
      <w:r>
        <w:rPr>
          <w:rFonts w:hint="cs"/>
          <w:rtl/>
        </w:rPr>
        <w:t xml:space="preserve"> </w:t>
      </w:r>
    </w:p>
    <w:p w14:paraId="12FAB2CB" w14:textId="77777777" w:rsidR="003D504D" w:rsidRPr="002E7DA1" w:rsidRDefault="003D504D" w:rsidP="00BF39B2">
      <w:pPr>
        <w:pStyle w:val="1"/>
        <w:rPr>
          <w:rtl/>
        </w:rPr>
      </w:pPr>
      <w:bookmarkStart w:id="22833" w:name="_Toc3234481"/>
      <w:bookmarkStart w:id="22834" w:name="_Toc3287715"/>
      <w:bookmarkStart w:id="22835" w:name="_Toc3322228"/>
      <w:bookmarkStart w:id="22836" w:name="_Toc3480692"/>
      <w:bookmarkStart w:id="22837" w:name="_Toc3484956"/>
      <w:bookmarkStart w:id="22838" w:name="_Toc3535804"/>
      <w:bookmarkStart w:id="22839" w:name="_Toc3543181"/>
      <w:bookmarkStart w:id="22840" w:name="_Toc3550892"/>
      <w:bookmarkStart w:id="22841" w:name="_Toc3551048"/>
      <w:bookmarkStart w:id="22842" w:name="_Toc19391857"/>
      <w:bookmarkStart w:id="22843" w:name="_Toc19395354"/>
      <w:bookmarkEnd w:id="22695"/>
      <w:bookmarkEnd w:id="22696"/>
      <w:r w:rsidRPr="002E7DA1">
        <w:rPr>
          <w:rFonts w:hint="cs"/>
          <w:rtl/>
        </w:rPr>
        <w:t xml:space="preserve">דברי הרא"ש </w:t>
      </w:r>
      <w:r>
        <w:rPr>
          <w:rFonts w:hint="cs"/>
          <w:rtl/>
        </w:rPr>
        <w:t>דכל בבהמה</w:t>
      </w:r>
      <w:r w:rsidRPr="002E7DA1">
        <w:rPr>
          <w:rFonts w:hint="cs"/>
          <w:rtl/>
        </w:rPr>
        <w:t xml:space="preserve"> מתיר את כל העובר והחלב בכלל</w:t>
      </w:r>
      <w:bookmarkEnd w:id="22833"/>
      <w:bookmarkEnd w:id="22834"/>
      <w:bookmarkEnd w:id="22835"/>
      <w:bookmarkEnd w:id="22836"/>
      <w:bookmarkEnd w:id="22837"/>
      <w:bookmarkEnd w:id="22838"/>
      <w:bookmarkEnd w:id="22839"/>
      <w:bookmarkEnd w:id="22840"/>
      <w:bookmarkEnd w:id="22841"/>
      <w:bookmarkEnd w:id="22842"/>
      <w:bookmarkEnd w:id="22843"/>
    </w:p>
    <w:p w14:paraId="36A9D489" w14:textId="77777777" w:rsidR="003D504D" w:rsidRPr="007B3B43" w:rsidRDefault="003D504D" w:rsidP="003D504D">
      <w:pPr>
        <w:pStyle w:val="a3"/>
        <w:rPr>
          <w:rtl/>
        </w:rPr>
      </w:pPr>
      <w:bookmarkStart w:id="22844" w:name="_Toc2718659"/>
      <w:bookmarkStart w:id="22845" w:name="_Toc2866721"/>
      <w:bookmarkStart w:id="22846" w:name="_Toc3234482"/>
      <w:bookmarkStart w:id="22847" w:name="_Toc3287716"/>
      <w:bookmarkStart w:id="22848" w:name="_Toc3322229"/>
      <w:bookmarkStart w:id="22849" w:name="_Toc3480693"/>
      <w:bookmarkStart w:id="22850" w:name="_Toc3484957"/>
      <w:bookmarkStart w:id="22851" w:name="_Toc3535805"/>
      <w:bookmarkStart w:id="22852" w:name="_Toc3543182"/>
      <w:bookmarkStart w:id="22853" w:name="_Toc3550893"/>
      <w:bookmarkStart w:id="22854" w:name="_Toc3551049"/>
      <w:bookmarkStart w:id="22855" w:name="_Toc19391858"/>
      <w:bookmarkStart w:id="22856" w:name="_Toc19395355"/>
      <w:r w:rsidRPr="007B3B43">
        <w:rPr>
          <w:rFonts w:hint="cs"/>
          <w:rtl/>
        </w:rPr>
        <w:t>קושית הרא"ש דהיאך מתירה שחיטת האם את חלב העובר יותר ממה שמתירה בעצמה</w:t>
      </w:r>
      <w:bookmarkEnd w:id="22844"/>
      <w:bookmarkEnd w:id="22845"/>
      <w:bookmarkEnd w:id="22846"/>
      <w:bookmarkEnd w:id="22847"/>
      <w:bookmarkEnd w:id="22848"/>
      <w:bookmarkEnd w:id="22849"/>
      <w:bookmarkEnd w:id="22850"/>
      <w:bookmarkEnd w:id="22851"/>
      <w:bookmarkEnd w:id="22852"/>
      <w:bookmarkEnd w:id="22853"/>
      <w:bookmarkEnd w:id="22854"/>
      <w:bookmarkEnd w:id="22855"/>
      <w:bookmarkEnd w:id="22856"/>
    </w:p>
    <w:p w14:paraId="2C4B6DDA" w14:textId="77777777" w:rsidR="003D504D" w:rsidRDefault="003D504D" w:rsidP="00223668">
      <w:pPr>
        <w:pStyle w:val="a0"/>
        <w:rPr>
          <w:rtl/>
        </w:rPr>
      </w:pPr>
      <w:bookmarkStart w:id="22857" w:name="_Ref3194795"/>
      <w:bookmarkStart w:id="22858" w:name="_Ref3310201"/>
      <w:r w:rsidRPr="007B3B43">
        <w:rPr>
          <w:rFonts w:hint="cs"/>
          <w:rtl/>
        </w:rPr>
        <w:t xml:space="preserve">והקשה </w:t>
      </w:r>
      <w:r w:rsidRPr="001C3803">
        <w:rPr>
          <w:rStyle w:val="af9"/>
          <w:rFonts w:hint="cs"/>
          <w:rtl/>
        </w:rPr>
        <w:t>הרא"ש</w:t>
      </w:r>
      <w:r>
        <w:rPr>
          <w:rFonts w:hint="cs"/>
          <w:rtl/>
        </w:rPr>
        <w:t xml:space="preserve"> </w:t>
      </w:r>
      <w:r w:rsidRPr="00E04AE7">
        <w:rPr>
          <w:rStyle w:val="af7"/>
          <w:rFonts w:eastAsia="Guttman Hodes" w:hint="cs"/>
          <w:rtl/>
        </w:rPr>
        <w:t>(סי' ה')</w:t>
      </w:r>
      <w:r>
        <w:rPr>
          <w:rFonts w:hint="cs"/>
          <w:rtl/>
        </w:rPr>
        <w:t xml:space="preserve"> </w:t>
      </w:r>
      <w:r w:rsidRPr="007B3B43">
        <w:rPr>
          <w:rFonts w:hint="cs"/>
          <w:rtl/>
        </w:rPr>
        <w:t>ד</w:t>
      </w:r>
      <w:r>
        <w:rPr>
          <w:rFonts w:hint="cs"/>
          <w:rtl/>
        </w:rPr>
        <w:t>כיון דס"ל ל</w:t>
      </w:r>
      <w:r w:rsidRPr="007B3B43">
        <w:rPr>
          <w:rFonts w:hint="cs"/>
          <w:rtl/>
        </w:rPr>
        <w:t>ריו"ח דחדשים גרמי</w:t>
      </w:r>
      <w:r>
        <w:rPr>
          <w:rFonts w:hint="cs"/>
          <w:rtl/>
        </w:rPr>
        <w:t>,</w:t>
      </w:r>
      <w:r w:rsidRPr="007B3B43">
        <w:rPr>
          <w:rFonts w:hint="cs"/>
          <w:rtl/>
        </w:rPr>
        <w:t xml:space="preserve"> </w:t>
      </w:r>
      <w:r>
        <w:rPr>
          <w:rFonts w:hint="cs"/>
          <w:rtl/>
        </w:rPr>
        <w:t>ו</w:t>
      </w:r>
      <w:r w:rsidRPr="007B3B43">
        <w:rPr>
          <w:rFonts w:hint="cs"/>
          <w:rtl/>
        </w:rPr>
        <w:t xml:space="preserve">חלבו </w:t>
      </w:r>
      <w:r>
        <w:rPr>
          <w:rFonts w:hint="cs"/>
          <w:rtl/>
        </w:rPr>
        <w:t xml:space="preserve">של בן ט' הוא </w:t>
      </w:r>
      <w:r w:rsidRPr="007B3B43">
        <w:rPr>
          <w:rFonts w:hint="cs"/>
          <w:rtl/>
        </w:rPr>
        <w:t xml:space="preserve">כחלב בהמה, </w:t>
      </w:r>
      <w:r>
        <w:rPr>
          <w:rFonts w:hint="cs"/>
          <w:rtl/>
        </w:rPr>
        <w:t xml:space="preserve">א"כ </w:t>
      </w:r>
      <w:r w:rsidRPr="007B3B43">
        <w:rPr>
          <w:rFonts w:hint="cs"/>
          <w:rtl/>
        </w:rPr>
        <w:t xml:space="preserve">היאך </w:t>
      </w:r>
      <w:r>
        <w:rPr>
          <w:rFonts w:hint="cs"/>
          <w:rtl/>
        </w:rPr>
        <w:t>מתיר ר"י את</w:t>
      </w:r>
      <w:r w:rsidRPr="007B3B43">
        <w:rPr>
          <w:rFonts w:hint="cs"/>
          <w:rtl/>
        </w:rPr>
        <w:t xml:space="preserve"> החלב של העובר בשחיטת האם, והרי </w:t>
      </w:r>
      <w:r>
        <w:rPr>
          <w:rFonts w:hint="cs"/>
          <w:rtl/>
        </w:rPr>
        <w:t>כיון ד</w:t>
      </w:r>
      <w:r w:rsidRPr="007B3B43">
        <w:rPr>
          <w:rFonts w:hint="cs"/>
          <w:rtl/>
        </w:rPr>
        <w:t xml:space="preserve">שחיטת האם אינה מתירה את החלב שלה, </w:t>
      </w:r>
      <w:r>
        <w:rPr>
          <w:rFonts w:hint="cs"/>
          <w:rtl/>
        </w:rPr>
        <w:t xml:space="preserve">א"כ </w:t>
      </w:r>
      <w:r w:rsidRPr="007B3B43">
        <w:rPr>
          <w:rFonts w:hint="cs"/>
          <w:rtl/>
        </w:rPr>
        <w:t>היאך יש כח בשחיטתה להתיר בעובר יותר ממה שמותר בשחיטת עצמה</w:t>
      </w:r>
      <w:bookmarkEnd w:id="22857"/>
      <w:r>
        <w:rPr>
          <w:rFonts w:hint="cs"/>
          <w:rtl/>
        </w:rPr>
        <w:t>.</w:t>
      </w:r>
      <w:bookmarkEnd w:id="22858"/>
    </w:p>
    <w:p w14:paraId="64C2151E" w14:textId="77777777" w:rsidR="003D504D" w:rsidRPr="003013AD" w:rsidRDefault="003D504D" w:rsidP="003D504D">
      <w:pPr>
        <w:pStyle w:val="a3"/>
        <w:rPr>
          <w:rtl/>
        </w:rPr>
      </w:pPr>
    </w:p>
    <w:p w14:paraId="04B10056" w14:textId="77777777" w:rsidR="003D504D" w:rsidRPr="007B3B43" w:rsidRDefault="003D504D" w:rsidP="003D504D">
      <w:pPr>
        <w:pStyle w:val="a3"/>
        <w:rPr>
          <w:rtl/>
        </w:rPr>
      </w:pPr>
      <w:bookmarkStart w:id="22859" w:name="_Toc2718660"/>
      <w:bookmarkStart w:id="22860" w:name="_Toc2866722"/>
      <w:bookmarkStart w:id="22861" w:name="_Toc3234484"/>
      <w:bookmarkStart w:id="22862" w:name="_Toc3287718"/>
      <w:bookmarkStart w:id="22863" w:name="_Toc3322230"/>
      <w:bookmarkStart w:id="22864" w:name="_Toc3480694"/>
      <w:bookmarkStart w:id="22865" w:name="_Toc3484958"/>
      <w:bookmarkStart w:id="22866" w:name="_Toc3535806"/>
      <w:bookmarkStart w:id="22867" w:name="_Toc3543183"/>
      <w:bookmarkStart w:id="22868" w:name="_Toc3550894"/>
      <w:bookmarkStart w:id="22869" w:name="_Toc3551050"/>
      <w:bookmarkStart w:id="22870" w:name="_Toc19391859"/>
      <w:bookmarkStart w:id="22871" w:name="_Toc19395356"/>
      <w:bookmarkStart w:id="22872" w:name="_Toc3234485"/>
      <w:bookmarkStart w:id="22873" w:name="_Toc3287719"/>
      <w:bookmarkStart w:id="22874" w:name="_Toc3234483"/>
      <w:bookmarkStart w:id="22875" w:name="_Toc3287717"/>
      <w:r w:rsidRPr="007B3B43">
        <w:rPr>
          <w:rFonts w:hint="cs"/>
          <w:rtl/>
        </w:rPr>
        <w:t>ביאור הרא"ש דהיתר בן פקועה הוא גזיה"כ דמתיר אף את כל העובר וחלבו בכלל ההיתר</w:t>
      </w:r>
      <w:bookmarkEnd w:id="22859"/>
      <w:bookmarkEnd w:id="22860"/>
      <w:bookmarkEnd w:id="22861"/>
      <w:bookmarkEnd w:id="22862"/>
      <w:bookmarkEnd w:id="22863"/>
      <w:bookmarkEnd w:id="22864"/>
      <w:bookmarkEnd w:id="22865"/>
      <w:bookmarkEnd w:id="22866"/>
      <w:bookmarkEnd w:id="22867"/>
      <w:bookmarkEnd w:id="22868"/>
      <w:bookmarkEnd w:id="22869"/>
      <w:bookmarkEnd w:id="22870"/>
      <w:bookmarkEnd w:id="22871"/>
    </w:p>
    <w:p w14:paraId="15668DF4" w14:textId="77777777" w:rsidR="003D504D" w:rsidRPr="007B3B43" w:rsidRDefault="003D504D" w:rsidP="00223668">
      <w:pPr>
        <w:pStyle w:val="a0"/>
        <w:rPr>
          <w:rtl/>
        </w:rPr>
      </w:pPr>
      <w:r w:rsidRPr="007B3B43">
        <w:rPr>
          <w:rFonts w:hint="cs"/>
          <w:rtl/>
        </w:rPr>
        <w:t xml:space="preserve">ותירץ </w:t>
      </w:r>
      <w:r w:rsidRPr="007B3B43">
        <w:rPr>
          <w:rStyle w:val="af9"/>
          <w:rFonts w:hint="cs"/>
          <w:rtl/>
        </w:rPr>
        <w:t>הרא"ש</w:t>
      </w:r>
      <w:r w:rsidRPr="007B3B43">
        <w:rPr>
          <w:rFonts w:hint="cs"/>
          <w:rtl/>
        </w:rPr>
        <w:t xml:space="preserve"> דהיתר העובר הוא גזיה"כ דיש בו היתר "כל בבהמה תאכלו", והיתר זה מתיר אף את חלבו דההיתר בבן פקועה הוא שמתיר את כל העובר, אף שהאם עצמה אין החלב שלה מותר בשחיטתה, וכתב </w:t>
      </w:r>
      <w:r w:rsidRPr="007B3B43">
        <w:rPr>
          <w:rStyle w:val="af9"/>
          <w:rFonts w:hint="cs"/>
          <w:rtl/>
        </w:rPr>
        <w:t>הרא"ש</w:t>
      </w:r>
      <w:r w:rsidRPr="007B3B43">
        <w:rPr>
          <w:rFonts w:hint="cs"/>
          <w:rtl/>
        </w:rPr>
        <w:t xml:space="preserve"> דכן מוכח מדינא דמתני' לעיל </w:t>
      </w:r>
      <w:r w:rsidRPr="007B3B43">
        <w:rPr>
          <w:rStyle w:val="af7"/>
          <w:rFonts w:eastAsia="Guttman Hodes" w:hint="cs"/>
          <w:rtl/>
        </w:rPr>
        <w:t>(סח.)</w:t>
      </w:r>
      <w:r w:rsidRPr="007B3B43">
        <w:rPr>
          <w:rtl/>
        </w:rPr>
        <w:t xml:space="preserve"> דהחותך מעובר במעי בהמה ושחטה מותר באכילה, </w:t>
      </w:r>
      <w:r w:rsidRPr="007B3B43">
        <w:rPr>
          <w:rFonts w:hint="cs"/>
          <w:rtl/>
        </w:rPr>
        <w:t xml:space="preserve">אבל </w:t>
      </w:r>
      <w:r w:rsidRPr="007B3B43">
        <w:rPr>
          <w:rtl/>
        </w:rPr>
        <w:t xml:space="preserve">אם חתך מן הטחול ומן הכליות של </w:t>
      </w:r>
      <w:r w:rsidRPr="007B3B43">
        <w:rPr>
          <w:rFonts w:hint="cs"/>
          <w:rtl/>
        </w:rPr>
        <w:t>ה</w:t>
      </w:r>
      <w:r w:rsidRPr="007B3B43">
        <w:rPr>
          <w:rtl/>
        </w:rPr>
        <w:t>בהמה עצמה אסור באכילה,</w:t>
      </w:r>
      <w:r>
        <w:rPr>
          <w:rFonts w:hint="cs"/>
          <w:rtl/>
        </w:rPr>
        <w:t xml:space="preserve"> ומבואר דהוא גזיה"כ שמתירה את כל מה שבבהמה,</w:t>
      </w:r>
      <w:r w:rsidRPr="007B3B43">
        <w:rPr>
          <w:rtl/>
        </w:rPr>
        <w:t xml:space="preserve"> </w:t>
      </w:r>
      <w:r w:rsidRPr="007B3B43">
        <w:rPr>
          <w:rFonts w:hint="cs"/>
          <w:rtl/>
        </w:rPr>
        <w:t>ולכן מהני שחיטת אמו להתיר את החלב של העובר, אף שיש לו דין חלב.</w:t>
      </w:r>
    </w:p>
    <w:p w14:paraId="1A6091A6" w14:textId="77777777" w:rsidR="003D504D" w:rsidRPr="009647F8" w:rsidRDefault="003D504D" w:rsidP="003D504D">
      <w:pPr>
        <w:pStyle w:val="a3"/>
        <w:rPr>
          <w:rtl/>
        </w:rPr>
      </w:pPr>
      <w:bookmarkStart w:id="22876" w:name="_Toc3322231"/>
      <w:bookmarkStart w:id="22877" w:name="_Toc3480695"/>
      <w:bookmarkStart w:id="22878" w:name="_Toc3484959"/>
      <w:bookmarkStart w:id="22879" w:name="_Toc3535807"/>
      <w:bookmarkStart w:id="22880" w:name="_Toc3543184"/>
      <w:bookmarkStart w:id="22881" w:name="_Toc3550895"/>
      <w:bookmarkStart w:id="22882" w:name="_Toc3551051"/>
      <w:bookmarkStart w:id="22883" w:name="_Toc19391860"/>
      <w:bookmarkStart w:id="22884" w:name="_Toc19395357"/>
      <w:r>
        <w:rPr>
          <w:rFonts w:hint="cs"/>
          <w:rtl/>
        </w:rPr>
        <w:t>דברי הרא"ש דאף לר"ל החלב אסור מדין אבמה"ח ואין מפלוגתתם נ"מ לדינא</w:t>
      </w:r>
      <w:bookmarkEnd w:id="22872"/>
      <w:bookmarkEnd w:id="22873"/>
      <w:bookmarkEnd w:id="22876"/>
      <w:bookmarkEnd w:id="22877"/>
      <w:bookmarkEnd w:id="22878"/>
      <w:bookmarkEnd w:id="22879"/>
      <w:bookmarkEnd w:id="22880"/>
      <w:bookmarkEnd w:id="22881"/>
      <w:bookmarkEnd w:id="22882"/>
      <w:bookmarkEnd w:id="22883"/>
      <w:bookmarkEnd w:id="22884"/>
    </w:p>
    <w:p w14:paraId="05C05624" w14:textId="77777777" w:rsidR="003D504D" w:rsidRDefault="003D504D" w:rsidP="00223668">
      <w:pPr>
        <w:pStyle w:val="a0"/>
        <w:rPr>
          <w:rtl/>
        </w:rPr>
      </w:pPr>
      <w:r>
        <w:rPr>
          <w:rFonts w:hint="cs"/>
          <w:rtl/>
        </w:rPr>
        <w:t xml:space="preserve">והוסיף </w:t>
      </w:r>
      <w:r w:rsidRPr="009647F8">
        <w:rPr>
          <w:rStyle w:val="af9"/>
          <w:rFonts w:hint="cs"/>
          <w:rtl/>
        </w:rPr>
        <w:t>הרא"ש</w:t>
      </w:r>
      <w:r>
        <w:rPr>
          <w:rFonts w:hint="cs"/>
          <w:rtl/>
        </w:rPr>
        <w:t xml:space="preserve"> דאף דאין מפלוגתת ריו"ח ור"ל נ"מ לדינא, דאף לדעת ר"ל אף שאין בו איסור חלב, מ"מ אסור מדין בשר מן החי, כתב </w:t>
      </w:r>
      <w:r w:rsidRPr="009647F8">
        <w:rPr>
          <w:rStyle w:val="af9"/>
          <w:rFonts w:hint="cs"/>
          <w:rtl/>
        </w:rPr>
        <w:t>הרא"ש</w:t>
      </w:r>
      <w:r>
        <w:rPr>
          <w:rFonts w:hint="cs"/>
          <w:rtl/>
        </w:rPr>
        <w:t xml:space="preserve"> דאפ"ה ביאר את דבריהם לאפוקי מדעת </w:t>
      </w:r>
      <w:r w:rsidRPr="009647F8">
        <w:rPr>
          <w:rStyle w:val="af9"/>
          <w:rFonts w:hint="cs"/>
          <w:rtl/>
        </w:rPr>
        <w:t>הרמב"ם</w:t>
      </w:r>
      <w:r>
        <w:rPr>
          <w:rFonts w:hint="cs"/>
          <w:rtl/>
        </w:rPr>
        <w:t xml:space="preserve"> </w:t>
      </w:r>
      <w:r w:rsidRPr="007B3E2D">
        <w:rPr>
          <w:rStyle w:val="af7"/>
          <w:rFonts w:eastAsia="Guttman Hodes" w:hint="cs"/>
          <w:rtl/>
        </w:rPr>
        <w:t xml:space="preserve">(עי' אות </w:t>
      </w:r>
      <w:r w:rsidRPr="007B3E2D">
        <w:rPr>
          <w:rStyle w:val="af7"/>
          <w:rFonts w:eastAsia="Guttman Hodes"/>
          <w:rtl/>
        </w:rPr>
        <w:fldChar w:fldCharType="begin"/>
      </w:r>
      <w:r w:rsidRPr="007B3E2D">
        <w:rPr>
          <w:rStyle w:val="af7"/>
          <w:rFonts w:eastAsia="Guttman Hodes"/>
          <w:rtl/>
        </w:rPr>
        <w:instrText xml:space="preserve"> </w:instrText>
      </w:r>
      <w:r w:rsidRPr="007B3E2D">
        <w:rPr>
          <w:rStyle w:val="af7"/>
          <w:rFonts w:eastAsia="Guttman Hodes" w:hint="cs"/>
        </w:rPr>
        <w:instrText>REF</w:instrText>
      </w:r>
      <w:r w:rsidRPr="007B3E2D">
        <w:rPr>
          <w:rStyle w:val="af7"/>
          <w:rFonts w:eastAsia="Guttman Hodes" w:hint="cs"/>
          <w:rtl/>
        </w:rPr>
        <w:instrText xml:space="preserve"> _</w:instrText>
      </w:r>
      <w:r w:rsidRPr="007B3E2D">
        <w:rPr>
          <w:rStyle w:val="af7"/>
          <w:rFonts w:eastAsia="Guttman Hodes" w:hint="cs"/>
        </w:rPr>
        <w:instrText>Ref3145560 \r \h</w:instrText>
      </w:r>
      <w:r w:rsidRPr="007B3E2D">
        <w:rPr>
          <w:rStyle w:val="af7"/>
          <w:rFonts w:eastAsia="Guttman Hodes"/>
          <w:rtl/>
        </w:rPr>
        <w:instrText xml:space="preserve"> </w:instrText>
      </w:r>
      <w:r w:rsidRPr="007B3E2D">
        <w:rPr>
          <w:rStyle w:val="af7"/>
          <w:rFonts w:eastAsia="Guttman Hodes"/>
          <w:rtl/>
        </w:rPr>
      </w:r>
      <w:r w:rsidRPr="007B3E2D">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7B3E2D">
        <w:rPr>
          <w:rStyle w:val="af7"/>
          <w:rFonts w:eastAsia="Guttman Hodes"/>
          <w:rtl/>
        </w:rPr>
        <w:fldChar w:fldCharType="end"/>
      </w:r>
      <w:r w:rsidRPr="007B3E2D">
        <w:rPr>
          <w:rStyle w:val="af7"/>
          <w:rFonts w:eastAsia="Guttman Hodes" w:hint="cs"/>
          <w:rtl/>
        </w:rPr>
        <w:t xml:space="preserve"> </w:t>
      </w:r>
      <w:r>
        <w:rPr>
          <w:rFonts w:hint="cs"/>
          <w:rtl/>
        </w:rPr>
        <w:t>דכתב דחלב דבן ט' חי אסור וחייבין עליו כרת.</w:t>
      </w:r>
    </w:p>
    <w:p w14:paraId="3EB54578" w14:textId="77777777" w:rsidR="003D504D" w:rsidRDefault="003D504D" w:rsidP="00BF39B2">
      <w:pPr>
        <w:pStyle w:val="1"/>
        <w:rPr>
          <w:rtl/>
        </w:rPr>
      </w:pPr>
      <w:bookmarkStart w:id="22885" w:name="_Toc3322232"/>
      <w:bookmarkStart w:id="22886" w:name="_Toc3480696"/>
      <w:bookmarkStart w:id="22887" w:name="_Toc3484960"/>
      <w:bookmarkStart w:id="22888" w:name="_Toc3535808"/>
      <w:bookmarkStart w:id="22889" w:name="_Toc3543185"/>
      <w:bookmarkStart w:id="22890" w:name="_Toc3550896"/>
      <w:bookmarkStart w:id="22891" w:name="_Toc3551052"/>
      <w:bookmarkStart w:id="22892" w:name="_Toc19391861"/>
      <w:bookmarkStart w:id="22893" w:name="_Toc19395358"/>
      <w:bookmarkStart w:id="22894" w:name="_Toc3234479"/>
      <w:bookmarkStart w:id="22895" w:name="_Toc3287713"/>
      <w:bookmarkStart w:id="22896" w:name="_Toc3234486"/>
      <w:bookmarkStart w:id="22897" w:name="_Toc3287720"/>
      <w:bookmarkEnd w:id="22874"/>
      <w:bookmarkEnd w:id="22875"/>
      <w:r>
        <w:rPr>
          <w:rFonts w:hint="cs"/>
          <w:rtl/>
        </w:rPr>
        <w:t>ביאור הראש יוסף בדברי הרא"ש</w:t>
      </w:r>
      <w:bookmarkEnd w:id="22885"/>
      <w:bookmarkEnd w:id="22886"/>
      <w:bookmarkEnd w:id="22887"/>
      <w:bookmarkEnd w:id="22888"/>
      <w:bookmarkEnd w:id="22889"/>
      <w:bookmarkEnd w:id="22890"/>
      <w:bookmarkEnd w:id="22891"/>
      <w:bookmarkEnd w:id="22892"/>
      <w:bookmarkEnd w:id="22893"/>
    </w:p>
    <w:p w14:paraId="4B36F4BE" w14:textId="77777777" w:rsidR="003D504D" w:rsidRDefault="003D504D" w:rsidP="003D504D">
      <w:pPr>
        <w:pStyle w:val="a3"/>
        <w:rPr>
          <w:rtl/>
        </w:rPr>
      </w:pPr>
      <w:bookmarkStart w:id="22898" w:name="_Toc3322233"/>
      <w:bookmarkStart w:id="22899" w:name="_Toc3480697"/>
      <w:bookmarkStart w:id="22900" w:name="_Toc3484961"/>
      <w:bookmarkStart w:id="22901" w:name="_Toc3535809"/>
      <w:bookmarkStart w:id="22902" w:name="_Toc3543186"/>
      <w:bookmarkStart w:id="22903" w:name="_Toc3550897"/>
      <w:bookmarkStart w:id="22904" w:name="_Toc3551053"/>
      <w:bookmarkStart w:id="22905" w:name="_Toc19391862"/>
      <w:bookmarkStart w:id="22906" w:name="_Toc19395359"/>
      <w:r>
        <w:rPr>
          <w:rFonts w:hint="cs"/>
          <w:rtl/>
        </w:rPr>
        <w:t>ביאור הראש יוסף ברא"ש דלר"מ אף שהותר הבן ט' בשחיטת אמו נאסר כשיצא חי לאויר העולם</w:t>
      </w:r>
      <w:bookmarkEnd w:id="22894"/>
      <w:bookmarkEnd w:id="22895"/>
      <w:bookmarkEnd w:id="22898"/>
      <w:bookmarkEnd w:id="22899"/>
      <w:bookmarkEnd w:id="22900"/>
      <w:bookmarkEnd w:id="22901"/>
      <w:bookmarkEnd w:id="22902"/>
      <w:bookmarkEnd w:id="22903"/>
      <w:bookmarkEnd w:id="22904"/>
      <w:bookmarkEnd w:id="22905"/>
      <w:bookmarkEnd w:id="22906"/>
    </w:p>
    <w:p w14:paraId="1658094C" w14:textId="77777777" w:rsidR="003D504D" w:rsidRDefault="003D504D" w:rsidP="00223668">
      <w:pPr>
        <w:pStyle w:val="a0"/>
        <w:rPr>
          <w:rtl/>
        </w:rPr>
      </w:pPr>
      <w:r>
        <w:rPr>
          <w:rFonts w:hint="cs"/>
          <w:rtl/>
        </w:rPr>
        <w:t xml:space="preserve">במ"ש </w:t>
      </w:r>
      <w:r w:rsidRPr="00C46BF7">
        <w:rPr>
          <w:rStyle w:val="af9"/>
          <w:rFonts w:hint="cs"/>
          <w:rtl/>
        </w:rPr>
        <w:t>הרא"ש</w:t>
      </w:r>
      <w:r>
        <w:rPr>
          <w:rFonts w:hint="cs"/>
          <w:rtl/>
        </w:rPr>
        <w:t xml:space="preserve"> </w:t>
      </w:r>
      <w:r w:rsidRPr="00C46BF7">
        <w:rPr>
          <w:rStyle w:val="af7"/>
          <w:rFonts w:eastAsia="Guttman Hodes" w:hint="cs"/>
          <w:rtl/>
        </w:rPr>
        <w:t xml:space="preserve">(עי' אות </w:t>
      </w:r>
      <w:r w:rsidRPr="00C46BF7">
        <w:rPr>
          <w:rStyle w:val="af7"/>
          <w:rFonts w:eastAsia="Guttman Hodes"/>
          <w:rtl/>
        </w:rPr>
        <w:fldChar w:fldCharType="begin"/>
      </w:r>
      <w:r w:rsidRPr="00C46BF7">
        <w:rPr>
          <w:rStyle w:val="af7"/>
          <w:rFonts w:eastAsia="Guttman Hodes"/>
          <w:rtl/>
        </w:rPr>
        <w:instrText xml:space="preserve"> </w:instrText>
      </w:r>
      <w:r w:rsidRPr="00C46BF7">
        <w:rPr>
          <w:rStyle w:val="af7"/>
          <w:rFonts w:eastAsia="Guttman Hodes" w:hint="cs"/>
        </w:rPr>
        <w:instrText>REF</w:instrText>
      </w:r>
      <w:r w:rsidRPr="00C46BF7">
        <w:rPr>
          <w:rStyle w:val="af7"/>
          <w:rFonts w:eastAsia="Guttman Hodes" w:hint="cs"/>
          <w:rtl/>
        </w:rPr>
        <w:instrText xml:space="preserve"> _</w:instrText>
      </w:r>
      <w:r w:rsidRPr="00C46BF7">
        <w:rPr>
          <w:rStyle w:val="af7"/>
          <w:rFonts w:eastAsia="Guttman Hodes" w:hint="cs"/>
        </w:rPr>
        <w:instrText>Ref3310298 \r \h</w:instrText>
      </w:r>
      <w:r w:rsidRPr="00C46BF7">
        <w:rPr>
          <w:rStyle w:val="af7"/>
          <w:rFonts w:eastAsia="Guttman Hodes"/>
          <w:rtl/>
        </w:rPr>
        <w:instrText xml:space="preserve"> </w:instrText>
      </w:r>
      <w:r w:rsidRPr="00C46BF7">
        <w:rPr>
          <w:rStyle w:val="af7"/>
          <w:rFonts w:eastAsia="Guttman Hodes"/>
          <w:rtl/>
        </w:rPr>
      </w:r>
      <w:r w:rsidRPr="00C46BF7">
        <w:rPr>
          <w:rStyle w:val="af7"/>
          <w:rFonts w:eastAsia="Guttman Hodes"/>
          <w:rtl/>
        </w:rPr>
        <w:fldChar w:fldCharType="separate"/>
      </w:r>
      <w:r w:rsidR="00345400">
        <w:rPr>
          <w:rStyle w:val="af7"/>
          <w:rFonts w:eastAsia="Guttman Hodes"/>
          <w:cs/>
        </w:rPr>
        <w:t>‎</w:t>
      </w:r>
      <w:r w:rsidR="00345400">
        <w:rPr>
          <w:rStyle w:val="af7"/>
          <w:rFonts w:eastAsia="Guttman Hodes"/>
          <w:rtl/>
        </w:rPr>
        <w:t>נו)</w:t>
      </w:r>
      <w:r w:rsidRPr="00C46BF7">
        <w:rPr>
          <w:rStyle w:val="af7"/>
          <w:rFonts w:eastAsia="Guttman Hodes"/>
          <w:rtl/>
        </w:rPr>
        <w:fldChar w:fldCharType="end"/>
      </w:r>
      <w:r>
        <w:rPr>
          <w:rFonts w:hint="cs"/>
          <w:rtl/>
        </w:rPr>
        <w:t xml:space="preserve"> דר"ל אסר אף לדעת ר"מ, ביאר </w:t>
      </w:r>
      <w:r w:rsidRPr="0013718C">
        <w:rPr>
          <w:rStyle w:val="af9"/>
          <w:rFonts w:hint="cs"/>
          <w:rtl/>
        </w:rPr>
        <w:t>הראש יוסף לקמן</w:t>
      </w:r>
      <w:r>
        <w:rPr>
          <w:rFonts w:hint="cs"/>
          <w:rtl/>
        </w:rPr>
        <w:t xml:space="preserve"> </w:t>
      </w:r>
      <w:r w:rsidRPr="0013718C">
        <w:rPr>
          <w:rStyle w:val="af7"/>
          <w:rFonts w:eastAsia="Guttman Hodes" w:hint="cs"/>
          <w:rtl/>
        </w:rPr>
        <w:t>(צב: ד"ה וזה לשון הרא"ש)</w:t>
      </w:r>
      <w:r>
        <w:rPr>
          <w:rFonts w:hint="cs"/>
          <w:rtl/>
        </w:rPr>
        <w:t xml:space="preserve"> דס"ל </w:t>
      </w:r>
      <w:r w:rsidRPr="0013718C">
        <w:rPr>
          <w:rStyle w:val="af9"/>
          <w:rFonts w:hint="cs"/>
          <w:rtl/>
        </w:rPr>
        <w:t>להרא"ש</w:t>
      </w:r>
      <w:r>
        <w:rPr>
          <w:rFonts w:hint="cs"/>
          <w:rtl/>
        </w:rPr>
        <w:t xml:space="preserve"> דאף ר"מ יכול לסבור כר"ל דחדשים ואוירא דלידה בעינן, ולכן כל שהוא במעי אמו, אף שהוא חי חשיב כאחד מאבריה, וכנשחטה חשיב כבשרא בדיקולא, ומ"מ כשיצא הבן ט' חי לאויר העולם, ס"ל לר"מ דכיון שיצא חי לאויר העולם, קרינן ביה "וזבחת מבקרך" ונאסר באכילה, ומשעת יציאתו לאויר העולם אינו כבשרא בדיקולא, ומתחייב בשחיטה.</w:t>
      </w:r>
    </w:p>
    <w:p w14:paraId="4A696E24" w14:textId="77777777" w:rsidR="003D504D" w:rsidRPr="0013718C" w:rsidRDefault="003D504D" w:rsidP="003D504D">
      <w:pPr>
        <w:pStyle w:val="a3"/>
      </w:pPr>
      <w:bookmarkStart w:id="22907" w:name="_Toc3234480"/>
      <w:bookmarkStart w:id="22908" w:name="_Toc3287714"/>
      <w:bookmarkStart w:id="22909" w:name="_Toc3322234"/>
      <w:bookmarkStart w:id="22910" w:name="_Toc3480698"/>
      <w:bookmarkStart w:id="22911" w:name="_Toc3484962"/>
      <w:bookmarkStart w:id="22912" w:name="_Toc3535810"/>
      <w:bookmarkStart w:id="22913" w:name="_Toc3543187"/>
      <w:bookmarkStart w:id="22914" w:name="_Toc3550898"/>
      <w:bookmarkStart w:id="22915" w:name="_Toc3551054"/>
      <w:bookmarkStart w:id="22916" w:name="_Toc19391863"/>
      <w:bookmarkStart w:id="22917" w:name="_Toc19395360"/>
      <w:r>
        <w:rPr>
          <w:rFonts w:hint="cs"/>
          <w:rtl/>
        </w:rPr>
        <w:t>ביאור הראש יוסף ברא"ש דלרבנן כיון שהותר הבן ט' בשחיטת אמו אינו חוזר ונאסר אף שיצא חי</w:t>
      </w:r>
      <w:bookmarkEnd w:id="22907"/>
      <w:bookmarkEnd w:id="22908"/>
      <w:bookmarkEnd w:id="22909"/>
      <w:bookmarkEnd w:id="22910"/>
      <w:bookmarkEnd w:id="22911"/>
      <w:bookmarkEnd w:id="22912"/>
      <w:bookmarkEnd w:id="22913"/>
      <w:bookmarkEnd w:id="22914"/>
      <w:bookmarkEnd w:id="22915"/>
      <w:bookmarkEnd w:id="22916"/>
      <w:bookmarkEnd w:id="22917"/>
    </w:p>
    <w:p w14:paraId="49B34A7F" w14:textId="77777777" w:rsidR="003D504D" w:rsidRDefault="003D504D" w:rsidP="00223668">
      <w:pPr>
        <w:pStyle w:val="a0"/>
        <w:rPr>
          <w:rtl/>
        </w:rPr>
      </w:pPr>
      <w:r>
        <w:rPr>
          <w:rFonts w:hint="cs"/>
          <w:rtl/>
        </w:rPr>
        <w:t xml:space="preserve">ובדעת ר"י ביאר </w:t>
      </w:r>
      <w:r w:rsidRPr="0013718C">
        <w:rPr>
          <w:rStyle w:val="af9"/>
          <w:rFonts w:hint="cs"/>
          <w:rtl/>
        </w:rPr>
        <w:t>הראש יוסף</w:t>
      </w:r>
      <w:r>
        <w:rPr>
          <w:rFonts w:hint="cs"/>
          <w:rtl/>
        </w:rPr>
        <w:t xml:space="preserve"> דס"ל </w:t>
      </w:r>
      <w:r w:rsidRPr="0013718C">
        <w:rPr>
          <w:rStyle w:val="af9"/>
          <w:rFonts w:hint="cs"/>
          <w:rtl/>
        </w:rPr>
        <w:t>להרא"ש</w:t>
      </w:r>
      <w:r>
        <w:rPr>
          <w:rFonts w:hint="cs"/>
          <w:rtl/>
        </w:rPr>
        <w:t xml:space="preserve"> בדעת ר"ל דכיון שכבר הותר בשחיטת אמו, אף שיצא חי לאויר העולם לא מסתבר לאוסרו, או דס"ל לר"י דאחר שהותר בשחיטת אמו חשיב כבשרא בדיקולא, ולא שייך שיתחייב בשחיטה.</w:t>
      </w:r>
    </w:p>
    <w:p w14:paraId="7E3DC7CB" w14:textId="77777777" w:rsidR="003D504D" w:rsidRPr="002929A1" w:rsidRDefault="003D504D" w:rsidP="003D504D">
      <w:pPr>
        <w:pStyle w:val="a3"/>
      </w:pPr>
      <w:bookmarkStart w:id="22918" w:name="_Toc3322235"/>
      <w:bookmarkStart w:id="22919" w:name="_Toc3480699"/>
      <w:bookmarkStart w:id="22920" w:name="_Toc3484963"/>
      <w:bookmarkStart w:id="22921" w:name="_Toc3535811"/>
      <w:bookmarkStart w:id="22922" w:name="_Toc3543188"/>
      <w:bookmarkStart w:id="22923" w:name="_Toc3550899"/>
      <w:bookmarkStart w:id="22924" w:name="_Toc3551055"/>
      <w:bookmarkStart w:id="22925" w:name="_Toc19391864"/>
      <w:bookmarkStart w:id="22926" w:name="_Toc19395361"/>
      <w:r>
        <w:rPr>
          <w:rFonts w:hint="cs"/>
          <w:rtl/>
        </w:rPr>
        <w:t>ביאור הראש יוסף ברא"ש דלר"ל החלב כבשר והוא בכלל ההיתר אך לריו"ח דחשיב חלב קשה</w:t>
      </w:r>
      <w:bookmarkEnd w:id="22918"/>
      <w:bookmarkEnd w:id="22919"/>
      <w:bookmarkEnd w:id="22920"/>
      <w:bookmarkEnd w:id="22921"/>
      <w:bookmarkEnd w:id="22922"/>
      <w:bookmarkEnd w:id="22923"/>
      <w:bookmarkEnd w:id="22924"/>
      <w:bookmarkEnd w:id="22925"/>
      <w:bookmarkEnd w:id="22926"/>
    </w:p>
    <w:p w14:paraId="2326B8E6" w14:textId="77777777" w:rsidR="003D504D" w:rsidRPr="007B3B43" w:rsidRDefault="003D504D" w:rsidP="00223668">
      <w:pPr>
        <w:pStyle w:val="a0"/>
        <w:rPr>
          <w:rtl/>
        </w:rPr>
      </w:pPr>
      <w:r>
        <w:rPr>
          <w:rFonts w:hint="cs"/>
          <w:rtl/>
        </w:rPr>
        <w:t xml:space="preserve">ובמה שהקשה </w:t>
      </w:r>
      <w:r w:rsidRPr="00146131">
        <w:rPr>
          <w:rStyle w:val="af9"/>
          <w:rFonts w:hint="cs"/>
          <w:rtl/>
        </w:rPr>
        <w:t>הרא"ש</w:t>
      </w:r>
      <w:r>
        <w:rPr>
          <w:rFonts w:hint="cs"/>
          <w:rtl/>
        </w:rPr>
        <w:t xml:space="preserve"> </w:t>
      </w:r>
      <w:r w:rsidRPr="00C46BF7">
        <w:rPr>
          <w:rStyle w:val="af7"/>
          <w:rFonts w:eastAsia="Guttman Hodes" w:hint="cs"/>
          <w:rtl/>
        </w:rPr>
        <w:t xml:space="preserve">(עי' אות </w:t>
      </w:r>
      <w:r w:rsidRPr="00C46BF7">
        <w:rPr>
          <w:rStyle w:val="af7"/>
          <w:rFonts w:eastAsia="Guttman Hodes"/>
          <w:rtl/>
        </w:rPr>
        <w:fldChar w:fldCharType="begin"/>
      </w:r>
      <w:r w:rsidRPr="00C46BF7">
        <w:rPr>
          <w:rStyle w:val="af7"/>
          <w:rFonts w:eastAsia="Guttman Hodes"/>
          <w:rtl/>
        </w:rPr>
        <w:instrText xml:space="preserve"> </w:instrText>
      </w:r>
      <w:r w:rsidRPr="00C46BF7">
        <w:rPr>
          <w:rStyle w:val="af7"/>
          <w:rFonts w:eastAsia="Guttman Hodes" w:hint="cs"/>
        </w:rPr>
        <w:instrText>REF</w:instrText>
      </w:r>
      <w:r w:rsidRPr="00C46BF7">
        <w:rPr>
          <w:rStyle w:val="af7"/>
          <w:rFonts w:eastAsia="Guttman Hodes" w:hint="cs"/>
          <w:rtl/>
        </w:rPr>
        <w:instrText xml:space="preserve"> _</w:instrText>
      </w:r>
      <w:r w:rsidRPr="00C46BF7">
        <w:rPr>
          <w:rStyle w:val="af7"/>
          <w:rFonts w:eastAsia="Guttman Hodes" w:hint="cs"/>
        </w:rPr>
        <w:instrText>Ref3310201 \r \h</w:instrText>
      </w:r>
      <w:r w:rsidRPr="00C46BF7">
        <w:rPr>
          <w:rStyle w:val="af7"/>
          <w:rFonts w:eastAsia="Guttman Hodes"/>
          <w:rtl/>
        </w:rPr>
        <w:instrText xml:space="preserve"> </w:instrText>
      </w:r>
      <w:r w:rsidRPr="00C46BF7">
        <w:rPr>
          <w:rStyle w:val="af7"/>
          <w:rFonts w:eastAsia="Guttman Hodes"/>
          <w:rtl/>
        </w:rPr>
      </w:r>
      <w:r w:rsidRPr="00C46BF7">
        <w:rPr>
          <w:rStyle w:val="af7"/>
          <w:rFonts w:eastAsia="Guttman Hodes"/>
          <w:rtl/>
        </w:rPr>
        <w:fldChar w:fldCharType="separate"/>
      </w:r>
      <w:r w:rsidR="00345400">
        <w:rPr>
          <w:rStyle w:val="af7"/>
          <w:rFonts w:eastAsia="Guttman Hodes"/>
          <w:cs/>
        </w:rPr>
        <w:t>‎</w:t>
      </w:r>
      <w:r w:rsidR="00345400">
        <w:rPr>
          <w:rStyle w:val="af7"/>
          <w:rFonts w:eastAsia="Guttman Hodes"/>
          <w:rtl/>
        </w:rPr>
        <w:t>נט)</w:t>
      </w:r>
      <w:r w:rsidRPr="00C46BF7">
        <w:rPr>
          <w:rStyle w:val="af7"/>
          <w:rFonts w:eastAsia="Guttman Hodes"/>
          <w:rtl/>
        </w:rPr>
        <w:fldChar w:fldCharType="end"/>
      </w:r>
      <w:r>
        <w:rPr>
          <w:rFonts w:hint="cs"/>
          <w:rtl/>
        </w:rPr>
        <w:t xml:space="preserve"> על ריו"ח דהיאך שחיטת האם מתירה את החלב אף דחדשים גרמי, ביאר </w:t>
      </w:r>
      <w:r w:rsidRPr="00146131">
        <w:rPr>
          <w:rStyle w:val="af9"/>
          <w:rFonts w:hint="cs"/>
          <w:rtl/>
        </w:rPr>
        <w:t>הראש יוסף</w:t>
      </w:r>
      <w:r>
        <w:rPr>
          <w:rFonts w:hint="cs"/>
          <w:rtl/>
        </w:rPr>
        <w:t xml:space="preserve"> </w:t>
      </w:r>
      <w:r w:rsidRPr="00756D7B">
        <w:rPr>
          <w:rStyle w:val="af9"/>
          <w:rFonts w:hint="cs"/>
          <w:rtl/>
        </w:rPr>
        <w:t>לקמן</w:t>
      </w:r>
      <w:r>
        <w:rPr>
          <w:rFonts w:hint="cs"/>
          <w:rtl/>
        </w:rPr>
        <w:t xml:space="preserve"> </w:t>
      </w:r>
      <w:r w:rsidRPr="00146131">
        <w:rPr>
          <w:rStyle w:val="af7"/>
          <w:rFonts w:eastAsia="Guttman Hodes" w:hint="cs"/>
          <w:rtl/>
        </w:rPr>
        <w:t>(צב: ד"ה ועל זה)</w:t>
      </w:r>
      <w:r w:rsidRPr="00146131">
        <w:rPr>
          <w:rFonts w:hint="cs"/>
          <w:rtl/>
        </w:rPr>
        <w:t xml:space="preserve"> </w:t>
      </w:r>
      <w:r>
        <w:rPr>
          <w:rFonts w:hint="cs"/>
          <w:rtl/>
        </w:rPr>
        <w:t xml:space="preserve">דכוונת </w:t>
      </w:r>
      <w:r w:rsidRPr="00146131">
        <w:rPr>
          <w:rStyle w:val="af9"/>
          <w:rFonts w:hint="cs"/>
          <w:rtl/>
        </w:rPr>
        <w:t>הרא"ש</w:t>
      </w:r>
      <w:r>
        <w:rPr>
          <w:rFonts w:hint="cs"/>
          <w:rtl/>
        </w:rPr>
        <w:t xml:space="preserve"> להקשות דלדעת ר"ל מבואר דכיון דחדשים ואוירא דלידה בעינן, א"כ החלב חשיב כבשר, וכיון דהשחיטה מתירה את בשר האם, אף חלב העובר שהוא כבשר מותר בשחיטתה, דדיו לעובר שיהיה כאמו, ואף שאחר השחיטה יצא לאויר העולם, לא מסתבר לאסור את החלב אחר שהותר, אבל לדעת ריו"ח דחדשים לבד גרמי, ואף במעי אמו חשיב כחלב גמור, היאך מהני שחיטת האם להתיר בעובר את איסור חלב, יותר ממה שמתירה בעצמה.</w:t>
      </w:r>
    </w:p>
    <w:p w14:paraId="1F9016AA" w14:textId="77777777" w:rsidR="003D504D" w:rsidRDefault="003D504D" w:rsidP="003D504D">
      <w:pPr>
        <w:pStyle w:val="a3"/>
        <w:rPr>
          <w:rtl/>
        </w:rPr>
      </w:pPr>
      <w:bookmarkStart w:id="22927" w:name="_Toc3322236"/>
      <w:bookmarkStart w:id="22928" w:name="_Toc3480700"/>
      <w:bookmarkStart w:id="22929" w:name="_Toc3484964"/>
      <w:bookmarkStart w:id="22930" w:name="_Toc3535812"/>
      <w:bookmarkStart w:id="22931" w:name="_Toc3543189"/>
      <w:bookmarkStart w:id="22932" w:name="_Toc3550900"/>
      <w:bookmarkStart w:id="22933" w:name="_Toc3551056"/>
      <w:bookmarkStart w:id="22934" w:name="_Toc19391865"/>
      <w:bookmarkStart w:id="22935" w:name="_Toc19395362"/>
      <w:r>
        <w:rPr>
          <w:rFonts w:hint="cs"/>
          <w:rtl/>
        </w:rPr>
        <w:t>דברי הראש יוסף דמקושית הרא"ש מוכח דס"ל דלריו"ח לא בעינן אוירא כלל ודלא כתוס' לקמן</w:t>
      </w:r>
      <w:bookmarkEnd w:id="22896"/>
      <w:bookmarkEnd w:id="22897"/>
      <w:bookmarkEnd w:id="22927"/>
      <w:bookmarkEnd w:id="22928"/>
      <w:bookmarkEnd w:id="22929"/>
      <w:bookmarkEnd w:id="22930"/>
      <w:bookmarkEnd w:id="22931"/>
      <w:bookmarkEnd w:id="22932"/>
      <w:bookmarkEnd w:id="22933"/>
      <w:bookmarkEnd w:id="22934"/>
      <w:bookmarkEnd w:id="22935"/>
    </w:p>
    <w:p w14:paraId="75C239B1" w14:textId="77777777" w:rsidR="003D504D" w:rsidRDefault="003D504D" w:rsidP="00223668">
      <w:pPr>
        <w:pStyle w:val="a0"/>
        <w:rPr>
          <w:rtl/>
        </w:rPr>
      </w:pPr>
      <w:bookmarkStart w:id="22936" w:name="_Ref3367279"/>
      <w:r>
        <w:rPr>
          <w:rFonts w:hint="cs"/>
          <w:rtl/>
        </w:rPr>
        <w:t xml:space="preserve">וכתב </w:t>
      </w:r>
      <w:r w:rsidRPr="00D45778">
        <w:rPr>
          <w:rStyle w:val="af9"/>
          <w:rFonts w:hint="cs"/>
          <w:rtl/>
        </w:rPr>
        <w:t xml:space="preserve">הראש יוסף לקמן </w:t>
      </w:r>
      <w:r w:rsidRPr="00D45778">
        <w:rPr>
          <w:rStyle w:val="af7"/>
          <w:rFonts w:eastAsia="Guttman Hodes" w:hint="cs"/>
          <w:rtl/>
        </w:rPr>
        <w:t>(צב: ד"ה ועל זה)</w:t>
      </w:r>
      <w:r>
        <w:rPr>
          <w:rFonts w:hint="cs"/>
          <w:rtl/>
        </w:rPr>
        <w:t xml:space="preserve"> דלדברי </w:t>
      </w:r>
      <w:r w:rsidRPr="00D45778">
        <w:rPr>
          <w:rStyle w:val="af9"/>
          <w:rFonts w:hint="cs"/>
          <w:rtl/>
        </w:rPr>
        <w:t>התוס'</w:t>
      </w:r>
      <w:r>
        <w:rPr>
          <w:rFonts w:hint="cs"/>
          <w:rtl/>
        </w:rPr>
        <w:t xml:space="preserve"> </w:t>
      </w:r>
      <w:r w:rsidRPr="00167ABB">
        <w:rPr>
          <w:rStyle w:val="af7"/>
          <w:rFonts w:eastAsia="Guttman Hodes" w:hint="cs"/>
          <w:rtl/>
        </w:rPr>
        <w:t xml:space="preserve">(עי' אות </w:t>
      </w:r>
      <w:r w:rsidRPr="00167ABB">
        <w:rPr>
          <w:rStyle w:val="af7"/>
          <w:rFonts w:eastAsia="Guttman Hodes"/>
          <w:rtl/>
        </w:rPr>
        <w:fldChar w:fldCharType="begin"/>
      </w:r>
      <w:r w:rsidRPr="00167ABB">
        <w:rPr>
          <w:rStyle w:val="af7"/>
          <w:rFonts w:eastAsia="Guttman Hodes"/>
          <w:rtl/>
        </w:rPr>
        <w:instrText xml:space="preserve"> </w:instrText>
      </w:r>
      <w:r w:rsidRPr="00167ABB">
        <w:rPr>
          <w:rStyle w:val="af7"/>
          <w:rFonts w:eastAsia="Guttman Hodes" w:hint="cs"/>
        </w:rPr>
        <w:instrText>REF</w:instrText>
      </w:r>
      <w:r w:rsidRPr="00167ABB">
        <w:rPr>
          <w:rStyle w:val="af7"/>
          <w:rFonts w:eastAsia="Guttman Hodes" w:hint="cs"/>
          <w:rtl/>
        </w:rPr>
        <w:instrText xml:space="preserve"> _</w:instrText>
      </w:r>
      <w:r w:rsidRPr="00167ABB">
        <w:rPr>
          <w:rStyle w:val="af7"/>
          <w:rFonts w:eastAsia="Guttman Hodes" w:hint="cs"/>
        </w:rPr>
        <w:instrText>Ref3319699 \r \h</w:instrText>
      </w:r>
      <w:r w:rsidRPr="00167ABB">
        <w:rPr>
          <w:rStyle w:val="af7"/>
          <w:rFonts w:eastAsia="Guttman Hodes"/>
          <w:rtl/>
        </w:rPr>
        <w:instrText xml:space="preserve"> </w:instrText>
      </w:r>
      <w:r w:rsidRPr="00167ABB">
        <w:rPr>
          <w:rStyle w:val="af7"/>
          <w:rFonts w:eastAsia="Guttman Hodes"/>
          <w:rtl/>
        </w:rPr>
      </w:r>
      <w:r w:rsidRPr="00167ABB">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167ABB">
        <w:rPr>
          <w:rStyle w:val="af7"/>
          <w:rFonts w:eastAsia="Guttman Hodes"/>
          <w:rtl/>
        </w:rPr>
        <w:fldChar w:fldCharType="end"/>
      </w:r>
      <w:r>
        <w:rPr>
          <w:rFonts w:hint="cs"/>
          <w:rtl/>
        </w:rPr>
        <w:t xml:space="preserve"> דכתבו דאף לריו"ח דלא בעינן אוירא דלידה, מ"מ אויר העולם בעינן, מיושבת קושית </w:t>
      </w:r>
      <w:r w:rsidRPr="00D45778">
        <w:rPr>
          <w:rStyle w:val="af9"/>
          <w:rFonts w:hint="cs"/>
          <w:rtl/>
        </w:rPr>
        <w:t xml:space="preserve">הרא"ש </w:t>
      </w:r>
      <w:r>
        <w:rPr>
          <w:rFonts w:hint="cs"/>
          <w:rtl/>
        </w:rPr>
        <w:t>על ריו"ח, דלדעת ה</w:t>
      </w:r>
      <w:r w:rsidRPr="00D45778">
        <w:rPr>
          <w:rStyle w:val="af9"/>
          <w:rFonts w:hint="cs"/>
          <w:rtl/>
        </w:rPr>
        <w:t xml:space="preserve">תוס' </w:t>
      </w:r>
      <w:r>
        <w:rPr>
          <w:rFonts w:hint="cs"/>
          <w:rtl/>
        </w:rPr>
        <w:t xml:space="preserve">כל שלא יצא העובר לאויר העולם כלל, אף לריו"ח חשיב חלב העובר כבשר, וא"כ הוא בכלל היתר "כל בבהמה תאכלו", אלא כתב </w:t>
      </w:r>
      <w:r w:rsidRPr="00D45778">
        <w:rPr>
          <w:rStyle w:val="af9"/>
          <w:rFonts w:hint="cs"/>
          <w:rtl/>
        </w:rPr>
        <w:t xml:space="preserve">הראש יוסף </w:t>
      </w:r>
      <w:r>
        <w:rPr>
          <w:rFonts w:hint="cs"/>
          <w:rtl/>
        </w:rPr>
        <w:t xml:space="preserve">דמוכח מדברי </w:t>
      </w:r>
      <w:r w:rsidRPr="00D45778">
        <w:rPr>
          <w:rStyle w:val="af9"/>
          <w:rFonts w:hint="cs"/>
          <w:rtl/>
        </w:rPr>
        <w:t>הרא"ש</w:t>
      </w:r>
      <w:r>
        <w:rPr>
          <w:rFonts w:hint="cs"/>
          <w:rtl/>
        </w:rPr>
        <w:t xml:space="preserve"> </w:t>
      </w:r>
      <w:r w:rsidRPr="00D45778">
        <w:rPr>
          <w:rFonts w:hint="cs"/>
          <w:rtl/>
        </w:rPr>
        <w:t>דפליג על</w:t>
      </w:r>
      <w:r>
        <w:rPr>
          <w:rFonts w:hint="cs"/>
          <w:rtl/>
        </w:rPr>
        <w:t xml:space="preserve"> </w:t>
      </w:r>
      <w:r w:rsidRPr="00D45778">
        <w:rPr>
          <w:rStyle w:val="af9"/>
          <w:rFonts w:hint="cs"/>
          <w:rtl/>
        </w:rPr>
        <w:t>התוס'</w:t>
      </w:r>
      <w:r>
        <w:rPr>
          <w:rFonts w:hint="cs"/>
          <w:rtl/>
        </w:rPr>
        <w:t xml:space="preserve">, וס"ל דלריו"ח חדשים לבד גרמי ולא בעינן אויר כלל, עיי"ש בדברי </w:t>
      </w:r>
      <w:r w:rsidRPr="00D45778">
        <w:rPr>
          <w:rStyle w:val="af9"/>
          <w:rFonts w:hint="cs"/>
          <w:rtl/>
        </w:rPr>
        <w:t>הראש יוסף</w:t>
      </w:r>
      <w:r>
        <w:rPr>
          <w:rFonts w:hint="cs"/>
          <w:rtl/>
        </w:rPr>
        <w:t xml:space="preserve"> במה שהאריך לבאר בזה, אמנם </w:t>
      </w:r>
      <w:r w:rsidRPr="00764BE8">
        <w:rPr>
          <w:rStyle w:val="af9"/>
          <w:rFonts w:hint="cs"/>
          <w:rtl/>
        </w:rPr>
        <w:t xml:space="preserve">התוס' הרא"ש לקמן </w:t>
      </w:r>
      <w:r w:rsidRPr="00F50086">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Ref3550962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Pr>
          <w:rStyle w:val="af7"/>
          <w:rFonts w:eastAsia="Guttman Hodes"/>
          <w:rtl/>
        </w:rPr>
        <w:fldChar w:fldCharType="end"/>
      </w:r>
      <w:r w:rsidRPr="00F50086">
        <w:rPr>
          <w:rStyle w:val="af7"/>
          <w:rFonts w:eastAsia="Guttman Hodes" w:hint="cs"/>
          <w:rtl/>
        </w:rPr>
        <w:t xml:space="preserve"> </w:t>
      </w:r>
      <w:r>
        <w:rPr>
          <w:rFonts w:hint="cs"/>
          <w:rtl/>
        </w:rPr>
        <w:t xml:space="preserve">כתב כסברת </w:t>
      </w:r>
      <w:r w:rsidRPr="00F50086">
        <w:rPr>
          <w:rStyle w:val="af9"/>
          <w:rFonts w:hint="cs"/>
          <w:rtl/>
        </w:rPr>
        <w:t>התוס'</w:t>
      </w:r>
      <w:r>
        <w:rPr>
          <w:rFonts w:hint="cs"/>
          <w:rtl/>
        </w:rPr>
        <w:t>.</w:t>
      </w:r>
      <w:bookmarkEnd w:id="22936"/>
    </w:p>
    <w:p w14:paraId="372C3582" w14:textId="77777777" w:rsidR="003D504D" w:rsidRDefault="003D504D" w:rsidP="00BF39B2">
      <w:pPr>
        <w:pStyle w:val="1"/>
        <w:rPr>
          <w:rtl/>
        </w:rPr>
      </w:pPr>
      <w:bookmarkStart w:id="22937" w:name="_Toc3287721"/>
      <w:bookmarkStart w:id="22938" w:name="_Toc3234487"/>
      <w:bookmarkStart w:id="22939" w:name="_Toc3322237"/>
      <w:bookmarkStart w:id="22940" w:name="_Toc3480701"/>
      <w:bookmarkStart w:id="22941" w:name="_Toc3484965"/>
      <w:bookmarkStart w:id="22942" w:name="_Toc3535813"/>
      <w:bookmarkStart w:id="22943" w:name="_Toc3543190"/>
      <w:bookmarkStart w:id="22944" w:name="_Toc3550901"/>
      <w:bookmarkStart w:id="22945" w:name="_Toc3551057"/>
      <w:bookmarkStart w:id="22946" w:name="_Toc19391866"/>
      <w:bookmarkStart w:id="22947" w:name="_Toc19395363"/>
      <w:r>
        <w:rPr>
          <w:rFonts w:hint="cs"/>
          <w:rtl/>
        </w:rPr>
        <w:t xml:space="preserve">ראיות </w:t>
      </w:r>
      <w:r w:rsidRPr="007A252B">
        <w:rPr>
          <w:rFonts w:hint="cs"/>
          <w:rtl/>
        </w:rPr>
        <w:t>הרמב"ן</w:t>
      </w:r>
      <w:bookmarkEnd w:id="22937"/>
      <w:r w:rsidRPr="007A252B">
        <w:rPr>
          <w:rFonts w:hint="cs"/>
          <w:rtl/>
        </w:rPr>
        <w:t xml:space="preserve"> </w:t>
      </w:r>
      <w:bookmarkEnd w:id="22938"/>
      <w:bookmarkEnd w:id="22939"/>
      <w:bookmarkEnd w:id="22940"/>
      <w:r>
        <w:rPr>
          <w:rFonts w:hint="cs"/>
          <w:rtl/>
        </w:rPr>
        <w:t>והרשב"א דלריו"ח חדשים גרמי אף לר"י</w:t>
      </w:r>
      <w:bookmarkEnd w:id="22941"/>
      <w:bookmarkEnd w:id="22942"/>
      <w:bookmarkEnd w:id="22943"/>
      <w:bookmarkEnd w:id="22944"/>
      <w:bookmarkEnd w:id="22945"/>
      <w:bookmarkEnd w:id="22946"/>
      <w:bookmarkEnd w:id="22947"/>
    </w:p>
    <w:p w14:paraId="360D9FF5" w14:textId="77777777" w:rsidR="003D504D" w:rsidRDefault="003D504D" w:rsidP="003D504D">
      <w:pPr>
        <w:pStyle w:val="a3"/>
        <w:rPr>
          <w:rtl/>
        </w:rPr>
      </w:pPr>
      <w:bookmarkStart w:id="22948" w:name="_Toc3287722"/>
      <w:bookmarkStart w:id="22949" w:name="_Toc3322238"/>
      <w:bookmarkStart w:id="22950" w:name="_Toc3480702"/>
      <w:bookmarkStart w:id="22951" w:name="_Toc3484966"/>
      <w:bookmarkStart w:id="22952" w:name="_Toc3535814"/>
      <w:bookmarkStart w:id="22953" w:name="_Toc3543191"/>
      <w:bookmarkStart w:id="22954" w:name="_Toc3550902"/>
      <w:bookmarkStart w:id="22955" w:name="_Toc3551058"/>
      <w:bookmarkStart w:id="22956" w:name="_Toc19391867"/>
      <w:bookmarkStart w:id="22957" w:name="_Toc19395364"/>
      <w:r>
        <w:rPr>
          <w:rFonts w:hint="cs"/>
          <w:rtl/>
        </w:rPr>
        <w:t>הוכחת הרמב"ן דריו"ח אסר בתלש חלב אף לדעת ר"י דבגיד חדשים גרמי ומותר בשחיטת אמו</w:t>
      </w:r>
      <w:bookmarkEnd w:id="22948"/>
      <w:bookmarkEnd w:id="22949"/>
      <w:bookmarkEnd w:id="22950"/>
      <w:bookmarkEnd w:id="22951"/>
      <w:bookmarkEnd w:id="22952"/>
      <w:bookmarkEnd w:id="22953"/>
      <w:bookmarkEnd w:id="22954"/>
      <w:bookmarkEnd w:id="22955"/>
      <w:bookmarkEnd w:id="22956"/>
      <w:bookmarkEnd w:id="22957"/>
    </w:p>
    <w:p w14:paraId="43BE4AC7" w14:textId="77777777" w:rsidR="003D504D" w:rsidRDefault="003D504D" w:rsidP="00223668">
      <w:pPr>
        <w:pStyle w:val="a0"/>
        <w:rPr>
          <w:rtl/>
        </w:rPr>
      </w:pPr>
      <w:bookmarkStart w:id="22958" w:name="_Ref3146525"/>
      <w:bookmarkStart w:id="22959" w:name="_Ref4149170"/>
      <w:bookmarkStart w:id="22960" w:name="_Ref3483361"/>
      <w:r>
        <w:rPr>
          <w:rFonts w:hint="cs"/>
          <w:rtl/>
        </w:rPr>
        <w:t>כתבו</w:t>
      </w:r>
      <w:r w:rsidRPr="00AE7178">
        <w:rPr>
          <w:rFonts w:hint="cs"/>
          <w:rtl/>
        </w:rPr>
        <w:t xml:space="preserve"> </w:t>
      </w:r>
      <w:r w:rsidRPr="00E76CE1">
        <w:rPr>
          <w:rStyle w:val="af9"/>
          <w:rFonts w:hint="cs"/>
          <w:rtl/>
        </w:rPr>
        <w:t xml:space="preserve">הרמב"ן לקמן </w:t>
      </w:r>
      <w:r w:rsidRPr="003D4552">
        <w:rPr>
          <w:rStyle w:val="af7"/>
          <w:rFonts w:eastAsia="Guttman Hodes" w:hint="cs"/>
          <w:rtl/>
        </w:rPr>
        <w:t>(צב: ד"ה ומדמקשינן)</w:t>
      </w:r>
      <w:r w:rsidRPr="00AE7178">
        <w:rPr>
          <w:rFonts w:hint="cs"/>
          <w:rtl/>
        </w:rPr>
        <w:t xml:space="preserve"> </w:t>
      </w:r>
      <w:r>
        <w:rPr>
          <w:rStyle w:val="af9"/>
          <w:rFonts w:hint="cs"/>
          <w:rtl/>
        </w:rPr>
        <w:t>ו</w:t>
      </w:r>
      <w:r w:rsidRPr="00D85D37">
        <w:rPr>
          <w:rStyle w:val="af9"/>
          <w:rFonts w:hint="cs"/>
          <w:rtl/>
        </w:rPr>
        <w:t xml:space="preserve">הרשב"א </w:t>
      </w:r>
      <w:r>
        <w:rPr>
          <w:rStyle w:val="af9"/>
          <w:rtl/>
        </w:rPr>
        <w:t>בחי' לקמן</w:t>
      </w:r>
      <w:r>
        <w:rPr>
          <w:rtl/>
        </w:rPr>
        <w:t xml:space="preserve"> </w:t>
      </w:r>
      <w:r w:rsidRPr="00D40CE2">
        <w:rPr>
          <w:rStyle w:val="af7"/>
          <w:rFonts w:eastAsia="Guttman Hodes" w:hint="cs"/>
          <w:rtl/>
        </w:rPr>
        <w:t xml:space="preserve">(צב: ד"ה </w:t>
      </w:r>
      <w:r>
        <w:rPr>
          <w:rStyle w:val="af7"/>
          <w:rFonts w:eastAsia="Guttman Hodes" w:hint="cs"/>
          <w:rtl/>
        </w:rPr>
        <w:t>ולענין</w:t>
      </w:r>
      <w:r>
        <w:rPr>
          <w:rStyle w:val="af7"/>
          <w:rFonts w:eastAsiaTheme="minorHAnsi" w:hint="cs"/>
          <w:rtl/>
        </w:rPr>
        <w:t xml:space="preserve">) </w:t>
      </w:r>
      <w:r>
        <w:rPr>
          <w:rStyle w:val="af9"/>
          <w:rtl/>
        </w:rPr>
        <w:t xml:space="preserve">ובתוה"ב </w:t>
      </w:r>
      <w:r>
        <w:rPr>
          <w:rStyle w:val="af7"/>
          <w:rFonts w:eastAsia="Guttman Hodes" w:hint="cs"/>
          <w:rtl/>
        </w:rPr>
        <w:t xml:space="preserve">(ב"ב ש"ה דף נט: מדה"ס) </w:t>
      </w:r>
      <w:r>
        <w:rPr>
          <w:rFonts w:hint="cs"/>
          <w:rtl/>
        </w:rPr>
        <w:t>דהא ד</w:t>
      </w:r>
      <w:r w:rsidRPr="00AE7178">
        <w:rPr>
          <w:rFonts w:hint="cs"/>
          <w:rtl/>
        </w:rPr>
        <w:t>אמר ריו"</w:t>
      </w:r>
      <w:r>
        <w:rPr>
          <w:rFonts w:hint="cs"/>
          <w:rtl/>
        </w:rPr>
        <w:t xml:space="preserve">ח דבתלש חלב מבן ט' חי, </w:t>
      </w:r>
      <w:r w:rsidRPr="00AE7178">
        <w:rPr>
          <w:rFonts w:hint="cs"/>
          <w:rtl/>
        </w:rPr>
        <w:t xml:space="preserve">חלבו כחלב בהמה דחדשים גרמי, </w:t>
      </w:r>
      <w:r>
        <w:rPr>
          <w:rFonts w:hint="cs"/>
          <w:rtl/>
        </w:rPr>
        <w:t xml:space="preserve">הוא </w:t>
      </w:r>
      <w:r w:rsidRPr="00AE7178">
        <w:rPr>
          <w:rFonts w:hint="cs"/>
          <w:rtl/>
        </w:rPr>
        <w:t xml:space="preserve">אף </w:t>
      </w:r>
      <w:r>
        <w:rPr>
          <w:rFonts w:hint="cs"/>
          <w:rtl/>
        </w:rPr>
        <w:t xml:space="preserve">לדעת </w:t>
      </w:r>
      <w:r w:rsidRPr="00AE7178">
        <w:rPr>
          <w:rFonts w:hint="cs"/>
          <w:rtl/>
        </w:rPr>
        <w:t xml:space="preserve">לר"י </w:t>
      </w:r>
      <w:r>
        <w:rPr>
          <w:rFonts w:hint="cs"/>
          <w:rtl/>
        </w:rPr>
        <w:t>דהתיר ב</w:t>
      </w:r>
      <w:r w:rsidRPr="00AE7178">
        <w:rPr>
          <w:rFonts w:hint="cs"/>
          <w:rtl/>
        </w:rPr>
        <w:t xml:space="preserve">חלב </w:t>
      </w:r>
      <w:r>
        <w:rPr>
          <w:rFonts w:hint="cs"/>
          <w:rtl/>
        </w:rPr>
        <w:t xml:space="preserve">של </w:t>
      </w:r>
      <w:r w:rsidRPr="00AE7178">
        <w:rPr>
          <w:rFonts w:hint="cs"/>
          <w:rtl/>
        </w:rPr>
        <w:t>בן ט'</w:t>
      </w:r>
      <w:r>
        <w:rPr>
          <w:rFonts w:hint="cs"/>
          <w:rtl/>
        </w:rPr>
        <w:t xml:space="preserve"> חי,</w:t>
      </w:r>
      <w:r w:rsidRPr="00C23158">
        <w:rPr>
          <w:rStyle w:val="afb"/>
          <w:rFonts w:hint="cs"/>
          <w:rtl/>
        </w:rPr>
        <w:t xml:space="preserve"> [</w:t>
      </w:r>
      <w:r w:rsidRPr="00C23158">
        <w:rPr>
          <w:rStyle w:val="affa"/>
          <w:rFonts w:hint="cs"/>
          <w:rtl/>
        </w:rPr>
        <w:t xml:space="preserve">כרש"י </w:t>
      </w:r>
      <w:r w:rsidRPr="00CD5B61">
        <w:rPr>
          <w:rStyle w:val="aff6"/>
          <w:rFonts w:hint="cs"/>
          <w:rtl/>
        </w:rPr>
        <w:t xml:space="preserve">(עי' אות </w:t>
      </w:r>
      <w:r w:rsidRPr="00CD5B61">
        <w:rPr>
          <w:rStyle w:val="aff6"/>
          <w:rtl/>
        </w:rPr>
        <w:fldChar w:fldCharType="begin"/>
      </w:r>
      <w:r w:rsidRPr="00CD5B61">
        <w:rPr>
          <w:rStyle w:val="aff6"/>
          <w:rtl/>
        </w:rPr>
        <w:instrText xml:space="preserve"> </w:instrText>
      </w:r>
      <w:r w:rsidRPr="00CD5B61">
        <w:rPr>
          <w:rStyle w:val="aff6"/>
          <w:rFonts w:hint="cs"/>
        </w:rPr>
        <w:instrText>REF</w:instrText>
      </w:r>
      <w:r w:rsidRPr="00CD5B61">
        <w:rPr>
          <w:rStyle w:val="aff6"/>
          <w:rFonts w:hint="cs"/>
          <w:rtl/>
        </w:rPr>
        <w:instrText xml:space="preserve"> _</w:instrText>
      </w:r>
      <w:r w:rsidRPr="00CD5B61">
        <w:rPr>
          <w:rStyle w:val="aff6"/>
          <w:rFonts w:hint="cs"/>
        </w:rPr>
        <w:instrText>Ref2886390 \r \h</w:instrText>
      </w:r>
      <w:r w:rsidRPr="00CD5B61">
        <w:rPr>
          <w:rStyle w:val="aff6"/>
          <w:rtl/>
        </w:rPr>
        <w:instrText xml:space="preserve"> </w:instrText>
      </w:r>
      <w:r w:rsidRPr="00CD5B61">
        <w:rPr>
          <w:rStyle w:val="aff6"/>
          <w:rtl/>
        </w:rPr>
      </w:r>
      <w:r w:rsidRPr="00CD5B61">
        <w:rPr>
          <w:rStyle w:val="aff6"/>
          <w:rtl/>
        </w:rPr>
        <w:fldChar w:fldCharType="separate"/>
      </w:r>
      <w:r w:rsidR="00345400">
        <w:rPr>
          <w:rStyle w:val="aff6"/>
          <w:cs/>
        </w:rPr>
        <w:t>‎</w:t>
      </w:r>
      <w:r w:rsidR="00345400">
        <w:rPr>
          <w:rStyle w:val="aff6"/>
          <w:rtl/>
        </w:rPr>
        <w:t>מד)</w:t>
      </w:r>
      <w:r w:rsidRPr="00CD5B61">
        <w:rPr>
          <w:rStyle w:val="aff6"/>
          <w:rtl/>
        </w:rPr>
        <w:fldChar w:fldCharType="end"/>
      </w:r>
      <w:r w:rsidRPr="00C23158">
        <w:rPr>
          <w:rStyle w:val="afb"/>
          <w:rFonts w:hint="cs"/>
          <w:rtl/>
        </w:rPr>
        <w:t xml:space="preserve"> </w:t>
      </w:r>
      <w:r w:rsidRPr="00C23158">
        <w:rPr>
          <w:rStyle w:val="affa"/>
          <w:rFonts w:hint="cs"/>
          <w:rtl/>
        </w:rPr>
        <w:t xml:space="preserve">ותוס' </w:t>
      </w:r>
      <w:r w:rsidRPr="00CD5B61">
        <w:rPr>
          <w:rStyle w:val="aff6"/>
          <w:rFonts w:hint="cs"/>
          <w:rtl/>
        </w:rPr>
        <w:t xml:space="preserve">(עי' אות </w:t>
      </w:r>
      <w:r w:rsidRPr="00CD5B61">
        <w:rPr>
          <w:rStyle w:val="aff6"/>
          <w:rtl/>
        </w:rPr>
        <w:fldChar w:fldCharType="begin"/>
      </w:r>
      <w:r w:rsidRPr="00CD5B61">
        <w:rPr>
          <w:rStyle w:val="aff6"/>
          <w:rtl/>
        </w:rPr>
        <w:instrText xml:space="preserve"> </w:instrText>
      </w:r>
      <w:r w:rsidRPr="00CD5B61">
        <w:rPr>
          <w:rStyle w:val="aff6"/>
          <w:rFonts w:hint="cs"/>
        </w:rPr>
        <w:instrText>REF</w:instrText>
      </w:r>
      <w:r w:rsidRPr="00CD5B61">
        <w:rPr>
          <w:rStyle w:val="aff6"/>
          <w:rFonts w:hint="cs"/>
          <w:rtl/>
        </w:rPr>
        <w:instrText xml:space="preserve"> _</w:instrText>
      </w:r>
      <w:r w:rsidRPr="00CD5B61">
        <w:rPr>
          <w:rStyle w:val="aff6"/>
          <w:rFonts w:hint="cs"/>
        </w:rPr>
        <w:instrText>Ref2886400 \r \h</w:instrText>
      </w:r>
      <w:r w:rsidRPr="00CD5B61">
        <w:rPr>
          <w:rStyle w:val="aff6"/>
          <w:rtl/>
        </w:rPr>
        <w:instrText xml:space="preserve"> </w:instrText>
      </w:r>
      <w:r w:rsidRPr="00CD5B61">
        <w:rPr>
          <w:rStyle w:val="aff6"/>
          <w:rtl/>
        </w:rPr>
      </w:r>
      <w:r w:rsidRPr="00CD5B61">
        <w:rPr>
          <w:rStyle w:val="aff6"/>
          <w:rtl/>
        </w:rPr>
        <w:fldChar w:fldCharType="separate"/>
      </w:r>
      <w:r w:rsidR="00345400">
        <w:rPr>
          <w:rStyle w:val="aff6"/>
          <w:cs/>
        </w:rPr>
        <w:t>‎</w:t>
      </w:r>
      <w:r w:rsidR="00345400">
        <w:rPr>
          <w:rStyle w:val="aff6"/>
          <w:rtl/>
        </w:rPr>
        <w:t>מה)</w:t>
      </w:r>
      <w:r w:rsidRPr="00CD5B61">
        <w:rPr>
          <w:rStyle w:val="aff6"/>
          <w:rtl/>
        </w:rPr>
        <w:fldChar w:fldCharType="end"/>
      </w:r>
      <w:r w:rsidRPr="00C23158">
        <w:rPr>
          <w:rStyle w:val="afb"/>
          <w:rFonts w:hint="cs"/>
          <w:rtl/>
        </w:rPr>
        <w:t>],</w:t>
      </w:r>
      <w:r w:rsidRPr="00AE7178">
        <w:rPr>
          <w:rFonts w:hint="cs"/>
          <w:rtl/>
        </w:rPr>
        <w:t xml:space="preserve"> </w:t>
      </w:r>
      <w:r>
        <w:rPr>
          <w:rFonts w:hint="cs"/>
          <w:rtl/>
        </w:rPr>
        <w:t>דכ"מ דהתיר ר"י היינו</w:t>
      </w:r>
      <w:r w:rsidRPr="00AE7178">
        <w:rPr>
          <w:rFonts w:hint="cs"/>
          <w:rtl/>
        </w:rPr>
        <w:t xml:space="preserve"> אחר שנשחטה </w:t>
      </w:r>
      <w:r>
        <w:rPr>
          <w:rFonts w:hint="cs"/>
          <w:rtl/>
        </w:rPr>
        <w:t>ד</w:t>
      </w:r>
      <w:r w:rsidRPr="00AE7178">
        <w:rPr>
          <w:rFonts w:hint="cs"/>
          <w:rtl/>
        </w:rPr>
        <w:t>החלב בכלל ה</w:t>
      </w:r>
      <w:r>
        <w:rPr>
          <w:rFonts w:hint="cs"/>
          <w:rtl/>
        </w:rPr>
        <w:t>יתר</w:t>
      </w:r>
      <w:r w:rsidRPr="00AE7178">
        <w:rPr>
          <w:rFonts w:hint="cs"/>
          <w:rtl/>
        </w:rPr>
        <w:t xml:space="preserve"> "כל בבהמה תאכלו"</w:t>
      </w:r>
      <w:r>
        <w:rPr>
          <w:rFonts w:hint="cs"/>
          <w:rtl/>
        </w:rPr>
        <w:t>, והא דאסר ריו"ח בתלש חלב,</w:t>
      </w:r>
      <w:r w:rsidRPr="00AE7178">
        <w:rPr>
          <w:rFonts w:hint="cs"/>
          <w:rtl/>
        </w:rPr>
        <w:t xml:space="preserve"> היינו כיון שלא נשחטה האם</w:t>
      </w:r>
      <w:bookmarkEnd w:id="22958"/>
      <w:r>
        <w:rPr>
          <w:rFonts w:hint="cs"/>
          <w:rtl/>
        </w:rPr>
        <w:t>.</w:t>
      </w:r>
      <w:bookmarkEnd w:id="22959"/>
    </w:p>
    <w:p w14:paraId="764786C9" w14:textId="77777777" w:rsidR="003D504D" w:rsidRPr="00660D01" w:rsidRDefault="003D504D" w:rsidP="003D504D">
      <w:pPr>
        <w:pStyle w:val="a3"/>
      </w:pPr>
      <w:bookmarkStart w:id="22961" w:name="_Toc3484967"/>
      <w:bookmarkStart w:id="22962" w:name="_Toc3535815"/>
      <w:bookmarkStart w:id="22963" w:name="_Toc3543192"/>
      <w:bookmarkStart w:id="22964" w:name="_Toc3550903"/>
      <w:bookmarkStart w:id="22965" w:name="_Toc3551059"/>
      <w:bookmarkStart w:id="22966" w:name="_Toc19391868"/>
      <w:bookmarkStart w:id="22967" w:name="_Toc19395365"/>
      <w:r>
        <w:rPr>
          <w:rFonts w:hint="cs"/>
          <w:rtl/>
        </w:rPr>
        <w:t>ראיית הרמב"ן והרשב"א דבגיד ודאי חדשים גרמי ואפ"ה שחיטת האם מתירתו</w:t>
      </w:r>
      <w:bookmarkEnd w:id="22961"/>
      <w:bookmarkEnd w:id="22962"/>
      <w:bookmarkEnd w:id="22963"/>
      <w:bookmarkEnd w:id="22964"/>
      <w:bookmarkEnd w:id="22965"/>
      <w:bookmarkEnd w:id="22966"/>
      <w:bookmarkEnd w:id="22967"/>
    </w:p>
    <w:p w14:paraId="310ACCB3" w14:textId="77777777" w:rsidR="003D504D" w:rsidRDefault="003D504D" w:rsidP="00223668">
      <w:pPr>
        <w:pStyle w:val="a0"/>
        <w:rPr>
          <w:rtl/>
        </w:rPr>
      </w:pPr>
      <w:bookmarkStart w:id="22968" w:name="_Ref3483599"/>
      <w:r w:rsidRPr="00AE7178">
        <w:rPr>
          <w:rFonts w:hint="cs"/>
          <w:rtl/>
        </w:rPr>
        <w:t>והביא</w:t>
      </w:r>
      <w:r>
        <w:rPr>
          <w:rFonts w:hint="cs"/>
          <w:rtl/>
        </w:rPr>
        <w:t>ו</w:t>
      </w:r>
      <w:r w:rsidRPr="00AE7178">
        <w:rPr>
          <w:rFonts w:hint="cs"/>
          <w:rtl/>
        </w:rPr>
        <w:t xml:space="preserve"> </w:t>
      </w:r>
      <w:r w:rsidRPr="00E76CE1">
        <w:rPr>
          <w:rStyle w:val="af9"/>
          <w:rFonts w:hint="cs"/>
          <w:rtl/>
        </w:rPr>
        <w:t xml:space="preserve">הרמב"ן </w:t>
      </w:r>
      <w:r>
        <w:rPr>
          <w:rStyle w:val="af9"/>
          <w:rFonts w:hint="cs"/>
          <w:rtl/>
        </w:rPr>
        <w:t>ו</w:t>
      </w:r>
      <w:r w:rsidRPr="00D85D37">
        <w:rPr>
          <w:rStyle w:val="af9"/>
          <w:rFonts w:hint="cs"/>
          <w:rtl/>
        </w:rPr>
        <w:t xml:space="preserve">הרשב"א </w:t>
      </w:r>
      <w:r w:rsidRPr="00AE7178">
        <w:rPr>
          <w:rFonts w:hint="cs"/>
          <w:rtl/>
        </w:rPr>
        <w:t xml:space="preserve">ראיה מהא </w:t>
      </w:r>
      <w:r>
        <w:rPr>
          <w:rFonts w:hint="cs"/>
          <w:rtl/>
        </w:rPr>
        <w:t>דבגיד ודאי חדשים גרמי, ו</w:t>
      </w:r>
      <w:r w:rsidRPr="00AE7178">
        <w:rPr>
          <w:rFonts w:hint="cs"/>
          <w:rtl/>
        </w:rPr>
        <w:t>התולש גיד מ</w:t>
      </w:r>
      <w:r>
        <w:rPr>
          <w:rFonts w:hint="cs"/>
          <w:rtl/>
        </w:rPr>
        <w:t>שליל</w:t>
      </w:r>
      <w:r w:rsidRPr="00AE7178">
        <w:rPr>
          <w:rFonts w:hint="cs"/>
          <w:rtl/>
        </w:rPr>
        <w:t xml:space="preserve"> במעי בהמה</w:t>
      </w:r>
      <w:r>
        <w:rPr>
          <w:rtl/>
        </w:rPr>
        <w:t xml:space="preserve"> בחייה</w:t>
      </w:r>
      <w:r w:rsidRPr="00AE7178">
        <w:rPr>
          <w:rFonts w:hint="cs"/>
          <w:rtl/>
        </w:rPr>
        <w:t xml:space="preserve"> ואכלו חייב, אבל אם שחטה איתא בגמ' לקמן </w:t>
      </w:r>
      <w:r w:rsidRPr="00E76CE1">
        <w:rPr>
          <w:rStyle w:val="af7"/>
          <w:rFonts w:eastAsia="Guttman Hodes" w:hint="cs"/>
          <w:rtl/>
        </w:rPr>
        <w:t>(ק:)</w:t>
      </w:r>
      <w:r w:rsidRPr="00AE7178">
        <w:rPr>
          <w:rFonts w:hint="cs"/>
          <w:rtl/>
        </w:rPr>
        <w:t xml:space="preserve"> דהגיד </w:t>
      </w:r>
      <w:r>
        <w:rPr>
          <w:rFonts w:hint="cs"/>
          <w:rtl/>
        </w:rPr>
        <w:t xml:space="preserve">של השליל שבה </w:t>
      </w:r>
      <w:r w:rsidRPr="00AE7178">
        <w:rPr>
          <w:rFonts w:hint="cs"/>
          <w:rtl/>
        </w:rPr>
        <w:t>מותר</w:t>
      </w:r>
      <w:r>
        <w:rPr>
          <w:rFonts w:hint="cs"/>
          <w:rtl/>
        </w:rPr>
        <w:t>.</w:t>
      </w:r>
    </w:p>
    <w:p w14:paraId="065BB64A" w14:textId="77777777" w:rsidR="003D504D" w:rsidRPr="00BC4431" w:rsidRDefault="003D504D" w:rsidP="003D504D">
      <w:pPr>
        <w:pStyle w:val="a3"/>
      </w:pPr>
      <w:bookmarkStart w:id="22969" w:name="_Toc3287723"/>
      <w:bookmarkStart w:id="22970" w:name="_Toc3322239"/>
      <w:bookmarkStart w:id="22971" w:name="_Toc3480703"/>
      <w:bookmarkStart w:id="22972" w:name="_Toc3484968"/>
      <w:bookmarkStart w:id="22973" w:name="_Toc3535816"/>
      <w:bookmarkStart w:id="22974" w:name="_Toc3543193"/>
      <w:bookmarkStart w:id="22975" w:name="_Toc3550904"/>
      <w:bookmarkStart w:id="22976" w:name="_Toc3551060"/>
      <w:bookmarkStart w:id="22977" w:name="_Toc19391869"/>
      <w:bookmarkStart w:id="22978" w:name="_Toc19395366"/>
      <w:r>
        <w:rPr>
          <w:rFonts w:hint="cs"/>
          <w:rtl/>
        </w:rPr>
        <w:t>קושית הרמב"ן דלקמן אמר ריו"ח דאיסור חלב חל רק כשיצא לאויר והיאך אמר ריו"ח דחדשים גרמי</w:t>
      </w:r>
      <w:bookmarkEnd w:id="22969"/>
      <w:bookmarkEnd w:id="22970"/>
      <w:bookmarkEnd w:id="22971"/>
      <w:bookmarkEnd w:id="22972"/>
      <w:bookmarkEnd w:id="22973"/>
      <w:bookmarkEnd w:id="22974"/>
      <w:bookmarkEnd w:id="22975"/>
      <w:bookmarkEnd w:id="22976"/>
      <w:bookmarkEnd w:id="22977"/>
      <w:bookmarkEnd w:id="22978"/>
    </w:p>
    <w:p w14:paraId="076CDE66" w14:textId="77777777" w:rsidR="003D504D" w:rsidRDefault="003D504D" w:rsidP="00223668">
      <w:pPr>
        <w:pStyle w:val="a0"/>
        <w:rPr>
          <w:rtl/>
        </w:rPr>
      </w:pPr>
      <w:bookmarkStart w:id="22979" w:name="_Ref3484053"/>
      <w:r>
        <w:rPr>
          <w:rFonts w:hint="cs"/>
          <w:rtl/>
        </w:rPr>
        <w:t xml:space="preserve">ועוד הביא </w:t>
      </w:r>
      <w:r w:rsidRPr="00956730">
        <w:rPr>
          <w:rStyle w:val="af9"/>
          <w:rFonts w:hint="cs"/>
          <w:rtl/>
        </w:rPr>
        <w:t>הרשב"א</w:t>
      </w:r>
      <w:r w:rsidRPr="00D85D37">
        <w:rPr>
          <w:rStyle w:val="af9"/>
          <w:rFonts w:hint="cs"/>
          <w:rtl/>
        </w:rPr>
        <w:t xml:space="preserve"> </w:t>
      </w:r>
      <w:r>
        <w:rPr>
          <w:rStyle w:val="af9"/>
          <w:rtl/>
        </w:rPr>
        <w:t>בחי' לקמן</w:t>
      </w:r>
      <w:r>
        <w:rPr>
          <w:rtl/>
        </w:rPr>
        <w:t xml:space="preserve"> </w:t>
      </w:r>
      <w:r w:rsidRPr="00681D5F">
        <w:rPr>
          <w:rStyle w:val="af7"/>
          <w:rFonts w:eastAsia="Guttman Hodes" w:hint="cs"/>
          <w:rtl/>
        </w:rPr>
        <w:t>(צב: ד"ה ולענין</w:t>
      </w:r>
      <w:r w:rsidRPr="00681D5F">
        <w:rPr>
          <w:rStyle w:val="af7"/>
          <w:rFonts w:eastAsiaTheme="minorHAnsi" w:hint="cs"/>
          <w:rtl/>
        </w:rPr>
        <w:t xml:space="preserve">) </w:t>
      </w:r>
      <w:r>
        <w:rPr>
          <w:rStyle w:val="af9"/>
          <w:rtl/>
        </w:rPr>
        <w:t xml:space="preserve">ובתוה"ב </w:t>
      </w:r>
      <w:r w:rsidRPr="00681D5F">
        <w:rPr>
          <w:rStyle w:val="af7"/>
          <w:rFonts w:eastAsia="Guttman Hodes" w:hint="cs"/>
          <w:rtl/>
        </w:rPr>
        <w:t xml:space="preserve">(ב"ב ש"ה דף נט: מדה"ס) </w:t>
      </w:r>
      <w:r>
        <w:rPr>
          <w:rFonts w:hint="cs"/>
          <w:rtl/>
        </w:rPr>
        <w:t xml:space="preserve">ראיה מדברי ריו"ח בגמ' לקמן </w:t>
      </w:r>
      <w:r w:rsidRPr="00681D5F">
        <w:rPr>
          <w:rStyle w:val="af7"/>
          <w:rFonts w:eastAsia="Guttman Hodes" w:hint="cs"/>
          <w:rtl/>
        </w:rPr>
        <w:t>(קג.)</w:t>
      </w:r>
      <w:r>
        <w:rPr>
          <w:rFonts w:hint="cs"/>
          <w:rtl/>
        </w:rPr>
        <w:t xml:space="preserve"> דבנטרפה כשיצאה רובה אמר ריו"ח דאיסור חלב ואיסור טריפה חלים יחד, ומבואר דאף בבן ט' חי, איסור החלב חל רק בשעת יציאתו לאויר העולם</w:t>
      </w:r>
      <w:bookmarkEnd w:id="22960"/>
      <w:bookmarkEnd w:id="22968"/>
      <w:r>
        <w:rPr>
          <w:rFonts w:hint="cs"/>
          <w:rtl/>
        </w:rPr>
        <w:t xml:space="preserve">, </w:t>
      </w:r>
      <w:r w:rsidRPr="00681D5F">
        <w:rPr>
          <w:rStyle w:val="af9"/>
          <w:rFonts w:hint="cs"/>
          <w:rtl/>
        </w:rPr>
        <w:t>ו</w:t>
      </w:r>
      <w:r w:rsidRPr="00E76CE1">
        <w:rPr>
          <w:rStyle w:val="af9"/>
          <w:rFonts w:hint="cs"/>
          <w:rtl/>
        </w:rPr>
        <w:t xml:space="preserve">הרמב"ן לקמן </w:t>
      </w:r>
      <w:r w:rsidRPr="00681D5F">
        <w:rPr>
          <w:rStyle w:val="af7"/>
          <w:rFonts w:eastAsia="Guttman Hodes" w:hint="cs"/>
          <w:rtl/>
        </w:rPr>
        <w:t>(צב: ד"ה ומדמקשינן)</w:t>
      </w:r>
      <w:r w:rsidRPr="00AE7178">
        <w:rPr>
          <w:rFonts w:hint="cs"/>
          <w:rtl/>
        </w:rPr>
        <w:t xml:space="preserve"> </w:t>
      </w:r>
      <w:r>
        <w:rPr>
          <w:rFonts w:hint="cs"/>
          <w:rtl/>
        </w:rPr>
        <w:t>הקשה</w:t>
      </w:r>
      <w:r w:rsidRPr="00D23D8C">
        <w:rPr>
          <w:rStyle w:val="afb"/>
          <w:rFonts w:hint="cs"/>
          <w:rtl/>
        </w:rPr>
        <w:t xml:space="preserve"> </w:t>
      </w:r>
      <w:r>
        <w:rPr>
          <w:rFonts w:hint="cs"/>
          <w:rtl/>
        </w:rPr>
        <w:t xml:space="preserve">מדברי ריו"ח בגמ' לקמן </w:t>
      </w:r>
      <w:r w:rsidRPr="00681D5F">
        <w:rPr>
          <w:rStyle w:val="af7"/>
          <w:rFonts w:eastAsia="Guttman Hodes" w:hint="cs"/>
          <w:rtl/>
        </w:rPr>
        <w:t>(קג.)</w:t>
      </w:r>
      <w:r>
        <w:rPr>
          <w:rFonts w:hint="cs"/>
          <w:rtl/>
        </w:rPr>
        <w:t xml:space="preserve"> דעובר שנטרף כשיצא רובו, דאיסור טריפה ואיסור חלב חלים ביחד בשעה שיצא רובו, </w:t>
      </w:r>
      <w:r w:rsidRPr="00D23D8C">
        <w:rPr>
          <w:rStyle w:val="afb"/>
          <w:rFonts w:hint="cs"/>
          <w:rtl/>
        </w:rPr>
        <w:t>[</w:t>
      </w:r>
      <w:r>
        <w:rPr>
          <w:rStyle w:val="afb"/>
          <w:rFonts w:hint="cs"/>
          <w:rtl/>
        </w:rPr>
        <w:t xml:space="preserve">כדהקשו </w:t>
      </w:r>
      <w:r>
        <w:rPr>
          <w:rStyle w:val="affa"/>
          <w:rFonts w:hint="cs"/>
          <w:rtl/>
        </w:rPr>
        <w:t>הת</w:t>
      </w:r>
      <w:r w:rsidRPr="00D23D8C">
        <w:rPr>
          <w:rStyle w:val="affa"/>
          <w:rFonts w:hint="cs"/>
          <w:rtl/>
        </w:rPr>
        <w:t xml:space="preserve">וס' </w:t>
      </w:r>
      <w:r w:rsidRPr="00D23D8C">
        <w:rPr>
          <w:rStyle w:val="aff6"/>
          <w:rFonts w:hint="cs"/>
          <w:rtl/>
        </w:rPr>
        <w:t xml:space="preserve">(עי' אות </w:t>
      </w:r>
      <w:r w:rsidRPr="00D23D8C">
        <w:rPr>
          <w:rStyle w:val="aff6"/>
          <w:rtl/>
        </w:rPr>
        <w:fldChar w:fldCharType="begin"/>
      </w:r>
      <w:r w:rsidRPr="00D23D8C">
        <w:rPr>
          <w:rStyle w:val="aff6"/>
          <w:rtl/>
        </w:rPr>
        <w:instrText xml:space="preserve"> </w:instrText>
      </w:r>
      <w:r w:rsidRPr="00D23D8C">
        <w:rPr>
          <w:rStyle w:val="aff6"/>
          <w:rFonts w:hint="cs"/>
        </w:rPr>
        <w:instrText>REF</w:instrText>
      </w:r>
      <w:r w:rsidRPr="00D23D8C">
        <w:rPr>
          <w:rStyle w:val="aff6"/>
          <w:rFonts w:hint="cs"/>
          <w:rtl/>
        </w:rPr>
        <w:instrText xml:space="preserve"> _</w:instrText>
      </w:r>
      <w:r w:rsidRPr="00D23D8C">
        <w:rPr>
          <w:rStyle w:val="aff6"/>
          <w:rFonts w:hint="cs"/>
        </w:rPr>
        <w:instrText>Ref3285785 \r \h</w:instrText>
      </w:r>
      <w:r w:rsidRPr="00D23D8C">
        <w:rPr>
          <w:rStyle w:val="aff6"/>
          <w:rtl/>
        </w:rPr>
        <w:instrText xml:space="preserve"> </w:instrText>
      </w:r>
      <w:r w:rsidRPr="00D23D8C">
        <w:rPr>
          <w:rStyle w:val="aff6"/>
          <w:rtl/>
        </w:rPr>
      </w:r>
      <w:r w:rsidRPr="00D23D8C">
        <w:rPr>
          <w:rStyle w:val="aff6"/>
          <w:rtl/>
        </w:rPr>
        <w:fldChar w:fldCharType="separate"/>
      </w:r>
      <w:r w:rsidR="00345400">
        <w:rPr>
          <w:rStyle w:val="aff6"/>
          <w:cs/>
        </w:rPr>
        <w:t>‎</w:t>
      </w:r>
      <w:r w:rsidR="00345400">
        <w:rPr>
          <w:rStyle w:val="aff6"/>
          <w:rtl/>
        </w:rPr>
        <w:t>נא)</w:t>
      </w:r>
      <w:r w:rsidRPr="00D23D8C">
        <w:rPr>
          <w:rStyle w:val="aff6"/>
          <w:rtl/>
        </w:rPr>
        <w:fldChar w:fldCharType="end"/>
      </w:r>
      <w:r w:rsidRPr="00D23D8C">
        <w:rPr>
          <w:rStyle w:val="afb"/>
          <w:rFonts w:hint="cs"/>
          <w:rtl/>
        </w:rPr>
        <w:t>]</w:t>
      </w:r>
      <w:r>
        <w:rPr>
          <w:rFonts w:hint="cs"/>
          <w:rtl/>
        </w:rPr>
        <w:t xml:space="preserve"> ומבואר דאף לריו"ח איסור חלב לא חל בשליל עד שיצא לאויר העולם, וא"כ האיך אמר ריו"ח דחדשים גרמי, והתולש חלב מהעובר חייב.</w:t>
      </w:r>
      <w:bookmarkEnd w:id="22979"/>
    </w:p>
    <w:p w14:paraId="769C944B" w14:textId="77777777" w:rsidR="007D3AFB" w:rsidRPr="007D3AFB" w:rsidRDefault="007D3AFB" w:rsidP="007D3AFB">
      <w:pPr>
        <w:pStyle w:val="a3"/>
      </w:pPr>
    </w:p>
    <w:p w14:paraId="6FF1E5A6" w14:textId="77777777" w:rsidR="003D504D" w:rsidRDefault="003D504D" w:rsidP="00BF39B2">
      <w:pPr>
        <w:pStyle w:val="1"/>
        <w:rPr>
          <w:rtl/>
        </w:rPr>
      </w:pPr>
      <w:bookmarkStart w:id="22980" w:name="_Toc3484969"/>
      <w:bookmarkStart w:id="22981" w:name="_Toc3535817"/>
      <w:bookmarkStart w:id="22982" w:name="_Toc3543194"/>
      <w:bookmarkStart w:id="22983" w:name="_Toc3550905"/>
      <w:bookmarkStart w:id="22984" w:name="_Toc3551061"/>
      <w:bookmarkStart w:id="22985" w:name="_Toc19391870"/>
      <w:bookmarkStart w:id="22986" w:name="_Toc19395367"/>
      <w:bookmarkStart w:id="22987" w:name="_Toc3287724"/>
      <w:bookmarkStart w:id="22988" w:name="_Toc3322240"/>
      <w:bookmarkStart w:id="22989" w:name="_Toc3480704"/>
      <w:r>
        <w:rPr>
          <w:rFonts w:hint="cs"/>
          <w:rtl/>
        </w:rPr>
        <w:t xml:space="preserve">דברי </w:t>
      </w:r>
      <w:r w:rsidRPr="007A252B">
        <w:rPr>
          <w:rFonts w:hint="cs"/>
          <w:rtl/>
        </w:rPr>
        <w:t xml:space="preserve">הרמב"ן </w:t>
      </w:r>
      <w:r>
        <w:rPr>
          <w:rFonts w:hint="cs"/>
          <w:rtl/>
        </w:rPr>
        <w:t>דלריו"ח לא נאסר החלב דאפשר להתירו בשחיטה</w:t>
      </w:r>
      <w:bookmarkEnd w:id="22980"/>
      <w:bookmarkEnd w:id="22981"/>
      <w:bookmarkEnd w:id="22982"/>
      <w:bookmarkEnd w:id="22983"/>
      <w:bookmarkEnd w:id="22984"/>
      <w:bookmarkEnd w:id="22985"/>
      <w:bookmarkEnd w:id="22986"/>
    </w:p>
    <w:p w14:paraId="2E03FA6E" w14:textId="77777777" w:rsidR="003D504D" w:rsidRDefault="003D504D" w:rsidP="003D504D">
      <w:pPr>
        <w:pStyle w:val="a3"/>
      </w:pPr>
      <w:bookmarkStart w:id="22990" w:name="_Toc3484970"/>
      <w:bookmarkStart w:id="22991" w:name="_Toc3535818"/>
      <w:bookmarkStart w:id="22992" w:name="_Toc3543195"/>
      <w:bookmarkStart w:id="22993" w:name="_Toc3550906"/>
      <w:bookmarkStart w:id="22994" w:name="_Toc3551062"/>
      <w:bookmarkStart w:id="22995" w:name="_Toc19391871"/>
      <w:bookmarkStart w:id="22996" w:name="_Toc19395368"/>
      <w:r>
        <w:rPr>
          <w:rFonts w:hint="cs"/>
          <w:rtl/>
        </w:rPr>
        <w:t>ביאור הרמב"ן דכיון שאם תשחט האם מותר החלב לכן לא חל האיסור במעי האם אף דחדשים גרמי</w:t>
      </w:r>
      <w:bookmarkEnd w:id="22987"/>
      <w:bookmarkEnd w:id="22988"/>
      <w:bookmarkEnd w:id="22989"/>
      <w:bookmarkEnd w:id="22990"/>
      <w:bookmarkEnd w:id="22991"/>
      <w:bookmarkEnd w:id="22992"/>
      <w:bookmarkEnd w:id="22993"/>
      <w:bookmarkEnd w:id="22994"/>
      <w:bookmarkEnd w:id="22995"/>
      <w:bookmarkEnd w:id="22996"/>
    </w:p>
    <w:p w14:paraId="69AB21CE" w14:textId="77777777" w:rsidR="003D504D" w:rsidRDefault="003D504D" w:rsidP="00223668">
      <w:pPr>
        <w:pStyle w:val="a0"/>
        <w:rPr>
          <w:rtl/>
        </w:rPr>
      </w:pPr>
      <w:bookmarkStart w:id="22997" w:name="_Ref3321917"/>
      <w:bookmarkStart w:id="22998" w:name="_Ref3483007"/>
      <w:r>
        <w:rPr>
          <w:rFonts w:hint="cs"/>
          <w:rtl/>
        </w:rPr>
        <w:t>ותירץ</w:t>
      </w:r>
      <w:r w:rsidRPr="00AE7178">
        <w:rPr>
          <w:rFonts w:hint="cs"/>
          <w:rtl/>
        </w:rPr>
        <w:t xml:space="preserve"> </w:t>
      </w:r>
      <w:r w:rsidRPr="00E76CE1">
        <w:rPr>
          <w:rStyle w:val="af9"/>
          <w:rFonts w:hint="cs"/>
          <w:rtl/>
        </w:rPr>
        <w:t xml:space="preserve">הרמב"ן לקמן </w:t>
      </w:r>
      <w:r w:rsidRPr="00AE7178">
        <w:rPr>
          <w:rFonts w:hint="cs"/>
          <w:rtl/>
        </w:rPr>
        <w:t xml:space="preserve">דכיון שאם תשחט האם אף החלב </w:t>
      </w:r>
      <w:r>
        <w:rPr>
          <w:rFonts w:hint="cs"/>
          <w:rtl/>
        </w:rPr>
        <w:t xml:space="preserve">של השליל יהיה </w:t>
      </w:r>
      <w:r w:rsidRPr="00AE7178">
        <w:rPr>
          <w:rFonts w:hint="cs"/>
          <w:rtl/>
        </w:rPr>
        <w:t xml:space="preserve">מותר בשחיטתה, לכן </w:t>
      </w:r>
      <w:r>
        <w:rPr>
          <w:rFonts w:hint="cs"/>
          <w:rtl/>
        </w:rPr>
        <w:t>אעפ"י דחדשים גרמי, מ"מ במעי האם</w:t>
      </w:r>
      <w:r w:rsidRPr="00AE7178">
        <w:rPr>
          <w:rFonts w:hint="cs"/>
          <w:rtl/>
        </w:rPr>
        <w:t xml:space="preserve"> לא חל האיסור על החלב, עד שיצא לאויר העולם, </w:t>
      </w:r>
      <w:r>
        <w:rPr>
          <w:rFonts w:hint="cs"/>
          <w:rtl/>
        </w:rPr>
        <w:t>כיון ש</w:t>
      </w:r>
      <w:r w:rsidRPr="00AE7178">
        <w:rPr>
          <w:rFonts w:hint="cs"/>
          <w:rtl/>
        </w:rPr>
        <w:t>החלב של ה</w:t>
      </w:r>
      <w:r>
        <w:rPr>
          <w:rFonts w:hint="cs"/>
          <w:rtl/>
        </w:rPr>
        <w:t>שליל</w:t>
      </w:r>
      <w:r w:rsidRPr="00AE7178">
        <w:rPr>
          <w:rFonts w:hint="cs"/>
          <w:rtl/>
        </w:rPr>
        <w:t xml:space="preserve"> אינו עומד לכך שיתלוש אותו ויאכלנו לפני שתשחט האם</w:t>
      </w:r>
      <w:r>
        <w:rPr>
          <w:rFonts w:hint="cs"/>
          <w:rtl/>
        </w:rPr>
        <w:t xml:space="preserve">. </w:t>
      </w:r>
      <w:r w:rsidRPr="009766E3">
        <w:rPr>
          <w:rStyle w:val="afb"/>
          <w:rFonts w:hint="cs"/>
          <w:rtl/>
        </w:rPr>
        <w:t xml:space="preserve">[אבל </w:t>
      </w:r>
      <w:r>
        <w:rPr>
          <w:rStyle w:val="afb"/>
          <w:rFonts w:hint="cs"/>
          <w:rtl/>
        </w:rPr>
        <w:t>ב</w:t>
      </w:r>
      <w:r w:rsidRPr="009766E3">
        <w:rPr>
          <w:rStyle w:val="afb"/>
          <w:rFonts w:hint="cs"/>
          <w:rtl/>
        </w:rPr>
        <w:t xml:space="preserve">תלש החלב </w:t>
      </w:r>
      <w:r>
        <w:rPr>
          <w:rStyle w:val="afb"/>
          <w:rFonts w:hint="cs"/>
          <w:rtl/>
        </w:rPr>
        <w:t xml:space="preserve">מבן ט' </w:t>
      </w:r>
      <w:r w:rsidRPr="009766E3">
        <w:rPr>
          <w:rStyle w:val="afb"/>
          <w:rFonts w:hint="cs"/>
          <w:rtl/>
        </w:rPr>
        <w:t>שלא יכול להיות בו היתר שחיטה</w:t>
      </w:r>
      <w:r>
        <w:rPr>
          <w:rStyle w:val="afb"/>
          <w:rFonts w:hint="cs"/>
          <w:rtl/>
        </w:rPr>
        <w:t>,</w:t>
      </w:r>
      <w:r w:rsidRPr="009766E3">
        <w:rPr>
          <w:rStyle w:val="afb"/>
          <w:rFonts w:hint="cs"/>
          <w:rtl/>
        </w:rPr>
        <w:t xml:space="preserve"> מיד חל עליו האיסור</w:t>
      </w:r>
      <w:r>
        <w:rPr>
          <w:rStyle w:val="afb"/>
          <w:rFonts w:hint="cs"/>
          <w:rtl/>
        </w:rPr>
        <w:t xml:space="preserve"> דהא חדשים גרמי</w:t>
      </w:r>
      <w:r w:rsidRPr="009766E3">
        <w:rPr>
          <w:rStyle w:val="afb"/>
          <w:rFonts w:hint="cs"/>
          <w:rtl/>
        </w:rPr>
        <w:t>]</w:t>
      </w:r>
      <w:r>
        <w:rPr>
          <w:rStyle w:val="afb"/>
          <w:rFonts w:hint="cs"/>
          <w:rtl/>
        </w:rPr>
        <w:t>,</w:t>
      </w:r>
      <w:r>
        <w:rPr>
          <w:rFonts w:hint="cs"/>
          <w:rtl/>
        </w:rPr>
        <w:t xml:space="preserve"> וכ"כ </w:t>
      </w:r>
      <w:r w:rsidRPr="008012BE">
        <w:rPr>
          <w:rStyle w:val="af9"/>
          <w:rFonts w:hint="cs"/>
          <w:rtl/>
        </w:rPr>
        <w:t xml:space="preserve">הרשב"א </w:t>
      </w:r>
      <w:r>
        <w:rPr>
          <w:rStyle w:val="af9"/>
          <w:rFonts w:hint="cs"/>
          <w:rtl/>
        </w:rPr>
        <w:t xml:space="preserve">בחי' </w:t>
      </w:r>
      <w:r w:rsidRPr="008012BE">
        <w:rPr>
          <w:rStyle w:val="af9"/>
          <w:rFonts w:hint="cs"/>
          <w:rtl/>
        </w:rPr>
        <w:t>לקמן</w:t>
      </w:r>
      <w:r>
        <w:rPr>
          <w:rFonts w:hint="cs"/>
          <w:rtl/>
        </w:rPr>
        <w:t xml:space="preserve"> </w:t>
      </w:r>
      <w:r>
        <w:rPr>
          <w:rStyle w:val="af7"/>
          <w:rFonts w:eastAsiaTheme="minorHAnsi" w:hint="cs"/>
          <w:rtl/>
        </w:rPr>
        <w:t xml:space="preserve">(פט: ד"ה אלא) </w:t>
      </w:r>
      <w:r>
        <w:rPr>
          <w:rStyle w:val="af9"/>
          <w:rFonts w:hint="cs"/>
          <w:rtl/>
        </w:rPr>
        <w:t xml:space="preserve">ובתוה"ב </w:t>
      </w:r>
      <w:r w:rsidRPr="00134302">
        <w:rPr>
          <w:rStyle w:val="af7"/>
          <w:rFonts w:eastAsia="Guttman Hodes" w:hint="cs"/>
          <w:rtl/>
        </w:rPr>
        <w:t>(ב"ב ש"ה דף נט</w:t>
      </w:r>
      <w:r>
        <w:rPr>
          <w:rStyle w:val="af7"/>
          <w:rFonts w:eastAsia="Guttman Hodes" w:hint="cs"/>
          <w:rtl/>
        </w:rPr>
        <w:t>:</w:t>
      </w:r>
      <w:r w:rsidRPr="00134302">
        <w:rPr>
          <w:rStyle w:val="af7"/>
          <w:rFonts w:eastAsia="Guttman Hodes" w:hint="cs"/>
          <w:rtl/>
        </w:rPr>
        <w:t xml:space="preserve"> מדה"ס)</w:t>
      </w:r>
      <w:r>
        <w:rPr>
          <w:rFonts w:hint="cs"/>
          <w:rtl/>
        </w:rPr>
        <w:t xml:space="preserve"> </w:t>
      </w:r>
      <w:r w:rsidRPr="00F712C9">
        <w:rPr>
          <w:rFonts w:hint="cs"/>
          <w:rtl/>
        </w:rPr>
        <w:t xml:space="preserve">בדעת </w:t>
      </w:r>
      <w:r w:rsidRPr="00F712C9">
        <w:rPr>
          <w:rStyle w:val="af9"/>
          <w:rFonts w:hint="cs"/>
          <w:rtl/>
        </w:rPr>
        <w:t>התוס'</w:t>
      </w:r>
      <w:r w:rsidRPr="00F712C9">
        <w:rPr>
          <w:rFonts w:hint="cs"/>
          <w:rtl/>
        </w:rPr>
        <w:t xml:space="preserve"> </w:t>
      </w:r>
      <w:r w:rsidRPr="00F712C9">
        <w:rPr>
          <w:rStyle w:val="af7"/>
          <w:rFonts w:eastAsia="Guttman Hodes" w:hint="cs"/>
          <w:rtl/>
        </w:rPr>
        <w:t xml:space="preserve">(עי' אות </w:t>
      </w:r>
      <w:r w:rsidRPr="00F712C9">
        <w:rPr>
          <w:rStyle w:val="af7"/>
          <w:rFonts w:eastAsia="Guttman Hodes"/>
          <w:rtl/>
        </w:rPr>
        <w:fldChar w:fldCharType="begin"/>
      </w:r>
      <w:r w:rsidRPr="00F712C9">
        <w:rPr>
          <w:rStyle w:val="af7"/>
          <w:rFonts w:eastAsia="Guttman Hodes"/>
          <w:rtl/>
        </w:rPr>
        <w:instrText xml:space="preserve"> </w:instrText>
      </w:r>
      <w:r w:rsidRPr="00F712C9">
        <w:rPr>
          <w:rStyle w:val="af7"/>
          <w:rFonts w:eastAsia="Guttman Hodes" w:hint="cs"/>
        </w:rPr>
        <w:instrText>REF</w:instrText>
      </w:r>
      <w:r w:rsidRPr="00F712C9">
        <w:rPr>
          <w:rStyle w:val="af7"/>
          <w:rFonts w:eastAsia="Guttman Hodes" w:hint="cs"/>
          <w:rtl/>
        </w:rPr>
        <w:instrText xml:space="preserve"> _</w:instrText>
      </w:r>
      <w:r w:rsidRPr="00F712C9">
        <w:rPr>
          <w:rStyle w:val="af7"/>
          <w:rFonts w:eastAsia="Guttman Hodes" w:hint="cs"/>
        </w:rPr>
        <w:instrText>Ref2930209 \r \h</w:instrText>
      </w:r>
      <w:r w:rsidRPr="00F712C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F712C9">
        <w:rPr>
          <w:rStyle w:val="af7"/>
          <w:rFonts w:eastAsia="Guttman Hodes"/>
          <w:rtl/>
        </w:rPr>
      </w:r>
      <w:r w:rsidRPr="00F712C9">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sidRPr="00F712C9">
        <w:rPr>
          <w:rStyle w:val="af7"/>
          <w:rFonts w:eastAsia="Guttman Hodes"/>
          <w:rtl/>
        </w:rPr>
        <w:fldChar w:fldCharType="end"/>
      </w:r>
      <w:bookmarkEnd w:id="22997"/>
      <w:r>
        <w:rPr>
          <w:rFonts w:hint="cs"/>
          <w:rtl/>
        </w:rPr>
        <w:t xml:space="preserve">, וע"ע בדברי </w:t>
      </w:r>
      <w:r w:rsidRPr="005E483D">
        <w:rPr>
          <w:rStyle w:val="af9"/>
          <w:rFonts w:hint="cs"/>
          <w:rtl/>
        </w:rPr>
        <w:t xml:space="preserve">התוס' </w:t>
      </w:r>
      <w:r w:rsidRPr="005E483D">
        <w:rPr>
          <w:rStyle w:val="af7"/>
          <w:rFonts w:eastAsia="Guttman Hodes" w:hint="cs"/>
          <w:rtl/>
        </w:rPr>
        <w:t xml:space="preserve">(עי' אות </w:t>
      </w:r>
      <w:r w:rsidRPr="005E483D">
        <w:rPr>
          <w:rStyle w:val="af7"/>
          <w:rFonts w:eastAsia="Guttman Hodes"/>
          <w:rtl/>
        </w:rPr>
        <w:fldChar w:fldCharType="begin"/>
      </w:r>
      <w:r w:rsidRPr="005E483D">
        <w:rPr>
          <w:rStyle w:val="af7"/>
          <w:rFonts w:eastAsia="Guttman Hodes"/>
          <w:rtl/>
        </w:rPr>
        <w:instrText xml:space="preserve"> </w:instrText>
      </w:r>
      <w:r w:rsidRPr="005E483D">
        <w:rPr>
          <w:rStyle w:val="af7"/>
          <w:rFonts w:eastAsia="Guttman Hodes" w:hint="cs"/>
        </w:rPr>
        <w:instrText>REF</w:instrText>
      </w:r>
      <w:r w:rsidRPr="005E483D">
        <w:rPr>
          <w:rStyle w:val="af7"/>
          <w:rFonts w:eastAsia="Guttman Hodes" w:hint="cs"/>
          <w:rtl/>
        </w:rPr>
        <w:instrText xml:space="preserve"> _</w:instrText>
      </w:r>
      <w:r w:rsidRPr="005E483D">
        <w:rPr>
          <w:rStyle w:val="af7"/>
          <w:rFonts w:eastAsia="Guttman Hodes" w:hint="cs"/>
        </w:rPr>
        <w:instrText>Ref3366863 \r \h</w:instrText>
      </w:r>
      <w:r w:rsidRPr="005E483D">
        <w:rPr>
          <w:rStyle w:val="af7"/>
          <w:rFonts w:eastAsia="Guttman Hodes"/>
          <w:rtl/>
        </w:rPr>
        <w:instrText xml:space="preserve"> </w:instrText>
      </w:r>
      <w:r w:rsidRPr="005E483D">
        <w:rPr>
          <w:rStyle w:val="af7"/>
          <w:rFonts w:eastAsia="Guttman Hodes"/>
          <w:rtl/>
        </w:rPr>
      </w:r>
      <w:r w:rsidRPr="005E483D">
        <w:rPr>
          <w:rStyle w:val="af7"/>
          <w:rFonts w:eastAsia="Guttman Hodes"/>
          <w:rtl/>
        </w:rPr>
        <w:fldChar w:fldCharType="separate"/>
      </w:r>
      <w:r w:rsidR="00345400">
        <w:rPr>
          <w:rStyle w:val="af7"/>
          <w:rFonts w:eastAsia="Guttman Hodes"/>
          <w:cs/>
        </w:rPr>
        <w:t>‎</w:t>
      </w:r>
      <w:r w:rsidR="00345400">
        <w:rPr>
          <w:rStyle w:val="af7"/>
          <w:rFonts w:eastAsia="Guttman Hodes"/>
          <w:rtl/>
        </w:rPr>
        <w:t>יד)</w:t>
      </w:r>
      <w:r w:rsidRPr="005E483D">
        <w:rPr>
          <w:rStyle w:val="af7"/>
          <w:rFonts w:eastAsia="Guttman Hodes"/>
          <w:rtl/>
        </w:rPr>
        <w:fldChar w:fldCharType="end"/>
      </w:r>
      <w:r w:rsidRPr="005E483D">
        <w:rPr>
          <w:rStyle w:val="af7"/>
          <w:rFonts w:eastAsia="Guttman Hodes" w:hint="cs"/>
          <w:rtl/>
        </w:rPr>
        <w:t xml:space="preserve"> </w:t>
      </w:r>
      <w:r>
        <w:rPr>
          <w:rFonts w:hint="cs"/>
          <w:rtl/>
        </w:rPr>
        <w:t>לענין היתר גיד לר"מ בבן ח'.</w:t>
      </w:r>
      <w:bookmarkEnd w:id="22998"/>
    </w:p>
    <w:p w14:paraId="653CBF7D" w14:textId="77777777" w:rsidR="003D504D" w:rsidRPr="00E76CE1" w:rsidRDefault="003D504D" w:rsidP="003D504D">
      <w:pPr>
        <w:pStyle w:val="a3"/>
      </w:pPr>
      <w:bookmarkStart w:id="22999" w:name="_Toc3287725"/>
      <w:bookmarkStart w:id="23000" w:name="_Toc3322241"/>
      <w:bookmarkStart w:id="23001" w:name="_Toc3480705"/>
      <w:bookmarkStart w:id="23002" w:name="_Toc3484971"/>
      <w:bookmarkStart w:id="23003" w:name="_Toc3535819"/>
      <w:bookmarkStart w:id="23004" w:name="_Toc3543196"/>
      <w:bookmarkStart w:id="23005" w:name="_Toc3550907"/>
      <w:bookmarkStart w:id="23006" w:name="_Toc3551063"/>
      <w:bookmarkStart w:id="23007" w:name="_Toc19391872"/>
      <w:bookmarkStart w:id="23008" w:name="_Toc19395369"/>
      <w:r>
        <w:rPr>
          <w:rFonts w:hint="cs"/>
          <w:rtl/>
        </w:rPr>
        <w:t>דברי הרמב"ן דכן מוכח באיסור אבר מן החי דחל כשיצא רובו אף דבתלש אבר ודאי חייב עליו</w:t>
      </w:r>
      <w:bookmarkEnd w:id="22999"/>
      <w:bookmarkEnd w:id="23000"/>
      <w:bookmarkEnd w:id="23001"/>
      <w:bookmarkEnd w:id="23002"/>
      <w:bookmarkEnd w:id="23003"/>
      <w:bookmarkEnd w:id="23004"/>
      <w:bookmarkEnd w:id="23005"/>
      <w:bookmarkEnd w:id="23006"/>
      <w:bookmarkEnd w:id="23007"/>
      <w:bookmarkEnd w:id="23008"/>
    </w:p>
    <w:p w14:paraId="668B0E93" w14:textId="77777777" w:rsidR="003D504D" w:rsidRDefault="003D504D" w:rsidP="00223668">
      <w:pPr>
        <w:pStyle w:val="a0"/>
        <w:rPr>
          <w:rtl/>
        </w:rPr>
      </w:pPr>
      <w:r w:rsidRPr="00AE7178">
        <w:rPr>
          <w:rFonts w:hint="cs"/>
          <w:rtl/>
        </w:rPr>
        <w:t xml:space="preserve">וכתב </w:t>
      </w:r>
      <w:r w:rsidRPr="00E76CE1">
        <w:rPr>
          <w:rStyle w:val="af9"/>
          <w:rFonts w:hint="cs"/>
          <w:rtl/>
        </w:rPr>
        <w:t xml:space="preserve">הרמב"ן לקמן </w:t>
      </w:r>
      <w:r w:rsidRPr="00AE7178">
        <w:rPr>
          <w:rFonts w:hint="cs"/>
          <w:rtl/>
        </w:rPr>
        <w:t>דכן מוכח מדין האברים של ה</w:t>
      </w:r>
      <w:r>
        <w:rPr>
          <w:rFonts w:hint="cs"/>
          <w:rtl/>
        </w:rPr>
        <w:t>שליל</w:t>
      </w:r>
      <w:r w:rsidRPr="00AE7178">
        <w:rPr>
          <w:rFonts w:hint="cs"/>
          <w:rtl/>
        </w:rPr>
        <w:t>, דאם תלש אבר ממעי האם חייב באבר מן החי, ומ</w:t>
      </w:r>
      <w:r>
        <w:rPr>
          <w:rFonts w:hint="cs"/>
          <w:rtl/>
        </w:rPr>
        <w:t>"</w:t>
      </w:r>
      <w:r w:rsidRPr="00AE7178">
        <w:rPr>
          <w:rFonts w:hint="cs"/>
          <w:rtl/>
        </w:rPr>
        <w:t>מ אמרינן דאיסור אבר מן החי חייל רק כשיצא רובו, דלפני שיצא רובו אינו עומד לאברים, דאם שחט את האם מותרים אברי ה</w:t>
      </w:r>
      <w:r>
        <w:rPr>
          <w:rFonts w:hint="cs"/>
          <w:rtl/>
        </w:rPr>
        <w:t>שליל</w:t>
      </w:r>
      <w:r w:rsidRPr="00AE7178">
        <w:rPr>
          <w:rFonts w:hint="cs"/>
          <w:rtl/>
        </w:rPr>
        <w:t xml:space="preserve"> שב</w:t>
      </w:r>
      <w:r>
        <w:rPr>
          <w:rFonts w:hint="cs"/>
          <w:rtl/>
        </w:rPr>
        <w:t>מעיה ואין בהם איסור אבר מן החי.</w:t>
      </w:r>
    </w:p>
    <w:p w14:paraId="7FBB1A61" w14:textId="77777777" w:rsidR="003D504D" w:rsidRDefault="003D504D" w:rsidP="00BF39B2">
      <w:pPr>
        <w:pStyle w:val="1"/>
        <w:rPr>
          <w:rtl/>
        </w:rPr>
      </w:pPr>
      <w:bookmarkStart w:id="23009" w:name="_Toc3535820"/>
      <w:bookmarkStart w:id="23010" w:name="_Toc3543197"/>
      <w:bookmarkStart w:id="23011" w:name="_Toc3550908"/>
      <w:bookmarkStart w:id="23012" w:name="_Toc3551064"/>
      <w:bookmarkStart w:id="23013" w:name="_Toc19391873"/>
      <w:bookmarkStart w:id="23014" w:name="_Toc19395370"/>
      <w:r>
        <w:rPr>
          <w:rFonts w:hint="cs"/>
          <w:rtl/>
        </w:rPr>
        <w:t>ביאור הרמב"ן בגדר דין החלב אם הותר לבסוף ואם לא הותר</w:t>
      </w:r>
      <w:bookmarkEnd w:id="23009"/>
      <w:bookmarkEnd w:id="23010"/>
      <w:bookmarkEnd w:id="23011"/>
      <w:bookmarkEnd w:id="23012"/>
      <w:bookmarkEnd w:id="23013"/>
      <w:bookmarkEnd w:id="23014"/>
    </w:p>
    <w:p w14:paraId="47EFFA8B" w14:textId="77777777" w:rsidR="003D504D" w:rsidRPr="0020706D" w:rsidRDefault="003D504D" w:rsidP="003D504D">
      <w:pPr>
        <w:pStyle w:val="a3"/>
        <w:rPr>
          <w:rtl/>
        </w:rPr>
      </w:pPr>
      <w:bookmarkStart w:id="23015" w:name="_Toc3535821"/>
      <w:bookmarkStart w:id="23016" w:name="_Toc3543198"/>
      <w:bookmarkStart w:id="23017" w:name="_Toc3550909"/>
      <w:bookmarkStart w:id="23018" w:name="_Toc3551065"/>
      <w:bookmarkStart w:id="23019" w:name="_Toc19391874"/>
      <w:bookmarkStart w:id="23020" w:name="_Toc19395371"/>
      <w:r>
        <w:rPr>
          <w:rFonts w:hint="cs"/>
          <w:rtl/>
        </w:rPr>
        <w:t>דברי התוס' לקמן דאף דריו"ח מתיר בחלב בן ח' מ"מ משעה שיצא לאויר לא הייתה לו שעת הכושר</w:t>
      </w:r>
      <w:bookmarkEnd w:id="23015"/>
      <w:bookmarkEnd w:id="23016"/>
      <w:bookmarkEnd w:id="23017"/>
      <w:bookmarkEnd w:id="23018"/>
      <w:bookmarkEnd w:id="23019"/>
      <w:bookmarkEnd w:id="23020"/>
    </w:p>
    <w:p w14:paraId="5C6B7159" w14:textId="77777777" w:rsidR="003D504D" w:rsidRDefault="003D504D" w:rsidP="00223668">
      <w:pPr>
        <w:pStyle w:val="a0"/>
        <w:rPr>
          <w:sz w:val="10"/>
          <w:szCs w:val="14"/>
          <w:rtl/>
        </w:rPr>
      </w:pPr>
      <w:bookmarkStart w:id="23021" w:name="_Toc3322242"/>
      <w:bookmarkStart w:id="23022" w:name="_Toc3480706"/>
      <w:bookmarkStart w:id="23023" w:name="_Toc3484972"/>
      <w:r>
        <w:rPr>
          <w:rFonts w:hint="cs"/>
          <w:rtl/>
        </w:rPr>
        <w:t xml:space="preserve">איתא בגמ' לקמן </w:t>
      </w:r>
      <w:r w:rsidRPr="00A33ACD">
        <w:rPr>
          <w:rStyle w:val="af7"/>
          <w:rFonts w:eastAsia="Guttman Hodes" w:hint="cs"/>
          <w:rtl/>
        </w:rPr>
        <w:t>(קכ.)</w:t>
      </w:r>
      <w:r>
        <w:rPr>
          <w:rFonts w:hint="cs"/>
          <w:rtl/>
        </w:rPr>
        <w:t xml:space="preserve"> דחלב לא הייתה לו שעת הכושר, והקשו </w:t>
      </w:r>
      <w:r w:rsidRPr="0020706D">
        <w:rPr>
          <w:rStyle w:val="af9"/>
          <w:rFonts w:hint="cs"/>
          <w:rtl/>
        </w:rPr>
        <w:t>התוס' לקמן</w:t>
      </w:r>
      <w:r>
        <w:rPr>
          <w:rFonts w:hint="cs"/>
          <w:rtl/>
        </w:rPr>
        <w:t xml:space="preserve"> </w:t>
      </w:r>
      <w:r w:rsidRPr="0020706D">
        <w:rPr>
          <w:rStyle w:val="af7"/>
          <w:rFonts w:eastAsia="Guttman Hodes" w:hint="cs"/>
          <w:rtl/>
        </w:rPr>
        <w:t>(קכ. ד"ה חמץ)</w:t>
      </w:r>
      <w:r>
        <w:rPr>
          <w:rFonts w:hint="cs"/>
          <w:rtl/>
        </w:rPr>
        <w:t xml:space="preserve"> דהרי לדעת ריו"ח הייתה לחלב שעת הכושר, דהתולש חלב דבן ט' חי חייב דחדשים גרמי, ואילו בבן ח' מודה ריו"ח דאין חייבין עליו, ותירצו </w:t>
      </w:r>
      <w:r w:rsidRPr="0020706D">
        <w:rPr>
          <w:rStyle w:val="af9"/>
          <w:rFonts w:hint="cs"/>
          <w:rtl/>
        </w:rPr>
        <w:t>התוס' לקמן</w:t>
      </w:r>
      <w:r>
        <w:rPr>
          <w:rFonts w:hint="cs"/>
          <w:rtl/>
        </w:rPr>
        <w:t xml:space="preserve"> דכוונת הגמ' לקמן לומר דחלב אחר שיצא לאויר העולם לא הייתה לו שעת הכושר.</w:t>
      </w:r>
    </w:p>
    <w:p w14:paraId="20E84EC8" w14:textId="77777777" w:rsidR="003D504D" w:rsidRPr="00C80529" w:rsidRDefault="003D504D" w:rsidP="003D504D">
      <w:pPr>
        <w:pStyle w:val="a3"/>
        <w:rPr>
          <w:rtl/>
        </w:rPr>
      </w:pPr>
      <w:bookmarkStart w:id="23024" w:name="_Toc3535822"/>
      <w:bookmarkStart w:id="23025" w:name="_Toc3543199"/>
      <w:bookmarkStart w:id="23026" w:name="_Toc3550910"/>
      <w:bookmarkStart w:id="23027" w:name="_Toc3551066"/>
      <w:bookmarkStart w:id="23028" w:name="_Toc19391875"/>
      <w:bookmarkStart w:id="23029" w:name="_Toc19395372"/>
      <w:r>
        <w:rPr>
          <w:rFonts w:hint="cs"/>
          <w:rtl/>
        </w:rPr>
        <w:t>דברי הראשונים לקמן דלר"י דמתיר בחלב שליל לא הייתה לו שעת הכושר משעה שיצא לאויר</w:t>
      </w:r>
      <w:bookmarkEnd w:id="23024"/>
      <w:bookmarkEnd w:id="23025"/>
      <w:bookmarkEnd w:id="23026"/>
      <w:bookmarkEnd w:id="23027"/>
      <w:bookmarkEnd w:id="23028"/>
      <w:bookmarkEnd w:id="23029"/>
    </w:p>
    <w:p w14:paraId="0B231445" w14:textId="77777777" w:rsidR="003D504D" w:rsidRPr="00B6089C" w:rsidRDefault="003D504D" w:rsidP="00223668">
      <w:pPr>
        <w:pStyle w:val="a0"/>
        <w:rPr>
          <w:sz w:val="10"/>
          <w:szCs w:val="14"/>
          <w:rtl/>
        </w:rPr>
      </w:pPr>
      <w:r>
        <w:rPr>
          <w:rFonts w:hint="cs"/>
          <w:rtl/>
        </w:rPr>
        <w:t xml:space="preserve">אך הקשו </w:t>
      </w:r>
      <w:r w:rsidRPr="005E483D">
        <w:rPr>
          <w:rStyle w:val="af9"/>
          <w:rFonts w:hint="cs"/>
          <w:rtl/>
        </w:rPr>
        <w:t>הרמב"ן לקמן</w:t>
      </w:r>
      <w:r>
        <w:rPr>
          <w:rFonts w:hint="cs"/>
          <w:rtl/>
        </w:rPr>
        <w:t xml:space="preserve"> </w:t>
      </w:r>
      <w:r w:rsidRPr="00B6089C">
        <w:rPr>
          <w:rStyle w:val="af7"/>
          <w:rFonts w:eastAsia="Guttman Hodes" w:hint="cs"/>
          <w:rtl/>
        </w:rPr>
        <w:t>(קכ. ד"ה מה חלב)</w:t>
      </w:r>
      <w:r>
        <w:rPr>
          <w:rFonts w:hint="cs"/>
          <w:rtl/>
        </w:rPr>
        <w:t xml:space="preserve"> </w:t>
      </w:r>
      <w:r>
        <w:rPr>
          <w:rStyle w:val="af9"/>
          <w:rFonts w:hint="cs"/>
          <w:rtl/>
        </w:rPr>
        <w:t>ו</w:t>
      </w:r>
      <w:r w:rsidRPr="005E483D">
        <w:rPr>
          <w:rStyle w:val="af9"/>
          <w:rFonts w:hint="cs"/>
          <w:rtl/>
        </w:rPr>
        <w:t>הר</w:t>
      </w:r>
      <w:r>
        <w:rPr>
          <w:rStyle w:val="af9"/>
          <w:rFonts w:hint="cs"/>
          <w:rtl/>
        </w:rPr>
        <w:t>ש</w:t>
      </w:r>
      <w:r w:rsidRPr="005E483D">
        <w:rPr>
          <w:rStyle w:val="af9"/>
          <w:rFonts w:hint="cs"/>
          <w:rtl/>
        </w:rPr>
        <w:t>ב"</w:t>
      </w:r>
      <w:r>
        <w:rPr>
          <w:rStyle w:val="af9"/>
          <w:rFonts w:hint="cs"/>
          <w:rtl/>
        </w:rPr>
        <w:t>א</w:t>
      </w:r>
      <w:r w:rsidRPr="005E483D">
        <w:rPr>
          <w:rStyle w:val="af9"/>
          <w:rFonts w:hint="cs"/>
          <w:rtl/>
        </w:rPr>
        <w:t xml:space="preserve"> לקמן</w:t>
      </w:r>
      <w:r>
        <w:rPr>
          <w:rFonts w:hint="cs"/>
          <w:rtl/>
        </w:rPr>
        <w:t xml:space="preserve"> </w:t>
      </w:r>
      <w:r w:rsidRPr="00B6089C">
        <w:rPr>
          <w:rStyle w:val="af7"/>
          <w:rFonts w:eastAsia="Guttman Hodes" w:hint="cs"/>
          <w:rtl/>
        </w:rPr>
        <w:t>(קכ. ד"ה מה לחלב)</w:t>
      </w:r>
      <w:r>
        <w:rPr>
          <w:rFonts w:hint="cs"/>
          <w:rtl/>
        </w:rPr>
        <w:t xml:space="preserve"> </w:t>
      </w:r>
      <w:r w:rsidRPr="00B6089C">
        <w:rPr>
          <w:rStyle w:val="af9"/>
          <w:rFonts w:hint="cs"/>
          <w:rtl/>
        </w:rPr>
        <w:t>והר"ן בחי' לקמן</w:t>
      </w:r>
      <w:r>
        <w:rPr>
          <w:rFonts w:hint="cs"/>
          <w:rtl/>
        </w:rPr>
        <w:t xml:space="preserve"> </w:t>
      </w:r>
      <w:r w:rsidRPr="00B6089C">
        <w:rPr>
          <w:rStyle w:val="af7"/>
          <w:rFonts w:eastAsia="Guttman Hodes" w:hint="cs"/>
          <w:rtl/>
        </w:rPr>
        <w:t>(קכ. ד"ה מה לחלב)</w:t>
      </w:r>
      <w:r>
        <w:rPr>
          <w:rFonts w:hint="cs"/>
          <w:rtl/>
        </w:rPr>
        <w:t xml:space="preserve"> דהרי לדעת ר"י דמתיר בחלב של שליל, הייתה לחלב שעת הכושר כשהיה במעי אמו, ותירץ </w:t>
      </w:r>
      <w:r w:rsidRPr="00A33ACD">
        <w:rPr>
          <w:rStyle w:val="af9"/>
          <w:rFonts w:hint="cs"/>
          <w:rtl/>
        </w:rPr>
        <w:t>הרמב"ן לקמן</w:t>
      </w:r>
      <w:r>
        <w:rPr>
          <w:rFonts w:hint="cs"/>
          <w:rtl/>
        </w:rPr>
        <w:t xml:space="preserve"> דכוונת הגמ' לקמן לומר דמשעה שיצא לאויר העולם, לא הייתה לו שעת הכושר,</w:t>
      </w:r>
      <w:r w:rsidRPr="007F41F6">
        <w:rPr>
          <w:rStyle w:val="afb"/>
          <w:rFonts w:hint="cs"/>
          <w:rtl/>
        </w:rPr>
        <w:t xml:space="preserve"> </w:t>
      </w:r>
      <w:r w:rsidRPr="00C80529">
        <w:rPr>
          <w:rStyle w:val="af9"/>
          <w:rFonts w:hint="cs"/>
          <w:rtl/>
        </w:rPr>
        <w:t>והרשב"א לקמן</w:t>
      </w:r>
      <w:r>
        <w:rPr>
          <w:rFonts w:hint="cs"/>
          <w:rtl/>
        </w:rPr>
        <w:t xml:space="preserve"> </w:t>
      </w:r>
      <w:r w:rsidRPr="00B6089C">
        <w:rPr>
          <w:rStyle w:val="af9"/>
          <w:rFonts w:hint="cs"/>
          <w:rtl/>
        </w:rPr>
        <w:t>והר"ן בחי' לקמן</w:t>
      </w:r>
      <w:r>
        <w:rPr>
          <w:rFonts w:hint="cs"/>
          <w:rtl/>
        </w:rPr>
        <w:t xml:space="preserve"> תירצו דלר"י אין לו שם חלב עד שעת הלידה, דחדשים ולידה גרמי, או עד שעת יציאתו לאויר העולם, דחדשים ואוירא גרמי, ומהזמן שחל עליו שם חלב לא הייתה לו שעת הכושר.</w:t>
      </w:r>
    </w:p>
    <w:p w14:paraId="5BCD44BA" w14:textId="77777777" w:rsidR="003D504D" w:rsidRPr="00C80529" w:rsidRDefault="003D504D" w:rsidP="003D504D">
      <w:pPr>
        <w:pStyle w:val="a3"/>
      </w:pPr>
      <w:bookmarkStart w:id="23030" w:name="_Toc3535823"/>
      <w:bookmarkStart w:id="23031" w:name="_Toc3543200"/>
      <w:bookmarkStart w:id="23032" w:name="_Toc3550911"/>
      <w:bookmarkStart w:id="23033" w:name="_Toc3551067"/>
      <w:bookmarkStart w:id="23034" w:name="_Toc19391876"/>
      <w:bookmarkStart w:id="23035" w:name="_Toc19395373"/>
      <w:r w:rsidRPr="00C80529">
        <w:rPr>
          <w:rtl/>
        </w:rPr>
        <w:t>קושית הרמב"ן דלריו"ח חלב במעי האם הייתה לו שעת הכושר דאם תשחט האם יהיה מותר</w:t>
      </w:r>
      <w:bookmarkEnd w:id="23030"/>
      <w:bookmarkEnd w:id="23031"/>
      <w:bookmarkEnd w:id="23032"/>
      <w:bookmarkEnd w:id="23033"/>
      <w:bookmarkEnd w:id="23034"/>
      <w:bookmarkEnd w:id="23035"/>
    </w:p>
    <w:p w14:paraId="6CD26D1B" w14:textId="77777777" w:rsidR="003D504D" w:rsidRDefault="003D504D" w:rsidP="00223668">
      <w:pPr>
        <w:pStyle w:val="a0"/>
        <w:rPr>
          <w:rStyle w:val="afb"/>
          <w:rtl/>
        </w:rPr>
      </w:pPr>
      <w:r>
        <w:rPr>
          <w:rFonts w:hint="cs"/>
          <w:rtl/>
        </w:rPr>
        <w:t xml:space="preserve">אך כתב </w:t>
      </w:r>
      <w:r w:rsidRPr="00A33ACD">
        <w:rPr>
          <w:rStyle w:val="af9"/>
          <w:rFonts w:hint="cs"/>
          <w:rtl/>
        </w:rPr>
        <w:t>הרמב"ן לקמן</w:t>
      </w:r>
      <w:r>
        <w:rPr>
          <w:rFonts w:hint="cs"/>
          <w:rtl/>
        </w:rPr>
        <w:t xml:space="preserve"> דעדיין קשה לדעת ריו"ח דס"ל דבתלש חייב מדין חלב, ואם נשחט מותר החלב לר"י מדין "כל בבהמה תאכלו", וא"כ מוכח דאף בשעה שכבר חל עליו איסור חלב הייתה לו שעת הכושר. </w:t>
      </w:r>
      <w:r w:rsidRPr="00A33ACD">
        <w:rPr>
          <w:rStyle w:val="afb"/>
          <w:rFonts w:hint="cs"/>
          <w:rtl/>
        </w:rPr>
        <w:t>[דהיינו דבמעי אמו כבר חל איסור חלב דאם יתלש יהיה חייב, ומ"מ הייתה לו שעת הכושר, דאם תשחט אמו יהיה מותר].</w:t>
      </w:r>
    </w:p>
    <w:p w14:paraId="5FB0A755" w14:textId="77777777" w:rsidR="003D504D" w:rsidRDefault="003D504D" w:rsidP="003D504D">
      <w:pPr>
        <w:pStyle w:val="a3"/>
        <w:rPr>
          <w:rtl/>
        </w:rPr>
      </w:pPr>
      <w:bookmarkStart w:id="23036" w:name="_Toc3535824"/>
      <w:bookmarkStart w:id="23037" w:name="_Toc3543201"/>
      <w:bookmarkStart w:id="23038" w:name="_Toc3550912"/>
      <w:bookmarkStart w:id="23039" w:name="_Toc3551068"/>
      <w:bookmarkStart w:id="23040" w:name="_Toc19391877"/>
      <w:bookmarkStart w:id="23041" w:name="_Toc19395374"/>
      <w:r>
        <w:rPr>
          <w:rFonts w:hint="cs"/>
          <w:rtl/>
        </w:rPr>
        <w:t>ביאור הרמב"ן דבמקום שנשחטה האם לא היה שם חלב מעיקרא ובלא נשחטה נאסר משעת יצירתו</w:t>
      </w:r>
      <w:bookmarkEnd w:id="23036"/>
      <w:bookmarkEnd w:id="23037"/>
      <w:bookmarkEnd w:id="23038"/>
      <w:bookmarkEnd w:id="23039"/>
      <w:bookmarkEnd w:id="23040"/>
      <w:bookmarkEnd w:id="23041"/>
    </w:p>
    <w:p w14:paraId="171051E8" w14:textId="77777777" w:rsidR="003D504D" w:rsidRDefault="003D504D" w:rsidP="00223668">
      <w:pPr>
        <w:pStyle w:val="a0"/>
        <w:rPr>
          <w:rtl/>
        </w:rPr>
      </w:pPr>
      <w:r>
        <w:rPr>
          <w:rFonts w:hint="cs"/>
          <w:rtl/>
        </w:rPr>
        <w:t xml:space="preserve">אלא ביאר </w:t>
      </w:r>
      <w:r w:rsidRPr="00A33ACD">
        <w:rPr>
          <w:rStyle w:val="af9"/>
          <w:rFonts w:hint="cs"/>
          <w:rtl/>
        </w:rPr>
        <w:t>הרמב"ן לקמן</w:t>
      </w:r>
      <w:r>
        <w:rPr>
          <w:rFonts w:hint="cs"/>
          <w:rtl/>
        </w:rPr>
        <w:t xml:space="preserve"> דבמקום שנשחטה האם והותר החלב, א"כ אין לו שם חלב אף כשהיה במעי אמו</w:t>
      </w:r>
      <w:r w:rsidRPr="007F35F7">
        <w:rPr>
          <w:rFonts w:hint="cs"/>
          <w:rtl/>
        </w:rPr>
        <w:t xml:space="preserve"> </w:t>
      </w:r>
      <w:r>
        <w:rPr>
          <w:rFonts w:hint="cs"/>
          <w:rtl/>
        </w:rPr>
        <w:t>דאינו עומד שיושיט ידו למעי הבהמה ויתלוש את החלב, אלא הוא עומד לשחיטה, והוא ירך אמו ולא חל עליו שם חלב כלל, ובמקום שלא נשחטה האם, היה החלב אסור משעה שנוצר,</w:t>
      </w:r>
      <w:r w:rsidRPr="00A33ACD">
        <w:rPr>
          <w:rStyle w:val="afb"/>
          <w:rFonts w:hint="cs"/>
          <w:rtl/>
        </w:rPr>
        <w:t xml:space="preserve"> [דהיינו אף במעי אמו, יש לו שם חלב ואם יתלשנו יהיה חייב], </w:t>
      </w:r>
      <w:r>
        <w:rPr>
          <w:rFonts w:hint="cs"/>
          <w:rtl/>
        </w:rPr>
        <w:t>וכיון שלא נשחטה האם לא הייתה לו שעת הכושר כלל.</w:t>
      </w:r>
    </w:p>
    <w:p w14:paraId="6822E594" w14:textId="77777777" w:rsidR="003D504D" w:rsidRDefault="003D504D" w:rsidP="00BF39B2">
      <w:pPr>
        <w:pStyle w:val="1"/>
        <w:rPr>
          <w:rtl/>
        </w:rPr>
      </w:pPr>
      <w:bookmarkStart w:id="23042" w:name="_Toc3535825"/>
      <w:bookmarkStart w:id="23043" w:name="_Toc3543202"/>
      <w:bookmarkStart w:id="23044" w:name="_Toc3550913"/>
      <w:bookmarkStart w:id="23045" w:name="_Toc3551069"/>
      <w:bookmarkStart w:id="23046" w:name="_Toc19391878"/>
      <w:bookmarkStart w:id="23047" w:name="_Toc19395375"/>
      <w:r>
        <w:rPr>
          <w:rFonts w:hint="cs"/>
          <w:rtl/>
        </w:rPr>
        <w:t>ביאורי הראש יוסף ברשב"א</w:t>
      </w:r>
      <w:bookmarkEnd w:id="23021"/>
      <w:bookmarkEnd w:id="23022"/>
      <w:bookmarkEnd w:id="23023"/>
      <w:bookmarkEnd w:id="23042"/>
      <w:bookmarkEnd w:id="23043"/>
      <w:bookmarkEnd w:id="23044"/>
      <w:bookmarkEnd w:id="23045"/>
      <w:bookmarkEnd w:id="23046"/>
      <w:bookmarkEnd w:id="23047"/>
    </w:p>
    <w:p w14:paraId="1DCE56BA" w14:textId="77777777" w:rsidR="003D504D" w:rsidRPr="00D0026D" w:rsidRDefault="003D504D" w:rsidP="003D504D">
      <w:pPr>
        <w:pStyle w:val="a3"/>
        <w:rPr>
          <w:rtl/>
        </w:rPr>
      </w:pPr>
      <w:bookmarkStart w:id="23048" w:name="_Toc3484973"/>
      <w:bookmarkStart w:id="23049" w:name="_Toc3535826"/>
      <w:bookmarkStart w:id="23050" w:name="_Toc3543203"/>
      <w:bookmarkStart w:id="23051" w:name="_Toc3550914"/>
      <w:bookmarkStart w:id="23052" w:name="_Toc3551070"/>
      <w:bookmarkStart w:id="23053" w:name="_Toc19391879"/>
      <w:bookmarkStart w:id="23054" w:name="_Toc19395376"/>
      <w:r>
        <w:rPr>
          <w:rFonts w:hint="cs"/>
          <w:rtl/>
        </w:rPr>
        <w:t>ביאור הראש יוסף ברשב"א דלריו"ח אף דנקרא שור יש בו ובחלבו היתר כל בבהמה תאכלו</w:t>
      </w:r>
      <w:bookmarkEnd w:id="23048"/>
      <w:bookmarkEnd w:id="23049"/>
      <w:bookmarkEnd w:id="23050"/>
      <w:bookmarkEnd w:id="23051"/>
      <w:bookmarkEnd w:id="23052"/>
      <w:bookmarkEnd w:id="23053"/>
      <w:bookmarkEnd w:id="23054"/>
    </w:p>
    <w:p w14:paraId="0FE1EFFF" w14:textId="77777777" w:rsidR="003D504D" w:rsidRDefault="003D504D" w:rsidP="00223668">
      <w:pPr>
        <w:pStyle w:val="a0"/>
        <w:rPr>
          <w:rtl/>
        </w:rPr>
      </w:pPr>
      <w:r>
        <w:rPr>
          <w:rFonts w:hint="cs"/>
          <w:rtl/>
        </w:rPr>
        <w:t xml:space="preserve">וביאר </w:t>
      </w:r>
      <w:r w:rsidRPr="003B1E87">
        <w:rPr>
          <w:rStyle w:val="af9"/>
          <w:rFonts w:hint="cs"/>
          <w:rtl/>
        </w:rPr>
        <w:t>הראש יוסף לקמן</w:t>
      </w:r>
      <w:r>
        <w:rPr>
          <w:rFonts w:hint="cs"/>
          <w:rtl/>
        </w:rPr>
        <w:t xml:space="preserve"> </w:t>
      </w:r>
      <w:r w:rsidRPr="008A04D8">
        <w:rPr>
          <w:rStyle w:val="af7"/>
          <w:rFonts w:eastAsia="Guttman Hodes" w:hint="cs"/>
          <w:rtl/>
        </w:rPr>
        <w:t>(צב: ד"ה שיטה הב')</w:t>
      </w:r>
      <w:r>
        <w:rPr>
          <w:rFonts w:hint="cs"/>
          <w:rtl/>
        </w:rPr>
        <w:t xml:space="preserve"> דס"ל </w:t>
      </w:r>
      <w:r w:rsidRPr="003B1E87">
        <w:rPr>
          <w:rStyle w:val="af9"/>
          <w:rFonts w:hint="cs"/>
          <w:rtl/>
        </w:rPr>
        <w:t>להרשב"א</w:t>
      </w:r>
      <w:r>
        <w:rPr>
          <w:rFonts w:hint="cs"/>
          <w:rtl/>
        </w:rPr>
        <w:t xml:space="preserve"> </w:t>
      </w:r>
      <w:r w:rsidRPr="00924388">
        <w:rPr>
          <w:rStyle w:val="af7"/>
          <w:rFonts w:eastAsia="Guttman Hodes" w:hint="cs"/>
          <w:rtl/>
        </w:rPr>
        <w:t xml:space="preserve">(עי' אות </w:t>
      </w:r>
      <w:r w:rsidRPr="00924388">
        <w:rPr>
          <w:rStyle w:val="af7"/>
          <w:rFonts w:eastAsia="Guttman Hodes"/>
          <w:rtl/>
        </w:rPr>
        <w:fldChar w:fldCharType="begin"/>
      </w:r>
      <w:r w:rsidRPr="00924388">
        <w:rPr>
          <w:rStyle w:val="af7"/>
          <w:rFonts w:eastAsia="Guttman Hodes"/>
          <w:rtl/>
        </w:rPr>
        <w:instrText xml:space="preserve"> </w:instrText>
      </w:r>
      <w:r w:rsidRPr="00924388">
        <w:rPr>
          <w:rStyle w:val="af7"/>
          <w:rFonts w:eastAsia="Guttman Hodes" w:hint="cs"/>
        </w:rPr>
        <w:instrText>REF</w:instrText>
      </w:r>
      <w:r w:rsidRPr="00924388">
        <w:rPr>
          <w:rStyle w:val="af7"/>
          <w:rFonts w:eastAsia="Guttman Hodes" w:hint="cs"/>
          <w:rtl/>
        </w:rPr>
        <w:instrText xml:space="preserve"> _</w:instrText>
      </w:r>
      <w:r w:rsidRPr="00924388">
        <w:rPr>
          <w:rStyle w:val="af7"/>
          <w:rFonts w:eastAsia="Guttman Hodes" w:hint="cs"/>
        </w:rPr>
        <w:instrText>Ref3483361 \r \h</w:instrText>
      </w:r>
      <w:r w:rsidRPr="00924388">
        <w:rPr>
          <w:rStyle w:val="af7"/>
          <w:rFonts w:eastAsia="Guttman Hodes"/>
          <w:rtl/>
        </w:rPr>
        <w:instrText xml:space="preserve">  \* </w:instrText>
      </w:r>
      <w:r w:rsidRPr="00924388">
        <w:rPr>
          <w:rStyle w:val="af7"/>
          <w:rFonts w:eastAsia="Guttman Hodes"/>
        </w:rPr>
        <w:instrText>MERGEFORMAT</w:instrText>
      </w:r>
      <w:r w:rsidRPr="00924388">
        <w:rPr>
          <w:rStyle w:val="af7"/>
          <w:rFonts w:eastAsia="Guttman Hodes"/>
          <w:rtl/>
        </w:rPr>
        <w:instrText xml:space="preserve"> </w:instrText>
      </w:r>
      <w:r w:rsidRPr="00924388">
        <w:rPr>
          <w:rStyle w:val="af7"/>
          <w:rFonts w:eastAsia="Guttman Hodes"/>
          <w:rtl/>
        </w:rPr>
      </w:r>
      <w:r w:rsidRPr="00924388">
        <w:rPr>
          <w:rStyle w:val="af7"/>
          <w:rFonts w:eastAsia="Guttman Hodes"/>
          <w:rtl/>
        </w:rPr>
        <w:fldChar w:fldCharType="separate"/>
      </w:r>
      <w:r w:rsidR="00345400">
        <w:rPr>
          <w:rStyle w:val="af7"/>
          <w:rFonts w:eastAsia="Guttman Hodes"/>
          <w:cs/>
        </w:rPr>
        <w:t>‎</w:t>
      </w:r>
      <w:r w:rsidR="00345400">
        <w:rPr>
          <w:rStyle w:val="af7"/>
          <w:rFonts w:eastAsia="Guttman Hodes"/>
          <w:rtl/>
        </w:rPr>
        <w:t>סו)</w:t>
      </w:r>
      <w:r w:rsidRPr="00924388">
        <w:rPr>
          <w:rStyle w:val="af7"/>
          <w:rFonts w:eastAsia="Guttman Hodes"/>
          <w:rtl/>
        </w:rPr>
        <w:fldChar w:fldCharType="end"/>
      </w:r>
      <w:r w:rsidRPr="00924388">
        <w:rPr>
          <w:rStyle w:val="af7"/>
          <w:rFonts w:eastAsia="Guttman Hodes" w:hint="cs"/>
          <w:rtl/>
        </w:rPr>
        <w:t xml:space="preserve"> </w:t>
      </w:r>
      <w:r w:rsidRPr="00924388">
        <w:rPr>
          <w:rFonts w:hint="cs"/>
          <w:rtl/>
        </w:rPr>
        <w:t>דאף לר"י חדשים גרמי להחשיבו כשור גם לענין איסור חלב, וגם דקרינן ביה "וזבחת מב</w:t>
      </w:r>
      <w:r>
        <w:rPr>
          <w:rFonts w:hint="cs"/>
          <w:rtl/>
        </w:rPr>
        <w:t xml:space="preserve">קרך", אך מ"מ ס"ל לר"י דחלבו מותר מהיתר "כל בבהמה תאכלו", ולכן אמר ריו"ח דבתלש חלב חדשים לבד גרמי, דהוא נקרא שור ולא הותר בשחיטת אמו, אך כתב </w:t>
      </w:r>
      <w:r w:rsidRPr="008A04D8">
        <w:rPr>
          <w:rStyle w:val="af9"/>
          <w:rFonts w:hint="cs"/>
          <w:rtl/>
        </w:rPr>
        <w:t>הראש יוסף</w:t>
      </w:r>
      <w:r>
        <w:rPr>
          <w:rFonts w:hint="cs"/>
          <w:rtl/>
        </w:rPr>
        <w:t xml:space="preserve"> דאם הניח את החלב של העובר בתוך הבהמה ושחטה, פשיטא דהחלב מותר דהוא בכלל היתר "כל בבהמה תאכלו", </w:t>
      </w:r>
      <w:r w:rsidRPr="00924388">
        <w:rPr>
          <w:rStyle w:val="afb"/>
          <w:rFonts w:hint="cs"/>
          <w:rtl/>
        </w:rPr>
        <w:t xml:space="preserve">[כדכתב </w:t>
      </w:r>
      <w:r w:rsidRPr="00924388">
        <w:rPr>
          <w:rStyle w:val="affa"/>
          <w:rFonts w:hint="cs"/>
          <w:rtl/>
        </w:rPr>
        <w:t xml:space="preserve">הכס"מ </w:t>
      </w:r>
      <w:r w:rsidRPr="00924388">
        <w:rPr>
          <w:rStyle w:val="aff6"/>
          <w:rFonts w:hint="cs"/>
          <w:rtl/>
        </w:rPr>
        <w:t>(מאכ"א פ"ז ה"ד)</w:t>
      </w:r>
      <w:r w:rsidRPr="00924388">
        <w:rPr>
          <w:rStyle w:val="afb"/>
          <w:rFonts w:hint="cs"/>
          <w:rtl/>
        </w:rPr>
        <w:t xml:space="preserve"> בדעת </w:t>
      </w:r>
      <w:r w:rsidRPr="00924388">
        <w:rPr>
          <w:rStyle w:val="affa"/>
          <w:rFonts w:hint="cs"/>
          <w:rtl/>
        </w:rPr>
        <w:t>הרמב"ם והרשב"א והרא"ש והר"ן</w:t>
      </w:r>
      <w:r w:rsidRPr="00924388">
        <w:rPr>
          <w:rStyle w:val="afb"/>
          <w:rFonts w:hint="cs"/>
          <w:rtl/>
        </w:rPr>
        <w:t>]</w:t>
      </w:r>
      <w:r>
        <w:rPr>
          <w:rFonts w:hint="cs"/>
          <w:rtl/>
        </w:rPr>
        <w:t>.</w:t>
      </w:r>
    </w:p>
    <w:p w14:paraId="69C0B59E" w14:textId="77777777" w:rsidR="003D504D" w:rsidRPr="00660D01" w:rsidRDefault="003D504D" w:rsidP="003D504D">
      <w:pPr>
        <w:pStyle w:val="a3"/>
      </w:pPr>
      <w:bookmarkStart w:id="23055" w:name="_Toc3484974"/>
      <w:bookmarkStart w:id="23056" w:name="_Toc3535827"/>
      <w:bookmarkStart w:id="23057" w:name="_Toc3543204"/>
      <w:bookmarkStart w:id="23058" w:name="_Toc3550915"/>
      <w:bookmarkStart w:id="23059" w:name="_Toc3551071"/>
      <w:bookmarkStart w:id="23060" w:name="_Toc19391880"/>
      <w:bookmarkStart w:id="23061" w:name="_Toc19395377"/>
      <w:r>
        <w:rPr>
          <w:rFonts w:hint="cs"/>
          <w:rtl/>
        </w:rPr>
        <w:t>ביאור הראש יוסף בראיית הרשב"א מגיד דלא כתיב ביה "שור" ואפ"ה מותר בשחיטה</w:t>
      </w:r>
      <w:bookmarkEnd w:id="23055"/>
      <w:bookmarkEnd w:id="23056"/>
      <w:bookmarkEnd w:id="23057"/>
      <w:bookmarkEnd w:id="23058"/>
      <w:bookmarkEnd w:id="23059"/>
      <w:bookmarkEnd w:id="23060"/>
      <w:bookmarkEnd w:id="23061"/>
    </w:p>
    <w:p w14:paraId="21046024" w14:textId="77777777" w:rsidR="003D504D" w:rsidRDefault="003D504D" w:rsidP="00223668">
      <w:pPr>
        <w:pStyle w:val="a0"/>
        <w:rPr>
          <w:rtl/>
        </w:rPr>
      </w:pPr>
      <w:r>
        <w:rPr>
          <w:rFonts w:hint="cs"/>
          <w:rtl/>
        </w:rPr>
        <w:t xml:space="preserve">ובמה שהביא </w:t>
      </w:r>
      <w:r w:rsidRPr="00691F8A">
        <w:rPr>
          <w:rStyle w:val="af9"/>
          <w:rFonts w:hint="cs"/>
          <w:rtl/>
        </w:rPr>
        <w:t>הרשב"א</w:t>
      </w:r>
      <w:r>
        <w:rPr>
          <w:rFonts w:hint="cs"/>
          <w:rtl/>
        </w:rPr>
        <w:t xml:space="preserve"> </w:t>
      </w:r>
      <w:r w:rsidRPr="00D45EC1">
        <w:rPr>
          <w:rStyle w:val="af7"/>
          <w:rFonts w:eastAsia="Guttman Hodes" w:hint="cs"/>
          <w:rtl/>
        </w:rPr>
        <w:t xml:space="preserve">(עי' אות </w:t>
      </w:r>
      <w:r w:rsidRPr="00D45EC1">
        <w:rPr>
          <w:rStyle w:val="af7"/>
          <w:rFonts w:eastAsia="Guttman Hodes"/>
          <w:rtl/>
        </w:rPr>
        <w:fldChar w:fldCharType="begin"/>
      </w:r>
      <w:r w:rsidRPr="00D45EC1">
        <w:rPr>
          <w:rStyle w:val="af7"/>
          <w:rFonts w:eastAsia="Guttman Hodes"/>
          <w:rtl/>
        </w:rPr>
        <w:instrText xml:space="preserve"> </w:instrText>
      </w:r>
      <w:r w:rsidRPr="00D45EC1">
        <w:rPr>
          <w:rStyle w:val="af7"/>
          <w:rFonts w:eastAsia="Guttman Hodes" w:hint="cs"/>
        </w:rPr>
        <w:instrText>REF</w:instrText>
      </w:r>
      <w:r w:rsidRPr="00D45EC1">
        <w:rPr>
          <w:rStyle w:val="af7"/>
          <w:rFonts w:eastAsia="Guttman Hodes" w:hint="cs"/>
          <w:rtl/>
        </w:rPr>
        <w:instrText xml:space="preserve"> _</w:instrText>
      </w:r>
      <w:r w:rsidRPr="00D45EC1">
        <w:rPr>
          <w:rStyle w:val="af7"/>
          <w:rFonts w:eastAsia="Guttman Hodes" w:hint="cs"/>
        </w:rPr>
        <w:instrText>Ref3483599 \r \h</w:instrText>
      </w:r>
      <w:r w:rsidRPr="00D45EC1">
        <w:rPr>
          <w:rStyle w:val="af7"/>
          <w:rFonts w:eastAsia="Guttman Hodes"/>
          <w:rtl/>
        </w:rPr>
        <w:instrText xml:space="preserve"> </w:instrText>
      </w:r>
      <w:r w:rsidRPr="00D45EC1">
        <w:rPr>
          <w:rStyle w:val="af7"/>
          <w:rFonts w:eastAsia="Guttman Hodes"/>
          <w:rtl/>
        </w:rPr>
      </w:r>
      <w:r w:rsidRPr="00D45EC1">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D45EC1">
        <w:rPr>
          <w:rStyle w:val="af7"/>
          <w:rFonts w:eastAsia="Guttman Hodes"/>
          <w:rtl/>
        </w:rPr>
        <w:fldChar w:fldCharType="end"/>
      </w:r>
      <w:r>
        <w:rPr>
          <w:rFonts w:hint="cs"/>
          <w:rtl/>
        </w:rPr>
        <w:t xml:space="preserve"> ראיה מדין הגיד, כתב </w:t>
      </w:r>
      <w:r w:rsidRPr="008A04D8">
        <w:rPr>
          <w:rStyle w:val="af9"/>
          <w:rFonts w:hint="cs"/>
          <w:rtl/>
        </w:rPr>
        <w:t>הראש יוסף</w:t>
      </w:r>
      <w:r w:rsidRPr="00D45EC1">
        <w:rPr>
          <w:rStyle w:val="af9"/>
          <w:rFonts w:hint="cs"/>
          <w:rtl/>
        </w:rPr>
        <w:t xml:space="preserve"> </w:t>
      </w:r>
      <w:r w:rsidRPr="003B1E87">
        <w:rPr>
          <w:rStyle w:val="af9"/>
          <w:rFonts w:hint="cs"/>
          <w:rtl/>
        </w:rPr>
        <w:t>לקמן</w:t>
      </w:r>
      <w:r>
        <w:rPr>
          <w:rFonts w:hint="cs"/>
          <w:rtl/>
        </w:rPr>
        <w:t xml:space="preserve"> דכיון דבגיד לא כתיב שור או כשב, וא"כ לכו"ע חדשים גרמי, ואפ"ה מודה ר"י דהוא בכלל היתר "כל בבהמה תאכלו", ומוכח דאף בחלב ההיתר לר"י הוא מהיתר "כל בבהמה תאכלו", ולא מחמת דאינו נקרא שור.</w:t>
      </w:r>
    </w:p>
    <w:p w14:paraId="3FE91494" w14:textId="77777777" w:rsidR="003D504D" w:rsidRDefault="003D504D" w:rsidP="003D504D">
      <w:pPr>
        <w:pStyle w:val="a3"/>
        <w:rPr>
          <w:rtl/>
        </w:rPr>
      </w:pPr>
      <w:bookmarkStart w:id="23062" w:name="_Toc3484975"/>
      <w:bookmarkStart w:id="23063" w:name="_Toc3535828"/>
      <w:bookmarkStart w:id="23064" w:name="_Toc3543205"/>
      <w:bookmarkStart w:id="23065" w:name="_Toc3550916"/>
      <w:bookmarkStart w:id="23066" w:name="_Toc3551072"/>
      <w:bookmarkStart w:id="23067" w:name="_Toc19391881"/>
      <w:bookmarkStart w:id="23068" w:name="_Toc19395378"/>
      <w:r>
        <w:rPr>
          <w:rFonts w:hint="cs"/>
          <w:rtl/>
        </w:rPr>
        <w:t>הביאור הא' הראש יוסף ברשב"א דלריו"ח לא חל איסור חלב דאפשר להתירו בשחיטה</w:t>
      </w:r>
      <w:bookmarkEnd w:id="23062"/>
      <w:bookmarkEnd w:id="23063"/>
      <w:bookmarkEnd w:id="23064"/>
      <w:bookmarkEnd w:id="23065"/>
      <w:bookmarkEnd w:id="23066"/>
      <w:bookmarkEnd w:id="23067"/>
      <w:bookmarkEnd w:id="23068"/>
    </w:p>
    <w:p w14:paraId="6BC740E3" w14:textId="77777777" w:rsidR="003D504D" w:rsidRDefault="003D504D" w:rsidP="00223668">
      <w:pPr>
        <w:pStyle w:val="a0"/>
        <w:rPr>
          <w:rtl/>
        </w:rPr>
      </w:pPr>
      <w:r w:rsidRPr="00445CE8">
        <w:rPr>
          <w:rFonts w:hint="cs"/>
          <w:rtl/>
        </w:rPr>
        <w:t xml:space="preserve">ובמה שכתב </w:t>
      </w:r>
      <w:r w:rsidRPr="00445CE8">
        <w:rPr>
          <w:rStyle w:val="af9"/>
          <w:rFonts w:hint="cs"/>
          <w:rtl/>
        </w:rPr>
        <w:t>הרשב"א</w:t>
      </w:r>
      <w:r w:rsidRPr="00445CE8">
        <w:rPr>
          <w:rFonts w:hint="cs"/>
          <w:rtl/>
        </w:rPr>
        <w:t xml:space="preserve"> </w:t>
      </w:r>
      <w:r w:rsidRPr="00445CE8">
        <w:rPr>
          <w:rStyle w:val="af7"/>
          <w:rFonts w:eastAsia="Guttman Hodes" w:hint="cs"/>
          <w:rtl/>
        </w:rPr>
        <w:t xml:space="preserve">(עי' אות </w:t>
      </w:r>
      <w:r w:rsidRPr="00445CE8">
        <w:rPr>
          <w:rStyle w:val="af7"/>
          <w:rFonts w:eastAsia="Guttman Hodes"/>
          <w:rtl/>
        </w:rPr>
        <w:fldChar w:fldCharType="begin"/>
      </w:r>
      <w:r w:rsidRPr="00445CE8">
        <w:rPr>
          <w:rStyle w:val="af7"/>
          <w:rFonts w:eastAsia="Guttman Hodes"/>
          <w:rtl/>
        </w:rPr>
        <w:instrText xml:space="preserve"> </w:instrText>
      </w:r>
      <w:r w:rsidRPr="00445CE8">
        <w:rPr>
          <w:rStyle w:val="af7"/>
          <w:rFonts w:eastAsia="Guttman Hodes" w:hint="cs"/>
        </w:rPr>
        <w:instrText>REF</w:instrText>
      </w:r>
      <w:r w:rsidRPr="00445CE8">
        <w:rPr>
          <w:rStyle w:val="af7"/>
          <w:rFonts w:eastAsia="Guttman Hodes" w:hint="cs"/>
          <w:rtl/>
        </w:rPr>
        <w:instrText xml:space="preserve"> _</w:instrText>
      </w:r>
      <w:r w:rsidRPr="00445CE8">
        <w:rPr>
          <w:rStyle w:val="af7"/>
          <w:rFonts w:eastAsia="Guttman Hodes" w:hint="cs"/>
        </w:rPr>
        <w:instrText>Ref3484053 \r \h</w:instrText>
      </w:r>
      <w:r w:rsidRPr="00445CE8">
        <w:rPr>
          <w:rStyle w:val="af7"/>
          <w:rFonts w:eastAsia="Guttman Hodes"/>
          <w:rtl/>
        </w:rPr>
        <w:instrText xml:space="preserve"> </w:instrText>
      </w:r>
      <w:r w:rsidRPr="00445CE8">
        <w:rPr>
          <w:rStyle w:val="af7"/>
          <w:rFonts w:eastAsia="Guttman Hodes"/>
          <w:rtl/>
        </w:rPr>
      </w:r>
      <w:r w:rsidRPr="00445CE8">
        <w:rPr>
          <w:rStyle w:val="af7"/>
          <w:rFonts w:eastAsia="Guttman Hodes"/>
          <w:rtl/>
        </w:rPr>
        <w:fldChar w:fldCharType="separate"/>
      </w:r>
      <w:r w:rsidR="00345400">
        <w:rPr>
          <w:rStyle w:val="af7"/>
          <w:rFonts w:eastAsia="Guttman Hodes"/>
          <w:cs/>
        </w:rPr>
        <w:t>‎</w:t>
      </w:r>
      <w:r w:rsidR="00345400">
        <w:rPr>
          <w:rStyle w:val="af7"/>
          <w:rFonts w:eastAsia="Guttman Hodes"/>
          <w:rtl/>
        </w:rPr>
        <w:t>סח)</w:t>
      </w:r>
      <w:r w:rsidRPr="00445CE8">
        <w:rPr>
          <w:rStyle w:val="af7"/>
          <w:rFonts w:eastAsia="Guttman Hodes"/>
          <w:rtl/>
        </w:rPr>
        <w:fldChar w:fldCharType="end"/>
      </w:r>
      <w:r w:rsidRPr="00445CE8">
        <w:rPr>
          <w:rFonts w:hint="cs"/>
          <w:rtl/>
        </w:rPr>
        <w:t xml:space="preserve"> דאף לריו"ח לא חל איסור חלב עד שיצא לאויר העולם, כתב </w:t>
      </w:r>
      <w:r w:rsidRPr="00445CE8">
        <w:rPr>
          <w:rStyle w:val="af9"/>
          <w:rFonts w:hint="cs"/>
          <w:rtl/>
        </w:rPr>
        <w:t>הראש יוסף</w:t>
      </w:r>
      <w:r w:rsidRPr="00445CE8">
        <w:rPr>
          <w:rFonts w:hint="cs"/>
          <w:rtl/>
        </w:rPr>
        <w:t xml:space="preserve"> דאפשר לבאר דכוונתו דכיון שהחלב יכול להיות מותר בשחיטת אמו חשיב שהאיסור חל בשעת יציאתו לאויר העולם, וכדכתב </w:t>
      </w:r>
      <w:r w:rsidRPr="00445CE8">
        <w:rPr>
          <w:rStyle w:val="af9"/>
          <w:rFonts w:hint="cs"/>
          <w:rtl/>
        </w:rPr>
        <w:t>הרשב"א</w:t>
      </w:r>
      <w:r w:rsidRPr="00445CE8">
        <w:rPr>
          <w:rFonts w:hint="cs"/>
          <w:rtl/>
        </w:rPr>
        <w:t xml:space="preserve"> </w:t>
      </w:r>
      <w:r w:rsidRPr="00445CE8">
        <w:rPr>
          <w:rStyle w:val="af7"/>
          <w:rFonts w:eastAsia="Guttman Hodes" w:hint="cs"/>
          <w:rtl/>
        </w:rPr>
        <w:t xml:space="preserve">(עי' אות </w:t>
      </w:r>
      <w:r w:rsidRPr="00445CE8">
        <w:rPr>
          <w:rStyle w:val="af7"/>
          <w:rFonts w:eastAsia="Guttman Hodes"/>
          <w:rtl/>
        </w:rPr>
        <w:fldChar w:fldCharType="begin"/>
      </w:r>
      <w:r w:rsidRPr="00445CE8">
        <w:rPr>
          <w:rStyle w:val="af7"/>
          <w:rFonts w:eastAsia="Guttman Hodes"/>
          <w:rtl/>
        </w:rPr>
        <w:instrText xml:space="preserve"> </w:instrText>
      </w:r>
      <w:r w:rsidRPr="00445CE8">
        <w:rPr>
          <w:rStyle w:val="af7"/>
          <w:rFonts w:eastAsia="Guttman Hodes" w:hint="cs"/>
        </w:rPr>
        <w:instrText>REF</w:instrText>
      </w:r>
      <w:r w:rsidRPr="00445CE8">
        <w:rPr>
          <w:rStyle w:val="af7"/>
          <w:rFonts w:eastAsia="Guttman Hodes" w:hint="cs"/>
          <w:rtl/>
        </w:rPr>
        <w:instrText xml:space="preserve"> _</w:instrText>
      </w:r>
      <w:r w:rsidRPr="00445CE8">
        <w:rPr>
          <w:rStyle w:val="af7"/>
          <w:rFonts w:eastAsia="Guttman Hodes" w:hint="cs"/>
        </w:rPr>
        <w:instrText>Ref2930209 \r \h</w:instrText>
      </w:r>
      <w:r w:rsidRPr="00445CE8">
        <w:rPr>
          <w:rStyle w:val="af7"/>
          <w:rFonts w:eastAsia="Guttman Hodes"/>
          <w:rtl/>
        </w:rPr>
        <w:instrText xml:space="preserve">  \* </w:instrText>
      </w:r>
      <w:r w:rsidRPr="00445CE8">
        <w:rPr>
          <w:rStyle w:val="af7"/>
          <w:rFonts w:eastAsia="Guttman Hodes"/>
        </w:rPr>
        <w:instrText>MERGEFORMAT</w:instrText>
      </w:r>
      <w:r w:rsidRPr="00445CE8">
        <w:rPr>
          <w:rStyle w:val="af7"/>
          <w:rFonts w:eastAsia="Guttman Hodes"/>
          <w:rtl/>
        </w:rPr>
        <w:instrText xml:space="preserve"> </w:instrText>
      </w:r>
      <w:r w:rsidRPr="00445CE8">
        <w:rPr>
          <w:rStyle w:val="af7"/>
          <w:rFonts w:eastAsia="Guttman Hodes"/>
          <w:rtl/>
        </w:rPr>
      </w:r>
      <w:r w:rsidRPr="00445CE8">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sidRPr="00445CE8">
        <w:rPr>
          <w:rStyle w:val="af7"/>
          <w:rFonts w:eastAsia="Guttman Hodes"/>
          <w:rtl/>
        </w:rPr>
        <w:fldChar w:fldCharType="end"/>
      </w:r>
      <w:r>
        <w:rPr>
          <w:rFonts w:hint="cs"/>
          <w:rtl/>
        </w:rPr>
        <w:t>.</w:t>
      </w:r>
    </w:p>
    <w:p w14:paraId="56113D79" w14:textId="77777777" w:rsidR="003D504D" w:rsidRPr="00322921" w:rsidRDefault="003D504D" w:rsidP="003D504D">
      <w:pPr>
        <w:pStyle w:val="a3"/>
      </w:pPr>
      <w:bookmarkStart w:id="23069" w:name="_Toc3484976"/>
      <w:bookmarkStart w:id="23070" w:name="_Toc3535829"/>
      <w:bookmarkStart w:id="23071" w:name="_Toc3543206"/>
      <w:bookmarkStart w:id="23072" w:name="_Toc3550917"/>
      <w:bookmarkStart w:id="23073" w:name="_Toc3551073"/>
      <w:bookmarkStart w:id="23074" w:name="_Toc19391882"/>
      <w:bookmarkStart w:id="23075" w:name="_Toc19395379"/>
      <w:r>
        <w:rPr>
          <w:rFonts w:hint="cs"/>
          <w:rtl/>
        </w:rPr>
        <w:t>הביאור הב' בראש יוסף ברשב"א דלריו"ח בעינן אוירא דעלמא והיתר החלב אינו מגזיה"כ</w:t>
      </w:r>
      <w:bookmarkEnd w:id="23069"/>
      <w:bookmarkEnd w:id="23070"/>
      <w:bookmarkEnd w:id="23071"/>
      <w:bookmarkEnd w:id="23072"/>
      <w:bookmarkEnd w:id="23073"/>
      <w:bookmarkEnd w:id="23074"/>
      <w:bookmarkEnd w:id="23075"/>
    </w:p>
    <w:p w14:paraId="6E703248" w14:textId="77777777" w:rsidR="003D504D" w:rsidRDefault="003D504D" w:rsidP="00223668">
      <w:pPr>
        <w:pStyle w:val="a0"/>
        <w:rPr>
          <w:rtl/>
        </w:rPr>
      </w:pPr>
      <w:r w:rsidRPr="00445CE8">
        <w:rPr>
          <w:rFonts w:hint="cs"/>
          <w:rtl/>
        </w:rPr>
        <w:t>ו</w:t>
      </w:r>
      <w:r>
        <w:rPr>
          <w:rFonts w:hint="cs"/>
          <w:rtl/>
        </w:rPr>
        <w:t xml:space="preserve">עוד </w:t>
      </w:r>
      <w:r w:rsidRPr="00445CE8">
        <w:rPr>
          <w:rFonts w:hint="cs"/>
          <w:rtl/>
        </w:rPr>
        <w:t xml:space="preserve">כתב </w:t>
      </w:r>
      <w:r w:rsidRPr="00445CE8">
        <w:rPr>
          <w:rStyle w:val="af9"/>
          <w:rFonts w:hint="cs"/>
          <w:rtl/>
        </w:rPr>
        <w:t>הראש יוסף</w:t>
      </w:r>
      <w:r>
        <w:rPr>
          <w:rFonts w:hint="cs"/>
          <w:rtl/>
        </w:rPr>
        <w:t xml:space="preserve"> ד</w:t>
      </w:r>
      <w:r w:rsidRPr="00445CE8">
        <w:rPr>
          <w:rFonts w:hint="cs"/>
          <w:rtl/>
        </w:rPr>
        <w:t>אפשר לבאר דכוונת</w:t>
      </w:r>
      <w:r>
        <w:rPr>
          <w:rFonts w:hint="cs"/>
          <w:rtl/>
        </w:rPr>
        <w:t xml:space="preserve"> </w:t>
      </w:r>
      <w:r w:rsidRPr="00535064">
        <w:rPr>
          <w:rStyle w:val="af9"/>
          <w:rFonts w:hint="cs"/>
          <w:rtl/>
        </w:rPr>
        <w:t>הרשב"א</w:t>
      </w:r>
      <w:r>
        <w:rPr>
          <w:rFonts w:hint="cs"/>
          <w:rtl/>
        </w:rPr>
        <w:t xml:space="preserve"> לומר דבאמת איסור חלב לא חל כלל עד שיצא לאויר העולם, ואף דלא בעינן אויר לידה, מ"מ בעינן שיצא לאויר העולם, </w:t>
      </w:r>
      <w:r w:rsidRPr="00445CE8">
        <w:rPr>
          <w:rStyle w:val="afb"/>
          <w:rFonts w:hint="cs"/>
          <w:rtl/>
        </w:rPr>
        <w:t xml:space="preserve">[כדעת </w:t>
      </w:r>
      <w:r w:rsidRPr="00445CE8">
        <w:rPr>
          <w:rStyle w:val="affa"/>
          <w:rFonts w:hint="cs"/>
          <w:rtl/>
        </w:rPr>
        <w:t>התוס'</w:t>
      </w:r>
      <w:r w:rsidRPr="00445CE8">
        <w:rPr>
          <w:rStyle w:val="afb"/>
          <w:rFonts w:hint="cs"/>
          <w:rtl/>
        </w:rPr>
        <w:t xml:space="preserve"> </w:t>
      </w:r>
      <w:r w:rsidRPr="00445CE8">
        <w:rPr>
          <w:rStyle w:val="aff6"/>
          <w:rFonts w:hint="cs"/>
          <w:rtl/>
        </w:rPr>
        <w:t xml:space="preserve">(עי' אות </w:t>
      </w:r>
      <w:r w:rsidRPr="00445CE8">
        <w:rPr>
          <w:rStyle w:val="aff6"/>
          <w:rtl/>
        </w:rPr>
        <w:fldChar w:fldCharType="begin"/>
      </w:r>
      <w:r w:rsidRPr="00445CE8">
        <w:rPr>
          <w:rStyle w:val="aff6"/>
          <w:rtl/>
        </w:rPr>
        <w:instrText xml:space="preserve"> </w:instrText>
      </w:r>
      <w:r w:rsidRPr="00445CE8">
        <w:rPr>
          <w:rStyle w:val="aff6"/>
          <w:rFonts w:hint="cs"/>
        </w:rPr>
        <w:instrText>REF</w:instrText>
      </w:r>
      <w:r w:rsidRPr="00445CE8">
        <w:rPr>
          <w:rStyle w:val="aff6"/>
          <w:rFonts w:hint="cs"/>
          <w:rtl/>
        </w:rPr>
        <w:instrText xml:space="preserve"> _</w:instrText>
      </w:r>
      <w:r w:rsidRPr="00445CE8">
        <w:rPr>
          <w:rStyle w:val="aff6"/>
          <w:rFonts w:hint="cs"/>
        </w:rPr>
        <w:instrText>Ref3319699 \r \h</w:instrText>
      </w:r>
      <w:r w:rsidRPr="00445CE8">
        <w:rPr>
          <w:rStyle w:val="aff6"/>
          <w:rtl/>
        </w:rPr>
        <w:instrText xml:space="preserve"> </w:instrText>
      </w:r>
      <w:r w:rsidRPr="00445CE8">
        <w:rPr>
          <w:rStyle w:val="aff6"/>
          <w:rtl/>
        </w:rPr>
      </w:r>
      <w:r w:rsidRPr="00445CE8">
        <w:rPr>
          <w:rStyle w:val="aff6"/>
          <w:rtl/>
        </w:rPr>
        <w:fldChar w:fldCharType="separate"/>
      </w:r>
      <w:r w:rsidR="00345400">
        <w:rPr>
          <w:rStyle w:val="aff6"/>
          <w:cs/>
        </w:rPr>
        <w:t>‎</w:t>
      </w:r>
      <w:r w:rsidR="00345400">
        <w:rPr>
          <w:rStyle w:val="aff6"/>
          <w:rtl/>
        </w:rPr>
        <w:t>נב)</w:t>
      </w:r>
      <w:r w:rsidRPr="00445CE8">
        <w:rPr>
          <w:rStyle w:val="aff6"/>
          <w:rtl/>
        </w:rPr>
        <w:fldChar w:fldCharType="end"/>
      </w:r>
      <w:r w:rsidRPr="00445CE8">
        <w:rPr>
          <w:rStyle w:val="afb"/>
          <w:rFonts w:hint="cs"/>
          <w:rtl/>
        </w:rPr>
        <w:t>]</w:t>
      </w:r>
      <w:r>
        <w:rPr>
          <w:rFonts w:hint="cs"/>
          <w:rtl/>
        </w:rPr>
        <w:t xml:space="preserve"> וכתב </w:t>
      </w:r>
      <w:r w:rsidRPr="00535064">
        <w:rPr>
          <w:rStyle w:val="af9"/>
          <w:rFonts w:hint="cs"/>
          <w:rtl/>
        </w:rPr>
        <w:t>הראש יוסף</w:t>
      </w:r>
      <w:r>
        <w:rPr>
          <w:rFonts w:hint="cs"/>
          <w:rtl/>
        </w:rPr>
        <w:t xml:space="preserve"> דלפי"ז א"צ לומר דההיתר של החלב הוא מגזיה"כ "כל בבהמה תאכלו", </w:t>
      </w:r>
      <w:r w:rsidRPr="00354F16">
        <w:rPr>
          <w:rStyle w:val="afb"/>
          <w:rFonts w:hint="cs"/>
          <w:rtl/>
        </w:rPr>
        <w:t xml:space="preserve">[כדביאר </w:t>
      </w:r>
      <w:r w:rsidRPr="00354F16">
        <w:rPr>
          <w:rStyle w:val="affa"/>
          <w:rFonts w:hint="cs"/>
          <w:rtl/>
        </w:rPr>
        <w:t>הרא"ש</w:t>
      </w:r>
      <w:r w:rsidRPr="00354F16">
        <w:rPr>
          <w:rStyle w:val="afb"/>
          <w:rFonts w:hint="cs"/>
          <w:rtl/>
        </w:rPr>
        <w:t xml:space="preserve"> </w:t>
      </w:r>
      <w:r w:rsidRPr="00354F16">
        <w:rPr>
          <w:rStyle w:val="aff6"/>
          <w:rFonts w:hint="cs"/>
          <w:rtl/>
        </w:rPr>
        <w:t xml:space="preserve">(עי' אות </w:t>
      </w:r>
      <w:r w:rsidRPr="00354F16">
        <w:rPr>
          <w:rStyle w:val="aff6"/>
          <w:rtl/>
        </w:rPr>
        <w:fldChar w:fldCharType="begin"/>
      </w:r>
      <w:r w:rsidRPr="00354F16">
        <w:rPr>
          <w:rStyle w:val="aff6"/>
          <w:rtl/>
        </w:rPr>
        <w:instrText xml:space="preserve"> </w:instrText>
      </w:r>
      <w:r w:rsidRPr="00354F16">
        <w:rPr>
          <w:rStyle w:val="aff6"/>
          <w:rFonts w:hint="cs"/>
        </w:rPr>
        <w:instrText>REF</w:instrText>
      </w:r>
      <w:r w:rsidRPr="00354F16">
        <w:rPr>
          <w:rStyle w:val="aff6"/>
          <w:rFonts w:hint="cs"/>
          <w:rtl/>
        </w:rPr>
        <w:instrText xml:space="preserve"> _</w:instrText>
      </w:r>
      <w:r w:rsidRPr="00354F16">
        <w:rPr>
          <w:rStyle w:val="aff6"/>
          <w:rFonts w:hint="cs"/>
        </w:rPr>
        <w:instrText>Ref2195569 \r \h</w:instrText>
      </w:r>
      <w:r w:rsidRPr="00354F16">
        <w:rPr>
          <w:rStyle w:val="aff6"/>
          <w:rtl/>
        </w:rPr>
        <w:instrText xml:space="preserve"> </w:instrText>
      </w:r>
      <w:r w:rsidRPr="00354F16">
        <w:rPr>
          <w:rStyle w:val="aff6"/>
          <w:rtl/>
        </w:rPr>
      </w:r>
      <w:r w:rsidRPr="00354F16">
        <w:rPr>
          <w:rStyle w:val="aff6"/>
          <w:rtl/>
        </w:rPr>
        <w:fldChar w:fldCharType="separate"/>
      </w:r>
      <w:r w:rsidR="00345400">
        <w:rPr>
          <w:rStyle w:val="aff6"/>
          <w:cs/>
        </w:rPr>
        <w:t>‎</w:t>
      </w:r>
      <w:r w:rsidR="00345400">
        <w:rPr>
          <w:rStyle w:val="aff6"/>
          <w:rtl/>
        </w:rPr>
        <w:t>נד)</w:t>
      </w:r>
      <w:r w:rsidRPr="00354F16">
        <w:rPr>
          <w:rStyle w:val="aff6"/>
          <w:rtl/>
        </w:rPr>
        <w:fldChar w:fldCharType="end"/>
      </w:r>
      <w:r w:rsidRPr="00354F16">
        <w:rPr>
          <w:rStyle w:val="afb"/>
          <w:rFonts w:hint="cs"/>
          <w:rtl/>
        </w:rPr>
        <w:t>]</w:t>
      </w:r>
      <w:r>
        <w:rPr>
          <w:rStyle w:val="afb"/>
          <w:rFonts w:hint="cs"/>
          <w:rtl/>
        </w:rPr>
        <w:t>,</w:t>
      </w:r>
      <w:r>
        <w:rPr>
          <w:rFonts w:hint="cs"/>
          <w:rtl/>
        </w:rPr>
        <w:t xml:space="preserve"> אלא דס"ל </w:t>
      </w:r>
      <w:r w:rsidRPr="00354F16">
        <w:rPr>
          <w:rStyle w:val="af9"/>
          <w:rFonts w:hint="cs"/>
          <w:rtl/>
        </w:rPr>
        <w:t>להרשב"א</w:t>
      </w:r>
      <w:r>
        <w:rPr>
          <w:rFonts w:hint="cs"/>
          <w:rtl/>
        </w:rPr>
        <w:t xml:space="preserve"> דאינו נקרא חלב במעי אמו כלל, ולכן הוא מותר בשחיטת אמו, ואחר שהותר לא מסתבר לאוסרו.</w:t>
      </w:r>
    </w:p>
    <w:p w14:paraId="6145E080" w14:textId="77777777" w:rsidR="003D504D" w:rsidRDefault="003D504D" w:rsidP="00BF39B2">
      <w:pPr>
        <w:pStyle w:val="1"/>
        <w:rPr>
          <w:rtl/>
        </w:rPr>
      </w:pPr>
      <w:bookmarkStart w:id="23076" w:name="_Toc3322243"/>
      <w:bookmarkStart w:id="23077" w:name="_Toc3480707"/>
      <w:bookmarkStart w:id="23078" w:name="_Toc3484977"/>
      <w:bookmarkStart w:id="23079" w:name="_Toc3535830"/>
      <w:bookmarkStart w:id="23080" w:name="_Toc3543207"/>
      <w:bookmarkStart w:id="23081" w:name="_Toc3550918"/>
      <w:bookmarkStart w:id="23082" w:name="_Toc3551074"/>
      <w:bookmarkStart w:id="23083" w:name="_Toc19391883"/>
      <w:bookmarkStart w:id="23084" w:name="_Toc19395380"/>
      <w:r>
        <w:rPr>
          <w:rFonts w:hint="cs"/>
          <w:rtl/>
        </w:rPr>
        <w:t>ביאורי הרשב"א והמהרש"א בקושית ר"ל מהילפותא באשם</w:t>
      </w:r>
      <w:bookmarkEnd w:id="23076"/>
      <w:bookmarkEnd w:id="23077"/>
      <w:bookmarkEnd w:id="23078"/>
      <w:bookmarkEnd w:id="23079"/>
      <w:bookmarkEnd w:id="23080"/>
      <w:bookmarkEnd w:id="23081"/>
      <w:bookmarkEnd w:id="23082"/>
      <w:bookmarkEnd w:id="23083"/>
      <w:bookmarkEnd w:id="23084"/>
    </w:p>
    <w:p w14:paraId="50C28184" w14:textId="77777777" w:rsidR="003D504D" w:rsidRPr="00440DD6" w:rsidRDefault="003D504D" w:rsidP="003D504D">
      <w:pPr>
        <w:pStyle w:val="a3"/>
        <w:rPr>
          <w:rtl/>
        </w:rPr>
      </w:pPr>
      <w:bookmarkStart w:id="23085" w:name="_Toc3484978"/>
      <w:bookmarkStart w:id="23086" w:name="_Toc3535831"/>
      <w:bookmarkStart w:id="23087" w:name="_Toc3543208"/>
      <w:bookmarkStart w:id="23088" w:name="_Toc3550919"/>
      <w:bookmarkStart w:id="23089" w:name="_Toc3551075"/>
      <w:bookmarkStart w:id="23090" w:name="_Toc19391884"/>
      <w:bookmarkStart w:id="23091" w:name="_Toc19395381"/>
      <w:r>
        <w:rPr>
          <w:rFonts w:hint="cs"/>
          <w:rtl/>
        </w:rPr>
        <w:t>קושית הרשב"א דאי מודה ריו"ח דהחלב מותר בשחיטה מה הקשה לו ר"ל מילפותא דאשם</w:t>
      </w:r>
      <w:bookmarkEnd w:id="23085"/>
      <w:bookmarkEnd w:id="23086"/>
      <w:bookmarkEnd w:id="23087"/>
      <w:bookmarkEnd w:id="23088"/>
      <w:bookmarkEnd w:id="23089"/>
      <w:bookmarkEnd w:id="23090"/>
      <w:bookmarkEnd w:id="23091"/>
    </w:p>
    <w:p w14:paraId="50EF77D3" w14:textId="77777777" w:rsidR="003D504D" w:rsidRDefault="003D504D" w:rsidP="00223668">
      <w:pPr>
        <w:pStyle w:val="a0"/>
        <w:rPr>
          <w:rtl/>
        </w:rPr>
      </w:pPr>
      <w:bookmarkStart w:id="23092" w:name="_Ref3145966"/>
      <w:r>
        <w:rPr>
          <w:rFonts w:hint="cs"/>
          <w:rtl/>
        </w:rPr>
        <w:t xml:space="preserve">הקשה </w:t>
      </w:r>
      <w:r w:rsidRPr="0065580F">
        <w:rPr>
          <w:rStyle w:val="af9"/>
          <w:rFonts w:hint="cs"/>
          <w:rtl/>
        </w:rPr>
        <w:t xml:space="preserve">הרשב"א </w:t>
      </w:r>
      <w:r>
        <w:rPr>
          <w:rStyle w:val="af9"/>
          <w:rtl/>
        </w:rPr>
        <w:t>בחי' לקמן</w:t>
      </w:r>
      <w:r>
        <w:rPr>
          <w:rtl/>
        </w:rPr>
        <w:t xml:space="preserve"> </w:t>
      </w:r>
      <w:r w:rsidRPr="00D40CE2">
        <w:rPr>
          <w:rStyle w:val="af7"/>
          <w:rFonts w:eastAsia="Guttman Hodes" w:hint="cs"/>
          <w:rtl/>
        </w:rPr>
        <w:t xml:space="preserve">(צב: ד"ה </w:t>
      </w:r>
      <w:r>
        <w:rPr>
          <w:rStyle w:val="af7"/>
          <w:rFonts w:eastAsia="Guttman Hodes" w:hint="cs"/>
          <w:rtl/>
        </w:rPr>
        <w:t>ולענין</w:t>
      </w:r>
      <w:r>
        <w:rPr>
          <w:rStyle w:val="af7"/>
          <w:rFonts w:eastAsiaTheme="minorHAnsi" w:hint="cs"/>
          <w:rtl/>
        </w:rPr>
        <w:t xml:space="preserve">) </w:t>
      </w:r>
      <w:r>
        <w:rPr>
          <w:rStyle w:val="af9"/>
          <w:rtl/>
        </w:rPr>
        <w:t xml:space="preserve">ובתוה"ב </w:t>
      </w:r>
      <w:r>
        <w:rPr>
          <w:rStyle w:val="af7"/>
          <w:rFonts w:eastAsia="Guttman Hodes" w:hint="cs"/>
          <w:rtl/>
        </w:rPr>
        <w:t>(ב"ב ש"ה דף נט: מדה"ס)</w:t>
      </w:r>
      <w:r>
        <w:rPr>
          <w:rFonts w:hint="cs"/>
          <w:rtl/>
        </w:rPr>
        <w:t xml:space="preserve"> דאי ריו"ח אסר רק בחלב שתלשו לפני שחיטת האם, ומודה דאחר שנשחטה האם חלב השליל מותר, א"כ מה הקשה לו ר"ל מהמיעוט בחלב ושתי הכליות באיל האשם, הרי כיון שהמיעוט הוא בשליל שנשחט, והוא נחשב כבשר גמור, א"כ חלבו אינו חלב כלל, אף לדעת ריו"ח, וכן הקשה </w:t>
      </w:r>
      <w:r w:rsidRPr="007C4E7F">
        <w:rPr>
          <w:rStyle w:val="af9"/>
          <w:rFonts w:hint="cs"/>
          <w:rtl/>
        </w:rPr>
        <w:t>העיטור</w:t>
      </w:r>
      <w:r>
        <w:rPr>
          <w:rFonts w:hint="cs"/>
          <w:rtl/>
        </w:rPr>
        <w:t xml:space="preserve"> </w:t>
      </w:r>
      <w:r w:rsidRPr="007C4E7F">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Ref3493568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קה)</w:t>
      </w:r>
      <w:r>
        <w:rPr>
          <w:rStyle w:val="af7"/>
          <w:rFonts w:eastAsia="Guttman Hodes"/>
          <w:rtl/>
        </w:rPr>
        <w:fldChar w:fldCharType="end"/>
      </w:r>
      <w:r>
        <w:rPr>
          <w:rFonts w:hint="cs"/>
          <w:rtl/>
        </w:rPr>
        <w:t xml:space="preserve">, וכן הקשה </w:t>
      </w:r>
      <w:r w:rsidRPr="00E74ED2">
        <w:rPr>
          <w:rStyle w:val="af9"/>
          <w:rFonts w:hint="cs"/>
          <w:rtl/>
        </w:rPr>
        <w:t>המהרש"א</w:t>
      </w:r>
      <w:r>
        <w:rPr>
          <w:rFonts w:hint="cs"/>
          <w:rtl/>
        </w:rPr>
        <w:t xml:space="preserve"> </w:t>
      </w:r>
      <w:r w:rsidRPr="00343656">
        <w:rPr>
          <w:rStyle w:val="af7"/>
          <w:rFonts w:eastAsia="Guttman Hodes" w:hint="cs"/>
          <w:rtl/>
        </w:rPr>
        <w:t>(עה. על תוד"ה ר"י)</w:t>
      </w:r>
      <w:r>
        <w:rPr>
          <w:rFonts w:hint="cs"/>
          <w:rtl/>
        </w:rPr>
        <w:t xml:space="preserve"> על דברי </w:t>
      </w:r>
      <w:r w:rsidRPr="00E74ED2">
        <w:rPr>
          <w:rStyle w:val="af9"/>
          <w:rFonts w:hint="cs"/>
          <w:rtl/>
        </w:rPr>
        <w:t>רש"י</w:t>
      </w:r>
      <w:r>
        <w:rPr>
          <w:rFonts w:hint="cs"/>
          <w:rtl/>
        </w:rPr>
        <w:t xml:space="preserve"> </w:t>
      </w:r>
      <w:r w:rsidRPr="00343656">
        <w:rPr>
          <w:rStyle w:val="af7"/>
          <w:rFonts w:eastAsia="Guttman Hodes" w:hint="cs"/>
          <w:rtl/>
        </w:rPr>
        <w:t xml:space="preserve">(עי' אות </w:t>
      </w:r>
      <w:r w:rsidRPr="00343656">
        <w:rPr>
          <w:rStyle w:val="af7"/>
          <w:rFonts w:eastAsia="Guttman Hodes"/>
          <w:rtl/>
        </w:rPr>
        <w:fldChar w:fldCharType="begin"/>
      </w:r>
      <w:r w:rsidRPr="00343656">
        <w:rPr>
          <w:rStyle w:val="af7"/>
          <w:rFonts w:eastAsia="Guttman Hodes"/>
          <w:rtl/>
        </w:rPr>
        <w:instrText xml:space="preserve"> </w:instrText>
      </w:r>
      <w:r w:rsidRPr="00343656">
        <w:rPr>
          <w:rStyle w:val="af7"/>
          <w:rFonts w:eastAsia="Guttman Hodes" w:hint="cs"/>
        </w:rPr>
        <w:instrText>REF</w:instrText>
      </w:r>
      <w:r w:rsidRPr="00343656">
        <w:rPr>
          <w:rStyle w:val="af7"/>
          <w:rFonts w:eastAsia="Guttman Hodes" w:hint="cs"/>
          <w:rtl/>
        </w:rPr>
        <w:instrText xml:space="preserve"> _</w:instrText>
      </w:r>
      <w:r w:rsidRPr="00343656">
        <w:rPr>
          <w:rStyle w:val="af7"/>
          <w:rFonts w:eastAsia="Guttman Hodes" w:hint="cs"/>
        </w:rPr>
        <w:instrText>Ref2886390 \r \h</w:instrText>
      </w:r>
      <w:r w:rsidRPr="00343656">
        <w:rPr>
          <w:rStyle w:val="af7"/>
          <w:rFonts w:eastAsia="Guttman Hodes"/>
          <w:rtl/>
        </w:rPr>
        <w:instrText xml:space="preserve"> </w:instrText>
      </w:r>
      <w:r w:rsidRPr="00343656">
        <w:rPr>
          <w:rStyle w:val="af7"/>
          <w:rFonts w:eastAsia="Guttman Hodes"/>
          <w:rtl/>
        </w:rPr>
      </w:r>
      <w:r w:rsidRPr="00343656">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343656">
        <w:rPr>
          <w:rStyle w:val="af7"/>
          <w:rFonts w:eastAsia="Guttman Hodes"/>
          <w:rtl/>
        </w:rPr>
        <w:fldChar w:fldCharType="end"/>
      </w:r>
      <w:r>
        <w:rPr>
          <w:rFonts w:hint="cs"/>
          <w:rtl/>
        </w:rPr>
        <w:t xml:space="preserve"> </w:t>
      </w:r>
      <w:r w:rsidRPr="00E74ED2">
        <w:rPr>
          <w:rStyle w:val="af9"/>
          <w:rFonts w:hint="cs"/>
          <w:rtl/>
        </w:rPr>
        <w:t>ותוס'</w:t>
      </w:r>
      <w:r>
        <w:rPr>
          <w:rFonts w:hint="cs"/>
          <w:rtl/>
        </w:rPr>
        <w:t xml:space="preserve"> </w:t>
      </w:r>
      <w:r w:rsidRPr="00343656">
        <w:rPr>
          <w:rStyle w:val="af7"/>
          <w:rFonts w:eastAsia="Guttman Hodes" w:hint="cs"/>
          <w:rtl/>
        </w:rPr>
        <w:t xml:space="preserve">(עי' אות </w:t>
      </w:r>
      <w:r w:rsidRPr="00343656">
        <w:rPr>
          <w:rStyle w:val="af7"/>
          <w:rFonts w:eastAsia="Guttman Hodes"/>
          <w:rtl/>
        </w:rPr>
        <w:fldChar w:fldCharType="begin"/>
      </w:r>
      <w:r w:rsidRPr="00343656">
        <w:rPr>
          <w:rStyle w:val="af7"/>
          <w:rFonts w:eastAsia="Guttman Hodes"/>
          <w:rtl/>
        </w:rPr>
        <w:instrText xml:space="preserve"> </w:instrText>
      </w:r>
      <w:r w:rsidRPr="00343656">
        <w:rPr>
          <w:rStyle w:val="af7"/>
          <w:rFonts w:eastAsia="Guttman Hodes" w:hint="cs"/>
        </w:rPr>
        <w:instrText>REF</w:instrText>
      </w:r>
      <w:r w:rsidRPr="00343656">
        <w:rPr>
          <w:rStyle w:val="af7"/>
          <w:rFonts w:eastAsia="Guttman Hodes" w:hint="cs"/>
          <w:rtl/>
        </w:rPr>
        <w:instrText xml:space="preserve"> _</w:instrText>
      </w:r>
      <w:r w:rsidRPr="00343656">
        <w:rPr>
          <w:rStyle w:val="af7"/>
          <w:rFonts w:eastAsia="Guttman Hodes" w:hint="cs"/>
        </w:rPr>
        <w:instrText>Ref2886400 \r \h</w:instrText>
      </w:r>
      <w:r w:rsidRPr="00343656">
        <w:rPr>
          <w:rStyle w:val="af7"/>
          <w:rFonts w:eastAsia="Guttman Hodes"/>
          <w:rtl/>
        </w:rPr>
        <w:instrText xml:space="preserve"> </w:instrText>
      </w:r>
      <w:r w:rsidRPr="00343656">
        <w:rPr>
          <w:rStyle w:val="af7"/>
          <w:rFonts w:eastAsia="Guttman Hodes"/>
          <w:rtl/>
        </w:rPr>
      </w:r>
      <w:r w:rsidRPr="00343656">
        <w:rPr>
          <w:rStyle w:val="af7"/>
          <w:rFonts w:eastAsia="Guttman Hodes"/>
          <w:rtl/>
        </w:rPr>
        <w:fldChar w:fldCharType="separate"/>
      </w:r>
      <w:r w:rsidR="00345400">
        <w:rPr>
          <w:rStyle w:val="af7"/>
          <w:rFonts w:eastAsia="Guttman Hodes"/>
          <w:cs/>
        </w:rPr>
        <w:t>‎</w:t>
      </w:r>
      <w:r w:rsidR="00345400">
        <w:rPr>
          <w:rStyle w:val="af7"/>
          <w:rFonts w:eastAsia="Guttman Hodes"/>
          <w:rtl/>
        </w:rPr>
        <w:t>מה)</w:t>
      </w:r>
      <w:r w:rsidRPr="00343656">
        <w:rPr>
          <w:rStyle w:val="af7"/>
          <w:rFonts w:eastAsia="Guttman Hodes"/>
          <w:rtl/>
        </w:rPr>
        <w:fldChar w:fldCharType="end"/>
      </w:r>
      <w:r>
        <w:rPr>
          <w:rFonts w:hint="cs"/>
          <w:rtl/>
        </w:rPr>
        <w:t xml:space="preserve"> דכתבו דמודה ריו"ח דאחר השחיטה החלב מותר, דא"כ מה הקשה ר"ל לריו"ח מהילפותא "דאשם מוצא מכלל שליל", דלדברי ריו"ח אמאי אין מקטירין את החלב, הרי כיון דבאשם איירי לאחר שחיטה, מודה ריו"ח דלענין איסור אכילה אין לו דין חלב.</w:t>
      </w:r>
      <w:bookmarkEnd w:id="23092"/>
    </w:p>
    <w:p w14:paraId="0DD4AF73" w14:textId="77777777" w:rsidR="003D504D" w:rsidRDefault="003D504D" w:rsidP="003D504D">
      <w:pPr>
        <w:pStyle w:val="a3"/>
        <w:rPr>
          <w:rtl/>
        </w:rPr>
      </w:pPr>
      <w:bookmarkStart w:id="23093" w:name="_Toc3484979"/>
      <w:bookmarkStart w:id="23094" w:name="_Toc3535832"/>
      <w:bookmarkStart w:id="23095" w:name="_Toc3543209"/>
      <w:bookmarkStart w:id="23096" w:name="_Toc3550920"/>
      <w:bookmarkStart w:id="23097" w:name="_Toc3551076"/>
      <w:bookmarkStart w:id="23098" w:name="_Toc19391885"/>
      <w:bookmarkStart w:id="23099" w:name="_Toc19395382"/>
      <w:r>
        <w:rPr>
          <w:rFonts w:hint="cs"/>
          <w:rtl/>
        </w:rPr>
        <w:t>תירוץ הרשב"א דלריו"ח דחשיב חלב דחדשים גרמי אף שהותר באכילה מ"מ אמאי נתמעט מהקרבה</w:t>
      </w:r>
      <w:bookmarkEnd w:id="23093"/>
      <w:bookmarkEnd w:id="23094"/>
      <w:bookmarkEnd w:id="23095"/>
      <w:bookmarkEnd w:id="23096"/>
      <w:bookmarkEnd w:id="23097"/>
      <w:bookmarkEnd w:id="23098"/>
      <w:bookmarkEnd w:id="23099"/>
    </w:p>
    <w:p w14:paraId="335B816E" w14:textId="77777777" w:rsidR="003D504D" w:rsidRDefault="003D504D" w:rsidP="00223668">
      <w:pPr>
        <w:pStyle w:val="a0"/>
        <w:rPr>
          <w:rtl/>
        </w:rPr>
      </w:pPr>
      <w:bookmarkStart w:id="23100" w:name="_Ref2886499"/>
      <w:r>
        <w:rPr>
          <w:rFonts w:hint="cs"/>
          <w:rtl/>
        </w:rPr>
        <w:t xml:space="preserve">ותירץ </w:t>
      </w:r>
      <w:r w:rsidRPr="0065580F">
        <w:rPr>
          <w:rStyle w:val="af9"/>
          <w:rFonts w:hint="cs"/>
          <w:rtl/>
        </w:rPr>
        <w:t xml:space="preserve">הרשב"א </w:t>
      </w:r>
      <w:r>
        <w:rPr>
          <w:rStyle w:val="af9"/>
          <w:rtl/>
        </w:rPr>
        <w:t>בחי' לקמן</w:t>
      </w:r>
      <w:r>
        <w:rPr>
          <w:rtl/>
        </w:rPr>
        <w:t xml:space="preserve"> </w:t>
      </w:r>
      <w:r>
        <w:rPr>
          <w:rStyle w:val="af9"/>
          <w:rtl/>
        </w:rPr>
        <w:t xml:space="preserve">ובתוה"ב </w:t>
      </w:r>
      <w:r>
        <w:rPr>
          <w:rFonts w:hint="cs"/>
          <w:rtl/>
        </w:rPr>
        <w:t>דכוונת ר"ל להקשות דבשלמא לדבריו דלא חשיב חלב כלל, דחדשים ואוירא גרמי, לכן יש בו מיעוט דאינו בהקרבה, אבל לדעת ריו"ח שיש לו דין חלב דחדשים גרמי, א"כ אמאי נתמעט מהקרבה, דאף שיש בו היתר "כל בבהמה תאכלו" עדיין חשיב חלב גמור.</w:t>
      </w:r>
    </w:p>
    <w:p w14:paraId="58812AB5" w14:textId="77777777" w:rsidR="003D504D" w:rsidRPr="00521284" w:rsidRDefault="003D504D" w:rsidP="003D504D">
      <w:pPr>
        <w:pStyle w:val="a3"/>
      </w:pPr>
      <w:bookmarkStart w:id="23101" w:name="_Toc3484980"/>
      <w:bookmarkStart w:id="23102" w:name="_Toc3535833"/>
      <w:bookmarkStart w:id="23103" w:name="_Toc3543210"/>
      <w:bookmarkStart w:id="23104" w:name="_Toc3550921"/>
      <w:bookmarkStart w:id="23105" w:name="_Toc3551077"/>
      <w:bookmarkStart w:id="23106" w:name="_Toc19391886"/>
      <w:bookmarkStart w:id="23107" w:name="_Toc19395383"/>
      <w:r w:rsidRPr="00521284">
        <w:rPr>
          <w:rtl/>
        </w:rPr>
        <w:t>ביאור הראש יוסף בתירוץ הרשב"א</w:t>
      </w:r>
      <w:r>
        <w:rPr>
          <w:rFonts w:hint="cs"/>
          <w:rtl/>
        </w:rPr>
        <w:t xml:space="preserve"> דלריו"ח חשיב חלב גמור והיתרו לא שייך לדין הקרבה</w:t>
      </w:r>
      <w:bookmarkEnd w:id="23101"/>
      <w:bookmarkEnd w:id="23102"/>
      <w:bookmarkEnd w:id="23103"/>
      <w:bookmarkEnd w:id="23104"/>
      <w:bookmarkEnd w:id="23105"/>
      <w:bookmarkEnd w:id="23106"/>
      <w:bookmarkEnd w:id="23107"/>
    </w:p>
    <w:p w14:paraId="6E50421C" w14:textId="77777777" w:rsidR="003D504D" w:rsidRDefault="003D504D" w:rsidP="00223668">
      <w:pPr>
        <w:pStyle w:val="a0"/>
        <w:rPr>
          <w:rtl/>
        </w:rPr>
      </w:pPr>
      <w:r>
        <w:rPr>
          <w:rFonts w:hint="cs"/>
          <w:rtl/>
        </w:rPr>
        <w:t>ו</w:t>
      </w:r>
      <w:r w:rsidRPr="005A13FF">
        <w:rPr>
          <w:rFonts w:hint="cs"/>
          <w:rtl/>
        </w:rPr>
        <w:t xml:space="preserve">ביאר </w:t>
      </w:r>
      <w:r w:rsidRPr="00B04EBC">
        <w:rPr>
          <w:rStyle w:val="af9"/>
          <w:rFonts w:hint="cs"/>
          <w:rtl/>
        </w:rPr>
        <w:t>הראש יוסף לקמן</w:t>
      </w:r>
      <w:r>
        <w:rPr>
          <w:rFonts w:hint="cs"/>
          <w:rtl/>
        </w:rPr>
        <w:t xml:space="preserve"> </w:t>
      </w:r>
      <w:r w:rsidRPr="00D91A32">
        <w:rPr>
          <w:rStyle w:val="af7"/>
          <w:rFonts w:eastAsia="Guttman Hodes" w:hint="cs"/>
          <w:rtl/>
        </w:rPr>
        <w:t xml:space="preserve">(צב: ד"ה וכתב הרשב"א) </w:t>
      </w:r>
      <w:r>
        <w:rPr>
          <w:rFonts w:hint="cs"/>
          <w:rtl/>
        </w:rPr>
        <w:t xml:space="preserve">את דברי </w:t>
      </w:r>
      <w:r w:rsidRPr="00B04EBC">
        <w:rPr>
          <w:rStyle w:val="af9"/>
          <w:rFonts w:hint="cs"/>
          <w:rtl/>
        </w:rPr>
        <w:t>הרשב"א</w:t>
      </w:r>
      <w:r w:rsidRPr="005A13FF">
        <w:rPr>
          <w:rFonts w:hint="cs"/>
          <w:rtl/>
        </w:rPr>
        <w:t xml:space="preserve"> </w:t>
      </w:r>
      <w:r>
        <w:rPr>
          <w:rFonts w:hint="cs"/>
          <w:rtl/>
        </w:rPr>
        <w:t xml:space="preserve">דלר"ל כל שלא יצא לאויר העולם אינו נקרא שור ולכן נתמעט מהקרבה, דההקרבה היא בחלב שור, אבל לריו"ח דיש לו שם חלב, וההיתר שלו הוא רק מדין "כל בבהמה תאכלו", א"כ אמאי אינו בכלל הקרבה, ועיי"ש במה שהוסיף </w:t>
      </w:r>
      <w:r w:rsidRPr="00B04EBC">
        <w:rPr>
          <w:rStyle w:val="af9"/>
          <w:rFonts w:hint="cs"/>
          <w:rtl/>
        </w:rPr>
        <w:t>הראש יוסף</w:t>
      </w:r>
      <w:r>
        <w:rPr>
          <w:rFonts w:hint="cs"/>
          <w:rtl/>
        </w:rPr>
        <w:t xml:space="preserve"> לבאר לפי"ז מה הקשה ריו"ח לר"ל בל"ק.</w:t>
      </w:r>
      <w:bookmarkEnd w:id="23100"/>
    </w:p>
    <w:p w14:paraId="18051CA4" w14:textId="77777777" w:rsidR="003D504D" w:rsidRPr="00234FF4" w:rsidRDefault="003D504D" w:rsidP="003D504D">
      <w:pPr>
        <w:pStyle w:val="a3"/>
      </w:pPr>
      <w:bookmarkStart w:id="23108" w:name="_Toc3484981"/>
      <w:bookmarkStart w:id="23109" w:name="_Toc3535834"/>
      <w:bookmarkStart w:id="23110" w:name="_Toc3543211"/>
      <w:bookmarkStart w:id="23111" w:name="_Toc3550922"/>
      <w:bookmarkStart w:id="23112" w:name="_Toc3551078"/>
      <w:bookmarkStart w:id="23113" w:name="_Toc19391887"/>
      <w:bookmarkStart w:id="23114" w:name="_Toc19395384"/>
      <w:bookmarkStart w:id="23115" w:name="_Ref2886484"/>
      <w:bookmarkStart w:id="23116" w:name="_Toc2718658"/>
      <w:bookmarkStart w:id="23117" w:name="_Toc2866720"/>
      <w:r>
        <w:rPr>
          <w:rFonts w:hint="cs"/>
          <w:rtl/>
        </w:rPr>
        <w:t>קושית המהרש"א על הרשב"א דאחר שהותר באכילה מבואר שיש בו מיעוט אף מהקרבה</w:t>
      </w:r>
      <w:bookmarkEnd w:id="23108"/>
      <w:bookmarkEnd w:id="23109"/>
      <w:bookmarkEnd w:id="23110"/>
      <w:bookmarkEnd w:id="23111"/>
      <w:bookmarkEnd w:id="23112"/>
      <w:bookmarkEnd w:id="23113"/>
      <w:bookmarkEnd w:id="23114"/>
    </w:p>
    <w:p w14:paraId="17288BC8" w14:textId="77777777" w:rsidR="003D504D" w:rsidRDefault="003D504D" w:rsidP="00223668">
      <w:pPr>
        <w:pStyle w:val="a0"/>
        <w:rPr>
          <w:rtl/>
        </w:rPr>
      </w:pPr>
      <w:r>
        <w:rPr>
          <w:rStyle w:val="af9"/>
          <w:rFonts w:hint="cs"/>
          <w:rtl/>
        </w:rPr>
        <w:t>ו</w:t>
      </w:r>
      <w:r w:rsidRPr="00234FF4">
        <w:rPr>
          <w:rStyle w:val="af9"/>
          <w:rFonts w:hint="cs"/>
          <w:rtl/>
        </w:rPr>
        <w:t>המהרש"א</w:t>
      </w:r>
      <w:r>
        <w:rPr>
          <w:rFonts w:hint="cs"/>
          <w:rtl/>
        </w:rPr>
        <w:t xml:space="preserve"> </w:t>
      </w:r>
      <w:r w:rsidRPr="00343656">
        <w:rPr>
          <w:rStyle w:val="af7"/>
          <w:rFonts w:eastAsia="Guttman Hodes" w:hint="cs"/>
          <w:rtl/>
        </w:rPr>
        <w:t>(עה. על תוד"ה ר"י)</w:t>
      </w:r>
      <w:r>
        <w:rPr>
          <w:rFonts w:hint="cs"/>
          <w:rtl/>
        </w:rPr>
        <w:t xml:space="preserve"> כתב דתירוץ </w:t>
      </w:r>
      <w:r w:rsidRPr="00E74ED2">
        <w:rPr>
          <w:rStyle w:val="af9"/>
          <w:rFonts w:hint="cs"/>
          <w:rtl/>
        </w:rPr>
        <w:t>הרשב"א לקמן</w:t>
      </w:r>
      <w:r>
        <w:rPr>
          <w:rFonts w:hint="cs"/>
          <w:rtl/>
        </w:rPr>
        <w:t xml:space="preserve"> דחוק, דא"כ יכול ריו"ח להשיב לר"ל דכמו דהתירתו תורה באכילה, ה"ה דנתמעט מהקרבה מילפותא "דאשם מוצא מכלל שליל", וכן הקשה </w:t>
      </w:r>
      <w:r w:rsidRPr="0054188F">
        <w:rPr>
          <w:rStyle w:val="af9"/>
          <w:rFonts w:hint="cs"/>
          <w:rtl/>
        </w:rPr>
        <w:t>התורת יקותיאל</w:t>
      </w:r>
      <w:r>
        <w:rPr>
          <w:rFonts w:hint="cs"/>
          <w:rtl/>
        </w:rPr>
        <w:t xml:space="preserve"> </w:t>
      </w:r>
      <w:r w:rsidRPr="0054188F">
        <w:rPr>
          <w:rStyle w:val="af7"/>
          <w:rFonts w:eastAsia="Guttman Hodes" w:hint="cs"/>
          <w:rtl/>
        </w:rPr>
        <w:t>(סי' ס"ד סק"א ד"ה ולעפנ"ד נראה)</w:t>
      </w:r>
      <w:r>
        <w:rPr>
          <w:rFonts w:hint="cs"/>
          <w:rtl/>
        </w:rPr>
        <w:t>.</w:t>
      </w:r>
      <w:bookmarkEnd w:id="23115"/>
    </w:p>
    <w:p w14:paraId="09874715" w14:textId="77777777" w:rsidR="003D504D" w:rsidRDefault="003D504D" w:rsidP="003D504D">
      <w:pPr>
        <w:pStyle w:val="a3"/>
        <w:rPr>
          <w:rtl/>
        </w:rPr>
      </w:pPr>
      <w:bookmarkStart w:id="23118" w:name="_Toc3484982"/>
      <w:bookmarkStart w:id="23119" w:name="_Toc3535835"/>
      <w:bookmarkStart w:id="23120" w:name="_Toc3543212"/>
      <w:bookmarkStart w:id="23121" w:name="_Toc3550923"/>
      <w:bookmarkStart w:id="23122" w:name="_Toc3551079"/>
      <w:bookmarkStart w:id="23123" w:name="_Toc19391888"/>
      <w:bookmarkStart w:id="23124" w:name="_Toc19395385"/>
      <w:r>
        <w:rPr>
          <w:rFonts w:hint="cs"/>
          <w:rtl/>
        </w:rPr>
        <w:t>ביאור המהרש"א עפ"י הרא"ש דלריו"ח לר"מ אין בו היתר אכילה וקשה אמאי נתמעט מהקרבה</w:t>
      </w:r>
      <w:bookmarkEnd w:id="23118"/>
      <w:bookmarkEnd w:id="23119"/>
      <w:bookmarkEnd w:id="23120"/>
      <w:bookmarkEnd w:id="23121"/>
      <w:bookmarkEnd w:id="23122"/>
      <w:bookmarkEnd w:id="23123"/>
      <w:bookmarkEnd w:id="23124"/>
    </w:p>
    <w:p w14:paraId="25BEB8C9" w14:textId="77777777" w:rsidR="003D504D" w:rsidRDefault="003D504D" w:rsidP="00223668">
      <w:pPr>
        <w:pStyle w:val="a0"/>
        <w:rPr>
          <w:rtl/>
        </w:rPr>
      </w:pPr>
      <w:r>
        <w:rPr>
          <w:rFonts w:hint="cs"/>
          <w:rtl/>
        </w:rPr>
        <w:t xml:space="preserve">אלא תירץ </w:t>
      </w:r>
      <w:r w:rsidRPr="00E74ED2">
        <w:rPr>
          <w:rStyle w:val="af9"/>
          <w:rFonts w:hint="cs"/>
          <w:rtl/>
        </w:rPr>
        <w:t>המהרש"א</w:t>
      </w:r>
      <w:r>
        <w:rPr>
          <w:rFonts w:hint="cs"/>
          <w:rtl/>
        </w:rPr>
        <w:t xml:space="preserve"> עפ"י דברי </w:t>
      </w:r>
      <w:r w:rsidRPr="00E74ED2">
        <w:rPr>
          <w:rStyle w:val="af9"/>
          <w:rFonts w:hint="cs"/>
          <w:rtl/>
        </w:rPr>
        <w:t>הרא"ש</w:t>
      </w:r>
      <w:r>
        <w:rPr>
          <w:rFonts w:hint="cs"/>
          <w:rtl/>
        </w:rPr>
        <w:t xml:space="preserve"> </w:t>
      </w:r>
      <w:r w:rsidRPr="00343656">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Ref3368746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Pr>
          <w:rStyle w:val="af7"/>
          <w:rFonts w:eastAsia="Guttman Hodes"/>
          <w:rtl/>
        </w:rPr>
        <w:fldChar w:fldCharType="end"/>
      </w:r>
      <w:r w:rsidRPr="00343656">
        <w:rPr>
          <w:rStyle w:val="af7"/>
          <w:rFonts w:eastAsia="Guttman Hodes" w:hint="cs"/>
          <w:rtl/>
        </w:rPr>
        <w:t xml:space="preserve"> </w:t>
      </w:r>
      <w:r>
        <w:rPr>
          <w:rFonts w:hint="cs"/>
          <w:rtl/>
        </w:rPr>
        <w:t xml:space="preserve">דכתב דריו"ח ור"ל נחלקו אף בדעת ר"מ, דר"ל דס"ל דחדשים ואוירא גרמי, ס"ל דהא דאסר ר"מ היינו דוקא לאחר שנשחטה האם, ויצא חי לאויר העולם, וביאר </w:t>
      </w:r>
      <w:r w:rsidRPr="005D0824">
        <w:rPr>
          <w:rStyle w:val="af9"/>
          <w:rFonts w:hint="cs"/>
          <w:rtl/>
        </w:rPr>
        <w:t>המהרש"א</w:t>
      </w:r>
      <w:r>
        <w:rPr>
          <w:rFonts w:hint="cs"/>
          <w:rtl/>
        </w:rPr>
        <w:t xml:space="preserve"> דלפי"ז הקשה ר"ל לריו"ח בדעת ר"מ, דכיון דס"ל לר"מ דלענין אכילה אין היתר בבן ט' חי לאחר השחיטה, א"כ לדברי ריו"ח דחדשים גרמי והוא חלב גמור, ולא נאמר בו היתר אכילה לר"מ, אין כל טעם למעט אותו מהקרבה, ולכן הקשה ר"ל לריו"ח מהילפותא "דאשם מוצא מכלל שליל", דאמאי נתמעט החלב מהקרבה, ועי' במה שביארו </w:t>
      </w:r>
      <w:r w:rsidRPr="00406B08">
        <w:rPr>
          <w:rStyle w:val="af9"/>
          <w:rtl/>
        </w:rPr>
        <w:t>התורת יקותיאל</w:t>
      </w:r>
      <w:r w:rsidRPr="00406B08">
        <w:rPr>
          <w:rtl/>
        </w:rPr>
        <w:t xml:space="preserve"> </w:t>
      </w:r>
      <w:r w:rsidRPr="00406B08">
        <w:rPr>
          <w:rStyle w:val="af7"/>
          <w:rFonts w:eastAsia="Guttman Hodes"/>
          <w:rtl/>
        </w:rPr>
        <w:t>(סי' ס"ד סק"א ד"ה לכן נראה</w:t>
      </w:r>
      <w:r>
        <w:rPr>
          <w:rStyle w:val="af7"/>
          <w:rFonts w:eastAsia="Guttman Hodes" w:hint="cs"/>
          <w:rtl/>
        </w:rPr>
        <w:t>)</w:t>
      </w:r>
      <w:r>
        <w:rPr>
          <w:rFonts w:hint="cs"/>
          <w:rtl/>
        </w:rPr>
        <w:t xml:space="preserve"> </w:t>
      </w:r>
      <w:r w:rsidRPr="009F3622">
        <w:rPr>
          <w:rStyle w:val="af9"/>
          <w:rFonts w:hint="cs"/>
          <w:rtl/>
        </w:rPr>
        <w:t>והלב אריה</w:t>
      </w:r>
      <w:r>
        <w:rPr>
          <w:rFonts w:hint="cs"/>
          <w:rtl/>
        </w:rPr>
        <w:t xml:space="preserve"> </w:t>
      </w:r>
      <w:r w:rsidRPr="009F3622">
        <w:rPr>
          <w:rStyle w:val="af7"/>
          <w:rFonts w:eastAsia="Guttman Hodes" w:hint="cs"/>
          <w:rtl/>
        </w:rPr>
        <w:t>(עה. ד"ה תלש)</w:t>
      </w:r>
      <w:r w:rsidRPr="00406B08">
        <w:rPr>
          <w:rFonts w:hint="cs"/>
          <w:rtl/>
        </w:rPr>
        <w:t>.</w:t>
      </w:r>
    </w:p>
    <w:p w14:paraId="20C3CDCA" w14:textId="77777777" w:rsidR="003D504D" w:rsidRPr="00223EC7" w:rsidRDefault="003D504D" w:rsidP="00BF39B2">
      <w:pPr>
        <w:pStyle w:val="1"/>
        <w:rPr>
          <w:rtl/>
        </w:rPr>
      </w:pPr>
      <w:bookmarkStart w:id="23125" w:name="_Toc3322244"/>
      <w:bookmarkStart w:id="23126" w:name="_Toc3480708"/>
      <w:bookmarkStart w:id="23127" w:name="_Toc3484983"/>
      <w:bookmarkStart w:id="23128" w:name="_Toc3535836"/>
      <w:bookmarkStart w:id="23129" w:name="_Toc3543213"/>
      <w:bookmarkStart w:id="23130" w:name="_Toc3550924"/>
      <w:bookmarkStart w:id="23131" w:name="_Toc3551080"/>
      <w:bookmarkStart w:id="23132" w:name="_Toc19391889"/>
      <w:bookmarkStart w:id="23133" w:name="_Toc19395386"/>
      <w:bookmarkStart w:id="23134" w:name="_Toc3234489"/>
      <w:bookmarkStart w:id="23135" w:name="_Toc3287727"/>
      <w:bookmarkEnd w:id="23116"/>
      <w:bookmarkEnd w:id="23117"/>
      <w:r w:rsidRPr="00223EC7">
        <w:rPr>
          <w:rFonts w:hint="cs"/>
          <w:rtl/>
        </w:rPr>
        <w:t>ביאורי הרשב"א בסתירת סתימת המשניות</w:t>
      </w:r>
      <w:bookmarkEnd w:id="23125"/>
      <w:bookmarkEnd w:id="23126"/>
      <w:bookmarkEnd w:id="23127"/>
      <w:r w:rsidRPr="00223EC7">
        <w:rPr>
          <w:rFonts w:hint="cs"/>
          <w:rtl/>
        </w:rPr>
        <w:t xml:space="preserve"> לדעת ריו"ח</w:t>
      </w:r>
      <w:bookmarkEnd w:id="23128"/>
      <w:bookmarkEnd w:id="23129"/>
      <w:bookmarkEnd w:id="23130"/>
      <w:bookmarkEnd w:id="23131"/>
      <w:bookmarkEnd w:id="23132"/>
      <w:bookmarkEnd w:id="23133"/>
    </w:p>
    <w:p w14:paraId="12BA7EE6" w14:textId="77777777" w:rsidR="003D504D" w:rsidRPr="00223EC7" w:rsidRDefault="003D504D" w:rsidP="003D504D">
      <w:pPr>
        <w:pStyle w:val="a3"/>
        <w:rPr>
          <w:rtl/>
        </w:rPr>
      </w:pPr>
      <w:bookmarkStart w:id="23136" w:name="_Toc3535837"/>
      <w:bookmarkStart w:id="23137" w:name="_Toc3543214"/>
      <w:bookmarkStart w:id="23138" w:name="_Toc3550925"/>
      <w:bookmarkStart w:id="23139" w:name="_Toc3551081"/>
      <w:bookmarkStart w:id="23140" w:name="_Toc19391890"/>
      <w:bookmarkStart w:id="23141" w:name="_Toc19395387"/>
      <w:r w:rsidRPr="00223EC7">
        <w:rPr>
          <w:rFonts w:hint="cs"/>
          <w:rtl/>
        </w:rPr>
        <w:t>קושית הרשב"א דכיון דסתמא בתרא היא כר"מ מבואר דריו"ח ס"ל כר"מ ואמאי לא פסק כן בשחיטה</w:t>
      </w:r>
      <w:bookmarkEnd w:id="23136"/>
      <w:bookmarkEnd w:id="23137"/>
      <w:bookmarkEnd w:id="23138"/>
      <w:bookmarkEnd w:id="23139"/>
      <w:bookmarkEnd w:id="23140"/>
      <w:bookmarkEnd w:id="23141"/>
    </w:p>
    <w:p w14:paraId="17A30018" w14:textId="77777777" w:rsidR="003D504D" w:rsidRPr="00223EC7" w:rsidRDefault="003D504D" w:rsidP="00223668">
      <w:pPr>
        <w:pStyle w:val="a0"/>
        <w:rPr>
          <w:sz w:val="16"/>
          <w:szCs w:val="16"/>
        </w:rPr>
      </w:pPr>
      <w:bookmarkStart w:id="23142" w:name="_Ref3146402"/>
      <w:r w:rsidRPr="00223EC7">
        <w:rPr>
          <w:rFonts w:hint="cs"/>
          <w:rtl/>
        </w:rPr>
        <w:t xml:space="preserve">הקשה </w:t>
      </w:r>
      <w:r w:rsidRPr="00223EC7">
        <w:rPr>
          <w:rStyle w:val="af9"/>
          <w:rFonts w:hint="cs"/>
          <w:rtl/>
        </w:rPr>
        <w:t>הרשב"א בחי' לקמן</w:t>
      </w:r>
      <w:r w:rsidRPr="00223EC7">
        <w:rPr>
          <w:rFonts w:hint="cs"/>
          <w:rtl/>
        </w:rPr>
        <w:t xml:space="preserve"> </w:t>
      </w:r>
      <w:r w:rsidRPr="00223EC7">
        <w:rPr>
          <w:rStyle w:val="af7"/>
          <w:rFonts w:eastAsia="Guttman Hodes" w:hint="cs"/>
          <w:rtl/>
        </w:rPr>
        <w:t>(צב: ד"ה ומיהו נראה)</w:t>
      </w:r>
      <w:r w:rsidRPr="00223EC7">
        <w:rPr>
          <w:rFonts w:hint="cs"/>
          <w:rtl/>
        </w:rPr>
        <w:t xml:space="preserve"> </w:t>
      </w:r>
      <w:r w:rsidRPr="00223EC7">
        <w:rPr>
          <w:rStyle w:val="af9"/>
          <w:rtl/>
        </w:rPr>
        <w:t xml:space="preserve">ובתוה"ב </w:t>
      </w:r>
      <w:r w:rsidRPr="00223EC7">
        <w:rPr>
          <w:rStyle w:val="af7"/>
          <w:rFonts w:eastAsia="Guttman Hodes" w:hint="cs"/>
          <w:rtl/>
        </w:rPr>
        <w:t>(ב"ב ש"ה דף ס. מדה"ס)</w:t>
      </w:r>
      <w:r w:rsidRPr="00223EC7">
        <w:rPr>
          <w:rFonts w:hint="cs"/>
          <w:rtl/>
        </w:rPr>
        <w:t xml:space="preserve"> דכיון דתנא דמתני' </w:t>
      </w:r>
      <w:r w:rsidRPr="00223EC7">
        <w:rPr>
          <w:rStyle w:val="af7"/>
          <w:rFonts w:eastAsia="Guttman Hodes" w:hint="cs"/>
          <w:rtl/>
        </w:rPr>
        <w:t>(פט:)</w:t>
      </w:r>
      <w:r w:rsidRPr="00223EC7">
        <w:rPr>
          <w:rFonts w:hint="cs"/>
          <w:rtl/>
        </w:rPr>
        <w:t xml:space="preserve"> סתם כדעת ר"מ בגיד, ואמר רב הושעיא דהלכו לשיטתם בשחיטה ובגיד, א"כ מבואר דבתחילה ס"ל לתנא דמתני' כר"י ולכן סתם בסוגיין </w:t>
      </w:r>
      <w:r w:rsidRPr="00780C1B">
        <w:rPr>
          <w:rStyle w:val="af7"/>
          <w:rFonts w:eastAsia="Guttman Hodes" w:hint="cs"/>
          <w:rtl/>
        </w:rPr>
        <w:t>(עד.)</w:t>
      </w:r>
      <w:r w:rsidRPr="00223EC7">
        <w:rPr>
          <w:rFonts w:hint="cs"/>
          <w:rtl/>
        </w:rPr>
        <w:t xml:space="preserve"> כר"י לענין שחיטה, ואח"כ ס"ל כר"מ ולכן סתם לקמן </w:t>
      </w:r>
      <w:r w:rsidRPr="00223EC7">
        <w:rPr>
          <w:rStyle w:val="af7"/>
          <w:rFonts w:eastAsia="Guttman Hodes" w:hint="cs"/>
          <w:rtl/>
        </w:rPr>
        <w:t>(פט:)</w:t>
      </w:r>
      <w:r w:rsidRPr="00223EC7">
        <w:rPr>
          <w:rFonts w:hint="cs"/>
          <w:rtl/>
        </w:rPr>
        <w:t xml:space="preserve"> כר"מ לענין גיד, וכיון דהסתמא דגיד היא סתמא בתרא הכי קיי"ל דהא בחדא מסכתא יש סדר למשנה, וא"כ דסל לריו"ח דקיי"ל כסתם משנה, א"כ מבואר דהא דאמר ריו"ח דחדשים גרמי בחלב, ס"ל כר"מ דאסר בחלב של בן ט' חי, וא"כ היה לו לפסוק כר"מ אף לענין שחיטה, דבן ט' חי אינו ניתר בשחיטת אמו, והא בגמ' לקמן </w:t>
      </w:r>
      <w:r w:rsidRPr="00223EC7">
        <w:rPr>
          <w:rStyle w:val="af7"/>
          <w:rFonts w:eastAsia="Guttman Hodes" w:hint="cs"/>
          <w:rtl/>
        </w:rPr>
        <w:t>(עה:)</w:t>
      </w:r>
      <w:r w:rsidRPr="00223EC7">
        <w:rPr>
          <w:rFonts w:hint="cs"/>
          <w:rtl/>
        </w:rPr>
        <w:t xml:space="preserve"> מבואר דריו"ח פסק בשחיטה כר"י, דאמר רב אסי לרב זירא דס"ל לריו"ח דבן ט' חי יש לו ד' סימנים להתירו באכילה, ומבואר דלא פסק כר"מ דלא מהני לו שחיטת אמו.</w:t>
      </w:r>
      <w:bookmarkEnd w:id="23142"/>
    </w:p>
    <w:p w14:paraId="63475795" w14:textId="77777777" w:rsidR="003D504D" w:rsidRPr="00223EC7" w:rsidRDefault="003D504D" w:rsidP="003D504D">
      <w:pPr>
        <w:pStyle w:val="a3"/>
      </w:pPr>
      <w:bookmarkStart w:id="23143" w:name="_Toc3535838"/>
      <w:bookmarkStart w:id="23144" w:name="_Toc3543215"/>
      <w:bookmarkStart w:id="23145" w:name="_Toc3550926"/>
      <w:bookmarkStart w:id="23146" w:name="_Toc3551082"/>
      <w:bookmarkStart w:id="23147" w:name="_Toc19391891"/>
      <w:bookmarkStart w:id="23148" w:name="_Toc19395388"/>
      <w:r w:rsidRPr="00223EC7">
        <w:rPr>
          <w:rFonts w:hint="cs"/>
          <w:rtl/>
        </w:rPr>
        <w:t>תירוצי הרשב"א דאמוראי נחלקו אליבא דריו"ח או דריו"ח גופיה לא ס"ל את דין ד' סימנים</w:t>
      </w:r>
      <w:bookmarkEnd w:id="23143"/>
      <w:bookmarkEnd w:id="23144"/>
      <w:bookmarkEnd w:id="23145"/>
      <w:bookmarkEnd w:id="23146"/>
      <w:bookmarkEnd w:id="23147"/>
      <w:bookmarkEnd w:id="23148"/>
    </w:p>
    <w:p w14:paraId="42F7D82E" w14:textId="77777777" w:rsidR="003D504D" w:rsidRDefault="003D504D" w:rsidP="00223668">
      <w:pPr>
        <w:pStyle w:val="a0"/>
        <w:rPr>
          <w:rtl/>
        </w:rPr>
      </w:pPr>
      <w:r w:rsidRPr="00223EC7">
        <w:rPr>
          <w:rFonts w:hint="cs"/>
          <w:rtl/>
        </w:rPr>
        <w:t xml:space="preserve">וכתב </w:t>
      </w:r>
      <w:r w:rsidRPr="00223EC7">
        <w:rPr>
          <w:rStyle w:val="af9"/>
          <w:rFonts w:hint="cs"/>
          <w:rtl/>
        </w:rPr>
        <w:t>הרשב"א בחי' לקמן</w:t>
      </w:r>
      <w:r w:rsidRPr="00223EC7">
        <w:rPr>
          <w:rFonts w:hint="cs"/>
          <w:rtl/>
        </w:rPr>
        <w:t xml:space="preserve"> </w:t>
      </w:r>
      <w:r w:rsidRPr="00223EC7">
        <w:rPr>
          <w:rStyle w:val="af7"/>
          <w:rFonts w:eastAsia="Guttman Hodes" w:hint="cs"/>
          <w:rtl/>
        </w:rPr>
        <w:t>(צב: ד"ה ומיהו נראה)</w:t>
      </w:r>
      <w:r w:rsidRPr="00223EC7">
        <w:rPr>
          <w:rFonts w:hint="cs"/>
          <w:rtl/>
        </w:rPr>
        <w:t xml:space="preserve"> דאולי אפש"ל דנחלקו האמוראים בדעת ריו"ח, והמ"ד בגמ' שם ס"ל כמ"ד דריו"ח אינו </w:t>
      </w:r>
      <w:r>
        <w:rPr>
          <w:rFonts w:hint="cs"/>
          <w:rtl/>
        </w:rPr>
        <w:t xml:space="preserve">פוסק כסתם משנה, </w:t>
      </w:r>
      <w:r>
        <w:rPr>
          <w:rStyle w:val="af9"/>
          <w:rFonts w:hint="cs"/>
          <w:rtl/>
        </w:rPr>
        <w:t xml:space="preserve">והרשב"א </w:t>
      </w:r>
      <w:r>
        <w:rPr>
          <w:rStyle w:val="af9"/>
          <w:rtl/>
        </w:rPr>
        <w:t xml:space="preserve">בתוה"ב </w:t>
      </w:r>
      <w:r w:rsidRPr="00455127">
        <w:rPr>
          <w:rStyle w:val="af7"/>
          <w:rFonts w:eastAsia="Guttman Hodes" w:hint="cs"/>
          <w:rtl/>
        </w:rPr>
        <w:t>(ב"ב ש"ה דף ס. מדה"ס)</w:t>
      </w:r>
      <w:r>
        <w:rPr>
          <w:rFonts w:hint="cs"/>
          <w:rtl/>
        </w:rPr>
        <w:t xml:space="preserve"> תירץ דאפש"ל דהא דאמר ריו"ח לדברי המתיר מותר, כוונתו למ"ד דד' סימנים אכשר ביה רחמנא, אבל ריו"ח עצמו לא ס"ל דד' סימנים אכשר ביה רחמנא, והניח </w:t>
      </w:r>
      <w:r w:rsidRPr="00F057B3">
        <w:rPr>
          <w:rStyle w:val="af9"/>
          <w:rFonts w:hint="cs"/>
          <w:rtl/>
        </w:rPr>
        <w:t xml:space="preserve">הרשב"א </w:t>
      </w:r>
      <w:r>
        <w:rPr>
          <w:rStyle w:val="af9"/>
          <w:rFonts w:hint="cs"/>
          <w:rtl/>
        </w:rPr>
        <w:t xml:space="preserve">בחי' </w:t>
      </w:r>
      <w:r w:rsidRPr="00F057B3">
        <w:rPr>
          <w:rStyle w:val="af9"/>
          <w:rFonts w:hint="cs"/>
          <w:rtl/>
        </w:rPr>
        <w:t>לקמן</w:t>
      </w:r>
      <w:r>
        <w:rPr>
          <w:rFonts w:hint="cs"/>
          <w:rtl/>
        </w:rPr>
        <w:t xml:space="preserve"> בצ"ע.</w:t>
      </w:r>
    </w:p>
    <w:p w14:paraId="392D2983" w14:textId="77777777" w:rsidR="003D504D" w:rsidRPr="003013AD" w:rsidRDefault="003D504D" w:rsidP="003D504D">
      <w:pPr>
        <w:pStyle w:val="a3"/>
        <w:rPr>
          <w:rtl/>
        </w:rPr>
      </w:pPr>
    </w:p>
    <w:p w14:paraId="149E6766" w14:textId="77777777" w:rsidR="003D504D" w:rsidRPr="00C34315" w:rsidRDefault="003D504D" w:rsidP="003D504D">
      <w:pPr>
        <w:pStyle w:val="a3"/>
        <w:rPr>
          <w:rtl/>
        </w:rPr>
      </w:pPr>
      <w:bookmarkStart w:id="23149" w:name="_Toc3535839"/>
      <w:bookmarkStart w:id="23150" w:name="_Toc3543216"/>
      <w:bookmarkStart w:id="23151" w:name="_Toc3550927"/>
      <w:bookmarkStart w:id="23152" w:name="_Toc3551083"/>
      <w:bookmarkStart w:id="23153" w:name="_Toc19391892"/>
      <w:bookmarkStart w:id="23154" w:name="_Toc19395389"/>
      <w:r>
        <w:rPr>
          <w:rFonts w:hint="cs"/>
          <w:rtl/>
        </w:rPr>
        <w:t>דברי הרשב"א דלדעת התוס' דבגיד לא הלכו לשיטתם אין סתירה בין סתימת המשניות</w:t>
      </w:r>
      <w:bookmarkEnd w:id="23149"/>
      <w:bookmarkEnd w:id="23150"/>
      <w:bookmarkEnd w:id="23151"/>
      <w:bookmarkEnd w:id="23152"/>
      <w:bookmarkEnd w:id="23153"/>
      <w:bookmarkEnd w:id="23154"/>
    </w:p>
    <w:p w14:paraId="1BF1819C" w14:textId="77777777" w:rsidR="003D504D" w:rsidRDefault="003D504D" w:rsidP="00223668">
      <w:pPr>
        <w:pStyle w:val="a0"/>
        <w:rPr>
          <w:rtl/>
        </w:rPr>
      </w:pPr>
      <w:r>
        <w:rPr>
          <w:rFonts w:hint="cs"/>
          <w:rtl/>
        </w:rPr>
        <w:t xml:space="preserve">והביא </w:t>
      </w:r>
      <w:r w:rsidRPr="00D40CE2">
        <w:rPr>
          <w:rStyle w:val="af9"/>
          <w:rFonts w:hint="cs"/>
          <w:rtl/>
        </w:rPr>
        <w:t xml:space="preserve">הרשב"א </w:t>
      </w:r>
      <w:r>
        <w:rPr>
          <w:rStyle w:val="af9"/>
          <w:rFonts w:hint="cs"/>
          <w:rtl/>
        </w:rPr>
        <w:t xml:space="preserve">בחי' </w:t>
      </w:r>
      <w:r w:rsidRPr="00D40CE2">
        <w:rPr>
          <w:rStyle w:val="af9"/>
          <w:rFonts w:hint="cs"/>
          <w:rtl/>
        </w:rPr>
        <w:t>לקמן</w:t>
      </w:r>
      <w:r>
        <w:rPr>
          <w:rFonts w:hint="cs"/>
          <w:rtl/>
        </w:rPr>
        <w:t xml:space="preserve"> </w:t>
      </w:r>
      <w:r w:rsidRPr="00D40CE2">
        <w:rPr>
          <w:rStyle w:val="af7"/>
          <w:rFonts w:eastAsia="Guttman Hodes" w:hint="cs"/>
          <w:rtl/>
        </w:rPr>
        <w:t xml:space="preserve">(צב: ד"ה </w:t>
      </w:r>
      <w:r>
        <w:rPr>
          <w:rStyle w:val="af7"/>
          <w:rFonts w:eastAsia="Guttman Hodes" w:hint="cs"/>
          <w:rtl/>
        </w:rPr>
        <w:t>ומיהו נראה</w:t>
      </w:r>
      <w:r w:rsidRPr="00D40CE2">
        <w:rPr>
          <w:rStyle w:val="af7"/>
          <w:rFonts w:eastAsia="Guttman Hodes" w:hint="cs"/>
          <w:rtl/>
        </w:rPr>
        <w:t>)</w:t>
      </w:r>
      <w:r>
        <w:rPr>
          <w:rFonts w:hint="cs"/>
          <w:rtl/>
        </w:rPr>
        <w:t xml:space="preserve"> </w:t>
      </w:r>
      <w:r>
        <w:rPr>
          <w:rStyle w:val="af9"/>
          <w:rFonts w:hint="cs"/>
          <w:rtl/>
        </w:rPr>
        <w:t>ו</w:t>
      </w:r>
      <w:r>
        <w:rPr>
          <w:rStyle w:val="af9"/>
          <w:rtl/>
        </w:rPr>
        <w:t xml:space="preserve">בתוה"ב </w:t>
      </w:r>
      <w:r w:rsidRPr="00455127">
        <w:rPr>
          <w:rStyle w:val="af7"/>
          <w:rFonts w:eastAsia="Guttman Hodes" w:hint="cs"/>
          <w:rtl/>
        </w:rPr>
        <w:t>(ב"ב ש"ה דף ס. מדה"ס)</w:t>
      </w:r>
      <w:r>
        <w:rPr>
          <w:rFonts w:hint="cs"/>
          <w:rtl/>
        </w:rPr>
        <w:t xml:space="preserve"> את דבריו בשם </w:t>
      </w:r>
      <w:r>
        <w:rPr>
          <w:rStyle w:val="af9"/>
          <w:rFonts w:hint="cs"/>
          <w:rtl/>
        </w:rPr>
        <w:t>ה</w:t>
      </w:r>
      <w:r w:rsidRPr="000368A4">
        <w:rPr>
          <w:rStyle w:val="af9"/>
          <w:rFonts w:hint="cs"/>
          <w:rtl/>
        </w:rPr>
        <w:t>תוס'</w:t>
      </w:r>
      <w:r>
        <w:rPr>
          <w:rStyle w:val="af9"/>
          <w:rFonts w:hint="cs"/>
          <w:rtl/>
        </w:rPr>
        <w:t xml:space="preserve"> </w:t>
      </w:r>
      <w:r w:rsidRPr="007B3E2D">
        <w:rPr>
          <w:rStyle w:val="af7"/>
          <w:rFonts w:eastAsia="Guttman Hodes" w:hint="cs"/>
          <w:rtl/>
        </w:rPr>
        <w:t xml:space="preserve">(עי' אות </w:t>
      </w:r>
      <w:r w:rsidRPr="007B3E2D">
        <w:rPr>
          <w:rStyle w:val="af7"/>
          <w:rFonts w:eastAsia="Guttman Hodes"/>
          <w:rtl/>
        </w:rPr>
        <w:fldChar w:fldCharType="begin"/>
      </w:r>
      <w:r w:rsidRPr="007B3E2D">
        <w:rPr>
          <w:rStyle w:val="af7"/>
          <w:rFonts w:eastAsia="Guttman Hodes"/>
          <w:rtl/>
        </w:rPr>
        <w:instrText xml:space="preserve"> </w:instrText>
      </w:r>
      <w:r w:rsidRPr="007B3E2D">
        <w:rPr>
          <w:rStyle w:val="af7"/>
          <w:rFonts w:eastAsia="Guttman Hodes" w:hint="cs"/>
        </w:rPr>
        <w:instrText>REF</w:instrText>
      </w:r>
      <w:r w:rsidRPr="007B3E2D">
        <w:rPr>
          <w:rStyle w:val="af7"/>
          <w:rFonts w:eastAsia="Guttman Hodes" w:hint="cs"/>
          <w:rtl/>
        </w:rPr>
        <w:instrText xml:space="preserve"> _</w:instrText>
      </w:r>
      <w:r w:rsidRPr="007B3E2D">
        <w:rPr>
          <w:rStyle w:val="af7"/>
          <w:rFonts w:eastAsia="Guttman Hodes" w:hint="cs"/>
        </w:rPr>
        <w:instrText>Ref2850869 \r \h</w:instrText>
      </w:r>
      <w:r w:rsidRPr="007B3E2D">
        <w:rPr>
          <w:rStyle w:val="af7"/>
          <w:rFonts w:eastAsia="Guttman Hodes"/>
          <w:rtl/>
        </w:rPr>
        <w:instrText xml:space="preserve"> </w:instrText>
      </w:r>
      <w:r w:rsidRPr="007B3E2D">
        <w:rPr>
          <w:rStyle w:val="af7"/>
          <w:rFonts w:eastAsia="Guttman Hodes"/>
          <w:rtl/>
        </w:rPr>
      </w:r>
      <w:r w:rsidRPr="007B3E2D">
        <w:rPr>
          <w:rStyle w:val="af7"/>
          <w:rFonts w:eastAsia="Guttman Hodes"/>
          <w:rtl/>
        </w:rPr>
        <w:fldChar w:fldCharType="separate"/>
      </w:r>
      <w:r w:rsidR="00345400">
        <w:rPr>
          <w:rStyle w:val="af7"/>
          <w:rFonts w:eastAsia="Guttman Hodes"/>
          <w:cs/>
        </w:rPr>
        <w:t>‎</w:t>
      </w:r>
      <w:r w:rsidR="00345400">
        <w:rPr>
          <w:rStyle w:val="af7"/>
          <w:rFonts w:eastAsia="Guttman Hodes"/>
          <w:rtl/>
        </w:rPr>
        <w:t>כג)</w:t>
      </w:r>
      <w:r w:rsidRPr="007B3E2D">
        <w:rPr>
          <w:rStyle w:val="af7"/>
          <w:rFonts w:eastAsia="Guttman Hodes"/>
          <w:rtl/>
        </w:rPr>
        <w:fldChar w:fldCharType="end"/>
      </w:r>
      <w:r>
        <w:rPr>
          <w:rFonts w:hint="cs"/>
          <w:rtl/>
        </w:rPr>
        <w:t xml:space="preserve"> דביארו את דברי רב הושעיא דהלכו לשיטתם רק לענין </w:t>
      </w:r>
      <w:r w:rsidRPr="007C45BC">
        <w:rPr>
          <w:rFonts w:hint="cs"/>
          <w:rtl/>
        </w:rPr>
        <w:t>חלב ושחיטה</w:t>
      </w:r>
      <w:r>
        <w:rPr>
          <w:rFonts w:hint="cs"/>
          <w:rtl/>
        </w:rPr>
        <w:t>,</w:t>
      </w:r>
      <w:r w:rsidRPr="007C45BC">
        <w:rPr>
          <w:rFonts w:hint="cs"/>
          <w:rtl/>
        </w:rPr>
        <w:t xml:space="preserve"> ולא לענין גיד</w:t>
      </w:r>
      <w:r>
        <w:rPr>
          <w:rFonts w:hint="cs"/>
          <w:rtl/>
        </w:rPr>
        <w:t xml:space="preserve">, וכתב </w:t>
      </w:r>
      <w:r w:rsidRPr="004739D9">
        <w:rPr>
          <w:rStyle w:val="af9"/>
          <w:rFonts w:hint="cs"/>
          <w:rtl/>
        </w:rPr>
        <w:t xml:space="preserve">הרשב"א </w:t>
      </w:r>
      <w:r>
        <w:rPr>
          <w:rStyle w:val="af9"/>
          <w:rFonts w:hint="cs"/>
          <w:rtl/>
        </w:rPr>
        <w:t xml:space="preserve">בחי' </w:t>
      </w:r>
      <w:r w:rsidRPr="00D40CE2">
        <w:rPr>
          <w:rStyle w:val="af9"/>
          <w:rFonts w:hint="cs"/>
          <w:rtl/>
        </w:rPr>
        <w:t>לקמן</w:t>
      </w:r>
      <w:r>
        <w:rPr>
          <w:rFonts w:hint="cs"/>
          <w:rtl/>
        </w:rPr>
        <w:t xml:space="preserve"> </w:t>
      </w:r>
      <w:r>
        <w:rPr>
          <w:rStyle w:val="af9"/>
          <w:rFonts w:hint="cs"/>
          <w:rtl/>
        </w:rPr>
        <w:t>ו</w:t>
      </w:r>
      <w:r>
        <w:rPr>
          <w:rStyle w:val="af9"/>
          <w:rtl/>
        </w:rPr>
        <w:t>בתוה"ב</w:t>
      </w:r>
      <w:r>
        <w:rPr>
          <w:rFonts w:hint="cs"/>
          <w:rtl/>
        </w:rPr>
        <w:t xml:space="preserve"> דלפי"ז אפשר ליישב דאין סתירה בין המשניות, דלענין שחיטה סתמה המשנה בסוגיין כר"י, ולענין חלב דהלכו לשיטתן בשחיטה, א"כ כיון דהא בהא תליא אף בחלב קיי"ל כר"י, אבל לענין גידו לא הלכו לשיטתן, ואינו שייך כלל למחלוקתם בענין שחיטה וחלב, ולכן קיי"ל כסתמא דמתני' בגיד כר"מ, וכתב </w:t>
      </w:r>
      <w:r w:rsidRPr="004739D9">
        <w:rPr>
          <w:rStyle w:val="af9"/>
          <w:rFonts w:hint="cs"/>
          <w:rtl/>
        </w:rPr>
        <w:t xml:space="preserve">הרשב"א </w:t>
      </w:r>
      <w:r>
        <w:rPr>
          <w:rStyle w:val="af9"/>
          <w:rFonts w:hint="cs"/>
          <w:rtl/>
        </w:rPr>
        <w:t xml:space="preserve">בחי' </w:t>
      </w:r>
      <w:r w:rsidRPr="00D40CE2">
        <w:rPr>
          <w:rStyle w:val="af9"/>
          <w:rFonts w:hint="cs"/>
          <w:rtl/>
        </w:rPr>
        <w:t>לקמן</w:t>
      </w:r>
      <w:r>
        <w:rPr>
          <w:rFonts w:hint="cs"/>
          <w:rtl/>
        </w:rPr>
        <w:t xml:space="preserve"> </w:t>
      </w:r>
      <w:r>
        <w:rPr>
          <w:rStyle w:val="af9"/>
          <w:rFonts w:hint="cs"/>
          <w:rtl/>
        </w:rPr>
        <w:t>ו</w:t>
      </w:r>
      <w:r>
        <w:rPr>
          <w:rStyle w:val="af9"/>
          <w:rtl/>
        </w:rPr>
        <w:t>בתוה"ב</w:t>
      </w:r>
      <w:r>
        <w:rPr>
          <w:rFonts w:hint="cs"/>
          <w:rtl/>
        </w:rPr>
        <w:t xml:space="preserve"> דבזה מיושבת גם הקושיה על ריו"ח דפסק כב' המשניות שסתמו בשחיטה כר"י ובגיד כר"מ, דאי"ז סתירא כלל, דבגיד לא הלכו לשיטתם בשחיטה.</w:t>
      </w:r>
    </w:p>
    <w:p w14:paraId="1B05F113" w14:textId="77777777" w:rsidR="007D3AFB" w:rsidRPr="007D3AFB" w:rsidRDefault="007D3AFB" w:rsidP="007D3AFB">
      <w:pPr>
        <w:pStyle w:val="a3"/>
        <w:rPr>
          <w:rtl/>
        </w:rPr>
      </w:pPr>
    </w:p>
    <w:p w14:paraId="4DFE309B" w14:textId="77777777" w:rsidR="007D3AFB" w:rsidRPr="007D3AFB" w:rsidRDefault="007D3AFB" w:rsidP="007D3AFB">
      <w:pPr>
        <w:pStyle w:val="a3"/>
        <w:rPr>
          <w:rtl/>
        </w:rPr>
      </w:pPr>
    </w:p>
    <w:p w14:paraId="2B9B87D2" w14:textId="77777777" w:rsidR="007D3AFB" w:rsidRPr="007D3AFB" w:rsidRDefault="007D3AFB" w:rsidP="007D3AFB">
      <w:pPr>
        <w:pStyle w:val="a3"/>
        <w:rPr>
          <w:rtl/>
        </w:rPr>
      </w:pPr>
    </w:p>
    <w:p w14:paraId="08B65125" w14:textId="77777777" w:rsidR="003D504D" w:rsidRDefault="003D504D" w:rsidP="003D504D">
      <w:pPr>
        <w:pStyle w:val="afe"/>
        <w:rPr>
          <w:rtl/>
        </w:rPr>
      </w:pPr>
      <w:bookmarkStart w:id="23155" w:name="_Toc19436310"/>
      <w:bookmarkStart w:id="23156" w:name="_Toc20081456"/>
      <w:bookmarkStart w:id="23157" w:name="_Toc2500229"/>
      <w:bookmarkStart w:id="23158" w:name="_Toc2541656"/>
      <w:bookmarkStart w:id="23159" w:name="_Toc2597311"/>
      <w:bookmarkStart w:id="23160" w:name="_Toc2718665"/>
      <w:bookmarkStart w:id="23161" w:name="_Toc2866727"/>
      <w:bookmarkStart w:id="23162" w:name="_Toc3234494"/>
      <w:bookmarkStart w:id="23163" w:name="_Toc3287732"/>
      <w:bookmarkStart w:id="23164" w:name="_Toc3322245"/>
      <w:bookmarkStart w:id="23165" w:name="_Toc3480709"/>
      <w:bookmarkStart w:id="23166" w:name="_Toc3484984"/>
      <w:bookmarkStart w:id="23167" w:name="_Toc3535840"/>
      <w:bookmarkStart w:id="23168" w:name="_Toc3543217"/>
      <w:bookmarkStart w:id="23169" w:name="_Toc3550928"/>
      <w:bookmarkStart w:id="23170" w:name="_Toc3551084"/>
      <w:bookmarkEnd w:id="22275"/>
      <w:bookmarkEnd w:id="22276"/>
      <w:bookmarkEnd w:id="22277"/>
      <w:bookmarkEnd w:id="23134"/>
      <w:bookmarkEnd w:id="23135"/>
      <w:r>
        <w:rPr>
          <w:rFonts w:hint="cs"/>
          <w:rtl/>
        </w:rPr>
        <w:t>דעת רבינו אפרים</w:t>
      </w:r>
      <w:bookmarkEnd w:id="23155"/>
      <w:bookmarkEnd w:id="23156"/>
    </w:p>
    <w:p w14:paraId="5553A15A" w14:textId="77777777" w:rsidR="003D504D" w:rsidRPr="00E9177A" w:rsidRDefault="003D504D" w:rsidP="00BF39B2">
      <w:pPr>
        <w:pStyle w:val="1"/>
        <w:rPr>
          <w:rtl/>
        </w:rPr>
      </w:pPr>
      <w:bookmarkStart w:id="23171" w:name="_Toc19391893"/>
      <w:bookmarkStart w:id="23172" w:name="_Toc19395390"/>
      <w:r>
        <w:rPr>
          <w:rFonts w:hint="cs"/>
          <w:rtl/>
        </w:rPr>
        <w:t>דעת רבינו אפרים</w:t>
      </w:r>
      <w:bookmarkEnd w:id="23157"/>
      <w:bookmarkEnd w:id="23158"/>
      <w:bookmarkEnd w:id="23159"/>
      <w:bookmarkEnd w:id="23160"/>
      <w:bookmarkEnd w:id="23161"/>
      <w:bookmarkEnd w:id="23162"/>
      <w:bookmarkEnd w:id="23163"/>
      <w:bookmarkEnd w:id="23164"/>
      <w:bookmarkEnd w:id="23165"/>
      <w:bookmarkEnd w:id="23166"/>
      <w:r>
        <w:rPr>
          <w:rFonts w:hint="cs"/>
          <w:rtl/>
        </w:rPr>
        <w:t xml:space="preserve"> דקיי"ל כר"מ בשחיטה ובחלב כדפסק ריו"ח</w:t>
      </w:r>
      <w:bookmarkEnd w:id="23167"/>
      <w:bookmarkEnd w:id="23168"/>
      <w:bookmarkEnd w:id="23169"/>
      <w:bookmarkEnd w:id="23170"/>
      <w:bookmarkEnd w:id="23171"/>
      <w:bookmarkEnd w:id="23172"/>
      <w:r>
        <w:rPr>
          <w:rFonts w:hint="cs"/>
          <w:rtl/>
        </w:rPr>
        <w:t xml:space="preserve"> </w:t>
      </w:r>
    </w:p>
    <w:p w14:paraId="0461DA48" w14:textId="77777777" w:rsidR="003D504D" w:rsidRDefault="003D504D" w:rsidP="003D504D">
      <w:pPr>
        <w:pStyle w:val="a3"/>
        <w:rPr>
          <w:rtl/>
        </w:rPr>
      </w:pPr>
      <w:bookmarkStart w:id="23173" w:name="_Toc3535841"/>
      <w:bookmarkStart w:id="23174" w:name="_Toc3543218"/>
      <w:bookmarkStart w:id="23175" w:name="_Toc3550929"/>
      <w:bookmarkStart w:id="23176" w:name="_Toc3551085"/>
      <w:bookmarkStart w:id="23177" w:name="_Toc19391894"/>
      <w:bookmarkStart w:id="23178" w:name="_Toc19395391"/>
      <w:r>
        <w:rPr>
          <w:rFonts w:hint="cs"/>
          <w:rtl/>
        </w:rPr>
        <w:t>דברי רבינו אפרים דכיון דקיי"ל כריו"ח דחדשים גרמי לכן קיי"ל כר"מ לענין שחיטה וחלב</w:t>
      </w:r>
      <w:bookmarkEnd w:id="23173"/>
      <w:bookmarkEnd w:id="23174"/>
      <w:bookmarkEnd w:id="23175"/>
      <w:bookmarkEnd w:id="23176"/>
      <w:bookmarkEnd w:id="23177"/>
      <w:bookmarkEnd w:id="23178"/>
    </w:p>
    <w:p w14:paraId="38FFB4CE" w14:textId="77777777" w:rsidR="003D504D" w:rsidRDefault="003D504D" w:rsidP="00223668">
      <w:pPr>
        <w:pStyle w:val="a0"/>
        <w:rPr>
          <w:rtl/>
        </w:rPr>
      </w:pPr>
      <w:bookmarkStart w:id="23179" w:name="_Ref3494567"/>
      <w:r>
        <w:rPr>
          <w:rFonts w:hint="cs"/>
          <w:rtl/>
        </w:rPr>
        <w:t xml:space="preserve">הביאו </w:t>
      </w:r>
      <w:r w:rsidRPr="00E419A6">
        <w:rPr>
          <w:rStyle w:val="af9"/>
          <w:rFonts w:hint="cs"/>
          <w:rtl/>
        </w:rPr>
        <w:t>העיטור</w:t>
      </w:r>
      <w:r>
        <w:rPr>
          <w:rFonts w:hint="cs"/>
          <w:rtl/>
        </w:rPr>
        <w:t xml:space="preserve"> </w:t>
      </w:r>
      <w:r w:rsidRPr="00F12178">
        <w:rPr>
          <w:rStyle w:val="af7"/>
          <w:rFonts w:eastAsia="Guttman Hodes" w:hint="cs"/>
          <w:rtl/>
        </w:rPr>
        <w:t>(</w:t>
      </w:r>
      <w:r w:rsidRPr="00F12178">
        <w:rPr>
          <w:rStyle w:val="af7"/>
          <w:rFonts w:eastAsia="Guttman Hodes"/>
          <w:rtl/>
        </w:rPr>
        <w:t>ש</w:t>
      </w:r>
      <w:r w:rsidRPr="00F12178">
        <w:rPr>
          <w:rStyle w:val="af7"/>
          <w:rFonts w:eastAsia="Guttman Hodes" w:hint="cs"/>
          <w:rtl/>
        </w:rPr>
        <w:t>"</w:t>
      </w:r>
      <w:r w:rsidRPr="00F12178">
        <w:rPr>
          <w:rStyle w:val="af7"/>
          <w:rFonts w:eastAsia="Guttman Hodes"/>
          <w:rtl/>
        </w:rPr>
        <w:t>ב</w:t>
      </w:r>
      <w:r w:rsidRPr="00F12178">
        <w:rPr>
          <w:rStyle w:val="af7"/>
          <w:rFonts w:eastAsia="Guttman Hodes" w:hint="cs"/>
          <w:rtl/>
        </w:rPr>
        <w:t xml:space="preserve"> </w:t>
      </w:r>
      <w:r w:rsidRPr="00F12178">
        <w:rPr>
          <w:rStyle w:val="af7"/>
          <w:rFonts w:eastAsia="Guttman Hodes"/>
          <w:rtl/>
        </w:rPr>
        <w:t xml:space="preserve">הלכות שחיטה </w:t>
      </w:r>
      <w:r w:rsidRPr="00F12178">
        <w:rPr>
          <w:rStyle w:val="af7"/>
          <w:rFonts w:eastAsia="Guttman Hodes" w:hint="cs"/>
          <w:rtl/>
        </w:rPr>
        <w:t xml:space="preserve">ח"ג מהחלק השלישי </w:t>
      </w:r>
      <w:r w:rsidRPr="00F12178">
        <w:rPr>
          <w:rStyle w:val="af7"/>
          <w:rFonts w:eastAsia="Guttman Hodes"/>
          <w:rtl/>
        </w:rPr>
        <w:t>דף כ</w:t>
      </w:r>
      <w:r w:rsidRPr="00F12178">
        <w:rPr>
          <w:rStyle w:val="af7"/>
          <w:rFonts w:eastAsia="Guttman Hodes" w:hint="cs"/>
          <w:rtl/>
        </w:rPr>
        <w:t>"</w:t>
      </w:r>
      <w:r>
        <w:rPr>
          <w:rStyle w:val="af7"/>
          <w:rFonts w:eastAsia="Guttman Hodes" w:hint="cs"/>
          <w:rtl/>
        </w:rPr>
        <w:t>ט.</w:t>
      </w:r>
      <w:r w:rsidRPr="00F12178">
        <w:rPr>
          <w:rStyle w:val="af7"/>
          <w:rFonts w:eastAsia="Guttman Hodes" w:hint="cs"/>
          <w:rtl/>
        </w:rPr>
        <w:t>, הועתק בקובץ שיטות קמאי חולין ח"ב עמ' אלף תרנ"</w:t>
      </w:r>
      <w:r>
        <w:rPr>
          <w:rStyle w:val="af7"/>
          <w:rFonts w:eastAsia="Guttman Hodes" w:hint="cs"/>
          <w:rtl/>
        </w:rPr>
        <w:t>ז</w:t>
      </w:r>
      <w:r w:rsidRPr="00F12178">
        <w:rPr>
          <w:rStyle w:val="af7"/>
          <w:rFonts w:eastAsia="Guttman Hodes" w:hint="cs"/>
          <w:rtl/>
        </w:rPr>
        <w:t xml:space="preserve">) </w:t>
      </w:r>
      <w:r w:rsidRPr="00D40CE2">
        <w:rPr>
          <w:rStyle w:val="af9"/>
          <w:rFonts w:hint="cs"/>
          <w:rtl/>
        </w:rPr>
        <w:t xml:space="preserve">והרשב"א </w:t>
      </w:r>
      <w:r>
        <w:rPr>
          <w:rStyle w:val="af9"/>
          <w:rtl/>
        </w:rPr>
        <w:t xml:space="preserve">בחי' </w:t>
      </w:r>
      <w:r w:rsidRPr="00D40CE2">
        <w:rPr>
          <w:rStyle w:val="af9"/>
          <w:rFonts w:hint="cs"/>
          <w:rtl/>
        </w:rPr>
        <w:t>לקמן</w:t>
      </w:r>
      <w:r>
        <w:rPr>
          <w:rFonts w:hint="cs"/>
          <w:rtl/>
        </w:rPr>
        <w:t xml:space="preserve"> </w:t>
      </w:r>
      <w:r w:rsidRPr="00D40CE2">
        <w:rPr>
          <w:rStyle w:val="af7"/>
          <w:rFonts w:eastAsia="Guttman Hodes" w:hint="cs"/>
          <w:rtl/>
        </w:rPr>
        <w:t xml:space="preserve">(צב: ד"ה </w:t>
      </w:r>
      <w:r>
        <w:rPr>
          <w:rStyle w:val="af7"/>
          <w:rFonts w:eastAsia="Guttman Hodes" w:hint="cs"/>
          <w:rtl/>
        </w:rPr>
        <w:t>ולענין</w:t>
      </w:r>
      <w:r w:rsidRPr="00D40CE2">
        <w:rPr>
          <w:rStyle w:val="af7"/>
          <w:rFonts w:eastAsia="Guttman Hodes" w:hint="cs"/>
          <w:rtl/>
        </w:rPr>
        <w:t>)</w:t>
      </w:r>
      <w:r>
        <w:rPr>
          <w:rFonts w:hint="cs"/>
          <w:rtl/>
        </w:rPr>
        <w:t xml:space="preserve"> </w:t>
      </w:r>
      <w:r>
        <w:rPr>
          <w:rStyle w:val="af9"/>
          <w:rtl/>
        </w:rPr>
        <w:t xml:space="preserve">ובתוה"ב </w:t>
      </w:r>
      <w:r>
        <w:rPr>
          <w:rStyle w:val="af7"/>
          <w:rFonts w:eastAsia="Guttman Hodes" w:hint="cs"/>
          <w:rtl/>
        </w:rPr>
        <w:t>(ב"ב ש"ה דף נט: מדה"ס)</w:t>
      </w:r>
      <w:r>
        <w:rPr>
          <w:rFonts w:hint="cs"/>
          <w:rtl/>
        </w:rPr>
        <w:t xml:space="preserve"> </w:t>
      </w:r>
      <w:r>
        <w:rPr>
          <w:rStyle w:val="af9"/>
          <w:rFonts w:hint="cs"/>
          <w:rtl/>
        </w:rPr>
        <w:t>ו</w:t>
      </w:r>
      <w:r w:rsidRPr="007548FE">
        <w:rPr>
          <w:rStyle w:val="af9"/>
          <w:rFonts w:hint="cs"/>
          <w:rtl/>
        </w:rPr>
        <w:t>הריטב"א</w:t>
      </w:r>
      <w:r>
        <w:rPr>
          <w:rFonts w:hint="cs"/>
          <w:rtl/>
        </w:rPr>
        <w:t xml:space="preserve"> </w:t>
      </w:r>
      <w:r w:rsidRPr="007548FE">
        <w:rPr>
          <w:rStyle w:val="af7"/>
          <w:rFonts w:eastAsia="Guttman Hodes" w:hint="cs"/>
          <w:rtl/>
        </w:rPr>
        <w:t xml:space="preserve">(עד: ד"ה חלבו) </w:t>
      </w:r>
      <w:r>
        <w:rPr>
          <w:rFonts w:hint="cs"/>
          <w:rtl/>
        </w:rPr>
        <w:t xml:space="preserve">בשם </w:t>
      </w:r>
      <w:r w:rsidRPr="007548FE">
        <w:rPr>
          <w:rStyle w:val="af9"/>
          <w:rFonts w:hint="cs"/>
          <w:rtl/>
        </w:rPr>
        <w:t>רבינו אפרים</w:t>
      </w:r>
      <w:r>
        <w:rPr>
          <w:rFonts w:hint="cs"/>
          <w:rtl/>
        </w:rPr>
        <w:t xml:space="preserve"> דכתב דקיי"ל כר"מ דבן ט' אינו מותר בשחיטת אמו וטעון שחיטה, וגידו וחלבו אסור, כדמוכח מהא דאיתא בגמ' לקמן </w:t>
      </w:r>
      <w:r w:rsidRPr="007548FE">
        <w:rPr>
          <w:rStyle w:val="af7"/>
          <w:rFonts w:eastAsia="Guttman Hodes" w:hint="cs"/>
          <w:rtl/>
        </w:rPr>
        <w:t>(עה.)</w:t>
      </w:r>
      <w:r>
        <w:rPr>
          <w:rFonts w:hint="cs"/>
          <w:rtl/>
        </w:rPr>
        <w:t xml:space="preserve"> דריו"ח ס"ל דחלב בן ט' חי הוא כחלב בהמה דחדשים גרמי, ור"ל ס"ל דחלבו כחלב חיה דחדשים ואוירא גרמי.</w:t>
      </w:r>
      <w:bookmarkEnd w:id="23179"/>
    </w:p>
    <w:p w14:paraId="44C8029A" w14:textId="77777777" w:rsidR="003D504D" w:rsidRPr="00FE667C" w:rsidRDefault="003D504D" w:rsidP="003D504D">
      <w:pPr>
        <w:pStyle w:val="a3"/>
      </w:pPr>
      <w:bookmarkStart w:id="23180" w:name="_Toc3535842"/>
      <w:bookmarkStart w:id="23181" w:name="_Toc3543219"/>
      <w:bookmarkStart w:id="23182" w:name="_Toc3550930"/>
      <w:bookmarkStart w:id="23183" w:name="_Toc3551086"/>
      <w:bookmarkStart w:id="23184" w:name="_Toc19391895"/>
      <w:bookmarkStart w:id="23185" w:name="_Toc19395392"/>
      <w:r>
        <w:rPr>
          <w:rFonts w:hint="cs"/>
          <w:rtl/>
        </w:rPr>
        <w:t>ביאור הרשב"א והריטב"א דרבינו אפרים פסק כריו"ח דס"ל כר"מ וביאור העיטור דאף ר"ל ס"ל כר"מ</w:t>
      </w:r>
      <w:bookmarkEnd w:id="23180"/>
      <w:bookmarkEnd w:id="23181"/>
      <w:bookmarkEnd w:id="23182"/>
      <w:bookmarkEnd w:id="23183"/>
      <w:bookmarkEnd w:id="23184"/>
      <w:bookmarkEnd w:id="23185"/>
    </w:p>
    <w:p w14:paraId="48189786" w14:textId="77777777" w:rsidR="003D504D" w:rsidRPr="00AD6008" w:rsidRDefault="003D504D" w:rsidP="00223668">
      <w:pPr>
        <w:pStyle w:val="a0"/>
        <w:rPr>
          <w:rtl/>
        </w:rPr>
      </w:pPr>
      <w:r>
        <w:rPr>
          <w:rFonts w:hint="cs"/>
          <w:rtl/>
        </w:rPr>
        <w:t xml:space="preserve">וכתבו </w:t>
      </w:r>
      <w:r w:rsidRPr="00D40CE2">
        <w:rPr>
          <w:rStyle w:val="af9"/>
          <w:rFonts w:hint="cs"/>
          <w:rtl/>
        </w:rPr>
        <w:t xml:space="preserve">הרשב"א </w:t>
      </w:r>
      <w:r w:rsidRPr="00AD6008">
        <w:rPr>
          <w:rStyle w:val="af9"/>
          <w:rFonts w:hint="cs"/>
          <w:rtl/>
        </w:rPr>
        <w:t>והריטב"א</w:t>
      </w:r>
      <w:r w:rsidRPr="00AD6008">
        <w:rPr>
          <w:rFonts w:hint="cs"/>
          <w:rtl/>
        </w:rPr>
        <w:t xml:space="preserve"> בשם </w:t>
      </w:r>
      <w:r w:rsidRPr="00AD6008">
        <w:rPr>
          <w:rStyle w:val="af9"/>
          <w:rFonts w:hint="cs"/>
          <w:rtl/>
        </w:rPr>
        <w:t>רבינו אפרים</w:t>
      </w:r>
      <w:r w:rsidRPr="00AD6008">
        <w:rPr>
          <w:rFonts w:hint="cs"/>
          <w:rtl/>
        </w:rPr>
        <w:t xml:space="preserve"> דמבואר דריו"ח ס"ל כר"מ ור"ל כר"י, וכיון דקיי"ל כריו"ח לגבי ר"ל א"כ מוכח דקיי"ל כר"מ</w:t>
      </w:r>
      <w:r>
        <w:rPr>
          <w:rFonts w:hint="cs"/>
          <w:rtl/>
        </w:rPr>
        <w:t>,</w:t>
      </w:r>
      <w:r w:rsidRPr="00AD6008">
        <w:rPr>
          <w:rStyle w:val="af9"/>
          <w:rFonts w:hint="cs"/>
          <w:rtl/>
        </w:rPr>
        <w:t xml:space="preserve"> והעיטור</w:t>
      </w:r>
      <w:r>
        <w:rPr>
          <w:rFonts w:hint="cs"/>
          <w:rtl/>
        </w:rPr>
        <w:t xml:space="preserve"> </w:t>
      </w:r>
      <w:r w:rsidRPr="00AD6008">
        <w:rPr>
          <w:rFonts w:hint="cs"/>
          <w:rtl/>
        </w:rPr>
        <w:t xml:space="preserve">כתב בשם </w:t>
      </w:r>
      <w:r w:rsidRPr="00AD6008">
        <w:rPr>
          <w:rStyle w:val="af9"/>
          <w:rFonts w:hint="cs"/>
          <w:rtl/>
        </w:rPr>
        <w:t>רבינו אפרים</w:t>
      </w:r>
      <w:r w:rsidRPr="00AD6008">
        <w:rPr>
          <w:rFonts w:hint="cs"/>
          <w:rtl/>
        </w:rPr>
        <w:t xml:space="preserve"> דבין ריו"ח ובין ר"ל ס"ל כר"מ ולא כר"י</w:t>
      </w:r>
      <w:r>
        <w:rPr>
          <w:rFonts w:hint="cs"/>
          <w:rtl/>
        </w:rPr>
        <w:t xml:space="preserve">, וכדביאר </w:t>
      </w:r>
      <w:r w:rsidRPr="00AD6008">
        <w:rPr>
          <w:rStyle w:val="af9"/>
          <w:rFonts w:hint="cs"/>
          <w:rtl/>
        </w:rPr>
        <w:t>העיטור</w:t>
      </w:r>
      <w:r w:rsidRPr="001D17C4">
        <w:rPr>
          <w:rStyle w:val="af7"/>
          <w:rFonts w:eastAsia="Guttman Hodes" w:hint="cs"/>
          <w:rtl/>
        </w:rPr>
        <w:t xml:space="preserve"> (עי' אות </w:t>
      </w:r>
      <w:r w:rsidRPr="001D17C4">
        <w:rPr>
          <w:rStyle w:val="af7"/>
          <w:rFonts w:eastAsia="Guttman Hodes"/>
          <w:rtl/>
        </w:rPr>
        <w:fldChar w:fldCharType="begin"/>
      </w:r>
      <w:r w:rsidRPr="001D17C4">
        <w:rPr>
          <w:rStyle w:val="af7"/>
          <w:rFonts w:eastAsia="Guttman Hodes"/>
          <w:rtl/>
        </w:rPr>
        <w:instrText xml:space="preserve"> </w:instrText>
      </w:r>
      <w:r w:rsidRPr="001D17C4">
        <w:rPr>
          <w:rStyle w:val="af7"/>
          <w:rFonts w:eastAsia="Guttman Hodes" w:hint="cs"/>
        </w:rPr>
        <w:instrText>REF</w:instrText>
      </w:r>
      <w:r w:rsidRPr="001D17C4">
        <w:rPr>
          <w:rStyle w:val="af7"/>
          <w:rFonts w:eastAsia="Guttman Hodes" w:hint="cs"/>
          <w:rtl/>
        </w:rPr>
        <w:instrText xml:space="preserve"> _</w:instrText>
      </w:r>
      <w:r w:rsidRPr="001D17C4">
        <w:rPr>
          <w:rStyle w:val="af7"/>
          <w:rFonts w:eastAsia="Guttman Hodes" w:hint="cs"/>
        </w:rPr>
        <w:instrText>Ref3493954 \r \h</w:instrText>
      </w:r>
      <w:r w:rsidRPr="001D17C4">
        <w:rPr>
          <w:rStyle w:val="af7"/>
          <w:rFonts w:eastAsia="Guttman Hodes"/>
          <w:rtl/>
        </w:rPr>
        <w:instrText xml:space="preserve"> </w:instrText>
      </w:r>
      <w:r w:rsidRPr="001D17C4">
        <w:rPr>
          <w:rStyle w:val="af7"/>
          <w:rFonts w:eastAsia="Guttman Hodes"/>
          <w:rtl/>
        </w:rPr>
      </w:r>
      <w:r w:rsidRPr="001D17C4">
        <w:rPr>
          <w:rStyle w:val="af7"/>
          <w:rFonts w:eastAsia="Guttman Hodes"/>
          <w:rtl/>
        </w:rPr>
        <w:fldChar w:fldCharType="separate"/>
      </w:r>
      <w:r w:rsidR="00345400">
        <w:rPr>
          <w:rStyle w:val="af7"/>
          <w:rFonts w:eastAsia="Guttman Hodes"/>
          <w:cs/>
        </w:rPr>
        <w:t>‎</w:t>
      </w:r>
      <w:r w:rsidR="00345400">
        <w:rPr>
          <w:rStyle w:val="af7"/>
          <w:rFonts w:eastAsia="Guttman Hodes"/>
          <w:rtl/>
        </w:rPr>
        <w:t>קב)</w:t>
      </w:r>
      <w:r w:rsidRPr="001D17C4">
        <w:rPr>
          <w:rStyle w:val="af7"/>
          <w:rFonts w:eastAsia="Guttman Hodes"/>
          <w:rtl/>
        </w:rPr>
        <w:fldChar w:fldCharType="end"/>
      </w:r>
      <w:r w:rsidRPr="001D17C4">
        <w:rPr>
          <w:rStyle w:val="af7"/>
          <w:rFonts w:eastAsia="Guttman Hodes" w:hint="cs"/>
          <w:rtl/>
        </w:rPr>
        <w:t xml:space="preserve"> </w:t>
      </w:r>
      <w:r>
        <w:rPr>
          <w:rFonts w:hint="cs"/>
          <w:rtl/>
        </w:rPr>
        <w:t>במחלוקתם</w:t>
      </w:r>
      <w:r w:rsidRPr="00AD6008">
        <w:rPr>
          <w:rFonts w:hint="cs"/>
          <w:rtl/>
        </w:rPr>
        <w:t>.</w:t>
      </w:r>
    </w:p>
    <w:p w14:paraId="7279D7C1" w14:textId="77777777" w:rsidR="003D504D" w:rsidRDefault="003D504D" w:rsidP="003D504D">
      <w:pPr>
        <w:pStyle w:val="a3"/>
        <w:rPr>
          <w:rtl/>
        </w:rPr>
      </w:pPr>
      <w:bookmarkStart w:id="23186" w:name="_Toc3535843"/>
      <w:bookmarkStart w:id="23187" w:name="_Toc3543220"/>
      <w:bookmarkStart w:id="23188" w:name="_Toc3550931"/>
      <w:bookmarkStart w:id="23189" w:name="_Toc3551087"/>
      <w:bookmarkStart w:id="23190" w:name="_Toc19391896"/>
      <w:bookmarkStart w:id="23191" w:name="_Toc19395393"/>
      <w:r>
        <w:rPr>
          <w:rFonts w:hint="cs"/>
          <w:rtl/>
        </w:rPr>
        <w:t>השגת הראב"ד על רבינו אפרים דסתמא דמתני' כר"י ולא יתכן דנח' ריו"ח ור"ל בפלוגתת ר"מ ור"י</w:t>
      </w:r>
      <w:bookmarkEnd w:id="23186"/>
      <w:bookmarkEnd w:id="23187"/>
      <w:bookmarkEnd w:id="23188"/>
      <w:bookmarkEnd w:id="23189"/>
      <w:bookmarkEnd w:id="23190"/>
      <w:bookmarkEnd w:id="23191"/>
    </w:p>
    <w:p w14:paraId="4756EC6B" w14:textId="77777777" w:rsidR="003D504D" w:rsidRDefault="003D504D" w:rsidP="00223668">
      <w:pPr>
        <w:pStyle w:val="a0"/>
      </w:pPr>
      <w:bookmarkStart w:id="23192" w:name="_Ref3494851"/>
      <w:r>
        <w:rPr>
          <w:rFonts w:hint="cs"/>
          <w:rtl/>
        </w:rPr>
        <w:t>והשיג</w:t>
      </w:r>
      <w:r>
        <w:rPr>
          <w:rStyle w:val="af9"/>
          <w:rFonts w:hint="cs"/>
          <w:rtl/>
        </w:rPr>
        <w:t xml:space="preserve"> </w:t>
      </w:r>
      <w:r w:rsidRPr="00E95322">
        <w:rPr>
          <w:rStyle w:val="af9"/>
          <w:rFonts w:hint="cs"/>
          <w:rtl/>
        </w:rPr>
        <w:t>הראב"ד</w:t>
      </w:r>
      <w:r>
        <w:rPr>
          <w:rFonts w:hint="cs"/>
          <w:rtl/>
        </w:rPr>
        <w:t xml:space="preserve"> </w:t>
      </w:r>
      <w:r w:rsidRPr="006A2B42">
        <w:rPr>
          <w:rStyle w:val="af7"/>
          <w:rFonts w:eastAsia="Guttman Hodes" w:hint="cs"/>
          <w:rtl/>
        </w:rPr>
        <w:t xml:space="preserve">(הביאו בספר איסור והיתר </w:t>
      </w:r>
      <w:r>
        <w:rPr>
          <w:rStyle w:val="af7"/>
          <w:rFonts w:eastAsia="Guttman Hodes" w:hint="cs"/>
          <w:rtl/>
        </w:rPr>
        <w:t>לרבינו יעקב</w:t>
      </w:r>
      <w:r w:rsidRPr="006A2B42">
        <w:rPr>
          <w:rStyle w:val="af7"/>
          <w:rFonts w:eastAsia="Guttman Hodes" w:hint="cs"/>
          <w:rtl/>
        </w:rPr>
        <w:t xml:space="preserve"> מבניולש פכ"ו</w:t>
      </w:r>
      <w:r>
        <w:rPr>
          <w:rStyle w:val="af7"/>
          <w:rFonts w:eastAsia="Guttman Hodes" w:hint="cs"/>
          <w:rtl/>
        </w:rPr>
        <w:t xml:space="preserve"> ד"ה ואמת כי</w:t>
      </w:r>
      <w:r w:rsidRPr="006A2B42">
        <w:rPr>
          <w:rStyle w:val="af7"/>
          <w:rFonts w:eastAsia="Guttman Hodes" w:hint="cs"/>
          <w:rtl/>
        </w:rPr>
        <w:t>, הועתק בקובץ שיטות קמאי חולין ח"ב עמ' אלף תרמ"ח)</w:t>
      </w:r>
      <w:r>
        <w:rPr>
          <w:rFonts w:hint="cs"/>
          <w:rtl/>
        </w:rPr>
        <w:t xml:space="preserve"> על </w:t>
      </w:r>
      <w:r w:rsidRPr="00E95322">
        <w:rPr>
          <w:rStyle w:val="af9"/>
          <w:rFonts w:hint="cs"/>
          <w:rtl/>
        </w:rPr>
        <w:t>רבינו אפרים</w:t>
      </w:r>
      <w:r>
        <w:rPr>
          <w:rFonts w:hint="cs"/>
          <w:rtl/>
        </w:rPr>
        <w:t xml:space="preserve"> דהרי סתמא דמתני' בסוגיין </w:t>
      </w:r>
      <w:r w:rsidRPr="006A2B42">
        <w:rPr>
          <w:rStyle w:val="af7"/>
          <w:rFonts w:eastAsia="Guttman Hodes" w:hint="cs"/>
          <w:rtl/>
        </w:rPr>
        <w:t>(עד.)</w:t>
      </w:r>
      <w:r>
        <w:rPr>
          <w:rFonts w:hint="cs"/>
          <w:rtl/>
        </w:rPr>
        <w:t xml:space="preserve"> דלרבנן בן ט' חי מותר בשחיטת אמו, והיאך אפש"ל דריו"ח ור"ל נחלקו בפלוגתת ר"מ ור"י, דאינו מסתבר כלל, ועי' בדברי </w:t>
      </w:r>
      <w:r w:rsidRPr="00FB5437">
        <w:rPr>
          <w:rStyle w:val="af9"/>
          <w:rFonts w:hint="cs"/>
          <w:rtl/>
        </w:rPr>
        <w:t>הראב"ד</w:t>
      </w:r>
      <w:r>
        <w:rPr>
          <w:rFonts w:hint="cs"/>
          <w:rtl/>
        </w:rPr>
        <w:t xml:space="preserve"> </w:t>
      </w:r>
      <w:r w:rsidRPr="00FB5437">
        <w:rPr>
          <w:rStyle w:val="af7"/>
          <w:rFonts w:eastAsia="Guttman Hodes" w:hint="cs"/>
          <w:rtl/>
        </w:rPr>
        <w:t xml:space="preserve">(עי' אות </w:t>
      </w:r>
      <w:r w:rsidRPr="00FB5437">
        <w:rPr>
          <w:rStyle w:val="af7"/>
          <w:rFonts w:eastAsia="Guttman Hodes"/>
          <w:rtl/>
        </w:rPr>
        <w:fldChar w:fldCharType="begin"/>
      </w:r>
      <w:r w:rsidRPr="00FB5437">
        <w:rPr>
          <w:rStyle w:val="af7"/>
          <w:rFonts w:eastAsia="Guttman Hodes"/>
          <w:rtl/>
        </w:rPr>
        <w:instrText xml:space="preserve"> </w:instrText>
      </w:r>
      <w:r w:rsidRPr="00FB5437">
        <w:rPr>
          <w:rStyle w:val="af7"/>
          <w:rFonts w:eastAsia="Guttman Hodes" w:hint="cs"/>
        </w:rPr>
        <w:instrText>REF</w:instrText>
      </w:r>
      <w:r w:rsidRPr="00FB5437">
        <w:rPr>
          <w:rStyle w:val="af7"/>
          <w:rFonts w:eastAsia="Guttman Hodes" w:hint="cs"/>
          <w:rtl/>
        </w:rPr>
        <w:instrText xml:space="preserve"> _</w:instrText>
      </w:r>
      <w:r w:rsidRPr="00FB5437">
        <w:rPr>
          <w:rStyle w:val="af7"/>
          <w:rFonts w:eastAsia="Guttman Hodes" w:hint="cs"/>
        </w:rPr>
        <w:instrText>Ref3535624 \r \h</w:instrText>
      </w:r>
      <w:r w:rsidRPr="00FB5437">
        <w:rPr>
          <w:rStyle w:val="af7"/>
          <w:rFonts w:eastAsia="Guttman Hodes"/>
          <w:rtl/>
        </w:rPr>
        <w:instrText xml:space="preserve"> </w:instrText>
      </w:r>
      <w:r w:rsidRPr="00FB5437">
        <w:rPr>
          <w:rStyle w:val="af7"/>
          <w:rFonts w:eastAsia="Guttman Hodes"/>
          <w:rtl/>
        </w:rPr>
      </w:r>
      <w:r w:rsidRPr="00FB5437">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FB5437">
        <w:rPr>
          <w:rStyle w:val="af7"/>
          <w:rFonts w:eastAsia="Guttman Hodes"/>
          <w:rtl/>
        </w:rPr>
        <w:fldChar w:fldCharType="end"/>
      </w:r>
      <w:r>
        <w:rPr>
          <w:rFonts w:hint="cs"/>
          <w:rtl/>
        </w:rPr>
        <w:t xml:space="preserve"> בהשג' על הרמב"ם.</w:t>
      </w:r>
      <w:bookmarkEnd w:id="23192"/>
    </w:p>
    <w:p w14:paraId="6CB88E86" w14:textId="77777777" w:rsidR="003D504D" w:rsidRPr="00E95322" w:rsidRDefault="003D504D" w:rsidP="003D504D">
      <w:pPr>
        <w:pStyle w:val="a3"/>
        <w:rPr>
          <w:rtl/>
        </w:rPr>
      </w:pPr>
      <w:bookmarkStart w:id="23193" w:name="_Toc3535844"/>
      <w:bookmarkStart w:id="23194" w:name="_Toc3543221"/>
      <w:bookmarkStart w:id="23195" w:name="_Toc3550932"/>
      <w:bookmarkStart w:id="23196" w:name="_Toc3551088"/>
      <w:bookmarkStart w:id="23197" w:name="_Toc19391897"/>
      <w:bookmarkStart w:id="23198" w:name="_Toc19395394"/>
      <w:r>
        <w:rPr>
          <w:rFonts w:hint="cs"/>
          <w:rtl/>
        </w:rPr>
        <w:t>קושית הרשב"א והריטב"א על רבינו אפרים דמוכח בסוגיין דקיי"ל כר"י ולא כר"מ</w:t>
      </w:r>
      <w:bookmarkEnd w:id="23193"/>
      <w:bookmarkEnd w:id="23194"/>
      <w:bookmarkEnd w:id="23195"/>
      <w:bookmarkEnd w:id="23196"/>
      <w:bookmarkEnd w:id="23197"/>
      <w:bookmarkEnd w:id="23198"/>
    </w:p>
    <w:p w14:paraId="7F4099B8" w14:textId="77777777" w:rsidR="003D504D" w:rsidRDefault="003D504D" w:rsidP="00223668">
      <w:pPr>
        <w:pStyle w:val="a0"/>
        <w:rPr>
          <w:rtl/>
        </w:rPr>
      </w:pPr>
      <w:r>
        <w:rPr>
          <w:rStyle w:val="af9"/>
          <w:rFonts w:hint="cs"/>
          <w:rtl/>
        </w:rPr>
        <w:t xml:space="preserve">והרשב"א </w:t>
      </w:r>
      <w:r>
        <w:rPr>
          <w:rStyle w:val="af9"/>
          <w:rtl/>
        </w:rPr>
        <w:t>בחי' לקמן</w:t>
      </w:r>
      <w:r>
        <w:rPr>
          <w:rtl/>
        </w:rPr>
        <w:t xml:space="preserve"> </w:t>
      </w:r>
      <w:r w:rsidRPr="00D40CE2">
        <w:rPr>
          <w:rStyle w:val="af7"/>
          <w:rFonts w:eastAsia="Guttman Hodes" w:hint="cs"/>
          <w:rtl/>
        </w:rPr>
        <w:t xml:space="preserve">(צב: ד"ה </w:t>
      </w:r>
      <w:r>
        <w:rPr>
          <w:rStyle w:val="af7"/>
          <w:rFonts w:eastAsia="Guttman Hodes" w:hint="cs"/>
          <w:rtl/>
        </w:rPr>
        <w:t>ולענין</w:t>
      </w:r>
      <w:r w:rsidRPr="00D40CE2">
        <w:rPr>
          <w:rStyle w:val="af7"/>
          <w:rFonts w:eastAsia="Guttman Hodes" w:hint="cs"/>
          <w:rtl/>
        </w:rPr>
        <w:t>)</w:t>
      </w:r>
      <w:r>
        <w:rPr>
          <w:rFonts w:hint="cs"/>
          <w:rtl/>
        </w:rPr>
        <w:t xml:space="preserve"> </w:t>
      </w:r>
      <w:r>
        <w:rPr>
          <w:rStyle w:val="af9"/>
          <w:rtl/>
        </w:rPr>
        <w:t xml:space="preserve">ובתוה"ב </w:t>
      </w:r>
      <w:r>
        <w:rPr>
          <w:rStyle w:val="af7"/>
          <w:rFonts w:eastAsia="Guttman Hodes" w:hint="cs"/>
          <w:rtl/>
        </w:rPr>
        <w:t>(ב"ב ש"ה דף נט: מדה"ס)</w:t>
      </w:r>
      <w:r>
        <w:rPr>
          <w:rFonts w:hint="cs"/>
          <w:rtl/>
        </w:rPr>
        <w:t xml:space="preserve"> </w:t>
      </w:r>
      <w:r>
        <w:rPr>
          <w:rStyle w:val="af9"/>
          <w:rFonts w:hint="cs"/>
          <w:rtl/>
        </w:rPr>
        <w:t>ו</w:t>
      </w:r>
      <w:r w:rsidRPr="007548FE">
        <w:rPr>
          <w:rStyle w:val="af9"/>
          <w:rFonts w:hint="cs"/>
          <w:rtl/>
        </w:rPr>
        <w:t>הריטב"א</w:t>
      </w:r>
      <w:r>
        <w:rPr>
          <w:rFonts w:hint="cs"/>
          <w:rtl/>
        </w:rPr>
        <w:t xml:space="preserve"> </w:t>
      </w:r>
      <w:r w:rsidRPr="007548FE">
        <w:rPr>
          <w:rStyle w:val="af7"/>
          <w:rFonts w:eastAsia="Guttman Hodes" w:hint="cs"/>
          <w:rtl/>
        </w:rPr>
        <w:t xml:space="preserve">(עד: ד"ה חלבו) </w:t>
      </w:r>
      <w:r>
        <w:rPr>
          <w:rFonts w:hint="cs"/>
          <w:rtl/>
        </w:rPr>
        <w:t xml:space="preserve">דחו את דברי </w:t>
      </w:r>
      <w:r w:rsidRPr="007548FE">
        <w:rPr>
          <w:rStyle w:val="af9"/>
          <w:rFonts w:hint="cs"/>
          <w:rtl/>
        </w:rPr>
        <w:t>רבינו אפרים</w:t>
      </w:r>
      <w:r>
        <w:rPr>
          <w:rFonts w:hint="cs"/>
          <w:rtl/>
        </w:rPr>
        <w:t xml:space="preserve"> דתנא דמתני' בדין שחיטה סתם כר"י, ועוד דהרי בגמ' לקמן </w:t>
      </w:r>
      <w:r w:rsidRPr="007548FE">
        <w:rPr>
          <w:rStyle w:val="af7"/>
          <w:rFonts w:eastAsia="Guttman Hodes" w:hint="cs"/>
          <w:rtl/>
        </w:rPr>
        <w:t>(עה.)</w:t>
      </w:r>
      <w:r>
        <w:rPr>
          <w:rFonts w:hint="cs"/>
          <w:rtl/>
        </w:rPr>
        <w:t xml:space="preserve"> גבי השוחט את הטריפה ונמצא בה בן ט' חי, אמר רבא דאף לדברי ר"י דמתיר את הבן ט' בשחיטת אמו, אפשר להתיר את הבן ט' בשחיטת עצמו, אף שאמו טריפה, ומהא דרבא רצה להעמיד את דין ולד טריפה אף לר"י, א"כ מוכח דס"ל כר"י, וכרבא קיי"ל דהוא בתראה.</w:t>
      </w:r>
    </w:p>
    <w:p w14:paraId="6C562F89" w14:textId="77777777" w:rsidR="003D504D" w:rsidRDefault="003D504D" w:rsidP="003D504D">
      <w:pPr>
        <w:pStyle w:val="a3"/>
        <w:rPr>
          <w:rtl/>
        </w:rPr>
      </w:pPr>
      <w:bookmarkStart w:id="23199" w:name="_Toc3535845"/>
      <w:bookmarkStart w:id="23200" w:name="_Toc3543222"/>
      <w:bookmarkStart w:id="23201" w:name="_Toc3550933"/>
      <w:bookmarkStart w:id="23202" w:name="_Toc3551089"/>
      <w:bookmarkStart w:id="23203" w:name="_Toc19391898"/>
      <w:bookmarkStart w:id="23204" w:name="_Toc19395395"/>
      <w:r>
        <w:rPr>
          <w:rFonts w:hint="cs"/>
          <w:rtl/>
        </w:rPr>
        <w:t>קושיות הרשב"א והריטב"א דבדברי כל האמוראים בהמשך הסוגיא מוכח דקיי"ל כר"י ולא כר"מ</w:t>
      </w:r>
      <w:bookmarkEnd w:id="23199"/>
      <w:bookmarkEnd w:id="23200"/>
      <w:bookmarkEnd w:id="23201"/>
      <w:bookmarkEnd w:id="23202"/>
      <w:bookmarkEnd w:id="23203"/>
      <w:bookmarkEnd w:id="23204"/>
    </w:p>
    <w:p w14:paraId="416A992C" w14:textId="77777777" w:rsidR="003D504D" w:rsidRDefault="003D504D" w:rsidP="00223668">
      <w:pPr>
        <w:pStyle w:val="a0"/>
        <w:rPr>
          <w:rStyle w:val="afb"/>
          <w:rtl/>
        </w:rPr>
      </w:pPr>
      <w:r>
        <w:rPr>
          <w:rFonts w:hint="cs"/>
          <w:rtl/>
        </w:rPr>
        <w:t xml:space="preserve">והוסיף </w:t>
      </w:r>
      <w:r w:rsidRPr="00FC1453">
        <w:rPr>
          <w:rStyle w:val="af9"/>
          <w:rFonts w:hint="cs"/>
          <w:rtl/>
        </w:rPr>
        <w:t xml:space="preserve">הרשב"א </w:t>
      </w:r>
      <w:r>
        <w:rPr>
          <w:rStyle w:val="af9"/>
          <w:rtl/>
        </w:rPr>
        <w:t>בחי' לקמן</w:t>
      </w:r>
      <w:r>
        <w:rPr>
          <w:rtl/>
        </w:rPr>
        <w:t xml:space="preserve"> </w:t>
      </w:r>
      <w:r>
        <w:rPr>
          <w:rFonts w:hint="cs"/>
          <w:rtl/>
        </w:rPr>
        <w:t xml:space="preserve">דמשמע בגמ' לקמן </w:t>
      </w:r>
      <w:r w:rsidRPr="00CE44D7">
        <w:rPr>
          <w:rStyle w:val="af7"/>
          <w:rFonts w:eastAsia="Guttman Hodes" w:hint="cs"/>
          <w:rtl/>
        </w:rPr>
        <w:t>(עה:)</w:t>
      </w:r>
      <w:r>
        <w:rPr>
          <w:rFonts w:hint="cs"/>
          <w:rtl/>
        </w:rPr>
        <w:t xml:space="preserve"> דאף אביי ס"ל כר"י, דאמר הכל מודים בקלוט בן פקועה דמותר, ומדאביי דן אליבא דר"י משמע דס"ל כוותיה, וכן מבואר בכל דברי האמוראים שם שדנו אליבא דר"י ועוד הוכיחו </w:t>
      </w:r>
      <w:r>
        <w:rPr>
          <w:rStyle w:val="af9"/>
          <w:rFonts w:hint="cs"/>
          <w:rtl/>
        </w:rPr>
        <w:t>הרשב"א</w:t>
      </w:r>
      <w:r w:rsidRPr="0024387D">
        <w:rPr>
          <w:rStyle w:val="af9"/>
          <w:rtl/>
        </w:rPr>
        <w:t xml:space="preserve"> </w:t>
      </w:r>
      <w:r>
        <w:rPr>
          <w:rStyle w:val="af9"/>
          <w:rtl/>
        </w:rPr>
        <w:t>בחי' לקמן</w:t>
      </w:r>
      <w:r>
        <w:rPr>
          <w:rtl/>
        </w:rPr>
        <w:t xml:space="preserve"> </w:t>
      </w:r>
      <w:r>
        <w:rPr>
          <w:rStyle w:val="af9"/>
          <w:rtl/>
        </w:rPr>
        <w:t xml:space="preserve">ובתוה"ב </w:t>
      </w:r>
      <w:r>
        <w:rPr>
          <w:rStyle w:val="af9"/>
          <w:rFonts w:hint="cs"/>
          <w:rtl/>
        </w:rPr>
        <w:t>ו</w:t>
      </w:r>
      <w:r w:rsidRPr="007548FE">
        <w:rPr>
          <w:rStyle w:val="af9"/>
          <w:rFonts w:hint="cs"/>
          <w:rtl/>
        </w:rPr>
        <w:t>הריטב"א</w:t>
      </w:r>
      <w:r>
        <w:rPr>
          <w:rStyle w:val="af9"/>
          <w:rFonts w:hint="cs"/>
          <w:rtl/>
        </w:rPr>
        <w:t xml:space="preserve"> </w:t>
      </w:r>
      <w:r>
        <w:rPr>
          <w:rFonts w:hint="cs"/>
          <w:rtl/>
        </w:rPr>
        <w:t xml:space="preserve">דלא </w:t>
      </w:r>
      <w:r w:rsidRPr="00CE44D7">
        <w:rPr>
          <w:rStyle w:val="af9"/>
          <w:rFonts w:hint="cs"/>
          <w:rtl/>
        </w:rPr>
        <w:t>כרבינו אפרים</w:t>
      </w:r>
      <w:r>
        <w:rPr>
          <w:rFonts w:hint="cs"/>
          <w:rtl/>
        </w:rPr>
        <w:t xml:space="preserve">, מהא דאמר זעירי בגמ' לקמן </w:t>
      </w:r>
      <w:r w:rsidRPr="00CE44D7">
        <w:rPr>
          <w:rStyle w:val="af7"/>
          <w:rFonts w:eastAsia="Guttman Hodes" w:hint="cs"/>
          <w:rtl/>
        </w:rPr>
        <w:t>(עה:)</w:t>
      </w:r>
      <w:r>
        <w:rPr>
          <w:rFonts w:hint="cs"/>
          <w:rtl/>
        </w:rPr>
        <w:t xml:space="preserve"> דהלכה כר"ש שזורי דבן פקועה מותר בשחיטת אמו אף בהפריס ע"ג קרקע, ואף דלמסקנת הגמ' נדחו דברי זעירי דקיי"ל כרבנן דאסרי בהפריס ע"ג קרקע, דחייב שחיטה ממראית העין, מ"מ מבואר דכולהו ס"ל כר"י דבן פקועה מותר בשחיטת אמו. </w:t>
      </w:r>
      <w:r w:rsidRPr="00CE44D7">
        <w:rPr>
          <w:rStyle w:val="afb"/>
          <w:rFonts w:hint="cs"/>
          <w:rtl/>
        </w:rPr>
        <w:t>[ואיירי שחי כמה שנים, וודאי דהוא בן ט' דכלו לו חדשיו].</w:t>
      </w:r>
    </w:p>
    <w:p w14:paraId="3183174F" w14:textId="77777777" w:rsidR="003D504D" w:rsidRDefault="003D504D" w:rsidP="00BF39B2">
      <w:pPr>
        <w:pStyle w:val="1"/>
        <w:rPr>
          <w:rtl/>
        </w:rPr>
      </w:pPr>
      <w:bookmarkStart w:id="23205" w:name="_Toc3535846"/>
      <w:bookmarkStart w:id="23206" w:name="_Toc3543223"/>
      <w:bookmarkStart w:id="23207" w:name="_Toc3550934"/>
      <w:bookmarkStart w:id="23208" w:name="_Toc3551090"/>
      <w:bookmarkStart w:id="23209" w:name="_Toc19391899"/>
      <w:bookmarkStart w:id="23210" w:name="_Toc19395396"/>
      <w:r>
        <w:rPr>
          <w:rFonts w:hint="cs"/>
          <w:rtl/>
        </w:rPr>
        <w:t>בביאור דעת רבינו אפרים אי ס"ל כהרמב"ם</w:t>
      </w:r>
      <w:bookmarkEnd w:id="23205"/>
      <w:bookmarkEnd w:id="23206"/>
      <w:bookmarkEnd w:id="23207"/>
      <w:bookmarkEnd w:id="23208"/>
      <w:bookmarkEnd w:id="23209"/>
      <w:bookmarkEnd w:id="23210"/>
    </w:p>
    <w:p w14:paraId="0D2201E0" w14:textId="77777777" w:rsidR="003D504D" w:rsidRPr="00C82E5C" w:rsidRDefault="003D504D" w:rsidP="003D504D">
      <w:pPr>
        <w:pStyle w:val="a3"/>
        <w:rPr>
          <w:rtl/>
        </w:rPr>
      </w:pPr>
      <w:bookmarkStart w:id="23211" w:name="_Toc3535847"/>
      <w:bookmarkStart w:id="23212" w:name="_Toc3543224"/>
      <w:bookmarkStart w:id="23213" w:name="_Toc3550935"/>
      <w:bookmarkStart w:id="23214" w:name="_Toc3551091"/>
      <w:bookmarkStart w:id="23215" w:name="_Toc19391900"/>
      <w:bookmarkStart w:id="23216" w:name="_Toc19395397"/>
      <w:r>
        <w:rPr>
          <w:rFonts w:hint="cs"/>
          <w:rtl/>
        </w:rPr>
        <w:t>דברי הראב"ד והרמ"ך בשם רבינו אפרים דפסק בשחיטה כר"י ובחלב כר"מ כדעת הרמב"ם</w:t>
      </w:r>
      <w:bookmarkEnd w:id="23211"/>
      <w:bookmarkEnd w:id="23212"/>
      <w:bookmarkEnd w:id="23213"/>
      <w:bookmarkEnd w:id="23214"/>
      <w:bookmarkEnd w:id="23215"/>
      <w:bookmarkEnd w:id="23216"/>
      <w:r>
        <w:rPr>
          <w:rFonts w:hint="cs"/>
          <w:rtl/>
        </w:rPr>
        <w:t xml:space="preserve"> </w:t>
      </w:r>
    </w:p>
    <w:p w14:paraId="6CAEAF7C" w14:textId="77777777" w:rsidR="003D504D" w:rsidRDefault="003D504D" w:rsidP="00223668">
      <w:pPr>
        <w:pStyle w:val="a0"/>
        <w:rPr>
          <w:rtl/>
        </w:rPr>
      </w:pPr>
      <w:bookmarkStart w:id="23217" w:name="_Ref3535624"/>
      <w:r w:rsidRPr="001D17C4">
        <w:rPr>
          <w:rFonts w:hint="cs"/>
          <w:rtl/>
        </w:rPr>
        <w:t xml:space="preserve">כתבו </w:t>
      </w:r>
      <w:r w:rsidRPr="001D17C4">
        <w:rPr>
          <w:rStyle w:val="af9"/>
          <w:rFonts w:hint="cs"/>
          <w:rtl/>
        </w:rPr>
        <w:t>הראב"ד</w:t>
      </w:r>
      <w:r w:rsidRPr="001D17C4">
        <w:rPr>
          <w:rFonts w:hint="cs"/>
          <w:rtl/>
        </w:rPr>
        <w:t xml:space="preserve"> </w:t>
      </w:r>
      <w:r w:rsidRPr="001D17C4">
        <w:rPr>
          <w:rStyle w:val="af7"/>
          <w:rFonts w:eastAsia="Guttman Hodes" w:hint="cs"/>
          <w:rtl/>
        </w:rPr>
        <w:t>(מאכ"א פ"ז ה"ג)</w:t>
      </w:r>
      <w:r w:rsidRPr="001D17C4">
        <w:rPr>
          <w:rFonts w:hint="cs"/>
          <w:rtl/>
        </w:rPr>
        <w:t xml:space="preserve"> </w:t>
      </w:r>
      <w:r w:rsidRPr="001D17C4">
        <w:rPr>
          <w:rStyle w:val="af9"/>
          <w:rFonts w:hint="cs"/>
          <w:rtl/>
        </w:rPr>
        <w:t xml:space="preserve">והרמ"ך </w:t>
      </w:r>
      <w:r w:rsidRPr="001D17C4">
        <w:rPr>
          <w:rStyle w:val="af7"/>
          <w:rFonts w:eastAsia="Guttman Hodes" w:hint="cs"/>
          <w:rtl/>
        </w:rPr>
        <w:t>(מאכ"א פ"ז ה"ג)</w:t>
      </w:r>
      <w:r w:rsidRPr="001D17C4">
        <w:rPr>
          <w:rFonts w:hint="cs"/>
          <w:rtl/>
        </w:rPr>
        <w:t xml:space="preserve"> בשם </w:t>
      </w:r>
      <w:r w:rsidRPr="001D17C4">
        <w:rPr>
          <w:rStyle w:val="af9"/>
          <w:rFonts w:hint="cs"/>
          <w:rtl/>
        </w:rPr>
        <w:t>רבינו אפרים</w:t>
      </w:r>
      <w:r w:rsidRPr="001D17C4">
        <w:rPr>
          <w:rFonts w:hint="cs"/>
          <w:rtl/>
        </w:rPr>
        <w:t xml:space="preserve"> דס"ל </w:t>
      </w:r>
      <w:r w:rsidRPr="001D17C4">
        <w:rPr>
          <w:rStyle w:val="af9"/>
          <w:rFonts w:hint="cs"/>
          <w:rtl/>
        </w:rPr>
        <w:t>כהרמב"ם</w:t>
      </w:r>
      <w:r w:rsidRPr="001D17C4">
        <w:rPr>
          <w:rFonts w:hint="cs"/>
          <w:rtl/>
        </w:rPr>
        <w:t xml:space="preserve"> </w:t>
      </w:r>
      <w:r w:rsidRPr="001D17C4">
        <w:rPr>
          <w:rStyle w:val="af7"/>
          <w:rFonts w:eastAsia="Guttman Hodes" w:hint="cs"/>
          <w:rtl/>
        </w:rPr>
        <w:t xml:space="preserve">(עי' אות </w:t>
      </w:r>
      <w:r w:rsidRPr="001D17C4">
        <w:rPr>
          <w:rStyle w:val="af7"/>
          <w:rFonts w:eastAsia="Guttman Hodes"/>
          <w:rtl/>
        </w:rPr>
        <w:fldChar w:fldCharType="begin"/>
      </w:r>
      <w:r w:rsidRPr="001D17C4">
        <w:rPr>
          <w:rStyle w:val="af7"/>
          <w:rFonts w:eastAsia="Guttman Hodes"/>
          <w:rtl/>
        </w:rPr>
        <w:instrText xml:space="preserve"> </w:instrText>
      </w:r>
      <w:r w:rsidRPr="001D17C4">
        <w:rPr>
          <w:rStyle w:val="af7"/>
          <w:rFonts w:eastAsia="Guttman Hodes" w:hint="cs"/>
        </w:rPr>
        <w:instrText>REF</w:instrText>
      </w:r>
      <w:r w:rsidRPr="001D17C4">
        <w:rPr>
          <w:rStyle w:val="af7"/>
          <w:rFonts w:eastAsia="Guttman Hodes" w:hint="cs"/>
          <w:rtl/>
        </w:rPr>
        <w:instrText xml:space="preserve"> _</w:instrText>
      </w:r>
      <w:r w:rsidRPr="001D17C4">
        <w:rPr>
          <w:rStyle w:val="af7"/>
          <w:rFonts w:eastAsia="Guttman Hodes" w:hint="cs"/>
        </w:rPr>
        <w:instrText>Ref3145560 \r \h</w:instrText>
      </w:r>
      <w:r w:rsidRPr="001D17C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1D17C4">
        <w:rPr>
          <w:rStyle w:val="af7"/>
          <w:rFonts w:eastAsia="Guttman Hodes"/>
          <w:rtl/>
        </w:rPr>
      </w:r>
      <w:r w:rsidRPr="001D17C4">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1D17C4">
        <w:rPr>
          <w:rStyle w:val="af7"/>
          <w:rFonts w:eastAsia="Guttman Hodes"/>
          <w:rtl/>
        </w:rPr>
        <w:fldChar w:fldCharType="end"/>
      </w:r>
      <w:r>
        <w:rPr>
          <w:rFonts w:hint="cs"/>
          <w:rtl/>
        </w:rPr>
        <w:t xml:space="preserve"> דבן ט' חי מותר בשחיטת אמו, אבל </w:t>
      </w:r>
      <w:r w:rsidRPr="001D17C4">
        <w:rPr>
          <w:rFonts w:hint="cs"/>
          <w:rtl/>
        </w:rPr>
        <w:t xml:space="preserve">חלבו וגידו אסורים, </w:t>
      </w:r>
      <w:r>
        <w:rPr>
          <w:rFonts w:hint="cs"/>
          <w:rtl/>
        </w:rPr>
        <w:t>ו</w:t>
      </w:r>
      <w:r w:rsidRPr="001D17C4">
        <w:rPr>
          <w:rFonts w:hint="cs"/>
          <w:rtl/>
        </w:rPr>
        <w:t xml:space="preserve">בבן ח' חלבו מותר, </w:t>
      </w:r>
      <w:r w:rsidRPr="00F67FE5">
        <w:rPr>
          <w:rStyle w:val="afb"/>
          <w:rFonts w:hint="cs"/>
          <w:rtl/>
        </w:rPr>
        <w:t xml:space="preserve">[אמנם </w:t>
      </w:r>
      <w:r w:rsidRPr="00F67FE5">
        <w:rPr>
          <w:rStyle w:val="affa"/>
          <w:rFonts w:hint="cs"/>
          <w:rtl/>
        </w:rPr>
        <w:t>בהשגת הראב"ד</w:t>
      </w:r>
      <w:r w:rsidRPr="00F67FE5">
        <w:rPr>
          <w:rStyle w:val="afb"/>
          <w:rFonts w:hint="cs"/>
          <w:rtl/>
        </w:rPr>
        <w:t xml:space="preserve"> </w:t>
      </w:r>
      <w:r w:rsidRPr="00F67FE5">
        <w:rPr>
          <w:rStyle w:val="aff6"/>
          <w:rFonts w:hint="cs"/>
          <w:rtl/>
        </w:rPr>
        <w:t xml:space="preserve">(עי' אות </w:t>
      </w:r>
      <w:r w:rsidRPr="00F67FE5">
        <w:rPr>
          <w:rStyle w:val="aff6"/>
          <w:rtl/>
        </w:rPr>
        <w:fldChar w:fldCharType="begin"/>
      </w:r>
      <w:r w:rsidRPr="00F67FE5">
        <w:rPr>
          <w:rStyle w:val="aff6"/>
          <w:rtl/>
        </w:rPr>
        <w:instrText xml:space="preserve"> </w:instrText>
      </w:r>
      <w:r w:rsidRPr="00F67FE5">
        <w:rPr>
          <w:rStyle w:val="aff6"/>
          <w:rFonts w:hint="cs"/>
        </w:rPr>
        <w:instrText>REF</w:instrText>
      </w:r>
      <w:r w:rsidRPr="00F67FE5">
        <w:rPr>
          <w:rStyle w:val="aff6"/>
          <w:rFonts w:hint="cs"/>
          <w:rtl/>
        </w:rPr>
        <w:instrText xml:space="preserve"> _</w:instrText>
      </w:r>
      <w:r w:rsidRPr="00F67FE5">
        <w:rPr>
          <w:rStyle w:val="aff6"/>
          <w:rFonts w:hint="cs"/>
        </w:rPr>
        <w:instrText>Ref3494851 \r \h</w:instrText>
      </w:r>
      <w:r w:rsidRPr="00F67FE5">
        <w:rPr>
          <w:rStyle w:val="aff6"/>
          <w:rtl/>
        </w:rPr>
        <w:instrText xml:space="preserve"> </w:instrText>
      </w:r>
      <w:r w:rsidRPr="00F67FE5">
        <w:rPr>
          <w:rStyle w:val="aff6"/>
          <w:rtl/>
        </w:rPr>
      </w:r>
      <w:r w:rsidRPr="00F67FE5">
        <w:rPr>
          <w:rStyle w:val="aff6"/>
          <w:rtl/>
        </w:rPr>
        <w:fldChar w:fldCharType="separate"/>
      </w:r>
      <w:r w:rsidR="00345400">
        <w:rPr>
          <w:rStyle w:val="aff6"/>
          <w:cs/>
        </w:rPr>
        <w:t>‎</w:t>
      </w:r>
      <w:r w:rsidR="00345400">
        <w:rPr>
          <w:rStyle w:val="aff6"/>
          <w:rtl/>
        </w:rPr>
        <w:t>פט)</w:t>
      </w:r>
      <w:r w:rsidRPr="00F67FE5">
        <w:rPr>
          <w:rStyle w:val="aff6"/>
          <w:rtl/>
        </w:rPr>
        <w:fldChar w:fldCharType="end"/>
      </w:r>
      <w:r w:rsidRPr="00F67FE5">
        <w:rPr>
          <w:rStyle w:val="afb"/>
          <w:rFonts w:hint="cs"/>
          <w:rtl/>
        </w:rPr>
        <w:t xml:space="preserve">  על </w:t>
      </w:r>
      <w:r w:rsidRPr="00F67FE5">
        <w:rPr>
          <w:rStyle w:val="affa"/>
          <w:rFonts w:hint="cs"/>
          <w:rtl/>
        </w:rPr>
        <w:t>רבינו אפרים</w:t>
      </w:r>
      <w:r w:rsidRPr="00F67FE5">
        <w:rPr>
          <w:rStyle w:val="afb"/>
          <w:rFonts w:hint="cs"/>
          <w:rtl/>
        </w:rPr>
        <w:t xml:space="preserve"> מבואר דבשחיטה פסק כר"י], </w:t>
      </w:r>
      <w:r>
        <w:rPr>
          <w:rFonts w:hint="cs"/>
          <w:rtl/>
        </w:rPr>
        <w:t xml:space="preserve">והוסיף </w:t>
      </w:r>
      <w:r w:rsidRPr="001D17C4">
        <w:rPr>
          <w:rStyle w:val="af9"/>
          <w:rFonts w:hint="cs"/>
          <w:rtl/>
        </w:rPr>
        <w:t xml:space="preserve">הרמ"ך </w:t>
      </w:r>
      <w:r w:rsidRPr="001D17C4">
        <w:rPr>
          <w:rFonts w:hint="cs"/>
          <w:rtl/>
        </w:rPr>
        <w:t xml:space="preserve">בשם </w:t>
      </w:r>
      <w:r w:rsidRPr="001D17C4">
        <w:rPr>
          <w:rStyle w:val="af9"/>
          <w:rFonts w:hint="cs"/>
          <w:rtl/>
        </w:rPr>
        <w:t>רבינו אפרים</w:t>
      </w:r>
      <w:r w:rsidRPr="001D17C4">
        <w:rPr>
          <w:rFonts w:hint="cs"/>
          <w:rtl/>
        </w:rPr>
        <w:t xml:space="preserve"> </w:t>
      </w:r>
      <w:r>
        <w:rPr>
          <w:rFonts w:hint="cs"/>
          <w:rtl/>
        </w:rPr>
        <w:t>דבן ח' חלבו מותר ו</w:t>
      </w:r>
      <w:r w:rsidRPr="001D17C4">
        <w:rPr>
          <w:rFonts w:hint="cs"/>
          <w:rtl/>
        </w:rPr>
        <w:t>גידו אסור כיון שצריך לפסוק על פי רוב השמועות וההלכות</w:t>
      </w:r>
      <w:r>
        <w:rPr>
          <w:rFonts w:hint="cs"/>
          <w:rtl/>
        </w:rPr>
        <w:t xml:space="preserve">, </w:t>
      </w:r>
      <w:r w:rsidRPr="00ED4E49">
        <w:rPr>
          <w:rStyle w:val="afb"/>
          <w:rFonts w:hint="cs"/>
          <w:rtl/>
        </w:rPr>
        <w:t xml:space="preserve">[עי' בדברי </w:t>
      </w:r>
      <w:r w:rsidRPr="00ED4E49">
        <w:rPr>
          <w:rStyle w:val="affa"/>
          <w:rFonts w:hint="cs"/>
          <w:rtl/>
        </w:rPr>
        <w:t>הראשונים</w:t>
      </w:r>
      <w:r w:rsidRPr="00ED4E49">
        <w:rPr>
          <w:rStyle w:val="afb"/>
          <w:rFonts w:hint="cs"/>
          <w:rtl/>
        </w:rPr>
        <w:t xml:space="preserve"> </w:t>
      </w:r>
      <w:r w:rsidRPr="00ED4E49">
        <w:rPr>
          <w:rStyle w:val="aff6"/>
          <w:rFonts w:hint="cs"/>
          <w:rtl/>
        </w:rPr>
        <w:t xml:space="preserve">(עי' אות </w:t>
      </w:r>
      <w:r w:rsidRPr="00ED4E49">
        <w:rPr>
          <w:rStyle w:val="aff6"/>
          <w:rtl/>
        </w:rPr>
        <w:fldChar w:fldCharType="begin"/>
      </w:r>
      <w:r w:rsidRPr="00ED4E49">
        <w:rPr>
          <w:rStyle w:val="aff6"/>
          <w:rtl/>
        </w:rPr>
        <w:instrText xml:space="preserve"> </w:instrText>
      </w:r>
      <w:r w:rsidRPr="00ED4E49">
        <w:rPr>
          <w:rStyle w:val="aff6"/>
          <w:rFonts w:hint="cs"/>
        </w:rPr>
        <w:instrText>REF</w:instrText>
      </w:r>
      <w:r w:rsidRPr="00ED4E49">
        <w:rPr>
          <w:rStyle w:val="aff6"/>
          <w:rFonts w:hint="cs"/>
          <w:rtl/>
        </w:rPr>
        <w:instrText xml:space="preserve"> _</w:instrText>
      </w:r>
      <w:r w:rsidRPr="00ED4E49">
        <w:rPr>
          <w:rStyle w:val="aff6"/>
          <w:rFonts w:hint="cs"/>
        </w:rPr>
        <w:instrText>Ref3494696 \r \h</w:instrText>
      </w:r>
      <w:r w:rsidRPr="00ED4E49">
        <w:rPr>
          <w:rStyle w:val="aff6"/>
          <w:rtl/>
        </w:rPr>
        <w:instrText xml:space="preserve"> </w:instrText>
      </w:r>
      <w:r w:rsidRPr="00ED4E49">
        <w:rPr>
          <w:rStyle w:val="aff6"/>
          <w:rtl/>
        </w:rPr>
      </w:r>
      <w:r w:rsidRPr="00ED4E49">
        <w:rPr>
          <w:rStyle w:val="aff6"/>
          <w:rtl/>
        </w:rPr>
        <w:fldChar w:fldCharType="separate"/>
      </w:r>
      <w:r w:rsidR="00345400">
        <w:rPr>
          <w:rStyle w:val="aff6"/>
          <w:cs/>
        </w:rPr>
        <w:t>‎</w:t>
      </w:r>
      <w:r w:rsidR="00345400">
        <w:rPr>
          <w:rStyle w:val="aff6"/>
          <w:rtl/>
        </w:rPr>
        <w:t>ז)</w:t>
      </w:r>
      <w:r w:rsidRPr="00ED4E49">
        <w:rPr>
          <w:rStyle w:val="aff6"/>
          <w:rtl/>
        </w:rPr>
        <w:fldChar w:fldCharType="end"/>
      </w:r>
      <w:r w:rsidRPr="00ED4E49">
        <w:rPr>
          <w:rStyle w:val="afb"/>
          <w:rFonts w:hint="cs"/>
          <w:rtl/>
        </w:rPr>
        <w:t xml:space="preserve">], </w:t>
      </w:r>
      <w:r>
        <w:rPr>
          <w:rFonts w:hint="cs"/>
          <w:rtl/>
        </w:rPr>
        <w:t xml:space="preserve">ודלא </w:t>
      </w:r>
      <w:r w:rsidRPr="007E7C86">
        <w:rPr>
          <w:rStyle w:val="af9"/>
          <w:rFonts w:hint="cs"/>
          <w:rtl/>
        </w:rPr>
        <w:t>כעיטור והרשב"א והריטב"א</w:t>
      </w:r>
      <w:r>
        <w:rPr>
          <w:rFonts w:hint="cs"/>
          <w:rtl/>
        </w:rPr>
        <w:t xml:space="preserve"> </w:t>
      </w:r>
      <w:r w:rsidRPr="007E7C86">
        <w:rPr>
          <w:rStyle w:val="af7"/>
          <w:rFonts w:eastAsia="Guttman Hodes" w:hint="cs"/>
          <w:rtl/>
        </w:rPr>
        <w:t xml:space="preserve">(עי' אות </w:t>
      </w:r>
      <w:r w:rsidRPr="007E7C86">
        <w:rPr>
          <w:rStyle w:val="af7"/>
          <w:rFonts w:eastAsia="Guttman Hodes"/>
          <w:rtl/>
        </w:rPr>
        <w:fldChar w:fldCharType="begin"/>
      </w:r>
      <w:r w:rsidRPr="007E7C86">
        <w:rPr>
          <w:rStyle w:val="af7"/>
          <w:rFonts w:eastAsia="Guttman Hodes"/>
          <w:rtl/>
        </w:rPr>
        <w:instrText xml:space="preserve"> </w:instrText>
      </w:r>
      <w:r w:rsidRPr="007E7C86">
        <w:rPr>
          <w:rStyle w:val="af7"/>
          <w:rFonts w:eastAsia="Guttman Hodes" w:hint="cs"/>
        </w:rPr>
        <w:instrText>REF</w:instrText>
      </w:r>
      <w:r w:rsidRPr="007E7C86">
        <w:rPr>
          <w:rStyle w:val="af7"/>
          <w:rFonts w:eastAsia="Guttman Hodes" w:hint="cs"/>
          <w:rtl/>
        </w:rPr>
        <w:instrText xml:space="preserve"> _</w:instrText>
      </w:r>
      <w:r w:rsidRPr="007E7C86">
        <w:rPr>
          <w:rStyle w:val="af7"/>
          <w:rFonts w:eastAsia="Guttman Hodes" w:hint="cs"/>
        </w:rPr>
        <w:instrText>Ref3494567 \r \h</w:instrText>
      </w:r>
      <w:r w:rsidRPr="007E7C86">
        <w:rPr>
          <w:rStyle w:val="af7"/>
          <w:rFonts w:eastAsia="Guttman Hodes"/>
          <w:rtl/>
        </w:rPr>
        <w:instrText xml:space="preserve"> </w:instrText>
      </w:r>
      <w:r w:rsidRPr="007E7C86">
        <w:rPr>
          <w:rStyle w:val="af7"/>
          <w:rFonts w:eastAsia="Guttman Hodes"/>
          <w:rtl/>
        </w:rPr>
      </w:r>
      <w:r w:rsidRPr="007E7C86">
        <w:rPr>
          <w:rStyle w:val="af7"/>
          <w:rFonts w:eastAsia="Guttman Hodes"/>
          <w:rtl/>
        </w:rPr>
        <w:fldChar w:fldCharType="separate"/>
      </w:r>
      <w:r w:rsidR="00345400">
        <w:rPr>
          <w:rStyle w:val="af7"/>
          <w:rFonts w:eastAsia="Guttman Hodes"/>
          <w:cs/>
        </w:rPr>
        <w:t>‎</w:t>
      </w:r>
      <w:r w:rsidR="00345400">
        <w:rPr>
          <w:rStyle w:val="af7"/>
          <w:rFonts w:eastAsia="Guttman Hodes"/>
          <w:rtl/>
        </w:rPr>
        <w:t>פז)</w:t>
      </w:r>
      <w:r w:rsidRPr="007E7C86">
        <w:rPr>
          <w:rStyle w:val="af7"/>
          <w:rFonts w:eastAsia="Guttman Hodes"/>
          <w:rtl/>
        </w:rPr>
        <w:fldChar w:fldCharType="end"/>
      </w:r>
      <w:r>
        <w:rPr>
          <w:rFonts w:hint="cs"/>
          <w:rtl/>
        </w:rPr>
        <w:t xml:space="preserve"> דכתבו </w:t>
      </w:r>
      <w:r w:rsidRPr="007E7C86">
        <w:rPr>
          <w:rStyle w:val="af9"/>
          <w:rFonts w:hint="cs"/>
          <w:rtl/>
        </w:rPr>
        <w:t>ד</w:t>
      </w:r>
      <w:r w:rsidRPr="001D17C4">
        <w:rPr>
          <w:rStyle w:val="af9"/>
          <w:rFonts w:hint="cs"/>
          <w:rtl/>
        </w:rPr>
        <w:t>רבינו אפרים</w:t>
      </w:r>
      <w:r w:rsidRPr="001D17C4">
        <w:rPr>
          <w:rFonts w:hint="cs"/>
          <w:rtl/>
        </w:rPr>
        <w:t xml:space="preserve"> </w:t>
      </w:r>
      <w:r>
        <w:rPr>
          <w:rFonts w:hint="cs"/>
          <w:rtl/>
        </w:rPr>
        <w:t>פסק כר"מ אף לענין שחיטה.</w:t>
      </w:r>
      <w:bookmarkEnd w:id="23217"/>
    </w:p>
    <w:p w14:paraId="048F2255" w14:textId="77777777" w:rsidR="003D504D" w:rsidRDefault="003D504D" w:rsidP="003D504D">
      <w:pPr>
        <w:pStyle w:val="a3"/>
        <w:rPr>
          <w:rtl/>
        </w:rPr>
      </w:pPr>
      <w:bookmarkStart w:id="23218" w:name="_Toc3535848"/>
      <w:bookmarkStart w:id="23219" w:name="_Toc3543225"/>
      <w:bookmarkStart w:id="23220" w:name="_Toc3550936"/>
      <w:bookmarkStart w:id="23221" w:name="_Toc3551092"/>
      <w:bookmarkStart w:id="23222" w:name="_Toc19391901"/>
      <w:bookmarkStart w:id="23223" w:name="_Toc19395398"/>
      <w:r>
        <w:rPr>
          <w:rFonts w:hint="cs"/>
          <w:rtl/>
        </w:rPr>
        <w:t>דברי המאירי דרבינו אפרים פסק כר"מ בשחיטה ובחלב דנחלקו ריו"ח ור"ל בפלוגתת ר"מ ור"י</w:t>
      </w:r>
      <w:bookmarkEnd w:id="23218"/>
      <w:bookmarkEnd w:id="23219"/>
      <w:bookmarkEnd w:id="23220"/>
      <w:bookmarkEnd w:id="23221"/>
      <w:bookmarkEnd w:id="23222"/>
      <w:bookmarkEnd w:id="23223"/>
    </w:p>
    <w:p w14:paraId="0224DB25" w14:textId="77777777" w:rsidR="003D504D" w:rsidRDefault="003D504D" w:rsidP="00223668">
      <w:pPr>
        <w:pStyle w:val="a0"/>
        <w:rPr>
          <w:rtl/>
        </w:rPr>
      </w:pPr>
      <w:bookmarkStart w:id="23224" w:name="_Ref2887958"/>
      <w:bookmarkStart w:id="23225" w:name="_Toc3234495"/>
      <w:bookmarkStart w:id="23226" w:name="_Toc3287733"/>
      <w:bookmarkStart w:id="23227" w:name="_Toc3322246"/>
      <w:bookmarkStart w:id="23228" w:name="_Toc3480710"/>
      <w:bookmarkStart w:id="23229" w:name="_Toc3484985"/>
      <w:r w:rsidRPr="00BC4960">
        <w:rPr>
          <w:rStyle w:val="af9"/>
          <w:rFonts w:hint="cs"/>
          <w:rtl/>
        </w:rPr>
        <w:t>והמאירי</w:t>
      </w:r>
      <w:r>
        <w:rPr>
          <w:rFonts w:hint="cs"/>
          <w:rtl/>
        </w:rPr>
        <w:t xml:space="preserve"> </w:t>
      </w:r>
      <w:r w:rsidRPr="00BC4960">
        <w:rPr>
          <w:rStyle w:val="af7"/>
          <w:rFonts w:eastAsia="Guttman Hodes" w:hint="cs"/>
          <w:rtl/>
        </w:rPr>
        <w:t>(ד"ה מצא)</w:t>
      </w:r>
      <w:r>
        <w:rPr>
          <w:rFonts w:hint="cs"/>
          <w:rtl/>
        </w:rPr>
        <w:t xml:space="preserve"> הביא בשם </w:t>
      </w:r>
      <w:r w:rsidRPr="00BC4960">
        <w:rPr>
          <w:rStyle w:val="af9"/>
          <w:rFonts w:hint="cs"/>
          <w:rtl/>
        </w:rPr>
        <w:t>רבינו אפרים</w:t>
      </w:r>
      <w:r>
        <w:rPr>
          <w:rFonts w:hint="cs"/>
          <w:rtl/>
        </w:rPr>
        <w:t xml:space="preserve"> </w:t>
      </w:r>
      <w:r w:rsidRPr="00006B9D">
        <w:rPr>
          <w:rFonts w:hint="cs"/>
          <w:rtl/>
        </w:rPr>
        <w:t>[</w:t>
      </w:r>
      <w:r w:rsidRPr="00006B9D">
        <w:rPr>
          <w:rStyle w:val="af9"/>
          <w:rFonts w:hint="cs"/>
          <w:rtl/>
        </w:rPr>
        <w:t>גדולי תלמידיהם של גדולי הפוסקים</w:t>
      </w:r>
      <w:r w:rsidRPr="00006B9D">
        <w:rPr>
          <w:rFonts w:hint="cs"/>
          <w:rtl/>
        </w:rPr>
        <w:t xml:space="preserve">] </w:t>
      </w:r>
      <w:r>
        <w:rPr>
          <w:rFonts w:hint="cs"/>
          <w:rtl/>
        </w:rPr>
        <w:t xml:space="preserve">דפסק כר"מ בין לענין שחיטה דבן ט' חי טעון שחיטה, ובין לענין חלב דחלבו אסור, וכתב </w:t>
      </w:r>
      <w:r w:rsidRPr="00BC4960">
        <w:rPr>
          <w:rStyle w:val="af9"/>
          <w:rFonts w:hint="cs"/>
          <w:rtl/>
        </w:rPr>
        <w:t>המאירי</w:t>
      </w:r>
      <w:r>
        <w:rPr>
          <w:rFonts w:hint="cs"/>
          <w:rtl/>
        </w:rPr>
        <w:t xml:space="preserve"> דס"ל </w:t>
      </w:r>
      <w:r w:rsidRPr="00BC4960">
        <w:rPr>
          <w:rStyle w:val="af9"/>
          <w:rFonts w:hint="cs"/>
          <w:rtl/>
        </w:rPr>
        <w:t>לרבינו אפרים</w:t>
      </w:r>
      <w:r>
        <w:rPr>
          <w:rFonts w:hint="cs"/>
          <w:rtl/>
        </w:rPr>
        <w:t xml:space="preserve"> דפלוגתת ריו"ח ור"ל בדין החלב תלויה בפלוגתת ר"מ ור"י, וריו"ח ס"ל כר"מ, וכיון דקיי"ל כריו"ח לגבי ר"ל, לכן פסק </w:t>
      </w:r>
      <w:r w:rsidRPr="00BC4960">
        <w:rPr>
          <w:rStyle w:val="af9"/>
          <w:rFonts w:hint="cs"/>
          <w:rtl/>
        </w:rPr>
        <w:t>רבינו אפרים</w:t>
      </w:r>
      <w:r>
        <w:rPr>
          <w:rFonts w:hint="cs"/>
          <w:rtl/>
        </w:rPr>
        <w:t xml:space="preserve"> כר"מ דהוא כדעת ריו"ח.</w:t>
      </w:r>
    </w:p>
    <w:p w14:paraId="5AF7B9C3" w14:textId="77777777" w:rsidR="003D504D" w:rsidRPr="00C82E5C" w:rsidRDefault="003D504D" w:rsidP="003D504D">
      <w:pPr>
        <w:pStyle w:val="a3"/>
      </w:pPr>
      <w:bookmarkStart w:id="23230" w:name="_Toc3535849"/>
      <w:bookmarkStart w:id="23231" w:name="_Toc3543226"/>
      <w:bookmarkStart w:id="23232" w:name="_Toc3550937"/>
      <w:bookmarkStart w:id="23233" w:name="_Toc3551093"/>
      <w:bookmarkStart w:id="23234" w:name="_Toc19391902"/>
      <w:bookmarkStart w:id="23235" w:name="_Toc19395399"/>
      <w:r>
        <w:rPr>
          <w:rFonts w:hint="cs"/>
          <w:rtl/>
        </w:rPr>
        <w:t>דברי המאירי דהרמב"ם ביאר כרבינו אפרים בפלוגתת ריו"ח ור"ל אך בשחיטה פסק כסתם מתני'</w:t>
      </w:r>
      <w:bookmarkEnd w:id="23230"/>
      <w:bookmarkEnd w:id="23231"/>
      <w:bookmarkEnd w:id="23232"/>
      <w:bookmarkEnd w:id="23233"/>
      <w:bookmarkEnd w:id="23234"/>
      <w:bookmarkEnd w:id="23235"/>
    </w:p>
    <w:p w14:paraId="6C9E44D5" w14:textId="77777777" w:rsidR="003D504D" w:rsidRDefault="003D504D" w:rsidP="00223668">
      <w:pPr>
        <w:pStyle w:val="a0"/>
        <w:rPr>
          <w:rtl/>
        </w:rPr>
      </w:pPr>
      <w:r>
        <w:rPr>
          <w:rFonts w:hint="cs"/>
          <w:rtl/>
        </w:rPr>
        <w:t xml:space="preserve">וכתב </w:t>
      </w:r>
      <w:r w:rsidRPr="00BC4960">
        <w:rPr>
          <w:rStyle w:val="af9"/>
          <w:rFonts w:hint="cs"/>
          <w:rtl/>
        </w:rPr>
        <w:t>המאירי</w:t>
      </w:r>
      <w:r>
        <w:rPr>
          <w:rFonts w:hint="cs"/>
          <w:rtl/>
        </w:rPr>
        <w:t xml:space="preserve"> </w:t>
      </w:r>
      <w:r w:rsidRPr="00BC4960">
        <w:rPr>
          <w:rStyle w:val="af9"/>
          <w:rFonts w:hint="cs"/>
          <w:rtl/>
        </w:rPr>
        <w:t>דהרמב"ם</w:t>
      </w:r>
      <w:r>
        <w:rPr>
          <w:rFonts w:hint="cs"/>
          <w:rtl/>
        </w:rPr>
        <w:t xml:space="preserve"> נמשך אחר ביאור </w:t>
      </w:r>
      <w:r w:rsidRPr="00BC4960">
        <w:rPr>
          <w:rStyle w:val="af9"/>
          <w:rFonts w:hint="cs"/>
          <w:rtl/>
        </w:rPr>
        <w:t>רבינו אפרים</w:t>
      </w:r>
      <w:r>
        <w:rPr>
          <w:rFonts w:hint="cs"/>
          <w:rtl/>
        </w:rPr>
        <w:t xml:space="preserve"> </w:t>
      </w:r>
      <w:r w:rsidRPr="00BC4960">
        <w:rPr>
          <w:rStyle w:val="afb"/>
          <w:rFonts w:hint="cs"/>
          <w:rtl/>
        </w:rPr>
        <w:t xml:space="preserve">[דפלוגתת ריו"ח ור"ל בדין החלב תלויה בפלוגתת ר"מ ור"י], </w:t>
      </w:r>
      <w:r>
        <w:rPr>
          <w:rFonts w:hint="cs"/>
          <w:rtl/>
        </w:rPr>
        <w:t xml:space="preserve">ולכן פסק </w:t>
      </w:r>
      <w:r w:rsidRPr="00BC4960">
        <w:rPr>
          <w:rStyle w:val="af9"/>
          <w:rFonts w:hint="cs"/>
          <w:rtl/>
        </w:rPr>
        <w:t>הרמב"ם</w:t>
      </w:r>
      <w:r>
        <w:rPr>
          <w:rFonts w:hint="cs"/>
          <w:rtl/>
        </w:rPr>
        <w:t xml:space="preserve"> לענין איסור חלב, דחלב בן ט' אסור, וכדעת ריו"ח, אך מ"מ לענין שחיטה כתב </w:t>
      </w:r>
      <w:r w:rsidRPr="00C82E5C">
        <w:rPr>
          <w:rStyle w:val="af9"/>
          <w:rFonts w:hint="cs"/>
          <w:rtl/>
        </w:rPr>
        <w:t>המאירי דהרמב"ם</w:t>
      </w:r>
      <w:r>
        <w:rPr>
          <w:rFonts w:hint="cs"/>
          <w:rtl/>
        </w:rPr>
        <w:t xml:space="preserve"> פסק כר"י דבן ט' חי מותר בשחיטת אמו, כיון שהוא סתם משנה.</w:t>
      </w:r>
      <w:bookmarkEnd w:id="23224"/>
    </w:p>
    <w:p w14:paraId="0EC38BCE" w14:textId="77777777" w:rsidR="003D504D" w:rsidRDefault="003D504D" w:rsidP="00BF39B2">
      <w:pPr>
        <w:pStyle w:val="1"/>
        <w:rPr>
          <w:rtl/>
        </w:rPr>
      </w:pPr>
      <w:bookmarkStart w:id="23236" w:name="_Toc3535850"/>
      <w:bookmarkStart w:id="23237" w:name="_Toc3543227"/>
      <w:bookmarkStart w:id="23238" w:name="_Toc3550938"/>
      <w:bookmarkStart w:id="23239" w:name="_Toc3551094"/>
      <w:bookmarkStart w:id="23240" w:name="_Toc19391903"/>
      <w:bookmarkStart w:id="23241" w:name="_Toc19395400"/>
      <w:r>
        <w:rPr>
          <w:rFonts w:hint="cs"/>
          <w:rtl/>
        </w:rPr>
        <w:t>קושיות הראש יוסף על רבינו אפרים</w:t>
      </w:r>
      <w:bookmarkEnd w:id="23225"/>
      <w:bookmarkEnd w:id="23226"/>
      <w:bookmarkEnd w:id="23227"/>
      <w:bookmarkEnd w:id="23228"/>
      <w:bookmarkEnd w:id="23229"/>
      <w:bookmarkEnd w:id="23236"/>
      <w:bookmarkEnd w:id="23237"/>
      <w:bookmarkEnd w:id="23238"/>
      <w:bookmarkEnd w:id="23239"/>
      <w:bookmarkEnd w:id="23240"/>
      <w:bookmarkEnd w:id="23241"/>
    </w:p>
    <w:p w14:paraId="7ED70B04" w14:textId="77777777" w:rsidR="003D504D" w:rsidRDefault="003D504D" w:rsidP="003D504D">
      <w:pPr>
        <w:pStyle w:val="a3"/>
        <w:rPr>
          <w:rtl/>
        </w:rPr>
      </w:pPr>
      <w:bookmarkStart w:id="23242" w:name="_Toc3543228"/>
      <w:bookmarkStart w:id="23243" w:name="_Toc3550939"/>
      <w:bookmarkStart w:id="23244" w:name="_Toc3551095"/>
      <w:bookmarkStart w:id="23245" w:name="_Toc19391904"/>
      <w:bookmarkStart w:id="23246" w:name="_Toc19395401"/>
      <w:r>
        <w:rPr>
          <w:rFonts w:hint="cs"/>
          <w:rtl/>
        </w:rPr>
        <w:t>ביאור הראש יוסף ברבינו אפרים דלר"מ וריו"ח חדשים גרמי ולר"י ור"ל אוירא גרים וקיי"ל כר"מ</w:t>
      </w:r>
      <w:bookmarkEnd w:id="23242"/>
      <w:bookmarkEnd w:id="23243"/>
      <w:bookmarkEnd w:id="23244"/>
      <w:bookmarkEnd w:id="23245"/>
      <w:bookmarkEnd w:id="23246"/>
    </w:p>
    <w:p w14:paraId="1ACE869A" w14:textId="77777777" w:rsidR="003D504D" w:rsidRDefault="003D504D" w:rsidP="00223668">
      <w:pPr>
        <w:pStyle w:val="a0"/>
        <w:rPr>
          <w:rtl/>
        </w:rPr>
      </w:pPr>
      <w:r>
        <w:rPr>
          <w:rFonts w:hint="cs"/>
          <w:rtl/>
        </w:rPr>
        <w:t xml:space="preserve">בביאור דברי </w:t>
      </w:r>
      <w:r w:rsidRPr="005548D8">
        <w:rPr>
          <w:rStyle w:val="af9"/>
          <w:rFonts w:hint="cs"/>
          <w:rtl/>
        </w:rPr>
        <w:t>רבינו אפרים</w:t>
      </w:r>
      <w:r>
        <w:rPr>
          <w:rFonts w:hint="cs"/>
          <w:rtl/>
        </w:rPr>
        <w:t xml:space="preserve"> כתב </w:t>
      </w:r>
      <w:r w:rsidRPr="005548D8">
        <w:rPr>
          <w:rStyle w:val="af9"/>
          <w:rFonts w:hint="cs"/>
          <w:rtl/>
        </w:rPr>
        <w:t>הראש יוסף לקמן</w:t>
      </w:r>
      <w:r>
        <w:rPr>
          <w:rFonts w:hint="cs"/>
          <w:rtl/>
        </w:rPr>
        <w:t xml:space="preserve"> </w:t>
      </w:r>
      <w:r w:rsidRPr="00416573">
        <w:rPr>
          <w:rStyle w:val="af7"/>
          <w:rFonts w:eastAsia="Guttman Hodes" w:hint="cs"/>
          <w:rtl/>
        </w:rPr>
        <w:t xml:space="preserve">(צב: ד"ה שיטה האחת) </w:t>
      </w:r>
      <w:r>
        <w:rPr>
          <w:rFonts w:hint="cs"/>
          <w:rtl/>
        </w:rPr>
        <w:t>דלדעת ר"מ חדשים גרמי, ולכן בן ט' חי אינו מותר בשחיטת אמו, דקרינן ביה "וזבחת מבקרך", ובן  ח</w:t>
      </w:r>
      <w:r>
        <w:rPr>
          <w:rtl/>
        </w:rPr>
        <w:t>'</w:t>
      </w:r>
      <w:r>
        <w:rPr>
          <w:rFonts w:hint="cs"/>
          <w:rtl/>
        </w:rPr>
        <w:t xml:space="preserve"> חי אינו נקרא בקר כלל, ולכן נאמר בו היתר "כל בבהמה תאכלו", דחשיב כאבר מאברי אמו, </w:t>
      </w:r>
      <w:r w:rsidRPr="00416573">
        <w:rPr>
          <w:rStyle w:val="afb"/>
          <w:rFonts w:hint="cs"/>
          <w:rtl/>
        </w:rPr>
        <w:t xml:space="preserve">[וכדביאר </w:t>
      </w:r>
      <w:r w:rsidRPr="00416573">
        <w:rPr>
          <w:rStyle w:val="affa"/>
          <w:rFonts w:hint="cs"/>
          <w:rtl/>
        </w:rPr>
        <w:t>רש"י במתני'</w:t>
      </w:r>
      <w:r w:rsidRPr="00416573">
        <w:rPr>
          <w:rStyle w:val="afb"/>
          <w:rFonts w:hint="cs"/>
          <w:rtl/>
        </w:rPr>
        <w:t xml:space="preserve"> </w:t>
      </w:r>
      <w:r w:rsidRPr="00416573">
        <w:rPr>
          <w:rStyle w:val="aff6"/>
          <w:rFonts w:hint="cs"/>
          <w:rtl/>
        </w:rPr>
        <w:t>(עד. ד"ה טעון)</w:t>
      </w:r>
      <w:r w:rsidRPr="00416573">
        <w:rPr>
          <w:rStyle w:val="afb"/>
          <w:rFonts w:hint="cs"/>
          <w:rtl/>
        </w:rPr>
        <w:t xml:space="preserve"> דלר"מ חדשים גרמי ולכן בן ט' חי אינו מותר בשחיטת אמו],</w:t>
      </w:r>
      <w:r>
        <w:rPr>
          <w:rFonts w:hint="cs"/>
          <w:rtl/>
        </w:rPr>
        <w:t xml:space="preserve"> ובדעת ר"י ביאר </w:t>
      </w:r>
      <w:r w:rsidRPr="005548D8">
        <w:rPr>
          <w:rStyle w:val="af9"/>
          <w:rFonts w:hint="cs"/>
          <w:rtl/>
        </w:rPr>
        <w:t>הראש יוסף</w:t>
      </w:r>
      <w:r>
        <w:rPr>
          <w:rFonts w:hint="cs"/>
          <w:rtl/>
        </w:rPr>
        <w:t xml:space="preserve"> דאוירא גורם, ולכן מותר </w:t>
      </w:r>
      <w:r w:rsidRPr="00950CA4">
        <w:rPr>
          <w:rFonts w:hint="cs"/>
          <w:rtl/>
        </w:rPr>
        <w:t>בשחיטת אמו</w:t>
      </w:r>
      <w:r>
        <w:rPr>
          <w:rFonts w:hint="cs"/>
          <w:rtl/>
        </w:rPr>
        <w:t xml:space="preserve">, ואף שיצא חי לאויר העולם אינו נאסר דאחר שהותר בשחיטת אמו, חשיב כבישרא בדיקולא, או דכיון שהותר כשנשחט אמו, לא מסתבר לומר דיאסר אח"כ כיצא חי לאויר העולם, וכתב </w:t>
      </w:r>
      <w:r w:rsidRPr="005548D8">
        <w:rPr>
          <w:rStyle w:val="af9"/>
          <w:rFonts w:hint="cs"/>
          <w:rtl/>
        </w:rPr>
        <w:t>הראש יוסף</w:t>
      </w:r>
      <w:r>
        <w:rPr>
          <w:rFonts w:hint="cs"/>
          <w:rtl/>
        </w:rPr>
        <w:t xml:space="preserve"> דלכן ס"ל </w:t>
      </w:r>
      <w:r w:rsidRPr="005548D8">
        <w:rPr>
          <w:rStyle w:val="af9"/>
          <w:rFonts w:hint="cs"/>
          <w:rtl/>
        </w:rPr>
        <w:t>לרבינו אפרים</w:t>
      </w:r>
      <w:r>
        <w:rPr>
          <w:rFonts w:hint="cs"/>
          <w:rtl/>
        </w:rPr>
        <w:t xml:space="preserve"> דריו"ח ור"ל דנחלקו אי חדשים גרמי או חדשים ואוירא גרמי, נחלקו בפלוגתת ר"מ ור"י, ואעפ"י דסתמא דמתני' בסוגיין </w:t>
      </w:r>
      <w:r w:rsidRPr="00416573">
        <w:rPr>
          <w:rStyle w:val="af7"/>
          <w:rFonts w:eastAsia="Guttman Hodes" w:hint="cs"/>
          <w:rtl/>
        </w:rPr>
        <w:t>(עד.)</w:t>
      </w:r>
      <w:r>
        <w:rPr>
          <w:rFonts w:hint="cs"/>
          <w:rtl/>
        </w:rPr>
        <w:t xml:space="preserve"> היא כר"י, מ"מ קיי"ל כסתמא דמתני' לקמן </w:t>
      </w:r>
      <w:r w:rsidRPr="00416573">
        <w:rPr>
          <w:rStyle w:val="af7"/>
          <w:rFonts w:eastAsia="Guttman Hodes" w:hint="cs"/>
          <w:rtl/>
        </w:rPr>
        <w:t>(פט:)</w:t>
      </w:r>
      <w:r>
        <w:rPr>
          <w:rFonts w:hint="cs"/>
          <w:rtl/>
        </w:rPr>
        <w:t xml:space="preserve"> כר"מ דהוא סתמא</w:t>
      </w:r>
      <w:r w:rsidRPr="00DC362D">
        <w:rPr>
          <w:rFonts w:hint="cs"/>
          <w:rtl/>
        </w:rPr>
        <w:t xml:space="preserve"> </w:t>
      </w:r>
      <w:r>
        <w:rPr>
          <w:rFonts w:hint="cs"/>
          <w:rtl/>
        </w:rPr>
        <w:t>בתרא.</w:t>
      </w:r>
    </w:p>
    <w:p w14:paraId="000E7606" w14:textId="77777777" w:rsidR="003D504D" w:rsidRDefault="003D504D" w:rsidP="003D504D">
      <w:pPr>
        <w:pStyle w:val="a3"/>
        <w:rPr>
          <w:rtl/>
        </w:rPr>
      </w:pPr>
      <w:bookmarkStart w:id="23247" w:name="_Toc3543229"/>
      <w:bookmarkStart w:id="23248" w:name="_Toc3550940"/>
      <w:bookmarkStart w:id="23249" w:name="_Toc3551096"/>
      <w:bookmarkStart w:id="23250" w:name="_Toc19391905"/>
      <w:bookmarkStart w:id="23251" w:name="_Toc19395402"/>
      <w:r>
        <w:rPr>
          <w:rFonts w:hint="cs"/>
          <w:rtl/>
        </w:rPr>
        <w:t>קושית הראש יוסף על רבינו אפרים דלא מסתבר דנחלקו אמוראים במחלוקת תנאים</w:t>
      </w:r>
      <w:bookmarkEnd w:id="23247"/>
      <w:bookmarkEnd w:id="23248"/>
      <w:bookmarkEnd w:id="23249"/>
      <w:bookmarkEnd w:id="23250"/>
      <w:bookmarkEnd w:id="23251"/>
    </w:p>
    <w:p w14:paraId="45D280DF" w14:textId="77777777" w:rsidR="003D504D" w:rsidRDefault="003D504D" w:rsidP="00223668">
      <w:pPr>
        <w:pStyle w:val="a0"/>
        <w:rPr>
          <w:rtl/>
        </w:rPr>
      </w:pPr>
      <w:r>
        <w:rPr>
          <w:rFonts w:hint="cs"/>
          <w:rtl/>
        </w:rPr>
        <w:t xml:space="preserve">וכתב </w:t>
      </w:r>
      <w:r w:rsidRPr="00370090">
        <w:rPr>
          <w:rStyle w:val="af9"/>
          <w:rFonts w:hint="cs"/>
          <w:rtl/>
        </w:rPr>
        <w:t>הראש יוסף לקמן</w:t>
      </w:r>
      <w:r>
        <w:rPr>
          <w:rFonts w:hint="cs"/>
          <w:rtl/>
        </w:rPr>
        <w:t xml:space="preserve"> </w:t>
      </w:r>
      <w:r w:rsidRPr="00370090">
        <w:rPr>
          <w:rStyle w:val="af7"/>
          <w:rFonts w:eastAsia="Guttman Hodes" w:hint="cs"/>
          <w:rtl/>
        </w:rPr>
        <w:t>(צב: ד"ה והנה)</w:t>
      </w:r>
      <w:r>
        <w:rPr>
          <w:rFonts w:hint="cs"/>
          <w:rtl/>
        </w:rPr>
        <w:t xml:space="preserve"> דקשה על דברי </w:t>
      </w:r>
      <w:r w:rsidRPr="00370090">
        <w:rPr>
          <w:rStyle w:val="af9"/>
          <w:rFonts w:hint="cs"/>
          <w:rtl/>
        </w:rPr>
        <w:t>רבינו אפרים</w:t>
      </w:r>
      <w:r>
        <w:rPr>
          <w:rFonts w:hint="cs"/>
          <w:rtl/>
        </w:rPr>
        <w:t xml:space="preserve"> ד' קושיות, והקושיה הא' הקשה הראש יוסף כקושית </w:t>
      </w:r>
      <w:r w:rsidRPr="00370090">
        <w:rPr>
          <w:rStyle w:val="af9"/>
          <w:rFonts w:hint="cs"/>
          <w:rtl/>
        </w:rPr>
        <w:t>הרא"ש</w:t>
      </w:r>
      <w:r>
        <w:rPr>
          <w:rFonts w:hint="cs"/>
          <w:rtl/>
        </w:rPr>
        <w:t xml:space="preserve"> </w:t>
      </w:r>
      <w:r w:rsidRPr="00612D9C">
        <w:rPr>
          <w:rStyle w:val="af7"/>
          <w:rFonts w:eastAsia="Guttman Hodes" w:hint="cs"/>
          <w:rtl/>
        </w:rPr>
        <w:t>(ס</w:t>
      </w:r>
      <w:r>
        <w:rPr>
          <w:rStyle w:val="af7"/>
          <w:rFonts w:eastAsia="Guttman Hodes" w:hint="cs"/>
          <w:rtl/>
        </w:rPr>
        <w:t xml:space="preserve">י' ה') </w:t>
      </w:r>
      <w:r w:rsidRPr="00F941DD">
        <w:rPr>
          <w:rStyle w:val="af7"/>
          <w:rFonts w:eastAsia="Guttman Hodes" w:hint="cs"/>
          <w:rtl/>
        </w:rPr>
        <w:t xml:space="preserve"> </w:t>
      </w:r>
      <w:r>
        <w:rPr>
          <w:rFonts w:hint="cs"/>
          <w:rtl/>
        </w:rPr>
        <w:t xml:space="preserve">על </w:t>
      </w:r>
      <w:r w:rsidRPr="00370090">
        <w:rPr>
          <w:rStyle w:val="af9"/>
          <w:rFonts w:hint="cs"/>
          <w:rtl/>
        </w:rPr>
        <w:t>הרמב"ם</w:t>
      </w:r>
      <w:r>
        <w:rPr>
          <w:rFonts w:hint="cs"/>
          <w:rtl/>
        </w:rPr>
        <w:t xml:space="preserve">, דלא מסתבר לומר דנחלקו האמוראים במחלוקת התנאים, ואם באו לפסוק הלכה היה להם לומר כן בפירוש, וכבר הקשה כן </w:t>
      </w:r>
      <w:r w:rsidRPr="005A4CA9">
        <w:rPr>
          <w:rStyle w:val="af9"/>
          <w:rFonts w:hint="cs"/>
          <w:rtl/>
        </w:rPr>
        <w:t>הראב"ד</w:t>
      </w:r>
      <w:r>
        <w:rPr>
          <w:rFonts w:hint="cs"/>
          <w:rtl/>
        </w:rPr>
        <w:t xml:space="preserve"> </w:t>
      </w:r>
      <w:r w:rsidRPr="005A4CA9">
        <w:rPr>
          <w:rStyle w:val="af7"/>
          <w:rFonts w:eastAsia="Guttman Hodes" w:hint="cs"/>
          <w:rtl/>
        </w:rPr>
        <w:t xml:space="preserve">(עי' אות </w:t>
      </w:r>
      <w:r w:rsidRPr="005A4CA9">
        <w:rPr>
          <w:rStyle w:val="af7"/>
          <w:rFonts w:eastAsia="Guttman Hodes"/>
          <w:rtl/>
        </w:rPr>
        <w:fldChar w:fldCharType="begin"/>
      </w:r>
      <w:r w:rsidRPr="005A4CA9">
        <w:rPr>
          <w:rStyle w:val="af7"/>
          <w:rFonts w:eastAsia="Guttman Hodes"/>
          <w:rtl/>
        </w:rPr>
        <w:instrText xml:space="preserve"> </w:instrText>
      </w:r>
      <w:r w:rsidRPr="005A4CA9">
        <w:rPr>
          <w:rStyle w:val="af7"/>
          <w:rFonts w:eastAsia="Guttman Hodes" w:hint="cs"/>
        </w:rPr>
        <w:instrText>REF</w:instrText>
      </w:r>
      <w:r w:rsidRPr="005A4CA9">
        <w:rPr>
          <w:rStyle w:val="af7"/>
          <w:rFonts w:eastAsia="Guttman Hodes" w:hint="cs"/>
          <w:rtl/>
        </w:rPr>
        <w:instrText xml:space="preserve"> _</w:instrText>
      </w:r>
      <w:r w:rsidRPr="005A4CA9">
        <w:rPr>
          <w:rStyle w:val="af7"/>
          <w:rFonts w:eastAsia="Guttman Hodes" w:hint="cs"/>
        </w:rPr>
        <w:instrText>Ref3494851 \r \h</w:instrText>
      </w:r>
      <w:r w:rsidRPr="005A4CA9">
        <w:rPr>
          <w:rStyle w:val="af7"/>
          <w:rFonts w:eastAsia="Guttman Hodes"/>
          <w:rtl/>
        </w:rPr>
        <w:instrText xml:space="preserve"> </w:instrText>
      </w:r>
      <w:r w:rsidRPr="005A4CA9">
        <w:rPr>
          <w:rStyle w:val="af7"/>
          <w:rFonts w:eastAsia="Guttman Hodes"/>
          <w:rtl/>
        </w:rPr>
      </w:r>
      <w:r w:rsidRPr="005A4CA9">
        <w:rPr>
          <w:rStyle w:val="af7"/>
          <w:rFonts w:eastAsia="Guttman Hodes"/>
          <w:rtl/>
        </w:rPr>
        <w:fldChar w:fldCharType="separate"/>
      </w:r>
      <w:r w:rsidR="00345400">
        <w:rPr>
          <w:rStyle w:val="af7"/>
          <w:rFonts w:eastAsia="Guttman Hodes"/>
          <w:cs/>
        </w:rPr>
        <w:t>‎</w:t>
      </w:r>
      <w:r w:rsidR="00345400">
        <w:rPr>
          <w:rStyle w:val="af7"/>
          <w:rFonts w:eastAsia="Guttman Hodes"/>
          <w:rtl/>
        </w:rPr>
        <w:t>פט)</w:t>
      </w:r>
      <w:r w:rsidRPr="005A4CA9">
        <w:rPr>
          <w:rStyle w:val="af7"/>
          <w:rFonts w:eastAsia="Guttman Hodes"/>
          <w:rtl/>
        </w:rPr>
        <w:fldChar w:fldCharType="end"/>
      </w:r>
      <w:r>
        <w:rPr>
          <w:rFonts w:hint="cs"/>
          <w:rtl/>
        </w:rPr>
        <w:t xml:space="preserve"> על </w:t>
      </w:r>
      <w:r w:rsidRPr="005A4CA9">
        <w:rPr>
          <w:rStyle w:val="af9"/>
          <w:rFonts w:hint="cs"/>
          <w:rtl/>
        </w:rPr>
        <w:t>רבינו אפרים</w:t>
      </w:r>
      <w:r>
        <w:rPr>
          <w:rFonts w:hint="cs"/>
          <w:rtl/>
        </w:rPr>
        <w:t>.</w:t>
      </w:r>
    </w:p>
    <w:p w14:paraId="37A6C9CC" w14:textId="77777777" w:rsidR="003D504D" w:rsidRPr="002735CB" w:rsidRDefault="003D504D" w:rsidP="003D504D">
      <w:pPr>
        <w:pStyle w:val="a3"/>
      </w:pPr>
      <w:bookmarkStart w:id="23252" w:name="_Toc3543230"/>
      <w:bookmarkStart w:id="23253" w:name="_Toc3550941"/>
      <w:bookmarkStart w:id="23254" w:name="_Toc3551097"/>
      <w:bookmarkStart w:id="23255" w:name="_Toc19391906"/>
      <w:bookmarkStart w:id="23256" w:name="_Toc19395403"/>
      <w:r>
        <w:rPr>
          <w:rFonts w:hint="cs"/>
          <w:rtl/>
        </w:rPr>
        <w:t>קושית הראש יוסף על רבינו אפרים דאמאי לא תירץ ר"ל דהברייתא דאשם היא כר"מ</w:t>
      </w:r>
      <w:bookmarkEnd w:id="23252"/>
      <w:bookmarkEnd w:id="23253"/>
      <w:bookmarkEnd w:id="23254"/>
      <w:bookmarkEnd w:id="23255"/>
      <w:bookmarkEnd w:id="23256"/>
    </w:p>
    <w:p w14:paraId="149875F9" w14:textId="77777777" w:rsidR="003D504D" w:rsidRDefault="003D504D" w:rsidP="00223668">
      <w:pPr>
        <w:pStyle w:val="a0"/>
        <w:rPr>
          <w:rtl/>
        </w:rPr>
      </w:pPr>
      <w:r>
        <w:rPr>
          <w:rFonts w:hint="cs"/>
          <w:rtl/>
        </w:rPr>
        <w:t xml:space="preserve">והקושיה הב' על </w:t>
      </w:r>
      <w:r w:rsidRPr="00370090">
        <w:rPr>
          <w:rStyle w:val="af9"/>
          <w:rFonts w:hint="cs"/>
          <w:rtl/>
        </w:rPr>
        <w:t>רבינו אפרים</w:t>
      </w:r>
      <w:r>
        <w:rPr>
          <w:rFonts w:hint="cs"/>
          <w:rtl/>
        </w:rPr>
        <w:t xml:space="preserve"> הקשה </w:t>
      </w:r>
      <w:r w:rsidRPr="00370090">
        <w:rPr>
          <w:rStyle w:val="af9"/>
          <w:rFonts w:hint="cs"/>
          <w:rtl/>
        </w:rPr>
        <w:t>הראש יוסף</w:t>
      </w:r>
      <w:r>
        <w:rPr>
          <w:rFonts w:hint="cs"/>
          <w:rtl/>
        </w:rPr>
        <w:t xml:space="preserve"> דמה הקשה ריו"ח לר"ל מהילפותא בברייתא "דאשם מוצא מכלל שליל", הא היה ר"ל יכול לתרץ דהברייתא היא כר"מ, וכתב </w:t>
      </w:r>
      <w:r w:rsidRPr="00370090">
        <w:rPr>
          <w:rStyle w:val="af9"/>
          <w:rFonts w:hint="cs"/>
          <w:rtl/>
        </w:rPr>
        <w:t>הראש יוסף</w:t>
      </w:r>
      <w:r>
        <w:rPr>
          <w:rFonts w:hint="cs"/>
          <w:rtl/>
        </w:rPr>
        <w:t xml:space="preserve"> דאפש"ל דכיון דהברייתא היא מהתורת כהנים, עדיף להעמידה אף כר"י, דהא סתם ספרא ר"י.</w:t>
      </w:r>
    </w:p>
    <w:p w14:paraId="37F28349" w14:textId="77777777" w:rsidR="003D504D" w:rsidRPr="00614843" w:rsidRDefault="003D504D" w:rsidP="003D504D">
      <w:pPr>
        <w:pStyle w:val="a3"/>
        <w:rPr>
          <w:rtl/>
        </w:rPr>
      </w:pPr>
      <w:bookmarkStart w:id="23257" w:name="_Toc3543231"/>
      <w:bookmarkStart w:id="23258" w:name="_Toc3550942"/>
      <w:bookmarkStart w:id="23259" w:name="_Toc3551098"/>
      <w:bookmarkStart w:id="23260" w:name="_Toc19391907"/>
      <w:bookmarkStart w:id="23261" w:name="_Toc19395404"/>
      <w:r w:rsidRPr="00614843">
        <w:rPr>
          <w:rtl/>
        </w:rPr>
        <w:t>קושית הראש יוסף על רבינו אפרים</w:t>
      </w:r>
      <w:r>
        <w:rPr>
          <w:rFonts w:hint="cs"/>
          <w:rtl/>
        </w:rPr>
        <w:t xml:space="preserve"> דבברייתא דאשם מבואר דהיא לר"י ומה הקשה ר"ל לריו"ח</w:t>
      </w:r>
      <w:bookmarkEnd w:id="23257"/>
      <w:bookmarkEnd w:id="23258"/>
      <w:bookmarkEnd w:id="23259"/>
      <w:bookmarkEnd w:id="23260"/>
      <w:bookmarkEnd w:id="23261"/>
    </w:p>
    <w:p w14:paraId="6DA35957" w14:textId="77777777" w:rsidR="003D504D" w:rsidRDefault="003D504D" w:rsidP="00223668">
      <w:pPr>
        <w:pStyle w:val="a0"/>
        <w:rPr>
          <w:rtl/>
        </w:rPr>
      </w:pPr>
      <w:r>
        <w:rPr>
          <w:rFonts w:hint="cs"/>
          <w:rtl/>
        </w:rPr>
        <w:t xml:space="preserve">והקושיה הג' על </w:t>
      </w:r>
      <w:r w:rsidRPr="00A207C0">
        <w:rPr>
          <w:rStyle w:val="af9"/>
          <w:rFonts w:hint="cs"/>
          <w:rtl/>
        </w:rPr>
        <w:t>רבינו אפרים</w:t>
      </w:r>
      <w:r>
        <w:rPr>
          <w:rFonts w:hint="cs"/>
          <w:rtl/>
        </w:rPr>
        <w:t xml:space="preserve"> הקשה </w:t>
      </w:r>
      <w:r w:rsidRPr="00A207C0">
        <w:rPr>
          <w:rStyle w:val="af9"/>
          <w:rFonts w:hint="cs"/>
          <w:rtl/>
        </w:rPr>
        <w:t>הראש יוסף לקמן</w:t>
      </w:r>
      <w:r>
        <w:rPr>
          <w:rFonts w:hint="cs"/>
          <w:rtl/>
        </w:rPr>
        <w:t xml:space="preserve"> </w:t>
      </w:r>
      <w:r w:rsidRPr="00EB5639">
        <w:rPr>
          <w:rStyle w:val="af7"/>
          <w:rFonts w:eastAsia="Guttman Hodes" w:hint="cs"/>
          <w:rtl/>
        </w:rPr>
        <w:t>(צב: ד"ה הקושיה השלישית)</w:t>
      </w:r>
      <w:r>
        <w:rPr>
          <w:rFonts w:hint="cs"/>
          <w:rtl/>
        </w:rPr>
        <w:t xml:space="preserve"> דהילפותא "דאשם מוצא מכלל שליל" היא ודאי לדעת ר"י כדמוכח מהרישא של הברייתא בתורת כהנים, </w:t>
      </w:r>
      <w:r w:rsidRPr="00EB5639">
        <w:rPr>
          <w:rStyle w:val="afb"/>
          <w:rFonts w:hint="cs"/>
          <w:rtl/>
        </w:rPr>
        <w:t>[עיי"ש בדבריו],</w:t>
      </w:r>
      <w:r>
        <w:rPr>
          <w:rFonts w:hint="cs"/>
          <w:rtl/>
        </w:rPr>
        <w:t xml:space="preserve"> וא"כ מה הקשה ר"ל לריו"ח </w:t>
      </w:r>
      <w:r w:rsidRPr="00EB5639">
        <w:rPr>
          <w:rStyle w:val="afb"/>
          <w:rFonts w:hint="cs"/>
          <w:rtl/>
        </w:rPr>
        <w:t>[ולל"ב מה קשה לר"ל]</w:t>
      </w:r>
      <w:r>
        <w:rPr>
          <w:rFonts w:hint="cs"/>
          <w:rtl/>
        </w:rPr>
        <w:t>, הא אפש"ל דהילפותא הזו היא המקור לסברת ר"י.</w:t>
      </w:r>
    </w:p>
    <w:p w14:paraId="2EA745EF" w14:textId="77777777" w:rsidR="003D504D" w:rsidRPr="00D6106C" w:rsidRDefault="003D504D" w:rsidP="003D504D">
      <w:pPr>
        <w:pStyle w:val="a3"/>
        <w:rPr>
          <w:rtl/>
        </w:rPr>
      </w:pPr>
      <w:bookmarkStart w:id="23262" w:name="_Toc3543232"/>
      <w:bookmarkStart w:id="23263" w:name="_Toc3550943"/>
      <w:bookmarkStart w:id="23264" w:name="_Toc3551099"/>
      <w:bookmarkStart w:id="23265" w:name="_Toc19391908"/>
      <w:bookmarkStart w:id="23266" w:name="_Toc19395405"/>
      <w:r w:rsidRPr="00D6106C">
        <w:rPr>
          <w:rtl/>
        </w:rPr>
        <w:t>קושית הראש יוסף על רבינו אפרים</w:t>
      </w:r>
      <w:r>
        <w:rPr>
          <w:rFonts w:hint="cs"/>
          <w:rtl/>
        </w:rPr>
        <w:t xml:space="preserve"> מהוכחת התוס' דאף לריו"ח בעינן אוירא דעלמא ולא רק חדשים</w:t>
      </w:r>
      <w:bookmarkEnd w:id="23262"/>
      <w:bookmarkEnd w:id="23263"/>
      <w:bookmarkEnd w:id="23264"/>
      <w:bookmarkEnd w:id="23265"/>
      <w:bookmarkEnd w:id="23266"/>
    </w:p>
    <w:p w14:paraId="6232A7E1" w14:textId="77777777" w:rsidR="003D504D" w:rsidRDefault="003D504D" w:rsidP="00223668">
      <w:pPr>
        <w:pStyle w:val="a0"/>
        <w:rPr>
          <w:rtl/>
        </w:rPr>
      </w:pPr>
      <w:r>
        <w:rPr>
          <w:rFonts w:hint="cs"/>
          <w:rtl/>
        </w:rPr>
        <w:t xml:space="preserve">והקושיה הד' על </w:t>
      </w:r>
      <w:r w:rsidRPr="00A207C0">
        <w:rPr>
          <w:rStyle w:val="af9"/>
          <w:rFonts w:hint="cs"/>
          <w:rtl/>
        </w:rPr>
        <w:t>רבינו אפרים</w:t>
      </w:r>
      <w:r>
        <w:rPr>
          <w:rFonts w:hint="cs"/>
          <w:rtl/>
        </w:rPr>
        <w:t xml:space="preserve"> הקשה </w:t>
      </w:r>
      <w:r w:rsidRPr="00A207C0">
        <w:rPr>
          <w:rStyle w:val="af9"/>
          <w:rFonts w:hint="cs"/>
          <w:rtl/>
        </w:rPr>
        <w:t>הראש יוסף לקמן</w:t>
      </w:r>
      <w:r>
        <w:rPr>
          <w:rFonts w:hint="cs"/>
          <w:rtl/>
        </w:rPr>
        <w:t xml:space="preserve"> דבגמ' לקמן </w:t>
      </w:r>
      <w:r w:rsidRPr="00EB5639">
        <w:rPr>
          <w:rStyle w:val="af7"/>
          <w:rFonts w:eastAsia="Guttman Hodes" w:hint="cs"/>
          <w:rtl/>
        </w:rPr>
        <w:t xml:space="preserve">(קג.) </w:t>
      </w:r>
      <w:r>
        <w:rPr>
          <w:rFonts w:hint="cs"/>
          <w:rtl/>
        </w:rPr>
        <w:t xml:space="preserve">מוכח דאף לדעת ריו"ח לא חל איסור חלב עד שיצא לאויר העולם, ואף דס"ל </w:t>
      </w:r>
      <w:r w:rsidRPr="00A32AD2">
        <w:rPr>
          <w:rFonts w:hint="cs"/>
          <w:rtl/>
        </w:rPr>
        <w:t>לריו"ח דלא בעינן שיצא לאויר העולם בלידה, מ"מ אויר העולם בעינן, וכ</w:t>
      </w:r>
      <w:r>
        <w:rPr>
          <w:rFonts w:hint="cs"/>
          <w:rtl/>
        </w:rPr>
        <w:t>דעת</w:t>
      </w:r>
      <w:r w:rsidRPr="00A32AD2">
        <w:rPr>
          <w:rFonts w:hint="cs"/>
          <w:rtl/>
        </w:rPr>
        <w:t xml:space="preserve"> </w:t>
      </w:r>
      <w:r>
        <w:rPr>
          <w:rStyle w:val="af9"/>
          <w:rFonts w:hint="cs"/>
          <w:rtl/>
        </w:rPr>
        <w:t>ה</w:t>
      </w:r>
      <w:r w:rsidRPr="00A32AD2">
        <w:rPr>
          <w:rStyle w:val="af9"/>
          <w:rFonts w:hint="cs"/>
          <w:rtl/>
        </w:rPr>
        <w:t xml:space="preserve">תוס' </w:t>
      </w:r>
      <w:r w:rsidRPr="00A32AD2">
        <w:rPr>
          <w:rStyle w:val="af7"/>
          <w:rFonts w:eastAsia="Guttman Hodes" w:hint="cs"/>
          <w:rtl/>
        </w:rPr>
        <w:t xml:space="preserve">(עי' אות </w:t>
      </w:r>
      <w:r w:rsidRPr="00A32AD2">
        <w:rPr>
          <w:rStyle w:val="af7"/>
          <w:rFonts w:eastAsia="Guttman Hodes"/>
          <w:rtl/>
        </w:rPr>
        <w:fldChar w:fldCharType="begin"/>
      </w:r>
      <w:r w:rsidRPr="00A32AD2">
        <w:rPr>
          <w:rStyle w:val="af7"/>
          <w:rFonts w:eastAsia="Guttman Hodes"/>
          <w:rtl/>
        </w:rPr>
        <w:instrText xml:space="preserve"> </w:instrText>
      </w:r>
      <w:r w:rsidRPr="00A32AD2">
        <w:rPr>
          <w:rStyle w:val="af7"/>
          <w:rFonts w:eastAsia="Guttman Hodes" w:hint="cs"/>
        </w:rPr>
        <w:instrText>REF</w:instrText>
      </w:r>
      <w:r w:rsidRPr="00A32AD2">
        <w:rPr>
          <w:rStyle w:val="af7"/>
          <w:rFonts w:eastAsia="Guttman Hodes" w:hint="cs"/>
          <w:rtl/>
        </w:rPr>
        <w:instrText xml:space="preserve"> _</w:instrText>
      </w:r>
      <w:r w:rsidRPr="00A32AD2">
        <w:rPr>
          <w:rStyle w:val="af7"/>
          <w:rFonts w:eastAsia="Guttman Hodes" w:hint="cs"/>
        </w:rPr>
        <w:instrText>Ref3319699 \r \h</w:instrText>
      </w:r>
      <w:r w:rsidRPr="00A32AD2">
        <w:rPr>
          <w:rStyle w:val="af7"/>
          <w:rFonts w:eastAsia="Guttman Hodes"/>
          <w:rtl/>
        </w:rPr>
        <w:instrText xml:space="preserve"> </w:instrText>
      </w:r>
      <w:r w:rsidRPr="00A32AD2">
        <w:rPr>
          <w:rStyle w:val="af7"/>
          <w:rFonts w:eastAsia="Guttman Hodes"/>
          <w:rtl/>
        </w:rPr>
      </w:r>
      <w:r w:rsidRPr="00A32AD2">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A32AD2">
        <w:rPr>
          <w:rStyle w:val="af7"/>
          <w:rFonts w:eastAsia="Guttman Hodes"/>
          <w:rtl/>
        </w:rPr>
        <w:fldChar w:fldCharType="end"/>
      </w:r>
      <w:r>
        <w:rPr>
          <w:rStyle w:val="af9"/>
          <w:rFonts w:hint="cs"/>
          <w:rtl/>
        </w:rPr>
        <w:t xml:space="preserve"> </w:t>
      </w:r>
      <w:r w:rsidRPr="00A32AD2">
        <w:rPr>
          <w:rFonts w:hint="cs"/>
          <w:rtl/>
        </w:rPr>
        <w:t>וא"כ</w:t>
      </w:r>
      <w:r>
        <w:rPr>
          <w:rFonts w:hint="cs"/>
          <w:rtl/>
        </w:rPr>
        <w:t xml:space="preserve"> היאך יתכן לומר דס"ל לריו"ח כר"מ דחדשים גרמי ולא אוירא כלל.</w:t>
      </w:r>
    </w:p>
    <w:p w14:paraId="4C5F5C92" w14:textId="77777777" w:rsidR="007D3AFB" w:rsidRPr="007D3AFB" w:rsidRDefault="007D3AFB" w:rsidP="007D3AFB">
      <w:pPr>
        <w:pStyle w:val="a3"/>
        <w:rPr>
          <w:rtl/>
        </w:rPr>
      </w:pPr>
    </w:p>
    <w:p w14:paraId="016F3438" w14:textId="77777777" w:rsidR="003D504D" w:rsidRPr="00883046" w:rsidRDefault="003D504D" w:rsidP="003D504D">
      <w:pPr>
        <w:pStyle w:val="a3"/>
        <w:rPr>
          <w:rtl/>
        </w:rPr>
      </w:pPr>
      <w:bookmarkStart w:id="23267" w:name="_Toc3543233"/>
      <w:bookmarkStart w:id="23268" w:name="_Toc3550944"/>
      <w:bookmarkStart w:id="23269" w:name="_Toc3551100"/>
      <w:bookmarkStart w:id="23270" w:name="_Toc19391909"/>
      <w:bookmarkStart w:id="23271" w:name="_Toc19395406"/>
      <w:r>
        <w:rPr>
          <w:rFonts w:hint="cs"/>
          <w:rtl/>
        </w:rPr>
        <w:t>דברי הראש יוסף דלרבינו אפרים א"א לתרץ כרשב"א דעומד להיתר בשחיטה דהא פסק כר"מ</w:t>
      </w:r>
      <w:bookmarkEnd w:id="23267"/>
      <w:bookmarkEnd w:id="23268"/>
      <w:bookmarkEnd w:id="23269"/>
      <w:bookmarkEnd w:id="23270"/>
      <w:bookmarkEnd w:id="23271"/>
    </w:p>
    <w:p w14:paraId="22330064" w14:textId="77777777" w:rsidR="003D504D" w:rsidRDefault="003D504D" w:rsidP="00223668">
      <w:pPr>
        <w:pStyle w:val="a0"/>
        <w:rPr>
          <w:rtl/>
        </w:rPr>
      </w:pPr>
      <w:r>
        <w:rPr>
          <w:rFonts w:hint="cs"/>
          <w:rtl/>
        </w:rPr>
        <w:t xml:space="preserve">וכתב </w:t>
      </w:r>
      <w:r w:rsidRPr="00A207C0">
        <w:rPr>
          <w:rStyle w:val="af9"/>
          <w:rFonts w:hint="cs"/>
          <w:rtl/>
        </w:rPr>
        <w:t>הראש יוסף לקמן</w:t>
      </w:r>
      <w:r>
        <w:rPr>
          <w:rFonts w:hint="cs"/>
          <w:rtl/>
        </w:rPr>
        <w:t xml:space="preserve"> דלדעת </w:t>
      </w:r>
      <w:r w:rsidRPr="00A207C0">
        <w:rPr>
          <w:rStyle w:val="af9"/>
          <w:rFonts w:hint="cs"/>
          <w:rtl/>
        </w:rPr>
        <w:t>רבינו אפרים</w:t>
      </w:r>
      <w:r>
        <w:rPr>
          <w:rFonts w:hint="cs"/>
          <w:rtl/>
        </w:rPr>
        <w:t xml:space="preserve"> א"א לתרץ כדתירץ </w:t>
      </w:r>
      <w:r w:rsidRPr="00A207C0">
        <w:rPr>
          <w:rStyle w:val="af9"/>
          <w:rFonts w:hint="cs"/>
          <w:rtl/>
        </w:rPr>
        <w:t>הרשב"א</w:t>
      </w:r>
      <w:r>
        <w:rPr>
          <w:rFonts w:hint="cs"/>
          <w:rtl/>
        </w:rPr>
        <w:t xml:space="preserve"> </w:t>
      </w:r>
      <w:r w:rsidRPr="00EB5639">
        <w:rPr>
          <w:rStyle w:val="af7"/>
          <w:rFonts w:eastAsia="Guttman Hodes" w:hint="cs"/>
          <w:rtl/>
        </w:rPr>
        <w:t xml:space="preserve">(עי' אות </w:t>
      </w:r>
      <w:r w:rsidRPr="00EB5639">
        <w:rPr>
          <w:rStyle w:val="af7"/>
          <w:rFonts w:eastAsia="Guttman Hodes"/>
          <w:rtl/>
        </w:rPr>
        <w:fldChar w:fldCharType="begin"/>
      </w:r>
      <w:r w:rsidRPr="00EB5639">
        <w:rPr>
          <w:rStyle w:val="af7"/>
          <w:rFonts w:eastAsia="Guttman Hodes"/>
          <w:rtl/>
        </w:rPr>
        <w:instrText xml:space="preserve"> </w:instrText>
      </w:r>
      <w:r w:rsidRPr="00EB5639">
        <w:rPr>
          <w:rStyle w:val="af7"/>
          <w:rFonts w:eastAsia="Guttman Hodes" w:hint="cs"/>
        </w:rPr>
        <w:instrText>REF</w:instrText>
      </w:r>
      <w:r w:rsidRPr="00EB5639">
        <w:rPr>
          <w:rStyle w:val="af7"/>
          <w:rFonts w:eastAsia="Guttman Hodes" w:hint="cs"/>
          <w:rtl/>
        </w:rPr>
        <w:instrText xml:space="preserve"> _</w:instrText>
      </w:r>
      <w:r w:rsidRPr="00EB5639">
        <w:rPr>
          <w:rStyle w:val="af7"/>
          <w:rFonts w:eastAsia="Guttman Hodes" w:hint="cs"/>
        </w:rPr>
        <w:instrText>Ref2930209 \r \h</w:instrText>
      </w:r>
      <w:r w:rsidRPr="00EB5639">
        <w:rPr>
          <w:rStyle w:val="af7"/>
          <w:rFonts w:eastAsia="Guttman Hodes"/>
          <w:rtl/>
        </w:rPr>
        <w:instrText xml:space="preserve"> </w:instrText>
      </w:r>
      <w:r w:rsidRPr="00EB5639">
        <w:rPr>
          <w:rStyle w:val="af7"/>
          <w:rFonts w:eastAsia="Guttman Hodes"/>
          <w:rtl/>
        </w:rPr>
      </w:r>
      <w:r w:rsidRPr="00EB5639">
        <w:rPr>
          <w:rStyle w:val="af7"/>
          <w:rFonts w:eastAsia="Guttman Hodes"/>
          <w:rtl/>
        </w:rPr>
        <w:fldChar w:fldCharType="separate"/>
      </w:r>
      <w:r w:rsidR="00345400">
        <w:rPr>
          <w:rStyle w:val="af7"/>
          <w:rFonts w:eastAsia="Guttman Hodes"/>
          <w:cs/>
        </w:rPr>
        <w:t>‎</w:t>
      </w:r>
      <w:r w:rsidR="00345400">
        <w:rPr>
          <w:rStyle w:val="af7"/>
          <w:rFonts w:eastAsia="Guttman Hodes"/>
          <w:rtl/>
        </w:rPr>
        <w:t>לד)</w:t>
      </w:r>
      <w:r w:rsidRPr="00EB5639">
        <w:rPr>
          <w:rStyle w:val="af7"/>
          <w:rFonts w:eastAsia="Guttman Hodes"/>
          <w:rtl/>
        </w:rPr>
        <w:fldChar w:fldCharType="end"/>
      </w:r>
      <w:r>
        <w:rPr>
          <w:rFonts w:hint="cs"/>
          <w:rtl/>
        </w:rPr>
        <w:t xml:space="preserve"> דחדשים לבד גרמי, ואיסור חלב חל במעי אמו, אך כיון שאפשר להתירו בשחיטה, חשיב שחל בשעת יציאתו לאויר העולם כשלא הותר בשחיטת אמו, דהרי לדעת </w:t>
      </w:r>
      <w:r w:rsidRPr="00A207C0">
        <w:rPr>
          <w:rStyle w:val="af9"/>
          <w:rFonts w:hint="cs"/>
          <w:rtl/>
        </w:rPr>
        <w:t>רבינו אפרים</w:t>
      </w:r>
      <w:r>
        <w:rPr>
          <w:rFonts w:hint="cs"/>
          <w:rtl/>
        </w:rPr>
        <w:t xml:space="preserve"> ריו"ח ס"ל כר"מ דבן ט' חי אינו מותר בשחיטת אמו, ואי חדשים גרמי, אין לחלב כל היתר, והיאך אמר ריו"ח לקמן </w:t>
      </w:r>
      <w:r w:rsidRPr="00EB5639">
        <w:rPr>
          <w:rStyle w:val="af7"/>
          <w:rFonts w:eastAsia="Guttman Hodes" w:hint="cs"/>
          <w:rtl/>
        </w:rPr>
        <w:t>(קג.)</w:t>
      </w:r>
      <w:r>
        <w:rPr>
          <w:rFonts w:hint="cs"/>
          <w:rtl/>
        </w:rPr>
        <w:t xml:space="preserve"> דחל בשעת יציאתו לאויר העולם.</w:t>
      </w:r>
    </w:p>
    <w:p w14:paraId="19A2D113" w14:textId="77777777" w:rsidR="003D504D" w:rsidRDefault="003D504D" w:rsidP="003D504D">
      <w:pPr>
        <w:pStyle w:val="afe"/>
        <w:rPr>
          <w:rtl/>
        </w:rPr>
      </w:pPr>
      <w:bookmarkStart w:id="23272" w:name="_Toc19436311"/>
      <w:bookmarkStart w:id="23273" w:name="_Toc20081457"/>
      <w:bookmarkStart w:id="23274" w:name="_Toc3322248"/>
      <w:bookmarkStart w:id="23275" w:name="_Toc3480711"/>
      <w:bookmarkStart w:id="23276" w:name="_Toc3484986"/>
      <w:bookmarkStart w:id="23277" w:name="_Toc3535851"/>
      <w:bookmarkStart w:id="23278" w:name="_Toc3543234"/>
      <w:bookmarkStart w:id="23279" w:name="_Toc3550945"/>
      <w:bookmarkStart w:id="23280" w:name="_Toc3551101"/>
      <w:r>
        <w:rPr>
          <w:rFonts w:hint="cs"/>
          <w:rtl/>
        </w:rPr>
        <w:t>דעת העיטור</w:t>
      </w:r>
      <w:bookmarkEnd w:id="23272"/>
      <w:bookmarkEnd w:id="23273"/>
    </w:p>
    <w:p w14:paraId="163B9597" w14:textId="77777777" w:rsidR="003D504D" w:rsidRDefault="003D504D" w:rsidP="00BF39B2">
      <w:pPr>
        <w:pStyle w:val="1"/>
        <w:rPr>
          <w:rtl/>
        </w:rPr>
      </w:pPr>
      <w:bookmarkStart w:id="23281" w:name="_Toc19391910"/>
      <w:bookmarkStart w:id="23282" w:name="_Toc19395407"/>
      <w:r>
        <w:rPr>
          <w:rFonts w:hint="cs"/>
          <w:rtl/>
        </w:rPr>
        <w:t>דעת העיטור דריו"ח ור"ל נחלקו רק לדעת ר"מ</w:t>
      </w:r>
      <w:bookmarkEnd w:id="23274"/>
      <w:bookmarkEnd w:id="23275"/>
      <w:bookmarkEnd w:id="23276"/>
      <w:r>
        <w:rPr>
          <w:rFonts w:hint="cs"/>
          <w:rtl/>
        </w:rPr>
        <w:t xml:space="preserve"> ולא לר"י</w:t>
      </w:r>
      <w:bookmarkEnd w:id="23277"/>
      <w:bookmarkEnd w:id="23278"/>
      <w:bookmarkEnd w:id="23279"/>
      <w:bookmarkEnd w:id="23280"/>
      <w:bookmarkEnd w:id="23281"/>
      <w:bookmarkEnd w:id="23282"/>
    </w:p>
    <w:p w14:paraId="06E68F39" w14:textId="77777777" w:rsidR="003D504D" w:rsidRDefault="003D504D" w:rsidP="003D504D">
      <w:pPr>
        <w:pStyle w:val="a3"/>
        <w:rPr>
          <w:rtl/>
        </w:rPr>
      </w:pPr>
      <w:bookmarkStart w:id="23283" w:name="_Toc3535852"/>
      <w:bookmarkStart w:id="23284" w:name="_Toc3543235"/>
      <w:bookmarkStart w:id="23285" w:name="_Toc3550946"/>
      <w:bookmarkStart w:id="23286" w:name="_Toc3551102"/>
      <w:bookmarkStart w:id="23287" w:name="_Toc19391911"/>
      <w:bookmarkStart w:id="23288" w:name="_Toc19395408"/>
      <w:r>
        <w:rPr>
          <w:rFonts w:hint="cs"/>
          <w:rtl/>
        </w:rPr>
        <w:t>דברי העיטור דבשחיטה קיי"ל כסתם מתני' כר"י ובחלב וגיד כריו"ח ור"ל דנחלקו בדעת ר"מ</w:t>
      </w:r>
      <w:bookmarkEnd w:id="23283"/>
      <w:bookmarkEnd w:id="23284"/>
      <w:bookmarkEnd w:id="23285"/>
      <w:bookmarkEnd w:id="23286"/>
      <w:bookmarkEnd w:id="23287"/>
      <w:bookmarkEnd w:id="23288"/>
    </w:p>
    <w:p w14:paraId="561132DE" w14:textId="77777777" w:rsidR="003D504D" w:rsidRDefault="003D504D" w:rsidP="00223668">
      <w:pPr>
        <w:pStyle w:val="a0"/>
        <w:rPr>
          <w:rtl/>
        </w:rPr>
      </w:pPr>
      <w:bookmarkStart w:id="23289" w:name="_Ref3493239"/>
      <w:bookmarkStart w:id="23290" w:name="_Toc2718661"/>
      <w:bookmarkStart w:id="23291" w:name="_Toc2866723"/>
      <w:r>
        <w:rPr>
          <w:rFonts w:hint="cs"/>
          <w:rtl/>
        </w:rPr>
        <w:t xml:space="preserve">כתב </w:t>
      </w:r>
      <w:r w:rsidRPr="00F12178">
        <w:rPr>
          <w:rStyle w:val="af9"/>
          <w:rFonts w:hint="cs"/>
          <w:rtl/>
        </w:rPr>
        <w:t>העיטור</w:t>
      </w:r>
      <w:r>
        <w:rPr>
          <w:rFonts w:hint="cs"/>
          <w:rtl/>
        </w:rPr>
        <w:t xml:space="preserve"> </w:t>
      </w:r>
      <w:r w:rsidRPr="00F12178">
        <w:rPr>
          <w:rStyle w:val="af7"/>
          <w:rFonts w:eastAsia="Guttman Hodes" w:hint="cs"/>
          <w:rtl/>
        </w:rPr>
        <w:t>(</w:t>
      </w:r>
      <w:r w:rsidRPr="00F12178">
        <w:rPr>
          <w:rStyle w:val="af7"/>
          <w:rFonts w:eastAsia="Guttman Hodes"/>
          <w:rtl/>
        </w:rPr>
        <w:t>ש</w:t>
      </w:r>
      <w:r w:rsidRPr="00F12178">
        <w:rPr>
          <w:rStyle w:val="af7"/>
          <w:rFonts w:eastAsia="Guttman Hodes" w:hint="cs"/>
          <w:rtl/>
        </w:rPr>
        <w:t>"</w:t>
      </w:r>
      <w:r w:rsidRPr="00F12178">
        <w:rPr>
          <w:rStyle w:val="af7"/>
          <w:rFonts w:eastAsia="Guttman Hodes"/>
          <w:rtl/>
        </w:rPr>
        <w:t>ב</w:t>
      </w:r>
      <w:r w:rsidRPr="00F12178">
        <w:rPr>
          <w:rStyle w:val="af7"/>
          <w:rFonts w:eastAsia="Guttman Hodes" w:hint="cs"/>
          <w:rtl/>
        </w:rPr>
        <w:t xml:space="preserve"> </w:t>
      </w:r>
      <w:r w:rsidRPr="00F12178">
        <w:rPr>
          <w:rStyle w:val="af7"/>
          <w:rFonts w:eastAsia="Guttman Hodes"/>
          <w:rtl/>
        </w:rPr>
        <w:t xml:space="preserve">הלכות שחיטה </w:t>
      </w:r>
      <w:r w:rsidRPr="00F12178">
        <w:rPr>
          <w:rStyle w:val="af7"/>
          <w:rFonts w:eastAsia="Guttman Hodes" w:hint="cs"/>
          <w:rtl/>
        </w:rPr>
        <w:t xml:space="preserve">ח"ג מהחלק השלישי </w:t>
      </w:r>
      <w:r w:rsidRPr="00F12178">
        <w:rPr>
          <w:rStyle w:val="af7"/>
          <w:rFonts w:eastAsia="Guttman Hodes"/>
          <w:rtl/>
        </w:rPr>
        <w:t>דף כ</w:t>
      </w:r>
      <w:r w:rsidRPr="00F12178">
        <w:rPr>
          <w:rStyle w:val="af7"/>
          <w:rFonts w:eastAsia="Guttman Hodes" w:hint="cs"/>
          <w:rtl/>
        </w:rPr>
        <w:t>"</w:t>
      </w:r>
      <w:r w:rsidRPr="00F12178">
        <w:rPr>
          <w:rStyle w:val="af7"/>
          <w:rFonts w:eastAsia="Guttman Hodes"/>
          <w:rtl/>
        </w:rPr>
        <w:t>ח</w:t>
      </w:r>
      <w:r w:rsidRPr="00F12178">
        <w:rPr>
          <w:rStyle w:val="af7"/>
          <w:rFonts w:eastAsia="Guttman Hodes" w:hint="cs"/>
          <w:rtl/>
        </w:rPr>
        <w:t xml:space="preserve">:, הועתק בקובץ שיטות קמאי חולין ח"ב עמ' אלף תרל"ז) </w:t>
      </w:r>
      <w:r>
        <w:rPr>
          <w:rFonts w:hint="cs"/>
          <w:rtl/>
        </w:rPr>
        <w:t xml:space="preserve">דאעפ"י דקיי"ל דעובר לאו ירך אמו, מ"מ יש בו היתר "כל בבהמה תאכלו", והוסיף </w:t>
      </w:r>
      <w:r w:rsidRPr="00F12178">
        <w:rPr>
          <w:rStyle w:val="af9"/>
          <w:rFonts w:hint="cs"/>
          <w:rtl/>
        </w:rPr>
        <w:t>העיטור</w:t>
      </w:r>
      <w:r>
        <w:rPr>
          <w:rFonts w:hint="cs"/>
          <w:rtl/>
        </w:rPr>
        <w:t xml:space="preserve"> </w:t>
      </w:r>
      <w:r w:rsidRPr="00F12178">
        <w:rPr>
          <w:rStyle w:val="af7"/>
          <w:rFonts w:eastAsia="Guttman Hodes" w:hint="cs"/>
          <w:rtl/>
        </w:rPr>
        <w:t xml:space="preserve">(הועתק בקובץ שיטות קמאי חולין ח"ב עמ' אלף תרנ"ו) </w:t>
      </w:r>
      <w:r>
        <w:rPr>
          <w:rFonts w:hint="cs"/>
          <w:rtl/>
        </w:rPr>
        <w:t xml:space="preserve">דלענין שחיטה מסתבר דקיי"ל כרבנן דבן ט' חי מותר בשחיטת אמו, כיון דסתמא דמתני' בסוגיין </w:t>
      </w:r>
      <w:r w:rsidRPr="00F12178">
        <w:rPr>
          <w:rStyle w:val="af7"/>
          <w:rFonts w:eastAsia="Guttman Hodes" w:hint="cs"/>
          <w:rtl/>
        </w:rPr>
        <w:t>(עד.)</w:t>
      </w:r>
      <w:r>
        <w:rPr>
          <w:rFonts w:hint="cs"/>
          <w:rtl/>
        </w:rPr>
        <w:t xml:space="preserve"> היא כר"י, אבל לענין חלבו ושמנו וגידו כתב </w:t>
      </w:r>
      <w:r w:rsidRPr="00955E16">
        <w:rPr>
          <w:rStyle w:val="af9"/>
          <w:rFonts w:hint="cs"/>
          <w:rtl/>
        </w:rPr>
        <w:t xml:space="preserve">העיטור </w:t>
      </w:r>
      <w:r>
        <w:rPr>
          <w:rFonts w:hint="cs"/>
          <w:rtl/>
        </w:rPr>
        <w:t>דקיי"ל כר"מ</w:t>
      </w:r>
      <w:r w:rsidRPr="001726E7">
        <w:rPr>
          <w:rFonts w:hint="cs"/>
          <w:rtl/>
        </w:rPr>
        <w:t xml:space="preserve"> </w:t>
      </w:r>
      <w:r>
        <w:rPr>
          <w:rFonts w:hint="cs"/>
          <w:rtl/>
        </w:rPr>
        <w:t>דהם אסורים, כיון דבין ריו"ח ובין ר"ל ס"ל כר"מ.</w:t>
      </w:r>
      <w:bookmarkEnd w:id="23289"/>
    </w:p>
    <w:p w14:paraId="6CD956D5" w14:textId="77777777" w:rsidR="003D504D" w:rsidRPr="00350F0B" w:rsidRDefault="003D504D" w:rsidP="003D504D">
      <w:pPr>
        <w:pStyle w:val="a3"/>
      </w:pPr>
      <w:bookmarkStart w:id="23292" w:name="_Toc3535853"/>
      <w:bookmarkStart w:id="23293" w:name="_Toc3543236"/>
      <w:bookmarkStart w:id="23294" w:name="_Toc3550947"/>
      <w:bookmarkStart w:id="23295" w:name="_Toc3551103"/>
      <w:bookmarkStart w:id="23296" w:name="_Toc19391912"/>
      <w:bookmarkStart w:id="23297" w:name="_Toc19395409"/>
      <w:r>
        <w:rPr>
          <w:rFonts w:hint="cs"/>
          <w:rtl/>
        </w:rPr>
        <w:t>ביאור העיטור דריו"ח ור"ל ס"ל כר</w:t>
      </w:r>
      <w:r w:rsidRPr="00350F0B">
        <w:rPr>
          <w:rFonts w:hint="cs"/>
          <w:rtl/>
        </w:rPr>
        <w:t>"מ ור"ל מתיר דוקא בתלש דליכא אוירא אבל בבן פקועה אסור</w:t>
      </w:r>
      <w:bookmarkEnd w:id="23292"/>
      <w:bookmarkEnd w:id="23293"/>
      <w:bookmarkEnd w:id="23294"/>
      <w:bookmarkEnd w:id="23295"/>
      <w:bookmarkEnd w:id="23296"/>
      <w:bookmarkEnd w:id="23297"/>
    </w:p>
    <w:p w14:paraId="68E52C5A" w14:textId="77777777" w:rsidR="003D504D" w:rsidRDefault="003D504D" w:rsidP="00223668">
      <w:pPr>
        <w:pStyle w:val="a0"/>
        <w:rPr>
          <w:rtl/>
        </w:rPr>
      </w:pPr>
      <w:bookmarkStart w:id="23298" w:name="_Ref3493954"/>
      <w:r w:rsidRPr="00350F0B">
        <w:rPr>
          <w:rFonts w:hint="cs"/>
          <w:rtl/>
        </w:rPr>
        <w:t xml:space="preserve">וכתב </w:t>
      </w:r>
      <w:r w:rsidRPr="00350F0B">
        <w:rPr>
          <w:rStyle w:val="af9"/>
          <w:rFonts w:hint="cs"/>
          <w:rtl/>
        </w:rPr>
        <w:t>העיטור</w:t>
      </w:r>
      <w:r w:rsidRPr="00350F0B">
        <w:rPr>
          <w:rFonts w:hint="cs"/>
          <w:rtl/>
        </w:rPr>
        <w:t xml:space="preserve"> דהמחלוקת של ריו"ח ור"ל היא אפילו כשנשחטה הבהמה, ונחלקו רק אליבא דר"מ דס"ל דבן ט' חי טעון שחיטה, וביאר </w:t>
      </w:r>
      <w:r w:rsidRPr="00350F0B">
        <w:rPr>
          <w:rStyle w:val="af9"/>
          <w:rFonts w:hint="cs"/>
          <w:rtl/>
        </w:rPr>
        <w:t>העיטור</w:t>
      </w:r>
      <w:r w:rsidRPr="00350F0B">
        <w:rPr>
          <w:rFonts w:hint="cs"/>
          <w:rtl/>
        </w:rPr>
        <w:t xml:space="preserve"> דריו"ח דאמר דהתולש חלב מבן ט' חי חייב דחדשים גרמי,</w:t>
      </w:r>
      <w:r>
        <w:rPr>
          <w:rFonts w:hint="cs"/>
          <w:rtl/>
        </w:rPr>
        <w:t xml:space="preserve"> ס"ל כר"מ, ואף ר"ל דס"ל דבתלש חלב פטור דחדשים ואוירא גרמי, </w:t>
      </w:r>
      <w:r w:rsidRPr="00350F0B">
        <w:rPr>
          <w:rFonts w:hint="cs"/>
          <w:rtl/>
        </w:rPr>
        <w:t>ולכן התיר ר"ל בתלש חלב</w:t>
      </w:r>
      <w:r>
        <w:rPr>
          <w:rFonts w:hint="cs"/>
          <w:rtl/>
        </w:rPr>
        <w:t>,</w:t>
      </w:r>
      <w:r w:rsidRPr="00350F0B">
        <w:rPr>
          <w:rFonts w:hint="cs"/>
          <w:rtl/>
        </w:rPr>
        <w:t xml:space="preserve"> כיון דכשהושיט את ידו לתוך מעי הבהמה ליכא אוירא, </w:t>
      </w:r>
      <w:r>
        <w:rPr>
          <w:rFonts w:hint="cs"/>
          <w:rtl/>
        </w:rPr>
        <w:t>ומבואר דאף ר"ל ס"ל כר"מ, כיון דר"ל התיר רק ב</w:t>
      </w:r>
      <w:r w:rsidRPr="00350F0B">
        <w:rPr>
          <w:rFonts w:hint="cs"/>
          <w:rtl/>
        </w:rPr>
        <w:t>דליכא אוירא, אבל במקום שיש אוירא כגון בן פקועה, מודה ר"ל דאסור אף לדעת ר"מ.</w:t>
      </w:r>
      <w:bookmarkEnd w:id="23298"/>
      <w:r w:rsidRPr="00350F0B">
        <w:rPr>
          <w:rFonts w:hint="cs"/>
          <w:rtl/>
        </w:rPr>
        <w:t xml:space="preserve"> </w:t>
      </w:r>
    </w:p>
    <w:p w14:paraId="3AE36604" w14:textId="77777777" w:rsidR="003D504D" w:rsidRPr="000F1057" w:rsidRDefault="003D504D" w:rsidP="003D504D">
      <w:pPr>
        <w:pStyle w:val="a3"/>
      </w:pPr>
      <w:bookmarkStart w:id="23299" w:name="_Toc3535854"/>
      <w:bookmarkStart w:id="23300" w:name="_Toc3543237"/>
      <w:bookmarkStart w:id="23301" w:name="_Toc3550948"/>
      <w:bookmarkStart w:id="23302" w:name="_Toc3551104"/>
      <w:bookmarkStart w:id="23303" w:name="_Toc19391913"/>
      <w:bookmarkStart w:id="23304" w:name="_Toc19395410"/>
      <w:r>
        <w:rPr>
          <w:rFonts w:hint="cs"/>
          <w:rtl/>
        </w:rPr>
        <w:t>דברי העיטור דר"י ס"ל דבעינן אוירא דלידה להחשיבו כשור ובתלש ס"ל לרבנן דהחלב מותר</w:t>
      </w:r>
      <w:bookmarkEnd w:id="23299"/>
      <w:bookmarkEnd w:id="23300"/>
      <w:bookmarkEnd w:id="23301"/>
      <w:bookmarkEnd w:id="23302"/>
      <w:bookmarkEnd w:id="23303"/>
      <w:bookmarkEnd w:id="23304"/>
    </w:p>
    <w:p w14:paraId="40CD81D1" w14:textId="77777777" w:rsidR="003D504D" w:rsidRDefault="003D504D" w:rsidP="00223668">
      <w:pPr>
        <w:pStyle w:val="a0"/>
        <w:rPr>
          <w:rtl/>
        </w:rPr>
      </w:pPr>
      <w:r w:rsidRPr="00350F0B">
        <w:rPr>
          <w:rFonts w:hint="cs"/>
          <w:rtl/>
        </w:rPr>
        <w:t>ובדעת ר</w:t>
      </w:r>
      <w:r>
        <w:rPr>
          <w:rFonts w:hint="cs"/>
          <w:rtl/>
        </w:rPr>
        <w:t>"י</w:t>
      </w:r>
      <w:r w:rsidRPr="00350F0B">
        <w:rPr>
          <w:rFonts w:hint="cs"/>
          <w:rtl/>
        </w:rPr>
        <w:t xml:space="preserve"> כתב </w:t>
      </w:r>
      <w:r w:rsidRPr="00350F0B">
        <w:rPr>
          <w:rStyle w:val="af9"/>
          <w:rFonts w:hint="cs"/>
          <w:rtl/>
        </w:rPr>
        <w:t xml:space="preserve">העיטור </w:t>
      </w:r>
      <w:r w:rsidRPr="00350F0B">
        <w:rPr>
          <w:rFonts w:hint="cs"/>
          <w:rtl/>
        </w:rPr>
        <w:t>דכיון שבן ט' חי מותר בשחיטת אמו, א"כ ס"ל לר</w:t>
      </w:r>
      <w:r>
        <w:rPr>
          <w:rFonts w:hint="cs"/>
          <w:rtl/>
        </w:rPr>
        <w:t>"י</w:t>
      </w:r>
      <w:r w:rsidRPr="00350F0B">
        <w:rPr>
          <w:rFonts w:hint="cs"/>
          <w:rtl/>
        </w:rPr>
        <w:t xml:space="preserve"> דחדשים ולידה גרמי, ולענין איסור חלב ודם אינו נקרא בהמה עד שעת הלידה, דהא כתיב "שור או כשב או עז כי יוולד", וס"ל לר</w:t>
      </w:r>
      <w:r>
        <w:rPr>
          <w:rFonts w:hint="cs"/>
          <w:rtl/>
        </w:rPr>
        <w:t xml:space="preserve">"י </w:t>
      </w:r>
      <w:r w:rsidRPr="00350F0B">
        <w:rPr>
          <w:rFonts w:hint="cs"/>
          <w:rtl/>
        </w:rPr>
        <w:t>דבין אם נשחטה האם ובין אם לא נשחטה, חלבו אינו נאסר עד שיוולד, ולכן בתלש חלב מבן ט' חי אינו אסור מדכתיב "בבהמה" דכל מה שבבהמה תאכלו.</w:t>
      </w:r>
    </w:p>
    <w:p w14:paraId="26FA0B04" w14:textId="77777777" w:rsidR="003D504D" w:rsidRPr="00D2541F" w:rsidRDefault="003D504D" w:rsidP="003D504D">
      <w:pPr>
        <w:pStyle w:val="a3"/>
      </w:pPr>
      <w:bookmarkStart w:id="23305" w:name="_Toc3535855"/>
      <w:bookmarkStart w:id="23306" w:name="_Toc3543238"/>
      <w:bookmarkStart w:id="23307" w:name="_Toc3550949"/>
      <w:bookmarkStart w:id="23308" w:name="_Toc3551105"/>
      <w:bookmarkStart w:id="23309" w:name="_Toc19391914"/>
      <w:bookmarkStart w:id="23310" w:name="_Toc19395411"/>
      <w:r>
        <w:rPr>
          <w:rFonts w:hint="cs"/>
          <w:rtl/>
        </w:rPr>
        <w:t>הוכחת העיטור מדלא אמר ר"ל דבעינן אוירא דלידה דס"ל דחלב בן ט' אסור כר"מ ובן ח' מותר</w:t>
      </w:r>
      <w:bookmarkEnd w:id="23305"/>
      <w:bookmarkEnd w:id="23306"/>
      <w:bookmarkEnd w:id="23307"/>
      <w:bookmarkEnd w:id="23308"/>
      <w:bookmarkEnd w:id="23309"/>
      <w:bookmarkEnd w:id="23310"/>
    </w:p>
    <w:p w14:paraId="618554FE" w14:textId="77777777" w:rsidR="003D504D" w:rsidRDefault="003D504D" w:rsidP="00223668">
      <w:pPr>
        <w:pStyle w:val="a0"/>
        <w:rPr>
          <w:rtl/>
        </w:rPr>
      </w:pPr>
      <w:r>
        <w:rPr>
          <w:rFonts w:hint="cs"/>
          <w:rtl/>
        </w:rPr>
        <w:t xml:space="preserve">וכתב </w:t>
      </w:r>
      <w:r w:rsidRPr="00C55A41">
        <w:rPr>
          <w:rStyle w:val="af9"/>
          <w:rFonts w:hint="cs"/>
          <w:rtl/>
        </w:rPr>
        <w:t>העיטור</w:t>
      </w:r>
      <w:r>
        <w:rPr>
          <w:rFonts w:hint="cs"/>
          <w:rtl/>
        </w:rPr>
        <w:t xml:space="preserve"> דמהא דאמר ר"ל דחדשים ואוירא בעינן, מוכח דס"ל כר"מ, דהא אי ס"ל כר"י היה לו לומר דאוירא דלידה בעינן, </w:t>
      </w:r>
      <w:r w:rsidRPr="00A82997">
        <w:rPr>
          <w:rStyle w:val="afb"/>
          <w:rFonts w:hint="cs"/>
          <w:rtl/>
        </w:rPr>
        <w:t xml:space="preserve">[דהיינו דס"ל לר"ל דאף כשאין אוירא דלידה, מ"מ חדשים ואוירא גרמי, ואף כשנשחטה האם ויצא העובר לאויר יש חדשים ואוירא, ונאסר החלב], </w:t>
      </w:r>
      <w:r>
        <w:rPr>
          <w:rFonts w:hint="cs"/>
          <w:rtl/>
        </w:rPr>
        <w:t xml:space="preserve">אלא כתב </w:t>
      </w:r>
      <w:r w:rsidRPr="00F12178">
        <w:rPr>
          <w:rStyle w:val="af9"/>
          <w:rFonts w:hint="cs"/>
          <w:rtl/>
        </w:rPr>
        <w:t xml:space="preserve">העיטור </w:t>
      </w:r>
      <w:r>
        <w:rPr>
          <w:rFonts w:hint="cs"/>
          <w:rtl/>
        </w:rPr>
        <w:t xml:space="preserve">דמוכח דבין ר"ל ובין ריו"ח ס"ל כר"מ, דחלבו של בן ט' חי אסור, אבל בבן ח' חי מודה ר"מ דחלבו מותר, </w:t>
      </w:r>
      <w:r w:rsidRPr="000262E9">
        <w:rPr>
          <w:rStyle w:val="afb"/>
          <w:rFonts w:hint="cs"/>
          <w:rtl/>
        </w:rPr>
        <w:t>[דבין לריו"ח ובין לר"ל חדשים גרמי],</w:t>
      </w:r>
      <w:r>
        <w:rPr>
          <w:rFonts w:hint="cs"/>
          <w:rtl/>
        </w:rPr>
        <w:t xml:space="preserve"> כדמוכח מדברי רב הושעיא דאמר דבבן ט' חי הלך ר"מ לשיטתו.</w:t>
      </w:r>
    </w:p>
    <w:p w14:paraId="531A8B7C" w14:textId="77777777" w:rsidR="003D504D" w:rsidRPr="00A37F52" w:rsidRDefault="003D504D" w:rsidP="003D504D">
      <w:pPr>
        <w:pStyle w:val="a3"/>
        <w:rPr>
          <w:rtl/>
        </w:rPr>
      </w:pPr>
      <w:bookmarkStart w:id="23311" w:name="_Toc3535856"/>
      <w:bookmarkStart w:id="23312" w:name="_Toc3543239"/>
      <w:bookmarkStart w:id="23313" w:name="_Toc3550950"/>
      <w:bookmarkStart w:id="23314" w:name="_Toc3551106"/>
      <w:bookmarkStart w:id="23315" w:name="_Toc19391915"/>
      <w:bookmarkStart w:id="23316" w:name="_Toc19395412"/>
      <w:bookmarkStart w:id="23317" w:name="_Toc2541657"/>
      <w:bookmarkStart w:id="23318" w:name="_Toc2597312"/>
      <w:bookmarkEnd w:id="23290"/>
      <w:bookmarkEnd w:id="23291"/>
      <w:r w:rsidRPr="00A37F52">
        <w:rPr>
          <w:rFonts w:hint="cs"/>
          <w:rtl/>
        </w:rPr>
        <w:t xml:space="preserve">קושית העיטור דאי </w:t>
      </w:r>
      <w:r>
        <w:rPr>
          <w:rFonts w:hint="cs"/>
          <w:rtl/>
        </w:rPr>
        <w:t>נחלקו ריו"ח ור"ל רק כשלא נשחטה מה הקשה ר"ל לריו"ח מהילפותא באשם</w:t>
      </w:r>
      <w:bookmarkEnd w:id="23311"/>
      <w:bookmarkEnd w:id="23312"/>
      <w:bookmarkEnd w:id="23313"/>
      <w:bookmarkEnd w:id="23314"/>
      <w:bookmarkEnd w:id="23315"/>
      <w:bookmarkEnd w:id="23316"/>
    </w:p>
    <w:p w14:paraId="3C65ED83" w14:textId="77777777" w:rsidR="003D504D" w:rsidRDefault="003D504D" w:rsidP="00223668">
      <w:pPr>
        <w:pStyle w:val="a0"/>
        <w:rPr>
          <w:rtl/>
        </w:rPr>
      </w:pPr>
      <w:bookmarkStart w:id="23319" w:name="_Ref3493568"/>
      <w:r w:rsidRPr="00832B78">
        <w:rPr>
          <w:rFonts w:hint="cs"/>
          <w:rtl/>
        </w:rPr>
        <w:t>וכתב ה</w:t>
      </w:r>
      <w:r w:rsidRPr="00832B78">
        <w:rPr>
          <w:rStyle w:val="af9"/>
          <w:rFonts w:hint="cs"/>
          <w:rtl/>
        </w:rPr>
        <w:t xml:space="preserve">עיטור </w:t>
      </w:r>
      <w:r w:rsidRPr="00832B78">
        <w:rPr>
          <w:rFonts w:hint="cs"/>
          <w:rtl/>
        </w:rPr>
        <w:t xml:space="preserve">דא"א לומר דריו"ח ור"ל נחלקו רק כשלא נשחטה הבהמה, </w:t>
      </w:r>
      <w:r w:rsidRPr="00637702">
        <w:rPr>
          <w:rFonts w:hint="cs"/>
          <w:rtl/>
        </w:rPr>
        <w:t xml:space="preserve">כדעת </w:t>
      </w:r>
      <w:r w:rsidRPr="00637702">
        <w:rPr>
          <w:rStyle w:val="af9"/>
          <w:rFonts w:hint="cs"/>
          <w:rtl/>
        </w:rPr>
        <w:t xml:space="preserve">הרי"ף </w:t>
      </w:r>
      <w:r w:rsidRPr="00637702">
        <w:rPr>
          <w:rStyle w:val="af7"/>
          <w:rFonts w:eastAsia="Guttman Hodes" w:hint="cs"/>
          <w:rtl/>
        </w:rPr>
        <w:t xml:space="preserve">(עי' אות </w:t>
      </w:r>
      <w:r w:rsidRPr="00637702">
        <w:rPr>
          <w:rStyle w:val="af7"/>
          <w:rFonts w:eastAsia="Guttman Hodes"/>
          <w:rtl/>
        </w:rPr>
        <w:fldChar w:fldCharType="begin"/>
      </w:r>
      <w:r w:rsidRPr="00637702">
        <w:rPr>
          <w:rStyle w:val="af7"/>
          <w:rFonts w:eastAsia="Guttman Hodes"/>
          <w:rtl/>
        </w:rPr>
        <w:instrText xml:space="preserve"> </w:instrText>
      </w:r>
      <w:r w:rsidRPr="00637702">
        <w:rPr>
          <w:rStyle w:val="af7"/>
          <w:rFonts w:eastAsia="Guttman Hodes" w:hint="cs"/>
        </w:rPr>
        <w:instrText>REF</w:instrText>
      </w:r>
      <w:r w:rsidRPr="00637702">
        <w:rPr>
          <w:rStyle w:val="af7"/>
          <w:rFonts w:eastAsia="Guttman Hodes" w:hint="cs"/>
          <w:rtl/>
        </w:rPr>
        <w:instrText xml:space="preserve"> _</w:instrText>
      </w:r>
      <w:r w:rsidRPr="00637702">
        <w:rPr>
          <w:rStyle w:val="af7"/>
          <w:rFonts w:eastAsia="Guttman Hodes" w:hint="cs"/>
        </w:rPr>
        <w:instrText>Ref3550095 \r \h</w:instrText>
      </w:r>
      <w:r w:rsidRPr="00637702">
        <w:rPr>
          <w:rStyle w:val="af7"/>
          <w:rFonts w:eastAsia="Guttman Hodes"/>
          <w:rtl/>
        </w:rPr>
        <w:instrText xml:space="preserve"> </w:instrText>
      </w:r>
      <w:r w:rsidRPr="00637702">
        <w:rPr>
          <w:rStyle w:val="af7"/>
          <w:rFonts w:eastAsia="Guttman Hodes"/>
          <w:rtl/>
        </w:rPr>
      </w:r>
      <w:r w:rsidRPr="00637702">
        <w:rPr>
          <w:rStyle w:val="af7"/>
          <w:rFonts w:eastAsia="Guttman Hodes"/>
          <w:rtl/>
        </w:rPr>
        <w:fldChar w:fldCharType="separate"/>
      </w:r>
      <w:r w:rsidR="00345400">
        <w:rPr>
          <w:rStyle w:val="af7"/>
          <w:rFonts w:eastAsia="Guttman Hodes"/>
          <w:cs/>
        </w:rPr>
        <w:t>‎</w:t>
      </w:r>
      <w:r w:rsidR="00345400">
        <w:rPr>
          <w:rStyle w:val="af7"/>
          <w:rFonts w:eastAsia="Guttman Hodes"/>
          <w:rtl/>
        </w:rPr>
        <w:t>מט)</w:t>
      </w:r>
      <w:r w:rsidRPr="00637702">
        <w:rPr>
          <w:rStyle w:val="af7"/>
          <w:rFonts w:eastAsia="Guttman Hodes"/>
          <w:rtl/>
        </w:rPr>
        <w:fldChar w:fldCharType="end"/>
      </w:r>
      <w:r w:rsidRPr="00637702">
        <w:rPr>
          <w:rFonts w:hint="cs"/>
          <w:rtl/>
        </w:rPr>
        <w:t xml:space="preserve"> וכשנשחטה</w:t>
      </w:r>
      <w:r w:rsidRPr="00832B78">
        <w:rPr>
          <w:rFonts w:hint="cs"/>
          <w:rtl/>
        </w:rPr>
        <w:t xml:space="preserve"> מותר החלב מהיתר "כל בבהמה תאכלו", דא"כ מה הקשה ר"ל לריו"ח מהילפותא "דאשם מוצא מכלל שליל", דאמאי נתמעט מהקרבה, הרי יש לו דין חלב, והרי באשם איירי שנשחטה הבהמה, האיך הקשה ר"ל דלריו"ח צריך להקריבו, הא כיון שהוא מותר בשחיטה ממילא חשיב כחלב חיה, ואינו בר הקרבה, ועי' במה שתירץ </w:t>
      </w:r>
      <w:r w:rsidRPr="00832B78">
        <w:rPr>
          <w:rStyle w:val="af9"/>
          <w:rFonts w:hint="cs"/>
          <w:rtl/>
        </w:rPr>
        <w:t>הרשב"א</w:t>
      </w:r>
      <w:r w:rsidRPr="00832B78">
        <w:rPr>
          <w:rFonts w:hint="cs"/>
          <w:rtl/>
        </w:rPr>
        <w:t xml:space="preserve"> </w:t>
      </w:r>
      <w:r w:rsidRPr="00832B78">
        <w:rPr>
          <w:rStyle w:val="af7"/>
          <w:rFonts w:eastAsia="Guttman Hodes" w:hint="cs"/>
          <w:rtl/>
        </w:rPr>
        <w:t xml:space="preserve">(עי' אות </w:t>
      </w:r>
      <w:r w:rsidRPr="00832B78">
        <w:rPr>
          <w:rStyle w:val="af7"/>
          <w:rFonts w:eastAsia="Guttman Hodes"/>
          <w:rtl/>
        </w:rPr>
        <w:fldChar w:fldCharType="begin"/>
      </w:r>
      <w:r w:rsidRPr="00832B78">
        <w:rPr>
          <w:rStyle w:val="af7"/>
          <w:rFonts w:eastAsia="Guttman Hodes"/>
          <w:rtl/>
        </w:rPr>
        <w:instrText xml:space="preserve"> </w:instrText>
      </w:r>
      <w:r w:rsidRPr="00832B78">
        <w:rPr>
          <w:rStyle w:val="af7"/>
          <w:rFonts w:eastAsia="Guttman Hodes" w:hint="cs"/>
        </w:rPr>
        <w:instrText>REF</w:instrText>
      </w:r>
      <w:r w:rsidRPr="00832B78">
        <w:rPr>
          <w:rStyle w:val="af7"/>
          <w:rFonts w:eastAsia="Guttman Hodes" w:hint="cs"/>
          <w:rtl/>
        </w:rPr>
        <w:instrText xml:space="preserve"> _</w:instrText>
      </w:r>
      <w:r w:rsidRPr="00832B78">
        <w:rPr>
          <w:rStyle w:val="af7"/>
          <w:rFonts w:eastAsia="Guttman Hodes" w:hint="cs"/>
        </w:rPr>
        <w:instrText>Ref2886499 \r \h</w:instrText>
      </w:r>
      <w:r w:rsidRPr="00832B78">
        <w:rPr>
          <w:rStyle w:val="af7"/>
          <w:rFonts w:eastAsia="Guttman Hodes"/>
          <w:rtl/>
        </w:rPr>
        <w:instrText xml:space="preserve">  \* </w:instrText>
      </w:r>
      <w:r w:rsidRPr="00832B78">
        <w:rPr>
          <w:rStyle w:val="af7"/>
          <w:rFonts w:eastAsia="Guttman Hodes"/>
        </w:rPr>
        <w:instrText>MERGEFORMAT</w:instrText>
      </w:r>
      <w:r w:rsidRPr="00832B78">
        <w:rPr>
          <w:rStyle w:val="af7"/>
          <w:rFonts w:eastAsia="Guttman Hodes"/>
          <w:rtl/>
        </w:rPr>
        <w:instrText xml:space="preserve"> </w:instrText>
      </w:r>
      <w:r w:rsidRPr="00832B78">
        <w:rPr>
          <w:rStyle w:val="af7"/>
          <w:rFonts w:eastAsia="Guttman Hodes"/>
          <w:rtl/>
        </w:rPr>
      </w:r>
      <w:r w:rsidRPr="00832B78">
        <w:rPr>
          <w:rStyle w:val="af7"/>
          <w:rFonts w:eastAsia="Guttman Hodes"/>
          <w:rtl/>
        </w:rPr>
        <w:fldChar w:fldCharType="separate"/>
      </w:r>
      <w:r w:rsidR="00345400">
        <w:rPr>
          <w:rStyle w:val="af7"/>
          <w:rFonts w:eastAsia="Guttman Hodes"/>
          <w:cs/>
        </w:rPr>
        <w:t>‎</w:t>
      </w:r>
      <w:r w:rsidR="00345400">
        <w:rPr>
          <w:rStyle w:val="af7"/>
          <w:rFonts w:eastAsia="Guttman Hodes"/>
          <w:rtl/>
        </w:rPr>
        <w:t>פ)</w:t>
      </w:r>
      <w:r w:rsidRPr="00832B78">
        <w:rPr>
          <w:rStyle w:val="af7"/>
          <w:rFonts w:eastAsia="Guttman Hodes"/>
          <w:rtl/>
        </w:rPr>
        <w:fldChar w:fldCharType="end"/>
      </w:r>
      <w:r w:rsidRPr="00832B78">
        <w:rPr>
          <w:rFonts w:hint="cs"/>
          <w:rtl/>
        </w:rPr>
        <w:t xml:space="preserve"> על קושיה זו.</w:t>
      </w:r>
      <w:bookmarkEnd w:id="23319"/>
    </w:p>
    <w:p w14:paraId="2D558FC9" w14:textId="77777777" w:rsidR="007D3AFB" w:rsidRPr="007D3AFB" w:rsidRDefault="007D3AFB" w:rsidP="007D3AFB">
      <w:pPr>
        <w:pStyle w:val="a3"/>
        <w:rPr>
          <w:rtl/>
        </w:rPr>
      </w:pPr>
    </w:p>
    <w:p w14:paraId="4679D9A7" w14:textId="77777777" w:rsidR="003D504D" w:rsidRPr="008B4556" w:rsidRDefault="003D504D" w:rsidP="003D504D">
      <w:pPr>
        <w:pStyle w:val="a3"/>
        <w:rPr>
          <w:rtl/>
        </w:rPr>
      </w:pPr>
      <w:bookmarkStart w:id="23320" w:name="_Toc3535857"/>
      <w:bookmarkStart w:id="23321" w:name="_Toc3543240"/>
      <w:bookmarkStart w:id="23322" w:name="_Toc3550951"/>
      <w:bookmarkStart w:id="23323" w:name="_Toc3551107"/>
      <w:bookmarkStart w:id="23324" w:name="_Toc19391916"/>
      <w:bookmarkStart w:id="23325" w:name="_Toc19395413"/>
      <w:r>
        <w:rPr>
          <w:rFonts w:hint="cs"/>
          <w:rtl/>
        </w:rPr>
        <w:t xml:space="preserve">ביאור </w:t>
      </w:r>
      <w:r w:rsidRPr="008B4556">
        <w:rPr>
          <w:rFonts w:hint="cs"/>
          <w:rtl/>
        </w:rPr>
        <w:t xml:space="preserve">העיטור </w:t>
      </w:r>
      <w:r>
        <w:rPr>
          <w:rFonts w:hint="cs"/>
          <w:rtl/>
        </w:rPr>
        <w:t>בדעת רש"י דריו"ח ור"ל נחלקו אליבא דר"מ ולא ס"ל כר"י</w:t>
      </w:r>
      <w:bookmarkEnd w:id="23320"/>
      <w:bookmarkEnd w:id="23321"/>
      <w:bookmarkEnd w:id="23322"/>
      <w:bookmarkEnd w:id="23323"/>
      <w:bookmarkEnd w:id="23324"/>
      <w:bookmarkEnd w:id="23325"/>
    </w:p>
    <w:p w14:paraId="4B9FA805" w14:textId="77777777" w:rsidR="003D504D" w:rsidRDefault="003D504D" w:rsidP="00223668">
      <w:pPr>
        <w:pStyle w:val="a0"/>
        <w:rPr>
          <w:rtl/>
        </w:rPr>
      </w:pPr>
      <w:bookmarkStart w:id="23326" w:name="_Ref3550128"/>
      <w:r w:rsidRPr="008B780F">
        <w:rPr>
          <w:rFonts w:hint="cs"/>
          <w:rtl/>
        </w:rPr>
        <w:t xml:space="preserve">וכתב </w:t>
      </w:r>
      <w:r w:rsidRPr="008B780F">
        <w:rPr>
          <w:rStyle w:val="af9"/>
          <w:rFonts w:hint="cs"/>
          <w:rtl/>
        </w:rPr>
        <w:t>העיטור</w:t>
      </w:r>
      <w:r w:rsidRPr="008B780F">
        <w:rPr>
          <w:rFonts w:hint="cs"/>
          <w:rtl/>
        </w:rPr>
        <w:t xml:space="preserve"> דכן דעת </w:t>
      </w:r>
      <w:r w:rsidRPr="008B780F">
        <w:rPr>
          <w:rStyle w:val="af9"/>
          <w:rFonts w:hint="cs"/>
          <w:rtl/>
        </w:rPr>
        <w:t>רש"י</w:t>
      </w:r>
      <w:r w:rsidRPr="008B780F">
        <w:rPr>
          <w:rFonts w:hint="cs"/>
          <w:rtl/>
        </w:rPr>
        <w:t xml:space="preserve"> דריו"ח ור"ל נחלקו רק אליבא דר"מ דס"ל דבן ט' חי טעון שחיטה, וביאר </w:t>
      </w:r>
      <w:r w:rsidRPr="008B780F">
        <w:rPr>
          <w:rStyle w:val="af9"/>
          <w:rFonts w:hint="cs"/>
          <w:rtl/>
        </w:rPr>
        <w:t>בהג' שער החדש על העיטור</w:t>
      </w:r>
      <w:r w:rsidRPr="008B780F">
        <w:rPr>
          <w:rFonts w:hint="cs"/>
          <w:rtl/>
        </w:rPr>
        <w:t xml:space="preserve"> </w:t>
      </w:r>
      <w:r w:rsidRPr="008B780F">
        <w:rPr>
          <w:rStyle w:val="af7"/>
          <w:rFonts w:eastAsia="Guttman Hodes" w:hint="cs"/>
          <w:rtl/>
        </w:rPr>
        <w:t>(אות פ"ד)</w:t>
      </w:r>
      <w:r w:rsidRPr="008B780F">
        <w:rPr>
          <w:rFonts w:hint="cs"/>
          <w:rtl/>
        </w:rPr>
        <w:t xml:space="preserve"> דכוונת </w:t>
      </w:r>
      <w:r w:rsidRPr="008B780F">
        <w:rPr>
          <w:rStyle w:val="af9"/>
          <w:rFonts w:hint="cs"/>
          <w:rtl/>
        </w:rPr>
        <w:t>העיטור</w:t>
      </w:r>
      <w:r w:rsidRPr="008B780F">
        <w:rPr>
          <w:rFonts w:hint="cs"/>
          <w:rtl/>
        </w:rPr>
        <w:t xml:space="preserve"> לדברי </w:t>
      </w:r>
      <w:r w:rsidRPr="008B780F">
        <w:rPr>
          <w:rStyle w:val="af9"/>
          <w:rFonts w:hint="cs"/>
          <w:rtl/>
        </w:rPr>
        <w:t>רש"י</w:t>
      </w:r>
      <w:r w:rsidRPr="008B780F">
        <w:rPr>
          <w:rFonts w:hint="cs"/>
          <w:rtl/>
        </w:rPr>
        <w:t xml:space="preserve"> </w:t>
      </w:r>
      <w:r w:rsidRPr="008B780F">
        <w:rPr>
          <w:rStyle w:val="af7"/>
          <w:rFonts w:eastAsia="Guttman Hodes" w:hint="cs"/>
          <w:rtl/>
        </w:rPr>
        <w:t xml:space="preserve">(עי' אות </w:t>
      </w:r>
      <w:r w:rsidRPr="008B780F">
        <w:rPr>
          <w:rStyle w:val="af7"/>
          <w:rFonts w:eastAsia="Guttman Hodes"/>
          <w:rtl/>
        </w:rPr>
        <w:fldChar w:fldCharType="begin"/>
      </w:r>
      <w:r w:rsidRPr="008B780F">
        <w:rPr>
          <w:rStyle w:val="af7"/>
          <w:rFonts w:eastAsia="Guttman Hodes"/>
          <w:rtl/>
        </w:rPr>
        <w:instrText xml:space="preserve"> </w:instrText>
      </w:r>
      <w:r w:rsidRPr="008B780F">
        <w:rPr>
          <w:rStyle w:val="af7"/>
          <w:rFonts w:eastAsia="Guttman Hodes" w:hint="cs"/>
        </w:rPr>
        <w:instrText>REF</w:instrText>
      </w:r>
      <w:r w:rsidRPr="008B780F">
        <w:rPr>
          <w:rStyle w:val="af7"/>
          <w:rFonts w:eastAsia="Guttman Hodes" w:hint="cs"/>
          <w:rtl/>
        </w:rPr>
        <w:instrText xml:space="preserve"> _</w:instrText>
      </w:r>
      <w:r w:rsidRPr="008B780F">
        <w:rPr>
          <w:rStyle w:val="af7"/>
          <w:rFonts w:eastAsia="Guttman Hodes" w:hint="cs"/>
        </w:rPr>
        <w:instrText>Ref2886390 \r \h</w:instrText>
      </w:r>
      <w:r w:rsidRPr="008B780F">
        <w:rPr>
          <w:rStyle w:val="af7"/>
          <w:rFonts w:eastAsia="Guttman Hodes"/>
          <w:rtl/>
        </w:rPr>
        <w:instrText xml:space="preserve">  \* </w:instrText>
      </w:r>
      <w:r w:rsidRPr="008B780F">
        <w:rPr>
          <w:rStyle w:val="af7"/>
          <w:rFonts w:eastAsia="Guttman Hodes"/>
        </w:rPr>
        <w:instrText>MERGEFORMAT</w:instrText>
      </w:r>
      <w:r w:rsidRPr="008B780F">
        <w:rPr>
          <w:rStyle w:val="af7"/>
          <w:rFonts w:eastAsia="Guttman Hodes"/>
          <w:rtl/>
        </w:rPr>
        <w:instrText xml:space="preserve"> </w:instrText>
      </w:r>
      <w:r w:rsidRPr="008B780F">
        <w:rPr>
          <w:rStyle w:val="af7"/>
          <w:rFonts w:eastAsia="Guttman Hodes"/>
          <w:rtl/>
        </w:rPr>
      </w:r>
      <w:r w:rsidRPr="008B780F">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8B780F">
        <w:rPr>
          <w:rStyle w:val="af7"/>
          <w:rFonts w:eastAsia="Guttman Hodes"/>
          <w:rtl/>
        </w:rPr>
        <w:fldChar w:fldCharType="end"/>
      </w:r>
      <w:r w:rsidRPr="008B780F">
        <w:rPr>
          <w:rFonts w:hint="cs"/>
          <w:rtl/>
        </w:rPr>
        <w:t xml:space="preserve"> דכתב דלריו"ח חדשים גרמי ולכן חלבו אסור, אך כתב </w:t>
      </w:r>
      <w:r w:rsidRPr="008B780F">
        <w:rPr>
          <w:rStyle w:val="af9"/>
          <w:rFonts w:hint="cs"/>
          <w:rtl/>
        </w:rPr>
        <w:t>רש"י</w:t>
      </w:r>
      <w:r w:rsidRPr="008B780F">
        <w:rPr>
          <w:rFonts w:hint="cs"/>
          <w:rtl/>
        </w:rPr>
        <w:t xml:space="preserve"> דאם שחט את האם מתיר ר"י מדין "כל בבהמה תאכלו", וביאר </w:t>
      </w:r>
      <w:r w:rsidRPr="008B780F">
        <w:rPr>
          <w:rStyle w:val="af9"/>
          <w:rFonts w:hint="cs"/>
          <w:rtl/>
        </w:rPr>
        <w:t>העיטור</w:t>
      </w:r>
      <w:r w:rsidRPr="008B780F">
        <w:rPr>
          <w:rFonts w:hint="cs"/>
          <w:rtl/>
        </w:rPr>
        <w:t xml:space="preserve"> דכוונת </w:t>
      </w:r>
      <w:r w:rsidRPr="008B780F">
        <w:rPr>
          <w:rStyle w:val="af9"/>
          <w:rFonts w:hint="cs"/>
          <w:rtl/>
        </w:rPr>
        <w:t>רש"י</w:t>
      </w:r>
      <w:r w:rsidRPr="008B780F">
        <w:rPr>
          <w:rFonts w:hint="cs"/>
          <w:rtl/>
        </w:rPr>
        <w:t xml:space="preserve"> לומר דדוקא ר"י התיר בכה"ג, אבל ריו"ח ור"ל נחלקו בדעת ר"מ דאוסר את החלב כשנשחטה האם, ודלא כביאור </w:t>
      </w:r>
      <w:r w:rsidRPr="008B780F">
        <w:rPr>
          <w:rStyle w:val="af9"/>
          <w:rFonts w:hint="cs"/>
          <w:rtl/>
        </w:rPr>
        <w:t>הר"ן</w:t>
      </w:r>
      <w:r w:rsidRPr="008B780F">
        <w:rPr>
          <w:rFonts w:hint="cs"/>
          <w:rtl/>
        </w:rPr>
        <w:t xml:space="preserve"> </w:t>
      </w:r>
      <w:r w:rsidRPr="008B780F">
        <w:rPr>
          <w:rStyle w:val="af7"/>
          <w:rFonts w:eastAsia="Guttman Hodes" w:hint="cs"/>
          <w:rtl/>
        </w:rPr>
        <w:t xml:space="preserve">(עי' אות </w:t>
      </w:r>
      <w:r w:rsidRPr="008B780F">
        <w:rPr>
          <w:rStyle w:val="af7"/>
          <w:rFonts w:eastAsia="Guttman Hodes"/>
          <w:rtl/>
        </w:rPr>
        <w:fldChar w:fldCharType="begin"/>
      </w:r>
      <w:r w:rsidRPr="008B780F">
        <w:rPr>
          <w:rStyle w:val="af7"/>
          <w:rFonts w:eastAsia="Guttman Hodes"/>
          <w:rtl/>
        </w:rPr>
        <w:instrText xml:space="preserve"> </w:instrText>
      </w:r>
      <w:r w:rsidRPr="008B780F">
        <w:rPr>
          <w:rStyle w:val="af7"/>
          <w:rFonts w:eastAsia="Guttman Hodes" w:hint="cs"/>
        </w:rPr>
        <w:instrText>REF</w:instrText>
      </w:r>
      <w:r w:rsidRPr="008B780F">
        <w:rPr>
          <w:rStyle w:val="af7"/>
          <w:rFonts w:eastAsia="Guttman Hodes" w:hint="cs"/>
          <w:rtl/>
        </w:rPr>
        <w:instrText xml:space="preserve"> _</w:instrText>
      </w:r>
      <w:r w:rsidRPr="008B780F">
        <w:rPr>
          <w:rStyle w:val="af7"/>
          <w:rFonts w:eastAsia="Guttman Hodes" w:hint="cs"/>
        </w:rPr>
        <w:instrText>Ref3132810 \r \h</w:instrText>
      </w:r>
      <w:r w:rsidRPr="008B780F">
        <w:rPr>
          <w:rStyle w:val="af7"/>
          <w:rFonts w:eastAsia="Guttman Hodes"/>
          <w:rtl/>
        </w:rPr>
        <w:instrText xml:space="preserve">  \* </w:instrText>
      </w:r>
      <w:r w:rsidRPr="008B780F">
        <w:rPr>
          <w:rStyle w:val="af7"/>
          <w:rFonts w:eastAsia="Guttman Hodes"/>
        </w:rPr>
        <w:instrText>MERGEFORMAT</w:instrText>
      </w:r>
      <w:r w:rsidRPr="008B780F">
        <w:rPr>
          <w:rStyle w:val="af7"/>
          <w:rFonts w:eastAsia="Guttman Hodes"/>
          <w:rtl/>
        </w:rPr>
        <w:instrText xml:space="preserve"> </w:instrText>
      </w:r>
      <w:r w:rsidRPr="008B780F">
        <w:rPr>
          <w:rStyle w:val="af7"/>
          <w:rFonts w:eastAsia="Guttman Hodes"/>
          <w:rtl/>
        </w:rPr>
      </w:r>
      <w:r w:rsidRPr="008B780F">
        <w:rPr>
          <w:rStyle w:val="af7"/>
          <w:rFonts w:eastAsia="Guttman Hodes"/>
          <w:rtl/>
        </w:rPr>
        <w:fldChar w:fldCharType="separate"/>
      </w:r>
      <w:r w:rsidR="00345400">
        <w:rPr>
          <w:rStyle w:val="af7"/>
          <w:rFonts w:eastAsia="Guttman Hodes"/>
          <w:cs/>
        </w:rPr>
        <w:t>‎</w:t>
      </w:r>
      <w:r w:rsidR="00345400">
        <w:rPr>
          <w:rStyle w:val="af7"/>
          <w:rFonts w:eastAsia="Guttman Hodes"/>
          <w:rtl/>
        </w:rPr>
        <w:t>מו)</w:t>
      </w:r>
      <w:r w:rsidRPr="008B780F">
        <w:rPr>
          <w:rStyle w:val="af7"/>
          <w:rFonts w:eastAsia="Guttman Hodes"/>
          <w:rtl/>
        </w:rPr>
        <w:fldChar w:fldCharType="end"/>
      </w:r>
      <w:r w:rsidRPr="008B780F">
        <w:rPr>
          <w:rFonts w:hint="cs"/>
          <w:rtl/>
        </w:rPr>
        <w:t xml:space="preserve"> בדעת </w:t>
      </w:r>
      <w:r w:rsidRPr="008B780F">
        <w:rPr>
          <w:rStyle w:val="af9"/>
          <w:rFonts w:hint="cs"/>
          <w:rtl/>
        </w:rPr>
        <w:t>רש"י</w:t>
      </w:r>
      <w:r w:rsidRPr="008B780F">
        <w:rPr>
          <w:rFonts w:hint="cs"/>
          <w:rtl/>
        </w:rPr>
        <w:t>.</w:t>
      </w:r>
      <w:bookmarkEnd w:id="23326"/>
    </w:p>
    <w:p w14:paraId="46FDA52D" w14:textId="77777777" w:rsidR="003D504D" w:rsidRPr="00697103" w:rsidRDefault="003D504D" w:rsidP="003D504D">
      <w:pPr>
        <w:pStyle w:val="a3"/>
        <w:rPr>
          <w:rtl/>
        </w:rPr>
      </w:pPr>
      <w:bookmarkStart w:id="23327" w:name="_Toc3535858"/>
      <w:bookmarkStart w:id="23328" w:name="_Toc3543241"/>
      <w:bookmarkStart w:id="23329" w:name="_Toc3550952"/>
      <w:bookmarkStart w:id="23330" w:name="_Toc3551108"/>
      <w:bookmarkStart w:id="23331" w:name="_Toc19391917"/>
      <w:bookmarkStart w:id="23332" w:name="_Toc19395414"/>
      <w:r>
        <w:rPr>
          <w:rFonts w:hint="cs"/>
          <w:rtl/>
        </w:rPr>
        <w:t>קושית הרשב"א על הרמב"ם והעיטור דמבואר ברב הושעיא דדין חלב תלוי בדין השחיטה</w:t>
      </w:r>
      <w:bookmarkEnd w:id="23327"/>
      <w:bookmarkEnd w:id="23328"/>
      <w:bookmarkEnd w:id="23329"/>
      <w:bookmarkEnd w:id="23330"/>
      <w:bookmarkEnd w:id="23331"/>
      <w:bookmarkEnd w:id="23332"/>
    </w:p>
    <w:p w14:paraId="0BB695A1" w14:textId="77777777" w:rsidR="003D504D" w:rsidRDefault="003D504D" w:rsidP="00223668">
      <w:pPr>
        <w:pStyle w:val="a0"/>
        <w:numPr>
          <w:ilvl w:val="0"/>
          <w:numId w:val="0"/>
        </w:numPr>
        <w:rPr>
          <w:rtl/>
        </w:rPr>
      </w:pPr>
      <w:r>
        <w:rPr>
          <w:rStyle w:val="af9"/>
          <w:rFonts w:hint="cs"/>
          <w:rtl/>
        </w:rPr>
        <w:t>ו</w:t>
      </w:r>
      <w:r w:rsidRPr="00D40CE2">
        <w:rPr>
          <w:rStyle w:val="af9"/>
          <w:rFonts w:hint="cs"/>
          <w:rtl/>
        </w:rPr>
        <w:t xml:space="preserve">הרשב"א </w:t>
      </w:r>
      <w:r>
        <w:rPr>
          <w:rStyle w:val="af9"/>
          <w:rtl/>
        </w:rPr>
        <w:t>בחי' לקמן</w:t>
      </w:r>
      <w:r>
        <w:rPr>
          <w:rStyle w:val="af9"/>
          <w:rFonts w:hint="cs"/>
          <w:rtl/>
        </w:rPr>
        <w:t xml:space="preserve"> </w:t>
      </w:r>
      <w:r w:rsidRPr="00B40242">
        <w:rPr>
          <w:rStyle w:val="af7"/>
          <w:rFonts w:eastAsia="Guttman Hodes" w:hint="cs"/>
          <w:rtl/>
        </w:rPr>
        <w:t>(צב: ד"ה ולענין</w:t>
      </w:r>
      <w:r w:rsidRPr="00B40242">
        <w:rPr>
          <w:rStyle w:val="af7"/>
          <w:rFonts w:eastAsiaTheme="minorHAnsi" w:hint="cs"/>
          <w:rtl/>
        </w:rPr>
        <w:t xml:space="preserve">) </w:t>
      </w:r>
      <w:r>
        <w:rPr>
          <w:rStyle w:val="af9"/>
          <w:rtl/>
        </w:rPr>
        <w:t xml:space="preserve">ובתוה"ב </w:t>
      </w:r>
      <w:r w:rsidRPr="00B40242">
        <w:rPr>
          <w:rStyle w:val="af7"/>
          <w:rFonts w:eastAsia="Guttman Hodes" w:hint="cs"/>
          <w:rtl/>
        </w:rPr>
        <w:t>(ב"ב ש"ה דף נט: מדה"ס)</w:t>
      </w:r>
      <w:r>
        <w:rPr>
          <w:rFonts w:hint="cs"/>
          <w:rtl/>
        </w:rPr>
        <w:t xml:space="preserve"> הביא את דברי </w:t>
      </w:r>
      <w:r w:rsidRPr="00D85D37">
        <w:rPr>
          <w:rStyle w:val="af9"/>
          <w:rFonts w:hint="cs"/>
          <w:rtl/>
        </w:rPr>
        <w:t>הרמב"ם</w:t>
      </w:r>
      <w:r>
        <w:rPr>
          <w:rFonts w:hint="cs"/>
          <w:rtl/>
        </w:rPr>
        <w:t xml:space="preserve"> </w:t>
      </w:r>
      <w:r w:rsidRPr="00B40242">
        <w:rPr>
          <w:rStyle w:val="af7"/>
          <w:rFonts w:eastAsia="Guttman Hodes" w:hint="cs"/>
          <w:rtl/>
        </w:rPr>
        <w:t xml:space="preserve">(עי' אות </w:t>
      </w:r>
      <w:r w:rsidRPr="00B40242">
        <w:rPr>
          <w:rStyle w:val="af7"/>
          <w:rFonts w:eastAsia="Guttman Hodes"/>
          <w:rtl/>
        </w:rPr>
        <w:fldChar w:fldCharType="begin"/>
      </w:r>
      <w:r w:rsidRPr="00B40242">
        <w:rPr>
          <w:rStyle w:val="af7"/>
          <w:rFonts w:eastAsia="Guttman Hodes"/>
          <w:rtl/>
        </w:rPr>
        <w:instrText xml:space="preserve"> </w:instrText>
      </w:r>
      <w:r w:rsidRPr="00B40242">
        <w:rPr>
          <w:rStyle w:val="af7"/>
          <w:rFonts w:eastAsia="Guttman Hodes" w:hint="cs"/>
        </w:rPr>
        <w:instrText>REF</w:instrText>
      </w:r>
      <w:r w:rsidRPr="00B40242">
        <w:rPr>
          <w:rStyle w:val="af7"/>
          <w:rFonts w:eastAsia="Guttman Hodes" w:hint="cs"/>
          <w:rtl/>
        </w:rPr>
        <w:instrText xml:space="preserve"> _</w:instrText>
      </w:r>
      <w:r w:rsidRPr="00B40242">
        <w:rPr>
          <w:rStyle w:val="af7"/>
          <w:rFonts w:eastAsia="Guttman Hodes" w:hint="cs"/>
        </w:rPr>
        <w:instrText>Ref3145560 \r \h</w:instrText>
      </w:r>
      <w:r w:rsidRPr="00B40242">
        <w:rPr>
          <w:rStyle w:val="af7"/>
          <w:rFonts w:eastAsia="Guttman Hodes"/>
          <w:rtl/>
        </w:rPr>
        <w:instrText xml:space="preserve"> </w:instrText>
      </w:r>
      <w:r w:rsidRPr="00B40242">
        <w:rPr>
          <w:rStyle w:val="af7"/>
          <w:rFonts w:eastAsia="Guttman Hodes"/>
          <w:rtl/>
        </w:rPr>
      </w:r>
      <w:r w:rsidRPr="00B40242">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B40242">
        <w:rPr>
          <w:rStyle w:val="af7"/>
          <w:rFonts w:eastAsia="Guttman Hodes"/>
          <w:rtl/>
        </w:rPr>
        <w:fldChar w:fldCharType="end"/>
      </w:r>
      <w:r>
        <w:rPr>
          <w:rFonts w:hint="cs"/>
          <w:rtl/>
        </w:rPr>
        <w:t xml:space="preserve"> </w:t>
      </w:r>
      <w:r w:rsidRPr="00697103">
        <w:rPr>
          <w:rStyle w:val="af9"/>
          <w:rFonts w:hint="cs"/>
          <w:rtl/>
        </w:rPr>
        <w:t>והעיטור</w:t>
      </w:r>
      <w:r w:rsidRPr="00697103">
        <w:rPr>
          <w:rFonts w:hint="cs"/>
          <w:rtl/>
        </w:rPr>
        <w:t xml:space="preserve"> </w:t>
      </w:r>
      <w:r w:rsidRPr="00B40242">
        <w:rPr>
          <w:rStyle w:val="af7"/>
          <w:rFonts w:eastAsia="Guttman Hodes" w:hint="cs"/>
          <w:rtl/>
        </w:rPr>
        <w:t xml:space="preserve">(עי' אות </w:t>
      </w:r>
      <w:r w:rsidRPr="00B40242">
        <w:rPr>
          <w:rStyle w:val="af7"/>
          <w:rFonts w:eastAsia="Guttman Hodes"/>
          <w:rtl/>
        </w:rPr>
        <w:fldChar w:fldCharType="begin"/>
      </w:r>
      <w:r w:rsidRPr="00B40242">
        <w:rPr>
          <w:rStyle w:val="af7"/>
          <w:rFonts w:eastAsia="Guttman Hodes"/>
          <w:rtl/>
        </w:rPr>
        <w:instrText xml:space="preserve"> </w:instrText>
      </w:r>
      <w:r w:rsidRPr="00B40242">
        <w:rPr>
          <w:rStyle w:val="af7"/>
          <w:rFonts w:eastAsia="Guttman Hodes" w:hint="cs"/>
        </w:rPr>
        <w:instrText>REF</w:instrText>
      </w:r>
      <w:r w:rsidRPr="00B40242">
        <w:rPr>
          <w:rStyle w:val="af7"/>
          <w:rFonts w:eastAsia="Guttman Hodes" w:hint="cs"/>
          <w:rtl/>
        </w:rPr>
        <w:instrText xml:space="preserve"> _</w:instrText>
      </w:r>
      <w:r w:rsidRPr="00B40242">
        <w:rPr>
          <w:rStyle w:val="af7"/>
          <w:rFonts w:eastAsia="Guttman Hodes" w:hint="cs"/>
        </w:rPr>
        <w:instrText>Ref3493239 \r \h</w:instrText>
      </w:r>
      <w:r w:rsidRPr="00B40242">
        <w:rPr>
          <w:rStyle w:val="af7"/>
          <w:rFonts w:eastAsia="Guttman Hodes"/>
          <w:rtl/>
        </w:rPr>
        <w:instrText xml:space="preserve"> </w:instrText>
      </w:r>
      <w:r w:rsidRPr="00B40242">
        <w:rPr>
          <w:rStyle w:val="af7"/>
          <w:rFonts w:eastAsia="Guttman Hodes"/>
          <w:rtl/>
        </w:rPr>
      </w:r>
      <w:r w:rsidRPr="00B40242">
        <w:rPr>
          <w:rStyle w:val="af7"/>
          <w:rFonts w:eastAsia="Guttman Hodes"/>
          <w:rtl/>
        </w:rPr>
        <w:fldChar w:fldCharType="separate"/>
      </w:r>
      <w:r w:rsidR="00345400">
        <w:rPr>
          <w:rStyle w:val="af7"/>
          <w:rFonts w:eastAsia="Guttman Hodes"/>
          <w:cs/>
        </w:rPr>
        <w:t>‎</w:t>
      </w:r>
      <w:r w:rsidR="00345400">
        <w:rPr>
          <w:rStyle w:val="af7"/>
          <w:rFonts w:eastAsia="Guttman Hodes"/>
          <w:rtl/>
        </w:rPr>
        <w:t>קא)</w:t>
      </w:r>
      <w:r w:rsidRPr="00B40242">
        <w:rPr>
          <w:rStyle w:val="af7"/>
          <w:rFonts w:eastAsia="Guttman Hodes"/>
          <w:rtl/>
        </w:rPr>
        <w:fldChar w:fldCharType="end"/>
      </w:r>
      <w:r w:rsidRPr="00697103">
        <w:rPr>
          <w:rFonts w:hint="cs"/>
          <w:rtl/>
        </w:rPr>
        <w:t xml:space="preserve"> דבשחיטה בבן ט' חי פסקו כר"י, כסתמא דמתני' בסוגיין, ובחלב וגידו פסקו כר"מ כיון דקיי"ל כריו"ח דחדשים גרמי, וחלבו כ</w:t>
      </w:r>
      <w:r>
        <w:rPr>
          <w:rFonts w:hint="cs"/>
          <w:rtl/>
        </w:rPr>
        <w:t xml:space="preserve">חלב בהמה, ואמרינן בגמ' דהלכו לשיטתם, והקשה </w:t>
      </w:r>
      <w:r w:rsidRPr="00D85D37">
        <w:rPr>
          <w:rStyle w:val="af9"/>
          <w:rFonts w:hint="cs"/>
          <w:rtl/>
        </w:rPr>
        <w:t xml:space="preserve">הרשב"א </w:t>
      </w:r>
      <w:r>
        <w:rPr>
          <w:rFonts w:hint="cs"/>
          <w:rtl/>
        </w:rPr>
        <w:t>דהיאך אפשר לפסוק כר"מ בחלב, אחר דבשחיטה קיי"ל כר"י, הא אמר רב הושעיא דהלכו לשיטתם בשחיטה ובחלב, והא בהא תליא.</w:t>
      </w:r>
    </w:p>
    <w:p w14:paraId="7696F2A3" w14:textId="77777777" w:rsidR="003D504D" w:rsidRPr="00580AEE" w:rsidRDefault="003D504D" w:rsidP="00BF39B2">
      <w:pPr>
        <w:pStyle w:val="1"/>
        <w:rPr>
          <w:rtl/>
        </w:rPr>
      </w:pPr>
      <w:bookmarkStart w:id="23333" w:name="_Toc2718666"/>
      <w:bookmarkStart w:id="23334" w:name="_Toc2866733"/>
      <w:bookmarkStart w:id="23335" w:name="_Toc3234501"/>
      <w:bookmarkStart w:id="23336" w:name="_Toc3287739"/>
      <w:bookmarkStart w:id="23337" w:name="_Toc3322255"/>
      <w:bookmarkStart w:id="23338" w:name="_Toc3480722"/>
      <w:bookmarkStart w:id="23339" w:name="_Toc3484997"/>
      <w:bookmarkStart w:id="23340" w:name="_Toc3535872"/>
      <w:bookmarkStart w:id="23341" w:name="_Toc3543242"/>
      <w:bookmarkStart w:id="23342" w:name="_Toc3550953"/>
      <w:bookmarkStart w:id="23343" w:name="_Toc3551109"/>
      <w:bookmarkStart w:id="23344" w:name="_Toc19391918"/>
      <w:bookmarkStart w:id="23345" w:name="_Toc19395415"/>
      <w:r w:rsidRPr="00580AEE">
        <w:rPr>
          <w:rFonts w:hint="cs"/>
          <w:rtl/>
        </w:rPr>
        <w:t>דברי התוס' דספיקא דרב הושעיא הוא בין לריו"ח ובין לר"ל</w:t>
      </w:r>
      <w:bookmarkEnd w:id="23317"/>
      <w:bookmarkEnd w:id="23318"/>
      <w:bookmarkEnd w:id="23333"/>
      <w:bookmarkEnd w:id="23334"/>
      <w:bookmarkEnd w:id="23335"/>
      <w:bookmarkEnd w:id="23336"/>
      <w:bookmarkEnd w:id="23337"/>
      <w:bookmarkEnd w:id="23338"/>
      <w:bookmarkEnd w:id="23339"/>
      <w:bookmarkEnd w:id="23340"/>
      <w:bookmarkEnd w:id="23341"/>
      <w:bookmarkEnd w:id="23342"/>
      <w:bookmarkEnd w:id="23343"/>
      <w:bookmarkEnd w:id="23344"/>
      <w:bookmarkEnd w:id="23345"/>
    </w:p>
    <w:p w14:paraId="17E75D6A" w14:textId="77777777" w:rsidR="003D504D" w:rsidRPr="00580AEE" w:rsidRDefault="003D504D" w:rsidP="003D504D">
      <w:pPr>
        <w:pStyle w:val="a3"/>
        <w:rPr>
          <w:rtl/>
        </w:rPr>
      </w:pPr>
      <w:bookmarkStart w:id="23346" w:name="_Toc2541658"/>
      <w:bookmarkStart w:id="23347" w:name="_Toc2597313"/>
      <w:bookmarkStart w:id="23348" w:name="_Toc2718667"/>
      <w:bookmarkStart w:id="23349" w:name="_Toc2866734"/>
      <w:bookmarkStart w:id="23350" w:name="_Toc3234502"/>
      <w:bookmarkStart w:id="23351" w:name="_Toc3287740"/>
      <w:bookmarkStart w:id="23352" w:name="_Toc3322256"/>
      <w:bookmarkStart w:id="23353" w:name="_Toc3480723"/>
      <w:bookmarkStart w:id="23354" w:name="_Toc3484998"/>
      <w:bookmarkStart w:id="23355" w:name="_Toc3535873"/>
      <w:bookmarkStart w:id="23356" w:name="_Toc3543243"/>
      <w:bookmarkStart w:id="23357" w:name="_Toc3550954"/>
      <w:bookmarkStart w:id="23358" w:name="_Toc3551110"/>
      <w:bookmarkStart w:id="23359" w:name="_Toc19391919"/>
      <w:bookmarkStart w:id="23360" w:name="_Toc19395416"/>
      <w:r w:rsidRPr="00580AEE">
        <w:rPr>
          <w:rFonts w:hint="cs"/>
          <w:rtl/>
        </w:rPr>
        <w:t xml:space="preserve">דברי התוס' דהספק </w:t>
      </w:r>
      <w:r>
        <w:rPr>
          <w:rFonts w:hint="cs"/>
          <w:rtl/>
        </w:rPr>
        <w:t>בשחט עובר במעי אמו הוא אף</w:t>
      </w:r>
      <w:r w:rsidRPr="00580AEE">
        <w:rPr>
          <w:rFonts w:hint="cs"/>
          <w:rtl/>
        </w:rPr>
        <w:t xml:space="preserve"> לריו"ח דחדשים </w:t>
      </w:r>
      <w:bookmarkEnd w:id="23346"/>
      <w:bookmarkEnd w:id="23347"/>
      <w:bookmarkEnd w:id="23348"/>
      <w:bookmarkEnd w:id="23349"/>
      <w:bookmarkEnd w:id="23350"/>
      <w:bookmarkEnd w:id="23351"/>
      <w:r>
        <w:rPr>
          <w:rFonts w:hint="cs"/>
          <w:rtl/>
        </w:rPr>
        <w:t>גרמי כיון שלא יצא לאויר</w:t>
      </w:r>
      <w:bookmarkEnd w:id="23352"/>
      <w:bookmarkEnd w:id="23353"/>
      <w:bookmarkEnd w:id="23354"/>
      <w:bookmarkEnd w:id="23355"/>
      <w:bookmarkEnd w:id="23356"/>
      <w:bookmarkEnd w:id="23357"/>
      <w:bookmarkEnd w:id="23358"/>
      <w:bookmarkEnd w:id="23359"/>
      <w:bookmarkEnd w:id="23360"/>
    </w:p>
    <w:p w14:paraId="21F76B46" w14:textId="77777777" w:rsidR="003D504D" w:rsidRPr="00580AEE" w:rsidRDefault="003D504D" w:rsidP="00223668">
      <w:pPr>
        <w:pStyle w:val="a0"/>
        <w:rPr>
          <w:rStyle w:val="afb"/>
          <w:rtl/>
        </w:rPr>
      </w:pPr>
      <w:bookmarkStart w:id="23361" w:name="_Ref3320784"/>
      <w:bookmarkStart w:id="23362" w:name="_Ref3306715"/>
      <w:r w:rsidRPr="00580AEE">
        <w:rPr>
          <w:rFonts w:hint="cs"/>
          <w:rtl/>
        </w:rPr>
        <w:t xml:space="preserve">כתבו </w:t>
      </w:r>
      <w:r w:rsidRPr="001C52A7">
        <w:rPr>
          <w:rFonts w:hint="cs"/>
          <w:rtl/>
        </w:rPr>
        <w:t xml:space="preserve">התוס' </w:t>
      </w:r>
      <w:r w:rsidRPr="00580AEE">
        <w:rPr>
          <w:rStyle w:val="af7"/>
          <w:rFonts w:eastAsia="Guttman Hodes" w:hint="cs"/>
          <w:rtl/>
        </w:rPr>
        <w:t xml:space="preserve">(עה. סוד"ה לדברי) </w:t>
      </w:r>
      <w:r w:rsidRPr="00580AEE">
        <w:rPr>
          <w:rFonts w:hint="cs"/>
          <w:rtl/>
        </w:rPr>
        <w:t>דספיקא דרב הושעיא</w:t>
      </w:r>
      <w:r>
        <w:rPr>
          <w:rFonts w:hint="cs"/>
          <w:rtl/>
        </w:rPr>
        <w:t xml:space="preserve"> בגמ' לעיל </w:t>
      </w:r>
      <w:r w:rsidRPr="009868AC">
        <w:rPr>
          <w:rStyle w:val="af7"/>
          <w:rFonts w:eastAsia="Guttman Hodes" w:hint="cs"/>
          <w:rtl/>
        </w:rPr>
        <w:t>(עד.)</w:t>
      </w:r>
      <w:r w:rsidRPr="00580AEE">
        <w:rPr>
          <w:rFonts w:hint="cs"/>
          <w:rtl/>
        </w:rPr>
        <w:t xml:space="preserve"> </w:t>
      </w:r>
      <w:r>
        <w:rPr>
          <w:rFonts w:hint="cs"/>
          <w:rtl/>
        </w:rPr>
        <w:t xml:space="preserve">בשחט עובר במעי אמו, </w:t>
      </w:r>
      <w:r w:rsidRPr="00580AEE">
        <w:rPr>
          <w:rFonts w:hint="cs"/>
          <w:rtl/>
        </w:rPr>
        <w:t xml:space="preserve">הוא אף לריו"ח דס"ל דבתלש חלב משליל והוציאו לחוץ אסור מדין חלב, דחדשים גרמי לאסור את החלב, דאפש"ל היינו דוקא לענין החלב, דס"ל לריו"ח דאיסור חלב חל רק שיצא לאויר העולם, </w:t>
      </w:r>
      <w:r w:rsidRPr="0022628C">
        <w:rPr>
          <w:rStyle w:val="afb"/>
          <w:rFonts w:hint="cs"/>
          <w:rtl/>
        </w:rPr>
        <w:t xml:space="preserve">[וכ"כ </w:t>
      </w:r>
      <w:r w:rsidRPr="0022628C">
        <w:rPr>
          <w:rStyle w:val="affa"/>
          <w:rFonts w:hint="cs"/>
          <w:rtl/>
        </w:rPr>
        <w:t>התוס' לקמן</w:t>
      </w:r>
      <w:r w:rsidRPr="0022628C">
        <w:rPr>
          <w:rStyle w:val="afb"/>
          <w:rFonts w:hint="cs"/>
          <w:rtl/>
        </w:rPr>
        <w:t xml:space="preserve"> </w:t>
      </w:r>
      <w:r w:rsidRPr="0022628C">
        <w:rPr>
          <w:rStyle w:val="aff6"/>
          <w:rFonts w:hint="cs"/>
          <w:rtl/>
        </w:rPr>
        <w:t xml:space="preserve">(עי' אות </w:t>
      </w:r>
      <w:r w:rsidRPr="0022628C">
        <w:rPr>
          <w:rStyle w:val="aff6"/>
          <w:rtl/>
        </w:rPr>
        <w:fldChar w:fldCharType="begin"/>
      </w:r>
      <w:r w:rsidRPr="0022628C">
        <w:rPr>
          <w:rStyle w:val="aff6"/>
          <w:rtl/>
        </w:rPr>
        <w:instrText xml:space="preserve"> </w:instrText>
      </w:r>
      <w:r w:rsidRPr="0022628C">
        <w:rPr>
          <w:rStyle w:val="aff6"/>
          <w:rFonts w:hint="cs"/>
        </w:rPr>
        <w:instrText>REF</w:instrText>
      </w:r>
      <w:r w:rsidRPr="0022628C">
        <w:rPr>
          <w:rStyle w:val="aff6"/>
          <w:rFonts w:hint="cs"/>
          <w:rtl/>
        </w:rPr>
        <w:instrText xml:space="preserve"> _</w:instrText>
      </w:r>
      <w:r w:rsidRPr="0022628C">
        <w:rPr>
          <w:rStyle w:val="aff6"/>
          <w:rFonts w:hint="cs"/>
        </w:rPr>
        <w:instrText>Ref3319699 \r \h</w:instrText>
      </w:r>
      <w:r w:rsidRPr="0022628C">
        <w:rPr>
          <w:rStyle w:val="aff6"/>
          <w:rtl/>
        </w:rPr>
        <w:instrText xml:space="preserve"> </w:instrText>
      </w:r>
      <w:r w:rsidRPr="0022628C">
        <w:rPr>
          <w:rStyle w:val="aff6"/>
          <w:rtl/>
        </w:rPr>
      </w:r>
      <w:r w:rsidRPr="0022628C">
        <w:rPr>
          <w:rStyle w:val="aff6"/>
          <w:rtl/>
        </w:rPr>
        <w:fldChar w:fldCharType="separate"/>
      </w:r>
      <w:r w:rsidR="00345400">
        <w:rPr>
          <w:rStyle w:val="aff6"/>
          <w:cs/>
        </w:rPr>
        <w:t>‎</w:t>
      </w:r>
      <w:r w:rsidR="00345400">
        <w:rPr>
          <w:rStyle w:val="aff6"/>
          <w:rtl/>
        </w:rPr>
        <w:t>נב)</w:t>
      </w:r>
      <w:r w:rsidRPr="0022628C">
        <w:rPr>
          <w:rStyle w:val="aff6"/>
          <w:rtl/>
        </w:rPr>
        <w:fldChar w:fldCharType="end"/>
      </w:r>
      <w:r w:rsidRPr="0022628C">
        <w:rPr>
          <w:rStyle w:val="afb"/>
          <w:rFonts w:hint="cs"/>
          <w:rtl/>
        </w:rPr>
        <w:t>]</w:t>
      </w:r>
      <w:r>
        <w:rPr>
          <w:rStyle w:val="afb"/>
          <w:rFonts w:hint="cs"/>
          <w:rtl/>
        </w:rPr>
        <w:t>,</w:t>
      </w:r>
      <w:r w:rsidRPr="0022628C">
        <w:rPr>
          <w:rStyle w:val="afb"/>
          <w:rFonts w:hint="cs"/>
          <w:rtl/>
        </w:rPr>
        <w:t xml:space="preserve"> </w:t>
      </w:r>
      <w:r w:rsidRPr="00580AEE">
        <w:rPr>
          <w:rFonts w:hint="cs"/>
          <w:rtl/>
        </w:rPr>
        <w:t>אבל לענין שחיטת עצמו במעי אמו, אפש"ל דמהני לו שחיטה, אף שלא יצא לאויר העולם.</w:t>
      </w:r>
      <w:bookmarkEnd w:id="23361"/>
      <w:r w:rsidRPr="00580AEE">
        <w:rPr>
          <w:rFonts w:hint="cs"/>
          <w:rtl/>
        </w:rPr>
        <w:t xml:space="preserve"> </w:t>
      </w:r>
      <w:bookmarkEnd w:id="23362"/>
    </w:p>
    <w:p w14:paraId="2BDB2603" w14:textId="77777777" w:rsidR="003D504D" w:rsidRPr="00580AEE" w:rsidRDefault="003D504D" w:rsidP="003D504D">
      <w:pPr>
        <w:pStyle w:val="a3"/>
      </w:pPr>
      <w:bookmarkStart w:id="23363" w:name="_Toc2541659"/>
      <w:bookmarkStart w:id="23364" w:name="_Toc2597314"/>
      <w:bookmarkStart w:id="23365" w:name="_Toc2718668"/>
      <w:bookmarkStart w:id="23366" w:name="_Toc2866735"/>
      <w:bookmarkStart w:id="23367" w:name="_Toc3234503"/>
      <w:bookmarkStart w:id="23368" w:name="_Toc3287741"/>
      <w:bookmarkStart w:id="23369" w:name="_Toc3322257"/>
      <w:bookmarkStart w:id="23370" w:name="_Toc3480724"/>
      <w:bookmarkStart w:id="23371" w:name="_Toc3484999"/>
      <w:bookmarkStart w:id="23372" w:name="_Toc3535874"/>
      <w:bookmarkStart w:id="23373" w:name="_Toc3543244"/>
      <w:bookmarkStart w:id="23374" w:name="_Toc3550955"/>
      <w:bookmarkStart w:id="23375" w:name="_Toc3551111"/>
      <w:bookmarkStart w:id="23376" w:name="_Toc19391920"/>
      <w:bookmarkStart w:id="23377" w:name="_Toc19395417"/>
      <w:r w:rsidRPr="00580AEE">
        <w:rPr>
          <w:rFonts w:hint="cs"/>
          <w:rtl/>
        </w:rPr>
        <w:t xml:space="preserve">דברי התוס' לקמן דהספק אף לר"ל דחדשים </w:t>
      </w:r>
      <w:r>
        <w:rPr>
          <w:rFonts w:hint="cs"/>
          <w:rtl/>
        </w:rPr>
        <w:t>ואוירא גרמי אי מהני שחיטת</w:t>
      </w:r>
      <w:r w:rsidRPr="00580AEE">
        <w:rPr>
          <w:rFonts w:hint="cs"/>
          <w:rtl/>
        </w:rPr>
        <w:t>ו כמו דמהני שחיטת האם</w:t>
      </w:r>
      <w:bookmarkEnd w:id="23363"/>
      <w:bookmarkEnd w:id="23364"/>
      <w:bookmarkEnd w:id="23365"/>
      <w:bookmarkEnd w:id="23366"/>
      <w:bookmarkEnd w:id="23367"/>
      <w:bookmarkEnd w:id="23368"/>
      <w:bookmarkEnd w:id="23369"/>
      <w:bookmarkEnd w:id="23370"/>
      <w:bookmarkEnd w:id="23371"/>
      <w:bookmarkEnd w:id="23372"/>
      <w:bookmarkEnd w:id="23373"/>
      <w:bookmarkEnd w:id="23374"/>
      <w:bookmarkEnd w:id="23375"/>
      <w:bookmarkEnd w:id="23376"/>
      <w:bookmarkEnd w:id="23377"/>
    </w:p>
    <w:p w14:paraId="114E02CE" w14:textId="77777777" w:rsidR="003D504D" w:rsidRPr="00580AEE" w:rsidRDefault="003D504D" w:rsidP="00223668">
      <w:pPr>
        <w:pStyle w:val="a0"/>
        <w:rPr>
          <w:rtl/>
        </w:rPr>
      </w:pPr>
      <w:r w:rsidRPr="00580AEE">
        <w:rPr>
          <w:rFonts w:hint="cs"/>
          <w:rtl/>
        </w:rPr>
        <w:t xml:space="preserve">ועוד הוסיפו </w:t>
      </w:r>
      <w:r w:rsidRPr="00580AEE">
        <w:rPr>
          <w:rStyle w:val="af9"/>
          <w:rFonts w:hint="cs"/>
          <w:rtl/>
        </w:rPr>
        <w:t xml:space="preserve">התוס' </w:t>
      </w:r>
      <w:r w:rsidRPr="00580AEE">
        <w:rPr>
          <w:rFonts w:hint="cs"/>
          <w:rtl/>
        </w:rPr>
        <w:t xml:space="preserve">דכן לדעת ר"ל דס"ל דחדשים ואוירא גרמי ובתלש חלב משליל והוציאו לחוץ החלב מותר, מ"מ אפש"ל דמהני לו שחיטה במעי אמו, אף שלא יצא לאויר העולם, כמו דמהני לו שחיטת אמו. </w:t>
      </w:r>
    </w:p>
    <w:p w14:paraId="78CE57C6" w14:textId="77777777" w:rsidR="003D504D" w:rsidRPr="00580AEE" w:rsidRDefault="003D504D" w:rsidP="00BF39B2">
      <w:pPr>
        <w:pStyle w:val="1"/>
        <w:rPr>
          <w:rtl/>
        </w:rPr>
      </w:pPr>
      <w:bookmarkStart w:id="23378" w:name="_Toc2541660"/>
      <w:bookmarkStart w:id="23379" w:name="_Toc2597315"/>
      <w:bookmarkStart w:id="23380" w:name="_Toc2718669"/>
      <w:bookmarkStart w:id="23381" w:name="_Toc2866736"/>
      <w:bookmarkStart w:id="23382" w:name="_Toc3234504"/>
      <w:bookmarkStart w:id="23383" w:name="_Toc3287742"/>
      <w:bookmarkStart w:id="23384" w:name="_Toc3322258"/>
      <w:bookmarkStart w:id="23385" w:name="_Toc3480725"/>
      <w:bookmarkStart w:id="23386" w:name="_Toc3485000"/>
      <w:bookmarkStart w:id="23387" w:name="_Toc3535875"/>
      <w:bookmarkStart w:id="23388" w:name="_Toc3543245"/>
      <w:bookmarkStart w:id="23389" w:name="_Toc3550956"/>
      <w:bookmarkStart w:id="23390" w:name="_Toc3551112"/>
      <w:bookmarkStart w:id="23391" w:name="_Toc19391921"/>
      <w:bookmarkStart w:id="23392" w:name="_Toc19395418"/>
      <w:r w:rsidRPr="00580AEE">
        <w:rPr>
          <w:rFonts w:hint="cs"/>
          <w:rtl/>
        </w:rPr>
        <w:t xml:space="preserve">קושית </w:t>
      </w:r>
      <w:r w:rsidRPr="00580AEE">
        <w:rPr>
          <w:rtl/>
        </w:rPr>
        <w:t xml:space="preserve">הגר"י ענגיל </w:t>
      </w:r>
      <w:r w:rsidRPr="00580AEE">
        <w:rPr>
          <w:rFonts w:hint="cs"/>
          <w:rtl/>
        </w:rPr>
        <w:t>דלר"ל אינו בהמה וודאי דל"מ שחיטה</w:t>
      </w:r>
      <w:bookmarkEnd w:id="23378"/>
      <w:bookmarkEnd w:id="23379"/>
      <w:bookmarkEnd w:id="23380"/>
      <w:bookmarkEnd w:id="23381"/>
      <w:bookmarkEnd w:id="23382"/>
      <w:bookmarkEnd w:id="23383"/>
      <w:bookmarkEnd w:id="23384"/>
      <w:bookmarkEnd w:id="23385"/>
      <w:bookmarkEnd w:id="23386"/>
      <w:bookmarkEnd w:id="23387"/>
      <w:bookmarkEnd w:id="23388"/>
      <w:bookmarkEnd w:id="23389"/>
      <w:bookmarkEnd w:id="23390"/>
      <w:bookmarkEnd w:id="23391"/>
      <w:bookmarkEnd w:id="23392"/>
    </w:p>
    <w:p w14:paraId="1F0A36F3" w14:textId="77777777" w:rsidR="003D504D" w:rsidRPr="00580AEE" w:rsidRDefault="003D504D" w:rsidP="003D504D">
      <w:pPr>
        <w:pStyle w:val="a3"/>
      </w:pPr>
      <w:bookmarkStart w:id="23393" w:name="_Toc2541661"/>
      <w:bookmarkStart w:id="23394" w:name="_Toc2597316"/>
      <w:bookmarkStart w:id="23395" w:name="_Toc2718670"/>
      <w:bookmarkStart w:id="23396" w:name="_Toc2866737"/>
      <w:bookmarkStart w:id="23397" w:name="_Toc3234505"/>
      <w:bookmarkStart w:id="23398" w:name="_Toc3287743"/>
      <w:bookmarkStart w:id="23399" w:name="_Toc3322259"/>
      <w:bookmarkStart w:id="23400" w:name="_Toc3480726"/>
      <w:bookmarkStart w:id="23401" w:name="_Toc3485001"/>
      <w:bookmarkStart w:id="23402" w:name="_Toc3535876"/>
      <w:bookmarkStart w:id="23403" w:name="_Toc3543246"/>
      <w:bookmarkStart w:id="23404" w:name="_Toc3550957"/>
      <w:bookmarkStart w:id="23405" w:name="_Toc3551113"/>
      <w:bookmarkStart w:id="23406" w:name="_Toc19391922"/>
      <w:bookmarkStart w:id="23407" w:name="_Toc19395419"/>
      <w:r w:rsidRPr="00580AEE">
        <w:rPr>
          <w:rFonts w:hint="cs"/>
          <w:rtl/>
        </w:rPr>
        <w:t xml:space="preserve">קושית </w:t>
      </w:r>
      <w:r w:rsidRPr="00580AEE">
        <w:rPr>
          <w:rtl/>
        </w:rPr>
        <w:t xml:space="preserve">הגר"י ענגיל </w:t>
      </w:r>
      <w:r w:rsidRPr="00580AEE">
        <w:rPr>
          <w:rFonts w:hint="cs"/>
          <w:rtl/>
        </w:rPr>
        <w:t>על תוס' דלר"ל דחדשים ואוירא גרמי ודאי דל"מ שחיטה במעיה דאינו בהמה</w:t>
      </w:r>
      <w:bookmarkEnd w:id="23393"/>
      <w:bookmarkEnd w:id="23394"/>
      <w:bookmarkEnd w:id="23395"/>
      <w:bookmarkEnd w:id="23396"/>
      <w:bookmarkEnd w:id="23397"/>
      <w:bookmarkEnd w:id="23398"/>
      <w:bookmarkEnd w:id="23399"/>
      <w:bookmarkEnd w:id="23400"/>
      <w:bookmarkEnd w:id="23401"/>
      <w:bookmarkEnd w:id="23402"/>
      <w:bookmarkEnd w:id="23403"/>
      <w:bookmarkEnd w:id="23404"/>
      <w:bookmarkEnd w:id="23405"/>
      <w:bookmarkEnd w:id="23406"/>
      <w:bookmarkEnd w:id="23407"/>
    </w:p>
    <w:p w14:paraId="65EAD108" w14:textId="77777777" w:rsidR="003D504D" w:rsidRPr="00580AEE" w:rsidRDefault="003D504D" w:rsidP="00223668">
      <w:pPr>
        <w:pStyle w:val="a0"/>
      </w:pPr>
      <w:r w:rsidRPr="00580AEE">
        <w:rPr>
          <w:rFonts w:hint="cs"/>
          <w:rtl/>
        </w:rPr>
        <w:t xml:space="preserve">והקשה </w:t>
      </w:r>
      <w:r w:rsidRPr="00580AEE">
        <w:rPr>
          <w:rStyle w:val="af9"/>
          <w:rFonts w:hint="cs"/>
          <w:rtl/>
        </w:rPr>
        <w:t>הגר"י ענגיל בבית האוצר</w:t>
      </w:r>
      <w:r w:rsidRPr="00580AEE">
        <w:rPr>
          <w:rFonts w:hint="cs"/>
          <w:rtl/>
        </w:rPr>
        <w:t xml:space="preserve"> </w:t>
      </w:r>
      <w:r w:rsidRPr="00580AEE">
        <w:rPr>
          <w:rStyle w:val="af7"/>
          <w:rFonts w:eastAsia="Guttman Hodes" w:hint="cs"/>
          <w:rtl/>
        </w:rPr>
        <w:t>(ח"א כלל י' עמ' 61 ד"ה וע"ע בחולין)</w:t>
      </w:r>
      <w:r w:rsidRPr="00580AEE">
        <w:rPr>
          <w:rFonts w:hint="cs"/>
          <w:rtl/>
        </w:rPr>
        <w:t xml:space="preserve"> היאך כתבו </w:t>
      </w:r>
      <w:r w:rsidRPr="00580AEE">
        <w:rPr>
          <w:rStyle w:val="af9"/>
          <w:rFonts w:hint="cs"/>
          <w:rtl/>
        </w:rPr>
        <w:t xml:space="preserve">התוס' </w:t>
      </w:r>
      <w:r w:rsidRPr="00580AEE">
        <w:rPr>
          <w:rFonts w:hint="cs"/>
          <w:rtl/>
        </w:rPr>
        <w:t>דאף לר"ל דס"ל דחדשים ואוירא גרמי מ"מ מהני לו שחיטה במעי מאמו כמו דמהני לו שחיטת אמו, והרי בכדי שיהיה מותר בשחיטת עצמו, צריך שיהיה לו שם בהמה כדכתי' "וזבחת מבקרך ומצאנך", ולשליל אין דין בקר כדמוכח מהא דחלבו מותר, דס"ל לר"ל דחדשים ואוירא גרמי, וא"כ היאך הוא מותר בשחיטת עצמו.</w:t>
      </w:r>
    </w:p>
    <w:p w14:paraId="7C62080E" w14:textId="77777777" w:rsidR="003D504D" w:rsidRPr="00580AEE" w:rsidRDefault="003D504D" w:rsidP="003D504D">
      <w:pPr>
        <w:pStyle w:val="a3"/>
      </w:pPr>
      <w:bookmarkStart w:id="23408" w:name="_Toc2541662"/>
      <w:bookmarkStart w:id="23409" w:name="_Toc2597317"/>
      <w:bookmarkStart w:id="23410" w:name="_Toc2718671"/>
      <w:bookmarkStart w:id="23411" w:name="_Toc2866738"/>
      <w:bookmarkStart w:id="23412" w:name="_Toc3234506"/>
      <w:bookmarkStart w:id="23413" w:name="_Toc3287744"/>
      <w:bookmarkStart w:id="23414" w:name="_Toc3322260"/>
      <w:bookmarkStart w:id="23415" w:name="_Toc3480727"/>
      <w:bookmarkStart w:id="23416" w:name="_Toc3485002"/>
      <w:bookmarkStart w:id="23417" w:name="_Toc3535877"/>
      <w:bookmarkStart w:id="23418" w:name="_Toc3543247"/>
      <w:bookmarkStart w:id="23419" w:name="_Toc3550958"/>
      <w:bookmarkStart w:id="23420" w:name="_Toc3551114"/>
      <w:bookmarkStart w:id="23421" w:name="_Toc19391923"/>
      <w:bookmarkStart w:id="23422" w:name="_Toc19395420"/>
      <w:r w:rsidRPr="00580AEE">
        <w:rPr>
          <w:rFonts w:hint="cs"/>
          <w:rtl/>
        </w:rPr>
        <w:t xml:space="preserve">קושית </w:t>
      </w:r>
      <w:r w:rsidRPr="00580AEE">
        <w:rPr>
          <w:rtl/>
        </w:rPr>
        <w:t>הגר"י ענגיל</w:t>
      </w:r>
      <w:r w:rsidRPr="00580AEE">
        <w:rPr>
          <w:rFonts w:hint="cs"/>
          <w:rtl/>
        </w:rPr>
        <w:t xml:space="preserve"> להצד דיש בו היתר "בהמה בבהמה" ודאי שאין לו שחיטה מצד עצמו</w:t>
      </w:r>
      <w:bookmarkEnd w:id="23408"/>
      <w:bookmarkEnd w:id="23409"/>
      <w:bookmarkEnd w:id="23410"/>
      <w:bookmarkEnd w:id="23411"/>
      <w:bookmarkEnd w:id="23412"/>
      <w:bookmarkEnd w:id="23413"/>
      <w:bookmarkEnd w:id="23414"/>
      <w:bookmarkEnd w:id="23415"/>
      <w:bookmarkEnd w:id="23416"/>
      <w:bookmarkEnd w:id="23417"/>
      <w:bookmarkEnd w:id="23418"/>
      <w:bookmarkEnd w:id="23419"/>
      <w:bookmarkEnd w:id="23420"/>
      <w:bookmarkEnd w:id="23421"/>
      <w:bookmarkEnd w:id="23422"/>
    </w:p>
    <w:p w14:paraId="57DBED5B" w14:textId="77777777" w:rsidR="003D504D" w:rsidRPr="00580AEE" w:rsidRDefault="003D504D" w:rsidP="00223668">
      <w:pPr>
        <w:pStyle w:val="a0"/>
        <w:rPr>
          <w:rtl/>
        </w:rPr>
      </w:pPr>
      <w:r w:rsidRPr="00580AEE">
        <w:rPr>
          <w:rFonts w:hint="cs"/>
          <w:rtl/>
        </w:rPr>
        <w:t xml:space="preserve">והביא </w:t>
      </w:r>
      <w:r w:rsidRPr="00580AEE">
        <w:rPr>
          <w:rStyle w:val="af9"/>
          <w:rFonts w:hint="cs"/>
          <w:rtl/>
        </w:rPr>
        <w:t>הגר"י ענגיל בבית האוצר</w:t>
      </w:r>
      <w:r w:rsidRPr="00580AEE">
        <w:rPr>
          <w:rFonts w:hint="cs"/>
          <w:rtl/>
        </w:rPr>
        <w:t xml:space="preserve"> את מה שחקר בספרו </w:t>
      </w:r>
      <w:r w:rsidRPr="00580AEE">
        <w:rPr>
          <w:rStyle w:val="af9"/>
          <w:rFonts w:hint="cs"/>
          <w:rtl/>
        </w:rPr>
        <w:t>אתוון דאורייתא</w:t>
      </w:r>
      <w:r w:rsidRPr="00580AEE">
        <w:rPr>
          <w:rFonts w:hint="cs"/>
          <w:rtl/>
        </w:rPr>
        <w:t xml:space="preserve"> </w:t>
      </w:r>
      <w:r w:rsidRPr="00580AEE">
        <w:rPr>
          <w:rStyle w:val="af7"/>
          <w:rFonts w:eastAsia="Guttman Hodes" w:hint="cs"/>
          <w:rtl/>
        </w:rPr>
        <w:t xml:space="preserve">(כלל י"ד, </w:t>
      </w:r>
      <w:r w:rsidR="00AC7E32">
        <w:rPr>
          <w:rStyle w:val="af7"/>
          <w:rFonts w:eastAsia="Guttman Hodes" w:hint="cs"/>
          <w:rtl/>
        </w:rPr>
        <w:t>הובא בסימן</w:t>
      </w:r>
      <w:r w:rsidRPr="00580AEE">
        <w:rPr>
          <w:rStyle w:val="af7"/>
          <w:rFonts w:eastAsia="Guttman Hodes" w:hint="cs"/>
          <w:rtl/>
        </w:rPr>
        <w:t xml:space="preserve"> א' אות ד')</w:t>
      </w:r>
      <w:r w:rsidRPr="00580AEE">
        <w:rPr>
          <w:rFonts w:hint="cs"/>
          <w:rtl/>
        </w:rPr>
        <w:t xml:space="preserve">, אי ההיתר דבן פקועה הוא מחמת דחשיב שהוא נשחט בשחיטת אמו, או דההיתר דבן פקועה שהוא מותר כשנשחטה אמו מגזיה"כ דנאמר בו היתר "בהמה בבהמה", והקשה </w:t>
      </w:r>
      <w:r w:rsidRPr="00580AEE">
        <w:rPr>
          <w:rStyle w:val="af9"/>
          <w:rFonts w:hint="cs"/>
          <w:rtl/>
        </w:rPr>
        <w:t>הגר"י ענגיל בבית האוצר</w:t>
      </w:r>
      <w:r w:rsidRPr="00580AEE">
        <w:rPr>
          <w:rFonts w:hint="cs"/>
          <w:rtl/>
        </w:rPr>
        <w:t xml:space="preserve"> דלהצד שיש בו היתר "בהמה בבהמה", ודאי קשה מנלן שהוא מותר בשחיטת עצמו, הרי אין לו שם בהמה מצד עצמו.</w:t>
      </w:r>
    </w:p>
    <w:p w14:paraId="2B2DA808" w14:textId="77777777" w:rsidR="003D504D" w:rsidRPr="00580AEE" w:rsidRDefault="003D504D" w:rsidP="003D504D">
      <w:pPr>
        <w:pStyle w:val="a3"/>
      </w:pPr>
      <w:bookmarkStart w:id="23423" w:name="_Toc2541663"/>
      <w:bookmarkStart w:id="23424" w:name="_Toc2597318"/>
      <w:bookmarkStart w:id="23425" w:name="_Toc2718672"/>
      <w:bookmarkStart w:id="23426" w:name="_Toc2866739"/>
      <w:bookmarkStart w:id="23427" w:name="_Toc3234507"/>
      <w:bookmarkStart w:id="23428" w:name="_Toc3287745"/>
      <w:bookmarkStart w:id="23429" w:name="_Toc3322261"/>
      <w:bookmarkStart w:id="23430" w:name="_Toc3480728"/>
      <w:bookmarkStart w:id="23431" w:name="_Toc3485003"/>
      <w:bookmarkStart w:id="23432" w:name="_Toc3535878"/>
      <w:bookmarkStart w:id="23433" w:name="_Toc3543248"/>
      <w:bookmarkStart w:id="23434" w:name="_Toc3550959"/>
      <w:bookmarkStart w:id="23435" w:name="_Toc3551115"/>
      <w:bookmarkStart w:id="23436" w:name="_Toc19391924"/>
      <w:bookmarkStart w:id="23437" w:name="_Toc19395421"/>
      <w:r w:rsidRPr="00580AEE">
        <w:rPr>
          <w:rFonts w:hint="cs"/>
          <w:rtl/>
        </w:rPr>
        <w:t>קושית הגר"י ענגיל להצד דחשיב כשחוט בשחיטת אמו הוא דהוי כאבר אמו ול"מ שחיטת עצמו</w:t>
      </w:r>
      <w:bookmarkEnd w:id="23423"/>
      <w:bookmarkEnd w:id="23424"/>
      <w:bookmarkEnd w:id="23425"/>
      <w:bookmarkEnd w:id="23426"/>
      <w:bookmarkEnd w:id="23427"/>
      <w:bookmarkEnd w:id="23428"/>
      <w:bookmarkEnd w:id="23429"/>
      <w:bookmarkEnd w:id="23430"/>
      <w:bookmarkEnd w:id="23431"/>
      <w:bookmarkEnd w:id="23432"/>
      <w:bookmarkEnd w:id="23433"/>
      <w:bookmarkEnd w:id="23434"/>
      <w:bookmarkEnd w:id="23435"/>
      <w:bookmarkEnd w:id="23436"/>
      <w:bookmarkEnd w:id="23437"/>
    </w:p>
    <w:p w14:paraId="11940AEF" w14:textId="77777777" w:rsidR="003D504D" w:rsidRDefault="003D504D" w:rsidP="00223668">
      <w:pPr>
        <w:pStyle w:val="a0"/>
        <w:rPr>
          <w:rtl/>
        </w:rPr>
        <w:sectPr w:rsidR="003D504D" w:rsidSect="00E43F2E">
          <w:type w:val="continuous"/>
          <w:pgSz w:w="11906" w:h="16838"/>
          <w:pgMar w:top="720" w:right="720" w:bottom="720" w:left="720" w:header="283" w:footer="283" w:gutter="0"/>
          <w:cols w:num="2" w:space="567"/>
          <w:bidi/>
          <w:rtlGutter/>
          <w:docGrid w:linePitch="299"/>
        </w:sectPr>
      </w:pPr>
      <w:r w:rsidRPr="00580AEE">
        <w:rPr>
          <w:rFonts w:hint="cs"/>
          <w:rtl/>
        </w:rPr>
        <w:t xml:space="preserve">ואף להצד דהוא מותר מחמת דחשיב שנשחט בשחיטת אמו, הקשה </w:t>
      </w:r>
      <w:r w:rsidRPr="00580AEE">
        <w:rPr>
          <w:rStyle w:val="af9"/>
          <w:rFonts w:hint="cs"/>
          <w:rtl/>
        </w:rPr>
        <w:t>הגר"י ענגיל בבית האוצר</w:t>
      </w:r>
      <w:r w:rsidRPr="00580AEE">
        <w:rPr>
          <w:rFonts w:hint="cs"/>
          <w:rtl/>
        </w:rPr>
        <w:t xml:space="preserve"> דגם לצד זה אין כל ראיה דמהני לו שחיטת עצמו, דהרי ההיתר דשחיטת אמו, אינו גזיה"כ דלענין שחיטה יש לו דין בהמה, אלא מחמת דהוא כאבר מאברי אמו, וכמו שכל אבריה מותרים בשחיטתה, ה"ה העובר, ועדיין קשה מנלן שיש</w:t>
      </w:r>
      <w:r w:rsidRPr="009F26E3">
        <w:rPr>
          <w:rFonts w:hint="cs"/>
          <w:rtl/>
        </w:rPr>
        <w:t xml:space="preserve"> </w:t>
      </w:r>
      <w:r>
        <w:rPr>
          <w:rFonts w:hint="cs"/>
          <w:rtl/>
        </w:rPr>
        <w:t>לו שם בהמה להתירו בשחיטת עצמו.</w:t>
      </w:r>
    </w:p>
    <w:p w14:paraId="777425FF" w14:textId="77777777" w:rsidR="003D504D" w:rsidRPr="007E3507" w:rsidRDefault="003D504D" w:rsidP="00223668">
      <w:pPr>
        <w:pStyle w:val="a0"/>
        <w:numPr>
          <w:ilvl w:val="0"/>
          <w:numId w:val="0"/>
        </w:numPr>
        <w:rPr>
          <w:rtl/>
        </w:rPr>
      </w:pPr>
    </w:p>
    <w:p w14:paraId="3DE2AA2A" w14:textId="77777777" w:rsidR="003D504D" w:rsidRDefault="003D504D" w:rsidP="003D504D">
      <w:pPr>
        <w:pStyle w:val="a3"/>
        <w:rPr>
          <w:rtl/>
        </w:rPr>
        <w:sectPr w:rsidR="003D504D" w:rsidSect="005049E2">
          <w:type w:val="continuous"/>
          <w:pgSz w:w="11906" w:h="16838"/>
          <w:pgMar w:top="720" w:right="720" w:bottom="720" w:left="720" w:header="283" w:footer="283" w:gutter="0"/>
          <w:cols w:num="2" w:space="567"/>
          <w:titlePg/>
          <w:bidi/>
          <w:rtlGutter/>
          <w:docGrid w:linePitch="299"/>
        </w:sectPr>
      </w:pPr>
    </w:p>
    <w:p w14:paraId="3BA6D0EB" w14:textId="77777777" w:rsidR="003D504D" w:rsidRDefault="003D504D" w:rsidP="00725C63">
      <w:pPr>
        <w:pStyle w:val="afd"/>
        <w:spacing w:before="240"/>
        <w:rPr>
          <w:rtl/>
        </w:rPr>
      </w:pPr>
      <w:bookmarkStart w:id="23438" w:name="_Toc3661956"/>
      <w:bookmarkStart w:id="23439" w:name="_Toc3840793"/>
      <w:bookmarkStart w:id="23440" w:name="_Toc3928983"/>
      <w:bookmarkStart w:id="23441" w:name="_Toc3978370"/>
      <w:bookmarkStart w:id="23442" w:name="_Toc4012216"/>
      <w:bookmarkStart w:id="23443" w:name="_Toc4013242"/>
      <w:bookmarkStart w:id="23444" w:name="_Toc4022750"/>
      <w:bookmarkStart w:id="23445" w:name="_Toc4026575"/>
      <w:bookmarkStart w:id="23446" w:name="_Toc4139368"/>
      <w:bookmarkStart w:id="23447" w:name="_Toc4151462"/>
      <w:bookmarkStart w:id="23448" w:name="_Toc5356396"/>
      <w:bookmarkStart w:id="23449" w:name="_Toc16669778"/>
      <w:bookmarkStart w:id="23450" w:name="_Toc19436312"/>
      <w:bookmarkStart w:id="23451" w:name="_Toc20081458"/>
      <w:r>
        <w:rPr>
          <w:rFonts w:hint="cs"/>
          <w:rtl/>
        </w:rPr>
        <w:t xml:space="preserve">סימן </w:t>
      </w:r>
      <w:bookmarkEnd w:id="23438"/>
      <w:bookmarkEnd w:id="23439"/>
      <w:bookmarkEnd w:id="23440"/>
      <w:bookmarkEnd w:id="23441"/>
      <w:bookmarkEnd w:id="23442"/>
      <w:bookmarkEnd w:id="23443"/>
      <w:bookmarkEnd w:id="23444"/>
      <w:bookmarkEnd w:id="23445"/>
      <w:bookmarkEnd w:id="23446"/>
      <w:bookmarkEnd w:id="23447"/>
      <w:bookmarkEnd w:id="23448"/>
      <w:r w:rsidR="00725C63">
        <w:rPr>
          <w:rFonts w:hint="cs"/>
          <w:rtl/>
        </w:rPr>
        <w:t>כ"ב</w:t>
      </w:r>
      <w:bookmarkEnd w:id="23449"/>
      <w:bookmarkEnd w:id="23450"/>
      <w:bookmarkEnd w:id="23451"/>
    </w:p>
    <w:p w14:paraId="09A9A20A" w14:textId="77777777" w:rsidR="003D504D" w:rsidRDefault="003D504D" w:rsidP="003D504D">
      <w:pPr>
        <w:pStyle w:val="afd"/>
        <w:spacing w:before="240"/>
        <w:rPr>
          <w:rtl/>
        </w:rPr>
      </w:pPr>
      <w:bookmarkStart w:id="23452" w:name="_Toc5356397"/>
      <w:bookmarkStart w:id="23453" w:name="_Toc16669779"/>
      <w:bookmarkStart w:id="23454" w:name="_Toc19436313"/>
      <w:bookmarkStart w:id="23455" w:name="_Toc20081459"/>
      <w:bookmarkStart w:id="23456" w:name="_Toc3661957"/>
      <w:bookmarkStart w:id="23457" w:name="_Toc3840794"/>
      <w:bookmarkStart w:id="23458" w:name="_Toc3928984"/>
      <w:bookmarkStart w:id="23459" w:name="_Toc3978371"/>
      <w:bookmarkStart w:id="23460" w:name="_Toc4012217"/>
      <w:bookmarkStart w:id="23461" w:name="_Toc4013243"/>
      <w:bookmarkStart w:id="23462" w:name="_Toc4022751"/>
      <w:bookmarkStart w:id="23463" w:name="_Toc4026576"/>
      <w:bookmarkStart w:id="23464" w:name="_Toc4139369"/>
      <w:bookmarkStart w:id="23465" w:name="_Toc4151463"/>
      <w:r>
        <w:rPr>
          <w:rtl/>
        </w:rPr>
        <w:t>סוגיא דחלב וגיד (ב')</w:t>
      </w:r>
      <w:bookmarkEnd w:id="23452"/>
      <w:bookmarkEnd w:id="23453"/>
      <w:bookmarkEnd w:id="23454"/>
      <w:bookmarkEnd w:id="23455"/>
    </w:p>
    <w:p w14:paraId="4BBA04DE" w14:textId="77777777" w:rsidR="003D504D" w:rsidRDefault="003D504D" w:rsidP="003D504D">
      <w:pPr>
        <w:pStyle w:val="afd"/>
        <w:spacing w:before="240"/>
      </w:pPr>
      <w:bookmarkStart w:id="23466" w:name="_Toc5356398"/>
      <w:bookmarkStart w:id="23467" w:name="_Toc16669780"/>
      <w:bookmarkStart w:id="23468" w:name="_Toc19436314"/>
      <w:bookmarkStart w:id="23469" w:name="_Toc20081460"/>
      <w:r>
        <w:rPr>
          <w:rFonts w:hint="cs"/>
          <w:rtl/>
        </w:rPr>
        <w:t xml:space="preserve">בשיטת הרמב"ם בפלוגתת ר"מ ור"י וריו"ח ור"ל </w:t>
      </w:r>
      <w:bookmarkEnd w:id="23456"/>
      <w:bookmarkEnd w:id="23457"/>
      <w:bookmarkEnd w:id="23458"/>
      <w:bookmarkEnd w:id="23459"/>
      <w:bookmarkEnd w:id="23460"/>
      <w:bookmarkEnd w:id="23461"/>
      <w:bookmarkEnd w:id="23462"/>
      <w:bookmarkEnd w:id="23463"/>
      <w:r>
        <w:rPr>
          <w:rFonts w:hint="cs"/>
          <w:rtl/>
        </w:rPr>
        <w:t>בחלב וגיד ובגדר היתר בן פקועה</w:t>
      </w:r>
      <w:bookmarkEnd w:id="23466"/>
      <w:bookmarkEnd w:id="23467"/>
      <w:bookmarkEnd w:id="23468"/>
      <w:bookmarkEnd w:id="23469"/>
      <w:r>
        <w:rPr>
          <w:rFonts w:hint="cs"/>
          <w:rtl/>
        </w:rPr>
        <w:t xml:space="preserve"> </w:t>
      </w:r>
      <w:bookmarkEnd w:id="23464"/>
      <w:bookmarkEnd w:id="23465"/>
    </w:p>
    <w:p w14:paraId="3A598B12" w14:textId="77777777" w:rsidR="003D504D" w:rsidRDefault="000A0C31" w:rsidP="003D504D">
      <w:pPr>
        <w:pStyle w:val="2"/>
        <w:rPr>
          <w:rtl/>
        </w:rPr>
      </w:pPr>
      <w:r>
        <w:rPr>
          <w:rtl/>
        </w:rPr>
        <w:t>מפתח הסוגיא</w:t>
      </w:r>
    </w:p>
    <w:p w14:paraId="183903E3" w14:textId="77777777" w:rsidR="003D504D" w:rsidRDefault="003D504D" w:rsidP="003D504D">
      <w:pPr>
        <w:pStyle w:val="aff4"/>
        <w:rPr>
          <w:rtl/>
        </w:rPr>
        <w:sectPr w:rsidR="003D504D" w:rsidSect="003D504D">
          <w:headerReference w:type="default" r:id="rId138"/>
          <w:headerReference w:type="first" r:id="rId139"/>
          <w:footerReference w:type="first" r:id="rId140"/>
          <w:pgSz w:w="11906" w:h="16838"/>
          <w:pgMar w:top="720" w:right="720" w:bottom="720" w:left="720" w:header="283" w:footer="283" w:gutter="0"/>
          <w:cols w:space="113"/>
          <w:bidi/>
          <w:rtlGutter/>
          <w:docGrid w:linePitch="299"/>
        </w:sectPr>
      </w:pPr>
    </w:p>
    <w:p w14:paraId="5E56E6D7" w14:textId="77777777" w:rsidR="003D504D" w:rsidRDefault="003D504D" w:rsidP="003D504D">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bookmarkStart w:id="23470" w:name="_Toc19436316"/>
      <w:r>
        <w:rPr>
          <w:noProof/>
          <w:rtl/>
        </w:rPr>
        <w:t>מראי מקומות וביאורים על הרמב"ם</w:t>
      </w:r>
      <w:bookmarkEnd w:id="23470"/>
    </w:p>
    <w:p w14:paraId="46E2BBF8" w14:textId="77777777" w:rsidR="003D504D" w:rsidRDefault="003D504D" w:rsidP="003D504D">
      <w:pPr>
        <w:pStyle w:val="2"/>
        <w:rPr>
          <w:rFonts w:eastAsiaTheme="minorEastAsia" w:cstheme="minorBidi"/>
          <w:i/>
          <w:iCs/>
          <w:noProof/>
          <w:sz w:val="22"/>
          <w:szCs w:val="22"/>
          <w:rtl/>
        </w:rPr>
      </w:pPr>
      <w:bookmarkStart w:id="23471" w:name="_Toc19436317"/>
      <w:r>
        <w:rPr>
          <w:noProof/>
          <w:rtl/>
        </w:rPr>
        <w:t>דברי הרמב"ם בשחיטה ובחלב וגיד</w:t>
      </w:r>
      <w:bookmarkEnd w:id="23471"/>
    </w:p>
    <w:p w14:paraId="0351E839" w14:textId="77777777" w:rsidR="003D504D" w:rsidRDefault="003D504D" w:rsidP="003D504D">
      <w:pPr>
        <w:pStyle w:val="aff4"/>
        <w:rPr>
          <w:rFonts w:eastAsiaTheme="minorEastAsia" w:cstheme="minorBidi"/>
          <w:i/>
          <w:iCs/>
          <w:noProof/>
          <w:sz w:val="22"/>
          <w:szCs w:val="22"/>
          <w:rtl/>
        </w:rPr>
      </w:pPr>
      <w:bookmarkStart w:id="23472" w:name="_Toc19436318"/>
      <w:bookmarkStart w:id="23473" w:name="_Toc20081461"/>
      <w:r>
        <w:rPr>
          <w:noProof/>
          <w:rtl/>
        </w:rPr>
        <w:t>דברי הרמב"ם בדין שחיטה וחלב וגיד בבן ח' ובבן ט'</w:t>
      </w:r>
      <w:bookmarkEnd w:id="23472"/>
      <w:bookmarkEnd w:id="23473"/>
    </w:p>
    <w:p w14:paraId="78467EFD" w14:textId="77777777" w:rsidR="003D504D" w:rsidRPr="001D0CC1" w:rsidRDefault="003D504D" w:rsidP="00E12979">
      <w:pPr>
        <w:pStyle w:val="a"/>
        <w:numPr>
          <w:ilvl w:val="0"/>
          <w:numId w:val="45"/>
        </w:numPr>
        <w:rPr>
          <w:rtl/>
        </w:rPr>
      </w:pPr>
      <w:r w:rsidRPr="001D0CC1">
        <w:rPr>
          <w:rtl/>
        </w:rPr>
        <w:t>דברי הרמב"ם דשליל מותר בשחיטת אמו אעפ"י שהוא בן ט' חי</w:t>
      </w:r>
    </w:p>
    <w:p w14:paraId="4382972A" w14:textId="77777777" w:rsidR="003D504D" w:rsidRPr="001D0CC1" w:rsidRDefault="003D504D" w:rsidP="005077A7">
      <w:pPr>
        <w:pStyle w:val="a"/>
        <w:rPr>
          <w:rtl/>
        </w:rPr>
      </w:pPr>
      <w:r>
        <w:rPr>
          <w:rtl/>
        </w:rPr>
        <w:t>דברי הרמב"ם דבלא כלו חדשיו חלבו מותר ובכלו חדשיו אף שמותר בשחיטת אמו חלבו אסור</w:t>
      </w:r>
    </w:p>
    <w:p w14:paraId="03EDFC5B" w14:textId="77777777" w:rsidR="003D504D" w:rsidRDefault="003D504D" w:rsidP="005077A7">
      <w:pPr>
        <w:pStyle w:val="a"/>
        <w:rPr>
          <w:rFonts w:eastAsiaTheme="minorEastAsia" w:cstheme="minorBidi"/>
          <w:sz w:val="22"/>
          <w:szCs w:val="22"/>
          <w:rtl/>
        </w:rPr>
      </w:pPr>
      <w:r>
        <w:rPr>
          <w:rtl/>
        </w:rPr>
        <w:t>דברי הרמב"ם דהתולש חלב מבן ט' והוציאו לחוץ חייב עליו מדין חלב דחדשים גרמי</w:t>
      </w:r>
    </w:p>
    <w:p w14:paraId="5BF6D738" w14:textId="77777777" w:rsidR="003D504D" w:rsidRDefault="003D504D" w:rsidP="005077A7">
      <w:pPr>
        <w:pStyle w:val="a"/>
        <w:rPr>
          <w:rFonts w:eastAsiaTheme="minorEastAsia" w:cstheme="minorBidi"/>
          <w:sz w:val="22"/>
          <w:szCs w:val="22"/>
          <w:rtl/>
        </w:rPr>
      </w:pPr>
      <w:r>
        <w:rPr>
          <w:rtl/>
        </w:rPr>
        <w:t>דברי הרמב"ם דגיד הנשה נוהג בשליל</w:t>
      </w:r>
    </w:p>
    <w:p w14:paraId="27AB66F9" w14:textId="77777777" w:rsidR="003D504D" w:rsidRDefault="003D504D" w:rsidP="003D504D">
      <w:pPr>
        <w:pStyle w:val="2"/>
        <w:rPr>
          <w:rFonts w:eastAsiaTheme="minorEastAsia" w:cstheme="minorBidi"/>
          <w:i/>
          <w:iCs/>
          <w:noProof/>
          <w:sz w:val="22"/>
          <w:szCs w:val="22"/>
          <w:rtl/>
        </w:rPr>
      </w:pPr>
      <w:bookmarkStart w:id="23474" w:name="_Toc19436319"/>
      <w:r>
        <w:rPr>
          <w:noProof/>
          <w:rtl/>
        </w:rPr>
        <w:t>קושיות הראשונים על הרמב"ם</w:t>
      </w:r>
      <w:bookmarkEnd w:id="23474"/>
    </w:p>
    <w:p w14:paraId="759A19F2" w14:textId="77777777" w:rsidR="003D504D" w:rsidRDefault="003D504D" w:rsidP="003D504D">
      <w:pPr>
        <w:pStyle w:val="aff4"/>
        <w:rPr>
          <w:rFonts w:eastAsiaTheme="minorEastAsia" w:cstheme="minorBidi"/>
          <w:i/>
          <w:iCs/>
          <w:noProof/>
          <w:sz w:val="22"/>
          <w:szCs w:val="22"/>
          <w:rtl/>
        </w:rPr>
      </w:pPr>
      <w:bookmarkStart w:id="23475" w:name="_Toc19436320"/>
      <w:bookmarkStart w:id="23476" w:name="_Toc20081462"/>
      <w:r>
        <w:rPr>
          <w:noProof/>
          <w:rtl/>
        </w:rPr>
        <w:t>ביאור הרשב"א והרא"ש ברמב"ם דריו"ח ור"ל נח' בר"מ ור"י</w:t>
      </w:r>
      <w:bookmarkEnd w:id="23475"/>
      <w:bookmarkEnd w:id="23476"/>
    </w:p>
    <w:p w14:paraId="33E261A9" w14:textId="77777777" w:rsidR="003D504D" w:rsidRDefault="003D504D" w:rsidP="005077A7">
      <w:pPr>
        <w:pStyle w:val="a"/>
        <w:rPr>
          <w:rFonts w:eastAsiaTheme="minorEastAsia" w:cstheme="minorBidi"/>
          <w:sz w:val="22"/>
          <w:szCs w:val="22"/>
          <w:rtl/>
        </w:rPr>
      </w:pPr>
      <w:r>
        <w:rPr>
          <w:rtl/>
        </w:rPr>
        <w:t>ביאור הרשב"א והרא"ש ברמב"ם דריו"ח ור"ל נחלקו בפלוגתת ר"מ ור"י וקיי"ל כריו"ח בחלב</w:t>
      </w:r>
    </w:p>
    <w:p w14:paraId="0EC956E8" w14:textId="77777777" w:rsidR="003D504D" w:rsidRDefault="003D504D" w:rsidP="005077A7">
      <w:pPr>
        <w:pStyle w:val="a"/>
        <w:rPr>
          <w:rFonts w:eastAsiaTheme="minorEastAsia" w:cstheme="minorBidi"/>
          <w:sz w:val="22"/>
          <w:szCs w:val="22"/>
          <w:rtl/>
        </w:rPr>
      </w:pPr>
      <w:r>
        <w:rPr>
          <w:rtl/>
        </w:rPr>
        <w:t>ביאור הר"ן ברמב"ם דריו"ח ור"ל פליגי אף בנשחטה ונקטו תלש חלב לומר דאף בכה"ג התיר ר"ל</w:t>
      </w:r>
    </w:p>
    <w:p w14:paraId="5D17B2D5" w14:textId="77777777" w:rsidR="003D504D" w:rsidRDefault="003D504D" w:rsidP="005077A7">
      <w:pPr>
        <w:pStyle w:val="a"/>
        <w:rPr>
          <w:rFonts w:eastAsiaTheme="minorEastAsia" w:cstheme="minorBidi"/>
          <w:sz w:val="22"/>
          <w:szCs w:val="22"/>
          <w:rtl/>
        </w:rPr>
      </w:pPr>
      <w:r>
        <w:rPr>
          <w:rtl/>
        </w:rPr>
        <w:t>קושית הרא"ש דלא מסתבר לומר דנחלקו האמוראים במחלוקת תנאים</w:t>
      </w:r>
    </w:p>
    <w:p w14:paraId="71348A30" w14:textId="77777777" w:rsidR="003D504D" w:rsidRDefault="003D504D" w:rsidP="005077A7">
      <w:pPr>
        <w:pStyle w:val="a"/>
        <w:rPr>
          <w:rFonts w:eastAsiaTheme="minorEastAsia" w:cstheme="minorBidi"/>
          <w:sz w:val="22"/>
          <w:szCs w:val="22"/>
          <w:rtl/>
        </w:rPr>
      </w:pPr>
      <w:r>
        <w:rPr>
          <w:rtl/>
        </w:rPr>
        <w:t>ביאור הראש יוסף בדברי הרא"ש ברמב"ם דריו"ח ור"ל נחלקו כר"מ ור"י רק בחלב וגיד ולא בשחיטה</w:t>
      </w:r>
    </w:p>
    <w:p w14:paraId="07A65A76" w14:textId="77777777" w:rsidR="003D504D" w:rsidRDefault="003D504D" w:rsidP="005077A7">
      <w:pPr>
        <w:pStyle w:val="a"/>
        <w:rPr>
          <w:rFonts w:eastAsiaTheme="minorEastAsia" w:cstheme="minorBidi"/>
          <w:sz w:val="22"/>
          <w:szCs w:val="22"/>
          <w:rtl/>
        </w:rPr>
      </w:pPr>
      <w:r>
        <w:rPr>
          <w:rtl/>
        </w:rPr>
        <w:t>קושית התורת יקותיאל דמדהקשו ריו"ח ור"ל מהברייתא דאשם מוכח דלא פליגי בר"מ ור"י</w:t>
      </w:r>
    </w:p>
    <w:p w14:paraId="13E920A2" w14:textId="77777777" w:rsidR="003D504D" w:rsidRDefault="003D504D" w:rsidP="003D504D">
      <w:pPr>
        <w:pStyle w:val="aff4"/>
        <w:rPr>
          <w:rFonts w:eastAsiaTheme="minorEastAsia" w:cstheme="minorBidi"/>
          <w:i/>
          <w:iCs/>
          <w:noProof/>
          <w:sz w:val="22"/>
          <w:szCs w:val="22"/>
          <w:rtl/>
        </w:rPr>
      </w:pPr>
      <w:bookmarkStart w:id="23477" w:name="_Toc19436321"/>
      <w:bookmarkStart w:id="23478" w:name="_Toc20081463"/>
      <w:r>
        <w:rPr>
          <w:noProof/>
          <w:rtl/>
        </w:rPr>
        <w:t>קושית הראשונים דבדברי רב הושעיא מוכח דלא כהרמב"ם</w:t>
      </w:r>
      <w:bookmarkEnd w:id="23477"/>
      <w:bookmarkEnd w:id="23478"/>
    </w:p>
    <w:p w14:paraId="7195B06E" w14:textId="77777777" w:rsidR="003D504D" w:rsidRDefault="003D504D" w:rsidP="005077A7">
      <w:pPr>
        <w:pStyle w:val="a"/>
        <w:rPr>
          <w:rFonts w:eastAsiaTheme="minorEastAsia" w:cstheme="minorBidi"/>
          <w:sz w:val="22"/>
          <w:szCs w:val="22"/>
          <w:rtl/>
        </w:rPr>
      </w:pPr>
      <w:r>
        <w:rPr>
          <w:rtl/>
        </w:rPr>
        <w:t>קושית הרשב"א והר"ן מדברי רב הושעיא דר"מ ור"י הלכו לשיטתם וא"א לחלק בין שחיטה לחלב</w:t>
      </w:r>
    </w:p>
    <w:p w14:paraId="169E540A" w14:textId="77777777" w:rsidR="003D504D" w:rsidRDefault="003D504D" w:rsidP="005077A7">
      <w:pPr>
        <w:pStyle w:val="a"/>
        <w:rPr>
          <w:rFonts w:eastAsiaTheme="minorEastAsia" w:cstheme="minorBidi"/>
          <w:sz w:val="22"/>
          <w:szCs w:val="22"/>
          <w:rtl/>
        </w:rPr>
      </w:pPr>
      <w:r>
        <w:rPr>
          <w:rtl/>
        </w:rPr>
        <w:t>קושית הרשב"א דא"א לומר דלריו"ח חדשים לבד גרמי דהא בן ט' מת מותר לכו"ע אף דכלו חדשיו</w:t>
      </w:r>
    </w:p>
    <w:p w14:paraId="530AC2A6" w14:textId="77777777" w:rsidR="003D504D" w:rsidRDefault="003D504D" w:rsidP="005077A7">
      <w:pPr>
        <w:pStyle w:val="a"/>
        <w:rPr>
          <w:rFonts w:eastAsiaTheme="minorEastAsia" w:cstheme="minorBidi"/>
          <w:sz w:val="22"/>
          <w:szCs w:val="22"/>
          <w:rtl/>
        </w:rPr>
      </w:pPr>
      <w:r>
        <w:rPr>
          <w:rtl/>
        </w:rPr>
        <w:t>תירוץ הרדב"ז על קושית הרשב"א דאף להרמב"ם חלב בן ח' מותר דחדשים בלא חיות אינם חדשים</w:t>
      </w:r>
    </w:p>
    <w:p w14:paraId="5EDA2AED" w14:textId="77777777" w:rsidR="003D504D" w:rsidRDefault="003D504D" w:rsidP="003D504D">
      <w:pPr>
        <w:pStyle w:val="2"/>
        <w:rPr>
          <w:noProof/>
          <w:rtl/>
        </w:rPr>
      </w:pPr>
      <w:bookmarkStart w:id="23479" w:name="_Toc19436322"/>
      <w:r>
        <w:rPr>
          <w:rFonts w:hint="cs"/>
          <w:noProof/>
          <w:rtl/>
        </w:rPr>
        <w:t>דעות הראשונים דפליגי על הרמב</w:t>
      </w:r>
      <w:r>
        <w:rPr>
          <w:rFonts w:cs="Guttman Hodes" w:hint="cs"/>
          <w:noProof/>
          <w:rtl/>
        </w:rPr>
        <w:t>"</w:t>
      </w:r>
      <w:r>
        <w:rPr>
          <w:rFonts w:hint="cs"/>
          <w:noProof/>
          <w:rtl/>
        </w:rPr>
        <w:t>ם</w:t>
      </w:r>
      <w:bookmarkEnd w:id="23479"/>
    </w:p>
    <w:p w14:paraId="72ADB104" w14:textId="77777777" w:rsidR="003D504D" w:rsidRDefault="003D504D" w:rsidP="003D504D">
      <w:pPr>
        <w:pStyle w:val="aff4"/>
        <w:rPr>
          <w:rFonts w:eastAsiaTheme="minorEastAsia" w:cstheme="minorBidi"/>
          <w:i/>
          <w:iCs/>
          <w:noProof/>
          <w:sz w:val="22"/>
          <w:szCs w:val="22"/>
          <w:rtl/>
        </w:rPr>
      </w:pPr>
      <w:bookmarkStart w:id="23480" w:name="_Toc19436323"/>
      <w:bookmarkStart w:id="23481" w:name="_Toc20081464"/>
      <w:r>
        <w:rPr>
          <w:noProof/>
          <w:rtl/>
        </w:rPr>
        <w:t>דעת הראשונים דריו"ח ור"ל לא פליגי בפלוגתת ר"מ ור"י</w:t>
      </w:r>
      <w:bookmarkEnd w:id="23480"/>
      <w:bookmarkEnd w:id="23481"/>
    </w:p>
    <w:p w14:paraId="0C6CEE60" w14:textId="77777777" w:rsidR="003D504D" w:rsidRDefault="003D504D" w:rsidP="005077A7">
      <w:pPr>
        <w:pStyle w:val="a"/>
        <w:rPr>
          <w:rFonts w:eastAsiaTheme="minorEastAsia" w:cstheme="minorBidi"/>
          <w:sz w:val="22"/>
          <w:szCs w:val="22"/>
          <w:rtl/>
        </w:rPr>
      </w:pPr>
      <w:r>
        <w:rPr>
          <w:rtl/>
        </w:rPr>
        <w:t>דברי רש"י ותוס' דריו"ח מתיר בנשחטה וביאורי הר"ן והרשב"א והאר"ש בפלוגתת ריו"ח ור"ל</w:t>
      </w:r>
    </w:p>
    <w:p w14:paraId="4A019F88" w14:textId="77777777" w:rsidR="003D504D" w:rsidRPr="00783B0A" w:rsidRDefault="003D504D" w:rsidP="005077A7">
      <w:pPr>
        <w:pStyle w:val="a"/>
        <w:rPr>
          <w:rtl/>
        </w:rPr>
      </w:pPr>
      <w:r>
        <w:rPr>
          <w:rFonts w:hint="cs"/>
          <w:rtl/>
        </w:rPr>
        <w:t>דעת התוס' דלריו"ח אף דלאיסור חלב לא בעינן חדשים ואוירא דלידה מ"מ אויר העולם בעינן</w:t>
      </w:r>
    </w:p>
    <w:p w14:paraId="3B520943" w14:textId="77777777" w:rsidR="003D504D" w:rsidRDefault="003D504D" w:rsidP="003D504D">
      <w:pPr>
        <w:pStyle w:val="aff4"/>
        <w:rPr>
          <w:rFonts w:eastAsiaTheme="minorEastAsia" w:cstheme="minorBidi"/>
          <w:i/>
          <w:iCs/>
          <w:noProof/>
          <w:sz w:val="22"/>
          <w:szCs w:val="22"/>
          <w:rtl/>
        </w:rPr>
      </w:pPr>
      <w:bookmarkStart w:id="23482" w:name="_Toc19436324"/>
      <w:bookmarkStart w:id="23483" w:name="_Toc20081465"/>
      <w:r>
        <w:rPr>
          <w:noProof/>
          <w:rtl/>
        </w:rPr>
        <w:t>דברי הרא"ש דכל בבהמה מתיר את כל העובר והחלב בכלל</w:t>
      </w:r>
      <w:bookmarkEnd w:id="23482"/>
      <w:bookmarkEnd w:id="23483"/>
    </w:p>
    <w:p w14:paraId="553A158C" w14:textId="77777777" w:rsidR="003D504D" w:rsidRDefault="003D504D" w:rsidP="005077A7">
      <w:pPr>
        <w:pStyle w:val="a"/>
        <w:rPr>
          <w:rFonts w:eastAsiaTheme="minorEastAsia" w:cstheme="minorBidi"/>
          <w:sz w:val="22"/>
          <w:szCs w:val="22"/>
          <w:rtl/>
        </w:rPr>
      </w:pPr>
      <w:r>
        <w:rPr>
          <w:rtl/>
        </w:rPr>
        <w:t>קושית הרא"ש דהיאך מתירה שחיטת האם את חלב העובר יותר ממה שמתירה בעצמה</w:t>
      </w:r>
    </w:p>
    <w:p w14:paraId="30597D44" w14:textId="77777777" w:rsidR="003D504D" w:rsidRDefault="003D504D" w:rsidP="005077A7">
      <w:pPr>
        <w:pStyle w:val="a"/>
        <w:rPr>
          <w:rFonts w:eastAsiaTheme="minorEastAsia" w:cstheme="minorBidi"/>
          <w:sz w:val="22"/>
          <w:szCs w:val="22"/>
          <w:rtl/>
        </w:rPr>
      </w:pPr>
      <w:r>
        <w:rPr>
          <w:rtl/>
        </w:rPr>
        <w:t>ביאור הרא"ש דהיתר בן פקועה הוא גזיה"כ דמתיר אף את כל העובר וחלבו בכלל ההיתר</w:t>
      </w:r>
    </w:p>
    <w:p w14:paraId="742778A2" w14:textId="77777777" w:rsidR="003D504D" w:rsidRDefault="003D504D" w:rsidP="005077A7">
      <w:pPr>
        <w:pStyle w:val="a"/>
        <w:rPr>
          <w:rFonts w:eastAsiaTheme="minorEastAsia" w:cstheme="minorBidi"/>
          <w:sz w:val="22"/>
          <w:szCs w:val="22"/>
        </w:rPr>
      </w:pPr>
      <w:r>
        <w:rPr>
          <w:rtl/>
        </w:rPr>
        <w:t>ביאורי האחרונים דהרמב"ם ס"ל כקושית הרא"ש דאין כח בשחיטה להתיר חלב והחלב אסור</w:t>
      </w:r>
    </w:p>
    <w:p w14:paraId="294BE460" w14:textId="77777777" w:rsidR="003D504D" w:rsidRDefault="003D504D" w:rsidP="003D504D">
      <w:pPr>
        <w:pStyle w:val="2"/>
        <w:rPr>
          <w:rFonts w:eastAsiaTheme="minorEastAsia" w:cstheme="minorBidi"/>
          <w:i/>
          <w:iCs/>
          <w:noProof/>
          <w:sz w:val="22"/>
          <w:szCs w:val="22"/>
          <w:rtl/>
        </w:rPr>
      </w:pPr>
      <w:bookmarkStart w:id="23484" w:name="_Toc19436325"/>
      <w:r>
        <w:rPr>
          <w:noProof/>
          <w:rtl/>
        </w:rPr>
        <w:t>ראיות להרמב"ם דלא קיי"ל כרב הושעיא</w:t>
      </w:r>
      <w:bookmarkEnd w:id="23484"/>
    </w:p>
    <w:p w14:paraId="5F8504B9" w14:textId="77777777" w:rsidR="003D504D" w:rsidRDefault="003D504D" w:rsidP="003D504D">
      <w:pPr>
        <w:pStyle w:val="aff4"/>
        <w:rPr>
          <w:rFonts w:eastAsiaTheme="minorEastAsia" w:cstheme="minorBidi"/>
          <w:i/>
          <w:iCs/>
          <w:noProof/>
          <w:sz w:val="22"/>
          <w:szCs w:val="22"/>
          <w:rtl/>
        </w:rPr>
      </w:pPr>
      <w:bookmarkStart w:id="23485" w:name="_Toc19436326"/>
      <w:bookmarkStart w:id="23486" w:name="_Toc20081466"/>
      <w:r>
        <w:rPr>
          <w:noProof/>
          <w:rtl/>
        </w:rPr>
        <w:t>דברי הראשונים דבגמ' לקמן מבואר דלא כרב הושעיא</w:t>
      </w:r>
      <w:bookmarkEnd w:id="23485"/>
      <w:bookmarkEnd w:id="23486"/>
    </w:p>
    <w:p w14:paraId="0D1322D9" w14:textId="77777777" w:rsidR="003D504D" w:rsidRDefault="003D504D" w:rsidP="005077A7">
      <w:pPr>
        <w:pStyle w:val="a"/>
        <w:rPr>
          <w:rFonts w:eastAsiaTheme="minorEastAsia" w:cstheme="minorBidi"/>
          <w:sz w:val="22"/>
          <w:szCs w:val="22"/>
          <w:rtl/>
        </w:rPr>
      </w:pPr>
      <w:r>
        <w:rPr>
          <w:rtl/>
        </w:rPr>
        <w:t>קושית התוס' והרשב"א דלר"מ איסור גיד לא חל משעת יצירה אלא בבן ט' דהא חדשים גרמי</w:t>
      </w:r>
    </w:p>
    <w:p w14:paraId="322C990D" w14:textId="77777777" w:rsidR="003D504D" w:rsidRDefault="003D504D" w:rsidP="005077A7">
      <w:pPr>
        <w:pStyle w:val="a"/>
        <w:rPr>
          <w:rFonts w:eastAsiaTheme="minorEastAsia" w:cstheme="minorBidi"/>
          <w:sz w:val="22"/>
          <w:szCs w:val="22"/>
          <w:rtl/>
        </w:rPr>
      </w:pPr>
      <w:r>
        <w:rPr>
          <w:rtl/>
        </w:rPr>
        <w:t>דברי הבעה"מ והרשב"א דכן נדחית למסקנא הגמ' לענין גיד בטמאה דהיא דלא כרב הושעיא</w:t>
      </w:r>
    </w:p>
    <w:p w14:paraId="73F866BB" w14:textId="77777777" w:rsidR="003D504D" w:rsidRDefault="003D504D" w:rsidP="005077A7">
      <w:pPr>
        <w:pStyle w:val="a"/>
        <w:rPr>
          <w:rFonts w:eastAsiaTheme="minorEastAsia" w:cstheme="minorBidi"/>
          <w:sz w:val="22"/>
          <w:szCs w:val="22"/>
          <w:rtl/>
        </w:rPr>
      </w:pPr>
      <w:r>
        <w:rPr>
          <w:rtl/>
        </w:rPr>
        <w:t>דברי הש"ך דמקושית התוס' מהגמ' לקמן מוכח כדעת הרמב"ם והעיטור</w:t>
      </w:r>
    </w:p>
    <w:p w14:paraId="1B89FA10" w14:textId="77777777" w:rsidR="003D504D" w:rsidRDefault="003D504D" w:rsidP="003D504D">
      <w:pPr>
        <w:pStyle w:val="2"/>
        <w:rPr>
          <w:rFonts w:eastAsiaTheme="minorEastAsia" w:cstheme="minorBidi"/>
          <w:i/>
          <w:iCs/>
          <w:noProof/>
          <w:sz w:val="22"/>
          <w:szCs w:val="22"/>
          <w:rtl/>
        </w:rPr>
      </w:pPr>
      <w:bookmarkStart w:id="23487" w:name="_Toc19436327"/>
      <w:r>
        <w:rPr>
          <w:noProof/>
          <w:rtl/>
        </w:rPr>
        <w:t>הביאור דהרמב"ם פסק כסתם מתני'</w:t>
      </w:r>
      <w:bookmarkEnd w:id="23487"/>
    </w:p>
    <w:p w14:paraId="174B0178" w14:textId="77777777" w:rsidR="003D504D" w:rsidRDefault="003D504D" w:rsidP="003D504D">
      <w:pPr>
        <w:pStyle w:val="aff4"/>
        <w:rPr>
          <w:rFonts w:eastAsiaTheme="minorEastAsia" w:cstheme="minorBidi"/>
          <w:i/>
          <w:iCs/>
          <w:noProof/>
          <w:sz w:val="22"/>
          <w:szCs w:val="22"/>
          <w:rtl/>
        </w:rPr>
      </w:pPr>
      <w:bookmarkStart w:id="23488" w:name="_Toc19436328"/>
      <w:bookmarkStart w:id="23489" w:name="_Toc20081467"/>
      <w:r>
        <w:rPr>
          <w:noProof/>
          <w:rtl/>
        </w:rPr>
        <w:t>ביאור המ"מ בדעת הרמב"ם דפסק כסתם מתני'</w:t>
      </w:r>
      <w:bookmarkEnd w:id="23488"/>
      <w:bookmarkEnd w:id="23489"/>
    </w:p>
    <w:p w14:paraId="33842146" w14:textId="77777777" w:rsidR="003D504D" w:rsidRDefault="003D504D" w:rsidP="005077A7">
      <w:pPr>
        <w:pStyle w:val="a"/>
        <w:rPr>
          <w:rFonts w:eastAsiaTheme="minorEastAsia" w:cstheme="minorBidi"/>
          <w:sz w:val="22"/>
          <w:szCs w:val="22"/>
          <w:rtl/>
        </w:rPr>
      </w:pPr>
      <w:r>
        <w:rPr>
          <w:rtl/>
        </w:rPr>
        <w:t>ביאור המ"מ דהרמב"ם פסק כסתם מתני' בשחיטה כר"י ובגיד כר"מ וה"ה בחלב כדאי' בברייתא</w:t>
      </w:r>
    </w:p>
    <w:p w14:paraId="6EFD5B9C" w14:textId="77777777" w:rsidR="003D504D" w:rsidRDefault="003D504D" w:rsidP="005077A7">
      <w:pPr>
        <w:pStyle w:val="a"/>
        <w:rPr>
          <w:rFonts w:eastAsiaTheme="minorEastAsia" w:cstheme="minorBidi"/>
          <w:sz w:val="22"/>
          <w:szCs w:val="22"/>
          <w:rtl/>
        </w:rPr>
      </w:pPr>
      <w:r>
        <w:rPr>
          <w:rtl/>
        </w:rPr>
        <w:t>דברי המ"מ והלח"מ דלא מוכרח לומר כרב הושעיא דכל המתיר בשחיטה מתיר בחלב</w:t>
      </w:r>
    </w:p>
    <w:p w14:paraId="08B06011" w14:textId="77777777" w:rsidR="003D504D" w:rsidRDefault="003D504D" w:rsidP="005077A7">
      <w:pPr>
        <w:pStyle w:val="a"/>
        <w:rPr>
          <w:rFonts w:eastAsiaTheme="minorEastAsia" w:cstheme="minorBidi"/>
          <w:sz w:val="22"/>
          <w:szCs w:val="22"/>
          <w:rtl/>
        </w:rPr>
      </w:pPr>
      <w:r>
        <w:rPr>
          <w:rtl/>
        </w:rPr>
        <w:t>דברי המ"מ דאין כוונת רב הושעיא דהא בהא תליא אלא בא לומר דנחלקו בבן ט'</w:t>
      </w:r>
    </w:p>
    <w:p w14:paraId="71623155" w14:textId="77777777" w:rsidR="003D504D" w:rsidRDefault="003D504D" w:rsidP="005077A7">
      <w:pPr>
        <w:pStyle w:val="a"/>
        <w:rPr>
          <w:rFonts w:eastAsiaTheme="minorEastAsia" w:cstheme="minorBidi"/>
          <w:sz w:val="22"/>
          <w:szCs w:val="22"/>
          <w:rtl/>
        </w:rPr>
      </w:pPr>
      <w:r>
        <w:rPr>
          <w:rtl/>
        </w:rPr>
        <w:t>דברי התורת יקותיאל דברמב"ם בפיהמ"ש משמע כהמ"מ דפסק כסתם מתני' ולא כביאור הרשב"א</w:t>
      </w:r>
    </w:p>
    <w:p w14:paraId="5F0B7CD1" w14:textId="77777777" w:rsidR="003D504D" w:rsidRDefault="003D504D" w:rsidP="005077A7">
      <w:pPr>
        <w:pStyle w:val="a"/>
        <w:rPr>
          <w:rFonts w:eastAsiaTheme="minorEastAsia" w:cstheme="minorBidi"/>
          <w:sz w:val="22"/>
          <w:szCs w:val="22"/>
          <w:rtl/>
        </w:rPr>
      </w:pPr>
      <w:r>
        <w:rPr>
          <w:rtl/>
        </w:rPr>
        <w:t>דברי התורת יקותיאל דמדכתב הרמב"ם דין בפנ"ע בתלש חלב מבואר כהמ"מ ודלא כרשב"א</w:t>
      </w:r>
    </w:p>
    <w:p w14:paraId="56C05057" w14:textId="77777777" w:rsidR="003D504D" w:rsidRDefault="003D504D" w:rsidP="005077A7">
      <w:pPr>
        <w:pStyle w:val="a"/>
        <w:rPr>
          <w:rFonts w:eastAsiaTheme="minorEastAsia" w:cstheme="minorBidi"/>
          <w:sz w:val="22"/>
          <w:szCs w:val="22"/>
          <w:rtl/>
        </w:rPr>
      </w:pPr>
      <w:r>
        <w:rPr>
          <w:rtl/>
        </w:rPr>
        <w:t>הביאור הב' במ"מ דלרב הושעיא אף ר"מ הלך לשיטתו אך הרמב"ם פסק כסתמא דמתני'</w:t>
      </w:r>
    </w:p>
    <w:p w14:paraId="2AD70175" w14:textId="77777777" w:rsidR="003D504D" w:rsidRDefault="003D504D" w:rsidP="005077A7">
      <w:pPr>
        <w:pStyle w:val="a"/>
        <w:rPr>
          <w:rFonts w:eastAsiaTheme="minorEastAsia" w:cstheme="minorBidi"/>
          <w:sz w:val="22"/>
          <w:szCs w:val="22"/>
          <w:rtl/>
        </w:rPr>
      </w:pPr>
      <w:r>
        <w:rPr>
          <w:rtl/>
        </w:rPr>
        <w:t>דברי המ"מ דמדברי ריו"ח דחדשים גרמי מבואר דס"ל כר"מ בחלב וכדפסק הרמב"ם</w:t>
      </w:r>
    </w:p>
    <w:p w14:paraId="155FB5E8" w14:textId="77777777" w:rsidR="003D504D" w:rsidRDefault="003D504D" w:rsidP="005077A7">
      <w:pPr>
        <w:pStyle w:val="a"/>
        <w:rPr>
          <w:rFonts w:eastAsiaTheme="minorEastAsia" w:cstheme="minorBidi"/>
          <w:sz w:val="22"/>
          <w:szCs w:val="22"/>
        </w:rPr>
      </w:pPr>
      <w:r>
        <w:rPr>
          <w:rtl/>
        </w:rPr>
        <w:t>דברי המ"מ דלדעת כל הראשונים החלב של בן ט' מת מותר דאין חדשים גורמים בלא חיות</w:t>
      </w:r>
    </w:p>
    <w:p w14:paraId="13D234F0" w14:textId="77777777" w:rsidR="008F4B19" w:rsidRDefault="008F4B19" w:rsidP="005077A7">
      <w:pPr>
        <w:pStyle w:val="a"/>
        <w:numPr>
          <w:ilvl w:val="0"/>
          <w:numId w:val="0"/>
        </w:numPr>
        <w:ind w:left="567"/>
        <w:rPr>
          <w:rtl/>
        </w:rPr>
      </w:pPr>
    </w:p>
    <w:p w14:paraId="0245A2C0" w14:textId="77777777" w:rsidR="003D504D" w:rsidRDefault="003D504D" w:rsidP="003D504D">
      <w:pPr>
        <w:pStyle w:val="aff4"/>
        <w:rPr>
          <w:rFonts w:eastAsiaTheme="minorEastAsia" w:cstheme="minorBidi"/>
          <w:i/>
          <w:iCs/>
          <w:noProof/>
          <w:sz w:val="22"/>
          <w:szCs w:val="22"/>
          <w:rtl/>
        </w:rPr>
      </w:pPr>
      <w:bookmarkStart w:id="23490" w:name="_Toc19436329"/>
      <w:bookmarkStart w:id="23491" w:name="_Toc20081468"/>
      <w:r>
        <w:rPr>
          <w:noProof/>
          <w:rtl/>
        </w:rPr>
        <w:t>תירוצי הש"ך על קושיות הראשונים</w:t>
      </w:r>
      <w:bookmarkEnd w:id="23490"/>
      <w:bookmarkEnd w:id="23491"/>
    </w:p>
    <w:p w14:paraId="44813EC5" w14:textId="77777777" w:rsidR="003D504D" w:rsidRDefault="003D504D" w:rsidP="005077A7">
      <w:pPr>
        <w:pStyle w:val="a"/>
        <w:rPr>
          <w:rFonts w:eastAsiaTheme="minorEastAsia" w:cstheme="minorBidi"/>
          <w:sz w:val="22"/>
          <w:szCs w:val="22"/>
          <w:rtl/>
        </w:rPr>
      </w:pPr>
      <w:r>
        <w:rPr>
          <w:rtl/>
        </w:rPr>
        <w:t>תירוץ הש"ך על קושית הרא"ש דריו"ח ור"ל נחלקו גם בדעת ר"מ וא"א לומר רק דפסקו הלכה</w:t>
      </w:r>
    </w:p>
    <w:p w14:paraId="2D51ED0D" w14:textId="77777777" w:rsidR="003D504D" w:rsidRDefault="003D504D" w:rsidP="005077A7">
      <w:pPr>
        <w:pStyle w:val="a"/>
        <w:rPr>
          <w:rFonts w:eastAsiaTheme="minorEastAsia" w:cstheme="minorBidi"/>
          <w:sz w:val="22"/>
          <w:szCs w:val="22"/>
          <w:rtl/>
        </w:rPr>
      </w:pPr>
      <w:r>
        <w:rPr>
          <w:rtl/>
        </w:rPr>
        <w:t>דברי הש"ך דקיי"ל כהרמב"ם וכסתם מתני' ואפש"ל דאף לרב הושעיא לא תליא הא בהא</w:t>
      </w:r>
    </w:p>
    <w:p w14:paraId="3AFFE244" w14:textId="77777777" w:rsidR="003D504D" w:rsidRDefault="003D504D" w:rsidP="005077A7">
      <w:pPr>
        <w:pStyle w:val="a"/>
        <w:rPr>
          <w:rFonts w:eastAsiaTheme="minorEastAsia" w:cstheme="minorBidi"/>
          <w:sz w:val="22"/>
          <w:szCs w:val="22"/>
          <w:rtl/>
        </w:rPr>
      </w:pPr>
      <w:r>
        <w:rPr>
          <w:rtl/>
        </w:rPr>
        <w:t>קושית הפר"ח דבגמ' לעיל מוכח דא"א לומר דרבי ס"ל כר"י בשחיטה וכר"מ בחלב</w:t>
      </w:r>
    </w:p>
    <w:p w14:paraId="05981CAE" w14:textId="77777777" w:rsidR="003D504D" w:rsidRDefault="003D504D" w:rsidP="005077A7">
      <w:pPr>
        <w:pStyle w:val="a"/>
        <w:rPr>
          <w:rFonts w:eastAsiaTheme="minorEastAsia" w:cstheme="minorBidi"/>
          <w:sz w:val="22"/>
          <w:szCs w:val="22"/>
          <w:rtl/>
        </w:rPr>
      </w:pPr>
      <w:r>
        <w:rPr>
          <w:rtl/>
        </w:rPr>
        <w:t>תירוץ הבכור שור דהגמ' לעיל היא לר"י דס"ל דרבי סתם רק בגיד כר"מ והרמב"ם פסק בחלב כריו"ח</w:t>
      </w:r>
    </w:p>
    <w:p w14:paraId="3790E7BF" w14:textId="77777777" w:rsidR="003D504D" w:rsidRDefault="003D504D" w:rsidP="003D504D">
      <w:pPr>
        <w:pStyle w:val="2"/>
        <w:rPr>
          <w:rFonts w:eastAsiaTheme="minorEastAsia" w:cstheme="minorBidi"/>
          <w:i/>
          <w:iCs/>
          <w:noProof/>
          <w:sz w:val="22"/>
          <w:szCs w:val="22"/>
          <w:rtl/>
        </w:rPr>
      </w:pPr>
      <w:bookmarkStart w:id="23492" w:name="_Toc19436330"/>
      <w:r>
        <w:rPr>
          <w:noProof/>
          <w:rtl/>
        </w:rPr>
        <w:t>הביאור דשחיטה אינה מתירה חלב לרמב"ם</w:t>
      </w:r>
      <w:bookmarkEnd w:id="23492"/>
    </w:p>
    <w:p w14:paraId="4D176E7E" w14:textId="77777777" w:rsidR="003D504D" w:rsidRDefault="003D504D" w:rsidP="003D504D">
      <w:pPr>
        <w:pStyle w:val="aff4"/>
        <w:rPr>
          <w:rFonts w:eastAsiaTheme="minorEastAsia" w:cstheme="minorBidi"/>
          <w:i/>
          <w:iCs/>
          <w:noProof/>
          <w:sz w:val="22"/>
          <w:szCs w:val="22"/>
          <w:rtl/>
        </w:rPr>
      </w:pPr>
      <w:bookmarkStart w:id="23493" w:name="_Toc19436331"/>
      <w:bookmarkStart w:id="23494" w:name="_Toc20081469"/>
      <w:r>
        <w:rPr>
          <w:noProof/>
          <w:rtl/>
        </w:rPr>
        <w:t>ביאור האיסור והיתר והנצי"ב ברמב"ם דההיתר הוא רק בשחיטה</w:t>
      </w:r>
      <w:bookmarkEnd w:id="23493"/>
      <w:bookmarkEnd w:id="23494"/>
    </w:p>
    <w:p w14:paraId="16F6A507" w14:textId="77777777" w:rsidR="003D504D" w:rsidRDefault="003D504D" w:rsidP="005077A7">
      <w:pPr>
        <w:pStyle w:val="a"/>
        <w:rPr>
          <w:rFonts w:eastAsiaTheme="minorEastAsia" w:cstheme="minorBidi"/>
          <w:sz w:val="22"/>
          <w:szCs w:val="22"/>
          <w:rtl/>
        </w:rPr>
      </w:pPr>
      <w:r>
        <w:rPr>
          <w:rtl/>
        </w:rPr>
        <w:t>ביאור האיסור והיתר דלהרמב"ם שחיטה האם מתירה בעובר כמו שמתירה בעצמה ולא את החלב</w:t>
      </w:r>
    </w:p>
    <w:p w14:paraId="0F25BB70" w14:textId="77777777" w:rsidR="003D504D" w:rsidRDefault="003D504D" w:rsidP="005077A7">
      <w:pPr>
        <w:pStyle w:val="a"/>
        <w:rPr>
          <w:rFonts w:eastAsiaTheme="minorEastAsia" w:cstheme="minorBidi"/>
          <w:sz w:val="22"/>
          <w:szCs w:val="22"/>
          <w:rtl/>
        </w:rPr>
      </w:pPr>
      <w:r>
        <w:rPr>
          <w:rtl/>
        </w:rPr>
        <w:t>דברי האיסור והיתר דבגיד פסק הרמב"ם כגמ' לקמן ובחלב פסק כריו"ח דאוסר בבן ט'</w:t>
      </w:r>
    </w:p>
    <w:p w14:paraId="35946C83" w14:textId="77777777" w:rsidR="003D504D" w:rsidRDefault="003D504D" w:rsidP="005077A7">
      <w:pPr>
        <w:pStyle w:val="a"/>
        <w:rPr>
          <w:rFonts w:eastAsiaTheme="minorEastAsia" w:cstheme="minorBidi"/>
          <w:sz w:val="22"/>
          <w:szCs w:val="22"/>
          <w:rtl/>
        </w:rPr>
      </w:pPr>
      <w:r>
        <w:rPr>
          <w:rtl/>
        </w:rPr>
        <w:t>ביאור הנצי"ב דלהרמב"ם שחיטת האם מתירה רק איסור אינו זבוח ומוכח דרב הושעיא ס"ל כר"ל</w:t>
      </w:r>
    </w:p>
    <w:p w14:paraId="1A13B99B" w14:textId="77777777" w:rsidR="003D504D" w:rsidRDefault="003D504D" w:rsidP="003D504D">
      <w:pPr>
        <w:pStyle w:val="aff4"/>
        <w:rPr>
          <w:rFonts w:eastAsiaTheme="minorEastAsia" w:cstheme="minorBidi"/>
          <w:i/>
          <w:iCs/>
          <w:noProof/>
          <w:sz w:val="22"/>
          <w:szCs w:val="22"/>
          <w:rtl/>
        </w:rPr>
      </w:pPr>
      <w:bookmarkStart w:id="23495" w:name="_Toc19436332"/>
      <w:bookmarkStart w:id="23496" w:name="_Toc20081470"/>
      <w:r>
        <w:rPr>
          <w:noProof/>
          <w:rtl/>
        </w:rPr>
        <w:t>ביאור הצפנת פענח ברמב"ם דבבן ח' יש היתר ובן ט' כשחוט</w:t>
      </w:r>
      <w:bookmarkEnd w:id="23495"/>
      <w:bookmarkEnd w:id="23496"/>
    </w:p>
    <w:p w14:paraId="01C424E3" w14:textId="77777777" w:rsidR="003D504D" w:rsidRDefault="003D504D" w:rsidP="005077A7">
      <w:pPr>
        <w:pStyle w:val="a"/>
        <w:rPr>
          <w:rFonts w:eastAsiaTheme="minorEastAsia" w:cstheme="minorBidi"/>
          <w:sz w:val="22"/>
          <w:szCs w:val="22"/>
          <w:rtl/>
        </w:rPr>
      </w:pPr>
      <w:r>
        <w:rPr>
          <w:rtl/>
        </w:rPr>
        <w:t>ביאור הצפנת פענח דבבן ח' יש בו היתר דכל בבהמה ואינו מדין שחיטה ולכן חלבו מותר</w:t>
      </w:r>
    </w:p>
    <w:p w14:paraId="5CC7C712" w14:textId="77777777" w:rsidR="003D504D" w:rsidRDefault="003D504D" w:rsidP="005077A7">
      <w:pPr>
        <w:pStyle w:val="a"/>
        <w:rPr>
          <w:rFonts w:eastAsiaTheme="minorEastAsia" w:cstheme="minorBidi"/>
          <w:sz w:val="22"/>
          <w:szCs w:val="22"/>
          <w:rtl/>
        </w:rPr>
      </w:pPr>
      <w:r>
        <w:rPr>
          <w:rtl/>
        </w:rPr>
        <w:t>ביאור הצפנת פענח דבן ט' חשיב כשחוט ואין בו "היתר" כל בבהמה ולכן חלבו אסור</w:t>
      </w:r>
    </w:p>
    <w:p w14:paraId="772CD6A1" w14:textId="77777777" w:rsidR="003D504D" w:rsidRDefault="003D504D" w:rsidP="003D504D">
      <w:pPr>
        <w:pStyle w:val="aff4"/>
        <w:rPr>
          <w:rFonts w:eastAsiaTheme="minorEastAsia" w:cstheme="minorBidi"/>
          <w:i/>
          <w:iCs/>
          <w:noProof/>
          <w:sz w:val="22"/>
          <w:szCs w:val="22"/>
          <w:rtl/>
        </w:rPr>
      </w:pPr>
      <w:bookmarkStart w:id="23497" w:name="_Toc19436333"/>
      <w:bookmarkStart w:id="23498" w:name="_Toc20081471"/>
      <w:r>
        <w:rPr>
          <w:noProof/>
          <w:rtl/>
        </w:rPr>
        <w:t>ביאור הרדב"ז דהרמב"ם פסק כריו"ח דפליג על רב הושעיא</w:t>
      </w:r>
      <w:bookmarkEnd w:id="23497"/>
      <w:bookmarkEnd w:id="23498"/>
    </w:p>
    <w:p w14:paraId="0E32CE36" w14:textId="77777777" w:rsidR="003D504D" w:rsidRDefault="003D504D" w:rsidP="005077A7">
      <w:pPr>
        <w:pStyle w:val="a"/>
        <w:rPr>
          <w:rFonts w:eastAsiaTheme="minorEastAsia" w:cstheme="minorBidi"/>
          <w:sz w:val="22"/>
          <w:szCs w:val="22"/>
          <w:rtl/>
        </w:rPr>
      </w:pPr>
      <w:r>
        <w:rPr>
          <w:rtl/>
        </w:rPr>
        <w:t>ביאור הרדב"ז דקיי"ל כריו"ח דס"ל כר"י בשחיטה ובחלב כר"מ דהשחיטה אינה מתרת חלב</w:t>
      </w:r>
    </w:p>
    <w:p w14:paraId="4E1D9A80" w14:textId="77777777" w:rsidR="003D504D" w:rsidRDefault="003D504D" w:rsidP="005077A7">
      <w:pPr>
        <w:pStyle w:val="a"/>
        <w:rPr>
          <w:rFonts w:eastAsiaTheme="minorEastAsia" w:cstheme="minorBidi"/>
          <w:sz w:val="22"/>
          <w:szCs w:val="22"/>
          <w:rtl/>
        </w:rPr>
      </w:pPr>
      <w:r>
        <w:rPr>
          <w:rtl/>
        </w:rPr>
        <w:t>דברי הרדב"ז דלא פסק הרמב"ם כרב הושעיא אלא בכל דבר פסק כטעם המסתבר</w:t>
      </w:r>
    </w:p>
    <w:p w14:paraId="60BCF2C5" w14:textId="77777777" w:rsidR="003D504D" w:rsidRDefault="003D504D" w:rsidP="005077A7">
      <w:pPr>
        <w:pStyle w:val="a"/>
        <w:rPr>
          <w:rFonts w:eastAsiaTheme="minorEastAsia" w:cstheme="minorBidi"/>
          <w:sz w:val="22"/>
          <w:szCs w:val="22"/>
          <w:rtl/>
        </w:rPr>
      </w:pPr>
      <w:r>
        <w:rPr>
          <w:rtl/>
        </w:rPr>
        <w:t>תירוץ הרדב"ז על קושית הרא"ש דא"א לומר בריו"ח ור"ל לימא כתנאי דאפשר לדחוק כביאור רש"י</w:t>
      </w:r>
    </w:p>
    <w:p w14:paraId="4BBA5A57" w14:textId="77777777" w:rsidR="003D504D" w:rsidRDefault="003D504D" w:rsidP="005077A7">
      <w:pPr>
        <w:pStyle w:val="a"/>
        <w:rPr>
          <w:rFonts w:eastAsiaTheme="minorEastAsia" w:cstheme="minorBidi"/>
          <w:sz w:val="22"/>
          <w:szCs w:val="22"/>
          <w:rtl/>
        </w:rPr>
      </w:pPr>
      <w:r>
        <w:rPr>
          <w:rtl/>
        </w:rPr>
        <w:t>ביאור הרדב"ז דריו"ח ור"ל חידשו דר"ל מתיר אף בתלש וריו"ח אוסר אף בחלב שנמצא בפנים</w:t>
      </w:r>
    </w:p>
    <w:p w14:paraId="47288F3A" w14:textId="77777777" w:rsidR="003D504D" w:rsidRDefault="003D504D" w:rsidP="003D504D">
      <w:pPr>
        <w:pStyle w:val="aff4"/>
        <w:rPr>
          <w:rFonts w:eastAsiaTheme="minorEastAsia" w:cstheme="minorBidi"/>
          <w:i/>
          <w:iCs/>
          <w:noProof/>
          <w:sz w:val="22"/>
          <w:szCs w:val="22"/>
          <w:rtl/>
        </w:rPr>
      </w:pPr>
      <w:bookmarkStart w:id="23499" w:name="_Toc19436334"/>
      <w:bookmarkStart w:id="23500" w:name="_Toc20081472"/>
      <w:r>
        <w:rPr>
          <w:noProof/>
          <w:rtl/>
        </w:rPr>
        <w:t>ביאור החת"ס דלרבי ההיתר לא מהני לחלב ודלא כר"מ ור"י</w:t>
      </w:r>
      <w:bookmarkEnd w:id="23499"/>
      <w:bookmarkEnd w:id="23500"/>
    </w:p>
    <w:p w14:paraId="7A0B72D1" w14:textId="77777777" w:rsidR="003D504D" w:rsidRDefault="003D504D" w:rsidP="005077A7">
      <w:pPr>
        <w:pStyle w:val="a"/>
        <w:rPr>
          <w:rFonts w:eastAsiaTheme="minorEastAsia" w:cstheme="minorBidi"/>
          <w:sz w:val="22"/>
          <w:szCs w:val="22"/>
          <w:rtl/>
        </w:rPr>
      </w:pPr>
      <w:r>
        <w:rPr>
          <w:rtl/>
        </w:rPr>
        <w:t>ביאור החת"ס דלר"מ ור"י ההיתר דחשיב כבשר והחלב בכלל ולרבי הוא בהמה בפנ"ע והחלב אסור</w:t>
      </w:r>
    </w:p>
    <w:p w14:paraId="2440B875" w14:textId="77777777" w:rsidR="003D504D" w:rsidRDefault="003D504D" w:rsidP="003D504D">
      <w:pPr>
        <w:pStyle w:val="2"/>
        <w:rPr>
          <w:rFonts w:eastAsiaTheme="minorEastAsia" w:cstheme="minorBidi"/>
          <w:i/>
          <w:iCs/>
          <w:noProof/>
          <w:sz w:val="22"/>
          <w:szCs w:val="22"/>
          <w:rtl/>
        </w:rPr>
      </w:pPr>
      <w:bookmarkStart w:id="23501" w:name="_Toc19436335"/>
      <w:r>
        <w:rPr>
          <w:noProof/>
          <w:rtl/>
        </w:rPr>
        <w:t>ביאור הראש יוסף ברמב"ם</w:t>
      </w:r>
      <w:bookmarkEnd w:id="23501"/>
    </w:p>
    <w:p w14:paraId="61F13625" w14:textId="77777777" w:rsidR="003D504D" w:rsidRDefault="003D504D" w:rsidP="003D504D">
      <w:pPr>
        <w:pStyle w:val="aff4"/>
        <w:rPr>
          <w:rFonts w:eastAsiaTheme="minorEastAsia" w:cstheme="minorBidi"/>
          <w:i/>
          <w:iCs/>
          <w:noProof/>
          <w:sz w:val="22"/>
          <w:szCs w:val="22"/>
          <w:rtl/>
        </w:rPr>
      </w:pPr>
      <w:bookmarkStart w:id="23502" w:name="_Toc19436336"/>
      <w:bookmarkStart w:id="23503" w:name="_Toc20081473"/>
      <w:r>
        <w:rPr>
          <w:noProof/>
          <w:rtl/>
        </w:rPr>
        <w:t>ביאור הראש יוסף דלהרמב"ם נחלקו ריו"ח ור"ל אי הוי בהמה</w:t>
      </w:r>
      <w:bookmarkEnd w:id="23502"/>
      <w:bookmarkEnd w:id="23503"/>
    </w:p>
    <w:p w14:paraId="7DB71AE1" w14:textId="77777777" w:rsidR="003D504D" w:rsidRDefault="003D504D" w:rsidP="005077A7">
      <w:pPr>
        <w:pStyle w:val="a"/>
        <w:rPr>
          <w:rFonts w:eastAsiaTheme="minorEastAsia" w:cstheme="minorBidi"/>
          <w:sz w:val="22"/>
          <w:szCs w:val="22"/>
          <w:rtl/>
        </w:rPr>
      </w:pPr>
      <w:r>
        <w:rPr>
          <w:rtl/>
        </w:rPr>
        <w:t>ביאור הראש יוסף ברמב"ם דריו"ח ור"ל כר"י ואף לריו"ח דחדשים גרמי והוי בהמה מהני שחיטת אמו</w:t>
      </w:r>
    </w:p>
    <w:p w14:paraId="748F2A16" w14:textId="77777777" w:rsidR="003D504D" w:rsidRDefault="003D504D" w:rsidP="005077A7">
      <w:pPr>
        <w:pStyle w:val="a"/>
        <w:rPr>
          <w:rFonts w:eastAsiaTheme="minorEastAsia" w:cstheme="minorBidi"/>
          <w:sz w:val="22"/>
          <w:szCs w:val="22"/>
          <w:rtl/>
        </w:rPr>
      </w:pPr>
      <w:r>
        <w:rPr>
          <w:rtl/>
        </w:rPr>
        <w:t>ביאור הראש יוסף דלריו"ח דחדשים גרמי בין בנתלש ובין בנשחטה אסור דשחיטה אינה מתירה חלב</w:t>
      </w:r>
    </w:p>
    <w:p w14:paraId="334E940A" w14:textId="77777777" w:rsidR="003D504D" w:rsidRDefault="003D504D" w:rsidP="005077A7">
      <w:pPr>
        <w:pStyle w:val="a"/>
        <w:rPr>
          <w:rFonts w:eastAsiaTheme="minorEastAsia" w:cstheme="minorBidi"/>
          <w:sz w:val="22"/>
          <w:szCs w:val="22"/>
          <w:rtl/>
        </w:rPr>
      </w:pPr>
      <w:r>
        <w:rPr>
          <w:rtl/>
        </w:rPr>
        <w:t>ביאור הראש יוסף דלר"ל בלא לידה החלב כבשר ואחר שהותר לא מסתבר לאוסרו כשיצא לאויר</w:t>
      </w:r>
    </w:p>
    <w:p w14:paraId="68921BD2" w14:textId="77777777" w:rsidR="003D504D" w:rsidRDefault="003D504D" w:rsidP="003D504D">
      <w:pPr>
        <w:pStyle w:val="aff4"/>
        <w:rPr>
          <w:rFonts w:eastAsiaTheme="minorEastAsia" w:cstheme="minorBidi"/>
          <w:i/>
          <w:iCs/>
          <w:noProof/>
          <w:sz w:val="22"/>
          <w:szCs w:val="22"/>
          <w:rtl/>
        </w:rPr>
      </w:pPr>
      <w:bookmarkStart w:id="23504" w:name="_Toc19436337"/>
      <w:bookmarkStart w:id="23505" w:name="_Toc20081474"/>
      <w:r>
        <w:rPr>
          <w:noProof/>
          <w:rtl/>
        </w:rPr>
        <w:t>ביאור הראש יוסף בפלוגתת ריו"ח ור"ל בגדר היתר חלב לר"י</w:t>
      </w:r>
      <w:bookmarkEnd w:id="23504"/>
      <w:bookmarkEnd w:id="23505"/>
    </w:p>
    <w:p w14:paraId="48423F79" w14:textId="77777777" w:rsidR="003D504D" w:rsidRDefault="003D504D" w:rsidP="005077A7">
      <w:pPr>
        <w:pStyle w:val="a"/>
        <w:rPr>
          <w:rFonts w:eastAsiaTheme="minorEastAsia" w:cstheme="minorBidi"/>
          <w:sz w:val="22"/>
          <w:szCs w:val="22"/>
          <w:rtl/>
        </w:rPr>
      </w:pPr>
      <w:r>
        <w:rPr>
          <w:rtl/>
        </w:rPr>
        <w:t>דברי הראש יוסף דלרבי אין כח בשחיטה להתיר בעובר יותר מבאם ולריו"ח אין חילוק בין חלב לגיד</w:t>
      </w:r>
    </w:p>
    <w:p w14:paraId="3089EC49" w14:textId="77777777" w:rsidR="003D504D" w:rsidRDefault="003D504D" w:rsidP="005077A7">
      <w:pPr>
        <w:pStyle w:val="a"/>
        <w:rPr>
          <w:rFonts w:eastAsiaTheme="minorEastAsia" w:cstheme="minorBidi"/>
          <w:sz w:val="22"/>
          <w:szCs w:val="22"/>
          <w:rtl/>
        </w:rPr>
      </w:pPr>
      <w:r>
        <w:rPr>
          <w:rtl/>
        </w:rPr>
        <w:t>ביאור הראש יוסף דלריו"ח מהני השחיטה להתיר חלב אף שאסור באיסור חלב מדין כל בבהמה</w:t>
      </w:r>
    </w:p>
    <w:p w14:paraId="363A7281" w14:textId="77777777" w:rsidR="003D504D" w:rsidRDefault="003D504D" w:rsidP="005077A7">
      <w:pPr>
        <w:pStyle w:val="a"/>
        <w:rPr>
          <w:rFonts w:eastAsiaTheme="minorEastAsia" w:cstheme="minorBidi"/>
          <w:sz w:val="22"/>
          <w:szCs w:val="22"/>
          <w:rtl/>
        </w:rPr>
      </w:pPr>
      <w:r>
        <w:rPr>
          <w:rtl/>
        </w:rPr>
        <w:t>ביאור הראש יוסף בר"ל דהחלב מותר כבשר והגיד מותר מגזיה"כ מדין כל בבהמה</w:t>
      </w:r>
    </w:p>
    <w:p w14:paraId="7B478B5D" w14:textId="77777777" w:rsidR="003D504D" w:rsidRDefault="003D504D" w:rsidP="005077A7">
      <w:pPr>
        <w:pStyle w:val="a"/>
        <w:rPr>
          <w:rFonts w:eastAsiaTheme="minorEastAsia" w:cstheme="minorBidi"/>
          <w:sz w:val="22"/>
          <w:szCs w:val="22"/>
          <w:rtl/>
        </w:rPr>
      </w:pPr>
      <w:r>
        <w:rPr>
          <w:rtl/>
        </w:rPr>
        <w:t>דברי הראש יוסף דלר"ל רבי סתם רק בגיד כר"מ אבל בחלב מתיר רבי דחשיב כבשר ודלא כר"י</w:t>
      </w:r>
    </w:p>
    <w:p w14:paraId="02BA5A16" w14:textId="77777777" w:rsidR="003D504D" w:rsidRDefault="003D504D" w:rsidP="003D504D">
      <w:pPr>
        <w:pStyle w:val="aff4"/>
        <w:rPr>
          <w:rFonts w:eastAsiaTheme="minorEastAsia" w:cstheme="minorBidi"/>
          <w:i/>
          <w:iCs/>
          <w:noProof/>
          <w:sz w:val="22"/>
          <w:szCs w:val="22"/>
          <w:rtl/>
        </w:rPr>
      </w:pPr>
      <w:bookmarkStart w:id="23506" w:name="_Toc19436338"/>
      <w:bookmarkStart w:id="23507" w:name="_Toc20081475"/>
      <w:r>
        <w:rPr>
          <w:noProof/>
          <w:rtl/>
        </w:rPr>
        <w:t>ביאור הראש יוסף בפלוגתת רבי ור"י בגדר היתר בן פקועה</w:t>
      </w:r>
      <w:bookmarkEnd w:id="23506"/>
      <w:bookmarkEnd w:id="23507"/>
    </w:p>
    <w:p w14:paraId="421EB5AA" w14:textId="77777777" w:rsidR="003D504D" w:rsidRDefault="003D504D" w:rsidP="005077A7">
      <w:pPr>
        <w:pStyle w:val="a"/>
        <w:rPr>
          <w:rFonts w:eastAsiaTheme="minorEastAsia" w:cstheme="minorBidi"/>
          <w:sz w:val="22"/>
          <w:szCs w:val="22"/>
          <w:rtl/>
        </w:rPr>
      </w:pPr>
      <w:r>
        <w:rPr>
          <w:rtl/>
        </w:rPr>
        <w:t>דברי הראש יוסף דריו"ח ור"ל נחלקו בגדר החלב אי חדשים גרמי וחשיב כחלב ובגיד לא נחלקו</w:t>
      </w:r>
    </w:p>
    <w:p w14:paraId="2F2C1307" w14:textId="77777777" w:rsidR="003D504D" w:rsidRDefault="003D504D" w:rsidP="005077A7">
      <w:pPr>
        <w:pStyle w:val="a"/>
        <w:rPr>
          <w:rFonts w:eastAsiaTheme="minorEastAsia" w:cstheme="minorBidi"/>
          <w:sz w:val="22"/>
          <w:szCs w:val="22"/>
          <w:rtl/>
        </w:rPr>
      </w:pPr>
      <w:r>
        <w:rPr>
          <w:rtl/>
        </w:rPr>
        <w:t>דברי הראש יוסף דבהיתר בן פקועה לר"י הוא מגזיה"כ ומהני להתיר איסורים ולרבי דחשיב כבשר</w:t>
      </w:r>
    </w:p>
    <w:p w14:paraId="48E2BCF9" w14:textId="77777777" w:rsidR="003D504D" w:rsidRDefault="003D504D" w:rsidP="005077A7">
      <w:pPr>
        <w:pStyle w:val="a"/>
        <w:rPr>
          <w:rFonts w:eastAsiaTheme="minorEastAsia" w:cstheme="minorBidi"/>
          <w:sz w:val="22"/>
          <w:szCs w:val="22"/>
          <w:rtl/>
        </w:rPr>
      </w:pPr>
      <w:r>
        <w:rPr>
          <w:rtl/>
        </w:rPr>
        <w:t>דברי הראש יוסף דבגדר חלב פסק הרמב"ם כריו"ח ובגדר ההיתר פסק כרבי ולכן החלב אסור</w:t>
      </w:r>
    </w:p>
    <w:p w14:paraId="3D787699" w14:textId="77777777" w:rsidR="003D504D" w:rsidRDefault="003D504D" w:rsidP="003D504D">
      <w:pPr>
        <w:pStyle w:val="aff4"/>
        <w:rPr>
          <w:rFonts w:eastAsiaTheme="minorEastAsia" w:cstheme="minorBidi"/>
          <w:i/>
          <w:iCs/>
          <w:noProof/>
          <w:sz w:val="22"/>
          <w:szCs w:val="22"/>
          <w:rtl/>
        </w:rPr>
      </w:pPr>
      <w:bookmarkStart w:id="23508" w:name="_Toc19436339"/>
      <w:bookmarkStart w:id="23509" w:name="_Toc20081476"/>
      <w:r>
        <w:rPr>
          <w:noProof/>
          <w:rtl/>
        </w:rPr>
        <w:t>ביאור הראש יוסף בדעת ריו"ח ור"ל בפלוגתת ר"מ ור"י</w:t>
      </w:r>
      <w:bookmarkEnd w:id="23508"/>
      <w:bookmarkEnd w:id="23509"/>
    </w:p>
    <w:p w14:paraId="516A92C3" w14:textId="77777777" w:rsidR="003D504D" w:rsidRDefault="003D504D" w:rsidP="005077A7">
      <w:pPr>
        <w:pStyle w:val="a"/>
        <w:rPr>
          <w:rFonts w:eastAsiaTheme="minorEastAsia" w:cstheme="minorBidi"/>
          <w:sz w:val="22"/>
          <w:szCs w:val="22"/>
          <w:rtl/>
        </w:rPr>
      </w:pPr>
      <w:r>
        <w:rPr>
          <w:rtl/>
        </w:rPr>
        <w:t>דברי הראש יוסף דלהרמב"ם ריו"ח ור"ל יכולים לסבור כר"י אך נחלקו בהיתר חלב לר"י</w:t>
      </w:r>
    </w:p>
    <w:p w14:paraId="008D321D" w14:textId="77777777" w:rsidR="003D504D" w:rsidRDefault="003D504D" w:rsidP="005077A7">
      <w:pPr>
        <w:pStyle w:val="a"/>
        <w:rPr>
          <w:rFonts w:eastAsiaTheme="minorEastAsia" w:cstheme="minorBidi"/>
          <w:sz w:val="22"/>
          <w:szCs w:val="22"/>
          <w:rtl/>
        </w:rPr>
      </w:pPr>
      <w:r>
        <w:rPr>
          <w:rtl/>
        </w:rPr>
        <w:t>קושית הראש יוסף על הרמב"ם דמוכח בגמ' לקמן דאף לריו"ח בעינן אויר העולם</w:t>
      </w:r>
    </w:p>
    <w:p w14:paraId="43C82BE5" w14:textId="77777777" w:rsidR="003D504D" w:rsidRDefault="003D504D" w:rsidP="005077A7">
      <w:pPr>
        <w:pStyle w:val="a"/>
        <w:rPr>
          <w:rFonts w:eastAsiaTheme="minorEastAsia" w:cstheme="minorBidi"/>
          <w:sz w:val="22"/>
          <w:szCs w:val="22"/>
          <w:rtl/>
        </w:rPr>
      </w:pPr>
      <w:r>
        <w:rPr>
          <w:rtl/>
        </w:rPr>
        <w:t>דברי הראש יוסף דריו"ח ס"ל כר"י דמתיר בשחיטה וכיון שיכול להיות מותר לא חל איסור גיד</w:t>
      </w:r>
    </w:p>
    <w:p w14:paraId="7148D438" w14:textId="77777777" w:rsidR="003D504D" w:rsidRDefault="003D504D" w:rsidP="003D504D">
      <w:pPr>
        <w:pStyle w:val="2"/>
        <w:rPr>
          <w:rFonts w:eastAsiaTheme="minorEastAsia" w:cstheme="minorBidi"/>
          <w:i/>
          <w:iCs/>
          <w:noProof/>
          <w:sz w:val="22"/>
          <w:szCs w:val="22"/>
          <w:rtl/>
        </w:rPr>
      </w:pPr>
      <w:bookmarkStart w:id="23510" w:name="_Toc19436340"/>
      <w:r>
        <w:rPr>
          <w:noProof/>
          <w:rtl/>
        </w:rPr>
        <w:t>דברי הרמב"ם ורבינו אפרים</w:t>
      </w:r>
      <w:bookmarkEnd w:id="23510"/>
    </w:p>
    <w:p w14:paraId="12026075" w14:textId="77777777" w:rsidR="003D504D" w:rsidRDefault="003D504D" w:rsidP="003D504D">
      <w:pPr>
        <w:pStyle w:val="aff4"/>
        <w:rPr>
          <w:rFonts w:eastAsiaTheme="minorEastAsia" w:cstheme="minorBidi"/>
          <w:i/>
          <w:iCs/>
          <w:noProof/>
          <w:sz w:val="22"/>
          <w:szCs w:val="22"/>
          <w:rtl/>
        </w:rPr>
      </w:pPr>
      <w:bookmarkStart w:id="23511" w:name="_Toc19436341"/>
      <w:bookmarkStart w:id="23512" w:name="_Toc20081477"/>
      <w:r>
        <w:rPr>
          <w:noProof/>
          <w:rtl/>
        </w:rPr>
        <w:t>בדברי הראב"ד דכתב דהרמב"ם כרבינו אפרים</w:t>
      </w:r>
      <w:bookmarkEnd w:id="23511"/>
      <w:bookmarkEnd w:id="23512"/>
    </w:p>
    <w:p w14:paraId="003B2294" w14:textId="77777777" w:rsidR="003D504D" w:rsidRDefault="003D504D" w:rsidP="005077A7">
      <w:pPr>
        <w:pStyle w:val="a"/>
        <w:rPr>
          <w:rFonts w:eastAsiaTheme="minorEastAsia" w:cstheme="minorBidi"/>
          <w:sz w:val="22"/>
          <w:szCs w:val="22"/>
          <w:rtl/>
        </w:rPr>
      </w:pPr>
      <w:r>
        <w:rPr>
          <w:rtl/>
        </w:rPr>
        <w:t>דברי הראב"ד והרמ"ך דהרמב"ם פסק כרבינו אפרים ודלא כהרי"ף</w:t>
      </w:r>
    </w:p>
    <w:p w14:paraId="77AA3279" w14:textId="77777777" w:rsidR="003D504D" w:rsidRDefault="003D504D" w:rsidP="005077A7">
      <w:pPr>
        <w:pStyle w:val="a"/>
        <w:rPr>
          <w:rFonts w:eastAsiaTheme="minorEastAsia" w:cstheme="minorBidi"/>
          <w:sz w:val="22"/>
          <w:szCs w:val="22"/>
          <w:rtl/>
        </w:rPr>
      </w:pPr>
      <w:r>
        <w:rPr>
          <w:rtl/>
        </w:rPr>
        <w:t>דברי המ"מ דכוונת הראב"ד להקשות אמאי להרמב"ם חלבו אסור אף דהשחיטה מהני</w:t>
      </w:r>
    </w:p>
    <w:p w14:paraId="575F3A54" w14:textId="77777777" w:rsidR="003D504D" w:rsidRDefault="003D504D" w:rsidP="005077A7">
      <w:pPr>
        <w:pStyle w:val="a"/>
        <w:rPr>
          <w:rFonts w:eastAsiaTheme="minorEastAsia" w:cstheme="minorBidi"/>
          <w:sz w:val="22"/>
          <w:szCs w:val="22"/>
          <w:rtl/>
        </w:rPr>
      </w:pPr>
      <w:r>
        <w:rPr>
          <w:rtl/>
        </w:rPr>
        <w:t>קושית הראש יוסף דרבינו אפרים פסק כר"מ אף בשחיטה והרמב"ם פסק בשחיטה כר"י</w:t>
      </w:r>
    </w:p>
    <w:p w14:paraId="7B4D7FCE" w14:textId="77777777" w:rsidR="003D504D" w:rsidRDefault="003D504D" w:rsidP="005077A7">
      <w:pPr>
        <w:pStyle w:val="a"/>
        <w:rPr>
          <w:rFonts w:eastAsiaTheme="minorEastAsia" w:cstheme="minorBidi"/>
          <w:sz w:val="22"/>
          <w:szCs w:val="22"/>
        </w:rPr>
      </w:pPr>
      <w:r>
        <w:rPr>
          <w:rtl/>
        </w:rPr>
        <w:t>דברי המאירי דהרמב"ם נמשך אחר סברת רבינו אפרים דריו"ח כר"מ ור"ל כר"י אך פסק כסתם מתני'</w:t>
      </w:r>
    </w:p>
    <w:p w14:paraId="672CF320" w14:textId="77777777" w:rsidR="00277E49" w:rsidRDefault="00277E49" w:rsidP="005077A7">
      <w:pPr>
        <w:pStyle w:val="a"/>
        <w:numPr>
          <w:ilvl w:val="0"/>
          <w:numId w:val="0"/>
        </w:numPr>
        <w:ind w:left="567"/>
        <w:rPr>
          <w:rtl/>
        </w:rPr>
      </w:pPr>
    </w:p>
    <w:p w14:paraId="4278050A" w14:textId="77777777" w:rsidR="003D504D" w:rsidRDefault="003D504D" w:rsidP="003D504D">
      <w:pPr>
        <w:pStyle w:val="2"/>
        <w:rPr>
          <w:rFonts w:eastAsiaTheme="minorEastAsia" w:cstheme="minorBidi"/>
          <w:i/>
          <w:iCs/>
          <w:noProof/>
          <w:sz w:val="22"/>
          <w:szCs w:val="22"/>
          <w:rtl/>
        </w:rPr>
      </w:pPr>
      <w:bookmarkStart w:id="23513" w:name="_Toc19436342"/>
      <w:r>
        <w:rPr>
          <w:noProof/>
          <w:rtl/>
        </w:rPr>
        <w:t>דברי הרשב</w:t>
      </w:r>
      <w:r>
        <w:rPr>
          <w:rFonts w:hint="cs"/>
          <w:noProof/>
          <w:rtl/>
        </w:rPr>
        <w:t>"</w:t>
      </w:r>
      <w:r>
        <w:rPr>
          <w:noProof/>
          <w:rtl/>
        </w:rPr>
        <w:t>א והמ"מ דהרמב"ם כהעיטור</w:t>
      </w:r>
      <w:bookmarkEnd w:id="23513"/>
    </w:p>
    <w:p w14:paraId="1166387D" w14:textId="77777777" w:rsidR="003D504D" w:rsidRDefault="003D504D" w:rsidP="003D504D">
      <w:pPr>
        <w:pStyle w:val="aff4"/>
        <w:rPr>
          <w:rFonts w:eastAsiaTheme="minorEastAsia" w:cstheme="minorBidi"/>
          <w:i/>
          <w:iCs/>
          <w:noProof/>
          <w:sz w:val="22"/>
          <w:szCs w:val="22"/>
          <w:rtl/>
        </w:rPr>
      </w:pPr>
      <w:bookmarkStart w:id="23514" w:name="_Toc19436343"/>
      <w:bookmarkStart w:id="23515" w:name="_Toc20081478"/>
      <w:r>
        <w:rPr>
          <w:noProof/>
          <w:rtl/>
        </w:rPr>
        <w:t>דעת העיטור דריו"ח ור"ל נחלקו רק בדעת ר"מ ולא לר"י</w:t>
      </w:r>
      <w:bookmarkEnd w:id="23514"/>
      <w:bookmarkEnd w:id="23515"/>
    </w:p>
    <w:p w14:paraId="1991BD73" w14:textId="77777777" w:rsidR="003D504D" w:rsidRDefault="003D504D" w:rsidP="005077A7">
      <w:pPr>
        <w:pStyle w:val="a"/>
        <w:rPr>
          <w:rFonts w:eastAsiaTheme="minorEastAsia" w:cstheme="minorBidi"/>
          <w:sz w:val="22"/>
          <w:szCs w:val="22"/>
          <w:rtl/>
        </w:rPr>
      </w:pPr>
      <w:r>
        <w:rPr>
          <w:rtl/>
        </w:rPr>
        <w:t>קושית הרשב"א על הרמב"ם והעיטור דמבואר ברב הושעיא דדין חלב תלוי בדין השחיטה</w:t>
      </w:r>
    </w:p>
    <w:p w14:paraId="071D946F" w14:textId="77777777" w:rsidR="003D504D" w:rsidRDefault="003D504D" w:rsidP="005077A7">
      <w:pPr>
        <w:pStyle w:val="a"/>
        <w:rPr>
          <w:rFonts w:eastAsiaTheme="minorEastAsia" w:cstheme="minorBidi"/>
          <w:sz w:val="22"/>
          <w:szCs w:val="22"/>
        </w:rPr>
      </w:pPr>
      <w:r>
        <w:rPr>
          <w:rtl/>
        </w:rPr>
        <w:t>דברי העיטור דבשחיטה קיי"ל כסתם מתני' כר"י ובחלב וגיד דריו"ח ור"ל דנחלקו רק בדעת ר"מ</w:t>
      </w:r>
    </w:p>
    <w:p w14:paraId="14D42DE2" w14:textId="77777777" w:rsidR="003D504D" w:rsidRDefault="003D504D" w:rsidP="003D504D">
      <w:pPr>
        <w:pStyle w:val="2"/>
        <w:rPr>
          <w:rFonts w:eastAsiaTheme="minorEastAsia" w:cstheme="minorBidi"/>
          <w:i/>
          <w:iCs/>
          <w:noProof/>
          <w:sz w:val="22"/>
          <w:szCs w:val="22"/>
          <w:rtl/>
        </w:rPr>
      </w:pPr>
      <w:bookmarkStart w:id="23516" w:name="_Toc19436344"/>
      <w:r>
        <w:rPr>
          <w:noProof/>
          <w:rtl/>
        </w:rPr>
        <w:t>בדין גיד בבן ח' לדעת הרמב"ם</w:t>
      </w:r>
      <w:bookmarkEnd w:id="23516"/>
    </w:p>
    <w:p w14:paraId="2AF0FC7D" w14:textId="77777777" w:rsidR="003D504D" w:rsidRDefault="003D504D" w:rsidP="003D504D">
      <w:pPr>
        <w:pStyle w:val="aff4"/>
        <w:rPr>
          <w:rFonts w:eastAsiaTheme="minorEastAsia" w:cstheme="minorBidi"/>
          <w:i/>
          <w:iCs/>
          <w:noProof/>
          <w:sz w:val="22"/>
          <w:szCs w:val="22"/>
          <w:rtl/>
        </w:rPr>
      </w:pPr>
      <w:bookmarkStart w:id="23517" w:name="_Toc19436345"/>
      <w:bookmarkStart w:id="23518" w:name="_Toc20081479"/>
      <w:r>
        <w:rPr>
          <w:noProof/>
          <w:rtl/>
        </w:rPr>
        <w:t>פלוגתת המ"מ והרמ"ך אי הרמב"ם אוסר בגיד בבן ח'</w:t>
      </w:r>
      <w:bookmarkEnd w:id="23517"/>
      <w:bookmarkEnd w:id="23518"/>
    </w:p>
    <w:p w14:paraId="7A130286" w14:textId="77777777" w:rsidR="003D504D" w:rsidRDefault="003D504D" w:rsidP="005077A7">
      <w:pPr>
        <w:pStyle w:val="a"/>
        <w:rPr>
          <w:rFonts w:eastAsiaTheme="minorEastAsia" w:cstheme="minorBidi"/>
          <w:sz w:val="22"/>
          <w:szCs w:val="22"/>
          <w:rtl/>
        </w:rPr>
      </w:pPr>
      <w:r>
        <w:rPr>
          <w:rtl/>
        </w:rPr>
        <w:t>ספק המנחת חינוך ברמב"ם אי הגיד אסור משכלו לו חדשיו או משעת יצירתו כהרשב"א בשם תוס'</w:t>
      </w:r>
    </w:p>
    <w:p w14:paraId="4654DAF2" w14:textId="77777777" w:rsidR="003D504D" w:rsidRDefault="003D504D" w:rsidP="005077A7">
      <w:pPr>
        <w:pStyle w:val="a"/>
        <w:rPr>
          <w:rFonts w:eastAsiaTheme="minorEastAsia" w:cstheme="minorBidi"/>
          <w:sz w:val="22"/>
          <w:szCs w:val="22"/>
          <w:rtl/>
        </w:rPr>
      </w:pPr>
      <w:r>
        <w:rPr>
          <w:rtl/>
        </w:rPr>
        <w:t>דברי הרד"ע דמבואר במ"מ דהרמב"ם אוסר בגיד רק בבן ט' אבל גיד דבן ח' מותר</w:t>
      </w:r>
    </w:p>
    <w:p w14:paraId="406050F4" w14:textId="77777777" w:rsidR="003D504D" w:rsidRDefault="003D504D" w:rsidP="005077A7">
      <w:pPr>
        <w:pStyle w:val="a"/>
        <w:rPr>
          <w:rFonts w:eastAsiaTheme="minorEastAsia" w:cstheme="minorBidi"/>
          <w:sz w:val="22"/>
          <w:szCs w:val="22"/>
          <w:rtl/>
        </w:rPr>
      </w:pPr>
      <w:r>
        <w:rPr>
          <w:rtl/>
        </w:rPr>
        <w:t>דברי הרמ"ך דלהרמב"ם בבן ח' גידו אסור וחלבו מותר ובבן ט' שניהם אסורים</w:t>
      </w:r>
    </w:p>
    <w:p w14:paraId="4A0E6EB7" w14:textId="77777777" w:rsidR="003D504D" w:rsidRDefault="003D504D" w:rsidP="005077A7">
      <w:pPr>
        <w:pStyle w:val="a"/>
        <w:rPr>
          <w:rFonts w:eastAsiaTheme="minorEastAsia" w:cstheme="minorBidi"/>
          <w:sz w:val="22"/>
          <w:szCs w:val="22"/>
          <w:rtl/>
        </w:rPr>
      </w:pPr>
      <w:r>
        <w:rPr>
          <w:rtl/>
        </w:rPr>
        <w:t>דברי היד יהודה דהרמב"ם אוסר בגיד בבן ח' דלשון "שליל" ברמב"ם הוא בן ח' וב ט' הוא "עובר"</w:t>
      </w:r>
    </w:p>
    <w:p w14:paraId="26BA46A9" w14:textId="77777777" w:rsidR="003D504D" w:rsidRDefault="003D504D" w:rsidP="005077A7">
      <w:pPr>
        <w:pStyle w:val="a"/>
        <w:rPr>
          <w:rFonts w:eastAsiaTheme="minorEastAsia" w:cstheme="minorBidi"/>
          <w:sz w:val="22"/>
          <w:szCs w:val="22"/>
          <w:rtl/>
        </w:rPr>
      </w:pPr>
      <w:r>
        <w:rPr>
          <w:rtl/>
        </w:rPr>
        <w:t>דעת הנצי"ב דלהרמב"ם איסור גיד הוא אף בבן ח' דאין בו דין שור כמו בחלב</w:t>
      </w:r>
    </w:p>
    <w:p w14:paraId="5335959D" w14:textId="77777777" w:rsidR="003D504D" w:rsidRDefault="003D504D" w:rsidP="003D504D">
      <w:pPr>
        <w:pStyle w:val="2"/>
        <w:rPr>
          <w:rFonts w:eastAsiaTheme="minorEastAsia" w:cstheme="minorBidi"/>
          <w:i/>
          <w:iCs/>
          <w:noProof/>
          <w:sz w:val="22"/>
          <w:szCs w:val="22"/>
          <w:rtl/>
        </w:rPr>
      </w:pPr>
      <w:bookmarkStart w:id="23519" w:name="_Toc19436346"/>
      <w:r>
        <w:rPr>
          <w:noProof/>
          <w:rtl/>
        </w:rPr>
        <w:t>בדין תלש חלב והניחו במעי הבהמה</w:t>
      </w:r>
      <w:bookmarkEnd w:id="23519"/>
    </w:p>
    <w:p w14:paraId="49B9882B" w14:textId="77777777" w:rsidR="003D504D" w:rsidRDefault="003D504D" w:rsidP="003D504D">
      <w:pPr>
        <w:pStyle w:val="aff4"/>
        <w:rPr>
          <w:rFonts w:eastAsiaTheme="minorEastAsia" w:cstheme="minorBidi"/>
          <w:i/>
          <w:iCs/>
          <w:noProof/>
          <w:sz w:val="22"/>
          <w:szCs w:val="22"/>
          <w:rtl/>
        </w:rPr>
      </w:pPr>
      <w:bookmarkStart w:id="23520" w:name="_Toc19436347"/>
      <w:bookmarkStart w:id="23521" w:name="_Toc20081480"/>
      <w:r>
        <w:rPr>
          <w:noProof/>
          <w:rtl/>
        </w:rPr>
        <w:t>דברי הכס"מ דבתלש חלב והניחו בבהמה אף לר"מ מותר</w:t>
      </w:r>
      <w:bookmarkEnd w:id="23520"/>
      <w:bookmarkEnd w:id="23521"/>
    </w:p>
    <w:p w14:paraId="6DA9B52E" w14:textId="77777777" w:rsidR="003D504D" w:rsidRDefault="003D504D" w:rsidP="005077A7">
      <w:pPr>
        <w:pStyle w:val="a"/>
        <w:rPr>
          <w:rFonts w:eastAsiaTheme="minorEastAsia" w:cstheme="minorBidi"/>
          <w:sz w:val="22"/>
          <w:szCs w:val="22"/>
          <w:rtl/>
        </w:rPr>
      </w:pPr>
      <w:r>
        <w:rPr>
          <w:rtl/>
        </w:rPr>
        <w:t>דברי הכס"מ דמבואר ברמב"ם דבחתך חלב מהעובר והניחו במעי אמו דמותר בשחיטתה</w:t>
      </w:r>
    </w:p>
    <w:p w14:paraId="2298A491" w14:textId="77777777" w:rsidR="003D504D" w:rsidRDefault="003D504D" w:rsidP="005077A7">
      <w:pPr>
        <w:pStyle w:val="a"/>
        <w:rPr>
          <w:rFonts w:eastAsiaTheme="minorEastAsia" w:cstheme="minorBidi"/>
          <w:sz w:val="22"/>
          <w:szCs w:val="22"/>
          <w:rtl/>
        </w:rPr>
      </w:pPr>
      <w:r>
        <w:rPr>
          <w:rtl/>
        </w:rPr>
        <w:t>ביאור הכס"מ דאף לר"מ רק החלב שבעובר אסור דהוא אבר בפנ"ע אך החלב שנחתך מותר</w:t>
      </w:r>
    </w:p>
    <w:p w14:paraId="54EE1615" w14:textId="77777777" w:rsidR="003D504D" w:rsidRDefault="003D504D" w:rsidP="005077A7">
      <w:pPr>
        <w:pStyle w:val="a"/>
        <w:rPr>
          <w:rFonts w:eastAsiaTheme="minorEastAsia" w:cstheme="minorBidi"/>
          <w:sz w:val="22"/>
          <w:szCs w:val="22"/>
          <w:rtl/>
        </w:rPr>
      </w:pPr>
      <w:r>
        <w:rPr>
          <w:rtl/>
        </w:rPr>
        <w:t>דברי הכרתי דלדעת הרמב"ם דאוסר בחלב בן ט' אף בחתך והניח במעי הבהמה אסור</w:t>
      </w:r>
    </w:p>
    <w:p w14:paraId="4CD20170" w14:textId="77777777" w:rsidR="003D504D" w:rsidRDefault="003D504D" w:rsidP="005077A7">
      <w:pPr>
        <w:pStyle w:val="a"/>
        <w:rPr>
          <w:rFonts w:eastAsiaTheme="minorEastAsia" w:cstheme="minorBidi"/>
          <w:sz w:val="22"/>
          <w:szCs w:val="22"/>
          <w:rtl/>
        </w:rPr>
      </w:pPr>
      <w:r>
        <w:rPr>
          <w:rtl/>
        </w:rPr>
        <w:t>קושית הפר"ח דלדברי הכס"מ אף להרמב"ם בעינן לריו"ח אוירא דעלמא וא"כ אמאי אסור בחלב</w:t>
      </w:r>
    </w:p>
    <w:p w14:paraId="2F8E0F6A" w14:textId="77777777" w:rsidR="003D504D" w:rsidRDefault="003D504D" w:rsidP="003D504D">
      <w:pPr>
        <w:pStyle w:val="2"/>
        <w:rPr>
          <w:rFonts w:eastAsiaTheme="minorEastAsia" w:cstheme="minorBidi"/>
          <w:i/>
          <w:iCs/>
          <w:noProof/>
          <w:sz w:val="22"/>
          <w:szCs w:val="22"/>
          <w:rtl/>
        </w:rPr>
      </w:pPr>
      <w:bookmarkStart w:id="23522" w:name="_Toc19436348"/>
      <w:r>
        <w:rPr>
          <w:noProof/>
          <w:rtl/>
        </w:rPr>
        <w:t>ביאורי ראשי הישיבות על הרמב"ם</w:t>
      </w:r>
      <w:bookmarkEnd w:id="23522"/>
    </w:p>
    <w:p w14:paraId="77F2144B" w14:textId="77777777" w:rsidR="003D504D" w:rsidRDefault="003D504D" w:rsidP="003D504D">
      <w:pPr>
        <w:pStyle w:val="2"/>
        <w:rPr>
          <w:rFonts w:eastAsiaTheme="minorEastAsia" w:cstheme="minorBidi"/>
          <w:i/>
          <w:iCs/>
          <w:noProof/>
          <w:sz w:val="22"/>
          <w:szCs w:val="22"/>
          <w:rtl/>
        </w:rPr>
      </w:pPr>
      <w:bookmarkStart w:id="23523" w:name="_Toc19436349"/>
      <w:r>
        <w:rPr>
          <w:noProof/>
          <w:rtl/>
        </w:rPr>
        <w:t>בגדר היתר שחיטה וחלב וגיד לרמב"ם</w:t>
      </w:r>
      <w:bookmarkEnd w:id="23523"/>
    </w:p>
    <w:p w14:paraId="1D0189B1" w14:textId="77777777" w:rsidR="003D504D" w:rsidRDefault="003D504D" w:rsidP="003D504D">
      <w:pPr>
        <w:pStyle w:val="aff4"/>
        <w:rPr>
          <w:rFonts w:eastAsiaTheme="minorEastAsia" w:cstheme="minorBidi"/>
          <w:i/>
          <w:iCs/>
          <w:noProof/>
          <w:sz w:val="22"/>
          <w:szCs w:val="22"/>
          <w:rtl/>
        </w:rPr>
      </w:pPr>
      <w:bookmarkStart w:id="23524" w:name="_Toc19436350"/>
      <w:bookmarkStart w:id="23525" w:name="_Toc20081481"/>
      <w:r>
        <w:rPr>
          <w:noProof/>
          <w:rtl/>
        </w:rPr>
        <w:t>חקירת האמר"מ בגדר היתר בן פקועה לדעת הרמב"ם</w:t>
      </w:r>
      <w:bookmarkEnd w:id="23524"/>
      <w:bookmarkEnd w:id="23525"/>
    </w:p>
    <w:p w14:paraId="5F0C1C4C" w14:textId="77777777" w:rsidR="003D504D" w:rsidRDefault="003D504D" w:rsidP="005077A7">
      <w:pPr>
        <w:pStyle w:val="a"/>
        <w:rPr>
          <w:rFonts w:eastAsiaTheme="minorEastAsia" w:cstheme="minorBidi"/>
          <w:sz w:val="22"/>
          <w:szCs w:val="22"/>
          <w:rtl/>
        </w:rPr>
      </w:pPr>
      <w:r>
        <w:rPr>
          <w:rtl/>
        </w:rPr>
        <w:t>קושית האמר"מ על ביאור המ"מ דאין הכרח לומר כרב הושעיה דמנליה להרמב"ם לומר כן</w:t>
      </w:r>
    </w:p>
    <w:p w14:paraId="6EA67702" w14:textId="77777777" w:rsidR="003D504D" w:rsidRDefault="003D504D" w:rsidP="005077A7">
      <w:pPr>
        <w:pStyle w:val="a"/>
        <w:rPr>
          <w:rFonts w:eastAsiaTheme="minorEastAsia" w:cstheme="minorBidi"/>
          <w:sz w:val="22"/>
          <w:szCs w:val="22"/>
          <w:rtl/>
        </w:rPr>
      </w:pPr>
      <w:r>
        <w:rPr>
          <w:rtl/>
        </w:rPr>
        <w:t>חקירת האמר"מ בגדר היתר בן פקועה אי חשיב כשחוט או שיש בו היתר אף לכל האיסורים שבו</w:t>
      </w:r>
    </w:p>
    <w:p w14:paraId="03307B0C" w14:textId="77777777" w:rsidR="003D504D" w:rsidRDefault="003D504D" w:rsidP="005077A7">
      <w:pPr>
        <w:pStyle w:val="a"/>
        <w:rPr>
          <w:rFonts w:eastAsiaTheme="minorEastAsia" w:cstheme="minorBidi"/>
          <w:sz w:val="22"/>
          <w:szCs w:val="22"/>
          <w:rtl/>
        </w:rPr>
      </w:pPr>
      <w:r>
        <w:rPr>
          <w:rtl/>
        </w:rPr>
        <w:t>דברי האמר"מ דמוכח דהעובר נשחט בשחיטת אמו וא"כ קשה על רב הושעיא שהתיר חלב</w:t>
      </w:r>
    </w:p>
    <w:p w14:paraId="75ED1D73" w14:textId="77777777" w:rsidR="003D504D" w:rsidRDefault="003D504D" w:rsidP="005077A7">
      <w:pPr>
        <w:pStyle w:val="a"/>
        <w:rPr>
          <w:rFonts w:eastAsiaTheme="minorEastAsia" w:cstheme="minorBidi"/>
          <w:sz w:val="22"/>
          <w:szCs w:val="22"/>
          <w:rtl/>
        </w:rPr>
      </w:pPr>
      <w:r>
        <w:rPr>
          <w:rtl/>
        </w:rPr>
        <w:t>הוכחת האמר"מ דלהרמב"ם מחיצת האם אינה מתירה איסורים כחלב והעובר נשחט כאברי אמו</w:t>
      </w:r>
    </w:p>
    <w:p w14:paraId="248FB76C" w14:textId="77777777" w:rsidR="003D504D" w:rsidRDefault="003D504D" w:rsidP="003D504D">
      <w:pPr>
        <w:pStyle w:val="aff4"/>
        <w:rPr>
          <w:rFonts w:eastAsiaTheme="minorEastAsia" w:cstheme="minorBidi"/>
          <w:i/>
          <w:iCs/>
          <w:noProof/>
          <w:sz w:val="22"/>
          <w:szCs w:val="22"/>
          <w:rtl/>
        </w:rPr>
      </w:pPr>
      <w:bookmarkStart w:id="23526" w:name="_Toc19436351"/>
      <w:bookmarkStart w:id="23527" w:name="_Toc20081482"/>
      <w:r>
        <w:rPr>
          <w:noProof/>
          <w:rtl/>
        </w:rPr>
        <w:t>דברי האמר"מ דלרב הושעיא גדר ההיתר דמתיר כל איסור</w:t>
      </w:r>
      <w:bookmarkEnd w:id="23526"/>
      <w:bookmarkEnd w:id="23527"/>
    </w:p>
    <w:p w14:paraId="387C7158" w14:textId="77777777" w:rsidR="003D504D" w:rsidRDefault="003D504D" w:rsidP="005077A7">
      <w:pPr>
        <w:pStyle w:val="a"/>
        <w:rPr>
          <w:rFonts w:eastAsiaTheme="minorEastAsia" w:cstheme="minorBidi"/>
          <w:sz w:val="22"/>
          <w:szCs w:val="22"/>
          <w:rtl/>
        </w:rPr>
      </w:pPr>
      <w:r>
        <w:rPr>
          <w:rtl/>
        </w:rPr>
        <w:t>דברי האמר"מ דרב הושעיא ס"ל דההיתר אינו מחמת דחשיב כשחוט דא"כ היאך החלב מותר</w:t>
      </w:r>
    </w:p>
    <w:p w14:paraId="1914FEE9" w14:textId="77777777" w:rsidR="003D504D" w:rsidRDefault="003D504D" w:rsidP="005077A7">
      <w:pPr>
        <w:pStyle w:val="a"/>
        <w:rPr>
          <w:rFonts w:eastAsiaTheme="minorEastAsia" w:cstheme="minorBidi"/>
          <w:sz w:val="22"/>
          <w:szCs w:val="22"/>
          <w:rtl/>
        </w:rPr>
      </w:pPr>
      <w:r>
        <w:rPr>
          <w:rtl/>
        </w:rPr>
        <w:t>הוכחת האמר"מ [מדין נבילה] דהרמב"ם לא פסק כסברת רב הושעיא וס"ל דחשיב כשחוט</w:t>
      </w:r>
    </w:p>
    <w:p w14:paraId="5583DE20" w14:textId="77777777" w:rsidR="003D504D" w:rsidRDefault="003D504D" w:rsidP="005077A7">
      <w:pPr>
        <w:pStyle w:val="a"/>
        <w:rPr>
          <w:rFonts w:eastAsiaTheme="minorEastAsia" w:cstheme="minorBidi"/>
          <w:sz w:val="22"/>
          <w:szCs w:val="22"/>
          <w:rtl/>
        </w:rPr>
      </w:pPr>
      <w:r>
        <w:rPr>
          <w:rtl/>
        </w:rPr>
        <w:t>דברי האמר"מ דלהרמב"ם דחשיב כשחוט א"א לומר כרב הושעיא דהשחיטה מתירה חלב</w:t>
      </w:r>
    </w:p>
    <w:p w14:paraId="3EED5548" w14:textId="77777777" w:rsidR="003D504D" w:rsidRDefault="003D504D" w:rsidP="003D504D">
      <w:pPr>
        <w:pStyle w:val="aff4"/>
        <w:rPr>
          <w:rFonts w:eastAsiaTheme="minorEastAsia" w:cstheme="minorBidi"/>
          <w:i/>
          <w:iCs/>
          <w:noProof/>
          <w:sz w:val="22"/>
          <w:szCs w:val="22"/>
          <w:rtl/>
        </w:rPr>
      </w:pPr>
      <w:bookmarkStart w:id="23528" w:name="_Toc19436352"/>
      <w:bookmarkStart w:id="23529" w:name="_Toc20081483"/>
      <w:r>
        <w:rPr>
          <w:noProof/>
          <w:rtl/>
        </w:rPr>
        <w:t>דברי האמר"מ דלהרמב"ם גדר ההיתר כשחוט וכגמ' לקמן</w:t>
      </w:r>
      <w:bookmarkEnd w:id="23528"/>
      <w:bookmarkEnd w:id="23529"/>
    </w:p>
    <w:p w14:paraId="31ED74F6" w14:textId="77777777" w:rsidR="003D504D" w:rsidRDefault="003D504D" w:rsidP="005077A7">
      <w:pPr>
        <w:pStyle w:val="a"/>
        <w:rPr>
          <w:rFonts w:eastAsiaTheme="minorEastAsia" w:cstheme="minorBidi"/>
          <w:sz w:val="22"/>
          <w:szCs w:val="22"/>
          <w:rtl/>
        </w:rPr>
      </w:pPr>
      <w:r>
        <w:rPr>
          <w:rtl/>
        </w:rPr>
        <w:t>דברי האמר"מ דמקור הרמב"ם הוא מקושית התוס' דבגמ' לקמן מוכח דלא כרב הושעיא</w:t>
      </w:r>
    </w:p>
    <w:p w14:paraId="7DACD7FB" w14:textId="77777777" w:rsidR="003D504D" w:rsidRDefault="003D504D" w:rsidP="003D504D">
      <w:pPr>
        <w:pStyle w:val="aff4"/>
        <w:rPr>
          <w:rFonts w:eastAsiaTheme="minorEastAsia" w:cstheme="minorBidi"/>
          <w:i/>
          <w:iCs/>
          <w:noProof/>
          <w:sz w:val="22"/>
          <w:szCs w:val="22"/>
          <w:rtl/>
        </w:rPr>
      </w:pPr>
      <w:bookmarkStart w:id="23530" w:name="_Toc19436353"/>
      <w:bookmarkStart w:id="23531" w:name="_Toc20081484"/>
      <w:r>
        <w:rPr>
          <w:noProof/>
          <w:rtl/>
        </w:rPr>
        <w:t>ביאור האמר"מ בפלוגתת ר"מ ור"י לרב הושעיא ולגמ' לקמן</w:t>
      </w:r>
      <w:bookmarkEnd w:id="23530"/>
      <w:bookmarkEnd w:id="23531"/>
    </w:p>
    <w:p w14:paraId="6AE6B77C" w14:textId="77777777" w:rsidR="003D504D" w:rsidRDefault="003D504D" w:rsidP="005077A7">
      <w:pPr>
        <w:pStyle w:val="a"/>
        <w:rPr>
          <w:rFonts w:eastAsiaTheme="minorEastAsia" w:cstheme="minorBidi"/>
          <w:sz w:val="22"/>
          <w:szCs w:val="22"/>
          <w:rtl/>
        </w:rPr>
      </w:pPr>
      <w:r>
        <w:rPr>
          <w:rtl/>
        </w:rPr>
        <w:t>ביאור האמר"מ דמוכח בגמ' לקמן דשחיטת האם אינה מתירה חלב וס"ל לר"י דלא חשיב חלב</w:t>
      </w:r>
    </w:p>
    <w:p w14:paraId="301A0144" w14:textId="77777777" w:rsidR="003D504D" w:rsidRDefault="003D504D" w:rsidP="005077A7">
      <w:pPr>
        <w:pStyle w:val="a"/>
        <w:rPr>
          <w:rFonts w:eastAsiaTheme="minorEastAsia" w:cstheme="minorBidi"/>
          <w:sz w:val="22"/>
          <w:szCs w:val="22"/>
          <w:rtl/>
        </w:rPr>
      </w:pPr>
      <w:r>
        <w:rPr>
          <w:rtl/>
        </w:rPr>
        <w:t>דברי האמר"מ דלרב הושעיא השחיטה מתירה איסורים וס"ל דנחלקו בבן ט' והלכו לשיטתם</w:t>
      </w:r>
    </w:p>
    <w:p w14:paraId="70AF52DC" w14:textId="77777777" w:rsidR="003D504D" w:rsidRDefault="003D504D" w:rsidP="005077A7">
      <w:pPr>
        <w:pStyle w:val="a"/>
        <w:rPr>
          <w:rFonts w:eastAsiaTheme="minorEastAsia" w:cstheme="minorBidi"/>
          <w:sz w:val="22"/>
          <w:szCs w:val="22"/>
          <w:rtl/>
        </w:rPr>
      </w:pPr>
      <w:r>
        <w:rPr>
          <w:rtl/>
        </w:rPr>
        <w:t>דברי האמר"מ דהגמ' לקמן דלא רב הושעיא וסברה דההיתר דחשיב כשחוט ואינה מתירה איסורים</w:t>
      </w:r>
    </w:p>
    <w:p w14:paraId="110AB4DD" w14:textId="77777777" w:rsidR="003D504D" w:rsidRDefault="003D504D" w:rsidP="005077A7">
      <w:pPr>
        <w:pStyle w:val="a"/>
        <w:rPr>
          <w:rFonts w:eastAsiaTheme="minorEastAsia" w:cstheme="minorBidi"/>
          <w:sz w:val="22"/>
          <w:szCs w:val="22"/>
          <w:rtl/>
        </w:rPr>
      </w:pPr>
      <w:r>
        <w:rPr>
          <w:rtl/>
        </w:rPr>
        <w:t>דברי האמר"מ דמוכח בגמ' דבחלב ר"מ כריו"ח דחדשים גרמי ור"י כר"ל ופסק הרמב"ם כריו"ח</w:t>
      </w:r>
    </w:p>
    <w:p w14:paraId="62C94E56" w14:textId="77777777" w:rsidR="003D504D" w:rsidRDefault="003D504D" w:rsidP="003D504D">
      <w:pPr>
        <w:pStyle w:val="aff4"/>
        <w:rPr>
          <w:rFonts w:eastAsiaTheme="minorEastAsia" w:cstheme="minorBidi"/>
          <w:i/>
          <w:iCs/>
          <w:noProof/>
          <w:sz w:val="22"/>
          <w:szCs w:val="22"/>
          <w:rtl/>
        </w:rPr>
      </w:pPr>
      <w:bookmarkStart w:id="23532" w:name="_Toc19436354"/>
      <w:bookmarkStart w:id="23533" w:name="_Toc20081485"/>
      <w:r>
        <w:rPr>
          <w:noProof/>
          <w:rtl/>
        </w:rPr>
        <w:t>קושיות האמר"מ על דברי הכס"מ בהניח חלב במעי הבהמה</w:t>
      </w:r>
      <w:bookmarkEnd w:id="23532"/>
      <w:bookmarkEnd w:id="23533"/>
    </w:p>
    <w:p w14:paraId="5FCF2117" w14:textId="77777777" w:rsidR="003D504D" w:rsidRDefault="003D504D" w:rsidP="005077A7">
      <w:pPr>
        <w:pStyle w:val="a"/>
        <w:rPr>
          <w:rFonts w:eastAsiaTheme="minorEastAsia" w:cstheme="minorBidi"/>
          <w:sz w:val="22"/>
          <w:szCs w:val="22"/>
          <w:rtl/>
        </w:rPr>
      </w:pPr>
      <w:r>
        <w:rPr>
          <w:rtl/>
        </w:rPr>
        <w:t>דברי האמר"מ דלביאורו ברמב"ם קשה קושית הפר"ח על הכס"מ וא"כ לתרץ כהרשב"א</w:t>
      </w:r>
    </w:p>
    <w:p w14:paraId="2835661E" w14:textId="77777777" w:rsidR="003D504D" w:rsidRDefault="003D504D" w:rsidP="005077A7">
      <w:pPr>
        <w:pStyle w:val="a"/>
        <w:rPr>
          <w:rFonts w:eastAsiaTheme="minorEastAsia" w:cstheme="minorBidi"/>
          <w:sz w:val="22"/>
          <w:szCs w:val="22"/>
          <w:rtl/>
        </w:rPr>
      </w:pPr>
      <w:r>
        <w:rPr>
          <w:rtl/>
        </w:rPr>
        <w:t>קושית האמר"מ על הכס"מ דהיאך אפש"ל דלהרמב"ם שחיטה מתירה חלב בהניחו בפנים</w:t>
      </w:r>
    </w:p>
    <w:p w14:paraId="239B62EB" w14:textId="77777777" w:rsidR="003D504D" w:rsidRDefault="003D504D" w:rsidP="005077A7">
      <w:pPr>
        <w:pStyle w:val="a"/>
        <w:rPr>
          <w:rFonts w:eastAsiaTheme="minorEastAsia" w:cstheme="minorBidi"/>
          <w:sz w:val="22"/>
          <w:szCs w:val="22"/>
          <w:rtl/>
        </w:rPr>
      </w:pPr>
      <w:r>
        <w:rPr>
          <w:rtl/>
        </w:rPr>
        <w:t>קושית האמר"מ דהיאך להרמב"ם  חלב של בן ט' מת מותר הא שחיטה אינה מתירה חלב</w:t>
      </w:r>
    </w:p>
    <w:p w14:paraId="1B2E98EE" w14:textId="77777777" w:rsidR="003D504D" w:rsidRDefault="003D504D" w:rsidP="003D504D">
      <w:pPr>
        <w:pStyle w:val="aff4"/>
        <w:rPr>
          <w:rFonts w:eastAsiaTheme="minorEastAsia" w:cstheme="minorBidi"/>
          <w:i/>
          <w:iCs/>
          <w:noProof/>
          <w:sz w:val="22"/>
          <w:szCs w:val="22"/>
          <w:rtl/>
        </w:rPr>
      </w:pPr>
      <w:bookmarkStart w:id="23534" w:name="_Toc19436355"/>
      <w:bookmarkStart w:id="23535" w:name="_Toc20081486"/>
      <w:r>
        <w:rPr>
          <w:noProof/>
          <w:rtl/>
        </w:rPr>
        <w:t>קושית האמר"מ על דברי המ"מ דחלב בן ט' מותר לכו"ע</w:t>
      </w:r>
      <w:bookmarkEnd w:id="23534"/>
      <w:bookmarkEnd w:id="23535"/>
    </w:p>
    <w:p w14:paraId="65ADA7D8" w14:textId="77777777" w:rsidR="003D504D" w:rsidRDefault="003D504D" w:rsidP="005077A7">
      <w:pPr>
        <w:pStyle w:val="a"/>
        <w:rPr>
          <w:rFonts w:eastAsiaTheme="minorEastAsia" w:cstheme="minorBidi"/>
          <w:sz w:val="22"/>
          <w:szCs w:val="22"/>
          <w:rtl/>
        </w:rPr>
      </w:pPr>
      <w:r>
        <w:rPr>
          <w:rtl/>
        </w:rPr>
        <w:t>דברי האמר"מ דאפש"ל דריו"ח אוסר אף בחלב דבן ט' מת ונקט חי לרבותא דר"ל ודלא כהמ"מ</w:t>
      </w:r>
    </w:p>
    <w:p w14:paraId="520CEAF3" w14:textId="77777777" w:rsidR="003D504D" w:rsidRDefault="003D504D" w:rsidP="005077A7">
      <w:pPr>
        <w:pStyle w:val="a"/>
        <w:rPr>
          <w:rFonts w:eastAsiaTheme="minorEastAsia" w:cstheme="minorBidi"/>
          <w:sz w:val="22"/>
          <w:szCs w:val="22"/>
        </w:rPr>
      </w:pPr>
      <w:r>
        <w:rPr>
          <w:rtl/>
        </w:rPr>
        <w:t>דברי האמר"מ דמבואר ברמב"ם דרק בנשחטה האם מותר חלב בן ט' מת אבל בתלש אסור אף במת</w:t>
      </w:r>
    </w:p>
    <w:p w14:paraId="549E522E" w14:textId="77777777" w:rsidR="003D504D" w:rsidRDefault="003D504D" w:rsidP="003D504D">
      <w:pPr>
        <w:pStyle w:val="aff4"/>
        <w:rPr>
          <w:rFonts w:eastAsiaTheme="minorEastAsia" w:cstheme="minorBidi"/>
          <w:i/>
          <w:iCs/>
          <w:noProof/>
          <w:sz w:val="22"/>
          <w:szCs w:val="22"/>
          <w:rtl/>
        </w:rPr>
      </w:pPr>
      <w:bookmarkStart w:id="23536" w:name="_Toc19436356"/>
      <w:bookmarkStart w:id="23537" w:name="_Toc20081487"/>
      <w:r>
        <w:rPr>
          <w:noProof/>
          <w:rtl/>
        </w:rPr>
        <w:t>מסקנת האמר"מ דהרמב"ם כתוס' דאף לריו"ח בעינן אויר העולם</w:t>
      </w:r>
      <w:bookmarkEnd w:id="23536"/>
      <w:bookmarkEnd w:id="23537"/>
    </w:p>
    <w:p w14:paraId="58C389BF" w14:textId="77777777" w:rsidR="003D504D" w:rsidRDefault="003D504D" w:rsidP="005077A7">
      <w:pPr>
        <w:pStyle w:val="a"/>
        <w:rPr>
          <w:rFonts w:eastAsiaTheme="minorEastAsia" w:cstheme="minorBidi"/>
          <w:sz w:val="22"/>
          <w:szCs w:val="22"/>
          <w:rtl/>
        </w:rPr>
      </w:pPr>
      <w:r>
        <w:rPr>
          <w:rtl/>
        </w:rPr>
        <w:t>דברי האמר"מ דמוכח דהרמב"ם ס"ל כתוס' דלריו"ח בעינן חדשים ואוירא ובתלש איכא אוירא</w:t>
      </w:r>
    </w:p>
    <w:p w14:paraId="608858D3" w14:textId="77777777" w:rsidR="003D504D" w:rsidRDefault="003D504D" w:rsidP="005077A7">
      <w:pPr>
        <w:pStyle w:val="a"/>
        <w:rPr>
          <w:rFonts w:eastAsiaTheme="minorEastAsia" w:cstheme="minorBidi"/>
          <w:sz w:val="22"/>
          <w:szCs w:val="22"/>
          <w:rtl/>
        </w:rPr>
      </w:pPr>
      <w:r>
        <w:rPr>
          <w:rtl/>
        </w:rPr>
        <w:t>דברי האמר"מ דלריו"ח בין בתלש והוציא לחוץ ובין בנשחטה האם נאסר החלב כשיצא לאויר</w:t>
      </w:r>
    </w:p>
    <w:p w14:paraId="69C47AD4" w14:textId="77777777" w:rsidR="003D504D" w:rsidRDefault="003D504D" w:rsidP="005077A7">
      <w:pPr>
        <w:pStyle w:val="a"/>
        <w:rPr>
          <w:rFonts w:eastAsiaTheme="minorEastAsia" w:cstheme="minorBidi"/>
          <w:sz w:val="22"/>
          <w:szCs w:val="22"/>
          <w:rtl/>
        </w:rPr>
      </w:pPr>
      <w:r>
        <w:rPr>
          <w:rtl/>
        </w:rPr>
        <w:t>ביאור האמר"מ דבתלש והניח בבהמה לא חל איסור חלב דלא יצא לאויר וכשיצא אח"כ אינו שה</w:t>
      </w:r>
    </w:p>
    <w:p w14:paraId="31A91199" w14:textId="77777777" w:rsidR="003D504D" w:rsidRDefault="003D504D" w:rsidP="005077A7">
      <w:pPr>
        <w:pStyle w:val="a"/>
        <w:rPr>
          <w:rFonts w:eastAsiaTheme="minorEastAsia" w:cstheme="minorBidi"/>
          <w:sz w:val="22"/>
          <w:szCs w:val="22"/>
          <w:rtl/>
        </w:rPr>
      </w:pPr>
      <w:r>
        <w:rPr>
          <w:rtl/>
        </w:rPr>
        <w:t>ביאור האמר"מ דלהרמב"ם חלב דבן ט' מת מותר דלא יצא לאויר העולם</w:t>
      </w:r>
    </w:p>
    <w:p w14:paraId="3E14FAB7" w14:textId="77777777" w:rsidR="003D504D" w:rsidRDefault="003D504D" w:rsidP="003D504D">
      <w:pPr>
        <w:pStyle w:val="aff4"/>
        <w:rPr>
          <w:rFonts w:eastAsiaTheme="minorEastAsia" w:cstheme="minorBidi"/>
          <w:i/>
          <w:iCs/>
          <w:noProof/>
          <w:sz w:val="22"/>
          <w:szCs w:val="22"/>
          <w:rtl/>
        </w:rPr>
      </w:pPr>
      <w:bookmarkStart w:id="23538" w:name="_Toc19436357"/>
      <w:bookmarkStart w:id="23539" w:name="_Toc20081488"/>
      <w:r>
        <w:rPr>
          <w:noProof/>
          <w:rtl/>
        </w:rPr>
        <w:t>קושיות האבי עזרי על הרא"ש ועל הכס"מ בדעת הרמב"ם</w:t>
      </w:r>
      <w:bookmarkEnd w:id="23538"/>
      <w:bookmarkEnd w:id="23539"/>
    </w:p>
    <w:p w14:paraId="45E31A0B" w14:textId="77777777" w:rsidR="003D504D" w:rsidRDefault="003D504D" w:rsidP="005077A7">
      <w:pPr>
        <w:pStyle w:val="a"/>
        <w:rPr>
          <w:rFonts w:eastAsiaTheme="minorEastAsia" w:cstheme="minorBidi"/>
          <w:sz w:val="22"/>
          <w:szCs w:val="22"/>
          <w:rtl/>
        </w:rPr>
      </w:pPr>
      <w:r>
        <w:rPr>
          <w:rtl/>
        </w:rPr>
        <w:t>קושית האבי עזרי דא"א לומר דהרמב"ם אסר כר"מ דלר"מ ודאי דחלבו אסור דל"מ לו שחיטת אמו</w:t>
      </w:r>
    </w:p>
    <w:p w14:paraId="346AF07D" w14:textId="77777777" w:rsidR="003D504D" w:rsidRDefault="003D504D" w:rsidP="005077A7">
      <w:pPr>
        <w:pStyle w:val="a"/>
        <w:rPr>
          <w:rFonts w:eastAsiaTheme="minorEastAsia" w:cstheme="minorBidi"/>
          <w:sz w:val="22"/>
          <w:szCs w:val="22"/>
          <w:rtl/>
        </w:rPr>
      </w:pPr>
      <w:r>
        <w:rPr>
          <w:rtl/>
        </w:rPr>
        <w:t>קושית האבי עזרי על הכס"מ דהיאך מותר החלב בהניחו בבהמה הא שחיטה אינה מתירה חלב</w:t>
      </w:r>
    </w:p>
    <w:p w14:paraId="0598B2BF" w14:textId="77777777" w:rsidR="003D504D" w:rsidRDefault="003D504D" w:rsidP="003D504D">
      <w:pPr>
        <w:pStyle w:val="aff4"/>
        <w:rPr>
          <w:rFonts w:eastAsiaTheme="minorEastAsia" w:cstheme="minorBidi"/>
          <w:i/>
          <w:iCs/>
          <w:noProof/>
          <w:sz w:val="22"/>
          <w:szCs w:val="22"/>
          <w:rtl/>
        </w:rPr>
      </w:pPr>
      <w:bookmarkStart w:id="23540" w:name="_Toc19436358"/>
      <w:bookmarkStart w:id="23541" w:name="_Toc20081489"/>
      <w:r>
        <w:rPr>
          <w:noProof/>
          <w:rtl/>
        </w:rPr>
        <w:t>ביאור האבי עזרי ברמב"ם דלריו"ח השחיטה ל"מ לאיסור חלב</w:t>
      </w:r>
      <w:bookmarkEnd w:id="23540"/>
      <w:bookmarkEnd w:id="23541"/>
    </w:p>
    <w:p w14:paraId="4E0DF9DD" w14:textId="77777777" w:rsidR="003D504D" w:rsidRDefault="003D504D" w:rsidP="005077A7">
      <w:pPr>
        <w:pStyle w:val="a"/>
        <w:rPr>
          <w:rFonts w:eastAsiaTheme="minorEastAsia" w:cstheme="minorBidi"/>
          <w:sz w:val="22"/>
          <w:szCs w:val="22"/>
          <w:rtl/>
        </w:rPr>
      </w:pPr>
      <w:r>
        <w:rPr>
          <w:rtl/>
        </w:rPr>
        <w:t>דברי האבי עזרי ברמב"ם דמדאסר ריו"ח בתלש חלב מוכח דאין כח בשחיטה להתיר איסור חלב</w:t>
      </w:r>
    </w:p>
    <w:p w14:paraId="09378122" w14:textId="77777777" w:rsidR="003D504D" w:rsidRDefault="003D504D" w:rsidP="005077A7">
      <w:pPr>
        <w:pStyle w:val="a"/>
        <w:rPr>
          <w:rFonts w:eastAsiaTheme="minorEastAsia" w:cstheme="minorBidi"/>
          <w:sz w:val="22"/>
          <w:szCs w:val="22"/>
          <w:rtl/>
        </w:rPr>
      </w:pPr>
      <w:r>
        <w:rPr>
          <w:rtl/>
        </w:rPr>
        <w:t>דברי האבי עזרי דלריו"ח היתר בחלב וגיד רק בבן ח' שהם כבשר אך בבן ט' השחיטה אינה מתירתם</w:t>
      </w:r>
    </w:p>
    <w:p w14:paraId="3161B3C5" w14:textId="77777777" w:rsidR="003D504D" w:rsidRDefault="003D504D" w:rsidP="003D504D">
      <w:pPr>
        <w:pStyle w:val="aff4"/>
        <w:rPr>
          <w:rFonts w:eastAsiaTheme="minorEastAsia" w:cstheme="minorBidi"/>
          <w:i/>
          <w:iCs/>
          <w:noProof/>
          <w:sz w:val="22"/>
          <w:szCs w:val="22"/>
          <w:rtl/>
        </w:rPr>
      </w:pPr>
      <w:bookmarkStart w:id="23542" w:name="_Toc19436359"/>
      <w:bookmarkStart w:id="23543" w:name="_Toc20081490"/>
      <w:r>
        <w:rPr>
          <w:noProof/>
          <w:rtl/>
        </w:rPr>
        <w:t>ביאור האבי עזרי דלריו"ח לא הלכו לשיטתם ורב הושעיא כר"ל</w:t>
      </w:r>
      <w:bookmarkEnd w:id="23542"/>
      <w:bookmarkEnd w:id="23543"/>
    </w:p>
    <w:p w14:paraId="0C3A4BCF" w14:textId="77777777" w:rsidR="003D504D" w:rsidRDefault="003D504D" w:rsidP="005077A7">
      <w:pPr>
        <w:pStyle w:val="a"/>
        <w:rPr>
          <w:rFonts w:eastAsiaTheme="minorEastAsia" w:cstheme="minorBidi"/>
          <w:sz w:val="22"/>
          <w:szCs w:val="22"/>
          <w:rtl/>
        </w:rPr>
      </w:pPr>
      <w:r>
        <w:rPr>
          <w:rtl/>
        </w:rPr>
        <w:t>דברי האבי עזרי דרב הושעיא כר"ל דהחלב כבשר ולר"מ חדשים גרמי ולכן אוסר בשחיטה וחלב</w:t>
      </w:r>
    </w:p>
    <w:p w14:paraId="337B035D" w14:textId="77777777" w:rsidR="003D504D" w:rsidRDefault="003D504D" w:rsidP="005077A7">
      <w:pPr>
        <w:pStyle w:val="a"/>
        <w:rPr>
          <w:rFonts w:eastAsiaTheme="minorEastAsia" w:cstheme="minorBidi"/>
          <w:sz w:val="22"/>
          <w:szCs w:val="22"/>
          <w:rtl/>
        </w:rPr>
      </w:pPr>
      <w:r>
        <w:rPr>
          <w:rtl/>
        </w:rPr>
        <w:t>דברי האבי עזרי דלריו"ח דחדשים גרמי א"א לומר דהלכו לשיטתם דשחיטה אינה מתירה חלב</w:t>
      </w:r>
    </w:p>
    <w:p w14:paraId="113CE559" w14:textId="77777777" w:rsidR="003D504D" w:rsidRDefault="003D504D" w:rsidP="003D504D">
      <w:pPr>
        <w:pStyle w:val="aff4"/>
        <w:rPr>
          <w:rFonts w:eastAsiaTheme="minorEastAsia" w:cstheme="minorBidi"/>
          <w:i/>
          <w:iCs/>
          <w:noProof/>
          <w:sz w:val="22"/>
          <w:szCs w:val="22"/>
          <w:rtl/>
        </w:rPr>
      </w:pPr>
      <w:bookmarkStart w:id="23544" w:name="_Toc19436360"/>
      <w:bookmarkStart w:id="23545" w:name="_Toc20081491"/>
      <w:r>
        <w:rPr>
          <w:noProof/>
          <w:rtl/>
        </w:rPr>
        <w:t>ביאור האבי עזרי דהרמב"ם כתוס' דלריו"ח בעינן אויר העולם</w:t>
      </w:r>
      <w:bookmarkEnd w:id="23544"/>
      <w:bookmarkEnd w:id="23545"/>
    </w:p>
    <w:p w14:paraId="683743A6" w14:textId="77777777" w:rsidR="003D504D" w:rsidRDefault="003D504D" w:rsidP="005077A7">
      <w:pPr>
        <w:pStyle w:val="a"/>
        <w:rPr>
          <w:rFonts w:eastAsiaTheme="minorEastAsia" w:cstheme="minorBidi"/>
          <w:sz w:val="22"/>
          <w:szCs w:val="22"/>
          <w:rtl/>
        </w:rPr>
      </w:pPr>
      <w:r>
        <w:rPr>
          <w:rtl/>
        </w:rPr>
        <w:t>ביאור האבי עזרי דלריו"ח נחלקו ר"מ ור"י אי בעינן חדשים ואויר העולם או דהוי חלב משעת יצירתו</w:t>
      </w:r>
    </w:p>
    <w:p w14:paraId="2B2B199D" w14:textId="77777777" w:rsidR="003D504D" w:rsidRDefault="003D504D" w:rsidP="005077A7">
      <w:pPr>
        <w:pStyle w:val="a"/>
        <w:rPr>
          <w:rFonts w:eastAsiaTheme="minorEastAsia" w:cstheme="minorBidi"/>
          <w:sz w:val="22"/>
          <w:szCs w:val="22"/>
          <w:rtl/>
        </w:rPr>
      </w:pPr>
      <w:r>
        <w:rPr>
          <w:rtl/>
        </w:rPr>
        <w:t>דברי האבי עזרי דבגמ' לקמן מוכח דנחלקו ר"מ ור"י מתי חל איסור חלב וגיד ולא הלכו לשיטתם</w:t>
      </w:r>
    </w:p>
    <w:p w14:paraId="2F825B80" w14:textId="77777777" w:rsidR="003D504D" w:rsidRDefault="003D504D" w:rsidP="003D504D">
      <w:pPr>
        <w:pStyle w:val="aff4"/>
        <w:rPr>
          <w:rFonts w:eastAsiaTheme="minorEastAsia" w:cstheme="minorBidi"/>
          <w:i/>
          <w:iCs/>
          <w:noProof/>
          <w:sz w:val="22"/>
          <w:szCs w:val="22"/>
          <w:rtl/>
        </w:rPr>
      </w:pPr>
      <w:bookmarkStart w:id="23546" w:name="_Toc19436361"/>
      <w:bookmarkStart w:id="23547" w:name="_Toc20081492"/>
      <w:r>
        <w:rPr>
          <w:noProof/>
          <w:rtl/>
        </w:rPr>
        <w:t>ביאור האבי עזרי בדינא דהכס"מ בתלש חלב והניחו בבהמה</w:t>
      </w:r>
      <w:bookmarkEnd w:id="23546"/>
      <w:bookmarkEnd w:id="23547"/>
    </w:p>
    <w:p w14:paraId="36FD1192" w14:textId="77777777" w:rsidR="003D504D" w:rsidRDefault="003D504D" w:rsidP="005077A7">
      <w:pPr>
        <w:pStyle w:val="a"/>
        <w:rPr>
          <w:rFonts w:eastAsiaTheme="minorEastAsia" w:cstheme="minorBidi"/>
          <w:sz w:val="22"/>
          <w:szCs w:val="22"/>
          <w:rtl/>
        </w:rPr>
      </w:pPr>
      <w:r>
        <w:rPr>
          <w:rtl/>
        </w:rPr>
        <w:t>ביאור האבי עזרי בדין הכס"מ דכל שלא יצא לאויר החלב כבשר ואחר שיצא אינו חלב על הקרב</w:t>
      </w:r>
    </w:p>
    <w:p w14:paraId="2597E03D" w14:textId="77777777" w:rsidR="003D504D" w:rsidRDefault="003D504D" w:rsidP="005077A7">
      <w:pPr>
        <w:pStyle w:val="a"/>
        <w:rPr>
          <w:rFonts w:eastAsiaTheme="minorEastAsia" w:cstheme="minorBidi"/>
          <w:sz w:val="22"/>
          <w:szCs w:val="22"/>
          <w:rtl/>
        </w:rPr>
      </w:pPr>
      <w:r>
        <w:rPr>
          <w:rtl/>
        </w:rPr>
        <w:t>ביאור האבי עזרי דבנשחטה האם נאסר החלב כשיצא אח"כ לאויר דהוא חלב שעל הקרב</w:t>
      </w:r>
    </w:p>
    <w:p w14:paraId="4E82419A" w14:textId="77777777" w:rsidR="003D504D" w:rsidRDefault="003D504D" w:rsidP="005077A7">
      <w:pPr>
        <w:pStyle w:val="a"/>
        <w:rPr>
          <w:rFonts w:eastAsiaTheme="minorEastAsia" w:cstheme="minorBidi"/>
          <w:sz w:val="22"/>
          <w:szCs w:val="22"/>
          <w:rtl/>
        </w:rPr>
      </w:pPr>
      <w:r>
        <w:rPr>
          <w:rtl/>
        </w:rPr>
        <w:t>ביאור האבי עזרי דבתלש והוציאו לחוץ אינו בכלל "כל בבהמה" ולכן נאסר כשיצא לאויר</w:t>
      </w:r>
    </w:p>
    <w:p w14:paraId="761B88AF" w14:textId="77777777" w:rsidR="003D504D" w:rsidRDefault="003D504D" w:rsidP="003D504D">
      <w:pPr>
        <w:pStyle w:val="aff4"/>
        <w:rPr>
          <w:rFonts w:eastAsiaTheme="minorEastAsia" w:cstheme="minorBidi"/>
          <w:i/>
          <w:iCs/>
          <w:noProof/>
          <w:sz w:val="22"/>
          <w:szCs w:val="22"/>
          <w:rtl/>
        </w:rPr>
      </w:pPr>
      <w:bookmarkStart w:id="23548" w:name="_Toc19436362"/>
      <w:bookmarkStart w:id="23549" w:name="_Toc20081493"/>
      <w:r>
        <w:rPr>
          <w:noProof/>
          <w:rtl/>
        </w:rPr>
        <w:t>ביאור הזכר יצחק ברמב"ם דהוי כשחוט ול"מ לבנו ולחלב וגיד</w:t>
      </w:r>
      <w:bookmarkEnd w:id="23548"/>
      <w:bookmarkEnd w:id="23549"/>
    </w:p>
    <w:p w14:paraId="19579651" w14:textId="77777777" w:rsidR="003D504D" w:rsidRDefault="003D504D" w:rsidP="005077A7">
      <w:pPr>
        <w:pStyle w:val="a"/>
        <w:rPr>
          <w:rFonts w:eastAsiaTheme="minorEastAsia" w:cstheme="minorBidi"/>
          <w:sz w:val="22"/>
          <w:szCs w:val="22"/>
          <w:rtl/>
        </w:rPr>
      </w:pPr>
      <w:r>
        <w:rPr>
          <w:rtl/>
        </w:rPr>
        <w:t>דברי הזכר יצחק דלהרמב"ם למ"ד דולד בן פקועה מותר ההיתר הוא מגזיה"כ ואף חלב וגיד מותרים</w:t>
      </w:r>
    </w:p>
    <w:p w14:paraId="502E54E7" w14:textId="77777777" w:rsidR="003D504D" w:rsidRDefault="003D504D" w:rsidP="005077A7">
      <w:pPr>
        <w:pStyle w:val="a"/>
        <w:rPr>
          <w:rFonts w:eastAsiaTheme="minorEastAsia" w:cstheme="minorBidi"/>
          <w:sz w:val="22"/>
          <w:szCs w:val="22"/>
          <w:rtl/>
        </w:rPr>
      </w:pPr>
      <w:r>
        <w:rPr>
          <w:rtl/>
        </w:rPr>
        <w:t>דברי הזכר יצחק דפסק הרמב"ם דההיתר דחשיב כשחוט ולא מהני ההיתר לחלב וגיד</w:t>
      </w:r>
    </w:p>
    <w:p w14:paraId="1C7BF398" w14:textId="77777777" w:rsidR="003D504D" w:rsidRDefault="003D504D" w:rsidP="005077A7">
      <w:pPr>
        <w:pStyle w:val="a"/>
        <w:rPr>
          <w:rFonts w:eastAsiaTheme="minorEastAsia" w:cstheme="minorBidi"/>
          <w:sz w:val="22"/>
          <w:szCs w:val="22"/>
          <w:rtl/>
        </w:rPr>
      </w:pPr>
      <w:r>
        <w:rPr>
          <w:rtl/>
        </w:rPr>
        <w:t>ביאור הזכר יצחק דגדר ההיתר דחיות הולד תלויה באמו ולכן בולד שיש לו חיות בפנ"ע אין היתר</w:t>
      </w:r>
    </w:p>
    <w:p w14:paraId="5A3CC13E" w14:textId="77777777" w:rsidR="003D504D" w:rsidRDefault="003D504D" w:rsidP="003D504D">
      <w:pPr>
        <w:pStyle w:val="2"/>
        <w:rPr>
          <w:rFonts w:eastAsiaTheme="minorEastAsia" w:cstheme="minorBidi"/>
          <w:i/>
          <w:iCs/>
          <w:noProof/>
          <w:sz w:val="22"/>
          <w:szCs w:val="22"/>
          <w:rtl/>
        </w:rPr>
      </w:pPr>
      <w:bookmarkStart w:id="23550" w:name="_Toc19436363"/>
      <w:r>
        <w:rPr>
          <w:noProof/>
          <w:rtl/>
        </w:rPr>
        <w:t>בדעת הרמב"ם בדין גיד דשליל</w:t>
      </w:r>
      <w:bookmarkEnd w:id="23550"/>
    </w:p>
    <w:p w14:paraId="67CE5C1C" w14:textId="77777777" w:rsidR="003D504D" w:rsidRDefault="003D504D" w:rsidP="003D504D">
      <w:pPr>
        <w:pStyle w:val="aff4"/>
        <w:rPr>
          <w:rtl/>
        </w:rPr>
      </w:pPr>
      <w:bookmarkStart w:id="23551" w:name="_Toc19436364"/>
      <w:bookmarkStart w:id="23552" w:name="_Toc20081494"/>
      <w:r>
        <w:rPr>
          <w:rFonts w:hint="cs"/>
          <w:rtl/>
        </w:rPr>
        <w:t>דברי האבהא"ז דהרמב"ם אוסר בגיד דבן ח' וכתוס' ולא כרש"י</w:t>
      </w:r>
      <w:bookmarkEnd w:id="23551"/>
      <w:bookmarkEnd w:id="23552"/>
    </w:p>
    <w:p w14:paraId="72B09049" w14:textId="77777777" w:rsidR="003D504D" w:rsidRDefault="003D504D" w:rsidP="005077A7">
      <w:pPr>
        <w:pStyle w:val="a"/>
        <w:rPr>
          <w:rFonts w:eastAsiaTheme="minorEastAsia" w:cstheme="minorBidi"/>
          <w:sz w:val="22"/>
          <w:szCs w:val="22"/>
          <w:rtl/>
        </w:rPr>
      </w:pPr>
      <w:r>
        <w:rPr>
          <w:rtl/>
        </w:rPr>
        <w:t>דברי האבאה"ז דמוכח ברמב"ם דגיד אסור בבן ח' ודלא כמבואר במ"מ ובשו"ע בדעת הרמב"ם</w:t>
      </w:r>
    </w:p>
    <w:p w14:paraId="7A9C32DB" w14:textId="77777777" w:rsidR="003D504D" w:rsidRDefault="003D504D" w:rsidP="005077A7">
      <w:pPr>
        <w:pStyle w:val="a"/>
        <w:rPr>
          <w:rFonts w:eastAsiaTheme="minorEastAsia" w:cstheme="minorBidi"/>
          <w:sz w:val="22"/>
          <w:szCs w:val="22"/>
          <w:rtl/>
        </w:rPr>
      </w:pPr>
      <w:r>
        <w:rPr>
          <w:rtl/>
        </w:rPr>
        <w:t>דברי האבהא"ז דביאור המ"מ והרא"ש ברמב"ם דריו"ח כר"מ אינו מוכרח דאפש"ל כרש"י</w:t>
      </w:r>
    </w:p>
    <w:p w14:paraId="555802F4" w14:textId="77777777" w:rsidR="003D504D" w:rsidRDefault="003D504D" w:rsidP="003D504D">
      <w:pPr>
        <w:pStyle w:val="aff4"/>
        <w:rPr>
          <w:rtl/>
        </w:rPr>
      </w:pPr>
      <w:bookmarkStart w:id="23553" w:name="_Toc19436365"/>
      <w:bookmarkStart w:id="23554" w:name="_Toc20081495"/>
      <w:r>
        <w:rPr>
          <w:rFonts w:hint="cs"/>
          <w:rtl/>
        </w:rPr>
        <w:t>דברי האבאה"ז דלרמב"ם א"א לומר דגיד דבן ט' אסור דהוי שור</w:t>
      </w:r>
      <w:bookmarkEnd w:id="23553"/>
      <w:bookmarkEnd w:id="23554"/>
    </w:p>
    <w:p w14:paraId="2C762D2C" w14:textId="77777777" w:rsidR="003D504D" w:rsidRDefault="003D504D" w:rsidP="005077A7">
      <w:pPr>
        <w:pStyle w:val="a"/>
        <w:rPr>
          <w:rFonts w:eastAsiaTheme="minorEastAsia" w:cstheme="minorBidi"/>
          <w:sz w:val="22"/>
          <w:szCs w:val="22"/>
          <w:rtl/>
        </w:rPr>
      </w:pPr>
      <w:r>
        <w:rPr>
          <w:rtl/>
        </w:rPr>
        <w:t>דברי האבאה"ז דלהרמב"ם א"א לומר דהחלב אסור דהוי חלב שור דהא בן ט' מותר בשחיטת אמו</w:t>
      </w:r>
    </w:p>
    <w:p w14:paraId="4CAFC55A" w14:textId="77777777" w:rsidR="003D504D" w:rsidRDefault="003D504D" w:rsidP="005077A7">
      <w:pPr>
        <w:pStyle w:val="a"/>
        <w:rPr>
          <w:rFonts w:eastAsiaTheme="minorEastAsia" w:cstheme="minorBidi"/>
          <w:sz w:val="22"/>
          <w:szCs w:val="22"/>
          <w:rtl/>
        </w:rPr>
      </w:pPr>
      <w:r>
        <w:rPr>
          <w:rtl/>
        </w:rPr>
        <w:t>דברי האבהא"ז דלהרשב"א בשם תוס' אפש"ל דחלבו אסור כיון דנקרא שור</w:t>
      </w:r>
    </w:p>
    <w:p w14:paraId="0E32FBC5" w14:textId="77777777" w:rsidR="003D504D" w:rsidRDefault="003D504D" w:rsidP="005077A7">
      <w:pPr>
        <w:pStyle w:val="a"/>
        <w:rPr>
          <w:rFonts w:eastAsiaTheme="minorEastAsia" w:cstheme="minorBidi"/>
          <w:sz w:val="22"/>
          <w:szCs w:val="22"/>
          <w:rtl/>
        </w:rPr>
      </w:pPr>
      <w:r>
        <w:rPr>
          <w:rtl/>
        </w:rPr>
        <w:t>דחיית האהבא"ז דהרשב"א גופיה כתב דאף לריו"ח דהוי בהמה מודה דמהני שחיטה להתירו</w:t>
      </w:r>
    </w:p>
    <w:p w14:paraId="54F16186" w14:textId="77777777" w:rsidR="003D504D" w:rsidRDefault="003D504D" w:rsidP="005077A7">
      <w:pPr>
        <w:pStyle w:val="a"/>
        <w:rPr>
          <w:rFonts w:eastAsiaTheme="minorEastAsia" w:cstheme="minorBidi"/>
          <w:sz w:val="22"/>
          <w:szCs w:val="22"/>
          <w:rtl/>
        </w:rPr>
      </w:pPr>
      <w:r>
        <w:rPr>
          <w:rtl/>
        </w:rPr>
        <w:t>ביאור האבאה"ז במ"מ דאחר שיצא חשיב שור אלא דמהני כל בבהמה דהוי כשחוט ולא נעשה שור</w:t>
      </w:r>
    </w:p>
    <w:p w14:paraId="4B372AEB" w14:textId="77777777" w:rsidR="003D504D" w:rsidRDefault="003D504D" w:rsidP="005077A7">
      <w:pPr>
        <w:pStyle w:val="a"/>
        <w:rPr>
          <w:rFonts w:eastAsiaTheme="minorEastAsia" w:cstheme="minorBidi"/>
          <w:sz w:val="22"/>
          <w:szCs w:val="22"/>
          <w:rtl/>
        </w:rPr>
      </w:pPr>
      <w:r>
        <w:rPr>
          <w:rtl/>
        </w:rPr>
        <w:t>קושית האבאה"ז דא"א לומר דשחיטה לא מתירה חלב דבגמ' לקמן מוכח דשחיטה מתירה גיד</w:t>
      </w:r>
    </w:p>
    <w:p w14:paraId="1E766006" w14:textId="77777777" w:rsidR="003D504D" w:rsidRDefault="003D504D" w:rsidP="003D504D">
      <w:pPr>
        <w:pStyle w:val="aff4"/>
        <w:rPr>
          <w:rtl/>
        </w:rPr>
      </w:pPr>
      <w:bookmarkStart w:id="23555" w:name="_Toc19436366"/>
      <w:bookmarkStart w:id="23556" w:name="_Toc20081496"/>
      <w:r>
        <w:rPr>
          <w:rFonts w:hint="cs"/>
          <w:rtl/>
        </w:rPr>
        <w:t>ביאור האבאה"ז דלרמב"ם ר"י ור"מ נחלקו בגדר היתר בן פקועה</w:t>
      </w:r>
      <w:bookmarkEnd w:id="23555"/>
      <w:bookmarkEnd w:id="23556"/>
    </w:p>
    <w:p w14:paraId="3E4E9A2D" w14:textId="77777777" w:rsidR="003D504D" w:rsidRDefault="003D504D" w:rsidP="005077A7">
      <w:pPr>
        <w:pStyle w:val="a"/>
        <w:rPr>
          <w:rFonts w:eastAsiaTheme="minorEastAsia" w:cstheme="minorBidi"/>
          <w:sz w:val="22"/>
          <w:szCs w:val="22"/>
          <w:rtl/>
        </w:rPr>
      </w:pPr>
      <w:r>
        <w:rPr>
          <w:rtl/>
        </w:rPr>
        <w:t>ביאור האבהא"ז דלהרמב"ם לר"מ ההיתר דחשיב חשיב כשחוט ולר"י ההיתר הוא גזיה"כ</w:t>
      </w:r>
    </w:p>
    <w:p w14:paraId="687D7B93" w14:textId="77777777" w:rsidR="003D504D" w:rsidRDefault="003D504D" w:rsidP="005077A7">
      <w:pPr>
        <w:pStyle w:val="a"/>
        <w:rPr>
          <w:rFonts w:eastAsiaTheme="minorEastAsia" w:cstheme="minorBidi"/>
          <w:sz w:val="22"/>
          <w:szCs w:val="22"/>
          <w:rtl/>
        </w:rPr>
      </w:pPr>
      <w:r>
        <w:rPr>
          <w:rtl/>
        </w:rPr>
        <w:t>דברי האבאה"ז דמדחילק הרמב"ם בין חלב לגיד בבן ח' מוכח דנחלקו ר"מ ור"י בגדר ההיתר</w:t>
      </w:r>
    </w:p>
    <w:p w14:paraId="30FA9E54" w14:textId="77777777" w:rsidR="003D504D" w:rsidRDefault="003D504D" w:rsidP="003D504D">
      <w:pPr>
        <w:pStyle w:val="aff4"/>
        <w:rPr>
          <w:rFonts w:eastAsiaTheme="minorEastAsia" w:cstheme="minorBidi"/>
          <w:i/>
          <w:iCs/>
          <w:noProof/>
          <w:sz w:val="22"/>
          <w:szCs w:val="22"/>
          <w:rtl/>
        </w:rPr>
      </w:pPr>
      <w:bookmarkStart w:id="23557" w:name="_Toc19436367"/>
      <w:bookmarkStart w:id="23558" w:name="_Toc20081497"/>
      <w:r>
        <w:rPr>
          <w:noProof/>
          <w:rtl/>
        </w:rPr>
        <w:t>דחיית האבהא"ז לדיוק הכס"מ ברמב"ם</w:t>
      </w:r>
      <w:bookmarkEnd w:id="23557"/>
      <w:bookmarkEnd w:id="23558"/>
    </w:p>
    <w:p w14:paraId="1998D3E2" w14:textId="77777777" w:rsidR="003D504D" w:rsidRDefault="003D504D" w:rsidP="005077A7">
      <w:pPr>
        <w:pStyle w:val="a"/>
        <w:rPr>
          <w:rFonts w:eastAsiaTheme="minorEastAsia" w:cstheme="minorBidi"/>
          <w:sz w:val="22"/>
          <w:szCs w:val="22"/>
          <w:rtl/>
        </w:rPr>
      </w:pPr>
      <w:r>
        <w:rPr>
          <w:rtl/>
        </w:rPr>
        <w:t>דברי האבאה"ז דלהרמב"ם השחיטה לא מתירה חלב כלל וא"א לומר דבהניחח במעיה מותר</w:t>
      </w:r>
    </w:p>
    <w:p w14:paraId="17055700" w14:textId="77777777" w:rsidR="003D504D" w:rsidRDefault="003D504D" w:rsidP="005077A7">
      <w:pPr>
        <w:pStyle w:val="a"/>
        <w:rPr>
          <w:rFonts w:eastAsiaTheme="minorEastAsia" w:cstheme="minorBidi"/>
          <w:sz w:val="22"/>
          <w:szCs w:val="22"/>
          <w:rtl/>
        </w:rPr>
        <w:sectPr w:rsidR="003D504D" w:rsidSect="007C6A7B">
          <w:type w:val="continuous"/>
          <w:pgSz w:w="11906" w:h="16838"/>
          <w:pgMar w:top="720" w:right="720" w:bottom="720" w:left="720" w:header="283" w:footer="283" w:gutter="0"/>
          <w:cols w:num="2" w:space="113"/>
          <w:bidi/>
          <w:rtlGutter/>
          <w:docGrid w:linePitch="299"/>
        </w:sectPr>
      </w:pPr>
      <w:r>
        <w:rPr>
          <w:rtl/>
        </w:rPr>
        <w:t>ביאור האבאה"ז ברמב"ם דאיירי שהוציא את החלב מהעובר דאי חתך והניחו בעובר הוי ככל ילוד</w:t>
      </w:r>
    </w:p>
    <w:p w14:paraId="42E762EE" w14:textId="77777777" w:rsidR="003D504D" w:rsidRDefault="003D504D" w:rsidP="005077A7">
      <w:pPr>
        <w:pStyle w:val="a"/>
        <w:numPr>
          <w:ilvl w:val="0"/>
          <w:numId w:val="0"/>
        </w:numPr>
        <w:ind w:left="567"/>
        <w:rPr>
          <w:rtl/>
        </w:rPr>
      </w:pPr>
    </w:p>
    <w:p w14:paraId="41CB2CB0" w14:textId="77777777" w:rsidR="003D504D" w:rsidRDefault="003D504D" w:rsidP="003D504D">
      <w:pPr>
        <w:pStyle w:val="aff4"/>
        <w:rPr>
          <w:rtl/>
        </w:rPr>
        <w:sectPr w:rsidR="003D504D" w:rsidSect="007C6A7B">
          <w:type w:val="continuous"/>
          <w:pgSz w:w="11906" w:h="16838"/>
          <w:pgMar w:top="720" w:right="720" w:bottom="720" w:left="720" w:header="283" w:footer="283" w:gutter="0"/>
          <w:cols w:num="2" w:space="113"/>
          <w:bidi/>
          <w:rtlGutter/>
          <w:docGrid w:linePitch="299"/>
        </w:sectPr>
      </w:pPr>
      <w:r>
        <w:rPr>
          <w:rtl/>
        </w:rPr>
        <w:fldChar w:fldCharType="end"/>
      </w:r>
    </w:p>
    <w:p w14:paraId="2A7E28D1" w14:textId="77777777" w:rsidR="003D504D" w:rsidRDefault="003D504D" w:rsidP="003D504D">
      <w:pPr>
        <w:pStyle w:val="afe"/>
        <w:rPr>
          <w:rtl/>
        </w:rPr>
      </w:pPr>
      <w:bookmarkStart w:id="23559" w:name="_Toc3661959"/>
      <w:bookmarkStart w:id="23560" w:name="_Toc3840796"/>
      <w:bookmarkStart w:id="23561" w:name="_Toc3928986"/>
      <w:bookmarkStart w:id="23562" w:name="_Toc3978373"/>
      <w:bookmarkStart w:id="23563" w:name="_Toc4012219"/>
      <w:bookmarkStart w:id="23564" w:name="_Toc4013245"/>
      <w:bookmarkStart w:id="23565" w:name="_Toc4022753"/>
      <w:bookmarkStart w:id="23566" w:name="_Toc4026578"/>
      <w:bookmarkStart w:id="23567" w:name="_Toc4139371"/>
      <w:bookmarkStart w:id="23568" w:name="_Toc4151465"/>
      <w:bookmarkStart w:id="23569" w:name="_Toc19436368"/>
      <w:bookmarkStart w:id="23570" w:name="_Toc20081498"/>
      <w:r w:rsidRPr="0075165B">
        <w:rPr>
          <w:rFonts w:hint="cs"/>
          <w:rtl/>
        </w:rPr>
        <w:t>מראי מקומות וביאורים על הרמב"ם</w:t>
      </w:r>
      <w:bookmarkEnd w:id="23559"/>
      <w:bookmarkEnd w:id="23560"/>
      <w:bookmarkEnd w:id="23561"/>
      <w:bookmarkEnd w:id="23562"/>
      <w:bookmarkEnd w:id="23563"/>
      <w:bookmarkEnd w:id="23564"/>
      <w:bookmarkEnd w:id="23565"/>
      <w:bookmarkEnd w:id="23566"/>
      <w:bookmarkEnd w:id="23567"/>
      <w:bookmarkEnd w:id="23568"/>
      <w:bookmarkEnd w:id="23569"/>
      <w:bookmarkEnd w:id="23570"/>
    </w:p>
    <w:p w14:paraId="44F09B57" w14:textId="77777777" w:rsidR="003D504D" w:rsidRDefault="003D504D" w:rsidP="003D504D">
      <w:pPr>
        <w:tabs>
          <w:tab w:val="left" w:pos="1163"/>
        </w:tabs>
        <w:spacing w:before="120" w:after="120" w:line="240" w:lineRule="auto"/>
        <w:ind w:left="0"/>
        <w:rPr>
          <w:rFonts w:cs="FrankRuehl"/>
          <w:sz w:val="20"/>
          <w:rtl/>
        </w:rPr>
        <w:sectPr w:rsidR="003D504D" w:rsidSect="003D504D">
          <w:pgSz w:w="11906" w:h="16838"/>
          <w:pgMar w:top="720" w:right="720" w:bottom="720" w:left="720" w:header="283" w:footer="283" w:gutter="0"/>
          <w:cols w:space="567"/>
          <w:bidi/>
          <w:rtlGutter/>
          <w:docGrid w:linePitch="299"/>
        </w:sectPr>
      </w:pPr>
    </w:p>
    <w:p w14:paraId="5D842209" w14:textId="77777777" w:rsidR="003D504D" w:rsidRPr="001939C9" w:rsidRDefault="003D504D" w:rsidP="003D504D">
      <w:pPr>
        <w:pStyle w:val="afe"/>
        <w:rPr>
          <w:rtl/>
        </w:rPr>
      </w:pPr>
      <w:bookmarkStart w:id="23571" w:name="_Toc3661960"/>
      <w:bookmarkStart w:id="23572" w:name="_Toc3840797"/>
      <w:bookmarkStart w:id="23573" w:name="_Toc3928987"/>
      <w:bookmarkStart w:id="23574" w:name="_Toc3978374"/>
      <w:bookmarkStart w:id="23575" w:name="_Toc4012220"/>
      <w:bookmarkStart w:id="23576" w:name="_Toc4013246"/>
      <w:bookmarkStart w:id="23577" w:name="_Toc4022754"/>
      <w:bookmarkStart w:id="23578" w:name="_Toc4026579"/>
      <w:bookmarkStart w:id="23579" w:name="_Toc4139372"/>
      <w:bookmarkStart w:id="23580" w:name="_Toc4151466"/>
      <w:bookmarkStart w:id="23581" w:name="_Toc19436369"/>
      <w:bookmarkStart w:id="23582" w:name="_Toc20081499"/>
      <w:r>
        <w:rPr>
          <w:rFonts w:hint="cs"/>
          <w:rtl/>
        </w:rPr>
        <w:t>דברי</w:t>
      </w:r>
      <w:r w:rsidRPr="0064261A">
        <w:rPr>
          <w:rFonts w:hint="cs"/>
          <w:rtl/>
        </w:rPr>
        <w:t xml:space="preserve"> הרמב"ם</w:t>
      </w:r>
      <w:bookmarkEnd w:id="23571"/>
      <w:bookmarkEnd w:id="23572"/>
      <w:r>
        <w:rPr>
          <w:rFonts w:hint="cs"/>
          <w:rtl/>
        </w:rPr>
        <w:t xml:space="preserve"> בשחיטה ובחלב וגיד</w:t>
      </w:r>
      <w:bookmarkEnd w:id="23573"/>
      <w:bookmarkEnd w:id="23574"/>
      <w:bookmarkEnd w:id="23575"/>
      <w:bookmarkEnd w:id="23576"/>
      <w:bookmarkEnd w:id="23577"/>
      <w:bookmarkEnd w:id="23578"/>
      <w:bookmarkEnd w:id="23579"/>
      <w:bookmarkEnd w:id="23580"/>
      <w:bookmarkEnd w:id="23581"/>
      <w:bookmarkEnd w:id="23582"/>
    </w:p>
    <w:p w14:paraId="311A8D69" w14:textId="77777777" w:rsidR="003D504D" w:rsidRDefault="003D504D" w:rsidP="00BF39B2">
      <w:pPr>
        <w:pStyle w:val="1"/>
        <w:rPr>
          <w:rtl/>
        </w:rPr>
      </w:pPr>
      <w:bookmarkStart w:id="23583" w:name="_Toc3661961"/>
      <w:bookmarkStart w:id="23584" w:name="_Toc3840798"/>
      <w:bookmarkStart w:id="23585" w:name="_Toc3928988"/>
      <w:bookmarkStart w:id="23586" w:name="_Toc3978375"/>
      <w:bookmarkStart w:id="23587" w:name="_Toc4012221"/>
      <w:bookmarkStart w:id="23588" w:name="_Toc4013247"/>
      <w:bookmarkStart w:id="23589" w:name="_Toc4022755"/>
      <w:bookmarkStart w:id="23590" w:name="_Toc4026580"/>
      <w:bookmarkStart w:id="23591" w:name="_Toc4139373"/>
      <w:bookmarkStart w:id="23592" w:name="_Toc4151467"/>
      <w:bookmarkStart w:id="23593" w:name="_Toc19391925"/>
      <w:bookmarkStart w:id="23594" w:name="_Toc19395422"/>
      <w:r>
        <w:rPr>
          <w:rFonts w:hint="cs"/>
          <w:rtl/>
        </w:rPr>
        <w:t>דברי הרמב"ם בדין שחיטה וחלב וגיד בבן ח' ובבן ט'</w:t>
      </w:r>
      <w:bookmarkEnd w:id="23583"/>
      <w:bookmarkEnd w:id="23584"/>
      <w:bookmarkEnd w:id="23585"/>
      <w:bookmarkEnd w:id="23586"/>
      <w:bookmarkEnd w:id="23587"/>
      <w:bookmarkEnd w:id="23588"/>
      <w:bookmarkEnd w:id="23589"/>
      <w:bookmarkEnd w:id="23590"/>
      <w:bookmarkEnd w:id="23591"/>
      <w:bookmarkEnd w:id="23592"/>
      <w:bookmarkEnd w:id="23593"/>
      <w:bookmarkEnd w:id="23594"/>
    </w:p>
    <w:p w14:paraId="62AFBC53" w14:textId="77777777" w:rsidR="003D504D" w:rsidRDefault="003D504D" w:rsidP="003D504D">
      <w:pPr>
        <w:pStyle w:val="a3"/>
        <w:rPr>
          <w:rtl/>
        </w:rPr>
      </w:pPr>
      <w:bookmarkStart w:id="23595" w:name="_Toc3840799"/>
      <w:bookmarkStart w:id="23596" w:name="_Toc3928989"/>
      <w:bookmarkStart w:id="23597" w:name="_Toc3978376"/>
      <w:bookmarkStart w:id="23598" w:name="_Toc4012222"/>
      <w:bookmarkStart w:id="23599" w:name="_Toc4013248"/>
      <w:bookmarkStart w:id="23600" w:name="_Toc4022756"/>
      <w:bookmarkStart w:id="23601" w:name="_Toc4026581"/>
      <w:bookmarkStart w:id="23602" w:name="_Toc4139374"/>
      <w:bookmarkStart w:id="23603" w:name="_Toc4151468"/>
      <w:bookmarkStart w:id="23604" w:name="_Toc19391926"/>
      <w:bookmarkStart w:id="23605" w:name="_Toc19395423"/>
      <w:r>
        <w:rPr>
          <w:rFonts w:hint="cs"/>
          <w:rtl/>
        </w:rPr>
        <w:t>דברי הרמב"ם דשליל מותר בשחיטת אמו אעפ"י שהוא בן ט' חי</w:t>
      </w:r>
      <w:bookmarkEnd w:id="23595"/>
      <w:bookmarkEnd w:id="23596"/>
      <w:bookmarkEnd w:id="23597"/>
      <w:bookmarkEnd w:id="23598"/>
      <w:bookmarkEnd w:id="23599"/>
      <w:bookmarkEnd w:id="23600"/>
      <w:bookmarkEnd w:id="23601"/>
      <w:bookmarkEnd w:id="23602"/>
      <w:bookmarkEnd w:id="23603"/>
      <w:bookmarkEnd w:id="23604"/>
      <w:bookmarkEnd w:id="23605"/>
      <w:r>
        <w:rPr>
          <w:rFonts w:hint="cs"/>
          <w:rtl/>
        </w:rPr>
        <w:t xml:space="preserve"> </w:t>
      </w:r>
    </w:p>
    <w:p w14:paraId="0AD8AB6D" w14:textId="77777777" w:rsidR="003D504D" w:rsidRDefault="003D504D" w:rsidP="00E12979">
      <w:pPr>
        <w:pStyle w:val="a0"/>
        <w:numPr>
          <w:ilvl w:val="0"/>
          <w:numId w:val="46"/>
        </w:numPr>
        <w:rPr>
          <w:rtl/>
        </w:rPr>
      </w:pPr>
      <w:bookmarkStart w:id="23606" w:name="_Ref3969896"/>
      <w:r>
        <w:rPr>
          <w:rFonts w:hint="cs"/>
          <w:rtl/>
        </w:rPr>
        <w:t xml:space="preserve">כתב </w:t>
      </w:r>
      <w:r w:rsidRPr="00512B9B">
        <w:rPr>
          <w:rStyle w:val="af9"/>
          <w:rFonts w:hint="cs"/>
          <w:rtl/>
        </w:rPr>
        <w:t xml:space="preserve">הרמב"ם </w:t>
      </w:r>
      <w:r w:rsidRPr="00223668">
        <w:rPr>
          <w:rStyle w:val="af7"/>
          <w:rFonts w:eastAsia="Guttman Hodes" w:hint="cs"/>
          <w:rtl/>
        </w:rPr>
        <w:t>(מאכ"א פ"ה הי"ג הי"ד)</w:t>
      </w:r>
      <w:r>
        <w:rPr>
          <w:rFonts w:hint="cs"/>
          <w:rtl/>
        </w:rPr>
        <w:t xml:space="preserve"> דהשוחט בהמה ומצא בה שליל בין חי ובין מת, מותר באכילה, ובמצא בה עובר חי, אעפ"י שהוא בן ט' שיכול לחיות, מ"מ א"צ שחיטה ושחיטת אמו מטהרתו, ואם הפריס ע"ג קרקע צריך שחיטה.</w:t>
      </w:r>
      <w:bookmarkEnd w:id="23606"/>
    </w:p>
    <w:p w14:paraId="35351DF6" w14:textId="77777777" w:rsidR="003D504D" w:rsidRPr="00512B9B" w:rsidRDefault="003D504D" w:rsidP="003D504D">
      <w:pPr>
        <w:pStyle w:val="a3"/>
        <w:rPr>
          <w:rtl/>
        </w:rPr>
      </w:pPr>
      <w:bookmarkStart w:id="23607" w:name="_Toc3840800"/>
      <w:bookmarkStart w:id="23608" w:name="_Toc3928990"/>
      <w:bookmarkStart w:id="23609" w:name="_Toc3978377"/>
      <w:bookmarkStart w:id="23610" w:name="_Toc4012223"/>
      <w:bookmarkStart w:id="23611" w:name="_Toc4013249"/>
      <w:bookmarkStart w:id="23612" w:name="_Toc4022757"/>
      <w:bookmarkStart w:id="23613" w:name="_Toc4026582"/>
      <w:bookmarkStart w:id="23614" w:name="_Toc4139375"/>
      <w:bookmarkStart w:id="23615" w:name="_Toc4151469"/>
      <w:bookmarkStart w:id="23616" w:name="_Toc19391927"/>
      <w:bookmarkStart w:id="23617" w:name="_Toc19395424"/>
      <w:r>
        <w:rPr>
          <w:rFonts w:hint="cs"/>
          <w:rtl/>
        </w:rPr>
        <w:t>דברי הרמב"ם דבלא כלו חדשיו חלבו מותר ובכלו חדשיו אף שמותר בשחיטת אמו חלבו אסור</w:t>
      </w:r>
      <w:bookmarkEnd w:id="23607"/>
      <w:bookmarkEnd w:id="23608"/>
      <w:bookmarkEnd w:id="23609"/>
      <w:bookmarkEnd w:id="23610"/>
      <w:bookmarkEnd w:id="23611"/>
      <w:bookmarkEnd w:id="23612"/>
      <w:bookmarkEnd w:id="23613"/>
      <w:bookmarkEnd w:id="23614"/>
      <w:bookmarkEnd w:id="23615"/>
      <w:bookmarkEnd w:id="23616"/>
      <w:bookmarkEnd w:id="23617"/>
    </w:p>
    <w:p w14:paraId="51CB2408" w14:textId="77777777" w:rsidR="003D504D" w:rsidRDefault="003D504D" w:rsidP="00223668">
      <w:pPr>
        <w:pStyle w:val="a0"/>
        <w:rPr>
          <w:rtl/>
        </w:rPr>
      </w:pPr>
      <w:r>
        <w:rPr>
          <w:rFonts w:hint="cs"/>
          <w:rtl/>
        </w:rPr>
        <w:t xml:space="preserve">ועו"כ </w:t>
      </w:r>
      <w:r w:rsidRPr="003D10E0">
        <w:rPr>
          <w:rStyle w:val="af9"/>
          <w:rFonts w:hint="cs"/>
          <w:rtl/>
        </w:rPr>
        <w:t>הרמב"ם</w:t>
      </w:r>
      <w:r>
        <w:rPr>
          <w:rFonts w:hint="cs"/>
          <w:rtl/>
        </w:rPr>
        <w:t xml:space="preserve"> </w:t>
      </w:r>
      <w:r w:rsidRPr="00590D1E">
        <w:rPr>
          <w:rStyle w:val="af7"/>
          <w:rFonts w:eastAsia="Guttman Hodes" w:hint="cs"/>
          <w:rtl/>
        </w:rPr>
        <w:t>(מאכ"א פ"ז ה"ג)</w:t>
      </w:r>
      <w:r>
        <w:rPr>
          <w:rFonts w:hint="cs"/>
          <w:rtl/>
        </w:rPr>
        <w:t xml:space="preserve"> דשליל שלא כלו לו חדשיו אפילו אם הוא חי, חלבו מותר בשחיטת אמו, ובכלו לו חדשיו ומצאו חי אעפ"י שלא הפריס ע"ג קרקע, ואינו טעון שחיטה, מ"מ חלבו אסור וחייבין עליו כרת,</w:t>
      </w:r>
      <w:r w:rsidRPr="00590D1E">
        <w:rPr>
          <w:rFonts w:hint="cs"/>
          <w:rtl/>
        </w:rPr>
        <w:t xml:space="preserve"> </w:t>
      </w:r>
      <w:r>
        <w:rPr>
          <w:rFonts w:hint="cs"/>
          <w:rtl/>
        </w:rPr>
        <w:t xml:space="preserve">וכ"כ </w:t>
      </w:r>
      <w:r w:rsidRPr="00590D1E">
        <w:rPr>
          <w:rStyle w:val="af9"/>
          <w:rFonts w:hint="cs"/>
          <w:rtl/>
        </w:rPr>
        <w:t>הרמב"ם בפיהמ"ש בסוגיין</w:t>
      </w:r>
      <w:r>
        <w:rPr>
          <w:rFonts w:hint="cs"/>
          <w:rtl/>
        </w:rPr>
        <w:t xml:space="preserve"> דבן ט' חי שמותר לאוכלו לדעת חכמים, חלבו ודמו אסורים, וקיי"ל כחכמים.</w:t>
      </w:r>
    </w:p>
    <w:p w14:paraId="7932338D" w14:textId="77777777" w:rsidR="003D504D" w:rsidRPr="001A5590" w:rsidRDefault="003D504D" w:rsidP="003D504D">
      <w:pPr>
        <w:pStyle w:val="a3"/>
        <w:rPr>
          <w:rtl/>
        </w:rPr>
      </w:pPr>
      <w:bookmarkStart w:id="23618" w:name="_Toc3840802"/>
      <w:bookmarkStart w:id="23619" w:name="_Toc3928991"/>
      <w:bookmarkStart w:id="23620" w:name="_Toc3978378"/>
      <w:bookmarkStart w:id="23621" w:name="_Toc4012224"/>
      <w:bookmarkStart w:id="23622" w:name="_Toc4013250"/>
      <w:bookmarkStart w:id="23623" w:name="_Toc4022758"/>
      <w:bookmarkStart w:id="23624" w:name="_Toc4026583"/>
      <w:bookmarkStart w:id="23625" w:name="_Toc4139376"/>
      <w:bookmarkStart w:id="23626" w:name="_Toc4151470"/>
      <w:bookmarkStart w:id="23627" w:name="_Toc19391928"/>
      <w:bookmarkStart w:id="23628" w:name="_Toc19395425"/>
      <w:r>
        <w:rPr>
          <w:rFonts w:hint="cs"/>
          <w:rtl/>
        </w:rPr>
        <w:t>דברי הרמב"ם דהתולש חלב מבן ט' והוציאו לחוץ חייב עליו מדין חלב דחדשים גרמי</w:t>
      </w:r>
      <w:bookmarkEnd w:id="23618"/>
      <w:bookmarkEnd w:id="23619"/>
      <w:bookmarkEnd w:id="23620"/>
      <w:bookmarkEnd w:id="23621"/>
      <w:bookmarkEnd w:id="23622"/>
      <w:bookmarkEnd w:id="23623"/>
      <w:bookmarkEnd w:id="23624"/>
      <w:bookmarkEnd w:id="23625"/>
      <w:bookmarkEnd w:id="23626"/>
      <w:bookmarkEnd w:id="23627"/>
      <w:bookmarkEnd w:id="23628"/>
    </w:p>
    <w:p w14:paraId="15F0909A" w14:textId="77777777" w:rsidR="003D504D" w:rsidRDefault="003D504D" w:rsidP="00223668">
      <w:pPr>
        <w:pStyle w:val="a0"/>
        <w:rPr>
          <w:rtl/>
        </w:rPr>
      </w:pPr>
      <w:bookmarkStart w:id="23629" w:name="_Ref3132973"/>
      <w:r>
        <w:rPr>
          <w:rFonts w:hint="cs"/>
          <w:rtl/>
        </w:rPr>
        <w:t xml:space="preserve">ועו"כ </w:t>
      </w:r>
      <w:r w:rsidRPr="001A5590">
        <w:rPr>
          <w:rStyle w:val="af9"/>
          <w:rFonts w:hint="cs"/>
          <w:rtl/>
        </w:rPr>
        <w:t>הרמב"ם</w:t>
      </w:r>
      <w:r w:rsidRPr="001A5590">
        <w:rPr>
          <w:rStyle w:val="af7"/>
          <w:rFonts w:eastAsia="Guttman Hodes" w:hint="cs"/>
          <w:rtl/>
        </w:rPr>
        <w:t xml:space="preserve"> (מאכ"א פ"ז ה"ד) </w:t>
      </w:r>
      <w:r>
        <w:rPr>
          <w:rFonts w:hint="cs"/>
          <w:rtl/>
        </w:rPr>
        <w:t xml:space="preserve">דבהושיט ידו למעי בהמה וחתך חלב מעובר שכלו לו חדשיו, והוציא את החלב לחוץ, דהחלב אסור וחייב עליו כאילו חתכו מהבהמה עצמה, דחדשים גרמי לאיסור החלב, ועי' בדברי </w:t>
      </w:r>
      <w:r w:rsidRPr="00DD28D0">
        <w:rPr>
          <w:rStyle w:val="af9"/>
          <w:rFonts w:hint="cs"/>
          <w:rtl/>
        </w:rPr>
        <w:t>הכס"מ</w:t>
      </w:r>
      <w:r>
        <w:rPr>
          <w:rFonts w:hint="cs"/>
          <w:rtl/>
        </w:rPr>
        <w:t xml:space="preserve"> </w:t>
      </w:r>
      <w:r w:rsidRPr="00140649">
        <w:rPr>
          <w:rStyle w:val="af7"/>
          <w:rFonts w:eastAsia="Guttman Hodes" w:hint="cs"/>
          <w:rtl/>
        </w:rPr>
        <w:t xml:space="preserve">(עי' אות </w:t>
      </w:r>
      <w:r w:rsidRPr="00140649">
        <w:rPr>
          <w:rStyle w:val="af7"/>
          <w:rFonts w:eastAsia="Guttman Hodes"/>
          <w:rtl/>
        </w:rPr>
        <w:fldChar w:fldCharType="begin"/>
      </w:r>
      <w:r w:rsidRPr="00140649">
        <w:rPr>
          <w:rStyle w:val="af7"/>
          <w:rFonts w:eastAsia="Guttman Hodes"/>
          <w:rtl/>
        </w:rPr>
        <w:instrText xml:space="preserve"> </w:instrText>
      </w:r>
      <w:r w:rsidRPr="00140649">
        <w:rPr>
          <w:rStyle w:val="af7"/>
          <w:rFonts w:eastAsia="Guttman Hodes" w:hint="cs"/>
        </w:rPr>
        <w:instrText>REF</w:instrText>
      </w:r>
      <w:r w:rsidRPr="00140649">
        <w:rPr>
          <w:rStyle w:val="af7"/>
          <w:rFonts w:eastAsia="Guttman Hodes" w:hint="cs"/>
          <w:rtl/>
        </w:rPr>
        <w:instrText xml:space="preserve"> _</w:instrText>
      </w:r>
      <w:r w:rsidRPr="00140649">
        <w:rPr>
          <w:rStyle w:val="af7"/>
          <w:rFonts w:eastAsia="Guttman Hodes" w:hint="cs"/>
        </w:rPr>
        <w:instrText>Ref4009004 \r \h</w:instrText>
      </w:r>
      <w:r w:rsidRPr="00140649">
        <w:rPr>
          <w:rStyle w:val="af7"/>
          <w:rFonts w:eastAsia="Guttman Hodes"/>
          <w:rtl/>
        </w:rPr>
        <w:instrText xml:space="preserve"> </w:instrText>
      </w:r>
      <w:r w:rsidRPr="00140649">
        <w:rPr>
          <w:rStyle w:val="af7"/>
          <w:rFonts w:eastAsia="Guttman Hodes"/>
          <w:rtl/>
        </w:rPr>
      </w:r>
      <w:r w:rsidRPr="00140649">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140649">
        <w:rPr>
          <w:rStyle w:val="af7"/>
          <w:rFonts w:eastAsia="Guttman Hodes"/>
          <w:rtl/>
        </w:rPr>
        <w:fldChar w:fldCharType="end"/>
      </w:r>
      <w:r>
        <w:rPr>
          <w:rFonts w:hint="cs"/>
          <w:rtl/>
        </w:rPr>
        <w:t>.</w:t>
      </w:r>
      <w:bookmarkEnd w:id="23629"/>
    </w:p>
    <w:p w14:paraId="48E81878" w14:textId="77777777" w:rsidR="003D504D" w:rsidRDefault="003D504D" w:rsidP="003D504D">
      <w:pPr>
        <w:pStyle w:val="a3"/>
        <w:rPr>
          <w:rtl/>
        </w:rPr>
      </w:pPr>
      <w:bookmarkStart w:id="23630" w:name="_Toc3840803"/>
      <w:bookmarkStart w:id="23631" w:name="_Toc3928992"/>
      <w:bookmarkStart w:id="23632" w:name="_Toc3978379"/>
      <w:bookmarkStart w:id="23633" w:name="_Toc4012225"/>
      <w:bookmarkStart w:id="23634" w:name="_Toc4013251"/>
      <w:bookmarkStart w:id="23635" w:name="_Toc4022759"/>
      <w:bookmarkStart w:id="23636" w:name="_Toc4026584"/>
      <w:bookmarkStart w:id="23637" w:name="_Toc4139377"/>
      <w:bookmarkStart w:id="23638" w:name="_Toc4151471"/>
      <w:bookmarkStart w:id="23639" w:name="_Toc19391929"/>
      <w:bookmarkStart w:id="23640" w:name="_Toc19395426"/>
      <w:r>
        <w:rPr>
          <w:rFonts w:hint="cs"/>
          <w:rtl/>
        </w:rPr>
        <w:t>דברי הרמב"ם דגיד הנשה נוהג בשליל</w:t>
      </w:r>
      <w:bookmarkEnd w:id="23630"/>
      <w:bookmarkEnd w:id="23631"/>
      <w:bookmarkEnd w:id="23632"/>
      <w:bookmarkEnd w:id="23633"/>
      <w:bookmarkEnd w:id="23634"/>
      <w:bookmarkEnd w:id="23635"/>
      <w:bookmarkEnd w:id="23636"/>
      <w:bookmarkEnd w:id="23637"/>
      <w:bookmarkEnd w:id="23638"/>
      <w:bookmarkEnd w:id="23639"/>
      <w:bookmarkEnd w:id="23640"/>
    </w:p>
    <w:p w14:paraId="0AFF9A19" w14:textId="77777777" w:rsidR="003D504D" w:rsidRDefault="003D504D" w:rsidP="00223668">
      <w:pPr>
        <w:pStyle w:val="a0"/>
        <w:rPr>
          <w:rtl/>
        </w:rPr>
      </w:pPr>
      <w:bookmarkStart w:id="23641" w:name="_Ref3971525"/>
      <w:bookmarkStart w:id="23642" w:name="_Toc2718664"/>
      <w:bookmarkStart w:id="23643" w:name="_Toc2866726"/>
      <w:r>
        <w:rPr>
          <w:rFonts w:hint="cs"/>
          <w:rtl/>
        </w:rPr>
        <w:t xml:space="preserve">ועו"כ </w:t>
      </w:r>
      <w:r w:rsidRPr="009D410D">
        <w:rPr>
          <w:rStyle w:val="af9"/>
          <w:rFonts w:hint="cs"/>
          <w:rtl/>
        </w:rPr>
        <w:t>הרמב"ם</w:t>
      </w:r>
      <w:r>
        <w:rPr>
          <w:rFonts w:hint="cs"/>
          <w:rtl/>
        </w:rPr>
        <w:t xml:space="preserve"> </w:t>
      </w:r>
      <w:r w:rsidRPr="00CB40FE">
        <w:rPr>
          <w:rStyle w:val="af7"/>
          <w:rFonts w:eastAsia="Guttman Hodes" w:hint="cs"/>
          <w:rtl/>
        </w:rPr>
        <w:t>(מאכ"א פ"ח ה"א)</w:t>
      </w:r>
      <w:r>
        <w:rPr>
          <w:rFonts w:hint="cs"/>
          <w:rtl/>
        </w:rPr>
        <w:t xml:space="preserve"> דגיד הנשה נוהג בשליל, ועי' בדברי </w:t>
      </w:r>
      <w:r w:rsidRPr="004265F4">
        <w:rPr>
          <w:rStyle w:val="af9"/>
          <w:rFonts w:hint="cs"/>
          <w:rtl/>
        </w:rPr>
        <w:t>הרד"ע</w:t>
      </w:r>
      <w:r w:rsidRPr="004265F4">
        <w:rPr>
          <w:rStyle w:val="af7"/>
          <w:rFonts w:eastAsia="Guttman Hodes" w:hint="cs"/>
          <w:rtl/>
        </w:rPr>
        <w:t xml:space="preserve"> (עי' אות </w:t>
      </w:r>
      <w:r w:rsidRPr="004265F4">
        <w:rPr>
          <w:rStyle w:val="af7"/>
          <w:rFonts w:eastAsia="Guttman Hodes"/>
          <w:rtl/>
        </w:rPr>
        <w:fldChar w:fldCharType="begin"/>
      </w:r>
      <w:r w:rsidRPr="004265F4">
        <w:rPr>
          <w:rStyle w:val="af7"/>
          <w:rFonts w:eastAsia="Guttman Hodes"/>
          <w:rtl/>
        </w:rPr>
        <w:instrText xml:space="preserve"> </w:instrText>
      </w:r>
      <w:r w:rsidRPr="004265F4">
        <w:rPr>
          <w:rStyle w:val="af7"/>
          <w:rFonts w:eastAsia="Guttman Hodes" w:hint="cs"/>
        </w:rPr>
        <w:instrText>REF</w:instrText>
      </w:r>
      <w:r w:rsidRPr="004265F4">
        <w:rPr>
          <w:rStyle w:val="af7"/>
          <w:rFonts w:eastAsia="Guttman Hodes" w:hint="cs"/>
          <w:rtl/>
        </w:rPr>
        <w:instrText xml:space="preserve"> _</w:instrText>
      </w:r>
      <w:r w:rsidRPr="004265F4">
        <w:rPr>
          <w:rStyle w:val="af7"/>
          <w:rFonts w:eastAsia="Guttman Hodes" w:hint="cs"/>
        </w:rPr>
        <w:instrText>Ref3972115 \r \h</w:instrText>
      </w:r>
      <w:r w:rsidRPr="004265F4">
        <w:rPr>
          <w:rStyle w:val="af7"/>
          <w:rFonts w:eastAsia="Guttman Hodes"/>
          <w:rtl/>
        </w:rPr>
        <w:instrText xml:space="preserve"> </w:instrText>
      </w:r>
      <w:r w:rsidRPr="004265F4">
        <w:rPr>
          <w:rStyle w:val="af7"/>
          <w:rFonts w:eastAsia="Guttman Hodes"/>
          <w:rtl/>
        </w:rPr>
      </w:r>
      <w:r w:rsidRPr="004265F4">
        <w:rPr>
          <w:rStyle w:val="af7"/>
          <w:rFonts w:eastAsia="Guttman Hodes"/>
          <w:rtl/>
        </w:rPr>
        <w:fldChar w:fldCharType="separate"/>
      </w:r>
      <w:r w:rsidR="00345400">
        <w:rPr>
          <w:rStyle w:val="af7"/>
          <w:rFonts w:eastAsia="Guttman Hodes"/>
          <w:cs/>
        </w:rPr>
        <w:t>‎</w:t>
      </w:r>
      <w:r w:rsidR="00345400">
        <w:rPr>
          <w:rStyle w:val="af7"/>
          <w:rFonts w:eastAsia="Guttman Hodes"/>
          <w:rtl/>
        </w:rPr>
        <w:t>סג)</w:t>
      </w:r>
      <w:r w:rsidRPr="004265F4">
        <w:rPr>
          <w:rStyle w:val="af7"/>
          <w:rFonts w:eastAsia="Guttman Hodes"/>
          <w:rtl/>
        </w:rPr>
        <w:fldChar w:fldCharType="end"/>
      </w:r>
      <w:r w:rsidRPr="004265F4">
        <w:rPr>
          <w:rStyle w:val="af7"/>
          <w:rFonts w:eastAsia="Guttman Hodes" w:hint="cs"/>
          <w:rtl/>
        </w:rPr>
        <w:t xml:space="preserve"> </w:t>
      </w:r>
      <w:r>
        <w:rPr>
          <w:rFonts w:hint="cs"/>
          <w:rtl/>
        </w:rPr>
        <w:t xml:space="preserve">דמשמע </w:t>
      </w:r>
      <w:r w:rsidRPr="004265F4">
        <w:rPr>
          <w:rStyle w:val="af9"/>
          <w:rFonts w:hint="cs"/>
          <w:rtl/>
        </w:rPr>
        <w:t>במ"מ דהרמב"ם</w:t>
      </w:r>
      <w:r>
        <w:rPr>
          <w:rFonts w:hint="cs"/>
          <w:rtl/>
        </w:rPr>
        <w:t xml:space="preserve"> אוסר רק בגיד של בן ח', אבל </w:t>
      </w:r>
      <w:r w:rsidRPr="004265F4">
        <w:rPr>
          <w:rStyle w:val="af9"/>
          <w:rFonts w:hint="cs"/>
          <w:rtl/>
        </w:rPr>
        <w:t>הרמ"ך</w:t>
      </w:r>
      <w:r w:rsidRPr="004265F4">
        <w:rPr>
          <w:rStyle w:val="af7"/>
          <w:rFonts w:eastAsia="Guttman Hodes" w:hint="cs"/>
          <w:rtl/>
        </w:rPr>
        <w:t xml:space="preserve"> (עי' אות </w:t>
      </w:r>
      <w:r w:rsidRPr="004265F4">
        <w:rPr>
          <w:rStyle w:val="af7"/>
          <w:rFonts w:eastAsia="Guttman Hodes"/>
          <w:rtl/>
        </w:rPr>
        <w:fldChar w:fldCharType="begin"/>
      </w:r>
      <w:r w:rsidRPr="004265F4">
        <w:rPr>
          <w:rStyle w:val="af7"/>
          <w:rFonts w:eastAsia="Guttman Hodes"/>
          <w:rtl/>
        </w:rPr>
        <w:instrText xml:space="preserve"> </w:instrText>
      </w:r>
      <w:r w:rsidRPr="004265F4">
        <w:rPr>
          <w:rStyle w:val="af7"/>
          <w:rFonts w:eastAsia="Guttman Hodes" w:hint="cs"/>
        </w:rPr>
        <w:instrText>REF</w:instrText>
      </w:r>
      <w:r w:rsidRPr="004265F4">
        <w:rPr>
          <w:rStyle w:val="af7"/>
          <w:rFonts w:eastAsia="Guttman Hodes" w:hint="cs"/>
          <w:rtl/>
        </w:rPr>
        <w:instrText xml:space="preserve"> _</w:instrText>
      </w:r>
      <w:r w:rsidRPr="004265F4">
        <w:rPr>
          <w:rStyle w:val="af7"/>
          <w:rFonts w:eastAsia="Guttman Hodes" w:hint="cs"/>
        </w:rPr>
        <w:instrText>Ref4098180 \r \h</w:instrText>
      </w:r>
      <w:r w:rsidRPr="004265F4">
        <w:rPr>
          <w:rStyle w:val="af7"/>
          <w:rFonts w:eastAsia="Guttman Hodes"/>
          <w:rtl/>
        </w:rPr>
        <w:instrText xml:space="preserve"> </w:instrText>
      </w:r>
      <w:r w:rsidRPr="004265F4">
        <w:rPr>
          <w:rStyle w:val="af7"/>
          <w:rFonts w:eastAsia="Guttman Hodes"/>
          <w:rtl/>
        </w:rPr>
      </w:r>
      <w:r w:rsidRPr="004265F4">
        <w:rPr>
          <w:rStyle w:val="af7"/>
          <w:rFonts w:eastAsia="Guttman Hodes"/>
          <w:rtl/>
        </w:rPr>
        <w:fldChar w:fldCharType="separate"/>
      </w:r>
      <w:r w:rsidR="00345400">
        <w:rPr>
          <w:rStyle w:val="af7"/>
          <w:rFonts w:eastAsia="Guttman Hodes"/>
          <w:cs/>
        </w:rPr>
        <w:t>‎</w:t>
      </w:r>
      <w:r w:rsidR="00345400">
        <w:rPr>
          <w:rStyle w:val="af7"/>
          <w:rFonts w:eastAsia="Guttman Hodes"/>
          <w:rtl/>
        </w:rPr>
        <w:t>סד)</w:t>
      </w:r>
      <w:r w:rsidRPr="004265F4">
        <w:rPr>
          <w:rStyle w:val="af7"/>
          <w:rFonts w:eastAsia="Guttman Hodes"/>
          <w:rtl/>
        </w:rPr>
        <w:fldChar w:fldCharType="end"/>
      </w:r>
      <w:r>
        <w:rPr>
          <w:rFonts w:hint="cs"/>
          <w:rtl/>
        </w:rPr>
        <w:t xml:space="preserve"> כתב דאף בבן ח' אסור, וע"ע בדברי </w:t>
      </w:r>
      <w:r w:rsidRPr="00653ED8">
        <w:rPr>
          <w:rStyle w:val="af9"/>
          <w:rFonts w:hint="cs"/>
          <w:rtl/>
        </w:rPr>
        <w:t>היד יהודה</w:t>
      </w:r>
      <w:r>
        <w:rPr>
          <w:rFonts w:hint="cs"/>
          <w:rtl/>
        </w:rPr>
        <w:t xml:space="preserve"> </w:t>
      </w:r>
      <w:r w:rsidRPr="00653ED8">
        <w:rPr>
          <w:rStyle w:val="af7"/>
          <w:rFonts w:eastAsia="Guttman Hodes" w:hint="cs"/>
          <w:rtl/>
        </w:rPr>
        <w:t xml:space="preserve">(עי' אות </w:t>
      </w:r>
      <w:r w:rsidRPr="00653ED8">
        <w:rPr>
          <w:rStyle w:val="af7"/>
          <w:rFonts w:eastAsia="Guttman Hodes"/>
          <w:rtl/>
        </w:rPr>
        <w:fldChar w:fldCharType="begin"/>
      </w:r>
      <w:r w:rsidRPr="00653ED8">
        <w:rPr>
          <w:rStyle w:val="af7"/>
          <w:rFonts w:eastAsia="Guttman Hodes"/>
          <w:rtl/>
        </w:rPr>
        <w:instrText xml:space="preserve"> </w:instrText>
      </w:r>
      <w:r w:rsidRPr="00653ED8">
        <w:rPr>
          <w:rStyle w:val="af7"/>
          <w:rFonts w:eastAsia="Guttman Hodes" w:hint="cs"/>
        </w:rPr>
        <w:instrText>REF</w:instrText>
      </w:r>
      <w:r w:rsidRPr="00653ED8">
        <w:rPr>
          <w:rStyle w:val="af7"/>
          <w:rFonts w:eastAsia="Guttman Hodes" w:hint="cs"/>
          <w:rtl/>
        </w:rPr>
        <w:instrText xml:space="preserve"> _</w:instrText>
      </w:r>
      <w:r w:rsidRPr="00653ED8">
        <w:rPr>
          <w:rStyle w:val="af7"/>
          <w:rFonts w:eastAsia="Guttman Hodes" w:hint="cs"/>
        </w:rPr>
        <w:instrText>Ref3971598 \r \h</w:instrText>
      </w:r>
      <w:r w:rsidRPr="00653ED8">
        <w:rPr>
          <w:rStyle w:val="af7"/>
          <w:rFonts w:eastAsia="Guttman Hodes"/>
          <w:rtl/>
        </w:rPr>
        <w:instrText xml:space="preserve"> </w:instrText>
      </w:r>
      <w:r w:rsidRPr="00653ED8">
        <w:rPr>
          <w:rStyle w:val="af7"/>
          <w:rFonts w:eastAsia="Guttman Hodes"/>
          <w:rtl/>
        </w:rPr>
      </w:r>
      <w:r w:rsidRPr="00653ED8">
        <w:rPr>
          <w:rStyle w:val="af7"/>
          <w:rFonts w:eastAsia="Guttman Hodes"/>
          <w:rtl/>
        </w:rPr>
        <w:fldChar w:fldCharType="separate"/>
      </w:r>
      <w:r w:rsidR="00345400">
        <w:rPr>
          <w:rStyle w:val="af7"/>
          <w:rFonts w:eastAsia="Guttman Hodes"/>
          <w:cs/>
        </w:rPr>
        <w:t>‎</w:t>
      </w:r>
      <w:r w:rsidR="00345400">
        <w:rPr>
          <w:rStyle w:val="af7"/>
          <w:rFonts w:eastAsia="Guttman Hodes"/>
          <w:rtl/>
        </w:rPr>
        <w:t>סה)</w:t>
      </w:r>
      <w:r w:rsidRPr="00653ED8">
        <w:rPr>
          <w:rStyle w:val="af7"/>
          <w:rFonts w:eastAsia="Guttman Hodes"/>
          <w:rtl/>
        </w:rPr>
        <w:fldChar w:fldCharType="end"/>
      </w:r>
      <w:r>
        <w:rPr>
          <w:rFonts w:hint="cs"/>
          <w:rtl/>
        </w:rPr>
        <w:t xml:space="preserve"> דכתב דלשון "שליל" </w:t>
      </w:r>
      <w:r w:rsidRPr="00653ED8">
        <w:rPr>
          <w:rStyle w:val="af9"/>
          <w:rFonts w:hint="cs"/>
          <w:rtl/>
        </w:rPr>
        <w:t>ברמב"ם</w:t>
      </w:r>
      <w:r>
        <w:rPr>
          <w:rFonts w:hint="cs"/>
          <w:rtl/>
        </w:rPr>
        <w:t xml:space="preserve"> היינו בן ח', ולשון "עובר" היינו בן ט'.</w:t>
      </w:r>
      <w:bookmarkEnd w:id="23641"/>
    </w:p>
    <w:p w14:paraId="0AC77725" w14:textId="77777777" w:rsidR="003D504D" w:rsidRDefault="003D504D" w:rsidP="003D504D">
      <w:pPr>
        <w:pStyle w:val="afe"/>
        <w:rPr>
          <w:rtl/>
        </w:rPr>
      </w:pPr>
      <w:bookmarkStart w:id="23644" w:name="_Toc3928993"/>
      <w:bookmarkStart w:id="23645" w:name="_Toc3978380"/>
      <w:bookmarkStart w:id="23646" w:name="_Toc4012226"/>
      <w:bookmarkStart w:id="23647" w:name="_Toc4013252"/>
      <w:bookmarkStart w:id="23648" w:name="_Toc4022760"/>
      <w:bookmarkStart w:id="23649" w:name="_Toc4026585"/>
      <w:bookmarkStart w:id="23650" w:name="_Toc4139378"/>
      <w:bookmarkStart w:id="23651" w:name="_Toc4151472"/>
      <w:bookmarkStart w:id="23652" w:name="_Toc19436370"/>
      <w:bookmarkStart w:id="23653" w:name="_Toc20081500"/>
      <w:bookmarkStart w:id="23654" w:name="_Toc3840808"/>
      <w:bookmarkStart w:id="23655" w:name="_Toc3840804"/>
      <w:r>
        <w:rPr>
          <w:rFonts w:hint="cs"/>
          <w:rtl/>
        </w:rPr>
        <w:t>קושיות הראשונים על הרמב"ם</w:t>
      </w:r>
      <w:bookmarkEnd w:id="23644"/>
      <w:bookmarkEnd w:id="23645"/>
      <w:bookmarkEnd w:id="23646"/>
      <w:bookmarkEnd w:id="23647"/>
      <w:bookmarkEnd w:id="23648"/>
      <w:bookmarkEnd w:id="23649"/>
      <w:bookmarkEnd w:id="23650"/>
      <w:bookmarkEnd w:id="23651"/>
      <w:bookmarkEnd w:id="23652"/>
      <w:bookmarkEnd w:id="23653"/>
    </w:p>
    <w:p w14:paraId="2132738D" w14:textId="77777777" w:rsidR="003D504D" w:rsidRDefault="003D504D" w:rsidP="00BF39B2">
      <w:pPr>
        <w:pStyle w:val="1"/>
        <w:rPr>
          <w:rtl/>
        </w:rPr>
      </w:pPr>
      <w:bookmarkStart w:id="23656" w:name="_Toc3928994"/>
      <w:bookmarkStart w:id="23657" w:name="_Toc3978381"/>
      <w:bookmarkStart w:id="23658" w:name="_Toc4012227"/>
      <w:bookmarkStart w:id="23659" w:name="_Toc4013253"/>
      <w:bookmarkStart w:id="23660" w:name="_Toc4022761"/>
      <w:bookmarkStart w:id="23661" w:name="_Toc4026586"/>
      <w:bookmarkStart w:id="23662" w:name="_Toc4139379"/>
      <w:bookmarkStart w:id="23663" w:name="_Toc4151473"/>
      <w:bookmarkStart w:id="23664" w:name="_Toc19391930"/>
      <w:bookmarkStart w:id="23665" w:name="_Toc19395427"/>
      <w:r>
        <w:rPr>
          <w:rFonts w:hint="cs"/>
          <w:rtl/>
        </w:rPr>
        <w:t>ביאור הרשב"א והרא"ש ברמב"ם</w:t>
      </w:r>
      <w:bookmarkEnd w:id="23654"/>
      <w:r>
        <w:rPr>
          <w:rFonts w:hint="cs"/>
          <w:rtl/>
        </w:rPr>
        <w:t xml:space="preserve"> דריו"ח ור"ל נח' בר"מ ור"י</w:t>
      </w:r>
      <w:bookmarkEnd w:id="23656"/>
      <w:bookmarkEnd w:id="23657"/>
      <w:bookmarkEnd w:id="23658"/>
      <w:bookmarkEnd w:id="23659"/>
      <w:bookmarkEnd w:id="23660"/>
      <w:bookmarkEnd w:id="23661"/>
      <w:bookmarkEnd w:id="23662"/>
      <w:bookmarkEnd w:id="23663"/>
      <w:bookmarkEnd w:id="23664"/>
      <w:bookmarkEnd w:id="23665"/>
    </w:p>
    <w:p w14:paraId="2787A90A" w14:textId="77777777" w:rsidR="003D504D" w:rsidRPr="00F65887" w:rsidRDefault="003D504D" w:rsidP="003D504D">
      <w:pPr>
        <w:pStyle w:val="a3"/>
        <w:rPr>
          <w:rtl/>
        </w:rPr>
      </w:pPr>
      <w:bookmarkStart w:id="23666" w:name="_Toc3928995"/>
      <w:bookmarkStart w:id="23667" w:name="_Toc3978382"/>
      <w:bookmarkStart w:id="23668" w:name="_Toc4012228"/>
      <w:bookmarkStart w:id="23669" w:name="_Toc4013254"/>
      <w:bookmarkStart w:id="23670" w:name="_Toc4022762"/>
      <w:bookmarkStart w:id="23671" w:name="_Toc4026587"/>
      <w:bookmarkStart w:id="23672" w:name="_Toc4139380"/>
      <w:bookmarkStart w:id="23673" w:name="_Toc4151474"/>
      <w:bookmarkStart w:id="23674" w:name="_Toc19391931"/>
      <w:bookmarkStart w:id="23675" w:name="_Toc19395428"/>
      <w:r>
        <w:rPr>
          <w:rFonts w:hint="cs"/>
          <w:rtl/>
        </w:rPr>
        <w:t>ביאור הרשב"א והרא"ש ברמב"ם דריו"ח ור"ל נחלקו בפלוגתת ר"מ ור"י וקיי"ל כריו"ח בחלב</w:t>
      </w:r>
      <w:bookmarkEnd w:id="23666"/>
      <w:bookmarkEnd w:id="23667"/>
      <w:bookmarkEnd w:id="23668"/>
      <w:bookmarkEnd w:id="23669"/>
      <w:bookmarkEnd w:id="23670"/>
      <w:bookmarkEnd w:id="23671"/>
      <w:bookmarkEnd w:id="23672"/>
      <w:bookmarkEnd w:id="23673"/>
      <w:bookmarkEnd w:id="23674"/>
      <w:bookmarkEnd w:id="23675"/>
    </w:p>
    <w:p w14:paraId="1A6C9CAF" w14:textId="77777777" w:rsidR="003D504D" w:rsidRDefault="003D504D" w:rsidP="00223668">
      <w:pPr>
        <w:pStyle w:val="a0"/>
        <w:rPr>
          <w:rtl/>
        </w:rPr>
      </w:pPr>
      <w:bookmarkStart w:id="23676" w:name="_Ref3921945"/>
      <w:r>
        <w:rPr>
          <w:rFonts w:hint="cs"/>
          <w:rtl/>
        </w:rPr>
        <w:t xml:space="preserve">וביארו </w:t>
      </w:r>
      <w:r w:rsidRPr="006654E4">
        <w:rPr>
          <w:rStyle w:val="af9"/>
          <w:rFonts w:hint="cs"/>
          <w:rtl/>
        </w:rPr>
        <w:t>הרשב"א</w:t>
      </w:r>
      <w:r>
        <w:rPr>
          <w:rFonts w:hint="cs"/>
          <w:rtl/>
        </w:rPr>
        <w:t xml:space="preserve"> </w:t>
      </w:r>
      <w:r w:rsidRPr="006654E4">
        <w:rPr>
          <w:rStyle w:val="af7"/>
          <w:rFonts w:eastAsia="Guttman Hodes" w:hint="cs"/>
          <w:rtl/>
        </w:rPr>
        <w:t>(עה. ד"ה איכא)</w:t>
      </w:r>
      <w:r>
        <w:rPr>
          <w:rFonts w:hint="cs"/>
          <w:rtl/>
        </w:rPr>
        <w:t xml:space="preserve"> </w:t>
      </w:r>
      <w:r>
        <w:rPr>
          <w:rStyle w:val="af9"/>
          <w:rFonts w:hint="cs"/>
          <w:rtl/>
        </w:rPr>
        <w:t>ו</w:t>
      </w:r>
      <w:r w:rsidRPr="009647F8">
        <w:rPr>
          <w:rStyle w:val="af9"/>
          <w:rFonts w:hint="cs"/>
          <w:rtl/>
        </w:rPr>
        <w:t>הרא"ש</w:t>
      </w:r>
      <w:r>
        <w:rPr>
          <w:rFonts w:hint="cs"/>
          <w:rtl/>
        </w:rPr>
        <w:t xml:space="preserve"> </w:t>
      </w:r>
      <w:r w:rsidRPr="00C85ADD">
        <w:rPr>
          <w:rStyle w:val="af7"/>
          <w:rFonts w:eastAsia="Guttman Hodes" w:hint="cs"/>
          <w:rtl/>
        </w:rPr>
        <w:t>(סי' ה')</w:t>
      </w:r>
      <w:r>
        <w:rPr>
          <w:rFonts w:hint="cs"/>
          <w:rtl/>
        </w:rPr>
        <w:t xml:space="preserve"> דס"ל </w:t>
      </w:r>
      <w:r w:rsidRPr="009647F8">
        <w:rPr>
          <w:rStyle w:val="af9"/>
          <w:rFonts w:hint="cs"/>
          <w:rtl/>
        </w:rPr>
        <w:t>להרמב"ם</w:t>
      </w:r>
      <w:r>
        <w:rPr>
          <w:rFonts w:hint="cs"/>
          <w:rtl/>
        </w:rPr>
        <w:t xml:space="preserve"> דריו"ח ור"ל נחלקו בפלוגתת ר"מ ור"י, דריו"ח ס"ל כר"מ ור"ל כר"י, ונחלקו בכל בן ט' חי, דלריו"ח חדשים גרמי וחלבו אסור, ולר"ל אוירא וחדשים גרמי, וכיון דקיי"ל כריו"ח, לכן פסק </w:t>
      </w:r>
      <w:r w:rsidRPr="006654E4">
        <w:rPr>
          <w:rStyle w:val="af9"/>
          <w:rFonts w:hint="cs"/>
          <w:rtl/>
        </w:rPr>
        <w:t>הרמב"ם</w:t>
      </w:r>
      <w:r>
        <w:rPr>
          <w:rFonts w:hint="cs"/>
          <w:rtl/>
        </w:rPr>
        <w:t xml:space="preserve"> דאף דקיי"ל כר"י דבן ט' מותר בשחיטת אמו, מ"מ פסק הרמב"ם דחלבו אסור כר"מ, ועי' במה שהקשה </w:t>
      </w:r>
      <w:r w:rsidRPr="000C6547">
        <w:rPr>
          <w:rStyle w:val="af9"/>
          <w:rFonts w:hint="cs"/>
          <w:rtl/>
        </w:rPr>
        <w:t>האבי עזרי</w:t>
      </w:r>
      <w:r>
        <w:rPr>
          <w:rFonts w:hint="cs"/>
          <w:rtl/>
        </w:rPr>
        <w:t xml:space="preserve"> </w:t>
      </w:r>
      <w:r w:rsidRPr="000C6547">
        <w:rPr>
          <w:rStyle w:val="af7"/>
          <w:rFonts w:eastAsia="Guttman Hodes" w:hint="cs"/>
          <w:rtl/>
        </w:rPr>
        <w:t xml:space="preserve">(עי' אות </w:t>
      </w:r>
      <w:r w:rsidRPr="000C6547">
        <w:rPr>
          <w:rStyle w:val="af7"/>
          <w:rFonts w:eastAsia="Guttman Hodes"/>
          <w:rtl/>
        </w:rPr>
        <w:fldChar w:fldCharType="begin"/>
      </w:r>
      <w:r w:rsidRPr="000C6547">
        <w:rPr>
          <w:rStyle w:val="af7"/>
          <w:rFonts w:eastAsia="Guttman Hodes"/>
          <w:rtl/>
        </w:rPr>
        <w:instrText xml:space="preserve"> </w:instrText>
      </w:r>
      <w:r w:rsidRPr="000C6547">
        <w:rPr>
          <w:rStyle w:val="af7"/>
          <w:rFonts w:eastAsia="Guttman Hodes" w:hint="cs"/>
        </w:rPr>
        <w:instrText>REF</w:instrText>
      </w:r>
      <w:r w:rsidRPr="000C6547">
        <w:rPr>
          <w:rStyle w:val="af7"/>
          <w:rFonts w:eastAsia="Guttman Hodes" w:hint="cs"/>
          <w:rtl/>
        </w:rPr>
        <w:instrText xml:space="preserve"> _</w:instrText>
      </w:r>
      <w:r w:rsidRPr="000C6547">
        <w:rPr>
          <w:rStyle w:val="af7"/>
          <w:rFonts w:eastAsia="Guttman Hodes" w:hint="cs"/>
        </w:rPr>
        <w:instrText>Ref4013577 \r \h</w:instrText>
      </w:r>
      <w:r w:rsidRPr="000C6547">
        <w:rPr>
          <w:rStyle w:val="af7"/>
          <w:rFonts w:eastAsia="Guttman Hodes"/>
          <w:rtl/>
        </w:rPr>
        <w:instrText xml:space="preserve"> </w:instrText>
      </w:r>
      <w:r w:rsidRPr="000C6547">
        <w:rPr>
          <w:rStyle w:val="af7"/>
          <w:rFonts w:eastAsia="Guttman Hodes"/>
          <w:rtl/>
        </w:rPr>
      </w:r>
      <w:r w:rsidRPr="000C6547">
        <w:rPr>
          <w:rStyle w:val="af7"/>
          <w:rFonts w:eastAsia="Guttman Hodes"/>
          <w:rtl/>
        </w:rPr>
        <w:fldChar w:fldCharType="separate"/>
      </w:r>
      <w:r w:rsidR="00345400">
        <w:rPr>
          <w:rStyle w:val="af7"/>
          <w:rFonts w:eastAsia="Guttman Hodes"/>
          <w:cs/>
        </w:rPr>
        <w:t>‎</w:t>
      </w:r>
      <w:r w:rsidR="00345400">
        <w:rPr>
          <w:rStyle w:val="af7"/>
          <w:rFonts w:eastAsia="Guttman Hodes"/>
          <w:rtl/>
        </w:rPr>
        <w:t>צב)</w:t>
      </w:r>
      <w:r w:rsidRPr="000C6547">
        <w:rPr>
          <w:rStyle w:val="af7"/>
          <w:rFonts w:eastAsia="Guttman Hodes"/>
          <w:rtl/>
        </w:rPr>
        <w:fldChar w:fldCharType="end"/>
      </w:r>
      <w:r>
        <w:rPr>
          <w:rFonts w:hint="cs"/>
          <w:rtl/>
        </w:rPr>
        <w:t xml:space="preserve"> על </w:t>
      </w:r>
      <w:r w:rsidRPr="000C6547">
        <w:rPr>
          <w:rStyle w:val="af9"/>
          <w:rFonts w:hint="cs"/>
          <w:rtl/>
        </w:rPr>
        <w:t>הרא"ש</w:t>
      </w:r>
      <w:r>
        <w:rPr>
          <w:rFonts w:hint="cs"/>
          <w:rtl/>
        </w:rPr>
        <w:t>.</w:t>
      </w:r>
      <w:bookmarkEnd w:id="23676"/>
    </w:p>
    <w:p w14:paraId="53C393F4" w14:textId="77777777" w:rsidR="003D504D" w:rsidRPr="008C623F" w:rsidRDefault="003D504D" w:rsidP="003D504D">
      <w:pPr>
        <w:pStyle w:val="a3"/>
        <w:rPr>
          <w:rtl/>
        </w:rPr>
      </w:pPr>
      <w:bookmarkStart w:id="23677" w:name="_Toc3928996"/>
      <w:bookmarkStart w:id="23678" w:name="_Toc3978383"/>
      <w:bookmarkStart w:id="23679" w:name="_Toc4012229"/>
      <w:bookmarkStart w:id="23680" w:name="_Toc4013255"/>
      <w:bookmarkStart w:id="23681" w:name="_Toc4022763"/>
      <w:bookmarkStart w:id="23682" w:name="_Toc4026588"/>
      <w:bookmarkStart w:id="23683" w:name="_Toc4139381"/>
      <w:bookmarkStart w:id="23684" w:name="_Toc4151475"/>
      <w:bookmarkStart w:id="23685" w:name="_Toc19391932"/>
      <w:bookmarkStart w:id="23686" w:name="_Toc19395429"/>
      <w:r>
        <w:rPr>
          <w:rFonts w:hint="cs"/>
          <w:rtl/>
        </w:rPr>
        <w:t>ביאור הר"ן ברמב"ם דריו"ח ור"ל פליגי אף בנשחטה ונקטו תלש חלב לומר דאף בכה"ג התיר ר"ל</w:t>
      </w:r>
      <w:bookmarkEnd w:id="23677"/>
      <w:bookmarkEnd w:id="23678"/>
      <w:bookmarkEnd w:id="23679"/>
      <w:bookmarkEnd w:id="23680"/>
      <w:bookmarkEnd w:id="23681"/>
      <w:bookmarkEnd w:id="23682"/>
      <w:bookmarkEnd w:id="23683"/>
      <w:bookmarkEnd w:id="23684"/>
      <w:bookmarkEnd w:id="23685"/>
      <w:bookmarkEnd w:id="23686"/>
      <w:r>
        <w:rPr>
          <w:rFonts w:hint="cs"/>
          <w:rtl/>
        </w:rPr>
        <w:t xml:space="preserve"> </w:t>
      </w:r>
    </w:p>
    <w:p w14:paraId="110FE231" w14:textId="77777777" w:rsidR="003D504D" w:rsidRDefault="003D504D" w:rsidP="00223668">
      <w:pPr>
        <w:pStyle w:val="a0"/>
        <w:rPr>
          <w:rtl/>
        </w:rPr>
      </w:pPr>
      <w:r>
        <w:rPr>
          <w:rFonts w:hint="cs"/>
          <w:rtl/>
        </w:rPr>
        <w:t xml:space="preserve">וכתב </w:t>
      </w:r>
      <w:r w:rsidRPr="00F7436F">
        <w:rPr>
          <w:rStyle w:val="af9"/>
          <w:rFonts w:hint="cs"/>
          <w:rtl/>
        </w:rPr>
        <w:t>הר"ן בחי'</w:t>
      </w:r>
      <w:r w:rsidRPr="00F7436F">
        <w:rPr>
          <w:rStyle w:val="af7"/>
          <w:rFonts w:eastAsia="Guttman Hodes" w:hint="cs"/>
          <w:rtl/>
        </w:rPr>
        <w:t xml:space="preserve"> (</w:t>
      </w:r>
      <w:r>
        <w:rPr>
          <w:rStyle w:val="af7"/>
          <w:rFonts w:eastAsia="Guttman Hodes" w:hint="cs"/>
          <w:rtl/>
        </w:rPr>
        <w:t xml:space="preserve">עה. </w:t>
      </w:r>
      <w:r w:rsidRPr="00F7436F">
        <w:rPr>
          <w:rStyle w:val="af7"/>
          <w:rFonts w:eastAsia="Guttman Hodes" w:hint="cs"/>
          <w:rtl/>
        </w:rPr>
        <w:t xml:space="preserve">ד"ה כי) </w:t>
      </w:r>
      <w:r>
        <w:rPr>
          <w:rFonts w:hint="cs"/>
          <w:rtl/>
        </w:rPr>
        <w:t xml:space="preserve">דמבואר מדברי </w:t>
      </w:r>
      <w:r w:rsidRPr="00F7436F">
        <w:rPr>
          <w:rStyle w:val="af9"/>
          <w:rFonts w:hint="cs"/>
          <w:rtl/>
        </w:rPr>
        <w:t>הרמב"ם</w:t>
      </w:r>
      <w:r>
        <w:rPr>
          <w:rFonts w:hint="cs"/>
          <w:rtl/>
        </w:rPr>
        <w:t xml:space="preserve"> דלדעת ריו"ח חדשים גרמי לאסור את חלבו אף שנמצא בפנים, ואף חלב שנמצא בפנים בשעת השחיטה אסור, וא"כ הא דנחלקו בתלש את החלב והוציאו לחוץ, היינו לומר דלר"ל אף שהוציאו לחוץ ולא נשחט בשחיטת אמו, מ"מ אין בו איסור חלב, אבל לדעת ריו"ח גם החלב שבמעי אמו בשעת השחיטה אסור.</w:t>
      </w:r>
    </w:p>
    <w:p w14:paraId="29653084" w14:textId="77777777" w:rsidR="003D504D" w:rsidRPr="003579BF" w:rsidRDefault="003D504D" w:rsidP="003D504D">
      <w:pPr>
        <w:pStyle w:val="a3"/>
        <w:rPr>
          <w:rtl/>
        </w:rPr>
      </w:pPr>
    </w:p>
    <w:p w14:paraId="2A031311" w14:textId="77777777" w:rsidR="003D504D" w:rsidRDefault="003D504D" w:rsidP="003D504D">
      <w:pPr>
        <w:pStyle w:val="a3"/>
        <w:rPr>
          <w:rtl/>
        </w:rPr>
      </w:pPr>
      <w:bookmarkStart w:id="23687" w:name="_Toc3928997"/>
      <w:bookmarkStart w:id="23688" w:name="_Toc3978384"/>
      <w:bookmarkStart w:id="23689" w:name="_Toc4012230"/>
      <w:bookmarkStart w:id="23690" w:name="_Toc4013256"/>
      <w:bookmarkStart w:id="23691" w:name="_Toc4022764"/>
      <w:bookmarkStart w:id="23692" w:name="_Toc4026589"/>
      <w:bookmarkStart w:id="23693" w:name="_Toc4139382"/>
      <w:bookmarkStart w:id="23694" w:name="_Toc4151476"/>
      <w:bookmarkStart w:id="23695" w:name="_Toc19391933"/>
      <w:bookmarkStart w:id="23696" w:name="_Toc19395430"/>
      <w:r>
        <w:rPr>
          <w:rFonts w:hint="cs"/>
          <w:rtl/>
        </w:rPr>
        <w:t>קושית הרא"ש דלא מסתבר לומר דנחלקו האמוראים במחלוקת תנאים</w:t>
      </w:r>
      <w:bookmarkEnd w:id="23687"/>
      <w:bookmarkEnd w:id="23688"/>
      <w:bookmarkEnd w:id="23689"/>
      <w:bookmarkEnd w:id="23690"/>
      <w:bookmarkEnd w:id="23691"/>
      <w:bookmarkEnd w:id="23692"/>
      <w:bookmarkEnd w:id="23693"/>
      <w:bookmarkEnd w:id="23694"/>
      <w:bookmarkEnd w:id="23695"/>
      <w:bookmarkEnd w:id="23696"/>
    </w:p>
    <w:p w14:paraId="52FF4838" w14:textId="77777777" w:rsidR="003D504D" w:rsidRPr="00FF744D" w:rsidRDefault="003D504D" w:rsidP="00223668">
      <w:pPr>
        <w:pStyle w:val="a0"/>
        <w:rPr>
          <w:rtl/>
        </w:rPr>
      </w:pPr>
      <w:bookmarkStart w:id="23697" w:name="_Ref2888449"/>
      <w:bookmarkStart w:id="23698" w:name="_Ref3803773"/>
      <w:r>
        <w:rPr>
          <w:rFonts w:hint="cs"/>
          <w:rtl/>
        </w:rPr>
        <w:t xml:space="preserve">והקשה </w:t>
      </w:r>
      <w:r w:rsidRPr="009647F8">
        <w:rPr>
          <w:rStyle w:val="af9"/>
          <w:rFonts w:hint="cs"/>
          <w:rtl/>
        </w:rPr>
        <w:t>הרא"ש</w:t>
      </w:r>
      <w:r>
        <w:rPr>
          <w:rFonts w:hint="cs"/>
          <w:rtl/>
        </w:rPr>
        <w:t xml:space="preserve"> על </w:t>
      </w:r>
      <w:r w:rsidRPr="00B07DE4">
        <w:rPr>
          <w:rStyle w:val="af9"/>
          <w:rFonts w:hint="cs"/>
          <w:rtl/>
        </w:rPr>
        <w:t>הרמב"ם</w:t>
      </w:r>
      <w:r>
        <w:rPr>
          <w:rFonts w:hint="cs"/>
          <w:rtl/>
        </w:rPr>
        <w:t xml:space="preserve"> דלא מסתבר לומר דנחלקו האמוראים במחלוקת תנאים, ואי כוונת ריו"ח ור"ל לפסוק הלכה היה להם לומר כן בפירוש, ועי' במה </w:t>
      </w:r>
      <w:bookmarkEnd w:id="23697"/>
      <w:r>
        <w:rPr>
          <w:rFonts w:hint="cs"/>
          <w:rtl/>
        </w:rPr>
        <w:t xml:space="preserve">שתירצו </w:t>
      </w:r>
      <w:r w:rsidRPr="004265F4">
        <w:rPr>
          <w:rStyle w:val="af9"/>
          <w:rFonts w:hint="cs"/>
          <w:rtl/>
        </w:rPr>
        <w:t xml:space="preserve">הש"ך </w:t>
      </w:r>
      <w:r w:rsidRPr="004265F4">
        <w:rPr>
          <w:rStyle w:val="af7"/>
          <w:rFonts w:eastAsia="Guttman Hodes" w:hint="cs"/>
          <w:rtl/>
        </w:rPr>
        <w:t xml:space="preserve">(עי' אות </w:t>
      </w:r>
      <w:r w:rsidRPr="004265F4">
        <w:rPr>
          <w:rStyle w:val="af7"/>
          <w:rFonts w:eastAsia="Guttman Hodes"/>
          <w:rtl/>
        </w:rPr>
        <w:fldChar w:fldCharType="begin"/>
      </w:r>
      <w:r w:rsidRPr="004265F4">
        <w:rPr>
          <w:rStyle w:val="af7"/>
          <w:rFonts w:eastAsia="Guttman Hodes"/>
          <w:rtl/>
        </w:rPr>
        <w:instrText xml:space="preserve"> </w:instrText>
      </w:r>
      <w:r w:rsidRPr="004265F4">
        <w:rPr>
          <w:rStyle w:val="af7"/>
          <w:rFonts w:eastAsia="Guttman Hodes" w:hint="cs"/>
        </w:rPr>
        <w:instrText>REF</w:instrText>
      </w:r>
      <w:r w:rsidRPr="004265F4">
        <w:rPr>
          <w:rStyle w:val="af7"/>
          <w:rFonts w:eastAsia="Guttman Hodes" w:hint="cs"/>
          <w:rtl/>
        </w:rPr>
        <w:instrText xml:space="preserve"> _</w:instrText>
      </w:r>
      <w:r w:rsidRPr="004265F4">
        <w:rPr>
          <w:rStyle w:val="af7"/>
          <w:rFonts w:eastAsia="Guttman Hodes" w:hint="cs"/>
        </w:rPr>
        <w:instrText>Ref4098262 \r \h</w:instrText>
      </w:r>
      <w:r w:rsidRPr="004265F4">
        <w:rPr>
          <w:rStyle w:val="af7"/>
          <w:rFonts w:eastAsia="Guttman Hodes"/>
          <w:rtl/>
        </w:rPr>
        <w:instrText xml:space="preserve"> </w:instrText>
      </w:r>
      <w:r w:rsidRPr="004265F4">
        <w:rPr>
          <w:rStyle w:val="af7"/>
          <w:rFonts w:eastAsia="Guttman Hodes"/>
          <w:rtl/>
        </w:rPr>
      </w:r>
      <w:r w:rsidRPr="004265F4">
        <w:rPr>
          <w:rStyle w:val="af7"/>
          <w:rFonts w:eastAsia="Guttman Hodes"/>
          <w:rtl/>
        </w:rPr>
        <w:fldChar w:fldCharType="separate"/>
      </w:r>
      <w:r w:rsidR="00345400">
        <w:rPr>
          <w:rStyle w:val="af7"/>
          <w:rFonts w:eastAsia="Guttman Hodes"/>
          <w:cs/>
        </w:rPr>
        <w:t>‎</w:t>
      </w:r>
      <w:r w:rsidR="00345400">
        <w:rPr>
          <w:rStyle w:val="af7"/>
          <w:rFonts w:eastAsia="Guttman Hodes"/>
          <w:rtl/>
        </w:rPr>
        <w:t>כט)</w:t>
      </w:r>
      <w:r w:rsidRPr="004265F4">
        <w:rPr>
          <w:rStyle w:val="af7"/>
          <w:rFonts w:eastAsia="Guttman Hodes"/>
          <w:rtl/>
        </w:rPr>
        <w:fldChar w:fldCharType="end"/>
      </w:r>
      <w:r>
        <w:rPr>
          <w:rStyle w:val="af9"/>
          <w:rFonts w:hint="cs"/>
          <w:rtl/>
        </w:rPr>
        <w:t xml:space="preserve"> </w:t>
      </w:r>
      <w:r w:rsidRPr="004265F4">
        <w:rPr>
          <w:rStyle w:val="af9"/>
          <w:rFonts w:hint="cs"/>
          <w:rtl/>
        </w:rPr>
        <w:t>והרדב</w:t>
      </w:r>
      <w:r w:rsidRPr="00FF744D">
        <w:rPr>
          <w:rStyle w:val="af9"/>
          <w:rFonts w:hint="cs"/>
          <w:rtl/>
        </w:rPr>
        <w:t>"ז</w:t>
      </w:r>
      <w:r w:rsidRPr="00FF744D">
        <w:rPr>
          <w:rFonts w:hint="cs"/>
          <w:rtl/>
        </w:rPr>
        <w:t xml:space="preserve"> </w:t>
      </w:r>
      <w:r w:rsidRPr="00FF744D">
        <w:rPr>
          <w:rStyle w:val="af7"/>
          <w:rFonts w:eastAsia="Guttman Hodes" w:hint="cs"/>
          <w:rtl/>
        </w:rPr>
        <w:t>(עי' אות</w:t>
      </w:r>
      <w:bookmarkEnd w:id="23698"/>
      <w:r w:rsidRPr="00FF744D">
        <w:rPr>
          <w:rStyle w:val="af7"/>
          <w:rFonts w:eastAsia="Guttman Hodes" w:hint="cs"/>
          <w:rtl/>
        </w:rPr>
        <w:t xml:space="preserve"> </w:t>
      </w:r>
      <w:r w:rsidRPr="00FF744D">
        <w:rPr>
          <w:rStyle w:val="af7"/>
          <w:rFonts w:eastAsia="Guttman Hodes"/>
          <w:rtl/>
        </w:rPr>
        <w:fldChar w:fldCharType="begin"/>
      </w:r>
      <w:r w:rsidRPr="00FF744D">
        <w:rPr>
          <w:rStyle w:val="af7"/>
          <w:rFonts w:eastAsia="Guttman Hodes"/>
          <w:rtl/>
        </w:rPr>
        <w:instrText xml:space="preserve"> </w:instrText>
      </w:r>
      <w:r w:rsidRPr="00FF744D">
        <w:rPr>
          <w:rStyle w:val="af7"/>
          <w:rFonts w:eastAsia="Guttman Hodes" w:hint="cs"/>
        </w:rPr>
        <w:instrText>REF</w:instrText>
      </w:r>
      <w:r w:rsidRPr="00FF744D">
        <w:rPr>
          <w:rStyle w:val="af7"/>
          <w:rFonts w:eastAsia="Guttman Hodes" w:hint="cs"/>
          <w:rtl/>
        </w:rPr>
        <w:instrText xml:space="preserve"> _</w:instrText>
      </w:r>
      <w:r w:rsidRPr="00FF744D">
        <w:rPr>
          <w:rStyle w:val="af7"/>
          <w:rFonts w:eastAsia="Guttman Hodes" w:hint="cs"/>
        </w:rPr>
        <w:instrText>Ref3803754 \r \h</w:instrText>
      </w:r>
      <w:r w:rsidRPr="00FF744D">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FF744D">
        <w:rPr>
          <w:rStyle w:val="af7"/>
          <w:rFonts w:eastAsia="Guttman Hodes"/>
          <w:rtl/>
        </w:rPr>
      </w:r>
      <w:r w:rsidRPr="00FF744D">
        <w:rPr>
          <w:rStyle w:val="af7"/>
          <w:rFonts w:eastAsia="Guttman Hodes"/>
          <w:rtl/>
        </w:rPr>
        <w:fldChar w:fldCharType="separate"/>
      </w:r>
      <w:r w:rsidR="00345400">
        <w:rPr>
          <w:rStyle w:val="af7"/>
          <w:rFonts w:eastAsia="Guttman Hodes"/>
          <w:cs/>
        </w:rPr>
        <w:t>‎</w:t>
      </w:r>
      <w:r w:rsidR="00345400">
        <w:rPr>
          <w:rStyle w:val="af7"/>
          <w:rFonts w:eastAsia="Guttman Hodes"/>
          <w:rtl/>
        </w:rPr>
        <w:t>מ)</w:t>
      </w:r>
      <w:r w:rsidRPr="00FF744D">
        <w:rPr>
          <w:rStyle w:val="af7"/>
          <w:rFonts w:eastAsia="Guttman Hodes"/>
          <w:rtl/>
        </w:rPr>
        <w:fldChar w:fldCharType="end"/>
      </w:r>
      <w:r w:rsidRPr="00FF744D">
        <w:rPr>
          <w:rStyle w:val="af7"/>
          <w:rFonts w:eastAsia="Guttman Hodes" w:hint="cs"/>
          <w:rtl/>
        </w:rPr>
        <w:t xml:space="preserve"> </w:t>
      </w:r>
      <w:r w:rsidRPr="00FF744D">
        <w:rPr>
          <w:rStyle w:val="af9"/>
          <w:rFonts w:hint="cs"/>
          <w:rtl/>
        </w:rPr>
        <w:t>והראש יוסף</w:t>
      </w:r>
      <w:r w:rsidRPr="00FF744D">
        <w:rPr>
          <w:rFonts w:hint="cs"/>
          <w:rtl/>
        </w:rPr>
        <w:t xml:space="preserve"> </w:t>
      </w:r>
      <w:r w:rsidRPr="00FF744D">
        <w:rPr>
          <w:rStyle w:val="af7"/>
          <w:rFonts w:eastAsia="Guttman Hodes" w:hint="cs"/>
          <w:rtl/>
        </w:rPr>
        <w:t xml:space="preserve">(עי' אות </w:t>
      </w:r>
      <w:r w:rsidRPr="00FF744D">
        <w:rPr>
          <w:rStyle w:val="af7"/>
          <w:rFonts w:eastAsia="Guttman Hodes"/>
          <w:rtl/>
        </w:rPr>
        <w:fldChar w:fldCharType="begin"/>
      </w:r>
      <w:r w:rsidRPr="00FF744D">
        <w:rPr>
          <w:rStyle w:val="af7"/>
          <w:rFonts w:eastAsia="Guttman Hodes"/>
          <w:rtl/>
        </w:rPr>
        <w:instrText xml:space="preserve"> </w:instrText>
      </w:r>
      <w:r w:rsidRPr="00FF744D">
        <w:rPr>
          <w:rStyle w:val="af7"/>
          <w:rFonts w:eastAsia="Guttman Hodes"/>
        </w:rPr>
        <w:instrText>REF</w:instrText>
      </w:r>
      <w:r w:rsidRPr="00FF744D">
        <w:rPr>
          <w:rStyle w:val="af7"/>
          <w:rFonts w:eastAsia="Guttman Hodes"/>
          <w:rtl/>
        </w:rPr>
        <w:instrText xml:space="preserve"> _</w:instrText>
      </w:r>
      <w:r w:rsidRPr="00FF744D">
        <w:rPr>
          <w:rStyle w:val="af7"/>
          <w:rFonts w:eastAsia="Guttman Hodes"/>
        </w:rPr>
        <w:instrText>Ref3968915 \r \h</w:instrText>
      </w:r>
      <w:r w:rsidRPr="00FF744D">
        <w:rPr>
          <w:rStyle w:val="af7"/>
          <w:rFonts w:eastAsia="Guttman Hodes"/>
          <w:rtl/>
        </w:rPr>
        <w:instrText xml:space="preserve">  \* </w:instrText>
      </w:r>
      <w:r w:rsidRPr="00FF744D">
        <w:rPr>
          <w:rStyle w:val="af7"/>
          <w:rFonts w:eastAsia="Guttman Hodes"/>
        </w:rPr>
        <w:instrText>MERGEFORMAT</w:instrText>
      </w:r>
      <w:r w:rsidRPr="00FF744D">
        <w:rPr>
          <w:rStyle w:val="af7"/>
          <w:rFonts w:eastAsia="Guttman Hodes"/>
          <w:rtl/>
        </w:rPr>
        <w:instrText xml:space="preserve"> </w:instrText>
      </w:r>
      <w:r w:rsidRPr="00FF744D">
        <w:rPr>
          <w:rStyle w:val="af7"/>
          <w:rFonts w:eastAsia="Guttman Hodes"/>
          <w:rtl/>
        </w:rPr>
      </w:r>
      <w:r w:rsidRPr="00FF744D">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FF744D">
        <w:rPr>
          <w:rStyle w:val="af7"/>
          <w:rFonts w:eastAsia="Guttman Hodes"/>
          <w:rtl/>
        </w:rPr>
        <w:fldChar w:fldCharType="end"/>
      </w:r>
      <w:r w:rsidRPr="00FF744D">
        <w:rPr>
          <w:rFonts w:hint="cs"/>
          <w:rtl/>
        </w:rPr>
        <w:t>.</w:t>
      </w:r>
    </w:p>
    <w:p w14:paraId="26826C67" w14:textId="77777777" w:rsidR="003D504D" w:rsidRPr="00B07DE4" w:rsidRDefault="003D504D" w:rsidP="003D504D">
      <w:pPr>
        <w:pStyle w:val="a3"/>
        <w:rPr>
          <w:rtl/>
        </w:rPr>
      </w:pPr>
      <w:bookmarkStart w:id="23699" w:name="_Toc3928998"/>
      <w:bookmarkStart w:id="23700" w:name="_Toc3978385"/>
      <w:bookmarkStart w:id="23701" w:name="_Toc4012231"/>
      <w:bookmarkStart w:id="23702" w:name="_Toc4013257"/>
      <w:bookmarkStart w:id="23703" w:name="_Toc4022765"/>
      <w:bookmarkStart w:id="23704" w:name="_Toc4026590"/>
      <w:bookmarkStart w:id="23705" w:name="_Toc4139383"/>
      <w:bookmarkStart w:id="23706" w:name="_Toc4151477"/>
      <w:bookmarkStart w:id="23707" w:name="_Toc19391934"/>
      <w:bookmarkStart w:id="23708" w:name="_Toc19395431"/>
      <w:r>
        <w:rPr>
          <w:rFonts w:hint="cs"/>
          <w:rtl/>
        </w:rPr>
        <w:t>ביאור הראש יוסף בדברי הרא"ש ברמב"ם דריו"ח ור"ל נחלקו כר"מ ור"י רק בחלב וגיד ולא בשחיטה</w:t>
      </w:r>
      <w:bookmarkEnd w:id="23699"/>
      <w:bookmarkEnd w:id="23700"/>
      <w:bookmarkEnd w:id="23701"/>
      <w:bookmarkEnd w:id="23702"/>
      <w:bookmarkEnd w:id="23703"/>
      <w:bookmarkEnd w:id="23704"/>
      <w:bookmarkEnd w:id="23705"/>
      <w:bookmarkEnd w:id="23706"/>
      <w:bookmarkEnd w:id="23707"/>
      <w:bookmarkEnd w:id="23708"/>
    </w:p>
    <w:p w14:paraId="74858002" w14:textId="77777777" w:rsidR="003D504D" w:rsidRDefault="003D504D" w:rsidP="00223668">
      <w:pPr>
        <w:pStyle w:val="a0"/>
        <w:rPr>
          <w:rtl/>
        </w:rPr>
      </w:pPr>
      <w:r>
        <w:rPr>
          <w:rFonts w:hint="cs"/>
          <w:rtl/>
        </w:rPr>
        <w:t xml:space="preserve">וכתב </w:t>
      </w:r>
      <w:r w:rsidRPr="002C57F3">
        <w:rPr>
          <w:rStyle w:val="af9"/>
          <w:rFonts w:hint="cs"/>
          <w:rtl/>
        </w:rPr>
        <w:t>הראש יוסף לקמן</w:t>
      </w:r>
      <w:r>
        <w:rPr>
          <w:rFonts w:hint="cs"/>
          <w:rtl/>
        </w:rPr>
        <w:t xml:space="preserve"> </w:t>
      </w:r>
      <w:r w:rsidRPr="002C57F3">
        <w:rPr>
          <w:rStyle w:val="af7"/>
          <w:rFonts w:eastAsia="Guttman Hodes" w:hint="cs"/>
          <w:rtl/>
        </w:rPr>
        <w:t>(צב: ד"ה והנה הרא"ש)</w:t>
      </w:r>
      <w:r>
        <w:rPr>
          <w:rFonts w:hint="cs"/>
          <w:rtl/>
        </w:rPr>
        <w:t xml:space="preserve"> דאין כוונת </w:t>
      </w:r>
      <w:r w:rsidRPr="002C57F3">
        <w:rPr>
          <w:rStyle w:val="af9"/>
          <w:rFonts w:hint="cs"/>
          <w:rtl/>
        </w:rPr>
        <w:t>הרא"ש</w:t>
      </w:r>
      <w:r>
        <w:rPr>
          <w:rFonts w:hint="cs"/>
          <w:rtl/>
        </w:rPr>
        <w:t xml:space="preserve"> לומר </w:t>
      </w:r>
      <w:r w:rsidRPr="002C57F3">
        <w:rPr>
          <w:rStyle w:val="af9"/>
          <w:rFonts w:hint="cs"/>
          <w:rtl/>
        </w:rPr>
        <w:t>דלהרמב"ם</w:t>
      </w:r>
      <w:r>
        <w:rPr>
          <w:rFonts w:hint="cs"/>
          <w:rtl/>
        </w:rPr>
        <w:t xml:space="preserve"> ריו"ח ור"ל נחלקו בפלוגתת ר"מ ור"י בהיתר שחיטה בבן ט' חי, דהא </w:t>
      </w:r>
      <w:r w:rsidRPr="002C57F3">
        <w:rPr>
          <w:rStyle w:val="af9"/>
          <w:rFonts w:hint="cs"/>
          <w:rtl/>
        </w:rPr>
        <w:t>הרמב"ם</w:t>
      </w:r>
      <w:r>
        <w:rPr>
          <w:rFonts w:hint="cs"/>
          <w:rtl/>
        </w:rPr>
        <w:t xml:space="preserve"> פסק כר"י דמותר בשחיטת אמו, אלא כתב </w:t>
      </w:r>
      <w:r w:rsidRPr="002C57F3">
        <w:rPr>
          <w:rStyle w:val="af9"/>
          <w:rFonts w:hint="cs"/>
          <w:rtl/>
        </w:rPr>
        <w:t>הראש יוסף לקמן</w:t>
      </w:r>
      <w:r>
        <w:rPr>
          <w:rFonts w:hint="cs"/>
          <w:rtl/>
        </w:rPr>
        <w:t xml:space="preserve"> דכוונת </w:t>
      </w:r>
      <w:r w:rsidRPr="002C57F3">
        <w:rPr>
          <w:rStyle w:val="af9"/>
          <w:rFonts w:hint="cs"/>
          <w:rtl/>
        </w:rPr>
        <w:t>הרא"ש</w:t>
      </w:r>
      <w:r>
        <w:rPr>
          <w:rFonts w:hint="cs"/>
          <w:rtl/>
        </w:rPr>
        <w:t xml:space="preserve"> לומר </w:t>
      </w:r>
      <w:r w:rsidRPr="002C57F3">
        <w:rPr>
          <w:rStyle w:val="af9"/>
          <w:rFonts w:hint="cs"/>
          <w:rtl/>
        </w:rPr>
        <w:t>דלהרמב"ם</w:t>
      </w:r>
      <w:r>
        <w:rPr>
          <w:rFonts w:hint="cs"/>
          <w:rtl/>
        </w:rPr>
        <w:t xml:space="preserve"> נחלקו ריו"ח ור"ל בפלוגתת ר"מ ור"י לענין חלבו וגידו, וס"ל </w:t>
      </w:r>
      <w:r w:rsidRPr="002C57F3">
        <w:rPr>
          <w:rStyle w:val="af9"/>
          <w:rFonts w:hint="cs"/>
          <w:rtl/>
        </w:rPr>
        <w:t>להרמב"ם</w:t>
      </w:r>
      <w:r>
        <w:rPr>
          <w:rFonts w:hint="cs"/>
          <w:rtl/>
        </w:rPr>
        <w:t xml:space="preserve"> דריו"ח כר"מ, ולכן פסק </w:t>
      </w:r>
      <w:r w:rsidRPr="007C2B8D">
        <w:rPr>
          <w:rStyle w:val="af9"/>
          <w:rFonts w:hint="cs"/>
          <w:rtl/>
        </w:rPr>
        <w:t xml:space="preserve">הרמב"ם </w:t>
      </w:r>
      <w:r>
        <w:rPr>
          <w:rFonts w:hint="cs"/>
          <w:rtl/>
        </w:rPr>
        <w:t>דחלבו וגידו אסורים כר"מ.</w:t>
      </w:r>
    </w:p>
    <w:p w14:paraId="408CCFB4" w14:textId="77777777" w:rsidR="003D504D" w:rsidRPr="00B30E9E" w:rsidRDefault="003D504D" w:rsidP="003D504D">
      <w:pPr>
        <w:pStyle w:val="a3"/>
        <w:rPr>
          <w:rtl/>
        </w:rPr>
      </w:pPr>
      <w:bookmarkStart w:id="23709" w:name="_Toc3928999"/>
      <w:bookmarkStart w:id="23710" w:name="_Toc3978386"/>
      <w:bookmarkStart w:id="23711" w:name="_Toc4012232"/>
      <w:bookmarkStart w:id="23712" w:name="_Toc4013258"/>
      <w:bookmarkStart w:id="23713" w:name="_Toc4022766"/>
      <w:bookmarkStart w:id="23714" w:name="_Toc4026591"/>
      <w:bookmarkStart w:id="23715" w:name="_Toc4139384"/>
      <w:bookmarkStart w:id="23716" w:name="_Toc4151478"/>
      <w:bookmarkStart w:id="23717" w:name="_Toc19391935"/>
      <w:bookmarkStart w:id="23718" w:name="_Toc19395432"/>
      <w:r>
        <w:rPr>
          <w:rFonts w:hint="cs"/>
          <w:rtl/>
        </w:rPr>
        <w:t>קושית התורת יקותיאל דמדהקשו ריו"ח ור"ל מהברייתא דאשם מוכח דלא פליגי בר"מ ור"י</w:t>
      </w:r>
      <w:bookmarkEnd w:id="23709"/>
      <w:bookmarkEnd w:id="23710"/>
      <w:bookmarkEnd w:id="23711"/>
      <w:bookmarkEnd w:id="23712"/>
      <w:bookmarkEnd w:id="23713"/>
      <w:bookmarkEnd w:id="23714"/>
      <w:bookmarkEnd w:id="23715"/>
      <w:bookmarkEnd w:id="23716"/>
      <w:bookmarkEnd w:id="23717"/>
      <w:bookmarkEnd w:id="23718"/>
    </w:p>
    <w:p w14:paraId="7508F358" w14:textId="77777777" w:rsidR="003D504D" w:rsidRDefault="003D504D" w:rsidP="00223668">
      <w:pPr>
        <w:pStyle w:val="a0"/>
        <w:rPr>
          <w:rtl/>
        </w:rPr>
      </w:pPr>
      <w:r>
        <w:rPr>
          <w:rFonts w:hint="cs"/>
          <w:rtl/>
        </w:rPr>
        <w:t xml:space="preserve">ועוד הקשה </w:t>
      </w:r>
      <w:r w:rsidRPr="00C07CB0">
        <w:rPr>
          <w:rStyle w:val="af9"/>
          <w:rFonts w:hint="cs"/>
          <w:rtl/>
        </w:rPr>
        <w:t>התורת יקותיאל</w:t>
      </w:r>
      <w:r>
        <w:rPr>
          <w:rFonts w:hint="cs"/>
          <w:rtl/>
        </w:rPr>
        <w:t xml:space="preserve"> </w:t>
      </w:r>
      <w:r w:rsidRPr="00C07CB0">
        <w:rPr>
          <w:rStyle w:val="af7"/>
          <w:rFonts w:eastAsia="Guttman Hodes" w:hint="cs"/>
          <w:rtl/>
        </w:rPr>
        <w:t xml:space="preserve">(סי' ס"ד סק"א ד"ה ולפי"ז י"ל) </w:t>
      </w:r>
      <w:r w:rsidRPr="00D366C3">
        <w:rPr>
          <w:rFonts w:hint="cs"/>
          <w:rtl/>
        </w:rPr>
        <w:t xml:space="preserve">על </w:t>
      </w:r>
      <w:r w:rsidRPr="00D366C3">
        <w:rPr>
          <w:rStyle w:val="af9"/>
          <w:rFonts w:hint="cs"/>
          <w:rtl/>
        </w:rPr>
        <w:t>הרמב"ם</w:t>
      </w:r>
      <w:r>
        <w:rPr>
          <w:rStyle w:val="af7"/>
          <w:rFonts w:eastAsia="Guttman Hodes" w:hint="cs"/>
          <w:rtl/>
        </w:rPr>
        <w:t xml:space="preserve"> </w:t>
      </w:r>
      <w:r>
        <w:rPr>
          <w:rFonts w:hint="cs"/>
          <w:rtl/>
        </w:rPr>
        <w:t>דאי נחלקו ריו"ח ור"ל בפלוגתת ר"מ ורבנן מה הקשה ריו"ח לר"ל לל"ק מהילפותא "דאשם מוצא מכלל שליל", הרי אפש"ל דהילפותא היא לדעת ר"י, וכן מה הקשה ר"ל לריו"ח לל"ב מהילפותא, הא אפש"ל דהילפותא היא לדעת ר"מ.</w:t>
      </w:r>
    </w:p>
    <w:p w14:paraId="736C77B1" w14:textId="77777777" w:rsidR="003D504D" w:rsidRDefault="003D504D" w:rsidP="00BF39B2">
      <w:pPr>
        <w:pStyle w:val="1"/>
        <w:rPr>
          <w:rtl/>
        </w:rPr>
      </w:pPr>
      <w:bookmarkStart w:id="23719" w:name="_Toc3929000"/>
      <w:bookmarkStart w:id="23720" w:name="_Toc3978387"/>
      <w:bookmarkStart w:id="23721" w:name="_Toc4012233"/>
      <w:bookmarkStart w:id="23722" w:name="_Toc4013259"/>
      <w:bookmarkStart w:id="23723" w:name="_Toc4022767"/>
      <w:bookmarkStart w:id="23724" w:name="_Toc4026592"/>
      <w:bookmarkStart w:id="23725" w:name="_Toc4139385"/>
      <w:bookmarkStart w:id="23726" w:name="_Toc4151479"/>
      <w:bookmarkStart w:id="23727" w:name="_Toc19391936"/>
      <w:bookmarkStart w:id="23728" w:name="_Toc19395433"/>
      <w:r>
        <w:rPr>
          <w:rFonts w:hint="cs"/>
          <w:rtl/>
        </w:rPr>
        <w:t>קושית הראשונים דבדברי רב הושעיא מוכח דלא כהרמב"ם</w:t>
      </w:r>
      <w:bookmarkEnd w:id="23719"/>
      <w:bookmarkEnd w:id="23720"/>
      <w:bookmarkEnd w:id="23721"/>
      <w:bookmarkEnd w:id="23722"/>
      <w:bookmarkEnd w:id="23723"/>
      <w:bookmarkEnd w:id="23724"/>
      <w:bookmarkEnd w:id="23725"/>
      <w:bookmarkEnd w:id="23726"/>
      <w:bookmarkEnd w:id="23727"/>
      <w:bookmarkEnd w:id="23728"/>
    </w:p>
    <w:p w14:paraId="2338C3E7" w14:textId="77777777" w:rsidR="003D504D" w:rsidRPr="00F65887" w:rsidRDefault="003D504D" w:rsidP="003D504D">
      <w:pPr>
        <w:pStyle w:val="a3"/>
        <w:rPr>
          <w:rtl/>
        </w:rPr>
      </w:pPr>
      <w:bookmarkStart w:id="23729" w:name="_Toc3929001"/>
      <w:bookmarkStart w:id="23730" w:name="_Toc3978388"/>
      <w:bookmarkStart w:id="23731" w:name="_Toc4012234"/>
      <w:bookmarkStart w:id="23732" w:name="_Toc4013260"/>
      <w:bookmarkStart w:id="23733" w:name="_Toc4022768"/>
      <w:bookmarkStart w:id="23734" w:name="_Toc4026593"/>
      <w:bookmarkStart w:id="23735" w:name="_Toc4139386"/>
      <w:bookmarkStart w:id="23736" w:name="_Toc4151480"/>
      <w:bookmarkStart w:id="23737" w:name="_Toc19391937"/>
      <w:bookmarkStart w:id="23738" w:name="_Toc19395434"/>
      <w:r>
        <w:rPr>
          <w:rFonts w:hint="cs"/>
          <w:rtl/>
        </w:rPr>
        <w:t>קושית הרשב"א והר"ן מדברי רב הושעיא דר"מ ור"י הלכו לשיטתם וא"א לחלק בין שחיטה לחלב</w:t>
      </w:r>
      <w:bookmarkEnd w:id="23729"/>
      <w:bookmarkEnd w:id="23730"/>
      <w:bookmarkEnd w:id="23731"/>
      <w:bookmarkEnd w:id="23732"/>
      <w:bookmarkEnd w:id="23733"/>
      <w:bookmarkEnd w:id="23734"/>
      <w:bookmarkEnd w:id="23735"/>
      <w:bookmarkEnd w:id="23736"/>
      <w:bookmarkEnd w:id="23737"/>
      <w:bookmarkEnd w:id="23738"/>
    </w:p>
    <w:p w14:paraId="53C03F79" w14:textId="77777777" w:rsidR="003D504D" w:rsidRDefault="003D504D" w:rsidP="00223668">
      <w:pPr>
        <w:pStyle w:val="a0"/>
        <w:rPr>
          <w:rtl/>
        </w:rPr>
      </w:pPr>
      <w:bookmarkStart w:id="23739" w:name="_Ref3840181"/>
      <w:bookmarkStart w:id="23740" w:name="_Ref3978508"/>
      <w:r>
        <w:rPr>
          <w:rFonts w:hint="cs"/>
          <w:rtl/>
        </w:rPr>
        <w:t xml:space="preserve">ועוד הקשו </w:t>
      </w:r>
      <w:r w:rsidRPr="006654E4">
        <w:rPr>
          <w:rStyle w:val="af9"/>
          <w:rFonts w:hint="cs"/>
          <w:rtl/>
        </w:rPr>
        <w:t>הרשב"א</w:t>
      </w:r>
      <w:r>
        <w:rPr>
          <w:rFonts w:hint="cs"/>
          <w:rtl/>
        </w:rPr>
        <w:t xml:space="preserve"> </w:t>
      </w:r>
      <w:r w:rsidRPr="006654E4">
        <w:rPr>
          <w:rStyle w:val="af7"/>
          <w:rFonts w:eastAsia="Guttman Hodes" w:hint="cs"/>
          <w:rtl/>
        </w:rPr>
        <w:t>(עה. ד"ה איכא)</w:t>
      </w:r>
      <w:r>
        <w:rPr>
          <w:rFonts w:hint="cs"/>
          <w:rtl/>
        </w:rPr>
        <w:t xml:space="preserve"> </w:t>
      </w:r>
      <w:r>
        <w:rPr>
          <w:rStyle w:val="af9"/>
          <w:rFonts w:hint="cs"/>
          <w:rtl/>
        </w:rPr>
        <w:t>ו</w:t>
      </w:r>
      <w:r w:rsidRPr="00F7436F">
        <w:rPr>
          <w:rStyle w:val="af9"/>
          <w:rFonts w:hint="cs"/>
          <w:rtl/>
        </w:rPr>
        <w:t>הר"ן בחי'</w:t>
      </w:r>
      <w:r w:rsidRPr="00F7436F">
        <w:rPr>
          <w:rStyle w:val="af7"/>
          <w:rFonts w:eastAsia="Guttman Hodes" w:hint="cs"/>
          <w:rtl/>
        </w:rPr>
        <w:t xml:space="preserve"> (</w:t>
      </w:r>
      <w:r>
        <w:rPr>
          <w:rStyle w:val="af7"/>
          <w:rFonts w:eastAsia="Guttman Hodes" w:hint="cs"/>
          <w:rtl/>
        </w:rPr>
        <w:t xml:space="preserve">עה. </w:t>
      </w:r>
      <w:r w:rsidRPr="00F7436F">
        <w:rPr>
          <w:rStyle w:val="af7"/>
          <w:rFonts w:eastAsia="Guttman Hodes" w:hint="cs"/>
          <w:rtl/>
        </w:rPr>
        <w:t xml:space="preserve">ד"ה כי) </w:t>
      </w:r>
      <w:r>
        <w:rPr>
          <w:rStyle w:val="af9"/>
          <w:rFonts w:hint="cs"/>
          <w:rtl/>
        </w:rPr>
        <w:t>ו</w:t>
      </w:r>
      <w:r w:rsidRPr="006D1692">
        <w:rPr>
          <w:rStyle w:val="af9"/>
          <w:rFonts w:hint="cs"/>
          <w:rtl/>
        </w:rPr>
        <w:t>על הרי"ף</w:t>
      </w:r>
      <w:r>
        <w:rPr>
          <w:rFonts w:hint="cs"/>
          <w:rtl/>
        </w:rPr>
        <w:t xml:space="preserve"> </w:t>
      </w:r>
      <w:r w:rsidRPr="006D1692">
        <w:rPr>
          <w:rStyle w:val="af7"/>
          <w:rFonts w:eastAsia="Guttman Hodes" w:hint="cs"/>
          <w:rtl/>
        </w:rPr>
        <w:t>(ל. מדפי הרי"ף ד"ה ונוהג)</w:t>
      </w:r>
      <w:r>
        <w:rPr>
          <w:rFonts w:hint="cs"/>
          <w:rtl/>
        </w:rPr>
        <w:t xml:space="preserve"> על דברי </w:t>
      </w:r>
      <w:r w:rsidRPr="006654E4">
        <w:rPr>
          <w:rStyle w:val="af9"/>
          <w:rFonts w:hint="cs"/>
          <w:rtl/>
        </w:rPr>
        <w:t>הרמב"ם</w:t>
      </w:r>
      <w:r>
        <w:rPr>
          <w:rFonts w:hint="cs"/>
          <w:rtl/>
        </w:rPr>
        <w:t xml:space="preserve"> דהא תני בברייתא דר"מ אוסר בחלב וגיד, ור"י מתיר ואמר רב הושעיא דהלכו לשיטתם בשחיטה, ולא מצינו בגמ' אמורא שחולק על רב הושעיא בזה, וכתב </w:t>
      </w:r>
      <w:r w:rsidRPr="006654E4">
        <w:rPr>
          <w:rStyle w:val="af9"/>
          <w:rFonts w:hint="cs"/>
          <w:rtl/>
        </w:rPr>
        <w:t>הרשב"א</w:t>
      </w:r>
      <w:r>
        <w:rPr>
          <w:rFonts w:hint="cs"/>
          <w:rtl/>
        </w:rPr>
        <w:t xml:space="preserve"> דכן מוכח בגמ' לקמן </w:t>
      </w:r>
      <w:r w:rsidRPr="006654E4">
        <w:rPr>
          <w:rStyle w:val="af7"/>
          <w:rFonts w:eastAsia="Guttman Hodes" w:hint="cs"/>
          <w:rtl/>
        </w:rPr>
        <w:t>(צב:)</w:t>
      </w:r>
      <w:r>
        <w:rPr>
          <w:rFonts w:hint="cs"/>
          <w:rtl/>
        </w:rPr>
        <w:t xml:space="preserve"> דמקשה על שמואל מדברי רב הושעיא, ולא תירצה הגמ' לקמן דשמואל חולק על רב הושעיא, ומוכח דאין מ"ד דפליג על רב הושעיא, וכתב </w:t>
      </w:r>
      <w:r w:rsidRPr="006654E4">
        <w:rPr>
          <w:rStyle w:val="af9"/>
          <w:rFonts w:hint="cs"/>
          <w:rtl/>
        </w:rPr>
        <w:t>הרשב"א</w:t>
      </w:r>
      <w:r>
        <w:rPr>
          <w:rFonts w:hint="cs"/>
          <w:rtl/>
        </w:rPr>
        <w:t xml:space="preserve"> דא"כ מבואר דכיון דקיי"ל כר"י </w:t>
      </w:r>
      <w:bookmarkEnd w:id="23739"/>
      <w:r>
        <w:rPr>
          <w:rFonts w:hint="cs"/>
          <w:rtl/>
        </w:rPr>
        <w:t xml:space="preserve">בשחיטה, אף בחלב קיי"ל כר"י דחלבו מותר, ועי' במ"ש </w:t>
      </w:r>
      <w:r w:rsidRPr="004265F4">
        <w:rPr>
          <w:rStyle w:val="af9"/>
          <w:rFonts w:hint="cs"/>
          <w:rtl/>
        </w:rPr>
        <w:t>הש"ך</w:t>
      </w:r>
      <w:r>
        <w:rPr>
          <w:rFonts w:hint="cs"/>
          <w:rtl/>
        </w:rPr>
        <w:t xml:space="preserve"> </w:t>
      </w:r>
      <w:r w:rsidRPr="004265F4">
        <w:rPr>
          <w:rStyle w:val="af7"/>
          <w:rFonts w:eastAsia="Guttman Hodes" w:hint="cs"/>
          <w:rtl/>
        </w:rPr>
        <w:t xml:space="preserve">(עי' אות </w:t>
      </w:r>
      <w:r w:rsidRPr="004265F4">
        <w:rPr>
          <w:rStyle w:val="af7"/>
          <w:rFonts w:eastAsia="Guttman Hodes"/>
          <w:rtl/>
        </w:rPr>
        <w:fldChar w:fldCharType="begin"/>
      </w:r>
      <w:r w:rsidRPr="004265F4">
        <w:rPr>
          <w:rStyle w:val="af7"/>
          <w:rFonts w:eastAsia="Guttman Hodes"/>
          <w:rtl/>
        </w:rPr>
        <w:instrText xml:space="preserve"> </w:instrText>
      </w:r>
      <w:r w:rsidRPr="004265F4">
        <w:rPr>
          <w:rStyle w:val="af7"/>
          <w:rFonts w:eastAsia="Guttman Hodes" w:hint="cs"/>
        </w:rPr>
        <w:instrText>REF</w:instrText>
      </w:r>
      <w:r w:rsidRPr="004265F4">
        <w:rPr>
          <w:rStyle w:val="af7"/>
          <w:rFonts w:eastAsia="Guttman Hodes" w:hint="cs"/>
          <w:rtl/>
        </w:rPr>
        <w:instrText xml:space="preserve"> _</w:instrText>
      </w:r>
      <w:r w:rsidRPr="004265F4">
        <w:rPr>
          <w:rStyle w:val="af7"/>
          <w:rFonts w:eastAsia="Guttman Hodes" w:hint="cs"/>
        </w:rPr>
        <w:instrText>Ref4098318 \r \h</w:instrText>
      </w:r>
      <w:r w:rsidRPr="004265F4">
        <w:rPr>
          <w:rStyle w:val="af7"/>
          <w:rFonts w:eastAsia="Guttman Hodes"/>
          <w:rtl/>
        </w:rPr>
        <w:instrText xml:space="preserve"> </w:instrText>
      </w:r>
      <w:r w:rsidRPr="004265F4">
        <w:rPr>
          <w:rStyle w:val="af7"/>
          <w:rFonts w:eastAsia="Guttman Hodes"/>
          <w:rtl/>
        </w:rPr>
      </w:r>
      <w:r w:rsidRPr="004265F4">
        <w:rPr>
          <w:rStyle w:val="af7"/>
          <w:rFonts w:eastAsia="Guttman Hodes"/>
          <w:rtl/>
        </w:rPr>
        <w:fldChar w:fldCharType="separate"/>
      </w:r>
      <w:r w:rsidR="00345400">
        <w:rPr>
          <w:rStyle w:val="af7"/>
          <w:rFonts w:eastAsia="Guttman Hodes"/>
          <w:cs/>
        </w:rPr>
        <w:t>‎</w:t>
      </w:r>
      <w:r w:rsidR="00345400">
        <w:rPr>
          <w:rStyle w:val="af7"/>
          <w:rFonts w:eastAsia="Guttman Hodes"/>
          <w:rtl/>
        </w:rPr>
        <w:t>ל)</w:t>
      </w:r>
      <w:r w:rsidRPr="004265F4">
        <w:rPr>
          <w:rStyle w:val="af7"/>
          <w:rFonts w:eastAsia="Guttman Hodes"/>
          <w:rtl/>
        </w:rPr>
        <w:fldChar w:fldCharType="end"/>
      </w:r>
      <w:r>
        <w:rPr>
          <w:rFonts w:hint="cs"/>
          <w:rtl/>
        </w:rPr>
        <w:t>.</w:t>
      </w:r>
      <w:bookmarkEnd w:id="23740"/>
    </w:p>
    <w:p w14:paraId="114FD489" w14:textId="77777777" w:rsidR="003D504D" w:rsidRPr="001C15E1" w:rsidRDefault="003D504D" w:rsidP="003D504D">
      <w:pPr>
        <w:pStyle w:val="a3"/>
        <w:rPr>
          <w:rtl/>
        </w:rPr>
      </w:pPr>
      <w:bookmarkStart w:id="23741" w:name="_Toc3929002"/>
      <w:bookmarkStart w:id="23742" w:name="_Toc3978389"/>
      <w:bookmarkStart w:id="23743" w:name="_Toc4012235"/>
      <w:bookmarkStart w:id="23744" w:name="_Toc4013261"/>
      <w:bookmarkStart w:id="23745" w:name="_Toc4022769"/>
      <w:bookmarkStart w:id="23746" w:name="_Toc4026594"/>
      <w:bookmarkStart w:id="23747" w:name="_Toc4139387"/>
      <w:bookmarkStart w:id="23748" w:name="_Toc4151481"/>
      <w:bookmarkStart w:id="23749" w:name="_Toc19391938"/>
      <w:bookmarkStart w:id="23750" w:name="_Toc19395435"/>
      <w:r>
        <w:rPr>
          <w:rFonts w:hint="cs"/>
          <w:rtl/>
        </w:rPr>
        <w:t>קושית</w:t>
      </w:r>
      <w:r w:rsidRPr="001C15E1">
        <w:rPr>
          <w:rFonts w:hint="cs"/>
          <w:rtl/>
        </w:rPr>
        <w:t xml:space="preserve"> הרשב"א דא"א לומר דלריו"ח חדשים לבד גרמי דהא בן ט' מת מותר לכו"ע אף דכלו חדשיו</w:t>
      </w:r>
      <w:bookmarkEnd w:id="23741"/>
      <w:bookmarkEnd w:id="23742"/>
      <w:bookmarkEnd w:id="23743"/>
      <w:bookmarkEnd w:id="23744"/>
      <w:bookmarkEnd w:id="23745"/>
      <w:bookmarkEnd w:id="23746"/>
      <w:bookmarkEnd w:id="23747"/>
      <w:bookmarkEnd w:id="23748"/>
      <w:bookmarkEnd w:id="23749"/>
      <w:bookmarkEnd w:id="23750"/>
    </w:p>
    <w:p w14:paraId="3E993B80" w14:textId="77777777" w:rsidR="003D504D" w:rsidRDefault="003D504D" w:rsidP="00223668">
      <w:pPr>
        <w:pStyle w:val="a0"/>
        <w:rPr>
          <w:rtl/>
        </w:rPr>
      </w:pPr>
      <w:r w:rsidRPr="001C15E1">
        <w:rPr>
          <w:rFonts w:hint="cs"/>
          <w:rtl/>
        </w:rPr>
        <w:t xml:space="preserve">ועוד הקשה </w:t>
      </w:r>
      <w:r w:rsidRPr="001C15E1">
        <w:rPr>
          <w:rStyle w:val="af9"/>
          <w:rFonts w:hint="cs"/>
          <w:rtl/>
        </w:rPr>
        <w:t xml:space="preserve">הרשב"א </w:t>
      </w:r>
      <w:r w:rsidRPr="001C15E1">
        <w:rPr>
          <w:rFonts w:hint="cs"/>
          <w:rtl/>
        </w:rPr>
        <w:t xml:space="preserve">דמהא דתני ברישא דמתני' </w:t>
      </w:r>
      <w:r w:rsidRPr="001C15E1">
        <w:rPr>
          <w:rStyle w:val="af7"/>
          <w:rFonts w:eastAsia="Guttman Hodes" w:hint="cs"/>
          <w:rtl/>
        </w:rPr>
        <w:t>(עד.)</w:t>
      </w:r>
      <w:r w:rsidRPr="001C15E1">
        <w:rPr>
          <w:rFonts w:hint="cs"/>
          <w:rtl/>
        </w:rPr>
        <w:t xml:space="preserve"> דלכו"ע בן ט' מת מותר בשחיטת אמו, מבואר דאף דכלו לו חדשיו מ"מ לא אמרינן דחדשים לבד גרמי לכו"ע, ואי ס"ל לרוי"ח חדשים לבד גרמי דהחלב אסור, היה להגמ' להקשות על ריו"ח מרישא.</w:t>
      </w:r>
    </w:p>
    <w:p w14:paraId="178C6C07" w14:textId="77777777" w:rsidR="003D504D" w:rsidRDefault="003D504D" w:rsidP="003D504D">
      <w:pPr>
        <w:pStyle w:val="a3"/>
        <w:rPr>
          <w:rtl/>
        </w:rPr>
      </w:pPr>
      <w:bookmarkStart w:id="23751" w:name="_Toc3929003"/>
      <w:bookmarkStart w:id="23752" w:name="_Toc3978390"/>
      <w:bookmarkStart w:id="23753" w:name="_Toc4012236"/>
      <w:bookmarkStart w:id="23754" w:name="_Toc4013262"/>
      <w:bookmarkStart w:id="23755" w:name="_Toc4022770"/>
      <w:bookmarkStart w:id="23756" w:name="_Toc4026595"/>
      <w:bookmarkStart w:id="23757" w:name="_Toc4139388"/>
      <w:bookmarkStart w:id="23758" w:name="_Toc4151482"/>
      <w:bookmarkStart w:id="23759" w:name="_Toc19391939"/>
      <w:bookmarkStart w:id="23760" w:name="_Toc19395436"/>
      <w:r>
        <w:rPr>
          <w:rFonts w:hint="cs"/>
          <w:rtl/>
        </w:rPr>
        <w:t>תירוץ הרדב"ז על קושית הרשב"א דאף להרמב"ם חלב בן ח' מותר דחדשים בלא חיות אינם חדשים</w:t>
      </w:r>
      <w:bookmarkEnd w:id="23751"/>
      <w:bookmarkEnd w:id="23752"/>
      <w:bookmarkEnd w:id="23753"/>
      <w:bookmarkEnd w:id="23754"/>
      <w:bookmarkEnd w:id="23755"/>
      <w:bookmarkEnd w:id="23756"/>
      <w:bookmarkEnd w:id="23757"/>
      <w:bookmarkEnd w:id="23758"/>
      <w:bookmarkEnd w:id="23759"/>
      <w:bookmarkEnd w:id="23760"/>
    </w:p>
    <w:p w14:paraId="011909CF" w14:textId="77777777" w:rsidR="003D504D" w:rsidRDefault="003D504D" w:rsidP="00223668">
      <w:pPr>
        <w:pStyle w:val="a0"/>
        <w:rPr>
          <w:rtl/>
        </w:rPr>
      </w:pPr>
      <w:r>
        <w:rPr>
          <w:rFonts w:hint="cs"/>
          <w:rtl/>
        </w:rPr>
        <w:t xml:space="preserve">ותמה </w:t>
      </w:r>
      <w:r w:rsidRPr="00E0698F">
        <w:rPr>
          <w:rStyle w:val="af9"/>
          <w:rFonts w:hint="cs"/>
          <w:rtl/>
        </w:rPr>
        <w:t>הרדב"ז</w:t>
      </w:r>
      <w:r>
        <w:rPr>
          <w:rFonts w:hint="cs"/>
          <w:rtl/>
        </w:rPr>
        <w:t xml:space="preserve"> </w:t>
      </w:r>
      <w:r w:rsidRPr="00E0698F">
        <w:rPr>
          <w:rStyle w:val="af7"/>
          <w:rFonts w:eastAsia="Guttman Hodes" w:hint="cs"/>
          <w:rtl/>
        </w:rPr>
        <w:t>(שו"ת הרדב"ז [ללשונות הרמב"ם סי' אלף תקנ"ט] ח"ה סי' קצ"ה)</w:t>
      </w:r>
      <w:r>
        <w:rPr>
          <w:rFonts w:hint="cs"/>
          <w:rtl/>
        </w:rPr>
        <w:t xml:space="preserve"> על קושית </w:t>
      </w:r>
      <w:r w:rsidRPr="00E0698F">
        <w:rPr>
          <w:rStyle w:val="af9"/>
          <w:rFonts w:hint="cs"/>
          <w:rtl/>
        </w:rPr>
        <w:t>הרשב"א</w:t>
      </w:r>
      <w:r>
        <w:rPr>
          <w:rFonts w:hint="cs"/>
          <w:rtl/>
        </w:rPr>
        <w:t xml:space="preserve"> מהרישא של המשנה, דהא מבואר בדברי </w:t>
      </w:r>
      <w:r w:rsidRPr="00E0698F">
        <w:rPr>
          <w:rStyle w:val="af9"/>
          <w:rFonts w:hint="cs"/>
          <w:rtl/>
        </w:rPr>
        <w:t>הרמב"ם</w:t>
      </w:r>
      <w:r>
        <w:rPr>
          <w:rFonts w:hint="cs"/>
          <w:rtl/>
        </w:rPr>
        <w:t xml:space="preserve"> </w:t>
      </w:r>
      <w:r w:rsidRPr="006B430C">
        <w:rPr>
          <w:rStyle w:val="af7"/>
          <w:rFonts w:eastAsia="Guttman Hodes" w:hint="cs"/>
          <w:rtl/>
        </w:rPr>
        <w:t xml:space="preserve">(עי' אות </w:t>
      </w:r>
      <w:r w:rsidRPr="006B430C">
        <w:rPr>
          <w:rStyle w:val="af7"/>
          <w:rFonts w:eastAsia="Guttman Hodes"/>
          <w:rtl/>
        </w:rPr>
        <w:fldChar w:fldCharType="begin"/>
      </w:r>
      <w:r w:rsidRPr="006B430C">
        <w:rPr>
          <w:rStyle w:val="af7"/>
          <w:rFonts w:eastAsia="Guttman Hodes"/>
          <w:rtl/>
        </w:rPr>
        <w:instrText xml:space="preserve"> </w:instrText>
      </w:r>
      <w:r w:rsidRPr="006B430C">
        <w:rPr>
          <w:rStyle w:val="af7"/>
          <w:rFonts w:eastAsia="Guttman Hodes" w:hint="cs"/>
        </w:rPr>
        <w:instrText>REF</w:instrText>
      </w:r>
      <w:r w:rsidRPr="006B430C">
        <w:rPr>
          <w:rStyle w:val="af7"/>
          <w:rFonts w:eastAsia="Guttman Hodes" w:hint="cs"/>
          <w:rtl/>
        </w:rPr>
        <w:instrText xml:space="preserve"> _</w:instrText>
      </w:r>
      <w:r w:rsidRPr="006B430C">
        <w:rPr>
          <w:rStyle w:val="af7"/>
          <w:rFonts w:eastAsia="Guttman Hodes" w:hint="cs"/>
        </w:rPr>
        <w:instrText>Ref3145560 \r \h</w:instrText>
      </w:r>
      <w:r w:rsidRPr="006B430C">
        <w:rPr>
          <w:rStyle w:val="af7"/>
          <w:rFonts w:eastAsia="Guttman Hodes"/>
          <w:rtl/>
        </w:rPr>
        <w:instrText xml:space="preserve"> </w:instrText>
      </w:r>
      <w:r w:rsidRPr="006B430C">
        <w:rPr>
          <w:rStyle w:val="af7"/>
          <w:rFonts w:eastAsia="Guttman Hodes"/>
          <w:rtl/>
        </w:rPr>
      </w:r>
      <w:r w:rsidRPr="006B430C">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6B430C">
        <w:rPr>
          <w:rStyle w:val="af7"/>
          <w:rFonts w:eastAsia="Guttman Hodes"/>
          <w:rtl/>
        </w:rPr>
        <w:fldChar w:fldCharType="end"/>
      </w:r>
      <w:r w:rsidRPr="006B430C">
        <w:rPr>
          <w:rStyle w:val="af7"/>
          <w:rFonts w:eastAsia="Guttman Hodes" w:hint="cs"/>
          <w:rtl/>
        </w:rPr>
        <w:t xml:space="preserve"> </w:t>
      </w:r>
      <w:r>
        <w:rPr>
          <w:rFonts w:hint="cs"/>
          <w:rtl/>
        </w:rPr>
        <w:t xml:space="preserve">דחלב דבן ט' מת מותר, וא"כ לא קשה עליו מהרישא כלל, </w:t>
      </w:r>
      <w:r w:rsidRPr="00E0698F">
        <w:rPr>
          <w:rStyle w:val="afb"/>
          <w:rFonts w:hint="cs"/>
          <w:rtl/>
        </w:rPr>
        <w:t xml:space="preserve">[וכתב </w:t>
      </w:r>
      <w:r w:rsidRPr="00E0698F">
        <w:rPr>
          <w:rStyle w:val="affa"/>
          <w:rFonts w:hint="cs"/>
          <w:rtl/>
        </w:rPr>
        <w:t>הרדב"ז</w:t>
      </w:r>
      <w:r w:rsidRPr="00E0698F">
        <w:rPr>
          <w:rStyle w:val="afb"/>
          <w:rFonts w:hint="cs"/>
          <w:rtl/>
        </w:rPr>
        <w:t xml:space="preserve"> דיתכן שהייתה להרשב"א גירסא אחרת בדברי </w:t>
      </w:r>
      <w:r w:rsidRPr="00E0698F">
        <w:rPr>
          <w:rStyle w:val="affa"/>
          <w:rFonts w:hint="cs"/>
          <w:rtl/>
        </w:rPr>
        <w:t>הרמב"ם</w:t>
      </w:r>
      <w:r w:rsidRPr="00E0698F">
        <w:rPr>
          <w:rStyle w:val="afb"/>
          <w:rFonts w:hint="cs"/>
          <w:rtl/>
        </w:rPr>
        <w:t>],</w:t>
      </w:r>
      <w:r>
        <w:rPr>
          <w:rFonts w:hint="cs"/>
          <w:rtl/>
        </w:rPr>
        <w:t xml:space="preserve"> וביאר </w:t>
      </w:r>
      <w:r w:rsidRPr="00E0698F">
        <w:rPr>
          <w:rStyle w:val="af9"/>
          <w:rFonts w:hint="cs"/>
          <w:rtl/>
        </w:rPr>
        <w:t>הרדב"ז</w:t>
      </w:r>
      <w:r>
        <w:rPr>
          <w:rFonts w:hint="cs"/>
          <w:rtl/>
        </w:rPr>
        <w:t xml:space="preserve"> דס"ל </w:t>
      </w:r>
      <w:r w:rsidRPr="00E0698F">
        <w:rPr>
          <w:rStyle w:val="af9"/>
          <w:rFonts w:hint="cs"/>
          <w:rtl/>
        </w:rPr>
        <w:t>להרמב"ם</w:t>
      </w:r>
      <w:r>
        <w:rPr>
          <w:rFonts w:hint="cs"/>
          <w:rtl/>
        </w:rPr>
        <w:t xml:space="preserve"> דחדשים בלא חיות לא גרמי, דחדשים דמת לא חשיבי כחדשים כלל, והוא כשאר נפלים, ועי' </w:t>
      </w:r>
      <w:r w:rsidRPr="004265F4">
        <w:rPr>
          <w:rStyle w:val="af9"/>
          <w:rFonts w:hint="cs"/>
          <w:rtl/>
        </w:rPr>
        <w:t>במ"מ</w:t>
      </w:r>
      <w:r>
        <w:rPr>
          <w:rFonts w:hint="cs"/>
          <w:rtl/>
        </w:rPr>
        <w:t xml:space="preserve"> </w:t>
      </w:r>
      <w:r w:rsidRPr="0018695D">
        <w:rPr>
          <w:rStyle w:val="af7"/>
          <w:rFonts w:eastAsia="Guttman Hodes" w:hint="cs"/>
          <w:rtl/>
        </w:rPr>
        <w:t xml:space="preserve">(עי' אות </w:t>
      </w:r>
      <w:r w:rsidRPr="0018695D">
        <w:rPr>
          <w:rStyle w:val="af7"/>
          <w:rFonts w:eastAsia="Guttman Hodes"/>
          <w:rtl/>
        </w:rPr>
        <w:fldChar w:fldCharType="begin"/>
      </w:r>
      <w:r w:rsidRPr="0018695D">
        <w:rPr>
          <w:rStyle w:val="af7"/>
          <w:rFonts w:eastAsia="Guttman Hodes"/>
          <w:rtl/>
        </w:rPr>
        <w:instrText xml:space="preserve"> </w:instrText>
      </w:r>
      <w:r w:rsidRPr="0018695D">
        <w:rPr>
          <w:rStyle w:val="af7"/>
          <w:rFonts w:eastAsia="Guttman Hodes" w:hint="cs"/>
        </w:rPr>
        <w:instrText>REF</w:instrText>
      </w:r>
      <w:r w:rsidRPr="0018695D">
        <w:rPr>
          <w:rStyle w:val="af7"/>
          <w:rFonts w:eastAsia="Guttman Hodes" w:hint="cs"/>
          <w:rtl/>
        </w:rPr>
        <w:instrText xml:space="preserve"> _</w:instrText>
      </w:r>
      <w:r w:rsidRPr="0018695D">
        <w:rPr>
          <w:rStyle w:val="af7"/>
          <w:rFonts w:eastAsia="Guttman Hodes" w:hint="cs"/>
        </w:rPr>
        <w:instrText>Ref4010599 \r \h</w:instrText>
      </w:r>
      <w:r w:rsidRPr="0018695D">
        <w:rPr>
          <w:rStyle w:val="af7"/>
          <w:rFonts w:eastAsia="Guttman Hodes"/>
          <w:rtl/>
        </w:rPr>
        <w:instrText xml:space="preserve"> </w:instrText>
      </w:r>
      <w:r w:rsidRPr="0018695D">
        <w:rPr>
          <w:rStyle w:val="af7"/>
          <w:rFonts w:eastAsia="Guttman Hodes"/>
          <w:rtl/>
        </w:rPr>
      </w:r>
      <w:r w:rsidRPr="0018695D">
        <w:rPr>
          <w:rStyle w:val="af7"/>
          <w:rFonts w:eastAsia="Guttman Hodes"/>
          <w:rtl/>
        </w:rPr>
        <w:fldChar w:fldCharType="separate"/>
      </w:r>
      <w:r w:rsidR="00345400">
        <w:rPr>
          <w:rStyle w:val="af7"/>
          <w:rFonts w:eastAsia="Guttman Hodes"/>
          <w:cs/>
        </w:rPr>
        <w:t>‎</w:t>
      </w:r>
      <w:r w:rsidR="00345400">
        <w:rPr>
          <w:rStyle w:val="af7"/>
          <w:rFonts w:eastAsia="Guttman Hodes"/>
          <w:rtl/>
        </w:rPr>
        <w:t>כח)</w:t>
      </w:r>
      <w:r w:rsidRPr="0018695D">
        <w:rPr>
          <w:rStyle w:val="af7"/>
          <w:rFonts w:eastAsia="Guttman Hodes"/>
          <w:rtl/>
        </w:rPr>
        <w:fldChar w:fldCharType="end"/>
      </w:r>
      <w:r>
        <w:rPr>
          <w:rFonts w:hint="cs"/>
          <w:rtl/>
        </w:rPr>
        <w:t>.</w:t>
      </w:r>
    </w:p>
    <w:p w14:paraId="389A05B1" w14:textId="77777777" w:rsidR="008F4B19" w:rsidRPr="008F4B19" w:rsidRDefault="008F4B19" w:rsidP="008F4B19">
      <w:pPr>
        <w:pStyle w:val="a3"/>
        <w:rPr>
          <w:rtl/>
        </w:rPr>
      </w:pPr>
    </w:p>
    <w:p w14:paraId="07D939B0" w14:textId="77777777" w:rsidR="008F4B19" w:rsidRPr="008F4B19" w:rsidRDefault="008F4B19" w:rsidP="008F4B19">
      <w:pPr>
        <w:pStyle w:val="a3"/>
        <w:rPr>
          <w:rtl/>
        </w:rPr>
      </w:pPr>
    </w:p>
    <w:p w14:paraId="3386C079" w14:textId="77777777" w:rsidR="008F4B19" w:rsidRPr="008F4B19" w:rsidRDefault="008F4B19" w:rsidP="008F4B19">
      <w:pPr>
        <w:pStyle w:val="a3"/>
        <w:rPr>
          <w:rtl/>
        </w:rPr>
      </w:pPr>
    </w:p>
    <w:p w14:paraId="5392A9E3" w14:textId="77777777" w:rsidR="008F4B19" w:rsidRPr="008F4B19" w:rsidRDefault="008F4B19" w:rsidP="008F4B19">
      <w:pPr>
        <w:pStyle w:val="a3"/>
        <w:rPr>
          <w:rtl/>
        </w:rPr>
      </w:pPr>
    </w:p>
    <w:p w14:paraId="3C8C51B1" w14:textId="77777777" w:rsidR="003D504D" w:rsidRDefault="003D504D" w:rsidP="003D504D">
      <w:pPr>
        <w:pStyle w:val="afe"/>
        <w:rPr>
          <w:rtl/>
        </w:rPr>
      </w:pPr>
      <w:bookmarkStart w:id="23761" w:name="_Toc19436371"/>
      <w:bookmarkStart w:id="23762" w:name="_Toc20081501"/>
      <w:bookmarkStart w:id="23763" w:name="_Toc4139389"/>
      <w:bookmarkStart w:id="23764" w:name="_Toc4151483"/>
      <w:r>
        <w:rPr>
          <w:rFonts w:hint="cs"/>
          <w:rtl/>
        </w:rPr>
        <w:t>דעות הראשונים דפליגי על הרמב</w:t>
      </w:r>
      <w:r>
        <w:rPr>
          <w:rFonts w:cs="Guttman Hodes" w:hint="cs"/>
          <w:rtl/>
        </w:rPr>
        <w:t>"</w:t>
      </w:r>
      <w:r>
        <w:rPr>
          <w:rFonts w:hint="cs"/>
          <w:rtl/>
        </w:rPr>
        <w:t>ם</w:t>
      </w:r>
      <w:bookmarkEnd w:id="23761"/>
      <w:bookmarkEnd w:id="23762"/>
    </w:p>
    <w:p w14:paraId="6E26C02D" w14:textId="77777777" w:rsidR="003D504D" w:rsidRPr="00210ABC" w:rsidRDefault="003D504D" w:rsidP="00BF39B2">
      <w:pPr>
        <w:pStyle w:val="1"/>
        <w:rPr>
          <w:rtl/>
        </w:rPr>
      </w:pPr>
      <w:bookmarkStart w:id="23765" w:name="_Toc19391940"/>
      <w:bookmarkStart w:id="23766" w:name="_Toc19395437"/>
      <w:r w:rsidRPr="00210ABC">
        <w:rPr>
          <w:rFonts w:hint="cs"/>
          <w:rtl/>
        </w:rPr>
        <w:t>דעת הראשונים דריו"ח ור"ל לא פליגי בפלוגתת ר"מ ור"י</w:t>
      </w:r>
      <w:bookmarkEnd w:id="23763"/>
      <w:bookmarkEnd w:id="23764"/>
      <w:bookmarkEnd w:id="23765"/>
      <w:bookmarkEnd w:id="23766"/>
    </w:p>
    <w:p w14:paraId="5FA7661F" w14:textId="77777777" w:rsidR="003D504D" w:rsidRPr="004E161F" w:rsidRDefault="003D504D" w:rsidP="003D504D">
      <w:pPr>
        <w:pStyle w:val="a3"/>
      </w:pPr>
      <w:bookmarkStart w:id="23767" w:name="_Toc4151484"/>
      <w:bookmarkStart w:id="23768" w:name="_Toc19391941"/>
      <w:bookmarkStart w:id="23769" w:name="_Toc19395438"/>
      <w:bookmarkStart w:id="23770" w:name="_Toc3840810"/>
      <w:bookmarkStart w:id="23771" w:name="_Toc3929004"/>
      <w:bookmarkStart w:id="23772" w:name="_Toc3978391"/>
      <w:bookmarkStart w:id="23773" w:name="_Toc4012237"/>
      <w:bookmarkStart w:id="23774" w:name="_Toc4013263"/>
      <w:bookmarkStart w:id="23775" w:name="_Toc4022771"/>
      <w:bookmarkStart w:id="23776" w:name="_Toc4026596"/>
      <w:r>
        <w:rPr>
          <w:rFonts w:hint="cs"/>
          <w:rtl/>
        </w:rPr>
        <w:t>דברי רש"י ותוס' דריו"ח מתיר בנשחטה וביאורי הר"ן והרשב"א והאר"ש בפלוגתת ריו"ח ור"ל</w:t>
      </w:r>
      <w:bookmarkEnd w:id="23767"/>
      <w:bookmarkEnd w:id="23768"/>
      <w:bookmarkEnd w:id="23769"/>
    </w:p>
    <w:p w14:paraId="3405A321" w14:textId="77777777" w:rsidR="003D504D" w:rsidRDefault="003D504D" w:rsidP="00223668">
      <w:pPr>
        <w:pStyle w:val="a0"/>
        <w:rPr>
          <w:rtl/>
        </w:rPr>
      </w:pPr>
      <w:bookmarkStart w:id="23777" w:name="_Ref4142423"/>
      <w:r w:rsidRPr="004E161F">
        <w:rPr>
          <w:rFonts w:hint="cs"/>
          <w:rtl/>
        </w:rPr>
        <w:t xml:space="preserve">אבל </w:t>
      </w:r>
      <w:r w:rsidRPr="004E161F">
        <w:rPr>
          <w:rStyle w:val="af9"/>
          <w:rFonts w:hint="cs"/>
          <w:rtl/>
        </w:rPr>
        <w:t>רש"י</w:t>
      </w:r>
      <w:r w:rsidRPr="004E161F">
        <w:rPr>
          <w:rFonts w:hint="cs"/>
          <w:rtl/>
        </w:rPr>
        <w:t xml:space="preserve"> </w:t>
      </w:r>
      <w:r w:rsidRPr="004E161F">
        <w:rPr>
          <w:rStyle w:val="af7"/>
          <w:rFonts w:eastAsia="Guttman Hodes" w:hint="cs"/>
          <w:rtl/>
        </w:rPr>
        <w:t xml:space="preserve">(עה. ד"ה דהושיט, </w:t>
      </w:r>
      <w:r w:rsidR="00AC7E32">
        <w:rPr>
          <w:rStyle w:val="af7"/>
          <w:rFonts w:eastAsia="Guttman Hodes" w:hint="cs"/>
          <w:rtl/>
        </w:rPr>
        <w:t>הובא בסימן</w:t>
      </w:r>
      <w:r w:rsidRPr="004E161F">
        <w:rPr>
          <w:rStyle w:val="af7"/>
          <w:rFonts w:eastAsia="Guttman Hodes" w:hint="cs"/>
          <w:rtl/>
        </w:rPr>
        <w:t xml:space="preserve"> </w:t>
      </w:r>
      <w:r>
        <w:rPr>
          <w:rStyle w:val="af7"/>
          <w:rFonts w:eastAsia="Guttman Hodes" w:hint="cs"/>
          <w:rtl/>
        </w:rPr>
        <w:t>ז</w:t>
      </w:r>
      <w:r>
        <w:rPr>
          <w:rStyle w:val="af7"/>
          <w:rFonts w:eastAsia="Guttman Hodes"/>
          <w:rtl/>
        </w:rPr>
        <w:t>'</w:t>
      </w:r>
      <w:r>
        <w:rPr>
          <w:rStyle w:val="af7"/>
          <w:rFonts w:eastAsia="Guttman Hodes" w:hint="cs"/>
          <w:rtl/>
        </w:rPr>
        <w:t xml:space="preserve"> אות מד)</w:t>
      </w:r>
      <w:r w:rsidRPr="004E161F">
        <w:rPr>
          <w:rStyle w:val="af7"/>
          <w:rFonts w:eastAsia="Guttman Hodes" w:hint="cs"/>
          <w:rtl/>
        </w:rPr>
        <w:t xml:space="preserve"> </w:t>
      </w:r>
      <w:r w:rsidRPr="004E161F">
        <w:rPr>
          <w:rFonts w:hint="cs"/>
          <w:rtl/>
        </w:rPr>
        <w:t xml:space="preserve"> כתב דאף לריו"ח דמחייב בתלש חלב דחדשים גרמי, מ"מ אם נשחט העובר במעי אמו, חלבו מותר לדעת ר"י, וכ"כ </w:t>
      </w:r>
      <w:r w:rsidRPr="004E161F">
        <w:rPr>
          <w:rStyle w:val="af9"/>
          <w:rFonts w:hint="cs"/>
          <w:rtl/>
        </w:rPr>
        <w:t>התוס'</w:t>
      </w:r>
      <w:r w:rsidRPr="004E161F">
        <w:rPr>
          <w:rStyle w:val="af7"/>
          <w:rFonts w:eastAsia="Guttman Hodes" w:hint="cs"/>
          <w:rtl/>
        </w:rPr>
        <w:t xml:space="preserve"> (עה. ד"ה ריו"ח, </w:t>
      </w:r>
      <w:r w:rsidR="00AC7E32">
        <w:rPr>
          <w:rStyle w:val="af7"/>
          <w:rFonts w:eastAsia="Guttman Hodes" w:hint="cs"/>
          <w:rtl/>
        </w:rPr>
        <w:t>הובא בסימן</w:t>
      </w:r>
      <w:r w:rsidRPr="004E161F">
        <w:rPr>
          <w:rStyle w:val="af7"/>
          <w:rFonts w:eastAsia="Guttman Hodes" w:hint="cs"/>
          <w:rtl/>
        </w:rPr>
        <w:t xml:space="preserve"> </w:t>
      </w:r>
      <w:r>
        <w:rPr>
          <w:rStyle w:val="af7"/>
          <w:rFonts w:eastAsia="Guttman Hodes" w:hint="cs"/>
          <w:rtl/>
        </w:rPr>
        <w:t>ז</w:t>
      </w:r>
      <w:r>
        <w:rPr>
          <w:rStyle w:val="af7"/>
          <w:rFonts w:eastAsia="Guttman Hodes"/>
          <w:rtl/>
        </w:rPr>
        <w:t>'</w:t>
      </w:r>
      <w:r>
        <w:rPr>
          <w:rStyle w:val="af7"/>
          <w:rFonts w:eastAsia="Guttman Hodes" w:hint="cs"/>
          <w:rtl/>
        </w:rPr>
        <w:t xml:space="preserve"> אות מה)</w:t>
      </w:r>
      <w:r w:rsidRPr="004E161F">
        <w:rPr>
          <w:rStyle w:val="af7"/>
          <w:rFonts w:eastAsia="Guttman Hodes" w:hint="cs"/>
          <w:rtl/>
        </w:rPr>
        <w:t xml:space="preserve">  </w:t>
      </w:r>
      <w:r w:rsidRPr="004E161F">
        <w:rPr>
          <w:rFonts w:hint="cs"/>
          <w:rtl/>
        </w:rPr>
        <w:t xml:space="preserve">, וביאר </w:t>
      </w:r>
      <w:r w:rsidRPr="004E161F">
        <w:rPr>
          <w:rStyle w:val="af9"/>
          <w:rFonts w:hint="cs"/>
          <w:rtl/>
        </w:rPr>
        <w:t>הר"ן בחי'</w:t>
      </w:r>
      <w:r w:rsidRPr="004E161F">
        <w:rPr>
          <w:rFonts w:hint="cs"/>
          <w:rtl/>
        </w:rPr>
        <w:t xml:space="preserve"> </w:t>
      </w:r>
      <w:r w:rsidRPr="004E161F">
        <w:rPr>
          <w:rStyle w:val="af7"/>
          <w:rFonts w:eastAsia="Guttman Hodes" w:hint="cs"/>
          <w:rtl/>
        </w:rPr>
        <w:t xml:space="preserve">(עה. ד"ה כי, </w:t>
      </w:r>
      <w:r w:rsidR="00AC7E32">
        <w:rPr>
          <w:rStyle w:val="af7"/>
          <w:rFonts w:eastAsia="Guttman Hodes" w:hint="cs"/>
          <w:rtl/>
        </w:rPr>
        <w:t>הובא בסימן</w:t>
      </w:r>
      <w:r w:rsidRPr="004E161F">
        <w:rPr>
          <w:rStyle w:val="af7"/>
          <w:rFonts w:eastAsia="Guttman Hodes" w:hint="cs"/>
          <w:rtl/>
        </w:rPr>
        <w:t xml:space="preserve"> </w:t>
      </w:r>
      <w:r>
        <w:rPr>
          <w:rStyle w:val="af7"/>
          <w:rFonts w:eastAsia="Guttman Hodes" w:hint="cs"/>
          <w:rtl/>
        </w:rPr>
        <w:t>ז</w:t>
      </w:r>
      <w:r>
        <w:rPr>
          <w:rStyle w:val="af7"/>
          <w:rFonts w:eastAsia="Guttman Hodes"/>
          <w:rtl/>
        </w:rPr>
        <w:t>'</w:t>
      </w:r>
      <w:r>
        <w:rPr>
          <w:rStyle w:val="af7"/>
          <w:rFonts w:eastAsia="Guttman Hodes" w:hint="cs"/>
          <w:rtl/>
        </w:rPr>
        <w:t xml:space="preserve"> אות מו)</w:t>
      </w:r>
      <w:r w:rsidRPr="004E161F">
        <w:rPr>
          <w:rStyle w:val="af7"/>
          <w:rFonts w:eastAsia="Guttman Hodes" w:hint="cs"/>
          <w:rtl/>
        </w:rPr>
        <w:t xml:space="preserve"> </w:t>
      </w:r>
      <w:r w:rsidRPr="004E161F">
        <w:rPr>
          <w:rFonts w:hint="cs"/>
          <w:rtl/>
        </w:rPr>
        <w:t xml:space="preserve"> בדעת </w:t>
      </w:r>
      <w:r w:rsidRPr="004E161F">
        <w:rPr>
          <w:rStyle w:val="af9"/>
          <w:rFonts w:hint="cs"/>
          <w:rtl/>
        </w:rPr>
        <w:t>רש"י</w:t>
      </w:r>
      <w:r w:rsidRPr="004E161F">
        <w:rPr>
          <w:rFonts w:hint="cs"/>
          <w:rtl/>
        </w:rPr>
        <w:t xml:space="preserve"> דריו"ח ור"ל ס"ל כר"י ונחלקו בדעתו</w:t>
      </w:r>
      <w:bookmarkEnd w:id="23770"/>
      <w:bookmarkEnd w:id="23771"/>
      <w:bookmarkEnd w:id="23772"/>
      <w:bookmarkEnd w:id="23773"/>
      <w:bookmarkEnd w:id="23774"/>
      <w:bookmarkEnd w:id="23775"/>
      <w:bookmarkEnd w:id="23776"/>
      <w:r w:rsidRPr="004E161F">
        <w:rPr>
          <w:rFonts w:hint="cs"/>
          <w:rtl/>
        </w:rPr>
        <w:t xml:space="preserve">, </w:t>
      </w:r>
      <w:r>
        <w:rPr>
          <w:rStyle w:val="af9"/>
          <w:rFonts w:hint="cs"/>
          <w:rtl/>
        </w:rPr>
        <w:t>ו</w:t>
      </w:r>
      <w:r w:rsidRPr="006654E4">
        <w:rPr>
          <w:rStyle w:val="af9"/>
          <w:rFonts w:hint="cs"/>
          <w:rtl/>
        </w:rPr>
        <w:t>הרשב"א</w:t>
      </w:r>
      <w:r>
        <w:rPr>
          <w:rFonts w:hint="cs"/>
          <w:rtl/>
        </w:rPr>
        <w:t xml:space="preserve"> </w:t>
      </w:r>
      <w:r>
        <w:rPr>
          <w:rStyle w:val="af9"/>
          <w:rtl/>
        </w:rPr>
        <w:t xml:space="preserve">בחי' </w:t>
      </w:r>
      <w:r w:rsidRPr="002B66F1">
        <w:rPr>
          <w:rStyle w:val="af7"/>
          <w:rFonts w:eastAsia="Guttman Hodes" w:hint="cs"/>
          <w:rtl/>
        </w:rPr>
        <w:t>(</w:t>
      </w:r>
      <w:r w:rsidRPr="00EA02D1">
        <w:rPr>
          <w:rStyle w:val="af7"/>
          <w:rFonts w:eastAsia="Guttman Hodes" w:hint="cs"/>
          <w:rtl/>
        </w:rPr>
        <w:t>עה. ד"ה איכא</w:t>
      </w:r>
      <w:r>
        <w:rPr>
          <w:rStyle w:val="af7"/>
          <w:rFonts w:eastAsia="Guttman Hodes" w:hint="cs"/>
          <w:rtl/>
        </w:rPr>
        <w:t>,</w:t>
      </w:r>
      <w:r w:rsidRPr="002B66F1">
        <w:rPr>
          <w:rStyle w:val="af7"/>
          <w:rFonts w:eastAsia="Guttman Hodes" w:hint="cs"/>
          <w:rtl/>
        </w:rPr>
        <w:t xml:space="preserve"> צב: ד"ה ולענין</w:t>
      </w:r>
      <w:r w:rsidRPr="002B66F1">
        <w:rPr>
          <w:rStyle w:val="af7"/>
          <w:rFonts w:eastAsiaTheme="minorHAnsi" w:hint="cs"/>
          <w:rtl/>
        </w:rPr>
        <w:t>)</w:t>
      </w:r>
      <w:r>
        <w:rPr>
          <w:rStyle w:val="af7"/>
          <w:rFonts w:eastAsiaTheme="minorHAnsi" w:hint="cs"/>
          <w:rtl/>
        </w:rPr>
        <w:t xml:space="preserve"> </w:t>
      </w:r>
      <w:r>
        <w:rPr>
          <w:rStyle w:val="af9"/>
          <w:rtl/>
        </w:rPr>
        <w:t xml:space="preserve">ובתוה"ב </w:t>
      </w:r>
      <w:r w:rsidRPr="002B66F1">
        <w:rPr>
          <w:rStyle w:val="af7"/>
          <w:rFonts w:eastAsia="Guttman Hodes" w:hint="cs"/>
          <w:rtl/>
        </w:rPr>
        <w:t>(ב"ב ש"ה דף נט: מדה"ס)</w:t>
      </w:r>
      <w:r>
        <w:rPr>
          <w:rFonts w:hint="cs"/>
          <w:rtl/>
        </w:rPr>
        <w:t xml:space="preserve"> </w:t>
      </w:r>
      <w:r w:rsidRPr="004E161F">
        <w:rPr>
          <w:rFonts w:hint="cs"/>
          <w:rtl/>
        </w:rPr>
        <w:t>כתב בדעת רש"י דריו"ח ור"ל נחלקו</w:t>
      </w:r>
      <w:r>
        <w:rPr>
          <w:rFonts w:hint="cs"/>
          <w:rtl/>
        </w:rPr>
        <w:t xml:space="preserve"> בתלש חלב,</w:t>
      </w:r>
      <w:r w:rsidRPr="004E161F">
        <w:rPr>
          <w:rFonts w:hint="cs"/>
          <w:rtl/>
        </w:rPr>
        <w:t xml:space="preserve"> בין בדעת ר"י ובין בדעת ר"מ</w:t>
      </w:r>
      <w:r>
        <w:rPr>
          <w:rFonts w:hint="cs"/>
          <w:rtl/>
        </w:rPr>
        <w:t>, וכ"כ</w:t>
      </w:r>
      <w:r w:rsidRPr="0002223C">
        <w:rPr>
          <w:rStyle w:val="af9"/>
          <w:rFonts w:hint="cs"/>
          <w:rtl/>
        </w:rPr>
        <w:t xml:space="preserve"> </w:t>
      </w:r>
      <w:r w:rsidRPr="001C3803">
        <w:rPr>
          <w:rStyle w:val="af9"/>
          <w:rFonts w:hint="cs"/>
          <w:rtl/>
        </w:rPr>
        <w:t>הרא"ש</w:t>
      </w:r>
      <w:r>
        <w:rPr>
          <w:rFonts w:hint="cs"/>
          <w:rtl/>
        </w:rPr>
        <w:t xml:space="preserve"> </w:t>
      </w:r>
      <w:r w:rsidRPr="002B66F1">
        <w:rPr>
          <w:rStyle w:val="af7"/>
          <w:rFonts w:eastAsia="Guttman Hodes" w:hint="cs"/>
          <w:rtl/>
        </w:rPr>
        <w:t>(סי' ה'</w:t>
      </w:r>
      <w:r>
        <w:rPr>
          <w:rStyle w:val="af7"/>
          <w:rFonts w:eastAsia="Guttman Hodes" w:hint="cs"/>
          <w:rtl/>
        </w:rPr>
        <w:t>, הובאו דבריהם לעיל סימן ז</w:t>
      </w:r>
      <w:r>
        <w:rPr>
          <w:rStyle w:val="af7"/>
          <w:rFonts w:eastAsia="Guttman Hodes"/>
          <w:rtl/>
        </w:rPr>
        <w:t>'</w:t>
      </w:r>
      <w:r>
        <w:rPr>
          <w:rStyle w:val="af7"/>
          <w:rFonts w:eastAsia="Guttman Hodes" w:hint="cs"/>
          <w:rtl/>
        </w:rPr>
        <w:t xml:space="preserve"> אות נה</w:t>
      </w:r>
      <w:r w:rsidRPr="002B66F1">
        <w:rPr>
          <w:rStyle w:val="af7"/>
          <w:rFonts w:eastAsia="Guttman Hodes" w:hint="cs"/>
          <w:rtl/>
        </w:rPr>
        <w:t>)</w:t>
      </w:r>
      <w:r w:rsidRPr="004E161F">
        <w:rPr>
          <w:rFonts w:hint="cs"/>
          <w:rtl/>
        </w:rPr>
        <w:t>.</w:t>
      </w:r>
      <w:bookmarkEnd w:id="23777"/>
    </w:p>
    <w:p w14:paraId="57500A18" w14:textId="77777777" w:rsidR="003D504D" w:rsidRPr="001D6D2D" w:rsidRDefault="003D504D" w:rsidP="003D504D">
      <w:pPr>
        <w:pStyle w:val="a3"/>
        <w:rPr>
          <w:rtl/>
        </w:rPr>
      </w:pPr>
      <w:bookmarkStart w:id="23778" w:name="_Toc19391942"/>
      <w:bookmarkStart w:id="23779" w:name="_Toc19395439"/>
      <w:bookmarkStart w:id="23780" w:name="_Toc4139391"/>
      <w:bookmarkStart w:id="23781" w:name="_Toc4151485"/>
      <w:r>
        <w:rPr>
          <w:rFonts w:hint="cs"/>
          <w:rtl/>
        </w:rPr>
        <w:t>דעת התוס' דלריו"ח אף דלאיסור חלב לא בעינן חדשים ואוירא דלידה מ"מ אויר העולם בעינן</w:t>
      </w:r>
      <w:bookmarkEnd w:id="23778"/>
      <w:bookmarkEnd w:id="23779"/>
    </w:p>
    <w:p w14:paraId="34A02425" w14:textId="77777777" w:rsidR="003D504D" w:rsidRPr="004E161F" w:rsidRDefault="003D504D" w:rsidP="00223668">
      <w:pPr>
        <w:pStyle w:val="a0"/>
      </w:pPr>
      <w:bookmarkStart w:id="23782" w:name="_Ref4143378"/>
      <w:r w:rsidRPr="004E161F">
        <w:rPr>
          <w:rFonts w:hint="cs"/>
          <w:rtl/>
        </w:rPr>
        <w:t xml:space="preserve">כתבו </w:t>
      </w:r>
      <w:r w:rsidRPr="004E161F">
        <w:rPr>
          <w:rStyle w:val="af9"/>
          <w:rFonts w:hint="cs"/>
          <w:rtl/>
        </w:rPr>
        <w:t xml:space="preserve">התוס' </w:t>
      </w:r>
      <w:r w:rsidRPr="004E161F">
        <w:rPr>
          <w:rStyle w:val="af7"/>
          <w:rFonts w:eastAsia="Guttman Hodes" w:hint="cs"/>
          <w:rtl/>
        </w:rPr>
        <w:t>(עה. סוד"ה לדברי, קג. ד"ה דאיסור, צ. ד"ה הכא, הובא</w:t>
      </w:r>
      <w:r>
        <w:rPr>
          <w:rStyle w:val="af7"/>
          <w:rFonts w:eastAsia="Guttman Hodes" w:hint="cs"/>
          <w:rtl/>
        </w:rPr>
        <w:t>ו</w:t>
      </w:r>
      <w:r w:rsidRPr="004E161F">
        <w:rPr>
          <w:rStyle w:val="af7"/>
          <w:rFonts w:eastAsia="Guttman Hodes" w:hint="cs"/>
          <w:rtl/>
        </w:rPr>
        <w:t xml:space="preserve"> לעיל סימן </w:t>
      </w:r>
      <w:r>
        <w:rPr>
          <w:rStyle w:val="af7"/>
          <w:rFonts w:eastAsia="Guttman Hodes" w:hint="cs"/>
          <w:rtl/>
        </w:rPr>
        <w:t>ז</w:t>
      </w:r>
      <w:r>
        <w:rPr>
          <w:rStyle w:val="af7"/>
          <w:rFonts w:eastAsia="Guttman Hodes"/>
          <w:rtl/>
        </w:rPr>
        <w:t>'</w:t>
      </w:r>
      <w:r>
        <w:rPr>
          <w:rStyle w:val="af7"/>
          <w:rFonts w:eastAsia="Guttman Hodes" w:hint="cs"/>
          <w:rtl/>
        </w:rPr>
        <w:t xml:space="preserve"> אות נא)</w:t>
      </w:r>
      <w:r w:rsidRPr="004E161F">
        <w:rPr>
          <w:rStyle w:val="af7"/>
          <w:rFonts w:eastAsia="Guttman Hodes" w:hint="cs"/>
          <w:rtl/>
        </w:rPr>
        <w:t xml:space="preserve">  </w:t>
      </w:r>
      <w:r w:rsidRPr="004E161F">
        <w:rPr>
          <w:rFonts w:hint="cs"/>
          <w:rtl/>
        </w:rPr>
        <w:t>דאף דס"ל לריו"ח דלא בעינן אוירא דלידה, מ"מ אויר</w:t>
      </w:r>
      <w:r>
        <w:rPr>
          <w:rFonts w:hint="cs"/>
          <w:rtl/>
        </w:rPr>
        <w:t xml:space="preserve"> העולם </w:t>
      </w:r>
      <w:r w:rsidRPr="004E161F">
        <w:rPr>
          <w:rFonts w:hint="cs"/>
          <w:rtl/>
        </w:rPr>
        <w:t>בעינן</w:t>
      </w:r>
      <w:r>
        <w:rPr>
          <w:rFonts w:hint="cs"/>
          <w:rtl/>
        </w:rPr>
        <w:t xml:space="preserve">, </w:t>
      </w:r>
      <w:r w:rsidRPr="004E161F">
        <w:rPr>
          <w:rFonts w:hint="cs"/>
          <w:rtl/>
        </w:rPr>
        <w:t xml:space="preserve">ואיסור </w:t>
      </w:r>
      <w:r>
        <w:rPr>
          <w:rFonts w:hint="cs"/>
          <w:rtl/>
        </w:rPr>
        <w:t xml:space="preserve">חלב </w:t>
      </w:r>
      <w:r w:rsidRPr="004E161F">
        <w:rPr>
          <w:rFonts w:hint="cs"/>
          <w:rtl/>
        </w:rPr>
        <w:t xml:space="preserve">חל </w:t>
      </w:r>
      <w:r>
        <w:rPr>
          <w:rFonts w:hint="cs"/>
          <w:rtl/>
        </w:rPr>
        <w:t xml:space="preserve">רק </w:t>
      </w:r>
      <w:r w:rsidRPr="004E161F">
        <w:rPr>
          <w:rFonts w:hint="cs"/>
          <w:rtl/>
        </w:rPr>
        <w:t xml:space="preserve">בשעה שיוצא לאויר העולם, וכדמוכח בגמ' לקמן </w:t>
      </w:r>
      <w:r w:rsidRPr="004E161F">
        <w:rPr>
          <w:rStyle w:val="af7"/>
          <w:rFonts w:eastAsia="Guttman Hodes" w:hint="cs"/>
          <w:rtl/>
        </w:rPr>
        <w:t>(צ.</w:t>
      </w:r>
      <w:r>
        <w:rPr>
          <w:rStyle w:val="af7"/>
          <w:rFonts w:eastAsia="Guttman Hodes" w:hint="cs"/>
          <w:rtl/>
        </w:rPr>
        <w:t xml:space="preserve"> קג.</w:t>
      </w:r>
      <w:r w:rsidRPr="004E161F">
        <w:rPr>
          <w:rStyle w:val="af7"/>
          <w:rFonts w:eastAsia="Guttman Hodes" w:hint="cs"/>
          <w:rtl/>
        </w:rPr>
        <w:t>)</w:t>
      </w:r>
      <w:r w:rsidRPr="004E161F">
        <w:rPr>
          <w:rFonts w:hint="cs"/>
          <w:rtl/>
        </w:rPr>
        <w:t xml:space="preserve">, וכתב </w:t>
      </w:r>
      <w:r w:rsidRPr="004E161F">
        <w:rPr>
          <w:rStyle w:val="af9"/>
          <w:rFonts w:hint="cs"/>
          <w:rtl/>
        </w:rPr>
        <w:t>הראש יוסף</w:t>
      </w:r>
      <w:r w:rsidRPr="004E161F">
        <w:rPr>
          <w:rFonts w:hint="cs"/>
          <w:rtl/>
        </w:rPr>
        <w:t xml:space="preserve"> </w:t>
      </w:r>
      <w:r w:rsidRPr="004E161F">
        <w:rPr>
          <w:rStyle w:val="af7"/>
          <w:rFonts w:eastAsia="Guttman Hodes" w:hint="cs"/>
          <w:rtl/>
        </w:rPr>
        <w:t xml:space="preserve">(עי' אות </w:t>
      </w:r>
      <w:r w:rsidRPr="004E161F">
        <w:rPr>
          <w:rStyle w:val="af7"/>
          <w:rFonts w:eastAsia="Guttman Hodes"/>
          <w:rtl/>
        </w:rPr>
        <w:fldChar w:fldCharType="begin"/>
      </w:r>
      <w:r w:rsidRPr="004E161F">
        <w:rPr>
          <w:rStyle w:val="af7"/>
          <w:rFonts w:eastAsia="Guttman Hodes"/>
          <w:rtl/>
        </w:rPr>
        <w:instrText xml:space="preserve"> </w:instrText>
      </w:r>
      <w:r w:rsidRPr="004E161F">
        <w:rPr>
          <w:rStyle w:val="af7"/>
          <w:rFonts w:eastAsia="Guttman Hodes" w:hint="cs"/>
        </w:rPr>
        <w:instrText>REF</w:instrText>
      </w:r>
      <w:r w:rsidRPr="004E161F">
        <w:rPr>
          <w:rStyle w:val="af7"/>
          <w:rFonts w:eastAsia="Guttman Hodes" w:hint="cs"/>
          <w:rtl/>
        </w:rPr>
        <w:instrText xml:space="preserve"> _</w:instrText>
      </w:r>
      <w:r w:rsidRPr="004E161F">
        <w:rPr>
          <w:rStyle w:val="af7"/>
          <w:rFonts w:eastAsia="Guttman Hodes" w:hint="cs"/>
        </w:rPr>
        <w:instrText>Ref4098996 \r \h</w:instrText>
      </w:r>
      <w:r w:rsidRPr="004E161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4E161F">
        <w:rPr>
          <w:rStyle w:val="af7"/>
          <w:rFonts w:eastAsia="Guttman Hodes"/>
          <w:rtl/>
        </w:rPr>
      </w:r>
      <w:r w:rsidRPr="004E161F">
        <w:rPr>
          <w:rStyle w:val="af7"/>
          <w:rFonts w:eastAsia="Guttman Hodes"/>
          <w:rtl/>
        </w:rPr>
        <w:fldChar w:fldCharType="separate"/>
      </w:r>
      <w:r w:rsidR="00345400">
        <w:rPr>
          <w:rStyle w:val="af7"/>
          <w:rFonts w:eastAsia="Guttman Hodes"/>
          <w:cs/>
        </w:rPr>
        <w:t>‎</w:t>
      </w:r>
      <w:r w:rsidR="00345400">
        <w:rPr>
          <w:rStyle w:val="af7"/>
          <w:rFonts w:eastAsia="Guttman Hodes"/>
          <w:rtl/>
        </w:rPr>
        <w:t>מו)</w:t>
      </w:r>
      <w:r w:rsidRPr="004E161F">
        <w:rPr>
          <w:rStyle w:val="af7"/>
          <w:rFonts w:eastAsia="Guttman Hodes"/>
          <w:rtl/>
        </w:rPr>
        <w:fldChar w:fldCharType="end"/>
      </w:r>
      <w:r w:rsidRPr="004E161F">
        <w:rPr>
          <w:rStyle w:val="af7"/>
          <w:rFonts w:eastAsia="Guttman Hodes" w:hint="cs"/>
          <w:rtl/>
        </w:rPr>
        <w:t xml:space="preserve"> </w:t>
      </w:r>
      <w:r w:rsidRPr="004E161F">
        <w:rPr>
          <w:rStyle w:val="af9"/>
          <w:rFonts w:hint="cs"/>
          <w:rtl/>
        </w:rPr>
        <w:t>דהרמב</w:t>
      </w:r>
      <w:r>
        <w:rPr>
          <w:rStyle w:val="af9"/>
          <w:rFonts w:hint="cs"/>
          <w:rtl/>
        </w:rPr>
        <w:t>"</w:t>
      </w:r>
      <w:r w:rsidRPr="004E161F">
        <w:rPr>
          <w:rStyle w:val="af9"/>
          <w:rFonts w:hint="cs"/>
          <w:rtl/>
        </w:rPr>
        <w:t>ם</w:t>
      </w:r>
      <w:r w:rsidRPr="004E161F">
        <w:rPr>
          <w:rFonts w:hint="cs"/>
          <w:rtl/>
        </w:rPr>
        <w:t xml:space="preserve"> פליג על דברי </w:t>
      </w:r>
      <w:r w:rsidRPr="004E161F">
        <w:rPr>
          <w:rStyle w:val="af9"/>
          <w:rFonts w:hint="cs"/>
          <w:rtl/>
        </w:rPr>
        <w:t>התוס'</w:t>
      </w:r>
      <w:r w:rsidRPr="004E161F">
        <w:rPr>
          <w:rFonts w:hint="cs"/>
          <w:rtl/>
        </w:rPr>
        <w:t xml:space="preserve">, </w:t>
      </w:r>
      <w:r>
        <w:rPr>
          <w:rFonts w:hint="cs"/>
          <w:rtl/>
        </w:rPr>
        <w:t xml:space="preserve">אך יעוי' במה שהקשה </w:t>
      </w:r>
      <w:r w:rsidRPr="006101C3">
        <w:rPr>
          <w:rStyle w:val="af9"/>
          <w:rFonts w:hint="cs"/>
          <w:rtl/>
        </w:rPr>
        <w:t>הפר"ח</w:t>
      </w:r>
      <w:r>
        <w:rPr>
          <w:rFonts w:hint="cs"/>
          <w:rtl/>
        </w:rPr>
        <w:t xml:space="preserve"> </w:t>
      </w:r>
      <w:r w:rsidRPr="006101C3">
        <w:rPr>
          <w:rStyle w:val="af7"/>
          <w:rFonts w:eastAsia="Guttman Hodes" w:hint="cs"/>
          <w:rtl/>
        </w:rPr>
        <w:t xml:space="preserve">(עי' אות </w:t>
      </w:r>
      <w:r w:rsidRPr="006101C3">
        <w:rPr>
          <w:rStyle w:val="af7"/>
          <w:rFonts w:eastAsia="Guttman Hodes"/>
          <w:rtl/>
        </w:rPr>
        <w:fldChar w:fldCharType="begin"/>
      </w:r>
      <w:r w:rsidRPr="006101C3">
        <w:rPr>
          <w:rStyle w:val="af7"/>
          <w:rFonts w:eastAsia="Guttman Hodes"/>
          <w:rtl/>
        </w:rPr>
        <w:instrText xml:space="preserve"> </w:instrText>
      </w:r>
      <w:r w:rsidRPr="006101C3">
        <w:rPr>
          <w:rStyle w:val="af7"/>
          <w:rFonts w:eastAsia="Guttman Hodes" w:hint="cs"/>
        </w:rPr>
        <w:instrText>REF</w:instrText>
      </w:r>
      <w:r w:rsidRPr="006101C3">
        <w:rPr>
          <w:rStyle w:val="af7"/>
          <w:rFonts w:eastAsia="Guttman Hodes" w:hint="cs"/>
          <w:rtl/>
        </w:rPr>
        <w:instrText xml:space="preserve"> _</w:instrText>
      </w:r>
      <w:r w:rsidRPr="006101C3">
        <w:rPr>
          <w:rStyle w:val="af7"/>
          <w:rFonts w:eastAsia="Guttman Hodes" w:hint="cs"/>
        </w:rPr>
        <w:instrText>Ref4008837 \r \h</w:instrText>
      </w:r>
      <w:r w:rsidRPr="006101C3">
        <w:rPr>
          <w:rStyle w:val="af7"/>
          <w:rFonts w:eastAsia="Guttman Hodes"/>
          <w:rtl/>
        </w:rPr>
        <w:instrText xml:space="preserve"> </w:instrText>
      </w:r>
      <w:r w:rsidRPr="006101C3">
        <w:rPr>
          <w:rStyle w:val="af7"/>
          <w:rFonts w:eastAsia="Guttman Hodes"/>
          <w:rtl/>
        </w:rPr>
      </w:r>
      <w:r w:rsidRPr="006101C3">
        <w:rPr>
          <w:rStyle w:val="af7"/>
          <w:rFonts w:eastAsia="Guttman Hodes"/>
          <w:rtl/>
        </w:rPr>
        <w:fldChar w:fldCharType="separate"/>
      </w:r>
      <w:r w:rsidR="00345400">
        <w:rPr>
          <w:rStyle w:val="af7"/>
          <w:rFonts w:eastAsia="Guttman Hodes"/>
          <w:cs/>
        </w:rPr>
        <w:t>‎</w:t>
      </w:r>
      <w:r w:rsidR="00345400">
        <w:rPr>
          <w:rStyle w:val="af7"/>
          <w:rFonts w:eastAsia="Guttman Hodes"/>
          <w:rtl/>
        </w:rPr>
        <w:t>ע)</w:t>
      </w:r>
      <w:r w:rsidRPr="006101C3">
        <w:rPr>
          <w:rStyle w:val="af7"/>
          <w:rFonts w:eastAsia="Guttman Hodes"/>
          <w:rtl/>
        </w:rPr>
        <w:fldChar w:fldCharType="end"/>
      </w:r>
      <w:r>
        <w:rPr>
          <w:rFonts w:hint="cs"/>
          <w:rtl/>
        </w:rPr>
        <w:t xml:space="preserve"> דמבואר </w:t>
      </w:r>
      <w:r w:rsidRPr="006101C3">
        <w:rPr>
          <w:rStyle w:val="af9"/>
          <w:rFonts w:hint="cs"/>
          <w:rtl/>
        </w:rPr>
        <w:t>דהרמב"ם</w:t>
      </w:r>
      <w:r>
        <w:rPr>
          <w:rFonts w:hint="cs"/>
          <w:rtl/>
        </w:rPr>
        <w:t xml:space="preserve"> ס"ל כדעת </w:t>
      </w:r>
      <w:r w:rsidRPr="006101C3">
        <w:rPr>
          <w:rStyle w:val="af9"/>
          <w:rFonts w:hint="cs"/>
          <w:rtl/>
        </w:rPr>
        <w:t>התוס'</w:t>
      </w:r>
      <w:r>
        <w:rPr>
          <w:rFonts w:hint="cs"/>
          <w:rtl/>
        </w:rPr>
        <w:t xml:space="preserve">, וכן ביארו </w:t>
      </w:r>
      <w:r w:rsidRPr="006101C3">
        <w:rPr>
          <w:rStyle w:val="af9"/>
          <w:rFonts w:hint="cs"/>
          <w:rtl/>
        </w:rPr>
        <w:t>האמרי משה</w:t>
      </w:r>
      <w:r w:rsidRPr="004E161F">
        <w:rPr>
          <w:rFonts w:hint="cs"/>
          <w:rtl/>
        </w:rPr>
        <w:t xml:space="preserve"> </w:t>
      </w:r>
      <w:r w:rsidRPr="006101C3">
        <w:rPr>
          <w:rStyle w:val="af7"/>
          <w:rFonts w:eastAsia="Guttman Hodes" w:hint="cs"/>
          <w:rtl/>
        </w:rPr>
        <w:t xml:space="preserve">(עי' אות </w:t>
      </w:r>
      <w:r w:rsidRPr="006101C3">
        <w:rPr>
          <w:rStyle w:val="af7"/>
          <w:rFonts w:eastAsia="Guttman Hodes"/>
          <w:rtl/>
        </w:rPr>
        <w:fldChar w:fldCharType="begin"/>
      </w:r>
      <w:r w:rsidRPr="006101C3">
        <w:rPr>
          <w:rStyle w:val="af7"/>
          <w:rFonts w:eastAsia="Guttman Hodes"/>
          <w:rtl/>
        </w:rPr>
        <w:instrText xml:space="preserve"> </w:instrText>
      </w:r>
      <w:r w:rsidRPr="006101C3">
        <w:rPr>
          <w:rStyle w:val="af7"/>
          <w:rFonts w:eastAsia="Guttman Hodes" w:hint="cs"/>
        </w:rPr>
        <w:instrText>REF</w:instrText>
      </w:r>
      <w:r w:rsidRPr="006101C3">
        <w:rPr>
          <w:rStyle w:val="af7"/>
          <w:rFonts w:eastAsia="Guttman Hodes" w:hint="cs"/>
          <w:rtl/>
        </w:rPr>
        <w:instrText xml:space="preserve"> _</w:instrText>
      </w:r>
      <w:r w:rsidRPr="006101C3">
        <w:rPr>
          <w:rStyle w:val="af7"/>
          <w:rFonts w:eastAsia="Guttman Hodes" w:hint="cs"/>
        </w:rPr>
        <w:instrText>Ref4015199 \r \h</w:instrText>
      </w:r>
      <w:r w:rsidRPr="006101C3">
        <w:rPr>
          <w:rStyle w:val="af7"/>
          <w:rFonts w:eastAsia="Guttman Hodes"/>
          <w:rtl/>
        </w:rPr>
        <w:instrText xml:space="preserve"> </w:instrText>
      </w:r>
      <w:r w:rsidRPr="006101C3">
        <w:rPr>
          <w:rStyle w:val="af7"/>
          <w:rFonts w:eastAsia="Guttman Hodes"/>
          <w:rtl/>
        </w:rPr>
      </w:r>
      <w:r w:rsidRPr="006101C3">
        <w:rPr>
          <w:rStyle w:val="af7"/>
          <w:rFonts w:eastAsia="Guttman Hodes"/>
          <w:rtl/>
        </w:rPr>
        <w:fldChar w:fldCharType="separate"/>
      </w:r>
      <w:r w:rsidR="00345400">
        <w:rPr>
          <w:rStyle w:val="af7"/>
          <w:rFonts w:eastAsia="Guttman Hodes"/>
          <w:cs/>
        </w:rPr>
        <w:t>‎</w:t>
      </w:r>
      <w:r w:rsidR="00345400">
        <w:rPr>
          <w:rStyle w:val="af7"/>
          <w:rFonts w:eastAsia="Guttman Hodes"/>
          <w:rtl/>
        </w:rPr>
        <w:t>פח)</w:t>
      </w:r>
      <w:r w:rsidRPr="006101C3">
        <w:rPr>
          <w:rStyle w:val="af7"/>
          <w:rFonts w:eastAsia="Guttman Hodes"/>
          <w:rtl/>
        </w:rPr>
        <w:fldChar w:fldCharType="end"/>
      </w:r>
      <w:r w:rsidRPr="004E161F">
        <w:rPr>
          <w:rFonts w:hint="cs"/>
          <w:rtl/>
        </w:rPr>
        <w:t xml:space="preserve">, </w:t>
      </w:r>
      <w:r w:rsidRPr="006101C3">
        <w:rPr>
          <w:rStyle w:val="af9"/>
          <w:rFonts w:hint="cs"/>
          <w:rtl/>
        </w:rPr>
        <w:t>והאבי עזרי</w:t>
      </w:r>
      <w:r w:rsidRPr="004E161F">
        <w:rPr>
          <w:rFonts w:hint="cs"/>
          <w:rtl/>
        </w:rPr>
        <w:t xml:space="preserve"> </w:t>
      </w:r>
      <w:r w:rsidRPr="006101C3">
        <w:rPr>
          <w:rStyle w:val="af7"/>
          <w:rFonts w:eastAsia="Guttman Hodes" w:hint="cs"/>
          <w:rtl/>
        </w:rPr>
        <w:t xml:space="preserve">(עי' אות </w:t>
      </w:r>
      <w:r w:rsidRPr="006101C3">
        <w:rPr>
          <w:rStyle w:val="af7"/>
          <w:rFonts w:eastAsia="Guttman Hodes"/>
          <w:rtl/>
        </w:rPr>
        <w:fldChar w:fldCharType="begin"/>
      </w:r>
      <w:r w:rsidRPr="006101C3">
        <w:rPr>
          <w:rStyle w:val="af7"/>
          <w:rFonts w:eastAsia="Guttman Hodes"/>
          <w:rtl/>
        </w:rPr>
        <w:instrText xml:space="preserve"> </w:instrText>
      </w:r>
      <w:r w:rsidRPr="006101C3">
        <w:rPr>
          <w:rStyle w:val="af7"/>
          <w:rFonts w:eastAsia="Guttman Hodes" w:hint="cs"/>
        </w:rPr>
        <w:instrText>REF</w:instrText>
      </w:r>
      <w:r w:rsidRPr="006101C3">
        <w:rPr>
          <w:rStyle w:val="af7"/>
          <w:rFonts w:eastAsia="Guttman Hodes" w:hint="cs"/>
          <w:rtl/>
        </w:rPr>
        <w:instrText xml:space="preserve"> _</w:instrText>
      </w:r>
      <w:r w:rsidRPr="006101C3">
        <w:rPr>
          <w:rStyle w:val="af7"/>
          <w:rFonts w:eastAsia="Guttman Hodes" w:hint="cs"/>
        </w:rPr>
        <w:instrText>Ref3201282 \r \h</w:instrText>
      </w:r>
      <w:r w:rsidRPr="006101C3">
        <w:rPr>
          <w:rStyle w:val="af7"/>
          <w:rFonts w:eastAsia="Guttman Hodes"/>
          <w:rtl/>
        </w:rPr>
        <w:instrText xml:space="preserve"> </w:instrText>
      </w:r>
      <w:r w:rsidRPr="006101C3">
        <w:rPr>
          <w:rStyle w:val="af7"/>
          <w:rFonts w:eastAsia="Guttman Hodes"/>
          <w:rtl/>
        </w:rPr>
      </w:r>
      <w:r w:rsidRPr="006101C3">
        <w:rPr>
          <w:rStyle w:val="af7"/>
          <w:rFonts w:eastAsia="Guttman Hodes"/>
          <w:rtl/>
        </w:rPr>
        <w:fldChar w:fldCharType="separate"/>
      </w:r>
      <w:r w:rsidR="00345400">
        <w:rPr>
          <w:rStyle w:val="af7"/>
          <w:rFonts w:eastAsia="Guttman Hodes"/>
          <w:cs/>
        </w:rPr>
        <w:t>‎</w:t>
      </w:r>
      <w:r w:rsidR="00345400">
        <w:rPr>
          <w:rStyle w:val="af7"/>
          <w:rFonts w:eastAsia="Guttman Hodes"/>
          <w:rtl/>
        </w:rPr>
        <w:t>צח)</w:t>
      </w:r>
      <w:r w:rsidRPr="006101C3">
        <w:rPr>
          <w:rStyle w:val="af7"/>
          <w:rFonts w:eastAsia="Guttman Hodes"/>
          <w:rtl/>
        </w:rPr>
        <w:fldChar w:fldCharType="end"/>
      </w:r>
      <w:r w:rsidRPr="004E161F">
        <w:rPr>
          <w:rFonts w:hint="cs"/>
          <w:rtl/>
        </w:rPr>
        <w:t xml:space="preserve"> ביארו </w:t>
      </w:r>
      <w:r w:rsidRPr="006101C3">
        <w:rPr>
          <w:rStyle w:val="af9"/>
          <w:rFonts w:hint="cs"/>
          <w:rtl/>
        </w:rPr>
        <w:t>דהרמב"ם</w:t>
      </w:r>
      <w:r w:rsidRPr="004E161F">
        <w:rPr>
          <w:rFonts w:hint="cs"/>
          <w:rtl/>
        </w:rPr>
        <w:t xml:space="preserve"> ס"ל </w:t>
      </w:r>
      <w:r w:rsidRPr="006101C3">
        <w:rPr>
          <w:rStyle w:val="af9"/>
          <w:rFonts w:hint="cs"/>
          <w:rtl/>
        </w:rPr>
        <w:t>כתוס'</w:t>
      </w:r>
      <w:r w:rsidRPr="004E161F">
        <w:rPr>
          <w:rFonts w:hint="cs"/>
          <w:rtl/>
        </w:rPr>
        <w:t xml:space="preserve"> דלריו"ח בעינן אויר העולם</w:t>
      </w:r>
      <w:r>
        <w:rPr>
          <w:rFonts w:hint="cs"/>
          <w:rtl/>
        </w:rPr>
        <w:t xml:space="preserve">, וע"ע בדברי </w:t>
      </w:r>
      <w:r w:rsidRPr="006101C3">
        <w:rPr>
          <w:rStyle w:val="af9"/>
          <w:rFonts w:hint="cs"/>
          <w:rtl/>
        </w:rPr>
        <w:t>האבאה"ז</w:t>
      </w:r>
      <w:r w:rsidRPr="004E161F">
        <w:rPr>
          <w:rFonts w:hint="cs"/>
          <w:rtl/>
        </w:rPr>
        <w:t xml:space="preserve"> </w:t>
      </w:r>
      <w:r w:rsidRPr="006101C3">
        <w:rPr>
          <w:rStyle w:val="af7"/>
          <w:rFonts w:eastAsia="Guttman Hodes" w:hint="cs"/>
          <w:rtl/>
        </w:rPr>
        <w:t xml:space="preserve">(עי' הערה </w:t>
      </w:r>
      <w:r w:rsidRPr="006101C3">
        <w:rPr>
          <w:rStyle w:val="af7"/>
          <w:rFonts w:eastAsia="Guttman Hodes"/>
          <w:rtl/>
        </w:rPr>
        <w:fldChar w:fldCharType="begin"/>
      </w:r>
      <w:r w:rsidRPr="006101C3">
        <w:rPr>
          <w:rStyle w:val="af7"/>
          <w:rFonts w:eastAsia="Guttman Hodes"/>
          <w:rtl/>
        </w:rPr>
        <w:instrText xml:space="preserve"> </w:instrText>
      </w:r>
      <w:r w:rsidRPr="006101C3">
        <w:rPr>
          <w:rStyle w:val="af7"/>
          <w:rFonts w:eastAsia="Guttman Hodes" w:hint="cs"/>
        </w:rPr>
        <w:instrText>NOTEREF</w:instrText>
      </w:r>
      <w:r w:rsidRPr="006101C3">
        <w:rPr>
          <w:rStyle w:val="af7"/>
          <w:rFonts w:eastAsia="Guttman Hodes" w:hint="cs"/>
          <w:rtl/>
        </w:rPr>
        <w:instrText xml:space="preserve"> _</w:instrText>
      </w:r>
      <w:r w:rsidRPr="006101C3">
        <w:rPr>
          <w:rStyle w:val="af7"/>
          <w:rFonts w:eastAsia="Guttman Hodes" w:hint="cs"/>
        </w:rPr>
        <w:instrText>Ref4143112 \h</w:instrText>
      </w:r>
      <w:r w:rsidRPr="006101C3">
        <w:rPr>
          <w:rStyle w:val="af7"/>
          <w:rFonts w:eastAsia="Guttman Hodes"/>
          <w:rtl/>
        </w:rPr>
        <w:instrText xml:space="preserve"> </w:instrText>
      </w:r>
      <w:r w:rsidRPr="006101C3">
        <w:rPr>
          <w:rStyle w:val="af7"/>
          <w:rFonts w:eastAsia="Guttman Hodes"/>
          <w:rtl/>
        </w:rPr>
      </w:r>
      <w:r w:rsidRPr="006101C3">
        <w:rPr>
          <w:rStyle w:val="af7"/>
          <w:rFonts w:eastAsia="Guttman Hodes"/>
          <w:rtl/>
        </w:rPr>
        <w:fldChar w:fldCharType="separate"/>
      </w:r>
      <w:r w:rsidR="00345400">
        <w:rPr>
          <w:rStyle w:val="af7"/>
          <w:rFonts w:eastAsia="Guttman Hodes"/>
          <w:rtl/>
        </w:rPr>
        <w:t>129</w:t>
      </w:r>
      <w:r w:rsidRPr="006101C3">
        <w:rPr>
          <w:rStyle w:val="af7"/>
          <w:rFonts w:eastAsia="Guttman Hodes"/>
          <w:rtl/>
        </w:rPr>
        <w:fldChar w:fldCharType="end"/>
      </w:r>
      <w:r w:rsidRPr="006101C3">
        <w:rPr>
          <w:rStyle w:val="af7"/>
          <w:rFonts w:eastAsia="Guttman Hodes" w:hint="cs"/>
          <w:rtl/>
        </w:rPr>
        <w:t>)</w:t>
      </w:r>
      <w:r w:rsidRPr="006101C3">
        <w:rPr>
          <w:rFonts w:hint="cs"/>
          <w:rtl/>
        </w:rPr>
        <w:t>.</w:t>
      </w:r>
      <w:bookmarkEnd w:id="23782"/>
    </w:p>
    <w:p w14:paraId="7E9768B8" w14:textId="77777777" w:rsidR="003D504D" w:rsidRPr="004E161F" w:rsidRDefault="003D504D" w:rsidP="00BF39B2">
      <w:pPr>
        <w:pStyle w:val="1"/>
        <w:rPr>
          <w:rtl/>
        </w:rPr>
      </w:pPr>
      <w:bookmarkStart w:id="23783" w:name="_Toc19391943"/>
      <w:bookmarkStart w:id="23784" w:name="_Toc19395440"/>
      <w:r w:rsidRPr="004E161F">
        <w:rPr>
          <w:rFonts w:hint="cs"/>
          <w:rtl/>
        </w:rPr>
        <w:t>דברי הרא"ש דכל בבהמה מתיר את כל העובר והחלב בכלל</w:t>
      </w:r>
      <w:bookmarkEnd w:id="23780"/>
      <w:bookmarkEnd w:id="23781"/>
      <w:bookmarkEnd w:id="23783"/>
      <w:bookmarkEnd w:id="23784"/>
    </w:p>
    <w:p w14:paraId="11994D6A" w14:textId="77777777" w:rsidR="003D504D" w:rsidRPr="004E161F" w:rsidRDefault="003D504D" w:rsidP="003D504D">
      <w:pPr>
        <w:pStyle w:val="a3"/>
        <w:rPr>
          <w:rtl/>
        </w:rPr>
      </w:pPr>
      <w:bookmarkStart w:id="23785" w:name="_Toc4139392"/>
      <w:bookmarkStart w:id="23786" w:name="_Toc4151486"/>
      <w:bookmarkStart w:id="23787" w:name="_Toc19391944"/>
      <w:bookmarkStart w:id="23788" w:name="_Toc19395441"/>
      <w:r w:rsidRPr="004E161F">
        <w:rPr>
          <w:rFonts w:hint="cs"/>
          <w:rtl/>
        </w:rPr>
        <w:t>קושית הרא"ש דהיאך מתירה שחיטת האם את חלב העובר יותר ממה שמתירה בעצמה</w:t>
      </w:r>
      <w:bookmarkEnd w:id="23785"/>
      <w:bookmarkEnd w:id="23786"/>
      <w:bookmarkEnd w:id="23787"/>
      <w:bookmarkEnd w:id="23788"/>
    </w:p>
    <w:p w14:paraId="413B84A5" w14:textId="77777777" w:rsidR="003D504D" w:rsidRDefault="003D504D" w:rsidP="00223668">
      <w:pPr>
        <w:pStyle w:val="a0"/>
      </w:pPr>
      <w:bookmarkStart w:id="23789" w:name="_Ref4143984"/>
      <w:r w:rsidRPr="004E161F">
        <w:rPr>
          <w:rFonts w:hint="cs"/>
          <w:rtl/>
        </w:rPr>
        <w:t xml:space="preserve">הקשה </w:t>
      </w:r>
      <w:r w:rsidRPr="004E161F">
        <w:rPr>
          <w:rStyle w:val="af9"/>
          <w:rFonts w:hint="cs"/>
          <w:rtl/>
        </w:rPr>
        <w:t>הרא"ש</w:t>
      </w:r>
      <w:r w:rsidRPr="004E161F">
        <w:rPr>
          <w:rFonts w:hint="cs"/>
          <w:rtl/>
        </w:rPr>
        <w:t xml:space="preserve"> </w:t>
      </w:r>
      <w:r w:rsidRPr="004E161F">
        <w:rPr>
          <w:rStyle w:val="af7"/>
          <w:rFonts w:eastAsia="Guttman Hodes" w:hint="cs"/>
          <w:rtl/>
        </w:rPr>
        <w:t>(סי' ה')</w:t>
      </w:r>
      <w:r w:rsidRPr="004E161F">
        <w:rPr>
          <w:rFonts w:hint="cs"/>
          <w:rtl/>
        </w:rPr>
        <w:t xml:space="preserve"> דכיון דס"ל לריו"ח דחדשים גרמי, וחלבו של בן ט' הוא כחלב בהמה, א"כ היאך מתיר ר"י את החלב של העובר בשחיטת האם, והרי כיון דשחיטת האם אינה מתירה את החלב שלה, א"כ היאך יש כח בשחיטתה להתיר בעובר יותר ממה </w:t>
      </w:r>
      <w:r>
        <w:rPr>
          <w:rFonts w:hint="cs"/>
          <w:rtl/>
        </w:rPr>
        <w:t>שהשחיטה מתירה בבהמה</w:t>
      </w:r>
      <w:r w:rsidRPr="004E161F">
        <w:rPr>
          <w:rFonts w:hint="cs"/>
          <w:rtl/>
        </w:rPr>
        <w:t xml:space="preserve"> עצמה</w:t>
      </w:r>
      <w:r>
        <w:rPr>
          <w:rFonts w:hint="cs"/>
          <w:rtl/>
        </w:rPr>
        <w:t>.</w:t>
      </w:r>
      <w:bookmarkEnd w:id="23789"/>
    </w:p>
    <w:p w14:paraId="235C7D11" w14:textId="77777777" w:rsidR="003D504D" w:rsidRPr="004E161F" w:rsidRDefault="003D504D" w:rsidP="003D504D">
      <w:pPr>
        <w:pStyle w:val="a3"/>
        <w:rPr>
          <w:rtl/>
        </w:rPr>
      </w:pPr>
      <w:bookmarkStart w:id="23790" w:name="_Toc4139393"/>
      <w:bookmarkStart w:id="23791" w:name="_Toc4151487"/>
      <w:bookmarkStart w:id="23792" w:name="_Toc19391945"/>
      <w:bookmarkStart w:id="23793" w:name="_Toc19395442"/>
      <w:r w:rsidRPr="004E161F">
        <w:rPr>
          <w:rFonts w:hint="cs"/>
          <w:rtl/>
        </w:rPr>
        <w:t>ביאור הרא"ש דהיתר בן פקועה הוא גזיה"כ דמתיר אף את כל העובר וחלבו בכלל ההיתר</w:t>
      </w:r>
      <w:bookmarkEnd w:id="23790"/>
      <w:bookmarkEnd w:id="23791"/>
      <w:bookmarkEnd w:id="23792"/>
      <w:bookmarkEnd w:id="23793"/>
    </w:p>
    <w:p w14:paraId="2E36C7D3" w14:textId="77777777" w:rsidR="003D504D" w:rsidRDefault="003D504D" w:rsidP="00223668">
      <w:pPr>
        <w:pStyle w:val="a0"/>
        <w:rPr>
          <w:rtl/>
        </w:rPr>
      </w:pPr>
      <w:bookmarkStart w:id="23794" w:name="_Ref4143417"/>
      <w:r w:rsidRPr="004E161F">
        <w:rPr>
          <w:rFonts w:hint="cs"/>
          <w:rtl/>
        </w:rPr>
        <w:t xml:space="preserve">ותירץ </w:t>
      </w:r>
      <w:r w:rsidRPr="004E161F">
        <w:rPr>
          <w:rStyle w:val="af9"/>
          <w:rFonts w:hint="cs"/>
          <w:rtl/>
        </w:rPr>
        <w:t>הרא"ש</w:t>
      </w:r>
      <w:r w:rsidRPr="004E161F">
        <w:rPr>
          <w:rFonts w:hint="cs"/>
          <w:rtl/>
        </w:rPr>
        <w:t xml:space="preserve"> דהיתר העובר הוא גזיה"כ דיש בו היתר "כל בבהמה תאכלו", והיתר זה מתיר אף את חלבו דההיתר בבן פקועה הוא שמתיר את כל העובר, אף שהאם עצמה אין החלב שלה מותר בשחיטת</w:t>
      </w:r>
      <w:r>
        <w:rPr>
          <w:rFonts w:hint="cs"/>
          <w:rtl/>
        </w:rPr>
        <w:t xml:space="preserve">ה, </w:t>
      </w:r>
      <w:r w:rsidRPr="004E161F">
        <w:rPr>
          <w:rFonts w:hint="cs"/>
          <w:rtl/>
        </w:rPr>
        <w:t xml:space="preserve">והוסיף </w:t>
      </w:r>
      <w:r w:rsidRPr="004E161F">
        <w:rPr>
          <w:rStyle w:val="af9"/>
          <w:rFonts w:hint="cs"/>
          <w:rtl/>
        </w:rPr>
        <w:t>הרא"ש</w:t>
      </w:r>
      <w:r w:rsidRPr="004E161F">
        <w:rPr>
          <w:rFonts w:hint="cs"/>
          <w:rtl/>
        </w:rPr>
        <w:t xml:space="preserve"> דאף דאין מפלוגתת ריו"ח ור"ל נ"מ לדינא, דאף לדעת ר"ל אף שאין בו איסור חלב, מ"מ אסור מדין בשר מן החי, כתב </w:t>
      </w:r>
      <w:r w:rsidRPr="004E161F">
        <w:rPr>
          <w:rStyle w:val="af9"/>
          <w:rFonts w:hint="cs"/>
          <w:rtl/>
        </w:rPr>
        <w:t>הרא"ש</w:t>
      </w:r>
      <w:r w:rsidRPr="004E161F">
        <w:rPr>
          <w:rFonts w:hint="cs"/>
          <w:rtl/>
        </w:rPr>
        <w:t xml:space="preserve"> דאפ"ה ביאר את דבריהם לאפוקי מדעת </w:t>
      </w:r>
      <w:r w:rsidRPr="004E161F">
        <w:rPr>
          <w:rStyle w:val="af9"/>
          <w:rFonts w:hint="cs"/>
          <w:rtl/>
        </w:rPr>
        <w:t>הרמב"ם</w:t>
      </w:r>
      <w:r w:rsidRPr="004E161F">
        <w:rPr>
          <w:rFonts w:hint="cs"/>
          <w:rtl/>
        </w:rPr>
        <w:t xml:space="preserve"> </w:t>
      </w:r>
      <w:r w:rsidRPr="007550D8">
        <w:rPr>
          <w:rStyle w:val="af7"/>
          <w:rFonts w:eastAsia="Guttman Hodes" w:hint="cs"/>
          <w:rtl/>
        </w:rPr>
        <w:t xml:space="preserve">(עי' אות </w:t>
      </w:r>
      <w:r w:rsidRPr="007550D8">
        <w:rPr>
          <w:rStyle w:val="af7"/>
          <w:rFonts w:eastAsia="Guttman Hodes"/>
          <w:rtl/>
        </w:rPr>
        <w:fldChar w:fldCharType="begin"/>
      </w:r>
      <w:r w:rsidRPr="007550D8">
        <w:rPr>
          <w:rStyle w:val="af7"/>
          <w:rFonts w:eastAsia="Guttman Hodes"/>
          <w:rtl/>
        </w:rPr>
        <w:instrText xml:space="preserve"> </w:instrText>
      </w:r>
      <w:r w:rsidRPr="007550D8">
        <w:rPr>
          <w:rStyle w:val="af7"/>
          <w:rFonts w:eastAsia="Guttman Hodes" w:hint="cs"/>
        </w:rPr>
        <w:instrText>REF</w:instrText>
      </w:r>
      <w:r w:rsidRPr="007550D8">
        <w:rPr>
          <w:rStyle w:val="af7"/>
          <w:rFonts w:eastAsia="Guttman Hodes" w:hint="cs"/>
          <w:rtl/>
        </w:rPr>
        <w:instrText xml:space="preserve"> _</w:instrText>
      </w:r>
      <w:r w:rsidRPr="007550D8">
        <w:rPr>
          <w:rStyle w:val="af7"/>
          <w:rFonts w:eastAsia="Guttman Hodes" w:hint="cs"/>
        </w:rPr>
        <w:instrText>Ref3145560 \r \h</w:instrText>
      </w:r>
      <w:r w:rsidRPr="007550D8">
        <w:rPr>
          <w:rStyle w:val="af7"/>
          <w:rFonts w:eastAsia="Guttman Hodes"/>
          <w:rtl/>
        </w:rPr>
        <w:instrText xml:space="preserve">  \* </w:instrText>
      </w:r>
      <w:r w:rsidRPr="007550D8">
        <w:rPr>
          <w:rStyle w:val="af7"/>
          <w:rFonts w:eastAsia="Guttman Hodes"/>
        </w:rPr>
        <w:instrText>MERGEFORMAT</w:instrText>
      </w:r>
      <w:r w:rsidRPr="007550D8">
        <w:rPr>
          <w:rStyle w:val="af7"/>
          <w:rFonts w:eastAsia="Guttman Hodes"/>
          <w:rtl/>
        </w:rPr>
        <w:instrText xml:space="preserve"> </w:instrText>
      </w:r>
      <w:r w:rsidRPr="007550D8">
        <w:rPr>
          <w:rStyle w:val="af7"/>
          <w:rFonts w:eastAsia="Guttman Hodes"/>
          <w:rtl/>
        </w:rPr>
      </w:r>
      <w:r w:rsidRPr="007550D8">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7550D8">
        <w:rPr>
          <w:rStyle w:val="af7"/>
          <w:rFonts w:eastAsia="Guttman Hodes"/>
          <w:rtl/>
        </w:rPr>
        <w:fldChar w:fldCharType="end"/>
      </w:r>
      <w:r w:rsidRPr="007550D8">
        <w:rPr>
          <w:rStyle w:val="af7"/>
          <w:rFonts w:eastAsia="Guttman Hodes" w:hint="cs"/>
          <w:rtl/>
        </w:rPr>
        <w:t xml:space="preserve"> </w:t>
      </w:r>
      <w:r w:rsidRPr="004E161F">
        <w:rPr>
          <w:rFonts w:hint="cs"/>
          <w:rtl/>
        </w:rPr>
        <w:t>דכתב דחלב דבן ט' חי אסור וחייבין עליו כרת.</w:t>
      </w:r>
      <w:bookmarkEnd w:id="23794"/>
    </w:p>
    <w:p w14:paraId="069CAA8B" w14:textId="77777777" w:rsidR="003D504D" w:rsidRDefault="003D504D" w:rsidP="003D504D">
      <w:pPr>
        <w:pStyle w:val="a3"/>
        <w:rPr>
          <w:rtl/>
        </w:rPr>
      </w:pPr>
      <w:bookmarkStart w:id="23795" w:name="_Toc4151488"/>
      <w:bookmarkStart w:id="23796" w:name="_Toc19391946"/>
      <w:bookmarkStart w:id="23797" w:name="_Toc19395443"/>
      <w:r>
        <w:rPr>
          <w:rFonts w:hint="cs"/>
          <w:rtl/>
        </w:rPr>
        <w:t>ביאורי האחרונים דהרמב"ם ס"ל כקושית הרא"ש דאין כח בשחיטה להתיר חלב והחלב אסור</w:t>
      </w:r>
      <w:bookmarkEnd w:id="23795"/>
      <w:bookmarkEnd w:id="23796"/>
      <w:bookmarkEnd w:id="23797"/>
    </w:p>
    <w:p w14:paraId="43475583" w14:textId="77777777" w:rsidR="003D504D" w:rsidRDefault="003D504D" w:rsidP="00223668">
      <w:pPr>
        <w:pStyle w:val="a0"/>
        <w:rPr>
          <w:rtl/>
        </w:rPr>
      </w:pPr>
      <w:r w:rsidRPr="004E161F">
        <w:rPr>
          <w:rFonts w:hint="cs"/>
          <w:rtl/>
        </w:rPr>
        <w:t>ו</w:t>
      </w:r>
      <w:r>
        <w:rPr>
          <w:rFonts w:hint="cs"/>
          <w:rtl/>
        </w:rPr>
        <w:t xml:space="preserve">בביאור דעת </w:t>
      </w:r>
      <w:r w:rsidRPr="007550D8">
        <w:rPr>
          <w:rStyle w:val="af9"/>
          <w:rFonts w:hint="cs"/>
          <w:rtl/>
        </w:rPr>
        <w:t>הרמב"ם</w:t>
      </w:r>
      <w:r>
        <w:rPr>
          <w:rFonts w:hint="cs"/>
          <w:rtl/>
        </w:rPr>
        <w:t xml:space="preserve"> כתבו</w:t>
      </w:r>
      <w:r w:rsidRPr="001B4B61">
        <w:rPr>
          <w:rStyle w:val="af9"/>
          <w:rtl/>
        </w:rPr>
        <w:t xml:space="preserve"> </w:t>
      </w:r>
      <w:r>
        <w:rPr>
          <w:rStyle w:val="af9"/>
          <w:rFonts w:hint="cs"/>
          <w:rtl/>
        </w:rPr>
        <w:t>ה</w:t>
      </w:r>
      <w:r>
        <w:rPr>
          <w:rStyle w:val="af9"/>
          <w:rtl/>
        </w:rPr>
        <w:t xml:space="preserve">איסור והיתר </w:t>
      </w:r>
      <w:r w:rsidRPr="007550D8">
        <w:rPr>
          <w:rStyle w:val="af7"/>
          <w:rFonts w:eastAsia="Guttman Hodes" w:hint="cs"/>
          <w:rtl/>
        </w:rPr>
        <w:t xml:space="preserve">(עי' אות </w:t>
      </w:r>
      <w:r w:rsidRPr="007550D8">
        <w:rPr>
          <w:rStyle w:val="af7"/>
          <w:rFonts w:eastAsia="Guttman Hodes"/>
          <w:rtl/>
        </w:rPr>
        <w:fldChar w:fldCharType="begin"/>
      </w:r>
      <w:r w:rsidRPr="007550D8">
        <w:rPr>
          <w:rStyle w:val="af7"/>
          <w:rFonts w:eastAsia="Guttman Hodes"/>
          <w:rtl/>
        </w:rPr>
        <w:instrText xml:space="preserve"> </w:instrText>
      </w:r>
      <w:r w:rsidRPr="007550D8">
        <w:rPr>
          <w:rStyle w:val="af7"/>
          <w:rFonts w:eastAsia="Guttman Hodes" w:hint="cs"/>
        </w:rPr>
        <w:instrText>REF</w:instrText>
      </w:r>
      <w:r w:rsidRPr="007550D8">
        <w:rPr>
          <w:rStyle w:val="af7"/>
          <w:rFonts w:eastAsia="Guttman Hodes" w:hint="cs"/>
          <w:rtl/>
        </w:rPr>
        <w:instrText xml:space="preserve"> _</w:instrText>
      </w:r>
      <w:r w:rsidRPr="007550D8">
        <w:rPr>
          <w:rStyle w:val="af7"/>
          <w:rFonts w:eastAsia="Guttman Hodes" w:hint="cs"/>
        </w:rPr>
        <w:instrText>Ref4142045 \r \h</w:instrText>
      </w:r>
      <w:r w:rsidRPr="007550D8">
        <w:rPr>
          <w:rStyle w:val="af7"/>
          <w:rFonts w:eastAsia="Guttman Hodes"/>
          <w:rtl/>
        </w:rPr>
        <w:instrText xml:space="preserve"> </w:instrText>
      </w:r>
      <w:r w:rsidRPr="007550D8">
        <w:rPr>
          <w:rStyle w:val="af7"/>
          <w:rFonts w:eastAsia="Guttman Hodes"/>
          <w:rtl/>
        </w:rPr>
      </w:r>
      <w:r w:rsidRPr="007550D8">
        <w:rPr>
          <w:rStyle w:val="af7"/>
          <w:rFonts w:eastAsia="Guttman Hodes"/>
          <w:rtl/>
        </w:rPr>
        <w:fldChar w:fldCharType="separate"/>
      </w:r>
      <w:r w:rsidR="00345400">
        <w:rPr>
          <w:rStyle w:val="af7"/>
          <w:rFonts w:eastAsia="Guttman Hodes"/>
          <w:cs/>
        </w:rPr>
        <w:t>‎</w:t>
      </w:r>
      <w:r w:rsidR="00345400">
        <w:rPr>
          <w:rStyle w:val="af7"/>
          <w:rFonts w:eastAsia="Guttman Hodes"/>
          <w:rtl/>
        </w:rPr>
        <w:t>לג)</w:t>
      </w:r>
      <w:r w:rsidRPr="007550D8">
        <w:rPr>
          <w:rStyle w:val="af7"/>
          <w:rFonts w:eastAsia="Guttman Hodes"/>
          <w:rtl/>
        </w:rPr>
        <w:fldChar w:fldCharType="end"/>
      </w:r>
      <w:r w:rsidRPr="004E161F">
        <w:rPr>
          <w:rFonts w:hint="cs"/>
          <w:rtl/>
        </w:rPr>
        <w:t xml:space="preserve"> </w:t>
      </w:r>
      <w:r>
        <w:rPr>
          <w:rStyle w:val="af9"/>
          <w:rtl/>
        </w:rPr>
        <w:t>והרדב"ז</w:t>
      </w:r>
      <w:r>
        <w:rPr>
          <w:rtl/>
        </w:rPr>
        <w:t xml:space="preserve"> </w:t>
      </w:r>
      <w:r w:rsidRPr="007550D8">
        <w:rPr>
          <w:rStyle w:val="af7"/>
          <w:rFonts w:eastAsia="Guttman Hodes" w:hint="cs"/>
          <w:rtl/>
        </w:rPr>
        <w:t xml:space="preserve">(עי' אות </w:t>
      </w:r>
      <w:r w:rsidRPr="007550D8">
        <w:rPr>
          <w:rStyle w:val="af7"/>
          <w:rFonts w:eastAsia="Guttman Hodes"/>
          <w:rtl/>
        </w:rPr>
        <w:fldChar w:fldCharType="begin"/>
      </w:r>
      <w:r w:rsidRPr="007550D8">
        <w:rPr>
          <w:rStyle w:val="af7"/>
          <w:rFonts w:eastAsia="Guttman Hodes"/>
          <w:rtl/>
        </w:rPr>
        <w:instrText xml:space="preserve"> </w:instrText>
      </w:r>
      <w:r w:rsidRPr="007550D8">
        <w:rPr>
          <w:rStyle w:val="af7"/>
          <w:rFonts w:eastAsia="Guttman Hodes"/>
        </w:rPr>
        <w:instrText>REF</w:instrText>
      </w:r>
      <w:r w:rsidRPr="007550D8">
        <w:rPr>
          <w:rStyle w:val="af7"/>
          <w:rFonts w:eastAsia="Guttman Hodes"/>
          <w:rtl/>
        </w:rPr>
        <w:instrText xml:space="preserve"> _</w:instrText>
      </w:r>
      <w:r w:rsidRPr="007550D8">
        <w:rPr>
          <w:rStyle w:val="af7"/>
          <w:rFonts w:eastAsia="Guttman Hodes"/>
        </w:rPr>
        <w:instrText>Ref3802707 \r \h</w:instrText>
      </w:r>
      <w:r w:rsidRPr="007550D8">
        <w:rPr>
          <w:rStyle w:val="af7"/>
          <w:rFonts w:eastAsia="Guttman Hodes"/>
          <w:rtl/>
        </w:rPr>
        <w:instrText xml:space="preserve"> </w:instrText>
      </w:r>
      <w:r w:rsidRPr="007550D8">
        <w:rPr>
          <w:rStyle w:val="af7"/>
          <w:rFonts w:eastAsia="Guttman Hodes"/>
          <w:rtl/>
        </w:rPr>
      </w:r>
      <w:r w:rsidRPr="007550D8">
        <w:rPr>
          <w:rStyle w:val="af7"/>
          <w:rFonts w:eastAsia="Guttman Hodes"/>
          <w:rtl/>
        </w:rPr>
        <w:fldChar w:fldCharType="separate"/>
      </w:r>
      <w:r w:rsidR="00345400">
        <w:rPr>
          <w:rStyle w:val="af7"/>
          <w:rFonts w:eastAsia="Guttman Hodes"/>
          <w:cs/>
        </w:rPr>
        <w:t>‎</w:t>
      </w:r>
      <w:r w:rsidR="00345400">
        <w:rPr>
          <w:rStyle w:val="af7"/>
          <w:rFonts w:eastAsia="Guttman Hodes"/>
          <w:rtl/>
        </w:rPr>
        <w:t>לח)</w:t>
      </w:r>
      <w:r w:rsidRPr="007550D8">
        <w:rPr>
          <w:rStyle w:val="af7"/>
          <w:rFonts w:eastAsia="Guttman Hodes"/>
          <w:rtl/>
        </w:rPr>
        <w:fldChar w:fldCharType="end"/>
      </w:r>
      <w:r>
        <w:rPr>
          <w:rStyle w:val="af9"/>
          <w:rFonts w:hint="cs"/>
          <w:rtl/>
        </w:rPr>
        <w:t xml:space="preserve"> ו</w:t>
      </w:r>
      <w:r>
        <w:rPr>
          <w:rStyle w:val="af9"/>
          <w:rtl/>
        </w:rPr>
        <w:t>המרומי שדה</w:t>
      </w:r>
      <w:r>
        <w:rPr>
          <w:rtl/>
        </w:rPr>
        <w:t xml:space="preserve"> </w:t>
      </w:r>
      <w:r w:rsidRPr="007550D8">
        <w:rPr>
          <w:rStyle w:val="af7"/>
          <w:rFonts w:eastAsia="Guttman Hodes" w:hint="cs"/>
          <w:rtl/>
        </w:rPr>
        <w:t xml:space="preserve">(עי' אות </w:t>
      </w:r>
      <w:r w:rsidRPr="007550D8">
        <w:rPr>
          <w:rStyle w:val="af7"/>
          <w:rFonts w:eastAsia="Guttman Hodes"/>
          <w:rtl/>
        </w:rPr>
        <w:fldChar w:fldCharType="begin"/>
      </w:r>
      <w:r w:rsidRPr="007550D8">
        <w:rPr>
          <w:rStyle w:val="af7"/>
          <w:rFonts w:eastAsia="Guttman Hodes"/>
          <w:rtl/>
        </w:rPr>
        <w:instrText xml:space="preserve"> </w:instrText>
      </w:r>
      <w:r w:rsidRPr="007550D8">
        <w:rPr>
          <w:rStyle w:val="af7"/>
          <w:rFonts w:eastAsia="Guttman Hodes" w:hint="cs"/>
        </w:rPr>
        <w:instrText>REF</w:instrText>
      </w:r>
      <w:r w:rsidRPr="007550D8">
        <w:rPr>
          <w:rStyle w:val="af7"/>
          <w:rFonts w:eastAsia="Guttman Hodes" w:hint="cs"/>
          <w:rtl/>
        </w:rPr>
        <w:instrText xml:space="preserve"> _</w:instrText>
      </w:r>
      <w:r w:rsidRPr="007550D8">
        <w:rPr>
          <w:rStyle w:val="af7"/>
          <w:rFonts w:eastAsia="Guttman Hodes" w:hint="cs"/>
        </w:rPr>
        <w:instrText>Ref4142081 \r \h</w:instrText>
      </w:r>
      <w:r w:rsidRPr="007550D8">
        <w:rPr>
          <w:rStyle w:val="af7"/>
          <w:rFonts w:eastAsia="Guttman Hodes"/>
          <w:rtl/>
        </w:rPr>
        <w:instrText xml:space="preserve"> </w:instrText>
      </w:r>
      <w:r w:rsidRPr="007550D8">
        <w:rPr>
          <w:rStyle w:val="af7"/>
          <w:rFonts w:eastAsia="Guttman Hodes"/>
          <w:rtl/>
        </w:rPr>
      </w:r>
      <w:r w:rsidRPr="007550D8">
        <w:rPr>
          <w:rStyle w:val="af7"/>
          <w:rFonts w:eastAsia="Guttman Hodes"/>
          <w:rtl/>
        </w:rPr>
        <w:fldChar w:fldCharType="separate"/>
      </w:r>
      <w:r w:rsidR="00345400">
        <w:rPr>
          <w:rStyle w:val="af7"/>
          <w:rFonts w:eastAsia="Guttman Hodes"/>
          <w:cs/>
        </w:rPr>
        <w:t>‎</w:t>
      </w:r>
      <w:r w:rsidR="00345400">
        <w:rPr>
          <w:rStyle w:val="af7"/>
          <w:rFonts w:eastAsia="Guttman Hodes"/>
          <w:rtl/>
        </w:rPr>
        <w:t>לה)</w:t>
      </w:r>
      <w:r w:rsidRPr="007550D8">
        <w:rPr>
          <w:rStyle w:val="af7"/>
          <w:rFonts w:eastAsia="Guttman Hodes"/>
          <w:rtl/>
        </w:rPr>
        <w:fldChar w:fldCharType="end"/>
      </w:r>
      <w:r w:rsidRPr="00660524">
        <w:rPr>
          <w:rStyle w:val="af9"/>
          <w:rFonts w:hint="cs"/>
          <w:rtl/>
        </w:rPr>
        <w:t xml:space="preserve"> </w:t>
      </w:r>
      <w:r>
        <w:rPr>
          <w:rStyle w:val="af9"/>
          <w:rFonts w:hint="cs"/>
          <w:rtl/>
        </w:rPr>
        <w:t>ו</w:t>
      </w:r>
      <w:r w:rsidRPr="00660524">
        <w:rPr>
          <w:rStyle w:val="af9"/>
          <w:rFonts w:hint="cs"/>
          <w:rtl/>
        </w:rPr>
        <w:t>הראש יוסף</w:t>
      </w:r>
      <w:r w:rsidRPr="004E161F">
        <w:rPr>
          <w:rFonts w:hint="cs"/>
          <w:rtl/>
        </w:rPr>
        <w:t xml:space="preserve"> </w:t>
      </w:r>
      <w:r w:rsidRPr="00660524">
        <w:rPr>
          <w:rStyle w:val="af7"/>
          <w:rFonts w:eastAsia="Guttman Hodes" w:hint="cs"/>
          <w:rtl/>
        </w:rPr>
        <w:t xml:space="preserve">(עי' אות </w:t>
      </w:r>
      <w:r w:rsidRPr="00660524">
        <w:rPr>
          <w:rStyle w:val="af7"/>
          <w:rFonts w:eastAsia="Guttman Hodes"/>
          <w:rtl/>
        </w:rPr>
        <w:fldChar w:fldCharType="begin"/>
      </w:r>
      <w:r w:rsidRPr="00660524">
        <w:rPr>
          <w:rStyle w:val="af7"/>
          <w:rFonts w:eastAsia="Guttman Hodes"/>
          <w:rtl/>
        </w:rPr>
        <w:instrText xml:space="preserve"> </w:instrText>
      </w:r>
      <w:r w:rsidRPr="00660524">
        <w:rPr>
          <w:rStyle w:val="af7"/>
          <w:rFonts w:eastAsia="Guttman Hodes" w:hint="cs"/>
        </w:rPr>
        <w:instrText>REF</w:instrText>
      </w:r>
      <w:r w:rsidRPr="00660524">
        <w:rPr>
          <w:rStyle w:val="af7"/>
          <w:rFonts w:eastAsia="Guttman Hodes" w:hint="cs"/>
          <w:rtl/>
        </w:rPr>
        <w:instrText xml:space="preserve"> _</w:instrText>
      </w:r>
      <w:r w:rsidRPr="00660524">
        <w:rPr>
          <w:rStyle w:val="af7"/>
          <w:rFonts w:eastAsia="Guttman Hodes" w:hint="cs"/>
        </w:rPr>
        <w:instrText>Ref4098790 \r \h</w:instrText>
      </w:r>
      <w:r w:rsidRPr="00660524">
        <w:rPr>
          <w:rStyle w:val="af7"/>
          <w:rFonts w:eastAsia="Guttman Hodes"/>
          <w:rtl/>
        </w:rPr>
        <w:instrText xml:space="preserve">  \* </w:instrText>
      </w:r>
      <w:r w:rsidRPr="00660524">
        <w:rPr>
          <w:rStyle w:val="af7"/>
          <w:rFonts w:eastAsia="Guttman Hodes"/>
        </w:rPr>
        <w:instrText>MERGEFORMAT</w:instrText>
      </w:r>
      <w:r w:rsidRPr="00660524">
        <w:rPr>
          <w:rStyle w:val="af7"/>
          <w:rFonts w:eastAsia="Guttman Hodes"/>
          <w:rtl/>
        </w:rPr>
        <w:instrText xml:space="preserve"> </w:instrText>
      </w:r>
      <w:r w:rsidRPr="00660524">
        <w:rPr>
          <w:rStyle w:val="af7"/>
          <w:rFonts w:eastAsia="Guttman Hodes"/>
          <w:rtl/>
        </w:rPr>
      </w:r>
      <w:r w:rsidRPr="00660524">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660524">
        <w:rPr>
          <w:rStyle w:val="af7"/>
          <w:rFonts w:eastAsia="Guttman Hodes"/>
          <w:rtl/>
        </w:rPr>
        <w:fldChar w:fldCharType="end"/>
      </w:r>
      <w:r w:rsidRPr="004E161F">
        <w:rPr>
          <w:rFonts w:hint="cs"/>
          <w:rtl/>
        </w:rPr>
        <w:t xml:space="preserve"> </w:t>
      </w:r>
      <w:r>
        <w:rPr>
          <w:rStyle w:val="af9"/>
          <w:rFonts w:hint="cs"/>
          <w:rtl/>
        </w:rPr>
        <w:t>ו</w:t>
      </w:r>
      <w:r>
        <w:rPr>
          <w:rStyle w:val="af9"/>
          <w:rtl/>
        </w:rPr>
        <w:t>האמרי משה</w:t>
      </w:r>
      <w:r>
        <w:rPr>
          <w:rFonts w:hint="cs"/>
          <w:rtl/>
        </w:rPr>
        <w:t xml:space="preserve"> </w:t>
      </w:r>
      <w:r w:rsidRPr="007550D8">
        <w:rPr>
          <w:rStyle w:val="af7"/>
          <w:rFonts w:eastAsia="Guttman Hodes" w:hint="cs"/>
          <w:rtl/>
        </w:rPr>
        <w:t xml:space="preserve">(עי' אות </w:t>
      </w:r>
      <w:r w:rsidRPr="007550D8">
        <w:rPr>
          <w:rStyle w:val="af7"/>
          <w:rFonts w:eastAsia="Guttman Hodes"/>
          <w:rtl/>
        </w:rPr>
        <w:fldChar w:fldCharType="begin"/>
      </w:r>
      <w:r w:rsidRPr="007550D8">
        <w:rPr>
          <w:rStyle w:val="af7"/>
          <w:rFonts w:eastAsia="Guttman Hodes"/>
          <w:rtl/>
        </w:rPr>
        <w:instrText xml:space="preserve"> </w:instrText>
      </w:r>
      <w:r w:rsidRPr="007550D8">
        <w:rPr>
          <w:rStyle w:val="af7"/>
          <w:rFonts w:eastAsia="Guttman Hodes" w:hint="cs"/>
        </w:rPr>
        <w:instrText>REF</w:instrText>
      </w:r>
      <w:r w:rsidRPr="007550D8">
        <w:rPr>
          <w:rStyle w:val="af7"/>
          <w:rFonts w:eastAsia="Guttman Hodes" w:hint="cs"/>
          <w:rtl/>
        </w:rPr>
        <w:instrText xml:space="preserve"> _</w:instrText>
      </w:r>
      <w:r w:rsidRPr="007550D8">
        <w:rPr>
          <w:rStyle w:val="af7"/>
          <w:rFonts w:eastAsia="Guttman Hodes" w:hint="cs"/>
        </w:rPr>
        <w:instrText>Ref4142096 \r \h</w:instrText>
      </w:r>
      <w:r w:rsidRPr="007550D8">
        <w:rPr>
          <w:rStyle w:val="af7"/>
          <w:rFonts w:eastAsia="Guttman Hodes"/>
          <w:rtl/>
        </w:rPr>
        <w:instrText xml:space="preserve"> </w:instrText>
      </w:r>
      <w:r w:rsidRPr="007550D8">
        <w:rPr>
          <w:rStyle w:val="af7"/>
          <w:rFonts w:eastAsia="Guttman Hodes"/>
          <w:rtl/>
        </w:rPr>
      </w:r>
      <w:r w:rsidRPr="007550D8">
        <w:rPr>
          <w:rStyle w:val="af7"/>
          <w:rFonts w:eastAsia="Guttman Hodes"/>
          <w:rtl/>
        </w:rPr>
        <w:fldChar w:fldCharType="separate"/>
      </w:r>
      <w:r w:rsidR="00345400">
        <w:rPr>
          <w:rStyle w:val="af7"/>
          <w:rFonts w:eastAsia="Guttman Hodes"/>
          <w:cs/>
        </w:rPr>
        <w:t>‎</w:t>
      </w:r>
      <w:r w:rsidR="00345400">
        <w:rPr>
          <w:rStyle w:val="af7"/>
          <w:rFonts w:eastAsia="Guttman Hodes"/>
          <w:rtl/>
        </w:rPr>
        <w:t>פב)</w:t>
      </w:r>
      <w:r w:rsidRPr="007550D8">
        <w:rPr>
          <w:rStyle w:val="af7"/>
          <w:rFonts w:eastAsia="Guttman Hodes"/>
          <w:rtl/>
        </w:rPr>
        <w:fldChar w:fldCharType="end"/>
      </w:r>
      <w:r>
        <w:rPr>
          <w:rStyle w:val="af9"/>
          <w:rFonts w:hint="cs"/>
          <w:rtl/>
        </w:rPr>
        <w:t xml:space="preserve"> ו</w:t>
      </w:r>
      <w:r>
        <w:rPr>
          <w:rStyle w:val="af9"/>
          <w:rtl/>
        </w:rPr>
        <w:t xml:space="preserve">האבי עזרי </w:t>
      </w:r>
      <w:r w:rsidRPr="007550D8">
        <w:rPr>
          <w:rStyle w:val="af7"/>
          <w:rFonts w:eastAsia="Guttman Hodes" w:hint="cs"/>
          <w:rtl/>
        </w:rPr>
        <w:t xml:space="preserve">(עי' אות </w:t>
      </w:r>
      <w:r w:rsidRPr="007550D8">
        <w:rPr>
          <w:rStyle w:val="af7"/>
          <w:rFonts w:eastAsia="Guttman Hodes"/>
          <w:rtl/>
        </w:rPr>
        <w:fldChar w:fldCharType="begin"/>
      </w:r>
      <w:r w:rsidRPr="007550D8">
        <w:rPr>
          <w:rStyle w:val="af7"/>
          <w:rFonts w:eastAsia="Guttman Hodes"/>
          <w:rtl/>
        </w:rPr>
        <w:instrText xml:space="preserve"> </w:instrText>
      </w:r>
      <w:r w:rsidRPr="007550D8">
        <w:rPr>
          <w:rStyle w:val="af7"/>
          <w:rFonts w:eastAsia="Guttman Hodes" w:hint="cs"/>
        </w:rPr>
        <w:instrText>REF</w:instrText>
      </w:r>
      <w:r w:rsidRPr="007550D8">
        <w:rPr>
          <w:rStyle w:val="af7"/>
          <w:rFonts w:eastAsia="Guttman Hodes" w:hint="cs"/>
          <w:rtl/>
        </w:rPr>
        <w:instrText xml:space="preserve"> _</w:instrText>
      </w:r>
      <w:r w:rsidRPr="007550D8">
        <w:rPr>
          <w:rStyle w:val="af7"/>
          <w:rFonts w:eastAsia="Guttman Hodes" w:hint="cs"/>
        </w:rPr>
        <w:instrText>Ref4142106 \r \h</w:instrText>
      </w:r>
      <w:r w:rsidRPr="007550D8">
        <w:rPr>
          <w:rStyle w:val="af7"/>
          <w:rFonts w:eastAsia="Guttman Hodes"/>
          <w:rtl/>
        </w:rPr>
        <w:instrText xml:space="preserve"> </w:instrText>
      </w:r>
      <w:r w:rsidRPr="007550D8">
        <w:rPr>
          <w:rStyle w:val="af7"/>
          <w:rFonts w:eastAsia="Guttman Hodes"/>
          <w:rtl/>
        </w:rPr>
      </w:r>
      <w:r w:rsidRPr="007550D8">
        <w:rPr>
          <w:rStyle w:val="af7"/>
          <w:rFonts w:eastAsia="Guttman Hodes"/>
          <w:rtl/>
        </w:rPr>
        <w:fldChar w:fldCharType="separate"/>
      </w:r>
      <w:r w:rsidR="00345400">
        <w:rPr>
          <w:rStyle w:val="af7"/>
          <w:rFonts w:eastAsia="Guttman Hodes"/>
          <w:cs/>
        </w:rPr>
        <w:t>‎</w:t>
      </w:r>
      <w:r w:rsidR="00345400">
        <w:rPr>
          <w:rStyle w:val="af7"/>
          <w:rFonts w:eastAsia="Guttman Hodes"/>
          <w:rtl/>
        </w:rPr>
        <w:t>צד)</w:t>
      </w:r>
      <w:r w:rsidRPr="007550D8">
        <w:rPr>
          <w:rStyle w:val="af7"/>
          <w:rFonts w:eastAsia="Guttman Hodes"/>
          <w:rtl/>
        </w:rPr>
        <w:fldChar w:fldCharType="end"/>
      </w:r>
      <w:r>
        <w:rPr>
          <w:rFonts w:hint="cs"/>
          <w:rtl/>
        </w:rPr>
        <w:t xml:space="preserve"> דס"ל </w:t>
      </w:r>
      <w:r>
        <w:rPr>
          <w:rStyle w:val="af9"/>
          <w:rFonts w:hint="cs"/>
          <w:rtl/>
        </w:rPr>
        <w:t>ל</w:t>
      </w:r>
      <w:r w:rsidRPr="00660524">
        <w:rPr>
          <w:rStyle w:val="af9"/>
          <w:rFonts w:hint="cs"/>
          <w:rtl/>
        </w:rPr>
        <w:t>הרמב"ם</w:t>
      </w:r>
      <w:r w:rsidRPr="004E161F">
        <w:rPr>
          <w:rFonts w:hint="cs"/>
          <w:rtl/>
        </w:rPr>
        <w:t xml:space="preserve"> </w:t>
      </w:r>
      <w:r>
        <w:rPr>
          <w:rFonts w:hint="cs"/>
          <w:rtl/>
        </w:rPr>
        <w:t xml:space="preserve">כסברת </w:t>
      </w:r>
      <w:r w:rsidRPr="007550D8">
        <w:rPr>
          <w:rStyle w:val="af9"/>
          <w:rFonts w:hint="cs"/>
          <w:rtl/>
        </w:rPr>
        <w:t>הרא"ש</w:t>
      </w:r>
      <w:r>
        <w:rPr>
          <w:rFonts w:hint="cs"/>
          <w:rtl/>
        </w:rPr>
        <w:t xml:space="preserve"> בקושייתו דאין כח בשחיטה להתיר את החלב, ולכן פסק </w:t>
      </w:r>
      <w:r w:rsidRPr="004E161F">
        <w:rPr>
          <w:rStyle w:val="af9"/>
          <w:rFonts w:hint="cs"/>
          <w:rtl/>
        </w:rPr>
        <w:t>הרמב"ם</w:t>
      </w:r>
      <w:r w:rsidRPr="004E161F">
        <w:rPr>
          <w:rFonts w:hint="cs"/>
          <w:rtl/>
        </w:rPr>
        <w:t xml:space="preserve"> </w:t>
      </w:r>
      <w:r w:rsidRPr="004E161F">
        <w:rPr>
          <w:rStyle w:val="af7"/>
          <w:rFonts w:eastAsia="Guttman Hodes" w:hint="cs"/>
          <w:rtl/>
        </w:rPr>
        <w:t xml:space="preserve">(עי' אות </w:t>
      </w:r>
      <w:r w:rsidRPr="004E161F">
        <w:rPr>
          <w:rStyle w:val="af7"/>
          <w:rFonts w:eastAsia="Guttman Hodes"/>
          <w:rtl/>
        </w:rPr>
        <w:fldChar w:fldCharType="begin"/>
      </w:r>
      <w:r w:rsidRPr="004E161F">
        <w:rPr>
          <w:rStyle w:val="af7"/>
          <w:rFonts w:eastAsia="Guttman Hodes"/>
          <w:rtl/>
        </w:rPr>
        <w:instrText xml:space="preserve"> </w:instrText>
      </w:r>
      <w:r w:rsidRPr="004E161F">
        <w:rPr>
          <w:rStyle w:val="af7"/>
          <w:rFonts w:eastAsia="Guttman Hodes" w:hint="cs"/>
        </w:rPr>
        <w:instrText>REF</w:instrText>
      </w:r>
      <w:r w:rsidRPr="004E161F">
        <w:rPr>
          <w:rStyle w:val="af7"/>
          <w:rFonts w:eastAsia="Guttman Hodes" w:hint="cs"/>
          <w:rtl/>
        </w:rPr>
        <w:instrText xml:space="preserve"> _</w:instrText>
      </w:r>
      <w:r w:rsidRPr="004E161F">
        <w:rPr>
          <w:rStyle w:val="af7"/>
          <w:rFonts w:eastAsia="Guttman Hodes" w:hint="cs"/>
        </w:rPr>
        <w:instrText>Ref3145560 \r \h</w:instrText>
      </w:r>
      <w:r w:rsidRPr="004E161F">
        <w:rPr>
          <w:rStyle w:val="af7"/>
          <w:rFonts w:eastAsia="Guttman Hodes"/>
          <w:rtl/>
        </w:rPr>
        <w:instrText xml:space="preserve">  \* </w:instrText>
      </w:r>
      <w:r w:rsidRPr="004E161F">
        <w:rPr>
          <w:rStyle w:val="af7"/>
          <w:rFonts w:eastAsia="Guttman Hodes"/>
        </w:rPr>
        <w:instrText>MERGEFORMAT</w:instrText>
      </w:r>
      <w:r w:rsidRPr="004E161F">
        <w:rPr>
          <w:rStyle w:val="af7"/>
          <w:rFonts w:eastAsia="Guttman Hodes"/>
          <w:rtl/>
        </w:rPr>
        <w:instrText xml:space="preserve"> </w:instrText>
      </w:r>
      <w:r w:rsidRPr="004E161F">
        <w:rPr>
          <w:rStyle w:val="af7"/>
          <w:rFonts w:eastAsia="Guttman Hodes"/>
          <w:rtl/>
        </w:rPr>
      </w:r>
      <w:r w:rsidRPr="004E161F">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4E161F">
        <w:rPr>
          <w:rStyle w:val="af7"/>
          <w:rFonts w:eastAsia="Guttman Hodes"/>
          <w:rtl/>
        </w:rPr>
        <w:fldChar w:fldCharType="end"/>
      </w:r>
      <w:r w:rsidRPr="004E161F">
        <w:rPr>
          <w:rStyle w:val="af7"/>
          <w:rFonts w:eastAsia="Guttman Hodes" w:hint="cs"/>
          <w:rtl/>
        </w:rPr>
        <w:t xml:space="preserve"> </w:t>
      </w:r>
      <w:r>
        <w:rPr>
          <w:rFonts w:hint="cs"/>
          <w:rtl/>
        </w:rPr>
        <w:t xml:space="preserve">דהחלב אסור, והוסיף </w:t>
      </w:r>
      <w:r w:rsidRPr="00660524">
        <w:rPr>
          <w:rStyle w:val="af9"/>
          <w:rFonts w:hint="cs"/>
          <w:rtl/>
        </w:rPr>
        <w:t>הראש יוסף</w:t>
      </w:r>
      <w:r w:rsidRPr="00660524">
        <w:rPr>
          <w:rStyle w:val="af7"/>
          <w:rFonts w:eastAsia="Guttman Hodes" w:hint="cs"/>
          <w:rtl/>
        </w:rPr>
        <w:t xml:space="preserve"> (עי' אות </w:t>
      </w:r>
      <w:r w:rsidRPr="00660524">
        <w:rPr>
          <w:rStyle w:val="af7"/>
          <w:rFonts w:eastAsia="Guttman Hodes"/>
          <w:rtl/>
        </w:rPr>
        <w:fldChar w:fldCharType="begin"/>
      </w:r>
      <w:r w:rsidRPr="00660524">
        <w:rPr>
          <w:rStyle w:val="af7"/>
          <w:rFonts w:eastAsia="Guttman Hodes"/>
          <w:rtl/>
        </w:rPr>
        <w:instrText xml:space="preserve"> </w:instrText>
      </w:r>
      <w:r w:rsidRPr="00660524">
        <w:rPr>
          <w:rStyle w:val="af7"/>
          <w:rFonts w:eastAsia="Guttman Hodes" w:hint="cs"/>
        </w:rPr>
        <w:instrText>REF</w:instrText>
      </w:r>
      <w:r w:rsidRPr="00660524">
        <w:rPr>
          <w:rStyle w:val="af7"/>
          <w:rFonts w:eastAsia="Guttman Hodes" w:hint="cs"/>
          <w:rtl/>
        </w:rPr>
        <w:instrText xml:space="preserve"> _</w:instrText>
      </w:r>
      <w:r w:rsidRPr="00660524">
        <w:rPr>
          <w:rStyle w:val="af7"/>
          <w:rFonts w:eastAsia="Guttman Hodes" w:hint="cs"/>
        </w:rPr>
        <w:instrText>Ref4098807 \r \h</w:instrText>
      </w:r>
      <w:r w:rsidRPr="00660524">
        <w:rPr>
          <w:rStyle w:val="af7"/>
          <w:rFonts w:eastAsia="Guttman Hodes"/>
          <w:rtl/>
        </w:rPr>
        <w:instrText xml:space="preserve">  \* </w:instrText>
      </w:r>
      <w:r w:rsidRPr="00660524">
        <w:rPr>
          <w:rStyle w:val="af7"/>
          <w:rFonts w:eastAsia="Guttman Hodes"/>
        </w:rPr>
        <w:instrText>MERGEFORMAT</w:instrText>
      </w:r>
      <w:r w:rsidRPr="00660524">
        <w:rPr>
          <w:rStyle w:val="af7"/>
          <w:rFonts w:eastAsia="Guttman Hodes"/>
          <w:rtl/>
        </w:rPr>
        <w:instrText xml:space="preserve"> </w:instrText>
      </w:r>
      <w:r w:rsidRPr="00660524">
        <w:rPr>
          <w:rStyle w:val="af7"/>
          <w:rFonts w:eastAsia="Guttman Hodes"/>
          <w:rtl/>
        </w:rPr>
      </w:r>
      <w:r w:rsidRPr="00660524">
        <w:rPr>
          <w:rStyle w:val="af7"/>
          <w:rFonts w:eastAsia="Guttman Hodes"/>
          <w:rtl/>
        </w:rPr>
        <w:fldChar w:fldCharType="separate"/>
      </w:r>
      <w:r w:rsidR="00345400">
        <w:rPr>
          <w:rStyle w:val="af7"/>
          <w:rFonts w:eastAsia="Guttman Hodes"/>
          <w:cs/>
        </w:rPr>
        <w:t>‎</w:t>
      </w:r>
      <w:r w:rsidR="00345400">
        <w:rPr>
          <w:rStyle w:val="af7"/>
          <w:rFonts w:eastAsia="Guttman Hodes"/>
          <w:rtl/>
        </w:rPr>
        <w:t>נא)</w:t>
      </w:r>
      <w:r w:rsidRPr="00660524">
        <w:rPr>
          <w:rStyle w:val="af7"/>
          <w:rFonts w:eastAsia="Guttman Hodes"/>
          <w:rtl/>
        </w:rPr>
        <w:fldChar w:fldCharType="end"/>
      </w:r>
      <w:r w:rsidRPr="00660524">
        <w:rPr>
          <w:rStyle w:val="af7"/>
          <w:rFonts w:eastAsia="Guttman Hodes" w:hint="cs"/>
          <w:rtl/>
        </w:rPr>
        <w:t xml:space="preserve"> </w:t>
      </w:r>
      <w:r w:rsidRPr="004E161F">
        <w:rPr>
          <w:rFonts w:hint="cs"/>
          <w:rtl/>
        </w:rPr>
        <w:t>ד</w:t>
      </w:r>
      <w:r>
        <w:rPr>
          <w:rFonts w:hint="cs"/>
          <w:rtl/>
        </w:rPr>
        <w:t xml:space="preserve">לדעת </w:t>
      </w:r>
      <w:r w:rsidRPr="00660524">
        <w:rPr>
          <w:rStyle w:val="af9"/>
          <w:rFonts w:hint="cs"/>
          <w:rtl/>
        </w:rPr>
        <w:t>הרמב"ם</w:t>
      </w:r>
      <w:r>
        <w:rPr>
          <w:rFonts w:hint="cs"/>
          <w:rtl/>
        </w:rPr>
        <w:t xml:space="preserve"> </w:t>
      </w:r>
      <w:r w:rsidRPr="004E161F">
        <w:rPr>
          <w:rFonts w:hint="cs"/>
          <w:rtl/>
        </w:rPr>
        <w:t xml:space="preserve">זוהי סברת רבי </w:t>
      </w:r>
      <w:r w:rsidRPr="00660524">
        <w:rPr>
          <w:rFonts w:hint="cs"/>
          <w:rtl/>
        </w:rPr>
        <w:t xml:space="preserve">דסתם בגיד </w:t>
      </w:r>
      <w:r w:rsidRPr="007550D8">
        <w:rPr>
          <w:rFonts w:hint="cs"/>
          <w:rtl/>
        </w:rPr>
        <w:t>כר"מ,</w:t>
      </w:r>
      <w:r w:rsidRPr="00F00B51">
        <w:rPr>
          <w:rStyle w:val="af9"/>
          <w:rFonts w:hint="cs"/>
          <w:rtl/>
        </w:rPr>
        <w:t xml:space="preserve"> </w:t>
      </w:r>
      <w:r>
        <w:rPr>
          <w:rStyle w:val="af9"/>
          <w:rFonts w:hint="cs"/>
          <w:rtl/>
        </w:rPr>
        <w:t>ו</w:t>
      </w:r>
      <w:r>
        <w:rPr>
          <w:rStyle w:val="af9"/>
          <w:rtl/>
        </w:rPr>
        <w:t>האמרי משה</w:t>
      </w:r>
      <w:r>
        <w:rPr>
          <w:rFonts w:hint="cs"/>
          <w:rtl/>
        </w:rPr>
        <w:t xml:space="preserve"> </w:t>
      </w:r>
      <w:r w:rsidRPr="007550D8">
        <w:rPr>
          <w:rStyle w:val="af7"/>
          <w:rFonts w:eastAsia="Guttman Hodes" w:hint="cs"/>
          <w:rtl/>
        </w:rPr>
        <w:t xml:space="preserve">(עי' </w:t>
      </w:r>
      <w:r w:rsidRPr="00F00B51">
        <w:rPr>
          <w:rStyle w:val="af7"/>
          <w:rFonts w:eastAsia="Guttman Hodes" w:hint="cs"/>
          <w:rtl/>
        </w:rPr>
        <w:t xml:space="preserve">אות </w:t>
      </w:r>
      <w:r w:rsidRPr="00F00B51">
        <w:rPr>
          <w:rStyle w:val="af7"/>
          <w:rFonts w:eastAsia="Guttman Hodes"/>
          <w:rtl/>
        </w:rPr>
        <w:fldChar w:fldCharType="begin"/>
      </w:r>
      <w:r w:rsidRPr="00F00B51">
        <w:rPr>
          <w:rStyle w:val="af7"/>
          <w:rFonts w:eastAsia="Guttman Hodes"/>
          <w:rtl/>
        </w:rPr>
        <w:instrText xml:space="preserve"> </w:instrText>
      </w:r>
      <w:r w:rsidRPr="00F00B51">
        <w:rPr>
          <w:rStyle w:val="af7"/>
          <w:rFonts w:eastAsia="Guttman Hodes" w:hint="cs"/>
        </w:rPr>
        <w:instrText>REF</w:instrText>
      </w:r>
      <w:r w:rsidRPr="00F00B51">
        <w:rPr>
          <w:rStyle w:val="af7"/>
          <w:rFonts w:eastAsia="Guttman Hodes" w:hint="cs"/>
          <w:rtl/>
        </w:rPr>
        <w:instrText xml:space="preserve"> _</w:instrText>
      </w:r>
      <w:r w:rsidRPr="00F00B51">
        <w:rPr>
          <w:rStyle w:val="af7"/>
          <w:rFonts w:eastAsia="Guttman Hodes" w:hint="cs"/>
        </w:rPr>
        <w:instrText>Ref4007384 \r \h</w:instrText>
      </w:r>
      <w:r w:rsidRPr="00F00B51">
        <w:rPr>
          <w:rStyle w:val="af7"/>
          <w:rFonts w:eastAsia="Guttman Hodes"/>
          <w:rtl/>
        </w:rPr>
        <w:instrText xml:space="preserve"> </w:instrText>
      </w:r>
      <w:r w:rsidRPr="00F00B51">
        <w:rPr>
          <w:rStyle w:val="af7"/>
          <w:rFonts w:eastAsia="Guttman Hodes"/>
          <w:rtl/>
        </w:rPr>
      </w:r>
      <w:r w:rsidRPr="00F00B51">
        <w:rPr>
          <w:rStyle w:val="af7"/>
          <w:rFonts w:eastAsia="Guttman Hodes"/>
          <w:rtl/>
        </w:rPr>
        <w:fldChar w:fldCharType="separate"/>
      </w:r>
      <w:r w:rsidR="00345400">
        <w:rPr>
          <w:rStyle w:val="af7"/>
          <w:rFonts w:eastAsia="Guttman Hodes"/>
          <w:cs/>
        </w:rPr>
        <w:t>‎</w:t>
      </w:r>
      <w:r w:rsidR="00345400">
        <w:rPr>
          <w:rStyle w:val="af7"/>
          <w:rFonts w:eastAsia="Guttman Hodes"/>
          <w:rtl/>
        </w:rPr>
        <w:t>עט)</w:t>
      </w:r>
      <w:r w:rsidRPr="00F00B51">
        <w:rPr>
          <w:rStyle w:val="af7"/>
          <w:rFonts w:eastAsia="Guttman Hodes"/>
          <w:rtl/>
        </w:rPr>
        <w:fldChar w:fldCharType="end"/>
      </w:r>
      <w:r>
        <w:rPr>
          <w:rFonts w:hint="cs"/>
          <w:rtl/>
        </w:rPr>
        <w:t xml:space="preserve"> הוסיף דס"ל </w:t>
      </w:r>
      <w:r w:rsidRPr="00F00B51">
        <w:rPr>
          <w:rStyle w:val="af9"/>
          <w:rFonts w:hint="cs"/>
          <w:rtl/>
        </w:rPr>
        <w:t>להרמב"ם</w:t>
      </w:r>
      <w:r>
        <w:rPr>
          <w:rFonts w:hint="cs"/>
          <w:rtl/>
        </w:rPr>
        <w:t xml:space="preserve"> דכן מוכח בגמ' לקמן </w:t>
      </w:r>
      <w:r w:rsidRPr="00F00B51">
        <w:rPr>
          <w:rStyle w:val="af7"/>
          <w:rFonts w:eastAsia="Guttman Hodes" w:hint="cs"/>
          <w:rtl/>
        </w:rPr>
        <w:t>(פט:)</w:t>
      </w:r>
      <w:r w:rsidRPr="007550D8">
        <w:rPr>
          <w:rFonts w:hint="cs"/>
          <w:rtl/>
        </w:rPr>
        <w:t xml:space="preserve"> וע"ע </w:t>
      </w:r>
      <w:r>
        <w:rPr>
          <w:rFonts w:hint="cs"/>
          <w:rtl/>
        </w:rPr>
        <w:t xml:space="preserve">בדברי </w:t>
      </w:r>
      <w:r>
        <w:rPr>
          <w:rStyle w:val="af9"/>
          <w:rtl/>
        </w:rPr>
        <w:t>האבאה"ז</w:t>
      </w:r>
      <w:r>
        <w:rPr>
          <w:rFonts w:hint="cs"/>
          <w:rtl/>
        </w:rPr>
        <w:t xml:space="preserve"> </w:t>
      </w:r>
      <w:r w:rsidRPr="00AD3416">
        <w:rPr>
          <w:rStyle w:val="af7"/>
          <w:rFonts w:eastAsia="Guttman Hodes" w:hint="cs"/>
          <w:rtl/>
        </w:rPr>
        <w:t xml:space="preserve">(עי' אות </w:t>
      </w:r>
      <w:r w:rsidRPr="00AD3416">
        <w:rPr>
          <w:rStyle w:val="af7"/>
          <w:rFonts w:eastAsia="Guttman Hodes"/>
          <w:rtl/>
        </w:rPr>
        <w:fldChar w:fldCharType="begin"/>
      </w:r>
      <w:r w:rsidRPr="00AD3416">
        <w:rPr>
          <w:rStyle w:val="af7"/>
          <w:rFonts w:eastAsia="Guttman Hodes"/>
          <w:rtl/>
        </w:rPr>
        <w:instrText xml:space="preserve"> </w:instrText>
      </w:r>
      <w:r w:rsidRPr="00AD3416">
        <w:rPr>
          <w:rStyle w:val="af7"/>
          <w:rFonts w:eastAsia="Guttman Hodes"/>
        </w:rPr>
        <w:instrText>REF</w:instrText>
      </w:r>
      <w:r w:rsidRPr="00AD3416">
        <w:rPr>
          <w:rStyle w:val="af7"/>
          <w:rFonts w:eastAsia="Guttman Hodes"/>
          <w:rtl/>
        </w:rPr>
        <w:instrText xml:space="preserve"> _</w:instrText>
      </w:r>
      <w:r w:rsidRPr="00AD3416">
        <w:rPr>
          <w:rStyle w:val="af7"/>
          <w:rFonts w:eastAsia="Guttman Hodes"/>
        </w:rPr>
        <w:instrText>Ref4142168 \r \h</w:instrText>
      </w:r>
      <w:r w:rsidRPr="00AD3416">
        <w:rPr>
          <w:rStyle w:val="af7"/>
          <w:rFonts w:eastAsia="Guttman Hodes"/>
          <w:rtl/>
        </w:rPr>
        <w:instrText xml:space="preserve"> </w:instrText>
      </w:r>
      <w:r w:rsidRPr="00AD3416">
        <w:rPr>
          <w:rStyle w:val="af7"/>
          <w:rFonts w:eastAsia="Guttman Hodes"/>
          <w:rtl/>
        </w:rPr>
      </w:r>
      <w:r w:rsidRPr="00AD3416">
        <w:rPr>
          <w:rStyle w:val="af7"/>
          <w:rFonts w:eastAsia="Guttman Hodes"/>
          <w:rtl/>
        </w:rPr>
        <w:fldChar w:fldCharType="separate"/>
      </w:r>
      <w:r w:rsidR="00345400">
        <w:rPr>
          <w:rStyle w:val="af7"/>
          <w:rFonts w:eastAsia="Guttman Hodes"/>
          <w:cs/>
        </w:rPr>
        <w:t>‎</w:t>
      </w:r>
      <w:r w:rsidR="00345400">
        <w:rPr>
          <w:rStyle w:val="af7"/>
          <w:rFonts w:eastAsia="Guttman Hodes"/>
          <w:rtl/>
        </w:rPr>
        <w:t>קיב)</w:t>
      </w:r>
      <w:r w:rsidRPr="00AD3416">
        <w:rPr>
          <w:rStyle w:val="af7"/>
          <w:rFonts w:eastAsia="Guttman Hodes"/>
          <w:rtl/>
        </w:rPr>
        <w:fldChar w:fldCharType="end"/>
      </w:r>
      <w:r>
        <w:rPr>
          <w:rFonts w:hint="cs"/>
          <w:rtl/>
        </w:rPr>
        <w:t>.</w:t>
      </w:r>
    </w:p>
    <w:p w14:paraId="22A85337" w14:textId="77777777" w:rsidR="008F4B19" w:rsidRPr="008F4B19" w:rsidRDefault="008F4B19" w:rsidP="008F4B19">
      <w:pPr>
        <w:pStyle w:val="a3"/>
        <w:rPr>
          <w:rtl/>
        </w:rPr>
      </w:pPr>
    </w:p>
    <w:p w14:paraId="2E8D298B" w14:textId="77777777" w:rsidR="008F4B19" w:rsidRPr="008F4B19" w:rsidRDefault="008F4B19" w:rsidP="008F4B19">
      <w:pPr>
        <w:pStyle w:val="a3"/>
        <w:rPr>
          <w:rtl/>
        </w:rPr>
      </w:pPr>
    </w:p>
    <w:p w14:paraId="787F74B0" w14:textId="77777777" w:rsidR="008F4B19" w:rsidRPr="008F4B19" w:rsidRDefault="008F4B19" w:rsidP="008F4B19">
      <w:pPr>
        <w:pStyle w:val="a3"/>
        <w:rPr>
          <w:rtl/>
        </w:rPr>
      </w:pPr>
    </w:p>
    <w:p w14:paraId="4CAC70CF" w14:textId="77777777" w:rsidR="008F4B19" w:rsidRPr="008F4B19" w:rsidRDefault="008F4B19" w:rsidP="008F4B19">
      <w:pPr>
        <w:pStyle w:val="a3"/>
        <w:rPr>
          <w:rtl/>
        </w:rPr>
      </w:pPr>
    </w:p>
    <w:p w14:paraId="0E708C32" w14:textId="77777777" w:rsidR="003D504D" w:rsidRDefault="003D504D" w:rsidP="003D504D">
      <w:pPr>
        <w:pStyle w:val="afe"/>
        <w:rPr>
          <w:rtl/>
        </w:rPr>
      </w:pPr>
      <w:bookmarkStart w:id="23798" w:name="_Toc3929005"/>
      <w:bookmarkStart w:id="23799" w:name="_Toc3978392"/>
      <w:bookmarkStart w:id="23800" w:name="_Toc4012238"/>
      <w:bookmarkStart w:id="23801" w:name="_Toc4013264"/>
      <w:bookmarkStart w:id="23802" w:name="_Toc4022772"/>
      <w:bookmarkStart w:id="23803" w:name="_Toc4026597"/>
      <w:bookmarkStart w:id="23804" w:name="_Toc4139395"/>
      <w:bookmarkStart w:id="23805" w:name="_Toc4151489"/>
      <w:bookmarkStart w:id="23806" w:name="_Toc19436372"/>
      <w:bookmarkStart w:id="23807" w:name="_Toc20081502"/>
      <w:r w:rsidRPr="004E161F">
        <w:rPr>
          <w:rFonts w:hint="cs"/>
          <w:rtl/>
        </w:rPr>
        <w:t>ראיות להרמב"ם דלא קיי"ל כרב הושעי</w:t>
      </w:r>
      <w:r>
        <w:rPr>
          <w:rFonts w:hint="cs"/>
          <w:rtl/>
        </w:rPr>
        <w:t>א</w:t>
      </w:r>
      <w:bookmarkEnd w:id="23798"/>
      <w:bookmarkEnd w:id="23799"/>
      <w:bookmarkEnd w:id="23800"/>
      <w:bookmarkEnd w:id="23801"/>
      <w:bookmarkEnd w:id="23802"/>
      <w:bookmarkEnd w:id="23803"/>
      <w:bookmarkEnd w:id="23804"/>
      <w:bookmarkEnd w:id="23805"/>
      <w:bookmarkEnd w:id="23806"/>
      <w:bookmarkEnd w:id="23807"/>
    </w:p>
    <w:p w14:paraId="0EBF0939" w14:textId="77777777" w:rsidR="003D504D" w:rsidRPr="007D46E3" w:rsidRDefault="003D504D" w:rsidP="00BF39B2">
      <w:pPr>
        <w:pStyle w:val="1"/>
        <w:rPr>
          <w:rtl/>
        </w:rPr>
      </w:pPr>
      <w:bookmarkStart w:id="23808" w:name="_Toc3929006"/>
      <w:bookmarkStart w:id="23809" w:name="_Toc3978393"/>
      <w:bookmarkStart w:id="23810" w:name="_Toc4012239"/>
      <w:bookmarkStart w:id="23811" w:name="_Toc4013265"/>
      <w:bookmarkStart w:id="23812" w:name="_Toc4022773"/>
      <w:bookmarkStart w:id="23813" w:name="_Toc4026598"/>
      <w:bookmarkStart w:id="23814" w:name="_Toc4139396"/>
      <w:bookmarkStart w:id="23815" w:name="_Toc4151490"/>
      <w:bookmarkStart w:id="23816" w:name="_Toc19391947"/>
      <w:bookmarkStart w:id="23817" w:name="_Toc19395444"/>
      <w:r>
        <w:rPr>
          <w:rFonts w:hint="cs"/>
          <w:rtl/>
        </w:rPr>
        <w:t>דברי הראשונים דבגמ' לקמן מבואר דלא כרב הושעיא</w:t>
      </w:r>
      <w:bookmarkEnd w:id="23808"/>
      <w:bookmarkEnd w:id="23809"/>
      <w:bookmarkEnd w:id="23810"/>
      <w:bookmarkEnd w:id="23811"/>
      <w:bookmarkEnd w:id="23812"/>
      <w:bookmarkEnd w:id="23813"/>
      <w:bookmarkEnd w:id="23814"/>
      <w:bookmarkEnd w:id="23815"/>
      <w:bookmarkEnd w:id="23816"/>
      <w:bookmarkEnd w:id="23817"/>
    </w:p>
    <w:p w14:paraId="51D185E1" w14:textId="77777777" w:rsidR="003D504D" w:rsidRPr="00496DBE" w:rsidRDefault="003D504D" w:rsidP="003D504D">
      <w:pPr>
        <w:pStyle w:val="a3"/>
        <w:rPr>
          <w:rtl/>
        </w:rPr>
      </w:pPr>
      <w:bookmarkStart w:id="23818" w:name="_Toc3929007"/>
      <w:bookmarkStart w:id="23819" w:name="_Toc3978394"/>
      <w:bookmarkStart w:id="23820" w:name="_Toc4012240"/>
      <w:bookmarkStart w:id="23821" w:name="_Toc4013266"/>
      <w:bookmarkStart w:id="23822" w:name="_Toc4022774"/>
      <w:bookmarkStart w:id="23823" w:name="_Toc4026599"/>
      <w:bookmarkStart w:id="23824" w:name="_Toc4139397"/>
      <w:bookmarkStart w:id="23825" w:name="_Toc4151491"/>
      <w:bookmarkStart w:id="23826" w:name="_Toc19391948"/>
      <w:bookmarkStart w:id="23827" w:name="_Toc19395445"/>
      <w:r>
        <w:rPr>
          <w:rFonts w:hint="cs"/>
          <w:rtl/>
        </w:rPr>
        <w:t>קושית התוס' והרשב"א דלר"מ איסור גיד לא חל משעת יצירה אלא בבן ט' דהא חדשים גרמי</w:t>
      </w:r>
      <w:bookmarkEnd w:id="23818"/>
      <w:bookmarkEnd w:id="23819"/>
      <w:bookmarkEnd w:id="23820"/>
      <w:bookmarkEnd w:id="23821"/>
      <w:bookmarkEnd w:id="23822"/>
      <w:bookmarkEnd w:id="23823"/>
      <w:bookmarkEnd w:id="23824"/>
      <w:bookmarkEnd w:id="23825"/>
      <w:bookmarkEnd w:id="23826"/>
      <w:bookmarkEnd w:id="23827"/>
    </w:p>
    <w:p w14:paraId="6E09EF16" w14:textId="77777777" w:rsidR="003D504D" w:rsidRPr="00496DBE" w:rsidRDefault="003D504D" w:rsidP="00223668">
      <w:pPr>
        <w:pStyle w:val="a0"/>
        <w:rPr>
          <w:rStyle w:val="afb"/>
          <w:rtl/>
        </w:rPr>
      </w:pPr>
      <w:bookmarkStart w:id="23828" w:name="_Ref3915665"/>
      <w:r>
        <w:rPr>
          <w:rFonts w:hint="cs"/>
          <w:rtl/>
        </w:rPr>
        <w:t>בהא דאיתא בגמ' לקמן</w:t>
      </w:r>
      <w:r>
        <w:rPr>
          <w:rStyle w:val="af7"/>
          <w:rFonts w:eastAsiaTheme="minorHAnsi" w:hint="cs"/>
          <w:rtl/>
        </w:rPr>
        <w:t xml:space="preserve"> (פט:)</w:t>
      </w:r>
      <w:r>
        <w:rPr>
          <w:rFonts w:hint="cs"/>
          <w:rtl/>
        </w:rPr>
        <w:t xml:space="preserve"> דלמ"ד דולדות קדשים קדושים ממעי אמן, איסור גיד ואיסור חלב חלים עליהם יחד במעי אמן, הקשו </w:t>
      </w:r>
      <w:r>
        <w:rPr>
          <w:rStyle w:val="af9"/>
          <w:rFonts w:hint="cs"/>
          <w:rtl/>
        </w:rPr>
        <w:t>התוס'</w:t>
      </w:r>
      <w:r w:rsidRPr="008012BE">
        <w:rPr>
          <w:rStyle w:val="af9"/>
          <w:rFonts w:hint="cs"/>
          <w:rtl/>
        </w:rPr>
        <w:t xml:space="preserve"> לקמן</w:t>
      </w:r>
      <w:r>
        <w:rPr>
          <w:rFonts w:hint="cs"/>
          <w:rtl/>
        </w:rPr>
        <w:t xml:space="preserve"> </w:t>
      </w:r>
      <w:r>
        <w:rPr>
          <w:rStyle w:val="af7"/>
          <w:rFonts w:eastAsiaTheme="minorHAnsi" w:hint="cs"/>
          <w:rtl/>
        </w:rPr>
        <w:t>(פט: ד"ה בולדות)</w:t>
      </w:r>
      <w:r>
        <w:rPr>
          <w:rFonts w:hint="cs"/>
          <w:rtl/>
        </w:rPr>
        <w:t xml:space="preserve"> </w:t>
      </w:r>
      <w:r>
        <w:rPr>
          <w:rStyle w:val="af9"/>
          <w:rFonts w:hint="cs"/>
          <w:rtl/>
        </w:rPr>
        <w:t>ו</w:t>
      </w:r>
      <w:r w:rsidRPr="008012BE">
        <w:rPr>
          <w:rStyle w:val="af9"/>
          <w:rFonts w:hint="cs"/>
          <w:rtl/>
        </w:rPr>
        <w:t xml:space="preserve">הרשב"א </w:t>
      </w:r>
      <w:r>
        <w:rPr>
          <w:rStyle w:val="af9"/>
          <w:rFonts w:hint="cs"/>
          <w:rtl/>
        </w:rPr>
        <w:t xml:space="preserve">בחי' </w:t>
      </w:r>
      <w:r w:rsidRPr="008012BE">
        <w:rPr>
          <w:rStyle w:val="af9"/>
          <w:rFonts w:hint="cs"/>
          <w:rtl/>
        </w:rPr>
        <w:t>לקמן</w:t>
      </w:r>
      <w:r>
        <w:rPr>
          <w:rFonts w:hint="cs"/>
          <w:rtl/>
        </w:rPr>
        <w:t xml:space="preserve"> </w:t>
      </w:r>
      <w:r>
        <w:rPr>
          <w:rStyle w:val="af7"/>
          <w:rFonts w:eastAsiaTheme="minorHAnsi" w:hint="cs"/>
          <w:rtl/>
        </w:rPr>
        <w:t>(פט: ד"ה אלא בולדות</w:t>
      </w:r>
      <w:r>
        <w:rPr>
          <w:rStyle w:val="af7"/>
          <w:rFonts w:eastAsia="Guttman Hodes" w:hint="cs"/>
          <w:rtl/>
        </w:rPr>
        <w:t>,</w:t>
      </w:r>
      <w:r w:rsidRPr="004D3AC2">
        <w:rPr>
          <w:rStyle w:val="af7"/>
          <w:rFonts w:eastAsia="Guttman Hodes" w:hint="cs"/>
          <w:rtl/>
        </w:rPr>
        <w:t xml:space="preserve"> </w:t>
      </w:r>
      <w:r w:rsidRPr="005F3931">
        <w:rPr>
          <w:rStyle w:val="af7"/>
          <w:rFonts w:eastAsia="Guttman Hodes" w:hint="cs"/>
          <w:rtl/>
        </w:rPr>
        <w:t xml:space="preserve">צב: </w:t>
      </w:r>
      <w:r>
        <w:rPr>
          <w:rStyle w:val="af7"/>
          <w:rFonts w:eastAsia="Guttman Hodes" w:hint="cs"/>
          <w:rtl/>
        </w:rPr>
        <w:t>סו</w:t>
      </w:r>
      <w:r w:rsidRPr="005F3931">
        <w:rPr>
          <w:rStyle w:val="af7"/>
          <w:rFonts w:eastAsia="Guttman Hodes" w:hint="cs"/>
          <w:rtl/>
        </w:rPr>
        <w:t>ד"ה ולענין</w:t>
      </w:r>
      <w:r w:rsidRPr="005F3931">
        <w:rPr>
          <w:rStyle w:val="af7"/>
          <w:rFonts w:eastAsiaTheme="minorHAnsi" w:hint="cs"/>
          <w:rtl/>
        </w:rPr>
        <w:t>,</w:t>
      </w:r>
      <w:r>
        <w:rPr>
          <w:rStyle w:val="af7"/>
          <w:rFonts w:eastAsiaTheme="minorHAnsi" w:hint="cs"/>
          <w:rtl/>
        </w:rPr>
        <w:t xml:space="preserve">) </w:t>
      </w:r>
      <w:r>
        <w:rPr>
          <w:rStyle w:val="af9"/>
          <w:rFonts w:hint="cs"/>
          <w:rtl/>
        </w:rPr>
        <w:t xml:space="preserve">ובתוה"ב </w:t>
      </w:r>
      <w:r w:rsidRPr="00134302">
        <w:rPr>
          <w:rStyle w:val="af7"/>
          <w:rFonts w:eastAsia="Guttman Hodes" w:hint="cs"/>
          <w:rtl/>
        </w:rPr>
        <w:t>(ב"ב ש"ה דף נט. מדה"ס)</w:t>
      </w:r>
      <w:r>
        <w:rPr>
          <w:rStyle w:val="af9"/>
          <w:rFonts w:hint="cs"/>
          <w:rtl/>
        </w:rPr>
        <w:t xml:space="preserve"> </w:t>
      </w:r>
      <w:r>
        <w:rPr>
          <w:rFonts w:hint="cs"/>
          <w:rtl/>
        </w:rPr>
        <w:t xml:space="preserve">דלדברי רב הושעיא דהלכו לשיטתם בשחיטה ובחלב וגיד, א"כ אף לדעת ר"מ דס"ל דגיד נוהג בשליל, מ"מ רק אחר דכלו לו חדשיו חל עליו איסור גיד, דהא לדעת ר"מ חדשים גרמי, ואילו איסור קדשים חל על השליל משעת יצירתו, וכ"כ </w:t>
      </w:r>
      <w:r w:rsidRPr="00FF0EA6">
        <w:rPr>
          <w:rStyle w:val="af9"/>
          <w:rFonts w:hint="cs"/>
          <w:rtl/>
        </w:rPr>
        <w:t>הבעה"מ</w:t>
      </w:r>
      <w:r w:rsidRPr="00FF0EA6">
        <w:rPr>
          <w:rFonts w:hint="cs"/>
          <w:rtl/>
        </w:rPr>
        <w:t xml:space="preserve"> </w:t>
      </w:r>
      <w:r w:rsidRPr="005F3931">
        <w:rPr>
          <w:rStyle w:val="af7"/>
          <w:rFonts w:eastAsia="Guttman Hodes" w:hint="cs"/>
          <w:rtl/>
        </w:rPr>
        <w:t>(ל. מדפי הרי"ף ד"ה ובמסקנא)</w:t>
      </w:r>
      <w:r w:rsidRPr="00FF0EA6">
        <w:rPr>
          <w:rFonts w:hint="cs"/>
          <w:rtl/>
        </w:rPr>
        <w:t xml:space="preserve"> </w:t>
      </w:r>
      <w:r w:rsidRPr="005F3931">
        <w:rPr>
          <w:rStyle w:val="af9"/>
          <w:rFonts w:hint="cs"/>
          <w:rtl/>
        </w:rPr>
        <w:t>והריטב"א לקמן</w:t>
      </w:r>
      <w:r>
        <w:rPr>
          <w:rFonts w:hint="cs"/>
          <w:rtl/>
        </w:rPr>
        <w:t xml:space="preserve"> </w:t>
      </w:r>
      <w:r w:rsidRPr="005F3931">
        <w:rPr>
          <w:rStyle w:val="af7"/>
          <w:rFonts w:eastAsia="Guttman Hodes" w:hint="cs"/>
          <w:rtl/>
        </w:rPr>
        <w:t>(פט. ד"ה דאיסור גיד)</w:t>
      </w:r>
      <w:r>
        <w:rPr>
          <w:rStyle w:val="afb"/>
          <w:rFonts w:hint="cs"/>
          <w:rtl/>
        </w:rPr>
        <w:t xml:space="preserve"> </w:t>
      </w:r>
      <w:r w:rsidRPr="004D3AC2">
        <w:rPr>
          <w:rFonts w:hint="cs"/>
          <w:rtl/>
        </w:rPr>
        <w:t>ד</w:t>
      </w:r>
      <w:r>
        <w:rPr>
          <w:rFonts w:hint="cs"/>
          <w:rtl/>
        </w:rPr>
        <w:t xml:space="preserve">מבואר בגמ' לקמן דהיא דלא כרב הושעיא, אך דחו </w:t>
      </w:r>
      <w:r w:rsidRPr="00F8406F">
        <w:rPr>
          <w:rStyle w:val="af9"/>
          <w:rFonts w:hint="cs"/>
          <w:rtl/>
        </w:rPr>
        <w:t xml:space="preserve">הבעה"מ והרשב"א והריטב"א </w:t>
      </w:r>
      <w:r>
        <w:rPr>
          <w:rFonts w:hint="cs"/>
          <w:rtl/>
        </w:rPr>
        <w:t>ד</w:t>
      </w:r>
      <w:r w:rsidRPr="00FF0EA6">
        <w:rPr>
          <w:rFonts w:hint="cs"/>
          <w:rtl/>
        </w:rPr>
        <w:t xml:space="preserve">למסקנא קיי"ל כרב הושעיא, והגמ' שם </w:t>
      </w:r>
      <w:r w:rsidRPr="00223EC7">
        <w:rPr>
          <w:rFonts w:hint="cs"/>
          <w:rtl/>
        </w:rPr>
        <w:t xml:space="preserve">נדחית, וכתב </w:t>
      </w:r>
      <w:r w:rsidRPr="00223EC7">
        <w:rPr>
          <w:rStyle w:val="af9"/>
          <w:rFonts w:hint="cs"/>
          <w:rtl/>
        </w:rPr>
        <w:t>הרמב"ן במלחמות</w:t>
      </w:r>
      <w:r w:rsidRPr="00223EC7">
        <w:rPr>
          <w:rFonts w:hint="cs"/>
          <w:rtl/>
        </w:rPr>
        <w:t xml:space="preserve"> </w:t>
      </w:r>
      <w:r w:rsidRPr="00223EC7">
        <w:rPr>
          <w:rStyle w:val="af7"/>
          <w:rFonts w:eastAsia="Guttman Hodes" w:hint="cs"/>
          <w:rtl/>
        </w:rPr>
        <w:t>(ל. מדפי הרי"ף ד"ה ובמסקנא)</w:t>
      </w:r>
      <w:r w:rsidRPr="00223EC7">
        <w:rPr>
          <w:rFonts w:hint="cs"/>
          <w:rtl/>
        </w:rPr>
        <w:t xml:space="preserve"> דכן מבואר בדברי </w:t>
      </w:r>
      <w:r w:rsidRPr="00223EC7">
        <w:rPr>
          <w:rStyle w:val="af9"/>
          <w:rFonts w:hint="cs"/>
          <w:rtl/>
        </w:rPr>
        <w:t>הרי"ף</w:t>
      </w:r>
      <w:r>
        <w:rPr>
          <w:rFonts w:hint="cs"/>
          <w:rtl/>
        </w:rPr>
        <w:t xml:space="preserve"> </w:t>
      </w:r>
      <w:r>
        <w:rPr>
          <w:rStyle w:val="af7"/>
          <w:rFonts w:eastAsia="Guttman Hodes" w:hint="cs"/>
          <w:rtl/>
        </w:rPr>
        <w:t>(הובאו דבריהם</w:t>
      </w:r>
      <w:r w:rsidRPr="00C204E1">
        <w:rPr>
          <w:rStyle w:val="af7"/>
          <w:rFonts w:eastAsia="Guttman Hodes" w:hint="cs"/>
          <w:rtl/>
        </w:rPr>
        <w:t xml:space="preserve"> לעיל סימן ז</w:t>
      </w:r>
      <w:r w:rsidRPr="00C204E1">
        <w:rPr>
          <w:rStyle w:val="af7"/>
          <w:rFonts w:eastAsia="Guttman Hodes"/>
          <w:rtl/>
        </w:rPr>
        <w:t>'</w:t>
      </w:r>
      <w:r w:rsidRPr="00C204E1">
        <w:rPr>
          <w:rStyle w:val="af7"/>
          <w:rFonts w:eastAsia="Guttman Hodes" w:hint="cs"/>
          <w:rtl/>
        </w:rPr>
        <w:t xml:space="preserve"> אות ז)</w:t>
      </w:r>
      <w:r w:rsidRPr="004D3AC2">
        <w:rPr>
          <w:rFonts w:hint="cs"/>
          <w:rtl/>
        </w:rPr>
        <w:t>.</w:t>
      </w:r>
      <w:bookmarkEnd w:id="23828"/>
    </w:p>
    <w:p w14:paraId="0E2623D8" w14:textId="77777777" w:rsidR="003D504D" w:rsidRPr="00FF0EA6" w:rsidRDefault="003D504D" w:rsidP="003D504D">
      <w:pPr>
        <w:pStyle w:val="a3"/>
      </w:pPr>
      <w:bookmarkStart w:id="23829" w:name="_Toc3929008"/>
      <w:bookmarkStart w:id="23830" w:name="_Toc3978395"/>
      <w:bookmarkStart w:id="23831" w:name="_Toc4012241"/>
      <w:bookmarkStart w:id="23832" w:name="_Toc4013267"/>
      <w:bookmarkStart w:id="23833" w:name="_Toc4022775"/>
      <w:bookmarkStart w:id="23834" w:name="_Toc4026600"/>
      <w:bookmarkStart w:id="23835" w:name="_Toc4139398"/>
      <w:bookmarkStart w:id="23836" w:name="_Toc4151492"/>
      <w:bookmarkStart w:id="23837" w:name="_Toc19391949"/>
      <w:bookmarkStart w:id="23838" w:name="_Toc19395446"/>
      <w:r>
        <w:rPr>
          <w:rFonts w:hint="cs"/>
          <w:rtl/>
        </w:rPr>
        <w:t>דברי הבעה"מ והרשב"א דכן נדחית למסקנא הגמ' לענין גיד בטמאה דהיא דלא כרב הושעיא</w:t>
      </w:r>
      <w:bookmarkEnd w:id="23829"/>
      <w:bookmarkEnd w:id="23830"/>
      <w:bookmarkEnd w:id="23831"/>
      <w:bookmarkEnd w:id="23832"/>
      <w:bookmarkEnd w:id="23833"/>
      <w:bookmarkEnd w:id="23834"/>
      <w:bookmarkEnd w:id="23835"/>
      <w:bookmarkEnd w:id="23836"/>
      <w:bookmarkEnd w:id="23837"/>
      <w:bookmarkEnd w:id="23838"/>
    </w:p>
    <w:p w14:paraId="6839CAE4" w14:textId="77777777" w:rsidR="003D504D" w:rsidRPr="00FF0EA6" w:rsidRDefault="003D504D" w:rsidP="00223668">
      <w:pPr>
        <w:pStyle w:val="a0"/>
        <w:rPr>
          <w:rtl/>
        </w:rPr>
      </w:pPr>
      <w:r w:rsidRPr="00FF0EA6">
        <w:rPr>
          <w:rFonts w:hint="cs"/>
          <w:rtl/>
        </w:rPr>
        <w:t xml:space="preserve">והוסיפו </w:t>
      </w:r>
      <w:r w:rsidRPr="00FF0EA6">
        <w:rPr>
          <w:rStyle w:val="af9"/>
          <w:rFonts w:hint="cs"/>
          <w:rtl/>
        </w:rPr>
        <w:t>הבעה"מ</w:t>
      </w:r>
      <w:r w:rsidRPr="00FF0EA6">
        <w:rPr>
          <w:rFonts w:hint="cs"/>
          <w:rtl/>
        </w:rPr>
        <w:t xml:space="preserve"> </w:t>
      </w:r>
      <w:r w:rsidRPr="00FF0EA6">
        <w:rPr>
          <w:rStyle w:val="af9"/>
          <w:rFonts w:hint="cs"/>
          <w:rtl/>
        </w:rPr>
        <w:t>והרשב"א לקמן</w:t>
      </w:r>
      <w:r w:rsidRPr="00FF0EA6">
        <w:rPr>
          <w:rFonts w:hint="cs"/>
          <w:rtl/>
        </w:rPr>
        <w:t xml:space="preserve"> דכן </w:t>
      </w:r>
      <w:r>
        <w:rPr>
          <w:rFonts w:hint="cs"/>
          <w:rtl/>
        </w:rPr>
        <w:t xml:space="preserve">מבואר דלא כרב הושעיא בהא דאיתא </w:t>
      </w:r>
      <w:r w:rsidRPr="00FF0EA6">
        <w:rPr>
          <w:rFonts w:hint="cs"/>
          <w:rtl/>
        </w:rPr>
        <w:t xml:space="preserve">בגמ' לקמן </w:t>
      </w:r>
      <w:r w:rsidRPr="00FF0EA6">
        <w:rPr>
          <w:rStyle w:val="af7"/>
          <w:rFonts w:eastAsia="Guttman Hodes" w:hint="cs"/>
          <w:rtl/>
        </w:rPr>
        <w:t xml:space="preserve">(ק:) </w:t>
      </w:r>
      <w:r w:rsidRPr="00FF0EA6">
        <w:rPr>
          <w:rFonts w:hint="cs"/>
          <w:rtl/>
        </w:rPr>
        <w:t xml:space="preserve">דבבהמה טמאה איסור גיד נוהג בשליל, דאיסור גיד ואיסור טומאה חלו ביחד במעי האם, </w:t>
      </w:r>
      <w:r>
        <w:rPr>
          <w:rFonts w:hint="cs"/>
          <w:rtl/>
        </w:rPr>
        <w:t xml:space="preserve">ומבואר דהגיד אסור משעת יצירתו, אך דחו </w:t>
      </w:r>
      <w:r w:rsidRPr="00F8406F">
        <w:rPr>
          <w:rStyle w:val="af9"/>
          <w:rFonts w:hint="cs"/>
          <w:rtl/>
        </w:rPr>
        <w:t xml:space="preserve">הבעה"מ והרשב"א והריטב"א </w:t>
      </w:r>
      <w:r>
        <w:rPr>
          <w:rFonts w:hint="cs"/>
          <w:rtl/>
        </w:rPr>
        <w:t>ד</w:t>
      </w:r>
      <w:r w:rsidRPr="00FF0EA6">
        <w:rPr>
          <w:rFonts w:hint="cs"/>
          <w:rtl/>
        </w:rPr>
        <w:t xml:space="preserve">למסקנא קיי"ל כרב הושעיא, והגמ' שם </w:t>
      </w:r>
      <w:r w:rsidRPr="00223EC7">
        <w:rPr>
          <w:rFonts w:hint="cs"/>
          <w:rtl/>
        </w:rPr>
        <w:t>נדחית</w:t>
      </w:r>
      <w:r w:rsidRPr="00FF0EA6">
        <w:rPr>
          <w:rFonts w:hint="cs"/>
          <w:rtl/>
        </w:rPr>
        <w:t>.</w:t>
      </w:r>
    </w:p>
    <w:p w14:paraId="0C297A3A" w14:textId="77777777" w:rsidR="003D504D" w:rsidRPr="00DF53E6" w:rsidRDefault="003D504D" w:rsidP="003D504D">
      <w:pPr>
        <w:pStyle w:val="a3"/>
        <w:rPr>
          <w:rtl/>
        </w:rPr>
      </w:pPr>
      <w:bookmarkStart w:id="23839" w:name="_Toc3929009"/>
      <w:bookmarkStart w:id="23840" w:name="_Toc3978396"/>
      <w:bookmarkStart w:id="23841" w:name="_Toc4012242"/>
      <w:bookmarkStart w:id="23842" w:name="_Toc4013268"/>
      <w:bookmarkStart w:id="23843" w:name="_Toc4022776"/>
      <w:bookmarkStart w:id="23844" w:name="_Toc4026601"/>
      <w:bookmarkStart w:id="23845" w:name="_Toc4139399"/>
      <w:bookmarkStart w:id="23846" w:name="_Toc4151493"/>
      <w:bookmarkStart w:id="23847" w:name="_Toc19391950"/>
      <w:bookmarkStart w:id="23848" w:name="_Toc19395447"/>
      <w:r>
        <w:rPr>
          <w:rFonts w:hint="cs"/>
          <w:rtl/>
        </w:rPr>
        <w:t>דברי הש"ך דמקושית התוס' מהגמ' לקמן מוכח כדעת הרמב"ם והעיטור</w:t>
      </w:r>
      <w:bookmarkEnd w:id="23839"/>
      <w:bookmarkEnd w:id="23840"/>
      <w:bookmarkEnd w:id="23841"/>
      <w:bookmarkEnd w:id="23842"/>
      <w:bookmarkEnd w:id="23843"/>
      <w:bookmarkEnd w:id="23844"/>
      <w:bookmarkEnd w:id="23845"/>
      <w:bookmarkEnd w:id="23846"/>
      <w:bookmarkEnd w:id="23847"/>
      <w:bookmarkEnd w:id="23848"/>
    </w:p>
    <w:p w14:paraId="2E42BE0A" w14:textId="77777777" w:rsidR="003D504D" w:rsidRDefault="003D504D" w:rsidP="00223668">
      <w:pPr>
        <w:pStyle w:val="a0"/>
        <w:rPr>
          <w:rtl/>
        </w:rPr>
      </w:pPr>
      <w:bookmarkStart w:id="23849" w:name="_Ref4007462"/>
      <w:r>
        <w:rPr>
          <w:rFonts w:hint="cs"/>
          <w:rtl/>
        </w:rPr>
        <w:t xml:space="preserve">וכתב </w:t>
      </w:r>
      <w:r w:rsidRPr="0076159F">
        <w:rPr>
          <w:rStyle w:val="af9"/>
          <w:rFonts w:hint="cs"/>
          <w:rtl/>
        </w:rPr>
        <w:t>הש"ך בהארוך מש"ך</w:t>
      </w:r>
      <w:r w:rsidRPr="0076159F">
        <w:rPr>
          <w:rStyle w:val="af7"/>
          <w:rFonts w:eastAsia="Guttman Hodes" w:hint="cs"/>
          <w:rtl/>
        </w:rPr>
        <w:t xml:space="preserve"> (</w:t>
      </w:r>
      <w:r>
        <w:rPr>
          <w:rStyle w:val="af7"/>
          <w:rFonts w:eastAsia="Guttman Hodes" w:hint="cs"/>
          <w:rtl/>
        </w:rPr>
        <w:t xml:space="preserve">ריש </w:t>
      </w:r>
      <w:r w:rsidRPr="0076159F">
        <w:rPr>
          <w:rStyle w:val="af7"/>
          <w:rFonts w:eastAsia="Guttman Hodes" w:hint="cs"/>
          <w:rtl/>
        </w:rPr>
        <w:t>סי' ס"</w:t>
      </w:r>
      <w:r>
        <w:rPr>
          <w:rStyle w:val="af7"/>
          <w:rFonts w:eastAsia="Guttman Hodes" w:hint="cs"/>
          <w:rtl/>
        </w:rPr>
        <w:t>ד</w:t>
      </w:r>
      <w:r w:rsidRPr="0076159F">
        <w:rPr>
          <w:rStyle w:val="af7"/>
          <w:rFonts w:eastAsia="Guttman Hodes" w:hint="cs"/>
          <w:rtl/>
        </w:rPr>
        <w:t xml:space="preserve">) </w:t>
      </w:r>
      <w:r>
        <w:rPr>
          <w:rFonts w:hint="cs"/>
          <w:rtl/>
        </w:rPr>
        <w:t xml:space="preserve">דמקושית </w:t>
      </w:r>
      <w:r w:rsidRPr="00DF53E6">
        <w:rPr>
          <w:rStyle w:val="af9"/>
          <w:rFonts w:hint="cs"/>
          <w:rtl/>
        </w:rPr>
        <w:t>התוס'</w:t>
      </w:r>
      <w:r>
        <w:rPr>
          <w:rFonts w:hint="cs"/>
          <w:rtl/>
        </w:rPr>
        <w:t xml:space="preserve"> </w:t>
      </w:r>
      <w:r w:rsidRPr="00585CFD">
        <w:rPr>
          <w:rStyle w:val="af7"/>
          <w:rFonts w:eastAsia="Guttman Hodes" w:hint="cs"/>
          <w:rtl/>
        </w:rPr>
        <w:t xml:space="preserve">(עי' אות </w:t>
      </w:r>
      <w:r w:rsidRPr="00585CFD">
        <w:rPr>
          <w:rStyle w:val="af7"/>
          <w:rFonts w:eastAsia="Guttman Hodes"/>
          <w:rtl/>
        </w:rPr>
        <w:fldChar w:fldCharType="begin"/>
      </w:r>
      <w:r w:rsidRPr="00585CFD">
        <w:rPr>
          <w:rStyle w:val="af7"/>
          <w:rFonts w:eastAsia="Guttman Hodes"/>
          <w:rtl/>
        </w:rPr>
        <w:instrText xml:space="preserve"> </w:instrText>
      </w:r>
      <w:r w:rsidRPr="00585CFD">
        <w:rPr>
          <w:rStyle w:val="af7"/>
          <w:rFonts w:eastAsia="Guttman Hodes" w:hint="cs"/>
        </w:rPr>
        <w:instrText>REF</w:instrText>
      </w:r>
      <w:r w:rsidRPr="00585CFD">
        <w:rPr>
          <w:rStyle w:val="af7"/>
          <w:rFonts w:eastAsia="Guttman Hodes" w:hint="cs"/>
          <w:rtl/>
        </w:rPr>
        <w:instrText xml:space="preserve"> _</w:instrText>
      </w:r>
      <w:r w:rsidRPr="00585CFD">
        <w:rPr>
          <w:rStyle w:val="af7"/>
          <w:rFonts w:eastAsia="Guttman Hodes" w:hint="cs"/>
        </w:rPr>
        <w:instrText>Ref3915665 \r \h</w:instrText>
      </w:r>
      <w:r w:rsidRPr="00585CFD">
        <w:rPr>
          <w:rStyle w:val="af7"/>
          <w:rFonts w:eastAsia="Guttman Hodes"/>
          <w:rtl/>
        </w:rPr>
        <w:instrText xml:space="preserve"> </w:instrText>
      </w:r>
      <w:r w:rsidRPr="00585CFD">
        <w:rPr>
          <w:rStyle w:val="af7"/>
          <w:rFonts w:eastAsia="Guttman Hodes"/>
          <w:rtl/>
        </w:rPr>
      </w:r>
      <w:r w:rsidRPr="00585CFD">
        <w:rPr>
          <w:rStyle w:val="af7"/>
          <w:rFonts w:eastAsia="Guttman Hodes"/>
          <w:rtl/>
        </w:rPr>
        <w:fldChar w:fldCharType="separate"/>
      </w:r>
      <w:r w:rsidR="00345400">
        <w:rPr>
          <w:rStyle w:val="af7"/>
          <w:rFonts w:eastAsia="Guttman Hodes"/>
          <w:cs/>
        </w:rPr>
        <w:t>‎</w:t>
      </w:r>
      <w:r w:rsidR="00345400">
        <w:rPr>
          <w:rStyle w:val="af7"/>
          <w:rFonts w:eastAsia="Guttman Hodes"/>
          <w:rtl/>
        </w:rPr>
        <w:t>יח)</w:t>
      </w:r>
      <w:r w:rsidRPr="00585CFD">
        <w:rPr>
          <w:rStyle w:val="af7"/>
          <w:rFonts w:eastAsia="Guttman Hodes"/>
          <w:rtl/>
        </w:rPr>
        <w:fldChar w:fldCharType="end"/>
      </w:r>
      <w:r>
        <w:rPr>
          <w:rFonts w:hint="cs"/>
          <w:rtl/>
        </w:rPr>
        <w:t xml:space="preserve"> מוכח כדעת </w:t>
      </w:r>
      <w:r w:rsidRPr="00DF53E6">
        <w:rPr>
          <w:rStyle w:val="af9"/>
          <w:rFonts w:hint="cs"/>
          <w:rtl/>
        </w:rPr>
        <w:t>הרמב"ם והעיטור</w:t>
      </w:r>
      <w:r>
        <w:rPr>
          <w:rFonts w:hint="cs"/>
          <w:rtl/>
        </w:rPr>
        <w:t xml:space="preserve"> </w:t>
      </w:r>
      <w:r w:rsidRPr="00585CFD">
        <w:rPr>
          <w:rStyle w:val="af7"/>
          <w:rFonts w:eastAsia="Guttman Hodes" w:hint="cs"/>
          <w:rtl/>
        </w:rPr>
        <w:t xml:space="preserve">(עי' אות </w:t>
      </w:r>
      <w:r w:rsidRPr="00585CFD">
        <w:rPr>
          <w:rStyle w:val="af7"/>
          <w:rFonts w:eastAsia="Guttman Hodes"/>
          <w:rtl/>
        </w:rPr>
        <w:fldChar w:fldCharType="begin"/>
      </w:r>
      <w:r w:rsidRPr="00585CFD">
        <w:rPr>
          <w:rStyle w:val="af7"/>
          <w:rFonts w:eastAsia="Guttman Hodes"/>
          <w:rtl/>
        </w:rPr>
        <w:instrText xml:space="preserve"> </w:instrText>
      </w:r>
      <w:r w:rsidRPr="00585CFD">
        <w:rPr>
          <w:rStyle w:val="af7"/>
          <w:rFonts w:eastAsia="Guttman Hodes" w:hint="cs"/>
        </w:rPr>
        <w:instrText>REF</w:instrText>
      </w:r>
      <w:r w:rsidRPr="00585CFD">
        <w:rPr>
          <w:rStyle w:val="af7"/>
          <w:rFonts w:eastAsia="Guttman Hodes" w:hint="cs"/>
          <w:rtl/>
        </w:rPr>
        <w:instrText xml:space="preserve"> _</w:instrText>
      </w:r>
      <w:r w:rsidRPr="00585CFD">
        <w:rPr>
          <w:rStyle w:val="af7"/>
          <w:rFonts w:eastAsia="Guttman Hodes" w:hint="cs"/>
        </w:rPr>
        <w:instrText>Ref3493239 \r \h</w:instrText>
      </w:r>
      <w:r w:rsidRPr="00585CFD">
        <w:rPr>
          <w:rStyle w:val="af7"/>
          <w:rFonts w:eastAsia="Guttman Hodes"/>
          <w:rtl/>
        </w:rPr>
        <w:instrText xml:space="preserve"> </w:instrText>
      </w:r>
      <w:r w:rsidRPr="00585CFD">
        <w:rPr>
          <w:rStyle w:val="af7"/>
          <w:rFonts w:eastAsia="Guttman Hodes"/>
          <w:rtl/>
        </w:rPr>
      </w:r>
      <w:r w:rsidRPr="00585CFD">
        <w:rPr>
          <w:rStyle w:val="af7"/>
          <w:rFonts w:eastAsia="Guttman Hodes"/>
          <w:rtl/>
        </w:rPr>
        <w:fldChar w:fldCharType="separate"/>
      </w:r>
      <w:r w:rsidR="00345400">
        <w:rPr>
          <w:rStyle w:val="af7"/>
          <w:rFonts w:eastAsia="Guttman Hodes"/>
          <w:cs/>
        </w:rPr>
        <w:t>‎</w:t>
      </w:r>
      <w:r w:rsidR="00345400">
        <w:rPr>
          <w:rStyle w:val="af7"/>
          <w:rFonts w:eastAsia="Guttman Hodes"/>
          <w:rtl/>
        </w:rPr>
        <w:t>קא)</w:t>
      </w:r>
      <w:r w:rsidRPr="00585CFD">
        <w:rPr>
          <w:rStyle w:val="af7"/>
          <w:rFonts w:eastAsia="Guttman Hodes"/>
          <w:rtl/>
        </w:rPr>
        <w:fldChar w:fldCharType="end"/>
      </w:r>
      <w:r>
        <w:rPr>
          <w:rFonts w:hint="cs"/>
          <w:rtl/>
        </w:rPr>
        <w:t xml:space="preserve"> דריו"ח דס"ל דבתלש חלב מבן ט' אסור, ה"ה דאוסר בנשחטה האם, וכמדויק בלשון ריו"ח דאמר דחדשים גרמי, ומשמע דחדשים לבד גרמי, ואי ס"ל לריו"ח </w:t>
      </w:r>
      <w:r w:rsidRPr="00AD3416">
        <w:rPr>
          <w:rFonts w:hint="cs"/>
          <w:rtl/>
        </w:rPr>
        <w:t xml:space="preserve">כדעת </w:t>
      </w:r>
      <w:r w:rsidRPr="00AD3416">
        <w:rPr>
          <w:rStyle w:val="af9"/>
          <w:rFonts w:hint="cs"/>
          <w:rtl/>
        </w:rPr>
        <w:t>הרא"ש</w:t>
      </w:r>
      <w:r w:rsidRPr="00AD3416">
        <w:rPr>
          <w:rFonts w:hint="cs"/>
          <w:rtl/>
        </w:rPr>
        <w:t xml:space="preserve"> </w:t>
      </w:r>
      <w:r w:rsidRPr="00AD3416">
        <w:rPr>
          <w:rStyle w:val="af7"/>
          <w:rFonts w:eastAsia="Guttman Hodes" w:hint="cs"/>
          <w:rtl/>
        </w:rPr>
        <w:t xml:space="preserve">(עי' אות </w:t>
      </w:r>
      <w:r w:rsidRPr="00AD3416">
        <w:rPr>
          <w:rStyle w:val="af7"/>
          <w:rFonts w:eastAsia="Guttman Hodes"/>
          <w:rtl/>
        </w:rPr>
        <w:fldChar w:fldCharType="begin"/>
      </w:r>
      <w:r w:rsidRPr="00AD3416">
        <w:rPr>
          <w:rStyle w:val="af7"/>
          <w:rFonts w:eastAsia="Guttman Hodes"/>
          <w:rtl/>
        </w:rPr>
        <w:instrText xml:space="preserve"> </w:instrText>
      </w:r>
      <w:r w:rsidRPr="00AD3416">
        <w:rPr>
          <w:rStyle w:val="af7"/>
          <w:rFonts w:eastAsia="Guttman Hodes" w:hint="cs"/>
        </w:rPr>
        <w:instrText>REF</w:instrText>
      </w:r>
      <w:r w:rsidRPr="00AD3416">
        <w:rPr>
          <w:rStyle w:val="af7"/>
          <w:rFonts w:eastAsia="Guttman Hodes" w:hint="cs"/>
          <w:rtl/>
        </w:rPr>
        <w:instrText xml:space="preserve"> _</w:instrText>
      </w:r>
      <w:r w:rsidRPr="00AD3416">
        <w:rPr>
          <w:rStyle w:val="af7"/>
          <w:rFonts w:eastAsia="Guttman Hodes" w:hint="cs"/>
        </w:rPr>
        <w:instrText>Ref4142423 \r \h</w:instrText>
      </w:r>
      <w:r w:rsidRPr="00AD3416">
        <w:rPr>
          <w:rStyle w:val="af7"/>
          <w:rFonts w:eastAsia="Guttman Hodes"/>
          <w:rtl/>
        </w:rPr>
        <w:instrText xml:space="preserve">  \* </w:instrText>
      </w:r>
      <w:r w:rsidRPr="00AD3416">
        <w:rPr>
          <w:rStyle w:val="af7"/>
          <w:rFonts w:eastAsia="Guttman Hodes"/>
        </w:rPr>
        <w:instrText>MERGEFORMAT</w:instrText>
      </w:r>
      <w:r w:rsidRPr="00AD3416">
        <w:rPr>
          <w:rStyle w:val="af7"/>
          <w:rFonts w:eastAsia="Guttman Hodes"/>
          <w:rtl/>
        </w:rPr>
        <w:instrText xml:space="preserve"> </w:instrText>
      </w:r>
      <w:r w:rsidRPr="00AD3416">
        <w:rPr>
          <w:rStyle w:val="af7"/>
          <w:rFonts w:eastAsia="Guttman Hodes"/>
          <w:rtl/>
        </w:rPr>
      </w:r>
      <w:r w:rsidRPr="00AD3416">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AD3416">
        <w:rPr>
          <w:rStyle w:val="af7"/>
          <w:rFonts w:eastAsia="Guttman Hodes"/>
          <w:rtl/>
        </w:rPr>
        <w:fldChar w:fldCharType="end"/>
      </w:r>
      <w:r w:rsidRPr="00AD3416">
        <w:rPr>
          <w:rStyle w:val="af7"/>
          <w:rFonts w:eastAsia="Guttman Hodes" w:hint="cs"/>
          <w:rtl/>
        </w:rPr>
        <w:t xml:space="preserve"> </w:t>
      </w:r>
      <w:r w:rsidRPr="00AD3416">
        <w:rPr>
          <w:rFonts w:hint="cs"/>
          <w:rtl/>
        </w:rPr>
        <w:t>דמודה ריו"</w:t>
      </w:r>
      <w:r>
        <w:rPr>
          <w:rFonts w:hint="cs"/>
          <w:rtl/>
        </w:rPr>
        <w:t xml:space="preserve">ח דבנשחטה האם הולד מותר, א"כ לא רק החדשים לבדם גרמי, ומוכח מזה </w:t>
      </w:r>
      <w:r w:rsidRPr="00DF53E6">
        <w:rPr>
          <w:rStyle w:val="af9"/>
          <w:rFonts w:hint="cs"/>
          <w:rtl/>
        </w:rPr>
        <w:t>כהרמב"ם</w:t>
      </w:r>
      <w:r>
        <w:rPr>
          <w:rFonts w:hint="cs"/>
          <w:rtl/>
        </w:rPr>
        <w:t xml:space="preserve"> דלריו"ח החלב לעולם אסור, וסברה הגמ' דטעמיה ר"מ דאוסר בגיד הוא כיון דס"ל דחדשים גרמי, ולכן פסק </w:t>
      </w:r>
      <w:r w:rsidRPr="00DF53E6">
        <w:rPr>
          <w:rStyle w:val="af9"/>
          <w:rFonts w:hint="cs"/>
          <w:rtl/>
        </w:rPr>
        <w:t>הרמב"ם</w:t>
      </w:r>
      <w:r>
        <w:rPr>
          <w:rFonts w:hint="cs"/>
          <w:rtl/>
        </w:rPr>
        <w:t xml:space="preserve"> דגידו וחלבו אסורים, וכ"כ </w:t>
      </w:r>
      <w:r w:rsidRPr="00585CFD">
        <w:rPr>
          <w:rStyle w:val="af9"/>
          <w:rFonts w:hint="cs"/>
          <w:rtl/>
        </w:rPr>
        <w:t>האמרי משה</w:t>
      </w:r>
      <w:r>
        <w:rPr>
          <w:rFonts w:hint="cs"/>
          <w:rtl/>
        </w:rPr>
        <w:t xml:space="preserve"> </w:t>
      </w:r>
      <w:r w:rsidRPr="00585CFD">
        <w:rPr>
          <w:rStyle w:val="af7"/>
          <w:rFonts w:eastAsia="Guttman Hodes" w:hint="cs"/>
          <w:rtl/>
        </w:rPr>
        <w:t xml:space="preserve">(עי' אות </w:t>
      </w:r>
      <w:r w:rsidRPr="00585CFD">
        <w:rPr>
          <w:rStyle w:val="af7"/>
          <w:rFonts w:eastAsia="Guttman Hodes"/>
          <w:rtl/>
        </w:rPr>
        <w:fldChar w:fldCharType="begin"/>
      </w:r>
      <w:r w:rsidRPr="00585CFD">
        <w:rPr>
          <w:rStyle w:val="af7"/>
          <w:rFonts w:eastAsia="Guttman Hodes"/>
          <w:rtl/>
        </w:rPr>
        <w:instrText xml:space="preserve"> </w:instrText>
      </w:r>
      <w:r w:rsidRPr="00585CFD">
        <w:rPr>
          <w:rStyle w:val="af7"/>
          <w:rFonts w:eastAsia="Guttman Hodes" w:hint="cs"/>
        </w:rPr>
        <w:instrText>REF</w:instrText>
      </w:r>
      <w:r w:rsidRPr="00585CFD">
        <w:rPr>
          <w:rStyle w:val="af7"/>
          <w:rFonts w:eastAsia="Guttman Hodes" w:hint="cs"/>
          <w:rtl/>
        </w:rPr>
        <w:instrText xml:space="preserve"> _</w:instrText>
      </w:r>
      <w:r w:rsidRPr="00585CFD">
        <w:rPr>
          <w:rStyle w:val="af7"/>
          <w:rFonts w:eastAsia="Guttman Hodes" w:hint="cs"/>
        </w:rPr>
        <w:instrText>Ref4007384 \r \h</w:instrText>
      </w:r>
      <w:r w:rsidRPr="00585CFD">
        <w:rPr>
          <w:rStyle w:val="af7"/>
          <w:rFonts w:eastAsia="Guttman Hodes"/>
          <w:rtl/>
        </w:rPr>
        <w:instrText xml:space="preserve"> </w:instrText>
      </w:r>
      <w:r w:rsidRPr="00585CFD">
        <w:rPr>
          <w:rStyle w:val="af7"/>
          <w:rFonts w:eastAsia="Guttman Hodes"/>
          <w:rtl/>
        </w:rPr>
      </w:r>
      <w:r w:rsidRPr="00585CFD">
        <w:rPr>
          <w:rStyle w:val="af7"/>
          <w:rFonts w:eastAsia="Guttman Hodes"/>
          <w:rtl/>
        </w:rPr>
        <w:fldChar w:fldCharType="separate"/>
      </w:r>
      <w:r w:rsidR="00345400">
        <w:rPr>
          <w:rStyle w:val="af7"/>
          <w:rFonts w:eastAsia="Guttman Hodes"/>
          <w:cs/>
        </w:rPr>
        <w:t>‎</w:t>
      </w:r>
      <w:r w:rsidR="00345400">
        <w:rPr>
          <w:rStyle w:val="af7"/>
          <w:rFonts w:eastAsia="Guttman Hodes"/>
          <w:rtl/>
        </w:rPr>
        <w:t>עט)</w:t>
      </w:r>
      <w:r w:rsidRPr="00585CFD">
        <w:rPr>
          <w:rStyle w:val="af7"/>
          <w:rFonts w:eastAsia="Guttman Hodes"/>
          <w:rtl/>
        </w:rPr>
        <w:fldChar w:fldCharType="end"/>
      </w:r>
      <w:r>
        <w:rPr>
          <w:rFonts w:hint="cs"/>
          <w:rtl/>
        </w:rPr>
        <w:t xml:space="preserve"> </w:t>
      </w:r>
      <w:r w:rsidRPr="000C1C35">
        <w:rPr>
          <w:rStyle w:val="af9"/>
          <w:rFonts w:hint="cs"/>
          <w:rtl/>
        </w:rPr>
        <w:t>והאבי עזרי</w:t>
      </w:r>
      <w:r>
        <w:rPr>
          <w:rFonts w:hint="cs"/>
          <w:rtl/>
        </w:rPr>
        <w:t xml:space="preserve"> </w:t>
      </w:r>
      <w:r w:rsidRPr="000C1C35">
        <w:rPr>
          <w:rStyle w:val="af7"/>
          <w:rFonts w:eastAsia="Guttman Hodes" w:hint="cs"/>
          <w:rtl/>
        </w:rPr>
        <w:t xml:space="preserve">(עי' אות </w:t>
      </w:r>
      <w:r w:rsidRPr="000C1C35">
        <w:rPr>
          <w:rStyle w:val="af7"/>
          <w:rFonts w:eastAsia="Guttman Hodes"/>
          <w:rtl/>
        </w:rPr>
        <w:fldChar w:fldCharType="begin"/>
      </w:r>
      <w:r w:rsidRPr="000C1C35">
        <w:rPr>
          <w:rStyle w:val="af7"/>
          <w:rFonts w:eastAsia="Guttman Hodes"/>
          <w:rtl/>
        </w:rPr>
        <w:instrText xml:space="preserve"> </w:instrText>
      </w:r>
      <w:r w:rsidRPr="000C1C35">
        <w:rPr>
          <w:rStyle w:val="af7"/>
          <w:rFonts w:eastAsia="Guttman Hodes" w:hint="cs"/>
        </w:rPr>
        <w:instrText>REF</w:instrText>
      </w:r>
      <w:r w:rsidRPr="000C1C35">
        <w:rPr>
          <w:rStyle w:val="af7"/>
          <w:rFonts w:eastAsia="Guttman Hodes" w:hint="cs"/>
          <w:rtl/>
        </w:rPr>
        <w:instrText xml:space="preserve"> _</w:instrText>
      </w:r>
      <w:r w:rsidRPr="000C1C35">
        <w:rPr>
          <w:rStyle w:val="af7"/>
          <w:rFonts w:eastAsia="Guttman Hodes" w:hint="cs"/>
        </w:rPr>
        <w:instrText>Ref4015509 \r \h</w:instrText>
      </w:r>
      <w:r w:rsidRPr="000C1C35">
        <w:rPr>
          <w:rStyle w:val="af7"/>
          <w:rFonts w:eastAsia="Guttman Hodes"/>
          <w:rtl/>
        </w:rPr>
        <w:instrText xml:space="preserve"> </w:instrText>
      </w:r>
      <w:r w:rsidRPr="000C1C35">
        <w:rPr>
          <w:rStyle w:val="af7"/>
          <w:rFonts w:eastAsia="Guttman Hodes"/>
          <w:rtl/>
        </w:rPr>
      </w:r>
      <w:r w:rsidRPr="000C1C35">
        <w:rPr>
          <w:rStyle w:val="af7"/>
          <w:rFonts w:eastAsia="Guttman Hodes"/>
          <w:rtl/>
        </w:rPr>
        <w:fldChar w:fldCharType="separate"/>
      </w:r>
      <w:r w:rsidR="00345400">
        <w:rPr>
          <w:rStyle w:val="af7"/>
          <w:rFonts w:eastAsia="Guttman Hodes"/>
          <w:cs/>
        </w:rPr>
        <w:t>‎</w:t>
      </w:r>
      <w:r w:rsidR="00345400">
        <w:rPr>
          <w:rStyle w:val="af7"/>
          <w:rFonts w:eastAsia="Guttman Hodes"/>
          <w:rtl/>
        </w:rPr>
        <w:t>צט)</w:t>
      </w:r>
      <w:r w:rsidRPr="000C1C35">
        <w:rPr>
          <w:rStyle w:val="af7"/>
          <w:rFonts w:eastAsia="Guttman Hodes"/>
          <w:rtl/>
        </w:rPr>
        <w:fldChar w:fldCharType="end"/>
      </w:r>
      <w:r>
        <w:rPr>
          <w:rFonts w:hint="cs"/>
          <w:rtl/>
        </w:rPr>
        <w:t>.</w:t>
      </w:r>
      <w:bookmarkEnd w:id="23849"/>
    </w:p>
    <w:p w14:paraId="51815D99" w14:textId="77777777" w:rsidR="003D504D" w:rsidRPr="00290E6A" w:rsidRDefault="003D504D" w:rsidP="003D504D">
      <w:pPr>
        <w:pStyle w:val="afe"/>
        <w:rPr>
          <w:rtl/>
        </w:rPr>
      </w:pPr>
      <w:bookmarkStart w:id="23850" w:name="_Toc4012243"/>
      <w:bookmarkStart w:id="23851" w:name="_Toc4013269"/>
      <w:bookmarkStart w:id="23852" w:name="_Toc4022777"/>
      <w:bookmarkStart w:id="23853" w:name="_Toc4026602"/>
      <w:bookmarkStart w:id="23854" w:name="_Toc4139400"/>
      <w:bookmarkStart w:id="23855" w:name="_Toc4151494"/>
      <w:bookmarkStart w:id="23856" w:name="_Toc19436373"/>
      <w:bookmarkStart w:id="23857" w:name="_Toc20081503"/>
      <w:r>
        <w:rPr>
          <w:rFonts w:hint="cs"/>
          <w:rtl/>
        </w:rPr>
        <w:t>הביאור דהרמב"ם פסק כסתם מתני'</w:t>
      </w:r>
      <w:bookmarkEnd w:id="23850"/>
      <w:bookmarkEnd w:id="23851"/>
      <w:bookmarkEnd w:id="23852"/>
      <w:bookmarkEnd w:id="23853"/>
      <w:bookmarkEnd w:id="23854"/>
      <w:bookmarkEnd w:id="23855"/>
      <w:bookmarkEnd w:id="23856"/>
      <w:bookmarkEnd w:id="23857"/>
    </w:p>
    <w:p w14:paraId="6AF099DC" w14:textId="77777777" w:rsidR="003D504D" w:rsidRDefault="003D504D" w:rsidP="00BF39B2">
      <w:pPr>
        <w:pStyle w:val="1"/>
        <w:rPr>
          <w:rtl/>
        </w:rPr>
      </w:pPr>
      <w:bookmarkStart w:id="23858" w:name="_Toc3929010"/>
      <w:bookmarkStart w:id="23859" w:name="_Toc3978397"/>
      <w:bookmarkStart w:id="23860" w:name="_Toc4012244"/>
      <w:bookmarkStart w:id="23861" w:name="_Toc4013270"/>
      <w:bookmarkStart w:id="23862" w:name="_Toc4022778"/>
      <w:bookmarkStart w:id="23863" w:name="_Toc4026603"/>
      <w:bookmarkStart w:id="23864" w:name="_Toc4139401"/>
      <w:bookmarkStart w:id="23865" w:name="_Toc4151495"/>
      <w:bookmarkStart w:id="23866" w:name="_Toc19391951"/>
      <w:bookmarkStart w:id="23867" w:name="_Toc19395448"/>
      <w:r>
        <w:rPr>
          <w:rFonts w:hint="cs"/>
          <w:rtl/>
        </w:rPr>
        <w:t>ביאור המ"מ בדעת הרמב"ם</w:t>
      </w:r>
      <w:bookmarkEnd w:id="23655"/>
      <w:r>
        <w:rPr>
          <w:rFonts w:hint="cs"/>
          <w:rtl/>
        </w:rPr>
        <w:t xml:space="preserve"> דפסק כסתם מתני'</w:t>
      </w:r>
      <w:bookmarkEnd w:id="23858"/>
      <w:bookmarkEnd w:id="23859"/>
      <w:bookmarkEnd w:id="23860"/>
      <w:bookmarkEnd w:id="23861"/>
      <w:bookmarkEnd w:id="23862"/>
      <w:bookmarkEnd w:id="23863"/>
      <w:bookmarkEnd w:id="23864"/>
      <w:bookmarkEnd w:id="23865"/>
      <w:bookmarkEnd w:id="23866"/>
      <w:bookmarkEnd w:id="23867"/>
    </w:p>
    <w:p w14:paraId="2B4B809D" w14:textId="77777777" w:rsidR="003D504D" w:rsidRPr="0052491D" w:rsidRDefault="003D504D" w:rsidP="003D504D">
      <w:pPr>
        <w:pStyle w:val="a3"/>
        <w:rPr>
          <w:rtl/>
        </w:rPr>
      </w:pPr>
      <w:bookmarkStart w:id="23868" w:name="_Toc3840805"/>
      <w:bookmarkStart w:id="23869" w:name="_Toc3929011"/>
      <w:bookmarkStart w:id="23870" w:name="_Toc3978398"/>
      <w:bookmarkStart w:id="23871" w:name="_Toc4012245"/>
      <w:bookmarkStart w:id="23872" w:name="_Toc4013271"/>
      <w:bookmarkStart w:id="23873" w:name="_Toc4022779"/>
      <w:bookmarkStart w:id="23874" w:name="_Toc4026604"/>
      <w:bookmarkStart w:id="23875" w:name="_Toc4139402"/>
      <w:bookmarkStart w:id="23876" w:name="_Toc4151496"/>
      <w:bookmarkStart w:id="23877" w:name="_Toc19391952"/>
      <w:bookmarkStart w:id="23878" w:name="_Toc19395449"/>
      <w:r>
        <w:rPr>
          <w:rFonts w:hint="cs"/>
          <w:rtl/>
        </w:rPr>
        <w:t>ביאור המ"מ דהרמב"ם פסק כסתם מתני' בשחיטה כר"י ובגיד כר"מ וה"ה בחלב</w:t>
      </w:r>
      <w:bookmarkEnd w:id="23868"/>
      <w:r>
        <w:rPr>
          <w:rFonts w:hint="cs"/>
          <w:rtl/>
        </w:rPr>
        <w:t xml:space="preserve"> כדאי' בברייתא</w:t>
      </w:r>
      <w:bookmarkEnd w:id="23869"/>
      <w:bookmarkEnd w:id="23870"/>
      <w:bookmarkEnd w:id="23871"/>
      <w:bookmarkEnd w:id="23872"/>
      <w:bookmarkEnd w:id="23873"/>
      <w:bookmarkEnd w:id="23874"/>
      <w:bookmarkEnd w:id="23875"/>
      <w:bookmarkEnd w:id="23876"/>
      <w:bookmarkEnd w:id="23877"/>
      <w:bookmarkEnd w:id="23878"/>
    </w:p>
    <w:p w14:paraId="0A91CBE6" w14:textId="77777777" w:rsidR="003D504D" w:rsidRDefault="003D504D" w:rsidP="00223668">
      <w:pPr>
        <w:pStyle w:val="a0"/>
        <w:rPr>
          <w:rtl/>
        </w:rPr>
      </w:pPr>
      <w:bookmarkStart w:id="23879" w:name="_Ref3906174"/>
      <w:r>
        <w:rPr>
          <w:rStyle w:val="af9"/>
          <w:rFonts w:hint="cs"/>
          <w:rtl/>
        </w:rPr>
        <w:t>ו</w:t>
      </w:r>
      <w:r w:rsidRPr="00714171">
        <w:rPr>
          <w:rStyle w:val="af9"/>
          <w:rFonts w:hint="cs"/>
          <w:rtl/>
        </w:rPr>
        <w:t>המ"מ</w:t>
      </w:r>
      <w:r>
        <w:rPr>
          <w:rFonts w:hint="cs"/>
          <w:rtl/>
        </w:rPr>
        <w:t xml:space="preserve"> </w:t>
      </w:r>
      <w:r w:rsidRPr="00714171">
        <w:rPr>
          <w:rStyle w:val="af7"/>
          <w:rFonts w:eastAsia="Guttman Hodes" w:hint="cs"/>
          <w:rtl/>
        </w:rPr>
        <w:t>(מאכ"א פ"ז ה"ג)</w:t>
      </w:r>
      <w:r>
        <w:rPr>
          <w:rFonts w:hint="cs"/>
          <w:rtl/>
        </w:rPr>
        <w:t xml:space="preserve"> ביאר</w:t>
      </w:r>
      <w:r w:rsidRPr="00714171">
        <w:rPr>
          <w:rStyle w:val="af9"/>
          <w:rFonts w:hint="cs"/>
          <w:rtl/>
        </w:rPr>
        <w:t xml:space="preserve"> דהרמב"ם</w:t>
      </w:r>
      <w:r>
        <w:rPr>
          <w:rFonts w:hint="cs"/>
          <w:rtl/>
        </w:rPr>
        <w:t xml:space="preserve"> פסק כסתם מתני' בסוגיין </w:t>
      </w:r>
      <w:r w:rsidRPr="00714171">
        <w:rPr>
          <w:rStyle w:val="af7"/>
          <w:rFonts w:eastAsia="Guttman Hodes" w:hint="cs"/>
          <w:rtl/>
        </w:rPr>
        <w:t>(עד.)</w:t>
      </w:r>
      <w:r>
        <w:rPr>
          <w:rFonts w:hint="cs"/>
          <w:rtl/>
        </w:rPr>
        <w:t xml:space="preserve"> דבן ט' חי מותר בשחיטת אמו, ולענין גידו כתב </w:t>
      </w:r>
      <w:r w:rsidRPr="00714171">
        <w:rPr>
          <w:rStyle w:val="af9"/>
          <w:rFonts w:hint="cs"/>
          <w:rtl/>
        </w:rPr>
        <w:t>המ"מ</w:t>
      </w:r>
      <w:r>
        <w:rPr>
          <w:rFonts w:hint="cs"/>
          <w:rtl/>
        </w:rPr>
        <w:t xml:space="preserve"> </w:t>
      </w:r>
      <w:r w:rsidRPr="00714171">
        <w:rPr>
          <w:rStyle w:val="af9"/>
          <w:rFonts w:hint="cs"/>
          <w:rtl/>
        </w:rPr>
        <w:t>דהרמב"ם</w:t>
      </w:r>
      <w:r>
        <w:rPr>
          <w:rFonts w:hint="cs"/>
          <w:rtl/>
        </w:rPr>
        <w:t xml:space="preserve"> פסק כסתם מתני' לקמן </w:t>
      </w:r>
      <w:r w:rsidRPr="00714171">
        <w:rPr>
          <w:rStyle w:val="af7"/>
          <w:rFonts w:eastAsia="Guttman Hodes" w:hint="cs"/>
          <w:rtl/>
        </w:rPr>
        <w:t>(פט:)</w:t>
      </w:r>
      <w:r>
        <w:rPr>
          <w:rFonts w:hint="cs"/>
          <w:rtl/>
        </w:rPr>
        <w:t xml:space="preserve"> דגיד הנשה נוהג בשליל, ולענין חלבו כתב </w:t>
      </w:r>
      <w:r w:rsidRPr="00116679">
        <w:rPr>
          <w:rStyle w:val="af9"/>
          <w:rFonts w:hint="cs"/>
          <w:rtl/>
        </w:rPr>
        <w:t>המ"מ</w:t>
      </w:r>
      <w:r>
        <w:rPr>
          <w:rFonts w:hint="cs"/>
          <w:rtl/>
        </w:rPr>
        <w:t xml:space="preserve"> דכיון דתני בברייתא</w:t>
      </w:r>
      <w:r w:rsidRPr="00AE609F">
        <w:rPr>
          <w:rStyle w:val="af7"/>
          <w:rFonts w:eastAsia="Guttman Hodes" w:hint="cs"/>
          <w:rtl/>
        </w:rPr>
        <w:t xml:space="preserve"> (עד:, צב:)</w:t>
      </w:r>
      <w:r>
        <w:rPr>
          <w:rFonts w:hint="cs"/>
          <w:rtl/>
        </w:rPr>
        <w:t xml:space="preserve"> דהמחלוקת בין ר"מ לר"י</w:t>
      </w:r>
      <w:r w:rsidRPr="00116679">
        <w:rPr>
          <w:rFonts w:hint="cs"/>
          <w:rtl/>
        </w:rPr>
        <w:t xml:space="preserve"> </w:t>
      </w:r>
      <w:r>
        <w:rPr>
          <w:rFonts w:hint="cs"/>
          <w:rtl/>
        </w:rPr>
        <w:t xml:space="preserve">בחלב וגיד, היא מחלוקת אחת, לכן פסק </w:t>
      </w:r>
      <w:r w:rsidRPr="00714171">
        <w:rPr>
          <w:rStyle w:val="af9"/>
          <w:rFonts w:hint="cs"/>
          <w:rtl/>
        </w:rPr>
        <w:t>הרמב"ם</w:t>
      </w:r>
      <w:r>
        <w:rPr>
          <w:rFonts w:hint="cs"/>
          <w:rtl/>
        </w:rPr>
        <w:t xml:space="preserve"> בחלבו דאסור כדין גידו כסתם מתני' לקמן </w:t>
      </w:r>
      <w:r w:rsidRPr="00714171">
        <w:rPr>
          <w:rStyle w:val="af7"/>
          <w:rFonts w:eastAsia="Guttman Hodes" w:hint="cs"/>
          <w:rtl/>
        </w:rPr>
        <w:t>(פט:)</w:t>
      </w:r>
      <w:r>
        <w:rPr>
          <w:rFonts w:hint="cs"/>
          <w:rtl/>
        </w:rPr>
        <w:t xml:space="preserve"> דגידו אסור, וכ"כ </w:t>
      </w:r>
      <w:r w:rsidRPr="00AE609F">
        <w:rPr>
          <w:rStyle w:val="af9"/>
          <w:rFonts w:hint="cs"/>
          <w:rtl/>
        </w:rPr>
        <w:t>הגר"א</w:t>
      </w:r>
      <w:r>
        <w:rPr>
          <w:rFonts w:hint="cs"/>
          <w:rtl/>
        </w:rPr>
        <w:t xml:space="preserve"> </w:t>
      </w:r>
      <w:r w:rsidRPr="00AE609F">
        <w:rPr>
          <w:rStyle w:val="af7"/>
          <w:rFonts w:eastAsia="Guttman Hodes" w:hint="cs"/>
          <w:rtl/>
        </w:rPr>
        <w:t>(סי' ס"ד סק"ו)</w:t>
      </w:r>
      <w:r>
        <w:rPr>
          <w:rFonts w:hint="cs"/>
          <w:rtl/>
        </w:rPr>
        <w:t>, ועי' במה שביארו</w:t>
      </w:r>
      <w:r w:rsidRPr="00000A1B">
        <w:rPr>
          <w:rStyle w:val="af9"/>
          <w:rFonts w:hint="cs"/>
          <w:rtl/>
        </w:rPr>
        <w:t xml:space="preserve"> התוס'</w:t>
      </w:r>
      <w:r>
        <w:rPr>
          <w:rFonts w:hint="cs"/>
          <w:rtl/>
        </w:rPr>
        <w:t xml:space="preserve"> </w:t>
      </w:r>
      <w:r w:rsidRPr="006C757C">
        <w:rPr>
          <w:rStyle w:val="af7"/>
          <w:rFonts w:eastAsia="Guttman Hodes" w:hint="cs"/>
          <w:rtl/>
        </w:rPr>
        <w:t>(</w:t>
      </w:r>
      <w:r w:rsidR="00AC7E32">
        <w:rPr>
          <w:rStyle w:val="af7"/>
          <w:rFonts w:eastAsia="Guttman Hodes" w:hint="cs"/>
          <w:rtl/>
        </w:rPr>
        <w:t>הובא בסימן</w:t>
      </w:r>
      <w:r w:rsidRPr="006C757C">
        <w:rPr>
          <w:rStyle w:val="af7"/>
          <w:rFonts w:eastAsia="Guttman Hodes" w:hint="cs"/>
          <w:rtl/>
        </w:rPr>
        <w:t xml:space="preserve"> ז</w:t>
      </w:r>
      <w:r w:rsidRPr="006C757C">
        <w:rPr>
          <w:rStyle w:val="af7"/>
          <w:rFonts w:eastAsia="Guttman Hodes"/>
          <w:rtl/>
        </w:rPr>
        <w:t>'</w:t>
      </w:r>
      <w:r w:rsidRPr="006C757C">
        <w:rPr>
          <w:rStyle w:val="af7"/>
          <w:rFonts w:eastAsia="Guttman Hodes" w:hint="cs"/>
          <w:rtl/>
        </w:rPr>
        <w:t xml:space="preserve"> אות יד)</w:t>
      </w:r>
      <w:r>
        <w:rPr>
          <w:rFonts w:hint="cs"/>
          <w:rtl/>
        </w:rPr>
        <w:t xml:space="preserve"> את הגמ' לקמן.</w:t>
      </w:r>
      <w:bookmarkEnd w:id="23879"/>
    </w:p>
    <w:p w14:paraId="1647E743" w14:textId="77777777" w:rsidR="003D504D" w:rsidRDefault="003D504D" w:rsidP="003D504D">
      <w:pPr>
        <w:pStyle w:val="a3"/>
        <w:rPr>
          <w:rtl/>
        </w:rPr>
      </w:pPr>
      <w:bookmarkStart w:id="23880" w:name="_Toc3929012"/>
      <w:bookmarkStart w:id="23881" w:name="_Toc3978399"/>
      <w:bookmarkStart w:id="23882" w:name="_Toc4012246"/>
      <w:bookmarkStart w:id="23883" w:name="_Toc4013272"/>
      <w:bookmarkStart w:id="23884" w:name="_Toc4022780"/>
      <w:bookmarkStart w:id="23885" w:name="_Toc4026605"/>
      <w:bookmarkStart w:id="23886" w:name="_Toc4139403"/>
      <w:bookmarkStart w:id="23887" w:name="_Toc4151497"/>
      <w:bookmarkStart w:id="23888" w:name="_Toc19391953"/>
      <w:bookmarkStart w:id="23889" w:name="_Toc19395450"/>
      <w:r>
        <w:rPr>
          <w:rFonts w:hint="cs"/>
          <w:rtl/>
        </w:rPr>
        <w:t>דברי המ"מ והלח"מ דלא מוכרח לומר כרב הושעיא דכל המתיר בשחיטה מתיר בחלב</w:t>
      </w:r>
      <w:bookmarkEnd w:id="23880"/>
      <w:bookmarkEnd w:id="23881"/>
      <w:bookmarkEnd w:id="23882"/>
      <w:bookmarkEnd w:id="23883"/>
      <w:bookmarkEnd w:id="23884"/>
      <w:bookmarkEnd w:id="23885"/>
      <w:bookmarkEnd w:id="23886"/>
      <w:bookmarkEnd w:id="23887"/>
      <w:bookmarkEnd w:id="23888"/>
      <w:bookmarkEnd w:id="23889"/>
      <w:r>
        <w:rPr>
          <w:rFonts w:hint="cs"/>
          <w:rtl/>
        </w:rPr>
        <w:t xml:space="preserve"> </w:t>
      </w:r>
    </w:p>
    <w:p w14:paraId="5F7FAB5D" w14:textId="77777777" w:rsidR="003D504D" w:rsidRDefault="003D504D" w:rsidP="00223668">
      <w:pPr>
        <w:pStyle w:val="a0"/>
        <w:rPr>
          <w:rtl/>
        </w:rPr>
      </w:pPr>
      <w:bookmarkStart w:id="23890" w:name="_Ref3978529"/>
      <w:r>
        <w:rPr>
          <w:rFonts w:hint="cs"/>
          <w:rtl/>
        </w:rPr>
        <w:t xml:space="preserve">וכתב </w:t>
      </w:r>
      <w:r w:rsidRPr="00211A5E">
        <w:rPr>
          <w:rStyle w:val="af9"/>
          <w:rFonts w:hint="cs"/>
          <w:rtl/>
        </w:rPr>
        <w:t>המ"מ</w:t>
      </w:r>
      <w:r>
        <w:rPr>
          <w:rFonts w:hint="cs"/>
          <w:rtl/>
        </w:rPr>
        <w:t xml:space="preserve"> דאף דרב הושעיא אמר דר"מ ור"י הלכו לשיטתן בשחיטה ובחלב, מ"מ ס"ל </w:t>
      </w:r>
      <w:r w:rsidRPr="009D1D73">
        <w:rPr>
          <w:rStyle w:val="af9"/>
          <w:rFonts w:hint="cs"/>
          <w:rtl/>
        </w:rPr>
        <w:t xml:space="preserve">להרמב"ם </w:t>
      </w:r>
      <w:r>
        <w:rPr>
          <w:rFonts w:hint="cs"/>
          <w:rtl/>
        </w:rPr>
        <w:t xml:space="preserve">דאין הכרח דכל מי שסובר דבן ט' חי א"צ שחיטה, ס"ל דחלבו וגידו מותרים, דא"כ קשה מסתם מתני' בסוגיין כר"י דא"צ שחיטה לסתם מתני' לקמן </w:t>
      </w:r>
      <w:r w:rsidRPr="00714171">
        <w:rPr>
          <w:rStyle w:val="af7"/>
          <w:rFonts w:eastAsia="Guttman Hodes" w:hint="cs"/>
          <w:rtl/>
        </w:rPr>
        <w:t>(פט:)</w:t>
      </w:r>
      <w:r>
        <w:rPr>
          <w:rFonts w:hint="cs"/>
          <w:rtl/>
        </w:rPr>
        <w:t xml:space="preserve"> דגידו אסור, דהא יש סדר למשנה במסכת </w:t>
      </w:r>
      <w:r w:rsidRPr="00224221">
        <w:rPr>
          <w:rFonts w:hint="cs"/>
          <w:rtl/>
        </w:rPr>
        <w:t xml:space="preserve">אחת, </w:t>
      </w:r>
      <w:r w:rsidRPr="00224221">
        <w:rPr>
          <w:rStyle w:val="afb"/>
          <w:rFonts w:hint="cs"/>
          <w:rtl/>
        </w:rPr>
        <w:t xml:space="preserve">[עי' בדברי </w:t>
      </w:r>
      <w:r w:rsidRPr="00224221">
        <w:rPr>
          <w:rStyle w:val="affa"/>
          <w:rFonts w:hint="cs"/>
          <w:rtl/>
        </w:rPr>
        <w:t>הרשב"</w:t>
      </w:r>
      <w:r>
        <w:rPr>
          <w:rStyle w:val="affa"/>
          <w:rFonts w:hint="cs"/>
          <w:rtl/>
        </w:rPr>
        <w:t xml:space="preserve">א </w:t>
      </w:r>
      <w:r w:rsidRPr="00747449">
        <w:rPr>
          <w:rStyle w:val="aff6"/>
          <w:rFonts w:hint="cs"/>
          <w:rtl/>
        </w:rPr>
        <w:t>(</w:t>
      </w:r>
      <w:r w:rsidR="00AC7E32">
        <w:rPr>
          <w:rStyle w:val="aff6"/>
          <w:rFonts w:hint="cs"/>
          <w:rtl/>
        </w:rPr>
        <w:t>הובא בסימן</w:t>
      </w:r>
      <w:r w:rsidRPr="00747449">
        <w:rPr>
          <w:rStyle w:val="aff6"/>
          <w:rFonts w:hint="cs"/>
          <w:rtl/>
        </w:rPr>
        <w:t xml:space="preserve"> ז</w:t>
      </w:r>
      <w:r w:rsidRPr="00747449">
        <w:rPr>
          <w:rStyle w:val="aff6"/>
          <w:rtl/>
        </w:rPr>
        <w:t>'</w:t>
      </w:r>
      <w:r w:rsidRPr="00747449">
        <w:rPr>
          <w:rStyle w:val="aff6"/>
          <w:rFonts w:hint="cs"/>
          <w:rtl/>
        </w:rPr>
        <w:t xml:space="preserve"> אות פד)</w:t>
      </w:r>
      <w:r w:rsidRPr="00224221">
        <w:rPr>
          <w:rStyle w:val="afb"/>
          <w:rFonts w:hint="cs"/>
          <w:rtl/>
        </w:rPr>
        <w:t>],</w:t>
      </w:r>
      <w:r w:rsidRPr="00224221">
        <w:rPr>
          <w:rFonts w:hint="cs"/>
          <w:rtl/>
        </w:rPr>
        <w:t xml:space="preserve"> </w:t>
      </w:r>
      <w:r>
        <w:rPr>
          <w:rFonts w:hint="cs"/>
          <w:rtl/>
        </w:rPr>
        <w:t xml:space="preserve">וביאר </w:t>
      </w:r>
      <w:r w:rsidRPr="00211A15">
        <w:rPr>
          <w:rStyle w:val="af9"/>
          <w:rFonts w:hint="cs"/>
          <w:rtl/>
        </w:rPr>
        <w:t xml:space="preserve">הלח"מ </w:t>
      </w:r>
      <w:r w:rsidRPr="00211A15">
        <w:rPr>
          <w:rStyle w:val="af7"/>
          <w:rFonts w:eastAsia="Guttman Hodes" w:hint="cs"/>
          <w:rtl/>
        </w:rPr>
        <w:t>(מאכ"א פ"ז ה"ג)</w:t>
      </w:r>
      <w:r>
        <w:rPr>
          <w:rFonts w:hint="cs"/>
          <w:rtl/>
        </w:rPr>
        <w:t xml:space="preserve"> דכוונת </w:t>
      </w:r>
      <w:r w:rsidRPr="00211A15">
        <w:rPr>
          <w:rStyle w:val="af9"/>
          <w:rFonts w:hint="cs"/>
          <w:rtl/>
        </w:rPr>
        <w:t xml:space="preserve">המ"מ </w:t>
      </w:r>
      <w:r>
        <w:rPr>
          <w:rFonts w:hint="cs"/>
          <w:rtl/>
        </w:rPr>
        <w:t xml:space="preserve">לומר דאף דבגמ' מבואר דר"י דמתיר בשחיטה מתיר בחלבו וגידו, כדאמר רב הושעיא, מ"מ פסק </w:t>
      </w:r>
      <w:r w:rsidRPr="00211A15">
        <w:rPr>
          <w:rStyle w:val="af9"/>
          <w:rFonts w:hint="cs"/>
          <w:rtl/>
        </w:rPr>
        <w:t xml:space="preserve">הרמב"ם </w:t>
      </w:r>
      <w:r>
        <w:rPr>
          <w:rFonts w:hint="cs"/>
          <w:rtl/>
        </w:rPr>
        <w:t xml:space="preserve">כסתם מתני' לקמן </w:t>
      </w:r>
      <w:r w:rsidRPr="00211A15">
        <w:rPr>
          <w:rStyle w:val="af7"/>
          <w:rFonts w:eastAsia="Guttman Hodes" w:hint="cs"/>
          <w:rtl/>
        </w:rPr>
        <w:t>(פט:)</w:t>
      </w:r>
      <w:r>
        <w:rPr>
          <w:rFonts w:hint="cs"/>
          <w:rtl/>
        </w:rPr>
        <w:t xml:space="preserve"> דגידו אסור וה"ה לחלבו, וס"ל </w:t>
      </w:r>
      <w:r w:rsidRPr="00211A15">
        <w:rPr>
          <w:rStyle w:val="af9"/>
          <w:rFonts w:hint="cs"/>
          <w:rtl/>
        </w:rPr>
        <w:t xml:space="preserve">להרמב"ם </w:t>
      </w:r>
      <w:r>
        <w:rPr>
          <w:rFonts w:hint="cs"/>
          <w:rtl/>
        </w:rPr>
        <w:t xml:space="preserve">דמוכח דכן קיי"ל  דהא אי קיי"ל כמבואר בגמ', א"כ קשה מסתמא דמתני' בסוגיין </w:t>
      </w:r>
      <w:r w:rsidRPr="00211A15">
        <w:rPr>
          <w:rStyle w:val="af7"/>
          <w:rFonts w:eastAsia="Guttman Hodes" w:hint="cs"/>
          <w:rtl/>
        </w:rPr>
        <w:t>(עד</w:t>
      </w:r>
      <w:r w:rsidRPr="00747449">
        <w:rPr>
          <w:rStyle w:val="af7"/>
          <w:rFonts w:eastAsia="Guttman Hodes" w:hint="cs"/>
          <w:rtl/>
        </w:rPr>
        <w:t>.)</w:t>
      </w:r>
      <w:r w:rsidRPr="00747449">
        <w:rPr>
          <w:rFonts w:hint="cs"/>
          <w:rtl/>
        </w:rPr>
        <w:t xml:space="preserve"> על הסתמא דמתני' לקמן </w:t>
      </w:r>
      <w:r w:rsidRPr="00747449">
        <w:rPr>
          <w:rStyle w:val="af7"/>
          <w:rFonts w:eastAsia="Guttman Hodes" w:hint="cs"/>
          <w:rtl/>
        </w:rPr>
        <w:t>(פט:)</w:t>
      </w:r>
      <w:r w:rsidRPr="00747449">
        <w:rPr>
          <w:rFonts w:hint="cs"/>
          <w:rtl/>
        </w:rPr>
        <w:t xml:space="preserve">, וכתב </w:t>
      </w:r>
      <w:r w:rsidRPr="00747449">
        <w:rPr>
          <w:rStyle w:val="af9"/>
          <w:rFonts w:hint="cs"/>
          <w:rtl/>
        </w:rPr>
        <w:t xml:space="preserve">הלח"מ </w:t>
      </w:r>
      <w:r w:rsidRPr="00747449">
        <w:rPr>
          <w:rFonts w:hint="cs"/>
          <w:rtl/>
        </w:rPr>
        <w:t xml:space="preserve">דעוד הביא </w:t>
      </w:r>
      <w:r w:rsidRPr="00747449">
        <w:rPr>
          <w:rStyle w:val="af9"/>
          <w:rFonts w:hint="cs"/>
          <w:rtl/>
        </w:rPr>
        <w:t xml:space="preserve">המ"מ </w:t>
      </w:r>
      <w:r w:rsidRPr="00747449">
        <w:rPr>
          <w:rFonts w:hint="cs"/>
          <w:rtl/>
        </w:rPr>
        <w:t xml:space="preserve">ראיה </w:t>
      </w:r>
      <w:r w:rsidRPr="00747449">
        <w:rPr>
          <w:rStyle w:val="af9"/>
          <w:rFonts w:hint="cs"/>
          <w:rtl/>
        </w:rPr>
        <w:t xml:space="preserve">להרמב"ם </w:t>
      </w:r>
      <w:r w:rsidRPr="00747449">
        <w:rPr>
          <w:rFonts w:hint="cs"/>
          <w:rtl/>
        </w:rPr>
        <w:t xml:space="preserve">דאילו לדעת </w:t>
      </w:r>
      <w:r w:rsidRPr="00747449">
        <w:rPr>
          <w:rStyle w:val="af9"/>
          <w:rFonts w:hint="cs"/>
          <w:rtl/>
        </w:rPr>
        <w:t>הראשונים</w:t>
      </w:r>
      <w:r w:rsidRPr="00747449">
        <w:rPr>
          <w:rFonts w:hint="cs"/>
          <w:rtl/>
        </w:rPr>
        <w:t xml:space="preserve"> </w:t>
      </w:r>
      <w:r w:rsidRPr="00747449">
        <w:rPr>
          <w:rStyle w:val="af7"/>
          <w:rFonts w:eastAsia="Guttman Hodes" w:hint="cs"/>
          <w:rtl/>
        </w:rPr>
        <w:t xml:space="preserve">(עי' אות </w:t>
      </w:r>
      <w:r w:rsidRPr="00747449">
        <w:rPr>
          <w:rStyle w:val="af7"/>
          <w:rFonts w:eastAsia="Guttman Hodes"/>
          <w:rtl/>
        </w:rPr>
        <w:fldChar w:fldCharType="begin"/>
      </w:r>
      <w:r w:rsidRPr="00747449">
        <w:rPr>
          <w:rStyle w:val="af7"/>
          <w:rFonts w:eastAsia="Guttman Hodes"/>
          <w:rtl/>
        </w:rPr>
        <w:instrText xml:space="preserve"> </w:instrText>
      </w:r>
      <w:r w:rsidRPr="00747449">
        <w:rPr>
          <w:rStyle w:val="af7"/>
          <w:rFonts w:eastAsia="Guttman Hodes" w:hint="cs"/>
        </w:rPr>
        <w:instrText>REF</w:instrText>
      </w:r>
      <w:r w:rsidRPr="00747449">
        <w:rPr>
          <w:rStyle w:val="af7"/>
          <w:rFonts w:eastAsia="Guttman Hodes" w:hint="cs"/>
          <w:rtl/>
        </w:rPr>
        <w:instrText xml:space="preserve"> _</w:instrText>
      </w:r>
      <w:r w:rsidRPr="00747449">
        <w:rPr>
          <w:rStyle w:val="af7"/>
          <w:rFonts w:eastAsia="Guttman Hodes" w:hint="cs"/>
        </w:rPr>
        <w:instrText>Ref4142423 \r \h</w:instrText>
      </w:r>
      <w:r w:rsidRPr="0074744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47449">
        <w:rPr>
          <w:rStyle w:val="af7"/>
          <w:rFonts w:eastAsia="Guttman Hodes"/>
          <w:rtl/>
        </w:rPr>
      </w:r>
      <w:r w:rsidRPr="00747449">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747449">
        <w:rPr>
          <w:rStyle w:val="af7"/>
          <w:rFonts w:eastAsia="Guttman Hodes"/>
          <w:rtl/>
        </w:rPr>
        <w:fldChar w:fldCharType="end"/>
      </w:r>
      <w:r w:rsidRPr="00747449">
        <w:rPr>
          <w:rFonts w:hint="cs"/>
          <w:rtl/>
        </w:rPr>
        <w:t xml:space="preserve"> דפסקו כרב הושעיא, קשה דהיה להם לפסוק כסתמא בתרא, ועי' בדברי </w:t>
      </w:r>
      <w:r w:rsidRPr="00747449">
        <w:rPr>
          <w:rStyle w:val="af9"/>
          <w:rFonts w:hint="cs"/>
          <w:rtl/>
        </w:rPr>
        <w:t>האמרי משה</w:t>
      </w:r>
      <w:r w:rsidRPr="00747449">
        <w:rPr>
          <w:rFonts w:hint="cs"/>
          <w:rtl/>
        </w:rPr>
        <w:t xml:space="preserve"> </w:t>
      </w:r>
      <w:r w:rsidRPr="00747449">
        <w:rPr>
          <w:rStyle w:val="af7"/>
          <w:rFonts w:eastAsia="Guttman Hodes" w:hint="cs"/>
          <w:rtl/>
        </w:rPr>
        <w:t>(עי' או</w:t>
      </w:r>
      <w:r w:rsidRPr="004E158C">
        <w:rPr>
          <w:rStyle w:val="af7"/>
          <w:rFonts w:eastAsia="Guttman Hodes" w:hint="cs"/>
          <w:rtl/>
        </w:rPr>
        <w:t xml:space="preserve">ת </w:t>
      </w:r>
      <w:r w:rsidRPr="004E158C">
        <w:rPr>
          <w:rStyle w:val="af7"/>
          <w:rFonts w:eastAsia="Guttman Hodes"/>
          <w:rtl/>
        </w:rPr>
        <w:fldChar w:fldCharType="begin"/>
      </w:r>
      <w:r w:rsidRPr="004E158C">
        <w:rPr>
          <w:rStyle w:val="af7"/>
          <w:rFonts w:eastAsia="Guttman Hodes"/>
          <w:rtl/>
        </w:rPr>
        <w:instrText xml:space="preserve"> </w:instrText>
      </w:r>
      <w:r w:rsidRPr="004E158C">
        <w:rPr>
          <w:rStyle w:val="af7"/>
          <w:rFonts w:eastAsia="Guttman Hodes" w:hint="cs"/>
        </w:rPr>
        <w:instrText>REF</w:instrText>
      </w:r>
      <w:r w:rsidRPr="004E158C">
        <w:rPr>
          <w:rStyle w:val="af7"/>
          <w:rFonts w:eastAsia="Guttman Hodes" w:hint="cs"/>
          <w:rtl/>
        </w:rPr>
        <w:instrText xml:space="preserve"> _</w:instrText>
      </w:r>
      <w:r w:rsidRPr="004E158C">
        <w:rPr>
          <w:rStyle w:val="af7"/>
          <w:rFonts w:eastAsia="Guttman Hodes" w:hint="cs"/>
        </w:rPr>
        <w:instrText>Ref3978583 \r \h</w:instrText>
      </w:r>
      <w:r w:rsidRPr="004E158C">
        <w:rPr>
          <w:rStyle w:val="af7"/>
          <w:rFonts w:eastAsia="Guttman Hodes"/>
          <w:rtl/>
        </w:rPr>
        <w:instrText xml:space="preserve"> </w:instrText>
      </w:r>
      <w:r w:rsidRPr="004E158C">
        <w:rPr>
          <w:rStyle w:val="af7"/>
          <w:rFonts w:eastAsia="Guttman Hodes"/>
          <w:rtl/>
        </w:rPr>
      </w:r>
      <w:r w:rsidRPr="004E158C">
        <w:rPr>
          <w:rStyle w:val="af7"/>
          <w:rFonts w:eastAsia="Guttman Hodes"/>
          <w:rtl/>
        </w:rPr>
        <w:fldChar w:fldCharType="separate"/>
      </w:r>
      <w:r w:rsidR="00345400">
        <w:rPr>
          <w:rStyle w:val="af7"/>
          <w:rFonts w:eastAsia="Guttman Hodes"/>
          <w:cs/>
        </w:rPr>
        <w:t>‎</w:t>
      </w:r>
      <w:r w:rsidR="00345400">
        <w:rPr>
          <w:rStyle w:val="af7"/>
          <w:rFonts w:eastAsia="Guttman Hodes"/>
          <w:rtl/>
        </w:rPr>
        <w:t>עא)</w:t>
      </w:r>
      <w:r w:rsidRPr="004E158C">
        <w:rPr>
          <w:rStyle w:val="af7"/>
          <w:rFonts w:eastAsia="Guttman Hodes"/>
          <w:rtl/>
        </w:rPr>
        <w:fldChar w:fldCharType="end"/>
      </w:r>
      <w:r>
        <w:rPr>
          <w:rFonts w:hint="cs"/>
          <w:rtl/>
        </w:rPr>
        <w:t>.</w:t>
      </w:r>
      <w:bookmarkEnd w:id="23890"/>
    </w:p>
    <w:p w14:paraId="3FDDE733" w14:textId="77777777" w:rsidR="003D504D" w:rsidRPr="000E335D" w:rsidRDefault="003D504D" w:rsidP="003D504D">
      <w:pPr>
        <w:pStyle w:val="a3"/>
      </w:pPr>
      <w:bookmarkStart w:id="23891" w:name="_Toc3929013"/>
      <w:bookmarkStart w:id="23892" w:name="_Toc3978400"/>
      <w:bookmarkStart w:id="23893" w:name="_Toc4012247"/>
      <w:bookmarkStart w:id="23894" w:name="_Toc4013273"/>
      <w:bookmarkStart w:id="23895" w:name="_Toc4022781"/>
      <w:bookmarkStart w:id="23896" w:name="_Toc4026606"/>
      <w:bookmarkStart w:id="23897" w:name="_Toc4139404"/>
      <w:bookmarkStart w:id="23898" w:name="_Toc4151498"/>
      <w:bookmarkStart w:id="23899" w:name="_Toc19391954"/>
      <w:bookmarkStart w:id="23900" w:name="_Toc19395451"/>
      <w:r>
        <w:rPr>
          <w:rFonts w:hint="cs"/>
          <w:rtl/>
        </w:rPr>
        <w:t>דברי המ"מ דאין כוונת רב הושעיא דהא בהא תליא אלא בא לומר דנחלקו בבן ט'</w:t>
      </w:r>
      <w:bookmarkEnd w:id="23891"/>
      <w:bookmarkEnd w:id="23892"/>
      <w:bookmarkEnd w:id="23893"/>
      <w:bookmarkEnd w:id="23894"/>
      <w:bookmarkEnd w:id="23895"/>
      <w:bookmarkEnd w:id="23896"/>
      <w:bookmarkEnd w:id="23897"/>
      <w:bookmarkEnd w:id="23898"/>
      <w:bookmarkEnd w:id="23899"/>
      <w:bookmarkEnd w:id="23900"/>
    </w:p>
    <w:p w14:paraId="3EFB7641" w14:textId="77777777" w:rsidR="003D504D" w:rsidRPr="000D321F" w:rsidRDefault="003D504D" w:rsidP="00223668">
      <w:pPr>
        <w:pStyle w:val="a0"/>
        <w:rPr>
          <w:rStyle w:val="afb"/>
          <w:rtl/>
        </w:rPr>
      </w:pPr>
      <w:bookmarkStart w:id="23901" w:name="_Ref3915070"/>
      <w:r w:rsidRPr="00224221">
        <w:rPr>
          <w:rFonts w:hint="cs"/>
          <w:rtl/>
        </w:rPr>
        <w:t>ו</w:t>
      </w:r>
      <w:r>
        <w:rPr>
          <w:rFonts w:hint="cs"/>
          <w:rtl/>
        </w:rPr>
        <w:t>הוסיף</w:t>
      </w:r>
      <w:r w:rsidRPr="00224221">
        <w:rPr>
          <w:rFonts w:hint="cs"/>
          <w:rtl/>
        </w:rPr>
        <w:t xml:space="preserve"> </w:t>
      </w:r>
      <w:r w:rsidRPr="00224221">
        <w:rPr>
          <w:rStyle w:val="af9"/>
          <w:rFonts w:hint="cs"/>
          <w:rtl/>
        </w:rPr>
        <w:t>המ"מ</w:t>
      </w:r>
      <w:r w:rsidRPr="00224221">
        <w:rPr>
          <w:rFonts w:hint="cs"/>
          <w:rtl/>
        </w:rPr>
        <w:t xml:space="preserve"> דלכן </w:t>
      </w:r>
      <w:r>
        <w:rPr>
          <w:rFonts w:hint="cs"/>
          <w:rtl/>
        </w:rPr>
        <w:t xml:space="preserve">ס"ל </w:t>
      </w:r>
      <w:r>
        <w:rPr>
          <w:rStyle w:val="af9"/>
          <w:rFonts w:hint="cs"/>
          <w:rtl/>
        </w:rPr>
        <w:t>ל</w:t>
      </w:r>
      <w:r w:rsidRPr="00224221">
        <w:rPr>
          <w:rStyle w:val="af9"/>
          <w:rFonts w:hint="cs"/>
          <w:rtl/>
        </w:rPr>
        <w:t>הרמב</w:t>
      </w:r>
      <w:r w:rsidRPr="00211A5E">
        <w:rPr>
          <w:rStyle w:val="af9"/>
          <w:rFonts w:hint="cs"/>
          <w:rtl/>
        </w:rPr>
        <w:t>"ם</w:t>
      </w:r>
      <w:r>
        <w:rPr>
          <w:rFonts w:hint="cs"/>
          <w:rtl/>
        </w:rPr>
        <w:t xml:space="preserve"> דאין כוונת רב הושעיא לומר דהמחלוקת בגיד ובחלב, תלויה במחלוקת בשחיטה, אלא ביאר </w:t>
      </w:r>
      <w:r w:rsidRPr="00211A5E">
        <w:rPr>
          <w:rStyle w:val="af9"/>
          <w:rFonts w:hint="cs"/>
          <w:rtl/>
        </w:rPr>
        <w:t>המ"מ</w:t>
      </w:r>
      <w:r>
        <w:rPr>
          <w:rFonts w:hint="cs"/>
          <w:rtl/>
        </w:rPr>
        <w:t xml:space="preserve"> דכוונת רב הושעיא לומר דר"מ ור"י השוו מידותיהן בדיני שליל, וכל מה שבא רב הושעיא לחדש הוא דהמחלוקת היא בבן ט' חי, אבל בבן ח' כו"ע מודו דחלבו מותר, וכן לבאר דכוונת הברייתא לחלב של השליל עצמו ולא לחלב של הגיד הנשה, ולכן הביאה הגמ' את דברי רב הושעיא. </w:t>
      </w:r>
      <w:r w:rsidRPr="00DA0767">
        <w:rPr>
          <w:rStyle w:val="afb"/>
          <w:rFonts w:hint="cs"/>
          <w:rtl/>
        </w:rPr>
        <w:t xml:space="preserve">[וכן מפורש בדברי </w:t>
      </w:r>
      <w:r w:rsidRPr="00DA0767">
        <w:rPr>
          <w:rStyle w:val="affa"/>
          <w:rFonts w:hint="cs"/>
          <w:rtl/>
        </w:rPr>
        <w:t xml:space="preserve">התוס' והראשונים לקמן </w:t>
      </w:r>
      <w:r w:rsidRPr="00ED3D2F">
        <w:rPr>
          <w:rStyle w:val="aff6"/>
          <w:rFonts w:hint="cs"/>
          <w:rtl/>
        </w:rPr>
        <w:t>(</w:t>
      </w:r>
      <w:r w:rsidR="00AC7E32">
        <w:rPr>
          <w:rStyle w:val="aff6"/>
          <w:rFonts w:hint="cs"/>
          <w:rtl/>
        </w:rPr>
        <w:t>הובא בסימן</w:t>
      </w:r>
      <w:r w:rsidRPr="00ED3D2F">
        <w:rPr>
          <w:rStyle w:val="aff6"/>
          <w:rFonts w:hint="cs"/>
          <w:rtl/>
        </w:rPr>
        <w:t xml:space="preserve"> ז</w:t>
      </w:r>
      <w:r w:rsidRPr="00ED3D2F">
        <w:rPr>
          <w:rStyle w:val="aff6"/>
          <w:rtl/>
        </w:rPr>
        <w:t>'</w:t>
      </w:r>
      <w:r w:rsidRPr="00ED3D2F">
        <w:rPr>
          <w:rStyle w:val="aff6"/>
          <w:rFonts w:hint="cs"/>
          <w:rtl/>
        </w:rPr>
        <w:t xml:space="preserve"> אות יא)</w:t>
      </w:r>
      <w:r w:rsidRPr="00DA0767">
        <w:rPr>
          <w:rStyle w:val="afb"/>
          <w:rFonts w:hint="cs"/>
          <w:rtl/>
        </w:rPr>
        <w:t xml:space="preserve"> </w:t>
      </w:r>
      <w:r>
        <w:rPr>
          <w:rStyle w:val="afb"/>
          <w:rFonts w:hint="cs"/>
          <w:rtl/>
        </w:rPr>
        <w:t xml:space="preserve">דזהו החידוש </w:t>
      </w:r>
      <w:r w:rsidRPr="000D321F">
        <w:rPr>
          <w:rStyle w:val="afb"/>
          <w:rFonts w:hint="cs"/>
          <w:rtl/>
        </w:rPr>
        <w:t>בדברי רב הושעיא].</w:t>
      </w:r>
      <w:bookmarkEnd w:id="23901"/>
    </w:p>
    <w:p w14:paraId="4FF47693" w14:textId="77777777" w:rsidR="003D504D" w:rsidRPr="00BB4ABB" w:rsidRDefault="003D504D" w:rsidP="003D504D">
      <w:pPr>
        <w:pStyle w:val="a3"/>
        <w:rPr>
          <w:rtl/>
        </w:rPr>
      </w:pPr>
      <w:bookmarkStart w:id="23902" w:name="_Toc3929014"/>
      <w:bookmarkStart w:id="23903" w:name="_Toc3978401"/>
      <w:bookmarkStart w:id="23904" w:name="_Toc4012248"/>
      <w:bookmarkStart w:id="23905" w:name="_Toc4013274"/>
      <w:bookmarkStart w:id="23906" w:name="_Toc4022782"/>
      <w:bookmarkStart w:id="23907" w:name="_Toc4026607"/>
      <w:bookmarkStart w:id="23908" w:name="_Toc4139405"/>
      <w:bookmarkStart w:id="23909" w:name="_Toc4151499"/>
      <w:bookmarkStart w:id="23910" w:name="_Toc19391955"/>
      <w:bookmarkStart w:id="23911" w:name="_Toc19395452"/>
      <w:r>
        <w:rPr>
          <w:rFonts w:hint="cs"/>
          <w:rtl/>
        </w:rPr>
        <w:t>דברי התורת יקותיאל דברמב"ם בפיהמ"ש משמע כהמ"מ דפסק כסתם מתני' ולא כביאור הרשב"א</w:t>
      </w:r>
      <w:bookmarkEnd w:id="23902"/>
      <w:bookmarkEnd w:id="23903"/>
      <w:bookmarkEnd w:id="23904"/>
      <w:bookmarkEnd w:id="23905"/>
      <w:bookmarkEnd w:id="23906"/>
      <w:bookmarkEnd w:id="23907"/>
      <w:bookmarkEnd w:id="23908"/>
      <w:bookmarkEnd w:id="23909"/>
      <w:bookmarkEnd w:id="23910"/>
      <w:bookmarkEnd w:id="23911"/>
    </w:p>
    <w:p w14:paraId="7075D2DF" w14:textId="77777777" w:rsidR="003D504D" w:rsidRDefault="003D504D" w:rsidP="00223668">
      <w:pPr>
        <w:pStyle w:val="a0"/>
      </w:pPr>
      <w:r>
        <w:rPr>
          <w:rFonts w:hint="cs"/>
          <w:rtl/>
        </w:rPr>
        <w:t xml:space="preserve">וכתב </w:t>
      </w:r>
      <w:r w:rsidRPr="00C07CB0">
        <w:rPr>
          <w:rStyle w:val="af9"/>
          <w:rFonts w:hint="cs"/>
          <w:rtl/>
        </w:rPr>
        <w:t>התורת יקותיאל</w:t>
      </w:r>
      <w:r>
        <w:rPr>
          <w:rFonts w:hint="cs"/>
          <w:rtl/>
        </w:rPr>
        <w:t xml:space="preserve"> </w:t>
      </w:r>
      <w:r w:rsidRPr="00C07CB0">
        <w:rPr>
          <w:rStyle w:val="af7"/>
          <w:rFonts w:eastAsia="Guttman Hodes" w:hint="cs"/>
          <w:rtl/>
        </w:rPr>
        <w:t>(סי' ס"ד סק"א ד"ה ולפי"ז י"ל)</w:t>
      </w:r>
      <w:r>
        <w:rPr>
          <w:rFonts w:hint="cs"/>
          <w:rtl/>
        </w:rPr>
        <w:t xml:space="preserve"> דמדברי </w:t>
      </w:r>
      <w:r w:rsidRPr="00C07CB0">
        <w:rPr>
          <w:rStyle w:val="af9"/>
          <w:rFonts w:hint="cs"/>
          <w:rtl/>
        </w:rPr>
        <w:t>הרמב"ם בפיהמ"ש</w:t>
      </w:r>
      <w:r>
        <w:rPr>
          <w:rFonts w:hint="cs"/>
          <w:rtl/>
        </w:rPr>
        <w:t xml:space="preserve"> משמע כדביאר </w:t>
      </w:r>
      <w:r w:rsidRPr="00C07CB0">
        <w:rPr>
          <w:rStyle w:val="af9"/>
          <w:rFonts w:hint="cs"/>
          <w:rtl/>
        </w:rPr>
        <w:t>המ"מ דהרמב"ם</w:t>
      </w:r>
      <w:r>
        <w:rPr>
          <w:rFonts w:hint="cs"/>
          <w:rtl/>
        </w:rPr>
        <w:t xml:space="preserve"> פסק כסתימת המשניות בשחיטה ובחלב, ולא </w:t>
      </w:r>
      <w:r w:rsidRPr="004E4619">
        <w:rPr>
          <w:rFonts w:hint="cs"/>
          <w:rtl/>
        </w:rPr>
        <w:t xml:space="preserve">כדכדתב </w:t>
      </w:r>
      <w:r w:rsidRPr="004E4619">
        <w:rPr>
          <w:rStyle w:val="af9"/>
          <w:rFonts w:hint="cs"/>
          <w:rtl/>
        </w:rPr>
        <w:t>הרשב"א</w:t>
      </w:r>
      <w:r w:rsidRPr="004E4619">
        <w:rPr>
          <w:rStyle w:val="af7"/>
          <w:rFonts w:eastAsia="Guttman Hodes" w:hint="cs"/>
          <w:rtl/>
        </w:rPr>
        <w:t xml:space="preserve"> (עי' אות </w:t>
      </w:r>
      <w:r w:rsidRPr="004E4619">
        <w:rPr>
          <w:rStyle w:val="af7"/>
          <w:rFonts w:eastAsia="Guttman Hodes"/>
          <w:rtl/>
        </w:rPr>
        <w:fldChar w:fldCharType="begin"/>
      </w:r>
      <w:r w:rsidRPr="004E4619">
        <w:rPr>
          <w:rStyle w:val="af7"/>
          <w:rFonts w:eastAsia="Guttman Hodes"/>
          <w:rtl/>
        </w:rPr>
        <w:instrText xml:space="preserve"> </w:instrText>
      </w:r>
      <w:r w:rsidRPr="004E4619">
        <w:rPr>
          <w:rStyle w:val="af7"/>
          <w:rFonts w:eastAsia="Guttman Hodes" w:hint="cs"/>
        </w:rPr>
        <w:instrText>REF</w:instrText>
      </w:r>
      <w:r w:rsidRPr="004E4619">
        <w:rPr>
          <w:rStyle w:val="af7"/>
          <w:rFonts w:eastAsia="Guttman Hodes" w:hint="cs"/>
          <w:rtl/>
        </w:rPr>
        <w:instrText xml:space="preserve"> _</w:instrText>
      </w:r>
      <w:r w:rsidRPr="004E4619">
        <w:rPr>
          <w:rStyle w:val="af7"/>
          <w:rFonts w:eastAsia="Guttman Hodes" w:hint="cs"/>
        </w:rPr>
        <w:instrText>Ref3921945 \r \h</w:instrText>
      </w:r>
      <w:r w:rsidRPr="004E4619">
        <w:rPr>
          <w:rStyle w:val="af7"/>
          <w:rFonts w:eastAsia="Guttman Hodes"/>
          <w:rtl/>
        </w:rPr>
        <w:instrText xml:space="preserve"> </w:instrText>
      </w:r>
      <w:r w:rsidRPr="004E4619">
        <w:rPr>
          <w:rStyle w:val="af7"/>
          <w:rFonts w:eastAsia="Guttman Hodes"/>
          <w:rtl/>
        </w:rPr>
      </w:r>
      <w:r w:rsidRPr="004E4619">
        <w:rPr>
          <w:rStyle w:val="af7"/>
          <w:rFonts w:eastAsia="Guttman Hodes"/>
          <w:rtl/>
        </w:rPr>
        <w:fldChar w:fldCharType="separate"/>
      </w:r>
      <w:r w:rsidR="00345400">
        <w:rPr>
          <w:rStyle w:val="af7"/>
          <w:rFonts w:eastAsia="Guttman Hodes"/>
          <w:cs/>
        </w:rPr>
        <w:t>‎</w:t>
      </w:r>
      <w:r w:rsidR="00345400">
        <w:rPr>
          <w:rStyle w:val="af7"/>
          <w:rFonts w:eastAsia="Guttman Hodes"/>
          <w:rtl/>
        </w:rPr>
        <w:t>ה)</w:t>
      </w:r>
      <w:r w:rsidRPr="004E4619">
        <w:rPr>
          <w:rStyle w:val="af7"/>
          <w:rFonts w:eastAsia="Guttman Hodes"/>
          <w:rtl/>
        </w:rPr>
        <w:fldChar w:fldCharType="end"/>
      </w:r>
      <w:r w:rsidRPr="004E4619">
        <w:rPr>
          <w:rStyle w:val="af7"/>
          <w:rFonts w:eastAsia="Guttman Hodes" w:hint="cs"/>
          <w:rtl/>
        </w:rPr>
        <w:t xml:space="preserve"> </w:t>
      </w:r>
      <w:r w:rsidRPr="004E4619">
        <w:rPr>
          <w:rFonts w:hint="cs"/>
          <w:rtl/>
        </w:rPr>
        <w:t xml:space="preserve">דס"ל </w:t>
      </w:r>
      <w:r w:rsidRPr="004E4619">
        <w:rPr>
          <w:rStyle w:val="af9"/>
          <w:rFonts w:hint="cs"/>
          <w:rtl/>
        </w:rPr>
        <w:t>להרמב"ם</w:t>
      </w:r>
      <w:r w:rsidRPr="004E4619">
        <w:rPr>
          <w:rFonts w:hint="cs"/>
          <w:rtl/>
        </w:rPr>
        <w:t xml:space="preserve"> דנחלקו ריו"ח ור"ל</w:t>
      </w:r>
      <w:r>
        <w:rPr>
          <w:rFonts w:hint="cs"/>
          <w:rtl/>
        </w:rPr>
        <w:t xml:space="preserve"> בפלוגתת ר"מ ורבנן.</w:t>
      </w:r>
    </w:p>
    <w:p w14:paraId="73279D4F" w14:textId="77777777" w:rsidR="003D504D" w:rsidRDefault="003D504D" w:rsidP="003D504D">
      <w:pPr>
        <w:pStyle w:val="a3"/>
      </w:pPr>
      <w:bookmarkStart w:id="23912" w:name="_Toc3929015"/>
      <w:bookmarkStart w:id="23913" w:name="_Toc3978402"/>
      <w:bookmarkStart w:id="23914" w:name="_Toc4012249"/>
      <w:bookmarkStart w:id="23915" w:name="_Toc4013275"/>
      <w:bookmarkStart w:id="23916" w:name="_Toc4022783"/>
      <w:bookmarkStart w:id="23917" w:name="_Toc4026608"/>
      <w:bookmarkStart w:id="23918" w:name="_Toc4139406"/>
      <w:bookmarkStart w:id="23919" w:name="_Toc4151500"/>
      <w:bookmarkStart w:id="23920" w:name="_Toc19391956"/>
      <w:bookmarkStart w:id="23921" w:name="_Toc19395453"/>
      <w:r>
        <w:rPr>
          <w:rFonts w:hint="cs"/>
          <w:rtl/>
        </w:rPr>
        <w:t>דברי התורת יקותיאל דמדכתב הרמב"ם דין בפנ"ע בתלש חלב מבואר כהמ"מ ודלא כרשב"א</w:t>
      </w:r>
      <w:bookmarkEnd w:id="23912"/>
      <w:bookmarkEnd w:id="23913"/>
      <w:bookmarkEnd w:id="23914"/>
      <w:bookmarkEnd w:id="23915"/>
      <w:bookmarkEnd w:id="23916"/>
      <w:bookmarkEnd w:id="23917"/>
      <w:bookmarkEnd w:id="23918"/>
      <w:bookmarkEnd w:id="23919"/>
      <w:bookmarkEnd w:id="23920"/>
      <w:bookmarkEnd w:id="23921"/>
    </w:p>
    <w:p w14:paraId="51CAD9E8" w14:textId="77777777" w:rsidR="003D504D" w:rsidRDefault="003D504D" w:rsidP="00223668">
      <w:pPr>
        <w:pStyle w:val="a0"/>
        <w:rPr>
          <w:rtl/>
        </w:rPr>
      </w:pPr>
      <w:r>
        <w:rPr>
          <w:rFonts w:hint="cs"/>
          <w:rtl/>
        </w:rPr>
        <w:t xml:space="preserve">ועוד הביא </w:t>
      </w:r>
      <w:r w:rsidRPr="00C07CB0">
        <w:rPr>
          <w:rStyle w:val="af9"/>
          <w:rFonts w:hint="cs"/>
          <w:rtl/>
        </w:rPr>
        <w:t>התורת יקותיאל</w:t>
      </w:r>
      <w:r>
        <w:rPr>
          <w:rFonts w:hint="cs"/>
          <w:rtl/>
        </w:rPr>
        <w:t xml:space="preserve"> ראיה מהא דכתב </w:t>
      </w:r>
      <w:r w:rsidRPr="00C07CB0">
        <w:rPr>
          <w:rStyle w:val="af9"/>
          <w:rFonts w:hint="cs"/>
          <w:rtl/>
        </w:rPr>
        <w:t>הרמב"ם</w:t>
      </w:r>
      <w:r>
        <w:rPr>
          <w:rFonts w:hint="cs"/>
          <w:rtl/>
        </w:rPr>
        <w:t xml:space="preserve"> את איסור חלב בבן ט' חי, ואת איסור חלב בתלש מבן ט' בב' הלכות שונות, ומבואר דכ"א הוא דין בפנ"ע, דקיי"ל כר"מ בחלב בן ט' חי, וקיי"ל כריו"ח בתלש חלב, אך אי ס"ל </w:t>
      </w:r>
      <w:r w:rsidRPr="00714F9F">
        <w:rPr>
          <w:rStyle w:val="af9"/>
          <w:rFonts w:hint="cs"/>
          <w:rtl/>
        </w:rPr>
        <w:t>להרמב"ם</w:t>
      </w:r>
      <w:r>
        <w:rPr>
          <w:rFonts w:hint="cs"/>
          <w:rtl/>
        </w:rPr>
        <w:t xml:space="preserve"> דהוא מחלוקת אחת</w:t>
      </w:r>
      <w:r w:rsidRPr="00DD349B">
        <w:rPr>
          <w:rFonts w:hint="cs"/>
          <w:rtl/>
        </w:rPr>
        <w:t xml:space="preserve"> </w:t>
      </w:r>
      <w:r w:rsidRPr="004E4619">
        <w:rPr>
          <w:rFonts w:hint="cs"/>
          <w:rtl/>
        </w:rPr>
        <w:t xml:space="preserve">כדכדתב </w:t>
      </w:r>
      <w:r w:rsidRPr="004E4619">
        <w:rPr>
          <w:rStyle w:val="af9"/>
          <w:rFonts w:hint="cs"/>
          <w:rtl/>
        </w:rPr>
        <w:t>הרשב"א</w:t>
      </w:r>
      <w:r w:rsidRPr="004E4619">
        <w:rPr>
          <w:rStyle w:val="af7"/>
          <w:rFonts w:eastAsia="Guttman Hodes" w:hint="cs"/>
          <w:rtl/>
        </w:rPr>
        <w:t xml:space="preserve"> (עי' אות </w:t>
      </w:r>
      <w:r w:rsidRPr="004E4619">
        <w:rPr>
          <w:rStyle w:val="af7"/>
          <w:rFonts w:eastAsia="Guttman Hodes"/>
          <w:rtl/>
        </w:rPr>
        <w:fldChar w:fldCharType="begin"/>
      </w:r>
      <w:r w:rsidRPr="004E4619">
        <w:rPr>
          <w:rStyle w:val="af7"/>
          <w:rFonts w:eastAsia="Guttman Hodes"/>
          <w:rtl/>
        </w:rPr>
        <w:instrText xml:space="preserve"> </w:instrText>
      </w:r>
      <w:r w:rsidRPr="004E4619">
        <w:rPr>
          <w:rStyle w:val="af7"/>
          <w:rFonts w:eastAsia="Guttman Hodes" w:hint="cs"/>
        </w:rPr>
        <w:instrText>REF</w:instrText>
      </w:r>
      <w:r w:rsidRPr="004E4619">
        <w:rPr>
          <w:rStyle w:val="af7"/>
          <w:rFonts w:eastAsia="Guttman Hodes" w:hint="cs"/>
          <w:rtl/>
        </w:rPr>
        <w:instrText xml:space="preserve"> _</w:instrText>
      </w:r>
      <w:r w:rsidRPr="004E4619">
        <w:rPr>
          <w:rStyle w:val="af7"/>
          <w:rFonts w:eastAsia="Guttman Hodes" w:hint="cs"/>
        </w:rPr>
        <w:instrText>Ref3921945 \r \h</w:instrText>
      </w:r>
      <w:r w:rsidRPr="004E4619">
        <w:rPr>
          <w:rStyle w:val="af7"/>
          <w:rFonts w:eastAsia="Guttman Hodes"/>
          <w:rtl/>
        </w:rPr>
        <w:instrText xml:space="preserve"> </w:instrText>
      </w:r>
      <w:r w:rsidRPr="004E4619">
        <w:rPr>
          <w:rStyle w:val="af7"/>
          <w:rFonts w:eastAsia="Guttman Hodes"/>
          <w:rtl/>
        </w:rPr>
      </w:r>
      <w:r w:rsidRPr="004E4619">
        <w:rPr>
          <w:rStyle w:val="af7"/>
          <w:rFonts w:eastAsia="Guttman Hodes"/>
          <w:rtl/>
        </w:rPr>
        <w:fldChar w:fldCharType="separate"/>
      </w:r>
      <w:r w:rsidR="00345400">
        <w:rPr>
          <w:rStyle w:val="af7"/>
          <w:rFonts w:eastAsia="Guttman Hodes"/>
          <w:cs/>
        </w:rPr>
        <w:t>‎</w:t>
      </w:r>
      <w:r w:rsidR="00345400">
        <w:rPr>
          <w:rStyle w:val="af7"/>
          <w:rFonts w:eastAsia="Guttman Hodes"/>
          <w:rtl/>
        </w:rPr>
        <w:t>ה)</w:t>
      </w:r>
      <w:r w:rsidRPr="004E4619">
        <w:rPr>
          <w:rStyle w:val="af7"/>
          <w:rFonts w:eastAsia="Guttman Hodes"/>
          <w:rtl/>
        </w:rPr>
        <w:fldChar w:fldCharType="end"/>
      </w:r>
      <w:r>
        <w:rPr>
          <w:rFonts w:hint="cs"/>
          <w:rtl/>
        </w:rPr>
        <w:t>, היה לו להביאם בדין אחד.</w:t>
      </w:r>
    </w:p>
    <w:p w14:paraId="6E167D02" w14:textId="77777777" w:rsidR="003D504D" w:rsidRDefault="003D504D" w:rsidP="003D504D">
      <w:pPr>
        <w:pStyle w:val="a3"/>
        <w:rPr>
          <w:rtl/>
        </w:rPr>
      </w:pPr>
      <w:bookmarkStart w:id="23922" w:name="_Toc3929016"/>
      <w:bookmarkStart w:id="23923" w:name="_Toc3978403"/>
      <w:bookmarkStart w:id="23924" w:name="_Toc4012250"/>
      <w:bookmarkStart w:id="23925" w:name="_Toc4013276"/>
      <w:bookmarkStart w:id="23926" w:name="_Toc4022784"/>
      <w:bookmarkStart w:id="23927" w:name="_Toc4026609"/>
      <w:bookmarkStart w:id="23928" w:name="_Toc4139407"/>
      <w:bookmarkStart w:id="23929" w:name="_Toc4151501"/>
      <w:bookmarkStart w:id="23930" w:name="_Toc19391957"/>
      <w:bookmarkStart w:id="23931" w:name="_Toc19395454"/>
      <w:r>
        <w:rPr>
          <w:rFonts w:hint="cs"/>
          <w:rtl/>
        </w:rPr>
        <w:t>הביאור הב' במ"מ דלרב הושעיא אף ר"מ הלך לשיטתו אך הרמב"ם פסק כסתמא דמתני'</w:t>
      </w:r>
      <w:bookmarkEnd w:id="23922"/>
      <w:bookmarkEnd w:id="23923"/>
      <w:bookmarkEnd w:id="23924"/>
      <w:bookmarkEnd w:id="23925"/>
      <w:bookmarkEnd w:id="23926"/>
      <w:bookmarkEnd w:id="23927"/>
      <w:bookmarkEnd w:id="23928"/>
      <w:bookmarkEnd w:id="23929"/>
      <w:bookmarkEnd w:id="23930"/>
      <w:bookmarkEnd w:id="23931"/>
    </w:p>
    <w:p w14:paraId="6FC6ACDC" w14:textId="77777777" w:rsidR="003D504D" w:rsidRDefault="003D504D" w:rsidP="00223668">
      <w:pPr>
        <w:pStyle w:val="a0"/>
      </w:pPr>
      <w:bookmarkStart w:id="23932" w:name="_Toc3661962"/>
      <w:r>
        <w:rPr>
          <w:rFonts w:hint="cs"/>
          <w:rtl/>
        </w:rPr>
        <w:t xml:space="preserve">ועוד ביאר </w:t>
      </w:r>
      <w:r w:rsidRPr="00744227">
        <w:rPr>
          <w:rStyle w:val="af9"/>
          <w:rFonts w:hint="cs"/>
          <w:rtl/>
        </w:rPr>
        <w:t>המ"מ</w:t>
      </w:r>
      <w:r>
        <w:rPr>
          <w:rFonts w:hint="cs"/>
          <w:rtl/>
        </w:rPr>
        <w:t xml:space="preserve"> דבאמת כוונת רב הושעיא לומר דהלכו לשיטתם בשחיטה ובחלב, כיון דלדעת ר"י ודאי דהתיר בחלב כיון שהתיר בשחיטה, ולכן אמר רב הושעיא דאף ר"מ הלך לשיטתו בשחיטה ובחלב, אבל להלכה כתב </w:t>
      </w:r>
      <w:r w:rsidRPr="002B4A7F">
        <w:rPr>
          <w:rStyle w:val="af9"/>
          <w:rFonts w:hint="cs"/>
          <w:rtl/>
        </w:rPr>
        <w:t>המ"מ</w:t>
      </w:r>
      <w:r>
        <w:rPr>
          <w:rFonts w:hint="cs"/>
          <w:rtl/>
        </w:rPr>
        <w:t xml:space="preserve"> דאין הכרח לפסוק כר"מ בין בשחיטה ובין בחלב, דאינם תלויים זה בזה, ולכן פסק </w:t>
      </w:r>
      <w:r w:rsidRPr="00744227">
        <w:rPr>
          <w:rStyle w:val="af9"/>
          <w:rFonts w:hint="cs"/>
          <w:rtl/>
        </w:rPr>
        <w:t>הרמב"ם</w:t>
      </w:r>
      <w:r>
        <w:rPr>
          <w:rFonts w:hint="cs"/>
          <w:rtl/>
        </w:rPr>
        <w:t xml:space="preserve"> כפי סתמא דמתני' בסוגיין </w:t>
      </w:r>
      <w:r w:rsidRPr="002B4A7F">
        <w:rPr>
          <w:rStyle w:val="af7"/>
          <w:rFonts w:eastAsia="Guttman Hodes" w:hint="cs"/>
          <w:rtl/>
        </w:rPr>
        <w:t>(עד.)</w:t>
      </w:r>
      <w:r>
        <w:rPr>
          <w:rFonts w:hint="cs"/>
          <w:rtl/>
        </w:rPr>
        <w:t xml:space="preserve"> בשחיטה כר"י, וכסתמא דמתני' </w:t>
      </w:r>
      <w:r w:rsidRPr="002B4A7F">
        <w:rPr>
          <w:rStyle w:val="af7"/>
          <w:rFonts w:eastAsia="Guttman Hodes" w:hint="cs"/>
          <w:rtl/>
        </w:rPr>
        <w:t xml:space="preserve">(פט:) </w:t>
      </w:r>
      <w:r>
        <w:rPr>
          <w:rFonts w:hint="cs"/>
          <w:rtl/>
        </w:rPr>
        <w:t xml:space="preserve">בגיד </w:t>
      </w:r>
      <w:r w:rsidRPr="002B4A7F">
        <w:rPr>
          <w:rStyle w:val="afb"/>
          <w:rFonts w:hint="cs"/>
          <w:rtl/>
        </w:rPr>
        <w:t>[וחלב]</w:t>
      </w:r>
      <w:r>
        <w:rPr>
          <w:rFonts w:hint="cs"/>
          <w:rtl/>
        </w:rPr>
        <w:t xml:space="preserve"> כר"מ, וביאר </w:t>
      </w:r>
      <w:r w:rsidRPr="00F31803">
        <w:rPr>
          <w:rStyle w:val="af9"/>
          <w:rFonts w:hint="cs"/>
          <w:rtl/>
        </w:rPr>
        <w:t>הלח"מ</w:t>
      </w:r>
      <w:r>
        <w:rPr>
          <w:rFonts w:hint="cs"/>
          <w:rtl/>
        </w:rPr>
        <w:t xml:space="preserve"> את דברי </w:t>
      </w:r>
      <w:r w:rsidRPr="00F31803">
        <w:rPr>
          <w:rStyle w:val="af9"/>
          <w:rFonts w:hint="cs"/>
          <w:rtl/>
        </w:rPr>
        <w:t>המ"מ</w:t>
      </w:r>
      <w:r>
        <w:rPr>
          <w:rFonts w:hint="cs"/>
          <w:rtl/>
        </w:rPr>
        <w:t xml:space="preserve"> דכיון דאמר רב הושעיא דלא הלכו בו אלא על עסקי שחיטה, א"כ מבואר דס"ל לרב הושעיא כר"י, ולכן נקט דהא בהא תליא, אבל לר"מ אין כל הכרח דהא בהא תליא, ועיי"ש בדברי </w:t>
      </w:r>
      <w:r w:rsidRPr="00B42434">
        <w:rPr>
          <w:rStyle w:val="af9"/>
          <w:rFonts w:hint="cs"/>
          <w:rtl/>
        </w:rPr>
        <w:t>הלח"מ</w:t>
      </w:r>
      <w:r>
        <w:rPr>
          <w:rFonts w:hint="cs"/>
          <w:rtl/>
        </w:rPr>
        <w:t xml:space="preserve"> במה שביאר לפי"ז מה החידוש בדברי רב הושעיא.</w:t>
      </w:r>
    </w:p>
    <w:p w14:paraId="33E26CEF" w14:textId="77777777" w:rsidR="003D504D" w:rsidRDefault="003D504D" w:rsidP="003D504D">
      <w:pPr>
        <w:pStyle w:val="a3"/>
      </w:pPr>
      <w:bookmarkStart w:id="23933" w:name="_Toc3929017"/>
      <w:bookmarkStart w:id="23934" w:name="_Toc3978404"/>
      <w:bookmarkStart w:id="23935" w:name="_Toc4012251"/>
      <w:bookmarkStart w:id="23936" w:name="_Toc4013277"/>
      <w:bookmarkStart w:id="23937" w:name="_Toc4022785"/>
      <w:bookmarkStart w:id="23938" w:name="_Toc4026610"/>
      <w:bookmarkStart w:id="23939" w:name="_Toc4139408"/>
      <w:bookmarkStart w:id="23940" w:name="_Toc4151502"/>
      <w:bookmarkStart w:id="23941" w:name="_Toc19391958"/>
      <w:bookmarkStart w:id="23942" w:name="_Toc19395455"/>
      <w:r>
        <w:rPr>
          <w:rFonts w:hint="cs"/>
          <w:rtl/>
        </w:rPr>
        <w:t>דברי המ"מ דמדברי ריו"ח דחדשים גרמי מבואר דס"ל כר"מ בחלב וכדפסק הרמב"ם</w:t>
      </w:r>
      <w:bookmarkEnd w:id="23933"/>
      <w:bookmarkEnd w:id="23934"/>
      <w:bookmarkEnd w:id="23935"/>
      <w:bookmarkEnd w:id="23936"/>
      <w:bookmarkEnd w:id="23937"/>
      <w:bookmarkEnd w:id="23938"/>
      <w:bookmarkEnd w:id="23939"/>
      <w:bookmarkEnd w:id="23940"/>
      <w:bookmarkEnd w:id="23941"/>
      <w:bookmarkEnd w:id="23942"/>
    </w:p>
    <w:p w14:paraId="1079CDCA" w14:textId="77777777" w:rsidR="003D504D" w:rsidRPr="00CF761C" w:rsidRDefault="003D504D" w:rsidP="00223668">
      <w:pPr>
        <w:pStyle w:val="a0"/>
        <w:rPr>
          <w:rtl/>
        </w:rPr>
      </w:pPr>
      <w:r>
        <w:rPr>
          <w:rFonts w:hint="cs"/>
          <w:rtl/>
        </w:rPr>
        <w:t xml:space="preserve"> </w:t>
      </w:r>
      <w:bookmarkStart w:id="23943" w:name="_Ref3970713"/>
      <w:r>
        <w:rPr>
          <w:rFonts w:hint="cs"/>
          <w:rtl/>
        </w:rPr>
        <w:t xml:space="preserve">והוסיף </w:t>
      </w:r>
      <w:r w:rsidRPr="00744227">
        <w:rPr>
          <w:rStyle w:val="af9"/>
          <w:rFonts w:hint="cs"/>
          <w:rtl/>
        </w:rPr>
        <w:t>המ"מ</w:t>
      </w:r>
      <w:r>
        <w:rPr>
          <w:rFonts w:hint="cs"/>
          <w:rtl/>
        </w:rPr>
        <w:t xml:space="preserve"> דעוד מוכח כדברי </w:t>
      </w:r>
      <w:r w:rsidRPr="00744227">
        <w:rPr>
          <w:rStyle w:val="af9"/>
          <w:rFonts w:hint="cs"/>
          <w:rtl/>
        </w:rPr>
        <w:t xml:space="preserve">הרמב"ם </w:t>
      </w:r>
      <w:r>
        <w:rPr>
          <w:rFonts w:hint="cs"/>
          <w:rtl/>
        </w:rPr>
        <w:t>מדברי ריו"ח דס"ל דבתלש חלב חייב דחדשים גרמי, ואי שחיטת האם מתירה את החלב כר"י, לא משמע דחדשים גרמי, אלא מוכח דריו"ח ס"ל כר"מ,</w:t>
      </w:r>
      <w:r w:rsidRPr="008B1B8F">
        <w:rPr>
          <w:rFonts w:hint="cs"/>
          <w:rtl/>
        </w:rPr>
        <w:t xml:space="preserve"> </w:t>
      </w:r>
      <w:r>
        <w:rPr>
          <w:rFonts w:hint="cs"/>
          <w:rtl/>
        </w:rPr>
        <w:t xml:space="preserve">וכ"כ </w:t>
      </w:r>
      <w:r w:rsidRPr="00AE609F">
        <w:rPr>
          <w:rStyle w:val="af9"/>
          <w:rFonts w:hint="cs"/>
          <w:rtl/>
        </w:rPr>
        <w:t>הגר"א</w:t>
      </w:r>
      <w:r>
        <w:rPr>
          <w:rFonts w:hint="cs"/>
          <w:rtl/>
        </w:rPr>
        <w:t xml:space="preserve"> </w:t>
      </w:r>
      <w:r w:rsidRPr="00AE609F">
        <w:rPr>
          <w:rStyle w:val="af7"/>
          <w:rFonts w:eastAsia="Guttman Hodes" w:hint="cs"/>
          <w:rtl/>
        </w:rPr>
        <w:t>(סי' ס"ד סק"ו)</w:t>
      </w:r>
      <w:r>
        <w:rPr>
          <w:rFonts w:hint="cs"/>
          <w:rtl/>
        </w:rPr>
        <w:t xml:space="preserve">, וכתב </w:t>
      </w:r>
      <w:r w:rsidRPr="002B4A7F">
        <w:rPr>
          <w:rStyle w:val="af9"/>
          <w:rFonts w:hint="cs"/>
          <w:rtl/>
        </w:rPr>
        <w:t>המ"מ</w:t>
      </w:r>
      <w:r>
        <w:rPr>
          <w:rFonts w:hint="cs"/>
          <w:rtl/>
        </w:rPr>
        <w:t xml:space="preserve"> דכדעת </w:t>
      </w:r>
      <w:r w:rsidRPr="00CF761C">
        <w:rPr>
          <w:rStyle w:val="af9"/>
          <w:rFonts w:hint="cs"/>
          <w:rtl/>
        </w:rPr>
        <w:t>הרמב"ם</w:t>
      </w:r>
      <w:r>
        <w:rPr>
          <w:rFonts w:hint="cs"/>
          <w:rtl/>
        </w:rPr>
        <w:t xml:space="preserve"> </w:t>
      </w:r>
      <w:r w:rsidRPr="00CF761C">
        <w:rPr>
          <w:rFonts w:hint="cs"/>
          <w:rtl/>
        </w:rPr>
        <w:t xml:space="preserve">כן דעת </w:t>
      </w:r>
      <w:r w:rsidRPr="00CF761C">
        <w:rPr>
          <w:rStyle w:val="af9"/>
          <w:rFonts w:hint="cs"/>
          <w:rtl/>
        </w:rPr>
        <w:t>העיטור</w:t>
      </w:r>
      <w:r w:rsidRPr="00CF761C">
        <w:rPr>
          <w:rFonts w:hint="cs"/>
          <w:rtl/>
        </w:rPr>
        <w:t xml:space="preserve"> </w:t>
      </w:r>
      <w:r w:rsidRPr="00CF761C">
        <w:rPr>
          <w:rStyle w:val="af7"/>
          <w:rFonts w:eastAsia="Guttman Hodes" w:hint="cs"/>
          <w:rtl/>
        </w:rPr>
        <w:t xml:space="preserve">(עי' אות </w:t>
      </w:r>
      <w:r w:rsidRPr="00CF761C">
        <w:rPr>
          <w:rStyle w:val="af7"/>
          <w:rFonts w:eastAsia="Guttman Hodes"/>
          <w:rtl/>
        </w:rPr>
        <w:fldChar w:fldCharType="begin"/>
      </w:r>
      <w:r w:rsidRPr="00CF761C">
        <w:rPr>
          <w:rStyle w:val="af7"/>
          <w:rFonts w:eastAsia="Guttman Hodes"/>
          <w:rtl/>
        </w:rPr>
        <w:instrText xml:space="preserve"> </w:instrText>
      </w:r>
      <w:r w:rsidRPr="00CF761C">
        <w:rPr>
          <w:rStyle w:val="af7"/>
          <w:rFonts w:eastAsia="Guttman Hodes" w:hint="cs"/>
        </w:rPr>
        <w:instrText>REF</w:instrText>
      </w:r>
      <w:r w:rsidRPr="00CF761C">
        <w:rPr>
          <w:rStyle w:val="af7"/>
          <w:rFonts w:eastAsia="Guttman Hodes" w:hint="cs"/>
          <w:rtl/>
        </w:rPr>
        <w:instrText xml:space="preserve"> _</w:instrText>
      </w:r>
      <w:r w:rsidRPr="00CF761C">
        <w:rPr>
          <w:rStyle w:val="af7"/>
          <w:rFonts w:eastAsia="Guttman Hodes" w:hint="cs"/>
        </w:rPr>
        <w:instrText>Ref3970768 \r \h</w:instrText>
      </w:r>
      <w:r w:rsidRPr="00CF761C">
        <w:rPr>
          <w:rStyle w:val="af7"/>
          <w:rFonts w:eastAsia="Guttman Hodes"/>
          <w:rtl/>
        </w:rPr>
        <w:instrText xml:space="preserve">  \* </w:instrText>
      </w:r>
      <w:r w:rsidRPr="00CF761C">
        <w:rPr>
          <w:rStyle w:val="af7"/>
          <w:rFonts w:eastAsia="Guttman Hodes"/>
        </w:rPr>
        <w:instrText>MERGEFORMAT</w:instrText>
      </w:r>
      <w:r w:rsidRPr="00CF761C">
        <w:rPr>
          <w:rStyle w:val="af7"/>
          <w:rFonts w:eastAsia="Guttman Hodes"/>
          <w:rtl/>
        </w:rPr>
        <w:instrText xml:space="preserve"> </w:instrText>
      </w:r>
      <w:r w:rsidRPr="00CF761C">
        <w:rPr>
          <w:rStyle w:val="af7"/>
          <w:rFonts w:eastAsia="Guttman Hodes"/>
          <w:rtl/>
        </w:rPr>
      </w:r>
      <w:r w:rsidRPr="00CF761C">
        <w:rPr>
          <w:rStyle w:val="af7"/>
          <w:rFonts w:eastAsia="Guttman Hodes"/>
          <w:rtl/>
        </w:rPr>
        <w:fldChar w:fldCharType="separate"/>
      </w:r>
      <w:r w:rsidR="00345400">
        <w:rPr>
          <w:rStyle w:val="af7"/>
          <w:rFonts w:eastAsia="Guttman Hodes"/>
          <w:cs/>
        </w:rPr>
        <w:t>‎</w:t>
      </w:r>
      <w:r w:rsidR="00345400">
        <w:rPr>
          <w:rStyle w:val="af7"/>
          <w:rFonts w:eastAsia="Guttman Hodes"/>
          <w:rtl/>
        </w:rPr>
        <w:t>ס)</w:t>
      </w:r>
      <w:r w:rsidRPr="00CF761C">
        <w:rPr>
          <w:rStyle w:val="af7"/>
          <w:rFonts w:eastAsia="Guttman Hodes"/>
          <w:rtl/>
        </w:rPr>
        <w:fldChar w:fldCharType="end"/>
      </w:r>
      <w:r w:rsidRPr="00CF761C">
        <w:rPr>
          <w:rFonts w:hint="cs"/>
          <w:rtl/>
        </w:rPr>
        <w:t>.</w:t>
      </w:r>
      <w:bookmarkEnd w:id="23943"/>
    </w:p>
    <w:p w14:paraId="2BD8845E" w14:textId="77777777" w:rsidR="003D504D" w:rsidRPr="00744227" w:rsidRDefault="003D504D" w:rsidP="003D504D">
      <w:pPr>
        <w:pStyle w:val="a3"/>
      </w:pPr>
      <w:bookmarkStart w:id="23944" w:name="_Toc4012252"/>
      <w:bookmarkStart w:id="23945" w:name="_Toc4013278"/>
      <w:bookmarkStart w:id="23946" w:name="_Toc4022786"/>
      <w:bookmarkStart w:id="23947" w:name="_Toc4026611"/>
      <w:bookmarkStart w:id="23948" w:name="_Toc4139409"/>
      <w:bookmarkStart w:id="23949" w:name="_Toc4151503"/>
      <w:bookmarkStart w:id="23950" w:name="_Toc19391959"/>
      <w:bookmarkStart w:id="23951" w:name="_Toc19395456"/>
      <w:bookmarkStart w:id="23952" w:name="_Toc3929018"/>
      <w:bookmarkStart w:id="23953" w:name="_Toc3978405"/>
      <w:bookmarkStart w:id="23954" w:name="_Toc3661963"/>
      <w:bookmarkEnd w:id="23932"/>
      <w:r>
        <w:rPr>
          <w:rFonts w:hint="cs"/>
          <w:rtl/>
        </w:rPr>
        <w:t>דברי המ"מ דלדעת כל הראשונים החלב של בן ט' מת מותר דאין חדשים גורמים בלא חיות</w:t>
      </w:r>
      <w:bookmarkEnd w:id="23944"/>
      <w:bookmarkEnd w:id="23945"/>
      <w:bookmarkEnd w:id="23946"/>
      <w:bookmarkEnd w:id="23947"/>
      <w:bookmarkEnd w:id="23948"/>
      <w:bookmarkEnd w:id="23949"/>
      <w:bookmarkEnd w:id="23950"/>
      <w:bookmarkEnd w:id="23951"/>
    </w:p>
    <w:p w14:paraId="2C5AD6A7" w14:textId="77777777" w:rsidR="003D504D" w:rsidRDefault="003D504D" w:rsidP="00223668">
      <w:pPr>
        <w:pStyle w:val="a0"/>
        <w:rPr>
          <w:rtl/>
        </w:rPr>
      </w:pPr>
      <w:bookmarkStart w:id="23955" w:name="_Ref4010599"/>
      <w:r>
        <w:rPr>
          <w:rFonts w:hint="cs"/>
          <w:rtl/>
        </w:rPr>
        <w:t xml:space="preserve">והביא </w:t>
      </w:r>
      <w:r w:rsidRPr="00744227">
        <w:rPr>
          <w:rStyle w:val="af9"/>
          <w:rFonts w:hint="cs"/>
          <w:rtl/>
        </w:rPr>
        <w:t>המ"מ</w:t>
      </w:r>
      <w:r>
        <w:rPr>
          <w:rFonts w:hint="cs"/>
          <w:rtl/>
        </w:rPr>
        <w:t xml:space="preserve"> את דעת </w:t>
      </w:r>
      <w:r w:rsidRPr="00744227">
        <w:rPr>
          <w:rStyle w:val="af9"/>
          <w:rFonts w:hint="cs"/>
          <w:rtl/>
        </w:rPr>
        <w:t>הרמב"ן</w:t>
      </w:r>
      <w:r>
        <w:rPr>
          <w:rFonts w:hint="cs"/>
          <w:rtl/>
        </w:rPr>
        <w:t xml:space="preserve"> </w:t>
      </w:r>
      <w:r w:rsidRPr="009918BA">
        <w:rPr>
          <w:rStyle w:val="af7"/>
          <w:rFonts w:eastAsia="Guttman Hodes" w:hint="cs"/>
          <w:rtl/>
        </w:rPr>
        <w:t>(</w:t>
      </w:r>
      <w:r>
        <w:rPr>
          <w:rStyle w:val="af7"/>
          <w:rFonts w:eastAsia="Guttman Hodes" w:hint="cs"/>
          <w:rtl/>
        </w:rPr>
        <w:t>(</w:t>
      </w:r>
      <w:r w:rsidR="00AC7E32">
        <w:rPr>
          <w:rStyle w:val="af7"/>
          <w:rFonts w:eastAsia="Guttman Hodes" w:hint="cs"/>
          <w:rtl/>
        </w:rPr>
        <w:t>הובא בסימן</w:t>
      </w:r>
      <w:r>
        <w:rPr>
          <w:rStyle w:val="af7"/>
          <w:rFonts w:eastAsia="Guttman Hodes" w:hint="cs"/>
          <w:rtl/>
        </w:rPr>
        <w:t xml:space="preserve"> ז</w:t>
      </w:r>
      <w:r>
        <w:rPr>
          <w:rStyle w:val="af7"/>
          <w:rFonts w:eastAsia="Guttman Hodes"/>
          <w:rtl/>
        </w:rPr>
        <w:t>'</w:t>
      </w:r>
      <w:r>
        <w:rPr>
          <w:rStyle w:val="af7"/>
          <w:rFonts w:eastAsia="Guttman Hodes" w:hint="cs"/>
          <w:rtl/>
        </w:rPr>
        <w:t xml:space="preserve"> אות סו) </w:t>
      </w:r>
      <w:r>
        <w:rPr>
          <w:rFonts w:hint="cs"/>
          <w:rtl/>
        </w:rPr>
        <w:t xml:space="preserve">דס"ל דהשחיטה מתירה את הכל, וריו"ח אסר רק בלא נשחטה, ואת דעת </w:t>
      </w:r>
      <w:r w:rsidRPr="00744227">
        <w:rPr>
          <w:rStyle w:val="af9"/>
          <w:rFonts w:hint="cs"/>
          <w:rtl/>
        </w:rPr>
        <w:t>הרשב"א</w:t>
      </w:r>
      <w:r>
        <w:rPr>
          <w:rFonts w:hint="cs"/>
          <w:rtl/>
        </w:rPr>
        <w:t xml:space="preserve"> [בשם </w:t>
      </w:r>
      <w:r w:rsidRPr="00030155">
        <w:rPr>
          <w:rStyle w:val="af9"/>
          <w:rFonts w:hint="cs"/>
          <w:rtl/>
        </w:rPr>
        <w:t>התוס'</w:t>
      </w:r>
      <w:r>
        <w:rPr>
          <w:rFonts w:hint="cs"/>
          <w:rtl/>
        </w:rPr>
        <w:t xml:space="preserve">] </w:t>
      </w:r>
      <w:r w:rsidRPr="00030155">
        <w:rPr>
          <w:rStyle w:val="af7"/>
          <w:rFonts w:eastAsia="Guttman Hodes" w:hint="cs"/>
          <w:rtl/>
        </w:rPr>
        <w:t>(</w:t>
      </w:r>
      <w:r w:rsidR="00AC7E32">
        <w:rPr>
          <w:rStyle w:val="af7"/>
          <w:rFonts w:eastAsia="Guttman Hodes" w:hint="cs"/>
          <w:rtl/>
        </w:rPr>
        <w:t>הובא בסימן</w:t>
      </w:r>
      <w:r w:rsidRPr="00030155">
        <w:rPr>
          <w:rStyle w:val="af7"/>
          <w:rFonts w:eastAsia="Guttman Hodes" w:hint="cs"/>
          <w:rtl/>
        </w:rPr>
        <w:t xml:space="preserve"> ז</w:t>
      </w:r>
      <w:r w:rsidRPr="00030155">
        <w:rPr>
          <w:rStyle w:val="af7"/>
          <w:rFonts w:eastAsia="Guttman Hodes"/>
          <w:rtl/>
        </w:rPr>
        <w:t>'</w:t>
      </w:r>
      <w:r w:rsidRPr="00030155">
        <w:rPr>
          <w:rStyle w:val="af7"/>
          <w:rFonts w:eastAsia="Guttman Hodes" w:hint="cs"/>
          <w:rtl/>
        </w:rPr>
        <w:t xml:space="preserve"> אות כג)  </w:t>
      </w:r>
      <w:r>
        <w:rPr>
          <w:rFonts w:hint="cs"/>
          <w:rtl/>
        </w:rPr>
        <w:t xml:space="preserve">דס"ל דחלבו מותר וגידו אסור, וכתב </w:t>
      </w:r>
      <w:r w:rsidRPr="00744227">
        <w:rPr>
          <w:rStyle w:val="af9"/>
          <w:rFonts w:hint="cs"/>
          <w:rtl/>
        </w:rPr>
        <w:t>המ"מ</w:t>
      </w:r>
      <w:r>
        <w:rPr>
          <w:rFonts w:hint="cs"/>
          <w:rtl/>
        </w:rPr>
        <w:t xml:space="preserve"> דלכו"ע בן ט' מת שנמצא במעי אמו חלבו מותר, דאין החדשים גורמים בלא החיות, וכמבואר בדברי </w:t>
      </w:r>
      <w:r w:rsidRPr="00A91A87">
        <w:rPr>
          <w:rStyle w:val="af9"/>
          <w:rFonts w:hint="cs"/>
          <w:rtl/>
        </w:rPr>
        <w:t>הרמב"ם</w:t>
      </w:r>
      <w:r>
        <w:rPr>
          <w:rFonts w:hint="cs"/>
          <w:rtl/>
        </w:rPr>
        <w:t xml:space="preserve"> </w:t>
      </w:r>
      <w:r w:rsidRPr="00A91A87">
        <w:rPr>
          <w:rStyle w:val="af7"/>
          <w:rFonts w:eastAsia="Guttman Hodes" w:hint="cs"/>
          <w:rtl/>
        </w:rPr>
        <w:t xml:space="preserve">(עי' אות </w:t>
      </w:r>
      <w:r w:rsidRPr="00A91A87">
        <w:rPr>
          <w:rStyle w:val="af7"/>
          <w:rFonts w:eastAsia="Guttman Hodes"/>
          <w:rtl/>
        </w:rPr>
        <w:fldChar w:fldCharType="begin"/>
      </w:r>
      <w:r w:rsidRPr="00A91A87">
        <w:rPr>
          <w:rStyle w:val="af7"/>
          <w:rFonts w:eastAsia="Guttman Hodes"/>
          <w:rtl/>
        </w:rPr>
        <w:instrText xml:space="preserve"> </w:instrText>
      </w:r>
      <w:r w:rsidRPr="00A91A87">
        <w:rPr>
          <w:rStyle w:val="af7"/>
          <w:rFonts w:eastAsia="Guttman Hodes" w:hint="cs"/>
        </w:rPr>
        <w:instrText>REF</w:instrText>
      </w:r>
      <w:r w:rsidRPr="00A91A87">
        <w:rPr>
          <w:rStyle w:val="af7"/>
          <w:rFonts w:eastAsia="Guttman Hodes" w:hint="cs"/>
          <w:rtl/>
        </w:rPr>
        <w:instrText xml:space="preserve"> _</w:instrText>
      </w:r>
      <w:r w:rsidRPr="00A91A87">
        <w:rPr>
          <w:rStyle w:val="af7"/>
          <w:rFonts w:eastAsia="Guttman Hodes" w:hint="cs"/>
        </w:rPr>
        <w:instrText>Ref3145560 \r \h</w:instrText>
      </w:r>
      <w:r w:rsidRPr="00A91A87">
        <w:rPr>
          <w:rStyle w:val="af7"/>
          <w:rFonts w:eastAsia="Guttman Hodes"/>
          <w:rtl/>
        </w:rPr>
        <w:instrText xml:space="preserve"> </w:instrText>
      </w:r>
      <w:r w:rsidRPr="00A91A87">
        <w:rPr>
          <w:rStyle w:val="af7"/>
          <w:rFonts w:eastAsia="Guttman Hodes"/>
          <w:rtl/>
        </w:rPr>
      </w:r>
      <w:r w:rsidRPr="00A91A87">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A91A87">
        <w:rPr>
          <w:rStyle w:val="af7"/>
          <w:rFonts w:eastAsia="Guttman Hodes"/>
          <w:rtl/>
        </w:rPr>
        <w:fldChar w:fldCharType="end"/>
      </w:r>
      <w:r>
        <w:rPr>
          <w:rFonts w:hint="cs"/>
          <w:rtl/>
        </w:rPr>
        <w:t xml:space="preserve">, ועי' במה שהקשה </w:t>
      </w:r>
      <w:r w:rsidRPr="00A91A87">
        <w:rPr>
          <w:rStyle w:val="af9"/>
          <w:rFonts w:hint="cs"/>
          <w:rtl/>
        </w:rPr>
        <w:t>האמרי משה</w:t>
      </w:r>
      <w:r>
        <w:rPr>
          <w:rFonts w:hint="cs"/>
          <w:rtl/>
        </w:rPr>
        <w:t xml:space="preserve"> </w:t>
      </w:r>
      <w:r w:rsidRPr="00A91A87">
        <w:rPr>
          <w:rStyle w:val="af7"/>
          <w:rFonts w:eastAsia="Guttman Hodes" w:hint="cs"/>
          <w:rtl/>
        </w:rPr>
        <w:t xml:space="preserve">(עי' אות </w:t>
      </w:r>
      <w:r w:rsidRPr="00A91A87">
        <w:rPr>
          <w:rStyle w:val="af7"/>
          <w:rFonts w:eastAsia="Guttman Hodes"/>
          <w:rtl/>
        </w:rPr>
        <w:fldChar w:fldCharType="begin"/>
      </w:r>
      <w:r w:rsidRPr="00A91A87">
        <w:rPr>
          <w:rStyle w:val="af7"/>
          <w:rFonts w:eastAsia="Guttman Hodes"/>
          <w:rtl/>
        </w:rPr>
        <w:instrText xml:space="preserve"> </w:instrText>
      </w:r>
      <w:r w:rsidRPr="00A91A87">
        <w:rPr>
          <w:rStyle w:val="af7"/>
          <w:rFonts w:eastAsia="Guttman Hodes" w:hint="cs"/>
        </w:rPr>
        <w:instrText>REF</w:instrText>
      </w:r>
      <w:r w:rsidRPr="00A91A87">
        <w:rPr>
          <w:rStyle w:val="af7"/>
          <w:rFonts w:eastAsia="Guttman Hodes" w:hint="cs"/>
          <w:rtl/>
        </w:rPr>
        <w:instrText xml:space="preserve"> _</w:instrText>
      </w:r>
      <w:r w:rsidRPr="00A91A87">
        <w:rPr>
          <w:rStyle w:val="af7"/>
          <w:rFonts w:eastAsia="Guttman Hodes" w:hint="cs"/>
        </w:rPr>
        <w:instrText>Ref4010466 \r \h</w:instrText>
      </w:r>
      <w:r w:rsidRPr="00A91A87">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A91A87">
        <w:rPr>
          <w:rStyle w:val="af7"/>
          <w:rFonts w:eastAsia="Guttman Hodes"/>
          <w:rtl/>
        </w:rPr>
      </w:r>
      <w:r w:rsidRPr="00A91A87">
        <w:rPr>
          <w:rStyle w:val="af7"/>
          <w:rFonts w:eastAsia="Guttman Hodes"/>
          <w:rtl/>
        </w:rPr>
        <w:fldChar w:fldCharType="separate"/>
      </w:r>
      <w:r w:rsidR="00345400">
        <w:rPr>
          <w:rStyle w:val="af7"/>
          <w:rFonts w:eastAsia="Guttman Hodes"/>
          <w:cs/>
        </w:rPr>
        <w:t>‎</w:t>
      </w:r>
      <w:r w:rsidR="00345400">
        <w:rPr>
          <w:rStyle w:val="af7"/>
          <w:rFonts w:eastAsia="Guttman Hodes"/>
          <w:rtl/>
        </w:rPr>
        <w:t>פו)</w:t>
      </w:r>
      <w:r w:rsidRPr="00A91A87">
        <w:rPr>
          <w:rStyle w:val="af7"/>
          <w:rFonts w:eastAsia="Guttman Hodes"/>
          <w:rtl/>
        </w:rPr>
        <w:fldChar w:fldCharType="end"/>
      </w:r>
      <w:r>
        <w:rPr>
          <w:rFonts w:hint="cs"/>
          <w:rtl/>
        </w:rPr>
        <w:t xml:space="preserve"> על דברי </w:t>
      </w:r>
      <w:r w:rsidRPr="00A91A87">
        <w:rPr>
          <w:rStyle w:val="af9"/>
          <w:rFonts w:hint="cs"/>
          <w:rtl/>
        </w:rPr>
        <w:t>המ"מ</w:t>
      </w:r>
      <w:r>
        <w:rPr>
          <w:rFonts w:hint="cs"/>
          <w:rtl/>
        </w:rPr>
        <w:t xml:space="preserve">, ובמ"ש </w:t>
      </w:r>
      <w:r w:rsidRPr="004856E8">
        <w:rPr>
          <w:rStyle w:val="af9"/>
          <w:rFonts w:hint="cs"/>
          <w:rtl/>
        </w:rPr>
        <w:t>האמרי משה</w:t>
      </w:r>
      <w:r>
        <w:rPr>
          <w:rFonts w:hint="cs"/>
          <w:rtl/>
        </w:rPr>
        <w:t xml:space="preserve"> </w:t>
      </w:r>
      <w:r w:rsidRPr="004856E8">
        <w:rPr>
          <w:rStyle w:val="af7"/>
          <w:rFonts w:eastAsia="Guttman Hodes" w:hint="cs"/>
          <w:rtl/>
        </w:rPr>
        <w:t xml:space="preserve">(עי' אות </w:t>
      </w:r>
      <w:r w:rsidRPr="004856E8">
        <w:rPr>
          <w:rStyle w:val="af7"/>
          <w:rFonts w:eastAsia="Guttman Hodes"/>
          <w:rtl/>
        </w:rPr>
        <w:fldChar w:fldCharType="begin"/>
      </w:r>
      <w:r w:rsidRPr="004856E8">
        <w:rPr>
          <w:rStyle w:val="af7"/>
          <w:rFonts w:eastAsia="Guttman Hodes"/>
          <w:rtl/>
        </w:rPr>
        <w:instrText xml:space="preserve"> </w:instrText>
      </w:r>
      <w:r w:rsidRPr="004856E8">
        <w:rPr>
          <w:rStyle w:val="af7"/>
          <w:rFonts w:eastAsia="Guttman Hodes" w:hint="cs"/>
        </w:rPr>
        <w:instrText>REF</w:instrText>
      </w:r>
      <w:r w:rsidRPr="004856E8">
        <w:rPr>
          <w:rStyle w:val="af7"/>
          <w:rFonts w:eastAsia="Guttman Hodes" w:hint="cs"/>
          <w:rtl/>
        </w:rPr>
        <w:instrText xml:space="preserve"> _</w:instrText>
      </w:r>
      <w:r w:rsidRPr="004856E8">
        <w:rPr>
          <w:rStyle w:val="af7"/>
          <w:rFonts w:eastAsia="Guttman Hodes" w:hint="cs"/>
        </w:rPr>
        <w:instrText>Ref4011758 \r \h</w:instrText>
      </w:r>
      <w:r w:rsidRPr="004856E8">
        <w:rPr>
          <w:rStyle w:val="af7"/>
          <w:rFonts w:eastAsia="Guttman Hodes"/>
          <w:rtl/>
        </w:rPr>
        <w:instrText xml:space="preserve"> </w:instrText>
      </w:r>
      <w:r w:rsidRPr="004856E8">
        <w:rPr>
          <w:rStyle w:val="af7"/>
          <w:rFonts w:eastAsia="Guttman Hodes"/>
          <w:rtl/>
        </w:rPr>
      </w:r>
      <w:r w:rsidRPr="004856E8">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4856E8">
        <w:rPr>
          <w:rStyle w:val="af7"/>
          <w:rFonts w:eastAsia="Guttman Hodes"/>
          <w:rtl/>
        </w:rPr>
        <w:fldChar w:fldCharType="end"/>
      </w:r>
      <w:r>
        <w:rPr>
          <w:rFonts w:hint="cs"/>
          <w:rtl/>
        </w:rPr>
        <w:t xml:space="preserve"> במסקנת דבריו.</w:t>
      </w:r>
      <w:bookmarkEnd w:id="23955"/>
    </w:p>
    <w:p w14:paraId="33E9899A" w14:textId="77777777" w:rsidR="003D504D" w:rsidRDefault="003D504D" w:rsidP="00BF39B2">
      <w:pPr>
        <w:pStyle w:val="1"/>
        <w:rPr>
          <w:rtl/>
        </w:rPr>
      </w:pPr>
      <w:bookmarkStart w:id="23956" w:name="_Toc4012253"/>
      <w:bookmarkStart w:id="23957" w:name="_Toc4013279"/>
      <w:bookmarkStart w:id="23958" w:name="_Toc4022787"/>
      <w:bookmarkStart w:id="23959" w:name="_Toc4026612"/>
      <w:bookmarkStart w:id="23960" w:name="_Toc4139410"/>
      <w:bookmarkStart w:id="23961" w:name="_Toc4151504"/>
      <w:bookmarkStart w:id="23962" w:name="_Toc19391960"/>
      <w:bookmarkStart w:id="23963" w:name="_Toc19395457"/>
      <w:r>
        <w:rPr>
          <w:rFonts w:hint="cs"/>
          <w:rtl/>
        </w:rPr>
        <w:t>תירוצי הש"ך על קושיות הראשונים</w:t>
      </w:r>
      <w:bookmarkEnd w:id="23952"/>
      <w:bookmarkEnd w:id="23953"/>
      <w:bookmarkEnd w:id="23956"/>
      <w:bookmarkEnd w:id="23957"/>
      <w:bookmarkEnd w:id="23958"/>
      <w:bookmarkEnd w:id="23959"/>
      <w:bookmarkEnd w:id="23960"/>
      <w:bookmarkEnd w:id="23961"/>
      <w:bookmarkEnd w:id="23962"/>
      <w:bookmarkEnd w:id="23963"/>
    </w:p>
    <w:p w14:paraId="2150B6FC" w14:textId="77777777" w:rsidR="003D504D" w:rsidRPr="008040D6" w:rsidRDefault="003D504D" w:rsidP="003D504D">
      <w:pPr>
        <w:pStyle w:val="a3"/>
        <w:rPr>
          <w:rtl/>
        </w:rPr>
      </w:pPr>
      <w:bookmarkStart w:id="23964" w:name="_Toc3929019"/>
      <w:bookmarkStart w:id="23965" w:name="_Toc3978406"/>
      <w:bookmarkStart w:id="23966" w:name="_Toc4012254"/>
      <w:bookmarkStart w:id="23967" w:name="_Toc4013280"/>
      <w:bookmarkStart w:id="23968" w:name="_Toc4022788"/>
      <w:bookmarkStart w:id="23969" w:name="_Toc4026613"/>
      <w:bookmarkStart w:id="23970" w:name="_Toc4139411"/>
      <w:bookmarkStart w:id="23971" w:name="_Toc4151505"/>
      <w:bookmarkStart w:id="23972" w:name="_Toc19391961"/>
      <w:bookmarkStart w:id="23973" w:name="_Toc19395458"/>
      <w:r>
        <w:rPr>
          <w:rFonts w:hint="cs"/>
          <w:rtl/>
        </w:rPr>
        <w:t>תירוץ הש"ך על קושית הרא"ש דריו"ח ור"ל נחלקו גם בדעת ר"מ וא"א לומר רק דפסקו הלכה</w:t>
      </w:r>
      <w:bookmarkEnd w:id="23964"/>
      <w:bookmarkEnd w:id="23965"/>
      <w:bookmarkEnd w:id="23966"/>
      <w:bookmarkEnd w:id="23967"/>
      <w:bookmarkEnd w:id="23968"/>
      <w:bookmarkEnd w:id="23969"/>
      <w:bookmarkEnd w:id="23970"/>
      <w:bookmarkEnd w:id="23971"/>
      <w:bookmarkEnd w:id="23972"/>
      <w:bookmarkEnd w:id="23973"/>
    </w:p>
    <w:p w14:paraId="30889373" w14:textId="77777777" w:rsidR="003D504D" w:rsidRPr="00EB1C4E" w:rsidRDefault="003D504D" w:rsidP="00223668">
      <w:pPr>
        <w:pStyle w:val="a0"/>
        <w:rPr>
          <w:rtl/>
        </w:rPr>
      </w:pPr>
      <w:bookmarkStart w:id="23974" w:name="_Ref4098262"/>
      <w:r>
        <w:rPr>
          <w:rFonts w:hint="cs"/>
          <w:rtl/>
        </w:rPr>
        <w:t xml:space="preserve">וכן ביאר </w:t>
      </w:r>
      <w:r w:rsidRPr="00C01C4B">
        <w:rPr>
          <w:rStyle w:val="af9"/>
          <w:rFonts w:hint="cs"/>
          <w:rtl/>
        </w:rPr>
        <w:t>הש"ך בהארוך מש"ך</w:t>
      </w:r>
      <w:r>
        <w:rPr>
          <w:rFonts w:hint="cs"/>
          <w:rtl/>
        </w:rPr>
        <w:t xml:space="preserve"> </w:t>
      </w:r>
      <w:r w:rsidRPr="0076159F">
        <w:rPr>
          <w:rStyle w:val="af7"/>
          <w:rFonts w:eastAsia="Guttman Hodes" w:hint="cs"/>
          <w:rtl/>
        </w:rPr>
        <w:t>(סי' ס"</w:t>
      </w:r>
      <w:r>
        <w:rPr>
          <w:rStyle w:val="af7"/>
          <w:rFonts w:eastAsia="Guttman Hodes" w:hint="cs"/>
          <w:rtl/>
        </w:rPr>
        <w:t>ד ד"ה ולענין</w:t>
      </w:r>
      <w:r w:rsidRPr="0076159F">
        <w:rPr>
          <w:rStyle w:val="af7"/>
          <w:rFonts w:eastAsia="Guttman Hodes" w:hint="cs"/>
          <w:rtl/>
        </w:rPr>
        <w:t xml:space="preserve">) </w:t>
      </w:r>
      <w:r w:rsidRPr="0076603A">
        <w:rPr>
          <w:rFonts w:hint="cs"/>
          <w:rtl/>
        </w:rPr>
        <w:t>דס"ל</w:t>
      </w:r>
      <w:r>
        <w:rPr>
          <w:rStyle w:val="af9"/>
          <w:rFonts w:hint="cs"/>
          <w:rtl/>
        </w:rPr>
        <w:t xml:space="preserve"> ל</w:t>
      </w:r>
      <w:r w:rsidRPr="00C01C4B">
        <w:rPr>
          <w:rStyle w:val="af9"/>
          <w:rFonts w:hint="cs"/>
          <w:rtl/>
        </w:rPr>
        <w:t>הרמב"ם</w:t>
      </w:r>
      <w:r>
        <w:rPr>
          <w:rFonts w:hint="cs"/>
          <w:rtl/>
        </w:rPr>
        <w:t xml:space="preserve"> דכיון דסתם רבי בשחיטה כר"י ובחלב כר"מ, מוכח דאין ב' המחלוקת תלויות זה בזה, ולא קיי"ל כרב הושעיא, ובמה שהקשה </w:t>
      </w:r>
      <w:r w:rsidRPr="00966606">
        <w:rPr>
          <w:rStyle w:val="af9"/>
          <w:rFonts w:hint="cs"/>
          <w:rtl/>
        </w:rPr>
        <w:t>הרא"ש</w:t>
      </w:r>
      <w:r>
        <w:rPr>
          <w:rFonts w:hint="cs"/>
          <w:rtl/>
        </w:rPr>
        <w:t xml:space="preserve"> על </w:t>
      </w:r>
      <w:r w:rsidRPr="00966606">
        <w:rPr>
          <w:rStyle w:val="af9"/>
          <w:rFonts w:hint="cs"/>
          <w:rtl/>
        </w:rPr>
        <w:t>הרמב"ם</w:t>
      </w:r>
      <w:r>
        <w:rPr>
          <w:rFonts w:hint="cs"/>
          <w:rtl/>
        </w:rPr>
        <w:t xml:space="preserve"> </w:t>
      </w:r>
      <w:r w:rsidRPr="008040D6">
        <w:rPr>
          <w:rStyle w:val="af7"/>
          <w:rFonts w:eastAsia="Guttman Hodes" w:hint="cs"/>
          <w:rtl/>
        </w:rPr>
        <w:t xml:space="preserve">(עי' אות </w:t>
      </w:r>
      <w:r w:rsidRPr="008040D6">
        <w:rPr>
          <w:rStyle w:val="af7"/>
          <w:rFonts w:eastAsia="Guttman Hodes"/>
          <w:rtl/>
        </w:rPr>
        <w:fldChar w:fldCharType="begin"/>
      </w:r>
      <w:r w:rsidRPr="008040D6">
        <w:rPr>
          <w:rStyle w:val="af7"/>
          <w:rFonts w:eastAsia="Guttman Hodes"/>
          <w:rtl/>
        </w:rPr>
        <w:instrText xml:space="preserve"> </w:instrText>
      </w:r>
      <w:r w:rsidRPr="008040D6">
        <w:rPr>
          <w:rStyle w:val="af7"/>
          <w:rFonts w:eastAsia="Guttman Hodes" w:hint="cs"/>
        </w:rPr>
        <w:instrText>REF</w:instrText>
      </w:r>
      <w:r w:rsidRPr="008040D6">
        <w:rPr>
          <w:rStyle w:val="af7"/>
          <w:rFonts w:eastAsia="Guttman Hodes" w:hint="cs"/>
          <w:rtl/>
        </w:rPr>
        <w:instrText xml:space="preserve"> _</w:instrText>
      </w:r>
      <w:r w:rsidRPr="008040D6">
        <w:rPr>
          <w:rStyle w:val="af7"/>
          <w:rFonts w:eastAsia="Guttman Hodes" w:hint="cs"/>
        </w:rPr>
        <w:instrText>Ref3803773 \r \h</w:instrText>
      </w:r>
      <w:r w:rsidRPr="008040D6">
        <w:rPr>
          <w:rStyle w:val="af7"/>
          <w:rFonts w:eastAsia="Guttman Hodes"/>
          <w:rtl/>
        </w:rPr>
        <w:instrText xml:space="preserve"> </w:instrText>
      </w:r>
      <w:r w:rsidRPr="008040D6">
        <w:rPr>
          <w:rStyle w:val="af7"/>
          <w:rFonts w:eastAsia="Guttman Hodes"/>
          <w:rtl/>
        </w:rPr>
      </w:r>
      <w:r w:rsidRPr="008040D6">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8040D6">
        <w:rPr>
          <w:rStyle w:val="af7"/>
          <w:rFonts w:eastAsia="Guttman Hodes"/>
          <w:rtl/>
        </w:rPr>
        <w:fldChar w:fldCharType="end"/>
      </w:r>
      <w:r>
        <w:rPr>
          <w:rFonts w:hint="cs"/>
          <w:rtl/>
        </w:rPr>
        <w:t xml:space="preserve"> דהיאך אפש"ל דנחלקו האמוראים במחלוקת תנאים, תירץ </w:t>
      </w:r>
      <w:r w:rsidRPr="0076159F">
        <w:rPr>
          <w:rStyle w:val="af9"/>
          <w:rFonts w:hint="cs"/>
          <w:rtl/>
        </w:rPr>
        <w:t>הש"ך בהארוך מש"ך</w:t>
      </w:r>
      <w:r w:rsidRPr="0076159F">
        <w:rPr>
          <w:rStyle w:val="af7"/>
          <w:rFonts w:eastAsia="Guttman Hodes" w:hint="cs"/>
          <w:rtl/>
        </w:rPr>
        <w:t xml:space="preserve"> </w:t>
      </w:r>
      <w:r>
        <w:rPr>
          <w:rFonts w:hint="cs"/>
          <w:rtl/>
        </w:rPr>
        <w:t xml:space="preserve">דאף לדעת </w:t>
      </w:r>
      <w:r w:rsidRPr="00966606">
        <w:rPr>
          <w:rStyle w:val="af9"/>
          <w:rFonts w:hint="cs"/>
          <w:rtl/>
        </w:rPr>
        <w:t>הרא"ש</w:t>
      </w:r>
      <w:r>
        <w:rPr>
          <w:rFonts w:hint="cs"/>
          <w:rtl/>
        </w:rPr>
        <w:t xml:space="preserve"> ס"ל לר"ל דבין לר"י ובין לר"מ החלב מותר אף בלא שנשחטה האם, כיון דחדשים לבד לא גרמי, ולריו"ח לדעת ר"מ החלב אסור בלא שחיטה, וא"כ כיון דפלוגתת ריו"ח ור"ל היא גם לדעת ר"מ, לא שייך לומר דלר"ל הלכה כר"י ולריו"ח הלכה כר"מ, דהא אף בדעת ר"מ פליג ר"ל על ריו"ח, ולכן כתב </w:t>
      </w:r>
      <w:r w:rsidRPr="00966606">
        <w:rPr>
          <w:rStyle w:val="af9"/>
          <w:rFonts w:hint="cs"/>
          <w:rtl/>
        </w:rPr>
        <w:t>הש"ך בהארוך מש"ך</w:t>
      </w:r>
      <w:r>
        <w:rPr>
          <w:rFonts w:hint="cs"/>
          <w:rtl/>
        </w:rPr>
        <w:t xml:space="preserve"> דקיי"ל כריו"ח דחלב בן ט' חי אסור בין בנשחטה אמו ובין בלא נשחטה אמו ותלש ממעיה, ובבן ח' מותר בין בנשחטה ובין בלא נשחטה, דהא בהא תליא כיון דחדשים גרמי.</w:t>
      </w:r>
      <w:bookmarkEnd w:id="23974"/>
    </w:p>
    <w:p w14:paraId="028D7B92" w14:textId="77777777" w:rsidR="003D504D" w:rsidRPr="00587D99" w:rsidRDefault="003D504D" w:rsidP="003D504D">
      <w:pPr>
        <w:pStyle w:val="a3"/>
      </w:pPr>
      <w:bookmarkStart w:id="23975" w:name="_Toc3929020"/>
      <w:bookmarkStart w:id="23976" w:name="_Toc3978407"/>
      <w:bookmarkStart w:id="23977" w:name="_Toc4012255"/>
      <w:bookmarkStart w:id="23978" w:name="_Toc4013281"/>
      <w:bookmarkStart w:id="23979" w:name="_Toc4022789"/>
      <w:bookmarkStart w:id="23980" w:name="_Toc4026614"/>
      <w:bookmarkStart w:id="23981" w:name="_Toc4139412"/>
      <w:bookmarkStart w:id="23982" w:name="_Toc4151506"/>
      <w:bookmarkStart w:id="23983" w:name="_Toc19391962"/>
      <w:bookmarkStart w:id="23984" w:name="_Toc19395459"/>
      <w:r>
        <w:rPr>
          <w:rFonts w:hint="cs"/>
          <w:rtl/>
        </w:rPr>
        <w:t>דברי הש"ך דקיי"ל כהרמב"ם וכסתם מתני' ואפש"ל דאף לרב הושעיא לא תליא הא בהא</w:t>
      </w:r>
      <w:bookmarkEnd w:id="23975"/>
      <w:bookmarkEnd w:id="23976"/>
      <w:bookmarkEnd w:id="23977"/>
      <w:bookmarkEnd w:id="23978"/>
      <w:bookmarkEnd w:id="23979"/>
      <w:bookmarkEnd w:id="23980"/>
      <w:bookmarkEnd w:id="23981"/>
      <w:bookmarkEnd w:id="23982"/>
      <w:bookmarkEnd w:id="23983"/>
      <w:bookmarkEnd w:id="23984"/>
    </w:p>
    <w:p w14:paraId="08CA4CE2" w14:textId="77777777" w:rsidR="003D504D" w:rsidRDefault="003D504D" w:rsidP="00223668">
      <w:pPr>
        <w:pStyle w:val="a0"/>
        <w:rPr>
          <w:rtl/>
        </w:rPr>
      </w:pPr>
      <w:bookmarkStart w:id="23985" w:name="_Ref4098318"/>
      <w:r>
        <w:rPr>
          <w:rFonts w:hint="cs"/>
          <w:rtl/>
        </w:rPr>
        <w:t xml:space="preserve">ובמה שהקשו </w:t>
      </w:r>
      <w:r w:rsidRPr="00DF53E6">
        <w:rPr>
          <w:rStyle w:val="af9"/>
          <w:rFonts w:hint="cs"/>
          <w:rtl/>
        </w:rPr>
        <w:t>הראשונים</w:t>
      </w:r>
      <w:r>
        <w:rPr>
          <w:rFonts w:hint="cs"/>
          <w:rtl/>
        </w:rPr>
        <w:t xml:space="preserve"> [</w:t>
      </w:r>
      <w:r w:rsidRPr="00DF53E6">
        <w:rPr>
          <w:rStyle w:val="af9"/>
          <w:rFonts w:hint="cs"/>
          <w:rtl/>
        </w:rPr>
        <w:t>הרשב"א והר"ן</w:t>
      </w:r>
      <w:r>
        <w:rPr>
          <w:rFonts w:hint="cs"/>
          <w:rtl/>
        </w:rPr>
        <w:t xml:space="preserve">] </w:t>
      </w:r>
      <w:r w:rsidRPr="00BB4ABB">
        <w:rPr>
          <w:rStyle w:val="af7"/>
          <w:rFonts w:eastAsia="Guttman Hodes" w:hint="cs"/>
          <w:rtl/>
        </w:rPr>
        <w:t xml:space="preserve">(עי' אות </w:t>
      </w:r>
      <w:r w:rsidRPr="00BB4ABB">
        <w:rPr>
          <w:rStyle w:val="af7"/>
          <w:rFonts w:eastAsia="Guttman Hodes"/>
          <w:rtl/>
        </w:rPr>
        <w:fldChar w:fldCharType="begin"/>
      </w:r>
      <w:r w:rsidRPr="00BB4ABB">
        <w:rPr>
          <w:rStyle w:val="af7"/>
          <w:rFonts w:eastAsia="Guttman Hodes"/>
          <w:rtl/>
        </w:rPr>
        <w:instrText xml:space="preserve"> </w:instrText>
      </w:r>
      <w:r w:rsidRPr="00BB4ABB">
        <w:rPr>
          <w:rStyle w:val="af7"/>
          <w:rFonts w:eastAsia="Guttman Hodes" w:hint="cs"/>
        </w:rPr>
        <w:instrText>REF</w:instrText>
      </w:r>
      <w:r w:rsidRPr="00BB4ABB">
        <w:rPr>
          <w:rStyle w:val="af7"/>
          <w:rFonts w:eastAsia="Guttman Hodes" w:hint="cs"/>
          <w:rtl/>
        </w:rPr>
        <w:instrText xml:space="preserve"> _</w:instrText>
      </w:r>
      <w:r w:rsidRPr="00BB4ABB">
        <w:rPr>
          <w:rStyle w:val="af7"/>
          <w:rFonts w:eastAsia="Guttman Hodes" w:hint="cs"/>
        </w:rPr>
        <w:instrText>Ref3840181 \r \h</w:instrText>
      </w:r>
      <w:r w:rsidRPr="00BB4ABB">
        <w:rPr>
          <w:rStyle w:val="af7"/>
          <w:rFonts w:eastAsia="Guttman Hodes"/>
          <w:rtl/>
        </w:rPr>
        <w:instrText xml:space="preserve"> </w:instrText>
      </w:r>
      <w:r w:rsidRPr="00BB4ABB">
        <w:rPr>
          <w:rStyle w:val="af7"/>
          <w:rFonts w:eastAsia="Guttman Hodes"/>
          <w:rtl/>
        </w:rPr>
      </w:r>
      <w:r w:rsidRPr="00BB4ABB">
        <w:rPr>
          <w:rStyle w:val="af7"/>
          <w:rFonts w:eastAsia="Guttman Hodes"/>
          <w:rtl/>
        </w:rPr>
        <w:fldChar w:fldCharType="separate"/>
      </w:r>
      <w:r w:rsidR="00345400">
        <w:rPr>
          <w:rStyle w:val="af7"/>
          <w:rFonts w:eastAsia="Guttman Hodes"/>
          <w:cs/>
        </w:rPr>
        <w:t>‎</w:t>
      </w:r>
      <w:r w:rsidR="00345400">
        <w:rPr>
          <w:rStyle w:val="af7"/>
          <w:rFonts w:eastAsia="Guttman Hodes"/>
          <w:rtl/>
        </w:rPr>
        <w:t>י)</w:t>
      </w:r>
      <w:r w:rsidRPr="00BB4ABB">
        <w:rPr>
          <w:rStyle w:val="af7"/>
          <w:rFonts w:eastAsia="Guttman Hodes"/>
          <w:rtl/>
        </w:rPr>
        <w:fldChar w:fldCharType="end"/>
      </w:r>
      <w:r>
        <w:rPr>
          <w:rFonts w:hint="cs"/>
          <w:rtl/>
        </w:rPr>
        <w:t xml:space="preserve"> על </w:t>
      </w:r>
      <w:r w:rsidRPr="00DF53E6">
        <w:rPr>
          <w:rStyle w:val="af9"/>
          <w:rFonts w:hint="cs"/>
          <w:rtl/>
        </w:rPr>
        <w:t>הרמב"ם</w:t>
      </w:r>
      <w:r>
        <w:rPr>
          <w:rFonts w:hint="cs"/>
          <w:rtl/>
        </w:rPr>
        <w:t xml:space="preserve"> מדברי רב הושעיא דר"מ ור"י הלכו לשיטתם, תירץ </w:t>
      </w:r>
      <w:r w:rsidRPr="0076159F">
        <w:rPr>
          <w:rStyle w:val="af9"/>
          <w:rFonts w:hint="cs"/>
          <w:rtl/>
        </w:rPr>
        <w:t>הש"ך בהארוך מש"ך</w:t>
      </w:r>
      <w:r w:rsidRPr="00BB4ABB">
        <w:rPr>
          <w:rStyle w:val="af7"/>
          <w:rFonts w:eastAsia="Guttman Hodes" w:hint="cs"/>
          <w:rtl/>
        </w:rPr>
        <w:t xml:space="preserve"> </w:t>
      </w:r>
      <w:r>
        <w:rPr>
          <w:rFonts w:hint="cs"/>
          <w:rtl/>
        </w:rPr>
        <w:t xml:space="preserve">דרב הושעיא משמע ליה מסברא דכיון דר"מ ס"ל דאינו מותר בשחיטת אמו וחלבו אסרו, ור"י ס"ל דמותר בשחיטת אמו וחלבו מותר, א"כ הסברא הפשוטה היא דהלכו לשיטתם, אך מ"מ </w:t>
      </w:r>
      <w:r w:rsidRPr="00C01C4B">
        <w:rPr>
          <w:rStyle w:val="af9"/>
          <w:rFonts w:hint="cs"/>
          <w:rtl/>
        </w:rPr>
        <w:t>הרמב"ם</w:t>
      </w:r>
      <w:r>
        <w:rPr>
          <w:rFonts w:hint="cs"/>
          <w:rtl/>
        </w:rPr>
        <w:t xml:space="preserve"> לא פסק כרב הושעיא, אלא כדסתם רבי במתני', בשחיטה כר"י ובחלב כר"מ, והוסיף </w:t>
      </w:r>
      <w:r w:rsidRPr="00DF53E6">
        <w:rPr>
          <w:rStyle w:val="af9"/>
          <w:rFonts w:hint="cs"/>
          <w:rtl/>
        </w:rPr>
        <w:t xml:space="preserve">הש"ך </w:t>
      </w:r>
      <w:r>
        <w:rPr>
          <w:rFonts w:hint="cs"/>
          <w:rtl/>
        </w:rPr>
        <w:t xml:space="preserve">דאף רב הושעיא גופיה אפש"ל דס"ל דלא הא בהא תליא, וכתב </w:t>
      </w:r>
      <w:r w:rsidRPr="00DF53E6">
        <w:rPr>
          <w:rStyle w:val="af9"/>
          <w:rFonts w:hint="cs"/>
          <w:rtl/>
        </w:rPr>
        <w:t xml:space="preserve">הש"ך </w:t>
      </w:r>
      <w:r>
        <w:rPr>
          <w:rFonts w:hint="cs"/>
          <w:rtl/>
        </w:rPr>
        <w:t xml:space="preserve">דלהלכה קיי"ל כדעת </w:t>
      </w:r>
      <w:r w:rsidRPr="00DF53E6">
        <w:rPr>
          <w:rStyle w:val="af9"/>
          <w:rFonts w:hint="cs"/>
          <w:rtl/>
        </w:rPr>
        <w:t>הרמב"ם והעיטור</w:t>
      </w:r>
      <w:r>
        <w:rPr>
          <w:rFonts w:hint="cs"/>
          <w:rtl/>
        </w:rPr>
        <w:t xml:space="preserve"> </w:t>
      </w:r>
      <w:r w:rsidRPr="00D32F9F">
        <w:rPr>
          <w:rStyle w:val="af7"/>
          <w:rFonts w:eastAsia="Guttman Hodes" w:hint="cs"/>
          <w:rtl/>
        </w:rPr>
        <w:t xml:space="preserve">(עי' אות </w:t>
      </w:r>
      <w:r w:rsidRPr="00D32F9F">
        <w:rPr>
          <w:rStyle w:val="af7"/>
          <w:rFonts w:eastAsia="Guttman Hodes"/>
          <w:rtl/>
        </w:rPr>
        <w:fldChar w:fldCharType="begin"/>
      </w:r>
      <w:r w:rsidRPr="00D32F9F">
        <w:rPr>
          <w:rStyle w:val="af7"/>
          <w:rFonts w:eastAsia="Guttman Hodes"/>
          <w:rtl/>
        </w:rPr>
        <w:instrText xml:space="preserve"> </w:instrText>
      </w:r>
      <w:r w:rsidRPr="00D32F9F">
        <w:rPr>
          <w:rStyle w:val="af7"/>
          <w:rFonts w:eastAsia="Guttman Hodes" w:hint="cs"/>
        </w:rPr>
        <w:instrText>REF</w:instrText>
      </w:r>
      <w:r w:rsidRPr="00D32F9F">
        <w:rPr>
          <w:rStyle w:val="af7"/>
          <w:rFonts w:eastAsia="Guttman Hodes" w:hint="cs"/>
          <w:rtl/>
        </w:rPr>
        <w:instrText xml:space="preserve"> _</w:instrText>
      </w:r>
      <w:r w:rsidRPr="00D32F9F">
        <w:rPr>
          <w:rStyle w:val="af7"/>
          <w:rFonts w:eastAsia="Guttman Hodes" w:hint="cs"/>
        </w:rPr>
        <w:instrText>Ref3493239 \r \h</w:instrText>
      </w:r>
      <w:r w:rsidRPr="00D32F9F">
        <w:rPr>
          <w:rStyle w:val="af7"/>
          <w:rFonts w:eastAsia="Guttman Hodes"/>
          <w:rtl/>
        </w:rPr>
        <w:instrText xml:space="preserve"> </w:instrText>
      </w:r>
      <w:r w:rsidRPr="00D32F9F">
        <w:rPr>
          <w:rStyle w:val="af7"/>
          <w:rFonts w:eastAsia="Guttman Hodes"/>
          <w:rtl/>
        </w:rPr>
      </w:r>
      <w:r w:rsidRPr="00D32F9F">
        <w:rPr>
          <w:rStyle w:val="af7"/>
          <w:rFonts w:eastAsia="Guttman Hodes"/>
          <w:rtl/>
        </w:rPr>
        <w:fldChar w:fldCharType="separate"/>
      </w:r>
      <w:r w:rsidR="00345400">
        <w:rPr>
          <w:rStyle w:val="af7"/>
          <w:rFonts w:eastAsia="Guttman Hodes"/>
          <w:cs/>
        </w:rPr>
        <w:t>‎</w:t>
      </w:r>
      <w:r w:rsidR="00345400">
        <w:rPr>
          <w:rStyle w:val="af7"/>
          <w:rFonts w:eastAsia="Guttman Hodes"/>
          <w:rtl/>
        </w:rPr>
        <w:t>קא)</w:t>
      </w:r>
      <w:r w:rsidRPr="00D32F9F">
        <w:rPr>
          <w:rStyle w:val="af7"/>
          <w:rFonts w:eastAsia="Guttman Hodes"/>
          <w:rtl/>
        </w:rPr>
        <w:fldChar w:fldCharType="end"/>
      </w:r>
      <w:r>
        <w:rPr>
          <w:rFonts w:hint="cs"/>
          <w:rtl/>
        </w:rPr>
        <w:t xml:space="preserve">, ואף </w:t>
      </w:r>
      <w:r w:rsidRPr="00B837A6">
        <w:rPr>
          <w:rStyle w:val="af9"/>
          <w:rFonts w:hint="cs"/>
          <w:rtl/>
        </w:rPr>
        <w:t>השו"ע</w:t>
      </w:r>
      <w:r>
        <w:rPr>
          <w:rFonts w:hint="cs"/>
          <w:rtl/>
        </w:rPr>
        <w:t xml:space="preserve"> </w:t>
      </w:r>
      <w:r w:rsidRPr="00BB4ABB">
        <w:rPr>
          <w:rStyle w:val="af7"/>
          <w:rFonts w:eastAsia="Guttman Hodes" w:hint="cs"/>
          <w:rtl/>
        </w:rPr>
        <w:t>(סי' ס"ד ב')</w:t>
      </w:r>
      <w:r>
        <w:rPr>
          <w:rFonts w:hint="cs"/>
          <w:rtl/>
        </w:rPr>
        <w:t xml:space="preserve"> הביא את </w:t>
      </w:r>
      <w:r w:rsidRPr="005C6834">
        <w:rPr>
          <w:rStyle w:val="af9"/>
          <w:rFonts w:hint="cs"/>
          <w:rtl/>
        </w:rPr>
        <w:t>הרמב"ם</w:t>
      </w:r>
      <w:r>
        <w:rPr>
          <w:rFonts w:hint="cs"/>
          <w:rtl/>
        </w:rPr>
        <w:t xml:space="preserve"> כדעה האחרונה ומבואר דפסק כמותו.</w:t>
      </w:r>
      <w:bookmarkEnd w:id="23985"/>
    </w:p>
    <w:p w14:paraId="53F44076" w14:textId="77777777" w:rsidR="003D504D" w:rsidRPr="00D2327B" w:rsidRDefault="003D504D" w:rsidP="003D504D">
      <w:pPr>
        <w:pStyle w:val="a3"/>
        <w:rPr>
          <w:rtl/>
        </w:rPr>
      </w:pPr>
      <w:bookmarkStart w:id="23986" w:name="_Toc3978408"/>
      <w:bookmarkStart w:id="23987" w:name="_Toc4012256"/>
      <w:bookmarkStart w:id="23988" w:name="_Toc4013282"/>
      <w:bookmarkStart w:id="23989" w:name="_Toc4022790"/>
      <w:bookmarkStart w:id="23990" w:name="_Toc4026615"/>
      <w:bookmarkStart w:id="23991" w:name="_Toc4139413"/>
      <w:bookmarkStart w:id="23992" w:name="_Toc4151507"/>
      <w:bookmarkStart w:id="23993" w:name="_Toc19391963"/>
      <w:bookmarkStart w:id="23994" w:name="_Toc19395460"/>
      <w:r>
        <w:rPr>
          <w:rFonts w:hint="cs"/>
          <w:rtl/>
        </w:rPr>
        <w:t>קושית הפר"ח דבגמ' לעיל מוכח דא"א לומר דרבי ס"ל כר"י בשחיטה וכר"מ בחלב</w:t>
      </w:r>
      <w:bookmarkEnd w:id="23986"/>
      <w:bookmarkEnd w:id="23987"/>
      <w:bookmarkEnd w:id="23988"/>
      <w:bookmarkEnd w:id="23989"/>
      <w:bookmarkEnd w:id="23990"/>
      <w:bookmarkEnd w:id="23991"/>
      <w:bookmarkEnd w:id="23992"/>
      <w:bookmarkEnd w:id="23993"/>
      <w:bookmarkEnd w:id="23994"/>
      <w:r>
        <w:rPr>
          <w:rFonts w:hint="cs"/>
          <w:rtl/>
        </w:rPr>
        <w:t xml:space="preserve"> </w:t>
      </w:r>
    </w:p>
    <w:p w14:paraId="5C59CED7" w14:textId="77777777" w:rsidR="003D504D" w:rsidRDefault="003D504D" w:rsidP="00223668">
      <w:pPr>
        <w:pStyle w:val="a0"/>
        <w:rPr>
          <w:rtl/>
        </w:rPr>
      </w:pPr>
      <w:bookmarkStart w:id="23995" w:name="_Ref3798803"/>
      <w:r>
        <w:rPr>
          <w:rFonts w:hint="cs"/>
          <w:rtl/>
        </w:rPr>
        <w:t xml:space="preserve">וכ"כ </w:t>
      </w:r>
      <w:r w:rsidRPr="00F21368">
        <w:rPr>
          <w:rStyle w:val="af9"/>
          <w:rFonts w:hint="cs"/>
          <w:rtl/>
        </w:rPr>
        <w:t>הפר"ח</w:t>
      </w:r>
      <w:r>
        <w:rPr>
          <w:rFonts w:hint="cs"/>
          <w:rtl/>
        </w:rPr>
        <w:t xml:space="preserve"> </w:t>
      </w:r>
      <w:r w:rsidRPr="00EA0695">
        <w:rPr>
          <w:rStyle w:val="af7"/>
          <w:rFonts w:eastAsia="Guttman Hodes" w:hint="cs"/>
          <w:rtl/>
        </w:rPr>
        <w:t>(סי' ס"ד סק"ו)</w:t>
      </w:r>
      <w:r>
        <w:rPr>
          <w:rFonts w:hint="cs"/>
          <w:rtl/>
        </w:rPr>
        <w:t xml:space="preserve"> </w:t>
      </w:r>
      <w:r w:rsidRPr="00F21368">
        <w:rPr>
          <w:rStyle w:val="af9"/>
          <w:rFonts w:hint="cs"/>
          <w:rtl/>
        </w:rPr>
        <w:t>דהרמב"ם</w:t>
      </w:r>
      <w:r>
        <w:rPr>
          <w:rFonts w:hint="cs"/>
          <w:rtl/>
        </w:rPr>
        <w:t xml:space="preserve"> פסק כסתמא דמתני' דגיד נוהג בשליל, וה"ה בחלב דמבואר בגמ' דדינם שוה, אך הקשה </w:t>
      </w:r>
      <w:r w:rsidRPr="00A10B19">
        <w:rPr>
          <w:rStyle w:val="af9"/>
          <w:rFonts w:hint="cs"/>
          <w:rtl/>
        </w:rPr>
        <w:t>הפר"ח</w:t>
      </w:r>
      <w:r>
        <w:rPr>
          <w:rFonts w:hint="cs"/>
          <w:rtl/>
        </w:rPr>
        <w:t xml:space="preserve"> דאיתא בגמ' לעיל </w:t>
      </w:r>
      <w:r w:rsidRPr="00A10B19">
        <w:rPr>
          <w:rStyle w:val="af7"/>
          <w:rFonts w:eastAsia="Guttman Hodes" w:hint="cs"/>
          <w:rtl/>
        </w:rPr>
        <w:t>(סט.)</w:t>
      </w:r>
      <w:r>
        <w:rPr>
          <w:rFonts w:hint="cs"/>
          <w:rtl/>
        </w:rPr>
        <w:t xml:space="preserve"> דא"א לומר דיש בשליל שמותר בשחיטת אמו גם איסור חלב דלר"מ אינו מותר ולר"י אף חלבו מותר, ולדברי </w:t>
      </w:r>
      <w:r w:rsidRPr="002F5077">
        <w:rPr>
          <w:rStyle w:val="af9"/>
          <w:rFonts w:hint="cs"/>
          <w:rtl/>
        </w:rPr>
        <w:t>הרמב"ם</w:t>
      </w:r>
      <w:r>
        <w:rPr>
          <w:rFonts w:hint="cs"/>
          <w:rtl/>
        </w:rPr>
        <w:t xml:space="preserve"> הרי שייך לומר כן לדעת רבי דפסק בסוגיין </w:t>
      </w:r>
      <w:r w:rsidRPr="00A10B19">
        <w:rPr>
          <w:rStyle w:val="af7"/>
          <w:rFonts w:eastAsia="Guttman Hodes" w:hint="cs"/>
          <w:rtl/>
        </w:rPr>
        <w:t>(עד.)</w:t>
      </w:r>
      <w:r>
        <w:rPr>
          <w:rFonts w:hint="cs"/>
          <w:rtl/>
        </w:rPr>
        <w:t xml:space="preserve"> כר"י דמותר בשחיטת אמו, ולקמן </w:t>
      </w:r>
      <w:r w:rsidRPr="00A10B19">
        <w:rPr>
          <w:rStyle w:val="af7"/>
          <w:rFonts w:eastAsia="Guttman Hodes" w:hint="cs"/>
          <w:rtl/>
        </w:rPr>
        <w:t>(פט:)</w:t>
      </w:r>
      <w:r>
        <w:rPr>
          <w:rFonts w:hint="cs"/>
          <w:rtl/>
        </w:rPr>
        <w:t xml:space="preserve"> פסק רבי כר"מ דחלבו מותר, ועי' במה שתירץ </w:t>
      </w:r>
      <w:r w:rsidRPr="00343743">
        <w:rPr>
          <w:rStyle w:val="af9"/>
          <w:rFonts w:hint="cs"/>
          <w:rtl/>
        </w:rPr>
        <w:t>הזכר יצחק</w:t>
      </w:r>
      <w:r>
        <w:rPr>
          <w:rFonts w:hint="cs"/>
          <w:rtl/>
        </w:rPr>
        <w:t xml:space="preserve"> </w:t>
      </w:r>
      <w:r w:rsidRPr="00343743">
        <w:rPr>
          <w:rStyle w:val="af7"/>
          <w:rFonts w:eastAsia="Guttman Hodes" w:hint="cs"/>
          <w:rtl/>
        </w:rPr>
        <w:t xml:space="preserve">(עי' אות </w:t>
      </w:r>
      <w:r w:rsidRPr="00343743">
        <w:rPr>
          <w:rStyle w:val="af7"/>
          <w:rFonts w:eastAsia="Guttman Hodes"/>
          <w:rtl/>
        </w:rPr>
        <w:fldChar w:fldCharType="begin"/>
      </w:r>
      <w:r w:rsidRPr="00343743">
        <w:rPr>
          <w:rStyle w:val="af7"/>
          <w:rFonts w:eastAsia="Guttman Hodes"/>
          <w:rtl/>
        </w:rPr>
        <w:instrText xml:space="preserve"> </w:instrText>
      </w:r>
      <w:r w:rsidRPr="00343743">
        <w:rPr>
          <w:rStyle w:val="af7"/>
          <w:rFonts w:eastAsia="Guttman Hodes" w:hint="cs"/>
        </w:rPr>
        <w:instrText>REF</w:instrText>
      </w:r>
      <w:r w:rsidRPr="00343743">
        <w:rPr>
          <w:rStyle w:val="af7"/>
          <w:rFonts w:eastAsia="Guttman Hodes" w:hint="cs"/>
          <w:rtl/>
        </w:rPr>
        <w:instrText xml:space="preserve"> _</w:instrText>
      </w:r>
      <w:r w:rsidRPr="00343743">
        <w:rPr>
          <w:rStyle w:val="af7"/>
          <w:rFonts w:eastAsia="Guttman Hodes" w:hint="cs"/>
        </w:rPr>
        <w:instrText>Ref3798845 \r \h</w:instrText>
      </w:r>
      <w:r w:rsidRPr="00343743">
        <w:rPr>
          <w:rStyle w:val="af7"/>
          <w:rFonts w:eastAsia="Guttman Hodes"/>
          <w:rtl/>
        </w:rPr>
        <w:instrText xml:space="preserve"> </w:instrText>
      </w:r>
      <w:r w:rsidRPr="00343743">
        <w:rPr>
          <w:rStyle w:val="af7"/>
          <w:rFonts w:eastAsia="Guttman Hodes"/>
          <w:rtl/>
        </w:rPr>
      </w:r>
      <w:r w:rsidRPr="00343743">
        <w:rPr>
          <w:rStyle w:val="af7"/>
          <w:rFonts w:eastAsia="Guttman Hodes"/>
          <w:rtl/>
        </w:rPr>
        <w:fldChar w:fldCharType="separate"/>
      </w:r>
      <w:r w:rsidR="00345400">
        <w:rPr>
          <w:rStyle w:val="af7"/>
          <w:rFonts w:eastAsia="Guttman Hodes"/>
          <w:cs/>
        </w:rPr>
        <w:t>‎</w:t>
      </w:r>
      <w:r w:rsidR="00345400">
        <w:rPr>
          <w:rStyle w:val="af7"/>
          <w:rFonts w:eastAsia="Guttman Hodes"/>
          <w:rtl/>
        </w:rPr>
        <w:t>קג)</w:t>
      </w:r>
      <w:r w:rsidRPr="00343743">
        <w:rPr>
          <w:rStyle w:val="af7"/>
          <w:rFonts w:eastAsia="Guttman Hodes"/>
          <w:rtl/>
        </w:rPr>
        <w:fldChar w:fldCharType="end"/>
      </w:r>
      <w:r>
        <w:rPr>
          <w:rFonts w:hint="cs"/>
          <w:rtl/>
        </w:rPr>
        <w:t>.</w:t>
      </w:r>
      <w:bookmarkEnd w:id="23995"/>
    </w:p>
    <w:p w14:paraId="7C60F2CE" w14:textId="77777777" w:rsidR="003D504D" w:rsidRDefault="003D504D" w:rsidP="003D504D">
      <w:pPr>
        <w:pStyle w:val="a3"/>
        <w:rPr>
          <w:rtl/>
        </w:rPr>
      </w:pPr>
      <w:bookmarkStart w:id="23996" w:name="_Toc3978409"/>
      <w:bookmarkStart w:id="23997" w:name="_Toc4012257"/>
      <w:bookmarkStart w:id="23998" w:name="_Toc4013283"/>
      <w:bookmarkStart w:id="23999" w:name="_Toc4022791"/>
      <w:bookmarkStart w:id="24000" w:name="_Toc4026616"/>
      <w:bookmarkStart w:id="24001" w:name="_Toc4139414"/>
      <w:bookmarkStart w:id="24002" w:name="_Toc4151508"/>
      <w:bookmarkStart w:id="24003" w:name="_Toc19391964"/>
      <w:bookmarkStart w:id="24004" w:name="_Toc19395461"/>
      <w:r>
        <w:rPr>
          <w:rFonts w:hint="cs"/>
          <w:rtl/>
        </w:rPr>
        <w:t>תירוץ הבכור שור דהגמ' לעיל היא לר"י דס"ל דרבי סתם רק בגיד כר"מ והרמב"ם פסק בחלב כריו"ח</w:t>
      </w:r>
      <w:bookmarkEnd w:id="23996"/>
      <w:bookmarkEnd w:id="23997"/>
      <w:bookmarkEnd w:id="23998"/>
      <w:bookmarkEnd w:id="23999"/>
      <w:bookmarkEnd w:id="24000"/>
      <w:bookmarkEnd w:id="24001"/>
      <w:bookmarkEnd w:id="24002"/>
      <w:bookmarkEnd w:id="24003"/>
      <w:bookmarkEnd w:id="24004"/>
    </w:p>
    <w:p w14:paraId="2E4FCDD6" w14:textId="77777777" w:rsidR="003D504D" w:rsidRPr="0034614A" w:rsidRDefault="003D504D" w:rsidP="00223668">
      <w:pPr>
        <w:pStyle w:val="a0"/>
        <w:rPr>
          <w:rtl/>
        </w:rPr>
      </w:pPr>
      <w:r>
        <w:rPr>
          <w:rFonts w:hint="cs"/>
          <w:rtl/>
        </w:rPr>
        <w:t xml:space="preserve">ותירץ </w:t>
      </w:r>
      <w:r w:rsidRPr="003A3A2C">
        <w:rPr>
          <w:rStyle w:val="af9"/>
          <w:rFonts w:hint="cs"/>
          <w:rtl/>
        </w:rPr>
        <w:t>הבכור שור לקמן</w:t>
      </w:r>
      <w:r>
        <w:rPr>
          <w:rFonts w:hint="cs"/>
          <w:rtl/>
        </w:rPr>
        <w:t xml:space="preserve"> </w:t>
      </w:r>
      <w:r w:rsidRPr="003A3A2C">
        <w:rPr>
          <w:rStyle w:val="af7"/>
          <w:rFonts w:eastAsia="Guttman Hodes" w:hint="cs"/>
          <w:rtl/>
        </w:rPr>
        <w:t>(פט: ד"ה וחלבו, נד' בסוף התבו"ש)</w:t>
      </w:r>
      <w:r>
        <w:rPr>
          <w:rFonts w:hint="cs"/>
          <w:rtl/>
        </w:rPr>
        <w:t xml:space="preserve"> </w:t>
      </w:r>
      <w:r w:rsidRPr="003A3A2C">
        <w:rPr>
          <w:rStyle w:val="af9"/>
          <w:rFonts w:hint="cs"/>
          <w:rtl/>
        </w:rPr>
        <w:t>דהרמב"ם</w:t>
      </w:r>
      <w:r>
        <w:rPr>
          <w:rFonts w:hint="cs"/>
          <w:rtl/>
        </w:rPr>
        <w:t xml:space="preserve"> ס"ל שיש חילוק בין דין החלב לדין הגיד, כדכתבו </w:t>
      </w:r>
      <w:r w:rsidRPr="003A3A2C">
        <w:rPr>
          <w:rStyle w:val="af9"/>
          <w:rFonts w:hint="cs"/>
          <w:rtl/>
        </w:rPr>
        <w:t>התוס'</w:t>
      </w:r>
      <w:r>
        <w:rPr>
          <w:rFonts w:hint="cs"/>
          <w:rtl/>
        </w:rPr>
        <w:t xml:space="preserve"> </w:t>
      </w:r>
      <w:r w:rsidRPr="00E9685D">
        <w:rPr>
          <w:rStyle w:val="af7"/>
          <w:rFonts w:eastAsia="Guttman Hodes" w:hint="cs"/>
          <w:rtl/>
        </w:rPr>
        <w:t>(</w:t>
      </w:r>
      <w:r w:rsidR="00AC7E32">
        <w:rPr>
          <w:rStyle w:val="af7"/>
          <w:rFonts w:eastAsia="Guttman Hodes" w:hint="cs"/>
          <w:rtl/>
        </w:rPr>
        <w:t>הובא בסימן</w:t>
      </w:r>
      <w:r w:rsidRPr="00E9685D">
        <w:rPr>
          <w:rStyle w:val="af7"/>
          <w:rFonts w:eastAsia="Guttman Hodes" w:hint="cs"/>
          <w:rtl/>
        </w:rPr>
        <w:t xml:space="preserve"> ז</w:t>
      </w:r>
      <w:r w:rsidRPr="00E9685D">
        <w:rPr>
          <w:rStyle w:val="af7"/>
          <w:rFonts w:eastAsia="Guttman Hodes"/>
          <w:rtl/>
        </w:rPr>
        <w:t>'</w:t>
      </w:r>
      <w:r w:rsidRPr="00E9685D">
        <w:rPr>
          <w:rStyle w:val="af7"/>
          <w:rFonts w:eastAsia="Guttman Hodes" w:hint="cs"/>
          <w:rtl/>
        </w:rPr>
        <w:t xml:space="preserve"> אות כ)</w:t>
      </w:r>
      <w:r>
        <w:rPr>
          <w:rFonts w:hint="cs"/>
          <w:rtl/>
        </w:rPr>
        <w:t xml:space="preserve">, ור"י באמת ס"ל דגידו מותר, ולכן רבי סתם במתני' לקמן </w:t>
      </w:r>
      <w:r w:rsidRPr="003A3A2C">
        <w:rPr>
          <w:rStyle w:val="af7"/>
          <w:rFonts w:eastAsia="Guttman Hodes" w:hint="cs"/>
          <w:rtl/>
        </w:rPr>
        <w:t>(פט:)</w:t>
      </w:r>
      <w:r>
        <w:rPr>
          <w:rFonts w:hint="cs"/>
          <w:rtl/>
        </w:rPr>
        <w:t xml:space="preserve"> רק דגידו אסור ולא סתם את דין חלבו, אלא </w:t>
      </w:r>
      <w:r w:rsidRPr="003A3A2C">
        <w:rPr>
          <w:rStyle w:val="af9"/>
          <w:rFonts w:hint="cs"/>
          <w:rtl/>
        </w:rPr>
        <w:t>דהרמב"ם</w:t>
      </w:r>
      <w:r>
        <w:rPr>
          <w:rFonts w:hint="cs"/>
          <w:rtl/>
        </w:rPr>
        <w:t xml:space="preserve"> פסק בדין חלבו כריו"ח, וכדביאר </w:t>
      </w:r>
      <w:r w:rsidRPr="003A3A2C">
        <w:rPr>
          <w:rStyle w:val="af9"/>
          <w:rFonts w:hint="cs"/>
          <w:rtl/>
        </w:rPr>
        <w:t>הרא"ש</w:t>
      </w:r>
      <w:r>
        <w:rPr>
          <w:rFonts w:hint="cs"/>
          <w:rtl/>
        </w:rPr>
        <w:t xml:space="preserve"> </w:t>
      </w:r>
      <w:r w:rsidRPr="007B3B2E">
        <w:rPr>
          <w:rStyle w:val="af7"/>
          <w:rFonts w:eastAsia="Guttman Hodes" w:hint="cs"/>
          <w:rtl/>
        </w:rPr>
        <w:t xml:space="preserve">(עי' אות </w:t>
      </w:r>
      <w:r w:rsidRPr="007B3B2E">
        <w:rPr>
          <w:rStyle w:val="af7"/>
          <w:rFonts w:eastAsia="Guttman Hodes"/>
          <w:rtl/>
        </w:rPr>
        <w:fldChar w:fldCharType="begin"/>
      </w:r>
      <w:r w:rsidRPr="007B3B2E">
        <w:rPr>
          <w:rStyle w:val="af7"/>
          <w:rFonts w:eastAsia="Guttman Hodes"/>
          <w:rtl/>
        </w:rPr>
        <w:instrText xml:space="preserve"> </w:instrText>
      </w:r>
      <w:r w:rsidRPr="007B3B2E">
        <w:rPr>
          <w:rStyle w:val="af7"/>
          <w:rFonts w:eastAsia="Guttman Hodes" w:hint="cs"/>
        </w:rPr>
        <w:instrText>REF</w:instrText>
      </w:r>
      <w:r w:rsidRPr="007B3B2E">
        <w:rPr>
          <w:rStyle w:val="af7"/>
          <w:rFonts w:eastAsia="Guttman Hodes" w:hint="cs"/>
          <w:rtl/>
        </w:rPr>
        <w:instrText xml:space="preserve"> _</w:instrText>
      </w:r>
      <w:r w:rsidRPr="007B3B2E">
        <w:rPr>
          <w:rStyle w:val="af7"/>
          <w:rFonts w:eastAsia="Guttman Hodes" w:hint="cs"/>
        </w:rPr>
        <w:instrText>Ref3921945 \r \h</w:instrText>
      </w:r>
      <w:r w:rsidRPr="007B3B2E">
        <w:rPr>
          <w:rStyle w:val="af7"/>
          <w:rFonts w:eastAsia="Guttman Hodes"/>
          <w:rtl/>
        </w:rPr>
        <w:instrText xml:space="preserve"> </w:instrText>
      </w:r>
      <w:r w:rsidRPr="007B3B2E">
        <w:rPr>
          <w:rStyle w:val="af7"/>
          <w:rFonts w:eastAsia="Guttman Hodes"/>
          <w:rtl/>
        </w:rPr>
      </w:r>
      <w:r w:rsidRPr="007B3B2E">
        <w:rPr>
          <w:rStyle w:val="af7"/>
          <w:rFonts w:eastAsia="Guttman Hodes"/>
          <w:rtl/>
        </w:rPr>
        <w:fldChar w:fldCharType="separate"/>
      </w:r>
      <w:r w:rsidR="00345400">
        <w:rPr>
          <w:rStyle w:val="af7"/>
          <w:rFonts w:eastAsia="Guttman Hodes"/>
          <w:cs/>
        </w:rPr>
        <w:t>‎</w:t>
      </w:r>
      <w:r w:rsidR="00345400">
        <w:rPr>
          <w:rStyle w:val="af7"/>
          <w:rFonts w:eastAsia="Guttman Hodes"/>
          <w:rtl/>
        </w:rPr>
        <w:t>ה)</w:t>
      </w:r>
      <w:r w:rsidRPr="007B3B2E">
        <w:rPr>
          <w:rStyle w:val="af7"/>
          <w:rFonts w:eastAsia="Guttman Hodes"/>
          <w:rtl/>
        </w:rPr>
        <w:fldChar w:fldCharType="end"/>
      </w:r>
      <w:r>
        <w:rPr>
          <w:rFonts w:hint="cs"/>
          <w:rtl/>
        </w:rPr>
        <w:t xml:space="preserve"> בדעת </w:t>
      </w:r>
      <w:r w:rsidRPr="00B1479F">
        <w:rPr>
          <w:rStyle w:val="af9"/>
          <w:rFonts w:hint="cs"/>
          <w:rtl/>
        </w:rPr>
        <w:t>הרמב"ם</w:t>
      </w:r>
      <w:r>
        <w:rPr>
          <w:rFonts w:hint="cs"/>
          <w:rtl/>
        </w:rPr>
        <w:t xml:space="preserve">, אבל הגמ' לעיל </w:t>
      </w:r>
      <w:r w:rsidRPr="005A4747">
        <w:rPr>
          <w:rStyle w:val="af7"/>
          <w:rFonts w:eastAsia="Guttman Hodes" w:hint="cs"/>
          <w:rtl/>
        </w:rPr>
        <w:t>(סט.)</w:t>
      </w:r>
      <w:r>
        <w:rPr>
          <w:rFonts w:hint="cs"/>
          <w:rtl/>
        </w:rPr>
        <w:t xml:space="preserve"> היא בדעת ר"י דהתיר בחלבו.</w:t>
      </w:r>
    </w:p>
    <w:p w14:paraId="46984E1A" w14:textId="77777777" w:rsidR="003D504D" w:rsidRDefault="003D504D" w:rsidP="003D504D">
      <w:pPr>
        <w:pStyle w:val="afe"/>
        <w:rPr>
          <w:rtl/>
        </w:rPr>
      </w:pPr>
      <w:bookmarkStart w:id="24005" w:name="_Toc4012258"/>
      <w:bookmarkStart w:id="24006" w:name="_Toc4013284"/>
      <w:bookmarkStart w:id="24007" w:name="_Toc4022792"/>
      <w:bookmarkStart w:id="24008" w:name="_Toc4026617"/>
      <w:bookmarkStart w:id="24009" w:name="_Toc4139415"/>
      <w:bookmarkStart w:id="24010" w:name="_Toc4151509"/>
      <w:bookmarkStart w:id="24011" w:name="_Toc19436374"/>
      <w:bookmarkStart w:id="24012" w:name="_Toc20081504"/>
      <w:bookmarkStart w:id="24013" w:name="_Toc3929021"/>
      <w:bookmarkStart w:id="24014" w:name="_Toc3978410"/>
      <w:r>
        <w:rPr>
          <w:rFonts w:hint="cs"/>
          <w:rtl/>
        </w:rPr>
        <w:t>הביאור דשחיטה אינה מתירה חלב לרמב"ם</w:t>
      </w:r>
      <w:bookmarkEnd w:id="24005"/>
      <w:bookmarkEnd w:id="24006"/>
      <w:bookmarkEnd w:id="24007"/>
      <w:bookmarkEnd w:id="24008"/>
      <w:bookmarkEnd w:id="24009"/>
      <w:bookmarkEnd w:id="24010"/>
      <w:bookmarkEnd w:id="24011"/>
      <w:bookmarkEnd w:id="24012"/>
      <w:r>
        <w:rPr>
          <w:rFonts w:hint="cs"/>
          <w:rtl/>
        </w:rPr>
        <w:t xml:space="preserve"> </w:t>
      </w:r>
    </w:p>
    <w:p w14:paraId="5BF92099" w14:textId="77777777" w:rsidR="003D504D" w:rsidRDefault="003D504D" w:rsidP="00BF39B2">
      <w:pPr>
        <w:pStyle w:val="1"/>
        <w:rPr>
          <w:rtl/>
        </w:rPr>
      </w:pPr>
      <w:bookmarkStart w:id="24015" w:name="_Toc4012259"/>
      <w:bookmarkStart w:id="24016" w:name="_Toc4013285"/>
      <w:bookmarkStart w:id="24017" w:name="_Toc4022793"/>
      <w:bookmarkStart w:id="24018" w:name="_Toc4026618"/>
      <w:bookmarkStart w:id="24019" w:name="_Toc4139416"/>
      <w:bookmarkStart w:id="24020" w:name="_Toc4151510"/>
      <w:bookmarkStart w:id="24021" w:name="_Toc19391965"/>
      <w:bookmarkStart w:id="24022" w:name="_Toc19395462"/>
      <w:r>
        <w:rPr>
          <w:rFonts w:hint="cs"/>
          <w:rtl/>
        </w:rPr>
        <w:t>ביאור האיסור והיתר והנצי"ב ברמב"ם דההיתר הוא רק בשחיטה</w:t>
      </w:r>
      <w:bookmarkEnd w:id="24013"/>
      <w:bookmarkEnd w:id="24014"/>
      <w:bookmarkEnd w:id="24015"/>
      <w:bookmarkEnd w:id="24016"/>
      <w:bookmarkEnd w:id="24017"/>
      <w:bookmarkEnd w:id="24018"/>
      <w:bookmarkEnd w:id="24019"/>
      <w:bookmarkEnd w:id="24020"/>
      <w:bookmarkEnd w:id="24021"/>
      <w:bookmarkEnd w:id="24022"/>
    </w:p>
    <w:p w14:paraId="7F646FA9" w14:textId="77777777" w:rsidR="003D504D" w:rsidRPr="003F6F63" w:rsidRDefault="003D504D" w:rsidP="003D504D">
      <w:pPr>
        <w:pStyle w:val="a3"/>
        <w:rPr>
          <w:rtl/>
        </w:rPr>
      </w:pPr>
      <w:bookmarkStart w:id="24023" w:name="_Toc3929022"/>
      <w:bookmarkStart w:id="24024" w:name="_Toc3978411"/>
      <w:bookmarkStart w:id="24025" w:name="_Toc4012260"/>
      <w:bookmarkStart w:id="24026" w:name="_Toc4013286"/>
      <w:bookmarkStart w:id="24027" w:name="_Toc4022794"/>
      <w:bookmarkStart w:id="24028" w:name="_Toc4026619"/>
      <w:bookmarkStart w:id="24029" w:name="_Toc4139417"/>
      <w:bookmarkStart w:id="24030" w:name="_Toc4151511"/>
      <w:bookmarkStart w:id="24031" w:name="_Toc19391966"/>
      <w:bookmarkStart w:id="24032" w:name="_Toc19395463"/>
      <w:r>
        <w:rPr>
          <w:rFonts w:hint="cs"/>
          <w:rtl/>
        </w:rPr>
        <w:t>ביאור האיסור והיתר דלהרמב"ם שחיטה האם מתירה בעובר כמו שמתירה בעצמה ולא את החלב</w:t>
      </w:r>
      <w:bookmarkEnd w:id="24023"/>
      <w:bookmarkEnd w:id="24024"/>
      <w:bookmarkEnd w:id="24025"/>
      <w:bookmarkEnd w:id="24026"/>
      <w:bookmarkEnd w:id="24027"/>
      <w:bookmarkEnd w:id="24028"/>
      <w:bookmarkEnd w:id="24029"/>
      <w:bookmarkEnd w:id="24030"/>
      <w:bookmarkEnd w:id="24031"/>
      <w:bookmarkEnd w:id="24032"/>
    </w:p>
    <w:p w14:paraId="4B1C9DAE" w14:textId="77777777" w:rsidR="003D504D" w:rsidRDefault="003D504D" w:rsidP="00223668">
      <w:pPr>
        <w:pStyle w:val="a0"/>
      </w:pPr>
      <w:bookmarkStart w:id="24033" w:name="_Ref4142045"/>
      <w:r w:rsidRPr="008C1C2A">
        <w:rPr>
          <w:rStyle w:val="af9"/>
          <w:rFonts w:hint="cs"/>
          <w:rtl/>
        </w:rPr>
        <w:t>ובאיסור והיתר להר"י מבניולש</w:t>
      </w:r>
      <w:r>
        <w:rPr>
          <w:rFonts w:hint="cs"/>
          <w:rtl/>
        </w:rPr>
        <w:t xml:space="preserve"> </w:t>
      </w:r>
      <w:r w:rsidRPr="00EC10DA">
        <w:rPr>
          <w:rStyle w:val="af7"/>
          <w:rFonts w:eastAsia="Guttman Hodes" w:hint="cs"/>
          <w:rtl/>
        </w:rPr>
        <w:t>(פכ"ו, הועתק בקובץ שיטות קמאי חולין ח"ב עמ' אלף תרמ"ח)</w:t>
      </w:r>
      <w:r>
        <w:rPr>
          <w:rFonts w:hint="cs"/>
          <w:rtl/>
        </w:rPr>
        <w:t xml:space="preserve"> ביאר את דעת </w:t>
      </w:r>
      <w:r w:rsidRPr="00EC10DA">
        <w:rPr>
          <w:rStyle w:val="af9"/>
          <w:rFonts w:hint="cs"/>
          <w:rtl/>
        </w:rPr>
        <w:t>הרמב"ם</w:t>
      </w:r>
      <w:r>
        <w:rPr>
          <w:rFonts w:hint="cs"/>
          <w:rtl/>
        </w:rPr>
        <w:t xml:space="preserve"> דהא דקיי"ל כר"י דשחיטת האם מהני לעובר, היינו דוקא במה שמהני השחיטה להתיר את הבהמה עצמה, דהיינו להוציאה מאיסור אבר מן החי, אבל לאיסורים אחרים כגיד וחלב, שלא מהני השחיטה להתיר בבהמה עצמה, לא מהני שחיטת האם להתיר בעובר, </w:t>
      </w:r>
      <w:r w:rsidRPr="00EC10DA">
        <w:rPr>
          <w:rStyle w:val="afb"/>
          <w:rFonts w:hint="cs"/>
          <w:rtl/>
        </w:rPr>
        <w:t xml:space="preserve">[וכדהקשה </w:t>
      </w:r>
      <w:r w:rsidRPr="00212F81">
        <w:rPr>
          <w:rStyle w:val="affa"/>
          <w:rFonts w:hint="cs"/>
          <w:rtl/>
        </w:rPr>
        <w:t>הרא"ש</w:t>
      </w:r>
      <w:r w:rsidRPr="00EC10DA">
        <w:rPr>
          <w:rStyle w:val="afb"/>
          <w:rFonts w:hint="cs"/>
          <w:rtl/>
        </w:rPr>
        <w:t xml:space="preserve"> </w:t>
      </w:r>
      <w:r w:rsidRPr="00212F81">
        <w:rPr>
          <w:rStyle w:val="aff6"/>
          <w:rFonts w:hint="cs"/>
          <w:rtl/>
        </w:rPr>
        <w:t xml:space="preserve">(עי' אות </w:t>
      </w:r>
      <w:r w:rsidRPr="00212F81">
        <w:rPr>
          <w:rStyle w:val="aff6"/>
          <w:rtl/>
        </w:rPr>
        <w:fldChar w:fldCharType="begin"/>
      </w:r>
      <w:r w:rsidRPr="00212F81">
        <w:rPr>
          <w:rStyle w:val="aff6"/>
          <w:rtl/>
        </w:rPr>
        <w:instrText xml:space="preserve"> </w:instrText>
      </w:r>
      <w:r w:rsidRPr="00212F81">
        <w:rPr>
          <w:rStyle w:val="aff6"/>
          <w:rFonts w:hint="cs"/>
        </w:rPr>
        <w:instrText>REF</w:instrText>
      </w:r>
      <w:r w:rsidRPr="00212F81">
        <w:rPr>
          <w:rStyle w:val="aff6"/>
          <w:rFonts w:hint="cs"/>
          <w:rtl/>
        </w:rPr>
        <w:instrText xml:space="preserve"> _</w:instrText>
      </w:r>
      <w:r w:rsidRPr="00212F81">
        <w:rPr>
          <w:rStyle w:val="aff6"/>
          <w:rFonts w:hint="cs"/>
        </w:rPr>
        <w:instrText>Ref4143984 \r \h</w:instrText>
      </w:r>
      <w:r w:rsidRPr="00212F81">
        <w:rPr>
          <w:rStyle w:val="aff6"/>
          <w:rtl/>
        </w:rPr>
        <w:instrText xml:space="preserve"> </w:instrText>
      </w:r>
      <w:r w:rsidRPr="00212F81">
        <w:rPr>
          <w:rStyle w:val="aff6"/>
          <w:rtl/>
        </w:rPr>
      </w:r>
      <w:r w:rsidRPr="00212F81">
        <w:rPr>
          <w:rStyle w:val="aff6"/>
          <w:rtl/>
        </w:rPr>
        <w:fldChar w:fldCharType="separate"/>
      </w:r>
      <w:r w:rsidR="00345400">
        <w:rPr>
          <w:rStyle w:val="aff6"/>
          <w:cs/>
        </w:rPr>
        <w:t>‎</w:t>
      </w:r>
      <w:r w:rsidR="00345400">
        <w:rPr>
          <w:rStyle w:val="aff6"/>
          <w:rtl/>
        </w:rPr>
        <w:t>טו)</w:t>
      </w:r>
      <w:r w:rsidRPr="00212F81">
        <w:rPr>
          <w:rStyle w:val="aff6"/>
          <w:rtl/>
        </w:rPr>
        <w:fldChar w:fldCharType="end"/>
      </w:r>
      <w:r w:rsidRPr="00EC10DA">
        <w:rPr>
          <w:rStyle w:val="afb"/>
          <w:rFonts w:hint="cs"/>
          <w:rtl/>
        </w:rPr>
        <w:t xml:space="preserve">], </w:t>
      </w:r>
      <w:r>
        <w:rPr>
          <w:rFonts w:hint="cs"/>
          <w:rtl/>
        </w:rPr>
        <w:t xml:space="preserve">ולכן פסק </w:t>
      </w:r>
      <w:r w:rsidRPr="00EC10DA">
        <w:rPr>
          <w:rStyle w:val="af9"/>
          <w:rFonts w:hint="cs"/>
          <w:rtl/>
        </w:rPr>
        <w:t>הרמב"ם</w:t>
      </w:r>
      <w:r>
        <w:rPr>
          <w:rFonts w:hint="cs"/>
          <w:rtl/>
        </w:rPr>
        <w:t xml:space="preserve"> בגיד וחלב כר"מ, דמשעה שחל איסור על החלב ועל הגיד אין כח בשחיטה להתירם.</w:t>
      </w:r>
      <w:bookmarkEnd w:id="24033"/>
    </w:p>
    <w:p w14:paraId="23D9FCA5" w14:textId="77777777" w:rsidR="003D504D" w:rsidRPr="003B1994" w:rsidRDefault="003D504D" w:rsidP="003D504D">
      <w:pPr>
        <w:pStyle w:val="a3"/>
      </w:pPr>
      <w:bookmarkStart w:id="24034" w:name="_Toc3929023"/>
      <w:bookmarkStart w:id="24035" w:name="_Toc3978412"/>
      <w:bookmarkStart w:id="24036" w:name="_Toc4012261"/>
      <w:bookmarkStart w:id="24037" w:name="_Toc4013287"/>
      <w:bookmarkStart w:id="24038" w:name="_Toc4022795"/>
      <w:bookmarkStart w:id="24039" w:name="_Toc4026620"/>
      <w:bookmarkStart w:id="24040" w:name="_Toc4139418"/>
      <w:bookmarkStart w:id="24041" w:name="_Toc4151512"/>
      <w:bookmarkStart w:id="24042" w:name="_Toc19391967"/>
      <w:bookmarkStart w:id="24043" w:name="_Toc19395464"/>
      <w:r>
        <w:rPr>
          <w:rFonts w:hint="cs"/>
          <w:rtl/>
        </w:rPr>
        <w:t>דברי האיסור והיתר דבגיד פסק הרמב"ם כגמ' לקמן ובחלב פסק כריו"ח דאוסר בבן ט'</w:t>
      </w:r>
      <w:bookmarkEnd w:id="24034"/>
      <w:bookmarkEnd w:id="24035"/>
      <w:bookmarkEnd w:id="24036"/>
      <w:bookmarkEnd w:id="24037"/>
      <w:bookmarkEnd w:id="24038"/>
      <w:bookmarkEnd w:id="24039"/>
      <w:bookmarkEnd w:id="24040"/>
      <w:bookmarkEnd w:id="24041"/>
      <w:bookmarkEnd w:id="24042"/>
      <w:bookmarkEnd w:id="24043"/>
    </w:p>
    <w:p w14:paraId="7CBE1703" w14:textId="77777777" w:rsidR="003D504D" w:rsidRDefault="003D504D" w:rsidP="00223668">
      <w:pPr>
        <w:pStyle w:val="a0"/>
        <w:rPr>
          <w:rtl/>
        </w:rPr>
      </w:pPr>
      <w:r>
        <w:rPr>
          <w:rFonts w:hint="cs"/>
          <w:rtl/>
        </w:rPr>
        <w:t xml:space="preserve">וכתב </w:t>
      </w:r>
      <w:r w:rsidRPr="008C1C2A">
        <w:rPr>
          <w:rStyle w:val="af9"/>
          <w:rFonts w:hint="cs"/>
          <w:rtl/>
        </w:rPr>
        <w:t>באיסור והיתר להר"י מבניולש</w:t>
      </w:r>
      <w:r>
        <w:rPr>
          <w:rFonts w:hint="cs"/>
          <w:rtl/>
        </w:rPr>
        <w:t xml:space="preserve"> דבגמ' לקמן </w:t>
      </w:r>
      <w:r w:rsidRPr="00AD4458">
        <w:rPr>
          <w:rStyle w:val="af7"/>
          <w:rFonts w:eastAsia="Guttman Hodes" w:hint="cs"/>
          <w:rtl/>
        </w:rPr>
        <w:t xml:space="preserve">(פט:) </w:t>
      </w:r>
      <w:r>
        <w:rPr>
          <w:rFonts w:hint="cs"/>
          <w:rtl/>
        </w:rPr>
        <w:t xml:space="preserve">מצינו דהגיד דשליל נקרא גיד הנשה, דאמרינן דאיסור מוקדשין ואיסור גיד חלים יחד, </w:t>
      </w:r>
      <w:r w:rsidRPr="00AD4458">
        <w:rPr>
          <w:rStyle w:val="afb"/>
          <w:rFonts w:hint="cs"/>
          <w:rtl/>
        </w:rPr>
        <w:t>[ומבואר דמשעת יצירתו נקרא גיד],</w:t>
      </w:r>
      <w:r>
        <w:rPr>
          <w:rFonts w:hint="cs"/>
          <w:rtl/>
        </w:rPr>
        <w:t xml:space="preserve"> ובחלב פסק </w:t>
      </w:r>
      <w:r w:rsidRPr="00AD4458">
        <w:rPr>
          <w:rStyle w:val="af9"/>
          <w:rFonts w:hint="cs"/>
          <w:rtl/>
        </w:rPr>
        <w:t>הרמב"ם</w:t>
      </w:r>
      <w:r>
        <w:rPr>
          <w:rFonts w:hint="cs"/>
          <w:rtl/>
        </w:rPr>
        <w:t xml:space="preserve"> כריו"ח דכשלו לו חדשיו נקרא חלב, אבל בבן ח' בין לריו"ח ובין לר"ל אינו נקרא חלב, דלמסקנא כו"ע ס"ל דבהטילה נפל אין בו איסור חלב.</w:t>
      </w:r>
    </w:p>
    <w:p w14:paraId="2385BC76" w14:textId="77777777" w:rsidR="003D504D" w:rsidRPr="00C069AF" w:rsidRDefault="003D504D" w:rsidP="003D504D">
      <w:pPr>
        <w:pStyle w:val="a3"/>
        <w:rPr>
          <w:rtl/>
        </w:rPr>
      </w:pPr>
      <w:bookmarkStart w:id="24044" w:name="_Toc3929024"/>
      <w:bookmarkStart w:id="24045" w:name="_Toc3978413"/>
      <w:bookmarkStart w:id="24046" w:name="_Toc4012262"/>
      <w:bookmarkStart w:id="24047" w:name="_Toc4013288"/>
      <w:bookmarkStart w:id="24048" w:name="_Toc4022796"/>
      <w:bookmarkStart w:id="24049" w:name="_Toc4026621"/>
      <w:bookmarkStart w:id="24050" w:name="_Toc4139419"/>
      <w:bookmarkStart w:id="24051" w:name="_Toc4151513"/>
      <w:bookmarkStart w:id="24052" w:name="_Toc19391968"/>
      <w:bookmarkStart w:id="24053" w:name="_Toc19395465"/>
      <w:r>
        <w:rPr>
          <w:rFonts w:hint="cs"/>
          <w:rtl/>
        </w:rPr>
        <w:t>ביאור הנצי"ב דלהרמב"ם שחיטת האם מתירה רק איסור אינו זבוח ומוכח דרב הושעיא ס"ל כר"ל</w:t>
      </w:r>
      <w:bookmarkEnd w:id="24044"/>
      <w:bookmarkEnd w:id="24045"/>
      <w:bookmarkEnd w:id="24046"/>
      <w:bookmarkEnd w:id="24047"/>
      <w:bookmarkEnd w:id="24048"/>
      <w:bookmarkEnd w:id="24049"/>
      <w:bookmarkEnd w:id="24050"/>
      <w:bookmarkEnd w:id="24051"/>
      <w:bookmarkEnd w:id="24052"/>
      <w:bookmarkEnd w:id="24053"/>
    </w:p>
    <w:p w14:paraId="5C9BC3C5" w14:textId="77777777" w:rsidR="003D504D" w:rsidRDefault="003D504D" w:rsidP="00223668">
      <w:pPr>
        <w:pStyle w:val="a0"/>
        <w:rPr>
          <w:rtl/>
        </w:rPr>
      </w:pPr>
      <w:bookmarkStart w:id="24054" w:name="_Ref4142081"/>
      <w:r>
        <w:rPr>
          <w:rFonts w:hint="cs"/>
          <w:rtl/>
        </w:rPr>
        <w:t xml:space="preserve">וכן ביאר </w:t>
      </w:r>
      <w:r>
        <w:rPr>
          <w:rStyle w:val="af9"/>
          <w:rFonts w:hint="cs"/>
          <w:rtl/>
        </w:rPr>
        <w:t>המרומי שדה</w:t>
      </w:r>
      <w:r>
        <w:rPr>
          <w:rFonts w:hint="cs"/>
          <w:rtl/>
        </w:rPr>
        <w:t xml:space="preserve"> </w:t>
      </w:r>
      <w:r w:rsidRPr="00D369FB">
        <w:rPr>
          <w:rStyle w:val="af7"/>
          <w:rFonts w:eastAsia="Guttman Hodes" w:hint="cs"/>
          <w:rtl/>
        </w:rPr>
        <w:t>(עד. ד"ה השוחט)</w:t>
      </w:r>
      <w:r>
        <w:rPr>
          <w:rFonts w:hint="cs"/>
          <w:rtl/>
        </w:rPr>
        <w:t xml:space="preserve"> דס"ל </w:t>
      </w:r>
      <w:r w:rsidRPr="00D369FB">
        <w:rPr>
          <w:rStyle w:val="af9"/>
          <w:rFonts w:hint="cs"/>
          <w:rtl/>
        </w:rPr>
        <w:t>להרמב"ם</w:t>
      </w:r>
      <w:r>
        <w:rPr>
          <w:rFonts w:hint="cs"/>
          <w:rtl/>
        </w:rPr>
        <w:t xml:space="preserve"> דאין כח בשחיטה להתיר איסורים, </w:t>
      </w:r>
      <w:r w:rsidRPr="00EC10DA">
        <w:rPr>
          <w:rStyle w:val="afb"/>
          <w:rFonts w:hint="cs"/>
          <w:rtl/>
        </w:rPr>
        <w:t xml:space="preserve">[וכדהקשה </w:t>
      </w:r>
      <w:r w:rsidRPr="00212F81">
        <w:rPr>
          <w:rStyle w:val="affa"/>
          <w:rFonts w:hint="cs"/>
          <w:rtl/>
        </w:rPr>
        <w:t>הרא"ש</w:t>
      </w:r>
      <w:r w:rsidRPr="00EC10DA">
        <w:rPr>
          <w:rStyle w:val="afb"/>
          <w:rFonts w:hint="cs"/>
          <w:rtl/>
        </w:rPr>
        <w:t xml:space="preserve"> </w:t>
      </w:r>
      <w:r w:rsidRPr="00212F81">
        <w:rPr>
          <w:rStyle w:val="aff6"/>
          <w:rFonts w:hint="cs"/>
          <w:rtl/>
        </w:rPr>
        <w:t xml:space="preserve">(עי' אות </w:t>
      </w:r>
      <w:r w:rsidRPr="00212F81">
        <w:rPr>
          <w:rStyle w:val="aff6"/>
          <w:rtl/>
        </w:rPr>
        <w:fldChar w:fldCharType="begin"/>
      </w:r>
      <w:r w:rsidRPr="00212F81">
        <w:rPr>
          <w:rStyle w:val="aff6"/>
          <w:rtl/>
        </w:rPr>
        <w:instrText xml:space="preserve"> </w:instrText>
      </w:r>
      <w:r w:rsidRPr="00212F81">
        <w:rPr>
          <w:rStyle w:val="aff6"/>
          <w:rFonts w:hint="cs"/>
        </w:rPr>
        <w:instrText>REF</w:instrText>
      </w:r>
      <w:r w:rsidRPr="00212F81">
        <w:rPr>
          <w:rStyle w:val="aff6"/>
          <w:rFonts w:hint="cs"/>
          <w:rtl/>
        </w:rPr>
        <w:instrText xml:space="preserve"> _</w:instrText>
      </w:r>
      <w:r w:rsidRPr="00212F81">
        <w:rPr>
          <w:rStyle w:val="aff6"/>
          <w:rFonts w:hint="cs"/>
        </w:rPr>
        <w:instrText>Ref4143984 \r \h</w:instrText>
      </w:r>
      <w:r w:rsidRPr="00212F81">
        <w:rPr>
          <w:rStyle w:val="aff6"/>
          <w:rtl/>
        </w:rPr>
        <w:instrText xml:space="preserve"> </w:instrText>
      </w:r>
      <w:r w:rsidRPr="00212F81">
        <w:rPr>
          <w:rStyle w:val="aff6"/>
          <w:rtl/>
        </w:rPr>
      </w:r>
      <w:r w:rsidRPr="00212F81">
        <w:rPr>
          <w:rStyle w:val="aff6"/>
          <w:rtl/>
        </w:rPr>
        <w:fldChar w:fldCharType="separate"/>
      </w:r>
      <w:r w:rsidR="00345400">
        <w:rPr>
          <w:rStyle w:val="aff6"/>
          <w:cs/>
        </w:rPr>
        <w:t>‎</w:t>
      </w:r>
      <w:r w:rsidR="00345400">
        <w:rPr>
          <w:rStyle w:val="aff6"/>
          <w:rtl/>
        </w:rPr>
        <w:t>טו)</w:t>
      </w:r>
      <w:r w:rsidRPr="00212F81">
        <w:rPr>
          <w:rStyle w:val="aff6"/>
          <w:rtl/>
        </w:rPr>
        <w:fldChar w:fldCharType="end"/>
      </w:r>
      <w:r w:rsidRPr="00EC10DA">
        <w:rPr>
          <w:rStyle w:val="afb"/>
          <w:rFonts w:hint="cs"/>
          <w:rtl/>
        </w:rPr>
        <w:t xml:space="preserve">], </w:t>
      </w:r>
      <w:r>
        <w:rPr>
          <w:rFonts w:hint="cs"/>
          <w:rtl/>
        </w:rPr>
        <w:t xml:space="preserve">והשחיטה מתירה רק את איסור אינו זבוח, ולכן חייב על חלב של בן ט', והא דאמר רב אושעיא דהלכו ר"מ ור"י לשיטתם, הוא כיון דס"ל כר"ל דלדעת ר"י לא חשיב כחלב כלל אלא כבשר, אבל לדעת ריו"ח דס"ל דחדשים גרמי, ויש לו דין חלב, א"א לומר כרב הושעיא דהלכו ר"י ור"מ לשיטתם, דכיון שחל עליו איסור חלב, לא יתכן דס"ל לר"י דהוא מותר בשחיטה, </w:t>
      </w:r>
      <w:r w:rsidRPr="00D369FB">
        <w:rPr>
          <w:rStyle w:val="af9"/>
          <w:rFonts w:hint="cs"/>
          <w:rtl/>
        </w:rPr>
        <w:t>והרמב"ם</w:t>
      </w:r>
      <w:r>
        <w:rPr>
          <w:rFonts w:hint="cs"/>
          <w:rtl/>
        </w:rPr>
        <w:t xml:space="preserve"> פסק כריו"ח ודלא כרב הושעיא, וע"ע בדברי </w:t>
      </w:r>
      <w:r w:rsidRPr="00902072">
        <w:rPr>
          <w:rStyle w:val="af9"/>
          <w:rFonts w:hint="cs"/>
          <w:rtl/>
        </w:rPr>
        <w:t xml:space="preserve">המרומי שדה </w:t>
      </w:r>
      <w:r w:rsidRPr="00902072">
        <w:rPr>
          <w:rStyle w:val="af7"/>
          <w:rFonts w:eastAsia="Guttman Hodes" w:hint="cs"/>
          <w:rtl/>
        </w:rPr>
        <w:t>(</w:t>
      </w:r>
      <w:r>
        <w:rPr>
          <w:rStyle w:val="af7"/>
          <w:rFonts w:eastAsia="Guttman Hodes" w:hint="cs"/>
          <w:rtl/>
        </w:rPr>
        <w:t xml:space="preserve">עד. </w:t>
      </w:r>
      <w:r w:rsidRPr="00902072">
        <w:rPr>
          <w:rStyle w:val="af7"/>
          <w:rFonts w:eastAsia="Guttman Hodes" w:hint="cs"/>
          <w:rtl/>
        </w:rPr>
        <w:t>ד"ה ונראה עוד</w:t>
      </w:r>
      <w:r>
        <w:rPr>
          <w:rStyle w:val="af7"/>
          <w:rFonts w:eastAsia="Guttman Hodes" w:hint="cs"/>
          <w:rtl/>
        </w:rPr>
        <w:t xml:space="preserve">, </w:t>
      </w:r>
      <w:r w:rsidR="00AC7E32">
        <w:rPr>
          <w:rStyle w:val="af7"/>
          <w:rFonts w:eastAsia="Guttman Hodes" w:hint="cs"/>
          <w:rtl/>
        </w:rPr>
        <w:t>הובא בסימן</w:t>
      </w:r>
      <w:r>
        <w:rPr>
          <w:rStyle w:val="af7"/>
          <w:rFonts w:eastAsia="Guttman Hodes" w:hint="cs"/>
          <w:rtl/>
        </w:rPr>
        <w:t xml:space="preserve"> ו' אות ט'</w:t>
      </w:r>
      <w:r w:rsidRPr="00902072">
        <w:rPr>
          <w:rStyle w:val="af7"/>
          <w:rFonts w:eastAsia="Guttman Hodes" w:hint="cs"/>
          <w:rtl/>
        </w:rPr>
        <w:t>)</w:t>
      </w:r>
      <w:r>
        <w:rPr>
          <w:rFonts w:hint="cs"/>
          <w:rtl/>
        </w:rPr>
        <w:t xml:space="preserve"> במ"ש בביאור הילפותא להיתר בן פקועה לר"י ולר"מ.</w:t>
      </w:r>
      <w:bookmarkEnd w:id="24054"/>
    </w:p>
    <w:p w14:paraId="5EB252A7" w14:textId="77777777" w:rsidR="003D504D" w:rsidRDefault="003D504D" w:rsidP="00BF39B2">
      <w:pPr>
        <w:pStyle w:val="1"/>
        <w:rPr>
          <w:rtl/>
        </w:rPr>
      </w:pPr>
      <w:bookmarkStart w:id="24055" w:name="_Toc3929025"/>
      <w:bookmarkStart w:id="24056" w:name="_Toc3978414"/>
      <w:bookmarkStart w:id="24057" w:name="_Toc4012263"/>
      <w:bookmarkStart w:id="24058" w:name="_Toc4013289"/>
      <w:bookmarkStart w:id="24059" w:name="_Toc4022797"/>
      <w:bookmarkStart w:id="24060" w:name="_Toc4026622"/>
      <w:bookmarkStart w:id="24061" w:name="_Toc4139420"/>
      <w:bookmarkStart w:id="24062" w:name="_Toc4151514"/>
      <w:bookmarkStart w:id="24063" w:name="_Toc19391969"/>
      <w:bookmarkStart w:id="24064" w:name="_Toc19395466"/>
      <w:r>
        <w:rPr>
          <w:rFonts w:hint="cs"/>
          <w:rtl/>
        </w:rPr>
        <w:t>ביאור הצפנת פענח ברמב"ם דבבן ח' יש היתר</w:t>
      </w:r>
      <w:r w:rsidRPr="00F924EF">
        <w:rPr>
          <w:rFonts w:hint="cs"/>
          <w:rtl/>
        </w:rPr>
        <w:t xml:space="preserve"> </w:t>
      </w:r>
      <w:r>
        <w:rPr>
          <w:rFonts w:hint="cs"/>
          <w:rtl/>
        </w:rPr>
        <w:t>ובן ט' כשחוט</w:t>
      </w:r>
      <w:bookmarkEnd w:id="24055"/>
      <w:bookmarkEnd w:id="24056"/>
      <w:bookmarkEnd w:id="24057"/>
      <w:bookmarkEnd w:id="24058"/>
      <w:bookmarkEnd w:id="24059"/>
      <w:bookmarkEnd w:id="24060"/>
      <w:bookmarkEnd w:id="24061"/>
      <w:bookmarkEnd w:id="24062"/>
      <w:bookmarkEnd w:id="24063"/>
      <w:bookmarkEnd w:id="24064"/>
    </w:p>
    <w:p w14:paraId="7A19B4B2" w14:textId="77777777" w:rsidR="003D504D" w:rsidRPr="005401BD" w:rsidRDefault="003D504D" w:rsidP="003D504D">
      <w:pPr>
        <w:pStyle w:val="a3"/>
        <w:rPr>
          <w:rtl/>
        </w:rPr>
      </w:pPr>
      <w:bookmarkStart w:id="24065" w:name="_Toc3929026"/>
      <w:bookmarkStart w:id="24066" w:name="_Toc3978415"/>
      <w:bookmarkStart w:id="24067" w:name="_Toc4012264"/>
      <w:bookmarkStart w:id="24068" w:name="_Toc4013290"/>
      <w:bookmarkStart w:id="24069" w:name="_Toc4022798"/>
      <w:bookmarkStart w:id="24070" w:name="_Toc4026623"/>
      <w:bookmarkStart w:id="24071" w:name="_Toc4139421"/>
      <w:bookmarkStart w:id="24072" w:name="_Toc4151515"/>
      <w:bookmarkStart w:id="24073" w:name="_Toc19391970"/>
      <w:bookmarkStart w:id="24074" w:name="_Toc19395467"/>
      <w:r>
        <w:rPr>
          <w:rFonts w:hint="cs"/>
          <w:rtl/>
        </w:rPr>
        <w:t>ביאור הצפנת פענח דבבן ח' יש בו היתר דכל בבהמה ואינו מדין שחיטה ולכן חלבו מותר</w:t>
      </w:r>
      <w:bookmarkEnd w:id="24065"/>
      <w:bookmarkEnd w:id="24066"/>
      <w:bookmarkEnd w:id="24067"/>
      <w:bookmarkEnd w:id="24068"/>
      <w:bookmarkEnd w:id="24069"/>
      <w:bookmarkEnd w:id="24070"/>
      <w:bookmarkEnd w:id="24071"/>
      <w:bookmarkEnd w:id="24072"/>
      <w:bookmarkEnd w:id="24073"/>
      <w:bookmarkEnd w:id="24074"/>
    </w:p>
    <w:p w14:paraId="4735FD4F" w14:textId="77777777" w:rsidR="003D504D" w:rsidRDefault="003D504D" w:rsidP="00223668">
      <w:pPr>
        <w:pStyle w:val="a0"/>
        <w:rPr>
          <w:rtl/>
        </w:rPr>
      </w:pPr>
      <w:bookmarkStart w:id="24075" w:name="_Ref4139972"/>
      <w:r w:rsidRPr="00F30DFF">
        <w:rPr>
          <w:rStyle w:val="af9"/>
          <w:rFonts w:hint="cs"/>
          <w:rtl/>
        </w:rPr>
        <w:t>והצפנת פענח</w:t>
      </w:r>
      <w:r>
        <w:rPr>
          <w:rFonts w:hint="cs"/>
          <w:rtl/>
        </w:rPr>
        <w:t xml:space="preserve"> </w:t>
      </w:r>
      <w:r w:rsidRPr="00F924EF">
        <w:rPr>
          <w:rStyle w:val="af7"/>
          <w:rFonts w:eastAsia="Guttman Hodes" w:hint="cs"/>
          <w:rtl/>
        </w:rPr>
        <w:t>(מאכ"א פ"א ה"ו בתו"ד, פ"ה ה"ט בתו"ד)</w:t>
      </w:r>
      <w:r>
        <w:rPr>
          <w:rFonts w:hint="cs"/>
          <w:rtl/>
        </w:rPr>
        <w:t xml:space="preserve"> ביאר דס"ל </w:t>
      </w:r>
      <w:r w:rsidRPr="00F30DFF">
        <w:rPr>
          <w:rStyle w:val="af9"/>
          <w:rFonts w:hint="cs"/>
          <w:rtl/>
        </w:rPr>
        <w:t>להרמב"ם</w:t>
      </w:r>
      <w:r>
        <w:rPr>
          <w:rFonts w:hint="cs"/>
          <w:rtl/>
        </w:rPr>
        <w:t xml:space="preserve"> דההיתר בבן ח' אינו מדין שחיטה, דהא אין במינו שחיטה ולא מהני לו שחיטת אמו כלל, דלא שייך לומר בו דד' סימנים אכשר ביה רחמנא, אלא ההיתר שלו הוא אגב אמו, </w:t>
      </w:r>
      <w:r w:rsidRPr="00A02E73">
        <w:rPr>
          <w:rStyle w:val="afb"/>
          <w:rFonts w:hint="cs"/>
          <w:rtl/>
        </w:rPr>
        <w:t>[ואף חלבו בכלל ההיתר]</w:t>
      </w:r>
      <w:r>
        <w:rPr>
          <w:rFonts w:hint="cs"/>
          <w:rtl/>
        </w:rPr>
        <w:t>, מדין "כל בבהמה תאכלו".</w:t>
      </w:r>
      <w:r w:rsidRPr="00FD5182">
        <w:rPr>
          <w:rStyle w:val="afb"/>
          <w:rFonts w:hint="cs"/>
          <w:rtl/>
        </w:rPr>
        <w:t xml:space="preserve"> </w:t>
      </w:r>
      <w:r>
        <w:rPr>
          <w:rStyle w:val="afb"/>
          <w:rFonts w:hint="cs"/>
          <w:rtl/>
        </w:rPr>
        <w:t>[וכדחקר בזה</w:t>
      </w:r>
      <w:r w:rsidRPr="00015AF8">
        <w:rPr>
          <w:rStyle w:val="afb"/>
          <w:rFonts w:hint="cs"/>
          <w:rtl/>
        </w:rPr>
        <w:t xml:space="preserve"> </w:t>
      </w:r>
      <w:r w:rsidRPr="00015AF8">
        <w:rPr>
          <w:rStyle w:val="affa"/>
          <w:rFonts w:hint="cs"/>
          <w:rtl/>
        </w:rPr>
        <w:t>באתוון דאורייתא</w:t>
      </w:r>
      <w:r w:rsidRPr="00015AF8">
        <w:rPr>
          <w:rStyle w:val="afb"/>
          <w:rFonts w:hint="cs"/>
          <w:rtl/>
        </w:rPr>
        <w:t xml:space="preserve"> </w:t>
      </w:r>
      <w:r w:rsidRPr="00015AF8">
        <w:rPr>
          <w:rStyle w:val="aff6"/>
          <w:rFonts w:hint="cs"/>
          <w:rtl/>
        </w:rPr>
        <w:t>(כלל י"ד)</w:t>
      </w:r>
      <w:r w:rsidRPr="00015AF8">
        <w:rPr>
          <w:rStyle w:val="afb"/>
          <w:rFonts w:hint="cs"/>
          <w:rtl/>
        </w:rPr>
        <w:t>]</w:t>
      </w:r>
      <w:r>
        <w:rPr>
          <w:rStyle w:val="afb"/>
          <w:rFonts w:hint="cs"/>
          <w:rtl/>
        </w:rPr>
        <w:t>.</w:t>
      </w:r>
      <w:bookmarkEnd w:id="24075"/>
    </w:p>
    <w:p w14:paraId="7D43A839" w14:textId="77777777" w:rsidR="003D504D" w:rsidRPr="00F30DFF" w:rsidRDefault="003D504D" w:rsidP="003D504D">
      <w:pPr>
        <w:pStyle w:val="a3"/>
      </w:pPr>
      <w:bookmarkStart w:id="24076" w:name="_Toc3929027"/>
      <w:bookmarkStart w:id="24077" w:name="_Toc3978416"/>
      <w:bookmarkStart w:id="24078" w:name="_Toc4012265"/>
      <w:bookmarkStart w:id="24079" w:name="_Toc4013291"/>
      <w:bookmarkStart w:id="24080" w:name="_Toc4022799"/>
      <w:bookmarkStart w:id="24081" w:name="_Toc4026624"/>
      <w:bookmarkStart w:id="24082" w:name="_Toc4139422"/>
      <w:bookmarkStart w:id="24083" w:name="_Toc4151516"/>
      <w:bookmarkStart w:id="24084" w:name="_Toc19391971"/>
      <w:bookmarkStart w:id="24085" w:name="_Toc19395468"/>
      <w:r>
        <w:rPr>
          <w:rFonts w:hint="cs"/>
          <w:rtl/>
        </w:rPr>
        <w:t>ביאור הצפנת פענח דבן ט' חשיב כשחוט ואין בו "היתר" כל בבהמה ולכן חלבו אסור</w:t>
      </w:r>
      <w:bookmarkEnd w:id="24076"/>
      <w:bookmarkEnd w:id="24077"/>
      <w:bookmarkEnd w:id="24078"/>
      <w:bookmarkEnd w:id="24079"/>
      <w:bookmarkEnd w:id="24080"/>
      <w:bookmarkEnd w:id="24081"/>
      <w:bookmarkEnd w:id="24082"/>
      <w:bookmarkEnd w:id="24083"/>
      <w:bookmarkEnd w:id="24084"/>
      <w:bookmarkEnd w:id="24085"/>
    </w:p>
    <w:p w14:paraId="27997B75" w14:textId="77777777" w:rsidR="003D504D" w:rsidRPr="005130F6" w:rsidRDefault="003D504D" w:rsidP="00223668">
      <w:pPr>
        <w:pStyle w:val="a0"/>
        <w:rPr>
          <w:rStyle w:val="afb"/>
          <w:rtl/>
        </w:rPr>
      </w:pPr>
      <w:r>
        <w:rPr>
          <w:rFonts w:hint="cs"/>
          <w:rtl/>
        </w:rPr>
        <w:t xml:space="preserve">אבל בבן ט' חי ביאר </w:t>
      </w:r>
      <w:r w:rsidRPr="00F30DFF">
        <w:rPr>
          <w:rStyle w:val="af9"/>
          <w:rFonts w:hint="cs"/>
          <w:rtl/>
        </w:rPr>
        <w:t>הצפנת פענח</w:t>
      </w:r>
      <w:r>
        <w:rPr>
          <w:rFonts w:hint="cs"/>
          <w:rtl/>
        </w:rPr>
        <w:t xml:space="preserve"> דס"ל </w:t>
      </w:r>
      <w:r w:rsidRPr="00F30DFF">
        <w:rPr>
          <w:rStyle w:val="af9"/>
          <w:rFonts w:hint="cs"/>
          <w:rtl/>
        </w:rPr>
        <w:t>להרמב"ם</w:t>
      </w:r>
      <w:r>
        <w:rPr>
          <w:rFonts w:hint="cs"/>
          <w:rtl/>
        </w:rPr>
        <w:t xml:space="preserve"> דההיתר שלו הוא מדין שחיטה, דד' סימנים אכשר ביה רחמנא, ולא מדין "כל בבהמה תאכלו", ולכן פסק </w:t>
      </w:r>
      <w:r w:rsidRPr="00F30DFF">
        <w:rPr>
          <w:rStyle w:val="af9"/>
          <w:rFonts w:hint="cs"/>
          <w:rtl/>
        </w:rPr>
        <w:t>הרמב"ם</w:t>
      </w:r>
      <w:r>
        <w:rPr>
          <w:rFonts w:hint="cs"/>
          <w:rtl/>
        </w:rPr>
        <w:t xml:space="preserve"> דחלבו אסור. </w:t>
      </w:r>
      <w:r w:rsidRPr="00F924EF">
        <w:rPr>
          <w:rStyle w:val="afb"/>
          <w:rFonts w:hint="cs"/>
          <w:rtl/>
        </w:rPr>
        <w:t xml:space="preserve">[דהשחיטה אינה מתירה את </w:t>
      </w:r>
      <w:r w:rsidRPr="005130F6">
        <w:rPr>
          <w:rStyle w:val="afb"/>
          <w:rFonts w:hint="cs"/>
          <w:rtl/>
        </w:rPr>
        <w:t>איסור חלב].</w:t>
      </w:r>
    </w:p>
    <w:p w14:paraId="46220EF2" w14:textId="77777777" w:rsidR="003D504D" w:rsidRDefault="003D504D" w:rsidP="00BF39B2">
      <w:pPr>
        <w:pStyle w:val="1"/>
        <w:rPr>
          <w:rtl/>
        </w:rPr>
      </w:pPr>
      <w:bookmarkStart w:id="24086" w:name="_Toc3840812"/>
      <w:bookmarkStart w:id="24087" w:name="_Toc3929028"/>
      <w:bookmarkStart w:id="24088" w:name="_Toc3978417"/>
      <w:bookmarkStart w:id="24089" w:name="_Toc4012266"/>
      <w:bookmarkStart w:id="24090" w:name="_Toc4013292"/>
      <w:bookmarkStart w:id="24091" w:name="_Toc4022800"/>
      <w:bookmarkStart w:id="24092" w:name="_Toc4026625"/>
      <w:bookmarkStart w:id="24093" w:name="_Toc4139423"/>
      <w:bookmarkStart w:id="24094" w:name="_Toc4151517"/>
      <w:bookmarkStart w:id="24095" w:name="_Toc19391972"/>
      <w:bookmarkStart w:id="24096" w:name="_Toc19395469"/>
      <w:bookmarkEnd w:id="23642"/>
      <w:bookmarkEnd w:id="23643"/>
      <w:bookmarkEnd w:id="23954"/>
      <w:r>
        <w:rPr>
          <w:rFonts w:hint="cs"/>
          <w:rtl/>
        </w:rPr>
        <w:t>ביאור הרדב"ז דהרמב"ם</w:t>
      </w:r>
      <w:bookmarkEnd w:id="24086"/>
      <w:r>
        <w:rPr>
          <w:rFonts w:hint="cs"/>
          <w:rtl/>
        </w:rPr>
        <w:t xml:space="preserve"> פסק כריו"ח דפליג על רב הושעיא</w:t>
      </w:r>
      <w:bookmarkEnd w:id="24087"/>
      <w:bookmarkEnd w:id="24088"/>
      <w:bookmarkEnd w:id="24089"/>
      <w:bookmarkEnd w:id="24090"/>
      <w:bookmarkEnd w:id="24091"/>
      <w:bookmarkEnd w:id="24092"/>
      <w:bookmarkEnd w:id="24093"/>
      <w:bookmarkEnd w:id="24094"/>
      <w:bookmarkEnd w:id="24095"/>
      <w:bookmarkEnd w:id="24096"/>
    </w:p>
    <w:p w14:paraId="23A432C8" w14:textId="77777777" w:rsidR="003D504D" w:rsidRPr="008E76E7" w:rsidRDefault="003D504D" w:rsidP="003D504D">
      <w:pPr>
        <w:pStyle w:val="a3"/>
        <w:rPr>
          <w:rtl/>
        </w:rPr>
      </w:pPr>
      <w:bookmarkStart w:id="24097" w:name="_Toc3929029"/>
      <w:bookmarkStart w:id="24098" w:name="_Toc3978418"/>
      <w:bookmarkStart w:id="24099" w:name="_Toc4012267"/>
      <w:bookmarkStart w:id="24100" w:name="_Toc4013293"/>
      <w:bookmarkStart w:id="24101" w:name="_Toc4022801"/>
      <w:bookmarkStart w:id="24102" w:name="_Toc4026626"/>
      <w:bookmarkStart w:id="24103" w:name="_Toc4139424"/>
      <w:bookmarkStart w:id="24104" w:name="_Toc4151518"/>
      <w:bookmarkStart w:id="24105" w:name="_Toc19391973"/>
      <w:bookmarkStart w:id="24106" w:name="_Toc19395470"/>
      <w:r>
        <w:rPr>
          <w:rFonts w:hint="cs"/>
          <w:rtl/>
        </w:rPr>
        <w:t>ביאור הרדב"ז דקיי"ל כריו"ח דס"ל כר"י בשחיטה ובחלב כר"מ דהשחיטה אינה מתרת חלב</w:t>
      </w:r>
      <w:bookmarkEnd w:id="24097"/>
      <w:bookmarkEnd w:id="24098"/>
      <w:bookmarkEnd w:id="24099"/>
      <w:bookmarkEnd w:id="24100"/>
      <w:bookmarkEnd w:id="24101"/>
      <w:bookmarkEnd w:id="24102"/>
      <w:bookmarkEnd w:id="24103"/>
      <w:bookmarkEnd w:id="24104"/>
      <w:bookmarkEnd w:id="24105"/>
      <w:bookmarkEnd w:id="24106"/>
    </w:p>
    <w:p w14:paraId="6D3CE677" w14:textId="77777777" w:rsidR="003D504D" w:rsidRDefault="003D504D" w:rsidP="00223668">
      <w:pPr>
        <w:pStyle w:val="a0"/>
        <w:rPr>
          <w:rtl/>
        </w:rPr>
      </w:pPr>
      <w:bookmarkStart w:id="24107" w:name="_Ref3802707"/>
      <w:r w:rsidRPr="00447286">
        <w:rPr>
          <w:rStyle w:val="af9"/>
          <w:rFonts w:hint="cs"/>
          <w:rtl/>
        </w:rPr>
        <w:t>והרדב"ז</w:t>
      </w:r>
      <w:r>
        <w:rPr>
          <w:rFonts w:hint="cs"/>
          <w:rtl/>
        </w:rPr>
        <w:t xml:space="preserve"> </w:t>
      </w:r>
      <w:r w:rsidRPr="00447286">
        <w:rPr>
          <w:rStyle w:val="af7"/>
          <w:rFonts w:eastAsia="Guttman Hodes" w:hint="cs"/>
          <w:rtl/>
        </w:rPr>
        <w:t>(שו"ת הרדב"ז [ללשונות הרמב"ם סי' אלף תקנ"ט] ח"ה סי' קצ"ה)</w:t>
      </w:r>
      <w:r>
        <w:rPr>
          <w:rFonts w:hint="cs"/>
          <w:rtl/>
        </w:rPr>
        <w:t xml:space="preserve"> ביאר את דברי </w:t>
      </w:r>
      <w:r w:rsidRPr="00447286">
        <w:rPr>
          <w:rStyle w:val="af9"/>
          <w:rFonts w:hint="cs"/>
          <w:rtl/>
        </w:rPr>
        <w:t>הרמב"ם</w:t>
      </w:r>
      <w:r>
        <w:rPr>
          <w:rFonts w:hint="cs"/>
          <w:rtl/>
        </w:rPr>
        <w:t xml:space="preserve">, דריו"ח ור"ל באמת נחלקו בפלוגתת ר"י ור"מ, וריו"ח פסק בשחיטה כר"י ובחלב כר"מ, וביאר </w:t>
      </w:r>
      <w:r w:rsidRPr="00447286">
        <w:rPr>
          <w:rStyle w:val="af9"/>
          <w:rFonts w:hint="cs"/>
          <w:rtl/>
        </w:rPr>
        <w:t>הרדב"ז</w:t>
      </w:r>
      <w:r>
        <w:rPr>
          <w:rFonts w:hint="cs"/>
          <w:rtl/>
        </w:rPr>
        <w:t xml:space="preserve"> דס"ל לריו"ח דהא דבן ט' חי מותר בשחיטת אמו הוא כיון דד' סימנים אכשר ביה רחמנא, אבל לענין חלב ס"ל לריו"ח דחדשים גרמי, ולא שייך חדשים בעובר בלא שיהיה לו חיות וסימנים, וכיון שסימניו חשיבי כסימנים, א"כ דינם כסימני האם, וכמו דאין כח בשחיטת סימני האם להתיר את חלבה, ה"ה דשחיטתם אינה מתירה את חלב העובר, וכעי"ז כתב </w:t>
      </w:r>
      <w:r w:rsidRPr="004D1EEE">
        <w:rPr>
          <w:rStyle w:val="af9"/>
          <w:rFonts w:hint="cs"/>
          <w:rtl/>
        </w:rPr>
        <w:t>בתפארת יעקב</w:t>
      </w:r>
      <w:r>
        <w:rPr>
          <w:rFonts w:hint="cs"/>
          <w:rtl/>
        </w:rPr>
        <w:t xml:space="preserve"> </w:t>
      </w:r>
      <w:r w:rsidRPr="004D1EEE">
        <w:rPr>
          <w:rStyle w:val="af7"/>
          <w:rFonts w:eastAsia="Guttman Hodes" w:hint="cs"/>
          <w:rtl/>
        </w:rPr>
        <w:t>(עה. ד"ה לכן נראה, וד"ה אמנם ריו"ח)</w:t>
      </w:r>
      <w:r>
        <w:rPr>
          <w:rFonts w:hint="cs"/>
          <w:rtl/>
        </w:rPr>
        <w:t xml:space="preserve"> עיי"ש בדבריו באריכות.</w:t>
      </w:r>
      <w:bookmarkEnd w:id="24107"/>
    </w:p>
    <w:p w14:paraId="54624BD4" w14:textId="77777777" w:rsidR="003D504D" w:rsidRDefault="003D504D" w:rsidP="003D504D">
      <w:pPr>
        <w:pStyle w:val="a3"/>
        <w:rPr>
          <w:rtl/>
        </w:rPr>
      </w:pPr>
      <w:bookmarkStart w:id="24108" w:name="_Toc3929030"/>
      <w:bookmarkStart w:id="24109" w:name="_Toc3978419"/>
      <w:bookmarkStart w:id="24110" w:name="_Toc4012268"/>
      <w:bookmarkStart w:id="24111" w:name="_Toc4013294"/>
      <w:bookmarkStart w:id="24112" w:name="_Toc4022802"/>
      <w:bookmarkStart w:id="24113" w:name="_Toc4026627"/>
      <w:bookmarkStart w:id="24114" w:name="_Toc4139425"/>
      <w:bookmarkStart w:id="24115" w:name="_Toc4151519"/>
      <w:bookmarkStart w:id="24116" w:name="_Toc19391974"/>
      <w:bookmarkStart w:id="24117" w:name="_Toc19395471"/>
      <w:r>
        <w:rPr>
          <w:rFonts w:hint="cs"/>
          <w:rtl/>
        </w:rPr>
        <w:t>דברי הרדב"ז דלא פסק הרמב"ם כרב הושעיא אלא בכל דבר פסק כטעם המסתבר</w:t>
      </w:r>
      <w:bookmarkEnd w:id="24108"/>
      <w:bookmarkEnd w:id="24109"/>
      <w:bookmarkEnd w:id="24110"/>
      <w:bookmarkEnd w:id="24111"/>
      <w:bookmarkEnd w:id="24112"/>
      <w:bookmarkEnd w:id="24113"/>
      <w:bookmarkEnd w:id="24114"/>
      <w:bookmarkEnd w:id="24115"/>
      <w:bookmarkEnd w:id="24116"/>
      <w:bookmarkEnd w:id="24117"/>
    </w:p>
    <w:p w14:paraId="5A03F3BC" w14:textId="77777777" w:rsidR="003D504D" w:rsidRDefault="003D504D" w:rsidP="00223668">
      <w:pPr>
        <w:pStyle w:val="a0"/>
        <w:rPr>
          <w:rtl/>
        </w:rPr>
      </w:pPr>
      <w:r>
        <w:rPr>
          <w:rFonts w:hint="cs"/>
          <w:rtl/>
        </w:rPr>
        <w:t xml:space="preserve">וכתב </w:t>
      </w:r>
      <w:r w:rsidRPr="00447286">
        <w:rPr>
          <w:rStyle w:val="af9"/>
          <w:rFonts w:hint="cs"/>
          <w:rtl/>
        </w:rPr>
        <w:t>הרדב"ז</w:t>
      </w:r>
      <w:r>
        <w:rPr>
          <w:rFonts w:hint="cs"/>
          <w:rtl/>
        </w:rPr>
        <w:t xml:space="preserve"> דאף דרב הושעיא אמר דהא בהא תליא, מ"מ ריו"ח פליג על רב הושעיא בזה, ופסק </w:t>
      </w:r>
      <w:r w:rsidRPr="00447286">
        <w:rPr>
          <w:rStyle w:val="af9"/>
          <w:rFonts w:hint="cs"/>
          <w:rtl/>
        </w:rPr>
        <w:t>הרמב"ם</w:t>
      </w:r>
      <w:r>
        <w:rPr>
          <w:rFonts w:hint="cs"/>
          <w:rtl/>
        </w:rPr>
        <w:t xml:space="preserve"> כריו"ח, או דאף דמודה ריו"ח דלר"י הא בא תליא, מ"מ פסק ריו"ח בכל דבר לפי הטעם המסתבר, ובשחיטה הסברא היא כר"י, ובחלב הסברא היא כר"מ.</w:t>
      </w:r>
    </w:p>
    <w:p w14:paraId="64AA4677" w14:textId="77777777" w:rsidR="008F4B19" w:rsidRPr="008F4B19" w:rsidRDefault="008F4B19" w:rsidP="008F4B19">
      <w:pPr>
        <w:pStyle w:val="a3"/>
        <w:rPr>
          <w:rtl/>
        </w:rPr>
      </w:pPr>
    </w:p>
    <w:p w14:paraId="735E34E5" w14:textId="77777777" w:rsidR="008F4B19" w:rsidRPr="008F4B19" w:rsidRDefault="008F4B19" w:rsidP="008F4B19">
      <w:pPr>
        <w:pStyle w:val="a3"/>
        <w:rPr>
          <w:rtl/>
        </w:rPr>
      </w:pPr>
    </w:p>
    <w:p w14:paraId="00202417" w14:textId="77777777" w:rsidR="008F4B19" w:rsidRPr="008F4B19" w:rsidRDefault="008F4B19" w:rsidP="008F4B19">
      <w:pPr>
        <w:pStyle w:val="a3"/>
        <w:rPr>
          <w:rtl/>
        </w:rPr>
      </w:pPr>
    </w:p>
    <w:p w14:paraId="6C15333C" w14:textId="77777777" w:rsidR="003D504D" w:rsidRDefault="003D504D" w:rsidP="003D504D">
      <w:pPr>
        <w:pStyle w:val="a3"/>
        <w:rPr>
          <w:rtl/>
        </w:rPr>
      </w:pPr>
      <w:bookmarkStart w:id="24118" w:name="_Toc3929031"/>
      <w:bookmarkStart w:id="24119" w:name="_Toc3978420"/>
      <w:bookmarkStart w:id="24120" w:name="_Toc4012269"/>
      <w:bookmarkStart w:id="24121" w:name="_Toc4013295"/>
      <w:bookmarkStart w:id="24122" w:name="_Toc4022803"/>
      <w:bookmarkStart w:id="24123" w:name="_Toc4026628"/>
      <w:bookmarkStart w:id="24124" w:name="_Toc4139426"/>
      <w:bookmarkStart w:id="24125" w:name="_Toc4151520"/>
      <w:bookmarkStart w:id="24126" w:name="_Toc19391975"/>
      <w:bookmarkStart w:id="24127" w:name="_Toc19395472"/>
      <w:r>
        <w:rPr>
          <w:rFonts w:hint="cs"/>
          <w:rtl/>
        </w:rPr>
        <w:t>תירוץ הרדב"ז על קושית הרא"ש דא"א לומר בריו"ח ור"ל לימא כתנאי דאפשר לדחוק כביאור רש"י</w:t>
      </w:r>
      <w:bookmarkEnd w:id="24118"/>
      <w:bookmarkEnd w:id="24119"/>
      <w:bookmarkEnd w:id="24120"/>
      <w:bookmarkEnd w:id="24121"/>
      <w:bookmarkEnd w:id="24122"/>
      <w:bookmarkEnd w:id="24123"/>
      <w:bookmarkEnd w:id="24124"/>
      <w:bookmarkEnd w:id="24125"/>
      <w:bookmarkEnd w:id="24126"/>
      <w:bookmarkEnd w:id="24127"/>
    </w:p>
    <w:p w14:paraId="045B7D70" w14:textId="77777777" w:rsidR="003D504D" w:rsidRDefault="003D504D" w:rsidP="00223668">
      <w:pPr>
        <w:pStyle w:val="a0"/>
        <w:rPr>
          <w:rtl/>
        </w:rPr>
      </w:pPr>
      <w:bookmarkStart w:id="24128" w:name="_Ref3803754"/>
      <w:r>
        <w:rPr>
          <w:rFonts w:hint="cs"/>
          <w:rtl/>
        </w:rPr>
        <w:t xml:space="preserve">ובמה שהקשה </w:t>
      </w:r>
      <w:r w:rsidRPr="008B70A9">
        <w:rPr>
          <w:rStyle w:val="af9"/>
          <w:rFonts w:hint="cs"/>
          <w:rtl/>
        </w:rPr>
        <w:t>הרא"ש</w:t>
      </w:r>
      <w:r>
        <w:rPr>
          <w:rFonts w:hint="cs"/>
          <w:rtl/>
        </w:rPr>
        <w:t xml:space="preserve"> </w:t>
      </w:r>
      <w:r w:rsidRPr="008B70A9">
        <w:rPr>
          <w:rStyle w:val="af7"/>
          <w:rFonts w:eastAsia="Guttman Hodes" w:hint="cs"/>
          <w:rtl/>
        </w:rPr>
        <w:t xml:space="preserve">(עי' אות </w:t>
      </w:r>
      <w:r w:rsidRPr="008B70A9">
        <w:rPr>
          <w:rStyle w:val="af7"/>
          <w:rFonts w:eastAsia="Guttman Hodes"/>
          <w:rtl/>
        </w:rPr>
        <w:fldChar w:fldCharType="begin"/>
      </w:r>
      <w:r w:rsidRPr="008B70A9">
        <w:rPr>
          <w:rStyle w:val="af7"/>
          <w:rFonts w:eastAsia="Guttman Hodes"/>
          <w:rtl/>
        </w:rPr>
        <w:instrText xml:space="preserve"> </w:instrText>
      </w:r>
      <w:r w:rsidRPr="008B70A9">
        <w:rPr>
          <w:rStyle w:val="af7"/>
          <w:rFonts w:eastAsia="Guttman Hodes" w:hint="cs"/>
        </w:rPr>
        <w:instrText>REF</w:instrText>
      </w:r>
      <w:r w:rsidRPr="008B70A9">
        <w:rPr>
          <w:rStyle w:val="af7"/>
          <w:rFonts w:eastAsia="Guttman Hodes" w:hint="cs"/>
          <w:rtl/>
        </w:rPr>
        <w:instrText xml:space="preserve"> _</w:instrText>
      </w:r>
      <w:r w:rsidRPr="008B70A9">
        <w:rPr>
          <w:rStyle w:val="af7"/>
          <w:rFonts w:eastAsia="Guttman Hodes" w:hint="cs"/>
        </w:rPr>
        <w:instrText>Ref3803773 \r \h</w:instrText>
      </w:r>
      <w:r w:rsidRPr="008B70A9">
        <w:rPr>
          <w:rStyle w:val="af7"/>
          <w:rFonts w:eastAsia="Guttman Hodes"/>
          <w:rtl/>
        </w:rPr>
        <w:instrText xml:space="preserve"> </w:instrText>
      </w:r>
      <w:r w:rsidRPr="008B70A9">
        <w:rPr>
          <w:rStyle w:val="af7"/>
          <w:rFonts w:eastAsia="Guttman Hodes"/>
          <w:rtl/>
        </w:rPr>
      </w:r>
      <w:r w:rsidRPr="008B70A9">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8B70A9">
        <w:rPr>
          <w:rStyle w:val="af7"/>
          <w:rFonts w:eastAsia="Guttman Hodes"/>
          <w:rtl/>
        </w:rPr>
        <w:fldChar w:fldCharType="end"/>
      </w:r>
      <w:r>
        <w:rPr>
          <w:rFonts w:hint="cs"/>
          <w:rtl/>
        </w:rPr>
        <w:t xml:space="preserve"> דלא משמע בגמ' דריו"ח ור"ל נחלקו בפלוגתת ר"י ור"מ, ביאר </w:t>
      </w:r>
      <w:r w:rsidRPr="008B70A9">
        <w:rPr>
          <w:rStyle w:val="af9"/>
          <w:rFonts w:hint="cs"/>
          <w:rtl/>
        </w:rPr>
        <w:t>הרדב"ז</w:t>
      </w:r>
      <w:r>
        <w:rPr>
          <w:rFonts w:hint="cs"/>
          <w:rtl/>
        </w:rPr>
        <w:t xml:space="preserve"> דס"ל </w:t>
      </w:r>
      <w:r w:rsidRPr="008B70A9">
        <w:rPr>
          <w:rStyle w:val="af9"/>
          <w:rFonts w:hint="cs"/>
          <w:rtl/>
        </w:rPr>
        <w:t>להרמב"ם</w:t>
      </w:r>
      <w:r>
        <w:rPr>
          <w:rFonts w:hint="cs"/>
          <w:rtl/>
        </w:rPr>
        <w:t xml:space="preserve"> דאף שנחלקו בפלוגתת ר"מ ור"י, מ"מ הגמ' לא מקשה על ריו"ח ור"ל "לימא כתנאי", כיון שאפשר לדחוק דנחלקו אליבא דר"י, וכדביאר </w:t>
      </w:r>
      <w:r w:rsidRPr="00447286">
        <w:rPr>
          <w:rStyle w:val="af9"/>
          <w:rFonts w:hint="cs"/>
          <w:rtl/>
        </w:rPr>
        <w:t>רש"י</w:t>
      </w:r>
      <w:r>
        <w:rPr>
          <w:rFonts w:hint="cs"/>
          <w:rtl/>
        </w:rPr>
        <w:t xml:space="preserve"> </w:t>
      </w:r>
      <w:r w:rsidRPr="009602B4">
        <w:rPr>
          <w:rStyle w:val="af7"/>
          <w:rFonts w:eastAsia="Guttman Hodes" w:hint="cs"/>
          <w:rtl/>
        </w:rPr>
        <w:t xml:space="preserve">(עי' אות </w:t>
      </w:r>
      <w:r w:rsidRPr="009602B4">
        <w:rPr>
          <w:rStyle w:val="af7"/>
          <w:rFonts w:eastAsia="Guttman Hodes"/>
          <w:rtl/>
        </w:rPr>
        <w:fldChar w:fldCharType="begin"/>
      </w:r>
      <w:r w:rsidRPr="009602B4">
        <w:rPr>
          <w:rStyle w:val="af7"/>
          <w:rFonts w:eastAsia="Guttman Hodes"/>
          <w:rtl/>
        </w:rPr>
        <w:instrText xml:space="preserve"> </w:instrText>
      </w:r>
      <w:r w:rsidRPr="009602B4">
        <w:rPr>
          <w:rStyle w:val="af7"/>
          <w:rFonts w:eastAsia="Guttman Hodes" w:hint="cs"/>
        </w:rPr>
        <w:instrText>REF</w:instrText>
      </w:r>
      <w:r w:rsidRPr="009602B4">
        <w:rPr>
          <w:rStyle w:val="af7"/>
          <w:rFonts w:eastAsia="Guttman Hodes" w:hint="cs"/>
          <w:rtl/>
        </w:rPr>
        <w:instrText xml:space="preserve"> _</w:instrText>
      </w:r>
      <w:r w:rsidRPr="009602B4">
        <w:rPr>
          <w:rStyle w:val="af7"/>
          <w:rFonts w:eastAsia="Guttman Hodes" w:hint="cs"/>
        </w:rPr>
        <w:instrText>Ref4142423 \r \h</w:instrText>
      </w:r>
      <w:r w:rsidRPr="009602B4">
        <w:rPr>
          <w:rStyle w:val="af7"/>
          <w:rFonts w:eastAsia="Guttman Hodes"/>
          <w:rtl/>
        </w:rPr>
        <w:instrText xml:space="preserve"> </w:instrText>
      </w:r>
      <w:r w:rsidRPr="009602B4">
        <w:rPr>
          <w:rStyle w:val="af7"/>
          <w:rFonts w:eastAsia="Guttman Hodes"/>
          <w:rtl/>
        </w:rPr>
      </w:r>
      <w:r w:rsidRPr="009602B4">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9602B4">
        <w:rPr>
          <w:rStyle w:val="af7"/>
          <w:rFonts w:eastAsia="Guttman Hodes"/>
          <w:rtl/>
        </w:rPr>
        <w:fldChar w:fldCharType="end"/>
      </w:r>
      <w:r>
        <w:rPr>
          <w:rFonts w:hint="cs"/>
          <w:rtl/>
        </w:rPr>
        <w:t>.</w:t>
      </w:r>
      <w:bookmarkEnd w:id="24128"/>
    </w:p>
    <w:p w14:paraId="44E7DE1F" w14:textId="77777777" w:rsidR="003D504D" w:rsidRPr="00C85ADD" w:rsidRDefault="003D504D" w:rsidP="003D504D">
      <w:pPr>
        <w:pStyle w:val="a3"/>
      </w:pPr>
      <w:bookmarkStart w:id="24129" w:name="_Toc3929032"/>
      <w:bookmarkStart w:id="24130" w:name="_Toc3978421"/>
      <w:bookmarkStart w:id="24131" w:name="_Toc4012270"/>
      <w:bookmarkStart w:id="24132" w:name="_Toc4013296"/>
      <w:bookmarkStart w:id="24133" w:name="_Toc4022804"/>
      <w:bookmarkStart w:id="24134" w:name="_Toc4026629"/>
      <w:bookmarkStart w:id="24135" w:name="_Toc4139427"/>
      <w:bookmarkStart w:id="24136" w:name="_Toc4151521"/>
      <w:bookmarkStart w:id="24137" w:name="_Toc19391976"/>
      <w:bookmarkStart w:id="24138" w:name="_Toc19395473"/>
      <w:r>
        <w:rPr>
          <w:rFonts w:hint="cs"/>
          <w:rtl/>
        </w:rPr>
        <w:t>ביאור הרדב"ז דריו"ח ור"ל חידשו דר"ל מתיר אף בתלש וריו"ח אוסר אף בחלב שנמצא בפנים</w:t>
      </w:r>
      <w:bookmarkEnd w:id="24129"/>
      <w:bookmarkEnd w:id="24130"/>
      <w:bookmarkEnd w:id="24131"/>
      <w:bookmarkEnd w:id="24132"/>
      <w:bookmarkEnd w:id="24133"/>
      <w:bookmarkEnd w:id="24134"/>
      <w:bookmarkEnd w:id="24135"/>
      <w:bookmarkEnd w:id="24136"/>
      <w:bookmarkEnd w:id="24137"/>
      <w:bookmarkEnd w:id="24138"/>
    </w:p>
    <w:p w14:paraId="0E411A17" w14:textId="77777777" w:rsidR="003D504D" w:rsidRDefault="003D504D" w:rsidP="00223668">
      <w:pPr>
        <w:pStyle w:val="a0"/>
        <w:rPr>
          <w:rtl/>
        </w:rPr>
      </w:pPr>
      <w:r>
        <w:rPr>
          <w:rFonts w:hint="cs"/>
          <w:rtl/>
        </w:rPr>
        <w:t xml:space="preserve">והוסיף </w:t>
      </w:r>
      <w:r w:rsidRPr="008B70A9">
        <w:rPr>
          <w:rStyle w:val="af9"/>
          <w:rFonts w:hint="cs"/>
          <w:rtl/>
        </w:rPr>
        <w:t>הרדב"ז</w:t>
      </w:r>
      <w:r>
        <w:rPr>
          <w:rFonts w:hint="cs"/>
          <w:rtl/>
        </w:rPr>
        <w:t xml:space="preserve"> דהא דלא אמר ריו"ח דהלכה כר"מ ור"ל דהלכה כר"י, וכן לא נחלקו בלשון מתני', הוא כיון דהם באו לחדש דלר"ל ההיתר בחלב אינו דוקא בשחט את האם כדאמר ר"י, דפשיטא דהוא מותר מדין "כל בבהמה תאכלו", אלא דאף בתלש את החלב מתיר ר"ל, דאין לו דין חלב כלל אף שאסור באיסור נבילה, וריו"ח בא לחדש דאף החלב שבפנים אסור, כיון דכלו חדשיו וחשיב כחי, אעפ"י דלענין שחיטה ס"ל לריו"ח כר"י.</w:t>
      </w:r>
    </w:p>
    <w:p w14:paraId="72929B20" w14:textId="77777777" w:rsidR="003D504D" w:rsidRPr="00240961" w:rsidRDefault="003D504D" w:rsidP="00BF39B2">
      <w:pPr>
        <w:pStyle w:val="1"/>
        <w:rPr>
          <w:rtl/>
        </w:rPr>
      </w:pPr>
      <w:bookmarkStart w:id="24139" w:name="_Toc3929033"/>
      <w:bookmarkStart w:id="24140" w:name="_Toc3978422"/>
      <w:bookmarkStart w:id="24141" w:name="_Toc4012271"/>
      <w:bookmarkStart w:id="24142" w:name="_Toc4013297"/>
      <w:bookmarkStart w:id="24143" w:name="_Toc4022805"/>
      <w:bookmarkStart w:id="24144" w:name="_Toc4026630"/>
      <w:bookmarkStart w:id="24145" w:name="_Toc4139428"/>
      <w:bookmarkStart w:id="24146" w:name="_Toc4151522"/>
      <w:bookmarkStart w:id="24147" w:name="_Toc19391977"/>
      <w:bookmarkStart w:id="24148" w:name="_Toc19395474"/>
      <w:bookmarkStart w:id="24149" w:name="_Toc3840823"/>
      <w:r>
        <w:rPr>
          <w:rFonts w:hint="cs"/>
          <w:rtl/>
        </w:rPr>
        <w:t>ביאור החת"ס דלרבי ההיתר לא מהני לחלב ודלא כר"מ ור"י</w:t>
      </w:r>
      <w:bookmarkEnd w:id="24139"/>
      <w:bookmarkEnd w:id="24140"/>
      <w:bookmarkEnd w:id="24141"/>
      <w:bookmarkEnd w:id="24142"/>
      <w:bookmarkEnd w:id="24143"/>
      <w:bookmarkEnd w:id="24144"/>
      <w:bookmarkEnd w:id="24145"/>
      <w:bookmarkEnd w:id="24146"/>
      <w:bookmarkEnd w:id="24147"/>
      <w:bookmarkEnd w:id="24148"/>
    </w:p>
    <w:p w14:paraId="7D56125B" w14:textId="77777777" w:rsidR="003D504D" w:rsidRPr="0032535F" w:rsidRDefault="003D504D" w:rsidP="003D504D">
      <w:pPr>
        <w:pStyle w:val="a3"/>
        <w:rPr>
          <w:rtl/>
        </w:rPr>
      </w:pPr>
      <w:bookmarkStart w:id="24150" w:name="_Toc3929034"/>
      <w:bookmarkStart w:id="24151" w:name="_Toc3978423"/>
      <w:bookmarkStart w:id="24152" w:name="_Toc4012272"/>
      <w:bookmarkStart w:id="24153" w:name="_Toc4013298"/>
      <w:bookmarkStart w:id="24154" w:name="_Toc4022806"/>
      <w:bookmarkStart w:id="24155" w:name="_Toc4026631"/>
      <w:bookmarkStart w:id="24156" w:name="_Toc4139429"/>
      <w:bookmarkStart w:id="24157" w:name="_Toc4151523"/>
      <w:bookmarkStart w:id="24158" w:name="_Toc19391978"/>
      <w:bookmarkStart w:id="24159" w:name="_Toc19395475"/>
      <w:r>
        <w:rPr>
          <w:rFonts w:hint="cs"/>
          <w:rtl/>
        </w:rPr>
        <w:t>ביאור החת"ס דלר"מ ור"י ההיתר דחשיב כבשר והחלב בכלל ולרבי הוא בהמה בפנ"ע והחלב אסור</w:t>
      </w:r>
      <w:bookmarkEnd w:id="24150"/>
      <w:bookmarkEnd w:id="24151"/>
      <w:bookmarkEnd w:id="24152"/>
      <w:bookmarkEnd w:id="24153"/>
      <w:bookmarkEnd w:id="24154"/>
      <w:bookmarkEnd w:id="24155"/>
      <w:bookmarkEnd w:id="24156"/>
      <w:bookmarkEnd w:id="24157"/>
      <w:bookmarkEnd w:id="24158"/>
      <w:bookmarkEnd w:id="24159"/>
    </w:p>
    <w:p w14:paraId="6A0B3773" w14:textId="77777777" w:rsidR="003D504D" w:rsidRDefault="003D504D" w:rsidP="00223668">
      <w:pPr>
        <w:pStyle w:val="a0"/>
        <w:rPr>
          <w:rtl/>
        </w:rPr>
      </w:pPr>
      <w:r w:rsidRPr="00292D1A">
        <w:rPr>
          <w:rStyle w:val="af9"/>
          <w:rFonts w:hint="cs"/>
          <w:rtl/>
        </w:rPr>
        <w:t>והחת"ס</w:t>
      </w:r>
      <w:r>
        <w:rPr>
          <w:rFonts w:hint="cs"/>
          <w:rtl/>
        </w:rPr>
        <w:t xml:space="preserve"> </w:t>
      </w:r>
      <w:r w:rsidRPr="00240961">
        <w:rPr>
          <w:rStyle w:val="af7"/>
          <w:rFonts w:eastAsia="Guttman Hodes" w:hint="cs"/>
          <w:rtl/>
        </w:rPr>
        <w:t xml:space="preserve">(עד: ד"ה לא הילכו) </w:t>
      </w:r>
      <w:r>
        <w:rPr>
          <w:rFonts w:hint="cs"/>
          <w:rtl/>
        </w:rPr>
        <w:t xml:space="preserve">כתב </w:t>
      </w:r>
      <w:r w:rsidRPr="00292D1A">
        <w:rPr>
          <w:rStyle w:val="af9"/>
          <w:rFonts w:hint="cs"/>
          <w:rtl/>
        </w:rPr>
        <w:t>דהרמב"ם</w:t>
      </w:r>
      <w:r>
        <w:rPr>
          <w:rFonts w:hint="cs"/>
          <w:rtl/>
        </w:rPr>
        <w:t xml:space="preserve"> פסק כרבי דסתם בשחיטה כר"י, ובחלב וגיד כר"מ, וביאר </w:t>
      </w:r>
      <w:r w:rsidRPr="00292D1A">
        <w:rPr>
          <w:rStyle w:val="af9"/>
          <w:rFonts w:hint="cs"/>
          <w:rtl/>
        </w:rPr>
        <w:t>החת"ס</w:t>
      </w:r>
      <w:r>
        <w:rPr>
          <w:rFonts w:hint="cs"/>
          <w:rtl/>
        </w:rPr>
        <w:t xml:space="preserve"> דלדעת ר"מ ור"י היתר בן פקועה הוא מדין "כל בבהמה תאכלו", </w:t>
      </w:r>
      <w:r w:rsidRPr="00240961">
        <w:rPr>
          <w:rStyle w:val="afb"/>
          <w:rFonts w:hint="cs"/>
          <w:rtl/>
        </w:rPr>
        <w:t xml:space="preserve">[והיינו דאין לעובר שם בהמה בפנ"ע, אלא הוא כבשר ולכן הוא מותר], </w:t>
      </w:r>
      <w:r>
        <w:rPr>
          <w:rFonts w:hint="cs"/>
          <w:rtl/>
        </w:rPr>
        <w:t>ולכן לדעת ר"י דמתיר בבשר, אף החלב והגיד מותרים, דבלא אוירא אין לו שם "שור וכשב",</w:t>
      </w:r>
      <w:r w:rsidRPr="00240961">
        <w:rPr>
          <w:rStyle w:val="afb"/>
          <w:rFonts w:hint="cs"/>
          <w:rtl/>
        </w:rPr>
        <w:t xml:space="preserve"> [ור"מ דאסר בשחיטה הלך לשיטתו דאף החלב אסור], </w:t>
      </w:r>
      <w:r>
        <w:rPr>
          <w:rFonts w:hint="cs"/>
          <w:rtl/>
        </w:rPr>
        <w:t xml:space="preserve">אבל רבי דסתם בשחיטה כר"י ובחלב כר"מ, ס"ל דההיתר הוא "בהמה בבהמה תאכלו", </w:t>
      </w:r>
      <w:r w:rsidRPr="00240961">
        <w:rPr>
          <w:rStyle w:val="afb"/>
          <w:rFonts w:hint="cs"/>
          <w:rtl/>
        </w:rPr>
        <w:t xml:space="preserve">[דהיינו דאף שהוא בהמה בפנ"ע הוא מותר בשחיטת אמו], </w:t>
      </w:r>
      <w:r>
        <w:rPr>
          <w:rFonts w:hint="cs"/>
          <w:rtl/>
        </w:rPr>
        <w:t>ולכן כיון דבן ט' חי נקרא "שור וכשב", אף חלבו הוא כחלב שור, ואף שהוא מותר בשחיטת אמו, חלבו וגידו אסורים.</w:t>
      </w:r>
    </w:p>
    <w:p w14:paraId="4B5B237F" w14:textId="77777777" w:rsidR="003D504D" w:rsidRPr="007129F9" w:rsidRDefault="003D504D" w:rsidP="003D504D">
      <w:pPr>
        <w:pStyle w:val="afe"/>
        <w:rPr>
          <w:rtl/>
        </w:rPr>
      </w:pPr>
      <w:bookmarkStart w:id="24160" w:name="_Toc4012273"/>
      <w:bookmarkStart w:id="24161" w:name="_Toc4013299"/>
      <w:bookmarkStart w:id="24162" w:name="_Toc4022807"/>
      <w:bookmarkStart w:id="24163" w:name="_Toc4026632"/>
      <w:bookmarkStart w:id="24164" w:name="_Toc4139430"/>
      <w:bookmarkStart w:id="24165" w:name="_Toc4151524"/>
      <w:bookmarkStart w:id="24166" w:name="_Toc19436375"/>
      <w:bookmarkStart w:id="24167" w:name="_Toc20081505"/>
      <w:r>
        <w:rPr>
          <w:rFonts w:hint="cs"/>
          <w:rtl/>
        </w:rPr>
        <w:t>ביאור הראש יוסף ברמב"ם</w:t>
      </w:r>
      <w:bookmarkEnd w:id="24160"/>
      <w:bookmarkEnd w:id="24161"/>
      <w:bookmarkEnd w:id="24162"/>
      <w:bookmarkEnd w:id="24163"/>
      <w:bookmarkEnd w:id="24164"/>
      <w:bookmarkEnd w:id="24165"/>
      <w:bookmarkEnd w:id="24166"/>
      <w:bookmarkEnd w:id="24167"/>
    </w:p>
    <w:p w14:paraId="026DAE7C" w14:textId="77777777" w:rsidR="003D504D" w:rsidRDefault="003D504D" w:rsidP="00BF39B2">
      <w:pPr>
        <w:pStyle w:val="1"/>
        <w:rPr>
          <w:rtl/>
        </w:rPr>
      </w:pPr>
      <w:bookmarkStart w:id="24168" w:name="_Toc3929035"/>
      <w:bookmarkStart w:id="24169" w:name="_Toc3978424"/>
      <w:bookmarkStart w:id="24170" w:name="_Toc4012274"/>
      <w:bookmarkStart w:id="24171" w:name="_Toc4013300"/>
      <w:bookmarkStart w:id="24172" w:name="_Toc4022808"/>
      <w:bookmarkStart w:id="24173" w:name="_Toc4026633"/>
      <w:bookmarkStart w:id="24174" w:name="_Toc4139431"/>
      <w:bookmarkStart w:id="24175" w:name="_Toc4151525"/>
      <w:bookmarkStart w:id="24176" w:name="_Toc19391979"/>
      <w:bookmarkStart w:id="24177" w:name="_Toc19395476"/>
      <w:r>
        <w:rPr>
          <w:rFonts w:hint="cs"/>
          <w:rtl/>
        </w:rPr>
        <w:t>ביאור הראש יוסף דלהרמב"ם</w:t>
      </w:r>
      <w:bookmarkEnd w:id="24149"/>
      <w:r>
        <w:rPr>
          <w:rFonts w:hint="cs"/>
          <w:rtl/>
        </w:rPr>
        <w:t xml:space="preserve"> נחלקו ריו"ח ור"ל אי הוי בהמה</w:t>
      </w:r>
      <w:bookmarkEnd w:id="24168"/>
      <w:bookmarkEnd w:id="24169"/>
      <w:bookmarkEnd w:id="24170"/>
      <w:bookmarkEnd w:id="24171"/>
      <w:bookmarkEnd w:id="24172"/>
      <w:bookmarkEnd w:id="24173"/>
      <w:bookmarkEnd w:id="24174"/>
      <w:bookmarkEnd w:id="24175"/>
      <w:bookmarkEnd w:id="24176"/>
      <w:bookmarkEnd w:id="24177"/>
    </w:p>
    <w:p w14:paraId="44CB7B60" w14:textId="77777777" w:rsidR="003D504D" w:rsidRPr="004B6F5F" w:rsidRDefault="003D504D" w:rsidP="003D504D">
      <w:pPr>
        <w:pStyle w:val="a3"/>
        <w:rPr>
          <w:rtl/>
        </w:rPr>
      </w:pPr>
      <w:bookmarkStart w:id="24178" w:name="_Toc3929036"/>
      <w:bookmarkStart w:id="24179" w:name="_Toc3978425"/>
      <w:bookmarkStart w:id="24180" w:name="_Toc4012275"/>
      <w:bookmarkStart w:id="24181" w:name="_Toc4013301"/>
      <w:bookmarkStart w:id="24182" w:name="_Toc4022809"/>
      <w:bookmarkStart w:id="24183" w:name="_Toc4026634"/>
      <w:bookmarkStart w:id="24184" w:name="_Toc4139432"/>
      <w:bookmarkStart w:id="24185" w:name="_Toc4151526"/>
      <w:bookmarkStart w:id="24186" w:name="_Toc19391980"/>
      <w:bookmarkStart w:id="24187" w:name="_Toc19395477"/>
      <w:r>
        <w:rPr>
          <w:rFonts w:hint="cs"/>
          <w:rtl/>
        </w:rPr>
        <w:t>ביאור הראש יוסף ברמב"ם דריו"ח ור"ל כר"י ואף לריו"ח דחדשים גרמי והוי בהמה מהני שחיטת אמו</w:t>
      </w:r>
      <w:bookmarkEnd w:id="24178"/>
      <w:bookmarkEnd w:id="24179"/>
      <w:bookmarkEnd w:id="24180"/>
      <w:bookmarkEnd w:id="24181"/>
      <w:bookmarkEnd w:id="24182"/>
      <w:bookmarkEnd w:id="24183"/>
      <w:bookmarkEnd w:id="24184"/>
      <w:bookmarkEnd w:id="24185"/>
      <w:bookmarkEnd w:id="24186"/>
      <w:bookmarkEnd w:id="24187"/>
    </w:p>
    <w:p w14:paraId="4D48F1C9" w14:textId="77777777" w:rsidR="003D504D" w:rsidRPr="003B4BD0" w:rsidRDefault="003D504D" w:rsidP="00223668">
      <w:pPr>
        <w:pStyle w:val="a0"/>
        <w:rPr>
          <w:rStyle w:val="afb"/>
        </w:rPr>
      </w:pPr>
      <w:r w:rsidRPr="00A94904">
        <w:rPr>
          <w:rStyle w:val="af9"/>
          <w:rFonts w:hint="cs"/>
          <w:rtl/>
        </w:rPr>
        <w:t>והראש יוסף לקמן</w:t>
      </w:r>
      <w:r>
        <w:rPr>
          <w:rFonts w:hint="cs"/>
          <w:rtl/>
        </w:rPr>
        <w:t xml:space="preserve"> </w:t>
      </w:r>
      <w:r w:rsidRPr="007D1D7B">
        <w:rPr>
          <w:rStyle w:val="af7"/>
          <w:rFonts w:eastAsia="Guttman Hodes" w:hint="cs"/>
          <w:rtl/>
        </w:rPr>
        <w:t>(צב: ד"ה שיטה הג')</w:t>
      </w:r>
      <w:r>
        <w:rPr>
          <w:rFonts w:hint="cs"/>
          <w:rtl/>
        </w:rPr>
        <w:t xml:space="preserve"> כתב בביאור דעת </w:t>
      </w:r>
      <w:r w:rsidRPr="00A94904">
        <w:rPr>
          <w:rStyle w:val="af9"/>
          <w:rFonts w:hint="cs"/>
          <w:rtl/>
        </w:rPr>
        <w:t>הרמב"ם</w:t>
      </w:r>
      <w:r>
        <w:rPr>
          <w:rFonts w:hint="cs"/>
          <w:rtl/>
        </w:rPr>
        <w:t xml:space="preserve">, דריו"ח ור"ל ס"ל כדעת ר"י דבן ט' מותר בשחיטת אמו, </w:t>
      </w:r>
      <w:r w:rsidRPr="00C2654A">
        <w:rPr>
          <w:rStyle w:val="afb"/>
          <w:rFonts w:hint="cs"/>
          <w:rtl/>
        </w:rPr>
        <w:t xml:space="preserve">[ודלא </w:t>
      </w:r>
      <w:r w:rsidRPr="00C2654A">
        <w:rPr>
          <w:rStyle w:val="affa"/>
          <w:rFonts w:hint="cs"/>
          <w:rtl/>
        </w:rPr>
        <w:t xml:space="preserve">כרש"י במתני' </w:t>
      </w:r>
      <w:r w:rsidRPr="00C2654A">
        <w:rPr>
          <w:rStyle w:val="aff6"/>
          <w:rFonts w:hint="cs"/>
          <w:rtl/>
        </w:rPr>
        <w:t xml:space="preserve">(עד. ד"ה טעון) </w:t>
      </w:r>
      <w:r w:rsidRPr="00C2654A">
        <w:rPr>
          <w:rStyle w:val="afb"/>
          <w:rFonts w:hint="cs"/>
          <w:rtl/>
        </w:rPr>
        <w:t xml:space="preserve">דכתב דלר"מ חדשים גרמי], </w:t>
      </w:r>
      <w:r>
        <w:rPr>
          <w:rFonts w:hint="cs"/>
          <w:rtl/>
        </w:rPr>
        <w:t xml:space="preserve">ואעפ"י דס"ל לריו"ח דחדשים גרמי, </w:t>
      </w:r>
      <w:r w:rsidRPr="000F607C">
        <w:rPr>
          <w:rStyle w:val="afb"/>
          <w:rFonts w:hint="cs"/>
          <w:rtl/>
        </w:rPr>
        <w:t>[וחשיב בהמה בפנ"ע],</w:t>
      </w:r>
      <w:r>
        <w:rPr>
          <w:rFonts w:hint="cs"/>
          <w:rtl/>
        </w:rPr>
        <w:t xml:space="preserve"> מ"מ העובר מותר מדין "כל בבהמה תאכלו", והוסיף </w:t>
      </w:r>
      <w:r w:rsidRPr="00A94904">
        <w:rPr>
          <w:rStyle w:val="af9"/>
          <w:rFonts w:hint="cs"/>
          <w:rtl/>
        </w:rPr>
        <w:t>הראש יוסף לקמן</w:t>
      </w:r>
      <w:r>
        <w:rPr>
          <w:rFonts w:hint="cs"/>
          <w:rtl/>
        </w:rPr>
        <w:t xml:space="preserve"> דאי הילפותא היא "בהמה בבהמה", א"כ ודאי דהחלב מותר אף דחדשים גרמי, דלפי"ז כתוב מפורש בפסוק דכל מה שבתוך הבהמה מותר באכילה, </w:t>
      </w:r>
      <w:r w:rsidRPr="000F607C">
        <w:rPr>
          <w:rStyle w:val="afb"/>
          <w:rFonts w:hint="cs"/>
          <w:rtl/>
        </w:rPr>
        <w:t>[דהיינו דאף שהוא בהמה בפנ"ע מ"מ הבהמה שבתוך הבהמה מותרת],</w:t>
      </w:r>
      <w:r>
        <w:rPr>
          <w:rFonts w:hint="cs"/>
          <w:rtl/>
        </w:rPr>
        <w:t xml:space="preserve"> וגם אם הילפותא היא "מכל" בבהמה תאכלו, ג"כ מסתבר דאין חילוק בין היתר העובר עצמו להיתר החלב. </w:t>
      </w:r>
      <w:r w:rsidRPr="003B4BD0">
        <w:rPr>
          <w:rStyle w:val="afb"/>
          <w:rFonts w:hint="cs"/>
          <w:rtl/>
        </w:rPr>
        <w:t>[וע</w:t>
      </w:r>
      <w:r>
        <w:rPr>
          <w:rStyle w:val="afb"/>
          <w:rFonts w:hint="cs"/>
          <w:rtl/>
        </w:rPr>
        <w:t>י'</w:t>
      </w:r>
      <w:r w:rsidRPr="003B4BD0">
        <w:rPr>
          <w:rStyle w:val="afb"/>
          <w:rFonts w:hint="cs"/>
          <w:rtl/>
        </w:rPr>
        <w:t xml:space="preserve"> בדברי </w:t>
      </w:r>
      <w:r w:rsidRPr="003B4BD0">
        <w:rPr>
          <w:rStyle w:val="affa"/>
          <w:rFonts w:hint="cs"/>
          <w:rtl/>
        </w:rPr>
        <w:t>הראש יוסף לעיל</w:t>
      </w:r>
      <w:r w:rsidRPr="003B4BD0">
        <w:rPr>
          <w:rStyle w:val="afb"/>
          <w:rFonts w:hint="cs"/>
          <w:rtl/>
        </w:rPr>
        <w:t xml:space="preserve"> </w:t>
      </w:r>
      <w:r w:rsidRPr="003B4BD0">
        <w:rPr>
          <w:rStyle w:val="aff6"/>
          <w:rFonts w:hint="cs"/>
          <w:rtl/>
        </w:rPr>
        <w:t xml:space="preserve">(סט: ד"ה הא, עד. ד"ה היה נראה, </w:t>
      </w:r>
      <w:r w:rsidR="00AC7E32">
        <w:rPr>
          <w:rStyle w:val="aff6"/>
          <w:rFonts w:hint="cs"/>
          <w:rtl/>
        </w:rPr>
        <w:t>הובא בסימן</w:t>
      </w:r>
      <w:r w:rsidRPr="003B4BD0">
        <w:rPr>
          <w:rStyle w:val="aff6"/>
          <w:rFonts w:hint="cs"/>
          <w:rtl/>
        </w:rPr>
        <w:t xml:space="preserve"> ו' אות ט')</w:t>
      </w:r>
      <w:r w:rsidRPr="003B4BD0">
        <w:rPr>
          <w:rStyle w:val="afb"/>
          <w:rFonts w:hint="cs"/>
          <w:rtl/>
        </w:rPr>
        <w:t xml:space="preserve"> במ"ש בביאור פלוגתת ר"מ ור"י בילפותא </w:t>
      </w:r>
      <w:r>
        <w:rPr>
          <w:rStyle w:val="afb"/>
          <w:rFonts w:hint="cs"/>
          <w:rtl/>
        </w:rPr>
        <w:t>ב</w:t>
      </w:r>
      <w:r w:rsidRPr="003B4BD0">
        <w:rPr>
          <w:rStyle w:val="afb"/>
          <w:rFonts w:hint="cs"/>
          <w:rtl/>
        </w:rPr>
        <w:t>היתר בן פקועה</w:t>
      </w:r>
      <w:r>
        <w:rPr>
          <w:rStyle w:val="afb"/>
          <w:rFonts w:hint="cs"/>
          <w:rtl/>
        </w:rPr>
        <w:t>,</w:t>
      </w:r>
      <w:r w:rsidRPr="0070424C">
        <w:rPr>
          <w:rStyle w:val="afb"/>
          <w:rFonts w:hint="cs"/>
          <w:rtl/>
        </w:rPr>
        <w:t xml:space="preserve"> </w:t>
      </w:r>
      <w:r>
        <w:rPr>
          <w:rStyle w:val="afb"/>
          <w:rFonts w:hint="cs"/>
          <w:rtl/>
        </w:rPr>
        <w:t xml:space="preserve">ובמ"ש בזה </w:t>
      </w:r>
      <w:r w:rsidRPr="00B95B1A">
        <w:rPr>
          <w:rStyle w:val="affa"/>
          <w:rFonts w:hint="cs"/>
          <w:rtl/>
        </w:rPr>
        <w:t>בפרמ"ג</w:t>
      </w:r>
      <w:r>
        <w:rPr>
          <w:rStyle w:val="afb"/>
          <w:rFonts w:hint="cs"/>
          <w:rtl/>
        </w:rPr>
        <w:t xml:space="preserve"> </w:t>
      </w:r>
      <w:r w:rsidRPr="00B95B1A">
        <w:rPr>
          <w:rStyle w:val="aff6"/>
          <w:rFonts w:hint="cs"/>
          <w:rtl/>
        </w:rPr>
        <w:t>(סי' י"ג משב"ז סק"ב)</w:t>
      </w:r>
      <w:r>
        <w:rPr>
          <w:rStyle w:val="afb"/>
          <w:rFonts w:hint="cs"/>
          <w:rtl/>
        </w:rPr>
        <w:t xml:space="preserve"> בביאור דעת </w:t>
      </w:r>
      <w:r w:rsidRPr="00B95B1A">
        <w:rPr>
          <w:rStyle w:val="affa"/>
          <w:rFonts w:hint="cs"/>
          <w:rtl/>
        </w:rPr>
        <w:t>הרמב"ם</w:t>
      </w:r>
      <w:r>
        <w:rPr>
          <w:rStyle w:val="afb"/>
          <w:rFonts w:hint="cs"/>
          <w:rtl/>
        </w:rPr>
        <w:t xml:space="preserve">, וע"ע במ"ש בזה </w:t>
      </w:r>
      <w:r w:rsidRPr="005F63F9">
        <w:rPr>
          <w:rStyle w:val="affa"/>
          <w:rFonts w:hint="cs"/>
          <w:rtl/>
        </w:rPr>
        <w:t>בכנה"ג</w:t>
      </w:r>
      <w:r>
        <w:rPr>
          <w:rStyle w:val="afb"/>
          <w:rFonts w:hint="cs"/>
          <w:rtl/>
        </w:rPr>
        <w:t xml:space="preserve"> </w:t>
      </w:r>
      <w:r w:rsidRPr="005F63F9">
        <w:rPr>
          <w:rStyle w:val="aff6"/>
          <w:rFonts w:hint="cs"/>
          <w:rtl/>
        </w:rPr>
        <w:t>(סי' ס"ד הג' טור ה')</w:t>
      </w:r>
      <w:r w:rsidRPr="003B4BD0">
        <w:rPr>
          <w:rStyle w:val="afb"/>
          <w:rFonts w:hint="cs"/>
          <w:rtl/>
        </w:rPr>
        <w:t>].</w:t>
      </w:r>
    </w:p>
    <w:p w14:paraId="027089AF" w14:textId="77777777" w:rsidR="003D504D" w:rsidRDefault="003D504D" w:rsidP="003D504D">
      <w:pPr>
        <w:pStyle w:val="a3"/>
        <w:rPr>
          <w:rtl/>
        </w:rPr>
      </w:pPr>
      <w:bookmarkStart w:id="24188" w:name="_Toc3929037"/>
      <w:bookmarkStart w:id="24189" w:name="_Toc3978426"/>
      <w:bookmarkStart w:id="24190" w:name="_Toc4012276"/>
      <w:bookmarkStart w:id="24191" w:name="_Toc4013302"/>
      <w:bookmarkStart w:id="24192" w:name="_Toc4022810"/>
      <w:bookmarkStart w:id="24193" w:name="_Toc4026635"/>
      <w:bookmarkStart w:id="24194" w:name="_Toc4139433"/>
      <w:bookmarkStart w:id="24195" w:name="_Toc4151527"/>
      <w:bookmarkStart w:id="24196" w:name="_Toc19391981"/>
      <w:bookmarkStart w:id="24197" w:name="_Toc19395478"/>
      <w:r>
        <w:rPr>
          <w:rFonts w:hint="cs"/>
          <w:rtl/>
        </w:rPr>
        <w:t>ביאור הראש יוסף דלריו"ח דחדשים גרמי בין בנתלש ובין בנשחטה אסור דשחיטה אינה מתירה חלב</w:t>
      </w:r>
      <w:bookmarkEnd w:id="24188"/>
      <w:bookmarkEnd w:id="24189"/>
      <w:bookmarkEnd w:id="24190"/>
      <w:bookmarkEnd w:id="24191"/>
      <w:bookmarkEnd w:id="24192"/>
      <w:bookmarkEnd w:id="24193"/>
      <w:bookmarkEnd w:id="24194"/>
      <w:bookmarkEnd w:id="24195"/>
      <w:bookmarkEnd w:id="24196"/>
      <w:bookmarkEnd w:id="24197"/>
    </w:p>
    <w:p w14:paraId="325EB400" w14:textId="77777777" w:rsidR="003D504D" w:rsidRDefault="003D504D" w:rsidP="00223668">
      <w:pPr>
        <w:pStyle w:val="a0"/>
        <w:rPr>
          <w:rtl/>
        </w:rPr>
      </w:pPr>
      <w:bookmarkStart w:id="24198" w:name="_Ref4098790"/>
      <w:bookmarkStart w:id="24199" w:name="_Ref3887953"/>
      <w:r>
        <w:rPr>
          <w:rFonts w:hint="cs"/>
          <w:rtl/>
        </w:rPr>
        <w:t xml:space="preserve">ובפלוגתת ריו"ח ור"ל ביאר </w:t>
      </w:r>
      <w:r w:rsidRPr="00A94904">
        <w:rPr>
          <w:rStyle w:val="af9"/>
          <w:rFonts w:hint="cs"/>
          <w:rtl/>
        </w:rPr>
        <w:t>הראש יוסף לקמן</w:t>
      </w:r>
      <w:r>
        <w:rPr>
          <w:rFonts w:hint="cs"/>
          <w:rtl/>
        </w:rPr>
        <w:t xml:space="preserve"> לדעת </w:t>
      </w:r>
      <w:r w:rsidRPr="00A94904">
        <w:rPr>
          <w:rStyle w:val="af9"/>
          <w:rFonts w:hint="cs"/>
          <w:rtl/>
        </w:rPr>
        <w:t>הרמב"ם</w:t>
      </w:r>
      <w:r>
        <w:rPr>
          <w:rFonts w:hint="cs"/>
          <w:rtl/>
        </w:rPr>
        <w:t xml:space="preserve"> דנחלקו בדין החלב בין אם תלשו והוציאו לחוץ, ובין בנשחטה האם ונשאר החלב בתוך העובר שבמעיה, דלריו"ח דחדשים גרמי בין בתלש ובין בנשחטה החלב אסור, ושחיטת האם לא מהני להתירו, דס"ל </w:t>
      </w:r>
      <w:r w:rsidRPr="009A5E7E">
        <w:rPr>
          <w:rStyle w:val="af9"/>
          <w:rFonts w:hint="cs"/>
          <w:rtl/>
        </w:rPr>
        <w:t>להרמב"ם</w:t>
      </w:r>
      <w:r>
        <w:rPr>
          <w:rFonts w:hint="cs"/>
          <w:rtl/>
        </w:rPr>
        <w:t xml:space="preserve"> כדהקשה </w:t>
      </w:r>
      <w:r w:rsidRPr="00A94904">
        <w:rPr>
          <w:rStyle w:val="af9"/>
          <w:rFonts w:hint="cs"/>
          <w:rtl/>
        </w:rPr>
        <w:t>הרא"ש</w:t>
      </w:r>
      <w:r>
        <w:rPr>
          <w:rFonts w:hint="cs"/>
          <w:rtl/>
        </w:rPr>
        <w:t xml:space="preserve"> </w:t>
      </w:r>
      <w:r w:rsidRPr="00A37C17">
        <w:rPr>
          <w:rStyle w:val="af7"/>
          <w:rFonts w:eastAsia="Guttman Hodes" w:hint="cs"/>
          <w:rtl/>
        </w:rPr>
        <w:t xml:space="preserve">(עי' אות </w:t>
      </w:r>
      <w:r w:rsidRPr="00A37C17">
        <w:rPr>
          <w:rStyle w:val="af7"/>
          <w:rFonts w:eastAsia="Guttman Hodes"/>
          <w:rtl/>
        </w:rPr>
        <w:fldChar w:fldCharType="begin"/>
      </w:r>
      <w:r w:rsidRPr="00A37C17">
        <w:rPr>
          <w:rStyle w:val="af7"/>
          <w:rFonts w:eastAsia="Guttman Hodes"/>
          <w:rtl/>
        </w:rPr>
        <w:instrText xml:space="preserve"> </w:instrText>
      </w:r>
      <w:r w:rsidRPr="00A37C17">
        <w:rPr>
          <w:rStyle w:val="af7"/>
          <w:rFonts w:eastAsia="Guttman Hodes" w:hint="cs"/>
        </w:rPr>
        <w:instrText>REF</w:instrText>
      </w:r>
      <w:r w:rsidRPr="00A37C17">
        <w:rPr>
          <w:rStyle w:val="af7"/>
          <w:rFonts w:eastAsia="Guttman Hodes" w:hint="cs"/>
          <w:rtl/>
        </w:rPr>
        <w:instrText xml:space="preserve"> _</w:instrText>
      </w:r>
      <w:r w:rsidRPr="00A37C17">
        <w:rPr>
          <w:rStyle w:val="af7"/>
          <w:rFonts w:eastAsia="Guttman Hodes" w:hint="cs"/>
        </w:rPr>
        <w:instrText>Ref4143984 \r \h</w:instrText>
      </w:r>
      <w:r w:rsidRPr="00A37C17">
        <w:rPr>
          <w:rStyle w:val="af7"/>
          <w:rFonts w:eastAsia="Guttman Hodes"/>
          <w:rtl/>
        </w:rPr>
        <w:instrText xml:space="preserve">  \* </w:instrText>
      </w:r>
      <w:r w:rsidRPr="00A37C17">
        <w:rPr>
          <w:rStyle w:val="af7"/>
          <w:rFonts w:eastAsia="Guttman Hodes"/>
        </w:rPr>
        <w:instrText>MERGEFORMAT</w:instrText>
      </w:r>
      <w:r w:rsidRPr="00A37C17">
        <w:rPr>
          <w:rStyle w:val="af7"/>
          <w:rFonts w:eastAsia="Guttman Hodes"/>
          <w:rtl/>
        </w:rPr>
        <w:instrText xml:space="preserve"> </w:instrText>
      </w:r>
      <w:r w:rsidRPr="00A37C17">
        <w:rPr>
          <w:rStyle w:val="af7"/>
          <w:rFonts w:eastAsia="Guttman Hodes"/>
          <w:rtl/>
        </w:rPr>
      </w:r>
      <w:r w:rsidRPr="00A37C17">
        <w:rPr>
          <w:rStyle w:val="af7"/>
          <w:rFonts w:eastAsia="Guttman Hodes"/>
          <w:rtl/>
        </w:rPr>
        <w:fldChar w:fldCharType="separate"/>
      </w:r>
      <w:r w:rsidR="00345400">
        <w:rPr>
          <w:rStyle w:val="af7"/>
          <w:rFonts w:eastAsia="Guttman Hodes"/>
          <w:cs/>
        </w:rPr>
        <w:t>‎</w:t>
      </w:r>
      <w:r w:rsidR="00345400">
        <w:rPr>
          <w:rStyle w:val="af7"/>
          <w:rFonts w:eastAsia="Guttman Hodes"/>
          <w:rtl/>
        </w:rPr>
        <w:t>טו)</w:t>
      </w:r>
      <w:r w:rsidRPr="00A37C17">
        <w:rPr>
          <w:rStyle w:val="af7"/>
          <w:rFonts w:eastAsia="Guttman Hodes"/>
          <w:rtl/>
        </w:rPr>
        <w:fldChar w:fldCharType="end"/>
      </w:r>
      <w:r>
        <w:rPr>
          <w:rFonts w:hint="cs"/>
          <w:rtl/>
        </w:rPr>
        <w:t xml:space="preserve"> דכיון שאין כח בשחיטת האם להתיר את החלב שלה, לא יתכן לומר דשחיטתה תתיר את החלב של העובר.</w:t>
      </w:r>
      <w:bookmarkEnd w:id="24198"/>
    </w:p>
    <w:p w14:paraId="762C2B08" w14:textId="77777777" w:rsidR="003D504D" w:rsidRPr="007C4203" w:rsidRDefault="003D504D" w:rsidP="003D504D">
      <w:pPr>
        <w:pStyle w:val="a3"/>
      </w:pPr>
      <w:bookmarkStart w:id="24200" w:name="_Toc3929038"/>
      <w:bookmarkStart w:id="24201" w:name="_Toc3978427"/>
      <w:bookmarkStart w:id="24202" w:name="_Toc4012277"/>
      <w:bookmarkStart w:id="24203" w:name="_Toc4013303"/>
      <w:bookmarkStart w:id="24204" w:name="_Toc4022811"/>
      <w:bookmarkStart w:id="24205" w:name="_Toc4026636"/>
      <w:bookmarkStart w:id="24206" w:name="_Toc4139434"/>
      <w:bookmarkStart w:id="24207" w:name="_Toc4151528"/>
      <w:bookmarkStart w:id="24208" w:name="_Toc19391982"/>
      <w:bookmarkStart w:id="24209" w:name="_Toc19395479"/>
      <w:r>
        <w:rPr>
          <w:rFonts w:hint="cs"/>
          <w:rtl/>
        </w:rPr>
        <w:t>ביאור הראש יוסף דלר"ל בלא לידה החלב כבשר ואחר שהותר לא מסתבר לאוסרו כשיצא לאויר</w:t>
      </w:r>
      <w:bookmarkEnd w:id="24200"/>
      <w:bookmarkEnd w:id="24201"/>
      <w:bookmarkEnd w:id="24202"/>
      <w:bookmarkEnd w:id="24203"/>
      <w:bookmarkEnd w:id="24204"/>
      <w:bookmarkEnd w:id="24205"/>
      <w:bookmarkEnd w:id="24206"/>
      <w:bookmarkEnd w:id="24207"/>
      <w:bookmarkEnd w:id="24208"/>
      <w:bookmarkEnd w:id="24209"/>
    </w:p>
    <w:p w14:paraId="177BCA3E" w14:textId="77777777" w:rsidR="003D504D" w:rsidRDefault="003D504D" w:rsidP="00223668">
      <w:pPr>
        <w:pStyle w:val="a0"/>
        <w:rPr>
          <w:rtl/>
        </w:rPr>
      </w:pPr>
      <w:r>
        <w:rPr>
          <w:rFonts w:hint="cs"/>
          <w:rtl/>
        </w:rPr>
        <w:t xml:space="preserve">ובדעת ר"ל ביאר </w:t>
      </w:r>
      <w:r w:rsidRPr="009A5E7E">
        <w:rPr>
          <w:rStyle w:val="af9"/>
          <w:rFonts w:hint="cs"/>
          <w:rtl/>
        </w:rPr>
        <w:t>הראש יוסף</w:t>
      </w:r>
      <w:r>
        <w:rPr>
          <w:rFonts w:hint="cs"/>
          <w:rtl/>
        </w:rPr>
        <w:t xml:space="preserve"> דבעינן חדשים ואויר לידה, ולכן בין בתלש ובין בנשחטה, חשיב החלב כבשר ואינו חלב כלל, ולכן אף אח"כ כשיצא לאויר העולם, כתב </w:t>
      </w:r>
      <w:r w:rsidRPr="009A5E7E">
        <w:rPr>
          <w:rStyle w:val="af9"/>
          <w:rFonts w:hint="cs"/>
          <w:rtl/>
        </w:rPr>
        <w:t>הראש יוסף</w:t>
      </w:r>
      <w:r>
        <w:rPr>
          <w:rFonts w:hint="cs"/>
          <w:rtl/>
        </w:rPr>
        <w:t xml:space="preserve"> דלא מסתבר לאוסרו, כיון שכבר הותר בשחיטת האם.</w:t>
      </w:r>
      <w:bookmarkEnd w:id="24199"/>
    </w:p>
    <w:p w14:paraId="030A7B94" w14:textId="77777777" w:rsidR="003D504D" w:rsidRPr="00B37096" w:rsidRDefault="003D504D" w:rsidP="00BF39B2">
      <w:pPr>
        <w:pStyle w:val="1"/>
        <w:rPr>
          <w:rtl/>
        </w:rPr>
      </w:pPr>
      <w:bookmarkStart w:id="24210" w:name="_Toc3929039"/>
      <w:bookmarkStart w:id="24211" w:name="_Toc3978428"/>
      <w:bookmarkStart w:id="24212" w:name="_Toc4012278"/>
      <w:bookmarkStart w:id="24213" w:name="_Toc4013304"/>
      <w:bookmarkStart w:id="24214" w:name="_Toc4022812"/>
      <w:bookmarkStart w:id="24215" w:name="_Toc4026637"/>
      <w:bookmarkStart w:id="24216" w:name="_Toc4139435"/>
      <w:bookmarkStart w:id="24217" w:name="_Toc4151529"/>
      <w:bookmarkStart w:id="24218" w:name="_Toc19391983"/>
      <w:bookmarkStart w:id="24219" w:name="_Toc19395480"/>
      <w:r>
        <w:rPr>
          <w:rFonts w:hint="cs"/>
          <w:rtl/>
        </w:rPr>
        <w:t>ביאור הראש יוסף בפלוגתת ריו"ח ור"ל בגדר היתר חלב לר"י</w:t>
      </w:r>
      <w:bookmarkEnd w:id="24210"/>
      <w:bookmarkEnd w:id="24211"/>
      <w:bookmarkEnd w:id="24212"/>
      <w:bookmarkEnd w:id="24213"/>
      <w:bookmarkEnd w:id="24214"/>
      <w:bookmarkEnd w:id="24215"/>
      <w:bookmarkEnd w:id="24216"/>
      <w:bookmarkEnd w:id="24217"/>
      <w:bookmarkEnd w:id="24218"/>
      <w:bookmarkEnd w:id="24219"/>
    </w:p>
    <w:p w14:paraId="44338214" w14:textId="77777777" w:rsidR="003D504D" w:rsidRPr="000D593D" w:rsidRDefault="003D504D" w:rsidP="003D504D">
      <w:pPr>
        <w:pStyle w:val="a3"/>
        <w:rPr>
          <w:rtl/>
        </w:rPr>
      </w:pPr>
      <w:bookmarkStart w:id="24220" w:name="_Toc3929040"/>
      <w:bookmarkStart w:id="24221" w:name="_Toc3978429"/>
      <w:bookmarkStart w:id="24222" w:name="_Toc4012279"/>
      <w:bookmarkStart w:id="24223" w:name="_Toc4013305"/>
      <w:bookmarkStart w:id="24224" w:name="_Toc4022813"/>
      <w:bookmarkStart w:id="24225" w:name="_Toc4026638"/>
      <w:bookmarkStart w:id="24226" w:name="_Toc4139436"/>
      <w:bookmarkStart w:id="24227" w:name="_Toc4151530"/>
      <w:bookmarkStart w:id="24228" w:name="_Toc19391984"/>
      <w:bookmarkStart w:id="24229" w:name="_Toc19395481"/>
      <w:r>
        <w:rPr>
          <w:rFonts w:hint="cs"/>
          <w:rtl/>
        </w:rPr>
        <w:t>דברי הראש יוסף דלרבי אין כח בשחיטה להתיר בעובר יותר מבאם ולריו"ח אין חילוק בין חלב לגיד</w:t>
      </w:r>
      <w:bookmarkEnd w:id="24220"/>
      <w:bookmarkEnd w:id="24221"/>
      <w:bookmarkEnd w:id="24222"/>
      <w:bookmarkEnd w:id="24223"/>
      <w:bookmarkEnd w:id="24224"/>
      <w:bookmarkEnd w:id="24225"/>
      <w:bookmarkEnd w:id="24226"/>
      <w:bookmarkEnd w:id="24227"/>
      <w:bookmarkEnd w:id="24228"/>
      <w:bookmarkEnd w:id="24229"/>
    </w:p>
    <w:p w14:paraId="071224A5" w14:textId="77777777" w:rsidR="003D504D" w:rsidRPr="00E629A2" w:rsidRDefault="003D504D" w:rsidP="00223668">
      <w:pPr>
        <w:pStyle w:val="a0"/>
        <w:rPr>
          <w:rtl/>
        </w:rPr>
      </w:pPr>
      <w:bookmarkStart w:id="24230" w:name="_Ref4098996"/>
      <w:r>
        <w:rPr>
          <w:rFonts w:hint="cs"/>
          <w:rtl/>
        </w:rPr>
        <w:t xml:space="preserve">וכתב </w:t>
      </w:r>
      <w:r w:rsidRPr="000D593D">
        <w:rPr>
          <w:rStyle w:val="af9"/>
          <w:rFonts w:hint="cs"/>
          <w:rtl/>
        </w:rPr>
        <w:t>הראש יוסף לקמן</w:t>
      </w:r>
      <w:r>
        <w:rPr>
          <w:rFonts w:hint="cs"/>
          <w:rtl/>
        </w:rPr>
        <w:t xml:space="preserve"> </w:t>
      </w:r>
      <w:r w:rsidRPr="000D593D">
        <w:rPr>
          <w:rStyle w:val="af7"/>
          <w:rFonts w:eastAsia="Guttman Hodes" w:hint="cs"/>
          <w:rtl/>
        </w:rPr>
        <w:t>(צב: ד"ה אמנם כן)</w:t>
      </w:r>
      <w:r>
        <w:rPr>
          <w:rFonts w:hint="cs"/>
          <w:rtl/>
        </w:rPr>
        <w:t xml:space="preserve"> דאף דלא מצינו בגמ' מ"ד דפליג על רב הושעיא, מ"מ פסק </w:t>
      </w:r>
      <w:r w:rsidRPr="000D593D">
        <w:rPr>
          <w:rStyle w:val="af9"/>
          <w:rFonts w:hint="cs"/>
          <w:rtl/>
        </w:rPr>
        <w:t>הרמב"ם</w:t>
      </w:r>
      <w:r>
        <w:rPr>
          <w:rFonts w:hint="cs"/>
          <w:rtl/>
        </w:rPr>
        <w:t xml:space="preserve"> דלא כרב הושעיא, אלא כרבי דסתם בשחיטה כר"י ובחלב כר"מ, דמוכח דס"ל לרבי דאף שהולד מותר בשחיטת אמו, מ"מ דיו לולד שיהיה כאמו ולכן גידו אסור, וס"ל </w:t>
      </w:r>
      <w:r w:rsidRPr="000D593D">
        <w:rPr>
          <w:rStyle w:val="af9"/>
          <w:rFonts w:hint="cs"/>
          <w:rtl/>
        </w:rPr>
        <w:t>להרמב"ם</w:t>
      </w:r>
      <w:r>
        <w:rPr>
          <w:rFonts w:hint="cs"/>
          <w:rtl/>
        </w:rPr>
        <w:t xml:space="preserve"> דה"ה דחלבו אסור, וביאר </w:t>
      </w:r>
      <w:r w:rsidRPr="000D593D">
        <w:rPr>
          <w:rStyle w:val="af9"/>
          <w:rFonts w:hint="cs"/>
          <w:rtl/>
        </w:rPr>
        <w:t>הראש יוסף לקמן</w:t>
      </w:r>
      <w:r>
        <w:rPr>
          <w:rFonts w:hint="cs"/>
          <w:rtl/>
        </w:rPr>
        <w:t xml:space="preserve"> כיון דפסק </w:t>
      </w:r>
      <w:r w:rsidRPr="00E138BD">
        <w:rPr>
          <w:rStyle w:val="af9"/>
          <w:rFonts w:hint="cs"/>
          <w:rtl/>
        </w:rPr>
        <w:t>הרמב"ם</w:t>
      </w:r>
      <w:r>
        <w:rPr>
          <w:rFonts w:hint="cs"/>
          <w:rtl/>
        </w:rPr>
        <w:t xml:space="preserve"> כריו"ח דחדשים גרמי, א"כ אין כל חילוק בין גיד לבין חלב, דס"ל לריו"ח דאף דכתיב בחלב "שור" מ"מ לא בעינן אוירא דלידה, וכן לא בעינן אויר העולם כלל, </w:t>
      </w:r>
      <w:r w:rsidRPr="004D56B0">
        <w:rPr>
          <w:rStyle w:val="afb"/>
          <w:rFonts w:hint="cs"/>
          <w:rtl/>
        </w:rPr>
        <w:t xml:space="preserve">[ודלא </w:t>
      </w:r>
      <w:r w:rsidRPr="00901C65">
        <w:rPr>
          <w:rStyle w:val="affa"/>
          <w:rFonts w:hint="cs"/>
          <w:rtl/>
        </w:rPr>
        <w:t>כהתוס'</w:t>
      </w:r>
      <w:r w:rsidRPr="004D56B0">
        <w:rPr>
          <w:rStyle w:val="afb"/>
          <w:rFonts w:hint="cs"/>
          <w:rtl/>
        </w:rPr>
        <w:t xml:space="preserve"> </w:t>
      </w:r>
      <w:r w:rsidRPr="006101C3">
        <w:rPr>
          <w:rStyle w:val="aff6"/>
          <w:rFonts w:hint="cs"/>
          <w:rtl/>
        </w:rPr>
        <w:t xml:space="preserve">(עי' אות </w:t>
      </w:r>
      <w:r w:rsidRPr="006101C3">
        <w:rPr>
          <w:rStyle w:val="aff6"/>
          <w:rtl/>
        </w:rPr>
        <w:fldChar w:fldCharType="begin"/>
      </w:r>
      <w:r w:rsidRPr="006101C3">
        <w:rPr>
          <w:rStyle w:val="aff6"/>
          <w:rtl/>
        </w:rPr>
        <w:instrText xml:space="preserve"> </w:instrText>
      </w:r>
      <w:r w:rsidRPr="006101C3">
        <w:rPr>
          <w:rStyle w:val="aff6"/>
          <w:rFonts w:hint="cs"/>
        </w:rPr>
        <w:instrText>REF</w:instrText>
      </w:r>
      <w:r w:rsidRPr="006101C3">
        <w:rPr>
          <w:rStyle w:val="aff6"/>
          <w:rFonts w:hint="cs"/>
          <w:rtl/>
        </w:rPr>
        <w:instrText xml:space="preserve"> _</w:instrText>
      </w:r>
      <w:r w:rsidRPr="006101C3">
        <w:rPr>
          <w:rStyle w:val="aff6"/>
          <w:rFonts w:hint="cs"/>
        </w:rPr>
        <w:instrText>Ref4143378 \r \h</w:instrText>
      </w:r>
      <w:r w:rsidRPr="006101C3">
        <w:rPr>
          <w:rStyle w:val="aff6"/>
          <w:rtl/>
        </w:rPr>
        <w:instrText xml:space="preserve"> </w:instrText>
      </w:r>
      <w:r w:rsidRPr="006101C3">
        <w:rPr>
          <w:rStyle w:val="aff6"/>
          <w:rtl/>
        </w:rPr>
      </w:r>
      <w:r w:rsidRPr="006101C3">
        <w:rPr>
          <w:rStyle w:val="aff6"/>
          <w:rtl/>
        </w:rPr>
        <w:fldChar w:fldCharType="separate"/>
      </w:r>
      <w:r w:rsidR="00345400">
        <w:rPr>
          <w:rStyle w:val="aff6"/>
          <w:cs/>
        </w:rPr>
        <w:t>‎</w:t>
      </w:r>
      <w:r w:rsidR="00345400">
        <w:rPr>
          <w:rStyle w:val="aff6"/>
          <w:rtl/>
        </w:rPr>
        <w:t>יד)</w:t>
      </w:r>
      <w:r w:rsidRPr="006101C3">
        <w:rPr>
          <w:rStyle w:val="aff6"/>
          <w:rtl/>
        </w:rPr>
        <w:fldChar w:fldCharType="end"/>
      </w:r>
      <w:r>
        <w:rPr>
          <w:rStyle w:val="afb"/>
          <w:rFonts w:hint="cs"/>
          <w:rtl/>
        </w:rPr>
        <w:t>]</w:t>
      </w:r>
      <w:r w:rsidRPr="004D56B0">
        <w:rPr>
          <w:rStyle w:val="afb"/>
          <w:rFonts w:hint="cs"/>
          <w:rtl/>
        </w:rPr>
        <w:t>,</w:t>
      </w:r>
      <w:r>
        <w:rPr>
          <w:rFonts w:hint="cs"/>
          <w:rtl/>
        </w:rPr>
        <w:t xml:space="preserve"> ולכן אין חילוק בין גיד לחלב.</w:t>
      </w:r>
      <w:bookmarkEnd w:id="24230"/>
    </w:p>
    <w:p w14:paraId="5E147D38" w14:textId="77777777" w:rsidR="003D504D" w:rsidRDefault="003D504D" w:rsidP="003D504D">
      <w:pPr>
        <w:pStyle w:val="a3"/>
        <w:rPr>
          <w:rtl/>
        </w:rPr>
      </w:pPr>
      <w:bookmarkStart w:id="24231" w:name="_Toc3929041"/>
      <w:bookmarkStart w:id="24232" w:name="_Toc3978430"/>
      <w:bookmarkStart w:id="24233" w:name="_Toc4012280"/>
      <w:bookmarkStart w:id="24234" w:name="_Toc4013306"/>
      <w:bookmarkStart w:id="24235" w:name="_Toc4022814"/>
      <w:bookmarkStart w:id="24236" w:name="_Toc4026639"/>
      <w:bookmarkStart w:id="24237" w:name="_Toc4139437"/>
      <w:bookmarkStart w:id="24238" w:name="_Toc4151531"/>
      <w:bookmarkStart w:id="24239" w:name="_Toc19391985"/>
      <w:bookmarkStart w:id="24240" w:name="_Toc19395482"/>
      <w:r>
        <w:rPr>
          <w:rFonts w:hint="cs"/>
          <w:rtl/>
        </w:rPr>
        <w:t>ביאור הראש יוסף דלריו"ח מהני השחיטה להתיר חלב אף שאסור באיסור חלב מדין כל בבהמה</w:t>
      </w:r>
      <w:bookmarkEnd w:id="24231"/>
      <w:bookmarkEnd w:id="24232"/>
      <w:bookmarkEnd w:id="24233"/>
      <w:bookmarkEnd w:id="24234"/>
      <w:bookmarkEnd w:id="24235"/>
      <w:bookmarkEnd w:id="24236"/>
      <w:bookmarkEnd w:id="24237"/>
      <w:bookmarkEnd w:id="24238"/>
      <w:bookmarkEnd w:id="24239"/>
      <w:bookmarkEnd w:id="24240"/>
    </w:p>
    <w:p w14:paraId="5314BEC9" w14:textId="77777777" w:rsidR="003D504D" w:rsidRDefault="003D504D" w:rsidP="00223668">
      <w:pPr>
        <w:pStyle w:val="a0"/>
      </w:pPr>
      <w:bookmarkStart w:id="24241" w:name="_Ref4098862"/>
      <w:r w:rsidRPr="003106F2">
        <w:rPr>
          <w:rFonts w:hint="cs"/>
          <w:rtl/>
        </w:rPr>
        <w:t>ו</w:t>
      </w:r>
      <w:r>
        <w:rPr>
          <w:rFonts w:hint="cs"/>
          <w:rtl/>
        </w:rPr>
        <w:t>בדעת ריו"ח ביאר</w:t>
      </w:r>
      <w:r w:rsidRPr="003106F2">
        <w:rPr>
          <w:rFonts w:hint="cs"/>
          <w:rtl/>
        </w:rPr>
        <w:t xml:space="preserve"> </w:t>
      </w:r>
      <w:r w:rsidRPr="00820FDB">
        <w:rPr>
          <w:rStyle w:val="af9"/>
          <w:rFonts w:hint="cs"/>
          <w:rtl/>
        </w:rPr>
        <w:t>הראש יוסף לקמן</w:t>
      </w:r>
      <w:r w:rsidRPr="003106F2">
        <w:rPr>
          <w:rFonts w:hint="cs"/>
          <w:rtl/>
        </w:rPr>
        <w:t xml:space="preserve"> דלדעת </w:t>
      </w:r>
      <w:r w:rsidRPr="00820FDB">
        <w:rPr>
          <w:rStyle w:val="af9"/>
          <w:rFonts w:hint="cs"/>
          <w:rtl/>
        </w:rPr>
        <w:t>הרמב"ם</w:t>
      </w:r>
      <w:r w:rsidRPr="003106F2">
        <w:rPr>
          <w:rFonts w:hint="cs"/>
          <w:rtl/>
        </w:rPr>
        <w:t xml:space="preserve"> ריו"ח ור"ל ס"ל כר"י</w:t>
      </w:r>
      <w:r>
        <w:rPr>
          <w:rFonts w:hint="cs"/>
          <w:rtl/>
        </w:rPr>
        <w:t>,</w:t>
      </w:r>
      <w:r w:rsidRPr="003106F2">
        <w:rPr>
          <w:rFonts w:hint="cs"/>
          <w:rtl/>
        </w:rPr>
        <w:t xml:space="preserve"> דבן ט' חי מותר בשחיטת אמו, </w:t>
      </w:r>
      <w:r>
        <w:rPr>
          <w:rFonts w:hint="cs"/>
          <w:rtl/>
        </w:rPr>
        <w:t>ול</w:t>
      </w:r>
      <w:r w:rsidRPr="003106F2">
        <w:rPr>
          <w:rFonts w:hint="cs"/>
          <w:rtl/>
        </w:rPr>
        <w:t xml:space="preserve">ריו"ח </w:t>
      </w:r>
      <w:r>
        <w:rPr>
          <w:rFonts w:hint="cs"/>
          <w:rtl/>
        </w:rPr>
        <w:t>דס"ל ד</w:t>
      </w:r>
      <w:r w:rsidRPr="003106F2">
        <w:rPr>
          <w:rFonts w:hint="cs"/>
          <w:rtl/>
        </w:rPr>
        <w:t>חדשים גרמי</w:t>
      </w:r>
      <w:r>
        <w:rPr>
          <w:rFonts w:hint="cs"/>
          <w:rtl/>
        </w:rPr>
        <w:t>, א"כ</w:t>
      </w:r>
      <w:r w:rsidRPr="003106F2">
        <w:rPr>
          <w:rFonts w:hint="cs"/>
          <w:rtl/>
        </w:rPr>
        <w:t xml:space="preserve"> היתר החלב הוא מגזיה"כ</w:t>
      </w:r>
      <w:r w:rsidRPr="00CB51BC">
        <w:rPr>
          <w:rFonts w:hint="cs"/>
          <w:rtl/>
        </w:rPr>
        <w:t xml:space="preserve"> </w:t>
      </w:r>
      <w:r w:rsidRPr="00174D47">
        <w:rPr>
          <w:rFonts w:hint="cs"/>
          <w:rtl/>
        </w:rPr>
        <w:t xml:space="preserve">מדין "כל בבהמה תאכלו", </w:t>
      </w:r>
      <w:r w:rsidRPr="003106F2">
        <w:rPr>
          <w:rFonts w:hint="cs"/>
          <w:rtl/>
        </w:rPr>
        <w:t xml:space="preserve">וכדתירץ </w:t>
      </w:r>
      <w:r w:rsidRPr="00820FDB">
        <w:rPr>
          <w:rStyle w:val="af9"/>
          <w:rFonts w:hint="cs"/>
          <w:rtl/>
        </w:rPr>
        <w:t>הרא"ש</w:t>
      </w:r>
      <w:r w:rsidRPr="003106F2">
        <w:rPr>
          <w:rFonts w:hint="cs"/>
          <w:rtl/>
        </w:rPr>
        <w:t xml:space="preserve"> </w:t>
      </w:r>
      <w:r w:rsidRPr="006101C3">
        <w:rPr>
          <w:rStyle w:val="af7"/>
          <w:rFonts w:eastAsia="Guttman Hodes" w:hint="cs"/>
          <w:rtl/>
        </w:rPr>
        <w:t xml:space="preserve">(עי' אות </w:t>
      </w:r>
      <w:r w:rsidRPr="006101C3">
        <w:rPr>
          <w:rStyle w:val="af7"/>
          <w:rFonts w:eastAsia="Guttman Hodes"/>
          <w:rtl/>
        </w:rPr>
        <w:fldChar w:fldCharType="begin"/>
      </w:r>
      <w:r w:rsidRPr="006101C3">
        <w:rPr>
          <w:rStyle w:val="af7"/>
          <w:rFonts w:eastAsia="Guttman Hodes"/>
          <w:rtl/>
        </w:rPr>
        <w:instrText xml:space="preserve"> </w:instrText>
      </w:r>
      <w:r w:rsidRPr="006101C3">
        <w:rPr>
          <w:rStyle w:val="af7"/>
          <w:rFonts w:eastAsia="Guttman Hodes" w:hint="cs"/>
        </w:rPr>
        <w:instrText>REF</w:instrText>
      </w:r>
      <w:r w:rsidRPr="006101C3">
        <w:rPr>
          <w:rStyle w:val="af7"/>
          <w:rFonts w:eastAsia="Guttman Hodes" w:hint="cs"/>
          <w:rtl/>
        </w:rPr>
        <w:instrText xml:space="preserve"> _</w:instrText>
      </w:r>
      <w:r w:rsidRPr="006101C3">
        <w:rPr>
          <w:rStyle w:val="af7"/>
          <w:rFonts w:eastAsia="Guttman Hodes" w:hint="cs"/>
        </w:rPr>
        <w:instrText>Ref4143417 \r \h</w:instrText>
      </w:r>
      <w:r w:rsidRPr="006101C3">
        <w:rPr>
          <w:rStyle w:val="af7"/>
          <w:rFonts w:eastAsia="Guttman Hodes"/>
          <w:rtl/>
        </w:rPr>
        <w:instrText xml:space="preserve"> </w:instrText>
      </w:r>
      <w:r w:rsidRPr="006101C3">
        <w:rPr>
          <w:rStyle w:val="af7"/>
          <w:rFonts w:eastAsia="Guttman Hodes"/>
          <w:rtl/>
        </w:rPr>
      </w:r>
      <w:r w:rsidRPr="006101C3">
        <w:rPr>
          <w:rStyle w:val="af7"/>
          <w:rFonts w:eastAsia="Guttman Hodes"/>
          <w:rtl/>
        </w:rPr>
        <w:fldChar w:fldCharType="separate"/>
      </w:r>
      <w:r w:rsidR="00345400">
        <w:rPr>
          <w:rStyle w:val="af7"/>
          <w:rFonts w:eastAsia="Guttman Hodes"/>
          <w:cs/>
        </w:rPr>
        <w:t>‎</w:t>
      </w:r>
      <w:r w:rsidR="00345400">
        <w:rPr>
          <w:rStyle w:val="af7"/>
          <w:rFonts w:eastAsia="Guttman Hodes"/>
          <w:rtl/>
        </w:rPr>
        <w:t>טז)</w:t>
      </w:r>
      <w:r w:rsidRPr="006101C3">
        <w:rPr>
          <w:rStyle w:val="af7"/>
          <w:rFonts w:eastAsia="Guttman Hodes"/>
          <w:rtl/>
        </w:rPr>
        <w:fldChar w:fldCharType="end"/>
      </w:r>
      <w:r>
        <w:rPr>
          <w:rFonts w:hint="cs"/>
          <w:rtl/>
        </w:rPr>
        <w:t xml:space="preserve"> </w:t>
      </w:r>
      <w:r w:rsidRPr="003106F2">
        <w:rPr>
          <w:rFonts w:hint="cs"/>
          <w:rtl/>
        </w:rPr>
        <w:t>דאף שהחלב אסור באיסור חלב, מ"מ הוא מותר בשחיטת אמו מדין "כל בבהמה תאכלו</w:t>
      </w:r>
      <w:r>
        <w:rPr>
          <w:rFonts w:hint="cs"/>
          <w:rtl/>
        </w:rPr>
        <w:t xml:space="preserve">", וס"ל לריו"ח דלדעת ר"י ה"ה בגיד דמותר מגזיה"כ </w:t>
      </w:r>
      <w:r w:rsidRPr="00174D47">
        <w:rPr>
          <w:rFonts w:hint="cs"/>
          <w:rtl/>
        </w:rPr>
        <w:t>מדין "כל בבהמה תאכלו",</w:t>
      </w:r>
      <w:r>
        <w:rPr>
          <w:rFonts w:hint="cs"/>
          <w:rtl/>
        </w:rPr>
        <w:t xml:space="preserve"> דלריו"ח אין חילוק בין חלב לבין גיד.</w:t>
      </w:r>
      <w:bookmarkEnd w:id="24241"/>
      <w:r>
        <w:rPr>
          <w:rFonts w:hint="cs"/>
          <w:rtl/>
        </w:rPr>
        <w:t xml:space="preserve"> </w:t>
      </w:r>
    </w:p>
    <w:p w14:paraId="5DE7FF02" w14:textId="77777777" w:rsidR="003D504D" w:rsidRDefault="003D504D" w:rsidP="003D504D">
      <w:pPr>
        <w:pStyle w:val="a3"/>
        <w:rPr>
          <w:rtl/>
        </w:rPr>
      </w:pPr>
      <w:bookmarkStart w:id="24242" w:name="_Toc3929042"/>
      <w:bookmarkStart w:id="24243" w:name="_Toc3978431"/>
      <w:bookmarkStart w:id="24244" w:name="_Toc4012281"/>
      <w:bookmarkStart w:id="24245" w:name="_Toc4013307"/>
      <w:bookmarkStart w:id="24246" w:name="_Toc4022815"/>
      <w:bookmarkStart w:id="24247" w:name="_Toc4026640"/>
      <w:bookmarkStart w:id="24248" w:name="_Toc4139438"/>
      <w:bookmarkStart w:id="24249" w:name="_Toc4151532"/>
      <w:bookmarkStart w:id="24250" w:name="_Toc19391986"/>
      <w:bookmarkStart w:id="24251" w:name="_Toc19395483"/>
      <w:r>
        <w:rPr>
          <w:rFonts w:hint="cs"/>
          <w:rtl/>
        </w:rPr>
        <w:t>ביאור הראש יוסף בר"ל דהחלב מותר כבשר והגיד מותר מגזיה"כ מדין כל בבהמה</w:t>
      </w:r>
      <w:bookmarkEnd w:id="24242"/>
      <w:bookmarkEnd w:id="24243"/>
      <w:bookmarkEnd w:id="24244"/>
      <w:bookmarkEnd w:id="24245"/>
      <w:bookmarkEnd w:id="24246"/>
      <w:bookmarkEnd w:id="24247"/>
      <w:bookmarkEnd w:id="24248"/>
      <w:bookmarkEnd w:id="24249"/>
      <w:bookmarkEnd w:id="24250"/>
      <w:bookmarkEnd w:id="24251"/>
    </w:p>
    <w:p w14:paraId="282ECF56" w14:textId="77777777" w:rsidR="003D504D" w:rsidRPr="004513C7" w:rsidRDefault="003D504D" w:rsidP="00223668">
      <w:pPr>
        <w:pStyle w:val="a0"/>
        <w:rPr>
          <w:rStyle w:val="afb"/>
          <w:rtl/>
        </w:rPr>
      </w:pPr>
      <w:r>
        <w:rPr>
          <w:rFonts w:hint="cs"/>
          <w:rtl/>
        </w:rPr>
        <w:t xml:space="preserve">ובדעת </w:t>
      </w:r>
      <w:r w:rsidRPr="00174D47">
        <w:rPr>
          <w:rFonts w:hint="cs"/>
          <w:rtl/>
        </w:rPr>
        <w:t>ר"</w:t>
      </w:r>
      <w:r>
        <w:rPr>
          <w:rFonts w:hint="cs"/>
          <w:rtl/>
        </w:rPr>
        <w:t>ל ביאר</w:t>
      </w:r>
      <w:r w:rsidRPr="003106F2">
        <w:rPr>
          <w:rFonts w:hint="cs"/>
          <w:rtl/>
        </w:rPr>
        <w:t xml:space="preserve"> </w:t>
      </w:r>
      <w:r w:rsidRPr="00174D47">
        <w:rPr>
          <w:rStyle w:val="af9"/>
          <w:rFonts w:hint="cs"/>
          <w:rtl/>
        </w:rPr>
        <w:t>הראש יוסף לקמן</w:t>
      </w:r>
      <w:r>
        <w:rPr>
          <w:rFonts w:hint="cs"/>
          <w:rtl/>
        </w:rPr>
        <w:t xml:space="preserve"> </w:t>
      </w:r>
      <w:r w:rsidRPr="00820FDB">
        <w:rPr>
          <w:rStyle w:val="af7"/>
          <w:rFonts w:eastAsia="Guttman Hodes" w:hint="cs"/>
          <w:rtl/>
        </w:rPr>
        <w:t xml:space="preserve">(צב: ד"ה והשתא אתי שפיר) </w:t>
      </w:r>
      <w:r>
        <w:rPr>
          <w:rFonts w:hint="cs"/>
          <w:rtl/>
        </w:rPr>
        <w:t xml:space="preserve">דכיון דבחלב חדשים לבד לא גרמי, א"כ א"צ להתיר את </w:t>
      </w:r>
      <w:r w:rsidRPr="00174D47">
        <w:rPr>
          <w:rFonts w:hint="cs"/>
          <w:rtl/>
        </w:rPr>
        <w:t>החלב ל</w:t>
      </w:r>
      <w:r>
        <w:rPr>
          <w:rFonts w:hint="cs"/>
          <w:rtl/>
        </w:rPr>
        <w:t xml:space="preserve">דעת </w:t>
      </w:r>
      <w:r w:rsidRPr="00174D47">
        <w:rPr>
          <w:rFonts w:hint="cs"/>
          <w:rtl/>
        </w:rPr>
        <w:t xml:space="preserve">ר"י מגזיה"כ מדין "כל בבהמה תאכלו", </w:t>
      </w:r>
      <w:r>
        <w:rPr>
          <w:rFonts w:hint="cs"/>
          <w:rtl/>
        </w:rPr>
        <w:t>דהא</w:t>
      </w:r>
      <w:r w:rsidRPr="00174D47">
        <w:rPr>
          <w:rFonts w:hint="cs"/>
          <w:rtl/>
        </w:rPr>
        <w:t xml:space="preserve"> דכל שלא נולד, אין לו שם חלב כלל וחשיב כבשר, </w:t>
      </w:r>
      <w:r>
        <w:rPr>
          <w:rFonts w:hint="cs"/>
          <w:rtl/>
        </w:rPr>
        <w:t xml:space="preserve">דהא כתיב בחלב "שור", </w:t>
      </w:r>
      <w:r w:rsidRPr="00174D47">
        <w:rPr>
          <w:rFonts w:hint="cs"/>
          <w:rtl/>
        </w:rPr>
        <w:t>אך</w:t>
      </w:r>
      <w:r w:rsidRPr="003106F2">
        <w:rPr>
          <w:rFonts w:hint="cs"/>
          <w:rtl/>
        </w:rPr>
        <w:t xml:space="preserve"> כתב </w:t>
      </w:r>
      <w:r w:rsidRPr="00920E7A">
        <w:rPr>
          <w:rStyle w:val="af9"/>
          <w:rFonts w:hint="cs"/>
          <w:rtl/>
        </w:rPr>
        <w:t>הראש יוסף לקמן</w:t>
      </w:r>
      <w:r w:rsidRPr="003106F2">
        <w:rPr>
          <w:rFonts w:hint="cs"/>
          <w:rtl/>
        </w:rPr>
        <w:t xml:space="preserve"> </w:t>
      </w:r>
      <w:r>
        <w:rPr>
          <w:rFonts w:hint="cs"/>
          <w:rtl/>
        </w:rPr>
        <w:t xml:space="preserve">דלענין גיד מודה </w:t>
      </w:r>
      <w:r w:rsidRPr="003106F2">
        <w:rPr>
          <w:rFonts w:hint="cs"/>
          <w:rtl/>
        </w:rPr>
        <w:t>ר"ל דחדשים לבד גרמי</w:t>
      </w:r>
      <w:r>
        <w:rPr>
          <w:rFonts w:hint="cs"/>
          <w:rtl/>
        </w:rPr>
        <w:t xml:space="preserve">, כיון דלא כתיב בו "שור" ולדעת ר"ל ר"י מתיר בגידו מגזיה"כ </w:t>
      </w:r>
      <w:r w:rsidRPr="003106F2">
        <w:rPr>
          <w:rFonts w:hint="cs"/>
          <w:rtl/>
        </w:rPr>
        <w:t>מדין "כל בבהמה תאכלו",</w:t>
      </w:r>
      <w:r>
        <w:rPr>
          <w:rFonts w:hint="cs"/>
          <w:rtl/>
        </w:rPr>
        <w:t xml:space="preserve"> </w:t>
      </w:r>
      <w:r w:rsidRPr="00820FDB">
        <w:rPr>
          <w:rStyle w:val="afb"/>
          <w:rFonts w:hint="cs"/>
          <w:rtl/>
        </w:rPr>
        <w:t xml:space="preserve">[וכתב </w:t>
      </w:r>
      <w:r w:rsidRPr="00174D47">
        <w:rPr>
          <w:rStyle w:val="affa"/>
          <w:rFonts w:hint="cs"/>
          <w:rtl/>
        </w:rPr>
        <w:t>הראש יוסף</w:t>
      </w:r>
      <w:r w:rsidRPr="00820FDB">
        <w:rPr>
          <w:rStyle w:val="afb"/>
          <w:rFonts w:hint="cs"/>
          <w:rtl/>
        </w:rPr>
        <w:t xml:space="preserve"> דאת החילוק בין גיד לחלב, כבר כתבו </w:t>
      </w:r>
      <w:r w:rsidRPr="00820FDB">
        <w:rPr>
          <w:rStyle w:val="affa"/>
          <w:rFonts w:hint="cs"/>
          <w:rtl/>
        </w:rPr>
        <w:t>התוס'</w:t>
      </w:r>
      <w:r w:rsidRPr="00820FDB">
        <w:rPr>
          <w:rStyle w:val="afb"/>
          <w:rFonts w:hint="cs"/>
          <w:rtl/>
        </w:rPr>
        <w:t xml:space="preserve"> </w:t>
      </w:r>
      <w:r w:rsidRPr="005C330A">
        <w:rPr>
          <w:rStyle w:val="aff6"/>
          <w:rFonts w:hint="cs"/>
          <w:rtl/>
        </w:rPr>
        <w:t xml:space="preserve">(פט: ד"ה בולדות, </w:t>
      </w:r>
      <w:r w:rsidR="00AC7E32">
        <w:rPr>
          <w:rStyle w:val="aff6"/>
          <w:rFonts w:hint="cs"/>
          <w:rtl/>
        </w:rPr>
        <w:t>הובא בסימן</w:t>
      </w:r>
      <w:r w:rsidRPr="005C330A">
        <w:rPr>
          <w:rStyle w:val="aff6"/>
          <w:rFonts w:hint="cs"/>
          <w:rtl/>
        </w:rPr>
        <w:t xml:space="preserve"> ז' אות כ)</w:t>
      </w:r>
      <w:r w:rsidRPr="004513C7">
        <w:rPr>
          <w:rStyle w:val="afb"/>
          <w:rFonts w:hint="cs"/>
          <w:rtl/>
        </w:rPr>
        <w:t xml:space="preserve"> </w:t>
      </w:r>
      <w:r w:rsidRPr="004513C7">
        <w:rPr>
          <w:rStyle w:val="affa"/>
          <w:rFonts w:hint="cs"/>
          <w:rtl/>
        </w:rPr>
        <w:t>והראב"ן</w:t>
      </w:r>
      <w:r w:rsidRPr="004513C7">
        <w:rPr>
          <w:rStyle w:val="afb"/>
          <w:rFonts w:hint="cs"/>
          <w:rtl/>
        </w:rPr>
        <w:t xml:space="preserve"> </w:t>
      </w:r>
      <w:r w:rsidRPr="005C330A">
        <w:rPr>
          <w:rStyle w:val="aff6"/>
          <w:rFonts w:hint="cs"/>
          <w:rtl/>
        </w:rPr>
        <w:t>(</w:t>
      </w:r>
      <w:r w:rsidR="00AC7E32">
        <w:rPr>
          <w:rStyle w:val="aff6"/>
          <w:rFonts w:hint="cs"/>
          <w:rtl/>
        </w:rPr>
        <w:t>הובא בסימן</w:t>
      </w:r>
      <w:r w:rsidRPr="005C330A">
        <w:rPr>
          <w:rStyle w:val="aff6"/>
          <w:rFonts w:hint="cs"/>
          <w:rtl/>
        </w:rPr>
        <w:t xml:space="preserve"> ז</w:t>
      </w:r>
      <w:r w:rsidRPr="005C330A">
        <w:rPr>
          <w:rStyle w:val="aff6"/>
          <w:rtl/>
        </w:rPr>
        <w:t>'</w:t>
      </w:r>
      <w:r w:rsidRPr="005C330A">
        <w:rPr>
          <w:rStyle w:val="aff6"/>
          <w:rFonts w:hint="cs"/>
          <w:rtl/>
        </w:rPr>
        <w:t xml:space="preserve"> אות כא)</w:t>
      </w:r>
      <w:r w:rsidRPr="004513C7">
        <w:rPr>
          <w:rStyle w:val="afb"/>
          <w:rFonts w:hint="cs"/>
          <w:rtl/>
        </w:rPr>
        <w:t>].</w:t>
      </w:r>
    </w:p>
    <w:p w14:paraId="26D4E764" w14:textId="77777777" w:rsidR="003D504D" w:rsidRPr="00CC5F61" w:rsidRDefault="003D504D" w:rsidP="003D504D">
      <w:pPr>
        <w:pStyle w:val="a3"/>
      </w:pPr>
      <w:bookmarkStart w:id="24252" w:name="_Toc3929043"/>
      <w:bookmarkStart w:id="24253" w:name="_Toc3978432"/>
      <w:bookmarkStart w:id="24254" w:name="_Toc4012282"/>
      <w:bookmarkStart w:id="24255" w:name="_Toc4013308"/>
      <w:bookmarkStart w:id="24256" w:name="_Toc4022816"/>
      <w:bookmarkStart w:id="24257" w:name="_Toc4026641"/>
      <w:bookmarkStart w:id="24258" w:name="_Toc4139439"/>
      <w:bookmarkStart w:id="24259" w:name="_Toc4151533"/>
      <w:bookmarkStart w:id="24260" w:name="_Toc19391987"/>
      <w:bookmarkStart w:id="24261" w:name="_Toc19395484"/>
      <w:r>
        <w:rPr>
          <w:rFonts w:hint="cs"/>
          <w:rtl/>
        </w:rPr>
        <w:t>דברי הראש יוסף דלר"ל רבי סתם רק בגיד כר"מ אבל בחלב מתיר רבי דחשיב כבשר ודלא כר"י</w:t>
      </w:r>
      <w:bookmarkEnd w:id="24252"/>
      <w:bookmarkEnd w:id="24253"/>
      <w:bookmarkEnd w:id="24254"/>
      <w:bookmarkEnd w:id="24255"/>
      <w:bookmarkEnd w:id="24256"/>
      <w:bookmarkEnd w:id="24257"/>
      <w:bookmarkEnd w:id="24258"/>
      <w:bookmarkEnd w:id="24259"/>
      <w:bookmarkEnd w:id="24260"/>
      <w:bookmarkEnd w:id="24261"/>
    </w:p>
    <w:p w14:paraId="50BDB64D" w14:textId="77777777" w:rsidR="003D504D" w:rsidRDefault="003D504D" w:rsidP="00223668">
      <w:pPr>
        <w:pStyle w:val="a0"/>
        <w:rPr>
          <w:rtl/>
        </w:rPr>
      </w:pPr>
      <w:r>
        <w:rPr>
          <w:rFonts w:hint="cs"/>
          <w:rtl/>
        </w:rPr>
        <w:t xml:space="preserve">וביאר </w:t>
      </w:r>
      <w:r w:rsidRPr="004C1DA0">
        <w:rPr>
          <w:rStyle w:val="af9"/>
          <w:rFonts w:hint="cs"/>
          <w:rtl/>
        </w:rPr>
        <w:t xml:space="preserve">הראש יוסף לקמן </w:t>
      </w:r>
      <w:r>
        <w:rPr>
          <w:rFonts w:hint="cs"/>
          <w:rtl/>
        </w:rPr>
        <w:t xml:space="preserve">דס"ל לר"ל דזהו הביאור בהא דסתם רבי במתני' לקמן </w:t>
      </w:r>
      <w:r w:rsidRPr="00820FDB">
        <w:rPr>
          <w:rStyle w:val="af7"/>
          <w:rFonts w:eastAsia="Guttman Hodes" w:hint="cs"/>
          <w:rtl/>
        </w:rPr>
        <w:t xml:space="preserve">(פט:) </w:t>
      </w:r>
      <w:r>
        <w:rPr>
          <w:rFonts w:hint="cs"/>
          <w:rtl/>
        </w:rPr>
        <w:t xml:space="preserve">דגיד הנשה נוהג בשליל, דס"ל לר"ל בדעת רבי דחלוק דין חלב מדין גיד, דהחלב דחשיב כבשר ומותר בשחיטת האם, כסתמא דמתני' בסוגיין </w:t>
      </w:r>
      <w:r w:rsidRPr="00BC34B7">
        <w:rPr>
          <w:rStyle w:val="af7"/>
          <w:rFonts w:eastAsia="Guttman Hodes" w:hint="cs"/>
          <w:rtl/>
        </w:rPr>
        <w:t>(עד.)</w:t>
      </w:r>
      <w:r>
        <w:rPr>
          <w:rFonts w:hint="cs"/>
          <w:rtl/>
        </w:rPr>
        <w:t xml:space="preserve"> דבן ט' מותר בשחיטת אמו, וה"ה לחלבו דהוא כבשר, אך בגיד דאף לר"ל חדשים גרמי, א"כ ס"ל לרבי דלא מהני לו היתר שחיטת אמו, ופליג בזה רבי על ר"י דאמר דהוא מותר מגזיה"כ, ועיי"ש במה שביאר לפי"ז </w:t>
      </w:r>
      <w:r w:rsidRPr="00174D47">
        <w:rPr>
          <w:rStyle w:val="af9"/>
          <w:rFonts w:hint="cs"/>
          <w:rtl/>
        </w:rPr>
        <w:t>הראש יוסף</w:t>
      </w:r>
      <w:r>
        <w:rPr>
          <w:rFonts w:hint="cs"/>
          <w:rtl/>
        </w:rPr>
        <w:t xml:space="preserve"> בקושית ריו"ח לר"ל מהילפותא "דאשם מוצא מכלל שליל".</w:t>
      </w:r>
    </w:p>
    <w:p w14:paraId="1907930C" w14:textId="77777777" w:rsidR="003D504D" w:rsidRPr="00B37096" w:rsidRDefault="003D504D" w:rsidP="00BF39B2">
      <w:pPr>
        <w:pStyle w:val="1"/>
        <w:rPr>
          <w:rtl/>
        </w:rPr>
      </w:pPr>
      <w:bookmarkStart w:id="24262" w:name="_Toc3929044"/>
      <w:bookmarkStart w:id="24263" w:name="_Toc3978433"/>
      <w:bookmarkStart w:id="24264" w:name="_Toc4012283"/>
      <w:bookmarkStart w:id="24265" w:name="_Toc4013309"/>
      <w:bookmarkStart w:id="24266" w:name="_Toc4022817"/>
      <w:bookmarkStart w:id="24267" w:name="_Toc4026642"/>
      <w:bookmarkStart w:id="24268" w:name="_Toc4139440"/>
      <w:bookmarkStart w:id="24269" w:name="_Toc4151534"/>
      <w:bookmarkStart w:id="24270" w:name="_Toc19391988"/>
      <w:bookmarkStart w:id="24271" w:name="_Toc19395485"/>
      <w:r>
        <w:rPr>
          <w:rFonts w:hint="cs"/>
          <w:rtl/>
        </w:rPr>
        <w:t>ביאור הראש יוסף בפלוגתת רבי ור"י בגדר היתר בן פקועה</w:t>
      </w:r>
      <w:bookmarkEnd w:id="24262"/>
      <w:bookmarkEnd w:id="24263"/>
      <w:bookmarkEnd w:id="24264"/>
      <w:bookmarkEnd w:id="24265"/>
      <w:bookmarkEnd w:id="24266"/>
      <w:bookmarkEnd w:id="24267"/>
      <w:bookmarkEnd w:id="24268"/>
      <w:bookmarkEnd w:id="24269"/>
      <w:bookmarkEnd w:id="24270"/>
      <w:bookmarkEnd w:id="24271"/>
    </w:p>
    <w:p w14:paraId="52A0FC7D" w14:textId="77777777" w:rsidR="003D504D" w:rsidRPr="007F3BB0" w:rsidRDefault="003D504D" w:rsidP="003D504D">
      <w:pPr>
        <w:pStyle w:val="a3"/>
        <w:rPr>
          <w:rtl/>
        </w:rPr>
      </w:pPr>
      <w:bookmarkStart w:id="24272" w:name="_Toc3929045"/>
      <w:bookmarkStart w:id="24273" w:name="_Toc3978434"/>
      <w:bookmarkStart w:id="24274" w:name="_Toc4012284"/>
      <w:bookmarkStart w:id="24275" w:name="_Toc4013310"/>
      <w:bookmarkStart w:id="24276" w:name="_Toc4022818"/>
      <w:bookmarkStart w:id="24277" w:name="_Toc4026643"/>
      <w:bookmarkStart w:id="24278" w:name="_Toc4139441"/>
      <w:bookmarkStart w:id="24279" w:name="_Toc4151535"/>
      <w:bookmarkStart w:id="24280" w:name="_Toc19391989"/>
      <w:bookmarkStart w:id="24281" w:name="_Toc19395486"/>
      <w:r>
        <w:rPr>
          <w:rFonts w:hint="cs"/>
          <w:rtl/>
        </w:rPr>
        <w:t>דברי הראש יוסף דריו"ח ור"ל נחלקו בגדר החלב אי חדשים גרמי וחשיב כחלב ובגיד לא נחלקו</w:t>
      </w:r>
      <w:bookmarkEnd w:id="24272"/>
      <w:bookmarkEnd w:id="24273"/>
      <w:bookmarkEnd w:id="24274"/>
      <w:bookmarkEnd w:id="24275"/>
      <w:bookmarkEnd w:id="24276"/>
      <w:bookmarkEnd w:id="24277"/>
      <w:bookmarkEnd w:id="24278"/>
      <w:bookmarkEnd w:id="24279"/>
      <w:bookmarkEnd w:id="24280"/>
      <w:bookmarkEnd w:id="24281"/>
    </w:p>
    <w:p w14:paraId="05032C0B" w14:textId="77777777" w:rsidR="003D504D" w:rsidRDefault="003D504D" w:rsidP="00223668">
      <w:pPr>
        <w:pStyle w:val="a0"/>
        <w:rPr>
          <w:rtl/>
        </w:rPr>
      </w:pPr>
      <w:r>
        <w:rPr>
          <w:rFonts w:hint="cs"/>
          <w:rtl/>
        </w:rPr>
        <w:t xml:space="preserve">ובזה ביאר </w:t>
      </w:r>
      <w:r w:rsidRPr="00BC34B7">
        <w:rPr>
          <w:rStyle w:val="af9"/>
          <w:rFonts w:hint="cs"/>
          <w:rtl/>
        </w:rPr>
        <w:t>הראש יוסף לקמן</w:t>
      </w:r>
      <w:r>
        <w:rPr>
          <w:rFonts w:hint="cs"/>
          <w:rtl/>
        </w:rPr>
        <w:t xml:space="preserve"> את דברי </w:t>
      </w:r>
      <w:r w:rsidRPr="00BC34B7">
        <w:rPr>
          <w:rStyle w:val="af9"/>
          <w:rFonts w:hint="cs"/>
          <w:rtl/>
        </w:rPr>
        <w:t>הרמב"ם</w:t>
      </w:r>
      <w:r>
        <w:rPr>
          <w:rFonts w:hint="cs"/>
          <w:rtl/>
        </w:rPr>
        <w:t xml:space="preserve"> בפלוגתת ריו"ח ור"ל בגדר דין חלב, דלריו"ח חדשים גרמי ויש לו דין חלב, ולריו"ח אין חילוק בין חלב לגיד, ולר"ל חדשים ואוירא דלידה גרמי, ואין לו דין חלב, אבל בגיד מודה ר"ל דחדשים גרמי ויש לו דין גיד.</w:t>
      </w:r>
    </w:p>
    <w:p w14:paraId="65BD534C" w14:textId="77777777" w:rsidR="003D504D" w:rsidRPr="004E174C" w:rsidRDefault="003D504D" w:rsidP="003D504D">
      <w:pPr>
        <w:pStyle w:val="a3"/>
      </w:pPr>
      <w:bookmarkStart w:id="24282" w:name="_Toc3929046"/>
      <w:bookmarkStart w:id="24283" w:name="_Toc3978435"/>
      <w:bookmarkStart w:id="24284" w:name="_Toc4012285"/>
      <w:bookmarkStart w:id="24285" w:name="_Toc4013311"/>
      <w:bookmarkStart w:id="24286" w:name="_Toc4022819"/>
      <w:bookmarkStart w:id="24287" w:name="_Toc4026644"/>
      <w:bookmarkStart w:id="24288" w:name="_Toc4139442"/>
      <w:bookmarkStart w:id="24289" w:name="_Toc4151536"/>
      <w:bookmarkStart w:id="24290" w:name="_Toc19391990"/>
      <w:bookmarkStart w:id="24291" w:name="_Toc19395487"/>
      <w:r>
        <w:rPr>
          <w:rFonts w:hint="cs"/>
          <w:rtl/>
        </w:rPr>
        <w:t>דברי הראש יוסף דבהיתר בן פקועה לר"י הוא מגזיה"כ ומהני להתיר איסורים ולרבי דחשיב כבשר</w:t>
      </w:r>
      <w:bookmarkEnd w:id="24282"/>
      <w:bookmarkEnd w:id="24283"/>
      <w:bookmarkEnd w:id="24284"/>
      <w:bookmarkEnd w:id="24285"/>
      <w:bookmarkEnd w:id="24286"/>
      <w:bookmarkEnd w:id="24287"/>
      <w:bookmarkEnd w:id="24288"/>
      <w:bookmarkEnd w:id="24289"/>
      <w:bookmarkEnd w:id="24290"/>
      <w:bookmarkEnd w:id="24291"/>
    </w:p>
    <w:p w14:paraId="2B317862" w14:textId="77777777" w:rsidR="003D504D" w:rsidRDefault="003D504D" w:rsidP="00223668">
      <w:pPr>
        <w:pStyle w:val="a0"/>
        <w:rPr>
          <w:rtl/>
        </w:rPr>
      </w:pPr>
      <w:bookmarkStart w:id="24292" w:name="_Ref4098807"/>
      <w:r>
        <w:rPr>
          <w:rFonts w:hint="cs"/>
          <w:rtl/>
        </w:rPr>
        <w:t xml:space="preserve">אך כתב </w:t>
      </w:r>
      <w:r w:rsidRPr="00BC34B7">
        <w:rPr>
          <w:rStyle w:val="af9"/>
          <w:rFonts w:hint="cs"/>
          <w:rtl/>
        </w:rPr>
        <w:t>הראש יוסף לקמן</w:t>
      </w:r>
      <w:r>
        <w:rPr>
          <w:rFonts w:hint="cs"/>
          <w:rtl/>
        </w:rPr>
        <w:t xml:space="preserve"> דבעיקר ההיתר בבן פקועה יש מחלוקת נוספת בין רבי לר"י, דלדעת רבי דסתם בגיד כר"מ, מבואר דס"ל דאין כח בשחיטה להתיר איסורים, וכדהקשה </w:t>
      </w:r>
      <w:r w:rsidRPr="00A94904">
        <w:rPr>
          <w:rStyle w:val="af9"/>
          <w:rFonts w:hint="cs"/>
          <w:rtl/>
        </w:rPr>
        <w:t>הרא"ש</w:t>
      </w:r>
      <w:r>
        <w:rPr>
          <w:rFonts w:hint="cs"/>
          <w:rtl/>
        </w:rPr>
        <w:t xml:space="preserve"> </w:t>
      </w:r>
      <w:r w:rsidRPr="00A37C17">
        <w:rPr>
          <w:rStyle w:val="af7"/>
          <w:rFonts w:eastAsia="Guttman Hodes" w:hint="cs"/>
          <w:rtl/>
        </w:rPr>
        <w:t xml:space="preserve">(עי' אות </w:t>
      </w:r>
      <w:r w:rsidRPr="00A37C17">
        <w:rPr>
          <w:rStyle w:val="af7"/>
          <w:rFonts w:eastAsia="Guttman Hodes"/>
          <w:rtl/>
        </w:rPr>
        <w:fldChar w:fldCharType="begin"/>
      </w:r>
      <w:r w:rsidRPr="00A37C17">
        <w:rPr>
          <w:rStyle w:val="af7"/>
          <w:rFonts w:eastAsia="Guttman Hodes"/>
          <w:rtl/>
        </w:rPr>
        <w:instrText xml:space="preserve"> </w:instrText>
      </w:r>
      <w:r w:rsidRPr="00A37C17">
        <w:rPr>
          <w:rStyle w:val="af7"/>
          <w:rFonts w:eastAsia="Guttman Hodes" w:hint="cs"/>
        </w:rPr>
        <w:instrText>REF</w:instrText>
      </w:r>
      <w:r w:rsidRPr="00A37C17">
        <w:rPr>
          <w:rStyle w:val="af7"/>
          <w:rFonts w:eastAsia="Guttman Hodes" w:hint="cs"/>
          <w:rtl/>
        </w:rPr>
        <w:instrText xml:space="preserve"> _</w:instrText>
      </w:r>
      <w:r w:rsidRPr="00A37C17">
        <w:rPr>
          <w:rStyle w:val="af7"/>
          <w:rFonts w:eastAsia="Guttman Hodes" w:hint="cs"/>
        </w:rPr>
        <w:instrText>Ref4143984 \r \h</w:instrText>
      </w:r>
      <w:r w:rsidRPr="00A37C17">
        <w:rPr>
          <w:rStyle w:val="af7"/>
          <w:rFonts w:eastAsia="Guttman Hodes"/>
          <w:rtl/>
        </w:rPr>
        <w:instrText xml:space="preserve">  \* </w:instrText>
      </w:r>
      <w:r w:rsidRPr="00A37C17">
        <w:rPr>
          <w:rStyle w:val="af7"/>
          <w:rFonts w:eastAsia="Guttman Hodes"/>
        </w:rPr>
        <w:instrText>MERGEFORMAT</w:instrText>
      </w:r>
      <w:r w:rsidRPr="00A37C17">
        <w:rPr>
          <w:rStyle w:val="af7"/>
          <w:rFonts w:eastAsia="Guttman Hodes"/>
          <w:rtl/>
        </w:rPr>
        <w:instrText xml:space="preserve"> </w:instrText>
      </w:r>
      <w:r w:rsidRPr="00A37C17">
        <w:rPr>
          <w:rStyle w:val="af7"/>
          <w:rFonts w:eastAsia="Guttman Hodes"/>
          <w:rtl/>
        </w:rPr>
      </w:r>
      <w:r w:rsidRPr="00A37C17">
        <w:rPr>
          <w:rStyle w:val="af7"/>
          <w:rFonts w:eastAsia="Guttman Hodes"/>
          <w:rtl/>
        </w:rPr>
        <w:fldChar w:fldCharType="separate"/>
      </w:r>
      <w:r w:rsidR="00345400">
        <w:rPr>
          <w:rStyle w:val="af7"/>
          <w:rFonts w:eastAsia="Guttman Hodes"/>
          <w:cs/>
        </w:rPr>
        <w:t>‎</w:t>
      </w:r>
      <w:r w:rsidR="00345400">
        <w:rPr>
          <w:rStyle w:val="af7"/>
          <w:rFonts w:eastAsia="Guttman Hodes"/>
          <w:rtl/>
        </w:rPr>
        <w:t>טו)</w:t>
      </w:r>
      <w:r w:rsidRPr="00A37C17">
        <w:rPr>
          <w:rStyle w:val="af7"/>
          <w:rFonts w:eastAsia="Guttman Hodes"/>
          <w:rtl/>
        </w:rPr>
        <w:fldChar w:fldCharType="end"/>
      </w:r>
      <w:r w:rsidRPr="00A37C17">
        <w:rPr>
          <w:rStyle w:val="af7"/>
          <w:rFonts w:eastAsia="Guttman Hodes" w:hint="cs"/>
          <w:rtl/>
        </w:rPr>
        <w:t xml:space="preserve"> </w:t>
      </w:r>
      <w:r>
        <w:rPr>
          <w:rFonts w:hint="cs"/>
          <w:rtl/>
        </w:rPr>
        <w:t>דדיו לולד שיהיה כאמו, ולר"י יש היתר</w:t>
      </w:r>
      <w:r w:rsidRPr="001D5910">
        <w:rPr>
          <w:rFonts w:hint="cs"/>
          <w:rtl/>
        </w:rPr>
        <w:t xml:space="preserve"> </w:t>
      </w:r>
      <w:r>
        <w:rPr>
          <w:rFonts w:hint="cs"/>
          <w:rtl/>
        </w:rPr>
        <w:t>מגזיה"כ מדין "כל בבהמה תאכלו", ולריו"ח בדעת ר"י ההיתר בזה הוא בין בחלב ובין בגיד, ולר"ל בדעת ר"י ההיתר נצרך רק לגיד, אבל חלב כיון דחדשים ואוירא גרמי, הוא כבשר וא"צ גזיה"כ להתירו.</w:t>
      </w:r>
      <w:bookmarkEnd w:id="24292"/>
    </w:p>
    <w:p w14:paraId="23E3FF0D" w14:textId="77777777" w:rsidR="003D504D" w:rsidRDefault="003D504D" w:rsidP="003D504D">
      <w:pPr>
        <w:pStyle w:val="a3"/>
        <w:rPr>
          <w:rtl/>
        </w:rPr>
      </w:pPr>
      <w:bookmarkStart w:id="24293" w:name="_Toc3929047"/>
      <w:bookmarkStart w:id="24294" w:name="_Toc3978436"/>
      <w:bookmarkStart w:id="24295" w:name="_Toc4012286"/>
      <w:bookmarkStart w:id="24296" w:name="_Toc4013312"/>
      <w:bookmarkStart w:id="24297" w:name="_Toc4022820"/>
      <w:bookmarkStart w:id="24298" w:name="_Toc4026645"/>
      <w:bookmarkStart w:id="24299" w:name="_Toc4139443"/>
      <w:bookmarkStart w:id="24300" w:name="_Toc4151537"/>
      <w:bookmarkStart w:id="24301" w:name="_Toc19391991"/>
      <w:bookmarkStart w:id="24302" w:name="_Toc19395488"/>
      <w:r>
        <w:rPr>
          <w:rFonts w:hint="cs"/>
          <w:rtl/>
        </w:rPr>
        <w:t>דברי הראש יוסף דבגדר חלב פסק הרמב"ם כריו"ח ובגדר ההיתר פסק כרבי ולכן החלב אסור</w:t>
      </w:r>
      <w:bookmarkEnd w:id="24293"/>
      <w:bookmarkEnd w:id="24294"/>
      <w:bookmarkEnd w:id="24295"/>
      <w:bookmarkEnd w:id="24296"/>
      <w:bookmarkEnd w:id="24297"/>
      <w:bookmarkEnd w:id="24298"/>
      <w:bookmarkEnd w:id="24299"/>
      <w:bookmarkEnd w:id="24300"/>
      <w:bookmarkEnd w:id="24301"/>
      <w:bookmarkEnd w:id="24302"/>
    </w:p>
    <w:p w14:paraId="7CBC5914" w14:textId="77777777" w:rsidR="003D504D" w:rsidRPr="00C8359A" w:rsidRDefault="003D504D" w:rsidP="00223668">
      <w:pPr>
        <w:pStyle w:val="a0"/>
      </w:pPr>
      <w:r>
        <w:rPr>
          <w:rFonts w:hint="cs"/>
          <w:rtl/>
        </w:rPr>
        <w:t xml:space="preserve">וכתב </w:t>
      </w:r>
      <w:r w:rsidRPr="00BC34B7">
        <w:rPr>
          <w:rStyle w:val="af9"/>
          <w:rFonts w:hint="cs"/>
          <w:rtl/>
        </w:rPr>
        <w:t>הראש יוסף לקמן</w:t>
      </w:r>
      <w:r>
        <w:rPr>
          <w:rFonts w:hint="cs"/>
          <w:rtl/>
        </w:rPr>
        <w:t xml:space="preserve"> דבפלוגתת ריו"ח ור"ל בגדר דין חלב, פסק </w:t>
      </w:r>
      <w:r w:rsidRPr="00BC34B7">
        <w:rPr>
          <w:rStyle w:val="af9"/>
          <w:rFonts w:hint="cs"/>
          <w:rtl/>
        </w:rPr>
        <w:t>הרמב"ם</w:t>
      </w:r>
      <w:r>
        <w:rPr>
          <w:rFonts w:hint="cs"/>
          <w:rtl/>
        </w:rPr>
        <w:t xml:space="preserve"> כריו"ח דחדשים גרמי, וא"כ אין חילוק בין חלב לבין גיד, דשניהם אינם כבשר, אבל בפלוגתת ר"י ורבי בעיקר ההיתר בבן פקועה, פסק </w:t>
      </w:r>
      <w:r w:rsidRPr="00BC34B7">
        <w:rPr>
          <w:rStyle w:val="af9"/>
          <w:rFonts w:hint="cs"/>
          <w:rtl/>
        </w:rPr>
        <w:t>הרמב"ם</w:t>
      </w:r>
      <w:r>
        <w:rPr>
          <w:rFonts w:hint="cs"/>
          <w:rtl/>
        </w:rPr>
        <w:t xml:space="preserve"> כרבי דשחיטת האם לא מהני להתיר איסורים, ולכן כיון דבגדר דין החלב קיי"ל כריו"ח דחלב וגיד אינם כבשר, א"כ פלוגתת רבי ור"י היא בין בחלב ובין בגיד, דלדעת ר"י הם מותרים מגזיה"כ, ולדעת רבי הם אסורים דפליג על ההיתר מגזיה"כ וס"ל דדיו לולד שיהיה כאמו, ולכן פסק </w:t>
      </w:r>
      <w:r w:rsidRPr="00BC34B7">
        <w:rPr>
          <w:rStyle w:val="af9"/>
          <w:rFonts w:hint="cs"/>
          <w:rtl/>
        </w:rPr>
        <w:t>הרמב"ם</w:t>
      </w:r>
      <w:r>
        <w:rPr>
          <w:rFonts w:hint="cs"/>
          <w:rtl/>
        </w:rPr>
        <w:t xml:space="preserve"> דאף דבן ט' חי מותר בשחיטת אמו, כדסתם רבי במתני' בסוגיין </w:t>
      </w:r>
      <w:r w:rsidRPr="00BC34B7">
        <w:rPr>
          <w:rStyle w:val="af7"/>
          <w:rFonts w:eastAsia="Guttman Hodes" w:hint="cs"/>
          <w:rtl/>
        </w:rPr>
        <w:t>(עד.)</w:t>
      </w:r>
      <w:r>
        <w:rPr>
          <w:rFonts w:hint="cs"/>
          <w:rtl/>
        </w:rPr>
        <w:t xml:space="preserve">, מ"מ פסק דחלבו וגידו אסורים, כדפסק רבי במתני' לקמן </w:t>
      </w:r>
      <w:r w:rsidRPr="00BC34B7">
        <w:rPr>
          <w:rStyle w:val="af7"/>
          <w:rFonts w:eastAsia="Guttman Hodes" w:hint="cs"/>
          <w:rtl/>
        </w:rPr>
        <w:t xml:space="preserve">(פט:) </w:t>
      </w:r>
      <w:r>
        <w:rPr>
          <w:rFonts w:hint="cs"/>
          <w:rtl/>
        </w:rPr>
        <w:t>בדין הגיד, וה"ה לחלב, דבגדר דין חלב קיי"ל כריו"ח דאין חילוק בינו לבין הגיד.</w:t>
      </w:r>
    </w:p>
    <w:p w14:paraId="60B25FC8" w14:textId="77777777" w:rsidR="003D504D" w:rsidRDefault="003D504D" w:rsidP="00BF39B2">
      <w:pPr>
        <w:pStyle w:val="1"/>
        <w:rPr>
          <w:rtl/>
        </w:rPr>
      </w:pPr>
      <w:bookmarkStart w:id="24303" w:name="_Toc3978437"/>
      <w:bookmarkStart w:id="24304" w:name="_Toc4012287"/>
      <w:bookmarkStart w:id="24305" w:name="_Toc4013313"/>
      <w:bookmarkStart w:id="24306" w:name="_Toc4022821"/>
      <w:bookmarkStart w:id="24307" w:name="_Toc4026646"/>
      <w:bookmarkStart w:id="24308" w:name="_Toc4139444"/>
      <w:bookmarkStart w:id="24309" w:name="_Toc4151538"/>
      <w:bookmarkStart w:id="24310" w:name="_Toc19391992"/>
      <w:bookmarkStart w:id="24311" w:name="_Toc19395489"/>
      <w:r>
        <w:rPr>
          <w:rFonts w:hint="cs"/>
          <w:rtl/>
        </w:rPr>
        <w:t>ביאור הראש יוסף בדעת ריו"ח ור"ל בפלוגתת ר"מ ור"י</w:t>
      </w:r>
      <w:bookmarkEnd w:id="24303"/>
      <w:bookmarkEnd w:id="24304"/>
      <w:bookmarkEnd w:id="24305"/>
      <w:bookmarkEnd w:id="24306"/>
      <w:bookmarkEnd w:id="24307"/>
      <w:bookmarkEnd w:id="24308"/>
      <w:bookmarkEnd w:id="24309"/>
      <w:bookmarkEnd w:id="24310"/>
      <w:bookmarkEnd w:id="24311"/>
    </w:p>
    <w:p w14:paraId="36115DE3" w14:textId="77777777" w:rsidR="003D504D" w:rsidRPr="004833D5" w:rsidRDefault="003D504D" w:rsidP="003D504D">
      <w:pPr>
        <w:pStyle w:val="a3"/>
      </w:pPr>
      <w:bookmarkStart w:id="24312" w:name="_Toc3978438"/>
      <w:bookmarkStart w:id="24313" w:name="_Toc4012288"/>
      <w:bookmarkStart w:id="24314" w:name="_Toc4013314"/>
      <w:bookmarkStart w:id="24315" w:name="_Toc4022822"/>
      <w:bookmarkStart w:id="24316" w:name="_Toc4026647"/>
      <w:bookmarkStart w:id="24317" w:name="_Toc4139445"/>
      <w:bookmarkStart w:id="24318" w:name="_Toc4151539"/>
      <w:bookmarkStart w:id="24319" w:name="_Toc19391993"/>
      <w:bookmarkStart w:id="24320" w:name="_Toc19395490"/>
      <w:r>
        <w:rPr>
          <w:rFonts w:hint="cs"/>
          <w:rtl/>
        </w:rPr>
        <w:t>דברי הראש יוסף דלהרמב"ם ריו"ח ור"ל יכולים לסבור כר"י אך נחלקו בהיתר חלב לר"י</w:t>
      </w:r>
      <w:bookmarkEnd w:id="24312"/>
      <w:bookmarkEnd w:id="24313"/>
      <w:bookmarkEnd w:id="24314"/>
      <w:bookmarkEnd w:id="24315"/>
      <w:bookmarkEnd w:id="24316"/>
      <w:bookmarkEnd w:id="24317"/>
      <w:bookmarkEnd w:id="24318"/>
      <w:bookmarkEnd w:id="24319"/>
      <w:bookmarkEnd w:id="24320"/>
    </w:p>
    <w:p w14:paraId="534BAC53" w14:textId="77777777" w:rsidR="003D504D" w:rsidRDefault="003D504D" w:rsidP="00223668">
      <w:pPr>
        <w:pStyle w:val="a0"/>
        <w:rPr>
          <w:rtl/>
        </w:rPr>
      </w:pPr>
      <w:bookmarkStart w:id="24321" w:name="_Ref3968915"/>
      <w:r w:rsidRPr="00FF744D">
        <w:rPr>
          <w:rFonts w:hint="cs"/>
          <w:rtl/>
        </w:rPr>
        <w:t xml:space="preserve">ובזה ישב </w:t>
      </w:r>
      <w:r w:rsidRPr="00FF744D">
        <w:rPr>
          <w:rStyle w:val="af9"/>
          <w:rFonts w:hint="cs"/>
          <w:rtl/>
        </w:rPr>
        <w:t>הראש יוסף לקמן</w:t>
      </w:r>
      <w:r w:rsidRPr="00FF744D">
        <w:rPr>
          <w:rFonts w:hint="cs"/>
          <w:rtl/>
        </w:rPr>
        <w:t xml:space="preserve"> </w:t>
      </w:r>
      <w:r w:rsidRPr="00FF744D">
        <w:rPr>
          <w:rStyle w:val="af7"/>
          <w:rFonts w:eastAsia="Guttman Hodes" w:hint="cs"/>
          <w:rtl/>
        </w:rPr>
        <w:t xml:space="preserve">(צב: ד"ה ובזה אתי שפיר) </w:t>
      </w:r>
      <w:r w:rsidRPr="00FF744D">
        <w:rPr>
          <w:rFonts w:hint="cs"/>
          <w:rtl/>
        </w:rPr>
        <w:t xml:space="preserve">את קושית </w:t>
      </w:r>
      <w:r w:rsidRPr="00FF744D">
        <w:rPr>
          <w:rStyle w:val="af9"/>
          <w:rFonts w:hint="cs"/>
          <w:rtl/>
        </w:rPr>
        <w:t>הרא"ש</w:t>
      </w:r>
      <w:r w:rsidRPr="00FF744D">
        <w:rPr>
          <w:rFonts w:hint="cs"/>
          <w:rtl/>
        </w:rPr>
        <w:t xml:space="preserve"> </w:t>
      </w:r>
      <w:r w:rsidRPr="00FF744D">
        <w:rPr>
          <w:rStyle w:val="af7"/>
          <w:rFonts w:eastAsia="Guttman Hodes" w:hint="cs"/>
          <w:rtl/>
        </w:rPr>
        <w:t xml:space="preserve">(עי' אות </w:t>
      </w:r>
      <w:r w:rsidRPr="00FF744D">
        <w:rPr>
          <w:rStyle w:val="af7"/>
          <w:rFonts w:eastAsia="Guttman Hodes"/>
          <w:rtl/>
        </w:rPr>
        <w:fldChar w:fldCharType="begin"/>
      </w:r>
      <w:r w:rsidRPr="00FF744D">
        <w:rPr>
          <w:rStyle w:val="af7"/>
          <w:rFonts w:eastAsia="Guttman Hodes"/>
          <w:rtl/>
        </w:rPr>
        <w:instrText xml:space="preserve"> </w:instrText>
      </w:r>
      <w:r w:rsidRPr="00FF744D">
        <w:rPr>
          <w:rStyle w:val="af7"/>
          <w:rFonts w:eastAsia="Guttman Hodes" w:hint="cs"/>
        </w:rPr>
        <w:instrText>REF</w:instrText>
      </w:r>
      <w:r w:rsidRPr="00FF744D">
        <w:rPr>
          <w:rStyle w:val="af7"/>
          <w:rFonts w:eastAsia="Guttman Hodes" w:hint="cs"/>
          <w:rtl/>
        </w:rPr>
        <w:instrText xml:space="preserve"> _</w:instrText>
      </w:r>
      <w:r w:rsidRPr="00FF744D">
        <w:rPr>
          <w:rStyle w:val="af7"/>
          <w:rFonts w:eastAsia="Guttman Hodes" w:hint="cs"/>
        </w:rPr>
        <w:instrText>Ref3803773 \r \h</w:instrText>
      </w:r>
      <w:r w:rsidRPr="00FF744D">
        <w:rPr>
          <w:rStyle w:val="af7"/>
          <w:rFonts w:eastAsia="Guttman Hodes"/>
          <w:rtl/>
        </w:rPr>
        <w:instrText xml:space="preserve">  \* </w:instrText>
      </w:r>
      <w:r w:rsidRPr="00FF744D">
        <w:rPr>
          <w:rStyle w:val="af7"/>
          <w:rFonts w:eastAsia="Guttman Hodes"/>
        </w:rPr>
        <w:instrText>MERGEFORMAT</w:instrText>
      </w:r>
      <w:r w:rsidRPr="00FF744D">
        <w:rPr>
          <w:rStyle w:val="af7"/>
          <w:rFonts w:eastAsia="Guttman Hodes"/>
          <w:rtl/>
        </w:rPr>
        <w:instrText xml:space="preserve"> </w:instrText>
      </w:r>
      <w:r w:rsidRPr="00FF744D">
        <w:rPr>
          <w:rStyle w:val="af7"/>
          <w:rFonts w:eastAsia="Guttman Hodes"/>
          <w:rtl/>
        </w:rPr>
      </w:r>
      <w:r w:rsidRPr="00FF744D">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FF744D">
        <w:rPr>
          <w:rStyle w:val="af7"/>
          <w:rFonts w:eastAsia="Guttman Hodes"/>
          <w:rtl/>
        </w:rPr>
        <w:fldChar w:fldCharType="end"/>
      </w:r>
      <w:r w:rsidRPr="00FF744D">
        <w:rPr>
          <w:rFonts w:hint="cs"/>
          <w:rtl/>
        </w:rPr>
        <w:t xml:space="preserve"> על</w:t>
      </w:r>
      <w:r>
        <w:rPr>
          <w:rFonts w:hint="cs"/>
          <w:rtl/>
        </w:rPr>
        <w:t xml:space="preserve"> </w:t>
      </w:r>
      <w:r w:rsidRPr="00BC34B7">
        <w:rPr>
          <w:rStyle w:val="af9"/>
          <w:rFonts w:hint="cs"/>
          <w:rtl/>
        </w:rPr>
        <w:t>הרמב"ם</w:t>
      </w:r>
      <w:r>
        <w:rPr>
          <w:rFonts w:hint="cs"/>
          <w:rtl/>
        </w:rPr>
        <w:t xml:space="preserve">, דהיה לריו"ח לומר דהלכה כר"מ, ולר"ל לומר דהלכה כר"י, וביאר </w:t>
      </w:r>
      <w:r w:rsidRPr="00901C65">
        <w:rPr>
          <w:rStyle w:val="af9"/>
          <w:rFonts w:hint="cs"/>
          <w:rtl/>
        </w:rPr>
        <w:t>הראש יוסף</w:t>
      </w:r>
      <w:r>
        <w:rPr>
          <w:rFonts w:hint="cs"/>
          <w:rtl/>
        </w:rPr>
        <w:t xml:space="preserve"> דבאמת בין ריו"ח ובין ר"ל יכולים לסבור כר"י, אלא דלדעת ריו"ח ר"י התיר בין בחלב ובין בגיד מגזיה"כ מדין "כל בבהמה תאכלו", ולדעת ר"ל רק בגיד ההיתר הוא מגזיה"כ, אבל בחלב ס"ל לר"ל דא"צ את הגזיה"כ להתיר, דבחלב חדשים לבד לא גרמי ואין לו שם חלב, שהא בחלב כתיב "שור" וכדסתם רבי במתני' לקמן </w:t>
      </w:r>
      <w:r w:rsidRPr="00122B71">
        <w:rPr>
          <w:rStyle w:val="af7"/>
          <w:rFonts w:eastAsia="Guttman Hodes" w:hint="cs"/>
          <w:rtl/>
        </w:rPr>
        <w:t>(פט:)</w:t>
      </w:r>
      <w:r>
        <w:rPr>
          <w:rFonts w:hint="cs"/>
          <w:rtl/>
        </w:rPr>
        <w:t xml:space="preserve">, וסבר ר"ל דכיון דלר"י העובר מותר בשחיטת אמו, ה"ה דחלב מותר, אבל </w:t>
      </w:r>
      <w:r w:rsidRPr="00EB4C76">
        <w:rPr>
          <w:rStyle w:val="af9"/>
          <w:rFonts w:hint="cs"/>
          <w:rtl/>
        </w:rPr>
        <w:t>הרמב"ם</w:t>
      </w:r>
      <w:r>
        <w:rPr>
          <w:rFonts w:hint="cs"/>
          <w:rtl/>
        </w:rPr>
        <w:t xml:space="preserve"> פסק כריו"ח דחלב אסור, וכיון רבי במתני' לקמן </w:t>
      </w:r>
      <w:r w:rsidRPr="00122B71">
        <w:rPr>
          <w:rStyle w:val="af7"/>
          <w:rFonts w:eastAsia="Guttman Hodes" w:hint="cs"/>
          <w:rtl/>
        </w:rPr>
        <w:t xml:space="preserve">(פט:) </w:t>
      </w:r>
      <w:r>
        <w:rPr>
          <w:rFonts w:hint="cs"/>
          <w:rtl/>
        </w:rPr>
        <w:t>דגידו אסור, א"כ ה"ה לחלב דאין חילוק בין חלב לגיד כלל.</w:t>
      </w:r>
      <w:bookmarkEnd w:id="24321"/>
    </w:p>
    <w:p w14:paraId="191EC458" w14:textId="77777777" w:rsidR="003D504D" w:rsidRDefault="003D504D" w:rsidP="003D504D">
      <w:pPr>
        <w:pStyle w:val="a3"/>
        <w:rPr>
          <w:rtl/>
        </w:rPr>
      </w:pPr>
      <w:bookmarkStart w:id="24322" w:name="_Toc3978439"/>
      <w:bookmarkStart w:id="24323" w:name="_Toc4012289"/>
      <w:bookmarkStart w:id="24324" w:name="_Toc4013315"/>
      <w:bookmarkStart w:id="24325" w:name="_Toc4022823"/>
      <w:bookmarkStart w:id="24326" w:name="_Toc4026648"/>
      <w:bookmarkStart w:id="24327" w:name="_Toc4139446"/>
      <w:bookmarkStart w:id="24328" w:name="_Toc4151540"/>
      <w:bookmarkStart w:id="24329" w:name="_Toc19391994"/>
      <w:bookmarkStart w:id="24330" w:name="_Toc19395491"/>
      <w:r>
        <w:rPr>
          <w:rFonts w:hint="cs"/>
          <w:rtl/>
        </w:rPr>
        <w:t>קושית הראש יוסף על הרמב"ם דמוכח בגמ' לקמן דאף לריו"ח בעינן אויר העולם</w:t>
      </w:r>
      <w:bookmarkEnd w:id="24322"/>
      <w:bookmarkEnd w:id="24323"/>
      <w:bookmarkEnd w:id="24324"/>
      <w:bookmarkEnd w:id="24325"/>
      <w:bookmarkEnd w:id="24326"/>
      <w:bookmarkEnd w:id="24327"/>
      <w:bookmarkEnd w:id="24328"/>
      <w:bookmarkEnd w:id="24329"/>
      <w:bookmarkEnd w:id="24330"/>
    </w:p>
    <w:p w14:paraId="4C5F35CA" w14:textId="77777777" w:rsidR="003D504D" w:rsidRDefault="003D504D" w:rsidP="00223668">
      <w:pPr>
        <w:pStyle w:val="a0"/>
        <w:rPr>
          <w:rtl/>
        </w:rPr>
      </w:pPr>
      <w:bookmarkStart w:id="24331" w:name="_Ref4008922"/>
      <w:r>
        <w:rPr>
          <w:rFonts w:hint="cs"/>
          <w:rtl/>
        </w:rPr>
        <w:t xml:space="preserve">אך הקשה </w:t>
      </w:r>
      <w:r w:rsidRPr="000D03DE">
        <w:rPr>
          <w:rStyle w:val="af9"/>
          <w:rFonts w:hint="cs"/>
          <w:rtl/>
        </w:rPr>
        <w:t>הראש יוסף לקמן</w:t>
      </w:r>
      <w:r>
        <w:rPr>
          <w:rFonts w:hint="cs"/>
          <w:rtl/>
        </w:rPr>
        <w:t xml:space="preserve"> </w:t>
      </w:r>
      <w:r w:rsidRPr="000D03DE">
        <w:rPr>
          <w:rStyle w:val="af7"/>
          <w:rFonts w:eastAsia="Guttman Hodes" w:hint="cs"/>
          <w:rtl/>
        </w:rPr>
        <w:t xml:space="preserve">(צב: ד"ה אבל קושיא) </w:t>
      </w:r>
      <w:r>
        <w:rPr>
          <w:rFonts w:hint="cs"/>
          <w:rtl/>
        </w:rPr>
        <w:t xml:space="preserve">על דברי </w:t>
      </w:r>
      <w:r w:rsidRPr="00813857">
        <w:rPr>
          <w:rStyle w:val="af9"/>
          <w:rFonts w:hint="cs"/>
          <w:rtl/>
        </w:rPr>
        <w:t>הרמב"ם</w:t>
      </w:r>
      <w:r>
        <w:rPr>
          <w:rFonts w:hint="cs"/>
          <w:rtl/>
        </w:rPr>
        <w:t xml:space="preserve"> דאי ס"ל </w:t>
      </w:r>
      <w:r w:rsidRPr="00813857">
        <w:rPr>
          <w:rStyle w:val="af9"/>
          <w:rFonts w:hint="cs"/>
          <w:rtl/>
        </w:rPr>
        <w:t>להרמב"ם</w:t>
      </w:r>
      <w:r>
        <w:rPr>
          <w:rFonts w:hint="cs"/>
          <w:rtl/>
        </w:rPr>
        <w:t xml:space="preserve"> דלדעת ריו"ח חדשים לבד גרמי, ולא בעינן לא אוירא דלידה ולא אויר העולם </w:t>
      </w:r>
      <w:r w:rsidRPr="00432654">
        <w:rPr>
          <w:rStyle w:val="afb"/>
          <w:rFonts w:hint="cs"/>
          <w:rtl/>
        </w:rPr>
        <w:t xml:space="preserve">[ודלא </w:t>
      </w:r>
      <w:r w:rsidRPr="00212F81">
        <w:rPr>
          <w:rStyle w:val="affa"/>
          <w:rFonts w:hint="cs"/>
          <w:rtl/>
        </w:rPr>
        <w:t>כתוס'</w:t>
      </w:r>
      <w:r w:rsidRPr="00432654">
        <w:rPr>
          <w:rStyle w:val="afb"/>
          <w:rFonts w:hint="cs"/>
          <w:rtl/>
        </w:rPr>
        <w:t xml:space="preserve"> </w:t>
      </w:r>
      <w:r w:rsidRPr="00212F81">
        <w:rPr>
          <w:rStyle w:val="aff6"/>
          <w:rFonts w:hint="cs"/>
          <w:rtl/>
        </w:rPr>
        <w:t xml:space="preserve">(עי' אות </w:t>
      </w:r>
      <w:r w:rsidRPr="00212F81">
        <w:rPr>
          <w:rStyle w:val="aff6"/>
          <w:rtl/>
        </w:rPr>
        <w:fldChar w:fldCharType="begin"/>
      </w:r>
      <w:r w:rsidRPr="00212F81">
        <w:rPr>
          <w:rStyle w:val="aff6"/>
          <w:rtl/>
        </w:rPr>
        <w:instrText xml:space="preserve"> </w:instrText>
      </w:r>
      <w:r w:rsidRPr="00212F81">
        <w:rPr>
          <w:rStyle w:val="aff6"/>
          <w:rFonts w:hint="cs"/>
        </w:rPr>
        <w:instrText>REF</w:instrText>
      </w:r>
      <w:r w:rsidRPr="00212F81">
        <w:rPr>
          <w:rStyle w:val="aff6"/>
          <w:rFonts w:hint="cs"/>
          <w:rtl/>
        </w:rPr>
        <w:instrText xml:space="preserve"> _</w:instrText>
      </w:r>
      <w:r w:rsidRPr="00212F81">
        <w:rPr>
          <w:rStyle w:val="aff6"/>
          <w:rFonts w:hint="cs"/>
        </w:rPr>
        <w:instrText>Ref4143378 \r \h</w:instrText>
      </w:r>
      <w:r w:rsidRPr="00212F81">
        <w:rPr>
          <w:rStyle w:val="aff6"/>
          <w:rtl/>
        </w:rPr>
        <w:instrText xml:space="preserve"> </w:instrText>
      </w:r>
      <w:r w:rsidRPr="00212F81">
        <w:rPr>
          <w:rStyle w:val="aff6"/>
          <w:rtl/>
        </w:rPr>
      </w:r>
      <w:r w:rsidRPr="00212F81">
        <w:rPr>
          <w:rStyle w:val="aff6"/>
          <w:rtl/>
        </w:rPr>
        <w:fldChar w:fldCharType="separate"/>
      </w:r>
      <w:r w:rsidR="00345400">
        <w:rPr>
          <w:rStyle w:val="aff6"/>
          <w:cs/>
        </w:rPr>
        <w:t>‎</w:t>
      </w:r>
      <w:r w:rsidR="00345400">
        <w:rPr>
          <w:rStyle w:val="aff6"/>
          <w:rtl/>
        </w:rPr>
        <w:t>יד)</w:t>
      </w:r>
      <w:r w:rsidRPr="00212F81">
        <w:rPr>
          <w:rStyle w:val="aff6"/>
          <w:rtl/>
        </w:rPr>
        <w:fldChar w:fldCharType="end"/>
      </w:r>
      <w:r w:rsidRPr="00432654">
        <w:rPr>
          <w:rStyle w:val="afb"/>
          <w:rFonts w:hint="cs"/>
          <w:rtl/>
        </w:rPr>
        <w:t>]</w:t>
      </w:r>
      <w:r>
        <w:rPr>
          <w:rFonts w:hint="cs"/>
          <w:rtl/>
        </w:rPr>
        <w:t xml:space="preserve">, א"כ היאך יבאר </w:t>
      </w:r>
      <w:r w:rsidRPr="005A2D51">
        <w:rPr>
          <w:rStyle w:val="af9"/>
          <w:rFonts w:hint="cs"/>
          <w:rtl/>
        </w:rPr>
        <w:t>הרמב"ם</w:t>
      </w:r>
      <w:r>
        <w:rPr>
          <w:rFonts w:hint="cs"/>
          <w:rtl/>
        </w:rPr>
        <w:t xml:space="preserve"> את הגמ' לקמן </w:t>
      </w:r>
      <w:r w:rsidRPr="00432654">
        <w:rPr>
          <w:rStyle w:val="af7"/>
          <w:rFonts w:eastAsia="Guttman Hodes" w:hint="cs"/>
          <w:rtl/>
        </w:rPr>
        <w:t>(קג.)</w:t>
      </w:r>
      <w:r>
        <w:rPr>
          <w:rFonts w:hint="cs"/>
          <w:rtl/>
        </w:rPr>
        <w:t xml:space="preserve"> דאמר ריו"ח לא חייל איסור חלב עד שיצא לאויר העולם, וא"א לתרץ כתירוץ </w:t>
      </w:r>
      <w:r w:rsidRPr="00432654">
        <w:rPr>
          <w:rStyle w:val="af9"/>
          <w:rFonts w:hint="cs"/>
          <w:rtl/>
        </w:rPr>
        <w:t>הרשב"א</w:t>
      </w:r>
      <w:r>
        <w:rPr>
          <w:rFonts w:hint="cs"/>
          <w:rtl/>
        </w:rPr>
        <w:t xml:space="preserve"> </w:t>
      </w:r>
      <w:r w:rsidRPr="004513C7">
        <w:rPr>
          <w:rStyle w:val="af7"/>
          <w:rFonts w:eastAsia="Guttman Hodes" w:hint="cs"/>
          <w:rtl/>
        </w:rPr>
        <w:t>(</w:t>
      </w:r>
      <w:r w:rsidR="00AC7E32">
        <w:rPr>
          <w:rStyle w:val="af7"/>
          <w:rFonts w:eastAsia="Guttman Hodes" w:hint="cs"/>
          <w:rtl/>
        </w:rPr>
        <w:t>הובא בסימן</w:t>
      </w:r>
      <w:r w:rsidRPr="004513C7">
        <w:rPr>
          <w:rStyle w:val="af7"/>
          <w:rFonts w:eastAsia="Guttman Hodes" w:hint="cs"/>
          <w:rtl/>
        </w:rPr>
        <w:t xml:space="preserve"> ז</w:t>
      </w:r>
      <w:r w:rsidRPr="004513C7">
        <w:rPr>
          <w:rStyle w:val="af7"/>
          <w:rFonts w:eastAsia="Guttman Hodes"/>
          <w:rtl/>
        </w:rPr>
        <w:t>'</w:t>
      </w:r>
      <w:r w:rsidRPr="004513C7">
        <w:rPr>
          <w:rStyle w:val="af7"/>
          <w:rFonts w:eastAsia="Guttman Hodes" w:hint="cs"/>
          <w:rtl/>
        </w:rPr>
        <w:t xml:space="preserve"> אות לד)</w:t>
      </w:r>
      <w:r>
        <w:rPr>
          <w:rFonts w:hint="cs"/>
          <w:rtl/>
        </w:rPr>
        <w:t xml:space="preserve">  דכיון שיכול החלב להיות מותר בשחיטה לא חל עליו איסור חלב, דהא </w:t>
      </w:r>
      <w:r w:rsidRPr="00432654">
        <w:rPr>
          <w:rStyle w:val="af9"/>
          <w:rFonts w:hint="cs"/>
          <w:rtl/>
        </w:rPr>
        <w:t>להרמב"ם</w:t>
      </w:r>
      <w:r>
        <w:rPr>
          <w:rFonts w:hint="cs"/>
          <w:rtl/>
        </w:rPr>
        <w:t xml:space="preserve"> לא מהני שחיטת האם להתיר את החלב, ועי' בדברי </w:t>
      </w:r>
      <w:r w:rsidRPr="000F7C5C">
        <w:rPr>
          <w:rStyle w:val="af9"/>
          <w:rFonts w:hint="cs"/>
          <w:rtl/>
        </w:rPr>
        <w:t>האמרי משה</w:t>
      </w:r>
      <w:r>
        <w:rPr>
          <w:rFonts w:hint="cs"/>
          <w:rtl/>
        </w:rPr>
        <w:t xml:space="preserve"> </w:t>
      </w:r>
      <w:r w:rsidRPr="000F7C5C">
        <w:rPr>
          <w:rStyle w:val="af7"/>
          <w:rFonts w:eastAsia="Guttman Hodes" w:hint="cs"/>
          <w:rtl/>
        </w:rPr>
        <w:t xml:space="preserve">(עי' אות </w:t>
      </w:r>
      <w:r w:rsidRPr="000F7C5C">
        <w:rPr>
          <w:rStyle w:val="af7"/>
          <w:rFonts w:eastAsia="Guttman Hodes"/>
          <w:rtl/>
        </w:rPr>
        <w:fldChar w:fldCharType="begin"/>
      </w:r>
      <w:r w:rsidRPr="000F7C5C">
        <w:rPr>
          <w:rStyle w:val="af7"/>
          <w:rFonts w:eastAsia="Guttman Hodes"/>
          <w:rtl/>
        </w:rPr>
        <w:instrText xml:space="preserve"> </w:instrText>
      </w:r>
      <w:r w:rsidRPr="000F7C5C">
        <w:rPr>
          <w:rStyle w:val="af7"/>
          <w:rFonts w:eastAsia="Guttman Hodes" w:hint="cs"/>
        </w:rPr>
        <w:instrText>REF</w:instrText>
      </w:r>
      <w:r w:rsidRPr="000F7C5C">
        <w:rPr>
          <w:rStyle w:val="af7"/>
          <w:rFonts w:eastAsia="Guttman Hodes" w:hint="cs"/>
          <w:rtl/>
        </w:rPr>
        <w:instrText xml:space="preserve"> _</w:instrText>
      </w:r>
      <w:r w:rsidRPr="000F7C5C">
        <w:rPr>
          <w:rStyle w:val="af7"/>
          <w:rFonts w:eastAsia="Guttman Hodes" w:hint="cs"/>
        </w:rPr>
        <w:instrText>Ref4008951 \r \h</w:instrText>
      </w:r>
      <w:r w:rsidRPr="000F7C5C">
        <w:rPr>
          <w:rStyle w:val="af7"/>
          <w:rFonts w:eastAsia="Guttman Hodes"/>
          <w:rtl/>
        </w:rPr>
        <w:instrText xml:space="preserve"> </w:instrText>
      </w:r>
      <w:r w:rsidRPr="000F7C5C">
        <w:rPr>
          <w:rStyle w:val="af7"/>
          <w:rFonts w:eastAsia="Guttman Hodes"/>
          <w:rtl/>
        </w:rPr>
      </w:r>
      <w:r w:rsidRPr="000F7C5C">
        <w:rPr>
          <w:rStyle w:val="af7"/>
          <w:rFonts w:eastAsia="Guttman Hodes"/>
          <w:rtl/>
        </w:rPr>
        <w:fldChar w:fldCharType="separate"/>
      </w:r>
      <w:r w:rsidR="00345400">
        <w:rPr>
          <w:rStyle w:val="af7"/>
          <w:rFonts w:eastAsia="Guttman Hodes"/>
          <w:cs/>
        </w:rPr>
        <w:t>‎</w:t>
      </w:r>
      <w:r w:rsidR="00345400">
        <w:rPr>
          <w:rStyle w:val="af7"/>
          <w:rFonts w:eastAsia="Guttman Hodes"/>
          <w:rtl/>
        </w:rPr>
        <w:t>פג)</w:t>
      </w:r>
      <w:r w:rsidRPr="000F7C5C">
        <w:rPr>
          <w:rStyle w:val="af7"/>
          <w:rFonts w:eastAsia="Guttman Hodes"/>
          <w:rtl/>
        </w:rPr>
        <w:fldChar w:fldCharType="end"/>
      </w:r>
      <w:r>
        <w:rPr>
          <w:rFonts w:hint="cs"/>
          <w:rtl/>
        </w:rPr>
        <w:t>.</w:t>
      </w:r>
      <w:bookmarkEnd w:id="24331"/>
    </w:p>
    <w:p w14:paraId="7B9F6DB5" w14:textId="77777777" w:rsidR="003D504D" w:rsidRDefault="003D504D" w:rsidP="003D504D">
      <w:pPr>
        <w:pStyle w:val="a3"/>
        <w:rPr>
          <w:rtl/>
        </w:rPr>
      </w:pPr>
      <w:bookmarkStart w:id="24332" w:name="_Toc3978440"/>
      <w:bookmarkStart w:id="24333" w:name="_Toc4012290"/>
      <w:bookmarkStart w:id="24334" w:name="_Toc4013316"/>
      <w:bookmarkStart w:id="24335" w:name="_Toc4022824"/>
      <w:bookmarkStart w:id="24336" w:name="_Toc4026649"/>
      <w:bookmarkStart w:id="24337" w:name="_Toc4139447"/>
      <w:bookmarkStart w:id="24338" w:name="_Toc4151541"/>
      <w:bookmarkStart w:id="24339" w:name="_Toc19391995"/>
      <w:bookmarkStart w:id="24340" w:name="_Toc19395492"/>
      <w:r>
        <w:rPr>
          <w:rFonts w:hint="cs"/>
          <w:rtl/>
        </w:rPr>
        <w:t>דברי הראש יוסף דריו"ח ס"ל כר"י דמתיר בשחיטה וכיון שיכול להיות מותר לא חל איסור גיד</w:t>
      </w:r>
      <w:bookmarkEnd w:id="24332"/>
      <w:bookmarkEnd w:id="24333"/>
      <w:bookmarkEnd w:id="24334"/>
      <w:bookmarkEnd w:id="24335"/>
      <w:bookmarkEnd w:id="24336"/>
      <w:bookmarkEnd w:id="24337"/>
      <w:bookmarkEnd w:id="24338"/>
      <w:bookmarkEnd w:id="24339"/>
      <w:bookmarkEnd w:id="24340"/>
    </w:p>
    <w:p w14:paraId="2E40A51A" w14:textId="77777777" w:rsidR="003D504D" w:rsidRDefault="003D504D" w:rsidP="00223668">
      <w:pPr>
        <w:pStyle w:val="a0"/>
        <w:rPr>
          <w:rtl/>
        </w:rPr>
      </w:pPr>
      <w:r>
        <w:rPr>
          <w:rFonts w:hint="cs"/>
          <w:rtl/>
        </w:rPr>
        <w:t xml:space="preserve">וכתב </w:t>
      </w:r>
      <w:r w:rsidRPr="00432654">
        <w:rPr>
          <w:rStyle w:val="af9"/>
          <w:rFonts w:hint="cs"/>
          <w:rtl/>
        </w:rPr>
        <w:t>הראש יוסף לקמן</w:t>
      </w:r>
      <w:r>
        <w:rPr>
          <w:rFonts w:hint="cs"/>
          <w:rtl/>
        </w:rPr>
        <w:t xml:space="preserve"> דצ"ל דס"ל לריו"ח דלא קיי"ל כסתם מתני' דלקמן </w:t>
      </w:r>
      <w:r w:rsidRPr="00432654">
        <w:rPr>
          <w:rStyle w:val="af7"/>
          <w:rFonts w:eastAsia="Guttman Hodes" w:hint="cs"/>
          <w:rtl/>
        </w:rPr>
        <w:t>(פט:)</w:t>
      </w:r>
      <w:r>
        <w:rPr>
          <w:rFonts w:hint="cs"/>
          <w:rtl/>
        </w:rPr>
        <w:t xml:space="preserve"> דגידו אסור, אלא ריו"ח פוסק כר"י דמתיר בחלבו וגידו, </w:t>
      </w:r>
      <w:r w:rsidRPr="00432654">
        <w:rPr>
          <w:rStyle w:val="afb"/>
          <w:rFonts w:hint="cs"/>
          <w:rtl/>
        </w:rPr>
        <w:t xml:space="preserve">[ואף דריו"ח פוסק בכ"מ כסתם משנה, כבר תירץ </w:t>
      </w:r>
      <w:r w:rsidRPr="00432654">
        <w:rPr>
          <w:rStyle w:val="affa"/>
          <w:rFonts w:hint="cs"/>
          <w:rtl/>
        </w:rPr>
        <w:t>הרשב"א</w:t>
      </w:r>
      <w:r w:rsidRPr="00432654">
        <w:rPr>
          <w:rStyle w:val="afb"/>
          <w:rFonts w:hint="cs"/>
          <w:rtl/>
        </w:rPr>
        <w:t xml:space="preserve"> </w:t>
      </w:r>
      <w:r w:rsidRPr="005C330A">
        <w:rPr>
          <w:rStyle w:val="aff6"/>
          <w:rFonts w:hint="cs"/>
          <w:rtl/>
        </w:rPr>
        <w:t>(</w:t>
      </w:r>
      <w:r w:rsidR="00AC7E32">
        <w:rPr>
          <w:rStyle w:val="aff6"/>
          <w:rFonts w:hint="cs"/>
          <w:rtl/>
        </w:rPr>
        <w:t>הובא בסימן</w:t>
      </w:r>
      <w:r w:rsidRPr="005C330A">
        <w:rPr>
          <w:rStyle w:val="aff6"/>
          <w:rFonts w:hint="cs"/>
          <w:rtl/>
        </w:rPr>
        <w:t xml:space="preserve"> ז</w:t>
      </w:r>
      <w:r w:rsidRPr="005C330A">
        <w:rPr>
          <w:rStyle w:val="aff6"/>
          <w:rtl/>
        </w:rPr>
        <w:t>'</w:t>
      </w:r>
      <w:r w:rsidRPr="005C330A">
        <w:rPr>
          <w:rStyle w:val="aff6"/>
          <w:rFonts w:hint="cs"/>
          <w:rtl/>
        </w:rPr>
        <w:t xml:space="preserve"> אות פה) </w:t>
      </w:r>
      <w:r w:rsidRPr="00432654">
        <w:rPr>
          <w:rStyle w:val="afb"/>
          <w:rFonts w:hint="cs"/>
          <w:rtl/>
        </w:rPr>
        <w:t>דאפש"ל דנחלקו אמוראי אליבא דריו"ח],</w:t>
      </w:r>
      <w:r>
        <w:rPr>
          <w:rFonts w:hint="cs"/>
          <w:rtl/>
        </w:rPr>
        <w:t xml:space="preserve"> ולכן ס"ל לריו"ח דאף דחדשים גרמי, מ"מ כיון שיש לו היתר בשחיטה לא חייל איסור חלב כדתירץ </w:t>
      </w:r>
      <w:r w:rsidRPr="00432654">
        <w:rPr>
          <w:rStyle w:val="af9"/>
          <w:rFonts w:hint="cs"/>
          <w:rtl/>
        </w:rPr>
        <w:t>הרשב"א</w:t>
      </w:r>
      <w:r>
        <w:rPr>
          <w:rFonts w:hint="cs"/>
          <w:rtl/>
        </w:rPr>
        <w:t xml:space="preserve"> </w:t>
      </w:r>
      <w:r w:rsidRPr="00923293">
        <w:rPr>
          <w:rStyle w:val="af7"/>
          <w:rFonts w:eastAsia="Guttman Hodes" w:hint="cs"/>
          <w:rtl/>
        </w:rPr>
        <w:t>(</w:t>
      </w:r>
      <w:r w:rsidR="00AC7E32">
        <w:rPr>
          <w:rStyle w:val="af7"/>
          <w:rFonts w:eastAsia="Guttman Hodes" w:hint="cs"/>
          <w:rtl/>
        </w:rPr>
        <w:t>הובא בסימן</w:t>
      </w:r>
      <w:r w:rsidRPr="00923293">
        <w:rPr>
          <w:rStyle w:val="af7"/>
          <w:rFonts w:eastAsia="Guttman Hodes" w:hint="cs"/>
          <w:rtl/>
        </w:rPr>
        <w:t xml:space="preserve"> ז</w:t>
      </w:r>
      <w:r w:rsidRPr="00923293">
        <w:rPr>
          <w:rStyle w:val="af7"/>
          <w:rFonts w:eastAsia="Guttman Hodes"/>
          <w:rtl/>
        </w:rPr>
        <w:t>'</w:t>
      </w:r>
      <w:r w:rsidRPr="00923293">
        <w:rPr>
          <w:rStyle w:val="af7"/>
          <w:rFonts w:eastAsia="Guttman Hodes" w:hint="cs"/>
          <w:rtl/>
        </w:rPr>
        <w:t xml:space="preserve"> אות לד),</w:t>
      </w:r>
      <w:r>
        <w:rPr>
          <w:rFonts w:hint="cs"/>
          <w:rtl/>
        </w:rPr>
        <w:t xml:space="preserve"> </w:t>
      </w:r>
      <w:r>
        <w:rPr>
          <w:rStyle w:val="af9"/>
          <w:rFonts w:hint="cs"/>
          <w:rtl/>
        </w:rPr>
        <w:t>ו</w:t>
      </w:r>
      <w:r w:rsidRPr="00432654">
        <w:rPr>
          <w:rStyle w:val="af9"/>
          <w:rFonts w:hint="cs"/>
          <w:rtl/>
        </w:rPr>
        <w:t>הרמב"ם</w:t>
      </w:r>
      <w:r>
        <w:rPr>
          <w:rFonts w:hint="cs"/>
          <w:rtl/>
        </w:rPr>
        <w:t xml:space="preserve"> לא פסק בזה כריו"ח דס"ל דלא חייל איסור הגיד, אלא כסתם מתני' דלקמן </w:t>
      </w:r>
      <w:r w:rsidRPr="00240961">
        <w:rPr>
          <w:rStyle w:val="af7"/>
          <w:rFonts w:eastAsia="Guttman Hodes" w:hint="cs"/>
          <w:rtl/>
        </w:rPr>
        <w:t>(פט:)</w:t>
      </w:r>
      <w:r>
        <w:rPr>
          <w:rFonts w:hint="cs"/>
          <w:rtl/>
        </w:rPr>
        <w:t xml:space="preserve"> דגיד דשליל אסור.</w:t>
      </w:r>
    </w:p>
    <w:p w14:paraId="010AA31A" w14:textId="77777777" w:rsidR="008F4B19" w:rsidRPr="008F4B19" w:rsidRDefault="008F4B19" w:rsidP="008F4B19">
      <w:pPr>
        <w:pStyle w:val="a3"/>
        <w:rPr>
          <w:rtl/>
        </w:rPr>
      </w:pPr>
    </w:p>
    <w:p w14:paraId="101FC8F5" w14:textId="77777777" w:rsidR="008F4B19" w:rsidRPr="008F4B19" w:rsidRDefault="008F4B19" w:rsidP="008F4B19">
      <w:pPr>
        <w:pStyle w:val="a3"/>
        <w:rPr>
          <w:rtl/>
        </w:rPr>
      </w:pPr>
    </w:p>
    <w:p w14:paraId="2E6D0E70" w14:textId="77777777" w:rsidR="008F4B19" w:rsidRPr="008F4B19" w:rsidRDefault="008F4B19" w:rsidP="008F4B19">
      <w:pPr>
        <w:pStyle w:val="a3"/>
        <w:rPr>
          <w:rtl/>
        </w:rPr>
      </w:pPr>
    </w:p>
    <w:p w14:paraId="28CF9CD8" w14:textId="77777777" w:rsidR="008F4B19" w:rsidRPr="008F4B19" w:rsidRDefault="008F4B19" w:rsidP="008F4B19">
      <w:pPr>
        <w:pStyle w:val="a3"/>
        <w:rPr>
          <w:rtl/>
        </w:rPr>
      </w:pPr>
    </w:p>
    <w:p w14:paraId="3FC0C480" w14:textId="77777777" w:rsidR="003D504D" w:rsidRDefault="003D504D" w:rsidP="003D504D">
      <w:pPr>
        <w:pStyle w:val="afe"/>
        <w:rPr>
          <w:rtl/>
        </w:rPr>
      </w:pPr>
      <w:bookmarkStart w:id="24341" w:name="_Toc3929048"/>
      <w:bookmarkStart w:id="24342" w:name="_Toc3978441"/>
      <w:bookmarkStart w:id="24343" w:name="_Toc4012291"/>
      <w:bookmarkStart w:id="24344" w:name="_Toc4013317"/>
      <w:bookmarkStart w:id="24345" w:name="_Toc4022825"/>
      <w:bookmarkStart w:id="24346" w:name="_Toc4026650"/>
      <w:bookmarkStart w:id="24347" w:name="_Toc4139448"/>
      <w:bookmarkStart w:id="24348" w:name="_Toc4151542"/>
      <w:bookmarkStart w:id="24349" w:name="_Toc19436376"/>
      <w:bookmarkStart w:id="24350" w:name="_Toc20081506"/>
      <w:r>
        <w:rPr>
          <w:rFonts w:hint="cs"/>
          <w:rtl/>
        </w:rPr>
        <w:t>דברי הרמב"ם ורבינו אפרים</w:t>
      </w:r>
      <w:bookmarkEnd w:id="24341"/>
      <w:bookmarkEnd w:id="24342"/>
      <w:bookmarkEnd w:id="24343"/>
      <w:bookmarkEnd w:id="24344"/>
      <w:bookmarkEnd w:id="24345"/>
      <w:bookmarkEnd w:id="24346"/>
      <w:bookmarkEnd w:id="24347"/>
      <w:bookmarkEnd w:id="24348"/>
      <w:bookmarkEnd w:id="24349"/>
      <w:bookmarkEnd w:id="24350"/>
    </w:p>
    <w:p w14:paraId="613F4345" w14:textId="77777777" w:rsidR="003D504D" w:rsidRDefault="003D504D" w:rsidP="00BF39B2">
      <w:pPr>
        <w:pStyle w:val="1"/>
        <w:rPr>
          <w:rtl/>
        </w:rPr>
      </w:pPr>
      <w:bookmarkStart w:id="24351" w:name="_Toc3978442"/>
      <w:bookmarkStart w:id="24352" w:name="_Toc4012292"/>
      <w:bookmarkStart w:id="24353" w:name="_Toc4013318"/>
      <w:bookmarkStart w:id="24354" w:name="_Toc4022826"/>
      <w:bookmarkStart w:id="24355" w:name="_Toc4026651"/>
      <w:bookmarkStart w:id="24356" w:name="_Toc4139449"/>
      <w:bookmarkStart w:id="24357" w:name="_Toc4151543"/>
      <w:bookmarkStart w:id="24358" w:name="_Toc19391996"/>
      <w:bookmarkStart w:id="24359" w:name="_Toc19395493"/>
      <w:r>
        <w:rPr>
          <w:rFonts w:hint="cs"/>
          <w:rtl/>
        </w:rPr>
        <w:t>בדברי הראב"ד דכתב דהרמב"ם כרבינו אפרים</w:t>
      </w:r>
      <w:bookmarkEnd w:id="24351"/>
      <w:bookmarkEnd w:id="24352"/>
      <w:bookmarkEnd w:id="24353"/>
      <w:bookmarkEnd w:id="24354"/>
      <w:bookmarkEnd w:id="24355"/>
      <w:bookmarkEnd w:id="24356"/>
      <w:bookmarkEnd w:id="24357"/>
      <w:bookmarkEnd w:id="24358"/>
      <w:bookmarkEnd w:id="24359"/>
    </w:p>
    <w:p w14:paraId="53048B47" w14:textId="77777777" w:rsidR="003D504D" w:rsidRPr="0084267A" w:rsidRDefault="003D504D" w:rsidP="003D504D">
      <w:pPr>
        <w:pStyle w:val="a3"/>
        <w:rPr>
          <w:rtl/>
        </w:rPr>
      </w:pPr>
      <w:bookmarkStart w:id="24360" w:name="_Toc3840801"/>
      <w:bookmarkStart w:id="24361" w:name="_Toc3929049"/>
      <w:bookmarkStart w:id="24362" w:name="_Toc3978443"/>
      <w:bookmarkStart w:id="24363" w:name="_Toc4012293"/>
      <w:bookmarkStart w:id="24364" w:name="_Toc4013319"/>
      <w:bookmarkStart w:id="24365" w:name="_Toc4022827"/>
      <w:bookmarkStart w:id="24366" w:name="_Toc4026652"/>
      <w:bookmarkStart w:id="24367" w:name="_Toc4139450"/>
      <w:bookmarkStart w:id="24368" w:name="_Toc4151544"/>
      <w:bookmarkStart w:id="24369" w:name="_Toc19391997"/>
      <w:bookmarkStart w:id="24370" w:name="_Toc19395494"/>
      <w:bookmarkStart w:id="24371" w:name="_Toc3840814"/>
      <w:r>
        <w:rPr>
          <w:rFonts w:hint="cs"/>
          <w:rtl/>
        </w:rPr>
        <w:t>דברי הראב"ד והרמ"ך דהרמב"ם פסק כרבינו אפרים ודלא כהרי"ף</w:t>
      </w:r>
      <w:bookmarkEnd w:id="24360"/>
      <w:bookmarkEnd w:id="24361"/>
      <w:bookmarkEnd w:id="24362"/>
      <w:bookmarkEnd w:id="24363"/>
      <w:bookmarkEnd w:id="24364"/>
      <w:bookmarkEnd w:id="24365"/>
      <w:bookmarkEnd w:id="24366"/>
      <w:bookmarkEnd w:id="24367"/>
      <w:bookmarkEnd w:id="24368"/>
      <w:bookmarkEnd w:id="24369"/>
      <w:bookmarkEnd w:id="24370"/>
    </w:p>
    <w:p w14:paraId="705FFB21" w14:textId="77777777" w:rsidR="003D504D" w:rsidRDefault="003D504D" w:rsidP="00223668">
      <w:pPr>
        <w:pStyle w:val="a0"/>
        <w:rPr>
          <w:rtl/>
        </w:rPr>
      </w:pPr>
      <w:r>
        <w:rPr>
          <w:rFonts w:hint="cs"/>
          <w:rtl/>
        </w:rPr>
        <w:t xml:space="preserve">במ"ש </w:t>
      </w:r>
      <w:r w:rsidRPr="003D10E0">
        <w:rPr>
          <w:rStyle w:val="af9"/>
          <w:rFonts w:hint="cs"/>
          <w:rtl/>
        </w:rPr>
        <w:t>הרמב"ם</w:t>
      </w:r>
      <w:r>
        <w:rPr>
          <w:rFonts w:hint="cs"/>
          <w:rtl/>
        </w:rPr>
        <w:t xml:space="preserve"> </w:t>
      </w:r>
      <w:r w:rsidRPr="009A44E7">
        <w:rPr>
          <w:rStyle w:val="af7"/>
          <w:rFonts w:eastAsia="Guttman Hodes" w:hint="cs"/>
          <w:rtl/>
        </w:rPr>
        <w:t xml:space="preserve">(עי' </w:t>
      </w:r>
      <w:r w:rsidRPr="00FE6249">
        <w:rPr>
          <w:rStyle w:val="af7"/>
          <w:rFonts w:eastAsia="Guttman Hodes" w:hint="cs"/>
          <w:rtl/>
        </w:rPr>
        <w:t xml:space="preserve">אות </w:t>
      </w:r>
      <w:r w:rsidRPr="00FE6249">
        <w:rPr>
          <w:rStyle w:val="af7"/>
          <w:rFonts w:eastAsia="Guttman Hodes"/>
          <w:rtl/>
        </w:rPr>
        <w:fldChar w:fldCharType="begin"/>
      </w:r>
      <w:r w:rsidRPr="00FE6249">
        <w:rPr>
          <w:rStyle w:val="af7"/>
          <w:rFonts w:eastAsia="Guttman Hodes"/>
          <w:rtl/>
        </w:rPr>
        <w:instrText xml:space="preserve"> </w:instrText>
      </w:r>
      <w:r w:rsidRPr="00FE6249">
        <w:rPr>
          <w:rStyle w:val="af7"/>
          <w:rFonts w:eastAsia="Guttman Hodes" w:hint="cs"/>
        </w:rPr>
        <w:instrText>REF</w:instrText>
      </w:r>
      <w:r w:rsidRPr="00FE6249">
        <w:rPr>
          <w:rStyle w:val="af7"/>
          <w:rFonts w:eastAsia="Guttman Hodes" w:hint="cs"/>
          <w:rtl/>
        </w:rPr>
        <w:instrText xml:space="preserve"> _</w:instrText>
      </w:r>
      <w:r w:rsidRPr="00FE6249">
        <w:rPr>
          <w:rStyle w:val="af7"/>
          <w:rFonts w:eastAsia="Guttman Hodes" w:hint="cs"/>
        </w:rPr>
        <w:instrText>Ref3145560 \r \h</w:instrText>
      </w:r>
      <w:r w:rsidRPr="00FE6249">
        <w:rPr>
          <w:rStyle w:val="af7"/>
          <w:rFonts w:eastAsia="Guttman Hodes"/>
          <w:rtl/>
        </w:rPr>
        <w:instrText xml:space="preserve"> </w:instrText>
      </w:r>
      <w:r w:rsidRPr="00FE6249">
        <w:rPr>
          <w:rStyle w:val="af7"/>
          <w:rFonts w:eastAsia="Guttman Hodes"/>
          <w:rtl/>
        </w:rPr>
      </w:r>
      <w:r w:rsidRPr="00FE6249">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FE6249">
        <w:rPr>
          <w:rStyle w:val="af7"/>
          <w:rFonts w:eastAsia="Guttman Hodes"/>
          <w:rtl/>
        </w:rPr>
        <w:fldChar w:fldCharType="end"/>
      </w:r>
      <w:r>
        <w:rPr>
          <w:rFonts w:hint="cs"/>
          <w:rtl/>
        </w:rPr>
        <w:t xml:space="preserve"> דחלב בן ח' מותר, אבל חלב בן ט' אסור אף דהוא מותר בשחיטת אמו, </w:t>
      </w:r>
      <w:r w:rsidRPr="00867C1B">
        <w:rPr>
          <w:rFonts w:hint="cs"/>
          <w:rtl/>
        </w:rPr>
        <w:t>השיג</w:t>
      </w:r>
      <w:r>
        <w:rPr>
          <w:rFonts w:hint="cs"/>
          <w:rtl/>
        </w:rPr>
        <w:t xml:space="preserve"> </w:t>
      </w:r>
      <w:r w:rsidRPr="003D10E0">
        <w:rPr>
          <w:rStyle w:val="af9"/>
          <w:rFonts w:hint="cs"/>
          <w:rtl/>
        </w:rPr>
        <w:t>הראב"ד</w:t>
      </w:r>
      <w:r w:rsidRPr="00867C1B">
        <w:rPr>
          <w:rFonts w:hint="cs"/>
          <w:rtl/>
        </w:rPr>
        <w:t xml:space="preserve"> </w:t>
      </w:r>
      <w:r w:rsidRPr="009A44E7">
        <w:rPr>
          <w:rStyle w:val="af7"/>
          <w:rFonts w:eastAsia="Guttman Hodes" w:hint="cs"/>
          <w:rtl/>
        </w:rPr>
        <w:t>(מאכ"א פ"ז ה"ג)</w:t>
      </w:r>
      <w:r w:rsidRPr="00867C1B">
        <w:rPr>
          <w:rFonts w:hint="cs"/>
          <w:rtl/>
        </w:rPr>
        <w:t xml:space="preserve"> דדברי </w:t>
      </w:r>
      <w:r w:rsidRPr="003D10E0">
        <w:rPr>
          <w:rStyle w:val="af9"/>
          <w:rFonts w:hint="cs"/>
          <w:rtl/>
        </w:rPr>
        <w:t>הרמב"ם</w:t>
      </w:r>
      <w:r w:rsidRPr="00867C1B">
        <w:rPr>
          <w:rFonts w:hint="cs"/>
          <w:rtl/>
        </w:rPr>
        <w:t xml:space="preserve"> הם דלא כדברי </w:t>
      </w:r>
      <w:r w:rsidRPr="003D10E0">
        <w:rPr>
          <w:rStyle w:val="af9"/>
          <w:rFonts w:hint="cs"/>
          <w:rtl/>
        </w:rPr>
        <w:t>הרי"ף</w:t>
      </w:r>
      <w:r w:rsidRPr="00867C1B">
        <w:rPr>
          <w:rFonts w:hint="cs"/>
          <w:rtl/>
        </w:rPr>
        <w:t xml:space="preserve">, אלא כדברי </w:t>
      </w:r>
      <w:r w:rsidRPr="003D10E0">
        <w:rPr>
          <w:rStyle w:val="af9"/>
          <w:rFonts w:hint="cs"/>
          <w:rtl/>
        </w:rPr>
        <w:t>רבינו אפרים</w:t>
      </w:r>
      <w:r w:rsidRPr="00867C1B">
        <w:rPr>
          <w:rFonts w:hint="cs"/>
          <w:rtl/>
        </w:rPr>
        <w:t xml:space="preserve">, </w:t>
      </w:r>
      <w:r>
        <w:rPr>
          <w:rFonts w:hint="cs"/>
          <w:rtl/>
        </w:rPr>
        <w:t>וכ"כ</w:t>
      </w:r>
      <w:r w:rsidRPr="00867C1B">
        <w:rPr>
          <w:rFonts w:hint="cs"/>
          <w:rtl/>
        </w:rPr>
        <w:t xml:space="preserve"> </w:t>
      </w:r>
      <w:r w:rsidRPr="00867C1B">
        <w:rPr>
          <w:rStyle w:val="af9"/>
          <w:rFonts w:hint="cs"/>
          <w:rtl/>
        </w:rPr>
        <w:t>הרמ"ך</w:t>
      </w:r>
      <w:r w:rsidRPr="00867C1B">
        <w:rPr>
          <w:rFonts w:hint="cs"/>
          <w:rtl/>
        </w:rPr>
        <w:t xml:space="preserve"> </w:t>
      </w:r>
      <w:r w:rsidRPr="009A44E7">
        <w:rPr>
          <w:rStyle w:val="af7"/>
          <w:rFonts w:eastAsia="Guttman Hodes" w:hint="cs"/>
          <w:rtl/>
        </w:rPr>
        <w:t>(מאכ"א פ"ז ה"ג)</w:t>
      </w:r>
      <w:r w:rsidRPr="00867C1B">
        <w:rPr>
          <w:rFonts w:hint="cs"/>
          <w:rtl/>
        </w:rPr>
        <w:t xml:space="preserve"> בשם </w:t>
      </w:r>
      <w:r w:rsidRPr="00867C1B">
        <w:rPr>
          <w:rStyle w:val="af9"/>
          <w:rFonts w:hint="cs"/>
          <w:rtl/>
        </w:rPr>
        <w:t>רבינו אפרים</w:t>
      </w:r>
      <w:r w:rsidRPr="00867C1B">
        <w:rPr>
          <w:rFonts w:hint="cs"/>
          <w:rtl/>
        </w:rPr>
        <w:t xml:space="preserve"> דס"ל </w:t>
      </w:r>
      <w:r w:rsidRPr="00867C1B">
        <w:rPr>
          <w:rStyle w:val="af9"/>
          <w:rFonts w:hint="cs"/>
          <w:rtl/>
        </w:rPr>
        <w:t>כהרמב"ם</w:t>
      </w:r>
      <w:r>
        <w:rPr>
          <w:rFonts w:hint="cs"/>
          <w:rtl/>
        </w:rPr>
        <w:t xml:space="preserve"> </w:t>
      </w:r>
      <w:r w:rsidRPr="00867C1B">
        <w:rPr>
          <w:rFonts w:hint="cs"/>
          <w:rtl/>
        </w:rPr>
        <w:t>דחלבו וגידו של בן ט' חי אסורים, אעפ"י שהותר בשחיטת אמו, אבל בבן ח' גידו אסור וחלבו מותר, כיון שצריך לפסוק על פי רוב השמועות וההלכות</w:t>
      </w:r>
      <w:r>
        <w:rPr>
          <w:rFonts w:hint="cs"/>
          <w:rtl/>
        </w:rPr>
        <w:t>.</w:t>
      </w:r>
    </w:p>
    <w:p w14:paraId="2D32271D" w14:textId="77777777" w:rsidR="003D504D" w:rsidRPr="003F3B9B" w:rsidRDefault="003D504D" w:rsidP="003D504D">
      <w:pPr>
        <w:pStyle w:val="a3"/>
        <w:rPr>
          <w:rtl/>
        </w:rPr>
      </w:pPr>
      <w:bookmarkStart w:id="24372" w:name="_Toc19391998"/>
      <w:bookmarkStart w:id="24373" w:name="_Toc19395495"/>
      <w:r>
        <w:rPr>
          <w:rFonts w:hint="cs"/>
          <w:rtl/>
        </w:rPr>
        <w:t>:</w:t>
      </w:r>
      <w:bookmarkEnd w:id="24372"/>
      <w:bookmarkEnd w:id="24373"/>
    </w:p>
    <w:p w14:paraId="78133C67" w14:textId="77777777" w:rsidR="003D504D" w:rsidRPr="00115D0B" w:rsidRDefault="003D504D" w:rsidP="003D504D">
      <w:pPr>
        <w:pStyle w:val="a3"/>
        <w:rPr>
          <w:rtl/>
        </w:rPr>
      </w:pPr>
      <w:bookmarkStart w:id="24374" w:name="_Toc3978444"/>
      <w:bookmarkStart w:id="24375" w:name="_Toc4012294"/>
      <w:bookmarkStart w:id="24376" w:name="_Toc4013320"/>
      <w:bookmarkStart w:id="24377" w:name="_Toc4022828"/>
      <w:bookmarkStart w:id="24378" w:name="_Toc4026653"/>
      <w:bookmarkStart w:id="24379" w:name="_Toc4139451"/>
      <w:bookmarkStart w:id="24380" w:name="_Toc4151545"/>
      <w:bookmarkStart w:id="24381" w:name="_Toc19391999"/>
      <w:bookmarkStart w:id="24382" w:name="_Toc19395496"/>
      <w:r>
        <w:rPr>
          <w:rFonts w:hint="cs"/>
          <w:rtl/>
        </w:rPr>
        <w:t>דברי המ"מ דכוונת הראב"ד להקשות אמאי להרמב"ם חלבו אסור אף דהשחיטה</w:t>
      </w:r>
      <w:r w:rsidRPr="005C7DB6">
        <w:rPr>
          <w:rFonts w:hint="cs"/>
          <w:rtl/>
        </w:rPr>
        <w:t xml:space="preserve"> </w:t>
      </w:r>
      <w:r>
        <w:rPr>
          <w:rFonts w:hint="cs"/>
          <w:rtl/>
        </w:rPr>
        <w:t>מהני</w:t>
      </w:r>
      <w:bookmarkEnd w:id="24374"/>
      <w:bookmarkEnd w:id="24375"/>
      <w:bookmarkEnd w:id="24376"/>
      <w:bookmarkEnd w:id="24377"/>
      <w:bookmarkEnd w:id="24378"/>
      <w:bookmarkEnd w:id="24379"/>
      <w:bookmarkEnd w:id="24380"/>
      <w:bookmarkEnd w:id="24381"/>
      <w:bookmarkEnd w:id="24382"/>
    </w:p>
    <w:p w14:paraId="15013674" w14:textId="77777777" w:rsidR="003D504D" w:rsidRDefault="003D504D" w:rsidP="00223668">
      <w:pPr>
        <w:pStyle w:val="a0"/>
        <w:rPr>
          <w:rtl/>
        </w:rPr>
      </w:pPr>
      <w:r>
        <w:rPr>
          <w:rFonts w:hint="cs"/>
          <w:rtl/>
        </w:rPr>
        <w:t xml:space="preserve">כתב </w:t>
      </w:r>
      <w:r w:rsidRPr="00744227">
        <w:rPr>
          <w:rStyle w:val="af9"/>
          <w:rFonts w:hint="cs"/>
          <w:rtl/>
        </w:rPr>
        <w:t>המ"מ</w:t>
      </w:r>
      <w:r>
        <w:rPr>
          <w:rFonts w:hint="cs"/>
          <w:rtl/>
        </w:rPr>
        <w:t xml:space="preserve"> </w:t>
      </w:r>
      <w:r w:rsidRPr="009A44E7">
        <w:rPr>
          <w:rStyle w:val="af7"/>
          <w:rFonts w:eastAsia="Guttman Hodes" w:hint="cs"/>
          <w:rtl/>
        </w:rPr>
        <w:t>(מאכ"א פ"ז ה"ג)</w:t>
      </w:r>
      <w:r w:rsidRPr="00867C1B">
        <w:rPr>
          <w:rFonts w:hint="cs"/>
          <w:rtl/>
        </w:rPr>
        <w:t xml:space="preserve"> </w:t>
      </w:r>
      <w:r>
        <w:rPr>
          <w:rFonts w:hint="cs"/>
          <w:rtl/>
        </w:rPr>
        <w:t xml:space="preserve">דאין כוונת </w:t>
      </w:r>
      <w:r w:rsidRPr="005C7DB6">
        <w:rPr>
          <w:rStyle w:val="af9"/>
          <w:rFonts w:hint="cs"/>
          <w:rtl/>
        </w:rPr>
        <w:t>הראב"ד</w:t>
      </w:r>
      <w:r>
        <w:rPr>
          <w:rFonts w:hint="cs"/>
          <w:rtl/>
        </w:rPr>
        <w:t xml:space="preserve"> לומר דחלבו אסור, אלא ס"ל דחלבו מותר, וביאר </w:t>
      </w:r>
      <w:r w:rsidRPr="000E4E21">
        <w:rPr>
          <w:rStyle w:val="af9"/>
          <w:rFonts w:hint="cs"/>
          <w:rtl/>
        </w:rPr>
        <w:t xml:space="preserve">היד יהודה </w:t>
      </w:r>
      <w:r w:rsidRPr="00744227">
        <w:rPr>
          <w:rStyle w:val="af7"/>
          <w:rFonts w:eastAsia="Guttman Hodes" w:hint="cs"/>
          <w:rtl/>
        </w:rPr>
        <w:t xml:space="preserve">(סי' י"ג סק"ה ד"ה עוד יש) </w:t>
      </w:r>
      <w:r>
        <w:rPr>
          <w:rFonts w:hint="cs"/>
          <w:rtl/>
        </w:rPr>
        <w:t xml:space="preserve">דכוונת </w:t>
      </w:r>
      <w:r w:rsidRPr="000E4E21">
        <w:rPr>
          <w:rStyle w:val="af9"/>
          <w:rFonts w:hint="cs"/>
          <w:rtl/>
        </w:rPr>
        <w:t xml:space="preserve">המ"מ </w:t>
      </w:r>
      <w:r>
        <w:rPr>
          <w:rFonts w:hint="cs"/>
          <w:rtl/>
        </w:rPr>
        <w:t xml:space="preserve">לומר </w:t>
      </w:r>
      <w:r w:rsidRPr="000E4E21">
        <w:rPr>
          <w:rStyle w:val="af9"/>
          <w:rFonts w:hint="cs"/>
          <w:rtl/>
        </w:rPr>
        <w:t xml:space="preserve">דהראב"ד </w:t>
      </w:r>
      <w:r>
        <w:rPr>
          <w:rFonts w:hint="cs"/>
          <w:rtl/>
        </w:rPr>
        <w:t xml:space="preserve">הקשה על </w:t>
      </w:r>
      <w:r w:rsidRPr="000E4E21">
        <w:rPr>
          <w:rStyle w:val="af9"/>
          <w:rFonts w:hint="cs"/>
          <w:rtl/>
        </w:rPr>
        <w:t xml:space="preserve">הרמב"ם </w:t>
      </w:r>
      <w:r>
        <w:rPr>
          <w:rFonts w:hint="cs"/>
          <w:rtl/>
        </w:rPr>
        <w:t xml:space="preserve">דכיון דפסק כר"מ בחלב א"כ היה לו לפסוק כר"מ אף לענין </w:t>
      </w:r>
      <w:r w:rsidRPr="005C7DB6">
        <w:rPr>
          <w:rFonts w:hint="cs"/>
          <w:rtl/>
        </w:rPr>
        <w:t>שחיטה וכדעת</w:t>
      </w:r>
      <w:r w:rsidRPr="003E2020">
        <w:rPr>
          <w:rStyle w:val="af9"/>
          <w:rFonts w:hint="cs"/>
          <w:rtl/>
        </w:rPr>
        <w:t xml:space="preserve"> </w:t>
      </w:r>
      <w:r w:rsidRPr="000E4E21">
        <w:rPr>
          <w:rStyle w:val="af9"/>
          <w:rFonts w:hint="cs"/>
          <w:rtl/>
        </w:rPr>
        <w:t>רבינו אפרים</w:t>
      </w:r>
      <w:r>
        <w:rPr>
          <w:rFonts w:hint="cs"/>
          <w:rtl/>
        </w:rPr>
        <w:t xml:space="preserve">, </w:t>
      </w:r>
      <w:r w:rsidRPr="00E10259">
        <w:rPr>
          <w:rStyle w:val="afb"/>
          <w:rFonts w:hint="cs"/>
          <w:rtl/>
        </w:rPr>
        <w:t xml:space="preserve">[וכדכתבו </w:t>
      </w:r>
      <w:r w:rsidRPr="00E10259">
        <w:rPr>
          <w:rStyle w:val="affa"/>
          <w:rFonts w:hint="cs"/>
          <w:rtl/>
        </w:rPr>
        <w:t xml:space="preserve">העיטור והרשב"א והריטב"א </w:t>
      </w:r>
      <w:r w:rsidRPr="00E10259">
        <w:rPr>
          <w:rStyle w:val="afb"/>
          <w:rFonts w:hint="cs"/>
          <w:rtl/>
        </w:rPr>
        <w:t xml:space="preserve">בשם </w:t>
      </w:r>
      <w:r w:rsidRPr="00E10259">
        <w:rPr>
          <w:rStyle w:val="affa"/>
          <w:rFonts w:hint="cs"/>
          <w:rtl/>
        </w:rPr>
        <w:t>רבינו אפרים</w:t>
      </w:r>
      <w:r w:rsidRPr="00E10259">
        <w:rPr>
          <w:rStyle w:val="afb"/>
          <w:rFonts w:hint="cs"/>
          <w:rtl/>
        </w:rPr>
        <w:t xml:space="preserve"> </w:t>
      </w:r>
      <w:r w:rsidRPr="00C9757F">
        <w:rPr>
          <w:rStyle w:val="aff6"/>
          <w:rFonts w:hint="cs"/>
          <w:rtl/>
        </w:rPr>
        <w:t>(</w:t>
      </w:r>
      <w:r w:rsidR="00AC7E32">
        <w:rPr>
          <w:rStyle w:val="aff6"/>
          <w:rFonts w:hint="cs"/>
          <w:rtl/>
        </w:rPr>
        <w:t>הובא בסימן</w:t>
      </w:r>
      <w:r w:rsidRPr="00C9757F">
        <w:rPr>
          <w:rStyle w:val="aff6"/>
          <w:rFonts w:hint="cs"/>
          <w:rtl/>
        </w:rPr>
        <w:t xml:space="preserve"> ז</w:t>
      </w:r>
      <w:r w:rsidRPr="00C9757F">
        <w:rPr>
          <w:rStyle w:val="aff6"/>
          <w:rtl/>
        </w:rPr>
        <w:t>'</w:t>
      </w:r>
      <w:r w:rsidRPr="00C9757F">
        <w:rPr>
          <w:rStyle w:val="aff6"/>
          <w:rFonts w:hint="cs"/>
          <w:rtl/>
        </w:rPr>
        <w:t xml:space="preserve"> אות פז)</w:t>
      </w:r>
      <w:r w:rsidRPr="00E10259">
        <w:rPr>
          <w:rStyle w:val="afb"/>
          <w:rFonts w:hint="cs"/>
          <w:rtl/>
        </w:rPr>
        <w:t>],</w:t>
      </w:r>
      <w:r>
        <w:rPr>
          <w:rFonts w:hint="cs"/>
          <w:rtl/>
        </w:rPr>
        <w:t xml:space="preserve"> אך </w:t>
      </w:r>
      <w:r w:rsidRPr="000E4E21">
        <w:rPr>
          <w:rStyle w:val="af9"/>
          <w:rFonts w:hint="cs"/>
          <w:rtl/>
        </w:rPr>
        <w:t xml:space="preserve">הראב"ד </w:t>
      </w:r>
      <w:r>
        <w:rPr>
          <w:rFonts w:hint="cs"/>
          <w:rtl/>
        </w:rPr>
        <w:t>עצמו ס"ל דחלבו מותר.</w:t>
      </w:r>
    </w:p>
    <w:p w14:paraId="6A92BD81" w14:textId="77777777" w:rsidR="003D504D" w:rsidRDefault="003D504D" w:rsidP="003D504D">
      <w:pPr>
        <w:pStyle w:val="a3"/>
        <w:rPr>
          <w:rtl/>
        </w:rPr>
      </w:pPr>
      <w:bookmarkStart w:id="24383" w:name="_Toc3978445"/>
      <w:bookmarkStart w:id="24384" w:name="_Toc4012295"/>
      <w:bookmarkStart w:id="24385" w:name="_Toc4013321"/>
      <w:bookmarkStart w:id="24386" w:name="_Toc4022829"/>
      <w:bookmarkStart w:id="24387" w:name="_Toc4026654"/>
      <w:bookmarkStart w:id="24388" w:name="_Toc4139452"/>
      <w:bookmarkStart w:id="24389" w:name="_Toc4151546"/>
      <w:bookmarkStart w:id="24390" w:name="_Toc19392000"/>
      <w:bookmarkStart w:id="24391" w:name="_Toc19395497"/>
      <w:r>
        <w:rPr>
          <w:rFonts w:hint="cs"/>
          <w:rtl/>
        </w:rPr>
        <w:t>קושית הראש יוסף דרבינו אפרים פסק כר"מ אף בשחיטה והרמב"ם פסק בשחיטה כר"י</w:t>
      </w:r>
      <w:bookmarkEnd w:id="24383"/>
      <w:bookmarkEnd w:id="24384"/>
      <w:bookmarkEnd w:id="24385"/>
      <w:bookmarkEnd w:id="24386"/>
      <w:bookmarkEnd w:id="24387"/>
      <w:bookmarkEnd w:id="24388"/>
      <w:bookmarkEnd w:id="24389"/>
      <w:bookmarkEnd w:id="24390"/>
      <w:bookmarkEnd w:id="24391"/>
    </w:p>
    <w:p w14:paraId="1A7CF500" w14:textId="77777777" w:rsidR="003D504D" w:rsidRPr="00FE1FC1" w:rsidRDefault="003D504D" w:rsidP="00223668">
      <w:pPr>
        <w:pStyle w:val="a0"/>
        <w:rPr>
          <w:rStyle w:val="afb"/>
          <w:rtl/>
        </w:rPr>
      </w:pPr>
      <w:r>
        <w:rPr>
          <w:rStyle w:val="af9"/>
          <w:rFonts w:hint="cs"/>
          <w:rtl/>
        </w:rPr>
        <w:t>ו</w:t>
      </w:r>
      <w:r w:rsidRPr="00954560">
        <w:rPr>
          <w:rStyle w:val="af9"/>
          <w:rFonts w:hint="cs"/>
          <w:rtl/>
        </w:rPr>
        <w:t>הראש יוסף לקמן</w:t>
      </w:r>
      <w:r>
        <w:rPr>
          <w:rFonts w:hint="cs"/>
          <w:rtl/>
        </w:rPr>
        <w:t xml:space="preserve"> </w:t>
      </w:r>
      <w:r w:rsidRPr="00954560">
        <w:rPr>
          <w:rStyle w:val="af7"/>
          <w:rFonts w:eastAsia="Guttman Hodes" w:hint="cs"/>
          <w:rtl/>
        </w:rPr>
        <w:t>(צב: ד"ה והר"א)</w:t>
      </w:r>
      <w:r>
        <w:rPr>
          <w:rFonts w:hint="cs"/>
          <w:rtl/>
        </w:rPr>
        <w:t xml:space="preserve"> הקשה על </w:t>
      </w:r>
      <w:r w:rsidRPr="00954560">
        <w:rPr>
          <w:rStyle w:val="af9"/>
          <w:rFonts w:hint="cs"/>
          <w:rtl/>
        </w:rPr>
        <w:t>הראב"ד</w:t>
      </w:r>
      <w:r>
        <w:rPr>
          <w:rFonts w:hint="cs"/>
          <w:rtl/>
        </w:rPr>
        <w:t xml:space="preserve"> דכיון דסברת </w:t>
      </w:r>
      <w:r w:rsidRPr="00954560">
        <w:rPr>
          <w:rStyle w:val="af9"/>
          <w:rFonts w:hint="cs"/>
          <w:rtl/>
        </w:rPr>
        <w:t>רבינו אפרים</w:t>
      </w:r>
      <w:r>
        <w:rPr>
          <w:rFonts w:hint="cs"/>
          <w:rtl/>
        </w:rPr>
        <w:t xml:space="preserve"> דריו"ח כר"מ, ופסק כריו"ח ור"מ בין בשחיטה ובין בחלב,</w:t>
      </w:r>
      <w:r w:rsidRPr="0089003A">
        <w:rPr>
          <w:rStyle w:val="afb"/>
          <w:rFonts w:hint="cs"/>
          <w:rtl/>
        </w:rPr>
        <w:t xml:space="preserve"> </w:t>
      </w:r>
      <w:r w:rsidRPr="00E10259">
        <w:rPr>
          <w:rStyle w:val="afb"/>
          <w:rFonts w:hint="cs"/>
          <w:rtl/>
        </w:rPr>
        <w:t xml:space="preserve">[וכדכתבו </w:t>
      </w:r>
      <w:r w:rsidRPr="00E10259">
        <w:rPr>
          <w:rStyle w:val="affa"/>
          <w:rFonts w:hint="cs"/>
          <w:rtl/>
        </w:rPr>
        <w:t xml:space="preserve">העיטור והרשב"א והריטב"א </w:t>
      </w:r>
      <w:r w:rsidRPr="00E10259">
        <w:rPr>
          <w:rStyle w:val="afb"/>
          <w:rFonts w:hint="cs"/>
          <w:rtl/>
        </w:rPr>
        <w:t xml:space="preserve">בשם </w:t>
      </w:r>
      <w:r w:rsidRPr="00E10259">
        <w:rPr>
          <w:rStyle w:val="affa"/>
          <w:rFonts w:hint="cs"/>
          <w:rtl/>
        </w:rPr>
        <w:t>רבינו אפרים</w:t>
      </w:r>
      <w:r w:rsidRPr="00E10259">
        <w:rPr>
          <w:rStyle w:val="afb"/>
          <w:rFonts w:hint="cs"/>
          <w:rtl/>
        </w:rPr>
        <w:t xml:space="preserve"> </w:t>
      </w:r>
      <w:r w:rsidRPr="00C9757F">
        <w:rPr>
          <w:rStyle w:val="aff6"/>
          <w:rFonts w:hint="cs"/>
          <w:rtl/>
        </w:rPr>
        <w:t>(</w:t>
      </w:r>
      <w:r w:rsidR="00AC7E32">
        <w:rPr>
          <w:rStyle w:val="aff6"/>
          <w:rFonts w:hint="cs"/>
          <w:rtl/>
        </w:rPr>
        <w:t>הובא בסימן</w:t>
      </w:r>
      <w:r w:rsidRPr="00C9757F">
        <w:rPr>
          <w:rStyle w:val="aff6"/>
          <w:rFonts w:hint="cs"/>
          <w:rtl/>
        </w:rPr>
        <w:t xml:space="preserve"> ז</w:t>
      </w:r>
      <w:r w:rsidRPr="00C9757F">
        <w:rPr>
          <w:rStyle w:val="aff6"/>
          <w:rtl/>
        </w:rPr>
        <w:t>'</w:t>
      </w:r>
      <w:r w:rsidRPr="00C9757F">
        <w:rPr>
          <w:rStyle w:val="aff6"/>
          <w:rFonts w:hint="cs"/>
          <w:rtl/>
        </w:rPr>
        <w:t xml:space="preserve"> אות פז)</w:t>
      </w:r>
      <w:r w:rsidRPr="00E10259">
        <w:rPr>
          <w:rStyle w:val="afb"/>
          <w:rFonts w:hint="cs"/>
          <w:rtl/>
        </w:rPr>
        <w:t>],</w:t>
      </w:r>
      <w:r>
        <w:rPr>
          <w:rFonts w:hint="cs"/>
          <w:rtl/>
        </w:rPr>
        <w:t xml:space="preserve"> א"כ היאך אפש"ל </w:t>
      </w:r>
      <w:r w:rsidRPr="00954560">
        <w:rPr>
          <w:rStyle w:val="af9"/>
          <w:rFonts w:hint="cs"/>
          <w:rtl/>
        </w:rPr>
        <w:t>דהרמב"ם</w:t>
      </w:r>
      <w:r>
        <w:rPr>
          <w:rFonts w:hint="cs"/>
          <w:rtl/>
        </w:rPr>
        <w:t xml:space="preserve"> פסק כוותיה, הא </w:t>
      </w:r>
      <w:r w:rsidRPr="00954560">
        <w:rPr>
          <w:rStyle w:val="af9"/>
          <w:rFonts w:hint="cs"/>
          <w:rtl/>
        </w:rPr>
        <w:t>הרמב"ם</w:t>
      </w:r>
      <w:r w:rsidRPr="00A000E3">
        <w:rPr>
          <w:rStyle w:val="af7"/>
          <w:rFonts w:eastAsia="Guttman Hodes" w:hint="cs"/>
          <w:rtl/>
        </w:rPr>
        <w:t xml:space="preserve"> </w:t>
      </w:r>
      <w:r>
        <w:rPr>
          <w:rFonts w:hint="cs"/>
          <w:rtl/>
        </w:rPr>
        <w:t xml:space="preserve">פסק </w:t>
      </w:r>
      <w:r w:rsidRPr="00A000E3">
        <w:rPr>
          <w:rStyle w:val="af7"/>
          <w:rFonts w:eastAsia="Guttman Hodes" w:hint="cs"/>
          <w:rtl/>
        </w:rPr>
        <w:t xml:space="preserve">(עי' אות </w:t>
      </w:r>
      <w:r w:rsidRPr="00A000E3">
        <w:rPr>
          <w:rStyle w:val="af7"/>
          <w:rFonts w:eastAsia="Guttman Hodes"/>
          <w:rtl/>
        </w:rPr>
        <w:fldChar w:fldCharType="begin"/>
      </w:r>
      <w:r w:rsidRPr="00A000E3">
        <w:rPr>
          <w:rStyle w:val="af7"/>
          <w:rFonts w:eastAsia="Guttman Hodes"/>
          <w:rtl/>
        </w:rPr>
        <w:instrText xml:space="preserve"> </w:instrText>
      </w:r>
      <w:r w:rsidRPr="00A000E3">
        <w:rPr>
          <w:rStyle w:val="af7"/>
          <w:rFonts w:eastAsia="Guttman Hodes" w:hint="cs"/>
        </w:rPr>
        <w:instrText>REF</w:instrText>
      </w:r>
      <w:r w:rsidRPr="00A000E3">
        <w:rPr>
          <w:rStyle w:val="af7"/>
          <w:rFonts w:eastAsia="Guttman Hodes" w:hint="cs"/>
          <w:rtl/>
        </w:rPr>
        <w:instrText xml:space="preserve"> _</w:instrText>
      </w:r>
      <w:r w:rsidRPr="00A000E3">
        <w:rPr>
          <w:rStyle w:val="af7"/>
          <w:rFonts w:eastAsia="Guttman Hodes" w:hint="cs"/>
        </w:rPr>
        <w:instrText>Ref3969896 \r \h</w:instrText>
      </w:r>
      <w:r w:rsidRPr="00A000E3">
        <w:rPr>
          <w:rStyle w:val="af7"/>
          <w:rFonts w:eastAsia="Guttman Hodes"/>
          <w:rtl/>
        </w:rPr>
        <w:instrText xml:space="preserve"> </w:instrText>
      </w:r>
      <w:r w:rsidRPr="00A000E3">
        <w:rPr>
          <w:rStyle w:val="af7"/>
          <w:rFonts w:eastAsia="Guttman Hodes"/>
          <w:rtl/>
        </w:rPr>
      </w:r>
      <w:r w:rsidRPr="00A000E3">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A000E3">
        <w:rPr>
          <w:rStyle w:val="af7"/>
          <w:rFonts w:eastAsia="Guttman Hodes"/>
          <w:rtl/>
        </w:rPr>
        <w:fldChar w:fldCharType="end"/>
      </w:r>
      <w:r>
        <w:rPr>
          <w:rFonts w:hint="cs"/>
          <w:rtl/>
        </w:rPr>
        <w:t xml:space="preserve"> דבן ט' מותר בשחיטת אמו, ודלא כריו"ח דס"ל כר"מ.</w:t>
      </w:r>
      <w:r w:rsidRPr="00056FB2">
        <w:rPr>
          <w:rFonts w:hint="cs"/>
          <w:rtl/>
        </w:rPr>
        <w:t xml:space="preserve"> </w:t>
      </w:r>
      <w:r w:rsidRPr="00FE1FC1">
        <w:rPr>
          <w:rStyle w:val="afb"/>
          <w:rFonts w:hint="cs"/>
          <w:rtl/>
        </w:rPr>
        <w:t xml:space="preserve">[ואף </w:t>
      </w:r>
      <w:r w:rsidRPr="00D27C37">
        <w:rPr>
          <w:rStyle w:val="affa"/>
          <w:rFonts w:hint="cs"/>
          <w:rtl/>
        </w:rPr>
        <w:t>הראב"ד</w:t>
      </w:r>
      <w:r w:rsidRPr="00FE1FC1">
        <w:rPr>
          <w:rStyle w:val="afb"/>
          <w:rFonts w:hint="cs"/>
          <w:rtl/>
        </w:rPr>
        <w:t xml:space="preserve"> </w:t>
      </w:r>
      <w:r w:rsidRPr="00D27C37">
        <w:rPr>
          <w:rStyle w:val="aff6"/>
          <w:rFonts w:hint="cs"/>
          <w:rtl/>
        </w:rPr>
        <w:t>(הביאו בספר איסור והיתר לרבינו יעקב מבניולש פכ"ו ד"ה ואמת כי, הועתק בקובץ שיטות קמאי חולין ח"ב עמ' אלף תרמ"ח)</w:t>
      </w:r>
      <w:r w:rsidRPr="00FE1FC1">
        <w:rPr>
          <w:rStyle w:val="afb"/>
          <w:rFonts w:hint="cs"/>
          <w:rtl/>
        </w:rPr>
        <w:t xml:space="preserve"> השיג על </w:t>
      </w:r>
      <w:r w:rsidRPr="00D27C37">
        <w:rPr>
          <w:rStyle w:val="affa"/>
          <w:rFonts w:hint="cs"/>
          <w:rtl/>
        </w:rPr>
        <w:t>רבינו אפרים</w:t>
      </w:r>
      <w:r w:rsidRPr="00FE1FC1">
        <w:rPr>
          <w:rStyle w:val="afb"/>
          <w:rFonts w:hint="cs"/>
          <w:rtl/>
        </w:rPr>
        <w:t xml:space="preserve"> דהרי סתמא דמתני' בסוגיין </w:t>
      </w:r>
      <w:r w:rsidRPr="00D27C37">
        <w:rPr>
          <w:rStyle w:val="aff6"/>
          <w:rFonts w:hint="cs"/>
          <w:rtl/>
        </w:rPr>
        <w:t>(עד.)</w:t>
      </w:r>
      <w:r w:rsidRPr="00FE1FC1">
        <w:rPr>
          <w:rStyle w:val="afb"/>
          <w:rFonts w:hint="cs"/>
          <w:rtl/>
        </w:rPr>
        <w:t xml:space="preserve"> דלרבנן בן ט' חי מותר בשחיטת אמו, ומוכח דאף </w:t>
      </w:r>
      <w:r w:rsidRPr="00D27C37">
        <w:rPr>
          <w:rStyle w:val="affa"/>
          <w:rFonts w:hint="cs"/>
          <w:rtl/>
        </w:rPr>
        <w:t xml:space="preserve">להראב"ד </w:t>
      </w:r>
      <w:r w:rsidRPr="00FE1FC1">
        <w:rPr>
          <w:rStyle w:val="afb"/>
          <w:rFonts w:hint="cs"/>
          <w:rtl/>
        </w:rPr>
        <w:t xml:space="preserve">פסק </w:t>
      </w:r>
      <w:r w:rsidRPr="00D27C37">
        <w:rPr>
          <w:rStyle w:val="affa"/>
          <w:rFonts w:hint="cs"/>
          <w:rtl/>
        </w:rPr>
        <w:t>רבינו אפרים</w:t>
      </w:r>
      <w:r w:rsidRPr="00FE1FC1">
        <w:rPr>
          <w:rStyle w:val="afb"/>
          <w:rFonts w:hint="cs"/>
          <w:rtl/>
        </w:rPr>
        <w:t xml:space="preserve"> בשחיטה דלא </w:t>
      </w:r>
      <w:r w:rsidRPr="00D27C37">
        <w:rPr>
          <w:rStyle w:val="affa"/>
          <w:rFonts w:hint="cs"/>
          <w:rtl/>
        </w:rPr>
        <w:t>כהרמב"ם</w:t>
      </w:r>
      <w:r w:rsidRPr="00FE1FC1">
        <w:rPr>
          <w:rStyle w:val="afb"/>
          <w:rFonts w:hint="cs"/>
          <w:rtl/>
        </w:rPr>
        <w:t>].</w:t>
      </w:r>
    </w:p>
    <w:p w14:paraId="46CFD37F" w14:textId="77777777" w:rsidR="003D504D" w:rsidRPr="001B6DE4" w:rsidRDefault="003D504D" w:rsidP="003D504D">
      <w:pPr>
        <w:pStyle w:val="a3"/>
        <w:rPr>
          <w:rtl/>
        </w:rPr>
      </w:pPr>
      <w:bookmarkStart w:id="24392" w:name="_Toc3978446"/>
      <w:bookmarkStart w:id="24393" w:name="_Toc4012296"/>
      <w:bookmarkStart w:id="24394" w:name="_Toc4013322"/>
      <w:bookmarkStart w:id="24395" w:name="_Toc4022830"/>
      <w:bookmarkStart w:id="24396" w:name="_Toc4026655"/>
      <w:bookmarkStart w:id="24397" w:name="_Toc4139453"/>
      <w:bookmarkStart w:id="24398" w:name="_Toc4151547"/>
      <w:bookmarkStart w:id="24399" w:name="_Toc19392001"/>
      <w:bookmarkStart w:id="24400" w:name="_Toc19395498"/>
      <w:r>
        <w:rPr>
          <w:rFonts w:hint="cs"/>
          <w:rtl/>
        </w:rPr>
        <w:t>דברי המאירי דהרמב"ם נמשך אחר סברת רבינו אפרים דריו"ח כר"מ ור"ל כר"י אך פסק כסתם מתני'</w:t>
      </w:r>
      <w:bookmarkEnd w:id="24392"/>
      <w:bookmarkEnd w:id="24393"/>
      <w:bookmarkEnd w:id="24394"/>
      <w:bookmarkEnd w:id="24395"/>
      <w:bookmarkEnd w:id="24396"/>
      <w:bookmarkEnd w:id="24397"/>
      <w:bookmarkEnd w:id="24398"/>
      <w:bookmarkEnd w:id="24399"/>
      <w:bookmarkEnd w:id="24400"/>
    </w:p>
    <w:p w14:paraId="2DF18874" w14:textId="77777777" w:rsidR="003D504D" w:rsidRDefault="003D504D" w:rsidP="00223668">
      <w:pPr>
        <w:pStyle w:val="a0"/>
        <w:rPr>
          <w:rtl/>
        </w:rPr>
      </w:pPr>
      <w:r w:rsidRPr="00BC4960">
        <w:rPr>
          <w:rStyle w:val="af9"/>
          <w:rFonts w:hint="cs"/>
          <w:rtl/>
        </w:rPr>
        <w:t>והמאירי</w:t>
      </w:r>
      <w:r>
        <w:rPr>
          <w:rFonts w:hint="cs"/>
          <w:rtl/>
        </w:rPr>
        <w:t xml:space="preserve"> </w:t>
      </w:r>
      <w:r w:rsidRPr="00BC4960">
        <w:rPr>
          <w:rStyle w:val="af7"/>
          <w:rFonts w:eastAsia="Guttman Hodes" w:hint="cs"/>
          <w:rtl/>
        </w:rPr>
        <w:t>(ד"ה מצא)</w:t>
      </w:r>
      <w:r>
        <w:rPr>
          <w:rFonts w:hint="cs"/>
          <w:rtl/>
        </w:rPr>
        <w:t xml:space="preserve"> הביא את דברי </w:t>
      </w:r>
      <w:r w:rsidRPr="00BC4960">
        <w:rPr>
          <w:rStyle w:val="af9"/>
          <w:rFonts w:hint="cs"/>
          <w:rtl/>
        </w:rPr>
        <w:t>רבינו אפרים</w:t>
      </w:r>
      <w:r>
        <w:rPr>
          <w:rFonts w:hint="cs"/>
          <w:rtl/>
        </w:rPr>
        <w:t xml:space="preserve"> </w:t>
      </w:r>
      <w:r w:rsidRPr="00006B9D">
        <w:rPr>
          <w:rFonts w:hint="cs"/>
          <w:rtl/>
        </w:rPr>
        <w:t>[</w:t>
      </w:r>
      <w:r w:rsidRPr="00006B9D">
        <w:rPr>
          <w:rStyle w:val="af9"/>
          <w:rFonts w:hint="cs"/>
          <w:rtl/>
        </w:rPr>
        <w:t>גדולי תלמידיהם של גדולי הפוסקים</w:t>
      </w:r>
      <w:r w:rsidRPr="00006B9D">
        <w:rPr>
          <w:rFonts w:hint="cs"/>
          <w:rtl/>
        </w:rPr>
        <w:t xml:space="preserve">] </w:t>
      </w:r>
      <w:r>
        <w:rPr>
          <w:rFonts w:hint="cs"/>
          <w:rtl/>
        </w:rPr>
        <w:t xml:space="preserve">דפסק כר"מ בין לענין שחיטה דבן ט' חי טעון שחיטה, ובין לענין חלב דחלבו אסור, וכתב </w:t>
      </w:r>
      <w:r w:rsidRPr="00BC4960">
        <w:rPr>
          <w:rStyle w:val="af9"/>
          <w:rFonts w:hint="cs"/>
          <w:rtl/>
        </w:rPr>
        <w:t>המאירי</w:t>
      </w:r>
      <w:r>
        <w:rPr>
          <w:rFonts w:hint="cs"/>
          <w:rtl/>
        </w:rPr>
        <w:t xml:space="preserve"> דס"ל </w:t>
      </w:r>
      <w:r w:rsidRPr="00BC4960">
        <w:rPr>
          <w:rStyle w:val="af9"/>
          <w:rFonts w:hint="cs"/>
          <w:rtl/>
        </w:rPr>
        <w:t>לרבינו אפרים</w:t>
      </w:r>
      <w:r>
        <w:rPr>
          <w:rFonts w:hint="cs"/>
          <w:rtl/>
        </w:rPr>
        <w:t xml:space="preserve"> דפלוגתת ריו"ח ור"ל בדין החלב תלויה בפלוגתת ר"מ ור"י, וריו"ח ס"ל כר"מ, וכיון דקיי"ל כריו"ח לגבי ר"ל, לכן פסק </w:t>
      </w:r>
      <w:r w:rsidRPr="00BC4960">
        <w:rPr>
          <w:rStyle w:val="af9"/>
          <w:rFonts w:hint="cs"/>
          <w:rtl/>
        </w:rPr>
        <w:t>רבינו אפרים</w:t>
      </w:r>
      <w:r>
        <w:rPr>
          <w:rFonts w:hint="cs"/>
          <w:rtl/>
        </w:rPr>
        <w:t xml:space="preserve"> כר"מ דהוא כדעת ריו"ח, וכתב </w:t>
      </w:r>
      <w:r w:rsidRPr="00BC4960">
        <w:rPr>
          <w:rStyle w:val="af9"/>
          <w:rFonts w:hint="cs"/>
          <w:rtl/>
        </w:rPr>
        <w:t>המאירי</w:t>
      </w:r>
      <w:r>
        <w:rPr>
          <w:rFonts w:hint="cs"/>
          <w:rtl/>
        </w:rPr>
        <w:t xml:space="preserve"> </w:t>
      </w:r>
      <w:r w:rsidRPr="00BC4960">
        <w:rPr>
          <w:rStyle w:val="af9"/>
          <w:rFonts w:hint="cs"/>
          <w:rtl/>
        </w:rPr>
        <w:t>דהרמב"ם</w:t>
      </w:r>
      <w:r>
        <w:rPr>
          <w:rFonts w:hint="cs"/>
          <w:rtl/>
        </w:rPr>
        <w:t xml:space="preserve"> נמשך אחר ביאור </w:t>
      </w:r>
      <w:r w:rsidRPr="00BC4960">
        <w:rPr>
          <w:rStyle w:val="af9"/>
          <w:rFonts w:hint="cs"/>
          <w:rtl/>
        </w:rPr>
        <w:t>רבינו אפרים</w:t>
      </w:r>
      <w:r>
        <w:rPr>
          <w:rFonts w:hint="cs"/>
          <w:rtl/>
        </w:rPr>
        <w:t xml:space="preserve"> </w:t>
      </w:r>
      <w:r w:rsidRPr="00BC4960">
        <w:rPr>
          <w:rStyle w:val="afb"/>
          <w:rFonts w:hint="cs"/>
          <w:rtl/>
        </w:rPr>
        <w:t xml:space="preserve">[דפלוגתת ריו"ח ור"ל בדין החלב תלויה בפלוגתת ר"מ ור"י], </w:t>
      </w:r>
      <w:r>
        <w:rPr>
          <w:rFonts w:hint="cs"/>
          <w:rtl/>
        </w:rPr>
        <w:t xml:space="preserve">ולכן פסק </w:t>
      </w:r>
      <w:r w:rsidRPr="00BC4960">
        <w:rPr>
          <w:rStyle w:val="af9"/>
          <w:rFonts w:hint="cs"/>
          <w:rtl/>
        </w:rPr>
        <w:t>הרמב"ם</w:t>
      </w:r>
      <w:r>
        <w:rPr>
          <w:rFonts w:hint="cs"/>
          <w:rtl/>
        </w:rPr>
        <w:t xml:space="preserve"> לענין איסור חלב, דחלב בן ט' אסור, וכדעת ריו"ח, אך מ"מ לענין שחיטה כתב </w:t>
      </w:r>
      <w:r w:rsidRPr="00CF1774">
        <w:rPr>
          <w:rStyle w:val="af9"/>
          <w:rFonts w:hint="cs"/>
          <w:rtl/>
        </w:rPr>
        <w:t xml:space="preserve">המאירי דהרמב"ם </w:t>
      </w:r>
      <w:r>
        <w:rPr>
          <w:rFonts w:hint="cs"/>
          <w:rtl/>
        </w:rPr>
        <w:t>פסק כר"י דבן ט' חי מותר בשחיטת אמו, כיון שהוא סתם משנה.</w:t>
      </w:r>
    </w:p>
    <w:p w14:paraId="260C9166" w14:textId="77777777" w:rsidR="003D504D" w:rsidRPr="00D27C37" w:rsidRDefault="003D504D" w:rsidP="003D504D">
      <w:pPr>
        <w:pStyle w:val="afe"/>
        <w:rPr>
          <w:rtl/>
        </w:rPr>
      </w:pPr>
      <w:bookmarkStart w:id="24401" w:name="_Toc3929050"/>
      <w:bookmarkStart w:id="24402" w:name="_Toc3978447"/>
      <w:bookmarkStart w:id="24403" w:name="_Toc4012297"/>
      <w:bookmarkStart w:id="24404" w:name="_Toc4013323"/>
      <w:bookmarkStart w:id="24405" w:name="_Toc4022831"/>
      <w:bookmarkStart w:id="24406" w:name="_Toc4026656"/>
      <w:bookmarkStart w:id="24407" w:name="_Toc4139454"/>
      <w:bookmarkStart w:id="24408" w:name="_Toc4151548"/>
      <w:bookmarkStart w:id="24409" w:name="_Toc19436377"/>
      <w:bookmarkStart w:id="24410" w:name="_Toc20081507"/>
      <w:r>
        <w:rPr>
          <w:rFonts w:hint="cs"/>
          <w:rtl/>
        </w:rPr>
        <w:t>דברי הרשב"א והמ"מ דהרמב"ם כ</w:t>
      </w:r>
      <w:r w:rsidRPr="00D27C37">
        <w:rPr>
          <w:rFonts w:hint="cs"/>
          <w:rtl/>
        </w:rPr>
        <w:t>העיטור</w:t>
      </w:r>
      <w:bookmarkEnd w:id="24371"/>
      <w:bookmarkEnd w:id="24401"/>
      <w:bookmarkEnd w:id="24402"/>
      <w:bookmarkEnd w:id="24403"/>
      <w:bookmarkEnd w:id="24404"/>
      <w:bookmarkEnd w:id="24405"/>
      <w:bookmarkEnd w:id="24406"/>
      <w:bookmarkEnd w:id="24407"/>
      <w:bookmarkEnd w:id="24408"/>
      <w:bookmarkEnd w:id="24409"/>
      <w:bookmarkEnd w:id="24410"/>
    </w:p>
    <w:p w14:paraId="4B32C5EE" w14:textId="77777777" w:rsidR="003D504D" w:rsidRPr="00D27C37" w:rsidRDefault="003D504D" w:rsidP="00BF39B2">
      <w:pPr>
        <w:pStyle w:val="1"/>
        <w:rPr>
          <w:rtl/>
        </w:rPr>
      </w:pPr>
      <w:bookmarkStart w:id="24411" w:name="_Toc3978448"/>
      <w:bookmarkStart w:id="24412" w:name="_Toc4012298"/>
      <w:bookmarkStart w:id="24413" w:name="_Toc4013324"/>
      <w:bookmarkStart w:id="24414" w:name="_Toc4022832"/>
      <w:bookmarkStart w:id="24415" w:name="_Toc4026657"/>
      <w:bookmarkStart w:id="24416" w:name="_Toc4139455"/>
      <w:bookmarkStart w:id="24417" w:name="_Toc4151549"/>
      <w:bookmarkStart w:id="24418" w:name="_Toc19392002"/>
      <w:bookmarkStart w:id="24419" w:name="_Toc19395499"/>
      <w:bookmarkStart w:id="24420" w:name="_Toc3840822"/>
      <w:bookmarkStart w:id="24421" w:name="_Toc3929058"/>
      <w:bookmarkStart w:id="24422" w:name="_Toc3840815"/>
      <w:bookmarkStart w:id="24423" w:name="_Toc3929051"/>
      <w:r w:rsidRPr="00D27C37">
        <w:rPr>
          <w:rFonts w:hint="cs"/>
          <w:rtl/>
        </w:rPr>
        <w:t xml:space="preserve">דעת העיטור דריו"ח ור"ל נחלקו רק </w:t>
      </w:r>
      <w:r>
        <w:rPr>
          <w:rFonts w:hint="cs"/>
          <w:rtl/>
        </w:rPr>
        <w:t>ב</w:t>
      </w:r>
      <w:r w:rsidRPr="00D27C37">
        <w:rPr>
          <w:rFonts w:hint="cs"/>
          <w:rtl/>
        </w:rPr>
        <w:t>דעת ר"מ ולא לר"י</w:t>
      </w:r>
      <w:bookmarkEnd w:id="24411"/>
      <w:bookmarkEnd w:id="24412"/>
      <w:bookmarkEnd w:id="24413"/>
      <w:bookmarkEnd w:id="24414"/>
      <w:bookmarkEnd w:id="24415"/>
      <w:bookmarkEnd w:id="24416"/>
      <w:bookmarkEnd w:id="24417"/>
      <w:bookmarkEnd w:id="24418"/>
      <w:bookmarkEnd w:id="24419"/>
    </w:p>
    <w:p w14:paraId="75E00710" w14:textId="77777777" w:rsidR="003D504D" w:rsidRPr="00D27C37" w:rsidRDefault="003D504D" w:rsidP="003D504D">
      <w:pPr>
        <w:pStyle w:val="a3"/>
        <w:rPr>
          <w:rtl/>
        </w:rPr>
      </w:pPr>
      <w:bookmarkStart w:id="24424" w:name="_Toc3978449"/>
      <w:bookmarkStart w:id="24425" w:name="_Toc4012299"/>
      <w:bookmarkStart w:id="24426" w:name="_Toc4013325"/>
      <w:bookmarkStart w:id="24427" w:name="_Toc4022833"/>
      <w:bookmarkStart w:id="24428" w:name="_Toc4026658"/>
      <w:bookmarkStart w:id="24429" w:name="_Toc4139456"/>
      <w:bookmarkStart w:id="24430" w:name="_Toc4151550"/>
      <w:bookmarkStart w:id="24431" w:name="_Toc19392003"/>
      <w:bookmarkStart w:id="24432" w:name="_Toc19395500"/>
      <w:r w:rsidRPr="00D27C37">
        <w:rPr>
          <w:rFonts w:hint="cs"/>
          <w:rtl/>
        </w:rPr>
        <w:t>קושית הרשב"א על הרמב"ם והעיטור דמבואר ברב הושעיא דדין חלב תלוי בדין השחיטה</w:t>
      </w:r>
      <w:bookmarkEnd w:id="24420"/>
      <w:bookmarkEnd w:id="24421"/>
      <w:bookmarkEnd w:id="24424"/>
      <w:bookmarkEnd w:id="24425"/>
      <w:bookmarkEnd w:id="24426"/>
      <w:bookmarkEnd w:id="24427"/>
      <w:bookmarkEnd w:id="24428"/>
      <w:bookmarkEnd w:id="24429"/>
      <w:bookmarkEnd w:id="24430"/>
      <w:bookmarkEnd w:id="24431"/>
      <w:bookmarkEnd w:id="24432"/>
    </w:p>
    <w:p w14:paraId="2E7BD538" w14:textId="77777777" w:rsidR="003D504D" w:rsidRDefault="003D504D" w:rsidP="00223668">
      <w:pPr>
        <w:pStyle w:val="a0"/>
        <w:rPr>
          <w:rtl/>
        </w:rPr>
      </w:pPr>
      <w:bookmarkStart w:id="24433" w:name="_Ref3970768"/>
      <w:r w:rsidRPr="00E72198">
        <w:rPr>
          <w:rFonts w:hint="cs"/>
          <w:rtl/>
        </w:rPr>
        <w:t xml:space="preserve">כתב </w:t>
      </w:r>
      <w:r w:rsidRPr="00D27C37">
        <w:rPr>
          <w:rStyle w:val="af9"/>
          <w:rFonts w:hint="cs"/>
          <w:rtl/>
        </w:rPr>
        <w:t xml:space="preserve">הרשב"א </w:t>
      </w:r>
      <w:r w:rsidRPr="00D27C37">
        <w:rPr>
          <w:rStyle w:val="af9"/>
          <w:rtl/>
        </w:rPr>
        <w:t>בחי' לקמן</w:t>
      </w:r>
      <w:r w:rsidRPr="00D27C37">
        <w:rPr>
          <w:rStyle w:val="af9"/>
          <w:rFonts w:hint="cs"/>
          <w:rtl/>
        </w:rPr>
        <w:t xml:space="preserve"> </w:t>
      </w:r>
      <w:r w:rsidRPr="00D27C37">
        <w:rPr>
          <w:rStyle w:val="af7"/>
          <w:rFonts w:eastAsia="Guttman Hodes" w:hint="cs"/>
          <w:rtl/>
        </w:rPr>
        <w:t>(צב: ד"ה ולענין</w:t>
      </w:r>
      <w:r w:rsidRPr="00D27C37">
        <w:rPr>
          <w:rStyle w:val="af7"/>
          <w:rFonts w:eastAsiaTheme="minorHAnsi" w:hint="cs"/>
          <w:rtl/>
        </w:rPr>
        <w:t xml:space="preserve">) </w:t>
      </w:r>
      <w:r w:rsidRPr="00D27C37">
        <w:rPr>
          <w:rStyle w:val="af9"/>
          <w:rtl/>
        </w:rPr>
        <w:t xml:space="preserve">ובתוה"ב </w:t>
      </w:r>
      <w:r w:rsidRPr="00D27C37">
        <w:rPr>
          <w:rStyle w:val="af7"/>
          <w:rFonts w:eastAsia="Guttman Hodes" w:hint="cs"/>
          <w:rtl/>
        </w:rPr>
        <w:t>(ב"ב ש"ה דף נט: מדה"ס)</w:t>
      </w:r>
      <w:r w:rsidRPr="00D27C37">
        <w:rPr>
          <w:rFonts w:hint="cs"/>
          <w:rtl/>
        </w:rPr>
        <w:t xml:space="preserve"> </w:t>
      </w:r>
      <w:r>
        <w:rPr>
          <w:rStyle w:val="af9"/>
          <w:rFonts w:hint="cs"/>
          <w:rtl/>
        </w:rPr>
        <w:t>ד</w:t>
      </w:r>
      <w:r w:rsidRPr="00D27C37">
        <w:rPr>
          <w:rStyle w:val="af9"/>
          <w:rFonts w:hint="cs"/>
          <w:rtl/>
        </w:rPr>
        <w:t>הרמב"ם</w:t>
      </w:r>
      <w:r w:rsidRPr="00D27C37">
        <w:rPr>
          <w:rFonts w:hint="cs"/>
          <w:rtl/>
        </w:rPr>
        <w:t xml:space="preserve"> </w:t>
      </w:r>
      <w:r w:rsidRPr="00D27C37">
        <w:rPr>
          <w:rStyle w:val="af7"/>
          <w:rFonts w:eastAsia="Guttman Hodes" w:hint="cs"/>
          <w:rtl/>
        </w:rPr>
        <w:t xml:space="preserve">(עי' אות </w:t>
      </w:r>
      <w:r w:rsidRPr="00D27C37">
        <w:rPr>
          <w:rStyle w:val="af7"/>
          <w:rFonts w:eastAsia="Guttman Hodes"/>
          <w:rtl/>
        </w:rPr>
        <w:fldChar w:fldCharType="begin"/>
      </w:r>
      <w:r w:rsidRPr="00D27C37">
        <w:rPr>
          <w:rStyle w:val="af7"/>
          <w:rFonts w:eastAsia="Guttman Hodes"/>
          <w:rtl/>
        </w:rPr>
        <w:instrText xml:space="preserve"> </w:instrText>
      </w:r>
      <w:r w:rsidRPr="00D27C37">
        <w:rPr>
          <w:rStyle w:val="af7"/>
          <w:rFonts w:eastAsia="Guttman Hodes" w:hint="cs"/>
        </w:rPr>
        <w:instrText>REF</w:instrText>
      </w:r>
      <w:r w:rsidRPr="00D27C37">
        <w:rPr>
          <w:rStyle w:val="af7"/>
          <w:rFonts w:eastAsia="Guttman Hodes" w:hint="cs"/>
          <w:rtl/>
        </w:rPr>
        <w:instrText xml:space="preserve"> _</w:instrText>
      </w:r>
      <w:r w:rsidRPr="00D27C37">
        <w:rPr>
          <w:rStyle w:val="af7"/>
          <w:rFonts w:eastAsia="Guttman Hodes" w:hint="cs"/>
        </w:rPr>
        <w:instrText>Ref3145560 \r \h</w:instrText>
      </w:r>
      <w:r w:rsidRPr="00D27C37">
        <w:rPr>
          <w:rStyle w:val="af7"/>
          <w:rFonts w:eastAsia="Guttman Hodes"/>
          <w:rtl/>
        </w:rPr>
        <w:instrText xml:space="preserve">  \* </w:instrText>
      </w:r>
      <w:r w:rsidRPr="00D27C37">
        <w:rPr>
          <w:rStyle w:val="af7"/>
          <w:rFonts w:eastAsia="Guttman Hodes"/>
        </w:rPr>
        <w:instrText>MERGEFORMAT</w:instrText>
      </w:r>
      <w:r w:rsidRPr="00D27C37">
        <w:rPr>
          <w:rStyle w:val="af7"/>
          <w:rFonts w:eastAsia="Guttman Hodes"/>
          <w:rtl/>
        </w:rPr>
        <w:instrText xml:space="preserve"> </w:instrText>
      </w:r>
      <w:r w:rsidRPr="00D27C37">
        <w:rPr>
          <w:rStyle w:val="af7"/>
          <w:rFonts w:eastAsia="Guttman Hodes"/>
          <w:rtl/>
        </w:rPr>
      </w:r>
      <w:r w:rsidRPr="00D27C37">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D27C37">
        <w:rPr>
          <w:rStyle w:val="af7"/>
          <w:rFonts w:eastAsia="Guttman Hodes"/>
          <w:rtl/>
        </w:rPr>
        <w:fldChar w:fldCharType="end"/>
      </w:r>
      <w:r w:rsidRPr="00D27C37">
        <w:rPr>
          <w:rFonts w:hint="cs"/>
          <w:rtl/>
        </w:rPr>
        <w:t xml:space="preserve"> </w:t>
      </w:r>
      <w:r w:rsidRPr="00D27C37">
        <w:rPr>
          <w:rStyle w:val="af9"/>
          <w:rFonts w:hint="cs"/>
          <w:rtl/>
        </w:rPr>
        <w:t>והעיטור</w:t>
      </w:r>
      <w:r w:rsidRPr="00D27C37">
        <w:rPr>
          <w:rFonts w:hint="cs"/>
          <w:rtl/>
        </w:rPr>
        <w:t xml:space="preserve"> </w:t>
      </w:r>
      <w:r w:rsidRPr="00D27C37">
        <w:rPr>
          <w:rStyle w:val="af7"/>
          <w:rFonts w:eastAsia="Guttman Hodes" w:hint="cs"/>
          <w:rtl/>
        </w:rPr>
        <w:t xml:space="preserve">(עי' אות </w:t>
      </w:r>
      <w:r w:rsidRPr="00D27C37">
        <w:rPr>
          <w:rStyle w:val="af7"/>
          <w:rFonts w:eastAsia="Guttman Hodes"/>
          <w:rtl/>
        </w:rPr>
        <w:fldChar w:fldCharType="begin"/>
      </w:r>
      <w:r w:rsidRPr="00D27C37">
        <w:rPr>
          <w:rStyle w:val="af7"/>
          <w:rFonts w:eastAsia="Guttman Hodes"/>
          <w:rtl/>
        </w:rPr>
        <w:instrText xml:space="preserve"> </w:instrText>
      </w:r>
      <w:r w:rsidRPr="00D27C37">
        <w:rPr>
          <w:rStyle w:val="af7"/>
          <w:rFonts w:eastAsia="Guttman Hodes" w:hint="cs"/>
        </w:rPr>
        <w:instrText>REF</w:instrText>
      </w:r>
      <w:r w:rsidRPr="00D27C37">
        <w:rPr>
          <w:rStyle w:val="af7"/>
          <w:rFonts w:eastAsia="Guttman Hodes" w:hint="cs"/>
          <w:rtl/>
        </w:rPr>
        <w:instrText xml:space="preserve"> _</w:instrText>
      </w:r>
      <w:r w:rsidRPr="00D27C37">
        <w:rPr>
          <w:rStyle w:val="af7"/>
          <w:rFonts w:eastAsia="Guttman Hodes" w:hint="cs"/>
        </w:rPr>
        <w:instrText>Ref3493239 \r \h</w:instrText>
      </w:r>
      <w:r w:rsidRPr="00D27C37">
        <w:rPr>
          <w:rStyle w:val="af7"/>
          <w:rFonts w:eastAsia="Guttman Hodes"/>
          <w:rtl/>
        </w:rPr>
        <w:instrText xml:space="preserve">  \* </w:instrText>
      </w:r>
      <w:r w:rsidRPr="00D27C37">
        <w:rPr>
          <w:rStyle w:val="af7"/>
          <w:rFonts w:eastAsia="Guttman Hodes"/>
        </w:rPr>
        <w:instrText>MERGEFORMAT</w:instrText>
      </w:r>
      <w:r w:rsidRPr="00D27C37">
        <w:rPr>
          <w:rStyle w:val="af7"/>
          <w:rFonts w:eastAsia="Guttman Hodes"/>
          <w:rtl/>
        </w:rPr>
        <w:instrText xml:space="preserve"> </w:instrText>
      </w:r>
      <w:r w:rsidRPr="00D27C37">
        <w:rPr>
          <w:rStyle w:val="af7"/>
          <w:rFonts w:eastAsia="Guttman Hodes"/>
          <w:rtl/>
        </w:rPr>
      </w:r>
      <w:r w:rsidRPr="00D27C37">
        <w:rPr>
          <w:rStyle w:val="af7"/>
          <w:rFonts w:eastAsia="Guttman Hodes"/>
          <w:rtl/>
        </w:rPr>
        <w:fldChar w:fldCharType="separate"/>
      </w:r>
      <w:r w:rsidR="00345400">
        <w:rPr>
          <w:rStyle w:val="af7"/>
          <w:rFonts w:eastAsia="Guttman Hodes"/>
          <w:cs/>
        </w:rPr>
        <w:t>‎</w:t>
      </w:r>
      <w:r w:rsidR="00345400">
        <w:rPr>
          <w:rStyle w:val="af7"/>
          <w:rFonts w:eastAsia="Guttman Hodes"/>
          <w:rtl/>
        </w:rPr>
        <w:t>קא)</w:t>
      </w:r>
      <w:r w:rsidRPr="00D27C37">
        <w:rPr>
          <w:rStyle w:val="af7"/>
          <w:rFonts w:eastAsia="Guttman Hodes"/>
          <w:rtl/>
        </w:rPr>
        <w:fldChar w:fldCharType="end"/>
      </w:r>
      <w:r w:rsidRPr="00D27C37">
        <w:rPr>
          <w:rFonts w:hint="cs"/>
          <w:rtl/>
        </w:rPr>
        <w:t xml:space="preserve"> </w:t>
      </w:r>
      <w:r>
        <w:rPr>
          <w:rFonts w:hint="cs"/>
          <w:rtl/>
        </w:rPr>
        <w:t xml:space="preserve">פסקו </w:t>
      </w:r>
      <w:r w:rsidRPr="00D27C37">
        <w:rPr>
          <w:rFonts w:hint="cs"/>
          <w:rtl/>
        </w:rPr>
        <w:t xml:space="preserve">בשחיטה בבן ט' חי פסקו כר"י, כסתמא דמתני' בסוגיין, ובחלב וגידו פסקו כר"מ כיון דקיי"ל כריו"ח דחדשים גרמי, </w:t>
      </w:r>
      <w:r>
        <w:rPr>
          <w:rFonts w:hint="cs"/>
          <w:rtl/>
        </w:rPr>
        <w:t xml:space="preserve">וכ"כ </w:t>
      </w:r>
      <w:r w:rsidRPr="00CF761C">
        <w:rPr>
          <w:rStyle w:val="af9"/>
          <w:rFonts w:hint="cs"/>
          <w:rtl/>
        </w:rPr>
        <w:t>המ"מ</w:t>
      </w:r>
      <w:r>
        <w:rPr>
          <w:rFonts w:hint="cs"/>
          <w:rtl/>
        </w:rPr>
        <w:t xml:space="preserve"> </w:t>
      </w:r>
      <w:r w:rsidRPr="00CF761C">
        <w:rPr>
          <w:rStyle w:val="af7"/>
          <w:rFonts w:eastAsia="Guttman Hodes" w:hint="cs"/>
          <w:rtl/>
        </w:rPr>
        <w:t xml:space="preserve">(עי' אות </w:t>
      </w:r>
      <w:r w:rsidRPr="00CF761C">
        <w:rPr>
          <w:rStyle w:val="af7"/>
          <w:rFonts w:eastAsia="Guttman Hodes"/>
          <w:rtl/>
        </w:rPr>
        <w:fldChar w:fldCharType="begin"/>
      </w:r>
      <w:r w:rsidRPr="00CF761C">
        <w:rPr>
          <w:rStyle w:val="af7"/>
          <w:rFonts w:eastAsia="Guttman Hodes"/>
          <w:rtl/>
        </w:rPr>
        <w:instrText xml:space="preserve"> </w:instrText>
      </w:r>
      <w:r w:rsidRPr="00CF761C">
        <w:rPr>
          <w:rStyle w:val="af7"/>
          <w:rFonts w:eastAsia="Guttman Hodes" w:hint="cs"/>
        </w:rPr>
        <w:instrText>REF</w:instrText>
      </w:r>
      <w:r w:rsidRPr="00CF761C">
        <w:rPr>
          <w:rStyle w:val="af7"/>
          <w:rFonts w:eastAsia="Guttman Hodes" w:hint="cs"/>
          <w:rtl/>
        </w:rPr>
        <w:instrText xml:space="preserve"> _</w:instrText>
      </w:r>
      <w:r w:rsidRPr="00CF761C">
        <w:rPr>
          <w:rStyle w:val="af7"/>
          <w:rFonts w:eastAsia="Guttman Hodes" w:hint="cs"/>
        </w:rPr>
        <w:instrText>Ref3970713 \r \h</w:instrText>
      </w:r>
      <w:r w:rsidRPr="00CF761C">
        <w:rPr>
          <w:rStyle w:val="af7"/>
          <w:rFonts w:eastAsia="Guttman Hodes"/>
          <w:rtl/>
        </w:rPr>
        <w:instrText xml:space="preserve"> </w:instrText>
      </w:r>
      <w:r w:rsidRPr="00CF761C">
        <w:rPr>
          <w:rStyle w:val="af7"/>
          <w:rFonts w:eastAsia="Guttman Hodes"/>
          <w:rtl/>
        </w:rPr>
      </w:r>
      <w:r w:rsidRPr="00CF761C">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CF761C">
        <w:rPr>
          <w:rStyle w:val="af7"/>
          <w:rFonts w:eastAsia="Guttman Hodes"/>
          <w:rtl/>
        </w:rPr>
        <w:fldChar w:fldCharType="end"/>
      </w:r>
      <w:r w:rsidRPr="00CF761C">
        <w:rPr>
          <w:rStyle w:val="af7"/>
          <w:rFonts w:eastAsia="Guttman Hodes" w:hint="cs"/>
          <w:rtl/>
        </w:rPr>
        <w:t xml:space="preserve"> </w:t>
      </w:r>
      <w:r>
        <w:rPr>
          <w:rFonts w:hint="cs"/>
          <w:rtl/>
        </w:rPr>
        <w:t xml:space="preserve">דדעת </w:t>
      </w:r>
      <w:r w:rsidRPr="00CF761C">
        <w:rPr>
          <w:rStyle w:val="af9"/>
          <w:rFonts w:hint="cs"/>
          <w:rtl/>
        </w:rPr>
        <w:t xml:space="preserve">הרמב"ם </w:t>
      </w:r>
      <w:r>
        <w:rPr>
          <w:rFonts w:hint="cs"/>
          <w:rtl/>
        </w:rPr>
        <w:t xml:space="preserve">היא כדעת </w:t>
      </w:r>
      <w:r w:rsidRPr="00CF761C">
        <w:rPr>
          <w:rStyle w:val="af9"/>
          <w:rFonts w:hint="cs"/>
          <w:rtl/>
        </w:rPr>
        <w:t>כהעיטור</w:t>
      </w:r>
      <w:r w:rsidRPr="00D27C37">
        <w:rPr>
          <w:rFonts w:hint="cs"/>
          <w:rtl/>
        </w:rPr>
        <w:t>.</w:t>
      </w:r>
      <w:bookmarkEnd w:id="24433"/>
    </w:p>
    <w:p w14:paraId="5FAF881A" w14:textId="77777777" w:rsidR="00FD0A61" w:rsidRPr="00FD0A61" w:rsidRDefault="00FD0A61" w:rsidP="00FD0A61">
      <w:pPr>
        <w:pStyle w:val="a3"/>
        <w:rPr>
          <w:rtl/>
        </w:rPr>
      </w:pPr>
    </w:p>
    <w:p w14:paraId="6C054793" w14:textId="77777777" w:rsidR="003D504D" w:rsidRPr="00D27C37" w:rsidRDefault="003D504D" w:rsidP="003D504D">
      <w:pPr>
        <w:pStyle w:val="a3"/>
        <w:rPr>
          <w:rtl/>
        </w:rPr>
      </w:pPr>
      <w:bookmarkStart w:id="24434" w:name="_Toc3840816"/>
      <w:bookmarkStart w:id="24435" w:name="_Toc3929052"/>
      <w:bookmarkStart w:id="24436" w:name="_Toc3978450"/>
      <w:bookmarkStart w:id="24437" w:name="_Toc4012300"/>
      <w:bookmarkStart w:id="24438" w:name="_Toc4013326"/>
      <w:bookmarkStart w:id="24439" w:name="_Toc4022834"/>
      <w:bookmarkStart w:id="24440" w:name="_Toc4026659"/>
      <w:bookmarkStart w:id="24441" w:name="_Toc4139457"/>
      <w:bookmarkStart w:id="24442" w:name="_Toc4151551"/>
      <w:bookmarkStart w:id="24443" w:name="_Toc19392004"/>
      <w:bookmarkStart w:id="24444" w:name="_Toc19395501"/>
      <w:bookmarkEnd w:id="24422"/>
      <w:bookmarkEnd w:id="24423"/>
      <w:r w:rsidRPr="00D27C37">
        <w:rPr>
          <w:rFonts w:hint="cs"/>
          <w:rtl/>
        </w:rPr>
        <w:t xml:space="preserve">דברי העיטור דבשחיטה קיי"ל כסתם מתני' כר"י ובחלב וגיד </w:t>
      </w:r>
      <w:r>
        <w:rPr>
          <w:rFonts w:hint="cs"/>
          <w:rtl/>
        </w:rPr>
        <w:t>ד</w:t>
      </w:r>
      <w:r w:rsidRPr="00D27C37">
        <w:rPr>
          <w:rFonts w:hint="cs"/>
          <w:rtl/>
        </w:rPr>
        <w:t xml:space="preserve">ריו"ח ור"ל דנחלקו </w:t>
      </w:r>
      <w:r>
        <w:rPr>
          <w:rFonts w:hint="cs"/>
          <w:rtl/>
        </w:rPr>
        <w:t xml:space="preserve">רק </w:t>
      </w:r>
      <w:r w:rsidRPr="00D27C37">
        <w:rPr>
          <w:rFonts w:hint="cs"/>
          <w:rtl/>
        </w:rPr>
        <w:t>בדעת ר"מ</w:t>
      </w:r>
      <w:bookmarkEnd w:id="24434"/>
      <w:bookmarkEnd w:id="24435"/>
      <w:bookmarkEnd w:id="24436"/>
      <w:bookmarkEnd w:id="24437"/>
      <w:bookmarkEnd w:id="24438"/>
      <w:bookmarkEnd w:id="24439"/>
      <w:bookmarkEnd w:id="24440"/>
      <w:bookmarkEnd w:id="24441"/>
      <w:bookmarkEnd w:id="24442"/>
      <w:bookmarkEnd w:id="24443"/>
      <w:bookmarkEnd w:id="24444"/>
    </w:p>
    <w:p w14:paraId="2197D574" w14:textId="77777777" w:rsidR="003D504D" w:rsidRDefault="003D504D" w:rsidP="00223668">
      <w:pPr>
        <w:pStyle w:val="a0"/>
        <w:rPr>
          <w:rtl/>
        </w:rPr>
      </w:pPr>
      <w:r w:rsidRPr="00D27C37">
        <w:rPr>
          <w:rFonts w:hint="cs"/>
          <w:rtl/>
        </w:rPr>
        <w:t xml:space="preserve">כתב </w:t>
      </w:r>
      <w:r w:rsidRPr="00D27C37">
        <w:rPr>
          <w:rStyle w:val="af9"/>
          <w:rFonts w:hint="cs"/>
          <w:rtl/>
        </w:rPr>
        <w:t>העיטור</w:t>
      </w:r>
      <w:r w:rsidRPr="00D27C37">
        <w:rPr>
          <w:rFonts w:hint="cs"/>
          <w:rtl/>
        </w:rPr>
        <w:t xml:space="preserve"> </w:t>
      </w:r>
      <w:r w:rsidRPr="00D27C37">
        <w:rPr>
          <w:rStyle w:val="af7"/>
          <w:rFonts w:eastAsia="Guttman Hodes" w:hint="cs"/>
          <w:rtl/>
        </w:rPr>
        <w:t>(</w:t>
      </w:r>
      <w:r w:rsidRPr="00D27C37">
        <w:rPr>
          <w:rStyle w:val="af7"/>
          <w:rFonts w:eastAsia="Guttman Hodes"/>
          <w:rtl/>
        </w:rPr>
        <w:t>ש</w:t>
      </w:r>
      <w:r w:rsidRPr="00D27C37">
        <w:rPr>
          <w:rStyle w:val="af7"/>
          <w:rFonts w:eastAsia="Guttman Hodes" w:hint="cs"/>
          <w:rtl/>
        </w:rPr>
        <w:t>"</w:t>
      </w:r>
      <w:r w:rsidRPr="00D27C37">
        <w:rPr>
          <w:rStyle w:val="af7"/>
          <w:rFonts w:eastAsia="Guttman Hodes"/>
          <w:rtl/>
        </w:rPr>
        <w:t>ב</w:t>
      </w:r>
      <w:r w:rsidRPr="00D27C37">
        <w:rPr>
          <w:rStyle w:val="af7"/>
          <w:rFonts w:eastAsia="Guttman Hodes" w:hint="cs"/>
          <w:rtl/>
        </w:rPr>
        <w:t xml:space="preserve"> </w:t>
      </w:r>
      <w:r w:rsidRPr="00D27C37">
        <w:rPr>
          <w:rStyle w:val="af7"/>
          <w:rFonts w:eastAsia="Guttman Hodes"/>
          <w:rtl/>
        </w:rPr>
        <w:t xml:space="preserve">הלכות שחיטה </w:t>
      </w:r>
      <w:r w:rsidRPr="00D27C37">
        <w:rPr>
          <w:rStyle w:val="af7"/>
          <w:rFonts w:eastAsia="Guttman Hodes" w:hint="cs"/>
          <w:rtl/>
        </w:rPr>
        <w:t xml:space="preserve">ח"ג מהחלק השלישי </w:t>
      </w:r>
      <w:r w:rsidRPr="00D27C37">
        <w:rPr>
          <w:rStyle w:val="af7"/>
          <w:rFonts w:eastAsia="Guttman Hodes"/>
          <w:rtl/>
        </w:rPr>
        <w:t>דף כ</w:t>
      </w:r>
      <w:r w:rsidRPr="00D27C37">
        <w:rPr>
          <w:rStyle w:val="af7"/>
          <w:rFonts w:eastAsia="Guttman Hodes" w:hint="cs"/>
          <w:rtl/>
        </w:rPr>
        <w:t>"</w:t>
      </w:r>
      <w:r w:rsidRPr="00D27C37">
        <w:rPr>
          <w:rStyle w:val="af7"/>
          <w:rFonts w:eastAsia="Guttman Hodes"/>
          <w:rtl/>
        </w:rPr>
        <w:t>ח</w:t>
      </w:r>
      <w:r w:rsidRPr="00D27C37">
        <w:rPr>
          <w:rStyle w:val="af7"/>
          <w:rFonts w:eastAsia="Guttman Hodes" w:hint="cs"/>
          <w:rtl/>
        </w:rPr>
        <w:t xml:space="preserve">:, הועתק בקובץ שיטות קמאי חולין ח"ב עמ' אלף תרנ"ו) </w:t>
      </w:r>
      <w:r w:rsidRPr="00D27C37">
        <w:rPr>
          <w:rFonts w:hint="cs"/>
          <w:rtl/>
        </w:rPr>
        <w:t xml:space="preserve">דלענין שחיטה מסתבר דקיי"ל כרבנן דבן ט' חי מותר בשחיטת אמו, כיון דסתמא דמתני' בסוגיין </w:t>
      </w:r>
      <w:r w:rsidRPr="00D27C37">
        <w:rPr>
          <w:rStyle w:val="af7"/>
          <w:rFonts w:eastAsia="Guttman Hodes" w:hint="cs"/>
          <w:rtl/>
        </w:rPr>
        <w:t>(עד.)</w:t>
      </w:r>
      <w:r w:rsidRPr="00D27C37">
        <w:rPr>
          <w:rFonts w:hint="cs"/>
          <w:rtl/>
        </w:rPr>
        <w:t xml:space="preserve"> היא כר"י, אבל לענין חלבו ושמנו וגידו כתב </w:t>
      </w:r>
      <w:r w:rsidRPr="003A0ADE">
        <w:rPr>
          <w:rStyle w:val="af9"/>
          <w:rFonts w:hint="cs"/>
          <w:rtl/>
        </w:rPr>
        <w:t xml:space="preserve">העיטור </w:t>
      </w:r>
      <w:r w:rsidRPr="00D27C37">
        <w:rPr>
          <w:rFonts w:hint="cs"/>
          <w:rtl/>
        </w:rPr>
        <w:t>דקיי"ל כר"מ דהם אסורים, כיון דבין ריו"ח ובין ר"ל ס"ל כר"מ</w:t>
      </w:r>
      <w:r>
        <w:rPr>
          <w:rFonts w:hint="cs"/>
          <w:rtl/>
        </w:rPr>
        <w:t xml:space="preserve">, ועיי"ש במה שביאר </w:t>
      </w:r>
      <w:r w:rsidRPr="00FE6249">
        <w:rPr>
          <w:rStyle w:val="af9"/>
          <w:rFonts w:hint="cs"/>
          <w:rtl/>
        </w:rPr>
        <w:t xml:space="preserve">העיטור </w:t>
      </w:r>
      <w:r>
        <w:rPr>
          <w:rFonts w:hint="cs"/>
          <w:rtl/>
        </w:rPr>
        <w:t xml:space="preserve">בזה באריכות </w:t>
      </w:r>
      <w:r w:rsidRPr="00E86B33">
        <w:rPr>
          <w:rStyle w:val="af7"/>
          <w:rFonts w:eastAsia="Guttman Hodes" w:hint="cs"/>
          <w:rtl/>
        </w:rPr>
        <w:t>(</w:t>
      </w:r>
      <w:r w:rsidR="00AC7E32">
        <w:rPr>
          <w:rStyle w:val="af7"/>
          <w:rFonts w:eastAsia="Guttman Hodes" w:hint="cs"/>
          <w:rtl/>
        </w:rPr>
        <w:t>הובא בסימן</w:t>
      </w:r>
      <w:r w:rsidRPr="00E86B33">
        <w:rPr>
          <w:rStyle w:val="af7"/>
          <w:rFonts w:eastAsia="Guttman Hodes" w:hint="cs"/>
          <w:rtl/>
        </w:rPr>
        <w:t xml:space="preserve"> ז</w:t>
      </w:r>
      <w:r w:rsidRPr="00E86B33">
        <w:rPr>
          <w:rStyle w:val="af7"/>
          <w:rFonts w:eastAsia="Guttman Hodes"/>
          <w:rtl/>
        </w:rPr>
        <w:t>'</w:t>
      </w:r>
      <w:r w:rsidRPr="00E86B33">
        <w:rPr>
          <w:rStyle w:val="af7"/>
          <w:rFonts w:eastAsia="Guttman Hodes" w:hint="cs"/>
          <w:rtl/>
        </w:rPr>
        <w:t xml:space="preserve"> אות קב)</w:t>
      </w:r>
      <w:r w:rsidRPr="00D27C37">
        <w:rPr>
          <w:rFonts w:hint="cs"/>
          <w:rtl/>
        </w:rPr>
        <w:t>.</w:t>
      </w:r>
    </w:p>
    <w:p w14:paraId="58E49124" w14:textId="77777777" w:rsidR="003D504D" w:rsidRDefault="003D504D" w:rsidP="003D504D">
      <w:pPr>
        <w:pStyle w:val="afe"/>
        <w:rPr>
          <w:rtl/>
        </w:rPr>
      </w:pPr>
      <w:bookmarkStart w:id="24445" w:name="_Toc3840824"/>
      <w:bookmarkStart w:id="24446" w:name="_Toc3929060"/>
      <w:bookmarkStart w:id="24447" w:name="_Toc3978451"/>
      <w:bookmarkStart w:id="24448" w:name="_Toc4012301"/>
      <w:bookmarkStart w:id="24449" w:name="_Toc4013327"/>
      <w:bookmarkStart w:id="24450" w:name="_Toc4022835"/>
      <w:bookmarkStart w:id="24451" w:name="_Toc4026660"/>
      <w:bookmarkStart w:id="24452" w:name="_Toc4139458"/>
      <w:bookmarkStart w:id="24453" w:name="_Toc4151552"/>
      <w:bookmarkStart w:id="24454" w:name="_Toc19436378"/>
      <w:bookmarkStart w:id="24455" w:name="_Toc20081508"/>
      <w:r>
        <w:rPr>
          <w:rFonts w:hint="cs"/>
          <w:rtl/>
        </w:rPr>
        <w:t>בדין גיד בבן ח' לדעת הרמב"ם</w:t>
      </w:r>
      <w:bookmarkEnd w:id="24445"/>
      <w:bookmarkEnd w:id="24446"/>
      <w:bookmarkEnd w:id="24447"/>
      <w:bookmarkEnd w:id="24448"/>
      <w:bookmarkEnd w:id="24449"/>
      <w:bookmarkEnd w:id="24450"/>
      <w:bookmarkEnd w:id="24451"/>
      <w:bookmarkEnd w:id="24452"/>
      <w:bookmarkEnd w:id="24453"/>
      <w:bookmarkEnd w:id="24454"/>
      <w:bookmarkEnd w:id="24455"/>
    </w:p>
    <w:p w14:paraId="53A0EF4A" w14:textId="77777777" w:rsidR="003D504D" w:rsidRDefault="003D504D" w:rsidP="00BF39B2">
      <w:pPr>
        <w:pStyle w:val="1"/>
        <w:rPr>
          <w:rtl/>
        </w:rPr>
      </w:pPr>
      <w:bookmarkStart w:id="24456" w:name="_Toc3978452"/>
      <w:bookmarkStart w:id="24457" w:name="_Toc4012302"/>
      <w:bookmarkStart w:id="24458" w:name="_Toc4013328"/>
      <w:bookmarkStart w:id="24459" w:name="_Toc4022836"/>
      <w:bookmarkStart w:id="24460" w:name="_Toc4026661"/>
      <w:bookmarkStart w:id="24461" w:name="_Toc4139459"/>
      <w:bookmarkStart w:id="24462" w:name="_Toc4151553"/>
      <w:bookmarkStart w:id="24463" w:name="_Toc19392005"/>
      <w:bookmarkStart w:id="24464" w:name="_Toc19395502"/>
      <w:r>
        <w:rPr>
          <w:rFonts w:hint="cs"/>
          <w:rtl/>
        </w:rPr>
        <w:t>פלוגתת המ"מ והרמ"ך אי הרמב"ם אוסר בגיד בבן ח'</w:t>
      </w:r>
      <w:bookmarkEnd w:id="24456"/>
      <w:bookmarkEnd w:id="24457"/>
      <w:bookmarkEnd w:id="24458"/>
      <w:bookmarkEnd w:id="24459"/>
      <w:bookmarkEnd w:id="24460"/>
      <w:bookmarkEnd w:id="24461"/>
      <w:bookmarkEnd w:id="24462"/>
      <w:bookmarkEnd w:id="24463"/>
      <w:bookmarkEnd w:id="24464"/>
    </w:p>
    <w:p w14:paraId="6008C239" w14:textId="77777777" w:rsidR="003D504D" w:rsidRDefault="003D504D" w:rsidP="003D504D">
      <w:pPr>
        <w:pStyle w:val="a3"/>
        <w:rPr>
          <w:rtl/>
        </w:rPr>
      </w:pPr>
      <w:bookmarkStart w:id="24465" w:name="_Toc3978453"/>
      <w:bookmarkStart w:id="24466" w:name="_Toc4012303"/>
      <w:bookmarkStart w:id="24467" w:name="_Toc4013329"/>
      <w:bookmarkStart w:id="24468" w:name="_Toc4022837"/>
      <w:bookmarkStart w:id="24469" w:name="_Toc4026662"/>
      <w:bookmarkStart w:id="24470" w:name="_Toc4139460"/>
      <w:bookmarkStart w:id="24471" w:name="_Toc4151554"/>
      <w:bookmarkStart w:id="24472" w:name="_Toc19392006"/>
      <w:bookmarkStart w:id="24473" w:name="_Toc19395503"/>
      <w:r>
        <w:rPr>
          <w:rFonts w:hint="cs"/>
          <w:rtl/>
        </w:rPr>
        <w:t>ספק המנחת חינוך ברמב"ם אי הגיד אסור משכלו לו חדשיו או משעת יצירתו כהרשב"א בשם תוס'</w:t>
      </w:r>
      <w:bookmarkEnd w:id="24465"/>
      <w:bookmarkEnd w:id="24466"/>
      <w:bookmarkEnd w:id="24467"/>
      <w:bookmarkEnd w:id="24468"/>
      <w:bookmarkEnd w:id="24469"/>
      <w:bookmarkEnd w:id="24470"/>
      <w:bookmarkEnd w:id="24471"/>
      <w:bookmarkEnd w:id="24472"/>
      <w:bookmarkEnd w:id="24473"/>
    </w:p>
    <w:p w14:paraId="4B0FE477" w14:textId="77777777" w:rsidR="003D504D" w:rsidRDefault="003D504D" w:rsidP="00223668">
      <w:pPr>
        <w:pStyle w:val="a0"/>
        <w:rPr>
          <w:rtl/>
        </w:rPr>
      </w:pPr>
      <w:r>
        <w:rPr>
          <w:rFonts w:hint="cs"/>
          <w:rtl/>
        </w:rPr>
        <w:t xml:space="preserve">כתב </w:t>
      </w:r>
      <w:r w:rsidRPr="00B837A6">
        <w:rPr>
          <w:rStyle w:val="af9"/>
          <w:rFonts w:hint="cs"/>
          <w:rtl/>
        </w:rPr>
        <w:t>המנח"ח</w:t>
      </w:r>
      <w:r>
        <w:rPr>
          <w:rFonts w:hint="cs"/>
          <w:rtl/>
        </w:rPr>
        <w:t xml:space="preserve"> </w:t>
      </w:r>
      <w:r w:rsidRPr="00B837A6">
        <w:rPr>
          <w:rStyle w:val="af7"/>
          <w:rFonts w:eastAsia="Guttman Hodes" w:hint="cs"/>
          <w:rtl/>
        </w:rPr>
        <w:t>(מצוה ג' אות ד')</w:t>
      </w:r>
      <w:r>
        <w:rPr>
          <w:rFonts w:hint="cs"/>
          <w:rtl/>
        </w:rPr>
        <w:t xml:space="preserve"> דלדעת </w:t>
      </w:r>
      <w:r w:rsidRPr="00B837A6">
        <w:rPr>
          <w:rStyle w:val="af9"/>
          <w:rFonts w:hint="cs"/>
          <w:rtl/>
        </w:rPr>
        <w:t>הרמב"ם</w:t>
      </w:r>
      <w:r>
        <w:rPr>
          <w:rFonts w:hint="cs"/>
          <w:rtl/>
        </w:rPr>
        <w:t xml:space="preserve"> דאוסר בחלב וגיד של בן ט', א"כ בדין בן ח' אפש"ל דכמו דכתב </w:t>
      </w:r>
      <w:r w:rsidRPr="003D10E0">
        <w:rPr>
          <w:rStyle w:val="af9"/>
          <w:rFonts w:hint="cs"/>
          <w:rtl/>
        </w:rPr>
        <w:t>הרמב"ם</w:t>
      </w:r>
      <w:r>
        <w:rPr>
          <w:rFonts w:hint="cs"/>
          <w:rtl/>
        </w:rPr>
        <w:t xml:space="preserve"> </w:t>
      </w:r>
      <w:r w:rsidRPr="009A44E7">
        <w:rPr>
          <w:rStyle w:val="af7"/>
          <w:rFonts w:eastAsia="Guttman Hodes" w:hint="cs"/>
          <w:rtl/>
        </w:rPr>
        <w:t xml:space="preserve">(עי' </w:t>
      </w:r>
      <w:r w:rsidRPr="00FE6249">
        <w:rPr>
          <w:rStyle w:val="af7"/>
          <w:rFonts w:eastAsia="Guttman Hodes" w:hint="cs"/>
          <w:rtl/>
        </w:rPr>
        <w:t xml:space="preserve">אות </w:t>
      </w:r>
      <w:r w:rsidRPr="00FE6249">
        <w:rPr>
          <w:rStyle w:val="af7"/>
          <w:rFonts w:eastAsia="Guttman Hodes"/>
          <w:rtl/>
        </w:rPr>
        <w:fldChar w:fldCharType="begin"/>
      </w:r>
      <w:r w:rsidRPr="00FE6249">
        <w:rPr>
          <w:rStyle w:val="af7"/>
          <w:rFonts w:eastAsia="Guttman Hodes"/>
          <w:rtl/>
        </w:rPr>
        <w:instrText xml:space="preserve"> </w:instrText>
      </w:r>
      <w:r w:rsidRPr="00FE6249">
        <w:rPr>
          <w:rStyle w:val="af7"/>
          <w:rFonts w:eastAsia="Guttman Hodes" w:hint="cs"/>
        </w:rPr>
        <w:instrText>REF</w:instrText>
      </w:r>
      <w:r w:rsidRPr="00FE6249">
        <w:rPr>
          <w:rStyle w:val="af7"/>
          <w:rFonts w:eastAsia="Guttman Hodes" w:hint="cs"/>
          <w:rtl/>
        </w:rPr>
        <w:instrText xml:space="preserve"> _</w:instrText>
      </w:r>
      <w:r w:rsidRPr="00FE6249">
        <w:rPr>
          <w:rStyle w:val="af7"/>
          <w:rFonts w:eastAsia="Guttman Hodes" w:hint="cs"/>
        </w:rPr>
        <w:instrText>Ref3145560 \r \h</w:instrText>
      </w:r>
      <w:r w:rsidRPr="00FE6249">
        <w:rPr>
          <w:rStyle w:val="af7"/>
          <w:rFonts w:eastAsia="Guttman Hodes"/>
          <w:rtl/>
        </w:rPr>
        <w:instrText xml:space="preserve"> </w:instrText>
      </w:r>
      <w:r w:rsidRPr="00FE6249">
        <w:rPr>
          <w:rStyle w:val="af7"/>
          <w:rFonts w:eastAsia="Guttman Hodes"/>
          <w:rtl/>
        </w:rPr>
      </w:r>
      <w:r w:rsidRPr="00FE6249">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FE6249">
        <w:rPr>
          <w:rStyle w:val="af7"/>
          <w:rFonts w:eastAsia="Guttman Hodes"/>
          <w:rtl/>
        </w:rPr>
        <w:fldChar w:fldCharType="end"/>
      </w:r>
      <w:r>
        <w:rPr>
          <w:rFonts w:hint="cs"/>
          <w:rtl/>
        </w:rPr>
        <w:t xml:space="preserve"> דחלבו מותר, ה"ה בגידו דמותר, וכן כמו דבתולש חלב מבן ט' חייב, ה"ה בתולש גיד מבן ט' חייב, אבל בתלש גיד מבן ח' יתכן דפטור כמו בחלב, אבל לדעת </w:t>
      </w:r>
      <w:r w:rsidRPr="00B837A6">
        <w:rPr>
          <w:rStyle w:val="af9"/>
          <w:rFonts w:hint="cs"/>
          <w:rtl/>
        </w:rPr>
        <w:t>הרשב"א</w:t>
      </w:r>
      <w:r>
        <w:rPr>
          <w:rFonts w:hint="cs"/>
          <w:rtl/>
        </w:rPr>
        <w:t xml:space="preserve">  בשם </w:t>
      </w:r>
      <w:r w:rsidRPr="00B837A6">
        <w:rPr>
          <w:rStyle w:val="af9"/>
          <w:rFonts w:hint="cs"/>
          <w:rtl/>
        </w:rPr>
        <w:t>התוס</w:t>
      </w:r>
      <w:r>
        <w:rPr>
          <w:rFonts w:hint="cs"/>
          <w:rtl/>
        </w:rPr>
        <w:t xml:space="preserve">' </w:t>
      </w:r>
      <w:r w:rsidRPr="00B54B3D">
        <w:rPr>
          <w:rStyle w:val="af7"/>
          <w:rFonts w:eastAsia="Guttman Hodes" w:hint="cs"/>
          <w:rtl/>
        </w:rPr>
        <w:t>(</w:t>
      </w:r>
      <w:r w:rsidR="00AC7E32">
        <w:rPr>
          <w:rStyle w:val="af7"/>
          <w:rFonts w:eastAsia="Guttman Hodes" w:hint="cs"/>
          <w:rtl/>
        </w:rPr>
        <w:t>הובא בסימן</w:t>
      </w:r>
      <w:r w:rsidRPr="00B54B3D">
        <w:rPr>
          <w:rStyle w:val="af7"/>
          <w:rFonts w:eastAsia="Guttman Hodes" w:hint="cs"/>
          <w:rtl/>
        </w:rPr>
        <w:t xml:space="preserve"> ז</w:t>
      </w:r>
      <w:r w:rsidRPr="00B54B3D">
        <w:rPr>
          <w:rStyle w:val="af7"/>
          <w:rFonts w:eastAsia="Guttman Hodes"/>
          <w:rtl/>
        </w:rPr>
        <w:t>'</w:t>
      </w:r>
      <w:r w:rsidRPr="00B54B3D">
        <w:rPr>
          <w:rStyle w:val="af7"/>
          <w:rFonts w:eastAsia="Guttman Hodes" w:hint="cs"/>
          <w:rtl/>
        </w:rPr>
        <w:t xml:space="preserve"> אות כג) </w:t>
      </w:r>
      <w:r>
        <w:rPr>
          <w:rFonts w:hint="cs"/>
          <w:rtl/>
        </w:rPr>
        <w:t xml:space="preserve">דחלב מותר וגיד אסור, כתב </w:t>
      </w:r>
      <w:r w:rsidRPr="00B837A6">
        <w:rPr>
          <w:rStyle w:val="af9"/>
          <w:rFonts w:hint="cs"/>
          <w:rtl/>
        </w:rPr>
        <w:t>המנח"ח</w:t>
      </w:r>
      <w:r>
        <w:rPr>
          <w:rFonts w:hint="cs"/>
          <w:rtl/>
        </w:rPr>
        <w:t xml:space="preserve"> דא"כ האיסור הוא אף בבן ח', דאיסורו הוא משעת יצירה, והביא </w:t>
      </w:r>
      <w:r w:rsidRPr="00B837A6">
        <w:rPr>
          <w:rStyle w:val="af9"/>
          <w:rFonts w:hint="cs"/>
          <w:rtl/>
        </w:rPr>
        <w:t>המנח"ח</w:t>
      </w:r>
      <w:r>
        <w:rPr>
          <w:rFonts w:hint="cs"/>
          <w:rtl/>
        </w:rPr>
        <w:t xml:space="preserve"> את דברי </w:t>
      </w:r>
      <w:r w:rsidRPr="00B837A6">
        <w:rPr>
          <w:rStyle w:val="af9"/>
          <w:rFonts w:hint="cs"/>
          <w:rtl/>
        </w:rPr>
        <w:t>השו"ע</w:t>
      </w:r>
      <w:r>
        <w:rPr>
          <w:rFonts w:hint="cs"/>
          <w:rtl/>
        </w:rPr>
        <w:t xml:space="preserve"> </w:t>
      </w:r>
      <w:r w:rsidRPr="00B837A6">
        <w:rPr>
          <w:rStyle w:val="af7"/>
          <w:rFonts w:eastAsia="Guttman Hodes" w:hint="cs"/>
          <w:rtl/>
        </w:rPr>
        <w:t>(סי' ס"ד ב')</w:t>
      </w:r>
      <w:r>
        <w:rPr>
          <w:rFonts w:hint="cs"/>
          <w:rtl/>
        </w:rPr>
        <w:t xml:space="preserve"> דהאריך בדין חלב, ואילו בדין הגיד כתב </w:t>
      </w:r>
      <w:r w:rsidRPr="00B837A6">
        <w:rPr>
          <w:rStyle w:val="af9"/>
          <w:rFonts w:hint="cs"/>
          <w:rtl/>
        </w:rPr>
        <w:t>השו"ע</w:t>
      </w:r>
      <w:r>
        <w:rPr>
          <w:rFonts w:hint="cs"/>
          <w:rtl/>
        </w:rPr>
        <w:t xml:space="preserve"> </w:t>
      </w:r>
      <w:r w:rsidRPr="00B837A6">
        <w:rPr>
          <w:rStyle w:val="af7"/>
          <w:rFonts w:eastAsia="Guttman Hodes" w:hint="cs"/>
          <w:rtl/>
        </w:rPr>
        <w:t>(סי" ס"ה ז')</w:t>
      </w:r>
      <w:r>
        <w:rPr>
          <w:rFonts w:hint="cs"/>
          <w:rtl/>
        </w:rPr>
        <w:t xml:space="preserve"> </w:t>
      </w:r>
      <w:r w:rsidRPr="00345F2A">
        <w:rPr>
          <w:rStyle w:val="af9"/>
          <w:rFonts w:hint="cs"/>
          <w:rtl/>
        </w:rPr>
        <w:t>די"א</w:t>
      </w:r>
      <w:r>
        <w:rPr>
          <w:rFonts w:hint="cs"/>
          <w:rtl/>
        </w:rPr>
        <w:t xml:space="preserve"> דהיינו </w:t>
      </w:r>
      <w:r w:rsidRPr="00B837A6">
        <w:rPr>
          <w:rStyle w:val="af9"/>
          <w:rFonts w:hint="cs"/>
          <w:rtl/>
        </w:rPr>
        <w:t>הרמב"ם</w:t>
      </w:r>
      <w:r>
        <w:rPr>
          <w:rFonts w:hint="cs"/>
          <w:rtl/>
        </w:rPr>
        <w:t xml:space="preserve"> דבן ט' חי גידו אסור, ותמה </w:t>
      </w:r>
      <w:r w:rsidRPr="00B837A6">
        <w:rPr>
          <w:rStyle w:val="af9"/>
          <w:rFonts w:hint="cs"/>
          <w:rtl/>
        </w:rPr>
        <w:t>המנח"</w:t>
      </w:r>
      <w:r>
        <w:rPr>
          <w:rStyle w:val="af9"/>
          <w:rFonts w:hint="cs"/>
          <w:rtl/>
        </w:rPr>
        <w:t>ח</w:t>
      </w:r>
      <w:r>
        <w:rPr>
          <w:rFonts w:hint="cs"/>
          <w:rtl/>
        </w:rPr>
        <w:t xml:space="preserve"> על </w:t>
      </w:r>
      <w:r w:rsidRPr="00B837A6">
        <w:rPr>
          <w:rStyle w:val="af9"/>
          <w:rFonts w:hint="cs"/>
          <w:rtl/>
        </w:rPr>
        <w:t>השו"ע</w:t>
      </w:r>
      <w:r>
        <w:rPr>
          <w:rFonts w:hint="cs"/>
          <w:rtl/>
        </w:rPr>
        <w:t xml:space="preserve"> שסתם בזה.</w:t>
      </w:r>
    </w:p>
    <w:p w14:paraId="3BBC8851" w14:textId="77777777" w:rsidR="003D504D" w:rsidRDefault="003D504D" w:rsidP="003D504D">
      <w:pPr>
        <w:pStyle w:val="a3"/>
        <w:rPr>
          <w:rtl/>
        </w:rPr>
      </w:pPr>
      <w:bookmarkStart w:id="24474" w:name="_Toc4139461"/>
      <w:bookmarkStart w:id="24475" w:name="_Toc4151555"/>
      <w:bookmarkStart w:id="24476" w:name="_Toc19392007"/>
      <w:bookmarkStart w:id="24477" w:name="_Toc19395504"/>
      <w:r>
        <w:rPr>
          <w:rFonts w:hint="cs"/>
          <w:rtl/>
        </w:rPr>
        <w:t>דברי הרד"ע דמבואר במ"מ דהרמב"ם אוסר בגיד רק בבן ט' אבל גיד דבן ח' מותר</w:t>
      </w:r>
      <w:bookmarkEnd w:id="24474"/>
      <w:bookmarkEnd w:id="24475"/>
      <w:bookmarkEnd w:id="24476"/>
      <w:bookmarkEnd w:id="24477"/>
    </w:p>
    <w:p w14:paraId="4AC65228" w14:textId="77777777" w:rsidR="003D504D" w:rsidRDefault="003D504D" w:rsidP="00223668">
      <w:pPr>
        <w:pStyle w:val="a0"/>
        <w:rPr>
          <w:rtl/>
        </w:rPr>
      </w:pPr>
      <w:bookmarkStart w:id="24478" w:name="_Ref3972115"/>
      <w:r w:rsidRPr="0006274E">
        <w:rPr>
          <w:rStyle w:val="af9"/>
          <w:rFonts w:hint="cs"/>
          <w:rtl/>
        </w:rPr>
        <w:t>ובהג' הרד"ע</w:t>
      </w:r>
      <w:r>
        <w:rPr>
          <w:rFonts w:hint="cs"/>
          <w:rtl/>
        </w:rPr>
        <w:t xml:space="preserve"> </w:t>
      </w:r>
      <w:r w:rsidRPr="0006274E">
        <w:rPr>
          <w:rStyle w:val="af7"/>
          <w:rFonts w:eastAsia="Guttman Hodes" w:hint="cs"/>
          <w:rtl/>
        </w:rPr>
        <w:t>(מאכ"א פ"ח ה"א, נד' בספר הליקוטים בסוף הרמב"ם מהדו' פרנקל)</w:t>
      </w:r>
      <w:r>
        <w:rPr>
          <w:rFonts w:hint="cs"/>
          <w:rtl/>
        </w:rPr>
        <w:t xml:space="preserve"> כתב דמדברי </w:t>
      </w:r>
      <w:r w:rsidRPr="0006274E">
        <w:rPr>
          <w:rStyle w:val="af9"/>
          <w:rFonts w:hint="cs"/>
          <w:rtl/>
        </w:rPr>
        <w:t>המ"מ</w:t>
      </w:r>
      <w:r>
        <w:rPr>
          <w:rFonts w:hint="cs"/>
          <w:rtl/>
        </w:rPr>
        <w:t xml:space="preserve"> </w:t>
      </w:r>
      <w:r w:rsidRPr="0006274E">
        <w:rPr>
          <w:rStyle w:val="af7"/>
          <w:rFonts w:eastAsia="Guttman Hodes" w:hint="cs"/>
          <w:rtl/>
        </w:rPr>
        <w:t xml:space="preserve">(עי' אות </w:t>
      </w:r>
      <w:r w:rsidRPr="0006274E">
        <w:rPr>
          <w:rStyle w:val="af7"/>
          <w:rFonts w:eastAsia="Guttman Hodes"/>
          <w:rtl/>
        </w:rPr>
        <w:fldChar w:fldCharType="begin"/>
      </w:r>
      <w:r w:rsidRPr="0006274E">
        <w:rPr>
          <w:rStyle w:val="af7"/>
          <w:rFonts w:eastAsia="Guttman Hodes"/>
          <w:rtl/>
        </w:rPr>
        <w:instrText xml:space="preserve"> </w:instrText>
      </w:r>
      <w:r w:rsidRPr="0006274E">
        <w:rPr>
          <w:rStyle w:val="af7"/>
          <w:rFonts w:eastAsia="Guttman Hodes" w:hint="cs"/>
        </w:rPr>
        <w:instrText>REF</w:instrText>
      </w:r>
      <w:r w:rsidRPr="0006274E">
        <w:rPr>
          <w:rStyle w:val="af7"/>
          <w:rFonts w:eastAsia="Guttman Hodes" w:hint="cs"/>
          <w:rtl/>
        </w:rPr>
        <w:instrText xml:space="preserve"> _</w:instrText>
      </w:r>
      <w:r w:rsidRPr="0006274E">
        <w:rPr>
          <w:rStyle w:val="af7"/>
          <w:rFonts w:eastAsia="Guttman Hodes" w:hint="cs"/>
        </w:rPr>
        <w:instrText>Ref3906174 \r \h</w:instrText>
      </w:r>
      <w:r w:rsidRPr="0006274E">
        <w:rPr>
          <w:rStyle w:val="af7"/>
          <w:rFonts w:eastAsia="Guttman Hodes"/>
          <w:rtl/>
        </w:rPr>
        <w:instrText xml:space="preserve"> </w:instrText>
      </w:r>
      <w:r w:rsidRPr="0006274E">
        <w:rPr>
          <w:rStyle w:val="af7"/>
          <w:rFonts w:eastAsia="Guttman Hodes"/>
          <w:rtl/>
        </w:rPr>
      </w:r>
      <w:r w:rsidRPr="0006274E">
        <w:rPr>
          <w:rStyle w:val="af7"/>
          <w:rFonts w:eastAsia="Guttman Hodes"/>
          <w:rtl/>
        </w:rPr>
        <w:fldChar w:fldCharType="separate"/>
      </w:r>
      <w:r w:rsidR="00345400">
        <w:rPr>
          <w:rStyle w:val="af7"/>
          <w:rFonts w:eastAsia="Guttman Hodes"/>
          <w:cs/>
        </w:rPr>
        <w:t>‎</w:t>
      </w:r>
      <w:r w:rsidR="00345400">
        <w:rPr>
          <w:rStyle w:val="af7"/>
          <w:rFonts w:eastAsia="Guttman Hodes"/>
          <w:rtl/>
        </w:rPr>
        <w:t>כא)</w:t>
      </w:r>
      <w:r w:rsidRPr="0006274E">
        <w:rPr>
          <w:rStyle w:val="af7"/>
          <w:rFonts w:eastAsia="Guttman Hodes"/>
          <w:rtl/>
        </w:rPr>
        <w:fldChar w:fldCharType="end"/>
      </w:r>
      <w:r>
        <w:rPr>
          <w:rFonts w:hint="cs"/>
          <w:rtl/>
        </w:rPr>
        <w:t xml:space="preserve"> דביאר דביאר </w:t>
      </w:r>
      <w:r w:rsidRPr="0006274E">
        <w:rPr>
          <w:rStyle w:val="af9"/>
          <w:rFonts w:hint="cs"/>
          <w:rtl/>
        </w:rPr>
        <w:t>ברמב"ם</w:t>
      </w:r>
      <w:r>
        <w:rPr>
          <w:rFonts w:hint="cs"/>
          <w:rtl/>
        </w:rPr>
        <w:t xml:space="preserve"> דמחלוקת ר"מ ור"י בגיד היא מחלוקת אחת, א"כ מבואר דכמו דבחלב כתב </w:t>
      </w:r>
      <w:r w:rsidRPr="003D10E0">
        <w:rPr>
          <w:rStyle w:val="af9"/>
          <w:rFonts w:hint="cs"/>
          <w:rtl/>
        </w:rPr>
        <w:t>הרמב"ם</w:t>
      </w:r>
      <w:r>
        <w:rPr>
          <w:rFonts w:hint="cs"/>
          <w:rtl/>
        </w:rPr>
        <w:t xml:space="preserve"> </w:t>
      </w:r>
      <w:r w:rsidRPr="009A44E7">
        <w:rPr>
          <w:rStyle w:val="af7"/>
          <w:rFonts w:eastAsia="Guttman Hodes" w:hint="cs"/>
          <w:rtl/>
        </w:rPr>
        <w:t xml:space="preserve">(עי' </w:t>
      </w:r>
      <w:r w:rsidRPr="00FE6249">
        <w:rPr>
          <w:rStyle w:val="af7"/>
          <w:rFonts w:eastAsia="Guttman Hodes" w:hint="cs"/>
          <w:rtl/>
        </w:rPr>
        <w:t xml:space="preserve">אות </w:t>
      </w:r>
      <w:r w:rsidRPr="00FE6249">
        <w:rPr>
          <w:rStyle w:val="af7"/>
          <w:rFonts w:eastAsia="Guttman Hodes"/>
          <w:rtl/>
        </w:rPr>
        <w:fldChar w:fldCharType="begin"/>
      </w:r>
      <w:r w:rsidRPr="00FE6249">
        <w:rPr>
          <w:rStyle w:val="af7"/>
          <w:rFonts w:eastAsia="Guttman Hodes"/>
          <w:rtl/>
        </w:rPr>
        <w:instrText xml:space="preserve"> </w:instrText>
      </w:r>
      <w:r w:rsidRPr="00FE6249">
        <w:rPr>
          <w:rStyle w:val="af7"/>
          <w:rFonts w:eastAsia="Guttman Hodes" w:hint="cs"/>
        </w:rPr>
        <w:instrText>REF</w:instrText>
      </w:r>
      <w:r w:rsidRPr="00FE6249">
        <w:rPr>
          <w:rStyle w:val="af7"/>
          <w:rFonts w:eastAsia="Guttman Hodes" w:hint="cs"/>
          <w:rtl/>
        </w:rPr>
        <w:instrText xml:space="preserve"> _</w:instrText>
      </w:r>
      <w:r w:rsidRPr="00FE6249">
        <w:rPr>
          <w:rStyle w:val="af7"/>
          <w:rFonts w:eastAsia="Guttman Hodes" w:hint="cs"/>
        </w:rPr>
        <w:instrText>Ref3145560 \r \h</w:instrText>
      </w:r>
      <w:r w:rsidRPr="00FE6249">
        <w:rPr>
          <w:rStyle w:val="af7"/>
          <w:rFonts w:eastAsia="Guttman Hodes"/>
          <w:rtl/>
        </w:rPr>
        <w:instrText xml:space="preserve"> </w:instrText>
      </w:r>
      <w:r w:rsidRPr="00FE6249">
        <w:rPr>
          <w:rStyle w:val="af7"/>
          <w:rFonts w:eastAsia="Guttman Hodes"/>
          <w:rtl/>
        </w:rPr>
      </w:r>
      <w:r w:rsidRPr="00FE6249">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FE6249">
        <w:rPr>
          <w:rStyle w:val="af7"/>
          <w:rFonts w:eastAsia="Guttman Hodes"/>
          <w:rtl/>
        </w:rPr>
        <w:fldChar w:fldCharType="end"/>
      </w:r>
      <w:r>
        <w:rPr>
          <w:rFonts w:hint="cs"/>
          <w:rtl/>
        </w:rPr>
        <w:t xml:space="preserve"> דחלב בן ח' מותר ורק חלב בן ט' אסור, ה"ה בגיד דאסור </w:t>
      </w:r>
      <w:r>
        <w:rPr>
          <w:rStyle w:val="af9"/>
          <w:rFonts w:hint="cs"/>
          <w:rtl/>
        </w:rPr>
        <w:t>ל</w:t>
      </w:r>
      <w:r w:rsidRPr="003D10E0">
        <w:rPr>
          <w:rStyle w:val="af9"/>
          <w:rFonts w:hint="cs"/>
          <w:rtl/>
        </w:rPr>
        <w:t>הרמב"ם</w:t>
      </w:r>
      <w:r>
        <w:rPr>
          <w:rFonts w:hint="cs"/>
          <w:rtl/>
        </w:rPr>
        <w:t xml:space="preserve"> רק בבן ט', וכ"כ </w:t>
      </w:r>
      <w:r w:rsidRPr="00F576C9">
        <w:rPr>
          <w:rStyle w:val="af9"/>
          <w:rFonts w:hint="cs"/>
          <w:rtl/>
        </w:rPr>
        <w:t>האבהא"ז</w:t>
      </w:r>
      <w:r>
        <w:rPr>
          <w:rFonts w:hint="cs"/>
          <w:rtl/>
        </w:rPr>
        <w:t xml:space="preserve"> </w:t>
      </w:r>
      <w:r w:rsidRPr="00F576C9">
        <w:rPr>
          <w:rStyle w:val="af7"/>
          <w:rFonts w:eastAsia="Guttman Hodes" w:hint="cs"/>
          <w:rtl/>
        </w:rPr>
        <w:t xml:space="preserve">(עי' אות </w:t>
      </w:r>
      <w:r w:rsidRPr="00F576C9">
        <w:rPr>
          <w:rStyle w:val="af7"/>
          <w:rFonts w:eastAsia="Guttman Hodes"/>
          <w:rtl/>
        </w:rPr>
        <w:fldChar w:fldCharType="begin"/>
      </w:r>
      <w:r w:rsidRPr="00F576C9">
        <w:rPr>
          <w:rStyle w:val="af7"/>
          <w:rFonts w:eastAsia="Guttman Hodes"/>
          <w:rtl/>
        </w:rPr>
        <w:instrText xml:space="preserve"> </w:instrText>
      </w:r>
      <w:r w:rsidRPr="00F576C9">
        <w:rPr>
          <w:rStyle w:val="af7"/>
          <w:rFonts w:eastAsia="Guttman Hodes" w:hint="cs"/>
        </w:rPr>
        <w:instrText>REF</w:instrText>
      </w:r>
      <w:r w:rsidRPr="00F576C9">
        <w:rPr>
          <w:rStyle w:val="af7"/>
          <w:rFonts w:eastAsia="Guttman Hodes" w:hint="cs"/>
          <w:rtl/>
        </w:rPr>
        <w:instrText xml:space="preserve"> _</w:instrText>
      </w:r>
      <w:r w:rsidRPr="00F576C9">
        <w:rPr>
          <w:rStyle w:val="af7"/>
          <w:rFonts w:eastAsia="Guttman Hodes" w:hint="cs"/>
        </w:rPr>
        <w:instrText>Ref3885677 \r \h</w:instrText>
      </w:r>
      <w:r w:rsidRPr="00F576C9">
        <w:rPr>
          <w:rStyle w:val="af7"/>
          <w:rFonts w:eastAsia="Guttman Hodes"/>
          <w:rtl/>
        </w:rPr>
        <w:instrText xml:space="preserve"> </w:instrText>
      </w:r>
      <w:r w:rsidRPr="00F576C9">
        <w:rPr>
          <w:rStyle w:val="af7"/>
          <w:rFonts w:eastAsia="Guttman Hodes"/>
          <w:rtl/>
        </w:rPr>
      </w:r>
      <w:r w:rsidRPr="00F576C9">
        <w:rPr>
          <w:rStyle w:val="af7"/>
          <w:rFonts w:eastAsia="Guttman Hodes"/>
          <w:rtl/>
        </w:rPr>
        <w:fldChar w:fldCharType="separate"/>
      </w:r>
      <w:r w:rsidR="00345400">
        <w:rPr>
          <w:rStyle w:val="af7"/>
          <w:rFonts w:eastAsia="Guttman Hodes"/>
          <w:cs/>
        </w:rPr>
        <w:t>‎</w:t>
      </w:r>
      <w:r w:rsidR="00345400">
        <w:rPr>
          <w:rStyle w:val="af7"/>
          <w:rFonts w:eastAsia="Guttman Hodes"/>
          <w:rtl/>
        </w:rPr>
        <w:t>קו)</w:t>
      </w:r>
      <w:r w:rsidRPr="00F576C9">
        <w:rPr>
          <w:rStyle w:val="af7"/>
          <w:rFonts w:eastAsia="Guttman Hodes"/>
          <w:rtl/>
        </w:rPr>
        <w:fldChar w:fldCharType="end"/>
      </w:r>
      <w:r>
        <w:rPr>
          <w:rFonts w:hint="cs"/>
          <w:rtl/>
        </w:rPr>
        <w:t xml:space="preserve"> עי' בדבריו.</w:t>
      </w:r>
      <w:bookmarkEnd w:id="24478"/>
    </w:p>
    <w:p w14:paraId="354AB45B" w14:textId="77777777" w:rsidR="003D504D" w:rsidRDefault="003D504D" w:rsidP="003D504D">
      <w:pPr>
        <w:pStyle w:val="a3"/>
        <w:rPr>
          <w:rtl/>
        </w:rPr>
      </w:pPr>
      <w:bookmarkStart w:id="24479" w:name="_Toc4139462"/>
      <w:bookmarkStart w:id="24480" w:name="_Toc4151556"/>
      <w:bookmarkStart w:id="24481" w:name="_Toc19392008"/>
      <w:bookmarkStart w:id="24482" w:name="_Toc19395505"/>
      <w:r>
        <w:rPr>
          <w:rFonts w:hint="cs"/>
          <w:rtl/>
        </w:rPr>
        <w:t>דברי הרמ"ך דלהרמב"ם בבן ח' גידו אסור וחלבו מותר ובבן ט' שניהם אסורים</w:t>
      </w:r>
      <w:bookmarkEnd w:id="24479"/>
      <w:bookmarkEnd w:id="24480"/>
      <w:bookmarkEnd w:id="24481"/>
      <w:bookmarkEnd w:id="24482"/>
    </w:p>
    <w:p w14:paraId="0DF5C926" w14:textId="77777777" w:rsidR="003D504D" w:rsidRDefault="003D504D" w:rsidP="00223668">
      <w:pPr>
        <w:pStyle w:val="a0"/>
      </w:pPr>
      <w:bookmarkStart w:id="24483" w:name="_Ref4098180"/>
      <w:r w:rsidRPr="00904489">
        <w:rPr>
          <w:rStyle w:val="af9"/>
          <w:rFonts w:hint="cs"/>
          <w:rtl/>
        </w:rPr>
        <w:t>והרמ"ך</w:t>
      </w:r>
      <w:r>
        <w:rPr>
          <w:rFonts w:hint="cs"/>
          <w:rtl/>
        </w:rPr>
        <w:t xml:space="preserve"> </w:t>
      </w:r>
      <w:r w:rsidRPr="00904489">
        <w:rPr>
          <w:rStyle w:val="af7"/>
          <w:rFonts w:eastAsia="Guttman Hodes" w:hint="cs"/>
          <w:rtl/>
        </w:rPr>
        <w:t>(מאכ"א פ"ז ה"ג)</w:t>
      </w:r>
      <w:r>
        <w:rPr>
          <w:rFonts w:hint="cs"/>
          <w:rtl/>
        </w:rPr>
        <w:t xml:space="preserve"> כתב </w:t>
      </w:r>
      <w:r w:rsidRPr="00904489">
        <w:rPr>
          <w:rStyle w:val="af9"/>
          <w:rFonts w:hint="cs"/>
          <w:rtl/>
        </w:rPr>
        <w:t>דהרמב"ם</w:t>
      </w:r>
      <w:r>
        <w:rPr>
          <w:rFonts w:hint="cs"/>
          <w:rtl/>
        </w:rPr>
        <w:t xml:space="preserve"> אוסר בחלב וגיד בבן ט', ובבן ח' גידו אסור וחלבו מותר, כיון שצריך לפסוק לפי רוב השמועות וההלכות.</w:t>
      </w:r>
      <w:bookmarkEnd w:id="24483"/>
    </w:p>
    <w:p w14:paraId="29327239" w14:textId="77777777" w:rsidR="003D504D" w:rsidRPr="00EE6F80" w:rsidRDefault="003D504D" w:rsidP="003D504D">
      <w:pPr>
        <w:pStyle w:val="a3"/>
        <w:rPr>
          <w:rtl/>
        </w:rPr>
      </w:pPr>
      <w:bookmarkStart w:id="24484" w:name="_Toc3978454"/>
      <w:bookmarkStart w:id="24485" w:name="_Toc4012304"/>
      <w:bookmarkStart w:id="24486" w:name="_Toc4013330"/>
      <w:bookmarkStart w:id="24487" w:name="_Toc4022838"/>
      <w:bookmarkStart w:id="24488" w:name="_Toc4026663"/>
      <w:bookmarkStart w:id="24489" w:name="_Toc4139463"/>
      <w:bookmarkStart w:id="24490" w:name="_Toc4151557"/>
      <w:bookmarkStart w:id="24491" w:name="_Toc19392009"/>
      <w:bookmarkStart w:id="24492" w:name="_Toc19395506"/>
      <w:r>
        <w:rPr>
          <w:rFonts w:hint="cs"/>
          <w:rtl/>
        </w:rPr>
        <w:t>דברי היד יהודה דהרמב"ם אוסר בגיד בבן ח' דלשון "שליל" ברמב"ם הוא בן ח' וב ט' הוא "עובר"</w:t>
      </w:r>
      <w:bookmarkEnd w:id="24484"/>
      <w:bookmarkEnd w:id="24485"/>
      <w:bookmarkEnd w:id="24486"/>
      <w:bookmarkEnd w:id="24487"/>
      <w:bookmarkEnd w:id="24488"/>
      <w:bookmarkEnd w:id="24489"/>
      <w:bookmarkEnd w:id="24490"/>
      <w:bookmarkEnd w:id="24491"/>
      <w:bookmarkEnd w:id="24492"/>
    </w:p>
    <w:p w14:paraId="0F54D01F" w14:textId="77777777" w:rsidR="003D504D" w:rsidRDefault="003D504D" w:rsidP="00223668">
      <w:pPr>
        <w:pStyle w:val="a0"/>
        <w:rPr>
          <w:rtl/>
        </w:rPr>
      </w:pPr>
      <w:bookmarkStart w:id="24493" w:name="_Ref3971598"/>
      <w:r>
        <w:rPr>
          <w:rStyle w:val="af9"/>
          <w:rFonts w:hint="cs"/>
          <w:rtl/>
        </w:rPr>
        <w:t>ו</w:t>
      </w:r>
      <w:r w:rsidRPr="00345F2A">
        <w:rPr>
          <w:rStyle w:val="af9"/>
          <w:rFonts w:hint="cs"/>
          <w:rtl/>
        </w:rPr>
        <w:t>היד יהודה</w:t>
      </w:r>
      <w:r>
        <w:rPr>
          <w:rFonts w:hint="cs"/>
          <w:rtl/>
        </w:rPr>
        <w:t xml:space="preserve"> </w:t>
      </w:r>
      <w:r w:rsidRPr="00653ED8">
        <w:rPr>
          <w:rStyle w:val="af7"/>
          <w:rFonts w:eastAsia="Guttman Hodes" w:hint="cs"/>
          <w:rtl/>
        </w:rPr>
        <w:t>(סי' י"ג סק"ה ד"ה מעתה מבא לשיטת הרמב"ם)</w:t>
      </w:r>
      <w:r>
        <w:rPr>
          <w:rFonts w:hint="cs"/>
          <w:rtl/>
        </w:rPr>
        <w:t xml:space="preserve"> כתב דלדעת </w:t>
      </w:r>
      <w:r w:rsidRPr="00345F2A">
        <w:rPr>
          <w:rStyle w:val="af9"/>
          <w:rFonts w:hint="cs"/>
          <w:rtl/>
        </w:rPr>
        <w:t>הרמב"ם</w:t>
      </w:r>
      <w:r>
        <w:rPr>
          <w:rFonts w:hint="cs"/>
          <w:rtl/>
        </w:rPr>
        <w:t xml:space="preserve"> הגיד אסור אף בבן ח', וביאר </w:t>
      </w:r>
      <w:r w:rsidRPr="00345F2A">
        <w:rPr>
          <w:rStyle w:val="af9"/>
          <w:rFonts w:hint="cs"/>
          <w:rtl/>
        </w:rPr>
        <w:t>היד יהודה</w:t>
      </w:r>
      <w:r>
        <w:rPr>
          <w:rFonts w:hint="cs"/>
          <w:rtl/>
        </w:rPr>
        <w:t xml:space="preserve"> דמדוייק בדברי </w:t>
      </w:r>
      <w:r w:rsidRPr="00345F2A">
        <w:rPr>
          <w:rStyle w:val="af9"/>
          <w:rFonts w:hint="cs"/>
          <w:rtl/>
        </w:rPr>
        <w:t>הרמב"ם</w:t>
      </w:r>
      <w:r>
        <w:rPr>
          <w:rFonts w:hint="cs"/>
          <w:rtl/>
        </w:rPr>
        <w:t xml:space="preserve"> דכשכתב לשון "שליל" כוונתו לבן ח' דלא כלו לו חדשיו, וכשכתב </w:t>
      </w:r>
      <w:r w:rsidRPr="00345F2A">
        <w:rPr>
          <w:rStyle w:val="af9"/>
          <w:rFonts w:hint="cs"/>
          <w:rtl/>
        </w:rPr>
        <w:t>הרמב"ם</w:t>
      </w:r>
      <w:r>
        <w:rPr>
          <w:rFonts w:hint="cs"/>
          <w:rtl/>
        </w:rPr>
        <w:t xml:space="preserve"> לשון "עובר" כוונתו לבן ט' דכלו לו חדשיו, </w:t>
      </w:r>
      <w:r w:rsidRPr="00653ED8">
        <w:rPr>
          <w:rStyle w:val="afb"/>
          <w:rFonts w:hint="cs"/>
          <w:rtl/>
        </w:rPr>
        <w:t>[עיי"ש שהוכיח כן מדברי הרמב"ם],</w:t>
      </w:r>
      <w:r>
        <w:rPr>
          <w:rFonts w:hint="cs"/>
          <w:rtl/>
        </w:rPr>
        <w:t xml:space="preserve"> ובשליל ס"ל </w:t>
      </w:r>
      <w:r w:rsidRPr="00345F2A">
        <w:rPr>
          <w:rStyle w:val="af9"/>
          <w:rFonts w:hint="cs"/>
          <w:rtl/>
        </w:rPr>
        <w:t>להרמב"ם</w:t>
      </w:r>
      <w:r>
        <w:rPr>
          <w:rFonts w:hint="cs"/>
          <w:rtl/>
        </w:rPr>
        <w:t xml:space="preserve"> דהוא וחלבו מותרים דהוא כאבר מאברי אמו, אבל בן ט' דאינו שליל אלא בהמה בפנ"ע אעפ"י דמהני לו שחיטת אמו, מ"מ חלבו אסור ככל חלב בהמה, וכיון דבאיסור גיד כתב </w:t>
      </w:r>
      <w:r w:rsidRPr="00653ED8">
        <w:rPr>
          <w:rStyle w:val="af9"/>
          <w:rFonts w:hint="cs"/>
          <w:rtl/>
        </w:rPr>
        <w:t>הרמב"ם</w:t>
      </w:r>
      <w:r>
        <w:rPr>
          <w:rFonts w:hint="cs"/>
          <w:rtl/>
        </w:rPr>
        <w:t xml:space="preserve"> </w:t>
      </w:r>
      <w:r w:rsidRPr="00653ED8">
        <w:rPr>
          <w:rStyle w:val="af7"/>
          <w:rFonts w:eastAsia="Guttman Hodes" w:hint="cs"/>
          <w:rtl/>
        </w:rPr>
        <w:t xml:space="preserve">(עי' אות </w:t>
      </w:r>
      <w:r w:rsidRPr="00653ED8">
        <w:rPr>
          <w:rStyle w:val="af7"/>
          <w:rFonts w:eastAsia="Guttman Hodes"/>
          <w:rtl/>
        </w:rPr>
        <w:fldChar w:fldCharType="begin"/>
      </w:r>
      <w:r w:rsidRPr="00653ED8">
        <w:rPr>
          <w:rStyle w:val="af7"/>
          <w:rFonts w:eastAsia="Guttman Hodes"/>
          <w:rtl/>
        </w:rPr>
        <w:instrText xml:space="preserve"> </w:instrText>
      </w:r>
      <w:r w:rsidRPr="00653ED8">
        <w:rPr>
          <w:rStyle w:val="af7"/>
          <w:rFonts w:eastAsia="Guttman Hodes" w:hint="cs"/>
        </w:rPr>
        <w:instrText>REF</w:instrText>
      </w:r>
      <w:r w:rsidRPr="00653ED8">
        <w:rPr>
          <w:rStyle w:val="af7"/>
          <w:rFonts w:eastAsia="Guttman Hodes" w:hint="cs"/>
          <w:rtl/>
        </w:rPr>
        <w:instrText xml:space="preserve"> _</w:instrText>
      </w:r>
      <w:r w:rsidRPr="00653ED8">
        <w:rPr>
          <w:rStyle w:val="af7"/>
          <w:rFonts w:eastAsia="Guttman Hodes" w:hint="cs"/>
        </w:rPr>
        <w:instrText>Ref3971525 \r \h</w:instrText>
      </w:r>
      <w:r w:rsidRPr="00653ED8">
        <w:rPr>
          <w:rStyle w:val="af7"/>
          <w:rFonts w:eastAsia="Guttman Hodes"/>
          <w:rtl/>
        </w:rPr>
        <w:instrText xml:space="preserve"> </w:instrText>
      </w:r>
      <w:r w:rsidRPr="00653ED8">
        <w:rPr>
          <w:rStyle w:val="af7"/>
          <w:rFonts w:eastAsia="Guttman Hodes"/>
          <w:rtl/>
        </w:rPr>
      </w:r>
      <w:r w:rsidRPr="00653ED8">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653ED8">
        <w:rPr>
          <w:rStyle w:val="af7"/>
          <w:rFonts w:eastAsia="Guttman Hodes"/>
          <w:rtl/>
        </w:rPr>
        <w:fldChar w:fldCharType="end"/>
      </w:r>
      <w:r>
        <w:rPr>
          <w:rFonts w:hint="cs"/>
          <w:rtl/>
        </w:rPr>
        <w:t xml:space="preserve"> לשון "שליל", א"כ מוכח דאוסר אף בבן ח'.</w:t>
      </w:r>
      <w:bookmarkEnd w:id="24493"/>
    </w:p>
    <w:p w14:paraId="43C0FFD1" w14:textId="77777777" w:rsidR="003D504D" w:rsidRDefault="003D504D" w:rsidP="003D504D">
      <w:pPr>
        <w:pStyle w:val="a3"/>
      </w:pPr>
      <w:bookmarkStart w:id="24494" w:name="_Toc3978455"/>
      <w:bookmarkStart w:id="24495" w:name="_Toc4012305"/>
      <w:bookmarkStart w:id="24496" w:name="_Toc4013331"/>
      <w:bookmarkStart w:id="24497" w:name="_Toc4022839"/>
      <w:bookmarkStart w:id="24498" w:name="_Toc4026664"/>
      <w:bookmarkStart w:id="24499" w:name="_Toc4139464"/>
      <w:bookmarkStart w:id="24500" w:name="_Toc4151558"/>
      <w:bookmarkStart w:id="24501" w:name="_Toc19392010"/>
      <w:bookmarkStart w:id="24502" w:name="_Toc19395507"/>
      <w:r>
        <w:rPr>
          <w:rFonts w:hint="cs"/>
          <w:rtl/>
        </w:rPr>
        <w:t>דעת הנצי"ב דלהרמב"ם איסור גיד הוא אף בבן ח' דאין בו דין שור כמו בחלב</w:t>
      </w:r>
      <w:bookmarkEnd w:id="24494"/>
      <w:bookmarkEnd w:id="24495"/>
      <w:bookmarkEnd w:id="24496"/>
      <w:bookmarkEnd w:id="24497"/>
      <w:bookmarkEnd w:id="24498"/>
      <w:bookmarkEnd w:id="24499"/>
      <w:bookmarkEnd w:id="24500"/>
      <w:bookmarkEnd w:id="24501"/>
      <w:bookmarkEnd w:id="24502"/>
    </w:p>
    <w:p w14:paraId="5E22C480" w14:textId="77777777" w:rsidR="003D504D" w:rsidRDefault="003D504D" w:rsidP="00223668">
      <w:pPr>
        <w:pStyle w:val="a0"/>
        <w:rPr>
          <w:rtl/>
        </w:rPr>
      </w:pPr>
      <w:r>
        <w:rPr>
          <w:rFonts w:hint="cs"/>
          <w:rtl/>
        </w:rPr>
        <w:t xml:space="preserve">וכ"כ </w:t>
      </w:r>
      <w:r>
        <w:rPr>
          <w:rStyle w:val="af9"/>
          <w:rFonts w:hint="cs"/>
          <w:rtl/>
        </w:rPr>
        <w:t>המרומי שדה</w:t>
      </w:r>
      <w:r w:rsidRPr="00B94561">
        <w:rPr>
          <w:rStyle w:val="af9"/>
          <w:rFonts w:hint="cs"/>
          <w:rtl/>
        </w:rPr>
        <w:t xml:space="preserve"> לקמן</w:t>
      </w:r>
      <w:r>
        <w:rPr>
          <w:rFonts w:hint="cs"/>
          <w:rtl/>
        </w:rPr>
        <w:t xml:space="preserve"> </w:t>
      </w:r>
      <w:r w:rsidRPr="005873AA">
        <w:rPr>
          <w:rStyle w:val="af7"/>
          <w:rFonts w:eastAsia="Guttman Hodes" w:hint="cs"/>
          <w:rtl/>
        </w:rPr>
        <w:t xml:space="preserve">(פט. על תוד"ה והא) </w:t>
      </w:r>
      <w:r>
        <w:rPr>
          <w:rFonts w:hint="cs"/>
          <w:rtl/>
        </w:rPr>
        <w:t xml:space="preserve">דלדעת </w:t>
      </w:r>
      <w:r w:rsidRPr="00B94561">
        <w:rPr>
          <w:rStyle w:val="af9"/>
          <w:rFonts w:hint="cs"/>
          <w:rtl/>
        </w:rPr>
        <w:t>הרמב"ם</w:t>
      </w:r>
      <w:r>
        <w:rPr>
          <w:rFonts w:hint="cs"/>
          <w:rtl/>
        </w:rPr>
        <w:t xml:space="preserve"> איסור גיד הוא אף בבן ח', וס"ל כדעת </w:t>
      </w:r>
      <w:r w:rsidRPr="00B94561">
        <w:rPr>
          <w:rStyle w:val="af9"/>
          <w:rFonts w:hint="cs"/>
          <w:rtl/>
        </w:rPr>
        <w:t>התוס'</w:t>
      </w:r>
      <w:r>
        <w:rPr>
          <w:rFonts w:hint="cs"/>
          <w:rtl/>
        </w:rPr>
        <w:t xml:space="preserve"> </w:t>
      </w:r>
      <w:r w:rsidRPr="00BE3247">
        <w:rPr>
          <w:rStyle w:val="af7"/>
          <w:rFonts w:eastAsia="Guttman Hodes" w:hint="cs"/>
          <w:rtl/>
        </w:rPr>
        <w:t>(</w:t>
      </w:r>
      <w:r w:rsidR="00AC7E32">
        <w:rPr>
          <w:rStyle w:val="af7"/>
          <w:rFonts w:eastAsia="Guttman Hodes" w:hint="cs"/>
          <w:rtl/>
        </w:rPr>
        <w:t>הובא בסימן</w:t>
      </w:r>
      <w:r w:rsidRPr="00BE3247">
        <w:rPr>
          <w:rStyle w:val="af7"/>
          <w:rFonts w:eastAsia="Guttman Hodes" w:hint="cs"/>
          <w:rtl/>
        </w:rPr>
        <w:t xml:space="preserve"> ז</w:t>
      </w:r>
      <w:r w:rsidRPr="00BE3247">
        <w:rPr>
          <w:rStyle w:val="af7"/>
          <w:rFonts w:eastAsia="Guttman Hodes"/>
          <w:rtl/>
        </w:rPr>
        <w:t>'</w:t>
      </w:r>
      <w:r w:rsidRPr="00BE3247">
        <w:rPr>
          <w:rStyle w:val="af7"/>
          <w:rFonts w:eastAsia="Guttman Hodes" w:hint="cs"/>
          <w:rtl/>
        </w:rPr>
        <w:t xml:space="preserve"> אות כ)</w:t>
      </w:r>
      <w:r>
        <w:rPr>
          <w:rFonts w:hint="cs"/>
          <w:rtl/>
        </w:rPr>
        <w:t xml:space="preserve">  דלא דמי חלב לגיד, דחלב דבן ח' מותר דלא איקרי שור, אבל בגיד אין חילוק בין בן ח' לבן ט', וכתב </w:t>
      </w:r>
      <w:r>
        <w:rPr>
          <w:rStyle w:val="af9"/>
          <w:rFonts w:hint="cs"/>
          <w:rtl/>
        </w:rPr>
        <w:t>המרומי שדה</w:t>
      </w:r>
      <w:r>
        <w:rPr>
          <w:rFonts w:hint="cs"/>
          <w:rtl/>
        </w:rPr>
        <w:t xml:space="preserve"> דלכן רק בחלב כתב </w:t>
      </w:r>
      <w:r w:rsidRPr="00B94561">
        <w:rPr>
          <w:rStyle w:val="af9"/>
          <w:rFonts w:hint="cs"/>
          <w:rtl/>
        </w:rPr>
        <w:t>הרמב"ם</w:t>
      </w:r>
      <w:r>
        <w:rPr>
          <w:rFonts w:hint="cs"/>
          <w:rtl/>
        </w:rPr>
        <w:t xml:space="preserve"> </w:t>
      </w:r>
      <w:r w:rsidRPr="00FC5CD9">
        <w:rPr>
          <w:rStyle w:val="af7"/>
          <w:rFonts w:eastAsia="Guttman Hodes" w:hint="cs"/>
          <w:rtl/>
        </w:rPr>
        <w:t xml:space="preserve">(עי' אות </w:t>
      </w:r>
      <w:r w:rsidRPr="00FC5CD9">
        <w:rPr>
          <w:rStyle w:val="af7"/>
          <w:rFonts w:eastAsia="Guttman Hodes"/>
          <w:rtl/>
        </w:rPr>
        <w:fldChar w:fldCharType="begin"/>
      </w:r>
      <w:r w:rsidRPr="00FC5CD9">
        <w:rPr>
          <w:rStyle w:val="af7"/>
          <w:rFonts w:eastAsia="Guttman Hodes"/>
          <w:rtl/>
        </w:rPr>
        <w:instrText xml:space="preserve"> </w:instrText>
      </w:r>
      <w:r w:rsidRPr="00FC5CD9">
        <w:rPr>
          <w:rStyle w:val="af7"/>
          <w:rFonts w:eastAsia="Guttman Hodes" w:hint="cs"/>
        </w:rPr>
        <w:instrText>REF</w:instrText>
      </w:r>
      <w:r w:rsidRPr="00FC5CD9">
        <w:rPr>
          <w:rStyle w:val="af7"/>
          <w:rFonts w:eastAsia="Guttman Hodes" w:hint="cs"/>
          <w:rtl/>
        </w:rPr>
        <w:instrText xml:space="preserve"> _</w:instrText>
      </w:r>
      <w:r w:rsidRPr="00FC5CD9">
        <w:rPr>
          <w:rStyle w:val="af7"/>
          <w:rFonts w:eastAsia="Guttman Hodes" w:hint="cs"/>
        </w:rPr>
        <w:instrText>Ref3145560 \r \h</w:instrText>
      </w:r>
      <w:r w:rsidRPr="00FC5CD9">
        <w:rPr>
          <w:rStyle w:val="af7"/>
          <w:rFonts w:eastAsia="Guttman Hodes"/>
          <w:rtl/>
        </w:rPr>
        <w:instrText xml:space="preserve"> </w:instrText>
      </w:r>
      <w:r w:rsidRPr="00FC5CD9">
        <w:rPr>
          <w:rStyle w:val="af7"/>
          <w:rFonts w:eastAsia="Guttman Hodes"/>
          <w:rtl/>
        </w:rPr>
      </w:r>
      <w:r w:rsidRPr="00FC5CD9">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FC5CD9">
        <w:rPr>
          <w:rStyle w:val="af7"/>
          <w:rFonts w:eastAsia="Guttman Hodes"/>
          <w:rtl/>
        </w:rPr>
        <w:fldChar w:fldCharType="end"/>
      </w:r>
      <w:r>
        <w:rPr>
          <w:rFonts w:hint="cs"/>
          <w:rtl/>
        </w:rPr>
        <w:t xml:space="preserve"> דאסור בבן ט' ומותר בבן ח', אבל בגיד כתב </w:t>
      </w:r>
      <w:r w:rsidRPr="00B94561">
        <w:rPr>
          <w:rStyle w:val="af9"/>
          <w:rFonts w:hint="cs"/>
          <w:rtl/>
        </w:rPr>
        <w:t>הרמב"ם</w:t>
      </w:r>
      <w:r>
        <w:rPr>
          <w:rFonts w:hint="cs"/>
          <w:rtl/>
        </w:rPr>
        <w:t xml:space="preserve"> </w:t>
      </w:r>
      <w:r w:rsidRPr="00FC5CD9">
        <w:rPr>
          <w:rStyle w:val="af7"/>
          <w:rFonts w:eastAsia="Guttman Hodes" w:hint="cs"/>
          <w:rtl/>
        </w:rPr>
        <w:t xml:space="preserve">(עי' אות </w:t>
      </w:r>
      <w:r w:rsidRPr="00FC5CD9">
        <w:rPr>
          <w:rStyle w:val="af7"/>
          <w:rFonts w:eastAsia="Guttman Hodes"/>
          <w:rtl/>
        </w:rPr>
        <w:fldChar w:fldCharType="begin"/>
      </w:r>
      <w:r w:rsidRPr="00FC5CD9">
        <w:rPr>
          <w:rStyle w:val="af7"/>
          <w:rFonts w:eastAsia="Guttman Hodes"/>
          <w:rtl/>
        </w:rPr>
        <w:instrText xml:space="preserve"> </w:instrText>
      </w:r>
      <w:r w:rsidRPr="00FC5CD9">
        <w:rPr>
          <w:rStyle w:val="af7"/>
          <w:rFonts w:eastAsia="Guttman Hodes" w:hint="cs"/>
        </w:rPr>
        <w:instrText>REF</w:instrText>
      </w:r>
      <w:r w:rsidRPr="00FC5CD9">
        <w:rPr>
          <w:rStyle w:val="af7"/>
          <w:rFonts w:eastAsia="Guttman Hodes" w:hint="cs"/>
          <w:rtl/>
        </w:rPr>
        <w:instrText xml:space="preserve"> _</w:instrText>
      </w:r>
      <w:r w:rsidRPr="00FC5CD9">
        <w:rPr>
          <w:rStyle w:val="af7"/>
          <w:rFonts w:eastAsia="Guttman Hodes" w:hint="cs"/>
        </w:rPr>
        <w:instrText>Ref3132973 \r \h</w:instrText>
      </w:r>
      <w:r w:rsidRPr="00FC5CD9">
        <w:rPr>
          <w:rStyle w:val="af7"/>
          <w:rFonts w:eastAsia="Guttman Hodes"/>
          <w:rtl/>
        </w:rPr>
        <w:instrText xml:space="preserve"> </w:instrText>
      </w:r>
      <w:r w:rsidRPr="00FC5CD9">
        <w:rPr>
          <w:rStyle w:val="af7"/>
          <w:rFonts w:eastAsia="Guttman Hodes"/>
          <w:rtl/>
        </w:rPr>
      </w:r>
      <w:r w:rsidRPr="00FC5CD9">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FC5CD9">
        <w:rPr>
          <w:rStyle w:val="af7"/>
          <w:rFonts w:eastAsia="Guttman Hodes"/>
          <w:rtl/>
        </w:rPr>
        <w:fldChar w:fldCharType="end"/>
      </w:r>
      <w:r>
        <w:rPr>
          <w:rFonts w:hint="cs"/>
          <w:rtl/>
        </w:rPr>
        <w:t xml:space="preserve"> בסתמא דהוא נוהג </w:t>
      </w:r>
      <w:r w:rsidRPr="009F45F3">
        <w:rPr>
          <w:rFonts w:hint="cs"/>
          <w:rtl/>
        </w:rPr>
        <w:t xml:space="preserve">בשליל, ותמה </w:t>
      </w:r>
      <w:r w:rsidRPr="009F45F3">
        <w:rPr>
          <w:rStyle w:val="af9"/>
          <w:rFonts w:hint="cs"/>
          <w:rtl/>
        </w:rPr>
        <w:t>המרומי שדה</w:t>
      </w:r>
      <w:r w:rsidRPr="009F45F3">
        <w:rPr>
          <w:rFonts w:hint="cs"/>
          <w:rtl/>
        </w:rPr>
        <w:t xml:space="preserve"> על </w:t>
      </w:r>
      <w:r w:rsidRPr="009F45F3">
        <w:rPr>
          <w:rStyle w:val="af9"/>
          <w:rFonts w:hint="cs"/>
          <w:rtl/>
        </w:rPr>
        <w:t>(הכס"מ</w:t>
      </w:r>
      <w:r w:rsidRPr="009F45F3">
        <w:rPr>
          <w:rFonts w:hint="cs"/>
          <w:rtl/>
        </w:rPr>
        <w:t>) [</w:t>
      </w:r>
      <w:r w:rsidRPr="009F45F3">
        <w:rPr>
          <w:rStyle w:val="af9"/>
          <w:rFonts w:hint="cs"/>
          <w:rtl/>
        </w:rPr>
        <w:t>המ"מ</w:t>
      </w:r>
      <w:r w:rsidRPr="009F45F3">
        <w:rPr>
          <w:rFonts w:hint="cs"/>
          <w:rtl/>
        </w:rPr>
        <w:t xml:space="preserve">] </w:t>
      </w:r>
      <w:r w:rsidRPr="009F45F3">
        <w:rPr>
          <w:rStyle w:val="af7"/>
          <w:rFonts w:eastAsia="Guttman Hodes" w:hint="cs"/>
          <w:rtl/>
        </w:rPr>
        <w:t xml:space="preserve">(עי' אות </w:t>
      </w:r>
      <w:r w:rsidRPr="009F45F3">
        <w:rPr>
          <w:rStyle w:val="af7"/>
          <w:rFonts w:eastAsia="Guttman Hodes"/>
          <w:rtl/>
        </w:rPr>
        <w:fldChar w:fldCharType="begin"/>
      </w:r>
      <w:r w:rsidRPr="009F45F3">
        <w:rPr>
          <w:rStyle w:val="af7"/>
          <w:rFonts w:eastAsia="Guttman Hodes"/>
          <w:rtl/>
        </w:rPr>
        <w:instrText xml:space="preserve"> </w:instrText>
      </w:r>
      <w:r w:rsidRPr="009F45F3">
        <w:rPr>
          <w:rStyle w:val="af7"/>
          <w:rFonts w:eastAsia="Guttman Hodes" w:hint="cs"/>
        </w:rPr>
        <w:instrText>REF</w:instrText>
      </w:r>
      <w:r w:rsidRPr="009F45F3">
        <w:rPr>
          <w:rStyle w:val="af7"/>
          <w:rFonts w:eastAsia="Guttman Hodes" w:hint="cs"/>
          <w:rtl/>
        </w:rPr>
        <w:instrText xml:space="preserve"> _</w:instrText>
      </w:r>
      <w:r w:rsidRPr="009F45F3">
        <w:rPr>
          <w:rStyle w:val="af7"/>
          <w:rFonts w:eastAsia="Guttman Hodes" w:hint="cs"/>
        </w:rPr>
        <w:instrText>Ref3972115 \r \h</w:instrText>
      </w:r>
      <w:r w:rsidRPr="009F45F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9F45F3">
        <w:rPr>
          <w:rStyle w:val="af7"/>
          <w:rFonts w:eastAsia="Guttman Hodes"/>
          <w:rtl/>
        </w:rPr>
      </w:r>
      <w:r w:rsidRPr="009F45F3">
        <w:rPr>
          <w:rStyle w:val="af7"/>
          <w:rFonts w:eastAsia="Guttman Hodes"/>
          <w:rtl/>
        </w:rPr>
        <w:fldChar w:fldCharType="separate"/>
      </w:r>
      <w:r w:rsidR="00345400">
        <w:rPr>
          <w:rStyle w:val="af7"/>
          <w:rFonts w:eastAsia="Guttman Hodes"/>
          <w:cs/>
        </w:rPr>
        <w:t>‎</w:t>
      </w:r>
      <w:r w:rsidR="00345400">
        <w:rPr>
          <w:rStyle w:val="af7"/>
          <w:rFonts w:eastAsia="Guttman Hodes"/>
          <w:rtl/>
        </w:rPr>
        <w:t>סג)</w:t>
      </w:r>
      <w:r w:rsidRPr="009F45F3">
        <w:rPr>
          <w:rStyle w:val="af7"/>
          <w:rFonts w:eastAsia="Guttman Hodes"/>
          <w:rtl/>
        </w:rPr>
        <w:fldChar w:fldCharType="end"/>
      </w:r>
      <w:r w:rsidRPr="009F45F3">
        <w:rPr>
          <w:rFonts w:hint="cs"/>
          <w:rtl/>
        </w:rPr>
        <w:t xml:space="preserve"> דכתב בפשיטות </w:t>
      </w:r>
      <w:r w:rsidRPr="009F45F3">
        <w:rPr>
          <w:rStyle w:val="af9"/>
          <w:rFonts w:hint="cs"/>
          <w:rtl/>
        </w:rPr>
        <w:t>דהרמב"ם</w:t>
      </w:r>
      <w:r w:rsidRPr="009F45F3">
        <w:rPr>
          <w:rFonts w:hint="cs"/>
          <w:rtl/>
        </w:rPr>
        <w:t xml:space="preserve"> אוסר בגיד רק בבן ט', וכן מבואר בדברי </w:t>
      </w:r>
      <w:r w:rsidRPr="009F45F3">
        <w:rPr>
          <w:rStyle w:val="af9"/>
          <w:rFonts w:hint="cs"/>
          <w:rtl/>
        </w:rPr>
        <w:t>האיסור והי</w:t>
      </w:r>
      <w:r w:rsidRPr="008C1C2A">
        <w:rPr>
          <w:rStyle w:val="af9"/>
          <w:rFonts w:hint="cs"/>
          <w:rtl/>
        </w:rPr>
        <w:t>תר להר"י מבניולש</w:t>
      </w:r>
      <w:r>
        <w:rPr>
          <w:rFonts w:hint="cs"/>
          <w:rtl/>
        </w:rPr>
        <w:t xml:space="preserve"> </w:t>
      </w:r>
      <w:r w:rsidRPr="00EC10DA">
        <w:rPr>
          <w:rStyle w:val="af7"/>
          <w:rFonts w:eastAsia="Guttman Hodes" w:hint="cs"/>
          <w:rtl/>
        </w:rPr>
        <w:t>(פכ"ו, הועתק בקובץ שיטות קמאי חולין ח"ב עמ' אלף תרמ"ח)</w:t>
      </w:r>
      <w:r>
        <w:rPr>
          <w:rFonts w:hint="cs"/>
          <w:rtl/>
        </w:rPr>
        <w:t xml:space="preserve"> דכתב בדעת </w:t>
      </w:r>
      <w:r w:rsidRPr="00B94561">
        <w:rPr>
          <w:rStyle w:val="af9"/>
          <w:rFonts w:hint="cs"/>
          <w:rtl/>
        </w:rPr>
        <w:t xml:space="preserve">הרמב"ם </w:t>
      </w:r>
      <w:r>
        <w:rPr>
          <w:rFonts w:hint="cs"/>
          <w:rtl/>
        </w:rPr>
        <w:t xml:space="preserve">דבגיד מצינו בגמ' לקמן </w:t>
      </w:r>
      <w:r w:rsidRPr="00AD4458">
        <w:rPr>
          <w:rStyle w:val="af7"/>
          <w:rFonts w:eastAsia="Guttman Hodes" w:hint="cs"/>
          <w:rtl/>
        </w:rPr>
        <w:t xml:space="preserve">(פט:) </w:t>
      </w:r>
      <w:r>
        <w:rPr>
          <w:rFonts w:hint="cs"/>
          <w:rtl/>
        </w:rPr>
        <w:t xml:space="preserve">דגיד דשליל נקרא גיד הנשה, דאמרינן דאיסור מוקדשין ואיסור גיד חלים יחד, ובחלב האיסור חל כשכלו לו חדשיו. </w:t>
      </w:r>
      <w:r w:rsidRPr="00AD4458">
        <w:rPr>
          <w:rStyle w:val="afb"/>
          <w:rFonts w:hint="cs"/>
          <w:rtl/>
        </w:rPr>
        <w:t>[ומבואר ד</w:t>
      </w:r>
      <w:r>
        <w:rPr>
          <w:rStyle w:val="afb"/>
          <w:rFonts w:hint="cs"/>
          <w:rtl/>
        </w:rPr>
        <w:t xml:space="preserve">בגיד </w:t>
      </w:r>
      <w:r w:rsidRPr="00AD4458">
        <w:rPr>
          <w:rStyle w:val="afb"/>
          <w:rFonts w:hint="cs"/>
          <w:rtl/>
        </w:rPr>
        <w:t>משעת יצירתו נקרא גיד]</w:t>
      </w:r>
      <w:r>
        <w:rPr>
          <w:rStyle w:val="afb"/>
          <w:rFonts w:hint="cs"/>
          <w:rtl/>
        </w:rPr>
        <w:t>.</w:t>
      </w:r>
    </w:p>
    <w:p w14:paraId="76D93897" w14:textId="77777777" w:rsidR="003D504D" w:rsidRDefault="003D504D" w:rsidP="003D504D">
      <w:pPr>
        <w:pStyle w:val="afe"/>
        <w:rPr>
          <w:rtl/>
        </w:rPr>
      </w:pPr>
      <w:bookmarkStart w:id="24503" w:name="_Toc3929062"/>
      <w:bookmarkStart w:id="24504" w:name="_Toc3978456"/>
      <w:bookmarkStart w:id="24505" w:name="_Toc4012306"/>
      <w:bookmarkStart w:id="24506" w:name="_Toc4013332"/>
      <w:bookmarkStart w:id="24507" w:name="_Toc4022840"/>
      <w:bookmarkStart w:id="24508" w:name="_Toc4026665"/>
      <w:bookmarkStart w:id="24509" w:name="_Toc4139465"/>
      <w:bookmarkStart w:id="24510" w:name="_Toc4151559"/>
      <w:bookmarkStart w:id="24511" w:name="_Toc19436379"/>
      <w:bookmarkStart w:id="24512" w:name="_Toc20081509"/>
      <w:r>
        <w:rPr>
          <w:rFonts w:hint="cs"/>
          <w:rtl/>
        </w:rPr>
        <w:t>בדין תלש חלב והניחו במעי הבהמה</w:t>
      </w:r>
      <w:bookmarkEnd w:id="24503"/>
      <w:bookmarkEnd w:id="24504"/>
      <w:bookmarkEnd w:id="24505"/>
      <w:bookmarkEnd w:id="24506"/>
      <w:bookmarkEnd w:id="24507"/>
      <w:bookmarkEnd w:id="24508"/>
      <w:bookmarkEnd w:id="24509"/>
      <w:bookmarkEnd w:id="24510"/>
      <w:bookmarkEnd w:id="24511"/>
      <w:bookmarkEnd w:id="24512"/>
    </w:p>
    <w:p w14:paraId="065CEDBF" w14:textId="77777777" w:rsidR="003D504D" w:rsidRPr="004F690B" w:rsidRDefault="003D504D" w:rsidP="00BF39B2">
      <w:pPr>
        <w:pStyle w:val="1"/>
        <w:rPr>
          <w:rtl/>
        </w:rPr>
      </w:pPr>
      <w:bookmarkStart w:id="24513" w:name="_Toc3840807"/>
      <w:bookmarkStart w:id="24514" w:name="_Toc3929063"/>
      <w:bookmarkStart w:id="24515" w:name="_Toc3978457"/>
      <w:bookmarkStart w:id="24516" w:name="_Toc4012307"/>
      <w:bookmarkStart w:id="24517" w:name="_Toc4013333"/>
      <w:bookmarkStart w:id="24518" w:name="_Toc4022841"/>
      <w:bookmarkStart w:id="24519" w:name="_Toc4026666"/>
      <w:bookmarkStart w:id="24520" w:name="_Toc4139466"/>
      <w:bookmarkStart w:id="24521" w:name="_Toc4151560"/>
      <w:bookmarkStart w:id="24522" w:name="_Toc19392011"/>
      <w:bookmarkStart w:id="24523" w:name="_Toc19395508"/>
      <w:r>
        <w:rPr>
          <w:rFonts w:hint="cs"/>
          <w:rtl/>
        </w:rPr>
        <w:t>דברי הכס"מ דבתלש חלב והניחו בבהמה אף לר"מ מותר</w:t>
      </w:r>
      <w:bookmarkEnd w:id="24513"/>
      <w:bookmarkEnd w:id="24514"/>
      <w:bookmarkEnd w:id="24515"/>
      <w:bookmarkEnd w:id="24516"/>
      <w:bookmarkEnd w:id="24517"/>
      <w:bookmarkEnd w:id="24518"/>
      <w:bookmarkEnd w:id="24519"/>
      <w:bookmarkEnd w:id="24520"/>
      <w:bookmarkEnd w:id="24521"/>
      <w:bookmarkEnd w:id="24522"/>
      <w:bookmarkEnd w:id="24523"/>
    </w:p>
    <w:p w14:paraId="361979A6" w14:textId="77777777" w:rsidR="003D504D" w:rsidRDefault="003D504D" w:rsidP="003D504D">
      <w:pPr>
        <w:pStyle w:val="a3"/>
        <w:rPr>
          <w:rtl/>
        </w:rPr>
      </w:pPr>
      <w:bookmarkStart w:id="24524" w:name="_Toc3978458"/>
      <w:bookmarkStart w:id="24525" w:name="_Toc4012308"/>
      <w:bookmarkStart w:id="24526" w:name="_Toc4013334"/>
      <w:bookmarkStart w:id="24527" w:name="_Toc4022842"/>
      <w:bookmarkStart w:id="24528" w:name="_Toc4026667"/>
      <w:bookmarkStart w:id="24529" w:name="_Toc4139467"/>
      <w:bookmarkStart w:id="24530" w:name="_Toc4151561"/>
      <w:bookmarkStart w:id="24531" w:name="_Toc19392012"/>
      <w:bookmarkStart w:id="24532" w:name="_Toc19395509"/>
      <w:r>
        <w:rPr>
          <w:rFonts w:hint="cs"/>
          <w:rtl/>
        </w:rPr>
        <w:t>דברי הכס"מ דמבואר ברמב"ם דבחתך חלב מהעובר והניחו במעי אמו דמותר בשחיטתה</w:t>
      </w:r>
      <w:bookmarkEnd w:id="24524"/>
      <w:bookmarkEnd w:id="24525"/>
      <w:bookmarkEnd w:id="24526"/>
      <w:bookmarkEnd w:id="24527"/>
      <w:bookmarkEnd w:id="24528"/>
      <w:bookmarkEnd w:id="24529"/>
      <w:bookmarkEnd w:id="24530"/>
      <w:bookmarkEnd w:id="24531"/>
      <w:bookmarkEnd w:id="24532"/>
    </w:p>
    <w:p w14:paraId="0A5CB72A" w14:textId="77777777" w:rsidR="003D504D" w:rsidRDefault="003D504D" w:rsidP="00223668">
      <w:pPr>
        <w:pStyle w:val="a0"/>
        <w:rPr>
          <w:rtl/>
        </w:rPr>
      </w:pPr>
      <w:bookmarkStart w:id="24533" w:name="_Ref3132636"/>
      <w:bookmarkStart w:id="24534" w:name="_Ref4009004"/>
      <w:r>
        <w:rPr>
          <w:rFonts w:hint="cs"/>
          <w:rtl/>
        </w:rPr>
        <w:t xml:space="preserve">כתב </w:t>
      </w:r>
      <w:r>
        <w:rPr>
          <w:rStyle w:val="af9"/>
          <w:rFonts w:hint="cs"/>
          <w:rtl/>
        </w:rPr>
        <w:t>ב</w:t>
      </w:r>
      <w:r w:rsidRPr="00A56264">
        <w:rPr>
          <w:rStyle w:val="af9"/>
          <w:rFonts w:hint="cs"/>
          <w:rtl/>
        </w:rPr>
        <w:t>כס"מ</w:t>
      </w:r>
      <w:r w:rsidRPr="00A56264">
        <w:rPr>
          <w:rStyle w:val="af7"/>
          <w:rFonts w:eastAsia="Guttman Hodes" w:hint="cs"/>
          <w:rtl/>
        </w:rPr>
        <w:t xml:space="preserve"> (מאכ"א פ"ז ה"ד) </w:t>
      </w:r>
      <w:r w:rsidRPr="005B12E2">
        <w:rPr>
          <w:rStyle w:val="af9"/>
          <w:rFonts w:hint="cs"/>
          <w:rtl/>
        </w:rPr>
        <w:t>ובב"י</w:t>
      </w:r>
      <w:r>
        <w:rPr>
          <w:rFonts w:hint="cs"/>
          <w:rtl/>
        </w:rPr>
        <w:t xml:space="preserve"> </w:t>
      </w:r>
      <w:r w:rsidRPr="005B12E2">
        <w:rPr>
          <w:rStyle w:val="af7"/>
          <w:rFonts w:eastAsia="Guttman Hodes" w:hint="cs"/>
          <w:rtl/>
        </w:rPr>
        <w:t>(סי' ס"ד ג')</w:t>
      </w:r>
      <w:r>
        <w:rPr>
          <w:rFonts w:hint="cs"/>
          <w:rtl/>
        </w:rPr>
        <w:t xml:space="preserve"> דמדכתב </w:t>
      </w:r>
      <w:r w:rsidRPr="00A56264">
        <w:rPr>
          <w:rStyle w:val="af9"/>
          <w:rFonts w:hint="cs"/>
          <w:rtl/>
        </w:rPr>
        <w:t>הרמב"ם</w:t>
      </w:r>
      <w:r>
        <w:rPr>
          <w:rFonts w:hint="cs"/>
          <w:rtl/>
        </w:rPr>
        <w:t xml:space="preserve"> </w:t>
      </w:r>
      <w:r w:rsidRPr="00226E4C">
        <w:rPr>
          <w:rStyle w:val="af7"/>
          <w:rFonts w:eastAsia="Guttman Hodes" w:hint="cs"/>
          <w:rtl/>
        </w:rPr>
        <w:t xml:space="preserve">(עי' אות </w:t>
      </w:r>
      <w:r w:rsidRPr="00226E4C">
        <w:rPr>
          <w:rStyle w:val="af7"/>
          <w:rFonts w:eastAsia="Guttman Hodes"/>
          <w:rtl/>
        </w:rPr>
        <w:fldChar w:fldCharType="begin"/>
      </w:r>
      <w:r w:rsidRPr="00226E4C">
        <w:rPr>
          <w:rStyle w:val="af7"/>
          <w:rFonts w:eastAsia="Guttman Hodes"/>
          <w:rtl/>
        </w:rPr>
        <w:instrText xml:space="preserve"> </w:instrText>
      </w:r>
      <w:r w:rsidRPr="00226E4C">
        <w:rPr>
          <w:rStyle w:val="af7"/>
          <w:rFonts w:eastAsia="Guttman Hodes" w:hint="cs"/>
        </w:rPr>
        <w:instrText>REF</w:instrText>
      </w:r>
      <w:r w:rsidRPr="00226E4C">
        <w:rPr>
          <w:rStyle w:val="af7"/>
          <w:rFonts w:eastAsia="Guttman Hodes" w:hint="cs"/>
          <w:rtl/>
        </w:rPr>
        <w:instrText xml:space="preserve"> _</w:instrText>
      </w:r>
      <w:r w:rsidRPr="00226E4C">
        <w:rPr>
          <w:rStyle w:val="af7"/>
          <w:rFonts w:eastAsia="Guttman Hodes" w:hint="cs"/>
        </w:rPr>
        <w:instrText>Ref3132973 \r \h</w:instrText>
      </w:r>
      <w:r w:rsidRPr="00226E4C">
        <w:rPr>
          <w:rStyle w:val="af7"/>
          <w:rFonts w:eastAsia="Guttman Hodes"/>
          <w:rtl/>
        </w:rPr>
        <w:instrText xml:space="preserve"> </w:instrText>
      </w:r>
      <w:r w:rsidRPr="00226E4C">
        <w:rPr>
          <w:rStyle w:val="af7"/>
          <w:rFonts w:eastAsia="Guttman Hodes"/>
          <w:rtl/>
        </w:rPr>
      </w:r>
      <w:r w:rsidRPr="00226E4C">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226E4C">
        <w:rPr>
          <w:rStyle w:val="af7"/>
          <w:rFonts w:eastAsia="Guttman Hodes"/>
          <w:rtl/>
        </w:rPr>
        <w:fldChar w:fldCharType="end"/>
      </w:r>
      <w:r>
        <w:rPr>
          <w:rFonts w:hint="cs"/>
          <w:rtl/>
        </w:rPr>
        <w:t xml:space="preserve"> דבהושיט ידו למעי בהמה ותלש חלב מהעובר והוציאו לחוץ אסור, משמע דאם</w:t>
      </w:r>
      <w:r w:rsidRPr="00BC1ADE">
        <w:rPr>
          <w:rFonts w:hint="cs"/>
          <w:rtl/>
        </w:rPr>
        <w:t xml:space="preserve"> </w:t>
      </w:r>
      <w:r>
        <w:rPr>
          <w:rFonts w:hint="cs"/>
          <w:rtl/>
        </w:rPr>
        <w:t xml:space="preserve">לא הוציאו לחוץ, אלא הניח את החלב שתלש במעי הבהמה ושחטה, דהחלב מותר, וכתב </w:t>
      </w:r>
      <w:r w:rsidRPr="00A56264">
        <w:rPr>
          <w:rStyle w:val="af9"/>
          <w:rFonts w:hint="cs"/>
          <w:rtl/>
        </w:rPr>
        <w:t>הכס"מ</w:t>
      </w:r>
      <w:r>
        <w:rPr>
          <w:rFonts w:hint="cs"/>
          <w:rtl/>
        </w:rPr>
        <w:t xml:space="preserve"> דכן דעת </w:t>
      </w:r>
      <w:r w:rsidRPr="00A56264">
        <w:rPr>
          <w:rStyle w:val="af9"/>
          <w:rFonts w:hint="cs"/>
          <w:rtl/>
        </w:rPr>
        <w:t>הרא"ש</w:t>
      </w:r>
      <w:r>
        <w:rPr>
          <w:rFonts w:hint="cs"/>
          <w:rtl/>
        </w:rPr>
        <w:t xml:space="preserve"> </w:t>
      </w:r>
      <w:r w:rsidRPr="00A56264">
        <w:rPr>
          <w:rStyle w:val="af9"/>
          <w:rFonts w:hint="cs"/>
          <w:rtl/>
        </w:rPr>
        <w:t>והרשב"א</w:t>
      </w:r>
      <w:r>
        <w:rPr>
          <w:rFonts w:hint="cs"/>
          <w:rtl/>
        </w:rPr>
        <w:t xml:space="preserve"> </w:t>
      </w:r>
      <w:r w:rsidRPr="00A56264">
        <w:rPr>
          <w:rStyle w:val="af9"/>
          <w:rFonts w:hint="cs"/>
          <w:rtl/>
        </w:rPr>
        <w:t>והר"ן</w:t>
      </w:r>
      <w:r>
        <w:rPr>
          <w:rFonts w:hint="cs"/>
          <w:rtl/>
        </w:rPr>
        <w:t xml:space="preserve"> </w:t>
      </w:r>
      <w:r w:rsidRPr="00BE3247">
        <w:rPr>
          <w:rStyle w:val="af7"/>
          <w:rFonts w:eastAsia="Guttman Hodes" w:hint="cs"/>
          <w:rtl/>
        </w:rPr>
        <w:t xml:space="preserve">(עי' אות </w:t>
      </w:r>
      <w:r w:rsidRPr="00BE3247">
        <w:rPr>
          <w:rStyle w:val="af7"/>
          <w:rFonts w:eastAsia="Guttman Hodes"/>
          <w:rtl/>
        </w:rPr>
        <w:fldChar w:fldCharType="begin"/>
      </w:r>
      <w:r w:rsidRPr="00BE3247">
        <w:rPr>
          <w:rStyle w:val="af7"/>
          <w:rFonts w:eastAsia="Guttman Hodes"/>
          <w:rtl/>
        </w:rPr>
        <w:instrText xml:space="preserve"> </w:instrText>
      </w:r>
      <w:r w:rsidRPr="00BE3247">
        <w:rPr>
          <w:rStyle w:val="af7"/>
          <w:rFonts w:eastAsia="Guttman Hodes" w:hint="cs"/>
        </w:rPr>
        <w:instrText>REF</w:instrText>
      </w:r>
      <w:r w:rsidRPr="00BE3247">
        <w:rPr>
          <w:rStyle w:val="af7"/>
          <w:rFonts w:eastAsia="Guttman Hodes" w:hint="cs"/>
          <w:rtl/>
        </w:rPr>
        <w:instrText xml:space="preserve"> _</w:instrText>
      </w:r>
      <w:r w:rsidRPr="00BE3247">
        <w:rPr>
          <w:rStyle w:val="af7"/>
          <w:rFonts w:eastAsia="Guttman Hodes" w:hint="cs"/>
        </w:rPr>
        <w:instrText>Ref4142423 \r \h</w:instrText>
      </w:r>
      <w:r w:rsidRPr="00BE3247">
        <w:rPr>
          <w:rStyle w:val="af7"/>
          <w:rFonts w:eastAsia="Guttman Hodes"/>
          <w:rtl/>
        </w:rPr>
        <w:instrText xml:space="preserve"> </w:instrText>
      </w:r>
      <w:r w:rsidRPr="00BE3247">
        <w:rPr>
          <w:rStyle w:val="af7"/>
          <w:rFonts w:eastAsia="Guttman Hodes"/>
          <w:rtl/>
        </w:rPr>
      </w:r>
      <w:r w:rsidRPr="00BE3247">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BE3247">
        <w:rPr>
          <w:rStyle w:val="af7"/>
          <w:rFonts w:eastAsia="Guttman Hodes"/>
          <w:rtl/>
        </w:rPr>
        <w:fldChar w:fldCharType="end"/>
      </w:r>
      <w:r>
        <w:rPr>
          <w:rFonts w:hint="cs"/>
          <w:rtl/>
        </w:rPr>
        <w:t>,</w:t>
      </w:r>
      <w:r w:rsidRPr="00FA2564">
        <w:rPr>
          <w:rFonts w:hint="cs"/>
          <w:rtl/>
        </w:rPr>
        <w:t xml:space="preserve"> </w:t>
      </w:r>
      <w:r>
        <w:rPr>
          <w:rFonts w:hint="cs"/>
          <w:rtl/>
        </w:rPr>
        <w:t xml:space="preserve">אמנם יעוי' בדברי </w:t>
      </w:r>
      <w:r w:rsidRPr="00FA2564">
        <w:rPr>
          <w:rStyle w:val="af9"/>
          <w:rFonts w:hint="cs"/>
          <w:rtl/>
        </w:rPr>
        <w:t>הזכר יצחק</w:t>
      </w:r>
      <w:r>
        <w:rPr>
          <w:rFonts w:hint="cs"/>
          <w:rtl/>
        </w:rPr>
        <w:t xml:space="preserve"> </w:t>
      </w:r>
      <w:r w:rsidRPr="00FA2564">
        <w:rPr>
          <w:rStyle w:val="af7"/>
          <w:rFonts w:eastAsia="Guttman Hodes" w:hint="cs"/>
          <w:rtl/>
        </w:rPr>
        <w:t>(ח"א סי' ל"ה ד"ה עתה נברר)</w:t>
      </w:r>
      <w:r>
        <w:rPr>
          <w:rFonts w:hint="cs"/>
          <w:rtl/>
        </w:rPr>
        <w:t xml:space="preserve"> </w:t>
      </w:r>
      <w:r w:rsidRPr="008F7C71">
        <w:rPr>
          <w:rStyle w:val="af9"/>
          <w:rFonts w:hint="cs"/>
          <w:rtl/>
        </w:rPr>
        <w:t>והאבהא"ז</w:t>
      </w:r>
      <w:r>
        <w:rPr>
          <w:rFonts w:hint="cs"/>
          <w:rtl/>
        </w:rPr>
        <w:t xml:space="preserve"> </w:t>
      </w:r>
      <w:r w:rsidRPr="008F7C71">
        <w:rPr>
          <w:rStyle w:val="af7"/>
          <w:rFonts w:eastAsia="Guttman Hodes" w:hint="cs"/>
          <w:rtl/>
        </w:rPr>
        <w:t xml:space="preserve">(עי' אות </w:t>
      </w:r>
      <w:r w:rsidRPr="008F7C71">
        <w:rPr>
          <w:rStyle w:val="af7"/>
          <w:rFonts w:eastAsia="Guttman Hodes"/>
          <w:rtl/>
        </w:rPr>
        <w:fldChar w:fldCharType="begin"/>
      </w:r>
      <w:r w:rsidRPr="008F7C71">
        <w:rPr>
          <w:rStyle w:val="af7"/>
          <w:rFonts w:eastAsia="Guttman Hodes"/>
          <w:rtl/>
        </w:rPr>
        <w:instrText xml:space="preserve"> </w:instrText>
      </w:r>
      <w:r w:rsidRPr="008F7C71">
        <w:rPr>
          <w:rStyle w:val="af7"/>
          <w:rFonts w:eastAsia="Guttman Hodes" w:hint="cs"/>
        </w:rPr>
        <w:instrText>REF</w:instrText>
      </w:r>
      <w:r w:rsidRPr="008F7C71">
        <w:rPr>
          <w:rStyle w:val="af7"/>
          <w:rFonts w:eastAsia="Guttman Hodes" w:hint="cs"/>
          <w:rtl/>
        </w:rPr>
        <w:instrText xml:space="preserve"> _</w:instrText>
      </w:r>
      <w:r w:rsidRPr="008F7C71">
        <w:rPr>
          <w:rStyle w:val="af7"/>
          <w:rFonts w:eastAsia="Guttman Hodes" w:hint="cs"/>
        </w:rPr>
        <w:instrText>Ref4150590 \r \h</w:instrText>
      </w:r>
      <w:r w:rsidRPr="008F7C71">
        <w:rPr>
          <w:rStyle w:val="af7"/>
          <w:rFonts w:eastAsia="Guttman Hodes"/>
          <w:rtl/>
        </w:rPr>
        <w:instrText xml:space="preserve"> </w:instrText>
      </w:r>
      <w:r w:rsidRPr="008F7C71">
        <w:rPr>
          <w:rStyle w:val="af7"/>
          <w:rFonts w:eastAsia="Guttman Hodes"/>
          <w:rtl/>
        </w:rPr>
      </w:r>
      <w:r w:rsidRPr="008F7C71">
        <w:rPr>
          <w:rStyle w:val="af7"/>
          <w:rFonts w:eastAsia="Guttman Hodes"/>
          <w:rtl/>
        </w:rPr>
        <w:fldChar w:fldCharType="separate"/>
      </w:r>
      <w:r w:rsidR="00345400">
        <w:rPr>
          <w:rStyle w:val="af7"/>
          <w:rFonts w:eastAsia="Guttman Hodes"/>
          <w:cs/>
        </w:rPr>
        <w:t>‎</w:t>
      </w:r>
      <w:r w:rsidR="00345400">
        <w:rPr>
          <w:rStyle w:val="af7"/>
          <w:rFonts w:eastAsia="Guttman Hodes"/>
          <w:rtl/>
        </w:rPr>
        <w:t>קטו)</w:t>
      </w:r>
      <w:r w:rsidRPr="008F7C71">
        <w:rPr>
          <w:rStyle w:val="af7"/>
          <w:rFonts w:eastAsia="Guttman Hodes"/>
          <w:rtl/>
        </w:rPr>
        <w:fldChar w:fldCharType="end"/>
      </w:r>
      <w:r>
        <w:rPr>
          <w:rFonts w:hint="cs"/>
          <w:rtl/>
        </w:rPr>
        <w:t xml:space="preserve"> במה שדחו את דיוק </w:t>
      </w:r>
      <w:r w:rsidRPr="00FA2564">
        <w:rPr>
          <w:rStyle w:val="af9"/>
          <w:rFonts w:hint="cs"/>
          <w:rtl/>
        </w:rPr>
        <w:t>הכס"מ</w:t>
      </w:r>
      <w:r>
        <w:rPr>
          <w:rFonts w:hint="cs"/>
          <w:rtl/>
        </w:rPr>
        <w:t xml:space="preserve"> מדברי </w:t>
      </w:r>
      <w:r w:rsidRPr="00FA2564">
        <w:rPr>
          <w:rStyle w:val="af9"/>
          <w:rFonts w:hint="cs"/>
          <w:rtl/>
        </w:rPr>
        <w:t>הרמב"ם</w:t>
      </w:r>
      <w:bookmarkEnd w:id="24533"/>
      <w:bookmarkEnd w:id="24534"/>
      <w:r>
        <w:rPr>
          <w:rFonts w:hint="cs"/>
          <w:rtl/>
        </w:rPr>
        <w:t>.</w:t>
      </w:r>
    </w:p>
    <w:p w14:paraId="21EB8247" w14:textId="77777777" w:rsidR="003D504D" w:rsidRPr="00BC0461" w:rsidRDefault="003D504D" w:rsidP="003D504D">
      <w:pPr>
        <w:pStyle w:val="a3"/>
        <w:rPr>
          <w:rtl/>
        </w:rPr>
      </w:pPr>
      <w:bookmarkStart w:id="24535" w:name="_Toc3978459"/>
      <w:bookmarkStart w:id="24536" w:name="_Toc4012309"/>
      <w:bookmarkStart w:id="24537" w:name="_Toc4013335"/>
      <w:bookmarkStart w:id="24538" w:name="_Toc4022843"/>
      <w:bookmarkStart w:id="24539" w:name="_Toc4026668"/>
      <w:bookmarkStart w:id="24540" w:name="_Toc4139468"/>
      <w:bookmarkStart w:id="24541" w:name="_Toc4151562"/>
      <w:bookmarkStart w:id="24542" w:name="_Toc19392013"/>
      <w:bookmarkStart w:id="24543" w:name="_Toc19395510"/>
      <w:r>
        <w:rPr>
          <w:rFonts w:hint="cs"/>
          <w:rtl/>
        </w:rPr>
        <w:t>ביאור הכס"מ דאף לר"מ רק החלב שבעובר אסור דהוא אבר בפנ"ע אך החלב שנחתך מותר</w:t>
      </w:r>
      <w:bookmarkEnd w:id="24535"/>
      <w:bookmarkEnd w:id="24536"/>
      <w:bookmarkEnd w:id="24537"/>
      <w:bookmarkEnd w:id="24538"/>
      <w:bookmarkEnd w:id="24539"/>
      <w:bookmarkEnd w:id="24540"/>
      <w:bookmarkEnd w:id="24541"/>
      <w:bookmarkEnd w:id="24542"/>
      <w:bookmarkEnd w:id="24543"/>
    </w:p>
    <w:p w14:paraId="62F1A439" w14:textId="77777777" w:rsidR="003D504D" w:rsidRPr="008F7C71" w:rsidRDefault="003D504D" w:rsidP="00223668">
      <w:pPr>
        <w:pStyle w:val="a0"/>
        <w:rPr>
          <w:rtl/>
        </w:rPr>
      </w:pPr>
      <w:bookmarkStart w:id="24544" w:name="_Ref3132609"/>
      <w:r>
        <w:rPr>
          <w:rFonts w:hint="cs"/>
          <w:rtl/>
        </w:rPr>
        <w:t xml:space="preserve">וביאר </w:t>
      </w:r>
      <w:r w:rsidRPr="00A56264">
        <w:rPr>
          <w:rStyle w:val="af9"/>
          <w:rFonts w:hint="cs"/>
          <w:rtl/>
        </w:rPr>
        <w:t>הכס"מ</w:t>
      </w:r>
      <w:r>
        <w:rPr>
          <w:rStyle w:val="af9"/>
          <w:rFonts w:hint="cs"/>
          <w:rtl/>
        </w:rPr>
        <w:t xml:space="preserve"> והב"י</w:t>
      </w:r>
      <w:r>
        <w:rPr>
          <w:rFonts w:hint="cs"/>
          <w:rtl/>
        </w:rPr>
        <w:t xml:space="preserve"> דאעפ"י </w:t>
      </w:r>
      <w:r w:rsidRPr="00A56264">
        <w:rPr>
          <w:rStyle w:val="af9"/>
          <w:rFonts w:hint="cs"/>
          <w:rtl/>
        </w:rPr>
        <w:t>שהרמב"ם</w:t>
      </w:r>
      <w:r>
        <w:rPr>
          <w:rFonts w:hint="cs"/>
          <w:rtl/>
        </w:rPr>
        <w:t xml:space="preserve"> פסק כר"מ דחלב דבן ט' חי אינו מותר בשחיטת אמו, זהו דוקא לענין העובר עצמו, דהוא נחשב אבר בפנ"ע לדעת ר"מ, אבל החלב שחתך מהעובר ונשאר במעי הבהמה, אף לדעת ר"מ הוא בכלל היתר "כל בבהמה תאכלו", ועי' במ"ש בזה </w:t>
      </w:r>
      <w:r w:rsidRPr="007F0978">
        <w:rPr>
          <w:rStyle w:val="af9"/>
          <w:rFonts w:hint="cs"/>
          <w:rtl/>
        </w:rPr>
        <w:t xml:space="preserve">הראש </w:t>
      </w:r>
      <w:r w:rsidRPr="008F7C71">
        <w:rPr>
          <w:rStyle w:val="af9"/>
          <w:rFonts w:hint="cs"/>
          <w:rtl/>
        </w:rPr>
        <w:t>יוסף לקמן</w:t>
      </w:r>
      <w:r w:rsidRPr="008F7C71">
        <w:rPr>
          <w:rFonts w:hint="cs"/>
          <w:rtl/>
        </w:rPr>
        <w:t xml:space="preserve"> </w:t>
      </w:r>
      <w:r w:rsidRPr="008F7C71">
        <w:rPr>
          <w:rStyle w:val="af7"/>
          <w:rFonts w:eastAsia="Guttman Hodes" w:hint="cs"/>
          <w:rtl/>
        </w:rPr>
        <w:t xml:space="preserve">(צב: ד"ה ודע אף) </w:t>
      </w:r>
      <w:r w:rsidRPr="008F7C71">
        <w:rPr>
          <w:rStyle w:val="af9"/>
          <w:rFonts w:hint="cs"/>
          <w:rtl/>
        </w:rPr>
        <w:t>והתורת יקותיאל</w:t>
      </w:r>
      <w:r w:rsidRPr="008F7C71">
        <w:rPr>
          <w:rFonts w:hint="cs"/>
          <w:rtl/>
        </w:rPr>
        <w:t xml:space="preserve"> </w:t>
      </w:r>
      <w:r w:rsidRPr="008F7C71">
        <w:rPr>
          <w:rStyle w:val="af7"/>
          <w:rFonts w:eastAsia="Guttman Hodes" w:hint="cs"/>
          <w:rtl/>
        </w:rPr>
        <w:t>(סי' ס"ד סק"ב)</w:t>
      </w:r>
      <w:bookmarkEnd w:id="24544"/>
      <w:r w:rsidRPr="008F7C71">
        <w:rPr>
          <w:rFonts w:hint="cs"/>
          <w:rtl/>
        </w:rPr>
        <w:t>, וע</w:t>
      </w:r>
      <w:r>
        <w:rPr>
          <w:rFonts w:hint="cs"/>
          <w:rtl/>
        </w:rPr>
        <w:t>"ע</w:t>
      </w:r>
      <w:r w:rsidRPr="008F7C71">
        <w:rPr>
          <w:rFonts w:hint="cs"/>
          <w:rtl/>
        </w:rPr>
        <w:t xml:space="preserve"> במה שהקשה </w:t>
      </w:r>
      <w:r w:rsidRPr="008F7C71">
        <w:rPr>
          <w:rStyle w:val="af9"/>
          <w:rFonts w:hint="cs"/>
          <w:rtl/>
        </w:rPr>
        <w:t xml:space="preserve">האמרי משה </w:t>
      </w:r>
      <w:r w:rsidRPr="008F7C71">
        <w:rPr>
          <w:rStyle w:val="af7"/>
          <w:rFonts w:eastAsia="Guttman Hodes" w:hint="cs"/>
          <w:rtl/>
        </w:rPr>
        <w:t xml:space="preserve">(עי' אות </w:t>
      </w:r>
      <w:r w:rsidRPr="008F7C71">
        <w:rPr>
          <w:rStyle w:val="af7"/>
          <w:rFonts w:eastAsia="Guttman Hodes"/>
          <w:rtl/>
        </w:rPr>
        <w:fldChar w:fldCharType="begin"/>
      </w:r>
      <w:r w:rsidRPr="008F7C71">
        <w:rPr>
          <w:rStyle w:val="af7"/>
          <w:rFonts w:eastAsia="Guttman Hodes"/>
          <w:rtl/>
        </w:rPr>
        <w:instrText xml:space="preserve"> </w:instrText>
      </w:r>
      <w:r w:rsidRPr="008F7C71">
        <w:rPr>
          <w:rStyle w:val="af7"/>
          <w:rFonts w:eastAsia="Guttman Hodes" w:hint="cs"/>
        </w:rPr>
        <w:instrText>REF</w:instrText>
      </w:r>
      <w:r w:rsidRPr="008F7C71">
        <w:rPr>
          <w:rStyle w:val="af7"/>
          <w:rFonts w:eastAsia="Guttman Hodes" w:hint="cs"/>
          <w:rtl/>
        </w:rPr>
        <w:instrText xml:space="preserve"> _</w:instrText>
      </w:r>
      <w:r w:rsidRPr="008F7C71">
        <w:rPr>
          <w:rStyle w:val="af7"/>
          <w:rFonts w:eastAsia="Guttman Hodes" w:hint="cs"/>
        </w:rPr>
        <w:instrText>Ref4150380 \r \h</w:instrText>
      </w:r>
      <w:r w:rsidRPr="008F7C7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8F7C71">
        <w:rPr>
          <w:rStyle w:val="af7"/>
          <w:rFonts w:eastAsia="Guttman Hodes"/>
          <w:rtl/>
        </w:rPr>
      </w:r>
      <w:r w:rsidRPr="008F7C71">
        <w:rPr>
          <w:rStyle w:val="af7"/>
          <w:rFonts w:eastAsia="Guttman Hodes"/>
          <w:rtl/>
        </w:rPr>
        <w:fldChar w:fldCharType="separate"/>
      </w:r>
      <w:r w:rsidR="00345400">
        <w:rPr>
          <w:rStyle w:val="af7"/>
          <w:rFonts w:eastAsia="Guttman Hodes"/>
          <w:cs/>
        </w:rPr>
        <w:t>‎</w:t>
      </w:r>
      <w:r w:rsidR="00345400">
        <w:rPr>
          <w:rStyle w:val="af7"/>
          <w:rFonts w:eastAsia="Guttman Hodes"/>
          <w:rtl/>
        </w:rPr>
        <w:t>פג)</w:t>
      </w:r>
      <w:r w:rsidRPr="008F7C71">
        <w:rPr>
          <w:rStyle w:val="af7"/>
          <w:rFonts w:eastAsia="Guttman Hodes"/>
          <w:rtl/>
        </w:rPr>
        <w:fldChar w:fldCharType="end"/>
      </w:r>
      <w:r w:rsidRPr="008F7C71">
        <w:rPr>
          <w:rStyle w:val="af7"/>
          <w:rFonts w:eastAsia="Guttman Hodes" w:hint="cs"/>
          <w:rtl/>
        </w:rPr>
        <w:t xml:space="preserve"> </w:t>
      </w:r>
      <w:r>
        <w:rPr>
          <w:rFonts w:hint="cs"/>
          <w:rtl/>
        </w:rPr>
        <w:t xml:space="preserve">על ביאור </w:t>
      </w:r>
      <w:r w:rsidRPr="008F7C71">
        <w:rPr>
          <w:rStyle w:val="af9"/>
          <w:rFonts w:hint="cs"/>
          <w:rtl/>
        </w:rPr>
        <w:t>הכס"מ</w:t>
      </w:r>
      <w:r>
        <w:rPr>
          <w:rFonts w:hint="cs"/>
          <w:rtl/>
        </w:rPr>
        <w:t xml:space="preserve"> </w:t>
      </w:r>
      <w:r w:rsidRPr="008F7C71">
        <w:rPr>
          <w:rFonts w:hint="cs"/>
          <w:rtl/>
        </w:rPr>
        <w:t xml:space="preserve">ובמה שביארו בזה </w:t>
      </w:r>
      <w:r w:rsidRPr="008F7C71">
        <w:rPr>
          <w:rStyle w:val="af9"/>
          <w:rFonts w:hint="cs"/>
          <w:rtl/>
        </w:rPr>
        <w:t xml:space="preserve">האמרי משה </w:t>
      </w:r>
      <w:r w:rsidRPr="008F7C71">
        <w:rPr>
          <w:rStyle w:val="af7"/>
          <w:rFonts w:eastAsia="Guttman Hodes" w:hint="cs"/>
          <w:rtl/>
        </w:rPr>
        <w:t xml:space="preserve">(עי' אות </w:t>
      </w:r>
      <w:r w:rsidRPr="008F7C71">
        <w:rPr>
          <w:rStyle w:val="af7"/>
          <w:rFonts w:eastAsia="Guttman Hodes"/>
          <w:rtl/>
        </w:rPr>
        <w:fldChar w:fldCharType="begin"/>
      </w:r>
      <w:r w:rsidRPr="008F7C71">
        <w:rPr>
          <w:rStyle w:val="af7"/>
          <w:rFonts w:eastAsia="Guttman Hodes"/>
          <w:rtl/>
        </w:rPr>
        <w:instrText xml:space="preserve"> </w:instrText>
      </w:r>
      <w:r w:rsidRPr="008F7C71">
        <w:rPr>
          <w:rStyle w:val="af7"/>
          <w:rFonts w:eastAsia="Guttman Hodes" w:hint="cs"/>
        </w:rPr>
        <w:instrText>REF</w:instrText>
      </w:r>
      <w:r w:rsidRPr="008F7C71">
        <w:rPr>
          <w:rStyle w:val="af7"/>
          <w:rFonts w:eastAsia="Guttman Hodes" w:hint="cs"/>
          <w:rtl/>
        </w:rPr>
        <w:instrText xml:space="preserve"> _</w:instrText>
      </w:r>
      <w:r w:rsidRPr="008F7C71">
        <w:rPr>
          <w:rStyle w:val="af7"/>
          <w:rFonts w:eastAsia="Guttman Hodes" w:hint="cs"/>
        </w:rPr>
        <w:instrText>Ref4011697 \r \h</w:instrText>
      </w:r>
      <w:r w:rsidRPr="008F7C7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8F7C71">
        <w:rPr>
          <w:rStyle w:val="af7"/>
          <w:rFonts w:eastAsia="Guttman Hodes"/>
          <w:rtl/>
        </w:rPr>
      </w:r>
      <w:r w:rsidRPr="008F7C71">
        <w:rPr>
          <w:rStyle w:val="af7"/>
          <w:rFonts w:eastAsia="Guttman Hodes"/>
          <w:rtl/>
        </w:rPr>
        <w:fldChar w:fldCharType="separate"/>
      </w:r>
      <w:r w:rsidR="00345400">
        <w:rPr>
          <w:rStyle w:val="af7"/>
          <w:rFonts w:eastAsia="Guttman Hodes"/>
          <w:cs/>
        </w:rPr>
        <w:t>‎</w:t>
      </w:r>
      <w:r w:rsidR="00345400">
        <w:rPr>
          <w:rStyle w:val="af7"/>
          <w:rFonts w:eastAsia="Guttman Hodes"/>
          <w:rtl/>
        </w:rPr>
        <w:t>צ)</w:t>
      </w:r>
      <w:r w:rsidRPr="008F7C71">
        <w:rPr>
          <w:rStyle w:val="af7"/>
          <w:rFonts w:eastAsia="Guttman Hodes"/>
          <w:rtl/>
        </w:rPr>
        <w:fldChar w:fldCharType="end"/>
      </w:r>
      <w:r w:rsidRPr="008F7C71">
        <w:rPr>
          <w:rFonts w:hint="cs"/>
          <w:rtl/>
        </w:rPr>
        <w:t xml:space="preserve"> </w:t>
      </w:r>
      <w:r w:rsidRPr="008F7C71">
        <w:rPr>
          <w:rStyle w:val="af9"/>
          <w:rFonts w:hint="cs"/>
          <w:rtl/>
        </w:rPr>
        <w:t>והאבי עזרי</w:t>
      </w:r>
      <w:r w:rsidRPr="008F7C71">
        <w:rPr>
          <w:rFonts w:hint="cs"/>
          <w:rtl/>
        </w:rPr>
        <w:t xml:space="preserve"> </w:t>
      </w:r>
      <w:r w:rsidRPr="008F7C71">
        <w:rPr>
          <w:rStyle w:val="af7"/>
          <w:rFonts w:eastAsia="Guttman Hodes" w:hint="cs"/>
          <w:rtl/>
        </w:rPr>
        <w:t xml:space="preserve">(עי' אות </w:t>
      </w:r>
      <w:r w:rsidRPr="008F7C71">
        <w:rPr>
          <w:rStyle w:val="af7"/>
          <w:rFonts w:eastAsia="Guttman Hodes"/>
          <w:rtl/>
        </w:rPr>
        <w:fldChar w:fldCharType="begin"/>
      </w:r>
      <w:r w:rsidRPr="008F7C71">
        <w:rPr>
          <w:rStyle w:val="af7"/>
          <w:rFonts w:eastAsia="Guttman Hodes"/>
          <w:rtl/>
        </w:rPr>
        <w:instrText xml:space="preserve"> </w:instrText>
      </w:r>
      <w:r w:rsidRPr="008F7C71">
        <w:rPr>
          <w:rStyle w:val="af7"/>
          <w:rFonts w:eastAsia="Guttman Hodes" w:hint="cs"/>
        </w:rPr>
        <w:instrText>REF</w:instrText>
      </w:r>
      <w:r w:rsidRPr="008F7C71">
        <w:rPr>
          <w:rStyle w:val="af7"/>
          <w:rFonts w:eastAsia="Guttman Hodes" w:hint="cs"/>
          <w:rtl/>
        </w:rPr>
        <w:instrText xml:space="preserve"> _</w:instrText>
      </w:r>
      <w:r w:rsidRPr="008F7C71">
        <w:rPr>
          <w:rStyle w:val="af7"/>
          <w:rFonts w:eastAsia="Guttman Hodes" w:hint="cs"/>
        </w:rPr>
        <w:instrText>Ref3201339 \r \h</w:instrText>
      </w:r>
      <w:r w:rsidRPr="008F7C71">
        <w:rPr>
          <w:rStyle w:val="af7"/>
          <w:rFonts w:eastAsia="Guttman Hodes"/>
          <w:rtl/>
        </w:rPr>
        <w:instrText xml:space="preserve">  \* </w:instrText>
      </w:r>
      <w:r w:rsidRPr="008F7C71">
        <w:rPr>
          <w:rStyle w:val="af7"/>
          <w:rFonts w:eastAsia="Guttman Hodes"/>
        </w:rPr>
        <w:instrText>MERGEFORMAT</w:instrText>
      </w:r>
      <w:r w:rsidRPr="008F7C71">
        <w:rPr>
          <w:rStyle w:val="af7"/>
          <w:rFonts w:eastAsia="Guttman Hodes"/>
          <w:rtl/>
        </w:rPr>
        <w:instrText xml:space="preserve"> </w:instrText>
      </w:r>
      <w:r w:rsidRPr="008F7C71">
        <w:rPr>
          <w:rStyle w:val="af7"/>
          <w:rFonts w:eastAsia="Guttman Hodes"/>
          <w:rtl/>
        </w:rPr>
      </w:r>
      <w:r w:rsidRPr="008F7C71">
        <w:rPr>
          <w:rStyle w:val="af7"/>
          <w:rFonts w:eastAsia="Guttman Hodes"/>
          <w:rtl/>
        </w:rPr>
        <w:fldChar w:fldCharType="separate"/>
      </w:r>
      <w:r w:rsidR="00345400">
        <w:rPr>
          <w:rStyle w:val="af7"/>
          <w:rFonts w:eastAsia="Guttman Hodes"/>
          <w:cs/>
        </w:rPr>
        <w:t>‎</w:t>
      </w:r>
      <w:r w:rsidR="00345400">
        <w:rPr>
          <w:rStyle w:val="af7"/>
          <w:rFonts w:eastAsia="Guttman Hodes"/>
          <w:rtl/>
        </w:rPr>
        <w:t>ק)</w:t>
      </w:r>
      <w:r w:rsidRPr="008F7C71">
        <w:rPr>
          <w:rStyle w:val="af7"/>
          <w:rFonts w:eastAsia="Guttman Hodes"/>
          <w:rtl/>
        </w:rPr>
        <w:fldChar w:fldCharType="end"/>
      </w:r>
      <w:r w:rsidRPr="008F7C71">
        <w:rPr>
          <w:rFonts w:hint="cs"/>
          <w:rtl/>
        </w:rPr>
        <w:t>.</w:t>
      </w:r>
    </w:p>
    <w:p w14:paraId="6B361504" w14:textId="77777777" w:rsidR="003D504D" w:rsidRDefault="003D504D" w:rsidP="003D504D">
      <w:pPr>
        <w:pStyle w:val="a3"/>
        <w:rPr>
          <w:rtl/>
        </w:rPr>
      </w:pPr>
      <w:bookmarkStart w:id="24545" w:name="_Toc3978460"/>
      <w:bookmarkStart w:id="24546" w:name="_Toc4012310"/>
      <w:bookmarkStart w:id="24547" w:name="_Toc4013336"/>
      <w:bookmarkStart w:id="24548" w:name="_Toc4022844"/>
      <w:bookmarkStart w:id="24549" w:name="_Toc4026669"/>
      <w:bookmarkStart w:id="24550" w:name="_Toc4139469"/>
      <w:bookmarkStart w:id="24551" w:name="_Toc4151563"/>
      <w:bookmarkStart w:id="24552" w:name="_Toc19392014"/>
      <w:bookmarkStart w:id="24553" w:name="_Toc19395511"/>
      <w:r>
        <w:rPr>
          <w:rFonts w:hint="cs"/>
          <w:rtl/>
        </w:rPr>
        <w:t>דברי הכרתי דלדעת הרמב"ם דאוסר בחלב בן ט' אף בחתך והניח במעי הבהמה אסור</w:t>
      </w:r>
      <w:bookmarkEnd w:id="24545"/>
      <w:bookmarkEnd w:id="24546"/>
      <w:bookmarkEnd w:id="24547"/>
      <w:bookmarkEnd w:id="24548"/>
      <w:bookmarkEnd w:id="24549"/>
      <w:bookmarkEnd w:id="24550"/>
      <w:bookmarkEnd w:id="24551"/>
      <w:bookmarkEnd w:id="24552"/>
      <w:bookmarkEnd w:id="24553"/>
    </w:p>
    <w:p w14:paraId="14D13364" w14:textId="77777777" w:rsidR="003D504D" w:rsidRDefault="003D504D" w:rsidP="00223668">
      <w:pPr>
        <w:pStyle w:val="a0"/>
        <w:rPr>
          <w:rtl/>
        </w:rPr>
      </w:pPr>
      <w:r>
        <w:rPr>
          <w:rFonts w:hint="cs"/>
          <w:rtl/>
        </w:rPr>
        <w:t xml:space="preserve">אבל </w:t>
      </w:r>
      <w:r w:rsidRPr="00C87547">
        <w:rPr>
          <w:rStyle w:val="af9"/>
          <w:rFonts w:hint="cs"/>
          <w:rtl/>
        </w:rPr>
        <w:t>הכרתי</w:t>
      </w:r>
      <w:r>
        <w:rPr>
          <w:rFonts w:hint="cs"/>
          <w:rtl/>
        </w:rPr>
        <w:t xml:space="preserve"> </w:t>
      </w:r>
      <w:r w:rsidRPr="00C87547">
        <w:rPr>
          <w:rStyle w:val="af7"/>
          <w:rFonts w:eastAsia="Guttman Hodes" w:hint="cs"/>
          <w:rtl/>
        </w:rPr>
        <w:t>(סי' ס"ד סק"ז)</w:t>
      </w:r>
      <w:r>
        <w:rPr>
          <w:rFonts w:hint="cs"/>
          <w:rtl/>
        </w:rPr>
        <w:t xml:space="preserve"> כתב דדוקא לדעת </w:t>
      </w:r>
      <w:r w:rsidRPr="00C87547">
        <w:rPr>
          <w:rStyle w:val="af9"/>
          <w:rFonts w:hint="cs"/>
          <w:rtl/>
        </w:rPr>
        <w:t>הראשונים</w:t>
      </w:r>
      <w:r>
        <w:rPr>
          <w:rFonts w:hint="cs"/>
          <w:rtl/>
        </w:rPr>
        <w:t xml:space="preserve"> דמתירים את החלב בשחיטת האם, מותר אם</w:t>
      </w:r>
      <w:r w:rsidRPr="00BC1ADE">
        <w:rPr>
          <w:rFonts w:hint="cs"/>
          <w:rtl/>
        </w:rPr>
        <w:t xml:space="preserve"> </w:t>
      </w:r>
      <w:r>
        <w:rPr>
          <w:rFonts w:hint="cs"/>
          <w:rtl/>
        </w:rPr>
        <w:t xml:space="preserve">לא הוציאו לחוץ והניח את החלב במעי האם, אבל לדעת </w:t>
      </w:r>
      <w:r w:rsidRPr="00C87547">
        <w:rPr>
          <w:rStyle w:val="af9"/>
          <w:rFonts w:hint="cs"/>
          <w:rtl/>
        </w:rPr>
        <w:t>הרמב"ם</w:t>
      </w:r>
      <w:r>
        <w:rPr>
          <w:rFonts w:hint="cs"/>
          <w:rtl/>
        </w:rPr>
        <w:t xml:space="preserve"> השחיטה אינה מתירה את החלב, אף אם תלשו ולא הוציאו לחוץ, והניחו במעיה ושחט את האם.</w:t>
      </w:r>
    </w:p>
    <w:p w14:paraId="38AD3D66" w14:textId="77777777" w:rsidR="003D504D" w:rsidRPr="00F21368" w:rsidRDefault="003D504D" w:rsidP="003D504D">
      <w:pPr>
        <w:pStyle w:val="a3"/>
      </w:pPr>
      <w:bookmarkStart w:id="24554" w:name="_Toc3978461"/>
      <w:bookmarkStart w:id="24555" w:name="_Toc4012311"/>
      <w:bookmarkStart w:id="24556" w:name="_Toc4013337"/>
      <w:bookmarkStart w:id="24557" w:name="_Toc4022845"/>
      <w:bookmarkStart w:id="24558" w:name="_Toc4026670"/>
      <w:bookmarkStart w:id="24559" w:name="_Toc4139470"/>
      <w:bookmarkStart w:id="24560" w:name="_Toc4151564"/>
      <w:bookmarkStart w:id="24561" w:name="_Toc19392015"/>
      <w:bookmarkStart w:id="24562" w:name="_Toc19395512"/>
      <w:r>
        <w:rPr>
          <w:rFonts w:hint="cs"/>
          <w:rtl/>
        </w:rPr>
        <w:t>קושית הפר"ח דלדברי הכס"מ אף להרמב"ם בעינן לריו"ח אוירא דעלמא וא"כ אמאי אסור בחלב</w:t>
      </w:r>
      <w:bookmarkEnd w:id="24554"/>
      <w:bookmarkEnd w:id="24555"/>
      <w:bookmarkEnd w:id="24556"/>
      <w:bookmarkEnd w:id="24557"/>
      <w:bookmarkEnd w:id="24558"/>
      <w:bookmarkEnd w:id="24559"/>
      <w:bookmarkEnd w:id="24560"/>
      <w:bookmarkEnd w:id="24561"/>
      <w:bookmarkEnd w:id="24562"/>
    </w:p>
    <w:p w14:paraId="69194320" w14:textId="77777777" w:rsidR="003D504D" w:rsidRPr="00C157EB" w:rsidRDefault="003D504D" w:rsidP="00223668">
      <w:pPr>
        <w:pStyle w:val="a0"/>
        <w:rPr>
          <w:rtl/>
        </w:rPr>
      </w:pPr>
      <w:bookmarkStart w:id="24563" w:name="_Ref4008837"/>
      <w:r w:rsidRPr="00C157EB">
        <w:rPr>
          <w:rFonts w:hint="cs"/>
          <w:rtl/>
        </w:rPr>
        <w:t xml:space="preserve">והקשה </w:t>
      </w:r>
      <w:r w:rsidRPr="00C157EB">
        <w:rPr>
          <w:rStyle w:val="af9"/>
          <w:rFonts w:hint="cs"/>
          <w:rtl/>
        </w:rPr>
        <w:t>הפר"ח</w:t>
      </w:r>
      <w:r w:rsidRPr="00C157EB">
        <w:rPr>
          <w:rFonts w:hint="cs"/>
          <w:rtl/>
        </w:rPr>
        <w:t xml:space="preserve"> </w:t>
      </w:r>
      <w:r w:rsidRPr="00C157EB">
        <w:rPr>
          <w:rStyle w:val="af7"/>
          <w:rFonts w:eastAsia="Guttman Hodes" w:hint="cs"/>
          <w:rtl/>
        </w:rPr>
        <w:t>(סי' ס"ד סק"ו)</w:t>
      </w:r>
      <w:r w:rsidRPr="00C157EB">
        <w:rPr>
          <w:rFonts w:hint="cs"/>
          <w:rtl/>
        </w:rPr>
        <w:t xml:space="preserve"> על </w:t>
      </w:r>
      <w:r w:rsidRPr="00C157EB">
        <w:rPr>
          <w:rStyle w:val="af9"/>
          <w:rFonts w:hint="cs"/>
          <w:rtl/>
        </w:rPr>
        <w:t>הכס"מ</w:t>
      </w:r>
      <w:r w:rsidRPr="00C157EB">
        <w:rPr>
          <w:rStyle w:val="af7"/>
          <w:rFonts w:eastAsia="Guttman Hodes" w:hint="cs"/>
          <w:rtl/>
        </w:rPr>
        <w:t xml:space="preserve"> </w:t>
      </w:r>
      <w:r w:rsidRPr="00C157EB">
        <w:rPr>
          <w:rFonts w:hint="cs"/>
          <w:rtl/>
        </w:rPr>
        <w:t xml:space="preserve">דאי ס"ל </w:t>
      </w:r>
      <w:r w:rsidRPr="00C157EB">
        <w:rPr>
          <w:rStyle w:val="af9"/>
          <w:rFonts w:hint="cs"/>
          <w:rtl/>
        </w:rPr>
        <w:t>להרמב"ם</w:t>
      </w:r>
      <w:r w:rsidRPr="00C157EB">
        <w:rPr>
          <w:rFonts w:hint="cs"/>
          <w:rtl/>
        </w:rPr>
        <w:t xml:space="preserve"> דבתלש חלבו ולא הוציאו לחוץ והניחו במעי הבהמה ושחטה דהחלב מותר, א"כ מוכח דס"ל </w:t>
      </w:r>
      <w:r w:rsidRPr="00C157EB">
        <w:rPr>
          <w:rStyle w:val="af9"/>
          <w:rFonts w:hint="cs"/>
          <w:rtl/>
        </w:rPr>
        <w:t xml:space="preserve">להרמב"ם </w:t>
      </w:r>
      <w:r w:rsidRPr="00C157EB">
        <w:rPr>
          <w:rFonts w:hint="cs"/>
          <w:rtl/>
        </w:rPr>
        <w:t>כדעת</w:t>
      </w:r>
      <w:r w:rsidRPr="00D32F9F">
        <w:rPr>
          <w:rStyle w:val="af9"/>
          <w:rFonts w:hint="cs"/>
          <w:rtl/>
        </w:rPr>
        <w:t xml:space="preserve"> התוס' </w:t>
      </w:r>
      <w:r w:rsidRPr="00D32F9F">
        <w:rPr>
          <w:rStyle w:val="af7"/>
          <w:rFonts w:eastAsia="Guttman Hodes" w:hint="cs"/>
          <w:rtl/>
        </w:rPr>
        <w:t xml:space="preserve">(עי' אות </w:t>
      </w:r>
      <w:r w:rsidRPr="00D32F9F">
        <w:rPr>
          <w:rStyle w:val="af7"/>
          <w:rFonts w:eastAsia="Guttman Hodes"/>
          <w:rtl/>
        </w:rPr>
        <w:fldChar w:fldCharType="begin"/>
      </w:r>
      <w:r w:rsidRPr="00D32F9F">
        <w:rPr>
          <w:rStyle w:val="af7"/>
          <w:rFonts w:eastAsia="Guttman Hodes"/>
          <w:rtl/>
        </w:rPr>
        <w:instrText xml:space="preserve"> </w:instrText>
      </w:r>
      <w:r w:rsidRPr="00D32F9F">
        <w:rPr>
          <w:rStyle w:val="af7"/>
          <w:rFonts w:eastAsia="Guttman Hodes" w:hint="cs"/>
        </w:rPr>
        <w:instrText>REF</w:instrText>
      </w:r>
      <w:r w:rsidRPr="00D32F9F">
        <w:rPr>
          <w:rStyle w:val="af7"/>
          <w:rFonts w:eastAsia="Guttman Hodes" w:hint="cs"/>
          <w:rtl/>
        </w:rPr>
        <w:instrText xml:space="preserve"> _</w:instrText>
      </w:r>
      <w:r w:rsidRPr="00D32F9F">
        <w:rPr>
          <w:rStyle w:val="af7"/>
          <w:rFonts w:eastAsia="Guttman Hodes" w:hint="cs"/>
        </w:rPr>
        <w:instrText>Ref4143378 \r \h</w:instrText>
      </w:r>
      <w:r w:rsidRPr="00D32F9F">
        <w:rPr>
          <w:rStyle w:val="af7"/>
          <w:rFonts w:eastAsia="Guttman Hodes"/>
          <w:rtl/>
        </w:rPr>
        <w:instrText xml:space="preserve"> </w:instrText>
      </w:r>
      <w:r w:rsidRPr="00D32F9F">
        <w:rPr>
          <w:rStyle w:val="af7"/>
          <w:rFonts w:eastAsia="Guttman Hodes"/>
          <w:rtl/>
        </w:rPr>
      </w:r>
      <w:r w:rsidRPr="00D32F9F">
        <w:rPr>
          <w:rStyle w:val="af7"/>
          <w:rFonts w:eastAsia="Guttman Hodes"/>
          <w:rtl/>
        </w:rPr>
        <w:fldChar w:fldCharType="separate"/>
      </w:r>
      <w:r w:rsidR="00345400">
        <w:rPr>
          <w:rStyle w:val="af7"/>
          <w:rFonts w:eastAsia="Guttman Hodes"/>
          <w:cs/>
        </w:rPr>
        <w:t>‎</w:t>
      </w:r>
      <w:r w:rsidR="00345400">
        <w:rPr>
          <w:rStyle w:val="af7"/>
          <w:rFonts w:eastAsia="Guttman Hodes"/>
          <w:rtl/>
        </w:rPr>
        <w:t>יד)</w:t>
      </w:r>
      <w:r w:rsidRPr="00D32F9F">
        <w:rPr>
          <w:rStyle w:val="af7"/>
          <w:rFonts w:eastAsia="Guttman Hodes"/>
          <w:rtl/>
        </w:rPr>
        <w:fldChar w:fldCharType="end"/>
      </w:r>
      <w:r w:rsidRPr="00C157EB">
        <w:rPr>
          <w:rFonts w:hint="cs"/>
          <w:rtl/>
        </w:rPr>
        <w:t xml:space="preserve"> דהוכיחו מדברי ריו"ח בגמ' לקמן </w:t>
      </w:r>
      <w:r w:rsidRPr="0034614A">
        <w:rPr>
          <w:rStyle w:val="af7"/>
          <w:rFonts w:eastAsia="Guttman Hodes" w:hint="cs"/>
          <w:rtl/>
        </w:rPr>
        <w:t>(קג.)</w:t>
      </w:r>
      <w:r w:rsidRPr="00C157EB">
        <w:rPr>
          <w:rFonts w:hint="cs"/>
          <w:rtl/>
        </w:rPr>
        <w:t xml:space="preserve"> דאף דחדשים גרמי ולא בעינן אוירא דלידה, מודה ריו"ח דאויר העולם בעינן, ולכן כל שלא הוציא את החלב לאויר העולם לא נאסר החלב, והקשה </w:t>
      </w:r>
      <w:r w:rsidRPr="005455BF">
        <w:rPr>
          <w:rStyle w:val="af9"/>
          <w:rFonts w:hint="cs"/>
          <w:rtl/>
        </w:rPr>
        <w:t>הפר"ח</w:t>
      </w:r>
      <w:r w:rsidRPr="00C157EB">
        <w:rPr>
          <w:rFonts w:hint="cs"/>
          <w:rtl/>
        </w:rPr>
        <w:t xml:space="preserve"> דא"כ אי מהני השחיטה להתיר את החלב שתלש מהעובר, ודאי דמהני השחיטה להתיר את החלב שמחובר לעובר, דהא העובר עצמו מותר בשחיטה, וכתב </w:t>
      </w:r>
      <w:r w:rsidRPr="00C157EB">
        <w:rPr>
          <w:rStyle w:val="af9"/>
          <w:rFonts w:hint="cs"/>
          <w:rtl/>
        </w:rPr>
        <w:t>הפר"ח</w:t>
      </w:r>
      <w:r w:rsidRPr="00C157EB">
        <w:rPr>
          <w:rFonts w:hint="cs"/>
          <w:rtl/>
        </w:rPr>
        <w:t xml:space="preserve"> דסברת </w:t>
      </w:r>
      <w:r w:rsidRPr="00C157EB">
        <w:rPr>
          <w:rStyle w:val="af9"/>
          <w:rFonts w:hint="cs"/>
          <w:rtl/>
        </w:rPr>
        <w:t>הכס"מ והב"י</w:t>
      </w:r>
      <w:r w:rsidRPr="00C157EB">
        <w:rPr>
          <w:rFonts w:hint="cs"/>
          <w:rtl/>
        </w:rPr>
        <w:t xml:space="preserve"> </w:t>
      </w:r>
      <w:r w:rsidRPr="00C157EB">
        <w:rPr>
          <w:rStyle w:val="af7"/>
          <w:rFonts w:eastAsia="Guttman Hodes" w:hint="cs"/>
          <w:rtl/>
        </w:rPr>
        <w:t xml:space="preserve">(עי' אות </w:t>
      </w:r>
      <w:r w:rsidRPr="00C157EB">
        <w:rPr>
          <w:rStyle w:val="af7"/>
          <w:rFonts w:eastAsia="Guttman Hodes"/>
          <w:rtl/>
        </w:rPr>
        <w:fldChar w:fldCharType="begin"/>
      </w:r>
      <w:r w:rsidRPr="00C157EB">
        <w:rPr>
          <w:rStyle w:val="af7"/>
          <w:rFonts w:eastAsia="Guttman Hodes"/>
          <w:rtl/>
        </w:rPr>
        <w:instrText xml:space="preserve"> </w:instrText>
      </w:r>
      <w:r w:rsidRPr="00C157EB">
        <w:rPr>
          <w:rStyle w:val="af7"/>
          <w:rFonts w:eastAsia="Guttman Hodes" w:hint="cs"/>
        </w:rPr>
        <w:instrText>REF</w:instrText>
      </w:r>
      <w:r w:rsidRPr="00C157EB">
        <w:rPr>
          <w:rStyle w:val="af7"/>
          <w:rFonts w:eastAsia="Guttman Hodes" w:hint="cs"/>
          <w:rtl/>
        </w:rPr>
        <w:instrText xml:space="preserve"> _</w:instrText>
      </w:r>
      <w:r w:rsidRPr="00C157EB">
        <w:rPr>
          <w:rStyle w:val="af7"/>
          <w:rFonts w:eastAsia="Guttman Hodes" w:hint="cs"/>
        </w:rPr>
        <w:instrText>Ref3132609 \r \h</w:instrText>
      </w:r>
      <w:r w:rsidRPr="00C157EB">
        <w:rPr>
          <w:rStyle w:val="af7"/>
          <w:rFonts w:eastAsia="Guttman Hodes"/>
          <w:rtl/>
        </w:rPr>
        <w:instrText xml:space="preserve"> </w:instrText>
      </w:r>
      <w:r w:rsidRPr="00C157EB">
        <w:rPr>
          <w:rStyle w:val="af7"/>
          <w:rFonts w:eastAsia="Guttman Hodes"/>
          <w:rtl/>
        </w:rPr>
      </w:r>
      <w:r w:rsidRPr="00C157EB">
        <w:rPr>
          <w:rStyle w:val="af7"/>
          <w:rFonts w:eastAsia="Guttman Hodes"/>
          <w:rtl/>
        </w:rPr>
        <w:fldChar w:fldCharType="separate"/>
      </w:r>
      <w:r w:rsidR="00345400">
        <w:rPr>
          <w:rStyle w:val="af7"/>
          <w:rFonts w:eastAsia="Guttman Hodes"/>
          <w:cs/>
        </w:rPr>
        <w:t>‎</w:t>
      </w:r>
      <w:r w:rsidR="00345400">
        <w:rPr>
          <w:rStyle w:val="af7"/>
          <w:rFonts w:eastAsia="Guttman Hodes"/>
          <w:rtl/>
        </w:rPr>
        <w:t>סח)</w:t>
      </w:r>
      <w:r w:rsidRPr="00C157EB">
        <w:rPr>
          <w:rStyle w:val="af7"/>
          <w:rFonts w:eastAsia="Guttman Hodes"/>
          <w:rtl/>
        </w:rPr>
        <w:fldChar w:fldCharType="end"/>
      </w:r>
      <w:r>
        <w:rPr>
          <w:rFonts w:hint="cs"/>
          <w:rtl/>
        </w:rPr>
        <w:t xml:space="preserve"> </w:t>
      </w:r>
      <w:r w:rsidRPr="00C157EB">
        <w:rPr>
          <w:rFonts w:hint="cs"/>
          <w:rtl/>
        </w:rPr>
        <w:t>אינה ברורה.</w:t>
      </w:r>
      <w:bookmarkEnd w:id="24563"/>
    </w:p>
    <w:p w14:paraId="093110FF" w14:textId="77777777" w:rsidR="003D504D" w:rsidRPr="00EE4BC4" w:rsidRDefault="003D504D" w:rsidP="00223668">
      <w:pPr>
        <w:pStyle w:val="a0"/>
        <w:rPr>
          <w:rtl/>
        </w:rPr>
        <w:sectPr w:rsidR="003D504D" w:rsidRPr="00EE4BC4" w:rsidSect="003D504D">
          <w:type w:val="continuous"/>
          <w:pgSz w:w="11906" w:h="16838"/>
          <w:pgMar w:top="720" w:right="720" w:bottom="720" w:left="720" w:header="283" w:footer="283" w:gutter="0"/>
          <w:cols w:num="2" w:space="567"/>
          <w:bidi/>
          <w:rtlGutter/>
          <w:docGrid w:linePitch="299"/>
        </w:sectPr>
      </w:pPr>
    </w:p>
    <w:p w14:paraId="3A65CF78" w14:textId="77777777" w:rsidR="003D504D" w:rsidRDefault="003D504D" w:rsidP="003D504D">
      <w:pPr>
        <w:tabs>
          <w:tab w:val="left" w:pos="1163"/>
        </w:tabs>
        <w:spacing w:after="120" w:line="240" w:lineRule="auto"/>
        <w:ind w:left="0"/>
        <w:rPr>
          <w:rFonts w:ascii="Guttman Hodes" w:eastAsia="Guttman Hodes" w:hAnsi="Guttman Hodes" w:cs="Guttman Hodes"/>
          <w:noProof/>
          <w:sz w:val="18"/>
          <w:szCs w:val="18"/>
        </w:rPr>
      </w:pPr>
    </w:p>
    <w:p w14:paraId="6ED4F759" w14:textId="77777777" w:rsidR="003D504D" w:rsidRDefault="003D504D" w:rsidP="003D504D">
      <w:pPr>
        <w:tabs>
          <w:tab w:val="left" w:pos="1163"/>
        </w:tabs>
        <w:spacing w:after="120" w:line="240" w:lineRule="auto"/>
        <w:ind w:left="0"/>
        <w:rPr>
          <w:rFonts w:ascii="Guttman Hodes" w:eastAsia="Guttman Hodes" w:hAnsi="Guttman Hodes" w:cs="Guttman Hodes"/>
          <w:noProof/>
          <w:sz w:val="18"/>
          <w:szCs w:val="18"/>
        </w:rPr>
        <w:sectPr w:rsidR="003D504D" w:rsidSect="003D504D">
          <w:type w:val="continuous"/>
          <w:pgSz w:w="11906" w:h="16838"/>
          <w:pgMar w:top="720" w:right="720" w:bottom="720" w:left="720" w:header="283" w:footer="283" w:gutter="0"/>
          <w:cols w:space="567"/>
          <w:bidi/>
          <w:rtlGutter/>
          <w:docGrid w:linePitch="299"/>
        </w:sectPr>
      </w:pPr>
    </w:p>
    <w:p w14:paraId="7B21F97B" w14:textId="77777777" w:rsidR="003D504D" w:rsidRDefault="003D504D" w:rsidP="003D504D">
      <w:pPr>
        <w:tabs>
          <w:tab w:val="left" w:pos="1163"/>
        </w:tabs>
        <w:spacing w:after="120" w:line="240" w:lineRule="auto"/>
        <w:ind w:left="0"/>
        <w:rPr>
          <w:rFonts w:ascii="Guttman Hodes" w:eastAsia="Guttman Hodes" w:hAnsi="Guttman Hodes" w:cs="Guttman Hodes"/>
          <w:noProof/>
          <w:sz w:val="18"/>
          <w:szCs w:val="18"/>
        </w:rPr>
        <w:sectPr w:rsidR="003D504D" w:rsidSect="003D504D">
          <w:type w:val="continuous"/>
          <w:pgSz w:w="11906" w:h="16838"/>
          <w:pgMar w:top="720" w:right="720" w:bottom="720" w:left="720" w:header="283" w:footer="283" w:gutter="0"/>
          <w:cols w:space="567"/>
          <w:bidi/>
          <w:rtlGutter/>
          <w:docGrid w:linePitch="299"/>
        </w:sectPr>
      </w:pPr>
    </w:p>
    <w:p w14:paraId="616CD01A" w14:textId="77777777" w:rsidR="003D504D" w:rsidRPr="0061208F" w:rsidRDefault="004B65FC" w:rsidP="003D504D">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26BA5B3D">
          <v:shape id="_x0000_i1052" type="#_x0000_t75" style="width:404.55pt;height:6.8pt" o:hrpct="0" o:hralign="center" o:hr="t">
            <v:imagedata r:id="rId21" o:title="BD14845_"/>
          </v:shape>
        </w:pict>
      </w:r>
    </w:p>
    <w:p w14:paraId="26786F5B" w14:textId="77777777" w:rsidR="003D504D" w:rsidRPr="004B27F1" w:rsidRDefault="003D504D" w:rsidP="003D504D">
      <w:pPr>
        <w:pStyle w:val="afe"/>
        <w:rPr>
          <w:rtl/>
        </w:rPr>
      </w:pPr>
      <w:bookmarkStart w:id="24564" w:name="_Toc3661965"/>
      <w:bookmarkStart w:id="24565" w:name="_Toc3840825"/>
      <w:bookmarkStart w:id="24566" w:name="_Toc3929064"/>
      <w:bookmarkStart w:id="24567" w:name="_Toc3978462"/>
      <w:bookmarkStart w:id="24568" w:name="_Toc4012312"/>
      <w:bookmarkStart w:id="24569" w:name="_Toc4013338"/>
      <w:bookmarkStart w:id="24570" w:name="_Toc4022846"/>
      <w:bookmarkStart w:id="24571" w:name="_Toc4026671"/>
      <w:bookmarkStart w:id="24572" w:name="_Toc4139471"/>
      <w:bookmarkStart w:id="24573" w:name="_Toc4151565"/>
      <w:bookmarkStart w:id="24574" w:name="_Toc19436380"/>
      <w:bookmarkStart w:id="24575" w:name="_Toc20081510"/>
      <w:r>
        <w:rPr>
          <w:rFonts w:hint="cs"/>
          <w:rtl/>
        </w:rPr>
        <w:t>ביאורי ראשי הישיבות על הרמב"ם</w:t>
      </w:r>
      <w:bookmarkEnd w:id="24564"/>
      <w:bookmarkEnd w:id="24565"/>
      <w:bookmarkEnd w:id="24566"/>
      <w:bookmarkEnd w:id="24567"/>
      <w:bookmarkEnd w:id="24568"/>
      <w:bookmarkEnd w:id="24569"/>
      <w:bookmarkEnd w:id="24570"/>
      <w:bookmarkEnd w:id="24571"/>
      <w:bookmarkEnd w:id="24572"/>
      <w:bookmarkEnd w:id="24573"/>
      <w:bookmarkEnd w:id="24574"/>
      <w:bookmarkEnd w:id="24575"/>
    </w:p>
    <w:p w14:paraId="7554BDD6" w14:textId="77777777" w:rsidR="003D504D" w:rsidRDefault="003D504D" w:rsidP="003D504D">
      <w:pPr>
        <w:pStyle w:val="afe"/>
        <w:jc w:val="both"/>
        <w:rPr>
          <w:rtl/>
        </w:rPr>
        <w:sectPr w:rsidR="003D504D" w:rsidSect="003D504D">
          <w:pgSz w:w="11906" w:h="16838"/>
          <w:pgMar w:top="720" w:right="720" w:bottom="720" w:left="720" w:header="283" w:footer="283" w:gutter="0"/>
          <w:cols w:space="567"/>
          <w:bidi/>
          <w:rtlGutter/>
          <w:docGrid w:linePitch="299"/>
        </w:sectPr>
      </w:pPr>
    </w:p>
    <w:p w14:paraId="4F03BB65" w14:textId="77777777" w:rsidR="003D504D" w:rsidRDefault="003D504D" w:rsidP="003D504D">
      <w:pPr>
        <w:pStyle w:val="afe"/>
        <w:rPr>
          <w:rtl/>
        </w:rPr>
      </w:pPr>
      <w:bookmarkStart w:id="24576" w:name="_Toc4012313"/>
      <w:bookmarkStart w:id="24577" w:name="_Toc4013339"/>
      <w:bookmarkStart w:id="24578" w:name="_Toc4022847"/>
      <w:bookmarkStart w:id="24579" w:name="_Toc4026672"/>
      <w:bookmarkStart w:id="24580" w:name="_Toc4139472"/>
      <w:bookmarkStart w:id="24581" w:name="_Toc4151566"/>
      <w:bookmarkStart w:id="24582" w:name="_Toc19436381"/>
      <w:bookmarkStart w:id="24583" w:name="_Toc20081511"/>
      <w:r>
        <w:rPr>
          <w:rFonts w:hint="cs"/>
          <w:rtl/>
        </w:rPr>
        <w:t xml:space="preserve">בגדר היתר </w:t>
      </w:r>
      <w:bookmarkEnd w:id="24576"/>
      <w:bookmarkEnd w:id="24577"/>
      <w:r>
        <w:rPr>
          <w:rFonts w:hint="cs"/>
          <w:rtl/>
        </w:rPr>
        <w:t>שחיטה וחלב וגיד לרמב"ם</w:t>
      </w:r>
      <w:bookmarkEnd w:id="24578"/>
      <w:bookmarkEnd w:id="24579"/>
      <w:bookmarkEnd w:id="24580"/>
      <w:bookmarkEnd w:id="24581"/>
      <w:bookmarkEnd w:id="24582"/>
      <w:bookmarkEnd w:id="24583"/>
    </w:p>
    <w:p w14:paraId="5D38E6E2" w14:textId="77777777" w:rsidR="003D504D" w:rsidRDefault="003D504D" w:rsidP="00BF39B2">
      <w:pPr>
        <w:pStyle w:val="1"/>
        <w:rPr>
          <w:rtl/>
        </w:rPr>
      </w:pPr>
      <w:bookmarkStart w:id="24584" w:name="_Toc3661966"/>
      <w:bookmarkStart w:id="24585" w:name="_Toc3840826"/>
      <w:bookmarkStart w:id="24586" w:name="_Toc3929065"/>
      <w:bookmarkStart w:id="24587" w:name="_Toc3978463"/>
      <w:bookmarkStart w:id="24588" w:name="_Toc4012314"/>
      <w:bookmarkStart w:id="24589" w:name="_Toc4013340"/>
      <w:bookmarkStart w:id="24590" w:name="_Toc4022848"/>
      <w:bookmarkStart w:id="24591" w:name="_Toc4026673"/>
      <w:bookmarkStart w:id="24592" w:name="_Toc4139473"/>
      <w:bookmarkStart w:id="24593" w:name="_Toc4151567"/>
      <w:bookmarkStart w:id="24594" w:name="_Toc19392016"/>
      <w:bookmarkStart w:id="24595" w:name="_Toc19395513"/>
      <w:r>
        <w:rPr>
          <w:rFonts w:hint="cs"/>
          <w:rtl/>
        </w:rPr>
        <w:t>חקירת האמר</w:t>
      </w:r>
      <w:r>
        <w:rPr>
          <w:rtl/>
        </w:rPr>
        <w:t>"</w:t>
      </w:r>
      <w:r>
        <w:rPr>
          <w:rFonts w:hint="cs"/>
          <w:rtl/>
        </w:rPr>
        <w:t>מ</w:t>
      </w:r>
      <w:bookmarkEnd w:id="24584"/>
      <w:bookmarkEnd w:id="24585"/>
      <w:bookmarkEnd w:id="24586"/>
      <w:bookmarkEnd w:id="24587"/>
      <w:r>
        <w:rPr>
          <w:rFonts w:hint="cs"/>
          <w:rtl/>
        </w:rPr>
        <w:t xml:space="preserve"> בגדר היתר בן פקועה לדעת הרמב"ם</w:t>
      </w:r>
      <w:bookmarkEnd w:id="24588"/>
      <w:bookmarkEnd w:id="24589"/>
      <w:bookmarkEnd w:id="24590"/>
      <w:bookmarkEnd w:id="24591"/>
      <w:bookmarkEnd w:id="24592"/>
      <w:bookmarkEnd w:id="24593"/>
      <w:bookmarkEnd w:id="24594"/>
      <w:bookmarkEnd w:id="24595"/>
    </w:p>
    <w:p w14:paraId="6AFE5A18" w14:textId="77777777" w:rsidR="003D504D" w:rsidRDefault="003D504D" w:rsidP="003D504D">
      <w:pPr>
        <w:pStyle w:val="a3"/>
        <w:rPr>
          <w:rtl/>
        </w:rPr>
      </w:pPr>
      <w:bookmarkStart w:id="24596" w:name="_Toc4012315"/>
      <w:bookmarkStart w:id="24597" w:name="_Toc4013341"/>
      <w:bookmarkStart w:id="24598" w:name="_Toc4022849"/>
      <w:bookmarkStart w:id="24599" w:name="_Toc4026674"/>
      <w:bookmarkStart w:id="24600" w:name="_Toc4139474"/>
      <w:bookmarkStart w:id="24601" w:name="_Toc4151568"/>
      <w:bookmarkStart w:id="24602" w:name="_Toc19392017"/>
      <w:bookmarkStart w:id="24603" w:name="_Toc19395514"/>
      <w:r>
        <w:rPr>
          <w:rFonts w:hint="cs"/>
          <w:rtl/>
        </w:rPr>
        <w:t>קושית האמר</w:t>
      </w:r>
      <w:r>
        <w:rPr>
          <w:rtl/>
        </w:rPr>
        <w:t>"</w:t>
      </w:r>
      <w:r>
        <w:rPr>
          <w:rFonts w:hint="cs"/>
          <w:rtl/>
        </w:rPr>
        <w:t>מ על ביאור המ"מ דאין הכרח לומר כרב הושעיה דמנליה להרמב"ם לומר כן</w:t>
      </w:r>
      <w:bookmarkEnd w:id="24596"/>
      <w:bookmarkEnd w:id="24597"/>
      <w:bookmarkEnd w:id="24598"/>
      <w:bookmarkEnd w:id="24599"/>
      <w:bookmarkEnd w:id="24600"/>
      <w:bookmarkEnd w:id="24601"/>
      <w:bookmarkEnd w:id="24602"/>
      <w:bookmarkEnd w:id="24603"/>
    </w:p>
    <w:p w14:paraId="3AD33D6F" w14:textId="77777777" w:rsidR="003D504D" w:rsidRDefault="003D504D" w:rsidP="00223668">
      <w:pPr>
        <w:pStyle w:val="a0"/>
        <w:rPr>
          <w:rtl/>
        </w:rPr>
      </w:pPr>
      <w:bookmarkStart w:id="24604" w:name="_Ref3978583"/>
      <w:r w:rsidRPr="00974B46">
        <w:rPr>
          <w:rFonts w:hint="cs"/>
          <w:rtl/>
        </w:rPr>
        <w:t>ב</w:t>
      </w:r>
      <w:r>
        <w:rPr>
          <w:rFonts w:hint="cs"/>
          <w:rtl/>
        </w:rPr>
        <w:t>מ"ש</w:t>
      </w:r>
      <w:r w:rsidRPr="00974B46">
        <w:rPr>
          <w:rFonts w:hint="cs"/>
          <w:rtl/>
        </w:rPr>
        <w:t xml:space="preserve"> </w:t>
      </w:r>
      <w:r w:rsidRPr="00950B7D">
        <w:rPr>
          <w:rStyle w:val="af9"/>
          <w:rFonts w:hint="cs"/>
          <w:rtl/>
        </w:rPr>
        <w:t>הרמב"ם</w:t>
      </w:r>
      <w:r>
        <w:rPr>
          <w:rFonts w:hint="cs"/>
          <w:rtl/>
        </w:rPr>
        <w:t xml:space="preserve"> </w:t>
      </w:r>
      <w:r w:rsidRPr="004E158C">
        <w:rPr>
          <w:rStyle w:val="af7"/>
          <w:rFonts w:eastAsia="Guttman Hodes" w:hint="cs"/>
          <w:rtl/>
        </w:rPr>
        <w:t xml:space="preserve">(עי' אות </w:t>
      </w:r>
      <w:r w:rsidRPr="004E158C">
        <w:rPr>
          <w:rStyle w:val="af7"/>
          <w:rFonts w:eastAsia="Guttman Hodes"/>
          <w:rtl/>
        </w:rPr>
        <w:fldChar w:fldCharType="begin"/>
      </w:r>
      <w:r w:rsidRPr="004E158C">
        <w:rPr>
          <w:rStyle w:val="af7"/>
          <w:rFonts w:eastAsia="Guttman Hodes"/>
          <w:rtl/>
        </w:rPr>
        <w:instrText xml:space="preserve"> </w:instrText>
      </w:r>
      <w:r w:rsidRPr="004E158C">
        <w:rPr>
          <w:rStyle w:val="af7"/>
          <w:rFonts w:eastAsia="Guttman Hodes" w:hint="cs"/>
        </w:rPr>
        <w:instrText>REF</w:instrText>
      </w:r>
      <w:r w:rsidRPr="004E158C">
        <w:rPr>
          <w:rStyle w:val="af7"/>
          <w:rFonts w:eastAsia="Guttman Hodes" w:hint="cs"/>
          <w:rtl/>
        </w:rPr>
        <w:instrText xml:space="preserve"> _</w:instrText>
      </w:r>
      <w:r w:rsidRPr="004E158C">
        <w:rPr>
          <w:rStyle w:val="af7"/>
          <w:rFonts w:eastAsia="Guttman Hodes" w:hint="cs"/>
        </w:rPr>
        <w:instrText>Ref3145560 \r \h</w:instrText>
      </w:r>
      <w:r w:rsidRPr="004E158C">
        <w:rPr>
          <w:rStyle w:val="af7"/>
          <w:rFonts w:eastAsia="Guttman Hodes"/>
          <w:rtl/>
        </w:rPr>
        <w:instrText xml:space="preserve"> </w:instrText>
      </w:r>
      <w:r w:rsidRPr="004E158C">
        <w:rPr>
          <w:rStyle w:val="af7"/>
          <w:rFonts w:eastAsia="Guttman Hodes"/>
          <w:rtl/>
        </w:rPr>
      </w:r>
      <w:r w:rsidRPr="004E158C">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4E158C">
        <w:rPr>
          <w:rStyle w:val="af7"/>
          <w:rFonts w:eastAsia="Guttman Hodes"/>
          <w:rtl/>
        </w:rPr>
        <w:fldChar w:fldCharType="end"/>
      </w:r>
      <w:r>
        <w:rPr>
          <w:rFonts w:hint="cs"/>
          <w:rtl/>
        </w:rPr>
        <w:t xml:space="preserve"> דבן ט' חי מותר בשחיטת אמו, אך חלבו אסור, הביא </w:t>
      </w:r>
      <w:r w:rsidRPr="00950B7D">
        <w:rPr>
          <w:rStyle w:val="af9"/>
          <w:rFonts w:hint="cs"/>
          <w:rtl/>
        </w:rPr>
        <w:t>האמרי משה</w:t>
      </w:r>
      <w:r>
        <w:rPr>
          <w:rFonts w:hint="cs"/>
          <w:rtl/>
        </w:rPr>
        <w:t xml:space="preserve"> </w:t>
      </w:r>
      <w:r w:rsidRPr="004E158C">
        <w:rPr>
          <w:rStyle w:val="af7"/>
          <w:rFonts w:eastAsia="Guttman Hodes" w:hint="cs"/>
          <w:rtl/>
        </w:rPr>
        <w:t>(סי' ד' אות א' ד"ה הנה)</w:t>
      </w:r>
      <w:r>
        <w:rPr>
          <w:rFonts w:hint="cs"/>
          <w:rtl/>
        </w:rPr>
        <w:t xml:space="preserve"> את קושית ה</w:t>
      </w:r>
      <w:r w:rsidRPr="00950B7D">
        <w:rPr>
          <w:rStyle w:val="af9"/>
          <w:rFonts w:hint="cs"/>
          <w:rtl/>
        </w:rPr>
        <w:t>ראשונים</w:t>
      </w:r>
      <w:r>
        <w:rPr>
          <w:rFonts w:hint="cs"/>
          <w:rtl/>
        </w:rPr>
        <w:t xml:space="preserve"> </w:t>
      </w:r>
      <w:r w:rsidRPr="004E158C">
        <w:rPr>
          <w:rStyle w:val="af7"/>
          <w:rFonts w:eastAsia="Guttman Hodes" w:hint="cs"/>
          <w:rtl/>
        </w:rPr>
        <w:t xml:space="preserve">(עי' אות </w:t>
      </w:r>
      <w:r w:rsidRPr="004E158C">
        <w:rPr>
          <w:rStyle w:val="af7"/>
          <w:rFonts w:eastAsia="Guttman Hodes"/>
          <w:rtl/>
        </w:rPr>
        <w:fldChar w:fldCharType="begin"/>
      </w:r>
      <w:r w:rsidRPr="004E158C">
        <w:rPr>
          <w:rStyle w:val="af7"/>
          <w:rFonts w:eastAsia="Guttman Hodes"/>
          <w:rtl/>
        </w:rPr>
        <w:instrText xml:space="preserve"> </w:instrText>
      </w:r>
      <w:r w:rsidRPr="004E158C">
        <w:rPr>
          <w:rStyle w:val="af7"/>
          <w:rFonts w:eastAsia="Guttman Hodes" w:hint="cs"/>
        </w:rPr>
        <w:instrText>REF</w:instrText>
      </w:r>
      <w:r w:rsidRPr="004E158C">
        <w:rPr>
          <w:rStyle w:val="af7"/>
          <w:rFonts w:eastAsia="Guttman Hodes" w:hint="cs"/>
          <w:rtl/>
        </w:rPr>
        <w:instrText xml:space="preserve"> _</w:instrText>
      </w:r>
      <w:r w:rsidRPr="004E158C">
        <w:rPr>
          <w:rStyle w:val="af7"/>
          <w:rFonts w:eastAsia="Guttman Hodes" w:hint="cs"/>
        </w:rPr>
        <w:instrText>Ref3978508 \r \h</w:instrText>
      </w:r>
      <w:r w:rsidRPr="004E158C">
        <w:rPr>
          <w:rStyle w:val="af7"/>
          <w:rFonts w:eastAsia="Guttman Hodes"/>
          <w:rtl/>
        </w:rPr>
        <w:instrText xml:space="preserve"> </w:instrText>
      </w:r>
      <w:r w:rsidRPr="004E158C">
        <w:rPr>
          <w:rStyle w:val="af7"/>
          <w:rFonts w:eastAsia="Guttman Hodes"/>
          <w:rtl/>
        </w:rPr>
      </w:r>
      <w:r w:rsidRPr="004E158C">
        <w:rPr>
          <w:rStyle w:val="af7"/>
          <w:rFonts w:eastAsia="Guttman Hodes"/>
          <w:rtl/>
        </w:rPr>
        <w:fldChar w:fldCharType="separate"/>
      </w:r>
      <w:r w:rsidR="00345400">
        <w:rPr>
          <w:rStyle w:val="af7"/>
          <w:rFonts w:eastAsia="Guttman Hodes"/>
          <w:cs/>
        </w:rPr>
        <w:t>‎</w:t>
      </w:r>
      <w:r w:rsidR="00345400">
        <w:rPr>
          <w:rStyle w:val="af7"/>
          <w:rFonts w:eastAsia="Guttman Hodes"/>
          <w:rtl/>
        </w:rPr>
        <w:t>י)</w:t>
      </w:r>
      <w:r w:rsidRPr="004E158C">
        <w:rPr>
          <w:rStyle w:val="af7"/>
          <w:rFonts w:eastAsia="Guttman Hodes"/>
          <w:rtl/>
        </w:rPr>
        <w:fldChar w:fldCharType="end"/>
      </w:r>
      <w:r>
        <w:rPr>
          <w:rFonts w:hint="cs"/>
          <w:rtl/>
        </w:rPr>
        <w:t xml:space="preserve"> דהא אמר רב הושעיא דר"מ ור"י הלכו לשיטתם, וכיון דפסק כר"י דבן ט' חי מותר בשחיטת אמו, א"כ אף חלבו מותר, והביא </w:t>
      </w:r>
      <w:r w:rsidRPr="00950B7D">
        <w:rPr>
          <w:rStyle w:val="af9"/>
          <w:rFonts w:hint="cs"/>
          <w:rtl/>
        </w:rPr>
        <w:t>האמרי משה</w:t>
      </w:r>
      <w:r>
        <w:rPr>
          <w:rFonts w:hint="cs"/>
          <w:rtl/>
        </w:rPr>
        <w:t xml:space="preserve"> את דברי </w:t>
      </w:r>
      <w:r w:rsidRPr="00950B7D">
        <w:rPr>
          <w:rStyle w:val="af9"/>
          <w:rFonts w:hint="cs"/>
          <w:rtl/>
        </w:rPr>
        <w:t>המ"מ</w:t>
      </w:r>
      <w:r>
        <w:rPr>
          <w:rFonts w:hint="cs"/>
          <w:rtl/>
        </w:rPr>
        <w:t xml:space="preserve"> </w:t>
      </w:r>
      <w:r w:rsidRPr="004E158C">
        <w:rPr>
          <w:rStyle w:val="af7"/>
          <w:rFonts w:eastAsia="Guttman Hodes" w:hint="cs"/>
          <w:rtl/>
        </w:rPr>
        <w:t xml:space="preserve">(עי' אות </w:t>
      </w:r>
      <w:r w:rsidRPr="004E158C">
        <w:rPr>
          <w:rStyle w:val="af7"/>
          <w:rFonts w:eastAsia="Guttman Hodes"/>
          <w:rtl/>
        </w:rPr>
        <w:fldChar w:fldCharType="begin"/>
      </w:r>
      <w:r w:rsidRPr="004E158C">
        <w:rPr>
          <w:rStyle w:val="af7"/>
          <w:rFonts w:eastAsia="Guttman Hodes"/>
          <w:rtl/>
        </w:rPr>
        <w:instrText xml:space="preserve"> </w:instrText>
      </w:r>
      <w:r w:rsidRPr="004E158C">
        <w:rPr>
          <w:rStyle w:val="af7"/>
          <w:rFonts w:eastAsia="Guttman Hodes" w:hint="cs"/>
        </w:rPr>
        <w:instrText>REF</w:instrText>
      </w:r>
      <w:r w:rsidRPr="004E158C">
        <w:rPr>
          <w:rStyle w:val="af7"/>
          <w:rFonts w:eastAsia="Guttman Hodes" w:hint="cs"/>
          <w:rtl/>
        </w:rPr>
        <w:instrText xml:space="preserve"> _</w:instrText>
      </w:r>
      <w:r w:rsidRPr="004E158C">
        <w:rPr>
          <w:rStyle w:val="af7"/>
          <w:rFonts w:eastAsia="Guttman Hodes" w:hint="cs"/>
        </w:rPr>
        <w:instrText>Ref3978529 \r \h</w:instrText>
      </w:r>
      <w:r w:rsidRPr="004E158C">
        <w:rPr>
          <w:rStyle w:val="af7"/>
          <w:rFonts w:eastAsia="Guttman Hodes"/>
          <w:rtl/>
        </w:rPr>
        <w:instrText xml:space="preserve"> </w:instrText>
      </w:r>
      <w:r w:rsidRPr="004E158C">
        <w:rPr>
          <w:rStyle w:val="af7"/>
          <w:rFonts w:eastAsia="Guttman Hodes"/>
          <w:rtl/>
        </w:rPr>
      </w:r>
      <w:r w:rsidRPr="004E158C">
        <w:rPr>
          <w:rStyle w:val="af7"/>
          <w:rFonts w:eastAsia="Guttman Hodes"/>
          <w:rtl/>
        </w:rPr>
        <w:fldChar w:fldCharType="separate"/>
      </w:r>
      <w:r w:rsidR="00345400">
        <w:rPr>
          <w:rStyle w:val="af7"/>
          <w:rFonts w:eastAsia="Guttman Hodes"/>
          <w:cs/>
        </w:rPr>
        <w:t>‎</w:t>
      </w:r>
      <w:r w:rsidR="00345400">
        <w:rPr>
          <w:rStyle w:val="af7"/>
          <w:rFonts w:eastAsia="Guttman Hodes"/>
          <w:rtl/>
        </w:rPr>
        <w:t>כב)</w:t>
      </w:r>
      <w:r w:rsidRPr="004E158C">
        <w:rPr>
          <w:rStyle w:val="af7"/>
          <w:rFonts w:eastAsia="Guttman Hodes"/>
          <w:rtl/>
        </w:rPr>
        <w:fldChar w:fldCharType="end"/>
      </w:r>
      <w:r>
        <w:rPr>
          <w:rFonts w:hint="cs"/>
          <w:rtl/>
        </w:rPr>
        <w:t xml:space="preserve"> דביאר דאין הכרח לומר דלדעת ר"י דין החלב תלוי בדין השחיטה, אך הקשה </w:t>
      </w:r>
      <w:r w:rsidRPr="00950B7D">
        <w:rPr>
          <w:rStyle w:val="af9"/>
          <w:rFonts w:hint="cs"/>
          <w:rtl/>
        </w:rPr>
        <w:t>האמרי משה</w:t>
      </w:r>
      <w:r>
        <w:rPr>
          <w:rFonts w:hint="cs"/>
          <w:rtl/>
        </w:rPr>
        <w:t xml:space="preserve"> דהא לא מצינו בגמ' מ"ד דפליג על רב הושעיא, ומהיכן הוציא </w:t>
      </w:r>
      <w:r w:rsidRPr="00950B7D">
        <w:rPr>
          <w:rStyle w:val="af9"/>
          <w:rFonts w:hint="cs"/>
          <w:rtl/>
        </w:rPr>
        <w:t>הרמב"ם</w:t>
      </w:r>
      <w:r>
        <w:rPr>
          <w:rFonts w:hint="cs"/>
          <w:rtl/>
        </w:rPr>
        <w:t xml:space="preserve"> לפסוק כן.</w:t>
      </w:r>
      <w:bookmarkEnd w:id="24604"/>
    </w:p>
    <w:p w14:paraId="54E8A8C2" w14:textId="77777777" w:rsidR="003D504D" w:rsidRDefault="003D504D" w:rsidP="003D504D">
      <w:pPr>
        <w:pStyle w:val="a3"/>
        <w:rPr>
          <w:rtl/>
        </w:rPr>
      </w:pPr>
      <w:bookmarkStart w:id="24605" w:name="_Toc4012316"/>
      <w:bookmarkStart w:id="24606" w:name="_Toc4013342"/>
      <w:bookmarkStart w:id="24607" w:name="_Toc4022850"/>
      <w:bookmarkStart w:id="24608" w:name="_Toc4026675"/>
      <w:bookmarkStart w:id="24609" w:name="_Toc4139475"/>
      <w:bookmarkStart w:id="24610" w:name="_Toc4151569"/>
      <w:bookmarkStart w:id="24611" w:name="_Toc19392018"/>
      <w:bookmarkStart w:id="24612" w:name="_Toc19395515"/>
      <w:r>
        <w:rPr>
          <w:rFonts w:hint="cs"/>
          <w:rtl/>
        </w:rPr>
        <w:t>חקירת האמר</w:t>
      </w:r>
      <w:r>
        <w:rPr>
          <w:rtl/>
        </w:rPr>
        <w:t>"</w:t>
      </w:r>
      <w:r>
        <w:rPr>
          <w:rFonts w:hint="cs"/>
          <w:rtl/>
        </w:rPr>
        <w:t>מ בגדר היתר בן פקועה אי חשיב כשחוט או שיש בו היתר אף לכל האיסורים שבו</w:t>
      </w:r>
      <w:bookmarkEnd w:id="24605"/>
      <w:bookmarkEnd w:id="24606"/>
      <w:bookmarkEnd w:id="24607"/>
      <w:bookmarkEnd w:id="24608"/>
      <w:bookmarkEnd w:id="24609"/>
      <w:bookmarkEnd w:id="24610"/>
      <w:bookmarkEnd w:id="24611"/>
      <w:bookmarkEnd w:id="24612"/>
    </w:p>
    <w:p w14:paraId="7C9F07B8" w14:textId="77777777" w:rsidR="003D504D" w:rsidRDefault="003D504D" w:rsidP="00223668">
      <w:pPr>
        <w:pStyle w:val="a0"/>
        <w:rPr>
          <w:rtl/>
        </w:rPr>
      </w:pPr>
      <w:r>
        <w:rPr>
          <w:rFonts w:hint="cs"/>
          <w:rtl/>
        </w:rPr>
        <w:t xml:space="preserve">וכתב </w:t>
      </w:r>
      <w:r w:rsidRPr="00BD2118">
        <w:rPr>
          <w:rStyle w:val="af9"/>
          <w:rFonts w:hint="cs"/>
          <w:rtl/>
        </w:rPr>
        <w:t>האמרי משה</w:t>
      </w:r>
      <w:r>
        <w:rPr>
          <w:rFonts w:hint="cs"/>
          <w:rtl/>
        </w:rPr>
        <w:t xml:space="preserve"> </w:t>
      </w:r>
      <w:r w:rsidRPr="00FC68CD">
        <w:rPr>
          <w:rStyle w:val="af7"/>
          <w:rFonts w:eastAsia="Guttman Hodes" w:hint="cs"/>
          <w:rtl/>
        </w:rPr>
        <w:t xml:space="preserve">(סי' ד' אות א' ד"ה והנראה) </w:t>
      </w:r>
      <w:r>
        <w:rPr>
          <w:rFonts w:hint="cs"/>
          <w:rtl/>
        </w:rPr>
        <w:t xml:space="preserve">דיש לחקור בגדר ההיתר דבן פקועה, </w:t>
      </w:r>
      <w:r w:rsidRPr="001D7FEF">
        <w:rPr>
          <w:rStyle w:val="afb"/>
          <w:rFonts w:hint="cs"/>
          <w:rtl/>
        </w:rPr>
        <w:t xml:space="preserve">[כדחקר </w:t>
      </w:r>
      <w:r w:rsidRPr="001D7FEF">
        <w:rPr>
          <w:rStyle w:val="affa"/>
          <w:rFonts w:hint="cs"/>
          <w:rtl/>
        </w:rPr>
        <w:t>באתוון דאורייתא</w:t>
      </w:r>
      <w:r w:rsidRPr="001D7FEF">
        <w:rPr>
          <w:rStyle w:val="afb"/>
          <w:rFonts w:hint="cs"/>
          <w:rtl/>
        </w:rPr>
        <w:t xml:space="preserve"> </w:t>
      </w:r>
      <w:r w:rsidRPr="001D7FEF">
        <w:rPr>
          <w:rStyle w:val="aff6"/>
          <w:rFonts w:hint="cs"/>
          <w:rtl/>
        </w:rPr>
        <w:t>(כלל י"ד)</w:t>
      </w:r>
      <w:r w:rsidRPr="001D7FEF">
        <w:rPr>
          <w:rStyle w:val="afb"/>
          <w:rFonts w:hint="cs"/>
          <w:rtl/>
        </w:rPr>
        <w:t>],</w:t>
      </w:r>
      <w:r>
        <w:rPr>
          <w:rFonts w:hint="cs"/>
          <w:rtl/>
        </w:rPr>
        <w:t xml:space="preserve"> אי כיון שהוא אבר מאברי אמו, שחיטת אמו חלה גם עליו, ועי"ז חשיבי סימניו כשחוטים, וא"כ כל ההיתר שבו הוא דהוא שחוט ואין בו איסור אבר מן החי, אך בשאר איסורים כחלב ודם</w:t>
      </w:r>
      <w:r w:rsidRPr="00A07B5D">
        <w:rPr>
          <w:rFonts w:hint="cs"/>
          <w:rtl/>
        </w:rPr>
        <w:t xml:space="preserve"> </w:t>
      </w:r>
      <w:r>
        <w:rPr>
          <w:rFonts w:hint="cs"/>
          <w:rtl/>
        </w:rPr>
        <w:t xml:space="preserve">דשחיטה אינה מתירתם, אין בו כל היתר, והצד השני כתב </w:t>
      </w:r>
      <w:r w:rsidRPr="00BD2118">
        <w:rPr>
          <w:rStyle w:val="af9"/>
          <w:rFonts w:hint="cs"/>
          <w:rtl/>
        </w:rPr>
        <w:t>האמרי משה</w:t>
      </w:r>
      <w:r>
        <w:rPr>
          <w:rFonts w:hint="cs"/>
          <w:rtl/>
        </w:rPr>
        <w:t xml:space="preserve"> דיש גזיה"כ "כל בבהמה תאכלו", דכל דבר שבתוך הבהמה מותר באכילה, ואף שלא חלה שחיטה על העובר כלל, מ"מ הותרו כל האיסורים שבו, בין באיסור אבר מן החי שמותר בשחיטה, ובין בשאר האיסורים, ועי' בדברי </w:t>
      </w:r>
      <w:r w:rsidRPr="005C7B83">
        <w:rPr>
          <w:rStyle w:val="af9"/>
          <w:rFonts w:hint="cs"/>
          <w:rtl/>
        </w:rPr>
        <w:t>הצפנת פענח</w:t>
      </w:r>
      <w:r>
        <w:rPr>
          <w:rFonts w:hint="cs"/>
          <w:rtl/>
        </w:rPr>
        <w:t xml:space="preserve"> </w:t>
      </w:r>
      <w:r w:rsidRPr="005C7B83">
        <w:rPr>
          <w:rStyle w:val="af7"/>
          <w:rFonts w:eastAsia="Guttman Hodes" w:hint="cs"/>
          <w:rtl/>
        </w:rPr>
        <w:t xml:space="preserve">(עי' אות </w:t>
      </w:r>
      <w:r w:rsidRPr="005C7B83">
        <w:rPr>
          <w:rStyle w:val="af7"/>
          <w:rFonts w:eastAsia="Guttman Hodes"/>
          <w:rtl/>
        </w:rPr>
        <w:fldChar w:fldCharType="begin"/>
      </w:r>
      <w:r w:rsidRPr="005C7B83">
        <w:rPr>
          <w:rStyle w:val="af7"/>
          <w:rFonts w:eastAsia="Guttman Hodes"/>
          <w:rtl/>
        </w:rPr>
        <w:instrText xml:space="preserve"> </w:instrText>
      </w:r>
      <w:r w:rsidRPr="005C7B83">
        <w:rPr>
          <w:rStyle w:val="af7"/>
          <w:rFonts w:eastAsia="Guttman Hodes" w:hint="cs"/>
        </w:rPr>
        <w:instrText>REF</w:instrText>
      </w:r>
      <w:r w:rsidRPr="005C7B83">
        <w:rPr>
          <w:rStyle w:val="af7"/>
          <w:rFonts w:eastAsia="Guttman Hodes" w:hint="cs"/>
          <w:rtl/>
        </w:rPr>
        <w:instrText xml:space="preserve"> _</w:instrText>
      </w:r>
      <w:r w:rsidRPr="005C7B83">
        <w:rPr>
          <w:rStyle w:val="af7"/>
          <w:rFonts w:eastAsia="Guttman Hodes" w:hint="cs"/>
        </w:rPr>
        <w:instrText>Ref4139972 \r \h</w:instrText>
      </w:r>
      <w:r w:rsidRPr="005C7B83">
        <w:rPr>
          <w:rStyle w:val="af7"/>
          <w:rFonts w:eastAsia="Guttman Hodes"/>
          <w:rtl/>
        </w:rPr>
        <w:instrText xml:space="preserve"> </w:instrText>
      </w:r>
      <w:r w:rsidRPr="005C7B83">
        <w:rPr>
          <w:rStyle w:val="af7"/>
          <w:rFonts w:eastAsia="Guttman Hodes"/>
          <w:rtl/>
        </w:rPr>
      </w:r>
      <w:r w:rsidRPr="005C7B83">
        <w:rPr>
          <w:rStyle w:val="af7"/>
          <w:rFonts w:eastAsia="Guttman Hodes"/>
          <w:rtl/>
        </w:rPr>
        <w:fldChar w:fldCharType="separate"/>
      </w:r>
      <w:r w:rsidR="00345400">
        <w:rPr>
          <w:rStyle w:val="af7"/>
          <w:rFonts w:eastAsia="Guttman Hodes"/>
          <w:cs/>
        </w:rPr>
        <w:t>‎</w:t>
      </w:r>
      <w:r w:rsidR="00345400">
        <w:rPr>
          <w:rStyle w:val="af7"/>
          <w:rFonts w:eastAsia="Guttman Hodes"/>
          <w:rtl/>
        </w:rPr>
        <w:t>לו)</w:t>
      </w:r>
      <w:r w:rsidRPr="005C7B83">
        <w:rPr>
          <w:rStyle w:val="af7"/>
          <w:rFonts w:eastAsia="Guttman Hodes"/>
          <w:rtl/>
        </w:rPr>
        <w:fldChar w:fldCharType="end"/>
      </w:r>
      <w:r>
        <w:rPr>
          <w:rFonts w:hint="cs"/>
          <w:rtl/>
        </w:rPr>
        <w:t>.</w:t>
      </w:r>
    </w:p>
    <w:p w14:paraId="7BF81799" w14:textId="77777777" w:rsidR="003D504D" w:rsidRDefault="003D504D" w:rsidP="003D504D">
      <w:pPr>
        <w:pStyle w:val="a3"/>
        <w:rPr>
          <w:rtl/>
        </w:rPr>
      </w:pPr>
      <w:bookmarkStart w:id="24613" w:name="_Toc4012317"/>
      <w:bookmarkStart w:id="24614" w:name="_Toc4013343"/>
      <w:bookmarkStart w:id="24615" w:name="_Toc4022851"/>
      <w:bookmarkStart w:id="24616" w:name="_Toc4026676"/>
      <w:bookmarkStart w:id="24617" w:name="_Toc4139476"/>
      <w:bookmarkStart w:id="24618" w:name="_Toc4151570"/>
      <w:bookmarkStart w:id="24619" w:name="_Toc19392019"/>
      <w:bookmarkStart w:id="24620" w:name="_Toc19395516"/>
      <w:r>
        <w:rPr>
          <w:rFonts w:hint="cs"/>
          <w:rtl/>
        </w:rPr>
        <w:t>דברי האמר</w:t>
      </w:r>
      <w:r>
        <w:rPr>
          <w:rtl/>
        </w:rPr>
        <w:t>"</w:t>
      </w:r>
      <w:r>
        <w:rPr>
          <w:rFonts w:hint="cs"/>
          <w:rtl/>
        </w:rPr>
        <w:t>מ דמוכח דהעובר נשחט בשחיטת אמו וא"כ קשה על רב הושעיא שהתיר חלב</w:t>
      </w:r>
      <w:bookmarkEnd w:id="24613"/>
      <w:bookmarkEnd w:id="24614"/>
      <w:bookmarkEnd w:id="24615"/>
      <w:bookmarkEnd w:id="24616"/>
      <w:bookmarkEnd w:id="24617"/>
      <w:bookmarkEnd w:id="24618"/>
      <w:bookmarkEnd w:id="24619"/>
      <w:bookmarkEnd w:id="24620"/>
    </w:p>
    <w:p w14:paraId="77AE4F3A" w14:textId="77777777" w:rsidR="003D504D" w:rsidRPr="00B3194B" w:rsidRDefault="003D504D" w:rsidP="00223668">
      <w:pPr>
        <w:pStyle w:val="a0"/>
        <w:rPr>
          <w:rStyle w:val="afb"/>
          <w:rtl/>
        </w:rPr>
      </w:pPr>
      <w:r>
        <w:rPr>
          <w:rFonts w:hint="cs"/>
          <w:rtl/>
        </w:rPr>
        <w:t xml:space="preserve">ועיי"ש בדברי </w:t>
      </w:r>
      <w:r w:rsidRPr="00D1391A">
        <w:rPr>
          <w:rStyle w:val="af9"/>
          <w:rFonts w:hint="cs"/>
          <w:rtl/>
        </w:rPr>
        <w:t>האמרי משה</w:t>
      </w:r>
      <w:r>
        <w:rPr>
          <w:rFonts w:hint="cs"/>
          <w:rtl/>
        </w:rPr>
        <w:t xml:space="preserve"> דכתב להוכיח כהצד דשחיטת אמו חלה עליו, </w:t>
      </w:r>
      <w:r w:rsidRPr="00040B6C">
        <w:rPr>
          <w:rStyle w:val="afb"/>
          <w:rFonts w:hint="cs"/>
          <w:rtl/>
        </w:rPr>
        <w:t>[עי' בהערה</w:t>
      </w:r>
      <w:r>
        <w:rPr>
          <w:rStyle w:val="af1"/>
          <w:rtl/>
        </w:rPr>
        <w:footnoteReference w:id="128"/>
      </w:r>
      <w:r w:rsidRPr="00040B6C">
        <w:rPr>
          <w:rStyle w:val="afb"/>
          <w:rFonts w:hint="cs"/>
          <w:rtl/>
        </w:rPr>
        <w:t xml:space="preserve">] </w:t>
      </w:r>
      <w:r>
        <w:rPr>
          <w:rFonts w:hint="cs"/>
          <w:rtl/>
        </w:rPr>
        <w:t xml:space="preserve">והקשה </w:t>
      </w:r>
      <w:r w:rsidRPr="00C33E3F">
        <w:rPr>
          <w:rStyle w:val="af9"/>
          <w:rFonts w:hint="cs"/>
          <w:rtl/>
        </w:rPr>
        <w:t>האמרי משה</w:t>
      </w:r>
      <w:r>
        <w:rPr>
          <w:rFonts w:hint="cs"/>
          <w:rtl/>
        </w:rPr>
        <w:t xml:space="preserve"> דכיון דמוכח דההיתר בבן פקועה, הוא דחלה עליו שחיטת אמו, א"כ היאך התיר רבי אושעיא את חלבו, דהרי שחיטה אינה מתירה את איסור חלב. </w:t>
      </w:r>
      <w:r w:rsidRPr="00B3194B">
        <w:rPr>
          <w:rStyle w:val="afb"/>
          <w:rFonts w:hint="cs"/>
          <w:rtl/>
        </w:rPr>
        <w:t xml:space="preserve">[כדהקשה </w:t>
      </w:r>
      <w:r w:rsidRPr="00B3194B">
        <w:rPr>
          <w:rStyle w:val="affa"/>
          <w:rFonts w:hint="cs"/>
          <w:rtl/>
        </w:rPr>
        <w:t>הרא"ש</w:t>
      </w:r>
      <w:r w:rsidRPr="00B3194B">
        <w:rPr>
          <w:rStyle w:val="afb"/>
          <w:rFonts w:hint="cs"/>
          <w:rtl/>
        </w:rPr>
        <w:t xml:space="preserve"> </w:t>
      </w:r>
      <w:r w:rsidRPr="00B3194B">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Ref4143984 \r \h</w:instrText>
      </w:r>
      <w:r>
        <w:rPr>
          <w:rStyle w:val="aff6"/>
          <w:rtl/>
        </w:rPr>
        <w:instrText xml:space="preserve"> </w:instrText>
      </w:r>
      <w:r>
        <w:rPr>
          <w:rStyle w:val="aff6"/>
          <w:rtl/>
        </w:rPr>
      </w:r>
      <w:r>
        <w:rPr>
          <w:rStyle w:val="aff6"/>
          <w:rtl/>
        </w:rPr>
        <w:fldChar w:fldCharType="separate"/>
      </w:r>
      <w:r w:rsidR="00345400">
        <w:rPr>
          <w:rStyle w:val="aff6"/>
          <w:cs/>
        </w:rPr>
        <w:t>‎</w:t>
      </w:r>
      <w:r w:rsidR="00345400">
        <w:rPr>
          <w:rStyle w:val="aff6"/>
          <w:rtl/>
        </w:rPr>
        <w:t>טו)</w:t>
      </w:r>
      <w:r>
        <w:rPr>
          <w:rStyle w:val="aff6"/>
          <w:rtl/>
        </w:rPr>
        <w:fldChar w:fldCharType="end"/>
      </w:r>
      <w:r>
        <w:rPr>
          <w:rStyle w:val="afb"/>
          <w:rFonts w:hint="cs"/>
          <w:rtl/>
        </w:rPr>
        <w:t>]</w:t>
      </w:r>
      <w:r w:rsidRPr="00B3194B">
        <w:rPr>
          <w:rStyle w:val="afb"/>
          <w:rFonts w:hint="cs"/>
          <w:rtl/>
        </w:rPr>
        <w:t>.</w:t>
      </w:r>
    </w:p>
    <w:p w14:paraId="75224DA4" w14:textId="77777777" w:rsidR="003D504D" w:rsidRDefault="003D504D" w:rsidP="003D504D">
      <w:pPr>
        <w:pStyle w:val="a3"/>
        <w:rPr>
          <w:rtl/>
        </w:rPr>
      </w:pPr>
      <w:bookmarkStart w:id="24621" w:name="_Toc4012318"/>
      <w:bookmarkStart w:id="24622" w:name="_Toc4013344"/>
      <w:bookmarkStart w:id="24623" w:name="_Toc4022852"/>
      <w:bookmarkStart w:id="24624" w:name="_Toc4026677"/>
      <w:bookmarkStart w:id="24625" w:name="_Toc4139477"/>
      <w:bookmarkStart w:id="24626" w:name="_Toc4151571"/>
      <w:bookmarkStart w:id="24627" w:name="_Toc19392020"/>
      <w:bookmarkStart w:id="24628" w:name="_Toc19395517"/>
      <w:r>
        <w:rPr>
          <w:rFonts w:hint="cs"/>
          <w:rtl/>
        </w:rPr>
        <w:t>הוכחת האמר</w:t>
      </w:r>
      <w:r>
        <w:rPr>
          <w:rtl/>
        </w:rPr>
        <w:t>"</w:t>
      </w:r>
      <w:r>
        <w:rPr>
          <w:rFonts w:hint="cs"/>
          <w:rtl/>
        </w:rPr>
        <w:t>מ דלהרמב"ם מחיצת האם אינה מתירה איסורים כחלב והעובר נשחט כאברי אמו</w:t>
      </w:r>
      <w:bookmarkEnd w:id="24621"/>
      <w:bookmarkEnd w:id="24622"/>
      <w:bookmarkEnd w:id="24623"/>
      <w:bookmarkEnd w:id="24624"/>
      <w:bookmarkEnd w:id="24625"/>
      <w:bookmarkEnd w:id="24626"/>
      <w:bookmarkEnd w:id="24627"/>
      <w:bookmarkEnd w:id="24628"/>
    </w:p>
    <w:p w14:paraId="40098A3C" w14:textId="77777777" w:rsidR="003D504D" w:rsidRDefault="003D504D" w:rsidP="00223668">
      <w:pPr>
        <w:pStyle w:val="a0"/>
        <w:rPr>
          <w:rtl/>
        </w:rPr>
      </w:pPr>
      <w:r>
        <w:rPr>
          <w:rFonts w:hint="cs"/>
          <w:rtl/>
        </w:rPr>
        <w:t xml:space="preserve">ועיי"ש עוד בדברי </w:t>
      </w:r>
      <w:r w:rsidRPr="00D1391A">
        <w:rPr>
          <w:rStyle w:val="af9"/>
          <w:rFonts w:hint="cs"/>
          <w:rtl/>
        </w:rPr>
        <w:t>האמרי משה</w:t>
      </w:r>
      <w:r>
        <w:rPr>
          <w:rFonts w:hint="cs"/>
          <w:rtl/>
        </w:rPr>
        <w:t xml:space="preserve"> </w:t>
      </w:r>
      <w:r w:rsidRPr="00D1391A">
        <w:rPr>
          <w:rStyle w:val="af7"/>
          <w:rFonts w:eastAsia="Guttman Hodes" w:hint="cs"/>
          <w:rtl/>
        </w:rPr>
        <w:t xml:space="preserve">(סי' ד' אות ג' ד"ה והנה בתו"ד) </w:t>
      </w:r>
      <w:r>
        <w:rPr>
          <w:rFonts w:hint="cs"/>
          <w:rtl/>
        </w:rPr>
        <w:t xml:space="preserve">דכתב להוכיח </w:t>
      </w:r>
      <w:r w:rsidRPr="00D1391A">
        <w:rPr>
          <w:rStyle w:val="af9"/>
          <w:rFonts w:hint="cs"/>
          <w:rtl/>
        </w:rPr>
        <w:t>דהרמב"ם</w:t>
      </w:r>
      <w:r>
        <w:rPr>
          <w:rFonts w:hint="cs"/>
          <w:rtl/>
        </w:rPr>
        <w:t xml:space="preserve"> ס"ל דמחיצת האם לא מהני להתיר שאר איסורים כחלב, אלא דלדעת </w:t>
      </w:r>
      <w:r w:rsidRPr="00436D97">
        <w:rPr>
          <w:rStyle w:val="af9"/>
          <w:rFonts w:hint="cs"/>
          <w:rtl/>
        </w:rPr>
        <w:t>הרמב"ם</w:t>
      </w:r>
      <w:r>
        <w:rPr>
          <w:rFonts w:hint="cs"/>
          <w:rtl/>
        </w:rPr>
        <w:t xml:space="preserve"> כ"ז שהאם חיה יש לעובר דין חי שהוא כאחד מאבריה, וכשנשחטה יש לו דין שחוט, דמהני ליה שחיטת אמו, </w:t>
      </w:r>
      <w:r w:rsidRPr="00394D59">
        <w:rPr>
          <w:rStyle w:val="afb"/>
          <w:rFonts w:hint="cs"/>
          <w:rtl/>
        </w:rPr>
        <w:t xml:space="preserve">[עיי"ש בדברי </w:t>
      </w:r>
      <w:r w:rsidRPr="00394D59">
        <w:rPr>
          <w:rStyle w:val="affa"/>
          <w:rFonts w:hint="cs"/>
          <w:rtl/>
        </w:rPr>
        <w:t>האמרי משה</w:t>
      </w:r>
      <w:r w:rsidRPr="00394D59">
        <w:rPr>
          <w:rStyle w:val="afb"/>
          <w:rFonts w:hint="cs"/>
          <w:rtl/>
        </w:rPr>
        <w:t xml:space="preserve"> דהוכיח כן מדברי </w:t>
      </w:r>
      <w:r w:rsidRPr="00394D59">
        <w:rPr>
          <w:rStyle w:val="affa"/>
          <w:rFonts w:hint="cs"/>
          <w:rtl/>
        </w:rPr>
        <w:t>הרמב"ם</w:t>
      </w:r>
      <w:r w:rsidRPr="00394D59">
        <w:rPr>
          <w:rStyle w:val="afb"/>
          <w:rFonts w:hint="cs"/>
          <w:rtl/>
        </w:rPr>
        <w:t xml:space="preserve"> </w:t>
      </w:r>
      <w:r w:rsidRPr="00394D59">
        <w:rPr>
          <w:rStyle w:val="aff6"/>
          <w:rFonts w:hint="cs"/>
          <w:rtl/>
        </w:rPr>
        <w:t xml:space="preserve">(מאכ"א פ"ה הי"א) </w:t>
      </w:r>
      <w:r w:rsidRPr="00394D59">
        <w:rPr>
          <w:rStyle w:val="afb"/>
          <w:rFonts w:hint="cs"/>
          <w:rtl/>
        </w:rPr>
        <w:t>לענין עובר שמצאו מת דאין לו דין נבילה]</w:t>
      </w:r>
      <w:r>
        <w:rPr>
          <w:rFonts w:hint="cs"/>
          <w:rtl/>
        </w:rPr>
        <w:t>.</w:t>
      </w:r>
    </w:p>
    <w:p w14:paraId="4908EACD" w14:textId="77777777" w:rsidR="003D504D" w:rsidRPr="005B6825" w:rsidRDefault="003D504D" w:rsidP="003D504D">
      <w:pPr>
        <w:pStyle w:val="a3"/>
        <w:rPr>
          <w:rtl/>
        </w:rPr>
      </w:pPr>
    </w:p>
    <w:p w14:paraId="76248D7D" w14:textId="77777777" w:rsidR="003D504D" w:rsidRPr="001A1A7C" w:rsidRDefault="003D504D" w:rsidP="00BF39B2">
      <w:pPr>
        <w:pStyle w:val="1"/>
      </w:pPr>
      <w:bookmarkStart w:id="24629" w:name="_Toc4013345"/>
      <w:bookmarkStart w:id="24630" w:name="_Toc4022853"/>
      <w:bookmarkStart w:id="24631" w:name="_Toc4026678"/>
      <w:bookmarkStart w:id="24632" w:name="_Toc4139478"/>
      <w:bookmarkStart w:id="24633" w:name="_Toc4151572"/>
      <w:bookmarkStart w:id="24634" w:name="_Toc19392021"/>
      <w:bookmarkStart w:id="24635" w:name="_Toc19395518"/>
      <w:bookmarkStart w:id="24636" w:name="_Toc4012319"/>
      <w:r>
        <w:rPr>
          <w:rFonts w:hint="cs"/>
          <w:rtl/>
        </w:rPr>
        <w:t>דברי האמר"מ דלרב הושעיא גדר ההיתר דמתיר כל איסור</w:t>
      </w:r>
      <w:bookmarkEnd w:id="24629"/>
      <w:bookmarkEnd w:id="24630"/>
      <w:bookmarkEnd w:id="24631"/>
      <w:bookmarkEnd w:id="24632"/>
      <w:bookmarkEnd w:id="24633"/>
      <w:bookmarkEnd w:id="24634"/>
      <w:bookmarkEnd w:id="24635"/>
    </w:p>
    <w:p w14:paraId="7354FE80" w14:textId="77777777" w:rsidR="003D504D" w:rsidRDefault="003D504D" w:rsidP="003D504D">
      <w:pPr>
        <w:pStyle w:val="a3"/>
      </w:pPr>
      <w:bookmarkStart w:id="24637" w:name="_Toc4013346"/>
      <w:bookmarkStart w:id="24638" w:name="_Toc4022854"/>
      <w:bookmarkStart w:id="24639" w:name="_Toc4026679"/>
      <w:bookmarkStart w:id="24640" w:name="_Toc4139479"/>
      <w:bookmarkStart w:id="24641" w:name="_Toc4151573"/>
      <w:bookmarkStart w:id="24642" w:name="_Toc19392022"/>
      <w:bookmarkStart w:id="24643" w:name="_Toc19395519"/>
      <w:r>
        <w:rPr>
          <w:rFonts w:hint="cs"/>
          <w:rtl/>
        </w:rPr>
        <w:t>דברי האמר</w:t>
      </w:r>
      <w:r>
        <w:rPr>
          <w:rtl/>
        </w:rPr>
        <w:t>"</w:t>
      </w:r>
      <w:r>
        <w:rPr>
          <w:rFonts w:hint="cs"/>
          <w:rtl/>
        </w:rPr>
        <w:t>מ דרב הושעיא ס"ל דההיתר אינו מחמת דחשיב כשחוט דא"כ היאך החלב מותר</w:t>
      </w:r>
      <w:bookmarkEnd w:id="24636"/>
      <w:bookmarkEnd w:id="24637"/>
      <w:bookmarkEnd w:id="24638"/>
      <w:bookmarkEnd w:id="24639"/>
      <w:bookmarkEnd w:id="24640"/>
      <w:bookmarkEnd w:id="24641"/>
      <w:bookmarkEnd w:id="24642"/>
      <w:bookmarkEnd w:id="24643"/>
    </w:p>
    <w:p w14:paraId="1EB46BB7" w14:textId="77777777" w:rsidR="003D504D" w:rsidRDefault="003D504D" w:rsidP="00223668">
      <w:pPr>
        <w:pStyle w:val="a0"/>
        <w:rPr>
          <w:rtl/>
        </w:rPr>
      </w:pPr>
      <w:r>
        <w:rPr>
          <w:rFonts w:hint="cs"/>
          <w:rtl/>
        </w:rPr>
        <w:t xml:space="preserve">וכתב </w:t>
      </w:r>
      <w:r w:rsidRPr="00D1391A">
        <w:rPr>
          <w:rStyle w:val="af9"/>
          <w:rFonts w:hint="cs"/>
          <w:rtl/>
        </w:rPr>
        <w:t>האמרי משה</w:t>
      </w:r>
      <w:r>
        <w:rPr>
          <w:rFonts w:hint="cs"/>
          <w:rtl/>
        </w:rPr>
        <w:t xml:space="preserve"> </w:t>
      </w:r>
      <w:r w:rsidRPr="007121FC">
        <w:rPr>
          <w:rStyle w:val="af7"/>
          <w:rFonts w:eastAsia="Guttman Hodes" w:hint="cs"/>
          <w:rtl/>
        </w:rPr>
        <w:t xml:space="preserve">(סי' ד' אות ו') </w:t>
      </w:r>
      <w:r>
        <w:rPr>
          <w:rFonts w:hint="cs"/>
          <w:rtl/>
        </w:rPr>
        <w:t>דמהא דס"ל לרב הושעיא דר"מ ור"י הלכו לשיטתם, ור"י מתיר בחלב כיון דס"ל דמהני לו שחיטת אמו, א"כ מבואר דס"ל לרב הושעיא דההיתר בבן פקועה אינו מחמת דחשיב שהעובר נשחט בשחיטת אמו, דהא שחיטה ודאי אין בכחה להתיר את איסור חלב.</w:t>
      </w:r>
    </w:p>
    <w:p w14:paraId="0A94FEA9" w14:textId="77777777" w:rsidR="003D504D" w:rsidRPr="00B95407" w:rsidRDefault="003D504D" w:rsidP="003D504D">
      <w:pPr>
        <w:pStyle w:val="a3"/>
        <w:rPr>
          <w:rtl/>
        </w:rPr>
      </w:pPr>
      <w:bookmarkStart w:id="24644" w:name="_Toc4012320"/>
      <w:bookmarkStart w:id="24645" w:name="_Toc4013347"/>
      <w:bookmarkStart w:id="24646" w:name="_Toc4022855"/>
      <w:bookmarkStart w:id="24647" w:name="_Toc4026680"/>
      <w:bookmarkStart w:id="24648" w:name="_Toc4139480"/>
      <w:bookmarkStart w:id="24649" w:name="_Toc4151574"/>
      <w:bookmarkStart w:id="24650" w:name="_Toc19392023"/>
      <w:bookmarkStart w:id="24651" w:name="_Toc19395520"/>
      <w:r>
        <w:rPr>
          <w:rFonts w:hint="cs"/>
          <w:rtl/>
        </w:rPr>
        <w:t>הוכחת האמר</w:t>
      </w:r>
      <w:r>
        <w:rPr>
          <w:rtl/>
        </w:rPr>
        <w:t>"</w:t>
      </w:r>
      <w:r>
        <w:rPr>
          <w:rFonts w:hint="cs"/>
          <w:rtl/>
        </w:rPr>
        <w:t>מ [מדין נבילה] דהרמב"ם לא פסק כסברת רב הושעיא וס"ל דחשיב כשחוט</w:t>
      </w:r>
      <w:bookmarkEnd w:id="24644"/>
      <w:bookmarkEnd w:id="24645"/>
      <w:bookmarkEnd w:id="24646"/>
      <w:bookmarkEnd w:id="24647"/>
      <w:bookmarkEnd w:id="24648"/>
      <w:bookmarkEnd w:id="24649"/>
      <w:bookmarkEnd w:id="24650"/>
      <w:bookmarkEnd w:id="24651"/>
    </w:p>
    <w:p w14:paraId="10FA4F32" w14:textId="77777777" w:rsidR="003D504D" w:rsidRDefault="003D504D" w:rsidP="00223668">
      <w:pPr>
        <w:pStyle w:val="a0"/>
      </w:pPr>
      <w:r>
        <w:rPr>
          <w:rFonts w:hint="cs"/>
          <w:rtl/>
        </w:rPr>
        <w:t xml:space="preserve">ועיי"ש בדברי </w:t>
      </w:r>
      <w:r w:rsidRPr="00D1391A">
        <w:rPr>
          <w:rStyle w:val="af9"/>
          <w:rFonts w:hint="cs"/>
          <w:rtl/>
        </w:rPr>
        <w:t>האמרי משה</w:t>
      </w:r>
      <w:r>
        <w:rPr>
          <w:rFonts w:hint="cs"/>
          <w:rtl/>
        </w:rPr>
        <w:t xml:space="preserve"> דכתב דכן דעת רב חסדא בגמ' לעיל </w:t>
      </w:r>
      <w:r w:rsidRPr="007121FC">
        <w:rPr>
          <w:rStyle w:val="af7"/>
          <w:rFonts w:eastAsia="Guttman Hodes" w:hint="cs"/>
          <w:rtl/>
        </w:rPr>
        <w:t xml:space="preserve">(עב.) </w:t>
      </w:r>
      <w:r>
        <w:rPr>
          <w:rFonts w:hint="cs"/>
          <w:rtl/>
        </w:rPr>
        <w:t xml:space="preserve">דעובר מת יש לו דין נבילה, ואפ"ה מהני שחיטת אמו להתירו, וא"כ מבואר דהיתר בן פקועה הוא מגיזה"כ "כל בבהמה תאכלו" דמהני להתיר שאר איסורים, ולכן ס"ל לרב הושעיא דמהני הגזיה"כ להתיר אף את איסור חלב, </w:t>
      </w:r>
      <w:r w:rsidRPr="00D95E86">
        <w:rPr>
          <w:rStyle w:val="afb"/>
          <w:rFonts w:hint="cs"/>
          <w:rtl/>
        </w:rPr>
        <w:t>[דהא ודאי דאין כח בשחיטה להתיר איסור נבילה</w:t>
      </w:r>
      <w:r>
        <w:rPr>
          <w:rStyle w:val="afb"/>
          <w:rFonts w:hint="cs"/>
          <w:rtl/>
        </w:rPr>
        <w:t>]</w:t>
      </w:r>
      <w:r w:rsidRPr="00D95E86">
        <w:rPr>
          <w:rStyle w:val="afb"/>
          <w:rFonts w:hint="cs"/>
          <w:rtl/>
        </w:rPr>
        <w:t xml:space="preserve">, </w:t>
      </w:r>
      <w:r>
        <w:rPr>
          <w:rFonts w:hint="cs"/>
          <w:rtl/>
        </w:rPr>
        <w:t xml:space="preserve">וכתב </w:t>
      </w:r>
      <w:r w:rsidRPr="007F572A">
        <w:rPr>
          <w:rStyle w:val="af9"/>
          <w:rFonts w:hint="cs"/>
          <w:rtl/>
        </w:rPr>
        <w:t>האמרי משה</w:t>
      </w:r>
      <w:r>
        <w:rPr>
          <w:rFonts w:hint="cs"/>
          <w:rtl/>
        </w:rPr>
        <w:t xml:space="preserve"> דמבואר בדברי </w:t>
      </w:r>
      <w:r w:rsidRPr="00D1391A">
        <w:rPr>
          <w:rStyle w:val="af9"/>
          <w:rFonts w:hint="cs"/>
          <w:rtl/>
        </w:rPr>
        <w:t>הרמב"ם</w:t>
      </w:r>
      <w:r>
        <w:rPr>
          <w:rFonts w:hint="cs"/>
          <w:rtl/>
        </w:rPr>
        <w:t xml:space="preserve"> </w:t>
      </w:r>
      <w:r w:rsidRPr="007121FC">
        <w:rPr>
          <w:rStyle w:val="af7"/>
          <w:rFonts w:eastAsia="Guttman Hodes" w:hint="cs"/>
          <w:rtl/>
        </w:rPr>
        <w:t>(אבות הטומאה פ"ב הל"ט)</w:t>
      </w:r>
      <w:r>
        <w:rPr>
          <w:rFonts w:hint="cs"/>
          <w:rtl/>
        </w:rPr>
        <w:t xml:space="preserve"> דפסק דעובר מת אין לו דין נבילה, </w:t>
      </w:r>
      <w:r w:rsidRPr="007121FC">
        <w:rPr>
          <w:rStyle w:val="afb"/>
          <w:rFonts w:hint="cs"/>
          <w:rtl/>
        </w:rPr>
        <w:t xml:space="preserve">[עיי"ש במה שביאר בזה </w:t>
      </w:r>
      <w:r w:rsidRPr="007121FC">
        <w:rPr>
          <w:rStyle w:val="affa"/>
          <w:rFonts w:hint="cs"/>
          <w:rtl/>
        </w:rPr>
        <w:t>האמרי משה</w:t>
      </w:r>
      <w:r w:rsidRPr="007121FC">
        <w:rPr>
          <w:rStyle w:val="afb"/>
          <w:rFonts w:hint="cs"/>
          <w:rtl/>
        </w:rPr>
        <w:t xml:space="preserve">], </w:t>
      </w:r>
      <w:r>
        <w:rPr>
          <w:rFonts w:hint="cs"/>
          <w:rtl/>
        </w:rPr>
        <w:t xml:space="preserve">א"כ מוכח דס"ל דאף עובר מת יש לו דין חי ולכן מהני שחיטת אמו להתירו, דחשיב שנשחט בשחיטת אמו, וס"ל </w:t>
      </w:r>
      <w:r w:rsidRPr="002F798D">
        <w:rPr>
          <w:rStyle w:val="af9"/>
          <w:rFonts w:hint="cs"/>
          <w:rtl/>
        </w:rPr>
        <w:t>להרמב"ם</w:t>
      </w:r>
      <w:r>
        <w:rPr>
          <w:rFonts w:hint="cs"/>
          <w:rtl/>
        </w:rPr>
        <w:t xml:space="preserve"> דזהו ההיתר בבן פקועה.</w:t>
      </w:r>
    </w:p>
    <w:p w14:paraId="6DBCF4AC" w14:textId="77777777" w:rsidR="003D504D" w:rsidRDefault="003D504D" w:rsidP="003D504D">
      <w:pPr>
        <w:pStyle w:val="a3"/>
      </w:pPr>
      <w:bookmarkStart w:id="24652" w:name="_Toc4012321"/>
      <w:bookmarkStart w:id="24653" w:name="_Toc4013348"/>
      <w:bookmarkStart w:id="24654" w:name="_Toc4022856"/>
      <w:bookmarkStart w:id="24655" w:name="_Toc4026681"/>
      <w:bookmarkStart w:id="24656" w:name="_Toc4139481"/>
      <w:bookmarkStart w:id="24657" w:name="_Toc4151575"/>
      <w:bookmarkStart w:id="24658" w:name="_Toc19392024"/>
      <w:bookmarkStart w:id="24659" w:name="_Toc19395521"/>
      <w:r>
        <w:rPr>
          <w:rFonts w:hint="cs"/>
          <w:rtl/>
        </w:rPr>
        <w:t>דברי האמר</w:t>
      </w:r>
      <w:r>
        <w:rPr>
          <w:rtl/>
        </w:rPr>
        <w:t>"</w:t>
      </w:r>
      <w:r>
        <w:rPr>
          <w:rFonts w:hint="cs"/>
          <w:rtl/>
        </w:rPr>
        <w:t>מ דלהרמב"ם דחשיב כשחוט א"א לומר כרב הושעיא דהשחיטה מתירה חלב</w:t>
      </w:r>
      <w:bookmarkEnd w:id="24652"/>
      <w:bookmarkEnd w:id="24653"/>
      <w:bookmarkEnd w:id="24654"/>
      <w:bookmarkEnd w:id="24655"/>
      <w:bookmarkEnd w:id="24656"/>
      <w:bookmarkEnd w:id="24657"/>
      <w:bookmarkEnd w:id="24658"/>
      <w:bookmarkEnd w:id="24659"/>
    </w:p>
    <w:p w14:paraId="05035D94" w14:textId="77777777" w:rsidR="003D504D" w:rsidRDefault="003D504D" w:rsidP="00223668">
      <w:pPr>
        <w:pStyle w:val="a0"/>
        <w:rPr>
          <w:rtl/>
        </w:rPr>
      </w:pPr>
      <w:r>
        <w:rPr>
          <w:rFonts w:hint="cs"/>
          <w:rtl/>
        </w:rPr>
        <w:t xml:space="preserve">וכתב </w:t>
      </w:r>
      <w:r w:rsidRPr="007121FC">
        <w:rPr>
          <w:rStyle w:val="af9"/>
          <w:rFonts w:hint="cs"/>
          <w:rtl/>
        </w:rPr>
        <w:t>האמרי משה</w:t>
      </w:r>
      <w:r>
        <w:rPr>
          <w:rFonts w:hint="cs"/>
          <w:rtl/>
        </w:rPr>
        <w:t xml:space="preserve"> דא"כ לדעת </w:t>
      </w:r>
      <w:r w:rsidRPr="002F798D">
        <w:rPr>
          <w:rStyle w:val="af9"/>
          <w:rFonts w:hint="cs"/>
          <w:rtl/>
        </w:rPr>
        <w:t>הרמב"ם</w:t>
      </w:r>
      <w:r>
        <w:rPr>
          <w:rFonts w:hint="cs"/>
          <w:rtl/>
        </w:rPr>
        <w:t xml:space="preserve"> א"א לומר כרב הושעיא דהלך ר"י לשיטתו, דכיון שהתיר ר"י בן ט' חי בשחיטת אמו, התיר אף את חלבו, דהא אין בכח השחיטה להתיר את איסור חלב, והא דפסק </w:t>
      </w:r>
      <w:r w:rsidRPr="007121FC">
        <w:rPr>
          <w:rStyle w:val="af9"/>
          <w:rFonts w:hint="cs"/>
          <w:rtl/>
        </w:rPr>
        <w:t>הרמב"ם</w:t>
      </w:r>
      <w:r>
        <w:rPr>
          <w:rFonts w:hint="cs"/>
          <w:rtl/>
        </w:rPr>
        <w:t xml:space="preserve"> </w:t>
      </w:r>
      <w:r w:rsidRPr="0056451B">
        <w:rPr>
          <w:rStyle w:val="af7"/>
          <w:rFonts w:eastAsia="Guttman Hodes" w:hint="cs"/>
          <w:rtl/>
        </w:rPr>
        <w:t xml:space="preserve">(עי' אות </w:t>
      </w:r>
      <w:r w:rsidRPr="0056451B">
        <w:rPr>
          <w:rStyle w:val="af7"/>
          <w:rFonts w:eastAsia="Guttman Hodes"/>
          <w:rtl/>
        </w:rPr>
        <w:fldChar w:fldCharType="begin"/>
      </w:r>
      <w:r w:rsidRPr="0056451B">
        <w:rPr>
          <w:rStyle w:val="af7"/>
          <w:rFonts w:eastAsia="Guttman Hodes"/>
          <w:rtl/>
        </w:rPr>
        <w:instrText xml:space="preserve"> </w:instrText>
      </w:r>
      <w:r w:rsidRPr="0056451B">
        <w:rPr>
          <w:rStyle w:val="af7"/>
          <w:rFonts w:eastAsia="Guttman Hodes" w:hint="cs"/>
        </w:rPr>
        <w:instrText>REF</w:instrText>
      </w:r>
      <w:r w:rsidRPr="0056451B">
        <w:rPr>
          <w:rStyle w:val="af7"/>
          <w:rFonts w:eastAsia="Guttman Hodes" w:hint="cs"/>
          <w:rtl/>
        </w:rPr>
        <w:instrText xml:space="preserve"> _</w:instrText>
      </w:r>
      <w:r w:rsidRPr="0056451B">
        <w:rPr>
          <w:rStyle w:val="af7"/>
          <w:rFonts w:eastAsia="Guttman Hodes" w:hint="cs"/>
        </w:rPr>
        <w:instrText>Ref3145560 \r \h</w:instrText>
      </w:r>
      <w:r w:rsidRPr="0056451B">
        <w:rPr>
          <w:rStyle w:val="af7"/>
          <w:rFonts w:eastAsia="Guttman Hodes"/>
          <w:rtl/>
        </w:rPr>
        <w:instrText xml:space="preserve"> </w:instrText>
      </w:r>
      <w:r w:rsidRPr="0056451B">
        <w:rPr>
          <w:rStyle w:val="af7"/>
          <w:rFonts w:eastAsia="Guttman Hodes"/>
          <w:rtl/>
        </w:rPr>
      </w:r>
      <w:r w:rsidRPr="0056451B">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56451B">
        <w:rPr>
          <w:rStyle w:val="af7"/>
          <w:rFonts w:eastAsia="Guttman Hodes"/>
          <w:rtl/>
        </w:rPr>
        <w:fldChar w:fldCharType="end"/>
      </w:r>
      <w:r>
        <w:rPr>
          <w:rFonts w:hint="cs"/>
          <w:rtl/>
        </w:rPr>
        <w:t xml:space="preserve"> דבן ח' חלבו מותר, אינו מחמת שהותר החלב בשחיטת אמו, אלא דחדשים גרמי, וכיון דלא כלו לו חדשיו, לא חל עליו איסור חלב.</w:t>
      </w:r>
    </w:p>
    <w:p w14:paraId="6D29AA3D" w14:textId="77777777" w:rsidR="003D504D" w:rsidRDefault="003D504D" w:rsidP="00BF39B2">
      <w:pPr>
        <w:pStyle w:val="1"/>
      </w:pPr>
      <w:bookmarkStart w:id="24660" w:name="_Toc4013349"/>
      <w:bookmarkStart w:id="24661" w:name="_Toc4022857"/>
      <w:bookmarkStart w:id="24662" w:name="_Toc4026682"/>
      <w:bookmarkStart w:id="24663" w:name="_Toc4139482"/>
      <w:bookmarkStart w:id="24664" w:name="_Toc4151576"/>
      <w:bookmarkStart w:id="24665" w:name="_Toc19392025"/>
      <w:bookmarkStart w:id="24666" w:name="_Toc19395522"/>
      <w:bookmarkStart w:id="24667" w:name="_Toc4012322"/>
      <w:r>
        <w:rPr>
          <w:rFonts w:hint="cs"/>
          <w:rtl/>
        </w:rPr>
        <w:t>דברי האמר"מ דלהרמב"ם גדר ההיתר כשחוט</w:t>
      </w:r>
      <w:r w:rsidRPr="006042EA">
        <w:rPr>
          <w:rFonts w:hint="cs"/>
          <w:rtl/>
        </w:rPr>
        <w:t xml:space="preserve"> </w:t>
      </w:r>
      <w:r>
        <w:rPr>
          <w:rFonts w:hint="cs"/>
          <w:rtl/>
        </w:rPr>
        <w:t>וכגמ' לקמן</w:t>
      </w:r>
      <w:bookmarkEnd w:id="24660"/>
      <w:bookmarkEnd w:id="24661"/>
      <w:bookmarkEnd w:id="24662"/>
      <w:bookmarkEnd w:id="24663"/>
      <w:bookmarkEnd w:id="24664"/>
      <w:bookmarkEnd w:id="24665"/>
      <w:bookmarkEnd w:id="24666"/>
    </w:p>
    <w:p w14:paraId="7274DE31" w14:textId="77777777" w:rsidR="003D504D" w:rsidRDefault="003D504D" w:rsidP="003D504D">
      <w:pPr>
        <w:pStyle w:val="a3"/>
      </w:pPr>
      <w:bookmarkStart w:id="24668" w:name="_Toc4013350"/>
      <w:bookmarkStart w:id="24669" w:name="_Toc4022858"/>
      <w:bookmarkStart w:id="24670" w:name="_Toc4026683"/>
      <w:bookmarkStart w:id="24671" w:name="_Toc4139483"/>
      <w:bookmarkStart w:id="24672" w:name="_Toc4151577"/>
      <w:bookmarkStart w:id="24673" w:name="_Toc19392026"/>
      <w:bookmarkStart w:id="24674" w:name="_Toc19395523"/>
      <w:r>
        <w:rPr>
          <w:rFonts w:hint="cs"/>
          <w:rtl/>
        </w:rPr>
        <w:t>דברי האמר</w:t>
      </w:r>
      <w:r>
        <w:rPr>
          <w:rtl/>
        </w:rPr>
        <w:t>"</w:t>
      </w:r>
      <w:r>
        <w:rPr>
          <w:rFonts w:hint="cs"/>
          <w:rtl/>
        </w:rPr>
        <w:t>מ דמקור הרמב"ם הוא מקושית התוס' דבגמ' לקמן מוכח דלא כרב הושעיא</w:t>
      </w:r>
      <w:bookmarkEnd w:id="24667"/>
      <w:bookmarkEnd w:id="24668"/>
      <w:bookmarkEnd w:id="24669"/>
      <w:bookmarkEnd w:id="24670"/>
      <w:bookmarkEnd w:id="24671"/>
      <w:bookmarkEnd w:id="24672"/>
      <w:bookmarkEnd w:id="24673"/>
      <w:bookmarkEnd w:id="24674"/>
    </w:p>
    <w:p w14:paraId="087CFDB5" w14:textId="77777777" w:rsidR="003D504D" w:rsidRDefault="003D504D" w:rsidP="00223668">
      <w:pPr>
        <w:pStyle w:val="a0"/>
        <w:rPr>
          <w:rFonts w:asciiTheme="minorHAnsi" w:hAnsiTheme="minorHAnsi"/>
          <w:rtl/>
        </w:rPr>
      </w:pPr>
      <w:r>
        <w:rPr>
          <w:rFonts w:hint="cs"/>
          <w:rtl/>
        </w:rPr>
        <w:t xml:space="preserve">וכתב </w:t>
      </w:r>
      <w:r w:rsidRPr="002D7EC4">
        <w:rPr>
          <w:rStyle w:val="af9"/>
          <w:rFonts w:hint="cs"/>
          <w:rtl/>
        </w:rPr>
        <w:t>האמרי משה</w:t>
      </w:r>
      <w:r>
        <w:rPr>
          <w:rFonts w:hint="cs"/>
          <w:rtl/>
        </w:rPr>
        <w:t xml:space="preserve"> </w:t>
      </w:r>
      <w:r w:rsidRPr="00585CFD">
        <w:rPr>
          <w:rStyle w:val="af7"/>
          <w:rFonts w:eastAsia="Guttman Hodes" w:hint="cs"/>
          <w:rtl/>
        </w:rPr>
        <w:t>(סי' ד' אות ז')</w:t>
      </w:r>
      <w:r>
        <w:rPr>
          <w:rFonts w:hint="cs"/>
          <w:rtl/>
        </w:rPr>
        <w:t xml:space="preserve"> דמקור דברי </w:t>
      </w:r>
      <w:r w:rsidRPr="00FA676C">
        <w:rPr>
          <w:rStyle w:val="af9"/>
          <w:rFonts w:hint="cs"/>
          <w:rtl/>
        </w:rPr>
        <w:t>הרמב"ם</w:t>
      </w:r>
      <w:r>
        <w:rPr>
          <w:rFonts w:hint="cs"/>
          <w:rtl/>
        </w:rPr>
        <w:t xml:space="preserve"> דדברי רב הושעיא אינם לכו"ע, הוא מקושית </w:t>
      </w:r>
      <w:r w:rsidRPr="00FA676C">
        <w:rPr>
          <w:rStyle w:val="af9"/>
          <w:rFonts w:hint="cs"/>
          <w:rtl/>
        </w:rPr>
        <w:t xml:space="preserve">התוס' והרשב"א </w:t>
      </w:r>
      <w:r w:rsidRPr="00585CFD">
        <w:rPr>
          <w:rStyle w:val="af7"/>
          <w:rFonts w:eastAsia="Guttman Hodes" w:hint="cs"/>
          <w:rtl/>
        </w:rPr>
        <w:t xml:space="preserve">(עי' אות </w:t>
      </w:r>
      <w:r w:rsidRPr="00585CFD">
        <w:rPr>
          <w:rStyle w:val="af7"/>
          <w:rFonts w:eastAsia="Guttman Hodes"/>
          <w:rtl/>
        </w:rPr>
        <w:fldChar w:fldCharType="begin"/>
      </w:r>
      <w:r w:rsidRPr="00585CFD">
        <w:rPr>
          <w:rStyle w:val="af7"/>
          <w:rFonts w:eastAsia="Guttman Hodes"/>
          <w:rtl/>
        </w:rPr>
        <w:instrText xml:space="preserve"> </w:instrText>
      </w:r>
      <w:r w:rsidRPr="00585CFD">
        <w:rPr>
          <w:rStyle w:val="af7"/>
          <w:rFonts w:eastAsia="Guttman Hodes" w:hint="cs"/>
        </w:rPr>
        <w:instrText>REF</w:instrText>
      </w:r>
      <w:r w:rsidRPr="00585CFD">
        <w:rPr>
          <w:rStyle w:val="af7"/>
          <w:rFonts w:eastAsia="Guttman Hodes" w:hint="cs"/>
          <w:rtl/>
        </w:rPr>
        <w:instrText xml:space="preserve"> _</w:instrText>
      </w:r>
      <w:r w:rsidRPr="00585CFD">
        <w:rPr>
          <w:rStyle w:val="af7"/>
          <w:rFonts w:eastAsia="Guttman Hodes" w:hint="cs"/>
        </w:rPr>
        <w:instrText>Ref3915665 \r \h</w:instrText>
      </w:r>
      <w:r w:rsidRPr="00585CFD">
        <w:rPr>
          <w:rStyle w:val="af7"/>
          <w:rFonts w:eastAsia="Guttman Hodes"/>
          <w:rtl/>
        </w:rPr>
        <w:instrText xml:space="preserve"> </w:instrText>
      </w:r>
      <w:r w:rsidRPr="00585CFD">
        <w:rPr>
          <w:rStyle w:val="af7"/>
          <w:rFonts w:eastAsia="Guttman Hodes"/>
          <w:rtl/>
        </w:rPr>
      </w:r>
      <w:r w:rsidRPr="00585CFD">
        <w:rPr>
          <w:rStyle w:val="af7"/>
          <w:rFonts w:eastAsia="Guttman Hodes"/>
          <w:rtl/>
        </w:rPr>
        <w:fldChar w:fldCharType="separate"/>
      </w:r>
      <w:r w:rsidR="00345400">
        <w:rPr>
          <w:rStyle w:val="af7"/>
          <w:rFonts w:eastAsia="Guttman Hodes"/>
          <w:cs/>
        </w:rPr>
        <w:t>‎</w:t>
      </w:r>
      <w:r w:rsidR="00345400">
        <w:rPr>
          <w:rStyle w:val="af7"/>
          <w:rFonts w:eastAsia="Guttman Hodes"/>
          <w:rtl/>
        </w:rPr>
        <w:t>יח)</w:t>
      </w:r>
      <w:r w:rsidRPr="00585CFD">
        <w:rPr>
          <w:rStyle w:val="af7"/>
          <w:rFonts w:eastAsia="Guttman Hodes"/>
          <w:rtl/>
        </w:rPr>
        <w:fldChar w:fldCharType="end"/>
      </w:r>
      <w:r>
        <w:rPr>
          <w:rFonts w:hint="cs"/>
          <w:rtl/>
        </w:rPr>
        <w:t xml:space="preserve"> דבגמ' לקמן </w:t>
      </w:r>
      <w:r w:rsidRPr="00585CFD">
        <w:rPr>
          <w:rStyle w:val="af7"/>
          <w:rFonts w:eastAsia="Guttman Hodes" w:hint="cs"/>
          <w:rtl/>
        </w:rPr>
        <w:t>(פט:)</w:t>
      </w:r>
      <w:r>
        <w:rPr>
          <w:rFonts w:hint="cs"/>
          <w:rtl/>
        </w:rPr>
        <w:t xml:space="preserve"> מבואר דלא כרב הושעיא, וכתב </w:t>
      </w:r>
      <w:r w:rsidRPr="002D7EC4">
        <w:rPr>
          <w:rStyle w:val="af9"/>
          <w:rFonts w:hint="cs"/>
          <w:rtl/>
        </w:rPr>
        <w:t>האמרי משה</w:t>
      </w:r>
      <w:r>
        <w:rPr>
          <w:rFonts w:hint="cs"/>
          <w:rtl/>
        </w:rPr>
        <w:t xml:space="preserve"> דמזה הוכיח </w:t>
      </w:r>
      <w:r w:rsidRPr="00717811">
        <w:rPr>
          <w:rStyle w:val="af9"/>
          <w:rFonts w:hint="cs"/>
          <w:rtl/>
        </w:rPr>
        <w:t>הרמב"ם</w:t>
      </w:r>
      <w:r>
        <w:rPr>
          <w:rFonts w:hint="cs"/>
          <w:rtl/>
        </w:rPr>
        <w:t xml:space="preserve"> </w:t>
      </w:r>
      <w:r w:rsidRPr="00585CFD">
        <w:rPr>
          <w:rFonts w:asciiTheme="minorHAnsi" w:hAnsiTheme="minorHAnsi" w:hint="cs"/>
          <w:rtl/>
        </w:rPr>
        <w:t>דלדעת ר"י אין חילוק בדין הגיד בין לפני שחיטת האם לאחר שחיטת האם, אלא מוכח דהמחלוקת של ר"י ור"מ בדין הגיד, היא מתי חל האיסור דלר"מ האיסור חל משעה שנוצר</w:t>
      </w:r>
      <w:r>
        <w:rPr>
          <w:rFonts w:asciiTheme="minorHAnsi" w:hAnsiTheme="minorHAnsi" w:hint="cs"/>
          <w:rtl/>
        </w:rPr>
        <w:t>,</w:t>
      </w:r>
      <w:r w:rsidRPr="00585CFD">
        <w:rPr>
          <w:rFonts w:asciiTheme="minorHAnsi" w:hAnsiTheme="minorHAnsi" w:hint="cs"/>
          <w:rtl/>
        </w:rPr>
        <w:t xml:space="preserve"> ולכן אין לו היתר, ולר"י האיסור חל אחר שנולד</w:t>
      </w:r>
      <w:r>
        <w:rPr>
          <w:rFonts w:asciiTheme="minorHAnsi" w:hAnsiTheme="minorHAnsi" w:hint="cs"/>
          <w:rtl/>
        </w:rPr>
        <w:t xml:space="preserve">, וכבר כתב כן </w:t>
      </w:r>
      <w:r w:rsidRPr="0076159F">
        <w:rPr>
          <w:rStyle w:val="af9"/>
          <w:rFonts w:hint="cs"/>
          <w:rtl/>
        </w:rPr>
        <w:t>הש"ך בהארוך מש"ך</w:t>
      </w:r>
      <w:r>
        <w:rPr>
          <w:rFonts w:asciiTheme="minorHAnsi" w:hAnsiTheme="minorHAnsi" w:hint="cs"/>
          <w:rtl/>
        </w:rPr>
        <w:t xml:space="preserve"> </w:t>
      </w:r>
      <w:r w:rsidRPr="00585CFD">
        <w:rPr>
          <w:rStyle w:val="af7"/>
          <w:rFonts w:eastAsia="Guttman Hodes" w:hint="cs"/>
          <w:rtl/>
        </w:rPr>
        <w:t xml:space="preserve">(עי' אות </w:t>
      </w:r>
      <w:r w:rsidRPr="00585CFD">
        <w:rPr>
          <w:rStyle w:val="af7"/>
          <w:rFonts w:eastAsia="Guttman Hodes"/>
          <w:rtl/>
        </w:rPr>
        <w:fldChar w:fldCharType="begin"/>
      </w:r>
      <w:r w:rsidRPr="00585CFD">
        <w:rPr>
          <w:rStyle w:val="af7"/>
          <w:rFonts w:eastAsia="Guttman Hodes"/>
          <w:rtl/>
        </w:rPr>
        <w:instrText xml:space="preserve"> </w:instrText>
      </w:r>
      <w:r w:rsidRPr="00585CFD">
        <w:rPr>
          <w:rStyle w:val="af7"/>
          <w:rFonts w:eastAsia="Guttman Hodes" w:hint="cs"/>
        </w:rPr>
        <w:instrText>REF</w:instrText>
      </w:r>
      <w:r w:rsidRPr="00585CFD">
        <w:rPr>
          <w:rStyle w:val="af7"/>
          <w:rFonts w:eastAsia="Guttman Hodes" w:hint="cs"/>
          <w:rtl/>
        </w:rPr>
        <w:instrText xml:space="preserve"> _</w:instrText>
      </w:r>
      <w:r w:rsidRPr="00585CFD">
        <w:rPr>
          <w:rStyle w:val="af7"/>
          <w:rFonts w:eastAsia="Guttman Hodes" w:hint="cs"/>
        </w:rPr>
        <w:instrText>Ref4007462 \r \h</w:instrText>
      </w:r>
      <w:r w:rsidRPr="00585CFD">
        <w:rPr>
          <w:rStyle w:val="af7"/>
          <w:rFonts w:eastAsia="Guttman Hodes"/>
          <w:rtl/>
        </w:rPr>
        <w:instrText xml:space="preserve"> </w:instrText>
      </w:r>
      <w:r w:rsidRPr="00585CFD">
        <w:rPr>
          <w:rStyle w:val="af7"/>
          <w:rFonts w:eastAsia="Guttman Hodes"/>
          <w:rtl/>
        </w:rPr>
      </w:r>
      <w:r w:rsidRPr="00585CFD">
        <w:rPr>
          <w:rStyle w:val="af7"/>
          <w:rFonts w:eastAsia="Guttman Hodes"/>
          <w:rtl/>
        </w:rPr>
        <w:fldChar w:fldCharType="separate"/>
      </w:r>
      <w:r w:rsidR="00345400">
        <w:rPr>
          <w:rStyle w:val="af7"/>
          <w:rFonts w:eastAsia="Guttman Hodes"/>
          <w:cs/>
        </w:rPr>
        <w:t>‎</w:t>
      </w:r>
      <w:r w:rsidR="00345400">
        <w:rPr>
          <w:rStyle w:val="af7"/>
          <w:rFonts w:eastAsia="Guttman Hodes"/>
          <w:rtl/>
        </w:rPr>
        <w:t>כ)</w:t>
      </w:r>
      <w:r w:rsidRPr="00585CFD">
        <w:rPr>
          <w:rStyle w:val="af7"/>
          <w:rFonts w:eastAsia="Guttman Hodes"/>
          <w:rtl/>
        </w:rPr>
        <w:fldChar w:fldCharType="end"/>
      </w:r>
      <w:r>
        <w:rPr>
          <w:rFonts w:asciiTheme="minorHAnsi" w:hAnsiTheme="minorHAnsi" w:hint="cs"/>
          <w:rtl/>
        </w:rPr>
        <w:t>.</w:t>
      </w:r>
    </w:p>
    <w:p w14:paraId="3E1DBEA1" w14:textId="77777777" w:rsidR="003D504D" w:rsidRPr="005B6825" w:rsidRDefault="003D504D" w:rsidP="003D504D">
      <w:pPr>
        <w:pStyle w:val="a3"/>
        <w:rPr>
          <w:rtl/>
        </w:rPr>
      </w:pPr>
    </w:p>
    <w:p w14:paraId="1626F0F8" w14:textId="77777777" w:rsidR="003D504D" w:rsidRDefault="003D504D" w:rsidP="00BF39B2">
      <w:pPr>
        <w:pStyle w:val="1"/>
        <w:rPr>
          <w:rtl/>
        </w:rPr>
      </w:pPr>
      <w:bookmarkStart w:id="24675" w:name="_Toc4013351"/>
      <w:bookmarkStart w:id="24676" w:name="_Toc4022859"/>
      <w:bookmarkStart w:id="24677" w:name="_Toc4026684"/>
      <w:bookmarkStart w:id="24678" w:name="_Toc4139484"/>
      <w:bookmarkStart w:id="24679" w:name="_Toc4151578"/>
      <w:bookmarkStart w:id="24680" w:name="_Toc19392027"/>
      <w:bookmarkStart w:id="24681" w:name="_Toc19395524"/>
      <w:bookmarkStart w:id="24682" w:name="_Toc4012323"/>
      <w:r>
        <w:rPr>
          <w:rFonts w:hint="cs"/>
          <w:rtl/>
        </w:rPr>
        <w:t>ביאור האמר"מ בפלוגתת ר"מ ור"י לרב הושעיא ולגמ' לקמן</w:t>
      </w:r>
      <w:bookmarkEnd w:id="24675"/>
      <w:bookmarkEnd w:id="24676"/>
      <w:bookmarkEnd w:id="24677"/>
      <w:bookmarkEnd w:id="24678"/>
      <w:bookmarkEnd w:id="24679"/>
      <w:bookmarkEnd w:id="24680"/>
      <w:bookmarkEnd w:id="24681"/>
    </w:p>
    <w:p w14:paraId="6EF722B2" w14:textId="77777777" w:rsidR="003D504D" w:rsidRPr="00866130" w:rsidRDefault="003D504D" w:rsidP="003D504D">
      <w:pPr>
        <w:pStyle w:val="a3"/>
        <w:rPr>
          <w:rtl/>
        </w:rPr>
      </w:pPr>
      <w:bookmarkStart w:id="24683" w:name="_Toc4013352"/>
      <w:bookmarkStart w:id="24684" w:name="_Toc4022860"/>
      <w:bookmarkStart w:id="24685" w:name="_Toc4026685"/>
      <w:bookmarkStart w:id="24686" w:name="_Toc4139485"/>
      <w:bookmarkStart w:id="24687" w:name="_Toc4151579"/>
      <w:bookmarkStart w:id="24688" w:name="_Toc19392028"/>
      <w:bookmarkStart w:id="24689" w:name="_Toc19395525"/>
      <w:r>
        <w:rPr>
          <w:rFonts w:hint="cs"/>
          <w:rtl/>
        </w:rPr>
        <w:t>ביאור האמר</w:t>
      </w:r>
      <w:r>
        <w:rPr>
          <w:rtl/>
        </w:rPr>
        <w:t>"</w:t>
      </w:r>
      <w:r>
        <w:rPr>
          <w:rFonts w:hint="cs"/>
          <w:rtl/>
        </w:rPr>
        <w:t>מ דמוכח בגמ' לקמן דשחיטת האם אינה מתירה חלב</w:t>
      </w:r>
      <w:r w:rsidRPr="00137892">
        <w:rPr>
          <w:rFonts w:hint="cs"/>
          <w:rtl/>
        </w:rPr>
        <w:t xml:space="preserve"> </w:t>
      </w:r>
      <w:r>
        <w:rPr>
          <w:rFonts w:hint="cs"/>
          <w:rtl/>
        </w:rPr>
        <w:t>וס"ל לר"י דלא חשיב חלב</w:t>
      </w:r>
      <w:bookmarkEnd w:id="24682"/>
      <w:bookmarkEnd w:id="24683"/>
      <w:bookmarkEnd w:id="24684"/>
      <w:bookmarkEnd w:id="24685"/>
      <w:bookmarkEnd w:id="24686"/>
      <w:bookmarkEnd w:id="24687"/>
      <w:bookmarkEnd w:id="24688"/>
      <w:bookmarkEnd w:id="24689"/>
    </w:p>
    <w:p w14:paraId="19FB073E" w14:textId="77777777" w:rsidR="003D504D" w:rsidRDefault="003D504D" w:rsidP="00223668">
      <w:pPr>
        <w:pStyle w:val="a0"/>
        <w:rPr>
          <w:rtl/>
        </w:rPr>
      </w:pPr>
      <w:bookmarkStart w:id="24690" w:name="_Ref4007384"/>
      <w:r>
        <w:rPr>
          <w:rFonts w:hint="cs"/>
          <w:rtl/>
        </w:rPr>
        <w:t xml:space="preserve">וביאר </w:t>
      </w:r>
      <w:r w:rsidRPr="00D1391A">
        <w:rPr>
          <w:rStyle w:val="af9"/>
          <w:rFonts w:hint="cs"/>
          <w:rtl/>
        </w:rPr>
        <w:t>האמרי משה</w:t>
      </w:r>
      <w:r>
        <w:rPr>
          <w:rFonts w:hint="cs"/>
          <w:rtl/>
        </w:rPr>
        <w:t xml:space="preserve"> דס"ל </w:t>
      </w:r>
      <w:r w:rsidRPr="00D1391A">
        <w:rPr>
          <w:rStyle w:val="af9"/>
          <w:rFonts w:hint="cs"/>
          <w:rtl/>
        </w:rPr>
        <w:t>להרמב"ם</w:t>
      </w:r>
      <w:r>
        <w:rPr>
          <w:rFonts w:hint="cs"/>
          <w:rtl/>
        </w:rPr>
        <w:t xml:space="preserve"> דמוכח בגמ' לקמן </w:t>
      </w:r>
      <w:r w:rsidRPr="00585CFD">
        <w:rPr>
          <w:rStyle w:val="af7"/>
          <w:rFonts w:eastAsia="Guttman Hodes" w:hint="cs"/>
          <w:rtl/>
        </w:rPr>
        <w:t>(פט:)</w:t>
      </w:r>
      <w:r>
        <w:rPr>
          <w:rFonts w:hint="cs"/>
          <w:rtl/>
        </w:rPr>
        <w:t xml:space="preserve"> דאם היה חל האיסור לפני השחיטה לא היה ר"י מתיר את הגיד בשחיטת האם, דאין בכח השחיטה להתיר את איסור הגיד, כדהקשה </w:t>
      </w:r>
      <w:r w:rsidRPr="00D1391A">
        <w:rPr>
          <w:rStyle w:val="af9"/>
          <w:rFonts w:hint="cs"/>
          <w:rtl/>
        </w:rPr>
        <w:t>הרא"ש</w:t>
      </w:r>
      <w:r>
        <w:rPr>
          <w:rFonts w:hint="cs"/>
          <w:rtl/>
        </w:rPr>
        <w:t xml:space="preserve"> </w:t>
      </w:r>
      <w:r w:rsidRPr="00F00B51">
        <w:rPr>
          <w:rStyle w:val="af7"/>
          <w:rFonts w:eastAsia="Guttman Hodes" w:hint="cs"/>
          <w:rtl/>
        </w:rPr>
        <w:t xml:space="preserve">(עי' אות </w:t>
      </w:r>
      <w:r w:rsidRPr="00F00B51">
        <w:rPr>
          <w:rStyle w:val="af7"/>
          <w:rFonts w:eastAsia="Guttman Hodes"/>
          <w:rtl/>
        </w:rPr>
        <w:fldChar w:fldCharType="begin"/>
      </w:r>
      <w:r w:rsidRPr="00F00B51">
        <w:rPr>
          <w:rStyle w:val="af7"/>
          <w:rFonts w:eastAsia="Guttman Hodes"/>
          <w:rtl/>
        </w:rPr>
        <w:instrText xml:space="preserve"> </w:instrText>
      </w:r>
      <w:r w:rsidRPr="00F00B51">
        <w:rPr>
          <w:rStyle w:val="af7"/>
          <w:rFonts w:eastAsia="Guttman Hodes" w:hint="cs"/>
        </w:rPr>
        <w:instrText>REF</w:instrText>
      </w:r>
      <w:r w:rsidRPr="00F00B51">
        <w:rPr>
          <w:rStyle w:val="af7"/>
          <w:rFonts w:eastAsia="Guttman Hodes" w:hint="cs"/>
          <w:rtl/>
        </w:rPr>
        <w:instrText xml:space="preserve"> _</w:instrText>
      </w:r>
      <w:r w:rsidRPr="00F00B51">
        <w:rPr>
          <w:rStyle w:val="af7"/>
          <w:rFonts w:eastAsia="Guttman Hodes" w:hint="cs"/>
        </w:rPr>
        <w:instrText>Ref4143984 \r \h</w:instrText>
      </w:r>
      <w:r w:rsidRPr="00F00B51">
        <w:rPr>
          <w:rStyle w:val="af7"/>
          <w:rFonts w:eastAsia="Guttman Hodes"/>
          <w:rtl/>
        </w:rPr>
        <w:instrText xml:space="preserve"> </w:instrText>
      </w:r>
      <w:r w:rsidRPr="00F00B51">
        <w:rPr>
          <w:rStyle w:val="af7"/>
          <w:rFonts w:eastAsia="Guttman Hodes"/>
          <w:rtl/>
        </w:rPr>
      </w:r>
      <w:r w:rsidRPr="00F00B51">
        <w:rPr>
          <w:rStyle w:val="af7"/>
          <w:rFonts w:eastAsia="Guttman Hodes"/>
          <w:rtl/>
        </w:rPr>
        <w:fldChar w:fldCharType="separate"/>
      </w:r>
      <w:r w:rsidR="00345400">
        <w:rPr>
          <w:rStyle w:val="af7"/>
          <w:rFonts w:eastAsia="Guttman Hodes"/>
          <w:cs/>
        </w:rPr>
        <w:t>‎</w:t>
      </w:r>
      <w:r w:rsidR="00345400">
        <w:rPr>
          <w:rStyle w:val="af7"/>
          <w:rFonts w:eastAsia="Guttman Hodes"/>
          <w:rtl/>
        </w:rPr>
        <w:t>טו)</w:t>
      </w:r>
      <w:r w:rsidRPr="00F00B51">
        <w:rPr>
          <w:rStyle w:val="af7"/>
          <w:rFonts w:eastAsia="Guttman Hodes"/>
          <w:rtl/>
        </w:rPr>
        <w:fldChar w:fldCharType="end"/>
      </w:r>
      <w:r>
        <w:rPr>
          <w:rFonts w:hint="cs"/>
          <w:rtl/>
        </w:rPr>
        <w:t xml:space="preserve"> לענין חלב, אלא מוכח בגמ' שם דההיתר לר"י הוא דלא חל איסור חלב לפני הלידה.</w:t>
      </w:r>
      <w:bookmarkEnd w:id="24690"/>
    </w:p>
    <w:p w14:paraId="4E51A3AC" w14:textId="77777777" w:rsidR="003D504D" w:rsidRPr="004379B9" w:rsidRDefault="003D504D" w:rsidP="003D504D">
      <w:pPr>
        <w:pStyle w:val="a3"/>
        <w:rPr>
          <w:rtl/>
        </w:rPr>
      </w:pPr>
      <w:bookmarkStart w:id="24691" w:name="_Toc4012324"/>
      <w:bookmarkStart w:id="24692" w:name="_Toc4013353"/>
      <w:bookmarkStart w:id="24693" w:name="_Toc4022861"/>
      <w:bookmarkStart w:id="24694" w:name="_Toc4026686"/>
      <w:bookmarkStart w:id="24695" w:name="_Toc4139486"/>
      <w:bookmarkStart w:id="24696" w:name="_Toc4151580"/>
      <w:bookmarkStart w:id="24697" w:name="_Toc19392029"/>
      <w:bookmarkStart w:id="24698" w:name="_Toc19395526"/>
      <w:r>
        <w:rPr>
          <w:rFonts w:hint="cs"/>
          <w:rtl/>
        </w:rPr>
        <w:t>דברי האמר</w:t>
      </w:r>
      <w:r>
        <w:rPr>
          <w:rtl/>
        </w:rPr>
        <w:t>"</w:t>
      </w:r>
      <w:r>
        <w:rPr>
          <w:rFonts w:hint="cs"/>
          <w:rtl/>
        </w:rPr>
        <w:t>מ דלרב הושעיא השחיטה מתירה איסורים וס"ל דנחלקו בבן ט' והלכו לשיטתם</w:t>
      </w:r>
      <w:bookmarkEnd w:id="24691"/>
      <w:bookmarkEnd w:id="24692"/>
      <w:bookmarkEnd w:id="24693"/>
      <w:bookmarkEnd w:id="24694"/>
      <w:bookmarkEnd w:id="24695"/>
      <w:bookmarkEnd w:id="24696"/>
      <w:bookmarkEnd w:id="24697"/>
      <w:bookmarkEnd w:id="24698"/>
    </w:p>
    <w:p w14:paraId="2D00E8A2" w14:textId="77777777" w:rsidR="003D504D" w:rsidRPr="005503F0" w:rsidRDefault="003D504D" w:rsidP="00223668">
      <w:pPr>
        <w:pStyle w:val="a0"/>
        <w:rPr>
          <w:rStyle w:val="afb"/>
          <w:rtl/>
        </w:rPr>
      </w:pPr>
      <w:r>
        <w:rPr>
          <w:rFonts w:hint="cs"/>
          <w:rtl/>
        </w:rPr>
        <w:t xml:space="preserve">אבל לדברי רב הושעיא כתב </w:t>
      </w:r>
      <w:r w:rsidRPr="00D1391A">
        <w:rPr>
          <w:rStyle w:val="af9"/>
          <w:rFonts w:hint="cs"/>
          <w:rtl/>
        </w:rPr>
        <w:t>האמרי משה</w:t>
      </w:r>
      <w:r>
        <w:rPr>
          <w:rFonts w:hint="cs"/>
          <w:rtl/>
        </w:rPr>
        <w:t xml:space="preserve"> דא"א לומר כמבואר בגמ' לקמן, דנחלקו ר"מ ור"י מתי נוצר איסור הגיד, דהא ס"ל לרב הושעיא דאף דאיסור גיד הנשה חל על העובר משעה שנוצר, מ"מ מהני שחיטת אמו להתירו, וכן איסור חלב דס"ל </w:t>
      </w:r>
      <w:r w:rsidRPr="00391AD7">
        <w:rPr>
          <w:rStyle w:val="af9"/>
          <w:rFonts w:hint="cs"/>
          <w:rtl/>
        </w:rPr>
        <w:t>להרמב"ם</w:t>
      </w:r>
      <w:r>
        <w:rPr>
          <w:rFonts w:hint="cs"/>
          <w:rtl/>
        </w:rPr>
        <w:t xml:space="preserve"> בדעת ריו"ח דחדשים גרמי, וחל עליו האיסור במעי אמו בלא שיצא לאויר העולם כלל, </w:t>
      </w:r>
      <w:r w:rsidRPr="001B2DF0">
        <w:rPr>
          <w:rStyle w:val="afb"/>
          <w:rFonts w:hint="cs"/>
          <w:rtl/>
        </w:rPr>
        <w:t>[ודלא</w:t>
      </w:r>
      <w:r w:rsidRPr="001B2DF0">
        <w:rPr>
          <w:rStyle w:val="affa"/>
          <w:rFonts w:hint="cs"/>
          <w:rtl/>
        </w:rPr>
        <w:t xml:space="preserve"> כתוס'</w:t>
      </w:r>
      <w:r w:rsidRPr="001B2DF0">
        <w:rPr>
          <w:rStyle w:val="afb"/>
          <w:rFonts w:hint="cs"/>
          <w:rtl/>
        </w:rPr>
        <w:t xml:space="preserve"> </w:t>
      </w:r>
      <w:r w:rsidRPr="001B2DF0">
        <w:rPr>
          <w:rStyle w:val="aff6"/>
          <w:rFonts w:hint="cs"/>
          <w:rtl/>
        </w:rPr>
        <w:t xml:space="preserve">(עי' אות </w:t>
      </w:r>
      <w:r w:rsidRPr="001B2DF0">
        <w:rPr>
          <w:rStyle w:val="aff6"/>
          <w:rtl/>
        </w:rPr>
        <w:fldChar w:fldCharType="begin"/>
      </w:r>
      <w:r w:rsidRPr="001B2DF0">
        <w:rPr>
          <w:rStyle w:val="aff6"/>
          <w:rtl/>
        </w:rPr>
        <w:instrText xml:space="preserve"> </w:instrText>
      </w:r>
      <w:r w:rsidRPr="001B2DF0">
        <w:rPr>
          <w:rStyle w:val="aff6"/>
          <w:rFonts w:hint="cs"/>
        </w:rPr>
        <w:instrText>REF</w:instrText>
      </w:r>
      <w:r w:rsidRPr="001B2DF0">
        <w:rPr>
          <w:rStyle w:val="aff6"/>
          <w:rFonts w:hint="cs"/>
          <w:rtl/>
        </w:rPr>
        <w:instrText xml:space="preserve"> _</w:instrText>
      </w:r>
      <w:r w:rsidRPr="001B2DF0">
        <w:rPr>
          <w:rStyle w:val="aff6"/>
          <w:rFonts w:hint="cs"/>
        </w:rPr>
        <w:instrText>Ref4143378 \r \h</w:instrText>
      </w:r>
      <w:r w:rsidRPr="001B2DF0">
        <w:rPr>
          <w:rStyle w:val="aff6"/>
          <w:rtl/>
        </w:rPr>
        <w:instrText xml:space="preserve"> </w:instrText>
      </w:r>
      <w:r w:rsidRPr="001B2DF0">
        <w:rPr>
          <w:rStyle w:val="aff6"/>
          <w:rtl/>
        </w:rPr>
      </w:r>
      <w:r w:rsidRPr="001B2DF0">
        <w:rPr>
          <w:rStyle w:val="aff6"/>
          <w:rtl/>
        </w:rPr>
        <w:fldChar w:fldCharType="separate"/>
      </w:r>
      <w:r w:rsidR="00345400">
        <w:rPr>
          <w:rStyle w:val="aff6"/>
          <w:cs/>
        </w:rPr>
        <w:t>‎</w:t>
      </w:r>
      <w:r w:rsidR="00345400">
        <w:rPr>
          <w:rStyle w:val="aff6"/>
          <w:rtl/>
        </w:rPr>
        <w:t>יד)</w:t>
      </w:r>
      <w:r w:rsidRPr="001B2DF0">
        <w:rPr>
          <w:rStyle w:val="aff6"/>
          <w:rtl/>
        </w:rPr>
        <w:fldChar w:fldCharType="end"/>
      </w:r>
      <w:r w:rsidRPr="001B2DF0">
        <w:rPr>
          <w:rStyle w:val="afb"/>
          <w:rFonts w:hint="cs"/>
          <w:rtl/>
        </w:rPr>
        <w:t>],</w:t>
      </w:r>
      <w:r>
        <w:rPr>
          <w:rFonts w:hint="cs"/>
          <w:rtl/>
        </w:rPr>
        <w:t xml:space="preserve"> מ"מ ס"ל לרב הושעיא דלדעת ר"י מהני שחיטת האם להתיר את האיסור חלב, וכן השחיטה מתירה את הגיד אף שכבר נאסר הגיד לפני השחיטה, וכתב </w:t>
      </w:r>
      <w:r w:rsidRPr="00D1391A">
        <w:rPr>
          <w:rStyle w:val="af9"/>
          <w:rFonts w:hint="cs"/>
          <w:rtl/>
        </w:rPr>
        <w:t>האמרי משה</w:t>
      </w:r>
      <w:r>
        <w:rPr>
          <w:rFonts w:hint="cs"/>
          <w:rtl/>
        </w:rPr>
        <w:t xml:space="preserve"> דלכן אמר רב הושעיא דפלוגתת ר"י ור"מ היא רק בבן ט' חי, דאילו בבן ח' אף ר"מ מודה דשחיטת האם מתירה את איסור הגיד, אף שכבר נאסר משעת יצירת הולד, וכ"ש דחלב מותר דלא נאסר דחדשים גרמי, אבל אם תלש את הגיד והוציאו לחוץ שלא הותר בשחיטה, אסור הגיד לכו"ע. </w:t>
      </w:r>
      <w:r w:rsidRPr="005503F0">
        <w:rPr>
          <w:rStyle w:val="afb"/>
          <w:rFonts w:hint="cs"/>
          <w:rtl/>
        </w:rPr>
        <w:t>[ועי' במסקנת</w:t>
      </w:r>
      <w:r>
        <w:rPr>
          <w:rFonts w:hint="cs"/>
          <w:rtl/>
        </w:rPr>
        <w:t xml:space="preserve"> </w:t>
      </w:r>
      <w:r w:rsidRPr="005503F0">
        <w:rPr>
          <w:rStyle w:val="affa"/>
          <w:rFonts w:hint="cs"/>
          <w:rtl/>
        </w:rPr>
        <w:t>האמרי משה</w:t>
      </w:r>
      <w:r>
        <w:rPr>
          <w:rFonts w:hint="cs"/>
          <w:rtl/>
        </w:rPr>
        <w:t xml:space="preserve"> </w:t>
      </w:r>
      <w:r w:rsidRPr="005503F0">
        <w:rPr>
          <w:rStyle w:val="aff6"/>
          <w:rFonts w:hint="cs"/>
          <w:rtl/>
        </w:rPr>
        <w:t xml:space="preserve">(עי' אות </w:t>
      </w:r>
      <w:r w:rsidRPr="005503F0">
        <w:rPr>
          <w:rStyle w:val="aff6"/>
          <w:rtl/>
        </w:rPr>
        <w:fldChar w:fldCharType="begin"/>
      </w:r>
      <w:r w:rsidRPr="005503F0">
        <w:rPr>
          <w:rStyle w:val="aff6"/>
          <w:rtl/>
        </w:rPr>
        <w:instrText xml:space="preserve"> </w:instrText>
      </w:r>
      <w:r w:rsidRPr="005503F0">
        <w:rPr>
          <w:rStyle w:val="aff6"/>
          <w:rFonts w:hint="cs"/>
        </w:rPr>
        <w:instrText>REF</w:instrText>
      </w:r>
      <w:r w:rsidRPr="005503F0">
        <w:rPr>
          <w:rStyle w:val="aff6"/>
          <w:rFonts w:hint="cs"/>
          <w:rtl/>
        </w:rPr>
        <w:instrText xml:space="preserve"> _</w:instrText>
      </w:r>
      <w:r w:rsidRPr="005503F0">
        <w:rPr>
          <w:rStyle w:val="aff6"/>
          <w:rFonts w:hint="cs"/>
        </w:rPr>
        <w:instrText>Ref4015199 \r \h</w:instrText>
      </w:r>
      <w:r w:rsidRPr="005503F0">
        <w:rPr>
          <w:rStyle w:val="aff6"/>
          <w:rtl/>
        </w:rPr>
        <w:instrText xml:space="preserve"> </w:instrText>
      </w:r>
      <w:r w:rsidRPr="005503F0">
        <w:rPr>
          <w:rStyle w:val="aff6"/>
          <w:rtl/>
        </w:rPr>
      </w:r>
      <w:r w:rsidRPr="005503F0">
        <w:rPr>
          <w:rStyle w:val="aff6"/>
          <w:rtl/>
        </w:rPr>
        <w:fldChar w:fldCharType="separate"/>
      </w:r>
      <w:r w:rsidR="00345400">
        <w:rPr>
          <w:rStyle w:val="aff6"/>
          <w:cs/>
        </w:rPr>
        <w:t>‎</w:t>
      </w:r>
      <w:r w:rsidR="00345400">
        <w:rPr>
          <w:rStyle w:val="aff6"/>
          <w:rtl/>
        </w:rPr>
        <w:t>פח)</w:t>
      </w:r>
      <w:r w:rsidRPr="005503F0">
        <w:rPr>
          <w:rStyle w:val="aff6"/>
          <w:rtl/>
        </w:rPr>
        <w:fldChar w:fldCharType="end"/>
      </w:r>
      <w:r>
        <w:rPr>
          <w:rFonts w:hint="cs"/>
          <w:rtl/>
        </w:rPr>
        <w:t xml:space="preserve"> </w:t>
      </w:r>
      <w:r w:rsidRPr="005503F0">
        <w:rPr>
          <w:rStyle w:val="affa"/>
          <w:rFonts w:hint="cs"/>
          <w:rtl/>
        </w:rPr>
        <w:t xml:space="preserve">דהרמב"ם </w:t>
      </w:r>
      <w:r w:rsidRPr="005503F0">
        <w:rPr>
          <w:rStyle w:val="afb"/>
          <w:rFonts w:hint="cs"/>
          <w:rtl/>
        </w:rPr>
        <w:t xml:space="preserve">ס"ל </w:t>
      </w:r>
      <w:r w:rsidRPr="005503F0">
        <w:rPr>
          <w:rStyle w:val="affa"/>
          <w:rFonts w:hint="cs"/>
          <w:rtl/>
        </w:rPr>
        <w:t>כתוס'</w:t>
      </w:r>
      <w:r w:rsidRPr="005503F0">
        <w:rPr>
          <w:rStyle w:val="afb"/>
          <w:rFonts w:hint="cs"/>
          <w:rtl/>
        </w:rPr>
        <w:t>].</w:t>
      </w:r>
    </w:p>
    <w:p w14:paraId="16E95EF4" w14:textId="77777777" w:rsidR="003D504D" w:rsidRDefault="003D504D" w:rsidP="003D504D">
      <w:pPr>
        <w:pStyle w:val="a3"/>
      </w:pPr>
      <w:bookmarkStart w:id="24699" w:name="_Toc4012325"/>
      <w:bookmarkStart w:id="24700" w:name="_Toc4013354"/>
      <w:bookmarkStart w:id="24701" w:name="_Toc4022862"/>
      <w:bookmarkStart w:id="24702" w:name="_Toc4026687"/>
      <w:bookmarkStart w:id="24703" w:name="_Toc4139487"/>
      <w:bookmarkStart w:id="24704" w:name="_Toc4151581"/>
      <w:bookmarkStart w:id="24705" w:name="_Toc19392030"/>
      <w:bookmarkStart w:id="24706" w:name="_Toc19395527"/>
      <w:r>
        <w:rPr>
          <w:rFonts w:hint="cs"/>
          <w:rtl/>
        </w:rPr>
        <w:t>דברי האמר"מ דהגמ' לקמן דלא רב הושעיא וסברה דההיתר דחשיב כשחוט ואינה מתירה איסורים</w:t>
      </w:r>
      <w:bookmarkEnd w:id="24699"/>
      <w:bookmarkEnd w:id="24700"/>
      <w:bookmarkEnd w:id="24701"/>
      <w:bookmarkEnd w:id="24702"/>
      <w:bookmarkEnd w:id="24703"/>
      <w:bookmarkEnd w:id="24704"/>
      <w:bookmarkEnd w:id="24705"/>
      <w:bookmarkEnd w:id="24706"/>
    </w:p>
    <w:p w14:paraId="11EC70CA" w14:textId="77777777" w:rsidR="003D504D" w:rsidRDefault="003D504D" w:rsidP="00223668">
      <w:pPr>
        <w:pStyle w:val="a0"/>
        <w:rPr>
          <w:rtl/>
        </w:rPr>
      </w:pPr>
      <w:r>
        <w:rPr>
          <w:rFonts w:hint="cs"/>
          <w:rtl/>
        </w:rPr>
        <w:t xml:space="preserve">וכתב </w:t>
      </w:r>
      <w:r w:rsidRPr="00D1391A">
        <w:rPr>
          <w:rStyle w:val="af9"/>
          <w:rFonts w:hint="cs"/>
          <w:rtl/>
        </w:rPr>
        <w:t>האמרי משה</w:t>
      </w:r>
      <w:r>
        <w:rPr>
          <w:rFonts w:hint="cs"/>
          <w:rtl/>
        </w:rPr>
        <w:t xml:space="preserve"> דמוכח מהגמ' לקמן </w:t>
      </w:r>
      <w:r w:rsidRPr="00585CFD">
        <w:rPr>
          <w:rStyle w:val="af7"/>
          <w:rFonts w:eastAsia="Guttman Hodes" w:hint="cs"/>
          <w:rtl/>
        </w:rPr>
        <w:t>(פט:)</w:t>
      </w:r>
      <w:r>
        <w:rPr>
          <w:rFonts w:hint="cs"/>
          <w:rtl/>
        </w:rPr>
        <w:t xml:space="preserve"> דהסוגיא שם חולקת על רב הושעיא, וסברה דהיתר בן פקועה הוא דחשיב שהעובר נשחט בשחיטת אמו, דד' סימנים אכשר ביה רחמנא, והשחיטה מתירה בעובר רק את איסור אבר מן החי, כמו שמתירה בבהמה עצמה, ולא את שאר האיסורים, ובדין הגיד ס"ל לר"י דאינו נאסר עד שנולד, והוסיף </w:t>
      </w:r>
      <w:r w:rsidRPr="00AD3B45">
        <w:rPr>
          <w:rStyle w:val="af9"/>
          <w:rFonts w:hint="cs"/>
          <w:rtl/>
        </w:rPr>
        <w:t>האמרי משה</w:t>
      </w:r>
      <w:r>
        <w:rPr>
          <w:rFonts w:hint="cs"/>
          <w:rtl/>
        </w:rPr>
        <w:t xml:space="preserve"> דאחר שהותר הגיד בשחיטת האם ונחשב כבשר, אף שאח"כ יצא לאויר העולם לא חייל עליו איסור גיד, כיון שכשהותר היה נחשב כבשר.</w:t>
      </w:r>
    </w:p>
    <w:p w14:paraId="36AFA710" w14:textId="77777777" w:rsidR="003D504D" w:rsidRDefault="003D504D" w:rsidP="003D504D">
      <w:pPr>
        <w:pStyle w:val="a3"/>
        <w:rPr>
          <w:rtl/>
        </w:rPr>
      </w:pPr>
      <w:bookmarkStart w:id="24707" w:name="_Toc4012326"/>
      <w:bookmarkStart w:id="24708" w:name="_Toc4013355"/>
      <w:bookmarkStart w:id="24709" w:name="_Toc4022863"/>
      <w:bookmarkStart w:id="24710" w:name="_Toc4026688"/>
      <w:bookmarkStart w:id="24711" w:name="_Toc4139488"/>
      <w:bookmarkStart w:id="24712" w:name="_Toc4151582"/>
      <w:bookmarkStart w:id="24713" w:name="_Toc19392031"/>
      <w:bookmarkStart w:id="24714" w:name="_Toc19395528"/>
      <w:r>
        <w:rPr>
          <w:rFonts w:hint="cs"/>
          <w:rtl/>
        </w:rPr>
        <w:t>דברי האמר</w:t>
      </w:r>
      <w:r>
        <w:rPr>
          <w:rtl/>
        </w:rPr>
        <w:t>"</w:t>
      </w:r>
      <w:r>
        <w:rPr>
          <w:rFonts w:hint="cs"/>
          <w:rtl/>
        </w:rPr>
        <w:t>מ דמוכח בגמ' דבחלב ר"מ כריו"ח דחדשים גרמי ור"י כר"ל ופסק הרמב"ם כריו"ח</w:t>
      </w:r>
      <w:bookmarkEnd w:id="24707"/>
      <w:bookmarkEnd w:id="24708"/>
      <w:bookmarkEnd w:id="24709"/>
      <w:bookmarkEnd w:id="24710"/>
      <w:bookmarkEnd w:id="24711"/>
      <w:bookmarkEnd w:id="24712"/>
      <w:bookmarkEnd w:id="24713"/>
      <w:bookmarkEnd w:id="24714"/>
    </w:p>
    <w:p w14:paraId="0BA8D4B3" w14:textId="77777777" w:rsidR="003D504D" w:rsidRDefault="003D504D" w:rsidP="00223668">
      <w:pPr>
        <w:pStyle w:val="a0"/>
        <w:rPr>
          <w:rtl/>
        </w:rPr>
      </w:pPr>
      <w:bookmarkStart w:id="24715" w:name="_Ref4142096"/>
      <w:r>
        <w:rPr>
          <w:rFonts w:hint="cs"/>
          <w:rtl/>
        </w:rPr>
        <w:t xml:space="preserve">וכתב </w:t>
      </w:r>
      <w:r w:rsidRPr="007121FC">
        <w:rPr>
          <w:rStyle w:val="af9"/>
          <w:rFonts w:hint="cs"/>
          <w:rtl/>
        </w:rPr>
        <w:t>האמרי משה</w:t>
      </w:r>
      <w:r>
        <w:rPr>
          <w:rFonts w:hint="cs"/>
          <w:rtl/>
        </w:rPr>
        <w:t xml:space="preserve"> דלפי"ז דכיון דמוכח בגמ' לקמן דלכו"ע אין כח בשחיטה להתיר איסורים אחרים, א"כ מבואר דלדעת ר"י דמתיר את החלב, מוכח דלא חל איסור על החלב עד שנולד, דס"ל לר"י כר"ל דחדשים ואוירא גרמי, וריו"ח דאמר דחדשים לבד גרמי, וחל איסור חלב לפני שנולד, א"כ מוכח דס"ל כר"מ דחלבו אסור, ולא הלכו בזה ר"מ ור"י לשיטתם כדברי רב הושעיא, דבגמ' לקמן מוכח דאינו שייך לפלוגתתם לענין שחיטה כלל, ובזה ביאר </w:t>
      </w:r>
      <w:r w:rsidRPr="007121FC">
        <w:rPr>
          <w:rStyle w:val="af9"/>
          <w:rFonts w:hint="cs"/>
          <w:rtl/>
        </w:rPr>
        <w:t>האמרי משה</w:t>
      </w:r>
      <w:r>
        <w:rPr>
          <w:rFonts w:hint="cs"/>
          <w:rtl/>
        </w:rPr>
        <w:t xml:space="preserve"> את דברי </w:t>
      </w:r>
      <w:r w:rsidRPr="007121FC">
        <w:rPr>
          <w:rStyle w:val="af9"/>
          <w:rFonts w:hint="cs"/>
          <w:rtl/>
        </w:rPr>
        <w:t>הרמב"ם</w:t>
      </w:r>
      <w:r>
        <w:rPr>
          <w:rFonts w:hint="cs"/>
          <w:rtl/>
        </w:rPr>
        <w:t xml:space="preserve"> דלענין חלב פסק </w:t>
      </w:r>
      <w:r w:rsidRPr="00AA75F5">
        <w:rPr>
          <w:rStyle w:val="af9"/>
          <w:rFonts w:hint="cs"/>
          <w:rtl/>
        </w:rPr>
        <w:t>הרמב"ם</w:t>
      </w:r>
      <w:r>
        <w:rPr>
          <w:rFonts w:hint="cs"/>
          <w:rtl/>
        </w:rPr>
        <w:t xml:space="preserve"> כר"מ דחלבו אסור, כיון דבחלב קיי"ל כריו"ח, דחדשים גרמי, ואף דלענין שחיטה פסק </w:t>
      </w:r>
      <w:r w:rsidRPr="007121FC">
        <w:rPr>
          <w:rStyle w:val="af9"/>
          <w:rFonts w:hint="cs"/>
          <w:rtl/>
        </w:rPr>
        <w:t>הרמב"ם</w:t>
      </w:r>
      <w:r>
        <w:rPr>
          <w:rFonts w:hint="cs"/>
          <w:rtl/>
        </w:rPr>
        <w:t xml:space="preserve"> כר"י דבן ט' מותר בשחיטת אמו, מ"מ לא מהני השחיטה להתיר את החלב, דס"ל </w:t>
      </w:r>
      <w:r w:rsidRPr="000A1E5F">
        <w:rPr>
          <w:rStyle w:val="af9"/>
          <w:rFonts w:hint="cs"/>
          <w:rtl/>
        </w:rPr>
        <w:t>להרמב"ם</w:t>
      </w:r>
      <w:r>
        <w:rPr>
          <w:rFonts w:hint="cs"/>
          <w:rtl/>
        </w:rPr>
        <w:t xml:space="preserve"> דמבואר בגמ' לקמן דלכו"ע אין כח בשחיטה להתיר איסורים, וכיון דקיי"ל כריו"ח דחדשים גרמי, לכן אף דהוא מותר בשחיטת אמו כר"י בדין שחיטה, מ"מ חלבו אסור כר"מ בדין חלב.</w:t>
      </w:r>
      <w:bookmarkEnd w:id="24715"/>
    </w:p>
    <w:p w14:paraId="66F4A03B" w14:textId="77777777" w:rsidR="003D504D" w:rsidRDefault="003D504D" w:rsidP="00BF39B2">
      <w:pPr>
        <w:pStyle w:val="1"/>
        <w:rPr>
          <w:rtl/>
        </w:rPr>
      </w:pPr>
      <w:bookmarkStart w:id="24716" w:name="_Toc4013356"/>
      <w:bookmarkStart w:id="24717" w:name="_Toc4022864"/>
      <w:bookmarkStart w:id="24718" w:name="_Toc4026689"/>
      <w:bookmarkStart w:id="24719" w:name="_Toc4139489"/>
      <w:bookmarkStart w:id="24720" w:name="_Toc4151583"/>
      <w:bookmarkStart w:id="24721" w:name="_Toc19392032"/>
      <w:bookmarkStart w:id="24722" w:name="_Toc19395529"/>
      <w:bookmarkStart w:id="24723" w:name="_Toc4012327"/>
      <w:r>
        <w:rPr>
          <w:rFonts w:hint="cs"/>
          <w:rtl/>
        </w:rPr>
        <w:t>קושיות האמר"מ על דברי הכס"מ בהניח חלב במעי הבהמה</w:t>
      </w:r>
      <w:bookmarkEnd w:id="24716"/>
      <w:bookmarkEnd w:id="24717"/>
      <w:bookmarkEnd w:id="24718"/>
      <w:bookmarkEnd w:id="24719"/>
      <w:bookmarkEnd w:id="24720"/>
      <w:bookmarkEnd w:id="24721"/>
      <w:bookmarkEnd w:id="24722"/>
    </w:p>
    <w:p w14:paraId="51B3E308" w14:textId="77777777" w:rsidR="003D504D" w:rsidRDefault="003D504D" w:rsidP="003D504D">
      <w:pPr>
        <w:pStyle w:val="a3"/>
        <w:rPr>
          <w:rtl/>
        </w:rPr>
      </w:pPr>
      <w:bookmarkStart w:id="24724" w:name="_Toc4013357"/>
      <w:bookmarkStart w:id="24725" w:name="_Toc4022865"/>
      <w:bookmarkStart w:id="24726" w:name="_Toc4026690"/>
      <w:bookmarkStart w:id="24727" w:name="_Toc4139490"/>
      <w:bookmarkStart w:id="24728" w:name="_Toc4151584"/>
      <w:bookmarkStart w:id="24729" w:name="_Toc19392033"/>
      <w:bookmarkStart w:id="24730" w:name="_Toc19395530"/>
      <w:r>
        <w:rPr>
          <w:rFonts w:hint="cs"/>
          <w:rtl/>
        </w:rPr>
        <w:t>דברי האמר</w:t>
      </w:r>
      <w:r>
        <w:rPr>
          <w:rtl/>
        </w:rPr>
        <w:t>"</w:t>
      </w:r>
      <w:r>
        <w:rPr>
          <w:rFonts w:hint="cs"/>
          <w:rtl/>
        </w:rPr>
        <w:t>מ דלביאורו ברמב"ם קשה קושית הפר"ח על הכס"מ וא"כ לתרץ כהרשב"א</w:t>
      </w:r>
      <w:bookmarkEnd w:id="24723"/>
      <w:bookmarkEnd w:id="24724"/>
      <w:bookmarkEnd w:id="24725"/>
      <w:bookmarkEnd w:id="24726"/>
      <w:bookmarkEnd w:id="24727"/>
      <w:bookmarkEnd w:id="24728"/>
      <w:bookmarkEnd w:id="24729"/>
      <w:bookmarkEnd w:id="24730"/>
    </w:p>
    <w:p w14:paraId="7D197D73" w14:textId="77777777" w:rsidR="003D504D" w:rsidRDefault="003D504D" w:rsidP="00223668">
      <w:pPr>
        <w:pStyle w:val="a0"/>
        <w:rPr>
          <w:rtl/>
        </w:rPr>
      </w:pPr>
      <w:bookmarkStart w:id="24731" w:name="_Ref4008951"/>
      <w:bookmarkStart w:id="24732" w:name="_Ref4150380"/>
      <w:bookmarkStart w:id="24733" w:name="_Toc3661967"/>
      <w:r>
        <w:rPr>
          <w:rFonts w:hint="cs"/>
          <w:rtl/>
        </w:rPr>
        <w:t xml:space="preserve">והביא  </w:t>
      </w:r>
      <w:r w:rsidRPr="004A56C0">
        <w:rPr>
          <w:rStyle w:val="af9"/>
          <w:rFonts w:hint="cs"/>
          <w:rtl/>
        </w:rPr>
        <w:t xml:space="preserve">האמרי משה </w:t>
      </w:r>
      <w:r w:rsidRPr="00083CDD">
        <w:rPr>
          <w:rStyle w:val="af7"/>
          <w:rFonts w:eastAsia="Guttman Hodes" w:hint="cs"/>
          <w:rtl/>
        </w:rPr>
        <w:t>(סי' ד' אות כ')</w:t>
      </w:r>
      <w:r>
        <w:rPr>
          <w:rFonts w:hint="cs"/>
          <w:rtl/>
        </w:rPr>
        <w:t xml:space="preserve"> את דברי </w:t>
      </w:r>
      <w:r w:rsidRPr="004A56C0">
        <w:rPr>
          <w:rStyle w:val="af9"/>
          <w:rFonts w:hint="cs"/>
          <w:rtl/>
        </w:rPr>
        <w:t xml:space="preserve">הפר"ח </w:t>
      </w:r>
      <w:r w:rsidRPr="00083CDD">
        <w:rPr>
          <w:rStyle w:val="af7"/>
          <w:rFonts w:eastAsia="Guttman Hodes" w:hint="cs"/>
          <w:rtl/>
        </w:rPr>
        <w:t xml:space="preserve">(עי' אות </w:t>
      </w:r>
      <w:r w:rsidRPr="00083CDD">
        <w:rPr>
          <w:rStyle w:val="af7"/>
          <w:rFonts w:eastAsia="Guttman Hodes"/>
          <w:rtl/>
        </w:rPr>
        <w:fldChar w:fldCharType="begin"/>
      </w:r>
      <w:r w:rsidRPr="00083CDD">
        <w:rPr>
          <w:rStyle w:val="af7"/>
          <w:rFonts w:eastAsia="Guttman Hodes"/>
          <w:rtl/>
        </w:rPr>
        <w:instrText xml:space="preserve"> </w:instrText>
      </w:r>
      <w:r w:rsidRPr="00083CDD">
        <w:rPr>
          <w:rStyle w:val="af7"/>
          <w:rFonts w:eastAsia="Guttman Hodes" w:hint="cs"/>
        </w:rPr>
        <w:instrText>REF</w:instrText>
      </w:r>
      <w:r w:rsidRPr="00083CDD">
        <w:rPr>
          <w:rStyle w:val="af7"/>
          <w:rFonts w:eastAsia="Guttman Hodes" w:hint="cs"/>
          <w:rtl/>
        </w:rPr>
        <w:instrText xml:space="preserve"> _</w:instrText>
      </w:r>
      <w:r w:rsidRPr="00083CDD">
        <w:rPr>
          <w:rStyle w:val="af7"/>
          <w:rFonts w:eastAsia="Guttman Hodes" w:hint="cs"/>
        </w:rPr>
        <w:instrText>Ref4008837 \r \h</w:instrText>
      </w:r>
      <w:r w:rsidRPr="00083CDD">
        <w:rPr>
          <w:rStyle w:val="af7"/>
          <w:rFonts w:eastAsia="Guttman Hodes"/>
          <w:rtl/>
        </w:rPr>
        <w:instrText xml:space="preserve"> </w:instrText>
      </w:r>
      <w:r w:rsidRPr="00083CDD">
        <w:rPr>
          <w:rStyle w:val="af7"/>
          <w:rFonts w:eastAsia="Guttman Hodes"/>
          <w:rtl/>
        </w:rPr>
      </w:r>
      <w:r w:rsidRPr="00083CDD">
        <w:rPr>
          <w:rStyle w:val="af7"/>
          <w:rFonts w:eastAsia="Guttman Hodes"/>
          <w:rtl/>
        </w:rPr>
        <w:fldChar w:fldCharType="separate"/>
      </w:r>
      <w:r w:rsidR="00345400">
        <w:rPr>
          <w:rStyle w:val="af7"/>
          <w:rFonts w:eastAsia="Guttman Hodes"/>
          <w:cs/>
        </w:rPr>
        <w:t>‎</w:t>
      </w:r>
      <w:r w:rsidR="00345400">
        <w:rPr>
          <w:rStyle w:val="af7"/>
          <w:rFonts w:eastAsia="Guttman Hodes"/>
          <w:rtl/>
        </w:rPr>
        <w:t>ע)</w:t>
      </w:r>
      <w:r w:rsidRPr="00083CDD">
        <w:rPr>
          <w:rStyle w:val="af7"/>
          <w:rFonts w:eastAsia="Guttman Hodes"/>
          <w:rtl/>
        </w:rPr>
        <w:fldChar w:fldCharType="end"/>
      </w:r>
      <w:r>
        <w:rPr>
          <w:rFonts w:hint="cs"/>
          <w:rtl/>
        </w:rPr>
        <w:t xml:space="preserve"> דהקשה על מה שהוכיח </w:t>
      </w:r>
      <w:r w:rsidRPr="004A56C0">
        <w:rPr>
          <w:rStyle w:val="af9"/>
          <w:rFonts w:hint="cs"/>
          <w:rtl/>
        </w:rPr>
        <w:t>הכס"מ</w:t>
      </w:r>
      <w:r>
        <w:rPr>
          <w:rFonts w:hint="cs"/>
          <w:rtl/>
        </w:rPr>
        <w:t xml:space="preserve"> </w:t>
      </w:r>
      <w:r w:rsidRPr="00083CDD">
        <w:rPr>
          <w:rStyle w:val="af7"/>
          <w:rFonts w:eastAsia="Guttman Hodes" w:hint="cs"/>
          <w:rtl/>
        </w:rPr>
        <w:t xml:space="preserve">(עי' אות </w:t>
      </w:r>
      <w:r w:rsidRPr="00083CDD">
        <w:rPr>
          <w:rStyle w:val="af7"/>
          <w:rFonts w:eastAsia="Guttman Hodes"/>
          <w:rtl/>
        </w:rPr>
        <w:fldChar w:fldCharType="begin"/>
      </w:r>
      <w:r w:rsidRPr="00083CDD">
        <w:rPr>
          <w:rStyle w:val="af7"/>
          <w:rFonts w:eastAsia="Guttman Hodes"/>
          <w:rtl/>
        </w:rPr>
        <w:instrText xml:space="preserve"> </w:instrText>
      </w:r>
      <w:r w:rsidRPr="00083CDD">
        <w:rPr>
          <w:rStyle w:val="af7"/>
          <w:rFonts w:eastAsia="Guttman Hodes" w:hint="cs"/>
        </w:rPr>
        <w:instrText>REF</w:instrText>
      </w:r>
      <w:r w:rsidRPr="00083CDD">
        <w:rPr>
          <w:rStyle w:val="af7"/>
          <w:rFonts w:eastAsia="Guttman Hodes" w:hint="cs"/>
          <w:rtl/>
        </w:rPr>
        <w:instrText xml:space="preserve"> _</w:instrText>
      </w:r>
      <w:r w:rsidRPr="00083CDD">
        <w:rPr>
          <w:rStyle w:val="af7"/>
          <w:rFonts w:eastAsia="Guttman Hodes" w:hint="cs"/>
        </w:rPr>
        <w:instrText>Ref4009004 \r \h</w:instrText>
      </w:r>
      <w:r w:rsidRPr="00083CDD">
        <w:rPr>
          <w:rStyle w:val="af7"/>
          <w:rFonts w:eastAsia="Guttman Hodes"/>
          <w:rtl/>
        </w:rPr>
        <w:instrText xml:space="preserve"> </w:instrText>
      </w:r>
      <w:r w:rsidRPr="00083CDD">
        <w:rPr>
          <w:rStyle w:val="af7"/>
          <w:rFonts w:eastAsia="Guttman Hodes"/>
          <w:rtl/>
        </w:rPr>
      </w:r>
      <w:r w:rsidRPr="00083CDD">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083CDD">
        <w:rPr>
          <w:rStyle w:val="af7"/>
          <w:rFonts w:eastAsia="Guttman Hodes"/>
          <w:rtl/>
        </w:rPr>
        <w:fldChar w:fldCharType="end"/>
      </w:r>
      <w:r>
        <w:rPr>
          <w:rFonts w:hint="cs"/>
          <w:rtl/>
        </w:rPr>
        <w:t xml:space="preserve"> בדעת </w:t>
      </w:r>
      <w:r w:rsidRPr="004A56C0">
        <w:rPr>
          <w:rStyle w:val="af9"/>
          <w:rFonts w:hint="cs"/>
          <w:rtl/>
        </w:rPr>
        <w:t xml:space="preserve">הרמב"ם </w:t>
      </w:r>
      <w:r>
        <w:rPr>
          <w:rFonts w:hint="cs"/>
          <w:rtl/>
        </w:rPr>
        <w:t>דאם תלש והניחו בבהמה ושחטה דמותר,</w:t>
      </w:r>
      <w:r w:rsidRPr="00B37E4D">
        <w:rPr>
          <w:rFonts w:hint="cs"/>
          <w:rtl/>
        </w:rPr>
        <w:t xml:space="preserve"> </w:t>
      </w:r>
      <w:r>
        <w:rPr>
          <w:rFonts w:hint="cs"/>
          <w:rtl/>
        </w:rPr>
        <w:t xml:space="preserve">והרי הוכיחו </w:t>
      </w:r>
      <w:r w:rsidRPr="00D32F9F">
        <w:rPr>
          <w:rStyle w:val="af9"/>
          <w:rFonts w:hint="cs"/>
          <w:rtl/>
        </w:rPr>
        <w:t xml:space="preserve">התוס' </w:t>
      </w:r>
      <w:r w:rsidRPr="00D32F9F">
        <w:rPr>
          <w:rStyle w:val="af7"/>
          <w:rFonts w:eastAsia="Guttman Hodes" w:hint="cs"/>
          <w:rtl/>
        </w:rPr>
        <w:t xml:space="preserve">(עי' אות </w:t>
      </w:r>
      <w:r w:rsidRPr="00D32F9F">
        <w:rPr>
          <w:rStyle w:val="af7"/>
          <w:rFonts w:eastAsia="Guttman Hodes"/>
          <w:rtl/>
        </w:rPr>
        <w:fldChar w:fldCharType="begin"/>
      </w:r>
      <w:r w:rsidRPr="00D32F9F">
        <w:rPr>
          <w:rStyle w:val="af7"/>
          <w:rFonts w:eastAsia="Guttman Hodes"/>
          <w:rtl/>
        </w:rPr>
        <w:instrText xml:space="preserve"> </w:instrText>
      </w:r>
      <w:r w:rsidRPr="00D32F9F">
        <w:rPr>
          <w:rStyle w:val="af7"/>
          <w:rFonts w:eastAsia="Guttman Hodes" w:hint="cs"/>
        </w:rPr>
        <w:instrText>REF</w:instrText>
      </w:r>
      <w:r w:rsidRPr="00D32F9F">
        <w:rPr>
          <w:rStyle w:val="af7"/>
          <w:rFonts w:eastAsia="Guttman Hodes" w:hint="cs"/>
          <w:rtl/>
        </w:rPr>
        <w:instrText xml:space="preserve"> _</w:instrText>
      </w:r>
      <w:r w:rsidRPr="00D32F9F">
        <w:rPr>
          <w:rStyle w:val="af7"/>
          <w:rFonts w:eastAsia="Guttman Hodes" w:hint="cs"/>
        </w:rPr>
        <w:instrText>Ref4143378 \r \h</w:instrText>
      </w:r>
      <w:r w:rsidRPr="00D32F9F">
        <w:rPr>
          <w:rStyle w:val="af7"/>
          <w:rFonts w:eastAsia="Guttman Hodes"/>
          <w:rtl/>
        </w:rPr>
        <w:instrText xml:space="preserve"> </w:instrText>
      </w:r>
      <w:r w:rsidRPr="00D32F9F">
        <w:rPr>
          <w:rStyle w:val="af7"/>
          <w:rFonts w:eastAsia="Guttman Hodes"/>
          <w:rtl/>
        </w:rPr>
      </w:r>
      <w:r w:rsidRPr="00D32F9F">
        <w:rPr>
          <w:rStyle w:val="af7"/>
          <w:rFonts w:eastAsia="Guttman Hodes"/>
          <w:rtl/>
        </w:rPr>
        <w:fldChar w:fldCharType="separate"/>
      </w:r>
      <w:r w:rsidR="00345400">
        <w:rPr>
          <w:rStyle w:val="af7"/>
          <w:rFonts w:eastAsia="Guttman Hodes"/>
          <w:cs/>
        </w:rPr>
        <w:t>‎</w:t>
      </w:r>
      <w:r w:rsidR="00345400">
        <w:rPr>
          <w:rStyle w:val="af7"/>
          <w:rFonts w:eastAsia="Guttman Hodes"/>
          <w:rtl/>
        </w:rPr>
        <w:t>יד)</w:t>
      </w:r>
      <w:r w:rsidRPr="00D32F9F">
        <w:rPr>
          <w:rStyle w:val="af7"/>
          <w:rFonts w:eastAsia="Guttman Hodes"/>
          <w:rtl/>
        </w:rPr>
        <w:fldChar w:fldCharType="end"/>
      </w:r>
      <w:r w:rsidRPr="00C157EB">
        <w:rPr>
          <w:rFonts w:hint="cs"/>
          <w:rtl/>
        </w:rPr>
        <w:t xml:space="preserve"> </w:t>
      </w:r>
      <w:r>
        <w:rPr>
          <w:rFonts w:hint="cs"/>
          <w:rtl/>
        </w:rPr>
        <w:t xml:space="preserve">דאף לריו"ח בעינן אויר העולם, וכתב </w:t>
      </w:r>
      <w:r w:rsidRPr="004A56C0">
        <w:rPr>
          <w:rStyle w:val="af9"/>
          <w:rFonts w:hint="cs"/>
          <w:rtl/>
        </w:rPr>
        <w:t xml:space="preserve">האמרי משה </w:t>
      </w:r>
      <w:r>
        <w:rPr>
          <w:rFonts w:hint="cs"/>
          <w:rtl/>
        </w:rPr>
        <w:t xml:space="preserve">דאף </w:t>
      </w:r>
      <w:r w:rsidRPr="004A56C0">
        <w:rPr>
          <w:rStyle w:val="af9"/>
          <w:rFonts w:hint="cs"/>
          <w:rtl/>
        </w:rPr>
        <w:t xml:space="preserve">דהרשב"א </w:t>
      </w:r>
      <w:r>
        <w:rPr>
          <w:rFonts w:hint="cs"/>
          <w:rtl/>
        </w:rPr>
        <w:t xml:space="preserve">תירץ את קושית </w:t>
      </w:r>
      <w:r w:rsidRPr="004A56C0">
        <w:rPr>
          <w:rStyle w:val="af9"/>
          <w:rFonts w:hint="cs"/>
          <w:rtl/>
        </w:rPr>
        <w:t xml:space="preserve">התוס' </w:t>
      </w:r>
      <w:r>
        <w:rPr>
          <w:rFonts w:hint="cs"/>
          <w:rtl/>
        </w:rPr>
        <w:t xml:space="preserve">דכיון שיש היתר לחלב ע"י שחיטה, לא חל האיסור חלב, מ"מ </w:t>
      </w:r>
      <w:r>
        <w:rPr>
          <w:rStyle w:val="af9"/>
          <w:rFonts w:hint="cs"/>
          <w:rtl/>
        </w:rPr>
        <w:t>ל</w:t>
      </w:r>
      <w:r w:rsidRPr="004A56C0">
        <w:rPr>
          <w:rStyle w:val="af9"/>
          <w:rFonts w:hint="cs"/>
          <w:rtl/>
        </w:rPr>
        <w:t xml:space="preserve">הרמב"ם </w:t>
      </w:r>
      <w:r>
        <w:rPr>
          <w:rFonts w:hint="cs"/>
          <w:rtl/>
        </w:rPr>
        <w:t xml:space="preserve">א"א לתרץ כן דהא ר"י ס"ל דאיסור חלב מותר ע"י </w:t>
      </w:r>
      <w:r w:rsidRPr="000B5E77">
        <w:rPr>
          <w:rFonts w:hint="cs"/>
          <w:rtl/>
        </w:rPr>
        <w:t>שחיטה</w:t>
      </w:r>
      <w:r>
        <w:rPr>
          <w:rFonts w:hint="cs"/>
          <w:rtl/>
        </w:rPr>
        <w:t>, ועי' בדברי</w:t>
      </w:r>
      <w:r w:rsidRPr="000B5E77">
        <w:rPr>
          <w:rtl/>
        </w:rPr>
        <w:t xml:space="preserve"> </w:t>
      </w:r>
      <w:r w:rsidRPr="000F7C5C">
        <w:rPr>
          <w:rStyle w:val="af9"/>
          <w:rtl/>
        </w:rPr>
        <w:t>הראש יוסף</w:t>
      </w:r>
      <w:r w:rsidRPr="000B5E77">
        <w:rPr>
          <w:rFonts w:hint="cs"/>
          <w:rtl/>
        </w:rPr>
        <w:t xml:space="preserve"> </w:t>
      </w:r>
      <w:r w:rsidRPr="00083CDD">
        <w:rPr>
          <w:rStyle w:val="af7"/>
          <w:rFonts w:eastAsia="Guttman Hodes" w:hint="cs"/>
          <w:rtl/>
        </w:rPr>
        <w:t xml:space="preserve">(עי' אות </w:t>
      </w:r>
      <w:r w:rsidRPr="00083CDD">
        <w:rPr>
          <w:rStyle w:val="af7"/>
          <w:rFonts w:eastAsia="Guttman Hodes"/>
          <w:rtl/>
        </w:rPr>
        <w:fldChar w:fldCharType="begin"/>
      </w:r>
      <w:r w:rsidRPr="00083CDD">
        <w:rPr>
          <w:rStyle w:val="af7"/>
          <w:rFonts w:eastAsia="Guttman Hodes"/>
          <w:rtl/>
        </w:rPr>
        <w:instrText xml:space="preserve"> </w:instrText>
      </w:r>
      <w:r w:rsidRPr="00083CDD">
        <w:rPr>
          <w:rStyle w:val="af7"/>
          <w:rFonts w:eastAsia="Guttman Hodes" w:hint="cs"/>
        </w:rPr>
        <w:instrText>REF</w:instrText>
      </w:r>
      <w:r w:rsidRPr="00083CDD">
        <w:rPr>
          <w:rStyle w:val="af7"/>
          <w:rFonts w:eastAsia="Guttman Hodes" w:hint="cs"/>
          <w:rtl/>
        </w:rPr>
        <w:instrText xml:space="preserve"> _</w:instrText>
      </w:r>
      <w:r w:rsidRPr="00083CDD">
        <w:rPr>
          <w:rStyle w:val="af7"/>
          <w:rFonts w:eastAsia="Guttman Hodes" w:hint="cs"/>
        </w:rPr>
        <w:instrText>Ref4008922 \r \h</w:instrText>
      </w:r>
      <w:r w:rsidRPr="00083CDD">
        <w:rPr>
          <w:rStyle w:val="af7"/>
          <w:rFonts w:eastAsia="Guttman Hodes"/>
          <w:rtl/>
        </w:rPr>
        <w:instrText xml:space="preserve"> </w:instrText>
      </w:r>
      <w:r w:rsidRPr="00083CDD">
        <w:rPr>
          <w:rStyle w:val="af7"/>
          <w:rFonts w:eastAsia="Guttman Hodes"/>
          <w:rtl/>
        </w:rPr>
      </w:r>
      <w:r w:rsidRPr="00083CDD">
        <w:rPr>
          <w:rStyle w:val="af7"/>
          <w:rFonts w:eastAsia="Guttman Hodes"/>
          <w:rtl/>
        </w:rPr>
        <w:fldChar w:fldCharType="separate"/>
      </w:r>
      <w:r w:rsidR="00345400">
        <w:rPr>
          <w:rStyle w:val="af7"/>
          <w:rFonts w:eastAsia="Guttman Hodes"/>
          <w:cs/>
        </w:rPr>
        <w:t>‎</w:t>
      </w:r>
      <w:r w:rsidR="00345400">
        <w:rPr>
          <w:rStyle w:val="af7"/>
          <w:rFonts w:eastAsia="Guttman Hodes"/>
          <w:rtl/>
        </w:rPr>
        <w:t>נד)</w:t>
      </w:r>
      <w:r w:rsidRPr="00083CDD">
        <w:rPr>
          <w:rStyle w:val="af7"/>
          <w:rFonts w:eastAsia="Guttman Hodes"/>
          <w:rtl/>
        </w:rPr>
        <w:fldChar w:fldCharType="end"/>
      </w:r>
      <w:bookmarkEnd w:id="24731"/>
      <w:r>
        <w:rPr>
          <w:rFonts w:hint="cs"/>
          <w:rtl/>
        </w:rPr>
        <w:t>.</w:t>
      </w:r>
      <w:bookmarkEnd w:id="24732"/>
    </w:p>
    <w:p w14:paraId="55EE92EC" w14:textId="77777777" w:rsidR="003D504D" w:rsidRPr="005B6825" w:rsidRDefault="003D504D" w:rsidP="003D504D">
      <w:pPr>
        <w:pStyle w:val="a3"/>
        <w:rPr>
          <w:rtl/>
        </w:rPr>
      </w:pPr>
    </w:p>
    <w:p w14:paraId="3C87422C" w14:textId="77777777" w:rsidR="003D504D" w:rsidRPr="0030437E" w:rsidRDefault="003D504D" w:rsidP="003D504D">
      <w:pPr>
        <w:pStyle w:val="a3"/>
      </w:pPr>
      <w:bookmarkStart w:id="24734" w:name="_Toc4012328"/>
      <w:bookmarkStart w:id="24735" w:name="_Toc4013358"/>
      <w:bookmarkStart w:id="24736" w:name="_Toc4022866"/>
      <w:bookmarkStart w:id="24737" w:name="_Toc4026691"/>
      <w:bookmarkStart w:id="24738" w:name="_Toc4139491"/>
      <w:bookmarkStart w:id="24739" w:name="_Toc4151585"/>
      <w:bookmarkStart w:id="24740" w:name="_Toc19392034"/>
      <w:bookmarkStart w:id="24741" w:name="_Toc19395531"/>
      <w:r w:rsidRPr="0030437E">
        <w:rPr>
          <w:rtl/>
        </w:rPr>
        <w:t xml:space="preserve">קושית </w:t>
      </w:r>
      <w:r>
        <w:rPr>
          <w:rtl/>
        </w:rPr>
        <w:t>האמר"מ</w:t>
      </w:r>
      <w:r w:rsidRPr="0030437E">
        <w:rPr>
          <w:rtl/>
        </w:rPr>
        <w:t xml:space="preserve"> על הכס"מ דהיאך אפש"ל דלהרמב"ם שחיטה מתירה חלב בהניחו בפנים</w:t>
      </w:r>
      <w:bookmarkEnd w:id="24734"/>
      <w:bookmarkEnd w:id="24735"/>
      <w:bookmarkEnd w:id="24736"/>
      <w:bookmarkEnd w:id="24737"/>
      <w:bookmarkEnd w:id="24738"/>
      <w:bookmarkEnd w:id="24739"/>
      <w:bookmarkEnd w:id="24740"/>
      <w:bookmarkEnd w:id="24741"/>
    </w:p>
    <w:p w14:paraId="2C02750B" w14:textId="77777777" w:rsidR="003D504D" w:rsidRDefault="003D504D" w:rsidP="00223668">
      <w:pPr>
        <w:pStyle w:val="a0"/>
        <w:rPr>
          <w:rtl/>
        </w:rPr>
      </w:pPr>
      <w:r>
        <w:rPr>
          <w:rFonts w:hint="cs"/>
          <w:rtl/>
        </w:rPr>
        <w:t xml:space="preserve">והוסיף </w:t>
      </w:r>
      <w:r w:rsidRPr="004A56C0">
        <w:rPr>
          <w:rStyle w:val="af9"/>
          <w:rFonts w:hint="cs"/>
          <w:rtl/>
        </w:rPr>
        <w:t xml:space="preserve">האמרי משה </w:t>
      </w:r>
      <w:r>
        <w:rPr>
          <w:rFonts w:hint="cs"/>
          <w:rtl/>
        </w:rPr>
        <w:t xml:space="preserve">להקשות דאי השחיטה מתירה איסור חלב בתלשו והניחו בבהמה, כדכתב </w:t>
      </w:r>
      <w:r w:rsidRPr="004A56C0">
        <w:rPr>
          <w:rStyle w:val="af9"/>
          <w:rFonts w:hint="cs"/>
          <w:rtl/>
        </w:rPr>
        <w:t xml:space="preserve">הכס"מ </w:t>
      </w:r>
      <w:r>
        <w:rPr>
          <w:rFonts w:hint="cs"/>
          <w:rtl/>
        </w:rPr>
        <w:t xml:space="preserve">א"כ מבואר דלדעת </w:t>
      </w:r>
      <w:r w:rsidRPr="004A56C0">
        <w:rPr>
          <w:rStyle w:val="af9"/>
          <w:rFonts w:hint="cs"/>
          <w:rtl/>
        </w:rPr>
        <w:t xml:space="preserve">הרמב"ם </w:t>
      </w:r>
      <w:r>
        <w:rPr>
          <w:rFonts w:hint="cs"/>
          <w:rtl/>
        </w:rPr>
        <w:t>המשמע מהני השחיטה להתיר איסור חלב,</w:t>
      </w:r>
      <w:r w:rsidRPr="00432BBF">
        <w:rPr>
          <w:rFonts w:hint="cs"/>
          <w:rtl/>
        </w:rPr>
        <w:t xml:space="preserve"> </w:t>
      </w:r>
      <w:r>
        <w:rPr>
          <w:rFonts w:hint="cs"/>
          <w:rtl/>
        </w:rPr>
        <w:t xml:space="preserve">דהא כיון דחדשים גרמי, הוי חלב גמור, ולא כדביאר </w:t>
      </w:r>
      <w:r w:rsidRPr="004A56C0">
        <w:rPr>
          <w:rStyle w:val="af9"/>
          <w:rFonts w:hint="cs"/>
          <w:rtl/>
        </w:rPr>
        <w:t xml:space="preserve">האמרי משה </w:t>
      </w:r>
      <w:r w:rsidRPr="00B96D27">
        <w:rPr>
          <w:rStyle w:val="af7"/>
          <w:rFonts w:eastAsia="Guttman Hodes" w:hint="cs"/>
          <w:rtl/>
        </w:rPr>
        <w:t xml:space="preserve">(עי' אות </w:t>
      </w:r>
      <w:r w:rsidRPr="00B96D27">
        <w:rPr>
          <w:rStyle w:val="af7"/>
          <w:rFonts w:eastAsia="Guttman Hodes"/>
          <w:rtl/>
        </w:rPr>
        <w:fldChar w:fldCharType="begin"/>
      </w:r>
      <w:r w:rsidRPr="00B96D27">
        <w:rPr>
          <w:rStyle w:val="af7"/>
          <w:rFonts w:eastAsia="Guttman Hodes"/>
          <w:rtl/>
        </w:rPr>
        <w:instrText xml:space="preserve"> </w:instrText>
      </w:r>
      <w:r w:rsidRPr="00B96D27">
        <w:rPr>
          <w:rStyle w:val="af7"/>
          <w:rFonts w:eastAsia="Guttman Hodes" w:hint="cs"/>
        </w:rPr>
        <w:instrText>REF</w:instrText>
      </w:r>
      <w:r w:rsidRPr="00B96D27">
        <w:rPr>
          <w:rStyle w:val="af7"/>
          <w:rFonts w:eastAsia="Guttman Hodes" w:hint="cs"/>
          <w:rtl/>
        </w:rPr>
        <w:instrText xml:space="preserve"> _</w:instrText>
      </w:r>
      <w:r w:rsidRPr="00B96D27">
        <w:rPr>
          <w:rStyle w:val="af7"/>
          <w:rFonts w:eastAsia="Guttman Hodes" w:hint="cs"/>
        </w:rPr>
        <w:instrText>Ref4007384 \r \h</w:instrText>
      </w:r>
      <w:r w:rsidRPr="00B96D27">
        <w:rPr>
          <w:rStyle w:val="af7"/>
          <w:rFonts w:eastAsia="Guttman Hodes"/>
          <w:rtl/>
        </w:rPr>
        <w:instrText xml:space="preserve"> </w:instrText>
      </w:r>
      <w:r w:rsidRPr="00B96D27">
        <w:rPr>
          <w:rStyle w:val="af7"/>
          <w:rFonts w:eastAsia="Guttman Hodes"/>
          <w:rtl/>
        </w:rPr>
      </w:r>
      <w:r w:rsidRPr="00B96D27">
        <w:rPr>
          <w:rStyle w:val="af7"/>
          <w:rFonts w:eastAsia="Guttman Hodes"/>
          <w:rtl/>
        </w:rPr>
        <w:fldChar w:fldCharType="separate"/>
      </w:r>
      <w:r w:rsidR="00345400">
        <w:rPr>
          <w:rStyle w:val="af7"/>
          <w:rFonts w:eastAsia="Guttman Hodes"/>
          <w:cs/>
        </w:rPr>
        <w:t>‎</w:t>
      </w:r>
      <w:r w:rsidR="00345400">
        <w:rPr>
          <w:rStyle w:val="af7"/>
          <w:rFonts w:eastAsia="Guttman Hodes"/>
          <w:rtl/>
        </w:rPr>
        <w:t>עט)</w:t>
      </w:r>
      <w:r w:rsidRPr="00B96D27">
        <w:rPr>
          <w:rStyle w:val="af7"/>
          <w:rFonts w:eastAsia="Guttman Hodes"/>
          <w:rtl/>
        </w:rPr>
        <w:fldChar w:fldCharType="end"/>
      </w:r>
      <w:r>
        <w:rPr>
          <w:rFonts w:hint="cs"/>
          <w:rtl/>
        </w:rPr>
        <w:t xml:space="preserve"> בדעת </w:t>
      </w:r>
      <w:r w:rsidRPr="004A56C0">
        <w:rPr>
          <w:rStyle w:val="af9"/>
          <w:rFonts w:hint="cs"/>
          <w:rtl/>
        </w:rPr>
        <w:t xml:space="preserve">הרמב"ם </w:t>
      </w:r>
      <w:r>
        <w:rPr>
          <w:rFonts w:hint="cs"/>
          <w:rtl/>
        </w:rPr>
        <w:t xml:space="preserve">דאין כח בשחיטה להתיר איסורים כחלב, דאי השחיטה אינה מתירה איסור חלב כשהוא מחובר לעובר, אף כשחתכו מהעובר לא צריכה השחיטה להתירו, ואי ס"ל </w:t>
      </w:r>
      <w:r w:rsidRPr="004A56C0">
        <w:rPr>
          <w:rStyle w:val="af9"/>
          <w:rFonts w:hint="cs"/>
          <w:rtl/>
        </w:rPr>
        <w:t xml:space="preserve">להרמב"ם כתוס' </w:t>
      </w:r>
      <w:r w:rsidRPr="00F00B51">
        <w:rPr>
          <w:rStyle w:val="af7"/>
          <w:rFonts w:eastAsia="Guttman Hodes" w:hint="cs"/>
          <w:rtl/>
        </w:rPr>
        <w:t xml:space="preserve">(עי' אות </w:t>
      </w:r>
      <w:r w:rsidRPr="00F00B51">
        <w:rPr>
          <w:rStyle w:val="af7"/>
          <w:rFonts w:eastAsia="Guttman Hodes"/>
          <w:rtl/>
        </w:rPr>
        <w:fldChar w:fldCharType="begin"/>
      </w:r>
      <w:r w:rsidRPr="00F00B51">
        <w:rPr>
          <w:rStyle w:val="af7"/>
          <w:rFonts w:eastAsia="Guttman Hodes"/>
          <w:rtl/>
        </w:rPr>
        <w:instrText xml:space="preserve"> </w:instrText>
      </w:r>
      <w:r w:rsidRPr="00F00B51">
        <w:rPr>
          <w:rStyle w:val="af7"/>
          <w:rFonts w:eastAsia="Guttman Hodes" w:hint="cs"/>
        </w:rPr>
        <w:instrText>REF</w:instrText>
      </w:r>
      <w:r w:rsidRPr="00F00B51">
        <w:rPr>
          <w:rStyle w:val="af7"/>
          <w:rFonts w:eastAsia="Guttman Hodes" w:hint="cs"/>
          <w:rtl/>
        </w:rPr>
        <w:instrText xml:space="preserve"> _</w:instrText>
      </w:r>
      <w:r w:rsidRPr="00F00B51">
        <w:rPr>
          <w:rStyle w:val="af7"/>
          <w:rFonts w:eastAsia="Guttman Hodes" w:hint="cs"/>
        </w:rPr>
        <w:instrText>Ref4143378 \r \h</w:instrText>
      </w:r>
      <w:r w:rsidRPr="00F00B51">
        <w:rPr>
          <w:rStyle w:val="af7"/>
          <w:rFonts w:eastAsia="Guttman Hodes"/>
          <w:rtl/>
        </w:rPr>
        <w:instrText xml:space="preserve"> </w:instrText>
      </w:r>
      <w:r w:rsidRPr="00F00B51">
        <w:rPr>
          <w:rStyle w:val="af7"/>
          <w:rFonts w:eastAsia="Guttman Hodes"/>
          <w:rtl/>
        </w:rPr>
      </w:r>
      <w:r w:rsidRPr="00F00B51">
        <w:rPr>
          <w:rStyle w:val="af7"/>
          <w:rFonts w:eastAsia="Guttman Hodes"/>
          <w:rtl/>
        </w:rPr>
        <w:fldChar w:fldCharType="separate"/>
      </w:r>
      <w:r w:rsidR="00345400">
        <w:rPr>
          <w:rStyle w:val="af7"/>
          <w:rFonts w:eastAsia="Guttman Hodes"/>
          <w:cs/>
        </w:rPr>
        <w:t>‎</w:t>
      </w:r>
      <w:r w:rsidR="00345400">
        <w:rPr>
          <w:rStyle w:val="af7"/>
          <w:rFonts w:eastAsia="Guttman Hodes"/>
          <w:rtl/>
        </w:rPr>
        <w:t>יד)</w:t>
      </w:r>
      <w:r w:rsidRPr="00F00B51">
        <w:rPr>
          <w:rStyle w:val="af7"/>
          <w:rFonts w:eastAsia="Guttman Hodes"/>
          <w:rtl/>
        </w:rPr>
        <w:fldChar w:fldCharType="end"/>
      </w:r>
      <w:r>
        <w:rPr>
          <w:rFonts w:hint="cs"/>
          <w:rtl/>
        </w:rPr>
        <w:t xml:space="preserve"> דאף לריו"ח אויר העולם בעינן, ולכן כשהניחו בפנים לא נאסר דחדשים לבד לא גרמי, א"כ אמאי אוסר </w:t>
      </w:r>
      <w:r w:rsidRPr="004A56C0">
        <w:rPr>
          <w:rStyle w:val="af9"/>
          <w:rFonts w:hint="cs"/>
          <w:rtl/>
        </w:rPr>
        <w:t xml:space="preserve">הרמב"ם </w:t>
      </w:r>
      <w:r>
        <w:rPr>
          <w:rFonts w:hint="cs"/>
          <w:rtl/>
        </w:rPr>
        <w:t>בחלב שמחובר בבן ט' שנמצא במעי אמו, הא לא יצא לאויר העולם.</w:t>
      </w:r>
    </w:p>
    <w:p w14:paraId="7550DF6A" w14:textId="77777777" w:rsidR="003D504D" w:rsidRDefault="003D504D" w:rsidP="003D504D">
      <w:pPr>
        <w:pStyle w:val="a3"/>
        <w:rPr>
          <w:rtl/>
        </w:rPr>
      </w:pPr>
      <w:bookmarkStart w:id="24742" w:name="_Toc4012329"/>
      <w:bookmarkStart w:id="24743" w:name="_Toc4013359"/>
      <w:bookmarkStart w:id="24744" w:name="_Toc4022867"/>
      <w:bookmarkStart w:id="24745" w:name="_Toc4026692"/>
      <w:bookmarkStart w:id="24746" w:name="_Toc4139492"/>
      <w:bookmarkStart w:id="24747" w:name="_Toc4151586"/>
      <w:bookmarkStart w:id="24748" w:name="_Toc19392035"/>
      <w:bookmarkStart w:id="24749" w:name="_Toc19395532"/>
      <w:r>
        <w:rPr>
          <w:rFonts w:hint="cs"/>
          <w:rtl/>
        </w:rPr>
        <w:t>קושית האמר"מ דהיאך להרמב"ם  חלב של בן ט' מת</w:t>
      </w:r>
      <w:r w:rsidRPr="00F3256C">
        <w:rPr>
          <w:rFonts w:hint="cs"/>
          <w:rtl/>
        </w:rPr>
        <w:t xml:space="preserve"> </w:t>
      </w:r>
      <w:r>
        <w:rPr>
          <w:rFonts w:hint="cs"/>
          <w:rtl/>
        </w:rPr>
        <w:t>מותר הא שחיטה אינה מתירה חלב</w:t>
      </w:r>
      <w:bookmarkEnd w:id="24742"/>
      <w:bookmarkEnd w:id="24743"/>
      <w:bookmarkEnd w:id="24744"/>
      <w:bookmarkEnd w:id="24745"/>
      <w:bookmarkEnd w:id="24746"/>
      <w:bookmarkEnd w:id="24747"/>
      <w:bookmarkEnd w:id="24748"/>
      <w:bookmarkEnd w:id="24749"/>
      <w:r>
        <w:rPr>
          <w:rFonts w:hint="cs"/>
          <w:rtl/>
        </w:rPr>
        <w:t xml:space="preserve"> </w:t>
      </w:r>
    </w:p>
    <w:p w14:paraId="3A97DD18" w14:textId="77777777" w:rsidR="003D504D" w:rsidRDefault="003D504D" w:rsidP="00223668">
      <w:pPr>
        <w:pStyle w:val="a0"/>
        <w:rPr>
          <w:rtl/>
        </w:rPr>
      </w:pPr>
      <w:bookmarkStart w:id="24750" w:name="_Ref4011792"/>
      <w:r>
        <w:rPr>
          <w:rFonts w:hint="cs"/>
          <w:rtl/>
        </w:rPr>
        <w:t xml:space="preserve">ועוד הקשה </w:t>
      </w:r>
      <w:r w:rsidRPr="004A56C0">
        <w:rPr>
          <w:rStyle w:val="af9"/>
          <w:rFonts w:hint="cs"/>
          <w:rtl/>
        </w:rPr>
        <w:t>האמרי משה</w:t>
      </w:r>
      <w:r>
        <w:rPr>
          <w:rFonts w:hint="cs"/>
          <w:rtl/>
        </w:rPr>
        <w:t xml:space="preserve"> </w:t>
      </w:r>
      <w:r w:rsidRPr="00BC6FAF">
        <w:rPr>
          <w:rStyle w:val="af7"/>
          <w:rFonts w:eastAsia="Guttman Hodes" w:hint="cs"/>
          <w:rtl/>
        </w:rPr>
        <w:t>(סי' ד' אות כ"א)</w:t>
      </w:r>
      <w:r>
        <w:rPr>
          <w:rFonts w:hint="cs"/>
          <w:rtl/>
        </w:rPr>
        <w:t xml:space="preserve"> דמשמע בדברי </w:t>
      </w:r>
      <w:r w:rsidRPr="004A56C0">
        <w:rPr>
          <w:rStyle w:val="af9"/>
          <w:rFonts w:hint="cs"/>
          <w:rtl/>
        </w:rPr>
        <w:t>הרמב"ם</w:t>
      </w:r>
      <w:r>
        <w:rPr>
          <w:rFonts w:hint="cs"/>
          <w:rtl/>
        </w:rPr>
        <w:t xml:space="preserve"> דרק חלב של בן ט' חי אסור, אבל בבן ט' מת משמע בדברי </w:t>
      </w:r>
      <w:r w:rsidRPr="004A56C0">
        <w:rPr>
          <w:rStyle w:val="af9"/>
          <w:rFonts w:hint="cs"/>
          <w:rtl/>
        </w:rPr>
        <w:t>הרמב"ם</w:t>
      </w:r>
      <w:r>
        <w:rPr>
          <w:rFonts w:hint="cs"/>
          <w:rtl/>
        </w:rPr>
        <w:t xml:space="preserve"> </w:t>
      </w:r>
      <w:r w:rsidRPr="00BC6FAF">
        <w:rPr>
          <w:rStyle w:val="af7"/>
          <w:rFonts w:eastAsia="Guttman Hodes" w:hint="cs"/>
          <w:rtl/>
        </w:rPr>
        <w:t xml:space="preserve">(עי' אות </w:t>
      </w:r>
      <w:r w:rsidRPr="00BC6FAF">
        <w:rPr>
          <w:rStyle w:val="af7"/>
          <w:rFonts w:eastAsia="Guttman Hodes"/>
          <w:rtl/>
        </w:rPr>
        <w:fldChar w:fldCharType="begin"/>
      </w:r>
      <w:r w:rsidRPr="00BC6FAF">
        <w:rPr>
          <w:rStyle w:val="af7"/>
          <w:rFonts w:eastAsia="Guttman Hodes"/>
          <w:rtl/>
        </w:rPr>
        <w:instrText xml:space="preserve"> </w:instrText>
      </w:r>
      <w:r w:rsidRPr="00BC6FAF">
        <w:rPr>
          <w:rStyle w:val="af7"/>
          <w:rFonts w:eastAsia="Guttman Hodes" w:hint="cs"/>
        </w:rPr>
        <w:instrText>REF</w:instrText>
      </w:r>
      <w:r w:rsidRPr="00BC6FAF">
        <w:rPr>
          <w:rStyle w:val="af7"/>
          <w:rFonts w:eastAsia="Guttman Hodes" w:hint="cs"/>
          <w:rtl/>
        </w:rPr>
        <w:instrText xml:space="preserve"> _</w:instrText>
      </w:r>
      <w:r w:rsidRPr="00BC6FAF">
        <w:rPr>
          <w:rStyle w:val="af7"/>
          <w:rFonts w:eastAsia="Guttman Hodes" w:hint="cs"/>
        </w:rPr>
        <w:instrText>Ref3145560 \r \h</w:instrText>
      </w:r>
      <w:r w:rsidRPr="00BC6FAF">
        <w:rPr>
          <w:rStyle w:val="af7"/>
          <w:rFonts w:eastAsia="Guttman Hodes"/>
          <w:rtl/>
        </w:rPr>
        <w:instrText xml:space="preserve"> </w:instrText>
      </w:r>
      <w:r w:rsidRPr="00BC6FAF">
        <w:rPr>
          <w:rStyle w:val="af7"/>
          <w:rFonts w:eastAsia="Guttman Hodes"/>
          <w:rtl/>
        </w:rPr>
      </w:r>
      <w:r w:rsidRPr="00BC6FAF">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BC6FAF">
        <w:rPr>
          <w:rStyle w:val="af7"/>
          <w:rFonts w:eastAsia="Guttman Hodes"/>
          <w:rtl/>
        </w:rPr>
        <w:fldChar w:fldCharType="end"/>
      </w:r>
      <w:r>
        <w:rPr>
          <w:rFonts w:hint="cs"/>
          <w:rtl/>
        </w:rPr>
        <w:t xml:space="preserve"> דחלבו מותר, ואי ס"ל </w:t>
      </w:r>
      <w:r w:rsidRPr="004A56C0">
        <w:rPr>
          <w:rStyle w:val="af9"/>
          <w:rFonts w:hint="cs"/>
          <w:rtl/>
        </w:rPr>
        <w:t>להרמב"ם</w:t>
      </w:r>
      <w:r>
        <w:rPr>
          <w:rFonts w:hint="cs"/>
          <w:rtl/>
        </w:rPr>
        <w:t xml:space="preserve"> כריו"ח דחדשים גרמי, א"כ כשכלו לו חדשיו במעי אמו והיה חי, חל עליו איסור חלב לדעת ריו"ח, וא"כ היאך הותר החלב אח"כ כשמת במעי אמו, הרי לדעת </w:t>
      </w:r>
      <w:r w:rsidRPr="00B100F0">
        <w:rPr>
          <w:rStyle w:val="af9"/>
          <w:rFonts w:hint="cs"/>
          <w:rtl/>
        </w:rPr>
        <w:t>הרמב"ם</w:t>
      </w:r>
      <w:r>
        <w:rPr>
          <w:rFonts w:hint="cs"/>
          <w:rtl/>
        </w:rPr>
        <w:t xml:space="preserve"> אין בכח השחיטה להתיר את איסור החלב, וכתב </w:t>
      </w:r>
      <w:r w:rsidRPr="00B100F0">
        <w:rPr>
          <w:rStyle w:val="af9"/>
          <w:rFonts w:hint="cs"/>
          <w:rtl/>
        </w:rPr>
        <w:t>האמרי משה</w:t>
      </w:r>
      <w:r>
        <w:rPr>
          <w:rFonts w:hint="cs"/>
          <w:rtl/>
        </w:rPr>
        <w:t xml:space="preserve"> דבאמת קושיה זו קשה על עיקר דברי ריו"ח דחייב בתולש חלב מבן ט' חי, ומשמע דאם תלש חלב מבן ט' מת לא אסר ריו"ח, והרי אף שבשעת התלישה היה העובר מת, מ"מ כיון שלפני שמת כלו לו חדשיו והיה חי נאסר חלבו לריו"ח דחדשים גרמי, וצריך להתחייב אף אם תלשו אחר שמת במעי אמו, ועי' במה שתירץ </w:t>
      </w:r>
      <w:r w:rsidRPr="004856E8">
        <w:rPr>
          <w:rStyle w:val="af9"/>
          <w:rFonts w:hint="cs"/>
          <w:rtl/>
        </w:rPr>
        <w:t>האמרי משה</w:t>
      </w:r>
      <w:r>
        <w:rPr>
          <w:rFonts w:hint="cs"/>
          <w:rtl/>
        </w:rPr>
        <w:t xml:space="preserve"> </w:t>
      </w:r>
      <w:r w:rsidRPr="004856E8">
        <w:rPr>
          <w:rStyle w:val="af7"/>
          <w:rFonts w:eastAsia="Guttman Hodes" w:hint="cs"/>
          <w:rtl/>
        </w:rPr>
        <w:t xml:space="preserve">(עי' אות </w:t>
      </w:r>
      <w:r w:rsidRPr="004856E8">
        <w:rPr>
          <w:rStyle w:val="af7"/>
          <w:rFonts w:eastAsia="Guttman Hodes"/>
          <w:rtl/>
        </w:rPr>
        <w:fldChar w:fldCharType="begin"/>
      </w:r>
      <w:r w:rsidRPr="004856E8">
        <w:rPr>
          <w:rStyle w:val="af7"/>
          <w:rFonts w:eastAsia="Guttman Hodes"/>
          <w:rtl/>
        </w:rPr>
        <w:instrText xml:space="preserve"> </w:instrText>
      </w:r>
      <w:r w:rsidRPr="004856E8">
        <w:rPr>
          <w:rStyle w:val="af7"/>
          <w:rFonts w:eastAsia="Guttman Hodes" w:hint="cs"/>
        </w:rPr>
        <w:instrText>REF</w:instrText>
      </w:r>
      <w:r w:rsidRPr="004856E8">
        <w:rPr>
          <w:rStyle w:val="af7"/>
          <w:rFonts w:eastAsia="Guttman Hodes" w:hint="cs"/>
          <w:rtl/>
        </w:rPr>
        <w:instrText xml:space="preserve"> _</w:instrText>
      </w:r>
      <w:r w:rsidRPr="004856E8">
        <w:rPr>
          <w:rStyle w:val="af7"/>
          <w:rFonts w:eastAsia="Guttman Hodes" w:hint="cs"/>
        </w:rPr>
        <w:instrText>Ref4011758 \r \h</w:instrText>
      </w:r>
      <w:r w:rsidRPr="004856E8">
        <w:rPr>
          <w:rStyle w:val="af7"/>
          <w:rFonts w:eastAsia="Guttman Hodes"/>
          <w:rtl/>
        </w:rPr>
        <w:instrText xml:space="preserve"> </w:instrText>
      </w:r>
      <w:r w:rsidRPr="004856E8">
        <w:rPr>
          <w:rStyle w:val="af7"/>
          <w:rFonts w:eastAsia="Guttman Hodes"/>
          <w:rtl/>
        </w:rPr>
      </w:r>
      <w:r w:rsidRPr="004856E8">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4856E8">
        <w:rPr>
          <w:rStyle w:val="af7"/>
          <w:rFonts w:eastAsia="Guttman Hodes"/>
          <w:rtl/>
        </w:rPr>
        <w:fldChar w:fldCharType="end"/>
      </w:r>
      <w:r>
        <w:rPr>
          <w:rFonts w:hint="cs"/>
          <w:rtl/>
        </w:rPr>
        <w:t>.</w:t>
      </w:r>
      <w:bookmarkEnd w:id="24750"/>
    </w:p>
    <w:p w14:paraId="6F09B7A9" w14:textId="77777777" w:rsidR="003D504D" w:rsidRPr="0090510A" w:rsidRDefault="003D504D" w:rsidP="00BF39B2">
      <w:pPr>
        <w:pStyle w:val="1"/>
        <w:rPr>
          <w:rtl/>
        </w:rPr>
      </w:pPr>
      <w:bookmarkStart w:id="24751" w:name="_Toc4013360"/>
      <w:bookmarkStart w:id="24752" w:name="_Toc4022868"/>
      <w:bookmarkStart w:id="24753" w:name="_Toc4026693"/>
      <w:bookmarkStart w:id="24754" w:name="_Toc4139493"/>
      <w:bookmarkStart w:id="24755" w:name="_Toc4151587"/>
      <w:bookmarkStart w:id="24756" w:name="_Toc19392036"/>
      <w:bookmarkStart w:id="24757" w:name="_Toc19395533"/>
      <w:r>
        <w:rPr>
          <w:rFonts w:hint="cs"/>
          <w:rtl/>
        </w:rPr>
        <w:t>קושית האמר"מ על דברי המ"מ דחלב בן ט' מותר לכו"ע</w:t>
      </w:r>
      <w:bookmarkEnd w:id="24751"/>
      <w:bookmarkEnd w:id="24752"/>
      <w:bookmarkEnd w:id="24753"/>
      <w:bookmarkEnd w:id="24754"/>
      <w:bookmarkEnd w:id="24755"/>
      <w:bookmarkEnd w:id="24756"/>
      <w:bookmarkEnd w:id="24757"/>
    </w:p>
    <w:p w14:paraId="62D7B558" w14:textId="77777777" w:rsidR="003D504D" w:rsidRDefault="003D504D" w:rsidP="003D504D">
      <w:pPr>
        <w:pStyle w:val="a3"/>
        <w:rPr>
          <w:rtl/>
        </w:rPr>
      </w:pPr>
      <w:bookmarkStart w:id="24758" w:name="_Toc4012330"/>
      <w:bookmarkStart w:id="24759" w:name="_Toc4013361"/>
      <w:bookmarkStart w:id="24760" w:name="_Toc4022869"/>
      <w:bookmarkStart w:id="24761" w:name="_Toc4026694"/>
      <w:bookmarkStart w:id="24762" w:name="_Toc4139494"/>
      <w:bookmarkStart w:id="24763" w:name="_Toc4151588"/>
      <w:bookmarkStart w:id="24764" w:name="_Toc19392037"/>
      <w:bookmarkStart w:id="24765" w:name="_Toc19395534"/>
      <w:r>
        <w:rPr>
          <w:rFonts w:hint="cs"/>
          <w:rtl/>
        </w:rPr>
        <w:t>דברי האמר</w:t>
      </w:r>
      <w:r>
        <w:rPr>
          <w:rtl/>
        </w:rPr>
        <w:t>"</w:t>
      </w:r>
      <w:r>
        <w:rPr>
          <w:rFonts w:hint="cs"/>
          <w:rtl/>
        </w:rPr>
        <w:t>מ דאפש"ל דריו"ח אוסר אף בחלב דבן ט' מת ונקט חי לרבותא דר"ל ודלא כהמ"מ</w:t>
      </w:r>
      <w:bookmarkEnd w:id="24758"/>
      <w:bookmarkEnd w:id="24759"/>
      <w:bookmarkEnd w:id="24760"/>
      <w:bookmarkEnd w:id="24761"/>
      <w:bookmarkEnd w:id="24762"/>
      <w:bookmarkEnd w:id="24763"/>
      <w:bookmarkEnd w:id="24764"/>
      <w:bookmarkEnd w:id="24765"/>
    </w:p>
    <w:p w14:paraId="0854E0FE" w14:textId="77777777" w:rsidR="003D504D" w:rsidRDefault="003D504D" w:rsidP="00223668">
      <w:pPr>
        <w:pStyle w:val="a0"/>
        <w:rPr>
          <w:rtl/>
        </w:rPr>
      </w:pPr>
      <w:bookmarkStart w:id="24766" w:name="_Ref4010466"/>
      <w:r>
        <w:rPr>
          <w:rFonts w:hint="cs"/>
          <w:rtl/>
        </w:rPr>
        <w:t xml:space="preserve">והביא </w:t>
      </w:r>
      <w:r w:rsidRPr="00B100F0">
        <w:rPr>
          <w:rStyle w:val="af9"/>
          <w:rFonts w:hint="cs"/>
          <w:rtl/>
        </w:rPr>
        <w:t>האמרי משה</w:t>
      </w:r>
      <w:r>
        <w:rPr>
          <w:rFonts w:hint="cs"/>
          <w:rtl/>
        </w:rPr>
        <w:t xml:space="preserve"> את דברי </w:t>
      </w:r>
      <w:r w:rsidRPr="00B100F0">
        <w:rPr>
          <w:rStyle w:val="af9"/>
          <w:rFonts w:hint="cs"/>
          <w:rtl/>
        </w:rPr>
        <w:t>המ"מ</w:t>
      </w:r>
      <w:r>
        <w:rPr>
          <w:rFonts w:hint="cs"/>
          <w:rtl/>
        </w:rPr>
        <w:t xml:space="preserve"> </w:t>
      </w:r>
      <w:r w:rsidRPr="004A1F5E">
        <w:rPr>
          <w:rStyle w:val="af7"/>
          <w:rFonts w:eastAsia="Guttman Hodes" w:hint="cs"/>
          <w:rtl/>
        </w:rPr>
        <w:t xml:space="preserve">(עי' אות </w:t>
      </w:r>
      <w:r w:rsidRPr="004A1F5E">
        <w:rPr>
          <w:rStyle w:val="af7"/>
          <w:rFonts w:eastAsia="Guttman Hodes"/>
          <w:rtl/>
        </w:rPr>
        <w:fldChar w:fldCharType="begin"/>
      </w:r>
      <w:r w:rsidRPr="004A1F5E">
        <w:rPr>
          <w:rStyle w:val="af7"/>
          <w:rFonts w:eastAsia="Guttman Hodes"/>
          <w:rtl/>
        </w:rPr>
        <w:instrText xml:space="preserve"> </w:instrText>
      </w:r>
      <w:r w:rsidRPr="004A1F5E">
        <w:rPr>
          <w:rStyle w:val="af7"/>
          <w:rFonts w:eastAsia="Guttman Hodes" w:hint="cs"/>
        </w:rPr>
        <w:instrText>REF</w:instrText>
      </w:r>
      <w:r w:rsidRPr="004A1F5E">
        <w:rPr>
          <w:rStyle w:val="af7"/>
          <w:rFonts w:eastAsia="Guttman Hodes" w:hint="cs"/>
          <w:rtl/>
        </w:rPr>
        <w:instrText xml:space="preserve"> _</w:instrText>
      </w:r>
      <w:r w:rsidRPr="004A1F5E">
        <w:rPr>
          <w:rStyle w:val="af7"/>
          <w:rFonts w:eastAsia="Guttman Hodes" w:hint="cs"/>
        </w:rPr>
        <w:instrText>Ref4010599 \r \h</w:instrText>
      </w:r>
      <w:r w:rsidRPr="004A1F5E">
        <w:rPr>
          <w:rStyle w:val="af7"/>
          <w:rFonts w:eastAsia="Guttman Hodes"/>
          <w:rtl/>
        </w:rPr>
        <w:instrText xml:space="preserve"> </w:instrText>
      </w:r>
      <w:r w:rsidRPr="004A1F5E">
        <w:rPr>
          <w:rStyle w:val="af7"/>
          <w:rFonts w:eastAsia="Guttman Hodes"/>
          <w:rtl/>
        </w:rPr>
      </w:r>
      <w:r w:rsidRPr="004A1F5E">
        <w:rPr>
          <w:rStyle w:val="af7"/>
          <w:rFonts w:eastAsia="Guttman Hodes"/>
          <w:rtl/>
        </w:rPr>
        <w:fldChar w:fldCharType="separate"/>
      </w:r>
      <w:r w:rsidR="00345400">
        <w:rPr>
          <w:rStyle w:val="af7"/>
          <w:rFonts w:eastAsia="Guttman Hodes"/>
          <w:cs/>
        </w:rPr>
        <w:t>‎</w:t>
      </w:r>
      <w:r w:rsidR="00345400">
        <w:rPr>
          <w:rStyle w:val="af7"/>
          <w:rFonts w:eastAsia="Guttman Hodes"/>
          <w:rtl/>
        </w:rPr>
        <w:t>כח)</w:t>
      </w:r>
      <w:r w:rsidRPr="004A1F5E">
        <w:rPr>
          <w:rStyle w:val="af7"/>
          <w:rFonts w:eastAsia="Guttman Hodes"/>
          <w:rtl/>
        </w:rPr>
        <w:fldChar w:fldCharType="end"/>
      </w:r>
      <w:r>
        <w:rPr>
          <w:rFonts w:hint="cs"/>
          <w:rtl/>
        </w:rPr>
        <w:t xml:space="preserve"> דכתב דחלב דבן ט' מת מותר לכו"ע, דחדשים לא גרמי בלא חיות, והקשה </w:t>
      </w:r>
      <w:r w:rsidRPr="00B100F0">
        <w:rPr>
          <w:rStyle w:val="af9"/>
          <w:rFonts w:hint="cs"/>
          <w:rtl/>
        </w:rPr>
        <w:t>האמ</w:t>
      </w:r>
      <w:r>
        <w:rPr>
          <w:rStyle w:val="af9"/>
          <w:rFonts w:hint="cs"/>
          <w:rtl/>
        </w:rPr>
        <w:t>ר</w:t>
      </w:r>
      <w:r w:rsidRPr="00B100F0">
        <w:rPr>
          <w:rStyle w:val="af9"/>
          <w:rFonts w:hint="cs"/>
          <w:rtl/>
        </w:rPr>
        <w:t>י משה</w:t>
      </w:r>
      <w:r>
        <w:rPr>
          <w:rFonts w:hint="cs"/>
          <w:rtl/>
        </w:rPr>
        <w:t xml:space="preserve"> דכיון שהיה חי מתחילה ונאסר החלב, היאך הוא מותר אח"כ כשמת, וכתב </w:t>
      </w:r>
      <w:r w:rsidRPr="00B100F0">
        <w:rPr>
          <w:rStyle w:val="af9"/>
          <w:rFonts w:hint="cs"/>
          <w:rtl/>
        </w:rPr>
        <w:t>האמרי משה</w:t>
      </w:r>
      <w:r>
        <w:rPr>
          <w:rFonts w:hint="cs"/>
          <w:rtl/>
        </w:rPr>
        <w:t xml:space="preserve"> דלולי דברי </w:t>
      </w:r>
      <w:r w:rsidRPr="00B100F0">
        <w:rPr>
          <w:rStyle w:val="af9"/>
          <w:rFonts w:hint="cs"/>
          <w:rtl/>
        </w:rPr>
        <w:t>המ"מ</w:t>
      </w:r>
      <w:r>
        <w:rPr>
          <w:rFonts w:hint="cs"/>
          <w:rtl/>
        </w:rPr>
        <w:t xml:space="preserve"> היה אפש"ל דבאמת ריו"ח אוסר אף בתולש חלב מבן ט' מת, והגמ' נקטה בן ט' חי לרבותא לומר דר"ל מתיר אף בבן ט' חי, אבל לריו"ח חייב גם בתולש ממת, ועי' במ"ש </w:t>
      </w:r>
      <w:r w:rsidRPr="004856E8">
        <w:rPr>
          <w:rStyle w:val="af9"/>
          <w:rFonts w:hint="cs"/>
          <w:rtl/>
        </w:rPr>
        <w:t>האמרי משה</w:t>
      </w:r>
      <w:r>
        <w:rPr>
          <w:rFonts w:hint="cs"/>
          <w:rtl/>
        </w:rPr>
        <w:t xml:space="preserve"> </w:t>
      </w:r>
      <w:r w:rsidRPr="004856E8">
        <w:rPr>
          <w:rStyle w:val="af7"/>
          <w:rFonts w:eastAsia="Guttman Hodes" w:hint="cs"/>
          <w:rtl/>
        </w:rPr>
        <w:t xml:space="preserve">(עי' אות </w:t>
      </w:r>
      <w:r w:rsidRPr="004856E8">
        <w:rPr>
          <w:rStyle w:val="af7"/>
          <w:rFonts w:eastAsia="Guttman Hodes"/>
          <w:rtl/>
        </w:rPr>
        <w:fldChar w:fldCharType="begin"/>
      </w:r>
      <w:r w:rsidRPr="004856E8">
        <w:rPr>
          <w:rStyle w:val="af7"/>
          <w:rFonts w:eastAsia="Guttman Hodes"/>
          <w:rtl/>
        </w:rPr>
        <w:instrText xml:space="preserve"> </w:instrText>
      </w:r>
      <w:r w:rsidRPr="004856E8">
        <w:rPr>
          <w:rStyle w:val="af7"/>
          <w:rFonts w:eastAsia="Guttman Hodes" w:hint="cs"/>
        </w:rPr>
        <w:instrText>REF</w:instrText>
      </w:r>
      <w:r w:rsidRPr="004856E8">
        <w:rPr>
          <w:rStyle w:val="af7"/>
          <w:rFonts w:eastAsia="Guttman Hodes" w:hint="cs"/>
          <w:rtl/>
        </w:rPr>
        <w:instrText xml:space="preserve"> _</w:instrText>
      </w:r>
      <w:r w:rsidRPr="004856E8">
        <w:rPr>
          <w:rStyle w:val="af7"/>
          <w:rFonts w:eastAsia="Guttman Hodes" w:hint="cs"/>
        </w:rPr>
        <w:instrText>Ref4011758 \r \h</w:instrText>
      </w:r>
      <w:r w:rsidRPr="004856E8">
        <w:rPr>
          <w:rStyle w:val="af7"/>
          <w:rFonts w:eastAsia="Guttman Hodes"/>
          <w:rtl/>
        </w:rPr>
        <w:instrText xml:space="preserve"> </w:instrText>
      </w:r>
      <w:r w:rsidRPr="004856E8">
        <w:rPr>
          <w:rStyle w:val="af7"/>
          <w:rFonts w:eastAsia="Guttman Hodes"/>
          <w:rtl/>
        </w:rPr>
      </w:r>
      <w:r w:rsidRPr="004856E8">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4856E8">
        <w:rPr>
          <w:rStyle w:val="af7"/>
          <w:rFonts w:eastAsia="Guttman Hodes"/>
          <w:rtl/>
        </w:rPr>
        <w:fldChar w:fldCharType="end"/>
      </w:r>
      <w:r>
        <w:rPr>
          <w:rFonts w:hint="cs"/>
          <w:rtl/>
        </w:rPr>
        <w:t xml:space="preserve"> במסקנת דבריו.</w:t>
      </w:r>
      <w:bookmarkEnd w:id="24766"/>
    </w:p>
    <w:p w14:paraId="3B481297" w14:textId="77777777" w:rsidR="003D504D" w:rsidRPr="00B21255" w:rsidRDefault="003D504D" w:rsidP="003D504D">
      <w:pPr>
        <w:pStyle w:val="a3"/>
        <w:rPr>
          <w:rtl/>
        </w:rPr>
      </w:pPr>
      <w:bookmarkStart w:id="24767" w:name="_Toc4012331"/>
      <w:bookmarkStart w:id="24768" w:name="_Toc4013362"/>
      <w:bookmarkStart w:id="24769" w:name="_Toc4022870"/>
      <w:bookmarkStart w:id="24770" w:name="_Toc4026695"/>
      <w:bookmarkStart w:id="24771" w:name="_Toc4139495"/>
      <w:bookmarkStart w:id="24772" w:name="_Toc4151589"/>
      <w:bookmarkStart w:id="24773" w:name="_Toc19392038"/>
      <w:bookmarkStart w:id="24774" w:name="_Toc19395535"/>
      <w:r>
        <w:rPr>
          <w:rFonts w:hint="cs"/>
          <w:rtl/>
        </w:rPr>
        <w:t>דברי האמר"מ דמבואר ברמב"ם דרק בנשחטה האם מותר חלב בן ט' מת אבל בתלש אסור אף במת</w:t>
      </w:r>
      <w:bookmarkEnd w:id="24767"/>
      <w:bookmarkEnd w:id="24768"/>
      <w:bookmarkEnd w:id="24769"/>
      <w:bookmarkEnd w:id="24770"/>
      <w:bookmarkEnd w:id="24771"/>
      <w:bookmarkEnd w:id="24772"/>
      <w:bookmarkEnd w:id="24773"/>
      <w:bookmarkEnd w:id="24774"/>
      <w:r>
        <w:rPr>
          <w:rFonts w:hint="cs"/>
          <w:rtl/>
        </w:rPr>
        <w:t xml:space="preserve"> </w:t>
      </w:r>
    </w:p>
    <w:p w14:paraId="56FE0C09" w14:textId="77777777" w:rsidR="003D504D" w:rsidRDefault="003D504D" w:rsidP="00223668">
      <w:pPr>
        <w:pStyle w:val="a0"/>
        <w:rPr>
          <w:rtl/>
        </w:rPr>
      </w:pPr>
      <w:r>
        <w:rPr>
          <w:rFonts w:hint="cs"/>
          <w:rtl/>
        </w:rPr>
        <w:t xml:space="preserve">וכתב </w:t>
      </w:r>
      <w:r w:rsidRPr="005132C2">
        <w:rPr>
          <w:rStyle w:val="af9"/>
          <w:rFonts w:hint="cs"/>
          <w:rtl/>
        </w:rPr>
        <w:t>האמרי משה</w:t>
      </w:r>
      <w:r>
        <w:rPr>
          <w:rFonts w:hint="cs"/>
          <w:rtl/>
        </w:rPr>
        <w:t xml:space="preserve"> דכן מוכח מדברי </w:t>
      </w:r>
      <w:r w:rsidRPr="005132C2">
        <w:rPr>
          <w:rStyle w:val="af9"/>
          <w:rFonts w:hint="cs"/>
          <w:rtl/>
        </w:rPr>
        <w:t>הרמב"ם</w:t>
      </w:r>
      <w:r>
        <w:rPr>
          <w:rFonts w:hint="cs"/>
          <w:rtl/>
        </w:rPr>
        <w:t xml:space="preserve"> </w:t>
      </w:r>
      <w:r w:rsidRPr="00EF6708">
        <w:rPr>
          <w:rStyle w:val="af7"/>
          <w:rFonts w:eastAsia="Guttman Hodes" w:hint="cs"/>
          <w:rtl/>
        </w:rPr>
        <w:t xml:space="preserve">(עי' אות </w:t>
      </w:r>
      <w:r w:rsidRPr="00EF6708">
        <w:rPr>
          <w:rStyle w:val="af7"/>
          <w:rFonts w:eastAsia="Guttman Hodes"/>
          <w:rtl/>
        </w:rPr>
        <w:fldChar w:fldCharType="begin"/>
      </w:r>
      <w:r w:rsidRPr="00EF6708">
        <w:rPr>
          <w:rStyle w:val="af7"/>
          <w:rFonts w:eastAsia="Guttman Hodes"/>
          <w:rtl/>
        </w:rPr>
        <w:instrText xml:space="preserve"> </w:instrText>
      </w:r>
      <w:r w:rsidRPr="00EF6708">
        <w:rPr>
          <w:rStyle w:val="af7"/>
          <w:rFonts w:eastAsia="Guttman Hodes" w:hint="cs"/>
        </w:rPr>
        <w:instrText>REF</w:instrText>
      </w:r>
      <w:r w:rsidRPr="00EF6708">
        <w:rPr>
          <w:rStyle w:val="af7"/>
          <w:rFonts w:eastAsia="Guttman Hodes" w:hint="cs"/>
          <w:rtl/>
        </w:rPr>
        <w:instrText xml:space="preserve"> _</w:instrText>
      </w:r>
      <w:r w:rsidRPr="00EF6708">
        <w:rPr>
          <w:rStyle w:val="af7"/>
          <w:rFonts w:eastAsia="Guttman Hodes" w:hint="cs"/>
        </w:rPr>
        <w:instrText>Ref3132973 \r \h</w:instrText>
      </w:r>
      <w:r w:rsidRPr="00EF6708">
        <w:rPr>
          <w:rStyle w:val="af7"/>
          <w:rFonts w:eastAsia="Guttman Hodes"/>
          <w:rtl/>
        </w:rPr>
        <w:instrText xml:space="preserve"> </w:instrText>
      </w:r>
      <w:r w:rsidRPr="00EF6708">
        <w:rPr>
          <w:rStyle w:val="af7"/>
          <w:rFonts w:eastAsia="Guttman Hodes"/>
          <w:rtl/>
        </w:rPr>
      </w:r>
      <w:r w:rsidRPr="00EF6708">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EF6708">
        <w:rPr>
          <w:rStyle w:val="af7"/>
          <w:rFonts w:eastAsia="Guttman Hodes"/>
          <w:rtl/>
        </w:rPr>
        <w:fldChar w:fldCharType="end"/>
      </w:r>
      <w:r>
        <w:rPr>
          <w:rFonts w:hint="cs"/>
          <w:rtl/>
        </w:rPr>
        <w:t xml:space="preserve"> דכשפסק את דינא דריו"ח דהלתולש חלב מבן ט' חייב, לא כתב </w:t>
      </w:r>
      <w:r w:rsidRPr="005132C2">
        <w:rPr>
          <w:rStyle w:val="af9"/>
          <w:rFonts w:hint="cs"/>
          <w:rtl/>
        </w:rPr>
        <w:t>הרמב"ם</w:t>
      </w:r>
      <w:r>
        <w:rPr>
          <w:rFonts w:hint="cs"/>
          <w:rtl/>
        </w:rPr>
        <w:t xml:space="preserve"> דהוא דוקא בבן ט' חי, אלא כתב בסתמא דתלש מעובר שכלו לו חדשיו, ואילו באיסור חלב מבן ט' שנשחטה אמו, כתב </w:t>
      </w:r>
      <w:r w:rsidRPr="005132C2">
        <w:rPr>
          <w:rStyle w:val="af9"/>
          <w:rFonts w:hint="cs"/>
          <w:rtl/>
        </w:rPr>
        <w:t>הרמב"ם</w:t>
      </w:r>
      <w:r>
        <w:rPr>
          <w:rFonts w:hint="cs"/>
          <w:rtl/>
        </w:rPr>
        <w:t xml:space="preserve"> </w:t>
      </w:r>
      <w:r w:rsidRPr="00EF6708">
        <w:rPr>
          <w:rStyle w:val="af7"/>
          <w:rFonts w:eastAsia="Guttman Hodes" w:hint="cs"/>
          <w:rtl/>
        </w:rPr>
        <w:t xml:space="preserve">(עי' אות </w:t>
      </w:r>
      <w:r w:rsidRPr="00EF6708">
        <w:rPr>
          <w:rStyle w:val="af7"/>
          <w:rFonts w:eastAsia="Guttman Hodes"/>
          <w:rtl/>
        </w:rPr>
        <w:fldChar w:fldCharType="begin"/>
      </w:r>
      <w:r w:rsidRPr="00EF6708">
        <w:rPr>
          <w:rStyle w:val="af7"/>
          <w:rFonts w:eastAsia="Guttman Hodes"/>
          <w:rtl/>
        </w:rPr>
        <w:instrText xml:space="preserve"> </w:instrText>
      </w:r>
      <w:r w:rsidRPr="00EF6708">
        <w:rPr>
          <w:rStyle w:val="af7"/>
          <w:rFonts w:eastAsia="Guttman Hodes" w:hint="cs"/>
        </w:rPr>
        <w:instrText>REF</w:instrText>
      </w:r>
      <w:r w:rsidRPr="00EF6708">
        <w:rPr>
          <w:rStyle w:val="af7"/>
          <w:rFonts w:eastAsia="Guttman Hodes" w:hint="cs"/>
          <w:rtl/>
        </w:rPr>
        <w:instrText xml:space="preserve"> _</w:instrText>
      </w:r>
      <w:r w:rsidRPr="00EF6708">
        <w:rPr>
          <w:rStyle w:val="af7"/>
          <w:rFonts w:eastAsia="Guttman Hodes" w:hint="cs"/>
        </w:rPr>
        <w:instrText>Ref3145560 \r \h</w:instrText>
      </w:r>
      <w:r w:rsidRPr="00EF6708">
        <w:rPr>
          <w:rStyle w:val="af7"/>
          <w:rFonts w:eastAsia="Guttman Hodes"/>
          <w:rtl/>
        </w:rPr>
        <w:instrText xml:space="preserve"> </w:instrText>
      </w:r>
      <w:r w:rsidRPr="00EF6708">
        <w:rPr>
          <w:rStyle w:val="af7"/>
          <w:rFonts w:eastAsia="Guttman Hodes"/>
          <w:rtl/>
        </w:rPr>
      </w:r>
      <w:r w:rsidRPr="00EF6708">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EF6708">
        <w:rPr>
          <w:rStyle w:val="af7"/>
          <w:rFonts w:eastAsia="Guttman Hodes"/>
          <w:rtl/>
        </w:rPr>
        <w:fldChar w:fldCharType="end"/>
      </w:r>
      <w:r w:rsidRPr="00EF6708">
        <w:rPr>
          <w:rStyle w:val="af7"/>
          <w:rFonts w:eastAsia="Guttman Hodes" w:hint="cs"/>
          <w:rtl/>
        </w:rPr>
        <w:t xml:space="preserve"> </w:t>
      </w:r>
      <w:r>
        <w:rPr>
          <w:rFonts w:hint="cs"/>
          <w:rtl/>
        </w:rPr>
        <w:t xml:space="preserve">להדיא דאיירי בשלמו לו חדשיו ומצאו חי, ומותר בשחיטת אמו וחלבו אסור, וכתב </w:t>
      </w:r>
      <w:r w:rsidRPr="005132C2">
        <w:rPr>
          <w:rStyle w:val="af9"/>
          <w:rFonts w:hint="cs"/>
          <w:rtl/>
        </w:rPr>
        <w:t>האמרי משה</w:t>
      </w:r>
      <w:r>
        <w:rPr>
          <w:rFonts w:hint="cs"/>
          <w:rtl/>
        </w:rPr>
        <w:t xml:space="preserve"> דמוכח מדברי </w:t>
      </w:r>
      <w:r w:rsidRPr="005132C2">
        <w:rPr>
          <w:rStyle w:val="af9"/>
          <w:rFonts w:hint="cs"/>
          <w:rtl/>
        </w:rPr>
        <w:t>הרמב"ם</w:t>
      </w:r>
      <w:r>
        <w:rPr>
          <w:rFonts w:hint="cs"/>
          <w:rtl/>
        </w:rPr>
        <w:t xml:space="preserve"> דדוקא בנשחט בשחיטת אמו אוסר </w:t>
      </w:r>
      <w:r w:rsidRPr="005132C2">
        <w:rPr>
          <w:rStyle w:val="af9"/>
          <w:rFonts w:hint="cs"/>
          <w:rtl/>
        </w:rPr>
        <w:t>הרמב"ם</w:t>
      </w:r>
      <w:r>
        <w:rPr>
          <w:rFonts w:hint="cs"/>
          <w:rtl/>
        </w:rPr>
        <w:t xml:space="preserve"> את חלבו אף בבן ט' בחי, אבל בתלש חלב ס"ל להרמב"ם דאף בתולש מבן ט' מת חלבו אסור. </w:t>
      </w:r>
    </w:p>
    <w:p w14:paraId="6B20A5A9" w14:textId="77777777" w:rsidR="003D504D" w:rsidRDefault="003D504D" w:rsidP="00BF39B2">
      <w:pPr>
        <w:pStyle w:val="1"/>
        <w:rPr>
          <w:rtl/>
        </w:rPr>
      </w:pPr>
      <w:bookmarkStart w:id="24775" w:name="_Toc4013363"/>
      <w:bookmarkStart w:id="24776" w:name="_Toc4022871"/>
      <w:bookmarkStart w:id="24777" w:name="_Toc4026696"/>
      <w:bookmarkStart w:id="24778" w:name="_Toc4139496"/>
      <w:bookmarkStart w:id="24779" w:name="_Toc4151590"/>
      <w:bookmarkStart w:id="24780" w:name="_Toc19392039"/>
      <w:bookmarkStart w:id="24781" w:name="_Toc19395536"/>
      <w:bookmarkStart w:id="24782" w:name="_Toc4012332"/>
      <w:r>
        <w:rPr>
          <w:rFonts w:hint="cs"/>
          <w:rtl/>
        </w:rPr>
        <w:t>מסקנת האמר"מ דהרמב"ם כתוס' דאף לריו"ח בעינן אויר העולם</w:t>
      </w:r>
      <w:bookmarkEnd w:id="24775"/>
      <w:bookmarkEnd w:id="24776"/>
      <w:bookmarkEnd w:id="24777"/>
      <w:bookmarkEnd w:id="24778"/>
      <w:bookmarkEnd w:id="24779"/>
      <w:bookmarkEnd w:id="24780"/>
      <w:bookmarkEnd w:id="24781"/>
    </w:p>
    <w:p w14:paraId="5E802FEA" w14:textId="77777777" w:rsidR="003D504D" w:rsidRPr="005132C2" w:rsidRDefault="003D504D" w:rsidP="003D504D">
      <w:pPr>
        <w:pStyle w:val="a3"/>
        <w:rPr>
          <w:rtl/>
        </w:rPr>
      </w:pPr>
      <w:bookmarkStart w:id="24783" w:name="_Toc4013364"/>
      <w:bookmarkStart w:id="24784" w:name="_Toc4022872"/>
      <w:bookmarkStart w:id="24785" w:name="_Toc4026697"/>
      <w:bookmarkStart w:id="24786" w:name="_Toc4139497"/>
      <w:bookmarkStart w:id="24787" w:name="_Toc4151591"/>
      <w:bookmarkStart w:id="24788" w:name="_Toc19392040"/>
      <w:bookmarkStart w:id="24789" w:name="_Toc19395537"/>
      <w:r>
        <w:rPr>
          <w:rFonts w:hint="cs"/>
          <w:rtl/>
        </w:rPr>
        <w:t>דברי האמר"מ דמוכח דהרמב"ם ס"ל כתוס' דלריו"ח בעינן חדשים ואוירא ובתלש איכא אוירא</w:t>
      </w:r>
      <w:bookmarkEnd w:id="24782"/>
      <w:bookmarkEnd w:id="24783"/>
      <w:bookmarkEnd w:id="24784"/>
      <w:bookmarkEnd w:id="24785"/>
      <w:bookmarkEnd w:id="24786"/>
      <w:bookmarkEnd w:id="24787"/>
      <w:bookmarkEnd w:id="24788"/>
      <w:bookmarkEnd w:id="24789"/>
    </w:p>
    <w:p w14:paraId="76BB1705" w14:textId="77777777" w:rsidR="003D504D" w:rsidRDefault="003D504D" w:rsidP="00223668">
      <w:pPr>
        <w:pStyle w:val="a0"/>
        <w:rPr>
          <w:rtl/>
        </w:rPr>
      </w:pPr>
      <w:bookmarkStart w:id="24790" w:name="_Ref4015199"/>
      <w:r>
        <w:rPr>
          <w:rFonts w:hint="cs"/>
          <w:rtl/>
        </w:rPr>
        <w:t xml:space="preserve">אך כתב </w:t>
      </w:r>
      <w:r w:rsidRPr="005132C2">
        <w:rPr>
          <w:rStyle w:val="af9"/>
          <w:rFonts w:hint="cs"/>
          <w:rtl/>
        </w:rPr>
        <w:t>האמרי משה</w:t>
      </w:r>
      <w:r>
        <w:rPr>
          <w:rFonts w:hint="cs"/>
          <w:rtl/>
        </w:rPr>
        <w:t xml:space="preserve"> דא"כ צ"ב מהי הסברא לחלק בין תלש חלב מבן ט' מת והוציאו לפני השחיטה דאסור, לבין אם מצא בן ט' מת אחר השחיטה דחלבו מותר, אלא ביאר </w:t>
      </w:r>
      <w:r w:rsidRPr="005132C2">
        <w:rPr>
          <w:rStyle w:val="af9"/>
          <w:rFonts w:hint="cs"/>
          <w:rtl/>
        </w:rPr>
        <w:t>האמרי משה</w:t>
      </w:r>
      <w:r>
        <w:rPr>
          <w:rFonts w:hint="cs"/>
          <w:rtl/>
        </w:rPr>
        <w:t xml:space="preserve"> </w:t>
      </w:r>
      <w:r w:rsidRPr="001B619E">
        <w:rPr>
          <w:rStyle w:val="af7"/>
          <w:rFonts w:eastAsia="Guttman Hodes" w:hint="cs"/>
          <w:rtl/>
        </w:rPr>
        <w:t>(סי' ד' אות כ"ב)</w:t>
      </w:r>
      <w:r>
        <w:rPr>
          <w:rFonts w:hint="cs"/>
          <w:rtl/>
        </w:rPr>
        <w:t xml:space="preserve"> דס"ל </w:t>
      </w:r>
      <w:r w:rsidRPr="005132C2">
        <w:rPr>
          <w:rStyle w:val="af9"/>
          <w:rFonts w:hint="cs"/>
          <w:rtl/>
        </w:rPr>
        <w:t>להרמב"ם</w:t>
      </w:r>
      <w:r>
        <w:rPr>
          <w:rFonts w:hint="cs"/>
          <w:rtl/>
        </w:rPr>
        <w:t xml:space="preserve"> כדעת </w:t>
      </w:r>
      <w:r w:rsidRPr="00D32F9F">
        <w:rPr>
          <w:rStyle w:val="af9"/>
          <w:rFonts w:hint="cs"/>
          <w:rtl/>
        </w:rPr>
        <w:t xml:space="preserve">התוס' </w:t>
      </w:r>
      <w:r w:rsidRPr="00D32F9F">
        <w:rPr>
          <w:rStyle w:val="af7"/>
          <w:rFonts w:eastAsia="Guttman Hodes" w:hint="cs"/>
          <w:rtl/>
        </w:rPr>
        <w:t xml:space="preserve">(עי' אות </w:t>
      </w:r>
      <w:r w:rsidRPr="00D32F9F">
        <w:rPr>
          <w:rStyle w:val="af7"/>
          <w:rFonts w:eastAsia="Guttman Hodes"/>
          <w:rtl/>
        </w:rPr>
        <w:fldChar w:fldCharType="begin"/>
      </w:r>
      <w:r w:rsidRPr="00D32F9F">
        <w:rPr>
          <w:rStyle w:val="af7"/>
          <w:rFonts w:eastAsia="Guttman Hodes"/>
          <w:rtl/>
        </w:rPr>
        <w:instrText xml:space="preserve"> </w:instrText>
      </w:r>
      <w:r w:rsidRPr="00D32F9F">
        <w:rPr>
          <w:rStyle w:val="af7"/>
          <w:rFonts w:eastAsia="Guttman Hodes" w:hint="cs"/>
        </w:rPr>
        <w:instrText>REF</w:instrText>
      </w:r>
      <w:r w:rsidRPr="00D32F9F">
        <w:rPr>
          <w:rStyle w:val="af7"/>
          <w:rFonts w:eastAsia="Guttman Hodes" w:hint="cs"/>
          <w:rtl/>
        </w:rPr>
        <w:instrText xml:space="preserve"> _</w:instrText>
      </w:r>
      <w:r w:rsidRPr="00D32F9F">
        <w:rPr>
          <w:rStyle w:val="af7"/>
          <w:rFonts w:eastAsia="Guttman Hodes" w:hint="cs"/>
        </w:rPr>
        <w:instrText>Ref4143378 \r \h</w:instrText>
      </w:r>
      <w:r w:rsidRPr="00D32F9F">
        <w:rPr>
          <w:rStyle w:val="af7"/>
          <w:rFonts w:eastAsia="Guttman Hodes"/>
          <w:rtl/>
        </w:rPr>
        <w:instrText xml:space="preserve"> </w:instrText>
      </w:r>
      <w:r w:rsidRPr="00D32F9F">
        <w:rPr>
          <w:rStyle w:val="af7"/>
          <w:rFonts w:eastAsia="Guttman Hodes"/>
          <w:rtl/>
        </w:rPr>
      </w:r>
      <w:r w:rsidRPr="00D32F9F">
        <w:rPr>
          <w:rStyle w:val="af7"/>
          <w:rFonts w:eastAsia="Guttman Hodes"/>
          <w:rtl/>
        </w:rPr>
        <w:fldChar w:fldCharType="separate"/>
      </w:r>
      <w:r w:rsidR="00345400">
        <w:rPr>
          <w:rStyle w:val="af7"/>
          <w:rFonts w:eastAsia="Guttman Hodes"/>
          <w:cs/>
        </w:rPr>
        <w:t>‎</w:t>
      </w:r>
      <w:r w:rsidR="00345400">
        <w:rPr>
          <w:rStyle w:val="af7"/>
          <w:rFonts w:eastAsia="Guttman Hodes"/>
          <w:rtl/>
        </w:rPr>
        <w:t>יד)</w:t>
      </w:r>
      <w:r w:rsidRPr="00D32F9F">
        <w:rPr>
          <w:rStyle w:val="af7"/>
          <w:rFonts w:eastAsia="Guttman Hodes"/>
          <w:rtl/>
        </w:rPr>
        <w:fldChar w:fldCharType="end"/>
      </w:r>
      <w:r w:rsidRPr="00C157EB">
        <w:rPr>
          <w:rFonts w:hint="cs"/>
          <w:rtl/>
        </w:rPr>
        <w:t xml:space="preserve"> </w:t>
      </w:r>
      <w:r>
        <w:rPr>
          <w:rFonts w:hint="cs"/>
          <w:rtl/>
        </w:rPr>
        <w:t xml:space="preserve">דאף לריו"ח בעינן אויר העולם, וכל שלא יצא החלב לאויר העולם החלב מותר דאעפ"י דס"ל </w:t>
      </w:r>
      <w:r w:rsidRPr="001B619E">
        <w:rPr>
          <w:rStyle w:val="af9"/>
          <w:rFonts w:hint="cs"/>
          <w:rtl/>
        </w:rPr>
        <w:t>להרמב"ם</w:t>
      </w:r>
      <w:r>
        <w:rPr>
          <w:rFonts w:hint="cs"/>
          <w:rtl/>
        </w:rPr>
        <w:t xml:space="preserve"> דשחיטה אינה מתירה את איסור חלב, מ"מ כל שלא יצא לאויר הוא חשיב כבשר ומותר בשחיטת אמו, וכ"כ </w:t>
      </w:r>
      <w:r w:rsidRPr="000311B9">
        <w:rPr>
          <w:rStyle w:val="af9"/>
          <w:rFonts w:hint="cs"/>
          <w:rtl/>
        </w:rPr>
        <w:t>הא</w:t>
      </w:r>
      <w:r>
        <w:rPr>
          <w:rStyle w:val="af9"/>
          <w:rFonts w:hint="cs"/>
          <w:rtl/>
        </w:rPr>
        <w:t>בי עזרי</w:t>
      </w:r>
      <w:r>
        <w:rPr>
          <w:rFonts w:hint="cs"/>
          <w:rtl/>
        </w:rPr>
        <w:t xml:space="preserve"> </w:t>
      </w:r>
      <w:r w:rsidRPr="00EA5FAC">
        <w:rPr>
          <w:rStyle w:val="af7"/>
          <w:rFonts w:eastAsia="Guttman Hodes" w:hint="cs"/>
          <w:rtl/>
        </w:rPr>
        <w:t xml:space="preserve">(עי' אות </w:t>
      </w:r>
      <w:r w:rsidRPr="00EA5FAC">
        <w:rPr>
          <w:rStyle w:val="af7"/>
          <w:rFonts w:eastAsia="Guttman Hodes"/>
          <w:rtl/>
        </w:rPr>
        <w:fldChar w:fldCharType="begin"/>
      </w:r>
      <w:r w:rsidRPr="00EA5FAC">
        <w:rPr>
          <w:rStyle w:val="af7"/>
          <w:rFonts w:eastAsia="Guttman Hodes"/>
          <w:rtl/>
        </w:rPr>
        <w:instrText xml:space="preserve"> </w:instrText>
      </w:r>
      <w:r w:rsidRPr="00EA5FAC">
        <w:rPr>
          <w:rStyle w:val="af7"/>
          <w:rFonts w:eastAsia="Guttman Hodes" w:hint="cs"/>
        </w:rPr>
        <w:instrText>REF</w:instrText>
      </w:r>
      <w:r w:rsidRPr="00EA5FAC">
        <w:rPr>
          <w:rStyle w:val="af7"/>
          <w:rFonts w:eastAsia="Guttman Hodes" w:hint="cs"/>
          <w:rtl/>
        </w:rPr>
        <w:instrText xml:space="preserve"> _</w:instrText>
      </w:r>
      <w:r w:rsidRPr="00EA5FAC">
        <w:rPr>
          <w:rStyle w:val="af7"/>
          <w:rFonts w:eastAsia="Guttman Hodes" w:hint="cs"/>
        </w:rPr>
        <w:instrText>Ref3201282 \r \h</w:instrText>
      </w:r>
      <w:r w:rsidRPr="00EA5FAC">
        <w:rPr>
          <w:rStyle w:val="af7"/>
          <w:rFonts w:eastAsia="Guttman Hodes"/>
          <w:rtl/>
        </w:rPr>
        <w:instrText xml:space="preserve"> </w:instrText>
      </w:r>
      <w:r w:rsidRPr="00EA5FAC">
        <w:rPr>
          <w:rStyle w:val="af7"/>
          <w:rFonts w:eastAsia="Guttman Hodes"/>
          <w:rtl/>
        </w:rPr>
      </w:r>
      <w:r w:rsidRPr="00EA5FAC">
        <w:rPr>
          <w:rStyle w:val="af7"/>
          <w:rFonts w:eastAsia="Guttman Hodes"/>
          <w:rtl/>
        </w:rPr>
        <w:fldChar w:fldCharType="separate"/>
      </w:r>
      <w:r w:rsidR="00345400">
        <w:rPr>
          <w:rStyle w:val="af7"/>
          <w:rFonts w:eastAsia="Guttman Hodes"/>
          <w:cs/>
        </w:rPr>
        <w:t>‎</w:t>
      </w:r>
      <w:r w:rsidR="00345400">
        <w:rPr>
          <w:rStyle w:val="af7"/>
          <w:rFonts w:eastAsia="Guttman Hodes"/>
          <w:rtl/>
        </w:rPr>
        <w:t>צח)</w:t>
      </w:r>
      <w:r w:rsidRPr="00EA5FAC">
        <w:rPr>
          <w:rStyle w:val="af7"/>
          <w:rFonts w:eastAsia="Guttman Hodes"/>
          <w:rtl/>
        </w:rPr>
        <w:fldChar w:fldCharType="end"/>
      </w:r>
      <w:r>
        <w:rPr>
          <w:rFonts w:hint="cs"/>
          <w:rtl/>
        </w:rPr>
        <w:t xml:space="preserve"> </w:t>
      </w:r>
      <w:r w:rsidRPr="000311B9">
        <w:rPr>
          <w:rStyle w:val="af9"/>
          <w:rFonts w:hint="cs"/>
          <w:rtl/>
        </w:rPr>
        <w:t>דהרמב"ם</w:t>
      </w:r>
      <w:r>
        <w:rPr>
          <w:rFonts w:hint="cs"/>
          <w:rtl/>
        </w:rPr>
        <w:t xml:space="preserve"> ס"ל </w:t>
      </w:r>
      <w:r w:rsidRPr="000311B9">
        <w:rPr>
          <w:rStyle w:val="af9"/>
          <w:rFonts w:hint="cs"/>
          <w:rtl/>
        </w:rPr>
        <w:t>כהתוס'</w:t>
      </w:r>
      <w:r>
        <w:rPr>
          <w:rFonts w:hint="cs"/>
          <w:rtl/>
        </w:rPr>
        <w:t>, דלריו"ח בעינן חדשים ואויר העולם.</w:t>
      </w:r>
      <w:bookmarkEnd w:id="24790"/>
    </w:p>
    <w:p w14:paraId="026F140E" w14:textId="77777777" w:rsidR="003D504D" w:rsidRDefault="003D504D" w:rsidP="003D504D">
      <w:pPr>
        <w:pStyle w:val="a3"/>
        <w:rPr>
          <w:rtl/>
        </w:rPr>
      </w:pPr>
      <w:bookmarkStart w:id="24791" w:name="_Toc4012333"/>
      <w:bookmarkStart w:id="24792" w:name="_Toc4013365"/>
      <w:bookmarkStart w:id="24793" w:name="_Toc4022873"/>
      <w:bookmarkStart w:id="24794" w:name="_Toc4026698"/>
      <w:bookmarkStart w:id="24795" w:name="_Toc4139498"/>
      <w:bookmarkStart w:id="24796" w:name="_Toc4151592"/>
      <w:bookmarkStart w:id="24797" w:name="_Toc19392041"/>
      <w:bookmarkStart w:id="24798" w:name="_Toc19395538"/>
      <w:r>
        <w:rPr>
          <w:rFonts w:hint="cs"/>
          <w:rtl/>
        </w:rPr>
        <w:t>דברי האמר"מ דלריו"ח בין בתלש והוציא לחוץ ובין בנשחטה האם</w:t>
      </w:r>
      <w:r w:rsidRPr="00A04CC5">
        <w:rPr>
          <w:rFonts w:hint="cs"/>
          <w:rtl/>
        </w:rPr>
        <w:t xml:space="preserve"> </w:t>
      </w:r>
      <w:r>
        <w:rPr>
          <w:rFonts w:hint="cs"/>
          <w:rtl/>
        </w:rPr>
        <w:t>נאסר החלב כשיצא לאויר</w:t>
      </w:r>
      <w:bookmarkEnd w:id="24791"/>
      <w:bookmarkEnd w:id="24792"/>
      <w:bookmarkEnd w:id="24793"/>
      <w:bookmarkEnd w:id="24794"/>
      <w:bookmarkEnd w:id="24795"/>
      <w:bookmarkEnd w:id="24796"/>
      <w:bookmarkEnd w:id="24797"/>
      <w:bookmarkEnd w:id="24798"/>
    </w:p>
    <w:p w14:paraId="7A610CAA" w14:textId="77777777" w:rsidR="003D504D" w:rsidRDefault="003D504D" w:rsidP="00223668">
      <w:pPr>
        <w:pStyle w:val="a0"/>
        <w:rPr>
          <w:rtl/>
        </w:rPr>
      </w:pPr>
      <w:bookmarkStart w:id="24799" w:name="_Ref4011361"/>
      <w:r>
        <w:rPr>
          <w:rFonts w:hint="cs"/>
          <w:rtl/>
        </w:rPr>
        <w:t xml:space="preserve">ובזה ביאר </w:t>
      </w:r>
      <w:r w:rsidRPr="00DD28D0">
        <w:rPr>
          <w:rStyle w:val="af9"/>
          <w:rFonts w:hint="cs"/>
          <w:rtl/>
        </w:rPr>
        <w:t>האמרי משה</w:t>
      </w:r>
      <w:r>
        <w:rPr>
          <w:rFonts w:hint="cs"/>
          <w:rtl/>
        </w:rPr>
        <w:t xml:space="preserve"> את פלוגתת ריו"ח ור"ל בתלש חלב, דדוקא כשהוציאו לחוץ ס"ל לריו"ח דיש בו איסור חלב, ולכן נקט גם </w:t>
      </w:r>
      <w:r w:rsidRPr="00DD28D0">
        <w:rPr>
          <w:rStyle w:val="af9"/>
          <w:rFonts w:hint="cs"/>
          <w:rtl/>
        </w:rPr>
        <w:t>הרמב"ם</w:t>
      </w:r>
      <w:r>
        <w:rPr>
          <w:rFonts w:hint="cs"/>
          <w:rtl/>
        </w:rPr>
        <w:t xml:space="preserve"> </w:t>
      </w:r>
      <w:r w:rsidRPr="00D75E9D">
        <w:rPr>
          <w:rStyle w:val="af7"/>
          <w:rFonts w:eastAsia="Guttman Hodes" w:hint="cs"/>
          <w:rtl/>
        </w:rPr>
        <w:t xml:space="preserve">(עי' אות </w:t>
      </w:r>
      <w:r w:rsidRPr="00D75E9D">
        <w:rPr>
          <w:rStyle w:val="af7"/>
          <w:rFonts w:eastAsia="Guttman Hodes"/>
          <w:rtl/>
        </w:rPr>
        <w:fldChar w:fldCharType="begin"/>
      </w:r>
      <w:r w:rsidRPr="00D75E9D">
        <w:rPr>
          <w:rStyle w:val="af7"/>
          <w:rFonts w:eastAsia="Guttman Hodes"/>
          <w:rtl/>
        </w:rPr>
        <w:instrText xml:space="preserve"> </w:instrText>
      </w:r>
      <w:r w:rsidRPr="00D75E9D">
        <w:rPr>
          <w:rStyle w:val="af7"/>
          <w:rFonts w:eastAsia="Guttman Hodes" w:hint="cs"/>
        </w:rPr>
        <w:instrText>REF</w:instrText>
      </w:r>
      <w:r w:rsidRPr="00D75E9D">
        <w:rPr>
          <w:rStyle w:val="af7"/>
          <w:rFonts w:eastAsia="Guttman Hodes" w:hint="cs"/>
          <w:rtl/>
        </w:rPr>
        <w:instrText xml:space="preserve"> _</w:instrText>
      </w:r>
      <w:r w:rsidRPr="00D75E9D">
        <w:rPr>
          <w:rStyle w:val="af7"/>
          <w:rFonts w:eastAsia="Guttman Hodes" w:hint="cs"/>
        </w:rPr>
        <w:instrText>Ref3132973 \r \h</w:instrText>
      </w:r>
      <w:r w:rsidRPr="00D75E9D">
        <w:rPr>
          <w:rStyle w:val="af7"/>
          <w:rFonts w:eastAsia="Guttman Hodes"/>
          <w:rtl/>
        </w:rPr>
        <w:instrText xml:space="preserve"> </w:instrText>
      </w:r>
      <w:r w:rsidRPr="00D75E9D">
        <w:rPr>
          <w:rStyle w:val="af7"/>
          <w:rFonts w:eastAsia="Guttman Hodes"/>
          <w:rtl/>
        </w:rPr>
      </w:r>
      <w:r w:rsidRPr="00D75E9D">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D75E9D">
        <w:rPr>
          <w:rStyle w:val="af7"/>
          <w:rFonts w:eastAsia="Guttman Hodes"/>
          <w:rtl/>
        </w:rPr>
        <w:fldChar w:fldCharType="end"/>
      </w:r>
      <w:r>
        <w:rPr>
          <w:rFonts w:hint="cs"/>
          <w:rtl/>
        </w:rPr>
        <w:t xml:space="preserve"> דהאיסור הוא דוקא בהוציאו לחוץ, וכדדייק </w:t>
      </w:r>
      <w:r w:rsidRPr="00DD28D0">
        <w:rPr>
          <w:rStyle w:val="af9"/>
          <w:rFonts w:hint="cs"/>
          <w:rtl/>
        </w:rPr>
        <w:t>הכס"מ</w:t>
      </w:r>
      <w:r>
        <w:rPr>
          <w:rFonts w:hint="cs"/>
          <w:rtl/>
        </w:rPr>
        <w:t xml:space="preserve"> </w:t>
      </w:r>
      <w:r w:rsidRPr="00D75E9D">
        <w:rPr>
          <w:rStyle w:val="af7"/>
          <w:rFonts w:eastAsia="Guttman Hodes" w:hint="cs"/>
          <w:rtl/>
        </w:rPr>
        <w:t xml:space="preserve">(עי' אות </w:t>
      </w:r>
      <w:r w:rsidRPr="00D75E9D">
        <w:rPr>
          <w:rStyle w:val="af7"/>
          <w:rFonts w:eastAsia="Guttman Hodes"/>
          <w:rtl/>
        </w:rPr>
        <w:fldChar w:fldCharType="begin"/>
      </w:r>
      <w:r w:rsidRPr="00D75E9D">
        <w:rPr>
          <w:rStyle w:val="af7"/>
          <w:rFonts w:eastAsia="Guttman Hodes"/>
          <w:rtl/>
        </w:rPr>
        <w:instrText xml:space="preserve"> </w:instrText>
      </w:r>
      <w:r w:rsidRPr="00D75E9D">
        <w:rPr>
          <w:rStyle w:val="af7"/>
          <w:rFonts w:eastAsia="Guttman Hodes" w:hint="cs"/>
        </w:rPr>
        <w:instrText>REF</w:instrText>
      </w:r>
      <w:r w:rsidRPr="00D75E9D">
        <w:rPr>
          <w:rStyle w:val="af7"/>
          <w:rFonts w:eastAsia="Guttman Hodes" w:hint="cs"/>
          <w:rtl/>
        </w:rPr>
        <w:instrText xml:space="preserve"> _</w:instrText>
      </w:r>
      <w:r w:rsidRPr="00D75E9D">
        <w:rPr>
          <w:rStyle w:val="af7"/>
          <w:rFonts w:eastAsia="Guttman Hodes" w:hint="cs"/>
        </w:rPr>
        <w:instrText>Ref4009004 \r \h</w:instrText>
      </w:r>
      <w:r w:rsidRPr="00D75E9D">
        <w:rPr>
          <w:rStyle w:val="af7"/>
          <w:rFonts w:eastAsia="Guttman Hodes"/>
          <w:rtl/>
        </w:rPr>
        <w:instrText xml:space="preserve"> </w:instrText>
      </w:r>
      <w:r w:rsidRPr="00D75E9D">
        <w:rPr>
          <w:rStyle w:val="af7"/>
          <w:rFonts w:eastAsia="Guttman Hodes"/>
          <w:rtl/>
        </w:rPr>
      </w:r>
      <w:r w:rsidRPr="00D75E9D">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D75E9D">
        <w:rPr>
          <w:rStyle w:val="af7"/>
          <w:rFonts w:eastAsia="Guttman Hodes"/>
          <w:rtl/>
        </w:rPr>
        <w:fldChar w:fldCharType="end"/>
      </w:r>
      <w:r>
        <w:rPr>
          <w:rFonts w:hint="cs"/>
          <w:rtl/>
        </w:rPr>
        <w:t xml:space="preserve">, דכל שלא יצא ממעי אמו דינו כבשר, ומותר בשחיטת האם, אבל בבן ט' חי דחל עליו איסור חלב, כשיצא לאויר העולם, ונקרא שה,  בזה ס"ל </w:t>
      </w:r>
      <w:r w:rsidRPr="00DD28D0">
        <w:rPr>
          <w:rStyle w:val="af9"/>
          <w:rFonts w:hint="cs"/>
          <w:rtl/>
        </w:rPr>
        <w:t>להרמב"ם</w:t>
      </w:r>
      <w:r>
        <w:rPr>
          <w:rFonts w:hint="cs"/>
          <w:rtl/>
        </w:rPr>
        <w:t xml:space="preserve"> דלא מהני שחיטת האם להתיר את חלבו, דכיון שחל עליו איסור חלב, אין כח בשחיטה להתיר איסורים. </w:t>
      </w:r>
      <w:r w:rsidRPr="00DD28D0">
        <w:rPr>
          <w:rStyle w:val="afb"/>
          <w:rFonts w:hint="cs"/>
          <w:rtl/>
        </w:rPr>
        <w:t xml:space="preserve">[וכתב </w:t>
      </w:r>
      <w:r w:rsidRPr="00DD28D0">
        <w:rPr>
          <w:rStyle w:val="affa"/>
          <w:rFonts w:hint="cs"/>
          <w:rtl/>
        </w:rPr>
        <w:t>האמרי משה</w:t>
      </w:r>
      <w:r w:rsidRPr="00DD28D0">
        <w:rPr>
          <w:rStyle w:val="afb"/>
          <w:rFonts w:hint="cs"/>
          <w:rtl/>
        </w:rPr>
        <w:t xml:space="preserve"> דאם היה אפשר לאכול את החלב במעי האם לא היה בו איסור חלב]</w:t>
      </w:r>
      <w:r>
        <w:rPr>
          <w:rStyle w:val="afb"/>
          <w:rFonts w:hint="cs"/>
          <w:rtl/>
        </w:rPr>
        <w:t>,</w:t>
      </w:r>
      <w:bookmarkEnd w:id="24799"/>
      <w:r>
        <w:rPr>
          <w:rStyle w:val="afb"/>
          <w:rFonts w:hint="cs"/>
          <w:rtl/>
        </w:rPr>
        <w:t xml:space="preserve"> </w:t>
      </w:r>
      <w:r>
        <w:rPr>
          <w:rFonts w:hint="cs"/>
          <w:rtl/>
        </w:rPr>
        <w:t xml:space="preserve">וביאר </w:t>
      </w:r>
      <w:r w:rsidRPr="00DD28D0">
        <w:rPr>
          <w:rStyle w:val="af9"/>
          <w:rFonts w:hint="cs"/>
          <w:rtl/>
        </w:rPr>
        <w:t>האמרי משה</w:t>
      </w:r>
      <w:r>
        <w:rPr>
          <w:rFonts w:hint="cs"/>
          <w:rtl/>
        </w:rPr>
        <w:t xml:space="preserve"> דחלות האיסור חלב אינו תלוי בשחיטה, אלא ביציאתו לאויר, ולכן בן ט' חי אעפ"י דדינו כשחוט, מ"מ חלבו אסור כיון שיצא לאויר ונקרא שה אף לאחר השחיטה.</w:t>
      </w:r>
    </w:p>
    <w:p w14:paraId="782FBCB5" w14:textId="77777777" w:rsidR="003D504D" w:rsidRPr="00D75E9D" w:rsidRDefault="003D504D" w:rsidP="003D504D">
      <w:pPr>
        <w:pStyle w:val="a3"/>
        <w:rPr>
          <w:rtl/>
        </w:rPr>
      </w:pPr>
      <w:bookmarkStart w:id="24800" w:name="_Toc4012334"/>
      <w:bookmarkStart w:id="24801" w:name="_Toc4013366"/>
      <w:bookmarkStart w:id="24802" w:name="_Toc4022874"/>
      <w:bookmarkStart w:id="24803" w:name="_Toc4026699"/>
      <w:bookmarkStart w:id="24804" w:name="_Toc4139499"/>
      <w:bookmarkStart w:id="24805" w:name="_Toc4151593"/>
      <w:bookmarkStart w:id="24806" w:name="_Toc19392042"/>
      <w:bookmarkStart w:id="24807" w:name="_Toc19395539"/>
      <w:r>
        <w:rPr>
          <w:rFonts w:hint="cs"/>
          <w:rtl/>
        </w:rPr>
        <w:t>ביאור האמר"מ דבתלש והניח בבהמה לא חל איסור חלב דלא יצא לאויר וכשיצא אח"כ אינו שה</w:t>
      </w:r>
      <w:bookmarkEnd w:id="24800"/>
      <w:bookmarkEnd w:id="24801"/>
      <w:bookmarkEnd w:id="24802"/>
      <w:bookmarkEnd w:id="24803"/>
      <w:bookmarkEnd w:id="24804"/>
      <w:bookmarkEnd w:id="24805"/>
      <w:bookmarkEnd w:id="24806"/>
      <w:bookmarkEnd w:id="24807"/>
    </w:p>
    <w:p w14:paraId="5A6772B3" w14:textId="77777777" w:rsidR="003D504D" w:rsidRDefault="003D504D" w:rsidP="00223668">
      <w:pPr>
        <w:pStyle w:val="a0"/>
        <w:rPr>
          <w:rtl/>
        </w:rPr>
      </w:pPr>
      <w:bookmarkStart w:id="24808" w:name="_Ref4011697"/>
      <w:r>
        <w:rPr>
          <w:rFonts w:hint="cs"/>
          <w:rtl/>
        </w:rPr>
        <w:t xml:space="preserve">אבל בדברי </w:t>
      </w:r>
      <w:r w:rsidRPr="00DA18CE">
        <w:rPr>
          <w:rStyle w:val="af9"/>
          <w:rFonts w:hint="cs"/>
          <w:rtl/>
        </w:rPr>
        <w:t>הכס"מ</w:t>
      </w:r>
      <w:r>
        <w:rPr>
          <w:rFonts w:hint="cs"/>
          <w:rtl/>
        </w:rPr>
        <w:t xml:space="preserve"> </w:t>
      </w:r>
      <w:r w:rsidRPr="00D75E9D">
        <w:rPr>
          <w:rStyle w:val="af7"/>
          <w:rFonts w:eastAsia="Guttman Hodes" w:hint="cs"/>
          <w:rtl/>
        </w:rPr>
        <w:t xml:space="preserve">(עי' אות </w:t>
      </w:r>
      <w:r w:rsidRPr="00D75E9D">
        <w:rPr>
          <w:rStyle w:val="af7"/>
          <w:rFonts w:eastAsia="Guttman Hodes"/>
          <w:rtl/>
        </w:rPr>
        <w:fldChar w:fldCharType="begin"/>
      </w:r>
      <w:r w:rsidRPr="00D75E9D">
        <w:rPr>
          <w:rStyle w:val="af7"/>
          <w:rFonts w:eastAsia="Guttman Hodes"/>
          <w:rtl/>
        </w:rPr>
        <w:instrText xml:space="preserve"> </w:instrText>
      </w:r>
      <w:r w:rsidRPr="00D75E9D">
        <w:rPr>
          <w:rStyle w:val="af7"/>
          <w:rFonts w:eastAsia="Guttman Hodes" w:hint="cs"/>
        </w:rPr>
        <w:instrText>REF</w:instrText>
      </w:r>
      <w:r w:rsidRPr="00D75E9D">
        <w:rPr>
          <w:rStyle w:val="af7"/>
          <w:rFonts w:eastAsia="Guttman Hodes" w:hint="cs"/>
          <w:rtl/>
        </w:rPr>
        <w:instrText xml:space="preserve"> _</w:instrText>
      </w:r>
      <w:r w:rsidRPr="00D75E9D">
        <w:rPr>
          <w:rStyle w:val="af7"/>
          <w:rFonts w:eastAsia="Guttman Hodes" w:hint="cs"/>
        </w:rPr>
        <w:instrText>Ref4009004 \r \h</w:instrText>
      </w:r>
      <w:r w:rsidRPr="00D75E9D">
        <w:rPr>
          <w:rStyle w:val="af7"/>
          <w:rFonts w:eastAsia="Guttman Hodes"/>
          <w:rtl/>
        </w:rPr>
        <w:instrText xml:space="preserve"> </w:instrText>
      </w:r>
      <w:r w:rsidRPr="00D75E9D">
        <w:rPr>
          <w:rStyle w:val="af7"/>
          <w:rFonts w:eastAsia="Guttman Hodes"/>
          <w:rtl/>
        </w:rPr>
      </w:r>
      <w:r w:rsidRPr="00D75E9D">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D75E9D">
        <w:rPr>
          <w:rStyle w:val="af7"/>
          <w:rFonts w:eastAsia="Guttman Hodes"/>
          <w:rtl/>
        </w:rPr>
        <w:fldChar w:fldCharType="end"/>
      </w:r>
      <w:r>
        <w:rPr>
          <w:rFonts w:hint="cs"/>
          <w:rtl/>
        </w:rPr>
        <w:t xml:space="preserve"> בדעת </w:t>
      </w:r>
      <w:r w:rsidRPr="00DA18CE">
        <w:rPr>
          <w:rStyle w:val="af9"/>
          <w:rFonts w:hint="cs"/>
          <w:rtl/>
        </w:rPr>
        <w:t>הרמב"ם</w:t>
      </w:r>
      <w:r>
        <w:rPr>
          <w:rFonts w:hint="cs"/>
          <w:rtl/>
        </w:rPr>
        <w:t xml:space="preserve"> דמתיר בשתלש חלב והניחו בפנים ולא הוציאו לחוץ, ביאר </w:t>
      </w:r>
      <w:r w:rsidRPr="00DA18CE">
        <w:rPr>
          <w:rStyle w:val="af9"/>
          <w:rFonts w:hint="cs"/>
          <w:rtl/>
        </w:rPr>
        <w:t>האמרי משה</w:t>
      </w:r>
      <w:r>
        <w:rPr>
          <w:rFonts w:hint="cs"/>
          <w:rtl/>
        </w:rPr>
        <w:t xml:space="preserve"> דכיון שלפני שיצא לאויר העולם הותר בשחיטה לא יכול לחול עליו אח"כ איסור חלב כשיצא לאויר דהא אינו כחלב אלא כבשר, וא"א לומר דהוא נקרא שה דיחול עליו איסור חלב, ורק כתלשו והוציאו לחוץ לפני השחיטה חל עליו איסור חלב כשיצא לאויר, לפני השחיטה, ועי' במ"ש בזה</w:t>
      </w:r>
      <w:r w:rsidRPr="00140649">
        <w:rPr>
          <w:rFonts w:hint="cs"/>
          <w:rtl/>
        </w:rPr>
        <w:t xml:space="preserve"> </w:t>
      </w:r>
      <w:r w:rsidRPr="00C46FE1">
        <w:rPr>
          <w:rStyle w:val="af9"/>
          <w:rFonts w:hint="cs"/>
          <w:rtl/>
        </w:rPr>
        <w:t>האבי עזרי</w:t>
      </w:r>
      <w:r>
        <w:rPr>
          <w:rFonts w:hint="cs"/>
          <w:rtl/>
        </w:rPr>
        <w:t xml:space="preserve"> </w:t>
      </w:r>
      <w:r w:rsidRPr="00C46FE1">
        <w:rPr>
          <w:rStyle w:val="af7"/>
          <w:rFonts w:eastAsia="Guttman Hodes" w:hint="cs"/>
          <w:rtl/>
        </w:rPr>
        <w:t xml:space="preserve">(עי' אות </w:t>
      </w:r>
      <w:r w:rsidRPr="00C46FE1">
        <w:rPr>
          <w:rStyle w:val="af7"/>
          <w:rFonts w:eastAsia="Guttman Hodes"/>
          <w:rtl/>
        </w:rPr>
        <w:fldChar w:fldCharType="begin"/>
      </w:r>
      <w:r w:rsidRPr="00C46FE1">
        <w:rPr>
          <w:rStyle w:val="af7"/>
          <w:rFonts w:eastAsia="Guttman Hodes"/>
          <w:rtl/>
        </w:rPr>
        <w:instrText xml:space="preserve"> </w:instrText>
      </w:r>
      <w:r w:rsidRPr="00C46FE1">
        <w:rPr>
          <w:rStyle w:val="af7"/>
          <w:rFonts w:eastAsia="Guttman Hodes" w:hint="cs"/>
        </w:rPr>
        <w:instrText>REF</w:instrText>
      </w:r>
      <w:r w:rsidRPr="00C46FE1">
        <w:rPr>
          <w:rStyle w:val="af7"/>
          <w:rFonts w:eastAsia="Guttman Hodes" w:hint="cs"/>
          <w:rtl/>
        </w:rPr>
        <w:instrText xml:space="preserve"> _</w:instrText>
      </w:r>
      <w:r w:rsidRPr="00C46FE1">
        <w:rPr>
          <w:rStyle w:val="af7"/>
          <w:rFonts w:eastAsia="Guttman Hodes" w:hint="cs"/>
        </w:rPr>
        <w:instrText>Ref3201339 \r \h</w:instrText>
      </w:r>
      <w:r w:rsidRPr="00C46FE1">
        <w:rPr>
          <w:rStyle w:val="af7"/>
          <w:rFonts w:eastAsia="Guttman Hodes"/>
          <w:rtl/>
        </w:rPr>
        <w:instrText xml:space="preserve"> </w:instrText>
      </w:r>
      <w:r w:rsidRPr="00C46FE1">
        <w:rPr>
          <w:rStyle w:val="af7"/>
          <w:rFonts w:eastAsia="Guttman Hodes"/>
          <w:rtl/>
        </w:rPr>
      </w:r>
      <w:r w:rsidRPr="00C46FE1">
        <w:rPr>
          <w:rStyle w:val="af7"/>
          <w:rFonts w:eastAsia="Guttman Hodes"/>
          <w:rtl/>
        </w:rPr>
        <w:fldChar w:fldCharType="separate"/>
      </w:r>
      <w:r w:rsidR="00345400">
        <w:rPr>
          <w:rStyle w:val="af7"/>
          <w:rFonts w:eastAsia="Guttman Hodes"/>
          <w:cs/>
        </w:rPr>
        <w:t>‎</w:t>
      </w:r>
      <w:r w:rsidR="00345400">
        <w:rPr>
          <w:rStyle w:val="af7"/>
          <w:rFonts w:eastAsia="Guttman Hodes"/>
          <w:rtl/>
        </w:rPr>
        <w:t>ק)</w:t>
      </w:r>
      <w:r w:rsidRPr="00C46FE1">
        <w:rPr>
          <w:rStyle w:val="af7"/>
          <w:rFonts w:eastAsia="Guttman Hodes"/>
          <w:rtl/>
        </w:rPr>
        <w:fldChar w:fldCharType="end"/>
      </w:r>
      <w:r>
        <w:rPr>
          <w:rFonts w:hint="cs"/>
          <w:rtl/>
        </w:rPr>
        <w:t>.</w:t>
      </w:r>
      <w:bookmarkEnd w:id="24808"/>
    </w:p>
    <w:p w14:paraId="4DA81C1C" w14:textId="77777777" w:rsidR="003D504D" w:rsidRDefault="003D504D" w:rsidP="003D504D">
      <w:pPr>
        <w:pStyle w:val="a3"/>
        <w:rPr>
          <w:rtl/>
        </w:rPr>
      </w:pPr>
      <w:bookmarkStart w:id="24809" w:name="_Toc4012335"/>
      <w:bookmarkStart w:id="24810" w:name="_Toc4013367"/>
      <w:bookmarkStart w:id="24811" w:name="_Toc4022875"/>
      <w:bookmarkStart w:id="24812" w:name="_Toc4026700"/>
      <w:bookmarkStart w:id="24813" w:name="_Toc4139500"/>
      <w:bookmarkStart w:id="24814" w:name="_Toc4151594"/>
      <w:bookmarkStart w:id="24815" w:name="_Toc19392043"/>
      <w:bookmarkStart w:id="24816" w:name="_Toc19395540"/>
      <w:r>
        <w:rPr>
          <w:rFonts w:hint="cs"/>
          <w:rtl/>
        </w:rPr>
        <w:t>ביאור האמר"מ דלהרמב"ם חלב דבן ט' מת מותר דלא יצא לאויר העולם</w:t>
      </w:r>
      <w:bookmarkEnd w:id="24809"/>
      <w:bookmarkEnd w:id="24810"/>
      <w:bookmarkEnd w:id="24811"/>
      <w:bookmarkEnd w:id="24812"/>
      <w:bookmarkEnd w:id="24813"/>
      <w:bookmarkEnd w:id="24814"/>
      <w:bookmarkEnd w:id="24815"/>
      <w:bookmarkEnd w:id="24816"/>
      <w:r>
        <w:rPr>
          <w:rFonts w:hint="cs"/>
          <w:rtl/>
        </w:rPr>
        <w:t xml:space="preserve"> </w:t>
      </w:r>
    </w:p>
    <w:p w14:paraId="454B4B44" w14:textId="77777777" w:rsidR="003D504D" w:rsidRDefault="003D504D" w:rsidP="00223668">
      <w:pPr>
        <w:pStyle w:val="a0"/>
        <w:rPr>
          <w:rtl/>
        </w:rPr>
      </w:pPr>
      <w:bookmarkStart w:id="24817" w:name="_Ref4011758"/>
      <w:r>
        <w:rPr>
          <w:rFonts w:hint="cs"/>
          <w:rtl/>
        </w:rPr>
        <w:t xml:space="preserve">וכתב </w:t>
      </w:r>
      <w:r w:rsidRPr="00DA18CE">
        <w:rPr>
          <w:rStyle w:val="af9"/>
          <w:rFonts w:hint="cs"/>
          <w:rtl/>
        </w:rPr>
        <w:t>האמרי משה</w:t>
      </w:r>
      <w:r>
        <w:rPr>
          <w:rFonts w:hint="cs"/>
          <w:rtl/>
        </w:rPr>
        <w:t xml:space="preserve"> דלפי"ז מיושבת קושיתו </w:t>
      </w:r>
      <w:r w:rsidRPr="004856E8">
        <w:rPr>
          <w:rStyle w:val="af7"/>
          <w:rFonts w:eastAsia="Guttman Hodes" w:hint="cs"/>
          <w:rtl/>
        </w:rPr>
        <w:t xml:space="preserve">(עי' אות </w:t>
      </w:r>
      <w:r w:rsidRPr="004856E8">
        <w:rPr>
          <w:rStyle w:val="af7"/>
          <w:rFonts w:eastAsia="Guttman Hodes"/>
          <w:rtl/>
        </w:rPr>
        <w:fldChar w:fldCharType="begin"/>
      </w:r>
      <w:r w:rsidRPr="004856E8">
        <w:rPr>
          <w:rStyle w:val="af7"/>
          <w:rFonts w:eastAsia="Guttman Hodes"/>
          <w:rtl/>
        </w:rPr>
        <w:instrText xml:space="preserve"> </w:instrText>
      </w:r>
      <w:r w:rsidRPr="004856E8">
        <w:rPr>
          <w:rStyle w:val="af7"/>
          <w:rFonts w:eastAsia="Guttman Hodes" w:hint="cs"/>
        </w:rPr>
        <w:instrText>REF</w:instrText>
      </w:r>
      <w:r w:rsidRPr="004856E8">
        <w:rPr>
          <w:rStyle w:val="af7"/>
          <w:rFonts w:eastAsia="Guttman Hodes" w:hint="cs"/>
          <w:rtl/>
        </w:rPr>
        <w:instrText xml:space="preserve"> _</w:instrText>
      </w:r>
      <w:r w:rsidRPr="004856E8">
        <w:rPr>
          <w:rStyle w:val="af7"/>
          <w:rFonts w:eastAsia="Guttman Hodes" w:hint="cs"/>
        </w:rPr>
        <w:instrText>Ref4011792 \r \h</w:instrText>
      </w:r>
      <w:r w:rsidRPr="004856E8">
        <w:rPr>
          <w:rStyle w:val="af7"/>
          <w:rFonts w:eastAsia="Guttman Hodes"/>
          <w:rtl/>
        </w:rPr>
        <w:instrText xml:space="preserve"> </w:instrText>
      </w:r>
      <w:r w:rsidRPr="004856E8">
        <w:rPr>
          <w:rStyle w:val="af7"/>
          <w:rFonts w:eastAsia="Guttman Hodes"/>
          <w:rtl/>
        </w:rPr>
      </w:r>
      <w:r w:rsidRPr="004856E8">
        <w:rPr>
          <w:rStyle w:val="af7"/>
          <w:rFonts w:eastAsia="Guttman Hodes"/>
          <w:rtl/>
        </w:rPr>
        <w:fldChar w:fldCharType="separate"/>
      </w:r>
      <w:r w:rsidR="00345400">
        <w:rPr>
          <w:rStyle w:val="af7"/>
          <w:rFonts w:eastAsia="Guttman Hodes"/>
          <w:cs/>
        </w:rPr>
        <w:t>‎</w:t>
      </w:r>
      <w:r w:rsidR="00345400">
        <w:rPr>
          <w:rStyle w:val="af7"/>
          <w:rFonts w:eastAsia="Guttman Hodes"/>
          <w:rtl/>
        </w:rPr>
        <w:t>פה)</w:t>
      </w:r>
      <w:r w:rsidRPr="004856E8">
        <w:rPr>
          <w:rStyle w:val="af7"/>
          <w:rFonts w:eastAsia="Guttman Hodes"/>
          <w:rtl/>
        </w:rPr>
        <w:fldChar w:fldCharType="end"/>
      </w:r>
      <w:r>
        <w:rPr>
          <w:rFonts w:hint="cs"/>
          <w:rtl/>
        </w:rPr>
        <w:t xml:space="preserve"> אמאי אוסר </w:t>
      </w:r>
      <w:r w:rsidRPr="00DA18CE">
        <w:rPr>
          <w:rStyle w:val="af9"/>
          <w:rFonts w:hint="cs"/>
          <w:rtl/>
        </w:rPr>
        <w:t>הרמב"ם</w:t>
      </w:r>
      <w:r>
        <w:rPr>
          <w:rFonts w:hint="cs"/>
          <w:rtl/>
        </w:rPr>
        <w:t xml:space="preserve"> בחלב בן ט' חי, ומתיר בחלב בן ט' מת, דכיון שמת במעי האם לא חל עליו איסור חלב דלא יצא לאויר העולם, ואחר שהותר בשחיטת אמו, א"א לאוסרו כשיוצא לאויר העולם, דבמת לא שייך לומר דיחול איסור חלב דא"א לומר דנקרא שה כשיוצא כיון שהוא מת, ורק חי נקרא מת דחל עליו האיסור כשיצא לאויר העולם, אף שהותר החלב בשחיטת האם.</w:t>
      </w:r>
      <w:bookmarkEnd w:id="24817"/>
    </w:p>
    <w:p w14:paraId="74935B86" w14:textId="77777777" w:rsidR="003D504D" w:rsidRPr="00950B7D" w:rsidRDefault="003D504D" w:rsidP="00BF39B2">
      <w:pPr>
        <w:pStyle w:val="1"/>
        <w:rPr>
          <w:rtl/>
        </w:rPr>
      </w:pPr>
      <w:bookmarkStart w:id="24818" w:name="_Toc3840827"/>
      <w:bookmarkStart w:id="24819" w:name="_Toc3929066"/>
      <w:bookmarkStart w:id="24820" w:name="_Toc3978464"/>
      <w:bookmarkStart w:id="24821" w:name="_Toc4012336"/>
      <w:bookmarkStart w:id="24822" w:name="_Toc4013368"/>
      <w:bookmarkStart w:id="24823" w:name="_Toc4022876"/>
      <w:bookmarkStart w:id="24824" w:name="_Toc4026701"/>
      <w:bookmarkStart w:id="24825" w:name="_Toc4139501"/>
      <w:bookmarkStart w:id="24826" w:name="_Toc4151595"/>
      <w:bookmarkStart w:id="24827" w:name="_Toc19392044"/>
      <w:bookmarkStart w:id="24828" w:name="_Toc19395541"/>
      <w:r>
        <w:rPr>
          <w:rFonts w:hint="cs"/>
          <w:rtl/>
        </w:rPr>
        <w:t>קושיות האבי עזרי</w:t>
      </w:r>
      <w:bookmarkEnd w:id="24733"/>
      <w:bookmarkEnd w:id="24818"/>
      <w:bookmarkEnd w:id="24819"/>
      <w:bookmarkEnd w:id="24820"/>
      <w:bookmarkEnd w:id="24821"/>
      <w:bookmarkEnd w:id="24822"/>
      <w:r>
        <w:rPr>
          <w:rFonts w:hint="cs"/>
          <w:rtl/>
        </w:rPr>
        <w:t xml:space="preserve"> על הרא"ש ועל הכס"מ בדעת הרמב"ם</w:t>
      </w:r>
      <w:bookmarkEnd w:id="24823"/>
      <w:bookmarkEnd w:id="24824"/>
      <w:bookmarkEnd w:id="24825"/>
      <w:bookmarkEnd w:id="24826"/>
      <w:bookmarkEnd w:id="24827"/>
      <w:bookmarkEnd w:id="24828"/>
    </w:p>
    <w:p w14:paraId="542B0C21" w14:textId="77777777" w:rsidR="003D504D" w:rsidRPr="00103EEF" w:rsidRDefault="003D504D" w:rsidP="003D504D">
      <w:pPr>
        <w:pStyle w:val="a3"/>
        <w:rPr>
          <w:rtl/>
        </w:rPr>
      </w:pPr>
      <w:bookmarkStart w:id="24829" w:name="_Toc4022877"/>
      <w:bookmarkStart w:id="24830" w:name="_Toc4026702"/>
      <w:bookmarkStart w:id="24831" w:name="_Toc4139502"/>
      <w:bookmarkStart w:id="24832" w:name="_Toc4151596"/>
      <w:bookmarkStart w:id="24833" w:name="_Toc19392045"/>
      <w:bookmarkStart w:id="24834" w:name="_Toc19395542"/>
      <w:r>
        <w:rPr>
          <w:rFonts w:hint="cs"/>
          <w:rtl/>
        </w:rPr>
        <w:t>קושית האבי עזרי דא"א לומר דהרמב"ם אסר כר"מ דלר"מ ודאי דחלבו אסור דל"מ לו שחיטת אמו</w:t>
      </w:r>
      <w:bookmarkEnd w:id="24829"/>
      <w:bookmarkEnd w:id="24830"/>
      <w:bookmarkEnd w:id="24831"/>
      <w:bookmarkEnd w:id="24832"/>
      <w:bookmarkEnd w:id="24833"/>
      <w:bookmarkEnd w:id="24834"/>
    </w:p>
    <w:p w14:paraId="127D2FEC" w14:textId="77777777" w:rsidR="003D504D" w:rsidRDefault="003D504D" w:rsidP="00223668">
      <w:pPr>
        <w:pStyle w:val="a0"/>
        <w:rPr>
          <w:rtl/>
        </w:rPr>
      </w:pPr>
      <w:bookmarkStart w:id="24835" w:name="_Ref4013577"/>
      <w:r>
        <w:rPr>
          <w:rFonts w:hint="cs"/>
          <w:rtl/>
        </w:rPr>
        <w:t xml:space="preserve">בדברי </w:t>
      </w:r>
      <w:r w:rsidRPr="00715BCC">
        <w:rPr>
          <w:rStyle w:val="af9"/>
          <w:rFonts w:hint="cs"/>
          <w:rtl/>
        </w:rPr>
        <w:t>הרא"ש</w:t>
      </w:r>
      <w:r>
        <w:rPr>
          <w:rFonts w:hint="cs"/>
          <w:rtl/>
        </w:rPr>
        <w:t xml:space="preserve"> </w:t>
      </w:r>
      <w:r w:rsidRPr="006140E5">
        <w:rPr>
          <w:rStyle w:val="af7"/>
          <w:rFonts w:eastAsia="Guttman Hodes" w:hint="cs"/>
          <w:rtl/>
        </w:rPr>
        <w:t xml:space="preserve">(עי' אות </w:t>
      </w:r>
      <w:r w:rsidRPr="006140E5">
        <w:rPr>
          <w:rStyle w:val="af7"/>
          <w:rFonts w:eastAsia="Guttman Hodes"/>
          <w:rtl/>
        </w:rPr>
        <w:fldChar w:fldCharType="begin"/>
      </w:r>
      <w:r w:rsidRPr="006140E5">
        <w:rPr>
          <w:rStyle w:val="af7"/>
          <w:rFonts w:eastAsia="Guttman Hodes"/>
          <w:rtl/>
        </w:rPr>
        <w:instrText xml:space="preserve"> </w:instrText>
      </w:r>
      <w:r w:rsidRPr="006140E5">
        <w:rPr>
          <w:rStyle w:val="af7"/>
          <w:rFonts w:eastAsia="Guttman Hodes" w:hint="cs"/>
        </w:rPr>
        <w:instrText>REF</w:instrText>
      </w:r>
      <w:r w:rsidRPr="006140E5">
        <w:rPr>
          <w:rStyle w:val="af7"/>
          <w:rFonts w:eastAsia="Guttman Hodes" w:hint="cs"/>
          <w:rtl/>
        </w:rPr>
        <w:instrText xml:space="preserve"> _</w:instrText>
      </w:r>
      <w:r w:rsidRPr="006140E5">
        <w:rPr>
          <w:rStyle w:val="af7"/>
          <w:rFonts w:eastAsia="Guttman Hodes" w:hint="cs"/>
        </w:rPr>
        <w:instrText>Ref3921945 \r \h</w:instrText>
      </w:r>
      <w:r w:rsidRPr="006140E5">
        <w:rPr>
          <w:rStyle w:val="af7"/>
          <w:rFonts w:eastAsia="Guttman Hodes"/>
          <w:rtl/>
        </w:rPr>
        <w:instrText xml:space="preserve"> </w:instrText>
      </w:r>
      <w:r w:rsidRPr="006140E5">
        <w:rPr>
          <w:rStyle w:val="af7"/>
          <w:rFonts w:eastAsia="Guttman Hodes"/>
          <w:rtl/>
        </w:rPr>
      </w:r>
      <w:r w:rsidRPr="006140E5">
        <w:rPr>
          <w:rStyle w:val="af7"/>
          <w:rFonts w:eastAsia="Guttman Hodes"/>
          <w:rtl/>
        </w:rPr>
        <w:fldChar w:fldCharType="separate"/>
      </w:r>
      <w:r w:rsidR="00345400">
        <w:rPr>
          <w:rStyle w:val="af7"/>
          <w:rFonts w:eastAsia="Guttman Hodes"/>
          <w:cs/>
        </w:rPr>
        <w:t>‎</w:t>
      </w:r>
      <w:r w:rsidR="00345400">
        <w:rPr>
          <w:rStyle w:val="af7"/>
          <w:rFonts w:eastAsia="Guttman Hodes"/>
          <w:rtl/>
        </w:rPr>
        <w:t>ה)</w:t>
      </w:r>
      <w:r w:rsidRPr="006140E5">
        <w:rPr>
          <w:rStyle w:val="af7"/>
          <w:rFonts w:eastAsia="Guttman Hodes"/>
          <w:rtl/>
        </w:rPr>
        <w:fldChar w:fldCharType="end"/>
      </w:r>
      <w:r w:rsidRPr="006140E5">
        <w:rPr>
          <w:rFonts w:hint="cs"/>
          <w:rtl/>
        </w:rPr>
        <w:t xml:space="preserve"> </w:t>
      </w:r>
      <w:r w:rsidRPr="006140E5">
        <w:rPr>
          <w:rStyle w:val="af9"/>
          <w:rFonts w:hint="cs"/>
          <w:rtl/>
        </w:rPr>
        <w:t>דהרמב"ם</w:t>
      </w:r>
      <w:r w:rsidRPr="006140E5">
        <w:rPr>
          <w:rFonts w:hint="cs"/>
          <w:rtl/>
        </w:rPr>
        <w:t xml:space="preserve"> ס"ל דריו"ח ור"ל נחלקו במחלוקת ר"י ור"מ</w:t>
      </w:r>
      <w:r>
        <w:rPr>
          <w:rFonts w:hint="cs"/>
          <w:rtl/>
        </w:rPr>
        <w:t>,</w:t>
      </w:r>
      <w:r w:rsidRPr="006140E5">
        <w:rPr>
          <w:rFonts w:hint="cs"/>
          <w:rtl/>
        </w:rPr>
        <w:t xml:space="preserve"> ופסק </w:t>
      </w:r>
      <w:r w:rsidRPr="006140E5">
        <w:rPr>
          <w:rStyle w:val="af9"/>
          <w:rFonts w:hint="cs"/>
          <w:rtl/>
        </w:rPr>
        <w:t>הרמב"ם</w:t>
      </w:r>
      <w:r w:rsidRPr="006140E5">
        <w:rPr>
          <w:rFonts w:hint="cs"/>
          <w:rtl/>
        </w:rPr>
        <w:t xml:space="preserve"> כריו"ח, הקשה </w:t>
      </w:r>
      <w:r w:rsidRPr="006140E5">
        <w:rPr>
          <w:rStyle w:val="af9"/>
          <w:rFonts w:hint="cs"/>
          <w:rtl/>
        </w:rPr>
        <w:t>האבי עזרי</w:t>
      </w:r>
      <w:r w:rsidRPr="006140E5">
        <w:rPr>
          <w:rFonts w:hint="cs"/>
          <w:rtl/>
        </w:rPr>
        <w:t xml:space="preserve"> </w:t>
      </w:r>
      <w:r w:rsidRPr="006140E5">
        <w:rPr>
          <w:rStyle w:val="af7"/>
          <w:rFonts w:eastAsia="Guttman Hodes" w:hint="cs"/>
          <w:rtl/>
        </w:rPr>
        <w:t>(מאכ"א פ"ז ה"ג ד')</w:t>
      </w:r>
      <w:r w:rsidRPr="006140E5">
        <w:rPr>
          <w:rFonts w:hint="cs"/>
          <w:rtl/>
        </w:rPr>
        <w:t xml:space="preserve"> דהרי ר"מ ס"ל דבן ט' חי צריך שחיטה, ופשיטא דחלבו אסור, אבל </w:t>
      </w:r>
      <w:r w:rsidRPr="006140E5">
        <w:rPr>
          <w:rStyle w:val="af9"/>
          <w:rFonts w:hint="cs"/>
          <w:rtl/>
        </w:rPr>
        <w:t>הרמב"ם</w:t>
      </w:r>
      <w:r w:rsidRPr="006140E5">
        <w:rPr>
          <w:rFonts w:hint="cs"/>
          <w:rtl/>
        </w:rPr>
        <w:t xml:space="preserve"> </w:t>
      </w:r>
      <w:r w:rsidRPr="006140E5">
        <w:rPr>
          <w:rStyle w:val="af7"/>
          <w:rFonts w:eastAsia="Guttman Hodes" w:hint="cs"/>
          <w:rtl/>
        </w:rPr>
        <w:t xml:space="preserve">(עי' אות </w:t>
      </w:r>
      <w:r w:rsidRPr="006140E5">
        <w:rPr>
          <w:rStyle w:val="af7"/>
          <w:rFonts w:eastAsia="Guttman Hodes"/>
          <w:rtl/>
        </w:rPr>
        <w:fldChar w:fldCharType="begin"/>
      </w:r>
      <w:r w:rsidRPr="006140E5">
        <w:rPr>
          <w:rStyle w:val="af7"/>
          <w:rFonts w:eastAsia="Guttman Hodes"/>
          <w:rtl/>
        </w:rPr>
        <w:instrText xml:space="preserve"> </w:instrText>
      </w:r>
      <w:r w:rsidRPr="006140E5">
        <w:rPr>
          <w:rStyle w:val="af7"/>
          <w:rFonts w:eastAsia="Guttman Hodes" w:hint="cs"/>
        </w:rPr>
        <w:instrText>REF</w:instrText>
      </w:r>
      <w:r w:rsidRPr="006140E5">
        <w:rPr>
          <w:rStyle w:val="af7"/>
          <w:rFonts w:eastAsia="Guttman Hodes" w:hint="cs"/>
          <w:rtl/>
        </w:rPr>
        <w:instrText xml:space="preserve"> _</w:instrText>
      </w:r>
      <w:r w:rsidRPr="006140E5">
        <w:rPr>
          <w:rStyle w:val="af7"/>
          <w:rFonts w:eastAsia="Guttman Hodes" w:hint="cs"/>
        </w:rPr>
        <w:instrText>Ref3969896 \r \h</w:instrText>
      </w:r>
      <w:r w:rsidRPr="006140E5">
        <w:rPr>
          <w:rStyle w:val="af7"/>
          <w:rFonts w:eastAsia="Guttman Hodes"/>
          <w:rtl/>
        </w:rPr>
        <w:instrText xml:space="preserve"> </w:instrText>
      </w:r>
      <w:r w:rsidRPr="006140E5">
        <w:rPr>
          <w:rStyle w:val="af7"/>
          <w:rFonts w:eastAsia="Guttman Hodes"/>
          <w:rtl/>
        </w:rPr>
      </w:r>
      <w:r w:rsidRPr="006140E5">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6140E5">
        <w:rPr>
          <w:rStyle w:val="af7"/>
          <w:rFonts w:eastAsia="Guttman Hodes"/>
          <w:rtl/>
        </w:rPr>
        <w:fldChar w:fldCharType="end"/>
      </w:r>
      <w:r>
        <w:rPr>
          <w:rFonts w:hint="cs"/>
          <w:rtl/>
        </w:rPr>
        <w:t xml:space="preserve"> </w:t>
      </w:r>
      <w:r w:rsidRPr="006140E5">
        <w:rPr>
          <w:rFonts w:hint="cs"/>
          <w:rtl/>
        </w:rPr>
        <w:t>פסק דאינו צריך</w:t>
      </w:r>
      <w:r>
        <w:rPr>
          <w:rFonts w:hint="cs"/>
          <w:rtl/>
        </w:rPr>
        <w:t xml:space="preserve"> שחיטה ודלא כר"מ, וא"כ מוכח דמה </w:t>
      </w:r>
      <w:r w:rsidRPr="006140E5">
        <w:rPr>
          <w:rStyle w:val="af9"/>
          <w:rFonts w:hint="cs"/>
          <w:rtl/>
        </w:rPr>
        <w:t>שהרמב"ם</w:t>
      </w:r>
      <w:r>
        <w:rPr>
          <w:rFonts w:hint="cs"/>
          <w:rtl/>
        </w:rPr>
        <w:t xml:space="preserve"> </w:t>
      </w:r>
      <w:r w:rsidRPr="006140E5">
        <w:rPr>
          <w:rStyle w:val="af7"/>
          <w:rFonts w:eastAsia="Guttman Hodes" w:hint="cs"/>
          <w:rtl/>
        </w:rPr>
        <w:t xml:space="preserve">(עי' אות </w:t>
      </w:r>
      <w:r w:rsidRPr="006140E5">
        <w:rPr>
          <w:rStyle w:val="af7"/>
          <w:rFonts w:eastAsia="Guttman Hodes"/>
          <w:rtl/>
        </w:rPr>
        <w:fldChar w:fldCharType="begin"/>
      </w:r>
      <w:r w:rsidRPr="006140E5">
        <w:rPr>
          <w:rStyle w:val="af7"/>
          <w:rFonts w:eastAsia="Guttman Hodes"/>
          <w:rtl/>
        </w:rPr>
        <w:instrText xml:space="preserve"> </w:instrText>
      </w:r>
      <w:r w:rsidRPr="006140E5">
        <w:rPr>
          <w:rStyle w:val="af7"/>
          <w:rFonts w:eastAsia="Guttman Hodes" w:hint="cs"/>
        </w:rPr>
        <w:instrText>REF</w:instrText>
      </w:r>
      <w:r w:rsidRPr="006140E5">
        <w:rPr>
          <w:rStyle w:val="af7"/>
          <w:rFonts w:eastAsia="Guttman Hodes" w:hint="cs"/>
          <w:rtl/>
        </w:rPr>
        <w:instrText xml:space="preserve"> _</w:instrText>
      </w:r>
      <w:r w:rsidRPr="006140E5">
        <w:rPr>
          <w:rStyle w:val="af7"/>
          <w:rFonts w:eastAsia="Guttman Hodes" w:hint="cs"/>
        </w:rPr>
        <w:instrText>Ref3145560 \r \h</w:instrText>
      </w:r>
      <w:r w:rsidRPr="006140E5">
        <w:rPr>
          <w:rStyle w:val="af7"/>
          <w:rFonts w:eastAsia="Guttman Hodes"/>
          <w:rtl/>
        </w:rPr>
        <w:instrText xml:space="preserve"> </w:instrText>
      </w:r>
      <w:r w:rsidRPr="006140E5">
        <w:rPr>
          <w:rStyle w:val="af7"/>
          <w:rFonts w:eastAsia="Guttman Hodes"/>
          <w:rtl/>
        </w:rPr>
      </w:r>
      <w:r w:rsidRPr="006140E5">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6140E5">
        <w:rPr>
          <w:rStyle w:val="af7"/>
          <w:rFonts w:eastAsia="Guttman Hodes"/>
          <w:rtl/>
        </w:rPr>
        <w:fldChar w:fldCharType="end"/>
      </w:r>
      <w:r>
        <w:rPr>
          <w:rFonts w:hint="cs"/>
          <w:rtl/>
        </w:rPr>
        <w:t xml:space="preserve"> אסר את חלבו, אינו שייך כלל לדברי ר"מ, דהא לר"מ החלב אסור כיון שחייב בשחיטה.</w:t>
      </w:r>
      <w:bookmarkEnd w:id="24835"/>
    </w:p>
    <w:p w14:paraId="67A433B8" w14:textId="77777777" w:rsidR="003D504D" w:rsidRDefault="003D504D" w:rsidP="003D504D">
      <w:pPr>
        <w:pStyle w:val="a3"/>
        <w:rPr>
          <w:rtl/>
        </w:rPr>
      </w:pPr>
      <w:bookmarkStart w:id="24836" w:name="_Toc4022878"/>
      <w:bookmarkStart w:id="24837" w:name="_Toc4026703"/>
      <w:bookmarkStart w:id="24838" w:name="_Toc4139503"/>
      <w:bookmarkStart w:id="24839" w:name="_Toc4151597"/>
      <w:bookmarkStart w:id="24840" w:name="_Toc19392046"/>
      <w:bookmarkStart w:id="24841" w:name="_Toc19395543"/>
      <w:r>
        <w:rPr>
          <w:rFonts w:hint="cs"/>
          <w:rtl/>
        </w:rPr>
        <w:t>קושית האבי עזרי על הכס"מ דהיאך מותר החלב בהניחו בבהמה הא שחיטה אינה מתירה חלב</w:t>
      </w:r>
      <w:bookmarkEnd w:id="24836"/>
      <w:bookmarkEnd w:id="24837"/>
      <w:bookmarkEnd w:id="24838"/>
      <w:bookmarkEnd w:id="24839"/>
      <w:bookmarkEnd w:id="24840"/>
      <w:bookmarkEnd w:id="24841"/>
    </w:p>
    <w:p w14:paraId="21610285" w14:textId="77777777" w:rsidR="003D504D" w:rsidRDefault="003D504D" w:rsidP="00223668">
      <w:pPr>
        <w:pStyle w:val="a0"/>
        <w:rPr>
          <w:rtl/>
        </w:rPr>
      </w:pPr>
      <w:r>
        <w:rPr>
          <w:rFonts w:hint="cs"/>
          <w:rtl/>
        </w:rPr>
        <w:t xml:space="preserve">ובמ"ש </w:t>
      </w:r>
      <w:r w:rsidRPr="001008B6">
        <w:rPr>
          <w:rStyle w:val="af9"/>
          <w:rFonts w:hint="cs"/>
          <w:rtl/>
        </w:rPr>
        <w:t>הכס"מ</w:t>
      </w:r>
      <w:r>
        <w:rPr>
          <w:rFonts w:hint="cs"/>
          <w:rtl/>
        </w:rPr>
        <w:t xml:space="preserve"> </w:t>
      </w:r>
      <w:r w:rsidRPr="00E91499">
        <w:rPr>
          <w:rStyle w:val="af7"/>
          <w:rFonts w:eastAsia="Guttman Hodes" w:hint="cs"/>
          <w:rtl/>
        </w:rPr>
        <w:t xml:space="preserve">(עי' אות </w:t>
      </w:r>
      <w:r w:rsidRPr="00E91499">
        <w:rPr>
          <w:rStyle w:val="af7"/>
          <w:rFonts w:eastAsia="Guttman Hodes"/>
          <w:rtl/>
        </w:rPr>
        <w:fldChar w:fldCharType="begin"/>
      </w:r>
      <w:r w:rsidRPr="00E91499">
        <w:rPr>
          <w:rStyle w:val="af7"/>
          <w:rFonts w:eastAsia="Guttman Hodes"/>
          <w:rtl/>
        </w:rPr>
        <w:instrText xml:space="preserve"> </w:instrText>
      </w:r>
      <w:r w:rsidRPr="00E91499">
        <w:rPr>
          <w:rStyle w:val="af7"/>
          <w:rFonts w:eastAsia="Guttman Hodes" w:hint="cs"/>
        </w:rPr>
        <w:instrText>REF</w:instrText>
      </w:r>
      <w:r w:rsidRPr="00E91499">
        <w:rPr>
          <w:rStyle w:val="af7"/>
          <w:rFonts w:eastAsia="Guttman Hodes" w:hint="cs"/>
          <w:rtl/>
        </w:rPr>
        <w:instrText xml:space="preserve"> _</w:instrText>
      </w:r>
      <w:r w:rsidRPr="00E91499">
        <w:rPr>
          <w:rStyle w:val="af7"/>
          <w:rFonts w:eastAsia="Guttman Hodes" w:hint="cs"/>
        </w:rPr>
        <w:instrText>Ref3132636 \r \h</w:instrText>
      </w:r>
      <w:r w:rsidRPr="00E91499">
        <w:rPr>
          <w:rStyle w:val="af7"/>
          <w:rFonts w:eastAsia="Guttman Hodes"/>
          <w:rtl/>
        </w:rPr>
        <w:instrText xml:space="preserve"> </w:instrText>
      </w:r>
      <w:r w:rsidRPr="00E91499">
        <w:rPr>
          <w:rStyle w:val="af7"/>
          <w:rFonts w:eastAsia="Guttman Hodes"/>
          <w:rtl/>
        </w:rPr>
      </w:r>
      <w:r w:rsidRPr="00E91499">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E91499">
        <w:rPr>
          <w:rStyle w:val="af7"/>
          <w:rFonts w:eastAsia="Guttman Hodes"/>
          <w:rtl/>
        </w:rPr>
        <w:fldChar w:fldCharType="end"/>
      </w:r>
      <w:r w:rsidRPr="00E91499">
        <w:rPr>
          <w:rStyle w:val="af7"/>
          <w:rFonts w:eastAsia="Guttman Hodes" w:hint="cs"/>
          <w:rtl/>
        </w:rPr>
        <w:t xml:space="preserve"> </w:t>
      </w:r>
      <w:r>
        <w:rPr>
          <w:rFonts w:hint="cs"/>
          <w:rtl/>
        </w:rPr>
        <w:t xml:space="preserve">דמבואר מדברי </w:t>
      </w:r>
      <w:r w:rsidRPr="001008B6">
        <w:rPr>
          <w:rStyle w:val="af9"/>
          <w:rFonts w:hint="cs"/>
          <w:rtl/>
        </w:rPr>
        <w:t>הרמב"ם</w:t>
      </w:r>
      <w:r>
        <w:rPr>
          <w:rFonts w:hint="cs"/>
          <w:rtl/>
        </w:rPr>
        <w:t xml:space="preserve"> </w:t>
      </w:r>
      <w:r w:rsidRPr="00E91499">
        <w:rPr>
          <w:rStyle w:val="af7"/>
          <w:rFonts w:eastAsia="Guttman Hodes" w:hint="cs"/>
          <w:rtl/>
        </w:rPr>
        <w:t xml:space="preserve">(עי' אות </w:t>
      </w:r>
      <w:r w:rsidRPr="00E91499">
        <w:rPr>
          <w:rStyle w:val="af7"/>
          <w:rFonts w:eastAsia="Guttman Hodes"/>
          <w:rtl/>
        </w:rPr>
        <w:fldChar w:fldCharType="begin"/>
      </w:r>
      <w:r w:rsidRPr="00E91499">
        <w:rPr>
          <w:rStyle w:val="af7"/>
          <w:rFonts w:eastAsia="Guttman Hodes"/>
          <w:rtl/>
        </w:rPr>
        <w:instrText xml:space="preserve"> </w:instrText>
      </w:r>
      <w:r w:rsidRPr="00E91499">
        <w:rPr>
          <w:rStyle w:val="af7"/>
          <w:rFonts w:eastAsia="Guttman Hodes" w:hint="cs"/>
        </w:rPr>
        <w:instrText>REF</w:instrText>
      </w:r>
      <w:r w:rsidRPr="00E91499">
        <w:rPr>
          <w:rStyle w:val="af7"/>
          <w:rFonts w:eastAsia="Guttman Hodes" w:hint="cs"/>
          <w:rtl/>
        </w:rPr>
        <w:instrText xml:space="preserve"> _</w:instrText>
      </w:r>
      <w:r w:rsidRPr="00E91499">
        <w:rPr>
          <w:rStyle w:val="af7"/>
          <w:rFonts w:eastAsia="Guttman Hodes" w:hint="cs"/>
        </w:rPr>
        <w:instrText>Ref3132973 \r \h</w:instrText>
      </w:r>
      <w:r w:rsidRPr="00E91499">
        <w:rPr>
          <w:rStyle w:val="af7"/>
          <w:rFonts w:eastAsia="Guttman Hodes"/>
          <w:rtl/>
        </w:rPr>
        <w:instrText xml:space="preserve"> </w:instrText>
      </w:r>
      <w:r w:rsidRPr="00E91499">
        <w:rPr>
          <w:rStyle w:val="af7"/>
          <w:rFonts w:eastAsia="Guttman Hodes"/>
          <w:rtl/>
        </w:rPr>
      </w:r>
      <w:r w:rsidRPr="00E91499">
        <w:rPr>
          <w:rStyle w:val="af7"/>
          <w:rFonts w:eastAsia="Guttman Hodes"/>
          <w:rtl/>
        </w:rPr>
        <w:fldChar w:fldCharType="separate"/>
      </w:r>
      <w:r w:rsidR="00345400">
        <w:rPr>
          <w:rStyle w:val="af7"/>
          <w:rFonts w:eastAsia="Guttman Hodes"/>
          <w:cs/>
        </w:rPr>
        <w:t>‎</w:t>
      </w:r>
      <w:r w:rsidR="00345400">
        <w:rPr>
          <w:rStyle w:val="af7"/>
          <w:rFonts w:eastAsia="Guttman Hodes"/>
          <w:rtl/>
        </w:rPr>
        <w:t>ג)</w:t>
      </w:r>
      <w:r w:rsidRPr="00E91499">
        <w:rPr>
          <w:rStyle w:val="af7"/>
          <w:rFonts w:eastAsia="Guttman Hodes"/>
          <w:rtl/>
        </w:rPr>
        <w:fldChar w:fldCharType="end"/>
      </w:r>
      <w:r w:rsidRPr="00E91499">
        <w:rPr>
          <w:rStyle w:val="af7"/>
          <w:rFonts w:eastAsia="Guttman Hodes" w:hint="cs"/>
          <w:rtl/>
        </w:rPr>
        <w:t xml:space="preserve"> </w:t>
      </w:r>
      <w:r>
        <w:rPr>
          <w:rFonts w:hint="cs"/>
          <w:rtl/>
        </w:rPr>
        <w:t xml:space="preserve">דבהושיט ידו למעי בהמה וחתך חלב מהעובר ולא הוציאו לחוץ והניחו בתוך הבהמה ושחטה, דמהני השחיטה להתיר את החלב, הקשה </w:t>
      </w:r>
      <w:r>
        <w:rPr>
          <w:rStyle w:val="af9"/>
          <w:rtl/>
        </w:rPr>
        <w:t>האבי עזרי</w:t>
      </w:r>
      <w:r>
        <w:rPr>
          <w:rtl/>
        </w:rPr>
        <w:t xml:space="preserve"> </w:t>
      </w:r>
      <w:r>
        <w:rPr>
          <w:rStyle w:val="af7"/>
          <w:rFonts w:eastAsia="Guttman Hodes" w:hint="cs"/>
          <w:rtl/>
        </w:rPr>
        <w:t>(מאכ"א פ"ז ה"ג ד')</w:t>
      </w:r>
      <w:r>
        <w:rPr>
          <w:rtl/>
        </w:rPr>
        <w:t xml:space="preserve"> </w:t>
      </w:r>
      <w:r>
        <w:rPr>
          <w:rFonts w:hint="cs"/>
          <w:rtl/>
        </w:rPr>
        <w:t xml:space="preserve">דהרי אם לא חתך את החלב מהעובר ס"ל </w:t>
      </w:r>
      <w:r w:rsidRPr="000C6547">
        <w:rPr>
          <w:rStyle w:val="af9"/>
          <w:rFonts w:hint="cs"/>
          <w:rtl/>
        </w:rPr>
        <w:t>להרמב"ם</w:t>
      </w:r>
      <w:r>
        <w:rPr>
          <w:rFonts w:hint="cs"/>
          <w:rtl/>
        </w:rPr>
        <w:t xml:space="preserve"> דשחיטת האם אינה מתירה את החלב של הבן ט' חי, וא"כ מה הסברא לומר דכשחתך מהעובר מהני השחיטה להתיר כיון שהוא נשאר בתוך הבהמה, ובמה שביאר </w:t>
      </w:r>
      <w:r w:rsidRPr="00E91499">
        <w:rPr>
          <w:rStyle w:val="af9"/>
          <w:rFonts w:hint="cs"/>
          <w:rtl/>
        </w:rPr>
        <w:t>הכס"מ</w:t>
      </w:r>
      <w:r>
        <w:rPr>
          <w:rFonts w:hint="cs"/>
          <w:rtl/>
        </w:rPr>
        <w:t xml:space="preserve"> </w:t>
      </w:r>
      <w:r w:rsidRPr="00E91499">
        <w:rPr>
          <w:rStyle w:val="af7"/>
          <w:rFonts w:eastAsia="Guttman Hodes" w:hint="cs"/>
          <w:rtl/>
        </w:rPr>
        <w:t xml:space="preserve">(עי' אות </w:t>
      </w:r>
      <w:r w:rsidRPr="00E91499">
        <w:rPr>
          <w:rStyle w:val="af7"/>
          <w:rFonts w:eastAsia="Guttman Hodes"/>
          <w:rtl/>
        </w:rPr>
        <w:fldChar w:fldCharType="begin"/>
      </w:r>
      <w:r w:rsidRPr="00E91499">
        <w:rPr>
          <w:rStyle w:val="af7"/>
          <w:rFonts w:eastAsia="Guttman Hodes"/>
          <w:rtl/>
        </w:rPr>
        <w:instrText xml:space="preserve"> </w:instrText>
      </w:r>
      <w:r w:rsidRPr="00E91499">
        <w:rPr>
          <w:rStyle w:val="af7"/>
          <w:rFonts w:eastAsia="Guttman Hodes" w:hint="cs"/>
        </w:rPr>
        <w:instrText>REF</w:instrText>
      </w:r>
      <w:r w:rsidRPr="00E91499">
        <w:rPr>
          <w:rStyle w:val="af7"/>
          <w:rFonts w:eastAsia="Guttman Hodes" w:hint="cs"/>
          <w:rtl/>
        </w:rPr>
        <w:instrText xml:space="preserve"> _</w:instrText>
      </w:r>
      <w:r w:rsidRPr="00E91499">
        <w:rPr>
          <w:rStyle w:val="af7"/>
          <w:rFonts w:eastAsia="Guttman Hodes" w:hint="cs"/>
        </w:rPr>
        <w:instrText>Ref3132609 \r \h</w:instrText>
      </w:r>
      <w:r w:rsidRPr="00E91499">
        <w:rPr>
          <w:rStyle w:val="af7"/>
          <w:rFonts w:eastAsia="Guttman Hodes"/>
          <w:rtl/>
        </w:rPr>
        <w:instrText xml:space="preserve"> </w:instrText>
      </w:r>
      <w:r w:rsidRPr="00E91499">
        <w:rPr>
          <w:rStyle w:val="af7"/>
          <w:rFonts w:eastAsia="Guttman Hodes"/>
          <w:rtl/>
        </w:rPr>
      </w:r>
      <w:r w:rsidRPr="00E91499">
        <w:rPr>
          <w:rStyle w:val="af7"/>
          <w:rFonts w:eastAsia="Guttman Hodes"/>
          <w:rtl/>
        </w:rPr>
        <w:fldChar w:fldCharType="separate"/>
      </w:r>
      <w:r w:rsidR="00345400">
        <w:rPr>
          <w:rStyle w:val="af7"/>
          <w:rFonts w:eastAsia="Guttman Hodes"/>
          <w:cs/>
        </w:rPr>
        <w:t>‎</w:t>
      </w:r>
      <w:r w:rsidR="00345400">
        <w:rPr>
          <w:rStyle w:val="af7"/>
          <w:rFonts w:eastAsia="Guttman Hodes"/>
          <w:rtl/>
        </w:rPr>
        <w:t>סח)</w:t>
      </w:r>
      <w:r w:rsidRPr="00E91499">
        <w:rPr>
          <w:rStyle w:val="af7"/>
          <w:rFonts w:eastAsia="Guttman Hodes"/>
          <w:rtl/>
        </w:rPr>
        <w:fldChar w:fldCharType="end"/>
      </w:r>
      <w:r>
        <w:rPr>
          <w:rFonts w:hint="cs"/>
          <w:rtl/>
        </w:rPr>
        <w:t xml:space="preserve"> דרק העובר שנחשב אבר בפנ"ע אינו בכלל היתר "כל בבהמה תאכלו" אבל החלב שחתך ממנו הוא בכלל ההיתר, כתב </w:t>
      </w:r>
      <w:r w:rsidRPr="00E91499">
        <w:rPr>
          <w:rStyle w:val="af9"/>
          <w:rFonts w:hint="cs"/>
          <w:rtl/>
        </w:rPr>
        <w:t>האבי עזרי</w:t>
      </w:r>
      <w:r>
        <w:rPr>
          <w:rFonts w:hint="cs"/>
          <w:rtl/>
        </w:rPr>
        <w:t xml:space="preserve"> דסברא זו קשה להבנה, ועי' במה שתירץ </w:t>
      </w:r>
      <w:r w:rsidRPr="006A21D8">
        <w:rPr>
          <w:rStyle w:val="af9"/>
          <w:rFonts w:hint="cs"/>
          <w:rtl/>
        </w:rPr>
        <w:t>האבי עזרי</w:t>
      </w:r>
      <w:r>
        <w:rPr>
          <w:rFonts w:hint="cs"/>
          <w:rtl/>
        </w:rPr>
        <w:t xml:space="preserve"> </w:t>
      </w:r>
      <w:r w:rsidRPr="006A21D8">
        <w:rPr>
          <w:rStyle w:val="af7"/>
          <w:rFonts w:eastAsia="Guttman Hodes" w:hint="cs"/>
          <w:rtl/>
        </w:rPr>
        <w:t xml:space="preserve">(עי' אות </w:t>
      </w:r>
      <w:r w:rsidRPr="006A21D8">
        <w:rPr>
          <w:rStyle w:val="af7"/>
          <w:rFonts w:eastAsia="Guttman Hodes"/>
          <w:rtl/>
        </w:rPr>
        <w:fldChar w:fldCharType="begin"/>
      </w:r>
      <w:r w:rsidRPr="006A21D8">
        <w:rPr>
          <w:rStyle w:val="af7"/>
          <w:rFonts w:eastAsia="Guttman Hodes"/>
          <w:rtl/>
        </w:rPr>
        <w:instrText xml:space="preserve"> </w:instrText>
      </w:r>
      <w:r w:rsidRPr="006A21D8">
        <w:rPr>
          <w:rStyle w:val="af7"/>
          <w:rFonts w:eastAsia="Guttman Hodes" w:hint="cs"/>
        </w:rPr>
        <w:instrText>REF</w:instrText>
      </w:r>
      <w:r w:rsidRPr="006A21D8">
        <w:rPr>
          <w:rStyle w:val="af7"/>
          <w:rFonts w:eastAsia="Guttman Hodes" w:hint="cs"/>
          <w:rtl/>
        </w:rPr>
        <w:instrText xml:space="preserve"> _</w:instrText>
      </w:r>
      <w:r w:rsidRPr="006A21D8">
        <w:rPr>
          <w:rStyle w:val="af7"/>
          <w:rFonts w:eastAsia="Guttman Hodes" w:hint="cs"/>
        </w:rPr>
        <w:instrText>Ref3201339 \r \h</w:instrText>
      </w:r>
      <w:r w:rsidRPr="006A21D8">
        <w:rPr>
          <w:rStyle w:val="af7"/>
          <w:rFonts w:eastAsia="Guttman Hodes"/>
          <w:rtl/>
        </w:rPr>
        <w:instrText xml:space="preserve"> </w:instrText>
      </w:r>
      <w:r w:rsidRPr="006A21D8">
        <w:rPr>
          <w:rStyle w:val="af7"/>
          <w:rFonts w:eastAsia="Guttman Hodes"/>
          <w:rtl/>
        </w:rPr>
      </w:r>
      <w:r w:rsidRPr="006A21D8">
        <w:rPr>
          <w:rStyle w:val="af7"/>
          <w:rFonts w:eastAsia="Guttman Hodes"/>
          <w:rtl/>
        </w:rPr>
        <w:fldChar w:fldCharType="separate"/>
      </w:r>
      <w:r w:rsidR="00345400">
        <w:rPr>
          <w:rStyle w:val="af7"/>
          <w:rFonts w:eastAsia="Guttman Hodes"/>
          <w:cs/>
        </w:rPr>
        <w:t>‎</w:t>
      </w:r>
      <w:r w:rsidR="00345400">
        <w:rPr>
          <w:rStyle w:val="af7"/>
          <w:rFonts w:eastAsia="Guttman Hodes"/>
          <w:rtl/>
        </w:rPr>
        <w:t>ק)</w:t>
      </w:r>
      <w:r w:rsidRPr="006A21D8">
        <w:rPr>
          <w:rStyle w:val="af7"/>
          <w:rFonts w:eastAsia="Guttman Hodes"/>
          <w:rtl/>
        </w:rPr>
        <w:fldChar w:fldCharType="end"/>
      </w:r>
      <w:r>
        <w:rPr>
          <w:rFonts w:hint="cs"/>
          <w:rtl/>
        </w:rPr>
        <w:t>.</w:t>
      </w:r>
    </w:p>
    <w:p w14:paraId="21AA78A4" w14:textId="77777777" w:rsidR="00FD0A61" w:rsidRPr="00FD0A61" w:rsidRDefault="00FD0A61" w:rsidP="00FD0A61">
      <w:pPr>
        <w:pStyle w:val="a3"/>
        <w:rPr>
          <w:rtl/>
        </w:rPr>
      </w:pPr>
    </w:p>
    <w:p w14:paraId="23E2FAA1" w14:textId="77777777" w:rsidR="00FD0A61" w:rsidRPr="00FD0A61" w:rsidRDefault="00FD0A61" w:rsidP="00FD0A61">
      <w:pPr>
        <w:pStyle w:val="a3"/>
        <w:rPr>
          <w:rtl/>
        </w:rPr>
      </w:pPr>
    </w:p>
    <w:p w14:paraId="55B5BE2A" w14:textId="77777777" w:rsidR="003D504D" w:rsidRDefault="003D504D" w:rsidP="00BF39B2">
      <w:pPr>
        <w:pStyle w:val="1"/>
        <w:rPr>
          <w:rtl/>
        </w:rPr>
      </w:pPr>
      <w:bookmarkStart w:id="24842" w:name="_Toc3661968"/>
      <w:bookmarkStart w:id="24843" w:name="_Toc3840828"/>
      <w:bookmarkStart w:id="24844" w:name="_Toc3929067"/>
      <w:bookmarkStart w:id="24845" w:name="_Toc3978465"/>
      <w:bookmarkStart w:id="24846" w:name="_Toc4012337"/>
      <w:bookmarkStart w:id="24847" w:name="_Toc4013369"/>
      <w:bookmarkStart w:id="24848" w:name="_Toc4022879"/>
      <w:bookmarkStart w:id="24849" w:name="_Toc4026704"/>
      <w:bookmarkStart w:id="24850" w:name="_Toc4139504"/>
      <w:bookmarkStart w:id="24851" w:name="_Toc4151598"/>
      <w:bookmarkStart w:id="24852" w:name="_Toc19392047"/>
      <w:bookmarkStart w:id="24853" w:name="_Toc19395544"/>
      <w:r w:rsidRPr="001E79E9">
        <w:rPr>
          <w:rFonts w:hint="cs"/>
          <w:rtl/>
        </w:rPr>
        <w:t xml:space="preserve">ביאור האבי עזרי </w:t>
      </w:r>
      <w:r>
        <w:rPr>
          <w:rFonts w:hint="cs"/>
          <w:rtl/>
        </w:rPr>
        <w:t>ב</w:t>
      </w:r>
      <w:r w:rsidRPr="001E79E9">
        <w:rPr>
          <w:rFonts w:hint="cs"/>
          <w:rtl/>
        </w:rPr>
        <w:t xml:space="preserve">רמב"ם </w:t>
      </w:r>
      <w:r>
        <w:rPr>
          <w:rFonts w:hint="cs"/>
          <w:rtl/>
        </w:rPr>
        <w:t>דל</w:t>
      </w:r>
      <w:r w:rsidRPr="001E79E9">
        <w:rPr>
          <w:rFonts w:hint="cs"/>
          <w:rtl/>
        </w:rPr>
        <w:t xml:space="preserve">ריו"ח </w:t>
      </w:r>
      <w:bookmarkEnd w:id="24842"/>
      <w:bookmarkEnd w:id="24843"/>
      <w:bookmarkEnd w:id="24844"/>
      <w:bookmarkEnd w:id="24845"/>
      <w:bookmarkEnd w:id="24846"/>
      <w:bookmarkEnd w:id="24847"/>
      <w:r>
        <w:rPr>
          <w:rFonts w:hint="cs"/>
          <w:rtl/>
        </w:rPr>
        <w:t>השחיטה ל"מ לאיסור חלב</w:t>
      </w:r>
      <w:bookmarkEnd w:id="24848"/>
      <w:bookmarkEnd w:id="24849"/>
      <w:bookmarkEnd w:id="24850"/>
      <w:bookmarkEnd w:id="24851"/>
      <w:bookmarkEnd w:id="24852"/>
      <w:bookmarkEnd w:id="24853"/>
    </w:p>
    <w:p w14:paraId="384D3CA1" w14:textId="77777777" w:rsidR="003D504D" w:rsidRDefault="003D504D" w:rsidP="003D504D">
      <w:pPr>
        <w:pStyle w:val="a3"/>
      </w:pPr>
      <w:bookmarkStart w:id="24854" w:name="_Toc4022880"/>
      <w:bookmarkStart w:id="24855" w:name="_Toc4026705"/>
      <w:bookmarkStart w:id="24856" w:name="_Toc4139505"/>
      <w:bookmarkStart w:id="24857" w:name="_Toc4151599"/>
      <w:bookmarkStart w:id="24858" w:name="_Toc19392048"/>
      <w:bookmarkStart w:id="24859" w:name="_Toc19395545"/>
      <w:r>
        <w:rPr>
          <w:rFonts w:hint="cs"/>
          <w:rtl/>
        </w:rPr>
        <w:t>דברי האבי עזרי ברמב"ם דמדאסר ריו"ח בתלש חלב מוכח דאין כח בשחיטה להתיר איסור חלב</w:t>
      </w:r>
      <w:bookmarkEnd w:id="24854"/>
      <w:bookmarkEnd w:id="24855"/>
      <w:bookmarkEnd w:id="24856"/>
      <w:bookmarkEnd w:id="24857"/>
      <w:bookmarkEnd w:id="24858"/>
      <w:bookmarkEnd w:id="24859"/>
    </w:p>
    <w:p w14:paraId="061BD17F" w14:textId="77777777" w:rsidR="003D504D" w:rsidRDefault="003D504D" w:rsidP="00223668">
      <w:pPr>
        <w:pStyle w:val="a0"/>
        <w:rPr>
          <w:rtl/>
        </w:rPr>
      </w:pPr>
      <w:bookmarkStart w:id="24860" w:name="_Ref4142106"/>
      <w:r>
        <w:rPr>
          <w:rFonts w:hint="cs"/>
          <w:rtl/>
        </w:rPr>
        <w:t xml:space="preserve">וביאר </w:t>
      </w:r>
      <w:r w:rsidRPr="00F65836">
        <w:rPr>
          <w:rStyle w:val="af9"/>
          <w:rFonts w:hint="cs"/>
          <w:rtl/>
        </w:rPr>
        <w:t>האבי עזרי</w:t>
      </w:r>
      <w:r>
        <w:rPr>
          <w:rFonts w:hint="cs"/>
          <w:rtl/>
        </w:rPr>
        <w:t xml:space="preserve"> </w:t>
      </w:r>
      <w:r w:rsidRPr="00F65836">
        <w:rPr>
          <w:rStyle w:val="af7"/>
          <w:rFonts w:eastAsia="Guttman Hodes" w:hint="cs"/>
          <w:rtl/>
        </w:rPr>
        <w:t>(מאכ"א פ"ז ה"ג ד'</w:t>
      </w:r>
      <w:r>
        <w:rPr>
          <w:rStyle w:val="af7"/>
          <w:rFonts w:eastAsia="Guttman Hodes" w:hint="cs"/>
          <w:rtl/>
        </w:rPr>
        <w:t xml:space="preserve"> ד"ה ואשר יראה</w:t>
      </w:r>
      <w:r w:rsidRPr="00F65836">
        <w:rPr>
          <w:rStyle w:val="af7"/>
          <w:rFonts w:eastAsia="Guttman Hodes" w:hint="cs"/>
          <w:rtl/>
        </w:rPr>
        <w:t>)</w:t>
      </w:r>
      <w:r>
        <w:rPr>
          <w:rFonts w:hint="cs"/>
          <w:rtl/>
        </w:rPr>
        <w:t xml:space="preserve"> דס"ל </w:t>
      </w:r>
      <w:r w:rsidRPr="00F029EE">
        <w:rPr>
          <w:rStyle w:val="af9"/>
          <w:rFonts w:hint="cs"/>
          <w:rtl/>
        </w:rPr>
        <w:t>להרמב"ם</w:t>
      </w:r>
      <w:r>
        <w:rPr>
          <w:rFonts w:hint="cs"/>
          <w:rtl/>
        </w:rPr>
        <w:t xml:space="preserve"> דכיון דס"ל לריו"ח דבתלש חלב חייב דחדשים גרמי, ולא בעינן אוירא דלידה, א"כ ודאי דלא יתכן דהשחיטה מתירה את החלב, דכיון שיש לחלב של העובר דין חלב גמור, פשיטא דאין שחיטת אמו מתירתו, כמו שאין כח בשחיטה להתיר את החלב של האם עצמה, ודיו לעובר שיהיה כאמו, </w:t>
      </w:r>
      <w:r w:rsidRPr="00F029EE">
        <w:rPr>
          <w:rStyle w:val="afb"/>
          <w:rFonts w:hint="cs"/>
          <w:rtl/>
        </w:rPr>
        <w:t xml:space="preserve">[וכדהקשה </w:t>
      </w:r>
      <w:r w:rsidRPr="00F029EE">
        <w:rPr>
          <w:rStyle w:val="affa"/>
          <w:rFonts w:hint="cs"/>
          <w:rtl/>
        </w:rPr>
        <w:t>הרא"ש</w:t>
      </w:r>
      <w:r w:rsidRPr="00F029EE">
        <w:rPr>
          <w:rStyle w:val="afb"/>
          <w:rFonts w:hint="cs"/>
          <w:rtl/>
        </w:rPr>
        <w:t xml:space="preserve"> </w:t>
      </w:r>
      <w:r>
        <w:rPr>
          <w:rStyle w:val="aff6"/>
          <w:rFonts w:hint="cs"/>
          <w:rtl/>
        </w:rPr>
        <w:t xml:space="preserve">(עי' </w:t>
      </w:r>
      <w:r w:rsidRPr="001B2DF0">
        <w:rPr>
          <w:rStyle w:val="aff6"/>
          <w:rFonts w:hint="cs"/>
          <w:rtl/>
        </w:rPr>
        <w:t xml:space="preserve">אות </w:t>
      </w:r>
      <w:r w:rsidRPr="001B2DF0">
        <w:rPr>
          <w:rStyle w:val="aff6"/>
          <w:rtl/>
        </w:rPr>
        <w:fldChar w:fldCharType="begin"/>
      </w:r>
      <w:r w:rsidRPr="001B2DF0">
        <w:rPr>
          <w:rStyle w:val="aff6"/>
          <w:rtl/>
        </w:rPr>
        <w:instrText xml:space="preserve"> </w:instrText>
      </w:r>
      <w:r w:rsidRPr="001B2DF0">
        <w:rPr>
          <w:rStyle w:val="aff6"/>
          <w:rFonts w:hint="cs"/>
        </w:rPr>
        <w:instrText>REF</w:instrText>
      </w:r>
      <w:r w:rsidRPr="001B2DF0">
        <w:rPr>
          <w:rStyle w:val="aff6"/>
          <w:rFonts w:hint="cs"/>
          <w:rtl/>
        </w:rPr>
        <w:instrText xml:space="preserve"> _</w:instrText>
      </w:r>
      <w:r w:rsidRPr="001B2DF0">
        <w:rPr>
          <w:rStyle w:val="aff6"/>
          <w:rFonts w:hint="cs"/>
        </w:rPr>
        <w:instrText>Ref4143984 \r \h</w:instrText>
      </w:r>
      <w:r w:rsidRPr="001B2DF0">
        <w:rPr>
          <w:rStyle w:val="aff6"/>
          <w:rtl/>
        </w:rPr>
        <w:instrText xml:space="preserve"> </w:instrText>
      </w:r>
      <w:r w:rsidRPr="001B2DF0">
        <w:rPr>
          <w:rStyle w:val="aff6"/>
          <w:rtl/>
        </w:rPr>
      </w:r>
      <w:r w:rsidRPr="001B2DF0">
        <w:rPr>
          <w:rStyle w:val="aff6"/>
          <w:rtl/>
        </w:rPr>
        <w:fldChar w:fldCharType="separate"/>
      </w:r>
      <w:r w:rsidR="00345400">
        <w:rPr>
          <w:rStyle w:val="aff6"/>
          <w:cs/>
        </w:rPr>
        <w:t>‎</w:t>
      </w:r>
      <w:r w:rsidR="00345400">
        <w:rPr>
          <w:rStyle w:val="aff6"/>
          <w:rtl/>
        </w:rPr>
        <w:t>טו)</w:t>
      </w:r>
      <w:r w:rsidRPr="001B2DF0">
        <w:rPr>
          <w:rStyle w:val="aff6"/>
          <w:rtl/>
        </w:rPr>
        <w:fldChar w:fldCharType="end"/>
      </w:r>
      <w:r w:rsidRPr="00F029EE">
        <w:rPr>
          <w:rStyle w:val="afb"/>
          <w:rFonts w:hint="cs"/>
          <w:rtl/>
        </w:rPr>
        <w:t>],</w:t>
      </w:r>
      <w:r>
        <w:rPr>
          <w:rFonts w:hint="cs"/>
          <w:rtl/>
        </w:rPr>
        <w:t xml:space="preserve"> דכל היתר "כל בבהמה תאכלו" הוא לענין השחיטה דהעובר א"צ שחיטה בפנ"ע, אך אין כח בהיתר להתיר איסורים אחרים כחלב, </w:t>
      </w:r>
      <w:r w:rsidRPr="00F029EE">
        <w:rPr>
          <w:rStyle w:val="afb"/>
          <w:rFonts w:hint="cs"/>
          <w:rtl/>
        </w:rPr>
        <w:t xml:space="preserve">[ודלא כביאור </w:t>
      </w:r>
      <w:r w:rsidRPr="00F029EE">
        <w:rPr>
          <w:rStyle w:val="affa"/>
          <w:rFonts w:hint="cs"/>
          <w:rtl/>
        </w:rPr>
        <w:t>הרא"ש</w:t>
      </w:r>
      <w:r w:rsidRPr="00F029EE">
        <w:rPr>
          <w:rStyle w:val="afb"/>
          <w:rFonts w:hint="cs"/>
          <w:rtl/>
        </w:rPr>
        <w:t xml:space="preserve"> </w:t>
      </w:r>
      <w:r>
        <w:rPr>
          <w:rStyle w:val="aff6"/>
          <w:rFonts w:hint="cs"/>
          <w:rtl/>
        </w:rPr>
        <w:t xml:space="preserve">(עי' </w:t>
      </w:r>
      <w:r w:rsidRPr="001B2DF0">
        <w:rPr>
          <w:rStyle w:val="aff6"/>
          <w:rFonts w:hint="cs"/>
          <w:rtl/>
        </w:rPr>
        <w:t xml:space="preserve">אות </w:t>
      </w:r>
      <w:r w:rsidRPr="001B2DF0">
        <w:rPr>
          <w:rStyle w:val="aff6"/>
          <w:rtl/>
        </w:rPr>
        <w:fldChar w:fldCharType="begin"/>
      </w:r>
      <w:r w:rsidRPr="001B2DF0">
        <w:rPr>
          <w:rStyle w:val="aff6"/>
          <w:rtl/>
        </w:rPr>
        <w:instrText xml:space="preserve"> </w:instrText>
      </w:r>
      <w:r w:rsidRPr="001B2DF0">
        <w:rPr>
          <w:rStyle w:val="aff6"/>
          <w:rFonts w:hint="cs"/>
        </w:rPr>
        <w:instrText>REF</w:instrText>
      </w:r>
      <w:r w:rsidRPr="001B2DF0">
        <w:rPr>
          <w:rStyle w:val="aff6"/>
          <w:rFonts w:hint="cs"/>
          <w:rtl/>
        </w:rPr>
        <w:instrText xml:space="preserve"> _</w:instrText>
      </w:r>
      <w:r w:rsidRPr="001B2DF0">
        <w:rPr>
          <w:rStyle w:val="aff6"/>
          <w:rFonts w:hint="cs"/>
        </w:rPr>
        <w:instrText>Ref4143417 \r \h</w:instrText>
      </w:r>
      <w:r w:rsidRPr="001B2DF0">
        <w:rPr>
          <w:rStyle w:val="aff6"/>
          <w:rtl/>
        </w:rPr>
        <w:instrText xml:space="preserve"> </w:instrText>
      </w:r>
      <w:r w:rsidRPr="001B2DF0">
        <w:rPr>
          <w:rStyle w:val="aff6"/>
          <w:rtl/>
        </w:rPr>
      </w:r>
      <w:r w:rsidRPr="001B2DF0">
        <w:rPr>
          <w:rStyle w:val="aff6"/>
          <w:rtl/>
        </w:rPr>
        <w:fldChar w:fldCharType="separate"/>
      </w:r>
      <w:r w:rsidR="00345400">
        <w:rPr>
          <w:rStyle w:val="aff6"/>
          <w:cs/>
        </w:rPr>
        <w:t>‎</w:t>
      </w:r>
      <w:r w:rsidR="00345400">
        <w:rPr>
          <w:rStyle w:val="aff6"/>
          <w:rtl/>
        </w:rPr>
        <w:t>טז)</w:t>
      </w:r>
      <w:r w:rsidRPr="001B2DF0">
        <w:rPr>
          <w:rStyle w:val="aff6"/>
          <w:rtl/>
        </w:rPr>
        <w:fldChar w:fldCharType="end"/>
      </w:r>
      <w:r w:rsidRPr="00F029EE">
        <w:rPr>
          <w:rStyle w:val="afb"/>
          <w:rFonts w:hint="cs"/>
          <w:rtl/>
        </w:rPr>
        <w:t>]</w:t>
      </w:r>
      <w:r>
        <w:rPr>
          <w:rFonts w:hint="cs"/>
          <w:rtl/>
        </w:rPr>
        <w:t>.</w:t>
      </w:r>
      <w:bookmarkEnd w:id="24860"/>
    </w:p>
    <w:p w14:paraId="7440A2EA" w14:textId="77777777" w:rsidR="003D504D" w:rsidRPr="000727D5" w:rsidRDefault="003D504D" w:rsidP="003D504D">
      <w:pPr>
        <w:pStyle w:val="a3"/>
        <w:rPr>
          <w:rtl/>
        </w:rPr>
      </w:pPr>
      <w:bookmarkStart w:id="24861" w:name="_Toc4022881"/>
      <w:bookmarkStart w:id="24862" w:name="_Toc4026706"/>
      <w:bookmarkStart w:id="24863" w:name="_Toc4139506"/>
      <w:bookmarkStart w:id="24864" w:name="_Toc4151600"/>
      <w:bookmarkStart w:id="24865" w:name="_Toc19392049"/>
      <w:bookmarkStart w:id="24866" w:name="_Toc19395546"/>
      <w:r>
        <w:rPr>
          <w:rFonts w:hint="cs"/>
          <w:rtl/>
        </w:rPr>
        <w:t>דברי האבי עזרי דלריו"ח היתר בחלב וגיד רק בבן ח' שהם כבשר אך בבן ט' השחיטה אינה מתירתם</w:t>
      </w:r>
      <w:bookmarkEnd w:id="24861"/>
      <w:bookmarkEnd w:id="24862"/>
      <w:bookmarkEnd w:id="24863"/>
      <w:bookmarkEnd w:id="24864"/>
      <w:bookmarkEnd w:id="24865"/>
      <w:bookmarkEnd w:id="24866"/>
      <w:r>
        <w:rPr>
          <w:rFonts w:hint="cs"/>
          <w:rtl/>
        </w:rPr>
        <w:t xml:space="preserve"> </w:t>
      </w:r>
    </w:p>
    <w:p w14:paraId="6EB6EA89" w14:textId="77777777" w:rsidR="003D504D" w:rsidRDefault="003D504D" w:rsidP="00223668">
      <w:pPr>
        <w:pStyle w:val="a0"/>
        <w:rPr>
          <w:rtl/>
        </w:rPr>
      </w:pPr>
      <w:r>
        <w:rPr>
          <w:rFonts w:hint="cs"/>
          <w:rtl/>
        </w:rPr>
        <w:t xml:space="preserve">וביאר </w:t>
      </w:r>
      <w:r w:rsidRPr="00F029EE">
        <w:rPr>
          <w:rStyle w:val="af9"/>
          <w:rFonts w:hint="cs"/>
          <w:rtl/>
        </w:rPr>
        <w:t xml:space="preserve">האבי עזרי </w:t>
      </w:r>
      <w:r>
        <w:rPr>
          <w:rFonts w:hint="cs"/>
          <w:rtl/>
        </w:rPr>
        <w:t xml:space="preserve">בדעת </w:t>
      </w:r>
      <w:r w:rsidRPr="00F029EE">
        <w:rPr>
          <w:rStyle w:val="af9"/>
          <w:rFonts w:hint="cs"/>
          <w:rtl/>
        </w:rPr>
        <w:t xml:space="preserve">הרמב"ם </w:t>
      </w:r>
      <w:r>
        <w:rPr>
          <w:rFonts w:hint="cs"/>
          <w:rtl/>
        </w:rPr>
        <w:t>דלפי"ז בבן ט' דס"ל לריו"ח דחדשים גרמי וחלבו הוא חלב גמור, ודאי דאינו מותר בשחיטת אמו, וההיתר בחלב הוא רק בבן ח' שאין לו חדשים ואינו בהמה, ולכן אין לחלב ולגיד שלו שם חלב וגיד, אלא הם כבשר בעלמא, ולכן הם מותרים בשחיטת האם, אבל בבן ט' דחלבו וגידו אסורים כתב</w:t>
      </w:r>
      <w:r w:rsidRPr="00F029EE">
        <w:rPr>
          <w:rStyle w:val="af9"/>
          <w:rFonts w:hint="cs"/>
          <w:rtl/>
        </w:rPr>
        <w:t xml:space="preserve"> האבי עזרי </w:t>
      </w:r>
      <w:r>
        <w:rPr>
          <w:rFonts w:hint="cs"/>
          <w:rtl/>
        </w:rPr>
        <w:t xml:space="preserve">דס"ל </w:t>
      </w:r>
      <w:r w:rsidRPr="00F029EE">
        <w:rPr>
          <w:rStyle w:val="af9"/>
          <w:rFonts w:hint="cs"/>
          <w:rtl/>
        </w:rPr>
        <w:t xml:space="preserve">להרמב"ם </w:t>
      </w:r>
      <w:r>
        <w:rPr>
          <w:rFonts w:hint="cs"/>
          <w:rtl/>
        </w:rPr>
        <w:t>בדעת ריו"ח דפשיטא דאין שחיטת האם מתירתם.</w:t>
      </w:r>
    </w:p>
    <w:p w14:paraId="7A506999" w14:textId="77777777" w:rsidR="003D504D" w:rsidRPr="004D47EE" w:rsidRDefault="003D504D" w:rsidP="00BF39B2">
      <w:pPr>
        <w:pStyle w:val="1"/>
        <w:rPr>
          <w:rtl/>
        </w:rPr>
      </w:pPr>
      <w:bookmarkStart w:id="24867" w:name="_Toc4022882"/>
      <w:bookmarkStart w:id="24868" w:name="_Toc4026707"/>
      <w:bookmarkStart w:id="24869" w:name="_Toc4139507"/>
      <w:bookmarkStart w:id="24870" w:name="_Toc4151601"/>
      <w:bookmarkStart w:id="24871" w:name="_Toc19392050"/>
      <w:bookmarkStart w:id="24872" w:name="_Toc19395547"/>
      <w:r>
        <w:rPr>
          <w:rFonts w:hint="cs"/>
          <w:rtl/>
        </w:rPr>
        <w:t>ביאור האבי עזרי דלריו"ח לא הלכו לשיטתם ורב הושעיא כר"ל</w:t>
      </w:r>
      <w:bookmarkEnd w:id="24867"/>
      <w:bookmarkEnd w:id="24868"/>
      <w:bookmarkEnd w:id="24869"/>
      <w:bookmarkEnd w:id="24870"/>
      <w:bookmarkEnd w:id="24871"/>
      <w:bookmarkEnd w:id="24872"/>
      <w:r>
        <w:rPr>
          <w:rFonts w:hint="cs"/>
          <w:rtl/>
        </w:rPr>
        <w:t xml:space="preserve"> </w:t>
      </w:r>
    </w:p>
    <w:p w14:paraId="79F01F12" w14:textId="77777777" w:rsidR="003D504D" w:rsidRDefault="003D504D" w:rsidP="003D504D">
      <w:pPr>
        <w:pStyle w:val="a3"/>
        <w:rPr>
          <w:rtl/>
        </w:rPr>
      </w:pPr>
      <w:bookmarkStart w:id="24873" w:name="_Toc4022883"/>
      <w:bookmarkStart w:id="24874" w:name="_Toc4026708"/>
      <w:bookmarkStart w:id="24875" w:name="_Toc4139508"/>
      <w:bookmarkStart w:id="24876" w:name="_Toc4151602"/>
      <w:bookmarkStart w:id="24877" w:name="_Toc19392051"/>
      <w:bookmarkStart w:id="24878" w:name="_Toc19395548"/>
      <w:r>
        <w:rPr>
          <w:rFonts w:hint="cs"/>
          <w:rtl/>
        </w:rPr>
        <w:t>דברי האבי עזרי דרב הושעיא כר"ל דהחלב כבשר ולר"מ חדשים גרמי ולכן אוסר בשחיטה וחלב</w:t>
      </w:r>
      <w:bookmarkEnd w:id="24873"/>
      <w:bookmarkEnd w:id="24874"/>
      <w:bookmarkEnd w:id="24875"/>
      <w:bookmarkEnd w:id="24876"/>
      <w:bookmarkEnd w:id="24877"/>
      <w:bookmarkEnd w:id="24878"/>
      <w:r>
        <w:rPr>
          <w:rFonts w:hint="cs"/>
          <w:rtl/>
        </w:rPr>
        <w:t xml:space="preserve"> </w:t>
      </w:r>
    </w:p>
    <w:p w14:paraId="0BE4E58F" w14:textId="77777777" w:rsidR="003D504D" w:rsidRDefault="003D504D" w:rsidP="00223668">
      <w:pPr>
        <w:pStyle w:val="a0"/>
        <w:rPr>
          <w:rtl/>
        </w:rPr>
      </w:pPr>
      <w:r>
        <w:rPr>
          <w:rFonts w:hint="cs"/>
          <w:rtl/>
        </w:rPr>
        <w:t xml:space="preserve">וכתב </w:t>
      </w:r>
      <w:r w:rsidRPr="001013AB">
        <w:rPr>
          <w:rStyle w:val="af9"/>
          <w:rFonts w:hint="cs"/>
          <w:rtl/>
        </w:rPr>
        <w:t>האבי עזרי</w:t>
      </w:r>
      <w:r>
        <w:rPr>
          <w:rFonts w:hint="cs"/>
          <w:rtl/>
        </w:rPr>
        <w:t xml:space="preserve"> דלכן ס"ל </w:t>
      </w:r>
      <w:r w:rsidRPr="001013AB">
        <w:rPr>
          <w:rStyle w:val="af9"/>
          <w:rFonts w:hint="cs"/>
          <w:rtl/>
        </w:rPr>
        <w:t>להרמב"ם</w:t>
      </w:r>
      <w:r>
        <w:rPr>
          <w:rFonts w:hint="cs"/>
          <w:rtl/>
        </w:rPr>
        <w:t xml:space="preserve"> דמוכח רב הושעיא דאמר דר"מ ור"י הלכו לשיטתם, ס"ל כר"ל דחדשים ואוירא דלידה בעינן, ולכן בתלש חלב אין חייב עליו, וס"ל לרב הושעיא דלדעת ר"י שחיטת האם מתירה את החלב אף בבן ט', כיון דאין לו שם חלב כ"ז שלא נולד, וכדביאר </w:t>
      </w:r>
      <w:r w:rsidRPr="001013AB">
        <w:rPr>
          <w:rStyle w:val="af9"/>
          <w:rFonts w:hint="cs"/>
          <w:rtl/>
        </w:rPr>
        <w:t>רש"י במתני'</w:t>
      </w:r>
      <w:r>
        <w:rPr>
          <w:rFonts w:hint="cs"/>
          <w:rtl/>
        </w:rPr>
        <w:t xml:space="preserve"> </w:t>
      </w:r>
      <w:r w:rsidRPr="001013AB">
        <w:rPr>
          <w:rStyle w:val="af7"/>
          <w:rFonts w:eastAsia="Guttman Hodes" w:hint="cs"/>
          <w:rtl/>
        </w:rPr>
        <w:t xml:space="preserve">(עד. ד"ה קורעו) </w:t>
      </w:r>
      <w:r>
        <w:rPr>
          <w:rFonts w:hint="cs"/>
          <w:rtl/>
        </w:rPr>
        <w:t xml:space="preserve">דבליכא חדשים ואוירא אין לו שם בהמה, ולכן שחיטת האם מתירה את החלב, ובדעת ר"מ ס"ל לרב הושעיא דכיון דבן ט' חי אינו מותר בשחיטת אמו, דחדשים לבד גרמי, ולכן חלבו אסור, דיש לעובר שם בהמה בפנ"ע, ואינו בכלל היתר "כל בבהמה תאכלו" כדכתב </w:t>
      </w:r>
      <w:r w:rsidRPr="001013AB">
        <w:rPr>
          <w:rStyle w:val="af9"/>
          <w:rFonts w:hint="cs"/>
          <w:rtl/>
        </w:rPr>
        <w:t>רש"י במתני</w:t>
      </w:r>
      <w:r>
        <w:rPr>
          <w:rStyle w:val="af9"/>
          <w:rFonts w:hint="cs"/>
          <w:rtl/>
        </w:rPr>
        <w:t>'</w:t>
      </w:r>
      <w:r>
        <w:rPr>
          <w:rFonts w:hint="cs"/>
          <w:rtl/>
        </w:rPr>
        <w:t xml:space="preserve">, וממילא אין היתר על חלבו וגידו, וכתב </w:t>
      </w:r>
      <w:r w:rsidRPr="001013AB">
        <w:rPr>
          <w:rStyle w:val="af9"/>
          <w:rFonts w:hint="cs"/>
          <w:rtl/>
        </w:rPr>
        <w:t>האבי עזרי</w:t>
      </w:r>
      <w:r>
        <w:rPr>
          <w:rFonts w:hint="cs"/>
          <w:rtl/>
        </w:rPr>
        <w:t xml:space="preserve"> בדעת </w:t>
      </w:r>
      <w:r w:rsidRPr="001013AB">
        <w:rPr>
          <w:rStyle w:val="af9"/>
          <w:rFonts w:hint="cs"/>
          <w:rtl/>
        </w:rPr>
        <w:t>הרמב"ם</w:t>
      </w:r>
      <w:r>
        <w:rPr>
          <w:rFonts w:hint="cs"/>
          <w:rtl/>
        </w:rPr>
        <w:t xml:space="preserve"> דזו כוונת רב הושעיא שאמר דהלכו ר"מ ור"י לשיטתם.</w:t>
      </w:r>
    </w:p>
    <w:p w14:paraId="674767B4" w14:textId="77777777" w:rsidR="003D504D" w:rsidRDefault="003D504D" w:rsidP="003D504D">
      <w:pPr>
        <w:pStyle w:val="a3"/>
      </w:pPr>
      <w:bookmarkStart w:id="24879" w:name="_Toc4022884"/>
      <w:bookmarkStart w:id="24880" w:name="_Toc4026709"/>
      <w:bookmarkStart w:id="24881" w:name="_Toc4139509"/>
      <w:bookmarkStart w:id="24882" w:name="_Toc4151603"/>
      <w:bookmarkStart w:id="24883" w:name="_Toc19392052"/>
      <w:bookmarkStart w:id="24884" w:name="_Toc19395549"/>
      <w:r>
        <w:rPr>
          <w:rFonts w:hint="cs"/>
          <w:rtl/>
        </w:rPr>
        <w:t>דברי האבי עזרי דלריו"ח דחדשים גרמי א"א לומר דהלכו לשיטתם דשחיטה אינה מתירה חלב</w:t>
      </w:r>
      <w:bookmarkEnd w:id="24879"/>
      <w:bookmarkEnd w:id="24880"/>
      <w:bookmarkEnd w:id="24881"/>
      <w:bookmarkEnd w:id="24882"/>
      <w:bookmarkEnd w:id="24883"/>
      <w:bookmarkEnd w:id="24884"/>
    </w:p>
    <w:p w14:paraId="39624C8B" w14:textId="77777777" w:rsidR="003D504D" w:rsidRDefault="003D504D" w:rsidP="00223668">
      <w:pPr>
        <w:pStyle w:val="a0"/>
        <w:rPr>
          <w:rtl/>
        </w:rPr>
      </w:pPr>
      <w:r>
        <w:rPr>
          <w:rFonts w:hint="cs"/>
          <w:rtl/>
        </w:rPr>
        <w:t xml:space="preserve">אבל בדעת ריו"ח ביאר </w:t>
      </w:r>
      <w:r w:rsidRPr="00083269">
        <w:rPr>
          <w:rStyle w:val="af9"/>
          <w:rFonts w:hint="cs"/>
          <w:rtl/>
        </w:rPr>
        <w:t>האבי עזרי</w:t>
      </w:r>
      <w:r>
        <w:rPr>
          <w:rFonts w:hint="cs"/>
          <w:rtl/>
        </w:rPr>
        <w:t xml:space="preserve"> בדעת </w:t>
      </w:r>
      <w:r w:rsidRPr="00083269">
        <w:rPr>
          <w:rStyle w:val="af9"/>
          <w:rFonts w:hint="cs"/>
          <w:rtl/>
        </w:rPr>
        <w:t>הרמב"ם</w:t>
      </w:r>
      <w:r>
        <w:rPr>
          <w:rFonts w:hint="cs"/>
          <w:rtl/>
        </w:rPr>
        <w:t xml:space="preserve"> דס"ל דחדשים לבד גרמי, ויש לעובר שם בהמה בפנ"ע, וחלבו הוא חלב גמור, לא יתכן לומר דהלכו ר"מ ור"י לשיטתם, דאף לר"י דבן ט' חי מותר בשחיטת אמו, מ"מ א"א לומר דחלבו מותר ע"י השחיטה, דהא ס"ל </w:t>
      </w:r>
      <w:r w:rsidRPr="004411EA">
        <w:rPr>
          <w:rStyle w:val="af9"/>
          <w:rFonts w:hint="cs"/>
          <w:rtl/>
        </w:rPr>
        <w:t>להרמב"ם</w:t>
      </w:r>
      <w:r>
        <w:rPr>
          <w:rFonts w:hint="cs"/>
          <w:rtl/>
        </w:rPr>
        <w:t xml:space="preserve"> דאין כח לשחיטה להתיר את האיסור חלב של העובר, דדיו לעובר שיהיה כאמו דשחיטתה אינה מתירה את החלב שלה.</w:t>
      </w:r>
    </w:p>
    <w:p w14:paraId="0B1F3668" w14:textId="77777777" w:rsidR="003D504D" w:rsidRPr="00DB7CFE" w:rsidRDefault="003D504D" w:rsidP="00BF39B2">
      <w:pPr>
        <w:pStyle w:val="1"/>
        <w:rPr>
          <w:rtl/>
        </w:rPr>
      </w:pPr>
      <w:bookmarkStart w:id="24885" w:name="_Toc4022885"/>
      <w:bookmarkStart w:id="24886" w:name="_Toc4026710"/>
      <w:bookmarkStart w:id="24887" w:name="_Toc4139510"/>
      <w:bookmarkStart w:id="24888" w:name="_Toc4151604"/>
      <w:bookmarkStart w:id="24889" w:name="_Toc19392053"/>
      <w:bookmarkStart w:id="24890" w:name="_Toc19395550"/>
      <w:r>
        <w:rPr>
          <w:rFonts w:hint="cs"/>
          <w:rtl/>
        </w:rPr>
        <w:t>ביאור האבי עזרי דהרמב"ם כתוס' דלריו"ח בעינן אויר העולם</w:t>
      </w:r>
      <w:bookmarkEnd w:id="24885"/>
      <w:bookmarkEnd w:id="24886"/>
      <w:bookmarkEnd w:id="24887"/>
      <w:bookmarkEnd w:id="24888"/>
      <w:bookmarkEnd w:id="24889"/>
      <w:bookmarkEnd w:id="24890"/>
    </w:p>
    <w:p w14:paraId="4776F951" w14:textId="77777777" w:rsidR="003D504D" w:rsidRPr="00503A85" w:rsidRDefault="003D504D" w:rsidP="003D504D">
      <w:pPr>
        <w:pStyle w:val="a3"/>
        <w:rPr>
          <w:rtl/>
        </w:rPr>
      </w:pPr>
      <w:bookmarkStart w:id="24891" w:name="_Toc4022886"/>
      <w:bookmarkStart w:id="24892" w:name="_Toc4026711"/>
      <w:bookmarkStart w:id="24893" w:name="_Toc4139511"/>
      <w:bookmarkStart w:id="24894" w:name="_Toc4151605"/>
      <w:bookmarkStart w:id="24895" w:name="_Toc19392054"/>
      <w:bookmarkStart w:id="24896" w:name="_Toc19395551"/>
      <w:r>
        <w:rPr>
          <w:rFonts w:hint="cs"/>
          <w:rtl/>
        </w:rPr>
        <w:t>ביאור האבי עזרי דלריו"ח נחלקו ר"מ ור"י אי בעינן חדשים ואויר העולם או דהוי חלב משעת יצירתו</w:t>
      </w:r>
      <w:bookmarkEnd w:id="24891"/>
      <w:bookmarkEnd w:id="24892"/>
      <w:bookmarkEnd w:id="24893"/>
      <w:bookmarkEnd w:id="24894"/>
      <w:bookmarkEnd w:id="24895"/>
      <w:bookmarkEnd w:id="24896"/>
    </w:p>
    <w:p w14:paraId="3A47617B" w14:textId="77777777" w:rsidR="003D504D" w:rsidRDefault="003D504D" w:rsidP="00223668">
      <w:pPr>
        <w:pStyle w:val="a0"/>
        <w:rPr>
          <w:rtl/>
        </w:rPr>
      </w:pPr>
      <w:bookmarkStart w:id="24897" w:name="_Ref3201282"/>
      <w:r>
        <w:rPr>
          <w:rFonts w:hint="cs"/>
          <w:rtl/>
        </w:rPr>
        <w:t xml:space="preserve">וכתב </w:t>
      </w:r>
      <w:r w:rsidRPr="006C2329">
        <w:rPr>
          <w:rStyle w:val="af9"/>
          <w:rFonts w:hint="cs"/>
          <w:rtl/>
        </w:rPr>
        <w:t>האבי עזרי</w:t>
      </w:r>
      <w:r>
        <w:rPr>
          <w:rFonts w:hint="cs"/>
          <w:rtl/>
        </w:rPr>
        <w:t xml:space="preserve"> דס"ל </w:t>
      </w:r>
      <w:r w:rsidRPr="006C2329">
        <w:rPr>
          <w:rStyle w:val="af9"/>
          <w:rFonts w:hint="cs"/>
          <w:rtl/>
        </w:rPr>
        <w:t>להרמב"ם</w:t>
      </w:r>
      <w:r>
        <w:rPr>
          <w:rFonts w:hint="cs"/>
          <w:rtl/>
        </w:rPr>
        <w:t xml:space="preserve"> דלדעת ריו"ח מוכח דפלוגתת ר"מ ור"י בדין החלב, לא שייכא כלל לפלוגתתם בדין שחיטה, אלא דר"מ ס"ל דאיסור חלב וגיד חלים מיד כשנוצר העובר, ולא בעינן חדשים ואוירא כלל, ולכן אמר ר"מ במתני' לקמן </w:t>
      </w:r>
      <w:r w:rsidRPr="00083269">
        <w:rPr>
          <w:rStyle w:val="af7"/>
          <w:rFonts w:eastAsia="Guttman Hodes" w:hint="cs"/>
          <w:rtl/>
        </w:rPr>
        <w:t>(פט:)</w:t>
      </w:r>
      <w:r>
        <w:rPr>
          <w:rFonts w:hint="cs"/>
          <w:rtl/>
        </w:rPr>
        <w:t xml:space="preserve"> דגיד הנשה נוהג בשליל, ור"י ס"ל דלאיסור חלב וגיד בעינן חדשים ואוירא, ולכן אמר ר"י במתני' לקמן </w:t>
      </w:r>
      <w:r w:rsidRPr="00083269">
        <w:rPr>
          <w:rStyle w:val="af7"/>
          <w:rFonts w:eastAsia="Guttman Hodes" w:hint="cs"/>
          <w:rtl/>
        </w:rPr>
        <w:t>(פט:)</w:t>
      </w:r>
      <w:r>
        <w:rPr>
          <w:rFonts w:hint="cs"/>
          <w:rtl/>
        </w:rPr>
        <w:t xml:space="preserve"> דגיד הנשה אינו נוהג בשליל, אלא דלר"י החלב והגיד נאסרים באויר העולם, אף שאינו אוירא דלידה, וכדכתבו </w:t>
      </w:r>
      <w:r w:rsidRPr="00D32F9F">
        <w:rPr>
          <w:rStyle w:val="af9"/>
          <w:rFonts w:hint="cs"/>
          <w:rtl/>
        </w:rPr>
        <w:t xml:space="preserve">התוס' </w:t>
      </w:r>
      <w:r w:rsidRPr="00D32F9F">
        <w:rPr>
          <w:rStyle w:val="af7"/>
          <w:rFonts w:eastAsia="Guttman Hodes" w:hint="cs"/>
          <w:rtl/>
        </w:rPr>
        <w:t xml:space="preserve">(עי' אות </w:t>
      </w:r>
      <w:r w:rsidRPr="00D32F9F">
        <w:rPr>
          <w:rStyle w:val="af7"/>
          <w:rFonts w:eastAsia="Guttman Hodes"/>
          <w:rtl/>
        </w:rPr>
        <w:fldChar w:fldCharType="begin"/>
      </w:r>
      <w:r w:rsidRPr="00D32F9F">
        <w:rPr>
          <w:rStyle w:val="af7"/>
          <w:rFonts w:eastAsia="Guttman Hodes"/>
          <w:rtl/>
        </w:rPr>
        <w:instrText xml:space="preserve"> </w:instrText>
      </w:r>
      <w:r w:rsidRPr="00D32F9F">
        <w:rPr>
          <w:rStyle w:val="af7"/>
          <w:rFonts w:eastAsia="Guttman Hodes" w:hint="cs"/>
        </w:rPr>
        <w:instrText>REF</w:instrText>
      </w:r>
      <w:r w:rsidRPr="00D32F9F">
        <w:rPr>
          <w:rStyle w:val="af7"/>
          <w:rFonts w:eastAsia="Guttman Hodes" w:hint="cs"/>
          <w:rtl/>
        </w:rPr>
        <w:instrText xml:space="preserve"> _</w:instrText>
      </w:r>
      <w:r w:rsidRPr="00D32F9F">
        <w:rPr>
          <w:rStyle w:val="af7"/>
          <w:rFonts w:eastAsia="Guttman Hodes" w:hint="cs"/>
        </w:rPr>
        <w:instrText>Ref4143378 \r \h</w:instrText>
      </w:r>
      <w:r w:rsidRPr="00D32F9F">
        <w:rPr>
          <w:rStyle w:val="af7"/>
          <w:rFonts w:eastAsia="Guttman Hodes"/>
          <w:rtl/>
        </w:rPr>
        <w:instrText xml:space="preserve"> </w:instrText>
      </w:r>
      <w:r w:rsidRPr="00D32F9F">
        <w:rPr>
          <w:rStyle w:val="af7"/>
          <w:rFonts w:eastAsia="Guttman Hodes"/>
          <w:rtl/>
        </w:rPr>
      </w:r>
      <w:r w:rsidRPr="00D32F9F">
        <w:rPr>
          <w:rStyle w:val="af7"/>
          <w:rFonts w:eastAsia="Guttman Hodes"/>
          <w:rtl/>
        </w:rPr>
        <w:fldChar w:fldCharType="separate"/>
      </w:r>
      <w:r w:rsidR="00345400">
        <w:rPr>
          <w:rStyle w:val="af7"/>
          <w:rFonts w:eastAsia="Guttman Hodes"/>
          <w:cs/>
        </w:rPr>
        <w:t>‎</w:t>
      </w:r>
      <w:r w:rsidR="00345400">
        <w:rPr>
          <w:rStyle w:val="af7"/>
          <w:rFonts w:eastAsia="Guttman Hodes"/>
          <w:rtl/>
        </w:rPr>
        <w:t>יד)</w:t>
      </w:r>
      <w:r w:rsidRPr="00D32F9F">
        <w:rPr>
          <w:rStyle w:val="af7"/>
          <w:rFonts w:eastAsia="Guttman Hodes"/>
          <w:rtl/>
        </w:rPr>
        <w:fldChar w:fldCharType="end"/>
      </w:r>
      <w:r>
        <w:rPr>
          <w:rFonts w:hint="cs"/>
          <w:rtl/>
        </w:rPr>
        <w:t xml:space="preserve">, וכ"כ </w:t>
      </w:r>
      <w:r w:rsidRPr="000311B9">
        <w:rPr>
          <w:rStyle w:val="af9"/>
          <w:rFonts w:hint="cs"/>
          <w:rtl/>
        </w:rPr>
        <w:t>האמרי משה</w:t>
      </w:r>
      <w:r>
        <w:rPr>
          <w:rFonts w:hint="cs"/>
          <w:rtl/>
        </w:rPr>
        <w:t xml:space="preserve"> </w:t>
      </w:r>
      <w:r w:rsidRPr="00EA5FAC">
        <w:rPr>
          <w:rStyle w:val="af7"/>
          <w:rFonts w:eastAsia="Guttman Hodes" w:hint="cs"/>
          <w:rtl/>
        </w:rPr>
        <w:t xml:space="preserve">(עי' אות </w:t>
      </w:r>
      <w:r w:rsidRPr="00EA5FAC">
        <w:rPr>
          <w:rStyle w:val="af7"/>
          <w:rFonts w:eastAsia="Guttman Hodes"/>
          <w:rtl/>
        </w:rPr>
        <w:fldChar w:fldCharType="begin"/>
      </w:r>
      <w:r w:rsidRPr="00EA5FAC">
        <w:rPr>
          <w:rStyle w:val="af7"/>
          <w:rFonts w:eastAsia="Guttman Hodes"/>
          <w:rtl/>
        </w:rPr>
        <w:instrText xml:space="preserve"> </w:instrText>
      </w:r>
      <w:r w:rsidRPr="00EA5FAC">
        <w:rPr>
          <w:rStyle w:val="af7"/>
          <w:rFonts w:eastAsia="Guttman Hodes" w:hint="cs"/>
        </w:rPr>
        <w:instrText>REF</w:instrText>
      </w:r>
      <w:r w:rsidRPr="00EA5FAC">
        <w:rPr>
          <w:rStyle w:val="af7"/>
          <w:rFonts w:eastAsia="Guttman Hodes" w:hint="cs"/>
          <w:rtl/>
        </w:rPr>
        <w:instrText xml:space="preserve"> _</w:instrText>
      </w:r>
      <w:r w:rsidRPr="00EA5FAC">
        <w:rPr>
          <w:rStyle w:val="af7"/>
          <w:rFonts w:eastAsia="Guttman Hodes" w:hint="cs"/>
        </w:rPr>
        <w:instrText>Ref4015199 \r \h</w:instrText>
      </w:r>
      <w:r w:rsidRPr="00EA5FAC">
        <w:rPr>
          <w:rStyle w:val="af7"/>
          <w:rFonts w:eastAsia="Guttman Hodes"/>
          <w:rtl/>
        </w:rPr>
        <w:instrText xml:space="preserve"> </w:instrText>
      </w:r>
      <w:r w:rsidRPr="00EA5FAC">
        <w:rPr>
          <w:rStyle w:val="af7"/>
          <w:rFonts w:eastAsia="Guttman Hodes"/>
          <w:rtl/>
        </w:rPr>
      </w:r>
      <w:r w:rsidRPr="00EA5FAC">
        <w:rPr>
          <w:rStyle w:val="af7"/>
          <w:rFonts w:eastAsia="Guttman Hodes"/>
          <w:rtl/>
        </w:rPr>
        <w:fldChar w:fldCharType="separate"/>
      </w:r>
      <w:r w:rsidR="00345400">
        <w:rPr>
          <w:rStyle w:val="af7"/>
          <w:rFonts w:eastAsia="Guttman Hodes"/>
          <w:cs/>
        </w:rPr>
        <w:t>‎</w:t>
      </w:r>
      <w:r w:rsidR="00345400">
        <w:rPr>
          <w:rStyle w:val="af7"/>
          <w:rFonts w:eastAsia="Guttman Hodes"/>
          <w:rtl/>
        </w:rPr>
        <w:t>פח)</w:t>
      </w:r>
      <w:r w:rsidRPr="00EA5FAC">
        <w:rPr>
          <w:rStyle w:val="af7"/>
          <w:rFonts w:eastAsia="Guttman Hodes"/>
          <w:rtl/>
        </w:rPr>
        <w:fldChar w:fldCharType="end"/>
      </w:r>
      <w:r w:rsidRPr="00EA5FAC">
        <w:rPr>
          <w:rStyle w:val="af7"/>
          <w:rFonts w:eastAsia="Guttman Hodes" w:hint="cs"/>
          <w:rtl/>
        </w:rPr>
        <w:t xml:space="preserve"> </w:t>
      </w:r>
      <w:r w:rsidRPr="000311B9">
        <w:rPr>
          <w:rStyle w:val="af9"/>
          <w:rFonts w:hint="cs"/>
          <w:rtl/>
        </w:rPr>
        <w:t>דהרמב"ם</w:t>
      </w:r>
      <w:r>
        <w:rPr>
          <w:rFonts w:hint="cs"/>
          <w:rtl/>
        </w:rPr>
        <w:t xml:space="preserve"> ס"ל </w:t>
      </w:r>
      <w:r w:rsidRPr="000311B9">
        <w:rPr>
          <w:rStyle w:val="af9"/>
          <w:rFonts w:hint="cs"/>
          <w:rtl/>
        </w:rPr>
        <w:t>כהתוס'</w:t>
      </w:r>
      <w:r>
        <w:rPr>
          <w:rFonts w:hint="cs"/>
          <w:rtl/>
        </w:rPr>
        <w:t>, דלריו"ח בעינן חדשים ואויר העולם.</w:t>
      </w:r>
      <w:bookmarkEnd w:id="24897"/>
    </w:p>
    <w:p w14:paraId="5F738958" w14:textId="77777777" w:rsidR="00FD0A61" w:rsidRPr="00FD0A61" w:rsidRDefault="00FD0A61" w:rsidP="00FD0A61">
      <w:pPr>
        <w:pStyle w:val="a3"/>
        <w:rPr>
          <w:rtl/>
        </w:rPr>
      </w:pPr>
    </w:p>
    <w:p w14:paraId="6E68D0C1" w14:textId="77777777" w:rsidR="003D504D" w:rsidRPr="00EA5FAC" w:rsidRDefault="003D504D" w:rsidP="003D504D">
      <w:pPr>
        <w:pStyle w:val="a3"/>
        <w:rPr>
          <w:rtl/>
        </w:rPr>
      </w:pPr>
      <w:bookmarkStart w:id="24898" w:name="_Toc4022887"/>
      <w:bookmarkStart w:id="24899" w:name="_Toc4026712"/>
      <w:bookmarkStart w:id="24900" w:name="_Toc4139512"/>
      <w:bookmarkStart w:id="24901" w:name="_Toc4151606"/>
      <w:bookmarkStart w:id="24902" w:name="_Toc19392055"/>
      <w:bookmarkStart w:id="24903" w:name="_Toc19395552"/>
      <w:r>
        <w:rPr>
          <w:rFonts w:hint="cs"/>
          <w:rtl/>
        </w:rPr>
        <w:t>דברי האבי עזרי דבגמ' לקמן מוכח דנחלקו ר"מ ור"י מתי חל איסור חלב וגיד ולא הלכו לשיטתם</w:t>
      </w:r>
      <w:bookmarkEnd w:id="24898"/>
      <w:bookmarkEnd w:id="24899"/>
      <w:bookmarkEnd w:id="24900"/>
      <w:bookmarkEnd w:id="24901"/>
      <w:bookmarkEnd w:id="24902"/>
      <w:bookmarkEnd w:id="24903"/>
    </w:p>
    <w:p w14:paraId="461D6982" w14:textId="77777777" w:rsidR="003D504D" w:rsidRDefault="003D504D" w:rsidP="00223668">
      <w:pPr>
        <w:pStyle w:val="a0"/>
        <w:rPr>
          <w:rtl/>
        </w:rPr>
      </w:pPr>
      <w:bookmarkStart w:id="24904" w:name="_Ref4015509"/>
      <w:r>
        <w:rPr>
          <w:rFonts w:hint="cs"/>
          <w:rtl/>
        </w:rPr>
        <w:t xml:space="preserve">והביא </w:t>
      </w:r>
      <w:r w:rsidRPr="00C1452A">
        <w:rPr>
          <w:rStyle w:val="af9"/>
          <w:rFonts w:hint="cs"/>
          <w:rtl/>
        </w:rPr>
        <w:t>האבי עזרי</w:t>
      </w:r>
      <w:r>
        <w:rPr>
          <w:rFonts w:hint="cs"/>
          <w:rtl/>
        </w:rPr>
        <w:t xml:space="preserve"> ראיה לביאורו בדעת </w:t>
      </w:r>
      <w:r w:rsidRPr="00C1452A">
        <w:rPr>
          <w:rStyle w:val="af9"/>
          <w:rFonts w:hint="cs"/>
          <w:rtl/>
        </w:rPr>
        <w:t>הרמב"ם</w:t>
      </w:r>
      <w:r>
        <w:rPr>
          <w:rFonts w:hint="cs"/>
          <w:rtl/>
        </w:rPr>
        <w:t xml:space="preserve"> דפלוגתת ר"י ור"מ בגיד לא שייכא לפלוגתתם בשחיטה, מקושית </w:t>
      </w:r>
      <w:r w:rsidRPr="00C1452A">
        <w:rPr>
          <w:rStyle w:val="af9"/>
          <w:rFonts w:hint="cs"/>
          <w:rtl/>
        </w:rPr>
        <w:t xml:space="preserve">התוס'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Ref3915665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יח)</w:t>
      </w:r>
      <w:r>
        <w:rPr>
          <w:rStyle w:val="af7"/>
          <w:rFonts w:eastAsia="Guttman Hodes"/>
          <w:rtl/>
        </w:rPr>
        <w:fldChar w:fldCharType="end"/>
      </w:r>
      <w:r>
        <w:rPr>
          <w:rStyle w:val="af7"/>
          <w:rFonts w:eastAsia="Guttman Hodes" w:hint="cs"/>
          <w:rtl/>
        </w:rPr>
        <w:t xml:space="preserve"> </w:t>
      </w:r>
      <w:r w:rsidRPr="00C1452A">
        <w:rPr>
          <w:rStyle w:val="af7"/>
          <w:rFonts w:eastAsia="Guttman Hodes" w:hint="cs"/>
          <w:rtl/>
        </w:rPr>
        <w:t xml:space="preserve"> </w:t>
      </w:r>
      <w:r>
        <w:rPr>
          <w:rFonts w:hint="cs"/>
          <w:rtl/>
        </w:rPr>
        <w:t xml:space="preserve">בגמ' לקמן </w:t>
      </w:r>
      <w:r w:rsidRPr="00A719F8">
        <w:rPr>
          <w:rStyle w:val="af7"/>
          <w:rFonts w:eastAsia="Guttman Hodes" w:hint="cs"/>
          <w:rtl/>
        </w:rPr>
        <w:t>(פט:)</w:t>
      </w:r>
      <w:r>
        <w:rPr>
          <w:rFonts w:hint="cs"/>
          <w:rtl/>
        </w:rPr>
        <w:t xml:space="preserve"> דמבואר דהגמ' שם לא סברה כרב הושעיא דהלכו ר"מ ור"י לשיטתם, וכתב </w:t>
      </w:r>
      <w:r w:rsidRPr="00C1452A">
        <w:rPr>
          <w:rStyle w:val="af9"/>
          <w:rFonts w:hint="cs"/>
          <w:rtl/>
        </w:rPr>
        <w:t>האבי עזרי</w:t>
      </w:r>
      <w:r>
        <w:rPr>
          <w:rFonts w:hint="cs"/>
          <w:rtl/>
        </w:rPr>
        <w:t xml:space="preserve"> דמזה הוכיח </w:t>
      </w:r>
      <w:r w:rsidRPr="00C1452A">
        <w:rPr>
          <w:rStyle w:val="af9"/>
          <w:rFonts w:hint="cs"/>
          <w:rtl/>
        </w:rPr>
        <w:t>הרמב"ם</w:t>
      </w:r>
      <w:r>
        <w:rPr>
          <w:rFonts w:hint="cs"/>
          <w:rtl/>
        </w:rPr>
        <w:t xml:space="preserve"> דא"א לחלק בין גיד דשליל שנשחטה אמו לגיד דשליל דלא נשחטה אמו, דפלוגתת ר"מ ור"י בדין הגיד לא שייכא לשחיטת האם כלל, אלא דר"מ ס"ל דאיסור חלב וגיד חלים משעת יצירת העובר ולא בעינן חדשים ואוירא כלל, ור"י ס"ל דרק ע"י חדשים ואוירא חל איסור חלב וגיד</w:t>
      </w:r>
      <w:r>
        <w:rPr>
          <w:rFonts w:asciiTheme="minorHAnsi" w:hAnsiTheme="minorHAnsi" w:hint="cs"/>
          <w:rtl/>
        </w:rPr>
        <w:t xml:space="preserve">, וכבר כתב כן </w:t>
      </w:r>
      <w:r w:rsidRPr="0076159F">
        <w:rPr>
          <w:rStyle w:val="af9"/>
          <w:rFonts w:hint="cs"/>
          <w:rtl/>
        </w:rPr>
        <w:t>הש"ך בהארוך מש"ך</w:t>
      </w:r>
      <w:r>
        <w:rPr>
          <w:rFonts w:asciiTheme="minorHAnsi" w:hAnsiTheme="minorHAnsi" w:hint="cs"/>
          <w:rtl/>
        </w:rPr>
        <w:t xml:space="preserve"> </w:t>
      </w:r>
      <w:r w:rsidRPr="00585CFD">
        <w:rPr>
          <w:rStyle w:val="af7"/>
          <w:rFonts w:eastAsia="Guttman Hodes" w:hint="cs"/>
          <w:rtl/>
        </w:rPr>
        <w:t xml:space="preserve">(עי' אות </w:t>
      </w:r>
      <w:r w:rsidRPr="00585CFD">
        <w:rPr>
          <w:rStyle w:val="af7"/>
          <w:rFonts w:eastAsia="Guttman Hodes"/>
          <w:rtl/>
        </w:rPr>
        <w:fldChar w:fldCharType="begin"/>
      </w:r>
      <w:r w:rsidRPr="00585CFD">
        <w:rPr>
          <w:rStyle w:val="af7"/>
          <w:rFonts w:eastAsia="Guttman Hodes"/>
          <w:rtl/>
        </w:rPr>
        <w:instrText xml:space="preserve"> </w:instrText>
      </w:r>
      <w:r w:rsidRPr="00585CFD">
        <w:rPr>
          <w:rStyle w:val="af7"/>
          <w:rFonts w:eastAsia="Guttman Hodes" w:hint="cs"/>
        </w:rPr>
        <w:instrText>REF</w:instrText>
      </w:r>
      <w:r w:rsidRPr="00585CFD">
        <w:rPr>
          <w:rStyle w:val="af7"/>
          <w:rFonts w:eastAsia="Guttman Hodes" w:hint="cs"/>
          <w:rtl/>
        </w:rPr>
        <w:instrText xml:space="preserve"> _</w:instrText>
      </w:r>
      <w:r w:rsidRPr="00585CFD">
        <w:rPr>
          <w:rStyle w:val="af7"/>
          <w:rFonts w:eastAsia="Guttman Hodes" w:hint="cs"/>
        </w:rPr>
        <w:instrText>Ref4007462 \r \h</w:instrText>
      </w:r>
      <w:r w:rsidRPr="00585CFD">
        <w:rPr>
          <w:rStyle w:val="af7"/>
          <w:rFonts w:eastAsia="Guttman Hodes"/>
          <w:rtl/>
        </w:rPr>
        <w:instrText xml:space="preserve"> </w:instrText>
      </w:r>
      <w:r w:rsidRPr="00585CFD">
        <w:rPr>
          <w:rStyle w:val="af7"/>
          <w:rFonts w:eastAsia="Guttman Hodes"/>
          <w:rtl/>
        </w:rPr>
      </w:r>
      <w:r w:rsidRPr="00585CFD">
        <w:rPr>
          <w:rStyle w:val="af7"/>
          <w:rFonts w:eastAsia="Guttman Hodes"/>
          <w:rtl/>
        </w:rPr>
        <w:fldChar w:fldCharType="separate"/>
      </w:r>
      <w:r w:rsidR="00345400">
        <w:rPr>
          <w:rStyle w:val="af7"/>
          <w:rFonts w:eastAsia="Guttman Hodes"/>
          <w:cs/>
        </w:rPr>
        <w:t>‎</w:t>
      </w:r>
      <w:r w:rsidR="00345400">
        <w:rPr>
          <w:rStyle w:val="af7"/>
          <w:rFonts w:eastAsia="Guttman Hodes"/>
          <w:rtl/>
        </w:rPr>
        <w:t>כ)</w:t>
      </w:r>
      <w:r w:rsidRPr="00585CFD">
        <w:rPr>
          <w:rStyle w:val="af7"/>
          <w:rFonts w:eastAsia="Guttman Hodes"/>
          <w:rtl/>
        </w:rPr>
        <w:fldChar w:fldCharType="end"/>
      </w:r>
      <w:r>
        <w:rPr>
          <w:rFonts w:hint="cs"/>
          <w:rtl/>
        </w:rPr>
        <w:t>.</w:t>
      </w:r>
      <w:bookmarkEnd w:id="24904"/>
    </w:p>
    <w:p w14:paraId="7165818E" w14:textId="77777777" w:rsidR="003D504D" w:rsidRDefault="003D504D" w:rsidP="00BF39B2">
      <w:pPr>
        <w:pStyle w:val="1"/>
        <w:rPr>
          <w:rtl/>
        </w:rPr>
      </w:pPr>
      <w:bookmarkStart w:id="24905" w:name="_Toc4022888"/>
      <w:bookmarkStart w:id="24906" w:name="_Toc4026713"/>
      <w:bookmarkStart w:id="24907" w:name="_Toc4139513"/>
      <w:bookmarkStart w:id="24908" w:name="_Toc4151607"/>
      <w:bookmarkStart w:id="24909" w:name="_Toc19392056"/>
      <w:bookmarkStart w:id="24910" w:name="_Toc19395553"/>
      <w:r>
        <w:rPr>
          <w:rFonts w:hint="cs"/>
          <w:rtl/>
        </w:rPr>
        <w:t>ביאור האבי עזרי בדינא דהכס"מ בתלש חלב והניחו בבהמה</w:t>
      </w:r>
      <w:bookmarkEnd w:id="24905"/>
      <w:bookmarkEnd w:id="24906"/>
      <w:bookmarkEnd w:id="24907"/>
      <w:bookmarkEnd w:id="24908"/>
      <w:bookmarkEnd w:id="24909"/>
      <w:bookmarkEnd w:id="24910"/>
    </w:p>
    <w:p w14:paraId="5E2822EA" w14:textId="77777777" w:rsidR="003D504D" w:rsidRDefault="003D504D" w:rsidP="003D504D">
      <w:pPr>
        <w:pStyle w:val="a3"/>
        <w:rPr>
          <w:rtl/>
        </w:rPr>
      </w:pPr>
      <w:bookmarkStart w:id="24911" w:name="_Toc4022889"/>
      <w:bookmarkStart w:id="24912" w:name="_Toc4026714"/>
      <w:bookmarkStart w:id="24913" w:name="_Toc4139514"/>
      <w:bookmarkStart w:id="24914" w:name="_Toc4151608"/>
      <w:bookmarkStart w:id="24915" w:name="_Toc19392057"/>
      <w:bookmarkStart w:id="24916" w:name="_Toc19395554"/>
      <w:r>
        <w:rPr>
          <w:rFonts w:hint="cs"/>
          <w:rtl/>
        </w:rPr>
        <w:t>ביאור האבי עזרי בדין הכס"מ דכל שלא יצא לאויר החלב כבשר ואחר שיצא אינו חלב על הקרב</w:t>
      </w:r>
      <w:bookmarkEnd w:id="24911"/>
      <w:bookmarkEnd w:id="24912"/>
      <w:bookmarkEnd w:id="24913"/>
      <w:bookmarkEnd w:id="24914"/>
      <w:bookmarkEnd w:id="24915"/>
      <w:bookmarkEnd w:id="24916"/>
    </w:p>
    <w:p w14:paraId="44D04E70" w14:textId="77777777" w:rsidR="003D504D" w:rsidRDefault="003D504D" w:rsidP="00223668">
      <w:pPr>
        <w:pStyle w:val="a0"/>
        <w:rPr>
          <w:rtl/>
        </w:rPr>
      </w:pPr>
      <w:bookmarkStart w:id="24917" w:name="_Ref3201339"/>
      <w:r>
        <w:rPr>
          <w:rFonts w:hint="cs"/>
          <w:rtl/>
        </w:rPr>
        <w:t xml:space="preserve">ובזה ביאר </w:t>
      </w:r>
      <w:r w:rsidRPr="00F65836">
        <w:rPr>
          <w:rStyle w:val="af9"/>
          <w:rFonts w:hint="cs"/>
          <w:rtl/>
        </w:rPr>
        <w:t>האבי עזרי</w:t>
      </w:r>
      <w:r>
        <w:rPr>
          <w:rFonts w:hint="cs"/>
          <w:rtl/>
        </w:rPr>
        <w:t xml:space="preserve"> </w:t>
      </w:r>
      <w:r w:rsidRPr="00F65836">
        <w:rPr>
          <w:rStyle w:val="af7"/>
          <w:rFonts w:eastAsia="Guttman Hodes" w:hint="cs"/>
          <w:rtl/>
        </w:rPr>
        <w:t>(מאכ"א פ"ז ה"ג ד'</w:t>
      </w:r>
      <w:r>
        <w:rPr>
          <w:rStyle w:val="af7"/>
          <w:rFonts w:eastAsia="Guttman Hodes" w:hint="cs"/>
          <w:rtl/>
        </w:rPr>
        <w:t xml:space="preserve"> ד"ה ובמה שסובר</w:t>
      </w:r>
      <w:r w:rsidRPr="00F65836">
        <w:rPr>
          <w:rStyle w:val="af7"/>
          <w:rFonts w:eastAsia="Guttman Hodes" w:hint="cs"/>
          <w:rtl/>
        </w:rPr>
        <w:t>)</w:t>
      </w:r>
      <w:r>
        <w:rPr>
          <w:rFonts w:hint="cs"/>
          <w:rtl/>
        </w:rPr>
        <w:t xml:space="preserve"> את דברי </w:t>
      </w:r>
      <w:r w:rsidRPr="00EB4A33">
        <w:rPr>
          <w:rStyle w:val="af9"/>
          <w:rFonts w:hint="cs"/>
          <w:rtl/>
        </w:rPr>
        <w:t>הכס"מ</w:t>
      </w:r>
      <w:r>
        <w:rPr>
          <w:rFonts w:hint="cs"/>
          <w:rtl/>
        </w:rPr>
        <w:t xml:space="preserve"> </w:t>
      </w:r>
      <w:r w:rsidRPr="00E91499">
        <w:rPr>
          <w:rStyle w:val="af7"/>
          <w:rFonts w:eastAsia="Guttman Hodes" w:hint="cs"/>
          <w:rtl/>
        </w:rPr>
        <w:t xml:space="preserve">(עי' אות </w:t>
      </w:r>
      <w:r w:rsidRPr="00E91499">
        <w:rPr>
          <w:rStyle w:val="af7"/>
          <w:rFonts w:eastAsia="Guttman Hodes"/>
          <w:rtl/>
        </w:rPr>
        <w:fldChar w:fldCharType="begin"/>
      </w:r>
      <w:r w:rsidRPr="00E91499">
        <w:rPr>
          <w:rStyle w:val="af7"/>
          <w:rFonts w:eastAsia="Guttman Hodes"/>
          <w:rtl/>
        </w:rPr>
        <w:instrText xml:space="preserve"> </w:instrText>
      </w:r>
      <w:r w:rsidRPr="00E91499">
        <w:rPr>
          <w:rStyle w:val="af7"/>
          <w:rFonts w:eastAsia="Guttman Hodes" w:hint="cs"/>
        </w:rPr>
        <w:instrText>REF</w:instrText>
      </w:r>
      <w:r w:rsidRPr="00E91499">
        <w:rPr>
          <w:rStyle w:val="af7"/>
          <w:rFonts w:eastAsia="Guttman Hodes" w:hint="cs"/>
          <w:rtl/>
        </w:rPr>
        <w:instrText xml:space="preserve"> _</w:instrText>
      </w:r>
      <w:r w:rsidRPr="00E91499">
        <w:rPr>
          <w:rStyle w:val="af7"/>
          <w:rFonts w:eastAsia="Guttman Hodes" w:hint="cs"/>
        </w:rPr>
        <w:instrText>Ref3132636 \r \h</w:instrText>
      </w:r>
      <w:r w:rsidRPr="00E91499">
        <w:rPr>
          <w:rStyle w:val="af7"/>
          <w:rFonts w:eastAsia="Guttman Hodes"/>
          <w:rtl/>
        </w:rPr>
        <w:instrText xml:space="preserve"> </w:instrText>
      </w:r>
      <w:r w:rsidRPr="00E91499">
        <w:rPr>
          <w:rStyle w:val="af7"/>
          <w:rFonts w:eastAsia="Guttman Hodes"/>
          <w:rtl/>
        </w:rPr>
      </w:r>
      <w:r w:rsidRPr="00E91499">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E91499">
        <w:rPr>
          <w:rStyle w:val="af7"/>
          <w:rFonts w:eastAsia="Guttman Hodes"/>
          <w:rtl/>
        </w:rPr>
        <w:fldChar w:fldCharType="end"/>
      </w:r>
      <w:r>
        <w:rPr>
          <w:rFonts w:hint="cs"/>
          <w:rtl/>
        </w:rPr>
        <w:t xml:space="preserve"> בדעת </w:t>
      </w:r>
      <w:r w:rsidRPr="00EB4A33">
        <w:rPr>
          <w:rStyle w:val="af9"/>
          <w:rFonts w:hint="cs"/>
          <w:rtl/>
        </w:rPr>
        <w:t>הרמב"ם</w:t>
      </w:r>
      <w:r>
        <w:rPr>
          <w:rFonts w:hint="cs"/>
          <w:rtl/>
        </w:rPr>
        <w:t xml:space="preserve"> דבתלש חלב והניחו במעי הבהמה ושחטה מותר, דס"ל </w:t>
      </w:r>
      <w:r w:rsidRPr="00EB4A33">
        <w:rPr>
          <w:rStyle w:val="af9"/>
          <w:rFonts w:hint="cs"/>
          <w:rtl/>
        </w:rPr>
        <w:t>להרמב"ם</w:t>
      </w:r>
      <w:r>
        <w:rPr>
          <w:rFonts w:hint="cs"/>
          <w:rtl/>
        </w:rPr>
        <w:t xml:space="preserve"> דאעפ"י דקיי"ל כריו"ח דחדשים גרמי, ולא בעינן אוירא דלידה, מ"מ בעינן אויר העולם, וכדכתבו </w:t>
      </w:r>
      <w:r w:rsidRPr="00083269">
        <w:rPr>
          <w:rStyle w:val="af9"/>
          <w:rFonts w:hint="cs"/>
          <w:rtl/>
        </w:rPr>
        <w:t>התוס'</w:t>
      </w:r>
      <w:r>
        <w:rPr>
          <w:rFonts w:hint="cs"/>
          <w:rtl/>
        </w:rPr>
        <w:t xml:space="preserve"> </w:t>
      </w:r>
      <w:r w:rsidRPr="00906CC8">
        <w:rPr>
          <w:rStyle w:val="af7"/>
          <w:rFonts w:eastAsia="Guttman Hodes" w:hint="cs"/>
          <w:rtl/>
        </w:rPr>
        <w:t xml:space="preserve">(עי' אות </w:t>
      </w:r>
      <w:r w:rsidRPr="00906CC8">
        <w:rPr>
          <w:rStyle w:val="af7"/>
          <w:rFonts w:eastAsia="Guttman Hodes"/>
          <w:rtl/>
        </w:rPr>
        <w:fldChar w:fldCharType="begin"/>
      </w:r>
      <w:r w:rsidRPr="00906CC8">
        <w:rPr>
          <w:rStyle w:val="af7"/>
          <w:rFonts w:eastAsia="Guttman Hodes"/>
          <w:rtl/>
        </w:rPr>
        <w:instrText xml:space="preserve"> </w:instrText>
      </w:r>
      <w:r w:rsidRPr="00906CC8">
        <w:rPr>
          <w:rStyle w:val="af7"/>
          <w:rFonts w:eastAsia="Guttman Hodes" w:hint="cs"/>
        </w:rPr>
        <w:instrText>REF</w:instrText>
      </w:r>
      <w:r w:rsidRPr="00906CC8">
        <w:rPr>
          <w:rStyle w:val="af7"/>
          <w:rFonts w:eastAsia="Guttman Hodes" w:hint="cs"/>
          <w:rtl/>
        </w:rPr>
        <w:instrText xml:space="preserve"> _</w:instrText>
      </w:r>
      <w:r w:rsidRPr="00906CC8">
        <w:rPr>
          <w:rStyle w:val="af7"/>
          <w:rFonts w:eastAsia="Guttman Hodes" w:hint="cs"/>
        </w:rPr>
        <w:instrText>Ref4143378 \r \h</w:instrText>
      </w:r>
      <w:r w:rsidRPr="00906CC8">
        <w:rPr>
          <w:rStyle w:val="af7"/>
          <w:rFonts w:eastAsia="Guttman Hodes"/>
          <w:rtl/>
        </w:rPr>
        <w:instrText xml:space="preserve"> </w:instrText>
      </w:r>
      <w:r w:rsidRPr="00906CC8">
        <w:rPr>
          <w:rStyle w:val="af7"/>
          <w:rFonts w:eastAsia="Guttman Hodes"/>
          <w:rtl/>
        </w:rPr>
      </w:r>
      <w:r w:rsidRPr="00906CC8">
        <w:rPr>
          <w:rStyle w:val="af7"/>
          <w:rFonts w:eastAsia="Guttman Hodes"/>
          <w:rtl/>
        </w:rPr>
        <w:fldChar w:fldCharType="separate"/>
      </w:r>
      <w:r w:rsidR="00345400">
        <w:rPr>
          <w:rStyle w:val="af7"/>
          <w:rFonts w:eastAsia="Guttman Hodes"/>
          <w:cs/>
        </w:rPr>
        <w:t>‎</w:t>
      </w:r>
      <w:r w:rsidR="00345400">
        <w:rPr>
          <w:rStyle w:val="af7"/>
          <w:rFonts w:eastAsia="Guttman Hodes"/>
          <w:rtl/>
        </w:rPr>
        <w:t>יד)</w:t>
      </w:r>
      <w:r w:rsidRPr="00906CC8">
        <w:rPr>
          <w:rStyle w:val="af7"/>
          <w:rFonts w:eastAsia="Guttman Hodes"/>
          <w:rtl/>
        </w:rPr>
        <w:fldChar w:fldCharType="end"/>
      </w:r>
      <w:r w:rsidRPr="00906CC8">
        <w:rPr>
          <w:rStyle w:val="af7"/>
          <w:rFonts w:eastAsia="Guttman Hodes" w:hint="cs"/>
          <w:rtl/>
        </w:rPr>
        <w:t xml:space="preserve"> </w:t>
      </w:r>
      <w:r>
        <w:rPr>
          <w:rFonts w:hint="cs"/>
          <w:rtl/>
        </w:rPr>
        <w:t xml:space="preserve">וכדביאר </w:t>
      </w:r>
      <w:r w:rsidRPr="00ED0B64">
        <w:rPr>
          <w:rStyle w:val="af9"/>
          <w:rFonts w:hint="cs"/>
          <w:rtl/>
        </w:rPr>
        <w:t>האבי עזרי</w:t>
      </w:r>
      <w:r>
        <w:rPr>
          <w:rFonts w:hint="cs"/>
          <w:rtl/>
        </w:rPr>
        <w:t xml:space="preserve"> </w:t>
      </w:r>
      <w:r w:rsidRPr="00ED0B64">
        <w:rPr>
          <w:rStyle w:val="af7"/>
          <w:rFonts w:eastAsia="Guttman Hodes" w:hint="cs"/>
          <w:rtl/>
        </w:rPr>
        <w:t xml:space="preserve">(עי' אות </w:t>
      </w:r>
      <w:r w:rsidRPr="00ED0B64">
        <w:rPr>
          <w:rStyle w:val="af7"/>
          <w:rFonts w:eastAsia="Guttman Hodes"/>
          <w:rtl/>
        </w:rPr>
        <w:fldChar w:fldCharType="begin"/>
      </w:r>
      <w:r w:rsidRPr="00ED0B64">
        <w:rPr>
          <w:rStyle w:val="af7"/>
          <w:rFonts w:eastAsia="Guttman Hodes"/>
          <w:rtl/>
        </w:rPr>
        <w:instrText xml:space="preserve"> </w:instrText>
      </w:r>
      <w:r w:rsidRPr="00ED0B64">
        <w:rPr>
          <w:rStyle w:val="af7"/>
          <w:rFonts w:eastAsia="Guttman Hodes" w:hint="cs"/>
        </w:rPr>
        <w:instrText>REF</w:instrText>
      </w:r>
      <w:r w:rsidRPr="00ED0B64">
        <w:rPr>
          <w:rStyle w:val="af7"/>
          <w:rFonts w:eastAsia="Guttman Hodes" w:hint="cs"/>
          <w:rtl/>
        </w:rPr>
        <w:instrText xml:space="preserve"> _</w:instrText>
      </w:r>
      <w:r w:rsidRPr="00ED0B64">
        <w:rPr>
          <w:rStyle w:val="af7"/>
          <w:rFonts w:eastAsia="Guttman Hodes" w:hint="cs"/>
        </w:rPr>
        <w:instrText>Ref3201282 \r \h</w:instrText>
      </w:r>
      <w:r w:rsidRPr="00ED0B64">
        <w:rPr>
          <w:rStyle w:val="af7"/>
          <w:rFonts w:eastAsia="Guttman Hodes"/>
          <w:rtl/>
        </w:rPr>
        <w:instrText xml:space="preserve"> </w:instrText>
      </w:r>
      <w:r w:rsidRPr="00ED0B64">
        <w:rPr>
          <w:rStyle w:val="af7"/>
          <w:rFonts w:eastAsia="Guttman Hodes"/>
          <w:rtl/>
        </w:rPr>
      </w:r>
      <w:r w:rsidRPr="00ED0B64">
        <w:rPr>
          <w:rStyle w:val="af7"/>
          <w:rFonts w:eastAsia="Guttman Hodes"/>
          <w:rtl/>
        </w:rPr>
        <w:fldChar w:fldCharType="separate"/>
      </w:r>
      <w:r w:rsidR="00345400">
        <w:rPr>
          <w:rStyle w:val="af7"/>
          <w:rFonts w:eastAsia="Guttman Hodes"/>
          <w:cs/>
        </w:rPr>
        <w:t>‎</w:t>
      </w:r>
      <w:r w:rsidR="00345400">
        <w:rPr>
          <w:rStyle w:val="af7"/>
          <w:rFonts w:eastAsia="Guttman Hodes"/>
          <w:rtl/>
        </w:rPr>
        <w:t>צח)</w:t>
      </w:r>
      <w:r w:rsidRPr="00ED0B64">
        <w:rPr>
          <w:rStyle w:val="af7"/>
          <w:rFonts w:eastAsia="Guttman Hodes"/>
          <w:rtl/>
        </w:rPr>
        <w:fldChar w:fldCharType="end"/>
      </w:r>
      <w:r>
        <w:rPr>
          <w:rFonts w:hint="cs"/>
          <w:rtl/>
        </w:rPr>
        <w:t xml:space="preserve"> בדעת ר"י דמתיר את הגיד של השליל, </w:t>
      </w:r>
      <w:r w:rsidRPr="007B7945">
        <w:rPr>
          <w:rtl/>
        </w:rPr>
        <w:t>דלא חל איסור גיד בלא חדשים ואוירא</w:t>
      </w:r>
      <w:r>
        <w:rPr>
          <w:rFonts w:hint="cs"/>
          <w:rtl/>
        </w:rPr>
        <w:t>,</w:t>
      </w:r>
      <w:r w:rsidRPr="007B7945">
        <w:rPr>
          <w:rFonts w:hint="cs"/>
          <w:rtl/>
        </w:rPr>
        <w:t xml:space="preserve"> </w:t>
      </w:r>
      <w:r>
        <w:rPr>
          <w:rFonts w:hint="cs"/>
          <w:rtl/>
        </w:rPr>
        <w:t xml:space="preserve">וכיון דמפורש בברייתא בסוגיין ולקמן </w:t>
      </w:r>
      <w:r w:rsidRPr="00ED0B64">
        <w:rPr>
          <w:rStyle w:val="af7"/>
          <w:rFonts w:eastAsia="Guttman Hodes" w:hint="cs"/>
          <w:rtl/>
        </w:rPr>
        <w:t>(צב:)</w:t>
      </w:r>
      <w:r>
        <w:rPr>
          <w:rFonts w:hint="cs"/>
          <w:rtl/>
        </w:rPr>
        <w:t xml:space="preserve"> דדין החלב הוא כדין הגיד, ולכן ס"ל </w:t>
      </w:r>
      <w:r w:rsidRPr="00EB4A33">
        <w:rPr>
          <w:rStyle w:val="af9"/>
          <w:rFonts w:hint="cs"/>
          <w:rtl/>
        </w:rPr>
        <w:t>להרמב"ם</w:t>
      </w:r>
      <w:r>
        <w:rPr>
          <w:rFonts w:hint="cs"/>
          <w:rtl/>
        </w:rPr>
        <w:t xml:space="preserve"> דכשתולש חלב מהעובר, כ"ז שהוא עדיין במעי אמו לא חייל עליו איסור חלב, ורק כשהוציאו לאויר נאסר החלב, וממילא אם הניח את החלב במעי האם ושחטה, הוא מותר בשחיטת האם, דע"י שחיטתה נעשה כבישרא בדיקולא, וכשיצא אח"כ לאויר לא יכול איסור חלב לחול עליו, דאין לו שם חלב שעל הקרב, ועי' במ"ש בזה</w:t>
      </w:r>
      <w:r w:rsidRPr="00140649">
        <w:rPr>
          <w:rFonts w:hint="cs"/>
          <w:rtl/>
        </w:rPr>
        <w:t xml:space="preserve"> </w:t>
      </w:r>
      <w:r>
        <w:rPr>
          <w:rStyle w:val="af9"/>
          <w:rFonts w:hint="cs"/>
          <w:rtl/>
        </w:rPr>
        <w:t xml:space="preserve">האמרי משה </w:t>
      </w:r>
      <w:r>
        <w:rPr>
          <w:rStyle w:val="af7"/>
          <w:rFonts w:eastAsia="Guttman Hodes" w:hint="cs"/>
          <w:rtl/>
        </w:rPr>
        <w:t xml:space="preserve">(עי' </w:t>
      </w:r>
      <w:r w:rsidRPr="00785CFC">
        <w:rPr>
          <w:rStyle w:val="af7"/>
          <w:rFonts w:eastAsia="Guttman Hodes" w:hint="cs"/>
          <w:rtl/>
        </w:rPr>
        <w:t xml:space="preserve">אות </w:t>
      </w:r>
      <w:r w:rsidRPr="00785CFC">
        <w:rPr>
          <w:rStyle w:val="af7"/>
          <w:rFonts w:eastAsia="Guttman Hodes"/>
          <w:rtl/>
        </w:rPr>
        <w:fldChar w:fldCharType="begin"/>
      </w:r>
      <w:r w:rsidRPr="00785CFC">
        <w:rPr>
          <w:rStyle w:val="af7"/>
          <w:rFonts w:eastAsia="Guttman Hodes"/>
          <w:rtl/>
        </w:rPr>
        <w:instrText xml:space="preserve"> </w:instrText>
      </w:r>
      <w:r w:rsidRPr="00785CFC">
        <w:rPr>
          <w:rStyle w:val="af7"/>
          <w:rFonts w:eastAsia="Guttman Hodes" w:hint="cs"/>
        </w:rPr>
        <w:instrText>REF</w:instrText>
      </w:r>
      <w:r w:rsidRPr="00785CFC">
        <w:rPr>
          <w:rStyle w:val="af7"/>
          <w:rFonts w:eastAsia="Guttman Hodes" w:hint="cs"/>
          <w:rtl/>
        </w:rPr>
        <w:instrText xml:space="preserve"> _</w:instrText>
      </w:r>
      <w:r w:rsidRPr="00785CFC">
        <w:rPr>
          <w:rStyle w:val="af7"/>
          <w:rFonts w:eastAsia="Guttman Hodes" w:hint="cs"/>
        </w:rPr>
        <w:instrText>Ref4011697 \r \h</w:instrText>
      </w:r>
      <w:r w:rsidRPr="00785CFC">
        <w:rPr>
          <w:rStyle w:val="af7"/>
          <w:rFonts w:eastAsia="Guttman Hodes"/>
          <w:rtl/>
        </w:rPr>
        <w:instrText xml:space="preserve"> </w:instrText>
      </w:r>
      <w:r w:rsidRPr="00785CFC">
        <w:rPr>
          <w:rStyle w:val="af7"/>
          <w:rFonts w:eastAsia="Guttman Hodes"/>
          <w:rtl/>
        </w:rPr>
      </w:r>
      <w:r w:rsidRPr="00785CFC">
        <w:rPr>
          <w:rStyle w:val="af7"/>
          <w:rFonts w:eastAsia="Guttman Hodes"/>
          <w:rtl/>
        </w:rPr>
        <w:fldChar w:fldCharType="separate"/>
      </w:r>
      <w:r w:rsidR="00345400">
        <w:rPr>
          <w:rStyle w:val="af7"/>
          <w:rFonts w:eastAsia="Guttman Hodes"/>
          <w:cs/>
        </w:rPr>
        <w:t>‎</w:t>
      </w:r>
      <w:r w:rsidR="00345400">
        <w:rPr>
          <w:rStyle w:val="af7"/>
          <w:rFonts w:eastAsia="Guttman Hodes"/>
          <w:rtl/>
        </w:rPr>
        <w:t>צ)</w:t>
      </w:r>
      <w:r w:rsidRPr="00785CFC">
        <w:rPr>
          <w:rStyle w:val="af7"/>
          <w:rFonts w:eastAsia="Guttman Hodes"/>
          <w:rtl/>
        </w:rPr>
        <w:fldChar w:fldCharType="end"/>
      </w:r>
      <w:r>
        <w:rPr>
          <w:rFonts w:hint="cs"/>
          <w:rtl/>
        </w:rPr>
        <w:t>.</w:t>
      </w:r>
      <w:bookmarkEnd w:id="24917"/>
    </w:p>
    <w:p w14:paraId="065DF9F4" w14:textId="77777777" w:rsidR="003D504D" w:rsidRPr="00140A3B" w:rsidRDefault="003D504D" w:rsidP="003D504D">
      <w:pPr>
        <w:pStyle w:val="a3"/>
        <w:rPr>
          <w:rtl/>
        </w:rPr>
      </w:pPr>
      <w:bookmarkStart w:id="24918" w:name="_Toc4022890"/>
      <w:bookmarkStart w:id="24919" w:name="_Toc4026715"/>
      <w:bookmarkStart w:id="24920" w:name="_Toc4139515"/>
      <w:bookmarkStart w:id="24921" w:name="_Toc4151609"/>
      <w:bookmarkStart w:id="24922" w:name="_Toc19392058"/>
      <w:bookmarkStart w:id="24923" w:name="_Toc19395555"/>
      <w:r>
        <w:rPr>
          <w:rFonts w:hint="cs"/>
          <w:rtl/>
        </w:rPr>
        <w:t>ביאור האבי עזרי דבנשחטה האם נאסר החלב כשיצא אח"כ לאויר דהוא חלב שעל הקרב</w:t>
      </w:r>
      <w:bookmarkEnd w:id="24918"/>
      <w:bookmarkEnd w:id="24919"/>
      <w:bookmarkEnd w:id="24920"/>
      <w:bookmarkEnd w:id="24921"/>
      <w:bookmarkEnd w:id="24922"/>
      <w:bookmarkEnd w:id="24923"/>
    </w:p>
    <w:p w14:paraId="5E4AC242" w14:textId="77777777" w:rsidR="003D504D" w:rsidRDefault="003D504D" w:rsidP="00223668">
      <w:pPr>
        <w:pStyle w:val="a0"/>
        <w:rPr>
          <w:rtl/>
        </w:rPr>
      </w:pPr>
      <w:r>
        <w:rPr>
          <w:rFonts w:hint="cs"/>
          <w:rtl/>
        </w:rPr>
        <w:t xml:space="preserve">אבל כשלא חתך את החלב מהעובר ושחט את אמו, ביאר </w:t>
      </w:r>
      <w:r w:rsidRPr="00EB4A33">
        <w:rPr>
          <w:rStyle w:val="af9"/>
          <w:rFonts w:hint="cs"/>
          <w:rtl/>
        </w:rPr>
        <w:t>האבי עזרי</w:t>
      </w:r>
      <w:r>
        <w:rPr>
          <w:rFonts w:hint="cs"/>
          <w:rtl/>
        </w:rPr>
        <w:t xml:space="preserve"> דס"ל </w:t>
      </w:r>
      <w:r w:rsidRPr="00EB4A33">
        <w:rPr>
          <w:rStyle w:val="af9"/>
          <w:rFonts w:hint="cs"/>
          <w:rtl/>
        </w:rPr>
        <w:t>להרמב"ם</w:t>
      </w:r>
      <w:r>
        <w:rPr>
          <w:rFonts w:hint="cs"/>
          <w:rtl/>
        </w:rPr>
        <w:t xml:space="preserve"> דאחר השחיטה חשיב שיצא לאויר העולם, וחל עליו איסור חלב בשעת יציאתו לאויר, והוא חלב שעל הקרב, וס"ל </w:t>
      </w:r>
      <w:r w:rsidRPr="00570A29">
        <w:rPr>
          <w:rStyle w:val="af9"/>
          <w:rFonts w:hint="cs"/>
          <w:rtl/>
        </w:rPr>
        <w:t>להרמב"ם</w:t>
      </w:r>
      <w:r>
        <w:rPr>
          <w:rFonts w:hint="cs"/>
          <w:rtl/>
        </w:rPr>
        <w:t xml:space="preserve"> דהשחיטה אינה יכולה להתיר את איסור חלב, וכן אם תלש את החלב והוציאו לאויר לפני השחיטה, חל עליו איסור חלב בשעת יציאתו, דהחלב חשיב כחלב שחתך מעל הקרב, </w:t>
      </w:r>
      <w:r w:rsidRPr="00570A29">
        <w:rPr>
          <w:rStyle w:val="afb"/>
          <w:rFonts w:hint="cs"/>
          <w:rtl/>
        </w:rPr>
        <w:t>[ד</w:t>
      </w:r>
      <w:r>
        <w:rPr>
          <w:rStyle w:val="afb"/>
          <w:rFonts w:hint="cs"/>
          <w:rtl/>
        </w:rPr>
        <w:t>תלש ו</w:t>
      </w:r>
      <w:r w:rsidRPr="00570A29">
        <w:rPr>
          <w:rStyle w:val="afb"/>
          <w:rFonts w:hint="cs"/>
          <w:rtl/>
        </w:rPr>
        <w:t>לא נשחטה האם</w:t>
      </w:r>
      <w:r>
        <w:rPr>
          <w:rStyle w:val="afb"/>
          <w:rFonts w:hint="cs"/>
          <w:rtl/>
        </w:rPr>
        <w:t xml:space="preserve"> כלל</w:t>
      </w:r>
      <w:r w:rsidRPr="00570A29">
        <w:rPr>
          <w:rStyle w:val="afb"/>
          <w:rFonts w:hint="cs"/>
          <w:rtl/>
        </w:rPr>
        <w:t>],</w:t>
      </w:r>
      <w:r>
        <w:rPr>
          <w:rFonts w:hint="cs"/>
          <w:rtl/>
        </w:rPr>
        <w:t xml:space="preserve"> ולכן אף שאינו עכשיו על הקרב הוא אסור.</w:t>
      </w:r>
    </w:p>
    <w:p w14:paraId="750B35CA" w14:textId="77777777" w:rsidR="003D504D" w:rsidRDefault="003D504D" w:rsidP="003D504D">
      <w:pPr>
        <w:pStyle w:val="a3"/>
        <w:rPr>
          <w:rtl/>
        </w:rPr>
      </w:pPr>
      <w:bookmarkStart w:id="24924" w:name="_Toc4022891"/>
      <w:bookmarkStart w:id="24925" w:name="_Toc4026716"/>
      <w:bookmarkStart w:id="24926" w:name="_Toc4139516"/>
      <w:bookmarkStart w:id="24927" w:name="_Toc4151610"/>
      <w:bookmarkStart w:id="24928" w:name="_Toc19392059"/>
      <w:bookmarkStart w:id="24929" w:name="_Toc19395556"/>
      <w:r>
        <w:rPr>
          <w:rFonts w:hint="cs"/>
          <w:rtl/>
        </w:rPr>
        <w:t>ביאור האבי עזרי דבתלש והוציאו לחוץ אינו בכלל "כל בבהמה" ולכן נאסר כשיצא לאויר</w:t>
      </w:r>
      <w:bookmarkEnd w:id="24924"/>
      <w:bookmarkEnd w:id="24925"/>
      <w:bookmarkEnd w:id="24926"/>
      <w:bookmarkEnd w:id="24927"/>
      <w:bookmarkEnd w:id="24928"/>
      <w:bookmarkEnd w:id="24929"/>
    </w:p>
    <w:p w14:paraId="4A1B8217" w14:textId="77777777" w:rsidR="003D504D" w:rsidRDefault="003D504D" w:rsidP="00223668">
      <w:pPr>
        <w:pStyle w:val="a0"/>
        <w:rPr>
          <w:rtl/>
        </w:rPr>
      </w:pPr>
      <w:r>
        <w:rPr>
          <w:rFonts w:hint="cs"/>
          <w:rtl/>
        </w:rPr>
        <w:t xml:space="preserve">והוסיף </w:t>
      </w:r>
      <w:r w:rsidRPr="00E40CA9">
        <w:rPr>
          <w:rStyle w:val="af9"/>
          <w:rFonts w:hint="cs"/>
          <w:rtl/>
        </w:rPr>
        <w:t>האבי עזרי</w:t>
      </w:r>
      <w:r>
        <w:rPr>
          <w:rFonts w:hint="cs"/>
          <w:rtl/>
        </w:rPr>
        <w:t xml:space="preserve"> לבאר דבתלש חלב ולא הוציאו לחוץ והניחו במעי הבהמה מותר, כיון דבהיתר "כל בבהמה תאכלו", כלול שאינו נחשב כחלב שעל הקרב, אלא הוא כחתיכה בעלמא בתוך הבהמה, אבל בהוציאו לאויר לפני שנשחטה האם, שלא נאמר בו היתר "כל בבהמה תאכלו", ממילא החתיכה היא מחלב שעל הקרב וכשיוצא לאויר חל עליו איסור חלב, ועיי"ש בדברי </w:t>
      </w:r>
      <w:r>
        <w:rPr>
          <w:rStyle w:val="af9"/>
          <w:rtl/>
        </w:rPr>
        <w:t>האבי עזרי</w:t>
      </w:r>
      <w:r>
        <w:rPr>
          <w:rtl/>
        </w:rPr>
        <w:t xml:space="preserve"> </w:t>
      </w:r>
      <w:r>
        <w:rPr>
          <w:rStyle w:val="af7"/>
          <w:rFonts w:eastAsia="Guttman Hodes" w:hint="cs"/>
          <w:rtl/>
        </w:rPr>
        <w:t>(מאכ"א פ"ז ה"ג ד' ד"ה והנה שם בחולין דע"ה)</w:t>
      </w:r>
      <w:r>
        <w:rPr>
          <w:rtl/>
        </w:rPr>
        <w:t xml:space="preserve"> </w:t>
      </w:r>
      <w:r>
        <w:rPr>
          <w:rFonts w:hint="cs"/>
          <w:rtl/>
        </w:rPr>
        <w:t>במה שהאריך לבאר לפי"ז את הילפותא "דאשם מוצא מכלל שליל".</w:t>
      </w:r>
    </w:p>
    <w:p w14:paraId="1C5A8200" w14:textId="77777777" w:rsidR="003D504D" w:rsidRDefault="003D504D" w:rsidP="00BF39B2">
      <w:pPr>
        <w:pStyle w:val="1"/>
        <w:rPr>
          <w:rtl/>
        </w:rPr>
      </w:pPr>
      <w:bookmarkStart w:id="24930" w:name="_Toc4022892"/>
      <w:bookmarkStart w:id="24931" w:name="_Toc4026717"/>
      <w:bookmarkStart w:id="24932" w:name="_Toc4139517"/>
      <w:bookmarkStart w:id="24933" w:name="_Toc4151611"/>
      <w:bookmarkStart w:id="24934" w:name="_Toc19392060"/>
      <w:bookmarkStart w:id="24935" w:name="_Toc19395557"/>
      <w:bookmarkStart w:id="24936" w:name="_Toc3840829"/>
      <w:bookmarkStart w:id="24937" w:name="_Toc3929068"/>
      <w:bookmarkStart w:id="24938" w:name="_Toc3978466"/>
      <w:bookmarkStart w:id="24939" w:name="_Toc4012338"/>
      <w:bookmarkStart w:id="24940" w:name="_Toc4013370"/>
      <w:r>
        <w:rPr>
          <w:rFonts w:hint="cs"/>
          <w:rtl/>
        </w:rPr>
        <w:t>ביאור הזכר יצחק ברמב"ם דהוי כשחוט ול"מ לבנו ולחלב וגיד</w:t>
      </w:r>
      <w:bookmarkEnd w:id="24930"/>
      <w:bookmarkEnd w:id="24931"/>
      <w:bookmarkEnd w:id="24932"/>
      <w:bookmarkEnd w:id="24933"/>
      <w:bookmarkEnd w:id="24934"/>
      <w:bookmarkEnd w:id="24935"/>
      <w:r>
        <w:rPr>
          <w:rFonts w:hint="cs"/>
          <w:rtl/>
        </w:rPr>
        <w:t xml:space="preserve"> </w:t>
      </w:r>
      <w:bookmarkEnd w:id="24936"/>
      <w:bookmarkEnd w:id="24937"/>
      <w:bookmarkEnd w:id="24938"/>
      <w:bookmarkEnd w:id="24939"/>
      <w:bookmarkEnd w:id="24940"/>
    </w:p>
    <w:p w14:paraId="573A0514" w14:textId="77777777" w:rsidR="003D504D" w:rsidRDefault="003D504D" w:rsidP="003D504D">
      <w:pPr>
        <w:pStyle w:val="a3"/>
      </w:pPr>
      <w:bookmarkStart w:id="24941" w:name="_Toc4022893"/>
      <w:bookmarkStart w:id="24942" w:name="_Toc4026718"/>
      <w:bookmarkStart w:id="24943" w:name="_Toc4139518"/>
      <w:bookmarkStart w:id="24944" w:name="_Toc4151612"/>
      <w:bookmarkStart w:id="24945" w:name="_Toc19392061"/>
      <w:bookmarkStart w:id="24946" w:name="_Toc19395558"/>
      <w:r>
        <w:rPr>
          <w:rFonts w:hint="cs"/>
          <w:rtl/>
        </w:rPr>
        <w:t>דברי הזכר יצחק דלהרמב"ם למ"ד דולד בן פקועה מותר ההיתר הוא מגזיה"כ ואף חלב וגיד מותרים</w:t>
      </w:r>
      <w:bookmarkEnd w:id="24941"/>
      <w:bookmarkEnd w:id="24942"/>
      <w:bookmarkEnd w:id="24943"/>
      <w:bookmarkEnd w:id="24944"/>
      <w:bookmarkEnd w:id="24945"/>
      <w:bookmarkEnd w:id="24946"/>
    </w:p>
    <w:p w14:paraId="67E1AA41" w14:textId="77777777" w:rsidR="003D504D" w:rsidRDefault="003D504D" w:rsidP="00223668">
      <w:pPr>
        <w:pStyle w:val="a0"/>
        <w:rPr>
          <w:rtl/>
        </w:rPr>
      </w:pPr>
      <w:bookmarkStart w:id="24947" w:name="_Ref3798845"/>
      <w:r>
        <w:rPr>
          <w:rFonts w:hint="cs"/>
          <w:rtl/>
        </w:rPr>
        <w:t xml:space="preserve">במה שהקשה </w:t>
      </w:r>
      <w:r w:rsidRPr="00343743">
        <w:rPr>
          <w:rStyle w:val="af9"/>
          <w:rFonts w:hint="cs"/>
          <w:rtl/>
        </w:rPr>
        <w:t>הפר"ח</w:t>
      </w:r>
      <w:r>
        <w:rPr>
          <w:rFonts w:hint="cs"/>
          <w:rtl/>
        </w:rPr>
        <w:t xml:space="preserve"> </w:t>
      </w:r>
      <w:r w:rsidRPr="00343743">
        <w:rPr>
          <w:rStyle w:val="af7"/>
          <w:rFonts w:eastAsia="Guttman Hodes" w:hint="cs"/>
          <w:rtl/>
        </w:rPr>
        <w:t xml:space="preserve">(עי' אות </w:t>
      </w:r>
      <w:r w:rsidRPr="00343743">
        <w:rPr>
          <w:rStyle w:val="af7"/>
          <w:rFonts w:eastAsia="Guttman Hodes"/>
          <w:rtl/>
        </w:rPr>
        <w:fldChar w:fldCharType="begin"/>
      </w:r>
      <w:r w:rsidRPr="00343743">
        <w:rPr>
          <w:rStyle w:val="af7"/>
          <w:rFonts w:eastAsia="Guttman Hodes"/>
          <w:rtl/>
        </w:rPr>
        <w:instrText xml:space="preserve"> </w:instrText>
      </w:r>
      <w:r w:rsidRPr="00343743">
        <w:rPr>
          <w:rStyle w:val="af7"/>
          <w:rFonts w:eastAsia="Guttman Hodes" w:hint="cs"/>
        </w:rPr>
        <w:instrText>REF</w:instrText>
      </w:r>
      <w:r w:rsidRPr="00343743">
        <w:rPr>
          <w:rStyle w:val="af7"/>
          <w:rFonts w:eastAsia="Guttman Hodes" w:hint="cs"/>
          <w:rtl/>
        </w:rPr>
        <w:instrText xml:space="preserve"> _</w:instrText>
      </w:r>
      <w:r w:rsidRPr="00343743">
        <w:rPr>
          <w:rStyle w:val="af7"/>
          <w:rFonts w:eastAsia="Guttman Hodes" w:hint="cs"/>
        </w:rPr>
        <w:instrText>Ref3798803 \r \h</w:instrText>
      </w:r>
      <w:r w:rsidRPr="00343743">
        <w:rPr>
          <w:rStyle w:val="af7"/>
          <w:rFonts w:eastAsia="Guttman Hodes"/>
          <w:rtl/>
        </w:rPr>
        <w:instrText xml:space="preserve"> </w:instrText>
      </w:r>
      <w:r w:rsidRPr="00343743">
        <w:rPr>
          <w:rStyle w:val="af7"/>
          <w:rFonts w:eastAsia="Guttman Hodes"/>
          <w:rtl/>
        </w:rPr>
      </w:r>
      <w:r w:rsidRPr="00343743">
        <w:rPr>
          <w:rStyle w:val="af7"/>
          <w:rFonts w:eastAsia="Guttman Hodes"/>
          <w:rtl/>
        </w:rPr>
        <w:fldChar w:fldCharType="separate"/>
      </w:r>
      <w:r w:rsidR="00345400">
        <w:rPr>
          <w:rStyle w:val="af7"/>
          <w:rFonts w:eastAsia="Guttman Hodes"/>
          <w:cs/>
        </w:rPr>
        <w:t>‎</w:t>
      </w:r>
      <w:r w:rsidR="00345400">
        <w:rPr>
          <w:rStyle w:val="af7"/>
          <w:rFonts w:eastAsia="Guttman Hodes"/>
          <w:rtl/>
        </w:rPr>
        <w:t>לא)</w:t>
      </w:r>
      <w:r w:rsidRPr="00343743">
        <w:rPr>
          <w:rStyle w:val="af7"/>
          <w:rFonts w:eastAsia="Guttman Hodes"/>
          <w:rtl/>
        </w:rPr>
        <w:fldChar w:fldCharType="end"/>
      </w:r>
      <w:r>
        <w:rPr>
          <w:rFonts w:hint="cs"/>
          <w:rtl/>
        </w:rPr>
        <w:t xml:space="preserve"> על </w:t>
      </w:r>
      <w:r w:rsidRPr="00343743">
        <w:rPr>
          <w:rStyle w:val="af9"/>
          <w:rFonts w:hint="cs"/>
          <w:rtl/>
        </w:rPr>
        <w:t>הרמב"ם</w:t>
      </w:r>
      <w:r>
        <w:rPr>
          <w:rFonts w:hint="cs"/>
          <w:rtl/>
        </w:rPr>
        <w:t xml:space="preserve"> מהא דאיתא בגמ' לעיל </w:t>
      </w:r>
      <w:r w:rsidRPr="00A10B19">
        <w:rPr>
          <w:rStyle w:val="af7"/>
          <w:rFonts w:eastAsia="Guttman Hodes" w:hint="cs"/>
          <w:rtl/>
        </w:rPr>
        <w:t>(סט.)</w:t>
      </w:r>
      <w:r>
        <w:rPr>
          <w:rFonts w:hint="cs"/>
          <w:rtl/>
        </w:rPr>
        <w:t xml:space="preserve"> דלר"מ דאינו מותר בשחיטת אמו אף החלב אסור, ולר"י כיון דמותר בשחיטת אמו אף חלבו מותר, ולדברי </w:t>
      </w:r>
      <w:r w:rsidRPr="00DC3AF7">
        <w:rPr>
          <w:rStyle w:val="af9"/>
          <w:rFonts w:hint="cs"/>
          <w:rtl/>
        </w:rPr>
        <w:t>הרמב"ם</w:t>
      </w:r>
      <w:r>
        <w:rPr>
          <w:rFonts w:hint="cs"/>
          <w:rtl/>
        </w:rPr>
        <w:t xml:space="preserve"> הרי שייך לומר כן לדעת רבי דפסק בסוגיין </w:t>
      </w:r>
      <w:r w:rsidRPr="00A10B19">
        <w:rPr>
          <w:rStyle w:val="af7"/>
          <w:rFonts w:eastAsia="Guttman Hodes" w:hint="cs"/>
          <w:rtl/>
        </w:rPr>
        <w:t>(עד.)</w:t>
      </w:r>
      <w:r>
        <w:rPr>
          <w:rFonts w:hint="cs"/>
          <w:rtl/>
        </w:rPr>
        <w:t xml:space="preserve"> כר"י דמותר בשחיטת אמו, ולקמן </w:t>
      </w:r>
      <w:r w:rsidRPr="00A10B19">
        <w:rPr>
          <w:rStyle w:val="af7"/>
          <w:rFonts w:eastAsia="Guttman Hodes" w:hint="cs"/>
          <w:rtl/>
        </w:rPr>
        <w:t>(פט:)</w:t>
      </w:r>
      <w:r>
        <w:rPr>
          <w:rFonts w:hint="cs"/>
          <w:rtl/>
        </w:rPr>
        <w:t xml:space="preserve"> פסק רבי כר"מ דחלבו מותר, כתב </w:t>
      </w:r>
      <w:r w:rsidRPr="00343743">
        <w:rPr>
          <w:rStyle w:val="af9"/>
          <w:rFonts w:hint="cs"/>
          <w:rtl/>
        </w:rPr>
        <w:t>הזכר יצחק</w:t>
      </w:r>
      <w:r>
        <w:rPr>
          <w:rFonts w:hint="cs"/>
          <w:rtl/>
        </w:rPr>
        <w:t xml:space="preserve">  </w:t>
      </w:r>
      <w:r w:rsidRPr="00343743">
        <w:rPr>
          <w:rStyle w:val="af7"/>
          <w:rFonts w:eastAsia="Guttman Hodes" w:hint="cs"/>
          <w:rtl/>
        </w:rPr>
        <w:t xml:space="preserve">(ח"א סי' ל"ה) </w:t>
      </w:r>
      <w:r w:rsidRPr="00343743">
        <w:rPr>
          <w:rStyle w:val="af9"/>
          <w:rFonts w:hint="cs"/>
          <w:rtl/>
        </w:rPr>
        <w:t>דהרמב"ם</w:t>
      </w:r>
      <w:r>
        <w:rPr>
          <w:rFonts w:hint="cs"/>
          <w:rtl/>
        </w:rPr>
        <w:t xml:space="preserve"> השמיט את כל הדינים שבגמ' לעיל </w:t>
      </w:r>
      <w:r w:rsidRPr="00A10B19">
        <w:rPr>
          <w:rStyle w:val="af7"/>
          <w:rFonts w:eastAsia="Guttman Hodes" w:hint="cs"/>
          <w:rtl/>
        </w:rPr>
        <w:t>(סט.)</w:t>
      </w:r>
      <w:r>
        <w:rPr>
          <w:rFonts w:hint="cs"/>
          <w:rtl/>
        </w:rPr>
        <w:t xml:space="preserve"> בולד בן פקועה דהוא מותר בלא שחיטה, וביאר </w:t>
      </w:r>
      <w:r w:rsidRPr="00343743">
        <w:rPr>
          <w:rStyle w:val="af9"/>
          <w:rFonts w:hint="cs"/>
          <w:rtl/>
        </w:rPr>
        <w:t>הזכר יצחק</w:t>
      </w:r>
      <w:r>
        <w:rPr>
          <w:rFonts w:hint="cs"/>
          <w:rtl/>
        </w:rPr>
        <w:t xml:space="preserve"> דס"ל </w:t>
      </w:r>
      <w:r w:rsidRPr="00343743">
        <w:rPr>
          <w:rStyle w:val="af9"/>
          <w:rFonts w:hint="cs"/>
          <w:rtl/>
        </w:rPr>
        <w:t>להרמב"ם</w:t>
      </w:r>
      <w:r>
        <w:rPr>
          <w:rFonts w:hint="cs"/>
          <w:rtl/>
        </w:rPr>
        <w:t xml:space="preserve"> דכ"מ ששייך להתיר ולד בן פקועה בלא שחיטה, זהו דוקא אי ההיתר בבן פקועה הוא מגזיה"כ דהתירה התורה את כל מה שבבהמה, ואף שיש איסור בחלב ובגיד דחדשים גרמי, מ"מ הם מותרים מגזיה"כ מדין "כל בבהמה תאכלו", וכיון דההיתר הוא גם בדברים שלא מהני להם היתר שחיטה, כחלב וגיד אף הולד א"צ שחיטה כיון שנולד מהיתר.</w:t>
      </w:r>
      <w:bookmarkEnd w:id="24947"/>
    </w:p>
    <w:p w14:paraId="574D5F38" w14:textId="77777777" w:rsidR="003D504D" w:rsidRDefault="003D504D" w:rsidP="003D504D">
      <w:pPr>
        <w:pStyle w:val="a3"/>
        <w:rPr>
          <w:rtl/>
        </w:rPr>
      </w:pPr>
      <w:bookmarkStart w:id="24948" w:name="_Toc4022894"/>
      <w:bookmarkStart w:id="24949" w:name="_Toc4026719"/>
      <w:bookmarkStart w:id="24950" w:name="_Toc4139519"/>
      <w:bookmarkStart w:id="24951" w:name="_Toc4151613"/>
      <w:bookmarkStart w:id="24952" w:name="_Toc19392062"/>
      <w:bookmarkStart w:id="24953" w:name="_Toc19395559"/>
      <w:r>
        <w:rPr>
          <w:rFonts w:hint="cs"/>
          <w:rtl/>
        </w:rPr>
        <w:t>דברי הזכר יצחק דפסק הרמב"ם דההיתר דחשיב כשחוט ולא מהני ההיתר לחלב וגיד</w:t>
      </w:r>
      <w:bookmarkEnd w:id="24948"/>
      <w:bookmarkEnd w:id="24949"/>
      <w:bookmarkEnd w:id="24950"/>
      <w:bookmarkEnd w:id="24951"/>
      <w:bookmarkEnd w:id="24952"/>
      <w:bookmarkEnd w:id="24953"/>
    </w:p>
    <w:p w14:paraId="4E4ADEDB" w14:textId="77777777" w:rsidR="003D504D" w:rsidRDefault="003D504D" w:rsidP="00223668">
      <w:pPr>
        <w:pStyle w:val="a0"/>
        <w:rPr>
          <w:rStyle w:val="afb"/>
          <w:rtl/>
        </w:rPr>
      </w:pPr>
      <w:r>
        <w:rPr>
          <w:rFonts w:hint="cs"/>
          <w:rtl/>
        </w:rPr>
        <w:t xml:space="preserve">אך כתב </w:t>
      </w:r>
      <w:r w:rsidRPr="00343743">
        <w:rPr>
          <w:rStyle w:val="af9"/>
          <w:rFonts w:hint="cs"/>
          <w:rtl/>
        </w:rPr>
        <w:t>הזכר יצחק דהרמב"ם</w:t>
      </w:r>
      <w:r>
        <w:rPr>
          <w:rFonts w:hint="cs"/>
          <w:rtl/>
        </w:rPr>
        <w:t xml:space="preserve"> פסק דההיתר בבן פקועה הוא דחשיב רק שהעובר נשחט בשחיטת האם,</w:t>
      </w:r>
      <w:r w:rsidRPr="00B6699A">
        <w:rPr>
          <w:rFonts w:hint="cs"/>
          <w:rtl/>
        </w:rPr>
        <w:t xml:space="preserve"> </w:t>
      </w:r>
      <w:r>
        <w:rPr>
          <w:rFonts w:hint="cs"/>
          <w:rtl/>
        </w:rPr>
        <w:t xml:space="preserve">ולכן חלבו וגידו אסורים, דהשחיטה אינה מתירה את האיסורים. </w:t>
      </w:r>
      <w:r w:rsidRPr="00343743">
        <w:rPr>
          <w:rStyle w:val="afb"/>
          <w:rFonts w:hint="cs"/>
          <w:rtl/>
        </w:rPr>
        <w:t xml:space="preserve">[עיי"ש בדברי </w:t>
      </w:r>
      <w:r w:rsidRPr="00343743">
        <w:rPr>
          <w:rStyle w:val="affa"/>
          <w:rFonts w:hint="cs"/>
          <w:rtl/>
        </w:rPr>
        <w:t>הזכר יצחק</w:t>
      </w:r>
      <w:r w:rsidRPr="00343743">
        <w:rPr>
          <w:rStyle w:val="afb"/>
          <w:rFonts w:hint="cs"/>
          <w:rtl/>
        </w:rPr>
        <w:t xml:space="preserve"> </w:t>
      </w:r>
      <w:r w:rsidRPr="00343743">
        <w:rPr>
          <w:rStyle w:val="aff6"/>
          <w:rFonts w:hint="cs"/>
          <w:rtl/>
        </w:rPr>
        <w:t xml:space="preserve">(ח"א סי' ל"ה ד"ה והכרח הרמב"ם) </w:t>
      </w:r>
      <w:r w:rsidRPr="00343743">
        <w:rPr>
          <w:rStyle w:val="afb"/>
          <w:rFonts w:hint="cs"/>
          <w:rtl/>
        </w:rPr>
        <w:t xml:space="preserve">במה שביאר מהו המקור של </w:t>
      </w:r>
      <w:r w:rsidRPr="00343743">
        <w:rPr>
          <w:rStyle w:val="affa"/>
          <w:rFonts w:hint="cs"/>
          <w:rtl/>
        </w:rPr>
        <w:t>הרמב"ם</w:t>
      </w:r>
      <w:r w:rsidRPr="00343743">
        <w:rPr>
          <w:rStyle w:val="afb"/>
          <w:rFonts w:hint="cs"/>
          <w:rtl/>
        </w:rPr>
        <w:t xml:space="preserve"> דזהו גדר ההיתר].</w:t>
      </w:r>
    </w:p>
    <w:p w14:paraId="29544689" w14:textId="77777777" w:rsidR="003D504D" w:rsidRPr="00D23FB7" w:rsidRDefault="003D504D" w:rsidP="003D504D">
      <w:pPr>
        <w:pStyle w:val="a3"/>
        <w:rPr>
          <w:rtl/>
        </w:rPr>
      </w:pPr>
      <w:bookmarkStart w:id="24954" w:name="_Toc4022895"/>
      <w:bookmarkStart w:id="24955" w:name="_Toc4026720"/>
      <w:bookmarkStart w:id="24956" w:name="_Toc4139520"/>
      <w:bookmarkStart w:id="24957" w:name="_Toc4151614"/>
      <w:bookmarkStart w:id="24958" w:name="_Toc19392063"/>
      <w:bookmarkStart w:id="24959" w:name="_Toc19395560"/>
      <w:r>
        <w:rPr>
          <w:rFonts w:hint="cs"/>
          <w:rtl/>
        </w:rPr>
        <w:t>ביאור הזכר יצחק דגדר ההיתר דחיות הולד תלויה באמו ולכן בולד שיש לו חיות בפנ"ע אין היתר</w:t>
      </w:r>
      <w:bookmarkEnd w:id="24954"/>
      <w:bookmarkEnd w:id="24955"/>
      <w:bookmarkEnd w:id="24956"/>
      <w:bookmarkEnd w:id="24957"/>
      <w:bookmarkEnd w:id="24958"/>
      <w:bookmarkEnd w:id="24959"/>
    </w:p>
    <w:p w14:paraId="2122BA7B" w14:textId="77777777" w:rsidR="003D504D" w:rsidRPr="0056399A" w:rsidRDefault="003D504D" w:rsidP="00223668">
      <w:pPr>
        <w:pStyle w:val="a0"/>
        <w:rPr>
          <w:rtl/>
        </w:rPr>
      </w:pPr>
      <w:r>
        <w:rPr>
          <w:rFonts w:hint="cs"/>
          <w:rtl/>
        </w:rPr>
        <w:t xml:space="preserve">וכתב </w:t>
      </w:r>
      <w:r w:rsidRPr="00343743">
        <w:rPr>
          <w:rStyle w:val="af9"/>
          <w:rFonts w:hint="cs"/>
          <w:rtl/>
        </w:rPr>
        <w:t>הזכר יצחק</w:t>
      </w:r>
      <w:r>
        <w:rPr>
          <w:rFonts w:hint="cs"/>
          <w:rtl/>
        </w:rPr>
        <w:t xml:space="preserve"> דלפי"ז גדר ההיתר הוא דכיון שהחיות של העובר אינה חיות גמורה, וכל חיותו היא ע"י אמו, לכן שנעשה באמו מעשה שחיטה, אף הוא חשיב כשחוט, אבל הולד שנולד ממנו שיש לו חיות גמורה בפנ"ע לא שייך לומר שנעשה בו מעשה שחיטה ואינו חשיב כשחוט, ולכן השמיט </w:t>
      </w:r>
      <w:r w:rsidRPr="00343743">
        <w:rPr>
          <w:rStyle w:val="af9"/>
          <w:rFonts w:hint="cs"/>
          <w:rtl/>
        </w:rPr>
        <w:t>הרמב"ם</w:t>
      </w:r>
      <w:r>
        <w:rPr>
          <w:rFonts w:hint="cs"/>
          <w:rtl/>
        </w:rPr>
        <w:t xml:space="preserve"> את דין הולד,</w:t>
      </w:r>
      <w:r w:rsidRPr="008E43A0">
        <w:rPr>
          <w:rFonts w:hint="cs"/>
          <w:rtl/>
        </w:rPr>
        <w:t xml:space="preserve"> </w:t>
      </w:r>
      <w:r>
        <w:rPr>
          <w:rFonts w:hint="cs"/>
          <w:rtl/>
        </w:rPr>
        <w:t xml:space="preserve">ועיי"ש במה שביאר </w:t>
      </w:r>
      <w:r w:rsidRPr="00343743">
        <w:rPr>
          <w:rStyle w:val="af9"/>
          <w:rFonts w:hint="cs"/>
          <w:rtl/>
        </w:rPr>
        <w:t>הזכר יצחק</w:t>
      </w:r>
      <w:r>
        <w:rPr>
          <w:rFonts w:hint="cs"/>
          <w:rtl/>
        </w:rPr>
        <w:t xml:space="preserve"> בדעת </w:t>
      </w:r>
      <w:r w:rsidRPr="00343743">
        <w:rPr>
          <w:rStyle w:val="af9"/>
          <w:rFonts w:hint="cs"/>
          <w:rtl/>
        </w:rPr>
        <w:t>הרמב"ם</w:t>
      </w:r>
      <w:r>
        <w:rPr>
          <w:rFonts w:hint="cs"/>
          <w:rtl/>
        </w:rPr>
        <w:t xml:space="preserve"> בגמ' לקמן </w:t>
      </w:r>
      <w:r w:rsidRPr="00343743">
        <w:rPr>
          <w:rStyle w:val="af7"/>
          <w:rFonts w:eastAsia="Guttman Hodes" w:hint="cs"/>
          <w:rtl/>
        </w:rPr>
        <w:t>(עה:)</w:t>
      </w:r>
      <w:r>
        <w:rPr>
          <w:rFonts w:hint="cs"/>
          <w:rtl/>
        </w:rPr>
        <w:t xml:space="preserve"> דר"ש שזורי מתיר בבנו ובן בנו.</w:t>
      </w:r>
    </w:p>
    <w:p w14:paraId="4C58C9D0" w14:textId="77777777" w:rsidR="003D504D" w:rsidRDefault="003D504D" w:rsidP="003D504D">
      <w:pPr>
        <w:pStyle w:val="afe"/>
        <w:rPr>
          <w:rtl/>
        </w:rPr>
      </w:pPr>
      <w:bookmarkStart w:id="24960" w:name="_Toc3661969"/>
      <w:bookmarkStart w:id="24961" w:name="_Toc3840831"/>
      <w:bookmarkStart w:id="24962" w:name="_Toc3929070"/>
      <w:bookmarkStart w:id="24963" w:name="_Toc3978468"/>
      <w:bookmarkStart w:id="24964" w:name="_Toc4012340"/>
      <w:bookmarkStart w:id="24965" w:name="_Toc4013372"/>
      <w:bookmarkStart w:id="24966" w:name="_Toc4022896"/>
      <w:bookmarkStart w:id="24967" w:name="_Toc4026721"/>
      <w:bookmarkStart w:id="24968" w:name="_Toc4139521"/>
      <w:bookmarkStart w:id="24969" w:name="_Toc4151615"/>
      <w:bookmarkStart w:id="24970" w:name="_Toc19436382"/>
      <w:bookmarkStart w:id="24971" w:name="_Toc20081512"/>
      <w:r w:rsidRPr="008F7C71">
        <w:rPr>
          <w:rFonts w:hint="cs"/>
          <w:rtl/>
        </w:rPr>
        <w:t>בדעת הרמב"ם בדין גיד דשליל</w:t>
      </w:r>
      <w:bookmarkEnd w:id="24960"/>
      <w:bookmarkEnd w:id="24961"/>
      <w:bookmarkEnd w:id="24962"/>
      <w:bookmarkEnd w:id="24963"/>
      <w:bookmarkEnd w:id="24964"/>
      <w:bookmarkEnd w:id="24965"/>
      <w:bookmarkEnd w:id="24966"/>
      <w:bookmarkEnd w:id="24967"/>
      <w:bookmarkEnd w:id="24968"/>
      <w:bookmarkEnd w:id="24969"/>
      <w:bookmarkEnd w:id="24970"/>
      <w:bookmarkEnd w:id="24971"/>
    </w:p>
    <w:p w14:paraId="05431532" w14:textId="77777777" w:rsidR="003D504D" w:rsidRDefault="003D504D" w:rsidP="00BF39B2">
      <w:pPr>
        <w:pStyle w:val="1"/>
        <w:rPr>
          <w:rtl/>
        </w:rPr>
      </w:pPr>
      <w:bookmarkStart w:id="24972" w:name="_Toc4022897"/>
      <w:bookmarkStart w:id="24973" w:name="_Toc4026722"/>
      <w:bookmarkStart w:id="24974" w:name="_Toc4139522"/>
      <w:bookmarkStart w:id="24975" w:name="_Toc4151616"/>
      <w:bookmarkStart w:id="24976" w:name="_Toc19392064"/>
      <w:bookmarkStart w:id="24977" w:name="_Toc19395561"/>
      <w:r>
        <w:rPr>
          <w:rFonts w:hint="cs"/>
          <w:rtl/>
        </w:rPr>
        <w:t>דברי האבהא"ז</w:t>
      </w:r>
      <w:bookmarkEnd w:id="24972"/>
      <w:bookmarkEnd w:id="24973"/>
      <w:bookmarkEnd w:id="24974"/>
      <w:bookmarkEnd w:id="24975"/>
      <w:r>
        <w:rPr>
          <w:rFonts w:hint="cs"/>
          <w:rtl/>
        </w:rPr>
        <w:t xml:space="preserve"> דהרמב"ם אוסר בגיד דבן ח' וכתוס' ולא כרש"י</w:t>
      </w:r>
      <w:bookmarkEnd w:id="24976"/>
      <w:bookmarkEnd w:id="24977"/>
    </w:p>
    <w:p w14:paraId="7990D077" w14:textId="77777777" w:rsidR="003D504D" w:rsidRDefault="003D504D" w:rsidP="003D504D">
      <w:pPr>
        <w:pStyle w:val="a3"/>
        <w:rPr>
          <w:rtl/>
        </w:rPr>
      </w:pPr>
      <w:bookmarkStart w:id="24978" w:name="_Toc4022898"/>
      <w:bookmarkStart w:id="24979" w:name="_Toc4026723"/>
      <w:bookmarkStart w:id="24980" w:name="_Toc4139523"/>
      <w:bookmarkStart w:id="24981" w:name="_Toc4151617"/>
      <w:bookmarkStart w:id="24982" w:name="_Toc19392065"/>
      <w:bookmarkStart w:id="24983" w:name="_Toc19395562"/>
      <w:r>
        <w:rPr>
          <w:rFonts w:hint="cs"/>
          <w:rtl/>
        </w:rPr>
        <w:t>דברי האבאה"ז דמוכח ברמב"ם דגיד אסור בבן ח' ודלא כמבואר במ"מ ובשו"ע בדעת הרמב"ם</w:t>
      </w:r>
      <w:bookmarkEnd w:id="24978"/>
      <w:bookmarkEnd w:id="24979"/>
      <w:bookmarkEnd w:id="24980"/>
      <w:bookmarkEnd w:id="24981"/>
      <w:bookmarkEnd w:id="24982"/>
      <w:bookmarkEnd w:id="24983"/>
    </w:p>
    <w:p w14:paraId="439A5300" w14:textId="77777777" w:rsidR="003D504D" w:rsidRPr="00B30478" w:rsidRDefault="003D504D" w:rsidP="00223668">
      <w:pPr>
        <w:pStyle w:val="a0"/>
        <w:rPr>
          <w:rtl/>
        </w:rPr>
      </w:pPr>
      <w:bookmarkStart w:id="24984" w:name="_Ref3885677"/>
      <w:r>
        <w:rPr>
          <w:rFonts w:hint="cs"/>
          <w:rtl/>
        </w:rPr>
        <w:t xml:space="preserve">בדברי </w:t>
      </w:r>
      <w:r w:rsidRPr="0092687C">
        <w:rPr>
          <w:rStyle w:val="af9"/>
          <w:rFonts w:hint="cs"/>
          <w:rtl/>
        </w:rPr>
        <w:t>הרמב"ם</w:t>
      </w:r>
      <w:r>
        <w:rPr>
          <w:rFonts w:hint="cs"/>
          <w:rtl/>
        </w:rPr>
        <w:t xml:space="preserve"> </w:t>
      </w:r>
      <w:r w:rsidRPr="00F576C9">
        <w:rPr>
          <w:rStyle w:val="af7"/>
          <w:rFonts w:eastAsia="Guttman Hodes" w:hint="cs"/>
          <w:rtl/>
        </w:rPr>
        <w:t xml:space="preserve">(עי' אות </w:t>
      </w:r>
      <w:r w:rsidRPr="00F576C9">
        <w:rPr>
          <w:rStyle w:val="af7"/>
          <w:rFonts w:eastAsia="Guttman Hodes"/>
          <w:rtl/>
        </w:rPr>
        <w:fldChar w:fldCharType="begin"/>
      </w:r>
      <w:r w:rsidRPr="00F576C9">
        <w:rPr>
          <w:rStyle w:val="af7"/>
          <w:rFonts w:eastAsia="Guttman Hodes"/>
          <w:rtl/>
        </w:rPr>
        <w:instrText xml:space="preserve"> </w:instrText>
      </w:r>
      <w:r w:rsidRPr="00F576C9">
        <w:rPr>
          <w:rStyle w:val="af7"/>
          <w:rFonts w:eastAsia="Guttman Hodes" w:hint="cs"/>
        </w:rPr>
        <w:instrText>REF</w:instrText>
      </w:r>
      <w:r w:rsidRPr="00F576C9">
        <w:rPr>
          <w:rStyle w:val="af7"/>
          <w:rFonts w:eastAsia="Guttman Hodes" w:hint="cs"/>
          <w:rtl/>
        </w:rPr>
        <w:instrText xml:space="preserve"> _</w:instrText>
      </w:r>
      <w:r w:rsidRPr="00F576C9">
        <w:rPr>
          <w:rStyle w:val="af7"/>
          <w:rFonts w:eastAsia="Guttman Hodes" w:hint="cs"/>
        </w:rPr>
        <w:instrText>Ref3971525 \r \h</w:instrText>
      </w:r>
      <w:r w:rsidRPr="00F576C9">
        <w:rPr>
          <w:rStyle w:val="af7"/>
          <w:rFonts w:eastAsia="Guttman Hodes"/>
          <w:rtl/>
        </w:rPr>
        <w:instrText xml:space="preserve"> </w:instrText>
      </w:r>
      <w:r w:rsidRPr="00F576C9">
        <w:rPr>
          <w:rStyle w:val="af7"/>
          <w:rFonts w:eastAsia="Guttman Hodes"/>
          <w:rtl/>
        </w:rPr>
      </w:r>
      <w:r w:rsidRPr="00F576C9">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F576C9">
        <w:rPr>
          <w:rStyle w:val="af7"/>
          <w:rFonts w:eastAsia="Guttman Hodes"/>
          <w:rtl/>
        </w:rPr>
        <w:fldChar w:fldCharType="end"/>
      </w:r>
      <w:r>
        <w:rPr>
          <w:rFonts w:hint="cs"/>
          <w:rtl/>
        </w:rPr>
        <w:t xml:space="preserve"> דגיד הנשה נוהג בשליל, כתב </w:t>
      </w:r>
      <w:r w:rsidRPr="0092687C">
        <w:rPr>
          <w:rStyle w:val="af9"/>
          <w:rFonts w:hint="cs"/>
          <w:rtl/>
        </w:rPr>
        <w:t xml:space="preserve">האבהא"ז </w:t>
      </w:r>
      <w:r w:rsidRPr="0092687C">
        <w:rPr>
          <w:rStyle w:val="af7"/>
          <w:rFonts w:eastAsia="Guttman Hodes" w:hint="cs"/>
          <w:rtl/>
        </w:rPr>
        <w:t>(מאכ"א פ"ח ה"א)</w:t>
      </w:r>
      <w:r>
        <w:rPr>
          <w:rFonts w:hint="cs"/>
          <w:rtl/>
        </w:rPr>
        <w:t xml:space="preserve"> דס"ל</w:t>
      </w:r>
      <w:r w:rsidRPr="0092687C">
        <w:rPr>
          <w:rStyle w:val="af9"/>
          <w:rFonts w:hint="cs"/>
          <w:rtl/>
        </w:rPr>
        <w:t xml:space="preserve"> להרמב"ם </w:t>
      </w:r>
      <w:r>
        <w:rPr>
          <w:rFonts w:hint="cs"/>
          <w:rtl/>
        </w:rPr>
        <w:t xml:space="preserve">דאף בן ח' גידו אסור, כדמוכח מהא דבדין חלב כתב </w:t>
      </w:r>
      <w:r w:rsidRPr="0092687C">
        <w:rPr>
          <w:rStyle w:val="af9"/>
          <w:rFonts w:hint="cs"/>
          <w:rtl/>
        </w:rPr>
        <w:t xml:space="preserve">הרמב"ם </w:t>
      </w:r>
      <w:r w:rsidRPr="00F576C9">
        <w:rPr>
          <w:rStyle w:val="af7"/>
          <w:rFonts w:eastAsia="Guttman Hodes" w:hint="cs"/>
          <w:rtl/>
        </w:rPr>
        <w:t xml:space="preserve">(עי' אות </w:t>
      </w:r>
      <w:r w:rsidRPr="00F576C9">
        <w:rPr>
          <w:rStyle w:val="af7"/>
          <w:rFonts w:eastAsia="Guttman Hodes"/>
          <w:rtl/>
        </w:rPr>
        <w:fldChar w:fldCharType="begin"/>
      </w:r>
      <w:r w:rsidRPr="00F576C9">
        <w:rPr>
          <w:rStyle w:val="af7"/>
          <w:rFonts w:eastAsia="Guttman Hodes"/>
          <w:rtl/>
        </w:rPr>
        <w:instrText xml:space="preserve"> </w:instrText>
      </w:r>
      <w:r w:rsidRPr="00F576C9">
        <w:rPr>
          <w:rStyle w:val="af7"/>
          <w:rFonts w:eastAsia="Guttman Hodes" w:hint="cs"/>
        </w:rPr>
        <w:instrText>REF</w:instrText>
      </w:r>
      <w:r w:rsidRPr="00F576C9">
        <w:rPr>
          <w:rStyle w:val="af7"/>
          <w:rFonts w:eastAsia="Guttman Hodes" w:hint="cs"/>
          <w:rtl/>
        </w:rPr>
        <w:instrText xml:space="preserve"> _</w:instrText>
      </w:r>
      <w:r w:rsidRPr="00F576C9">
        <w:rPr>
          <w:rStyle w:val="af7"/>
          <w:rFonts w:eastAsia="Guttman Hodes" w:hint="cs"/>
        </w:rPr>
        <w:instrText>Ref3145560 \r \h</w:instrText>
      </w:r>
      <w:r w:rsidRPr="00F576C9">
        <w:rPr>
          <w:rStyle w:val="af7"/>
          <w:rFonts w:eastAsia="Guttman Hodes"/>
          <w:rtl/>
        </w:rPr>
        <w:instrText xml:space="preserve"> </w:instrText>
      </w:r>
      <w:r w:rsidRPr="00F576C9">
        <w:rPr>
          <w:rStyle w:val="af7"/>
          <w:rFonts w:eastAsia="Guttman Hodes"/>
          <w:rtl/>
        </w:rPr>
      </w:r>
      <w:r w:rsidRPr="00F576C9">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F576C9">
        <w:rPr>
          <w:rStyle w:val="af7"/>
          <w:rFonts w:eastAsia="Guttman Hodes"/>
          <w:rtl/>
        </w:rPr>
        <w:fldChar w:fldCharType="end"/>
      </w:r>
      <w:r>
        <w:rPr>
          <w:rFonts w:hint="cs"/>
          <w:rtl/>
        </w:rPr>
        <w:t xml:space="preserve"> דשליל חלבו מותר ואם כלו לו חדשיו חלבו אסור, ומבואר דכשכתב </w:t>
      </w:r>
      <w:r w:rsidRPr="0092687C">
        <w:rPr>
          <w:rStyle w:val="af9"/>
          <w:rFonts w:hint="cs"/>
          <w:rtl/>
        </w:rPr>
        <w:t xml:space="preserve">הרמב"ם </w:t>
      </w:r>
      <w:r>
        <w:rPr>
          <w:rFonts w:hint="cs"/>
          <w:rtl/>
        </w:rPr>
        <w:t xml:space="preserve">שליל סתם כוונתו אף לבן ח', וא"כ </w:t>
      </w:r>
      <w:r w:rsidRPr="0092687C">
        <w:rPr>
          <w:rStyle w:val="af9"/>
          <w:rFonts w:hint="cs"/>
          <w:rtl/>
        </w:rPr>
        <w:t xml:space="preserve">הרמב"ם </w:t>
      </w:r>
      <w:r>
        <w:rPr>
          <w:rFonts w:hint="cs"/>
          <w:rtl/>
        </w:rPr>
        <w:t xml:space="preserve">פליג על </w:t>
      </w:r>
      <w:r w:rsidRPr="0092687C">
        <w:rPr>
          <w:rStyle w:val="af9"/>
          <w:rFonts w:hint="cs"/>
          <w:rtl/>
        </w:rPr>
        <w:t xml:space="preserve">רש"י </w:t>
      </w:r>
      <w:r w:rsidRPr="00906CC8">
        <w:rPr>
          <w:rStyle w:val="af7"/>
          <w:rFonts w:eastAsia="Guttman Hodes" w:hint="cs"/>
          <w:rtl/>
        </w:rPr>
        <w:t>(</w:t>
      </w:r>
      <w:r w:rsidR="00AC7E32">
        <w:rPr>
          <w:rStyle w:val="af7"/>
          <w:rFonts w:eastAsia="Guttman Hodes" w:hint="cs"/>
          <w:rtl/>
        </w:rPr>
        <w:t>הובא בסימן</w:t>
      </w:r>
      <w:r w:rsidRPr="00906CC8">
        <w:rPr>
          <w:rStyle w:val="af7"/>
          <w:rFonts w:eastAsia="Guttman Hodes" w:hint="cs"/>
          <w:rtl/>
        </w:rPr>
        <w:t xml:space="preserve"> ז</w:t>
      </w:r>
      <w:r w:rsidRPr="00906CC8">
        <w:rPr>
          <w:rStyle w:val="af7"/>
          <w:rFonts w:eastAsia="Guttman Hodes"/>
          <w:rtl/>
        </w:rPr>
        <w:t>'</w:t>
      </w:r>
      <w:r w:rsidRPr="00906CC8">
        <w:rPr>
          <w:rStyle w:val="af7"/>
          <w:rFonts w:eastAsia="Guttman Hodes" w:hint="cs"/>
          <w:rtl/>
        </w:rPr>
        <w:t xml:space="preserve"> אות כב)</w:t>
      </w:r>
      <w:r>
        <w:rPr>
          <w:rFonts w:hint="cs"/>
          <w:rtl/>
        </w:rPr>
        <w:t xml:space="preserve"> דכתב דהביאור במתני' </w:t>
      </w:r>
      <w:r w:rsidRPr="0092687C">
        <w:rPr>
          <w:rStyle w:val="af7"/>
          <w:rFonts w:eastAsia="Guttman Hodes" w:hint="cs"/>
          <w:rtl/>
        </w:rPr>
        <w:t>(פט:)</w:t>
      </w:r>
      <w:r>
        <w:rPr>
          <w:rFonts w:hint="cs"/>
          <w:rtl/>
        </w:rPr>
        <w:t xml:space="preserve"> דגיד הנשה נוהג בשליל, היינו דוקא בבן ט' חי, וס"ל </w:t>
      </w:r>
      <w:r w:rsidRPr="0092687C">
        <w:rPr>
          <w:rStyle w:val="af9"/>
          <w:rFonts w:hint="cs"/>
          <w:rtl/>
        </w:rPr>
        <w:t xml:space="preserve">להרמב"ם </w:t>
      </w:r>
      <w:r>
        <w:rPr>
          <w:rFonts w:hint="cs"/>
          <w:rtl/>
        </w:rPr>
        <w:t xml:space="preserve">כדעת </w:t>
      </w:r>
      <w:r w:rsidRPr="0092687C">
        <w:rPr>
          <w:rStyle w:val="af9"/>
          <w:rFonts w:hint="cs"/>
          <w:rtl/>
        </w:rPr>
        <w:t xml:space="preserve">התוס' </w:t>
      </w:r>
      <w:r w:rsidRPr="009D43A0">
        <w:rPr>
          <w:rStyle w:val="af7"/>
          <w:rFonts w:eastAsia="Guttman Hodes" w:hint="cs"/>
          <w:rtl/>
        </w:rPr>
        <w:t>(</w:t>
      </w:r>
      <w:r w:rsidR="00AC7E32">
        <w:rPr>
          <w:rStyle w:val="af7"/>
          <w:rFonts w:eastAsia="Guttman Hodes" w:hint="cs"/>
          <w:rtl/>
        </w:rPr>
        <w:t>הובא בסימן</w:t>
      </w:r>
      <w:r w:rsidRPr="009D43A0">
        <w:rPr>
          <w:rStyle w:val="af7"/>
          <w:rFonts w:eastAsia="Guttman Hodes" w:hint="cs"/>
          <w:rtl/>
        </w:rPr>
        <w:t xml:space="preserve"> ז</w:t>
      </w:r>
      <w:r w:rsidRPr="009D43A0">
        <w:rPr>
          <w:rStyle w:val="af7"/>
          <w:rFonts w:eastAsia="Guttman Hodes"/>
          <w:rtl/>
        </w:rPr>
        <w:t>'</w:t>
      </w:r>
      <w:r w:rsidRPr="009D43A0">
        <w:rPr>
          <w:rStyle w:val="af7"/>
          <w:rFonts w:eastAsia="Guttman Hodes" w:hint="cs"/>
          <w:rtl/>
        </w:rPr>
        <w:t xml:space="preserve"> אות </w:t>
      </w:r>
      <w:r>
        <w:rPr>
          <w:rStyle w:val="af7"/>
          <w:rFonts w:eastAsia="Guttman Hodes" w:hint="cs"/>
          <w:rtl/>
        </w:rPr>
        <w:t>יד</w:t>
      </w:r>
      <w:r w:rsidRPr="009D43A0">
        <w:rPr>
          <w:rStyle w:val="af7"/>
          <w:rFonts w:eastAsia="Guttman Hodes" w:hint="cs"/>
          <w:rtl/>
        </w:rPr>
        <w:t>)</w:t>
      </w:r>
      <w:r>
        <w:rPr>
          <w:rFonts w:hint="cs"/>
          <w:rtl/>
        </w:rPr>
        <w:t xml:space="preserve"> דאיסור גיד חל משעת יצירת הולד, והא דאיתא בגמ' לקמן </w:t>
      </w:r>
      <w:r w:rsidRPr="0092687C">
        <w:rPr>
          <w:rStyle w:val="af7"/>
          <w:rFonts w:eastAsia="Guttman Hodes" w:hint="cs"/>
          <w:rtl/>
        </w:rPr>
        <w:t>(צב:)</w:t>
      </w:r>
      <w:r>
        <w:rPr>
          <w:rFonts w:hint="cs"/>
          <w:rtl/>
        </w:rPr>
        <w:t xml:space="preserve"> דאיסור הגיד מותר בבן ח', היינו דוקא לאחר שחיטה, ולא דמי לחלב </w:t>
      </w:r>
      <w:r w:rsidRPr="00B30478">
        <w:rPr>
          <w:rFonts w:hint="cs"/>
          <w:rtl/>
        </w:rPr>
        <w:t xml:space="preserve">דהוא אסור רק בשור וכשב, ותמה </w:t>
      </w:r>
      <w:r w:rsidRPr="00B30478">
        <w:rPr>
          <w:rStyle w:val="af9"/>
          <w:rFonts w:hint="cs"/>
          <w:rtl/>
        </w:rPr>
        <w:t xml:space="preserve">האבאה"ז </w:t>
      </w:r>
      <w:r w:rsidRPr="00B30478">
        <w:rPr>
          <w:rFonts w:hint="cs"/>
          <w:rtl/>
        </w:rPr>
        <w:t xml:space="preserve">על דברי </w:t>
      </w:r>
      <w:r w:rsidRPr="00B30478">
        <w:rPr>
          <w:rStyle w:val="af9"/>
          <w:rFonts w:hint="cs"/>
          <w:rtl/>
        </w:rPr>
        <w:t xml:space="preserve">המ"מ </w:t>
      </w:r>
      <w:r w:rsidRPr="00F576C9">
        <w:rPr>
          <w:rStyle w:val="af7"/>
          <w:rFonts w:eastAsia="Guttman Hodes" w:hint="cs"/>
          <w:rtl/>
        </w:rPr>
        <w:t xml:space="preserve">(עי' אות </w:t>
      </w:r>
      <w:r w:rsidRPr="00F576C9">
        <w:rPr>
          <w:rStyle w:val="af7"/>
          <w:rFonts w:eastAsia="Guttman Hodes"/>
          <w:rtl/>
        </w:rPr>
        <w:fldChar w:fldCharType="begin"/>
      </w:r>
      <w:r w:rsidRPr="00F576C9">
        <w:rPr>
          <w:rStyle w:val="af7"/>
          <w:rFonts w:eastAsia="Guttman Hodes"/>
          <w:rtl/>
        </w:rPr>
        <w:instrText xml:space="preserve"> </w:instrText>
      </w:r>
      <w:r w:rsidRPr="00F576C9">
        <w:rPr>
          <w:rStyle w:val="af7"/>
          <w:rFonts w:eastAsia="Guttman Hodes" w:hint="cs"/>
        </w:rPr>
        <w:instrText>REF</w:instrText>
      </w:r>
      <w:r w:rsidRPr="00F576C9">
        <w:rPr>
          <w:rStyle w:val="af7"/>
          <w:rFonts w:eastAsia="Guttman Hodes" w:hint="cs"/>
          <w:rtl/>
        </w:rPr>
        <w:instrText xml:space="preserve"> _</w:instrText>
      </w:r>
      <w:r w:rsidRPr="00F576C9">
        <w:rPr>
          <w:rStyle w:val="af7"/>
          <w:rFonts w:eastAsia="Guttman Hodes" w:hint="cs"/>
        </w:rPr>
        <w:instrText>Ref3972115 \r \h</w:instrText>
      </w:r>
      <w:r w:rsidRPr="00F576C9">
        <w:rPr>
          <w:rStyle w:val="af7"/>
          <w:rFonts w:eastAsia="Guttman Hodes"/>
          <w:rtl/>
        </w:rPr>
        <w:instrText xml:space="preserve"> </w:instrText>
      </w:r>
      <w:r w:rsidRPr="00F576C9">
        <w:rPr>
          <w:rStyle w:val="af7"/>
          <w:rFonts w:eastAsia="Guttman Hodes"/>
          <w:rtl/>
        </w:rPr>
      </w:r>
      <w:r w:rsidRPr="00F576C9">
        <w:rPr>
          <w:rStyle w:val="af7"/>
          <w:rFonts w:eastAsia="Guttman Hodes"/>
          <w:rtl/>
        </w:rPr>
        <w:fldChar w:fldCharType="separate"/>
      </w:r>
      <w:r w:rsidR="00345400">
        <w:rPr>
          <w:rStyle w:val="af7"/>
          <w:rFonts w:eastAsia="Guttman Hodes"/>
          <w:cs/>
        </w:rPr>
        <w:t>‎</w:t>
      </w:r>
      <w:r w:rsidR="00345400">
        <w:rPr>
          <w:rStyle w:val="af7"/>
          <w:rFonts w:eastAsia="Guttman Hodes"/>
          <w:rtl/>
        </w:rPr>
        <w:t>סג)</w:t>
      </w:r>
      <w:r w:rsidRPr="00F576C9">
        <w:rPr>
          <w:rStyle w:val="af7"/>
          <w:rFonts w:eastAsia="Guttman Hodes"/>
          <w:rtl/>
        </w:rPr>
        <w:fldChar w:fldCharType="end"/>
      </w:r>
      <w:r w:rsidRPr="00B30478">
        <w:rPr>
          <w:rFonts w:hint="cs"/>
          <w:rtl/>
        </w:rPr>
        <w:t xml:space="preserve"> דמשמע דביאר בדעת </w:t>
      </w:r>
      <w:r w:rsidRPr="00B30478">
        <w:rPr>
          <w:rStyle w:val="af9"/>
          <w:rFonts w:hint="cs"/>
          <w:rtl/>
        </w:rPr>
        <w:t>הרמב"ם</w:t>
      </w:r>
      <w:r w:rsidRPr="00B30478">
        <w:rPr>
          <w:rFonts w:hint="cs"/>
          <w:rtl/>
        </w:rPr>
        <w:t xml:space="preserve"> דאין חילוק בין דין חלב לדין הגיד</w:t>
      </w:r>
      <w:r>
        <w:rPr>
          <w:rFonts w:hint="cs"/>
          <w:rtl/>
        </w:rPr>
        <w:t xml:space="preserve">, וכן תמה </w:t>
      </w:r>
      <w:r w:rsidRPr="009D49E7">
        <w:rPr>
          <w:rStyle w:val="af9"/>
          <w:rFonts w:hint="cs"/>
          <w:rtl/>
        </w:rPr>
        <w:t>האבאה"ז</w:t>
      </w:r>
      <w:r>
        <w:rPr>
          <w:rFonts w:hint="cs"/>
          <w:rtl/>
        </w:rPr>
        <w:t xml:space="preserve"> </w:t>
      </w:r>
      <w:r w:rsidRPr="009D49E7">
        <w:rPr>
          <w:rStyle w:val="af7"/>
          <w:rFonts w:eastAsia="Guttman Hodes" w:hint="cs"/>
          <w:rtl/>
        </w:rPr>
        <w:t>(מאכ"א פ"ח ה"א ד"ה ז"ל רבינו)</w:t>
      </w:r>
      <w:r>
        <w:rPr>
          <w:rFonts w:hint="cs"/>
          <w:rtl/>
        </w:rPr>
        <w:t xml:space="preserve"> על דברי </w:t>
      </w:r>
      <w:r w:rsidRPr="009D49E7">
        <w:rPr>
          <w:rStyle w:val="af9"/>
          <w:rFonts w:hint="cs"/>
          <w:rtl/>
        </w:rPr>
        <w:t>השו"ע</w:t>
      </w:r>
      <w:r>
        <w:rPr>
          <w:rFonts w:hint="cs"/>
          <w:rtl/>
        </w:rPr>
        <w:t xml:space="preserve"> </w:t>
      </w:r>
      <w:r w:rsidRPr="009D49E7">
        <w:rPr>
          <w:rStyle w:val="af7"/>
          <w:rFonts w:eastAsia="Guttman Hodes" w:hint="cs"/>
          <w:rtl/>
        </w:rPr>
        <w:t>(סי' ס"ה ז')</w:t>
      </w:r>
      <w:r>
        <w:rPr>
          <w:rFonts w:hint="cs"/>
          <w:rtl/>
        </w:rPr>
        <w:t xml:space="preserve"> דכתב דבן ט' חי גידו אסור, ולא הביא </w:t>
      </w:r>
      <w:r w:rsidRPr="009D49E7">
        <w:rPr>
          <w:rStyle w:val="af9"/>
          <w:rFonts w:hint="cs"/>
          <w:rtl/>
        </w:rPr>
        <w:t>דלהרמב"ם</w:t>
      </w:r>
      <w:r>
        <w:rPr>
          <w:rFonts w:hint="cs"/>
          <w:rtl/>
        </w:rPr>
        <w:t xml:space="preserve"> האיסור הוא אף בבן ח'</w:t>
      </w:r>
      <w:r w:rsidRPr="00B30478">
        <w:rPr>
          <w:rFonts w:hint="cs"/>
          <w:rtl/>
        </w:rPr>
        <w:t>.</w:t>
      </w:r>
      <w:bookmarkEnd w:id="24984"/>
    </w:p>
    <w:p w14:paraId="126F04E3" w14:textId="77777777" w:rsidR="003D504D" w:rsidRPr="00B30478" w:rsidRDefault="003D504D" w:rsidP="003D504D">
      <w:pPr>
        <w:pStyle w:val="a3"/>
        <w:rPr>
          <w:rtl/>
        </w:rPr>
      </w:pPr>
      <w:bookmarkStart w:id="24985" w:name="_Toc4026724"/>
      <w:bookmarkStart w:id="24986" w:name="_Toc4139524"/>
      <w:bookmarkStart w:id="24987" w:name="_Toc4151618"/>
      <w:bookmarkStart w:id="24988" w:name="_Toc19392066"/>
      <w:bookmarkStart w:id="24989" w:name="_Toc19395563"/>
      <w:r>
        <w:rPr>
          <w:rFonts w:hint="cs"/>
          <w:rtl/>
        </w:rPr>
        <w:t>דברי האבהא"ז דביאור המ"מ והרא"ש ברמב"ם דריו"ח כר"מ אינו מוכרח דאפש"ל כרש"י</w:t>
      </w:r>
      <w:bookmarkEnd w:id="24985"/>
      <w:bookmarkEnd w:id="24986"/>
      <w:bookmarkEnd w:id="24987"/>
      <w:bookmarkEnd w:id="24988"/>
      <w:bookmarkEnd w:id="24989"/>
    </w:p>
    <w:p w14:paraId="481B42CB" w14:textId="77777777" w:rsidR="003D504D" w:rsidRDefault="003D504D" w:rsidP="00223668">
      <w:pPr>
        <w:pStyle w:val="a0"/>
        <w:rPr>
          <w:rtl/>
        </w:rPr>
      </w:pPr>
      <w:bookmarkStart w:id="24990" w:name="_Ref3885944"/>
      <w:r>
        <w:rPr>
          <w:rFonts w:hint="cs"/>
          <w:rtl/>
        </w:rPr>
        <w:t>ו</w:t>
      </w:r>
      <w:r w:rsidRPr="0014058F">
        <w:rPr>
          <w:rFonts w:hint="cs"/>
          <w:rtl/>
        </w:rPr>
        <w:t xml:space="preserve">במ"ש </w:t>
      </w:r>
      <w:r w:rsidRPr="00056B86">
        <w:rPr>
          <w:rStyle w:val="af9"/>
          <w:rFonts w:hint="cs"/>
          <w:rtl/>
        </w:rPr>
        <w:t xml:space="preserve">המ"מ </w:t>
      </w:r>
      <w:r w:rsidRPr="004153FF">
        <w:rPr>
          <w:rStyle w:val="af7"/>
          <w:rFonts w:eastAsia="Guttman Hodes" w:hint="cs"/>
          <w:rtl/>
        </w:rPr>
        <w:t xml:space="preserve">(עי' אות </w:t>
      </w:r>
      <w:r w:rsidRPr="004153FF">
        <w:rPr>
          <w:rStyle w:val="af7"/>
          <w:rFonts w:eastAsia="Guttman Hodes"/>
          <w:rtl/>
        </w:rPr>
        <w:fldChar w:fldCharType="begin"/>
      </w:r>
      <w:r w:rsidRPr="004153FF">
        <w:rPr>
          <w:rStyle w:val="af7"/>
          <w:rFonts w:eastAsia="Guttman Hodes"/>
          <w:rtl/>
        </w:rPr>
        <w:instrText xml:space="preserve"> </w:instrText>
      </w:r>
      <w:r w:rsidRPr="004153FF">
        <w:rPr>
          <w:rStyle w:val="af7"/>
          <w:rFonts w:eastAsia="Guttman Hodes" w:hint="cs"/>
        </w:rPr>
        <w:instrText>REF</w:instrText>
      </w:r>
      <w:r w:rsidRPr="004153FF">
        <w:rPr>
          <w:rStyle w:val="af7"/>
          <w:rFonts w:eastAsia="Guttman Hodes" w:hint="cs"/>
          <w:rtl/>
        </w:rPr>
        <w:instrText xml:space="preserve"> _</w:instrText>
      </w:r>
      <w:r w:rsidRPr="004153FF">
        <w:rPr>
          <w:rStyle w:val="af7"/>
          <w:rFonts w:eastAsia="Guttman Hodes" w:hint="cs"/>
        </w:rPr>
        <w:instrText>Ref3970713 \r \h</w:instrText>
      </w:r>
      <w:r w:rsidRPr="004153FF">
        <w:rPr>
          <w:rStyle w:val="af7"/>
          <w:rFonts w:eastAsia="Guttman Hodes"/>
          <w:rtl/>
        </w:rPr>
        <w:instrText xml:space="preserve"> </w:instrText>
      </w:r>
      <w:r w:rsidRPr="004153FF">
        <w:rPr>
          <w:rStyle w:val="af7"/>
          <w:rFonts w:eastAsia="Guttman Hodes"/>
          <w:rtl/>
        </w:rPr>
      </w:r>
      <w:r w:rsidRPr="004153FF">
        <w:rPr>
          <w:rStyle w:val="af7"/>
          <w:rFonts w:eastAsia="Guttman Hodes"/>
          <w:rtl/>
        </w:rPr>
        <w:fldChar w:fldCharType="separate"/>
      </w:r>
      <w:r w:rsidR="00345400">
        <w:rPr>
          <w:rStyle w:val="af7"/>
          <w:rFonts w:eastAsia="Guttman Hodes"/>
          <w:cs/>
        </w:rPr>
        <w:t>‎</w:t>
      </w:r>
      <w:r w:rsidR="00345400">
        <w:rPr>
          <w:rStyle w:val="af7"/>
          <w:rFonts w:eastAsia="Guttman Hodes"/>
          <w:rtl/>
        </w:rPr>
        <w:t>כז)</w:t>
      </w:r>
      <w:r w:rsidRPr="004153FF">
        <w:rPr>
          <w:rStyle w:val="af7"/>
          <w:rFonts w:eastAsia="Guttman Hodes"/>
          <w:rtl/>
        </w:rPr>
        <w:fldChar w:fldCharType="end"/>
      </w:r>
      <w:r w:rsidRPr="0014058F">
        <w:rPr>
          <w:rFonts w:hint="cs"/>
          <w:rtl/>
        </w:rPr>
        <w:t xml:space="preserve"> בדעת </w:t>
      </w:r>
      <w:r w:rsidRPr="00056B86">
        <w:rPr>
          <w:rStyle w:val="af9"/>
          <w:rFonts w:hint="cs"/>
          <w:rtl/>
        </w:rPr>
        <w:t>הרמב"ם</w:t>
      </w:r>
      <w:r>
        <w:rPr>
          <w:rFonts w:hint="cs"/>
          <w:rtl/>
        </w:rPr>
        <w:t xml:space="preserve"> דכיון דאמר ריו"ח דבתלש חלב אסור</w:t>
      </w:r>
      <w:r w:rsidRPr="00056B86">
        <w:rPr>
          <w:rFonts w:hint="cs"/>
          <w:rtl/>
        </w:rPr>
        <w:t xml:space="preserve"> </w:t>
      </w:r>
      <w:r>
        <w:rPr>
          <w:rFonts w:hint="cs"/>
          <w:rtl/>
        </w:rPr>
        <w:t>דחדשים גרמי, א"כ מבואר דס"ל לריו"ח דאף לאחר שחיטה החלב אסור, וס"ל לריו"ח כר"מ, ד</w:t>
      </w:r>
      <w:r w:rsidRPr="0014058F">
        <w:rPr>
          <w:rFonts w:hint="cs"/>
          <w:rtl/>
        </w:rPr>
        <w:t xml:space="preserve">אי שחיטת האם מתירה את החלב כר"י, </w:t>
      </w:r>
      <w:r>
        <w:rPr>
          <w:rFonts w:hint="cs"/>
          <w:rtl/>
        </w:rPr>
        <w:t>א"כ א"א לומר</w:t>
      </w:r>
      <w:r w:rsidRPr="0014058F">
        <w:rPr>
          <w:rFonts w:hint="cs"/>
          <w:rtl/>
        </w:rPr>
        <w:t xml:space="preserve"> דחדשים גרמי,</w:t>
      </w:r>
      <w:r>
        <w:rPr>
          <w:rFonts w:hint="cs"/>
          <w:rtl/>
        </w:rPr>
        <w:t xml:space="preserve"> </w:t>
      </w:r>
      <w:r w:rsidRPr="0014058F">
        <w:rPr>
          <w:rFonts w:hint="cs"/>
          <w:rtl/>
        </w:rPr>
        <w:t xml:space="preserve">וכדביאר </w:t>
      </w:r>
      <w:r w:rsidRPr="00056B86">
        <w:rPr>
          <w:rStyle w:val="af9"/>
          <w:rFonts w:hint="cs"/>
          <w:rtl/>
        </w:rPr>
        <w:t xml:space="preserve">הרא"ש </w:t>
      </w:r>
      <w:r w:rsidRPr="004153FF">
        <w:rPr>
          <w:rStyle w:val="af7"/>
          <w:rFonts w:eastAsia="Guttman Hodes" w:hint="cs"/>
          <w:rtl/>
        </w:rPr>
        <w:t xml:space="preserve">(עי' אות </w:t>
      </w:r>
      <w:r w:rsidRPr="004153FF">
        <w:rPr>
          <w:rStyle w:val="af7"/>
          <w:rFonts w:eastAsia="Guttman Hodes"/>
          <w:rtl/>
        </w:rPr>
        <w:fldChar w:fldCharType="begin"/>
      </w:r>
      <w:r w:rsidRPr="004153FF">
        <w:rPr>
          <w:rStyle w:val="af7"/>
          <w:rFonts w:eastAsia="Guttman Hodes"/>
          <w:rtl/>
        </w:rPr>
        <w:instrText xml:space="preserve"> </w:instrText>
      </w:r>
      <w:r w:rsidRPr="004153FF">
        <w:rPr>
          <w:rStyle w:val="af7"/>
          <w:rFonts w:eastAsia="Guttman Hodes" w:hint="cs"/>
        </w:rPr>
        <w:instrText>REF</w:instrText>
      </w:r>
      <w:r w:rsidRPr="004153FF">
        <w:rPr>
          <w:rStyle w:val="af7"/>
          <w:rFonts w:eastAsia="Guttman Hodes" w:hint="cs"/>
          <w:rtl/>
        </w:rPr>
        <w:instrText xml:space="preserve"> _</w:instrText>
      </w:r>
      <w:r w:rsidRPr="004153FF">
        <w:rPr>
          <w:rStyle w:val="af7"/>
          <w:rFonts w:eastAsia="Guttman Hodes" w:hint="cs"/>
        </w:rPr>
        <w:instrText>Ref3921945 \r \h</w:instrText>
      </w:r>
      <w:r w:rsidRPr="004153FF">
        <w:rPr>
          <w:rStyle w:val="af7"/>
          <w:rFonts w:eastAsia="Guttman Hodes"/>
          <w:rtl/>
        </w:rPr>
        <w:instrText xml:space="preserve"> </w:instrText>
      </w:r>
      <w:r w:rsidRPr="004153FF">
        <w:rPr>
          <w:rStyle w:val="af7"/>
          <w:rFonts w:eastAsia="Guttman Hodes"/>
          <w:rtl/>
        </w:rPr>
      </w:r>
      <w:r w:rsidRPr="004153FF">
        <w:rPr>
          <w:rStyle w:val="af7"/>
          <w:rFonts w:eastAsia="Guttman Hodes"/>
          <w:rtl/>
        </w:rPr>
        <w:fldChar w:fldCharType="separate"/>
      </w:r>
      <w:r w:rsidR="00345400">
        <w:rPr>
          <w:rStyle w:val="af7"/>
          <w:rFonts w:eastAsia="Guttman Hodes"/>
          <w:cs/>
        </w:rPr>
        <w:t>‎</w:t>
      </w:r>
      <w:r w:rsidR="00345400">
        <w:rPr>
          <w:rStyle w:val="af7"/>
          <w:rFonts w:eastAsia="Guttman Hodes"/>
          <w:rtl/>
        </w:rPr>
        <w:t>ה)</w:t>
      </w:r>
      <w:r w:rsidRPr="004153FF">
        <w:rPr>
          <w:rStyle w:val="af7"/>
          <w:rFonts w:eastAsia="Guttman Hodes"/>
          <w:rtl/>
        </w:rPr>
        <w:fldChar w:fldCharType="end"/>
      </w:r>
      <w:r w:rsidRPr="00592C05">
        <w:rPr>
          <w:rFonts w:hint="cs"/>
          <w:rtl/>
        </w:rPr>
        <w:t xml:space="preserve"> </w:t>
      </w:r>
      <w:r w:rsidRPr="0014058F">
        <w:rPr>
          <w:rFonts w:hint="cs"/>
          <w:rtl/>
        </w:rPr>
        <w:t xml:space="preserve">בדעת </w:t>
      </w:r>
      <w:r w:rsidRPr="00056B86">
        <w:rPr>
          <w:rStyle w:val="af9"/>
          <w:rFonts w:hint="cs"/>
          <w:rtl/>
        </w:rPr>
        <w:t>הרמב"ם</w:t>
      </w:r>
      <w:r>
        <w:rPr>
          <w:rFonts w:hint="cs"/>
          <w:rtl/>
        </w:rPr>
        <w:t xml:space="preserve">, </w:t>
      </w:r>
      <w:r w:rsidRPr="0014058F">
        <w:rPr>
          <w:rFonts w:hint="cs"/>
          <w:rtl/>
        </w:rPr>
        <w:t xml:space="preserve">דחה </w:t>
      </w:r>
      <w:r w:rsidRPr="00056B86">
        <w:rPr>
          <w:rStyle w:val="af9"/>
          <w:rFonts w:hint="cs"/>
          <w:rtl/>
        </w:rPr>
        <w:t xml:space="preserve">האבאה"ז </w:t>
      </w:r>
      <w:r w:rsidRPr="004153FF">
        <w:rPr>
          <w:rStyle w:val="af7"/>
          <w:rFonts w:eastAsia="Guttman Hodes" w:hint="cs"/>
          <w:rtl/>
        </w:rPr>
        <w:t>(מאכ"א פ"ח ה"א ד"ה והנה בגמ')</w:t>
      </w:r>
      <w:r w:rsidRPr="0014058F">
        <w:rPr>
          <w:rFonts w:hint="cs"/>
          <w:rtl/>
        </w:rPr>
        <w:t xml:space="preserve"> ד</w:t>
      </w:r>
      <w:r>
        <w:rPr>
          <w:rFonts w:hint="cs"/>
          <w:rtl/>
        </w:rPr>
        <w:t>אין הכרח לומר כן ד</w:t>
      </w:r>
      <w:r w:rsidRPr="0014058F">
        <w:rPr>
          <w:rFonts w:hint="cs"/>
          <w:rtl/>
        </w:rPr>
        <w:t xml:space="preserve">הא </w:t>
      </w:r>
      <w:r w:rsidRPr="00056B86">
        <w:rPr>
          <w:rStyle w:val="af9"/>
          <w:rFonts w:hint="cs"/>
          <w:rtl/>
        </w:rPr>
        <w:t>רש"</w:t>
      </w:r>
      <w:r w:rsidRPr="0014058F">
        <w:rPr>
          <w:rFonts w:hint="cs"/>
          <w:rtl/>
        </w:rPr>
        <w:t xml:space="preserve">י </w:t>
      </w:r>
      <w:r w:rsidRPr="00056B86">
        <w:rPr>
          <w:rStyle w:val="af9"/>
          <w:rFonts w:hint="cs"/>
          <w:rtl/>
        </w:rPr>
        <w:t xml:space="preserve">והרשב"א </w:t>
      </w:r>
      <w:r w:rsidRPr="001B2DF0">
        <w:rPr>
          <w:rStyle w:val="af7"/>
          <w:rFonts w:eastAsia="Guttman Hodes" w:hint="cs"/>
          <w:rtl/>
        </w:rPr>
        <w:t xml:space="preserve">(עי' אות </w:t>
      </w:r>
      <w:r w:rsidRPr="001B2DF0">
        <w:rPr>
          <w:rStyle w:val="af7"/>
          <w:rFonts w:eastAsia="Guttman Hodes"/>
          <w:rtl/>
        </w:rPr>
        <w:fldChar w:fldCharType="begin"/>
      </w:r>
      <w:r w:rsidRPr="001B2DF0">
        <w:rPr>
          <w:rStyle w:val="af7"/>
          <w:rFonts w:eastAsia="Guttman Hodes"/>
          <w:rtl/>
        </w:rPr>
        <w:instrText xml:space="preserve"> </w:instrText>
      </w:r>
      <w:r w:rsidRPr="001B2DF0">
        <w:rPr>
          <w:rStyle w:val="af7"/>
          <w:rFonts w:eastAsia="Guttman Hodes" w:hint="cs"/>
        </w:rPr>
        <w:instrText>REF</w:instrText>
      </w:r>
      <w:r w:rsidRPr="001B2DF0">
        <w:rPr>
          <w:rStyle w:val="af7"/>
          <w:rFonts w:eastAsia="Guttman Hodes" w:hint="cs"/>
          <w:rtl/>
        </w:rPr>
        <w:instrText xml:space="preserve"> _</w:instrText>
      </w:r>
      <w:r w:rsidRPr="001B2DF0">
        <w:rPr>
          <w:rStyle w:val="af7"/>
          <w:rFonts w:eastAsia="Guttman Hodes" w:hint="cs"/>
        </w:rPr>
        <w:instrText>Ref4142423 \r \h</w:instrText>
      </w:r>
      <w:r w:rsidRPr="001B2DF0">
        <w:rPr>
          <w:rStyle w:val="af7"/>
          <w:rFonts w:eastAsia="Guttman Hodes"/>
          <w:rtl/>
        </w:rPr>
        <w:instrText xml:space="preserve"> </w:instrText>
      </w:r>
      <w:r w:rsidRPr="001B2DF0">
        <w:rPr>
          <w:rStyle w:val="af7"/>
          <w:rFonts w:eastAsia="Guttman Hodes"/>
          <w:rtl/>
        </w:rPr>
      </w:r>
      <w:r w:rsidRPr="001B2DF0">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1B2DF0">
        <w:rPr>
          <w:rStyle w:val="af7"/>
          <w:rFonts w:eastAsia="Guttman Hodes"/>
          <w:rtl/>
        </w:rPr>
        <w:fldChar w:fldCharType="end"/>
      </w:r>
      <w:r>
        <w:rPr>
          <w:rFonts w:hint="cs"/>
          <w:rtl/>
        </w:rPr>
        <w:t xml:space="preserve">  </w:t>
      </w:r>
      <w:r w:rsidRPr="0014058F">
        <w:rPr>
          <w:rFonts w:hint="cs"/>
          <w:rtl/>
        </w:rPr>
        <w:t>ביאר</w:t>
      </w:r>
      <w:r>
        <w:rPr>
          <w:rFonts w:hint="cs"/>
          <w:rtl/>
        </w:rPr>
        <w:t>ו</w:t>
      </w:r>
      <w:r w:rsidRPr="0014058F">
        <w:rPr>
          <w:rFonts w:hint="cs"/>
          <w:rtl/>
        </w:rPr>
        <w:t xml:space="preserve"> דריו"ח ס"ל כר"י ואחר שחיטה מותר מדין "כל בבהמה תאכלו"</w:t>
      </w:r>
      <w:r>
        <w:rPr>
          <w:rFonts w:hint="cs"/>
          <w:rtl/>
        </w:rPr>
        <w:t>.</w:t>
      </w:r>
      <w:bookmarkEnd w:id="24990"/>
    </w:p>
    <w:p w14:paraId="58DE46C7" w14:textId="77777777" w:rsidR="003D504D" w:rsidRDefault="003D504D" w:rsidP="00BF39B2">
      <w:pPr>
        <w:pStyle w:val="1"/>
        <w:rPr>
          <w:rtl/>
        </w:rPr>
      </w:pPr>
      <w:bookmarkStart w:id="24991" w:name="_Toc19392067"/>
      <w:bookmarkStart w:id="24992" w:name="_Toc19395564"/>
      <w:bookmarkStart w:id="24993" w:name="_Toc4022899"/>
      <w:bookmarkStart w:id="24994" w:name="_Toc4026725"/>
      <w:bookmarkStart w:id="24995" w:name="_Toc4139525"/>
      <w:bookmarkStart w:id="24996" w:name="_Toc4151619"/>
      <w:r>
        <w:rPr>
          <w:rFonts w:hint="cs"/>
          <w:rtl/>
        </w:rPr>
        <w:t>דברי האבאה"ז דלרמב"ם א"א לומר דגיד דבן ט' אסור דהוי שור</w:t>
      </w:r>
      <w:bookmarkEnd w:id="24991"/>
      <w:bookmarkEnd w:id="24992"/>
    </w:p>
    <w:p w14:paraId="624E22BF" w14:textId="77777777" w:rsidR="003D504D" w:rsidRPr="004153FF" w:rsidRDefault="003D504D" w:rsidP="003D504D">
      <w:pPr>
        <w:pStyle w:val="a3"/>
        <w:rPr>
          <w:rtl/>
        </w:rPr>
      </w:pPr>
      <w:bookmarkStart w:id="24997" w:name="_Toc19392068"/>
      <w:bookmarkStart w:id="24998" w:name="_Toc19395565"/>
      <w:r>
        <w:rPr>
          <w:rFonts w:hint="cs"/>
          <w:rtl/>
        </w:rPr>
        <w:t>דברי האבאה"ז דלהרמב"ם א"א לומר דהחלב אסור דהוי חלב שור דהא בן ט' מותר בשחיטת אמו</w:t>
      </w:r>
      <w:bookmarkEnd w:id="24993"/>
      <w:bookmarkEnd w:id="24994"/>
      <w:bookmarkEnd w:id="24995"/>
      <w:bookmarkEnd w:id="24996"/>
      <w:bookmarkEnd w:id="24997"/>
      <w:bookmarkEnd w:id="24998"/>
    </w:p>
    <w:p w14:paraId="6A97ED26" w14:textId="77777777" w:rsidR="003D504D" w:rsidRDefault="003D504D" w:rsidP="00223668">
      <w:pPr>
        <w:pStyle w:val="a0"/>
        <w:rPr>
          <w:rtl/>
        </w:rPr>
      </w:pPr>
      <w:r>
        <w:rPr>
          <w:rFonts w:hint="cs"/>
          <w:rtl/>
        </w:rPr>
        <w:t xml:space="preserve">וכתב </w:t>
      </w:r>
      <w:r w:rsidRPr="00056B86">
        <w:rPr>
          <w:rStyle w:val="af9"/>
          <w:rFonts w:hint="cs"/>
          <w:rtl/>
        </w:rPr>
        <w:t xml:space="preserve">האבאה"ז </w:t>
      </w:r>
      <w:r>
        <w:rPr>
          <w:rFonts w:hint="cs"/>
          <w:rtl/>
        </w:rPr>
        <w:t xml:space="preserve">דא"א לומר דכיון דחדשים גרמי קרינן בעובר "שור וכשב", ולכן אין החלב מותר בשחיטת האם, דהא לדעת </w:t>
      </w:r>
      <w:r w:rsidRPr="004153FF">
        <w:rPr>
          <w:rStyle w:val="af9"/>
          <w:rFonts w:hint="cs"/>
          <w:rtl/>
        </w:rPr>
        <w:t>הרמב"ם</w:t>
      </w:r>
      <w:r>
        <w:rPr>
          <w:rFonts w:hint="cs"/>
          <w:rtl/>
        </w:rPr>
        <w:t xml:space="preserve"> קיי"ל כר"י דבן ט' חי מותר בשחיטת אמו, דנאמר בו היתר "בהמה בבהמה", ומוכח דאף שיש לו שם "שור וכשב", מ"מ מהני בו היתר "כל בבהמה תאכלו", וא"כ אמאי חלבו וגידו אינם בכלל ההיתר.</w:t>
      </w:r>
    </w:p>
    <w:p w14:paraId="6171BCFE" w14:textId="77777777" w:rsidR="00FD0A61" w:rsidRPr="00FD0A61" w:rsidRDefault="00FD0A61" w:rsidP="00FD0A61">
      <w:pPr>
        <w:pStyle w:val="a3"/>
        <w:rPr>
          <w:rtl/>
        </w:rPr>
      </w:pPr>
    </w:p>
    <w:p w14:paraId="636C5595" w14:textId="77777777" w:rsidR="003D504D" w:rsidRPr="00331FE6" w:rsidRDefault="003D504D" w:rsidP="003D504D">
      <w:pPr>
        <w:pStyle w:val="a3"/>
        <w:rPr>
          <w:rtl/>
        </w:rPr>
      </w:pPr>
      <w:bookmarkStart w:id="24999" w:name="_Toc4022900"/>
      <w:bookmarkStart w:id="25000" w:name="_Toc4026726"/>
      <w:bookmarkStart w:id="25001" w:name="_Toc4139526"/>
      <w:bookmarkStart w:id="25002" w:name="_Toc4151620"/>
      <w:bookmarkStart w:id="25003" w:name="_Toc19392069"/>
      <w:bookmarkStart w:id="25004" w:name="_Toc19395566"/>
      <w:r>
        <w:rPr>
          <w:rFonts w:hint="cs"/>
          <w:rtl/>
        </w:rPr>
        <w:t>דברי האבהא"ז דלהרשב"א בשם תוס' אפש"ל דחלבו אסור כיון דנקרא שור</w:t>
      </w:r>
      <w:bookmarkEnd w:id="24999"/>
      <w:bookmarkEnd w:id="25000"/>
      <w:bookmarkEnd w:id="25001"/>
      <w:bookmarkEnd w:id="25002"/>
      <w:bookmarkEnd w:id="25003"/>
      <w:bookmarkEnd w:id="25004"/>
    </w:p>
    <w:p w14:paraId="4E1C11E4" w14:textId="77777777" w:rsidR="003D504D" w:rsidRDefault="003D504D" w:rsidP="00223668">
      <w:pPr>
        <w:pStyle w:val="a0"/>
        <w:rPr>
          <w:sz w:val="10"/>
          <w:szCs w:val="14"/>
          <w:rtl/>
        </w:rPr>
      </w:pPr>
      <w:r>
        <w:rPr>
          <w:rFonts w:hint="cs"/>
          <w:rtl/>
        </w:rPr>
        <w:t xml:space="preserve">וכתב </w:t>
      </w:r>
      <w:r w:rsidRPr="00056B86">
        <w:rPr>
          <w:rStyle w:val="af9"/>
          <w:rFonts w:hint="cs"/>
          <w:rtl/>
        </w:rPr>
        <w:t xml:space="preserve">האבאה"ז </w:t>
      </w:r>
      <w:r>
        <w:rPr>
          <w:rFonts w:hint="cs"/>
          <w:rtl/>
        </w:rPr>
        <w:t xml:space="preserve">דהיה אפשר לבאר כדברי </w:t>
      </w:r>
      <w:r w:rsidRPr="00056B86">
        <w:rPr>
          <w:rStyle w:val="af9"/>
          <w:rFonts w:hint="cs"/>
          <w:rtl/>
        </w:rPr>
        <w:t xml:space="preserve">דהרשב"א </w:t>
      </w:r>
      <w:r>
        <w:rPr>
          <w:rFonts w:hint="cs"/>
          <w:rtl/>
        </w:rPr>
        <w:t xml:space="preserve">הביא בשם </w:t>
      </w:r>
      <w:r w:rsidRPr="00056B86">
        <w:rPr>
          <w:rStyle w:val="af9"/>
          <w:rFonts w:hint="cs"/>
          <w:rtl/>
        </w:rPr>
        <w:t>תוס'</w:t>
      </w:r>
      <w:r>
        <w:rPr>
          <w:rFonts w:hint="cs"/>
          <w:rtl/>
        </w:rPr>
        <w:t xml:space="preserve"> </w:t>
      </w:r>
      <w:r w:rsidRPr="001D64BF">
        <w:rPr>
          <w:rStyle w:val="af7"/>
          <w:rFonts w:eastAsia="Guttman Hodes" w:hint="cs"/>
          <w:rtl/>
        </w:rPr>
        <w:t>(</w:t>
      </w:r>
      <w:r w:rsidR="00AC7E32">
        <w:rPr>
          <w:rStyle w:val="af7"/>
          <w:rFonts w:eastAsia="Guttman Hodes" w:hint="cs"/>
          <w:rtl/>
        </w:rPr>
        <w:t>הובא בסימן</w:t>
      </w:r>
      <w:r w:rsidRPr="001D64BF">
        <w:rPr>
          <w:rStyle w:val="af7"/>
          <w:rFonts w:eastAsia="Guttman Hodes" w:hint="cs"/>
          <w:rtl/>
        </w:rPr>
        <w:t xml:space="preserve"> ז</w:t>
      </w:r>
      <w:r w:rsidRPr="001D64BF">
        <w:rPr>
          <w:rStyle w:val="af7"/>
          <w:rFonts w:eastAsia="Guttman Hodes"/>
          <w:rtl/>
        </w:rPr>
        <w:t>'</w:t>
      </w:r>
      <w:r w:rsidRPr="001D64BF">
        <w:rPr>
          <w:rStyle w:val="af7"/>
          <w:rFonts w:eastAsia="Guttman Hodes" w:hint="cs"/>
          <w:rtl/>
        </w:rPr>
        <w:t xml:space="preserve"> אות כג)</w:t>
      </w:r>
      <w:r>
        <w:rPr>
          <w:rFonts w:hint="cs"/>
          <w:rtl/>
        </w:rPr>
        <w:t xml:space="preserve"> דלר"מ אינו מותר בשחיטת אמו כיון דחשיב בהמה בפנ"ע, ולר"י אינו בהמה בפנ"ע ולכן מותר בשחיטת אמו, וא"כ מבואר דכל היתר "בהמה בבהמה" נאמר רק כשאינו נחשב "שור" גמור, אבל במקום שיש לו שם "שור" הוא חייב שחיטה דקרינן ביה "וזבחת מבקרך", </w:t>
      </w:r>
      <w:r w:rsidRPr="00C252EF">
        <w:rPr>
          <w:rStyle w:val="afb"/>
          <w:rFonts w:hint="cs"/>
          <w:rtl/>
        </w:rPr>
        <w:t xml:space="preserve">[והיינו דלפי"ז כוונת </w:t>
      </w:r>
      <w:r w:rsidRPr="00C252EF">
        <w:rPr>
          <w:rStyle w:val="affa"/>
          <w:rFonts w:hint="cs"/>
          <w:rtl/>
        </w:rPr>
        <w:t>המ"מ</w:t>
      </w:r>
      <w:r w:rsidRPr="00C252EF">
        <w:rPr>
          <w:rStyle w:val="afb"/>
          <w:rFonts w:hint="cs"/>
          <w:rtl/>
        </w:rPr>
        <w:t xml:space="preserve"> לומר דלריו"ח דחדשים גרמי קרינן ביה "שור" לענין החלב, וכיון דהחלב שלו חשיב כחלב שור, ממילא לא מהני השחיטה להתירו]</w:t>
      </w:r>
      <w:r>
        <w:rPr>
          <w:rFonts w:hint="cs"/>
          <w:rtl/>
        </w:rPr>
        <w:t>.</w:t>
      </w:r>
    </w:p>
    <w:p w14:paraId="25E72CB9" w14:textId="77777777" w:rsidR="003D504D" w:rsidRPr="00BA3DEF" w:rsidRDefault="003D504D" w:rsidP="003D504D">
      <w:pPr>
        <w:pStyle w:val="a3"/>
        <w:rPr>
          <w:rtl/>
        </w:rPr>
      </w:pPr>
    </w:p>
    <w:p w14:paraId="30AB8754" w14:textId="77777777" w:rsidR="003D504D" w:rsidRPr="00331FE6" w:rsidRDefault="003D504D" w:rsidP="003D504D">
      <w:pPr>
        <w:pStyle w:val="a3"/>
      </w:pPr>
      <w:bookmarkStart w:id="25005" w:name="_Toc4022901"/>
      <w:bookmarkStart w:id="25006" w:name="_Toc4026727"/>
      <w:bookmarkStart w:id="25007" w:name="_Toc4139527"/>
      <w:bookmarkStart w:id="25008" w:name="_Toc4151621"/>
      <w:bookmarkStart w:id="25009" w:name="_Toc19392070"/>
      <w:bookmarkStart w:id="25010" w:name="_Toc19395567"/>
      <w:r>
        <w:rPr>
          <w:rFonts w:hint="cs"/>
          <w:rtl/>
        </w:rPr>
        <w:t xml:space="preserve">דחיית </w:t>
      </w:r>
      <w:r w:rsidRPr="00331FE6">
        <w:rPr>
          <w:rtl/>
        </w:rPr>
        <w:t xml:space="preserve">האהבא"ז דהרשב"א </w:t>
      </w:r>
      <w:r>
        <w:rPr>
          <w:rFonts w:hint="cs"/>
          <w:rtl/>
        </w:rPr>
        <w:t xml:space="preserve">גופיה </w:t>
      </w:r>
      <w:r w:rsidRPr="00331FE6">
        <w:rPr>
          <w:rtl/>
        </w:rPr>
        <w:t>כתב דאף לריו"ח דהוי בהמה מודה דמהני שחיטה להתירו</w:t>
      </w:r>
      <w:bookmarkEnd w:id="25005"/>
      <w:bookmarkEnd w:id="25006"/>
      <w:bookmarkEnd w:id="25007"/>
      <w:bookmarkEnd w:id="25008"/>
      <w:bookmarkEnd w:id="25009"/>
      <w:bookmarkEnd w:id="25010"/>
    </w:p>
    <w:p w14:paraId="3F737E5A" w14:textId="77777777" w:rsidR="003D504D" w:rsidRPr="00C252EF" w:rsidRDefault="003D504D" w:rsidP="00223668">
      <w:pPr>
        <w:pStyle w:val="a0"/>
        <w:rPr>
          <w:rStyle w:val="afb"/>
          <w:rtl/>
        </w:rPr>
      </w:pPr>
      <w:r>
        <w:rPr>
          <w:rFonts w:hint="cs"/>
          <w:rtl/>
        </w:rPr>
        <w:t xml:space="preserve">אך מ"מ דחה </w:t>
      </w:r>
      <w:r w:rsidRPr="00C252EF">
        <w:rPr>
          <w:rStyle w:val="af9"/>
          <w:rFonts w:hint="cs"/>
          <w:rtl/>
        </w:rPr>
        <w:t>האבאה"ז</w:t>
      </w:r>
      <w:r>
        <w:rPr>
          <w:rFonts w:hint="cs"/>
          <w:rtl/>
        </w:rPr>
        <w:t xml:space="preserve"> דא"א לומר כן, דהא </w:t>
      </w:r>
      <w:r w:rsidRPr="00C252EF">
        <w:rPr>
          <w:rStyle w:val="af9"/>
          <w:rFonts w:hint="cs"/>
          <w:rtl/>
        </w:rPr>
        <w:t>הרשב"א</w:t>
      </w:r>
      <w:r>
        <w:rPr>
          <w:rFonts w:hint="cs"/>
          <w:rtl/>
        </w:rPr>
        <w:t xml:space="preserve"> </w:t>
      </w:r>
      <w:r w:rsidRPr="001D64BF">
        <w:rPr>
          <w:rStyle w:val="af7"/>
          <w:rFonts w:eastAsia="Guttman Hodes" w:hint="cs"/>
          <w:rtl/>
        </w:rPr>
        <w:t xml:space="preserve">(עי' אות </w:t>
      </w:r>
      <w:r w:rsidRPr="001D64BF">
        <w:rPr>
          <w:rStyle w:val="af7"/>
          <w:rFonts w:eastAsia="Guttman Hodes"/>
          <w:rtl/>
        </w:rPr>
        <w:fldChar w:fldCharType="begin"/>
      </w:r>
      <w:r w:rsidRPr="001D64BF">
        <w:rPr>
          <w:rStyle w:val="af7"/>
          <w:rFonts w:eastAsia="Guttman Hodes"/>
          <w:rtl/>
        </w:rPr>
        <w:instrText xml:space="preserve"> </w:instrText>
      </w:r>
      <w:r w:rsidRPr="001D64BF">
        <w:rPr>
          <w:rStyle w:val="af7"/>
          <w:rFonts w:eastAsia="Guttman Hodes" w:hint="cs"/>
        </w:rPr>
        <w:instrText>REF</w:instrText>
      </w:r>
      <w:r w:rsidRPr="001D64BF">
        <w:rPr>
          <w:rStyle w:val="af7"/>
          <w:rFonts w:eastAsia="Guttman Hodes" w:hint="cs"/>
          <w:rtl/>
        </w:rPr>
        <w:instrText xml:space="preserve"> _</w:instrText>
      </w:r>
      <w:r w:rsidRPr="001D64BF">
        <w:rPr>
          <w:rStyle w:val="af7"/>
          <w:rFonts w:eastAsia="Guttman Hodes" w:hint="cs"/>
        </w:rPr>
        <w:instrText>Ref4142423 \r \h</w:instrText>
      </w:r>
      <w:r w:rsidRPr="001D64BF">
        <w:rPr>
          <w:rStyle w:val="af7"/>
          <w:rFonts w:eastAsia="Guttman Hodes"/>
          <w:rtl/>
        </w:rPr>
        <w:instrText xml:space="preserve"> </w:instrText>
      </w:r>
      <w:r w:rsidRPr="001D64BF">
        <w:rPr>
          <w:rStyle w:val="af7"/>
          <w:rFonts w:eastAsia="Guttman Hodes"/>
          <w:rtl/>
        </w:rPr>
      </w:r>
      <w:r w:rsidRPr="001D64BF">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1D64BF">
        <w:rPr>
          <w:rStyle w:val="af7"/>
          <w:rFonts w:eastAsia="Guttman Hodes"/>
          <w:rtl/>
        </w:rPr>
        <w:fldChar w:fldCharType="end"/>
      </w:r>
      <w:r w:rsidRPr="001D64BF">
        <w:rPr>
          <w:rStyle w:val="af7"/>
          <w:rFonts w:eastAsia="Guttman Hodes" w:hint="cs"/>
          <w:rtl/>
        </w:rPr>
        <w:t xml:space="preserve"> </w:t>
      </w:r>
      <w:r>
        <w:rPr>
          <w:rFonts w:hint="cs"/>
          <w:rtl/>
        </w:rPr>
        <w:t xml:space="preserve">גופיה דחה דא"א להוכיח מדברי ריו"ח דס"ל כר"מ, ואפש"ל דמודה ריו"ח לר"י דכשנשחטה החלב מותר, וא"כ מבואר דס"ל </w:t>
      </w:r>
      <w:r w:rsidRPr="007A2A9E">
        <w:rPr>
          <w:rStyle w:val="af9"/>
          <w:rFonts w:hint="cs"/>
          <w:rtl/>
        </w:rPr>
        <w:t>להרשב"א</w:t>
      </w:r>
      <w:r>
        <w:rPr>
          <w:rFonts w:hint="cs"/>
          <w:rtl/>
        </w:rPr>
        <w:t xml:space="preserve"> דלר"מ דחדשים גרמי ואינו מותר בשחיטת אמו, מ"מ לר"י דמהני לו שחיטת אמו, אף חלבו מותר כיון דאין לו חדשים ואוירא. </w:t>
      </w:r>
      <w:r w:rsidRPr="00C252EF">
        <w:rPr>
          <w:rStyle w:val="afb"/>
          <w:rFonts w:hint="cs"/>
          <w:rtl/>
        </w:rPr>
        <w:t xml:space="preserve">[ומבואר דא"א לומר דהחלב אסור דקרינן ביה "חלב שור", דהא מוכח </w:t>
      </w:r>
      <w:r w:rsidRPr="00C252EF">
        <w:rPr>
          <w:rStyle w:val="affa"/>
          <w:rFonts w:hint="cs"/>
          <w:rtl/>
        </w:rPr>
        <w:t>ברשב"א</w:t>
      </w:r>
      <w:r w:rsidRPr="00C252EF">
        <w:rPr>
          <w:rStyle w:val="afb"/>
          <w:rFonts w:hint="cs"/>
          <w:rtl/>
        </w:rPr>
        <w:t xml:space="preserve"> דלר"י דמתיר את העובר אף חלבו מותר].</w:t>
      </w:r>
      <w:bookmarkStart w:id="25011" w:name="_Ref4143112"/>
      <w:r>
        <w:rPr>
          <w:rStyle w:val="af1"/>
          <w:rtl/>
        </w:rPr>
        <w:footnoteReference w:id="129"/>
      </w:r>
      <w:bookmarkEnd w:id="25011"/>
      <w:r w:rsidRPr="002F2AA2">
        <w:rPr>
          <w:rFonts w:hint="cs"/>
          <w:rtl/>
        </w:rPr>
        <w:t xml:space="preserve"> </w:t>
      </w:r>
    </w:p>
    <w:p w14:paraId="4CC31E8F" w14:textId="77777777" w:rsidR="003D504D" w:rsidRDefault="003D504D" w:rsidP="003D504D">
      <w:pPr>
        <w:pStyle w:val="a3"/>
        <w:rPr>
          <w:rtl/>
        </w:rPr>
      </w:pPr>
      <w:bookmarkStart w:id="25012" w:name="_Toc4022902"/>
      <w:bookmarkStart w:id="25013" w:name="_Toc4026728"/>
      <w:bookmarkStart w:id="25014" w:name="_Toc4139528"/>
      <w:bookmarkStart w:id="25015" w:name="_Toc4151622"/>
      <w:bookmarkStart w:id="25016" w:name="_Toc19392071"/>
      <w:bookmarkStart w:id="25017" w:name="_Toc19395568"/>
      <w:r>
        <w:rPr>
          <w:rFonts w:hint="cs"/>
          <w:rtl/>
        </w:rPr>
        <w:t>ביאור האבאה"ז במ"מ דאחר שיצא חשיב שור אלא דמהני כל בבהמה דהוי כשחוט ולא נעשה שור</w:t>
      </w:r>
      <w:bookmarkEnd w:id="25012"/>
      <w:bookmarkEnd w:id="25013"/>
      <w:bookmarkEnd w:id="25014"/>
      <w:bookmarkEnd w:id="25015"/>
      <w:bookmarkEnd w:id="25016"/>
      <w:bookmarkEnd w:id="25017"/>
    </w:p>
    <w:p w14:paraId="747821F2" w14:textId="77777777" w:rsidR="003D504D" w:rsidRPr="00B30478" w:rsidRDefault="003D504D" w:rsidP="00223668">
      <w:pPr>
        <w:pStyle w:val="a0"/>
        <w:rPr>
          <w:rStyle w:val="afb"/>
          <w:rtl/>
        </w:rPr>
      </w:pPr>
      <w:r>
        <w:rPr>
          <w:rFonts w:hint="cs"/>
          <w:rtl/>
        </w:rPr>
        <w:t xml:space="preserve">וכתב </w:t>
      </w:r>
      <w:r w:rsidRPr="00C252EF">
        <w:rPr>
          <w:rStyle w:val="af9"/>
          <w:rFonts w:hint="cs"/>
          <w:rtl/>
        </w:rPr>
        <w:t>האבהא"ז</w:t>
      </w:r>
      <w:r>
        <w:rPr>
          <w:rFonts w:hint="cs"/>
          <w:rtl/>
        </w:rPr>
        <w:t xml:space="preserve"> </w:t>
      </w:r>
      <w:r w:rsidRPr="00C252EF">
        <w:rPr>
          <w:rStyle w:val="af7"/>
          <w:rFonts w:eastAsia="Guttman Hodes" w:hint="cs"/>
          <w:rtl/>
        </w:rPr>
        <w:t>(מאכ"א פ"ח ה"א ד"ה ואולי נימא)</w:t>
      </w:r>
      <w:r w:rsidRPr="0014058F">
        <w:rPr>
          <w:rFonts w:hint="cs"/>
          <w:rtl/>
        </w:rPr>
        <w:t xml:space="preserve"> </w:t>
      </w:r>
      <w:r>
        <w:rPr>
          <w:rFonts w:hint="cs"/>
          <w:rtl/>
        </w:rPr>
        <w:t xml:space="preserve">דאפשר לבאר את דעת </w:t>
      </w:r>
      <w:r w:rsidRPr="00C252EF">
        <w:rPr>
          <w:rStyle w:val="af9"/>
          <w:rFonts w:hint="cs"/>
          <w:rtl/>
        </w:rPr>
        <w:t>המ"מ</w:t>
      </w:r>
      <w:r>
        <w:rPr>
          <w:rFonts w:hint="cs"/>
          <w:rtl/>
        </w:rPr>
        <w:t xml:space="preserve"> דבאמת מדין "כל בבהמה תאכלו" א"א להתיר את איסור חלב, אלא דכיון דכתיב "שור וכשב" ולא קרינן בעובר "שור וכשב", ממילא החלב הוא בכלל ההיתר, אלא דאחר שיצא העובר לאויר העולם צריך החלב להאסר דבשעה שנולד קרינן ביה "שור וכשב", ולזה מהני היתר "כל בבהמה תאכלו", דאחר שהעובר כבר חשיב כשחוט, שוב לא חל על חלבו שם חלב "שור וכשב". </w:t>
      </w:r>
      <w:r w:rsidRPr="00B30478">
        <w:rPr>
          <w:rStyle w:val="afb"/>
          <w:rFonts w:hint="cs"/>
          <w:rtl/>
        </w:rPr>
        <w:t xml:space="preserve">[וכתב </w:t>
      </w:r>
      <w:r w:rsidRPr="00B30478">
        <w:rPr>
          <w:rStyle w:val="affa"/>
          <w:rFonts w:hint="cs"/>
          <w:rtl/>
        </w:rPr>
        <w:t>האבאה"ז</w:t>
      </w:r>
      <w:r w:rsidRPr="00B30478">
        <w:rPr>
          <w:rStyle w:val="afb"/>
          <w:rFonts w:hint="cs"/>
          <w:rtl/>
        </w:rPr>
        <w:t xml:space="preserve"> דכ"ז הוא דוקא אי אחר שחיטה לא קרינן ביה "שור ושה", וציין </w:t>
      </w:r>
      <w:r w:rsidRPr="00B30478">
        <w:rPr>
          <w:rStyle w:val="affa"/>
          <w:rFonts w:hint="cs"/>
          <w:rtl/>
        </w:rPr>
        <w:t>האבהא"ז</w:t>
      </w:r>
      <w:r w:rsidRPr="00B30478">
        <w:rPr>
          <w:rStyle w:val="afb"/>
          <w:rFonts w:hint="cs"/>
          <w:rtl/>
        </w:rPr>
        <w:t xml:space="preserve"> לדברי הגמ' ביומא </w:t>
      </w:r>
      <w:r w:rsidRPr="00B30478">
        <w:rPr>
          <w:rStyle w:val="aff6"/>
          <w:rFonts w:hint="cs"/>
          <w:rtl/>
        </w:rPr>
        <w:t xml:space="preserve">(מט.) </w:t>
      </w:r>
      <w:r w:rsidRPr="00B30478">
        <w:rPr>
          <w:rStyle w:val="afb"/>
          <w:rFonts w:hint="cs"/>
          <w:rtl/>
        </w:rPr>
        <w:t xml:space="preserve">והגמ' בבכורות </w:t>
      </w:r>
      <w:r w:rsidRPr="00B30478">
        <w:rPr>
          <w:rStyle w:val="aff6"/>
          <w:rFonts w:hint="cs"/>
          <w:rtl/>
        </w:rPr>
        <w:t>(יב.)</w:t>
      </w:r>
      <w:r w:rsidRPr="00B30478">
        <w:rPr>
          <w:rStyle w:val="afb"/>
          <w:rFonts w:hint="cs"/>
          <w:rtl/>
        </w:rPr>
        <w:t>] .</w:t>
      </w:r>
    </w:p>
    <w:p w14:paraId="3FBB447D" w14:textId="77777777" w:rsidR="003D504D" w:rsidRDefault="003D504D" w:rsidP="003D504D">
      <w:pPr>
        <w:pStyle w:val="a3"/>
        <w:rPr>
          <w:rtl/>
        </w:rPr>
      </w:pPr>
      <w:bookmarkStart w:id="25018" w:name="_Toc4022903"/>
      <w:bookmarkStart w:id="25019" w:name="_Toc4026729"/>
      <w:bookmarkStart w:id="25020" w:name="_Toc4139529"/>
      <w:bookmarkStart w:id="25021" w:name="_Toc4151623"/>
      <w:bookmarkStart w:id="25022" w:name="_Toc19392072"/>
      <w:bookmarkStart w:id="25023" w:name="_Toc19395569"/>
      <w:r>
        <w:rPr>
          <w:rFonts w:hint="cs"/>
          <w:rtl/>
        </w:rPr>
        <w:t>קושית האבאה"ז דא"א לומר דשחיטה לא מתירה חלב דבגמ' לקמן מוכח דשחיטה מתירה גיד</w:t>
      </w:r>
      <w:bookmarkEnd w:id="25018"/>
      <w:bookmarkEnd w:id="25019"/>
      <w:bookmarkEnd w:id="25020"/>
      <w:bookmarkEnd w:id="25021"/>
      <w:bookmarkEnd w:id="25022"/>
      <w:bookmarkEnd w:id="25023"/>
    </w:p>
    <w:p w14:paraId="0E3F47C1" w14:textId="77777777" w:rsidR="003D504D" w:rsidRPr="00B30478" w:rsidRDefault="003D504D" w:rsidP="00223668">
      <w:pPr>
        <w:pStyle w:val="a0"/>
        <w:rPr>
          <w:rtl/>
        </w:rPr>
      </w:pPr>
      <w:bookmarkStart w:id="25024" w:name="_Ref4142168"/>
      <w:r>
        <w:rPr>
          <w:rFonts w:hint="cs"/>
          <w:rtl/>
        </w:rPr>
        <w:t xml:space="preserve">אך כתב </w:t>
      </w:r>
      <w:r w:rsidRPr="00761BC7">
        <w:rPr>
          <w:rStyle w:val="af9"/>
          <w:rFonts w:hint="cs"/>
          <w:rtl/>
        </w:rPr>
        <w:t>האבאה"ז</w:t>
      </w:r>
      <w:r>
        <w:rPr>
          <w:rFonts w:hint="cs"/>
          <w:rtl/>
        </w:rPr>
        <w:t xml:space="preserve"> דאי נימא דאין כח בהיתר "כל בבהמה תאכלו" להתיר את האיסורים שנאסרו במעי האם, א"כ יש להקשות</w:t>
      </w:r>
      <w:r w:rsidRPr="00EA0B85">
        <w:rPr>
          <w:rFonts w:hint="cs"/>
          <w:rtl/>
        </w:rPr>
        <w:t xml:space="preserve"> </w:t>
      </w:r>
      <w:r>
        <w:rPr>
          <w:rFonts w:hint="cs"/>
          <w:rtl/>
        </w:rPr>
        <w:t xml:space="preserve">דמבואר הגמ' לקמן </w:t>
      </w:r>
      <w:r w:rsidRPr="00761BC7">
        <w:rPr>
          <w:rStyle w:val="af7"/>
          <w:rFonts w:eastAsia="Guttman Hodes" w:hint="cs"/>
          <w:rtl/>
        </w:rPr>
        <w:t>(ק.)</w:t>
      </w:r>
      <w:r>
        <w:rPr>
          <w:rFonts w:hint="cs"/>
          <w:rtl/>
        </w:rPr>
        <w:t xml:space="preserve"> דמהני היתר "כל בבהמה תאכלו" אף לענין איסור  גיד, והרי באיסור גיד לא נאמר בו שור, וא"כ הוא אסור במעי אמו, והיאך מהני בו ההיתר, וא"א לומר דילפינן את היתר הגיד מהיתר החלב, הרי </w:t>
      </w:r>
      <w:r w:rsidRPr="00761BC7">
        <w:rPr>
          <w:rStyle w:val="af9"/>
          <w:rFonts w:hint="cs"/>
          <w:rtl/>
        </w:rPr>
        <w:t>הרמב"ם</w:t>
      </w:r>
      <w:r>
        <w:rPr>
          <w:rFonts w:hint="cs"/>
          <w:rtl/>
        </w:rPr>
        <w:t xml:space="preserve"> אוסר בגיד אף בבן ח'</w:t>
      </w:r>
      <w:r>
        <w:rPr>
          <w:rStyle w:val="afb"/>
          <w:rFonts w:hint="cs"/>
          <w:rtl/>
        </w:rPr>
        <w:t xml:space="preserve"> </w:t>
      </w:r>
      <w:r w:rsidRPr="00814FD4">
        <w:rPr>
          <w:rStyle w:val="afb"/>
          <w:rFonts w:hint="cs"/>
          <w:rtl/>
        </w:rPr>
        <w:t xml:space="preserve">[כדהוכיח </w:t>
      </w:r>
      <w:r w:rsidRPr="00814FD4">
        <w:rPr>
          <w:rStyle w:val="affa"/>
          <w:rFonts w:hint="cs"/>
          <w:rtl/>
        </w:rPr>
        <w:t>האבאה"ז</w:t>
      </w:r>
      <w:r w:rsidRPr="00814FD4">
        <w:rPr>
          <w:rStyle w:val="afb"/>
          <w:rFonts w:hint="cs"/>
          <w:rtl/>
        </w:rPr>
        <w:t xml:space="preserve"> </w:t>
      </w:r>
      <w:r w:rsidRPr="00814FD4">
        <w:rPr>
          <w:rStyle w:val="aff6"/>
          <w:rFonts w:hint="cs"/>
          <w:rtl/>
        </w:rPr>
        <w:t xml:space="preserve">(עי' אות </w:t>
      </w:r>
      <w:r w:rsidRPr="00814FD4">
        <w:rPr>
          <w:rStyle w:val="aff6"/>
          <w:rtl/>
        </w:rPr>
        <w:fldChar w:fldCharType="begin"/>
      </w:r>
      <w:r w:rsidRPr="00814FD4">
        <w:rPr>
          <w:rStyle w:val="aff6"/>
          <w:rtl/>
        </w:rPr>
        <w:instrText xml:space="preserve"> </w:instrText>
      </w:r>
      <w:r w:rsidRPr="00814FD4">
        <w:rPr>
          <w:rStyle w:val="aff6"/>
          <w:rFonts w:hint="cs"/>
        </w:rPr>
        <w:instrText>REF</w:instrText>
      </w:r>
      <w:r w:rsidRPr="00814FD4">
        <w:rPr>
          <w:rStyle w:val="aff6"/>
          <w:rFonts w:hint="cs"/>
          <w:rtl/>
        </w:rPr>
        <w:instrText xml:space="preserve"> _</w:instrText>
      </w:r>
      <w:r w:rsidRPr="00814FD4">
        <w:rPr>
          <w:rStyle w:val="aff6"/>
          <w:rFonts w:hint="cs"/>
        </w:rPr>
        <w:instrText>Ref3885677 \r \h</w:instrText>
      </w:r>
      <w:r w:rsidRPr="00814FD4">
        <w:rPr>
          <w:rStyle w:val="aff6"/>
          <w:rtl/>
        </w:rPr>
        <w:instrText xml:space="preserve"> </w:instrText>
      </w:r>
      <w:r w:rsidRPr="00814FD4">
        <w:rPr>
          <w:rStyle w:val="aff6"/>
          <w:rtl/>
        </w:rPr>
      </w:r>
      <w:r w:rsidRPr="00814FD4">
        <w:rPr>
          <w:rStyle w:val="aff6"/>
          <w:rtl/>
        </w:rPr>
        <w:fldChar w:fldCharType="separate"/>
      </w:r>
      <w:r w:rsidR="00345400">
        <w:rPr>
          <w:rStyle w:val="aff6"/>
          <w:cs/>
        </w:rPr>
        <w:t>‎</w:t>
      </w:r>
      <w:r w:rsidR="00345400">
        <w:rPr>
          <w:rStyle w:val="aff6"/>
          <w:rtl/>
        </w:rPr>
        <w:t>קו)</w:t>
      </w:r>
      <w:r w:rsidRPr="00814FD4">
        <w:rPr>
          <w:rStyle w:val="aff6"/>
          <w:rtl/>
        </w:rPr>
        <w:fldChar w:fldCharType="end"/>
      </w:r>
      <w:r w:rsidRPr="00814FD4">
        <w:rPr>
          <w:rStyle w:val="afb"/>
          <w:rFonts w:hint="cs"/>
          <w:rtl/>
        </w:rPr>
        <w:t>]</w:t>
      </w:r>
      <w:r>
        <w:rPr>
          <w:rFonts w:hint="cs"/>
          <w:rtl/>
        </w:rPr>
        <w:t xml:space="preserve">, ומשמע דלא דמי הגיד לחלב </w:t>
      </w:r>
      <w:r w:rsidRPr="00761BC7">
        <w:rPr>
          <w:rStyle w:val="afb"/>
          <w:rFonts w:hint="cs"/>
          <w:rtl/>
        </w:rPr>
        <w:t>[אף לדעת ר"י דמתיר]</w:t>
      </w:r>
      <w:r>
        <w:rPr>
          <w:rFonts w:hint="cs"/>
          <w:rtl/>
        </w:rPr>
        <w:t xml:space="preserve">, וכתב </w:t>
      </w:r>
      <w:r w:rsidRPr="00B0109A">
        <w:rPr>
          <w:rStyle w:val="af9"/>
          <w:rFonts w:hint="cs"/>
          <w:rtl/>
        </w:rPr>
        <w:t>האבאה"ז</w:t>
      </w:r>
      <w:r>
        <w:rPr>
          <w:rFonts w:hint="cs"/>
          <w:rtl/>
        </w:rPr>
        <w:t xml:space="preserve"> דאולי אפש"ל דבזה גופא נחלקו ר"מ ור"י, דלר"י דמי חלב לגיד.</w:t>
      </w:r>
      <w:bookmarkEnd w:id="25024"/>
    </w:p>
    <w:p w14:paraId="2CB07083" w14:textId="77777777" w:rsidR="003D504D" w:rsidRDefault="003D504D" w:rsidP="00BF39B2">
      <w:pPr>
        <w:pStyle w:val="1"/>
        <w:rPr>
          <w:rtl/>
        </w:rPr>
      </w:pPr>
      <w:bookmarkStart w:id="25025" w:name="_Toc19392073"/>
      <w:bookmarkStart w:id="25026" w:name="_Toc19395570"/>
      <w:bookmarkStart w:id="25027" w:name="_Toc4022904"/>
      <w:bookmarkStart w:id="25028" w:name="_Toc4026730"/>
      <w:bookmarkStart w:id="25029" w:name="_Toc4139530"/>
      <w:bookmarkStart w:id="25030" w:name="_Toc4151624"/>
      <w:r>
        <w:rPr>
          <w:rFonts w:hint="cs"/>
          <w:rtl/>
        </w:rPr>
        <w:t>ביאור האבאה"ז דלרמב"ם ר"י ור"מ נחלקו בגדר היתר בן פקועה</w:t>
      </w:r>
      <w:bookmarkEnd w:id="25025"/>
      <w:bookmarkEnd w:id="25026"/>
    </w:p>
    <w:p w14:paraId="07D90A50" w14:textId="77777777" w:rsidR="003D504D" w:rsidRDefault="003D504D" w:rsidP="003D504D">
      <w:pPr>
        <w:pStyle w:val="a3"/>
        <w:rPr>
          <w:rtl/>
        </w:rPr>
      </w:pPr>
      <w:bookmarkStart w:id="25031" w:name="_Toc19392074"/>
      <w:bookmarkStart w:id="25032" w:name="_Toc19395571"/>
      <w:r>
        <w:rPr>
          <w:rFonts w:hint="cs"/>
          <w:rtl/>
        </w:rPr>
        <w:t>ביאור האבהא"ז דלהרמב"ם לר"מ ההיתר דחשיב חשיב כשחוט ולר"י ההיתר הוא גזיה"כ</w:t>
      </w:r>
      <w:bookmarkEnd w:id="25027"/>
      <w:bookmarkEnd w:id="25028"/>
      <w:bookmarkEnd w:id="25029"/>
      <w:bookmarkEnd w:id="25030"/>
      <w:bookmarkEnd w:id="25031"/>
      <w:bookmarkEnd w:id="25032"/>
    </w:p>
    <w:p w14:paraId="2C6D65CC" w14:textId="77777777" w:rsidR="003D504D" w:rsidRDefault="003D504D" w:rsidP="00223668">
      <w:pPr>
        <w:pStyle w:val="a0"/>
        <w:rPr>
          <w:rtl/>
        </w:rPr>
      </w:pPr>
      <w:r>
        <w:rPr>
          <w:rFonts w:hint="cs"/>
          <w:rtl/>
        </w:rPr>
        <w:t xml:space="preserve">אלא ביאר </w:t>
      </w:r>
      <w:r w:rsidRPr="00814FD4">
        <w:rPr>
          <w:rStyle w:val="af9"/>
          <w:rFonts w:hint="cs"/>
          <w:rtl/>
        </w:rPr>
        <w:t>האבאה"ז</w:t>
      </w:r>
      <w:r>
        <w:rPr>
          <w:rFonts w:hint="cs"/>
          <w:rtl/>
        </w:rPr>
        <w:t xml:space="preserve"> </w:t>
      </w:r>
      <w:r w:rsidRPr="00814FD4">
        <w:rPr>
          <w:rStyle w:val="af7"/>
          <w:rFonts w:eastAsia="Guttman Hodes" w:hint="cs"/>
          <w:rtl/>
        </w:rPr>
        <w:t xml:space="preserve">(מאכ"א פ"ח ה"א ד"ה לכן יותר) </w:t>
      </w:r>
      <w:r>
        <w:rPr>
          <w:rFonts w:hint="cs"/>
          <w:rtl/>
        </w:rPr>
        <w:t xml:space="preserve">דס"ל </w:t>
      </w:r>
      <w:r w:rsidRPr="00814FD4">
        <w:rPr>
          <w:rStyle w:val="af9"/>
          <w:rFonts w:hint="cs"/>
          <w:rtl/>
        </w:rPr>
        <w:t>להרמב"ם</w:t>
      </w:r>
      <w:r>
        <w:rPr>
          <w:rFonts w:hint="cs"/>
          <w:rtl/>
        </w:rPr>
        <w:t xml:space="preserve"> דפלוגתת ר"י ור"מ היא בעיקר ההיתר בבן פקועה, דלר"מ ההיתר בבן פקועה הוא דחשיב כשחוט ולכן רק לענין שחיטה יש היתר מדין "כל בבהמה תאכלו", ולא לענין חלב וגיד, אבל לר"י ההיתר הוא לכל מה שבבהמה ואף החלב והגיד מותרים.</w:t>
      </w:r>
    </w:p>
    <w:p w14:paraId="7BE70891" w14:textId="77777777" w:rsidR="003D504D" w:rsidRPr="00F513A5" w:rsidRDefault="003D504D" w:rsidP="003D504D">
      <w:pPr>
        <w:pStyle w:val="a3"/>
      </w:pPr>
      <w:bookmarkStart w:id="25033" w:name="_Toc4026731"/>
      <w:bookmarkStart w:id="25034" w:name="_Toc4139531"/>
      <w:bookmarkStart w:id="25035" w:name="_Toc4151625"/>
      <w:bookmarkStart w:id="25036" w:name="_Toc19392075"/>
      <w:bookmarkStart w:id="25037" w:name="_Toc19395572"/>
      <w:r>
        <w:rPr>
          <w:rFonts w:hint="cs"/>
          <w:rtl/>
        </w:rPr>
        <w:t>דברי האבאה"ז דמדחילק הרמב"ם בין חלב לגיד בבן ח' מוכח דנחלקו ר"מ ור"י בגדר ההיתר</w:t>
      </w:r>
      <w:bookmarkEnd w:id="25033"/>
      <w:bookmarkEnd w:id="25034"/>
      <w:bookmarkEnd w:id="25035"/>
      <w:bookmarkEnd w:id="25036"/>
      <w:bookmarkEnd w:id="25037"/>
    </w:p>
    <w:p w14:paraId="69408B20" w14:textId="77777777" w:rsidR="003D504D" w:rsidRDefault="003D504D" w:rsidP="00223668">
      <w:pPr>
        <w:pStyle w:val="a0"/>
        <w:rPr>
          <w:rtl/>
        </w:rPr>
      </w:pPr>
      <w:r>
        <w:rPr>
          <w:rFonts w:hint="cs"/>
          <w:rtl/>
        </w:rPr>
        <w:t xml:space="preserve">והביא </w:t>
      </w:r>
      <w:r w:rsidRPr="00B0109A">
        <w:rPr>
          <w:rStyle w:val="af9"/>
          <w:rFonts w:hint="cs"/>
          <w:rtl/>
        </w:rPr>
        <w:t>האבאה"ז</w:t>
      </w:r>
      <w:r>
        <w:rPr>
          <w:rFonts w:hint="cs"/>
          <w:rtl/>
        </w:rPr>
        <w:t xml:space="preserve"> ראיה דס"ל </w:t>
      </w:r>
      <w:r w:rsidRPr="00814FD4">
        <w:rPr>
          <w:rStyle w:val="af9"/>
          <w:rFonts w:hint="cs"/>
          <w:rtl/>
        </w:rPr>
        <w:t>להרמב"ם</w:t>
      </w:r>
      <w:r>
        <w:rPr>
          <w:rFonts w:hint="cs"/>
          <w:rtl/>
        </w:rPr>
        <w:t xml:space="preserve"> דר"מ ור"י נחלקו בגדר ההיתר, דהא אי ס"ל כדברי  </w:t>
      </w:r>
      <w:r w:rsidRPr="00814FD4">
        <w:rPr>
          <w:rStyle w:val="af9"/>
          <w:rFonts w:hint="cs"/>
          <w:rtl/>
        </w:rPr>
        <w:t>המ"מ</w:t>
      </w:r>
      <w:r>
        <w:rPr>
          <w:rFonts w:hint="cs"/>
          <w:rtl/>
        </w:rPr>
        <w:t xml:space="preserve"> </w:t>
      </w:r>
      <w:r w:rsidRPr="000B23CE">
        <w:rPr>
          <w:rStyle w:val="af7"/>
          <w:rFonts w:eastAsia="Guttman Hodes" w:hint="cs"/>
          <w:rtl/>
        </w:rPr>
        <w:t xml:space="preserve">(עי' אות </w:t>
      </w:r>
      <w:r w:rsidRPr="000B23CE">
        <w:rPr>
          <w:rStyle w:val="af7"/>
          <w:rFonts w:eastAsia="Guttman Hodes"/>
          <w:rtl/>
        </w:rPr>
        <w:fldChar w:fldCharType="begin"/>
      </w:r>
      <w:r w:rsidRPr="000B23CE">
        <w:rPr>
          <w:rStyle w:val="af7"/>
          <w:rFonts w:eastAsia="Guttman Hodes"/>
          <w:rtl/>
        </w:rPr>
        <w:instrText xml:space="preserve"> </w:instrText>
      </w:r>
      <w:r w:rsidRPr="000B23CE">
        <w:rPr>
          <w:rStyle w:val="af7"/>
          <w:rFonts w:eastAsia="Guttman Hodes" w:hint="cs"/>
        </w:rPr>
        <w:instrText>REF</w:instrText>
      </w:r>
      <w:r w:rsidRPr="000B23CE">
        <w:rPr>
          <w:rStyle w:val="af7"/>
          <w:rFonts w:eastAsia="Guttman Hodes" w:hint="cs"/>
          <w:rtl/>
        </w:rPr>
        <w:instrText xml:space="preserve"> _</w:instrText>
      </w:r>
      <w:r w:rsidRPr="000B23CE">
        <w:rPr>
          <w:rStyle w:val="af7"/>
          <w:rFonts w:eastAsia="Guttman Hodes" w:hint="cs"/>
        </w:rPr>
        <w:instrText>Ref3885944 \r \h</w:instrText>
      </w:r>
      <w:r w:rsidRPr="000B23CE">
        <w:rPr>
          <w:rStyle w:val="af7"/>
          <w:rFonts w:eastAsia="Guttman Hodes"/>
          <w:rtl/>
        </w:rPr>
        <w:instrText xml:space="preserve"> </w:instrText>
      </w:r>
      <w:r w:rsidRPr="000B23CE">
        <w:rPr>
          <w:rStyle w:val="af7"/>
          <w:rFonts w:eastAsia="Guttman Hodes"/>
          <w:rtl/>
        </w:rPr>
      </w:r>
      <w:r w:rsidRPr="000B23CE">
        <w:rPr>
          <w:rStyle w:val="af7"/>
          <w:rFonts w:eastAsia="Guttman Hodes"/>
          <w:rtl/>
        </w:rPr>
        <w:fldChar w:fldCharType="separate"/>
      </w:r>
      <w:r w:rsidR="00345400">
        <w:rPr>
          <w:rStyle w:val="af7"/>
          <w:rFonts w:eastAsia="Guttman Hodes"/>
          <w:cs/>
        </w:rPr>
        <w:t>‎</w:t>
      </w:r>
      <w:r w:rsidR="00345400">
        <w:rPr>
          <w:rStyle w:val="af7"/>
          <w:rFonts w:eastAsia="Guttman Hodes"/>
          <w:rtl/>
        </w:rPr>
        <w:t>קז)</w:t>
      </w:r>
      <w:r w:rsidRPr="000B23CE">
        <w:rPr>
          <w:rStyle w:val="af7"/>
          <w:rFonts w:eastAsia="Guttman Hodes"/>
          <w:rtl/>
        </w:rPr>
        <w:fldChar w:fldCharType="end"/>
      </w:r>
      <w:r>
        <w:rPr>
          <w:rFonts w:hint="cs"/>
          <w:rtl/>
        </w:rPr>
        <w:t xml:space="preserve"> דלענין ההיתר שחיטה מהני להתיר אף כשנעשה שור, אבל לענין החלב והגיד לא מהני ההיתר אחר שנעשה שור, א"כ אין כל סברא לחלק בין חלב לבין גיד, ואף בגיד של בן ח' צריך להתיר, ובדברי </w:t>
      </w:r>
      <w:r w:rsidRPr="00F513A5">
        <w:rPr>
          <w:rStyle w:val="af9"/>
          <w:rFonts w:hint="cs"/>
          <w:rtl/>
        </w:rPr>
        <w:t>הרמב"ם</w:t>
      </w:r>
      <w:r>
        <w:rPr>
          <w:rFonts w:hint="cs"/>
          <w:rtl/>
        </w:rPr>
        <w:t xml:space="preserve"> מוכח דהגיד אסור אף בבן ח', </w:t>
      </w:r>
      <w:r w:rsidRPr="00814FD4">
        <w:rPr>
          <w:rStyle w:val="afb"/>
          <w:rFonts w:hint="cs"/>
          <w:rtl/>
        </w:rPr>
        <w:t xml:space="preserve">[כדהוכיח </w:t>
      </w:r>
      <w:r w:rsidRPr="00814FD4">
        <w:rPr>
          <w:rStyle w:val="affa"/>
          <w:rFonts w:hint="cs"/>
          <w:rtl/>
        </w:rPr>
        <w:t>האבאה"ז</w:t>
      </w:r>
      <w:r w:rsidRPr="00814FD4">
        <w:rPr>
          <w:rStyle w:val="afb"/>
          <w:rFonts w:hint="cs"/>
          <w:rtl/>
        </w:rPr>
        <w:t xml:space="preserve"> </w:t>
      </w:r>
      <w:r w:rsidRPr="00814FD4">
        <w:rPr>
          <w:rStyle w:val="aff6"/>
          <w:rFonts w:hint="cs"/>
          <w:rtl/>
        </w:rPr>
        <w:t xml:space="preserve">(עי' אות </w:t>
      </w:r>
      <w:r w:rsidRPr="00814FD4">
        <w:rPr>
          <w:rStyle w:val="aff6"/>
          <w:rtl/>
        </w:rPr>
        <w:fldChar w:fldCharType="begin"/>
      </w:r>
      <w:r w:rsidRPr="00814FD4">
        <w:rPr>
          <w:rStyle w:val="aff6"/>
          <w:rtl/>
        </w:rPr>
        <w:instrText xml:space="preserve"> </w:instrText>
      </w:r>
      <w:r w:rsidRPr="00814FD4">
        <w:rPr>
          <w:rStyle w:val="aff6"/>
          <w:rFonts w:hint="cs"/>
        </w:rPr>
        <w:instrText>REF</w:instrText>
      </w:r>
      <w:r w:rsidRPr="00814FD4">
        <w:rPr>
          <w:rStyle w:val="aff6"/>
          <w:rFonts w:hint="cs"/>
          <w:rtl/>
        </w:rPr>
        <w:instrText xml:space="preserve"> _</w:instrText>
      </w:r>
      <w:r w:rsidRPr="00814FD4">
        <w:rPr>
          <w:rStyle w:val="aff6"/>
          <w:rFonts w:hint="cs"/>
        </w:rPr>
        <w:instrText>Ref3885677 \r \h</w:instrText>
      </w:r>
      <w:r w:rsidRPr="00814FD4">
        <w:rPr>
          <w:rStyle w:val="aff6"/>
          <w:rtl/>
        </w:rPr>
        <w:instrText xml:space="preserve"> </w:instrText>
      </w:r>
      <w:r w:rsidRPr="00814FD4">
        <w:rPr>
          <w:rStyle w:val="aff6"/>
          <w:rtl/>
        </w:rPr>
      </w:r>
      <w:r w:rsidRPr="00814FD4">
        <w:rPr>
          <w:rStyle w:val="aff6"/>
          <w:rtl/>
        </w:rPr>
        <w:fldChar w:fldCharType="separate"/>
      </w:r>
      <w:r w:rsidR="00345400">
        <w:rPr>
          <w:rStyle w:val="aff6"/>
          <w:cs/>
        </w:rPr>
        <w:t>‎</w:t>
      </w:r>
      <w:r w:rsidR="00345400">
        <w:rPr>
          <w:rStyle w:val="aff6"/>
          <w:rtl/>
        </w:rPr>
        <w:t>קו)</w:t>
      </w:r>
      <w:r w:rsidRPr="00814FD4">
        <w:rPr>
          <w:rStyle w:val="aff6"/>
          <w:rtl/>
        </w:rPr>
        <w:fldChar w:fldCharType="end"/>
      </w:r>
      <w:r w:rsidRPr="00814FD4">
        <w:rPr>
          <w:rStyle w:val="afb"/>
          <w:rFonts w:hint="cs"/>
          <w:rtl/>
        </w:rPr>
        <w:t xml:space="preserve">], </w:t>
      </w:r>
      <w:r>
        <w:rPr>
          <w:rFonts w:hint="cs"/>
          <w:rtl/>
        </w:rPr>
        <w:t xml:space="preserve">אלא מוכח דכיון דס"ל </w:t>
      </w:r>
      <w:r w:rsidRPr="00814FD4">
        <w:rPr>
          <w:rStyle w:val="af9"/>
          <w:rFonts w:hint="cs"/>
          <w:rtl/>
        </w:rPr>
        <w:t>להרמב"ם</w:t>
      </w:r>
      <w:r>
        <w:rPr>
          <w:rFonts w:hint="cs"/>
          <w:rtl/>
        </w:rPr>
        <w:t xml:space="preserve"> דלהלכה לא מהני היתר "כל בבהמה תאכלו" לחלב וגיד כלל, מבואר דבעיקר גדר ההיתר נחלקו ר"י ור"מ, ופסק </w:t>
      </w:r>
      <w:r w:rsidRPr="00814FD4">
        <w:rPr>
          <w:rStyle w:val="af9"/>
          <w:rFonts w:hint="cs"/>
          <w:rtl/>
        </w:rPr>
        <w:t>הרמב"ם</w:t>
      </w:r>
      <w:r>
        <w:rPr>
          <w:rFonts w:hint="cs"/>
          <w:rtl/>
        </w:rPr>
        <w:t xml:space="preserve"> כר"מ.</w:t>
      </w:r>
    </w:p>
    <w:p w14:paraId="6C262C8E" w14:textId="77777777" w:rsidR="003D504D" w:rsidRDefault="003D504D" w:rsidP="00BF39B2">
      <w:pPr>
        <w:pStyle w:val="1"/>
        <w:rPr>
          <w:rtl/>
        </w:rPr>
      </w:pPr>
      <w:bookmarkStart w:id="25038" w:name="_Toc3929071"/>
      <w:bookmarkStart w:id="25039" w:name="_Toc3978469"/>
      <w:bookmarkStart w:id="25040" w:name="_Toc4012341"/>
      <w:bookmarkStart w:id="25041" w:name="_Toc4013373"/>
      <w:bookmarkStart w:id="25042" w:name="_Toc4022905"/>
      <w:bookmarkStart w:id="25043" w:name="_Toc4026732"/>
      <w:bookmarkStart w:id="25044" w:name="_Toc4139532"/>
      <w:bookmarkStart w:id="25045" w:name="_Toc4151626"/>
      <w:bookmarkStart w:id="25046" w:name="_Toc19392076"/>
      <w:bookmarkStart w:id="25047" w:name="_Toc19395573"/>
      <w:r>
        <w:rPr>
          <w:rFonts w:hint="cs"/>
          <w:rtl/>
        </w:rPr>
        <w:t>דחיית האבהא"ז לדיוק הכס"מ</w:t>
      </w:r>
      <w:bookmarkEnd w:id="25038"/>
      <w:bookmarkEnd w:id="25039"/>
      <w:bookmarkEnd w:id="25040"/>
      <w:bookmarkEnd w:id="25041"/>
      <w:bookmarkEnd w:id="25042"/>
      <w:r>
        <w:rPr>
          <w:rFonts w:hint="cs"/>
          <w:rtl/>
        </w:rPr>
        <w:t xml:space="preserve"> ברמב"ם</w:t>
      </w:r>
      <w:bookmarkEnd w:id="25043"/>
      <w:bookmarkEnd w:id="25044"/>
      <w:bookmarkEnd w:id="25045"/>
      <w:bookmarkEnd w:id="25046"/>
      <w:bookmarkEnd w:id="25047"/>
    </w:p>
    <w:p w14:paraId="0F882CF0" w14:textId="77777777" w:rsidR="003D504D" w:rsidRDefault="003D504D" w:rsidP="003D504D">
      <w:pPr>
        <w:pStyle w:val="a3"/>
        <w:rPr>
          <w:rtl/>
        </w:rPr>
      </w:pPr>
      <w:bookmarkStart w:id="25048" w:name="_Toc4026733"/>
      <w:bookmarkStart w:id="25049" w:name="_Toc4139533"/>
      <w:bookmarkStart w:id="25050" w:name="_Toc4151627"/>
      <w:bookmarkStart w:id="25051" w:name="_Toc19392077"/>
      <w:bookmarkStart w:id="25052" w:name="_Toc19395574"/>
      <w:r>
        <w:rPr>
          <w:rFonts w:hint="cs"/>
          <w:rtl/>
        </w:rPr>
        <w:t>דברי האבאה"ז דלהרמב"ם השחיטה לא מתירה חלב כלל וא"א לומר דבהניחח במעיה מותר</w:t>
      </w:r>
      <w:bookmarkEnd w:id="25048"/>
      <w:bookmarkEnd w:id="25049"/>
      <w:bookmarkEnd w:id="25050"/>
      <w:bookmarkEnd w:id="25051"/>
      <w:bookmarkEnd w:id="25052"/>
    </w:p>
    <w:p w14:paraId="7630B5A5" w14:textId="77777777" w:rsidR="003D504D" w:rsidRDefault="003D504D" w:rsidP="00223668">
      <w:pPr>
        <w:pStyle w:val="a0"/>
        <w:rPr>
          <w:rtl/>
        </w:rPr>
      </w:pPr>
      <w:bookmarkStart w:id="25053" w:name="_Ref4150590"/>
      <w:r>
        <w:rPr>
          <w:rFonts w:hint="cs"/>
          <w:rtl/>
        </w:rPr>
        <w:t xml:space="preserve">בדברי </w:t>
      </w:r>
      <w:r w:rsidRPr="00051FF3">
        <w:rPr>
          <w:rStyle w:val="af9"/>
          <w:rFonts w:hint="cs"/>
          <w:rtl/>
        </w:rPr>
        <w:t>הכס"מ</w:t>
      </w:r>
      <w:r>
        <w:rPr>
          <w:rFonts w:hint="cs"/>
          <w:rtl/>
        </w:rPr>
        <w:t xml:space="preserve"> </w:t>
      </w:r>
      <w:r w:rsidRPr="001B2DF0">
        <w:rPr>
          <w:rStyle w:val="af7"/>
          <w:rFonts w:eastAsia="Guttman Hodes" w:hint="cs"/>
          <w:rtl/>
        </w:rPr>
        <w:t xml:space="preserve">(עי' אות </w:t>
      </w:r>
      <w:r w:rsidRPr="001B2DF0">
        <w:rPr>
          <w:rStyle w:val="af7"/>
          <w:rFonts w:eastAsia="Guttman Hodes"/>
          <w:rtl/>
        </w:rPr>
        <w:fldChar w:fldCharType="begin"/>
      </w:r>
      <w:r w:rsidRPr="001B2DF0">
        <w:rPr>
          <w:rStyle w:val="af7"/>
          <w:rFonts w:eastAsia="Guttman Hodes"/>
          <w:rtl/>
        </w:rPr>
        <w:instrText xml:space="preserve"> </w:instrText>
      </w:r>
      <w:r w:rsidRPr="001B2DF0">
        <w:rPr>
          <w:rStyle w:val="af7"/>
          <w:rFonts w:eastAsia="Guttman Hodes" w:hint="cs"/>
        </w:rPr>
        <w:instrText>REF</w:instrText>
      </w:r>
      <w:r w:rsidRPr="001B2DF0">
        <w:rPr>
          <w:rStyle w:val="af7"/>
          <w:rFonts w:eastAsia="Guttman Hodes" w:hint="cs"/>
          <w:rtl/>
        </w:rPr>
        <w:instrText xml:space="preserve"> _</w:instrText>
      </w:r>
      <w:r w:rsidRPr="001B2DF0">
        <w:rPr>
          <w:rStyle w:val="af7"/>
          <w:rFonts w:eastAsia="Guttman Hodes" w:hint="cs"/>
        </w:rPr>
        <w:instrText>Ref4009004 \r \h</w:instrText>
      </w:r>
      <w:r w:rsidRPr="001B2DF0">
        <w:rPr>
          <w:rStyle w:val="af7"/>
          <w:rFonts w:eastAsia="Guttman Hodes"/>
          <w:rtl/>
        </w:rPr>
        <w:instrText xml:space="preserve"> </w:instrText>
      </w:r>
      <w:r w:rsidRPr="001B2DF0">
        <w:rPr>
          <w:rStyle w:val="af7"/>
          <w:rFonts w:eastAsia="Guttman Hodes"/>
          <w:rtl/>
        </w:rPr>
      </w:r>
      <w:r w:rsidRPr="001B2DF0">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1B2DF0">
        <w:rPr>
          <w:rStyle w:val="af7"/>
          <w:rFonts w:eastAsia="Guttman Hodes"/>
          <w:rtl/>
        </w:rPr>
        <w:fldChar w:fldCharType="end"/>
      </w:r>
      <w:r>
        <w:rPr>
          <w:rFonts w:hint="cs"/>
          <w:rtl/>
        </w:rPr>
        <w:t xml:space="preserve"> דדייק מדברי </w:t>
      </w:r>
      <w:r w:rsidRPr="00051FF3">
        <w:rPr>
          <w:rStyle w:val="af9"/>
          <w:rFonts w:hint="cs"/>
          <w:rtl/>
        </w:rPr>
        <w:t>הרמב"ם</w:t>
      </w:r>
      <w:r>
        <w:rPr>
          <w:rFonts w:hint="cs"/>
          <w:rtl/>
        </w:rPr>
        <w:t xml:space="preserve"> דאם חתך מחלב העובר ולא הוציאו לחוץ, אלא הניחו במעי הבהמה ושחטה, דהשחיטה מתירה את החלב, כתב </w:t>
      </w:r>
      <w:r w:rsidRPr="00051FF3">
        <w:rPr>
          <w:rStyle w:val="af9"/>
          <w:rFonts w:hint="cs"/>
          <w:rtl/>
        </w:rPr>
        <w:t>האבאה"ז</w:t>
      </w:r>
      <w:r>
        <w:rPr>
          <w:rFonts w:hint="cs"/>
          <w:rtl/>
        </w:rPr>
        <w:t xml:space="preserve"> </w:t>
      </w:r>
      <w:r w:rsidRPr="00051FF3">
        <w:rPr>
          <w:rStyle w:val="af7"/>
          <w:rFonts w:eastAsia="Guttman Hodes" w:hint="cs"/>
          <w:rtl/>
        </w:rPr>
        <w:t>(מאכ"א פ"ח ה"א ד"ה ז"ל רבינו)</w:t>
      </w:r>
      <w:r>
        <w:rPr>
          <w:rFonts w:hint="cs"/>
          <w:rtl/>
        </w:rPr>
        <w:t xml:space="preserve"> דלא מסתבר לומר כן בדעת </w:t>
      </w:r>
      <w:r w:rsidRPr="00051FF3">
        <w:rPr>
          <w:rStyle w:val="af9"/>
          <w:rFonts w:hint="cs"/>
          <w:rtl/>
        </w:rPr>
        <w:t>הרמב"ם</w:t>
      </w:r>
      <w:r>
        <w:rPr>
          <w:rFonts w:hint="cs"/>
          <w:rtl/>
        </w:rPr>
        <w:t xml:space="preserve">, דהא </w:t>
      </w:r>
      <w:r w:rsidRPr="00051FF3">
        <w:rPr>
          <w:rStyle w:val="af9"/>
          <w:rFonts w:hint="cs"/>
          <w:rtl/>
        </w:rPr>
        <w:t>הרמב"ם</w:t>
      </w:r>
      <w:r>
        <w:rPr>
          <w:rFonts w:hint="cs"/>
          <w:rtl/>
        </w:rPr>
        <w:t xml:space="preserve"> פסק בשחיטה כר"י ובחלב כר"מ, כדי שלא יהיה קשה מסתמא דמתני' בסוגיין </w:t>
      </w:r>
      <w:r w:rsidRPr="00051FF3">
        <w:rPr>
          <w:rStyle w:val="af7"/>
          <w:rFonts w:eastAsia="Guttman Hodes" w:hint="cs"/>
          <w:rtl/>
        </w:rPr>
        <w:t>(עד.)</w:t>
      </w:r>
      <w:r>
        <w:rPr>
          <w:rFonts w:hint="cs"/>
          <w:rtl/>
        </w:rPr>
        <w:t xml:space="preserve"> כר"י לענין שחיטה, לסתמא דמתני' לקמן </w:t>
      </w:r>
      <w:r w:rsidRPr="00051FF3">
        <w:rPr>
          <w:rStyle w:val="af7"/>
          <w:rFonts w:eastAsia="Guttman Hodes" w:hint="cs"/>
          <w:rtl/>
        </w:rPr>
        <w:t>(פט:)</w:t>
      </w:r>
      <w:r>
        <w:rPr>
          <w:rFonts w:hint="cs"/>
          <w:rtl/>
        </w:rPr>
        <w:t xml:space="preserve"> כר"מ לענין חלב וגיד, </w:t>
      </w:r>
      <w:r w:rsidRPr="00051FF3">
        <w:rPr>
          <w:rStyle w:val="afb"/>
          <w:rFonts w:hint="cs"/>
          <w:rtl/>
        </w:rPr>
        <w:t xml:space="preserve">[כדביאר </w:t>
      </w:r>
      <w:r w:rsidRPr="00051FF3">
        <w:rPr>
          <w:rStyle w:val="affa"/>
          <w:rFonts w:hint="cs"/>
          <w:rtl/>
        </w:rPr>
        <w:t>המ"מ</w:t>
      </w:r>
      <w:r w:rsidRPr="00051FF3">
        <w:rPr>
          <w:rStyle w:val="afb"/>
          <w:rFonts w:hint="cs"/>
          <w:rtl/>
        </w:rPr>
        <w:t xml:space="preserve"> </w:t>
      </w:r>
      <w:r w:rsidRPr="001B2DF0">
        <w:rPr>
          <w:rStyle w:val="aff6"/>
          <w:rFonts w:hint="cs"/>
          <w:rtl/>
        </w:rPr>
        <w:t xml:space="preserve">(עי' אות </w:t>
      </w:r>
      <w:r w:rsidRPr="001B2DF0">
        <w:rPr>
          <w:rStyle w:val="aff6"/>
          <w:rtl/>
        </w:rPr>
        <w:fldChar w:fldCharType="begin"/>
      </w:r>
      <w:r w:rsidRPr="001B2DF0">
        <w:rPr>
          <w:rStyle w:val="aff6"/>
          <w:rtl/>
        </w:rPr>
        <w:instrText xml:space="preserve"> </w:instrText>
      </w:r>
      <w:r w:rsidRPr="001B2DF0">
        <w:rPr>
          <w:rStyle w:val="aff6"/>
          <w:rFonts w:hint="cs"/>
        </w:rPr>
        <w:instrText>REF</w:instrText>
      </w:r>
      <w:r w:rsidRPr="001B2DF0">
        <w:rPr>
          <w:rStyle w:val="aff6"/>
          <w:rFonts w:hint="cs"/>
          <w:rtl/>
        </w:rPr>
        <w:instrText xml:space="preserve"> _</w:instrText>
      </w:r>
      <w:r w:rsidRPr="001B2DF0">
        <w:rPr>
          <w:rStyle w:val="aff6"/>
          <w:rFonts w:hint="cs"/>
        </w:rPr>
        <w:instrText>Ref3906174 \r \h</w:instrText>
      </w:r>
      <w:r w:rsidRPr="001B2DF0">
        <w:rPr>
          <w:rStyle w:val="aff6"/>
          <w:rtl/>
        </w:rPr>
        <w:instrText xml:space="preserve"> </w:instrText>
      </w:r>
      <w:r w:rsidRPr="001B2DF0">
        <w:rPr>
          <w:rStyle w:val="aff6"/>
          <w:rtl/>
        </w:rPr>
      </w:r>
      <w:r w:rsidRPr="001B2DF0">
        <w:rPr>
          <w:rStyle w:val="aff6"/>
          <w:rtl/>
        </w:rPr>
        <w:fldChar w:fldCharType="separate"/>
      </w:r>
      <w:r w:rsidR="00345400">
        <w:rPr>
          <w:rStyle w:val="aff6"/>
          <w:cs/>
        </w:rPr>
        <w:t>‎</w:t>
      </w:r>
      <w:r w:rsidR="00345400">
        <w:rPr>
          <w:rStyle w:val="aff6"/>
          <w:rtl/>
        </w:rPr>
        <w:t>כא)</w:t>
      </w:r>
      <w:r w:rsidRPr="001B2DF0">
        <w:rPr>
          <w:rStyle w:val="aff6"/>
          <w:rtl/>
        </w:rPr>
        <w:fldChar w:fldCharType="end"/>
      </w:r>
      <w:r w:rsidRPr="00051FF3">
        <w:rPr>
          <w:rStyle w:val="afb"/>
          <w:rFonts w:hint="cs"/>
          <w:rtl/>
        </w:rPr>
        <w:t>]</w:t>
      </w:r>
      <w:r>
        <w:rPr>
          <w:rFonts w:hint="cs"/>
          <w:rtl/>
        </w:rPr>
        <w:t xml:space="preserve">, וא"כ מוכח דס"ל </w:t>
      </w:r>
      <w:r w:rsidRPr="00221315">
        <w:rPr>
          <w:rStyle w:val="af9"/>
          <w:rFonts w:hint="cs"/>
          <w:rtl/>
        </w:rPr>
        <w:t>להרמב"ם</w:t>
      </w:r>
      <w:r>
        <w:rPr>
          <w:rFonts w:hint="cs"/>
          <w:rtl/>
        </w:rPr>
        <w:t xml:space="preserve"> דלענין חלב וגיד, לא מהני היתר "כל בבהמה תאכלו" כלל, ולא קיי"ל כגמ' לקמן </w:t>
      </w:r>
      <w:r w:rsidRPr="00051FF3">
        <w:rPr>
          <w:rStyle w:val="af7"/>
          <w:rFonts w:eastAsia="Guttman Hodes" w:hint="cs"/>
          <w:rtl/>
        </w:rPr>
        <w:t>(ק.)</w:t>
      </w:r>
      <w:r>
        <w:rPr>
          <w:rFonts w:hint="cs"/>
          <w:rtl/>
        </w:rPr>
        <w:t xml:space="preserve"> דמהני ההיתר לענין גיד, וא"כ היאך אפש"ל דהיתר "כל בבהמה תאכלו", מתיר את החלב שהניח בתוך הבהמה.</w:t>
      </w:r>
      <w:bookmarkEnd w:id="25053"/>
    </w:p>
    <w:p w14:paraId="45B57F91" w14:textId="77777777" w:rsidR="003D504D" w:rsidRDefault="003D504D" w:rsidP="003D504D">
      <w:pPr>
        <w:pStyle w:val="a3"/>
        <w:rPr>
          <w:rtl/>
        </w:rPr>
      </w:pPr>
      <w:bookmarkStart w:id="25054" w:name="_Toc4026734"/>
      <w:bookmarkStart w:id="25055" w:name="_Toc4139534"/>
      <w:bookmarkStart w:id="25056" w:name="_Toc4151628"/>
      <w:bookmarkStart w:id="25057" w:name="_Toc19392078"/>
      <w:bookmarkStart w:id="25058" w:name="_Toc19395575"/>
      <w:r>
        <w:rPr>
          <w:rFonts w:hint="cs"/>
          <w:rtl/>
        </w:rPr>
        <w:t>ביאור האבאה"ז ברמב"ם דאיירי שהוציא את החלב מהעובר דאי חתך והניחו בעובר הוי ככל ילוד</w:t>
      </w:r>
      <w:bookmarkEnd w:id="25054"/>
      <w:bookmarkEnd w:id="25055"/>
      <w:bookmarkEnd w:id="25056"/>
      <w:bookmarkEnd w:id="25057"/>
      <w:bookmarkEnd w:id="25058"/>
    </w:p>
    <w:p w14:paraId="5EEBA4A2" w14:textId="77777777" w:rsidR="003D504D" w:rsidRDefault="003D504D" w:rsidP="00223668">
      <w:pPr>
        <w:pStyle w:val="a0"/>
        <w:rPr>
          <w:rtl/>
        </w:rPr>
        <w:sectPr w:rsidR="003D504D" w:rsidSect="003D504D">
          <w:type w:val="continuous"/>
          <w:pgSz w:w="11906" w:h="16838"/>
          <w:pgMar w:top="720" w:right="720" w:bottom="720" w:left="720" w:header="283" w:footer="283" w:gutter="0"/>
          <w:cols w:num="2" w:space="567"/>
          <w:bidi/>
          <w:rtlGutter/>
          <w:docGrid w:linePitch="299"/>
        </w:sectPr>
      </w:pPr>
      <w:r>
        <w:rPr>
          <w:rFonts w:hint="cs"/>
          <w:rtl/>
        </w:rPr>
        <w:t xml:space="preserve">אלא כתב </w:t>
      </w:r>
      <w:r w:rsidRPr="00051FF3">
        <w:rPr>
          <w:rStyle w:val="af9"/>
          <w:rFonts w:hint="cs"/>
          <w:rtl/>
        </w:rPr>
        <w:t>האבהא"ז</w:t>
      </w:r>
      <w:r>
        <w:rPr>
          <w:rFonts w:hint="cs"/>
          <w:rtl/>
        </w:rPr>
        <w:t xml:space="preserve"> דמ"ש </w:t>
      </w:r>
      <w:r w:rsidRPr="00051FF3">
        <w:rPr>
          <w:rStyle w:val="af9"/>
          <w:rFonts w:hint="cs"/>
          <w:rtl/>
        </w:rPr>
        <w:t>הרמב"ם</w:t>
      </w:r>
      <w:r>
        <w:rPr>
          <w:rFonts w:hint="cs"/>
          <w:rtl/>
        </w:rPr>
        <w:t xml:space="preserve"> שחתך מהחלב של העובר "והוציאו" דכוונתו לומר שהוציא את החלב מהעובר, דאם לא הוציא את החלב, הוי ככל לידה ופשיטא דהחלב אסור לדעת </w:t>
      </w:r>
      <w:r w:rsidRPr="00051FF3">
        <w:rPr>
          <w:rStyle w:val="af9"/>
          <w:rFonts w:hint="cs"/>
          <w:rtl/>
        </w:rPr>
        <w:t>הרמב"ם</w:t>
      </w:r>
      <w:r>
        <w:rPr>
          <w:rFonts w:hint="cs"/>
          <w:rtl/>
        </w:rPr>
        <w:t>, דאף דאי"ז לידה גמורה, מ"מ יצא הולד לאויר העולם והוי כיוצא דופן, אבל בתלש והוציא את החלב, לא חשיב שיצא לאויר, ולכן הוצרך ריו"ח לחדש דאסור דחדשים גרמי.</w:t>
      </w:r>
    </w:p>
    <w:p w14:paraId="1117B538" w14:textId="77777777" w:rsidR="003D504D" w:rsidRDefault="003D504D" w:rsidP="00223668">
      <w:pPr>
        <w:pStyle w:val="a0"/>
        <w:numPr>
          <w:ilvl w:val="0"/>
          <w:numId w:val="0"/>
        </w:numPr>
        <w:rPr>
          <w:rtl/>
        </w:rPr>
      </w:pPr>
    </w:p>
    <w:p w14:paraId="558FDB11" w14:textId="77777777" w:rsidR="003D504D" w:rsidRDefault="003D504D" w:rsidP="003D504D">
      <w:pPr>
        <w:pStyle w:val="a3"/>
        <w:rPr>
          <w:rtl/>
        </w:rPr>
        <w:sectPr w:rsidR="003D504D" w:rsidSect="003D504D">
          <w:type w:val="continuous"/>
          <w:pgSz w:w="11906" w:h="16838"/>
          <w:pgMar w:top="720" w:right="720" w:bottom="720" w:left="720" w:header="283" w:footer="283" w:gutter="0"/>
          <w:cols w:num="2" w:space="567"/>
          <w:bidi/>
          <w:rtlGutter/>
          <w:docGrid w:linePitch="299"/>
        </w:sectPr>
      </w:pPr>
    </w:p>
    <w:p w14:paraId="0AD3FE16" w14:textId="77777777" w:rsidR="003D504D" w:rsidRDefault="003D504D" w:rsidP="00FD0A61">
      <w:pPr>
        <w:pStyle w:val="afd"/>
        <w:spacing w:before="240"/>
      </w:pPr>
      <w:bookmarkStart w:id="25059" w:name="_Toc2500222"/>
      <w:bookmarkStart w:id="25060" w:name="_Toc2541640"/>
      <w:bookmarkStart w:id="25061" w:name="_Toc2597295"/>
      <w:bookmarkStart w:id="25062" w:name="_Toc2618560"/>
      <w:bookmarkStart w:id="25063" w:name="_Toc2628203"/>
      <w:bookmarkStart w:id="25064" w:name="_Toc2723898"/>
      <w:bookmarkStart w:id="25065" w:name="_Toc4305385"/>
      <w:bookmarkStart w:id="25066" w:name="_Toc4316226"/>
      <w:bookmarkStart w:id="25067" w:name="_Toc4330670"/>
      <w:bookmarkStart w:id="25068" w:name="_Toc5356399"/>
      <w:bookmarkStart w:id="25069" w:name="_Toc16669781"/>
      <w:bookmarkStart w:id="25070" w:name="_Toc19436383"/>
      <w:bookmarkStart w:id="25071" w:name="_Toc20081513"/>
      <w:r>
        <w:rPr>
          <w:rFonts w:hint="cs"/>
          <w:rtl/>
        </w:rPr>
        <w:t>סימן</w:t>
      </w:r>
      <w:bookmarkEnd w:id="25059"/>
      <w:r>
        <w:rPr>
          <w:rFonts w:hint="cs"/>
          <w:rtl/>
        </w:rPr>
        <w:t xml:space="preserve"> </w:t>
      </w:r>
      <w:bookmarkEnd w:id="25060"/>
      <w:bookmarkEnd w:id="25061"/>
      <w:bookmarkEnd w:id="25062"/>
      <w:bookmarkEnd w:id="25063"/>
      <w:bookmarkEnd w:id="25064"/>
      <w:bookmarkEnd w:id="25065"/>
      <w:bookmarkEnd w:id="25066"/>
      <w:bookmarkEnd w:id="25067"/>
      <w:bookmarkEnd w:id="25068"/>
      <w:r w:rsidR="00FD0A61">
        <w:rPr>
          <w:rFonts w:hint="cs"/>
          <w:rtl/>
        </w:rPr>
        <w:t>כ"ג</w:t>
      </w:r>
      <w:bookmarkEnd w:id="25069"/>
      <w:bookmarkEnd w:id="25070"/>
      <w:bookmarkEnd w:id="25071"/>
    </w:p>
    <w:p w14:paraId="01C73C7B" w14:textId="77777777" w:rsidR="003D504D" w:rsidRDefault="003D504D" w:rsidP="003D504D">
      <w:pPr>
        <w:pStyle w:val="afd"/>
        <w:rPr>
          <w:rtl/>
        </w:rPr>
      </w:pPr>
      <w:bookmarkStart w:id="25072" w:name="_Toc2541641"/>
      <w:bookmarkStart w:id="25073" w:name="_Toc2597296"/>
      <w:bookmarkStart w:id="25074" w:name="_Toc2618561"/>
      <w:bookmarkStart w:id="25075" w:name="_Toc2628204"/>
      <w:bookmarkStart w:id="25076" w:name="_Toc2723899"/>
      <w:bookmarkStart w:id="25077" w:name="_Toc4305386"/>
      <w:bookmarkStart w:id="25078" w:name="_Toc4316227"/>
      <w:bookmarkStart w:id="25079" w:name="_Toc4330671"/>
      <w:bookmarkStart w:id="25080" w:name="_Toc5356400"/>
      <w:bookmarkStart w:id="25081" w:name="_Toc16669782"/>
      <w:bookmarkStart w:id="25082" w:name="_Toc19436384"/>
      <w:bookmarkStart w:id="25083" w:name="_Toc20081514"/>
      <w:r w:rsidRPr="00D67CD4">
        <w:rPr>
          <w:rtl/>
        </w:rPr>
        <w:t>בפלוגתת ריו"ח ור"ל</w:t>
      </w:r>
      <w:bookmarkEnd w:id="25072"/>
      <w:r>
        <w:rPr>
          <w:rFonts w:hint="cs"/>
          <w:rtl/>
        </w:rPr>
        <w:t xml:space="preserve"> בדם </w:t>
      </w:r>
      <w:bookmarkEnd w:id="25073"/>
      <w:r>
        <w:rPr>
          <w:rFonts w:hint="cs"/>
          <w:rtl/>
        </w:rPr>
        <w:t>הנפש בשליל</w:t>
      </w:r>
      <w:bookmarkEnd w:id="25074"/>
      <w:bookmarkEnd w:id="25075"/>
      <w:bookmarkEnd w:id="25076"/>
      <w:bookmarkEnd w:id="25077"/>
      <w:bookmarkEnd w:id="25078"/>
      <w:bookmarkEnd w:id="25079"/>
      <w:bookmarkEnd w:id="25080"/>
      <w:bookmarkEnd w:id="25081"/>
      <w:bookmarkEnd w:id="25082"/>
      <w:bookmarkEnd w:id="25083"/>
    </w:p>
    <w:p w14:paraId="5367EDC9" w14:textId="77777777" w:rsidR="003D504D" w:rsidRDefault="000A0C31" w:rsidP="003D504D">
      <w:pPr>
        <w:pStyle w:val="2"/>
        <w:keepNext w:val="0"/>
        <w:keepLines w:val="0"/>
        <w:rPr>
          <w:rtl/>
        </w:rPr>
      </w:pPr>
      <w:r>
        <w:rPr>
          <w:rtl/>
        </w:rPr>
        <w:t>מפתח הסוגיא</w:t>
      </w:r>
    </w:p>
    <w:p w14:paraId="551A0D37" w14:textId="77777777" w:rsidR="003D504D" w:rsidRDefault="003D504D" w:rsidP="003D504D">
      <w:pPr>
        <w:pStyle w:val="aff4"/>
        <w:rPr>
          <w:rtl/>
        </w:rPr>
        <w:sectPr w:rsidR="003D504D" w:rsidSect="003D504D">
          <w:headerReference w:type="default" r:id="rId141"/>
          <w:headerReference w:type="first" r:id="rId142"/>
          <w:footerReference w:type="first" r:id="rId143"/>
          <w:pgSz w:w="11906" w:h="16838"/>
          <w:pgMar w:top="720" w:right="720" w:bottom="720" w:left="720" w:header="283" w:footer="283" w:gutter="0"/>
          <w:cols w:space="113"/>
          <w:bidi/>
          <w:rtlGutter/>
          <w:docGrid w:linePitch="299"/>
        </w:sectPr>
      </w:pPr>
    </w:p>
    <w:p w14:paraId="6379D59D" w14:textId="77777777" w:rsidR="003D504D" w:rsidRDefault="003D504D" w:rsidP="003D504D">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bookmarkStart w:id="25084" w:name="_Toc19436386"/>
      <w:r>
        <w:rPr>
          <w:noProof/>
          <w:rtl/>
        </w:rPr>
        <w:t>מראי מקומות וביאורים על הסוגיא</w:t>
      </w:r>
      <w:bookmarkEnd w:id="25084"/>
    </w:p>
    <w:p w14:paraId="5404D1AF" w14:textId="77777777" w:rsidR="003D504D" w:rsidRDefault="003D504D" w:rsidP="003D504D">
      <w:pPr>
        <w:pStyle w:val="2"/>
        <w:rPr>
          <w:rFonts w:eastAsiaTheme="minorEastAsia" w:cstheme="minorBidi"/>
          <w:i/>
          <w:iCs/>
          <w:noProof/>
          <w:sz w:val="22"/>
          <w:szCs w:val="22"/>
          <w:rtl/>
        </w:rPr>
      </w:pPr>
      <w:bookmarkStart w:id="25085" w:name="_Toc19436387"/>
      <w:r>
        <w:rPr>
          <w:noProof/>
          <w:rtl/>
        </w:rPr>
        <w:t>ביאורי הראשונים באיסור הדם בשליל</w:t>
      </w:r>
      <w:bookmarkEnd w:id="25085"/>
    </w:p>
    <w:p w14:paraId="57ED04C2" w14:textId="77777777" w:rsidR="003D504D" w:rsidRDefault="003D504D" w:rsidP="003D504D">
      <w:pPr>
        <w:pStyle w:val="aff4"/>
        <w:rPr>
          <w:rFonts w:eastAsiaTheme="minorEastAsia" w:cstheme="minorBidi"/>
          <w:i/>
          <w:iCs/>
          <w:noProof/>
          <w:sz w:val="22"/>
          <w:szCs w:val="22"/>
          <w:rtl/>
        </w:rPr>
      </w:pPr>
      <w:bookmarkStart w:id="25086" w:name="_Toc19436388"/>
      <w:bookmarkStart w:id="25087" w:name="_Toc20081515"/>
      <w:r>
        <w:rPr>
          <w:noProof/>
          <w:rtl/>
        </w:rPr>
        <w:t>בדברי רש"י דבבן ח' דמו אסור כדם אברים</w:t>
      </w:r>
      <w:bookmarkEnd w:id="25086"/>
      <w:bookmarkEnd w:id="25087"/>
    </w:p>
    <w:p w14:paraId="3ADC6CAE" w14:textId="77777777" w:rsidR="003D504D" w:rsidRPr="00121D2D" w:rsidRDefault="003D504D" w:rsidP="00E12979">
      <w:pPr>
        <w:pStyle w:val="a"/>
        <w:numPr>
          <w:ilvl w:val="0"/>
          <w:numId w:val="47"/>
        </w:numPr>
        <w:rPr>
          <w:rtl/>
        </w:rPr>
      </w:pPr>
      <w:r w:rsidRPr="00121D2D">
        <w:rPr>
          <w:rtl/>
        </w:rPr>
        <w:t>דברי רש"י דבבן ח' הדם אסור דלא גרע מדם האברים של הבהמה</w:t>
      </w:r>
    </w:p>
    <w:p w14:paraId="35421FC3" w14:textId="77777777" w:rsidR="003D504D" w:rsidRDefault="003D504D" w:rsidP="003D504D">
      <w:pPr>
        <w:pStyle w:val="aff4"/>
        <w:rPr>
          <w:rFonts w:eastAsiaTheme="minorEastAsia" w:cstheme="minorBidi"/>
          <w:i/>
          <w:iCs/>
          <w:noProof/>
          <w:sz w:val="22"/>
          <w:szCs w:val="22"/>
          <w:rtl/>
        </w:rPr>
      </w:pPr>
      <w:bookmarkStart w:id="25088" w:name="_Toc19436389"/>
      <w:bookmarkStart w:id="25089" w:name="_Toc20081516"/>
      <w:r>
        <w:rPr>
          <w:noProof/>
          <w:rtl/>
        </w:rPr>
        <w:t>ביאור הר"ן והריטב"א דהדם אינו בכלל ההיתר דהוא משקה</w:t>
      </w:r>
      <w:bookmarkEnd w:id="25088"/>
      <w:bookmarkEnd w:id="25089"/>
    </w:p>
    <w:p w14:paraId="44C9396E" w14:textId="77777777" w:rsidR="003D504D" w:rsidRDefault="003D504D" w:rsidP="005077A7">
      <w:pPr>
        <w:pStyle w:val="a"/>
        <w:rPr>
          <w:rFonts w:eastAsiaTheme="minorEastAsia" w:cstheme="minorBidi"/>
          <w:sz w:val="22"/>
          <w:szCs w:val="22"/>
          <w:rtl/>
        </w:rPr>
      </w:pPr>
      <w:r>
        <w:rPr>
          <w:rtl/>
        </w:rPr>
        <w:t>קושית הר"ן דאמאי דמו אסור דמו של השליל אסור ואינו בכלל היתר "כל בבהמה תאכלו"</w:t>
      </w:r>
    </w:p>
    <w:p w14:paraId="76AD16A3" w14:textId="77777777" w:rsidR="003D504D" w:rsidRDefault="003D504D" w:rsidP="005077A7">
      <w:pPr>
        <w:pStyle w:val="a"/>
        <w:rPr>
          <w:rFonts w:eastAsiaTheme="minorEastAsia" w:cstheme="minorBidi"/>
          <w:sz w:val="22"/>
          <w:szCs w:val="22"/>
          <w:rtl/>
        </w:rPr>
      </w:pPr>
      <w:r>
        <w:rPr>
          <w:rtl/>
        </w:rPr>
        <w:t>ביאור הר"ן והריטב"א דהיתר השליל הוא בדבר שהוא אוכל ולא בדם שהוא משקה</w:t>
      </w:r>
    </w:p>
    <w:p w14:paraId="694A57B5" w14:textId="77777777" w:rsidR="003D504D" w:rsidRDefault="003D504D" w:rsidP="003D504D">
      <w:pPr>
        <w:pStyle w:val="aff4"/>
        <w:rPr>
          <w:rFonts w:eastAsiaTheme="minorEastAsia" w:cstheme="minorBidi"/>
          <w:i/>
          <w:iCs/>
          <w:noProof/>
          <w:sz w:val="22"/>
          <w:szCs w:val="22"/>
          <w:rtl/>
        </w:rPr>
      </w:pPr>
      <w:bookmarkStart w:id="25090" w:name="_Toc19436390"/>
      <w:bookmarkStart w:id="25091" w:name="_Toc20081517"/>
      <w:r>
        <w:rPr>
          <w:noProof/>
          <w:rtl/>
        </w:rPr>
        <w:t>ביאור הרא"ש דההיתר ל"מ לדם דהוא נבלע בכל הגוף</w:t>
      </w:r>
      <w:bookmarkEnd w:id="25090"/>
      <w:bookmarkEnd w:id="25091"/>
    </w:p>
    <w:p w14:paraId="6413BB8E" w14:textId="77777777" w:rsidR="003D504D" w:rsidRDefault="003D504D" w:rsidP="005077A7">
      <w:pPr>
        <w:pStyle w:val="a"/>
        <w:rPr>
          <w:rFonts w:eastAsiaTheme="minorEastAsia" w:cstheme="minorBidi"/>
          <w:sz w:val="22"/>
          <w:szCs w:val="22"/>
          <w:rtl/>
        </w:rPr>
      </w:pPr>
      <w:r>
        <w:rPr>
          <w:rtl/>
        </w:rPr>
        <w:t>דברי הרא"ש דהדם אסור כיון שנבלע בכל הגוף וחשיב כדם איברים של הבהמה</w:t>
      </w:r>
    </w:p>
    <w:p w14:paraId="640F19A4" w14:textId="77777777" w:rsidR="003D504D" w:rsidRDefault="003D504D" w:rsidP="003D504D">
      <w:pPr>
        <w:pStyle w:val="2"/>
        <w:rPr>
          <w:rFonts w:eastAsiaTheme="minorEastAsia" w:cstheme="minorBidi"/>
          <w:i/>
          <w:iCs/>
          <w:noProof/>
          <w:sz w:val="22"/>
          <w:szCs w:val="22"/>
          <w:rtl/>
        </w:rPr>
      </w:pPr>
      <w:bookmarkStart w:id="25092" w:name="_Toc19436391"/>
      <w:r>
        <w:rPr>
          <w:noProof/>
          <w:rtl/>
        </w:rPr>
        <w:t>פלוגתת הראשונים בחיוב כרת לריו"ח</w:t>
      </w:r>
      <w:bookmarkEnd w:id="25092"/>
    </w:p>
    <w:p w14:paraId="3257875D" w14:textId="77777777" w:rsidR="003D504D" w:rsidRDefault="003D504D" w:rsidP="003D504D">
      <w:pPr>
        <w:pStyle w:val="aff4"/>
        <w:rPr>
          <w:rFonts w:eastAsiaTheme="minorEastAsia" w:cstheme="minorBidi"/>
          <w:i/>
          <w:iCs/>
          <w:noProof/>
          <w:sz w:val="22"/>
          <w:szCs w:val="22"/>
          <w:rtl/>
        </w:rPr>
      </w:pPr>
      <w:bookmarkStart w:id="25093" w:name="_Toc19436392"/>
      <w:bookmarkStart w:id="25094" w:name="_Toc20081518"/>
      <w:r>
        <w:rPr>
          <w:noProof/>
          <w:rtl/>
        </w:rPr>
        <w:t>דברי הרי"ף דריו"ח אוסר בדם וכן קיי"ל להלכה</w:t>
      </w:r>
      <w:bookmarkEnd w:id="25093"/>
      <w:bookmarkEnd w:id="25094"/>
    </w:p>
    <w:p w14:paraId="62F0CC01" w14:textId="77777777" w:rsidR="003D504D" w:rsidRDefault="003D504D" w:rsidP="005077A7">
      <w:pPr>
        <w:pStyle w:val="a"/>
        <w:rPr>
          <w:rFonts w:eastAsiaTheme="minorEastAsia" w:cstheme="minorBidi"/>
          <w:sz w:val="22"/>
          <w:szCs w:val="22"/>
          <w:rtl/>
        </w:rPr>
      </w:pPr>
      <w:r>
        <w:rPr>
          <w:rtl/>
        </w:rPr>
        <w:t>דברי הרי"ף דלר"ל לר"י שמתיר בחלב דמו מותר ולריו"ח דמו אסור אף לר"י וקיי"ל כריו"ח</w:t>
      </w:r>
    </w:p>
    <w:p w14:paraId="4ACF3EAB" w14:textId="77777777" w:rsidR="003D504D" w:rsidRDefault="003D504D" w:rsidP="003D504D">
      <w:pPr>
        <w:pStyle w:val="aff4"/>
        <w:rPr>
          <w:rFonts w:eastAsiaTheme="minorEastAsia" w:cstheme="minorBidi"/>
          <w:i/>
          <w:iCs/>
          <w:noProof/>
          <w:sz w:val="22"/>
          <w:szCs w:val="22"/>
          <w:rtl/>
        </w:rPr>
      </w:pPr>
      <w:bookmarkStart w:id="25095" w:name="_Toc19436393"/>
      <w:bookmarkStart w:id="25096" w:name="_Toc20081519"/>
      <w:r>
        <w:rPr>
          <w:noProof/>
          <w:rtl/>
        </w:rPr>
        <w:t>דעת הרשב"א והר"ן דלהרי"ף והרמב"ם ריו"ח מחייב כרת</w:t>
      </w:r>
      <w:bookmarkEnd w:id="25095"/>
      <w:bookmarkEnd w:id="25096"/>
    </w:p>
    <w:p w14:paraId="0BA40D13" w14:textId="77777777" w:rsidR="003D504D" w:rsidRDefault="003D504D" w:rsidP="005077A7">
      <w:pPr>
        <w:pStyle w:val="a"/>
        <w:rPr>
          <w:rFonts w:eastAsiaTheme="minorEastAsia" w:cstheme="minorBidi"/>
          <w:sz w:val="22"/>
          <w:szCs w:val="22"/>
          <w:rtl/>
        </w:rPr>
      </w:pPr>
      <w:r>
        <w:rPr>
          <w:rtl/>
        </w:rPr>
        <w:t>דברי הרשב"א דלהו"א לריו"ח לכו"ע חייב כרת ולר"ל מותר ולמסקנא לר"ל אסור בלאו</w:t>
      </w:r>
    </w:p>
    <w:p w14:paraId="2F965B69" w14:textId="77777777" w:rsidR="003D504D" w:rsidRDefault="003D504D" w:rsidP="005077A7">
      <w:pPr>
        <w:pStyle w:val="a"/>
        <w:rPr>
          <w:rFonts w:eastAsiaTheme="minorEastAsia" w:cstheme="minorBidi"/>
          <w:sz w:val="22"/>
          <w:szCs w:val="22"/>
          <w:rtl/>
        </w:rPr>
      </w:pPr>
      <w:r>
        <w:rPr>
          <w:rtl/>
        </w:rPr>
        <w:t>דברי הרשב"א דלרי"ף והרמב"ם ריו"ח מחייב כרת וביאור הר"ן דכיון דלר"ל בלאו לריו"ח בכרת</w:t>
      </w:r>
    </w:p>
    <w:p w14:paraId="363D85E4" w14:textId="77777777" w:rsidR="003D504D" w:rsidRDefault="003D504D" w:rsidP="005077A7">
      <w:pPr>
        <w:pStyle w:val="a"/>
        <w:rPr>
          <w:rFonts w:eastAsiaTheme="minorEastAsia" w:cstheme="minorBidi"/>
          <w:sz w:val="22"/>
          <w:szCs w:val="22"/>
          <w:rtl/>
        </w:rPr>
      </w:pPr>
      <w:r>
        <w:rPr>
          <w:rtl/>
        </w:rPr>
        <w:t>קושית הר"ן דהיאך אפשר לחייב כרת הא אין לשליל דם הנפש וקיי"ל כרבנן דדם האברים בלאו</w:t>
      </w:r>
    </w:p>
    <w:p w14:paraId="71463EE3" w14:textId="77777777" w:rsidR="003D504D" w:rsidRDefault="003D504D" w:rsidP="005077A7">
      <w:pPr>
        <w:pStyle w:val="a"/>
        <w:rPr>
          <w:rFonts w:eastAsiaTheme="minorEastAsia" w:cstheme="minorBidi"/>
          <w:sz w:val="22"/>
          <w:szCs w:val="22"/>
          <w:rtl/>
        </w:rPr>
      </w:pPr>
      <w:r>
        <w:rPr>
          <w:rtl/>
        </w:rPr>
        <w:t>ביאור הר"ן דלריו"ח יש דם הנפש בשליל כיון דד' סימנים אכשר ביה רחמנא ויש בו חיות</w:t>
      </w:r>
    </w:p>
    <w:p w14:paraId="2EE77A1C" w14:textId="77777777" w:rsidR="003D504D" w:rsidRDefault="003D504D" w:rsidP="005077A7">
      <w:pPr>
        <w:pStyle w:val="a"/>
        <w:rPr>
          <w:rFonts w:eastAsiaTheme="minorEastAsia" w:cstheme="minorBidi"/>
          <w:sz w:val="22"/>
          <w:szCs w:val="22"/>
          <w:rtl/>
        </w:rPr>
      </w:pPr>
      <w:r>
        <w:rPr>
          <w:rtl/>
        </w:rPr>
        <w:t>דברי הרשב"א בשם העיטור דהדם אסור לכתחילה כדם האיברים שהוא בלאו</w:t>
      </w:r>
    </w:p>
    <w:p w14:paraId="01445087" w14:textId="77777777" w:rsidR="003D504D" w:rsidRDefault="003D504D" w:rsidP="005077A7">
      <w:pPr>
        <w:pStyle w:val="a"/>
        <w:rPr>
          <w:rFonts w:eastAsiaTheme="minorEastAsia" w:cstheme="minorBidi"/>
          <w:sz w:val="22"/>
          <w:szCs w:val="22"/>
          <w:rtl/>
        </w:rPr>
      </w:pPr>
      <w:r>
        <w:rPr>
          <w:rtl/>
        </w:rPr>
        <w:t>דברי התוס' דלריו"ח לכו"ע יש חיוב כרת בדם השליל</w:t>
      </w:r>
    </w:p>
    <w:p w14:paraId="34D2020B" w14:textId="77777777" w:rsidR="003D504D" w:rsidRDefault="003D504D" w:rsidP="003D504D">
      <w:pPr>
        <w:pStyle w:val="aff4"/>
        <w:rPr>
          <w:rFonts w:eastAsiaTheme="minorEastAsia" w:cstheme="minorBidi"/>
          <w:i/>
          <w:iCs/>
          <w:noProof/>
          <w:sz w:val="22"/>
          <w:szCs w:val="22"/>
          <w:rtl/>
        </w:rPr>
      </w:pPr>
      <w:bookmarkStart w:id="25097" w:name="_Toc19436394"/>
      <w:bookmarkStart w:id="25098" w:name="_Toc20081520"/>
      <w:r>
        <w:rPr>
          <w:noProof/>
          <w:rtl/>
        </w:rPr>
        <w:t>ביאור הרמב"ן ברי"ף דלריו"ח רק לר"י בכרת אבל לרבנן בלאו</w:t>
      </w:r>
      <w:bookmarkEnd w:id="25097"/>
      <w:bookmarkEnd w:id="25098"/>
    </w:p>
    <w:p w14:paraId="77A51FE8" w14:textId="77777777" w:rsidR="003D504D" w:rsidRDefault="003D504D" w:rsidP="005077A7">
      <w:pPr>
        <w:pStyle w:val="a"/>
        <w:rPr>
          <w:rFonts w:eastAsiaTheme="minorEastAsia" w:cstheme="minorBidi"/>
          <w:sz w:val="22"/>
          <w:szCs w:val="22"/>
          <w:rtl/>
        </w:rPr>
      </w:pPr>
      <w:r>
        <w:rPr>
          <w:rtl/>
        </w:rPr>
        <w:t>דברי הרמב"ן דלריו"ח ר"י מחייב כרת בדם התמצית אף בדליכא דם הנפש ובזה פליג עליה ר"ל</w:t>
      </w:r>
    </w:p>
    <w:p w14:paraId="14C610AA" w14:textId="77777777" w:rsidR="003D504D" w:rsidRDefault="003D504D" w:rsidP="005077A7">
      <w:pPr>
        <w:pStyle w:val="a"/>
        <w:rPr>
          <w:rFonts w:eastAsiaTheme="minorEastAsia" w:cstheme="minorBidi"/>
          <w:sz w:val="22"/>
          <w:szCs w:val="22"/>
          <w:rtl/>
        </w:rPr>
      </w:pPr>
      <w:r>
        <w:rPr>
          <w:rtl/>
        </w:rPr>
        <w:t>דברי הרמב"ן דקיי"ל כרבנן דדם התמצית בלאו ואף לריו"ח אין כרת בשליל וכן מוכח בתוספתא</w:t>
      </w:r>
    </w:p>
    <w:p w14:paraId="0D7A11EB" w14:textId="77777777" w:rsidR="003D504D" w:rsidRDefault="003D504D" w:rsidP="005077A7">
      <w:pPr>
        <w:pStyle w:val="a"/>
        <w:rPr>
          <w:rFonts w:eastAsiaTheme="minorEastAsia" w:cstheme="minorBidi"/>
          <w:sz w:val="22"/>
          <w:szCs w:val="22"/>
          <w:rtl/>
        </w:rPr>
      </w:pPr>
      <w:r>
        <w:rPr>
          <w:rtl/>
        </w:rPr>
        <w:t>דברי הרמב"ן דאין כוונת הרי"ף לחייב כרת לרבנן אלא העתיק את לשון הגמ'</w:t>
      </w:r>
    </w:p>
    <w:p w14:paraId="1F0E14C7" w14:textId="77777777" w:rsidR="003D504D" w:rsidRDefault="003D504D" w:rsidP="005077A7">
      <w:pPr>
        <w:pStyle w:val="a"/>
        <w:rPr>
          <w:rFonts w:eastAsiaTheme="minorEastAsia" w:cstheme="minorBidi"/>
          <w:sz w:val="22"/>
          <w:szCs w:val="22"/>
          <w:rtl/>
        </w:rPr>
      </w:pPr>
      <w:r>
        <w:rPr>
          <w:rtl/>
        </w:rPr>
        <w:t>הביאור הב' ברמב"ן דכוונת הרי"ף לומר דלא נחלקו ריו"ח ור"ל בחיוב לאו בדם</w:t>
      </w:r>
    </w:p>
    <w:p w14:paraId="7A3FD6CE" w14:textId="77777777" w:rsidR="003D504D" w:rsidRDefault="003D504D" w:rsidP="005077A7">
      <w:pPr>
        <w:pStyle w:val="a"/>
        <w:rPr>
          <w:rFonts w:eastAsiaTheme="minorEastAsia" w:cstheme="minorBidi"/>
          <w:sz w:val="22"/>
          <w:szCs w:val="22"/>
          <w:rtl/>
        </w:rPr>
      </w:pPr>
      <w:r>
        <w:rPr>
          <w:rtl/>
        </w:rPr>
        <w:t>דחיית הרשב"א והר"ן דברי"ף מוכח דריו"ח ור"ל פליגי בחיוב הדם ולריו"ח חייב כרת</w:t>
      </w:r>
    </w:p>
    <w:p w14:paraId="7E2085BB" w14:textId="77777777" w:rsidR="003D504D" w:rsidRDefault="003D504D" w:rsidP="005077A7">
      <w:pPr>
        <w:pStyle w:val="a"/>
        <w:rPr>
          <w:rFonts w:eastAsiaTheme="minorEastAsia" w:cstheme="minorBidi"/>
          <w:sz w:val="22"/>
          <w:szCs w:val="22"/>
          <w:rtl/>
        </w:rPr>
      </w:pPr>
      <w:r>
        <w:rPr>
          <w:rtl/>
        </w:rPr>
        <w:t>הוכחת הרשב"א דריו"ח נחלק על ר"ל דהא הקשה עליו ממתני' ולא קיי"ל כתוספתא דהוי בלאו</w:t>
      </w:r>
    </w:p>
    <w:p w14:paraId="40B76286" w14:textId="77777777" w:rsidR="003D504D" w:rsidRDefault="003D504D" w:rsidP="005077A7">
      <w:pPr>
        <w:pStyle w:val="a"/>
        <w:rPr>
          <w:rFonts w:eastAsiaTheme="minorEastAsia" w:cstheme="minorBidi"/>
          <w:sz w:val="22"/>
          <w:szCs w:val="22"/>
          <w:rtl/>
        </w:rPr>
      </w:pPr>
      <w:r>
        <w:rPr>
          <w:rtl/>
        </w:rPr>
        <w:t>דחית האשכול דלר"ל אין דם הנפש בשליל אך לריו"ח מוכח דיש דם הנפש בשליל מדין ד' סימנים</w:t>
      </w:r>
    </w:p>
    <w:p w14:paraId="564B97CE" w14:textId="77777777" w:rsidR="003D504D" w:rsidRDefault="003D504D" w:rsidP="003D504D">
      <w:pPr>
        <w:pStyle w:val="aff4"/>
        <w:rPr>
          <w:rFonts w:eastAsiaTheme="minorEastAsia" w:cstheme="minorBidi"/>
          <w:i/>
          <w:iCs/>
          <w:noProof/>
          <w:sz w:val="22"/>
          <w:szCs w:val="22"/>
          <w:rtl/>
        </w:rPr>
      </w:pPr>
      <w:bookmarkStart w:id="25099" w:name="_Toc19436395"/>
      <w:bookmarkStart w:id="25100" w:name="_Toc20081521"/>
      <w:r>
        <w:rPr>
          <w:noProof/>
          <w:rtl/>
        </w:rPr>
        <w:t>דברי רש"י בפלוגתת ריו"ח ור"ל</w:t>
      </w:r>
      <w:bookmarkEnd w:id="25099"/>
      <w:bookmarkEnd w:id="25100"/>
    </w:p>
    <w:p w14:paraId="2D0B8D9B" w14:textId="77777777" w:rsidR="003D504D" w:rsidRDefault="003D504D" w:rsidP="005077A7">
      <w:pPr>
        <w:pStyle w:val="a"/>
        <w:rPr>
          <w:rFonts w:eastAsiaTheme="minorEastAsia" w:cstheme="minorBidi"/>
          <w:sz w:val="22"/>
          <w:szCs w:val="22"/>
          <w:rtl/>
        </w:rPr>
      </w:pPr>
      <w:r>
        <w:rPr>
          <w:rtl/>
        </w:rPr>
        <w:t>דברי רש"י במתני' דדם השליל אסור דלא גרע מדם האבירם</w:t>
      </w:r>
    </w:p>
    <w:p w14:paraId="2F444FFF" w14:textId="77777777" w:rsidR="003D504D" w:rsidRDefault="003D504D" w:rsidP="005077A7">
      <w:pPr>
        <w:pStyle w:val="a"/>
        <w:rPr>
          <w:rFonts w:eastAsiaTheme="minorEastAsia" w:cstheme="minorBidi"/>
          <w:sz w:val="22"/>
          <w:szCs w:val="22"/>
          <w:rtl/>
        </w:rPr>
      </w:pPr>
      <w:r>
        <w:rPr>
          <w:rtl/>
        </w:rPr>
        <w:t>ביאור רש"י בקושית ריו"ח ממתני' דמוכח דאף בן ח' דמו אסור בין לר"י ובין לר"מ</w:t>
      </w:r>
    </w:p>
    <w:p w14:paraId="6ABDB78F" w14:textId="77777777" w:rsidR="003D504D" w:rsidRDefault="003D504D" w:rsidP="005077A7">
      <w:pPr>
        <w:pStyle w:val="a"/>
        <w:rPr>
          <w:rFonts w:eastAsiaTheme="minorEastAsia" w:cstheme="minorBidi"/>
          <w:sz w:val="22"/>
          <w:szCs w:val="22"/>
          <w:rtl/>
        </w:rPr>
      </w:pPr>
      <w:r>
        <w:rPr>
          <w:rtl/>
        </w:rPr>
        <w:t>דברי הכנה"ג דדעת רש"י כרמב"ן דלהלכה אין חיוב כרת אליבא דריו"ח</w:t>
      </w:r>
    </w:p>
    <w:p w14:paraId="0B37E58F" w14:textId="77777777" w:rsidR="003D504D" w:rsidRDefault="003D504D" w:rsidP="003D504D">
      <w:pPr>
        <w:pStyle w:val="aff4"/>
        <w:rPr>
          <w:rFonts w:eastAsiaTheme="minorEastAsia" w:cstheme="minorBidi"/>
          <w:i/>
          <w:iCs/>
          <w:noProof/>
          <w:sz w:val="22"/>
          <w:szCs w:val="22"/>
          <w:rtl/>
        </w:rPr>
      </w:pPr>
      <w:bookmarkStart w:id="25101" w:name="_Toc19436396"/>
      <w:bookmarkStart w:id="25102" w:name="_Toc20081522"/>
      <w:r>
        <w:rPr>
          <w:noProof/>
          <w:rtl/>
        </w:rPr>
        <w:t>ביאור הכנה"ג בדעת הרא"ש</w:t>
      </w:r>
      <w:bookmarkEnd w:id="25101"/>
      <w:bookmarkEnd w:id="25102"/>
    </w:p>
    <w:p w14:paraId="7A6E550B" w14:textId="77777777" w:rsidR="003D504D" w:rsidRDefault="003D504D" w:rsidP="005077A7">
      <w:pPr>
        <w:pStyle w:val="a"/>
        <w:rPr>
          <w:rFonts w:eastAsiaTheme="minorEastAsia" w:cstheme="minorBidi"/>
          <w:sz w:val="22"/>
          <w:szCs w:val="22"/>
          <w:rtl/>
        </w:rPr>
      </w:pPr>
      <w:r>
        <w:rPr>
          <w:rtl/>
        </w:rPr>
        <w:t>דברי הכנה"ג דמשמעות הרי"ף והרא"ש דלא כהרמב"ן</w:t>
      </w:r>
    </w:p>
    <w:p w14:paraId="75C18CBD" w14:textId="77777777" w:rsidR="003D504D" w:rsidRDefault="003D504D" w:rsidP="005077A7">
      <w:pPr>
        <w:pStyle w:val="a"/>
        <w:rPr>
          <w:rFonts w:eastAsiaTheme="minorEastAsia" w:cstheme="minorBidi"/>
          <w:sz w:val="22"/>
          <w:szCs w:val="22"/>
          <w:rtl/>
        </w:rPr>
      </w:pPr>
      <w:r>
        <w:rPr>
          <w:rtl/>
        </w:rPr>
        <w:t>קושית הכנה"ג דאי ס"ל להרא"ש דהדם בכרת אמאי כתב הרא"ש דהדם נבלע כדם האיברים</w:t>
      </w:r>
    </w:p>
    <w:p w14:paraId="1D4137B5" w14:textId="77777777" w:rsidR="003D504D" w:rsidRDefault="003D504D" w:rsidP="005077A7">
      <w:pPr>
        <w:pStyle w:val="a"/>
        <w:rPr>
          <w:rFonts w:eastAsiaTheme="minorEastAsia" w:cstheme="minorBidi"/>
          <w:sz w:val="22"/>
          <w:szCs w:val="22"/>
        </w:rPr>
      </w:pPr>
      <w:r>
        <w:rPr>
          <w:rtl/>
        </w:rPr>
        <w:t>דברי הכנה"ג דמוכח דהרא"ש ביאר כרמב"ן ברי"ף דאף לריו"ח חייב לאו ולא כרת</w:t>
      </w:r>
    </w:p>
    <w:p w14:paraId="6A02D6C5" w14:textId="77777777" w:rsidR="003D504D" w:rsidRDefault="003D504D" w:rsidP="003D504D">
      <w:pPr>
        <w:pStyle w:val="2"/>
        <w:rPr>
          <w:rFonts w:eastAsiaTheme="minorEastAsia" w:cstheme="minorBidi"/>
          <w:i/>
          <w:iCs/>
          <w:noProof/>
          <w:sz w:val="22"/>
          <w:szCs w:val="22"/>
          <w:rtl/>
        </w:rPr>
      </w:pPr>
      <w:bookmarkStart w:id="25103" w:name="_Toc19436397"/>
      <w:r>
        <w:rPr>
          <w:noProof/>
          <w:rtl/>
        </w:rPr>
        <w:t>בדין הדם לדעת ר"ל</w:t>
      </w:r>
      <w:bookmarkEnd w:id="25103"/>
    </w:p>
    <w:p w14:paraId="09F6305E" w14:textId="77777777" w:rsidR="003D504D" w:rsidRDefault="003D504D" w:rsidP="003D504D">
      <w:pPr>
        <w:pStyle w:val="aff4"/>
        <w:rPr>
          <w:rFonts w:eastAsiaTheme="minorEastAsia" w:cstheme="minorBidi"/>
          <w:i/>
          <w:iCs/>
          <w:noProof/>
          <w:sz w:val="22"/>
          <w:szCs w:val="22"/>
          <w:rtl/>
        </w:rPr>
      </w:pPr>
      <w:bookmarkStart w:id="25104" w:name="_Toc19436398"/>
      <w:bookmarkStart w:id="25105" w:name="_Toc20081523"/>
      <w:r>
        <w:rPr>
          <w:noProof/>
          <w:rtl/>
        </w:rPr>
        <w:t>דעת רש"י והרמב"ן והרשב"א והר"ן דלר"ל חייב על הדם בלאו</w:t>
      </w:r>
      <w:bookmarkEnd w:id="25104"/>
      <w:bookmarkEnd w:id="25105"/>
    </w:p>
    <w:p w14:paraId="44AA2FBC" w14:textId="77777777" w:rsidR="003D504D" w:rsidRDefault="003D504D" w:rsidP="005077A7">
      <w:pPr>
        <w:pStyle w:val="a"/>
        <w:rPr>
          <w:rFonts w:eastAsiaTheme="minorEastAsia" w:cstheme="minorBidi"/>
          <w:sz w:val="22"/>
          <w:szCs w:val="22"/>
          <w:rtl/>
        </w:rPr>
      </w:pPr>
      <w:r>
        <w:rPr>
          <w:rtl/>
        </w:rPr>
        <w:t>דברי רש"י דלר"ל אין הדם מותר לכתחילה אלא שאין בו איסור כרת</w:t>
      </w:r>
    </w:p>
    <w:p w14:paraId="4FF611DE" w14:textId="77777777" w:rsidR="003D504D" w:rsidRDefault="003D504D" w:rsidP="005077A7">
      <w:pPr>
        <w:pStyle w:val="a"/>
        <w:rPr>
          <w:rFonts w:eastAsiaTheme="minorEastAsia" w:cstheme="minorBidi"/>
          <w:sz w:val="22"/>
          <w:szCs w:val="22"/>
          <w:rtl/>
        </w:rPr>
      </w:pPr>
      <w:r>
        <w:rPr>
          <w:rtl/>
        </w:rPr>
        <w:t>דברי הרשב"א דלהו"א לריו"ח לכו"ע חייב כרת ולר"ל מותר ולמסקנא לר"ל אסור בלאו</w:t>
      </w:r>
    </w:p>
    <w:p w14:paraId="2E1851EF" w14:textId="77777777" w:rsidR="003D504D" w:rsidRDefault="003D504D" w:rsidP="005077A7">
      <w:pPr>
        <w:pStyle w:val="a"/>
        <w:rPr>
          <w:rFonts w:eastAsiaTheme="minorEastAsia" w:cstheme="minorBidi"/>
          <w:sz w:val="22"/>
          <w:szCs w:val="22"/>
          <w:rtl/>
        </w:rPr>
      </w:pPr>
      <w:r>
        <w:rPr>
          <w:rtl/>
        </w:rPr>
        <w:t>ביאור הר"ן דלמסקנא לר"ל לא חשיב כבהמה בפנ"ע ולכן דמו בלאו כדם האברים ואינו דם הנפש</w:t>
      </w:r>
    </w:p>
    <w:p w14:paraId="760C00F5" w14:textId="77777777" w:rsidR="003D504D" w:rsidRDefault="003D504D" w:rsidP="005077A7">
      <w:pPr>
        <w:pStyle w:val="a"/>
        <w:rPr>
          <w:rFonts w:eastAsiaTheme="minorEastAsia" w:cstheme="minorBidi"/>
          <w:sz w:val="22"/>
          <w:szCs w:val="22"/>
          <w:rtl/>
        </w:rPr>
      </w:pPr>
      <w:r>
        <w:rPr>
          <w:rtl/>
        </w:rPr>
        <w:t>דברי הרמב"ן דלרבנן דדם התמצית בלאו בין לריו"ח ובין לר"ל הדם אסור בלאו וכן מוכח בתוספתא</w:t>
      </w:r>
    </w:p>
    <w:p w14:paraId="458DAD9E" w14:textId="77777777" w:rsidR="003D504D" w:rsidRDefault="003D504D" w:rsidP="003D504D">
      <w:pPr>
        <w:pStyle w:val="aff4"/>
        <w:rPr>
          <w:rFonts w:eastAsiaTheme="minorEastAsia" w:cstheme="minorBidi"/>
          <w:i/>
          <w:iCs/>
          <w:noProof/>
          <w:sz w:val="22"/>
          <w:szCs w:val="22"/>
          <w:rtl/>
        </w:rPr>
      </w:pPr>
      <w:bookmarkStart w:id="25106" w:name="_Toc19436399"/>
      <w:bookmarkStart w:id="25107" w:name="_Toc20081524"/>
      <w:r>
        <w:rPr>
          <w:noProof/>
          <w:rtl/>
        </w:rPr>
        <w:t>דברי רבינו גרשום דלר"ל אליבא דר"י דמו אסור רק מדרבנן</w:t>
      </w:r>
      <w:bookmarkEnd w:id="25106"/>
      <w:bookmarkEnd w:id="25107"/>
    </w:p>
    <w:p w14:paraId="674A4E8D" w14:textId="77777777" w:rsidR="003D504D" w:rsidRDefault="003D504D" w:rsidP="005077A7">
      <w:pPr>
        <w:pStyle w:val="a"/>
        <w:rPr>
          <w:rFonts w:eastAsiaTheme="minorEastAsia" w:cstheme="minorBidi"/>
          <w:sz w:val="22"/>
          <w:szCs w:val="22"/>
          <w:rtl/>
        </w:rPr>
      </w:pPr>
      <w:r>
        <w:rPr>
          <w:rtl/>
        </w:rPr>
        <w:t>דברי רבינו גרשום דלמסקנא ר"ל אינו מתיר את הדם לגמרי והוא אסור מדרבנן</w:t>
      </w:r>
    </w:p>
    <w:p w14:paraId="28B4745B" w14:textId="77777777" w:rsidR="003D504D" w:rsidRDefault="003D504D" w:rsidP="003D504D">
      <w:pPr>
        <w:pStyle w:val="2"/>
        <w:rPr>
          <w:rFonts w:eastAsiaTheme="minorEastAsia" w:cstheme="minorBidi"/>
          <w:i/>
          <w:iCs/>
          <w:noProof/>
          <w:sz w:val="22"/>
          <w:szCs w:val="22"/>
          <w:rtl/>
        </w:rPr>
      </w:pPr>
      <w:bookmarkStart w:id="25108" w:name="_Toc19436400"/>
      <w:r>
        <w:rPr>
          <w:noProof/>
          <w:rtl/>
        </w:rPr>
        <w:t>ביאורי ראשי הישיבות על הסוגיא</w:t>
      </w:r>
      <w:bookmarkEnd w:id="25108"/>
    </w:p>
    <w:p w14:paraId="2DE08793" w14:textId="77777777" w:rsidR="003D504D" w:rsidRDefault="003D504D" w:rsidP="003D504D">
      <w:pPr>
        <w:pStyle w:val="2"/>
        <w:rPr>
          <w:rFonts w:eastAsiaTheme="minorEastAsia" w:cstheme="minorBidi"/>
          <w:i/>
          <w:iCs/>
          <w:noProof/>
          <w:sz w:val="22"/>
          <w:szCs w:val="22"/>
          <w:rtl/>
        </w:rPr>
      </w:pPr>
      <w:bookmarkStart w:id="25109" w:name="_Toc19436401"/>
      <w:r>
        <w:rPr>
          <w:noProof/>
          <w:rtl/>
        </w:rPr>
        <w:t>בביאור דברי הר"ן בפלוגתת ריו"ח ור"ל</w:t>
      </w:r>
      <w:bookmarkEnd w:id="25109"/>
    </w:p>
    <w:p w14:paraId="19BDD4F1" w14:textId="77777777" w:rsidR="003D504D" w:rsidRDefault="003D504D" w:rsidP="003D504D">
      <w:pPr>
        <w:pStyle w:val="aff4"/>
        <w:rPr>
          <w:rFonts w:eastAsiaTheme="minorEastAsia" w:cstheme="minorBidi"/>
          <w:i/>
          <w:iCs/>
          <w:noProof/>
          <w:sz w:val="22"/>
          <w:szCs w:val="22"/>
          <w:rtl/>
        </w:rPr>
      </w:pPr>
      <w:bookmarkStart w:id="25110" w:name="_Toc19436402"/>
      <w:bookmarkStart w:id="25111" w:name="_Toc20081525"/>
      <w:r>
        <w:rPr>
          <w:noProof/>
          <w:rtl/>
        </w:rPr>
        <w:t>ספק הגרש"ר בחיוב הדם בבן ח' לדעת הר"ן</w:t>
      </w:r>
      <w:bookmarkEnd w:id="25110"/>
      <w:bookmarkEnd w:id="25111"/>
    </w:p>
    <w:p w14:paraId="229EE06B" w14:textId="77777777" w:rsidR="003D504D" w:rsidRDefault="003D504D" w:rsidP="005077A7">
      <w:pPr>
        <w:pStyle w:val="a"/>
        <w:rPr>
          <w:rFonts w:eastAsiaTheme="minorEastAsia" w:cstheme="minorBidi"/>
          <w:sz w:val="22"/>
          <w:szCs w:val="22"/>
          <w:rtl/>
        </w:rPr>
      </w:pPr>
      <w:r>
        <w:rPr>
          <w:rtl/>
        </w:rPr>
        <w:t>ביאור הגרש"ר בר"ן דלריו"ח אף שיש לשליל דם הנפש מותר מכל בבהמה והדם אסור דהוא משקה</w:t>
      </w:r>
    </w:p>
    <w:p w14:paraId="44142B8F" w14:textId="77777777" w:rsidR="003D504D" w:rsidRDefault="003D504D" w:rsidP="005077A7">
      <w:pPr>
        <w:pStyle w:val="a"/>
        <w:rPr>
          <w:rFonts w:eastAsiaTheme="minorEastAsia" w:cstheme="minorBidi"/>
          <w:sz w:val="22"/>
          <w:szCs w:val="22"/>
          <w:rtl/>
        </w:rPr>
      </w:pPr>
      <w:r>
        <w:rPr>
          <w:rtl/>
        </w:rPr>
        <w:t>דברי הגרש"ר דבבן ח' לריו"ח אפש"ל דאין חיוב בדמו דאינו בהמה בפנ"ע [אעפ"י דבדם אין דין שור]</w:t>
      </w:r>
    </w:p>
    <w:p w14:paraId="54D7D9C0" w14:textId="77777777" w:rsidR="003D504D" w:rsidRDefault="003D504D" w:rsidP="005077A7">
      <w:pPr>
        <w:pStyle w:val="a"/>
        <w:rPr>
          <w:rFonts w:eastAsiaTheme="minorEastAsia" w:cstheme="minorBidi"/>
          <w:sz w:val="22"/>
          <w:szCs w:val="22"/>
          <w:rtl/>
        </w:rPr>
      </w:pPr>
      <w:r>
        <w:rPr>
          <w:rtl/>
        </w:rPr>
        <w:t>דחיית הגרש"ר דברש"י וברמב"ם מבואר דריו"ח מחייב כרת אף בדמו של בן ח'</w:t>
      </w:r>
    </w:p>
    <w:p w14:paraId="77C97B8E" w14:textId="77777777" w:rsidR="003D504D" w:rsidRDefault="003D504D" w:rsidP="003D504D">
      <w:pPr>
        <w:pStyle w:val="aff4"/>
        <w:rPr>
          <w:rFonts w:eastAsiaTheme="minorEastAsia" w:cstheme="minorBidi"/>
          <w:i/>
          <w:iCs/>
          <w:noProof/>
          <w:sz w:val="22"/>
          <w:szCs w:val="22"/>
          <w:rtl/>
        </w:rPr>
      </w:pPr>
      <w:bookmarkStart w:id="25112" w:name="_Toc19436403"/>
      <w:bookmarkStart w:id="25113" w:name="_Toc20081526"/>
      <w:r>
        <w:rPr>
          <w:noProof/>
          <w:rtl/>
        </w:rPr>
        <w:t>ספק הגרש"ר בסברת ר"ל בהו"א לדעת הר"ן</w:t>
      </w:r>
      <w:bookmarkEnd w:id="25112"/>
      <w:bookmarkEnd w:id="25113"/>
    </w:p>
    <w:p w14:paraId="0795EA81" w14:textId="77777777" w:rsidR="003D504D" w:rsidRDefault="003D504D" w:rsidP="005077A7">
      <w:pPr>
        <w:pStyle w:val="a"/>
        <w:rPr>
          <w:rFonts w:eastAsiaTheme="minorEastAsia" w:cstheme="minorBidi"/>
          <w:sz w:val="22"/>
          <w:szCs w:val="22"/>
          <w:rtl/>
        </w:rPr>
      </w:pPr>
      <w:r>
        <w:rPr>
          <w:rtl/>
        </w:rPr>
        <w:t>דברי הגרש"ר דלהו"א לר"ל א"צ היתר מיוחד לדם ואף להר"ן הדם מותר מדין "כל בבהמה"</w:t>
      </w:r>
    </w:p>
    <w:p w14:paraId="1D520A57" w14:textId="77777777" w:rsidR="003D504D" w:rsidRDefault="003D504D" w:rsidP="005077A7">
      <w:pPr>
        <w:pStyle w:val="a"/>
        <w:rPr>
          <w:rFonts w:eastAsiaTheme="minorEastAsia" w:cstheme="minorBidi"/>
          <w:sz w:val="22"/>
          <w:szCs w:val="22"/>
          <w:rtl/>
        </w:rPr>
      </w:pPr>
      <w:r>
        <w:rPr>
          <w:rtl/>
        </w:rPr>
        <w:t>דחיית הגרש"ר דאף בהו"א מודה ר"ל דדמו דבן ח' אסור דהא לר"ל אין חילוק בין בן ח' לבן ט'</w:t>
      </w:r>
    </w:p>
    <w:p w14:paraId="6F637D46" w14:textId="77777777" w:rsidR="003D504D" w:rsidRDefault="003D504D" w:rsidP="003D504D">
      <w:pPr>
        <w:pStyle w:val="aff4"/>
        <w:rPr>
          <w:rFonts w:eastAsiaTheme="minorEastAsia" w:cstheme="minorBidi"/>
          <w:i/>
          <w:iCs/>
          <w:noProof/>
          <w:sz w:val="22"/>
          <w:szCs w:val="22"/>
          <w:rtl/>
        </w:rPr>
      </w:pPr>
      <w:bookmarkStart w:id="25114" w:name="_Toc19436404"/>
      <w:bookmarkStart w:id="25115" w:name="_Toc20081527"/>
      <w:r>
        <w:rPr>
          <w:noProof/>
          <w:rtl/>
        </w:rPr>
        <w:t>ביאור הגרש"ר דבהו"א פליגי אי משקה בכלל "כל בבהמה"</w:t>
      </w:r>
      <w:bookmarkEnd w:id="25114"/>
      <w:bookmarkEnd w:id="25115"/>
    </w:p>
    <w:p w14:paraId="56C9E62E" w14:textId="77777777" w:rsidR="003D504D" w:rsidRDefault="003D504D" w:rsidP="005077A7">
      <w:pPr>
        <w:pStyle w:val="a"/>
        <w:rPr>
          <w:rFonts w:eastAsiaTheme="minorEastAsia" w:cstheme="minorBidi"/>
          <w:sz w:val="22"/>
          <w:szCs w:val="22"/>
          <w:rtl/>
        </w:rPr>
      </w:pPr>
      <w:r>
        <w:rPr>
          <w:rtl/>
        </w:rPr>
        <w:t>ביאור הגרש"ר דר"ל פליג על סברת הר"ן וס"ל דאף דהדם הוא משקה הוא בכלל "כל בבהמה"</w:t>
      </w:r>
    </w:p>
    <w:p w14:paraId="1A906760" w14:textId="77777777" w:rsidR="003D504D" w:rsidRDefault="003D504D" w:rsidP="005077A7">
      <w:pPr>
        <w:pStyle w:val="a"/>
        <w:rPr>
          <w:rFonts w:eastAsiaTheme="minorEastAsia" w:cstheme="minorBidi"/>
          <w:sz w:val="22"/>
          <w:szCs w:val="22"/>
          <w:rtl/>
        </w:rPr>
      </w:pPr>
      <w:r>
        <w:rPr>
          <w:rtl/>
        </w:rPr>
        <w:t>ביאור הגרש"ר בקושית ריו"ח מרישא דמתני' דמוכח דהדם אינו בכלל ההיתר</w:t>
      </w:r>
    </w:p>
    <w:p w14:paraId="30DAA099" w14:textId="77777777" w:rsidR="003D504D" w:rsidRDefault="003D504D" w:rsidP="005077A7">
      <w:pPr>
        <w:pStyle w:val="a"/>
        <w:rPr>
          <w:rFonts w:eastAsiaTheme="minorEastAsia" w:cstheme="minorBidi"/>
          <w:sz w:val="22"/>
          <w:szCs w:val="22"/>
          <w:rtl/>
        </w:rPr>
      </w:pPr>
      <w:r>
        <w:rPr>
          <w:rtl/>
        </w:rPr>
        <w:t>דברי הגרש"ר דלפי"ז א"א להוכיח מקושית ריו"ח דיש חיוב על דם של בן ח'</w:t>
      </w:r>
    </w:p>
    <w:p w14:paraId="4E4FD570" w14:textId="77777777" w:rsidR="003D504D" w:rsidRDefault="003D504D" w:rsidP="003D504D">
      <w:pPr>
        <w:pStyle w:val="aff4"/>
        <w:rPr>
          <w:rFonts w:eastAsiaTheme="minorEastAsia" w:cstheme="minorBidi"/>
          <w:i/>
          <w:iCs/>
          <w:noProof/>
          <w:sz w:val="22"/>
          <w:szCs w:val="22"/>
          <w:rtl/>
        </w:rPr>
      </w:pPr>
      <w:bookmarkStart w:id="25116" w:name="_Toc19436405"/>
      <w:bookmarkStart w:id="25117" w:name="_Toc20081528"/>
      <w:r>
        <w:rPr>
          <w:noProof/>
          <w:rtl/>
        </w:rPr>
        <w:t>ביאור הגרש"ר דלר"ן למסקנא פליגי בפלוגתתם בדין חלב</w:t>
      </w:r>
      <w:bookmarkEnd w:id="25116"/>
      <w:bookmarkEnd w:id="25117"/>
    </w:p>
    <w:p w14:paraId="67BC0AF1" w14:textId="77777777" w:rsidR="003D504D" w:rsidRDefault="003D504D" w:rsidP="005077A7">
      <w:pPr>
        <w:pStyle w:val="a"/>
        <w:rPr>
          <w:rFonts w:eastAsiaTheme="minorEastAsia" w:cstheme="minorBidi"/>
          <w:sz w:val="22"/>
          <w:szCs w:val="22"/>
          <w:rtl/>
        </w:rPr>
      </w:pPr>
      <w:r>
        <w:rPr>
          <w:rtl/>
        </w:rPr>
        <w:t>ביאור הגרש"ר בר"ן דלריו"ח דבחלב חדשים גרמי והוי בהמה בפנ"ע אף בדם הוי דם הנפש</w:t>
      </w:r>
    </w:p>
    <w:p w14:paraId="33FCB6EA" w14:textId="77777777" w:rsidR="003D504D" w:rsidRDefault="003D504D" w:rsidP="005077A7">
      <w:pPr>
        <w:pStyle w:val="a"/>
        <w:rPr>
          <w:rFonts w:eastAsiaTheme="minorEastAsia" w:cstheme="minorBidi"/>
          <w:sz w:val="22"/>
          <w:szCs w:val="22"/>
          <w:rtl/>
        </w:rPr>
      </w:pPr>
      <w:r>
        <w:rPr>
          <w:rtl/>
        </w:rPr>
        <w:t>ביאור הגרש"ר בר"ן דלר"ל דבחלב חדשים ואוירא דלידה גרמי אינו בהמה בפנ"ע ואין לו דם הנפש</w:t>
      </w:r>
    </w:p>
    <w:p w14:paraId="0101F00D" w14:textId="77777777" w:rsidR="003D504D" w:rsidRDefault="003D504D" w:rsidP="003D504D">
      <w:pPr>
        <w:pStyle w:val="aff4"/>
        <w:rPr>
          <w:rFonts w:eastAsiaTheme="minorEastAsia" w:cstheme="minorBidi"/>
          <w:i/>
          <w:iCs/>
          <w:noProof/>
          <w:sz w:val="22"/>
          <w:szCs w:val="22"/>
          <w:rtl/>
        </w:rPr>
      </w:pPr>
      <w:bookmarkStart w:id="25118" w:name="_Toc19436406"/>
      <w:bookmarkStart w:id="25119" w:name="_Toc20081529"/>
      <w:r>
        <w:rPr>
          <w:noProof/>
          <w:rtl/>
        </w:rPr>
        <w:t>מסקנת הגרש"ר דלריו"ח בן ח' אין בו דם הנפש דחדשים גרמי</w:t>
      </w:r>
      <w:bookmarkEnd w:id="25118"/>
      <w:bookmarkEnd w:id="25119"/>
    </w:p>
    <w:p w14:paraId="4262C950" w14:textId="77777777" w:rsidR="003D504D" w:rsidRDefault="003D504D" w:rsidP="005077A7">
      <w:pPr>
        <w:pStyle w:val="a"/>
        <w:rPr>
          <w:rFonts w:eastAsiaTheme="minorEastAsia" w:cstheme="minorBidi"/>
          <w:sz w:val="22"/>
          <w:szCs w:val="22"/>
          <w:rtl/>
        </w:rPr>
      </w:pPr>
      <w:r>
        <w:rPr>
          <w:rtl/>
        </w:rPr>
        <w:t>דברי הגרש"ר דלריו"ח דחדשים גרמי בן ח' אינו בהמה בפנ"ע ואין לו דם הנפש ולא חייב כרת</w:t>
      </w:r>
    </w:p>
    <w:p w14:paraId="62D1CA71" w14:textId="77777777" w:rsidR="003D504D" w:rsidRDefault="003D504D" w:rsidP="005077A7">
      <w:pPr>
        <w:pStyle w:val="a"/>
        <w:rPr>
          <w:rFonts w:eastAsiaTheme="minorEastAsia" w:cstheme="minorBidi"/>
          <w:sz w:val="22"/>
          <w:szCs w:val="22"/>
          <w:rtl/>
        </w:rPr>
      </w:pPr>
      <w:r>
        <w:rPr>
          <w:rtl/>
        </w:rPr>
        <w:t>תירוץ הגרש"ר על קושית הרמב"ן מהתוספתא דלהר"ן אפש"ל דהתוספתא היא בבן ח'</w:t>
      </w:r>
    </w:p>
    <w:p w14:paraId="25504830" w14:textId="77777777" w:rsidR="003D504D" w:rsidRDefault="003D504D" w:rsidP="003D504D">
      <w:pPr>
        <w:pStyle w:val="2"/>
        <w:rPr>
          <w:noProof/>
          <w:rtl/>
        </w:rPr>
      </w:pPr>
      <w:bookmarkStart w:id="25120" w:name="_Toc19436407"/>
      <w:r>
        <w:rPr>
          <w:rFonts w:hint="cs"/>
          <w:noProof/>
          <w:rtl/>
        </w:rPr>
        <w:t>בדעת הרא"ש דדמו נבלע בכל הגוף</w:t>
      </w:r>
      <w:bookmarkEnd w:id="25120"/>
    </w:p>
    <w:p w14:paraId="13EE2BF0" w14:textId="77777777" w:rsidR="003D504D" w:rsidRDefault="003D504D" w:rsidP="003D504D">
      <w:pPr>
        <w:pStyle w:val="aff4"/>
        <w:rPr>
          <w:rFonts w:eastAsiaTheme="minorEastAsia" w:cstheme="minorBidi"/>
          <w:i/>
          <w:iCs/>
          <w:noProof/>
          <w:sz w:val="22"/>
          <w:szCs w:val="22"/>
          <w:rtl/>
        </w:rPr>
      </w:pPr>
      <w:bookmarkStart w:id="25121" w:name="_Toc19436408"/>
      <w:bookmarkStart w:id="25122" w:name="_Toc20081530"/>
      <w:r>
        <w:rPr>
          <w:noProof/>
          <w:rtl/>
        </w:rPr>
        <w:t>קושית הגרש"ר על ביאור הרא"ש</w:t>
      </w:r>
      <w:bookmarkEnd w:id="25121"/>
      <w:bookmarkEnd w:id="25122"/>
    </w:p>
    <w:p w14:paraId="33184924" w14:textId="77777777" w:rsidR="003D504D" w:rsidRDefault="003D504D" w:rsidP="005077A7">
      <w:pPr>
        <w:pStyle w:val="a"/>
        <w:rPr>
          <w:rFonts w:eastAsiaTheme="minorEastAsia" w:cstheme="minorBidi"/>
          <w:sz w:val="22"/>
          <w:szCs w:val="22"/>
          <w:rtl/>
        </w:rPr>
      </w:pPr>
      <w:r>
        <w:rPr>
          <w:rtl/>
        </w:rPr>
        <w:t>ביאור הגרש"ר ברא"ש דלר"ל להו"א הדם בכלל ההיתר או דלא נאסר ולמסקנא חייב מדין אמו</w:t>
      </w:r>
    </w:p>
    <w:p w14:paraId="45BAB156" w14:textId="77777777" w:rsidR="003D504D" w:rsidRDefault="003D504D" w:rsidP="005077A7">
      <w:pPr>
        <w:pStyle w:val="a"/>
        <w:rPr>
          <w:rFonts w:eastAsiaTheme="minorEastAsia" w:cstheme="minorBidi"/>
          <w:sz w:val="22"/>
          <w:szCs w:val="22"/>
          <w:rtl/>
        </w:rPr>
      </w:pPr>
      <w:r>
        <w:rPr>
          <w:rtl/>
        </w:rPr>
        <w:t>קושית הגרש"ר דאי דמו הוא כדם אמו אמאי פטר ר"ל מכרת הא לאמו יש דם הנפש</w:t>
      </w:r>
    </w:p>
    <w:p w14:paraId="2632001E" w14:textId="77777777" w:rsidR="003D504D" w:rsidRDefault="003D504D" w:rsidP="005077A7">
      <w:pPr>
        <w:pStyle w:val="a"/>
        <w:rPr>
          <w:rFonts w:eastAsiaTheme="minorEastAsia" w:cstheme="minorBidi"/>
          <w:sz w:val="22"/>
          <w:szCs w:val="22"/>
          <w:rtl/>
        </w:rPr>
      </w:pPr>
      <w:r>
        <w:rPr>
          <w:rtl/>
        </w:rPr>
        <w:t>קושית הגרש"ר דדוחק לומר דאחר שנפרד מאמו חיובו הוא מדין דם אמו</w:t>
      </w:r>
    </w:p>
    <w:p w14:paraId="673B4A80" w14:textId="77777777" w:rsidR="003D504D" w:rsidRDefault="003D504D" w:rsidP="005077A7">
      <w:pPr>
        <w:pStyle w:val="a"/>
        <w:rPr>
          <w:rFonts w:eastAsiaTheme="minorEastAsia" w:cstheme="minorBidi"/>
          <w:sz w:val="22"/>
          <w:szCs w:val="22"/>
          <w:rtl/>
        </w:rPr>
      </w:pPr>
      <w:r>
        <w:rPr>
          <w:rtl/>
        </w:rPr>
        <w:t>דברי הגרש"ר דדוחק לומר דהרא"ש כרמב"ן וחיוב הכרת הוא לר"י ונחלקו אי חייב מדם נפש דאמו</w:t>
      </w:r>
    </w:p>
    <w:p w14:paraId="68A5F4E7" w14:textId="77777777" w:rsidR="003D504D" w:rsidRDefault="003D504D" w:rsidP="005077A7">
      <w:pPr>
        <w:pStyle w:val="a"/>
        <w:rPr>
          <w:rFonts w:eastAsiaTheme="minorEastAsia" w:cstheme="minorBidi"/>
          <w:sz w:val="22"/>
          <w:szCs w:val="22"/>
          <w:rtl/>
        </w:rPr>
      </w:pPr>
      <w:r>
        <w:rPr>
          <w:rtl/>
        </w:rPr>
        <w:t>דברי הגרש"ר דא"כ מוכח כדברי הר"ן דלר"ל למסקנא אין בשליל דם הנפש</w:t>
      </w:r>
    </w:p>
    <w:p w14:paraId="41B12B0B" w14:textId="77777777" w:rsidR="003D504D" w:rsidRDefault="003D504D" w:rsidP="003D504D">
      <w:pPr>
        <w:pStyle w:val="aff4"/>
        <w:rPr>
          <w:rFonts w:eastAsiaTheme="minorEastAsia" w:cstheme="minorBidi"/>
          <w:i/>
          <w:iCs/>
          <w:noProof/>
          <w:sz w:val="22"/>
          <w:szCs w:val="22"/>
          <w:rtl/>
        </w:rPr>
      </w:pPr>
      <w:bookmarkStart w:id="25123" w:name="_Toc19436409"/>
      <w:bookmarkStart w:id="25124" w:name="_Toc20081531"/>
      <w:r>
        <w:rPr>
          <w:noProof/>
          <w:rtl/>
        </w:rPr>
        <w:t>ביאור הגרש"ר ברא"ש דכל בבהמה נאמר בכל ולד בחיי אמו</w:t>
      </w:r>
      <w:bookmarkEnd w:id="25123"/>
      <w:bookmarkEnd w:id="25124"/>
    </w:p>
    <w:p w14:paraId="44CD18C4" w14:textId="77777777" w:rsidR="003D504D" w:rsidRDefault="003D504D" w:rsidP="005077A7">
      <w:pPr>
        <w:pStyle w:val="a"/>
        <w:rPr>
          <w:rFonts w:eastAsiaTheme="minorEastAsia" w:cstheme="minorBidi"/>
          <w:sz w:val="22"/>
          <w:szCs w:val="22"/>
          <w:rtl/>
        </w:rPr>
      </w:pPr>
      <w:r>
        <w:rPr>
          <w:rtl/>
        </w:rPr>
        <w:t>דברי הגרש"ר דדין "כל בבהמה" אינו רק בשחיטה אלא בכל ולד במעי אמו דחשיב כאבר דאמו</w:t>
      </w:r>
    </w:p>
    <w:p w14:paraId="0B3BF3E5" w14:textId="77777777" w:rsidR="003D504D" w:rsidRDefault="003D504D" w:rsidP="005077A7">
      <w:pPr>
        <w:pStyle w:val="a"/>
        <w:rPr>
          <w:rFonts w:eastAsiaTheme="minorEastAsia" w:cstheme="minorBidi"/>
          <w:sz w:val="22"/>
          <w:szCs w:val="22"/>
          <w:rtl/>
        </w:rPr>
      </w:pPr>
      <w:r>
        <w:rPr>
          <w:rtl/>
        </w:rPr>
        <w:t>ביאור הגרש"ר ברא"ש  דחיוב הדם מחמת עצמו אלא דאין בו היתר "כל בבהמה" דהוא כאבר דאמו</w:t>
      </w:r>
    </w:p>
    <w:p w14:paraId="16083FC2" w14:textId="77777777" w:rsidR="003D504D" w:rsidRDefault="003D504D" w:rsidP="005077A7">
      <w:pPr>
        <w:pStyle w:val="a"/>
        <w:rPr>
          <w:rFonts w:eastAsiaTheme="minorEastAsia" w:cstheme="minorBidi"/>
          <w:sz w:val="22"/>
          <w:szCs w:val="22"/>
          <w:rtl/>
        </w:rPr>
      </w:pPr>
      <w:r>
        <w:rPr>
          <w:rtl/>
        </w:rPr>
        <w:t>ביאור הגרש"ר דהוקשה להרא"ש דאיסור הדם לא יחול מעיקרא וע"ז תירץ דחייב מדין האם</w:t>
      </w:r>
    </w:p>
    <w:p w14:paraId="5582A55B" w14:textId="77777777" w:rsidR="003D504D" w:rsidRDefault="003D504D" w:rsidP="003D504D">
      <w:pPr>
        <w:pStyle w:val="aff4"/>
        <w:rPr>
          <w:rFonts w:eastAsiaTheme="minorEastAsia" w:cstheme="minorBidi"/>
          <w:i/>
          <w:iCs/>
          <w:noProof/>
          <w:sz w:val="22"/>
          <w:szCs w:val="22"/>
          <w:rtl/>
        </w:rPr>
      </w:pPr>
      <w:bookmarkStart w:id="25125" w:name="_Toc19436410"/>
      <w:bookmarkStart w:id="25126" w:name="_Toc20081532"/>
      <w:r>
        <w:rPr>
          <w:noProof/>
          <w:rtl/>
        </w:rPr>
        <w:t>ביאור הגרש"ר דנח' ריו"ח ור"ל בחלות דם הנפש והתמצית</w:t>
      </w:r>
      <w:bookmarkEnd w:id="25125"/>
      <w:bookmarkEnd w:id="25126"/>
    </w:p>
    <w:p w14:paraId="100E7086" w14:textId="77777777" w:rsidR="003D504D" w:rsidRDefault="003D504D" w:rsidP="005077A7">
      <w:pPr>
        <w:pStyle w:val="a"/>
        <w:rPr>
          <w:rFonts w:eastAsiaTheme="minorEastAsia" w:cstheme="minorBidi"/>
          <w:sz w:val="22"/>
          <w:szCs w:val="22"/>
          <w:rtl/>
        </w:rPr>
      </w:pPr>
      <w:r>
        <w:rPr>
          <w:rtl/>
        </w:rPr>
        <w:t>ביאור הגרש"ר בר"ל דכל בבהמה מתיר רק דם הנפש ולא את לאו דדם התמצית דהוא איסור בפנ"ע</w:t>
      </w:r>
    </w:p>
    <w:p w14:paraId="14FF7DB4" w14:textId="77777777" w:rsidR="003D504D" w:rsidRDefault="003D504D" w:rsidP="005077A7">
      <w:pPr>
        <w:pStyle w:val="a"/>
        <w:rPr>
          <w:rFonts w:eastAsiaTheme="minorEastAsia" w:cstheme="minorBidi"/>
          <w:sz w:val="22"/>
          <w:szCs w:val="22"/>
          <w:rtl/>
        </w:rPr>
      </w:pPr>
      <w:r>
        <w:rPr>
          <w:rtl/>
        </w:rPr>
        <w:t>ביאור הגרש"ר דלריו"ח דם התמצית הוא אותו חלות דדם הנפש וההיתר נאמר בשניהם</w:t>
      </w:r>
    </w:p>
    <w:p w14:paraId="28861EA2" w14:textId="77777777" w:rsidR="003D504D" w:rsidRDefault="003D504D" w:rsidP="003D504D">
      <w:pPr>
        <w:pStyle w:val="2"/>
        <w:rPr>
          <w:rFonts w:eastAsiaTheme="minorEastAsia" w:cstheme="minorBidi"/>
          <w:i/>
          <w:iCs/>
          <w:noProof/>
          <w:sz w:val="22"/>
          <w:szCs w:val="22"/>
          <w:rtl/>
        </w:rPr>
      </w:pPr>
      <w:bookmarkStart w:id="25127" w:name="_Toc19436411"/>
      <w:r>
        <w:rPr>
          <w:noProof/>
          <w:rtl/>
        </w:rPr>
        <w:t>מראי מקומות וביאורים על הרמב"ם</w:t>
      </w:r>
      <w:bookmarkEnd w:id="25127"/>
    </w:p>
    <w:p w14:paraId="3C520831" w14:textId="77777777" w:rsidR="003D504D" w:rsidRDefault="003D504D" w:rsidP="003D504D">
      <w:pPr>
        <w:pStyle w:val="2"/>
        <w:rPr>
          <w:rFonts w:eastAsiaTheme="minorEastAsia" w:cstheme="minorBidi"/>
          <w:i/>
          <w:iCs/>
          <w:noProof/>
          <w:sz w:val="22"/>
          <w:szCs w:val="22"/>
          <w:rtl/>
        </w:rPr>
      </w:pPr>
      <w:bookmarkStart w:id="25128" w:name="_Toc19436412"/>
      <w:r>
        <w:rPr>
          <w:noProof/>
          <w:rtl/>
        </w:rPr>
        <w:t>בדעת הרמב"ם בחיוב כרת בדם הכנוס בלב</w:t>
      </w:r>
      <w:bookmarkEnd w:id="25128"/>
    </w:p>
    <w:p w14:paraId="32110363" w14:textId="77777777" w:rsidR="003D504D" w:rsidRDefault="003D504D" w:rsidP="003D504D">
      <w:pPr>
        <w:pStyle w:val="aff4"/>
        <w:rPr>
          <w:rFonts w:eastAsiaTheme="minorEastAsia" w:cstheme="minorBidi"/>
          <w:i/>
          <w:iCs/>
          <w:noProof/>
          <w:sz w:val="22"/>
          <w:szCs w:val="22"/>
          <w:rtl/>
        </w:rPr>
      </w:pPr>
      <w:bookmarkStart w:id="25129" w:name="_Toc19436413"/>
      <w:bookmarkStart w:id="25130" w:name="_Toc20081533"/>
      <w:r>
        <w:rPr>
          <w:noProof/>
          <w:rtl/>
        </w:rPr>
        <w:t>דברי הרמב"ם והראב"ד בחיוב לאו וכרת בדם השליל</w:t>
      </w:r>
      <w:bookmarkEnd w:id="25129"/>
      <w:bookmarkEnd w:id="25130"/>
    </w:p>
    <w:p w14:paraId="51BBC0A9" w14:textId="77777777" w:rsidR="003D504D" w:rsidRDefault="003D504D" w:rsidP="005077A7">
      <w:pPr>
        <w:pStyle w:val="a"/>
        <w:rPr>
          <w:rFonts w:eastAsiaTheme="minorEastAsia" w:cstheme="minorBidi"/>
          <w:sz w:val="22"/>
          <w:szCs w:val="22"/>
          <w:rtl/>
        </w:rPr>
      </w:pPr>
      <w:r>
        <w:rPr>
          <w:rtl/>
        </w:rPr>
        <w:t>דברי הרמב"ם דדם שליל כדם ילוד ודם הכנוס בלבו בכרת ושאר דמו כדם האיברים</w:t>
      </w:r>
    </w:p>
    <w:p w14:paraId="2ADAE91D" w14:textId="77777777" w:rsidR="003D504D" w:rsidRDefault="003D504D" w:rsidP="005077A7">
      <w:pPr>
        <w:pStyle w:val="a"/>
        <w:rPr>
          <w:rFonts w:eastAsiaTheme="minorEastAsia" w:cstheme="minorBidi"/>
          <w:sz w:val="22"/>
          <w:szCs w:val="22"/>
          <w:rtl/>
        </w:rPr>
      </w:pPr>
      <w:r>
        <w:rPr>
          <w:rtl/>
        </w:rPr>
        <w:t>דברי הרמב"ם דבלא כלו חדשיו חלבו מותר ובכלו חדשיו אף שמותר בשחיטת אמו חלבו אסור</w:t>
      </w:r>
    </w:p>
    <w:p w14:paraId="2B2DCF95" w14:textId="77777777" w:rsidR="003D504D" w:rsidRDefault="003D504D" w:rsidP="005077A7">
      <w:pPr>
        <w:pStyle w:val="a"/>
        <w:rPr>
          <w:rFonts w:eastAsiaTheme="minorEastAsia" w:cstheme="minorBidi"/>
          <w:sz w:val="22"/>
          <w:szCs w:val="22"/>
          <w:rtl/>
        </w:rPr>
      </w:pPr>
      <w:r>
        <w:rPr>
          <w:rtl/>
        </w:rPr>
        <w:t>השגת הראב"ד דכן הדין בדם השחיטה דהוא בא מן הריאה והכבד</w:t>
      </w:r>
    </w:p>
    <w:p w14:paraId="17815D00" w14:textId="77777777" w:rsidR="003D504D" w:rsidRDefault="003D504D" w:rsidP="005077A7">
      <w:pPr>
        <w:pStyle w:val="a"/>
        <w:rPr>
          <w:rFonts w:eastAsiaTheme="minorEastAsia" w:cstheme="minorBidi"/>
          <w:sz w:val="22"/>
          <w:szCs w:val="22"/>
          <w:rtl/>
        </w:rPr>
      </w:pPr>
      <w:r>
        <w:rPr>
          <w:rtl/>
        </w:rPr>
        <w:t>הביאור הא' במ"מ דהראב"ד פליג על הרמב"ם ומחייב כרת אף בדם השחיטה כדין כל בהמה</w:t>
      </w:r>
    </w:p>
    <w:p w14:paraId="58D9829E" w14:textId="77777777" w:rsidR="003D504D" w:rsidRDefault="003D504D" w:rsidP="005077A7">
      <w:pPr>
        <w:pStyle w:val="a"/>
        <w:rPr>
          <w:rFonts w:eastAsiaTheme="minorEastAsia" w:cstheme="minorBidi"/>
          <w:sz w:val="22"/>
          <w:szCs w:val="22"/>
          <w:rtl/>
        </w:rPr>
      </w:pPr>
      <w:r>
        <w:rPr>
          <w:rtl/>
        </w:rPr>
        <w:t>הביאור הב' במ"מ דהראב"ד מבאר את דברי הרמב"ם דדם השחיטה בלאו דהוא דם האיברים</w:t>
      </w:r>
    </w:p>
    <w:p w14:paraId="2B74DB64" w14:textId="77777777" w:rsidR="003D504D" w:rsidRDefault="003D504D" w:rsidP="005077A7">
      <w:pPr>
        <w:pStyle w:val="a"/>
        <w:rPr>
          <w:rFonts w:eastAsiaTheme="minorEastAsia" w:cstheme="minorBidi"/>
          <w:sz w:val="22"/>
          <w:szCs w:val="22"/>
          <w:rtl/>
        </w:rPr>
      </w:pPr>
      <w:r>
        <w:rPr>
          <w:rtl/>
        </w:rPr>
        <w:t>דברי הלח"מ בביאור הב' במ"מ דבשליל אין חיוב על דם שחיטתו דכל אבריו כשחוטים</w:t>
      </w:r>
    </w:p>
    <w:p w14:paraId="3D1145B3" w14:textId="77777777" w:rsidR="003D504D" w:rsidRDefault="003D504D" w:rsidP="003D504D">
      <w:pPr>
        <w:pStyle w:val="aff4"/>
        <w:rPr>
          <w:rFonts w:eastAsiaTheme="minorEastAsia" w:cstheme="minorBidi"/>
          <w:i/>
          <w:iCs/>
          <w:noProof/>
          <w:sz w:val="22"/>
          <w:szCs w:val="22"/>
          <w:rtl/>
        </w:rPr>
      </w:pPr>
      <w:bookmarkStart w:id="25131" w:name="_Toc19436414"/>
      <w:bookmarkStart w:id="25132" w:name="_Toc20081534"/>
      <w:r>
        <w:rPr>
          <w:noProof/>
          <w:rtl/>
        </w:rPr>
        <w:t>דברי המ"מ והש"ך בביאור דברי הרמב"ם</w:t>
      </w:r>
      <w:bookmarkEnd w:id="25131"/>
      <w:bookmarkEnd w:id="25132"/>
    </w:p>
    <w:p w14:paraId="5AABAA9C" w14:textId="77777777" w:rsidR="003D504D" w:rsidRDefault="003D504D" w:rsidP="005077A7">
      <w:pPr>
        <w:pStyle w:val="a"/>
        <w:rPr>
          <w:rFonts w:eastAsiaTheme="minorEastAsia" w:cstheme="minorBidi"/>
          <w:sz w:val="22"/>
          <w:szCs w:val="22"/>
          <w:rtl/>
        </w:rPr>
      </w:pPr>
      <w:r>
        <w:rPr>
          <w:rtl/>
        </w:rPr>
        <w:t>דברי הר"ן והמ"מ דהרמב"ם ביאר דריו"ח מחייב כרת כדמוכח מדפליג עליה ר"ל</w:t>
      </w:r>
    </w:p>
    <w:p w14:paraId="06BD0090" w14:textId="77777777" w:rsidR="003D504D" w:rsidRDefault="003D504D" w:rsidP="005077A7">
      <w:pPr>
        <w:pStyle w:val="a"/>
        <w:rPr>
          <w:rFonts w:eastAsiaTheme="minorEastAsia" w:cstheme="minorBidi"/>
          <w:sz w:val="22"/>
          <w:szCs w:val="22"/>
          <w:rtl/>
        </w:rPr>
      </w:pPr>
      <w:r>
        <w:rPr>
          <w:rtl/>
        </w:rPr>
        <w:t>ביאור המ"מ דחיוב הכרת הוא רק בדם הלב דאינו טעון שחיטה ושאר דמו כדם האיברים</w:t>
      </w:r>
    </w:p>
    <w:p w14:paraId="1BCB3848" w14:textId="77777777" w:rsidR="003D504D" w:rsidRDefault="003D504D" w:rsidP="005077A7">
      <w:pPr>
        <w:pStyle w:val="a"/>
        <w:rPr>
          <w:rFonts w:eastAsiaTheme="minorEastAsia" w:cstheme="minorBidi"/>
          <w:sz w:val="22"/>
          <w:szCs w:val="22"/>
          <w:rtl/>
        </w:rPr>
      </w:pPr>
      <w:r>
        <w:rPr>
          <w:rtl/>
        </w:rPr>
        <w:t>דברי הש"ך דמשמע במ"מ דלריו"ח שאר דמו אינו בלאו ודם השחיטה כדם האיברים</w:t>
      </w:r>
    </w:p>
    <w:p w14:paraId="5E3ADCD3" w14:textId="77777777" w:rsidR="003D504D" w:rsidRDefault="003D504D" w:rsidP="005077A7">
      <w:pPr>
        <w:pStyle w:val="a"/>
        <w:rPr>
          <w:rFonts w:eastAsiaTheme="minorEastAsia" w:cstheme="minorBidi"/>
          <w:sz w:val="22"/>
          <w:szCs w:val="22"/>
          <w:rtl/>
        </w:rPr>
      </w:pPr>
      <w:r>
        <w:rPr>
          <w:rtl/>
        </w:rPr>
        <w:t>דברי הש"ך דלהרמב"ם דמו ככל ילוד ודם לבו בכרת ודם האיברים בלאו</w:t>
      </w:r>
    </w:p>
    <w:p w14:paraId="13366D1C" w14:textId="77777777" w:rsidR="003D504D" w:rsidRDefault="003D504D" w:rsidP="005077A7">
      <w:pPr>
        <w:pStyle w:val="a"/>
        <w:rPr>
          <w:rFonts w:eastAsiaTheme="minorEastAsia" w:cstheme="minorBidi"/>
          <w:sz w:val="22"/>
          <w:szCs w:val="22"/>
          <w:rtl/>
        </w:rPr>
      </w:pPr>
      <w:r>
        <w:rPr>
          <w:rtl/>
        </w:rPr>
        <w:t>ביאור הר"י ששפורטש בתשב"ץ דדם השחיטה היה לו הכשר באיברים ודם הלב לא היה לו הכשר</w:t>
      </w:r>
    </w:p>
    <w:p w14:paraId="2A049893" w14:textId="77777777" w:rsidR="003D504D" w:rsidRDefault="003D504D" w:rsidP="003D504D">
      <w:pPr>
        <w:pStyle w:val="aff4"/>
        <w:rPr>
          <w:rFonts w:eastAsiaTheme="minorEastAsia" w:cstheme="minorBidi"/>
          <w:i/>
          <w:iCs/>
          <w:noProof/>
          <w:sz w:val="22"/>
          <w:szCs w:val="22"/>
          <w:rtl/>
        </w:rPr>
      </w:pPr>
      <w:bookmarkStart w:id="25133" w:name="_Toc19436415"/>
      <w:bookmarkStart w:id="25134" w:name="_Toc20081535"/>
      <w:r>
        <w:rPr>
          <w:noProof/>
          <w:rtl/>
        </w:rPr>
        <w:t>ביאור הלח"מ בדעת ר"ל ובחיוב כרת בדם בן ח'</w:t>
      </w:r>
      <w:bookmarkEnd w:id="25133"/>
      <w:bookmarkEnd w:id="25134"/>
    </w:p>
    <w:p w14:paraId="0D5E0B3C" w14:textId="77777777" w:rsidR="003D504D" w:rsidRDefault="003D504D" w:rsidP="005077A7">
      <w:pPr>
        <w:pStyle w:val="a"/>
        <w:rPr>
          <w:rFonts w:eastAsiaTheme="minorEastAsia" w:cstheme="minorBidi"/>
          <w:sz w:val="22"/>
          <w:szCs w:val="22"/>
          <w:rtl/>
        </w:rPr>
      </w:pPr>
      <w:r>
        <w:rPr>
          <w:rtl/>
        </w:rPr>
        <w:t>קושית הלח"מ על המ"מ דלהרמב"ם דמחייב כרת בחלב אף לר"ל יש כרת בדם</w:t>
      </w:r>
    </w:p>
    <w:p w14:paraId="6BE1A960" w14:textId="77777777" w:rsidR="003D504D" w:rsidRDefault="003D504D" w:rsidP="005077A7">
      <w:pPr>
        <w:pStyle w:val="a"/>
        <w:rPr>
          <w:rFonts w:eastAsiaTheme="minorEastAsia" w:cstheme="minorBidi"/>
          <w:sz w:val="22"/>
          <w:szCs w:val="22"/>
          <w:rtl/>
        </w:rPr>
      </w:pPr>
      <w:r>
        <w:rPr>
          <w:rtl/>
        </w:rPr>
        <w:t>תירוץ הלח"מ דלהרמב"ם בדם חייב כרת אף בבן ח' וחלב בן ט' מותר ומוכח דלר"ל הדם אינו בכרת</w:t>
      </w:r>
    </w:p>
    <w:p w14:paraId="4B2BCB00" w14:textId="77777777" w:rsidR="003D504D" w:rsidRDefault="003D504D" w:rsidP="005077A7">
      <w:pPr>
        <w:pStyle w:val="a"/>
        <w:rPr>
          <w:rFonts w:eastAsiaTheme="minorEastAsia" w:cstheme="minorBidi"/>
          <w:sz w:val="22"/>
          <w:szCs w:val="22"/>
          <w:rtl/>
        </w:rPr>
      </w:pPr>
      <w:r>
        <w:rPr>
          <w:rtl/>
        </w:rPr>
        <w:t>דברי הלח"מ דמקושית ריו"ח על ר"ל ממתני' מוכח דלריו"ח חייב כרת אף בדם בן ח'</w:t>
      </w:r>
    </w:p>
    <w:p w14:paraId="6A17940B" w14:textId="77777777" w:rsidR="003D504D" w:rsidRDefault="003D504D" w:rsidP="005077A7">
      <w:pPr>
        <w:pStyle w:val="a"/>
        <w:rPr>
          <w:rFonts w:eastAsiaTheme="minorEastAsia" w:cstheme="minorBidi"/>
          <w:sz w:val="22"/>
          <w:szCs w:val="22"/>
          <w:rtl/>
        </w:rPr>
      </w:pPr>
      <w:r>
        <w:rPr>
          <w:rtl/>
        </w:rPr>
        <w:t>קושית הלח"מ דאפש"ל דהמשנה אוסרת רק בדם הלב ור"ל התיר בדם שאר האיברים</w:t>
      </w:r>
    </w:p>
    <w:p w14:paraId="25974A0E" w14:textId="77777777" w:rsidR="003D504D" w:rsidRDefault="003D504D" w:rsidP="005077A7">
      <w:pPr>
        <w:pStyle w:val="a"/>
        <w:rPr>
          <w:rFonts w:eastAsiaTheme="minorEastAsia" w:cstheme="minorBidi"/>
          <w:sz w:val="22"/>
          <w:szCs w:val="22"/>
          <w:rtl/>
        </w:rPr>
      </w:pPr>
      <w:r>
        <w:rPr>
          <w:rtl/>
        </w:rPr>
        <w:t>תירוץ הלח"מ דבמתני' משמע דמוציא את כל דמו וכן בקושית ריו"ח אין חילוק בין אברים ללב</w:t>
      </w:r>
    </w:p>
    <w:p w14:paraId="3800CFAE" w14:textId="77777777" w:rsidR="003D504D" w:rsidRDefault="003D504D" w:rsidP="005077A7">
      <w:pPr>
        <w:pStyle w:val="a"/>
        <w:rPr>
          <w:rFonts w:eastAsiaTheme="minorEastAsia" w:cstheme="minorBidi"/>
          <w:sz w:val="22"/>
          <w:szCs w:val="22"/>
          <w:rtl/>
        </w:rPr>
      </w:pPr>
      <w:r>
        <w:rPr>
          <w:rtl/>
        </w:rPr>
        <w:t>ביאור הלח"מ דלתירוץ ר"ל דאין לו דם הנפש מבואר דלר"ל אין חיוב כרת והרמב"ם פסק כריו"ח</w:t>
      </w:r>
    </w:p>
    <w:p w14:paraId="122C22D3" w14:textId="77777777" w:rsidR="003D504D" w:rsidRDefault="003D504D" w:rsidP="003D504D">
      <w:pPr>
        <w:pStyle w:val="aff4"/>
        <w:rPr>
          <w:rFonts w:eastAsiaTheme="minorEastAsia" w:cstheme="minorBidi"/>
          <w:i/>
          <w:iCs/>
          <w:noProof/>
          <w:sz w:val="22"/>
          <w:szCs w:val="22"/>
          <w:rtl/>
        </w:rPr>
      </w:pPr>
      <w:bookmarkStart w:id="25135" w:name="_Toc19436416"/>
      <w:bookmarkStart w:id="25136" w:name="_Toc20081536"/>
      <w:r>
        <w:rPr>
          <w:noProof/>
          <w:rtl/>
        </w:rPr>
        <w:t>דברי המנח"ח בחיוב כרת בדם הנפש בנפל שלא נשחטה אמו</w:t>
      </w:r>
      <w:bookmarkEnd w:id="25135"/>
      <w:bookmarkEnd w:id="25136"/>
    </w:p>
    <w:p w14:paraId="4240BF9C" w14:textId="77777777" w:rsidR="003D504D" w:rsidRDefault="003D504D" w:rsidP="005077A7">
      <w:pPr>
        <w:pStyle w:val="a"/>
        <w:rPr>
          <w:rFonts w:eastAsiaTheme="minorEastAsia" w:cstheme="minorBidi"/>
          <w:sz w:val="22"/>
          <w:szCs w:val="22"/>
          <w:rtl/>
        </w:rPr>
      </w:pPr>
      <w:r>
        <w:rPr>
          <w:rtl/>
        </w:rPr>
        <w:t>דברי המנח"ח דלהלח"מ דאין כרת בשליל דאיבריו כשחוטים משמע דבנפל יש חיוב כרת בדם לבו</w:t>
      </w:r>
    </w:p>
    <w:p w14:paraId="49039E09" w14:textId="77777777" w:rsidR="003D504D" w:rsidRDefault="003D504D" w:rsidP="005077A7">
      <w:pPr>
        <w:pStyle w:val="a"/>
        <w:rPr>
          <w:rFonts w:eastAsiaTheme="minorEastAsia" w:cstheme="minorBidi"/>
          <w:sz w:val="22"/>
          <w:szCs w:val="22"/>
          <w:rtl/>
        </w:rPr>
      </w:pPr>
      <w:r>
        <w:rPr>
          <w:rtl/>
        </w:rPr>
        <w:t>ספק המנח"ח ברמב"ם בהפילה בן ח' חי אי דם שחיטתו כדם הנפש דהא לא נשחטה אמו</w:t>
      </w:r>
    </w:p>
    <w:p w14:paraId="2AD29B5C" w14:textId="77777777" w:rsidR="003D504D" w:rsidRDefault="003D504D" w:rsidP="005077A7">
      <w:pPr>
        <w:pStyle w:val="a"/>
        <w:rPr>
          <w:rFonts w:eastAsiaTheme="minorEastAsia" w:cstheme="minorBidi"/>
          <w:sz w:val="22"/>
          <w:szCs w:val="22"/>
          <w:rtl/>
        </w:rPr>
      </w:pPr>
      <w:r>
        <w:rPr>
          <w:rtl/>
        </w:rPr>
        <w:t>דברי המנח"ח דלביאור הא' במ"מ בראב"ד ולרמב"ן יש חיוב כרת בדם הנפל כיון לא נשחטה אמו</w:t>
      </w:r>
    </w:p>
    <w:p w14:paraId="6C9ED4F6" w14:textId="77777777" w:rsidR="003D504D" w:rsidRDefault="003D504D" w:rsidP="003D504D">
      <w:pPr>
        <w:pStyle w:val="2"/>
        <w:rPr>
          <w:rFonts w:eastAsiaTheme="minorEastAsia" w:cstheme="minorBidi"/>
          <w:i/>
          <w:iCs/>
          <w:noProof/>
          <w:sz w:val="22"/>
          <w:szCs w:val="22"/>
          <w:rtl/>
        </w:rPr>
      </w:pPr>
      <w:bookmarkStart w:id="25137" w:name="_Toc19436417"/>
      <w:r>
        <w:rPr>
          <w:noProof/>
          <w:rtl/>
        </w:rPr>
        <w:t>ביאורי ראשי הישיבות על הרמב"ם</w:t>
      </w:r>
      <w:bookmarkEnd w:id="25137"/>
    </w:p>
    <w:p w14:paraId="245CD895" w14:textId="77777777" w:rsidR="003D504D" w:rsidRDefault="003D504D" w:rsidP="003D504D">
      <w:pPr>
        <w:pStyle w:val="2"/>
        <w:rPr>
          <w:rFonts w:eastAsiaTheme="minorEastAsia" w:cstheme="minorBidi"/>
          <w:i/>
          <w:iCs/>
          <w:noProof/>
          <w:sz w:val="22"/>
          <w:szCs w:val="22"/>
          <w:rtl/>
        </w:rPr>
      </w:pPr>
      <w:bookmarkStart w:id="25138" w:name="_Toc19436418"/>
      <w:r>
        <w:rPr>
          <w:noProof/>
          <w:rtl/>
        </w:rPr>
        <w:t>בדעת הרמב"ם בחיוב כרת בדם השליל</w:t>
      </w:r>
      <w:bookmarkEnd w:id="25138"/>
    </w:p>
    <w:p w14:paraId="18ED7F4F" w14:textId="77777777" w:rsidR="003D504D" w:rsidRDefault="003D504D" w:rsidP="003D504D">
      <w:pPr>
        <w:pStyle w:val="aff4"/>
        <w:rPr>
          <w:rFonts w:eastAsiaTheme="minorEastAsia" w:cstheme="minorBidi"/>
          <w:i/>
          <w:iCs/>
          <w:noProof/>
          <w:sz w:val="22"/>
          <w:szCs w:val="22"/>
          <w:rtl/>
        </w:rPr>
      </w:pPr>
      <w:bookmarkStart w:id="25139" w:name="_Toc19436419"/>
      <w:bookmarkStart w:id="25140" w:name="_Toc20081537"/>
      <w:r>
        <w:rPr>
          <w:noProof/>
          <w:rtl/>
        </w:rPr>
        <w:t>ביאור הגרש"ר בדעת הרמב"ם</w:t>
      </w:r>
      <w:bookmarkEnd w:id="25139"/>
      <w:bookmarkEnd w:id="25140"/>
    </w:p>
    <w:p w14:paraId="6A39AF7F" w14:textId="77777777" w:rsidR="003D504D" w:rsidRDefault="003D504D" w:rsidP="005077A7">
      <w:pPr>
        <w:pStyle w:val="a"/>
        <w:rPr>
          <w:rFonts w:eastAsiaTheme="minorEastAsia" w:cstheme="minorBidi"/>
          <w:sz w:val="22"/>
          <w:szCs w:val="22"/>
          <w:rtl/>
        </w:rPr>
      </w:pPr>
      <w:r>
        <w:rPr>
          <w:rtl/>
        </w:rPr>
        <w:t>דברי הגרש"ר דלהרמב"ם חייב כרת על הדם אף בבבן ח' דיש לו דם הנפש אף דאין לו שם שור</w:t>
      </w:r>
    </w:p>
    <w:p w14:paraId="420E8503" w14:textId="77777777" w:rsidR="003D504D" w:rsidRDefault="003D504D" w:rsidP="005077A7">
      <w:pPr>
        <w:pStyle w:val="a"/>
        <w:rPr>
          <w:rFonts w:eastAsiaTheme="minorEastAsia" w:cstheme="minorBidi"/>
          <w:sz w:val="22"/>
          <w:szCs w:val="22"/>
          <w:rtl/>
        </w:rPr>
      </w:pPr>
      <w:r>
        <w:rPr>
          <w:rtl/>
        </w:rPr>
        <w:t>דברי הגרש"ר דהרמב"ם ס"ל דהא דתני בתוספתא דדמו בלאו היינו בשאר האיברים ולא בלב</w:t>
      </w:r>
    </w:p>
    <w:p w14:paraId="421190D1" w14:textId="77777777" w:rsidR="003D504D" w:rsidRDefault="003D504D" w:rsidP="005077A7">
      <w:pPr>
        <w:pStyle w:val="a"/>
        <w:rPr>
          <w:rFonts w:eastAsiaTheme="minorEastAsia" w:cstheme="minorBidi"/>
          <w:sz w:val="22"/>
          <w:szCs w:val="22"/>
          <w:rtl/>
        </w:rPr>
      </w:pPr>
      <w:r>
        <w:rPr>
          <w:rtl/>
        </w:rPr>
        <w:t>דברי הגרש"ר דלביאורו בדעת הר"ן אין כל ראיה מקושית ריו"ח שיש כרב בבן ח'</w:t>
      </w:r>
    </w:p>
    <w:p w14:paraId="36ED7BC4" w14:textId="77777777" w:rsidR="003D504D" w:rsidRDefault="003D504D" w:rsidP="003D504D">
      <w:pPr>
        <w:pStyle w:val="aff4"/>
        <w:rPr>
          <w:noProof/>
          <w:rtl/>
        </w:rPr>
      </w:pPr>
    </w:p>
    <w:p w14:paraId="4FB1DFE0" w14:textId="77777777" w:rsidR="003D504D" w:rsidRDefault="003D504D" w:rsidP="003D504D">
      <w:pPr>
        <w:pStyle w:val="aff4"/>
        <w:rPr>
          <w:rFonts w:eastAsiaTheme="minorEastAsia" w:cstheme="minorBidi"/>
          <w:i/>
          <w:iCs/>
          <w:noProof/>
          <w:sz w:val="22"/>
          <w:szCs w:val="22"/>
          <w:rtl/>
        </w:rPr>
      </w:pPr>
      <w:bookmarkStart w:id="25141" w:name="_Toc19436420"/>
      <w:bookmarkStart w:id="25142" w:name="_Toc20081538"/>
      <w:r>
        <w:rPr>
          <w:noProof/>
          <w:rtl/>
        </w:rPr>
        <w:t>ביאור האבי עזרי בפלוגתת ריו"ח ור"ל לדעת הרמב"ם</w:t>
      </w:r>
      <w:bookmarkEnd w:id="25141"/>
      <w:bookmarkEnd w:id="25142"/>
    </w:p>
    <w:p w14:paraId="75E66DC3" w14:textId="77777777" w:rsidR="003D504D" w:rsidRDefault="003D504D" w:rsidP="005077A7">
      <w:pPr>
        <w:pStyle w:val="a"/>
        <w:rPr>
          <w:rFonts w:eastAsiaTheme="minorEastAsia" w:cstheme="minorBidi"/>
          <w:sz w:val="22"/>
          <w:szCs w:val="22"/>
          <w:rtl/>
        </w:rPr>
      </w:pPr>
      <w:r>
        <w:rPr>
          <w:rtl/>
        </w:rPr>
        <w:t>דברי האבי עזרי דכיון דריו"ח ור"ל לא נחלקו להדיא בדעת ר"י מבואר דלכו"ע מחייב ריו"ח כרת</w:t>
      </w:r>
    </w:p>
    <w:p w14:paraId="240DC66E" w14:textId="77777777" w:rsidR="003D504D" w:rsidRDefault="003D504D" w:rsidP="005077A7">
      <w:pPr>
        <w:pStyle w:val="a"/>
        <w:rPr>
          <w:rFonts w:eastAsiaTheme="minorEastAsia" w:cstheme="minorBidi"/>
          <w:sz w:val="22"/>
          <w:szCs w:val="22"/>
          <w:rtl/>
        </w:rPr>
      </w:pPr>
      <w:r>
        <w:rPr>
          <w:rtl/>
        </w:rPr>
        <w:t>ביאור האבי עזרי ברמב"ם דלר"ל לכו"ע אין כרת בשליל ולר"י החידוש בכל דמו ולרבנן בדם הנפש</w:t>
      </w:r>
    </w:p>
    <w:p w14:paraId="3F8235B7" w14:textId="77777777" w:rsidR="003D504D" w:rsidRDefault="003D504D" w:rsidP="005077A7">
      <w:pPr>
        <w:pStyle w:val="a"/>
        <w:rPr>
          <w:rFonts w:eastAsiaTheme="minorEastAsia" w:cstheme="minorBidi"/>
          <w:sz w:val="22"/>
          <w:szCs w:val="22"/>
          <w:rtl/>
        </w:rPr>
      </w:pPr>
      <w:r>
        <w:rPr>
          <w:rtl/>
        </w:rPr>
        <w:t>דברי האבי עזרי דלהרמב"ם כוונת ריו"ח לבן ח' ונקט לישנא דמתיר כיון דר"ל מתיר בחלב אף בבן ח'</w:t>
      </w:r>
    </w:p>
    <w:p w14:paraId="01537976" w14:textId="77777777" w:rsidR="003D504D" w:rsidRDefault="003D504D" w:rsidP="005077A7">
      <w:pPr>
        <w:pStyle w:val="a"/>
        <w:rPr>
          <w:rFonts w:eastAsiaTheme="minorEastAsia" w:cstheme="minorBidi"/>
          <w:sz w:val="22"/>
          <w:szCs w:val="22"/>
          <w:rtl/>
        </w:rPr>
      </w:pPr>
      <w:r>
        <w:rPr>
          <w:rtl/>
        </w:rPr>
        <w:t>דברי האבי עזרי דקושית הגמ' מדברי ר"י היא דנחלקו אף לר"י אך פלוגתתם היא לכו"ע</w:t>
      </w:r>
    </w:p>
    <w:p w14:paraId="7A675E62" w14:textId="77777777" w:rsidR="003D504D" w:rsidRDefault="003D504D" w:rsidP="005077A7">
      <w:pPr>
        <w:pStyle w:val="a"/>
        <w:rPr>
          <w:rFonts w:eastAsiaTheme="minorEastAsia" w:cstheme="minorBidi"/>
          <w:sz w:val="22"/>
          <w:szCs w:val="22"/>
          <w:rtl/>
        </w:rPr>
      </w:pPr>
      <w:r>
        <w:rPr>
          <w:rtl/>
        </w:rPr>
        <w:t>דברי האבי עזר ברמב"ם דלר"ל אין בשליל דם הנפש כלל ולכן אין כרת לרבנן ולר"י</w:t>
      </w:r>
    </w:p>
    <w:p w14:paraId="6A9CD07C" w14:textId="77777777" w:rsidR="003D504D" w:rsidRDefault="003D504D" w:rsidP="005077A7">
      <w:pPr>
        <w:pStyle w:val="a"/>
        <w:rPr>
          <w:rFonts w:eastAsiaTheme="minorEastAsia" w:cstheme="minorBidi"/>
          <w:sz w:val="22"/>
          <w:szCs w:val="22"/>
          <w:rtl/>
        </w:rPr>
      </w:pPr>
      <w:r>
        <w:rPr>
          <w:rtl/>
        </w:rPr>
        <w:t>דברי האבי עזרי דכיון דנחלקו ריו"ח ור"ל אליבא דכו"ע פסק הרמב"ם כריו"ח דמחייב כרת</w:t>
      </w:r>
    </w:p>
    <w:p w14:paraId="1CF7063B" w14:textId="77777777" w:rsidR="003D504D" w:rsidRDefault="003D504D" w:rsidP="003D504D">
      <w:pPr>
        <w:pStyle w:val="aff4"/>
        <w:rPr>
          <w:rFonts w:eastAsiaTheme="minorEastAsia" w:cstheme="minorBidi"/>
          <w:i/>
          <w:iCs/>
          <w:noProof/>
          <w:sz w:val="22"/>
          <w:szCs w:val="22"/>
          <w:rtl/>
        </w:rPr>
      </w:pPr>
      <w:bookmarkStart w:id="25143" w:name="_Toc19436421"/>
      <w:bookmarkStart w:id="25144" w:name="_Toc20081539"/>
      <w:r>
        <w:rPr>
          <w:noProof/>
          <w:rtl/>
        </w:rPr>
        <w:t>מסקנת האבי עזרי דלרמב"ם הדם אסור מדין האם שיש לה נפש</w:t>
      </w:r>
      <w:bookmarkEnd w:id="25143"/>
      <w:bookmarkEnd w:id="25144"/>
    </w:p>
    <w:p w14:paraId="4BB6CF76" w14:textId="77777777" w:rsidR="003D504D" w:rsidRDefault="003D504D" w:rsidP="005077A7">
      <w:pPr>
        <w:pStyle w:val="a"/>
        <w:rPr>
          <w:rFonts w:eastAsiaTheme="minorEastAsia" w:cstheme="minorBidi"/>
          <w:sz w:val="22"/>
          <w:szCs w:val="22"/>
          <w:rtl/>
        </w:rPr>
      </w:pPr>
      <w:r>
        <w:rPr>
          <w:rtl/>
        </w:rPr>
        <w:t>דחיית האבי עזרי דא"א לומר דחייב כרת בבן ח' דהוא חשיב כמת ואינו בהמה ואין לו דם הנפש</w:t>
      </w:r>
    </w:p>
    <w:p w14:paraId="3F41CD64" w14:textId="77777777" w:rsidR="003D504D" w:rsidRDefault="003D504D" w:rsidP="005077A7">
      <w:pPr>
        <w:pStyle w:val="a"/>
        <w:rPr>
          <w:rFonts w:eastAsiaTheme="minorEastAsia" w:cstheme="minorBidi"/>
          <w:sz w:val="22"/>
          <w:szCs w:val="22"/>
          <w:rtl/>
        </w:rPr>
      </w:pPr>
      <w:r>
        <w:rPr>
          <w:rtl/>
        </w:rPr>
        <w:t>דברי האבי עזרי דכיון שאין ילפותא להתיר את הדם אסור מדין דם הבהמה שיש לה דם הנפש</w:t>
      </w:r>
    </w:p>
    <w:p w14:paraId="5A7141E7" w14:textId="77777777" w:rsidR="003D504D" w:rsidRDefault="003D504D" w:rsidP="003D504D">
      <w:pPr>
        <w:pStyle w:val="2"/>
        <w:rPr>
          <w:noProof/>
          <w:rtl/>
        </w:rPr>
      </w:pPr>
      <w:bookmarkStart w:id="25145" w:name="_Toc19436422"/>
      <w:r>
        <w:rPr>
          <w:rFonts w:hint="cs"/>
          <w:noProof/>
          <w:rtl/>
        </w:rPr>
        <w:t>בדין דם השחיטה בשליל להרמב"ם</w:t>
      </w:r>
      <w:bookmarkEnd w:id="25145"/>
    </w:p>
    <w:p w14:paraId="45FA2D2F" w14:textId="77777777" w:rsidR="003D504D" w:rsidRDefault="003D504D" w:rsidP="003D504D">
      <w:pPr>
        <w:pStyle w:val="aff4"/>
        <w:rPr>
          <w:rFonts w:eastAsiaTheme="minorEastAsia" w:cstheme="minorBidi"/>
          <w:i/>
          <w:iCs/>
          <w:noProof/>
          <w:sz w:val="22"/>
          <w:szCs w:val="22"/>
          <w:rtl/>
        </w:rPr>
      </w:pPr>
      <w:bookmarkStart w:id="25146" w:name="_Toc19436423"/>
      <w:bookmarkStart w:id="25147" w:name="_Toc20081540"/>
      <w:r>
        <w:rPr>
          <w:noProof/>
          <w:rtl/>
        </w:rPr>
        <w:t>ביאור האבי עזרי בפלוגתת הרמב"ם והראב"ד</w:t>
      </w:r>
      <w:bookmarkEnd w:id="25146"/>
      <w:bookmarkEnd w:id="25147"/>
    </w:p>
    <w:p w14:paraId="29A43DFD" w14:textId="77777777" w:rsidR="003D504D" w:rsidRDefault="003D504D" w:rsidP="005077A7">
      <w:pPr>
        <w:pStyle w:val="a"/>
        <w:rPr>
          <w:rFonts w:eastAsiaTheme="minorEastAsia" w:cstheme="minorBidi"/>
          <w:sz w:val="22"/>
          <w:szCs w:val="22"/>
          <w:rtl/>
        </w:rPr>
      </w:pPr>
      <w:r>
        <w:rPr>
          <w:rtl/>
        </w:rPr>
        <w:t>דברי האבי עזרי דלהרמב"ם שליל חשיב שנשחט כבר ואין בו דם הנפש דלא שייך ב' שחיטות</w:t>
      </w:r>
    </w:p>
    <w:p w14:paraId="1CEAEB8E" w14:textId="77777777" w:rsidR="003D504D" w:rsidRDefault="003D504D" w:rsidP="005077A7">
      <w:pPr>
        <w:pStyle w:val="a"/>
        <w:rPr>
          <w:rFonts w:eastAsiaTheme="minorEastAsia" w:cstheme="minorBidi"/>
          <w:sz w:val="22"/>
          <w:szCs w:val="22"/>
          <w:rtl/>
        </w:rPr>
      </w:pPr>
      <w:r>
        <w:rPr>
          <w:rtl/>
        </w:rPr>
        <w:t>ביאור האבי עזרי דהשחיטה עצמה אינה מחשיבה את הדם כנפש אלא היא הוכחה דבא מהנפש</w:t>
      </w:r>
    </w:p>
    <w:p w14:paraId="7B5B557D" w14:textId="77777777" w:rsidR="003D504D" w:rsidRDefault="003D504D" w:rsidP="003D504D">
      <w:pPr>
        <w:pStyle w:val="aff4"/>
        <w:rPr>
          <w:rFonts w:eastAsiaTheme="minorEastAsia" w:cstheme="minorBidi"/>
          <w:i/>
          <w:iCs/>
          <w:noProof/>
          <w:sz w:val="22"/>
          <w:szCs w:val="22"/>
          <w:rtl/>
        </w:rPr>
      </w:pPr>
      <w:bookmarkStart w:id="25148" w:name="_Toc19436424"/>
      <w:bookmarkStart w:id="25149" w:name="_Toc20081541"/>
      <w:r>
        <w:rPr>
          <w:noProof/>
          <w:rtl/>
        </w:rPr>
        <w:t>ביאור הגר"א גורדון בהא דלהרמב"ם אין כרת על דם השחיטה</w:t>
      </w:r>
      <w:bookmarkEnd w:id="25148"/>
      <w:bookmarkEnd w:id="25149"/>
    </w:p>
    <w:p w14:paraId="79EB915F" w14:textId="77777777" w:rsidR="003D504D" w:rsidRDefault="003D504D" w:rsidP="005077A7">
      <w:pPr>
        <w:pStyle w:val="a"/>
        <w:rPr>
          <w:rFonts w:eastAsiaTheme="minorEastAsia" w:cstheme="minorBidi"/>
          <w:sz w:val="22"/>
          <w:szCs w:val="22"/>
          <w:rtl/>
        </w:rPr>
      </w:pPr>
      <w:r>
        <w:rPr>
          <w:rtl/>
        </w:rPr>
        <w:t>דברי הגר"א גורדון דמדלא כתב הרמב"ם דשאר הדם הוא בלאו מבואר דאף דם השחיטה בלאו</w:t>
      </w:r>
    </w:p>
    <w:p w14:paraId="5D34D82E" w14:textId="77777777" w:rsidR="003D504D" w:rsidRDefault="003D504D" w:rsidP="005077A7">
      <w:pPr>
        <w:pStyle w:val="a"/>
        <w:rPr>
          <w:rFonts w:eastAsiaTheme="minorEastAsia" w:cstheme="minorBidi"/>
          <w:sz w:val="22"/>
          <w:szCs w:val="22"/>
          <w:rtl/>
        </w:rPr>
      </w:pPr>
      <w:r>
        <w:rPr>
          <w:rtl/>
        </w:rPr>
        <w:t>קושית הגר"א גורדון דכיון שחייב כרת על דם הלב יש לו חיות ואף בדם השחיטה יוצאת החיות</w:t>
      </w:r>
    </w:p>
    <w:p w14:paraId="4F56417D" w14:textId="77777777" w:rsidR="003D504D" w:rsidRDefault="003D504D" w:rsidP="005077A7">
      <w:pPr>
        <w:pStyle w:val="a"/>
        <w:rPr>
          <w:rFonts w:eastAsiaTheme="minorEastAsia" w:cstheme="minorBidi"/>
          <w:sz w:val="22"/>
          <w:szCs w:val="22"/>
          <w:rtl/>
        </w:rPr>
      </w:pPr>
      <w:r>
        <w:rPr>
          <w:rtl/>
        </w:rPr>
        <w:t>דברי הגר"א גורדון דחיוב כרת על דם השחיטה דהוא ראוי לכפרה ובשליל שחיטתו בסימני אמו</w:t>
      </w:r>
    </w:p>
    <w:p w14:paraId="3B1B3E03" w14:textId="77777777" w:rsidR="003D504D" w:rsidRDefault="003D504D" w:rsidP="003D504D">
      <w:pPr>
        <w:pStyle w:val="aff4"/>
        <w:rPr>
          <w:rFonts w:eastAsiaTheme="minorEastAsia" w:cstheme="minorBidi"/>
          <w:i/>
          <w:iCs/>
          <w:noProof/>
          <w:sz w:val="22"/>
          <w:szCs w:val="22"/>
          <w:rtl/>
        </w:rPr>
      </w:pPr>
      <w:bookmarkStart w:id="25150" w:name="_Toc19436425"/>
      <w:bookmarkStart w:id="25151" w:name="_Toc20081542"/>
      <w:r>
        <w:rPr>
          <w:noProof/>
          <w:rtl/>
        </w:rPr>
        <w:t>ביאור הגר"א גורדון דלענין הדם השליל חשיב בהמה כאמו</w:t>
      </w:r>
      <w:bookmarkEnd w:id="25150"/>
      <w:bookmarkEnd w:id="25151"/>
    </w:p>
    <w:p w14:paraId="1F26DE9F" w14:textId="77777777" w:rsidR="003D504D" w:rsidRDefault="003D504D" w:rsidP="005077A7">
      <w:pPr>
        <w:pStyle w:val="a"/>
        <w:rPr>
          <w:rFonts w:eastAsiaTheme="minorEastAsia" w:cstheme="minorBidi"/>
          <w:sz w:val="22"/>
          <w:szCs w:val="22"/>
          <w:rtl/>
        </w:rPr>
      </w:pPr>
      <w:r>
        <w:rPr>
          <w:rtl/>
        </w:rPr>
        <w:t>דברי הגר"א גורדון דכיון דלר"י חייב כרת בדם התמצית מוכח שיש לו חיות בפנ"ע ואינו אבר דאמו</w:t>
      </w:r>
    </w:p>
    <w:p w14:paraId="313731F6" w14:textId="77777777" w:rsidR="003D504D" w:rsidRDefault="003D504D" w:rsidP="005077A7">
      <w:pPr>
        <w:pStyle w:val="a"/>
        <w:rPr>
          <w:rFonts w:eastAsiaTheme="minorEastAsia" w:cstheme="minorBidi"/>
          <w:sz w:val="22"/>
          <w:szCs w:val="22"/>
          <w:rtl/>
        </w:rPr>
      </w:pPr>
      <w:r>
        <w:rPr>
          <w:rtl/>
        </w:rPr>
        <w:t>ביאור הגר"א גורדון דסימניו כשחוטים בשחיטת האם ולכן דם הסימנים אינו דם שחיטה</w:t>
      </w:r>
    </w:p>
    <w:p w14:paraId="2D8466B0" w14:textId="77777777" w:rsidR="003D504D" w:rsidRDefault="003D504D" w:rsidP="005077A7">
      <w:pPr>
        <w:pStyle w:val="a"/>
        <w:rPr>
          <w:rFonts w:eastAsiaTheme="minorEastAsia" w:cstheme="minorBidi"/>
          <w:sz w:val="22"/>
          <w:szCs w:val="22"/>
          <w:rtl/>
        </w:rPr>
        <w:sectPr w:rsidR="003D504D" w:rsidSect="007C6A7B">
          <w:footerReference w:type="default" r:id="rId144"/>
          <w:type w:val="continuous"/>
          <w:pgSz w:w="11906" w:h="16838"/>
          <w:pgMar w:top="720" w:right="720" w:bottom="720" w:left="720" w:header="283" w:footer="283" w:gutter="0"/>
          <w:cols w:num="2" w:space="113"/>
          <w:bidi/>
          <w:rtlGutter/>
          <w:docGrid w:linePitch="299"/>
        </w:sectPr>
      </w:pPr>
      <w:r>
        <w:rPr>
          <w:rtl/>
        </w:rPr>
        <w:t>ביאור הגר"א גורדון ברמב"ם דמוכח דדין סימני השליל כסימני אמו ואף דם לבו כדם אמו דבכרת</w:t>
      </w:r>
    </w:p>
    <w:p w14:paraId="4B6429E1" w14:textId="77777777" w:rsidR="003D504D" w:rsidRDefault="003D504D" w:rsidP="005077A7">
      <w:pPr>
        <w:pStyle w:val="a"/>
        <w:numPr>
          <w:ilvl w:val="0"/>
          <w:numId w:val="0"/>
        </w:numPr>
        <w:ind w:left="567"/>
        <w:rPr>
          <w:rtl/>
        </w:rPr>
      </w:pPr>
    </w:p>
    <w:p w14:paraId="5CA78290" w14:textId="77777777" w:rsidR="003D504D" w:rsidRDefault="003D504D" w:rsidP="003D504D">
      <w:pPr>
        <w:pStyle w:val="2"/>
        <w:rPr>
          <w:rtl/>
        </w:rPr>
        <w:sectPr w:rsidR="003D504D" w:rsidSect="007C6A7B">
          <w:type w:val="continuous"/>
          <w:pgSz w:w="11906" w:h="16838"/>
          <w:pgMar w:top="720" w:right="720" w:bottom="720" w:left="720" w:header="283" w:footer="283" w:gutter="0"/>
          <w:cols w:num="2" w:space="113"/>
          <w:bidi/>
          <w:rtlGutter/>
          <w:docGrid w:linePitch="299"/>
        </w:sectPr>
      </w:pPr>
      <w:r>
        <w:rPr>
          <w:rtl/>
        </w:rPr>
        <w:fldChar w:fldCharType="end"/>
      </w:r>
    </w:p>
    <w:p w14:paraId="2148C8BF" w14:textId="77777777" w:rsidR="003D504D" w:rsidRDefault="003D504D" w:rsidP="003D504D">
      <w:pPr>
        <w:pStyle w:val="afe"/>
        <w:rPr>
          <w:rtl/>
        </w:rPr>
      </w:pPr>
      <w:bookmarkStart w:id="25152" w:name="_Toc2500224"/>
      <w:bookmarkStart w:id="25153" w:name="_Toc2541643"/>
      <w:bookmarkStart w:id="25154" w:name="_Toc2597298"/>
      <w:bookmarkStart w:id="25155" w:name="_Toc2618563"/>
      <w:bookmarkStart w:id="25156" w:name="_Toc2628206"/>
      <w:bookmarkStart w:id="25157" w:name="_Toc2723901"/>
      <w:bookmarkStart w:id="25158" w:name="_Toc4305388"/>
      <w:bookmarkStart w:id="25159" w:name="_Toc4316229"/>
      <w:bookmarkStart w:id="25160" w:name="_Toc4330673"/>
      <w:bookmarkStart w:id="25161" w:name="_Toc19436426"/>
      <w:bookmarkStart w:id="25162" w:name="_Toc20081543"/>
      <w:r>
        <w:rPr>
          <w:rFonts w:hint="cs"/>
          <w:rtl/>
        </w:rPr>
        <w:t>מראי מקומות וביאורים על הסוגיא</w:t>
      </w:r>
      <w:bookmarkEnd w:id="25152"/>
      <w:bookmarkEnd w:id="25153"/>
      <w:bookmarkEnd w:id="25154"/>
      <w:bookmarkEnd w:id="25155"/>
      <w:bookmarkEnd w:id="25156"/>
      <w:bookmarkEnd w:id="25157"/>
      <w:bookmarkEnd w:id="25158"/>
      <w:bookmarkEnd w:id="25159"/>
      <w:bookmarkEnd w:id="25160"/>
      <w:bookmarkEnd w:id="25161"/>
      <w:bookmarkEnd w:id="25162"/>
    </w:p>
    <w:p w14:paraId="004A1996" w14:textId="77777777" w:rsidR="003D504D" w:rsidRPr="0065105E" w:rsidRDefault="003D504D" w:rsidP="003D504D">
      <w:pPr>
        <w:pStyle w:val="2"/>
        <w:keepNext w:val="0"/>
        <w:keepLines w:val="0"/>
        <w:bidi w:val="0"/>
        <w:rPr>
          <w:rFonts w:asciiTheme="minorHAnsi" w:hAnsiTheme="minorHAnsi"/>
          <w:bCs/>
          <w:sz w:val="18"/>
          <w:szCs w:val="28"/>
          <w:rtl/>
        </w:rPr>
        <w:sectPr w:rsidR="003D504D" w:rsidRPr="0065105E" w:rsidSect="003D504D">
          <w:pgSz w:w="11906" w:h="16838"/>
          <w:pgMar w:top="720" w:right="720" w:bottom="720" w:left="720" w:header="283" w:footer="283" w:gutter="0"/>
          <w:cols w:space="720"/>
          <w:bidi/>
          <w:rtlGutter/>
          <w:docGrid w:linePitch="299"/>
        </w:sectPr>
      </w:pPr>
    </w:p>
    <w:p w14:paraId="35C44CEF" w14:textId="77777777" w:rsidR="003D504D" w:rsidRDefault="003D504D" w:rsidP="003D504D">
      <w:pPr>
        <w:pStyle w:val="afe"/>
        <w:rPr>
          <w:rtl/>
        </w:rPr>
      </w:pPr>
      <w:bookmarkStart w:id="25163" w:name="_Toc4305389"/>
      <w:bookmarkStart w:id="25164" w:name="_Toc4316230"/>
      <w:bookmarkStart w:id="25165" w:name="_Toc4330674"/>
      <w:bookmarkStart w:id="25166" w:name="_Toc19436427"/>
      <w:bookmarkStart w:id="25167" w:name="_Toc20081544"/>
      <w:bookmarkStart w:id="25168" w:name="_Toc2723902"/>
      <w:r>
        <w:rPr>
          <w:rFonts w:hint="cs"/>
          <w:rtl/>
        </w:rPr>
        <w:t>ביאורי הראשונים באיסור הדם בשליל</w:t>
      </w:r>
      <w:bookmarkEnd w:id="25163"/>
      <w:bookmarkEnd w:id="25164"/>
      <w:bookmarkEnd w:id="25165"/>
      <w:bookmarkEnd w:id="25166"/>
      <w:bookmarkEnd w:id="25167"/>
    </w:p>
    <w:p w14:paraId="46C84491" w14:textId="77777777" w:rsidR="003D504D" w:rsidRPr="002A56BB" w:rsidRDefault="003D504D" w:rsidP="00BF39B2">
      <w:pPr>
        <w:pStyle w:val="1"/>
        <w:rPr>
          <w:rtl/>
        </w:rPr>
      </w:pPr>
      <w:bookmarkStart w:id="25169" w:name="_Toc4305390"/>
      <w:bookmarkStart w:id="25170" w:name="_Toc4316231"/>
      <w:bookmarkStart w:id="25171" w:name="_Toc4330675"/>
      <w:bookmarkStart w:id="25172" w:name="_Toc19392079"/>
      <w:bookmarkStart w:id="25173" w:name="_Toc19395576"/>
      <w:r>
        <w:rPr>
          <w:rFonts w:hint="cs"/>
          <w:rtl/>
        </w:rPr>
        <w:t>בדברי רש"י דבבן ח' דמו אסור כדם אברים</w:t>
      </w:r>
      <w:bookmarkEnd w:id="25169"/>
      <w:bookmarkEnd w:id="25170"/>
      <w:bookmarkEnd w:id="25171"/>
      <w:bookmarkEnd w:id="25172"/>
      <w:bookmarkEnd w:id="25173"/>
    </w:p>
    <w:p w14:paraId="0BFB4B71" w14:textId="77777777" w:rsidR="003D504D" w:rsidRPr="002A56BB" w:rsidRDefault="003D504D" w:rsidP="003D504D">
      <w:pPr>
        <w:pStyle w:val="a3"/>
        <w:rPr>
          <w:rtl/>
        </w:rPr>
      </w:pPr>
      <w:bookmarkStart w:id="25174" w:name="_Toc4305391"/>
      <w:bookmarkStart w:id="25175" w:name="_Toc4316232"/>
      <w:bookmarkStart w:id="25176" w:name="_Toc4330676"/>
      <w:bookmarkStart w:id="25177" w:name="_Toc19392080"/>
      <w:bookmarkStart w:id="25178" w:name="_Toc19395577"/>
      <w:r>
        <w:rPr>
          <w:rFonts w:hint="cs"/>
          <w:rtl/>
        </w:rPr>
        <w:t>דברי רש"י דבבן ח' הדם אסור דלא גרע מדם האברים של הבהמה</w:t>
      </w:r>
      <w:bookmarkEnd w:id="25174"/>
      <w:bookmarkEnd w:id="25175"/>
      <w:bookmarkEnd w:id="25176"/>
      <w:bookmarkEnd w:id="25177"/>
      <w:bookmarkEnd w:id="25178"/>
    </w:p>
    <w:p w14:paraId="4289DC95" w14:textId="77777777" w:rsidR="003D504D" w:rsidRPr="00223668" w:rsidRDefault="003D504D" w:rsidP="00E12979">
      <w:pPr>
        <w:pStyle w:val="a0"/>
        <w:numPr>
          <w:ilvl w:val="0"/>
          <w:numId w:val="48"/>
        </w:numPr>
        <w:rPr>
          <w:sz w:val="10"/>
          <w:szCs w:val="14"/>
          <w:rtl/>
        </w:rPr>
      </w:pPr>
      <w:r w:rsidRPr="002A56BB">
        <w:rPr>
          <w:rFonts w:hint="cs"/>
          <w:rtl/>
        </w:rPr>
        <w:t xml:space="preserve">בהא </w:t>
      </w:r>
      <w:r>
        <w:rPr>
          <w:rFonts w:hint="cs"/>
          <w:rtl/>
        </w:rPr>
        <w:t xml:space="preserve">דתנן במתני' </w:t>
      </w:r>
      <w:r w:rsidRPr="00223668">
        <w:rPr>
          <w:rStyle w:val="af7"/>
          <w:rFonts w:eastAsia="Guttman Hodes" w:hint="cs"/>
          <w:rtl/>
        </w:rPr>
        <w:t>(עד.)</w:t>
      </w:r>
      <w:r>
        <w:rPr>
          <w:rFonts w:hint="cs"/>
          <w:rtl/>
        </w:rPr>
        <w:t xml:space="preserve"> דהשליל מותר בשחיטת אמו ו</w:t>
      </w:r>
      <w:r w:rsidRPr="002A56BB">
        <w:rPr>
          <w:rFonts w:hint="cs"/>
          <w:rtl/>
        </w:rPr>
        <w:t xml:space="preserve">צריך להוציא את דמו, כתב </w:t>
      </w:r>
      <w:r w:rsidRPr="002A56BB">
        <w:rPr>
          <w:rStyle w:val="af9"/>
          <w:rFonts w:hint="cs"/>
          <w:rtl/>
        </w:rPr>
        <w:t>רש"י</w:t>
      </w:r>
      <w:r w:rsidRPr="002A56BB">
        <w:rPr>
          <w:rFonts w:hint="cs"/>
          <w:rtl/>
        </w:rPr>
        <w:t xml:space="preserve"> </w:t>
      </w:r>
      <w:r w:rsidRPr="00223668">
        <w:rPr>
          <w:rStyle w:val="af7"/>
          <w:rFonts w:eastAsia="Guttman Hodes" w:hint="cs"/>
          <w:rtl/>
        </w:rPr>
        <w:t xml:space="preserve">(ד"ה ומוציא) </w:t>
      </w:r>
      <w:r w:rsidRPr="002A56BB">
        <w:rPr>
          <w:rFonts w:hint="cs"/>
          <w:rtl/>
        </w:rPr>
        <w:t xml:space="preserve">דבן ח' חי או מת ובן ט' מת שמודה ר"מ שמותרים, החלב שלהם מותר מהילפותא בגמ' לקמן </w:t>
      </w:r>
      <w:r w:rsidRPr="00223668">
        <w:rPr>
          <w:rStyle w:val="af7"/>
          <w:rFonts w:eastAsia="Guttman Hodes" w:hint="cs"/>
          <w:rtl/>
        </w:rPr>
        <w:t>(עה.)</w:t>
      </w:r>
      <w:r w:rsidRPr="002A56BB">
        <w:rPr>
          <w:rFonts w:hint="cs"/>
          <w:rtl/>
        </w:rPr>
        <w:t xml:space="preserve"> מאשם מוצא מכלל שליל, אבל הדם שלהם אסור, דלא גרע מדם האיברים דעובר עליו בלא תעשה</w:t>
      </w:r>
      <w:r>
        <w:rPr>
          <w:rFonts w:hint="cs"/>
          <w:rtl/>
        </w:rPr>
        <w:t xml:space="preserve">, ועי' במ"ש </w:t>
      </w:r>
      <w:r w:rsidRPr="00D74DE8">
        <w:rPr>
          <w:rStyle w:val="af9"/>
          <w:rFonts w:hint="cs"/>
          <w:rtl/>
        </w:rPr>
        <w:t xml:space="preserve">האחרונים </w:t>
      </w:r>
      <w:r w:rsidRPr="00223668">
        <w:rPr>
          <w:rStyle w:val="af7"/>
          <w:rFonts w:eastAsia="Guttman Hodes" w:hint="cs"/>
          <w:rtl/>
        </w:rPr>
        <w:t xml:space="preserve">(הובאו לעיל סימן ו' אות מג) </w:t>
      </w:r>
      <w:r>
        <w:rPr>
          <w:rFonts w:hint="cs"/>
          <w:rtl/>
        </w:rPr>
        <w:t xml:space="preserve">בביאור דברי </w:t>
      </w:r>
      <w:r w:rsidRPr="00D74DE8">
        <w:rPr>
          <w:rStyle w:val="af9"/>
          <w:rFonts w:hint="cs"/>
          <w:rtl/>
        </w:rPr>
        <w:t>רש"י</w:t>
      </w:r>
      <w:r>
        <w:rPr>
          <w:rFonts w:hint="cs"/>
          <w:rtl/>
        </w:rPr>
        <w:t>, בחילוק שבין חלב לדם</w:t>
      </w:r>
      <w:r w:rsidRPr="002A56BB">
        <w:rPr>
          <w:rFonts w:hint="cs"/>
          <w:rtl/>
        </w:rPr>
        <w:t>.</w:t>
      </w:r>
    </w:p>
    <w:p w14:paraId="3DE01240" w14:textId="77777777" w:rsidR="003D504D" w:rsidRDefault="003D504D" w:rsidP="00BF39B2">
      <w:pPr>
        <w:pStyle w:val="1"/>
        <w:rPr>
          <w:rtl/>
        </w:rPr>
      </w:pPr>
      <w:bookmarkStart w:id="25179" w:name="_Toc4305392"/>
      <w:bookmarkStart w:id="25180" w:name="_Toc4316233"/>
      <w:bookmarkStart w:id="25181" w:name="_Toc4330677"/>
      <w:bookmarkStart w:id="25182" w:name="_Toc19392081"/>
      <w:bookmarkStart w:id="25183" w:name="_Toc19395578"/>
      <w:r>
        <w:rPr>
          <w:rFonts w:hint="cs"/>
          <w:rtl/>
        </w:rPr>
        <w:t>ביאור הר"ן והריטב"א דהדם אינו בכלל ההיתר דהוא משקה</w:t>
      </w:r>
      <w:bookmarkEnd w:id="25179"/>
      <w:bookmarkEnd w:id="25180"/>
      <w:bookmarkEnd w:id="25181"/>
      <w:bookmarkEnd w:id="25182"/>
      <w:bookmarkEnd w:id="25183"/>
    </w:p>
    <w:p w14:paraId="5828FE16" w14:textId="77777777" w:rsidR="003D504D" w:rsidRPr="002A56BB" w:rsidRDefault="003D504D" w:rsidP="003D504D">
      <w:pPr>
        <w:pStyle w:val="a3"/>
        <w:rPr>
          <w:rtl/>
        </w:rPr>
      </w:pPr>
      <w:bookmarkStart w:id="25184" w:name="_Toc4305393"/>
      <w:bookmarkStart w:id="25185" w:name="_Toc4316234"/>
      <w:bookmarkStart w:id="25186" w:name="_Toc4330678"/>
      <w:bookmarkStart w:id="25187" w:name="_Toc19392082"/>
      <w:bookmarkStart w:id="25188" w:name="_Toc19395579"/>
      <w:r>
        <w:rPr>
          <w:rFonts w:hint="cs"/>
          <w:rtl/>
        </w:rPr>
        <w:t>קושית הר"ן דאמאי דמו אסור דמו של השליל אסור ואינו בכלל היתר "כל בבהמה תאכלו"</w:t>
      </w:r>
      <w:bookmarkEnd w:id="25184"/>
      <w:bookmarkEnd w:id="25185"/>
      <w:bookmarkEnd w:id="25186"/>
      <w:bookmarkEnd w:id="25187"/>
      <w:bookmarkEnd w:id="25188"/>
    </w:p>
    <w:p w14:paraId="37A86DDB" w14:textId="77777777" w:rsidR="003D504D" w:rsidRPr="002A56BB" w:rsidRDefault="003D504D" w:rsidP="00223668">
      <w:pPr>
        <w:pStyle w:val="a0"/>
        <w:rPr>
          <w:rtl/>
        </w:rPr>
      </w:pPr>
      <w:r>
        <w:rPr>
          <w:rStyle w:val="af9"/>
          <w:rFonts w:hint="cs"/>
          <w:rtl/>
        </w:rPr>
        <w:t>ו</w:t>
      </w:r>
      <w:r w:rsidRPr="002A56BB">
        <w:rPr>
          <w:rStyle w:val="af9"/>
          <w:rFonts w:hint="cs"/>
          <w:rtl/>
        </w:rPr>
        <w:t>הר"ן בחי'</w:t>
      </w:r>
      <w:r w:rsidRPr="002A56BB">
        <w:rPr>
          <w:rFonts w:hint="cs"/>
          <w:rtl/>
        </w:rPr>
        <w:t xml:space="preserve"> </w:t>
      </w:r>
      <w:r w:rsidRPr="00701D4E">
        <w:rPr>
          <w:rStyle w:val="af7"/>
          <w:rFonts w:eastAsia="Guttman Hodes" w:hint="cs"/>
          <w:rtl/>
        </w:rPr>
        <w:t>(עד. ד"ה השוחט)</w:t>
      </w:r>
      <w:r w:rsidRPr="002A56BB">
        <w:rPr>
          <w:rFonts w:hint="cs"/>
          <w:rtl/>
        </w:rPr>
        <w:t xml:space="preserve"> </w:t>
      </w:r>
      <w:r>
        <w:rPr>
          <w:rFonts w:hint="cs"/>
          <w:rtl/>
        </w:rPr>
        <w:t xml:space="preserve">דחה את ביאור </w:t>
      </w:r>
      <w:r w:rsidRPr="006D0D54">
        <w:rPr>
          <w:rStyle w:val="af9"/>
          <w:rFonts w:hint="cs"/>
          <w:rtl/>
        </w:rPr>
        <w:t>רש"י</w:t>
      </w:r>
      <w:r>
        <w:rPr>
          <w:rFonts w:hint="cs"/>
          <w:rtl/>
        </w:rPr>
        <w:t xml:space="preserve"> </w:t>
      </w:r>
      <w:r w:rsidRPr="00701D4E">
        <w:rPr>
          <w:rStyle w:val="af7"/>
          <w:rFonts w:eastAsia="Guttman Hodes" w:hint="cs"/>
          <w:rtl/>
        </w:rPr>
        <w:t xml:space="preserve">(עי' אות </w:t>
      </w:r>
      <w:r w:rsidRPr="00701D4E">
        <w:rPr>
          <w:rStyle w:val="af7"/>
          <w:rFonts w:eastAsia="Guttman Hodes"/>
          <w:rtl/>
        </w:rPr>
        <w:fldChar w:fldCharType="begin"/>
      </w:r>
      <w:r w:rsidRPr="00701D4E">
        <w:rPr>
          <w:rStyle w:val="af7"/>
          <w:rFonts w:eastAsia="Guttman Hodes"/>
          <w:rtl/>
        </w:rPr>
        <w:instrText xml:space="preserve"> </w:instrText>
      </w:r>
      <w:r w:rsidRPr="00701D4E">
        <w:rPr>
          <w:rStyle w:val="af7"/>
          <w:rFonts w:eastAsia="Guttman Hodes" w:hint="cs"/>
        </w:rPr>
        <w:instrText>REF</w:instrText>
      </w:r>
      <w:r w:rsidRPr="00701D4E">
        <w:rPr>
          <w:rStyle w:val="af7"/>
          <w:rFonts w:eastAsia="Guttman Hodes" w:hint="cs"/>
          <w:rtl/>
        </w:rPr>
        <w:instrText xml:space="preserve"> _</w:instrText>
      </w:r>
      <w:r w:rsidRPr="00701D4E">
        <w:rPr>
          <w:rStyle w:val="af7"/>
          <w:rFonts w:eastAsia="Guttman Hodes" w:hint="cs"/>
        </w:rPr>
        <w:instrText>Ref2109210 \r \h</w:instrText>
      </w:r>
      <w:r w:rsidRPr="00701D4E">
        <w:rPr>
          <w:rStyle w:val="af7"/>
          <w:rFonts w:eastAsia="Guttman Hodes"/>
          <w:rtl/>
        </w:rPr>
        <w:instrText xml:space="preserve"> </w:instrText>
      </w:r>
      <w:r w:rsidRPr="00701D4E">
        <w:rPr>
          <w:rStyle w:val="af7"/>
          <w:rFonts w:eastAsia="Guttman Hodes"/>
          <w:rtl/>
        </w:rPr>
      </w:r>
      <w:r w:rsidRPr="00701D4E">
        <w:rPr>
          <w:rStyle w:val="af7"/>
          <w:rFonts w:eastAsia="Guttman Hodes"/>
          <w:rtl/>
        </w:rPr>
        <w:fldChar w:fldCharType="separate"/>
      </w:r>
      <w:r w:rsidR="00345400">
        <w:rPr>
          <w:rStyle w:val="af7"/>
          <w:rFonts w:eastAsia="Guttman Hodes"/>
          <w:cs/>
        </w:rPr>
        <w:t>‎</w:t>
      </w:r>
      <w:r w:rsidR="00345400">
        <w:rPr>
          <w:rStyle w:val="af7"/>
          <w:rFonts w:eastAsia="Guttman Hodes"/>
          <w:rtl/>
        </w:rPr>
        <w:t>מב)</w:t>
      </w:r>
      <w:r w:rsidRPr="00701D4E">
        <w:rPr>
          <w:rStyle w:val="af7"/>
          <w:rFonts w:eastAsia="Guttman Hodes"/>
          <w:rtl/>
        </w:rPr>
        <w:fldChar w:fldCharType="end"/>
      </w:r>
      <w:r>
        <w:rPr>
          <w:rFonts w:hint="cs"/>
          <w:rtl/>
        </w:rPr>
        <w:t xml:space="preserve"> בביאור ההיתר בחלבו, ועיי"ש בדברי </w:t>
      </w:r>
      <w:r w:rsidRPr="002A56BB">
        <w:rPr>
          <w:rStyle w:val="af9"/>
          <w:rFonts w:hint="cs"/>
          <w:rtl/>
        </w:rPr>
        <w:t>הר"ן בחי'</w:t>
      </w:r>
      <w:r w:rsidRPr="002A56BB">
        <w:rPr>
          <w:rFonts w:hint="cs"/>
          <w:rtl/>
        </w:rPr>
        <w:t xml:space="preserve"> </w:t>
      </w:r>
      <w:r w:rsidRPr="00701D4E">
        <w:rPr>
          <w:rStyle w:val="af7"/>
          <w:rFonts w:eastAsia="Guttman Hodes" w:hint="cs"/>
          <w:rtl/>
        </w:rPr>
        <w:t>(</w:t>
      </w:r>
      <w:r w:rsidR="00AC7E32">
        <w:rPr>
          <w:rStyle w:val="af7"/>
          <w:rFonts w:eastAsia="Guttman Hodes" w:hint="cs"/>
          <w:rtl/>
        </w:rPr>
        <w:t>הובא בסימן</w:t>
      </w:r>
      <w:r w:rsidRPr="00701D4E">
        <w:rPr>
          <w:rStyle w:val="af7"/>
          <w:rFonts w:eastAsia="Guttman Hodes" w:hint="cs"/>
          <w:rtl/>
        </w:rPr>
        <w:t xml:space="preserve"> ו' אות מח)</w:t>
      </w:r>
      <w:r>
        <w:rPr>
          <w:rFonts w:hint="cs"/>
          <w:rtl/>
        </w:rPr>
        <w:t xml:space="preserve"> דכתב ד</w:t>
      </w:r>
      <w:r w:rsidRPr="002A56BB">
        <w:rPr>
          <w:rFonts w:hint="cs"/>
          <w:rtl/>
        </w:rPr>
        <w:t xml:space="preserve">ההיתר של </w:t>
      </w:r>
      <w:r>
        <w:rPr>
          <w:rFonts w:hint="cs"/>
          <w:rtl/>
        </w:rPr>
        <w:t>ה</w:t>
      </w:r>
      <w:r w:rsidRPr="002A56BB">
        <w:rPr>
          <w:rFonts w:hint="cs"/>
          <w:rtl/>
        </w:rPr>
        <w:t xml:space="preserve">חלב </w:t>
      </w:r>
      <w:r>
        <w:rPr>
          <w:rFonts w:hint="cs"/>
          <w:rtl/>
        </w:rPr>
        <w:t>ד</w:t>
      </w:r>
      <w:r w:rsidRPr="002A56BB">
        <w:rPr>
          <w:rFonts w:hint="cs"/>
          <w:rtl/>
        </w:rPr>
        <w:t xml:space="preserve">הוא </w:t>
      </w:r>
      <w:r>
        <w:rPr>
          <w:rFonts w:hint="cs"/>
          <w:rtl/>
        </w:rPr>
        <w:t>בכלל</w:t>
      </w:r>
      <w:r w:rsidRPr="002A56BB">
        <w:rPr>
          <w:rFonts w:hint="cs"/>
          <w:rtl/>
        </w:rPr>
        <w:t xml:space="preserve"> מהיתר "כל בבהמה תאכלו"</w:t>
      </w:r>
      <w:r>
        <w:rPr>
          <w:rFonts w:hint="cs"/>
          <w:rtl/>
        </w:rPr>
        <w:t xml:space="preserve">, </w:t>
      </w:r>
      <w:r w:rsidRPr="002A56BB">
        <w:rPr>
          <w:rFonts w:hint="cs"/>
          <w:rtl/>
        </w:rPr>
        <w:t xml:space="preserve">אך הקשה </w:t>
      </w:r>
      <w:r w:rsidRPr="002A56BB">
        <w:rPr>
          <w:rStyle w:val="af9"/>
          <w:rFonts w:hint="cs"/>
          <w:rtl/>
        </w:rPr>
        <w:t>הר"ן בחי'</w:t>
      </w:r>
      <w:r w:rsidRPr="002A56BB">
        <w:rPr>
          <w:rFonts w:hint="cs"/>
          <w:rtl/>
        </w:rPr>
        <w:t xml:space="preserve"> דא"כ אמאי דמו אסור, ואינו בכלל היתר "כל בבהמה תאכלו".</w:t>
      </w:r>
    </w:p>
    <w:p w14:paraId="538B388F" w14:textId="77777777" w:rsidR="003D504D" w:rsidRPr="002A56BB" w:rsidRDefault="003D504D" w:rsidP="003D504D">
      <w:pPr>
        <w:pStyle w:val="a3"/>
        <w:rPr>
          <w:rtl/>
        </w:rPr>
      </w:pPr>
      <w:bookmarkStart w:id="25189" w:name="_Toc4305394"/>
      <w:bookmarkStart w:id="25190" w:name="_Toc4316235"/>
      <w:bookmarkStart w:id="25191" w:name="_Toc4330679"/>
      <w:bookmarkStart w:id="25192" w:name="_Toc19392083"/>
      <w:bookmarkStart w:id="25193" w:name="_Toc19395580"/>
      <w:r>
        <w:rPr>
          <w:rFonts w:hint="cs"/>
          <w:rtl/>
        </w:rPr>
        <w:t>ביאור הר"ן והריטב"א דהיתר השליל הוא בדבר שהוא אוכל ולא בדם שהוא משקה</w:t>
      </w:r>
      <w:bookmarkEnd w:id="25189"/>
      <w:bookmarkEnd w:id="25190"/>
      <w:bookmarkEnd w:id="25191"/>
      <w:bookmarkEnd w:id="25192"/>
      <w:bookmarkEnd w:id="25193"/>
    </w:p>
    <w:p w14:paraId="1F05A32A" w14:textId="77777777" w:rsidR="003D504D" w:rsidRPr="002A56BB" w:rsidRDefault="003D504D" w:rsidP="00223668">
      <w:pPr>
        <w:pStyle w:val="a0"/>
        <w:rPr>
          <w:rtl/>
        </w:rPr>
      </w:pPr>
      <w:r w:rsidRPr="002A56BB">
        <w:rPr>
          <w:rFonts w:hint="cs"/>
          <w:rtl/>
        </w:rPr>
        <w:t xml:space="preserve">אלא ביארו </w:t>
      </w:r>
      <w:r w:rsidRPr="002A56BB">
        <w:rPr>
          <w:rStyle w:val="af9"/>
          <w:rFonts w:hint="cs"/>
          <w:rtl/>
        </w:rPr>
        <w:t xml:space="preserve">הר"ן </w:t>
      </w:r>
      <w:r w:rsidRPr="002A56BB">
        <w:rPr>
          <w:rStyle w:val="af9"/>
          <w:rtl/>
        </w:rPr>
        <w:t>והריטב"א</w:t>
      </w:r>
      <w:r w:rsidRPr="002A56BB">
        <w:rPr>
          <w:rtl/>
        </w:rPr>
        <w:t xml:space="preserve"> </w:t>
      </w:r>
      <w:r w:rsidRPr="002A56BB">
        <w:rPr>
          <w:rStyle w:val="af7"/>
          <w:rFonts w:eastAsia="Guttman Hodes"/>
          <w:rtl/>
        </w:rPr>
        <w:t>(</w:t>
      </w:r>
      <w:r>
        <w:rPr>
          <w:rStyle w:val="af7"/>
          <w:rFonts w:eastAsia="Guttman Hodes" w:hint="cs"/>
          <w:rtl/>
        </w:rPr>
        <w:t xml:space="preserve">עד. </w:t>
      </w:r>
      <w:r w:rsidRPr="002A56BB">
        <w:rPr>
          <w:rStyle w:val="af7"/>
          <w:rFonts w:eastAsia="Guttman Hodes"/>
          <w:rtl/>
        </w:rPr>
        <w:t>ד"ה השוחט)</w:t>
      </w:r>
      <w:r w:rsidRPr="002A56BB">
        <w:rPr>
          <w:rtl/>
        </w:rPr>
        <w:t xml:space="preserve"> דהיתר "כל בבהמה תאכלו" היינו בדבר שהוא אוכל כגון חלב וגיד הנשה, כלשון הפסוק "תאכלו", אבל בדם שהוא משקה, אינו נלמד מהיתר "כל בבהמה תאכלו"</w:t>
      </w:r>
      <w:r w:rsidRPr="002A56BB">
        <w:rPr>
          <w:rFonts w:hint="cs"/>
          <w:rtl/>
        </w:rPr>
        <w:t xml:space="preserve">, ולכן </w:t>
      </w:r>
      <w:r w:rsidRPr="002A56BB">
        <w:rPr>
          <w:rtl/>
        </w:rPr>
        <w:t>אף דהחלב של ה</w:t>
      </w:r>
      <w:r>
        <w:rPr>
          <w:rtl/>
        </w:rPr>
        <w:t>שליל</w:t>
      </w:r>
      <w:r w:rsidRPr="002A56BB">
        <w:rPr>
          <w:rtl/>
        </w:rPr>
        <w:t xml:space="preserve"> מותר, מ"מ דמו אסור</w:t>
      </w:r>
      <w:r w:rsidRPr="002A56BB">
        <w:rPr>
          <w:rFonts w:hint="cs"/>
          <w:rtl/>
        </w:rPr>
        <w:t xml:space="preserve">, </w:t>
      </w:r>
      <w:r>
        <w:rPr>
          <w:rFonts w:hint="cs"/>
          <w:rtl/>
        </w:rPr>
        <w:t xml:space="preserve">ועי' במ"ש </w:t>
      </w:r>
      <w:r w:rsidRPr="00D74DE8">
        <w:rPr>
          <w:rStyle w:val="af9"/>
          <w:rFonts w:hint="cs"/>
          <w:rtl/>
        </w:rPr>
        <w:t xml:space="preserve">האחרונים </w:t>
      </w:r>
      <w:r w:rsidRPr="00D74DE8">
        <w:rPr>
          <w:rStyle w:val="af7"/>
          <w:rFonts w:eastAsia="Guttman Hodes" w:hint="cs"/>
          <w:rtl/>
        </w:rPr>
        <w:t xml:space="preserve">(הובאו לעיל סימן ו' </w:t>
      </w:r>
      <w:r>
        <w:rPr>
          <w:rStyle w:val="af7"/>
          <w:rFonts w:eastAsia="Guttman Hodes" w:hint="cs"/>
          <w:rtl/>
        </w:rPr>
        <w:t>אות נב</w:t>
      </w:r>
      <w:r w:rsidRPr="00D74DE8">
        <w:rPr>
          <w:rStyle w:val="af7"/>
          <w:rFonts w:eastAsia="Guttman Hodes" w:hint="cs"/>
          <w:rtl/>
        </w:rPr>
        <w:t xml:space="preserve">) </w:t>
      </w:r>
      <w:r>
        <w:rPr>
          <w:rFonts w:hint="cs"/>
          <w:rtl/>
        </w:rPr>
        <w:t xml:space="preserve">בביאור דברי </w:t>
      </w:r>
      <w:r>
        <w:rPr>
          <w:rStyle w:val="af9"/>
          <w:rFonts w:hint="cs"/>
          <w:rtl/>
        </w:rPr>
        <w:t>הר"ן</w:t>
      </w:r>
      <w:r w:rsidRPr="002A56BB">
        <w:rPr>
          <w:rFonts w:hint="cs"/>
          <w:rtl/>
        </w:rPr>
        <w:t>.</w:t>
      </w:r>
    </w:p>
    <w:p w14:paraId="3651343C" w14:textId="77777777" w:rsidR="003D504D" w:rsidRDefault="003D504D" w:rsidP="00BF39B2">
      <w:pPr>
        <w:pStyle w:val="1"/>
        <w:rPr>
          <w:rtl/>
        </w:rPr>
      </w:pPr>
      <w:bookmarkStart w:id="25194" w:name="_Toc4305395"/>
      <w:bookmarkStart w:id="25195" w:name="_Toc4316236"/>
      <w:bookmarkStart w:id="25196" w:name="_Toc4330680"/>
      <w:bookmarkStart w:id="25197" w:name="_Toc19392084"/>
      <w:bookmarkStart w:id="25198" w:name="_Toc19395581"/>
      <w:r>
        <w:rPr>
          <w:rFonts w:hint="cs"/>
          <w:rtl/>
        </w:rPr>
        <w:t>ביאור הרא"ש דההיתר ל"מ לדם דהוא נבלע בכל הגוף</w:t>
      </w:r>
      <w:bookmarkEnd w:id="25194"/>
      <w:bookmarkEnd w:id="25195"/>
      <w:bookmarkEnd w:id="25196"/>
      <w:bookmarkEnd w:id="25197"/>
      <w:bookmarkEnd w:id="25198"/>
    </w:p>
    <w:p w14:paraId="644DC18E" w14:textId="77777777" w:rsidR="003D504D" w:rsidRPr="002A56BB" w:rsidRDefault="003D504D" w:rsidP="003D504D">
      <w:pPr>
        <w:pStyle w:val="a3"/>
        <w:rPr>
          <w:rtl/>
        </w:rPr>
      </w:pPr>
      <w:bookmarkStart w:id="25199" w:name="_Toc4305396"/>
      <w:bookmarkStart w:id="25200" w:name="_Toc4316237"/>
      <w:bookmarkStart w:id="25201" w:name="_Toc4330681"/>
      <w:bookmarkStart w:id="25202" w:name="_Toc19392085"/>
      <w:bookmarkStart w:id="25203" w:name="_Toc19395582"/>
      <w:r>
        <w:rPr>
          <w:rFonts w:hint="cs"/>
          <w:rtl/>
        </w:rPr>
        <w:t>דברי הרא"ש דהדם אסור כיון שנבלע בכל הגוף וחשיב כדם איברים של הבהמה</w:t>
      </w:r>
      <w:bookmarkEnd w:id="25199"/>
      <w:bookmarkEnd w:id="25200"/>
      <w:bookmarkEnd w:id="25201"/>
      <w:bookmarkEnd w:id="25202"/>
      <w:bookmarkEnd w:id="25203"/>
    </w:p>
    <w:p w14:paraId="160743AC" w14:textId="77777777" w:rsidR="003D504D" w:rsidRPr="00FF3DD3" w:rsidRDefault="003D504D" w:rsidP="00223668">
      <w:pPr>
        <w:pStyle w:val="a0"/>
        <w:rPr>
          <w:rtl/>
        </w:rPr>
      </w:pPr>
      <w:bookmarkStart w:id="25204" w:name="_Ref4271331"/>
      <w:r>
        <w:rPr>
          <w:rStyle w:val="af9"/>
          <w:rFonts w:hint="cs"/>
          <w:rtl/>
        </w:rPr>
        <w:t>ו</w:t>
      </w:r>
      <w:r w:rsidRPr="002A56BB">
        <w:rPr>
          <w:rStyle w:val="af9"/>
          <w:rFonts w:hint="cs"/>
          <w:rtl/>
        </w:rPr>
        <w:t>הרא"ש</w:t>
      </w:r>
      <w:r w:rsidRPr="002A56BB">
        <w:rPr>
          <w:rFonts w:hint="cs"/>
          <w:rtl/>
        </w:rPr>
        <w:t xml:space="preserve"> </w:t>
      </w:r>
      <w:r w:rsidRPr="00197463">
        <w:rPr>
          <w:rStyle w:val="af7"/>
          <w:rFonts w:eastAsia="Guttman Hodes" w:hint="cs"/>
          <w:rtl/>
        </w:rPr>
        <w:t>(סי' ה')</w:t>
      </w:r>
      <w:r w:rsidRPr="002A56BB">
        <w:rPr>
          <w:rFonts w:hint="cs"/>
          <w:rtl/>
        </w:rPr>
        <w:t xml:space="preserve"> </w:t>
      </w:r>
      <w:r>
        <w:rPr>
          <w:rFonts w:hint="cs"/>
          <w:rtl/>
        </w:rPr>
        <w:t xml:space="preserve">כתב </w:t>
      </w:r>
      <w:r w:rsidRPr="002A56BB">
        <w:rPr>
          <w:rFonts w:hint="cs"/>
          <w:rtl/>
        </w:rPr>
        <w:t>דהיתר ה</w:t>
      </w:r>
      <w:r>
        <w:rPr>
          <w:rFonts w:hint="cs"/>
          <w:rtl/>
        </w:rPr>
        <w:t>שליל</w:t>
      </w:r>
      <w:r w:rsidRPr="002A56BB">
        <w:rPr>
          <w:rFonts w:hint="cs"/>
          <w:rtl/>
        </w:rPr>
        <w:t xml:space="preserve"> הוא גזיה"כ דיש בו היתר "כל בבהמה תאכלו", והיתר זה מתיר אף את חלבו</w:t>
      </w:r>
      <w:r>
        <w:rPr>
          <w:rFonts w:hint="cs"/>
          <w:rtl/>
        </w:rPr>
        <w:t>,</w:t>
      </w:r>
      <w:r w:rsidRPr="002A56BB">
        <w:rPr>
          <w:rFonts w:hint="cs"/>
          <w:rtl/>
        </w:rPr>
        <w:t xml:space="preserve"> והוסיף </w:t>
      </w:r>
      <w:r w:rsidRPr="002A56BB">
        <w:rPr>
          <w:rStyle w:val="af9"/>
          <w:rFonts w:hint="cs"/>
          <w:rtl/>
        </w:rPr>
        <w:t>הרא"ש</w:t>
      </w:r>
      <w:r w:rsidRPr="002A56BB">
        <w:rPr>
          <w:rFonts w:hint="cs"/>
          <w:rtl/>
        </w:rPr>
        <w:t xml:space="preserve"> ד</w:t>
      </w:r>
      <w:r>
        <w:rPr>
          <w:rFonts w:hint="cs"/>
          <w:rtl/>
        </w:rPr>
        <w:t xml:space="preserve">מ"מ </w:t>
      </w:r>
      <w:r w:rsidRPr="002A56BB">
        <w:rPr>
          <w:rFonts w:hint="cs"/>
          <w:rtl/>
        </w:rPr>
        <w:t xml:space="preserve">דמו אסור, כיון שהדם נבלע בכל הגוף, וחשיב כדם האברים של הבהמה עצמה שפירש, </w:t>
      </w:r>
      <w:r>
        <w:rPr>
          <w:rFonts w:hint="cs"/>
          <w:rtl/>
        </w:rPr>
        <w:t xml:space="preserve">ועי' במ"ש </w:t>
      </w:r>
      <w:r w:rsidRPr="00D74DE8">
        <w:rPr>
          <w:rStyle w:val="af9"/>
          <w:rFonts w:hint="cs"/>
          <w:rtl/>
        </w:rPr>
        <w:t xml:space="preserve">האחרונים </w:t>
      </w:r>
      <w:r w:rsidRPr="00D74DE8">
        <w:rPr>
          <w:rStyle w:val="af7"/>
          <w:rFonts w:eastAsia="Guttman Hodes" w:hint="cs"/>
          <w:rtl/>
        </w:rPr>
        <w:t xml:space="preserve">(הובאו לעיל סימן ו' </w:t>
      </w:r>
      <w:r>
        <w:rPr>
          <w:rStyle w:val="af7"/>
          <w:rFonts w:eastAsia="Guttman Hodes" w:hint="cs"/>
          <w:rtl/>
        </w:rPr>
        <w:t>אות נו</w:t>
      </w:r>
      <w:r w:rsidRPr="00D74DE8">
        <w:rPr>
          <w:rStyle w:val="af7"/>
          <w:rFonts w:eastAsia="Guttman Hodes" w:hint="cs"/>
          <w:rtl/>
        </w:rPr>
        <w:t xml:space="preserve">) </w:t>
      </w:r>
      <w:r>
        <w:rPr>
          <w:rFonts w:hint="cs"/>
          <w:rtl/>
        </w:rPr>
        <w:t xml:space="preserve">בביאור דברי </w:t>
      </w:r>
      <w:r>
        <w:rPr>
          <w:rStyle w:val="af9"/>
          <w:rFonts w:hint="cs"/>
          <w:rtl/>
        </w:rPr>
        <w:t>הרא"ש</w:t>
      </w:r>
      <w:r w:rsidRPr="00FF3DD3">
        <w:rPr>
          <w:rFonts w:hint="cs"/>
          <w:rtl/>
        </w:rPr>
        <w:t>, ועי' במה שהקשה</w:t>
      </w:r>
      <w:r>
        <w:rPr>
          <w:rStyle w:val="af9"/>
          <w:rFonts w:hint="cs"/>
          <w:rtl/>
        </w:rPr>
        <w:t xml:space="preserve"> הגרש"ר</w:t>
      </w:r>
      <w:r w:rsidRPr="00FF3DD3">
        <w:rPr>
          <w:rStyle w:val="af7"/>
          <w:rFonts w:eastAsia="Guttman Hodes" w:hint="cs"/>
          <w:rtl/>
        </w:rPr>
        <w:t xml:space="preserve"> (עי' אות </w:t>
      </w:r>
      <w:r w:rsidRPr="00FF3DD3">
        <w:rPr>
          <w:rStyle w:val="af7"/>
          <w:rFonts w:eastAsia="Guttman Hodes"/>
          <w:rtl/>
        </w:rPr>
        <w:fldChar w:fldCharType="begin"/>
      </w:r>
      <w:r w:rsidRPr="00FF3DD3">
        <w:rPr>
          <w:rStyle w:val="af7"/>
          <w:rFonts w:eastAsia="Guttman Hodes"/>
          <w:rtl/>
        </w:rPr>
        <w:instrText xml:space="preserve"> </w:instrText>
      </w:r>
      <w:r w:rsidRPr="00FF3DD3">
        <w:rPr>
          <w:rStyle w:val="af7"/>
          <w:rFonts w:eastAsia="Guttman Hodes" w:hint="cs"/>
        </w:rPr>
        <w:instrText>REF</w:instrText>
      </w:r>
      <w:r w:rsidRPr="00FF3DD3">
        <w:rPr>
          <w:rStyle w:val="af7"/>
          <w:rFonts w:eastAsia="Guttman Hodes" w:hint="cs"/>
          <w:rtl/>
        </w:rPr>
        <w:instrText xml:space="preserve"> _</w:instrText>
      </w:r>
      <w:r w:rsidRPr="00FF3DD3">
        <w:rPr>
          <w:rStyle w:val="af7"/>
          <w:rFonts w:eastAsia="Guttman Hodes" w:hint="cs"/>
        </w:rPr>
        <w:instrText>Ref4308802 \r \h</w:instrText>
      </w:r>
      <w:r w:rsidRPr="00FF3DD3">
        <w:rPr>
          <w:rStyle w:val="af7"/>
          <w:rFonts w:eastAsia="Guttman Hodes"/>
          <w:rtl/>
        </w:rPr>
        <w:instrText xml:space="preserve"> </w:instrText>
      </w:r>
      <w:r w:rsidRPr="00FF3DD3">
        <w:rPr>
          <w:rStyle w:val="af7"/>
          <w:rFonts w:eastAsia="Guttman Hodes"/>
          <w:rtl/>
        </w:rPr>
      </w:r>
      <w:r w:rsidRPr="00FF3DD3">
        <w:rPr>
          <w:rStyle w:val="af7"/>
          <w:rFonts w:eastAsia="Guttman Hodes"/>
          <w:rtl/>
        </w:rPr>
        <w:fldChar w:fldCharType="separate"/>
      </w:r>
      <w:r w:rsidR="00345400">
        <w:rPr>
          <w:rStyle w:val="af7"/>
          <w:rFonts w:eastAsia="Guttman Hodes"/>
          <w:cs/>
        </w:rPr>
        <w:t>‎</w:t>
      </w:r>
      <w:r w:rsidR="00345400">
        <w:rPr>
          <w:rStyle w:val="af7"/>
          <w:rFonts w:eastAsia="Guttman Hodes"/>
          <w:rtl/>
        </w:rPr>
        <w:t>מב)</w:t>
      </w:r>
      <w:r w:rsidRPr="00FF3DD3">
        <w:rPr>
          <w:rStyle w:val="af7"/>
          <w:rFonts w:eastAsia="Guttman Hodes"/>
          <w:rtl/>
        </w:rPr>
        <w:fldChar w:fldCharType="end"/>
      </w:r>
      <w:r w:rsidRPr="00FF3DD3">
        <w:rPr>
          <w:rStyle w:val="af7"/>
          <w:rFonts w:eastAsia="Guttman Hodes" w:hint="cs"/>
          <w:rtl/>
        </w:rPr>
        <w:t xml:space="preserve"> </w:t>
      </w:r>
      <w:r w:rsidRPr="00FF3DD3">
        <w:rPr>
          <w:rFonts w:hint="cs"/>
          <w:rtl/>
        </w:rPr>
        <w:t>על דברי</w:t>
      </w:r>
      <w:r>
        <w:rPr>
          <w:rStyle w:val="af9"/>
          <w:rFonts w:hint="cs"/>
          <w:rtl/>
        </w:rPr>
        <w:t xml:space="preserve"> הרא"ש</w:t>
      </w:r>
      <w:r w:rsidRPr="00FF3DD3">
        <w:rPr>
          <w:rFonts w:hint="cs"/>
          <w:rtl/>
        </w:rPr>
        <w:t>.</w:t>
      </w:r>
      <w:bookmarkEnd w:id="25204"/>
    </w:p>
    <w:p w14:paraId="2FBBE438" w14:textId="77777777" w:rsidR="003D504D" w:rsidRDefault="003D504D" w:rsidP="003D504D">
      <w:pPr>
        <w:pStyle w:val="afe"/>
        <w:rPr>
          <w:rtl/>
        </w:rPr>
      </w:pPr>
      <w:bookmarkStart w:id="25205" w:name="_Toc4305397"/>
      <w:bookmarkStart w:id="25206" w:name="_Toc4316238"/>
      <w:bookmarkStart w:id="25207" w:name="_Toc4330682"/>
      <w:bookmarkStart w:id="25208" w:name="_Toc19436428"/>
      <w:bookmarkStart w:id="25209" w:name="_Toc20081545"/>
      <w:r>
        <w:rPr>
          <w:rFonts w:hint="cs"/>
          <w:rtl/>
        </w:rPr>
        <w:t>פלוגתת הראשונים בחיוב כרת לריו"ח</w:t>
      </w:r>
      <w:bookmarkEnd w:id="25168"/>
      <w:bookmarkEnd w:id="25205"/>
      <w:bookmarkEnd w:id="25206"/>
      <w:bookmarkEnd w:id="25207"/>
      <w:bookmarkEnd w:id="25208"/>
      <w:bookmarkEnd w:id="25209"/>
    </w:p>
    <w:p w14:paraId="562EFDCD" w14:textId="77777777" w:rsidR="003D504D" w:rsidRDefault="003D504D" w:rsidP="00BF39B2">
      <w:pPr>
        <w:pStyle w:val="1"/>
        <w:rPr>
          <w:rtl/>
        </w:rPr>
      </w:pPr>
      <w:bookmarkStart w:id="25210" w:name="_Toc2723903"/>
      <w:bookmarkStart w:id="25211" w:name="_Toc2541650"/>
      <w:bookmarkStart w:id="25212" w:name="_Toc2597305"/>
      <w:bookmarkStart w:id="25213" w:name="_Toc2618569"/>
      <w:bookmarkStart w:id="25214" w:name="_Toc2628212"/>
      <w:bookmarkStart w:id="25215" w:name="_Toc4305398"/>
      <w:bookmarkStart w:id="25216" w:name="_Toc4316239"/>
      <w:bookmarkStart w:id="25217" w:name="_Toc4330683"/>
      <w:bookmarkStart w:id="25218" w:name="_Toc19392086"/>
      <w:bookmarkStart w:id="25219" w:name="_Toc19395583"/>
      <w:r>
        <w:rPr>
          <w:rFonts w:hint="cs"/>
          <w:rtl/>
        </w:rPr>
        <w:t>דברי הרי"ף</w:t>
      </w:r>
      <w:bookmarkEnd w:id="25210"/>
      <w:r>
        <w:rPr>
          <w:rFonts w:hint="cs"/>
          <w:rtl/>
        </w:rPr>
        <w:t xml:space="preserve"> </w:t>
      </w:r>
      <w:bookmarkEnd w:id="25211"/>
      <w:bookmarkEnd w:id="25212"/>
      <w:bookmarkEnd w:id="25213"/>
      <w:bookmarkEnd w:id="25214"/>
      <w:r>
        <w:rPr>
          <w:rFonts w:hint="cs"/>
          <w:rtl/>
        </w:rPr>
        <w:t>דריו"ח אוסר בדם וכן קיי"ל להלכה</w:t>
      </w:r>
      <w:bookmarkEnd w:id="25215"/>
      <w:bookmarkEnd w:id="25216"/>
      <w:bookmarkEnd w:id="25217"/>
      <w:bookmarkEnd w:id="25218"/>
      <w:bookmarkEnd w:id="25219"/>
    </w:p>
    <w:p w14:paraId="63CB89EC" w14:textId="77777777" w:rsidR="003D504D" w:rsidRPr="004B14E3" w:rsidRDefault="003D504D" w:rsidP="003D504D">
      <w:pPr>
        <w:pStyle w:val="a3"/>
        <w:rPr>
          <w:rtl/>
        </w:rPr>
      </w:pPr>
      <w:bookmarkStart w:id="25220" w:name="_Toc4305399"/>
      <w:bookmarkStart w:id="25221" w:name="_Toc4316240"/>
      <w:bookmarkStart w:id="25222" w:name="_Toc4330684"/>
      <w:bookmarkStart w:id="25223" w:name="_Toc19392087"/>
      <w:bookmarkStart w:id="25224" w:name="_Toc19395584"/>
      <w:r>
        <w:rPr>
          <w:rFonts w:hint="cs"/>
          <w:rtl/>
        </w:rPr>
        <w:t>דברי הרי"ף דלר"ל לר"י שמתיר בחלב דמו מותר ולריו"ח דמו אסור אף לר"י וקיי"ל כריו"ח</w:t>
      </w:r>
      <w:bookmarkEnd w:id="25220"/>
      <w:bookmarkEnd w:id="25221"/>
      <w:bookmarkEnd w:id="25222"/>
      <w:bookmarkEnd w:id="25223"/>
      <w:bookmarkEnd w:id="25224"/>
    </w:p>
    <w:p w14:paraId="12770485" w14:textId="77777777" w:rsidR="003D504D" w:rsidRDefault="003D504D" w:rsidP="00223668">
      <w:pPr>
        <w:pStyle w:val="a0"/>
        <w:rPr>
          <w:rtl/>
        </w:rPr>
      </w:pPr>
      <w:bookmarkStart w:id="25225" w:name="_Ref2275292"/>
      <w:r>
        <w:rPr>
          <w:rFonts w:hint="cs"/>
          <w:rtl/>
        </w:rPr>
        <w:t xml:space="preserve">בפלוגתת ריו"ח ור"ל בדמו כתב </w:t>
      </w:r>
      <w:r w:rsidRPr="006C487B">
        <w:rPr>
          <w:rStyle w:val="af9"/>
          <w:rFonts w:hint="cs"/>
          <w:rtl/>
        </w:rPr>
        <w:t>הרי"ף</w:t>
      </w:r>
      <w:r>
        <w:rPr>
          <w:rFonts w:hint="cs"/>
          <w:rtl/>
        </w:rPr>
        <w:t xml:space="preserve"> </w:t>
      </w:r>
      <w:r w:rsidRPr="006C487B">
        <w:rPr>
          <w:rStyle w:val="af7"/>
          <w:rFonts w:eastAsia="Guttman Hodes" w:hint="cs"/>
          <w:rtl/>
        </w:rPr>
        <w:t>(כה. מדפי הרי"ף)</w:t>
      </w:r>
      <w:r>
        <w:rPr>
          <w:rFonts w:hint="cs"/>
          <w:rtl/>
        </w:rPr>
        <w:t xml:space="preserve"> דר"ל ס"ל דלר"י דמתיר בחלבו אף דמו מותר, ולריו"ח אף לר"י דמו אסור, וכתב </w:t>
      </w:r>
      <w:r w:rsidRPr="006C487B">
        <w:rPr>
          <w:rStyle w:val="af9"/>
          <w:rFonts w:hint="cs"/>
          <w:rtl/>
        </w:rPr>
        <w:t>הרי"ף</w:t>
      </w:r>
      <w:r>
        <w:rPr>
          <w:rFonts w:hint="cs"/>
          <w:rtl/>
        </w:rPr>
        <w:t xml:space="preserve"> דקיי"ל כריו"ח.</w:t>
      </w:r>
      <w:bookmarkEnd w:id="25225"/>
    </w:p>
    <w:p w14:paraId="7AF5175D" w14:textId="77777777" w:rsidR="003D504D" w:rsidRPr="001E33C2" w:rsidRDefault="003D504D" w:rsidP="00BF39B2">
      <w:pPr>
        <w:pStyle w:val="1"/>
        <w:rPr>
          <w:rtl/>
        </w:rPr>
      </w:pPr>
      <w:bookmarkStart w:id="25226" w:name="_Toc2723904"/>
      <w:bookmarkStart w:id="25227" w:name="_Toc4305400"/>
      <w:bookmarkStart w:id="25228" w:name="_Toc4316241"/>
      <w:bookmarkStart w:id="25229" w:name="_Toc4330685"/>
      <w:bookmarkStart w:id="25230" w:name="_Toc19392088"/>
      <w:bookmarkStart w:id="25231" w:name="_Toc19395585"/>
      <w:r>
        <w:rPr>
          <w:rFonts w:hint="cs"/>
          <w:rtl/>
        </w:rPr>
        <w:t>דעת הרשב"א והר"ן</w:t>
      </w:r>
      <w:bookmarkEnd w:id="25226"/>
      <w:r>
        <w:rPr>
          <w:rFonts w:hint="cs"/>
          <w:rtl/>
        </w:rPr>
        <w:t xml:space="preserve"> דלהרי"ף והרמב"ם ריו"ח מחייב כרת</w:t>
      </w:r>
      <w:bookmarkEnd w:id="25227"/>
      <w:bookmarkEnd w:id="25228"/>
      <w:bookmarkEnd w:id="25229"/>
      <w:bookmarkEnd w:id="25230"/>
      <w:bookmarkEnd w:id="25231"/>
    </w:p>
    <w:p w14:paraId="278E3BB4" w14:textId="77777777" w:rsidR="003D504D" w:rsidRDefault="003D504D" w:rsidP="003D504D">
      <w:pPr>
        <w:pStyle w:val="a3"/>
        <w:rPr>
          <w:rtl/>
        </w:rPr>
      </w:pPr>
      <w:bookmarkStart w:id="25232" w:name="_Toc4305401"/>
      <w:bookmarkStart w:id="25233" w:name="_Toc4316242"/>
      <w:bookmarkStart w:id="25234" w:name="_Toc4330686"/>
      <w:bookmarkStart w:id="25235" w:name="_Toc19392089"/>
      <w:bookmarkStart w:id="25236" w:name="_Toc19395586"/>
      <w:r>
        <w:rPr>
          <w:rFonts w:hint="cs"/>
          <w:rtl/>
        </w:rPr>
        <w:t>דברי הרשב"א דלהו"א לריו"ח לכו"ע חייב כרת ולר"ל מותר ולמסקנא לר"ל אסור בלאו</w:t>
      </w:r>
      <w:bookmarkEnd w:id="25232"/>
      <w:bookmarkEnd w:id="25233"/>
      <w:bookmarkEnd w:id="25234"/>
      <w:bookmarkEnd w:id="25235"/>
      <w:bookmarkEnd w:id="25236"/>
    </w:p>
    <w:p w14:paraId="1695380B" w14:textId="77777777" w:rsidR="003D504D" w:rsidRDefault="003D504D" w:rsidP="00223668">
      <w:pPr>
        <w:pStyle w:val="a0"/>
      </w:pPr>
      <w:bookmarkStart w:id="25237" w:name="_Ref2703130"/>
      <w:r>
        <w:rPr>
          <w:rFonts w:hint="cs"/>
          <w:rtl/>
        </w:rPr>
        <w:t xml:space="preserve">כתב </w:t>
      </w:r>
      <w:r w:rsidRPr="00A17F81">
        <w:rPr>
          <w:rStyle w:val="af9"/>
          <w:rFonts w:hint="cs"/>
          <w:rtl/>
        </w:rPr>
        <w:t>הרשב"א</w:t>
      </w:r>
      <w:r>
        <w:rPr>
          <w:rFonts w:hint="cs"/>
          <w:rtl/>
        </w:rPr>
        <w:t xml:space="preserve"> </w:t>
      </w:r>
      <w:r w:rsidRPr="002910CB">
        <w:rPr>
          <w:rStyle w:val="af7"/>
          <w:rFonts w:eastAsia="Guttman Hodes" w:hint="cs"/>
          <w:rtl/>
        </w:rPr>
        <w:t>(ד"ה ולענין)</w:t>
      </w:r>
      <w:r>
        <w:rPr>
          <w:rFonts w:hint="cs"/>
          <w:rtl/>
        </w:rPr>
        <w:t xml:space="preserve"> דריו"ח מחייב כרת על דם השליל אף לדברי המתיר, ור"ל בהו"א ס"ל דלר"י דמתיר בחלב אף דמו מותר, ולמסקנא מודה </w:t>
      </w:r>
      <w:r w:rsidRPr="00A17F81">
        <w:rPr>
          <w:rFonts w:hint="cs"/>
          <w:rtl/>
        </w:rPr>
        <w:t xml:space="preserve">ר"ל </w:t>
      </w:r>
      <w:r>
        <w:rPr>
          <w:rFonts w:hint="cs"/>
          <w:rtl/>
        </w:rPr>
        <w:t>דהדם אסור</w:t>
      </w:r>
      <w:r w:rsidRPr="00271F86">
        <w:rPr>
          <w:rFonts w:hint="cs"/>
          <w:rtl/>
        </w:rPr>
        <w:t xml:space="preserve"> בלא</w:t>
      </w:r>
      <w:r>
        <w:rPr>
          <w:rFonts w:hint="cs"/>
          <w:rtl/>
        </w:rPr>
        <w:t>ו,</w:t>
      </w:r>
      <w:r w:rsidRPr="002A1974">
        <w:rPr>
          <w:rFonts w:hint="cs"/>
          <w:rtl/>
        </w:rPr>
        <w:t xml:space="preserve"> </w:t>
      </w:r>
      <w:r>
        <w:rPr>
          <w:rFonts w:hint="cs"/>
          <w:rtl/>
        </w:rPr>
        <w:t xml:space="preserve">וכ"כ </w:t>
      </w:r>
      <w:r w:rsidRPr="003E502F">
        <w:rPr>
          <w:rStyle w:val="af9"/>
          <w:rFonts w:hint="cs"/>
          <w:rtl/>
        </w:rPr>
        <w:t>הר"ן על הרי"ף</w:t>
      </w:r>
      <w:r>
        <w:rPr>
          <w:rFonts w:hint="cs"/>
          <w:rtl/>
        </w:rPr>
        <w:t xml:space="preserve"> </w:t>
      </w:r>
      <w:r w:rsidRPr="002A1974">
        <w:rPr>
          <w:rStyle w:val="af7"/>
          <w:rFonts w:eastAsia="Guttman Hodes" w:hint="cs"/>
          <w:rtl/>
        </w:rPr>
        <w:t>(כה. מדפי הרי"ף ד"ה ולענין)</w:t>
      </w:r>
      <w:r>
        <w:rPr>
          <w:rFonts w:hint="cs"/>
          <w:rtl/>
        </w:rPr>
        <w:t xml:space="preserve"> דאף לר"ל אין דמו מותר לגמרי, אלא הוא בלאו,.</w:t>
      </w:r>
    </w:p>
    <w:p w14:paraId="7593B4B1" w14:textId="77777777" w:rsidR="003D504D" w:rsidRDefault="003D504D" w:rsidP="003D504D">
      <w:pPr>
        <w:pStyle w:val="a3"/>
        <w:rPr>
          <w:rtl/>
        </w:rPr>
      </w:pPr>
      <w:bookmarkStart w:id="25238" w:name="_Toc4305402"/>
      <w:bookmarkStart w:id="25239" w:name="_Toc4316243"/>
      <w:bookmarkStart w:id="25240" w:name="_Toc4330687"/>
      <w:bookmarkStart w:id="25241" w:name="_Toc19392090"/>
      <w:bookmarkStart w:id="25242" w:name="_Toc19395587"/>
      <w:r>
        <w:rPr>
          <w:rFonts w:hint="cs"/>
          <w:rtl/>
        </w:rPr>
        <w:t>דברי הרשב"א דלרי"ף והרמב"ם ריו"ח מחייב כרת וביאור הר"ן דכיון דלר"ל בלאו לריו"ח בכרת</w:t>
      </w:r>
      <w:bookmarkEnd w:id="25238"/>
      <w:bookmarkEnd w:id="25239"/>
      <w:bookmarkEnd w:id="25240"/>
      <w:bookmarkEnd w:id="25241"/>
      <w:bookmarkEnd w:id="25242"/>
    </w:p>
    <w:p w14:paraId="3E87DB11" w14:textId="77777777" w:rsidR="003D504D" w:rsidRDefault="003D504D" w:rsidP="00223668">
      <w:pPr>
        <w:pStyle w:val="a0"/>
        <w:rPr>
          <w:rtl/>
        </w:rPr>
      </w:pPr>
      <w:bookmarkStart w:id="25243" w:name="_Ref4317758"/>
      <w:r w:rsidRPr="00271F86">
        <w:rPr>
          <w:rFonts w:hint="cs"/>
          <w:rtl/>
        </w:rPr>
        <w:t xml:space="preserve">והביא </w:t>
      </w:r>
      <w:r w:rsidRPr="00271F86">
        <w:rPr>
          <w:rStyle w:val="af9"/>
          <w:rFonts w:hint="cs"/>
          <w:rtl/>
        </w:rPr>
        <w:t>הרשב"א</w:t>
      </w:r>
      <w:r w:rsidRPr="00271F86">
        <w:rPr>
          <w:rFonts w:hint="cs"/>
          <w:rtl/>
        </w:rPr>
        <w:t xml:space="preserve"> את דברי </w:t>
      </w:r>
      <w:r w:rsidRPr="00271F86">
        <w:rPr>
          <w:rStyle w:val="af9"/>
          <w:rFonts w:hint="cs"/>
          <w:rtl/>
        </w:rPr>
        <w:t>הרי"ף</w:t>
      </w:r>
      <w:r w:rsidRPr="00271F86">
        <w:rPr>
          <w:rFonts w:hint="cs"/>
          <w:rtl/>
        </w:rPr>
        <w:t xml:space="preserve"> </w:t>
      </w:r>
      <w:r w:rsidRPr="002829AC">
        <w:rPr>
          <w:rStyle w:val="af7"/>
          <w:rFonts w:eastAsia="Guttman Hodes" w:hint="cs"/>
          <w:rtl/>
        </w:rPr>
        <w:t xml:space="preserve">(עי' אות </w:t>
      </w:r>
      <w:r w:rsidRPr="002829AC">
        <w:rPr>
          <w:rStyle w:val="af7"/>
          <w:rFonts w:eastAsia="Guttman Hodes"/>
          <w:rtl/>
        </w:rPr>
        <w:fldChar w:fldCharType="begin"/>
      </w:r>
      <w:r w:rsidRPr="002829AC">
        <w:rPr>
          <w:rStyle w:val="af7"/>
          <w:rFonts w:eastAsia="Guttman Hodes"/>
          <w:rtl/>
        </w:rPr>
        <w:instrText xml:space="preserve"> </w:instrText>
      </w:r>
      <w:r w:rsidRPr="002829AC">
        <w:rPr>
          <w:rStyle w:val="af7"/>
          <w:rFonts w:eastAsia="Guttman Hodes" w:hint="cs"/>
        </w:rPr>
        <w:instrText>REF</w:instrText>
      </w:r>
      <w:r w:rsidRPr="002829AC">
        <w:rPr>
          <w:rStyle w:val="af7"/>
          <w:rFonts w:eastAsia="Guttman Hodes" w:hint="cs"/>
          <w:rtl/>
        </w:rPr>
        <w:instrText xml:space="preserve"> _</w:instrText>
      </w:r>
      <w:r w:rsidRPr="002829AC">
        <w:rPr>
          <w:rStyle w:val="af7"/>
          <w:rFonts w:eastAsia="Guttman Hodes" w:hint="cs"/>
        </w:rPr>
        <w:instrText>Ref2275292 \r \h</w:instrText>
      </w:r>
      <w:r w:rsidRPr="002829AC">
        <w:rPr>
          <w:rStyle w:val="af7"/>
          <w:rFonts w:eastAsia="Guttman Hodes"/>
          <w:rtl/>
        </w:rPr>
        <w:instrText xml:space="preserve"> </w:instrText>
      </w:r>
      <w:r w:rsidRPr="002829AC">
        <w:rPr>
          <w:rStyle w:val="af7"/>
          <w:rFonts w:eastAsia="Guttman Hodes"/>
          <w:rtl/>
        </w:rPr>
      </w:r>
      <w:r w:rsidRPr="002829AC">
        <w:rPr>
          <w:rStyle w:val="af7"/>
          <w:rFonts w:eastAsia="Guttman Hodes"/>
          <w:rtl/>
        </w:rPr>
        <w:fldChar w:fldCharType="separate"/>
      </w:r>
      <w:r w:rsidR="00345400">
        <w:rPr>
          <w:rStyle w:val="af7"/>
          <w:rFonts w:eastAsia="Guttman Hodes"/>
          <w:cs/>
        </w:rPr>
        <w:t>‎</w:t>
      </w:r>
      <w:r w:rsidR="00345400">
        <w:rPr>
          <w:rStyle w:val="af7"/>
          <w:rFonts w:eastAsia="Guttman Hodes"/>
          <w:rtl/>
        </w:rPr>
        <w:t>ה)</w:t>
      </w:r>
      <w:r w:rsidRPr="002829AC">
        <w:rPr>
          <w:rStyle w:val="af7"/>
          <w:rFonts w:eastAsia="Guttman Hodes"/>
          <w:rtl/>
        </w:rPr>
        <w:fldChar w:fldCharType="end"/>
      </w:r>
      <w:r>
        <w:rPr>
          <w:rFonts w:hint="cs"/>
          <w:rtl/>
        </w:rPr>
        <w:t xml:space="preserve"> דפסק כריו"ח, וביאר </w:t>
      </w:r>
      <w:r w:rsidRPr="00AF47C1">
        <w:rPr>
          <w:rStyle w:val="af9"/>
          <w:rFonts w:hint="cs"/>
          <w:rtl/>
        </w:rPr>
        <w:t>הרשב"א</w:t>
      </w:r>
      <w:r>
        <w:rPr>
          <w:rFonts w:hint="cs"/>
          <w:rtl/>
        </w:rPr>
        <w:t xml:space="preserve"> דכוונת </w:t>
      </w:r>
      <w:r w:rsidRPr="00AF47C1">
        <w:rPr>
          <w:rStyle w:val="af9"/>
          <w:rFonts w:hint="cs"/>
          <w:rtl/>
        </w:rPr>
        <w:t>הרי"ף</w:t>
      </w:r>
      <w:r>
        <w:rPr>
          <w:rFonts w:hint="cs"/>
          <w:rtl/>
        </w:rPr>
        <w:t xml:space="preserve"> לומר דחייב כרת </w:t>
      </w:r>
      <w:r w:rsidRPr="00AF47C1">
        <w:rPr>
          <w:rStyle w:val="afb"/>
          <w:rFonts w:hint="cs"/>
          <w:rtl/>
        </w:rPr>
        <w:t>[</w:t>
      </w:r>
      <w:r>
        <w:rPr>
          <w:rStyle w:val="afb"/>
          <w:rFonts w:hint="cs"/>
          <w:rtl/>
        </w:rPr>
        <w:t xml:space="preserve">דהוי </w:t>
      </w:r>
      <w:r w:rsidRPr="00AF47C1">
        <w:rPr>
          <w:rStyle w:val="afb"/>
          <w:rFonts w:hint="cs"/>
          <w:rtl/>
        </w:rPr>
        <w:t>דם הנפש]</w:t>
      </w:r>
      <w:r>
        <w:rPr>
          <w:rFonts w:hint="cs"/>
          <w:rtl/>
        </w:rPr>
        <w:t>, וביאר</w:t>
      </w:r>
      <w:r w:rsidRPr="00605DA7">
        <w:rPr>
          <w:rFonts w:hint="cs"/>
          <w:rtl/>
        </w:rPr>
        <w:t xml:space="preserve"> </w:t>
      </w:r>
      <w:r w:rsidRPr="003E502F">
        <w:rPr>
          <w:rStyle w:val="af9"/>
          <w:rFonts w:hint="cs"/>
          <w:rtl/>
        </w:rPr>
        <w:t xml:space="preserve">הר"ן </w:t>
      </w:r>
      <w:r>
        <w:rPr>
          <w:rFonts w:hint="cs"/>
          <w:rtl/>
        </w:rPr>
        <w:t xml:space="preserve">דכיון דלר"ל הדם בלאו, א"כ מבואר דלריו"ח חייב כרת, ולכן פסק </w:t>
      </w:r>
      <w:r w:rsidRPr="00AF47C1">
        <w:rPr>
          <w:rStyle w:val="af9"/>
          <w:rFonts w:hint="cs"/>
          <w:rtl/>
        </w:rPr>
        <w:t>הרי"ף</w:t>
      </w:r>
      <w:r>
        <w:rPr>
          <w:rFonts w:hint="cs"/>
          <w:rtl/>
        </w:rPr>
        <w:t xml:space="preserve"> דחייב כרת, </w:t>
      </w:r>
      <w:r w:rsidRPr="00271F86">
        <w:rPr>
          <w:rFonts w:hint="cs"/>
          <w:rtl/>
        </w:rPr>
        <w:t>ועוד הביא</w:t>
      </w:r>
      <w:r>
        <w:rPr>
          <w:rFonts w:hint="cs"/>
          <w:rtl/>
        </w:rPr>
        <w:t>ו</w:t>
      </w:r>
      <w:r w:rsidRPr="00271F86">
        <w:rPr>
          <w:rFonts w:hint="cs"/>
          <w:rtl/>
        </w:rPr>
        <w:t xml:space="preserve"> </w:t>
      </w:r>
      <w:r w:rsidRPr="00271F86">
        <w:rPr>
          <w:rStyle w:val="af9"/>
          <w:rFonts w:hint="cs"/>
          <w:rtl/>
        </w:rPr>
        <w:t>הרשב"א</w:t>
      </w:r>
      <w:r w:rsidRPr="00271F86">
        <w:rPr>
          <w:rFonts w:hint="cs"/>
          <w:rtl/>
        </w:rPr>
        <w:t xml:space="preserve"> </w:t>
      </w:r>
      <w:r>
        <w:rPr>
          <w:rStyle w:val="af9"/>
          <w:rFonts w:hint="cs"/>
          <w:rtl/>
        </w:rPr>
        <w:t>ו</w:t>
      </w:r>
      <w:r w:rsidRPr="00432842">
        <w:rPr>
          <w:rStyle w:val="af9"/>
          <w:rFonts w:hint="cs"/>
          <w:rtl/>
        </w:rPr>
        <w:t>הר"ן בחי'</w:t>
      </w:r>
      <w:r w:rsidRPr="002A1974">
        <w:rPr>
          <w:rStyle w:val="af7"/>
          <w:rFonts w:eastAsia="Guttman Hodes" w:hint="cs"/>
          <w:rtl/>
        </w:rPr>
        <w:t xml:space="preserve"> (ד"ה ריו"ח)</w:t>
      </w:r>
      <w:r>
        <w:rPr>
          <w:rFonts w:hint="cs"/>
          <w:rtl/>
        </w:rPr>
        <w:t xml:space="preserve"> </w:t>
      </w:r>
      <w:r w:rsidRPr="00271F86">
        <w:rPr>
          <w:rFonts w:hint="cs"/>
          <w:rtl/>
        </w:rPr>
        <w:t xml:space="preserve">את דברי </w:t>
      </w:r>
      <w:r w:rsidRPr="00271F86">
        <w:rPr>
          <w:rStyle w:val="af9"/>
          <w:rFonts w:hint="cs"/>
          <w:rtl/>
        </w:rPr>
        <w:t>הרמב"ם</w:t>
      </w:r>
      <w:r w:rsidRPr="002829AC">
        <w:rPr>
          <w:rStyle w:val="af7"/>
          <w:rFonts w:eastAsia="Guttman Hodes" w:hint="cs"/>
          <w:rtl/>
        </w:rPr>
        <w:t xml:space="preserve"> (עי' אות </w:t>
      </w:r>
      <w:r w:rsidRPr="002829AC">
        <w:rPr>
          <w:rStyle w:val="af7"/>
          <w:rFonts w:eastAsia="Guttman Hodes"/>
          <w:rtl/>
        </w:rPr>
        <w:fldChar w:fldCharType="begin"/>
      </w:r>
      <w:r w:rsidRPr="002829AC">
        <w:rPr>
          <w:rStyle w:val="af7"/>
          <w:rFonts w:eastAsia="Guttman Hodes"/>
          <w:rtl/>
        </w:rPr>
        <w:instrText xml:space="preserve"> </w:instrText>
      </w:r>
      <w:r w:rsidRPr="002829AC">
        <w:rPr>
          <w:rStyle w:val="af7"/>
          <w:rFonts w:eastAsia="Guttman Hodes" w:hint="cs"/>
        </w:rPr>
        <w:instrText>REF</w:instrText>
      </w:r>
      <w:r w:rsidRPr="002829AC">
        <w:rPr>
          <w:rStyle w:val="af7"/>
          <w:rFonts w:eastAsia="Guttman Hodes" w:hint="cs"/>
          <w:rtl/>
        </w:rPr>
        <w:instrText xml:space="preserve"> _</w:instrText>
      </w:r>
      <w:r w:rsidRPr="002829AC">
        <w:rPr>
          <w:rStyle w:val="af7"/>
          <w:rFonts w:eastAsia="Guttman Hodes" w:hint="cs"/>
        </w:rPr>
        <w:instrText>Ref4305445 \r \h</w:instrText>
      </w:r>
      <w:r w:rsidRPr="002829AC">
        <w:rPr>
          <w:rStyle w:val="af7"/>
          <w:rFonts w:eastAsia="Guttman Hodes"/>
          <w:rtl/>
        </w:rPr>
        <w:instrText xml:space="preserve"> </w:instrText>
      </w:r>
      <w:r w:rsidRPr="002829AC">
        <w:rPr>
          <w:rStyle w:val="af7"/>
          <w:rFonts w:eastAsia="Guttman Hodes"/>
          <w:rtl/>
        </w:rPr>
      </w:r>
      <w:r w:rsidRPr="002829AC">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2829AC">
        <w:rPr>
          <w:rStyle w:val="af7"/>
          <w:rFonts w:eastAsia="Guttman Hodes"/>
          <w:rtl/>
        </w:rPr>
        <w:fldChar w:fldCharType="end"/>
      </w:r>
      <w:r w:rsidRPr="002829AC">
        <w:rPr>
          <w:rStyle w:val="af7"/>
          <w:rFonts w:eastAsia="Guttman Hodes" w:hint="cs"/>
          <w:rtl/>
        </w:rPr>
        <w:t xml:space="preserve"> </w:t>
      </w:r>
      <w:r w:rsidRPr="00271F86">
        <w:rPr>
          <w:rFonts w:hint="cs"/>
          <w:rtl/>
        </w:rPr>
        <w:t>דכתב דהדם</w:t>
      </w:r>
      <w:r>
        <w:rPr>
          <w:rFonts w:hint="cs"/>
          <w:rtl/>
        </w:rPr>
        <w:t xml:space="preserve"> שכנוס בלבו של השליל בכרת, וביאר </w:t>
      </w:r>
      <w:r w:rsidRPr="003E502F">
        <w:rPr>
          <w:rStyle w:val="af9"/>
          <w:rFonts w:hint="cs"/>
          <w:rtl/>
        </w:rPr>
        <w:t xml:space="preserve">הר"ן </w:t>
      </w:r>
      <w:r w:rsidRPr="00432842">
        <w:rPr>
          <w:rStyle w:val="af9"/>
          <w:rFonts w:hint="cs"/>
          <w:rtl/>
        </w:rPr>
        <w:t>בחי'</w:t>
      </w:r>
      <w:r>
        <w:rPr>
          <w:rStyle w:val="af9"/>
          <w:rFonts w:hint="cs"/>
          <w:rtl/>
        </w:rPr>
        <w:t xml:space="preserve"> </w:t>
      </w:r>
      <w:r>
        <w:rPr>
          <w:rFonts w:hint="cs"/>
          <w:rtl/>
        </w:rPr>
        <w:t>דמדאמר ריו"ח דאף לדברי המתיר בחלב אוסר בדם, מבואר דס"ל דחייב כרת על הדם, דאי אין בו חיוב כרת, במה נחלק על ר"ל.</w:t>
      </w:r>
      <w:bookmarkEnd w:id="25237"/>
      <w:bookmarkEnd w:id="25243"/>
    </w:p>
    <w:p w14:paraId="7CEC033F" w14:textId="77777777" w:rsidR="003D504D" w:rsidRPr="006056AB" w:rsidRDefault="003D504D" w:rsidP="003D504D">
      <w:pPr>
        <w:pStyle w:val="a3"/>
      </w:pPr>
      <w:bookmarkStart w:id="25244" w:name="_Toc4305403"/>
      <w:bookmarkStart w:id="25245" w:name="_Toc4316244"/>
      <w:bookmarkStart w:id="25246" w:name="_Toc4330688"/>
      <w:bookmarkStart w:id="25247" w:name="_Toc19392091"/>
      <w:bookmarkStart w:id="25248" w:name="_Toc19395588"/>
      <w:bookmarkStart w:id="25249" w:name="_Toc2541647"/>
      <w:bookmarkStart w:id="25250" w:name="_Toc2597302"/>
      <w:bookmarkStart w:id="25251" w:name="_Toc2618566"/>
      <w:bookmarkStart w:id="25252" w:name="_Toc2628209"/>
      <w:r>
        <w:rPr>
          <w:rFonts w:hint="cs"/>
          <w:rtl/>
        </w:rPr>
        <w:t>קושית הר"ן דהיאך אפשר לחייב כרת הא אין לשליל דם הנפש וקיי"ל כרבנן דדם האברים בלאו</w:t>
      </w:r>
      <w:bookmarkEnd w:id="25244"/>
      <w:bookmarkEnd w:id="25245"/>
      <w:bookmarkEnd w:id="25246"/>
      <w:bookmarkEnd w:id="25247"/>
      <w:bookmarkEnd w:id="25248"/>
    </w:p>
    <w:p w14:paraId="0545938F" w14:textId="77777777" w:rsidR="003D504D" w:rsidRDefault="003D504D" w:rsidP="00223668">
      <w:pPr>
        <w:pStyle w:val="a0"/>
        <w:rPr>
          <w:rtl/>
        </w:rPr>
      </w:pPr>
      <w:bookmarkStart w:id="25253" w:name="_Ref4318826"/>
      <w:r>
        <w:rPr>
          <w:rFonts w:hint="cs"/>
          <w:rtl/>
        </w:rPr>
        <w:t xml:space="preserve">אך </w:t>
      </w:r>
      <w:r w:rsidRPr="00990951">
        <w:rPr>
          <w:rFonts w:hint="cs"/>
          <w:rtl/>
        </w:rPr>
        <w:t xml:space="preserve">הקשה </w:t>
      </w:r>
      <w:r w:rsidRPr="00990951">
        <w:rPr>
          <w:rStyle w:val="af9"/>
          <w:rFonts w:hint="cs"/>
          <w:rtl/>
        </w:rPr>
        <w:t>הר"ן בחי'</w:t>
      </w:r>
      <w:r w:rsidRPr="00990951">
        <w:rPr>
          <w:rFonts w:hint="cs"/>
          <w:rtl/>
        </w:rPr>
        <w:t xml:space="preserve"> על דהיאך</w:t>
      </w:r>
      <w:r>
        <w:rPr>
          <w:rFonts w:hint="cs"/>
          <w:rtl/>
        </w:rPr>
        <w:t xml:space="preserve"> אפש"ל דקיי"ל כריו"ח דמחייב כרת על דם השליל, הרי אין בשליל דם הנפש, וא"כ דמו הוא כדם האברים או התמצית, וקיי"ל כדעת רבנן דחיוב הכרת הוא רק בדם הנפש, אבל דם האברים הוא בלאו.</w:t>
      </w:r>
      <w:bookmarkEnd w:id="25253"/>
    </w:p>
    <w:p w14:paraId="593A783D" w14:textId="77777777" w:rsidR="003D504D" w:rsidRDefault="003D504D" w:rsidP="003D504D">
      <w:pPr>
        <w:pStyle w:val="a3"/>
        <w:rPr>
          <w:rtl/>
        </w:rPr>
      </w:pPr>
      <w:bookmarkStart w:id="25254" w:name="_Toc2541649"/>
      <w:bookmarkStart w:id="25255" w:name="_Toc2597304"/>
      <w:bookmarkStart w:id="25256" w:name="_Toc2618568"/>
      <w:bookmarkStart w:id="25257" w:name="_Toc2628211"/>
      <w:bookmarkStart w:id="25258" w:name="_Toc2723905"/>
      <w:bookmarkStart w:id="25259" w:name="_Toc4305404"/>
      <w:bookmarkStart w:id="25260" w:name="_Toc4316245"/>
      <w:bookmarkStart w:id="25261" w:name="_Toc4330689"/>
      <w:bookmarkStart w:id="25262" w:name="_Toc19392092"/>
      <w:bookmarkStart w:id="25263" w:name="_Toc19395589"/>
      <w:r w:rsidRPr="00FA247E">
        <w:rPr>
          <w:rFonts w:hint="cs"/>
          <w:rtl/>
        </w:rPr>
        <w:t>ביאור הר"ן דלריו"ח יש דם הנפש בשליל כיון דד' סימנים אכשר ביה רחמנא ויש בו חיות</w:t>
      </w:r>
      <w:bookmarkEnd w:id="25254"/>
      <w:bookmarkEnd w:id="25255"/>
      <w:bookmarkEnd w:id="25256"/>
      <w:bookmarkEnd w:id="25257"/>
      <w:bookmarkEnd w:id="25258"/>
      <w:bookmarkEnd w:id="25259"/>
      <w:bookmarkEnd w:id="25260"/>
      <w:bookmarkEnd w:id="25261"/>
      <w:bookmarkEnd w:id="25262"/>
      <w:bookmarkEnd w:id="25263"/>
    </w:p>
    <w:p w14:paraId="3323AB34" w14:textId="77777777" w:rsidR="003D504D" w:rsidRDefault="003D504D" w:rsidP="00223668">
      <w:pPr>
        <w:pStyle w:val="a0"/>
        <w:rPr>
          <w:rtl/>
        </w:rPr>
      </w:pPr>
      <w:bookmarkStart w:id="25264" w:name="_Ref4304876"/>
      <w:r>
        <w:rPr>
          <w:rFonts w:hint="cs"/>
          <w:rtl/>
        </w:rPr>
        <w:t xml:space="preserve">ותירץ </w:t>
      </w:r>
      <w:r w:rsidRPr="006666EC">
        <w:rPr>
          <w:rStyle w:val="af9"/>
          <w:rFonts w:hint="cs"/>
          <w:rtl/>
        </w:rPr>
        <w:t>הר"ן בחי'</w:t>
      </w:r>
      <w:r>
        <w:rPr>
          <w:rFonts w:hint="cs"/>
          <w:rtl/>
        </w:rPr>
        <w:t xml:space="preserve"> דהא דאמרינן בגמ' דאין בשליל דם הנפש וממילא אין בו כרת, היינו לדעת ר"ל, דכיון דס"ל דאף לדעת ר"י אין כרת בדמו, א"כ מבואר דאין לשליל דם הנפש, אבל לדעת ריו"ח דס"ל לדר"י יש חיוב כרת בדם, א"כ מבואר דלריו"ח יש דם הנפש בשליל, דכיון דד' סימנים אכשר ביה רחמנא, א"כ מוכח שיש לו חיות מצד עצמו, וחשיב כדם הנפש, ולכן לריו"ח לדעת ר"י חייב כרת על כל הדם של השליל, ולדידן קיי"ל כרבנן דדם האברים הוא בלאו, א"כ חייב כרת על דם הנפש שלו, ודם אבריו הם בלאו, דדין הדם שלו הוא ככל בהמה גמורה, וכן ביאר </w:t>
      </w:r>
      <w:r w:rsidRPr="002B5029">
        <w:rPr>
          <w:rStyle w:val="af9"/>
          <w:rFonts w:hint="cs"/>
          <w:rtl/>
        </w:rPr>
        <w:t>הר"ן</w:t>
      </w:r>
      <w:r>
        <w:rPr>
          <w:rFonts w:hint="cs"/>
          <w:rtl/>
        </w:rPr>
        <w:t xml:space="preserve"> בדעת </w:t>
      </w:r>
      <w:r w:rsidRPr="002B5029">
        <w:rPr>
          <w:rStyle w:val="af9"/>
          <w:rFonts w:hint="cs"/>
          <w:rtl/>
        </w:rPr>
        <w:t>הר</w:t>
      </w:r>
      <w:r>
        <w:rPr>
          <w:rStyle w:val="af9"/>
          <w:rFonts w:hint="cs"/>
          <w:rtl/>
        </w:rPr>
        <w:t>מב</w:t>
      </w:r>
      <w:r w:rsidRPr="002B5029">
        <w:rPr>
          <w:rStyle w:val="af9"/>
          <w:rFonts w:hint="cs"/>
          <w:rtl/>
        </w:rPr>
        <w:t>"</w:t>
      </w:r>
      <w:r>
        <w:rPr>
          <w:rStyle w:val="af9"/>
          <w:rFonts w:hint="cs"/>
          <w:rtl/>
        </w:rPr>
        <w:t>ם</w:t>
      </w:r>
      <w:r>
        <w:rPr>
          <w:rFonts w:hint="cs"/>
          <w:rtl/>
        </w:rPr>
        <w:t xml:space="preserve"> </w:t>
      </w:r>
      <w:r w:rsidRPr="002B5029">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Ref4304876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ט)</w:t>
      </w:r>
      <w:r>
        <w:rPr>
          <w:rStyle w:val="af7"/>
          <w:rFonts w:eastAsia="Guttman Hodes"/>
          <w:rtl/>
        </w:rPr>
        <w:fldChar w:fldCharType="end"/>
      </w:r>
      <w:r>
        <w:rPr>
          <w:rFonts w:hint="cs"/>
          <w:rtl/>
        </w:rPr>
        <w:t xml:space="preserve">, ועי' במ"ש </w:t>
      </w:r>
      <w:r w:rsidRPr="00426009">
        <w:rPr>
          <w:rStyle w:val="af9"/>
          <w:rFonts w:hint="cs"/>
          <w:rtl/>
        </w:rPr>
        <w:t>הגרש"ר</w:t>
      </w:r>
      <w:r>
        <w:rPr>
          <w:rFonts w:hint="cs"/>
          <w:rtl/>
        </w:rPr>
        <w:t xml:space="preserve"> </w:t>
      </w:r>
      <w:r w:rsidRPr="00426009">
        <w:rPr>
          <w:rStyle w:val="af7"/>
          <w:rFonts w:eastAsia="Guttman Hodes" w:hint="cs"/>
          <w:rtl/>
        </w:rPr>
        <w:t xml:space="preserve">(עי' אות </w:t>
      </w:r>
      <w:r w:rsidRPr="00426009">
        <w:rPr>
          <w:rStyle w:val="af7"/>
          <w:rFonts w:eastAsia="Guttman Hodes"/>
          <w:rtl/>
        </w:rPr>
        <w:fldChar w:fldCharType="begin"/>
      </w:r>
      <w:r w:rsidRPr="00426009">
        <w:rPr>
          <w:rStyle w:val="af7"/>
          <w:rFonts w:eastAsia="Guttman Hodes"/>
          <w:rtl/>
        </w:rPr>
        <w:instrText xml:space="preserve"> </w:instrText>
      </w:r>
      <w:r w:rsidRPr="00426009">
        <w:rPr>
          <w:rStyle w:val="af7"/>
          <w:rFonts w:eastAsia="Guttman Hodes" w:hint="cs"/>
        </w:rPr>
        <w:instrText>REF</w:instrText>
      </w:r>
      <w:r w:rsidRPr="00426009">
        <w:rPr>
          <w:rStyle w:val="af7"/>
          <w:rFonts w:eastAsia="Guttman Hodes" w:hint="cs"/>
          <w:rtl/>
        </w:rPr>
        <w:instrText xml:space="preserve"> _</w:instrText>
      </w:r>
      <w:r w:rsidRPr="00426009">
        <w:rPr>
          <w:rStyle w:val="af7"/>
          <w:rFonts w:eastAsia="Guttman Hodes" w:hint="cs"/>
        </w:rPr>
        <w:instrText>Ref4304957 \r \h</w:instrText>
      </w:r>
      <w:r w:rsidRPr="00426009">
        <w:rPr>
          <w:rStyle w:val="af7"/>
          <w:rFonts w:eastAsia="Guttman Hodes"/>
          <w:rtl/>
        </w:rPr>
        <w:instrText xml:space="preserve"> </w:instrText>
      </w:r>
      <w:r w:rsidRPr="00426009">
        <w:rPr>
          <w:rStyle w:val="af7"/>
          <w:rFonts w:eastAsia="Guttman Hodes"/>
          <w:rtl/>
        </w:rPr>
      </w:r>
      <w:r w:rsidRPr="00426009">
        <w:rPr>
          <w:rStyle w:val="af7"/>
          <w:rFonts w:eastAsia="Guttman Hodes"/>
          <w:rtl/>
        </w:rPr>
        <w:fldChar w:fldCharType="separate"/>
      </w:r>
      <w:r w:rsidR="00345400">
        <w:rPr>
          <w:rStyle w:val="af7"/>
          <w:rFonts w:eastAsia="Guttman Hodes"/>
          <w:cs/>
        </w:rPr>
        <w:t>‎</w:t>
      </w:r>
      <w:r w:rsidR="00345400">
        <w:rPr>
          <w:rStyle w:val="af7"/>
          <w:rFonts w:eastAsia="Guttman Hodes"/>
          <w:rtl/>
        </w:rPr>
        <w:t>ל)</w:t>
      </w:r>
      <w:r w:rsidRPr="00426009">
        <w:rPr>
          <w:rStyle w:val="af7"/>
          <w:rFonts w:eastAsia="Guttman Hodes"/>
          <w:rtl/>
        </w:rPr>
        <w:fldChar w:fldCharType="end"/>
      </w:r>
      <w:r>
        <w:rPr>
          <w:rFonts w:hint="cs"/>
          <w:rtl/>
        </w:rPr>
        <w:t xml:space="preserve"> בביאור דברי </w:t>
      </w:r>
      <w:r w:rsidRPr="00426009">
        <w:rPr>
          <w:rStyle w:val="af9"/>
          <w:rFonts w:hint="cs"/>
          <w:rtl/>
        </w:rPr>
        <w:t>הר"ן</w:t>
      </w:r>
      <w:r>
        <w:rPr>
          <w:rFonts w:hint="cs"/>
          <w:rtl/>
        </w:rPr>
        <w:t>.</w:t>
      </w:r>
      <w:bookmarkEnd w:id="25264"/>
    </w:p>
    <w:p w14:paraId="7A6BCB12" w14:textId="77777777" w:rsidR="003D504D" w:rsidRDefault="003D504D" w:rsidP="003D504D">
      <w:pPr>
        <w:pStyle w:val="a3"/>
        <w:rPr>
          <w:rtl/>
        </w:rPr>
      </w:pPr>
      <w:bookmarkStart w:id="25265" w:name="_Toc4305405"/>
      <w:bookmarkStart w:id="25266" w:name="_Toc4316246"/>
      <w:bookmarkStart w:id="25267" w:name="_Toc4330690"/>
      <w:bookmarkStart w:id="25268" w:name="_Toc19392093"/>
      <w:bookmarkStart w:id="25269" w:name="_Toc19395590"/>
      <w:bookmarkStart w:id="25270" w:name="_Toc2723906"/>
      <w:r>
        <w:rPr>
          <w:rFonts w:hint="cs"/>
          <w:rtl/>
        </w:rPr>
        <w:t>דברי הרשב"א בשם העיטור דהדם אסור לכתחילה כדם האיברים שהוא בלאו</w:t>
      </w:r>
      <w:bookmarkEnd w:id="25265"/>
      <w:bookmarkEnd w:id="25266"/>
      <w:bookmarkEnd w:id="25267"/>
      <w:bookmarkEnd w:id="25268"/>
      <w:bookmarkEnd w:id="25269"/>
    </w:p>
    <w:p w14:paraId="145A61EF" w14:textId="77777777" w:rsidR="003D504D" w:rsidRPr="00F26358" w:rsidRDefault="003D504D" w:rsidP="00223668">
      <w:pPr>
        <w:pStyle w:val="a0"/>
        <w:rPr>
          <w:rStyle w:val="afb"/>
          <w:rtl/>
        </w:rPr>
      </w:pPr>
      <w:bookmarkStart w:id="25271" w:name="_Ref3107187"/>
      <w:r>
        <w:rPr>
          <w:rFonts w:hint="cs"/>
          <w:rtl/>
        </w:rPr>
        <w:t xml:space="preserve">עוד הביא </w:t>
      </w:r>
      <w:r w:rsidRPr="00960DE1">
        <w:rPr>
          <w:rStyle w:val="af9"/>
          <w:rFonts w:hint="cs"/>
          <w:rtl/>
        </w:rPr>
        <w:t>הרשב"א</w:t>
      </w:r>
      <w:r>
        <w:rPr>
          <w:rFonts w:hint="cs"/>
          <w:rtl/>
        </w:rPr>
        <w:t xml:space="preserve"> </w:t>
      </w:r>
      <w:r w:rsidRPr="00E4779F">
        <w:rPr>
          <w:rStyle w:val="af7"/>
          <w:rFonts w:eastAsia="Guttman Hodes" w:hint="cs"/>
          <w:rtl/>
        </w:rPr>
        <w:t>(ד"ה ולענין)</w:t>
      </w:r>
      <w:r>
        <w:rPr>
          <w:rFonts w:hint="cs"/>
          <w:rtl/>
        </w:rPr>
        <w:t xml:space="preserve"> את דברי </w:t>
      </w:r>
      <w:r w:rsidRPr="00F26358">
        <w:rPr>
          <w:rStyle w:val="af9"/>
          <w:rFonts w:hint="cs"/>
          <w:rtl/>
        </w:rPr>
        <w:t xml:space="preserve">העיטור </w:t>
      </w:r>
      <w:r w:rsidRPr="00F26358">
        <w:rPr>
          <w:rStyle w:val="af7"/>
          <w:rFonts w:eastAsia="Guttman Hodes" w:hint="cs"/>
          <w:rtl/>
        </w:rPr>
        <w:t>(</w:t>
      </w:r>
      <w:r w:rsidRPr="00F26358">
        <w:rPr>
          <w:rStyle w:val="af7"/>
          <w:rFonts w:eastAsia="Guttman Hodes"/>
          <w:rtl/>
        </w:rPr>
        <w:t>ש</w:t>
      </w:r>
      <w:r w:rsidRPr="00F26358">
        <w:rPr>
          <w:rStyle w:val="af7"/>
          <w:rFonts w:eastAsia="Guttman Hodes" w:hint="cs"/>
          <w:rtl/>
        </w:rPr>
        <w:t>"</w:t>
      </w:r>
      <w:r w:rsidRPr="00F26358">
        <w:rPr>
          <w:rStyle w:val="af7"/>
          <w:rFonts w:eastAsia="Guttman Hodes"/>
          <w:rtl/>
        </w:rPr>
        <w:t>ב</w:t>
      </w:r>
      <w:r w:rsidRPr="00F26358">
        <w:rPr>
          <w:rStyle w:val="af7"/>
          <w:rFonts w:eastAsia="Guttman Hodes" w:hint="cs"/>
          <w:rtl/>
        </w:rPr>
        <w:t xml:space="preserve"> </w:t>
      </w:r>
      <w:r w:rsidRPr="00F26358">
        <w:rPr>
          <w:rStyle w:val="af7"/>
          <w:rFonts w:eastAsia="Guttman Hodes"/>
          <w:rtl/>
        </w:rPr>
        <w:t xml:space="preserve">הלכות שחיטה </w:t>
      </w:r>
      <w:r w:rsidRPr="00F26358">
        <w:rPr>
          <w:rStyle w:val="af7"/>
          <w:rFonts w:eastAsia="Guttman Hodes" w:hint="cs"/>
          <w:rtl/>
        </w:rPr>
        <w:t xml:space="preserve">ח"ג מהחלק השלישי </w:t>
      </w:r>
      <w:r w:rsidRPr="00F26358">
        <w:rPr>
          <w:rStyle w:val="af7"/>
          <w:rFonts w:eastAsia="Guttman Hodes"/>
          <w:rtl/>
        </w:rPr>
        <w:t>דף כ</w:t>
      </w:r>
      <w:r w:rsidRPr="00F26358">
        <w:rPr>
          <w:rStyle w:val="af7"/>
          <w:rFonts w:eastAsia="Guttman Hodes" w:hint="cs"/>
          <w:rtl/>
        </w:rPr>
        <w:t>"</w:t>
      </w:r>
      <w:r w:rsidRPr="00F26358">
        <w:rPr>
          <w:rStyle w:val="af7"/>
          <w:rFonts w:eastAsia="Guttman Hodes"/>
          <w:rtl/>
        </w:rPr>
        <w:t>ח</w:t>
      </w:r>
      <w:r w:rsidRPr="00F26358">
        <w:rPr>
          <w:rStyle w:val="af7"/>
          <w:rFonts w:eastAsia="Guttman Hodes" w:hint="cs"/>
          <w:rtl/>
        </w:rPr>
        <w:t xml:space="preserve">:, הועתק בקובץ שיטות קמאי חולין ח"ב עמ' אלף תרל"ז) </w:t>
      </w:r>
      <w:r>
        <w:rPr>
          <w:rFonts w:hint="cs"/>
          <w:rtl/>
        </w:rPr>
        <w:t xml:space="preserve">דכתב דדמו של בן ח' חי אסור לכתחילה, כדם המובלע באיברים שהוא בלאו. </w:t>
      </w:r>
      <w:r w:rsidRPr="00F26358">
        <w:rPr>
          <w:rStyle w:val="afb"/>
          <w:rFonts w:hint="cs"/>
          <w:rtl/>
        </w:rPr>
        <w:t xml:space="preserve">[ובבן ט' חי פסק </w:t>
      </w:r>
      <w:r w:rsidRPr="00F26358">
        <w:rPr>
          <w:rStyle w:val="affa"/>
          <w:rFonts w:hint="cs"/>
          <w:rtl/>
        </w:rPr>
        <w:t xml:space="preserve">העיטור </w:t>
      </w:r>
      <w:r w:rsidRPr="00F26358">
        <w:rPr>
          <w:rStyle w:val="afb"/>
          <w:rFonts w:hint="cs"/>
          <w:rtl/>
        </w:rPr>
        <w:t>כר"מ דאף חלבו אסור, אף דמותר בשחיטת אמו</w:t>
      </w:r>
      <w:r>
        <w:rPr>
          <w:rStyle w:val="afb"/>
          <w:rFonts w:hint="cs"/>
          <w:rtl/>
        </w:rPr>
        <w:t xml:space="preserve"> </w:t>
      </w:r>
      <w:r w:rsidRPr="008E0E47">
        <w:rPr>
          <w:rStyle w:val="aff6"/>
          <w:rFonts w:hint="cs"/>
          <w:rtl/>
        </w:rPr>
        <w:t>(</w:t>
      </w:r>
      <w:r w:rsidR="00AC7E32">
        <w:rPr>
          <w:rStyle w:val="aff6"/>
          <w:rFonts w:hint="cs"/>
          <w:rtl/>
        </w:rPr>
        <w:t>הובא בסימן</w:t>
      </w:r>
      <w:r w:rsidRPr="008E0E47">
        <w:rPr>
          <w:rStyle w:val="aff6"/>
          <w:rFonts w:hint="cs"/>
          <w:rtl/>
        </w:rPr>
        <w:t xml:space="preserve"> ז' אות קא)</w:t>
      </w:r>
      <w:r w:rsidRPr="00F26358">
        <w:rPr>
          <w:rStyle w:val="afb"/>
          <w:rFonts w:hint="cs"/>
          <w:rtl/>
        </w:rPr>
        <w:t>].</w:t>
      </w:r>
      <w:bookmarkEnd w:id="25271"/>
    </w:p>
    <w:p w14:paraId="6A6BD2FB" w14:textId="77777777" w:rsidR="003D504D" w:rsidRDefault="003D504D" w:rsidP="003D504D">
      <w:pPr>
        <w:pStyle w:val="a3"/>
        <w:rPr>
          <w:rtl/>
        </w:rPr>
      </w:pPr>
      <w:bookmarkStart w:id="25272" w:name="_Toc4305406"/>
      <w:bookmarkStart w:id="25273" w:name="_Toc4316247"/>
      <w:bookmarkStart w:id="25274" w:name="_Toc4330691"/>
      <w:bookmarkStart w:id="25275" w:name="_Toc19392094"/>
      <w:bookmarkStart w:id="25276" w:name="_Toc19395591"/>
      <w:r>
        <w:rPr>
          <w:rFonts w:hint="cs"/>
          <w:rtl/>
        </w:rPr>
        <w:t>דברי התוס' דלריו"ח לכו"ע יש חיוב כרת בדם השליל</w:t>
      </w:r>
      <w:bookmarkEnd w:id="25272"/>
      <w:bookmarkEnd w:id="25273"/>
      <w:bookmarkEnd w:id="25274"/>
      <w:bookmarkEnd w:id="25275"/>
      <w:bookmarkEnd w:id="25276"/>
    </w:p>
    <w:p w14:paraId="4589DA20" w14:textId="77777777" w:rsidR="003D504D" w:rsidRPr="008F10A4" w:rsidRDefault="003D504D" w:rsidP="00223668">
      <w:pPr>
        <w:pStyle w:val="a0"/>
        <w:rPr>
          <w:rStyle w:val="afb"/>
          <w:rtl/>
        </w:rPr>
      </w:pPr>
      <w:r>
        <w:rPr>
          <w:rFonts w:hint="cs"/>
          <w:rtl/>
        </w:rPr>
        <w:t>כתבו</w:t>
      </w:r>
      <w:r w:rsidRPr="00287DC5">
        <w:rPr>
          <w:rtl/>
        </w:rPr>
        <w:t xml:space="preserve"> </w:t>
      </w:r>
      <w:r w:rsidRPr="008F10A4">
        <w:rPr>
          <w:rStyle w:val="af9"/>
          <w:rtl/>
        </w:rPr>
        <w:t>התוס'</w:t>
      </w:r>
      <w:r w:rsidRPr="00287DC5">
        <w:rPr>
          <w:rtl/>
        </w:rPr>
        <w:t xml:space="preserve"> </w:t>
      </w:r>
      <w:r w:rsidRPr="008F10A4">
        <w:rPr>
          <w:rStyle w:val="af7"/>
          <w:rFonts w:eastAsia="Guttman Hodes"/>
          <w:rtl/>
        </w:rPr>
        <w:t>(ד"ה חלבו בתו"ד)</w:t>
      </w:r>
      <w:r w:rsidRPr="00287DC5">
        <w:rPr>
          <w:rtl/>
        </w:rPr>
        <w:t xml:space="preserve"> דבדמו </w:t>
      </w:r>
      <w:r>
        <w:rPr>
          <w:rFonts w:hint="cs"/>
          <w:rtl/>
        </w:rPr>
        <w:t xml:space="preserve">של השליל </w:t>
      </w:r>
      <w:r w:rsidRPr="00287DC5">
        <w:rPr>
          <w:rtl/>
        </w:rPr>
        <w:t xml:space="preserve">יש חיוב כרת לכו"ע, </w:t>
      </w:r>
      <w:r>
        <w:rPr>
          <w:rFonts w:hint="cs"/>
          <w:rtl/>
        </w:rPr>
        <w:t>וביאר</w:t>
      </w:r>
      <w:r w:rsidRPr="00287DC5">
        <w:rPr>
          <w:rtl/>
        </w:rPr>
        <w:t xml:space="preserve"> </w:t>
      </w:r>
      <w:r w:rsidRPr="008F10A4">
        <w:rPr>
          <w:rStyle w:val="af9"/>
          <w:rFonts w:hint="cs"/>
          <w:rtl/>
        </w:rPr>
        <w:t>ה</w:t>
      </w:r>
      <w:r w:rsidRPr="008F10A4">
        <w:rPr>
          <w:rStyle w:val="af9"/>
          <w:rtl/>
        </w:rPr>
        <w:t>מהרש"א</w:t>
      </w:r>
      <w:r w:rsidRPr="00287DC5">
        <w:rPr>
          <w:rtl/>
        </w:rPr>
        <w:t xml:space="preserve"> </w:t>
      </w:r>
      <w:r w:rsidRPr="008F10A4">
        <w:rPr>
          <w:rStyle w:val="af7"/>
          <w:rFonts w:eastAsia="Guttman Hodes"/>
          <w:rtl/>
        </w:rPr>
        <w:t>(ד"ה בא"ד למעוטי)</w:t>
      </w:r>
      <w:r>
        <w:rPr>
          <w:rFonts w:hint="cs"/>
          <w:rtl/>
        </w:rPr>
        <w:t xml:space="preserve"> דכוונתם לומר דלריו"ח יש חיוב כרת אף לר"י דמתיר בחלב אוסר בדם. </w:t>
      </w:r>
      <w:r w:rsidRPr="008F10A4">
        <w:rPr>
          <w:rStyle w:val="afb"/>
          <w:rFonts w:hint="cs"/>
          <w:rtl/>
        </w:rPr>
        <w:t xml:space="preserve">[ומבואר דס"ל </w:t>
      </w:r>
      <w:r>
        <w:rPr>
          <w:rStyle w:val="affa"/>
          <w:rFonts w:hint="cs"/>
          <w:rtl/>
        </w:rPr>
        <w:t xml:space="preserve">להתוס' </w:t>
      </w:r>
      <w:r w:rsidRPr="008F10A4">
        <w:rPr>
          <w:rStyle w:val="affa"/>
          <w:rFonts w:hint="cs"/>
          <w:rtl/>
        </w:rPr>
        <w:t>כהרשב"א</w:t>
      </w:r>
      <w:r w:rsidRPr="008F10A4">
        <w:rPr>
          <w:rStyle w:val="afb"/>
          <w:rFonts w:hint="cs"/>
          <w:rtl/>
        </w:rPr>
        <w:t xml:space="preserve"> </w:t>
      </w:r>
      <w:r w:rsidRPr="008F10A4">
        <w:rPr>
          <w:rStyle w:val="affa"/>
          <w:rFonts w:hint="cs"/>
          <w:rtl/>
        </w:rPr>
        <w:t>והר"ן</w:t>
      </w:r>
      <w:r w:rsidRPr="008F10A4">
        <w:rPr>
          <w:rStyle w:val="afb"/>
          <w:rFonts w:hint="cs"/>
          <w:rtl/>
        </w:rPr>
        <w:t xml:space="preserve"> דריו"ח מחייב כרת אף לדעת רבנן].</w:t>
      </w:r>
    </w:p>
    <w:p w14:paraId="5481C987" w14:textId="77777777" w:rsidR="003D504D" w:rsidRDefault="003D504D" w:rsidP="00BF39B2">
      <w:pPr>
        <w:pStyle w:val="1"/>
        <w:rPr>
          <w:rtl/>
        </w:rPr>
      </w:pPr>
      <w:bookmarkStart w:id="25277" w:name="_Toc4305407"/>
      <w:bookmarkStart w:id="25278" w:name="_Toc4316248"/>
      <w:bookmarkStart w:id="25279" w:name="_Toc4330692"/>
      <w:bookmarkStart w:id="25280" w:name="_Toc19392095"/>
      <w:bookmarkStart w:id="25281" w:name="_Toc19395592"/>
      <w:r>
        <w:rPr>
          <w:rFonts w:hint="cs"/>
          <w:rtl/>
        </w:rPr>
        <w:t>ביאור הרמב"ן</w:t>
      </w:r>
      <w:bookmarkEnd w:id="25249"/>
      <w:bookmarkEnd w:id="25250"/>
      <w:bookmarkEnd w:id="25251"/>
      <w:bookmarkEnd w:id="25252"/>
      <w:bookmarkEnd w:id="25270"/>
      <w:r>
        <w:rPr>
          <w:rFonts w:hint="cs"/>
          <w:rtl/>
        </w:rPr>
        <w:t xml:space="preserve"> ברי"ף דלריו"ח רק לר"י בכרת אבל לרבנן בלאו</w:t>
      </w:r>
      <w:bookmarkEnd w:id="25277"/>
      <w:bookmarkEnd w:id="25278"/>
      <w:bookmarkEnd w:id="25279"/>
      <w:bookmarkEnd w:id="25280"/>
      <w:bookmarkEnd w:id="25281"/>
    </w:p>
    <w:p w14:paraId="121D19F6" w14:textId="77777777" w:rsidR="003D504D" w:rsidRPr="00EB19EA" w:rsidRDefault="003D504D" w:rsidP="003D504D">
      <w:pPr>
        <w:pStyle w:val="a3"/>
        <w:rPr>
          <w:rtl/>
        </w:rPr>
      </w:pPr>
      <w:bookmarkStart w:id="25282" w:name="_Toc4305408"/>
      <w:bookmarkStart w:id="25283" w:name="_Toc4316249"/>
      <w:bookmarkStart w:id="25284" w:name="_Toc4330693"/>
      <w:bookmarkStart w:id="25285" w:name="_Toc19392096"/>
      <w:bookmarkStart w:id="25286" w:name="_Toc19395593"/>
      <w:r>
        <w:rPr>
          <w:rFonts w:hint="cs"/>
          <w:rtl/>
        </w:rPr>
        <w:t>דברי הרמב"ן דלריו"ח ר"י מחייב כרת בדם התמצית אף בדליכא דם הנפש ובזה פליג עליה ר"ל</w:t>
      </w:r>
      <w:bookmarkEnd w:id="25282"/>
      <w:bookmarkEnd w:id="25283"/>
      <w:bookmarkEnd w:id="25284"/>
      <w:bookmarkEnd w:id="25285"/>
      <w:bookmarkEnd w:id="25286"/>
    </w:p>
    <w:p w14:paraId="0179A4A6" w14:textId="77777777" w:rsidR="003D504D" w:rsidRDefault="003D504D" w:rsidP="00223668">
      <w:pPr>
        <w:pStyle w:val="a0"/>
        <w:rPr>
          <w:rtl/>
        </w:rPr>
      </w:pPr>
      <w:bookmarkStart w:id="25287" w:name="_Ref4271076"/>
      <w:r>
        <w:rPr>
          <w:rFonts w:hint="cs"/>
          <w:rtl/>
        </w:rPr>
        <w:t xml:space="preserve">אבל </w:t>
      </w:r>
      <w:r>
        <w:rPr>
          <w:rStyle w:val="af9"/>
          <w:rtl/>
        </w:rPr>
        <w:t>הרמב"ן</w:t>
      </w:r>
      <w:r>
        <w:rPr>
          <w:rFonts w:hint="cs"/>
          <w:rtl/>
        </w:rPr>
        <w:t xml:space="preserve"> </w:t>
      </w:r>
      <w:r>
        <w:rPr>
          <w:rStyle w:val="af7"/>
          <w:rFonts w:eastAsia="Guttman Hodes" w:hint="cs"/>
          <w:rtl/>
        </w:rPr>
        <w:t>(ד"ה וריו"ח)</w:t>
      </w:r>
      <w:r>
        <w:rPr>
          <w:rFonts w:hint="cs"/>
          <w:rtl/>
        </w:rPr>
        <w:t xml:space="preserve"> ביאר דהא דנחלקו ריו"ח ור"ל בחיוב כרת, היינו דוקא לדעת ר"י דמחייב כרת על דם התמצית, דר"ל ס"ל דאף לר"י אין חיוב כרת בדם השליל, דכל שאין בו דם הנפש אין חיוב כרת אף על דם התמצית, וריו"ח ס"ל דלר"י חייב כרת, דפליג ריו"ח על סברת ר"ל וס"ל דאף במקום שאין דם הנפש, מחייב ר"י כרת על דם התמצית, לא שייך חיוב כרת בדם השליל.</w:t>
      </w:r>
      <w:bookmarkEnd w:id="25287"/>
    </w:p>
    <w:p w14:paraId="32AE2336" w14:textId="77777777" w:rsidR="003D504D" w:rsidRPr="006739C1" w:rsidRDefault="003D504D" w:rsidP="003D504D">
      <w:pPr>
        <w:pStyle w:val="a3"/>
        <w:rPr>
          <w:rtl/>
        </w:rPr>
      </w:pPr>
      <w:bookmarkStart w:id="25288" w:name="_Toc4305409"/>
      <w:bookmarkStart w:id="25289" w:name="_Toc4316250"/>
      <w:bookmarkStart w:id="25290" w:name="_Toc4330694"/>
      <w:bookmarkStart w:id="25291" w:name="_Toc19392097"/>
      <w:bookmarkStart w:id="25292" w:name="_Toc19395594"/>
      <w:r>
        <w:rPr>
          <w:rFonts w:hint="cs"/>
          <w:rtl/>
        </w:rPr>
        <w:t>דברי הרמב"ן דקיי"ל כרבנן דדם התמצית בלאו ואף לריו"ח אין כרת בשליל וכן מוכח בתוספתא</w:t>
      </w:r>
      <w:bookmarkEnd w:id="25288"/>
      <w:bookmarkEnd w:id="25289"/>
      <w:bookmarkEnd w:id="25290"/>
      <w:bookmarkEnd w:id="25291"/>
      <w:bookmarkEnd w:id="25292"/>
    </w:p>
    <w:p w14:paraId="5D899D37" w14:textId="77777777" w:rsidR="003D504D" w:rsidRDefault="003D504D" w:rsidP="00223668">
      <w:pPr>
        <w:pStyle w:val="a0"/>
        <w:rPr>
          <w:rtl/>
        </w:rPr>
      </w:pPr>
      <w:bookmarkStart w:id="25293" w:name="_Ref4316466"/>
      <w:r>
        <w:rPr>
          <w:rFonts w:hint="cs"/>
          <w:rtl/>
        </w:rPr>
        <w:t xml:space="preserve">וכתב </w:t>
      </w:r>
      <w:r>
        <w:rPr>
          <w:rStyle w:val="af9"/>
          <w:rtl/>
        </w:rPr>
        <w:t>הרמב"ן</w:t>
      </w:r>
      <w:r>
        <w:rPr>
          <w:rFonts w:hint="cs"/>
          <w:rtl/>
        </w:rPr>
        <w:t xml:space="preserve"> דלהלכה דלא קיי"ל כר"י אלא כרבנן, דס"ל דחיוב כרת הוא רק על דם הנפש, אבל דם התמצית הוא בלאו, וא"כ בין לריו"ח ובין לר"ל אין חיוב כרת בדם השליל, דלכו"ע אין בשליל דם הנפש, והביא </w:t>
      </w:r>
      <w:r>
        <w:rPr>
          <w:rStyle w:val="af9"/>
          <w:rtl/>
        </w:rPr>
        <w:t>הרמב"ן</w:t>
      </w:r>
      <w:r>
        <w:rPr>
          <w:rFonts w:hint="cs"/>
          <w:rtl/>
        </w:rPr>
        <w:t xml:space="preserve"> דכן מבואר בתוספתא </w:t>
      </w:r>
      <w:r>
        <w:rPr>
          <w:rStyle w:val="af7"/>
          <w:rFonts w:eastAsia="Guttman Hodes" w:hint="cs"/>
          <w:rtl/>
        </w:rPr>
        <w:t>(כתב בהג' הגראז"מ על הרמב"ן דאינו בתוספתא לפנינו, אמנם כן היא גירסת האור הגנוז [נד' על הדף] בתוספתא פ"ז ה"א)</w:t>
      </w:r>
      <w:r>
        <w:rPr>
          <w:rFonts w:hint="cs"/>
          <w:rtl/>
        </w:rPr>
        <w:t xml:space="preserve"> דדמו כדם האברים ואין בו כרת, וכתב </w:t>
      </w:r>
      <w:r>
        <w:rPr>
          <w:rStyle w:val="af9"/>
          <w:rtl/>
        </w:rPr>
        <w:t>הרמב"ן</w:t>
      </w:r>
      <w:r>
        <w:rPr>
          <w:rFonts w:hint="cs"/>
          <w:rtl/>
        </w:rPr>
        <w:t xml:space="preserve"> דהתוספתא היא לדעת רבנן.</w:t>
      </w:r>
      <w:bookmarkEnd w:id="25293"/>
    </w:p>
    <w:p w14:paraId="03614115" w14:textId="77777777" w:rsidR="003D504D" w:rsidRPr="00824440" w:rsidRDefault="003D504D" w:rsidP="003D504D">
      <w:pPr>
        <w:pStyle w:val="a3"/>
        <w:rPr>
          <w:rtl/>
        </w:rPr>
      </w:pPr>
      <w:bookmarkStart w:id="25294" w:name="_Toc4305410"/>
      <w:bookmarkStart w:id="25295" w:name="_Toc4316251"/>
      <w:bookmarkStart w:id="25296" w:name="_Toc4330695"/>
      <w:bookmarkStart w:id="25297" w:name="_Toc19392098"/>
      <w:bookmarkStart w:id="25298" w:name="_Toc19395595"/>
      <w:r>
        <w:rPr>
          <w:rFonts w:hint="cs"/>
          <w:rtl/>
        </w:rPr>
        <w:t>דברי הרמב"ן דאין כוונת הרי"ף לחייב כרת לרבנן אלא העתיק את לשון הגמ'</w:t>
      </w:r>
      <w:bookmarkEnd w:id="25294"/>
      <w:bookmarkEnd w:id="25295"/>
      <w:bookmarkEnd w:id="25296"/>
      <w:bookmarkEnd w:id="25297"/>
      <w:bookmarkEnd w:id="25298"/>
    </w:p>
    <w:p w14:paraId="450A6240" w14:textId="77777777" w:rsidR="003D504D" w:rsidRDefault="003D504D" w:rsidP="00223668">
      <w:pPr>
        <w:pStyle w:val="a0"/>
        <w:rPr>
          <w:rtl/>
        </w:rPr>
      </w:pPr>
      <w:r>
        <w:rPr>
          <w:rFonts w:hint="cs"/>
          <w:rtl/>
        </w:rPr>
        <w:t>והוסיף</w:t>
      </w:r>
      <w:r w:rsidRPr="005D27EB">
        <w:rPr>
          <w:rFonts w:hint="cs"/>
          <w:rtl/>
        </w:rPr>
        <w:t xml:space="preserve"> </w:t>
      </w:r>
      <w:r w:rsidRPr="005D27EB">
        <w:rPr>
          <w:rStyle w:val="af9"/>
          <w:rFonts w:hint="cs"/>
          <w:rtl/>
        </w:rPr>
        <w:t>הרמב"ן</w:t>
      </w:r>
      <w:r>
        <w:rPr>
          <w:rFonts w:hint="cs"/>
          <w:rtl/>
        </w:rPr>
        <w:t xml:space="preserve"> </w:t>
      </w:r>
      <w:r w:rsidRPr="005D27EB">
        <w:rPr>
          <w:rFonts w:hint="cs"/>
          <w:rtl/>
        </w:rPr>
        <w:t xml:space="preserve">דהא </w:t>
      </w:r>
      <w:r w:rsidRPr="005D27EB">
        <w:rPr>
          <w:rStyle w:val="af9"/>
          <w:rFonts w:hint="cs"/>
          <w:rtl/>
        </w:rPr>
        <w:t>הרי"ף</w:t>
      </w:r>
      <w:r w:rsidRPr="005D27EB">
        <w:rPr>
          <w:rFonts w:hint="cs"/>
          <w:rtl/>
        </w:rPr>
        <w:t xml:space="preserve"> </w:t>
      </w:r>
      <w:r w:rsidRPr="005D27EB">
        <w:rPr>
          <w:rStyle w:val="af7"/>
          <w:rFonts w:eastAsia="Guttman Hodes" w:hint="cs"/>
          <w:rtl/>
        </w:rPr>
        <w:t xml:space="preserve">(עי' אות </w:t>
      </w:r>
      <w:r w:rsidRPr="005D27EB">
        <w:rPr>
          <w:rStyle w:val="af7"/>
          <w:rFonts w:eastAsia="Guttman Hodes"/>
          <w:rtl/>
        </w:rPr>
        <w:fldChar w:fldCharType="begin"/>
      </w:r>
      <w:r w:rsidRPr="005D27EB">
        <w:rPr>
          <w:rStyle w:val="af7"/>
          <w:rFonts w:eastAsia="Guttman Hodes"/>
          <w:rtl/>
        </w:rPr>
        <w:instrText xml:space="preserve"> </w:instrText>
      </w:r>
      <w:r w:rsidRPr="005D27EB">
        <w:rPr>
          <w:rStyle w:val="af7"/>
          <w:rFonts w:eastAsia="Guttman Hodes" w:hint="cs"/>
        </w:rPr>
        <w:instrText>REF</w:instrText>
      </w:r>
      <w:r w:rsidRPr="005D27EB">
        <w:rPr>
          <w:rStyle w:val="af7"/>
          <w:rFonts w:eastAsia="Guttman Hodes" w:hint="cs"/>
          <w:rtl/>
        </w:rPr>
        <w:instrText xml:space="preserve"> _</w:instrText>
      </w:r>
      <w:r w:rsidRPr="005D27EB">
        <w:rPr>
          <w:rStyle w:val="af7"/>
          <w:rFonts w:eastAsia="Guttman Hodes" w:hint="cs"/>
        </w:rPr>
        <w:instrText>Ref2275292 \r \h</w:instrText>
      </w:r>
      <w:r w:rsidRPr="005D27EB">
        <w:rPr>
          <w:rStyle w:val="af7"/>
          <w:rFonts w:eastAsia="Guttman Hodes"/>
          <w:rtl/>
        </w:rPr>
        <w:instrText xml:space="preserve">  \* </w:instrText>
      </w:r>
      <w:r w:rsidRPr="005D27EB">
        <w:rPr>
          <w:rStyle w:val="af7"/>
          <w:rFonts w:eastAsia="Guttman Hodes"/>
        </w:rPr>
        <w:instrText>MERGEFORMAT</w:instrText>
      </w:r>
      <w:r w:rsidRPr="005D27EB">
        <w:rPr>
          <w:rStyle w:val="af7"/>
          <w:rFonts w:eastAsia="Guttman Hodes"/>
          <w:rtl/>
        </w:rPr>
        <w:instrText xml:space="preserve"> </w:instrText>
      </w:r>
      <w:r w:rsidRPr="005D27EB">
        <w:rPr>
          <w:rStyle w:val="af7"/>
          <w:rFonts w:eastAsia="Guttman Hodes"/>
          <w:rtl/>
        </w:rPr>
      </w:r>
      <w:r w:rsidRPr="005D27EB">
        <w:rPr>
          <w:rStyle w:val="af7"/>
          <w:rFonts w:eastAsia="Guttman Hodes"/>
          <w:rtl/>
        </w:rPr>
        <w:fldChar w:fldCharType="separate"/>
      </w:r>
      <w:r w:rsidR="00345400">
        <w:rPr>
          <w:rStyle w:val="af7"/>
          <w:rFonts w:eastAsia="Guttman Hodes"/>
          <w:cs/>
        </w:rPr>
        <w:t>‎</w:t>
      </w:r>
      <w:r w:rsidR="00345400">
        <w:rPr>
          <w:rStyle w:val="af7"/>
          <w:rFonts w:eastAsia="Guttman Hodes"/>
          <w:rtl/>
        </w:rPr>
        <w:t>ה)</w:t>
      </w:r>
      <w:r w:rsidRPr="005D27EB">
        <w:rPr>
          <w:rStyle w:val="af7"/>
          <w:rFonts w:eastAsia="Guttman Hodes"/>
          <w:rtl/>
        </w:rPr>
        <w:fldChar w:fldCharType="end"/>
      </w:r>
      <w:r w:rsidRPr="005D27EB">
        <w:rPr>
          <w:rFonts w:hint="cs"/>
          <w:rtl/>
        </w:rPr>
        <w:t xml:space="preserve"> הביא את לשון </w:t>
      </w:r>
      <w:r>
        <w:rPr>
          <w:rFonts w:hint="cs"/>
          <w:rtl/>
        </w:rPr>
        <w:t>הגמ' דריו"ח אוסר בדם,</w:t>
      </w:r>
      <w:r w:rsidRPr="005D27EB">
        <w:rPr>
          <w:rFonts w:hint="cs"/>
          <w:rtl/>
        </w:rPr>
        <w:t xml:space="preserve"> אין כוונתו לומר דחייב על הדם כרת, אלא בא לומר דדמו אסור, והעתיק את הלשון </w:t>
      </w:r>
      <w:r>
        <w:rPr>
          <w:rFonts w:hint="cs"/>
          <w:rtl/>
        </w:rPr>
        <w:t>שבגמ'.</w:t>
      </w:r>
    </w:p>
    <w:p w14:paraId="3A67FDC1" w14:textId="77777777" w:rsidR="003D504D" w:rsidRPr="004F19EB" w:rsidRDefault="003D504D" w:rsidP="003D504D">
      <w:pPr>
        <w:pStyle w:val="a3"/>
      </w:pPr>
      <w:bookmarkStart w:id="25299" w:name="_Toc4305411"/>
      <w:bookmarkStart w:id="25300" w:name="_Toc4316252"/>
      <w:bookmarkStart w:id="25301" w:name="_Toc4330696"/>
      <w:bookmarkStart w:id="25302" w:name="_Toc19392099"/>
      <w:bookmarkStart w:id="25303" w:name="_Toc19395596"/>
      <w:r>
        <w:rPr>
          <w:rFonts w:hint="cs"/>
          <w:rtl/>
        </w:rPr>
        <w:t>הביאור הב' ברמב"ן דכוונת הרי"ף לומר דלא נחלקו ריו"ח ור"ל בחיוב לאו בדם</w:t>
      </w:r>
      <w:bookmarkEnd w:id="25299"/>
      <w:bookmarkEnd w:id="25300"/>
      <w:bookmarkEnd w:id="25301"/>
      <w:bookmarkEnd w:id="25302"/>
      <w:bookmarkEnd w:id="25303"/>
    </w:p>
    <w:p w14:paraId="427E9A0C" w14:textId="77777777" w:rsidR="003D504D" w:rsidRPr="004F19EB" w:rsidRDefault="003D504D" w:rsidP="00223668">
      <w:pPr>
        <w:pStyle w:val="a0"/>
        <w:rPr>
          <w:rStyle w:val="afb"/>
          <w:rtl/>
        </w:rPr>
      </w:pPr>
      <w:r>
        <w:rPr>
          <w:rFonts w:hint="cs"/>
          <w:rtl/>
        </w:rPr>
        <w:t xml:space="preserve">ועוד ביאר </w:t>
      </w:r>
      <w:r w:rsidRPr="006863A1">
        <w:rPr>
          <w:rStyle w:val="af9"/>
          <w:rFonts w:hint="cs"/>
          <w:rtl/>
        </w:rPr>
        <w:t>הרמב"ן בביאורו הב'</w:t>
      </w:r>
      <w:r>
        <w:rPr>
          <w:rFonts w:hint="cs"/>
          <w:rtl/>
        </w:rPr>
        <w:t xml:space="preserve"> </w:t>
      </w:r>
      <w:r w:rsidRPr="005D27EB">
        <w:rPr>
          <w:rFonts w:hint="cs"/>
          <w:rtl/>
        </w:rPr>
        <w:t xml:space="preserve">דכוונת </w:t>
      </w:r>
      <w:r w:rsidRPr="005D27EB">
        <w:rPr>
          <w:rStyle w:val="af9"/>
          <w:rFonts w:hint="cs"/>
          <w:rtl/>
        </w:rPr>
        <w:t>הרי"ף</w:t>
      </w:r>
      <w:r w:rsidRPr="005D27EB">
        <w:rPr>
          <w:rFonts w:hint="cs"/>
          <w:rtl/>
        </w:rPr>
        <w:t xml:space="preserve"> לומר דהא דאמר ריו"ח דדמו אסור היינו בלאו ולא בכרת, </w:t>
      </w:r>
      <w:r>
        <w:rPr>
          <w:rFonts w:hint="cs"/>
          <w:rtl/>
        </w:rPr>
        <w:t xml:space="preserve">ולא נחלק ריו"ח על ר"ל בזה, אלא דבא לומר דמה שהדם אסור בלאו כדעת ר"ל, "ומר אמר חדא, ומר אמר חדא, ולא פליגי". </w:t>
      </w:r>
      <w:r w:rsidRPr="004F19EB">
        <w:rPr>
          <w:rStyle w:val="afb"/>
          <w:rFonts w:hint="cs"/>
          <w:rtl/>
        </w:rPr>
        <w:t>[היינו דאף בדעת ר"י דמחייב כרת על דם האברים לא פליג ריו"ח על ר"ל ומודה דהוא בלאו</w:t>
      </w:r>
      <w:r>
        <w:rPr>
          <w:rStyle w:val="afb"/>
          <w:rFonts w:hint="cs"/>
          <w:rtl/>
        </w:rPr>
        <w:t xml:space="preserve"> לרבנן</w:t>
      </w:r>
      <w:r w:rsidRPr="004F19EB">
        <w:rPr>
          <w:rStyle w:val="afb"/>
          <w:rFonts w:hint="cs"/>
          <w:rtl/>
        </w:rPr>
        <w:t>].</w:t>
      </w:r>
    </w:p>
    <w:p w14:paraId="0DE89C66" w14:textId="77777777" w:rsidR="003D504D" w:rsidRDefault="003D504D" w:rsidP="003D504D">
      <w:pPr>
        <w:pStyle w:val="a3"/>
        <w:rPr>
          <w:rtl/>
        </w:rPr>
      </w:pPr>
      <w:bookmarkStart w:id="25304" w:name="_Toc4305412"/>
      <w:bookmarkStart w:id="25305" w:name="_Toc4316253"/>
      <w:bookmarkStart w:id="25306" w:name="_Toc4330697"/>
      <w:bookmarkStart w:id="25307" w:name="_Toc19392100"/>
      <w:bookmarkStart w:id="25308" w:name="_Toc19395597"/>
      <w:r>
        <w:rPr>
          <w:rFonts w:hint="cs"/>
          <w:rtl/>
        </w:rPr>
        <w:t>דחיית הרשב"א והר"ן דברי"ף מוכח דריו"ח ור"ל פליגי בחיוב הדם ולריו"ח חייב כרת</w:t>
      </w:r>
      <w:bookmarkEnd w:id="25304"/>
      <w:bookmarkEnd w:id="25305"/>
      <w:bookmarkEnd w:id="25306"/>
      <w:bookmarkEnd w:id="25307"/>
      <w:bookmarkEnd w:id="25308"/>
    </w:p>
    <w:p w14:paraId="2FC4A6F5" w14:textId="77777777" w:rsidR="003D504D" w:rsidRDefault="003D504D" w:rsidP="00223668">
      <w:pPr>
        <w:pStyle w:val="a0"/>
        <w:rPr>
          <w:rtl/>
        </w:rPr>
      </w:pPr>
      <w:r>
        <w:rPr>
          <w:rFonts w:hint="cs"/>
          <w:rtl/>
        </w:rPr>
        <w:t xml:space="preserve">ודחו </w:t>
      </w:r>
      <w:r w:rsidRPr="00960DE1">
        <w:rPr>
          <w:rStyle w:val="af9"/>
          <w:rFonts w:hint="cs"/>
          <w:rtl/>
        </w:rPr>
        <w:t>הרשב"א</w:t>
      </w:r>
      <w:r>
        <w:rPr>
          <w:rFonts w:hint="cs"/>
          <w:rtl/>
        </w:rPr>
        <w:t xml:space="preserve"> </w:t>
      </w:r>
      <w:r w:rsidRPr="002910CB">
        <w:rPr>
          <w:rStyle w:val="af7"/>
          <w:rFonts w:eastAsia="Guttman Hodes" w:hint="cs"/>
          <w:rtl/>
        </w:rPr>
        <w:t>(ד"ה ולענין)</w:t>
      </w:r>
      <w:r>
        <w:rPr>
          <w:rFonts w:hint="cs"/>
          <w:rtl/>
        </w:rPr>
        <w:t xml:space="preserve"> </w:t>
      </w:r>
      <w:r>
        <w:rPr>
          <w:rStyle w:val="af9"/>
          <w:rFonts w:hint="cs"/>
          <w:rtl/>
        </w:rPr>
        <w:t>ו</w:t>
      </w:r>
      <w:r w:rsidRPr="003E502F">
        <w:rPr>
          <w:rStyle w:val="af9"/>
          <w:rFonts w:hint="cs"/>
          <w:rtl/>
        </w:rPr>
        <w:t>הר"ן על הרי"ף</w:t>
      </w:r>
      <w:r>
        <w:rPr>
          <w:rFonts w:hint="cs"/>
          <w:rtl/>
        </w:rPr>
        <w:t xml:space="preserve"> </w:t>
      </w:r>
      <w:r w:rsidRPr="003E502F">
        <w:rPr>
          <w:rStyle w:val="af7"/>
          <w:rFonts w:eastAsia="Guttman Hodes" w:hint="cs"/>
          <w:rtl/>
        </w:rPr>
        <w:t>(כה. מדפי הרי"ף ד"ה ולענין)</w:t>
      </w:r>
      <w:r>
        <w:rPr>
          <w:rFonts w:hint="cs"/>
          <w:rtl/>
        </w:rPr>
        <w:t xml:space="preserve"> </w:t>
      </w:r>
      <w:r>
        <w:rPr>
          <w:rStyle w:val="af9"/>
          <w:rFonts w:hint="cs"/>
          <w:rtl/>
        </w:rPr>
        <w:t>ו</w:t>
      </w:r>
      <w:r w:rsidRPr="003E502F">
        <w:rPr>
          <w:rStyle w:val="af9"/>
          <w:rFonts w:hint="cs"/>
          <w:rtl/>
        </w:rPr>
        <w:t>בחי'</w:t>
      </w:r>
      <w:r>
        <w:rPr>
          <w:rFonts w:hint="cs"/>
          <w:rtl/>
        </w:rPr>
        <w:t xml:space="preserve"> </w:t>
      </w:r>
      <w:r w:rsidRPr="003E502F">
        <w:rPr>
          <w:rStyle w:val="af7"/>
          <w:rFonts w:eastAsia="Guttman Hodes" w:hint="cs"/>
          <w:rtl/>
        </w:rPr>
        <w:t>(ד"ה ריו"ח)</w:t>
      </w:r>
      <w:r>
        <w:rPr>
          <w:rFonts w:hint="cs"/>
          <w:rtl/>
        </w:rPr>
        <w:t xml:space="preserve"> דלא משמע כביאור </w:t>
      </w:r>
      <w:r w:rsidRPr="006863A1">
        <w:rPr>
          <w:rStyle w:val="af9"/>
          <w:rFonts w:hint="cs"/>
          <w:rtl/>
        </w:rPr>
        <w:t xml:space="preserve">הרמב"ן </w:t>
      </w:r>
      <w:r>
        <w:rPr>
          <w:rFonts w:hint="cs"/>
          <w:rtl/>
        </w:rPr>
        <w:t xml:space="preserve">בדברי </w:t>
      </w:r>
      <w:r>
        <w:rPr>
          <w:rStyle w:val="af9"/>
          <w:rFonts w:hint="cs"/>
          <w:rtl/>
        </w:rPr>
        <w:t>ה</w:t>
      </w:r>
      <w:r w:rsidRPr="00960DE1">
        <w:rPr>
          <w:rStyle w:val="af9"/>
          <w:rFonts w:hint="cs"/>
          <w:rtl/>
        </w:rPr>
        <w:t>רי"ף</w:t>
      </w:r>
      <w:r>
        <w:rPr>
          <w:rFonts w:hint="cs"/>
          <w:rtl/>
        </w:rPr>
        <w:t xml:space="preserve">, דאי לא נחלקו בזה לא היה </w:t>
      </w:r>
      <w:r w:rsidRPr="006739C1">
        <w:rPr>
          <w:rStyle w:val="af9"/>
          <w:rFonts w:hint="cs"/>
          <w:rtl/>
        </w:rPr>
        <w:t>להרי"ף</w:t>
      </w:r>
      <w:r>
        <w:rPr>
          <w:rFonts w:hint="cs"/>
          <w:rtl/>
        </w:rPr>
        <w:t xml:space="preserve"> לומר דקיי"ל כריו"ח </w:t>
      </w:r>
      <w:r w:rsidRPr="000714F1">
        <w:rPr>
          <w:rFonts w:hint="cs"/>
          <w:rtl/>
        </w:rPr>
        <w:t>והוסי</w:t>
      </w:r>
      <w:r>
        <w:rPr>
          <w:rFonts w:hint="cs"/>
          <w:rtl/>
        </w:rPr>
        <w:t>ף</w:t>
      </w:r>
      <w:r w:rsidRPr="000714F1">
        <w:rPr>
          <w:rFonts w:hint="cs"/>
          <w:rtl/>
        </w:rPr>
        <w:t xml:space="preserve"> </w:t>
      </w:r>
      <w:r>
        <w:rPr>
          <w:rStyle w:val="af9"/>
          <w:rFonts w:hint="cs"/>
          <w:rtl/>
        </w:rPr>
        <w:t>ה</w:t>
      </w:r>
      <w:r w:rsidRPr="004D1EBB">
        <w:rPr>
          <w:rStyle w:val="af9"/>
          <w:rFonts w:hint="cs"/>
          <w:rtl/>
        </w:rPr>
        <w:t>ר"ן</w:t>
      </w:r>
      <w:r>
        <w:rPr>
          <w:rFonts w:hint="cs"/>
          <w:rtl/>
        </w:rPr>
        <w:t xml:space="preserve"> דכן מוכח בדברי </w:t>
      </w:r>
      <w:r w:rsidRPr="004D1EBB">
        <w:rPr>
          <w:rStyle w:val="af9"/>
          <w:rFonts w:hint="cs"/>
          <w:rtl/>
        </w:rPr>
        <w:t>הרמב"ם</w:t>
      </w:r>
      <w:r>
        <w:rPr>
          <w:rFonts w:hint="cs"/>
          <w:rtl/>
        </w:rPr>
        <w:t xml:space="preserve"> </w:t>
      </w:r>
      <w:r w:rsidRPr="002829AC">
        <w:rPr>
          <w:rStyle w:val="af7"/>
          <w:rFonts w:eastAsia="Guttman Hodes" w:hint="cs"/>
          <w:rtl/>
        </w:rPr>
        <w:t xml:space="preserve">(עי' אות </w:t>
      </w:r>
      <w:r w:rsidRPr="002829AC">
        <w:rPr>
          <w:rStyle w:val="af7"/>
          <w:rFonts w:eastAsia="Guttman Hodes"/>
          <w:rtl/>
        </w:rPr>
        <w:fldChar w:fldCharType="begin"/>
      </w:r>
      <w:r w:rsidRPr="002829AC">
        <w:rPr>
          <w:rStyle w:val="af7"/>
          <w:rFonts w:eastAsia="Guttman Hodes"/>
          <w:rtl/>
        </w:rPr>
        <w:instrText xml:space="preserve"> </w:instrText>
      </w:r>
      <w:r w:rsidRPr="002829AC">
        <w:rPr>
          <w:rStyle w:val="af7"/>
          <w:rFonts w:eastAsia="Guttman Hodes" w:hint="cs"/>
        </w:rPr>
        <w:instrText>REF</w:instrText>
      </w:r>
      <w:r w:rsidRPr="002829AC">
        <w:rPr>
          <w:rStyle w:val="af7"/>
          <w:rFonts w:eastAsia="Guttman Hodes" w:hint="cs"/>
          <w:rtl/>
        </w:rPr>
        <w:instrText xml:space="preserve"> _</w:instrText>
      </w:r>
      <w:r w:rsidRPr="002829AC">
        <w:rPr>
          <w:rStyle w:val="af7"/>
          <w:rFonts w:eastAsia="Guttman Hodes" w:hint="cs"/>
        </w:rPr>
        <w:instrText>Ref4305445 \r \h</w:instrText>
      </w:r>
      <w:r w:rsidRPr="002829AC">
        <w:rPr>
          <w:rStyle w:val="af7"/>
          <w:rFonts w:eastAsia="Guttman Hodes"/>
          <w:rtl/>
        </w:rPr>
        <w:instrText xml:space="preserve"> </w:instrText>
      </w:r>
      <w:r w:rsidRPr="002829AC">
        <w:rPr>
          <w:rStyle w:val="af7"/>
          <w:rFonts w:eastAsia="Guttman Hodes"/>
          <w:rtl/>
        </w:rPr>
      </w:r>
      <w:r w:rsidRPr="002829AC">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2829AC">
        <w:rPr>
          <w:rStyle w:val="af7"/>
          <w:rFonts w:eastAsia="Guttman Hodes"/>
          <w:rtl/>
        </w:rPr>
        <w:fldChar w:fldCharType="end"/>
      </w:r>
      <w:r>
        <w:rPr>
          <w:rFonts w:hint="cs"/>
          <w:rtl/>
        </w:rPr>
        <w:t>.</w:t>
      </w:r>
    </w:p>
    <w:p w14:paraId="2645DDCC" w14:textId="77777777" w:rsidR="003D504D" w:rsidRPr="004B14E3" w:rsidRDefault="003D504D" w:rsidP="003D504D">
      <w:pPr>
        <w:pStyle w:val="a3"/>
      </w:pPr>
      <w:bookmarkStart w:id="25309" w:name="_Toc4305413"/>
      <w:bookmarkStart w:id="25310" w:name="_Toc4316254"/>
      <w:bookmarkStart w:id="25311" w:name="_Toc4330698"/>
      <w:bookmarkStart w:id="25312" w:name="_Toc19392101"/>
      <w:bookmarkStart w:id="25313" w:name="_Toc19395598"/>
      <w:bookmarkStart w:id="25314" w:name="_Ref2531391"/>
      <w:r>
        <w:rPr>
          <w:rFonts w:hint="cs"/>
          <w:rtl/>
        </w:rPr>
        <w:t>הוכחת הרשב"א דריו"ח נחלק על ר"ל דהא הקשה עליו ממתני' ולא קיי"ל כתוספתא דהוי בלאו</w:t>
      </w:r>
      <w:bookmarkEnd w:id="25309"/>
      <w:bookmarkEnd w:id="25310"/>
      <w:bookmarkEnd w:id="25311"/>
      <w:bookmarkEnd w:id="25312"/>
      <w:bookmarkEnd w:id="25313"/>
    </w:p>
    <w:p w14:paraId="615A97F3" w14:textId="77777777" w:rsidR="003D504D" w:rsidRDefault="003D504D" w:rsidP="00223668">
      <w:pPr>
        <w:pStyle w:val="a0"/>
        <w:rPr>
          <w:rtl/>
        </w:rPr>
      </w:pPr>
      <w:r>
        <w:rPr>
          <w:rFonts w:hint="cs"/>
          <w:rtl/>
        </w:rPr>
        <w:t xml:space="preserve">ועוד הוכיח </w:t>
      </w:r>
      <w:r w:rsidRPr="00960DE1">
        <w:rPr>
          <w:rStyle w:val="af9"/>
          <w:rFonts w:hint="cs"/>
          <w:rtl/>
        </w:rPr>
        <w:t>הרשב"א</w:t>
      </w:r>
      <w:r>
        <w:rPr>
          <w:rFonts w:hint="cs"/>
          <w:rtl/>
        </w:rPr>
        <w:t xml:space="preserve"> מהא דריו"ח הקשה על ר"ל ממתני', ומבואר דנחלקו בדין הדם, וא"כ קיי"ל כריו"ח דחייב על הדם כרת, וכתב </w:t>
      </w:r>
      <w:r w:rsidRPr="00960DE1">
        <w:rPr>
          <w:rStyle w:val="af9"/>
          <w:rFonts w:hint="cs"/>
          <w:rtl/>
        </w:rPr>
        <w:t>הרשב"א</w:t>
      </w:r>
      <w:r>
        <w:rPr>
          <w:rFonts w:hint="cs"/>
          <w:rtl/>
        </w:rPr>
        <w:t xml:space="preserve"> דאף ד</w:t>
      </w:r>
      <w:r w:rsidRPr="00CB3C41">
        <w:rPr>
          <w:rFonts w:hint="cs"/>
          <w:rtl/>
        </w:rPr>
        <w:t xml:space="preserve">בתוספתא </w:t>
      </w:r>
      <w:r w:rsidRPr="00CB3C41">
        <w:rPr>
          <w:rStyle w:val="af7"/>
          <w:rFonts w:eastAsia="Guttman Hodes" w:hint="cs"/>
          <w:rtl/>
        </w:rPr>
        <w:t>(</w:t>
      </w:r>
      <w:r>
        <w:rPr>
          <w:rStyle w:val="af7"/>
          <w:rFonts w:eastAsia="Guttman Hodes" w:hint="cs"/>
          <w:rtl/>
        </w:rPr>
        <w:t>כתב בהג' הגראז"מ על הרמב"ן דאינו בתוספתא לפנינו, אמנם כן היא גירסת</w:t>
      </w:r>
      <w:r w:rsidRPr="00CB3C41">
        <w:rPr>
          <w:rStyle w:val="af7"/>
          <w:rFonts w:eastAsia="Guttman Hodes" w:hint="cs"/>
          <w:rtl/>
        </w:rPr>
        <w:t xml:space="preserve"> </w:t>
      </w:r>
      <w:r>
        <w:rPr>
          <w:rStyle w:val="af7"/>
          <w:rFonts w:eastAsia="Guttman Hodes" w:hint="cs"/>
          <w:rtl/>
        </w:rPr>
        <w:t>ה</w:t>
      </w:r>
      <w:r w:rsidRPr="00CB3C41">
        <w:rPr>
          <w:rStyle w:val="af7"/>
          <w:rFonts w:eastAsia="Guttman Hodes" w:hint="cs"/>
          <w:rtl/>
        </w:rPr>
        <w:t>אור הגנוז בתוספתא פ"ז ה"א)</w:t>
      </w:r>
      <w:r w:rsidRPr="00CB3C41">
        <w:rPr>
          <w:rFonts w:hint="cs"/>
          <w:rtl/>
        </w:rPr>
        <w:t xml:space="preserve"> </w:t>
      </w:r>
      <w:r>
        <w:rPr>
          <w:rFonts w:hint="cs"/>
          <w:rtl/>
        </w:rPr>
        <w:t>תני דלדעת רבנן דמו כדם האברים, מ"מ להלכה נקטינן כגמ' לפנינו דלריו"ח חייב כרת ולא כתוספתא.</w:t>
      </w:r>
    </w:p>
    <w:p w14:paraId="6B8431FF" w14:textId="77777777" w:rsidR="003D504D" w:rsidRDefault="003D504D" w:rsidP="003D504D">
      <w:pPr>
        <w:pStyle w:val="a3"/>
        <w:rPr>
          <w:rtl/>
        </w:rPr>
      </w:pPr>
      <w:bookmarkStart w:id="25315" w:name="_Toc4305414"/>
      <w:bookmarkStart w:id="25316" w:name="_Toc4316255"/>
      <w:bookmarkStart w:id="25317" w:name="_Toc4330699"/>
      <w:bookmarkStart w:id="25318" w:name="_Toc19392102"/>
      <w:bookmarkStart w:id="25319" w:name="_Toc19395599"/>
      <w:r>
        <w:rPr>
          <w:rFonts w:hint="cs"/>
          <w:rtl/>
        </w:rPr>
        <w:t>דחית האשכול דלר"ל אין דם הנפש בשליל אך לריו"ח מוכח דיש דם הנפש בשליל מדין ד' סימנים</w:t>
      </w:r>
      <w:bookmarkEnd w:id="25315"/>
      <w:bookmarkEnd w:id="25316"/>
      <w:bookmarkEnd w:id="25317"/>
      <w:bookmarkEnd w:id="25318"/>
      <w:bookmarkEnd w:id="25319"/>
    </w:p>
    <w:p w14:paraId="497EF2FB" w14:textId="77777777" w:rsidR="003D504D" w:rsidRDefault="003D504D" w:rsidP="00223668">
      <w:pPr>
        <w:pStyle w:val="a0"/>
        <w:rPr>
          <w:rtl/>
        </w:rPr>
      </w:pPr>
      <w:r>
        <w:rPr>
          <w:rFonts w:hint="cs"/>
          <w:rtl/>
        </w:rPr>
        <w:t xml:space="preserve">וכן דחה </w:t>
      </w:r>
      <w:r w:rsidRPr="004766AA">
        <w:rPr>
          <w:rStyle w:val="af9"/>
          <w:rFonts w:hint="cs"/>
          <w:rtl/>
        </w:rPr>
        <w:t>האשכול</w:t>
      </w:r>
      <w:r w:rsidRPr="00AB4756">
        <w:rPr>
          <w:rStyle w:val="af7"/>
          <w:rFonts w:eastAsia="Guttman Hodes" w:hint="cs"/>
          <w:rtl/>
        </w:rPr>
        <w:t xml:space="preserve"> (בפירקין עמ' 70, הועתק בקובץ שיטות קמאי חולין ח"ב עמ' אלף תרל"ז)</w:t>
      </w:r>
      <w:r w:rsidRPr="002A56BB">
        <w:rPr>
          <w:rFonts w:hint="cs"/>
          <w:rtl/>
        </w:rPr>
        <w:t xml:space="preserve"> </w:t>
      </w:r>
      <w:r w:rsidRPr="00AB4756">
        <w:rPr>
          <w:rStyle w:val="afb"/>
          <w:rFonts w:hint="cs"/>
          <w:rtl/>
        </w:rPr>
        <w:t xml:space="preserve">[את ביאור </w:t>
      </w:r>
      <w:r w:rsidRPr="00AB4756">
        <w:rPr>
          <w:rStyle w:val="affa"/>
          <w:rFonts w:hint="cs"/>
          <w:rtl/>
        </w:rPr>
        <w:t>הרמב"ן</w:t>
      </w:r>
      <w:r w:rsidRPr="00AB4756">
        <w:rPr>
          <w:rStyle w:val="afb"/>
          <w:rFonts w:hint="cs"/>
          <w:rtl/>
        </w:rPr>
        <w:t>]</w:t>
      </w:r>
      <w:r>
        <w:rPr>
          <w:rFonts w:hint="cs"/>
          <w:rtl/>
        </w:rPr>
        <w:t xml:space="preserve"> דכיון דס"ל לר"ל בדעת ר"י דאין חיוב כרת בדם השליל, א"כ מוכח דלדעת ר"ל אין דם הנפש בשליל כלל, אבל לריו"ח דס"ל דלר"י יש כרת בכל דמו של השליל, א"כ מבואר דס"ל לריו"ח שיש בשליל דם הנפש, וכדמוכח ממה שהקשה ריו"ח לר"ל מרישא דמתני', וכתב </w:t>
      </w:r>
      <w:r w:rsidRPr="004766AA">
        <w:rPr>
          <w:rStyle w:val="af9"/>
          <w:rFonts w:hint="cs"/>
          <w:rtl/>
        </w:rPr>
        <w:t>האשכול</w:t>
      </w:r>
      <w:r>
        <w:rPr>
          <w:rFonts w:hint="cs"/>
          <w:rtl/>
        </w:rPr>
        <w:t xml:space="preserve"> דא"כ אף לדידן יש בשליל דם הנפש, והטעם הוא דכיון דקיי"ל דד' סימנים אכשר ביה רחמנא, א"כ מוכח שבשחיטתו יוצא דם הנפש, ולכן קיי"ל דדם הנפש הכנוס בלבו של השליל הוא בכרת, ושאר דמו הוא כדם האברים שהוא בלאו.</w:t>
      </w:r>
    </w:p>
    <w:p w14:paraId="263C5E07" w14:textId="77777777" w:rsidR="003D504D" w:rsidRDefault="003D504D" w:rsidP="00BF39B2">
      <w:pPr>
        <w:pStyle w:val="1"/>
        <w:rPr>
          <w:rtl/>
        </w:rPr>
      </w:pPr>
      <w:bookmarkStart w:id="25320" w:name="_Toc2723907"/>
      <w:bookmarkStart w:id="25321" w:name="_Toc4305415"/>
      <w:bookmarkStart w:id="25322" w:name="_Toc4316256"/>
      <w:bookmarkStart w:id="25323" w:name="_Toc4330700"/>
      <w:bookmarkStart w:id="25324" w:name="_Toc19392103"/>
      <w:bookmarkStart w:id="25325" w:name="_Toc19395600"/>
      <w:r>
        <w:rPr>
          <w:rFonts w:hint="cs"/>
          <w:rtl/>
        </w:rPr>
        <w:t>דברי רש"י</w:t>
      </w:r>
      <w:bookmarkEnd w:id="25320"/>
      <w:r>
        <w:rPr>
          <w:rFonts w:hint="cs"/>
          <w:rtl/>
        </w:rPr>
        <w:t xml:space="preserve"> בפלוגתת ריו"ח ור"ל</w:t>
      </w:r>
      <w:bookmarkEnd w:id="25321"/>
      <w:bookmarkEnd w:id="25322"/>
      <w:bookmarkEnd w:id="25323"/>
      <w:bookmarkEnd w:id="25324"/>
      <w:bookmarkEnd w:id="25325"/>
    </w:p>
    <w:p w14:paraId="74EFFA06" w14:textId="77777777" w:rsidR="003D504D" w:rsidRPr="001A0555" w:rsidRDefault="003D504D" w:rsidP="003D504D">
      <w:pPr>
        <w:pStyle w:val="a3"/>
        <w:rPr>
          <w:rtl/>
        </w:rPr>
      </w:pPr>
      <w:bookmarkStart w:id="25326" w:name="_Toc4305416"/>
      <w:bookmarkStart w:id="25327" w:name="_Toc4316257"/>
      <w:bookmarkStart w:id="25328" w:name="_Toc4330701"/>
      <w:bookmarkStart w:id="25329" w:name="_Toc19392104"/>
      <w:bookmarkStart w:id="25330" w:name="_Toc19395601"/>
      <w:r>
        <w:rPr>
          <w:rFonts w:hint="cs"/>
          <w:rtl/>
        </w:rPr>
        <w:t>דברי רש"י במתני' דדם השליל אסור דלא גרע מדם האבירם</w:t>
      </w:r>
      <w:bookmarkEnd w:id="25326"/>
      <w:bookmarkEnd w:id="25327"/>
      <w:bookmarkEnd w:id="25328"/>
      <w:bookmarkEnd w:id="25329"/>
      <w:bookmarkEnd w:id="25330"/>
    </w:p>
    <w:p w14:paraId="35579CF6" w14:textId="77777777" w:rsidR="003D504D" w:rsidRDefault="003D504D" w:rsidP="00223668">
      <w:pPr>
        <w:pStyle w:val="a0"/>
        <w:rPr>
          <w:rtl/>
        </w:rPr>
      </w:pPr>
      <w:bookmarkStart w:id="25331" w:name="_Ref4271087"/>
      <w:r w:rsidRPr="0067050B">
        <w:rPr>
          <w:rFonts w:hint="cs"/>
          <w:rtl/>
        </w:rPr>
        <w:t xml:space="preserve">כתב </w:t>
      </w:r>
      <w:r w:rsidRPr="0067050B">
        <w:rPr>
          <w:rStyle w:val="af9"/>
          <w:rFonts w:hint="cs"/>
          <w:rtl/>
        </w:rPr>
        <w:t>רש"י</w:t>
      </w:r>
      <w:r w:rsidRPr="0067050B">
        <w:rPr>
          <w:rFonts w:hint="cs"/>
          <w:rtl/>
        </w:rPr>
        <w:t xml:space="preserve"> </w:t>
      </w:r>
      <w:r w:rsidRPr="002D6799">
        <w:rPr>
          <w:rStyle w:val="af9"/>
          <w:rFonts w:hint="cs"/>
          <w:rtl/>
        </w:rPr>
        <w:t xml:space="preserve">במתני' </w:t>
      </w:r>
      <w:r w:rsidRPr="0067050B">
        <w:rPr>
          <w:rStyle w:val="af7"/>
          <w:rFonts w:eastAsia="Guttman Hodes" w:hint="cs"/>
          <w:rtl/>
        </w:rPr>
        <w:t>(עד. ד"ה קורעו)</w:t>
      </w:r>
      <w:r w:rsidRPr="0067050B">
        <w:rPr>
          <w:rFonts w:hint="cs"/>
          <w:rtl/>
        </w:rPr>
        <w:t xml:space="preserve"> </w:t>
      </w:r>
      <w:r w:rsidRPr="002A56BB">
        <w:rPr>
          <w:rFonts w:hint="cs"/>
          <w:rtl/>
        </w:rPr>
        <w:t xml:space="preserve">דבן ח' חי או מת ובן ט' </w:t>
      </w:r>
      <w:r>
        <w:rPr>
          <w:rFonts w:hint="cs"/>
          <w:rtl/>
        </w:rPr>
        <w:t>דלכו"ע מותרים בשחיטת אמם,</w:t>
      </w:r>
      <w:r w:rsidRPr="002A56BB">
        <w:rPr>
          <w:rFonts w:hint="cs"/>
          <w:rtl/>
        </w:rPr>
        <w:t xml:space="preserve"> </w:t>
      </w:r>
      <w:r>
        <w:rPr>
          <w:rFonts w:hint="cs"/>
          <w:rtl/>
        </w:rPr>
        <w:t>מ"מ הדם שלהם</w:t>
      </w:r>
      <w:r w:rsidRPr="0067050B">
        <w:rPr>
          <w:rFonts w:hint="cs"/>
          <w:rtl/>
        </w:rPr>
        <w:t xml:space="preserve"> אסור, כיון דלא גרע מדם האברים, דקיי"ל דעובר עליו בלא תעשה.</w:t>
      </w:r>
      <w:bookmarkEnd w:id="25331"/>
    </w:p>
    <w:p w14:paraId="7D2D48AE" w14:textId="77777777" w:rsidR="003D504D" w:rsidRPr="002D6799" w:rsidRDefault="003D504D" w:rsidP="003D504D">
      <w:pPr>
        <w:pStyle w:val="a3"/>
        <w:rPr>
          <w:rtl/>
        </w:rPr>
      </w:pPr>
      <w:bookmarkStart w:id="25332" w:name="_Toc4305417"/>
      <w:bookmarkStart w:id="25333" w:name="_Toc4316258"/>
      <w:bookmarkStart w:id="25334" w:name="_Toc4330702"/>
      <w:bookmarkStart w:id="25335" w:name="_Toc19392105"/>
      <w:bookmarkStart w:id="25336" w:name="_Toc19395602"/>
      <w:r>
        <w:rPr>
          <w:rFonts w:hint="cs"/>
          <w:rtl/>
        </w:rPr>
        <w:t>ביאור רש"י בקושית ריו"ח ממתני' דמוכח דאף בן ח' דמו אסור בין לר"י ובין לר"מ</w:t>
      </w:r>
      <w:bookmarkEnd w:id="25332"/>
      <w:bookmarkEnd w:id="25333"/>
      <w:bookmarkEnd w:id="25334"/>
      <w:bookmarkEnd w:id="25335"/>
      <w:bookmarkEnd w:id="25336"/>
    </w:p>
    <w:p w14:paraId="4D4A27B5" w14:textId="77777777" w:rsidR="003D504D" w:rsidRDefault="003D504D" w:rsidP="00223668">
      <w:pPr>
        <w:pStyle w:val="a0"/>
        <w:rPr>
          <w:rtl/>
        </w:rPr>
      </w:pPr>
      <w:bookmarkStart w:id="25337" w:name="_Ref4305354"/>
      <w:r>
        <w:rPr>
          <w:rFonts w:hint="cs"/>
          <w:rtl/>
        </w:rPr>
        <w:t>ו</w:t>
      </w:r>
      <w:r w:rsidRPr="0067050B">
        <w:rPr>
          <w:rFonts w:hint="cs"/>
          <w:rtl/>
        </w:rPr>
        <w:t xml:space="preserve">בקושית ריו"ח על ר"ל מהרישא דמתני' דקורעו ומוציא את דמו, ביאר </w:t>
      </w:r>
      <w:r w:rsidRPr="0067050B">
        <w:rPr>
          <w:rStyle w:val="af9"/>
          <w:rFonts w:hint="cs"/>
          <w:rtl/>
        </w:rPr>
        <w:t>רש"י</w:t>
      </w:r>
      <w:r w:rsidRPr="0067050B">
        <w:rPr>
          <w:rFonts w:hint="cs"/>
          <w:rtl/>
        </w:rPr>
        <w:t xml:space="preserve"> </w:t>
      </w:r>
      <w:r w:rsidRPr="0067050B">
        <w:rPr>
          <w:rStyle w:val="af7"/>
          <w:rFonts w:eastAsia="Guttman Hodes" w:hint="cs"/>
          <w:rtl/>
        </w:rPr>
        <w:t xml:space="preserve">(ד"ה קורעו) </w:t>
      </w:r>
      <w:r w:rsidRPr="0067050B">
        <w:rPr>
          <w:rFonts w:hint="cs"/>
          <w:rtl/>
        </w:rPr>
        <w:t xml:space="preserve">דמוכח במתני' דאף בן ח' דמותר בין לר"י ובין לר"מ, מ"מ דמו אסור, ומבואר דאיסור הדם אינו תלוי בפלוגתת ר"מ ור"י, ועי' בביאור </w:t>
      </w:r>
      <w:r w:rsidRPr="0067050B">
        <w:rPr>
          <w:rStyle w:val="af9"/>
          <w:rFonts w:hint="cs"/>
          <w:rtl/>
        </w:rPr>
        <w:t>הלח"מ</w:t>
      </w:r>
      <w:r w:rsidRPr="0067050B">
        <w:rPr>
          <w:rFonts w:hint="cs"/>
          <w:rtl/>
        </w:rPr>
        <w:t xml:space="preserve"> </w:t>
      </w:r>
      <w:r w:rsidRPr="0067050B">
        <w:rPr>
          <w:rStyle w:val="af7"/>
          <w:rFonts w:eastAsia="Guttman Hodes" w:hint="cs"/>
          <w:rtl/>
        </w:rPr>
        <w:t xml:space="preserve">(עי' אות </w:t>
      </w:r>
      <w:r w:rsidRPr="0067050B">
        <w:rPr>
          <w:rStyle w:val="af7"/>
          <w:rFonts w:eastAsia="Guttman Hodes"/>
          <w:rtl/>
        </w:rPr>
        <w:fldChar w:fldCharType="begin"/>
      </w:r>
      <w:r w:rsidRPr="0067050B">
        <w:rPr>
          <w:rStyle w:val="af7"/>
          <w:rFonts w:eastAsia="Guttman Hodes"/>
          <w:rtl/>
        </w:rPr>
        <w:instrText xml:space="preserve"> </w:instrText>
      </w:r>
      <w:r w:rsidRPr="0067050B">
        <w:rPr>
          <w:rStyle w:val="af7"/>
          <w:rFonts w:eastAsia="Guttman Hodes" w:hint="cs"/>
        </w:rPr>
        <w:instrText>REF</w:instrText>
      </w:r>
      <w:r w:rsidRPr="0067050B">
        <w:rPr>
          <w:rStyle w:val="af7"/>
          <w:rFonts w:eastAsia="Guttman Hodes" w:hint="cs"/>
          <w:rtl/>
        </w:rPr>
        <w:instrText xml:space="preserve"> _</w:instrText>
      </w:r>
      <w:r w:rsidRPr="0067050B">
        <w:rPr>
          <w:rStyle w:val="af7"/>
          <w:rFonts w:eastAsia="Guttman Hodes" w:hint="cs"/>
        </w:rPr>
        <w:instrText>Ref2543325 \r \h</w:instrText>
      </w:r>
      <w:r w:rsidRPr="0067050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67050B">
        <w:rPr>
          <w:rStyle w:val="af7"/>
          <w:rFonts w:eastAsia="Guttman Hodes"/>
          <w:rtl/>
        </w:rPr>
      </w:r>
      <w:r w:rsidRPr="0067050B">
        <w:rPr>
          <w:rStyle w:val="af7"/>
          <w:rFonts w:eastAsia="Guttman Hodes"/>
          <w:rtl/>
        </w:rPr>
        <w:fldChar w:fldCharType="separate"/>
      </w:r>
      <w:r w:rsidR="00345400">
        <w:rPr>
          <w:rStyle w:val="af7"/>
          <w:rFonts w:eastAsia="Guttman Hodes"/>
          <w:cs/>
        </w:rPr>
        <w:t>‎</w:t>
      </w:r>
      <w:r w:rsidR="00345400">
        <w:rPr>
          <w:rStyle w:val="af7"/>
          <w:rFonts w:eastAsia="Guttman Hodes"/>
          <w:rtl/>
        </w:rPr>
        <w:t>סה)</w:t>
      </w:r>
      <w:r w:rsidRPr="0067050B">
        <w:rPr>
          <w:rStyle w:val="af7"/>
          <w:rFonts w:eastAsia="Guttman Hodes"/>
          <w:rtl/>
        </w:rPr>
        <w:fldChar w:fldCharType="end"/>
      </w:r>
      <w:r w:rsidRPr="0067050B">
        <w:rPr>
          <w:rFonts w:hint="cs"/>
          <w:rtl/>
        </w:rPr>
        <w:t xml:space="preserve"> בדברי </w:t>
      </w:r>
      <w:r w:rsidRPr="0067050B">
        <w:rPr>
          <w:rStyle w:val="af9"/>
          <w:rFonts w:hint="cs"/>
          <w:rtl/>
        </w:rPr>
        <w:t>רש"י</w:t>
      </w:r>
      <w:r w:rsidRPr="0067050B">
        <w:rPr>
          <w:rFonts w:hint="cs"/>
          <w:rtl/>
        </w:rPr>
        <w:t xml:space="preserve"> ובדברי </w:t>
      </w:r>
      <w:r w:rsidRPr="0067050B">
        <w:rPr>
          <w:rStyle w:val="af9"/>
          <w:rFonts w:hint="cs"/>
          <w:rtl/>
        </w:rPr>
        <w:t>הגרש"ר</w:t>
      </w:r>
      <w:r w:rsidRPr="0067050B">
        <w:rPr>
          <w:rFonts w:hint="cs"/>
          <w:rtl/>
        </w:rPr>
        <w:t xml:space="preserve"> </w:t>
      </w:r>
      <w:r w:rsidRPr="0067050B">
        <w:rPr>
          <w:rStyle w:val="af7"/>
          <w:rFonts w:eastAsia="Guttman Hodes" w:hint="cs"/>
          <w:rtl/>
        </w:rPr>
        <w:t xml:space="preserve">(עי' אות </w:t>
      </w:r>
      <w:r w:rsidRPr="0067050B">
        <w:rPr>
          <w:rStyle w:val="af7"/>
          <w:rFonts w:eastAsia="Guttman Hodes"/>
          <w:rtl/>
        </w:rPr>
        <w:fldChar w:fldCharType="begin"/>
      </w:r>
      <w:r w:rsidRPr="0067050B">
        <w:rPr>
          <w:rStyle w:val="af7"/>
          <w:rFonts w:eastAsia="Guttman Hodes"/>
          <w:rtl/>
        </w:rPr>
        <w:instrText xml:space="preserve"> </w:instrText>
      </w:r>
      <w:r w:rsidRPr="0067050B">
        <w:rPr>
          <w:rStyle w:val="af7"/>
          <w:rFonts w:eastAsia="Guttman Hodes" w:hint="cs"/>
        </w:rPr>
        <w:instrText>REF</w:instrText>
      </w:r>
      <w:r w:rsidRPr="0067050B">
        <w:rPr>
          <w:rStyle w:val="af7"/>
          <w:rFonts w:eastAsia="Guttman Hodes" w:hint="cs"/>
          <w:rtl/>
        </w:rPr>
        <w:instrText xml:space="preserve"> _</w:instrText>
      </w:r>
      <w:r w:rsidRPr="0067050B">
        <w:rPr>
          <w:rStyle w:val="af7"/>
          <w:rFonts w:eastAsia="Guttman Hodes" w:hint="cs"/>
        </w:rPr>
        <w:instrText>Ref2543310 \r \h</w:instrText>
      </w:r>
      <w:r w:rsidRPr="0067050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67050B">
        <w:rPr>
          <w:rStyle w:val="af7"/>
          <w:rFonts w:eastAsia="Guttman Hodes"/>
          <w:rtl/>
        </w:rPr>
      </w:r>
      <w:r w:rsidRPr="0067050B">
        <w:rPr>
          <w:rStyle w:val="af7"/>
          <w:rFonts w:eastAsia="Guttman Hodes"/>
          <w:rtl/>
        </w:rPr>
        <w:fldChar w:fldCharType="separate"/>
      </w:r>
      <w:r w:rsidR="00345400">
        <w:rPr>
          <w:rStyle w:val="af7"/>
          <w:rFonts w:eastAsia="Guttman Hodes"/>
          <w:cs/>
        </w:rPr>
        <w:t>‎</w:t>
      </w:r>
      <w:r w:rsidR="00345400">
        <w:rPr>
          <w:rStyle w:val="af7"/>
          <w:rFonts w:eastAsia="Guttman Hodes"/>
          <w:rtl/>
        </w:rPr>
        <w:t>לב)</w:t>
      </w:r>
      <w:r w:rsidRPr="0067050B">
        <w:rPr>
          <w:rStyle w:val="af7"/>
          <w:rFonts w:eastAsia="Guttman Hodes"/>
          <w:rtl/>
        </w:rPr>
        <w:fldChar w:fldCharType="end"/>
      </w:r>
      <w:r w:rsidRPr="0067050B">
        <w:rPr>
          <w:rFonts w:hint="cs"/>
          <w:rtl/>
        </w:rPr>
        <w:t>.</w:t>
      </w:r>
      <w:bookmarkEnd w:id="25314"/>
      <w:bookmarkEnd w:id="25337"/>
    </w:p>
    <w:p w14:paraId="30E22532" w14:textId="77777777" w:rsidR="005077A7" w:rsidRPr="005077A7" w:rsidRDefault="005077A7" w:rsidP="005077A7">
      <w:pPr>
        <w:pStyle w:val="a3"/>
        <w:rPr>
          <w:rtl/>
        </w:rPr>
      </w:pPr>
    </w:p>
    <w:p w14:paraId="6EB9ABDA" w14:textId="77777777" w:rsidR="003D504D" w:rsidRPr="00C12686" w:rsidRDefault="003D504D" w:rsidP="003D504D">
      <w:pPr>
        <w:pStyle w:val="a3"/>
        <w:rPr>
          <w:rtl/>
        </w:rPr>
      </w:pPr>
      <w:bookmarkStart w:id="25338" w:name="_Toc4305418"/>
      <w:bookmarkStart w:id="25339" w:name="_Toc4316259"/>
      <w:bookmarkStart w:id="25340" w:name="_Toc4330703"/>
      <w:bookmarkStart w:id="25341" w:name="_Toc19392106"/>
      <w:bookmarkStart w:id="25342" w:name="_Toc19395603"/>
      <w:r w:rsidRPr="00C12686">
        <w:rPr>
          <w:rFonts w:hint="cs"/>
          <w:rtl/>
        </w:rPr>
        <w:t>דברי הכנה"ג</w:t>
      </w:r>
      <w:r>
        <w:rPr>
          <w:rFonts w:hint="cs"/>
          <w:rtl/>
        </w:rPr>
        <w:t xml:space="preserve"> דדעת רש"י כרמב"ן דלהלכה אין חיוב כרת אליבא דריו"ח</w:t>
      </w:r>
      <w:bookmarkEnd w:id="25338"/>
      <w:bookmarkEnd w:id="25339"/>
      <w:bookmarkEnd w:id="25340"/>
      <w:bookmarkEnd w:id="25341"/>
      <w:bookmarkEnd w:id="25342"/>
    </w:p>
    <w:p w14:paraId="6402CF57" w14:textId="77777777" w:rsidR="003D504D" w:rsidRPr="00C12686" w:rsidRDefault="003D504D" w:rsidP="00223668">
      <w:pPr>
        <w:pStyle w:val="a0"/>
        <w:rPr>
          <w:rtl/>
        </w:rPr>
      </w:pPr>
      <w:r>
        <w:rPr>
          <w:rFonts w:hint="cs"/>
          <w:rtl/>
        </w:rPr>
        <w:t xml:space="preserve">וכתב </w:t>
      </w:r>
      <w:r w:rsidRPr="00E83AFE">
        <w:rPr>
          <w:rStyle w:val="af9"/>
          <w:rFonts w:hint="cs"/>
          <w:rtl/>
        </w:rPr>
        <w:t>הכנה"ג</w:t>
      </w:r>
      <w:r>
        <w:rPr>
          <w:rFonts w:hint="cs"/>
          <w:rtl/>
        </w:rPr>
        <w:t xml:space="preserve"> </w:t>
      </w:r>
      <w:r w:rsidRPr="00BA6EA6">
        <w:rPr>
          <w:rStyle w:val="af7"/>
          <w:rFonts w:eastAsia="Guttman Hodes" w:hint="cs"/>
          <w:rtl/>
        </w:rPr>
        <w:t>(סי' י"ג הג' הטור ו')</w:t>
      </w:r>
      <w:r>
        <w:rPr>
          <w:rFonts w:hint="cs"/>
          <w:rtl/>
        </w:rPr>
        <w:t xml:space="preserve"> דמבואר מדברי </w:t>
      </w:r>
      <w:r w:rsidRPr="008E46DA">
        <w:rPr>
          <w:rStyle w:val="af9"/>
          <w:rFonts w:hint="cs"/>
          <w:rtl/>
        </w:rPr>
        <w:t>רש"י במתני'</w:t>
      </w:r>
      <w:r>
        <w:rPr>
          <w:rFonts w:hint="cs"/>
          <w:rtl/>
        </w:rPr>
        <w:t xml:space="preserve"> </w:t>
      </w:r>
      <w:r>
        <w:rPr>
          <w:rStyle w:val="af7"/>
          <w:rFonts w:eastAsia="Guttman Hodes" w:hint="cs"/>
          <w:rtl/>
        </w:rPr>
        <w:t>(עי' אות</w:t>
      </w:r>
      <w:r w:rsidRPr="00C12686">
        <w:rPr>
          <w:rStyle w:val="af7"/>
          <w:rFonts w:eastAsia="Guttman Hodes" w:hint="cs"/>
          <w:rtl/>
        </w:rPr>
        <w:t xml:space="preserve"> </w:t>
      </w:r>
      <w:r w:rsidRPr="00C12686">
        <w:rPr>
          <w:rStyle w:val="af7"/>
          <w:rFonts w:eastAsia="Guttman Hodes"/>
          <w:rtl/>
        </w:rPr>
        <w:fldChar w:fldCharType="begin"/>
      </w:r>
      <w:r w:rsidRPr="00C12686">
        <w:rPr>
          <w:rStyle w:val="af7"/>
          <w:rFonts w:eastAsia="Guttman Hodes"/>
          <w:rtl/>
        </w:rPr>
        <w:instrText xml:space="preserve"> </w:instrText>
      </w:r>
      <w:r w:rsidRPr="00C12686">
        <w:rPr>
          <w:rStyle w:val="af7"/>
          <w:rFonts w:eastAsia="Guttman Hodes" w:hint="cs"/>
        </w:rPr>
        <w:instrText>REF</w:instrText>
      </w:r>
      <w:r w:rsidRPr="00C12686">
        <w:rPr>
          <w:rStyle w:val="af7"/>
          <w:rFonts w:eastAsia="Guttman Hodes" w:hint="cs"/>
          <w:rtl/>
        </w:rPr>
        <w:instrText xml:space="preserve"> _</w:instrText>
      </w:r>
      <w:r w:rsidRPr="00C12686">
        <w:rPr>
          <w:rStyle w:val="af7"/>
          <w:rFonts w:eastAsia="Guttman Hodes" w:hint="cs"/>
        </w:rPr>
        <w:instrText>Ref4271087 \r \h</w:instrText>
      </w:r>
      <w:r w:rsidRPr="00C12686">
        <w:rPr>
          <w:rStyle w:val="af7"/>
          <w:rFonts w:eastAsia="Guttman Hodes"/>
          <w:rtl/>
        </w:rPr>
        <w:instrText xml:space="preserve"> </w:instrText>
      </w:r>
      <w:r w:rsidRPr="00C12686">
        <w:rPr>
          <w:rStyle w:val="af7"/>
          <w:rFonts w:eastAsia="Guttman Hodes"/>
          <w:rtl/>
        </w:rPr>
      </w:r>
      <w:r w:rsidRPr="00C12686">
        <w:rPr>
          <w:rStyle w:val="af7"/>
          <w:rFonts w:eastAsia="Guttman Hodes"/>
          <w:rtl/>
        </w:rPr>
        <w:fldChar w:fldCharType="separate"/>
      </w:r>
      <w:r w:rsidR="00345400">
        <w:rPr>
          <w:rStyle w:val="af7"/>
          <w:rFonts w:eastAsia="Guttman Hodes"/>
          <w:cs/>
        </w:rPr>
        <w:t>‎</w:t>
      </w:r>
      <w:r w:rsidR="00345400">
        <w:rPr>
          <w:rStyle w:val="af7"/>
          <w:rFonts w:eastAsia="Guttman Hodes"/>
          <w:rtl/>
        </w:rPr>
        <w:t>יט)</w:t>
      </w:r>
      <w:r w:rsidRPr="00C12686">
        <w:rPr>
          <w:rStyle w:val="af7"/>
          <w:rFonts w:eastAsia="Guttman Hodes"/>
          <w:rtl/>
        </w:rPr>
        <w:fldChar w:fldCharType="end"/>
      </w:r>
      <w:r>
        <w:rPr>
          <w:rFonts w:hint="cs"/>
          <w:rtl/>
        </w:rPr>
        <w:t xml:space="preserve"> דכתב דהוי כדם האיברים שהוא בלאו, דאף לריו"ח להלכה אין בדם חיוב כרת, דדוחק לומר דכוונת </w:t>
      </w:r>
      <w:r w:rsidRPr="00BA6EA6">
        <w:rPr>
          <w:rStyle w:val="af9"/>
          <w:rFonts w:hint="cs"/>
          <w:rtl/>
        </w:rPr>
        <w:t>רש"י</w:t>
      </w:r>
      <w:r>
        <w:rPr>
          <w:rFonts w:hint="cs"/>
          <w:rtl/>
        </w:rPr>
        <w:t xml:space="preserve"> לבאר את המשנה אליבא דר"ל דלא כהלכתא, וכתב </w:t>
      </w:r>
      <w:r w:rsidRPr="00BA6EA6">
        <w:rPr>
          <w:rStyle w:val="af9"/>
          <w:rFonts w:hint="cs"/>
          <w:rtl/>
        </w:rPr>
        <w:t>הכנה"ג</w:t>
      </w:r>
      <w:r>
        <w:rPr>
          <w:rFonts w:hint="cs"/>
          <w:rtl/>
        </w:rPr>
        <w:t xml:space="preserve"> דמבואר דס"ל </w:t>
      </w:r>
      <w:r w:rsidRPr="00BA6EA6">
        <w:rPr>
          <w:rStyle w:val="af9"/>
          <w:rFonts w:hint="cs"/>
          <w:rtl/>
        </w:rPr>
        <w:t>לרש"י כרמב"ן</w:t>
      </w:r>
      <w:r>
        <w:rPr>
          <w:rFonts w:hint="cs"/>
          <w:rtl/>
        </w:rPr>
        <w:t xml:space="preserve"> </w:t>
      </w:r>
      <w:r w:rsidRPr="00C12686">
        <w:rPr>
          <w:rStyle w:val="af7"/>
          <w:rFonts w:eastAsia="Guttman Hodes" w:hint="cs"/>
          <w:rtl/>
        </w:rPr>
        <w:t xml:space="preserve">(עי' אות </w:t>
      </w:r>
      <w:r w:rsidRPr="00C12686">
        <w:rPr>
          <w:rStyle w:val="af7"/>
          <w:rFonts w:eastAsia="Guttman Hodes"/>
          <w:rtl/>
        </w:rPr>
        <w:fldChar w:fldCharType="begin"/>
      </w:r>
      <w:r w:rsidRPr="00C12686">
        <w:rPr>
          <w:rStyle w:val="af7"/>
          <w:rFonts w:eastAsia="Guttman Hodes"/>
          <w:rtl/>
        </w:rPr>
        <w:instrText xml:space="preserve"> </w:instrText>
      </w:r>
      <w:r w:rsidRPr="00C12686">
        <w:rPr>
          <w:rStyle w:val="af7"/>
          <w:rFonts w:eastAsia="Guttman Hodes" w:hint="cs"/>
        </w:rPr>
        <w:instrText>REF</w:instrText>
      </w:r>
      <w:r w:rsidRPr="00C12686">
        <w:rPr>
          <w:rStyle w:val="af7"/>
          <w:rFonts w:eastAsia="Guttman Hodes" w:hint="cs"/>
          <w:rtl/>
        </w:rPr>
        <w:instrText xml:space="preserve"> _</w:instrText>
      </w:r>
      <w:r w:rsidRPr="00C12686">
        <w:rPr>
          <w:rStyle w:val="af7"/>
          <w:rFonts w:eastAsia="Guttman Hodes" w:hint="cs"/>
        </w:rPr>
        <w:instrText>Ref4271076 \r \h</w:instrText>
      </w:r>
      <w:r w:rsidRPr="00C12686">
        <w:rPr>
          <w:rStyle w:val="af7"/>
          <w:rFonts w:eastAsia="Guttman Hodes"/>
          <w:rtl/>
        </w:rPr>
        <w:instrText xml:space="preserve"> </w:instrText>
      </w:r>
      <w:r w:rsidRPr="00C12686">
        <w:rPr>
          <w:rStyle w:val="af7"/>
          <w:rFonts w:eastAsia="Guttman Hodes"/>
          <w:rtl/>
        </w:rPr>
      </w:r>
      <w:r w:rsidRPr="00C12686">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C12686">
        <w:rPr>
          <w:rStyle w:val="af7"/>
          <w:rFonts w:eastAsia="Guttman Hodes"/>
          <w:rtl/>
        </w:rPr>
        <w:fldChar w:fldCharType="end"/>
      </w:r>
      <w:r>
        <w:rPr>
          <w:rFonts w:hint="cs"/>
          <w:rtl/>
        </w:rPr>
        <w:t xml:space="preserve"> דהא דאמר ריו"ח דחייב כרת, היינו לדעת ר"י דמחייב כרת בדם התמצית, אבל לדידן דקיי"ל דדם האברים בלאו, א"כ אף דם השליל בלאו.</w:t>
      </w:r>
    </w:p>
    <w:p w14:paraId="5AD93444" w14:textId="77777777" w:rsidR="003D504D" w:rsidRDefault="003D504D" w:rsidP="00BF39B2">
      <w:pPr>
        <w:pStyle w:val="1"/>
        <w:rPr>
          <w:rtl/>
        </w:rPr>
      </w:pPr>
      <w:bookmarkStart w:id="25343" w:name="_Toc2723908"/>
      <w:bookmarkStart w:id="25344" w:name="_Toc4305419"/>
      <w:bookmarkStart w:id="25345" w:name="_Toc4316260"/>
      <w:bookmarkStart w:id="25346" w:name="_Toc4330704"/>
      <w:bookmarkStart w:id="25347" w:name="_Toc19392107"/>
      <w:bookmarkStart w:id="25348" w:name="_Toc19395604"/>
      <w:bookmarkStart w:id="25349" w:name="_Toc2541646"/>
      <w:bookmarkStart w:id="25350" w:name="_Toc2597301"/>
      <w:bookmarkStart w:id="25351" w:name="_Toc2618565"/>
      <w:bookmarkStart w:id="25352" w:name="_Toc2628208"/>
      <w:r>
        <w:rPr>
          <w:rFonts w:hint="cs"/>
          <w:rtl/>
        </w:rPr>
        <w:t>ביאור הכנה"ג בדעת הרא"ש</w:t>
      </w:r>
      <w:bookmarkEnd w:id="25343"/>
      <w:bookmarkEnd w:id="25344"/>
      <w:bookmarkEnd w:id="25345"/>
      <w:bookmarkEnd w:id="25346"/>
      <w:bookmarkEnd w:id="25347"/>
      <w:bookmarkEnd w:id="25348"/>
    </w:p>
    <w:p w14:paraId="59B6F19D" w14:textId="77777777" w:rsidR="003D504D" w:rsidRPr="00144F92" w:rsidRDefault="003D504D" w:rsidP="003D504D">
      <w:pPr>
        <w:pStyle w:val="a3"/>
        <w:rPr>
          <w:rtl/>
        </w:rPr>
      </w:pPr>
      <w:bookmarkStart w:id="25353" w:name="_Toc4305420"/>
      <w:bookmarkStart w:id="25354" w:name="_Toc4316261"/>
      <w:bookmarkStart w:id="25355" w:name="_Toc4330705"/>
      <w:bookmarkStart w:id="25356" w:name="_Toc19392108"/>
      <w:bookmarkStart w:id="25357" w:name="_Toc19395605"/>
      <w:r>
        <w:rPr>
          <w:rFonts w:hint="cs"/>
          <w:rtl/>
        </w:rPr>
        <w:t>דברי הכנה"ג דמשמעות הרי"ף והרא"ש דלא כהרמב"ן</w:t>
      </w:r>
      <w:bookmarkEnd w:id="25353"/>
      <w:bookmarkEnd w:id="25354"/>
      <w:bookmarkEnd w:id="25355"/>
      <w:bookmarkEnd w:id="25356"/>
      <w:bookmarkEnd w:id="25357"/>
    </w:p>
    <w:p w14:paraId="5A5FF6DD" w14:textId="77777777" w:rsidR="003D504D" w:rsidRDefault="003D504D" w:rsidP="00223668">
      <w:pPr>
        <w:pStyle w:val="a0"/>
        <w:rPr>
          <w:rtl/>
        </w:rPr>
      </w:pPr>
      <w:bookmarkStart w:id="25358" w:name="_Toc2541653"/>
      <w:r>
        <w:rPr>
          <w:rFonts w:hint="cs"/>
          <w:rtl/>
        </w:rPr>
        <w:t xml:space="preserve">כתב </w:t>
      </w:r>
      <w:r w:rsidRPr="00F97771">
        <w:rPr>
          <w:rStyle w:val="af9"/>
          <w:rFonts w:hint="cs"/>
          <w:rtl/>
        </w:rPr>
        <w:t>הכנה"ג</w:t>
      </w:r>
      <w:r>
        <w:rPr>
          <w:rFonts w:hint="cs"/>
          <w:rtl/>
        </w:rPr>
        <w:t xml:space="preserve"> </w:t>
      </w:r>
      <w:r w:rsidRPr="00F97771">
        <w:rPr>
          <w:rStyle w:val="af7"/>
          <w:rFonts w:eastAsia="Guttman Hodes" w:hint="cs"/>
          <w:rtl/>
        </w:rPr>
        <w:t>(סי' י"ג הג' הטור ו')</w:t>
      </w:r>
      <w:r>
        <w:rPr>
          <w:rFonts w:hint="cs"/>
          <w:rtl/>
        </w:rPr>
        <w:t xml:space="preserve"> דכיון </w:t>
      </w:r>
      <w:r w:rsidRPr="00F97771">
        <w:rPr>
          <w:rStyle w:val="af9"/>
          <w:rFonts w:hint="cs"/>
          <w:rtl/>
        </w:rPr>
        <w:t>דהרי"ף</w:t>
      </w:r>
      <w:r>
        <w:rPr>
          <w:rFonts w:hint="cs"/>
          <w:rtl/>
        </w:rPr>
        <w:t xml:space="preserve"> </w:t>
      </w:r>
      <w:r w:rsidRPr="00C74E6B">
        <w:rPr>
          <w:rStyle w:val="af7"/>
          <w:rFonts w:eastAsia="Guttman Hodes" w:hint="cs"/>
          <w:rtl/>
        </w:rPr>
        <w:t xml:space="preserve">(עי' אות </w:t>
      </w:r>
      <w:r w:rsidRPr="00C74E6B">
        <w:rPr>
          <w:rStyle w:val="af7"/>
          <w:rFonts w:eastAsia="Guttman Hodes"/>
          <w:rtl/>
        </w:rPr>
        <w:fldChar w:fldCharType="begin"/>
      </w:r>
      <w:r w:rsidRPr="00C74E6B">
        <w:rPr>
          <w:rStyle w:val="af7"/>
          <w:rFonts w:eastAsia="Guttman Hodes"/>
          <w:rtl/>
        </w:rPr>
        <w:instrText xml:space="preserve"> </w:instrText>
      </w:r>
      <w:r w:rsidRPr="00C74E6B">
        <w:rPr>
          <w:rStyle w:val="af7"/>
          <w:rFonts w:eastAsia="Guttman Hodes" w:hint="cs"/>
        </w:rPr>
        <w:instrText>REF</w:instrText>
      </w:r>
      <w:r w:rsidRPr="00C74E6B">
        <w:rPr>
          <w:rStyle w:val="af7"/>
          <w:rFonts w:eastAsia="Guttman Hodes" w:hint="cs"/>
          <w:rtl/>
        </w:rPr>
        <w:instrText xml:space="preserve"> _</w:instrText>
      </w:r>
      <w:r w:rsidRPr="00C74E6B">
        <w:rPr>
          <w:rStyle w:val="af7"/>
          <w:rFonts w:eastAsia="Guttman Hodes" w:hint="cs"/>
        </w:rPr>
        <w:instrText>Ref2275292 \r \h</w:instrText>
      </w:r>
      <w:r w:rsidRPr="00C74E6B">
        <w:rPr>
          <w:rStyle w:val="af7"/>
          <w:rFonts w:eastAsia="Guttman Hodes"/>
          <w:rtl/>
        </w:rPr>
        <w:instrText xml:space="preserve"> </w:instrText>
      </w:r>
      <w:r w:rsidRPr="00C74E6B">
        <w:rPr>
          <w:rStyle w:val="af7"/>
          <w:rFonts w:eastAsia="Guttman Hodes"/>
          <w:rtl/>
        </w:rPr>
      </w:r>
      <w:r w:rsidRPr="00C74E6B">
        <w:rPr>
          <w:rStyle w:val="af7"/>
          <w:rFonts w:eastAsia="Guttman Hodes"/>
          <w:rtl/>
        </w:rPr>
        <w:fldChar w:fldCharType="separate"/>
      </w:r>
      <w:r w:rsidR="00345400">
        <w:rPr>
          <w:rStyle w:val="af7"/>
          <w:rFonts w:eastAsia="Guttman Hodes"/>
          <w:cs/>
        </w:rPr>
        <w:t>‎</w:t>
      </w:r>
      <w:r w:rsidR="00345400">
        <w:rPr>
          <w:rStyle w:val="af7"/>
          <w:rFonts w:eastAsia="Guttman Hodes"/>
          <w:rtl/>
        </w:rPr>
        <w:t>ה)</w:t>
      </w:r>
      <w:r w:rsidRPr="00C74E6B">
        <w:rPr>
          <w:rStyle w:val="af7"/>
          <w:rFonts w:eastAsia="Guttman Hodes"/>
          <w:rtl/>
        </w:rPr>
        <w:fldChar w:fldCharType="end"/>
      </w:r>
      <w:r>
        <w:rPr>
          <w:rFonts w:hint="cs"/>
          <w:rtl/>
        </w:rPr>
        <w:t xml:space="preserve"> </w:t>
      </w:r>
      <w:r w:rsidRPr="00F97771">
        <w:rPr>
          <w:rStyle w:val="af9"/>
          <w:rFonts w:hint="cs"/>
          <w:rtl/>
        </w:rPr>
        <w:t>והרא"ש</w:t>
      </w:r>
      <w:r>
        <w:rPr>
          <w:rFonts w:hint="cs"/>
          <w:rtl/>
        </w:rPr>
        <w:t xml:space="preserve"> </w:t>
      </w:r>
      <w:r w:rsidRPr="00C74E6B">
        <w:rPr>
          <w:rStyle w:val="af7"/>
          <w:rFonts w:eastAsia="Guttman Hodes" w:hint="cs"/>
          <w:rtl/>
        </w:rPr>
        <w:t>(סי' ה')</w:t>
      </w:r>
      <w:r>
        <w:rPr>
          <w:rFonts w:hint="cs"/>
          <w:rtl/>
        </w:rPr>
        <w:t xml:space="preserve"> הביאו את פלוגתת ריו"ח ור"ל ופסקו כריו"ח, א"כ מבואר דס"ל דריו"ח מחייב כרת על דמו, דאי ס"ל </w:t>
      </w:r>
      <w:r w:rsidRPr="00B45499">
        <w:rPr>
          <w:rStyle w:val="af9"/>
          <w:rFonts w:hint="cs"/>
          <w:rtl/>
        </w:rPr>
        <w:t>כרמב"ן</w:t>
      </w:r>
      <w:r>
        <w:rPr>
          <w:rFonts w:hint="cs"/>
          <w:rtl/>
        </w:rPr>
        <w:t xml:space="preserve"> </w:t>
      </w:r>
      <w:r w:rsidRPr="00C74E6B">
        <w:rPr>
          <w:rStyle w:val="af7"/>
          <w:rFonts w:eastAsia="Guttman Hodes" w:hint="cs"/>
          <w:rtl/>
        </w:rPr>
        <w:t xml:space="preserve">(עי' אות </w:t>
      </w:r>
      <w:r w:rsidRPr="00C74E6B">
        <w:rPr>
          <w:rStyle w:val="af7"/>
          <w:rFonts w:eastAsia="Guttman Hodes"/>
          <w:rtl/>
        </w:rPr>
        <w:fldChar w:fldCharType="begin"/>
      </w:r>
      <w:r w:rsidRPr="00C74E6B">
        <w:rPr>
          <w:rStyle w:val="af7"/>
          <w:rFonts w:eastAsia="Guttman Hodes"/>
          <w:rtl/>
        </w:rPr>
        <w:instrText xml:space="preserve"> </w:instrText>
      </w:r>
      <w:r w:rsidRPr="00C74E6B">
        <w:rPr>
          <w:rStyle w:val="af7"/>
          <w:rFonts w:eastAsia="Guttman Hodes" w:hint="cs"/>
        </w:rPr>
        <w:instrText>REF</w:instrText>
      </w:r>
      <w:r w:rsidRPr="00C74E6B">
        <w:rPr>
          <w:rStyle w:val="af7"/>
          <w:rFonts w:eastAsia="Guttman Hodes" w:hint="cs"/>
          <w:rtl/>
        </w:rPr>
        <w:instrText xml:space="preserve"> _</w:instrText>
      </w:r>
      <w:r w:rsidRPr="00C74E6B">
        <w:rPr>
          <w:rStyle w:val="af7"/>
          <w:rFonts w:eastAsia="Guttman Hodes" w:hint="cs"/>
        </w:rPr>
        <w:instrText>Ref4271076 \r \h</w:instrText>
      </w:r>
      <w:r w:rsidRPr="00C74E6B">
        <w:rPr>
          <w:rStyle w:val="af7"/>
          <w:rFonts w:eastAsia="Guttman Hodes"/>
          <w:rtl/>
        </w:rPr>
        <w:instrText xml:space="preserve"> </w:instrText>
      </w:r>
      <w:r w:rsidRPr="00C74E6B">
        <w:rPr>
          <w:rStyle w:val="af7"/>
          <w:rFonts w:eastAsia="Guttman Hodes"/>
          <w:rtl/>
        </w:rPr>
      </w:r>
      <w:r w:rsidRPr="00C74E6B">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C74E6B">
        <w:rPr>
          <w:rStyle w:val="af7"/>
          <w:rFonts w:eastAsia="Guttman Hodes"/>
          <w:rtl/>
        </w:rPr>
        <w:fldChar w:fldCharType="end"/>
      </w:r>
      <w:r>
        <w:rPr>
          <w:rFonts w:hint="cs"/>
          <w:rtl/>
        </w:rPr>
        <w:t xml:space="preserve"> דאף ריו"ח חייב בכרת רק לדעת ר"י דמחייב כרת בדם התמצית, אבל לדידן דקיי"ל כרבנן דדם התמצית הוא בלאו, א"כ אף דם שליל בלאו, א"כ לא היה </w:t>
      </w:r>
      <w:r w:rsidRPr="00B45499">
        <w:rPr>
          <w:rStyle w:val="af9"/>
          <w:rFonts w:hint="cs"/>
          <w:rtl/>
        </w:rPr>
        <w:t>להרי"ף והרא"ש</w:t>
      </w:r>
      <w:r>
        <w:rPr>
          <w:rFonts w:hint="cs"/>
          <w:rtl/>
        </w:rPr>
        <w:t xml:space="preserve"> לפסוק כריו"ח, הרי מ"מ לא קיי"ל כר"י בדם התמצית.</w:t>
      </w:r>
    </w:p>
    <w:p w14:paraId="2E8E6C87" w14:textId="77777777" w:rsidR="003D504D" w:rsidRDefault="003D504D" w:rsidP="003D504D">
      <w:pPr>
        <w:pStyle w:val="a3"/>
        <w:rPr>
          <w:rtl/>
        </w:rPr>
      </w:pPr>
      <w:bookmarkStart w:id="25359" w:name="_Toc4305421"/>
      <w:bookmarkStart w:id="25360" w:name="_Toc4316262"/>
      <w:bookmarkStart w:id="25361" w:name="_Toc4330706"/>
      <w:bookmarkStart w:id="25362" w:name="_Toc19392109"/>
      <w:bookmarkStart w:id="25363" w:name="_Toc19395606"/>
      <w:r>
        <w:rPr>
          <w:rFonts w:hint="cs"/>
          <w:rtl/>
        </w:rPr>
        <w:t>קושית הכנה"ג דאי ס"ל להרא"ש דהדם בכרת אמאי כתב הרא"ש דהדם נבלע כדם האיברים</w:t>
      </w:r>
      <w:bookmarkEnd w:id="25359"/>
      <w:bookmarkEnd w:id="25360"/>
      <w:bookmarkEnd w:id="25361"/>
      <w:bookmarkEnd w:id="25362"/>
      <w:bookmarkEnd w:id="25363"/>
    </w:p>
    <w:p w14:paraId="28E654A1" w14:textId="77777777" w:rsidR="003D504D" w:rsidRPr="00B45499" w:rsidRDefault="003D504D" w:rsidP="00223668">
      <w:pPr>
        <w:pStyle w:val="a0"/>
        <w:rPr>
          <w:rStyle w:val="afb"/>
          <w:rtl/>
        </w:rPr>
      </w:pPr>
      <w:r>
        <w:rPr>
          <w:rFonts w:hint="cs"/>
          <w:rtl/>
        </w:rPr>
        <w:t xml:space="preserve">אך הקשה </w:t>
      </w:r>
      <w:r w:rsidRPr="00B45499">
        <w:rPr>
          <w:rStyle w:val="af9"/>
          <w:rFonts w:hint="cs"/>
          <w:rtl/>
        </w:rPr>
        <w:t>הכנה"ג</w:t>
      </w:r>
      <w:r>
        <w:rPr>
          <w:rFonts w:hint="cs"/>
          <w:rtl/>
        </w:rPr>
        <w:t xml:space="preserve"> דכיון דמבואר בדברי </w:t>
      </w:r>
      <w:r w:rsidRPr="00B45499">
        <w:rPr>
          <w:rStyle w:val="af9"/>
          <w:rFonts w:hint="cs"/>
          <w:rtl/>
        </w:rPr>
        <w:t>הרא"ש</w:t>
      </w:r>
      <w:r>
        <w:rPr>
          <w:rFonts w:hint="cs"/>
          <w:rtl/>
        </w:rPr>
        <w:t xml:space="preserve"> דחייב על הדם כרת, וא"כ היאך כתב </w:t>
      </w:r>
      <w:r w:rsidRPr="00B45499">
        <w:rPr>
          <w:rStyle w:val="af9"/>
          <w:rFonts w:hint="cs"/>
          <w:rtl/>
        </w:rPr>
        <w:t>הרא"ש</w:t>
      </w:r>
      <w:r>
        <w:rPr>
          <w:rFonts w:hint="cs"/>
          <w:rtl/>
        </w:rPr>
        <w:t xml:space="preserve"> </w:t>
      </w:r>
      <w:r w:rsidRPr="00C74E6B">
        <w:rPr>
          <w:rStyle w:val="af7"/>
          <w:rFonts w:eastAsia="Guttman Hodes" w:hint="cs"/>
          <w:rtl/>
        </w:rPr>
        <w:t xml:space="preserve">(עי' אות </w:t>
      </w:r>
      <w:r w:rsidRPr="00C74E6B">
        <w:rPr>
          <w:rStyle w:val="af7"/>
          <w:rFonts w:eastAsia="Guttman Hodes"/>
          <w:rtl/>
        </w:rPr>
        <w:fldChar w:fldCharType="begin"/>
      </w:r>
      <w:r w:rsidRPr="00C74E6B">
        <w:rPr>
          <w:rStyle w:val="af7"/>
          <w:rFonts w:eastAsia="Guttman Hodes"/>
          <w:rtl/>
        </w:rPr>
        <w:instrText xml:space="preserve"> </w:instrText>
      </w:r>
      <w:r w:rsidRPr="00C74E6B">
        <w:rPr>
          <w:rStyle w:val="af7"/>
          <w:rFonts w:eastAsia="Guttman Hodes" w:hint="cs"/>
        </w:rPr>
        <w:instrText>REF</w:instrText>
      </w:r>
      <w:r w:rsidRPr="00C74E6B">
        <w:rPr>
          <w:rStyle w:val="af7"/>
          <w:rFonts w:eastAsia="Guttman Hodes" w:hint="cs"/>
          <w:rtl/>
        </w:rPr>
        <w:instrText xml:space="preserve"> _</w:instrText>
      </w:r>
      <w:r w:rsidRPr="00C74E6B">
        <w:rPr>
          <w:rStyle w:val="af7"/>
          <w:rFonts w:eastAsia="Guttman Hodes" w:hint="cs"/>
        </w:rPr>
        <w:instrText>Ref4271331 \r \h</w:instrText>
      </w:r>
      <w:r w:rsidRPr="00C74E6B">
        <w:rPr>
          <w:rStyle w:val="af7"/>
          <w:rFonts w:eastAsia="Guttman Hodes"/>
          <w:rtl/>
        </w:rPr>
        <w:instrText xml:space="preserve"> </w:instrText>
      </w:r>
      <w:r w:rsidRPr="00C74E6B">
        <w:rPr>
          <w:rStyle w:val="af7"/>
          <w:rFonts w:eastAsia="Guttman Hodes"/>
          <w:rtl/>
        </w:rPr>
      </w:r>
      <w:r w:rsidRPr="00C74E6B">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C74E6B">
        <w:rPr>
          <w:rStyle w:val="af7"/>
          <w:rFonts w:eastAsia="Guttman Hodes"/>
          <w:rtl/>
        </w:rPr>
        <w:fldChar w:fldCharType="end"/>
      </w:r>
      <w:r>
        <w:rPr>
          <w:rFonts w:hint="cs"/>
          <w:rtl/>
        </w:rPr>
        <w:t xml:space="preserve"> דדמו אסור דנבלע בכל הגוף והוא כדם האברים, הא דם האברים הוא בלאו. </w:t>
      </w:r>
      <w:r w:rsidRPr="00B45499">
        <w:rPr>
          <w:rStyle w:val="afb"/>
          <w:rFonts w:hint="cs"/>
          <w:rtl/>
        </w:rPr>
        <w:t xml:space="preserve">[ועיי"ש בדברי </w:t>
      </w:r>
      <w:r w:rsidRPr="00B45499">
        <w:rPr>
          <w:rStyle w:val="affa"/>
          <w:rFonts w:hint="cs"/>
          <w:rtl/>
        </w:rPr>
        <w:t>הכנה"ג</w:t>
      </w:r>
      <w:r w:rsidRPr="00B45499">
        <w:rPr>
          <w:rStyle w:val="afb"/>
          <w:rFonts w:hint="cs"/>
          <w:rtl/>
        </w:rPr>
        <w:t xml:space="preserve"> במה שרצה לדחוק בביאור דברי </w:t>
      </w:r>
      <w:r w:rsidRPr="00B45499">
        <w:rPr>
          <w:rStyle w:val="affa"/>
          <w:rFonts w:hint="cs"/>
          <w:rtl/>
        </w:rPr>
        <w:t>הרא"ש</w:t>
      </w:r>
      <w:r w:rsidRPr="00B45499">
        <w:rPr>
          <w:rStyle w:val="afb"/>
          <w:rFonts w:hint="cs"/>
          <w:rtl/>
        </w:rPr>
        <w:t>, ובמה ש</w:t>
      </w:r>
      <w:r>
        <w:rPr>
          <w:rStyle w:val="afb"/>
          <w:rFonts w:hint="cs"/>
          <w:rtl/>
        </w:rPr>
        <w:t>ד</w:t>
      </w:r>
      <w:r w:rsidRPr="00B45499">
        <w:rPr>
          <w:rStyle w:val="afb"/>
          <w:rFonts w:hint="cs"/>
          <w:rtl/>
        </w:rPr>
        <w:t xml:space="preserve">חה </w:t>
      </w:r>
      <w:r w:rsidRPr="00B45499">
        <w:rPr>
          <w:rStyle w:val="affa"/>
          <w:rFonts w:hint="cs"/>
          <w:rtl/>
        </w:rPr>
        <w:t>הכנה"ג</w:t>
      </w:r>
      <w:r w:rsidRPr="00B45499">
        <w:rPr>
          <w:rStyle w:val="afb"/>
          <w:rFonts w:hint="cs"/>
          <w:rtl/>
        </w:rPr>
        <w:t xml:space="preserve"> דאי"ז משמע </w:t>
      </w:r>
      <w:r w:rsidRPr="00B45499">
        <w:rPr>
          <w:rStyle w:val="affa"/>
          <w:rFonts w:hint="cs"/>
          <w:rtl/>
        </w:rPr>
        <w:t>ברא"ש</w:t>
      </w:r>
      <w:r w:rsidRPr="00B45499">
        <w:rPr>
          <w:rStyle w:val="afb"/>
          <w:rFonts w:hint="cs"/>
          <w:rtl/>
        </w:rPr>
        <w:t>].</w:t>
      </w:r>
    </w:p>
    <w:p w14:paraId="2749794F" w14:textId="77777777" w:rsidR="003D504D" w:rsidRDefault="003D504D" w:rsidP="003D504D">
      <w:pPr>
        <w:pStyle w:val="a3"/>
        <w:rPr>
          <w:rtl/>
        </w:rPr>
      </w:pPr>
      <w:bookmarkStart w:id="25364" w:name="_Toc4305422"/>
      <w:bookmarkStart w:id="25365" w:name="_Toc4316263"/>
      <w:bookmarkStart w:id="25366" w:name="_Toc4330707"/>
      <w:bookmarkStart w:id="25367" w:name="_Toc19392110"/>
      <w:bookmarkStart w:id="25368" w:name="_Toc19395607"/>
      <w:r>
        <w:rPr>
          <w:rFonts w:hint="cs"/>
          <w:rtl/>
        </w:rPr>
        <w:t>דברי הכנה"ג דמוכח דהרא"ש ביאר כרמב"ן ברי"ף דאף לריו"ח חייב לאו ולא כרת</w:t>
      </w:r>
      <w:bookmarkEnd w:id="25364"/>
      <w:bookmarkEnd w:id="25365"/>
      <w:bookmarkEnd w:id="25366"/>
      <w:bookmarkEnd w:id="25367"/>
      <w:bookmarkEnd w:id="25368"/>
    </w:p>
    <w:p w14:paraId="48BF96DA" w14:textId="77777777" w:rsidR="003D504D" w:rsidRDefault="003D504D" w:rsidP="00223668">
      <w:pPr>
        <w:pStyle w:val="a0"/>
        <w:rPr>
          <w:rtl/>
        </w:rPr>
      </w:pPr>
      <w:bookmarkStart w:id="25369" w:name="_Ref4309157"/>
      <w:r>
        <w:rPr>
          <w:rFonts w:hint="cs"/>
          <w:rtl/>
        </w:rPr>
        <w:t xml:space="preserve">אלא כתב </w:t>
      </w:r>
      <w:r w:rsidRPr="00B45499">
        <w:rPr>
          <w:rStyle w:val="af9"/>
          <w:rFonts w:hint="cs"/>
          <w:rtl/>
        </w:rPr>
        <w:t>הכנה"ג</w:t>
      </w:r>
      <w:r>
        <w:rPr>
          <w:rFonts w:hint="cs"/>
          <w:rtl/>
        </w:rPr>
        <w:t xml:space="preserve"> דמוכח </w:t>
      </w:r>
      <w:r w:rsidRPr="00B45499">
        <w:rPr>
          <w:rStyle w:val="af9"/>
          <w:rFonts w:hint="cs"/>
          <w:rtl/>
        </w:rPr>
        <w:t>ברא"ש</w:t>
      </w:r>
      <w:r>
        <w:rPr>
          <w:rFonts w:hint="cs"/>
          <w:rtl/>
        </w:rPr>
        <w:t xml:space="preserve"> כדביאר </w:t>
      </w:r>
      <w:r w:rsidRPr="00B45499">
        <w:rPr>
          <w:rStyle w:val="af9"/>
          <w:rFonts w:hint="cs"/>
          <w:rtl/>
        </w:rPr>
        <w:t>הרמב"ן</w:t>
      </w:r>
      <w:r>
        <w:rPr>
          <w:rFonts w:hint="cs"/>
          <w:rtl/>
        </w:rPr>
        <w:t xml:space="preserve"> </w:t>
      </w:r>
      <w:r w:rsidRPr="00D4704E">
        <w:rPr>
          <w:rStyle w:val="af7"/>
          <w:rFonts w:eastAsia="Guttman Hodes" w:hint="cs"/>
          <w:rtl/>
        </w:rPr>
        <w:t xml:space="preserve">(עי' אות </w:t>
      </w:r>
      <w:r w:rsidRPr="00D4704E">
        <w:rPr>
          <w:rStyle w:val="af7"/>
          <w:rFonts w:eastAsia="Guttman Hodes"/>
          <w:rtl/>
        </w:rPr>
        <w:fldChar w:fldCharType="begin"/>
      </w:r>
      <w:r w:rsidRPr="00D4704E">
        <w:rPr>
          <w:rStyle w:val="af7"/>
          <w:rFonts w:eastAsia="Guttman Hodes"/>
          <w:rtl/>
        </w:rPr>
        <w:instrText xml:space="preserve"> </w:instrText>
      </w:r>
      <w:r w:rsidRPr="00D4704E">
        <w:rPr>
          <w:rStyle w:val="af7"/>
          <w:rFonts w:eastAsia="Guttman Hodes" w:hint="cs"/>
        </w:rPr>
        <w:instrText>REF</w:instrText>
      </w:r>
      <w:r w:rsidRPr="00D4704E">
        <w:rPr>
          <w:rStyle w:val="af7"/>
          <w:rFonts w:eastAsia="Guttman Hodes" w:hint="cs"/>
          <w:rtl/>
        </w:rPr>
        <w:instrText xml:space="preserve"> _</w:instrText>
      </w:r>
      <w:r w:rsidRPr="00D4704E">
        <w:rPr>
          <w:rStyle w:val="af7"/>
          <w:rFonts w:eastAsia="Guttman Hodes" w:hint="cs"/>
        </w:rPr>
        <w:instrText>Ref4271076 \r \h</w:instrText>
      </w:r>
      <w:r w:rsidRPr="00D4704E">
        <w:rPr>
          <w:rStyle w:val="af7"/>
          <w:rFonts w:eastAsia="Guttman Hodes"/>
          <w:rtl/>
        </w:rPr>
        <w:instrText xml:space="preserve"> </w:instrText>
      </w:r>
      <w:r w:rsidRPr="00D4704E">
        <w:rPr>
          <w:rStyle w:val="af7"/>
          <w:rFonts w:eastAsia="Guttman Hodes"/>
          <w:rtl/>
        </w:rPr>
      </w:r>
      <w:r w:rsidRPr="00D4704E">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D4704E">
        <w:rPr>
          <w:rStyle w:val="af7"/>
          <w:rFonts w:eastAsia="Guttman Hodes"/>
          <w:rtl/>
        </w:rPr>
        <w:fldChar w:fldCharType="end"/>
      </w:r>
      <w:r>
        <w:rPr>
          <w:rFonts w:hint="cs"/>
          <w:rtl/>
        </w:rPr>
        <w:t xml:space="preserve"> בדברי </w:t>
      </w:r>
      <w:r w:rsidRPr="00B45499">
        <w:rPr>
          <w:rStyle w:val="af9"/>
          <w:rFonts w:hint="cs"/>
          <w:rtl/>
        </w:rPr>
        <w:t>הרי"ף</w:t>
      </w:r>
      <w:r>
        <w:rPr>
          <w:rFonts w:hint="cs"/>
          <w:rtl/>
        </w:rPr>
        <w:t xml:space="preserve"> דאין כוונת </w:t>
      </w:r>
      <w:r w:rsidRPr="00B45499">
        <w:rPr>
          <w:rStyle w:val="af9"/>
          <w:rFonts w:hint="cs"/>
          <w:rtl/>
        </w:rPr>
        <w:t>הרי"ף</w:t>
      </w:r>
      <w:r>
        <w:rPr>
          <w:rFonts w:hint="cs"/>
          <w:rtl/>
        </w:rPr>
        <w:t xml:space="preserve"> לומר שחייב כרת.</w:t>
      </w:r>
      <w:bookmarkEnd w:id="25369"/>
    </w:p>
    <w:p w14:paraId="790B0A26" w14:textId="77777777" w:rsidR="003D504D" w:rsidRDefault="003D504D" w:rsidP="003D504D">
      <w:pPr>
        <w:pStyle w:val="afe"/>
        <w:rPr>
          <w:rtl/>
        </w:rPr>
      </w:pPr>
      <w:bookmarkStart w:id="25370" w:name="_Toc2723909"/>
      <w:bookmarkStart w:id="25371" w:name="_Toc4305423"/>
      <w:bookmarkStart w:id="25372" w:name="_Toc4316264"/>
      <w:bookmarkStart w:id="25373" w:name="_Toc4330708"/>
      <w:bookmarkStart w:id="25374" w:name="_Toc19436429"/>
      <w:bookmarkStart w:id="25375" w:name="_Toc20081546"/>
      <w:bookmarkEnd w:id="25358"/>
      <w:r>
        <w:rPr>
          <w:rFonts w:hint="cs"/>
          <w:rtl/>
        </w:rPr>
        <w:t>בדין הדם לדעת ר"ל</w:t>
      </w:r>
      <w:bookmarkEnd w:id="25370"/>
      <w:bookmarkEnd w:id="25371"/>
      <w:bookmarkEnd w:id="25372"/>
      <w:bookmarkEnd w:id="25373"/>
      <w:bookmarkEnd w:id="25374"/>
      <w:bookmarkEnd w:id="25375"/>
    </w:p>
    <w:p w14:paraId="379155A8" w14:textId="77777777" w:rsidR="003D504D" w:rsidRDefault="003D504D" w:rsidP="00BF39B2">
      <w:pPr>
        <w:pStyle w:val="1"/>
        <w:rPr>
          <w:rtl/>
        </w:rPr>
      </w:pPr>
      <w:bookmarkStart w:id="25376" w:name="_Toc4305424"/>
      <w:bookmarkStart w:id="25377" w:name="_Toc4316265"/>
      <w:bookmarkStart w:id="25378" w:name="_Toc4330709"/>
      <w:bookmarkStart w:id="25379" w:name="_Toc19392111"/>
      <w:bookmarkStart w:id="25380" w:name="_Toc19395608"/>
      <w:bookmarkStart w:id="25381" w:name="_Toc2723910"/>
      <w:r>
        <w:rPr>
          <w:rFonts w:hint="cs"/>
          <w:rtl/>
        </w:rPr>
        <w:t>דעת רש"י והרמב"ן והרשב"א והר"ן דלר"ל חייב על הדם בלאו</w:t>
      </w:r>
      <w:bookmarkEnd w:id="25376"/>
      <w:bookmarkEnd w:id="25377"/>
      <w:bookmarkEnd w:id="25378"/>
      <w:bookmarkEnd w:id="25379"/>
      <w:bookmarkEnd w:id="25380"/>
    </w:p>
    <w:p w14:paraId="5D8FDFA0" w14:textId="77777777" w:rsidR="003D504D" w:rsidRPr="0067050B" w:rsidRDefault="003D504D" w:rsidP="003D504D">
      <w:pPr>
        <w:pStyle w:val="a3"/>
        <w:rPr>
          <w:rtl/>
        </w:rPr>
      </w:pPr>
      <w:bookmarkStart w:id="25382" w:name="_Toc4305425"/>
      <w:bookmarkStart w:id="25383" w:name="_Toc4316266"/>
      <w:bookmarkStart w:id="25384" w:name="_Toc4330710"/>
      <w:bookmarkStart w:id="25385" w:name="_Toc19392112"/>
      <w:bookmarkStart w:id="25386" w:name="_Toc19395609"/>
      <w:r>
        <w:rPr>
          <w:rFonts w:hint="cs"/>
          <w:rtl/>
        </w:rPr>
        <w:t>דברי רש"י דלר"ל אין הדם מותר לכתחילה אלא שאין בו איסור כרת</w:t>
      </w:r>
      <w:bookmarkEnd w:id="25382"/>
      <w:bookmarkEnd w:id="25383"/>
      <w:bookmarkEnd w:id="25384"/>
      <w:bookmarkEnd w:id="25385"/>
      <w:bookmarkEnd w:id="25386"/>
    </w:p>
    <w:p w14:paraId="7382F5E8" w14:textId="77777777" w:rsidR="003D504D" w:rsidRPr="0067050B" w:rsidRDefault="003D504D" w:rsidP="00223668">
      <w:pPr>
        <w:pStyle w:val="a0"/>
      </w:pPr>
      <w:r w:rsidRPr="0067050B">
        <w:rPr>
          <w:rFonts w:hint="cs"/>
          <w:rtl/>
        </w:rPr>
        <w:t xml:space="preserve">בדברי רבי זירא דלר"ל אין חיוב כרת בדמו, ביאר </w:t>
      </w:r>
      <w:r w:rsidRPr="0067050B">
        <w:rPr>
          <w:rStyle w:val="af9"/>
          <w:rFonts w:hint="cs"/>
          <w:rtl/>
        </w:rPr>
        <w:t>רש"י</w:t>
      </w:r>
      <w:r w:rsidRPr="0067050B">
        <w:rPr>
          <w:rFonts w:hint="cs"/>
          <w:rtl/>
        </w:rPr>
        <w:t xml:space="preserve"> </w:t>
      </w:r>
      <w:r w:rsidRPr="0067050B">
        <w:rPr>
          <w:rStyle w:val="af7"/>
          <w:rFonts w:eastAsia="Guttman Hodes" w:hint="cs"/>
          <w:rtl/>
        </w:rPr>
        <w:t>(ד"ה לומר)</w:t>
      </w:r>
      <w:r w:rsidRPr="0067050B">
        <w:rPr>
          <w:rFonts w:hint="cs"/>
          <w:rtl/>
        </w:rPr>
        <w:t xml:space="preserve"> דהא דאמר ר"ל דלר"י דמו מותר, אין הכוונה דמותר לכתחילה, אלא שאין בו איסור כרת.</w:t>
      </w:r>
    </w:p>
    <w:p w14:paraId="0220BDFF" w14:textId="77777777" w:rsidR="003D504D" w:rsidRPr="005C61F7" w:rsidRDefault="003D504D" w:rsidP="003D504D">
      <w:pPr>
        <w:pStyle w:val="a3"/>
        <w:rPr>
          <w:rtl/>
        </w:rPr>
      </w:pPr>
      <w:bookmarkStart w:id="25387" w:name="_Toc4305426"/>
      <w:bookmarkStart w:id="25388" w:name="_Toc4316267"/>
      <w:bookmarkStart w:id="25389" w:name="_Toc4330711"/>
      <w:bookmarkStart w:id="25390" w:name="_Toc19392113"/>
      <w:bookmarkStart w:id="25391" w:name="_Toc19395610"/>
      <w:bookmarkStart w:id="25392" w:name="_Toc2618571"/>
      <w:bookmarkStart w:id="25393" w:name="_Toc2628214"/>
      <w:bookmarkStart w:id="25394" w:name="_Toc2723911"/>
      <w:bookmarkStart w:id="25395" w:name="_Toc2500227"/>
      <w:bookmarkEnd w:id="25349"/>
      <w:bookmarkEnd w:id="25350"/>
      <w:bookmarkEnd w:id="25351"/>
      <w:bookmarkEnd w:id="25352"/>
      <w:bookmarkEnd w:id="25381"/>
      <w:r w:rsidRPr="005C61F7">
        <w:rPr>
          <w:rFonts w:hint="cs"/>
          <w:rtl/>
        </w:rPr>
        <w:t>דברי הרשב"א דלהו"א לריו"ח לכו"ע חייב כרת ולר"ל מותר ולמסקנא לר"ל אסור בלאו</w:t>
      </w:r>
      <w:bookmarkEnd w:id="25387"/>
      <w:bookmarkEnd w:id="25388"/>
      <w:bookmarkEnd w:id="25389"/>
      <w:bookmarkEnd w:id="25390"/>
      <w:bookmarkEnd w:id="25391"/>
    </w:p>
    <w:p w14:paraId="3D2584BA" w14:textId="77777777" w:rsidR="003D504D" w:rsidRPr="005C61F7" w:rsidRDefault="003D504D" w:rsidP="00223668">
      <w:pPr>
        <w:pStyle w:val="a0"/>
      </w:pPr>
      <w:r>
        <w:rPr>
          <w:rFonts w:hint="cs"/>
          <w:rtl/>
        </w:rPr>
        <w:t>וכ"כ</w:t>
      </w:r>
      <w:r w:rsidRPr="005C61F7">
        <w:rPr>
          <w:rFonts w:hint="cs"/>
          <w:rtl/>
        </w:rPr>
        <w:t xml:space="preserve"> </w:t>
      </w:r>
      <w:r w:rsidRPr="005C61F7">
        <w:rPr>
          <w:rStyle w:val="af9"/>
          <w:rFonts w:hint="cs"/>
          <w:rtl/>
        </w:rPr>
        <w:t>הרשב"א</w:t>
      </w:r>
      <w:r w:rsidRPr="005C61F7">
        <w:rPr>
          <w:rFonts w:hint="cs"/>
          <w:rtl/>
        </w:rPr>
        <w:t xml:space="preserve"> </w:t>
      </w:r>
      <w:r w:rsidRPr="005C61F7">
        <w:rPr>
          <w:rStyle w:val="af7"/>
          <w:rFonts w:eastAsia="Guttman Hodes" w:hint="cs"/>
          <w:rtl/>
        </w:rPr>
        <w:t>(ד"ה ולענין)</w:t>
      </w:r>
      <w:r w:rsidRPr="005C61F7">
        <w:rPr>
          <w:rFonts w:hint="cs"/>
          <w:rtl/>
        </w:rPr>
        <w:t xml:space="preserve"> דבהו"א בגמ' ס"ל לר"ל דלר"י דמתיר בחלב אף דמו מותר, ולמסקנא מודה ר"ל דהדם אסור, אלא דאמר ר"ל דאין בדם חיוב כרת, והוא כדם האברים שחייב עליו בלאו.</w:t>
      </w:r>
    </w:p>
    <w:p w14:paraId="6361AA0A" w14:textId="77777777" w:rsidR="003D504D" w:rsidRPr="005C61F7" w:rsidRDefault="003D504D" w:rsidP="003D504D">
      <w:pPr>
        <w:pStyle w:val="a3"/>
      </w:pPr>
      <w:bookmarkStart w:id="25396" w:name="_Toc4305427"/>
      <w:bookmarkStart w:id="25397" w:name="_Toc4316268"/>
      <w:bookmarkStart w:id="25398" w:name="_Toc4330712"/>
      <w:bookmarkStart w:id="25399" w:name="_Toc19392114"/>
      <w:bookmarkStart w:id="25400" w:name="_Toc19395611"/>
      <w:r w:rsidRPr="005C61F7">
        <w:rPr>
          <w:rFonts w:hint="cs"/>
          <w:rtl/>
        </w:rPr>
        <w:t>ביאור הר"ן דלמסקנא לר"ל לא חשיב כבהמה בפנ"ע ולכן דמו בלאו כדם האברים ואינו דם הנפש</w:t>
      </w:r>
      <w:bookmarkEnd w:id="25396"/>
      <w:bookmarkEnd w:id="25397"/>
      <w:bookmarkEnd w:id="25398"/>
      <w:bookmarkEnd w:id="25399"/>
      <w:bookmarkEnd w:id="25400"/>
    </w:p>
    <w:p w14:paraId="34C523A4" w14:textId="77777777" w:rsidR="003D504D" w:rsidRPr="005C61F7" w:rsidRDefault="003D504D" w:rsidP="00223668">
      <w:pPr>
        <w:pStyle w:val="a0"/>
        <w:rPr>
          <w:rtl/>
        </w:rPr>
      </w:pPr>
      <w:r w:rsidRPr="005C61F7">
        <w:rPr>
          <w:rFonts w:hint="cs"/>
          <w:rtl/>
        </w:rPr>
        <w:t xml:space="preserve">וכ"כ </w:t>
      </w:r>
      <w:r w:rsidRPr="005C61F7">
        <w:rPr>
          <w:rStyle w:val="af9"/>
          <w:rFonts w:hint="cs"/>
          <w:rtl/>
        </w:rPr>
        <w:t>הר"ן על הרי"ף</w:t>
      </w:r>
      <w:r w:rsidRPr="005C61F7">
        <w:rPr>
          <w:rFonts w:hint="cs"/>
          <w:rtl/>
        </w:rPr>
        <w:t xml:space="preserve"> </w:t>
      </w:r>
      <w:r w:rsidRPr="005C61F7">
        <w:rPr>
          <w:rStyle w:val="af7"/>
          <w:rFonts w:eastAsia="Guttman Hodes" w:hint="cs"/>
          <w:rtl/>
        </w:rPr>
        <w:t>(כה. מדפי הרי"ף ד"ה ולענין)</w:t>
      </w:r>
      <w:r w:rsidRPr="005C61F7">
        <w:rPr>
          <w:rFonts w:hint="cs"/>
          <w:rtl/>
        </w:rPr>
        <w:t xml:space="preserve"> דאף לר"ל אין דמו מותר לגמרי, אלא הוא בלאו, דס"ל לר"ל דכיון דהשליל אינו בהמה בפנ"ע, אין דמו קרוי דם הנפש שחייבין עליו כרת, אלא דמו כדם האברים שאסור בלאו.</w:t>
      </w:r>
    </w:p>
    <w:p w14:paraId="09F51489" w14:textId="77777777" w:rsidR="003D504D" w:rsidRPr="006739C1" w:rsidRDefault="003D504D" w:rsidP="003D504D">
      <w:pPr>
        <w:pStyle w:val="a3"/>
        <w:rPr>
          <w:rtl/>
        </w:rPr>
      </w:pPr>
      <w:bookmarkStart w:id="25401" w:name="_Toc4305428"/>
      <w:bookmarkStart w:id="25402" w:name="_Toc4316269"/>
      <w:bookmarkStart w:id="25403" w:name="_Toc4330713"/>
      <w:bookmarkStart w:id="25404" w:name="_Toc19392115"/>
      <w:bookmarkStart w:id="25405" w:name="_Toc19395612"/>
      <w:r>
        <w:rPr>
          <w:rFonts w:hint="cs"/>
          <w:rtl/>
        </w:rPr>
        <w:t>דברי הרמב"ן דלרבנן דדם התמצית בלאו בין לריו"ח ובין לר"ל הדם אסור בלאו וכן מוכח בתוספתא</w:t>
      </w:r>
      <w:bookmarkEnd w:id="25401"/>
      <w:bookmarkEnd w:id="25402"/>
      <w:bookmarkEnd w:id="25403"/>
      <w:bookmarkEnd w:id="25404"/>
      <w:bookmarkEnd w:id="25405"/>
    </w:p>
    <w:p w14:paraId="1A2189F6" w14:textId="77777777" w:rsidR="003D504D" w:rsidRPr="005C61F7" w:rsidRDefault="003D504D" w:rsidP="00223668">
      <w:pPr>
        <w:pStyle w:val="a0"/>
        <w:rPr>
          <w:rtl/>
        </w:rPr>
      </w:pPr>
      <w:r>
        <w:rPr>
          <w:rStyle w:val="af9"/>
          <w:rFonts w:hint="cs"/>
          <w:rtl/>
        </w:rPr>
        <w:t>ו</w:t>
      </w:r>
      <w:r>
        <w:rPr>
          <w:rStyle w:val="af9"/>
          <w:rtl/>
        </w:rPr>
        <w:t>הרמב"ן</w:t>
      </w:r>
      <w:r>
        <w:rPr>
          <w:rFonts w:hint="cs"/>
          <w:rtl/>
        </w:rPr>
        <w:t xml:space="preserve"> </w:t>
      </w:r>
      <w:r>
        <w:rPr>
          <w:rStyle w:val="af7"/>
          <w:rFonts w:eastAsia="Guttman Hodes" w:hint="cs"/>
          <w:rtl/>
        </w:rPr>
        <w:t>(</w:t>
      </w:r>
      <w:r w:rsidRPr="005C61F7">
        <w:rPr>
          <w:rStyle w:val="af7"/>
          <w:rFonts w:eastAsia="Guttman Hodes" w:hint="cs"/>
          <w:rtl/>
        </w:rPr>
        <w:t>ד"ה וריו"ח)</w:t>
      </w:r>
      <w:r w:rsidRPr="00FC6814">
        <w:rPr>
          <w:rFonts w:hint="cs"/>
          <w:rtl/>
        </w:rPr>
        <w:t xml:space="preserve"> </w:t>
      </w:r>
      <w:r>
        <w:rPr>
          <w:rFonts w:hint="cs"/>
          <w:rtl/>
        </w:rPr>
        <w:t xml:space="preserve">כתב דלהלכה דקיי"ל כרבנן, דדם התמצית הוא בלאו, בין לריו"ח ובין לר"ל דם השליל הוא בלאו, והביא </w:t>
      </w:r>
      <w:r>
        <w:rPr>
          <w:rStyle w:val="af9"/>
          <w:rtl/>
        </w:rPr>
        <w:t>הרמב"ן</w:t>
      </w:r>
      <w:r>
        <w:rPr>
          <w:rFonts w:hint="cs"/>
          <w:rtl/>
        </w:rPr>
        <w:t xml:space="preserve"> דכן מבואר בתוספתא </w:t>
      </w:r>
      <w:r>
        <w:rPr>
          <w:rStyle w:val="af7"/>
          <w:rFonts w:eastAsia="Guttman Hodes" w:hint="cs"/>
          <w:rtl/>
        </w:rPr>
        <w:t>(כתב בהג' הגראז"מ על הרמב"ן דאינו בתוספתא לפנינו, אמנם כן היא גירסת האור הגנוז [נד' על הדף] בתוספתא פ"ז ה"א)</w:t>
      </w:r>
      <w:r>
        <w:rPr>
          <w:rFonts w:hint="cs"/>
          <w:rtl/>
        </w:rPr>
        <w:t xml:space="preserve"> דדמו </w:t>
      </w:r>
      <w:r w:rsidRPr="005C61F7">
        <w:rPr>
          <w:rFonts w:hint="cs"/>
          <w:rtl/>
        </w:rPr>
        <w:t xml:space="preserve">כדם האברים ואין בו כרת, וכתב </w:t>
      </w:r>
      <w:r w:rsidRPr="005C61F7">
        <w:rPr>
          <w:rStyle w:val="af9"/>
          <w:rtl/>
        </w:rPr>
        <w:t>הרמב"ן</w:t>
      </w:r>
      <w:r w:rsidRPr="005C61F7">
        <w:rPr>
          <w:rFonts w:hint="cs"/>
          <w:rtl/>
        </w:rPr>
        <w:t xml:space="preserve"> דהתוספתא היא לדעת רבנן.</w:t>
      </w:r>
    </w:p>
    <w:p w14:paraId="13B67311" w14:textId="77777777" w:rsidR="003D504D" w:rsidRDefault="003D504D" w:rsidP="00BF39B2">
      <w:pPr>
        <w:pStyle w:val="1"/>
        <w:rPr>
          <w:rtl/>
        </w:rPr>
      </w:pPr>
      <w:bookmarkStart w:id="25406" w:name="_Toc4305429"/>
      <w:bookmarkStart w:id="25407" w:name="_Toc4316270"/>
      <w:bookmarkStart w:id="25408" w:name="_Toc4330714"/>
      <w:bookmarkStart w:id="25409" w:name="_Toc19392116"/>
      <w:bookmarkStart w:id="25410" w:name="_Toc19395613"/>
      <w:r>
        <w:rPr>
          <w:rFonts w:hint="cs"/>
          <w:rtl/>
        </w:rPr>
        <w:t>דברי רבינו גרשום דלר"ל אליבא דר"י דמו אסור רק מדרבנן</w:t>
      </w:r>
      <w:bookmarkEnd w:id="25406"/>
      <w:bookmarkEnd w:id="25407"/>
      <w:bookmarkEnd w:id="25408"/>
      <w:bookmarkEnd w:id="25409"/>
      <w:bookmarkEnd w:id="25410"/>
    </w:p>
    <w:p w14:paraId="59691EB4" w14:textId="77777777" w:rsidR="003D504D" w:rsidRDefault="003D504D" w:rsidP="003D504D">
      <w:pPr>
        <w:pStyle w:val="a3"/>
        <w:rPr>
          <w:rtl/>
        </w:rPr>
      </w:pPr>
      <w:bookmarkStart w:id="25411" w:name="_Toc4305430"/>
      <w:bookmarkStart w:id="25412" w:name="_Toc4316271"/>
      <w:bookmarkStart w:id="25413" w:name="_Toc4330715"/>
      <w:bookmarkStart w:id="25414" w:name="_Toc19392117"/>
      <w:bookmarkStart w:id="25415" w:name="_Toc19395614"/>
      <w:r>
        <w:rPr>
          <w:rFonts w:hint="cs"/>
          <w:rtl/>
        </w:rPr>
        <w:t>דברי רבינו גרשום דלמסקנא ר"ל אינו מתיר את הדם לגמרי והוא אסור מדרבנן</w:t>
      </w:r>
      <w:bookmarkEnd w:id="25411"/>
      <w:bookmarkEnd w:id="25412"/>
      <w:bookmarkEnd w:id="25413"/>
      <w:bookmarkEnd w:id="25414"/>
      <w:bookmarkEnd w:id="25415"/>
    </w:p>
    <w:p w14:paraId="30CBBCD4" w14:textId="77777777" w:rsidR="003D504D" w:rsidRPr="008E46DA" w:rsidRDefault="003D504D" w:rsidP="00223668">
      <w:pPr>
        <w:pStyle w:val="a0"/>
        <w:rPr>
          <w:rtl/>
        </w:rPr>
        <w:sectPr w:rsidR="003D504D" w:rsidRPr="008E46DA" w:rsidSect="005049E2">
          <w:type w:val="continuous"/>
          <w:pgSz w:w="11906" w:h="16838"/>
          <w:pgMar w:top="720" w:right="720" w:bottom="720" w:left="720" w:header="283" w:footer="283" w:gutter="0"/>
          <w:cols w:num="2" w:space="567"/>
          <w:titlePg/>
          <w:bidi/>
          <w:rtlGutter/>
          <w:docGrid w:linePitch="299"/>
        </w:sectPr>
      </w:pPr>
      <w:r>
        <w:rPr>
          <w:rFonts w:hint="cs"/>
          <w:rtl/>
        </w:rPr>
        <w:t xml:space="preserve">אבל </w:t>
      </w:r>
      <w:r w:rsidRPr="002F6D00">
        <w:rPr>
          <w:rStyle w:val="af9"/>
          <w:rFonts w:hint="cs"/>
          <w:rtl/>
        </w:rPr>
        <w:t>רבינו גרשום</w:t>
      </w:r>
      <w:r>
        <w:rPr>
          <w:rFonts w:hint="cs"/>
          <w:rtl/>
        </w:rPr>
        <w:t xml:space="preserve"> </w:t>
      </w:r>
      <w:r w:rsidRPr="002F6D00">
        <w:rPr>
          <w:rStyle w:val="af7"/>
          <w:rFonts w:eastAsia="Guttman Hodes" w:hint="cs"/>
          <w:rtl/>
        </w:rPr>
        <w:t>(ד"ה אמר ר' זירא)</w:t>
      </w:r>
      <w:r>
        <w:rPr>
          <w:rFonts w:hint="cs"/>
          <w:rtl/>
        </w:rPr>
        <w:t xml:space="preserve"> ביאר את תירוץ רבי זירא דר"ל אינו מתיר לגמרי את הדם לדעת ר"י, אלא הוא מודה דדמו אסור מדרבנן, והא דאמר ר"ל דדמו מותר לר"י כוונתו לומר שאין </w:t>
      </w:r>
      <w:r w:rsidRPr="00840480">
        <w:rPr>
          <w:rFonts w:hint="cs"/>
          <w:rtl/>
        </w:rPr>
        <w:t>בו כרת.</w:t>
      </w:r>
    </w:p>
    <w:p w14:paraId="1317D7E7" w14:textId="77777777" w:rsidR="003D504D" w:rsidRDefault="003D504D" w:rsidP="003D504D">
      <w:pPr>
        <w:tabs>
          <w:tab w:val="left" w:pos="1163"/>
        </w:tabs>
        <w:spacing w:after="120" w:line="240" w:lineRule="auto"/>
        <w:ind w:left="0"/>
        <w:rPr>
          <w:rFonts w:ascii="Guttman Hodes" w:eastAsia="Guttman Hodes" w:hAnsi="Guttman Hodes" w:cs="Guttman Hodes"/>
          <w:noProof/>
          <w:sz w:val="18"/>
          <w:szCs w:val="18"/>
        </w:rPr>
        <w:sectPr w:rsidR="003D504D" w:rsidSect="003D504D">
          <w:footerReference w:type="default" r:id="rId145"/>
          <w:type w:val="continuous"/>
          <w:pgSz w:w="11906" w:h="16838"/>
          <w:pgMar w:top="720" w:right="720" w:bottom="720" w:left="720" w:header="283" w:footer="283" w:gutter="0"/>
          <w:cols w:space="567"/>
          <w:bidi/>
          <w:rtlGutter/>
          <w:docGrid w:linePitch="299"/>
        </w:sectPr>
      </w:pPr>
    </w:p>
    <w:p w14:paraId="14C265F4" w14:textId="77777777" w:rsidR="003D504D" w:rsidRPr="002A56BB" w:rsidRDefault="004B65FC" w:rsidP="003D504D">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564AED3B">
          <v:shape id="_x0000_i1053" type="#_x0000_t75" style="width:404.55pt;height:6.8pt" o:hrpct="0" o:hralign="center" o:hr="t">
            <v:imagedata r:id="rId21" o:title="BD14845_"/>
          </v:shape>
        </w:pict>
      </w:r>
    </w:p>
    <w:p w14:paraId="00CDFB7D" w14:textId="77777777" w:rsidR="003D504D" w:rsidRPr="002A56BB" w:rsidRDefault="003D504D" w:rsidP="003D504D">
      <w:pPr>
        <w:pStyle w:val="afe"/>
        <w:rPr>
          <w:rtl/>
        </w:rPr>
      </w:pPr>
      <w:bookmarkStart w:id="25416" w:name="_Toc2541664"/>
      <w:bookmarkStart w:id="25417" w:name="_Toc2597319"/>
      <w:bookmarkStart w:id="25418" w:name="_Toc2618572"/>
      <w:bookmarkStart w:id="25419" w:name="_Toc2628215"/>
      <w:bookmarkStart w:id="25420" w:name="_Toc2723913"/>
      <w:bookmarkStart w:id="25421" w:name="_Toc4305431"/>
      <w:bookmarkStart w:id="25422" w:name="_Toc4316272"/>
      <w:bookmarkStart w:id="25423" w:name="_Toc4330716"/>
      <w:bookmarkStart w:id="25424" w:name="_Toc19436430"/>
      <w:bookmarkStart w:id="25425" w:name="_Toc20081547"/>
      <w:r w:rsidRPr="002A56BB">
        <w:rPr>
          <w:rFonts w:hint="cs"/>
          <w:rtl/>
        </w:rPr>
        <w:t>ביאורי ראשי הישיבות על הסוגיא</w:t>
      </w:r>
      <w:bookmarkEnd w:id="25416"/>
      <w:bookmarkEnd w:id="25417"/>
      <w:bookmarkEnd w:id="25418"/>
      <w:bookmarkEnd w:id="25419"/>
      <w:bookmarkEnd w:id="25420"/>
      <w:bookmarkEnd w:id="25421"/>
      <w:bookmarkEnd w:id="25422"/>
      <w:bookmarkEnd w:id="25423"/>
      <w:bookmarkEnd w:id="25424"/>
      <w:bookmarkEnd w:id="25425"/>
    </w:p>
    <w:p w14:paraId="7935A693" w14:textId="77777777" w:rsidR="003D504D" w:rsidRPr="002A56BB" w:rsidRDefault="003D504D" w:rsidP="003D504D">
      <w:pPr>
        <w:pStyle w:val="afe"/>
        <w:rPr>
          <w:rtl/>
        </w:rPr>
        <w:sectPr w:rsidR="003D504D" w:rsidRPr="002A56BB" w:rsidSect="003D504D">
          <w:pgSz w:w="11906" w:h="16838"/>
          <w:pgMar w:top="720" w:right="720" w:bottom="720" w:left="720" w:header="283" w:footer="283" w:gutter="0"/>
          <w:cols w:space="567"/>
          <w:bidi/>
          <w:rtlGutter/>
          <w:docGrid w:linePitch="299"/>
        </w:sectPr>
      </w:pPr>
    </w:p>
    <w:p w14:paraId="1A445024" w14:textId="77777777" w:rsidR="003D504D" w:rsidRDefault="003D504D" w:rsidP="003D504D">
      <w:pPr>
        <w:pStyle w:val="afe"/>
        <w:rPr>
          <w:rtl/>
        </w:rPr>
      </w:pPr>
      <w:bookmarkStart w:id="25426" w:name="_Toc2597320"/>
      <w:bookmarkStart w:id="25427" w:name="_Toc2618573"/>
      <w:bookmarkStart w:id="25428" w:name="_Toc2628216"/>
      <w:bookmarkStart w:id="25429" w:name="_Toc2723914"/>
      <w:bookmarkStart w:id="25430" w:name="_Toc4305432"/>
      <w:bookmarkStart w:id="25431" w:name="_Toc4316273"/>
      <w:bookmarkStart w:id="25432" w:name="_Toc4330717"/>
      <w:bookmarkStart w:id="25433" w:name="_Toc19436431"/>
      <w:bookmarkStart w:id="25434" w:name="_Toc20081548"/>
      <w:r>
        <w:rPr>
          <w:rFonts w:hint="cs"/>
          <w:rtl/>
        </w:rPr>
        <w:t xml:space="preserve">בביאור דברי הר"ן </w:t>
      </w:r>
      <w:bookmarkEnd w:id="25426"/>
      <w:bookmarkEnd w:id="25427"/>
      <w:bookmarkEnd w:id="25428"/>
      <w:bookmarkEnd w:id="25429"/>
      <w:bookmarkEnd w:id="25430"/>
      <w:r>
        <w:rPr>
          <w:rFonts w:hint="cs"/>
          <w:rtl/>
        </w:rPr>
        <w:t>בפלוגתת ריו"ח ור"ל</w:t>
      </w:r>
      <w:bookmarkEnd w:id="25431"/>
      <w:bookmarkEnd w:id="25432"/>
      <w:bookmarkEnd w:id="25433"/>
      <w:bookmarkEnd w:id="25434"/>
    </w:p>
    <w:p w14:paraId="49C321F6" w14:textId="77777777" w:rsidR="003D504D" w:rsidRDefault="003D504D" w:rsidP="00BF39B2">
      <w:pPr>
        <w:pStyle w:val="1"/>
        <w:rPr>
          <w:rtl/>
        </w:rPr>
      </w:pPr>
      <w:bookmarkStart w:id="25435" w:name="_Toc2597321"/>
      <w:bookmarkStart w:id="25436" w:name="_Toc2618574"/>
      <w:bookmarkStart w:id="25437" w:name="_Toc2628217"/>
      <w:bookmarkStart w:id="25438" w:name="_Toc2723915"/>
      <w:bookmarkStart w:id="25439" w:name="_Toc4305433"/>
      <w:bookmarkStart w:id="25440" w:name="_Toc4316274"/>
      <w:bookmarkStart w:id="25441" w:name="_Toc4330718"/>
      <w:bookmarkStart w:id="25442" w:name="_Toc19392118"/>
      <w:bookmarkStart w:id="25443" w:name="_Toc19395615"/>
      <w:r>
        <w:rPr>
          <w:rFonts w:hint="cs"/>
          <w:rtl/>
        </w:rPr>
        <w:t>ספק הגרש"ר בחיוב הדם בבן ח' לדעת הר"ן</w:t>
      </w:r>
      <w:bookmarkEnd w:id="25435"/>
      <w:bookmarkEnd w:id="25436"/>
      <w:bookmarkEnd w:id="25437"/>
      <w:bookmarkEnd w:id="25438"/>
      <w:bookmarkEnd w:id="25439"/>
      <w:bookmarkEnd w:id="25440"/>
      <w:bookmarkEnd w:id="25441"/>
      <w:bookmarkEnd w:id="25442"/>
      <w:bookmarkEnd w:id="25443"/>
    </w:p>
    <w:p w14:paraId="5DFAACA3" w14:textId="77777777" w:rsidR="003D504D" w:rsidRPr="007A500B" w:rsidRDefault="003D504D" w:rsidP="003D504D">
      <w:pPr>
        <w:pStyle w:val="a3"/>
      </w:pPr>
      <w:bookmarkStart w:id="25444" w:name="_Toc4305434"/>
      <w:bookmarkStart w:id="25445" w:name="_Toc4316275"/>
      <w:bookmarkStart w:id="25446" w:name="_Toc4330719"/>
      <w:bookmarkStart w:id="25447" w:name="_Toc19392119"/>
      <w:bookmarkStart w:id="25448" w:name="_Toc19395616"/>
      <w:r>
        <w:rPr>
          <w:rFonts w:hint="cs"/>
          <w:rtl/>
        </w:rPr>
        <w:t>ביאור הגרש"ר בר"ן דלריו"ח אף שיש לשליל דם הנפש מותר מכל בבהמה והדם אסור דהוא משקה</w:t>
      </w:r>
      <w:bookmarkEnd w:id="25444"/>
      <w:bookmarkEnd w:id="25445"/>
      <w:bookmarkEnd w:id="25446"/>
      <w:bookmarkEnd w:id="25447"/>
      <w:bookmarkEnd w:id="25448"/>
    </w:p>
    <w:p w14:paraId="74BDD3FC" w14:textId="77777777" w:rsidR="003D504D" w:rsidRDefault="003D504D" w:rsidP="00223668">
      <w:pPr>
        <w:pStyle w:val="a0"/>
        <w:rPr>
          <w:rtl/>
        </w:rPr>
      </w:pPr>
      <w:bookmarkStart w:id="25449" w:name="_Ref4304957"/>
      <w:r>
        <w:rPr>
          <w:rFonts w:hint="cs"/>
          <w:rtl/>
        </w:rPr>
        <w:t xml:space="preserve">בסברת ר"ל </w:t>
      </w:r>
      <w:r w:rsidRPr="00F21942">
        <w:rPr>
          <w:rFonts w:hint="cs"/>
          <w:rtl/>
        </w:rPr>
        <w:t>ד</w:t>
      </w:r>
      <w:r w:rsidRPr="00F21942">
        <w:rPr>
          <w:rtl/>
        </w:rPr>
        <w:t xml:space="preserve">לר"י </w:t>
      </w:r>
      <w:r w:rsidRPr="00502F90">
        <w:rPr>
          <w:rtl/>
        </w:rPr>
        <w:t>ב</w:t>
      </w:r>
      <w:r>
        <w:rPr>
          <w:rtl/>
        </w:rPr>
        <w:t>שליל</w:t>
      </w:r>
      <w:r w:rsidRPr="00502F90">
        <w:rPr>
          <w:rtl/>
        </w:rPr>
        <w:t xml:space="preserve"> שאין לו דם הנפש, אין בו חיוב על דם האברים שבו</w:t>
      </w:r>
      <w:r>
        <w:rPr>
          <w:rFonts w:hint="cs"/>
          <w:rtl/>
        </w:rPr>
        <w:t xml:space="preserve">, הביא </w:t>
      </w:r>
      <w:r w:rsidRPr="00F21942">
        <w:rPr>
          <w:rStyle w:val="af9"/>
          <w:rFonts w:hint="cs"/>
          <w:rtl/>
        </w:rPr>
        <w:t>הגרש"ר</w:t>
      </w:r>
      <w:r w:rsidRPr="00F21942">
        <w:rPr>
          <w:rFonts w:hint="cs"/>
          <w:rtl/>
        </w:rPr>
        <w:t xml:space="preserve"> </w:t>
      </w:r>
      <w:r w:rsidRPr="00BF6CF2">
        <w:rPr>
          <w:rStyle w:val="af7"/>
          <w:rFonts w:eastAsia="Guttman Hodes" w:hint="cs"/>
          <w:rtl/>
        </w:rPr>
        <w:t>(זכרון שמואל סי' ע"ד אות ב' ד"ה איתא)</w:t>
      </w:r>
      <w:r w:rsidRPr="00F21942">
        <w:rPr>
          <w:rFonts w:hint="cs"/>
          <w:rtl/>
        </w:rPr>
        <w:t xml:space="preserve"> </w:t>
      </w:r>
      <w:r>
        <w:rPr>
          <w:rFonts w:hint="cs"/>
          <w:rtl/>
        </w:rPr>
        <w:t xml:space="preserve">את </w:t>
      </w:r>
      <w:r w:rsidRPr="00F21942">
        <w:rPr>
          <w:rFonts w:hint="cs"/>
          <w:rtl/>
        </w:rPr>
        <w:t xml:space="preserve">ביאור </w:t>
      </w:r>
      <w:r w:rsidRPr="00F21942">
        <w:rPr>
          <w:rStyle w:val="af9"/>
          <w:rFonts w:hint="cs"/>
          <w:rtl/>
        </w:rPr>
        <w:t>הר"ן</w:t>
      </w:r>
      <w:r w:rsidRPr="00F21942">
        <w:rPr>
          <w:rFonts w:hint="cs"/>
          <w:rtl/>
        </w:rPr>
        <w:t xml:space="preserve"> </w:t>
      </w:r>
      <w:r w:rsidRPr="00426009">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Ref1937208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Pr>
          <w:rStyle w:val="af7"/>
          <w:rFonts w:eastAsia="Guttman Hodes"/>
          <w:rtl/>
        </w:rPr>
        <w:fldChar w:fldCharType="end"/>
      </w:r>
      <w:r>
        <w:rPr>
          <w:rStyle w:val="af7"/>
          <w:rFonts w:eastAsia="Guttman Hodes" w:hint="cs"/>
          <w:rtl/>
        </w:rPr>
        <w:t xml:space="preserve"> </w:t>
      </w:r>
      <w:r>
        <w:rPr>
          <w:rFonts w:hint="cs"/>
          <w:rtl/>
        </w:rPr>
        <w:t xml:space="preserve">דכתב דהאיסור בדם בשליל, הוא כיון </w:t>
      </w:r>
      <w:r w:rsidRPr="00F21942">
        <w:rPr>
          <w:rFonts w:hint="cs"/>
          <w:rtl/>
        </w:rPr>
        <w:t>ד</w:t>
      </w:r>
      <w:r>
        <w:rPr>
          <w:rFonts w:hint="cs"/>
          <w:rtl/>
        </w:rPr>
        <w:t xml:space="preserve">אינו בכלל היתר "כל בבהמה תאכלו" כיון שהוא משקה ולא אוכל, וכתב </w:t>
      </w:r>
      <w:r w:rsidRPr="004E05A0">
        <w:rPr>
          <w:rStyle w:val="af9"/>
          <w:rFonts w:hint="cs"/>
          <w:rtl/>
        </w:rPr>
        <w:t>הגרש"ר</w:t>
      </w:r>
      <w:r>
        <w:rPr>
          <w:rFonts w:hint="cs"/>
          <w:rtl/>
        </w:rPr>
        <w:t xml:space="preserve"> </w:t>
      </w:r>
      <w:r w:rsidRPr="00BF6CF2">
        <w:rPr>
          <w:rStyle w:val="af7"/>
          <w:rFonts w:eastAsia="Guttman Hodes" w:hint="cs"/>
          <w:rtl/>
        </w:rPr>
        <w:t>(זכרון שמואל סי' ע"ד אות ב' ד"ה והנה)</w:t>
      </w:r>
      <w:r>
        <w:rPr>
          <w:rFonts w:hint="cs"/>
          <w:rtl/>
        </w:rPr>
        <w:t xml:space="preserve"> דלפי"ז ריו"ח ס"ל דדמו נקרא דם הנפש, כדביאר </w:t>
      </w:r>
      <w:r w:rsidRPr="00B2237D">
        <w:rPr>
          <w:rStyle w:val="af9"/>
          <w:rFonts w:hint="cs"/>
          <w:rtl/>
        </w:rPr>
        <w:t>הר"ן</w:t>
      </w:r>
      <w:r>
        <w:rPr>
          <w:rFonts w:hint="cs"/>
          <w:rtl/>
        </w:rPr>
        <w:t xml:space="preserve"> </w:t>
      </w:r>
      <w:r w:rsidRPr="00BF6CF2">
        <w:rPr>
          <w:rStyle w:val="af7"/>
          <w:rFonts w:eastAsia="Guttman Hodes" w:hint="cs"/>
          <w:rtl/>
        </w:rPr>
        <w:t xml:space="preserve">(עי' </w:t>
      </w:r>
      <w:r w:rsidRPr="00426009">
        <w:rPr>
          <w:rStyle w:val="af7"/>
          <w:rFonts w:eastAsia="Guttman Hodes" w:hint="cs"/>
          <w:rtl/>
        </w:rPr>
        <w:t xml:space="preserve">אות </w:t>
      </w:r>
      <w:r w:rsidRPr="00426009">
        <w:rPr>
          <w:rStyle w:val="af7"/>
          <w:rFonts w:eastAsia="Guttman Hodes"/>
          <w:rtl/>
        </w:rPr>
        <w:fldChar w:fldCharType="begin"/>
      </w:r>
      <w:r w:rsidRPr="00426009">
        <w:rPr>
          <w:rStyle w:val="af7"/>
          <w:rFonts w:eastAsia="Guttman Hodes"/>
          <w:rtl/>
        </w:rPr>
        <w:instrText xml:space="preserve"> </w:instrText>
      </w:r>
      <w:r w:rsidRPr="00426009">
        <w:rPr>
          <w:rStyle w:val="af7"/>
          <w:rFonts w:eastAsia="Guttman Hodes" w:hint="cs"/>
        </w:rPr>
        <w:instrText>REF</w:instrText>
      </w:r>
      <w:r w:rsidRPr="00426009">
        <w:rPr>
          <w:rStyle w:val="af7"/>
          <w:rFonts w:eastAsia="Guttman Hodes" w:hint="cs"/>
          <w:rtl/>
        </w:rPr>
        <w:instrText xml:space="preserve"> _</w:instrText>
      </w:r>
      <w:r w:rsidRPr="00426009">
        <w:rPr>
          <w:rStyle w:val="af7"/>
          <w:rFonts w:eastAsia="Guttman Hodes" w:hint="cs"/>
        </w:rPr>
        <w:instrText>Ref4304876 \r \h</w:instrText>
      </w:r>
      <w:r w:rsidRPr="00426009">
        <w:rPr>
          <w:rStyle w:val="af7"/>
          <w:rFonts w:eastAsia="Guttman Hodes"/>
          <w:rtl/>
        </w:rPr>
        <w:instrText xml:space="preserve"> </w:instrText>
      </w:r>
      <w:r w:rsidRPr="00426009">
        <w:rPr>
          <w:rStyle w:val="af7"/>
          <w:rFonts w:eastAsia="Guttman Hodes"/>
          <w:rtl/>
        </w:rPr>
      </w:r>
      <w:r w:rsidRPr="00426009">
        <w:rPr>
          <w:rStyle w:val="af7"/>
          <w:rFonts w:eastAsia="Guttman Hodes"/>
          <w:rtl/>
        </w:rPr>
        <w:fldChar w:fldCharType="separate"/>
      </w:r>
      <w:r w:rsidR="00345400">
        <w:rPr>
          <w:rStyle w:val="af7"/>
          <w:rFonts w:eastAsia="Guttman Hodes"/>
          <w:cs/>
        </w:rPr>
        <w:t>‎</w:t>
      </w:r>
      <w:r w:rsidR="00345400">
        <w:rPr>
          <w:rStyle w:val="af7"/>
          <w:rFonts w:eastAsia="Guttman Hodes"/>
          <w:rtl/>
        </w:rPr>
        <w:t>ט)</w:t>
      </w:r>
      <w:r w:rsidRPr="00426009">
        <w:rPr>
          <w:rStyle w:val="af7"/>
          <w:rFonts w:eastAsia="Guttman Hodes"/>
          <w:rtl/>
        </w:rPr>
        <w:fldChar w:fldCharType="end"/>
      </w:r>
      <w:r>
        <w:rPr>
          <w:rFonts w:hint="cs"/>
          <w:rtl/>
        </w:rPr>
        <w:t xml:space="preserve"> א"כ ההיתר של השליל הוא דאעפ"י דיש בו חיות, </w:t>
      </w:r>
      <w:r w:rsidRPr="00F05A26">
        <w:rPr>
          <w:rStyle w:val="afb"/>
          <w:rFonts w:hint="cs"/>
          <w:rtl/>
        </w:rPr>
        <w:t>[דהא יש בו דם הנפש</w:t>
      </w:r>
      <w:r>
        <w:rPr>
          <w:rStyle w:val="afb"/>
          <w:rFonts w:hint="cs"/>
          <w:rtl/>
        </w:rPr>
        <w:t xml:space="preserve"> והוי בהמה בפנ"ע</w:t>
      </w:r>
      <w:r w:rsidRPr="00F05A26">
        <w:rPr>
          <w:rStyle w:val="afb"/>
          <w:rFonts w:hint="cs"/>
          <w:rtl/>
        </w:rPr>
        <w:t>],</w:t>
      </w:r>
      <w:r>
        <w:rPr>
          <w:rFonts w:hint="cs"/>
          <w:rtl/>
        </w:rPr>
        <w:t xml:space="preserve"> מ"מ הותר מדין "כל בבהמה תאכלו", והדם אינו בכלל ההיתר דהוא משקה.</w:t>
      </w:r>
      <w:bookmarkEnd w:id="25449"/>
    </w:p>
    <w:p w14:paraId="317A6488" w14:textId="77777777" w:rsidR="003D504D" w:rsidRDefault="003D504D" w:rsidP="003D504D">
      <w:pPr>
        <w:pStyle w:val="a3"/>
        <w:rPr>
          <w:rtl/>
        </w:rPr>
      </w:pPr>
      <w:bookmarkStart w:id="25450" w:name="_Toc4305435"/>
      <w:bookmarkStart w:id="25451" w:name="_Toc4316276"/>
      <w:bookmarkStart w:id="25452" w:name="_Toc4330720"/>
      <w:bookmarkStart w:id="25453" w:name="_Toc19392120"/>
      <w:bookmarkStart w:id="25454" w:name="_Toc19395617"/>
      <w:r>
        <w:rPr>
          <w:rFonts w:hint="cs"/>
          <w:rtl/>
        </w:rPr>
        <w:t>דברי הגרש"ר דבבן ח' לריו"ח אפש"ל דאין חיוב בדמו דאינו בהמה בפנ"ע [אעפ"י דבדם אין דין שור]</w:t>
      </w:r>
      <w:bookmarkEnd w:id="25450"/>
      <w:bookmarkEnd w:id="25451"/>
      <w:bookmarkEnd w:id="25452"/>
      <w:bookmarkEnd w:id="25453"/>
      <w:bookmarkEnd w:id="25454"/>
    </w:p>
    <w:p w14:paraId="3F6F8428" w14:textId="77777777" w:rsidR="003D504D" w:rsidRDefault="003D504D" w:rsidP="00223668">
      <w:pPr>
        <w:pStyle w:val="a0"/>
        <w:rPr>
          <w:rtl/>
        </w:rPr>
      </w:pPr>
      <w:r>
        <w:rPr>
          <w:rFonts w:hint="cs"/>
          <w:rtl/>
        </w:rPr>
        <w:t xml:space="preserve">וכתב </w:t>
      </w:r>
      <w:r w:rsidRPr="004E05A0">
        <w:rPr>
          <w:rStyle w:val="af9"/>
          <w:rFonts w:hint="cs"/>
          <w:rtl/>
        </w:rPr>
        <w:t>הגרש"ר</w:t>
      </w:r>
      <w:r>
        <w:rPr>
          <w:rFonts w:hint="cs"/>
          <w:rtl/>
        </w:rPr>
        <w:t xml:space="preserve"> דלפי"ז אפש"ל דבבן ח' כיון דלא נקרא שור, מודה ריו"ח דלא חל איסור על דמו, דאף אי נימא דרק לענין חלב האיסור תלוי אם הוא נקרא שור כדכתי' "חלב שור", אבל איסור הדם הוא גם במקום שלא נקרא שור, מ"מ אפש"ל דאין בו כרת לריו"ח דכיון שאינו נחשב בהמה בפנ"ע לא חשיב כדם הנפש.</w:t>
      </w:r>
    </w:p>
    <w:p w14:paraId="342DC8B3" w14:textId="77777777" w:rsidR="003D504D" w:rsidRDefault="003D504D" w:rsidP="003D504D">
      <w:pPr>
        <w:pStyle w:val="a3"/>
        <w:rPr>
          <w:rtl/>
        </w:rPr>
      </w:pPr>
      <w:bookmarkStart w:id="25455" w:name="_Toc4316277"/>
      <w:bookmarkStart w:id="25456" w:name="_Toc4330721"/>
      <w:bookmarkStart w:id="25457" w:name="_Toc19392121"/>
      <w:bookmarkStart w:id="25458" w:name="_Toc19395618"/>
      <w:r>
        <w:rPr>
          <w:rFonts w:hint="cs"/>
          <w:rtl/>
        </w:rPr>
        <w:t>דחיית הגרש"ר דברש"י וברמב"ם מבואר דריו"ח מחייב כרת אף בדמו של בן ח'</w:t>
      </w:r>
      <w:bookmarkEnd w:id="25455"/>
      <w:bookmarkEnd w:id="25456"/>
      <w:bookmarkEnd w:id="25457"/>
      <w:bookmarkEnd w:id="25458"/>
    </w:p>
    <w:p w14:paraId="5B795085" w14:textId="77777777" w:rsidR="003D504D" w:rsidRDefault="003D504D" w:rsidP="00223668">
      <w:pPr>
        <w:pStyle w:val="a0"/>
        <w:rPr>
          <w:rtl/>
        </w:rPr>
      </w:pPr>
      <w:bookmarkStart w:id="25459" w:name="_Ref2543310"/>
      <w:r w:rsidRPr="002F0B7C">
        <w:rPr>
          <w:rFonts w:hint="cs"/>
          <w:rtl/>
        </w:rPr>
        <w:t xml:space="preserve">אך הביא </w:t>
      </w:r>
      <w:r w:rsidRPr="002F0B7C">
        <w:rPr>
          <w:rStyle w:val="af9"/>
          <w:rFonts w:hint="cs"/>
          <w:rtl/>
        </w:rPr>
        <w:t>הגרש"ר</w:t>
      </w:r>
      <w:r w:rsidRPr="002F0B7C">
        <w:rPr>
          <w:rFonts w:hint="cs"/>
          <w:rtl/>
        </w:rPr>
        <w:t xml:space="preserve"> את דברי </w:t>
      </w:r>
      <w:r w:rsidRPr="002F0B7C">
        <w:rPr>
          <w:rStyle w:val="af9"/>
          <w:rFonts w:hint="cs"/>
          <w:rtl/>
        </w:rPr>
        <w:t>הלח"מ</w:t>
      </w:r>
      <w:r w:rsidRPr="002F0B7C">
        <w:rPr>
          <w:rStyle w:val="af7"/>
          <w:rFonts w:eastAsia="Guttman Hodes" w:hint="cs"/>
          <w:rtl/>
        </w:rPr>
        <w:t xml:space="preserve"> (עי' אות </w:t>
      </w:r>
      <w:r w:rsidRPr="002F0B7C">
        <w:rPr>
          <w:rStyle w:val="af7"/>
          <w:rFonts w:eastAsia="Guttman Hodes"/>
          <w:rtl/>
        </w:rPr>
        <w:fldChar w:fldCharType="begin"/>
      </w:r>
      <w:r w:rsidRPr="002F0B7C">
        <w:rPr>
          <w:rStyle w:val="af7"/>
          <w:rFonts w:eastAsia="Guttman Hodes"/>
          <w:rtl/>
        </w:rPr>
        <w:instrText xml:space="preserve"> </w:instrText>
      </w:r>
      <w:r w:rsidRPr="002F0B7C">
        <w:rPr>
          <w:rStyle w:val="af7"/>
          <w:rFonts w:eastAsia="Guttman Hodes" w:hint="cs"/>
        </w:rPr>
        <w:instrText>REF</w:instrText>
      </w:r>
      <w:r w:rsidRPr="002F0B7C">
        <w:rPr>
          <w:rStyle w:val="af7"/>
          <w:rFonts w:eastAsia="Guttman Hodes" w:hint="cs"/>
          <w:rtl/>
        </w:rPr>
        <w:instrText xml:space="preserve"> _</w:instrText>
      </w:r>
      <w:r w:rsidRPr="002F0B7C">
        <w:rPr>
          <w:rStyle w:val="af7"/>
          <w:rFonts w:eastAsia="Guttman Hodes" w:hint="cs"/>
        </w:rPr>
        <w:instrText>Ref2543325 \r \h</w:instrText>
      </w:r>
      <w:r w:rsidRPr="002F0B7C">
        <w:rPr>
          <w:rStyle w:val="af7"/>
          <w:rFonts w:eastAsia="Guttman Hodes"/>
          <w:rtl/>
        </w:rPr>
        <w:instrText xml:space="preserve"> </w:instrText>
      </w:r>
      <w:r w:rsidRPr="002F0B7C">
        <w:rPr>
          <w:rStyle w:val="af7"/>
          <w:rFonts w:eastAsia="Guttman Hodes"/>
          <w:rtl/>
        </w:rPr>
      </w:r>
      <w:r w:rsidRPr="002F0B7C">
        <w:rPr>
          <w:rStyle w:val="af7"/>
          <w:rFonts w:eastAsia="Guttman Hodes"/>
          <w:rtl/>
        </w:rPr>
        <w:fldChar w:fldCharType="separate"/>
      </w:r>
      <w:r w:rsidR="00345400">
        <w:rPr>
          <w:rStyle w:val="af7"/>
          <w:rFonts w:eastAsia="Guttman Hodes"/>
          <w:cs/>
        </w:rPr>
        <w:t>‎</w:t>
      </w:r>
      <w:r w:rsidR="00345400">
        <w:rPr>
          <w:rStyle w:val="af7"/>
          <w:rFonts w:eastAsia="Guttman Hodes"/>
          <w:rtl/>
        </w:rPr>
        <w:t>סה)</w:t>
      </w:r>
      <w:r w:rsidRPr="002F0B7C">
        <w:rPr>
          <w:rStyle w:val="af7"/>
          <w:rFonts w:eastAsia="Guttman Hodes"/>
          <w:rtl/>
        </w:rPr>
        <w:fldChar w:fldCharType="end"/>
      </w:r>
      <w:r w:rsidRPr="002F0B7C">
        <w:rPr>
          <w:rFonts w:hint="cs"/>
          <w:rtl/>
        </w:rPr>
        <w:t xml:space="preserve"> דהוכיח מדברי </w:t>
      </w:r>
      <w:r w:rsidRPr="00F75AF1">
        <w:rPr>
          <w:rStyle w:val="af9"/>
          <w:rFonts w:hint="cs"/>
          <w:rtl/>
        </w:rPr>
        <w:t>רש"י</w:t>
      </w:r>
      <w:r>
        <w:rPr>
          <w:rFonts w:hint="cs"/>
          <w:rtl/>
        </w:rPr>
        <w:t xml:space="preserve"> </w:t>
      </w:r>
      <w:r w:rsidRPr="00F75AF1">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Ref4305354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כ)</w:t>
      </w:r>
      <w:r>
        <w:rPr>
          <w:rStyle w:val="af7"/>
          <w:rFonts w:eastAsia="Guttman Hodes"/>
          <w:rtl/>
        </w:rPr>
        <w:fldChar w:fldCharType="end"/>
      </w:r>
      <w:r>
        <w:rPr>
          <w:rFonts w:hint="cs"/>
          <w:rtl/>
        </w:rPr>
        <w:t xml:space="preserve"> </w:t>
      </w:r>
      <w:r w:rsidRPr="002F0B7C">
        <w:rPr>
          <w:rFonts w:hint="cs"/>
          <w:rtl/>
        </w:rPr>
        <w:t>דמדברי ריו"ח משמע דאף בדמו של בן ח' אין חיוב כרת, דהא ריו"ח הקשה לר"ל מהרישא דמתני' דקורעו ומוציא את דמו, וברישא</w:t>
      </w:r>
      <w:r>
        <w:rPr>
          <w:rFonts w:hint="cs"/>
          <w:rtl/>
        </w:rPr>
        <w:t xml:space="preserve"> איירי בבן ח', וכתב </w:t>
      </w:r>
      <w:r w:rsidRPr="004E05A0">
        <w:rPr>
          <w:rStyle w:val="af9"/>
          <w:rFonts w:hint="cs"/>
          <w:rtl/>
        </w:rPr>
        <w:t>הגרש"ר</w:t>
      </w:r>
      <w:r>
        <w:rPr>
          <w:rFonts w:hint="cs"/>
          <w:rtl/>
        </w:rPr>
        <w:t xml:space="preserve"> דכן מבואר בדברי </w:t>
      </w:r>
      <w:r w:rsidRPr="00B2237D">
        <w:rPr>
          <w:rStyle w:val="af9"/>
          <w:rFonts w:hint="cs"/>
          <w:rtl/>
        </w:rPr>
        <w:t>רש"י</w:t>
      </w:r>
      <w:r>
        <w:rPr>
          <w:rFonts w:hint="cs"/>
          <w:rtl/>
        </w:rPr>
        <w:t xml:space="preserve"> דכתב דקושית ריו"ח לר"ל היא דאף חלבו של בן ח' מותר לכו"ע, וכתב </w:t>
      </w:r>
      <w:r w:rsidRPr="004E05A0">
        <w:rPr>
          <w:rStyle w:val="af9"/>
          <w:rFonts w:hint="cs"/>
          <w:rtl/>
        </w:rPr>
        <w:t>הגרש"ר</w:t>
      </w:r>
      <w:r>
        <w:rPr>
          <w:rFonts w:hint="cs"/>
          <w:rtl/>
        </w:rPr>
        <w:t xml:space="preserve"> דכן מבואר בדברי </w:t>
      </w:r>
      <w:r w:rsidRPr="00B2237D">
        <w:rPr>
          <w:rStyle w:val="af9"/>
          <w:rFonts w:hint="cs"/>
          <w:rtl/>
        </w:rPr>
        <w:t>הרמב"ם</w:t>
      </w:r>
      <w:r>
        <w:rPr>
          <w:rFonts w:hint="cs"/>
          <w:rtl/>
        </w:rPr>
        <w:t xml:space="preserve"> </w:t>
      </w:r>
      <w:r w:rsidRPr="00B2237D">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Ref4305445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Pr>
          <w:rStyle w:val="af7"/>
          <w:rFonts w:eastAsia="Guttman Hodes"/>
          <w:rtl/>
        </w:rPr>
        <w:fldChar w:fldCharType="end"/>
      </w:r>
      <w:r w:rsidRPr="00B2237D">
        <w:rPr>
          <w:rStyle w:val="af7"/>
          <w:rFonts w:eastAsia="Guttman Hodes" w:hint="cs"/>
          <w:rtl/>
        </w:rPr>
        <w:t xml:space="preserve"> </w:t>
      </w:r>
      <w:r>
        <w:rPr>
          <w:rFonts w:hint="cs"/>
          <w:rtl/>
        </w:rPr>
        <w:t xml:space="preserve">דכתב דבדם הכנוס בלבו של השליל יש חיוב כרת, ולא חילק בין בן ח' לבן ט', ומבואר דאף בבן ח' יש כרת, ועי' במה שדחה </w:t>
      </w:r>
      <w:r w:rsidRPr="00F77775">
        <w:rPr>
          <w:rStyle w:val="af9"/>
          <w:rFonts w:hint="cs"/>
          <w:rtl/>
        </w:rPr>
        <w:t>הגרש"ר</w:t>
      </w:r>
      <w:r>
        <w:rPr>
          <w:rFonts w:hint="cs"/>
          <w:rtl/>
        </w:rPr>
        <w:t xml:space="preserve"> </w:t>
      </w:r>
      <w:r w:rsidRPr="00F77775">
        <w:rPr>
          <w:rStyle w:val="af7"/>
          <w:rFonts w:eastAsia="Guttman Hodes" w:hint="cs"/>
          <w:rtl/>
        </w:rPr>
        <w:t xml:space="preserve">(עי' אות </w:t>
      </w:r>
      <w:r w:rsidRPr="00F77775">
        <w:rPr>
          <w:rStyle w:val="af7"/>
          <w:rFonts w:eastAsia="Guttman Hodes"/>
          <w:rtl/>
        </w:rPr>
        <w:fldChar w:fldCharType="begin"/>
      </w:r>
      <w:r w:rsidRPr="00F77775">
        <w:rPr>
          <w:rStyle w:val="af7"/>
          <w:rFonts w:eastAsia="Guttman Hodes"/>
          <w:rtl/>
        </w:rPr>
        <w:instrText xml:space="preserve"> </w:instrText>
      </w:r>
      <w:r w:rsidRPr="00F77775">
        <w:rPr>
          <w:rStyle w:val="af7"/>
          <w:rFonts w:eastAsia="Guttman Hodes" w:hint="cs"/>
        </w:rPr>
        <w:instrText>REF</w:instrText>
      </w:r>
      <w:r w:rsidRPr="00F77775">
        <w:rPr>
          <w:rStyle w:val="af7"/>
          <w:rFonts w:eastAsia="Guttman Hodes" w:hint="cs"/>
          <w:rtl/>
        </w:rPr>
        <w:instrText xml:space="preserve"> _</w:instrText>
      </w:r>
      <w:r w:rsidRPr="00F77775">
        <w:rPr>
          <w:rStyle w:val="af7"/>
          <w:rFonts w:eastAsia="Guttman Hodes" w:hint="cs"/>
        </w:rPr>
        <w:instrText>Ref2527481 \r \h</w:instrText>
      </w:r>
      <w:r w:rsidRPr="00F77775">
        <w:rPr>
          <w:rStyle w:val="af7"/>
          <w:rFonts w:eastAsia="Guttman Hodes"/>
          <w:rtl/>
        </w:rPr>
        <w:instrText xml:space="preserve"> </w:instrText>
      </w:r>
      <w:r w:rsidRPr="00F77775">
        <w:rPr>
          <w:rStyle w:val="af7"/>
          <w:rFonts w:eastAsia="Guttman Hodes"/>
          <w:rtl/>
        </w:rPr>
      </w:r>
      <w:r w:rsidRPr="00F77775">
        <w:rPr>
          <w:rStyle w:val="af7"/>
          <w:rFonts w:eastAsia="Guttman Hodes"/>
          <w:rtl/>
        </w:rPr>
        <w:fldChar w:fldCharType="separate"/>
      </w:r>
      <w:r w:rsidR="00345400">
        <w:rPr>
          <w:rStyle w:val="af7"/>
          <w:rFonts w:eastAsia="Guttman Hodes"/>
          <w:cs/>
        </w:rPr>
        <w:t>‎</w:t>
      </w:r>
      <w:r w:rsidR="00345400">
        <w:rPr>
          <w:rStyle w:val="af7"/>
          <w:rFonts w:eastAsia="Guttman Hodes"/>
          <w:rtl/>
        </w:rPr>
        <w:t>לז)</w:t>
      </w:r>
      <w:r w:rsidRPr="00F77775">
        <w:rPr>
          <w:rStyle w:val="af7"/>
          <w:rFonts w:eastAsia="Guttman Hodes"/>
          <w:rtl/>
        </w:rPr>
        <w:fldChar w:fldCharType="end"/>
      </w:r>
      <w:r>
        <w:rPr>
          <w:rFonts w:hint="cs"/>
          <w:rtl/>
        </w:rPr>
        <w:t xml:space="preserve"> את הראיה מקושית ריו"ח.</w:t>
      </w:r>
      <w:bookmarkEnd w:id="25459"/>
    </w:p>
    <w:p w14:paraId="5812E1D2" w14:textId="77777777" w:rsidR="003D504D" w:rsidRDefault="003D504D" w:rsidP="00BF39B2">
      <w:pPr>
        <w:pStyle w:val="1"/>
        <w:rPr>
          <w:rtl/>
        </w:rPr>
      </w:pPr>
      <w:bookmarkStart w:id="25460" w:name="_Toc4316278"/>
      <w:bookmarkStart w:id="25461" w:name="_Toc4330722"/>
      <w:bookmarkStart w:id="25462" w:name="_Toc19392122"/>
      <w:bookmarkStart w:id="25463" w:name="_Toc19395619"/>
      <w:r>
        <w:rPr>
          <w:rFonts w:hint="cs"/>
          <w:rtl/>
        </w:rPr>
        <w:t>ספק הגרש"ר בסברת ר"ל בהו"א לדעת הר"ן</w:t>
      </w:r>
      <w:bookmarkEnd w:id="25460"/>
      <w:bookmarkEnd w:id="25461"/>
      <w:bookmarkEnd w:id="25462"/>
      <w:bookmarkEnd w:id="25463"/>
    </w:p>
    <w:p w14:paraId="676E1785" w14:textId="77777777" w:rsidR="003D504D" w:rsidRDefault="003D504D" w:rsidP="003D504D">
      <w:pPr>
        <w:pStyle w:val="a3"/>
      </w:pPr>
      <w:bookmarkStart w:id="25464" w:name="_Toc4316279"/>
      <w:bookmarkStart w:id="25465" w:name="_Toc4330723"/>
      <w:bookmarkStart w:id="25466" w:name="_Toc19392123"/>
      <w:bookmarkStart w:id="25467" w:name="_Toc19395620"/>
      <w:r>
        <w:rPr>
          <w:rFonts w:hint="cs"/>
          <w:rtl/>
        </w:rPr>
        <w:t>דברי הגרש"ר דלהו"א לר"ל א"צ היתר מיוחד לדם ואף להר"ן הדם מותר מדין "כל בבהמה"</w:t>
      </w:r>
      <w:bookmarkEnd w:id="25464"/>
      <w:bookmarkEnd w:id="25465"/>
      <w:bookmarkEnd w:id="25466"/>
      <w:bookmarkEnd w:id="25467"/>
    </w:p>
    <w:p w14:paraId="0589282E" w14:textId="77777777" w:rsidR="003D504D" w:rsidRPr="00376BA1" w:rsidRDefault="003D504D" w:rsidP="00223668">
      <w:pPr>
        <w:pStyle w:val="a0"/>
        <w:rPr>
          <w:rStyle w:val="afb"/>
          <w:rtl/>
        </w:rPr>
      </w:pPr>
      <w:r>
        <w:rPr>
          <w:rFonts w:hint="cs"/>
          <w:rtl/>
        </w:rPr>
        <w:t xml:space="preserve">וכתב </w:t>
      </w:r>
      <w:r w:rsidRPr="004E05A0">
        <w:rPr>
          <w:rStyle w:val="af9"/>
          <w:rFonts w:hint="cs"/>
          <w:rtl/>
        </w:rPr>
        <w:t>הגרש"ר</w:t>
      </w:r>
      <w:r>
        <w:rPr>
          <w:rFonts w:hint="cs"/>
          <w:rtl/>
        </w:rPr>
        <w:t xml:space="preserve"> </w:t>
      </w:r>
      <w:r w:rsidRPr="00156541">
        <w:rPr>
          <w:rStyle w:val="af7"/>
          <w:rFonts w:eastAsia="Guttman Hodes" w:hint="cs"/>
          <w:rtl/>
        </w:rPr>
        <w:t>(</w:t>
      </w:r>
      <w:r w:rsidRPr="00156541">
        <w:rPr>
          <w:rStyle w:val="af7"/>
          <w:rFonts w:eastAsia="Guttman Hodes"/>
          <w:rtl/>
        </w:rPr>
        <w:t>זכרון שמואל סי' ע</w:t>
      </w:r>
      <w:r w:rsidRPr="00156541">
        <w:rPr>
          <w:rStyle w:val="af7"/>
          <w:rFonts w:eastAsia="Guttman Hodes" w:hint="cs"/>
          <w:rtl/>
        </w:rPr>
        <w:t>"</w:t>
      </w:r>
      <w:r w:rsidRPr="00156541">
        <w:rPr>
          <w:rStyle w:val="af7"/>
          <w:rFonts w:eastAsia="Guttman Hodes"/>
          <w:rtl/>
        </w:rPr>
        <w:t>ד אות ב' ד</w:t>
      </w:r>
      <w:r w:rsidRPr="00156541">
        <w:rPr>
          <w:rStyle w:val="af7"/>
          <w:rFonts w:eastAsia="Guttman Hodes" w:hint="cs"/>
          <w:rtl/>
        </w:rPr>
        <w:t>"</w:t>
      </w:r>
      <w:r w:rsidRPr="00156541">
        <w:rPr>
          <w:rStyle w:val="af7"/>
          <w:rFonts w:eastAsia="Guttman Hodes"/>
          <w:rtl/>
        </w:rPr>
        <w:t>ה</w:t>
      </w:r>
      <w:r w:rsidRPr="00156541">
        <w:rPr>
          <w:rStyle w:val="af7"/>
          <w:rFonts w:eastAsia="Guttman Hodes" w:hint="cs"/>
          <w:rtl/>
        </w:rPr>
        <w:t xml:space="preserve"> והנראה בזה)</w:t>
      </w:r>
      <w:r>
        <w:rPr>
          <w:rFonts w:hint="cs"/>
          <w:rtl/>
        </w:rPr>
        <w:t xml:space="preserve"> דבהו"א בגמ' דלר"ל אין כל איסור בדמו, היינו דסברה הגמ' דכל שלא נולד לא חל כל איסור על דמו</w:t>
      </w:r>
      <w:r w:rsidRPr="00355332">
        <w:rPr>
          <w:rFonts w:hint="cs"/>
          <w:rtl/>
        </w:rPr>
        <w:t xml:space="preserve">, ולכן אף לאחר שחיטת אמו, מותר דמו מדין "כל בבהמה תאכלו", ואף שביאר </w:t>
      </w:r>
      <w:r w:rsidRPr="00F21942">
        <w:rPr>
          <w:rStyle w:val="af9"/>
          <w:rFonts w:hint="cs"/>
          <w:rtl/>
        </w:rPr>
        <w:t>הר"ן</w:t>
      </w:r>
      <w:r w:rsidRPr="00F21942">
        <w:rPr>
          <w:rFonts w:hint="cs"/>
          <w:rtl/>
        </w:rPr>
        <w:t xml:space="preserve"> </w:t>
      </w:r>
      <w:r w:rsidRPr="00156541">
        <w:rPr>
          <w:rStyle w:val="af7"/>
          <w:rFonts w:eastAsia="Guttman Hodes" w:hint="cs"/>
          <w:rtl/>
        </w:rPr>
        <w:t xml:space="preserve">(עי' אות </w:t>
      </w:r>
      <w:r w:rsidRPr="00156541">
        <w:rPr>
          <w:rStyle w:val="af7"/>
          <w:rFonts w:eastAsia="Guttman Hodes"/>
          <w:rtl/>
        </w:rPr>
        <w:fldChar w:fldCharType="begin"/>
      </w:r>
      <w:r w:rsidRPr="00156541">
        <w:rPr>
          <w:rStyle w:val="af7"/>
          <w:rFonts w:eastAsia="Guttman Hodes"/>
          <w:rtl/>
        </w:rPr>
        <w:instrText xml:space="preserve"> </w:instrText>
      </w:r>
      <w:r w:rsidRPr="00156541">
        <w:rPr>
          <w:rStyle w:val="af7"/>
          <w:rFonts w:eastAsia="Guttman Hodes" w:hint="cs"/>
        </w:rPr>
        <w:instrText>REF</w:instrText>
      </w:r>
      <w:r w:rsidRPr="00156541">
        <w:rPr>
          <w:rStyle w:val="af7"/>
          <w:rFonts w:eastAsia="Guttman Hodes" w:hint="cs"/>
          <w:rtl/>
        </w:rPr>
        <w:instrText xml:space="preserve"> _</w:instrText>
      </w:r>
      <w:r w:rsidRPr="00156541">
        <w:rPr>
          <w:rStyle w:val="af7"/>
          <w:rFonts w:eastAsia="Guttman Hodes" w:hint="cs"/>
        </w:rPr>
        <w:instrText>Ref1937208 \r \h</w:instrText>
      </w:r>
      <w:r w:rsidRPr="00156541">
        <w:rPr>
          <w:rStyle w:val="af7"/>
          <w:rFonts w:eastAsia="Guttman Hodes"/>
          <w:rtl/>
        </w:rPr>
        <w:instrText xml:space="preserve"> </w:instrText>
      </w:r>
      <w:r w:rsidRPr="00156541">
        <w:rPr>
          <w:rStyle w:val="af7"/>
          <w:rFonts w:eastAsia="Guttman Hodes"/>
          <w:rtl/>
        </w:rPr>
      </w:r>
      <w:r w:rsidRPr="00156541">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156541">
        <w:rPr>
          <w:rStyle w:val="af7"/>
          <w:rFonts w:eastAsia="Guttman Hodes"/>
          <w:rtl/>
        </w:rPr>
        <w:fldChar w:fldCharType="end"/>
      </w:r>
      <w:r>
        <w:rPr>
          <w:rFonts w:hint="cs"/>
          <w:rtl/>
        </w:rPr>
        <w:t xml:space="preserve"> </w:t>
      </w:r>
      <w:r w:rsidRPr="00355332">
        <w:rPr>
          <w:rFonts w:hint="cs"/>
          <w:rtl/>
        </w:rPr>
        <w:t>דבדם שהוא משקה אין את היתר "כל בבהמה תאכלו"</w:t>
      </w:r>
      <w:r>
        <w:rPr>
          <w:rFonts w:hint="cs"/>
          <w:rtl/>
        </w:rPr>
        <w:t>,</w:t>
      </w:r>
      <w:r w:rsidRPr="00355332">
        <w:rPr>
          <w:rFonts w:hint="cs"/>
          <w:rtl/>
        </w:rPr>
        <w:t xml:space="preserve"> זהו דוקא אחר </w:t>
      </w:r>
      <w:r w:rsidRPr="00156541">
        <w:rPr>
          <w:rFonts w:hint="cs"/>
          <w:rtl/>
        </w:rPr>
        <w:t>שהדם אסור וצריך היתר מיוחד לדם, וכיון שהדם הוא משקה אינו בכלל ההיתר</w:t>
      </w:r>
      <w:r>
        <w:rPr>
          <w:rFonts w:hint="cs"/>
          <w:rtl/>
        </w:rPr>
        <w:t>,</w:t>
      </w:r>
      <w:r w:rsidRPr="00156541">
        <w:rPr>
          <w:rFonts w:hint="cs"/>
          <w:rtl/>
        </w:rPr>
        <w:t xml:space="preserve"> וכתב </w:t>
      </w:r>
      <w:r w:rsidRPr="00156541">
        <w:rPr>
          <w:rStyle w:val="af9"/>
          <w:rFonts w:hint="cs"/>
          <w:rtl/>
        </w:rPr>
        <w:t>הגרש"ר</w:t>
      </w:r>
      <w:r w:rsidRPr="00156541">
        <w:rPr>
          <w:rFonts w:hint="cs"/>
          <w:rtl/>
        </w:rPr>
        <w:t xml:space="preserve"> דלפי"ז להו"א דר"ל דהדם מותר לגמרי, אף בנפל אין איסור דם.</w:t>
      </w:r>
      <w:r>
        <w:rPr>
          <w:rFonts w:hint="cs"/>
          <w:rtl/>
        </w:rPr>
        <w:t xml:space="preserve"> </w:t>
      </w:r>
      <w:r w:rsidRPr="00376BA1">
        <w:rPr>
          <w:rStyle w:val="afb"/>
          <w:rFonts w:hint="cs"/>
          <w:rtl/>
        </w:rPr>
        <w:t xml:space="preserve">[וא"כ לפי"ז אף לדעת ריו"ח אי נימא דעל בן ח' לא חל איסור דם כלל, דאין בו נפש ואינו בהמה בפנ"ע, א"כ הדם של בן ח' הוא בכלל הולד, והולד הוא כשחוט ומותר]. </w:t>
      </w:r>
    </w:p>
    <w:p w14:paraId="79D71E89" w14:textId="77777777" w:rsidR="003D504D" w:rsidRDefault="003D504D" w:rsidP="003D504D">
      <w:pPr>
        <w:pStyle w:val="a3"/>
        <w:rPr>
          <w:rtl/>
        </w:rPr>
      </w:pPr>
      <w:bookmarkStart w:id="25468" w:name="_Toc4316280"/>
      <w:bookmarkStart w:id="25469" w:name="_Toc4330724"/>
      <w:bookmarkStart w:id="25470" w:name="_Toc19392124"/>
      <w:bookmarkStart w:id="25471" w:name="_Toc19395621"/>
      <w:r>
        <w:rPr>
          <w:rFonts w:hint="cs"/>
          <w:rtl/>
        </w:rPr>
        <w:t>דחיית הגרש"ר דאף בהו"א מודה ר"ל דדמו דבן ח' אסור דהא לר"ל אין חילוק בין בן ח' לבן ט'</w:t>
      </w:r>
      <w:bookmarkEnd w:id="25468"/>
      <w:bookmarkEnd w:id="25469"/>
      <w:bookmarkEnd w:id="25470"/>
      <w:bookmarkEnd w:id="25471"/>
    </w:p>
    <w:p w14:paraId="4CBB65F4" w14:textId="77777777" w:rsidR="003D504D" w:rsidRDefault="003D504D" w:rsidP="00223668">
      <w:pPr>
        <w:pStyle w:val="a0"/>
        <w:rPr>
          <w:rtl/>
        </w:rPr>
      </w:pPr>
      <w:r>
        <w:rPr>
          <w:rFonts w:hint="cs"/>
          <w:rtl/>
        </w:rPr>
        <w:t xml:space="preserve">אך כתב </w:t>
      </w:r>
      <w:r w:rsidRPr="004E05A0">
        <w:rPr>
          <w:rStyle w:val="af9"/>
          <w:rFonts w:hint="cs"/>
          <w:rtl/>
        </w:rPr>
        <w:t>הגרש"ר</w:t>
      </w:r>
      <w:r>
        <w:rPr>
          <w:rFonts w:hint="cs"/>
          <w:rtl/>
        </w:rPr>
        <w:t xml:space="preserve"> דאפש"ל דאף להו"א מודה ר"ל שיש איסור דם גם בבן ח', דכיון דס"ל לר"ל </w:t>
      </w:r>
      <w:r w:rsidRPr="002208CF">
        <w:rPr>
          <w:rStyle w:val="afb"/>
          <w:rFonts w:hint="cs"/>
          <w:rtl/>
        </w:rPr>
        <w:t>[בדין חלב</w:t>
      </w:r>
      <w:r>
        <w:rPr>
          <w:rStyle w:val="afb"/>
          <w:rFonts w:hint="cs"/>
          <w:rtl/>
        </w:rPr>
        <w:t>,</w:t>
      </w:r>
      <w:r w:rsidRPr="002208CF">
        <w:rPr>
          <w:rStyle w:val="afb"/>
          <w:rFonts w:hint="cs"/>
          <w:rtl/>
        </w:rPr>
        <w:t xml:space="preserve"> לקמן </w:t>
      </w:r>
      <w:r w:rsidRPr="002208CF">
        <w:rPr>
          <w:rStyle w:val="aff6"/>
          <w:rFonts w:hint="cs"/>
          <w:rtl/>
        </w:rPr>
        <w:t>(עה.)</w:t>
      </w:r>
      <w:r w:rsidRPr="002208CF">
        <w:rPr>
          <w:rStyle w:val="afb"/>
          <w:rFonts w:hint="cs"/>
          <w:rtl/>
        </w:rPr>
        <w:t>]</w:t>
      </w:r>
      <w:r>
        <w:rPr>
          <w:rFonts w:hint="cs"/>
          <w:rtl/>
        </w:rPr>
        <w:t xml:space="preserve"> דחדשים ואוירא גרמי, א"כ אין כל חילוק בין בן ח' לבן ט', דאף בן ט' לא נקרא שור, ואפ"ה דמו אסור, ומבואר דאיסור דם אינו תלוי לא בחדשים ולא באוירא.</w:t>
      </w:r>
    </w:p>
    <w:p w14:paraId="4C4328F7" w14:textId="77777777" w:rsidR="003D504D" w:rsidRPr="006A6CDF" w:rsidRDefault="003D504D" w:rsidP="00BF39B2">
      <w:pPr>
        <w:pStyle w:val="1"/>
        <w:rPr>
          <w:rtl/>
        </w:rPr>
      </w:pPr>
      <w:bookmarkStart w:id="25472" w:name="_Toc4316281"/>
      <w:bookmarkStart w:id="25473" w:name="_Toc4330725"/>
      <w:bookmarkStart w:id="25474" w:name="_Toc19392125"/>
      <w:bookmarkStart w:id="25475" w:name="_Toc19395622"/>
      <w:r>
        <w:rPr>
          <w:rFonts w:hint="cs"/>
          <w:rtl/>
        </w:rPr>
        <w:t>ביאור הגרש"ר דבהו"א פליגי אי משקה בכלל "כל בבהמה"</w:t>
      </w:r>
      <w:bookmarkEnd w:id="25472"/>
      <w:bookmarkEnd w:id="25473"/>
      <w:bookmarkEnd w:id="25474"/>
      <w:bookmarkEnd w:id="25475"/>
    </w:p>
    <w:p w14:paraId="47877814" w14:textId="77777777" w:rsidR="003D504D" w:rsidRDefault="003D504D" w:rsidP="003D504D">
      <w:pPr>
        <w:pStyle w:val="a3"/>
        <w:rPr>
          <w:rtl/>
        </w:rPr>
      </w:pPr>
      <w:bookmarkStart w:id="25476" w:name="_Toc4316282"/>
      <w:bookmarkStart w:id="25477" w:name="_Toc4330726"/>
      <w:bookmarkStart w:id="25478" w:name="_Toc19392126"/>
      <w:bookmarkStart w:id="25479" w:name="_Toc19395623"/>
      <w:r>
        <w:rPr>
          <w:rFonts w:hint="cs"/>
          <w:rtl/>
        </w:rPr>
        <w:t>ביאור הגרש"ר דר"ל פליג על סברת הר"ן וס"ל דאף דהדם הוא משקה הוא בכלל "כל בבהמה"</w:t>
      </w:r>
      <w:bookmarkEnd w:id="25476"/>
      <w:bookmarkEnd w:id="25477"/>
      <w:bookmarkEnd w:id="25478"/>
      <w:bookmarkEnd w:id="25479"/>
    </w:p>
    <w:p w14:paraId="331663C5" w14:textId="77777777" w:rsidR="003D504D" w:rsidRPr="00700CE0" w:rsidRDefault="003D504D" w:rsidP="00223668">
      <w:pPr>
        <w:pStyle w:val="a0"/>
      </w:pPr>
      <w:r>
        <w:rPr>
          <w:rFonts w:hint="cs"/>
          <w:rtl/>
        </w:rPr>
        <w:t xml:space="preserve">אלא ביאר </w:t>
      </w:r>
      <w:r w:rsidRPr="004E05A0">
        <w:rPr>
          <w:rStyle w:val="af9"/>
          <w:rFonts w:hint="cs"/>
          <w:rtl/>
        </w:rPr>
        <w:t>הגרש"ר</w:t>
      </w:r>
      <w:r>
        <w:rPr>
          <w:rFonts w:hint="cs"/>
          <w:rtl/>
        </w:rPr>
        <w:t xml:space="preserve"> דפלוגתת ריו"ח ור"ל היא בעיקר סברת </w:t>
      </w:r>
      <w:r w:rsidRPr="00F21942">
        <w:rPr>
          <w:rStyle w:val="af9"/>
          <w:rFonts w:hint="cs"/>
          <w:rtl/>
        </w:rPr>
        <w:t>הר"ן</w:t>
      </w:r>
      <w:r w:rsidRPr="00F21942">
        <w:rPr>
          <w:rFonts w:hint="cs"/>
          <w:rtl/>
        </w:rPr>
        <w:t xml:space="preserve"> </w:t>
      </w:r>
      <w:r w:rsidRPr="00426009">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Ref1937208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Pr>
          <w:rStyle w:val="af7"/>
          <w:rFonts w:eastAsia="Guttman Hodes"/>
          <w:rtl/>
        </w:rPr>
        <w:fldChar w:fldCharType="end"/>
      </w:r>
      <w:r>
        <w:rPr>
          <w:rFonts w:hint="cs"/>
          <w:rtl/>
        </w:rPr>
        <w:t xml:space="preserve"> דהדם אינו בכלל ההיתר דהוא כמשקה, דסברת </w:t>
      </w:r>
      <w:r w:rsidRPr="00843D3D">
        <w:rPr>
          <w:rStyle w:val="af9"/>
          <w:rFonts w:hint="cs"/>
          <w:rtl/>
        </w:rPr>
        <w:t>הר"ן</w:t>
      </w:r>
      <w:r>
        <w:rPr>
          <w:rFonts w:hint="cs"/>
          <w:rtl/>
        </w:rPr>
        <w:t xml:space="preserve"> היא אליבא דריו"ח, אבל ר"ל סבר דאף שהדם הוא משקה, מ"מ הוא בכלל ההיתר.</w:t>
      </w:r>
    </w:p>
    <w:p w14:paraId="7CFE417F" w14:textId="77777777" w:rsidR="003D504D" w:rsidRPr="000767BA" w:rsidRDefault="003D504D" w:rsidP="003D504D">
      <w:pPr>
        <w:pStyle w:val="a3"/>
      </w:pPr>
      <w:bookmarkStart w:id="25480" w:name="_Toc4316283"/>
      <w:bookmarkStart w:id="25481" w:name="_Toc4330727"/>
      <w:bookmarkStart w:id="25482" w:name="_Toc19392127"/>
      <w:bookmarkStart w:id="25483" w:name="_Toc19395624"/>
      <w:r>
        <w:rPr>
          <w:rFonts w:hint="cs"/>
          <w:rtl/>
        </w:rPr>
        <w:t>ביאור הגרש"ר בקושית ריו"ח מרישא דמתני' דמוכח דהדם אינו בכלל ההיתר</w:t>
      </w:r>
      <w:bookmarkEnd w:id="25480"/>
      <w:bookmarkEnd w:id="25481"/>
      <w:bookmarkEnd w:id="25482"/>
      <w:bookmarkEnd w:id="25483"/>
    </w:p>
    <w:p w14:paraId="4123A989" w14:textId="77777777" w:rsidR="003D504D" w:rsidRDefault="003D504D" w:rsidP="00223668">
      <w:pPr>
        <w:pStyle w:val="a0"/>
        <w:rPr>
          <w:rtl/>
        </w:rPr>
      </w:pPr>
      <w:r>
        <w:rPr>
          <w:rFonts w:hint="cs"/>
          <w:rtl/>
        </w:rPr>
        <w:t xml:space="preserve">ובמה שריו"ח הקשה על ר"ל מהרישא דמתני' דדמו אסור, ביאר </w:t>
      </w:r>
      <w:r w:rsidRPr="004E05A0">
        <w:rPr>
          <w:rStyle w:val="af9"/>
          <w:rFonts w:hint="cs"/>
          <w:rtl/>
        </w:rPr>
        <w:t>הגרש"ר</w:t>
      </w:r>
      <w:r>
        <w:rPr>
          <w:rFonts w:hint="cs"/>
          <w:rtl/>
        </w:rPr>
        <w:t xml:space="preserve"> דכוונת ריו"ח להקשות דאף במשנה מבואר שכבר חל איסור דם ואינו מותר מדין "כל בבהמה תאכלו".</w:t>
      </w:r>
    </w:p>
    <w:p w14:paraId="102BC51D" w14:textId="77777777" w:rsidR="003D504D" w:rsidRDefault="003D504D" w:rsidP="003D504D">
      <w:pPr>
        <w:pStyle w:val="a3"/>
        <w:rPr>
          <w:rtl/>
        </w:rPr>
      </w:pPr>
      <w:bookmarkStart w:id="25484" w:name="_Toc4316284"/>
      <w:bookmarkStart w:id="25485" w:name="_Toc4330728"/>
      <w:bookmarkStart w:id="25486" w:name="_Toc19392128"/>
      <w:bookmarkStart w:id="25487" w:name="_Toc19395625"/>
      <w:r>
        <w:rPr>
          <w:rFonts w:hint="cs"/>
          <w:rtl/>
        </w:rPr>
        <w:t>דברי הגרש"ר דלפי"ז א"א להוכיח מקושית ריו"ח דיש חיוב על דם של בן ח'</w:t>
      </w:r>
      <w:bookmarkEnd w:id="25484"/>
      <w:bookmarkEnd w:id="25485"/>
      <w:bookmarkEnd w:id="25486"/>
      <w:bookmarkEnd w:id="25487"/>
    </w:p>
    <w:p w14:paraId="7A35A2ED" w14:textId="77777777" w:rsidR="003D504D" w:rsidRDefault="003D504D" w:rsidP="00223668">
      <w:pPr>
        <w:pStyle w:val="a0"/>
        <w:rPr>
          <w:rtl/>
        </w:rPr>
      </w:pPr>
      <w:bookmarkStart w:id="25488" w:name="_Ref2527481"/>
      <w:r>
        <w:rPr>
          <w:rFonts w:hint="cs"/>
          <w:rtl/>
        </w:rPr>
        <w:t xml:space="preserve">וכתב </w:t>
      </w:r>
      <w:r w:rsidRPr="004E05A0">
        <w:rPr>
          <w:rStyle w:val="af9"/>
          <w:rFonts w:hint="cs"/>
          <w:rtl/>
        </w:rPr>
        <w:t>הגרש"ר</w:t>
      </w:r>
      <w:r>
        <w:rPr>
          <w:rFonts w:hint="cs"/>
          <w:rtl/>
        </w:rPr>
        <w:t xml:space="preserve"> דא"כ א"א להוכיח מזה דס"ל לריו"ח שיש כרת בדמו של בן ח', מדהקשה מרישא דמתני' דאיירי בבן ח', </w:t>
      </w:r>
      <w:r w:rsidRPr="00F77775">
        <w:rPr>
          <w:rStyle w:val="afb"/>
          <w:rFonts w:hint="cs"/>
          <w:rtl/>
        </w:rPr>
        <w:t xml:space="preserve">[כדהוכיח </w:t>
      </w:r>
      <w:r w:rsidRPr="00F77775">
        <w:rPr>
          <w:rStyle w:val="affa"/>
          <w:rFonts w:hint="cs"/>
          <w:rtl/>
        </w:rPr>
        <w:t>הגרש"ר</w:t>
      </w:r>
      <w:r w:rsidRPr="00F77775">
        <w:rPr>
          <w:rStyle w:val="afb"/>
          <w:rFonts w:hint="cs"/>
          <w:rtl/>
        </w:rPr>
        <w:t xml:space="preserve"> </w:t>
      </w:r>
      <w:r w:rsidRPr="00F77775">
        <w:rPr>
          <w:rStyle w:val="aff6"/>
          <w:rFonts w:hint="cs"/>
          <w:rtl/>
        </w:rPr>
        <w:t xml:space="preserve">(עי' אות </w:t>
      </w:r>
      <w:r w:rsidRPr="00F77775">
        <w:rPr>
          <w:rStyle w:val="aff6"/>
          <w:rtl/>
        </w:rPr>
        <w:fldChar w:fldCharType="begin"/>
      </w:r>
      <w:r w:rsidRPr="00F77775">
        <w:rPr>
          <w:rStyle w:val="aff6"/>
          <w:rtl/>
        </w:rPr>
        <w:instrText xml:space="preserve"> </w:instrText>
      </w:r>
      <w:r w:rsidRPr="00F77775">
        <w:rPr>
          <w:rStyle w:val="aff6"/>
          <w:rFonts w:hint="cs"/>
        </w:rPr>
        <w:instrText>REF</w:instrText>
      </w:r>
      <w:r w:rsidRPr="00F77775">
        <w:rPr>
          <w:rStyle w:val="aff6"/>
          <w:rFonts w:hint="cs"/>
          <w:rtl/>
        </w:rPr>
        <w:instrText xml:space="preserve"> _</w:instrText>
      </w:r>
      <w:r w:rsidRPr="00F77775">
        <w:rPr>
          <w:rStyle w:val="aff6"/>
          <w:rFonts w:hint="cs"/>
        </w:rPr>
        <w:instrText>Ref2543310 \r \h</w:instrText>
      </w:r>
      <w:r w:rsidRPr="00F77775">
        <w:rPr>
          <w:rStyle w:val="aff6"/>
          <w:rtl/>
        </w:rPr>
        <w:instrText xml:space="preserve"> </w:instrText>
      </w:r>
      <w:r w:rsidRPr="00F77775">
        <w:rPr>
          <w:rStyle w:val="aff6"/>
          <w:rtl/>
        </w:rPr>
      </w:r>
      <w:r w:rsidRPr="00F77775">
        <w:rPr>
          <w:rStyle w:val="aff6"/>
          <w:rtl/>
        </w:rPr>
        <w:fldChar w:fldCharType="separate"/>
      </w:r>
      <w:r w:rsidR="00345400">
        <w:rPr>
          <w:rStyle w:val="aff6"/>
          <w:cs/>
        </w:rPr>
        <w:t>‎</w:t>
      </w:r>
      <w:r w:rsidR="00345400">
        <w:rPr>
          <w:rStyle w:val="aff6"/>
          <w:rtl/>
        </w:rPr>
        <w:t>לב)</w:t>
      </w:r>
      <w:r w:rsidRPr="00F77775">
        <w:rPr>
          <w:rStyle w:val="aff6"/>
          <w:rtl/>
        </w:rPr>
        <w:fldChar w:fldCharType="end"/>
      </w:r>
      <w:r w:rsidRPr="00F77775">
        <w:rPr>
          <w:rStyle w:val="afb"/>
          <w:rFonts w:hint="cs"/>
          <w:rtl/>
        </w:rPr>
        <w:t xml:space="preserve">], </w:t>
      </w:r>
      <w:r>
        <w:rPr>
          <w:rFonts w:hint="cs"/>
          <w:rtl/>
        </w:rPr>
        <w:t>דאפש"ל דכ"מ שהביא ריו"ח ראיה ממתני' היינו שכל שחל איסור על הדם אינו בכלל היתר "כל בבהמה תאכלו", וא"כ בן ט' שדמו חשיב כדם הנפש יש בו חיוב כרת, אבל בבן ח' אפש"ל דאין דמו כדם הנפש, כיון שלא נקרא שור.</w:t>
      </w:r>
      <w:bookmarkEnd w:id="25488"/>
    </w:p>
    <w:p w14:paraId="76B8638B" w14:textId="77777777" w:rsidR="003D504D" w:rsidRPr="009D0929" w:rsidRDefault="003D504D" w:rsidP="00BF39B2">
      <w:pPr>
        <w:pStyle w:val="1"/>
      </w:pPr>
      <w:bookmarkStart w:id="25489" w:name="_Toc4316285"/>
      <w:bookmarkStart w:id="25490" w:name="_Toc4330729"/>
      <w:bookmarkStart w:id="25491" w:name="_Toc19392129"/>
      <w:bookmarkStart w:id="25492" w:name="_Toc19395626"/>
      <w:r>
        <w:rPr>
          <w:rFonts w:hint="cs"/>
          <w:rtl/>
        </w:rPr>
        <w:t>ביאור הגרש"ר דלר"ן למסקנא פליגי בפלוגתתם בדין חלב</w:t>
      </w:r>
      <w:bookmarkEnd w:id="25489"/>
      <w:bookmarkEnd w:id="25490"/>
      <w:bookmarkEnd w:id="25491"/>
      <w:bookmarkEnd w:id="25492"/>
    </w:p>
    <w:p w14:paraId="1ACFB8AB" w14:textId="77777777" w:rsidR="003D504D" w:rsidRDefault="003D504D" w:rsidP="003D504D">
      <w:pPr>
        <w:pStyle w:val="a3"/>
      </w:pPr>
      <w:bookmarkStart w:id="25493" w:name="_Toc4316286"/>
      <w:bookmarkStart w:id="25494" w:name="_Toc4330730"/>
      <w:bookmarkStart w:id="25495" w:name="_Toc19392130"/>
      <w:bookmarkStart w:id="25496" w:name="_Toc19395627"/>
      <w:r>
        <w:rPr>
          <w:rFonts w:hint="cs"/>
          <w:rtl/>
        </w:rPr>
        <w:t>ביאור הגרש"ר בר"ן דלריו"ח דבחלב חדשים גרמי והוי בהמה בפנ"ע אף בדם הוי דם הנפש</w:t>
      </w:r>
      <w:bookmarkEnd w:id="25493"/>
      <w:bookmarkEnd w:id="25494"/>
      <w:bookmarkEnd w:id="25495"/>
      <w:bookmarkEnd w:id="25496"/>
    </w:p>
    <w:p w14:paraId="2DEC44A0" w14:textId="77777777" w:rsidR="003D504D" w:rsidRDefault="003D504D" w:rsidP="00223668">
      <w:pPr>
        <w:pStyle w:val="a0"/>
        <w:rPr>
          <w:rtl/>
        </w:rPr>
      </w:pPr>
      <w:bookmarkStart w:id="25497" w:name="_Ref4324161"/>
      <w:r w:rsidRPr="0051620D">
        <w:rPr>
          <w:rtl/>
        </w:rPr>
        <w:t>ו</w:t>
      </w:r>
      <w:r>
        <w:rPr>
          <w:rFonts w:hint="cs"/>
          <w:rtl/>
        </w:rPr>
        <w:t xml:space="preserve">הביא </w:t>
      </w:r>
      <w:r w:rsidRPr="005B5D9E">
        <w:rPr>
          <w:rStyle w:val="af9"/>
          <w:rtl/>
        </w:rPr>
        <w:t>הגרש"ר</w:t>
      </w:r>
      <w:r w:rsidRPr="0051620D">
        <w:rPr>
          <w:rtl/>
        </w:rPr>
        <w:t xml:space="preserve"> </w:t>
      </w:r>
      <w:r w:rsidRPr="005B5D9E">
        <w:rPr>
          <w:rStyle w:val="af7"/>
          <w:rFonts w:eastAsia="Guttman Hodes"/>
          <w:rtl/>
        </w:rPr>
        <w:t>(זכרון שמואל סי' ע"ד אות ב' ד"ה</w:t>
      </w:r>
      <w:r w:rsidRPr="005B5D9E">
        <w:rPr>
          <w:rStyle w:val="af7"/>
          <w:rFonts w:eastAsia="Guttman Hodes" w:hint="cs"/>
          <w:rtl/>
        </w:rPr>
        <w:t xml:space="preserve"> ועפ"ז) </w:t>
      </w:r>
      <w:r>
        <w:rPr>
          <w:rFonts w:hint="cs"/>
          <w:rtl/>
        </w:rPr>
        <w:t xml:space="preserve">את </w:t>
      </w:r>
      <w:r w:rsidRPr="005B5D9E">
        <w:rPr>
          <w:rStyle w:val="af9"/>
          <w:rFonts w:hint="cs"/>
          <w:rtl/>
        </w:rPr>
        <w:t xml:space="preserve">דברי </w:t>
      </w:r>
      <w:r w:rsidRPr="00B2237D">
        <w:rPr>
          <w:rStyle w:val="af9"/>
          <w:rFonts w:hint="cs"/>
          <w:rtl/>
        </w:rPr>
        <w:t>הר"ן</w:t>
      </w:r>
      <w:r>
        <w:rPr>
          <w:rFonts w:hint="cs"/>
          <w:rtl/>
        </w:rPr>
        <w:t xml:space="preserve"> </w:t>
      </w:r>
      <w:r w:rsidRPr="00BF6CF2">
        <w:rPr>
          <w:rStyle w:val="af7"/>
          <w:rFonts w:eastAsia="Guttman Hodes" w:hint="cs"/>
          <w:rtl/>
        </w:rPr>
        <w:t xml:space="preserve">(עי' </w:t>
      </w:r>
      <w:r w:rsidRPr="00426009">
        <w:rPr>
          <w:rStyle w:val="af7"/>
          <w:rFonts w:eastAsia="Guttman Hodes" w:hint="cs"/>
          <w:rtl/>
        </w:rPr>
        <w:t xml:space="preserve">אות </w:t>
      </w:r>
      <w:r w:rsidRPr="00426009">
        <w:rPr>
          <w:rStyle w:val="af7"/>
          <w:rFonts w:eastAsia="Guttman Hodes"/>
          <w:rtl/>
        </w:rPr>
        <w:fldChar w:fldCharType="begin"/>
      </w:r>
      <w:r w:rsidRPr="00426009">
        <w:rPr>
          <w:rStyle w:val="af7"/>
          <w:rFonts w:eastAsia="Guttman Hodes"/>
          <w:rtl/>
        </w:rPr>
        <w:instrText xml:space="preserve"> </w:instrText>
      </w:r>
      <w:r w:rsidRPr="00426009">
        <w:rPr>
          <w:rStyle w:val="af7"/>
          <w:rFonts w:eastAsia="Guttman Hodes" w:hint="cs"/>
        </w:rPr>
        <w:instrText>REF</w:instrText>
      </w:r>
      <w:r w:rsidRPr="00426009">
        <w:rPr>
          <w:rStyle w:val="af7"/>
          <w:rFonts w:eastAsia="Guttman Hodes" w:hint="cs"/>
          <w:rtl/>
        </w:rPr>
        <w:instrText xml:space="preserve"> _</w:instrText>
      </w:r>
      <w:r w:rsidRPr="00426009">
        <w:rPr>
          <w:rStyle w:val="af7"/>
          <w:rFonts w:eastAsia="Guttman Hodes" w:hint="cs"/>
        </w:rPr>
        <w:instrText>Ref4304876 \r \h</w:instrText>
      </w:r>
      <w:r w:rsidRPr="00426009">
        <w:rPr>
          <w:rStyle w:val="af7"/>
          <w:rFonts w:eastAsia="Guttman Hodes"/>
          <w:rtl/>
        </w:rPr>
        <w:instrText xml:space="preserve"> </w:instrText>
      </w:r>
      <w:r w:rsidRPr="00426009">
        <w:rPr>
          <w:rStyle w:val="af7"/>
          <w:rFonts w:eastAsia="Guttman Hodes"/>
          <w:rtl/>
        </w:rPr>
      </w:r>
      <w:r w:rsidRPr="00426009">
        <w:rPr>
          <w:rStyle w:val="af7"/>
          <w:rFonts w:eastAsia="Guttman Hodes"/>
          <w:rtl/>
        </w:rPr>
        <w:fldChar w:fldCharType="separate"/>
      </w:r>
      <w:r w:rsidR="00345400">
        <w:rPr>
          <w:rStyle w:val="af7"/>
          <w:rFonts w:eastAsia="Guttman Hodes"/>
          <w:cs/>
        </w:rPr>
        <w:t>‎</w:t>
      </w:r>
      <w:r w:rsidR="00345400">
        <w:rPr>
          <w:rStyle w:val="af7"/>
          <w:rFonts w:eastAsia="Guttman Hodes"/>
          <w:rtl/>
        </w:rPr>
        <w:t>ט)</w:t>
      </w:r>
      <w:r w:rsidRPr="00426009">
        <w:rPr>
          <w:rStyle w:val="af7"/>
          <w:rFonts w:eastAsia="Guttman Hodes"/>
          <w:rtl/>
        </w:rPr>
        <w:fldChar w:fldCharType="end"/>
      </w:r>
      <w:r>
        <w:rPr>
          <w:rFonts w:hint="cs"/>
          <w:rtl/>
        </w:rPr>
        <w:t xml:space="preserve"> דביאר במסקנת הגמ' דלר"ל אין חיוב כרת בדם השליל כיון שאינו בהמה בפנ"ע ודמו אינו נחשב כדם הנפש, וכתב </w:t>
      </w:r>
      <w:r w:rsidRPr="005B5D9E">
        <w:rPr>
          <w:rStyle w:val="af9"/>
          <w:rFonts w:hint="cs"/>
          <w:rtl/>
        </w:rPr>
        <w:t>הגרש"ר</w:t>
      </w:r>
      <w:r>
        <w:rPr>
          <w:rFonts w:hint="cs"/>
          <w:rtl/>
        </w:rPr>
        <w:t xml:space="preserve"> דמדברי </w:t>
      </w:r>
      <w:r w:rsidRPr="005B5D9E">
        <w:rPr>
          <w:rStyle w:val="af9"/>
          <w:rFonts w:hint="cs"/>
          <w:rtl/>
        </w:rPr>
        <w:t>הר"ן</w:t>
      </w:r>
      <w:r>
        <w:rPr>
          <w:rFonts w:hint="cs"/>
          <w:rtl/>
        </w:rPr>
        <w:t xml:space="preserve"> מבואר דריו"ח ור"ל נחלקו בדם, לשיטתם דנחלקו בחלב, דלריו"ח דאמר דבהושיט ידו למעי בהמה ותלש חלב מבן ט' ואכלו, חייב מדין חלב דחדשים גרמי וחשיב כבהמה בפנ"ע, לכן ס"ל לריו"ח דיש בשליל דם הנפש, וממילא חייב לר"י כרת אף על דם האברים שלו, ועי' במ"ש </w:t>
      </w:r>
      <w:r w:rsidRPr="005516F3">
        <w:rPr>
          <w:rStyle w:val="af9"/>
          <w:rFonts w:hint="cs"/>
          <w:rtl/>
        </w:rPr>
        <w:t>הגרש"ר</w:t>
      </w:r>
      <w:r>
        <w:rPr>
          <w:rFonts w:hint="cs"/>
          <w:rtl/>
        </w:rPr>
        <w:t xml:space="preserve"> </w:t>
      </w:r>
      <w:r w:rsidRPr="005516F3">
        <w:rPr>
          <w:rStyle w:val="af7"/>
          <w:rFonts w:eastAsia="Guttman Hodes" w:hint="cs"/>
          <w:rtl/>
        </w:rPr>
        <w:t xml:space="preserve">(עי' אות </w:t>
      </w:r>
      <w:r w:rsidRPr="005516F3">
        <w:rPr>
          <w:rStyle w:val="af7"/>
          <w:rFonts w:eastAsia="Guttman Hodes"/>
          <w:rtl/>
        </w:rPr>
        <w:fldChar w:fldCharType="begin"/>
      </w:r>
      <w:r w:rsidRPr="005516F3">
        <w:rPr>
          <w:rStyle w:val="af7"/>
          <w:rFonts w:eastAsia="Guttman Hodes"/>
          <w:rtl/>
        </w:rPr>
        <w:instrText xml:space="preserve"> </w:instrText>
      </w:r>
      <w:r w:rsidRPr="005516F3">
        <w:rPr>
          <w:rStyle w:val="af7"/>
          <w:rFonts w:eastAsia="Guttman Hodes" w:hint="cs"/>
        </w:rPr>
        <w:instrText>REF</w:instrText>
      </w:r>
      <w:r w:rsidRPr="005516F3">
        <w:rPr>
          <w:rStyle w:val="af7"/>
          <w:rFonts w:eastAsia="Guttman Hodes" w:hint="cs"/>
          <w:rtl/>
        </w:rPr>
        <w:instrText xml:space="preserve"> _</w:instrText>
      </w:r>
      <w:r w:rsidRPr="005516F3">
        <w:rPr>
          <w:rStyle w:val="af7"/>
          <w:rFonts w:eastAsia="Guttman Hodes" w:hint="cs"/>
        </w:rPr>
        <w:instrText>Ref4324147 \r \h</w:instrText>
      </w:r>
      <w:r w:rsidRPr="005516F3">
        <w:rPr>
          <w:rStyle w:val="af7"/>
          <w:rFonts w:eastAsia="Guttman Hodes"/>
          <w:rtl/>
        </w:rPr>
        <w:instrText xml:space="preserve"> </w:instrText>
      </w:r>
      <w:r w:rsidRPr="005516F3">
        <w:rPr>
          <w:rStyle w:val="af7"/>
          <w:rFonts w:eastAsia="Guttman Hodes"/>
          <w:rtl/>
        </w:rPr>
      </w:r>
      <w:r w:rsidRPr="005516F3">
        <w:rPr>
          <w:rStyle w:val="af7"/>
          <w:rFonts w:eastAsia="Guttman Hodes"/>
          <w:rtl/>
        </w:rPr>
        <w:fldChar w:fldCharType="separate"/>
      </w:r>
      <w:r w:rsidR="00345400">
        <w:rPr>
          <w:rStyle w:val="af7"/>
          <w:rFonts w:eastAsia="Guttman Hodes"/>
          <w:cs/>
        </w:rPr>
        <w:t>‎</w:t>
      </w:r>
      <w:r w:rsidR="00345400">
        <w:rPr>
          <w:rStyle w:val="af7"/>
          <w:rFonts w:eastAsia="Guttman Hodes"/>
          <w:rtl/>
        </w:rPr>
        <w:t>צט)</w:t>
      </w:r>
      <w:r w:rsidRPr="005516F3">
        <w:rPr>
          <w:rStyle w:val="af7"/>
          <w:rFonts w:eastAsia="Guttman Hodes"/>
          <w:rtl/>
        </w:rPr>
        <w:fldChar w:fldCharType="end"/>
      </w:r>
      <w:r>
        <w:rPr>
          <w:rFonts w:hint="cs"/>
          <w:rtl/>
        </w:rPr>
        <w:t xml:space="preserve"> בדעת </w:t>
      </w:r>
      <w:r w:rsidRPr="005516F3">
        <w:rPr>
          <w:rStyle w:val="af9"/>
          <w:rFonts w:hint="cs"/>
          <w:rtl/>
        </w:rPr>
        <w:t>הרמב"ם</w:t>
      </w:r>
      <w:r>
        <w:rPr>
          <w:rFonts w:hint="cs"/>
          <w:rtl/>
        </w:rPr>
        <w:t>.</w:t>
      </w:r>
      <w:bookmarkEnd w:id="25497"/>
    </w:p>
    <w:p w14:paraId="5C11730F" w14:textId="77777777" w:rsidR="003D504D" w:rsidRDefault="003D504D" w:rsidP="003D504D">
      <w:pPr>
        <w:pStyle w:val="a3"/>
        <w:rPr>
          <w:rtl/>
        </w:rPr>
      </w:pPr>
      <w:bookmarkStart w:id="25498" w:name="_Toc4316287"/>
      <w:bookmarkStart w:id="25499" w:name="_Toc4330731"/>
      <w:bookmarkStart w:id="25500" w:name="_Toc19392131"/>
      <w:bookmarkStart w:id="25501" w:name="_Toc19395628"/>
      <w:r>
        <w:rPr>
          <w:rFonts w:hint="cs"/>
          <w:rtl/>
        </w:rPr>
        <w:t>ביאור הגרש"ר בר"ן דלר"ל דבחלב חדשים ואוירא דלידה גרמי אינו בהמה בפנ"ע ואין לו דם הנפש</w:t>
      </w:r>
      <w:bookmarkEnd w:id="25498"/>
      <w:bookmarkEnd w:id="25499"/>
      <w:bookmarkEnd w:id="25500"/>
      <w:bookmarkEnd w:id="25501"/>
    </w:p>
    <w:p w14:paraId="2477E47C" w14:textId="77777777" w:rsidR="003D504D" w:rsidRDefault="003D504D" w:rsidP="00223668">
      <w:pPr>
        <w:pStyle w:val="a0"/>
        <w:rPr>
          <w:rtl/>
        </w:rPr>
      </w:pPr>
      <w:r>
        <w:rPr>
          <w:rFonts w:hint="cs"/>
          <w:rtl/>
        </w:rPr>
        <w:t xml:space="preserve">וכתב </w:t>
      </w:r>
      <w:r w:rsidRPr="005516F3">
        <w:rPr>
          <w:rStyle w:val="af9"/>
          <w:rFonts w:hint="cs"/>
          <w:rtl/>
        </w:rPr>
        <w:t>הגרש"ר</w:t>
      </w:r>
      <w:r>
        <w:rPr>
          <w:rFonts w:hint="cs"/>
          <w:rtl/>
        </w:rPr>
        <w:t xml:space="preserve"> דלביאור </w:t>
      </w:r>
      <w:r w:rsidRPr="005B5D9E">
        <w:rPr>
          <w:rStyle w:val="af9"/>
          <w:rFonts w:hint="cs"/>
          <w:rtl/>
        </w:rPr>
        <w:t>הר"ן</w:t>
      </w:r>
      <w:r>
        <w:rPr>
          <w:rFonts w:hint="cs"/>
          <w:rtl/>
        </w:rPr>
        <w:t xml:space="preserve"> בדעת ר"ל דאין בשליל דם הנפש, וממילא אין חיוב כרת על דם האברים שלו, הייינו כיון דס"ל לר"ל דבהושיט ידו למעי בהמה ותלש חלב מבן ט' ואכלו, אינו חייב מדין חלב דחדשים ואוירא גרמי ולא חשיב כבהמה בפנ"ע, ולכן דם השליל אינו כדם הנפש, וממילא אין חיוב כרת על דם האברים שלו.</w:t>
      </w:r>
    </w:p>
    <w:p w14:paraId="26854150" w14:textId="77777777" w:rsidR="003D504D" w:rsidRDefault="003D504D" w:rsidP="00BF39B2">
      <w:pPr>
        <w:pStyle w:val="1"/>
        <w:rPr>
          <w:rtl/>
        </w:rPr>
      </w:pPr>
      <w:bookmarkStart w:id="25502" w:name="_Toc4316288"/>
      <w:bookmarkStart w:id="25503" w:name="_Toc4330732"/>
      <w:bookmarkStart w:id="25504" w:name="_Toc19392132"/>
      <w:bookmarkStart w:id="25505" w:name="_Toc19395629"/>
      <w:r>
        <w:rPr>
          <w:rFonts w:hint="cs"/>
          <w:rtl/>
        </w:rPr>
        <w:t>מסקנת הגרש"ר דלריו"ח בן ח' אין בו דם הנפש דחדשים גרמי</w:t>
      </w:r>
      <w:bookmarkEnd w:id="25502"/>
      <w:bookmarkEnd w:id="25503"/>
      <w:bookmarkEnd w:id="25504"/>
      <w:bookmarkEnd w:id="25505"/>
    </w:p>
    <w:p w14:paraId="612772DA" w14:textId="77777777" w:rsidR="003D504D" w:rsidRPr="00721584" w:rsidRDefault="003D504D" w:rsidP="003D504D">
      <w:pPr>
        <w:pStyle w:val="a3"/>
        <w:rPr>
          <w:rtl/>
        </w:rPr>
      </w:pPr>
      <w:bookmarkStart w:id="25506" w:name="_Toc4316289"/>
      <w:bookmarkStart w:id="25507" w:name="_Toc4330733"/>
      <w:bookmarkStart w:id="25508" w:name="_Toc19392133"/>
      <w:bookmarkStart w:id="25509" w:name="_Toc19395630"/>
      <w:r>
        <w:rPr>
          <w:rFonts w:hint="cs"/>
          <w:rtl/>
        </w:rPr>
        <w:t>דברי הגרש"ר דלריו"ח דחדשים גרמי בן ח' אינו בהמה בפנ"ע ואין לו דם הנפש ולא חייב כרת</w:t>
      </w:r>
      <w:bookmarkEnd w:id="25506"/>
      <w:bookmarkEnd w:id="25507"/>
      <w:bookmarkEnd w:id="25508"/>
      <w:bookmarkEnd w:id="25509"/>
    </w:p>
    <w:p w14:paraId="416DF867" w14:textId="77777777" w:rsidR="003D504D" w:rsidRPr="00721584" w:rsidRDefault="003D504D" w:rsidP="00223668">
      <w:pPr>
        <w:pStyle w:val="a0"/>
        <w:rPr>
          <w:rtl/>
        </w:rPr>
      </w:pPr>
      <w:r>
        <w:rPr>
          <w:rFonts w:hint="cs"/>
          <w:rtl/>
        </w:rPr>
        <w:t xml:space="preserve">וכתב </w:t>
      </w:r>
      <w:r w:rsidRPr="005B5D9E">
        <w:rPr>
          <w:rStyle w:val="af9"/>
          <w:rFonts w:hint="cs"/>
          <w:rtl/>
        </w:rPr>
        <w:t>הגרש"ר</w:t>
      </w:r>
      <w:r>
        <w:rPr>
          <w:rFonts w:hint="cs"/>
          <w:rtl/>
        </w:rPr>
        <w:t xml:space="preserve"> דלפי"ז אפש"ל דבבן ח' שאין לו חדשים ולא חשיב בהמה בפנ"ע, א"כ אף ריו"ח מודה שאין בו חיוב כרת כיון דלא כלו לו חדשיו, ואין לו דם הנפש".</w:t>
      </w:r>
    </w:p>
    <w:p w14:paraId="32DF4DC7" w14:textId="77777777" w:rsidR="003D504D" w:rsidRDefault="003D504D" w:rsidP="003D504D">
      <w:pPr>
        <w:pStyle w:val="a3"/>
        <w:rPr>
          <w:rtl/>
        </w:rPr>
      </w:pPr>
      <w:bookmarkStart w:id="25510" w:name="_Toc4316290"/>
      <w:bookmarkStart w:id="25511" w:name="_Toc4330734"/>
      <w:bookmarkStart w:id="25512" w:name="_Toc19392134"/>
      <w:bookmarkStart w:id="25513" w:name="_Toc19395631"/>
      <w:r>
        <w:rPr>
          <w:rFonts w:hint="cs"/>
          <w:rtl/>
        </w:rPr>
        <w:t>תירוץ הגרש"ר על קושית הרמב"ן מהתוספתא דלהר"ן אפש"ל דהתוספתא היא בבן ח'</w:t>
      </w:r>
      <w:bookmarkEnd w:id="25510"/>
      <w:bookmarkEnd w:id="25511"/>
      <w:bookmarkEnd w:id="25512"/>
      <w:bookmarkEnd w:id="25513"/>
    </w:p>
    <w:p w14:paraId="3BB79446" w14:textId="77777777" w:rsidR="003D504D" w:rsidRDefault="003D504D" w:rsidP="00223668">
      <w:pPr>
        <w:pStyle w:val="a0"/>
        <w:rPr>
          <w:rtl/>
        </w:rPr>
      </w:pPr>
      <w:r>
        <w:rPr>
          <w:rFonts w:hint="cs"/>
          <w:rtl/>
        </w:rPr>
        <w:t xml:space="preserve">וכתב </w:t>
      </w:r>
      <w:r w:rsidRPr="005B5D9E">
        <w:rPr>
          <w:rStyle w:val="af9"/>
          <w:rFonts w:hint="cs"/>
          <w:rtl/>
        </w:rPr>
        <w:t>הגרש"ר</w:t>
      </w:r>
      <w:r>
        <w:rPr>
          <w:rFonts w:hint="cs"/>
          <w:rtl/>
        </w:rPr>
        <w:t xml:space="preserve"> דלפי"ז מיושבת קושית </w:t>
      </w:r>
      <w:r w:rsidRPr="005B5D9E">
        <w:rPr>
          <w:rStyle w:val="af9"/>
          <w:rFonts w:hint="cs"/>
          <w:rtl/>
        </w:rPr>
        <w:t>הרמב"ן</w:t>
      </w:r>
      <w:r w:rsidRPr="005B5D9E">
        <w:rPr>
          <w:rStyle w:val="af7"/>
          <w:rFonts w:eastAsia="Guttman Hodes" w:hint="cs"/>
          <w:rtl/>
        </w:rPr>
        <w:t xml:space="preserve"> (עי'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Ref4316466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Pr>
          <w:rStyle w:val="af7"/>
          <w:rFonts w:eastAsia="Guttman Hodes"/>
          <w:rtl/>
        </w:rPr>
        <w:fldChar w:fldCharType="end"/>
      </w:r>
      <w:r w:rsidRPr="005B5D9E">
        <w:rPr>
          <w:rStyle w:val="af7"/>
          <w:rFonts w:eastAsia="Guttman Hodes" w:hint="cs"/>
          <w:rtl/>
        </w:rPr>
        <w:t xml:space="preserve"> </w:t>
      </w:r>
      <w:r>
        <w:rPr>
          <w:rFonts w:hint="cs"/>
          <w:rtl/>
        </w:rPr>
        <w:t xml:space="preserve">שהקשה מהא דאיתא בתוספתא דדמו כדם האברים ואין בו חיוב כרת, ומבואר דס"ל לרבנן דאין חיוב כרת בדם השליל, ולביאור </w:t>
      </w:r>
      <w:r w:rsidRPr="005B5D9E">
        <w:rPr>
          <w:rStyle w:val="af9"/>
          <w:rFonts w:hint="cs"/>
          <w:rtl/>
        </w:rPr>
        <w:t>הגרש"ר</w:t>
      </w:r>
      <w:r>
        <w:rPr>
          <w:rFonts w:hint="cs"/>
          <w:rtl/>
        </w:rPr>
        <w:t xml:space="preserve"> בדברי </w:t>
      </w:r>
      <w:r w:rsidRPr="005B5D9E">
        <w:rPr>
          <w:rStyle w:val="af9"/>
          <w:rFonts w:hint="cs"/>
          <w:rtl/>
        </w:rPr>
        <w:t>הר"ן</w:t>
      </w:r>
      <w:r>
        <w:rPr>
          <w:rFonts w:hint="cs"/>
          <w:rtl/>
        </w:rPr>
        <w:t xml:space="preserve"> אפש"ל דהתוספתא איירי בבן ח' דמודה ריו"ח שאין בו חיוב כרת כיון דלא כלו לו חדשיו.</w:t>
      </w:r>
    </w:p>
    <w:p w14:paraId="0CC01820" w14:textId="77777777" w:rsidR="003D504D" w:rsidRDefault="003D504D" w:rsidP="003D504D">
      <w:pPr>
        <w:pStyle w:val="afe"/>
        <w:rPr>
          <w:rtl/>
        </w:rPr>
      </w:pPr>
      <w:bookmarkStart w:id="25514" w:name="_Toc19436432"/>
      <w:bookmarkStart w:id="25515" w:name="_Toc20081549"/>
      <w:bookmarkStart w:id="25516" w:name="_Toc4316291"/>
      <w:bookmarkStart w:id="25517" w:name="_Toc4330735"/>
      <w:bookmarkStart w:id="25518" w:name="_Toc2723916"/>
      <w:bookmarkStart w:id="25519" w:name="_Toc4305436"/>
      <w:r>
        <w:rPr>
          <w:rFonts w:hint="cs"/>
          <w:rtl/>
        </w:rPr>
        <w:t>בדעת הרא"ש דדמו נבלע בכל הגוף</w:t>
      </w:r>
      <w:bookmarkEnd w:id="25514"/>
      <w:bookmarkEnd w:id="25515"/>
    </w:p>
    <w:p w14:paraId="406A3D2C" w14:textId="77777777" w:rsidR="003D504D" w:rsidRPr="00C2501E" w:rsidRDefault="003D504D" w:rsidP="00BF39B2">
      <w:pPr>
        <w:pStyle w:val="1"/>
        <w:rPr>
          <w:rtl/>
        </w:rPr>
      </w:pPr>
      <w:bookmarkStart w:id="25520" w:name="_Toc19392135"/>
      <w:bookmarkStart w:id="25521" w:name="_Toc19395632"/>
      <w:r>
        <w:rPr>
          <w:rFonts w:hint="cs"/>
          <w:rtl/>
        </w:rPr>
        <w:t>קושית הגרש"ר על ביאור הרא"ש</w:t>
      </w:r>
      <w:bookmarkEnd w:id="25516"/>
      <w:bookmarkEnd w:id="25517"/>
      <w:bookmarkEnd w:id="25520"/>
      <w:bookmarkEnd w:id="25521"/>
      <w:r>
        <w:rPr>
          <w:rFonts w:hint="cs"/>
          <w:rtl/>
        </w:rPr>
        <w:t xml:space="preserve"> </w:t>
      </w:r>
      <w:bookmarkEnd w:id="25518"/>
      <w:bookmarkEnd w:id="25519"/>
    </w:p>
    <w:p w14:paraId="46B987A4" w14:textId="77777777" w:rsidR="003D504D" w:rsidRDefault="003D504D" w:rsidP="003D504D">
      <w:pPr>
        <w:pStyle w:val="a3"/>
      </w:pPr>
      <w:bookmarkStart w:id="25522" w:name="_Toc4316292"/>
      <w:bookmarkStart w:id="25523" w:name="_Toc4330736"/>
      <w:bookmarkStart w:id="25524" w:name="_Toc19392136"/>
      <w:bookmarkStart w:id="25525" w:name="_Toc19395633"/>
      <w:r>
        <w:rPr>
          <w:rFonts w:hint="cs"/>
          <w:rtl/>
        </w:rPr>
        <w:t>ביאור הגרש"ר ברא"ש דלר"ל להו"א הדם בכלל ההיתר או דלא נאסר ולמסקנא חייב מדין אמו</w:t>
      </w:r>
      <w:bookmarkEnd w:id="25522"/>
      <w:bookmarkEnd w:id="25523"/>
      <w:bookmarkEnd w:id="25524"/>
      <w:bookmarkEnd w:id="25525"/>
      <w:r>
        <w:rPr>
          <w:rFonts w:hint="cs"/>
          <w:rtl/>
        </w:rPr>
        <w:t xml:space="preserve"> </w:t>
      </w:r>
    </w:p>
    <w:p w14:paraId="5695836E" w14:textId="77777777" w:rsidR="003D504D" w:rsidRDefault="003D504D" w:rsidP="00223668">
      <w:pPr>
        <w:pStyle w:val="a0"/>
        <w:rPr>
          <w:rtl/>
        </w:rPr>
      </w:pPr>
      <w:bookmarkStart w:id="25526" w:name="_Ref4308802"/>
      <w:r>
        <w:rPr>
          <w:rFonts w:hint="cs"/>
          <w:rtl/>
        </w:rPr>
        <w:t xml:space="preserve">והביא </w:t>
      </w:r>
      <w:r w:rsidRPr="004374CA">
        <w:rPr>
          <w:rStyle w:val="af9"/>
          <w:rtl/>
        </w:rPr>
        <w:t xml:space="preserve">הגרש"ר </w:t>
      </w:r>
      <w:r w:rsidRPr="00FF3DD3">
        <w:rPr>
          <w:rStyle w:val="af7"/>
          <w:rFonts w:eastAsia="Guttman Hodes"/>
          <w:rtl/>
        </w:rPr>
        <w:t xml:space="preserve">(זכרון שמואל סי' ע"ד אות </w:t>
      </w:r>
      <w:r w:rsidRPr="00FF3DD3">
        <w:rPr>
          <w:rStyle w:val="af7"/>
          <w:rFonts w:eastAsia="Guttman Hodes" w:hint="cs"/>
          <w:rtl/>
        </w:rPr>
        <w:t>ג</w:t>
      </w:r>
      <w:r w:rsidRPr="00FF3DD3">
        <w:rPr>
          <w:rStyle w:val="af7"/>
          <w:rFonts w:eastAsia="Guttman Hodes"/>
          <w:rtl/>
        </w:rPr>
        <w:t xml:space="preserve">' </w:t>
      </w:r>
      <w:r w:rsidRPr="00FF3DD3">
        <w:rPr>
          <w:rStyle w:val="af7"/>
          <w:rFonts w:eastAsia="Guttman Hodes" w:hint="cs"/>
          <w:rtl/>
        </w:rPr>
        <w:t>סו</w:t>
      </w:r>
      <w:r w:rsidRPr="00FF3DD3">
        <w:rPr>
          <w:rStyle w:val="af7"/>
          <w:rFonts w:eastAsia="Guttman Hodes"/>
          <w:rtl/>
        </w:rPr>
        <w:t>ד"ה</w:t>
      </w:r>
      <w:r w:rsidRPr="00FF3DD3">
        <w:rPr>
          <w:rStyle w:val="af7"/>
          <w:rFonts w:eastAsia="Guttman Hodes" w:hint="cs"/>
          <w:rtl/>
        </w:rPr>
        <w:t xml:space="preserve"> ובהא)</w:t>
      </w:r>
      <w:r>
        <w:rPr>
          <w:rFonts w:hint="cs"/>
          <w:rtl/>
        </w:rPr>
        <w:t xml:space="preserve"> את דברי </w:t>
      </w:r>
      <w:r w:rsidRPr="008A4980">
        <w:rPr>
          <w:rStyle w:val="af9"/>
          <w:rFonts w:hint="cs"/>
          <w:rtl/>
        </w:rPr>
        <w:t>הרא"ש</w:t>
      </w:r>
      <w:r>
        <w:rPr>
          <w:rFonts w:hint="cs"/>
          <w:rtl/>
        </w:rPr>
        <w:t xml:space="preserve"> </w:t>
      </w:r>
      <w:r w:rsidRPr="00FF3DD3">
        <w:rPr>
          <w:rStyle w:val="af7"/>
          <w:rFonts w:eastAsia="Guttman Hodes" w:hint="cs"/>
          <w:rtl/>
        </w:rPr>
        <w:t xml:space="preserve">(עי' אות </w:t>
      </w:r>
      <w:r w:rsidRPr="00FF3DD3">
        <w:rPr>
          <w:rStyle w:val="af7"/>
          <w:rFonts w:eastAsia="Guttman Hodes"/>
          <w:rtl/>
        </w:rPr>
        <w:fldChar w:fldCharType="begin"/>
      </w:r>
      <w:r w:rsidRPr="00FF3DD3">
        <w:rPr>
          <w:rStyle w:val="af7"/>
          <w:rFonts w:eastAsia="Guttman Hodes"/>
          <w:rtl/>
        </w:rPr>
        <w:instrText xml:space="preserve"> </w:instrText>
      </w:r>
      <w:r w:rsidRPr="00FF3DD3">
        <w:rPr>
          <w:rStyle w:val="af7"/>
          <w:rFonts w:eastAsia="Guttman Hodes" w:hint="cs"/>
        </w:rPr>
        <w:instrText>REF</w:instrText>
      </w:r>
      <w:r w:rsidRPr="00FF3DD3">
        <w:rPr>
          <w:rStyle w:val="af7"/>
          <w:rFonts w:eastAsia="Guttman Hodes" w:hint="cs"/>
          <w:rtl/>
        </w:rPr>
        <w:instrText xml:space="preserve"> _</w:instrText>
      </w:r>
      <w:r w:rsidRPr="00FF3DD3">
        <w:rPr>
          <w:rStyle w:val="af7"/>
          <w:rFonts w:eastAsia="Guttman Hodes" w:hint="cs"/>
        </w:rPr>
        <w:instrText>Ref4271331 \r \h</w:instrText>
      </w:r>
      <w:r w:rsidRPr="00FF3DD3">
        <w:rPr>
          <w:rStyle w:val="af7"/>
          <w:rFonts w:eastAsia="Guttman Hodes"/>
          <w:rtl/>
        </w:rPr>
        <w:instrText xml:space="preserve"> </w:instrText>
      </w:r>
      <w:r w:rsidRPr="00FF3DD3">
        <w:rPr>
          <w:rStyle w:val="af7"/>
          <w:rFonts w:eastAsia="Guttman Hodes"/>
          <w:rtl/>
        </w:rPr>
      </w:r>
      <w:r w:rsidRPr="00FF3DD3">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FF3DD3">
        <w:rPr>
          <w:rStyle w:val="af7"/>
          <w:rFonts w:eastAsia="Guttman Hodes"/>
          <w:rtl/>
        </w:rPr>
        <w:fldChar w:fldCharType="end"/>
      </w:r>
      <w:r>
        <w:rPr>
          <w:rFonts w:hint="cs"/>
          <w:rtl/>
        </w:rPr>
        <w:t xml:space="preserve"> דכתב דאין בדמו את היתר "כל בבהמה תאכלו", כיון דדמו נבלע בכל הגוף וחשיב כדם האברים שפירש, וכתב </w:t>
      </w:r>
      <w:r w:rsidRPr="008A4980">
        <w:rPr>
          <w:rStyle w:val="af9"/>
          <w:rFonts w:hint="cs"/>
          <w:rtl/>
        </w:rPr>
        <w:t>הגרש"ר</w:t>
      </w:r>
      <w:r>
        <w:rPr>
          <w:rFonts w:hint="cs"/>
          <w:rtl/>
        </w:rPr>
        <w:t xml:space="preserve"> דמבואר </w:t>
      </w:r>
      <w:r w:rsidRPr="008A4980">
        <w:rPr>
          <w:rStyle w:val="af9"/>
          <w:rFonts w:hint="cs"/>
          <w:rtl/>
        </w:rPr>
        <w:t>ברא"ש</w:t>
      </w:r>
      <w:r>
        <w:rPr>
          <w:rFonts w:hint="cs"/>
          <w:rtl/>
        </w:rPr>
        <w:t xml:space="preserve"> דחייב מחמת הדם של אמו</w:t>
      </w:r>
      <w:bookmarkEnd w:id="25526"/>
      <w:r>
        <w:rPr>
          <w:rFonts w:hint="cs"/>
          <w:rtl/>
        </w:rPr>
        <w:t xml:space="preserve">, וכתב </w:t>
      </w:r>
      <w:r w:rsidRPr="004374CA">
        <w:rPr>
          <w:rStyle w:val="af9"/>
          <w:rFonts w:hint="cs"/>
          <w:rtl/>
        </w:rPr>
        <w:t xml:space="preserve">הגרש"ר </w:t>
      </w:r>
      <w:r w:rsidRPr="00FF3DD3">
        <w:rPr>
          <w:rStyle w:val="af7"/>
          <w:rFonts w:eastAsia="Guttman Hodes"/>
          <w:rtl/>
        </w:rPr>
        <w:t xml:space="preserve">(זכרון שמואל סי' ע"ד אות </w:t>
      </w:r>
      <w:r w:rsidRPr="00FF3DD3">
        <w:rPr>
          <w:rStyle w:val="af7"/>
          <w:rFonts w:eastAsia="Guttman Hodes" w:hint="cs"/>
          <w:rtl/>
        </w:rPr>
        <w:t>ג</w:t>
      </w:r>
      <w:r w:rsidRPr="00FF3DD3">
        <w:rPr>
          <w:rStyle w:val="af7"/>
          <w:rFonts w:eastAsia="Guttman Hodes"/>
          <w:rtl/>
        </w:rPr>
        <w:t xml:space="preserve">' </w:t>
      </w:r>
      <w:r w:rsidRPr="00FF3DD3">
        <w:rPr>
          <w:rStyle w:val="af7"/>
          <w:rFonts w:eastAsia="Guttman Hodes" w:hint="cs"/>
          <w:rtl/>
        </w:rPr>
        <w:t xml:space="preserve">תחילת </w:t>
      </w:r>
      <w:r w:rsidRPr="00FF3DD3">
        <w:rPr>
          <w:rStyle w:val="af7"/>
          <w:rFonts w:eastAsia="Guttman Hodes"/>
          <w:rtl/>
        </w:rPr>
        <w:t>ד"ה</w:t>
      </w:r>
      <w:r w:rsidRPr="00FF3DD3">
        <w:rPr>
          <w:rStyle w:val="af7"/>
          <w:rFonts w:eastAsia="Guttman Hodes" w:hint="cs"/>
          <w:rtl/>
        </w:rPr>
        <w:t xml:space="preserve"> ובהא)</w:t>
      </w:r>
      <w:r>
        <w:rPr>
          <w:rFonts w:hint="cs"/>
          <w:rtl/>
        </w:rPr>
        <w:t xml:space="preserve"> דא"כ ס"ל לר"ל דאף שיש לו דם הנפש, מ"מ אין איסורו מצד עצמו, דהעובר עצמו בכלל היתר "כל בבהמה תאכלו", או שלא שלא חל עליו איסור דם מצד עצמו, </w:t>
      </w:r>
      <w:r w:rsidRPr="004374CA">
        <w:rPr>
          <w:rStyle w:val="afb"/>
          <w:rFonts w:hint="cs"/>
          <w:rtl/>
        </w:rPr>
        <w:t>[דלא חשיב בהמה בפנ"ע],</w:t>
      </w:r>
      <w:r>
        <w:rPr>
          <w:rFonts w:hint="cs"/>
          <w:rtl/>
        </w:rPr>
        <w:t xml:space="preserve"> והא הא דמודה ר"ל למסקנא דאסור בלאו, היינו מחמת דהוא דם האברים של אמו, ועי' במסקנת דברי </w:t>
      </w:r>
      <w:r w:rsidRPr="004D2E22">
        <w:rPr>
          <w:rStyle w:val="af9"/>
          <w:rFonts w:hint="cs"/>
          <w:rtl/>
        </w:rPr>
        <w:t>הגרש"ר</w:t>
      </w:r>
      <w:r>
        <w:rPr>
          <w:rFonts w:hint="cs"/>
          <w:rtl/>
        </w:rPr>
        <w:t xml:space="preserve"> </w:t>
      </w:r>
      <w:r w:rsidRPr="004D2E22">
        <w:rPr>
          <w:rStyle w:val="af7"/>
          <w:rFonts w:eastAsia="Guttman Hodes" w:hint="cs"/>
          <w:rtl/>
        </w:rPr>
        <w:t xml:space="preserve">(עי' אות </w:t>
      </w:r>
      <w:r w:rsidRPr="004D2E22">
        <w:rPr>
          <w:rStyle w:val="af7"/>
          <w:rFonts w:eastAsia="Guttman Hodes"/>
          <w:rtl/>
        </w:rPr>
        <w:fldChar w:fldCharType="begin"/>
      </w:r>
      <w:r w:rsidRPr="004D2E22">
        <w:rPr>
          <w:rStyle w:val="af7"/>
          <w:rFonts w:eastAsia="Guttman Hodes"/>
          <w:rtl/>
        </w:rPr>
        <w:instrText xml:space="preserve"> </w:instrText>
      </w:r>
      <w:r w:rsidRPr="004D2E22">
        <w:rPr>
          <w:rStyle w:val="af7"/>
          <w:rFonts w:eastAsia="Guttman Hodes" w:hint="cs"/>
        </w:rPr>
        <w:instrText>REF</w:instrText>
      </w:r>
      <w:r w:rsidRPr="004D2E22">
        <w:rPr>
          <w:rStyle w:val="af7"/>
          <w:rFonts w:eastAsia="Guttman Hodes" w:hint="cs"/>
          <w:rtl/>
        </w:rPr>
        <w:instrText xml:space="preserve"> _</w:instrText>
      </w:r>
      <w:r w:rsidRPr="004D2E22">
        <w:rPr>
          <w:rStyle w:val="af7"/>
          <w:rFonts w:eastAsia="Guttman Hodes" w:hint="cs"/>
        </w:rPr>
        <w:instrText>Ref4309662 \r \h</w:instrText>
      </w:r>
      <w:r w:rsidRPr="004D2E22">
        <w:rPr>
          <w:rStyle w:val="af7"/>
          <w:rFonts w:eastAsia="Guttman Hodes"/>
          <w:rtl/>
        </w:rPr>
        <w:instrText xml:space="preserve"> </w:instrText>
      </w:r>
      <w:r w:rsidRPr="004D2E22">
        <w:rPr>
          <w:rStyle w:val="af7"/>
          <w:rFonts w:eastAsia="Guttman Hodes"/>
          <w:rtl/>
        </w:rPr>
      </w:r>
      <w:r w:rsidRPr="004D2E22">
        <w:rPr>
          <w:rStyle w:val="af7"/>
          <w:rFonts w:eastAsia="Guttman Hodes"/>
          <w:rtl/>
        </w:rPr>
        <w:fldChar w:fldCharType="separate"/>
      </w:r>
      <w:r w:rsidR="00345400">
        <w:rPr>
          <w:rStyle w:val="af7"/>
          <w:rFonts w:eastAsia="Guttman Hodes"/>
          <w:cs/>
        </w:rPr>
        <w:t>‎</w:t>
      </w:r>
      <w:r w:rsidR="00345400">
        <w:rPr>
          <w:rStyle w:val="af7"/>
          <w:rFonts w:eastAsia="Guttman Hodes"/>
          <w:rtl/>
        </w:rPr>
        <w:t>מח)</w:t>
      </w:r>
      <w:r w:rsidRPr="004D2E22">
        <w:rPr>
          <w:rStyle w:val="af7"/>
          <w:rFonts w:eastAsia="Guttman Hodes"/>
          <w:rtl/>
        </w:rPr>
        <w:fldChar w:fldCharType="end"/>
      </w:r>
      <w:r>
        <w:rPr>
          <w:rFonts w:hint="cs"/>
          <w:rtl/>
        </w:rPr>
        <w:t xml:space="preserve"> בביאור דעת </w:t>
      </w:r>
      <w:r w:rsidRPr="004D2E22">
        <w:rPr>
          <w:rStyle w:val="af9"/>
          <w:rFonts w:hint="cs"/>
          <w:rtl/>
        </w:rPr>
        <w:t>הרא"ש</w:t>
      </w:r>
      <w:r>
        <w:rPr>
          <w:rFonts w:hint="cs"/>
          <w:rtl/>
        </w:rPr>
        <w:t>.</w:t>
      </w:r>
      <w:r w:rsidRPr="00DB09A3">
        <w:rPr>
          <w:rStyle w:val="afb"/>
          <w:rFonts w:hint="cs"/>
          <w:rtl/>
        </w:rPr>
        <w:t xml:space="preserve"> [בעיקר </w:t>
      </w:r>
      <w:r>
        <w:rPr>
          <w:rStyle w:val="afb"/>
          <w:rFonts w:hint="cs"/>
          <w:rtl/>
        </w:rPr>
        <w:t xml:space="preserve">ביאור </w:t>
      </w:r>
      <w:r w:rsidRPr="00DB09A3">
        <w:rPr>
          <w:rStyle w:val="affa"/>
          <w:rFonts w:hint="cs"/>
          <w:rtl/>
        </w:rPr>
        <w:t xml:space="preserve">הגרש"ר </w:t>
      </w:r>
      <w:r>
        <w:rPr>
          <w:rStyle w:val="afb"/>
          <w:rFonts w:hint="cs"/>
          <w:rtl/>
        </w:rPr>
        <w:t>דחייב מדין אמו</w:t>
      </w:r>
      <w:r w:rsidRPr="00DB09A3">
        <w:rPr>
          <w:rStyle w:val="afb"/>
          <w:rFonts w:hint="cs"/>
          <w:rtl/>
        </w:rPr>
        <w:t xml:space="preserve"> יעוי' במ"ש </w:t>
      </w:r>
      <w:r w:rsidRPr="00DB09A3">
        <w:rPr>
          <w:rStyle w:val="affa"/>
          <w:rFonts w:hint="cs"/>
          <w:rtl/>
        </w:rPr>
        <w:t>האחרונים</w:t>
      </w:r>
      <w:r w:rsidRPr="00DB09A3">
        <w:rPr>
          <w:rStyle w:val="aff6"/>
          <w:rFonts w:hint="cs"/>
          <w:rtl/>
        </w:rPr>
        <w:t xml:space="preserve"> (הובאו לעיל סימן ו' אות נו) </w:t>
      </w:r>
      <w:r w:rsidRPr="00DB09A3">
        <w:rPr>
          <w:rStyle w:val="afb"/>
          <w:rFonts w:hint="cs"/>
          <w:rtl/>
        </w:rPr>
        <w:t xml:space="preserve">בביאור דברי </w:t>
      </w:r>
      <w:r w:rsidRPr="00DB09A3">
        <w:rPr>
          <w:rStyle w:val="affa"/>
          <w:rFonts w:hint="cs"/>
          <w:rtl/>
        </w:rPr>
        <w:t>הרא"ש</w:t>
      </w:r>
      <w:r w:rsidRPr="00DB09A3">
        <w:rPr>
          <w:rStyle w:val="afb"/>
          <w:rFonts w:hint="cs"/>
          <w:rtl/>
        </w:rPr>
        <w:t>]</w:t>
      </w:r>
      <w:r>
        <w:rPr>
          <w:rStyle w:val="afb"/>
          <w:rFonts w:hint="cs"/>
          <w:rtl/>
        </w:rPr>
        <w:t>.</w:t>
      </w:r>
    </w:p>
    <w:p w14:paraId="40DFFF88" w14:textId="77777777" w:rsidR="003D504D" w:rsidRPr="008A4980" w:rsidRDefault="003D504D" w:rsidP="003D504D">
      <w:pPr>
        <w:pStyle w:val="a3"/>
      </w:pPr>
      <w:bookmarkStart w:id="25527" w:name="_Toc4316293"/>
      <w:bookmarkStart w:id="25528" w:name="_Toc4330737"/>
      <w:bookmarkStart w:id="25529" w:name="_Toc19392137"/>
      <w:bookmarkStart w:id="25530" w:name="_Toc19395634"/>
      <w:r>
        <w:rPr>
          <w:rFonts w:hint="cs"/>
          <w:rtl/>
        </w:rPr>
        <w:t>קושית הגרש"ר דאי דמו הוא כדם אמו אמאי פטר ר"ל מכרת הא לאמו יש דם הנפש</w:t>
      </w:r>
      <w:bookmarkEnd w:id="25527"/>
      <w:bookmarkEnd w:id="25528"/>
      <w:bookmarkEnd w:id="25529"/>
      <w:bookmarkEnd w:id="25530"/>
    </w:p>
    <w:p w14:paraId="6C5AE5D0" w14:textId="77777777" w:rsidR="003D504D" w:rsidRDefault="003D504D" w:rsidP="00223668">
      <w:pPr>
        <w:pStyle w:val="a0"/>
      </w:pPr>
      <w:r>
        <w:rPr>
          <w:rFonts w:hint="cs"/>
          <w:rtl/>
        </w:rPr>
        <w:t xml:space="preserve">והקשה </w:t>
      </w:r>
      <w:r w:rsidRPr="004374CA">
        <w:rPr>
          <w:rStyle w:val="af9"/>
          <w:rFonts w:hint="cs"/>
          <w:rtl/>
        </w:rPr>
        <w:t xml:space="preserve">הגרש"ר </w:t>
      </w:r>
      <w:r>
        <w:rPr>
          <w:rFonts w:hint="cs"/>
          <w:rtl/>
        </w:rPr>
        <w:t>דא"כ היאך אמרינן דלר"ל אין חיוב כרת כיון שאין בו דם הנפש, הא לאמו יש דם הנפש וכיון דאיסורו מחמת אמו, הוא צריך להתחייב בכרת בדם האברים שלו לדעת ר"י דהוא חשיב כדם האברים של אמו, שיש לה דם הנפש.</w:t>
      </w:r>
    </w:p>
    <w:p w14:paraId="762F3B7E" w14:textId="77777777" w:rsidR="003D504D" w:rsidRPr="00FC6615" w:rsidRDefault="003D504D" w:rsidP="003D504D">
      <w:pPr>
        <w:pStyle w:val="a3"/>
      </w:pPr>
      <w:bookmarkStart w:id="25531" w:name="_Toc4316294"/>
      <w:bookmarkStart w:id="25532" w:name="_Toc4330738"/>
      <w:bookmarkStart w:id="25533" w:name="_Toc19392138"/>
      <w:bookmarkStart w:id="25534" w:name="_Toc19395635"/>
      <w:r>
        <w:rPr>
          <w:rFonts w:hint="cs"/>
          <w:rtl/>
        </w:rPr>
        <w:t>קושית הגרש"ר דדוחק לומר דאחר שנפרד מאמו חיובו הוא מדין דם אמו</w:t>
      </w:r>
      <w:bookmarkEnd w:id="25531"/>
      <w:bookmarkEnd w:id="25532"/>
      <w:bookmarkEnd w:id="25533"/>
      <w:bookmarkEnd w:id="25534"/>
    </w:p>
    <w:p w14:paraId="0D0A5660" w14:textId="77777777" w:rsidR="003D504D" w:rsidRDefault="003D504D" w:rsidP="00223668">
      <w:pPr>
        <w:pStyle w:val="a0"/>
      </w:pPr>
      <w:r>
        <w:rPr>
          <w:rFonts w:hint="cs"/>
          <w:rtl/>
        </w:rPr>
        <w:t xml:space="preserve">ועוד הקשה </w:t>
      </w:r>
      <w:r w:rsidRPr="004374CA">
        <w:rPr>
          <w:rStyle w:val="af9"/>
          <w:rtl/>
        </w:rPr>
        <w:t xml:space="preserve">הגרש"ר </w:t>
      </w:r>
      <w:r w:rsidRPr="001A4D15">
        <w:rPr>
          <w:rStyle w:val="af7"/>
          <w:rFonts w:eastAsia="Guttman Hodes"/>
          <w:rtl/>
        </w:rPr>
        <w:t xml:space="preserve">(זכרון שמואל סי' ע"ד אות </w:t>
      </w:r>
      <w:r w:rsidRPr="001A4D15">
        <w:rPr>
          <w:rStyle w:val="af7"/>
          <w:rFonts w:eastAsia="Guttman Hodes" w:hint="cs"/>
          <w:rtl/>
        </w:rPr>
        <w:t>ג</w:t>
      </w:r>
      <w:r w:rsidRPr="001A4D15">
        <w:rPr>
          <w:rStyle w:val="af7"/>
          <w:rFonts w:eastAsia="Guttman Hodes"/>
          <w:rtl/>
        </w:rPr>
        <w:t xml:space="preserve">' </w:t>
      </w:r>
      <w:r>
        <w:rPr>
          <w:rStyle w:val="af7"/>
          <w:rFonts w:eastAsia="Guttman Hodes" w:hint="cs"/>
          <w:rtl/>
        </w:rPr>
        <w:t>סו</w:t>
      </w:r>
      <w:r w:rsidRPr="001A4D15">
        <w:rPr>
          <w:rStyle w:val="af7"/>
          <w:rFonts w:eastAsia="Guttman Hodes"/>
          <w:rtl/>
        </w:rPr>
        <w:t>ד"ה</w:t>
      </w:r>
      <w:r w:rsidRPr="001A4D15">
        <w:rPr>
          <w:rStyle w:val="af7"/>
          <w:rFonts w:eastAsia="Guttman Hodes" w:hint="cs"/>
          <w:rtl/>
        </w:rPr>
        <w:t xml:space="preserve"> ובהא)</w:t>
      </w:r>
      <w:r>
        <w:rPr>
          <w:rFonts w:hint="cs"/>
          <w:rtl/>
        </w:rPr>
        <w:t xml:space="preserve"> דאף מסברא דוחק לומר דהחיוב בדמו הוא מחמת דם אמו, דהרי אח"כ הולד נפרד מהאם, והיאך אפשר לאוסרו מחמת דם אמו.</w:t>
      </w:r>
    </w:p>
    <w:p w14:paraId="60A04F41" w14:textId="77777777" w:rsidR="003D504D" w:rsidRDefault="003D504D" w:rsidP="003D504D">
      <w:pPr>
        <w:pStyle w:val="a3"/>
        <w:rPr>
          <w:rtl/>
        </w:rPr>
      </w:pPr>
      <w:bookmarkStart w:id="25535" w:name="_Toc4316295"/>
      <w:bookmarkStart w:id="25536" w:name="_Toc4330739"/>
      <w:bookmarkStart w:id="25537" w:name="_Toc19392139"/>
      <w:bookmarkStart w:id="25538" w:name="_Toc19395636"/>
      <w:r>
        <w:rPr>
          <w:rFonts w:hint="cs"/>
          <w:rtl/>
        </w:rPr>
        <w:t>דברי הגרש"ר דדוחק לומר דהרא"ש כרמב"ן וחיוב הכרת הוא לר"י ונחלקו אי חייב מדם נפש דאמו</w:t>
      </w:r>
      <w:bookmarkEnd w:id="25535"/>
      <w:bookmarkEnd w:id="25536"/>
      <w:bookmarkEnd w:id="25537"/>
      <w:bookmarkEnd w:id="25538"/>
    </w:p>
    <w:p w14:paraId="010D5B2A" w14:textId="77777777" w:rsidR="003D504D" w:rsidRPr="000B1D4D" w:rsidRDefault="003D504D" w:rsidP="00223668">
      <w:pPr>
        <w:pStyle w:val="a0"/>
      </w:pPr>
      <w:r>
        <w:rPr>
          <w:rFonts w:hint="cs"/>
          <w:rtl/>
        </w:rPr>
        <w:t xml:space="preserve">וכתב </w:t>
      </w:r>
      <w:r w:rsidRPr="002F3F63">
        <w:rPr>
          <w:rStyle w:val="af9"/>
          <w:rFonts w:hint="cs"/>
          <w:rtl/>
        </w:rPr>
        <w:t>הגרש"ר</w:t>
      </w:r>
      <w:r>
        <w:rPr>
          <w:rFonts w:hint="cs"/>
          <w:rtl/>
        </w:rPr>
        <w:t xml:space="preserve"> </w:t>
      </w:r>
      <w:r w:rsidRPr="001A4D15">
        <w:rPr>
          <w:rStyle w:val="af7"/>
          <w:rFonts w:eastAsia="Guttman Hodes"/>
          <w:rtl/>
        </w:rPr>
        <w:t xml:space="preserve">(זכרון שמואל סי' ע"ד אות </w:t>
      </w:r>
      <w:r w:rsidRPr="001A4D15">
        <w:rPr>
          <w:rStyle w:val="af7"/>
          <w:rFonts w:eastAsia="Guttman Hodes" w:hint="cs"/>
          <w:rtl/>
        </w:rPr>
        <w:t>ג</w:t>
      </w:r>
      <w:r w:rsidRPr="001A4D15">
        <w:rPr>
          <w:rStyle w:val="af7"/>
          <w:rFonts w:eastAsia="Guttman Hodes"/>
          <w:rtl/>
        </w:rPr>
        <w:t>' ד"ה</w:t>
      </w:r>
      <w:r w:rsidRPr="001A4D15">
        <w:rPr>
          <w:rStyle w:val="af7"/>
          <w:rFonts w:eastAsia="Guttman Hodes" w:hint="cs"/>
          <w:rtl/>
        </w:rPr>
        <w:t xml:space="preserve"> ובהא</w:t>
      </w:r>
      <w:r>
        <w:rPr>
          <w:rStyle w:val="af7"/>
          <w:rFonts w:eastAsia="Guttman Hodes" w:hint="cs"/>
          <w:rtl/>
        </w:rPr>
        <w:t xml:space="preserve"> בסוגריים</w:t>
      </w:r>
      <w:r w:rsidRPr="001A4D15">
        <w:rPr>
          <w:rStyle w:val="af7"/>
          <w:rFonts w:eastAsia="Guttman Hodes" w:hint="cs"/>
          <w:rtl/>
        </w:rPr>
        <w:t>)</w:t>
      </w:r>
      <w:r>
        <w:rPr>
          <w:rFonts w:hint="cs"/>
          <w:rtl/>
        </w:rPr>
        <w:t xml:space="preserve"> דהיה אפשר לבאר דס"ל </w:t>
      </w:r>
      <w:r w:rsidRPr="002F3F63">
        <w:rPr>
          <w:rStyle w:val="af9"/>
          <w:rFonts w:hint="cs"/>
          <w:rtl/>
        </w:rPr>
        <w:t>להרא"ש</w:t>
      </w:r>
      <w:r>
        <w:rPr>
          <w:rFonts w:hint="cs"/>
          <w:rtl/>
        </w:rPr>
        <w:t xml:space="preserve"> כדביאר </w:t>
      </w:r>
      <w:r w:rsidRPr="002F3F63">
        <w:rPr>
          <w:rStyle w:val="af9"/>
          <w:rFonts w:hint="cs"/>
          <w:rtl/>
        </w:rPr>
        <w:t>הרמב"ן</w:t>
      </w:r>
      <w:r w:rsidRPr="004831FD">
        <w:rPr>
          <w:rStyle w:val="af7"/>
          <w:rFonts w:eastAsia="Guttman Hodes" w:hint="cs"/>
          <w:rtl/>
        </w:rPr>
        <w:t xml:space="preserve"> (עי' אות </w:t>
      </w:r>
      <w:r w:rsidRPr="004831FD">
        <w:rPr>
          <w:rStyle w:val="af7"/>
          <w:rFonts w:eastAsia="Guttman Hodes"/>
          <w:rtl/>
        </w:rPr>
        <w:fldChar w:fldCharType="begin"/>
      </w:r>
      <w:r w:rsidRPr="004831FD">
        <w:rPr>
          <w:rStyle w:val="af7"/>
          <w:rFonts w:eastAsia="Guttman Hodes"/>
          <w:rtl/>
        </w:rPr>
        <w:instrText xml:space="preserve"> </w:instrText>
      </w:r>
      <w:r w:rsidRPr="004831FD">
        <w:rPr>
          <w:rStyle w:val="af7"/>
          <w:rFonts w:eastAsia="Guttman Hodes" w:hint="cs"/>
        </w:rPr>
        <w:instrText>REF</w:instrText>
      </w:r>
      <w:r w:rsidRPr="004831FD">
        <w:rPr>
          <w:rStyle w:val="af7"/>
          <w:rFonts w:eastAsia="Guttman Hodes" w:hint="cs"/>
          <w:rtl/>
        </w:rPr>
        <w:instrText xml:space="preserve"> _</w:instrText>
      </w:r>
      <w:r w:rsidRPr="004831FD">
        <w:rPr>
          <w:rStyle w:val="af7"/>
          <w:rFonts w:eastAsia="Guttman Hodes" w:hint="cs"/>
        </w:rPr>
        <w:instrText>Ref4271076 \r \h</w:instrText>
      </w:r>
      <w:r w:rsidRPr="004831FD">
        <w:rPr>
          <w:rStyle w:val="af7"/>
          <w:rFonts w:eastAsia="Guttman Hodes"/>
          <w:rtl/>
        </w:rPr>
        <w:instrText xml:space="preserve"> </w:instrText>
      </w:r>
      <w:r w:rsidRPr="004831FD">
        <w:rPr>
          <w:rStyle w:val="af7"/>
          <w:rFonts w:eastAsia="Guttman Hodes"/>
          <w:rtl/>
        </w:rPr>
      </w:r>
      <w:r w:rsidRPr="004831FD">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4831FD">
        <w:rPr>
          <w:rStyle w:val="af7"/>
          <w:rFonts w:eastAsia="Guttman Hodes"/>
          <w:rtl/>
        </w:rPr>
        <w:fldChar w:fldCharType="end"/>
      </w:r>
      <w:r>
        <w:rPr>
          <w:rFonts w:hint="cs"/>
          <w:rtl/>
        </w:rPr>
        <w:t xml:space="preserve"> </w:t>
      </w:r>
      <w:r w:rsidRPr="004831FD">
        <w:rPr>
          <w:rStyle w:val="afb"/>
          <w:rFonts w:hint="cs"/>
          <w:rtl/>
        </w:rPr>
        <w:t xml:space="preserve">[וכדכתב </w:t>
      </w:r>
      <w:r w:rsidRPr="004831FD">
        <w:rPr>
          <w:rStyle w:val="affa"/>
          <w:rFonts w:hint="cs"/>
          <w:rtl/>
        </w:rPr>
        <w:t>הכנה"ג</w:t>
      </w:r>
      <w:r w:rsidRPr="004831FD">
        <w:rPr>
          <w:rStyle w:val="afb"/>
          <w:rFonts w:hint="cs"/>
          <w:rtl/>
        </w:rPr>
        <w:t xml:space="preserve"> </w:t>
      </w:r>
      <w:r w:rsidRPr="004831FD">
        <w:rPr>
          <w:rStyle w:val="aff6"/>
          <w:rFonts w:hint="cs"/>
          <w:rtl/>
        </w:rPr>
        <w:t xml:space="preserve">(עי' אות </w:t>
      </w:r>
      <w:r w:rsidRPr="004831FD">
        <w:rPr>
          <w:rStyle w:val="aff6"/>
          <w:rtl/>
        </w:rPr>
        <w:fldChar w:fldCharType="begin"/>
      </w:r>
      <w:r w:rsidRPr="004831FD">
        <w:rPr>
          <w:rStyle w:val="aff6"/>
          <w:rtl/>
        </w:rPr>
        <w:instrText xml:space="preserve"> </w:instrText>
      </w:r>
      <w:r w:rsidRPr="004831FD">
        <w:rPr>
          <w:rStyle w:val="aff6"/>
          <w:rFonts w:hint="cs"/>
        </w:rPr>
        <w:instrText>REF</w:instrText>
      </w:r>
      <w:r w:rsidRPr="004831FD">
        <w:rPr>
          <w:rStyle w:val="aff6"/>
          <w:rFonts w:hint="cs"/>
          <w:rtl/>
        </w:rPr>
        <w:instrText xml:space="preserve"> _</w:instrText>
      </w:r>
      <w:r w:rsidRPr="004831FD">
        <w:rPr>
          <w:rStyle w:val="aff6"/>
          <w:rFonts w:hint="cs"/>
        </w:rPr>
        <w:instrText>Ref4309157 \r \h</w:instrText>
      </w:r>
      <w:r w:rsidRPr="004831FD">
        <w:rPr>
          <w:rStyle w:val="aff6"/>
          <w:rtl/>
        </w:rPr>
        <w:instrText xml:space="preserve"> </w:instrText>
      </w:r>
      <w:r w:rsidRPr="004831FD">
        <w:rPr>
          <w:rStyle w:val="aff6"/>
          <w:rtl/>
        </w:rPr>
      </w:r>
      <w:r w:rsidRPr="004831FD">
        <w:rPr>
          <w:rStyle w:val="aff6"/>
          <w:rtl/>
        </w:rPr>
        <w:fldChar w:fldCharType="separate"/>
      </w:r>
      <w:r w:rsidR="00345400">
        <w:rPr>
          <w:rStyle w:val="aff6"/>
          <w:cs/>
        </w:rPr>
        <w:t>‎</w:t>
      </w:r>
      <w:r w:rsidR="00345400">
        <w:rPr>
          <w:rStyle w:val="aff6"/>
          <w:rtl/>
        </w:rPr>
        <w:t>כד)</w:t>
      </w:r>
      <w:r w:rsidRPr="004831FD">
        <w:rPr>
          <w:rStyle w:val="aff6"/>
          <w:rtl/>
        </w:rPr>
        <w:fldChar w:fldCharType="end"/>
      </w:r>
      <w:r>
        <w:rPr>
          <w:rStyle w:val="afb"/>
          <w:rFonts w:hint="cs"/>
          <w:rtl/>
        </w:rPr>
        <w:t xml:space="preserve"> </w:t>
      </w:r>
      <w:r w:rsidRPr="004831FD">
        <w:rPr>
          <w:rStyle w:val="afb"/>
          <w:rFonts w:hint="cs"/>
          <w:rtl/>
        </w:rPr>
        <w:t xml:space="preserve">בדעת </w:t>
      </w:r>
      <w:r w:rsidRPr="004831FD">
        <w:rPr>
          <w:rStyle w:val="affa"/>
          <w:rFonts w:hint="cs"/>
          <w:rtl/>
        </w:rPr>
        <w:t>הרא"ש</w:t>
      </w:r>
      <w:r w:rsidRPr="004831FD">
        <w:rPr>
          <w:rStyle w:val="afb"/>
          <w:rFonts w:hint="cs"/>
          <w:rtl/>
        </w:rPr>
        <w:t xml:space="preserve">] </w:t>
      </w:r>
      <w:r>
        <w:rPr>
          <w:rFonts w:hint="cs"/>
          <w:rtl/>
        </w:rPr>
        <w:t xml:space="preserve">דהא דמחייב ריו"ח כרת היינו רק לדעת ר"י, וא"כ נחלקו ריו"ח ור"ל, דלריו"ח חיובו הוא מחמת דם אמו, ולכן חשיב שיש בה דם הנפש, ולר"ל  אינו חייב מחמת האם, אלא רק מחמת הולד, ובולד אין דם הנפש, אך כתב </w:t>
      </w:r>
      <w:r w:rsidRPr="002F3F63">
        <w:rPr>
          <w:rStyle w:val="af9"/>
          <w:rFonts w:hint="cs"/>
          <w:rtl/>
        </w:rPr>
        <w:t>הגרש"ר</w:t>
      </w:r>
      <w:r>
        <w:rPr>
          <w:rFonts w:hint="cs"/>
          <w:rtl/>
        </w:rPr>
        <w:t xml:space="preserve"> דדוחק לבאר כן.</w:t>
      </w:r>
    </w:p>
    <w:p w14:paraId="786F18F8" w14:textId="77777777" w:rsidR="003D504D" w:rsidRDefault="003D504D" w:rsidP="003D504D">
      <w:pPr>
        <w:pStyle w:val="a3"/>
        <w:rPr>
          <w:rtl/>
        </w:rPr>
      </w:pPr>
      <w:bookmarkStart w:id="25539" w:name="_Toc4316296"/>
      <w:bookmarkStart w:id="25540" w:name="_Toc4330740"/>
      <w:bookmarkStart w:id="25541" w:name="_Toc19392140"/>
      <w:bookmarkStart w:id="25542" w:name="_Toc19395637"/>
      <w:r>
        <w:rPr>
          <w:rFonts w:hint="cs"/>
          <w:rtl/>
        </w:rPr>
        <w:t>דברי הגרש"ר דא"כ מוכח כדברי הר"ן דלר"ל למסקנא אין בשליל דם הנפש</w:t>
      </w:r>
      <w:bookmarkEnd w:id="25539"/>
      <w:bookmarkEnd w:id="25540"/>
      <w:bookmarkEnd w:id="25541"/>
      <w:bookmarkEnd w:id="25542"/>
    </w:p>
    <w:p w14:paraId="591DE392" w14:textId="77777777" w:rsidR="003D504D" w:rsidRDefault="003D504D" w:rsidP="00223668">
      <w:pPr>
        <w:pStyle w:val="a0"/>
        <w:rPr>
          <w:rtl/>
        </w:rPr>
      </w:pPr>
      <w:r>
        <w:rPr>
          <w:rFonts w:hint="cs"/>
          <w:rtl/>
        </w:rPr>
        <w:t>אלא כתב</w:t>
      </w:r>
      <w:r>
        <w:rPr>
          <w:rtl/>
        </w:rPr>
        <w:t xml:space="preserve"> </w:t>
      </w:r>
      <w:r w:rsidRPr="004374CA">
        <w:rPr>
          <w:rStyle w:val="af9"/>
          <w:rtl/>
        </w:rPr>
        <w:t xml:space="preserve">הגרש"ר </w:t>
      </w:r>
      <w:r w:rsidRPr="001A4D15">
        <w:rPr>
          <w:rStyle w:val="af7"/>
          <w:rFonts w:eastAsia="Guttman Hodes"/>
          <w:rtl/>
        </w:rPr>
        <w:t xml:space="preserve">(זכרון שמואל סי' ע"ד אות </w:t>
      </w:r>
      <w:r w:rsidRPr="001A4D15">
        <w:rPr>
          <w:rStyle w:val="af7"/>
          <w:rFonts w:eastAsia="Guttman Hodes" w:hint="cs"/>
          <w:rtl/>
        </w:rPr>
        <w:t>ג</w:t>
      </w:r>
      <w:r w:rsidRPr="001A4D15">
        <w:rPr>
          <w:rStyle w:val="af7"/>
          <w:rFonts w:eastAsia="Guttman Hodes"/>
          <w:rtl/>
        </w:rPr>
        <w:t xml:space="preserve">' </w:t>
      </w:r>
      <w:r>
        <w:rPr>
          <w:rStyle w:val="af7"/>
          <w:rFonts w:eastAsia="Guttman Hodes" w:hint="cs"/>
          <w:rtl/>
        </w:rPr>
        <w:t xml:space="preserve">תחילת </w:t>
      </w:r>
      <w:r w:rsidRPr="001A4D15">
        <w:rPr>
          <w:rStyle w:val="af7"/>
          <w:rFonts w:eastAsia="Guttman Hodes"/>
          <w:rtl/>
        </w:rPr>
        <w:t>ד"ה</w:t>
      </w:r>
      <w:r w:rsidRPr="001A4D15">
        <w:rPr>
          <w:rStyle w:val="af7"/>
          <w:rFonts w:eastAsia="Guttman Hodes" w:hint="cs"/>
          <w:rtl/>
        </w:rPr>
        <w:t xml:space="preserve"> ובהא)</w:t>
      </w:r>
      <w:r>
        <w:rPr>
          <w:rFonts w:hint="cs"/>
          <w:rtl/>
        </w:rPr>
        <w:t xml:space="preserve"> דמוכח כדברי </w:t>
      </w:r>
      <w:r w:rsidRPr="004374CA">
        <w:rPr>
          <w:rStyle w:val="af9"/>
          <w:rFonts w:hint="cs"/>
          <w:rtl/>
        </w:rPr>
        <w:t xml:space="preserve">הר"ן </w:t>
      </w:r>
      <w:r w:rsidRPr="004831FD">
        <w:rPr>
          <w:rStyle w:val="af7"/>
          <w:rFonts w:eastAsia="Guttman Hodes" w:hint="cs"/>
          <w:rtl/>
        </w:rPr>
        <w:t xml:space="preserve">(עי' אות </w:t>
      </w:r>
      <w:r w:rsidRPr="004831FD">
        <w:rPr>
          <w:rStyle w:val="af7"/>
          <w:rFonts w:eastAsia="Guttman Hodes"/>
          <w:rtl/>
        </w:rPr>
        <w:fldChar w:fldCharType="begin"/>
      </w:r>
      <w:r w:rsidRPr="004831FD">
        <w:rPr>
          <w:rStyle w:val="af7"/>
          <w:rFonts w:eastAsia="Guttman Hodes"/>
          <w:rtl/>
        </w:rPr>
        <w:instrText xml:space="preserve"> </w:instrText>
      </w:r>
      <w:r w:rsidRPr="004831FD">
        <w:rPr>
          <w:rStyle w:val="af7"/>
          <w:rFonts w:eastAsia="Guttman Hodes" w:hint="cs"/>
        </w:rPr>
        <w:instrText>REF</w:instrText>
      </w:r>
      <w:r w:rsidRPr="004831FD">
        <w:rPr>
          <w:rStyle w:val="af7"/>
          <w:rFonts w:eastAsia="Guttman Hodes" w:hint="cs"/>
          <w:rtl/>
        </w:rPr>
        <w:instrText xml:space="preserve"> _</w:instrText>
      </w:r>
      <w:r w:rsidRPr="004831FD">
        <w:rPr>
          <w:rStyle w:val="af7"/>
          <w:rFonts w:eastAsia="Guttman Hodes" w:hint="cs"/>
        </w:rPr>
        <w:instrText>Ref4304876 \r \h</w:instrText>
      </w:r>
      <w:r w:rsidRPr="004831FD">
        <w:rPr>
          <w:rStyle w:val="af7"/>
          <w:rFonts w:eastAsia="Guttman Hodes"/>
          <w:rtl/>
        </w:rPr>
        <w:instrText xml:space="preserve"> </w:instrText>
      </w:r>
      <w:r w:rsidRPr="004831FD">
        <w:rPr>
          <w:rStyle w:val="af7"/>
          <w:rFonts w:eastAsia="Guttman Hodes"/>
          <w:rtl/>
        </w:rPr>
      </w:r>
      <w:r w:rsidRPr="004831FD">
        <w:rPr>
          <w:rStyle w:val="af7"/>
          <w:rFonts w:eastAsia="Guttman Hodes"/>
          <w:rtl/>
        </w:rPr>
        <w:fldChar w:fldCharType="separate"/>
      </w:r>
      <w:r w:rsidR="00345400">
        <w:rPr>
          <w:rStyle w:val="af7"/>
          <w:rFonts w:eastAsia="Guttman Hodes"/>
          <w:cs/>
        </w:rPr>
        <w:t>‎</w:t>
      </w:r>
      <w:r w:rsidR="00345400">
        <w:rPr>
          <w:rStyle w:val="af7"/>
          <w:rFonts w:eastAsia="Guttman Hodes"/>
          <w:rtl/>
        </w:rPr>
        <w:t>ט)</w:t>
      </w:r>
      <w:r w:rsidRPr="004831FD">
        <w:rPr>
          <w:rStyle w:val="af7"/>
          <w:rFonts w:eastAsia="Guttman Hodes"/>
          <w:rtl/>
        </w:rPr>
        <w:fldChar w:fldCharType="end"/>
      </w:r>
      <w:r>
        <w:rPr>
          <w:rFonts w:hint="cs"/>
          <w:rtl/>
        </w:rPr>
        <w:t xml:space="preserve"> דהא דמודה ר"ל במסקנא דדמו אסור בלאו, היינו דאיסורו הוא מחמת הולד עצמו, אלא דאינו חייב כרת דלא חשיב כדם הנפש.</w:t>
      </w:r>
    </w:p>
    <w:p w14:paraId="6AB0389F" w14:textId="77777777" w:rsidR="005077A7" w:rsidRPr="005077A7" w:rsidRDefault="005077A7" w:rsidP="005077A7">
      <w:pPr>
        <w:pStyle w:val="a3"/>
        <w:rPr>
          <w:rtl/>
        </w:rPr>
      </w:pPr>
    </w:p>
    <w:p w14:paraId="05790AC6" w14:textId="77777777" w:rsidR="005077A7" w:rsidRPr="005077A7" w:rsidRDefault="005077A7" w:rsidP="005077A7">
      <w:pPr>
        <w:pStyle w:val="a3"/>
        <w:rPr>
          <w:rtl/>
        </w:rPr>
      </w:pPr>
    </w:p>
    <w:p w14:paraId="0F9F0DB2" w14:textId="77777777" w:rsidR="005077A7" w:rsidRPr="005077A7" w:rsidRDefault="005077A7" w:rsidP="005077A7">
      <w:pPr>
        <w:pStyle w:val="a3"/>
        <w:rPr>
          <w:rtl/>
        </w:rPr>
      </w:pPr>
    </w:p>
    <w:p w14:paraId="63DD2F3E" w14:textId="77777777" w:rsidR="003D504D" w:rsidRDefault="003D504D" w:rsidP="00BF39B2">
      <w:pPr>
        <w:pStyle w:val="1"/>
        <w:rPr>
          <w:rtl/>
        </w:rPr>
      </w:pPr>
      <w:bookmarkStart w:id="25543" w:name="_Toc4316297"/>
      <w:bookmarkStart w:id="25544" w:name="_Toc4330741"/>
      <w:bookmarkStart w:id="25545" w:name="_Toc19392141"/>
      <w:bookmarkStart w:id="25546" w:name="_Toc19395638"/>
      <w:r>
        <w:rPr>
          <w:rFonts w:hint="cs"/>
          <w:rtl/>
        </w:rPr>
        <w:t>ביאור הגרש"ר ברא"ש דכל בבהמה נאמר בכל ולד בחיי אמו</w:t>
      </w:r>
      <w:bookmarkEnd w:id="25543"/>
      <w:bookmarkEnd w:id="25544"/>
      <w:bookmarkEnd w:id="25545"/>
      <w:bookmarkEnd w:id="25546"/>
    </w:p>
    <w:p w14:paraId="376A459A" w14:textId="77777777" w:rsidR="003D504D" w:rsidRDefault="003D504D" w:rsidP="003D504D">
      <w:pPr>
        <w:pStyle w:val="a3"/>
        <w:rPr>
          <w:rtl/>
        </w:rPr>
      </w:pPr>
      <w:bookmarkStart w:id="25547" w:name="_Toc4316298"/>
      <w:bookmarkStart w:id="25548" w:name="_Toc4330742"/>
      <w:bookmarkStart w:id="25549" w:name="_Toc19392142"/>
      <w:bookmarkStart w:id="25550" w:name="_Toc19395639"/>
      <w:r>
        <w:rPr>
          <w:rFonts w:hint="cs"/>
          <w:rtl/>
        </w:rPr>
        <w:t>דברי הגרש"ר דדין "כל בבהמה" אינו רק בשחיטה אלא בכל ולד במעי אמו דחשיב כאבר דאמו</w:t>
      </w:r>
      <w:bookmarkEnd w:id="25547"/>
      <w:bookmarkEnd w:id="25548"/>
      <w:bookmarkEnd w:id="25549"/>
      <w:bookmarkEnd w:id="25550"/>
    </w:p>
    <w:p w14:paraId="02FCE3E4" w14:textId="77777777" w:rsidR="003D504D" w:rsidRDefault="003D504D" w:rsidP="00223668">
      <w:pPr>
        <w:pStyle w:val="a0"/>
        <w:rPr>
          <w:rtl/>
        </w:rPr>
      </w:pPr>
      <w:r>
        <w:rPr>
          <w:rFonts w:hint="cs"/>
          <w:rtl/>
        </w:rPr>
        <w:t xml:space="preserve">וכתב </w:t>
      </w:r>
      <w:r>
        <w:rPr>
          <w:rStyle w:val="af9"/>
          <w:rtl/>
        </w:rPr>
        <w:t xml:space="preserve">הגרש"ר </w:t>
      </w:r>
      <w:r>
        <w:rPr>
          <w:rStyle w:val="af7"/>
          <w:rFonts w:eastAsia="Guttman Hodes" w:hint="cs"/>
          <w:rtl/>
        </w:rPr>
        <w:t>(זכרון שמואל סי' ע"ד אות ג' ד"ה ונראה)</w:t>
      </w:r>
      <w:r>
        <w:rPr>
          <w:rFonts w:hint="cs"/>
          <w:rtl/>
        </w:rPr>
        <w:t xml:space="preserve"> בביאור את דברי </w:t>
      </w:r>
      <w:r w:rsidRPr="004831FD">
        <w:rPr>
          <w:rStyle w:val="af9"/>
          <w:rFonts w:hint="cs"/>
          <w:rtl/>
        </w:rPr>
        <w:t>הרא"ש</w:t>
      </w:r>
      <w:r>
        <w:rPr>
          <w:rFonts w:hint="cs"/>
          <w:rtl/>
        </w:rPr>
        <w:t xml:space="preserve"> דגדר היתר "כל בבהמה תאכלו", לא נאמר רק לענין השחיטה, אלא גדר ההיתר הוא דכל שנמצא במעי אמו חשיב כאחד מאבריה, ולכן כשנשחטה אמו ממילא מותר בשחיטתה, וכתב </w:t>
      </w:r>
      <w:r w:rsidRPr="00E83AFE">
        <w:rPr>
          <w:rStyle w:val="af9"/>
          <w:rFonts w:hint="cs"/>
          <w:rtl/>
        </w:rPr>
        <w:t>הגרש"ר</w:t>
      </w:r>
      <w:r>
        <w:rPr>
          <w:rFonts w:hint="cs"/>
          <w:rtl/>
        </w:rPr>
        <w:t xml:space="preserve"> דכן מבואר בגמ' לקמן </w:t>
      </w:r>
      <w:r w:rsidRPr="00A375FD">
        <w:rPr>
          <w:rStyle w:val="af7"/>
          <w:rFonts w:eastAsia="Guttman Hodes" w:hint="cs"/>
          <w:rtl/>
        </w:rPr>
        <w:t>(קג.)</w:t>
      </w:r>
      <w:r>
        <w:rPr>
          <w:rFonts w:hint="cs"/>
          <w:rtl/>
        </w:rPr>
        <w:t xml:space="preserve"> דאיסור חלב לא חל על העובר במעי אמו, וכתב </w:t>
      </w:r>
      <w:r w:rsidRPr="00A375FD">
        <w:rPr>
          <w:rStyle w:val="af9"/>
          <w:rFonts w:hint="cs"/>
          <w:rtl/>
        </w:rPr>
        <w:t>רש"י</w:t>
      </w:r>
      <w:r>
        <w:rPr>
          <w:rFonts w:hint="cs"/>
          <w:rtl/>
        </w:rPr>
        <w:t xml:space="preserve"> </w:t>
      </w:r>
      <w:r w:rsidRPr="00A375FD">
        <w:rPr>
          <w:rStyle w:val="af7"/>
          <w:rFonts w:eastAsia="Guttman Hodes" w:hint="cs"/>
          <w:rtl/>
        </w:rPr>
        <w:t>(קג. ד"ה איתמר)</w:t>
      </w:r>
      <w:r>
        <w:rPr>
          <w:rFonts w:hint="cs"/>
          <w:rtl/>
        </w:rPr>
        <w:t xml:space="preserve"> דכיון שחלב שליל מותר דכתיב "כל בבהמה תאכלו", לכן חל האיסור רק בשעת הלידה, וכתב </w:t>
      </w:r>
      <w:r w:rsidRPr="00A375FD">
        <w:rPr>
          <w:rStyle w:val="af9"/>
          <w:rFonts w:hint="cs"/>
          <w:rtl/>
        </w:rPr>
        <w:t>הגרש"ר</w:t>
      </w:r>
      <w:r>
        <w:rPr>
          <w:rFonts w:hint="cs"/>
          <w:rtl/>
        </w:rPr>
        <w:t xml:space="preserve"> דמוכח דגדר היתר "כל בבהמה תאכלו" הוא בכל ולד במעי אמו דהא בגמ' לקמן לא איירי כלל שנשחטה האם, ומוכח דההיתר אינו חל רק בזמן השחיטה, אלא גדרו דכל ולד חשיב כאבר מאברי אמו, ולכן לא חל עליו איסור חלב.</w:t>
      </w:r>
    </w:p>
    <w:p w14:paraId="3ABF451F" w14:textId="77777777" w:rsidR="003D504D" w:rsidRDefault="003D504D" w:rsidP="003D504D">
      <w:pPr>
        <w:pStyle w:val="a3"/>
        <w:rPr>
          <w:rtl/>
        </w:rPr>
      </w:pPr>
      <w:bookmarkStart w:id="25551" w:name="_Toc4316299"/>
      <w:bookmarkStart w:id="25552" w:name="_Toc4330743"/>
      <w:bookmarkStart w:id="25553" w:name="_Toc19392143"/>
      <w:bookmarkStart w:id="25554" w:name="_Toc19395640"/>
      <w:r>
        <w:rPr>
          <w:rFonts w:hint="cs"/>
          <w:rtl/>
        </w:rPr>
        <w:t>ביאור הגרש"ר ברא"ש  דחיוב הדם מחמת עצמו אלא דאין בו היתר "כל בבהמה" דהוא כאבר דאמו</w:t>
      </w:r>
      <w:bookmarkEnd w:id="25551"/>
      <w:bookmarkEnd w:id="25552"/>
      <w:bookmarkEnd w:id="25553"/>
      <w:bookmarkEnd w:id="25554"/>
    </w:p>
    <w:p w14:paraId="56CB7EF2" w14:textId="77777777" w:rsidR="003D504D" w:rsidRDefault="003D504D" w:rsidP="00223668">
      <w:pPr>
        <w:pStyle w:val="a0"/>
        <w:rPr>
          <w:rtl/>
        </w:rPr>
      </w:pPr>
      <w:bookmarkStart w:id="25555" w:name="_Ref4309662"/>
      <w:r>
        <w:rPr>
          <w:rFonts w:hint="cs"/>
          <w:rtl/>
        </w:rPr>
        <w:t xml:space="preserve">ובזה תירץ </w:t>
      </w:r>
      <w:r w:rsidRPr="00A375FD">
        <w:rPr>
          <w:rStyle w:val="af9"/>
          <w:rFonts w:hint="cs"/>
          <w:rtl/>
        </w:rPr>
        <w:t>הגרש"ר</w:t>
      </w:r>
      <w:r>
        <w:rPr>
          <w:rFonts w:hint="cs"/>
          <w:rtl/>
        </w:rPr>
        <w:t xml:space="preserve"> את דברי </w:t>
      </w:r>
      <w:r w:rsidRPr="00A375FD">
        <w:rPr>
          <w:rStyle w:val="af9"/>
          <w:rFonts w:hint="cs"/>
          <w:rtl/>
        </w:rPr>
        <w:t>הרא"ש</w:t>
      </w:r>
      <w:r>
        <w:rPr>
          <w:rFonts w:hint="cs"/>
          <w:rtl/>
        </w:rPr>
        <w:t xml:space="preserve"> דאין כוונת </w:t>
      </w:r>
      <w:r w:rsidRPr="00A375FD">
        <w:rPr>
          <w:rStyle w:val="af9"/>
          <w:rFonts w:hint="cs"/>
          <w:rtl/>
        </w:rPr>
        <w:t>הרא"ש</w:t>
      </w:r>
      <w:r>
        <w:rPr>
          <w:rFonts w:hint="cs"/>
          <w:rtl/>
        </w:rPr>
        <w:t xml:space="preserve"> לומר דחיובו הוא מחמת אמו, אלא מודה </w:t>
      </w:r>
      <w:r w:rsidRPr="00A375FD">
        <w:rPr>
          <w:rStyle w:val="af9"/>
          <w:rFonts w:hint="cs"/>
          <w:rtl/>
        </w:rPr>
        <w:t>הרא"ש</w:t>
      </w:r>
      <w:r>
        <w:rPr>
          <w:rFonts w:hint="cs"/>
          <w:rtl/>
        </w:rPr>
        <w:t xml:space="preserve"> דהחיוב בדם הוא מחמת הולד עצמו, אלא ביאר</w:t>
      </w:r>
      <w:r w:rsidRPr="00A375FD">
        <w:rPr>
          <w:rStyle w:val="af9"/>
          <w:rFonts w:hint="cs"/>
          <w:rtl/>
        </w:rPr>
        <w:t xml:space="preserve"> הגרש"ר</w:t>
      </w:r>
      <w:r>
        <w:rPr>
          <w:rFonts w:hint="cs"/>
          <w:rtl/>
        </w:rPr>
        <w:t xml:space="preserve"> דכוונת </w:t>
      </w:r>
      <w:r w:rsidRPr="00A375FD">
        <w:rPr>
          <w:rStyle w:val="af9"/>
          <w:rFonts w:hint="cs"/>
          <w:rtl/>
        </w:rPr>
        <w:t>הרא"ש</w:t>
      </w:r>
      <w:r>
        <w:rPr>
          <w:rFonts w:hint="cs"/>
          <w:rtl/>
        </w:rPr>
        <w:t xml:space="preserve"> לבאר דאין בדם הולד את היתר "כל בבהמה תאכלו", דכיון דגדר ההיתר הוא דהולד חשיב כאבר מאברי אמו, א"כ א"א להתיר מחמת זה את דמו, דאף שהוא ואמו הם גוף אחד, מ"מ חייב על דמו משום דם האברים, ולא דמי לחלב, דא"א לחייבו כחלב של אמו, כיון לא נקרא חלב שעל הקרב,</w:t>
      </w:r>
      <w:r w:rsidRPr="00694132">
        <w:rPr>
          <w:rFonts w:hint="cs"/>
          <w:rtl/>
        </w:rPr>
        <w:t xml:space="preserve"> </w:t>
      </w:r>
      <w:r>
        <w:rPr>
          <w:rFonts w:hint="cs"/>
          <w:rtl/>
        </w:rPr>
        <w:t>אבל לענין הדם, כיון שלא שייך בו היתר "כל בבהמה תאכלו", ממילא חייב עליו כרת מצד עצמו, דהא באם יש דם הנפש.</w:t>
      </w:r>
      <w:bookmarkEnd w:id="25555"/>
    </w:p>
    <w:p w14:paraId="57D1DBBC" w14:textId="77777777" w:rsidR="003D504D" w:rsidRPr="002033FC" w:rsidRDefault="003D504D" w:rsidP="003D504D">
      <w:pPr>
        <w:pStyle w:val="a3"/>
      </w:pPr>
      <w:bookmarkStart w:id="25556" w:name="_Toc4316300"/>
      <w:bookmarkStart w:id="25557" w:name="_Toc4330744"/>
      <w:bookmarkStart w:id="25558" w:name="_Toc19392144"/>
      <w:bookmarkStart w:id="25559" w:name="_Toc19395641"/>
      <w:r>
        <w:rPr>
          <w:rFonts w:hint="cs"/>
          <w:rtl/>
        </w:rPr>
        <w:t>ביאור הגרש"ר דהוקשה להרא"ש דאיסור הדם לא יחול מעיקרא וע"ז תירץ דחייב מדין האם</w:t>
      </w:r>
      <w:bookmarkEnd w:id="25556"/>
      <w:bookmarkEnd w:id="25557"/>
      <w:bookmarkEnd w:id="25558"/>
      <w:bookmarkEnd w:id="25559"/>
    </w:p>
    <w:p w14:paraId="28E7A2A0" w14:textId="77777777" w:rsidR="003D504D" w:rsidRDefault="003D504D" w:rsidP="00223668">
      <w:pPr>
        <w:pStyle w:val="a0"/>
        <w:rPr>
          <w:rtl/>
        </w:rPr>
      </w:pPr>
      <w:r>
        <w:rPr>
          <w:rFonts w:hint="cs"/>
          <w:rtl/>
        </w:rPr>
        <w:t xml:space="preserve">ובמה שהקשה </w:t>
      </w:r>
      <w:r w:rsidRPr="002033FC">
        <w:rPr>
          <w:rStyle w:val="af9"/>
          <w:rFonts w:hint="cs"/>
          <w:rtl/>
        </w:rPr>
        <w:t>הרא"ש</w:t>
      </w:r>
      <w:r>
        <w:rPr>
          <w:rFonts w:hint="cs"/>
          <w:rtl/>
        </w:rPr>
        <w:t xml:space="preserve"> דאמאי הדם אינו בכלל ההיתר, ביאר </w:t>
      </w:r>
      <w:r w:rsidRPr="00A375FD">
        <w:rPr>
          <w:rStyle w:val="af9"/>
          <w:rFonts w:hint="cs"/>
          <w:rtl/>
        </w:rPr>
        <w:t>הגרש"ר</w:t>
      </w:r>
      <w:r>
        <w:rPr>
          <w:rFonts w:hint="cs"/>
          <w:rtl/>
        </w:rPr>
        <w:t xml:space="preserve"> דהוקשה </w:t>
      </w:r>
      <w:r w:rsidRPr="00876FDC">
        <w:rPr>
          <w:rStyle w:val="af9"/>
          <w:rFonts w:hint="cs"/>
          <w:rtl/>
        </w:rPr>
        <w:t>להרא"ש</w:t>
      </w:r>
      <w:r>
        <w:rPr>
          <w:rFonts w:hint="cs"/>
          <w:rtl/>
        </w:rPr>
        <w:t xml:space="preserve"> דע"י היתר "כל בבהמה תאכלו" לא יחול איסור הדם מעיקרא, וע"ז תירץ </w:t>
      </w:r>
      <w:r w:rsidRPr="00876FDC">
        <w:rPr>
          <w:rStyle w:val="af9"/>
          <w:rFonts w:hint="cs"/>
          <w:rtl/>
        </w:rPr>
        <w:t>הרא"ש</w:t>
      </w:r>
      <w:r>
        <w:rPr>
          <w:rFonts w:hint="cs"/>
          <w:rtl/>
        </w:rPr>
        <w:t xml:space="preserve"> דמ"מ חייב עליו מטעם הדם של האם.</w:t>
      </w:r>
    </w:p>
    <w:p w14:paraId="59569A1B" w14:textId="77777777" w:rsidR="003D504D" w:rsidRDefault="003D504D" w:rsidP="00BF39B2">
      <w:pPr>
        <w:pStyle w:val="1"/>
        <w:rPr>
          <w:rtl/>
        </w:rPr>
      </w:pPr>
      <w:bookmarkStart w:id="25560" w:name="_Toc4316301"/>
      <w:bookmarkStart w:id="25561" w:name="_Toc4330745"/>
      <w:bookmarkStart w:id="25562" w:name="_Toc19392145"/>
      <w:bookmarkStart w:id="25563" w:name="_Toc19395642"/>
      <w:r>
        <w:rPr>
          <w:rFonts w:hint="cs"/>
          <w:rtl/>
        </w:rPr>
        <w:t>ביאור הגרש"ר דנח' ריו"ח ור"ל בחלות דם הנפש והתמצית</w:t>
      </w:r>
      <w:bookmarkEnd w:id="25560"/>
      <w:bookmarkEnd w:id="25561"/>
      <w:bookmarkEnd w:id="25562"/>
      <w:bookmarkEnd w:id="25563"/>
    </w:p>
    <w:p w14:paraId="6A62F0AC" w14:textId="77777777" w:rsidR="003D504D" w:rsidRPr="00876FDC" w:rsidRDefault="003D504D" w:rsidP="003D504D">
      <w:pPr>
        <w:pStyle w:val="a3"/>
        <w:rPr>
          <w:rtl/>
        </w:rPr>
      </w:pPr>
      <w:bookmarkStart w:id="25564" w:name="_Toc4316302"/>
      <w:bookmarkStart w:id="25565" w:name="_Toc4330746"/>
      <w:bookmarkStart w:id="25566" w:name="_Toc19392146"/>
      <w:bookmarkStart w:id="25567" w:name="_Toc19395643"/>
      <w:r>
        <w:rPr>
          <w:rFonts w:hint="cs"/>
          <w:rtl/>
        </w:rPr>
        <w:t>ביאור הגרש"ר בר"ל דכל בבהמה מתיר רק דם הנפש ולא את לאו דדם התמצית דהוא איסור בפנ"ע</w:t>
      </w:r>
      <w:bookmarkEnd w:id="25564"/>
      <w:bookmarkEnd w:id="25565"/>
      <w:bookmarkEnd w:id="25566"/>
      <w:bookmarkEnd w:id="25567"/>
      <w:r>
        <w:rPr>
          <w:rFonts w:hint="cs"/>
          <w:rtl/>
        </w:rPr>
        <w:t xml:space="preserve"> </w:t>
      </w:r>
    </w:p>
    <w:p w14:paraId="70B7E1C7" w14:textId="77777777" w:rsidR="003D504D" w:rsidRDefault="003D504D" w:rsidP="00223668">
      <w:pPr>
        <w:pStyle w:val="a0"/>
        <w:rPr>
          <w:rtl/>
        </w:rPr>
      </w:pPr>
      <w:r>
        <w:rPr>
          <w:rFonts w:hint="cs"/>
          <w:rtl/>
        </w:rPr>
        <w:t xml:space="preserve">ובביאור סברת ר"ל דס"ל דמהני ההיתר דכל בבהמה לדם הנפש דאינו בכרת, אך מ"מ חייב עליו בלאו מדין דם התמצית, כתב </w:t>
      </w:r>
      <w:r w:rsidRPr="00D4614E">
        <w:rPr>
          <w:rStyle w:val="af9"/>
          <w:rFonts w:hint="cs"/>
          <w:rtl/>
        </w:rPr>
        <w:t>הגרש"ר</w:t>
      </w:r>
      <w:r>
        <w:rPr>
          <w:rFonts w:hint="cs"/>
          <w:rtl/>
        </w:rPr>
        <w:t xml:space="preserve"> בדעת </w:t>
      </w:r>
      <w:r w:rsidRPr="00077EEF">
        <w:rPr>
          <w:rStyle w:val="af9"/>
          <w:rFonts w:hint="cs"/>
          <w:rtl/>
        </w:rPr>
        <w:t>הרא"ש</w:t>
      </w:r>
      <w:r>
        <w:rPr>
          <w:rFonts w:hint="cs"/>
          <w:rtl/>
        </w:rPr>
        <w:t xml:space="preserve"> דס"ל לר"ל דלדעת ר"י האיסור של דם הנפש לענין כרת, אינו אותו חלות איסור של דם התמצית, ולכן שייך בכרת היתר "כל בבהמה תאכלו", דאף דלענין הלאו לא מהני ההיתר, דאף שהוא כאבר של אמו עדיין אסור הדם בלאו, מ"מ לענין הכרת מהני ההיתר דכיון שהוא אבר דאמו אין בו כרת.</w:t>
      </w:r>
    </w:p>
    <w:p w14:paraId="595D93B1" w14:textId="77777777" w:rsidR="003D504D" w:rsidRPr="0097568E" w:rsidRDefault="003D504D" w:rsidP="003D504D">
      <w:pPr>
        <w:pStyle w:val="a3"/>
        <w:rPr>
          <w:rtl/>
        </w:rPr>
      </w:pPr>
      <w:bookmarkStart w:id="25568" w:name="_Toc4316303"/>
      <w:bookmarkStart w:id="25569" w:name="_Toc4330747"/>
      <w:bookmarkStart w:id="25570" w:name="_Toc19392147"/>
      <w:bookmarkStart w:id="25571" w:name="_Toc19395644"/>
      <w:r>
        <w:rPr>
          <w:rFonts w:hint="cs"/>
          <w:rtl/>
        </w:rPr>
        <w:t>ביאור הגרש"ר דלריו"ח דם התמצית הוא אותו חלות דדם הנפש וההיתר נאמר בשניהם</w:t>
      </w:r>
      <w:bookmarkEnd w:id="25568"/>
      <w:bookmarkEnd w:id="25569"/>
      <w:bookmarkEnd w:id="25570"/>
      <w:bookmarkEnd w:id="25571"/>
    </w:p>
    <w:p w14:paraId="75F7C5A3" w14:textId="77777777" w:rsidR="003D504D" w:rsidRDefault="003D504D" w:rsidP="00223668">
      <w:pPr>
        <w:pStyle w:val="a0"/>
        <w:sectPr w:rsidR="003D504D" w:rsidSect="005049E2">
          <w:type w:val="continuous"/>
          <w:pgSz w:w="11906" w:h="16838"/>
          <w:pgMar w:top="720" w:right="720" w:bottom="720" w:left="720" w:header="283" w:footer="283" w:gutter="0"/>
          <w:cols w:num="2" w:space="567"/>
          <w:titlePg/>
          <w:bidi/>
          <w:rtlGutter/>
          <w:docGrid w:linePitch="299"/>
        </w:sectPr>
      </w:pPr>
      <w:r>
        <w:rPr>
          <w:rFonts w:hint="cs"/>
          <w:rtl/>
        </w:rPr>
        <w:t xml:space="preserve">אבל בדעת ריו"ח ביאר </w:t>
      </w:r>
      <w:r w:rsidRPr="00D4614E">
        <w:rPr>
          <w:rStyle w:val="af9"/>
          <w:rFonts w:hint="cs"/>
          <w:rtl/>
        </w:rPr>
        <w:t>הגרש"ר</w:t>
      </w:r>
      <w:r>
        <w:rPr>
          <w:rFonts w:hint="cs"/>
          <w:rtl/>
        </w:rPr>
        <w:t xml:space="preserve"> בדעת </w:t>
      </w:r>
      <w:r w:rsidRPr="00077EEF">
        <w:rPr>
          <w:rStyle w:val="af9"/>
          <w:rFonts w:hint="cs"/>
          <w:rtl/>
        </w:rPr>
        <w:t>הרא"ש</w:t>
      </w:r>
      <w:r>
        <w:rPr>
          <w:rFonts w:hint="cs"/>
          <w:rtl/>
        </w:rPr>
        <w:t xml:space="preserve"> דס"ל דחלות האיסור של הכרת והלאו, בדם הנפש ובדם התמצית הוא חלות אחד, ולכן אף דחשיב שהוא אבר מאברי אמו, יש בו איסור, ולא שייך בדם היתר "כל בבהמה תאכלו" כלל, וכתב </w:t>
      </w:r>
      <w:r w:rsidRPr="00D4614E">
        <w:rPr>
          <w:rStyle w:val="af9"/>
          <w:rFonts w:hint="cs"/>
          <w:rtl/>
        </w:rPr>
        <w:t>הגרש"ר</w:t>
      </w:r>
      <w:r>
        <w:rPr>
          <w:rFonts w:hint="cs"/>
          <w:rtl/>
        </w:rPr>
        <w:t xml:space="preserve"> דלכן ס"ל לריו"ח דחייב כרת גם על דם הנפש וגם על דם התמצית לר"י,</w:t>
      </w:r>
      <w:r w:rsidRPr="007546EC">
        <w:rPr>
          <w:rFonts w:hint="cs"/>
          <w:rtl/>
        </w:rPr>
        <w:t xml:space="preserve"> </w:t>
      </w:r>
      <w:r>
        <w:rPr>
          <w:rFonts w:hint="cs"/>
          <w:rtl/>
        </w:rPr>
        <w:t xml:space="preserve">ועיי"ש במה שביאר </w:t>
      </w:r>
      <w:r w:rsidRPr="007546EC">
        <w:rPr>
          <w:rStyle w:val="af9"/>
          <w:rFonts w:hint="cs"/>
          <w:rtl/>
        </w:rPr>
        <w:t>הגרש"ר</w:t>
      </w:r>
      <w:r>
        <w:rPr>
          <w:rFonts w:hint="cs"/>
          <w:rtl/>
        </w:rPr>
        <w:t xml:space="preserve"> </w:t>
      </w:r>
      <w:r>
        <w:rPr>
          <w:rStyle w:val="af7"/>
          <w:rFonts w:eastAsia="Guttman Hodes" w:hint="cs"/>
          <w:rtl/>
        </w:rPr>
        <w:t xml:space="preserve">(זכרון שמואל סי' ע"ד אות ד' ד"ה ועדיין) </w:t>
      </w:r>
      <w:r>
        <w:rPr>
          <w:rFonts w:hint="cs"/>
          <w:rtl/>
        </w:rPr>
        <w:t xml:space="preserve">בדברי </w:t>
      </w:r>
      <w:r w:rsidRPr="007546EC">
        <w:rPr>
          <w:rStyle w:val="af9"/>
          <w:rFonts w:hint="cs"/>
          <w:rtl/>
        </w:rPr>
        <w:t>הרא"ש</w:t>
      </w:r>
      <w:r>
        <w:rPr>
          <w:rFonts w:hint="cs"/>
          <w:rtl/>
        </w:rPr>
        <w:t xml:space="preserve"> בחילוק שבין איסור הדם, להיתר בחותך מעובר שבמעיה.</w:t>
      </w:r>
    </w:p>
    <w:p w14:paraId="3D660456" w14:textId="77777777" w:rsidR="003D504D" w:rsidRDefault="003D504D" w:rsidP="003D504D">
      <w:pPr>
        <w:pStyle w:val="ad"/>
        <w:tabs>
          <w:tab w:val="left" w:pos="1163"/>
        </w:tabs>
        <w:spacing w:before="120" w:after="120" w:line="240" w:lineRule="auto"/>
        <w:ind w:left="0"/>
        <w:contextualSpacing w:val="0"/>
        <w:rPr>
          <w:rFonts w:ascii="Guttman Hodes" w:eastAsia="Guttman Hodes" w:hAnsi="Guttman Hodes" w:cs="Guttman Hodes"/>
          <w:noProof/>
          <w:sz w:val="18"/>
          <w:szCs w:val="18"/>
        </w:rPr>
        <w:sectPr w:rsidR="003D504D" w:rsidSect="003D504D">
          <w:type w:val="continuous"/>
          <w:pgSz w:w="11906" w:h="16838"/>
          <w:pgMar w:top="720" w:right="720" w:bottom="720" w:left="720" w:header="283" w:footer="283" w:gutter="0"/>
          <w:cols w:space="567"/>
          <w:bidi/>
          <w:rtlGutter/>
          <w:docGrid w:linePitch="299"/>
        </w:sectPr>
      </w:pPr>
    </w:p>
    <w:p w14:paraId="0DC1367B" w14:textId="77777777" w:rsidR="003D504D" w:rsidRPr="00A7241B" w:rsidRDefault="004B65FC" w:rsidP="003D504D">
      <w:pPr>
        <w:pStyle w:val="ad"/>
        <w:tabs>
          <w:tab w:val="left" w:pos="1163"/>
        </w:tabs>
        <w:spacing w:before="120" w:after="120" w:line="240" w:lineRule="auto"/>
        <w:ind w:left="0"/>
        <w:contextualSpacing w:val="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137BC182">
          <v:shape id="_x0000_i1054" type="#_x0000_t75" style="width:409.4pt;height:4.45pt" o:hrpct="0" o:hralign="center" o:hr="t">
            <v:imagedata r:id="rId21" o:title="BD14845_"/>
          </v:shape>
        </w:pict>
      </w:r>
    </w:p>
    <w:p w14:paraId="4853BAFD" w14:textId="77777777" w:rsidR="003D504D" w:rsidRDefault="003D504D" w:rsidP="003D504D">
      <w:pPr>
        <w:pStyle w:val="afe"/>
        <w:rPr>
          <w:rtl/>
        </w:rPr>
      </w:pPr>
      <w:bookmarkStart w:id="25572" w:name="_Toc4305437"/>
      <w:bookmarkStart w:id="25573" w:name="_Toc4316304"/>
      <w:bookmarkStart w:id="25574" w:name="_Toc4330748"/>
      <w:bookmarkStart w:id="25575" w:name="_Toc19436433"/>
      <w:bookmarkStart w:id="25576" w:name="_Toc20081550"/>
      <w:r w:rsidRPr="0075165B">
        <w:rPr>
          <w:rFonts w:hint="cs"/>
          <w:rtl/>
        </w:rPr>
        <w:t>מראי מקומות וביאורים על הרמב"ם</w:t>
      </w:r>
      <w:bookmarkEnd w:id="25572"/>
      <w:bookmarkEnd w:id="25573"/>
      <w:bookmarkEnd w:id="25574"/>
      <w:bookmarkEnd w:id="25575"/>
      <w:bookmarkEnd w:id="25576"/>
    </w:p>
    <w:p w14:paraId="4F395F7D" w14:textId="77777777" w:rsidR="003D504D" w:rsidRDefault="003D504D" w:rsidP="003D504D">
      <w:pPr>
        <w:tabs>
          <w:tab w:val="left" w:pos="1163"/>
        </w:tabs>
        <w:spacing w:before="120" w:after="120" w:line="240" w:lineRule="auto"/>
        <w:ind w:left="0"/>
        <w:rPr>
          <w:rFonts w:cs="FrankRuehl"/>
          <w:sz w:val="20"/>
          <w:rtl/>
        </w:rPr>
        <w:sectPr w:rsidR="003D504D" w:rsidSect="003D504D">
          <w:pgSz w:w="11906" w:h="16838"/>
          <w:pgMar w:top="720" w:right="720" w:bottom="720" w:left="720" w:header="283" w:footer="283" w:gutter="0"/>
          <w:cols w:space="567"/>
          <w:bidi/>
          <w:rtlGutter/>
          <w:docGrid w:linePitch="299"/>
        </w:sectPr>
      </w:pPr>
    </w:p>
    <w:p w14:paraId="6711279B" w14:textId="77777777" w:rsidR="003D504D" w:rsidRDefault="003D504D" w:rsidP="00223668">
      <w:pPr>
        <w:pStyle w:val="a0"/>
        <w:numPr>
          <w:ilvl w:val="0"/>
          <w:numId w:val="0"/>
        </w:numPr>
        <w:rPr>
          <w:rtl/>
        </w:rPr>
      </w:pPr>
    </w:p>
    <w:p w14:paraId="1829666A" w14:textId="77777777" w:rsidR="003D504D" w:rsidRDefault="003D504D" w:rsidP="003D504D">
      <w:pPr>
        <w:pStyle w:val="afe"/>
        <w:rPr>
          <w:rtl/>
        </w:rPr>
      </w:pPr>
      <w:bookmarkStart w:id="25577" w:name="_Toc4305438"/>
      <w:bookmarkStart w:id="25578" w:name="_Toc4316305"/>
      <w:bookmarkStart w:id="25579" w:name="_Toc4330749"/>
      <w:bookmarkStart w:id="25580" w:name="_Toc19436434"/>
      <w:bookmarkStart w:id="25581" w:name="_Toc20081551"/>
      <w:r>
        <w:rPr>
          <w:rtl/>
        </w:rPr>
        <w:t xml:space="preserve">בדעת הרמב"ם </w:t>
      </w:r>
      <w:r>
        <w:rPr>
          <w:rFonts w:hint="cs"/>
          <w:rtl/>
        </w:rPr>
        <w:t>בחיוב כרת בדם ה</w:t>
      </w:r>
      <w:bookmarkEnd w:id="25392"/>
      <w:bookmarkEnd w:id="25393"/>
      <w:bookmarkEnd w:id="25394"/>
      <w:bookmarkEnd w:id="25577"/>
      <w:bookmarkEnd w:id="25578"/>
      <w:r>
        <w:rPr>
          <w:rFonts w:hint="cs"/>
          <w:rtl/>
        </w:rPr>
        <w:t>כנוס בלב</w:t>
      </w:r>
      <w:bookmarkEnd w:id="25579"/>
      <w:bookmarkEnd w:id="25580"/>
      <w:bookmarkEnd w:id="25581"/>
    </w:p>
    <w:p w14:paraId="074AA2B7" w14:textId="77777777" w:rsidR="003D504D" w:rsidRDefault="003D504D" w:rsidP="00BF39B2">
      <w:pPr>
        <w:pStyle w:val="1"/>
        <w:rPr>
          <w:rtl/>
        </w:rPr>
      </w:pPr>
      <w:bookmarkStart w:id="25582" w:name="_Toc4330750"/>
      <w:bookmarkStart w:id="25583" w:name="_Toc19392148"/>
      <w:bookmarkStart w:id="25584" w:name="_Toc19395645"/>
      <w:r>
        <w:rPr>
          <w:rFonts w:hint="cs"/>
          <w:rtl/>
        </w:rPr>
        <w:t>דברי הרמב"ם והראב"ד בחיוב לאו וכרת בדם השליל</w:t>
      </w:r>
      <w:bookmarkEnd w:id="25582"/>
      <w:bookmarkEnd w:id="25583"/>
      <w:bookmarkEnd w:id="25584"/>
    </w:p>
    <w:p w14:paraId="5550EE6B" w14:textId="77777777" w:rsidR="003D504D" w:rsidRPr="003E418D" w:rsidRDefault="003D504D" w:rsidP="003D504D">
      <w:pPr>
        <w:pStyle w:val="a3"/>
        <w:rPr>
          <w:rtl/>
        </w:rPr>
      </w:pPr>
      <w:bookmarkStart w:id="25585" w:name="_Toc4330751"/>
      <w:bookmarkStart w:id="25586" w:name="_Toc19392149"/>
      <w:bookmarkStart w:id="25587" w:name="_Toc19395646"/>
      <w:r>
        <w:rPr>
          <w:rFonts w:hint="cs"/>
          <w:rtl/>
        </w:rPr>
        <w:t>דברי הרמב"ם דדם שליל כדם ילוד ודם הכנוס בלבו בכרת ושאר דמו כדם האיברים</w:t>
      </w:r>
      <w:bookmarkEnd w:id="25585"/>
      <w:bookmarkEnd w:id="25586"/>
      <w:bookmarkEnd w:id="25587"/>
    </w:p>
    <w:p w14:paraId="1CD75198" w14:textId="77777777" w:rsidR="003D504D" w:rsidRDefault="003D504D" w:rsidP="00223668">
      <w:pPr>
        <w:pStyle w:val="a0"/>
        <w:rPr>
          <w:rtl/>
        </w:rPr>
      </w:pPr>
      <w:bookmarkStart w:id="25588" w:name="_Ref4305445"/>
      <w:r>
        <w:rPr>
          <w:rFonts w:hint="cs"/>
          <w:rtl/>
        </w:rPr>
        <w:t xml:space="preserve">כתב </w:t>
      </w:r>
      <w:r w:rsidRPr="003E418D">
        <w:rPr>
          <w:rStyle w:val="af9"/>
          <w:rFonts w:hint="cs"/>
          <w:rtl/>
        </w:rPr>
        <w:t>הרמב"ם</w:t>
      </w:r>
      <w:r>
        <w:rPr>
          <w:rFonts w:hint="cs"/>
          <w:rtl/>
        </w:rPr>
        <w:t xml:space="preserve"> </w:t>
      </w:r>
      <w:r w:rsidRPr="003E418D">
        <w:rPr>
          <w:rStyle w:val="af7"/>
          <w:rFonts w:eastAsia="Guttman Hodes" w:hint="cs"/>
          <w:rtl/>
        </w:rPr>
        <w:t xml:space="preserve">(מאכ"א פ"ו ה"ה) </w:t>
      </w:r>
      <w:r>
        <w:rPr>
          <w:rFonts w:hint="cs"/>
          <w:rtl/>
        </w:rPr>
        <w:t>דדמו של השליל הוא כדם הילוד, ולכן הדם שנמצא כנוס בלבו, יש בו חיוב כרת, ושאר דמו הוא כדם האברים.</w:t>
      </w:r>
      <w:bookmarkEnd w:id="25588"/>
      <w:r>
        <w:rPr>
          <w:rFonts w:hint="cs"/>
          <w:rtl/>
        </w:rPr>
        <w:t xml:space="preserve"> </w:t>
      </w:r>
    </w:p>
    <w:p w14:paraId="0B61FC14" w14:textId="77777777" w:rsidR="003D504D" w:rsidRPr="00512B9B" w:rsidRDefault="003D504D" w:rsidP="003D504D">
      <w:pPr>
        <w:pStyle w:val="a3"/>
        <w:rPr>
          <w:rtl/>
        </w:rPr>
      </w:pPr>
      <w:bookmarkStart w:id="25589" w:name="_Toc4330752"/>
      <w:bookmarkStart w:id="25590" w:name="_Toc19392150"/>
      <w:bookmarkStart w:id="25591" w:name="_Toc19395647"/>
      <w:r>
        <w:rPr>
          <w:rFonts w:hint="cs"/>
          <w:rtl/>
        </w:rPr>
        <w:t>דברי הרמב"ם דבלא כלו חדשיו חלבו מותר ובכלו חדשיו אף שמותר בשחיטת אמו חלבו אסור</w:t>
      </w:r>
      <w:bookmarkEnd w:id="25589"/>
      <w:bookmarkEnd w:id="25590"/>
      <w:bookmarkEnd w:id="25591"/>
    </w:p>
    <w:p w14:paraId="49104629" w14:textId="77777777" w:rsidR="003D504D" w:rsidRDefault="003D504D" w:rsidP="00223668">
      <w:pPr>
        <w:pStyle w:val="a0"/>
        <w:rPr>
          <w:rtl/>
        </w:rPr>
      </w:pPr>
      <w:r>
        <w:rPr>
          <w:rtl/>
        </w:rPr>
        <w:t xml:space="preserve">ובדין חלב כתב </w:t>
      </w:r>
      <w:r w:rsidRPr="003D10E0">
        <w:rPr>
          <w:rStyle w:val="af9"/>
          <w:rFonts w:hint="cs"/>
          <w:rtl/>
        </w:rPr>
        <w:t>הרמב"ם</w:t>
      </w:r>
      <w:r>
        <w:rPr>
          <w:rFonts w:hint="cs"/>
          <w:rtl/>
        </w:rPr>
        <w:t xml:space="preserve"> </w:t>
      </w:r>
      <w:r w:rsidRPr="00590D1E">
        <w:rPr>
          <w:rStyle w:val="af7"/>
          <w:rFonts w:eastAsia="Guttman Hodes" w:hint="cs"/>
          <w:rtl/>
        </w:rPr>
        <w:t>(מאכ"א פ"ז ה"ג)</w:t>
      </w:r>
      <w:r>
        <w:rPr>
          <w:rFonts w:hint="cs"/>
          <w:rtl/>
        </w:rPr>
        <w:t xml:space="preserve"> דשליל שלא כלו לו חדשיו אפילו אם הוא חי, חלבו מותר בשחיטת אמו, ובכלו לו חדשיו ומצאו חי אעפ"י שלא הפריס ע"ג קרקע, ואינו טעון שחיטה, מ"מ חלבו אסור וחייבין עליו כרת.</w:t>
      </w:r>
    </w:p>
    <w:p w14:paraId="106063E5" w14:textId="77777777" w:rsidR="003D504D" w:rsidRDefault="003D504D" w:rsidP="003D504D">
      <w:pPr>
        <w:pStyle w:val="a3"/>
        <w:rPr>
          <w:rtl/>
        </w:rPr>
      </w:pPr>
      <w:bookmarkStart w:id="25592" w:name="_Toc4330753"/>
      <w:bookmarkStart w:id="25593" w:name="_Toc19392151"/>
      <w:bookmarkStart w:id="25594" w:name="_Toc19395648"/>
      <w:r>
        <w:rPr>
          <w:rFonts w:hint="cs"/>
          <w:rtl/>
        </w:rPr>
        <w:t>השגת הראב"ד דכן הדין בדם השחיטה דהוא בא מן הריאה והכבד</w:t>
      </w:r>
      <w:bookmarkEnd w:id="25592"/>
      <w:bookmarkEnd w:id="25593"/>
      <w:bookmarkEnd w:id="25594"/>
    </w:p>
    <w:p w14:paraId="5CE5093A" w14:textId="77777777" w:rsidR="003D504D" w:rsidRDefault="003D504D" w:rsidP="00223668">
      <w:pPr>
        <w:pStyle w:val="a0"/>
        <w:rPr>
          <w:rtl/>
        </w:rPr>
      </w:pPr>
      <w:bookmarkStart w:id="25595" w:name="_Ref4320784"/>
      <w:r>
        <w:rPr>
          <w:rFonts w:hint="cs"/>
          <w:rtl/>
        </w:rPr>
        <w:t xml:space="preserve">ועל דברי </w:t>
      </w:r>
      <w:r w:rsidRPr="00DD61FE">
        <w:rPr>
          <w:rStyle w:val="af9"/>
          <w:rFonts w:hint="cs"/>
          <w:rtl/>
        </w:rPr>
        <w:t>הרמב"ם</w:t>
      </w:r>
      <w:r>
        <w:rPr>
          <w:rFonts w:hint="cs"/>
          <w:rtl/>
        </w:rPr>
        <w:t xml:space="preserve"> דחייב כרת בדם הלב, השיג </w:t>
      </w:r>
      <w:r w:rsidRPr="00F97771">
        <w:rPr>
          <w:rStyle w:val="af9"/>
          <w:rFonts w:hint="cs"/>
          <w:rtl/>
        </w:rPr>
        <w:t>הראב"ד</w:t>
      </w:r>
      <w:r>
        <w:rPr>
          <w:rFonts w:hint="cs"/>
          <w:rtl/>
        </w:rPr>
        <w:t xml:space="preserve"> </w:t>
      </w:r>
      <w:r w:rsidRPr="00F97771">
        <w:rPr>
          <w:rStyle w:val="af7"/>
          <w:rFonts w:eastAsia="Guttman Hodes" w:hint="cs"/>
          <w:rtl/>
        </w:rPr>
        <w:t xml:space="preserve">(מאכ"א פ"ו ה"ה) </w:t>
      </w:r>
      <w:r>
        <w:rPr>
          <w:rFonts w:hint="cs"/>
          <w:rtl/>
        </w:rPr>
        <w:t xml:space="preserve">דכן הדם היוצא מבית השחיטה שהוא מן הריאה והכבד, </w:t>
      </w:r>
      <w:r w:rsidRPr="00F97771">
        <w:rPr>
          <w:rStyle w:val="afb"/>
          <w:rFonts w:hint="cs"/>
          <w:rtl/>
        </w:rPr>
        <w:t xml:space="preserve">[כן </w:t>
      </w:r>
      <w:r>
        <w:rPr>
          <w:rStyle w:val="afb"/>
          <w:rFonts w:hint="cs"/>
          <w:rtl/>
        </w:rPr>
        <w:t>גרסו</w:t>
      </w:r>
      <w:r w:rsidRPr="00F97771">
        <w:rPr>
          <w:rStyle w:val="afb"/>
          <w:rFonts w:hint="cs"/>
          <w:rtl/>
        </w:rPr>
        <w:t xml:space="preserve"> </w:t>
      </w:r>
      <w:r w:rsidRPr="00F97771">
        <w:rPr>
          <w:rStyle w:val="affa"/>
          <w:rFonts w:hint="cs"/>
          <w:rtl/>
        </w:rPr>
        <w:t>המגד"ע והלח"מ בראב"ד</w:t>
      </w:r>
      <w:r>
        <w:rPr>
          <w:rStyle w:val="afb"/>
          <w:rFonts w:hint="cs"/>
          <w:rtl/>
        </w:rPr>
        <w:t>, עי' בהערה</w:t>
      </w:r>
      <w:r>
        <w:rPr>
          <w:rStyle w:val="af1"/>
          <w:rtl/>
        </w:rPr>
        <w:footnoteReference w:id="130"/>
      </w:r>
      <w:r w:rsidRPr="00F97771">
        <w:rPr>
          <w:rStyle w:val="afb"/>
          <w:rFonts w:hint="cs"/>
          <w:rtl/>
        </w:rPr>
        <w:t>]</w:t>
      </w:r>
      <w:r>
        <w:rPr>
          <w:rFonts w:hint="cs"/>
          <w:rtl/>
        </w:rPr>
        <w:t>.</w:t>
      </w:r>
      <w:bookmarkEnd w:id="25595"/>
    </w:p>
    <w:p w14:paraId="599FE962" w14:textId="77777777" w:rsidR="003D504D" w:rsidRPr="00A6490A" w:rsidRDefault="003D504D" w:rsidP="003D504D">
      <w:pPr>
        <w:pStyle w:val="a3"/>
      </w:pPr>
      <w:bookmarkStart w:id="25596" w:name="_Toc4330754"/>
      <w:bookmarkStart w:id="25597" w:name="_Toc19392152"/>
      <w:bookmarkStart w:id="25598" w:name="_Toc19395649"/>
      <w:r>
        <w:rPr>
          <w:rFonts w:hint="cs"/>
          <w:rtl/>
        </w:rPr>
        <w:t>הביאור הא' במ"מ דהראב"ד פליג על הרמב"ם ומחייב כרת אף בדם השחיטה כדין כל בהמה</w:t>
      </w:r>
      <w:bookmarkEnd w:id="25596"/>
      <w:bookmarkEnd w:id="25597"/>
      <w:bookmarkEnd w:id="25598"/>
    </w:p>
    <w:p w14:paraId="66C94358" w14:textId="77777777" w:rsidR="003D504D" w:rsidRDefault="003D504D" w:rsidP="00223668">
      <w:pPr>
        <w:pStyle w:val="a0"/>
        <w:rPr>
          <w:rtl/>
        </w:rPr>
      </w:pPr>
      <w:bookmarkStart w:id="25599" w:name="_Ref4317356"/>
      <w:r>
        <w:rPr>
          <w:rFonts w:hint="cs"/>
          <w:rtl/>
        </w:rPr>
        <w:t xml:space="preserve">וכתב </w:t>
      </w:r>
      <w:r w:rsidRPr="00DD61FE">
        <w:rPr>
          <w:rStyle w:val="af9"/>
          <w:rFonts w:hint="cs"/>
          <w:rtl/>
        </w:rPr>
        <w:t>המ"מ</w:t>
      </w:r>
      <w:r w:rsidRPr="00DD61FE">
        <w:rPr>
          <w:rStyle w:val="af7"/>
          <w:rFonts w:eastAsia="Guttman Hodes" w:hint="cs"/>
          <w:rtl/>
        </w:rPr>
        <w:t xml:space="preserve"> </w:t>
      </w:r>
      <w:r w:rsidRPr="00F97771">
        <w:rPr>
          <w:rStyle w:val="af7"/>
          <w:rFonts w:eastAsia="Guttman Hodes" w:hint="cs"/>
          <w:rtl/>
        </w:rPr>
        <w:t>(מאכ"א פ"ו ה"ה)</w:t>
      </w:r>
      <w:r>
        <w:rPr>
          <w:rFonts w:hint="cs"/>
          <w:rtl/>
        </w:rPr>
        <w:t xml:space="preserve"> דדברי </w:t>
      </w:r>
      <w:r w:rsidRPr="00DD61FE">
        <w:rPr>
          <w:rStyle w:val="af9"/>
          <w:rFonts w:hint="cs"/>
          <w:rtl/>
        </w:rPr>
        <w:t>הראב"ד</w:t>
      </w:r>
      <w:r>
        <w:rPr>
          <w:rFonts w:hint="cs"/>
          <w:rtl/>
        </w:rPr>
        <w:t xml:space="preserve"> סתומים, וביאר </w:t>
      </w:r>
      <w:r w:rsidRPr="00DD61FE">
        <w:rPr>
          <w:rStyle w:val="af9"/>
          <w:rFonts w:hint="cs"/>
          <w:rtl/>
        </w:rPr>
        <w:t>המ"מ בביאורו הא'</w:t>
      </w:r>
      <w:r>
        <w:rPr>
          <w:rFonts w:hint="cs"/>
          <w:rtl/>
        </w:rPr>
        <w:t xml:space="preserve"> דכוונת </w:t>
      </w:r>
      <w:r w:rsidRPr="00DD61FE">
        <w:rPr>
          <w:rStyle w:val="af9"/>
          <w:rFonts w:hint="cs"/>
          <w:rtl/>
        </w:rPr>
        <w:t>הראב"ד</w:t>
      </w:r>
      <w:r>
        <w:rPr>
          <w:rFonts w:hint="cs"/>
          <w:rtl/>
        </w:rPr>
        <w:t xml:space="preserve"> להשיג על </w:t>
      </w:r>
      <w:r w:rsidRPr="00DD61FE">
        <w:rPr>
          <w:rStyle w:val="af9"/>
          <w:rFonts w:hint="cs"/>
          <w:rtl/>
        </w:rPr>
        <w:t>הרמב"ם</w:t>
      </w:r>
      <w:r>
        <w:rPr>
          <w:rFonts w:hint="cs"/>
          <w:rtl/>
        </w:rPr>
        <w:t xml:space="preserve"> דאף הדם היוצא מבית השחיטה חייב עליו כרת, דאעפ"י שהוא בא מהריאה והכבד, מ"מ דינו כדם שחיטה של בהמה אחרת.</w:t>
      </w:r>
      <w:bookmarkEnd w:id="25599"/>
    </w:p>
    <w:p w14:paraId="522972A4" w14:textId="77777777" w:rsidR="003D504D" w:rsidRPr="00006C82" w:rsidRDefault="003D504D" w:rsidP="003D504D">
      <w:pPr>
        <w:pStyle w:val="a3"/>
      </w:pPr>
      <w:bookmarkStart w:id="25600" w:name="_Toc4330755"/>
      <w:bookmarkStart w:id="25601" w:name="_Toc19392153"/>
      <w:bookmarkStart w:id="25602" w:name="_Toc19395650"/>
      <w:r>
        <w:rPr>
          <w:rFonts w:hint="cs"/>
          <w:rtl/>
        </w:rPr>
        <w:t>הביאור הב' במ"מ דהראב"ד מבאר את דברי הרמב"ם דדם השחיטה בלאו דהוא דם האיברים</w:t>
      </w:r>
      <w:bookmarkEnd w:id="25600"/>
      <w:bookmarkEnd w:id="25601"/>
      <w:bookmarkEnd w:id="25602"/>
    </w:p>
    <w:p w14:paraId="1B1FD818" w14:textId="77777777" w:rsidR="003D504D" w:rsidRDefault="003D504D" w:rsidP="00223668">
      <w:pPr>
        <w:pStyle w:val="a0"/>
        <w:rPr>
          <w:rtl/>
        </w:rPr>
      </w:pPr>
      <w:r>
        <w:rPr>
          <w:rFonts w:hint="cs"/>
          <w:rtl/>
        </w:rPr>
        <w:t xml:space="preserve">ועוד ביאר </w:t>
      </w:r>
      <w:r w:rsidRPr="00DD61FE">
        <w:rPr>
          <w:rStyle w:val="af9"/>
          <w:rFonts w:hint="cs"/>
          <w:rtl/>
        </w:rPr>
        <w:t>המ"מ בביאורו ה</w:t>
      </w:r>
      <w:r>
        <w:rPr>
          <w:rStyle w:val="af9"/>
          <w:rFonts w:hint="cs"/>
          <w:rtl/>
        </w:rPr>
        <w:t>ב</w:t>
      </w:r>
      <w:r w:rsidRPr="00DD61FE">
        <w:rPr>
          <w:rStyle w:val="af9"/>
          <w:rFonts w:hint="cs"/>
          <w:rtl/>
        </w:rPr>
        <w:t>'</w:t>
      </w:r>
      <w:r>
        <w:rPr>
          <w:rFonts w:hint="cs"/>
          <w:rtl/>
        </w:rPr>
        <w:t xml:space="preserve"> דכוונת </w:t>
      </w:r>
      <w:r w:rsidRPr="00DD61FE">
        <w:rPr>
          <w:rStyle w:val="af9"/>
          <w:rFonts w:hint="cs"/>
          <w:rtl/>
        </w:rPr>
        <w:t>הראב"ד</w:t>
      </w:r>
      <w:r>
        <w:rPr>
          <w:rFonts w:hint="cs"/>
          <w:rtl/>
        </w:rPr>
        <w:t xml:space="preserve"> לבאר את דברי </w:t>
      </w:r>
      <w:r w:rsidRPr="00DD61FE">
        <w:rPr>
          <w:rStyle w:val="af9"/>
          <w:rFonts w:hint="cs"/>
          <w:rtl/>
        </w:rPr>
        <w:t>הרמב"ם</w:t>
      </w:r>
      <w:r>
        <w:rPr>
          <w:rFonts w:hint="cs"/>
          <w:rtl/>
        </w:rPr>
        <w:t xml:space="preserve"> דחיוב הכרת הוא רק בדם הלב, אבל דם השחיטה אין בו חיוב כרת, כיון שהוא בא מהריאה או מהכבד.</w:t>
      </w:r>
    </w:p>
    <w:p w14:paraId="2FB1D461" w14:textId="77777777" w:rsidR="003D504D" w:rsidRPr="00E62867" w:rsidRDefault="003D504D" w:rsidP="003D504D">
      <w:pPr>
        <w:pStyle w:val="a3"/>
      </w:pPr>
      <w:bookmarkStart w:id="25603" w:name="_Toc4330756"/>
      <w:bookmarkStart w:id="25604" w:name="_Toc19392154"/>
      <w:bookmarkStart w:id="25605" w:name="_Toc19395651"/>
      <w:r>
        <w:rPr>
          <w:rFonts w:hint="cs"/>
          <w:rtl/>
        </w:rPr>
        <w:t>דברי הלח"מ בביאור הב' במ"מ דבשליל אין חיוב על דם שחיטתו דכל אבריו כשחוטים</w:t>
      </w:r>
      <w:bookmarkEnd w:id="25603"/>
      <w:bookmarkEnd w:id="25604"/>
      <w:bookmarkEnd w:id="25605"/>
    </w:p>
    <w:p w14:paraId="542D67E7" w14:textId="77777777" w:rsidR="003D504D" w:rsidRDefault="003D504D" w:rsidP="00223668">
      <w:pPr>
        <w:pStyle w:val="a0"/>
        <w:rPr>
          <w:rtl/>
        </w:rPr>
      </w:pPr>
      <w:bookmarkStart w:id="25606" w:name="_Ref4320393"/>
      <w:r w:rsidRPr="00674C76">
        <w:rPr>
          <w:rFonts w:hint="cs"/>
          <w:rtl/>
        </w:rPr>
        <w:t xml:space="preserve">וביאר </w:t>
      </w:r>
      <w:r w:rsidRPr="00674C76">
        <w:rPr>
          <w:rStyle w:val="af9"/>
          <w:rFonts w:hint="cs"/>
          <w:rtl/>
        </w:rPr>
        <w:t>הלח"מ</w:t>
      </w:r>
      <w:r w:rsidRPr="00674C76">
        <w:rPr>
          <w:rFonts w:hint="cs"/>
          <w:rtl/>
        </w:rPr>
        <w:t xml:space="preserve"> </w:t>
      </w:r>
      <w:r w:rsidRPr="00674C76">
        <w:rPr>
          <w:rStyle w:val="af7"/>
          <w:rFonts w:eastAsia="Guttman Hodes" w:hint="cs"/>
          <w:rtl/>
        </w:rPr>
        <w:t>(מאכ"א פ"ו ה"ה)</w:t>
      </w:r>
      <w:r w:rsidRPr="00674C76">
        <w:rPr>
          <w:rFonts w:hint="cs"/>
          <w:rtl/>
        </w:rPr>
        <w:t xml:space="preserve"> את דברי </w:t>
      </w:r>
      <w:r w:rsidRPr="00674C76">
        <w:rPr>
          <w:rStyle w:val="af9"/>
          <w:rFonts w:hint="cs"/>
          <w:rtl/>
        </w:rPr>
        <w:t>המ"מ בביאורו הב' בראב"ד</w:t>
      </w:r>
      <w:r w:rsidRPr="00674C76">
        <w:rPr>
          <w:rFonts w:hint="cs"/>
          <w:rtl/>
        </w:rPr>
        <w:t xml:space="preserve"> דבכל בהמה יש חיוב כרת על דם השחיטה שלה, דאעפ"י שהוא יוצא מהריאה והכבד, מ"מ כיון שיוצא מבית השחיטה יש בו חיוב כרת, אבל בשליל, א"א לאסור את הדם מחמת השחיטה, דהא כל אבריו כשחוטים, ורק הדם של הלב אסור, וזו כוונת </w:t>
      </w:r>
      <w:r w:rsidRPr="00674C76">
        <w:rPr>
          <w:rStyle w:val="af9"/>
          <w:rFonts w:hint="cs"/>
          <w:rtl/>
        </w:rPr>
        <w:t>הראב"ד</w:t>
      </w:r>
      <w:r w:rsidRPr="00674C76">
        <w:rPr>
          <w:rFonts w:hint="cs"/>
          <w:rtl/>
        </w:rPr>
        <w:t xml:space="preserve"> לומר דדם השחיטה אינו בא מהלב אלא מהריאה או מהכבד, וממילא לא שייך בו חיוב כרת</w:t>
      </w:r>
      <w:r>
        <w:rPr>
          <w:rFonts w:hint="cs"/>
          <w:rtl/>
        </w:rPr>
        <w:t xml:space="preserve">, ועי' בדברי </w:t>
      </w:r>
      <w:r w:rsidRPr="00674C76">
        <w:rPr>
          <w:rStyle w:val="af9"/>
          <w:rFonts w:hint="cs"/>
          <w:rtl/>
        </w:rPr>
        <w:t>המ"מ</w:t>
      </w:r>
      <w:r>
        <w:rPr>
          <w:rFonts w:hint="cs"/>
          <w:rtl/>
        </w:rPr>
        <w:t xml:space="preserve"> </w:t>
      </w:r>
      <w:r w:rsidRPr="00F117A4">
        <w:rPr>
          <w:rStyle w:val="af7"/>
          <w:rFonts w:eastAsia="Guttman Hodes" w:hint="cs"/>
          <w:rtl/>
        </w:rPr>
        <w:t xml:space="preserve">(עי' אות </w:t>
      </w:r>
      <w:r w:rsidRPr="00F117A4">
        <w:rPr>
          <w:rStyle w:val="af7"/>
          <w:rFonts w:eastAsia="Guttman Hodes"/>
          <w:rtl/>
        </w:rPr>
        <w:fldChar w:fldCharType="begin"/>
      </w:r>
      <w:r w:rsidRPr="00F117A4">
        <w:rPr>
          <w:rStyle w:val="af7"/>
          <w:rFonts w:eastAsia="Guttman Hodes"/>
          <w:rtl/>
        </w:rPr>
        <w:instrText xml:space="preserve"> </w:instrText>
      </w:r>
      <w:r w:rsidRPr="00F117A4">
        <w:rPr>
          <w:rStyle w:val="af7"/>
          <w:rFonts w:eastAsia="Guttman Hodes" w:hint="cs"/>
        </w:rPr>
        <w:instrText>REF</w:instrText>
      </w:r>
      <w:r w:rsidRPr="00F117A4">
        <w:rPr>
          <w:rStyle w:val="af7"/>
          <w:rFonts w:eastAsia="Guttman Hodes" w:hint="cs"/>
          <w:rtl/>
        </w:rPr>
        <w:instrText xml:space="preserve"> _</w:instrText>
      </w:r>
      <w:r w:rsidRPr="00F117A4">
        <w:rPr>
          <w:rStyle w:val="af7"/>
          <w:rFonts w:eastAsia="Guttman Hodes" w:hint="cs"/>
        </w:rPr>
        <w:instrText>Ref4320641 \r \h</w:instrText>
      </w:r>
      <w:r w:rsidRPr="00F117A4">
        <w:rPr>
          <w:rStyle w:val="af7"/>
          <w:rFonts w:eastAsia="Guttman Hodes"/>
          <w:rtl/>
        </w:rPr>
        <w:instrText xml:space="preserve"> </w:instrText>
      </w:r>
      <w:r w:rsidRPr="00F117A4">
        <w:rPr>
          <w:rStyle w:val="af7"/>
          <w:rFonts w:eastAsia="Guttman Hodes"/>
          <w:rtl/>
        </w:rPr>
      </w:r>
      <w:r w:rsidRPr="00F117A4">
        <w:rPr>
          <w:rStyle w:val="af7"/>
          <w:rFonts w:eastAsia="Guttman Hodes"/>
          <w:rtl/>
        </w:rPr>
        <w:fldChar w:fldCharType="separate"/>
      </w:r>
      <w:r w:rsidR="00345400">
        <w:rPr>
          <w:rStyle w:val="af7"/>
          <w:rFonts w:eastAsia="Guttman Hodes"/>
          <w:cs/>
        </w:rPr>
        <w:t>‎</w:t>
      </w:r>
      <w:r w:rsidR="00345400">
        <w:rPr>
          <w:rStyle w:val="af7"/>
          <w:rFonts w:eastAsia="Guttman Hodes"/>
          <w:rtl/>
        </w:rPr>
        <w:t>נט)</w:t>
      </w:r>
      <w:r w:rsidRPr="00F117A4">
        <w:rPr>
          <w:rStyle w:val="af7"/>
          <w:rFonts w:eastAsia="Guttman Hodes"/>
          <w:rtl/>
        </w:rPr>
        <w:fldChar w:fldCharType="end"/>
      </w:r>
      <w:r>
        <w:rPr>
          <w:rFonts w:hint="cs"/>
          <w:rtl/>
        </w:rPr>
        <w:t xml:space="preserve">, ובמ"ש </w:t>
      </w:r>
      <w:r w:rsidRPr="00F117A4">
        <w:rPr>
          <w:rStyle w:val="af9"/>
          <w:rFonts w:hint="cs"/>
          <w:rtl/>
        </w:rPr>
        <w:t>במנחת חינוך</w:t>
      </w:r>
      <w:r>
        <w:rPr>
          <w:rFonts w:hint="cs"/>
          <w:rtl/>
        </w:rPr>
        <w:t xml:space="preserve"> </w:t>
      </w:r>
      <w:r w:rsidRPr="00F117A4">
        <w:rPr>
          <w:rStyle w:val="af7"/>
          <w:rFonts w:eastAsia="Guttman Hodes" w:hint="cs"/>
          <w:rtl/>
        </w:rPr>
        <w:t xml:space="preserve">(עי' אות </w:t>
      </w:r>
      <w:r w:rsidRPr="00F117A4">
        <w:rPr>
          <w:rStyle w:val="af7"/>
          <w:rFonts w:eastAsia="Guttman Hodes"/>
          <w:rtl/>
        </w:rPr>
        <w:fldChar w:fldCharType="begin"/>
      </w:r>
      <w:r w:rsidRPr="00F117A4">
        <w:rPr>
          <w:rStyle w:val="af7"/>
          <w:rFonts w:eastAsia="Guttman Hodes"/>
          <w:rtl/>
        </w:rPr>
        <w:instrText xml:space="preserve"> </w:instrText>
      </w:r>
      <w:r w:rsidRPr="00F117A4">
        <w:rPr>
          <w:rStyle w:val="af7"/>
          <w:rFonts w:eastAsia="Guttman Hodes" w:hint="cs"/>
        </w:rPr>
        <w:instrText>REF</w:instrText>
      </w:r>
      <w:r w:rsidRPr="00F117A4">
        <w:rPr>
          <w:rStyle w:val="af7"/>
          <w:rFonts w:eastAsia="Guttman Hodes" w:hint="cs"/>
          <w:rtl/>
        </w:rPr>
        <w:instrText xml:space="preserve"> _</w:instrText>
      </w:r>
      <w:r w:rsidRPr="00F117A4">
        <w:rPr>
          <w:rStyle w:val="af7"/>
          <w:rFonts w:eastAsia="Guttman Hodes" w:hint="cs"/>
        </w:rPr>
        <w:instrText>Ref4320671 \r \h</w:instrText>
      </w:r>
      <w:r w:rsidRPr="00F117A4">
        <w:rPr>
          <w:rStyle w:val="af7"/>
          <w:rFonts w:eastAsia="Guttman Hodes"/>
          <w:rtl/>
        </w:rPr>
        <w:instrText xml:space="preserve"> </w:instrText>
      </w:r>
      <w:r w:rsidRPr="00F117A4">
        <w:rPr>
          <w:rStyle w:val="af7"/>
          <w:rFonts w:eastAsia="Guttman Hodes"/>
          <w:rtl/>
        </w:rPr>
      </w:r>
      <w:r w:rsidRPr="00F117A4">
        <w:rPr>
          <w:rStyle w:val="af7"/>
          <w:rFonts w:eastAsia="Guttman Hodes"/>
          <w:rtl/>
        </w:rPr>
        <w:fldChar w:fldCharType="separate"/>
      </w:r>
      <w:r w:rsidR="00345400">
        <w:rPr>
          <w:rStyle w:val="af7"/>
          <w:rFonts w:eastAsia="Guttman Hodes"/>
          <w:cs/>
        </w:rPr>
        <w:t>‎</w:t>
      </w:r>
      <w:r w:rsidR="00345400">
        <w:rPr>
          <w:rStyle w:val="af7"/>
          <w:rFonts w:eastAsia="Guttman Hodes"/>
          <w:rtl/>
        </w:rPr>
        <w:t>סט)</w:t>
      </w:r>
      <w:r w:rsidRPr="00F117A4">
        <w:rPr>
          <w:rStyle w:val="af7"/>
          <w:rFonts w:eastAsia="Guttman Hodes"/>
          <w:rtl/>
        </w:rPr>
        <w:fldChar w:fldCharType="end"/>
      </w:r>
      <w:r w:rsidRPr="00674C76">
        <w:rPr>
          <w:rFonts w:hint="cs"/>
          <w:rtl/>
        </w:rPr>
        <w:t>.</w:t>
      </w:r>
      <w:bookmarkEnd w:id="25606"/>
    </w:p>
    <w:p w14:paraId="6CF7DA83" w14:textId="77777777" w:rsidR="005077A7" w:rsidRPr="005077A7" w:rsidRDefault="005077A7" w:rsidP="005077A7">
      <w:pPr>
        <w:pStyle w:val="a3"/>
        <w:rPr>
          <w:rtl/>
        </w:rPr>
      </w:pPr>
    </w:p>
    <w:p w14:paraId="7B86CC5F" w14:textId="77777777" w:rsidR="003D504D" w:rsidRPr="007B73D7" w:rsidRDefault="003D504D" w:rsidP="00BF39B2">
      <w:pPr>
        <w:pStyle w:val="1"/>
      </w:pPr>
      <w:bookmarkStart w:id="25607" w:name="_Toc4330757"/>
      <w:bookmarkStart w:id="25608" w:name="_Toc19392155"/>
      <w:bookmarkStart w:id="25609" w:name="_Toc19395652"/>
      <w:r>
        <w:rPr>
          <w:rFonts w:hint="cs"/>
          <w:rtl/>
        </w:rPr>
        <w:t xml:space="preserve">דברי </w:t>
      </w:r>
      <w:r w:rsidRPr="007B73D7">
        <w:rPr>
          <w:rFonts w:hint="cs"/>
          <w:rtl/>
        </w:rPr>
        <w:t xml:space="preserve">המ"מ </w:t>
      </w:r>
      <w:r>
        <w:rPr>
          <w:rFonts w:hint="cs"/>
          <w:rtl/>
        </w:rPr>
        <w:t>והש"ך ב</w:t>
      </w:r>
      <w:r w:rsidRPr="007B73D7">
        <w:rPr>
          <w:rFonts w:hint="cs"/>
          <w:rtl/>
        </w:rPr>
        <w:t xml:space="preserve">ביאור </w:t>
      </w:r>
      <w:r>
        <w:rPr>
          <w:rFonts w:hint="cs"/>
          <w:rtl/>
        </w:rPr>
        <w:t>דברי ה</w:t>
      </w:r>
      <w:r w:rsidRPr="007B73D7">
        <w:rPr>
          <w:rFonts w:hint="cs"/>
          <w:rtl/>
        </w:rPr>
        <w:t>רמב"ם</w:t>
      </w:r>
      <w:bookmarkEnd w:id="25607"/>
      <w:bookmarkEnd w:id="25608"/>
      <w:bookmarkEnd w:id="25609"/>
    </w:p>
    <w:p w14:paraId="7D5B5138" w14:textId="77777777" w:rsidR="003D504D" w:rsidRPr="007B73D7" w:rsidRDefault="003D504D" w:rsidP="003D504D">
      <w:pPr>
        <w:pStyle w:val="a3"/>
        <w:rPr>
          <w:rtl/>
        </w:rPr>
      </w:pPr>
      <w:bookmarkStart w:id="25610" w:name="_Toc4330758"/>
      <w:bookmarkStart w:id="25611" w:name="_Toc19392156"/>
      <w:bookmarkStart w:id="25612" w:name="_Toc19395653"/>
      <w:r>
        <w:rPr>
          <w:rFonts w:hint="cs"/>
          <w:rtl/>
        </w:rPr>
        <w:t>דברי הר"ן והמ"מ דהרמב"ם ביאר דריו"ח מחייב כרת כדמוכח מדפליג עליה ר"ל</w:t>
      </w:r>
      <w:bookmarkEnd w:id="25610"/>
      <w:bookmarkEnd w:id="25611"/>
      <w:bookmarkEnd w:id="25612"/>
    </w:p>
    <w:p w14:paraId="3347C329" w14:textId="77777777" w:rsidR="003D504D" w:rsidRDefault="003D504D" w:rsidP="00223668">
      <w:pPr>
        <w:pStyle w:val="a0"/>
        <w:rPr>
          <w:rtl/>
        </w:rPr>
      </w:pPr>
      <w:bookmarkStart w:id="25613" w:name="_Ref4319585"/>
      <w:bookmarkStart w:id="25614" w:name="_Ref2543189"/>
      <w:bookmarkStart w:id="25615" w:name="_Toc2541654"/>
      <w:r w:rsidRPr="007B73D7">
        <w:rPr>
          <w:rFonts w:hint="cs"/>
          <w:rtl/>
        </w:rPr>
        <w:t xml:space="preserve">ובעיקר דברי </w:t>
      </w:r>
      <w:r w:rsidRPr="007B73D7">
        <w:rPr>
          <w:rStyle w:val="af9"/>
          <w:rFonts w:hint="cs"/>
          <w:rtl/>
        </w:rPr>
        <w:t xml:space="preserve">הרמב"ם </w:t>
      </w:r>
      <w:r w:rsidRPr="007B73D7">
        <w:rPr>
          <w:rFonts w:hint="cs"/>
          <w:rtl/>
        </w:rPr>
        <w:t>דחייב כרת על דם הלב,</w:t>
      </w:r>
      <w:r w:rsidRPr="007B73D7">
        <w:rPr>
          <w:rStyle w:val="af9"/>
          <w:rFonts w:hint="cs"/>
          <w:rtl/>
        </w:rPr>
        <w:t xml:space="preserve"> </w:t>
      </w:r>
      <w:r w:rsidRPr="007B73D7">
        <w:rPr>
          <w:rFonts w:hint="cs"/>
          <w:rtl/>
        </w:rPr>
        <w:t>ביאר</w:t>
      </w:r>
      <w:r>
        <w:rPr>
          <w:rFonts w:hint="cs"/>
          <w:rtl/>
        </w:rPr>
        <w:t>ו</w:t>
      </w:r>
      <w:r w:rsidRPr="007B73D7">
        <w:rPr>
          <w:rFonts w:hint="cs"/>
          <w:rtl/>
        </w:rPr>
        <w:t xml:space="preserve"> </w:t>
      </w:r>
      <w:r w:rsidRPr="00BF2B2D">
        <w:rPr>
          <w:rStyle w:val="af9"/>
          <w:rFonts w:hint="cs"/>
          <w:rtl/>
        </w:rPr>
        <w:t>הר"ן</w:t>
      </w:r>
      <w:r>
        <w:rPr>
          <w:rStyle w:val="af9"/>
          <w:rFonts w:hint="cs"/>
          <w:rtl/>
        </w:rPr>
        <w:t xml:space="preserve"> בחי'</w:t>
      </w:r>
      <w:r>
        <w:rPr>
          <w:rFonts w:hint="cs"/>
          <w:rtl/>
        </w:rPr>
        <w:t xml:space="preserve"> </w:t>
      </w:r>
      <w:r w:rsidRPr="00BF2B2D">
        <w:rPr>
          <w:rStyle w:val="af7"/>
          <w:rFonts w:eastAsia="Guttman Hodes" w:hint="cs"/>
          <w:rtl/>
        </w:rPr>
        <w:t xml:space="preserve">(עי' אות </w:t>
      </w:r>
      <w:r w:rsidRPr="00BF2B2D">
        <w:rPr>
          <w:rStyle w:val="af7"/>
          <w:rFonts w:eastAsia="Guttman Hodes"/>
          <w:rtl/>
        </w:rPr>
        <w:fldChar w:fldCharType="begin"/>
      </w:r>
      <w:r w:rsidRPr="00BF2B2D">
        <w:rPr>
          <w:rStyle w:val="af7"/>
          <w:rFonts w:eastAsia="Guttman Hodes"/>
          <w:rtl/>
        </w:rPr>
        <w:instrText xml:space="preserve"> </w:instrText>
      </w:r>
      <w:r w:rsidRPr="00BF2B2D">
        <w:rPr>
          <w:rStyle w:val="af7"/>
          <w:rFonts w:eastAsia="Guttman Hodes" w:hint="cs"/>
        </w:rPr>
        <w:instrText>REF</w:instrText>
      </w:r>
      <w:r w:rsidRPr="00BF2B2D">
        <w:rPr>
          <w:rStyle w:val="af7"/>
          <w:rFonts w:eastAsia="Guttman Hodes" w:hint="cs"/>
          <w:rtl/>
        </w:rPr>
        <w:instrText xml:space="preserve"> _</w:instrText>
      </w:r>
      <w:r w:rsidRPr="00BF2B2D">
        <w:rPr>
          <w:rStyle w:val="af7"/>
          <w:rFonts w:eastAsia="Guttman Hodes" w:hint="cs"/>
        </w:rPr>
        <w:instrText>Ref4317758 \r \h</w:instrText>
      </w:r>
      <w:r w:rsidRPr="00BF2B2D">
        <w:rPr>
          <w:rStyle w:val="af7"/>
          <w:rFonts w:eastAsia="Guttman Hodes"/>
          <w:rtl/>
        </w:rPr>
        <w:instrText xml:space="preserve"> </w:instrText>
      </w:r>
      <w:r w:rsidRPr="00BF2B2D">
        <w:rPr>
          <w:rStyle w:val="af7"/>
          <w:rFonts w:eastAsia="Guttman Hodes"/>
          <w:rtl/>
        </w:rPr>
      </w:r>
      <w:r w:rsidRPr="00BF2B2D">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BF2B2D">
        <w:rPr>
          <w:rStyle w:val="af7"/>
          <w:rFonts w:eastAsia="Guttman Hodes"/>
          <w:rtl/>
        </w:rPr>
        <w:fldChar w:fldCharType="end"/>
      </w:r>
      <w:r>
        <w:rPr>
          <w:rStyle w:val="af9"/>
          <w:rFonts w:hint="cs"/>
          <w:rtl/>
        </w:rPr>
        <w:t xml:space="preserve"> ו</w:t>
      </w:r>
      <w:r w:rsidRPr="007B73D7">
        <w:rPr>
          <w:rStyle w:val="af9"/>
          <w:rFonts w:hint="cs"/>
          <w:rtl/>
        </w:rPr>
        <w:t>המ"מ</w:t>
      </w:r>
      <w:r w:rsidRPr="007B73D7">
        <w:rPr>
          <w:rFonts w:hint="cs"/>
          <w:rtl/>
        </w:rPr>
        <w:t xml:space="preserve"> </w:t>
      </w:r>
      <w:r w:rsidRPr="007B73D7">
        <w:rPr>
          <w:rStyle w:val="af7"/>
          <w:rFonts w:eastAsia="Guttman Hodes" w:hint="cs"/>
          <w:rtl/>
        </w:rPr>
        <w:t>(מאכ"א פ"ו ה"ה)</w:t>
      </w:r>
      <w:r w:rsidRPr="007B73D7">
        <w:rPr>
          <w:rFonts w:hint="cs"/>
          <w:rtl/>
        </w:rPr>
        <w:t xml:space="preserve"> דכיון דר"ל אמר דלדברי המתיר הדם אסור ואין בו כרת, א"כ מבואר דלריו"ח יש בו חיוב כרת</w:t>
      </w:r>
      <w:r>
        <w:rPr>
          <w:rFonts w:hint="cs"/>
          <w:rtl/>
        </w:rPr>
        <w:t xml:space="preserve">, ועי' במה שביאר </w:t>
      </w:r>
      <w:r w:rsidRPr="002E6420">
        <w:rPr>
          <w:rStyle w:val="af9"/>
          <w:rFonts w:hint="cs"/>
          <w:rtl/>
        </w:rPr>
        <w:t>הר"ן</w:t>
      </w:r>
      <w:r w:rsidRPr="002E6420">
        <w:rPr>
          <w:rStyle w:val="af7"/>
          <w:rFonts w:eastAsia="Guttman Hodes" w:hint="cs"/>
          <w:rtl/>
        </w:rPr>
        <w:t xml:space="preserve"> (עי' אות </w:t>
      </w:r>
      <w:r w:rsidRPr="002E6420">
        <w:rPr>
          <w:rStyle w:val="af7"/>
          <w:rFonts w:eastAsia="Guttman Hodes"/>
          <w:rtl/>
        </w:rPr>
        <w:fldChar w:fldCharType="begin"/>
      </w:r>
      <w:r w:rsidRPr="002E6420">
        <w:rPr>
          <w:rStyle w:val="af7"/>
          <w:rFonts w:eastAsia="Guttman Hodes"/>
          <w:rtl/>
        </w:rPr>
        <w:instrText xml:space="preserve"> </w:instrText>
      </w:r>
      <w:r w:rsidRPr="002E6420">
        <w:rPr>
          <w:rStyle w:val="af7"/>
          <w:rFonts w:eastAsia="Guttman Hodes" w:hint="cs"/>
        </w:rPr>
        <w:instrText>REF</w:instrText>
      </w:r>
      <w:r w:rsidRPr="002E6420">
        <w:rPr>
          <w:rStyle w:val="af7"/>
          <w:rFonts w:eastAsia="Guttman Hodes" w:hint="cs"/>
          <w:rtl/>
        </w:rPr>
        <w:instrText xml:space="preserve"> _</w:instrText>
      </w:r>
      <w:r w:rsidRPr="002E6420">
        <w:rPr>
          <w:rStyle w:val="af7"/>
          <w:rFonts w:eastAsia="Guttman Hodes" w:hint="cs"/>
        </w:rPr>
        <w:instrText>Ref4318826 \r \h</w:instrText>
      </w:r>
      <w:r w:rsidRPr="002E6420">
        <w:rPr>
          <w:rStyle w:val="af7"/>
          <w:rFonts w:eastAsia="Guttman Hodes"/>
          <w:rtl/>
        </w:rPr>
        <w:instrText xml:space="preserve"> </w:instrText>
      </w:r>
      <w:r w:rsidRPr="002E6420">
        <w:rPr>
          <w:rStyle w:val="af7"/>
          <w:rFonts w:eastAsia="Guttman Hodes"/>
          <w:rtl/>
        </w:rPr>
      </w:r>
      <w:r w:rsidRPr="002E6420">
        <w:rPr>
          <w:rStyle w:val="af7"/>
          <w:rFonts w:eastAsia="Guttman Hodes"/>
          <w:rtl/>
        </w:rPr>
        <w:fldChar w:fldCharType="separate"/>
      </w:r>
      <w:r w:rsidR="00345400">
        <w:rPr>
          <w:rStyle w:val="af7"/>
          <w:rFonts w:eastAsia="Guttman Hodes"/>
          <w:cs/>
        </w:rPr>
        <w:t>‎</w:t>
      </w:r>
      <w:r w:rsidR="00345400">
        <w:rPr>
          <w:rStyle w:val="af7"/>
          <w:rFonts w:eastAsia="Guttman Hodes"/>
          <w:rtl/>
        </w:rPr>
        <w:t>ח)</w:t>
      </w:r>
      <w:r w:rsidRPr="002E6420">
        <w:rPr>
          <w:rStyle w:val="af7"/>
          <w:rFonts w:eastAsia="Guttman Hodes"/>
          <w:rtl/>
        </w:rPr>
        <w:fldChar w:fldCharType="end"/>
      </w:r>
      <w:r>
        <w:rPr>
          <w:rFonts w:hint="cs"/>
          <w:rtl/>
        </w:rPr>
        <w:t xml:space="preserve"> בדעת </w:t>
      </w:r>
      <w:r w:rsidRPr="002E6420">
        <w:rPr>
          <w:rStyle w:val="af9"/>
          <w:rFonts w:hint="cs"/>
          <w:rtl/>
        </w:rPr>
        <w:t>הרי"ף והרמב"ם</w:t>
      </w:r>
      <w:r>
        <w:rPr>
          <w:rFonts w:hint="cs"/>
          <w:rtl/>
        </w:rPr>
        <w:t xml:space="preserve"> בפלוגתת ריו"ח ור"ל.</w:t>
      </w:r>
      <w:bookmarkEnd w:id="25613"/>
    </w:p>
    <w:p w14:paraId="6316D26F" w14:textId="77777777" w:rsidR="003D504D" w:rsidRPr="00B063AB" w:rsidRDefault="003D504D" w:rsidP="003D504D">
      <w:pPr>
        <w:pStyle w:val="a3"/>
      </w:pPr>
      <w:bookmarkStart w:id="25616" w:name="_Toc4330759"/>
      <w:bookmarkStart w:id="25617" w:name="_Toc19392157"/>
      <w:bookmarkStart w:id="25618" w:name="_Toc19395654"/>
      <w:r>
        <w:rPr>
          <w:rFonts w:hint="cs"/>
          <w:rtl/>
        </w:rPr>
        <w:t>ביאור המ"מ דחיוב הכרת הוא רק בדם הלב דאינו טעון שחיטה ושאר דמו כדם האיברים</w:t>
      </w:r>
      <w:bookmarkEnd w:id="25616"/>
      <w:bookmarkEnd w:id="25617"/>
      <w:bookmarkEnd w:id="25618"/>
    </w:p>
    <w:p w14:paraId="7D93E4A8" w14:textId="77777777" w:rsidR="003D504D" w:rsidRDefault="003D504D" w:rsidP="00223668">
      <w:pPr>
        <w:pStyle w:val="a0"/>
        <w:rPr>
          <w:rtl/>
        </w:rPr>
      </w:pPr>
      <w:bookmarkStart w:id="25619" w:name="_Ref4320641"/>
      <w:r>
        <w:rPr>
          <w:rFonts w:hint="cs"/>
          <w:rtl/>
        </w:rPr>
        <w:t xml:space="preserve">וביאר </w:t>
      </w:r>
      <w:r w:rsidRPr="00513ECD">
        <w:rPr>
          <w:rStyle w:val="af9"/>
          <w:rFonts w:hint="cs"/>
          <w:rtl/>
        </w:rPr>
        <w:t>המ"מ דהרמב"ם</w:t>
      </w:r>
      <w:r>
        <w:rPr>
          <w:rFonts w:hint="cs"/>
          <w:rtl/>
        </w:rPr>
        <w:t xml:space="preserve"> ס"ל דחיוב הכרת הוא דוקא בדם הלב, דכיון שאינו טעון שחיטה, מסתבר דהוא כאבר מאברי אמו, ולכן שאר דמו הוא כדם האברים, ועי' בדברי </w:t>
      </w:r>
      <w:r w:rsidRPr="00674C76">
        <w:rPr>
          <w:rStyle w:val="af9"/>
          <w:rFonts w:hint="cs"/>
          <w:rtl/>
        </w:rPr>
        <w:t>הלח"מ</w:t>
      </w:r>
      <w:r>
        <w:rPr>
          <w:rFonts w:hint="cs"/>
          <w:rtl/>
        </w:rPr>
        <w:t xml:space="preserve"> (</w:t>
      </w:r>
      <w:r w:rsidRPr="00674C76">
        <w:rPr>
          <w:rStyle w:val="af7"/>
          <w:rFonts w:eastAsia="Guttman Hodes" w:hint="cs"/>
          <w:rtl/>
        </w:rPr>
        <w:t xml:space="preserve">עי' אות </w:t>
      </w:r>
      <w:r w:rsidRPr="00674C76">
        <w:rPr>
          <w:rStyle w:val="af7"/>
          <w:rFonts w:eastAsia="Guttman Hodes"/>
          <w:rtl/>
        </w:rPr>
        <w:fldChar w:fldCharType="begin"/>
      </w:r>
      <w:r w:rsidRPr="00674C76">
        <w:rPr>
          <w:rStyle w:val="af7"/>
          <w:rFonts w:eastAsia="Guttman Hodes"/>
          <w:rtl/>
        </w:rPr>
        <w:instrText xml:space="preserve"> </w:instrText>
      </w:r>
      <w:r w:rsidRPr="00674C76">
        <w:rPr>
          <w:rStyle w:val="af7"/>
          <w:rFonts w:eastAsia="Guttman Hodes" w:hint="cs"/>
        </w:rPr>
        <w:instrText>REF</w:instrText>
      </w:r>
      <w:r w:rsidRPr="00674C76">
        <w:rPr>
          <w:rStyle w:val="af7"/>
          <w:rFonts w:eastAsia="Guttman Hodes" w:hint="cs"/>
          <w:rtl/>
        </w:rPr>
        <w:instrText xml:space="preserve"> _</w:instrText>
      </w:r>
      <w:r w:rsidRPr="00674C76">
        <w:rPr>
          <w:rStyle w:val="af7"/>
          <w:rFonts w:eastAsia="Guttman Hodes" w:hint="cs"/>
        </w:rPr>
        <w:instrText>Ref4320393 \r \h</w:instrText>
      </w:r>
      <w:r w:rsidRPr="00674C76">
        <w:rPr>
          <w:rStyle w:val="af7"/>
          <w:rFonts w:eastAsia="Guttman Hodes"/>
          <w:rtl/>
        </w:rPr>
        <w:instrText xml:space="preserve"> </w:instrText>
      </w:r>
      <w:r w:rsidRPr="00674C76">
        <w:rPr>
          <w:rStyle w:val="af7"/>
          <w:rFonts w:eastAsia="Guttman Hodes"/>
          <w:rtl/>
        </w:rPr>
      </w:r>
      <w:r w:rsidRPr="00674C76">
        <w:rPr>
          <w:rStyle w:val="af7"/>
          <w:rFonts w:eastAsia="Guttman Hodes"/>
          <w:rtl/>
        </w:rPr>
        <w:fldChar w:fldCharType="separate"/>
      </w:r>
      <w:r w:rsidR="00345400">
        <w:rPr>
          <w:rStyle w:val="af7"/>
          <w:rFonts w:eastAsia="Guttman Hodes"/>
          <w:cs/>
        </w:rPr>
        <w:t>‎</w:t>
      </w:r>
      <w:r w:rsidR="00345400">
        <w:rPr>
          <w:rStyle w:val="af7"/>
          <w:rFonts w:eastAsia="Guttman Hodes"/>
          <w:rtl/>
        </w:rPr>
        <w:t>נז)</w:t>
      </w:r>
      <w:r w:rsidRPr="00674C76">
        <w:rPr>
          <w:rStyle w:val="af7"/>
          <w:rFonts w:eastAsia="Guttman Hodes"/>
          <w:rtl/>
        </w:rPr>
        <w:fldChar w:fldCharType="end"/>
      </w:r>
      <w:r>
        <w:rPr>
          <w:rFonts w:hint="cs"/>
          <w:rtl/>
        </w:rPr>
        <w:t>.</w:t>
      </w:r>
      <w:bookmarkEnd w:id="25614"/>
      <w:bookmarkEnd w:id="25619"/>
    </w:p>
    <w:p w14:paraId="2DB7F64C" w14:textId="77777777" w:rsidR="003D504D" w:rsidRPr="0076159F" w:rsidRDefault="003D504D" w:rsidP="003D504D">
      <w:pPr>
        <w:pStyle w:val="a3"/>
        <w:rPr>
          <w:rtl/>
        </w:rPr>
      </w:pPr>
      <w:bookmarkStart w:id="25620" w:name="_Toc4330760"/>
      <w:bookmarkStart w:id="25621" w:name="_Toc19392158"/>
      <w:bookmarkStart w:id="25622" w:name="_Toc19395655"/>
      <w:r>
        <w:rPr>
          <w:rFonts w:hint="cs"/>
          <w:rtl/>
        </w:rPr>
        <w:t>דברי הש"ך דמשמע במ"מ דלריו"ח שאר דמו אינו בלאו ודם השחיטה כדם האיברים</w:t>
      </w:r>
      <w:bookmarkEnd w:id="25620"/>
      <w:bookmarkEnd w:id="25621"/>
      <w:bookmarkEnd w:id="25622"/>
    </w:p>
    <w:p w14:paraId="05707F6E" w14:textId="77777777" w:rsidR="003D504D" w:rsidRDefault="003D504D" w:rsidP="00223668">
      <w:pPr>
        <w:pStyle w:val="a0"/>
        <w:rPr>
          <w:rtl/>
        </w:rPr>
      </w:pPr>
      <w:r>
        <w:rPr>
          <w:rFonts w:hint="cs"/>
          <w:rtl/>
        </w:rPr>
        <w:t xml:space="preserve">וכתב </w:t>
      </w:r>
      <w:r w:rsidRPr="0076159F">
        <w:rPr>
          <w:rStyle w:val="af9"/>
          <w:rFonts w:hint="cs"/>
          <w:rtl/>
        </w:rPr>
        <w:t>הש"ך בהארוך מש"ך</w:t>
      </w:r>
      <w:r w:rsidRPr="0076159F">
        <w:rPr>
          <w:rStyle w:val="af7"/>
          <w:rFonts w:eastAsia="Guttman Hodes" w:hint="cs"/>
          <w:rtl/>
        </w:rPr>
        <w:t xml:space="preserve"> (</w:t>
      </w:r>
      <w:r>
        <w:rPr>
          <w:rStyle w:val="af7"/>
          <w:rFonts w:eastAsia="Guttman Hodes" w:hint="cs"/>
          <w:rtl/>
        </w:rPr>
        <w:t xml:space="preserve">ריש </w:t>
      </w:r>
      <w:r w:rsidRPr="0076159F">
        <w:rPr>
          <w:rStyle w:val="af7"/>
          <w:rFonts w:eastAsia="Guttman Hodes" w:hint="cs"/>
          <w:rtl/>
        </w:rPr>
        <w:t xml:space="preserve">סי' ס"ו) </w:t>
      </w:r>
      <w:r>
        <w:rPr>
          <w:rFonts w:hint="cs"/>
          <w:rtl/>
        </w:rPr>
        <w:t xml:space="preserve">דמשמע בדברי </w:t>
      </w:r>
      <w:r w:rsidRPr="0076159F">
        <w:rPr>
          <w:rStyle w:val="af9"/>
          <w:rFonts w:hint="cs"/>
          <w:rtl/>
        </w:rPr>
        <w:t>המ"מ</w:t>
      </w:r>
      <w:r>
        <w:rPr>
          <w:rFonts w:hint="cs"/>
          <w:rtl/>
        </w:rPr>
        <w:t xml:space="preserve"> דלדעת ריו"ח על דם אין חיוב מלקות כלל, דבשליל כל דמו הוא כדם האברים שלא פירש, ועוד כתב </w:t>
      </w:r>
      <w:r w:rsidRPr="0076159F">
        <w:rPr>
          <w:rStyle w:val="af9"/>
          <w:rFonts w:hint="cs"/>
          <w:rtl/>
        </w:rPr>
        <w:t>הש"ך</w:t>
      </w:r>
      <w:r>
        <w:rPr>
          <w:rFonts w:hint="cs"/>
          <w:rtl/>
        </w:rPr>
        <w:t xml:space="preserve"> דמשמע </w:t>
      </w:r>
      <w:r w:rsidRPr="0076159F">
        <w:rPr>
          <w:rStyle w:val="af9"/>
          <w:rFonts w:hint="cs"/>
          <w:rtl/>
        </w:rPr>
        <w:t>במ"מ</w:t>
      </w:r>
      <w:r>
        <w:rPr>
          <w:rFonts w:hint="cs"/>
          <w:rtl/>
        </w:rPr>
        <w:t xml:space="preserve"> דס"ל </w:t>
      </w:r>
      <w:r w:rsidRPr="0076159F">
        <w:rPr>
          <w:rStyle w:val="af9"/>
          <w:rFonts w:hint="cs"/>
          <w:rtl/>
        </w:rPr>
        <w:t>להרמב"ם</w:t>
      </w:r>
      <w:r>
        <w:rPr>
          <w:rFonts w:hint="cs"/>
          <w:rtl/>
        </w:rPr>
        <w:t xml:space="preserve"> דאף דם השחיטה של השליל הוא כדם האברים.</w:t>
      </w:r>
    </w:p>
    <w:p w14:paraId="47D54CD1" w14:textId="77777777" w:rsidR="003D504D" w:rsidRDefault="003D504D" w:rsidP="003D504D">
      <w:pPr>
        <w:pStyle w:val="a3"/>
        <w:rPr>
          <w:rtl/>
        </w:rPr>
      </w:pPr>
      <w:bookmarkStart w:id="25623" w:name="_Toc4330761"/>
      <w:bookmarkStart w:id="25624" w:name="_Toc19392159"/>
      <w:bookmarkStart w:id="25625" w:name="_Toc19395656"/>
      <w:r>
        <w:rPr>
          <w:rFonts w:hint="cs"/>
          <w:rtl/>
        </w:rPr>
        <w:t>דברי הש"ך דלהרמב"ם דמו ככל ילוד ודם לבו בכרת ודם האיברים בלאו</w:t>
      </w:r>
      <w:bookmarkEnd w:id="25623"/>
      <w:bookmarkEnd w:id="25624"/>
      <w:bookmarkEnd w:id="25625"/>
    </w:p>
    <w:p w14:paraId="5CF0CE0F" w14:textId="77777777" w:rsidR="003D504D" w:rsidRDefault="003D504D" w:rsidP="00223668">
      <w:pPr>
        <w:pStyle w:val="a0"/>
        <w:rPr>
          <w:rtl/>
        </w:rPr>
      </w:pPr>
      <w:r>
        <w:rPr>
          <w:rFonts w:hint="cs"/>
          <w:rtl/>
        </w:rPr>
        <w:t xml:space="preserve">ודחה </w:t>
      </w:r>
      <w:r w:rsidRPr="0076159F">
        <w:rPr>
          <w:rStyle w:val="af9"/>
          <w:rFonts w:hint="cs"/>
          <w:rtl/>
        </w:rPr>
        <w:t>הש"ך</w:t>
      </w:r>
      <w:r>
        <w:rPr>
          <w:rFonts w:hint="cs"/>
          <w:rtl/>
        </w:rPr>
        <w:t xml:space="preserve"> דכוונת </w:t>
      </w:r>
      <w:r w:rsidRPr="0076159F">
        <w:rPr>
          <w:rStyle w:val="af9"/>
          <w:rFonts w:hint="cs"/>
          <w:rtl/>
        </w:rPr>
        <w:t>הרמב"ם</w:t>
      </w:r>
      <w:r>
        <w:rPr>
          <w:rFonts w:hint="cs"/>
          <w:rtl/>
        </w:rPr>
        <w:t xml:space="preserve"> לומר דלענין דין הדם, השליל הוא כולד ממש, ולכן כתב </w:t>
      </w:r>
      <w:r w:rsidRPr="0076159F">
        <w:rPr>
          <w:rStyle w:val="af9"/>
          <w:rFonts w:hint="cs"/>
          <w:rtl/>
        </w:rPr>
        <w:t>הרמב"ם</w:t>
      </w:r>
      <w:r>
        <w:rPr>
          <w:rFonts w:hint="cs"/>
          <w:rtl/>
        </w:rPr>
        <w:t xml:space="preserve"> בקצרה דעל הדם הכנוס בלבו חייב כרת, וכוונתו לומר שהוא דם הנפש וכדכתב </w:t>
      </w:r>
      <w:r w:rsidRPr="006F3969">
        <w:rPr>
          <w:rStyle w:val="af9"/>
          <w:rFonts w:hint="cs"/>
          <w:rtl/>
        </w:rPr>
        <w:t>הרמב"ם</w:t>
      </w:r>
      <w:r>
        <w:rPr>
          <w:rFonts w:hint="cs"/>
          <w:rtl/>
        </w:rPr>
        <w:t xml:space="preserve"> בדין שאר בהמות, דחייב כרת על דם הנפש שלהם, </w:t>
      </w:r>
      <w:r w:rsidRPr="0076159F">
        <w:rPr>
          <w:rStyle w:val="afb"/>
          <w:rFonts w:hint="cs"/>
          <w:rtl/>
        </w:rPr>
        <w:t xml:space="preserve">[דהיינו הדם הכנוס בלב והדם היוצא מבית השחיטה], </w:t>
      </w:r>
      <w:r>
        <w:rPr>
          <w:rFonts w:hint="cs"/>
          <w:rtl/>
        </w:rPr>
        <w:t xml:space="preserve">אך לענין שאר דמו של השליל דינו כדם האברים שפירש שיש בו מלקות, והוסיף </w:t>
      </w:r>
      <w:r w:rsidRPr="0076159F">
        <w:rPr>
          <w:rStyle w:val="af9"/>
          <w:rFonts w:hint="cs"/>
          <w:rtl/>
        </w:rPr>
        <w:t>הש"ך</w:t>
      </w:r>
      <w:r>
        <w:rPr>
          <w:rFonts w:hint="cs"/>
          <w:rtl/>
        </w:rPr>
        <w:t xml:space="preserve"> דאין כל סברא לומר דלענין הדם היוצא מבית שחיטתו הוא כאבר מאברי אמו, </w:t>
      </w:r>
      <w:r w:rsidRPr="000821A6">
        <w:rPr>
          <w:rStyle w:val="afb"/>
          <w:rFonts w:hint="cs"/>
          <w:rtl/>
        </w:rPr>
        <w:t xml:space="preserve">[דהיינו דדמו כדם האיברים שלא פירש שאין בו אף חיוב לאו], </w:t>
      </w:r>
      <w:r>
        <w:rPr>
          <w:rFonts w:hint="cs"/>
          <w:rtl/>
        </w:rPr>
        <w:t xml:space="preserve">ולענין דם הלב אינו כאבר מאמו וחייב עליו כרת, אבל </w:t>
      </w:r>
      <w:r w:rsidRPr="009E20D2">
        <w:rPr>
          <w:rStyle w:val="af9"/>
          <w:rFonts w:hint="cs"/>
          <w:rtl/>
        </w:rPr>
        <w:t>היד יהודה</w:t>
      </w:r>
      <w:r>
        <w:rPr>
          <w:rFonts w:hint="cs"/>
          <w:rtl/>
        </w:rPr>
        <w:t xml:space="preserve"> </w:t>
      </w:r>
      <w:r w:rsidRPr="009E20D2">
        <w:rPr>
          <w:rStyle w:val="af7"/>
          <w:rFonts w:eastAsia="Guttman Hodes" w:hint="cs"/>
          <w:rtl/>
        </w:rPr>
        <w:t>(סי' ס"ז סק"א בתו"ד)</w:t>
      </w:r>
      <w:r>
        <w:rPr>
          <w:rFonts w:hint="cs"/>
          <w:rtl/>
        </w:rPr>
        <w:t xml:space="preserve"> כתב דפשיטא דאף כוונת </w:t>
      </w:r>
      <w:r w:rsidRPr="009E20D2">
        <w:rPr>
          <w:rStyle w:val="af9"/>
          <w:rFonts w:hint="cs"/>
          <w:rtl/>
        </w:rPr>
        <w:t>המ"מ</w:t>
      </w:r>
      <w:r>
        <w:rPr>
          <w:rFonts w:hint="cs"/>
          <w:rtl/>
        </w:rPr>
        <w:t xml:space="preserve"> לבאר כדברי </w:t>
      </w:r>
      <w:r w:rsidRPr="009E20D2">
        <w:rPr>
          <w:rStyle w:val="af9"/>
          <w:rFonts w:hint="cs"/>
          <w:rtl/>
        </w:rPr>
        <w:t>הש"ך</w:t>
      </w:r>
      <w:r>
        <w:rPr>
          <w:rFonts w:hint="cs"/>
          <w:rtl/>
        </w:rPr>
        <w:t>.</w:t>
      </w:r>
    </w:p>
    <w:p w14:paraId="1D1DF104" w14:textId="77777777" w:rsidR="003D504D" w:rsidRPr="00604181" w:rsidRDefault="003D504D" w:rsidP="003D504D">
      <w:pPr>
        <w:pStyle w:val="a3"/>
        <w:rPr>
          <w:rtl/>
        </w:rPr>
      </w:pPr>
      <w:bookmarkStart w:id="25626" w:name="_Toc4330762"/>
      <w:bookmarkStart w:id="25627" w:name="_Toc19392160"/>
      <w:bookmarkStart w:id="25628" w:name="_Toc19395657"/>
      <w:r>
        <w:rPr>
          <w:rFonts w:hint="cs"/>
          <w:rtl/>
        </w:rPr>
        <w:t xml:space="preserve">ביאור </w:t>
      </w:r>
      <w:r w:rsidRPr="00604181">
        <w:rPr>
          <w:rtl/>
        </w:rPr>
        <w:t>הר"י ששפורטש</w:t>
      </w:r>
      <w:r>
        <w:rPr>
          <w:rFonts w:hint="cs"/>
          <w:rtl/>
        </w:rPr>
        <w:t xml:space="preserve"> בתשב"ץ דדם השחיטה היה לו הכשר באיברים ודם הלב לא היה לו הכשר</w:t>
      </w:r>
      <w:bookmarkEnd w:id="25626"/>
      <w:bookmarkEnd w:id="25627"/>
      <w:bookmarkEnd w:id="25628"/>
    </w:p>
    <w:p w14:paraId="20B3D895" w14:textId="77777777" w:rsidR="003D504D" w:rsidRDefault="003D504D" w:rsidP="00223668">
      <w:pPr>
        <w:pStyle w:val="a0"/>
        <w:rPr>
          <w:rtl/>
        </w:rPr>
      </w:pPr>
      <w:r w:rsidRPr="004A10B6">
        <w:rPr>
          <w:rStyle w:val="af9"/>
          <w:rFonts w:hint="cs"/>
          <w:rtl/>
        </w:rPr>
        <w:t>ו</w:t>
      </w:r>
      <w:r w:rsidRPr="004A10B6">
        <w:rPr>
          <w:rStyle w:val="af9"/>
          <w:rtl/>
        </w:rPr>
        <w:t>הר"י ששפורטש בתשב"ץ</w:t>
      </w:r>
      <w:r>
        <w:rPr>
          <w:rStyle w:val="af9"/>
          <w:rtl/>
        </w:rPr>
        <w:t xml:space="preserve"> </w:t>
      </w:r>
      <w:r>
        <w:rPr>
          <w:rStyle w:val="af7"/>
          <w:rFonts w:eastAsia="Guttman Hodes" w:hint="cs"/>
          <w:rtl/>
        </w:rPr>
        <w:t xml:space="preserve"> </w:t>
      </w:r>
      <w:r w:rsidRPr="005B1EFB">
        <w:rPr>
          <w:rStyle w:val="af7"/>
          <w:rFonts w:eastAsia="Guttman Hodes" w:hint="cs"/>
          <w:rtl/>
        </w:rPr>
        <w:t>(ח"ה מכת"י תשו' קנ"ה ד"ה ואם תקשה)</w:t>
      </w:r>
      <w:r>
        <w:rPr>
          <w:rFonts w:hint="cs"/>
          <w:rtl/>
        </w:rPr>
        <w:t xml:space="preserve"> ביאר את דברי </w:t>
      </w:r>
      <w:r w:rsidRPr="005B1EFB">
        <w:rPr>
          <w:rStyle w:val="af9"/>
          <w:rFonts w:hint="cs"/>
          <w:rtl/>
        </w:rPr>
        <w:t>הרמב"ם</w:t>
      </w:r>
      <w:r>
        <w:rPr>
          <w:rFonts w:hint="cs"/>
          <w:rtl/>
        </w:rPr>
        <w:t xml:space="preserve"> דדם הורידין ודם השחיטה הוא מתכנס מהאברים, ואם לא היה יוצא מהאברים היה מותר, כדין דם האברים שלא פירש, וא"כ דם השחיטה והורידין היה לו הכשר, ולכן כשמת השליל וא"צ שחיטה, נשאר דמו בכשרותו, </w:t>
      </w:r>
      <w:r w:rsidRPr="005B1EFB">
        <w:rPr>
          <w:rStyle w:val="afb"/>
          <w:rFonts w:hint="cs"/>
          <w:rtl/>
        </w:rPr>
        <w:t xml:space="preserve">[ולכן אין בו כרת אף כשפירש], </w:t>
      </w:r>
      <w:r>
        <w:rPr>
          <w:rFonts w:hint="cs"/>
          <w:rtl/>
        </w:rPr>
        <w:t>אבל דם הכנוס בלב לא הייתה לו כשרות מעולם, ולכן חייב עליו כרת.</w:t>
      </w:r>
    </w:p>
    <w:p w14:paraId="2E889376" w14:textId="77777777" w:rsidR="003D504D" w:rsidRPr="00B942B9" w:rsidRDefault="003D504D" w:rsidP="00BF39B2">
      <w:pPr>
        <w:pStyle w:val="1"/>
        <w:rPr>
          <w:rtl/>
        </w:rPr>
      </w:pPr>
      <w:bookmarkStart w:id="25629" w:name="_Toc4330763"/>
      <w:bookmarkStart w:id="25630" w:name="_Toc19392161"/>
      <w:bookmarkStart w:id="25631" w:name="_Toc19395658"/>
      <w:r>
        <w:rPr>
          <w:rFonts w:hint="cs"/>
          <w:rtl/>
        </w:rPr>
        <w:t>ביאור הלח"מ בדעת ר"ל ובחיוב כרת בדם בן ח'</w:t>
      </w:r>
      <w:bookmarkEnd w:id="25629"/>
      <w:bookmarkEnd w:id="25630"/>
      <w:bookmarkEnd w:id="25631"/>
    </w:p>
    <w:p w14:paraId="488DECB5" w14:textId="77777777" w:rsidR="003D504D" w:rsidRPr="0076159F" w:rsidRDefault="003D504D" w:rsidP="003D504D">
      <w:pPr>
        <w:pStyle w:val="a3"/>
        <w:rPr>
          <w:rtl/>
        </w:rPr>
      </w:pPr>
      <w:bookmarkStart w:id="25632" w:name="_Toc4330764"/>
      <w:bookmarkStart w:id="25633" w:name="_Toc19392162"/>
      <w:bookmarkStart w:id="25634" w:name="_Toc19395659"/>
      <w:r>
        <w:rPr>
          <w:rFonts w:hint="cs"/>
          <w:rtl/>
        </w:rPr>
        <w:t>קושית הלח"מ על המ"מ דלהרמב"ם דמחייב כרת בחלב אף לר"ל יש כרת בדם</w:t>
      </w:r>
      <w:bookmarkEnd w:id="25632"/>
      <w:bookmarkEnd w:id="25633"/>
      <w:bookmarkEnd w:id="25634"/>
    </w:p>
    <w:p w14:paraId="07BEC99A" w14:textId="77777777" w:rsidR="003D504D" w:rsidRDefault="003D504D" w:rsidP="00223668">
      <w:pPr>
        <w:pStyle w:val="a0"/>
        <w:rPr>
          <w:rtl/>
        </w:rPr>
      </w:pPr>
      <w:r w:rsidRPr="00F75AF1">
        <w:rPr>
          <w:rStyle w:val="af9"/>
          <w:rFonts w:hint="cs"/>
          <w:rtl/>
        </w:rPr>
        <w:t>והלח"מ</w:t>
      </w:r>
      <w:r>
        <w:rPr>
          <w:rFonts w:hint="cs"/>
          <w:rtl/>
        </w:rPr>
        <w:t xml:space="preserve"> </w:t>
      </w:r>
      <w:r w:rsidRPr="005B3499">
        <w:rPr>
          <w:rStyle w:val="af7"/>
          <w:rFonts w:eastAsia="Guttman Hodes" w:hint="cs"/>
          <w:rtl/>
        </w:rPr>
        <w:t xml:space="preserve">(מאכ"א פ"ו ה"ה) </w:t>
      </w:r>
      <w:r>
        <w:rPr>
          <w:rFonts w:hint="cs"/>
          <w:rtl/>
        </w:rPr>
        <w:t xml:space="preserve">תמה על דברי </w:t>
      </w:r>
      <w:r w:rsidRPr="00F75AF1">
        <w:rPr>
          <w:rStyle w:val="af9"/>
          <w:rFonts w:hint="cs"/>
          <w:rtl/>
        </w:rPr>
        <w:t>המ"מ</w:t>
      </w:r>
      <w:r>
        <w:rPr>
          <w:rFonts w:hint="cs"/>
          <w:rtl/>
        </w:rPr>
        <w:t xml:space="preserve"> </w:t>
      </w:r>
      <w:r w:rsidRPr="00670689">
        <w:rPr>
          <w:rStyle w:val="af7"/>
          <w:rFonts w:eastAsia="Guttman Hodes" w:hint="cs"/>
          <w:rtl/>
        </w:rPr>
        <w:t xml:space="preserve">(עי' אות </w:t>
      </w:r>
      <w:r w:rsidRPr="00670689">
        <w:rPr>
          <w:rStyle w:val="af7"/>
          <w:rFonts w:eastAsia="Guttman Hodes"/>
          <w:rtl/>
        </w:rPr>
        <w:fldChar w:fldCharType="begin"/>
      </w:r>
      <w:r w:rsidRPr="00670689">
        <w:rPr>
          <w:rStyle w:val="af7"/>
          <w:rFonts w:eastAsia="Guttman Hodes"/>
          <w:rtl/>
        </w:rPr>
        <w:instrText xml:space="preserve"> </w:instrText>
      </w:r>
      <w:r w:rsidRPr="00670689">
        <w:rPr>
          <w:rStyle w:val="af7"/>
          <w:rFonts w:eastAsia="Guttman Hodes" w:hint="cs"/>
        </w:rPr>
        <w:instrText>REF</w:instrText>
      </w:r>
      <w:r w:rsidRPr="00670689">
        <w:rPr>
          <w:rStyle w:val="af7"/>
          <w:rFonts w:eastAsia="Guttman Hodes" w:hint="cs"/>
          <w:rtl/>
        </w:rPr>
        <w:instrText xml:space="preserve"> _</w:instrText>
      </w:r>
      <w:r w:rsidRPr="00670689">
        <w:rPr>
          <w:rStyle w:val="af7"/>
          <w:rFonts w:eastAsia="Guttman Hodes" w:hint="cs"/>
        </w:rPr>
        <w:instrText>Ref4319585 \r \h</w:instrText>
      </w:r>
      <w:r w:rsidRPr="00670689">
        <w:rPr>
          <w:rStyle w:val="af7"/>
          <w:rFonts w:eastAsia="Guttman Hodes"/>
          <w:rtl/>
        </w:rPr>
        <w:instrText xml:space="preserve"> </w:instrText>
      </w:r>
      <w:r w:rsidRPr="00670689">
        <w:rPr>
          <w:rStyle w:val="af7"/>
          <w:rFonts w:eastAsia="Guttman Hodes"/>
          <w:rtl/>
        </w:rPr>
      </w:r>
      <w:r w:rsidRPr="00670689">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670689">
        <w:rPr>
          <w:rStyle w:val="af7"/>
          <w:rFonts w:eastAsia="Guttman Hodes"/>
          <w:rtl/>
        </w:rPr>
        <w:fldChar w:fldCharType="end"/>
      </w:r>
      <w:r>
        <w:rPr>
          <w:rFonts w:hint="cs"/>
          <w:rtl/>
        </w:rPr>
        <w:t xml:space="preserve"> דכתב </w:t>
      </w:r>
      <w:r w:rsidRPr="00670689">
        <w:rPr>
          <w:rStyle w:val="af9"/>
          <w:rFonts w:hint="cs"/>
          <w:rtl/>
        </w:rPr>
        <w:t>דהרמב"ם</w:t>
      </w:r>
      <w:r>
        <w:rPr>
          <w:rFonts w:hint="cs"/>
          <w:rtl/>
        </w:rPr>
        <w:t xml:space="preserve"> פסק דחייב כרת בדם הכנוס בלב כדעת ריו"ח, דהא מודה ר"ל דלמאן דאוסר בחלב חייב כרת אף בדם, וכיון </w:t>
      </w:r>
      <w:r w:rsidRPr="00F75AF1">
        <w:rPr>
          <w:rStyle w:val="af9"/>
          <w:rFonts w:hint="cs"/>
          <w:rtl/>
        </w:rPr>
        <w:t>דהרמב"ם</w:t>
      </w:r>
      <w:r w:rsidRPr="00BC038A">
        <w:rPr>
          <w:rStyle w:val="af7"/>
          <w:rFonts w:eastAsia="Guttman Hodes" w:hint="cs"/>
          <w:rtl/>
        </w:rPr>
        <w:t xml:space="preserve"> (עי' אות </w:t>
      </w:r>
      <w:r w:rsidRPr="00BC038A">
        <w:rPr>
          <w:rStyle w:val="af7"/>
          <w:rFonts w:eastAsia="Guttman Hodes"/>
          <w:rtl/>
        </w:rPr>
        <w:fldChar w:fldCharType="begin"/>
      </w:r>
      <w:r w:rsidRPr="00BC038A">
        <w:rPr>
          <w:rStyle w:val="af7"/>
          <w:rFonts w:eastAsia="Guttman Hodes"/>
          <w:rtl/>
        </w:rPr>
        <w:instrText xml:space="preserve"> </w:instrText>
      </w:r>
      <w:r w:rsidRPr="00BC038A">
        <w:rPr>
          <w:rStyle w:val="af7"/>
          <w:rFonts w:eastAsia="Guttman Hodes" w:hint="cs"/>
        </w:rPr>
        <w:instrText>REF</w:instrText>
      </w:r>
      <w:r w:rsidRPr="00BC038A">
        <w:rPr>
          <w:rStyle w:val="af7"/>
          <w:rFonts w:eastAsia="Guttman Hodes" w:hint="cs"/>
          <w:rtl/>
        </w:rPr>
        <w:instrText xml:space="preserve"> _</w:instrText>
      </w:r>
      <w:r w:rsidRPr="00BC038A">
        <w:rPr>
          <w:rStyle w:val="af7"/>
          <w:rFonts w:eastAsia="Guttman Hodes" w:hint="cs"/>
        </w:rPr>
        <w:instrText>Ref3145560 \r \h</w:instrText>
      </w:r>
      <w:r w:rsidRPr="00BC038A">
        <w:rPr>
          <w:rStyle w:val="af7"/>
          <w:rFonts w:eastAsia="Guttman Hodes"/>
          <w:rtl/>
        </w:rPr>
        <w:instrText xml:space="preserve"> </w:instrText>
      </w:r>
      <w:r w:rsidRPr="00BC038A">
        <w:rPr>
          <w:rStyle w:val="af7"/>
          <w:rFonts w:eastAsia="Guttman Hodes"/>
          <w:rtl/>
        </w:rPr>
      </w:r>
      <w:r w:rsidRPr="00BC038A">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BC038A">
        <w:rPr>
          <w:rStyle w:val="af7"/>
          <w:rFonts w:eastAsia="Guttman Hodes"/>
          <w:rtl/>
        </w:rPr>
        <w:fldChar w:fldCharType="end"/>
      </w:r>
      <w:r>
        <w:rPr>
          <w:rFonts w:hint="cs"/>
          <w:rtl/>
        </w:rPr>
        <w:t xml:space="preserve"> פסק דחלבו אסור, א"כ גם לר"ל דמו בכרת.</w:t>
      </w:r>
    </w:p>
    <w:p w14:paraId="3D48D75C" w14:textId="77777777" w:rsidR="003D504D" w:rsidRDefault="003D504D" w:rsidP="003D504D">
      <w:pPr>
        <w:pStyle w:val="a3"/>
        <w:rPr>
          <w:rtl/>
        </w:rPr>
      </w:pPr>
      <w:bookmarkStart w:id="25635" w:name="_Toc4330765"/>
      <w:bookmarkStart w:id="25636" w:name="_Toc19392163"/>
      <w:bookmarkStart w:id="25637" w:name="_Toc19395660"/>
      <w:r>
        <w:rPr>
          <w:rFonts w:hint="cs"/>
          <w:rtl/>
        </w:rPr>
        <w:t>תירוץ הלח"מ דלהרמב"ם בדם חייב כרת אף בבן ח' וחלב בן ט' מותר ומוכח דלר"ל הדם אינו בכרת</w:t>
      </w:r>
      <w:bookmarkEnd w:id="25635"/>
      <w:bookmarkEnd w:id="25636"/>
      <w:bookmarkEnd w:id="25637"/>
    </w:p>
    <w:p w14:paraId="2E7ACA07" w14:textId="77777777" w:rsidR="003D504D" w:rsidRDefault="003D504D" w:rsidP="00223668">
      <w:pPr>
        <w:pStyle w:val="a0"/>
        <w:rPr>
          <w:rtl/>
        </w:rPr>
      </w:pPr>
      <w:bookmarkStart w:id="25638" w:name="_Ref4321206"/>
      <w:r>
        <w:rPr>
          <w:rFonts w:hint="cs"/>
          <w:rtl/>
        </w:rPr>
        <w:t xml:space="preserve">ותירץ </w:t>
      </w:r>
      <w:r w:rsidRPr="00F75AF1">
        <w:rPr>
          <w:rStyle w:val="af9"/>
          <w:rFonts w:hint="cs"/>
          <w:rtl/>
        </w:rPr>
        <w:t>הלח"מ</w:t>
      </w:r>
      <w:r>
        <w:rPr>
          <w:rFonts w:hint="cs"/>
          <w:rtl/>
        </w:rPr>
        <w:t xml:space="preserve"> דכיון </w:t>
      </w:r>
      <w:r w:rsidRPr="00F75AF1">
        <w:rPr>
          <w:rStyle w:val="af9"/>
          <w:rFonts w:hint="cs"/>
          <w:rtl/>
        </w:rPr>
        <w:t>דהרמב"ם</w:t>
      </w:r>
      <w:r>
        <w:rPr>
          <w:rFonts w:hint="cs"/>
          <w:rtl/>
        </w:rPr>
        <w:t xml:space="preserve"> לא חילק בדיון הדם בין בן ח' לבן ט', ומבואר דחיוב הכרת בדם הוא אף בבן ח', אבל בדין החלב אף </w:t>
      </w:r>
      <w:r w:rsidRPr="00F75AF1">
        <w:rPr>
          <w:rStyle w:val="af9"/>
          <w:rFonts w:hint="cs"/>
          <w:rtl/>
        </w:rPr>
        <w:t>להרמב"ם</w:t>
      </w:r>
      <w:r>
        <w:rPr>
          <w:rFonts w:hint="cs"/>
          <w:rtl/>
        </w:rPr>
        <w:t xml:space="preserve"> </w:t>
      </w:r>
      <w:r w:rsidRPr="00BC038A">
        <w:rPr>
          <w:rStyle w:val="af7"/>
          <w:rFonts w:eastAsia="Guttman Hodes" w:hint="cs"/>
          <w:rtl/>
        </w:rPr>
        <w:t xml:space="preserve">(עי' אות </w:t>
      </w:r>
      <w:r w:rsidRPr="00BC038A">
        <w:rPr>
          <w:rStyle w:val="af7"/>
          <w:rFonts w:eastAsia="Guttman Hodes"/>
          <w:rtl/>
        </w:rPr>
        <w:fldChar w:fldCharType="begin"/>
      </w:r>
      <w:r w:rsidRPr="00BC038A">
        <w:rPr>
          <w:rStyle w:val="af7"/>
          <w:rFonts w:eastAsia="Guttman Hodes"/>
          <w:rtl/>
        </w:rPr>
        <w:instrText xml:space="preserve"> </w:instrText>
      </w:r>
      <w:r w:rsidRPr="00BC038A">
        <w:rPr>
          <w:rStyle w:val="af7"/>
          <w:rFonts w:eastAsia="Guttman Hodes" w:hint="cs"/>
        </w:rPr>
        <w:instrText>REF</w:instrText>
      </w:r>
      <w:r w:rsidRPr="00BC038A">
        <w:rPr>
          <w:rStyle w:val="af7"/>
          <w:rFonts w:eastAsia="Guttman Hodes" w:hint="cs"/>
          <w:rtl/>
        </w:rPr>
        <w:instrText xml:space="preserve"> _</w:instrText>
      </w:r>
      <w:r w:rsidRPr="00BC038A">
        <w:rPr>
          <w:rStyle w:val="af7"/>
          <w:rFonts w:eastAsia="Guttman Hodes" w:hint="cs"/>
        </w:rPr>
        <w:instrText>Ref3145560 \r \h</w:instrText>
      </w:r>
      <w:r w:rsidRPr="00BC038A">
        <w:rPr>
          <w:rStyle w:val="af7"/>
          <w:rFonts w:eastAsia="Guttman Hodes"/>
          <w:rtl/>
        </w:rPr>
        <w:instrText xml:space="preserve"> </w:instrText>
      </w:r>
      <w:r w:rsidRPr="00BC038A">
        <w:rPr>
          <w:rStyle w:val="af7"/>
          <w:rFonts w:eastAsia="Guttman Hodes"/>
          <w:rtl/>
        </w:rPr>
      </w:r>
      <w:r w:rsidRPr="00BC038A">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BC038A">
        <w:rPr>
          <w:rStyle w:val="af7"/>
          <w:rFonts w:eastAsia="Guttman Hodes"/>
          <w:rtl/>
        </w:rPr>
        <w:fldChar w:fldCharType="end"/>
      </w:r>
      <w:r>
        <w:rPr>
          <w:rFonts w:hint="cs"/>
          <w:rtl/>
        </w:rPr>
        <w:t xml:space="preserve"> חלבו של בן ח' מותר, וא"כ לר"ל אין חיוב כרת בדמו, ולכן ביאר </w:t>
      </w:r>
      <w:r w:rsidRPr="00971A3C">
        <w:rPr>
          <w:rStyle w:val="af9"/>
          <w:rFonts w:hint="cs"/>
          <w:rtl/>
        </w:rPr>
        <w:t>המ"מ</w:t>
      </w:r>
      <w:r>
        <w:rPr>
          <w:rFonts w:hint="cs"/>
          <w:rtl/>
        </w:rPr>
        <w:t xml:space="preserve"> דלריו"ח יש חיוב כרת בדם אף בבן ח', אעפ"י שחלבו מותר, ס"ל דדמו הוא בכרת.</w:t>
      </w:r>
      <w:bookmarkEnd w:id="25638"/>
    </w:p>
    <w:p w14:paraId="37A52DB5" w14:textId="77777777" w:rsidR="003D504D" w:rsidRDefault="003D504D" w:rsidP="003D504D">
      <w:pPr>
        <w:pStyle w:val="a3"/>
        <w:rPr>
          <w:rtl/>
        </w:rPr>
      </w:pPr>
      <w:bookmarkStart w:id="25639" w:name="_Toc4330766"/>
      <w:bookmarkStart w:id="25640" w:name="_Toc19392164"/>
      <w:bookmarkStart w:id="25641" w:name="_Toc19395661"/>
      <w:r>
        <w:rPr>
          <w:rFonts w:hint="cs"/>
          <w:rtl/>
        </w:rPr>
        <w:t>דברי הלח"מ דמקושית ריו"ח על ר"ל ממתני' מוכח דלריו"ח חייב כרת אף בדם בן ח'</w:t>
      </w:r>
      <w:bookmarkEnd w:id="25639"/>
      <w:bookmarkEnd w:id="25640"/>
      <w:bookmarkEnd w:id="25641"/>
    </w:p>
    <w:p w14:paraId="56D75750" w14:textId="77777777" w:rsidR="003D504D" w:rsidRDefault="003D504D" w:rsidP="00223668">
      <w:pPr>
        <w:pStyle w:val="a0"/>
        <w:rPr>
          <w:rtl/>
        </w:rPr>
      </w:pPr>
      <w:bookmarkStart w:id="25642" w:name="_Ref2543325"/>
      <w:r>
        <w:rPr>
          <w:rFonts w:hint="cs"/>
          <w:rtl/>
        </w:rPr>
        <w:t xml:space="preserve">וכתב </w:t>
      </w:r>
      <w:r w:rsidRPr="00F75AF1">
        <w:rPr>
          <w:rStyle w:val="af9"/>
          <w:rFonts w:hint="cs"/>
          <w:rtl/>
        </w:rPr>
        <w:t>הלח"מ</w:t>
      </w:r>
      <w:r>
        <w:rPr>
          <w:rFonts w:hint="cs"/>
          <w:rtl/>
        </w:rPr>
        <w:t xml:space="preserve"> דכן מוכח מהא דהקשה ריו"ח לר"ל מהרישא דמתני' דקורעו ומוציא את דמו, וביאר </w:t>
      </w:r>
      <w:r w:rsidRPr="00F75AF1">
        <w:rPr>
          <w:rStyle w:val="af9"/>
          <w:rFonts w:hint="cs"/>
          <w:rtl/>
        </w:rPr>
        <w:t>רש"י</w:t>
      </w:r>
      <w:r>
        <w:rPr>
          <w:rFonts w:hint="cs"/>
          <w:rtl/>
        </w:rPr>
        <w:t xml:space="preserve"> </w:t>
      </w:r>
      <w:r w:rsidRPr="00F75AF1">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Ref4305354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כ)</w:t>
      </w:r>
      <w:r>
        <w:rPr>
          <w:rStyle w:val="af7"/>
          <w:rFonts w:eastAsia="Guttman Hodes"/>
          <w:rtl/>
        </w:rPr>
        <w:fldChar w:fldCharType="end"/>
      </w:r>
      <w:r>
        <w:rPr>
          <w:rStyle w:val="af7"/>
          <w:rFonts w:eastAsia="Guttman Hodes" w:hint="cs"/>
          <w:rtl/>
        </w:rPr>
        <w:t xml:space="preserve"> </w:t>
      </w:r>
      <w:r>
        <w:rPr>
          <w:rFonts w:hint="cs"/>
          <w:rtl/>
        </w:rPr>
        <w:t>דמוכח דאף בבן ח' דלכו"ע חלבו מותר, מ"מ חלבו אסור, וא"כ מבואר דלדעת ריו"ח דדמו בכרת, היינו אף בבן ח' ולא רק בבן ט'.</w:t>
      </w:r>
      <w:bookmarkEnd w:id="25642"/>
    </w:p>
    <w:p w14:paraId="1E3D7ABF" w14:textId="77777777" w:rsidR="003D504D" w:rsidRDefault="003D504D" w:rsidP="003D504D">
      <w:pPr>
        <w:pStyle w:val="a3"/>
        <w:rPr>
          <w:rtl/>
        </w:rPr>
      </w:pPr>
      <w:bookmarkStart w:id="25643" w:name="_Toc4330767"/>
      <w:bookmarkStart w:id="25644" w:name="_Toc19392165"/>
      <w:bookmarkStart w:id="25645" w:name="_Toc19395662"/>
      <w:r>
        <w:rPr>
          <w:rFonts w:hint="cs"/>
          <w:rtl/>
        </w:rPr>
        <w:t>קושית הלח"מ דאפש"ל דהמשנה אוסרת רק בדם הלב ור"ל התיר בדם שאר האיברים</w:t>
      </w:r>
      <w:bookmarkEnd w:id="25643"/>
      <w:bookmarkEnd w:id="25644"/>
      <w:bookmarkEnd w:id="25645"/>
    </w:p>
    <w:p w14:paraId="379AAD55" w14:textId="77777777" w:rsidR="003D504D" w:rsidRDefault="003D504D" w:rsidP="00223668">
      <w:pPr>
        <w:pStyle w:val="a0"/>
        <w:rPr>
          <w:rtl/>
        </w:rPr>
      </w:pPr>
      <w:r>
        <w:rPr>
          <w:rFonts w:hint="cs"/>
          <w:rtl/>
        </w:rPr>
        <w:t xml:space="preserve">אך הקשה </w:t>
      </w:r>
      <w:r w:rsidRPr="00F75AF1">
        <w:rPr>
          <w:rStyle w:val="af9"/>
          <w:rFonts w:hint="cs"/>
          <w:rtl/>
        </w:rPr>
        <w:t>הלח"מ</w:t>
      </w:r>
      <w:r>
        <w:rPr>
          <w:rFonts w:hint="cs"/>
          <w:rtl/>
        </w:rPr>
        <w:t xml:space="preserve"> דא"כ מה מקשה ריו"ח לר"ל ממתני', הא אפש"ל דהא דהתיר ר"ל את דמו ואמר דדמו הוא כדם האברים היינו בשאר דמו, והא דתנן דהא דקורעו ומוציא את דמו, הוא מחמת הדם שכנוס בלב.</w:t>
      </w:r>
    </w:p>
    <w:p w14:paraId="43F85558" w14:textId="77777777" w:rsidR="003D504D" w:rsidRDefault="003D504D" w:rsidP="003D504D">
      <w:pPr>
        <w:pStyle w:val="a3"/>
        <w:rPr>
          <w:rtl/>
        </w:rPr>
      </w:pPr>
      <w:bookmarkStart w:id="25646" w:name="_Toc4330768"/>
      <w:bookmarkStart w:id="25647" w:name="_Toc19392166"/>
      <w:bookmarkStart w:id="25648" w:name="_Toc19395663"/>
      <w:r>
        <w:rPr>
          <w:rFonts w:hint="cs"/>
          <w:rtl/>
        </w:rPr>
        <w:t>תירוץ הלח"מ דבמתני' משמע דמוציא את כל דמו וכן בקושית ריו"ח אין חילוק בין אברים ללב</w:t>
      </w:r>
      <w:bookmarkEnd w:id="25646"/>
      <w:bookmarkEnd w:id="25647"/>
      <w:bookmarkEnd w:id="25648"/>
    </w:p>
    <w:p w14:paraId="28EEE50A" w14:textId="77777777" w:rsidR="003D504D" w:rsidRDefault="003D504D" w:rsidP="00223668">
      <w:pPr>
        <w:pStyle w:val="a0"/>
        <w:rPr>
          <w:rtl/>
        </w:rPr>
      </w:pPr>
      <w:r>
        <w:rPr>
          <w:rFonts w:hint="cs"/>
          <w:rtl/>
        </w:rPr>
        <w:t xml:space="preserve">ותירץ </w:t>
      </w:r>
      <w:r w:rsidRPr="007F570F">
        <w:rPr>
          <w:rStyle w:val="af9"/>
          <w:rFonts w:hint="cs"/>
          <w:rtl/>
        </w:rPr>
        <w:t>הלח"מ</w:t>
      </w:r>
      <w:r>
        <w:rPr>
          <w:rFonts w:hint="cs"/>
          <w:rtl/>
        </w:rPr>
        <w:t xml:space="preserve"> דמלשון מתני' משמע דצריך לקורעו ולהוציא את כל דמו, ולא רק את הדם הכנוס בלבו, ועוד דבקושית ריו"ח על ר"ל אין חילוק בין דם הכנוס בלב לדם האברים, דאי הדם הכנוס בלב נקרא דם לענין חיוב כרת, א"כ ודאי דשאר דמו נקרא דם והוי כדם האברים דחייב בלאו.</w:t>
      </w:r>
    </w:p>
    <w:p w14:paraId="6FD582D4" w14:textId="77777777" w:rsidR="003D504D" w:rsidRPr="0096622E" w:rsidRDefault="003D504D" w:rsidP="003D504D">
      <w:pPr>
        <w:pStyle w:val="a3"/>
      </w:pPr>
      <w:bookmarkStart w:id="25649" w:name="_Toc4330769"/>
      <w:bookmarkStart w:id="25650" w:name="_Toc19392167"/>
      <w:bookmarkStart w:id="25651" w:name="_Toc19395664"/>
      <w:r>
        <w:rPr>
          <w:rFonts w:hint="cs"/>
          <w:rtl/>
        </w:rPr>
        <w:t>ביאור הלח"מ דלתירוץ ר"ל דאין לו דם הנפש מבואר דלר"ל אין חיוב כרת והרמב"ם פסק כריו"ח</w:t>
      </w:r>
      <w:bookmarkEnd w:id="25649"/>
      <w:bookmarkEnd w:id="25650"/>
      <w:bookmarkEnd w:id="25651"/>
    </w:p>
    <w:p w14:paraId="6D08E2D1" w14:textId="77777777" w:rsidR="003D504D" w:rsidRDefault="003D504D" w:rsidP="00223668">
      <w:pPr>
        <w:pStyle w:val="a0"/>
        <w:rPr>
          <w:rtl/>
        </w:rPr>
      </w:pPr>
      <w:r>
        <w:rPr>
          <w:rFonts w:hint="cs"/>
          <w:rtl/>
        </w:rPr>
        <w:t xml:space="preserve">אבל בתירוץ ר"ל דאף הדם הכנוס בלבו אינו נקרא דם הנפש, כתב </w:t>
      </w:r>
      <w:r w:rsidRPr="0096622E">
        <w:rPr>
          <w:rStyle w:val="af9"/>
          <w:rFonts w:hint="cs"/>
          <w:rtl/>
        </w:rPr>
        <w:t>הלח"מ</w:t>
      </w:r>
      <w:r>
        <w:rPr>
          <w:rFonts w:hint="cs"/>
          <w:rtl/>
        </w:rPr>
        <w:t xml:space="preserve"> דכיון שאין לו דם הנפש כלל, א"כ אפש"</w:t>
      </w:r>
      <w:r w:rsidRPr="00BE0573">
        <w:rPr>
          <w:rFonts w:hint="cs"/>
          <w:rtl/>
        </w:rPr>
        <w:t xml:space="preserve">ל שיש סברא לפטור אף את הדם הכנוס בלב לר"ל דכיון שאין בו שחיטה אין בו דם הנפש, ואין בו חיוב כרת, ולכן ביאר </w:t>
      </w:r>
      <w:r w:rsidRPr="00BE0573">
        <w:rPr>
          <w:rStyle w:val="af9"/>
          <w:rFonts w:hint="cs"/>
          <w:rtl/>
        </w:rPr>
        <w:t>המ"מ דהרמב"ם</w:t>
      </w:r>
      <w:r w:rsidRPr="00BE0573">
        <w:rPr>
          <w:rFonts w:hint="cs"/>
          <w:rtl/>
        </w:rPr>
        <w:t xml:space="preserve"> פסק כריו"ח.</w:t>
      </w:r>
    </w:p>
    <w:p w14:paraId="08F26A09" w14:textId="77777777" w:rsidR="003D504D" w:rsidRPr="00680135" w:rsidRDefault="003D504D" w:rsidP="00BF39B2">
      <w:pPr>
        <w:pStyle w:val="1"/>
        <w:rPr>
          <w:rtl/>
        </w:rPr>
      </w:pPr>
      <w:bookmarkStart w:id="25652" w:name="_Toc4330770"/>
      <w:bookmarkStart w:id="25653" w:name="_Toc19392168"/>
      <w:bookmarkStart w:id="25654" w:name="_Toc19395665"/>
      <w:r>
        <w:rPr>
          <w:rFonts w:hint="cs"/>
          <w:rtl/>
        </w:rPr>
        <w:t>דברי המנח"ח בחיוב כרת בדם הנפש בנפל שלא נשחטה אמו</w:t>
      </w:r>
      <w:bookmarkEnd w:id="25652"/>
      <w:bookmarkEnd w:id="25653"/>
      <w:bookmarkEnd w:id="25654"/>
    </w:p>
    <w:p w14:paraId="56DA835B" w14:textId="77777777" w:rsidR="003D504D" w:rsidRDefault="003D504D" w:rsidP="003D504D">
      <w:pPr>
        <w:pStyle w:val="a3"/>
        <w:rPr>
          <w:rtl/>
        </w:rPr>
      </w:pPr>
      <w:bookmarkStart w:id="25655" w:name="_Toc4330771"/>
      <w:bookmarkStart w:id="25656" w:name="_Toc19392169"/>
      <w:bookmarkStart w:id="25657" w:name="_Toc19395666"/>
      <w:r>
        <w:rPr>
          <w:rFonts w:hint="cs"/>
          <w:rtl/>
        </w:rPr>
        <w:t>דברי המנח"ח דלהלח"מ דאין כרת בשליל דאיבריו כשחוטים משמע דבנפל יש חיוב כרת בדם לבו</w:t>
      </w:r>
      <w:bookmarkEnd w:id="25655"/>
      <w:bookmarkEnd w:id="25656"/>
      <w:bookmarkEnd w:id="25657"/>
    </w:p>
    <w:p w14:paraId="17EE1AB8" w14:textId="77777777" w:rsidR="003D504D" w:rsidRDefault="003D504D" w:rsidP="00223668">
      <w:pPr>
        <w:pStyle w:val="a0"/>
        <w:rPr>
          <w:rtl/>
        </w:rPr>
      </w:pPr>
      <w:bookmarkStart w:id="25658" w:name="_Ref4320671"/>
      <w:bookmarkEnd w:id="25395"/>
      <w:bookmarkEnd w:id="25615"/>
      <w:r>
        <w:rPr>
          <w:rFonts w:hint="cs"/>
          <w:rtl/>
        </w:rPr>
        <w:t xml:space="preserve">כתב </w:t>
      </w:r>
      <w:r w:rsidRPr="004C5C6A">
        <w:rPr>
          <w:rStyle w:val="af9"/>
          <w:rFonts w:hint="cs"/>
          <w:rtl/>
        </w:rPr>
        <w:t>המנחת חינוך</w:t>
      </w:r>
      <w:r>
        <w:rPr>
          <w:rFonts w:hint="cs"/>
          <w:rtl/>
        </w:rPr>
        <w:t xml:space="preserve"> </w:t>
      </w:r>
      <w:r w:rsidRPr="004C5C6A">
        <w:rPr>
          <w:rStyle w:val="af7"/>
          <w:rFonts w:eastAsia="Guttman Hodes" w:hint="cs"/>
          <w:rtl/>
        </w:rPr>
        <w:t>(מצוה קמ"ח ז' ד"ה ומבואר)</w:t>
      </w:r>
      <w:r>
        <w:rPr>
          <w:rFonts w:hint="cs"/>
          <w:rtl/>
        </w:rPr>
        <w:t xml:space="preserve"> דלביאור </w:t>
      </w:r>
      <w:r w:rsidRPr="004C5C6A">
        <w:rPr>
          <w:rStyle w:val="af9"/>
          <w:rFonts w:hint="cs"/>
          <w:rtl/>
        </w:rPr>
        <w:t>הלח"מ</w:t>
      </w:r>
      <w:r>
        <w:rPr>
          <w:rFonts w:hint="cs"/>
          <w:rtl/>
        </w:rPr>
        <w:t xml:space="preserve"> בדעת </w:t>
      </w:r>
      <w:r w:rsidRPr="004C5C6A">
        <w:rPr>
          <w:rStyle w:val="af9"/>
          <w:rFonts w:hint="cs"/>
          <w:rtl/>
        </w:rPr>
        <w:t>הרמב"ם</w:t>
      </w:r>
      <w:r>
        <w:rPr>
          <w:rFonts w:hint="cs"/>
          <w:rtl/>
        </w:rPr>
        <w:t xml:space="preserve"> </w:t>
      </w:r>
      <w:r w:rsidRPr="00680135">
        <w:rPr>
          <w:rStyle w:val="af7"/>
          <w:rFonts w:eastAsia="Guttman Hodes" w:hint="cs"/>
          <w:rtl/>
        </w:rPr>
        <w:t xml:space="preserve">(עי' אות </w:t>
      </w:r>
      <w:r w:rsidRPr="00680135">
        <w:rPr>
          <w:rStyle w:val="af7"/>
          <w:rFonts w:eastAsia="Guttman Hodes"/>
          <w:rtl/>
        </w:rPr>
        <w:fldChar w:fldCharType="begin"/>
      </w:r>
      <w:r w:rsidRPr="00680135">
        <w:rPr>
          <w:rStyle w:val="af7"/>
          <w:rFonts w:eastAsia="Guttman Hodes"/>
          <w:rtl/>
        </w:rPr>
        <w:instrText xml:space="preserve"> </w:instrText>
      </w:r>
      <w:r w:rsidRPr="00680135">
        <w:rPr>
          <w:rStyle w:val="af7"/>
          <w:rFonts w:eastAsia="Guttman Hodes" w:hint="cs"/>
        </w:rPr>
        <w:instrText>REF</w:instrText>
      </w:r>
      <w:r w:rsidRPr="00680135">
        <w:rPr>
          <w:rStyle w:val="af7"/>
          <w:rFonts w:eastAsia="Guttman Hodes" w:hint="cs"/>
          <w:rtl/>
        </w:rPr>
        <w:instrText xml:space="preserve"> _</w:instrText>
      </w:r>
      <w:r w:rsidRPr="00680135">
        <w:rPr>
          <w:rStyle w:val="af7"/>
          <w:rFonts w:eastAsia="Guttman Hodes" w:hint="cs"/>
        </w:rPr>
        <w:instrText>Ref4320393 \r \h</w:instrText>
      </w:r>
      <w:r w:rsidRPr="00680135">
        <w:rPr>
          <w:rStyle w:val="af7"/>
          <w:rFonts w:eastAsia="Guttman Hodes"/>
          <w:rtl/>
        </w:rPr>
        <w:instrText xml:space="preserve"> </w:instrText>
      </w:r>
      <w:r w:rsidRPr="00680135">
        <w:rPr>
          <w:rStyle w:val="af7"/>
          <w:rFonts w:eastAsia="Guttman Hodes"/>
          <w:rtl/>
        </w:rPr>
      </w:r>
      <w:r w:rsidRPr="00680135">
        <w:rPr>
          <w:rStyle w:val="af7"/>
          <w:rFonts w:eastAsia="Guttman Hodes"/>
          <w:rtl/>
        </w:rPr>
        <w:fldChar w:fldCharType="separate"/>
      </w:r>
      <w:r w:rsidR="00345400">
        <w:rPr>
          <w:rStyle w:val="af7"/>
          <w:rFonts w:eastAsia="Guttman Hodes"/>
          <w:cs/>
        </w:rPr>
        <w:t>‎</w:t>
      </w:r>
      <w:r w:rsidR="00345400">
        <w:rPr>
          <w:rStyle w:val="af7"/>
          <w:rFonts w:eastAsia="Guttman Hodes"/>
          <w:rtl/>
        </w:rPr>
        <w:t>נז)</w:t>
      </w:r>
      <w:r w:rsidRPr="00680135">
        <w:rPr>
          <w:rStyle w:val="af7"/>
          <w:rFonts w:eastAsia="Guttman Hodes"/>
          <w:rtl/>
        </w:rPr>
        <w:fldChar w:fldCharType="end"/>
      </w:r>
      <w:r>
        <w:rPr>
          <w:rFonts w:hint="cs"/>
          <w:rtl/>
        </w:rPr>
        <w:t xml:space="preserve"> דאין חיוב כרת בדם השחיטה, הביאור הוא דכל אבריו חשיבי כשחוטים, וכתב </w:t>
      </w:r>
      <w:r w:rsidRPr="004C5C6A">
        <w:rPr>
          <w:rStyle w:val="af9"/>
          <w:rFonts w:hint="cs"/>
          <w:rtl/>
        </w:rPr>
        <w:t>המנחת חינוך</w:t>
      </w:r>
      <w:r>
        <w:rPr>
          <w:rFonts w:hint="cs"/>
          <w:rtl/>
        </w:rPr>
        <w:t xml:space="preserve"> דא"כ במקום שלא נשחטה האם, אלא הפילה בן ח' או בן ט' מת, ודאי דהדם הכנוס בלבו של הנפל יש בו חיוב כרת.</w:t>
      </w:r>
      <w:bookmarkEnd w:id="25658"/>
    </w:p>
    <w:p w14:paraId="2483C476" w14:textId="77777777" w:rsidR="003D504D" w:rsidRDefault="003D504D" w:rsidP="003D504D">
      <w:pPr>
        <w:pStyle w:val="a3"/>
        <w:rPr>
          <w:rtl/>
        </w:rPr>
      </w:pPr>
      <w:bookmarkStart w:id="25659" w:name="_Toc4330772"/>
      <w:bookmarkStart w:id="25660" w:name="_Toc19392170"/>
      <w:bookmarkStart w:id="25661" w:name="_Toc19395667"/>
      <w:r>
        <w:rPr>
          <w:rFonts w:hint="cs"/>
          <w:rtl/>
        </w:rPr>
        <w:t>ספק המנח"ח ברמב"ם בהפילה בן ח' חי אי דם שחיטתו כדם הנפש דהא לא נשחטה אמו</w:t>
      </w:r>
      <w:bookmarkEnd w:id="25659"/>
      <w:bookmarkEnd w:id="25660"/>
      <w:bookmarkEnd w:id="25661"/>
    </w:p>
    <w:p w14:paraId="6E149E82" w14:textId="77777777" w:rsidR="003D504D" w:rsidRDefault="003D504D" w:rsidP="00223668">
      <w:pPr>
        <w:pStyle w:val="a0"/>
        <w:rPr>
          <w:rtl/>
        </w:rPr>
      </w:pPr>
      <w:r>
        <w:rPr>
          <w:rFonts w:hint="cs"/>
          <w:rtl/>
        </w:rPr>
        <w:t xml:space="preserve">אך כתב </w:t>
      </w:r>
      <w:r w:rsidRPr="004C5C6A">
        <w:rPr>
          <w:rStyle w:val="af9"/>
          <w:rFonts w:hint="cs"/>
          <w:rtl/>
        </w:rPr>
        <w:t>המנחת חינוך</w:t>
      </w:r>
      <w:r>
        <w:rPr>
          <w:rFonts w:hint="cs"/>
          <w:rtl/>
        </w:rPr>
        <w:t xml:space="preserve"> דיש להסתפק בדעת </w:t>
      </w:r>
      <w:r w:rsidRPr="004C5C6A">
        <w:rPr>
          <w:rStyle w:val="af9"/>
          <w:rFonts w:hint="cs"/>
          <w:rtl/>
        </w:rPr>
        <w:t>הרמב"ם</w:t>
      </w:r>
      <w:r>
        <w:rPr>
          <w:rFonts w:hint="cs"/>
          <w:rtl/>
        </w:rPr>
        <w:t xml:space="preserve"> במקום שהפילה בן ח' חי, אי יש חיוב כרת על דם שחיטתו או נחירתו, דכיון שלא נשחטה אמו, אפש"ל דדם השחיטה שלו הוא דם הנפש, או דכיון שאינו חי רק הדם הכנוס בלבו חשיב דם הנפש.</w:t>
      </w:r>
    </w:p>
    <w:p w14:paraId="2811D18C" w14:textId="77777777" w:rsidR="003D504D" w:rsidRPr="00427628" w:rsidRDefault="003D504D" w:rsidP="003D504D">
      <w:pPr>
        <w:pStyle w:val="a3"/>
      </w:pPr>
      <w:bookmarkStart w:id="25662" w:name="_Toc4330773"/>
      <w:bookmarkStart w:id="25663" w:name="_Toc19392171"/>
      <w:bookmarkStart w:id="25664" w:name="_Toc19395668"/>
      <w:r>
        <w:rPr>
          <w:rFonts w:hint="cs"/>
          <w:rtl/>
        </w:rPr>
        <w:t>דברי המנח"ח דלביאור הא' במ"מ בראב"ד ולרמב"ן יש חיוב כרת בדם הנפל כיון לא נשחטה אמו</w:t>
      </w:r>
      <w:bookmarkEnd w:id="25662"/>
      <w:bookmarkEnd w:id="25663"/>
      <w:bookmarkEnd w:id="25664"/>
    </w:p>
    <w:p w14:paraId="4EA0A620" w14:textId="77777777" w:rsidR="003D504D" w:rsidRDefault="003D504D" w:rsidP="00223668">
      <w:pPr>
        <w:pStyle w:val="a0"/>
        <w:rPr>
          <w:rtl/>
        </w:rPr>
        <w:sectPr w:rsidR="003D504D" w:rsidSect="005049E2">
          <w:type w:val="continuous"/>
          <w:pgSz w:w="11906" w:h="16838"/>
          <w:pgMar w:top="720" w:right="720" w:bottom="720" w:left="720" w:header="283" w:footer="283" w:gutter="0"/>
          <w:cols w:num="2" w:space="567"/>
          <w:titlePg/>
          <w:bidi/>
          <w:rtlGutter/>
          <w:docGrid w:linePitch="299"/>
        </w:sectPr>
      </w:pPr>
      <w:r>
        <w:rPr>
          <w:rFonts w:hint="cs"/>
          <w:rtl/>
        </w:rPr>
        <w:t xml:space="preserve">וכתב </w:t>
      </w:r>
      <w:r w:rsidRPr="004C5C6A">
        <w:rPr>
          <w:rStyle w:val="af9"/>
          <w:rFonts w:hint="cs"/>
          <w:rtl/>
        </w:rPr>
        <w:t>המנחת חינוך</w:t>
      </w:r>
      <w:r>
        <w:rPr>
          <w:rFonts w:hint="cs"/>
          <w:rtl/>
        </w:rPr>
        <w:t xml:space="preserve"> </w:t>
      </w:r>
      <w:r w:rsidRPr="004C5C6A">
        <w:rPr>
          <w:rStyle w:val="af9"/>
          <w:rFonts w:hint="cs"/>
          <w:rtl/>
        </w:rPr>
        <w:t>דלביאור הא' במ"מ</w:t>
      </w:r>
      <w:r>
        <w:rPr>
          <w:rFonts w:hint="cs"/>
          <w:rtl/>
        </w:rPr>
        <w:t xml:space="preserve"> </w:t>
      </w:r>
      <w:r w:rsidRPr="00D41D99">
        <w:rPr>
          <w:rStyle w:val="af7"/>
          <w:rFonts w:eastAsia="Guttman Hodes" w:hint="cs"/>
          <w:rtl/>
        </w:rPr>
        <w:t xml:space="preserve">(עי' אות </w:t>
      </w:r>
      <w:r w:rsidRPr="00D41D99">
        <w:rPr>
          <w:rStyle w:val="af7"/>
          <w:rFonts w:eastAsia="Guttman Hodes"/>
          <w:rtl/>
        </w:rPr>
        <w:fldChar w:fldCharType="begin"/>
      </w:r>
      <w:r w:rsidRPr="00D41D99">
        <w:rPr>
          <w:rStyle w:val="af7"/>
          <w:rFonts w:eastAsia="Guttman Hodes"/>
          <w:rtl/>
        </w:rPr>
        <w:instrText xml:space="preserve"> </w:instrText>
      </w:r>
      <w:r w:rsidRPr="00D41D99">
        <w:rPr>
          <w:rStyle w:val="af7"/>
          <w:rFonts w:eastAsia="Guttman Hodes" w:hint="cs"/>
        </w:rPr>
        <w:instrText>REF</w:instrText>
      </w:r>
      <w:r w:rsidRPr="00D41D99">
        <w:rPr>
          <w:rStyle w:val="af7"/>
          <w:rFonts w:eastAsia="Guttman Hodes" w:hint="cs"/>
          <w:rtl/>
        </w:rPr>
        <w:instrText xml:space="preserve"> _</w:instrText>
      </w:r>
      <w:r w:rsidRPr="00D41D99">
        <w:rPr>
          <w:rStyle w:val="af7"/>
          <w:rFonts w:eastAsia="Guttman Hodes" w:hint="cs"/>
        </w:rPr>
        <w:instrText>Ref4317356 \r \h</w:instrText>
      </w:r>
      <w:r w:rsidRPr="00D41D99">
        <w:rPr>
          <w:rStyle w:val="af7"/>
          <w:rFonts w:eastAsia="Guttman Hodes"/>
          <w:rtl/>
        </w:rPr>
        <w:instrText xml:space="preserve"> </w:instrText>
      </w:r>
      <w:r w:rsidRPr="00D41D99">
        <w:rPr>
          <w:rStyle w:val="af7"/>
          <w:rFonts w:eastAsia="Guttman Hodes"/>
          <w:rtl/>
        </w:rPr>
      </w:r>
      <w:r w:rsidRPr="00D41D99">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D41D99">
        <w:rPr>
          <w:rStyle w:val="af7"/>
          <w:rFonts w:eastAsia="Guttman Hodes"/>
          <w:rtl/>
        </w:rPr>
        <w:fldChar w:fldCharType="end"/>
      </w:r>
      <w:r>
        <w:rPr>
          <w:rFonts w:hint="cs"/>
          <w:rtl/>
        </w:rPr>
        <w:t xml:space="preserve"> בדעת </w:t>
      </w:r>
      <w:r w:rsidRPr="004C5C6A">
        <w:rPr>
          <w:rStyle w:val="af9"/>
          <w:rFonts w:hint="cs"/>
          <w:rtl/>
        </w:rPr>
        <w:t>הראב"ד</w:t>
      </w:r>
      <w:r>
        <w:rPr>
          <w:rFonts w:hint="cs"/>
          <w:rtl/>
        </w:rPr>
        <w:t xml:space="preserve"> </w:t>
      </w:r>
      <w:r w:rsidRPr="00D41D99">
        <w:rPr>
          <w:rStyle w:val="af7"/>
          <w:rFonts w:eastAsia="Guttman Hodes" w:hint="cs"/>
          <w:rtl/>
        </w:rPr>
        <w:t>(עי'</w:t>
      </w:r>
      <w:r>
        <w:rPr>
          <w:rFonts w:hint="cs"/>
          <w:rtl/>
        </w:rPr>
        <w:t xml:space="preserve"> </w:t>
      </w:r>
      <w:r w:rsidRPr="00D41D99">
        <w:rPr>
          <w:rStyle w:val="af7"/>
          <w:rFonts w:eastAsia="Guttman Hodes" w:hint="cs"/>
          <w:rtl/>
        </w:rPr>
        <w:t xml:space="preserve">אות </w:t>
      </w:r>
      <w:r w:rsidRPr="00D41D99">
        <w:rPr>
          <w:rStyle w:val="af7"/>
          <w:rFonts w:eastAsia="Guttman Hodes"/>
          <w:rtl/>
        </w:rPr>
        <w:fldChar w:fldCharType="begin"/>
      </w:r>
      <w:r w:rsidRPr="00D41D99">
        <w:rPr>
          <w:rStyle w:val="af7"/>
          <w:rFonts w:eastAsia="Guttman Hodes"/>
          <w:rtl/>
        </w:rPr>
        <w:instrText xml:space="preserve"> </w:instrText>
      </w:r>
      <w:r w:rsidRPr="00D41D99">
        <w:rPr>
          <w:rStyle w:val="af7"/>
          <w:rFonts w:eastAsia="Guttman Hodes" w:hint="cs"/>
        </w:rPr>
        <w:instrText>REF</w:instrText>
      </w:r>
      <w:r w:rsidRPr="00D41D99">
        <w:rPr>
          <w:rStyle w:val="af7"/>
          <w:rFonts w:eastAsia="Guttman Hodes" w:hint="cs"/>
          <w:rtl/>
        </w:rPr>
        <w:instrText xml:space="preserve"> _</w:instrText>
      </w:r>
      <w:r w:rsidRPr="00D41D99">
        <w:rPr>
          <w:rStyle w:val="af7"/>
          <w:rFonts w:eastAsia="Guttman Hodes" w:hint="cs"/>
        </w:rPr>
        <w:instrText>Ref4320784 \r \h</w:instrText>
      </w:r>
      <w:r w:rsidRPr="00D41D99">
        <w:rPr>
          <w:rStyle w:val="af7"/>
          <w:rFonts w:eastAsia="Guttman Hodes"/>
          <w:rtl/>
        </w:rPr>
        <w:instrText xml:space="preserve"> </w:instrText>
      </w:r>
      <w:r w:rsidRPr="00D41D99">
        <w:rPr>
          <w:rStyle w:val="af7"/>
          <w:rFonts w:eastAsia="Guttman Hodes"/>
          <w:rtl/>
        </w:rPr>
      </w:r>
      <w:r w:rsidRPr="00D41D99">
        <w:rPr>
          <w:rStyle w:val="af7"/>
          <w:rFonts w:eastAsia="Guttman Hodes"/>
          <w:rtl/>
        </w:rPr>
        <w:fldChar w:fldCharType="separate"/>
      </w:r>
      <w:r w:rsidR="00345400">
        <w:rPr>
          <w:rStyle w:val="af7"/>
          <w:rFonts w:eastAsia="Guttman Hodes"/>
          <w:cs/>
        </w:rPr>
        <w:t>‎</w:t>
      </w:r>
      <w:r w:rsidR="00345400">
        <w:rPr>
          <w:rStyle w:val="af7"/>
          <w:rFonts w:eastAsia="Guttman Hodes"/>
          <w:rtl/>
        </w:rPr>
        <w:t>נד)</w:t>
      </w:r>
      <w:r w:rsidRPr="00D41D99">
        <w:rPr>
          <w:rStyle w:val="af7"/>
          <w:rFonts w:eastAsia="Guttman Hodes"/>
          <w:rtl/>
        </w:rPr>
        <w:fldChar w:fldCharType="end"/>
      </w:r>
      <w:r>
        <w:rPr>
          <w:rFonts w:hint="cs"/>
          <w:rtl/>
        </w:rPr>
        <w:t xml:space="preserve"> דחייב על דם השחיטה בשליל, כ"ש דחייב בנפל, והוסיף </w:t>
      </w:r>
      <w:r w:rsidRPr="004C5C6A">
        <w:rPr>
          <w:rStyle w:val="af9"/>
          <w:rFonts w:hint="cs"/>
          <w:rtl/>
        </w:rPr>
        <w:t>המנחת חינוך</w:t>
      </w:r>
      <w:r>
        <w:rPr>
          <w:rFonts w:hint="cs"/>
          <w:rtl/>
        </w:rPr>
        <w:t xml:space="preserve"> דלדעת </w:t>
      </w:r>
      <w:r w:rsidRPr="004C5C6A">
        <w:rPr>
          <w:rStyle w:val="af9"/>
          <w:rFonts w:hint="cs"/>
          <w:rtl/>
        </w:rPr>
        <w:t>הרמב"ן</w:t>
      </w:r>
      <w:r>
        <w:rPr>
          <w:rFonts w:hint="cs"/>
          <w:rtl/>
        </w:rPr>
        <w:t xml:space="preserve"> </w:t>
      </w:r>
      <w:r w:rsidRPr="00D41D99">
        <w:rPr>
          <w:rStyle w:val="af7"/>
          <w:rFonts w:eastAsia="Guttman Hodes" w:hint="cs"/>
          <w:rtl/>
        </w:rPr>
        <w:t xml:space="preserve">(עי' אות </w:t>
      </w:r>
      <w:r w:rsidRPr="00D41D99">
        <w:rPr>
          <w:rStyle w:val="af7"/>
          <w:rFonts w:eastAsia="Guttman Hodes"/>
          <w:rtl/>
        </w:rPr>
        <w:fldChar w:fldCharType="begin"/>
      </w:r>
      <w:r w:rsidRPr="00D41D99">
        <w:rPr>
          <w:rStyle w:val="af7"/>
          <w:rFonts w:eastAsia="Guttman Hodes"/>
          <w:rtl/>
        </w:rPr>
        <w:instrText xml:space="preserve"> </w:instrText>
      </w:r>
      <w:r w:rsidRPr="00D41D99">
        <w:rPr>
          <w:rStyle w:val="af7"/>
          <w:rFonts w:eastAsia="Guttman Hodes" w:hint="cs"/>
        </w:rPr>
        <w:instrText>REF</w:instrText>
      </w:r>
      <w:r w:rsidRPr="00D41D99">
        <w:rPr>
          <w:rStyle w:val="af7"/>
          <w:rFonts w:eastAsia="Guttman Hodes" w:hint="cs"/>
          <w:rtl/>
        </w:rPr>
        <w:instrText xml:space="preserve"> _</w:instrText>
      </w:r>
      <w:r w:rsidRPr="00D41D99">
        <w:rPr>
          <w:rStyle w:val="af7"/>
          <w:rFonts w:eastAsia="Guttman Hodes" w:hint="cs"/>
        </w:rPr>
        <w:instrText>Ref4316466 \r \h</w:instrText>
      </w:r>
      <w:r w:rsidRPr="00D41D99">
        <w:rPr>
          <w:rStyle w:val="af7"/>
          <w:rFonts w:eastAsia="Guttman Hodes"/>
          <w:rtl/>
        </w:rPr>
        <w:instrText xml:space="preserve"> </w:instrText>
      </w:r>
      <w:r w:rsidRPr="00D41D99">
        <w:rPr>
          <w:rStyle w:val="af7"/>
          <w:rFonts w:eastAsia="Guttman Hodes"/>
          <w:rtl/>
        </w:rPr>
      </w:r>
      <w:r w:rsidRPr="00D41D99">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sidRPr="00D41D99">
        <w:rPr>
          <w:rStyle w:val="af7"/>
          <w:rFonts w:eastAsia="Guttman Hodes"/>
          <w:rtl/>
        </w:rPr>
        <w:fldChar w:fldCharType="end"/>
      </w:r>
      <w:r>
        <w:rPr>
          <w:rFonts w:hint="cs"/>
          <w:rtl/>
        </w:rPr>
        <w:t xml:space="preserve"> דאין חיוב כרת בדם השליל כלל, כתב </w:t>
      </w:r>
      <w:r w:rsidRPr="004C5C6A">
        <w:rPr>
          <w:rStyle w:val="af9"/>
          <w:rFonts w:hint="cs"/>
          <w:rtl/>
        </w:rPr>
        <w:t>המנחת חינוך</w:t>
      </w:r>
      <w:r>
        <w:rPr>
          <w:rFonts w:hint="cs"/>
          <w:rtl/>
        </w:rPr>
        <w:t xml:space="preserve"> דס"ל </w:t>
      </w:r>
      <w:r w:rsidRPr="00D41D99">
        <w:rPr>
          <w:rStyle w:val="af9"/>
          <w:rFonts w:hint="cs"/>
          <w:rtl/>
        </w:rPr>
        <w:t>להרמב"ן</w:t>
      </w:r>
      <w:r>
        <w:rPr>
          <w:rFonts w:hint="cs"/>
          <w:rtl/>
        </w:rPr>
        <w:t xml:space="preserve"> דכיון שנשחטה אמו אין בו כרת, אבל בנפל אף </w:t>
      </w:r>
      <w:r w:rsidRPr="00427628">
        <w:rPr>
          <w:rStyle w:val="af9"/>
          <w:rFonts w:hint="cs"/>
          <w:rtl/>
        </w:rPr>
        <w:t>להרמב"ן</w:t>
      </w:r>
      <w:r>
        <w:rPr>
          <w:rFonts w:hint="cs"/>
          <w:rtl/>
        </w:rPr>
        <w:t xml:space="preserve"> יש חיוב כרת.</w:t>
      </w:r>
    </w:p>
    <w:p w14:paraId="0411F14C" w14:textId="77777777" w:rsidR="003D504D" w:rsidRDefault="003D504D" w:rsidP="00223668">
      <w:pPr>
        <w:pStyle w:val="a0"/>
        <w:numPr>
          <w:ilvl w:val="0"/>
          <w:numId w:val="0"/>
        </w:numPr>
        <w:rPr>
          <w:rtl/>
        </w:rPr>
        <w:sectPr w:rsidR="003D504D" w:rsidSect="005049E2">
          <w:type w:val="continuous"/>
          <w:pgSz w:w="11906" w:h="16838"/>
          <w:pgMar w:top="720" w:right="720" w:bottom="720" w:left="720" w:header="283" w:footer="283" w:gutter="0"/>
          <w:cols w:num="2" w:space="567"/>
          <w:titlePg/>
          <w:bidi/>
          <w:rtlGutter/>
          <w:docGrid w:linePitch="299"/>
        </w:sectPr>
      </w:pPr>
    </w:p>
    <w:p w14:paraId="3F6291A7" w14:textId="77777777" w:rsidR="003D504D" w:rsidRDefault="003D504D" w:rsidP="003D504D">
      <w:pPr>
        <w:pStyle w:val="afd"/>
        <w:spacing w:before="240"/>
        <w:rPr>
          <w:rtl/>
        </w:rPr>
        <w:sectPr w:rsidR="003D504D" w:rsidSect="003D504D">
          <w:headerReference w:type="default" r:id="rId146"/>
          <w:footerReference w:type="default" r:id="rId147"/>
          <w:headerReference w:type="first" r:id="rId148"/>
          <w:footerReference w:type="first" r:id="rId149"/>
          <w:type w:val="continuous"/>
          <w:pgSz w:w="11906" w:h="16838"/>
          <w:pgMar w:top="720" w:right="720" w:bottom="720" w:left="720" w:header="283" w:footer="283" w:gutter="0"/>
          <w:cols w:space="113"/>
          <w:bidi/>
          <w:rtlGutter/>
          <w:docGrid w:linePitch="299"/>
        </w:sectPr>
      </w:pPr>
      <w:bookmarkStart w:id="25665" w:name="_Toc4402614"/>
      <w:bookmarkStart w:id="25666" w:name="_Toc4540580"/>
      <w:bookmarkStart w:id="25667" w:name="_Toc4606369"/>
      <w:bookmarkStart w:id="25668" w:name="_Toc4618146"/>
      <w:bookmarkStart w:id="25669" w:name="_Toc4704727"/>
      <w:bookmarkStart w:id="25670" w:name="_Toc4761868"/>
      <w:bookmarkStart w:id="25671" w:name="_Toc4877576"/>
      <w:bookmarkStart w:id="25672" w:name="_Toc4877902"/>
      <w:bookmarkStart w:id="25673" w:name="_Toc4878046"/>
      <w:bookmarkStart w:id="25674" w:name="_Toc2618575"/>
      <w:bookmarkStart w:id="25675" w:name="_Toc2628218"/>
      <w:bookmarkStart w:id="25676" w:name="_Toc2597322"/>
    </w:p>
    <w:p w14:paraId="437A917A" w14:textId="77777777" w:rsidR="003D504D" w:rsidRDefault="003D504D" w:rsidP="005077A7">
      <w:pPr>
        <w:pStyle w:val="afd"/>
        <w:spacing w:before="240"/>
      </w:pPr>
      <w:bookmarkStart w:id="25677" w:name="_Toc5356401"/>
      <w:bookmarkStart w:id="25678" w:name="_Toc16669783"/>
      <w:bookmarkStart w:id="25679" w:name="_Toc19436435"/>
      <w:bookmarkStart w:id="25680" w:name="_Toc20081552"/>
      <w:r>
        <w:rPr>
          <w:rFonts w:hint="cs"/>
          <w:rtl/>
        </w:rPr>
        <w:t xml:space="preserve">סימן </w:t>
      </w:r>
      <w:bookmarkEnd w:id="25665"/>
      <w:bookmarkEnd w:id="25666"/>
      <w:bookmarkEnd w:id="25667"/>
      <w:bookmarkEnd w:id="25668"/>
      <w:bookmarkEnd w:id="25669"/>
      <w:bookmarkEnd w:id="25670"/>
      <w:bookmarkEnd w:id="25671"/>
      <w:bookmarkEnd w:id="25672"/>
      <w:bookmarkEnd w:id="25673"/>
      <w:bookmarkEnd w:id="25677"/>
      <w:r w:rsidR="005077A7">
        <w:rPr>
          <w:rFonts w:hint="cs"/>
          <w:rtl/>
        </w:rPr>
        <w:t>כ"ד</w:t>
      </w:r>
      <w:bookmarkEnd w:id="25678"/>
      <w:bookmarkEnd w:id="25679"/>
      <w:bookmarkEnd w:id="25680"/>
    </w:p>
    <w:p w14:paraId="502BDF0B" w14:textId="77777777" w:rsidR="003D504D" w:rsidRDefault="003D504D" w:rsidP="003D504D">
      <w:pPr>
        <w:pStyle w:val="afd"/>
        <w:rPr>
          <w:rtl/>
        </w:rPr>
      </w:pPr>
      <w:bookmarkStart w:id="25681" w:name="_Toc4402615"/>
      <w:bookmarkStart w:id="25682" w:name="_Toc4540581"/>
      <w:bookmarkStart w:id="25683" w:name="_Toc4606370"/>
      <w:bookmarkStart w:id="25684" w:name="_Toc4618147"/>
      <w:bookmarkStart w:id="25685" w:name="_Toc4704728"/>
      <w:bookmarkStart w:id="25686" w:name="_Toc4761869"/>
      <w:bookmarkStart w:id="25687" w:name="_Toc4877577"/>
      <w:bookmarkStart w:id="25688" w:name="_Toc4877903"/>
      <w:bookmarkStart w:id="25689" w:name="_Toc4878047"/>
      <w:bookmarkStart w:id="25690" w:name="_Toc5356402"/>
      <w:bookmarkStart w:id="25691" w:name="_Toc16669784"/>
      <w:bookmarkStart w:id="25692" w:name="_Toc19436436"/>
      <w:bookmarkStart w:id="25693" w:name="_Toc20081553"/>
      <w:r>
        <w:rPr>
          <w:rFonts w:hint="cs"/>
          <w:rtl/>
        </w:rPr>
        <w:t>בענין בן פקועה הנמצא במעי טריפה</w:t>
      </w:r>
      <w:bookmarkEnd w:id="25681"/>
      <w:bookmarkEnd w:id="25682"/>
      <w:bookmarkEnd w:id="25683"/>
      <w:bookmarkEnd w:id="25684"/>
      <w:bookmarkEnd w:id="25685"/>
      <w:bookmarkEnd w:id="25686"/>
      <w:bookmarkEnd w:id="25687"/>
      <w:bookmarkEnd w:id="25688"/>
      <w:bookmarkEnd w:id="25689"/>
      <w:bookmarkEnd w:id="25690"/>
      <w:bookmarkEnd w:id="25691"/>
      <w:bookmarkEnd w:id="25692"/>
      <w:bookmarkEnd w:id="25693"/>
    </w:p>
    <w:p w14:paraId="3E188E26" w14:textId="77777777" w:rsidR="003D504D" w:rsidRDefault="000A0C31" w:rsidP="003D504D">
      <w:pPr>
        <w:pStyle w:val="2"/>
        <w:keepNext w:val="0"/>
        <w:keepLines w:val="0"/>
        <w:rPr>
          <w:rtl/>
        </w:rPr>
      </w:pPr>
      <w:r>
        <w:rPr>
          <w:rtl/>
        </w:rPr>
        <w:t>מפתח הסוגיא</w:t>
      </w:r>
    </w:p>
    <w:p w14:paraId="4F1229E3" w14:textId="77777777" w:rsidR="003D504D" w:rsidRDefault="003D504D" w:rsidP="003D504D">
      <w:pPr>
        <w:pStyle w:val="aff4"/>
        <w:rPr>
          <w:rtl/>
        </w:rPr>
        <w:sectPr w:rsidR="003D504D" w:rsidSect="003D504D">
          <w:pgSz w:w="11906" w:h="16838"/>
          <w:pgMar w:top="720" w:right="720" w:bottom="720" w:left="720" w:header="283" w:footer="283" w:gutter="0"/>
          <w:cols w:space="113"/>
          <w:bidi/>
          <w:rtlGutter/>
          <w:docGrid w:linePitch="299"/>
        </w:sectPr>
      </w:pPr>
    </w:p>
    <w:p w14:paraId="06DDBA64" w14:textId="77777777" w:rsidR="003D504D" w:rsidRDefault="003D504D" w:rsidP="003D504D">
      <w:pPr>
        <w:pStyle w:val="2"/>
        <w:rPr>
          <w:rFonts w:eastAsiaTheme="minorEastAsia" w:cstheme="minorBidi"/>
          <w:i/>
          <w:iCs/>
          <w:noProof/>
          <w:sz w:val="22"/>
          <w:szCs w:val="22"/>
          <w:rtl/>
        </w:rPr>
      </w:pPr>
      <w:r>
        <w:rPr>
          <w:b/>
          <w:bCs/>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b/>
          <w:bCs/>
          <w:rtl/>
        </w:rPr>
        <w:fldChar w:fldCharType="separate"/>
      </w:r>
      <w:bookmarkStart w:id="25694" w:name="_Toc19436438"/>
      <w:r>
        <w:rPr>
          <w:noProof/>
          <w:rtl/>
        </w:rPr>
        <w:t>מראי מקומות וביאורים על הסוגיא</w:t>
      </w:r>
      <w:bookmarkEnd w:id="25694"/>
    </w:p>
    <w:p w14:paraId="03444867" w14:textId="77777777" w:rsidR="003D504D" w:rsidRDefault="003D504D" w:rsidP="003D504D">
      <w:pPr>
        <w:pStyle w:val="2"/>
        <w:rPr>
          <w:rFonts w:eastAsiaTheme="minorEastAsia" w:cstheme="minorBidi"/>
          <w:i/>
          <w:iCs/>
          <w:noProof/>
          <w:sz w:val="22"/>
          <w:szCs w:val="22"/>
          <w:rtl/>
        </w:rPr>
      </w:pPr>
      <w:bookmarkStart w:id="25695" w:name="_Toc19436439"/>
      <w:r>
        <w:rPr>
          <w:noProof/>
          <w:rtl/>
        </w:rPr>
        <w:t>בהא דשחיטת טריפה אינה מתירה ולד</w:t>
      </w:r>
      <w:bookmarkEnd w:id="25695"/>
    </w:p>
    <w:p w14:paraId="6D9A4220" w14:textId="77777777" w:rsidR="003D504D" w:rsidRDefault="003D504D" w:rsidP="003D504D">
      <w:pPr>
        <w:pStyle w:val="aff4"/>
        <w:rPr>
          <w:rFonts w:eastAsiaTheme="minorEastAsia" w:cstheme="minorBidi"/>
          <w:i/>
          <w:iCs/>
          <w:noProof/>
          <w:sz w:val="22"/>
          <w:szCs w:val="22"/>
          <w:rtl/>
        </w:rPr>
      </w:pPr>
      <w:bookmarkStart w:id="25696" w:name="_Toc19436440"/>
      <w:bookmarkStart w:id="25697" w:name="_Toc20081554"/>
      <w:r>
        <w:rPr>
          <w:noProof/>
          <w:rtl/>
        </w:rPr>
        <w:t>דברי רש"י דהעובר אסור דהוא כירך אמו</w:t>
      </w:r>
      <w:bookmarkEnd w:id="25696"/>
      <w:bookmarkEnd w:id="25697"/>
    </w:p>
    <w:p w14:paraId="51E7B3FF" w14:textId="77777777" w:rsidR="003D504D" w:rsidRPr="00F92827" w:rsidRDefault="003D504D" w:rsidP="00E12979">
      <w:pPr>
        <w:pStyle w:val="a"/>
        <w:numPr>
          <w:ilvl w:val="0"/>
          <w:numId w:val="49"/>
        </w:numPr>
        <w:rPr>
          <w:rtl/>
        </w:rPr>
      </w:pPr>
      <w:r w:rsidRPr="00F92827">
        <w:rPr>
          <w:rtl/>
        </w:rPr>
        <w:t>דברי רש"י דשחיטת טריפה אינה מתירה את הולד דהוא כאחד מאברי</w:t>
      </w:r>
      <w:r w:rsidR="00F92827">
        <w:rPr>
          <w:rFonts w:hint="cs"/>
          <w:rtl/>
        </w:rPr>
        <w:t>ה</w:t>
      </w:r>
    </w:p>
    <w:p w14:paraId="40F11D78" w14:textId="77777777" w:rsidR="003D504D" w:rsidRPr="00BD0319" w:rsidRDefault="003D504D" w:rsidP="005077A7">
      <w:pPr>
        <w:pStyle w:val="a"/>
        <w:rPr>
          <w:rtl/>
        </w:rPr>
      </w:pPr>
      <w:r>
        <w:rPr>
          <w:rtl/>
        </w:rPr>
        <w:t>משמעות רש"י לקמן דאסור באיסור טריפה אף למ"ד ד' סימנים דאינו ירך אמו</w:t>
      </w:r>
    </w:p>
    <w:p w14:paraId="7D046AA5" w14:textId="77777777" w:rsidR="003D504D" w:rsidRDefault="003D504D" w:rsidP="003D504D">
      <w:pPr>
        <w:pStyle w:val="aff4"/>
        <w:rPr>
          <w:rFonts w:eastAsiaTheme="minorEastAsia" w:cstheme="minorBidi"/>
          <w:i/>
          <w:iCs/>
          <w:noProof/>
          <w:sz w:val="22"/>
          <w:szCs w:val="22"/>
          <w:rtl/>
        </w:rPr>
      </w:pPr>
      <w:bookmarkStart w:id="25698" w:name="_Toc19436441"/>
      <w:bookmarkStart w:id="25699" w:name="_Toc20081555"/>
      <w:r>
        <w:rPr>
          <w:noProof/>
          <w:rtl/>
        </w:rPr>
        <w:t>דברי רבינו גרשום דלרבנן הוי ירך אמו להיתר שחיטה ולטריפה</w:t>
      </w:r>
      <w:bookmarkEnd w:id="25698"/>
      <w:bookmarkEnd w:id="25699"/>
    </w:p>
    <w:p w14:paraId="2D7C24EB" w14:textId="77777777" w:rsidR="003D504D" w:rsidRDefault="003D504D" w:rsidP="005077A7">
      <w:pPr>
        <w:pStyle w:val="a"/>
        <w:rPr>
          <w:rFonts w:eastAsiaTheme="minorEastAsia" w:cstheme="minorBidi"/>
          <w:sz w:val="22"/>
          <w:szCs w:val="22"/>
          <w:rtl/>
        </w:rPr>
      </w:pPr>
      <w:r>
        <w:rPr>
          <w:rtl/>
        </w:rPr>
        <w:t>דברי רבינו גרשום דלמ"ד דבן ט' מותר בשחיטת אמו חשיב כאבר דאמו ובטריפה אסור כמותה</w:t>
      </w:r>
    </w:p>
    <w:p w14:paraId="0EA11148" w14:textId="77777777" w:rsidR="003D504D" w:rsidRDefault="003D504D" w:rsidP="003D504D">
      <w:pPr>
        <w:pStyle w:val="aff4"/>
        <w:rPr>
          <w:rFonts w:eastAsiaTheme="minorEastAsia" w:cstheme="minorBidi"/>
          <w:i/>
          <w:iCs/>
          <w:noProof/>
          <w:sz w:val="22"/>
          <w:szCs w:val="22"/>
          <w:rtl/>
        </w:rPr>
      </w:pPr>
      <w:bookmarkStart w:id="25700" w:name="_Toc19436442"/>
      <w:bookmarkStart w:id="25701" w:name="_Toc20081556"/>
      <w:r>
        <w:rPr>
          <w:noProof/>
          <w:rtl/>
        </w:rPr>
        <w:t>קושית הרשב"א אמאי בן ט' אינו מותר בשחיטת הטריפה</w:t>
      </w:r>
      <w:bookmarkEnd w:id="25700"/>
      <w:bookmarkEnd w:id="25701"/>
    </w:p>
    <w:p w14:paraId="5420BCB0" w14:textId="77777777" w:rsidR="003D504D" w:rsidRDefault="003D504D" w:rsidP="005077A7">
      <w:pPr>
        <w:pStyle w:val="a"/>
        <w:rPr>
          <w:rFonts w:eastAsiaTheme="minorEastAsia" w:cstheme="minorBidi"/>
          <w:sz w:val="22"/>
          <w:szCs w:val="22"/>
          <w:rtl/>
        </w:rPr>
      </w:pPr>
      <w:r>
        <w:rPr>
          <w:rtl/>
        </w:rPr>
        <w:t>דברי הרשב"א דבבן ח' אסור דאין בו שחיטה ושחיטת אמו הטריפה לא באה להתיר באכילה</w:t>
      </w:r>
    </w:p>
    <w:p w14:paraId="06F39B5C" w14:textId="77777777" w:rsidR="003D504D" w:rsidRDefault="003D504D" w:rsidP="005077A7">
      <w:pPr>
        <w:pStyle w:val="a"/>
        <w:rPr>
          <w:rFonts w:eastAsiaTheme="minorEastAsia" w:cstheme="minorBidi"/>
          <w:sz w:val="22"/>
          <w:szCs w:val="22"/>
          <w:rtl/>
        </w:rPr>
      </w:pPr>
      <w:r>
        <w:rPr>
          <w:rtl/>
        </w:rPr>
        <w:t>קושית הרשב"א אמאי בן ט' אינו מותר בשחיטת אמו דנשחטה כראוי והעובר אינו טריפה</w:t>
      </w:r>
    </w:p>
    <w:p w14:paraId="4A9BCFB8" w14:textId="77777777" w:rsidR="003D504D" w:rsidRDefault="003D504D" w:rsidP="005077A7">
      <w:pPr>
        <w:pStyle w:val="a"/>
        <w:rPr>
          <w:rFonts w:eastAsiaTheme="minorEastAsia" w:cstheme="minorBidi"/>
          <w:sz w:val="22"/>
          <w:szCs w:val="22"/>
          <w:rtl/>
        </w:rPr>
      </w:pPr>
      <w:r>
        <w:rPr>
          <w:rtl/>
        </w:rPr>
        <w:t>דברי הרשב"א דמוכח בדברי רבנן דשחיטת האם מהני לעובר יותר מלעצמה ואמאי אינה מתירתו</w:t>
      </w:r>
    </w:p>
    <w:p w14:paraId="567CA1A1" w14:textId="77777777" w:rsidR="003D504D" w:rsidRDefault="003D504D" w:rsidP="003D504D">
      <w:pPr>
        <w:pStyle w:val="aff4"/>
        <w:rPr>
          <w:rFonts w:eastAsiaTheme="minorEastAsia" w:cstheme="minorBidi"/>
          <w:i/>
          <w:iCs/>
          <w:noProof/>
          <w:sz w:val="22"/>
          <w:szCs w:val="22"/>
          <w:rtl/>
        </w:rPr>
      </w:pPr>
      <w:bookmarkStart w:id="25702" w:name="_Toc19436443"/>
      <w:bookmarkStart w:id="25703" w:name="_Toc20081557"/>
      <w:r>
        <w:rPr>
          <w:noProof/>
          <w:rtl/>
        </w:rPr>
        <w:t>ביאור הרשב"א דהשחיטה מהני לעובר רק במה שמהני לאם</w:t>
      </w:r>
      <w:bookmarkEnd w:id="25702"/>
      <w:bookmarkEnd w:id="25703"/>
    </w:p>
    <w:p w14:paraId="06518AE3" w14:textId="77777777" w:rsidR="003D504D" w:rsidRDefault="003D504D" w:rsidP="005077A7">
      <w:pPr>
        <w:pStyle w:val="a"/>
        <w:rPr>
          <w:rFonts w:eastAsiaTheme="minorEastAsia" w:cstheme="minorBidi"/>
          <w:sz w:val="22"/>
          <w:szCs w:val="22"/>
          <w:rtl/>
        </w:rPr>
      </w:pPr>
      <w:r>
        <w:rPr>
          <w:rtl/>
        </w:rPr>
        <w:t>תירוץ הרשב"א דסימני האם מהני לולד רק כשמהני לעצמה ואילו לאכילה לא מהני לעצמה</w:t>
      </w:r>
    </w:p>
    <w:p w14:paraId="0149E170" w14:textId="77777777" w:rsidR="003D504D" w:rsidRDefault="003D504D" w:rsidP="005077A7">
      <w:pPr>
        <w:pStyle w:val="a"/>
        <w:rPr>
          <w:rFonts w:eastAsiaTheme="minorEastAsia" w:cstheme="minorBidi"/>
          <w:sz w:val="22"/>
          <w:szCs w:val="22"/>
          <w:rtl/>
        </w:rPr>
      </w:pPr>
      <w:r>
        <w:rPr>
          <w:rtl/>
        </w:rPr>
        <w:t>דברי הרשב"א דהעובר אינו עדיף מהבהמה אלא כגופה ממש וכל שמותר בה מותר בו</w:t>
      </w:r>
    </w:p>
    <w:p w14:paraId="0A5A374B" w14:textId="77777777" w:rsidR="003D504D" w:rsidRDefault="003D504D" w:rsidP="005077A7">
      <w:pPr>
        <w:pStyle w:val="a"/>
        <w:rPr>
          <w:rFonts w:eastAsiaTheme="minorEastAsia" w:cstheme="minorBidi"/>
          <w:sz w:val="22"/>
          <w:szCs w:val="22"/>
          <w:rtl/>
        </w:rPr>
      </w:pPr>
      <w:r>
        <w:rPr>
          <w:rtl/>
        </w:rPr>
        <w:t>דברי הרשב"א דרק שחיטה ראויה של האם מהני לולד ובטריפה שלא הועילה לאם הולד אסור</w:t>
      </w:r>
    </w:p>
    <w:p w14:paraId="4207F52A" w14:textId="77777777" w:rsidR="003D504D" w:rsidRDefault="003D504D" w:rsidP="005077A7">
      <w:pPr>
        <w:pStyle w:val="a"/>
        <w:rPr>
          <w:rFonts w:eastAsiaTheme="minorEastAsia" w:cstheme="minorBidi"/>
          <w:sz w:val="22"/>
          <w:szCs w:val="22"/>
          <w:rtl/>
        </w:rPr>
      </w:pPr>
      <w:r>
        <w:rPr>
          <w:rtl/>
        </w:rPr>
        <w:t>דברי הרשב"א דבגמ' לקמן מוכח דשחיטה שאינה ראויה לאם לא מהני לולד</w:t>
      </w:r>
    </w:p>
    <w:p w14:paraId="46552516" w14:textId="77777777" w:rsidR="003D504D" w:rsidRDefault="003D504D" w:rsidP="005077A7">
      <w:pPr>
        <w:pStyle w:val="a"/>
        <w:rPr>
          <w:rFonts w:eastAsiaTheme="minorEastAsia" w:cstheme="minorBidi"/>
          <w:sz w:val="22"/>
          <w:szCs w:val="22"/>
          <w:rtl/>
        </w:rPr>
      </w:pPr>
      <w:r>
        <w:rPr>
          <w:rtl/>
        </w:rPr>
        <w:t>דברי הרשב"א דברב חסדא מוכח דהשחיטה מהני לחצאין להתיר מנבילה ולא להתיר באכילה</w:t>
      </w:r>
    </w:p>
    <w:p w14:paraId="4B7C9076" w14:textId="77777777" w:rsidR="003D504D" w:rsidRDefault="003D504D" w:rsidP="005077A7">
      <w:pPr>
        <w:pStyle w:val="a"/>
        <w:rPr>
          <w:rFonts w:eastAsiaTheme="minorEastAsia" w:cstheme="minorBidi"/>
          <w:sz w:val="22"/>
          <w:szCs w:val="22"/>
          <w:rtl/>
        </w:rPr>
      </w:pPr>
      <w:r>
        <w:rPr>
          <w:rtl/>
        </w:rPr>
        <w:t>דברי הרשב"א דהעובר הוא טריפה</w:t>
      </w:r>
    </w:p>
    <w:p w14:paraId="04BEE60C" w14:textId="77777777" w:rsidR="003D504D" w:rsidRDefault="003D504D" w:rsidP="003D504D">
      <w:pPr>
        <w:pStyle w:val="2"/>
        <w:rPr>
          <w:rFonts w:eastAsiaTheme="minorEastAsia" w:cstheme="minorBidi"/>
          <w:i/>
          <w:iCs/>
          <w:noProof/>
          <w:sz w:val="22"/>
          <w:szCs w:val="22"/>
          <w:rtl/>
        </w:rPr>
      </w:pPr>
      <w:bookmarkStart w:id="25704" w:name="_Toc19436444"/>
      <w:r>
        <w:rPr>
          <w:noProof/>
          <w:rtl/>
        </w:rPr>
        <w:t>באיסור הולד מדין טריפה או אבמה"ח</w:t>
      </w:r>
      <w:bookmarkEnd w:id="25704"/>
    </w:p>
    <w:p w14:paraId="2A8C1268" w14:textId="77777777" w:rsidR="003D504D" w:rsidRDefault="003D504D" w:rsidP="003D504D">
      <w:pPr>
        <w:pStyle w:val="aff4"/>
        <w:rPr>
          <w:rFonts w:eastAsiaTheme="minorEastAsia" w:cstheme="minorBidi"/>
          <w:i/>
          <w:iCs/>
          <w:noProof/>
          <w:sz w:val="22"/>
          <w:szCs w:val="22"/>
          <w:rtl/>
        </w:rPr>
      </w:pPr>
      <w:bookmarkStart w:id="25705" w:name="_Toc19436445"/>
      <w:bookmarkStart w:id="25706" w:name="_Toc20081558"/>
      <w:r>
        <w:rPr>
          <w:noProof/>
          <w:rtl/>
        </w:rPr>
        <w:t>דעת הרשב"א בתשו' דאסור מדין אבר מן החי</w:t>
      </w:r>
      <w:bookmarkEnd w:id="25705"/>
      <w:bookmarkEnd w:id="25706"/>
    </w:p>
    <w:p w14:paraId="5AAAF486" w14:textId="77777777" w:rsidR="003D504D" w:rsidRDefault="003D504D" w:rsidP="005077A7">
      <w:pPr>
        <w:pStyle w:val="a"/>
        <w:rPr>
          <w:rFonts w:eastAsiaTheme="minorEastAsia" w:cstheme="minorBidi"/>
          <w:sz w:val="22"/>
          <w:szCs w:val="22"/>
          <w:rtl/>
        </w:rPr>
      </w:pPr>
      <w:r>
        <w:rPr>
          <w:rtl/>
        </w:rPr>
        <w:t>דברי הרשב"א בתשו' דשוחט טריפה הולד אסור דאין לו סימנים אך אינו טריפה מחיים כלל</w:t>
      </w:r>
    </w:p>
    <w:p w14:paraId="6B73A33A" w14:textId="77777777" w:rsidR="003D504D" w:rsidRDefault="003D504D" w:rsidP="005077A7">
      <w:pPr>
        <w:pStyle w:val="a"/>
        <w:rPr>
          <w:rFonts w:eastAsiaTheme="minorEastAsia" w:cstheme="minorBidi"/>
          <w:sz w:val="22"/>
          <w:szCs w:val="22"/>
          <w:rtl/>
        </w:rPr>
      </w:pPr>
      <w:r>
        <w:rPr>
          <w:rtl/>
        </w:rPr>
        <w:t>דברי הרשב"א בתשו' דהולד הוא כבהמה חיה וחיובו אינו מדין טריפה אלא כבשר מן החי</w:t>
      </w:r>
    </w:p>
    <w:p w14:paraId="4E49CD26" w14:textId="77777777" w:rsidR="003D504D" w:rsidRDefault="003D504D" w:rsidP="003D504D">
      <w:pPr>
        <w:pStyle w:val="aff4"/>
        <w:rPr>
          <w:rFonts w:eastAsiaTheme="minorEastAsia" w:cstheme="minorBidi"/>
          <w:i/>
          <w:iCs/>
          <w:noProof/>
          <w:sz w:val="22"/>
          <w:szCs w:val="22"/>
          <w:rtl/>
        </w:rPr>
      </w:pPr>
      <w:bookmarkStart w:id="25707" w:name="_Toc19436446"/>
      <w:bookmarkStart w:id="25708" w:name="_Toc20081559"/>
      <w:r>
        <w:rPr>
          <w:noProof/>
          <w:rtl/>
        </w:rPr>
        <w:t>דברי הגרעק"א דאסור מדין טריפה והותר מאינו זבוח</w:t>
      </w:r>
      <w:bookmarkEnd w:id="25707"/>
      <w:bookmarkEnd w:id="25708"/>
    </w:p>
    <w:p w14:paraId="005005FF" w14:textId="77777777" w:rsidR="003D504D" w:rsidRDefault="003D504D" w:rsidP="005077A7">
      <w:pPr>
        <w:pStyle w:val="a"/>
        <w:rPr>
          <w:rFonts w:eastAsiaTheme="minorEastAsia" w:cstheme="minorBidi"/>
          <w:sz w:val="22"/>
          <w:szCs w:val="22"/>
          <w:rtl/>
        </w:rPr>
      </w:pPr>
      <w:r>
        <w:rPr>
          <w:rtl/>
        </w:rPr>
        <w:t>דברי הגרעק"א דהולד אסור בטריפה אך חשיב כזבוח לענין אכילה ואין בו איסור אינו זבוח</w:t>
      </w:r>
    </w:p>
    <w:p w14:paraId="1902BD4A" w14:textId="77777777" w:rsidR="003D504D" w:rsidRDefault="003D504D" w:rsidP="005077A7">
      <w:pPr>
        <w:pStyle w:val="a"/>
        <w:rPr>
          <w:rFonts w:eastAsiaTheme="minorEastAsia" w:cstheme="minorBidi"/>
          <w:sz w:val="22"/>
          <w:szCs w:val="22"/>
          <w:rtl/>
        </w:rPr>
      </w:pPr>
      <w:r>
        <w:rPr>
          <w:rtl/>
        </w:rPr>
        <w:t>ביאור הגרעק"א דמה שהועילה השחיטה באם הועילה בולד ואף בולד אין איסור אינו זבוח</w:t>
      </w:r>
    </w:p>
    <w:p w14:paraId="19247576" w14:textId="77777777" w:rsidR="003D504D" w:rsidRDefault="003D504D" w:rsidP="005077A7">
      <w:pPr>
        <w:pStyle w:val="a"/>
        <w:rPr>
          <w:rFonts w:eastAsiaTheme="minorEastAsia" w:cstheme="minorBidi"/>
          <w:sz w:val="22"/>
          <w:szCs w:val="22"/>
          <w:rtl/>
        </w:rPr>
      </w:pPr>
      <w:r>
        <w:rPr>
          <w:rtl/>
        </w:rPr>
        <w:t>ביאור הגרעק"א דכל שלא נשחט הולד חשיב כאבר אמו והוא טריפה אך אינו אבמה"ח אחר שמת</w:t>
      </w:r>
    </w:p>
    <w:p w14:paraId="26BAECD8" w14:textId="77777777" w:rsidR="003D504D" w:rsidRDefault="003D504D" w:rsidP="005077A7">
      <w:pPr>
        <w:pStyle w:val="a"/>
        <w:rPr>
          <w:rFonts w:eastAsiaTheme="minorEastAsia" w:cstheme="minorBidi"/>
          <w:sz w:val="22"/>
          <w:szCs w:val="22"/>
          <w:rtl/>
        </w:rPr>
      </w:pPr>
      <w:r>
        <w:rPr>
          <w:rtl/>
        </w:rPr>
        <w:t>ביאור הגרעק"א דכשנשחט הולד בשחיטת עצמו הוא נפרד מהאם ואינו טריפה ומצד עצמו מותר</w:t>
      </w:r>
    </w:p>
    <w:p w14:paraId="6C1CD03F" w14:textId="77777777" w:rsidR="003D504D" w:rsidRDefault="003D504D" w:rsidP="005077A7">
      <w:pPr>
        <w:pStyle w:val="a"/>
        <w:rPr>
          <w:rFonts w:eastAsiaTheme="minorEastAsia" w:cstheme="minorBidi"/>
          <w:sz w:val="22"/>
          <w:szCs w:val="22"/>
          <w:rtl/>
        </w:rPr>
      </w:pPr>
      <w:r>
        <w:rPr>
          <w:rtl/>
        </w:rPr>
        <w:t>דברי הגרעק"א בתשו' דשחיטת קדשים בחוץ אינה מתירה את העובר כמו שחיטת טריפה</w:t>
      </w:r>
    </w:p>
    <w:p w14:paraId="286DF2A1" w14:textId="77777777" w:rsidR="003D504D" w:rsidRDefault="003D504D" w:rsidP="005077A7">
      <w:pPr>
        <w:pStyle w:val="a"/>
        <w:rPr>
          <w:rFonts w:eastAsiaTheme="minorEastAsia" w:cstheme="minorBidi"/>
          <w:sz w:val="22"/>
          <w:szCs w:val="22"/>
          <w:rtl/>
        </w:rPr>
      </w:pPr>
      <w:r>
        <w:rPr>
          <w:rtl/>
        </w:rPr>
        <w:t>דברי הבינת אדם בחינוך דבטריפה אין אינו זבוח ומשמע בבינת אדם דהולד לא הותר מאינו זבוח</w:t>
      </w:r>
    </w:p>
    <w:p w14:paraId="1D01DA24" w14:textId="77777777" w:rsidR="003D504D" w:rsidRDefault="003D504D" w:rsidP="005077A7">
      <w:pPr>
        <w:pStyle w:val="a"/>
        <w:rPr>
          <w:rFonts w:eastAsiaTheme="minorEastAsia" w:cstheme="minorBidi"/>
          <w:sz w:val="22"/>
          <w:szCs w:val="22"/>
          <w:rtl/>
        </w:rPr>
      </w:pPr>
      <w:r>
        <w:rPr>
          <w:rtl/>
        </w:rPr>
        <w:t>דברי הפרמ"ג דאחר שהולד מת אין בו איסור אבר מן החי</w:t>
      </w:r>
    </w:p>
    <w:p w14:paraId="6B1A4DC6" w14:textId="77777777" w:rsidR="003D504D" w:rsidRDefault="003D504D" w:rsidP="003D504D">
      <w:pPr>
        <w:pStyle w:val="aff4"/>
        <w:rPr>
          <w:rFonts w:eastAsiaTheme="minorEastAsia" w:cstheme="minorBidi"/>
          <w:i/>
          <w:iCs/>
          <w:noProof/>
          <w:sz w:val="22"/>
          <w:szCs w:val="22"/>
          <w:rtl/>
        </w:rPr>
      </w:pPr>
      <w:bookmarkStart w:id="25709" w:name="_Toc19436447"/>
      <w:bookmarkStart w:id="25710" w:name="_Toc20081560"/>
      <w:r>
        <w:rPr>
          <w:noProof/>
          <w:rtl/>
        </w:rPr>
        <w:t>דברי החזו"א דברש"י מבואר דאסור מדין טריפה</w:t>
      </w:r>
      <w:bookmarkEnd w:id="25709"/>
      <w:bookmarkEnd w:id="25710"/>
    </w:p>
    <w:p w14:paraId="6B2695B2" w14:textId="77777777" w:rsidR="003D504D" w:rsidRDefault="003D504D" w:rsidP="005077A7">
      <w:pPr>
        <w:pStyle w:val="a"/>
        <w:rPr>
          <w:rFonts w:eastAsiaTheme="minorEastAsia" w:cstheme="minorBidi"/>
          <w:sz w:val="22"/>
          <w:szCs w:val="22"/>
          <w:rtl/>
        </w:rPr>
      </w:pPr>
      <w:r>
        <w:rPr>
          <w:rtl/>
        </w:rPr>
        <w:t>דברי החזו"א דאיסור העובר הוא מדין אבר מן החי</w:t>
      </w:r>
    </w:p>
    <w:p w14:paraId="4249B5BD" w14:textId="77777777" w:rsidR="003D504D" w:rsidRDefault="003D504D" w:rsidP="005077A7">
      <w:pPr>
        <w:pStyle w:val="a"/>
        <w:rPr>
          <w:rFonts w:eastAsiaTheme="minorEastAsia" w:cstheme="minorBidi"/>
          <w:sz w:val="22"/>
          <w:szCs w:val="22"/>
          <w:rtl/>
        </w:rPr>
      </w:pPr>
      <w:r>
        <w:rPr>
          <w:rtl/>
        </w:rPr>
        <w:t>דברי החזו"א דברש"י דכתב דשחיטת הטריפה אינה מתירה דהוא כירך אמו מבואר דאסור בטריפה</w:t>
      </w:r>
    </w:p>
    <w:p w14:paraId="20CDF90A" w14:textId="77777777" w:rsidR="003D504D" w:rsidRDefault="003D504D" w:rsidP="003D504D">
      <w:pPr>
        <w:pStyle w:val="aff4"/>
        <w:rPr>
          <w:rFonts w:eastAsiaTheme="minorEastAsia" w:cstheme="minorBidi"/>
          <w:i/>
          <w:iCs/>
          <w:noProof/>
          <w:sz w:val="22"/>
          <w:szCs w:val="22"/>
          <w:rtl/>
        </w:rPr>
      </w:pPr>
      <w:bookmarkStart w:id="25711" w:name="_Toc19436448"/>
      <w:bookmarkStart w:id="25712" w:name="_Toc20081561"/>
      <w:r>
        <w:rPr>
          <w:noProof/>
          <w:rtl/>
        </w:rPr>
        <w:t>דברי הרמב"ם דבן ח' במעי טריפה הוא כאבר דאמו</w:t>
      </w:r>
      <w:bookmarkEnd w:id="25711"/>
      <w:bookmarkEnd w:id="25712"/>
    </w:p>
    <w:p w14:paraId="18D7C542" w14:textId="77777777" w:rsidR="003D504D" w:rsidRDefault="003D504D" w:rsidP="005077A7">
      <w:pPr>
        <w:pStyle w:val="a"/>
        <w:rPr>
          <w:rFonts w:eastAsiaTheme="minorEastAsia" w:cstheme="minorBidi"/>
          <w:sz w:val="22"/>
          <w:szCs w:val="22"/>
          <w:rtl/>
        </w:rPr>
      </w:pPr>
      <w:r>
        <w:rPr>
          <w:rtl/>
        </w:rPr>
        <w:t>דברי הרמב"ם דבקרע בהמה או שחט טריפה ומצא בה בן ט' הוא טעון שחיטה</w:t>
      </w:r>
    </w:p>
    <w:p w14:paraId="28B7398A" w14:textId="77777777" w:rsidR="003D504D" w:rsidRDefault="003D504D" w:rsidP="005077A7">
      <w:pPr>
        <w:pStyle w:val="a"/>
        <w:rPr>
          <w:rFonts w:eastAsiaTheme="minorEastAsia" w:cstheme="minorBidi"/>
          <w:sz w:val="22"/>
          <w:szCs w:val="22"/>
          <w:rtl/>
        </w:rPr>
      </w:pPr>
      <w:r>
        <w:rPr>
          <w:rtl/>
        </w:rPr>
        <w:t>דברי הרמב"ם דבקרע בהמה או שחט טריפה ומצא בה בן ח' אף שהוא חי אסור דהוא כאבר דאמו</w:t>
      </w:r>
    </w:p>
    <w:p w14:paraId="18271E54" w14:textId="77777777" w:rsidR="003D504D" w:rsidRDefault="003D504D" w:rsidP="005077A7">
      <w:pPr>
        <w:pStyle w:val="a"/>
        <w:rPr>
          <w:rFonts w:eastAsiaTheme="minorEastAsia" w:cstheme="minorBidi"/>
          <w:sz w:val="22"/>
          <w:szCs w:val="22"/>
          <w:rtl/>
        </w:rPr>
      </w:pPr>
      <w:r>
        <w:rPr>
          <w:rtl/>
        </w:rPr>
        <w:t>ביאור הגר"ח ברמב"ם דשחיטת טריפה אינה מתירה לאכילה כלל ולכן אסור הולד</w:t>
      </w:r>
    </w:p>
    <w:p w14:paraId="2FC34306" w14:textId="77777777" w:rsidR="003D504D" w:rsidRDefault="003D504D" w:rsidP="005077A7">
      <w:pPr>
        <w:pStyle w:val="a"/>
        <w:rPr>
          <w:rFonts w:eastAsiaTheme="minorEastAsia" w:cstheme="minorBidi"/>
          <w:sz w:val="22"/>
          <w:szCs w:val="22"/>
          <w:rtl/>
        </w:rPr>
      </w:pPr>
      <w:r>
        <w:rPr>
          <w:rtl/>
        </w:rPr>
        <w:t>דברי הקה"י דהרמב"ם ביאר כגרעק"א דהוי ירך אמו ואיסורו מדין טריפה</w:t>
      </w:r>
    </w:p>
    <w:p w14:paraId="70EF1418" w14:textId="77777777" w:rsidR="003D504D" w:rsidRDefault="003D504D" w:rsidP="005077A7">
      <w:pPr>
        <w:pStyle w:val="a"/>
        <w:rPr>
          <w:rFonts w:eastAsiaTheme="minorEastAsia" w:cstheme="minorBidi"/>
          <w:sz w:val="22"/>
          <w:szCs w:val="22"/>
          <w:rtl/>
        </w:rPr>
      </w:pPr>
      <w:r>
        <w:rPr>
          <w:rtl/>
        </w:rPr>
        <w:t>דברי המאירי דבן ח' הוא אבר מאברי אמו ובן ט' מותר מדין ד' סימנים</w:t>
      </w:r>
    </w:p>
    <w:p w14:paraId="1EE2D189" w14:textId="77777777" w:rsidR="003D504D" w:rsidRDefault="003D504D" w:rsidP="003D504D">
      <w:pPr>
        <w:pStyle w:val="2"/>
        <w:rPr>
          <w:rFonts w:eastAsiaTheme="minorEastAsia" w:cstheme="minorBidi"/>
          <w:i/>
          <w:iCs/>
          <w:noProof/>
          <w:sz w:val="22"/>
          <w:szCs w:val="22"/>
          <w:rtl/>
        </w:rPr>
      </w:pPr>
      <w:bookmarkStart w:id="25713" w:name="_Toc19436449"/>
      <w:r>
        <w:rPr>
          <w:noProof/>
          <w:rtl/>
        </w:rPr>
        <w:t>בביאור ההו"א להתיר ולד טריפה לר"מ</w:t>
      </w:r>
      <w:bookmarkEnd w:id="25713"/>
    </w:p>
    <w:p w14:paraId="7E8D2F23" w14:textId="77777777" w:rsidR="003D504D" w:rsidRDefault="003D504D" w:rsidP="003D504D">
      <w:pPr>
        <w:pStyle w:val="aff4"/>
        <w:rPr>
          <w:rFonts w:eastAsiaTheme="minorEastAsia" w:cstheme="minorBidi"/>
          <w:i/>
          <w:iCs/>
          <w:noProof/>
          <w:sz w:val="22"/>
          <w:szCs w:val="22"/>
          <w:rtl/>
        </w:rPr>
      </w:pPr>
      <w:bookmarkStart w:id="25714" w:name="_Toc19436450"/>
      <w:bookmarkStart w:id="25715" w:name="_Toc20081562"/>
      <w:r>
        <w:rPr>
          <w:noProof/>
          <w:rtl/>
        </w:rPr>
        <w:t>דברי התוס' לקמן דבן ח' הוי ירך אמו וודאי דאסור באמו טריפה</w:t>
      </w:r>
      <w:bookmarkEnd w:id="25714"/>
      <w:bookmarkEnd w:id="25715"/>
    </w:p>
    <w:p w14:paraId="09563EAA" w14:textId="77777777" w:rsidR="003D504D" w:rsidRDefault="003D504D" w:rsidP="005077A7">
      <w:pPr>
        <w:pStyle w:val="a"/>
        <w:rPr>
          <w:rFonts w:eastAsiaTheme="minorEastAsia" w:cstheme="minorBidi"/>
          <w:sz w:val="22"/>
          <w:szCs w:val="22"/>
          <w:rtl/>
        </w:rPr>
      </w:pPr>
      <w:r>
        <w:rPr>
          <w:rtl/>
        </w:rPr>
        <w:t>דברי התוס' לקמן דבבן ח' חי פשיטא דלכו"ע אינו מותר בשחיטת אמו הטריפה דהוא כירך אמו</w:t>
      </w:r>
    </w:p>
    <w:p w14:paraId="4CAEB76E" w14:textId="77777777" w:rsidR="003D504D" w:rsidRDefault="003D504D" w:rsidP="005077A7">
      <w:pPr>
        <w:pStyle w:val="a"/>
        <w:rPr>
          <w:rFonts w:eastAsiaTheme="minorEastAsia" w:cstheme="minorBidi"/>
          <w:sz w:val="22"/>
          <w:szCs w:val="22"/>
          <w:rtl/>
        </w:rPr>
      </w:pPr>
      <w:r>
        <w:rPr>
          <w:rtl/>
        </w:rPr>
        <w:t>דברי התוס' לקמן דהא דולד טריפה אינו אסור היינו דוקא כשיש לו חיות מצד עצמו</w:t>
      </w:r>
    </w:p>
    <w:p w14:paraId="65BFCF39" w14:textId="77777777" w:rsidR="003D504D" w:rsidRDefault="003D504D" w:rsidP="003D504D">
      <w:pPr>
        <w:pStyle w:val="aff4"/>
        <w:rPr>
          <w:rFonts w:eastAsiaTheme="minorEastAsia" w:cstheme="minorBidi"/>
          <w:i/>
          <w:iCs/>
          <w:noProof/>
          <w:sz w:val="22"/>
          <w:szCs w:val="22"/>
          <w:rtl/>
        </w:rPr>
      </w:pPr>
      <w:bookmarkStart w:id="25716" w:name="_Toc19436451"/>
      <w:bookmarkStart w:id="25717" w:name="_Toc20081563"/>
      <w:r>
        <w:rPr>
          <w:noProof/>
          <w:rtl/>
        </w:rPr>
        <w:t>קושית הרמב"ן דלר"מ ההו"א בבן ח' דמותר בשחיטת טריפה</w:t>
      </w:r>
      <w:bookmarkEnd w:id="25716"/>
      <w:bookmarkEnd w:id="25717"/>
    </w:p>
    <w:p w14:paraId="0A7DBCDD" w14:textId="77777777" w:rsidR="003D504D" w:rsidRDefault="003D504D" w:rsidP="005077A7">
      <w:pPr>
        <w:pStyle w:val="a"/>
        <w:rPr>
          <w:rFonts w:eastAsiaTheme="minorEastAsia" w:cstheme="minorBidi"/>
          <w:sz w:val="22"/>
          <w:szCs w:val="22"/>
          <w:rtl/>
        </w:rPr>
      </w:pPr>
      <w:r>
        <w:rPr>
          <w:rtl/>
        </w:rPr>
        <w:t>קושית הרמב"ן דאמאי לא העמידה הגמ' לקמן דהו"א דר"מ מתיר בן ח' בשחיטת אמו טריפה</w:t>
      </w:r>
    </w:p>
    <w:p w14:paraId="14C32721" w14:textId="77777777" w:rsidR="003D504D" w:rsidRDefault="003D504D" w:rsidP="005077A7">
      <w:pPr>
        <w:pStyle w:val="a"/>
        <w:rPr>
          <w:rFonts w:eastAsiaTheme="minorEastAsia" w:cstheme="minorBidi"/>
          <w:sz w:val="22"/>
          <w:szCs w:val="22"/>
          <w:rtl/>
        </w:rPr>
      </w:pPr>
      <w:r>
        <w:rPr>
          <w:rtl/>
        </w:rPr>
        <w:t>דברי הרמב"ן דחילוק התוס' בין בן ח' לבן ט' הוא רק למסקנא לקמן ולא להו"א</w:t>
      </w:r>
    </w:p>
    <w:p w14:paraId="1DC0E359" w14:textId="77777777" w:rsidR="003D504D" w:rsidRDefault="003D504D" w:rsidP="003D504D">
      <w:pPr>
        <w:pStyle w:val="aff4"/>
        <w:rPr>
          <w:rFonts w:eastAsiaTheme="minorEastAsia" w:cstheme="minorBidi"/>
          <w:i/>
          <w:iCs/>
          <w:noProof/>
          <w:sz w:val="22"/>
          <w:szCs w:val="22"/>
          <w:rtl/>
        </w:rPr>
      </w:pPr>
      <w:bookmarkStart w:id="25718" w:name="_Toc19436452"/>
      <w:bookmarkStart w:id="25719" w:name="_Toc20081564"/>
      <w:r>
        <w:rPr>
          <w:noProof/>
          <w:rtl/>
        </w:rPr>
        <w:t>דעת הרמב"ן והריטב"א דבבן ט' יש יותר חידוש בהו"א דמותר</w:t>
      </w:r>
      <w:bookmarkEnd w:id="25718"/>
      <w:bookmarkEnd w:id="25719"/>
    </w:p>
    <w:p w14:paraId="0BDE9651" w14:textId="77777777" w:rsidR="003D504D" w:rsidRDefault="003D504D" w:rsidP="005077A7">
      <w:pPr>
        <w:pStyle w:val="a"/>
        <w:rPr>
          <w:rFonts w:eastAsiaTheme="minorEastAsia" w:cstheme="minorBidi"/>
          <w:sz w:val="22"/>
          <w:szCs w:val="22"/>
          <w:rtl/>
        </w:rPr>
      </w:pPr>
      <w:r>
        <w:rPr>
          <w:rtl/>
        </w:rPr>
        <w:t>דברי הרמב"ן לקמן דבבן ט' שאינו טריפה בעצמו יש יותר חידוש בהו"א דמותר בשחיטת טריפה</w:t>
      </w:r>
    </w:p>
    <w:p w14:paraId="753951C0" w14:textId="77777777" w:rsidR="003D504D" w:rsidRDefault="003D504D" w:rsidP="005077A7">
      <w:pPr>
        <w:pStyle w:val="a"/>
        <w:rPr>
          <w:rFonts w:eastAsiaTheme="minorEastAsia" w:cstheme="minorBidi"/>
          <w:sz w:val="22"/>
          <w:szCs w:val="22"/>
          <w:rtl/>
        </w:rPr>
      </w:pPr>
      <w:r>
        <w:rPr>
          <w:rtl/>
        </w:rPr>
        <w:t>תירוץ הריטב"א לקמן דבבן ט' החידוש דאף שיש לו חיות מותר בשחיטת אמו והו"א דה"ה בטריפה</w:t>
      </w:r>
    </w:p>
    <w:p w14:paraId="33023906" w14:textId="77777777" w:rsidR="003D504D" w:rsidRDefault="003D504D" w:rsidP="003D504D">
      <w:pPr>
        <w:pStyle w:val="aff4"/>
        <w:rPr>
          <w:rFonts w:eastAsiaTheme="minorEastAsia" w:cstheme="minorBidi"/>
          <w:i/>
          <w:iCs/>
          <w:noProof/>
          <w:sz w:val="22"/>
          <w:szCs w:val="22"/>
          <w:rtl/>
        </w:rPr>
      </w:pPr>
      <w:bookmarkStart w:id="25720" w:name="_Toc19436453"/>
      <w:bookmarkStart w:id="25721" w:name="_Toc20081565"/>
      <w:r>
        <w:rPr>
          <w:noProof/>
          <w:rtl/>
        </w:rPr>
        <w:t>דעת הרשב"א והר"ן דבבן ח' אף בהו"א פשיטא דאסור</w:t>
      </w:r>
      <w:bookmarkEnd w:id="25720"/>
      <w:bookmarkEnd w:id="25721"/>
    </w:p>
    <w:p w14:paraId="775261D6" w14:textId="77777777" w:rsidR="003D504D" w:rsidRDefault="003D504D" w:rsidP="005077A7">
      <w:pPr>
        <w:pStyle w:val="a"/>
        <w:rPr>
          <w:rFonts w:eastAsiaTheme="minorEastAsia" w:cstheme="minorBidi"/>
          <w:sz w:val="22"/>
          <w:szCs w:val="22"/>
          <w:rtl/>
        </w:rPr>
      </w:pPr>
      <w:r>
        <w:rPr>
          <w:rtl/>
        </w:rPr>
        <w:t>דברי הרשב"א לקמן דבבן ח' פשיטא דלכו"ע אסור בשחיטת טריפה דהא אינו בר שחיטה כלל</w:t>
      </w:r>
    </w:p>
    <w:p w14:paraId="2E803399" w14:textId="77777777" w:rsidR="003D504D" w:rsidRDefault="003D504D" w:rsidP="005077A7">
      <w:pPr>
        <w:pStyle w:val="a"/>
        <w:rPr>
          <w:rFonts w:eastAsiaTheme="minorEastAsia" w:cstheme="minorBidi"/>
          <w:sz w:val="22"/>
          <w:szCs w:val="22"/>
          <w:rtl/>
        </w:rPr>
      </w:pPr>
      <w:r>
        <w:rPr>
          <w:rtl/>
        </w:rPr>
        <w:t>דברי הרשב"א דרק בבן ט' הו"א דמותר בשחיטת טריפה דחשיב כאילו הוא עצמו נשחט</w:t>
      </w:r>
    </w:p>
    <w:p w14:paraId="07483AF2" w14:textId="77777777" w:rsidR="003D504D" w:rsidRDefault="003D504D" w:rsidP="005077A7">
      <w:pPr>
        <w:pStyle w:val="a"/>
        <w:rPr>
          <w:rFonts w:eastAsiaTheme="minorEastAsia" w:cstheme="minorBidi"/>
          <w:sz w:val="22"/>
          <w:szCs w:val="22"/>
          <w:rtl/>
        </w:rPr>
      </w:pPr>
      <w:r>
        <w:rPr>
          <w:rtl/>
        </w:rPr>
        <w:t>דברי הר"ן לקמן דרש"י לקמן ביאר דבן ח' הוא ירך אמו ואין כל הו"א דמותר בשחיטת טריפה</w:t>
      </w:r>
    </w:p>
    <w:p w14:paraId="7909F887" w14:textId="77777777" w:rsidR="003D504D" w:rsidRDefault="003D504D" w:rsidP="003D504D">
      <w:pPr>
        <w:pStyle w:val="2"/>
        <w:rPr>
          <w:rFonts w:eastAsiaTheme="minorEastAsia" w:cstheme="minorBidi"/>
          <w:i/>
          <w:iCs/>
          <w:noProof/>
          <w:sz w:val="22"/>
          <w:szCs w:val="22"/>
          <w:rtl/>
        </w:rPr>
      </w:pPr>
      <w:bookmarkStart w:id="25722" w:name="_Toc19436454"/>
      <w:r>
        <w:rPr>
          <w:noProof/>
          <w:rtl/>
        </w:rPr>
        <w:t>ביאורי ראשי הישיבות על הסוגיא</w:t>
      </w:r>
      <w:bookmarkEnd w:id="25722"/>
    </w:p>
    <w:p w14:paraId="0E90501A" w14:textId="77777777" w:rsidR="003D504D" w:rsidRDefault="003D504D" w:rsidP="003D504D">
      <w:pPr>
        <w:pStyle w:val="2"/>
        <w:rPr>
          <w:rFonts w:eastAsiaTheme="minorEastAsia" w:cstheme="minorBidi"/>
          <w:i/>
          <w:iCs/>
          <w:noProof/>
          <w:sz w:val="22"/>
          <w:szCs w:val="22"/>
          <w:rtl/>
        </w:rPr>
      </w:pPr>
      <w:bookmarkStart w:id="25723" w:name="_Toc19436455"/>
      <w:r>
        <w:rPr>
          <w:noProof/>
          <w:rtl/>
        </w:rPr>
        <w:t>בגדר היתר טריפה</w:t>
      </w:r>
      <w:bookmarkEnd w:id="25723"/>
    </w:p>
    <w:p w14:paraId="515DAF10" w14:textId="77777777" w:rsidR="003D504D" w:rsidRDefault="003D504D" w:rsidP="003D504D">
      <w:pPr>
        <w:pStyle w:val="aff4"/>
        <w:rPr>
          <w:rFonts w:eastAsiaTheme="minorEastAsia" w:cstheme="minorBidi"/>
          <w:i/>
          <w:iCs/>
          <w:noProof/>
          <w:sz w:val="22"/>
          <w:szCs w:val="22"/>
          <w:rtl/>
        </w:rPr>
      </w:pPr>
      <w:bookmarkStart w:id="25724" w:name="_Toc19436456"/>
      <w:bookmarkStart w:id="25725" w:name="_Toc20081566"/>
      <w:r>
        <w:rPr>
          <w:noProof/>
          <w:rtl/>
        </w:rPr>
        <w:t>דברי הגר"ח דשחיטת טריפה אינה שחיטה מתרת לאכילה</w:t>
      </w:r>
      <w:bookmarkEnd w:id="25724"/>
      <w:bookmarkEnd w:id="25725"/>
    </w:p>
    <w:p w14:paraId="1211ECCE" w14:textId="77777777" w:rsidR="003D504D" w:rsidRDefault="003D504D" w:rsidP="005077A7">
      <w:pPr>
        <w:pStyle w:val="a"/>
        <w:rPr>
          <w:rFonts w:eastAsiaTheme="minorEastAsia" w:cstheme="minorBidi"/>
          <w:sz w:val="22"/>
          <w:szCs w:val="22"/>
          <w:rtl/>
        </w:rPr>
      </w:pPr>
      <w:r>
        <w:rPr>
          <w:rtl/>
        </w:rPr>
        <w:t>קושית הגר"ח על הרמב"ם דדימה את היתר השחיטה בטריפה מטומאת נבילה לשחיטת עכו"ם</w:t>
      </w:r>
    </w:p>
    <w:p w14:paraId="54B65534" w14:textId="77777777" w:rsidR="003D504D" w:rsidRDefault="003D504D" w:rsidP="005077A7">
      <w:pPr>
        <w:pStyle w:val="a"/>
        <w:rPr>
          <w:rFonts w:eastAsiaTheme="minorEastAsia" w:cstheme="minorBidi"/>
          <w:sz w:val="22"/>
          <w:szCs w:val="22"/>
          <w:rtl/>
        </w:rPr>
      </w:pPr>
      <w:r>
        <w:rPr>
          <w:rtl/>
        </w:rPr>
        <w:t>דברי הגר"ח דמבואר ברמב"ם דבטריפה יש חסרון בשחיטתה דאינה מתירה לאכילה</w:t>
      </w:r>
    </w:p>
    <w:p w14:paraId="71EF98D5" w14:textId="77777777" w:rsidR="003D504D" w:rsidRDefault="003D504D" w:rsidP="003D504D">
      <w:pPr>
        <w:pStyle w:val="aff4"/>
        <w:rPr>
          <w:rFonts w:eastAsiaTheme="minorEastAsia" w:cstheme="minorBidi"/>
          <w:i/>
          <w:iCs/>
          <w:noProof/>
          <w:sz w:val="22"/>
          <w:szCs w:val="22"/>
          <w:rtl/>
        </w:rPr>
      </w:pPr>
      <w:bookmarkStart w:id="25726" w:name="_Toc19436457"/>
      <w:bookmarkStart w:id="25727" w:name="_Toc20081567"/>
      <w:r>
        <w:rPr>
          <w:noProof/>
          <w:rtl/>
        </w:rPr>
        <w:t>ביאור הגרי"ז דכיון שיש חסרון בשחיטת טריפה אין הולד מותר</w:t>
      </w:r>
      <w:bookmarkEnd w:id="25726"/>
      <w:bookmarkEnd w:id="25727"/>
    </w:p>
    <w:p w14:paraId="0FC727A1" w14:textId="77777777" w:rsidR="003D504D" w:rsidRDefault="003D504D" w:rsidP="005077A7">
      <w:pPr>
        <w:pStyle w:val="a"/>
        <w:rPr>
          <w:rFonts w:eastAsiaTheme="minorEastAsia" w:cstheme="minorBidi"/>
          <w:sz w:val="22"/>
          <w:szCs w:val="22"/>
          <w:rtl/>
        </w:rPr>
      </w:pPr>
      <w:r>
        <w:rPr>
          <w:rtl/>
        </w:rPr>
        <w:t>דברי הגרי"ז דלביאור הגר"ח מבואר דלא מהני שחיטת טריפה להתיר ולד דאינה מתירה באכילה</w:t>
      </w:r>
    </w:p>
    <w:p w14:paraId="664815E4" w14:textId="77777777" w:rsidR="003D504D" w:rsidRDefault="003D504D" w:rsidP="005077A7">
      <w:pPr>
        <w:pStyle w:val="a"/>
        <w:rPr>
          <w:rFonts w:eastAsiaTheme="minorEastAsia" w:cstheme="minorBidi"/>
          <w:sz w:val="22"/>
          <w:szCs w:val="22"/>
          <w:rtl/>
        </w:rPr>
      </w:pPr>
      <w:r>
        <w:rPr>
          <w:rtl/>
        </w:rPr>
        <w:t>קושית הגרי"ז על החזון יחזקאל דאי היתר הולד תלוי באם ואין חסרון בשחיטה אמאי הולד אסור</w:t>
      </w:r>
    </w:p>
    <w:p w14:paraId="767CB3D3" w14:textId="77777777" w:rsidR="003D504D" w:rsidRDefault="003D504D" w:rsidP="005077A7">
      <w:pPr>
        <w:pStyle w:val="a"/>
        <w:rPr>
          <w:rFonts w:eastAsiaTheme="minorEastAsia" w:cstheme="minorBidi"/>
          <w:sz w:val="22"/>
          <w:szCs w:val="22"/>
          <w:rtl/>
        </w:rPr>
      </w:pPr>
      <w:r>
        <w:rPr>
          <w:rtl/>
        </w:rPr>
        <w:t>הוכחת הגרי"ז מדין שור הנסקל דאיסור בבהמה שאינו חסרון בשחיטה אינו אוסר את הולד</w:t>
      </w:r>
    </w:p>
    <w:p w14:paraId="290BAA5A" w14:textId="77777777" w:rsidR="003D504D" w:rsidRDefault="003D504D" w:rsidP="005077A7">
      <w:pPr>
        <w:pStyle w:val="a"/>
        <w:rPr>
          <w:rFonts w:eastAsiaTheme="minorEastAsia" w:cstheme="minorBidi"/>
          <w:sz w:val="22"/>
          <w:szCs w:val="22"/>
          <w:rtl/>
        </w:rPr>
      </w:pPr>
      <w:r>
        <w:rPr>
          <w:rtl/>
        </w:rPr>
        <w:t>דברי הגרי"ז דאף לסברת החזון יחזקאל מוכח כהגר"ח דיש חסרון בהיתר השחיטה של הטריפה</w:t>
      </w:r>
    </w:p>
    <w:p w14:paraId="3F930C8C" w14:textId="77777777" w:rsidR="003D504D" w:rsidRDefault="003D504D" w:rsidP="003D504D">
      <w:pPr>
        <w:pStyle w:val="aff4"/>
        <w:rPr>
          <w:rFonts w:eastAsiaTheme="minorEastAsia" w:cstheme="minorBidi"/>
          <w:i/>
          <w:iCs/>
          <w:noProof/>
          <w:sz w:val="22"/>
          <w:szCs w:val="22"/>
          <w:rtl/>
        </w:rPr>
      </w:pPr>
      <w:bookmarkStart w:id="25728" w:name="_Toc19436458"/>
      <w:bookmarkStart w:id="25729" w:name="_Toc20081568"/>
      <w:r>
        <w:rPr>
          <w:noProof/>
          <w:rtl/>
        </w:rPr>
        <w:t>ביאור הגרי"ז דהולד מותר רק כשחל ההיתר שחיטה באמו</w:t>
      </w:r>
      <w:bookmarkEnd w:id="25728"/>
      <w:bookmarkEnd w:id="25729"/>
    </w:p>
    <w:p w14:paraId="07552623" w14:textId="77777777" w:rsidR="003D504D" w:rsidRDefault="003D504D" w:rsidP="005077A7">
      <w:pPr>
        <w:pStyle w:val="a"/>
        <w:rPr>
          <w:rFonts w:eastAsiaTheme="minorEastAsia" w:cstheme="minorBidi"/>
          <w:sz w:val="22"/>
          <w:szCs w:val="22"/>
          <w:rtl/>
        </w:rPr>
      </w:pPr>
      <w:r>
        <w:rPr>
          <w:rtl/>
        </w:rPr>
        <w:t>דברי הגרי"ז דאף לסברת הגר"ח שחיטת טריפה מצד עצמה היא מעולה רק דלא חל היתר מכחה</w:t>
      </w:r>
    </w:p>
    <w:p w14:paraId="68A4C6EF" w14:textId="77777777" w:rsidR="003D504D" w:rsidRDefault="003D504D" w:rsidP="005077A7">
      <w:pPr>
        <w:pStyle w:val="a"/>
        <w:rPr>
          <w:rFonts w:eastAsiaTheme="minorEastAsia" w:cstheme="minorBidi"/>
          <w:sz w:val="22"/>
          <w:szCs w:val="22"/>
          <w:rtl/>
        </w:rPr>
      </w:pPr>
      <w:r>
        <w:rPr>
          <w:rtl/>
        </w:rPr>
        <w:t>ביאור הגרי"ז דכיון שלא חל היתר מכח השחיטה על האם לא חל אף על הולד כדברי החזון יחזקאל</w:t>
      </w:r>
    </w:p>
    <w:p w14:paraId="14709DD6" w14:textId="77777777" w:rsidR="003D504D" w:rsidRDefault="003D504D" w:rsidP="005077A7">
      <w:pPr>
        <w:pStyle w:val="a"/>
        <w:rPr>
          <w:rFonts w:eastAsiaTheme="minorEastAsia" w:cstheme="minorBidi"/>
          <w:sz w:val="22"/>
          <w:szCs w:val="22"/>
          <w:rtl/>
        </w:rPr>
      </w:pPr>
      <w:r>
        <w:rPr>
          <w:rtl/>
        </w:rPr>
        <w:t>ביאור הגרי"ז ברמב"ם דהעובר אסור כירך אמו דיש בו את חסרון ההיתר שיש באמו</w:t>
      </w:r>
    </w:p>
    <w:p w14:paraId="3F63DA82" w14:textId="77777777" w:rsidR="003D504D" w:rsidRDefault="003D504D" w:rsidP="003D504D">
      <w:pPr>
        <w:pStyle w:val="aff4"/>
        <w:rPr>
          <w:rFonts w:eastAsiaTheme="minorEastAsia" w:cstheme="minorBidi"/>
          <w:i/>
          <w:iCs/>
          <w:noProof/>
          <w:sz w:val="22"/>
          <w:szCs w:val="22"/>
          <w:rtl/>
        </w:rPr>
      </w:pPr>
      <w:bookmarkStart w:id="25730" w:name="_Toc19436459"/>
      <w:bookmarkStart w:id="25731" w:name="_Toc20081569"/>
      <w:r>
        <w:rPr>
          <w:noProof/>
          <w:rtl/>
        </w:rPr>
        <w:t>ביאור הגרי"ז ברש"י דהולד כירך אמו ואף שנשחט דינו כאמו</w:t>
      </w:r>
      <w:bookmarkEnd w:id="25730"/>
      <w:bookmarkEnd w:id="25731"/>
    </w:p>
    <w:p w14:paraId="74C276CE" w14:textId="77777777" w:rsidR="003D504D" w:rsidRDefault="003D504D" w:rsidP="005077A7">
      <w:pPr>
        <w:pStyle w:val="a"/>
        <w:rPr>
          <w:rFonts w:eastAsiaTheme="minorEastAsia" w:cstheme="minorBidi"/>
          <w:sz w:val="22"/>
          <w:szCs w:val="22"/>
          <w:rtl/>
        </w:rPr>
      </w:pPr>
      <w:r>
        <w:rPr>
          <w:rtl/>
        </w:rPr>
        <w:t>דברי הגרי"ז דברש"י מבואר דרק מחמת שהולד חשיב כירך אמו לא מהני לו שחיטתה</w:t>
      </w:r>
    </w:p>
    <w:p w14:paraId="6354A4E9" w14:textId="77777777" w:rsidR="003D504D" w:rsidRDefault="003D504D" w:rsidP="005077A7">
      <w:pPr>
        <w:pStyle w:val="a"/>
        <w:rPr>
          <w:rFonts w:eastAsiaTheme="minorEastAsia" w:cstheme="minorBidi"/>
          <w:sz w:val="22"/>
          <w:szCs w:val="22"/>
          <w:rtl/>
        </w:rPr>
      </w:pPr>
      <w:r>
        <w:rPr>
          <w:rtl/>
        </w:rPr>
        <w:t>קושית הגרי"ז על החזון יחזקאל דאף אי אין הולד כירך אמו מ"מ הוא אסור כיון ש האם לא הותרה</w:t>
      </w:r>
    </w:p>
    <w:p w14:paraId="41476406" w14:textId="77777777" w:rsidR="003D504D" w:rsidRDefault="003D504D" w:rsidP="005077A7">
      <w:pPr>
        <w:pStyle w:val="a"/>
        <w:rPr>
          <w:rFonts w:eastAsiaTheme="minorEastAsia" w:cstheme="minorBidi"/>
          <w:sz w:val="22"/>
          <w:szCs w:val="22"/>
          <w:rtl/>
        </w:rPr>
      </w:pPr>
      <w:r>
        <w:rPr>
          <w:rtl/>
        </w:rPr>
        <w:t>ביאור הגרי"ז ברש"י דמעשה השחיטה חל בעובר אלא דכיון שהוא ירך אמו דינו כדין אמו</w:t>
      </w:r>
    </w:p>
    <w:p w14:paraId="6AD50ACD" w14:textId="77777777" w:rsidR="003D504D" w:rsidRDefault="003D504D" w:rsidP="003D504D">
      <w:pPr>
        <w:pStyle w:val="aff4"/>
        <w:rPr>
          <w:rFonts w:eastAsiaTheme="minorEastAsia" w:cstheme="minorBidi"/>
          <w:i/>
          <w:iCs/>
          <w:noProof/>
          <w:sz w:val="22"/>
          <w:szCs w:val="22"/>
          <w:rtl/>
        </w:rPr>
      </w:pPr>
      <w:bookmarkStart w:id="25732" w:name="_Toc19436460"/>
      <w:bookmarkStart w:id="25733" w:name="_Toc20081570"/>
      <w:r>
        <w:rPr>
          <w:noProof/>
          <w:rtl/>
        </w:rPr>
        <w:t>דברי החזון יחזקאל דכל שלא הותרה האם אין היתר בולד</w:t>
      </w:r>
      <w:bookmarkEnd w:id="25732"/>
      <w:bookmarkEnd w:id="25733"/>
    </w:p>
    <w:p w14:paraId="0A0C4566" w14:textId="77777777" w:rsidR="003D504D" w:rsidRDefault="003D504D" w:rsidP="005077A7">
      <w:pPr>
        <w:pStyle w:val="a"/>
        <w:rPr>
          <w:rFonts w:eastAsiaTheme="minorEastAsia" w:cstheme="minorBidi"/>
          <w:sz w:val="22"/>
          <w:szCs w:val="22"/>
          <w:rtl/>
        </w:rPr>
      </w:pPr>
      <w:r>
        <w:rPr>
          <w:rtl/>
        </w:rPr>
        <w:t>ביאור החזון יחזקאל ברמב"ם דאין בשחיטת טריפה היתר אכילה מלבד איסור טריפה שיש בה</w:t>
      </w:r>
    </w:p>
    <w:p w14:paraId="13CF1553" w14:textId="77777777" w:rsidR="003D504D" w:rsidRDefault="003D504D" w:rsidP="005077A7">
      <w:pPr>
        <w:pStyle w:val="a"/>
        <w:rPr>
          <w:rFonts w:eastAsiaTheme="minorEastAsia" w:cstheme="minorBidi"/>
          <w:sz w:val="22"/>
          <w:szCs w:val="22"/>
          <w:rtl/>
        </w:rPr>
      </w:pPr>
      <w:r>
        <w:rPr>
          <w:rtl/>
        </w:rPr>
        <w:t>קושית החזון יחזקאל דכיון דהשחיטה פועלת בולד להתיר מנבילה אמאי אסור הא אינו טריפה</w:t>
      </w:r>
    </w:p>
    <w:p w14:paraId="0A71DEA2" w14:textId="77777777" w:rsidR="003D504D" w:rsidRDefault="003D504D" w:rsidP="005077A7">
      <w:pPr>
        <w:pStyle w:val="a"/>
        <w:rPr>
          <w:rFonts w:eastAsiaTheme="minorEastAsia" w:cstheme="minorBidi"/>
          <w:sz w:val="22"/>
          <w:szCs w:val="22"/>
          <w:rtl/>
        </w:rPr>
      </w:pPr>
      <w:r>
        <w:rPr>
          <w:rtl/>
        </w:rPr>
        <w:t>ביאור החזון יחזקאל דבשחיטת טריפה אין היתר אכילה והיתר הולד הוא רק כשחל היתר על אמו</w:t>
      </w:r>
    </w:p>
    <w:p w14:paraId="4D769949" w14:textId="77777777" w:rsidR="003D504D" w:rsidRDefault="003D504D" w:rsidP="003D504D">
      <w:pPr>
        <w:pStyle w:val="aff4"/>
        <w:rPr>
          <w:rFonts w:eastAsiaTheme="minorEastAsia" w:cstheme="minorBidi"/>
          <w:i/>
          <w:iCs/>
          <w:noProof/>
          <w:sz w:val="22"/>
          <w:szCs w:val="22"/>
          <w:rtl/>
        </w:rPr>
      </w:pPr>
      <w:bookmarkStart w:id="25734" w:name="_Toc19436461"/>
      <w:bookmarkStart w:id="25735" w:name="_Toc20081571"/>
      <w:r>
        <w:rPr>
          <w:noProof/>
          <w:rtl/>
        </w:rPr>
        <w:t>ביאור החזון יחזקאל בגדר היתר בן פקועה</w:t>
      </w:r>
      <w:bookmarkEnd w:id="25734"/>
      <w:bookmarkEnd w:id="25735"/>
    </w:p>
    <w:p w14:paraId="59E35458" w14:textId="77777777" w:rsidR="003D504D" w:rsidRDefault="003D504D" w:rsidP="005077A7">
      <w:pPr>
        <w:pStyle w:val="a"/>
        <w:rPr>
          <w:rFonts w:eastAsiaTheme="minorEastAsia" w:cstheme="minorBidi"/>
          <w:sz w:val="22"/>
          <w:szCs w:val="22"/>
          <w:rtl/>
        </w:rPr>
      </w:pPr>
      <w:r>
        <w:rPr>
          <w:rtl/>
        </w:rPr>
        <w:t>ביאור החזון יחזקאל דהיתר הולד הוא דחשיב שנעשה בו עצמו מעשה שחיטה ואינו רק כאבר דאמו</w:t>
      </w:r>
    </w:p>
    <w:p w14:paraId="0127911C" w14:textId="77777777" w:rsidR="003D504D" w:rsidRDefault="003D504D" w:rsidP="005077A7">
      <w:pPr>
        <w:pStyle w:val="a"/>
        <w:rPr>
          <w:rFonts w:eastAsiaTheme="minorEastAsia" w:cstheme="minorBidi"/>
          <w:sz w:val="22"/>
          <w:szCs w:val="22"/>
          <w:rtl/>
        </w:rPr>
      </w:pPr>
      <w:r>
        <w:rPr>
          <w:rtl/>
        </w:rPr>
        <w:t>דברי החזון יחזקאל דהיתר הולד תלוי בהיתר אמו לאכילה ולטומאת נבילה</w:t>
      </w:r>
    </w:p>
    <w:p w14:paraId="65F68A2E" w14:textId="77777777" w:rsidR="003D504D" w:rsidRDefault="003D504D" w:rsidP="005077A7">
      <w:pPr>
        <w:pStyle w:val="a"/>
        <w:rPr>
          <w:rFonts w:eastAsiaTheme="minorEastAsia" w:cstheme="minorBidi"/>
          <w:sz w:val="22"/>
          <w:szCs w:val="22"/>
          <w:rtl/>
        </w:rPr>
      </w:pPr>
      <w:r>
        <w:rPr>
          <w:rtl/>
        </w:rPr>
        <w:t>ביאור החזון יחזקאל ברש"י דאי שחיטת טריפה הייתה מתירה ולד א"כ חשיב כאבר דאמו</w:t>
      </w:r>
    </w:p>
    <w:p w14:paraId="3E1FEA98" w14:textId="77777777" w:rsidR="003D504D" w:rsidRDefault="003D504D" w:rsidP="003D504D">
      <w:pPr>
        <w:pStyle w:val="aff4"/>
        <w:rPr>
          <w:rFonts w:eastAsiaTheme="minorEastAsia" w:cstheme="minorBidi"/>
          <w:i/>
          <w:iCs/>
          <w:noProof/>
          <w:sz w:val="22"/>
          <w:szCs w:val="22"/>
          <w:rtl/>
        </w:rPr>
      </w:pPr>
      <w:bookmarkStart w:id="25736" w:name="_Toc19436462"/>
      <w:bookmarkStart w:id="25737" w:name="_Toc20081572"/>
      <w:r>
        <w:rPr>
          <w:noProof/>
          <w:rtl/>
        </w:rPr>
        <w:t>דברי האמר"מ דשחיטת טריפה אין היתר אכילה והוי אינו זבוח</w:t>
      </w:r>
      <w:bookmarkEnd w:id="25736"/>
      <w:bookmarkEnd w:id="25737"/>
    </w:p>
    <w:p w14:paraId="69778D07" w14:textId="77777777" w:rsidR="003D504D" w:rsidRDefault="003D504D" w:rsidP="005077A7">
      <w:pPr>
        <w:pStyle w:val="a"/>
        <w:rPr>
          <w:rFonts w:eastAsiaTheme="minorEastAsia" w:cstheme="minorBidi"/>
          <w:sz w:val="22"/>
          <w:szCs w:val="22"/>
          <w:rtl/>
        </w:rPr>
      </w:pPr>
      <w:r>
        <w:rPr>
          <w:rtl/>
        </w:rPr>
        <w:t>דברי האמרי משה דבשחיטת טריפה יש חסרון בהיתר אכילה ונשארה באיסור אינו זבוח</w:t>
      </w:r>
    </w:p>
    <w:p w14:paraId="2A6A2E25" w14:textId="77777777" w:rsidR="003D504D" w:rsidRDefault="003D504D" w:rsidP="005077A7">
      <w:pPr>
        <w:pStyle w:val="a"/>
        <w:rPr>
          <w:rFonts w:eastAsiaTheme="minorEastAsia" w:cstheme="minorBidi"/>
          <w:sz w:val="22"/>
          <w:szCs w:val="22"/>
          <w:rtl/>
        </w:rPr>
      </w:pPr>
      <w:r>
        <w:rPr>
          <w:rtl/>
        </w:rPr>
        <w:t>דברי האמרי משה דמהא דהולד אינו מותר בשחיטת הטריפה מוכח שיש חסרון בשחיטתה</w:t>
      </w:r>
    </w:p>
    <w:p w14:paraId="46790ACC" w14:textId="77777777" w:rsidR="003D504D" w:rsidRDefault="003D504D" w:rsidP="003D504D">
      <w:pPr>
        <w:pStyle w:val="2"/>
        <w:rPr>
          <w:rFonts w:eastAsiaTheme="minorEastAsia" w:cstheme="minorBidi"/>
          <w:i/>
          <w:iCs/>
          <w:noProof/>
          <w:sz w:val="22"/>
          <w:szCs w:val="22"/>
          <w:rtl/>
        </w:rPr>
      </w:pPr>
      <w:bookmarkStart w:id="25738" w:name="_Toc19436463"/>
      <w:r>
        <w:rPr>
          <w:noProof/>
          <w:rtl/>
        </w:rPr>
        <w:t>בביאור דברי הגרעק"א דאסור בטריפה</w:t>
      </w:r>
      <w:bookmarkEnd w:id="25738"/>
    </w:p>
    <w:p w14:paraId="2CA00748" w14:textId="77777777" w:rsidR="003D504D" w:rsidRDefault="003D504D" w:rsidP="003D504D">
      <w:pPr>
        <w:pStyle w:val="aff4"/>
        <w:rPr>
          <w:rFonts w:eastAsiaTheme="minorEastAsia" w:cstheme="minorBidi"/>
          <w:i/>
          <w:iCs/>
          <w:noProof/>
          <w:sz w:val="22"/>
          <w:szCs w:val="22"/>
          <w:rtl/>
        </w:rPr>
      </w:pPr>
      <w:bookmarkStart w:id="25739" w:name="_Toc19436464"/>
      <w:bookmarkStart w:id="25740" w:name="_Toc20081573"/>
      <w:r>
        <w:rPr>
          <w:noProof/>
          <w:rtl/>
        </w:rPr>
        <w:t>קושית האמר"מ ורבי ראובן על הגרעק"א דהולד אסור בטריפה</w:t>
      </w:r>
      <w:bookmarkEnd w:id="25739"/>
      <w:bookmarkEnd w:id="25740"/>
    </w:p>
    <w:p w14:paraId="12442076" w14:textId="77777777" w:rsidR="003D504D" w:rsidRDefault="003D504D" w:rsidP="005077A7">
      <w:pPr>
        <w:pStyle w:val="a"/>
        <w:rPr>
          <w:rFonts w:eastAsiaTheme="minorEastAsia" w:cstheme="minorBidi"/>
          <w:sz w:val="22"/>
          <w:szCs w:val="22"/>
          <w:rtl/>
        </w:rPr>
      </w:pPr>
      <w:r>
        <w:rPr>
          <w:rtl/>
        </w:rPr>
        <w:t>קושיות האמרי משה על הגרעק"א דדוחק לומר דהעובר אסור בטריפה כאבר דאמו</w:t>
      </w:r>
    </w:p>
    <w:p w14:paraId="5A9E1765" w14:textId="77777777" w:rsidR="003D504D" w:rsidRDefault="003D504D" w:rsidP="005077A7">
      <w:pPr>
        <w:pStyle w:val="a"/>
        <w:rPr>
          <w:rFonts w:eastAsiaTheme="minorEastAsia" w:cstheme="minorBidi"/>
          <w:sz w:val="22"/>
          <w:szCs w:val="22"/>
          <w:rtl/>
        </w:rPr>
      </w:pPr>
      <w:r>
        <w:rPr>
          <w:rtl/>
        </w:rPr>
        <w:t>ביאור רבי ראובן בגרעק"א עפ"י הגר"ח דטריפה חשיבא שקצת היא כמתה מאליה</w:t>
      </w:r>
    </w:p>
    <w:p w14:paraId="7DF4774C" w14:textId="77777777" w:rsidR="003D504D" w:rsidRDefault="003D504D" w:rsidP="005077A7">
      <w:pPr>
        <w:pStyle w:val="a"/>
        <w:rPr>
          <w:rFonts w:eastAsiaTheme="minorEastAsia" w:cstheme="minorBidi"/>
          <w:sz w:val="22"/>
          <w:szCs w:val="22"/>
          <w:rtl/>
        </w:rPr>
      </w:pPr>
      <w:r>
        <w:rPr>
          <w:rtl/>
        </w:rPr>
        <w:t>קושית רבי ראובן דאי טריפה היא קצת מתה מאליה אסורה באינו זבוח ודלא כהגרעק"א</w:t>
      </w:r>
    </w:p>
    <w:p w14:paraId="2691973F" w14:textId="77777777" w:rsidR="003D504D" w:rsidRDefault="003D504D" w:rsidP="003D504D">
      <w:pPr>
        <w:pStyle w:val="aff4"/>
        <w:rPr>
          <w:rFonts w:eastAsiaTheme="minorEastAsia" w:cstheme="minorBidi"/>
          <w:i/>
          <w:iCs/>
          <w:noProof/>
          <w:sz w:val="22"/>
          <w:szCs w:val="22"/>
          <w:rtl/>
        </w:rPr>
      </w:pPr>
      <w:bookmarkStart w:id="25741" w:name="_Toc19436465"/>
      <w:bookmarkStart w:id="25742" w:name="_Toc20081574"/>
      <w:r>
        <w:rPr>
          <w:noProof/>
          <w:rtl/>
        </w:rPr>
        <w:t>דברי הקה"י בביאור דברי הגרעק"א דהולד אסור בטריפה כאמו</w:t>
      </w:r>
      <w:bookmarkEnd w:id="25741"/>
      <w:bookmarkEnd w:id="25742"/>
    </w:p>
    <w:p w14:paraId="3A641072" w14:textId="77777777" w:rsidR="003D504D" w:rsidRDefault="003D504D" w:rsidP="005077A7">
      <w:pPr>
        <w:pStyle w:val="a"/>
        <w:rPr>
          <w:rFonts w:eastAsiaTheme="minorEastAsia" w:cstheme="minorBidi"/>
          <w:sz w:val="22"/>
          <w:szCs w:val="22"/>
          <w:rtl/>
        </w:rPr>
      </w:pPr>
      <w:r>
        <w:rPr>
          <w:rtl/>
        </w:rPr>
        <w:t>קושית הקה"י אמאי שחיטת הטריפה אינה מתירה את הולד הרי השחיטה בטריפה היא כמו בכשרה</w:t>
      </w:r>
    </w:p>
    <w:p w14:paraId="2BD7C6F9" w14:textId="77777777" w:rsidR="003D504D" w:rsidRDefault="003D504D" w:rsidP="005077A7">
      <w:pPr>
        <w:pStyle w:val="a"/>
        <w:rPr>
          <w:rFonts w:eastAsiaTheme="minorEastAsia" w:cstheme="minorBidi"/>
          <w:sz w:val="22"/>
          <w:szCs w:val="22"/>
          <w:rtl/>
        </w:rPr>
      </w:pPr>
      <w:r>
        <w:rPr>
          <w:rtl/>
        </w:rPr>
        <w:t>קושית הקה"י מדין מה אסור הולד הא חשיב כזבוח לענין נבילה ואינו חי אחר שמת והוא אינו טריפה</w:t>
      </w:r>
    </w:p>
    <w:p w14:paraId="0FF904F8" w14:textId="77777777" w:rsidR="003D504D" w:rsidRDefault="003D504D" w:rsidP="005077A7">
      <w:pPr>
        <w:pStyle w:val="a"/>
        <w:rPr>
          <w:rFonts w:eastAsiaTheme="minorEastAsia" w:cstheme="minorBidi"/>
          <w:sz w:val="22"/>
          <w:szCs w:val="22"/>
          <w:rtl/>
        </w:rPr>
      </w:pPr>
      <w:r>
        <w:rPr>
          <w:rtl/>
        </w:rPr>
        <w:t>ביאור הקה"י בגרעק"א דגדר ד' סימנים דדינו או כאבר דאמו לגמרי או כבהמה בפנ"ע לגמרי</w:t>
      </w:r>
    </w:p>
    <w:p w14:paraId="5F404EA5" w14:textId="77777777" w:rsidR="003D504D" w:rsidRDefault="003D504D" w:rsidP="003D504D">
      <w:pPr>
        <w:pStyle w:val="2"/>
        <w:rPr>
          <w:rFonts w:eastAsiaTheme="minorEastAsia" w:cstheme="minorBidi"/>
          <w:i/>
          <w:iCs/>
          <w:noProof/>
          <w:sz w:val="22"/>
          <w:szCs w:val="22"/>
          <w:rtl/>
        </w:rPr>
      </w:pPr>
      <w:bookmarkStart w:id="25743" w:name="_Toc19436466"/>
      <w:r>
        <w:rPr>
          <w:noProof/>
          <w:rtl/>
        </w:rPr>
        <w:t>בביאור דעת הרמב"ם</w:t>
      </w:r>
      <w:bookmarkEnd w:id="25743"/>
    </w:p>
    <w:p w14:paraId="411604C1" w14:textId="77777777" w:rsidR="003D504D" w:rsidRDefault="003D504D" w:rsidP="003D504D">
      <w:pPr>
        <w:pStyle w:val="aff4"/>
        <w:rPr>
          <w:rFonts w:eastAsiaTheme="minorEastAsia" w:cstheme="minorBidi"/>
          <w:i/>
          <w:iCs/>
          <w:noProof/>
          <w:sz w:val="22"/>
          <w:szCs w:val="22"/>
          <w:rtl/>
        </w:rPr>
      </w:pPr>
      <w:bookmarkStart w:id="25744" w:name="_Toc19436467"/>
      <w:bookmarkStart w:id="25745" w:name="_Toc20081575"/>
      <w:r>
        <w:rPr>
          <w:noProof/>
          <w:rtl/>
        </w:rPr>
        <w:t>דברי הקה"י דברש"י וברמב"ם מבואר כגרעק"א דדינו כטריפה</w:t>
      </w:r>
      <w:bookmarkEnd w:id="25744"/>
      <w:bookmarkEnd w:id="25745"/>
    </w:p>
    <w:p w14:paraId="04C140C6" w14:textId="77777777" w:rsidR="003D504D" w:rsidRDefault="003D504D" w:rsidP="005077A7">
      <w:pPr>
        <w:pStyle w:val="a"/>
        <w:rPr>
          <w:rFonts w:eastAsiaTheme="minorEastAsia" w:cstheme="minorBidi"/>
          <w:sz w:val="22"/>
          <w:szCs w:val="22"/>
          <w:rtl/>
        </w:rPr>
      </w:pPr>
      <w:r>
        <w:rPr>
          <w:rtl/>
        </w:rPr>
        <w:t>דברי הגרעק"א דכוונת רש"י דאי מותר בטריפה הוא כאבר דאמו היינו דהוא טריפה כאמו</w:t>
      </w:r>
    </w:p>
    <w:p w14:paraId="04DEAB8C" w14:textId="77777777" w:rsidR="003D504D" w:rsidRDefault="003D504D" w:rsidP="005077A7">
      <w:pPr>
        <w:pStyle w:val="a"/>
        <w:rPr>
          <w:rFonts w:eastAsiaTheme="minorEastAsia" w:cstheme="minorBidi"/>
          <w:sz w:val="22"/>
          <w:szCs w:val="22"/>
          <w:rtl/>
        </w:rPr>
      </w:pPr>
      <w:r>
        <w:rPr>
          <w:rtl/>
        </w:rPr>
        <w:t>דברי הקה"י דכוונת הרמב"ם דבן ח' כאבר דאמו דאי מותר בשחיטת אמו הוא טריפה כאמו</w:t>
      </w:r>
    </w:p>
    <w:p w14:paraId="6D67D580" w14:textId="77777777" w:rsidR="003D504D" w:rsidRDefault="003D504D" w:rsidP="003D504D">
      <w:pPr>
        <w:pStyle w:val="aff4"/>
        <w:rPr>
          <w:rFonts w:eastAsiaTheme="minorEastAsia" w:cstheme="minorBidi"/>
          <w:i/>
          <w:iCs/>
          <w:noProof/>
          <w:sz w:val="22"/>
          <w:szCs w:val="22"/>
          <w:rtl/>
        </w:rPr>
      </w:pPr>
      <w:bookmarkStart w:id="25746" w:name="_Toc19436468"/>
      <w:bookmarkStart w:id="25747" w:name="_Toc20081576"/>
      <w:r>
        <w:rPr>
          <w:noProof/>
          <w:rtl/>
        </w:rPr>
        <w:t>ביאור הקה"י ברמב"ם דהולד אסור מדין טריפה</w:t>
      </w:r>
      <w:bookmarkEnd w:id="25746"/>
      <w:bookmarkEnd w:id="25747"/>
    </w:p>
    <w:p w14:paraId="43767FD1" w14:textId="77777777" w:rsidR="003D504D" w:rsidRDefault="003D504D" w:rsidP="005077A7">
      <w:pPr>
        <w:pStyle w:val="a"/>
        <w:rPr>
          <w:rFonts w:eastAsiaTheme="minorEastAsia" w:cstheme="minorBidi"/>
          <w:sz w:val="22"/>
          <w:szCs w:val="22"/>
          <w:rtl/>
        </w:rPr>
      </w:pPr>
      <w:r>
        <w:rPr>
          <w:rtl/>
        </w:rPr>
        <w:t>קושית הקה"י על דברי הרמב"ם דבן ח' אסור בטריפה הא בלא"ה אינו מותר בשחיטת אמו דהוא נפל</w:t>
      </w:r>
    </w:p>
    <w:p w14:paraId="3412598E" w14:textId="77777777" w:rsidR="003D504D" w:rsidRDefault="003D504D" w:rsidP="005077A7">
      <w:pPr>
        <w:pStyle w:val="a"/>
        <w:rPr>
          <w:rFonts w:eastAsiaTheme="minorEastAsia" w:cstheme="minorBidi"/>
          <w:sz w:val="22"/>
          <w:szCs w:val="22"/>
          <w:rtl/>
        </w:rPr>
      </w:pPr>
      <w:r>
        <w:rPr>
          <w:rtl/>
        </w:rPr>
        <w:t>ביאור הקה"י ברמב"ם דשחיטת טריפה היא ראויה ולכן הולד אסור רק מדין טריפה</w:t>
      </w:r>
    </w:p>
    <w:p w14:paraId="3F027441" w14:textId="77777777" w:rsidR="003D504D" w:rsidRDefault="003D504D" w:rsidP="005077A7">
      <w:pPr>
        <w:pStyle w:val="a"/>
        <w:rPr>
          <w:rFonts w:eastAsiaTheme="minorEastAsia" w:cstheme="minorBidi"/>
          <w:sz w:val="22"/>
          <w:szCs w:val="22"/>
          <w:rtl/>
        </w:rPr>
      </w:pPr>
      <w:r>
        <w:rPr>
          <w:rtl/>
        </w:rPr>
        <w:t>דחיית הקה"י דבן ט' חי אינו מותר בשחיטת הטריפה אף דאינו טריפה כאמו</w:t>
      </w:r>
    </w:p>
    <w:p w14:paraId="5C32A905" w14:textId="77777777" w:rsidR="003D504D" w:rsidRDefault="003D504D" w:rsidP="005077A7">
      <w:pPr>
        <w:pStyle w:val="a"/>
        <w:rPr>
          <w:rFonts w:eastAsiaTheme="minorEastAsia" w:cstheme="minorBidi"/>
          <w:sz w:val="22"/>
          <w:szCs w:val="22"/>
          <w:rtl/>
        </w:rPr>
      </w:pPr>
      <w:r>
        <w:rPr>
          <w:rtl/>
        </w:rPr>
        <w:t>ביאור הקה"י בגרעק"א דכל שלא  נשחט בשחיטת עצמו אסור בטריפה</w:t>
      </w:r>
    </w:p>
    <w:p w14:paraId="1E8B02A1" w14:textId="77777777" w:rsidR="003D504D" w:rsidRDefault="003D504D" w:rsidP="003D504D">
      <w:pPr>
        <w:pStyle w:val="aff4"/>
        <w:rPr>
          <w:rFonts w:eastAsiaTheme="minorEastAsia" w:cstheme="minorBidi"/>
          <w:i/>
          <w:iCs/>
          <w:noProof/>
          <w:sz w:val="22"/>
          <w:szCs w:val="22"/>
          <w:rtl/>
        </w:rPr>
      </w:pPr>
      <w:bookmarkStart w:id="25748" w:name="_Toc19436469"/>
      <w:bookmarkStart w:id="25749" w:name="_Toc20081577"/>
      <w:r>
        <w:rPr>
          <w:noProof/>
          <w:rtl/>
        </w:rPr>
        <w:t>קושית הקה"י דלמ"ד דעובר לאו ירך אמו א"א לאוסרו בטריפה</w:t>
      </w:r>
      <w:bookmarkEnd w:id="25748"/>
      <w:bookmarkEnd w:id="25749"/>
    </w:p>
    <w:p w14:paraId="55F09DD9" w14:textId="77777777" w:rsidR="003D504D" w:rsidRDefault="003D504D" w:rsidP="005077A7">
      <w:pPr>
        <w:pStyle w:val="a"/>
        <w:rPr>
          <w:rFonts w:eastAsiaTheme="minorEastAsia" w:cstheme="minorBidi"/>
          <w:sz w:val="22"/>
          <w:szCs w:val="22"/>
          <w:rtl/>
        </w:rPr>
      </w:pPr>
      <w:r>
        <w:rPr>
          <w:rtl/>
        </w:rPr>
        <w:t>קושית הקה"י דביאור הגרעק"א הוא רק למ"ד דעובר ירך אמו ואי אינו ירך אמו צ"ב מהו איסורו</w:t>
      </w:r>
    </w:p>
    <w:p w14:paraId="0AE472FD" w14:textId="77777777" w:rsidR="003D504D" w:rsidRDefault="003D504D" w:rsidP="003D504D">
      <w:pPr>
        <w:pStyle w:val="aff4"/>
        <w:rPr>
          <w:rFonts w:eastAsiaTheme="minorEastAsia" w:cstheme="minorBidi"/>
          <w:i/>
          <w:iCs/>
          <w:noProof/>
          <w:sz w:val="22"/>
          <w:szCs w:val="22"/>
          <w:rtl/>
        </w:rPr>
      </w:pPr>
      <w:bookmarkStart w:id="25750" w:name="_Toc19436470"/>
      <w:bookmarkStart w:id="25751" w:name="_Toc20081578"/>
      <w:r>
        <w:rPr>
          <w:noProof/>
          <w:rtl/>
        </w:rPr>
        <w:t>ביאור הקה"י דאסור באינו זבוח מחמת שלא הותר בשחיטה</w:t>
      </w:r>
      <w:bookmarkEnd w:id="25750"/>
      <w:bookmarkEnd w:id="25751"/>
    </w:p>
    <w:p w14:paraId="791C0FA0" w14:textId="77777777" w:rsidR="003D504D" w:rsidRDefault="003D504D" w:rsidP="005077A7">
      <w:pPr>
        <w:pStyle w:val="a"/>
        <w:rPr>
          <w:rFonts w:eastAsiaTheme="minorEastAsia" w:cstheme="minorBidi"/>
          <w:sz w:val="22"/>
          <w:szCs w:val="22"/>
          <w:rtl/>
        </w:rPr>
      </w:pPr>
      <w:r>
        <w:rPr>
          <w:rtl/>
        </w:rPr>
        <w:t>דברי הקה"י דמודה ר"מ דשחיטת טריפה אינה שחיטה כלל לענין היתר אכילה</w:t>
      </w:r>
    </w:p>
    <w:p w14:paraId="44906469" w14:textId="77777777" w:rsidR="003D504D" w:rsidRDefault="003D504D" w:rsidP="005077A7">
      <w:pPr>
        <w:pStyle w:val="a"/>
        <w:rPr>
          <w:rFonts w:eastAsiaTheme="minorEastAsia" w:cstheme="minorBidi"/>
          <w:sz w:val="22"/>
          <w:szCs w:val="22"/>
          <w:rtl/>
        </w:rPr>
      </w:pPr>
      <w:r>
        <w:rPr>
          <w:rtl/>
        </w:rPr>
        <w:t>קושית הקה"י דאף שחסר בהיתר שחיטה של הולד מ"מ צ"ב מהו איסורו</w:t>
      </w:r>
    </w:p>
    <w:p w14:paraId="7268F093" w14:textId="77777777" w:rsidR="003D504D" w:rsidRDefault="003D504D" w:rsidP="005077A7">
      <w:pPr>
        <w:pStyle w:val="a"/>
        <w:rPr>
          <w:rFonts w:eastAsiaTheme="minorEastAsia" w:cstheme="minorBidi"/>
          <w:sz w:val="22"/>
          <w:szCs w:val="22"/>
          <w:rtl/>
        </w:rPr>
      </w:pPr>
      <w:r>
        <w:rPr>
          <w:rtl/>
        </w:rPr>
        <w:t>דברי הקה"י דהולד אסור באיסור עשה דאינו זבוח</w:t>
      </w:r>
    </w:p>
    <w:p w14:paraId="3EE22ED7" w14:textId="77777777" w:rsidR="003D504D" w:rsidRDefault="003D504D" w:rsidP="005077A7">
      <w:pPr>
        <w:pStyle w:val="a"/>
        <w:rPr>
          <w:rFonts w:eastAsiaTheme="minorEastAsia" w:cstheme="minorBidi"/>
          <w:sz w:val="22"/>
          <w:szCs w:val="22"/>
          <w:rtl/>
        </w:rPr>
      </w:pPr>
      <w:r>
        <w:rPr>
          <w:rtl/>
        </w:rPr>
        <w:t>דברי הקה"י דלדעת הריצב"א דאין איסור אינו זבוח צ"ל דלר"מ השחיטה אינה מתירה באכילה כלל</w:t>
      </w:r>
    </w:p>
    <w:p w14:paraId="062BB644" w14:textId="77777777" w:rsidR="003D504D" w:rsidRDefault="003D504D" w:rsidP="003D504D">
      <w:pPr>
        <w:pStyle w:val="aff4"/>
        <w:rPr>
          <w:rFonts w:eastAsiaTheme="minorEastAsia" w:cstheme="minorBidi"/>
          <w:i/>
          <w:iCs/>
          <w:noProof/>
          <w:sz w:val="22"/>
          <w:szCs w:val="22"/>
          <w:rtl/>
        </w:rPr>
      </w:pPr>
      <w:bookmarkStart w:id="25752" w:name="_Toc19436471"/>
      <w:bookmarkStart w:id="25753" w:name="_Toc20081579"/>
      <w:r>
        <w:rPr>
          <w:noProof/>
          <w:rtl/>
        </w:rPr>
        <w:t>ביאור הקה"י ברמב"ם דאף שלא נשחט הוי טריפה כאבר דאמו</w:t>
      </w:r>
      <w:bookmarkEnd w:id="25752"/>
      <w:bookmarkEnd w:id="25753"/>
    </w:p>
    <w:p w14:paraId="55FBFF1B" w14:textId="77777777" w:rsidR="003D504D" w:rsidRDefault="003D504D" w:rsidP="005077A7">
      <w:pPr>
        <w:pStyle w:val="a"/>
        <w:rPr>
          <w:rFonts w:eastAsiaTheme="minorEastAsia" w:cstheme="minorBidi"/>
          <w:sz w:val="22"/>
          <w:szCs w:val="22"/>
          <w:rtl/>
        </w:rPr>
      </w:pPr>
      <w:r>
        <w:rPr>
          <w:rtl/>
        </w:rPr>
        <w:t>קושית הקה"י על הרמב"ם דאי שחיטת האם אינה מתירה את הולד אמאי כתב דהוא כירך אמו</w:t>
      </w:r>
    </w:p>
    <w:p w14:paraId="3F7695AF" w14:textId="77777777" w:rsidR="003D504D" w:rsidRDefault="003D504D" w:rsidP="005077A7">
      <w:pPr>
        <w:pStyle w:val="a"/>
        <w:rPr>
          <w:rFonts w:eastAsiaTheme="minorEastAsia" w:cstheme="minorBidi"/>
          <w:sz w:val="22"/>
          <w:szCs w:val="22"/>
          <w:rtl/>
        </w:rPr>
      </w:pPr>
      <w:r>
        <w:rPr>
          <w:rtl/>
        </w:rPr>
        <w:t>ביאור הקה"י ברמב"ם דאיסור הולד הוא מדין טריפה כיון שהוא ירך אמו ובלא"ה היה רק אינו זבוח</w:t>
      </w:r>
    </w:p>
    <w:p w14:paraId="43594379" w14:textId="77777777" w:rsidR="003D504D" w:rsidRDefault="003D504D" w:rsidP="003D504D">
      <w:pPr>
        <w:pStyle w:val="2"/>
        <w:rPr>
          <w:rFonts w:eastAsiaTheme="minorEastAsia" w:cstheme="minorBidi"/>
          <w:i/>
          <w:iCs/>
          <w:noProof/>
          <w:sz w:val="22"/>
          <w:szCs w:val="22"/>
          <w:rtl/>
        </w:rPr>
      </w:pPr>
      <w:bookmarkStart w:id="25754" w:name="_Toc19436472"/>
      <w:r w:rsidRPr="00996B8C">
        <w:rPr>
          <w:noProof/>
          <w:rtl/>
        </w:rPr>
        <w:t>בביאור דעת הרשב"א באיסור הולד</w:t>
      </w:r>
      <w:bookmarkEnd w:id="25754"/>
    </w:p>
    <w:p w14:paraId="527E5E2F" w14:textId="77777777" w:rsidR="003D504D" w:rsidRDefault="003D504D" w:rsidP="003D504D">
      <w:pPr>
        <w:pStyle w:val="aff4"/>
        <w:rPr>
          <w:rFonts w:eastAsiaTheme="minorEastAsia" w:cstheme="minorBidi"/>
          <w:i/>
          <w:iCs/>
          <w:noProof/>
          <w:sz w:val="22"/>
          <w:szCs w:val="22"/>
          <w:rtl/>
        </w:rPr>
      </w:pPr>
      <w:bookmarkStart w:id="25755" w:name="_Toc19436473"/>
      <w:bookmarkStart w:id="25756" w:name="_Toc20081580"/>
      <w:r>
        <w:rPr>
          <w:noProof/>
          <w:rtl/>
        </w:rPr>
        <w:t>דברי השער"י ברשב"א דהשחיטה באם ראויה ובולד אינה ראויה</w:t>
      </w:r>
      <w:bookmarkEnd w:id="25755"/>
      <w:bookmarkEnd w:id="25756"/>
    </w:p>
    <w:p w14:paraId="54F01A1F" w14:textId="77777777" w:rsidR="003D504D" w:rsidRDefault="003D504D" w:rsidP="005077A7">
      <w:pPr>
        <w:pStyle w:val="a"/>
        <w:rPr>
          <w:rFonts w:eastAsiaTheme="minorEastAsia" w:cstheme="minorBidi"/>
          <w:sz w:val="22"/>
          <w:szCs w:val="22"/>
          <w:rtl/>
        </w:rPr>
      </w:pPr>
      <w:r>
        <w:rPr>
          <w:rtl/>
        </w:rPr>
        <w:t>דברי השער"י דמקושית הרשב"א דשחיטת טריפה היא שחיטה ראויה מבואר דמתירה באכילה</w:t>
      </w:r>
    </w:p>
    <w:p w14:paraId="1A270A6E" w14:textId="77777777" w:rsidR="003D504D" w:rsidRDefault="003D504D" w:rsidP="005077A7">
      <w:pPr>
        <w:pStyle w:val="a"/>
        <w:rPr>
          <w:rFonts w:eastAsiaTheme="minorEastAsia" w:cstheme="minorBidi"/>
          <w:sz w:val="22"/>
          <w:szCs w:val="22"/>
          <w:rtl/>
        </w:rPr>
      </w:pPr>
      <w:r>
        <w:rPr>
          <w:rtl/>
        </w:rPr>
        <w:t>ביאור השער"י ברשב"א דאף שהשחיטה מתירה באכילה כל שלא חל היתר באם אסור הולד</w:t>
      </w:r>
    </w:p>
    <w:p w14:paraId="66C7D867" w14:textId="77777777" w:rsidR="003D504D" w:rsidRDefault="003D504D" w:rsidP="005077A7">
      <w:pPr>
        <w:pStyle w:val="a"/>
        <w:rPr>
          <w:rFonts w:eastAsiaTheme="minorEastAsia" w:cstheme="minorBidi"/>
          <w:sz w:val="22"/>
          <w:szCs w:val="22"/>
          <w:rtl/>
        </w:rPr>
      </w:pPr>
      <w:r>
        <w:rPr>
          <w:rtl/>
        </w:rPr>
        <w:t>ביאור השער"י דהשחיטה בטריפה מתירה כל מה שאפשר והוי שחיטה ראויה ואין בה אינו זבוח</w:t>
      </w:r>
    </w:p>
    <w:p w14:paraId="1BC5DB56" w14:textId="77777777" w:rsidR="003D504D" w:rsidRDefault="003D504D" w:rsidP="005077A7">
      <w:pPr>
        <w:pStyle w:val="a"/>
        <w:rPr>
          <w:rFonts w:eastAsiaTheme="minorEastAsia" w:cstheme="minorBidi"/>
          <w:sz w:val="22"/>
          <w:szCs w:val="22"/>
          <w:rtl/>
        </w:rPr>
      </w:pPr>
      <w:r>
        <w:rPr>
          <w:rtl/>
        </w:rPr>
        <w:t>ביאור השער"י ברשב"א דבעובר שצריך היתר לאכילה חשיבא שחיטת אמו הטריפה כאינה ראויה</w:t>
      </w:r>
    </w:p>
    <w:p w14:paraId="107C25A5" w14:textId="77777777" w:rsidR="003D504D" w:rsidRDefault="003D504D" w:rsidP="005077A7">
      <w:pPr>
        <w:pStyle w:val="a"/>
        <w:rPr>
          <w:rFonts w:eastAsiaTheme="minorEastAsia" w:cstheme="minorBidi"/>
          <w:sz w:val="22"/>
          <w:szCs w:val="22"/>
          <w:rtl/>
        </w:rPr>
      </w:pPr>
      <w:r>
        <w:rPr>
          <w:rtl/>
        </w:rPr>
        <w:t>דברי השער"י דאף דבאם אין אינו זבוח מ"מ הולד נשאר אינו זבוח אף שהותר מנבילה</w:t>
      </w:r>
    </w:p>
    <w:p w14:paraId="05BCF5A6" w14:textId="77777777" w:rsidR="003D504D" w:rsidRDefault="003D504D" w:rsidP="005077A7">
      <w:pPr>
        <w:pStyle w:val="a"/>
        <w:rPr>
          <w:rFonts w:eastAsiaTheme="minorEastAsia" w:cstheme="minorBidi"/>
          <w:sz w:val="22"/>
          <w:szCs w:val="22"/>
          <w:rtl/>
        </w:rPr>
      </w:pPr>
      <w:r>
        <w:rPr>
          <w:rtl/>
        </w:rPr>
        <w:t>ביאור השער"י דהרשב"א הוכיח מרב חסדא דלולד אינה שחיטה ראויה אף דלאם היא ראויה</w:t>
      </w:r>
    </w:p>
    <w:p w14:paraId="3D289874" w14:textId="77777777" w:rsidR="003D504D" w:rsidRDefault="003D504D" w:rsidP="003D504D">
      <w:pPr>
        <w:pStyle w:val="aff4"/>
        <w:rPr>
          <w:rFonts w:eastAsiaTheme="minorEastAsia" w:cstheme="minorBidi"/>
          <w:i/>
          <w:iCs/>
          <w:noProof/>
          <w:sz w:val="22"/>
          <w:szCs w:val="22"/>
          <w:rtl/>
        </w:rPr>
      </w:pPr>
      <w:bookmarkStart w:id="25757" w:name="_Toc19436474"/>
      <w:bookmarkStart w:id="25758" w:name="_Toc20081581"/>
      <w:r>
        <w:rPr>
          <w:noProof/>
          <w:rtl/>
        </w:rPr>
        <w:t>דברי השער"י דלרשב"א אף דאם זבוחה הולד אסור באינו זבוח</w:t>
      </w:r>
      <w:bookmarkEnd w:id="25757"/>
      <w:bookmarkEnd w:id="25758"/>
    </w:p>
    <w:p w14:paraId="596D67FD" w14:textId="77777777" w:rsidR="003D504D" w:rsidRDefault="003D504D" w:rsidP="005077A7">
      <w:pPr>
        <w:pStyle w:val="a"/>
        <w:rPr>
          <w:rFonts w:eastAsiaTheme="minorEastAsia" w:cstheme="minorBidi"/>
          <w:sz w:val="22"/>
          <w:szCs w:val="22"/>
          <w:rtl/>
        </w:rPr>
      </w:pPr>
      <w:r>
        <w:rPr>
          <w:rtl/>
        </w:rPr>
        <w:t>דברי השער"י דכל טריפה מותרת מאיסור זבוח דהועילה השחיטה לכל מה שאפשר בטריפה</w:t>
      </w:r>
    </w:p>
    <w:p w14:paraId="553B4A8C" w14:textId="77777777" w:rsidR="003D504D" w:rsidRDefault="003D504D" w:rsidP="005077A7">
      <w:pPr>
        <w:pStyle w:val="a"/>
        <w:rPr>
          <w:rFonts w:eastAsiaTheme="minorEastAsia" w:cstheme="minorBidi"/>
          <w:sz w:val="22"/>
          <w:szCs w:val="22"/>
          <w:rtl/>
        </w:rPr>
      </w:pPr>
      <w:r>
        <w:rPr>
          <w:rtl/>
        </w:rPr>
        <w:t>דברי השער"י דלהרשב"א הולד אסור באינו זבוח</w:t>
      </w:r>
    </w:p>
    <w:p w14:paraId="5EA7BD71" w14:textId="77777777" w:rsidR="003D504D" w:rsidRDefault="003D504D" w:rsidP="003D504D">
      <w:pPr>
        <w:pStyle w:val="aff4"/>
        <w:rPr>
          <w:rFonts w:eastAsiaTheme="minorEastAsia" w:cstheme="minorBidi"/>
          <w:i/>
          <w:iCs/>
          <w:noProof/>
          <w:sz w:val="22"/>
          <w:szCs w:val="22"/>
          <w:rtl/>
        </w:rPr>
      </w:pPr>
      <w:bookmarkStart w:id="25759" w:name="_Toc19436475"/>
      <w:bookmarkStart w:id="25760" w:name="_Toc20081582"/>
      <w:r>
        <w:rPr>
          <w:noProof/>
          <w:rtl/>
        </w:rPr>
        <w:t>ביאור השער"י בריצב"א דהולד כטריפה דנבילה היא גם טריפה</w:t>
      </w:r>
      <w:bookmarkEnd w:id="25759"/>
      <w:bookmarkEnd w:id="25760"/>
    </w:p>
    <w:p w14:paraId="641B770F" w14:textId="77777777" w:rsidR="003D504D" w:rsidRDefault="003D504D" w:rsidP="005077A7">
      <w:pPr>
        <w:pStyle w:val="a"/>
        <w:rPr>
          <w:rFonts w:eastAsiaTheme="minorEastAsia" w:cstheme="minorBidi"/>
          <w:sz w:val="22"/>
          <w:szCs w:val="22"/>
          <w:rtl/>
        </w:rPr>
      </w:pPr>
      <w:r>
        <w:rPr>
          <w:rtl/>
        </w:rPr>
        <w:t>קושית השער"י על הריצב"א במה אסור הולד דהא ס"ל דאין איסור עשה דאינו זבוח</w:t>
      </w:r>
    </w:p>
    <w:p w14:paraId="0CB36094" w14:textId="77777777" w:rsidR="003D504D" w:rsidRDefault="003D504D" w:rsidP="005077A7">
      <w:pPr>
        <w:pStyle w:val="a"/>
        <w:rPr>
          <w:rFonts w:eastAsiaTheme="minorEastAsia" w:cstheme="minorBidi"/>
          <w:sz w:val="22"/>
          <w:szCs w:val="22"/>
          <w:rtl/>
        </w:rPr>
      </w:pPr>
      <w:r>
        <w:rPr>
          <w:rtl/>
        </w:rPr>
        <w:t>ביאור השער"י דכל נבילה יש בה גם איסור טריפה ואף דהותר מנבילה לא הותר משחיטה</w:t>
      </w:r>
    </w:p>
    <w:p w14:paraId="588CD758" w14:textId="77777777" w:rsidR="003D504D" w:rsidRDefault="003D504D" w:rsidP="005077A7">
      <w:pPr>
        <w:pStyle w:val="a"/>
        <w:rPr>
          <w:rFonts w:eastAsiaTheme="minorEastAsia" w:cstheme="minorBidi"/>
          <w:sz w:val="22"/>
          <w:szCs w:val="22"/>
          <w:rtl/>
        </w:rPr>
      </w:pPr>
      <w:r>
        <w:rPr>
          <w:rtl/>
        </w:rPr>
        <w:t>דברי השער"י דאפש"ל דכוונת הרשב"א דהועבר טריפה דנשאר עליו איסור טריפה</w:t>
      </w:r>
    </w:p>
    <w:p w14:paraId="2E2E330C" w14:textId="77777777" w:rsidR="003D504D" w:rsidRDefault="003D504D" w:rsidP="003D504D">
      <w:pPr>
        <w:pStyle w:val="aff4"/>
        <w:rPr>
          <w:rFonts w:eastAsiaTheme="minorEastAsia" w:cstheme="minorBidi"/>
          <w:i/>
          <w:iCs/>
          <w:noProof/>
          <w:sz w:val="22"/>
          <w:szCs w:val="22"/>
          <w:rtl/>
        </w:rPr>
      </w:pPr>
      <w:bookmarkStart w:id="25761" w:name="_Toc19436476"/>
      <w:bookmarkStart w:id="25762" w:name="_Toc20081583"/>
      <w:r>
        <w:rPr>
          <w:noProof/>
          <w:rtl/>
        </w:rPr>
        <w:t>דברי המשנת ר"א ברמב"ם דבשחיטת טריפה אין היתר אכילה</w:t>
      </w:r>
      <w:bookmarkEnd w:id="25761"/>
      <w:bookmarkEnd w:id="25762"/>
    </w:p>
    <w:p w14:paraId="3D69124D" w14:textId="77777777" w:rsidR="003D504D" w:rsidRDefault="003D504D" w:rsidP="005077A7">
      <w:pPr>
        <w:pStyle w:val="a"/>
        <w:rPr>
          <w:rFonts w:eastAsiaTheme="minorEastAsia" w:cstheme="minorBidi"/>
          <w:sz w:val="22"/>
          <w:szCs w:val="22"/>
          <w:rtl/>
        </w:rPr>
      </w:pPr>
      <w:r>
        <w:rPr>
          <w:rtl/>
        </w:rPr>
        <w:t>דברי המשנת ר"א דהולד אינו מותר בשחיטת הטריפה כיון דבשחיטת טריפה אין היתר אכילה</w:t>
      </w:r>
    </w:p>
    <w:p w14:paraId="02EFDDA2" w14:textId="77777777" w:rsidR="003D504D" w:rsidRDefault="003D504D" w:rsidP="005077A7">
      <w:pPr>
        <w:pStyle w:val="a"/>
        <w:rPr>
          <w:rFonts w:eastAsiaTheme="minorEastAsia" w:cstheme="minorBidi"/>
          <w:sz w:val="22"/>
          <w:szCs w:val="22"/>
          <w:rtl/>
        </w:rPr>
      </w:pPr>
      <w:r>
        <w:rPr>
          <w:rtl/>
        </w:rPr>
        <w:t>דברי המשנת ר"א דמדדימה הרמב"ם שחיטת טריפה לשחיטת נכרי דאין בה היתר אכילה</w:t>
      </w:r>
    </w:p>
    <w:p w14:paraId="4716322B" w14:textId="77777777" w:rsidR="003D504D" w:rsidRDefault="003D504D" w:rsidP="003D504D">
      <w:pPr>
        <w:pStyle w:val="aff4"/>
        <w:rPr>
          <w:rFonts w:eastAsiaTheme="minorEastAsia" w:cstheme="minorBidi"/>
          <w:i/>
          <w:iCs/>
          <w:noProof/>
          <w:sz w:val="22"/>
          <w:szCs w:val="22"/>
          <w:rtl/>
        </w:rPr>
      </w:pPr>
      <w:bookmarkStart w:id="25763" w:name="_Toc19436477"/>
      <w:bookmarkStart w:id="25764" w:name="_Toc20081584"/>
      <w:r>
        <w:rPr>
          <w:noProof/>
          <w:rtl/>
        </w:rPr>
        <w:t>דברי המשנת ר"א דלהרשב"א יש בשחיטת טריפה היתר אכילה</w:t>
      </w:r>
      <w:bookmarkEnd w:id="25763"/>
      <w:bookmarkEnd w:id="25764"/>
    </w:p>
    <w:p w14:paraId="398F7CCE" w14:textId="77777777" w:rsidR="003D504D" w:rsidRDefault="003D504D" w:rsidP="005077A7">
      <w:pPr>
        <w:pStyle w:val="a"/>
        <w:rPr>
          <w:rFonts w:eastAsiaTheme="minorEastAsia" w:cstheme="minorBidi"/>
          <w:sz w:val="22"/>
          <w:szCs w:val="22"/>
          <w:rtl/>
        </w:rPr>
      </w:pPr>
      <w:r>
        <w:rPr>
          <w:rtl/>
        </w:rPr>
        <w:t>דברי המשנת ר"א דמבואר ברשב"א דשחיטת נכרי מתירה מאבמה"ח ומוכח דמתירה באכילה</w:t>
      </w:r>
    </w:p>
    <w:p w14:paraId="50B3CBDE" w14:textId="77777777" w:rsidR="003D504D" w:rsidRDefault="003D504D" w:rsidP="003D504D">
      <w:pPr>
        <w:pStyle w:val="aff4"/>
        <w:rPr>
          <w:rFonts w:eastAsiaTheme="minorEastAsia" w:cstheme="minorBidi"/>
          <w:i/>
          <w:iCs/>
          <w:noProof/>
          <w:sz w:val="22"/>
          <w:szCs w:val="22"/>
          <w:rtl/>
        </w:rPr>
      </w:pPr>
      <w:bookmarkStart w:id="25765" w:name="_Toc19436478"/>
      <w:bookmarkStart w:id="25766" w:name="_Toc20081585"/>
      <w:r>
        <w:rPr>
          <w:noProof/>
          <w:rtl/>
        </w:rPr>
        <w:t>ביאור המשנת ר"א ברשב"א דיש חלק בטריפה שהוא כנבילה</w:t>
      </w:r>
      <w:bookmarkEnd w:id="25765"/>
      <w:bookmarkEnd w:id="25766"/>
    </w:p>
    <w:p w14:paraId="1CA0E61B" w14:textId="77777777" w:rsidR="003D504D" w:rsidRDefault="003D504D" w:rsidP="005077A7">
      <w:pPr>
        <w:pStyle w:val="a"/>
        <w:rPr>
          <w:rFonts w:eastAsiaTheme="minorEastAsia" w:cstheme="minorBidi"/>
          <w:sz w:val="22"/>
          <w:szCs w:val="22"/>
          <w:rtl/>
        </w:rPr>
      </w:pPr>
      <w:r>
        <w:rPr>
          <w:rtl/>
        </w:rPr>
        <w:t>ביאור המשנת ר"א דבטריפה ניטלה מקצת חיות ובחלק זה הי אכנבילה ולא שייכא שחיטה בחלק זה</w:t>
      </w:r>
    </w:p>
    <w:p w14:paraId="63A86735" w14:textId="77777777" w:rsidR="003D504D" w:rsidRDefault="003D504D" w:rsidP="005077A7">
      <w:pPr>
        <w:pStyle w:val="a"/>
        <w:rPr>
          <w:rFonts w:eastAsiaTheme="minorEastAsia" w:cstheme="minorBidi"/>
          <w:sz w:val="22"/>
          <w:szCs w:val="22"/>
          <w:rtl/>
        </w:rPr>
      </w:pPr>
      <w:r>
        <w:rPr>
          <w:rtl/>
        </w:rPr>
        <w:t>דברי המשנת ר"א דאף דהשחיטה מתירה באכילה יש בה איסור אכילה מחמת החלק שלא נשחט</w:t>
      </w:r>
    </w:p>
    <w:p w14:paraId="4E8C4E72" w14:textId="77777777" w:rsidR="003D504D" w:rsidRDefault="003D504D" w:rsidP="005077A7">
      <w:pPr>
        <w:pStyle w:val="a"/>
        <w:rPr>
          <w:rFonts w:eastAsiaTheme="minorEastAsia" w:cstheme="minorBidi"/>
          <w:sz w:val="22"/>
          <w:szCs w:val="22"/>
          <w:rtl/>
        </w:rPr>
      </w:pPr>
      <w:r>
        <w:rPr>
          <w:rtl/>
        </w:rPr>
        <w:t>ביאור המשנת ר"א דבחלק שנשחטה הותר אבמה"ח ובחלק שחסר חיות היא כנבילה ואין אבמה"ח</w:t>
      </w:r>
    </w:p>
    <w:p w14:paraId="77AA3E5B" w14:textId="77777777" w:rsidR="003D504D" w:rsidRDefault="003D504D" w:rsidP="003D504D">
      <w:pPr>
        <w:pStyle w:val="aff4"/>
        <w:rPr>
          <w:rFonts w:eastAsiaTheme="minorEastAsia" w:cstheme="minorBidi"/>
          <w:i/>
          <w:iCs/>
          <w:noProof/>
          <w:sz w:val="22"/>
          <w:szCs w:val="22"/>
          <w:rtl/>
        </w:rPr>
      </w:pPr>
      <w:bookmarkStart w:id="25767" w:name="_Toc19436479"/>
      <w:bookmarkStart w:id="25768" w:name="_Toc20081586"/>
      <w:r>
        <w:rPr>
          <w:noProof/>
          <w:rtl/>
        </w:rPr>
        <w:t>דברי המשנת ר"א דבטריפה אין אבמה"ח אך בולד יש אבמה"ח</w:t>
      </w:r>
      <w:bookmarkEnd w:id="25767"/>
      <w:bookmarkEnd w:id="25768"/>
    </w:p>
    <w:p w14:paraId="59272C2F" w14:textId="77777777" w:rsidR="003D504D" w:rsidRDefault="003D504D" w:rsidP="005077A7">
      <w:pPr>
        <w:pStyle w:val="a"/>
        <w:rPr>
          <w:rFonts w:eastAsiaTheme="minorEastAsia" w:cstheme="minorBidi"/>
          <w:sz w:val="22"/>
          <w:szCs w:val="22"/>
          <w:rtl/>
        </w:rPr>
      </w:pPr>
      <w:r>
        <w:rPr>
          <w:rtl/>
        </w:rPr>
        <w:t>דברי המשנת ר"א דהולד אסור באמה"ח ואף למ"ד ד' סימנים היתרו הוא רק ע"י שחיטת עצמו</w:t>
      </w:r>
    </w:p>
    <w:p w14:paraId="4ED6DC1E" w14:textId="77777777" w:rsidR="003D504D" w:rsidRDefault="003D504D" w:rsidP="005077A7">
      <w:pPr>
        <w:pStyle w:val="a"/>
        <w:rPr>
          <w:rFonts w:eastAsiaTheme="minorEastAsia" w:cstheme="minorBidi"/>
          <w:sz w:val="22"/>
          <w:szCs w:val="22"/>
          <w:rtl/>
        </w:rPr>
      </w:pPr>
      <w:r>
        <w:rPr>
          <w:rtl/>
        </w:rPr>
        <w:t>קושית המשנת ר"א דלהרשב"א שהטריפה מותרת מאבמה"ח היאך אפש"ל דהולד אסור באבמה"ח</w:t>
      </w:r>
    </w:p>
    <w:p w14:paraId="23C74AF5" w14:textId="77777777" w:rsidR="003D504D" w:rsidRDefault="003D504D" w:rsidP="005077A7">
      <w:pPr>
        <w:pStyle w:val="a"/>
        <w:rPr>
          <w:rFonts w:eastAsiaTheme="minorEastAsia" w:cstheme="minorBidi"/>
          <w:sz w:val="22"/>
          <w:szCs w:val="22"/>
          <w:rtl/>
        </w:rPr>
      </w:pPr>
      <w:r>
        <w:rPr>
          <w:rtl/>
        </w:rPr>
        <w:t>ביאור המשנת ר"א דבולד יש חיות גמורה ויש בו חלק שלא הותר בשחיטה חלק זה הוא אבמה"ח</w:t>
      </w:r>
    </w:p>
    <w:p w14:paraId="2F936D99" w14:textId="77777777" w:rsidR="003D504D" w:rsidRDefault="003D504D" w:rsidP="005077A7">
      <w:pPr>
        <w:pStyle w:val="a"/>
        <w:rPr>
          <w:rFonts w:eastAsiaTheme="minorEastAsia" w:cstheme="minorBidi"/>
          <w:sz w:val="22"/>
          <w:szCs w:val="22"/>
          <w:rtl/>
        </w:rPr>
      </w:pPr>
      <w:r>
        <w:rPr>
          <w:rtl/>
        </w:rPr>
        <w:t>דברי המשנת ר"א דכיון שהאם אסורה באכילה אין הולד בכלל היתר "כל בבהמה תאכלו"</w:t>
      </w:r>
    </w:p>
    <w:p w14:paraId="45E06332" w14:textId="77777777" w:rsidR="003D504D" w:rsidRDefault="003D504D" w:rsidP="003D504D">
      <w:pPr>
        <w:pStyle w:val="aff4"/>
        <w:rPr>
          <w:rFonts w:eastAsiaTheme="minorEastAsia" w:cstheme="minorBidi"/>
          <w:i/>
          <w:iCs/>
          <w:noProof/>
          <w:sz w:val="22"/>
          <w:szCs w:val="22"/>
          <w:rtl/>
        </w:rPr>
      </w:pPr>
      <w:bookmarkStart w:id="25769" w:name="_Toc19436480"/>
      <w:bookmarkStart w:id="25770" w:name="_Toc20081587"/>
      <w:r>
        <w:rPr>
          <w:noProof/>
          <w:rtl/>
        </w:rPr>
        <w:t>דברי המשנת ר"א דרש"י ותוס' פליגי בגדר שחיטת טריפה</w:t>
      </w:r>
      <w:bookmarkEnd w:id="25769"/>
      <w:bookmarkEnd w:id="25770"/>
    </w:p>
    <w:p w14:paraId="4C4A3C1F" w14:textId="77777777" w:rsidR="003D504D" w:rsidRDefault="003D504D" w:rsidP="005077A7">
      <w:pPr>
        <w:pStyle w:val="a"/>
        <w:rPr>
          <w:rFonts w:eastAsiaTheme="minorEastAsia" w:cstheme="minorBidi"/>
          <w:sz w:val="22"/>
          <w:szCs w:val="22"/>
          <w:rtl/>
        </w:rPr>
        <w:sectPr w:rsidR="003D504D" w:rsidSect="007C6A7B">
          <w:type w:val="continuous"/>
          <w:pgSz w:w="11906" w:h="16838"/>
          <w:pgMar w:top="720" w:right="720" w:bottom="720" w:left="720" w:header="283" w:footer="283" w:gutter="0"/>
          <w:cols w:num="2" w:space="113"/>
          <w:bidi/>
          <w:rtlGutter/>
          <w:docGrid w:linePitch="299"/>
        </w:sectPr>
      </w:pPr>
      <w:r>
        <w:rPr>
          <w:rtl/>
        </w:rPr>
        <w:t>דברי המשנת ר"א דבפלוגתת הרמב"ם ורש"י בהיתר אכילה בשחיטת טריפה נחלקו רש"י ותוס'</w:t>
      </w:r>
    </w:p>
    <w:p w14:paraId="56F14BA0" w14:textId="77777777" w:rsidR="003D504D" w:rsidRDefault="003D504D" w:rsidP="005077A7">
      <w:pPr>
        <w:pStyle w:val="a"/>
        <w:numPr>
          <w:ilvl w:val="0"/>
          <w:numId w:val="0"/>
        </w:numPr>
        <w:ind w:left="567"/>
        <w:rPr>
          <w:rtl/>
        </w:rPr>
      </w:pPr>
    </w:p>
    <w:p w14:paraId="01EF1537" w14:textId="77777777" w:rsidR="003D504D" w:rsidRDefault="003D504D" w:rsidP="003D504D">
      <w:pPr>
        <w:pStyle w:val="aff4"/>
        <w:rPr>
          <w:rtl/>
        </w:rPr>
        <w:sectPr w:rsidR="003D504D" w:rsidSect="007C6A7B">
          <w:type w:val="continuous"/>
          <w:pgSz w:w="11906" w:h="16838"/>
          <w:pgMar w:top="720" w:right="720" w:bottom="720" w:left="720" w:header="283" w:footer="283" w:gutter="0"/>
          <w:cols w:num="2" w:space="113"/>
          <w:bidi/>
          <w:rtlGutter/>
          <w:docGrid w:linePitch="299"/>
        </w:sectPr>
      </w:pPr>
      <w:r>
        <w:rPr>
          <w:rtl/>
        </w:rPr>
        <w:fldChar w:fldCharType="end"/>
      </w:r>
    </w:p>
    <w:p w14:paraId="4C0D9B86" w14:textId="77777777" w:rsidR="003D504D" w:rsidRDefault="003D504D" w:rsidP="003D504D">
      <w:pPr>
        <w:pStyle w:val="afe"/>
        <w:rPr>
          <w:rtl/>
        </w:rPr>
      </w:pPr>
      <w:bookmarkStart w:id="25771" w:name="_Toc4402617"/>
      <w:bookmarkStart w:id="25772" w:name="_Toc4540583"/>
      <w:bookmarkStart w:id="25773" w:name="_Toc4606372"/>
      <w:bookmarkStart w:id="25774" w:name="_Toc4618149"/>
      <w:bookmarkStart w:id="25775" w:name="_Toc4704730"/>
      <w:bookmarkStart w:id="25776" w:name="_Toc4761871"/>
      <w:bookmarkStart w:id="25777" w:name="_Toc4877579"/>
      <w:bookmarkStart w:id="25778" w:name="_Toc4877905"/>
      <w:bookmarkStart w:id="25779" w:name="_Toc4878049"/>
      <w:bookmarkStart w:id="25780" w:name="_Toc19436481"/>
      <w:bookmarkStart w:id="25781" w:name="_Toc20081588"/>
      <w:r>
        <w:rPr>
          <w:rFonts w:hint="cs"/>
          <w:rtl/>
        </w:rPr>
        <w:t>מראי מקומות וביאורים על הסוגיא</w:t>
      </w:r>
      <w:bookmarkEnd w:id="25771"/>
      <w:bookmarkEnd w:id="25772"/>
      <w:bookmarkEnd w:id="25773"/>
      <w:bookmarkEnd w:id="25774"/>
      <w:bookmarkEnd w:id="25775"/>
      <w:bookmarkEnd w:id="25776"/>
      <w:bookmarkEnd w:id="25777"/>
      <w:bookmarkEnd w:id="25778"/>
      <w:bookmarkEnd w:id="25779"/>
      <w:bookmarkEnd w:id="25780"/>
      <w:bookmarkEnd w:id="25781"/>
    </w:p>
    <w:p w14:paraId="41143488" w14:textId="77777777" w:rsidR="003D504D" w:rsidRPr="0065105E" w:rsidRDefault="003D504D" w:rsidP="003D504D">
      <w:pPr>
        <w:pStyle w:val="2"/>
        <w:keepNext w:val="0"/>
        <w:keepLines w:val="0"/>
        <w:bidi w:val="0"/>
        <w:rPr>
          <w:rFonts w:asciiTheme="minorHAnsi" w:hAnsiTheme="minorHAnsi"/>
          <w:bCs/>
          <w:sz w:val="18"/>
          <w:szCs w:val="28"/>
          <w:rtl/>
        </w:rPr>
        <w:sectPr w:rsidR="003D504D" w:rsidRPr="0065105E" w:rsidSect="003D504D">
          <w:pgSz w:w="11906" w:h="16838"/>
          <w:pgMar w:top="720" w:right="720" w:bottom="720" w:left="720" w:header="283" w:footer="283" w:gutter="0"/>
          <w:cols w:space="720"/>
          <w:bidi/>
          <w:rtlGutter/>
          <w:docGrid w:linePitch="299"/>
        </w:sectPr>
      </w:pPr>
    </w:p>
    <w:p w14:paraId="3F300F83" w14:textId="77777777" w:rsidR="003D504D" w:rsidRDefault="003D504D" w:rsidP="003D504D">
      <w:pPr>
        <w:pStyle w:val="afe"/>
        <w:rPr>
          <w:rtl/>
        </w:rPr>
      </w:pPr>
      <w:bookmarkStart w:id="25782" w:name="_Toc4704731"/>
      <w:bookmarkStart w:id="25783" w:name="_Toc4761872"/>
      <w:bookmarkStart w:id="25784" w:name="_Toc4877580"/>
      <w:bookmarkStart w:id="25785" w:name="_Toc4877906"/>
      <w:bookmarkStart w:id="25786" w:name="_Toc4878050"/>
      <w:bookmarkStart w:id="25787" w:name="_Toc19436482"/>
      <w:bookmarkStart w:id="25788" w:name="_Toc20081589"/>
      <w:r>
        <w:rPr>
          <w:rFonts w:hint="cs"/>
          <w:rtl/>
        </w:rPr>
        <w:t>בהא דשחיטת טריפה אינה מתירה ולד</w:t>
      </w:r>
      <w:bookmarkEnd w:id="25782"/>
      <w:bookmarkEnd w:id="25783"/>
      <w:bookmarkEnd w:id="25784"/>
      <w:bookmarkEnd w:id="25785"/>
      <w:bookmarkEnd w:id="25786"/>
      <w:bookmarkEnd w:id="25787"/>
      <w:bookmarkEnd w:id="25788"/>
    </w:p>
    <w:p w14:paraId="31CFE0B8" w14:textId="77777777" w:rsidR="003D504D" w:rsidRDefault="003D504D" w:rsidP="00BF39B2">
      <w:pPr>
        <w:pStyle w:val="1"/>
        <w:rPr>
          <w:rtl/>
        </w:rPr>
      </w:pPr>
      <w:bookmarkStart w:id="25789" w:name="_Toc4540584"/>
      <w:bookmarkStart w:id="25790" w:name="_Toc4606373"/>
      <w:bookmarkStart w:id="25791" w:name="_Toc4618151"/>
      <w:bookmarkStart w:id="25792" w:name="_Toc4704732"/>
      <w:bookmarkStart w:id="25793" w:name="_Toc4761873"/>
      <w:bookmarkStart w:id="25794" w:name="_Toc4877581"/>
      <w:bookmarkStart w:id="25795" w:name="_Toc4877907"/>
      <w:bookmarkStart w:id="25796" w:name="_Toc4878051"/>
      <w:bookmarkStart w:id="25797" w:name="_Toc19392172"/>
      <w:bookmarkStart w:id="25798" w:name="_Toc19395669"/>
      <w:r>
        <w:rPr>
          <w:rFonts w:hint="cs"/>
          <w:rtl/>
        </w:rPr>
        <w:t>דברי רש"י</w:t>
      </w:r>
      <w:bookmarkEnd w:id="25789"/>
      <w:bookmarkEnd w:id="25790"/>
      <w:r>
        <w:rPr>
          <w:rFonts w:hint="cs"/>
          <w:rtl/>
        </w:rPr>
        <w:t xml:space="preserve"> דהעובר אסור דהוא כירך אמו</w:t>
      </w:r>
      <w:bookmarkEnd w:id="25791"/>
      <w:bookmarkEnd w:id="25792"/>
      <w:bookmarkEnd w:id="25793"/>
      <w:bookmarkEnd w:id="25794"/>
      <w:bookmarkEnd w:id="25795"/>
      <w:bookmarkEnd w:id="25796"/>
      <w:bookmarkEnd w:id="25797"/>
      <w:bookmarkEnd w:id="25798"/>
    </w:p>
    <w:p w14:paraId="0EECBB4D" w14:textId="77777777" w:rsidR="003D504D" w:rsidRDefault="003D504D" w:rsidP="003D504D">
      <w:pPr>
        <w:pStyle w:val="a3"/>
        <w:rPr>
          <w:rtl/>
        </w:rPr>
      </w:pPr>
      <w:bookmarkStart w:id="25799" w:name="_Toc4618152"/>
      <w:bookmarkStart w:id="25800" w:name="_Toc4704733"/>
      <w:bookmarkStart w:id="25801" w:name="_Toc4761874"/>
      <w:bookmarkStart w:id="25802" w:name="_Toc4877582"/>
      <w:bookmarkStart w:id="25803" w:name="_Toc4877908"/>
      <w:bookmarkStart w:id="25804" w:name="_Toc4878052"/>
      <w:bookmarkStart w:id="25805" w:name="_Toc19392173"/>
      <w:bookmarkStart w:id="25806" w:name="_Toc19395670"/>
      <w:r>
        <w:rPr>
          <w:rFonts w:hint="cs"/>
          <w:rtl/>
        </w:rPr>
        <w:t>דברי רש"י דשחיטת טריפה אינה מתירה את הולד דהוא כאחד מאבריה</w:t>
      </w:r>
      <w:bookmarkEnd w:id="25799"/>
      <w:bookmarkEnd w:id="25800"/>
      <w:bookmarkEnd w:id="25801"/>
      <w:bookmarkEnd w:id="25802"/>
      <w:bookmarkEnd w:id="25803"/>
      <w:bookmarkEnd w:id="25804"/>
      <w:bookmarkEnd w:id="25805"/>
      <w:bookmarkEnd w:id="25806"/>
    </w:p>
    <w:p w14:paraId="2ADA4540" w14:textId="77777777" w:rsidR="003D504D" w:rsidRPr="006663D5" w:rsidRDefault="003D504D" w:rsidP="00E12979">
      <w:pPr>
        <w:pStyle w:val="a0"/>
        <w:numPr>
          <w:ilvl w:val="0"/>
          <w:numId w:val="17"/>
        </w:numPr>
        <w:rPr>
          <w:rtl/>
        </w:rPr>
      </w:pPr>
      <w:bookmarkStart w:id="25807" w:name="_Ref4428980"/>
      <w:r>
        <w:rPr>
          <w:rFonts w:hint="cs"/>
          <w:rtl/>
        </w:rPr>
        <w:t xml:space="preserve">כתב </w:t>
      </w:r>
      <w:r w:rsidRPr="007C2F13">
        <w:rPr>
          <w:rStyle w:val="af9"/>
          <w:rFonts w:hint="cs"/>
          <w:rtl/>
        </w:rPr>
        <w:t xml:space="preserve">רש"י </w:t>
      </w:r>
      <w:r w:rsidRPr="00223668">
        <w:rPr>
          <w:rStyle w:val="af7"/>
          <w:rFonts w:eastAsia="Guttman Hodes" w:hint="cs"/>
          <w:rtl/>
        </w:rPr>
        <w:t>(ד"ה אוסר)</w:t>
      </w:r>
      <w:r>
        <w:rPr>
          <w:rFonts w:hint="cs"/>
          <w:rtl/>
        </w:rPr>
        <w:t xml:space="preserve"> דלמ"ד דלא אמרינן ד' סימנים, ואוסר לדעת ר"מ, ס"ל דשחיטת הטריפה לא מהני להתיר את הולד, דהוא כאחד מאבריה,</w:t>
      </w:r>
      <w:r w:rsidRPr="002D781F">
        <w:rPr>
          <w:rFonts w:hint="cs"/>
          <w:rtl/>
        </w:rPr>
        <w:t xml:space="preserve"> </w:t>
      </w:r>
      <w:r>
        <w:rPr>
          <w:rFonts w:hint="cs"/>
          <w:rtl/>
        </w:rPr>
        <w:t>ועו"כ</w:t>
      </w:r>
      <w:r w:rsidRPr="003A4A12">
        <w:rPr>
          <w:rStyle w:val="af9"/>
          <w:rFonts w:hint="cs"/>
          <w:rtl/>
        </w:rPr>
        <w:t xml:space="preserve"> רש"י </w:t>
      </w:r>
      <w:r w:rsidRPr="00223668">
        <w:rPr>
          <w:rStyle w:val="af7"/>
          <w:rFonts w:eastAsia="Guttman Hodes" w:hint="cs"/>
          <w:rtl/>
        </w:rPr>
        <w:t>(עה: ד"ה טעון)</w:t>
      </w:r>
      <w:r>
        <w:rPr>
          <w:rFonts w:hint="cs"/>
          <w:rtl/>
        </w:rPr>
        <w:t xml:space="preserve"> דהולד טעון שחיטה בעצמו, וא"א להתירו </w:t>
      </w:r>
      <w:r w:rsidRPr="006663D5">
        <w:rPr>
          <w:rFonts w:hint="cs"/>
          <w:rtl/>
        </w:rPr>
        <w:t xml:space="preserve">בשחיטת אמו הטריפה, דא"כ הוא חשיב כאחד מאבריה, וכ"כ </w:t>
      </w:r>
      <w:r w:rsidRPr="006663D5">
        <w:rPr>
          <w:rStyle w:val="af9"/>
          <w:rFonts w:hint="cs"/>
          <w:rtl/>
        </w:rPr>
        <w:t>ברש"י בביצה</w:t>
      </w:r>
      <w:r w:rsidRPr="006663D5">
        <w:rPr>
          <w:rFonts w:hint="cs"/>
          <w:rtl/>
        </w:rPr>
        <w:t xml:space="preserve"> </w:t>
      </w:r>
      <w:r w:rsidRPr="00223668">
        <w:rPr>
          <w:rStyle w:val="af7"/>
          <w:rFonts w:eastAsia="Guttman Hodes" w:hint="cs"/>
          <w:rtl/>
        </w:rPr>
        <w:t>(ו. ד"ה הטרפה)</w:t>
      </w:r>
      <w:r w:rsidRPr="006663D5">
        <w:rPr>
          <w:rFonts w:hint="cs"/>
          <w:rtl/>
        </w:rPr>
        <w:t xml:space="preserve"> דכיון שעובר ירך אמו, לכן אינו מותר בשחיטת טריפה, ועי' במ"ש </w:t>
      </w:r>
      <w:r w:rsidRPr="006663D5">
        <w:rPr>
          <w:rStyle w:val="af9"/>
          <w:rFonts w:hint="cs"/>
          <w:rtl/>
        </w:rPr>
        <w:t xml:space="preserve">הגרי"ז </w:t>
      </w:r>
      <w:r w:rsidRPr="00223668">
        <w:rPr>
          <w:rStyle w:val="af7"/>
          <w:rFonts w:eastAsia="Guttman Hodes" w:hint="cs"/>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Ref4429013 \r \h</w:instrText>
      </w:r>
      <w:r w:rsidRPr="00223668">
        <w:rPr>
          <w:rStyle w:val="af7"/>
          <w:rFonts w:eastAsia="Guttman Hodes"/>
          <w:rtl/>
        </w:rPr>
        <w:instrText xml:space="preserve">  \* </w:instrText>
      </w:r>
      <w:r w:rsidRPr="00223668">
        <w:rPr>
          <w:rStyle w:val="af7"/>
          <w:rFonts w:eastAsia="Guttman Hodes"/>
        </w:rPr>
        <w:instrText>MERGEFORMAT</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מז)</w:t>
      </w:r>
      <w:r w:rsidRPr="00223668">
        <w:rPr>
          <w:rStyle w:val="af7"/>
          <w:rFonts w:eastAsia="Guttman Hodes"/>
          <w:rtl/>
        </w:rPr>
        <w:fldChar w:fldCharType="end"/>
      </w:r>
      <w:r w:rsidRPr="006663D5">
        <w:rPr>
          <w:rFonts w:hint="cs"/>
          <w:rtl/>
        </w:rPr>
        <w:t xml:space="preserve"> </w:t>
      </w:r>
      <w:r w:rsidRPr="006663D5">
        <w:rPr>
          <w:rStyle w:val="af9"/>
          <w:rFonts w:hint="cs"/>
          <w:rtl/>
        </w:rPr>
        <w:t>והחזון יחזקאל</w:t>
      </w:r>
      <w:r w:rsidRPr="006663D5">
        <w:rPr>
          <w:rFonts w:hint="cs"/>
          <w:rtl/>
        </w:rPr>
        <w:t xml:space="preserve"> </w:t>
      </w:r>
      <w:r w:rsidRPr="00223668">
        <w:rPr>
          <w:rStyle w:val="af7"/>
          <w:rFonts w:eastAsia="Guttman Hodes" w:hint="cs"/>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Ref4686688 \r \h</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223668">
        <w:rPr>
          <w:rStyle w:val="af7"/>
          <w:rFonts w:eastAsia="Guttman Hodes"/>
          <w:rtl/>
        </w:rPr>
        <w:fldChar w:fldCharType="end"/>
      </w:r>
      <w:r w:rsidRPr="00223668">
        <w:rPr>
          <w:rStyle w:val="af7"/>
          <w:rFonts w:eastAsia="Guttman Hodes" w:hint="cs"/>
          <w:rtl/>
        </w:rPr>
        <w:t xml:space="preserve"> </w:t>
      </w:r>
      <w:r w:rsidRPr="006663D5">
        <w:rPr>
          <w:rStyle w:val="af9"/>
          <w:rFonts w:hint="cs"/>
          <w:rtl/>
        </w:rPr>
        <w:t>והקה"י</w:t>
      </w:r>
      <w:r w:rsidRPr="006663D5">
        <w:rPr>
          <w:rFonts w:hint="cs"/>
          <w:rtl/>
        </w:rPr>
        <w:t xml:space="preserve"> </w:t>
      </w:r>
      <w:r w:rsidRPr="00223668">
        <w:rPr>
          <w:rStyle w:val="af7"/>
          <w:rFonts w:eastAsia="Guttman Hodes" w:hint="cs"/>
          <w:rtl/>
        </w:rPr>
        <w:t xml:space="preserve">(עי' אות </w:t>
      </w:r>
      <w:r w:rsidRPr="00223668">
        <w:rPr>
          <w:rStyle w:val="af7"/>
          <w:rFonts w:eastAsia="Guttman Hodes"/>
          <w:rtl/>
        </w:rPr>
        <w:fldChar w:fldCharType="begin"/>
      </w:r>
      <w:r w:rsidRPr="00223668">
        <w:rPr>
          <w:rStyle w:val="af7"/>
          <w:rFonts w:eastAsia="Guttman Hodes"/>
          <w:rtl/>
        </w:rPr>
        <w:instrText xml:space="preserve"> </w:instrText>
      </w:r>
      <w:r w:rsidRPr="00223668">
        <w:rPr>
          <w:rStyle w:val="af7"/>
          <w:rFonts w:eastAsia="Guttman Hodes" w:hint="cs"/>
        </w:rPr>
        <w:instrText>REF</w:instrText>
      </w:r>
      <w:r w:rsidRPr="00223668">
        <w:rPr>
          <w:rStyle w:val="af7"/>
          <w:rFonts w:eastAsia="Guttman Hodes" w:hint="cs"/>
          <w:rtl/>
        </w:rPr>
        <w:instrText xml:space="preserve"> _</w:instrText>
      </w:r>
      <w:r w:rsidRPr="00223668">
        <w:rPr>
          <w:rStyle w:val="af7"/>
          <w:rFonts w:eastAsia="Guttman Hodes" w:hint="cs"/>
        </w:rPr>
        <w:instrText>Ref4492218 \r \h</w:instrText>
      </w:r>
      <w:r w:rsidRPr="00223668">
        <w:rPr>
          <w:rStyle w:val="af7"/>
          <w:rFonts w:eastAsia="Guttman Hodes"/>
          <w:rtl/>
        </w:rPr>
        <w:instrText xml:space="preserve">  \* </w:instrText>
      </w:r>
      <w:r w:rsidRPr="00223668">
        <w:rPr>
          <w:rStyle w:val="af7"/>
          <w:rFonts w:eastAsia="Guttman Hodes"/>
        </w:rPr>
        <w:instrText>MERGEFORMAT</w:instrText>
      </w:r>
      <w:r w:rsidRPr="00223668">
        <w:rPr>
          <w:rStyle w:val="af7"/>
          <w:rFonts w:eastAsia="Guttman Hodes"/>
          <w:rtl/>
        </w:rPr>
        <w:instrText xml:space="preserve"> </w:instrText>
      </w:r>
      <w:r w:rsidRPr="00223668">
        <w:rPr>
          <w:rStyle w:val="af7"/>
          <w:rFonts w:eastAsia="Guttman Hodes"/>
          <w:rtl/>
        </w:rPr>
      </w:r>
      <w:r w:rsidRPr="00223668">
        <w:rPr>
          <w:rStyle w:val="af7"/>
          <w:rFonts w:eastAsia="Guttman Hodes"/>
          <w:rtl/>
        </w:rPr>
        <w:fldChar w:fldCharType="separate"/>
      </w:r>
      <w:r w:rsidR="00345400">
        <w:rPr>
          <w:rStyle w:val="af7"/>
          <w:rFonts w:eastAsia="Guttman Hodes"/>
          <w:cs/>
        </w:rPr>
        <w:t>‎</w:t>
      </w:r>
      <w:r w:rsidR="00345400">
        <w:rPr>
          <w:rStyle w:val="af7"/>
          <w:rFonts w:eastAsia="Guttman Hodes"/>
          <w:rtl/>
        </w:rPr>
        <w:t>סד)</w:t>
      </w:r>
      <w:r w:rsidRPr="00223668">
        <w:rPr>
          <w:rStyle w:val="af7"/>
          <w:rFonts w:eastAsia="Guttman Hodes"/>
          <w:rtl/>
        </w:rPr>
        <w:fldChar w:fldCharType="end"/>
      </w:r>
      <w:r w:rsidRPr="006663D5">
        <w:rPr>
          <w:rFonts w:hint="cs"/>
          <w:rtl/>
        </w:rPr>
        <w:t xml:space="preserve"> בביאור דברי </w:t>
      </w:r>
      <w:r w:rsidRPr="006663D5">
        <w:rPr>
          <w:rStyle w:val="af9"/>
          <w:rFonts w:hint="cs"/>
          <w:rtl/>
        </w:rPr>
        <w:t>רש"י</w:t>
      </w:r>
      <w:r w:rsidRPr="006663D5">
        <w:rPr>
          <w:rFonts w:hint="cs"/>
          <w:rtl/>
        </w:rPr>
        <w:t>.</w:t>
      </w:r>
      <w:bookmarkEnd w:id="25807"/>
      <w:r w:rsidRPr="006663D5">
        <w:rPr>
          <w:rFonts w:hint="cs"/>
          <w:rtl/>
        </w:rPr>
        <w:t xml:space="preserve"> </w:t>
      </w:r>
    </w:p>
    <w:p w14:paraId="129F7EA5" w14:textId="77777777" w:rsidR="003D504D" w:rsidRDefault="003D504D" w:rsidP="003D504D">
      <w:pPr>
        <w:pStyle w:val="a3"/>
        <w:rPr>
          <w:rtl/>
        </w:rPr>
      </w:pPr>
      <w:bookmarkStart w:id="25808" w:name="_Toc4540585"/>
      <w:bookmarkStart w:id="25809" w:name="_Toc4606374"/>
      <w:bookmarkStart w:id="25810" w:name="_Toc4618153"/>
      <w:bookmarkStart w:id="25811" w:name="_Toc4704734"/>
      <w:bookmarkStart w:id="25812" w:name="_Toc4761875"/>
      <w:bookmarkStart w:id="25813" w:name="_Toc4877583"/>
      <w:bookmarkStart w:id="25814" w:name="_Toc4877909"/>
      <w:bookmarkStart w:id="25815" w:name="_Toc4878053"/>
      <w:bookmarkStart w:id="25816" w:name="_Toc19392174"/>
      <w:bookmarkStart w:id="25817" w:name="_Toc19395671"/>
      <w:r w:rsidRPr="006663D5">
        <w:rPr>
          <w:rFonts w:hint="cs"/>
          <w:rtl/>
        </w:rPr>
        <w:t>משמעות רש"י לקמן דאסור באיסור טריפה</w:t>
      </w:r>
      <w:r w:rsidRPr="008B0CEA">
        <w:rPr>
          <w:rFonts w:hint="cs"/>
          <w:rtl/>
        </w:rPr>
        <w:t xml:space="preserve"> אף למ"ד ד' סימנים דאינו ירך אמו</w:t>
      </w:r>
      <w:bookmarkEnd w:id="25808"/>
      <w:bookmarkEnd w:id="25809"/>
      <w:bookmarkEnd w:id="25810"/>
      <w:bookmarkEnd w:id="25811"/>
      <w:bookmarkEnd w:id="25812"/>
      <w:bookmarkEnd w:id="25813"/>
      <w:bookmarkEnd w:id="25814"/>
      <w:bookmarkEnd w:id="25815"/>
      <w:bookmarkEnd w:id="25816"/>
      <w:bookmarkEnd w:id="25817"/>
    </w:p>
    <w:p w14:paraId="0BCA43FB" w14:textId="77777777" w:rsidR="003D504D" w:rsidRDefault="003D504D" w:rsidP="00223668">
      <w:pPr>
        <w:pStyle w:val="a0"/>
        <w:rPr>
          <w:rtl/>
        </w:rPr>
      </w:pPr>
      <w:r>
        <w:rPr>
          <w:rFonts w:hint="cs"/>
          <w:rtl/>
        </w:rPr>
        <w:t xml:space="preserve">ובהא דאיתא בגמ' לקמן </w:t>
      </w:r>
      <w:r w:rsidRPr="007C2F13">
        <w:rPr>
          <w:rStyle w:val="af7"/>
          <w:rFonts w:eastAsia="Guttman Hodes" w:hint="cs"/>
          <w:rtl/>
        </w:rPr>
        <w:t>(פה:)</w:t>
      </w:r>
      <w:r>
        <w:rPr>
          <w:rFonts w:hint="cs"/>
          <w:rtl/>
        </w:rPr>
        <w:t xml:space="preserve"> דהו"א דלדעת רבנן דבן ט' חי מותר בשחיטת אמו, יהיה מותר אף כשאמו טריפה למ"ד דשחיטה שאינה ראויה שמה שחיטה, ביאר </w:t>
      </w:r>
      <w:r w:rsidRPr="007C2F13">
        <w:rPr>
          <w:rStyle w:val="af9"/>
          <w:rFonts w:hint="cs"/>
          <w:rtl/>
        </w:rPr>
        <w:t xml:space="preserve">רש"י לקמן </w:t>
      </w:r>
      <w:r w:rsidRPr="007C2F13">
        <w:rPr>
          <w:rStyle w:val="af7"/>
          <w:rFonts w:eastAsia="Guttman Hodes" w:hint="cs"/>
          <w:rtl/>
        </w:rPr>
        <w:t>(פה: ד"ה וסבר)</w:t>
      </w:r>
      <w:r w:rsidRPr="00653FB0">
        <w:rPr>
          <w:rFonts w:hint="cs"/>
          <w:rtl/>
        </w:rPr>
        <w:t xml:space="preserve"> </w:t>
      </w:r>
      <w:r>
        <w:rPr>
          <w:rFonts w:hint="cs"/>
          <w:rtl/>
        </w:rPr>
        <w:t xml:space="preserve">דלמ"ד דד' סימנים אכשר ביה רחמנא, א"כ ס"ל דאינו ירך אמו, ולכן הו"א דלמ"ד דשחיטה שאינה ראויה שמה שחיטה, דלא יאסר ע"י שאמו טריפה, ושחיטת אמו תועיל להתירו, וקמ"ל דשחיטת הטריפה אינה מתירתו. </w:t>
      </w:r>
      <w:r w:rsidRPr="00642D26">
        <w:rPr>
          <w:rStyle w:val="afb"/>
          <w:rFonts w:hint="cs"/>
          <w:rtl/>
        </w:rPr>
        <w:t>[ומשמע דהא דאינו מותר למ"ד דד' סימנים אכשר ביה רחמנא, כיון דנאסר ע"י איסור הטריפה דאמו, אף שאינו כאבר מאבריה].</w:t>
      </w:r>
    </w:p>
    <w:p w14:paraId="699EA4F6" w14:textId="77777777" w:rsidR="003D504D" w:rsidRPr="000733EF" w:rsidRDefault="003D504D" w:rsidP="00223668">
      <w:pPr>
        <w:pStyle w:val="a0"/>
        <w:numPr>
          <w:ilvl w:val="0"/>
          <w:numId w:val="0"/>
        </w:numPr>
        <w:rPr>
          <w:rtl/>
        </w:rPr>
      </w:pPr>
    </w:p>
    <w:p w14:paraId="062B54BA" w14:textId="77777777" w:rsidR="003D504D" w:rsidRDefault="003D504D" w:rsidP="00BF39B2">
      <w:pPr>
        <w:pStyle w:val="1"/>
        <w:rPr>
          <w:rtl/>
        </w:rPr>
      </w:pPr>
      <w:bookmarkStart w:id="25818" w:name="_Toc4540586"/>
      <w:bookmarkStart w:id="25819" w:name="_Toc4606375"/>
      <w:bookmarkStart w:id="25820" w:name="_Toc4618154"/>
      <w:bookmarkStart w:id="25821" w:name="_Toc4704735"/>
      <w:bookmarkStart w:id="25822" w:name="_Toc4761876"/>
      <w:bookmarkStart w:id="25823" w:name="_Toc4877584"/>
      <w:bookmarkStart w:id="25824" w:name="_Toc4877910"/>
      <w:bookmarkStart w:id="25825" w:name="_Toc4878054"/>
      <w:bookmarkStart w:id="25826" w:name="_Toc19392175"/>
      <w:bookmarkStart w:id="25827" w:name="_Toc19395672"/>
      <w:r>
        <w:rPr>
          <w:rFonts w:hint="cs"/>
          <w:rtl/>
        </w:rPr>
        <w:t>דברי רבינו גרשום</w:t>
      </w:r>
      <w:bookmarkEnd w:id="25818"/>
      <w:bookmarkEnd w:id="25819"/>
      <w:r>
        <w:rPr>
          <w:rFonts w:hint="cs"/>
          <w:rtl/>
        </w:rPr>
        <w:t xml:space="preserve"> דלרבנן הוי ירך אמו להיתר שחיטה ולטריפה</w:t>
      </w:r>
      <w:bookmarkEnd w:id="25820"/>
      <w:bookmarkEnd w:id="25821"/>
      <w:bookmarkEnd w:id="25822"/>
      <w:bookmarkEnd w:id="25823"/>
      <w:bookmarkEnd w:id="25824"/>
      <w:bookmarkEnd w:id="25825"/>
      <w:bookmarkEnd w:id="25826"/>
      <w:bookmarkEnd w:id="25827"/>
    </w:p>
    <w:p w14:paraId="475E1180" w14:textId="77777777" w:rsidR="003D504D" w:rsidRDefault="003D504D" w:rsidP="003D504D">
      <w:pPr>
        <w:pStyle w:val="a3"/>
        <w:rPr>
          <w:rtl/>
        </w:rPr>
      </w:pPr>
      <w:bookmarkStart w:id="25828" w:name="_Toc4618155"/>
      <w:bookmarkStart w:id="25829" w:name="_Toc4704736"/>
      <w:bookmarkStart w:id="25830" w:name="_Toc4761877"/>
      <w:bookmarkStart w:id="25831" w:name="_Toc4877585"/>
      <w:bookmarkStart w:id="25832" w:name="_Toc4877911"/>
      <w:bookmarkStart w:id="25833" w:name="_Toc4878055"/>
      <w:bookmarkStart w:id="25834" w:name="_Toc19392176"/>
      <w:bookmarkStart w:id="25835" w:name="_Toc19395673"/>
      <w:r>
        <w:rPr>
          <w:rFonts w:hint="cs"/>
          <w:rtl/>
        </w:rPr>
        <w:t>דברי רבינו גרשום דלמ"ד דבן ט' מותר בשחיטת אמו חשיב כאבר דאמו ובטריפה אסור כמותה</w:t>
      </w:r>
      <w:bookmarkEnd w:id="25828"/>
      <w:bookmarkEnd w:id="25829"/>
      <w:bookmarkEnd w:id="25830"/>
      <w:bookmarkEnd w:id="25831"/>
      <w:bookmarkEnd w:id="25832"/>
      <w:bookmarkEnd w:id="25833"/>
      <w:bookmarkEnd w:id="25834"/>
      <w:bookmarkEnd w:id="25835"/>
    </w:p>
    <w:p w14:paraId="7ED24299" w14:textId="77777777" w:rsidR="003D504D" w:rsidRDefault="003D504D" w:rsidP="00223668">
      <w:pPr>
        <w:pStyle w:val="a0"/>
        <w:rPr>
          <w:rtl/>
        </w:rPr>
      </w:pPr>
      <w:r w:rsidRPr="003E0F34">
        <w:rPr>
          <w:rStyle w:val="af9"/>
          <w:rFonts w:hint="cs"/>
          <w:rtl/>
        </w:rPr>
        <w:t>ורבינו גרשום</w:t>
      </w:r>
      <w:r>
        <w:rPr>
          <w:rFonts w:hint="cs"/>
          <w:rtl/>
        </w:rPr>
        <w:t xml:space="preserve"> </w:t>
      </w:r>
      <w:r w:rsidRPr="003E0F34">
        <w:rPr>
          <w:rStyle w:val="af7"/>
          <w:rFonts w:eastAsia="Guttman Hodes" w:hint="cs"/>
          <w:rtl/>
        </w:rPr>
        <w:t>(ד"ה עובר)</w:t>
      </w:r>
      <w:r>
        <w:rPr>
          <w:rFonts w:hint="cs"/>
          <w:rtl/>
        </w:rPr>
        <w:t xml:space="preserve"> ביאר דלרבנן דבן ט' מותר בשחיטת אמו, ס"ל דעובר ירך אמו, ולכן בנמצאת אמו טריפה, הוא אסור דהוא כירך של אמו.</w:t>
      </w:r>
    </w:p>
    <w:p w14:paraId="6351E563" w14:textId="77777777" w:rsidR="003D504D" w:rsidRDefault="003D504D" w:rsidP="00BF39B2">
      <w:pPr>
        <w:pStyle w:val="1"/>
        <w:rPr>
          <w:rtl/>
        </w:rPr>
      </w:pPr>
      <w:bookmarkStart w:id="25836" w:name="_Toc4540587"/>
      <w:bookmarkStart w:id="25837" w:name="_Toc4606376"/>
      <w:bookmarkStart w:id="25838" w:name="_Toc4618156"/>
      <w:bookmarkStart w:id="25839" w:name="_Toc4704737"/>
      <w:bookmarkStart w:id="25840" w:name="_Toc4761878"/>
      <w:bookmarkStart w:id="25841" w:name="_Toc4877586"/>
      <w:bookmarkStart w:id="25842" w:name="_Toc4877912"/>
      <w:bookmarkStart w:id="25843" w:name="_Toc4878056"/>
      <w:bookmarkStart w:id="25844" w:name="_Toc19392177"/>
      <w:bookmarkStart w:id="25845" w:name="_Toc19395674"/>
      <w:r>
        <w:rPr>
          <w:rFonts w:hint="cs"/>
          <w:rtl/>
        </w:rPr>
        <w:t>קושית הרשב"א</w:t>
      </w:r>
      <w:bookmarkEnd w:id="25836"/>
      <w:bookmarkEnd w:id="25837"/>
      <w:r>
        <w:rPr>
          <w:rFonts w:hint="cs"/>
          <w:rtl/>
        </w:rPr>
        <w:t xml:space="preserve"> אמאי בן ט' אינו מותר בשחיטת הטריפה</w:t>
      </w:r>
      <w:bookmarkEnd w:id="25838"/>
      <w:bookmarkEnd w:id="25839"/>
      <w:bookmarkEnd w:id="25840"/>
      <w:bookmarkEnd w:id="25841"/>
      <w:bookmarkEnd w:id="25842"/>
      <w:bookmarkEnd w:id="25843"/>
      <w:bookmarkEnd w:id="25844"/>
      <w:bookmarkEnd w:id="25845"/>
    </w:p>
    <w:p w14:paraId="57D9DFE7" w14:textId="77777777" w:rsidR="003D504D" w:rsidRPr="00211904" w:rsidRDefault="003D504D" w:rsidP="003D504D">
      <w:pPr>
        <w:pStyle w:val="a3"/>
        <w:rPr>
          <w:rtl/>
        </w:rPr>
      </w:pPr>
      <w:bookmarkStart w:id="25846" w:name="_Toc4618157"/>
      <w:bookmarkStart w:id="25847" w:name="_Toc4704738"/>
      <w:bookmarkStart w:id="25848" w:name="_Toc4761879"/>
      <w:bookmarkStart w:id="25849" w:name="_Toc4877587"/>
      <w:bookmarkStart w:id="25850" w:name="_Toc4877913"/>
      <w:bookmarkStart w:id="25851" w:name="_Toc4878057"/>
      <w:bookmarkStart w:id="25852" w:name="_Toc19392178"/>
      <w:bookmarkStart w:id="25853" w:name="_Toc19395675"/>
      <w:r>
        <w:rPr>
          <w:rFonts w:hint="cs"/>
          <w:rtl/>
        </w:rPr>
        <w:t>דברי הרשב"א דבבן ח' אסור דאין בו שחיטה ושחיטת אמו הטריפה לא באה להתיר באכילה</w:t>
      </w:r>
      <w:bookmarkEnd w:id="25846"/>
      <w:bookmarkEnd w:id="25847"/>
      <w:bookmarkEnd w:id="25848"/>
      <w:bookmarkEnd w:id="25849"/>
      <w:bookmarkEnd w:id="25850"/>
      <w:bookmarkEnd w:id="25851"/>
      <w:bookmarkEnd w:id="25852"/>
      <w:bookmarkEnd w:id="25853"/>
    </w:p>
    <w:p w14:paraId="5C6F920F" w14:textId="77777777" w:rsidR="003D504D" w:rsidRDefault="003D504D" w:rsidP="00223668">
      <w:pPr>
        <w:pStyle w:val="a0"/>
        <w:rPr>
          <w:rtl/>
        </w:rPr>
      </w:pPr>
      <w:r>
        <w:rPr>
          <w:rFonts w:hint="cs"/>
          <w:rtl/>
        </w:rPr>
        <w:t xml:space="preserve">כתב </w:t>
      </w:r>
      <w:r w:rsidRPr="00422C07">
        <w:rPr>
          <w:rStyle w:val="af9"/>
          <w:rFonts w:hint="cs"/>
          <w:rtl/>
        </w:rPr>
        <w:t>הרשב"א בתוה"ב</w:t>
      </w:r>
      <w:r>
        <w:rPr>
          <w:rFonts w:hint="cs"/>
          <w:rtl/>
        </w:rPr>
        <w:t xml:space="preserve"> </w:t>
      </w:r>
      <w:r w:rsidRPr="00422C07">
        <w:rPr>
          <w:rStyle w:val="af7"/>
          <w:rFonts w:eastAsia="Guttman Hodes" w:hint="cs"/>
          <w:rtl/>
        </w:rPr>
        <w:t>(ב"ב ש"ה דף ס. מדה"ס ד"ה השוחט)</w:t>
      </w:r>
      <w:r>
        <w:rPr>
          <w:rFonts w:hint="cs"/>
          <w:rtl/>
        </w:rPr>
        <w:t xml:space="preserve"> דבשוחט טריפה ונמצא בה בן ח' חי או מת, או בן ט' מת, אסור באכילה</w:t>
      </w:r>
      <w:r w:rsidRPr="009A0268">
        <w:rPr>
          <w:rFonts w:hint="cs"/>
          <w:rtl/>
        </w:rPr>
        <w:t xml:space="preserve"> </w:t>
      </w:r>
      <w:r>
        <w:rPr>
          <w:rFonts w:hint="cs"/>
          <w:rtl/>
        </w:rPr>
        <w:t>אף למ"ד דד' סימנים אכשר ביה רחמנא, דהא בו עצמו אין שחיטה, ושחיטת אמו אינה מתירה אותו, כיון דשחיטת סימני האם, לא באו להתיר באכילה, דהא היא טריפה.</w:t>
      </w:r>
    </w:p>
    <w:p w14:paraId="3F432DEE" w14:textId="77777777" w:rsidR="003D504D" w:rsidRPr="007E4BC5" w:rsidRDefault="003D504D" w:rsidP="003D504D">
      <w:pPr>
        <w:pStyle w:val="a3"/>
        <w:rPr>
          <w:rtl/>
        </w:rPr>
      </w:pPr>
      <w:bookmarkStart w:id="25854" w:name="_Toc4618158"/>
      <w:bookmarkStart w:id="25855" w:name="_Toc4704739"/>
      <w:bookmarkStart w:id="25856" w:name="_Toc4761880"/>
      <w:bookmarkStart w:id="25857" w:name="_Toc4877588"/>
      <w:bookmarkStart w:id="25858" w:name="_Toc4877914"/>
      <w:bookmarkStart w:id="25859" w:name="_Toc4878058"/>
      <w:bookmarkStart w:id="25860" w:name="_Toc19392179"/>
      <w:bookmarkStart w:id="25861" w:name="_Toc19395676"/>
      <w:r>
        <w:rPr>
          <w:rFonts w:hint="cs"/>
          <w:rtl/>
        </w:rPr>
        <w:t>קושית הרשב"א אמאי בן ט' אינו מותר בשחיטת אמו דנשחטה כראוי והעובר אינו טריפה</w:t>
      </w:r>
      <w:bookmarkEnd w:id="25854"/>
      <w:bookmarkEnd w:id="25855"/>
      <w:bookmarkEnd w:id="25856"/>
      <w:bookmarkEnd w:id="25857"/>
      <w:bookmarkEnd w:id="25858"/>
      <w:bookmarkEnd w:id="25859"/>
      <w:bookmarkEnd w:id="25860"/>
      <w:bookmarkEnd w:id="25861"/>
    </w:p>
    <w:p w14:paraId="0F45CD32" w14:textId="77777777" w:rsidR="003D504D" w:rsidRDefault="003D504D" w:rsidP="00223668">
      <w:pPr>
        <w:pStyle w:val="a0"/>
        <w:rPr>
          <w:rtl/>
        </w:rPr>
      </w:pPr>
      <w:bookmarkStart w:id="25862" w:name="_Ref4358755"/>
      <w:r>
        <w:rPr>
          <w:rFonts w:hint="cs"/>
          <w:rtl/>
        </w:rPr>
        <w:t xml:space="preserve">אבל בבן ט' חי, הקשה </w:t>
      </w:r>
      <w:r w:rsidRPr="007E4BC5">
        <w:rPr>
          <w:rStyle w:val="af9"/>
          <w:rFonts w:hint="cs"/>
          <w:rtl/>
        </w:rPr>
        <w:t xml:space="preserve">הרשב"א בתוה"ב </w:t>
      </w:r>
      <w:r w:rsidRPr="00953B1C">
        <w:rPr>
          <w:rStyle w:val="af7"/>
          <w:rFonts w:eastAsia="Guttman Hodes" w:hint="cs"/>
          <w:rtl/>
        </w:rPr>
        <w:t>(ב"ב ש"ה דף ס. מדה"ס ד"ה השוחט)</w:t>
      </w:r>
      <w:r>
        <w:rPr>
          <w:rFonts w:hint="cs"/>
          <w:rtl/>
        </w:rPr>
        <w:t xml:space="preserve"> </w:t>
      </w:r>
      <w:r w:rsidRPr="007E4BC5">
        <w:rPr>
          <w:rStyle w:val="af9"/>
          <w:rFonts w:hint="cs"/>
          <w:rtl/>
        </w:rPr>
        <w:t>ובחי'</w:t>
      </w:r>
      <w:r>
        <w:rPr>
          <w:rFonts w:hint="cs"/>
          <w:rtl/>
        </w:rPr>
        <w:t xml:space="preserve"> </w:t>
      </w:r>
      <w:r w:rsidRPr="00953B1C">
        <w:rPr>
          <w:rStyle w:val="af7"/>
          <w:rFonts w:eastAsia="Guttman Hodes" w:hint="cs"/>
          <w:rtl/>
        </w:rPr>
        <w:t>(עד. ד"ה ומיהו)</w:t>
      </w:r>
      <w:r>
        <w:rPr>
          <w:rFonts w:hint="cs"/>
          <w:rtl/>
        </w:rPr>
        <w:t xml:space="preserve"> דאמאי אינו מותר בשחיטת אמו, דהרי שחיטת טריפה היא שחיטה ראויה, והפסול שלה הוא מדבר אחר, דהיא עצמה טריפה, וא"כ האם צריכה להאסר באכילה, אבל העובר שאינו טריפה צריך להיות מותר בשחיטת אמו, ועי' במה שביאר </w:t>
      </w:r>
      <w:r w:rsidRPr="00596DD3">
        <w:rPr>
          <w:rStyle w:val="af9"/>
          <w:rFonts w:hint="cs"/>
          <w:rtl/>
        </w:rPr>
        <w:t>השער"י</w:t>
      </w:r>
      <w:r>
        <w:rPr>
          <w:rFonts w:hint="cs"/>
          <w:rtl/>
        </w:rPr>
        <w:t xml:space="preserve"> </w:t>
      </w:r>
      <w:r w:rsidRPr="00953B1C">
        <w:rPr>
          <w:rStyle w:val="af7"/>
          <w:rFonts w:eastAsia="Guttman Hodes" w:hint="cs"/>
          <w:rtl/>
        </w:rPr>
        <w:t xml:space="preserve">(עי' אות </w:t>
      </w:r>
      <w:r w:rsidRPr="00953B1C">
        <w:rPr>
          <w:rStyle w:val="af7"/>
          <w:rFonts w:eastAsia="Guttman Hodes"/>
          <w:rtl/>
        </w:rPr>
        <w:fldChar w:fldCharType="begin"/>
      </w:r>
      <w:r w:rsidRPr="00953B1C">
        <w:rPr>
          <w:rStyle w:val="af7"/>
          <w:rFonts w:eastAsia="Guttman Hodes"/>
          <w:rtl/>
        </w:rPr>
        <w:instrText xml:space="preserve"> </w:instrText>
      </w:r>
      <w:r w:rsidRPr="00953B1C">
        <w:rPr>
          <w:rStyle w:val="af7"/>
          <w:rFonts w:eastAsia="Guttman Hodes" w:hint="cs"/>
        </w:rPr>
        <w:instrText>REF</w:instrText>
      </w:r>
      <w:r w:rsidRPr="00953B1C">
        <w:rPr>
          <w:rStyle w:val="af7"/>
          <w:rFonts w:eastAsia="Guttman Hodes" w:hint="cs"/>
          <w:rtl/>
        </w:rPr>
        <w:instrText xml:space="preserve"> _</w:instrText>
      </w:r>
      <w:r w:rsidRPr="00953B1C">
        <w:rPr>
          <w:rStyle w:val="af7"/>
          <w:rFonts w:eastAsia="Guttman Hodes" w:hint="cs"/>
        </w:rPr>
        <w:instrText>Ref4358936 \r \h</w:instrText>
      </w:r>
      <w:r w:rsidRPr="00953B1C">
        <w:rPr>
          <w:rStyle w:val="af7"/>
          <w:rFonts w:eastAsia="Guttman Hodes"/>
          <w:rtl/>
        </w:rPr>
        <w:instrText xml:space="preserve"> </w:instrText>
      </w:r>
      <w:r w:rsidRPr="00953B1C">
        <w:rPr>
          <w:rStyle w:val="af7"/>
          <w:rFonts w:eastAsia="Guttman Hodes"/>
          <w:rtl/>
        </w:rPr>
      </w:r>
      <w:r w:rsidRPr="00953B1C">
        <w:rPr>
          <w:rStyle w:val="af7"/>
          <w:rFonts w:eastAsia="Guttman Hodes"/>
          <w:rtl/>
        </w:rPr>
        <w:fldChar w:fldCharType="separate"/>
      </w:r>
      <w:r w:rsidR="00345400">
        <w:rPr>
          <w:rStyle w:val="af7"/>
          <w:rFonts w:eastAsia="Guttman Hodes"/>
          <w:cs/>
        </w:rPr>
        <w:t>‎</w:t>
      </w:r>
      <w:r w:rsidR="00345400">
        <w:rPr>
          <w:rStyle w:val="af7"/>
          <w:rFonts w:eastAsia="Guttman Hodes"/>
          <w:rtl/>
        </w:rPr>
        <w:t>עז)</w:t>
      </w:r>
      <w:r w:rsidRPr="00953B1C">
        <w:rPr>
          <w:rStyle w:val="af7"/>
          <w:rFonts w:eastAsia="Guttman Hodes"/>
          <w:rtl/>
        </w:rPr>
        <w:fldChar w:fldCharType="end"/>
      </w:r>
      <w:r>
        <w:rPr>
          <w:rFonts w:hint="cs"/>
          <w:rtl/>
        </w:rPr>
        <w:t>.</w:t>
      </w:r>
      <w:bookmarkEnd w:id="25862"/>
    </w:p>
    <w:p w14:paraId="03DDA074" w14:textId="77777777" w:rsidR="003D504D" w:rsidRPr="00775B8E" w:rsidRDefault="003D504D" w:rsidP="003D504D">
      <w:pPr>
        <w:pStyle w:val="a3"/>
        <w:rPr>
          <w:rtl/>
        </w:rPr>
      </w:pPr>
      <w:bookmarkStart w:id="25863" w:name="_Toc4618159"/>
      <w:bookmarkStart w:id="25864" w:name="_Toc4704740"/>
      <w:bookmarkStart w:id="25865" w:name="_Toc4761881"/>
      <w:bookmarkStart w:id="25866" w:name="_Toc4877589"/>
      <w:bookmarkStart w:id="25867" w:name="_Toc4877915"/>
      <w:bookmarkStart w:id="25868" w:name="_Toc4878059"/>
      <w:bookmarkStart w:id="25869" w:name="_Toc19392180"/>
      <w:bookmarkStart w:id="25870" w:name="_Toc19395677"/>
      <w:r w:rsidRPr="00775B8E">
        <w:rPr>
          <w:rFonts w:hint="cs"/>
          <w:rtl/>
        </w:rPr>
        <w:t xml:space="preserve">דברי הרשב"א </w:t>
      </w:r>
      <w:r>
        <w:rPr>
          <w:rFonts w:hint="cs"/>
          <w:rtl/>
        </w:rPr>
        <w:t>דמוכח בדברי רבנן דשחיטת האם מהני לעובר יותר מלעצמה ואמאי אינה מתירתו</w:t>
      </w:r>
      <w:bookmarkEnd w:id="25863"/>
      <w:bookmarkEnd w:id="25864"/>
      <w:bookmarkEnd w:id="25865"/>
      <w:bookmarkEnd w:id="25866"/>
      <w:bookmarkEnd w:id="25867"/>
      <w:bookmarkEnd w:id="25868"/>
      <w:bookmarkEnd w:id="25869"/>
      <w:bookmarkEnd w:id="25870"/>
    </w:p>
    <w:p w14:paraId="686138D6" w14:textId="77777777" w:rsidR="003D504D" w:rsidRDefault="003D504D" w:rsidP="00223668">
      <w:pPr>
        <w:pStyle w:val="a0"/>
        <w:rPr>
          <w:rtl/>
        </w:rPr>
      </w:pPr>
      <w:r>
        <w:rPr>
          <w:rFonts w:hint="cs"/>
          <w:rtl/>
        </w:rPr>
        <w:t xml:space="preserve">וכתב </w:t>
      </w:r>
      <w:r w:rsidRPr="0071053E">
        <w:rPr>
          <w:rStyle w:val="af9"/>
          <w:rFonts w:hint="cs"/>
          <w:rtl/>
        </w:rPr>
        <w:t xml:space="preserve">הרשב"א בתוה"ב </w:t>
      </w:r>
      <w:r>
        <w:rPr>
          <w:rFonts w:hint="cs"/>
          <w:rtl/>
        </w:rPr>
        <w:t xml:space="preserve">דא"א לומר דסימני האם אינם יכולים להתיר בעובר, יותר ממה שהם מתירים באם עצמה, דהא תני בברייתא לעיל </w:t>
      </w:r>
      <w:r w:rsidRPr="0071053E">
        <w:rPr>
          <w:rStyle w:val="af7"/>
          <w:rFonts w:eastAsia="Guttman Hodes" w:hint="cs"/>
          <w:rtl/>
        </w:rPr>
        <w:t>(עג.)</w:t>
      </w:r>
      <w:r>
        <w:rPr>
          <w:rFonts w:hint="cs"/>
          <w:rtl/>
        </w:rPr>
        <w:t xml:space="preserve"> דאמר ר"מ לרבנן דכמו דשחיטת טריפה מטהרת את עצמה ואת האבר המדולדל בה מטומאת נבילה, שהוא דבר שבגופה, ודאי דהיא מטהרת את העובר מטומאת נבילה, ואמרו לו חכמים דיותר מצילה על דבר שאינו מגופה מאשר על דבר שמגופה, כדתנן לעיל </w:t>
      </w:r>
      <w:r w:rsidRPr="0071053E">
        <w:rPr>
          <w:rStyle w:val="af7"/>
          <w:rFonts w:eastAsia="Guttman Hodes" w:hint="cs"/>
          <w:rtl/>
        </w:rPr>
        <w:t>(סח.)</w:t>
      </w:r>
      <w:r>
        <w:rPr>
          <w:rFonts w:hint="cs"/>
          <w:rtl/>
        </w:rPr>
        <w:t xml:space="preserve"> דחותך מעובר שבמעיה מותר בשחיטת האם, ובחותך מהטחול והכליות של הבהמה עצמה אסור באכילה, וכתב </w:t>
      </w:r>
      <w:r w:rsidRPr="0071053E">
        <w:rPr>
          <w:rStyle w:val="af9"/>
          <w:rFonts w:hint="cs"/>
          <w:rtl/>
        </w:rPr>
        <w:t xml:space="preserve">הרשב"א בתוה"ב </w:t>
      </w:r>
      <w:r>
        <w:rPr>
          <w:rFonts w:hint="cs"/>
          <w:rtl/>
        </w:rPr>
        <w:t>דא"כ מוכח דסימני האם מועילים בעובר, יותר ממה שמועילים באם עצמה.</w:t>
      </w:r>
    </w:p>
    <w:p w14:paraId="74CE5A82" w14:textId="77777777" w:rsidR="003D504D" w:rsidRDefault="003D504D" w:rsidP="00BF39B2">
      <w:pPr>
        <w:pStyle w:val="1"/>
        <w:rPr>
          <w:rtl/>
        </w:rPr>
      </w:pPr>
      <w:bookmarkStart w:id="25871" w:name="_Toc4618160"/>
      <w:bookmarkStart w:id="25872" w:name="_Toc4704741"/>
      <w:bookmarkStart w:id="25873" w:name="_Toc4761882"/>
      <w:bookmarkStart w:id="25874" w:name="_Toc4877590"/>
      <w:bookmarkStart w:id="25875" w:name="_Toc4877916"/>
      <w:bookmarkStart w:id="25876" w:name="_Toc4878060"/>
      <w:bookmarkStart w:id="25877" w:name="_Toc19392181"/>
      <w:bookmarkStart w:id="25878" w:name="_Toc19395678"/>
      <w:r>
        <w:rPr>
          <w:rFonts w:hint="cs"/>
          <w:rtl/>
        </w:rPr>
        <w:t>ביאור הרשב"א</w:t>
      </w:r>
      <w:bookmarkEnd w:id="25871"/>
      <w:r>
        <w:rPr>
          <w:rFonts w:hint="cs"/>
          <w:rtl/>
        </w:rPr>
        <w:t xml:space="preserve"> דהשחיטה מהני לעובר רק במה שמהני לאם</w:t>
      </w:r>
      <w:bookmarkEnd w:id="25872"/>
      <w:bookmarkEnd w:id="25873"/>
      <w:bookmarkEnd w:id="25874"/>
      <w:bookmarkEnd w:id="25875"/>
      <w:bookmarkEnd w:id="25876"/>
      <w:bookmarkEnd w:id="25877"/>
      <w:bookmarkEnd w:id="25878"/>
    </w:p>
    <w:p w14:paraId="2B73153B" w14:textId="77777777" w:rsidR="003D504D" w:rsidRPr="00953B1C" w:rsidRDefault="003D504D" w:rsidP="003D504D">
      <w:pPr>
        <w:pStyle w:val="a3"/>
        <w:rPr>
          <w:rtl/>
        </w:rPr>
      </w:pPr>
      <w:bookmarkStart w:id="25879" w:name="_Toc4618161"/>
      <w:bookmarkStart w:id="25880" w:name="_Toc4704742"/>
      <w:bookmarkStart w:id="25881" w:name="_Toc4761883"/>
      <w:bookmarkStart w:id="25882" w:name="_Toc4877591"/>
      <w:bookmarkStart w:id="25883" w:name="_Toc4877917"/>
      <w:bookmarkStart w:id="25884" w:name="_Toc4878061"/>
      <w:bookmarkStart w:id="25885" w:name="_Toc19392182"/>
      <w:bookmarkStart w:id="25886" w:name="_Toc19395679"/>
      <w:r>
        <w:rPr>
          <w:rFonts w:hint="cs"/>
          <w:rtl/>
        </w:rPr>
        <w:t>תירוץ הרשב"א דסימני האם מהני לולד רק כשמהני לעצמה ואילו לאכילה לא מהני לעצמה</w:t>
      </w:r>
      <w:bookmarkEnd w:id="25879"/>
      <w:bookmarkEnd w:id="25880"/>
      <w:bookmarkEnd w:id="25881"/>
      <w:bookmarkEnd w:id="25882"/>
      <w:bookmarkEnd w:id="25883"/>
      <w:bookmarkEnd w:id="25884"/>
      <w:bookmarkEnd w:id="25885"/>
      <w:bookmarkEnd w:id="25886"/>
    </w:p>
    <w:p w14:paraId="79023067" w14:textId="77777777" w:rsidR="003D504D" w:rsidRDefault="003D504D" w:rsidP="00223668">
      <w:pPr>
        <w:pStyle w:val="a0"/>
        <w:rPr>
          <w:rtl/>
        </w:rPr>
      </w:pPr>
      <w:bookmarkStart w:id="25887" w:name="_Ref4358766"/>
      <w:r>
        <w:rPr>
          <w:rFonts w:hint="cs"/>
          <w:rtl/>
        </w:rPr>
        <w:t xml:space="preserve">ותירץ </w:t>
      </w:r>
      <w:r w:rsidRPr="00386FA7">
        <w:rPr>
          <w:rStyle w:val="af9"/>
          <w:rFonts w:hint="cs"/>
          <w:rtl/>
        </w:rPr>
        <w:t xml:space="preserve">הרשב"א </w:t>
      </w:r>
      <w:r w:rsidRPr="007E4BC5">
        <w:rPr>
          <w:rStyle w:val="af9"/>
          <w:rFonts w:hint="cs"/>
          <w:rtl/>
        </w:rPr>
        <w:t xml:space="preserve">בתוה"ב </w:t>
      </w:r>
      <w:r w:rsidRPr="00953B1C">
        <w:rPr>
          <w:rStyle w:val="af7"/>
          <w:rFonts w:eastAsia="Guttman Hodes" w:hint="cs"/>
          <w:rtl/>
        </w:rPr>
        <w:t>(ב"ב ש"ה דף ס. מדה"ס ד"ה השוחט)</w:t>
      </w:r>
      <w:r>
        <w:rPr>
          <w:rFonts w:hint="cs"/>
          <w:rtl/>
        </w:rPr>
        <w:t xml:space="preserve"> </w:t>
      </w:r>
      <w:r w:rsidRPr="007E4BC5">
        <w:rPr>
          <w:rStyle w:val="af9"/>
          <w:rFonts w:hint="cs"/>
          <w:rtl/>
        </w:rPr>
        <w:t>ובחי'</w:t>
      </w:r>
      <w:r>
        <w:rPr>
          <w:rFonts w:hint="cs"/>
          <w:rtl/>
        </w:rPr>
        <w:t xml:space="preserve"> </w:t>
      </w:r>
      <w:r w:rsidRPr="00953B1C">
        <w:rPr>
          <w:rStyle w:val="af7"/>
          <w:rFonts w:eastAsia="Guttman Hodes" w:hint="cs"/>
          <w:rtl/>
        </w:rPr>
        <w:t>(עד. ד"ה ומיהו)</w:t>
      </w:r>
      <w:r>
        <w:rPr>
          <w:rFonts w:hint="cs"/>
          <w:rtl/>
        </w:rPr>
        <w:t xml:space="preserve"> דדוקא במקום שסימני האם מועילים לעצמה, לכל הבהמה או למקצתה, יש בהם כח להועיל לעובר שבמעיה, אבל במקום שאינם מועילים לאם עצמה כלל, אינם מועילים לעובר שבמעיה, ולכן בטריפה שאינם מתירים אותה באכילה, אף העובר אינו מותר בשחיטת אמו,</w:t>
      </w:r>
      <w:r w:rsidRPr="00B14F7F">
        <w:rPr>
          <w:rFonts w:hint="cs"/>
          <w:rtl/>
        </w:rPr>
        <w:t xml:space="preserve"> </w:t>
      </w:r>
      <w:r>
        <w:rPr>
          <w:rFonts w:hint="cs"/>
          <w:rtl/>
        </w:rPr>
        <w:t xml:space="preserve">וכתב </w:t>
      </w:r>
      <w:r w:rsidRPr="00B14F7F">
        <w:rPr>
          <w:rStyle w:val="af9"/>
          <w:rFonts w:hint="cs"/>
          <w:rtl/>
        </w:rPr>
        <w:t>הפרמ"ג</w:t>
      </w:r>
      <w:r>
        <w:rPr>
          <w:rFonts w:hint="cs"/>
          <w:rtl/>
        </w:rPr>
        <w:t xml:space="preserve"> </w:t>
      </w:r>
      <w:r w:rsidRPr="00B14F7F">
        <w:rPr>
          <w:rStyle w:val="af7"/>
          <w:rFonts w:eastAsia="Guttman Hodes" w:hint="cs"/>
          <w:rtl/>
        </w:rPr>
        <w:t xml:space="preserve">(סי' י"ג שפ"ד סק"ח) </w:t>
      </w:r>
      <w:r>
        <w:rPr>
          <w:rFonts w:hint="cs"/>
          <w:rtl/>
        </w:rPr>
        <w:t xml:space="preserve">דדברי </w:t>
      </w:r>
      <w:r w:rsidRPr="00B14F7F">
        <w:rPr>
          <w:rStyle w:val="af9"/>
          <w:rFonts w:hint="cs"/>
          <w:rtl/>
        </w:rPr>
        <w:t>הרשב"א</w:t>
      </w:r>
      <w:r>
        <w:rPr>
          <w:rFonts w:hint="cs"/>
          <w:rtl/>
        </w:rPr>
        <w:t xml:space="preserve"> קצת צ"ב, ועי' בדברי </w:t>
      </w:r>
      <w:r w:rsidRPr="00596DD3">
        <w:rPr>
          <w:rStyle w:val="af9"/>
          <w:rFonts w:hint="cs"/>
          <w:rtl/>
        </w:rPr>
        <w:t>השער"י</w:t>
      </w:r>
      <w:r>
        <w:rPr>
          <w:rFonts w:hint="cs"/>
          <w:rtl/>
        </w:rPr>
        <w:t xml:space="preserve"> </w:t>
      </w:r>
      <w:r w:rsidRPr="00596DD3">
        <w:rPr>
          <w:rStyle w:val="af7"/>
          <w:rFonts w:eastAsia="Guttman Hodes" w:hint="cs"/>
          <w:rtl/>
        </w:rPr>
        <w:t xml:space="preserve">(עי' אות </w:t>
      </w:r>
      <w:r w:rsidRPr="00596DD3">
        <w:rPr>
          <w:rStyle w:val="af7"/>
          <w:rFonts w:eastAsia="Guttman Hodes"/>
          <w:rtl/>
        </w:rPr>
        <w:fldChar w:fldCharType="begin"/>
      </w:r>
      <w:r w:rsidRPr="00596DD3">
        <w:rPr>
          <w:rStyle w:val="af7"/>
          <w:rFonts w:eastAsia="Guttman Hodes"/>
          <w:rtl/>
        </w:rPr>
        <w:instrText xml:space="preserve"> </w:instrText>
      </w:r>
      <w:r w:rsidRPr="00596DD3">
        <w:rPr>
          <w:rStyle w:val="af7"/>
          <w:rFonts w:eastAsia="Guttman Hodes" w:hint="cs"/>
        </w:rPr>
        <w:instrText>REF</w:instrText>
      </w:r>
      <w:r w:rsidRPr="00596DD3">
        <w:rPr>
          <w:rStyle w:val="af7"/>
          <w:rFonts w:eastAsia="Guttman Hodes" w:hint="cs"/>
          <w:rtl/>
        </w:rPr>
        <w:instrText xml:space="preserve"> _</w:instrText>
      </w:r>
      <w:r w:rsidRPr="00596DD3">
        <w:rPr>
          <w:rStyle w:val="af7"/>
          <w:rFonts w:eastAsia="Guttman Hodes" w:hint="cs"/>
        </w:rPr>
        <w:instrText>Ref4358967 \r \h</w:instrText>
      </w:r>
      <w:r w:rsidRPr="00596DD3">
        <w:rPr>
          <w:rStyle w:val="af7"/>
          <w:rFonts w:eastAsia="Guttman Hodes"/>
          <w:rtl/>
        </w:rPr>
        <w:instrText xml:space="preserve"> </w:instrText>
      </w:r>
      <w:r w:rsidRPr="00596DD3">
        <w:rPr>
          <w:rStyle w:val="af7"/>
          <w:rFonts w:eastAsia="Guttman Hodes"/>
          <w:rtl/>
        </w:rPr>
      </w:r>
      <w:r w:rsidRPr="00596DD3">
        <w:rPr>
          <w:rStyle w:val="af7"/>
          <w:rFonts w:eastAsia="Guttman Hodes"/>
          <w:rtl/>
        </w:rPr>
        <w:fldChar w:fldCharType="separate"/>
      </w:r>
      <w:r w:rsidR="00345400">
        <w:rPr>
          <w:rStyle w:val="af7"/>
          <w:rFonts w:eastAsia="Guttman Hodes"/>
          <w:cs/>
        </w:rPr>
        <w:t>‎</w:t>
      </w:r>
      <w:r w:rsidR="00345400">
        <w:rPr>
          <w:rStyle w:val="af7"/>
          <w:rFonts w:eastAsia="Guttman Hodes"/>
          <w:rtl/>
        </w:rPr>
        <w:t>עח)</w:t>
      </w:r>
      <w:r w:rsidRPr="00596DD3">
        <w:rPr>
          <w:rStyle w:val="af7"/>
          <w:rFonts w:eastAsia="Guttman Hodes"/>
          <w:rtl/>
        </w:rPr>
        <w:fldChar w:fldCharType="end"/>
      </w:r>
      <w:r>
        <w:rPr>
          <w:rFonts w:hint="cs"/>
          <w:rtl/>
        </w:rPr>
        <w:t>.</w:t>
      </w:r>
    </w:p>
    <w:p w14:paraId="6407D38E" w14:textId="77777777" w:rsidR="003D504D" w:rsidRPr="00953B1C" w:rsidRDefault="003D504D" w:rsidP="003D504D">
      <w:pPr>
        <w:pStyle w:val="a3"/>
      </w:pPr>
      <w:bookmarkStart w:id="25888" w:name="_Toc4618162"/>
      <w:bookmarkStart w:id="25889" w:name="_Toc4704743"/>
      <w:bookmarkStart w:id="25890" w:name="_Toc4761884"/>
      <w:bookmarkStart w:id="25891" w:name="_Toc4877592"/>
      <w:bookmarkStart w:id="25892" w:name="_Toc4877918"/>
      <w:bookmarkStart w:id="25893" w:name="_Toc4878062"/>
      <w:bookmarkStart w:id="25894" w:name="_Toc19392183"/>
      <w:bookmarkStart w:id="25895" w:name="_Toc19395680"/>
      <w:r>
        <w:rPr>
          <w:rFonts w:hint="cs"/>
          <w:rtl/>
        </w:rPr>
        <w:t>דברי הרשב"א דהעובר אינו עדיף מהבהמה אלא כגופה ממש וכל שמותר בה מותר בו</w:t>
      </w:r>
      <w:bookmarkEnd w:id="25888"/>
      <w:bookmarkEnd w:id="25889"/>
      <w:bookmarkEnd w:id="25890"/>
      <w:bookmarkEnd w:id="25891"/>
      <w:bookmarkEnd w:id="25892"/>
      <w:bookmarkEnd w:id="25893"/>
      <w:bookmarkEnd w:id="25894"/>
      <w:bookmarkEnd w:id="25895"/>
    </w:p>
    <w:p w14:paraId="1B4BDD68" w14:textId="77777777" w:rsidR="003D504D" w:rsidRDefault="003D504D" w:rsidP="00223668">
      <w:pPr>
        <w:pStyle w:val="a0"/>
        <w:rPr>
          <w:rtl/>
        </w:rPr>
      </w:pPr>
      <w:r>
        <w:rPr>
          <w:rFonts w:hint="cs"/>
          <w:rtl/>
        </w:rPr>
        <w:t xml:space="preserve">והוסיף </w:t>
      </w:r>
      <w:r w:rsidRPr="00A055AE">
        <w:rPr>
          <w:rStyle w:val="af9"/>
          <w:rFonts w:hint="cs"/>
          <w:rtl/>
        </w:rPr>
        <w:t>הרשב"א בחי'</w:t>
      </w:r>
      <w:r>
        <w:rPr>
          <w:rFonts w:hint="cs"/>
          <w:rtl/>
        </w:rPr>
        <w:t xml:space="preserve"> דהעובר אינו עדיף מגוף הבהמה, אלא הוא כגופה ממש, ושחיטתה מהני לו כמו דמהני לה עצמה, בין להתירו באכילה כשהיא מותרת, ובין לטהרו מטומאת נבילה, ולכן אינה מועילה לו להתירה כשאמו אינה מותרת.</w:t>
      </w:r>
      <w:bookmarkEnd w:id="25887"/>
    </w:p>
    <w:p w14:paraId="4879AB0F" w14:textId="77777777" w:rsidR="003D504D" w:rsidRDefault="003D504D" w:rsidP="003D504D">
      <w:pPr>
        <w:pStyle w:val="a3"/>
        <w:rPr>
          <w:rtl/>
        </w:rPr>
      </w:pPr>
      <w:bookmarkStart w:id="25896" w:name="_Toc4618163"/>
      <w:bookmarkStart w:id="25897" w:name="_Toc4704744"/>
      <w:bookmarkStart w:id="25898" w:name="_Toc4761885"/>
      <w:bookmarkStart w:id="25899" w:name="_Toc4877593"/>
      <w:bookmarkStart w:id="25900" w:name="_Toc4877919"/>
      <w:bookmarkStart w:id="25901" w:name="_Toc4878063"/>
      <w:bookmarkStart w:id="25902" w:name="_Toc19392184"/>
      <w:bookmarkStart w:id="25903" w:name="_Toc19395681"/>
      <w:r>
        <w:rPr>
          <w:rFonts w:hint="cs"/>
          <w:rtl/>
        </w:rPr>
        <w:t>דברי הרשב"א דרק שחיטה ראויה של האם מהני לולד ובטריפה שלא הועילה לאם הולד אסור</w:t>
      </w:r>
      <w:bookmarkEnd w:id="25896"/>
      <w:bookmarkEnd w:id="25897"/>
      <w:bookmarkEnd w:id="25898"/>
      <w:bookmarkEnd w:id="25899"/>
      <w:bookmarkEnd w:id="25900"/>
      <w:bookmarkEnd w:id="25901"/>
      <w:bookmarkEnd w:id="25902"/>
      <w:bookmarkEnd w:id="25903"/>
    </w:p>
    <w:p w14:paraId="7EA434D7" w14:textId="77777777" w:rsidR="003D504D" w:rsidRDefault="003D504D" w:rsidP="00223668">
      <w:pPr>
        <w:pStyle w:val="a0"/>
      </w:pPr>
      <w:r w:rsidRPr="00610F88">
        <w:rPr>
          <w:rStyle w:val="af9"/>
          <w:rFonts w:hint="cs"/>
          <w:rtl/>
        </w:rPr>
        <w:t>והרשב"א בתוה"ב הקצר</w:t>
      </w:r>
      <w:r>
        <w:rPr>
          <w:rFonts w:hint="cs"/>
          <w:rtl/>
        </w:rPr>
        <w:t xml:space="preserve"> </w:t>
      </w:r>
      <w:r w:rsidRPr="00422C07">
        <w:rPr>
          <w:rStyle w:val="af7"/>
          <w:rFonts w:eastAsia="Guttman Hodes" w:hint="cs"/>
          <w:rtl/>
        </w:rPr>
        <w:t xml:space="preserve">(ב"ב ש"ה דף </w:t>
      </w:r>
      <w:r>
        <w:rPr>
          <w:rStyle w:val="af7"/>
          <w:rFonts w:eastAsia="Guttman Hodes" w:hint="cs"/>
          <w:rtl/>
        </w:rPr>
        <w:t>נט</w:t>
      </w:r>
      <w:r w:rsidRPr="00422C07">
        <w:rPr>
          <w:rStyle w:val="af7"/>
          <w:rFonts w:eastAsia="Guttman Hodes" w:hint="cs"/>
          <w:rtl/>
        </w:rPr>
        <w:t>. מדה"ס)</w:t>
      </w:r>
      <w:r>
        <w:rPr>
          <w:rFonts w:hint="cs"/>
          <w:rtl/>
        </w:rPr>
        <w:t xml:space="preserve"> הוסיף לבאר דכל ההיתר דשחיטת ולד במעי אמו, הוא כשנשחטה האם שחיטה ראויה, אבל בשוחט ונתנבלה בידו, וכן אף כששחט כראוי ונמצאת הבהמה טריפה, אין הולד מותר בשחיטת האם, כיון שכל שחיטה שלא הועילה להתיר את האם, אינה מועילה להתיר את הולד.</w:t>
      </w:r>
    </w:p>
    <w:p w14:paraId="7C8C0680" w14:textId="77777777" w:rsidR="003D504D" w:rsidRPr="00D2336A" w:rsidRDefault="003D504D" w:rsidP="003D504D">
      <w:pPr>
        <w:pStyle w:val="a3"/>
      </w:pPr>
      <w:bookmarkStart w:id="25904" w:name="_Toc4618164"/>
      <w:bookmarkStart w:id="25905" w:name="_Toc4704745"/>
      <w:bookmarkStart w:id="25906" w:name="_Toc4761886"/>
      <w:bookmarkStart w:id="25907" w:name="_Toc4877594"/>
      <w:bookmarkStart w:id="25908" w:name="_Toc4877920"/>
      <w:bookmarkStart w:id="25909" w:name="_Toc4878064"/>
      <w:bookmarkStart w:id="25910" w:name="_Toc19392185"/>
      <w:bookmarkStart w:id="25911" w:name="_Toc19395682"/>
      <w:r>
        <w:rPr>
          <w:rFonts w:hint="cs"/>
          <w:rtl/>
        </w:rPr>
        <w:t>דברי הרשב"א דבגמ' לקמן מוכח דשחיטה שאינה ראויה לאם לא מהני לולד</w:t>
      </w:r>
      <w:bookmarkEnd w:id="25904"/>
      <w:bookmarkEnd w:id="25905"/>
      <w:bookmarkEnd w:id="25906"/>
      <w:bookmarkEnd w:id="25907"/>
      <w:bookmarkEnd w:id="25908"/>
      <w:bookmarkEnd w:id="25909"/>
      <w:bookmarkEnd w:id="25910"/>
      <w:bookmarkEnd w:id="25911"/>
      <w:r>
        <w:rPr>
          <w:rFonts w:hint="cs"/>
          <w:rtl/>
        </w:rPr>
        <w:t xml:space="preserve"> </w:t>
      </w:r>
    </w:p>
    <w:p w14:paraId="22E25A02" w14:textId="77777777" w:rsidR="003D504D" w:rsidRDefault="003D504D" w:rsidP="00223668">
      <w:pPr>
        <w:pStyle w:val="a0"/>
        <w:rPr>
          <w:rStyle w:val="afb"/>
          <w:rtl/>
        </w:rPr>
      </w:pPr>
      <w:r>
        <w:rPr>
          <w:rFonts w:hint="cs"/>
          <w:rtl/>
        </w:rPr>
        <w:t xml:space="preserve">וכתב </w:t>
      </w:r>
      <w:r w:rsidRPr="00386FA7">
        <w:rPr>
          <w:rStyle w:val="af9"/>
          <w:rFonts w:hint="cs"/>
          <w:rtl/>
        </w:rPr>
        <w:t>הרשב"א בתוה"ב</w:t>
      </w:r>
      <w:r>
        <w:rPr>
          <w:rStyle w:val="af9"/>
          <w:rFonts w:hint="cs"/>
          <w:rtl/>
        </w:rPr>
        <w:t xml:space="preserve"> </w:t>
      </w:r>
      <w:r w:rsidRPr="00422C07">
        <w:rPr>
          <w:rStyle w:val="af7"/>
          <w:rFonts w:eastAsia="Guttman Hodes" w:hint="cs"/>
          <w:rtl/>
        </w:rPr>
        <w:t>(ב"ב ש"ה דף ס. מדה"ס ד"ה השוחט)</w:t>
      </w:r>
      <w:r>
        <w:rPr>
          <w:rFonts w:hint="cs"/>
          <w:rtl/>
        </w:rPr>
        <w:t xml:space="preserve"> </w:t>
      </w:r>
      <w:r w:rsidRPr="00386FA7">
        <w:rPr>
          <w:rStyle w:val="af9"/>
          <w:rFonts w:hint="cs"/>
          <w:rtl/>
        </w:rPr>
        <w:t>ובחי'</w:t>
      </w:r>
      <w:r>
        <w:rPr>
          <w:rFonts w:hint="cs"/>
          <w:rtl/>
        </w:rPr>
        <w:t xml:space="preserve"> </w:t>
      </w:r>
      <w:r w:rsidRPr="0011410C">
        <w:rPr>
          <w:rStyle w:val="af7"/>
          <w:rFonts w:eastAsia="Guttman Hodes" w:hint="cs"/>
          <w:rtl/>
        </w:rPr>
        <w:t>(עד. ד"ה ומיהו)</w:t>
      </w:r>
      <w:r>
        <w:rPr>
          <w:rFonts w:hint="cs"/>
          <w:rtl/>
        </w:rPr>
        <w:t xml:space="preserve"> דכן מבואר בגמ' לקמן </w:t>
      </w:r>
      <w:r w:rsidRPr="0096138F">
        <w:rPr>
          <w:rStyle w:val="af7"/>
          <w:rFonts w:eastAsia="Guttman Hodes" w:hint="cs"/>
          <w:rtl/>
        </w:rPr>
        <w:t xml:space="preserve">(פה:) </w:t>
      </w:r>
      <w:r>
        <w:rPr>
          <w:rFonts w:hint="cs"/>
          <w:rtl/>
        </w:rPr>
        <w:t xml:space="preserve">דשחיטת טריפה אינה מועילה לעובר, כיון שאינה מועילה לעצמה, דאיתא התם דאף דס"ל לר"מ דשחיטה שאינה ראויה שמה שחיטה, מ"מ מודה ר"מ דהשוחט טריפה דלא שמה שחיטה, והעמידה הגמ' דאיירי בשחט טריפה ונמצא בה בן ט' חי, דהו"א דכיון דס"ל לר"מ דשחיטה שאינה ראויה שמה שחיטה, דתועיל לו שחיטת אמו, וקמ"ל דמודה ר"מ דשחיטת הטריפה אינה שחיטה, והעובר אסור. </w:t>
      </w:r>
      <w:r w:rsidRPr="0096138F">
        <w:rPr>
          <w:rStyle w:val="afb"/>
          <w:rFonts w:hint="cs"/>
          <w:rtl/>
        </w:rPr>
        <w:t xml:space="preserve">[והיינו דמבואר בגמ' לקמן דבמקום שסימני האם אינם מועילים לעצמה, </w:t>
      </w:r>
      <w:r>
        <w:rPr>
          <w:rStyle w:val="afb"/>
          <w:rFonts w:hint="cs"/>
          <w:rtl/>
        </w:rPr>
        <w:t xml:space="preserve">דמודה ר"מ דהיא שחיטה שאינה ראויה </w:t>
      </w:r>
      <w:r w:rsidRPr="0096138F">
        <w:rPr>
          <w:rStyle w:val="afb"/>
          <w:rFonts w:hint="cs"/>
          <w:rtl/>
        </w:rPr>
        <w:t>אינם מועילים אף לעובר].</w:t>
      </w:r>
    </w:p>
    <w:p w14:paraId="60A3BBCB" w14:textId="77777777" w:rsidR="003D504D" w:rsidRDefault="003D504D" w:rsidP="003D504D">
      <w:pPr>
        <w:pStyle w:val="a3"/>
        <w:rPr>
          <w:rtl/>
        </w:rPr>
      </w:pPr>
      <w:bookmarkStart w:id="25912" w:name="_Toc4618165"/>
      <w:bookmarkStart w:id="25913" w:name="_Toc4704746"/>
      <w:bookmarkStart w:id="25914" w:name="_Toc4761887"/>
      <w:bookmarkStart w:id="25915" w:name="_Toc4877595"/>
      <w:bookmarkStart w:id="25916" w:name="_Toc4877921"/>
      <w:bookmarkStart w:id="25917" w:name="_Toc4878065"/>
      <w:bookmarkStart w:id="25918" w:name="_Toc19392186"/>
      <w:bookmarkStart w:id="25919" w:name="_Toc19395683"/>
      <w:r>
        <w:rPr>
          <w:rFonts w:hint="cs"/>
          <w:rtl/>
        </w:rPr>
        <w:t>דברי הרשב"א דברב חסדא מוכח דהשחיטה מהני לחצאין להתיר מנבילה ולא להתיר באכילה</w:t>
      </w:r>
      <w:bookmarkEnd w:id="25912"/>
      <w:bookmarkEnd w:id="25913"/>
      <w:bookmarkEnd w:id="25914"/>
      <w:bookmarkEnd w:id="25915"/>
      <w:bookmarkEnd w:id="25916"/>
      <w:bookmarkEnd w:id="25917"/>
      <w:bookmarkEnd w:id="25918"/>
      <w:bookmarkEnd w:id="25919"/>
    </w:p>
    <w:p w14:paraId="04683603" w14:textId="77777777" w:rsidR="003D504D" w:rsidRDefault="003D504D" w:rsidP="00223668">
      <w:pPr>
        <w:pStyle w:val="a0"/>
        <w:rPr>
          <w:rtl/>
        </w:rPr>
      </w:pPr>
      <w:bookmarkStart w:id="25920" w:name="_Ref4514990"/>
      <w:r>
        <w:rPr>
          <w:rFonts w:hint="cs"/>
          <w:rtl/>
        </w:rPr>
        <w:t xml:space="preserve">והוסיף </w:t>
      </w:r>
      <w:r w:rsidRPr="008C11EE">
        <w:rPr>
          <w:rStyle w:val="af9"/>
          <w:rFonts w:hint="cs"/>
          <w:rtl/>
        </w:rPr>
        <w:t>הרשב"א בתוה"ב</w:t>
      </w:r>
      <w:r>
        <w:rPr>
          <w:rStyle w:val="af9"/>
          <w:rFonts w:hint="cs"/>
          <w:rtl/>
        </w:rPr>
        <w:t xml:space="preserve"> </w:t>
      </w:r>
      <w:r>
        <w:rPr>
          <w:rFonts w:hint="cs"/>
          <w:rtl/>
        </w:rPr>
        <w:t xml:space="preserve">דיותר מזה מבואר בדברי רב חסדא דשחיטת האם הטריפה מהני לעובר לחצאין, דאמר רב חסדא דשחיטת הטריפה מטהרת את העובר מטומאת נבילה, דד' סימנים אכשר ביה רחמנא, וכתב </w:t>
      </w:r>
      <w:r w:rsidRPr="008C11EE">
        <w:rPr>
          <w:rStyle w:val="af9"/>
          <w:rFonts w:hint="cs"/>
          <w:rtl/>
        </w:rPr>
        <w:t>הרשב"א בתוה"ב</w:t>
      </w:r>
      <w:r>
        <w:rPr>
          <w:rFonts w:hint="cs"/>
          <w:rtl/>
        </w:rPr>
        <w:t xml:space="preserve"> דמבואר דאף דלענין אכילה סימני האם אינם מועילים להתיר את העובר באכילה, כמו שאינם מתירים את הבהמה עצמה באכילה, וטעון העובר שחיטה להתירו באכילה, מ"מ </w:t>
      </w:r>
      <w:r w:rsidRPr="00D37259">
        <w:rPr>
          <w:rFonts w:hint="cs"/>
          <w:rtl/>
        </w:rPr>
        <w:t>חשיבא שחיטת אמו כשחיטה, לענין נבילה דאם מת אינו מטמא, דסימני האם מועילים ל</w:t>
      </w:r>
      <w:r>
        <w:rPr>
          <w:rFonts w:hint="cs"/>
          <w:rtl/>
        </w:rPr>
        <w:t>עובר</w:t>
      </w:r>
      <w:r w:rsidRPr="00D37259">
        <w:rPr>
          <w:rFonts w:hint="cs"/>
          <w:rtl/>
        </w:rPr>
        <w:t xml:space="preserve"> להוציאו מידי נבילה, ועי' במה שביאר </w:t>
      </w:r>
      <w:r w:rsidRPr="00D37259">
        <w:rPr>
          <w:rStyle w:val="af9"/>
          <w:rFonts w:hint="cs"/>
          <w:rtl/>
        </w:rPr>
        <w:t>ה</w:t>
      </w:r>
      <w:r w:rsidRPr="008C11EE">
        <w:rPr>
          <w:rStyle w:val="af9"/>
          <w:rFonts w:hint="cs"/>
          <w:rtl/>
        </w:rPr>
        <w:t>שער"י</w:t>
      </w:r>
      <w:r>
        <w:rPr>
          <w:rFonts w:hint="cs"/>
          <w:rtl/>
        </w:rPr>
        <w:t xml:space="preserve"> </w:t>
      </w:r>
      <w:r w:rsidRPr="00F4297F">
        <w:rPr>
          <w:rStyle w:val="af7"/>
          <w:rFonts w:eastAsia="Guttman Hodes" w:hint="cs"/>
          <w:rtl/>
        </w:rPr>
        <w:t xml:space="preserve">(עי' אות </w:t>
      </w:r>
      <w:r w:rsidRPr="00F4297F">
        <w:rPr>
          <w:rStyle w:val="af7"/>
          <w:rFonts w:eastAsia="Guttman Hodes"/>
          <w:rtl/>
        </w:rPr>
        <w:fldChar w:fldCharType="begin"/>
      </w:r>
      <w:r w:rsidRPr="00F4297F">
        <w:rPr>
          <w:rStyle w:val="af7"/>
          <w:rFonts w:eastAsia="Guttman Hodes"/>
          <w:rtl/>
        </w:rPr>
        <w:instrText xml:space="preserve"> </w:instrText>
      </w:r>
      <w:r w:rsidRPr="00F4297F">
        <w:rPr>
          <w:rStyle w:val="af7"/>
          <w:rFonts w:eastAsia="Guttman Hodes" w:hint="cs"/>
        </w:rPr>
        <w:instrText>REF</w:instrText>
      </w:r>
      <w:r w:rsidRPr="00F4297F">
        <w:rPr>
          <w:rStyle w:val="af7"/>
          <w:rFonts w:eastAsia="Guttman Hodes" w:hint="cs"/>
          <w:rtl/>
        </w:rPr>
        <w:instrText xml:space="preserve"> _</w:instrText>
      </w:r>
      <w:r w:rsidRPr="00F4297F">
        <w:rPr>
          <w:rStyle w:val="af7"/>
          <w:rFonts w:eastAsia="Guttman Hodes" w:hint="cs"/>
        </w:rPr>
        <w:instrText>Ref4515004 \r \h</w:instrText>
      </w:r>
      <w:r w:rsidRPr="00F4297F">
        <w:rPr>
          <w:rStyle w:val="af7"/>
          <w:rFonts w:eastAsia="Guttman Hodes"/>
          <w:rtl/>
        </w:rPr>
        <w:instrText xml:space="preserve"> </w:instrText>
      </w:r>
      <w:r w:rsidRPr="00F4297F">
        <w:rPr>
          <w:rStyle w:val="af7"/>
          <w:rFonts w:eastAsia="Guttman Hodes"/>
          <w:rtl/>
        </w:rPr>
      </w:r>
      <w:r w:rsidRPr="00F4297F">
        <w:rPr>
          <w:rStyle w:val="af7"/>
          <w:rFonts w:eastAsia="Guttman Hodes"/>
          <w:rtl/>
        </w:rPr>
        <w:fldChar w:fldCharType="separate"/>
      </w:r>
      <w:r w:rsidR="00345400">
        <w:rPr>
          <w:rStyle w:val="af7"/>
          <w:rFonts w:eastAsia="Guttman Hodes"/>
          <w:cs/>
        </w:rPr>
        <w:t>‎</w:t>
      </w:r>
      <w:r w:rsidR="00345400">
        <w:rPr>
          <w:rStyle w:val="af7"/>
          <w:rFonts w:eastAsia="Guttman Hodes"/>
          <w:rtl/>
        </w:rPr>
        <w:t>פב)</w:t>
      </w:r>
      <w:r w:rsidRPr="00F4297F">
        <w:rPr>
          <w:rStyle w:val="af7"/>
          <w:rFonts w:eastAsia="Guttman Hodes"/>
          <w:rtl/>
        </w:rPr>
        <w:fldChar w:fldCharType="end"/>
      </w:r>
      <w:r>
        <w:rPr>
          <w:rFonts w:hint="cs"/>
          <w:rtl/>
        </w:rPr>
        <w:t xml:space="preserve"> בדברי </w:t>
      </w:r>
      <w:r w:rsidRPr="008C11EE">
        <w:rPr>
          <w:rStyle w:val="af9"/>
          <w:rFonts w:hint="cs"/>
          <w:rtl/>
        </w:rPr>
        <w:t>הרשב"א</w:t>
      </w:r>
      <w:r>
        <w:rPr>
          <w:rFonts w:hint="cs"/>
          <w:rtl/>
        </w:rPr>
        <w:t>.</w:t>
      </w:r>
      <w:bookmarkEnd w:id="25920"/>
    </w:p>
    <w:p w14:paraId="2CECCDB5" w14:textId="77777777" w:rsidR="003D504D" w:rsidRDefault="003D504D" w:rsidP="003D504D">
      <w:pPr>
        <w:pStyle w:val="a3"/>
        <w:rPr>
          <w:rtl/>
        </w:rPr>
      </w:pPr>
      <w:bookmarkStart w:id="25921" w:name="_Toc4618166"/>
      <w:bookmarkStart w:id="25922" w:name="_Toc4704747"/>
      <w:bookmarkStart w:id="25923" w:name="_Toc4761888"/>
      <w:bookmarkStart w:id="25924" w:name="_Toc4877596"/>
      <w:bookmarkStart w:id="25925" w:name="_Toc4877922"/>
      <w:bookmarkStart w:id="25926" w:name="_Toc4878066"/>
      <w:bookmarkStart w:id="25927" w:name="_Toc19392187"/>
      <w:bookmarkStart w:id="25928" w:name="_Toc19395684"/>
      <w:r>
        <w:rPr>
          <w:rFonts w:hint="cs"/>
          <w:rtl/>
        </w:rPr>
        <w:t>דברי הרשב"א דהעובר הוא טריפה</w:t>
      </w:r>
      <w:bookmarkEnd w:id="25921"/>
      <w:bookmarkEnd w:id="25922"/>
      <w:bookmarkEnd w:id="25923"/>
      <w:bookmarkEnd w:id="25924"/>
      <w:bookmarkEnd w:id="25925"/>
      <w:bookmarkEnd w:id="25926"/>
      <w:bookmarkEnd w:id="25927"/>
      <w:bookmarkEnd w:id="25928"/>
    </w:p>
    <w:p w14:paraId="139C7093" w14:textId="77777777" w:rsidR="003D504D" w:rsidRDefault="003D504D" w:rsidP="00223668">
      <w:pPr>
        <w:pStyle w:val="a0"/>
        <w:rPr>
          <w:rtl/>
        </w:rPr>
      </w:pPr>
      <w:bookmarkStart w:id="25929" w:name="_Ref4617408"/>
      <w:r>
        <w:rPr>
          <w:rFonts w:hint="cs"/>
          <w:rtl/>
        </w:rPr>
        <w:t xml:space="preserve">וכתב </w:t>
      </w:r>
      <w:r w:rsidRPr="008C11EE">
        <w:rPr>
          <w:rStyle w:val="af9"/>
          <w:rFonts w:hint="cs"/>
          <w:rtl/>
        </w:rPr>
        <w:t>הרשב"א בתוה"ב</w:t>
      </w:r>
      <w:r>
        <w:rPr>
          <w:rStyle w:val="af9"/>
          <w:rFonts w:hint="cs"/>
          <w:rtl/>
        </w:rPr>
        <w:t xml:space="preserve"> </w:t>
      </w:r>
      <w:r>
        <w:rPr>
          <w:rFonts w:hint="cs"/>
          <w:rtl/>
        </w:rPr>
        <w:t xml:space="preserve">בסוף דבריו דהעובר </w:t>
      </w:r>
      <w:r w:rsidRPr="00D37259">
        <w:rPr>
          <w:rFonts w:hint="cs"/>
          <w:rtl/>
        </w:rPr>
        <w:t xml:space="preserve">הוא טריפה, ועי' במה שביאר </w:t>
      </w:r>
      <w:r w:rsidRPr="00D37259">
        <w:rPr>
          <w:rStyle w:val="af9"/>
          <w:rFonts w:hint="cs"/>
          <w:rtl/>
        </w:rPr>
        <w:t>ה</w:t>
      </w:r>
      <w:r w:rsidRPr="008C11EE">
        <w:rPr>
          <w:rStyle w:val="af9"/>
          <w:rFonts w:hint="cs"/>
          <w:rtl/>
        </w:rPr>
        <w:t>שער"י</w:t>
      </w:r>
      <w:r>
        <w:rPr>
          <w:rFonts w:hint="cs"/>
          <w:rtl/>
        </w:rPr>
        <w:t xml:space="preserve"> </w:t>
      </w:r>
      <w:r w:rsidRPr="00D37259">
        <w:rPr>
          <w:rStyle w:val="af7"/>
          <w:rFonts w:eastAsia="Guttman Hodes" w:hint="cs"/>
          <w:rtl/>
        </w:rPr>
        <w:t xml:space="preserve">(עי' אות </w:t>
      </w:r>
      <w:r w:rsidRPr="00D37259">
        <w:rPr>
          <w:rStyle w:val="af7"/>
          <w:rFonts w:eastAsia="Guttman Hodes"/>
          <w:rtl/>
        </w:rPr>
        <w:fldChar w:fldCharType="begin"/>
      </w:r>
      <w:r w:rsidRPr="00D37259">
        <w:rPr>
          <w:rStyle w:val="af7"/>
          <w:rFonts w:eastAsia="Guttman Hodes"/>
          <w:rtl/>
        </w:rPr>
        <w:instrText xml:space="preserve"> </w:instrText>
      </w:r>
      <w:r w:rsidRPr="00D37259">
        <w:rPr>
          <w:rStyle w:val="af7"/>
          <w:rFonts w:eastAsia="Guttman Hodes" w:hint="cs"/>
        </w:rPr>
        <w:instrText>REF</w:instrText>
      </w:r>
      <w:r w:rsidRPr="00D37259">
        <w:rPr>
          <w:rStyle w:val="af7"/>
          <w:rFonts w:eastAsia="Guttman Hodes" w:hint="cs"/>
          <w:rtl/>
        </w:rPr>
        <w:instrText xml:space="preserve"> _</w:instrText>
      </w:r>
      <w:r w:rsidRPr="00D37259">
        <w:rPr>
          <w:rStyle w:val="af7"/>
          <w:rFonts w:eastAsia="Guttman Hodes" w:hint="cs"/>
        </w:rPr>
        <w:instrText>Ref4515714 \r \h</w:instrText>
      </w:r>
      <w:r w:rsidRPr="00D37259">
        <w:rPr>
          <w:rStyle w:val="af7"/>
          <w:rFonts w:eastAsia="Guttman Hodes"/>
          <w:rtl/>
        </w:rPr>
        <w:instrText xml:space="preserve"> </w:instrText>
      </w:r>
      <w:r w:rsidRPr="00D37259">
        <w:rPr>
          <w:rStyle w:val="af7"/>
          <w:rFonts w:eastAsia="Guttman Hodes"/>
          <w:rtl/>
        </w:rPr>
      </w:r>
      <w:r w:rsidRPr="00D37259">
        <w:rPr>
          <w:rStyle w:val="af7"/>
          <w:rFonts w:eastAsia="Guttman Hodes"/>
          <w:rtl/>
        </w:rPr>
        <w:fldChar w:fldCharType="separate"/>
      </w:r>
      <w:r w:rsidR="00345400">
        <w:rPr>
          <w:rStyle w:val="af7"/>
          <w:rFonts w:eastAsia="Guttman Hodes"/>
          <w:cs/>
        </w:rPr>
        <w:t>‎</w:t>
      </w:r>
      <w:r w:rsidR="00345400">
        <w:rPr>
          <w:rStyle w:val="af7"/>
          <w:rFonts w:eastAsia="Guttman Hodes"/>
          <w:rtl/>
        </w:rPr>
        <w:t>פז)</w:t>
      </w:r>
      <w:r w:rsidRPr="00D37259">
        <w:rPr>
          <w:rStyle w:val="af7"/>
          <w:rFonts w:eastAsia="Guttman Hodes"/>
          <w:rtl/>
        </w:rPr>
        <w:fldChar w:fldCharType="end"/>
      </w:r>
      <w:r w:rsidRPr="00D37259">
        <w:rPr>
          <w:rStyle w:val="af7"/>
          <w:rFonts w:eastAsia="Guttman Hodes" w:hint="cs"/>
          <w:rtl/>
        </w:rPr>
        <w:t xml:space="preserve"> </w:t>
      </w:r>
      <w:r>
        <w:rPr>
          <w:rFonts w:hint="cs"/>
          <w:rtl/>
        </w:rPr>
        <w:t xml:space="preserve">בדברי </w:t>
      </w:r>
      <w:r w:rsidRPr="00D37259">
        <w:rPr>
          <w:rStyle w:val="af9"/>
          <w:rFonts w:hint="cs"/>
          <w:rtl/>
        </w:rPr>
        <w:t>הרשב"א</w:t>
      </w:r>
      <w:r>
        <w:rPr>
          <w:rFonts w:hint="cs"/>
          <w:rtl/>
        </w:rPr>
        <w:t>.</w:t>
      </w:r>
      <w:bookmarkEnd w:id="25929"/>
    </w:p>
    <w:p w14:paraId="73976661" w14:textId="77777777" w:rsidR="003D504D" w:rsidRPr="00581206" w:rsidRDefault="003D504D" w:rsidP="003D504D">
      <w:pPr>
        <w:pStyle w:val="afe"/>
        <w:rPr>
          <w:rtl/>
        </w:rPr>
      </w:pPr>
      <w:bookmarkStart w:id="25930" w:name="_Toc4540589"/>
      <w:bookmarkStart w:id="25931" w:name="_Toc4606378"/>
      <w:bookmarkStart w:id="25932" w:name="_Toc4618173"/>
      <w:bookmarkStart w:id="25933" w:name="_Toc4704748"/>
      <w:bookmarkStart w:id="25934" w:name="_Toc4761889"/>
      <w:bookmarkStart w:id="25935" w:name="_Toc4877597"/>
      <w:bookmarkStart w:id="25936" w:name="_Toc4877923"/>
      <w:bookmarkStart w:id="25937" w:name="_Toc4878067"/>
      <w:bookmarkStart w:id="25938" w:name="_Toc19436483"/>
      <w:bookmarkStart w:id="25939" w:name="_Toc20081590"/>
      <w:bookmarkStart w:id="25940" w:name="_Toc4540588"/>
      <w:bookmarkStart w:id="25941" w:name="_Toc4606377"/>
      <w:bookmarkStart w:id="25942" w:name="_Toc4618167"/>
      <w:r>
        <w:rPr>
          <w:rFonts w:hint="cs"/>
          <w:rtl/>
        </w:rPr>
        <w:t>באיסור הולד מדין טריפה או אבמה"ח</w:t>
      </w:r>
      <w:bookmarkEnd w:id="25930"/>
      <w:bookmarkEnd w:id="25931"/>
      <w:bookmarkEnd w:id="25932"/>
      <w:bookmarkEnd w:id="25933"/>
      <w:bookmarkEnd w:id="25934"/>
      <w:bookmarkEnd w:id="25935"/>
      <w:bookmarkEnd w:id="25936"/>
      <w:bookmarkEnd w:id="25937"/>
      <w:bookmarkEnd w:id="25938"/>
      <w:bookmarkEnd w:id="25939"/>
    </w:p>
    <w:p w14:paraId="123F932C" w14:textId="77777777" w:rsidR="003D504D" w:rsidRDefault="003D504D" w:rsidP="00BF39B2">
      <w:pPr>
        <w:pStyle w:val="1"/>
        <w:rPr>
          <w:rtl/>
        </w:rPr>
      </w:pPr>
      <w:bookmarkStart w:id="25943" w:name="_Toc4761890"/>
      <w:bookmarkStart w:id="25944" w:name="_Toc4877598"/>
      <w:bookmarkStart w:id="25945" w:name="_Toc4877924"/>
      <w:bookmarkStart w:id="25946" w:name="_Toc4878068"/>
      <w:bookmarkStart w:id="25947" w:name="_Toc19392188"/>
      <w:bookmarkStart w:id="25948" w:name="_Toc19395685"/>
      <w:r>
        <w:rPr>
          <w:rFonts w:hint="cs"/>
          <w:rtl/>
        </w:rPr>
        <w:t>דעת הרשב"א בתשו' דאסור מדין אבר מן החי</w:t>
      </w:r>
      <w:bookmarkEnd w:id="25943"/>
      <w:bookmarkEnd w:id="25944"/>
      <w:bookmarkEnd w:id="25945"/>
      <w:bookmarkEnd w:id="25946"/>
      <w:bookmarkEnd w:id="25947"/>
      <w:bookmarkEnd w:id="25948"/>
    </w:p>
    <w:p w14:paraId="2BFDC33F" w14:textId="77777777" w:rsidR="003D504D" w:rsidRPr="00174E03" w:rsidRDefault="003D504D" w:rsidP="003D504D">
      <w:pPr>
        <w:pStyle w:val="a3"/>
        <w:rPr>
          <w:rtl/>
        </w:rPr>
      </w:pPr>
      <w:bookmarkStart w:id="25949" w:name="_Toc4761891"/>
      <w:bookmarkStart w:id="25950" w:name="_Toc4877599"/>
      <w:bookmarkStart w:id="25951" w:name="_Toc4877925"/>
      <w:bookmarkStart w:id="25952" w:name="_Toc4878069"/>
      <w:bookmarkStart w:id="25953" w:name="_Toc19392189"/>
      <w:bookmarkStart w:id="25954" w:name="_Toc19395686"/>
      <w:r>
        <w:rPr>
          <w:rFonts w:hint="cs"/>
          <w:rtl/>
        </w:rPr>
        <w:t>דברי הרשב"א בתשו' דשוחט טריפה הולד אסור דאין לו סימנים אך אינו טריפה מחיים כלל</w:t>
      </w:r>
      <w:bookmarkEnd w:id="25949"/>
      <w:bookmarkEnd w:id="25950"/>
      <w:bookmarkEnd w:id="25951"/>
      <w:bookmarkEnd w:id="25952"/>
      <w:bookmarkEnd w:id="25953"/>
      <w:bookmarkEnd w:id="25954"/>
      <w:r>
        <w:rPr>
          <w:rFonts w:hint="cs"/>
          <w:rtl/>
        </w:rPr>
        <w:t xml:space="preserve"> </w:t>
      </w:r>
    </w:p>
    <w:p w14:paraId="41380D92" w14:textId="77777777" w:rsidR="003D504D" w:rsidRDefault="003D504D" w:rsidP="00223668">
      <w:pPr>
        <w:pStyle w:val="a0"/>
        <w:rPr>
          <w:rtl/>
        </w:rPr>
      </w:pPr>
      <w:r>
        <w:rPr>
          <w:rFonts w:hint="cs"/>
          <w:rtl/>
        </w:rPr>
        <w:t xml:space="preserve">כתב </w:t>
      </w:r>
      <w:r w:rsidRPr="00382296">
        <w:rPr>
          <w:rStyle w:val="af9"/>
          <w:rFonts w:hint="cs"/>
          <w:rtl/>
        </w:rPr>
        <w:t>הרשב"א בתשו'</w:t>
      </w:r>
      <w:r>
        <w:rPr>
          <w:rFonts w:hint="cs"/>
          <w:rtl/>
        </w:rPr>
        <w:t xml:space="preserve"> </w:t>
      </w:r>
      <w:r w:rsidRPr="00382296">
        <w:rPr>
          <w:rStyle w:val="af7"/>
          <w:rFonts w:eastAsia="Guttman Hodes" w:hint="cs"/>
          <w:rtl/>
        </w:rPr>
        <w:t>(ח"ח מכת"י סי' מ"ז)</w:t>
      </w:r>
      <w:r>
        <w:rPr>
          <w:rFonts w:hint="cs"/>
          <w:rtl/>
        </w:rPr>
        <w:t xml:space="preserve"> דבשוחט את הטריפה ומצא בה בן ט' חי, למ"ד דלא אמרינן ד' סימנים אסור כיון שאין לו סימנים, וכתב </w:t>
      </w:r>
      <w:r w:rsidRPr="00382296">
        <w:rPr>
          <w:rStyle w:val="af9"/>
          <w:rFonts w:hint="cs"/>
          <w:rtl/>
        </w:rPr>
        <w:t>הרשב"א בתשו'</w:t>
      </w:r>
      <w:r>
        <w:rPr>
          <w:rFonts w:hint="cs"/>
          <w:rtl/>
        </w:rPr>
        <w:t xml:space="preserve"> דהוא דומה לבהמה שנעקרו סימניה שמחיים אינה טריפה כלל, [ונ"מ לענין לשתות את חלבה מחיים], וכשמתה היא נבילה דא"א לשוחטה.</w:t>
      </w:r>
    </w:p>
    <w:p w14:paraId="1E6D7108" w14:textId="77777777" w:rsidR="003D504D" w:rsidRPr="004910CA" w:rsidRDefault="003D504D" w:rsidP="003D504D">
      <w:pPr>
        <w:pStyle w:val="a3"/>
      </w:pPr>
      <w:bookmarkStart w:id="25955" w:name="_Toc4761892"/>
      <w:bookmarkStart w:id="25956" w:name="_Toc4877600"/>
      <w:bookmarkStart w:id="25957" w:name="_Toc4877926"/>
      <w:bookmarkStart w:id="25958" w:name="_Toc4878070"/>
      <w:bookmarkStart w:id="25959" w:name="_Toc19392190"/>
      <w:bookmarkStart w:id="25960" w:name="_Toc19395687"/>
      <w:r>
        <w:rPr>
          <w:rFonts w:hint="cs"/>
          <w:rtl/>
        </w:rPr>
        <w:t>דברי הרשב"א בתשו' דהולד הוא כבהמה חיה וחיובו אינו מדין טריפה אלא כבשר מן החי</w:t>
      </w:r>
      <w:bookmarkEnd w:id="25955"/>
      <w:bookmarkEnd w:id="25956"/>
      <w:bookmarkEnd w:id="25957"/>
      <w:bookmarkEnd w:id="25958"/>
      <w:bookmarkEnd w:id="25959"/>
      <w:bookmarkEnd w:id="25960"/>
      <w:r>
        <w:rPr>
          <w:rFonts w:hint="cs"/>
          <w:rtl/>
        </w:rPr>
        <w:t xml:space="preserve"> </w:t>
      </w:r>
    </w:p>
    <w:p w14:paraId="67961553" w14:textId="77777777" w:rsidR="003D504D" w:rsidRDefault="003D504D" w:rsidP="00223668">
      <w:pPr>
        <w:pStyle w:val="a0"/>
        <w:rPr>
          <w:rtl/>
        </w:rPr>
      </w:pPr>
      <w:r>
        <w:rPr>
          <w:rFonts w:hint="cs"/>
          <w:rtl/>
        </w:rPr>
        <w:t xml:space="preserve">וכתב </w:t>
      </w:r>
      <w:r w:rsidRPr="00382296">
        <w:rPr>
          <w:rStyle w:val="af9"/>
          <w:rFonts w:hint="cs"/>
          <w:rtl/>
        </w:rPr>
        <w:t>הרשב"א בתשו'</w:t>
      </w:r>
      <w:r>
        <w:rPr>
          <w:rFonts w:hint="cs"/>
          <w:rtl/>
        </w:rPr>
        <w:t xml:space="preserve"> דולד הטריפה הוא כבהמה חיה שהתולש ממנו בשר ואכלו, אינו חייב מדין טריפה, אלא חיובו הוא מדין בשר מן החי.</w:t>
      </w:r>
    </w:p>
    <w:p w14:paraId="03BCEDB1" w14:textId="77777777" w:rsidR="003D504D" w:rsidRPr="00581206" w:rsidRDefault="003D504D" w:rsidP="00BF39B2">
      <w:pPr>
        <w:pStyle w:val="1"/>
        <w:rPr>
          <w:rtl/>
        </w:rPr>
      </w:pPr>
      <w:bookmarkStart w:id="25961" w:name="_Toc4761895"/>
      <w:bookmarkStart w:id="25962" w:name="_Toc4877601"/>
      <w:bookmarkStart w:id="25963" w:name="_Toc4877927"/>
      <w:bookmarkStart w:id="25964" w:name="_Toc4878071"/>
      <w:bookmarkStart w:id="25965" w:name="_Toc19392191"/>
      <w:bookmarkStart w:id="25966" w:name="_Toc19395688"/>
      <w:r>
        <w:rPr>
          <w:rFonts w:hint="cs"/>
          <w:rtl/>
        </w:rPr>
        <w:t>דברי הגרעק"א דאסור מדין טריפה והותר מאינו זבוח</w:t>
      </w:r>
      <w:bookmarkEnd w:id="25961"/>
      <w:bookmarkEnd w:id="25962"/>
      <w:bookmarkEnd w:id="25963"/>
      <w:bookmarkEnd w:id="25964"/>
      <w:bookmarkEnd w:id="25965"/>
      <w:bookmarkEnd w:id="25966"/>
    </w:p>
    <w:p w14:paraId="01F75F4B" w14:textId="77777777" w:rsidR="003D504D" w:rsidRDefault="003D504D" w:rsidP="003D504D">
      <w:pPr>
        <w:pStyle w:val="a3"/>
      </w:pPr>
      <w:bookmarkStart w:id="25967" w:name="_Toc4761896"/>
      <w:bookmarkStart w:id="25968" w:name="_Toc4877602"/>
      <w:bookmarkStart w:id="25969" w:name="_Toc4877928"/>
      <w:bookmarkStart w:id="25970" w:name="_Toc4878072"/>
      <w:bookmarkStart w:id="25971" w:name="_Toc19392192"/>
      <w:bookmarkStart w:id="25972" w:name="_Toc19395689"/>
      <w:bookmarkStart w:id="25973" w:name="_Ref4605788"/>
      <w:r>
        <w:rPr>
          <w:rFonts w:hint="cs"/>
          <w:rtl/>
        </w:rPr>
        <w:t>דברי הגרעק"א דהולד אסור בטריפה אך חשיב כזבוח לענין אכילה ואין בו איסור אינו זבוח</w:t>
      </w:r>
      <w:bookmarkEnd w:id="25967"/>
      <w:bookmarkEnd w:id="25968"/>
      <w:bookmarkEnd w:id="25969"/>
      <w:bookmarkEnd w:id="25970"/>
      <w:bookmarkEnd w:id="25971"/>
      <w:bookmarkEnd w:id="25972"/>
    </w:p>
    <w:p w14:paraId="0A0F785F" w14:textId="77777777" w:rsidR="003D504D" w:rsidRDefault="003D504D" w:rsidP="00223668">
      <w:pPr>
        <w:pStyle w:val="a0"/>
        <w:rPr>
          <w:rtl/>
        </w:rPr>
      </w:pPr>
      <w:r>
        <w:rPr>
          <w:rFonts w:hint="cs"/>
          <w:rtl/>
        </w:rPr>
        <w:t xml:space="preserve">אבל </w:t>
      </w:r>
      <w:r w:rsidRPr="00581206">
        <w:rPr>
          <w:rStyle w:val="af9"/>
          <w:rFonts w:hint="cs"/>
          <w:rtl/>
        </w:rPr>
        <w:t>הגרעק"א</w:t>
      </w:r>
      <w:r>
        <w:rPr>
          <w:rFonts w:hint="cs"/>
          <w:rtl/>
        </w:rPr>
        <w:t xml:space="preserve"> </w:t>
      </w:r>
      <w:r w:rsidRPr="00581206">
        <w:rPr>
          <w:rStyle w:val="af7"/>
          <w:rFonts w:eastAsia="Guttman Hodes" w:hint="cs"/>
          <w:rtl/>
        </w:rPr>
        <w:t>(סי' י"ג על הש"ך סקי"א בתו"ד)</w:t>
      </w:r>
      <w:r>
        <w:rPr>
          <w:rFonts w:hint="cs"/>
          <w:rtl/>
        </w:rPr>
        <w:t xml:space="preserve"> כתב דכיון דשחיטת האם הטריפה מהני לטהר את הולד מטומאת נבילה, א"כ מבואר דהאיסור של הולד הוא דחשיב כטריפה, אך אין בו חזקת אינו זבוח, כיון שיש עליו שם זבוח לענין להתירו מטומאת נבילה, ועי' בדברי </w:t>
      </w:r>
      <w:r w:rsidRPr="000F3F80">
        <w:rPr>
          <w:rStyle w:val="af9"/>
          <w:rFonts w:hint="cs"/>
          <w:rtl/>
        </w:rPr>
        <w:t>הגר"ח</w:t>
      </w:r>
      <w:r>
        <w:rPr>
          <w:rFonts w:hint="cs"/>
          <w:rtl/>
        </w:rPr>
        <w:t xml:space="preserve"> </w:t>
      </w:r>
      <w:r w:rsidRPr="000F3F80">
        <w:rPr>
          <w:rStyle w:val="af7"/>
          <w:rFonts w:eastAsia="Guttman Hodes" w:hint="cs"/>
          <w:rtl/>
        </w:rPr>
        <w:t xml:space="preserve">(עי' אות </w:t>
      </w:r>
      <w:r w:rsidRPr="000F3F80">
        <w:rPr>
          <w:rStyle w:val="af7"/>
          <w:rFonts w:eastAsia="Guttman Hodes"/>
          <w:rtl/>
        </w:rPr>
        <w:fldChar w:fldCharType="begin"/>
      </w:r>
      <w:r w:rsidRPr="000F3F80">
        <w:rPr>
          <w:rStyle w:val="af7"/>
          <w:rFonts w:eastAsia="Guttman Hodes"/>
          <w:rtl/>
        </w:rPr>
        <w:instrText xml:space="preserve"> </w:instrText>
      </w:r>
      <w:r w:rsidRPr="000F3F80">
        <w:rPr>
          <w:rStyle w:val="af7"/>
          <w:rFonts w:eastAsia="Guttman Hodes" w:hint="cs"/>
        </w:rPr>
        <w:instrText>REF</w:instrText>
      </w:r>
      <w:r w:rsidRPr="000F3F80">
        <w:rPr>
          <w:rStyle w:val="af7"/>
          <w:rFonts w:eastAsia="Guttman Hodes" w:hint="cs"/>
          <w:rtl/>
        </w:rPr>
        <w:instrText xml:space="preserve"> _</w:instrText>
      </w:r>
      <w:r w:rsidRPr="000F3F80">
        <w:rPr>
          <w:rStyle w:val="af7"/>
          <w:rFonts w:eastAsia="Guttman Hodes" w:hint="cs"/>
        </w:rPr>
        <w:instrText>Ref4667187 \r \h</w:instrText>
      </w:r>
      <w:r w:rsidRPr="000F3F80">
        <w:rPr>
          <w:rStyle w:val="af7"/>
          <w:rFonts w:eastAsia="Guttman Hodes"/>
          <w:rtl/>
        </w:rPr>
        <w:instrText xml:space="preserve"> </w:instrText>
      </w:r>
      <w:r w:rsidRPr="000F3F80">
        <w:rPr>
          <w:rStyle w:val="af7"/>
          <w:rFonts w:eastAsia="Guttman Hodes"/>
          <w:rtl/>
        </w:rPr>
      </w:r>
      <w:r w:rsidRPr="000F3F80">
        <w:rPr>
          <w:rStyle w:val="af7"/>
          <w:rFonts w:eastAsia="Guttman Hodes"/>
          <w:rtl/>
        </w:rPr>
        <w:fldChar w:fldCharType="separate"/>
      </w:r>
      <w:r w:rsidR="00345400">
        <w:rPr>
          <w:rStyle w:val="af7"/>
          <w:rFonts w:eastAsia="Guttman Hodes"/>
          <w:cs/>
        </w:rPr>
        <w:t>‎</w:t>
      </w:r>
      <w:r w:rsidR="00345400">
        <w:rPr>
          <w:rStyle w:val="af7"/>
          <w:rFonts w:eastAsia="Guttman Hodes"/>
          <w:rtl/>
        </w:rPr>
        <w:t>מ)</w:t>
      </w:r>
      <w:r w:rsidRPr="000F3F80">
        <w:rPr>
          <w:rStyle w:val="af7"/>
          <w:rFonts w:eastAsia="Guttman Hodes"/>
          <w:rtl/>
        </w:rPr>
        <w:fldChar w:fldCharType="end"/>
      </w:r>
      <w:r>
        <w:rPr>
          <w:rFonts w:hint="cs"/>
          <w:rtl/>
        </w:rPr>
        <w:t xml:space="preserve"> בדעת </w:t>
      </w:r>
      <w:r w:rsidRPr="000F3F80">
        <w:rPr>
          <w:rStyle w:val="af9"/>
          <w:rFonts w:hint="cs"/>
          <w:rtl/>
        </w:rPr>
        <w:t>הרמב"ם</w:t>
      </w:r>
      <w:r>
        <w:rPr>
          <w:rFonts w:hint="cs"/>
          <w:rtl/>
        </w:rPr>
        <w:t>.</w:t>
      </w:r>
      <w:bookmarkEnd w:id="25973"/>
    </w:p>
    <w:p w14:paraId="0E8989DE" w14:textId="77777777" w:rsidR="003D504D" w:rsidRPr="00EB7939" w:rsidRDefault="003D504D" w:rsidP="003D504D">
      <w:pPr>
        <w:pStyle w:val="a3"/>
        <w:rPr>
          <w:rtl/>
        </w:rPr>
      </w:pPr>
      <w:bookmarkStart w:id="25974" w:name="_Toc4761897"/>
      <w:bookmarkStart w:id="25975" w:name="_Toc4877603"/>
      <w:bookmarkStart w:id="25976" w:name="_Toc4877929"/>
      <w:bookmarkStart w:id="25977" w:name="_Toc4878073"/>
      <w:bookmarkStart w:id="25978" w:name="_Toc19392193"/>
      <w:bookmarkStart w:id="25979" w:name="_Toc19395690"/>
      <w:r>
        <w:rPr>
          <w:rFonts w:hint="cs"/>
          <w:rtl/>
        </w:rPr>
        <w:t>ביאור הגרעק"א דמה שהועילה השחיטה באם הועילה בולד ואף בולד אין איסור אינו זבוח</w:t>
      </w:r>
      <w:bookmarkEnd w:id="25974"/>
      <w:bookmarkEnd w:id="25975"/>
      <w:bookmarkEnd w:id="25976"/>
      <w:bookmarkEnd w:id="25977"/>
      <w:bookmarkEnd w:id="25978"/>
      <w:bookmarkEnd w:id="25979"/>
    </w:p>
    <w:p w14:paraId="4D7ABA58" w14:textId="77777777" w:rsidR="003D504D" w:rsidRDefault="003D504D" w:rsidP="00223668">
      <w:pPr>
        <w:pStyle w:val="a0"/>
        <w:rPr>
          <w:rtl/>
        </w:rPr>
      </w:pPr>
      <w:bookmarkStart w:id="25980" w:name="_Ref4605710"/>
      <w:r>
        <w:rPr>
          <w:rFonts w:hint="cs"/>
          <w:rtl/>
        </w:rPr>
        <w:t xml:space="preserve">והוסיף </w:t>
      </w:r>
      <w:r w:rsidRPr="004910CA">
        <w:rPr>
          <w:rStyle w:val="af9"/>
          <w:rFonts w:hint="cs"/>
          <w:rtl/>
        </w:rPr>
        <w:t>הגרעק"א</w:t>
      </w:r>
      <w:r>
        <w:rPr>
          <w:rFonts w:hint="cs"/>
          <w:rtl/>
        </w:rPr>
        <w:t xml:space="preserve"> דאין בולד איסור אינו זבוח, דכל מה שמהני השחיטה באם מהני בולד, וכיון שבאם הועילה השחיטה להתירה מאיסור אינו זבוח, אף הולד הותר מאיסור אינו זבוח.</w:t>
      </w:r>
      <w:bookmarkEnd w:id="25980"/>
    </w:p>
    <w:p w14:paraId="784B8F1B" w14:textId="77777777" w:rsidR="003D504D" w:rsidRDefault="003D504D" w:rsidP="003D504D">
      <w:pPr>
        <w:pStyle w:val="a3"/>
        <w:rPr>
          <w:rtl/>
        </w:rPr>
      </w:pPr>
      <w:bookmarkStart w:id="25981" w:name="_Toc4761898"/>
      <w:bookmarkStart w:id="25982" w:name="_Toc4877604"/>
      <w:bookmarkStart w:id="25983" w:name="_Toc4877930"/>
      <w:bookmarkStart w:id="25984" w:name="_Toc4878074"/>
      <w:bookmarkStart w:id="25985" w:name="_Toc19392194"/>
      <w:bookmarkStart w:id="25986" w:name="_Toc19395691"/>
      <w:r>
        <w:rPr>
          <w:rFonts w:hint="cs"/>
          <w:rtl/>
        </w:rPr>
        <w:t>ביאור הגרעק"א דכל שלא נשחט הולד חשיב כאבר אמו והוא טריפה אך אינו אבמה"ח אחר שמת</w:t>
      </w:r>
      <w:bookmarkEnd w:id="25981"/>
      <w:bookmarkEnd w:id="25982"/>
      <w:bookmarkEnd w:id="25983"/>
      <w:bookmarkEnd w:id="25984"/>
      <w:bookmarkEnd w:id="25985"/>
      <w:bookmarkEnd w:id="25986"/>
    </w:p>
    <w:p w14:paraId="05BDEBC2" w14:textId="77777777" w:rsidR="003D504D" w:rsidRDefault="003D504D" w:rsidP="00223668">
      <w:pPr>
        <w:pStyle w:val="a0"/>
        <w:rPr>
          <w:rtl/>
        </w:rPr>
      </w:pPr>
      <w:bookmarkStart w:id="25987" w:name="_Ref4528268"/>
      <w:r>
        <w:rPr>
          <w:rFonts w:hint="cs"/>
          <w:rtl/>
        </w:rPr>
        <w:t xml:space="preserve">וכתב </w:t>
      </w:r>
      <w:r w:rsidRPr="004910CA">
        <w:rPr>
          <w:rStyle w:val="af9"/>
          <w:rFonts w:hint="cs"/>
          <w:rtl/>
        </w:rPr>
        <w:t>הגרעק"א</w:t>
      </w:r>
      <w:r>
        <w:rPr>
          <w:rFonts w:hint="cs"/>
          <w:rtl/>
        </w:rPr>
        <w:t xml:space="preserve"> דכל שלא הותר הולד ע"י שחיטת עצמו, הוא נדון כאבר מאברי אמו, ולכן אסור באיסור טריפה, דאי נימא דאין עליו איסור טריפה, א"כ אמאי כשמת הולד אסור באכילה, דאיסור אבר מן החי אין בו דהא מת לפנינו, וכן הותר בו איסור אבר מן החי, כמו שהותר באמו, כדמוכח מדין מפרכסת שאין בה אבר מן החי, אעפ"י שהיא עדיין בחיים, </w:t>
      </w:r>
      <w:r w:rsidRPr="004910CA">
        <w:rPr>
          <w:rStyle w:val="afb"/>
          <w:rFonts w:hint="cs"/>
          <w:rtl/>
        </w:rPr>
        <w:t xml:space="preserve">[והיינו דאף שהולד חי שייך להתירו, מאיסור אבר מן החי כמו מפרכסת], </w:t>
      </w:r>
      <w:r>
        <w:rPr>
          <w:rFonts w:hint="cs"/>
          <w:rtl/>
        </w:rPr>
        <w:t xml:space="preserve">ומאיסור אינו זבוח כבר הותר  הולד בשחיטת אמו, </w:t>
      </w:r>
      <w:r w:rsidRPr="004910CA">
        <w:rPr>
          <w:rStyle w:val="afb"/>
          <w:rFonts w:hint="cs"/>
          <w:rtl/>
        </w:rPr>
        <w:t>[וא"כ אינו יכול להיות נבילה דחשיב שנשחט]</w:t>
      </w:r>
      <w:r>
        <w:rPr>
          <w:rFonts w:hint="cs"/>
          <w:rtl/>
        </w:rPr>
        <w:t>.</w:t>
      </w:r>
      <w:bookmarkEnd w:id="25987"/>
    </w:p>
    <w:p w14:paraId="620A2926" w14:textId="77777777" w:rsidR="003D504D" w:rsidRPr="00F95619" w:rsidRDefault="003D504D" w:rsidP="003D504D">
      <w:pPr>
        <w:pStyle w:val="a3"/>
        <w:rPr>
          <w:rtl/>
        </w:rPr>
      </w:pPr>
      <w:bookmarkStart w:id="25988" w:name="_Toc4761899"/>
      <w:bookmarkStart w:id="25989" w:name="_Toc4877605"/>
      <w:bookmarkStart w:id="25990" w:name="_Toc4877931"/>
      <w:bookmarkStart w:id="25991" w:name="_Toc4878075"/>
      <w:bookmarkStart w:id="25992" w:name="_Toc19392195"/>
      <w:bookmarkStart w:id="25993" w:name="_Toc19395692"/>
      <w:r>
        <w:rPr>
          <w:rFonts w:hint="cs"/>
          <w:rtl/>
        </w:rPr>
        <w:t>ביאור הגרעק"א דכשנשחט הולד בשחיטת עצמו הוא נפרד מהאם ואינו טריפה ומצד עצמו מותר</w:t>
      </w:r>
      <w:bookmarkEnd w:id="25988"/>
      <w:bookmarkEnd w:id="25989"/>
      <w:bookmarkEnd w:id="25990"/>
      <w:bookmarkEnd w:id="25991"/>
      <w:bookmarkEnd w:id="25992"/>
      <w:bookmarkEnd w:id="25993"/>
    </w:p>
    <w:p w14:paraId="3AD96F12" w14:textId="77777777" w:rsidR="003D504D" w:rsidRDefault="003D504D" w:rsidP="00223668">
      <w:pPr>
        <w:pStyle w:val="a0"/>
        <w:rPr>
          <w:rtl/>
        </w:rPr>
      </w:pPr>
      <w:bookmarkStart w:id="25994" w:name="_Ref4490584"/>
      <w:r>
        <w:rPr>
          <w:rFonts w:hint="cs"/>
          <w:rtl/>
        </w:rPr>
        <w:t xml:space="preserve">אלא כתב </w:t>
      </w:r>
      <w:r w:rsidRPr="004910CA">
        <w:rPr>
          <w:rStyle w:val="af9"/>
          <w:rFonts w:hint="cs"/>
          <w:rtl/>
        </w:rPr>
        <w:t>הגרעק"א</w:t>
      </w:r>
      <w:r>
        <w:rPr>
          <w:rFonts w:hint="cs"/>
          <w:rtl/>
        </w:rPr>
        <w:t xml:space="preserve"> דמוכח דהולד אסור באיסור טריפה, וביאר </w:t>
      </w:r>
      <w:r w:rsidRPr="004910CA">
        <w:rPr>
          <w:rStyle w:val="af9"/>
          <w:rFonts w:hint="cs"/>
          <w:rtl/>
        </w:rPr>
        <w:t>הגרעק"א</w:t>
      </w:r>
      <w:r>
        <w:rPr>
          <w:rFonts w:hint="cs"/>
          <w:rtl/>
        </w:rPr>
        <w:t xml:space="preserve"> דבכל מה שלא הועילה השחיטה בולד, דינו כדין של אמו, ולכן כל שלא נשחט הולד יש בו איסור טריפה,</w:t>
      </w:r>
      <w:r w:rsidRPr="004910CA">
        <w:rPr>
          <w:rStyle w:val="afb"/>
          <w:rFonts w:hint="cs"/>
          <w:rtl/>
        </w:rPr>
        <w:t xml:space="preserve"> [בין כשהוא חי ובין כשמת], </w:t>
      </w:r>
      <w:r>
        <w:rPr>
          <w:rFonts w:hint="cs"/>
          <w:rtl/>
        </w:rPr>
        <w:t xml:space="preserve">ושנשחט הולד בשחיטת עצמו, </w:t>
      </w:r>
      <w:r w:rsidRPr="004910CA">
        <w:rPr>
          <w:rStyle w:val="afb"/>
          <w:rFonts w:hint="cs"/>
          <w:rtl/>
        </w:rPr>
        <w:t>[למ"ד דד' סימנים אכשר ביה רחמנא],</w:t>
      </w:r>
      <w:r>
        <w:rPr>
          <w:rFonts w:hint="cs"/>
          <w:rtl/>
        </w:rPr>
        <w:t xml:space="preserve"> הוא נפרד ע"י השחיטה מהאם, ויש לו היתר מצד עצמו, ועי' במה שהקשה </w:t>
      </w:r>
      <w:r w:rsidRPr="00E9533E">
        <w:rPr>
          <w:rStyle w:val="af9"/>
          <w:rFonts w:hint="cs"/>
          <w:rtl/>
        </w:rPr>
        <w:t>האמרי משה</w:t>
      </w:r>
      <w:r>
        <w:rPr>
          <w:rFonts w:hint="cs"/>
          <w:rtl/>
        </w:rPr>
        <w:t xml:space="preserve"> </w:t>
      </w:r>
      <w:r w:rsidRPr="00E9533E">
        <w:rPr>
          <w:rStyle w:val="af7"/>
          <w:rFonts w:eastAsia="Guttman Hodes" w:hint="cs"/>
          <w:rtl/>
        </w:rPr>
        <w:t xml:space="preserve">(עי' אות </w:t>
      </w:r>
      <w:r w:rsidRPr="00E9533E">
        <w:rPr>
          <w:rStyle w:val="af7"/>
          <w:rFonts w:eastAsia="Guttman Hodes"/>
          <w:rtl/>
        </w:rPr>
        <w:fldChar w:fldCharType="begin"/>
      </w:r>
      <w:r w:rsidRPr="00E9533E">
        <w:rPr>
          <w:rStyle w:val="af7"/>
          <w:rFonts w:eastAsia="Guttman Hodes"/>
          <w:rtl/>
        </w:rPr>
        <w:instrText xml:space="preserve"> </w:instrText>
      </w:r>
      <w:r w:rsidRPr="00E9533E">
        <w:rPr>
          <w:rStyle w:val="af7"/>
          <w:rFonts w:eastAsia="Guttman Hodes" w:hint="cs"/>
        </w:rPr>
        <w:instrText>REF</w:instrText>
      </w:r>
      <w:r w:rsidRPr="00E9533E">
        <w:rPr>
          <w:rStyle w:val="af7"/>
          <w:rFonts w:eastAsia="Guttman Hodes" w:hint="cs"/>
          <w:rtl/>
        </w:rPr>
        <w:instrText xml:space="preserve"> _</w:instrText>
      </w:r>
      <w:r w:rsidRPr="00E9533E">
        <w:rPr>
          <w:rStyle w:val="af7"/>
          <w:rFonts w:eastAsia="Guttman Hodes" w:hint="cs"/>
        </w:rPr>
        <w:instrText>Ref4691458 \r \h</w:instrText>
      </w:r>
      <w:r w:rsidRPr="00E9533E">
        <w:rPr>
          <w:rStyle w:val="af7"/>
          <w:rFonts w:eastAsia="Guttman Hodes"/>
          <w:rtl/>
        </w:rPr>
        <w:instrText xml:space="preserve"> </w:instrText>
      </w:r>
      <w:r w:rsidRPr="00E9533E">
        <w:rPr>
          <w:rStyle w:val="af7"/>
          <w:rFonts w:eastAsia="Guttman Hodes"/>
          <w:rtl/>
        </w:rPr>
      </w:r>
      <w:r w:rsidRPr="00E9533E">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E9533E">
        <w:rPr>
          <w:rStyle w:val="af7"/>
          <w:rFonts w:eastAsia="Guttman Hodes"/>
          <w:rtl/>
        </w:rPr>
        <w:fldChar w:fldCharType="end"/>
      </w:r>
      <w:r>
        <w:rPr>
          <w:rFonts w:hint="cs"/>
          <w:rtl/>
        </w:rPr>
        <w:t xml:space="preserve"> על </w:t>
      </w:r>
      <w:r w:rsidRPr="00E9533E">
        <w:rPr>
          <w:rStyle w:val="af9"/>
          <w:rFonts w:hint="cs"/>
          <w:rtl/>
        </w:rPr>
        <w:t>הגרעק"א</w:t>
      </w:r>
      <w:r>
        <w:rPr>
          <w:rFonts w:hint="cs"/>
          <w:rtl/>
        </w:rPr>
        <w:t xml:space="preserve">, ובמה שביאר </w:t>
      </w:r>
      <w:r w:rsidRPr="005909E9">
        <w:rPr>
          <w:rStyle w:val="af9"/>
          <w:rFonts w:hint="cs"/>
          <w:rtl/>
        </w:rPr>
        <w:t>הקה"י</w:t>
      </w:r>
      <w:r>
        <w:rPr>
          <w:rStyle w:val="af9"/>
          <w:rFonts w:hint="cs"/>
          <w:rtl/>
        </w:rPr>
        <w:t xml:space="preserve"> בסוגיין</w:t>
      </w:r>
      <w:r>
        <w:rPr>
          <w:rFonts w:hint="cs"/>
          <w:rtl/>
        </w:rPr>
        <w:t xml:space="preserve"> </w:t>
      </w:r>
      <w:r w:rsidRPr="005909E9">
        <w:rPr>
          <w:rStyle w:val="af7"/>
          <w:rFonts w:eastAsia="Guttman Hodes" w:hint="cs"/>
          <w:rtl/>
        </w:rPr>
        <w:t xml:space="preserve">(עי' אות </w:t>
      </w:r>
      <w:r w:rsidRPr="005909E9">
        <w:rPr>
          <w:rStyle w:val="af7"/>
          <w:rFonts w:eastAsia="Guttman Hodes"/>
          <w:rtl/>
        </w:rPr>
        <w:fldChar w:fldCharType="begin"/>
      </w:r>
      <w:r w:rsidRPr="005909E9">
        <w:rPr>
          <w:rStyle w:val="af7"/>
          <w:rFonts w:eastAsia="Guttman Hodes"/>
          <w:rtl/>
        </w:rPr>
        <w:instrText xml:space="preserve"> </w:instrText>
      </w:r>
      <w:r w:rsidRPr="005909E9">
        <w:rPr>
          <w:rStyle w:val="af7"/>
          <w:rFonts w:eastAsia="Guttman Hodes" w:hint="cs"/>
        </w:rPr>
        <w:instrText>REF</w:instrText>
      </w:r>
      <w:r w:rsidRPr="005909E9">
        <w:rPr>
          <w:rStyle w:val="af7"/>
          <w:rFonts w:eastAsia="Guttman Hodes" w:hint="cs"/>
          <w:rtl/>
        </w:rPr>
        <w:instrText xml:space="preserve"> _</w:instrText>
      </w:r>
      <w:r w:rsidRPr="005909E9">
        <w:rPr>
          <w:rStyle w:val="af7"/>
          <w:rFonts w:eastAsia="Guttman Hodes" w:hint="cs"/>
        </w:rPr>
        <w:instrText>Ref4491685 \r \h</w:instrText>
      </w:r>
      <w:r w:rsidRPr="005909E9">
        <w:rPr>
          <w:rStyle w:val="af7"/>
          <w:rFonts w:eastAsia="Guttman Hodes"/>
          <w:rtl/>
        </w:rPr>
        <w:instrText xml:space="preserve"> </w:instrText>
      </w:r>
      <w:r w:rsidRPr="005909E9">
        <w:rPr>
          <w:rStyle w:val="af7"/>
          <w:rFonts w:eastAsia="Guttman Hodes"/>
          <w:rtl/>
        </w:rPr>
      </w:r>
      <w:r w:rsidRPr="005909E9">
        <w:rPr>
          <w:rStyle w:val="af7"/>
          <w:rFonts w:eastAsia="Guttman Hodes"/>
          <w:rtl/>
        </w:rPr>
        <w:fldChar w:fldCharType="separate"/>
      </w:r>
      <w:r w:rsidR="00345400">
        <w:rPr>
          <w:rStyle w:val="af7"/>
          <w:rFonts w:eastAsia="Guttman Hodes"/>
          <w:cs/>
        </w:rPr>
        <w:t>‎</w:t>
      </w:r>
      <w:r w:rsidR="00345400">
        <w:rPr>
          <w:rStyle w:val="af7"/>
          <w:rFonts w:eastAsia="Guttman Hodes"/>
          <w:rtl/>
        </w:rPr>
        <w:t>סג)</w:t>
      </w:r>
      <w:r w:rsidRPr="005909E9">
        <w:rPr>
          <w:rStyle w:val="af7"/>
          <w:rFonts w:eastAsia="Guttman Hodes"/>
          <w:rtl/>
        </w:rPr>
        <w:fldChar w:fldCharType="end"/>
      </w:r>
      <w:r>
        <w:rPr>
          <w:rFonts w:hint="cs"/>
          <w:rtl/>
        </w:rPr>
        <w:t xml:space="preserve"> </w:t>
      </w:r>
      <w:r>
        <w:rPr>
          <w:rStyle w:val="af9"/>
          <w:rFonts w:hint="cs"/>
          <w:rtl/>
        </w:rPr>
        <w:t>ו</w:t>
      </w:r>
      <w:r w:rsidRPr="0090741A">
        <w:rPr>
          <w:rStyle w:val="af9"/>
          <w:rFonts w:hint="cs"/>
          <w:rtl/>
        </w:rPr>
        <w:t>בב"ק</w:t>
      </w:r>
      <w:r>
        <w:rPr>
          <w:rFonts w:hint="cs"/>
          <w:rtl/>
        </w:rPr>
        <w:t xml:space="preserve"> </w:t>
      </w:r>
      <w:r w:rsidRPr="00E50F9D">
        <w:rPr>
          <w:rStyle w:val="af7"/>
          <w:rFonts w:eastAsia="Guttman Hodes" w:hint="cs"/>
          <w:rtl/>
        </w:rPr>
        <w:t xml:space="preserve">(עי' אות </w:t>
      </w:r>
      <w:r w:rsidRPr="00E50F9D">
        <w:rPr>
          <w:rStyle w:val="af7"/>
          <w:rFonts w:eastAsia="Guttman Hodes"/>
          <w:rtl/>
        </w:rPr>
        <w:fldChar w:fldCharType="begin"/>
      </w:r>
      <w:r w:rsidRPr="00E50F9D">
        <w:rPr>
          <w:rStyle w:val="af7"/>
          <w:rFonts w:eastAsia="Guttman Hodes"/>
          <w:rtl/>
        </w:rPr>
        <w:instrText xml:space="preserve"> </w:instrText>
      </w:r>
      <w:r w:rsidRPr="00E50F9D">
        <w:rPr>
          <w:rStyle w:val="af7"/>
          <w:rFonts w:eastAsia="Guttman Hodes" w:hint="cs"/>
        </w:rPr>
        <w:instrText>REF</w:instrText>
      </w:r>
      <w:r w:rsidRPr="00E50F9D">
        <w:rPr>
          <w:rStyle w:val="af7"/>
          <w:rFonts w:eastAsia="Guttman Hodes" w:hint="cs"/>
          <w:rtl/>
        </w:rPr>
        <w:instrText xml:space="preserve"> _</w:instrText>
      </w:r>
      <w:r w:rsidRPr="00E50F9D">
        <w:rPr>
          <w:rStyle w:val="af7"/>
          <w:rFonts w:eastAsia="Guttman Hodes" w:hint="cs"/>
        </w:rPr>
        <w:instrText>Ref4874227 \r \h</w:instrText>
      </w:r>
      <w:r w:rsidRPr="00E50F9D">
        <w:rPr>
          <w:rStyle w:val="af7"/>
          <w:rFonts w:eastAsia="Guttman Hodes"/>
          <w:rtl/>
        </w:rPr>
        <w:instrText xml:space="preserve"> </w:instrText>
      </w:r>
      <w:r w:rsidRPr="00E50F9D">
        <w:rPr>
          <w:rStyle w:val="af7"/>
          <w:rFonts w:eastAsia="Guttman Hodes"/>
          <w:rtl/>
        </w:rPr>
      </w:r>
      <w:r w:rsidRPr="00E50F9D">
        <w:rPr>
          <w:rStyle w:val="af7"/>
          <w:rFonts w:eastAsia="Guttman Hodes"/>
          <w:rtl/>
        </w:rPr>
        <w:fldChar w:fldCharType="separate"/>
      </w:r>
      <w:r w:rsidR="00345400">
        <w:rPr>
          <w:rStyle w:val="af7"/>
          <w:rFonts w:eastAsia="Guttman Hodes"/>
          <w:cs/>
        </w:rPr>
        <w:t>‎</w:t>
      </w:r>
      <w:r w:rsidR="00345400">
        <w:rPr>
          <w:rStyle w:val="af7"/>
          <w:rFonts w:eastAsia="Guttman Hodes"/>
          <w:rtl/>
        </w:rPr>
        <w:t>סט)</w:t>
      </w:r>
      <w:r w:rsidRPr="00E50F9D">
        <w:rPr>
          <w:rStyle w:val="af7"/>
          <w:rFonts w:eastAsia="Guttman Hodes"/>
          <w:rtl/>
        </w:rPr>
        <w:fldChar w:fldCharType="end"/>
      </w:r>
      <w:r>
        <w:rPr>
          <w:rFonts w:hint="cs"/>
          <w:rtl/>
        </w:rPr>
        <w:t xml:space="preserve"> בדברי </w:t>
      </w:r>
      <w:r w:rsidRPr="005909E9">
        <w:rPr>
          <w:rStyle w:val="af9"/>
          <w:rFonts w:hint="cs"/>
          <w:rtl/>
        </w:rPr>
        <w:t>הגרעק"א</w:t>
      </w:r>
      <w:r>
        <w:rPr>
          <w:rFonts w:hint="cs"/>
          <w:rtl/>
        </w:rPr>
        <w:t>.</w:t>
      </w:r>
      <w:bookmarkEnd w:id="25994"/>
    </w:p>
    <w:p w14:paraId="4286DE54" w14:textId="77777777" w:rsidR="003D504D" w:rsidRDefault="003D504D" w:rsidP="003D504D">
      <w:pPr>
        <w:pStyle w:val="a3"/>
        <w:rPr>
          <w:rtl/>
        </w:rPr>
      </w:pPr>
      <w:bookmarkStart w:id="25995" w:name="_Toc4761900"/>
      <w:bookmarkStart w:id="25996" w:name="_Toc4877606"/>
      <w:bookmarkStart w:id="25997" w:name="_Toc4877932"/>
      <w:bookmarkStart w:id="25998" w:name="_Toc4878076"/>
      <w:bookmarkStart w:id="25999" w:name="_Toc19392196"/>
      <w:bookmarkStart w:id="26000" w:name="_Toc19395693"/>
      <w:r>
        <w:rPr>
          <w:rFonts w:hint="cs"/>
          <w:rtl/>
        </w:rPr>
        <w:t>דברי הגרעק"א בתשו' דשחיטת קדשים בחוץ אינה מתירה את העובר</w:t>
      </w:r>
      <w:r w:rsidRPr="006A2746">
        <w:rPr>
          <w:rFonts w:hint="cs"/>
          <w:rtl/>
        </w:rPr>
        <w:t xml:space="preserve"> </w:t>
      </w:r>
      <w:r>
        <w:rPr>
          <w:rFonts w:hint="cs"/>
          <w:rtl/>
        </w:rPr>
        <w:t>כמו שחיטת טריפה</w:t>
      </w:r>
      <w:bookmarkEnd w:id="25995"/>
      <w:bookmarkEnd w:id="25996"/>
      <w:bookmarkEnd w:id="25997"/>
      <w:bookmarkEnd w:id="25998"/>
      <w:bookmarkEnd w:id="25999"/>
      <w:bookmarkEnd w:id="26000"/>
    </w:p>
    <w:p w14:paraId="4B0C1FB8" w14:textId="77777777" w:rsidR="003D504D" w:rsidRDefault="003D504D" w:rsidP="00223668">
      <w:pPr>
        <w:pStyle w:val="a0"/>
        <w:rPr>
          <w:rStyle w:val="afb"/>
          <w:rtl/>
        </w:rPr>
      </w:pPr>
      <w:r>
        <w:rPr>
          <w:rFonts w:hint="cs"/>
          <w:rtl/>
        </w:rPr>
        <w:t xml:space="preserve">ויעוי' עוד בדברי </w:t>
      </w:r>
      <w:r w:rsidRPr="007E5B4C">
        <w:rPr>
          <w:rStyle w:val="af9"/>
          <w:rFonts w:hint="cs"/>
          <w:rtl/>
        </w:rPr>
        <w:t>הגרעק"א</w:t>
      </w:r>
      <w:r>
        <w:rPr>
          <w:rStyle w:val="af9"/>
          <w:rFonts w:hint="cs"/>
          <w:rtl/>
        </w:rPr>
        <w:t xml:space="preserve"> בתשו'</w:t>
      </w:r>
      <w:r w:rsidRPr="007E5B4C">
        <w:rPr>
          <w:rStyle w:val="af9"/>
          <w:rFonts w:hint="cs"/>
          <w:rtl/>
        </w:rPr>
        <w:t xml:space="preserve"> </w:t>
      </w:r>
      <w:r w:rsidRPr="007E5B4C">
        <w:rPr>
          <w:rStyle w:val="af7"/>
          <w:rFonts w:eastAsia="Guttman Hodes" w:hint="cs"/>
          <w:rtl/>
        </w:rPr>
        <w:t>(מהדו"ת סי' י')</w:t>
      </w:r>
      <w:r>
        <w:rPr>
          <w:rFonts w:hint="cs"/>
          <w:rtl/>
        </w:rPr>
        <w:t xml:space="preserve"> דכתב השואל דכמו דלא מהני שחיטת טריפה להתיר את העובר, ה"ה בשוחט שלמים בירושלים דהאם אסורה מדין שחוטי חוץ, דלא מהני שחיטתה  לעובר, </w:t>
      </w:r>
      <w:r w:rsidRPr="007E5B4C">
        <w:rPr>
          <w:rStyle w:val="afb"/>
          <w:rFonts w:hint="cs"/>
          <w:rtl/>
        </w:rPr>
        <w:t xml:space="preserve">[ורצה השואל לומר דבשניהם מהני שחיטת האם להתיר את האבר היוצא, מאיסור יוצא, ודחה </w:t>
      </w:r>
      <w:r w:rsidRPr="006A2746">
        <w:rPr>
          <w:rStyle w:val="affa"/>
          <w:rFonts w:hint="cs"/>
          <w:rtl/>
        </w:rPr>
        <w:t>הגרעק"א</w:t>
      </w:r>
      <w:r w:rsidRPr="007E5B4C">
        <w:rPr>
          <w:rStyle w:val="afb"/>
          <w:rFonts w:hint="cs"/>
          <w:rtl/>
        </w:rPr>
        <w:t xml:space="preserve"> את דברי השואל לענין דין אבר היוצא],</w:t>
      </w:r>
      <w:r>
        <w:rPr>
          <w:rFonts w:hint="cs"/>
          <w:rtl/>
        </w:rPr>
        <w:t xml:space="preserve"> ועיי"ש בדברי </w:t>
      </w:r>
      <w:r w:rsidRPr="007E5B4C">
        <w:rPr>
          <w:rStyle w:val="af9"/>
          <w:rFonts w:hint="cs"/>
          <w:rtl/>
        </w:rPr>
        <w:t>הגרעק"א</w:t>
      </w:r>
      <w:r>
        <w:rPr>
          <w:rFonts w:hint="cs"/>
          <w:rtl/>
        </w:rPr>
        <w:t xml:space="preserve"> דלא דחה את סברת השואל דדימה את שחיטת טריפה לשחוטי חוץ. </w:t>
      </w:r>
      <w:r w:rsidRPr="007E5B4C">
        <w:rPr>
          <w:rStyle w:val="afb"/>
          <w:rFonts w:hint="cs"/>
          <w:rtl/>
        </w:rPr>
        <w:t xml:space="preserve">[ומשמע מדברי </w:t>
      </w:r>
      <w:r w:rsidRPr="007E5B4C">
        <w:rPr>
          <w:rStyle w:val="affa"/>
          <w:rFonts w:hint="cs"/>
          <w:rtl/>
        </w:rPr>
        <w:t>הגרעק"א</w:t>
      </w:r>
      <w:r w:rsidRPr="007E5B4C">
        <w:rPr>
          <w:rStyle w:val="afb"/>
          <w:rFonts w:hint="cs"/>
          <w:rtl/>
        </w:rPr>
        <w:t xml:space="preserve"> דכל איסור שיש בשחיטת האם אוסר בולד, ואינו רק בדין טריפה, ששחיטתה אינה מתירה את הולד, ודלא כדברי </w:t>
      </w:r>
      <w:r w:rsidRPr="007E5B4C">
        <w:rPr>
          <w:rStyle w:val="affa"/>
          <w:rFonts w:hint="cs"/>
          <w:rtl/>
        </w:rPr>
        <w:t>הגר"ח</w:t>
      </w:r>
      <w:r w:rsidRPr="007E5B4C">
        <w:rPr>
          <w:rStyle w:val="afb"/>
          <w:rFonts w:hint="cs"/>
          <w:rtl/>
        </w:rPr>
        <w:t xml:space="preserve"> (</w:t>
      </w:r>
      <w:r w:rsidRPr="007E5B4C">
        <w:rPr>
          <w:rStyle w:val="aff6"/>
          <w:rFonts w:hint="cs"/>
          <w:rtl/>
        </w:rPr>
        <w:t xml:space="preserve">עי' אות </w:t>
      </w:r>
      <w:r w:rsidRPr="007E5B4C">
        <w:rPr>
          <w:rStyle w:val="aff6"/>
          <w:rtl/>
        </w:rPr>
        <w:fldChar w:fldCharType="begin"/>
      </w:r>
      <w:r w:rsidRPr="007E5B4C">
        <w:rPr>
          <w:rStyle w:val="aff6"/>
          <w:rtl/>
        </w:rPr>
        <w:instrText xml:space="preserve"> </w:instrText>
      </w:r>
      <w:r w:rsidRPr="007E5B4C">
        <w:rPr>
          <w:rStyle w:val="aff6"/>
          <w:rFonts w:hint="cs"/>
        </w:rPr>
        <w:instrText>REF</w:instrText>
      </w:r>
      <w:r w:rsidRPr="007E5B4C">
        <w:rPr>
          <w:rStyle w:val="aff6"/>
          <w:rFonts w:hint="cs"/>
          <w:rtl/>
        </w:rPr>
        <w:instrText xml:space="preserve"> _</w:instrText>
      </w:r>
      <w:r w:rsidRPr="007E5B4C">
        <w:rPr>
          <w:rStyle w:val="aff6"/>
          <w:rFonts w:hint="cs"/>
        </w:rPr>
        <w:instrText>Ref4600691 \r \h</w:instrText>
      </w:r>
      <w:r w:rsidRPr="007E5B4C">
        <w:rPr>
          <w:rStyle w:val="aff6"/>
          <w:rtl/>
        </w:rPr>
        <w:instrText xml:space="preserve"> </w:instrText>
      </w:r>
      <w:r w:rsidRPr="007E5B4C">
        <w:rPr>
          <w:rStyle w:val="aff6"/>
          <w:rtl/>
        </w:rPr>
      </w:r>
      <w:r w:rsidRPr="007E5B4C">
        <w:rPr>
          <w:rStyle w:val="aff6"/>
          <w:rtl/>
        </w:rPr>
        <w:fldChar w:fldCharType="separate"/>
      </w:r>
      <w:r w:rsidR="00345400">
        <w:rPr>
          <w:rStyle w:val="aff6"/>
          <w:cs/>
        </w:rPr>
        <w:t>‎</w:t>
      </w:r>
      <w:r w:rsidR="00345400">
        <w:rPr>
          <w:rStyle w:val="aff6"/>
          <w:rtl/>
        </w:rPr>
        <w:t>לט)</w:t>
      </w:r>
      <w:r w:rsidRPr="007E5B4C">
        <w:rPr>
          <w:rStyle w:val="aff6"/>
          <w:rtl/>
        </w:rPr>
        <w:fldChar w:fldCharType="end"/>
      </w:r>
      <w:r>
        <w:rPr>
          <w:rStyle w:val="afb"/>
          <w:rFonts w:hint="cs"/>
          <w:rtl/>
        </w:rPr>
        <w:t xml:space="preserve"> </w:t>
      </w:r>
      <w:r w:rsidRPr="007E5B4C">
        <w:rPr>
          <w:rStyle w:val="afb"/>
          <w:rFonts w:hint="cs"/>
          <w:rtl/>
        </w:rPr>
        <w:t xml:space="preserve">דביאר דיש חסרון בשחיטת הטריפה]. </w:t>
      </w:r>
    </w:p>
    <w:p w14:paraId="2B29C291" w14:textId="77777777" w:rsidR="003D504D" w:rsidRDefault="003D504D" w:rsidP="003D504D">
      <w:pPr>
        <w:pStyle w:val="a3"/>
        <w:rPr>
          <w:rtl/>
        </w:rPr>
      </w:pPr>
      <w:bookmarkStart w:id="26001" w:name="_Toc4761893"/>
      <w:bookmarkStart w:id="26002" w:name="_Toc4877607"/>
      <w:bookmarkStart w:id="26003" w:name="_Toc4877933"/>
      <w:bookmarkStart w:id="26004" w:name="_Toc4878077"/>
      <w:bookmarkStart w:id="26005" w:name="_Toc19392197"/>
      <w:bookmarkStart w:id="26006" w:name="_Toc19395694"/>
      <w:bookmarkStart w:id="26007" w:name="_Toc4761901"/>
      <w:r>
        <w:rPr>
          <w:rFonts w:hint="cs"/>
          <w:rtl/>
        </w:rPr>
        <w:t>דברי הבינת אדם בחינוך דבטריפה אין אינו זבוח ומשמע בבינת אדם דהולד לא הותר מאינו זבוח</w:t>
      </w:r>
      <w:bookmarkEnd w:id="26001"/>
      <w:bookmarkEnd w:id="26002"/>
      <w:bookmarkEnd w:id="26003"/>
      <w:bookmarkEnd w:id="26004"/>
      <w:bookmarkEnd w:id="26005"/>
      <w:bookmarkEnd w:id="26006"/>
    </w:p>
    <w:p w14:paraId="7C19FDA7" w14:textId="77777777" w:rsidR="003D504D" w:rsidRDefault="003D504D" w:rsidP="00223668">
      <w:pPr>
        <w:pStyle w:val="a0"/>
        <w:rPr>
          <w:rStyle w:val="afb"/>
          <w:rtl/>
        </w:rPr>
      </w:pPr>
      <w:r w:rsidRPr="00591A95">
        <w:rPr>
          <w:rStyle w:val="af9"/>
          <w:rFonts w:hint="cs"/>
          <w:rtl/>
        </w:rPr>
        <w:t xml:space="preserve">והבינת אדם </w:t>
      </w:r>
      <w:r w:rsidRPr="00591A95">
        <w:rPr>
          <w:rStyle w:val="af7"/>
          <w:rFonts w:eastAsia="Guttman Hodes" w:hint="cs"/>
          <w:rtl/>
        </w:rPr>
        <w:t xml:space="preserve">(שער רוב וחזקה ד"ה והנה לפי) </w:t>
      </w:r>
      <w:r>
        <w:rPr>
          <w:rFonts w:hint="cs"/>
          <w:rtl/>
        </w:rPr>
        <w:t xml:space="preserve">הביא את דברי </w:t>
      </w:r>
      <w:r w:rsidRPr="00E32668">
        <w:rPr>
          <w:rStyle w:val="af9"/>
          <w:rFonts w:hint="cs"/>
          <w:rtl/>
        </w:rPr>
        <w:t>החינ</w:t>
      </w:r>
      <w:r w:rsidRPr="00591A95">
        <w:rPr>
          <w:rStyle w:val="af9"/>
          <w:rFonts w:hint="cs"/>
          <w:rtl/>
        </w:rPr>
        <w:t>וך</w:t>
      </w:r>
      <w:r>
        <w:rPr>
          <w:rFonts w:hint="cs"/>
          <w:rtl/>
        </w:rPr>
        <w:t xml:space="preserve"> </w:t>
      </w:r>
      <w:r w:rsidRPr="00591A95">
        <w:rPr>
          <w:rStyle w:val="af7"/>
          <w:rFonts w:eastAsia="Guttman Hodes" w:hint="cs"/>
          <w:rtl/>
        </w:rPr>
        <w:t>(</w:t>
      </w:r>
      <w:r>
        <w:rPr>
          <w:rStyle w:val="af7"/>
          <w:rFonts w:eastAsia="Guttman Hodes" w:hint="cs"/>
          <w:rtl/>
        </w:rPr>
        <w:t xml:space="preserve">סוף </w:t>
      </w:r>
      <w:r w:rsidRPr="00591A95">
        <w:rPr>
          <w:rStyle w:val="af7"/>
          <w:rFonts w:eastAsia="Guttman Hodes" w:hint="cs"/>
          <w:rtl/>
        </w:rPr>
        <w:t xml:space="preserve">מצוה תנ"א) </w:t>
      </w:r>
      <w:r>
        <w:rPr>
          <w:rFonts w:hint="cs"/>
          <w:rtl/>
        </w:rPr>
        <w:t xml:space="preserve">דכתב דבאוכל נבילה עובר גם על איסור עשה דאינו זבוח, דהא כתיב "וזבחת", ואילו באוכל טריפה לא הזכיר </w:t>
      </w:r>
      <w:r w:rsidRPr="00591A95">
        <w:rPr>
          <w:rStyle w:val="af9"/>
          <w:rFonts w:hint="cs"/>
          <w:rtl/>
        </w:rPr>
        <w:t xml:space="preserve">החינוך </w:t>
      </w:r>
      <w:r>
        <w:rPr>
          <w:rFonts w:hint="cs"/>
          <w:rtl/>
        </w:rPr>
        <w:t xml:space="preserve">דעובר על עשה דאינו זבוח, וכתב </w:t>
      </w:r>
      <w:r w:rsidRPr="00591A95">
        <w:rPr>
          <w:rStyle w:val="af9"/>
          <w:rFonts w:hint="cs"/>
          <w:rtl/>
        </w:rPr>
        <w:t xml:space="preserve">הבינת אדם </w:t>
      </w:r>
      <w:r>
        <w:rPr>
          <w:rFonts w:hint="cs"/>
          <w:rtl/>
        </w:rPr>
        <w:t xml:space="preserve">דמבואר מדברי </w:t>
      </w:r>
      <w:r w:rsidRPr="00E32668">
        <w:rPr>
          <w:rStyle w:val="af9"/>
          <w:rFonts w:hint="cs"/>
          <w:rtl/>
        </w:rPr>
        <w:t>החינוך</w:t>
      </w:r>
      <w:r>
        <w:rPr>
          <w:rFonts w:hint="cs"/>
          <w:rtl/>
        </w:rPr>
        <w:t xml:space="preserve"> דבטריפה אין איסור אינו זבוח, אך מ"מ כתב </w:t>
      </w:r>
      <w:r w:rsidRPr="00591A95">
        <w:rPr>
          <w:rStyle w:val="af9"/>
          <w:rFonts w:hint="cs"/>
          <w:rtl/>
        </w:rPr>
        <w:t xml:space="preserve">הבינת אדם </w:t>
      </w:r>
      <w:r>
        <w:rPr>
          <w:rFonts w:hint="cs"/>
          <w:rtl/>
        </w:rPr>
        <w:t xml:space="preserve">דאף דלגבי העובר לא הועילה שחיטת אמו להתירו באכילה, מ"מ באם עצמה ודאי שהותר איסור אינו זבוח. </w:t>
      </w:r>
      <w:r w:rsidRPr="00591A95">
        <w:rPr>
          <w:rStyle w:val="afb"/>
          <w:rFonts w:hint="cs"/>
          <w:rtl/>
        </w:rPr>
        <w:t xml:space="preserve">[ומבואר דס"ל </w:t>
      </w:r>
      <w:r w:rsidRPr="00591A95">
        <w:rPr>
          <w:rStyle w:val="affa"/>
          <w:rFonts w:hint="cs"/>
          <w:rtl/>
        </w:rPr>
        <w:t>להבינת אדם</w:t>
      </w:r>
      <w:r>
        <w:rPr>
          <w:rStyle w:val="afb"/>
          <w:rFonts w:hint="cs"/>
          <w:rtl/>
        </w:rPr>
        <w:t xml:space="preserve"> </w:t>
      </w:r>
      <w:r w:rsidRPr="00591A95">
        <w:rPr>
          <w:rStyle w:val="afb"/>
          <w:rFonts w:hint="cs"/>
          <w:rtl/>
        </w:rPr>
        <w:t>דהעובר אסור באיסור אינו זבוח].</w:t>
      </w:r>
    </w:p>
    <w:p w14:paraId="0C24ECBA" w14:textId="77777777" w:rsidR="003D504D" w:rsidRPr="00C41A68" w:rsidRDefault="003D504D" w:rsidP="003D504D">
      <w:pPr>
        <w:pStyle w:val="a3"/>
        <w:rPr>
          <w:rtl/>
        </w:rPr>
      </w:pPr>
      <w:bookmarkStart w:id="26008" w:name="_Toc4761894"/>
      <w:bookmarkStart w:id="26009" w:name="_Toc4877608"/>
      <w:bookmarkStart w:id="26010" w:name="_Toc4877934"/>
      <w:bookmarkStart w:id="26011" w:name="_Toc4878078"/>
      <w:bookmarkStart w:id="26012" w:name="_Toc19392198"/>
      <w:bookmarkStart w:id="26013" w:name="_Toc19395695"/>
      <w:r>
        <w:rPr>
          <w:rFonts w:hint="cs"/>
          <w:rtl/>
        </w:rPr>
        <w:t>דברי הפרמ"ג דאחר שהולד מת אין בו איסור אבר מן החי</w:t>
      </w:r>
      <w:bookmarkEnd w:id="26008"/>
      <w:bookmarkEnd w:id="26009"/>
      <w:bookmarkEnd w:id="26010"/>
      <w:bookmarkEnd w:id="26011"/>
      <w:bookmarkEnd w:id="26012"/>
      <w:bookmarkEnd w:id="26013"/>
    </w:p>
    <w:p w14:paraId="7F9A5530" w14:textId="77777777" w:rsidR="003D504D" w:rsidRDefault="003D504D" w:rsidP="00223668">
      <w:pPr>
        <w:pStyle w:val="a0"/>
        <w:rPr>
          <w:rtl/>
        </w:rPr>
      </w:pPr>
      <w:r>
        <w:rPr>
          <w:rFonts w:hint="cs"/>
          <w:rtl/>
        </w:rPr>
        <w:t xml:space="preserve">וע"ע בדברי </w:t>
      </w:r>
      <w:r w:rsidRPr="00C41A68">
        <w:rPr>
          <w:rStyle w:val="af9"/>
          <w:rFonts w:hint="cs"/>
          <w:rtl/>
        </w:rPr>
        <w:t>הפרמ"ג</w:t>
      </w:r>
      <w:r>
        <w:rPr>
          <w:rFonts w:hint="cs"/>
          <w:rtl/>
        </w:rPr>
        <w:t xml:space="preserve"> </w:t>
      </w:r>
      <w:r w:rsidRPr="00C41A68">
        <w:rPr>
          <w:rStyle w:val="af7"/>
          <w:rFonts w:eastAsia="Guttman Hodes" w:hint="cs"/>
          <w:rtl/>
        </w:rPr>
        <w:t>(סי' כ"ז שפ"ד סק"ג</w:t>
      </w:r>
      <w:r w:rsidRPr="00C41A68">
        <w:rPr>
          <w:rFonts w:hint="cs"/>
          <w:rtl/>
        </w:rPr>
        <w:t xml:space="preserve"> </w:t>
      </w:r>
      <w:r w:rsidRPr="00C41A68">
        <w:rPr>
          <w:rStyle w:val="af7"/>
          <w:rFonts w:eastAsia="Guttman Hodes" w:hint="cs"/>
          <w:rtl/>
        </w:rPr>
        <w:t>בתו"ד)</w:t>
      </w:r>
      <w:r>
        <w:rPr>
          <w:rFonts w:hint="cs"/>
          <w:rtl/>
        </w:rPr>
        <w:t xml:space="preserve"> דכתב דאחר שמת הולד, אין בו איסור אבר מן החי.</w:t>
      </w:r>
    </w:p>
    <w:p w14:paraId="5EC3066D" w14:textId="77777777" w:rsidR="003D504D" w:rsidRDefault="003D504D" w:rsidP="00BF39B2">
      <w:pPr>
        <w:pStyle w:val="1"/>
        <w:rPr>
          <w:rtl/>
        </w:rPr>
      </w:pPr>
      <w:bookmarkStart w:id="26014" w:name="_Toc4877609"/>
      <w:bookmarkStart w:id="26015" w:name="_Toc4877935"/>
      <w:bookmarkStart w:id="26016" w:name="_Toc4878079"/>
      <w:bookmarkStart w:id="26017" w:name="_Toc19392199"/>
      <w:bookmarkStart w:id="26018" w:name="_Toc19395696"/>
      <w:r>
        <w:rPr>
          <w:rFonts w:hint="cs"/>
          <w:rtl/>
        </w:rPr>
        <w:t>דברי החזו"א דברש"י מבואר דאסור מדין טריפה</w:t>
      </w:r>
      <w:bookmarkEnd w:id="26007"/>
      <w:bookmarkEnd w:id="26014"/>
      <w:bookmarkEnd w:id="26015"/>
      <w:bookmarkEnd w:id="26016"/>
      <w:bookmarkEnd w:id="26017"/>
      <w:bookmarkEnd w:id="26018"/>
    </w:p>
    <w:p w14:paraId="7ADA6454" w14:textId="77777777" w:rsidR="003D504D" w:rsidRPr="00EF24B8" w:rsidRDefault="003D504D" w:rsidP="003D504D">
      <w:pPr>
        <w:pStyle w:val="a3"/>
        <w:rPr>
          <w:rtl/>
        </w:rPr>
      </w:pPr>
      <w:bookmarkStart w:id="26019" w:name="_Toc4761902"/>
      <w:bookmarkStart w:id="26020" w:name="_Toc4877610"/>
      <w:bookmarkStart w:id="26021" w:name="_Toc4877936"/>
      <w:bookmarkStart w:id="26022" w:name="_Toc4878080"/>
      <w:bookmarkStart w:id="26023" w:name="_Toc19392200"/>
      <w:bookmarkStart w:id="26024" w:name="_Toc19395697"/>
      <w:r>
        <w:rPr>
          <w:rFonts w:hint="cs"/>
          <w:rtl/>
        </w:rPr>
        <w:t>דברי החזו"א דאיסור העובר הוא מדין אבר מן החי</w:t>
      </w:r>
      <w:bookmarkEnd w:id="26019"/>
      <w:bookmarkEnd w:id="26020"/>
      <w:bookmarkEnd w:id="26021"/>
      <w:bookmarkEnd w:id="26022"/>
      <w:bookmarkEnd w:id="26023"/>
      <w:bookmarkEnd w:id="26024"/>
    </w:p>
    <w:p w14:paraId="2747D777" w14:textId="77777777" w:rsidR="003D504D" w:rsidRDefault="003D504D" w:rsidP="00223668">
      <w:pPr>
        <w:pStyle w:val="a0"/>
        <w:rPr>
          <w:rtl/>
        </w:rPr>
      </w:pPr>
      <w:bookmarkStart w:id="26025" w:name="_Ref4605727"/>
      <w:r w:rsidRPr="001C4473">
        <w:rPr>
          <w:rFonts w:hint="cs"/>
          <w:rtl/>
        </w:rPr>
        <w:t xml:space="preserve">כתב </w:t>
      </w:r>
      <w:r w:rsidRPr="00CA31E1">
        <w:rPr>
          <w:rStyle w:val="af9"/>
          <w:rFonts w:hint="cs"/>
          <w:rtl/>
        </w:rPr>
        <w:t>החזו"א</w:t>
      </w:r>
      <w:r w:rsidRPr="001C4473">
        <w:rPr>
          <w:rFonts w:hint="cs"/>
          <w:rtl/>
        </w:rPr>
        <w:t xml:space="preserve"> </w:t>
      </w:r>
      <w:r w:rsidRPr="00CA31E1">
        <w:rPr>
          <w:rStyle w:val="af7"/>
          <w:rFonts w:eastAsia="Guttman Hodes" w:hint="cs"/>
          <w:rtl/>
        </w:rPr>
        <w:t xml:space="preserve">(יו"ד סי' ג' סק"ג) </w:t>
      </w:r>
      <w:r>
        <w:rPr>
          <w:rFonts w:hint="cs"/>
          <w:rtl/>
        </w:rPr>
        <w:t>דהאיסור של העובר הוא מדין אבר מן החי.</w:t>
      </w:r>
    </w:p>
    <w:p w14:paraId="0A21A7E8" w14:textId="77777777" w:rsidR="003D504D" w:rsidRPr="00EF24B8" w:rsidRDefault="003D504D" w:rsidP="003D504D">
      <w:pPr>
        <w:pStyle w:val="a3"/>
      </w:pPr>
      <w:bookmarkStart w:id="26026" w:name="_Toc4761903"/>
      <w:bookmarkStart w:id="26027" w:name="_Toc4877611"/>
      <w:bookmarkStart w:id="26028" w:name="_Toc4877937"/>
      <w:bookmarkStart w:id="26029" w:name="_Toc4878081"/>
      <w:bookmarkStart w:id="26030" w:name="_Toc19392201"/>
      <w:bookmarkStart w:id="26031" w:name="_Toc19395698"/>
      <w:r>
        <w:rPr>
          <w:rFonts w:hint="cs"/>
          <w:rtl/>
        </w:rPr>
        <w:t>דברי החזו"א דברש"י דכתב דשחיטת הטריפה אינה מתירה דהוא כירך אמו מבואר דאסור בטריפה</w:t>
      </w:r>
      <w:bookmarkEnd w:id="26026"/>
      <w:bookmarkEnd w:id="26027"/>
      <w:bookmarkEnd w:id="26028"/>
      <w:bookmarkEnd w:id="26029"/>
      <w:bookmarkEnd w:id="26030"/>
      <w:bookmarkEnd w:id="26031"/>
      <w:r>
        <w:rPr>
          <w:rFonts w:hint="cs"/>
          <w:rtl/>
        </w:rPr>
        <w:t xml:space="preserve"> </w:t>
      </w:r>
    </w:p>
    <w:p w14:paraId="4833212F" w14:textId="77777777" w:rsidR="003D504D" w:rsidRPr="00D06EF6" w:rsidRDefault="003D504D" w:rsidP="00223668">
      <w:pPr>
        <w:pStyle w:val="a0"/>
      </w:pPr>
      <w:bookmarkStart w:id="26032" w:name="_Ref4871884"/>
      <w:r>
        <w:rPr>
          <w:rFonts w:hint="cs"/>
          <w:rtl/>
        </w:rPr>
        <w:t xml:space="preserve">אך כתב </w:t>
      </w:r>
      <w:r w:rsidRPr="00CA31E1">
        <w:rPr>
          <w:rStyle w:val="af9"/>
          <w:rFonts w:hint="cs"/>
          <w:rtl/>
        </w:rPr>
        <w:t>החזו"א</w:t>
      </w:r>
      <w:r>
        <w:rPr>
          <w:rFonts w:hint="cs"/>
          <w:rtl/>
        </w:rPr>
        <w:t xml:space="preserve"> </w:t>
      </w:r>
      <w:r w:rsidRPr="001C4473">
        <w:rPr>
          <w:rFonts w:hint="cs"/>
          <w:rtl/>
        </w:rPr>
        <w:t xml:space="preserve">דמלשון </w:t>
      </w:r>
      <w:r w:rsidRPr="00CA31E1">
        <w:rPr>
          <w:rStyle w:val="af9"/>
          <w:rFonts w:hint="cs"/>
          <w:rtl/>
        </w:rPr>
        <w:t>רש"י בביצה</w:t>
      </w:r>
      <w:r w:rsidRPr="001C4473">
        <w:rPr>
          <w:rFonts w:hint="cs"/>
          <w:rtl/>
        </w:rPr>
        <w:t xml:space="preserve"> </w:t>
      </w:r>
      <w:r w:rsidRPr="00CA31E1">
        <w:rPr>
          <w:rStyle w:val="af7"/>
          <w:rFonts w:eastAsia="Guttman Hodes" w:hint="cs"/>
          <w:rtl/>
        </w:rPr>
        <w:t xml:space="preserve">(עי' אות </w:t>
      </w:r>
      <w:r w:rsidRPr="00CA31E1">
        <w:rPr>
          <w:rStyle w:val="af7"/>
          <w:rFonts w:eastAsia="Guttman Hodes"/>
          <w:rtl/>
        </w:rPr>
        <w:fldChar w:fldCharType="begin"/>
      </w:r>
      <w:r w:rsidRPr="00CA31E1">
        <w:rPr>
          <w:rStyle w:val="af7"/>
          <w:rFonts w:eastAsia="Guttman Hodes"/>
          <w:rtl/>
        </w:rPr>
        <w:instrText xml:space="preserve"> </w:instrText>
      </w:r>
      <w:r w:rsidRPr="00CA31E1">
        <w:rPr>
          <w:rStyle w:val="af7"/>
          <w:rFonts w:eastAsia="Guttman Hodes" w:hint="cs"/>
        </w:rPr>
        <w:instrText>REF</w:instrText>
      </w:r>
      <w:r w:rsidRPr="00CA31E1">
        <w:rPr>
          <w:rStyle w:val="af7"/>
          <w:rFonts w:eastAsia="Guttman Hodes" w:hint="cs"/>
          <w:rtl/>
        </w:rPr>
        <w:instrText xml:space="preserve"> _</w:instrText>
      </w:r>
      <w:r w:rsidRPr="00CA31E1">
        <w:rPr>
          <w:rStyle w:val="af7"/>
          <w:rFonts w:eastAsia="Guttman Hodes" w:hint="cs"/>
        </w:rPr>
        <w:instrText>Ref4428980 \r \h</w:instrText>
      </w:r>
      <w:r w:rsidRPr="00CA31E1">
        <w:rPr>
          <w:rStyle w:val="af7"/>
          <w:rFonts w:eastAsia="Guttman Hodes"/>
          <w:rtl/>
        </w:rPr>
        <w:instrText xml:space="preserve"> </w:instrText>
      </w:r>
      <w:r w:rsidRPr="00CA31E1">
        <w:rPr>
          <w:rStyle w:val="af7"/>
          <w:rFonts w:eastAsia="Guttman Hodes"/>
          <w:rtl/>
        </w:rPr>
      </w:r>
      <w:r w:rsidRPr="00CA31E1">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CA31E1">
        <w:rPr>
          <w:rStyle w:val="af7"/>
          <w:rFonts w:eastAsia="Guttman Hodes"/>
          <w:rtl/>
        </w:rPr>
        <w:fldChar w:fldCharType="end"/>
      </w:r>
      <w:r w:rsidRPr="00CA31E1">
        <w:rPr>
          <w:rStyle w:val="af7"/>
          <w:rFonts w:eastAsia="Guttman Hodes" w:hint="cs"/>
          <w:rtl/>
        </w:rPr>
        <w:t xml:space="preserve"> </w:t>
      </w:r>
      <w:r>
        <w:rPr>
          <w:rFonts w:hint="cs"/>
          <w:rtl/>
        </w:rPr>
        <w:t xml:space="preserve">דכתב דהעובר אסור כיון שעובר ירך אמו, </w:t>
      </w:r>
      <w:r w:rsidRPr="001C4473">
        <w:rPr>
          <w:rFonts w:hint="cs"/>
          <w:rtl/>
        </w:rPr>
        <w:t xml:space="preserve">משמע דעובר אסור מדין טריפה כשנשחטה אמו, והקשה </w:t>
      </w:r>
      <w:r w:rsidRPr="00CA31E1">
        <w:rPr>
          <w:rStyle w:val="af9"/>
          <w:rFonts w:hint="cs"/>
          <w:rtl/>
        </w:rPr>
        <w:t>החזו"א</w:t>
      </w:r>
      <w:r w:rsidRPr="001C4473">
        <w:rPr>
          <w:rFonts w:hint="cs"/>
          <w:rtl/>
        </w:rPr>
        <w:t xml:space="preserve"> דהא מסקנת הגמ' בסוגיי</w:t>
      </w:r>
      <w:r>
        <w:rPr>
          <w:rFonts w:hint="cs"/>
          <w:rtl/>
        </w:rPr>
        <w:t xml:space="preserve">ן היא דד' סימנים אכשר ביה רחמנא. </w:t>
      </w:r>
      <w:r w:rsidRPr="00CA31E1">
        <w:rPr>
          <w:rStyle w:val="afb"/>
          <w:rFonts w:hint="cs"/>
          <w:rtl/>
        </w:rPr>
        <w:t>[והיינו דהוא בהמה בפנ"ע ואינו אבר מאברי אמו]</w:t>
      </w:r>
      <w:bookmarkEnd w:id="26025"/>
      <w:r>
        <w:rPr>
          <w:rStyle w:val="afb"/>
          <w:rFonts w:hint="cs"/>
          <w:rtl/>
        </w:rPr>
        <w:t xml:space="preserve">, </w:t>
      </w:r>
      <w:r w:rsidRPr="00D06EF6">
        <w:rPr>
          <w:rFonts w:hint="cs"/>
          <w:rtl/>
        </w:rPr>
        <w:t xml:space="preserve">ועי' בדברי </w:t>
      </w:r>
      <w:r w:rsidRPr="00D06EF6">
        <w:rPr>
          <w:rStyle w:val="af9"/>
          <w:rFonts w:hint="cs"/>
          <w:rtl/>
        </w:rPr>
        <w:t>הקה"י</w:t>
      </w:r>
      <w:r w:rsidRPr="00D06EF6">
        <w:rPr>
          <w:rFonts w:hint="cs"/>
          <w:rtl/>
        </w:rPr>
        <w:t xml:space="preserve"> </w:t>
      </w:r>
      <w:r w:rsidRPr="00D06EF6">
        <w:rPr>
          <w:rStyle w:val="af7"/>
          <w:rFonts w:eastAsia="Guttman Hodes" w:hint="cs"/>
          <w:rtl/>
        </w:rPr>
        <w:t xml:space="preserve">(עי' אות </w:t>
      </w:r>
      <w:r w:rsidRPr="00D06EF6">
        <w:rPr>
          <w:rStyle w:val="af7"/>
          <w:rFonts w:eastAsia="Guttman Hodes"/>
          <w:rtl/>
        </w:rPr>
        <w:fldChar w:fldCharType="begin"/>
      </w:r>
      <w:r w:rsidRPr="00D06EF6">
        <w:rPr>
          <w:rStyle w:val="af7"/>
          <w:rFonts w:eastAsia="Guttman Hodes"/>
          <w:rtl/>
        </w:rPr>
        <w:instrText xml:space="preserve"> </w:instrText>
      </w:r>
      <w:r w:rsidRPr="00D06EF6">
        <w:rPr>
          <w:rStyle w:val="af7"/>
          <w:rFonts w:eastAsia="Guttman Hodes" w:hint="cs"/>
        </w:rPr>
        <w:instrText>REF</w:instrText>
      </w:r>
      <w:r w:rsidRPr="00D06EF6">
        <w:rPr>
          <w:rStyle w:val="af7"/>
          <w:rFonts w:eastAsia="Guttman Hodes" w:hint="cs"/>
          <w:rtl/>
        </w:rPr>
        <w:instrText xml:space="preserve"> _</w:instrText>
      </w:r>
      <w:r w:rsidRPr="00D06EF6">
        <w:rPr>
          <w:rStyle w:val="af7"/>
          <w:rFonts w:eastAsia="Guttman Hodes" w:hint="cs"/>
        </w:rPr>
        <w:instrText>Ref4492218 \r \h</w:instrText>
      </w:r>
      <w:r w:rsidRPr="00D06EF6">
        <w:rPr>
          <w:rStyle w:val="af7"/>
          <w:rFonts w:eastAsia="Guttman Hodes"/>
          <w:rtl/>
        </w:rPr>
        <w:instrText xml:space="preserve"> </w:instrText>
      </w:r>
      <w:r w:rsidRPr="00D06EF6">
        <w:rPr>
          <w:rStyle w:val="af7"/>
          <w:rFonts w:eastAsia="Guttman Hodes"/>
          <w:rtl/>
        </w:rPr>
      </w:r>
      <w:r w:rsidRPr="00D06EF6">
        <w:rPr>
          <w:rStyle w:val="af7"/>
          <w:rFonts w:eastAsia="Guttman Hodes"/>
          <w:rtl/>
        </w:rPr>
        <w:fldChar w:fldCharType="separate"/>
      </w:r>
      <w:r w:rsidR="00345400">
        <w:rPr>
          <w:rStyle w:val="af7"/>
          <w:rFonts w:eastAsia="Guttman Hodes"/>
          <w:cs/>
        </w:rPr>
        <w:t>‎</w:t>
      </w:r>
      <w:r w:rsidR="00345400">
        <w:rPr>
          <w:rStyle w:val="af7"/>
          <w:rFonts w:eastAsia="Guttman Hodes"/>
          <w:rtl/>
        </w:rPr>
        <w:t>סד)</w:t>
      </w:r>
      <w:r w:rsidRPr="00D06EF6">
        <w:rPr>
          <w:rStyle w:val="af7"/>
          <w:rFonts w:eastAsia="Guttman Hodes"/>
          <w:rtl/>
        </w:rPr>
        <w:fldChar w:fldCharType="end"/>
      </w:r>
      <w:r w:rsidRPr="00D06EF6">
        <w:rPr>
          <w:rFonts w:hint="cs"/>
          <w:rtl/>
        </w:rPr>
        <w:t>.</w:t>
      </w:r>
      <w:bookmarkEnd w:id="26032"/>
    </w:p>
    <w:p w14:paraId="6C8CE0DD" w14:textId="77777777" w:rsidR="003D504D" w:rsidRDefault="003D504D" w:rsidP="00BF39B2">
      <w:pPr>
        <w:pStyle w:val="1"/>
        <w:rPr>
          <w:rtl/>
        </w:rPr>
      </w:pPr>
      <w:bookmarkStart w:id="26033" w:name="_Toc4606379"/>
      <w:bookmarkStart w:id="26034" w:name="_Toc4618174"/>
      <w:bookmarkStart w:id="26035" w:name="_Toc4704749"/>
      <w:bookmarkStart w:id="26036" w:name="_Toc4761904"/>
      <w:bookmarkStart w:id="26037" w:name="_Toc4877612"/>
      <w:bookmarkStart w:id="26038" w:name="_Toc4877938"/>
      <w:bookmarkStart w:id="26039" w:name="_Toc4878082"/>
      <w:bookmarkStart w:id="26040" w:name="_Toc19392202"/>
      <w:bookmarkStart w:id="26041" w:name="_Toc19395699"/>
      <w:r>
        <w:rPr>
          <w:rFonts w:hint="cs"/>
          <w:rtl/>
        </w:rPr>
        <w:t>דברי הרמב"ם</w:t>
      </w:r>
      <w:bookmarkEnd w:id="26033"/>
      <w:bookmarkEnd w:id="26034"/>
      <w:bookmarkEnd w:id="26035"/>
      <w:r>
        <w:rPr>
          <w:rFonts w:hint="cs"/>
          <w:rtl/>
        </w:rPr>
        <w:t xml:space="preserve"> דבן ח' במעי טריפה הוא כאבר דאמו</w:t>
      </w:r>
      <w:bookmarkEnd w:id="26036"/>
      <w:bookmarkEnd w:id="26037"/>
      <w:bookmarkEnd w:id="26038"/>
      <w:bookmarkEnd w:id="26039"/>
      <w:bookmarkEnd w:id="26040"/>
      <w:bookmarkEnd w:id="26041"/>
    </w:p>
    <w:p w14:paraId="739B617D" w14:textId="77777777" w:rsidR="003D504D" w:rsidRPr="005E6AAC" w:rsidRDefault="003D504D" w:rsidP="003D504D">
      <w:pPr>
        <w:pStyle w:val="a3"/>
        <w:rPr>
          <w:rtl/>
        </w:rPr>
      </w:pPr>
      <w:bookmarkStart w:id="26042" w:name="_Toc4761905"/>
      <w:bookmarkStart w:id="26043" w:name="_Toc4877613"/>
      <w:bookmarkStart w:id="26044" w:name="_Toc4877939"/>
      <w:bookmarkStart w:id="26045" w:name="_Toc4878083"/>
      <w:bookmarkStart w:id="26046" w:name="_Toc19392203"/>
      <w:bookmarkStart w:id="26047" w:name="_Toc19395700"/>
      <w:r>
        <w:rPr>
          <w:rFonts w:hint="cs"/>
          <w:rtl/>
        </w:rPr>
        <w:t>דברי הרמב"ם דבקרע בהמה או שחט טריפה ומצא בה בן ט' הוא טעון שחיטה</w:t>
      </w:r>
      <w:bookmarkEnd w:id="26042"/>
      <w:bookmarkEnd w:id="26043"/>
      <w:bookmarkEnd w:id="26044"/>
      <w:bookmarkEnd w:id="26045"/>
      <w:bookmarkEnd w:id="26046"/>
      <w:bookmarkEnd w:id="26047"/>
    </w:p>
    <w:p w14:paraId="2AF7E522" w14:textId="77777777" w:rsidR="003D504D" w:rsidRDefault="003D504D" w:rsidP="00223668">
      <w:pPr>
        <w:pStyle w:val="a0"/>
        <w:rPr>
          <w:rtl/>
        </w:rPr>
      </w:pPr>
      <w:bookmarkStart w:id="26048" w:name="_Ref4606067"/>
      <w:r>
        <w:rPr>
          <w:rFonts w:hint="cs"/>
          <w:rtl/>
        </w:rPr>
        <w:t xml:space="preserve">כתב </w:t>
      </w:r>
      <w:r w:rsidRPr="005E6AAC">
        <w:rPr>
          <w:rStyle w:val="af9"/>
          <w:rFonts w:hint="cs"/>
          <w:rtl/>
        </w:rPr>
        <w:t>הרמב"ם</w:t>
      </w:r>
      <w:r>
        <w:rPr>
          <w:rFonts w:hint="cs"/>
          <w:rtl/>
        </w:rPr>
        <w:t xml:space="preserve"> </w:t>
      </w:r>
      <w:r w:rsidRPr="005E6AAC">
        <w:rPr>
          <w:rStyle w:val="af7"/>
          <w:rFonts w:eastAsia="Guttman Hodes" w:hint="cs"/>
          <w:rtl/>
        </w:rPr>
        <w:t xml:space="preserve">(מאכ"א פ"ה הט"ו) </w:t>
      </w:r>
      <w:r>
        <w:rPr>
          <w:rFonts w:hint="cs"/>
          <w:rtl/>
        </w:rPr>
        <w:t>דאם קרע את הבהמה, או שחט בהמה טריפה, ומצא בה בן ט' חי, דשחיטת אמו אינה מתירתו, והוא צריך שחיטה להתירו.</w:t>
      </w:r>
    </w:p>
    <w:p w14:paraId="031E1269" w14:textId="77777777" w:rsidR="003D504D" w:rsidRPr="007E37FC" w:rsidRDefault="003D504D" w:rsidP="003D504D">
      <w:pPr>
        <w:pStyle w:val="a3"/>
      </w:pPr>
      <w:bookmarkStart w:id="26049" w:name="_Toc4761906"/>
      <w:bookmarkStart w:id="26050" w:name="_Toc4877614"/>
      <w:bookmarkStart w:id="26051" w:name="_Toc4877940"/>
      <w:bookmarkStart w:id="26052" w:name="_Toc4878084"/>
      <w:bookmarkStart w:id="26053" w:name="_Toc19392204"/>
      <w:bookmarkStart w:id="26054" w:name="_Toc19395701"/>
      <w:r w:rsidRPr="007E37FC">
        <w:rPr>
          <w:rtl/>
        </w:rPr>
        <w:t>דברי הרמב"ם דבקרע בהמה או שחט טריפה ומצא בה בן</w:t>
      </w:r>
      <w:r>
        <w:rPr>
          <w:rFonts w:hint="cs"/>
          <w:rtl/>
        </w:rPr>
        <w:t xml:space="preserve"> ח' אף שהוא חי אסור דהוא כאבר דאמו</w:t>
      </w:r>
      <w:bookmarkEnd w:id="26049"/>
      <w:bookmarkEnd w:id="26050"/>
      <w:bookmarkEnd w:id="26051"/>
      <w:bookmarkEnd w:id="26052"/>
      <w:bookmarkEnd w:id="26053"/>
      <w:bookmarkEnd w:id="26054"/>
    </w:p>
    <w:p w14:paraId="33B4FD71" w14:textId="77777777" w:rsidR="003D504D" w:rsidRDefault="003D504D" w:rsidP="00223668">
      <w:pPr>
        <w:pStyle w:val="a0"/>
        <w:rPr>
          <w:rtl/>
        </w:rPr>
      </w:pPr>
      <w:r>
        <w:rPr>
          <w:rFonts w:hint="cs"/>
          <w:rtl/>
        </w:rPr>
        <w:t xml:space="preserve">והוסיף </w:t>
      </w:r>
      <w:r w:rsidRPr="007E37FC">
        <w:rPr>
          <w:rStyle w:val="af9"/>
          <w:rFonts w:hint="cs"/>
          <w:rtl/>
        </w:rPr>
        <w:t>הרמב"ם</w:t>
      </w:r>
      <w:r>
        <w:rPr>
          <w:rFonts w:hint="cs"/>
          <w:rtl/>
        </w:rPr>
        <w:t xml:space="preserve"> דאם לא כלו לו חדשיו, אף אם נמצא חי במעי האם הטריפה, הוא אסור, כיון שהוא אבר מאברי אמו.</w:t>
      </w:r>
      <w:bookmarkEnd w:id="26048"/>
    </w:p>
    <w:p w14:paraId="416BB3D7" w14:textId="77777777" w:rsidR="003D504D" w:rsidRPr="00DC50B3" w:rsidRDefault="003D504D" w:rsidP="003D504D">
      <w:pPr>
        <w:pStyle w:val="a3"/>
        <w:rPr>
          <w:rtl/>
        </w:rPr>
      </w:pPr>
      <w:bookmarkStart w:id="26055" w:name="_Toc4877615"/>
      <w:bookmarkStart w:id="26056" w:name="_Toc4877941"/>
      <w:bookmarkStart w:id="26057" w:name="_Toc4878085"/>
      <w:bookmarkStart w:id="26058" w:name="_Toc19392205"/>
      <w:bookmarkStart w:id="26059" w:name="_Toc19395702"/>
      <w:r>
        <w:rPr>
          <w:rFonts w:hint="cs"/>
          <w:rtl/>
        </w:rPr>
        <w:t>ביאור הגר"ח ברמב"ם דשחיטת טריפה אינה מתירה לאכילה כלל ולכן אסור הולד</w:t>
      </w:r>
      <w:bookmarkEnd w:id="26055"/>
      <w:bookmarkEnd w:id="26056"/>
      <w:bookmarkEnd w:id="26057"/>
      <w:bookmarkEnd w:id="26058"/>
      <w:bookmarkEnd w:id="26059"/>
    </w:p>
    <w:p w14:paraId="5BDF1D24" w14:textId="77777777" w:rsidR="003D504D" w:rsidRDefault="003D504D" w:rsidP="00223668">
      <w:pPr>
        <w:pStyle w:val="a0"/>
        <w:rPr>
          <w:rtl/>
        </w:rPr>
      </w:pPr>
      <w:r w:rsidRPr="00DC50B3">
        <w:rPr>
          <w:rFonts w:hint="cs"/>
          <w:rtl/>
        </w:rPr>
        <w:t xml:space="preserve">ועי' במה שביארו </w:t>
      </w:r>
      <w:r w:rsidRPr="008038AE">
        <w:rPr>
          <w:rStyle w:val="af9"/>
          <w:rFonts w:hint="cs"/>
          <w:rtl/>
        </w:rPr>
        <w:t>הגר"ח</w:t>
      </w:r>
      <w:r w:rsidRPr="00DC50B3">
        <w:rPr>
          <w:rFonts w:hint="cs"/>
          <w:rtl/>
        </w:rPr>
        <w:t xml:space="preserve"> </w:t>
      </w:r>
      <w:r w:rsidRPr="008038AE">
        <w:rPr>
          <w:rStyle w:val="af7"/>
          <w:rFonts w:eastAsia="Guttman Hodes" w:hint="cs"/>
          <w:rtl/>
        </w:rPr>
        <w:t xml:space="preserve">(עי' אות </w:t>
      </w:r>
      <w:r w:rsidRPr="008038AE">
        <w:rPr>
          <w:rStyle w:val="af7"/>
          <w:rFonts w:eastAsia="Guttman Hodes"/>
          <w:rtl/>
        </w:rPr>
        <w:fldChar w:fldCharType="begin"/>
      </w:r>
      <w:r w:rsidRPr="008038AE">
        <w:rPr>
          <w:rStyle w:val="af7"/>
          <w:rFonts w:eastAsia="Guttman Hodes"/>
          <w:rtl/>
        </w:rPr>
        <w:instrText xml:space="preserve"> </w:instrText>
      </w:r>
      <w:r w:rsidRPr="008038AE">
        <w:rPr>
          <w:rStyle w:val="af7"/>
          <w:rFonts w:eastAsia="Guttman Hodes" w:hint="cs"/>
        </w:rPr>
        <w:instrText>REF</w:instrText>
      </w:r>
      <w:r w:rsidRPr="008038AE">
        <w:rPr>
          <w:rStyle w:val="af7"/>
          <w:rFonts w:eastAsia="Guttman Hodes" w:hint="cs"/>
          <w:rtl/>
        </w:rPr>
        <w:instrText xml:space="preserve"> _</w:instrText>
      </w:r>
      <w:r w:rsidRPr="008038AE">
        <w:rPr>
          <w:rStyle w:val="af7"/>
          <w:rFonts w:eastAsia="Guttman Hodes" w:hint="cs"/>
        </w:rPr>
        <w:instrText>Ref4699889 \r \h</w:instrText>
      </w:r>
      <w:r w:rsidRPr="008038AE">
        <w:rPr>
          <w:rStyle w:val="af7"/>
          <w:rFonts w:eastAsia="Guttman Hodes"/>
          <w:rtl/>
        </w:rPr>
        <w:instrText xml:space="preserve"> </w:instrText>
      </w:r>
      <w:r w:rsidRPr="008038AE">
        <w:rPr>
          <w:rStyle w:val="af7"/>
          <w:rFonts w:eastAsia="Guttman Hodes"/>
          <w:rtl/>
        </w:rPr>
      </w:r>
      <w:r w:rsidRPr="008038AE">
        <w:rPr>
          <w:rStyle w:val="af7"/>
          <w:rFonts w:eastAsia="Guttman Hodes"/>
          <w:rtl/>
        </w:rPr>
        <w:fldChar w:fldCharType="separate"/>
      </w:r>
      <w:r w:rsidR="00345400">
        <w:rPr>
          <w:rStyle w:val="af7"/>
          <w:rFonts w:eastAsia="Guttman Hodes"/>
          <w:cs/>
        </w:rPr>
        <w:t>‎</w:t>
      </w:r>
      <w:r w:rsidR="00345400">
        <w:rPr>
          <w:rStyle w:val="af7"/>
          <w:rFonts w:eastAsia="Guttman Hodes"/>
          <w:rtl/>
        </w:rPr>
        <w:t>לח)</w:t>
      </w:r>
      <w:r w:rsidRPr="008038AE">
        <w:rPr>
          <w:rStyle w:val="af7"/>
          <w:rFonts w:eastAsia="Guttman Hodes"/>
          <w:rtl/>
        </w:rPr>
        <w:fldChar w:fldCharType="end"/>
      </w:r>
      <w:r w:rsidRPr="00DC50B3">
        <w:rPr>
          <w:rFonts w:hint="cs"/>
          <w:rtl/>
        </w:rPr>
        <w:t xml:space="preserve"> </w:t>
      </w:r>
      <w:r w:rsidRPr="008038AE">
        <w:rPr>
          <w:rStyle w:val="af9"/>
          <w:rFonts w:hint="cs"/>
          <w:rtl/>
        </w:rPr>
        <w:t>והחזון יחזקאל</w:t>
      </w:r>
      <w:r>
        <w:rPr>
          <w:rFonts w:hint="cs"/>
          <w:rtl/>
        </w:rPr>
        <w:t xml:space="preserve"> </w:t>
      </w:r>
      <w:r w:rsidRPr="008038AE">
        <w:rPr>
          <w:rStyle w:val="af7"/>
          <w:rFonts w:eastAsia="Guttman Hodes" w:hint="cs"/>
          <w:rtl/>
        </w:rPr>
        <w:t xml:space="preserve">(עי' אות </w:t>
      </w:r>
      <w:r w:rsidRPr="008038AE">
        <w:rPr>
          <w:rStyle w:val="af7"/>
          <w:rFonts w:eastAsia="Guttman Hodes"/>
          <w:rtl/>
        </w:rPr>
        <w:fldChar w:fldCharType="begin"/>
      </w:r>
      <w:r w:rsidRPr="008038AE">
        <w:rPr>
          <w:rStyle w:val="af7"/>
          <w:rFonts w:eastAsia="Guttman Hodes"/>
          <w:rtl/>
        </w:rPr>
        <w:instrText xml:space="preserve"> </w:instrText>
      </w:r>
      <w:r w:rsidRPr="008038AE">
        <w:rPr>
          <w:rStyle w:val="af7"/>
          <w:rFonts w:eastAsia="Guttman Hodes" w:hint="cs"/>
        </w:rPr>
        <w:instrText>REF</w:instrText>
      </w:r>
      <w:r w:rsidRPr="008038AE">
        <w:rPr>
          <w:rStyle w:val="af7"/>
          <w:rFonts w:eastAsia="Guttman Hodes" w:hint="cs"/>
          <w:rtl/>
        </w:rPr>
        <w:instrText xml:space="preserve"> _</w:instrText>
      </w:r>
      <w:r w:rsidRPr="008038AE">
        <w:rPr>
          <w:rStyle w:val="af7"/>
          <w:rFonts w:eastAsia="Guttman Hodes" w:hint="cs"/>
        </w:rPr>
        <w:instrText>Ref4750956 \r \h</w:instrText>
      </w:r>
      <w:r w:rsidRPr="008038AE">
        <w:rPr>
          <w:rStyle w:val="af7"/>
          <w:rFonts w:eastAsia="Guttman Hodes"/>
          <w:rtl/>
        </w:rPr>
        <w:instrText xml:space="preserve"> </w:instrText>
      </w:r>
      <w:r w:rsidRPr="008038AE">
        <w:rPr>
          <w:rStyle w:val="af7"/>
          <w:rFonts w:eastAsia="Guttman Hodes"/>
          <w:rtl/>
        </w:rPr>
      </w:r>
      <w:r w:rsidRPr="008038AE">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8038AE">
        <w:rPr>
          <w:rStyle w:val="af7"/>
          <w:rFonts w:eastAsia="Guttman Hodes"/>
          <w:rtl/>
        </w:rPr>
        <w:fldChar w:fldCharType="end"/>
      </w:r>
      <w:r w:rsidRPr="008038AE">
        <w:rPr>
          <w:rStyle w:val="af7"/>
          <w:rFonts w:eastAsia="Guttman Hodes" w:hint="cs"/>
          <w:rtl/>
        </w:rPr>
        <w:t xml:space="preserve"> </w:t>
      </w:r>
      <w:r w:rsidRPr="008038AE">
        <w:rPr>
          <w:rStyle w:val="af9"/>
          <w:rFonts w:hint="cs"/>
          <w:rtl/>
        </w:rPr>
        <w:t>והמשנת ר"א</w:t>
      </w:r>
      <w:r w:rsidRPr="00DC50B3">
        <w:rPr>
          <w:rFonts w:hint="cs"/>
          <w:rtl/>
        </w:rPr>
        <w:t xml:space="preserve"> </w:t>
      </w:r>
      <w:r w:rsidRPr="008038AE">
        <w:rPr>
          <w:rStyle w:val="af7"/>
          <w:rFonts w:eastAsia="Guttman Hodes" w:hint="cs"/>
          <w:rtl/>
        </w:rPr>
        <w:t xml:space="preserve">(עי' אות </w:t>
      </w:r>
      <w:r w:rsidRPr="008038AE">
        <w:rPr>
          <w:rStyle w:val="af7"/>
          <w:rFonts w:eastAsia="Guttman Hodes"/>
          <w:rtl/>
        </w:rPr>
        <w:fldChar w:fldCharType="begin"/>
      </w:r>
      <w:r w:rsidRPr="008038AE">
        <w:rPr>
          <w:rStyle w:val="af7"/>
          <w:rFonts w:eastAsia="Guttman Hodes"/>
          <w:rtl/>
        </w:rPr>
        <w:instrText xml:space="preserve"> </w:instrText>
      </w:r>
      <w:r w:rsidRPr="008038AE">
        <w:rPr>
          <w:rStyle w:val="af7"/>
          <w:rFonts w:eastAsia="Guttman Hodes" w:hint="cs"/>
        </w:rPr>
        <w:instrText>REF</w:instrText>
      </w:r>
      <w:r w:rsidRPr="008038AE">
        <w:rPr>
          <w:rStyle w:val="af7"/>
          <w:rFonts w:eastAsia="Guttman Hodes" w:hint="cs"/>
          <w:rtl/>
        </w:rPr>
        <w:instrText xml:space="preserve"> _</w:instrText>
      </w:r>
      <w:r w:rsidRPr="008038AE">
        <w:rPr>
          <w:rStyle w:val="af7"/>
          <w:rFonts w:eastAsia="Guttman Hodes" w:hint="cs"/>
        </w:rPr>
        <w:instrText>Ref4702504 \r \h</w:instrText>
      </w:r>
      <w:r w:rsidRPr="008038AE">
        <w:rPr>
          <w:rStyle w:val="af7"/>
          <w:rFonts w:eastAsia="Guttman Hodes"/>
          <w:rtl/>
        </w:rPr>
        <w:instrText xml:space="preserve"> </w:instrText>
      </w:r>
      <w:r w:rsidRPr="008038AE">
        <w:rPr>
          <w:rStyle w:val="af7"/>
          <w:rFonts w:eastAsia="Guttman Hodes"/>
          <w:rtl/>
        </w:rPr>
      </w:r>
      <w:r w:rsidRPr="008038AE">
        <w:rPr>
          <w:rStyle w:val="af7"/>
          <w:rFonts w:eastAsia="Guttman Hodes"/>
          <w:rtl/>
        </w:rPr>
        <w:fldChar w:fldCharType="separate"/>
      </w:r>
      <w:r w:rsidR="00345400">
        <w:rPr>
          <w:rStyle w:val="af7"/>
          <w:rFonts w:eastAsia="Guttman Hodes"/>
          <w:cs/>
        </w:rPr>
        <w:t>‎</w:t>
      </w:r>
      <w:r w:rsidR="00345400">
        <w:rPr>
          <w:rStyle w:val="af7"/>
          <w:rFonts w:eastAsia="Guttman Hodes"/>
          <w:rtl/>
        </w:rPr>
        <w:t>פט)</w:t>
      </w:r>
      <w:r w:rsidRPr="008038AE">
        <w:rPr>
          <w:rStyle w:val="af7"/>
          <w:rFonts w:eastAsia="Guttman Hodes"/>
          <w:rtl/>
        </w:rPr>
        <w:fldChar w:fldCharType="end"/>
      </w:r>
      <w:r>
        <w:rPr>
          <w:rFonts w:hint="cs"/>
          <w:rtl/>
        </w:rPr>
        <w:t xml:space="preserve">, דלדעת </w:t>
      </w:r>
      <w:r w:rsidRPr="008038AE">
        <w:rPr>
          <w:rStyle w:val="af9"/>
          <w:rFonts w:hint="cs"/>
          <w:rtl/>
        </w:rPr>
        <w:t>הרמב"ם</w:t>
      </w:r>
      <w:r>
        <w:rPr>
          <w:rFonts w:hint="cs"/>
          <w:rtl/>
        </w:rPr>
        <w:t xml:space="preserve"> שחיטת טריפה אינה מתירה לאכילה כלל, וע"ע במה ביאר </w:t>
      </w:r>
      <w:r w:rsidRPr="00A2720B">
        <w:rPr>
          <w:rStyle w:val="af9"/>
          <w:rFonts w:hint="cs"/>
          <w:rtl/>
        </w:rPr>
        <w:t>הגרי"ז</w:t>
      </w:r>
      <w:r w:rsidRPr="00A2720B">
        <w:rPr>
          <w:rFonts w:hint="cs"/>
          <w:rtl/>
        </w:rPr>
        <w:t xml:space="preserve"> </w:t>
      </w:r>
      <w:r>
        <w:rPr>
          <w:rFonts w:hint="cs"/>
          <w:rtl/>
        </w:rPr>
        <w:t>ב</w:t>
      </w:r>
      <w:r w:rsidRPr="00A2720B">
        <w:rPr>
          <w:rFonts w:hint="cs"/>
          <w:rtl/>
        </w:rPr>
        <w:t xml:space="preserve">דברי </w:t>
      </w:r>
      <w:r w:rsidRPr="00A2720B">
        <w:rPr>
          <w:rStyle w:val="af9"/>
          <w:rFonts w:hint="cs"/>
          <w:rtl/>
        </w:rPr>
        <w:t>הרמב"ם</w:t>
      </w:r>
      <w:r w:rsidRPr="00A2720B">
        <w:rPr>
          <w:rFonts w:hint="cs"/>
          <w:rtl/>
        </w:rPr>
        <w:t xml:space="preserve"> </w:t>
      </w:r>
      <w:r>
        <w:rPr>
          <w:rFonts w:hint="cs"/>
          <w:rtl/>
        </w:rPr>
        <w:t xml:space="preserve">עפ"י </w:t>
      </w:r>
      <w:r w:rsidRPr="00A2720B">
        <w:rPr>
          <w:rFonts w:hint="cs"/>
          <w:rtl/>
        </w:rPr>
        <w:t xml:space="preserve">דברי </w:t>
      </w:r>
      <w:r w:rsidRPr="00A2720B">
        <w:rPr>
          <w:rStyle w:val="af9"/>
          <w:rFonts w:hint="cs"/>
          <w:rtl/>
        </w:rPr>
        <w:t>החזון יחזקאל</w:t>
      </w:r>
      <w:r w:rsidRPr="00A2720B">
        <w:rPr>
          <w:rFonts w:hint="cs"/>
          <w:rtl/>
        </w:rPr>
        <w:t xml:space="preserve"> </w:t>
      </w:r>
      <w:r>
        <w:rPr>
          <w:rFonts w:hint="cs"/>
          <w:rtl/>
        </w:rPr>
        <w:t>ד</w:t>
      </w:r>
      <w:r w:rsidRPr="00A2720B">
        <w:rPr>
          <w:rFonts w:hint="cs"/>
          <w:rtl/>
        </w:rPr>
        <w:t xml:space="preserve">דין העובר הוא כדין האם, </w:t>
      </w:r>
      <w:r>
        <w:rPr>
          <w:rFonts w:hint="cs"/>
          <w:rtl/>
        </w:rPr>
        <w:t>וכיון שאין האם מותרת בשחיטה ה"ה דהולד אין בו היתר אכילה ע"י שחיטת האם</w:t>
      </w:r>
      <w:r w:rsidRPr="00A2720B">
        <w:rPr>
          <w:rFonts w:hint="cs"/>
          <w:rtl/>
        </w:rPr>
        <w:t>.</w:t>
      </w:r>
    </w:p>
    <w:p w14:paraId="196DC659" w14:textId="77777777" w:rsidR="003D504D" w:rsidRPr="008038AE" w:rsidRDefault="003D504D" w:rsidP="003D504D">
      <w:pPr>
        <w:pStyle w:val="a3"/>
      </w:pPr>
      <w:bookmarkStart w:id="26060" w:name="_Toc4877616"/>
      <w:bookmarkStart w:id="26061" w:name="_Toc4877942"/>
      <w:bookmarkStart w:id="26062" w:name="_Toc4878086"/>
      <w:bookmarkStart w:id="26063" w:name="_Toc19392206"/>
      <w:bookmarkStart w:id="26064" w:name="_Toc19395703"/>
      <w:r>
        <w:rPr>
          <w:rFonts w:hint="cs"/>
          <w:rtl/>
        </w:rPr>
        <w:t>דברי הקה"י דהרמב"ם ביאר כגרעק"א דהוי ירך אמו ואיסורו מדין טריפה</w:t>
      </w:r>
      <w:bookmarkEnd w:id="26060"/>
      <w:bookmarkEnd w:id="26061"/>
      <w:bookmarkEnd w:id="26062"/>
      <w:bookmarkEnd w:id="26063"/>
      <w:bookmarkEnd w:id="26064"/>
    </w:p>
    <w:p w14:paraId="235EF6C3" w14:textId="77777777" w:rsidR="003D504D" w:rsidRPr="00DC50B3" w:rsidRDefault="003D504D" w:rsidP="00223668">
      <w:pPr>
        <w:pStyle w:val="a0"/>
        <w:rPr>
          <w:rtl/>
        </w:rPr>
      </w:pPr>
      <w:r>
        <w:rPr>
          <w:rFonts w:hint="cs"/>
          <w:rtl/>
        </w:rPr>
        <w:t xml:space="preserve">וע"ע במ"ש </w:t>
      </w:r>
      <w:r w:rsidRPr="008038AE">
        <w:rPr>
          <w:rStyle w:val="af9"/>
          <w:rFonts w:hint="cs"/>
          <w:rtl/>
        </w:rPr>
        <w:t>הקה"י</w:t>
      </w:r>
      <w:r>
        <w:rPr>
          <w:rFonts w:hint="cs"/>
          <w:rtl/>
        </w:rPr>
        <w:t xml:space="preserve"> </w:t>
      </w:r>
      <w:r w:rsidRPr="008038AE">
        <w:rPr>
          <w:rStyle w:val="af7"/>
          <w:rFonts w:eastAsia="Guttman Hodes" w:hint="cs"/>
          <w:rtl/>
        </w:rPr>
        <w:t xml:space="preserve">(עי' אות </w:t>
      </w:r>
      <w:r w:rsidRPr="008038AE">
        <w:rPr>
          <w:rStyle w:val="af7"/>
          <w:rFonts w:eastAsia="Guttman Hodes"/>
          <w:rtl/>
        </w:rPr>
        <w:fldChar w:fldCharType="begin"/>
      </w:r>
      <w:r w:rsidRPr="008038AE">
        <w:rPr>
          <w:rStyle w:val="af7"/>
          <w:rFonts w:eastAsia="Guttman Hodes"/>
          <w:rtl/>
        </w:rPr>
        <w:instrText xml:space="preserve"> </w:instrText>
      </w:r>
      <w:r w:rsidRPr="008038AE">
        <w:rPr>
          <w:rStyle w:val="af7"/>
          <w:rFonts w:eastAsia="Guttman Hodes" w:hint="cs"/>
        </w:rPr>
        <w:instrText>REF</w:instrText>
      </w:r>
      <w:r w:rsidRPr="008038AE">
        <w:rPr>
          <w:rStyle w:val="af7"/>
          <w:rFonts w:eastAsia="Guttman Hodes" w:hint="cs"/>
          <w:rtl/>
        </w:rPr>
        <w:instrText xml:space="preserve"> _</w:instrText>
      </w:r>
      <w:r w:rsidRPr="008038AE">
        <w:rPr>
          <w:rStyle w:val="af7"/>
          <w:rFonts w:eastAsia="Guttman Hodes" w:hint="cs"/>
        </w:rPr>
        <w:instrText>Ref4876231 \r \h</w:instrText>
      </w:r>
      <w:r w:rsidRPr="008038AE">
        <w:rPr>
          <w:rStyle w:val="af7"/>
          <w:rFonts w:eastAsia="Guttman Hodes"/>
          <w:rtl/>
        </w:rPr>
        <w:instrText xml:space="preserve"> </w:instrText>
      </w:r>
      <w:r w:rsidRPr="008038AE">
        <w:rPr>
          <w:rStyle w:val="af7"/>
          <w:rFonts w:eastAsia="Guttman Hodes"/>
          <w:rtl/>
        </w:rPr>
      </w:r>
      <w:r w:rsidRPr="008038AE">
        <w:rPr>
          <w:rStyle w:val="af7"/>
          <w:rFonts w:eastAsia="Guttman Hodes"/>
          <w:rtl/>
        </w:rPr>
        <w:fldChar w:fldCharType="separate"/>
      </w:r>
      <w:r w:rsidR="00345400">
        <w:rPr>
          <w:rStyle w:val="af7"/>
          <w:rFonts w:eastAsia="Guttman Hodes"/>
          <w:cs/>
        </w:rPr>
        <w:t>‎</w:t>
      </w:r>
      <w:r w:rsidR="00345400">
        <w:rPr>
          <w:rStyle w:val="af7"/>
          <w:rFonts w:eastAsia="Guttman Hodes"/>
          <w:rtl/>
        </w:rPr>
        <w:t>סה)</w:t>
      </w:r>
      <w:r w:rsidRPr="008038AE">
        <w:rPr>
          <w:rStyle w:val="af7"/>
          <w:rFonts w:eastAsia="Guttman Hodes"/>
          <w:rtl/>
        </w:rPr>
        <w:fldChar w:fldCharType="end"/>
      </w:r>
      <w:r>
        <w:rPr>
          <w:rFonts w:hint="cs"/>
          <w:rtl/>
        </w:rPr>
        <w:t xml:space="preserve"> בדעת </w:t>
      </w:r>
      <w:r w:rsidRPr="008038AE">
        <w:rPr>
          <w:rStyle w:val="af9"/>
          <w:rFonts w:hint="cs"/>
          <w:rtl/>
        </w:rPr>
        <w:t>הרמב"ם</w:t>
      </w:r>
      <w:r>
        <w:rPr>
          <w:rFonts w:hint="cs"/>
          <w:rtl/>
        </w:rPr>
        <w:t xml:space="preserve"> דס"ל </w:t>
      </w:r>
      <w:r>
        <w:rPr>
          <w:rStyle w:val="af9"/>
          <w:rFonts w:hint="cs"/>
          <w:rtl/>
        </w:rPr>
        <w:t>כ</w:t>
      </w:r>
      <w:r w:rsidRPr="002D6DFA">
        <w:rPr>
          <w:rStyle w:val="af9"/>
          <w:rFonts w:hint="cs"/>
          <w:rtl/>
        </w:rPr>
        <w:t>הגרעק"א</w:t>
      </w:r>
      <w:r>
        <w:rPr>
          <w:rFonts w:hint="cs"/>
          <w:rtl/>
        </w:rPr>
        <w:t xml:space="preserve"> </w:t>
      </w:r>
      <w:r w:rsidRPr="005909E9">
        <w:rPr>
          <w:rStyle w:val="af7"/>
          <w:rFonts w:eastAsia="Guttman Hodes" w:hint="cs"/>
          <w:rtl/>
        </w:rPr>
        <w:t xml:space="preserve">(עי' אות </w:t>
      </w:r>
      <w:r w:rsidRPr="005909E9">
        <w:rPr>
          <w:rStyle w:val="af7"/>
          <w:rFonts w:eastAsia="Guttman Hodes"/>
          <w:rtl/>
        </w:rPr>
        <w:fldChar w:fldCharType="begin"/>
      </w:r>
      <w:r w:rsidRPr="005909E9">
        <w:rPr>
          <w:rStyle w:val="af7"/>
          <w:rFonts w:eastAsia="Guttman Hodes"/>
          <w:rtl/>
        </w:rPr>
        <w:instrText xml:space="preserve"> </w:instrText>
      </w:r>
      <w:r w:rsidRPr="005909E9">
        <w:rPr>
          <w:rStyle w:val="af7"/>
          <w:rFonts w:eastAsia="Guttman Hodes" w:hint="cs"/>
        </w:rPr>
        <w:instrText>REF</w:instrText>
      </w:r>
      <w:r w:rsidRPr="005909E9">
        <w:rPr>
          <w:rStyle w:val="af7"/>
          <w:rFonts w:eastAsia="Guttman Hodes" w:hint="cs"/>
          <w:rtl/>
        </w:rPr>
        <w:instrText xml:space="preserve"> _</w:instrText>
      </w:r>
      <w:r w:rsidRPr="005909E9">
        <w:rPr>
          <w:rStyle w:val="af7"/>
          <w:rFonts w:eastAsia="Guttman Hodes" w:hint="cs"/>
        </w:rPr>
        <w:instrText>Ref4490584 \r \h</w:instrText>
      </w:r>
      <w:r w:rsidRPr="005909E9">
        <w:rPr>
          <w:rStyle w:val="af7"/>
          <w:rFonts w:eastAsia="Guttman Hodes"/>
          <w:rtl/>
        </w:rPr>
        <w:instrText xml:space="preserve"> </w:instrText>
      </w:r>
      <w:r w:rsidRPr="005909E9">
        <w:rPr>
          <w:rStyle w:val="af7"/>
          <w:rFonts w:eastAsia="Guttman Hodes"/>
          <w:rtl/>
        </w:rPr>
      </w:r>
      <w:r w:rsidRPr="005909E9">
        <w:rPr>
          <w:rStyle w:val="af7"/>
          <w:rFonts w:eastAsia="Guttman Hodes"/>
          <w:rtl/>
        </w:rPr>
        <w:fldChar w:fldCharType="separate"/>
      </w:r>
      <w:r w:rsidR="00345400">
        <w:rPr>
          <w:rStyle w:val="af7"/>
          <w:rFonts w:eastAsia="Guttman Hodes"/>
          <w:cs/>
        </w:rPr>
        <w:t>‎</w:t>
      </w:r>
      <w:r w:rsidR="00345400">
        <w:rPr>
          <w:rStyle w:val="af7"/>
          <w:rFonts w:eastAsia="Guttman Hodes"/>
          <w:rtl/>
        </w:rPr>
        <w:t>יח)</w:t>
      </w:r>
      <w:r w:rsidRPr="005909E9">
        <w:rPr>
          <w:rStyle w:val="af7"/>
          <w:rFonts w:eastAsia="Guttman Hodes"/>
          <w:rtl/>
        </w:rPr>
        <w:fldChar w:fldCharType="end"/>
      </w:r>
      <w:r>
        <w:rPr>
          <w:rFonts w:hint="cs"/>
          <w:rtl/>
        </w:rPr>
        <w:t xml:space="preserve"> דכל שמתירים אותו בשחיטת אמו חשיב כירך אמו וכטריפה, וע"ע במה שהקשה </w:t>
      </w:r>
      <w:r w:rsidRPr="008038AE">
        <w:rPr>
          <w:rStyle w:val="af9"/>
          <w:rFonts w:hint="cs"/>
          <w:rtl/>
        </w:rPr>
        <w:t>הקה"י בב"ק</w:t>
      </w:r>
      <w:r>
        <w:rPr>
          <w:rFonts w:hint="cs"/>
          <w:rtl/>
        </w:rPr>
        <w:t xml:space="preserve"> </w:t>
      </w:r>
      <w:r w:rsidRPr="008038AE">
        <w:rPr>
          <w:rStyle w:val="af7"/>
          <w:rFonts w:eastAsia="Guttman Hodes" w:hint="cs"/>
          <w:rtl/>
        </w:rPr>
        <w:t xml:space="preserve">(עי' אות </w:t>
      </w:r>
      <w:r w:rsidRPr="008038AE">
        <w:rPr>
          <w:rStyle w:val="af7"/>
          <w:rFonts w:eastAsia="Guttman Hodes"/>
          <w:rtl/>
        </w:rPr>
        <w:fldChar w:fldCharType="begin"/>
      </w:r>
      <w:r w:rsidRPr="008038AE">
        <w:rPr>
          <w:rStyle w:val="af7"/>
          <w:rFonts w:eastAsia="Guttman Hodes"/>
          <w:rtl/>
        </w:rPr>
        <w:instrText xml:space="preserve"> </w:instrText>
      </w:r>
      <w:r w:rsidRPr="008038AE">
        <w:rPr>
          <w:rStyle w:val="af7"/>
          <w:rFonts w:eastAsia="Guttman Hodes" w:hint="cs"/>
        </w:rPr>
        <w:instrText>REF</w:instrText>
      </w:r>
      <w:r w:rsidRPr="008038AE">
        <w:rPr>
          <w:rStyle w:val="af7"/>
          <w:rFonts w:eastAsia="Guttman Hodes" w:hint="cs"/>
          <w:rtl/>
        </w:rPr>
        <w:instrText xml:space="preserve"> _</w:instrText>
      </w:r>
      <w:r w:rsidRPr="008038AE">
        <w:rPr>
          <w:rStyle w:val="af7"/>
          <w:rFonts w:eastAsia="Guttman Hodes" w:hint="cs"/>
        </w:rPr>
        <w:instrText>Ref4877483 \r \h</w:instrText>
      </w:r>
      <w:r w:rsidRPr="008038AE">
        <w:rPr>
          <w:rStyle w:val="af7"/>
          <w:rFonts w:eastAsia="Guttman Hodes"/>
          <w:rtl/>
        </w:rPr>
        <w:instrText xml:space="preserve"> </w:instrText>
      </w:r>
      <w:r w:rsidRPr="008038AE">
        <w:rPr>
          <w:rStyle w:val="af7"/>
          <w:rFonts w:eastAsia="Guttman Hodes"/>
          <w:rtl/>
        </w:rPr>
      </w:r>
      <w:r w:rsidRPr="008038AE">
        <w:rPr>
          <w:rStyle w:val="af7"/>
          <w:rFonts w:eastAsia="Guttman Hodes"/>
          <w:rtl/>
        </w:rPr>
        <w:fldChar w:fldCharType="separate"/>
      </w:r>
      <w:r w:rsidR="00345400">
        <w:rPr>
          <w:rStyle w:val="af7"/>
          <w:rFonts w:eastAsia="Guttman Hodes"/>
          <w:cs/>
        </w:rPr>
        <w:t>‎</w:t>
      </w:r>
      <w:r w:rsidR="00345400">
        <w:rPr>
          <w:rStyle w:val="af7"/>
          <w:rFonts w:eastAsia="Guttman Hodes"/>
          <w:rtl/>
        </w:rPr>
        <w:t>סו)</w:t>
      </w:r>
      <w:r w:rsidRPr="008038AE">
        <w:rPr>
          <w:rStyle w:val="af7"/>
          <w:rFonts w:eastAsia="Guttman Hodes"/>
          <w:rtl/>
        </w:rPr>
        <w:fldChar w:fldCharType="end"/>
      </w:r>
      <w:r>
        <w:rPr>
          <w:rFonts w:hint="cs"/>
          <w:rtl/>
        </w:rPr>
        <w:t xml:space="preserve"> על דברי </w:t>
      </w:r>
      <w:r w:rsidRPr="008038AE">
        <w:rPr>
          <w:rStyle w:val="af9"/>
          <w:rFonts w:hint="cs"/>
          <w:rtl/>
        </w:rPr>
        <w:t>הרמב"ם</w:t>
      </w:r>
      <w:r>
        <w:rPr>
          <w:rFonts w:hint="cs"/>
          <w:rtl/>
        </w:rPr>
        <w:t xml:space="preserve"> ובמה שביאר </w:t>
      </w:r>
      <w:r w:rsidRPr="008038AE">
        <w:rPr>
          <w:rStyle w:val="af9"/>
          <w:rFonts w:hint="cs"/>
          <w:rtl/>
        </w:rPr>
        <w:t>הקה"י בב"ק</w:t>
      </w:r>
      <w:r>
        <w:rPr>
          <w:rFonts w:hint="cs"/>
          <w:rtl/>
        </w:rPr>
        <w:t xml:space="preserve"> </w:t>
      </w:r>
      <w:r w:rsidRPr="008038AE">
        <w:rPr>
          <w:rStyle w:val="af7"/>
          <w:rFonts w:eastAsia="Guttman Hodes" w:hint="cs"/>
          <w:rtl/>
        </w:rPr>
        <w:t xml:space="preserve">(עי' אות </w:t>
      </w:r>
      <w:r w:rsidRPr="008038AE">
        <w:rPr>
          <w:rStyle w:val="af7"/>
          <w:rFonts w:eastAsia="Guttman Hodes"/>
          <w:rtl/>
        </w:rPr>
        <w:fldChar w:fldCharType="begin"/>
      </w:r>
      <w:r w:rsidRPr="008038AE">
        <w:rPr>
          <w:rStyle w:val="af7"/>
          <w:rFonts w:eastAsia="Guttman Hodes"/>
          <w:rtl/>
        </w:rPr>
        <w:instrText xml:space="preserve"> </w:instrText>
      </w:r>
      <w:r w:rsidRPr="008038AE">
        <w:rPr>
          <w:rStyle w:val="af7"/>
          <w:rFonts w:eastAsia="Guttman Hodes" w:hint="cs"/>
        </w:rPr>
        <w:instrText>REF</w:instrText>
      </w:r>
      <w:r w:rsidRPr="008038AE">
        <w:rPr>
          <w:rStyle w:val="af7"/>
          <w:rFonts w:eastAsia="Guttman Hodes" w:hint="cs"/>
          <w:rtl/>
        </w:rPr>
        <w:instrText xml:space="preserve"> _</w:instrText>
      </w:r>
      <w:r w:rsidRPr="008038AE">
        <w:rPr>
          <w:rStyle w:val="af7"/>
          <w:rFonts w:eastAsia="Guttman Hodes" w:hint="cs"/>
        </w:rPr>
        <w:instrText>Ref4876202 \r \h</w:instrText>
      </w:r>
      <w:r w:rsidRPr="008038AE">
        <w:rPr>
          <w:rStyle w:val="af7"/>
          <w:rFonts w:eastAsia="Guttman Hodes"/>
          <w:rtl/>
        </w:rPr>
        <w:instrText xml:space="preserve"> </w:instrText>
      </w:r>
      <w:r w:rsidRPr="008038AE">
        <w:rPr>
          <w:rStyle w:val="af7"/>
          <w:rFonts w:eastAsia="Guttman Hodes"/>
          <w:rtl/>
        </w:rPr>
      </w:r>
      <w:r w:rsidRPr="008038AE">
        <w:rPr>
          <w:rStyle w:val="af7"/>
          <w:rFonts w:eastAsia="Guttman Hodes"/>
          <w:rtl/>
        </w:rPr>
        <w:fldChar w:fldCharType="separate"/>
      </w:r>
      <w:r w:rsidR="00345400">
        <w:rPr>
          <w:rStyle w:val="af7"/>
          <w:rFonts w:eastAsia="Guttman Hodes"/>
          <w:cs/>
        </w:rPr>
        <w:t>‎</w:t>
      </w:r>
      <w:r w:rsidR="00345400">
        <w:rPr>
          <w:rStyle w:val="af7"/>
          <w:rFonts w:eastAsia="Guttman Hodes"/>
          <w:rtl/>
        </w:rPr>
        <w:t>עה)</w:t>
      </w:r>
      <w:r w:rsidRPr="008038AE">
        <w:rPr>
          <w:rStyle w:val="af7"/>
          <w:rFonts w:eastAsia="Guttman Hodes"/>
          <w:rtl/>
        </w:rPr>
        <w:fldChar w:fldCharType="end"/>
      </w:r>
      <w:r>
        <w:rPr>
          <w:rFonts w:hint="cs"/>
          <w:rtl/>
        </w:rPr>
        <w:t xml:space="preserve"> בדברי </w:t>
      </w:r>
      <w:r w:rsidRPr="008038AE">
        <w:rPr>
          <w:rStyle w:val="af9"/>
          <w:rFonts w:hint="cs"/>
          <w:rtl/>
        </w:rPr>
        <w:t>הרמב"ם</w:t>
      </w:r>
      <w:r>
        <w:rPr>
          <w:rFonts w:hint="cs"/>
          <w:rtl/>
        </w:rPr>
        <w:t>.</w:t>
      </w:r>
    </w:p>
    <w:p w14:paraId="0D2D53AF" w14:textId="77777777" w:rsidR="003D504D" w:rsidRPr="006A2746" w:rsidRDefault="003D504D" w:rsidP="003D504D">
      <w:pPr>
        <w:pStyle w:val="a3"/>
        <w:rPr>
          <w:rtl/>
        </w:rPr>
      </w:pPr>
      <w:bookmarkStart w:id="26065" w:name="_Toc4761908"/>
      <w:bookmarkStart w:id="26066" w:name="_Toc4877617"/>
      <w:bookmarkStart w:id="26067" w:name="_Toc4877943"/>
      <w:bookmarkStart w:id="26068" w:name="_Toc4878087"/>
      <w:bookmarkStart w:id="26069" w:name="_Toc19392207"/>
      <w:bookmarkStart w:id="26070" w:name="_Toc19395704"/>
      <w:bookmarkStart w:id="26071" w:name="_Toc4704750"/>
      <w:r>
        <w:rPr>
          <w:rFonts w:hint="cs"/>
          <w:rtl/>
        </w:rPr>
        <w:t>דברי המאירי דבן ח' הוא אבר מאברי אמו ובן ט' מותר מדין ד' סימנים</w:t>
      </w:r>
      <w:bookmarkEnd w:id="26065"/>
      <w:bookmarkEnd w:id="26066"/>
      <w:bookmarkEnd w:id="26067"/>
      <w:bookmarkEnd w:id="26068"/>
      <w:bookmarkEnd w:id="26069"/>
      <w:bookmarkEnd w:id="26070"/>
    </w:p>
    <w:p w14:paraId="1EF026EF" w14:textId="77777777" w:rsidR="003D504D" w:rsidRDefault="003D504D" w:rsidP="00223668">
      <w:pPr>
        <w:pStyle w:val="a0"/>
        <w:rPr>
          <w:rtl/>
        </w:rPr>
      </w:pPr>
      <w:r>
        <w:rPr>
          <w:rFonts w:hint="cs"/>
          <w:rtl/>
        </w:rPr>
        <w:t xml:space="preserve">ועי' בדברי </w:t>
      </w:r>
      <w:r w:rsidRPr="00A46FB7">
        <w:rPr>
          <w:rStyle w:val="af9"/>
          <w:rFonts w:hint="cs"/>
          <w:rtl/>
        </w:rPr>
        <w:t>המאירי לקמן</w:t>
      </w:r>
      <w:r>
        <w:rPr>
          <w:rFonts w:hint="cs"/>
          <w:rtl/>
        </w:rPr>
        <w:t xml:space="preserve"> </w:t>
      </w:r>
      <w:r w:rsidRPr="00A46FB7">
        <w:rPr>
          <w:rStyle w:val="af7"/>
          <w:rFonts w:eastAsia="Guttman Hodes" w:hint="cs"/>
          <w:rtl/>
        </w:rPr>
        <w:t>(</w:t>
      </w:r>
      <w:r>
        <w:rPr>
          <w:rStyle w:val="af7"/>
          <w:rFonts w:eastAsia="Guttman Hodes" w:hint="cs"/>
          <w:rtl/>
        </w:rPr>
        <w:t>פה:</w:t>
      </w:r>
      <w:r w:rsidRPr="00A46FB7">
        <w:rPr>
          <w:rStyle w:val="af7"/>
          <w:rFonts w:eastAsia="Guttman Hodes" w:hint="cs"/>
          <w:rtl/>
        </w:rPr>
        <w:t xml:space="preserve"> ד"ה השוחט)</w:t>
      </w:r>
      <w:r>
        <w:rPr>
          <w:rFonts w:hint="cs"/>
          <w:rtl/>
        </w:rPr>
        <w:t xml:space="preserve"> דכתב דבן ח' חי או בן ט' מת שנמצא במעי טריפה אסור, דהוא בכלל הטריפות של האם, אבל בן ט' חי מותר בשחיטת עצמו, למ"ד דד' סימנים אכשר ביה רחמנא.</w:t>
      </w:r>
    </w:p>
    <w:p w14:paraId="7E1267CD" w14:textId="77777777" w:rsidR="003D504D" w:rsidRPr="000229F6" w:rsidRDefault="003D504D" w:rsidP="003D504D">
      <w:pPr>
        <w:pStyle w:val="a3"/>
        <w:rPr>
          <w:rtl/>
        </w:rPr>
      </w:pPr>
    </w:p>
    <w:p w14:paraId="23252088" w14:textId="77777777" w:rsidR="003D504D" w:rsidRPr="000229F6" w:rsidRDefault="003D504D" w:rsidP="003D504D">
      <w:pPr>
        <w:pStyle w:val="a3"/>
        <w:rPr>
          <w:rtl/>
        </w:rPr>
      </w:pPr>
    </w:p>
    <w:p w14:paraId="625DBB06" w14:textId="77777777" w:rsidR="003D504D" w:rsidRDefault="003D504D" w:rsidP="003D504D">
      <w:pPr>
        <w:pStyle w:val="afe"/>
        <w:rPr>
          <w:rtl/>
        </w:rPr>
      </w:pPr>
      <w:bookmarkStart w:id="26072" w:name="_Toc4761909"/>
      <w:bookmarkStart w:id="26073" w:name="_Toc4877618"/>
      <w:bookmarkStart w:id="26074" w:name="_Toc4877944"/>
      <w:bookmarkStart w:id="26075" w:name="_Toc4878088"/>
      <w:bookmarkStart w:id="26076" w:name="_Toc19436484"/>
      <w:bookmarkStart w:id="26077" w:name="_Toc20081591"/>
      <w:r w:rsidRPr="0046434A">
        <w:rPr>
          <w:rFonts w:hint="cs"/>
          <w:rtl/>
        </w:rPr>
        <w:t>בביאור ההו"א להתיר ולד טריפה לר"מ</w:t>
      </w:r>
      <w:bookmarkEnd w:id="25940"/>
      <w:bookmarkEnd w:id="25941"/>
      <w:bookmarkEnd w:id="25942"/>
      <w:bookmarkEnd w:id="26071"/>
      <w:bookmarkEnd w:id="26072"/>
      <w:bookmarkEnd w:id="26073"/>
      <w:bookmarkEnd w:id="26074"/>
      <w:bookmarkEnd w:id="26075"/>
      <w:bookmarkEnd w:id="26076"/>
      <w:bookmarkEnd w:id="26077"/>
    </w:p>
    <w:p w14:paraId="40DCC92B" w14:textId="77777777" w:rsidR="003D504D" w:rsidRDefault="003D504D" w:rsidP="00BF39B2">
      <w:pPr>
        <w:pStyle w:val="1"/>
        <w:rPr>
          <w:rtl/>
        </w:rPr>
      </w:pPr>
      <w:bookmarkStart w:id="26078" w:name="_Toc4618168"/>
      <w:bookmarkStart w:id="26079" w:name="_Toc4704751"/>
      <w:bookmarkStart w:id="26080" w:name="_Toc4761910"/>
      <w:bookmarkStart w:id="26081" w:name="_Toc4877619"/>
      <w:bookmarkStart w:id="26082" w:name="_Toc4877945"/>
      <w:bookmarkStart w:id="26083" w:name="_Toc4878089"/>
      <w:bookmarkStart w:id="26084" w:name="_Toc19392208"/>
      <w:bookmarkStart w:id="26085" w:name="_Toc19395705"/>
      <w:r>
        <w:rPr>
          <w:rFonts w:hint="cs"/>
          <w:rtl/>
        </w:rPr>
        <w:t>דברי התוס' לקמן</w:t>
      </w:r>
      <w:bookmarkEnd w:id="26078"/>
      <w:r>
        <w:rPr>
          <w:rFonts w:hint="cs"/>
          <w:rtl/>
        </w:rPr>
        <w:t xml:space="preserve"> דבן ח' הוי ירך אמו וודאי דאסור באמו טריפה</w:t>
      </w:r>
      <w:bookmarkEnd w:id="26079"/>
      <w:bookmarkEnd w:id="26080"/>
      <w:bookmarkEnd w:id="26081"/>
      <w:bookmarkEnd w:id="26082"/>
      <w:bookmarkEnd w:id="26083"/>
      <w:bookmarkEnd w:id="26084"/>
      <w:bookmarkEnd w:id="26085"/>
    </w:p>
    <w:p w14:paraId="711E575A" w14:textId="77777777" w:rsidR="003D504D" w:rsidRDefault="003D504D" w:rsidP="003D504D">
      <w:pPr>
        <w:pStyle w:val="a3"/>
        <w:rPr>
          <w:rtl/>
        </w:rPr>
      </w:pPr>
      <w:bookmarkStart w:id="26086" w:name="_Toc4618169"/>
      <w:bookmarkStart w:id="26087" w:name="_Toc4704752"/>
      <w:bookmarkStart w:id="26088" w:name="_Toc4761911"/>
      <w:bookmarkStart w:id="26089" w:name="_Toc4877620"/>
      <w:bookmarkStart w:id="26090" w:name="_Toc4877946"/>
      <w:bookmarkStart w:id="26091" w:name="_Toc4878090"/>
      <w:bookmarkStart w:id="26092" w:name="_Toc19392209"/>
      <w:bookmarkStart w:id="26093" w:name="_Toc19395706"/>
      <w:r>
        <w:rPr>
          <w:rFonts w:hint="cs"/>
          <w:rtl/>
        </w:rPr>
        <w:t>דברי התוס' לקמן דבבן ח' חי פשיטא דלכו"ע אינו מותר בשחיטת אמו הטריפה דהוא כירך אמו</w:t>
      </w:r>
      <w:bookmarkEnd w:id="26086"/>
      <w:bookmarkEnd w:id="26087"/>
      <w:bookmarkEnd w:id="26088"/>
      <w:bookmarkEnd w:id="26089"/>
      <w:bookmarkEnd w:id="26090"/>
      <w:bookmarkEnd w:id="26091"/>
      <w:bookmarkEnd w:id="26092"/>
      <w:bookmarkEnd w:id="26093"/>
    </w:p>
    <w:p w14:paraId="340A04A4" w14:textId="77777777" w:rsidR="003D504D" w:rsidRDefault="003D504D" w:rsidP="00223668">
      <w:pPr>
        <w:pStyle w:val="a0"/>
        <w:rPr>
          <w:rtl/>
        </w:rPr>
      </w:pPr>
      <w:bookmarkStart w:id="26094" w:name="_Ref4441788"/>
      <w:r>
        <w:rPr>
          <w:rFonts w:hint="cs"/>
          <w:rtl/>
        </w:rPr>
        <w:t xml:space="preserve">בהא דאיתא בגמ' לקמן </w:t>
      </w:r>
      <w:r w:rsidRPr="007C2F13">
        <w:rPr>
          <w:rStyle w:val="af7"/>
          <w:rFonts w:eastAsia="Guttman Hodes" w:hint="cs"/>
          <w:rtl/>
        </w:rPr>
        <w:t>(פה:)</w:t>
      </w:r>
      <w:r>
        <w:rPr>
          <w:rFonts w:hint="cs"/>
          <w:rtl/>
        </w:rPr>
        <w:t xml:space="preserve"> דהו"א דלדעת רבנן דבן ט' חי מותר בשחיטת אמו, דלמ"ד דשחיטה שאינה ראויה שמה שחיטה, יהיה העובר מותר אף כשאמו טריפה, כתבו </w:t>
      </w:r>
      <w:r w:rsidRPr="00F344E5">
        <w:rPr>
          <w:rStyle w:val="af9"/>
          <w:rFonts w:hint="cs"/>
          <w:rtl/>
        </w:rPr>
        <w:t>התוס' לקמן</w:t>
      </w:r>
      <w:r>
        <w:rPr>
          <w:rFonts w:hint="cs"/>
          <w:rtl/>
        </w:rPr>
        <w:t xml:space="preserve"> </w:t>
      </w:r>
      <w:r w:rsidRPr="00F344E5">
        <w:rPr>
          <w:rStyle w:val="af7"/>
          <w:rFonts w:eastAsia="Guttman Hodes" w:hint="cs"/>
          <w:rtl/>
        </w:rPr>
        <w:t>(פה: ד"ה אימא)</w:t>
      </w:r>
      <w:r>
        <w:rPr>
          <w:rFonts w:hint="cs"/>
          <w:rtl/>
        </w:rPr>
        <w:t xml:space="preserve"> דההו"א היא דוקא בבן ט' חי, אבל בן ח' חי פשיטא שהוא אסור, דהוא כירך אמו שהיא טריפה.</w:t>
      </w:r>
    </w:p>
    <w:p w14:paraId="7F60E59C" w14:textId="77777777" w:rsidR="003D504D" w:rsidRPr="002A0B6D" w:rsidRDefault="003D504D" w:rsidP="003D504D">
      <w:pPr>
        <w:pStyle w:val="a3"/>
      </w:pPr>
      <w:bookmarkStart w:id="26095" w:name="_Toc4618170"/>
      <w:bookmarkStart w:id="26096" w:name="_Toc4704753"/>
      <w:bookmarkStart w:id="26097" w:name="_Toc4761912"/>
      <w:bookmarkStart w:id="26098" w:name="_Toc4877621"/>
      <w:bookmarkStart w:id="26099" w:name="_Toc4877947"/>
      <w:bookmarkStart w:id="26100" w:name="_Toc4878091"/>
      <w:bookmarkStart w:id="26101" w:name="_Toc19392210"/>
      <w:bookmarkStart w:id="26102" w:name="_Toc19395707"/>
      <w:r>
        <w:rPr>
          <w:rFonts w:hint="cs"/>
          <w:rtl/>
        </w:rPr>
        <w:t>דברי התוס' לקמן דהא דולד טריפה אינו אסור היינו דוקא כשיש לו חיות מצד עצמו</w:t>
      </w:r>
      <w:bookmarkEnd w:id="26095"/>
      <w:bookmarkEnd w:id="26096"/>
      <w:bookmarkEnd w:id="26097"/>
      <w:bookmarkEnd w:id="26098"/>
      <w:bookmarkEnd w:id="26099"/>
      <w:bookmarkEnd w:id="26100"/>
      <w:bookmarkEnd w:id="26101"/>
      <w:bookmarkEnd w:id="26102"/>
      <w:r>
        <w:rPr>
          <w:rFonts w:hint="cs"/>
          <w:rtl/>
        </w:rPr>
        <w:t xml:space="preserve">  </w:t>
      </w:r>
    </w:p>
    <w:p w14:paraId="4355904D" w14:textId="77777777" w:rsidR="003D504D" w:rsidRPr="00E54304" w:rsidRDefault="003D504D" w:rsidP="00223668">
      <w:pPr>
        <w:pStyle w:val="a0"/>
        <w:rPr>
          <w:rStyle w:val="afb"/>
          <w:rtl/>
        </w:rPr>
      </w:pPr>
      <w:r>
        <w:rPr>
          <w:rFonts w:hint="cs"/>
          <w:rtl/>
        </w:rPr>
        <w:t xml:space="preserve">והוסיפו </w:t>
      </w:r>
      <w:r w:rsidRPr="00F344E5">
        <w:rPr>
          <w:rStyle w:val="af9"/>
          <w:rFonts w:hint="cs"/>
          <w:rtl/>
        </w:rPr>
        <w:t>התוס' לקמן</w:t>
      </w:r>
      <w:r>
        <w:rPr>
          <w:rFonts w:hint="cs"/>
          <w:rtl/>
        </w:rPr>
        <w:t xml:space="preserve"> דאף דאיתא בגמ' לעיל </w:t>
      </w:r>
      <w:r w:rsidRPr="00F344E5">
        <w:rPr>
          <w:rStyle w:val="af7"/>
          <w:rFonts w:eastAsia="Guttman Hodes" w:hint="cs"/>
          <w:rtl/>
        </w:rPr>
        <w:t>(נח.)</w:t>
      </w:r>
      <w:r>
        <w:rPr>
          <w:rFonts w:hint="cs"/>
          <w:rtl/>
        </w:rPr>
        <w:t xml:space="preserve"> דולד טריפה אינו ירך אמו, </w:t>
      </w:r>
      <w:r w:rsidRPr="007F783D">
        <w:rPr>
          <w:rStyle w:val="afb"/>
          <w:rFonts w:hint="cs"/>
          <w:rtl/>
        </w:rPr>
        <w:t>[דאינו נאסר באיסור הטריפה, ואחר שנולד הוא מותר בשחיטת עצמו],</w:t>
      </w:r>
      <w:r>
        <w:rPr>
          <w:rFonts w:hint="cs"/>
          <w:rtl/>
        </w:rPr>
        <w:t xml:space="preserve"> מ"מ כתבו </w:t>
      </w:r>
      <w:r w:rsidRPr="00F344E5">
        <w:rPr>
          <w:rStyle w:val="af9"/>
          <w:rFonts w:hint="cs"/>
          <w:rtl/>
        </w:rPr>
        <w:t>התוס' לקמן</w:t>
      </w:r>
      <w:r>
        <w:rPr>
          <w:rFonts w:hint="cs"/>
          <w:rtl/>
        </w:rPr>
        <w:t xml:space="preserve"> דהיינו דוקא כשיש לו חיות ואין חיותו תלויה באמו</w:t>
      </w:r>
      <w:bookmarkEnd w:id="26094"/>
      <w:r>
        <w:rPr>
          <w:rFonts w:hint="cs"/>
          <w:rtl/>
        </w:rPr>
        <w:t>.</w:t>
      </w:r>
      <w:r w:rsidRPr="00E54304">
        <w:rPr>
          <w:rFonts w:hint="cs"/>
          <w:rtl/>
        </w:rPr>
        <w:t xml:space="preserve"> </w:t>
      </w:r>
      <w:r w:rsidRPr="00E54304">
        <w:rPr>
          <w:rStyle w:val="afb"/>
          <w:rFonts w:hint="cs"/>
          <w:rtl/>
        </w:rPr>
        <w:t>[</w:t>
      </w:r>
      <w:r>
        <w:rPr>
          <w:rStyle w:val="afb"/>
          <w:rFonts w:hint="cs"/>
          <w:rtl/>
        </w:rPr>
        <w:t>וע"ע</w:t>
      </w:r>
      <w:r w:rsidRPr="00E54304">
        <w:rPr>
          <w:rStyle w:val="afb"/>
          <w:rFonts w:hint="cs"/>
          <w:rtl/>
        </w:rPr>
        <w:t xml:space="preserve"> בדברי </w:t>
      </w:r>
      <w:r w:rsidRPr="00E54304">
        <w:rPr>
          <w:rStyle w:val="affa"/>
          <w:rFonts w:hint="cs"/>
          <w:rtl/>
        </w:rPr>
        <w:t>התוס' לעיל</w:t>
      </w:r>
      <w:r w:rsidRPr="00E54304">
        <w:rPr>
          <w:rStyle w:val="afb"/>
          <w:rFonts w:hint="cs"/>
          <w:rtl/>
        </w:rPr>
        <w:t xml:space="preserve"> </w:t>
      </w:r>
      <w:r w:rsidRPr="00E54304">
        <w:rPr>
          <w:rStyle w:val="aff6"/>
          <w:rFonts w:hint="cs"/>
          <w:rtl/>
        </w:rPr>
        <w:t>(נח. סוד"ה והלכתא)</w:t>
      </w:r>
      <w:r w:rsidRPr="00E54304">
        <w:rPr>
          <w:rStyle w:val="afb"/>
          <w:rFonts w:hint="cs"/>
          <w:rtl/>
        </w:rPr>
        <w:t xml:space="preserve"> </w:t>
      </w:r>
      <w:r w:rsidRPr="00720522">
        <w:rPr>
          <w:rStyle w:val="affa"/>
          <w:rFonts w:hint="cs"/>
          <w:rtl/>
        </w:rPr>
        <w:t>והתוס' בב"ק</w:t>
      </w:r>
      <w:r>
        <w:rPr>
          <w:rStyle w:val="afb"/>
          <w:rFonts w:hint="cs"/>
          <w:rtl/>
        </w:rPr>
        <w:t xml:space="preserve"> </w:t>
      </w:r>
      <w:r w:rsidRPr="00720522">
        <w:rPr>
          <w:rStyle w:val="aff6"/>
          <w:rFonts w:hint="cs"/>
          <w:rtl/>
        </w:rPr>
        <w:t>(מז. ד"ה מ</w:t>
      </w:r>
      <w:r>
        <w:rPr>
          <w:rStyle w:val="aff6"/>
          <w:rFonts w:hint="cs"/>
          <w:rtl/>
        </w:rPr>
        <w:t>"ט גופה</w:t>
      </w:r>
      <w:r w:rsidRPr="00720522">
        <w:rPr>
          <w:rStyle w:val="aff6"/>
          <w:rFonts w:hint="cs"/>
          <w:rtl/>
        </w:rPr>
        <w:t>)</w:t>
      </w:r>
      <w:r>
        <w:rPr>
          <w:rStyle w:val="afb"/>
          <w:rFonts w:hint="cs"/>
          <w:rtl/>
        </w:rPr>
        <w:t xml:space="preserve"> </w:t>
      </w:r>
      <w:r w:rsidRPr="00E54304">
        <w:rPr>
          <w:rStyle w:val="afb"/>
          <w:rFonts w:hint="cs"/>
          <w:rtl/>
        </w:rPr>
        <w:t>דכתבו דאעפ"י דבכל מקום אמרינן דעובר ירך אמו, מ"מ לענין טריפה אינו חשיב כירך אמו, דדין הטריפה תלוי בחיות הבהמה, ולעובר יש חיות בפנ"ע</w:t>
      </w:r>
      <w:r>
        <w:rPr>
          <w:rStyle w:val="afb"/>
          <w:rFonts w:hint="cs"/>
          <w:rtl/>
        </w:rPr>
        <w:t>, וא"א לומר שנטרף עם אמו</w:t>
      </w:r>
      <w:r w:rsidRPr="00E54304">
        <w:rPr>
          <w:rStyle w:val="afb"/>
          <w:rFonts w:hint="cs"/>
          <w:rtl/>
        </w:rPr>
        <w:t>].</w:t>
      </w:r>
    </w:p>
    <w:p w14:paraId="448DB2EA" w14:textId="77777777" w:rsidR="003D504D" w:rsidRDefault="003D504D" w:rsidP="00BF39B2">
      <w:pPr>
        <w:pStyle w:val="1"/>
        <w:rPr>
          <w:rtl/>
        </w:rPr>
      </w:pPr>
      <w:bookmarkStart w:id="26103" w:name="_Toc4618171"/>
      <w:bookmarkStart w:id="26104" w:name="_Toc4704754"/>
      <w:bookmarkStart w:id="26105" w:name="_Toc4761913"/>
      <w:bookmarkStart w:id="26106" w:name="_Toc4877622"/>
      <w:bookmarkStart w:id="26107" w:name="_Toc4877948"/>
      <w:bookmarkStart w:id="26108" w:name="_Toc4878092"/>
      <w:bookmarkStart w:id="26109" w:name="_Toc19392211"/>
      <w:bookmarkStart w:id="26110" w:name="_Toc19395708"/>
      <w:r>
        <w:rPr>
          <w:rFonts w:hint="cs"/>
          <w:rtl/>
        </w:rPr>
        <w:t xml:space="preserve">קושית הרמב"ן </w:t>
      </w:r>
      <w:bookmarkEnd w:id="26103"/>
      <w:r>
        <w:rPr>
          <w:rFonts w:hint="cs"/>
          <w:rtl/>
        </w:rPr>
        <w:t>דלר"מ ההו"א בבן ח' דמותר בשחיטת טריפה</w:t>
      </w:r>
      <w:bookmarkEnd w:id="26104"/>
      <w:bookmarkEnd w:id="26105"/>
      <w:bookmarkEnd w:id="26106"/>
      <w:bookmarkEnd w:id="26107"/>
      <w:bookmarkEnd w:id="26108"/>
      <w:bookmarkEnd w:id="26109"/>
      <w:bookmarkEnd w:id="26110"/>
    </w:p>
    <w:p w14:paraId="0B1585CA" w14:textId="77777777" w:rsidR="003D504D" w:rsidRPr="007F783D" w:rsidRDefault="003D504D" w:rsidP="003D504D">
      <w:pPr>
        <w:pStyle w:val="a3"/>
        <w:rPr>
          <w:rtl/>
        </w:rPr>
      </w:pPr>
      <w:bookmarkStart w:id="26111" w:name="_Toc4618172"/>
      <w:bookmarkStart w:id="26112" w:name="_Toc4704755"/>
      <w:bookmarkStart w:id="26113" w:name="_Toc4761914"/>
      <w:bookmarkStart w:id="26114" w:name="_Toc4877623"/>
      <w:bookmarkStart w:id="26115" w:name="_Toc4877949"/>
      <w:bookmarkStart w:id="26116" w:name="_Toc4878093"/>
      <w:bookmarkStart w:id="26117" w:name="_Toc19392212"/>
      <w:bookmarkStart w:id="26118" w:name="_Toc19395709"/>
      <w:r>
        <w:rPr>
          <w:rFonts w:hint="cs"/>
          <w:rtl/>
        </w:rPr>
        <w:t>קושית הרמב"ן דאמאי לא העמידה הגמ' לקמן דהו"א דר"מ מתיר בן ח' בשחיטת אמו טריפה</w:t>
      </w:r>
      <w:bookmarkEnd w:id="26111"/>
      <w:bookmarkEnd w:id="26112"/>
      <w:bookmarkEnd w:id="26113"/>
      <w:bookmarkEnd w:id="26114"/>
      <w:bookmarkEnd w:id="26115"/>
      <w:bookmarkEnd w:id="26116"/>
      <w:bookmarkEnd w:id="26117"/>
      <w:bookmarkEnd w:id="26118"/>
    </w:p>
    <w:p w14:paraId="53BA547F" w14:textId="77777777" w:rsidR="003D504D" w:rsidRDefault="003D504D" w:rsidP="00223668">
      <w:pPr>
        <w:pStyle w:val="a0"/>
        <w:rPr>
          <w:rtl/>
        </w:rPr>
      </w:pPr>
      <w:r>
        <w:rPr>
          <w:rFonts w:hint="cs"/>
          <w:rtl/>
        </w:rPr>
        <w:t xml:space="preserve">בקושית הגמ' לקמן </w:t>
      </w:r>
      <w:r w:rsidRPr="005063C9">
        <w:rPr>
          <w:rStyle w:val="af7"/>
          <w:rFonts w:eastAsia="Guttman Hodes" w:hint="cs"/>
          <w:rtl/>
        </w:rPr>
        <w:t>(</w:t>
      </w:r>
      <w:r>
        <w:rPr>
          <w:rStyle w:val="af7"/>
          <w:rFonts w:eastAsia="Guttman Hodes" w:hint="cs"/>
          <w:rtl/>
        </w:rPr>
        <w:t>פה:</w:t>
      </w:r>
      <w:r w:rsidRPr="005063C9">
        <w:rPr>
          <w:rStyle w:val="af7"/>
          <w:rFonts w:eastAsia="Guttman Hodes" w:hint="cs"/>
          <w:rtl/>
        </w:rPr>
        <w:t>)</w:t>
      </w:r>
      <w:r>
        <w:rPr>
          <w:rFonts w:hint="cs"/>
          <w:rtl/>
        </w:rPr>
        <w:t xml:space="preserve"> על ההו"א דלר"מ דס"ל דשחיטה שאינה ראויה שמה שחיטה, מודה דבשחיטת טריפה דהיא שחיטה, במקום שנמצא בה בן ט' חי, דהא ר"מ ס"ל דבן ט' חי אינו מותר בשחיטת אמו, הקשה </w:t>
      </w:r>
      <w:r w:rsidRPr="005063C9">
        <w:rPr>
          <w:rStyle w:val="af9"/>
          <w:rFonts w:hint="cs"/>
          <w:rtl/>
        </w:rPr>
        <w:t>הרמב"ן לקמן</w:t>
      </w:r>
      <w:r>
        <w:rPr>
          <w:rFonts w:hint="cs"/>
          <w:rtl/>
        </w:rPr>
        <w:t xml:space="preserve"> </w:t>
      </w:r>
      <w:r w:rsidRPr="005063C9">
        <w:rPr>
          <w:rStyle w:val="af7"/>
          <w:rFonts w:eastAsia="Guttman Hodes" w:hint="cs"/>
          <w:rtl/>
        </w:rPr>
        <w:t>(פה: ד"ה הא)</w:t>
      </w:r>
      <w:r>
        <w:rPr>
          <w:rFonts w:hint="cs"/>
          <w:rtl/>
        </w:rPr>
        <w:t xml:space="preserve"> דאפשר להעמיד דאיירי שנמצא בטריפה בן ט' מת או בן ח' חי, דאף לר"מ הם מותרים בשחיטת האם.</w:t>
      </w:r>
    </w:p>
    <w:p w14:paraId="2E487C3B" w14:textId="77777777" w:rsidR="003D504D" w:rsidRDefault="003D504D" w:rsidP="003D504D">
      <w:pPr>
        <w:pStyle w:val="a3"/>
        <w:rPr>
          <w:rtl/>
        </w:rPr>
      </w:pPr>
      <w:bookmarkStart w:id="26119" w:name="_Toc4704756"/>
      <w:bookmarkStart w:id="26120" w:name="_Toc4761915"/>
      <w:bookmarkStart w:id="26121" w:name="_Toc4877624"/>
      <w:bookmarkStart w:id="26122" w:name="_Toc4877950"/>
      <w:bookmarkStart w:id="26123" w:name="_Toc4878094"/>
      <w:bookmarkStart w:id="26124" w:name="_Toc19392213"/>
      <w:bookmarkStart w:id="26125" w:name="_Toc19395710"/>
      <w:r>
        <w:rPr>
          <w:rFonts w:hint="cs"/>
          <w:rtl/>
        </w:rPr>
        <w:t>דברי הרמב"ן דחילוק התוס' בין בן ח' לבן ט' הוא רק למסקנא לקמן ולא להו"א</w:t>
      </w:r>
      <w:bookmarkEnd w:id="26119"/>
      <w:bookmarkEnd w:id="26120"/>
      <w:bookmarkEnd w:id="26121"/>
      <w:bookmarkEnd w:id="26122"/>
      <w:bookmarkEnd w:id="26123"/>
      <w:bookmarkEnd w:id="26124"/>
      <w:bookmarkEnd w:id="26125"/>
    </w:p>
    <w:p w14:paraId="2DD2B315" w14:textId="77777777" w:rsidR="003D504D" w:rsidRDefault="003D504D" w:rsidP="00223668">
      <w:pPr>
        <w:pStyle w:val="a0"/>
        <w:rPr>
          <w:rtl/>
        </w:rPr>
      </w:pPr>
      <w:r>
        <w:rPr>
          <w:rFonts w:hint="cs"/>
          <w:rtl/>
        </w:rPr>
        <w:t xml:space="preserve">והביא </w:t>
      </w:r>
      <w:r w:rsidRPr="005063C9">
        <w:rPr>
          <w:rStyle w:val="af9"/>
          <w:rFonts w:hint="cs"/>
          <w:rtl/>
        </w:rPr>
        <w:t>הרמב"ן לקמן</w:t>
      </w:r>
      <w:r>
        <w:rPr>
          <w:rFonts w:hint="cs"/>
          <w:rtl/>
        </w:rPr>
        <w:t xml:space="preserve"> את דברי </w:t>
      </w:r>
      <w:r>
        <w:rPr>
          <w:rStyle w:val="af9"/>
          <w:rFonts w:hint="cs"/>
          <w:rtl/>
        </w:rPr>
        <w:t>ה</w:t>
      </w:r>
      <w:r w:rsidRPr="005063C9">
        <w:rPr>
          <w:rStyle w:val="af9"/>
          <w:rFonts w:hint="cs"/>
          <w:rtl/>
        </w:rPr>
        <w:t>תוס'</w:t>
      </w:r>
      <w:r>
        <w:rPr>
          <w:rFonts w:hint="cs"/>
          <w:rtl/>
        </w:rPr>
        <w:t xml:space="preserve"> </w:t>
      </w:r>
      <w:r w:rsidRPr="005063C9">
        <w:rPr>
          <w:rStyle w:val="af7"/>
          <w:rFonts w:eastAsia="Guttman Hodes" w:hint="cs"/>
          <w:rtl/>
        </w:rPr>
        <w:t xml:space="preserve">(עי' אות </w:t>
      </w:r>
      <w:r w:rsidRPr="005063C9">
        <w:rPr>
          <w:rStyle w:val="af7"/>
          <w:rFonts w:eastAsia="Guttman Hodes"/>
          <w:rtl/>
        </w:rPr>
        <w:fldChar w:fldCharType="begin"/>
      </w:r>
      <w:r w:rsidRPr="005063C9">
        <w:rPr>
          <w:rStyle w:val="af7"/>
          <w:rFonts w:eastAsia="Guttman Hodes"/>
          <w:rtl/>
        </w:rPr>
        <w:instrText xml:space="preserve"> </w:instrText>
      </w:r>
      <w:r w:rsidRPr="005063C9">
        <w:rPr>
          <w:rStyle w:val="af7"/>
          <w:rFonts w:eastAsia="Guttman Hodes" w:hint="cs"/>
        </w:rPr>
        <w:instrText>REF</w:instrText>
      </w:r>
      <w:r w:rsidRPr="005063C9">
        <w:rPr>
          <w:rStyle w:val="af7"/>
          <w:rFonts w:eastAsia="Guttman Hodes" w:hint="cs"/>
          <w:rtl/>
        </w:rPr>
        <w:instrText xml:space="preserve"> _</w:instrText>
      </w:r>
      <w:r w:rsidRPr="005063C9">
        <w:rPr>
          <w:rStyle w:val="af7"/>
          <w:rFonts w:eastAsia="Guttman Hodes" w:hint="cs"/>
        </w:rPr>
        <w:instrText>Ref4441788 \r \h</w:instrText>
      </w:r>
      <w:r w:rsidRPr="005063C9">
        <w:rPr>
          <w:rStyle w:val="af7"/>
          <w:rFonts w:eastAsia="Guttman Hodes"/>
          <w:rtl/>
        </w:rPr>
        <w:instrText xml:space="preserve"> </w:instrText>
      </w:r>
      <w:r w:rsidRPr="005063C9">
        <w:rPr>
          <w:rStyle w:val="af7"/>
          <w:rFonts w:eastAsia="Guttman Hodes"/>
          <w:rtl/>
        </w:rPr>
      </w:r>
      <w:r w:rsidRPr="005063C9">
        <w:rPr>
          <w:rStyle w:val="af7"/>
          <w:rFonts w:eastAsia="Guttman Hodes"/>
          <w:rtl/>
        </w:rPr>
        <w:fldChar w:fldCharType="separate"/>
      </w:r>
      <w:r w:rsidR="00345400">
        <w:rPr>
          <w:rStyle w:val="af7"/>
          <w:rFonts w:eastAsia="Guttman Hodes"/>
          <w:cs/>
        </w:rPr>
        <w:t>‎</w:t>
      </w:r>
      <w:r w:rsidR="00345400">
        <w:rPr>
          <w:rStyle w:val="af7"/>
          <w:rFonts w:eastAsia="Guttman Hodes"/>
          <w:rtl/>
        </w:rPr>
        <w:t>כט)</w:t>
      </w:r>
      <w:r w:rsidRPr="005063C9">
        <w:rPr>
          <w:rStyle w:val="af7"/>
          <w:rFonts w:eastAsia="Guttman Hodes"/>
          <w:rtl/>
        </w:rPr>
        <w:fldChar w:fldCharType="end"/>
      </w:r>
      <w:r>
        <w:rPr>
          <w:rFonts w:hint="cs"/>
          <w:rtl/>
        </w:rPr>
        <w:t xml:space="preserve"> דבן ט' מת ובן ח' חי פשיטא שהם אוסרים דהא דאיתא בגמ' לעיל </w:t>
      </w:r>
      <w:r w:rsidRPr="005063C9">
        <w:rPr>
          <w:rStyle w:val="af7"/>
          <w:rFonts w:eastAsia="Guttman Hodes" w:hint="cs"/>
          <w:rtl/>
        </w:rPr>
        <w:t>(נח.)</w:t>
      </w:r>
      <w:r>
        <w:rPr>
          <w:rFonts w:hint="cs"/>
          <w:rtl/>
        </w:rPr>
        <w:t xml:space="preserve"> דולד טריפה מותר דוקא לאחר שנולד, או כשהוא בן ט' חי, שאינו ירך אמו כיון שיש לו חיות בפנ"ע, אבל בן ח' או בן ט' מת הם אסורים, וכתב </w:t>
      </w:r>
      <w:r w:rsidRPr="006D7382">
        <w:rPr>
          <w:rStyle w:val="af9"/>
          <w:rFonts w:hint="cs"/>
          <w:rtl/>
        </w:rPr>
        <w:t>הרמב"ן לקמן</w:t>
      </w:r>
      <w:r>
        <w:rPr>
          <w:rFonts w:hint="cs"/>
          <w:rtl/>
        </w:rPr>
        <w:t xml:space="preserve"> דדברי </w:t>
      </w:r>
      <w:r w:rsidRPr="005063C9">
        <w:rPr>
          <w:rStyle w:val="af9"/>
          <w:rFonts w:hint="cs"/>
          <w:rtl/>
        </w:rPr>
        <w:t>התוס'</w:t>
      </w:r>
      <w:r>
        <w:rPr>
          <w:rFonts w:hint="cs"/>
          <w:rtl/>
        </w:rPr>
        <w:t xml:space="preserve"> נכונים לפי מסקנת הגמ' לקמן </w:t>
      </w:r>
      <w:r w:rsidRPr="005063C9">
        <w:rPr>
          <w:rStyle w:val="af7"/>
          <w:rFonts w:eastAsia="Guttman Hodes" w:hint="cs"/>
          <w:rtl/>
        </w:rPr>
        <w:t>(</w:t>
      </w:r>
      <w:r>
        <w:rPr>
          <w:rStyle w:val="af7"/>
          <w:rFonts w:eastAsia="Guttman Hodes" w:hint="cs"/>
          <w:rtl/>
        </w:rPr>
        <w:t>פה:</w:t>
      </w:r>
      <w:r w:rsidRPr="005063C9">
        <w:rPr>
          <w:rStyle w:val="af7"/>
          <w:rFonts w:eastAsia="Guttman Hodes" w:hint="cs"/>
          <w:rtl/>
        </w:rPr>
        <w:t>)</w:t>
      </w:r>
      <w:r>
        <w:rPr>
          <w:rFonts w:hint="cs"/>
          <w:rtl/>
        </w:rPr>
        <w:t xml:space="preserve"> דלכו"ע ולד שנמצא במעי טריפה אסור, אבל להו"א בגמ' לקמן דשחיטת טריפה מתירה את העובר באכילה, אין חילוק בין בן ט' חי לבן ח'.</w:t>
      </w:r>
    </w:p>
    <w:p w14:paraId="072D09B2" w14:textId="77777777" w:rsidR="003D504D" w:rsidRPr="00616828" w:rsidRDefault="003D504D" w:rsidP="00BF39B2">
      <w:pPr>
        <w:pStyle w:val="1"/>
        <w:rPr>
          <w:rtl/>
        </w:rPr>
      </w:pPr>
      <w:bookmarkStart w:id="26126" w:name="_Toc4704757"/>
      <w:bookmarkStart w:id="26127" w:name="_Toc4761916"/>
      <w:bookmarkStart w:id="26128" w:name="_Toc4877625"/>
      <w:bookmarkStart w:id="26129" w:name="_Toc4877951"/>
      <w:bookmarkStart w:id="26130" w:name="_Toc4878095"/>
      <w:bookmarkStart w:id="26131" w:name="_Toc19392214"/>
      <w:bookmarkStart w:id="26132" w:name="_Toc19395711"/>
      <w:r>
        <w:rPr>
          <w:rFonts w:hint="cs"/>
          <w:rtl/>
        </w:rPr>
        <w:t>דעת הרמב"ן והריטב"א דבבן ט' יש יותר חידוש בהו"א דמותר</w:t>
      </w:r>
      <w:bookmarkEnd w:id="26126"/>
      <w:bookmarkEnd w:id="26127"/>
      <w:bookmarkEnd w:id="26128"/>
      <w:bookmarkEnd w:id="26129"/>
      <w:bookmarkEnd w:id="26130"/>
      <w:bookmarkEnd w:id="26131"/>
      <w:bookmarkEnd w:id="26132"/>
    </w:p>
    <w:p w14:paraId="65D995B4" w14:textId="77777777" w:rsidR="003D504D" w:rsidRDefault="003D504D" w:rsidP="003D504D">
      <w:pPr>
        <w:pStyle w:val="a3"/>
        <w:rPr>
          <w:rtl/>
        </w:rPr>
      </w:pPr>
      <w:bookmarkStart w:id="26133" w:name="_Toc4704758"/>
      <w:bookmarkStart w:id="26134" w:name="_Toc4761917"/>
      <w:bookmarkStart w:id="26135" w:name="_Toc4877626"/>
      <w:bookmarkStart w:id="26136" w:name="_Toc4877952"/>
      <w:bookmarkStart w:id="26137" w:name="_Toc4878096"/>
      <w:bookmarkStart w:id="26138" w:name="_Toc19392215"/>
      <w:bookmarkStart w:id="26139" w:name="_Toc19395712"/>
      <w:r>
        <w:rPr>
          <w:rFonts w:hint="cs"/>
          <w:rtl/>
        </w:rPr>
        <w:t>דברי הרמב"ן לקמן דבבן ט' שאינו טריפה בעצמו יש יותר חידוש בהו"א דמותר בשחיטת טריפה</w:t>
      </w:r>
      <w:bookmarkEnd w:id="26133"/>
      <w:bookmarkEnd w:id="26134"/>
      <w:bookmarkEnd w:id="26135"/>
      <w:bookmarkEnd w:id="26136"/>
      <w:bookmarkEnd w:id="26137"/>
      <w:bookmarkEnd w:id="26138"/>
      <w:bookmarkEnd w:id="26139"/>
      <w:r>
        <w:rPr>
          <w:rFonts w:hint="cs"/>
          <w:rtl/>
        </w:rPr>
        <w:t xml:space="preserve"> </w:t>
      </w:r>
    </w:p>
    <w:p w14:paraId="67510264" w14:textId="77777777" w:rsidR="003D504D" w:rsidRDefault="003D504D" w:rsidP="00223668">
      <w:pPr>
        <w:pStyle w:val="a0"/>
        <w:rPr>
          <w:rtl/>
        </w:rPr>
      </w:pPr>
      <w:bookmarkStart w:id="26140" w:name="_Ref4704054"/>
      <w:r>
        <w:rPr>
          <w:rFonts w:hint="cs"/>
          <w:rtl/>
        </w:rPr>
        <w:t xml:space="preserve">אלא ביאר </w:t>
      </w:r>
      <w:r w:rsidRPr="006D7382">
        <w:rPr>
          <w:rStyle w:val="af9"/>
          <w:rFonts w:hint="cs"/>
          <w:rtl/>
        </w:rPr>
        <w:t>הרמב"ן לקמן</w:t>
      </w:r>
      <w:r>
        <w:rPr>
          <w:rFonts w:hint="cs"/>
          <w:rtl/>
        </w:rPr>
        <w:t xml:space="preserve"> דהא דנקטה הגמ' שם בן ט' חי, הוא בכדי לחדש דלא רק בן ח' שהוא נפל ומצד עצמו הוא נבילה, ופשיטא דאין בכח שחיטת האם הטריפה להתיר את הנפל שהוא כטריפה אחרת, אלא אין בכחה אף להתיר את הבן ט' חי, דכ"מ דלא מהני לו שחיטת אמו הטריפה, הוא לענין שצריך שחיטה בעצמו, אך אינו טריפה מצד עצמו, ויש בזה יותר חידוש דלא מהני שחיטת הטריפה להתירו.</w:t>
      </w:r>
      <w:bookmarkEnd w:id="26140"/>
    </w:p>
    <w:p w14:paraId="29D594AA" w14:textId="77777777" w:rsidR="003D504D" w:rsidRDefault="003D504D" w:rsidP="003D504D">
      <w:pPr>
        <w:pStyle w:val="a3"/>
        <w:rPr>
          <w:rtl/>
        </w:rPr>
      </w:pPr>
      <w:bookmarkStart w:id="26141" w:name="_Toc4704759"/>
      <w:bookmarkStart w:id="26142" w:name="_Toc4761918"/>
      <w:bookmarkStart w:id="26143" w:name="_Toc4877627"/>
      <w:bookmarkStart w:id="26144" w:name="_Toc4877953"/>
      <w:bookmarkStart w:id="26145" w:name="_Toc4878097"/>
      <w:bookmarkStart w:id="26146" w:name="_Toc19392216"/>
      <w:bookmarkStart w:id="26147" w:name="_Toc19395713"/>
      <w:r>
        <w:rPr>
          <w:rFonts w:hint="cs"/>
          <w:rtl/>
        </w:rPr>
        <w:t>תירוץ הריטב"א לקמן דבבן ט' החידוש דאף שיש לו חיות מותר בשחיטת אמו והו"א דה"ה בטריפה</w:t>
      </w:r>
      <w:bookmarkEnd w:id="26141"/>
      <w:bookmarkEnd w:id="26142"/>
      <w:bookmarkEnd w:id="26143"/>
      <w:bookmarkEnd w:id="26144"/>
      <w:bookmarkEnd w:id="26145"/>
      <w:bookmarkEnd w:id="26146"/>
      <w:bookmarkEnd w:id="26147"/>
    </w:p>
    <w:p w14:paraId="01B50B8A" w14:textId="77777777" w:rsidR="003D504D" w:rsidRDefault="003D504D" w:rsidP="00223668">
      <w:pPr>
        <w:pStyle w:val="a0"/>
        <w:rPr>
          <w:rtl/>
        </w:rPr>
      </w:pPr>
      <w:r>
        <w:rPr>
          <w:rFonts w:hint="cs"/>
          <w:rtl/>
        </w:rPr>
        <w:t xml:space="preserve">וכעי"ז תירץ </w:t>
      </w:r>
      <w:r w:rsidRPr="00D50800">
        <w:rPr>
          <w:rStyle w:val="af9"/>
          <w:rFonts w:hint="cs"/>
          <w:rtl/>
        </w:rPr>
        <w:t>הריטב"א לקמן בתירוצו הב'</w:t>
      </w:r>
      <w:r>
        <w:rPr>
          <w:rFonts w:hint="cs"/>
          <w:rtl/>
        </w:rPr>
        <w:t xml:space="preserve"> </w:t>
      </w:r>
      <w:r w:rsidRPr="005E79B5">
        <w:rPr>
          <w:rStyle w:val="af7"/>
          <w:rFonts w:eastAsia="Guttman Hodes" w:hint="cs"/>
          <w:rtl/>
        </w:rPr>
        <w:t>(פה: ד"ה ותסברא)</w:t>
      </w:r>
      <w:r>
        <w:rPr>
          <w:rFonts w:hint="cs"/>
          <w:rtl/>
        </w:rPr>
        <w:t xml:space="preserve"> דבבן ט' חי החידוש הוא דכיון שיש לו חיות בפנ"ע ואינו נטרף בטריפת אמו, הו"א דכיון שהוא מותר בשחיטת אמו כשרה, יהיה מותר אף בשחיטתה אף כשהיא טריפה, לר"מ דשחיטה שאינה ראויה שמה שחיטה, וקמ"ל דאף בבן ט' חי אין שחיטת אמו הטריפה מתירתו, וכ"ש בבן ח' חי שאין לו חיות בפנ"ע, והוא ראוי להטרף בטריפה כמו אמו, דכמו שאין שחיטתה מתירה את עצמה, אינה מתירה את הבן ח' שבתוכה, [ועוד תירץ </w:t>
      </w:r>
      <w:r w:rsidRPr="00D50800">
        <w:rPr>
          <w:rStyle w:val="af9"/>
          <w:rFonts w:hint="cs"/>
          <w:rtl/>
        </w:rPr>
        <w:t>הריטב"א לקמן</w:t>
      </w:r>
      <w:r>
        <w:rPr>
          <w:rFonts w:hint="cs"/>
          <w:rtl/>
        </w:rPr>
        <w:t xml:space="preserve"> </w:t>
      </w:r>
      <w:r>
        <w:rPr>
          <w:rStyle w:val="af9"/>
          <w:rFonts w:hint="cs"/>
          <w:rtl/>
        </w:rPr>
        <w:t xml:space="preserve">בתירוצו הא' </w:t>
      </w:r>
      <w:r>
        <w:rPr>
          <w:rFonts w:hint="cs"/>
          <w:rtl/>
        </w:rPr>
        <w:t>דנקטה הגמ' בן ט' חי, כיון דלמסקנא דברי רבי הם אליבא דרבנן, דמתירים בבן ט' חי והכי קיי"ל].</w:t>
      </w:r>
    </w:p>
    <w:p w14:paraId="19884F14" w14:textId="77777777" w:rsidR="003D504D" w:rsidRPr="00616828" w:rsidRDefault="003D504D" w:rsidP="00BF39B2">
      <w:pPr>
        <w:pStyle w:val="1"/>
        <w:rPr>
          <w:rtl/>
        </w:rPr>
      </w:pPr>
      <w:bookmarkStart w:id="26148" w:name="_Toc4704760"/>
      <w:bookmarkStart w:id="26149" w:name="_Toc4761919"/>
      <w:bookmarkStart w:id="26150" w:name="_Toc4877628"/>
      <w:bookmarkStart w:id="26151" w:name="_Toc4877954"/>
      <w:bookmarkStart w:id="26152" w:name="_Toc4878098"/>
      <w:bookmarkStart w:id="26153" w:name="_Toc19392217"/>
      <w:bookmarkStart w:id="26154" w:name="_Toc19395714"/>
      <w:r>
        <w:rPr>
          <w:rFonts w:hint="cs"/>
          <w:rtl/>
        </w:rPr>
        <w:t>דעת הרשב"א והר"ן דבבן ח' אף בהו"א פשיטא דאסור</w:t>
      </w:r>
      <w:bookmarkEnd w:id="26148"/>
      <w:bookmarkEnd w:id="26149"/>
      <w:bookmarkEnd w:id="26150"/>
      <w:bookmarkEnd w:id="26151"/>
      <w:bookmarkEnd w:id="26152"/>
      <w:bookmarkEnd w:id="26153"/>
      <w:bookmarkEnd w:id="26154"/>
    </w:p>
    <w:p w14:paraId="1D4E709C" w14:textId="77777777" w:rsidR="003D504D" w:rsidRDefault="003D504D" w:rsidP="003D504D">
      <w:pPr>
        <w:pStyle w:val="a3"/>
        <w:rPr>
          <w:rtl/>
        </w:rPr>
      </w:pPr>
      <w:bookmarkStart w:id="26155" w:name="_Toc4704761"/>
      <w:bookmarkStart w:id="26156" w:name="_Toc4761920"/>
      <w:bookmarkStart w:id="26157" w:name="_Toc4877629"/>
      <w:bookmarkStart w:id="26158" w:name="_Toc4877955"/>
      <w:bookmarkStart w:id="26159" w:name="_Toc4878099"/>
      <w:bookmarkStart w:id="26160" w:name="_Toc19392218"/>
      <w:bookmarkStart w:id="26161" w:name="_Toc19395715"/>
      <w:r>
        <w:rPr>
          <w:rFonts w:hint="cs"/>
          <w:rtl/>
        </w:rPr>
        <w:t>דברי הרשב"א לקמן דבבן ח' פשיטא דלכו"ע אסור בשחיטת טריפה דהא אינו בר שחיטה כלל</w:t>
      </w:r>
      <w:bookmarkEnd w:id="26155"/>
      <w:bookmarkEnd w:id="26156"/>
      <w:bookmarkEnd w:id="26157"/>
      <w:bookmarkEnd w:id="26158"/>
      <w:bookmarkEnd w:id="26159"/>
      <w:bookmarkEnd w:id="26160"/>
      <w:bookmarkEnd w:id="26161"/>
    </w:p>
    <w:p w14:paraId="6542DFF2" w14:textId="77777777" w:rsidR="003D504D" w:rsidRDefault="003D504D" w:rsidP="00223668">
      <w:pPr>
        <w:pStyle w:val="a0"/>
        <w:rPr>
          <w:rtl/>
        </w:rPr>
      </w:pPr>
      <w:r>
        <w:rPr>
          <w:rFonts w:hint="cs"/>
          <w:rtl/>
        </w:rPr>
        <w:t>ועי' בדברי</w:t>
      </w:r>
      <w:r w:rsidRPr="00B53A13">
        <w:rPr>
          <w:rFonts w:hint="cs"/>
          <w:rtl/>
        </w:rPr>
        <w:t xml:space="preserve"> </w:t>
      </w:r>
      <w:r w:rsidRPr="00B53A13">
        <w:rPr>
          <w:rStyle w:val="af9"/>
          <w:rFonts w:hint="cs"/>
          <w:rtl/>
        </w:rPr>
        <w:t>הרשב"א לקמן</w:t>
      </w:r>
      <w:r w:rsidRPr="00B53A13">
        <w:rPr>
          <w:rFonts w:hint="cs"/>
          <w:rtl/>
        </w:rPr>
        <w:t xml:space="preserve"> </w:t>
      </w:r>
      <w:r w:rsidRPr="00B53A13">
        <w:rPr>
          <w:rStyle w:val="af7"/>
          <w:rFonts w:eastAsia="Guttman Hodes" w:hint="cs"/>
          <w:rtl/>
        </w:rPr>
        <w:t>(פה: ד"ה ותסברא)</w:t>
      </w:r>
      <w:r w:rsidRPr="00B53A13">
        <w:rPr>
          <w:rFonts w:hint="cs"/>
          <w:rtl/>
        </w:rPr>
        <w:t xml:space="preserve"> </w:t>
      </w:r>
      <w:r>
        <w:rPr>
          <w:rFonts w:hint="cs"/>
          <w:rtl/>
        </w:rPr>
        <w:t xml:space="preserve">דדחה את </w:t>
      </w:r>
      <w:r w:rsidRPr="00B53A13">
        <w:rPr>
          <w:rFonts w:hint="cs"/>
          <w:rtl/>
        </w:rPr>
        <w:t xml:space="preserve">תירוץ </w:t>
      </w:r>
      <w:r w:rsidRPr="00B53A13">
        <w:rPr>
          <w:rStyle w:val="af9"/>
          <w:rFonts w:hint="cs"/>
          <w:rtl/>
        </w:rPr>
        <w:t>הרמב"ן לקמן</w:t>
      </w:r>
      <w:r w:rsidRPr="00B53A13">
        <w:rPr>
          <w:rFonts w:hint="cs"/>
          <w:rtl/>
        </w:rPr>
        <w:t xml:space="preserve"> </w:t>
      </w:r>
      <w:r w:rsidRPr="005E79B5">
        <w:rPr>
          <w:rStyle w:val="af7"/>
          <w:rFonts w:eastAsia="Guttman Hodes" w:hint="cs"/>
          <w:rtl/>
        </w:rPr>
        <w:t xml:space="preserve">(עי' אות </w:t>
      </w:r>
      <w:r w:rsidRPr="005E79B5">
        <w:rPr>
          <w:rStyle w:val="af7"/>
          <w:rFonts w:eastAsia="Guttman Hodes"/>
          <w:rtl/>
        </w:rPr>
        <w:fldChar w:fldCharType="begin"/>
      </w:r>
      <w:r w:rsidRPr="005E79B5">
        <w:rPr>
          <w:rStyle w:val="af7"/>
          <w:rFonts w:eastAsia="Guttman Hodes"/>
          <w:rtl/>
        </w:rPr>
        <w:instrText xml:space="preserve"> </w:instrText>
      </w:r>
      <w:r w:rsidRPr="005E79B5">
        <w:rPr>
          <w:rStyle w:val="af7"/>
          <w:rFonts w:eastAsia="Guttman Hodes" w:hint="cs"/>
        </w:rPr>
        <w:instrText>REF</w:instrText>
      </w:r>
      <w:r w:rsidRPr="005E79B5">
        <w:rPr>
          <w:rStyle w:val="af7"/>
          <w:rFonts w:eastAsia="Guttman Hodes" w:hint="cs"/>
          <w:rtl/>
        </w:rPr>
        <w:instrText xml:space="preserve"> _</w:instrText>
      </w:r>
      <w:r w:rsidRPr="005E79B5">
        <w:rPr>
          <w:rStyle w:val="af7"/>
          <w:rFonts w:eastAsia="Guttman Hodes" w:hint="cs"/>
        </w:rPr>
        <w:instrText>Ref4704054 \r \h</w:instrText>
      </w:r>
      <w:r w:rsidRPr="005E79B5">
        <w:rPr>
          <w:rStyle w:val="af7"/>
          <w:rFonts w:eastAsia="Guttman Hodes"/>
          <w:rtl/>
        </w:rPr>
        <w:instrText xml:space="preserve"> </w:instrText>
      </w:r>
      <w:r w:rsidRPr="005E79B5">
        <w:rPr>
          <w:rStyle w:val="af7"/>
          <w:rFonts w:eastAsia="Guttman Hodes"/>
          <w:rtl/>
        </w:rPr>
      </w:r>
      <w:r w:rsidRPr="005E79B5">
        <w:rPr>
          <w:rStyle w:val="af7"/>
          <w:rFonts w:eastAsia="Guttman Hodes"/>
          <w:rtl/>
        </w:rPr>
        <w:fldChar w:fldCharType="separate"/>
      </w:r>
      <w:r w:rsidR="00345400">
        <w:rPr>
          <w:rStyle w:val="af7"/>
          <w:rFonts w:eastAsia="Guttman Hodes"/>
          <w:cs/>
        </w:rPr>
        <w:t>‎</w:t>
      </w:r>
      <w:r w:rsidR="00345400">
        <w:rPr>
          <w:rStyle w:val="af7"/>
          <w:rFonts w:eastAsia="Guttman Hodes"/>
          <w:rtl/>
        </w:rPr>
        <w:t>לג)</w:t>
      </w:r>
      <w:r w:rsidRPr="005E79B5">
        <w:rPr>
          <w:rStyle w:val="af7"/>
          <w:rFonts w:eastAsia="Guttman Hodes"/>
          <w:rtl/>
        </w:rPr>
        <w:fldChar w:fldCharType="end"/>
      </w:r>
      <w:r>
        <w:rPr>
          <w:rFonts w:hint="cs"/>
          <w:rtl/>
        </w:rPr>
        <w:t xml:space="preserve"> דלא מבואר כן בגמ' לקמן, עיי"ש בדבריו, אלא כתב </w:t>
      </w:r>
      <w:r w:rsidRPr="00676A94">
        <w:rPr>
          <w:rStyle w:val="af9"/>
          <w:rFonts w:hint="cs"/>
          <w:rtl/>
        </w:rPr>
        <w:t>הרשב"א לקמן</w:t>
      </w:r>
      <w:r>
        <w:rPr>
          <w:rFonts w:hint="cs"/>
          <w:rtl/>
        </w:rPr>
        <w:t xml:space="preserve"> דבבן ח' חי ובן ט' מת, פשיטא לגמ' דלכו"ע לא מהני שחיטת אמו הטריפה להתירו, דכיון דשחיטת הטריפה אין בכחה להתיר את עצמה באכילה, כיון שהיא טריפה, א"כ לא מהני גם לשליל שבתוכה, דהרי אינו בר שחיטה כלל, דבבן ט' מת לא שייכא שחיטה, ובן ח' חי אין במינו שחיטה, וודאי שלא מהני שחיטה להתירם.</w:t>
      </w:r>
    </w:p>
    <w:p w14:paraId="5196277F" w14:textId="77777777" w:rsidR="003D504D" w:rsidRPr="00676A94" w:rsidRDefault="003D504D" w:rsidP="003D504D">
      <w:pPr>
        <w:pStyle w:val="a3"/>
      </w:pPr>
      <w:bookmarkStart w:id="26162" w:name="_Toc4704762"/>
      <w:bookmarkStart w:id="26163" w:name="_Toc4761921"/>
      <w:bookmarkStart w:id="26164" w:name="_Toc4877630"/>
      <w:bookmarkStart w:id="26165" w:name="_Toc4877956"/>
      <w:bookmarkStart w:id="26166" w:name="_Toc4878100"/>
      <w:bookmarkStart w:id="26167" w:name="_Toc19392219"/>
      <w:bookmarkStart w:id="26168" w:name="_Toc19395716"/>
      <w:r>
        <w:rPr>
          <w:rFonts w:hint="cs"/>
          <w:rtl/>
        </w:rPr>
        <w:t>דברי הרשב"א דרק בבן ט' הו"א דמותר בשחיטת טריפה דחשיב כאילו הוא עצמו נשחט</w:t>
      </w:r>
      <w:bookmarkEnd w:id="26162"/>
      <w:bookmarkEnd w:id="26163"/>
      <w:bookmarkEnd w:id="26164"/>
      <w:bookmarkEnd w:id="26165"/>
      <w:bookmarkEnd w:id="26166"/>
      <w:bookmarkEnd w:id="26167"/>
      <w:bookmarkEnd w:id="26168"/>
    </w:p>
    <w:p w14:paraId="08761226" w14:textId="77777777" w:rsidR="003D504D" w:rsidRDefault="003D504D" w:rsidP="00223668">
      <w:pPr>
        <w:pStyle w:val="a0"/>
        <w:rPr>
          <w:rtl/>
        </w:rPr>
      </w:pPr>
      <w:r>
        <w:rPr>
          <w:rFonts w:hint="cs"/>
          <w:rtl/>
        </w:rPr>
        <w:t xml:space="preserve">וביאר </w:t>
      </w:r>
      <w:r w:rsidRPr="00676A94">
        <w:rPr>
          <w:rStyle w:val="af9"/>
          <w:rFonts w:hint="cs"/>
          <w:rtl/>
        </w:rPr>
        <w:t>הרשב"א לקמן</w:t>
      </w:r>
      <w:r>
        <w:rPr>
          <w:rFonts w:hint="cs"/>
          <w:rtl/>
        </w:rPr>
        <w:t xml:space="preserve"> דכל ההו"א בגמ' לקמן היא בבן ט' חי, דכיון שהוא בר שחיטה, הו"א שתועיל לו שחיטת אמו הטריפה, דשחיטת אמו חשיבא כאילו נשחט הולד עצמו, ואף שהיא שחיטה שאינה ראויה לגבי האם הטריפה, מ"מ הו"א דלר"מ דשחיטה שאינה ראויה שמה שחיטה, תועיל שחיטת הטריפה להתיר את הבן ט' חי שנמצא בה, וקמ"ל דאף לר"מ לא מהני שחיטת הטריפה להתיר את הולד.</w:t>
      </w:r>
    </w:p>
    <w:p w14:paraId="34A2FB92" w14:textId="77777777" w:rsidR="003D504D" w:rsidRDefault="003D504D" w:rsidP="003D504D">
      <w:pPr>
        <w:pStyle w:val="a3"/>
        <w:rPr>
          <w:rtl/>
        </w:rPr>
      </w:pPr>
      <w:bookmarkStart w:id="26169" w:name="_Toc4704763"/>
      <w:bookmarkStart w:id="26170" w:name="_Toc4761922"/>
      <w:bookmarkStart w:id="26171" w:name="_Toc4877631"/>
      <w:bookmarkStart w:id="26172" w:name="_Toc4877957"/>
      <w:bookmarkStart w:id="26173" w:name="_Toc4878101"/>
      <w:bookmarkStart w:id="26174" w:name="_Toc19392220"/>
      <w:bookmarkStart w:id="26175" w:name="_Toc19395717"/>
      <w:r>
        <w:rPr>
          <w:rFonts w:hint="cs"/>
          <w:rtl/>
        </w:rPr>
        <w:t>דברי הר"ן לקמן דרש"י לקמן ביאר דבן ח' הוא ירך אמו ואין כל הו"א דמותר בשחיטת טריפה</w:t>
      </w:r>
      <w:bookmarkEnd w:id="26169"/>
      <w:bookmarkEnd w:id="26170"/>
      <w:bookmarkEnd w:id="26171"/>
      <w:bookmarkEnd w:id="26172"/>
      <w:bookmarkEnd w:id="26173"/>
      <w:bookmarkEnd w:id="26174"/>
      <w:bookmarkEnd w:id="26175"/>
    </w:p>
    <w:p w14:paraId="6B99D99E" w14:textId="77777777" w:rsidR="003D504D" w:rsidRDefault="003D504D" w:rsidP="00223668">
      <w:pPr>
        <w:pStyle w:val="a0"/>
        <w:rPr>
          <w:rtl/>
        </w:rPr>
      </w:pPr>
      <w:r w:rsidRPr="00E00913">
        <w:rPr>
          <w:rStyle w:val="af9"/>
          <w:rFonts w:hint="cs"/>
          <w:rtl/>
        </w:rPr>
        <w:t>והר"ן בחי' לקמן</w:t>
      </w:r>
      <w:r>
        <w:rPr>
          <w:rFonts w:hint="cs"/>
          <w:rtl/>
        </w:rPr>
        <w:t xml:space="preserve"> </w:t>
      </w:r>
      <w:r w:rsidRPr="00E00913">
        <w:rPr>
          <w:rStyle w:val="af7"/>
          <w:rFonts w:eastAsia="Guttman Hodes" w:hint="cs"/>
          <w:rtl/>
        </w:rPr>
        <w:t>(</w:t>
      </w:r>
      <w:r>
        <w:rPr>
          <w:rStyle w:val="af7"/>
          <w:rFonts w:eastAsia="Guttman Hodes" w:hint="cs"/>
          <w:rtl/>
        </w:rPr>
        <w:t xml:space="preserve">פה: </w:t>
      </w:r>
      <w:r w:rsidRPr="00E00913">
        <w:rPr>
          <w:rStyle w:val="af7"/>
          <w:rFonts w:eastAsia="Guttman Hodes" w:hint="cs"/>
          <w:rtl/>
        </w:rPr>
        <w:t>ד"ה והאמר)</w:t>
      </w:r>
      <w:r>
        <w:rPr>
          <w:rFonts w:hint="cs"/>
          <w:rtl/>
        </w:rPr>
        <w:t xml:space="preserve"> הביא </w:t>
      </w:r>
      <w:r w:rsidRPr="00D7520A">
        <w:rPr>
          <w:rFonts w:hint="cs"/>
          <w:rtl/>
        </w:rPr>
        <w:t xml:space="preserve">את דברי </w:t>
      </w:r>
      <w:r w:rsidRPr="00D7520A">
        <w:rPr>
          <w:rStyle w:val="af9"/>
          <w:rFonts w:hint="cs"/>
          <w:rtl/>
        </w:rPr>
        <w:t xml:space="preserve">רש"י לקמן </w:t>
      </w:r>
      <w:r w:rsidRPr="00D506C6">
        <w:rPr>
          <w:rStyle w:val="af7"/>
          <w:rFonts w:eastAsia="Guttman Hodes" w:hint="cs"/>
          <w:rtl/>
        </w:rPr>
        <w:t xml:space="preserve">(פט: ד"ה בן ט') </w:t>
      </w:r>
      <w:r>
        <w:rPr>
          <w:rFonts w:hint="cs"/>
          <w:rtl/>
        </w:rPr>
        <w:t>ד</w:t>
      </w:r>
      <w:r w:rsidRPr="00D7520A">
        <w:rPr>
          <w:rFonts w:hint="cs"/>
          <w:rtl/>
        </w:rPr>
        <w:t>כתב דבן ט' חי אינו ירך אמו כ"כ,</w:t>
      </w:r>
      <w:r>
        <w:rPr>
          <w:rFonts w:hint="cs"/>
          <w:rtl/>
        </w:rPr>
        <w:t xml:space="preserve"> ולכן הוא מותר בשחיטת אמו לדעת רבנן, </w:t>
      </w:r>
      <w:r w:rsidRPr="00D7520A">
        <w:rPr>
          <w:rFonts w:hint="cs"/>
          <w:rtl/>
        </w:rPr>
        <w:t xml:space="preserve">וביאר </w:t>
      </w:r>
      <w:r w:rsidRPr="00D7520A">
        <w:rPr>
          <w:rStyle w:val="af9"/>
          <w:rFonts w:hint="cs"/>
          <w:rtl/>
        </w:rPr>
        <w:t>הר"ן בחי' לקמן</w:t>
      </w:r>
      <w:r w:rsidRPr="00D7520A">
        <w:rPr>
          <w:rFonts w:hint="cs"/>
          <w:rtl/>
        </w:rPr>
        <w:t xml:space="preserve"> דכוונת </w:t>
      </w:r>
      <w:r w:rsidRPr="00D7520A">
        <w:rPr>
          <w:rStyle w:val="af9"/>
          <w:rFonts w:hint="cs"/>
          <w:rtl/>
        </w:rPr>
        <w:t>רש"י</w:t>
      </w:r>
      <w:r w:rsidRPr="00D7520A">
        <w:rPr>
          <w:rFonts w:hint="cs"/>
          <w:rtl/>
        </w:rPr>
        <w:t xml:space="preserve"> לומר </w:t>
      </w:r>
      <w:r>
        <w:rPr>
          <w:rFonts w:hint="cs"/>
          <w:rtl/>
        </w:rPr>
        <w:t xml:space="preserve">דדוקא בן ט' חי אינו ירך אמו כ"כ, אבל </w:t>
      </w:r>
      <w:r w:rsidRPr="00D7520A">
        <w:rPr>
          <w:rFonts w:hint="cs"/>
          <w:rtl/>
        </w:rPr>
        <w:t>בן ח' פשיטא דשחיטת אמו הטריפה אינה מתירתו, כיון שהוא ירך אמו, וכל שנטרפה האם הולד עצמ</w:t>
      </w:r>
      <w:r>
        <w:rPr>
          <w:rFonts w:hint="cs"/>
          <w:rtl/>
        </w:rPr>
        <w:t>ו הוא כטריפה. וכתב</w:t>
      </w:r>
      <w:r w:rsidRPr="00D7520A">
        <w:rPr>
          <w:rFonts w:hint="cs"/>
          <w:rtl/>
        </w:rPr>
        <w:t xml:space="preserve"> </w:t>
      </w:r>
      <w:r w:rsidRPr="00D7520A">
        <w:rPr>
          <w:rStyle w:val="af9"/>
          <w:rFonts w:hint="cs"/>
          <w:rtl/>
        </w:rPr>
        <w:t>הר"ן בחי' לקמן</w:t>
      </w:r>
      <w:r w:rsidRPr="00D7520A">
        <w:rPr>
          <w:rFonts w:hint="cs"/>
          <w:rtl/>
        </w:rPr>
        <w:t xml:space="preserve"> </w:t>
      </w:r>
      <w:r>
        <w:rPr>
          <w:rFonts w:hint="cs"/>
          <w:rtl/>
        </w:rPr>
        <w:t xml:space="preserve">דבזה </w:t>
      </w:r>
      <w:r w:rsidRPr="00D7520A">
        <w:rPr>
          <w:rFonts w:hint="cs"/>
          <w:rtl/>
        </w:rPr>
        <w:t xml:space="preserve">תירץ </w:t>
      </w:r>
      <w:r w:rsidRPr="00D7520A">
        <w:rPr>
          <w:rStyle w:val="af9"/>
          <w:rFonts w:hint="cs"/>
          <w:rtl/>
        </w:rPr>
        <w:t>רש"י לקמן</w:t>
      </w:r>
      <w:r w:rsidRPr="00D7520A">
        <w:rPr>
          <w:rFonts w:hint="cs"/>
          <w:rtl/>
        </w:rPr>
        <w:t xml:space="preserve"> </w:t>
      </w:r>
      <w:r>
        <w:rPr>
          <w:rFonts w:hint="cs"/>
          <w:rtl/>
        </w:rPr>
        <w:t xml:space="preserve">את </w:t>
      </w:r>
      <w:r w:rsidRPr="00D7520A">
        <w:rPr>
          <w:rFonts w:hint="cs"/>
          <w:rtl/>
        </w:rPr>
        <w:t xml:space="preserve">קושית </w:t>
      </w:r>
      <w:r w:rsidRPr="00D7520A">
        <w:rPr>
          <w:rStyle w:val="af9"/>
          <w:rFonts w:hint="cs"/>
          <w:rtl/>
        </w:rPr>
        <w:t>הרמב"ן</w:t>
      </w:r>
      <w:r w:rsidRPr="00D7520A">
        <w:rPr>
          <w:rFonts w:hint="cs"/>
          <w:rtl/>
        </w:rPr>
        <w:t xml:space="preserve"> </w:t>
      </w:r>
      <w:r>
        <w:rPr>
          <w:rFonts w:hint="cs"/>
          <w:rtl/>
        </w:rPr>
        <w:t>דא"א להעמיד את הגמ' בבן ח' חי, דבזה לא הייתה כל הו"א דמהני לו שחיטת אמו.</w:t>
      </w:r>
    </w:p>
    <w:p w14:paraId="083E6A7A" w14:textId="77777777" w:rsidR="003D504D" w:rsidRDefault="003D504D" w:rsidP="003D504D">
      <w:pPr>
        <w:pStyle w:val="a3"/>
        <w:jc w:val="both"/>
        <w:rPr>
          <w:rtl/>
        </w:rPr>
        <w:sectPr w:rsidR="003D504D" w:rsidSect="005049E2">
          <w:type w:val="continuous"/>
          <w:pgSz w:w="11906" w:h="16838"/>
          <w:pgMar w:top="720" w:right="720" w:bottom="720" w:left="720" w:header="283" w:footer="283" w:gutter="0"/>
          <w:cols w:num="2" w:space="567"/>
          <w:titlePg/>
          <w:bidi/>
          <w:rtlGutter/>
          <w:docGrid w:linePitch="299"/>
        </w:sectPr>
      </w:pPr>
    </w:p>
    <w:p w14:paraId="5D878955" w14:textId="77777777" w:rsidR="003D504D" w:rsidRDefault="003D504D" w:rsidP="003D504D">
      <w:pPr>
        <w:tabs>
          <w:tab w:val="left" w:pos="1163"/>
        </w:tabs>
        <w:spacing w:after="120" w:line="240" w:lineRule="auto"/>
        <w:ind w:left="0"/>
        <w:rPr>
          <w:rFonts w:ascii="Guttman Hodes" w:eastAsia="Guttman Hodes" w:hAnsi="Guttman Hodes" w:cs="Guttman Hodes"/>
          <w:noProof/>
          <w:sz w:val="18"/>
          <w:szCs w:val="18"/>
        </w:rPr>
        <w:sectPr w:rsidR="003D504D" w:rsidSect="003D504D">
          <w:type w:val="continuous"/>
          <w:pgSz w:w="11906" w:h="16838"/>
          <w:pgMar w:top="720" w:right="720" w:bottom="720" w:left="720" w:header="283" w:footer="283" w:gutter="0"/>
          <w:cols w:space="567"/>
          <w:bidi/>
          <w:rtlGutter/>
          <w:docGrid w:linePitch="299"/>
        </w:sectPr>
      </w:pPr>
    </w:p>
    <w:p w14:paraId="33AC78DE" w14:textId="77777777" w:rsidR="003D504D" w:rsidRPr="00B06D6B" w:rsidRDefault="004B65FC" w:rsidP="003D504D">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0DBB603C">
          <v:shape id="_x0000_i1055" type="#_x0000_t75" style="width:404.55pt;height:6.8pt" o:hrpct="0" o:hralign="center" o:hr="t">
            <v:imagedata r:id="rId21" o:title="BD14845_"/>
          </v:shape>
        </w:pict>
      </w:r>
      <w:r w:rsidR="003D504D" w:rsidRPr="00B06D6B">
        <w:rPr>
          <w:rFonts w:ascii="Guttman Hodes" w:eastAsia="Guttman Hodes" w:hAnsi="Guttman Hodes" w:cs="Guttman Hodes" w:hint="cs"/>
          <w:noProof/>
          <w:sz w:val="18"/>
          <w:szCs w:val="18"/>
          <w:rtl/>
        </w:rPr>
        <w:t xml:space="preserve"> </w:t>
      </w:r>
    </w:p>
    <w:p w14:paraId="7AA5A134" w14:textId="77777777" w:rsidR="003D504D" w:rsidRPr="00B06D6B" w:rsidRDefault="003D504D" w:rsidP="003D504D">
      <w:pPr>
        <w:pStyle w:val="2"/>
        <w:rPr>
          <w:rtl/>
        </w:rPr>
      </w:pPr>
      <w:bookmarkStart w:id="26176" w:name="_Toc4402618"/>
      <w:bookmarkStart w:id="26177" w:name="_Toc4540590"/>
      <w:bookmarkStart w:id="26178" w:name="_Toc4606380"/>
      <w:bookmarkStart w:id="26179" w:name="_Toc4618175"/>
      <w:bookmarkStart w:id="26180" w:name="_Toc4704764"/>
      <w:bookmarkStart w:id="26181" w:name="_Toc4761923"/>
      <w:bookmarkStart w:id="26182" w:name="_Toc4877632"/>
      <w:bookmarkStart w:id="26183" w:name="_Toc4877958"/>
      <w:bookmarkStart w:id="26184" w:name="_Toc4878102"/>
      <w:bookmarkStart w:id="26185" w:name="_Toc19436485"/>
      <w:r w:rsidRPr="00B06D6B">
        <w:rPr>
          <w:rFonts w:hint="cs"/>
          <w:rtl/>
        </w:rPr>
        <w:t>ביאורי ראשי הישיבות על הסוגיא</w:t>
      </w:r>
      <w:bookmarkEnd w:id="26176"/>
      <w:bookmarkEnd w:id="26177"/>
      <w:bookmarkEnd w:id="26178"/>
      <w:bookmarkEnd w:id="26179"/>
      <w:bookmarkEnd w:id="26180"/>
      <w:bookmarkEnd w:id="26181"/>
      <w:bookmarkEnd w:id="26182"/>
      <w:bookmarkEnd w:id="26183"/>
      <w:bookmarkEnd w:id="26184"/>
      <w:bookmarkEnd w:id="26185"/>
    </w:p>
    <w:p w14:paraId="3F264FD0" w14:textId="77777777" w:rsidR="003D504D" w:rsidRPr="00B06D6B" w:rsidRDefault="003D504D" w:rsidP="003D504D">
      <w:pPr>
        <w:pStyle w:val="2"/>
        <w:rPr>
          <w:rtl/>
        </w:rPr>
        <w:sectPr w:rsidR="003D504D" w:rsidRPr="00B06D6B" w:rsidSect="003D504D">
          <w:pgSz w:w="11906" w:h="16838"/>
          <w:pgMar w:top="720" w:right="720" w:bottom="720" w:left="720" w:header="283" w:footer="283" w:gutter="0"/>
          <w:cols w:space="567"/>
          <w:bidi/>
          <w:rtlGutter/>
          <w:docGrid w:linePitch="299"/>
        </w:sectPr>
      </w:pPr>
    </w:p>
    <w:p w14:paraId="3BD0A538" w14:textId="77777777" w:rsidR="003D504D" w:rsidRPr="00B06D6B" w:rsidRDefault="003D504D" w:rsidP="003D504D">
      <w:pPr>
        <w:pStyle w:val="afe"/>
        <w:rPr>
          <w:rtl/>
        </w:rPr>
      </w:pPr>
      <w:bookmarkStart w:id="26186" w:name="_Toc4402619"/>
      <w:bookmarkStart w:id="26187" w:name="_Toc4540591"/>
      <w:bookmarkStart w:id="26188" w:name="_Toc4606381"/>
      <w:bookmarkStart w:id="26189" w:name="_Toc4618176"/>
      <w:bookmarkStart w:id="26190" w:name="_Toc4704765"/>
      <w:bookmarkStart w:id="26191" w:name="_Toc4761924"/>
      <w:bookmarkStart w:id="26192" w:name="_Toc4877633"/>
      <w:bookmarkStart w:id="26193" w:name="_Toc4877959"/>
      <w:bookmarkStart w:id="26194" w:name="_Toc4878103"/>
      <w:bookmarkStart w:id="26195" w:name="_Toc19436486"/>
      <w:bookmarkStart w:id="26196" w:name="_Toc20081592"/>
      <w:r>
        <w:rPr>
          <w:rFonts w:hint="cs"/>
          <w:rtl/>
        </w:rPr>
        <w:t>בגדר היתר טריפה</w:t>
      </w:r>
      <w:bookmarkEnd w:id="26186"/>
      <w:bookmarkEnd w:id="26187"/>
      <w:bookmarkEnd w:id="26188"/>
      <w:bookmarkEnd w:id="26189"/>
      <w:bookmarkEnd w:id="26190"/>
      <w:bookmarkEnd w:id="26191"/>
      <w:bookmarkEnd w:id="26192"/>
      <w:bookmarkEnd w:id="26193"/>
      <w:bookmarkEnd w:id="26194"/>
      <w:bookmarkEnd w:id="26195"/>
      <w:bookmarkEnd w:id="26196"/>
    </w:p>
    <w:p w14:paraId="4E5F3A32" w14:textId="77777777" w:rsidR="003D504D" w:rsidRDefault="003D504D" w:rsidP="00BF39B2">
      <w:pPr>
        <w:pStyle w:val="1"/>
        <w:rPr>
          <w:rtl/>
        </w:rPr>
      </w:pPr>
      <w:bookmarkStart w:id="26197" w:name="_Toc4704766"/>
      <w:bookmarkStart w:id="26198" w:name="_Toc4761925"/>
      <w:bookmarkStart w:id="26199" w:name="_Toc4877634"/>
      <w:bookmarkStart w:id="26200" w:name="_Toc4877960"/>
      <w:bookmarkStart w:id="26201" w:name="_Toc4878104"/>
      <w:bookmarkStart w:id="26202" w:name="_Toc19392221"/>
      <w:bookmarkStart w:id="26203" w:name="_Toc19395718"/>
      <w:r>
        <w:rPr>
          <w:rFonts w:hint="cs"/>
          <w:rtl/>
        </w:rPr>
        <w:t>דברי הגר"ח דשחיטת טריפה אינה שחיטה מתרת לאכילה</w:t>
      </w:r>
      <w:bookmarkEnd w:id="26197"/>
      <w:bookmarkEnd w:id="26198"/>
      <w:bookmarkEnd w:id="26199"/>
      <w:bookmarkEnd w:id="26200"/>
      <w:bookmarkEnd w:id="26201"/>
      <w:bookmarkEnd w:id="26202"/>
      <w:bookmarkEnd w:id="26203"/>
    </w:p>
    <w:p w14:paraId="36487CBC" w14:textId="77777777" w:rsidR="003D504D" w:rsidRPr="00DC5DF4" w:rsidRDefault="003D504D" w:rsidP="003D504D">
      <w:pPr>
        <w:pStyle w:val="a3"/>
        <w:rPr>
          <w:rtl/>
        </w:rPr>
      </w:pPr>
      <w:bookmarkStart w:id="26204" w:name="_Toc4704767"/>
      <w:bookmarkStart w:id="26205" w:name="_Toc4761926"/>
      <w:bookmarkStart w:id="26206" w:name="_Toc4877635"/>
      <w:bookmarkStart w:id="26207" w:name="_Toc4877961"/>
      <w:bookmarkStart w:id="26208" w:name="_Toc4878105"/>
      <w:bookmarkStart w:id="26209" w:name="_Toc19392222"/>
      <w:bookmarkStart w:id="26210" w:name="_Toc19395719"/>
      <w:r>
        <w:rPr>
          <w:rFonts w:hint="cs"/>
          <w:rtl/>
        </w:rPr>
        <w:t>קושית הגר"ח על הרמב"ם דדימה את היתר השחיטה בטריפה מטומאת נבילה לשחיטת עכו"ם</w:t>
      </w:r>
      <w:bookmarkEnd w:id="26204"/>
      <w:bookmarkEnd w:id="26205"/>
      <w:bookmarkEnd w:id="26206"/>
      <w:bookmarkEnd w:id="26207"/>
      <w:bookmarkEnd w:id="26208"/>
      <w:bookmarkEnd w:id="26209"/>
      <w:bookmarkEnd w:id="26210"/>
    </w:p>
    <w:p w14:paraId="15E619B5" w14:textId="77777777" w:rsidR="003D504D" w:rsidRPr="00E53F7F" w:rsidRDefault="003D504D" w:rsidP="00223668">
      <w:pPr>
        <w:pStyle w:val="a0"/>
      </w:pPr>
      <w:bookmarkStart w:id="26211" w:name="_Ref4699889"/>
      <w:r w:rsidRPr="00E53F7F">
        <w:rPr>
          <w:rFonts w:hint="cs"/>
          <w:rtl/>
        </w:rPr>
        <w:t xml:space="preserve">בדברי </w:t>
      </w:r>
      <w:r w:rsidRPr="00E53F7F">
        <w:rPr>
          <w:rStyle w:val="af9"/>
          <w:rFonts w:hint="cs"/>
          <w:rtl/>
        </w:rPr>
        <w:t>הרמב"ם</w:t>
      </w:r>
      <w:r w:rsidRPr="00E53F7F">
        <w:rPr>
          <w:rFonts w:hint="cs"/>
          <w:rtl/>
        </w:rPr>
        <w:t xml:space="preserve"> </w:t>
      </w:r>
      <w:r w:rsidRPr="00E53F7F">
        <w:rPr>
          <w:rStyle w:val="af7"/>
          <w:rFonts w:eastAsia="Guttman Hodes" w:hint="cs"/>
          <w:rtl/>
        </w:rPr>
        <w:t>(אבות הטומאות פ"ב ה"י)</w:t>
      </w:r>
      <w:r w:rsidRPr="00E53F7F">
        <w:rPr>
          <w:rFonts w:hint="cs"/>
          <w:rtl/>
        </w:rPr>
        <w:t xml:space="preserve"> דכתב דהא דשחיטת עכו"ם מטמאה בנבילה, קרוב לומר דאינו מדאו' אלא מדרבנן, והוסיף </w:t>
      </w:r>
      <w:r w:rsidRPr="00E53F7F">
        <w:rPr>
          <w:rStyle w:val="af9"/>
          <w:rFonts w:hint="cs"/>
          <w:rtl/>
        </w:rPr>
        <w:t>הרמב"ם</w:t>
      </w:r>
      <w:r w:rsidRPr="00E53F7F">
        <w:rPr>
          <w:rFonts w:hint="cs"/>
          <w:rtl/>
        </w:rPr>
        <w:t xml:space="preserve"> דאעפ"י דטריפה אסורה באכילה מדאו', מ"מ לא כל דבר שאסור מדאו' מטמא מדאו', דהרי טריפה אסורה מדאו' והיא טהורה, הביא </w:t>
      </w:r>
      <w:r w:rsidRPr="00E53F7F">
        <w:rPr>
          <w:rStyle w:val="af9"/>
          <w:rFonts w:hint="cs"/>
          <w:rtl/>
        </w:rPr>
        <w:t>הגרי"ז</w:t>
      </w:r>
      <w:r w:rsidRPr="00E53F7F">
        <w:rPr>
          <w:rFonts w:hint="cs"/>
          <w:rtl/>
        </w:rPr>
        <w:t xml:space="preserve"> </w:t>
      </w:r>
      <w:r w:rsidRPr="00E53F7F">
        <w:rPr>
          <w:rStyle w:val="af7"/>
          <w:rFonts w:eastAsia="Guttman Hodes" w:hint="cs"/>
          <w:rtl/>
        </w:rPr>
        <w:t>(חי' מרן רי"ז הלוי מכתבים עמ' ע"ט ד"ה מכתבו, חי' הגר"ח עהש"ס לעיל יג.)</w:t>
      </w:r>
      <w:r w:rsidRPr="00E53F7F">
        <w:rPr>
          <w:rFonts w:hint="cs"/>
          <w:rtl/>
        </w:rPr>
        <w:t xml:space="preserve"> בשם </w:t>
      </w:r>
      <w:r w:rsidRPr="00E53F7F">
        <w:rPr>
          <w:rStyle w:val="af9"/>
          <w:rFonts w:hint="cs"/>
          <w:rtl/>
        </w:rPr>
        <w:t>הגר"ח</w:t>
      </w:r>
      <w:r w:rsidRPr="00E53F7F">
        <w:rPr>
          <w:rFonts w:hint="cs"/>
          <w:rtl/>
        </w:rPr>
        <w:t xml:space="preserve"> דהקשה על </w:t>
      </w:r>
      <w:r w:rsidRPr="00E53F7F">
        <w:rPr>
          <w:rStyle w:val="af9"/>
          <w:rFonts w:hint="cs"/>
          <w:rtl/>
        </w:rPr>
        <w:t>הרמב"ם</w:t>
      </w:r>
      <w:r w:rsidRPr="00E53F7F">
        <w:rPr>
          <w:rFonts w:hint="cs"/>
          <w:rtl/>
        </w:rPr>
        <w:t xml:space="preserve"> דלא דמי שחיטת נכרי לשחיטת טריפה, דהרי שחיטת נכרי </w:t>
      </w:r>
      <w:r>
        <w:rPr>
          <w:rFonts w:hint="cs"/>
          <w:rtl/>
        </w:rPr>
        <w:t>יש חסרון בעצם ה</w:t>
      </w:r>
      <w:r w:rsidRPr="00E53F7F">
        <w:rPr>
          <w:rFonts w:hint="cs"/>
          <w:rtl/>
        </w:rPr>
        <w:t xml:space="preserve">שחיטה </w:t>
      </w:r>
      <w:r>
        <w:rPr>
          <w:rFonts w:hint="cs"/>
          <w:rtl/>
        </w:rPr>
        <w:t>ו</w:t>
      </w:r>
      <w:r w:rsidRPr="00E53F7F">
        <w:rPr>
          <w:rFonts w:hint="cs"/>
          <w:rtl/>
        </w:rPr>
        <w:t>אינה שחיטה כלל, ומדאו'</w:t>
      </w:r>
      <w:r w:rsidRPr="00D80ABC">
        <w:rPr>
          <w:rFonts w:hint="cs"/>
          <w:rtl/>
        </w:rPr>
        <w:t xml:space="preserve"> </w:t>
      </w:r>
      <w:r w:rsidRPr="00E53F7F">
        <w:rPr>
          <w:rFonts w:hint="cs"/>
          <w:rtl/>
        </w:rPr>
        <w:t xml:space="preserve">היא נבילה לענין אכילה, </w:t>
      </w:r>
      <w:r>
        <w:rPr>
          <w:rFonts w:hint="cs"/>
          <w:rtl/>
        </w:rPr>
        <w:t xml:space="preserve">ולכן אף לענין טומאה יש לה דין נבילה, </w:t>
      </w:r>
      <w:r w:rsidRPr="00E53F7F">
        <w:rPr>
          <w:rFonts w:hint="cs"/>
          <w:rtl/>
        </w:rPr>
        <w:t xml:space="preserve">משא"כ שחיטת טריפה </w:t>
      </w:r>
      <w:r>
        <w:rPr>
          <w:rFonts w:hint="cs"/>
          <w:rtl/>
        </w:rPr>
        <w:t>ש</w:t>
      </w:r>
      <w:r w:rsidRPr="00E53F7F">
        <w:rPr>
          <w:rFonts w:hint="cs"/>
          <w:rtl/>
        </w:rPr>
        <w:t xml:space="preserve">איסור </w:t>
      </w:r>
      <w:r>
        <w:rPr>
          <w:rFonts w:hint="cs"/>
          <w:rtl/>
        </w:rPr>
        <w:t>ה</w:t>
      </w:r>
      <w:r w:rsidRPr="00E53F7F">
        <w:rPr>
          <w:rFonts w:hint="cs"/>
          <w:rtl/>
        </w:rPr>
        <w:t xml:space="preserve">אכילה </w:t>
      </w:r>
      <w:r>
        <w:rPr>
          <w:rFonts w:hint="cs"/>
          <w:rtl/>
        </w:rPr>
        <w:t xml:space="preserve">שלה הוא </w:t>
      </w:r>
      <w:r w:rsidRPr="00E53F7F">
        <w:rPr>
          <w:rFonts w:hint="cs"/>
          <w:rtl/>
        </w:rPr>
        <w:t>מצד הבהמה עצמה שהיא טריפה, וגדר איסורה הוא כאיסור חלב ודם שאף שנשחטה הבהמה הם אסורים באכילה, ולכן מהני שחיטת הטריפה לטהרה מנבילה,</w:t>
      </w:r>
      <w:r>
        <w:rPr>
          <w:rFonts w:hint="cs"/>
          <w:rtl/>
        </w:rPr>
        <w:t xml:space="preserve"> דאינה נבילה אלא טריפה,</w:t>
      </w:r>
      <w:r w:rsidRPr="00E53F7F">
        <w:rPr>
          <w:rFonts w:hint="cs"/>
          <w:rtl/>
        </w:rPr>
        <w:t xml:space="preserve"> משא"כ בשחיטת נכרי דאינה שחיטה כלל, ולא מצינו שיש שחיטה דאינה שחיטה כלל לענין אכילה, וחשיבא שחיטה לענין טומאה.</w:t>
      </w:r>
      <w:bookmarkEnd w:id="26211"/>
      <w:r w:rsidRPr="00E53F7F">
        <w:rPr>
          <w:rFonts w:hint="cs"/>
          <w:rtl/>
        </w:rPr>
        <w:t xml:space="preserve"> </w:t>
      </w:r>
    </w:p>
    <w:p w14:paraId="3774ED53" w14:textId="77777777" w:rsidR="003D504D" w:rsidRPr="008E61E4" w:rsidRDefault="003D504D" w:rsidP="003D504D">
      <w:pPr>
        <w:pStyle w:val="a3"/>
        <w:rPr>
          <w:rtl/>
        </w:rPr>
      </w:pPr>
      <w:bookmarkStart w:id="26212" w:name="_Toc4704768"/>
      <w:bookmarkStart w:id="26213" w:name="_Toc4761927"/>
      <w:bookmarkStart w:id="26214" w:name="_Toc4877636"/>
      <w:bookmarkStart w:id="26215" w:name="_Toc4877962"/>
      <w:bookmarkStart w:id="26216" w:name="_Toc4878106"/>
      <w:bookmarkStart w:id="26217" w:name="_Toc19392223"/>
      <w:bookmarkStart w:id="26218" w:name="_Toc19395720"/>
      <w:r w:rsidRPr="00495C7C">
        <w:rPr>
          <w:rtl/>
        </w:rPr>
        <w:t>דברי הגר"ח דמבואר ברמב"ם דבטריפה יש חסרון בשחיטתה דאינה מתירה לאכילה</w:t>
      </w:r>
      <w:bookmarkEnd w:id="26212"/>
      <w:bookmarkEnd w:id="26213"/>
      <w:bookmarkEnd w:id="26214"/>
      <w:bookmarkEnd w:id="26215"/>
      <w:bookmarkEnd w:id="26216"/>
      <w:bookmarkEnd w:id="26217"/>
      <w:bookmarkEnd w:id="26218"/>
    </w:p>
    <w:p w14:paraId="1BC16850" w14:textId="77777777" w:rsidR="003D504D" w:rsidRDefault="003D504D" w:rsidP="00223668">
      <w:pPr>
        <w:pStyle w:val="a0"/>
        <w:rPr>
          <w:rtl/>
        </w:rPr>
      </w:pPr>
      <w:bookmarkStart w:id="26219" w:name="_Ref4600691"/>
      <w:bookmarkStart w:id="26220" w:name="_Ref4666209"/>
      <w:r w:rsidRPr="00E53F7F">
        <w:rPr>
          <w:rFonts w:hint="cs"/>
          <w:rtl/>
        </w:rPr>
        <w:t xml:space="preserve">אלא כתב </w:t>
      </w:r>
      <w:r w:rsidRPr="00E53F7F">
        <w:rPr>
          <w:rStyle w:val="af9"/>
          <w:rFonts w:hint="cs"/>
          <w:rtl/>
        </w:rPr>
        <w:t>הגרי"ז</w:t>
      </w:r>
      <w:r w:rsidRPr="00E53F7F">
        <w:rPr>
          <w:rFonts w:hint="cs"/>
          <w:rtl/>
        </w:rPr>
        <w:t xml:space="preserve"> בשם </w:t>
      </w:r>
      <w:r w:rsidRPr="00E53F7F">
        <w:rPr>
          <w:rStyle w:val="af9"/>
          <w:rFonts w:hint="cs"/>
          <w:rtl/>
        </w:rPr>
        <w:t>הגר"ח</w:t>
      </w:r>
      <w:r w:rsidRPr="00E53F7F">
        <w:rPr>
          <w:rFonts w:hint="cs"/>
          <w:rtl/>
        </w:rPr>
        <w:t xml:space="preserve"> דמבואר מדברי </w:t>
      </w:r>
      <w:r w:rsidRPr="00E53F7F">
        <w:rPr>
          <w:rStyle w:val="af9"/>
          <w:rFonts w:hint="cs"/>
          <w:rtl/>
        </w:rPr>
        <w:t>הרמב"ם</w:t>
      </w:r>
      <w:r w:rsidRPr="00E53F7F">
        <w:rPr>
          <w:rFonts w:hint="cs"/>
          <w:rtl/>
        </w:rPr>
        <w:t xml:space="preserve"> דאף שחיטת טריפה אינה רק איסור בעלמא, אלא הוא דין בשחיטה שיש חסרון בהיתר השחיטה, דשחיטת טריפה אינה מתירה באכילה, ולכן הוכיח </w:t>
      </w:r>
      <w:r w:rsidRPr="00E53F7F">
        <w:rPr>
          <w:rStyle w:val="af9"/>
          <w:rFonts w:hint="cs"/>
          <w:rtl/>
        </w:rPr>
        <w:t>הרמב"ם</w:t>
      </w:r>
      <w:r w:rsidRPr="00E53F7F">
        <w:rPr>
          <w:rFonts w:hint="cs"/>
          <w:rtl/>
        </w:rPr>
        <w:t xml:space="preserve"> מדין שחיטת טריפה, דאף דלענין אכילה אינה שחיטה מ"מ מהני שחיטתה לטהרה מנבילה, ומוכח שיש חילוק בין שחיטה לאכילה לשחיטה לטומאה</w:t>
      </w:r>
      <w:bookmarkEnd w:id="26219"/>
      <w:r>
        <w:rPr>
          <w:rFonts w:hint="cs"/>
          <w:rtl/>
        </w:rPr>
        <w:t xml:space="preserve">, </w:t>
      </w:r>
      <w:r w:rsidRPr="00E53F7F">
        <w:rPr>
          <w:rFonts w:hint="cs"/>
          <w:rtl/>
        </w:rPr>
        <w:t xml:space="preserve">וכ"כ </w:t>
      </w:r>
      <w:r w:rsidRPr="00E53F7F">
        <w:rPr>
          <w:rStyle w:val="af9"/>
          <w:rFonts w:hint="cs"/>
          <w:rtl/>
        </w:rPr>
        <w:t>החזון יחזקאל</w:t>
      </w:r>
      <w:r w:rsidRPr="00E53F7F">
        <w:rPr>
          <w:rFonts w:hint="cs"/>
          <w:rtl/>
        </w:rPr>
        <w:t xml:space="preserve"> </w:t>
      </w:r>
      <w:r>
        <w:rPr>
          <w:rStyle w:val="af7"/>
          <w:rFonts w:eastAsia="Guttman Hodes" w:hint="cs"/>
          <w:rtl/>
        </w:rPr>
        <w:t>(</w:t>
      </w:r>
      <w:r w:rsidRPr="003A52B2">
        <w:rPr>
          <w:rStyle w:val="af7"/>
          <w:rFonts w:eastAsia="Guttman Hodes" w:hint="cs"/>
          <w:rtl/>
        </w:rPr>
        <w:t xml:space="preserve">עי' אות </w:t>
      </w:r>
      <w:r w:rsidRPr="003A52B2">
        <w:rPr>
          <w:rStyle w:val="af7"/>
          <w:rFonts w:eastAsia="Guttman Hodes"/>
          <w:rtl/>
        </w:rPr>
        <w:fldChar w:fldCharType="begin"/>
      </w:r>
      <w:r w:rsidRPr="003A52B2">
        <w:rPr>
          <w:rStyle w:val="af7"/>
          <w:rFonts w:eastAsia="Guttman Hodes"/>
          <w:rtl/>
        </w:rPr>
        <w:instrText xml:space="preserve"> </w:instrText>
      </w:r>
      <w:r w:rsidRPr="003A52B2">
        <w:rPr>
          <w:rStyle w:val="af7"/>
          <w:rFonts w:eastAsia="Guttman Hodes" w:hint="cs"/>
        </w:rPr>
        <w:instrText>REF</w:instrText>
      </w:r>
      <w:r w:rsidRPr="003A52B2">
        <w:rPr>
          <w:rStyle w:val="af7"/>
          <w:rFonts w:eastAsia="Guttman Hodes" w:hint="cs"/>
          <w:rtl/>
        </w:rPr>
        <w:instrText xml:space="preserve"> _</w:instrText>
      </w:r>
      <w:r w:rsidRPr="003A52B2">
        <w:rPr>
          <w:rStyle w:val="af7"/>
          <w:rFonts w:eastAsia="Guttman Hodes" w:hint="cs"/>
        </w:rPr>
        <w:instrText>Ref4666133 \r \h</w:instrText>
      </w:r>
      <w:r w:rsidRPr="003A52B2">
        <w:rPr>
          <w:rStyle w:val="af7"/>
          <w:rFonts w:eastAsia="Guttman Hodes"/>
          <w:rtl/>
        </w:rPr>
        <w:instrText xml:space="preserve"> </w:instrText>
      </w:r>
      <w:r w:rsidRPr="003A52B2">
        <w:rPr>
          <w:rStyle w:val="af7"/>
          <w:rFonts w:eastAsia="Guttman Hodes"/>
          <w:rtl/>
        </w:rPr>
      </w:r>
      <w:r w:rsidRPr="003A52B2">
        <w:rPr>
          <w:rStyle w:val="af7"/>
          <w:rFonts w:eastAsia="Guttman Hodes"/>
          <w:rtl/>
        </w:rPr>
        <w:fldChar w:fldCharType="separate"/>
      </w:r>
      <w:r w:rsidR="00345400">
        <w:rPr>
          <w:rStyle w:val="af7"/>
          <w:rFonts w:eastAsia="Guttman Hodes"/>
          <w:cs/>
        </w:rPr>
        <w:t>‎</w:t>
      </w:r>
      <w:r w:rsidR="00345400">
        <w:rPr>
          <w:rStyle w:val="af7"/>
          <w:rFonts w:eastAsia="Guttman Hodes"/>
          <w:rtl/>
        </w:rPr>
        <w:t>נ)</w:t>
      </w:r>
      <w:r w:rsidRPr="003A52B2">
        <w:rPr>
          <w:rStyle w:val="af7"/>
          <w:rFonts w:eastAsia="Guttman Hodes"/>
          <w:rtl/>
        </w:rPr>
        <w:fldChar w:fldCharType="end"/>
      </w:r>
      <w:r>
        <w:rPr>
          <w:rFonts w:hint="cs"/>
          <w:rtl/>
        </w:rPr>
        <w:t xml:space="preserve"> </w:t>
      </w:r>
      <w:r w:rsidRPr="00456FE2">
        <w:rPr>
          <w:rFonts w:hint="cs"/>
          <w:rtl/>
        </w:rPr>
        <w:t>וע</w:t>
      </w:r>
      <w:r>
        <w:rPr>
          <w:rFonts w:hint="cs"/>
          <w:rtl/>
        </w:rPr>
        <w:t>"ע</w:t>
      </w:r>
      <w:r w:rsidRPr="00456FE2">
        <w:rPr>
          <w:rFonts w:hint="cs"/>
          <w:rtl/>
        </w:rPr>
        <w:t xml:space="preserve"> בדברי</w:t>
      </w:r>
      <w:r>
        <w:rPr>
          <w:rStyle w:val="af9"/>
          <w:rFonts w:hint="cs"/>
          <w:rtl/>
        </w:rPr>
        <w:t xml:space="preserve"> </w:t>
      </w:r>
      <w:r w:rsidRPr="00460B5D">
        <w:rPr>
          <w:rStyle w:val="af9"/>
          <w:rFonts w:hint="cs"/>
          <w:rtl/>
        </w:rPr>
        <w:t>האמרי משה</w:t>
      </w:r>
      <w:r>
        <w:rPr>
          <w:rFonts w:hint="cs"/>
          <w:rtl/>
        </w:rPr>
        <w:t xml:space="preserve"> </w:t>
      </w:r>
      <w:r w:rsidRPr="00460B5D">
        <w:rPr>
          <w:rStyle w:val="af7"/>
          <w:rFonts w:eastAsia="Guttman Hodes" w:hint="cs"/>
          <w:rtl/>
        </w:rPr>
        <w:t xml:space="preserve">(עי' אות </w:t>
      </w:r>
      <w:r w:rsidRPr="00460B5D">
        <w:rPr>
          <w:rStyle w:val="af7"/>
          <w:rFonts w:eastAsia="Guttman Hodes"/>
          <w:rtl/>
        </w:rPr>
        <w:fldChar w:fldCharType="begin"/>
      </w:r>
      <w:r w:rsidRPr="00460B5D">
        <w:rPr>
          <w:rStyle w:val="af7"/>
          <w:rFonts w:eastAsia="Guttman Hodes"/>
          <w:rtl/>
        </w:rPr>
        <w:instrText xml:space="preserve"> </w:instrText>
      </w:r>
      <w:r w:rsidRPr="00460B5D">
        <w:rPr>
          <w:rStyle w:val="af7"/>
          <w:rFonts w:eastAsia="Guttman Hodes" w:hint="cs"/>
        </w:rPr>
        <w:instrText>REF</w:instrText>
      </w:r>
      <w:r w:rsidRPr="00460B5D">
        <w:rPr>
          <w:rStyle w:val="af7"/>
          <w:rFonts w:eastAsia="Guttman Hodes" w:hint="cs"/>
          <w:rtl/>
        </w:rPr>
        <w:instrText xml:space="preserve"> _</w:instrText>
      </w:r>
      <w:r w:rsidRPr="00460B5D">
        <w:rPr>
          <w:rStyle w:val="af7"/>
          <w:rFonts w:eastAsia="Guttman Hodes" w:hint="cs"/>
        </w:rPr>
        <w:instrText>Ref4687019 \r \h</w:instrText>
      </w:r>
      <w:r w:rsidRPr="00460B5D">
        <w:rPr>
          <w:rStyle w:val="af7"/>
          <w:rFonts w:eastAsia="Guttman Hodes"/>
          <w:rtl/>
        </w:rPr>
        <w:instrText xml:space="preserve"> </w:instrText>
      </w:r>
      <w:r w:rsidRPr="00460B5D">
        <w:rPr>
          <w:rStyle w:val="af7"/>
          <w:rFonts w:eastAsia="Guttman Hodes"/>
          <w:rtl/>
        </w:rPr>
      </w:r>
      <w:r w:rsidRPr="00460B5D">
        <w:rPr>
          <w:rStyle w:val="af7"/>
          <w:rFonts w:eastAsia="Guttman Hodes"/>
          <w:rtl/>
        </w:rPr>
        <w:fldChar w:fldCharType="separate"/>
      </w:r>
      <w:r w:rsidR="00345400">
        <w:rPr>
          <w:rStyle w:val="af7"/>
          <w:rFonts w:eastAsia="Guttman Hodes"/>
          <w:cs/>
        </w:rPr>
        <w:t>‎</w:t>
      </w:r>
      <w:r w:rsidR="00345400">
        <w:rPr>
          <w:rStyle w:val="af7"/>
          <w:rFonts w:eastAsia="Guttman Hodes"/>
          <w:rtl/>
        </w:rPr>
        <w:t>נו)</w:t>
      </w:r>
      <w:r w:rsidRPr="00460B5D">
        <w:rPr>
          <w:rStyle w:val="af7"/>
          <w:rFonts w:eastAsia="Guttman Hodes"/>
          <w:rtl/>
        </w:rPr>
        <w:fldChar w:fldCharType="end"/>
      </w:r>
      <w:r>
        <w:rPr>
          <w:rFonts w:hint="cs"/>
          <w:rtl/>
        </w:rPr>
        <w:t xml:space="preserve"> </w:t>
      </w:r>
      <w:r w:rsidRPr="00B966D3">
        <w:rPr>
          <w:rStyle w:val="af9"/>
          <w:rFonts w:hint="cs"/>
          <w:rtl/>
        </w:rPr>
        <w:t>והקה"י</w:t>
      </w:r>
      <w:r>
        <w:rPr>
          <w:rFonts w:hint="cs"/>
          <w:rtl/>
        </w:rPr>
        <w:t xml:space="preserve"> </w:t>
      </w:r>
      <w:r w:rsidRPr="00B966D3">
        <w:rPr>
          <w:rStyle w:val="af7"/>
          <w:rFonts w:eastAsia="Guttman Hodes" w:hint="cs"/>
          <w:rtl/>
        </w:rPr>
        <w:t xml:space="preserve">(עי' אות </w:t>
      </w:r>
      <w:r w:rsidRPr="00B966D3">
        <w:rPr>
          <w:rStyle w:val="af7"/>
          <w:rFonts w:eastAsia="Guttman Hodes"/>
          <w:rtl/>
        </w:rPr>
        <w:fldChar w:fldCharType="begin"/>
      </w:r>
      <w:r w:rsidRPr="00B966D3">
        <w:rPr>
          <w:rStyle w:val="af7"/>
          <w:rFonts w:eastAsia="Guttman Hodes"/>
          <w:rtl/>
        </w:rPr>
        <w:instrText xml:space="preserve"> </w:instrText>
      </w:r>
      <w:r w:rsidRPr="00B966D3">
        <w:rPr>
          <w:rStyle w:val="af7"/>
          <w:rFonts w:eastAsia="Guttman Hodes" w:hint="cs"/>
        </w:rPr>
        <w:instrText>REF</w:instrText>
      </w:r>
      <w:r w:rsidRPr="00B966D3">
        <w:rPr>
          <w:rStyle w:val="af7"/>
          <w:rFonts w:eastAsia="Guttman Hodes" w:hint="cs"/>
          <w:rtl/>
        </w:rPr>
        <w:instrText xml:space="preserve"> _</w:instrText>
      </w:r>
      <w:r w:rsidRPr="00B966D3">
        <w:rPr>
          <w:rStyle w:val="af7"/>
          <w:rFonts w:eastAsia="Guttman Hodes" w:hint="cs"/>
        </w:rPr>
        <w:instrText>Ref4872220 \r \h</w:instrText>
      </w:r>
      <w:r w:rsidRPr="00B966D3">
        <w:rPr>
          <w:rStyle w:val="af7"/>
          <w:rFonts w:eastAsia="Guttman Hodes"/>
          <w:rtl/>
        </w:rPr>
        <w:instrText xml:space="preserve"> </w:instrText>
      </w:r>
      <w:r w:rsidRPr="00B966D3">
        <w:rPr>
          <w:rStyle w:val="af7"/>
          <w:rFonts w:eastAsia="Guttman Hodes"/>
          <w:rtl/>
        </w:rPr>
      </w:r>
      <w:r w:rsidRPr="00B966D3">
        <w:rPr>
          <w:rStyle w:val="af7"/>
          <w:rFonts w:eastAsia="Guttman Hodes"/>
          <w:rtl/>
        </w:rPr>
        <w:fldChar w:fldCharType="separate"/>
      </w:r>
      <w:r w:rsidR="00345400">
        <w:rPr>
          <w:rStyle w:val="af7"/>
          <w:rFonts w:eastAsia="Guttman Hodes"/>
          <w:cs/>
        </w:rPr>
        <w:t>‎</w:t>
      </w:r>
      <w:r w:rsidR="00345400">
        <w:rPr>
          <w:rStyle w:val="af7"/>
          <w:rFonts w:eastAsia="Guttman Hodes"/>
          <w:rtl/>
        </w:rPr>
        <w:t>סז)</w:t>
      </w:r>
      <w:r w:rsidRPr="00B966D3">
        <w:rPr>
          <w:rStyle w:val="af7"/>
          <w:rFonts w:eastAsia="Guttman Hodes"/>
          <w:rtl/>
        </w:rPr>
        <w:fldChar w:fldCharType="end"/>
      </w:r>
      <w:r>
        <w:rPr>
          <w:rFonts w:hint="cs"/>
          <w:rtl/>
        </w:rPr>
        <w:t xml:space="preserve">, ועי' במה שביאר </w:t>
      </w:r>
      <w:r w:rsidRPr="00737B7C">
        <w:rPr>
          <w:rStyle w:val="af9"/>
          <w:rFonts w:hint="cs"/>
          <w:rtl/>
        </w:rPr>
        <w:t xml:space="preserve">בחי' רבי ראובן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Ref4691649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נט)</w:t>
      </w:r>
      <w:r>
        <w:rPr>
          <w:rStyle w:val="af7"/>
          <w:rFonts w:eastAsia="Guttman Hodes"/>
          <w:rtl/>
        </w:rPr>
        <w:fldChar w:fldCharType="end"/>
      </w:r>
      <w:r w:rsidRPr="00737B7C">
        <w:rPr>
          <w:rStyle w:val="af7"/>
          <w:rFonts w:eastAsia="Guttman Hodes" w:hint="cs"/>
          <w:rtl/>
        </w:rPr>
        <w:t xml:space="preserve"> </w:t>
      </w:r>
      <w:r>
        <w:rPr>
          <w:rFonts w:hint="cs"/>
          <w:rtl/>
        </w:rPr>
        <w:t>ב</w:t>
      </w:r>
      <w:r w:rsidRPr="00484AE8">
        <w:rPr>
          <w:rFonts w:hint="cs"/>
          <w:rtl/>
        </w:rPr>
        <w:t xml:space="preserve">דברי </w:t>
      </w:r>
      <w:r w:rsidRPr="00737B7C">
        <w:rPr>
          <w:rStyle w:val="af9"/>
          <w:rFonts w:hint="cs"/>
          <w:rtl/>
        </w:rPr>
        <w:t>הגר"ח</w:t>
      </w:r>
      <w:r>
        <w:rPr>
          <w:rFonts w:hint="cs"/>
          <w:rtl/>
        </w:rPr>
        <w:t xml:space="preserve">, וע"ע בדברי </w:t>
      </w:r>
      <w:r w:rsidRPr="00943149">
        <w:rPr>
          <w:rStyle w:val="af9"/>
          <w:rFonts w:hint="cs"/>
          <w:rtl/>
        </w:rPr>
        <w:t xml:space="preserve">האתוון דאורייתא </w:t>
      </w:r>
      <w:r w:rsidRPr="00943149">
        <w:rPr>
          <w:rStyle w:val="af7"/>
          <w:rFonts w:eastAsia="Guttman Hodes" w:hint="cs"/>
          <w:rtl/>
        </w:rPr>
        <w:t>(כלל ט"ז)</w:t>
      </w:r>
      <w:r>
        <w:rPr>
          <w:rFonts w:hint="cs"/>
          <w:rtl/>
        </w:rPr>
        <w:t xml:space="preserve"> במה שחקר בזה.</w:t>
      </w:r>
      <w:bookmarkEnd w:id="26220"/>
    </w:p>
    <w:p w14:paraId="65CB92C3" w14:textId="77777777" w:rsidR="003D504D" w:rsidRDefault="003D504D" w:rsidP="00BF39B2">
      <w:pPr>
        <w:pStyle w:val="1"/>
        <w:rPr>
          <w:rtl/>
        </w:rPr>
      </w:pPr>
      <w:bookmarkStart w:id="26221" w:name="_Toc4704769"/>
      <w:bookmarkStart w:id="26222" w:name="_Toc4761928"/>
      <w:bookmarkStart w:id="26223" w:name="_Toc4877637"/>
      <w:bookmarkStart w:id="26224" w:name="_Toc4877963"/>
      <w:bookmarkStart w:id="26225" w:name="_Toc4878107"/>
      <w:bookmarkStart w:id="26226" w:name="_Toc19392224"/>
      <w:bookmarkStart w:id="26227" w:name="_Toc19395721"/>
      <w:r>
        <w:rPr>
          <w:rFonts w:hint="cs"/>
          <w:rtl/>
        </w:rPr>
        <w:t>ביאור הגרי"ז דכיון שיש חסרון בשחיטת טריפה אין הולד מותר</w:t>
      </w:r>
      <w:bookmarkEnd w:id="26221"/>
      <w:bookmarkEnd w:id="26222"/>
      <w:bookmarkEnd w:id="26223"/>
      <w:bookmarkEnd w:id="26224"/>
      <w:bookmarkEnd w:id="26225"/>
      <w:bookmarkEnd w:id="26226"/>
      <w:bookmarkEnd w:id="26227"/>
    </w:p>
    <w:p w14:paraId="4DCA2A8A" w14:textId="77777777" w:rsidR="003D504D" w:rsidRPr="00E53F7F" w:rsidRDefault="003D504D" w:rsidP="003D504D">
      <w:pPr>
        <w:pStyle w:val="a3"/>
        <w:rPr>
          <w:rtl/>
        </w:rPr>
      </w:pPr>
      <w:bookmarkStart w:id="26228" w:name="_Toc4704770"/>
      <w:bookmarkStart w:id="26229" w:name="_Toc4761929"/>
      <w:bookmarkStart w:id="26230" w:name="_Toc4877638"/>
      <w:bookmarkStart w:id="26231" w:name="_Toc4877964"/>
      <w:bookmarkStart w:id="26232" w:name="_Toc4878108"/>
      <w:bookmarkStart w:id="26233" w:name="_Toc19392225"/>
      <w:bookmarkStart w:id="26234" w:name="_Toc19395722"/>
      <w:r>
        <w:rPr>
          <w:rFonts w:hint="cs"/>
          <w:rtl/>
        </w:rPr>
        <w:t>דברי הגרי"ז דלביאור הגר"ח מבואר דלא מהני שחיטת טריפה להתיר ולד דאינה מתירה באכילה</w:t>
      </w:r>
      <w:bookmarkEnd w:id="26228"/>
      <w:bookmarkEnd w:id="26229"/>
      <w:bookmarkEnd w:id="26230"/>
      <w:bookmarkEnd w:id="26231"/>
      <w:bookmarkEnd w:id="26232"/>
      <w:bookmarkEnd w:id="26233"/>
      <w:bookmarkEnd w:id="26234"/>
    </w:p>
    <w:p w14:paraId="5FCED8F5" w14:textId="77777777" w:rsidR="003D504D" w:rsidRPr="00E53F7F" w:rsidRDefault="003D504D" w:rsidP="00223668">
      <w:pPr>
        <w:pStyle w:val="a0"/>
        <w:rPr>
          <w:rtl/>
        </w:rPr>
      </w:pPr>
      <w:bookmarkStart w:id="26235" w:name="_Ref4667187"/>
      <w:r w:rsidRPr="00E53F7F">
        <w:rPr>
          <w:rFonts w:hint="cs"/>
          <w:rtl/>
        </w:rPr>
        <w:t xml:space="preserve">וכתב </w:t>
      </w:r>
      <w:r w:rsidRPr="00E53F7F">
        <w:rPr>
          <w:rStyle w:val="af9"/>
          <w:rFonts w:hint="cs"/>
          <w:rtl/>
        </w:rPr>
        <w:t>הגרי"ז</w:t>
      </w:r>
      <w:r w:rsidRPr="00E53F7F">
        <w:rPr>
          <w:rFonts w:hint="cs"/>
          <w:rtl/>
        </w:rPr>
        <w:t xml:space="preserve"> דלפי"ז </w:t>
      </w:r>
      <w:r>
        <w:rPr>
          <w:rFonts w:hint="cs"/>
          <w:rtl/>
        </w:rPr>
        <w:t xml:space="preserve">מבואר אמאי </w:t>
      </w:r>
      <w:r w:rsidRPr="00E53F7F">
        <w:rPr>
          <w:rFonts w:hint="cs"/>
          <w:rtl/>
        </w:rPr>
        <w:t xml:space="preserve">עובר שנמצא במעי טריפה, אינו מותר באכילה ע"י שחיטת אמו, </w:t>
      </w:r>
      <w:r>
        <w:rPr>
          <w:rFonts w:hint="cs"/>
          <w:rtl/>
        </w:rPr>
        <w:t>ד</w:t>
      </w:r>
      <w:r w:rsidRPr="00E53F7F">
        <w:rPr>
          <w:rFonts w:hint="cs"/>
          <w:rtl/>
        </w:rPr>
        <w:t>כיון שאין בשחיטת האם היתר אכילה, לכן אין בכח שחיטתה להתיר את הולד</w:t>
      </w:r>
      <w:r>
        <w:rPr>
          <w:rFonts w:hint="cs"/>
          <w:rtl/>
        </w:rPr>
        <w:t>,</w:t>
      </w:r>
      <w:r w:rsidRPr="00280EAE">
        <w:rPr>
          <w:rFonts w:hint="cs"/>
          <w:rtl/>
        </w:rPr>
        <w:t xml:space="preserve"> </w:t>
      </w:r>
      <w:r>
        <w:rPr>
          <w:rFonts w:hint="cs"/>
          <w:rtl/>
        </w:rPr>
        <w:t xml:space="preserve">וכ"כ </w:t>
      </w:r>
      <w:r w:rsidRPr="00280EAE">
        <w:rPr>
          <w:rStyle w:val="af9"/>
          <w:rFonts w:hint="cs"/>
          <w:rtl/>
        </w:rPr>
        <w:t>האמרי משה</w:t>
      </w:r>
      <w:r>
        <w:rPr>
          <w:rFonts w:hint="cs"/>
          <w:rtl/>
        </w:rPr>
        <w:t xml:space="preserve"> </w:t>
      </w:r>
      <w:r w:rsidRPr="00280EAE">
        <w:rPr>
          <w:rStyle w:val="af7"/>
          <w:rFonts w:eastAsia="Guttman Hodes" w:hint="cs"/>
          <w:rtl/>
        </w:rPr>
        <w:t xml:space="preserve">(עי' אות </w:t>
      </w:r>
      <w:r w:rsidRPr="00280EAE">
        <w:rPr>
          <w:rStyle w:val="af7"/>
          <w:rFonts w:eastAsia="Guttman Hodes"/>
          <w:rtl/>
        </w:rPr>
        <w:fldChar w:fldCharType="begin"/>
      </w:r>
      <w:r w:rsidRPr="00280EAE">
        <w:rPr>
          <w:rStyle w:val="af7"/>
          <w:rFonts w:eastAsia="Guttman Hodes"/>
          <w:rtl/>
        </w:rPr>
        <w:instrText xml:space="preserve"> </w:instrText>
      </w:r>
      <w:r w:rsidRPr="00280EAE">
        <w:rPr>
          <w:rStyle w:val="af7"/>
          <w:rFonts w:eastAsia="Guttman Hodes" w:hint="cs"/>
        </w:rPr>
        <w:instrText>REF</w:instrText>
      </w:r>
      <w:r w:rsidRPr="00280EAE">
        <w:rPr>
          <w:rStyle w:val="af7"/>
          <w:rFonts w:eastAsia="Guttman Hodes" w:hint="cs"/>
          <w:rtl/>
        </w:rPr>
        <w:instrText xml:space="preserve"> _</w:instrText>
      </w:r>
      <w:r w:rsidRPr="00280EAE">
        <w:rPr>
          <w:rStyle w:val="af7"/>
          <w:rFonts w:eastAsia="Guttman Hodes" w:hint="cs"/>
        </w:rPr>
        <w:instrText>Ref4691262 \r \h</w:instrText>
      </w:r>
      <w:r w:rsidRPr="00280EAE">
        <w:rPr>
          <w:rStyle w:val="af7"/>
          <w:rFonts w:eastAsia="Guttman Hodes"/>
          <w:rtl/>
        </w:rPr>
        <w:instrText xml:space="preserve"> </w:instrText>
      </w:r>
      <w:r w:rsidRPr="00280EAE">
        <w:rPr>
          <w:rStyle w:val="af7"/>
          <w:rFonts w:eastAsia="Guttman Hodes"/>
          <w:rtl/>
        </w:rPr>
      </w:r>
      <w:r w:rsidRPr="00280EAE">
        <w:rPr>
          <w:rStyle w:val="af7"/>
          <w:rFonts w:eastAsia="Guttman Hodes"/>
          <w:rtl/>
        </w:rPr>
        <w:fldChar w:fldCharType="separate"/>
      </w:r>
      <w:r w:rsidR="00345400">
        <w:rPr>
          <w:rStyle w:val="af7"/>
          <w:rFonts w:eastAsia="Guttman Hodes"/>
          <w:cs/>
        </w:rPr>
        <w:t>‎</w:t>
      </w:r>
      <w:r w:rsidR="00345400">
        <w:rPr>
          <w:rStyle w:val="af7"/>
          <w:rFonts w:eastAsia="Guttman Hodes"/>
          <w:rtl/>
        </w:rPr>
        <w:t>נז)</w:t>
      </w:r>
      <w:r w:rsidRPr="00280EAE">
        <w:rPr>
          <w:rStyle w:val="af7"/>
          <w:rFonts w:eastAsia="Guttman Hodes"/>
          <w:rtl/>
        </w:rPr>
        <w:fldChar w:fldCharType="end"/>
      </w:r>
      <w:r w:rsidRPr="00E53F7F">
        <w:rPr>
          <w:rFonts w:hint="cs"/>
          <w:rtl/>
        </w:rPr>
        <w:t>.</w:t>
      </w:r>
      <w:bookmarkEnd w:id="26235"/>
      <w:r w:rsidRPr="00E53F7F">
        <w:rPr>
          <w:rFonts w:hint="cs"/>
          <w:rtl/>
        </w:rPr>
        <w:t xml:space="preserve"> </w:t>
      </w:r>
    </w:p>
    <w:p w14:paraId="1D660D44" w14:textId="77777777" w:rsidR="003D504D" w:rsidRPr="00DC5DF4" w:rsidRDefault="003D504D" w:rsidP="003D504D">
      <w:pPr>
        <w:pStyle w:val="a3"/>
        <w:rPr>
          <w:rtl/>
        </w:rPr>
      </w:pPr>
      <w:bookmarkStart w:id="26236" w:name="_Toc4704771"/>
      <w:bookmarkStart w:id="26237" w:name="_Toc4761930"/>
      <w:bookmarkStart w:id="26238" w:name="_Toc4877639"/>
      <w:bookmarkStart w:id="26239" w:name="_Toc4877965"/>
      <w:bookmarkStart w:id="26240" w:name="_Toc4878109"/>
      <w:bookmarkStart w:id="26241" w:name="_Toc19392226"/>
      <w:bookmarkStart w:id="26242" w:name="_Toc19395723"/>
      <w:r>
        <w:rPr>
          <w:rFonts w:hint="cs"/>
          <w:rtl/>
        </w:rPr>
        <w:t>קושית הגרי"ז על החזון יחזקאל דאי היתר הולד תלוי באם ואין חסרון בשחיטה אמאי הולד אסור</w:t>
      </w:r>
      <w:bookmarkEnd w:id="26236"/>
      <w:bookmarkEnd w:id="26237"/>
      <w:bookmarkEnd w:id="26238"/>
      <w:bookmarkEnd w:id="26239"/>
      <w:bookmarkEnd w:id="26240"/>
      <w:bookmarkEnd w:id="26241"/>
      <w:bookmarkEnd w:id="26242"/>
    </w:p>
    <w:p w14:paraId="6F17B082" w14:textId="77777777" w:rsidR="003D504D" w:rsidRDefault="003D504D" w:rsidP="00223668">
      <w:pPr>
        <w:pStyle w:val="a0"/>
        <w:rPr>
          <w:rtl/>
        </w:rPr>
      </w:pPr>
      <w:bookmarkStart w:id="26243" w:name="_Ref4686803"/>
      <w:r w:rsidRPr="00E53F7F">
        <w:rPr>
          <w:rFonts w:hint="cs"/>
          <w:rtl/>
        </w:rPr>
        <w:t xml:space="preserve">והביא </w:t>
      </w:r>
      <w:r w:rsidRPr="00E53F7F">
        <w:rPr>
          <w:rStyle w:val="af9"/>
          <w:rFonts w:hint="cs"/>
          <w:rtl/>
        </w:rPr>
        <w:t>הגרי"ז</w:t>
      </w:r>
      <w:r w:rsidRPr="00E53F7F">
        <w:rPr>
          <w:rFonts w:hint="cs"/>
          <w:rtl/>
        </w:rPr>
        <w:t xml:space="preserve"> </w:t>
      </w:r>
      <w:r w:rsidRPr="00E53F7F">
        <w:rPr>
          <w:rStyle w:val="af7"/>
          <w:rFonts w:eastAsia="Guttman Hodes" w:hint="cs"/>
          <w:rtl/>
        </w:rPr>
        <w:t>(חי' הגר"ח עהש"ס לעיל יג.</w:t>
      </w:r>
      <w:r>
        <w:rPr>
          <w:rStyle w:val="af7"/>
          <w:rFonts w:eastAsia="Guttman Hodes" w:hint="cs"/>
          <w:rtl/>
        </w:rPr>
        <w:t xml:space="preserve"> [סטנסל שע"ד], </w:t>
      </w:r>
      <w:r w:rsidRPr="00E53F7F">
        <w:rPr>
          <w:rStyle w:val="af7"/>
          <w:rFonts w:eastAsia="Guttman Hodes" w:hint="cs"/>
          <w:rtl/>
        </w:rPr>
        <w:t>חי' מרן רי"ז הלוי מכתבים עמ' ע"ט ד"ה מכתבו)</w:t>
      </w:r>
      <w:r w:rsidRPr="00E53F7F">
        <w:rPr>
          <w:rFonts w:hint="cs"/>
          <w:rtl/>
        </w:rPr>
        <w:t xml:space="preserve"> </w:t>
      </w:r>
      <w:r>
        <w:rPr>
          <w:rFonts w:hint="cs"/>
          <w:rtl/>
        </w:rPr>
        <w:t>את דברי</w:t>
      </w:r>
      <w:r w:rsidRPr="00E53F7F">
        <w:rPr>
          <w:rFonts w:hint="cs"/>
          <w:rtl/>
        </w:rPr>
        <w:t xml:space="preserve"> </w:t>
      </w:r>
      <w:r w:rsidRPr="00B03104">
        <w:rPr>
          <w:rStyle w:val="af9"/>
          <w:rFonts w:hint="cs"/>
          <w:rtl/>
        </w:rPr>
        <w:t>החזון יחזקאל</w:t>
      </w:r>
      <w:r>
        <w:rPr>
          <w:rFonts w:hint="cs"/>
          <w:rtl/>
        </w:rPr>
        <w:t xml:space="preserve"> </w:t>
      </w:r>
      <w:r w:rsidRPr="00E53F7F">
        <w:rPr>
          <w:rFonts w:hint="cs"/>
          <w:rtl/>
        </w:rPr>
        <w:t>[</w:t>
      </w:r>
      <w:r w:rsidRPr="00B03104">
        <w:rPr>
          <w:rStyle w:val="af9"/>
          <w:rFonts w:hint="cs"/>
          <w:rtl/>
        </w:rPr>
        <w:t>חכם אחד</w:t>
      </w:r>
      <w:r w:rsidRPr="00E53F7F">
        <w:rPr>
          <w:rFonts w:hint="cs"/>
          <w:rtl/>
        </w:rPr>
        <w:t xml:space="preserve">] </w:t>
      </w:r>
      <w:r w:rsidRPr="00B03104">
        <w:rPr>
          <w:rStyle w:val="af7"/>
          <w:rFonts w:eastAsia="Guttman Hodes" w:hint="cs"/>
          <w:rtl/>
        </w:rPr>
        <w:t xml:space="preserve"> (עי' אות </w:t>
      </w:r>
      <w:r w:rsidRPr="00B03104">
        <w:rPr>
          <w:rStyle w:val="af7"/>
          <w:rFonts w:eastAsia="Guttman Hodes"/>
          <w:rtl/>
        </w:rPr>
        <w:fldChar w:fldCharType="begin"/>
      </w:r>
      <w:r w:rsidRPr="00B03104">
        <w:rPr>
          <w:rStyle w:val="af7"/>
          <w:rFonts w:eastAsia="Guttman Hodes"/>
          <w:rtl/>
        </w:rPr>
        <w:instrText xml:space="preserve"> </w:instrText>
      </w:r>
      <w:r w:rsidRPr="00B03104">
        <w:rPr>
          <w:rStyle w:val="af7"/>
          <w:rFonts w:eastAsia="Guttman Hodes" w:hint="cs"/>
        </w:rPr>
        <w:instrText>REF</w:instrText>
      </w:r>
      <w:r w:rsidRPr="00B03104">
        <w:rPr>
          <w:rStyle w:val="af7"/>
          <w:rFonts w:eastAsia="Guttman Hodes" w:hint="cs"/>
          <w:rtl/>
        </w:rPr>
        <w:instrText xml:space="preserve"> _</w:instrText>
      </w:r>
      <w:r w:rsidRPr="00B03104">
        <w:rPr>
          <w:rStyle w:val="af7"/>
          <w:rFonts w:eastAsia="Guttman Hodes" w:hint="cs"/>
        </w:rPr>
        <w:instrText>Ref4666328 \r \h</w:instrText>
      </w:r>
      <w:r w:rsidRPr="00B03104">
        <w:rPr>
          <w:rStyle w:val="af7"/>
          <w:rFonts w:eastAsia="Guttman Hodes"/>
          <w:rtl/>
        </w:rPr>
        <w:instrText xml:space="preserve"> </w:instrText>
      </w:r>
      <w:r w:rsidRPr="00B03104">
        <w:rPr>
          <w:rStyle w:val="af7"/>
          <w:rFonts w:eastAsia="Guttman Hodes"/>
          <w:rtl/>
        </w:rPr>
      </w:r>
      <w:r w:rsidRPr="00B03104">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B03104">
        <w:rPr>
          <w:rStyle w:val="af7"/>
          <w:rFonts w:eastAsia="Guttman Hodes"/>
          <w:rtl/>
        </w:rPr>
        <w:fldChar w:fldCharType="end"/>
      </w:r>
      <w:r>
        <w:rPr>
          <w:rFonts w:hint="cs"/>
          <w:rtl/>
        </w:rPr>
        <w:t xml:space="preserve"> </w:t>
      </w:r>
      <w:r w:rsidRPr="00E53F7F">
        <w:rPr>
          <w:rFonts w:hint="cs"/>
          <w:rtl/>
        </w:rPr>
        <w:t xml:space="preserve">דכתב דהיתר בן פקועה אינו מחמת שחל בו שחיטת האם, אלא יש בו היתר מגזיה"כ "כל בבהמה תאכלו", וההיתר שלו תלוי בהיתר של האם, ובנמצאת טריפה כיון שהיא אינה מותרת אף העובר אינו מותר, והוסיף </w:t>
      </w:r>
      <w:r w:rsidRPr="00E53F7F">
        <w:rPr>
          <w:rStyle w:val="af9"/>
          <w:rFonts w:hint="cs"/>
          <w:rtl/>
        </w:rPr>
        <w:t>הגרי"ז</w:t>
      </w:r>
      <w:r w:rsidRPr="00E53F7F">
        <w:rPr>
          <w:rStyle w:val="af7"/>
          <w:rFonts w:eastAsia="Guttman Hodes" w:hint="cs"/>
          <w:rtl/>
        </w:rPr>
        <w:t xml:space="preserve"> </w:t>
      </w:r>
      <w:r w:rsidRPr="00E53F7F">
        <w:rPr>
          <w:rFonts w:hint="cs"/>
          <w:rtl/>
        </w:rPr>
        <w:t xml:space="preserve">דלביאור </w:t>
      </w:r>
      <w:r w:rsidRPr="00E53F7F">
        <w:rPr>
          <w:rStyle w:val="af9"/>
          <w:rFonts w:hint="cs"/>
          <w:rtl/>
        </w:rPr>
        <w:t>החזון יחזקאל</w:t>
      </w:r>
      <w:r w:rsidRPr="00E53F7F">
        <w:rPr>
          <w:rFonts w:hint="cs"/>
          <w:rtl/>
        </w:rPr>
        <w:t xml:space="preserve"> איסור הטריפה הוא איסור נפרד שאינו שייך כלל להיתר השחיטה, ודמי לאיסור חלב ודם, ו</w:t>
      </w:r>
      <w:r>
        <w:rPr>
          <w:rFonts w:hint="cs"/>
          <w:rtl/>
        </w:rPr>
        <w:t>הקשה</w:t>
      </w:r>
      <w:r w:rsidRPr="00E53F7F">
        <w:rPr>
          <w:rFonts w:hint="cs"/>
          <w:rtl/>
        </w:rPr>
        <w:t xml:space="preserve"> </w:t>
      </w:r>
      <w:r w:rsidRPr="00E53F7F">
        <w:rPr>
          <w:rStyle w:val="af9"/>
          <w:rFonts w:hint="cs"/>
          <w:rtl/>
        </w:rPr>
        <w:t>הגרי"ז</w:t>
      </w:r>
      <w:r w:rsidRPr="00E53F7F">
        <w:rPr>
          <w:rFonts w:hint="cs"/>
          <w:rtl/>
        </w:rPr>
        <w:t xml:space="preserve"> </w:t>
      </w:r>
      <w:r>
        <w:rPr>
          <w:rFonts w:hint="cs"/>
          <w:rtl/>
        </w:rPr>
        <w:t>על דברי</w:t>
      </w:r>
      <w:r w:rsidRPr="00E53F7F">
        <w:rPr>
          <w:rFonts w:hint="cs"/>
          <w:rtl/>
        </w:rPr>
        <w:t xml:space="preserve"> </w:t>
      </w:r>
      <w:r w:rsidRPr="00E53F7F">
        <w:rPr>
          <w:rStyle w:val="af9"/>
          <w:rFonts w:hint="cs"/>
          <w:rtl/>
        </w:rPr>
        <w:t>החזון יחזקאל</w:t>
      </w:r>
      <w:r w:rsidRPr="00E53F7F">
        <w:rPr>
          <w:rFonts w:hint="cs"/>
          <w:rtl/>
        </w:rPr>
        <w:t xml:space="preserve"> </w:t>
      </w:r>
      <w:r w:rsidRPr="003816E0">
        <w:rPr>
          <w:rStyle w:val="afb"/>
          <w:rFonts w:hint="cs"/>
          <w:rtl/>
        </w:rPr>
        <w:t>[</w:t>
      </w:r>
      <w:r>
        <w:rPr>
          <w:rStyle w:val="afb"/>
          <w:rFonts w:hint="cs"/>
          <w:rtl/>
        </w:rPr>
        <w:t xml:space="preserve">וכן </w:t>
      </w:r>
      <w:r w:rsidRPr="003816E0">
        <w:rPr>
          <w:rStyle w:val="afb"/>
          <w:rFonts w:hint="cs"/>
          <w:rtl/>
        </w:rPr>
        <w:t xml:space="preserve">הקשה </w:t>
      </w:r>
      <w:r w:rsidRPr="003816E0">
        <w:rPr>
          <w:rStyle w:val="affa"/>
          <w:rFonts w:hint="cs"/>
          <w:rtl/>
        </w:rPr>
        <w:t>החזון יחזקאל</w:t>
      </w:r>
      <w:r w:rsidRPr="003816E0">
        <w:rPr>
          <w:rStyle w:val="afb"/>
          <w:rFonts w:hint="cs"/>
          <w:rtl/>
        </w:rPr>
        <w:t xml:space="preserve"> </w:t>
      </w:r>
      <w:r w:rsidRPr="003816E0">
        <w:rPr>
          <w:rStyle w:val="aff6"/>
          <w:rFonts w:hint="cs"/>
          <w:rtl/>
        </w:rPr>
        <w:t xml:space="preserve">(עי' אות </w:t>
      </w:r>
      <w:r w:rsidRPr="003816E0">
        <w:rPr>
          <w:rStyle w:val="aff6"/>
          <w:rtl/>
        </w:rPr>
        <w:fldChar w:fldCharType="begin"/>
      </w:r>
      <w:r w:rsidRPr="003816E0">
        <w:rPr>
          <w:rStyle w:val="aff6"/>
          <w:rtl/>
        </w:rPr>
        <w:instrText xml:space="preserve"> </w:instrText>
      </w:r>
      <w:r w:rsidRPr="003816E0">
        <w:rPr>
          <w:rStyle w:val="aff6"/>
          <w:rFonts w:hint="cs"/>
        </w:rPr>
        <w:instrText>REF</w:instrText>
      </w:r>
      <w:r w:rsidRPr="003816E0">
        <w:rPr>
          <w:rStyle w:val="aff6"/>
          <w:rFonts w:hint="cs"/>
          <w:rtl/>
        </w:rPr>
        <w:instrText xml:space="preserve"> _</w:instrText>
      </w:r>
      <w:r w:rsidRPr="003816E0">
        <w:rPr>
          <w:rStyle w:val="aff6"/>
          <w:rFonts w:hint="cs"/>
        </w:rPr>
        <w:instrText>Ref4666450 \r \h</w:instrText>
      </w:r>
      <w:r w:rsidRPr="003816E0">
        <w:rPr>
          <w:rStyle w:val="aff6"/>
          <w:rtl/>
        </w:rPr>
        <w:instrText xml:space="preserve"> </w:instrText>
      </w:r>
      <w:r w:rsidRPr="003816E0">
        <w:rPr>
          <w:rStyle w:val="aff6"/>
          <w:rtl/>
        </w:rPr>
      </w:r>
      <w:r w:rsidRPr="003816E0">
        <w:rPr>
          <w:rStyle w:val="aff6"/>
          <w:rtl/>
        </w:rPr>
        <w:fldChar w:fldCharType="separate"/>
      </w:r>
      <w:r w:rsidR="00345400">
        <w:rPr>
          <w:rStyle w:val="aff6"/>
          <w:cs/>
        </w:rPr>
        <w:t>‎</w:t>
      </w:r>
      <w:r w:rsidR="00345400">
        <w:rPr>
          <w:rStyle w:val="aff6"/>
          <w:rtl/>
        </w:rPr>
        <w:t>נא)</w:t>
      </w:r>
      <w:r w:rsidRPr="003816E0">
        <w:rPr>
          <w:rStyle w:val="aff6"/>
          <w:rtl/>
        </w:rPr>
        <w:fldChar w:fldCharType="end"/>
      </w:r>
      <w:r w:rsidRPr="003816E0">
        <w:rPr>
          <w:rStyle w:val="afb"/>
          <w:rFonts w:hint="cs"/>
          <w:rtl/>
        </w:rPr>
        <w:t xml:space="preserve">], </w:t>
      </w:r>
      <w:r>
        <w:rPr>
          <w:rFonts w:hint="cs"/>
          <w:rtl/>
        </w:rPr>
        <w:t xml:space="preserve">דאי איסור טריפה הוא איסור נפרד, א"כ </w:t>
      </w:r>
      <w:r w:rsidRPr="00E53F7F">
        <w:rPr>
          <w:rFonts w:hint="cs"/>
          <w:rtl/>
        </w:rPr>
        <w:t>אמאי אין הבן פקועה מותר באכילה</w:t>
      </w:r>
      <w:r>
        <w:rPr>
          <w:rFonts w:hint="cs"/>
          <w:rtl/>
        </w:rPr>
        <w:t>, הרי האם הותרה ע"י השחיטה, ואף</w:t>
      </w:r>
      <w:r w:rsidRPr="00867645">
        <w:rPr>
          <w:rFonts w:hint="cs"/>
          <w:rtl/>
        </w:rPr>
        <w:t xml:space="preserve"> </w:t>
      </w:r>
      <w:r w:rsidRPr="00E53F7F">
        <w:rPr>
          <w:rFonts w:hint="cs"/>
          <w:rtl/>
        </w:rPr>
        <w:t xml:space="preserve">שיש עליה איסור בפנ"ע דהיא טריפה, </w:t>
      </w:r>
      <w:r>
        <w:rPr>
          <w:rFonts w:hint="cs"/>
          <w:rtl/>
        </w:rPr>
        <w:t>מ"מ</w:t>
      </w:r>
      <w:r w:rsidRPr="00E53F7F">
        <w:rPr>
          <w:rFonts w:hint="cs"/>
          <w:rtl/>
        </w:rPr>
        <w:t xml:space="preserve"> הולד צריך להיות מותר, דאף היתר "כל בבהמה תאכלו" הוא תלוי רק בהיתר השחיטה של הבהמה, ואינו תלוי באיסורים אחרים.</w:t>
      </w:r>
      <w:bookmarkEnd w:id="26243"/>
    </w:p>
    <w:p w14:paraId="7ADB5E03" w14:textId="77777777" w:rsidR="003D504D" w:rsidRPr="000229F6" w:rsidRDefault="003D504D" w:rsidP="003D504D">
      <w:pPr>
        <w:pStyle w:val="a3"/>
      </w:pPr>
    </w:p>
    <w:p w14:paraId="4CB2A3C8" w14:textId="77777777" w:rsidR="003D504D" w:rsidRPr="00E53F7F" w:rsidRDefault="003D504D" w:rsidP="003D504D">
      <w:pPr>
        <w:pStyle w:val="a3"/>
        <w:rPr>
          <w:rtl/>
        </w:rPr>
      </w:pPr>
      <w:bookmarkStart w:id="26244" w:name="_Toc4704772"/>
      <w:bookmarkStart w:id="26245" w:name="_Toc4761931"/>
      <w:bookmarkStart w:id="26246" w:name="_Toc4877640"/>
      <w:bookmarkStart w:id="26247" w:name="_Toc4877966"/>
      <w:bookmarkStart w:id="26248" w:name="_Toc4878110"/>
      <w:bookmarkStart w:id="26249" w:name="_Toc19392227"/>
      <w:bookmarkStart w:id="26250" w:name="_Toc19395724"/>
      <w:r>
        <w:rPr>
          <w:rFonts w:hint="cs"/>
          <w:rtl/>
        </w:rPr>
        <w:t>הוכחת הגרי"ז מדין שור הנסקל דאיסור בבהמה שאינו חסרון בשחיטה אינו אוסר את הולד</w:t>
      </w:r>
      <w:bookmarkEnd w:id="26244"/>
      <w:bookmarkEnd w:id="26245"/>
      <w:bookmarkEnd w:id="26246"/>
      <w:bookmarkEnd w:id="26247"/>
      <w:bookmarkEnd w:id="26248"/>
      <w:bookmarkEnd w:id="26249"/>
      <w:bookmarkEnd w:id="26250"/>
    </w:p>
    <w:p w14:paraId="7C4211E2" w14:textId="77777777" w:rsidR="003D504D" w:rsidRDefault="003D504D" w:rsidP="00223668">
      <w:pPr>
        <w:pStyle w:val="a0"/>
      </w:pPr>
      <w:r w:rsidRPr="00E53F7F">
        <w:rPr>
          <w:rFonts w:hint="cs"/>
          <w:rtl/>
        </w:rPr>
        <w:t>ו</w:t>
      </w:r>
      <w:r>
        <w:rPr>
          <w:rFonts w:hint="cs"/>
          <w:rtl/>
        </w:rPr>
        <w:t xml:space="preserve">הביא </w:t>
      </w:r>
      <w:r w:rsidRPr="00E53F7F">
        <w:rPr>
          <w:rStyle w:val="af9"/>
          <w:rFonts w:hint="cs"/>
          <w:rtl/>
        </w:rPr>
        <w:t>הגרי"ז</w:t>
      </w:r>
      <w:r w:rsidRPr="00E53F7F">
        <w:rPr>
          <w:rFonts w:hint="cs"/>
          <w:rtl/>
        </w:rPr>
        <w:t xml:space="preserve"> </w:t>
      </w:r>
      <w:r>
        <w:rPr>
          <w:rFonts w:hint="cs"/>
          <w:rtl/>
        </w:rPr>
        <w:t xml:space="preserve">ראיה דבמקום שיש איסור אחר על הבהמה, אי"ז אוסר את הולד, דהא </w:t>
      </w:r>
      <w:r w:rsidRPr="00E53F7F">
        <w:rPr>
          <w:rFonts w:hint="cs"/>
          <w:rtl/>
        </w:rPr>
        <w:t xml:space="preserve">במקום שהאם אסורה באכילה מדין שור הנסקל, </w:t>
      </w:r>
      <w:r>
        <w:rPr>
          <w:rFonts w:hint="cs"/>
          <w:rtl/>
        </w:rPr>
        <w:t>פשיטא</w:t>
      </w:r>
      <w:r w:rsidRPr="00E53F7F">
        <w:rPr>
          <w:rFonts w:hint="cs"/>
          <w:rtl/>
        </w:rPr>
        <w:t xml:space="preserve"> דעוברה מותר בשחיטתה</w:t>
      </w:r>
      <w:r>
        <w:rPr>
          <w:rFonts w:hint="cs"/>
          <w:rtl/>
        </w:rPr>
        <w:t>.</w:t>
      </w:r>
    </w:p>
    <w:p w14:paraId="0DB51054" w14:textId="77777777" w:rsidR="003D504D" w:rsidRPr="00E53F7F" w:rsidRDefault="003D504D" w:rsidP="003D504D">
      <w:pPr>
        <w:pStyle w:val="a3"/>
      </w:pPr>
      <w:bookmarkStart w:id="26251" w:name="_Toc4704773"/>
      <w:bookmarkStart w:id="26252" w:name="_Toc4761932"/>
      <w:bookmarkStart w:id="26253" w:name="_Toc4877641"/>
      <w:bookmarkStart w:id="26254" w:name="_Toc4877967"/>
      <w:bookmarkStart w:id="26255" w:name="_Toc4878111"/>
      <w:bookmarkStart w:id="26256" w:name="_Toc19392228"/>
      <w:bookmarkStart w:id="26257" w:name="_Toc19395725"/>
      <w:r>
        <w:rPr>
          <w:rFonts w:hint="cs"/>
          <w:rtl/>
        </w:rPr>
        <w:t>דברי הגרי"ז דאף לסברת החזון יחזקאל מוכח כהגר"ח דיש חסרון בהיתר השחיטה של הטריפה</w:t>
      </w:r>
      <w:bookmarkEnd w:id="26251"/>
      <w:bookmarkEnd w:id="26252"/>
      <w:bookmarkEnd w:id="26253"/>
      <w:bookmarkEnd w:id="26254"/>
      <w:bookmarkEnd w:id="26255"/>
      <w:bookmarkEnd w:id="26256"/>
      <w:bookmarkEnd w:id="26257"/>
    </w:p>
    <w:p w14:paraId="7640187D" w14:textId="77777777" w:rsidR="003D504D" w:rsidRPr="00E53F7F" w:rsidRDefault="003D504D" w:rsidP="00223668">
      <w:pPr>
        <w:pStyle w:val="a0"/>
        <w:rPr>
          <w:rtl/>
        </w:rPr>
      </w:pPr>
      <w:r w:rsidRPr="00E53F7F">
        <w:rPr>
          <w:rFonts w:hint="cs"/>
          <w:rtl/>
        </w:rPr>
        <w:t xml:space="preserve">אלא כתב </w:t>
      </w:r>
      <w:r w:rsidRPr="00E53F7F">
        <w:rPr>
          <w:rStyle w:val="af9"/>
          <w:rFonts w:hint="cs"/>
          <w:rtl/>
        </w:rPr>
        <w:t>הגרי"ז</w:t>
      </w:r>
      <w:r w:rsidRPr="00E53F7F">
        <w:rPr>
          <w:rFonts w:hint="cs"/>
          <w:rtl/>
        </w:rPr>
        <w:t xml:space="preserve"> </w:t>
      </w:r>
      <w:r w:rsidRPr="00761EE9">
        <w:rPr>
          <w:rFonts w:hint="cs"/>
          <w:rtl/>
        </w:rPr>
        <w:t>ד</w:t>
      </w:r>
      <w:r>
        <w:rPr>
          <w:rFonts w:hint="cs"/>
          <w:rtl/>
        </w:rPr>
        <w:t>מבואר ד</w:t>
      </w:r>
      <w:r w:rsidRPr="00761EE9">
        <w:rPr>
          <w:rFonts w:hint="cs"/>
          <w:rtl/>
        </w:rPr>
        <w:t xml:space="preserve">אף לדברי </w:t>
      </w:r>
      <w:r w:rsidRPr="00761EE9">
        <w:rPr>
          <w:rStyle w:val="af9"/>
          <w:rFonts w:hint="cs"/>
          <w:rtl/>
        </w:rPr>
        <w:t>החזון יחזקאל</w:t>
      </w:r>
      <w:r w:rsidRPr="00761EE9">
        <w:rPr>
          <w:rFonts w:hint="cs"/>
          <w:rtl/>
        </w:rPr>
        <w:t xml:space="preserve"> צריך לבאר </w:t>
      </w:r>
      <w:r>
        <w:rPr>
          <w:rFonts w:hint="cs"/>
          <w:rtl/>
        </w:rPr>
        <w:t>כביאור</w:t>
      </w:r>
      <w:r w:rsidRPr="00E53F7F">
        <w:rPr>
          <w:rFonts w:hint="cs"/>
          <w:rtl/>
        </w:rPr>
        <w:t xml:space="preserve"> </w:t>
      </w:r>
      <w:r w:rsidRPr="00E53F7F">
        <w:rPr>
          <w:rStyle w:val="af9"/>
          <w:rFonts w:hint="cs"/>
          <w:rtl/>
        </w:rPr>
        <w:t>הגר"ח</w:t>
      </w:r>
      <w:r w:rsidRPr="00E53F7F">
        <w:rPr>
          <w:rFonts w:hint="cs"/>
          <w:rtl/>
        </w:rPr>
        <w:t xml:space="preserve"> </w:t>
      </w:r>
      <w:r w:rsidRPr="002B37A2">
        <w:rPr>
          <w:rStyle w:val="af7"/>
          <w:rFonts w:eastAsia="Guttman Hodes" w:hint="cs"/>
          <w:rtl/>
        </w:rPr>
        <w:t xml:space="preserve">(עי' אות </w:t>
      </w:r>
      <w:r w:rsidRPr="002B37A2">
        <w:rPr>
          <w:rStyle w:val="af7"/>
          <w:rFonts w:eastAsia="Guttman Hodes"/>
          <w:rtl/>
        </w:rPr>
        <w:fldChar w:fldCharType="begin"/>
      </w:r>
      <w:r w:rsidRPr="002B37A2">
        <w:rPr>
          <w:rStyle w:val="af7"/>
          <w:rFonts w:eastAsia="Guttman Hodes"/>
          <w:rtl/>
        </w:rPr>
        <w:instrText xml:space="preserve"> </w:instrText>
      </w:r>
      <w:r w:rsidRPr="002B37A2">
        <w:rPr>
          <w:rStyle w:val="af7"/>
          <w:rFonts w:eastAsia="Guttman Hodes" w:hint="cs"/>
        </w:rPr>
        <w:instrText>REF</w:instrText>
      </w:r>
      <w:r w:rsidRPr="002B37A2">
        <w:rPr>
          <w:rStyle w:val="af7"/>
          <w:rFonts w:eastAsia="Guttman Hodes" w:hint="cs"/>
          <w:rtl/>
        </w:rPr>
        <w:instrText xml:space="preserve"> _</w:instrText>
      </w:r>
      <w:r w:rsidRPr="002B37A2">
        <w:rPr>
          <w:rStyle w:val="af7"/>
          <w:rFonts w:eastAsia="Guttman Hodes" w:hint="cs"/>
        </w:rPr>
        <w:instrText>Ref4667187 \r \h</w:instrText>
      </w:r>
      <w:r w:rsidRPr="002B37A2">
        <w:rPr>
          <w:rStyle w:val="af7"/>
          <w:rFonts w:eastAsia="Guttman Hodes"/>
          <w:rtl/>
        </w:rPr>
        <w:instrText xml:space="preserve"> </w:instrText>
      </w:r>
      <w:r w:rsidRPr="002B37A2">
        <w:rPr>
          <w:rStyle w:val="af7"/>
          <w:rFonts w:eastAsia="Guttman Hodes"/>
          <w:rtl/>
        </w:rPr>
      </w:r>
      <w:r w:rsidRPr="002B37A2">
        <w:rPr>
          <w:rStyle w:val="af7"/>
          <w:rFonts w:eastAsia="Guttman Hodes"/>
          <w:rtl/>
        </w:rPr>
        <w:fldChar w:fldCharType="separate"/>
      </w:r>
      <w:r w:rsidR="00345400">
        <w:rPr>
          <w:rStyle w:val="af7"/>
          <w:rFonts w:eastAsia="Guttman Hodes"/>
          <w:cs/>
        </w:rPr>
        <w:t>‎</w:t>
      </w:r>
      <w:r w:rsidR="00345400">
        <w:rPr>
          <w:rStyle w:val="af7"/>
          <w:rFonts w:eastAsia="Guttman Hodes"/>
          <w:rtl/>
        </w:rPr>
        <w:t>מ)</w:t>
      </w:r>
      <w:r w:rsidRPr="002B37A2">
        <w:rPr>
          <w:rStyle w:val="af7"/>
          <w:rFonts w:eastAsia="Guttman Hodes"/>
          <w:rtl/>
        </w:rPr>
        <w:fldChar w:fldCharType="end"/>
      </w:r>
      <w:r>
        <w:rPr>
          <w:rFonts w:hint="cs"/>
          <w:rtl/>
        </w:rPr>
        <w:t xml:space="preserve"> </w:t>
      </w:r>
      <w:r w:rsidRPr="00E53F7F">
        <w:rPr>
          <w:rFonts w:hint="cs"/>
          <w:rtl/>
        </w:rPr>
        <w:t>דאיסור טריפה הוא חסרון בחלות ההיתר של השחיטה, ולכן לא מהני השחיטה להתיר את הולד</w:t>
      </w:r>
      <w:r>
        <w:rPr>
          <w:rFonts w:hint="cs"/>
          <w:rtl/>
        </w:rPr>
        <w:t xml:space="preserve">, ועי' בדברי </w:t>
      </w:r>
      <w:r w:rsidRPr="00376824">
        <w:rPr>
          <w:rStyle w:val="af9"/>
          <w:rFonts w:hint="cs"/>
          <w:rtl/>
        </w:rPr>
        <w:t>החזון יחזקאל</w:t>
      </w:r>
      <w:r>
        <w:rPr>
          <w:rFonts w:hint="cs"/>
          <w:rtl/>
        </w:rPr>
        <w:t xml:space="preserve"> </w:t>
      </w:r>
      <w:r w:rsidRPr="00376824">
        <w:rPr>
          <w:rStyle w:val="af7"/>
          <w:rFonts w:eastAsia="Guttman Hodes" w:hint="cs"/>
          <w:rtl/>
        </w:rPr>
        <w:t xml:space="preserve">(עי' אות </w:t>
      </w:r>
      <w:r w:rsidRPr="00376824">
        <w:rPr>
          <w:rStyle w:val="af7"/>
          <w:rFonts w:eastAsia="Guttman Hodes"/>
          <w:rtl/>
        </w:rPr>
        <w:fldChar w:fldCharType="begin"/>
      </w:r>
      <w:r w:rsidRPr="00376824">
        <w:rPr>
          <w:rStyle w:val="af7"/>
          <w:rFonts w:eastAsia="Guttman Hodes"/>
          <w:rtl/>
        </w:rPr>
        <w:instrText xml:space="preserve"> </w:instrText>
      </w:r>
      <w:r w:rsidRPr="00376824">
        <w:rPr>
          <w:rStyle w:val="af7"/>
          <w:rFonts w:eastAsia="Guttman Hodes" w:hint="cs"/>
        </w:rPr>
        <w:instrText>REF</w:instrText>
      </w:r>
      <w:r w:rsidRPr="00376824">
        <w:rPr>
          <w:rStyle w:val="af7"/>
          <w:rFonts w:eastAsia="Guttman Hodes" w:hint="cs"/>
          <w:rtl/>
        </w:rPr>
        <w:instrText xml:space="preserve"> _</w:instrText>
      </w:r>
      <w:r w:rsidRPr="00376824">
        <w:rPr>
          <w:rStyle w:val="af7"/>
          <w:rFonts w:eastAsia="Guttman Hodes" w:hint="cs"/>
        </w:rPr>
        <w:instrText>Ref4666328 \r \h</w:instrText>
      </w:r>
      <w:r w:rsidRPr="00376824">
        <w:rPr>
          <w:rStyle w:val="af7"/>
          <w:rFonts w:eastAsia="Guttman Hodes"/>
          <w:rtl/>
        </w:rPr>
        <w:instrText xml:space="preserve"> </w:instrText>
      </w:r>
      <w:r w:rsidRPr="00376824">
        <w:rPr>
          <w:rStyle w:val="af7"/>
          <w:rFonts w:eastAsia="Guttman Hodes"/>
          <w:rtl/>
        </w:rPr>
      </w:r>
      <w:r w:rsidRPr="00376824">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376824">
        <w:rPr>
          <w:rStyle w:val="af7"/>
          <w:rFonts w:eastAsia="Guttman Hodes"/>
          <w:rtl/>
        </w:rPr>
        <w:fldChar w:fldCharType="end"/>
      </w:r>
      <w:r>
        <w:rPr>
          <w:rFonts w:hint="cs"/>
          <w:rtl/>
        </w:rPr>
        <w:t xml:space="preserve"> במה שתירץ כעין דברי </w:t>
      </w:r>
      <w:r w:rsidRPr="00376824">
        <w:rPr>
          <w:rStyle w:val="af9"/>
          <w:rFonts w:hint="cs"/>
          <w:rtl/>
        </w:rPr>
        <w:t>הגר"ח</w:t>
      </w:r>
      <w:r w:rsidRPr="00E53F7F">
        <w:rPr>
          <w:rFonts w:hint="cs"/>
          <w:rtl/>
        </w:rPr>
        <w:t>.</w:t>
      </w:r>
    </w:p>
    <w:p w14:paraId="13F87989" w14:textId="77777777" w:rsidR="003D504D" w:rsidRDefault="003D504D" w:rsidP="00BF39B2">
      <w:pPr>
        <w:pStyle w:val="1"/>
        <w:rPr>
          <w:rtl/>
        </w:rPr>
      </w:pPr>
      <w:bookmarkStart w:id="26258" w:name="_Toc4704774"/>
      <w:bookmarkStart w:id="26259" w:name="_Toc4761933"/>
      <w:bookmarkStart w:id="26260" w:name="_Toc4877642"/>
      <w:bookmarkStart w:id="26261" w:name="_Toc4877968"/>
      <w:bookmarkStart w:id="26262" w:name="_Toc4878112"/>
      <w:bookmarkStart w:id="26263" w:name="_Toc19392229"/>
      <w:bookmarkStart w:id="26264" w:name="_Toc19395726"/>
      <w:r w:rsidRPr="00CA42AC">
        <w:rPr>
          <w:rFonts w:hint="cs"/>
          <w:rtl/>
        </w:rPr>
        <w:t xml:space="preserve">ביאור הגרי"ז </w:t>
      </w:r>
      <w:r>
        <w:rPr>
          <w:rFonts w:hint="cs"/>
          <w:rtl/>
        </w:rPr>
        <w:t>דהולד מותר רק כשחל ההיתר שחיטה באמו</w:t>
      </w:r>
      <w:bookmarkEnd w:id="26258"/>
      <w:bookmarkEnd w:id="26259"/>
      <w:bookmarkEnd w:id="26260"/>
      <w:bookmarkEnd w:id="26261"/>
      <w:bookmarkEnd w:id="26262"/>
      <w:bookmarkEnd w:id="26263"/>
      <w:bookmarkEnd w:id="26264"/>
    </w:p>
    <w:p w14:paraId="3E5B35A4" w14:textId="77777777" w:rsidR="003D504D" w:rsidRPr="00063687" w:rsidRDefault="003D504D" w:rsidP="003D504D">
      <w:pPr>
        <w:pStyle w:val="a3"/>
        <w:rPr>
          <w:rtl/>
        </w:rPr>
      </w:pPr>
      <w:bookmarkStart w:id="26265" w:name="_Toc4704775"/>
      <w:bookmarkStart w:id="26266" w:name="_Toc4761934"/>
      <w:bookmarkStart w:id="26267" w:name="_Toc4877643"/>
      <w:bookmarkStart w:id="26268" w:name="_Toc4877969"/>
      <w:bookmarkStart w:id="26269" w:name="_Toc4878113"/>
      <w:bookmarkStart w:id="26270" w:name="_Toc19392230"/>
      <w:bookmarkStart w:id="26271" w:name="_Toc19395727"/>
      <w:r>
        <w:rPr>
          <w:rFonts w:hint="cs"/>
          <w:rtl/>
        </w:rPr>
        <w:t>דברי הגרי"ז דאף לסברת הגר"ח שחיטת טריפה מצד עצמה היא מעולה רק דלא חל היתר מכחה</w:t>
      </w:r>
      <w:bookmarkEnd w:id="26265"/>
      <w:bookmarkEnd w:id="26266"/>
      <w:bookmarkEnd w:id="26267"/>
      <w:bookmarkEnd w:id="26268"/>
      <w:bookmarkEnd w:id="26269"/>
      <w:bookmarkEnd w:id="26270"/>
      <w:bookmarkEnd w:id="26271"/>
    </w:p>
    <w:p w14:paraId="4C25A93F" w14:textId="77777777" w:rsidR="003D504D" w:rsidRDefault="003D504D" w:rsidP="00223668">
      <w:pPr>
        <w:pStyle w:val="a0"/>
        <w:rPr>
          <w:rtl/>
        </w:rPr>
      </w:pPr>
      <w:bookmarkStart w:id="26272" w:name="_Ref4686845"/>
      <w:bookmarkStart w:id="26273" w:name="_Ref4429518"/>
      <w:bookmarkStart w:id="26274" w:name="_Toc4402620"/>
      <w:r>
        <w:rPr>
          <w:rFonts w:hint="cs"/>
          <w:rtl/>
        </w:rPr>
        <w:t xml:space="preserve">אך כתב </w:t>
      </w:r>
      <w:r w:rsidRPr="0091382A">
        <w:rPr>
          <w:rStyle w:val="af9"/>
          <w:rFonts w:hint="cs"/>
          <w:rtl/>
        </w:rPr>
        <w:t>הגרי"ז</w:t>
      </w:r>
      <w:r>
        <w:rPr>
          <w:rFonts w:hint="cs"/>
          <w:rtl/>
        </w:rPr>
        <w:t xml:space="preserve"> </w:t>
      </w:r>
      <w:r w:rsidRPr="00E53F7F">
        <w:rPr>
          <w:rStyle w:val="af7"/>
          <w:rFonts w:eastAsia="Guttman Hodes" w:hint="cs"/>
          <w:rtl/>
        </w:rPr>
        <w:t>(חי' הגר"ח עהש"ס לעיל יג.</w:t>
      </w:r>
      <w:r>
        <w:rPr>
          <w:rStyle w:val="af7"/>
          <w:rFonts w:eastAsia="Guttman Hodes" w:hint="cs"/>
          <w:rtl/>
        </w:rPr>
        <w:t xml:space="preserve"> [סטנסל שע"ד] ד"ה ולהמתבאר, </w:t>
      </w:r>
      <w:r w:rsidRPr="00E53F7F">
        <w:rPr>
          <w:rStyle w:val="af7"/>
          <w:rFonts w:eastAsia="Guttman Hodes" w:hint="cs"/>
          <w:rtl/>
        </w:rPr>
        <w:t xml:space="preserve">חי' מרן רי"ז הלוי מכתבים עמ' </w:t>
      </w:r>
      <w:r>
        <w:rPr>
          <w:rStyle w:val="af7"/>
          <w:rFonts w:eastAsia="Guttman Hodes" w:hint="cs"/>
          <w:rtl/>
        </w:rPr>
        <w:t>עט:</w:t>
      </w:r>
      <w:r w:rsidRPr="00E53F7F">
        <w:rPr>
          <w:rStyle w:val="af7"/>
          <w:rFonts w:eastAsia="Guttman Hodes" w:hint="cs"/>
          <w:rtl/>
        </w:rPr>
        <w:t>)</w:t>
      </w:r>
      <w:r w:rsidRPr="00E53F7F">
        <w:rPr>
          <w:rFonts w:hint="cs"/>
          <w:rtl/>
        </w:rPr>
        <w:t xml:space="preserve"> דאף </w:t>
      </w:r>
      <w:r>
        <w:rPr>
          <w:rFonts w:hint="cs"/>
          <w:rtl/>
        </w:rPr>
        <w:t xml:space="preserve">דמוכח כסברת </w:t>
      </w:r>
      <w:r w:rsidRPr="0091382A">
        <w:rPr>
          <w:rStyle w:val="af9"/>
          <w:rFonts w:hint="cs"/>
          <w:rtl/>
        </w:rPr>
        <w:t>הגר"ח</w:t>
      </w:r>
      <w:r>
        <w:rPr>
          <w:rFonts w:hint="cs"/>
          <w:rtl/>
        </w:rPr>
        <w:t xml:space="preserve"> ד</w:t>
      </w:r>
      <w:r w:rsidRPr="00E53F7F">
        <w:rPr>
          <w:rFonts w:hint="cs"/>
          <w:rtl/>
        </w:rPr>
        <w:t xml:space="preserve">בטריפה יש חסרון בהיתר השחיטה שלה, </w:t>
      </w:r>
      <w:r>
        <w:rPr>
          <w:rFonts w:hint="cs"/>
          <w:rtl/>
        </w:rPr>
        <w:t xml:space="preserve">עדיין צריך לבאר כדברי </w:t>
      </w:r>
      <w:r w:rsidRPr="0091382A">
        <w:rPr>
          <w:rStyle w:val="af9"/>
          <w:rFonts w:hint="cs"/>
          <w:rtl/>
        </w:rPr>
        <w:t>החזון יחזקאל</w:t>
      </w:r>
      <w:r>
        <w:rPr>
          <w:rFonts w:hint="cs"/>
          <w:rtl/>
        </w:rPr>
        <w:t xml:space="preserve">, דהא החסרון בהיתר השחיטה של הטריפה אינו כמו החסרון בשחיטת נבילה, דהרי בטריפה </w:t>
      </w:r>
      <w:r w:rsidRPr="00E53F7F">
        <w:rPr>
          <w:rFonts w:hint="cs"/>
          <w:rtl/>
        </w:rPr>
        <w:t xml:space="preserve">עצם השחיטה היא שחיטה מעולה </w:t>
      </w:r>
      <w:r>
        <w:rPr>
          <w:rFonts w:hint="cs"/>
          <w:rtl/>
        </w:rPr>
        <w:t>ובכחה להתיר</w:t>
      </w:r>
      <w:r w:rsidRPr="00E53F7F">
        <w:rPr>
          <w:rFonts w:hint="cs"/>
          <w:rtl/>
        </w:rPr>
        <w:t xml:space="preserve"> באכילה, אלא דעל הבהמה שהיא טריפה לא חל היתר </w:t>
      </w:r>
      <w:r>
        <w:rPr>
          <w:rFonts w:hint="cs"/>
          <w:rtl/>
        </w:rPr>
        <w:t>ה</w:t>
      </w:r>
      <w:r w:rsidRPr="00E53F7F">
        <w:rPr>
          <w:rFonts w:hint="cs"/>
          <w:rtl/>
        </w:rPr>
        <w:t>שחיטה לענין אכילה</w:t>
      </w:r>
      <w:r>
        <w:rPr>
          <w:rFonts w:hint="cs"/>
          <w:rtl/>
        </w:rPr>
        <w:t>.</w:t>
      </w:r>
      <w:bookmarkEnd w:id="26272"/>
    </w:p>
    <w:p w14:paraId="5BDAB977" w14:textId="77777777" w:rsidR="003D504D" w:rsidRPr="0091382A" w:rsidRDefault="003D504D" w:rsidP="003D504D">
      <w:pPr>
        <w:pStyle w:val="a3"/>
      </w:pPr>
      <w:bookmarkStart w:id="26275" w:name="_Toc4704776"/>
      <w:bookmarkStart w:id="26276" w:name="_Toc4761935"/>
      <w:bookmarkStart w:id="26277" w:name="_Toc4877644"/>
      <w:bookmarkStart w:id="26278" w:name="_Toc4877970"/>
      <w:bookmarkStart w:id="26279" w:name="_Toc4878114"/>
      <w:bookmarkStart w:id="26280" w:name="_Toc19392231"/>
      <w:bookmarkStart w:id="26281" w:name="_Toc19395728"/>
      <w:r>
        <w:rPr>
          <w:rFonts w:hint="cs"/>
          <w:rtl/>
        </w:rPr>
        <w:t>ביאור הגרי"ז דכיון שלא חל היתר מכח השחיטה על האם לא חל אף על הולד כדברי החזון יחזקאל</w:t>
      </w:r>
      <w:bookmarkEnd w:id="26275"/>
      <w:bookmarkEnd w:id="26276"/>
      <w:bookmarkEnd w:id="26277"/>
      <w:bookmarkEnd w:id="26278"/>
      <w:bookmarkEnd w:id="26279"/>
      <w:bookmarkEnd w:id="26280"/>
      <w:bookmarkEnd w:id="26281"/>
    </w:p>
    <w:p w14:paraId="7109F36D" w14:textId="77777777" w:rsidR="003D504D" w:rsidRPr="00470B38" w:rsidRDefault="003D504D" w:rsidP="00223668">
      <w:pPr>
        <w:pStyle w:val="a0"/>
        <w:rPr>
          <w:rtl/>
        </w:rPr>
      </w:pPr>
      <w:bookmarkStart w:id="26282" w:name="_Ref4752104"/>
      <w:r>
        <w:rPr>
          <w:rFonts w:hint="cs"/>
          <w:rtl/>
        </w:rPr>
        <w:t xml:space="preserve">וכתב </w:t>
      </w:r>
      <w:r w:rsidRPr="0091382A">
        <w:rPr>
          <w:rStyle w:val="af9"/>
          <w:rFonts w:hint="cs"/>
          <w:rtl/>
        </w:rPr>
        <w:t>הגרי"ז</w:t>
      </w:r>
      <w:r>
        <w:rPr>
          <w:rFonts w:hint="cs"/>
          <w:rtl/>
        </w:rPr>
        <w:t xml:space="preserve"> דהביאור הוא </w:t>
      </w:r>
      <w:r w:rsidRPr="00E53F7F">
        <w:rPr>
          <w:rFonts w:hint="cs"/>
          <w:rtl/>
        </w:rPr>
        <w:t xml:space="preserve">כסברת </w:t>
      </w:r>
      <w:r w:rsidRPr="00E53F7F">
        <w:rPr>
          <w:rStyle w:val="af9"/>
          <w:rFonts w:hint="cs"/>
          <w:rtl/>
        </w:rPr>
        <w:t>החזון יחזקאל</w:t>
      </w:r>
      <w:r>
        <w:rPr>
          <w:rFonts w:hint="cs"/>
          <w:rtl/>
        </w:rPr>
        <w:t xml:space="preserve"> </w:t>
      </w:r>
      <w:r w:rsidRPr="00A2720B">
        <w:rPr>
          <w:rStyle w:val="af7"/>
          <w:rFonts w:eastAsia="Guttman Hodes" w:hint="cs"/>
          <w:rtl/>
        </w:rPr>
        <w:t xml:space="preserve">(עי' אות </w:t>
      </w:r>
      <w:r w:rsidRPr="00A2720B">
        <w:rPr>
          <w:rStyle w:val="af7"/>
          <w:rFonts w:eastAsia="Guttman Hodes"/>
          <w:rtl/>
        </w:rPr>
        <w:fldChar w:fldCharType="begin"/>
      </w:r>
      <w:r w:rsidRPr="00A2720B">
        <w:rPr>
          <w:rStyle w:val="af7"/>
          <w:rFonts w:eastAsia="Guttman Hodes"/>
          <w:rtl/>
        </w:rPr>
        <w:instrText xml:space="preserve"> </w:instrText>
      </w:r>
      <w:r w:rsidRPr="00A2720B">
        <w:rPr>
          <w:rStyle w:val="af7"/>
          <w:rFonts w:eastAsia="Guttman Hodes" w:hint="cs"/>
        </w:rPr>
        <w:instrText>REF</w:instrText>
      </w:r>
      <w:r w:rsidRPr="00A2720B">
        <w:rPr>
          <w:rStyle w:val="af7"/>
          <w:rFonts w:eastAsia="Guttman Hodes" w:hint="cs"/>
          <w:rtl/>
        </w:rPr>
        <w:instrText xml:space="preserve"> _</w:instrText>
      </w:r>
      <w:r w:rsidRPr="00A2720B">
        <w:rPr>
          <w:rStyle w:val="af7"/>
          <w:rFonts w:eastAsia="Guttman Hodes" w:hint="cs"/>
        </w:rPr>
        <w:instrText>Ref4686584 \r \h</w:instrText>
      </w:r>
      <w:r w:rsidRPr="00A2720B">
        <w:rPr>
          <w:rStyle w:val="af7"/>
          <w:rFonts w:eastAsia="Guttman Hodes"/>
          <w:rtl/>
        </w:rPr>
        <w:instrText xml:space="preserve"> </w:instrText>
      </w:r>
      <w:r w:rsidRPr="00A2720B">
        <w:rPr>
          <w:rStyle w:val="af7"/>
          <w:rFonts w:eastAsia="Guttman Hodes"/>
          <w:rtl/>
        </w:rPr>
      </w:r>
      <w:r w:rsidRPr="00A2720B">
        <w:rPr>
          <w:rStyle w:val="af7"/>
          <w:rFonts w:eastAsia="Guttman Hodes"/>
          <w:rtl/>
        </w:rPr>
        <w:fldChar w:fldCharType="separate"/>
      </w:r>
      <w:r w:rsidR="00345400">
        <w:rPr>
          <w:rStyle w:val="af7"/>
          <w:rFonts w:eastAsia="Guttman Hodes"/>
          <w:cs/>
        </w:rPr>
        <w:t>‎</w:t>
      </w:r>
      <w:r w:rsidR="00345400">
        <w:rPr>
          <w:rStyle w:val="af7"/>
          <w:rFonts w:eastAsia="Guttman Hodes"/>
          <w:rtl/>
        </w:rPr>
        <w:t>נג)</w:t>
      </w:r>
      <w:r w:rsidRPr="00A2720B">
        <w:rPr>
          <w:rStyle w:val="af7"/>
          <w:rFonts w:eastAsia="Guttman Hodes"/>
          <w:rtl/>
        </w:rPr>
        <w:fldChar w:fldCharType="end"/>
      </w:r>
      <w:r w:rsidRPr="00E53F7F">
        <w:rPr>
          <w:rFonts w:hint="cs"/>
          <w:rtl/>
        </w:rPr>
        <w:t xml:space="preserve">, </w:t>
      </w:r>
      <w:r>
        <w:rPr>
          <w:rFonts w:hint="cs"/>
          <w:rtl/>
        </w:rPr>
        <w:t>דה</w:t>
      </w:r>
      <w:r w:rsidRPr="00E53F7F">
        <w:rPr>
          <w:rFonts w:hint="cs"/>
          <w:rtl/>
        </w:rPr>
        <w:t xml:space="preserve">היתר </w:t>
      </w:r>
      <w:r>
        <w:rPr>
          <w:rFonts w:hint="cs"/>
          <w:rtl/>
        </w:rPr>
        <w:t xml:space="preserve">של הולד </w:t>
      </w:r>
      <w:r w:rsidRPr="00E53F7F">
        <w:rPr>
          <w:rFonts w:hint="cs"/>
          <w:rtl/>
        </w:rPr>
        <w:t xml:space="preserve">מגזיה"כ "כל בבהמה תאכלו", </w:t>
      </w:r>
      <w:r>
        <w:rPr>
          <w:rFonts w:hint="cs"/>
          <w:rtl/>
        </w:rPr>
        <w:t>הוא</w:t>
      </w:r>
      <w:r w:rsidRPr="00E53F7F">
        <w:rPr>
          <w:rFonts w:hint="cs"/>
          <w:rtl/>
        </w:rPr>
        <w:t xml:space="preserve"> תלוי בהיתר של האם, </w:t>
      </w:r>
      <w:r>
        <w:rPr>
          <w:rFonts w:hint="cs"/>
          <w:rtl/>
        </w:rPr>
        <w:t>וכל שלא הותרה האם לא הותר הולד, דאף דחשיב שבשחיטת אמו נעשה גם בולד עצמו</w:t>
      </w:r>
      <w:r w:rsidRPr="00E53F7F">
        <w:rPr>
          <w:rFonts w:hint="cs"/>
          <w:rtl/>
        </w:rPr>
        <w:t xml:space="preserve"> מעשה שחיטה,</w:t>
      </w:r>
      <w:r>
        <w:rPr>
          <w:rFonts w:hint="cs"/>
          <w:rtl/>
        </w:rPr>
        <w:t xml:space="preserve"> מ"מ זהו רק מכח הגזיה"כ, דהא באמת לא היה בולד מעשה שחיטה, וביאר </w:t>
      </w:r>
      <w:r w:rsidRPr="00EF4A62">
        <w:rPr>
          <w:rStyle w:val="af9"/>
          <w:rFonts w:hint="cs"/>
          <w:rtl/>
        </w:rPr>
        <w:t>הגרי"ז</w:t>
      </w:r>
      <w:r>
        <w:rPr>
          <w:rFonts w:hint="cs"/>
          <w:rtl/>
        </w:rPr>
        <w:t xml:space="preserve"> דלכן אף שבעצם השחיטה של האם הטריפה לא היה כל חסרון, מ"מ כיון שלא היה לאם היתר שחיטה, כיון שיש לה דין נבילה, אף לולד לא היה היתר שחיטה. </w:t>
      </w:r>
      <w:r w:rsidRPr="00EF4A62">
        <w:rPr>
          <w:rStyle w:val="afb"/>
          <w:rFonts w:hint="cs"/>
          <w:rtl/>
        </w:rPr>
        <w:t>[דכל מה דחשיב שנעשתה בו שחיטה הוא מחמת הגזיה"כ, והגזיה"כ תלויה בהיתר אכילה שחל על האם]</w:t>
      </w:r>
      <w:bookmarkEnd w:id="26282"/>
      <w:r>
        <w:rPr>
          <w:rStyle w:val="afb"/>
          <w:rFonts w:hint="cs"/>
          <w:rtl/>
        </w:rPr>
        <w:t xml:space="preserve">, </w:t>
      </w:r>
      <w:r w:rsidRPr="00470B38">
        <w:rPr>
          <w:rFonts w:hint="cs"/>
          <w:rtl/>
        </w:rPr>
        <w:t xml:space="preserve">ועי' </w:t>
      </w:r>
      <w:r>
        <w:rPr>
          <w:rFonts w:hint="cs"/>
          <w:rtl/>
        </w:rPr>
        <w:t xml:space="preserve">בדברי </w:t>
      </w:r>
      <w:r w:rsidRPr="00470B38">
        <w:rPr>
          <w:rStyle w:val="af9"/>
          <w:rFonts w:hint="cs"/>
          <w:rtl/>
        </w:rPr>
        <w:t>השער"י</w:t>
      </w:r>
      <w:r>
        <w:rPr>
          <w:rFonts w:hint="cs"/>
          <w:rtl/>
        </w:rPr>
        <w:t xml:space="preserve"> </w:t>
      </w:r>
      <w:r w:rsidRPr="00470B38">
        <w:rPr>
          <w:rStyle w:val="af7"/>
          <w:rFonts w:eastAsia="Guttman Hodes" w:hint="cs"/>
          <w:rtl/>
        </w:rPr>
        <w:t xml:space="preserve">(עי' אות </w:t>
      </w:r>
      <w:r w:rsidRPr="00470B38">
        <w:rPr>
          <w:rStyle w:val="af7"/>
          <w:rFonts w:eastAsia="Guttman Hodes"/>
          <w:rtl/>
        </w:rPr>
        <w:fldChar w:fldCharType="begin"/>
      </w:r>
      <w:r w:rsidRPr="00470B38">
        <w:rPr>
          <w:rStyle w:val="af7"/>
          <w:rFonts w:eastAsia="Guttman Hodes"/>
          <w:rtl/>
        </w:rPr>
        <w:instrText xml:space="preserve"> </w:instrText>
      </w:r>
      <w:r w:rsidRPr="00470B38">
        <w:rPr>
          <w:rStyle w:val="af7"/>
          <w:rFonts w:eastAsia="Guttman Hodes" w:hint="cs"/>
        </w:rPr>
        <w:instrText>REF</w:instrText>
      </w:r>
      <w:r w:rsidRPr="00470B38">
        <w:rPr>
          <w:rStyle w:val="af7"/>
          <w:rFonts w:eastAsia="Guttman Hodes" w:hint="cs"/>
          <w:rtl/>
        </w:rPr>
        <w:instrText xml:space="preserve"> _</w:instrText>
      </w:r>
      <w:r w:rsidRPr="00470B38">
        <w:rPr>
          <w:rStyle w:val="af7"/>
          <w:rFonts w:eastAsia="Guttman Hodes" w:hint="cs"/>
        </w:rPr>
        <w:instrText>Ref4358967 \r \h</w:instrText>
      </w:r>
      <w:r w:rsidRPr="00470B38">
        <w:rPr>
          <w:rStyle w:val="af7"/>
          <w:rFonts w:eastAsia="Guttman Hodes"/>
          <w:rtl/>
        </w:rPr>
        <w:instrText xml:space="preserve"> </w:instrText>
      </w:r>
      <w:r w:rsidRPr="00470B38">
        <w:rPr>
          <w:rStyle w:val="af7"/>
          <w:rFonts w:eastAsia="Guttman Hodes"/>
          <w:rtl/>
        </w:rPr>
      </w:r>
      <w:r w:rsidRPr="00470B38">
        <w:rPr>
          <w:rStyle w:val="af7"/>
          <w:rFonts w:eastAsia="Guttman Hodes"/>
          <w:rtl/>
        </w:rPr>
        <w:fldChar w:fldCharType="separate"/>
      </w:r>
      <w:r w:rsidR="00345400">
        <w:rPr>
          <w:rStyle w:val="af7"/>
          <w:rFonts w:eastAsia="Guttman Hodes"/>
          <w:cs/>
        </w:rPr>
        <w:t>‎</w:t>
      </w:r>
      <w:r w:rsidR="00345400">
        <w:rPr>
          <w:rStyle w:val="af7"/>
          <w:rFonts w:eastAsia="Guttman Hodes"/>
          <w:rtl/>
        </w:rPr>
        <w:t>עח)</w:t>
      </w:r>
      <w:r w:rsidRPr="00470B38">
        <w:rPr>
          <w:rStyle w:val="af7"/>
          <w:rFonts w:eastAsia="Guttman Hodes"/>
          <w:rtl/>
        </w:rPr>
        <w:fldChar w:fldCharType="end"/>
      </w:r>
      <w:r>
        <w:rPr>
          <w:rFonts w:hint="cs"/>
          <w:rtl/>
        </w:rPr>
        <w:t xml:space="preserve"> בדעת </w:t>
      </w:r>
      <w:r w:rsidRPr="00470B38">
        <w:rPr>
          <w:rStyle w:val="af9"/>
          <w:rFonts w:hint="cs"/>
          <w:rtl/>
        </w:rPr>
        <w:t>הרשב"א</w:t>
      </w:r>
      <w:r>
        <w:rPr>
          <w:rFonts w:hint="cs"/>
          <w:rtl/>
        </w:rPr>
        <w:t>.</w:t>
      </w:r>
    </w:p>
    <w:p w14:paraId="25CC9DB3" w14:textId="77777777" w:rsidR="003D504D" w:rsidRPr="00726155" w:rsidRDefault="003D504D" w:rsidP="003D504D">
      <w:pPr>
        <w:pStyle w:val="a3"/>
        <w:rPr>
          <w:rtl/>
        </w:rPr>
      </w:pPr>
      <w:bookmarkStart w:id="26283" w:name="_Toc4704777"/>
      <w:bookmarkStart w:id="26284" w:name="_Toc4761936"/>
      <w:bookmarkStart w:id="26285" w:name="_Toc4877645"/>
      <w:bookmarkStart w:id="26286" w:name="_Toc4877971"/>
      <w:bookmarkStart w:id="26287" w:name="_Toc4878115"/>
      <w:bookmarkStart w:id="26288" w:name="_Toc19392232"/>
      <w:bookmarkStart w:id="26289" w:name="_Toc19395729"/>
      <w:r>
        <w:rPr>
          <w:rFonts w:hint="cs"/>
          <w:rtl/>
        </w:rPr>
        <w:t>ביאור הגרי"ז ברמב"ם דהעובר אסור כירך אמו דיש בו את חסרון ההיתר שיש באמו</w:t>
      </w:r>
      <w:bookmarkEnd w:id="26283"/>
      <w:bookmarkEnd w:id="26284"/>
      <w:bookmarkEnd w:id="26285"/>
      <w:bookmarkEnd w:id="26286"/>
      <w:bookmarkEnd w:id="26287"/>
      <w:bookmarkEnd w:id="26288"/>
      <w:bookmarkEnd w:id="26289"/>
    </w:p>
    <w:p w14:paraId="35CAB4AB" w14:textId="77777777" w:rsidR="003D504D" w:rsidRDefault="003D504D" w:rsidP="00223668">
      <w:pPr>
        <w:pStyle w:val="a0"/>
        <w:rPr>
          <w:rStyle w:val="afb"/>
          <w:rtl/>
        </w:rPr>
      </w:pPr>
      <w:r w:rsidRPr="00A2720B">
        <w:rPr>
          <w:rFonts w:hint="cs"/>
          <w:rtl/>
        </w:rPr>
        <w:t xml:space="preserve">והביא </w:t>
      </w:r>
      <w:r w:rsidRPr="00A2720B">
        <w:rPr>
          <w:rStyle w:val="af9"/>
          <w:rFonts w:hint="cs"/>
          <w:rtl/>
        </w:rPr>
        <w:t>הגרי"ז</w:t>
      </w:r>
      <w:r w:rsidRPr="00A2720B">
        <w:rPr>
          <w:rFonts w:hint="cs"/>
          <w:rtl/>
        </w:rPr>
        <w:t xml:space="preserve"> את דברי </w:t>
      </w:r>
      <w:r w:rsidRPr="00A2720B">
        <w:rPr>
          <w:rStyle w:val="af9"/>
          <w:rFonts w:hint="cs"/>
          <w:rtl/>
        </w:rPr>
        <w:t>הרמב"ם</w:t>
      </w:r>
      <w:r w:rsidRPr="00A2720B">
        <w:rPr>
          <w:rFonts w:hint="cs"/>
          <w:rtl/>
        </w:rPr>
        <w:t xml:space="preserve"> </w:t>
      </w:r>
      <w:r w:rsidRPr="00A2720B">
        <w:rPr>
          <w:rStyle w:val="af7"/>
          <w:rFonts w:eastAsia="Guttman Hodes" w:hint="cs"/>
          <w:rtl/>
        </w:rPr>
        <w:t xml:space="preserve">(עי' אות </w:t>
      </w:r>
      <w:r w:rsidRPr="00A2720B">
        <w:rPr>
          <w:rStyle w:val="af7"/>
          <w:rFonts w:eastAsia="Guttman Hodes"/>
          <w:rtl/>
        </w:rPr>
        <w:fldChar w:fldCharType="begin"/>
      </w:r>
      <w:r w:rsidRPr="00A2720B">
        <w:rPr>
          <w:rStyle w:val="af7"/>
          <w:rFonts w:eastAsia="Guttman Hodes"/>
          <w:rtl/>
        </w:rPr>
        <w:instrText xml:space="preserve"> </w:instrText>
      </w:r>
      <w:r w:rsidRPr="00A2720B">
        <w:rPr>
          <w:rStyle w:val="af7"/>
          <w:rFonts w:eastAsia="Guttman Hodes" w:hint="cs"/>
        </w:rPr>
        <w:instrText>REF</w:instrText>
      </w:r>
      <w:r w:rsidRPr="00A2720B">
        <w:rPr>
          <w:rStyle w:val="af7"/>
          <w:rFonts w:eastAsia="Guttman Hodes" w:hint="cs"/>
          <w:rtl/>
        </w:rPr>
        <w:instrText xml:space="preserve"> _</w:instrText>
      </w:r>
      <w:r w:rsidRPr="00A2720B">
        <w:rPr>
          <w:rStyle w:val="af7"/>
          <w:rFonts w:eastAsia="Guttman Hodes" w:hint="cs"/>
        </w:rPr>
        <w:instrText>Ref4606067 \r \h</w:instrText>
      </w:r>
      <w:r w:rsidRPr="00A2720B">
        <w:rPr>
          <w:rStyle w:val="af7"/>
          <w:rFonts w:eastAsia="Guttman Hodes"/>
          <w:rtl/>
        </w:rPr>
        <w:instrText xml:space="preserve">  \* </w:instrText>
      </w:r>
      <w:r w:rsidRPr="00A2720B">
        <w:rPr>
          <w:rStyle w:val="af7"/>
          <w:rFonts w:eastAsia="Guttman Hodes"/>
        </w:rPr>
        <w:instrText>MERGEFORMAT</w:instrText>
      </w:r>
      <w:r w:rsidRPr="00A2720B">
        <w:rPr>
          <w:rStyle w:val="af7"/>
          <w:rFonts w:eastAsia="Guttman Hodes"/>
          <w:rtl/>
        </w:rPr>
        <w:instrText xml:space="preserve"> </w:instrText>
      </w:r>
      <w:r w:rsidRPr="00A2720B">
        <w:rPr>
          <w:rStyle w:val="af7"/>
          <w:rFonts w:eastAsia="Guttman Hodes"/>
          <w:rtl/>
        </w:rPr>
      </w:r>
      <w:r w:rsidRPr="00A2720B">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A2720B">
        <w:rPr>
          <w:rStyle w:val="af7"/>
          <w:rFonts w:eastAsia="Guttman Hodes"/>
          <w:rtl/>
        </w:rPr>
        <w:fldChar w:fldCharType="end"/>
      </w:r>
      <w:r w:rsidRPr="00A2720B">
        <w:rPr>
          <w:rFonts w:hint="cs"/>
          <w:rtl/>
        </w:rPr>
        <w:t xml:space="preserve"> דכתב דשחיטת הטריפה אינה מתירה את הולד וצריך שחיטה, ובבן ח' אף שהוא חי במעי הטריפה אסור כיון שהוא אבר מאברי אמו, וכתב </w:t>
      </w:r>
      <w:r w:rsidRPr="00A2720B">
        <w:rPr>
          <w:rStyle w:val="af9"/>
          <w:rFonts w:hint="cs"/>
          <w:rtl/>
        </w:rPr>
        <w:t>הגרי"ז</w:t>
      </w:r>
      <w:r w:rsidRPr="00A2720B">
        <w:rPr>
          <w:rFonts w:hint="cs"/>
          <w:rtl/>
        </w:rPr>
        <w:t xml:space="preserve"> דלדברי </w:t>
      </w:r>
      <w:r w:rsidRPr="00A2720B">
        <w:rPr>
          <w:rStyle w:val="af9"/>
          <w:rFonts w:hint="cs"/>
          <w:rtl/>
        </w:rPr>
        <w:t>החזון יחזקאל</w:t>
      </w:r>
      <w:r w:rsidRPr="00A2720B">
        <w:rPr>
          <w:rFonts w:hint="cs"/>
          <w:rtl/>
        </w:rPr>
        <w:t xml:space="preserve"> מבואר דכוונת </w:t>
      </w:r>
      <w:r w:rsidRPr="00A2720B">
        <w:rPr>
          <w:rStyle w:val="af9"/>
          <w:rFonts w:hint="cs"/>
          <w:rtl/>
        </w:rPr>
        <w:t>הרמב"ם</w:t>
      </w:r>
      <w:r w:rsidRPr="00A2720B">
        <w:rPr>
          <w:rFonts w:hint="cs"/>
          <w:rtl/>
        </w:rPr>
        <w:t xml:space="preserve"> לומר דכיון שמעשה השחיטה שחל בעובר הוא רק אגב האם, חשיב שחלות השחיטה שחלה בעובר היא כמו החלות באבר של האם, ולכן דין העובר הוא כדין האם, וביאר </w:t>
      </w:r>
      <w:r w:rsidRPr="00A2720B">
        <w:rPr>
          <w:rStyle w:val="af9"/>
          <w:rFonts w:hint="cs"/>
          <w:rtl/>
        </w:rPr>
        <w:t>הגרי"ז</w:t>
      </w:r>
      <w:r w:rsidRPr="00A2720B">
        <w:rPr>
          <w:rFonts w:hint="cs"/>
          <w:rtl/>
        </w:rPr>
        <w:t xml:space="preserve"> דאף שהעובר עצמו אינו טריפה, מ"מ יש בו את חסרון ההיתר שיש בשחיטת האם הטריפה, כיון שחלות השחיטה שחלה בו היא אותה החלות שחלה באם, ולכן בין האם ובין הולד אינם מותרים בשחיטה.</w:t>
      </w:r>
      <w:bookmarkEnd w:id="26273"/>
      <w:r>
        <w:rPr>
          <w:rFonts w:hint="cs"/>
          <w:rtl/>
        </w:rPr>
        <w:t xml:space="preserve"> </w:t>
      </w:r>
      <w:r w:rsidRPr="00BD4200">
        <w:rPr>
          <w:rStyle w:val="afb"/>
          <w:rFonts w:hint="cs"/>
          <w:rtl/>
        </w:rPr>
        <w:t xml:space="preserve">[וקצ"ב </w:t>
      </w:r>
      <w:r w:rsidRPr="00BD4200">
        <w:rPr>
          <w:rStyle w:val="affa"/>
          <w:rFonts w:hint="cs"/>
          <w:rtl/>
        </w:rPr>
        <w:t>דהרמב"ם</w:t>
      </w:r>
      <w:r w:rsidRPr="00BD4200">
        <w:rPr>
          <w:rStyle w:val="afb"/>
          <w:rFonts w:hint="cs"/>
          <w:rtl/>
        </w:rPr>
        <w:t xml:space="preserve"> כתב דהוא כירך אמו רק לענין בן ח'</w:t>
      </w:r>
      <w:r>
        <w:rPr>
          <w:rStyle w:val="afb"/>
          <w:rFonts w:hint="cs"/>
          <w:rtl/>
        </w:rPr>
        <w:t>,</w:t>
      </w:r>
      <w:r w:rsidRPr="00BD4200">
        <w:rPr>
          <w:rStyle w:val="afb"/>
          <w:rFonts w:hint="cs"/>
          <w:rtl/>
        </w:rPr>
        <w:t xml:space="preserve"> ולא בכל עובר].</w:t>
      </w:r>
    </w:p>
    <w:p w14:paraId="3C81D964" w14:textId="77777777" w:rsidR="00B07C71" w:rsidRPr="00B07C71" w:rsidRDefault="00B07C71" w:rsidP="00B07C71">
      <w:pPr>
        <w:pStyle w:val="a3"/>
        <w:rPr>
          <w:rtl/>
        </w:rPr>
      </w:pPr>
    </w:p>
    <w:p w14:paraId="5C7D9FED" w14:textId="77777777" w:rsidR="003D504D" w:rsidRDefault="003D504D" w:rsidP="00BF39B2">
      <w:pPr>
        <w:pStyle w:val="1"/>
        <w:rPr>
          <w:rtl/>
        </w:rPr>
      </w:pPr>
      <w:bookmarkStart w:id="26290" w:name="_Toc4704778"/>
      <w:bookmarkStart w:id="26291" w:name="_Toc4761937"/>
      <w:bookmarkStart w:id="26292" w:name="_Toc4877646"/>
      <w:bookmarkStart w:id="26293" w:name="_Toc4877972"/>
      <w:bookmarkStart w:id="26294" w:name="_Toc4878116"/>
      <w:bookmarkStart w:id="26295" w:name="_Toc19392233"/>
      <w:bookmarkStart w:id="26296" w:name="_Toc19395730"/>
      <w:r>
        <w:rPr>
          <w:rFonts w:hint="cs"/>
          <w:rtl/>
        </w:rPr>
        <w:t>ביאור הגרי"ז ברש"י דהולד כירך אמו ואף שנשחט דינו כאמו</w:t>
      </w:r>
      <w:bookmarkEnd w:id="26290"/>
      <w:bookmarkEnd w:id="26291"/>
      <w:bookmarkEnd w:id="26292"/>
      <w:bookmarkEnd w:id="26293"/>
      <w:bookmarkEnd w:id="26294"/>
      <w:bookmarkEnd w:id="26295"/>
      <w:bookmarkEnd w:id="26296"/>
    </w:p>
    <w:p w14:paraId="5A6D35B1" w14:textId="77777777" w:rsidR="003D504D" w:rsidRPr="00A2720B" w:rsidRDefault="003D504D" w:rsidP="003D504D">
      <w:pPr>
        <w:pStyle w:val="a3"/>
        <w:rPr>
          <w:rtl/>
        </w:rPr>
      </w:pPr>
      <w:bookmarkStart w:id="26297" w:name="_Toc4704779"/>
      <w:bookmarkStart w:id="26298" w:name="_Toc4761938"/>
      <w:bookmarkStart w:id="26299" w:name="_Toc4877647"/>
      <w:bookmarkStart w:id="26300" w:name="_Toc4877973"/>
      <w:bookmarkStart w:id="26301" w:name="_Toc4878117"/>
      <w:bookmarkStart w:id="26302" w:name="_Toc19392234"/>
      <w:bookmarkStart w:id="26303" w:name="_Toc19395731"/>
      <w:r>
        <w:rPr>
          <w:rFonts w:hint="cs"/>
          <w:rtl/>
        </w:rPr>
        <w:t>דברי הגרי"ז דברש"י מבואר דרק מחמת שהולד חשיב כירך אמו לא מהני לו שחיטתה</w:t>
      </w:r>
      <w:bookmarkEnd w:id="26297"/>
      <w:bookmarkEnd w:id="26298"/>
      <w:bookmarkEnd w:id="26299"/>
      <w:bookmarkEnd w:id="26300"/>
      <w:bookmarkEnd w:id="26301"/>
      <w:bookmarkEnd w:id="26302"/>
      <w:bookmarkEnd w:id="26303"/>
    </w:p>
    <w:p w14:paraId="2AB1A50A" w14:textId="77777777" w:rsidR="003D504D" w:rsidRPr="00A2720B" w:rsidRDefault="003D504D" w:rsidP="00223668">
      <w:pPr>
        <w:pStyle w:val="a0"/>
        <w:rPr>
          <w:rtl/>
        </w:rPr>
      </w:pPr>
      <w:bookmarkStart w:id="26304" w:name="_Ref4429013"/>
      <w:r w:rsidRPr="00A2720B">
        <w:rPr>
          <w:rFonts w:hint="cs"/>
          <w:rtl/>
        </w:rPr>
        <w:t>והביא</w:t>
      </w:r>
      <w:r w:rsidRPr="00A2720B">
        <w:rPr>
          <w:rStyle w:val="af9"/>
          <w:rFonts w:hint="cs"/>
          <w:rtl/>
        </w:rPr>
        <w:t xml:space="preserve"> הגרי"ז</w:t>
      </w:r>
      <w:r w:rsidRPr="00A2720B">
        <w:rPr>
          <w:rFonts w:hint="cs"/>
          <w:rtl/>
        </w:rPr>
        <w:t xml:space="preserve"> את דברי </w:t>
      </w:r>
      <w:r w:rsidRPr="00A2720B">
        <w:rPr>
          <w:rStyle w:val="af9"/>
          <w:rFonts w:hint="cs"/>
          <w:rtl/>
        </w:rPr>
        <w:t>רש"י</w:t>
      </w:r>
      <w:r w:rsidRPr="00A2720B">
        <w:rPr>
          <w:rFonts w:hint="cs"/>
          <w:rtl/>
        </w:rPr>
        <w:t xml:space="preserve"> </w:t>
      </w:r>
      <w:r w:rsidRPr="00A2720B">
        <w:rPr>
          <w:rStyle w:val="af7"/>
          <w:rFonts w:eastAsia="Guttman Hodes" w:hint="cs"/>
          <w:rtl/>
        </w:rPr>
        <w:t xml:space="preserve">(עי' אות </w:t>
      </w:r>
      <w:r w:rsidRPr="00A2720B">
        <w:rPr>
          <w:rStyle w:val="af7"/>
          <w:rFonts w:eastAsia="Guttman Hodes"/>
          <w:rtl/>
        </w:rPr>
        <w:fldChar w:fldCharType="begin"/>
      </w:r>
      <w:r w:rsidRPr="00A2720B">
        <w:rPr>
          <w:rStyle w:val="af7"/>
          <w:rFonts w:eastAsia="Guttman Hodes"/>
          <w:rtl/>
        </w:rPr>
        <w:instrText xml:space="preserve"> </w:instrText>
      </w:r>
      <w:r w:rsidRPr="00A2720B">
        <w:rPr>
          <w:rStyle w:val="af7"/>
          <w:rFonts w:eastAsia="Guttman Hodes" w:hint="cs"/>
        </w:rPr>
        <w:instrText>REF</w:instrText>
      </w:r>
      <w:r w:rsidRPr="00A2720B">
        <w:rPr>
          <w:rStyle w:val="af7"/>
          <w:rFonts w:eastAsia="Guttman Hodes" w:hint="cs"/>
          <w:rtl/>
        </w:rPr>
        <w:instrText xml:space="preserve"> _</w:instrText>
      </w:r>
      <w:r w:rsidRPr="00A2720B">
        <w:rPr>
          <w:rStyle w:val="af7"/>
          <w:rFonts w:eastAsia="Guttman Hodes" w:hint="cs"/>
        </w:rPr>
        <w:instrText>Ref4428980 \r \h</w:instrText>
      </w:r>
      <w:r w:rsidRPr="00A2720B">
        <w:rPr>
          <w:rStyle w:val="af7"/>
          <w:rFonts w:eastAsia="Guttman Hodes"/>
          <w:rtl/>
        </w:rPr>
        <w:instrText xml:space="preserve">  \* </w:instrText>
      </w:r>
      <w:r w:rsidRPr="00A2720B">
        <w:rPr>
          <w:rStyle w:val="af7"/>
          <w:rFonts w:eastAsia="Guttman Hodes"/>
        </w:rPr>
        <w:instrText>MERGEFORMAT</w:instrText>
      </w:r>
      <w:r w:rsidRPr="00A2720B">
        <w:rPr>
          <w:rStyle w:val="af7"/>
          <w:rFonts w:eastAsia="Guttman Hodes"/>
          <w:rtl/>
        </w:rPr>
        <w:instrText xml:space="preserve"> </w:instrText>
      </w:r>
      <w:r w:rsidRPr="00A2720B">
        <w:rPr>
          <w:rStyle w:val="af7"/>
          <w:rFonts w:eastAsia="Guttman Hodes"/>
          <w:rtl/>
        </w:rPr>
      </w:r>
      <w:r w:rsidRPr="00A2720B">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A2720B">
        <w:rPr>
          <w:rStyle w:val="af7"/>
          <w:rFonts w:eastAsia="Guttman Hodes"/>
          <w:rtl/>
        </w:rPr>
        <w:fldChar w:fldCharType="end"/>
      </w:r>
      <w:r w:rsidRPr="00A2720B">
        <w:rPr>
          <w:rStyle w:val="af7"/>
          <w:rFonts w:eastAsia="Guttman Hodes" w:hint="cs"/>
          <w:rtl/>
        </w:rPr>
        <w:t xml:space="preserve"> </w:t>
      </w:r>
      <w:r w:rsidRPr="00A2720B">
        <w:rPr>
          <w:rFonts w:hint="cs"/>
          <w:rtl/>
        </w:rPr>
        <w:t xml:space="preserve">דכתב דהולד אינו מותר בשחיטת אמו הטריפה דהוא כאחד מאיבריה, וכתב </w:t>
      </w:r>
      <w:r w:rsidRPr="00A2720B">
        <w:rPr>
          <w:rStyle w:val="af9"/>
          <w:rFonts w:hint="cs"/>
          <w:rtl/>
        </w:rPr>
        <w:t>הגרי"ז</w:t>
      </w:r>
      <w:r w:rsidRPr="00A2720B">
        <w:rPr>
          <w:rFonts w:hint="cs"/>
          <w:rtl/>
        </w:rPr>
        <w:t xml:space="preserve"> דמוכח מדברי </w:t>
      </w:r>
      <w:r w:rsidRPr="00A2720B">
        <w:rPr>
          <w:rStyle w:val="af9"/>
          <w:rFonts w:hint="cs"/>
          <w:rtl/>
        </w:rPr>
        <w:t>רש"י</w:t>
      </w:r>
      <w:r w:rsidRPr="00A2720B">
        <w:rPr>
          <w:rFonts w:hint="cs"/>
          <w:rtl/>
        </w:rPr>
        <w:t xml:space="preserve"> דרק כיון שהולד חשיב כאבר של אמו, לכן לא מהני לו שחיטת אמו, אבל אם לא היה נחשב כאבר דאמו, הייתה שחיטת אמו הטריפה מתירתו, כיון שעצם השחיטה היא שחיטה מעולה.</w:t>
      </w:r>
      <w:bookmarkEnd w:id="26304"/>
    </w:p>
    <w:p w14:paraId="7C152D06" w14:textId="77777777" w:rsidR="003D504D" w:rsidRPr="00A2720B" w:rsidRDefault="003D504D" w:rsidP="003D504D">
      <w:pPr>
        <w:pStyle w:val="a3"/>
        <w:rPr>
          <w:rtl/>
        </w:rPr>
      </w:pPr>
      <w:bookmarkStart w:id="26305" w:name="_Toc4704780"/>
      <w:bookmarkStart w:id="26306" w:name="_Toc4761939"/>
      <w:bookmarkStart w:id="26307" w:name="_Toc4877648"/>
      <w:bookmarkStart w:id="26308" w:name="_Toc4877974"/>
      <w:bookmarkStart w:id="26309" w:name="_Toc4878118"/>
      <w:bookmarkStart w:id="26310" w:name="_Toc19392235"/>
      <w:bookmarkStart w:id="26311" w:name="_Toc19395732"/>
      <w:r>
        <w:rPr>
          <w:rFonts w:hint="cs"/>
          <w:rtl/>
        </w:rPr>
        <w:t>קושית הגרי"ז על החזון יחזקאל דאף אי אין הולד כירך אמו מ"מ הוא אסור כיון ש האם</w:t>
      </w:r>
      <w:r w:rsidRPr="006466EE">
        <w:rPr>
          <w:rFonts w:hint="cs"/>
          <w:rtl/>
        </w:rPr>
        <w:t xml:space="preserve"> </w:t>
      </w:r>
      <w:r>
        <w:rPr>
          <w:rFonts w:hint="cs"/>
          <w:rtl/>
        </w:rPr>
        <w:t>לא הותרה</w:t>
      </w:r>
      <w:bookmarkEnd w:id="26305"/>
      <w:bookmarkEnd w:id="26306"/>
      <w:bookmarkEnd w:id="26307"/>
      <w:bookmarkEnd w:id="26308"/>
      <w:bookmarkEnd w:id="26309"/>
      <w:bookmarkEnd w:id="26310"/>
      <w:bookmarkEnd w:id="26311"/>
    </w:p>
    <w:p w14:paraId="536D2874" w14:textId="77777777" w:rsidR="003D504D" w:rsidRPr="00A2720B" w:rsidRDefault="003D504D" w:rsidP="00223668">
      <w:pPr>
        <w:pStyle w:val="a0"/>
        <w:rPr>
          <w:rtl/>
        </w:rPr>
      </w:pPr>
      <w:bookmarkStart w:id="26312" w:name="_Ref4686932"/>
      <w:r w:rsidRPr="00A2720B">
        <w:rPr>
          <w:rFonts w:hint="cs"/>
          <w:rtl/>
        </w:rPr>
        <w:t xml:space="preserve">והקשה </w:t>
      </w:r>
      <w:r w:rsidRPr="00A2720B">
        <w:rPr>
          <w:rStyle w:val="af9"/>
          <w:rFonts w:hint="cs"/>
          <w:rtl/>
        </w:rPr>
        <w:t>הגרי"ז</w:t>
      </w:r>
      <w:r w:rsidRPr="00A2720B">
        <w:rPr>
          <w:rFonts w:hint="cs"/>
          <w:rtl/>
        </w:rPr>
        <w:t xml:space="preserve"> על </w:t>
      </w:r>
      <w:r w:rsidRPr="00A2720B">
        <w:rPr>
          <w:rStyle w:val="af9"/>
          <w:rFonts w:hint="cs"/>
          <w:rtl/>
        </w:rPr>
        <w:t>החזון יחזקאל</w:t>
      </w:r>
      <w:r w:rsidRPr="00A2720B">
        <w:rPr>
          <w:rFonts w:hint="cs"/>
          <w:rtl/>
        </w:rPr>
        <w:t xml:space="preserve"> </w:t>
      </w:r>
      <w:r w:rsidRPr="00A2720B">
        <w:rPr>
          <w:rStyle w:val="af7"/>
          <w:rFonts w:eastAsia="Guttman Hodes" w:hint="cs"/>
          <w:rtl/>
        </w:rPr>
        <w:t xml:space="preserve">(עי' אות </w:t>
      </w:r>
      <w:r w:rsidRPr="00A2720B">
        <w:rPr>
          <w:rStyle w:val="af7"/>
          <w:rFonts w:eastAsia="Guttman Hodes"/>
          <w:rtl/>
        </w:rPr>
        <w:fldChar w:fldCharType="begin"/>
      </w:r>
      <w:r w:rsidRPr="00A2720B">
        <w:rPr>
          <w:rStyle w:val="af7"/>
          <w:rFonts w:eastAsia="Guttman Hodes"/>
          <w:rtl/>
        </w:rPr>
        <w:instrText xml:space="preserve"> </w:instrText>
      </w:r>
      <w:r w:rsidRPr="00A2720B">
        <w:rPr>
          <w:rStyle w:val="af7"/>
          <w:rFonts w:eastAsia="Guttman Hodes" w:hint="cs"/>
        </w:rPr>
        <w:instrText>REF</w:instrText>
      </w:r>
      <w:r w:rsidRPr="00A2720B">
        <w:rPr>
          <w:rStyle w:val="af7"/>
          <w:rFonts w:eastAsia="Guttman Hodes" w:hint="cs"/>
          <w:rtl/>
        </w:rPr>
        <w:instrText xml:space="preserve"> _</w:instrText>
      </w:r>
      <w:r w:rsidRPr="00A2720B">
        <w:rPr>
          <w:rStyle w:val="af7"/>
          <w:rFonts w:eastAsia="Guttman Hodes" w:hint="cs"/>
        </w:rPr>
        <w:instrText>Ref4686688 \r \h</w:instrText>
      </w:r>
      <w:r w:rsidRPr="00A2720B">
        <w:rPr>
          <w:rStyle w:val="af7"/>
          <w:rFonts w:eastAsia="Guttman Hodes"/>
          <w:rtl/>
        </w:rPr>
        <w:instrText xml:space="preserve"> </w:instrText>
      </w:r>
      <w:r w:rsidRPr="00A2720B">
        <w:rPr>
          <w:rStyle w:val="af7"/>
          <w:rFonts w:eastAsia="Guttman Hodes"/>
          <w:rtl/>
        </w:rPr>
      </w:r>
      <w:r w:rsidRPr="00A2720B">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A2720B">
        <w:rPr>
          <w:rStyle w:val="af7"/>
          <w:rFonts w:eastAsia="Guttman Hodes"/>
          <w:rtl/>
        </w:rPr>
        <w:fldChar w:fldCharType="end"/>
      </w:r>
      <w:r>
        <w:rPr>
          <w:rFonts w:hint="cs"/>
          <w:rtl/>
        </w:rPr>
        <w:t xml:space="preserve"> </w:t>
      </w:r>
      <w:r w:rsidRPr="00A2720B">
        <w:rPr>
          <w:rFonts w:hint="cs"/>
          <w:rtl/>
        </w:rPr>
        <w:t xml:space="preserve">דלדבריו האיסור של הולד אינו מחמת שהוא כאבר מאברי אמו, כדברי </w:t>
      </w:r>
      <w:r w:rsidRPr="00A2720B">
        <w:rPr>
          <w:rStyle w:val="af9"/>
          <w:rFonts w:hint="cs"/>
          <w:rtl/>
        </w:rPr>
        <w:t>רש"י</w:t>
      </w:r>
      <w:r w:rsidRPr="00A2720B">
        <w:rPr>
          <w:rFonts w:hint="cs"/>
          <w:rtl/>
        </w:rPr>
        <w:t>, אלא כיון שהאם עצמה אינה מותרת בשחיטה, ממילא לא שייך בזה היתר "כל בבהמה תאכלו", ואין מה שיתיר את הולד, דאין בולד חלות היתר של שחיטה מצד עצמו, וכל ההיתר שלו הוא אגב אמו</w:t>
      </w:r>
      <w:r>
        <w:rPr>
          <w:rFonts w:hint="cs"/>
          <w:rtl/>
        </w:rPr>
        <w:t xml:space="preserve">, ועי' במה שביאר </w:t>
      </w:r>
      <w:r w:rsidRPr="00CA42AC">
        <w:rPr>
          <w:rStyle w:val="af9"/>
          <w:rFonts w:hint="cs"/>
          <w:rtl/>
        </w:rPr>
        <w:t>החזון יחזקאל</w:t>
      </w:r>
      <w:r>
        <w:rPr>
          <w:rFonts w:hint="cs"/>
          <w:rtl/>
        </w:rPr>
        <w:t xml:space="preserve"> </w:t>
      </w:r>
      <w:r w:rsidRPr="00CA42AC">
        <w:rPr>
          <w:rStyle w:val="af7"/>
          <w:rFonts w:eastAsia="Guttman Hodes" w:hint="cs"/>
          <w:rtl/>
        </w:rPr>
        <w:t xml:space="preserve">(עי' אות </w:t>
      </w:r>
      <w:r w:rsidRPr="00CA42AC">
        <w:rPr>
          <w:rStyle w:val="af7"/>
          <w:rFonts w:eastAsia="Guttman Hodes"/>
          <w:rtl/>
        </w:rPr>
        <w:fldChar w:fldCharType="begin"/>
      </w:r>
      <w:r w:rsidRPr="00CA42AC">
        <w:rPr>
          <w:rStyle w:val="af7"/>
          <w:rFonts w:eastAsia="Guttman Hodes"/>
          <w:rtl/>
        </w:rPr>
        <w:instrText xml:space="preserve"> </w:instrText>
      </w:r>
      <w:r w:rsidRPr="00CA42AC">
        <w:rPr>
          <w:rStyle w:val="af7"/>
          <w:rFonts w:eastAsia="Guttman Hodes" w:hint="cs"/>
        </w:rPr>
        <w:instrText>REF</w:instrText>
      </w:r>
      <w:r w:rsidRPr="00CA42AC">
        <w:rPr>
          <w:rStyle w:val="af7"/>
          <w:rFonts w:eastAsia="Guttman Hodes" w:hint="cs"/>
          <w:rtl/>
        </w:rPr>
        <w:instrText xml:space="preserve"> _</w:instrText>
      </w:r>
      <w:r w:rsidRPr="00CA42AC">
        <w:rPr>
          <w:rStyle w:val="af7"/>
          <w:rFonts w:eastAsia="Guttman Hodes" w:hint="cs"/>
        </w:rPr>
        <w:instrText>Ref4686688 \r \h</w:instrText>
      </w:r>
      <w:r w:rsidRPr="00CA42AC">
        <w:rPr>
          <w:rStyle w:val="af7"/>
          <w:rFonts w:eastAsia="Guttman Hodes"/>
          <w:rtl/>
        </w:rPr>
        <w:instrText xml:space="preserve"> </w:instrText>
      </w:r>
      <w:r w:rsidRPr="00CA42AC">
        <w:rPr>
          <w:rStyle w:val="af7"/>
          <w:rFonts w:eastAsia="Guttman Hodes"/>
          <w:rtl/>
        </w:rPr>
      </w:r>
      <w:r w:rsidRPr="00CA42AC">
        <w:rPr>
          <w:rStyle w:val="af7"/>
          <w:rFonts w:eastAsia="Guttman Hodes"/>
          <w:rtl/>
        </w:rPr>
        <w:fldChar w:fldCharType="separate"/>
      </w:r>
      <w:r w:rsidR="00345400">
        <w:rPr>
          <w:rStyle w:val="af7"/>
          <w:rFonts w:eastAsia="Guttman Hodes"/>
          <w:cs/>
        </w:rPr>
        <w:t>‎</w:t>
      </w:r>
      <w:r w:rsidR="00345400">
        <w:rPr>
          <w:rStyle w:val="af7"/>
          <w:rFonts w:eastAsia="Guttman Hodes"/>
          <w:rtl/>
        </w:rPr>
        <w:t>נה)</w:t>
      </w:r>
      <w:r w:rsidRPr="00CA42AC">
        <w:rPr>
          <w:rStyle w:val="af7"/>
          <w:rFonts w:eastAsia="Guttman Hodes"/>
          <w:rtl/>
        </w:rPr>
        <w:fldChar w:fldCharType="end"/>
      </w:r>
      <w:r>
        <w:rPr>
          <w:rFonts w:hint="cs"/>
          <w:rtl/>
        </w:rPr>
        <w:t xml:space="preserve"> בדברי </w:t>
      </w:r>
      <w:r w:rsidRPr="00CA42AC">
        <w:rPr>
          <w:rStyle w:val="af9"/>
          <w:rFonts w:hint="cs"/>
          <w:rtl/>
        </w:rPr>
        <w:t>רש"י</w:t>
      </w:r>
      <w:r w:rsidRPr="00A2720B">
        <w:rPr>
          <w:rFonts w:hint="cs"/>
          <w:rtl/>
        </w:rPr>
        <w:t>.</w:t>
      </w:r>
      <w:bookmarkEnd w:id="26312"/>
    </w:p>
    <w:p w14:paraId="1DB5CBED" w14:textId="77777777" w:rsidR="003D504D" w:rsidRPr="00A2720B" w:rsidRDefault="003D504D" w:rsidP="003D504D">
      <w:pPr>
        <w:pStyle w:val="a3"/>
        <w:rPr>
          <w:rtl/>
        </w:rPr>
      </w:pPr>
      <w:bookmarkStart w:id="26313" w:name="_Toc4704781"/>
      <w:bookmarkStart w:id="26314" w:name="_Toc4761940"/>
      <w:bookmarkStart w:id="26315" w:name="_Toc4877649"/>
      <w:bookmarkStart w:id="26316" w:name="_Toc4877975"/>
      <w:bookmarkStart w:id="26317" w:name="_Toc4878119"/>
      <w:bookmarkStart w:id="26318" w:name="_Toc19392236"/>
      <w:bookmarkStart w:id="26319" w:name="_Toc19395733"/>
      <w:r>
        <w:rPr>
          <w:rFonts w:hint="cs"/>
          <w:rtl/>
        </w:rPr>
        <w:t>ביאור הגרי"ז ברש"י דמעשה השחיטה חל בעובר אלא דכיון שהוא ירך אמו דינו כדין אמו</w:t>
      </w:r>
      <w:bookmarkEnd w:id="26313"/>
      <w:bookmarkEnd w:id="26314"/>
      <w:bookmarkEnd w:id="26315"/>
      <w:bookmarkEnd w:id="26316"/>
      <w:bookmarkEnd w:id="26317"/>
      <w:bookmarkEnd w:id="26318"/>
      <w:bookmarkEnd w:id="26319"/>
    </w:p>
    <w:p w14:paraId="625CF825" w14:textId="77777777" w:rsidR="003D504D" w:rsidRPr="00A2720B" w:rsidRDefault="003D504D" w:rsidP="00223668">
      <w:pPr>
        <w:pStyle w:val="a0"/>
        <w:rPr>
          <w:rtl/>
        </w:rPr>
      </w:pPr>
      <w:r w:rsidRPr="00A2720B">
        <w:rPr>
          <w:rFonts w:hint="cs"/>
          <w:rtl/>
        </w:rPr>
        <w:t xml:space="preserve">אלא כתב </w:t>
      </w:r>
      <w:r w:rsidRPr="00A2720B">
        <w:rPr>
          <w:rStyle w:val="af9"/>
          <w:rFonts w:hint="cs"/>
          <w:rtl/>
        </w:rPr>
        <w:t>הגרי"ז</w:t>
      </w:r>
      <w:r w:rsidRPr="00A2720B">
        <w:rPr>
          <w:rFonts w:hint="cs"/>
          <w:rtl/>
        </w:rPr>
        <w:t xml:space="preserve"> דמוכח מדברי </w:t>
      </w:r>
      <w:r w:rsidRPr="00A2720B">
        <w:rPr>
          <w:rStyle w:val="af9"/>
          <w:rFonts w:hint="cs"/>
          <w:rtl/>
        </w:rPr>
        <w:t>רש"י</w:t>
      </w:r>
      <w:r w:rsidRPr="00A2720B">
        <w:rPr>
          <w:rFonts w:hint="cs"/>
          <w:rtl/>
        </w:rPr>
        <w:t xml:space="preserve"> דגדר ההיתר בבן פקועה הוא מחמת מעשה השחיטה שחל בעובר עצמו, אלא דכיון שהדין של העובר בשחיטה זו הוא כדין של אבר מאברי אמו, כדביאר </w:t>
      </w:r>
      <w:r w:rsidRPr="00A2720B">
        <w:rPr>
          <w:rStyle w:val="af9"/>
          <w:rFonts w:hint="cs"/>
          <w:rtl/>
        </w:rPr>
        <w:t>הגרי"ז</w:t>
      </w:r>
      <w:r w:rsidRPr="00A2720B">
        <w:rPr>
          <w:rFonts w:hint="cs"/>
          <w:rtl/>
        </w:rPr>
        <w:t xml:space="preserve"> </w:t>
      </w:r>
      <w:r w:rsidRPr="00A2720B">
        <w:rPr>
          <w:rStyle w:val="af7"/>
          <w:rFonts w:eastAsia="Guttman Hodes" w:hint="cs"/>
          <w:rtl/>
        </w:rPr>
        <w:t xml:space="preserve">(עי' אות </w:t>
      </w:r>
      <w:r w:rsidRPr="00A2720B">
        <w:rPr>
          <w:rStyle w:val="af7"/>
          <w:rFonts w:eastAsia="Guttman Hodes"/>
          <w:rtl/>
        </w:rPr>
        <w:fldChar w:fldCharType="begin"/>
      </w:r>
      <w:r w:rsidRPr="00A2720B">
        <w:rPr>
          <w:rStyle w:val="af7"/>
          <w:rFonts w:eastAsia="Guttman Hodes"/>
          <w:rtl/>
        </w:rPr>
        <w:instrText xml:space="preserve"> </w:instrText>
      </w:r>
      <w:r w:rsidRPr="00A2720B">
        <w:rPr>
          <w:rStyle w:val="af7"/>
          <w:rFonts w:eastAsia="Guttman Hodes" w:hint="cs"/>
        </w:rPr>
        <w:instrText>REF</w:instrText>
      </w:r>
      <w:r w:rsidRPr="00A2720B">
        <w:rPr>
          <w:rStyle w:val="af7"/>
          <w:rFonts w:eastAsia="Guttman Hodes" w:hint="cs"/>
          <w:rtl/>
        </w:rPr>
        <w:instrText xml:space="preserve"> _</w:instrText>
      </w:r>
      <w:r w:rsidRPr="00A2720B">
        <w:rPr>
          <w:rStyle w:val="af7"/>
          <w:rFonts w:eastAsia="Guttman Hodes" w:hint="cs"/>
        </w:rPr>
        <w:instrText>Ref4429518 \r \h</w:instrText>
      </w:r>
      <w:r w:rsidRPr="00A2720B">
        <w:rPr>
          <w:rStyle w:val="af7"/>
          <w:rFonts w:eastAsia="Guttman Hodes"/>
          <w:rtl/>
        </w:rPr>
        <w:instrText xml:space="preserve">  \* </w:instrText>
      </w:r>
      <w:r w:rsidRPr="00A2720B">
        <w:rPr>
          <w:rStyle w:val="af7"/>
          <w:rFonts w:eastAsia="Guttman Hodes"/>
        </w:rPr>
        <w:instrText>MERGEFORMAT</w:instrText>
      </w:r>
      <w:r w:rsidRPr="00A2720B">
        <w:rPr>
          <w:rStyle w:val="af7"/>
          <w:rFonts w:eastAsia="Guttman Hodes"/>
          <w:rtl/>
        </w:rPr>
        <w:instrText xml:space="preserve"> </w:instrText>
      </w:r>
      <w:r w:rsidRPr="00A2720B">
        <w:rPr>
          <w:rStyle w:val="af7"/>
          <w:rFonts w:eastAsia="Guttman Hodes"/>
          <w:rtl/>
        </w:rPr>
      </w:r>
      <w:r w:rsidRPr="00A2720B">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sidRPr="00A2720B">
        <w:rPr>
          <w:rStyle w:val="af7"/>
          <w:rFonts w:eastAsia="Guttman Hodes"/>
          <w:rtl/>
        </w:rPr>
        <w:fldChar w:fldCharType="end"/>
      </w:r>
      <w:r w:rsidRPr="00A2720B">
        <w:rPr>
          <w:rStyle w:val="af7"/>
          <w:rFonts w:eastAsia="Guttman Hodes" w:hint="cs"/>
          <w:rtl/>
        </w:rPr>
        <w:t xml:space="preserve"> </w:t>
      </w:r>
      <w:r w:rsidRPr="00A2720B">
        <w:rPr>
          <w:rFonts w:hint="cs"/>
          <w:rtl/>
        </w:rPr>
        <w:t>לכן דין העובר בשחיטה כמו הדין של הבהמה עצמה, ובנמצאת אמו טריפה שהיא אינה מותרת באכילה, אף העובר אינו מותר באכילה.</w:t>
      </w:r>
    </w:p>
    <w:p w14:paraId="23A8945C" w14:textId="77777777" w:rsidR="003D504D" w:rsidRPr="00A2720B" w:rsidRDefault="003D504D" w:rsidP="00BF39B2">
      <w:pPr>
        <w:pStyle w:val="1"/>
        <w:rPr>
          <w:rtl/>
        </w:rPr>
      </w:pPr>
      <w:bookmarkStart w:id="26320" w:name="_Toc4704782"/>
      <w:bookmarkStart w:id="26321" w:name="_Toc4761941"/>
      <w:bookmarkStart w:id="26322" w:name="_Toc4877650"/>
      <w:bookmarkStart w:id="26323" w:name="_Toc4877976"/>
      <w:bookmarkStart w:id="26324" w:name="_Toc4878120"/>
      <w:bookmarkStart w:id="26325" w:name="_Toc19392237"/>
      <w:bookmarkStart w:id="26326" w:name="_Toc19395734"/>
      <w:r w:rsidRPr="00A2720B">
        <w:rPr>
          <w:rFonts w:hint="cs"/>
          <w:rtl/>
        </w:rPr>
        <w:t>דברי החזון יחזקאל</w:t>
      </w:r>
      <w:r>
        <w:rPr>
          <w:rFonts w:hint="cs"/>
          <w:rtl/>
        </w:rPr>
        <w:t xml:space="preserve"> דכל שלא הותרה האם אין היתר בולד</w:t>
      </w:r>
      <w:bookmarkEnd w:id="26320"/>
      <w:bookmarkEnd w:id="26321"/>
      <w:bookmarkEnd w:id="26322"/>
      <w:bookmarkEnd w:id="26323"/>
      <w:bookmarkEnd w:id="26324"/>
      <w:bookmarkEnd w:id="26325"/>
      <w:bookmarkEnd w:id="26326"/>
    </w:p>
    <w:p w14:paraId="15505D00" w14:textId="77777777" w:rsidR="003D504D" w:rsidRPr="00A2720B" w:rsidRDefault="003D504D" w:rsidP="003D504D">
      <w:pPr>
        <w:pStyle w:val="a3"/>
      </w:pPr>
      <w:bookmarkStart w:id="26327" w:name="_Toc4704783"/>
      <w:bookmarkStart w:id="26328" w:name="_Toc4761942"/>
      <w:bookmarkStart w:id="26329" w:name="_Toc4877651"/>
      <w:bookmarkStart w:id="26330" w:name="_Toc4877977"/>
      <w:bookmarkStart w:id="26331" w:name="_Toc4878121"/>
      <w:bookmarkStart w:id="26332" w:name="_Toc19392238"/>
      <w:bookmarkStart w:id="26333" w:name="_Toc19395735"/>
      <w:r>
        <w:rPr>
          <w:rFonts w:hint="cs"/>
          <w:rtl/>
        </w:rPr>
        <w:t>ביאור החזון יחזקאל ברמב"ם דאין בשחיטת טריפה היתר אכילה מלבד איסור טריפה שיש בה</w:t>
      </w:r>
      <w:bookmarkEnd w:id="26327"/>
      <w:bookmarkEnd w:id="26328"/>
      <w:bookmarkEnd w:id="26329"/>
      <w:bookmarkEnd w:id="26330"/>
      <w:bookmarkEnd w:id="26331"/>
      <w:bookmarkEnd w:id="26332"/>
      <w:bookmarkEnd w:id="26333"/>
    </w:p>
    <w:p w14:paraId="470C78BB" w14:textId="77777777" w:rsidR="003D504D" w:rsidRPr="00A2720B" w:rsidRDefault="003D504D" w:rsidP="00223668">
      <w:pPr>
        <w:pStyle w:val="a0"/>
      </w:pPr>
      <w:bookmarkStart w:id="26334" w:name="_Ref4666133"/>
      <w:r w:rsidRPr="00A2720B">
        <w:rPr>
          <w:rFonts w:hint="cs"/>
          <w:rtl/>
        </w:rPr>
        <w:t xml:space="preserve">בדברי </w:t>
      </w:r>
      <w:r w:rsidRPr="00A2720B">
        <w:rPr>
          <w:rStyle w:val="af9"/>
          <w:rFonts w:hint="cs"/>
          <w:rtl/>
        </w:rPr>
        <w:t>הרמב"ם</w:t>
      </w:r>
      <w:r w:rsidRPr="00A2720B">
        <w:rPr>
          <w:rFonts w:hint="cs"/>
          <w:rtl/>
        </w:rPr>
        <w:t xml:space="preserve"> </w:t>
      </w:r>
      <w:r w:rsidRPr="00A2720B">
        <w:rPr>
          <w:rStyle w:val="af7"/>
          <w:rFonts w:eastAsia="Guttman Hodes" w:hint="cs"/>
          <w:rtl/>
        </w:rPr>
        <w:t>(אבות הטומאות פ"ב ה"י)</w:t>
      </w:r>
      <w:r w:rsidRPr="00A2720B">
        <w:rPr>
          <w:rFonts w:hint="cs"/>
          <w:rtl/>
        </w:rPr>
        <w:t xml:space="preserve"> דכתב דהא דשחיטת עכו"ם מטמאה בנבילה, קרוב לומר דאינו מדאו' אלא מדרבנן, והוסיף </w:t>
      </w:r>
      <w:r w:rsidRPr="00A2720B">
        <w:rPr>
          <w:rStyle w:val="af9"/>
          <w:rFonts w:hint="cs"/>
          <w:rtl/>
        </w:rPr>
        <w:t>הרמב"ם</w:t>
      </w:r>
      <w:r w:rsidRPr="00A2720B">
        <w:rPr>
          <w:rFonts w:hint="cs"/>
          <w:rtl/>
        </w:rPr>
        <w:t xml:space="preserve"> דאעפ"י דטריפה אסורה באכילה מדאו', מ"מ לא כל דבר שאסור מדאו' מטמא מדאו', דהרי טריפה אסורה מדאו' והיא טהורה, כתב </w:t>
      </w:r>
      <w:r w:rsidRPr="00A2720B">
        <w:rPr>
          <w:rStyle w:val="af9"/>
          <w:rFonts w:hint="cs"/>
          <w:rtl/>
        </w:rPr>
        <w:t>החזון יחזקאל</w:t>
      </w:r>
      <w:r w:rsidRPr="00A2720B">
        <w:rPr>
          <w:rFonts w:hint="cs"/>
          <w:rtl/>
        </w:rPr>
        <w:t xml:space="preserve"> </w:t>
      </w:r>
      <w:r w:rsidRPr="00A2720B">
        <w:rPr>
          <w:rStyle w:val="af7"/>
          <w:rFonts w:eastAsia="Guttman Hodes" w:hint="cs"/>
          <w:rtl/>
        </w:rPr>
        <w:t>(תוספתא פ"א ה"ז ד"ה ולהנחה)</w:t>
      </w:r>
      <w:r w:rsidRPr="00A2720B">
        <w:rPr>
          <w:rFonts w:hint="cs"/>
          <w:rtl/>
        </w:rPr>
        <w:t xml:space="preserve"> דמבואר מדברי </w:t>
      </w:r>
      <w:r w:rsidRPr="00A2720B">
        <w:rPr>
          <w:rStyle w:val="af9"/>
          <w:rFonts w:hint="cs"/>
          <w:rtl/>
        </w:rPr>
        <w:t>הרמב"ם</w:t>
      </w:r>
      <w:r w:rsidRPr="00A2720B">
        <w:rPr>
          <w:rFonts w:hint="cs"/>
          <w:rtl/>
        </w:rPr>
        <w:t xml:space="preserve"> [כביאור </w:t>
      </w:r>
      <w:r w:rsidRPr="00A2720B">
        <w:rPr>
          <w:rStyle w:val="af9"/>
          <w:rFonts w:hint="cs"/>
          <w:rtl/>
        </w:rPr>
        <w:t>הגר"ח</w:t>
      </w:r>
      <w:r w:rsidRPr="00A2720B">
        <w:rPr>
          <w:rFonts w:hint="cs"/>
          <w:rtl/>
        </w:rPr>
        <w:t xml:space="preserve"> </w:t>
      </w:r>
      <w:r w:rsidRPr="00A2720B">
        <w:rPr>
          <w:rStyle w:val="af7"/>
          <w:rFonts w:eastAsia="Guttman Hodes" w:hint="cs"/>
          <w:rtl/>
        </w:rPr>
        <w:t xml:space="preserve">(עי' אות </w:t>
      </w:r>
      <w:r w:rsidRPr="00A2720B">
        <w:rPr>
          <w:rStyle w:val="af7"/>
          <w:rFonts w:eastAsia="Guttman Hodes"/>
          <w:rtl/>
        </w:rPr>
        <w:fldChar w:fldCharType="begin"/>
      </w:r>
      <w:r w:rsidRPr="00A2720B">
        <w:rPr>
          <w:rStyle w:val="af7"/>
          <w:rFonts w:eastAsia="Guttman Hodes"/>
          <w:rtl/>
        </w:rPr>
        <w:instrText xml:space="preserve"> </w:instrText>
      </w:r>
      <w:r w:rsidRPr="00A2720B">
        <w:rPr>
          <w:rStyle w:val="af7"/>
          <w:rFonts w:eastAsia="Guttman Hodes" w:hint="cs"/>
        </w:rPr>
        <w:instrText>REF</w:instrText>
      </w:r>
      <w:r w:rsidRPr="00A2720B">
        <w:rPr>
          <w:rStyle w:val="af7"/>
          <w:rFonts w:eastAsia="Guttman Hodes" w:hint="cs"/>
          <w:rtl/>
        </w:rPr>
        <w:instrText xml:space="preserve"> _</w:instrText>
      </w:r>
      <w:r w:rsidRPr="00A2720B">
        <w:rPr>
          <w:rStyle w:val="af7"/>
          <w:rFonts w:eastAsia="Guttman Hodes" w:hint="cs"/>
        </w:rPr>
        <w:instrText>Ref4666209 \r \h</w:instrText>
      </w:r>
      <w:r w:rsidRPr="00A2720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A2720B">
        <w:rPr>
          <w:rStyle w:val="af7"/>
          <w:rFonts w:eastAsia="Guttman Hodes"/>
          <w:rtl/>
        </w:rPr>
      </w:r>
      <w:r w:rsidRPr="00A2720B">
        <w:rPr>
          <w:rStyle w:val="af7"/>
          <w:rFonts w:eastAsia="Guttman Hodes"/>
          <w:rtl/>
        </w:rPr>
        <w:fldChar w:fldCharType="separate"/>
      </w:r>
      <w:r w:rsidR="00345400">
        <w:rPr>
          <w:rStyle w:val="af7"/>
          <w:rFonts w:eastAsia="Guttman Hodes"/>
          <w:cs/>
        </w:rPr>
        <w:t>‎</w:t>
      </w:r>
      <w:r w:rsidR="00345400">
        <w:rPr>
          <w:rStyle w:val="af7"/>
          <w:rFonts w:eastAsia="Guttman Hodes"/>
          <w:rtl/>
        </w:rPr>
        <w:t>לט)</w:t>
      </w:r>
      <w:r w:rsidRPr="00A2720B">
        <w:rPr>
          <w:rStyle w:val="af7"/>
          <w:rFonts w:eastAsia="Guttman Hodes"/>
          <w:rtl/>
        </w:rPr>
        <w:fldChar w:fldCharType="end"/>
      </w:r>
      <w:r w:rsidRPr="00A2720B">
        <w:rPr>
          <w:rFonts w:hint="cs"/>
          <w:rtl/>
        </w:rPr>
        <w:t>] דבטריפה מלבד האיסור טריפה שיש בה, אף השחיטה שלה לא מתירה אותה באכילה, וה"ה בשחיטת עכו"ם שלענין היתר שחיטה, העכו"ם אינו בר זביחה, ולכן האוכל משחיטת עכו"ם עובר על לאו דנבילה, אבל לענין טומאת נבילה, כתיב "וכי ימות מן הבהמה", וכששחטה עכו"ם לא היה בה מעשה מיתה כלל.</w:t>
      </w:r>
      <w:bookmarkEnd w:id="26334"/>
    </w:p>
    <w:p w14:paraId="44806C75" w14:textId="77777777" w:rsidR="003D504D" w:rsidRPr="00A2720B" w:rsidRDefault="003D504D" w:rsidP="003D504D">
      <w:pPr>
        <w:pStyle w:val="a3"/>
      </w:pPr>
      <w:bookmarkStart w:id="26335" w:name="_Toc4704784"/>
      <w:bookmarkStart w:id="26336" w:name="_Toc4761943"/>
      <w:bookmarkStart w:id="26337" w:name="_Toc4877652"/>
      <w:bookmarkStart w:id="26338" w:name="_Toc4877978"/>
      <w:bookmarkStart w:id="26339" w:name="_Toc4878122"/>
      <w:bookmarkStart w:id="26340" w:name="_Toc19392239"/>
      <w:bookmarkStart w:id="26341" w:name="_Toc19395736"/>
      <w:r>
        <w:rPr>
          <w:rFonts w:hint="cs"/>
          <w:rtl/>
        </w:rPr>
        <w:t>קושית החזון יחזקאל דכיון דהשחיטה פועלת בולד להתיר מנבילה אמאי אסור הא אינו טריפה</w:t>
      </w:r>
      <w:bookmarkEnd w:id="26335"/>
      <w:bookmarkEnd w:id="26336"/>
      <w:bookmarkEnd w:id="26337"/>
      <w:bookmarkEnd w:id="26338"/>
      <w:bookmarkEnd w:id="26339"/>
      <w:bookmarkEnd w:id="26340"/>
      <w:bookmarkEnd w:id="26341"/>
    </w:p>
    <w:p w14:paraId="0DCDAC22" w14:textId="77777777" w:rsidR="003D504D" w:rsidRPr="00A2720B" w:rsidRDefault="003D504D" w:rsidP="00223668">
      <w:pPr>
        <w:pStyle w:val="a0"/>
        <w:rPr>
          <w:rtl/>
        </w:rPr>
      </w:pPr>
      <w:bookmarkStart w:id="26342" w:name="_Ref4666450"/>
      <w:r w:rsidRPr="00A2720B">
        <w:rPr>
          <w:rFonts w:hint="cs"/>
          <w:rtl/>
        </w:rPr>
        <w:t xml:space="preserve">והקשה </w:t>
      </w:r>
      <w:r w:rsidRPr="00A2720B">
        <w:rPr>
          <w:rStyle w:val="af9"/>
          <w:rFonts w:hint="cs"/>
          <w:rtl/>
        </w:rPr>
        <w:t>החזון יחזקאל</w:t>
      </w:r>
      <w:r w:rsidRPr="00A2720B">
        <w:rPr>
          <w:rFonts w:hint="cs"/>
          <w:rtl/>
        </w:rPr>
        <w:t xml:space="preserve"> </w:t>
      </w:r>
      <w:r w:rsidRPr="00A2720B">
        <w:rPr>
          <w:rStyle w:val="af7"/>
          <w:rFonts w:eastAsia="Guttman Hodes" w:hint="cs"/>
          <w:rtl/>
        </w:rPr>
        <w:t>(תוספתא פ"א ה"ז ד"ה ודין זה)</w:t>
      </w:r>
      <w:r w:rsidRPr="00A2720B">
        <w:rPr>
          <w:rFonts w:hint="cs"/>
          <w:rtl/>
        </w:rPr>
        <w:t xml:space="preserve"> אמאי הולד אינו מותר בשחיטת אמו הטריפה, הרי כיון ששחיטת האם מהני לטהר את הולד מטומאת נבילה, א"כ מבואר דשחיטת האם פועלת אף על הולד, וא"כ אמאי אין השחיטה מתירה את הולד באכילה, דאף שהאם אסורה באכילה באיסור טריפה, מ"מ א"א לאסור בזה את הולד, דהא אינו טריפה כדמוכח מהא דאם נשחט הולד בשחיטת עצמו הוא מותר באכילה</w:t>
      </w:r>
      <w:r>
        <w:rPr>
          <w:rFonts w:hint="cs"/>
          <w:rtl/>
        </w:rPr>
        <w:t xml:space="preserve">, עי' בדברי </w:t>
      </w:r>
      <w:r w:rsidRPr="00CA42AC">
        <w:rPr>
          <w:rStyle w:val="af9"/>
          <w:rFonts w:hint="cs"/>
          <w:rtl/>
        </w:rPr>
        <w:t>הגרי"ז</w:t>
      </w:r>
      <w:r>
        <w:rPr>
          <w:rFonts w:hint="cs"/>
          <w:rtl/>
        </w:rPr>
        <w:t xml:space="preserve"> </w:t>
      </w:r>
      <w:r w:rsidRPr="00CA42AC">
        <w:rPr>
          <w:rStyle w:val="af7"/>
          <w:rFonts w:eastAsia="Guttman Hodes" w:hint="cs"/>
          <w:rtl/>
        </w:rPr>
        <w:t xml:space="preserve">(עי' אות </w:t>
      </w:r>
      <w:r w:rsidRPr="00CA42AC">
        <w:rPr>
          <w:rStyle w:val="af7"/>
          <w:rFonts w:eastAsia="Guttman Hodes"/>
          <w:rtl/>
        </w:rPr>
        <w:fldChar w:fldCharType="begin"/>
      </w:r>
      <w:r w:rsidRPr="00CA42AC">
        <w:rPr>
          <w:rStyle w:val="af7"/>
          <w:rFonts w:eastAsia="Guttman Hodes"/>
          <w:rtl/>
        </w:rPr>
        <w:instrText xml:space="preserve"> </w:instrText>
      </w:r>
      <w:r w:rsidRPr="00CA42AC">
        <w:rPr>
          <w:rStyle w:val="af7"/>
          <w:rFonts w:eastAsia="Guttman Hodes" w:hint="cs"/>
        </w:rPr>
        <w:instrText>REF</w:instrText>
      </w:r>
      <w:r w:rsidRPr="00CA42AC">
        <w:rPr>
          <w:rStyle w:val="af7"/>
          <w:rFonts w:eastAsia="Guttman Hodes" w:hint="cs"/>
          <w:rtl/>
        </w:rPr>
        <w:instrText xml:space="preserve"> _</w:instrText>
      </w:r>
      <w:r w:rsidRPr="00CA42AC">
        <w:rPr>
          <w:rStyle w:val="af7"/>
          <w:rFonts w:eastAsia="Guttman Hodes" w:hint="cs"/>
        </w:rPr>
        <w:instrText>Ref4686803 \r \h</w:instrText>
      </w:r>
      <w:r w:rsidRPr="00CA42AC">
        <w:rPr>
          <w:rStyle w:val="af7"/>
          <w:rFonts w:eastAsia="Guttman Hodes"/>
          <w:rtl/>
        </w:rPr>
        <w:instrText xml:space="preserve"> </w:instrText>
      </w:r>
      <w:r w:rsidRPr="00CA42AC">
        <w:rPr>
          <w:rStyle w:val="af7"/>
          <w:rFonts w:eastAsia="Guttman Hodes"/>
          <w:rtl/>
        </w:rPr>
      </w:r>
      <w:r w:rsidRPr="00CA42AC">
        <w:rPr>
          <w:rStyle w:val="af7"/>
          <w:rFonts w:eastAsia="Guttman Hodes"/>
          <w:rtl/>
        </w:rPr>
        <w:fldChar w:fldCharType="separate"/>
      </w:r>
      <w:r w:rsidR="00345400">
        <w:rPr>
          <w:rStyle w:val="af7"/>
          <w:rFonts w:eastAsia="Guttman Hodes"/>
          <w:cs/>
        </w:rPr>
        <w:t>‎</w:t>
      </w:r>
      <w:r w:rsidR="00345400">
        <w:rPr>
          <w:rStyle w:val="af7"/>
          <w:rFonts w:eastAsia="Guttman Hodes"/>
          <w:rtl/>
        </w:rPr>
        <w:t>מא)</w:t>
      </w:r>
      <w:r w:rsidRPr="00CA42AC">
        <w:rPr>
          <w:rStyle w:val="af7"/>
          <w:rFonts w:eastAsia="Guttman Hodes"/>
          <w:rtl/>
        </w:rPr>
        <w:fldChar w:fldCharType="end"/>
      </w:r>
      <w:r w:rsidRPr="00A2720B">
        <w:rPr>
          <w:rFonts w:hint="cs"/>
          <w:rtl/>
        </w:rPr>
        <w:t>. כפול בגריז ובאמרמ ובשערי ובקהי</w:t>
      </w:r>
      <w:bookmarkEnd w:id="26342"/>
    </w:p>
    <w:p w14:paraId="26514FD9" w14:textId="77777777" w:rsidR="003D504D" w:rsidRPr="00A2720B" w:rsidRDefault="003D504D" w:rsidP="003D504D">
      <w:pPr>
        <w:pStyle w:val="a3"/>
        <w:rPr>
          <w:rtl/>
        </w:rPr>
      </w:pPr>
      <w:bookmarkStart w:id="26343" w:name="_Toc4704785"/>
      <w:bookmarkStart w:id="26344" w:name="_Toc4761944"/>
      <w:bookmarkStart w:id="26345" w:name="_Toc4877653"/>
      <w:bookmarkStart w:id="26346" w:name="_Toc4877979"/>
      <w:bookmarkStart w:id="26347" w:name="_Toc4878123"/>
      <w:bookmarkStart w:id="26348" w:name="_Toc19392240"/>
      <w:bookmarkStart w:id="26349" w:name="_Toc19395737"/>
      <w:r>
        <w:rPr>
          <w:rFonts w:hint="cs"/>
          <w:rtl/>
        </w:rPr>
        <w:t>ביאור החזון יחזקאל דבשחיטת טריפה אין היתר אכילה והיתר הולד הוא רק כשחל היתר על אמו</w:t>
      </w:r>
      <w:bookmarkEnd w:id="26343"/>
      <w:bookmarkEnd w:id="26344"/>
      <w:bookmarkEnd w:id="26345"/>
      <w:bookmarkEnd w:id="26346"/>
      <w:bookmarkEnd w:id="26347"/>
      <w:bookmarkEnd w:id="26348"/>
      <w:bookmarkEnd w:id="26349"/>
    </w:p>
    <w:p w14:paraId="1870F3DA" w14:textId="77777777" w:rsidR="003D504D" w:rsidRDefault="003D504D" w:rsidP="00223668">
      <w:pPr>
        <w:pStyle w:val="a0"/>
        <w:rPr>
          <w:rtl/>
        </w:rPr>
      </w:pPr>
      <w:bookmarkStart w:id="26350" w:name="_Ref4666328"/>
      <w:bookmarkStart w:id="26351" w:name="_Ref4750956"/>
      <w:r w:rsidRPr="00A2720B">
        <w:rPr>
          <w:rFonts w:hint="cs"/>
          <w:rtl/>
        </w:rPr>
        <w:t xml:space="preserve">אלא כתב </w:t>
      </w:r>
      <w:r w:rsidRPr="00A2720B">
        <w:rPr>
          <w:rStyle w:val="af9"/>
          <w:rFonts w:hint="cs"/>
          <w:rtl/>
        </w:rPr>
        <w:t>החזון יחזקאל</w:t>
      </w:r>
      <w:r w:rsidRPr="00A2720B">
        <w:rPr>
          <w:rFonts w:hint="cs"/>
          <w:rtl/>
        </w:rPr>
        <w:t xml:space="preserve"> דמוכח דשחיטת הטריפה אינה מתירה את האם לענין אכילה כלל, וכיון דכל ההיתר של בן פקועה הוא מדין "כל בבהמה תאכלו", וגדר ההיתר הוא שהשחיטה של האם חלה על הולד, לכן כיון שלא הועילה השחיטה להתיר את האם לאכילה, אין היתר שיכול לחול על הולד להתירו באכילה</w:t>
      </w:r>
      <w:r>
        <w:rPr>
          <w:rFonts w:hint="cs"/>
          <w:rtl/>
        </w:rPr>
        <w:t xml:space="preserve">, ועי' בדברי </w:t>
      </w:r>
      <w:r w:rsidRPr="00CA42AC">
        <w:rPr>
          <w:rStyle w:val="af9"/>
          <w:rFonts w:hint="cs"/>
          <w:rtl/>
        </w:rPr>
        <w:t>הגרי"ז</w:t>
      </w:r>
      <w:r>
        <w:rPr>
          <w:rFonts w:hint="cs"/>
          <w:rtl/>
        </w:rPr>
        <w:t xml:space="preserve"> </w:t>
      </w:r>
      <w:r w:rsidRPr="00CA42AC">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Ref4686845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Pr>
          <w:rStyle w:val="af7"/>
          <w:rFonts w:eastAsia="Guttman Hodes"/>
          <w:rtl/>
        </w:rPr>
        <w:fldChar w:fldCharType="end"/>
      </w:r>
      <w:r>
        <w:rPr>
          <w:rFonts w:hint="cs"/>
          <w:rtl/>
        </w:rPr>
        <w:t xml:space="preserve"> ובדברי </w:t>
      </w:r>
      <w:r w:rsidRPr="006B5381">
        <w:rPr>
          <w:rStyle w:val="af9"/>
          <w:rFonts w:hint="cs"/>
          <w:rtl/>
        </w:rPr>
        <w:t xml:space="preserve">המשנת </w:t>
      </w:r>
      <w:bookmarkEnd w:id="26350"/>
      <w:r w:rsidRPr="006B5381">
        <w:rPr>
          <w:rStyle w:val="af9"/>
          <w:rFonts w:hint="cs"/>
          <w:rtl/>
        </w:rPr>
        <w:t>ר"א</w:t>
      </w:r>
      <w:r>
        <w:rPr>
          <w:rFonts w:hint="cs"/>
          <w:rtl/>
        </w:rPr>
        <w:t xml:space="preserve"> </w:t>
      </w:r>
      <w:r w:rsidRPr="006B5381">
        <w:rPr>
          <w:rStyle w:val="af7"/>
          <w:rFonts w:eastAsia="Guttman Hodes" w:hint="cs"/>
          <w:rtl/>
        </w:rPr>
        <w:t xml:space="preserve">(עי' אות </w:t>
      </w:r>
      <w:r w:rsidRPr="006B5381">
        <w:rPr>
          <w:rStyle w:val="af7"/>
          <w:rFonts w:eastAsia="Guttman Hodes"/>
          <w:rtl/>
        </w:rPr>
        <w:fldChar w:fldCharType="begin"/>
      </w:r>
      <w:r w:rsidRPr="006B5381">
        <w:rPr>
          <w:rStyle w:val="af7"/>
          <w:rFonts w:eastAsia="Guttman Hodes"/>
          <w:rtl/>
        </w:rPr>
        <w:instrText xml:space="preserve"> </w:instrText>
      </w:r>
      <w:r w:rsidRPr="006B5381">
        <w:rPr>
          <w:rStyle w:val="af7"/>
          <w:rFonts w:eastAsia="Guttman Hodes" w:hint="cs"/>
        </w:rPr>
        <w:instrText>REF</w:instrText>
      </w:r>
      <w:r w:rsidRPr="006B5381">
        <w:rPr>
          <w:rStyle w:val="af7"/>
          <w:rFonts w:eastAsia="Guttman Hodes" w:hint="cs"/>
          <w:rtl/>
        </w:rPr>
        <w:instrText xml:space="preserve"> _</w:instrText>
      </w:r>
      <w:r w:rsidRPr="006B5381">
        <w:rPr>
          <w:rStyle w:val="af7"/>
          <w:rFonts w:eastAsia="Guttman Hodes" w:hint="cs"/>
        </w:rPr>
        <w:instrText>Ref4750935 \r \h</w:instrText>
      </w:r>
      <w:r w:rsidRPr="006B5381">
        <w:rPr>
          <w:rStyle w:val="af7"/>
          <w:rFonts w:eastAsia="Guttman Hodes"/>
          <w:rtl/>
        </w:rPr>
        <w:instrText xml:space="preserve"> </w:instrText>
      </w:r>
      <w:r w:rsidRPr="006B5381">
        <w:rPr>
          <w:rStyle w:val="af7"/>
          <w:rFonts w:eastAsia="Guttman Hodes"/>
          <w:rtl/>
        </w:rPr>
      </w:r>
      <w:r w:rsidRPr="006B5381">
        <w:rPr>
          <w:rStyle w:val="af7"/>
          <w:rFonts w:eastAsia="Guttman Hodes"/>
          <w:rtl/>
        </w:rPr>
        <w:fldChar w:fldCharType="separate"/>
      </w:r>
      <w:r w:rsidR="00345400">
        <w:rPr>
          <w:rStyle w:val="af7"/>
          <w:rFonts w:eastAsia="Guttman Hodes"/>
          <w:cs/>
        </w:rPr>
        <w:t>‎</w:t>
      </w:r>
      <w:r w:rsidR="00345400">
        <w:rPr>
          <w:rStyle w:val="af7"/>
          <w:rFonts w:eastAsia="Guttman Hodes"/>
          <w:rtl/>
        </w:rPr>
        <w:t>צז)</w:t>
      </w:r>
      <w:r w:rsidRPr="006B5381">
        <w:rPr>
          <w:rStyle w:val="af7"/>
          <w:rFonts w:eastAsia="Guttman Hodes"/>
          <w:rtl/>
        </w:rPr>
        <w:fldChar w:fldCharType="end"/>
      </w:r>
      <w:r>
        <w:rPr>
          <w:rFonts w:hint="cs"/>
          <w:rtl/>
        </w:rPr>
        <w:t>.</w:t>
      </w:r>
      <w:bookmarkEnd w:id="26351"/>
    </w:p>
    <w:p w14:paraId="4047B8A1" w14:textId="77777777" w:rsidR="003D504D" w:rsidRPr="005168C7" w:rsidRDefault="003D504D" w:rsidP="00BF39B2">
      <w:pPr>
        <w:pStyle w:val="1"/>
        <w:rPr>
          <w:rtl/>
        </w:rPr>
      </w:pPr>
      <w:bookmarkStart w:id="26352" w:name="_Toc4704786"/>
      <w:bookmarkStart w:id="26353" w:name="_Toc4761945"/>
      <w:bookmarkStart w:id="26354" w:name="_Toc4877654"/>
      <w:bookmarkStart w:id="26355" w:name="_Toc4877980"/>
      <w:bookmarkStart w:id="26356" w:name="_Toc4878124"/>
      <w:bookmarkStart w:id="26357" w:name="_Toc19392241"/>
      <w:bookmarkStart w:id="26358" w:name="_Toc19395738"/>
      <w:r>
        <w:rPr>
          <w:rFonts w:hint="cs"/>
          <w:rtl/>
        </w:rPr>
        <w:t>ביאור החזון יחזקאל בגדר היתר בן פקועה</w:t>
      </w:r>
      <w:bookmarkEnd w:id="26352"/>
      <w:bookmarkEnd w:id="26353"/>
      <w:bookmarkEnd w:id="26354"/>
      <w:bookmarkEnd w:id="26355"/>
      <w:bookmarkEnd w:id="26356"/>
      <w:bookmarkEnd w:id="26357"/>
      <w:bookmarkEnd w:id="26358"/>
    </w:p>
    <w:p w14:paraId="1A82C870" w14:textId="77777777" w:rsidR="003D504D" w:rsidRPr="00E53F7F" w:rsidRDefault="003D504D" w:rsidP="003D504D">
      <w:pPr>
        <w:pStyle w:val="a3"/>
        <w:rPr>
          <w:rtl/>
        </w:rPr>
      </w:pPr>
      <w:bookmarkStart w:id="26359" w:name="_Toc4704787"/>
      <w:bookmarkStart w:id="26360" w:name="_Toc4761946"/>
      <w:bookmarkStart w:id="26361" w:name="_Toc4877655"/>
      <w:bookmarkStart w:id="26362" w:name="_Toc4877981"/>
      <w:bookmarkStart w:id="26363" w:name="_Toc4878125"/>
      <w:bookmarkStart w:id="26364" w:name="_Toc19392242"/>
      <w:bookmarkStart w:id="26365" w:name="_Toc19395739"/>
      <w:r>
        <w:rPr>
          <w:rFonts w:hint="cs"/>
          <w:rtl/>
        </w:rPr>
        <w:t>ביאור החזון יחזקאל דהיתר הולד הוא דחשיב שנעשה בו עצמו מעשה שחיטה ואינו רק כאבר דאמו</w:t>
      </w:r>
      <w:bookmarkEnd w:id="26359"/>
      <w:bookmarkEnd w:id="26360"/>
      <w:bookmarkEnd w:id="26361"/>
      <w:bookmarkEnd w:id="26362"/>
      <w:bookmarkEnd w:id="26363"/>
      <w:bookmarkEnd w:id="26364"/>
      <w:bookmarkEnd w:id="26365"/>
    </w:p>
    <w:p w14:paraId="26504343" w14:textId="77777777" w:rsidR="003D504D" w:rsidRDefault="003D504D" w:rsidP="00223668">
      <w:pPr>
        <w:pStyle w:val="a0"/>
        <w:rPr>
          <w:rtl/>
        </w:rPr>
      </w:pPr>
      <w:bookmarkStart w:id="26366" w:name="_Ref4750852"/>
      <w:bookmarkStart w:id="26367" w:name="_Ref4686584"/>
      <w:r w:rsidRPr="00E53F7F">
        <w:rPr>
          <w:rFonts w:hint="cs"/>
          <w:rtl/>
        </w:rPr>
        <w:t xml:space="preserve">ועו"כ </w:t>
      </w:r>
      <w:r w:rsidRPr="00E53F7F">
        <w:rPr>
          <w:rStyle w:val="af9"/>
          <w:rFonts w:hint="cs"/>
          <w:rtl/>
        </w:rPr>
        <w:t>החזון יחזקאל</w:t>
      </w:r>
      <w:r w:rsidRPr="00E53F7F">
        <w:rPr>
          <w:rFonts w:hint="cs"/>
          <w:rtl/>
        </w:rPr>
        <w:t xml:space="preserve"> </w:t>
      </w:r>
      <w:r w:rsidRPr="00E53F7F">
        <w:rPr>
          <w:rStyle w:val="af7"/>
          <w:rFonts w:eastAsia="Guttman Hodes" w:hint="cs"/>
          <w:rtl/>
        </w:rPr>
        <w:t>(תוספתא פ"ד ה"ג)</w:t>
      </w:r>
      <w:r w:rsidRPr="00E53F7F">
        <w:rPr>
          <w:rFonts w:hint="cs"/>
          <w:rtl/>
        </w:rPr>
        <w:t xml:space="preserve"> דהיתר בן פקועה אינו מחמת שיש בו היתר מדין "כל בבהמה תאכלו", אלא דחשיב שבשחיטת אמו נעשה גם בו עצמה מעשה שחיטה, ולא דמי לאבר מאברי הבהמה דע"י שחיטת סימני הבהמה חשיב שכל אבריה כשחוטים, אלא חשיב שנעשתה שחיטה בסימני העובר עצמו</w:t>
      </w:r>
      <w:r>
        <w:rPr>
          <w:rFonts w:hint="cs"/>
          <w:rtl/>
        </w:rPr>
        <w:t>.</w:t>
      </w:r>
      <w:bookmarkEnd w:id="26366"/>
    </w:p>
    <w:p w14:paraId="70311B42" w14:textId="77777777" w:rsidR="003D504D" w:rsidRPr="00684AE7" w:rsidRDefault="003D504D" w:rsidP="003D504D">
      <w:pPr>
        <w:pStyle w:val="a3"/>
      </w:pPr>
      <w:bookmarkStart w:id="26368" w:name="_Toc4704788"/>
      <w:bookmarkStart w:id="26369" w:name="_Toc4761947"/>
      <w:bookmarkStart w:id="26370" w:name="_Toc4877656"/>
      <w:bookmarkStart w:id="26371" w:name="_Toc4877982"/>
      <w:bookmarkStart w:id="26372" w:name="_Toc4878126"/>
      <w:bookmarkStart w:id="26373" w:name="_Toc19392243"/>
      <w:bookmarkStart w:id="26374" w:name="_Toc19395740"/>
      <w:r>
        <w:rPr>
          <w:rFonts w:hint="cs"/>
          <w:rtl/>
        </w:rPr>
        <w:t>דברי החזון יחזקאל דהיתר הולד תלוי בהיתר אמו לאכילה ולטומאת נבילה</w:t>
      </w:r>
      <w:bookmarkEnd w:id="26368"/>
      <w:bookmarkEnd w:id="26369"/>
      <w:bookmarkEnd w:id="26370"/>
      <w:bookmarkEnd w:id="26371"/>
      <w:bookmarkEnd w:id="26372"/>
      <w:bookmarkEnd w:id="26373"/>
      <w:bookmarkEnd w:id="26374"/>
    </w:p>
    <w:p w14:paraId="26EF9C7A" w14:textId="77777777" w:rsidR="003D504D" w:rsidRPr="00E53F7F" w:rsidRDefault="003D504D" w:rsidP="00223668">
      <w:pPr>
        <w:pStyle w:val="a0"/>
        <w:rPr>
          <w:rtl/>
        </w:rPr>
      </w:pPr>
      <w:r w:rsidRPr="00E53F7F">
        <w:rPr>
          <w:rFonts w:hint="cs"/>
          <w:rtl/>
        </w:rPr>
        <w:t xml:space="preserve">וכתב </w:t>
      </w:r>
      <w:r w:rsidRPr="00A2720B">
        <w:rPr>
          <w:rStyle w:val="af9"/>
          <w:rFonts w:hint="cs"/>
          <w:rtl/>
        </w:rPr>
        <w:t xml:space="preserve">החזון יחזקאל </w:t>
      </w:r>
      <w:r w:rsidRPr="00E53F7F">
        <w:rPr>
          <w:rFonts w:hint="cs"/>
          <w:rtl/>
        </w:rPr>
        <w:t>דכשהאם טריפה שחיטתה אינה מתירה את האם לאכילה, ולכן אינה מתירה את העובר, אך לענין טומאת נבילה, כיון דמהני שחיטת האם להתיר את עצמה, מהני גם להתיר את הולד</w:t>
      </w:r>
      <w:r>
        <w:rPr>
          <w:rFonts w:hint="cs"/>
          <w:rtl/>
        </w:rPr>
        <w:t xml:space="preserve">, ועי' בדברי </w:t>
      </w:r>
      <w:r w:rsidRPr="00CA42AC">
        <w:rPr>
          <w:rStyle w:val="af9"/>
          <w:rFonts w:hint="cs"/>
          <w:rtl/>
        </w:rPr>
        <w:t>הגרי"ז</w:t>
      </w:r>
      <w:r>
        <w:rPr>
          <w:rFonts w:hint="cs"/>
          <w:rtl/>
        </w:rPr>
        <w:t xml:space="preserve"> </w:t>
      </w:r>
      <w:r w:rsidRPr="00CA42AC">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Ref4686845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מד)</w:t>
      </w:r>
      <w:r>
        <w:rPr>
          <w:rStyle w:val="af7"/>
          <w:rFonts w:eastAsia="Guttman Hodes"/>
          <w:rtl/>
        </w:rPr>
        <w:fldChar w:fldCharType="end"/>
      </w:r>
      <w:r w:rsidRPr="00E53F7F">
        <w:rPr>
          <w:rFonts w:hint="cs"/>
          <w:rtl/>
        </w:rPr>
        <w:t>.</w:t>
      </w:r>
      <w:bookmarkEnd w:id="26367"/>
    </w:p>
    <w:p w14:paraId="5152C491" w14:textId="77777777" w:rsidR="003D504D" w:rsidRPr="00E53F7F" w:rsidRDefault="003D504D" w:rsidP="003D504D">
      <w:pPr>
        <w:pStyle w:val="a3"/>
      </w:pPr>
      <w:bookmarkStart w:id="26375" w:name="_Toc4704789"/>
      <w:bookmarkStart w:id="26376" w:name="_Toc4761948"/>
      <w:bookmarkStart w:id="26377" w:name="_Toc4877657"/>
      <w:bookmarkStart w:id="26378" w:name="_Toc4877983"/>
      <w:bookmarkStart w:id="26379" w:name="_Toc4878127"/>
      <w:bookmarkStart w:id="26380" w:name="_Toc19392244"/>
      <w:bookmarkStart w:id="26381" w:name="_Toc19395741"/>
      <w:r>
        <w:rPr>
          <w:rFonts w:hint="cs"/>
          <w:rtl/>
        </w:rPr>
        <w:t>ביאור החזון יחזקאל ברש"י דאי שחיטת טריפה הייתה מתירה ולד א"כ חשיב כאבר דאמו</w:t>
      </w:r>
      <w:bookmarkEnd w:id="26375"/>
      <w:bookmarkEnd w:id="26376"/>
      <w:bookmarkEnd w:id="26377"/>
      <w:bookmarkEnd w:id="26378"/>
      <w:bookmarkEnd w:id="26379"/>
      <w:bookmarkEnd w:id="26380"/>
      <w:bookmarkEnd w:id="26381"/>
    </w:p>
    <w:p w14:paraId="6F4BDD1E" w14:textId="77777777" w:rsidR="003D504D" w:rsidRPr="00E53F7F" w:rsidRDefault="003D504D" w:rsidP="00223668">
      <w:pPr>
        <w:pStyle w:val="a0"/>
        <w:rPr>
          <w:rtl/>
        </w:rPr>
      </w:pPr>
      <w:bookmarkStart w:id="26382" w:name="_Ref4686688"/>
      <w:r w:rsidRPr="00E53F7F">
        <w:rPr>
          <w:rFonts w:hint="cs"/>
          <w:rtl/>
        </w:rPr>
        <w:t xml:space="preserve">והביא </w:t>
      </w:r>
      <w:r w:rsidRPr="00E53F7F">
        <w:rPr>
          <w:rStyle w:val="af9"/>
          <w:rFonts w:hint="cs"/>
          <w:rtl/>
        </w:rPr>
        <w:t>החזון יחזקאל</w:t>
      </w:r>
      <w:r w:rsidRPr="00E53F7F">
        <w:rPr>
          <w:rFonts w:hint="cs"/>
          <w:rtl/>
        </w:rPr>
        <w:t xml:space="preserve"> את דברי </w:t>
      </w:r>
      <w:r w:rsidRPr="00E53F7F">
        <w:rPr>
          <w:rStyle w:val="af9"/>
          <w:rFonts w:hint="cs"/>
          <w:rtl/>
        </w:rPr>
        <w:t xml:space="preserve">רש"י </w:t>
      </w:r>
      <w:r w:rsidRPr="00E53F7F">
        <w:rPr>
          <w:rStyle w:val="af7"/>
          <w:rFonts w:eastAsia="Guttman Hodes" w:hint="cs"/>
          <w:rtl/>
        </w:rPr>
        <w:t xml:space="preserve">(עי' אות </w:t>
      </w:r>
      <w:r w:rsidRPr="00E53F7F">
        <w:rPr>
          <w:rStyle w:val="af7"/>
          <w:rFonts w:eastAsia="Guttman Hodes"/>
          <w:rtl/>
        </w:rPr>
        <w:fldChar w:fldCharType="begin"/>
      </w:r>
      <w:r w:rsidRPr="00E53F7F">
        <w:rPr>
          <w:rStyle w:val="af7"/>
          <w:rFonts w:eastAsia="Guttman Hodes"/>
          <w:rtl/>
        </w:rPr>
        <w:instrText xml:space="preserve"> </w:instrText>
      </w:r>
      <w:r w:rsidRPr="00E53F7F">
        <w:rPr>
          <w:rStyle w:val="af7"/>
          <w:rFonts w:eastAsia="Guttman Hodes" w:hint="cs"/>
        </w:rPr>
        <w:instrText>REF</w:instrText>
      </w:r>
      <w:r w:rsidRPr="00E53F7F">
        <w:rPr>
          <w:rStyle w:val="af7"/>
          <w:rFonts w:eastAsia="Guttman Hodes" w:hint="cs"/>
          <w:rtl/>
        </w:rPr>
        <w:instrText xml:space="preserve"> _</w:instrText>
      </w:r>
      <w:r w:rsidRPr="00E53F7F">
        <w:rPr>
          <w:rStyle w:val="af7"/>
          <w:rFonts w:eastAsia="Guttman Hodes" w:hint="cs"/>
        </w:rPr>
        <w:instrText>Ref4428980 \r \h</w:instrText>
      </w:r>
      <w:r w:rsidRPr="00E53F7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E53F7F">
        <w:rPr>
          <w:rStyle w:val="af7"/>
          <w:rFonts w:eastAsia="Guttman Hodes"/>
          <w:rtl/>
        </w:rPr>
      </w:r>
      <w:r w:rsidRPr="00E53F7F">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E53F7F">
        <w:rPr>
          <w:rStyle w:val="af7"/>
          <w:rFonts w:eastAsia="Guttman Hodes"/>
          <w:rtl/>
        </w:rPr>
        <w:fldChar w:fldCharType="end"/>
      </w:r>
      <w:r w:rsidRPr="00E53F7F">
        <w:rPr>
          <w:rFonts w:hint="cs"/>
          <w:rtl/>
        </w:rPr>
        <w:t xml:space="preserve"> דכתב דאינו מותר בשחיטת אמו הטריפה, דא"כ חשיב כאחד מאיבריה, וביאר </w:t>
      </w:r>
      <w:r w:rsidRPr="00E53F7F">
        <w:rPr>
          <w:rStyle w:val="af9"/>
          <w:rFonts w:hint="cs"/>
          <w:rtl/>
        </w:rPr>
        <w:t xml:space="preserve">החזון יחזקאל </w:t>
      </w:r>
      <w:r w:rsidRPr="00E53F7F">
        <w:rPr>
          <w:rFonts w:hint="cs"/>
          <w:rtl/>
        </w:rPr>
        <w:t xml:space="preserve">דכוונת </w:t>
      </w:r>
      <w:r w:rsidRPr="00E53F7F">
        <w:rPr>
          <w:rStyle w:val="af9"/>
          <w:rFonts w:hint="cs"/>
          <w:rtl/>
        </w:rPr>
        <w:t xml:space="preserve">רש"י </w:t>
      </w:r>
      <w:r w:rsidRPr="00E53F7F">
        <w:rPr>
          <w:rFonts w:hint="cs"/>
          <w:rtl/>
        </w:rPr>
        <w:t>לומר דאי נימא דולד טריפה מותר בשחיטת אמו, הוא כיון שחל על העובר עצמו ההיתר של השחיט</w:t>
      </w:r>
      <w:r>
        <w:rPr>
          <w:rFonts w:hint="cs"/>
          <w:rtl/>
        </w:rPr>
        <w:t>ה</w:t>
      </w:r>
      <w:r w:rsidRPr="00E53F7F">
        <w:rPr>
          <w:rFonts w:hint="cs"/>
          <w:rtl/>
        </w:rPr>
        <w:t xml:space="preserve"> שנעשתה באמו, דהרי אמו עצמה לא הותרה באכילה בשחיטה, ומוכח דמעשה השחיטה שנעשה בסימני האם, חשיב שנעשה בסימני העובר עצמו, וא"כ חשיב העובר כאבר מאברי אמו, דהא בכל בהמה מעשה השחיטה שנעשה בסימנים שלה מתיר את כל אבריה, דחשיב שמעשה השחיטה נעשה בכל גופה, ואי אמרינן דאף בעובר נעשה מעשה השחיטה, א"כ הוא כרגלה או כידה שהם חשיבי כשחוטים ע"י שחיטת סימניה, וכיון שהעובר הוא כאבר מאבריה, ממילא צריך לאוסרו מדין טריפה כמו הבהמה עצמה, וכתב </w:t>
      </w:r>
      <w:r w:rsidRPr="00E53F7F">
        <w:rPr>
          <w:rStyle w:val="af9"/>
          <w:rFonts w:hint="cs"/>
          <w:rtl/>
        </w:rPr>
        <w:t xml:space="preserve">החזון יחזקאל </w:t>
      </w:r>
      <w:r w:rsidRPr="00E53F7F">
        <w:rPr>
          <w:rFonts w:hint="cs"/>
          <w:rtl/>
        </w:rPr>
        <w:t xml:space="preserve">דבזה מבוארים גם דברי </w:t>
      </w:r>
      <w:r w:rsidRPr="00E53F7F">
        <w:rPr>
          <w:rStyle w:val="af9"/>
          <w:rFonts w:hint="cs"/>
          <w:rtl/>
        </w:rPr>
        <w:t xml:space="preserve">רש"י בביצה </w:t>
      </w:r>
      <w:r w:rsidRPr="00E53F7F">
        <w:rPr>
          <w:rStyle w:val="af7"/>
          <w:rFonts w:eastAsia="Guttman Hodes" w:hint="cs"/>
          <w:rtl/>
        </w:rPr>
        <w:t xml:space="preserve">(עי' אות </w:t>
      </w:r>
      <w:r w:rsidRPr="00E53F7F">
        <w:rPr>
          <w:rStyle w:val="af7"/>
          <w:rFonts w:eastAsia="Guttman Hodes"/>
          <w:rtl/>
        </w:rPr>
        <w:fldChar w:fldCharType="begin"/>
      </w:r>
      <w:r w:rsidRPr="00E53F7F">
        <w:rPr>
          <w:rStyle w:val="af7"/>
          <w:rFonts w:eastAsia="Guttman Hodes"/>
          <w:rtl/>
        </w:rPr>
        <w:instrText xml:space="preserve"> </w:instrText>
      </w:r>
      <w:r w:rsidRPr="00E53F7F">
        <w:rPr>
          <w:rStyle w:val="af7"/>
          <w:rFonts w:eastAsia="Guttman Hodes" w:hint="cs"/>
        </w:rPr>
        <w:instrText>REF</w:instrText>
      </w:r>
      <w:r w:rsidRPr="00E53F7F">
        <w:rPr>
          <w:rStyle w:val="af7"/>
          <w:rFonts w:eastAsia="Guttman Hodes" w:hint="cs"/>
          <w:rtl/>
        </w:rPr>
        <w:instrText xml:space="preserve"> _</w:instrText>
      </w:r>
      <w:r w:rsidRPr="00E53F7F">
        <w:rPr>
          <w:rStyle w:val="af7"/>
          <w:rFonts w:eastAsia="Guttman Hodes" w:hint="cs"/>
        </w:rPr>
        <w:instrText>Ref4428980 \r \h</w:instrText>
      </w:r>
      <w:r w:rsidRPr="00E53F7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E53F7F">
        <w:rPr>
          <w:rStyle w:val="af7"/>
          <w:rFonts w:eastAsia="Guttman Hodes"/>
          <w:rtl/>
        </w:rPr>
      </w:r>
      <w:r w:rsidRPr="00E53F7F">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E53F7F">
        <w:rPr>
          <w:rStyle w:val="af7"/>
          <w:rFonts w:eastAsia="Guttman Hodes"/>
          <w:rtl/>
        </w:rPr>
        <w:fldChar w:fldCharType="end"/>
      </w:r>
      <w:r>
        <w:rPr>
          <w:rFonts w:hint="cs"/>
          <w:rtl/>
        </w:rPr>
        <w:t xml:space="preserve">, , עי' בדברי </w:t>
      </w:r>
      <w:r w:rsidRPr="00CA42AC">
        <w:rPr>
          <w:rStyle w:val="af9"/>
          <w:rFonts w:hint="cs"/>
          <w:rtl/>
        </w:rPr>
        <w:t>הגרי"ז</w:t>
      </w:r>
      <w:r>
        <w:rPr>
          <w:rFonts w:hint="cs"/>
          <w:rtl/>
        </w:rPr>
        <w:t xml:space="preserve"> </w:t>
      </w:r>
      <w:r w:rsidRPr="00CA42AC">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Ref4686932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מח)</w:t>
      </w:r>
      <w:r>
        <w:rPr>
          <w:rStyle w:val="af7"/>
          <w:rFonts w:eastAsia="Guttman Hodes"/>
          <w:rtl/>
        </w:rPr>
        <w:fldChar w:fldCharType="end"/>
      </w:r>
      <w:r w:rsidRPr="00E53F7F">
        <w:rPr>
          <w:rFonts w:hint="cs"/>
          <w:rtl/>
        </w:rPr>
        <w:t>.</w:t>
      </w:r>
      <w:bookmarkEnd w:id="26382"/>
    </w:p>
    <w:p w14:paraId="4C6EBE0F" w14:textId="77777777" w:rsidR="003D504D" w:rsidRDefault="003D504D" w:rsidP="00BF39B2">
      <w:pPr>
        <w:pStyle w:val="1"/>
        <w:rPr>
          <w:rtl/>
        </w:rPr>
      </w:pPr>
      <w:bookmarkStart w:id="26383" w:name="_Toc4540592"/>
      <w:bookmarkStart w:id="26384" w:name="_Toc4606382"/>
      <w:bookmarkStart w:id="26385" w:name="_Toc4618177"/>
      <w:bookmarkStart w:id="26386" w:name="_Toc4704790"/>
      <w:bookmarkStart w:id="26387" w:name="_Toc4761949"/>
      <w:bookmarkStart w:id="26388" w:name="_Toc4877658"/>
      <w:bookmarkStart w:id="26389" w:name="_Toc4877984"/>
      <w:bookmarkStart w:id="26390" w:name="_Toc4878128"/>
      <w:bookmarkStart w:id="26391" w:name="_Toc19392245"/>
      <w:bookmarkStart w:id="26392" w:name="_Toc19395742"/>
      <w:r>
        <w:rPr>
          <w:rFonts w:hint="cs"/>
          <w:rtl/>
        </w:rPr>
        <w:t xml:space="preserve">דברי </w:t>
      </w:r>
      <w:bookmarkEnd w:id="26383"/>
      <w:bookmarkEnd w:id="26384"/>
      <w:bookmarkEnd w:id="26385"/>
      <w:r>
        <w:rPr>
          <w:rFonts w:hint="cs"/>
          <w:rtl/>
        </w:rPr>
        <w:t>האמר"מ דשחיטת טריפה אין היתר אכילה</w:t>
      </w:r>
      <w:bookmarkEnd w:id="26386"/>
      <w:bookmarkEnd w:id="26387"/>
      <w:r>
        <w:rPr>
          <w:rFonts w:hint="cs"/>
          <w:rtl/>
        </w:rPr>
        <w:t xml:space="preserve"> והוי אינו זבוח</w:t>
      </w:r>
      <w:bookmarkEnd w:id="26388"/>
      <w:bookmarkEnd w:id="26389"/>
      <w:bookmarkEnd w:id="26390"/>
      <w:bookmarkEnd w:id="26391"/>
      <w:bookmarkEnd w:id="26392"/>
    </w:p>
    <w:p w14:paraId="4F7E3085" w14:textId="77777777" w:rsidR="003D504D" w:rsidRDefault="003D504D" w:rsidP="003D504D">
      <w:pPr>
        <w:pStyle w:val="a3"/>
      </w:pPr>
      <w:bookmarkStart w:id="26393" w:name="_Toc4704791"/>
      <w:bookmarkStart w:id="26394" w:name="_Toc4761950"/>
      <w:bookmarkStart w:id="26395" w:name="_Toc4877659"/>
      <w:bookmarkStart w:id="26396" w:name="_Toc4877985"/>
      <w:bookmarkStart w:id="26397" w:name="_Toc4878129"/>
      <w:bookmarkStart w:id="26398" w:name="_Toc19392246"/>
      <w:bookmarkStart w:id="26399" w:name="_Toc19395743"/>
      <w:r>
        <w:rPr>
          <w:rFonts w:hint="cs"/>
          <w:rtl/>
        </w:rPr>
        <w:t>דברי האמרי משה דבשחיטת טריפה יש חסרון בהיתר אכילה ונשארה באיסור אינו זבוח</w:t>
      </w:r>
      <w:bookmarkEnd w:id="26393"/>
      <w:bookmarkEnd w:id="26394"/>
      <w:bookmarkEnd w:id="26395"/>
      <w:bookmarkEnd w:id="26396"/>
      <w:bookmarkEnd w:id="26397"/>
      <w:bookmarkEnd w:id="26398"/>
      <w:bookmarkEnd w:id="26399"/>
    </w:p>
    <w:p w14:paraId="37184DD0" w14:textId="77777777" w:rsidR="003D504D" w:rsidRDefault="003D504D" w:rsidP="00223668">
      <w:pPr>
        <w:pStyle w:val="a0"/>
        <w:rPr>
          <w:rtl/>
        </w:rPr>
      </w:pPr>
      <w:bookmarkStart w:id="26400" w:name="_Ref4687019"/>
      <w:r>
        <w:rPr>
          <w:rFonts w:hint="cs"/>
          <w:rtl/>
        </w:rPr>
        <w:t xml:space="preserve">כתב </w:t>
      </w:r>
      <w:r w:rsidRPr="00A453B1">
        <w:rPr>
          <w:rStyle w:val="af9"/>
          <w:rFonts w:hint="cs"/>
          <w:rtl/>
        </w:rPr>
        <w:t>האמרי משה</w:t>
      </w:r>
      <w:r>
        <w:rPr>
          <w:rFonts w:hint="cs"/>
          <w:rtl/>
        </w:rPr>
        <w:t xml:space="preserve"> </w:t>
      </w:r>
      <w:r w:rsidRPr="000E18B3">
        <w:rPr>
          <w:rStyle w:val="af7"/>
          <w:rFonts w:eastAsia="Guttman Hodes" w:hint="cs"/>
          <w:rtl/>
        </w:rPr>
        <w:t>(סי' ד' אות ל"ב)</w:t>
      </w:r>
      <w:r>
        <w:rPr>
          <w:rFonts w:hint="cs"/>
          <w:rtl/>
        </w:rPr>
        <w:t xml:space="preserve"> דבשחיטת טריפה יש חסרון במעשה השחיטה, דשחיטתה אינה מתירה באכילה, וכ"מ דמהני שחיטת טריפה, היא לטהר מנבילה, אבל לענין אכילה חשיב שלא נשחטה כלל, ונשאר על הבהמה איסור אינו זבוח, ועי' בדברי</w:t>
      </w:r>
      <w:r w:rsidRPr="00A2720B">
        <w:rPr>
          <w:rFonts w:hint="cs"/>
          <w:rtl/>
        </w:rPr>
        <w:t xml:space="preserve"> </w:t>
      </w:r>
      <w:r w:rsidRPr="00A2720B">
        <w:rPr>
          <w:rStyle w:val="af9"/>
          <w:rFonts w:hint="cs"/>
          <w:rtl/>
        </w:rPr>
        <w:t>הגר"ח</w:t>
      </w:r>
      <w:r w:rsidRPr="00A2720B">
        <w:rPr>
          <w:rFonts w:hint="cs"/>
          <w:rtl/>
        </w:rPr>
        <w:t xml:space="preserve"> </w:t>
      </w:r>
      <w:r w:rsidRPr="00A2720B">
        <w:rPr>
          <w:rStyle w:val="af7"/>
          <w:rFonts w:eastAsia="Guttman Hodes" w:hint="cs"/>
          <w:rtl/>
        </w:rPr>
        <w:t xml:space="preserve">(עי' אות </w:t>
      </w:r>
      <w:r w:rsidRPr="00A2720B">
        <w:rPr>
          <w:rStyle w:val="af7"/>
          <w:rFonts w:eastAsia="Guttman Hodes"/>
          <w:rtl/>
        </w:rPr>
        <w:fldChar w:fldCharType="begin"/>
      </w:r>
      <w:r w:rsidRPr="00A2720B">
        <w:rPr>
          <w:rStyle w:val="af7"/>
          <w:rFonts w:eastAsia="Guttman Hodes"/>
          <w:rtl/>
        </w:rPr>
        <w:instrText xml:space="preserve"> </w:instrText>
      </w:r>
      <w:r w:rsidRPr="00A2720B">
        <w:rPr>
          <w:rStyle w:val="af7"/>
          <w:rFonts w:eastAsia="Guttman Hodes" w:hint="cs"/>
        </w:rPr>
        <w:instrText>REF</w:instrText>
      </w:r>
      <w:r w:rsidRPr="00A2720B">
        <w:rPr>
          <w:rStyle w:val="af7"/>
          <w:rFonts w:eastAsia="Guttman Hodes" w:hint="cs"/>
          <w:rtl/>
        </w:rPr>
        <w:instrText xml:space="preserve"> _</w:instrText>
      </w:r>
      <w:r w:rsidRPr="00A2720B">
        <w:rPr>
          <w:rStyle w:val="af7"/>
          <w:rFonts w:eastAsia="Guttman Hodes" w:hint="cs"/>
        </w:rPr>
        <w:instrText>Ref4666209 \r \h</w:instrText>
      </w:r>
      <w:r w:rsidRPr="00A2720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A2720B">
        <w:rPr>
          <w:rStyle w:val="af7"/>
          <w:rFonts w:eastAsia="Guttman Hodes"/>
          <w:rtl/>
        </w:rPr>
      </w:r>
      <w:r w:rsidRPr="00A2720B">
        <w:rPr>
          <w:rStyle w:val="af7"/>
          <w:rFonts w:eastAsia="Guttman Hodes"/>
          <w:rtl/>
        </w:rPr>
        <w:fldChar w:fldCharType="separate"/>
      </w:r>
      <w:r w:rsidR="00345400">
        <w:rPr>
          <w:rStyle w:val="af7"/>
          <w:rFonts w:eastAsia="Guttman Hodes"/>
          <w:cs/>
        </w:rPr>
        <w:t>‎</w:t>
      </w:r>
      <w:r w:rsidR="00345400">
        <w:rPr>
          <w:rStyle w:val="af7"/>
          <w:rFonts w:eastAsia="Guttman Hodes"/>
          <w:rtl/>
        </w:rPr>
        <w:t>לט)</w:t>
      </w:r>
      <w:r w:rsidRPr="00A2720B">
        <w:rPr>
          <w:rStyle w:val="af7"/>
          <w:rFonts w:eastAsia="Guttman Hodes"/>
          <w:rtl/>
        </w:rPr>
        <w:fldChar w:fldCharType="end"/>
      </w:r>
      <w:r>
        <w:rPr>
          <w:rFonts w:hint="cs"/>
          <w:rtl/>
        </w:rPr>
        <w:t xml:space="preserve">, וע"ע בדברי </w:t>
      </w:r>
      <w:r w:rsidRPr="001025A1">
        <w:rPr>
          <w:rStyle w:val="af9"/>
          <w:rFonts w:hint="cs"/>
          <w:rtl/>
        </w:rPr>
        <w:t>הקה"י</w:t>
      </w:r>
      <w:r>
        <w:rPr>
          <w:rFonts w:hint="cs"/>
          <w:rtl/>
        </w:rPr>
        <w:t xml:space="preserve"> </w:t>
      </w:r>
      <w:r w:rsidRPr="001025A1">
        <w:rPr>
          <w:rStyle w:val="af7"/>
          <w:rFonts w:eastAsia="Guttman Hodes" w:hint="cs"/>
          <w:rtl/>
        </w:rPr>
        <w:t xml:space="preserve">(עי' אות </w:t>
      </w:r>
      <w:r w:rsidRPr="001025A1">
        <w:rPr>
          <w:rStyle w:val="af7"/>
          <w:rFonts w:eastAsia="Guttman Hodes"/>
          <w:rtl/>
        </w:rPr>
        <w:fldChar w:fldCharType="begin"/>
      </w:r>
      <w:r w:rsidRPr="001025A1">
        <w:rPr>
          <w:rStyle w:val="af7"/>
          <w:rFonts w:eastAsia="Guttman Hodes"/>
          <w:rtl/>
        </w:rPr>
        <w:instrText xml:space="preserve"> </w:instrText>
      </w:r>
      <w:r w:rsidRPr="001025A1">
        <w:rPr>
          <w:rStyle w:val="af7"/>
          <w:rFonts w:eastAsia="Guttman Hodes" w:hint="cs"/>
        </w:rPr>
        <w:instrText>REF</w:instrText>
      </w:r>
      <w:r w:rsidRPr="001025A1">
        <w:rPr>
          <w:rStyle w:val="af7"/>
          <w:rFonts w:eastAsia="Guttman Hodes" w:hint="cs"/>
          <w:rtl/>
        </w:rPr>
        <w:instrText xml:space="preserve"> _</w:instrText>
      </w:r>
      <w:r w:rsidRPr="001025A1">
        <w:rPr>
          <w:rStyle w:val="af7"/>
          <w:rFonts w:eastAsia="Guttman Hodes" w:hint="cs"/>
        </w:rPr>
        <w:instrText>Ref4876037 \r \h</w:instrText>
      </w:r>
      <w:r w:rsidRPr="001025A1">
        <w:rPr>
          <w:rStyle w:val="af7"/>
          <w:rFonts w:eastAsia="Guttman Hodes"/>
          <w:rtl/>
        </w:rPr>
        <w:instrText xml:space="preserve"> </w:instrText>
      </w:r>
      <w:r w:rsidRPr="001025A1">
        <w:rPr>
          <w:rStyle w:val="af7"/>
          <w:rFonts w:eastAsia="Guttman Hodes"/>
          <w:rtl/>
        </w:rPr>
      </w:r>
      <w:r w:rsidRPr="001025A1">
        <w:rPr>
          <w:rStyle w:val="af7"/>
          <w:rFonts w:eastAsia="Guttman Hodes"/>
          <w:rtl/>
        </w:rPr>
        <w:fldChar w:fldCharType="separate"/>
      </w:r>
      <w:r w:rsidR="00345400">
        <w:rPr>
          <w:rStyle w:val="af7"/>
          <w:rFonts w:eastAsia="Guttman Hodes"/>
          <w:cs/>
        </w:rPr>
        <w:t>‎</w:t>
      </w:r>
      <w:r w:rsidR="00345400">
        <w:rPr>
          <w:rStyle w:val="af7"/>
          <w:rFonts w:eastAsia="Guttman Hodes"/>
          <w:rtl/>
        </w:rPr>
        <w:t>עג)</w:t>
      </w:r>
      <w:r w:rsidRPr="001025A1">
        <w:rPr>
          <w:rStyle w:val="af7"/>
          <w:rFonts w:eastAsia="Guttman Hodes"/>
          <w:rtl/>
        </w:rPr>
        <w:fldChar w:fldCharType="end"/>
      </w:r>
      <w:r>
        <w:rPr>
          <w:rFonts w:hint="cs"/>
          <w:rtl/>
        </w:rPr>
        <w:t>.</w:t>
      </w:r>
      <w:bookmarkEnd w:id="26400"/>
    </w:p>
    <w:p w14:paraId="3A6DE2D4" w14:textId="77777777" w:rsidR="003D504D" w:rsidRDefault="003D504D" w:rsidP="003D504D">
      <w:pPr>
        <w:pStyle w:val="a3"/>
      </w:pPr>
      <w:bookmarkStart w:id="26401" w:name="_Toc4704792"/>
      <w:bookmarkStart w:id="26402" w:name="_Toc4761951"/>
      <w:bookmarkStart w:id="26403" w:name="_Toc4877660"/>
      <w:bookmarkStart w:id="26404" w:name="_Toc4877986"/>
      <w:bookmarkStart w:id="26405" w:name="_Toc4878130"/>
      <w:bookmarkStart w:id="26406" w:name="_Toc19392247"/>
      <w:bookmarkStart w:id="26407" w:name="_Toc19395744"/>
      <w:r>
        <w:rPr>
          <w:rFonts w:hint="cs"/>
          <w:rtl/>
        </w:rPr>
        <w:t>דברי האמרי משה דמהא דהולד אינו מותר בשחיטת הטריפה מוכח שיש חסרון בשחיטתה</w:t>
      </w:r>
      <w:bookmarkEnd w:id="26401"/>
      <w:bookmarkEnd w:id="26402"/>
      <w:bookmarkEnd w:id="26403"/>
      <w:bookmarkEnd w:id="26404"/>
      <w:bookmarkEnd w:id="26405"/>
      <w:bookmarkEnd w:id="26406"/>
      <w:bookmarkEnd w:id="26407"/>
    </w:p>
    <w:p w14:paraId="24A3B6AF" w14:textId="77777777" w:rsidR="003D504D" w:rsidRDefault="003D504D" w:rsidP="00223668">
      <w:pPr>
        <w:pStyle w:val="a0"/>
        <w:rPr>
          <w:rtl/>
        </w:rPr>
      </w:pPr>
      <w:bookmarkStart w:id="26408" w:name="_Ref4691262"/>
      <w:r>
        <w:rPr>
          <w:rFonts w:hint="cs"/>
          <w:rtl/>
        </w:rPr>
        <w:t xml:space="preserve">וכתב </w:t>
      </w:r>
      <w:r w:rsidRPr="00A453B1">
        <w:rPr>
          <w:rStyle w:val="af9"/>
          <w:rFonts w:hint="cs"/>
          <w:rtl/>
        </w:rPr>
        <w:t>האמרי משה</w:t>
      </w:r>
      <w:r>
        <w:rPr>
          <w:rFonts w:hint="cs"/>
          <w:rtl/>
        </w:rPr>
        <w:t xml:space="preserve"> דכן מוכח מהא דאין הולד מותר בשחיטת אמו הטריפה, אלא מהני לו רק לטהרו מידי נבילה, ואי אין חסרון בהיתר של השחיטה, א"כ קשה אמאי אין שחיטת אמו מתירתו גם לאכילה, הרי בעצם השחיטה של האם הטריפה אין כל חסרון, וכיון דהעובר אינו טריפה דהוא בן ט' חי ויש לו חיות בפנ"ע, צריך להיות מותר בשחיטתה, וכ"כ </w:t>
      </w:r>
      <w:r w:rsidRPr="00280EAE">
        <w:rPr>
          <w:rStyle w:val="af9"/>
          <w:rFonts w:hint="cs"/>
          <w:rtl/>
        </w:rPr>
        <w:t>הגרי"ז</w:t>
      </w:r>
      <w:r>
        <w:rPr>
          <w:rFonts w:hint="cs"/>
          <w:rtl/>
        </w:rPr>
        <w:t xml:space="preserve"> </w:t>
      </w:r>
      <w:r w:rsidRPr="00280EAE">
        <w:rPr>
          <w:rStyle w:val="af7"/>
          <w:rFonts w:eastAsia="Guttman Hodes" w:hint="cs"/>
          <w:rtl/>
        </w:rPr>
        <w:t xml:space="preserve">(עי' אות </w:t>
      </w:r>
      <w:r w:rsidRPr="00280EAE">
        <w:rPr>
          <w:rStyle w:val="af7"/>
          <w:rFonts w:eastAsia="Guttman Hodes"/>
          <w:rtl/>
        </w:rPr>
        <w:fldChar w:fldCharType="begin"/>
      </w:r>
      <w:r w:rsidRPr="00280EAE">
        <w:rPr>
          <w:rStyle w:val="af7"/>
          <w:rFonts w:eastAsia="Guttman Hodes"/>
          <w:rtl/>
        </w:rPr>
        <w:instrText xml:space="preserve"> </w:instrText>
      </w:r>
      <w:r w:rsidRPr="00280EAE">
        <w:rPr>
          <w:rStyle w:val="af7"/>
          <w:rFonts w:eastAsia="Guttman Hodes" w:hint="cs"/>
        </w:rPr>
        <w:instrText>REF</w:instrText>
      </w:r>
      <w:r w:rsidRPr="00280EAE">
        <w:rPr>
          <w:rStyle w:val="af7"/>
          <w:rFonts w:eastAsia="Guttman Hodes" w:hint="cs"/>
          <w:rtl/>
        </w:rPr>
        <w:instrText xml:space="preserve"> _</w:instrText>
      </w:r>
      <w:r w:rsidRPr="00280EAE">
        <w:rPr>
          <w:rStyle w:val="af7"/>
          <w:rFonts w:eastAsia="Guttman Hodes" w:hint="cs"/>
        </w:rPr>
        <w:instrText>Ref4667187 \r \h</w:instrText>
      </w:r>
      <w:r w:rsidRPr="00280EAE">
        <w:rPr>
          <w:rStyle w:val="af7"/>
          <w:rFonts w:eastAsia="Guttman Hodes"/>
          <w:rtl/>
        </w:rPr>
        <w:instrText xml:space="preserve"> </w:instrText>
      </w:r>
      <w:r w:rsidRPr="00280EAE">
        <w:rPr>
          <w:rStyle w:val="af7"/>
          <w:rFonts w:eastAsia="Guttman Hodes"/>
          <w:rtl/>
        </w:rPr>
      </w:r>
      <w:r w:rsidRPr="00280EAE">
        <w:rPr>
          <w:rStyle w:val="af7"/>
          <w:rFonts w:eastAsia="Guttman Hodes"/>
          <w:rtl/>
        </w:rPr>
        <w:fldChar w:fldCharType="separate"/>
      </w:r>
      <w:r w:rsidR="00345400">
        <w:rPr>
          <w:rStyle w:val="af7"/>
          <w:rFonts w:eastAsia="Guttman Hodes"/>
          <w:cs/>
        </w:rPr>
        <w:t>‎</w:t>
      </w:r>
      <w:r w:rsidR="00345400">
        <w:rPr>
          <w:rStyle w:val="af7"/>
          <w:rFonts w:eastAsia="Guttman Hodes"/>
          <w:rtl/>
        </w:rPr>
        <w:t>מ)</w:t>
      </w:r>
      <w:r w:rsidRPr="00280EAE">
        <w:rPr>
          <w:rStyle w:val="af7"/>
          <w:rFonts w:eastAsia="Guttman Hodes"/>
          <w:rtl/>
        </w:rPr>
        <w:fldChar w:fldCharType="end"/>
      </w:r>
      <w:r>
        <w:rPr>
          <w:rFonts w:hint="cs"/>
          <w:rtl/>
        </w:rPr>
        <w:t>.</w:t>
      </w:r>
      <w:bookmarkEnd w:id="26408"/>
    </w:p>
    <w:p w14:paraId="37A41EFB" w14:textId="77777777" w:rsidR="003D504D" w:rsidRDefault="003D504D" w:rsidP="003D504D">
      <w:pPr>
        <w:pStyle w:val="afe"/>
        <w:rPr>
          <w:rtl/>
        </w:rPr>
      </w:pPr>
      <w:bookmarkStart w:id="26409" w:name="_Toc4877987"/>
      <w:bookmarkStart w:id="26410" w:name="_Toc4878131"/>
      <w:bookmarkStart w:id="26411" w:name="_Toc19436487"/>
      <w:bookmarkStart w:id="26412" w:name="_Toc20081593"/>
      <w:bookmarkStart w:id="26413" w:name="_Toc4704793"/>
      <w:bookmarkStart w:id="26414" w:name="_Toc4761952"/>
      <w:bookmarkStart w:id="26415" w:name="_Toc4877661"/>
      <w:r>
        <w:rPr>
          <w:rFonts w:hint="cs"/>
          <w:rtl/>
        </w:rPr>
        <w:t>בביאור דברי הגרעק"א דאסור בטריפה</w:t>
      </w:r>
      <w:bookmarkEnd w:id="26409"/>
      <w:bookmarkEnd w:id="26410"/>
      <w:bookmarkEnd w:id="26411"/>
      <w:bookmarkEnd w:id="26412"/>
    </w:p>
    <w:p w14:paraId="2E4560FF" w14:textId="77777777" w:rsidR="003D504D" w:rsidRDefault="003D504D" w:rsidP="00BF39B2">
      <w:pPr>
        <w:pStyle w:val="1"/>
        <w:rPr>
          <w:rtl/>
        </w:rPr>
      </w:pPr>
      <w:bookmarkStart w:id="26416" w:name="_Toc4877988"/>
      <w:bookmarkStart w:id="26417" w:name="_Toc4878132"/>
      <w:bookmarkStart w:id="26418" w:name="_Toc19392248"/>
      <w:bookmarkStart w:id="26419" w:name="_Toc19395745"/>
      <w:r>
        <w:rPr>
          <w:rFonts w:hint="cs"/>
          <w:rtl/>
        </w:rPr>
        <w:t>קושית האמר"מ ורבי ראובן על הגרעק"א דהולד אסור בטריפה</w:t>
      </w:r>
      <w:bookmarkEnd w:id="26413"/>
      <w:bookmarkEnd w:id="26414"/>
      <w:bookmarkEnd w:id="26415"/>
      <w:bookmarkEnd w:id="26416"/>
      <w:bookmarkEnd w:id="26417"/>
      <w:bookmarkEnd w:id="26418"/>
      <w:bookmarkEnd w:id="26419"/>
    </w:p>
    <w:p w14:paraId="36A6DA00" w14:textId="77777777" w:rsidR="003D504D" w:rsidRPr="00A453B1" w:rsidRDefault="003D504D" w:rsidP="003D504D">
      <w:pPr>
        <w:pStyle w:val="a3"/>
        <w:rPr>
          <w:rtl/>
        </w:rPr>
      </w:pPr>
      <w:bookmarkStart w:id="26420" w:name="_Toc4704794"/>
      <w:bookmarkStart w:id="26421" w:name="_Toc4761953"/>
      <w:bookmarkStart w:id="26422" w:name="_Toc4877662"/>
      <w:bookmarkStart w:id="26423" w:name="_Toc4877989"/>
      <w:bookmarkStart w:id="26424" w:name="_Toc4878133"/>
      <w:bookmarkStart w:id="26425" w:name="_Toc19392249"/>
      <w:bookmarkStart w:id="26426" w:name="_Toc19395746"/>
      <w:r>
        <w:rPr>
          <w:rFonts w:hint="cs"/>
          <w:rtl/>
        </w:rPr>
        <w:t>קושיות האמרי משה על הגרעק"א דדוחק לומר דהעובר אסור בטריפה כאבר דאמו</w:t>
      </w:r>
      <w:bookmarkEnd w:id="26420"/>
      <w:bookmarkEnd w:id="26421"/>
      <w:bookmarkEnd w:id="26422"/>
      <w:bookmarkEnd w:id="26423"/>
      <w:bookmarkEnd w:id="26424"/>
      <w:bookmarkEnd w:id="26425"/>
      <w:bookmarkEnd w:id="26426"/>
    </w:p>
    <w:p w14:paraId="3A05F0CA" w14:textId="77777777" w:rsidR="003D504D" w:rsidRDefault="003D504D" w:rsidP="00223668">
      <w:pPr>
        <w:pStyle w:val="a0"/>
        <w:rPr>
          <w:rtl/>
        </w:rPr>
      </w:pPr>
      <w:bookmarkStart w:id="26427" w:name="_Ref4691458"/>
      <w:r>
        <w:rPr>
          <w:rFonts w:hint="cs"/>
          <w:rtl/>
        </w:rPr>
        <w:t xml:space="preserve">והביא </w:t>
      </w:r>
      <w:r w:rsidRPr="00A453B1">
        <w:rPr>
          <w:rStyle w:val="af9"/>
          <w:rFonts w:hint="cs"/>
          <w:rtl/>
        </w:rPr>
        <w:t>האמרי משה</w:t>
      </w:r>
      <w:r>
        <w:rPr>
          <w:rFonts w:hint="cs"/>
          <w:rtl/>
        </w:rPr>
        <w:t xml:space="preserve"> </w:t>
      </w:r>
      <w:r w:rsidRPr="000E18B3">
        <w:rPr>
          <w:rStyle w:val="af7"/>
          <w:rFonts w:eastAsia="Guttman Hodes" w:hint="cs"/>
          <w:rtl/>
        </w:rPr>
        <w:t>(סי' ד' אות ל"ב)</w:t>
      </w:r>
      <w:r>
        <w:rPr>
          <w:rFonts w:hint="cs"/>
          <w:rtl/>
        </w:rPr>
        <w:t xml:space="preserve"> את ביאור </w:t>
      </w:r>
      <w:r w:rsidRPr="00A453B1">
        <w:rPr>
          <w:rStyle w:val="af9"/>
          <w:rFonts w:hint="cs"/>
          <w:rtl/>
        </w:rPr>
        <w:t>הגרעק"א</w:t>
      </w:r>
      <w:r>
        <w:rPr>
          <w:rFonts w:hint="cs"/>
          <w:rtl/>
        </w:rPr>
        <w:t xml:space="preserve"> </w:t>
      </w:r>
      <w:r w:rsidRPr="00E9533E">
        <w:rPr>
          <w:rStyle w:val="af7"/>
          <w:rFonts w:eastAsia="Guttman Hodes" w:hint="cs"/>
          <w:rtl/>
        </w:rPr>
        <w:t xml:space="preserve">(עי' אות </w:t>
      </w:r>
      <w:r w:rsidRPr="00E9533E">
        <w:rPr>
          <w:rStyle w:val="af7"/>
          <w:rFonts w:eastAsia="Guttman Hodes"/>
          <w:rtl/>
        </w:rPr>
        <w:fldChar w:fldCharType="begin"/>
      </w:r>
      <w:r w:rsidRPr="00E9533E">
        <w:rPr>
          <w:rStyle w:val="af7"/>
          <w:rFonts w:eastAsia="Guttman Hodes"/>
          <w:rtl/>
        </w:rPr>
        <w:instrText xml:space="preserve"> </w:instrText>
      </w:r>
      <w:r w:rsidRPr="00E9533E">
        <w:rPr>
          <w:rStyle w:val="af7"/>
          <w:rFonts w:eastAsia="Guttman Hodes" w:hint="cs"/>
        </w:rPr>
        <w:instrText>REF</w:instrText>
      </w:r>
      <w:r w:rsidRPr="00E9533E">
        <w:rPr>
          <w:rStyle w:val="af7"/>
          <w:rFonts w:eastAsia="Guttman Hodes" w:hint="cs"/>
          <w:rtl/>
        </w:rPr>
        <w:instrText xml:space="preserve"> _</w:instrText>
      </w:r>
      <w:r w:rsidRPr="00E9533E">
        <w:rPr>
          <w:rStyle w:val="af7"/>
          <w:rFonts w:eastAsia="Guttman Hodes" w:hint="cs"/>
        </w:rPr>
        <w:instrText>Ref4528268 \r \h</w:instrText>
      </w:r>
      <w:r w:rsidRPr="00E9533E">
        <w:rPr>
          <w:rStyle w:val="af7"/>
          <w:rFonts w:eastAsia="Guttman Hodes"/>
          <w:rtl/>
        </w:rPr>
        <w:instrText xml:space="preserve"> </w:instrText>
      </w:r>
      <w:r w:rsidRPr="00E9533E">
        <w:rPr>
          <w:rStyle w:val="af7"/>
          <w:rFonts w:eastAsia="Guttman Hodes"/>
          <w:rtl/>
        </w:rPr>
      </w:r>
      <w:r w:rsidRPr="00E9533E">
        <w:rPr>
          <w:rStyle w:val="af7"/>
          <w:rFonts w:eastAsia="Guttman Hodes"/>
          <w:rtl/>
        </w:rPr>
        <w:fldChar w:fldCharType="separate"/>
      </w:r>
      <w:r w:rsidR="00345400">
        <w:rPr>
          <w:rStyle w:val="af7"/>
          <w:rFonts w:eastAsia="Guttman Hodes"/>
          <w:cs/>
        </w:rPr>
        <w:t>‎</w:t>
      </w:r>
      <w:r w:rsidR="00345400">
        <w:rPr>
          <w:rStyle w:val="af7"/>
          <w:rFonts w:eastAsia="Guttman Hodes"/>
          <w:rtl/>
        </w:rPr>
        <w:t>יז)</w:t>
      </w:r>
      <w:r w:rsidRPr="00E9533E">
        <w:rPr>
          <w:rStyle w:val="af7"/>
          <w:rFonts w:eastAsia="Guttman Hodes"/>
          <w:rtl/>
        </w:rPr>
        <w:fldChar w:fldCharType="end"/>
      </w:r>
      <w:r w:rsidRPr="00E9533E">
        <w:rPr>
          <w:rStyle w:val="af7"/>
          <w:rFonts w:eastAsia="Guttman Hodes" w:hint="cs"/>
          <w:rtl/>
        </w:rPr>
        <w:t xml:space="preserve"> </w:t>
      </w:r>
      <w:r>
        <w:rPr>
          <w:rFonts w:hint="cs"/>
          <w:rtl/>
        </w:rPr>
        <w:t xml:space="preserve">דכיון שאנו באים להתיר את העובר ע"י שחיטת אמו, חל על העובר האיסור טריפה של אמו, וכדמשמע </w:t>
      </w:r>
      <w:r w:rsidRPr="00A453B1">
        <w:rPr>
          <w:rStyle w:val="af9"/>
          <w:rFonts w:hint="cs"/>
          <w:rtl/>
        </w:rPr>
        <w:t>ברש"י</w:t>
      </w:r>
      <w:r>
        <w:rPr>
          <w:rFonts w:hint="cs"/>
          <w:rtl/>
        </w:rPr>
        <w:t xml:space="preserve"> </w:t>
      </w:r>
      <w:r w:rsidRPr="00E9533E">
        <w:rPr>
          <w:rStyle w:val="af7"/>
          <w:rFonts w:eastAsia="Guttman Hodes" w:hint="cs"/>
          <w:rtl/>
        </w:rPr>
        <w:t xml:space="preserve">(עי' אות </w:t>
      </w:r>
      <w:r w:rsidRPr="00E9533E">
        <w:rPr>
          <w:rStyle w:val="af7"/>
          <w:rFonts w:eastAsia="Guttman Hodes"/>
          <w:rtl/>
        </w:rPr>
        <w:fldChar w:fldCharType="begin"/>
      </w:r>
      <w:r w:rsidRPr="00E9533E">
        <w:rPr>
          <w:rStyle w:val="af7"/>
          <w:rFonts w:eastAsia="Guttman Hodes"/>
          <w:rtl/>
        </w:rPr>
        <w:instrText xml:space="preserve"> </w:instrText>
      </w:r>
      <w:r w:rsidRPr="00E9533E">
        <w:rPr>
          <w:rStyle w:val="af7"/>
          <w:rFonts w:eastAsia="Guttman Hodes" w:hint="cs"/>
        </w:rPr>
        <w:instrText>REF</w:instrText>
      </w:r>
      <w:r w:rsidRPr="00E9533E">
        <w:rPr>
          <w:rStyle w:val="af7"/>
          <w:rFonts w:eastAsia="Guttman Hodes" w:hint="cs"/>
          <w:rtl/>
        </w:rPr>
        <w:instrText xml:space="preserve"> _</w:instrText>
      </w:r>
      <w:r w:rsidRPr="00E9533E">
        <w:rPr>
          <w:rStyle w:val="af7"/>
          <w:rFonts w:eastAsia="Guttman Hodes" w:hint="cs"/>
        </w:rPr>
        <w:instrText>Ref4428980 \r \h</w:instrText>
      </w:r>
      <w:r w:rsidRPr="00E9533E">
        <w:rPr>
          <w:rStyle w:val="af7"/>
          <w:rFonts w:eastAsia="Guttman Hodes"/>
          <w:rtl/>
        </w:rPr>
        <w:instrText xml:space="preserve"> </w:instrText>
      </w:r>
      <w:r w:rsidRPr="00E9533E">
        <w:rPr>
          <w:rStyle w:val="af7"/>
          <w:rFonts w:eastAsia="Guttman Hodes"/>
          <w:rtl/>
        </w:rPr>
      </w:r>
      <w:r w:rsidRPr="00E9533E">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E9533E">
        <w:rPr>
          <w:rStyle w:val="af7"/>
          <w:rFonts w:eastAsia="Guttman Hodes"/>
          <w:rtl/>
        </w:rPr>
        <w:fldChar w:fldCharType="end"/>
      </w:r>
      <w:r>
        <w:rPr>
          <w:rFonts w:hint="cs"/>
          <w:rtl/>
        </w:rPr>
        <w:t xml:space="preserve"> דחשיב כאבר מאבריה, והקשה </w:t>
      </w:r>
      <w:r w:rsidRPr="00A453B1">
        <w:rPr>
          <w:rStyle w:val="af9"/>
          <w:rFonts w:hint="cs"/>
          <w:rtl/>
        </w:rPr>
        <w:t>האמרי משה</w:t>
      </w:r>
      <w:r>
        <w:rPr>
          <w:rFonts w:hint="cs"/>
          <w:rtl/>
        </w:rPr>
        <w:t xml:space="preserve"> דמסברא אינו מובן כלל, ודוחק לומר דכשאנו באים להתירו בשחיטת אמו חשיב כאבר מאבריה, ואילו כשאנו באים להתירו בשחיטת עצמו לא נחשב כאבר דאמו, ועוד הקשה </w:t>
      </w:r>
      <w:r w:rsidRPr="00A453B1">
        <w:rPr>
          <w:rStyle w:val="af9"/>
          <w:rFonts w:hint="cs"/>
          <w:rtl/>
        </w:rPr>
        <w:t>האמרי משה</w:t>
      </w:r>
      <w:r>
        <w:rPr>
          <w:rFonts w:hint="cs"/>
          <w:rtl/>
        </w:rPr>
        <w:t xml:space="preserve"> דלדברי </w:t>
      </w:r>
      <w:r w:rsidRPr="00A453B1">
        <w:rPr>
          <w:rStyle w:val="af9"/>
          <w:rFonts w:hint="cs"/>
          <w:rtl/>
        </w:rPr>
        <w:t>הגרעק"א</w:t>
      </w:r>
      <w:r>
        <w:rPr>
          <w:rFonts w:hint="cs"/>
          <w:rtl/>
        </w:rPr>
        <w:t xml:space="preserve"> אף בולד נוגחת ונרבעת שנשחטה ונמצא במעיה, יחול עליו איסור האם כיון שאנו באים להתירו מכח שחיטת האם, חשיב כאבר מאבריה, ואי"ז מסתבר כלל, אלא כתב </w:t>
      </w:r>
      <w:r w:rsidRPr="00A453B1">
        <w:rPr>
          <w:rStyle w:val="af9"/>
          <w:rFonts w:hint="cs"/>
          <w:rtl/>
        </w:rPr>
        <w:t>האמרי משה</w:t>
      </w:r>
      <w:r>
        <w:rPr>
          <w:rFonts w:hint="cs"/>
          <w:rtl/>
        </w:rPr>
        <w:t xml:space="preserve"> דמוכח דאף בשחיטת האם הטריפה יש חסרון בהכשר השחיטה שלה לענין אכילה, ולכן אין העובר מותר באכילה בשחיטת אמו, דלענין אכילה חשיב שלא נשחט, ונשאר עליו איסור אינו זבוח.</w:t>
      </w:r>
      <w:bookmarkEnd w:id="26427"/>
      <w:r>
        <w:rPr>
          <w:rFonts w:hint="cs"/>
          <w:rtl/>
        </w:rPr>
        <w:t xml:space="preserve"> </w:t>
      </w:r>
    </w:p>
    <w:p w14:paraId="10F35778" w14:textId="77777777" w:rsidR="003D504D" w:rsidRDefault="003D504D" w:rsidP="003D504D">
      <w:pPr>
        <w:pStyle w:val="a3"/>
        <w:rPr>
          <w:rtl/>
        </w:rPr>
      </w:pPr>
      <w:bookmarkStart w:id="26428" w:name="_Toc4704795"/>
      <w:bookmarkStart w:id="26429" w:name="_Toc4761954"/>
      <w:bookmarkStart w:id="26430" w:name="_Toc4877663"/>
      <w:bookmarkStart w:id="26431" w:name="_Toc4877990"/>
      <w:bookmarkStart w:id="26432" w:name="_Toc4878134"/>
      <w:bookmarkStart w:id="26433" w:name="_Toc19392250"/>
      <w:bookmarkStart w:id="26434" w:name="_Toc19395747"/>
      <w:r>
        <w:rPr>
          <w:rFonts w:hint="cs"/>
          <w:rtl/>
        </w:rPr>
        <w:t>ביאור רבי ראובן בגרעק"א עפ"י הגר"ח דטריפה חשיבא שקצת היא כמתה מאליה</w:t>
      </w:r>
      <w:bookmarkEnd w:id="26428"/>
      <w:bookmarkEnd w:id="26429"/>
      <w:bookmarkEnd w:id="26430"/>
      <w:bookmarkEnd w:id="26431"/>
      <w:bookmarkEnd w:id="26432"/>
      <w:bookmarkEnd w:id="26433"/>
      <w:bookmarkEnd w:id="26434"/>
    </w:p>
    <w:p w14:paraId="626F4127" w14:textId="77777777" w:rsidR="003D504D" w:rsidRDefault="003D504D" w:rsidP="00223668">
      <w:pPr>
        <w:pStyle w:val="a0"/>
        <w:rPr>
          <w:rtl/>
        </w:rPr>
      </w:pPr>
      <w:bookmarkStart w:id="26435" w:name="_Ref4691649"/>
      <w:r w:rsidRPr="00484AE8">
        <w:rPr>
          <w:rFonts w:hint="cs"/>
          <w:rtl/>
        </w:rPr>
        <w:t xml:space="preserve">ועי' </w:t>
      </w:r>
      <w:r w:rsidRPr="00737B7C">
        <w:rPr>
          <w:rStyle w:val="af9"/>
          <w:rFonts w:hint="cs"/>
          <w:rtl/>
        </w:rPr>
        <w:t xml:space="preserve">בחי' רבי ראובן </w:t>
      </w:r>
      <w:r w:rsidRPr="00737B7C">
        <w:rPr>
          <w:rStyle w:val="af7"/>
          <w:rFonts w:eastAsia="Guttman Hodes" w:hint="cs"/>
          <w:rtl/>
        </w:rPr>
        <w:t xml:space="preserve">(יבמות סי' כ"ז הערה 4) </w:t>
      </w:r>
      <w:r w:rsidRPr="00484AE8">
        <w:rPr>
          <w:rFonts w:hint="cs"/>
          <w:rtl/>
        </w:rPr>
        <w:t>ד</w:t>
      </w:r>
      <w:r>
        <w:rPr>
          <w:rFonts w:hint="cs"/>
          <w:rtl/>
        </w:rPr>
        <w:t xml:space="preserve">הביא את דברי </w:t>
      </w:r>
      <w:r w:rsidRPr="00737B7C">
        <w:rPr>
          <w:rStyle w:val="af9"/>
          <w:rFonts w:hint="cs"/>
          <w:rtl/>
        </w:rPr>
        <w:t>הגרעק"א</w:t>
      </w:r>
      <w:r>
        <w:rPr>
          <w:rFonts w:hint="cs"/>
          <w:rtl/>
        </w:rPr>
        <w:t xml:space="preserve"> </w:t>
      </w:r>
      <w:r w:rsidRPr="004A39C2">
        <w:rPr>
          <w:rStyle w:val="af7"/>
          <w:rFonts w:eastAsia="Guttman Hodes" w:hint="cs"/>
          <w:rtl/>
        </w:rPr>
        <w:t xml:space="preserve">(עי' אות </w:t>
      </w:r>
      <w:r w:rsidRPr="004A39C2">
        <w:rPr>
          <w:rStyle w:val="af7"/>
          <w:rFonts w:eastAsia="Guttman Hodes"/>
          <w:rtl/>
        </w:rPr>
        <w:fldChar w:fldCharType="begin"/>
      </w:r>
      <w:r w:rsidRPr="004A39C2">
        <w:rPr>
          <w:rStyle w:val="af7"/>
          <w:rFonts w:eastAsia="Guttman Hodes"/>
          <w:rtl/>
        </w:rPr>
        <w:instrText xml:space="preserve"> </w:instrText>
      </w:r>
      <w:r w:rsidRPr="004A39C2">
        <w:rPr>
          <w:rStyle w:val="af7"/>
          <w:rFonts w:eastAsia="Guttman Hodes" w:hint="cs"/>
        </w:rPr>
        <w:instrText>REF</w:instrText>
      </w:r>
      <w:r w:rsidRPr="004A39C2">
        <w:rPr>
          <w:rStyle w:val="af7"/>
          <w:rFonts w:eastAsia="Guttman Hodes" w:hint="cs"/>
          <w:rtl/>
        </w:rPr>
        <w:instrText xml:space="preserve"> _</w:instrText>
      </w:r>
      <w:r w:rsidRPr="004A39C2">
        <w:rPr>
          <w:rStyle w:val="af7"/>
          <w:rFonts w:eastAsia="Guttman Hodes" w:hint="cs"/>
        </w:rPr>
        <w:instrText>Ref4605710 \r \h</w:instrText>
      </w:r>
      <w:r w:rsidRPr="004A39C2">
        <w:rPr>
          <w:rStyle w:val="af7"/>
          <w:rFonts w:eastAsia="Guttman Hodes"/>
          <w:rtl/>
        </w:rPr>
        <w:instrText xml:space="preserve"> </w:instrText>
      </w:r>
      <w:r w:rsidRPr="004A39C2">
        <w:rPr>
          <w:rStyle w:val="af7"/>
          <w:rFonts w:eastAsia="Guttman Hodes"/>
          <w:rtl/>
        </w:rPr>
      </w:r>
      <w:r w:rsidRPr="004A39C2">
        <w:rPr>
          <w:rStyle w:val="af7"/>
          <w:rFonts w:eastAsia="Guttman Hodes"/>
          <w:rtl/>
        </w:rPr>
        <w:fldChar w:fldCharType="separate"/>
      </w:r>
      <w:r w:rsidR="00345400">
        <w:rPr>
          <w:rStyle w:val="af7"/>
          <w:rFonts w:eastAsia="Guttman Hodes"/>
          <w:cs/>
        </w:rPr>
        <w:t>‎</w:t>
      </w:r>
      <w:r w:rsidR="00345400">
        <w:rPr>
          <w:rStyle w:val="af7"/>
          <w:rFonts w:eastAsia="Guttman Hodes"/>
          <w:rtl/>
        </w:rPr>
        <w:t>טז)</w:t>
      </w:r>
      <w:r w:rsidRPr="004A39C2">
        <w:rPr>
          <w:rStyle w:val="af7"/>
          <w:rFonts w:eastAsia="Guttman Hodes"/>
          <w:rtl/>
        </w:rPr>
        <w:fldChar w:fldCharType="end"/>
      </w:r>
      <w:r>
        <w:rPr>
          <w:rFonts w:hint="cs"/>
          <w:rtl/>
        </w:rPr>
        <w:t xml:space="preserve"> דהולד אסור באיסור טריפה, ומותר מאיסור אינו זבוח, וביאר רבי ראובן את דברי </w:t>
      </w:r>
      <w:r w:rsidRPr="00737B7C">
        <w:rPr>
          <w:rStyle w:val="af9"/>
          <w:rFonts w:hint="cs"/>
          <w:rtl/>
        </w:rPr>
        <w:t xml:space="preserve">הגרעק"א </w:t>
      </w:r>
      <w:r>
        <w:rPr>
          <w:rFonts w:hint="cs"/>
          <w:rtl/>
        </w:rPr>
        <w:t>עפ"י</w:t>
      </w:r>
      <w:r w:rsidRPr="00484AE8">
        <w:rPr>
          <w:rFonts w:hint="cs"/>
          <w:rtl/>
        </w:rPr>
        <w:t xml:space="preserve"> דברי </w:t>
      </w:r>
      <w:r w:rsidRPr="00737B7C">
        <w:rPr>
          <w:rStyle w:val="af9"/>
          <w:rFonts w:hint="cs"/>
          <w:rtl/>
        </w:rPr>
        <w:t xml:space="preserve">הגר"ח </w:t>
      </w:r>
      <w:r w:rsidRPr="00295D84">
        <w:rPr>
          <w:rStyle w:val="af7"/>
          <w:rFonts w:eastAsia="Guttman Hodes" w:hint="cs"/>
          <w:rtl/>
        </w:rPr>
        <w:t xml:space="preserve">(עי' אות </w:t>
      </w:r>
      <w:r w:rsidRPr="00295D84">
        <w:rPr>
          <w:rStyle w:val="af7"/>
          <w:rFonts w:eastAsia="Guttman Hodes"/>
          <w:rtl/>
        </w:rPr>
        <w:fldChar w:fldCharType="begin"/>
      </w:r>
      <w:r w:rsidRPr="00295D84">
        <w:rPr>
          <w:rStyle w:val="af7"/>
          <w:rFonts w:eastAsia="Guttman Hodes"/>
          <w:rtl/>
        </w:rPr>
        <w:instrText xml:space="preserve"> </w:instrText>
      </w:r>
      <w:r w:rsidRPr="00295D84">
        <w:rPr>
          <w:rStyle w:val="af7"/>
          <w:rFonts w:eastAsia="Guttman Hodes" w:hint="cs"/>
        </w:rPr>
        <w:instrText>REF</w:instrText>
      </w:r>
      <w:r w:rsidRPr="00295D84">
        <w:rPr>
          <w:rStyle w:val="af7"/>
          <w:rFonts w:eastAsia="Guttman Hodes" w:hint="cs"/>
          <w:rtl/>
        </w:rPr>
        <w:instrText xml:space="preserve"> _</w:instrText>
      </w:r>
      <w:r w:rsidRPr="00295D84">
        <w:rPr>
          <w:rStyle w:val="af7"/>
          <w:rFonts w:eastAsia="Guttman Hodes" w:hint="cs"/>
        </w:rPr>
        <w:instrText>Ref4666209 \r \h</w:instrText>
      </w:r>
      <w:r w:rsidRPr="00295D84">
        <w:rPr>
          <w:rStyle w:val="af7"/>
          <w:rFonts w:eastAsia="Guttman Hodes"/>
          <w:rtl/>
        </w:rPr>
        <w:instrText xml:space="preserve"> </w:instrText>
      </w:r>
      <w:r w:rsidRPr="00295D84">
        <w:rPr>
          <w:rStyle w:val="af7"/>
          <w:rFonts w:eastAsia="Guttman Hodes"/>
          <w:rtl/>
        </w:rPr>
      </w:r>
      <w:r w:rsidRPr="00295D84">
        <w:rPr>
          <w:rStyle w:val="af7"/>
          <w:rFonts w:eastAsia="Guttman Hodes"/>
          <w:rtl/>
        </w:rPr>
        <w:fldChar w:fldCharType="separate"/>
      </w:r>
      <w:r w:rsidR="00345400">
        <w:rPr>
          <w:rStyle w:val="af7"/>
          <w:rFonts w:eastAsia="Guttman Hodes"/>
          <w:cs/>
        </w:rPr>
        <w:t>‎</w:t>
      </w:r>
      <w:r w:rsidR="00345400">
        <w:rPr>
          <w:rStyle w:val="af7"/>
          <w:rFonts w:eastAsia="Guttman Hodes"/>
          <w:rtl/>
        </w:rPr>
        <w:t>לט)</w:t>
      </w:r>
      <w:r w:rsidRPr="00295D84">
        <w:rPr>
          <w:rStyle w:val="af7"/>
          <w:rFonts w:eastAsia="Guttman Hodes"/>
          <w:rtl/>
        </w:rPr>
        <w:fldChar w:fldCharType="end"/>
      </w:r>
      <w:r>
        <w:rPr>
          <w:rStyle w:val="af9"/>
          <w:rFonts w:hint="cs"/>
          <w:rtl/>
        </w:rPr>
        <w:t xml:space="preserve"> </w:t>
      </w:r>
      <w:r w:rsidRPr="00484AE8">
        <w:rPr>
          <w:rFonts w:hint="cs"/>
          <w:rtl/>
        </w:rPr>
        <w:t xml:space="preserve">דטריפה היא מקצת מתה, </w:t>
      </w:r>
      <w:r>
        <w:rPr>
          <w:rFonts w:hint="cs"/>
          <w:rtl/>
        </w:rPr>
        <w:t xml:space="preserve">ועד כמה שהיא טריפה, אין בה שחיטה ואף בולד חסר דין שחיטה, ולכן כשמת הולד בלא שחיטה, כיון דאמו הטריפה חשיבא כמתה קצת מאליה, אף חשיב הולד כמת קצת מאליו כמו השיעור שהייתה חשיבא אמו הטריפה כמתה מאליה, והוסיף </w:t>
      </w:r>
      <w:r w:rsidRPr="00737B7C">
        <w:rPr>
          <w:rStyle w:val="af9"/>
          <w:rFonts w:hint="cs"/>
          <w:rtl/>
        </w:rPr>
        <w:t xml:space="preserve">רבי ראובן </w:t>
      </w:r>
      <w:r>
        <w:rPr>
          <w:rFonts w:hint="cs"/>
          <w:rtl/>
        </w:rPr>
        <w:t xml:space="preserve">דלפי דברי </w:t>
      </w:r>
      <w:r w:rsidRPr="00737B7C">
        <w:rPr>
          <w:rStyle w:val="af9"/>
          <w:rFonts w:hint="cs"/>
          <w:rtl/>
        </w:rPr>
        <w:t xml:space="preserve">הגר"ח </w:t>
      </w:r>
      <w:r>
        <w:rPr>
          <w:rFonts w:hint="cs"/>
          <w:rtl/>
        </w:rPr>
        <w:t>גדר איסור טריפה הוא דהוי כמקצת נבילה.</w:t>
      </w:r>
      <w:bookmarkEnd w:id="26435"/>
    </w:p>
    <w:p w14:paraId="61235599" w14:textId="77777777" w:rsidR="003D504D" w:rsidRPr="006A0A0A" w:rsidRDefault="003D504D" w:rsidP="003D504D">
      <w:pPr>
        <w:pStyle w:val="a3"/>
        <w:rPr>
          <w:rtl/>
        </w:rPr>
      </w:pPr>
      <w:bookmarkStart w:id="26436" w:name="_Toc4704796"/>
      <w:bookmarkStart w:id="26437" w:name="_Toc4761955"/>
      <w:bookmarkStart w:id="26438" w:name="_Toc4877664"/>
      <w:bookmarkStart w:id="26439" w:name="_Toc4877991"/>
      <w:bookmarkStart w:id="26440" w:name="_Toc4878135"/>
      <w:bookmarkStart w:id="26441" w:name="_Toc19392251"/>
      <w:bookmarkStart w:id="26442" w:name="_Toc19395748"/>
      <w:r>
        <w:rPr>
          <w:rFonts w:hint="cs"/>
          <w:rtl/>
        </w:rPr>
        <w:t>קושית רבי ראובן דאי טריפה היא קצת מתה מאליה אסורה באינו זבוח ודלא כהגרעק"א</w:t>
      </w:r>
      <w:bookmarkEnd w:id="26436"/>
      <w:bookmarkEnd w:id="26437"/>
      <w:bookmarkEnd w:id="26438"/>
      <w:bookmarkEnd w:id="26439"/>
      <w:bookmarkEnd w:id="26440"/>
      <w:bookmarkEnd w:id="26441"/>
      <w:bookmarkEnd w:id="26442"/>
    </w:p>
    <w:p w14:paraId="2397C605" w14:textId="77777777" w:rsidR="003D504D" w:rsidRDefault="003D504D" w:rsidP="00223668">
      <w:pPr>
        <w:pStyle w:val="a0"/>
        <w:rPr>
          <w:rtl/>
        </w:rPr>
      </w:pPr>
      <w:r>
        <w:rPr>
          <w:rFonts w:hint="cs"/>
          <w:rtl/>
        </w:rPr>
        <w:t xml:space="preserve">אך הקשה </w:t>
      </w:r>
      <w:r w:rsidRPr="00737B7C">
        <w:rPr>
          <w:rStyle w:val="af9"/>
          <w:rFonts w:hint="cs"/>
          <w:rtl/>
        </w:rPr>
        <w:t xml:space="preserve">רבי ראובן </w:t>
      </w:r>
      <w:r>
        <w:rPr>
          <w:rFonts w:hint="cs"/>
          <w:rtl/>
        </w:rPr>
        <w:t xml:space="preserve">על </w:t>
      </w:r>
      <w:r w:rsidRPr="00737B7C">
        <w:rPr>
          <w:rStyle w:val="af9"/>
          <w:rFonts w:hint="cs"/>
          <w:rtl/>
        </w:rPr>
        <w:t xml:space="preserve">הגרעק"א </w:t>
      </w:r>
      <w:r>
        <w:rPr>
          <w:rFonts w:hint="cs"/>
          <w:rtl/>
        </w:rPr>
        <w:t xml:space="preserve">דאי חשיבא כטריפה וכמתה קצת מאיליה, א"כ יש בה גם איסור אינו זבוח, ולא כדברי </w:t>
      </w:r>
      <w:r w:rsidRPr="006A0A0A">
        <w:rPr>
          <w:rStyle w:val="af9"/>
          <w:rFonts w:hint="cs"/>
          <w:rtl/>
        </w:rPr>
        <w:t>הגרעק"א</w:t>
      </w:r>
      <w:r>
        <w:rPr>
          <w:rFonts w:hint="cs"/>
          <w:rtl/>
        </w:rPr>
        <w:t xml:space="preserve"> דכתב דהלוד מותר מדין אינו זבוח, ואסור בטריפה.</w:t>
      </w:r>
    </w:p>
    <w:p w14:paraId="109475D3" w14:textId="77777777" w:rsidR="003D504D" w:rsidRDefault="003D504D" w:rsidP="00BF39B2">
      <w:pPr>
        <w:pStyle w:val="1"/>
        <w:rPr>
          <w:rtl/>
        </w:rPr>
      </w:pPr>
      <w:bookmarkStart w:id="26443" w:name="_Toc4761986"/>
      <w:bookmarkStart w:id="26444" w:name="_Toc4877696"/>
      <w:bookmarkStart w:id="26445" w:name="_Toc4877992"/>
      <w:bookmarkStart w:id="26446" w:name="_Toc4878136"/>
      <w:bookmarkStart w:id="26447" w:name="_Toc19392252"/>
      <w:bookmarkStart w:id="26448" w:name="_Toc19395749"/>
      <w:bookmarkStart w:id="26449" w:name="_Toc4877665"/>
      <w:bookmarkStart w:id="26450" w:name="_Toc4402621"/>
      <w:bookmarkStart w:id="26451" w:name="_Toc4540594"/>
      <w:bookmarkStart w:id="26452" w:name="_Toc4606384"/>
      <w:bookmarkStart w:id="26453" w:name="_Toc4618179"/>
      <w:bookmarkStart w:id="26454" w:name="_Toc4704799"/>
      <w:bookmarkStart w:id="26455" w:name="_Toc4761957"/>
      <w:bookmarkEnd w:id="26274"/>
      <w:r w:rsidRPr="00671803">
        <w:rPr>
          <w:rFonts w:hint="cs"/>
          <w:rtl/>
        </w:rPr>
        <w:t>דברי הקה"י</w:t>
      </w:r>
      <w:bookmarkEnd w:id="26443"/>
      <w:r>
        <w:rPr>
          <w:rFonts w:hint="cs"/>
          <w:rtl/>
        </w:rPr>
        <w:t xml:space="preserve"> בביאור דברי הגרעק"א דהולד אסור בטריפה כאמו</w:t>
      </w:r>
      <w:bookmarkEnd w:id="26444"/>
      <w:bookmarkEnd w:id="26445"/>
      <w:bookmarkEnd w:id="26446"/>
      <w:bookmarkEnd w:id="26447"/>
      <w:bookmarkEnd w:id="26448"/>
    </w:p>
    <w:p w14:paraId="2A78E87C" w14:textId="77777777" w:rsidR="003D504D" w:rsidRDefault="003D504D" w:rsidP="003D504D">
      <w:pPr>
        <w:pStyle w:val="a3"/>
        <w:rPr>
          <w:rtl/>
        </w:rPr>
      </w:pPr>
      <w:bookmarkStart w:id="26456" w:name="_Toc4877697"/>
      <w:bookmarkStart w:id="26457" w:name="_Toc4877993"/>
      <w:bookmarkStart w:id="26458" w:name="_Toc4878137"/>
      <w:bookmarkStart w:id="26459" w:name="_Toc19392253"/>
      <w:bookmarkStart w:id="26460" w:name="_Toc19395750"/>
      <w:r>
        <w:rPr>
          <w:rFonts w:hint="cs"/>
          <w:rtl/>
        </w:rPr>
        <w:t>קושית הקה"י אמאי שחיטת הטריפה אינה מתירה את הולד הרי השחיטה בטריפה היא כמו בכשרה</w:t>
      </w:r>
      <w:bookmarkEnd w:id="26456"/>
      <w:bookmarkEnd w:id="26457"/>
      <w:bookmarkEnd w:id="26458"/>
      <w:bookmarkEnd w:id="26459"/>
      <w:bookmarkEnd w:id="26460"/>
    </w:p>
    <w:p w14:paraId="7B7BA5CD" w14:textId="77777777" w:rsidR="003D504D" w:rsidRDefault="003D504D" w:rsidP="00223668">
      <w:pPr>
        <w:pStyle w:val="a0"/>
        <w:rPr>
          <w:rtl/>
        </w:rPr>
      </w:pPr>
      <w:r>
        <w:rPr>
          <w:rFonts w:hint="cs"/>
          <w:rtl/>
        </w:rPr>
        <w:t xml:space="preserve">הקשה </w:t>
      </w:r>
      <w:r w:rsidRPr="00217163">
        <w:rPr>
          <w:rStyle w:val="af9"/>
          <w:rFonts w:hint="cs"/>
          <w:rtl/>
        </w:rPr>
        <w:t>הקה"י</w:t>
      </w:r>
      <w:r>
        <w:rPr>
          <w:rFonts w:hint="cs"/>
          <w:rtl/>
        </w:rPr>
        <w:t xml:space="preserve"> </w:t>
      </w:r>
      <w:r w:rsidRPr="00217163">
        <w:rPr>
          <w:rStyle w:val="af7"/>
          <w:rFonts w:eastAsia="Guttman Hodes" w:hint="cs"/>
          <w:rtl/>
        </w:rPr>
        <w:t>(סי' כ')</w:t>
      </w:r>
      <w:r>
        <w:rPr>
          <w:rFonts w:hint="cs"/>
          <w:rtl/>
        </w:rPr>
        <w:t xml:space="preserve"> אמאי לא מהני שחיטת הטריפה להתיר את העובר, הרי שחיטת טריפה היא שחיטה גמורה וההיתר שהשחיטה מתירה בטריפה, הוא אותו ההיתר שהיא מתירה בכשרה, אלא דבטריפה יש איסור אחר שאוסר אותה, דהיא טריפה ואסורה באכילה, אך בשחיטה אין כל חסרון, וכיון דהעובר אינו טריפה </w:t>
      </w:r>
      <w:r w:rsidRPr="00217163">
        <w:rPr>
          <w:rStyle w:val="afb"/>
          <w:rFonts w:hint="cs"/>
          <w:rtl/>
        </w:rPr>
        <w:t>[כדמוכח מהא דמותר באכילה בשחיטת עצמו]</w:t>
      </w:r>
      <w:r>
        <w:rPr>
          <w:rFonts w:hint="cs"/>
          <w:rtl/>
        </w:rPr>
        <w:t>, אמאי לא מהני לו שחיטת אמו הטריפה.</w:t>
      </w:r>
    </w:p>
    <w:p w14:paraId="5194919F" w14:textId="77777777" w:rsidR="003D504D" w:rsidRDefault="003D504D" w:rsidP="003D504D">
      <w:pPr>
        <w:pStyle w:val="a3"/>
        <w:rPr>
          <w:rtl/>
        </w:rPr>
      </w:pPr>
      <w:bookmarkStart w:id="26461" w:name="_Toc4877698"/>
      <w:bookmarkStart w:id="26462" w:name="_Toc4877994"/>
      <w:bookmarkStart w:id="26463" w:name="_Toc4878138"/>
      <w:bookmarkStart w:id="26464" w:name="_Toc19392254"/>
      <w:bookmarkStart w:id="26465" w:name="_Toc19395751"/>
      <w:r>
        <w:rPr>
          <w:rFonts w:hint="cs"/>
          <w:rtl/>
        </w:rPr>
        <w:t>קושית הקה"י מדין מה אסור הולד הא חשיב כזבוח לענין נבילה ואינו חי אחר שמת והוא אינו טריפה</w:t>
      </w:r>
      <w:bookmarkEnd w:id="26461"/>
      <w:bookmarkEnd w:id="26462"/>
      <w:bookmarkEnd w:id="26463"/>
      <w:bookmarkEnd w:id="26464"/>
      <w:bookmarkEnd w:id="26465"/>
    </w:p>
    <w:p w14:paraId="4BA36D2F" w14:textId="77777777" w:rsidR="003D504D" w:rsidRDefault="003D504D" w:rsidP="00223668">
      <w:pPr>
        <w:pStyle w:val="a0"/>
        <w:rPr>
          <w:rtl/>
        </w:rPr>
      </w:pPr>
      <w:r>
        <w:rPr>
          <w:rFonts w:hint="cs"/>
          <w:rtl/>
        </w:rPr>
        <w:t xml:space="preserve">ועוד הקשה </w:t>
      </w:r>
      <w:r w:rsidRPr="002D6DFA">
        <w:rPr>
          <w:rStyle w:val="af9"/>
          <w:rFonts w:hint="cs"/>
          <w:rtl/>
        </w:rPr>
        <w:t>הקה"י</w:t>
      </w:r>
      <w:r>
        <w:rPr>
          <w:rFonts w:hint="cs"/>
          <w:rtl/>
        </w:rPr>
        <w:t xml:space="preserve"> מהו איסורו של הולד, הרי מהא דאיתא בסוגיין דשחיטת אמו הטריפה מטהרתו מטומאת נבילה, מוכח דיש לו שם זבוח, ולכן אינו מטמא בנבילה, וכיון דהוא חשיב כזבוח, א"כ בפשטות לא שייך בו איסור אינו זבוח ואיסור אבר מן החי, וכ"ש אחר שמת דאין בו אבר מן החי, דהא מת לפנינו, ואיסור טריפה אין בו דהוא עצמו אינו טריפה, וא"כ צ"ב מהו איסורו.</w:t>
      </w:r>
    </w:p>
    <w:p w14:paraId="57A0778B" w14:textId="77777777" w:rsidR="003D504D" w:rsidRDefault="003D504D" w:rsidP="003D504D">
      <w:pPr>
        <w:pStyle w:val="a3"/>
        <w:rPr>
          <w:rtl/>
        </w:rPr>
      </w:pPr>
      <w:bookmarkStart w:id="26466" w:name="_Toc4877699"/>
      <w:bookmarkStart w:id="26467" w:name="_Toc4877995"/>
      <w:bookmarkStart w:id="26468" w:name="_Toc4878139"/>
      <w:bookmarkStart w:id="26469" w:name="_Toc19392255"/>
      <w:bookmarkStart w:id="26470" w:name="_Toc19395752"/>
      <w:r>
        <w:rPr>
          <w:rFonts w:hint="cs"/>
          <w:rtl/>
        </w:rPr>
        <w:t>ביאור הקה"י בגרעק"א דגדר ד' סימנים דדינו או כאבר דאמו לגמרי או כבהמה בפנ"ע לגמרי</w:t>
      </w:r>
      <w:bookmarkEnd w:id="26466"/>
      <w:bookmarkEnd w:id="26467"/>
      <w:bookmarkEnd w:id="26468"/>
      <w:bookmarkEnd w:id="26469"/>
      <w:bookmarkEnd w:id="26470"/>
    </w:p>
    <w:p w14:paraId="4216F6AC" w14:textId="77777777" w:rsidR="003D504D" w:rsidRDefault="003D504D" w:rsidP="00223668">
      <w:pPr>
        <w:pStyle w:val="a0"/>
        <w:rPr>
          <w:rtl/>
        </w:rPr>
      </w:pPr>
      <w:bookmarkStart w:id="26471" w:name="_Ref4491685"/>
      <w:r>
        <w:rPr>
          <w:rFonts w:hint="cs"/>
          <w:rtl/>
        </w:rPr>
        <w:t xml:space="preserve">והביא </w:t>
      </w:r>
      <w:r w:rsidRPr="002D6DFA">
        <w:rPr>
          <w:rStyle w:val="af9"/>
          <w:rFonts w:hint="cs"/>
          <w:rtl/>
        </w:rPr>
        <w:t>הקה"</w:t>
      </w:r>
      <w:r>
        <w:rPr>
          <w:rFonts w:hint="cs"/>
          <w:rtl/>
        </w:rPr>
        <w:t xml:space="preserve">י את דברי </w:t>
      </w:r>
      <w:r w:rsidRPr="002D6DFA">
        <w:rPr>
          <w:rStyle w:val="af9"/>
          <w:rFonts w:hint="cs"/>
          <w:rtl/>
        </w:rPr>
        <w:t>הגרעק"א</w:t>
      </w:r>
      <w:r>
        <w:rPr>
          <w:rFonts w:hint="cs"/>
          <w:rtl/>
        </w:rPr>
        <w:t xml:space="preserve"> </w:t>
      </w:r>
      <w:r w:rsidRPr="005909E9">
        <w:rPr>
          <w:rStyle w:val="af7"/>
          <w:rFonts w:eastAsia="Guttman Hodes" w:hint="cs"/>
          <w:rtl/>
        </w:rPr>
        <w:t xml:space="preserve">(עי' אות </w:t>
      </w:r>
      <w:r w:rsidRPr="005909E9">
        <w:rPr>
          <w:rStyle w:val="af7"/>
          <w:rFonts w:eastAsia="Guttman Hodes"/>
          <w:rtl/>
        </w:rPr>
        <w:fldChar w:fldCharType="begin"/>
      </w:r>
      <w:r w:rsidRPr="005909E9">
        <w:rPr>
          <w:rStyle w:val="af7"/>
          <w:rFonts w:eastAsia="Guttman Hodes"/>
          <w:rtl/>
        </w:rPr>
        <w:instrText xml:space="preserve"> </w:instrText>
      </w:r>
      <w:r w:rsidRPr="005909E9">
        <w:rPr>
          <w:rStyle w:val="af7"/>
          <w:rFonts w:eastAsia="Guttman Hodes" w:hint="cs"/>
        </w:rPr>
        <w:instrText>REF</w:instrText>
      </w:r>
      <w:r w:rsidRPr="005909E9">
        <w:rPr>
          <w:rStyle w:val="af7"/>
          <w:rFonts w:eastAsia="Guttman Hodes" w:hint="cs"/>
          <w:rtl/>
        </w:rPr>
        <w:instrText xml:space="preserve"> _</w:instrText>
      </w:r>
      <w:r w:rsidRPr="005909E9">
        <w:rPr>
          <w:rStyle w:val="af7"/>
          <w:rFonts w:eastAsia="Guttman Hodes" w:hint="cs"/>
        </w:rPr>
        <w:instrText>Ref4490584 \r \h</w:instrText>
      </w:r>
      <w:r w:rsidRPr="005909E9">
        <w:rPr>
          <w:rStyle w:val="af7"/>
          <w:rFonts w:eastAsia="Guttman Hodes"/>
          <w:rtl/>
        </w:rPr>
        <w:instrText xml:space="preserve"> </w:instrText>
      </w:r>
      <w:r w:rsidRPr="005909E9">
        <w:rPr>
          <w:rStyle w:val="af7"/>
          <w:rFonts w:eastAsia="Guttman Hodes"/>
          <w:rtl/>
        </w:rPr>
      </w:r>
      <w:r w:rsidRPr="005909E9">
        <w:rPr>
          <w:rStyle w:val="af7"/>
          <w:rFonts w:eastAsia="Guttman Hodes"/>
          <w:rtl/>
        </w:rPr>
        <w:fldChar w:fldCharType="separate"/>
      </w:r>
      <w:r w:rsidR="00345400">
        <w:rPr>
          <w:rStyle w:val="af7"/>
          <w:rFonts w:eastAsia="Guttman Hodes"/>
          <w:cs/>
        </w:rPr>
        <w:t>‎</w:t>
      </w:r>
      <w:r w:rsidR="00345400">
        <w:rPr>
          <w:rStyle w:val="af7"/>
          <w:rFonts w:eastAsia="Guttman Hodes"/>
          <w:rtl/>
        </w:rPr>
        <w:t>יח)</w:t>
      </w:r>
      <w:r w:rsidRPr="005909E9">
        <w:rPr>
          <w:rStyle w:val="af7"/>
          <w:rFonts w:eastAsia="Guttman Hodes"/>
          <w:rtl/>
        </w:rPr>
        <w:fldChar w:fldCharType="end"/>
      </w:r>
      <w:r>
        <w:rPr>
          <w:rFonts w:hint="cs"/>
          <w:rtl/>
        </w:rPr>
        <w:t xml:space="preserve"> דכתב דכ"ז שהולד לא נשחט ורוצים להתירו ע"י שחיטת אמו, יש עליו איסור טריפה, וביאר </w:t>
      </w:r>
      <w:r w:rsidRPr="002D6DFA">
        <w:rPr>
          <w:rStyle w:val="af9"/>
          <w:rFonts w:hint="cs"/>
          <w:rtl/>
        </w:rPr>
        <w:t>הקה"י</w:t>
      </w:r>
      <w:r>
        <w:rPr>
          <w:rFonts w:hint="cs"/>
          <w:rtl/>
        </w:rPr>
        <w:t xml:space="preserve"> את דברי </w:t>
      </w:r>
      <w:r w:rsidRPr="002D6DFA">
        <w:rPr>
          <w:rStyle w:val="af9"/>
          <w:rFonts w:hint="cs"/>
          <w:rtl/>
        </w:rPr>
        <w:t>הגרעק"א</w:t>
      </w:r>
      <w:r>
        <w:rPr>
          <w:rFonts w:hint="cs"/>
          <w:rtl/>
        </w:rPr>
        <w:t xml:space="preserve"> דהא דד' סימנים אכשר ביה רחמנא, היינו שאפשר להחשיבו כאבר מאברי אמו ולהתירו בשחיטתה, ואפשר להחשיבו כבהמה בפנ"ע ולהתירו בשחיטת עצמו, וכ"ז שאנו באים להתירו מכח שחיטת אמו, אנו מחשיבים אותו כאבר מאברי אמו, ולכן כיון שבאמו יש איסור טריפה, חל אף עליו אותו האיסור, דא"א לחלק ולומר דלענין היתר השחיטה חשיב כאבר דאמו, ולענין איסור טריפה אינו אבר דאמו, אבל אחר שנשחט בשחיטת עצמו, ביאר </w:t>
      </w:r>
      <w:r w:rsidRPr="002D6DFA">
        <w:rPr>
          <w:rStyle w:val="af9"/>
          <w:rFonts w:hint="cs"/>
          <w:rtl/>
        </w:rPr>
        <w:t>הקה"י</w:t>
      </w:r>
      <w:r>
        <w:rPr>
          <w:rFonts w:hint="cs"/>
          <w:rtl/>
        </w:rPr>
        <w:t xml:space="preserve"> את דברי </w:t>
      </w:r>
      <w:r w:rsidRPr="002D6DFA">
        <w:rPr>
          <w:rStyle w:val="af9"/>
          <w:rFonts w:hint="cs"/>
          <w:rtl/>
        </w:rPr>
        <w:t>הגרעק"א</w:t>
      </w:r>
      <w:r>
        <w:rPr>
          <w:rFonts w:hint="cs"/>
          <w:rtl/>
        </w:rPr>
        <w:t xml:space="preserve"> דכיון שאנו לא באים להתירו מכח שחיטת אמו, א"כ הוא חשיב כבהמה בפנ"ע, ובו עצמו אין איסור טריפה, וע"ע במה שביאר </w:t>
      </w:r>
      <w:r w:rsidRPr="0090741A">
        <w:rPr>
          <w:rStyle w:val="af9"/>
          <w:rFonts w:hint="cs"/>
          <w:rtl/>
        </w:rPr>
        <w:t>הקה"י בב"ק</w:t>
      </w:r>
      <w:r>
        <w:rPr>
          <w:rFonts w:hint="cs"/>
          <w:rtl/>
        </w:rPr>
        <w:t xml:space="preserve"> </w:t>
      </w:r>
      <w:r w:rsidRPr="00E50F9D">
        <w:rPr>
          <w:rStyle w:val="af7"/>
          <w:rFonts w:eastAsia="Guttman Hodes" w:hint="cs"/>
          <w:rtl/>
        </w:rPr>
        <w:t xml:space="preserve">(עי' אות </w:t>
      </w:r>
      <w:r w:rsidRPr="00E50F9D">
        <w:rPr>
          <w:rStyle w:val="af7"/>
          <w:rFonts w:eastAsia="Guttman Hodes"/>
          <w:rtl/>
        </w:rPr>
        <w:fldChar w:fldCharType="begin"/>
      </w:r>
      <w:r w:rsidRPr="00E50F9D">
        <w:rPr>
          <w:rStyle w:val="af7"/>
          <w:rFonts w:eastAsia="Guttman Hodes"/>
          <w:rtl/>
        </w:rPr>
        <w:instrText xml:space="preserve"> </w:instrText>
      </w:r>
      <w:r w:rsidRPr="00E50F9D">
        <w:rPr>
          <w:rStyle w:val="af7"/>
          <w:rFonts w:eastAsia="Guttman Hodes" w:hint="cs"/>
        </w:rPr>
        <w:instrText>REF</w:instrText>
      </w:r>
      <w:r w:rsidRPr="00E50F9D">
        <w:rPr>
          <w:rStyle w:val="af7"/>
          <w:rFonts w:eastAsia="Guttman Hodes" w:hint="cs"/>
          <w:rtl/>
        </w:rPr>
        <w:instrText xml:space="preserve"> _</w:instrText>
      </w:r>
      <w:r w:rsidRPr="00E50F9D">
        <w:rPr>
          <w:rStyle w:val="af7"/>
          <w:rFonts w:eastAsia="Guttman Hodes" w:hint="cs"/>
        </w:rPr>
        <w:instrText>Ref4874227 \r \h</w:instrText>
      </w:r>
      <w:r w:rsidRPr="00E50F9D">
        <w:rPr>
          <w:rStyle w:val="af7"/>
          <w:rFonts w:eastAsia="Guttman Hodes"/>
          <w:rtl/>
        </w:rPr>
        <w:instrText xml:space="preserve"> </w:instrText>
      </w:r>
      <w:r w:rsidRPr="00E50F9D">
        <w:rPr>
          <w:rStyle w:val="af7"/>
          <w:rFonts w:eastAsia="Guttman Hodes"/>
          <w:rtl/>
        </w:rPr>
      </w:r>
      <w:r w:rsidRPr="00E50F9D">
        <w:rPr>
          <w:rStyle w:val="af7"/>
          <w:rFonts w:eastAsia="Guttman Hodes"/>
          <w:rtl/>
        </w:rPr>
        <w:fldChar w:fldCharType="separate"/>
      </w:r>
      <w:r w:rsidR="00345400">
        <w:rPr>
          <w:rStyle w:val="af7"/>
          <w:rFonts w:eastAsia="Guttman Hodes"/>
          <w:cs/>
        </w:rPr>
        <w:t>‎</w:t>
      </w:r>
      <w:r w:rsidR="00345400">
        <w:rPr>
          <w:rStyle w:val="af7"/>
          <w:rFonts w:eastAsia="Guttman Hodes"/>
          <w:rtl/>
        </w:rPr>
        <w:t>סט)</w:t>
      </w:r>
      <w:r w:rsidRPr="00E50F9D">
        <w:rPr>
          <w:rStyle w:val="af7"/>
          <w:rFonts w:eastAsia="Guttman Hodes"/>
          <w:rtl/>
        </w:rPr>
        <w:fldChar w:fldCharType="end"/>
      </w:r>
      <w:r>
        <w:rPr>
          <w:rFonts w:hint="cs"/>
          <w:rtl/>
        </w:rPr>
        <w:t xml:space="preserve"> בדברי </w:t>
      </w:r>
      <w:r w:rsidRPr="0090741A">
        <w:rPr>
          <w:rStyle w:val="af9"/>
          <w:rFonts w:hint="cs"/>
          <w:rtl/>
        </w:rPr>
        <w:t>הגרעק"א</w:t>
      </w:r>
      <w:r>
        <w:rPr>
          <w:rFonts w:hint="cs"/>
          <w:rtl/>
        </w:rPr>
        <w:t>.</w:t>
      </w:r>
      <w:bookmarkEnd w:id="26471"/>
    </w:p>
    <w:p w14:paraId="060202E6" w14:textId="77777777" w:rsidR="00B07C71" w:rsidRPr="00B07C71" w:rsidRDefault="00B07C71" w:rsidP="00B07C71">
      <w:pPr>
        <w:pStyle w:val="a3"/>
        <w:rPr>
          <w:rtl/>
        </w:rPr>
      </w:pPr>
    </w:p>
    <w:p w14:paraId="1635DFF0" w14:textId="77777777" w:rsidR="00B07C71" w:rsidRPr="00B07C71" w:rsidRDefault="00B07C71" w:rsidP="00B07C71">
      <w:pPr>
        <w:pStyle w:val="a3"/>
        <w:rPr>
          <w:rtl/>
        </w:rPr>
      </w:pPr>
    </w:p>
    <w:p w14:paraId="2BDCBE60" w14:textId="77777777" w:rsidR="003D504D" w:rsidRDefault="003D504D" w:rsidP="003D504D">
      <w:pPr>
        <w:pStyle w:val="afe"/>
        <w:rPr>
          <w:rtl/>
        </w:rPr>
      </w:pPr>
      <w:bookmarkStart w:id="26472" w:name="_Toc4877996"/>
      <w:bookmarkStart w:id="26473" w:name="_Toc4878140"/>
      <w:bookmarkStart w:id="26474" w:name="_Toc19436488"/>
      <w:bookmarkStart w:id="26475" w:name="_Toc20081594"/>
      <w:bookmarkStart w:id="26476" w:name="_Toc4877700"/>
      <w:r>
        <w:rPr>
          <w:rFonts w:hint="cs"/>
          <w:rtl/>
        </w:rPr>
        <w:t>בביאור דעת הרמב"ם</w:t>
      </w:r>
      <w:bookmarkEnd w:id="26472"/>
      <w:bookmarkEnd w:id="26473"/>
      <w:bookmarkEnd w:id="26474"/>
      <w:bookmarkEnd w:id="26475"/>
    </w:p>
    <w:p w14:paraId="4E802797" w14:textId="77777777" w:rsidR="003D504D" w:rsidRDefault="003D504D" w:rsidP="00BF39B2">
      <w:pPr>
        <w:pStyle w:val="1"/>
        <w:rPr>
          <w:rtl/>
        </w:rPr>
      </w:pPr>
      <w:bookmarkStart w:id="26477" w:name="_Toc4877997"/>
      <w:bookmarkStart w:id="26478" w:name="_Toc4878141"/>
      <w:bookmarkStart w:id="26479" w:name="_Toc19392256"/>
      <w:bookmarkStart w:id="26480" w:name="_Toc19395753"/>
      <w:r>
        <w:rPr>
          <w:rFonts w:hint="cs"/>
          <w:rtl/>
        </w:rPr>
        <w:t>דברי הקה"י דברש"י וברמב"ם מבואר כגרעק"א דדינו כטריפה</w:t>
      </w:r>
      <w:bookmarkEnd w:id="26476"/>
      <w:bookmarkEnd w:id="26477"/>
      <w:bookmarkEnd w:id="26478"/>
      <w:bookmarkEnd w:id="26479"/>
      <w:bookmarkEnd w:id="26480"/>
    </w:p>
    <w:p w14:paraId="257BA6F8" w14:textId="77777777" w:rsidR="003D504D" w:rsidRPr="00671803" w:rsidRDefault="003D504D" w:rsidP="003D504D">
      <w:pPr>
        <w:pStyle w:val="a3"/>
      </w:pPr>
      <w:bookmarkStart w:id="26481" w:name="_Toc4877701"/>
      <w:bookmarkStart w:id="26482" w:name="_Toc4877998"/>
      <w:bookmarkStart w:id="26483" w:name="_Toc4878142"/>
      <w:bookmarkStart w:id="26484" w:name="_Toc19392257"/>
      <w:bookmarkStart w:id="26485" w:name="_Toc19395754"/>
      <w:r>
        <w:rPr>
          <w:rFonts w:hint="cs"/>
          <w:rtl/>
        </w:rPr>
        <w:t>דברי הגרעק"א דכוונת רש"י דאי מותר בטריפה הוא כאבר דאמו היינו דהוא טריפה כאמו</w:t>
      </w:r>
      <w:bookmarkEnd w:id="26481"/>
      <w:bookmarkEnd w:id="26482"/>
      <w:bookmarkEnd w:id="26483"/>
      <w:bookmarkEnd w:id="26484"/>
      <w:bookmarkEnd w:id="26485"/>
    </w:p>
    <w:p w14:paraId="13C14D24" w14:textId="77777777" w:rsidR="003D504D" w:rsidRPr="00B428C2" w:rsidRDefault="003D504D" w:rsidP="00223668">
      <w:pPr>
        <w:pStyle w:val="a0"/>
        <w:rPr>
          <w:rtl/>
        </w:rPr>
      </w:pPr>
      <w:bookmarkStart w:id="26486" w:name="_Ref4492218"/>
      <w:r>
        <w:rPr>
          <w:rFonts w:hint="cs"/>
          <w:rtl/>
        </w:rPr>
        <w:t xml:space="preserve">וכתב </w:t>
      </w:r>
      <w:r w:rsidRPr="00AB0270">
        <w:rPr>
          <w:rStyle w:val="af9"/>
          <w:rFonts w:hint="cs"/>
          <w:rtl/>
        </w:rPr>
        <w:t>הקה"י</w:t>
      </w:r>
      <w:r>
        <w:rPr>
          <w:rFonts w:hint="cs"/>
          <w:rtl/>
        </w:rPr>
        <w:t xml:space="preserve"> </w:t>
      </w:r>
      <w:r w:rsidRPr="00AB0270">
        <w:rPr>
          <w:rStyle w:val="af7"/>
          <w:rFonts w:eastAsia="Guttman Hodes" w:hint="cs"/>
          <w:rtl/>
        </w:rPr>
        <w:t>(סי' כ' ד"ה וכנראה)</w:t>
      </w:r>
      <w:r>
        <w:rPr>
          <w:rFonts w:hint="cs"/>
          <w:rtl/>
        </w:rPr>
        <w:t xml:space="preserve"> דכן מבואר בדברי </w:t>
      </w:r>
      <w:r w:rsidRPr="00AB0270">
        <w:rPr>
          <w:rStyle w:val="af9"/>
          <w:rFonts w:hint="cs"/>
          <w:rtl/>
        </w:rPr>
        <w:t>רש"י</w:t>
      </w:r>
      <w:r>
        <w:rPr>
          <w:rFonts w:hint="cs"/>
          <w:rtl/>
        </w:rPr>
        <w:t xml:space="preserve"> </w:t>
      </w:r>
      <w:r w:rsidRPr="00AB0270">
        <w:rPr>
          <w:rStyle w:val="af7"/>
          <w:rFonts w:eastAsia="Guttman Hodes" w:hint="cs"/>
          <w:rtl/>
        </w:rPr>
        <w:t xml:space="preserve">(עי' אות </w:t>
      </w:r>
      <w:r w:rsidRPr="00AB0270">
        <w:rPr>
          <w:rStyle w:val="af7"/>
          <w:rFonts w:eastAsia="Guttman Hodes"/>
          <w:rtl/>
        </w:rPr>
        <w:fldChar w:fldCharType="begin"/>
      </w:r>
      <w:r w:rsidRPr="00AB0270">
        <w:rPr>
          <w:rStyle w:val="af7"/>
          <w:rFonts w:eastAsia="Guttman Hodes"/>
          <w:rtl/>
        </w:rPr>
        <w:instrText xml:space="preserve"> </w:instrText>
      </w:r>
      <w:r w:rsidRPr="00AB0270">
        <w:rPr>
          <w:rStyle w:val="af7"/>
          <w:rFonts w:eastAsia="Guttman Hodes" w:hint="cs"/>
        </w:rPr>
        <w:instrText>REF</w:instrText>
      </w:r>
      <w:r w:rsidRPr="00AB0270">
        <w:rPr>
          <w:rStyle w:val="af7"/>
          <w:rFonts w:eastAsia="Guttman Hodes" w:hint="cs"/>
          <w:rtl/>
        </w:rPr>
        <w:instrText xml:space="preserve"> _</w:instrText>
      </w:r>
      <w:r w:rsidRPr="00AB0270">
        <w:rPr>
          <w:rStyle w:val="af7"/>
          <w:rFonts w:eastAsia="Guttman Hodes" w:hint="cs"/>
        </w:rPr>
        <w:instrText>Ref4428980 \r \h</w:instrText>
      </w:r>
      <w:r w:rsidRPr="00AB0270">
        <w:rPr>
          <w:rStyle w:val="af7"/>
          <w:rFonts w:eastAsia="Guttman Hodes"/>
          <w:rtl/>
        </w:rPr>
        <w:instrText xml:space="preserve"> </w:instrText>
      </w:r>
      <w:r w:rsidRPr="00AB0270">
        <w:rPr>
          <w:rStyle w:val="af7"/>
          <w:rFonts w:eastAsia="Guttman Hodes"/>
          <w:rtl/>
        </w:rPr>
      </w:r>
      <w:r w:rsidRPr="00AB0270">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AB0270">
        <w:rPr>
          <w:rStyle w:val="af7"/>
          <w:rFonts w:eastAsia="Guttman Hodes"/>
          <w:rtl/>
        </w:rPr>
        <w:fldChar w:fldCharType="end"/>
      </w:r>
      <w:r>
        <w:rPr>
          <w:rFonts w:hint="cs"/>
          <w:rtl/>
        </w:rPr>
        <w:t xml:space="preserve"> דכתב דהולד אינו מותר בשחיטת אמו הטריפה, דא"כ הוא חשיב כאבר מאבריה, וביאר </w:t>
      </w:r>
      <w:r w:rsidRPr="00AB0270">
        <w:rPr>
          <w:rStyle w:val="af9"/>
          <w:rFonts w:hint="cs"/>
          <w:rtl/>
        </w:rPr>
        <w:t>הקה"י</w:t>
      </w:r>
      <w:r>
        <w:rPr>
          <w:rFonts w:hint="cs"/>
          <w:rtl/>
        </w:rPr>
        <w:t xml:space="preserve"> דכוונת </w:t>
      </w:r>
      <w:r w:rsidRPr="00AB0270">
        <w:rPr>
          <w:rStyle w:val="af9"/>
          <w:rFonts w:hint="cs"/>
          <w:rtl/>
        </w:rPr>
        <w:t>רש"י</w:t>
      </w:r>
      <w:r>
        <w:rPr>
          <w:rFonts w:hint="cs"/>
          <w:rtl/>
        </w:rPr>
        <w:t xml:space="preserve"> לומר שאם אנו באים להכשירו ע"י שחיטת אמו, א"כ אנו מחשיבים אותו כחלק ממנה, וממילא הוא אסור באיסור טריפה ככל אברי </w:t>
      </w:r>
      <w:r w:rsidRPr="00B428C2">
        <w:rPr>
          <w:rFonts w:hint="cs"/>
          <w:rtl/>
        </w:rPr>
        <w:t xml:space="preserve">אמו, וכתב </w:t>
      </w:r>
      <w:r w:rsidRPr="00B428C2">
        <w:rPr>
          <w:rStyle w:val="af9"/>
          <w:rFonts w:hint="cs"/>
          <w:rtl/>
        </w:rPr>
        <w:t>הקה"י</w:t>
      </w:r>
      <w:r w:rsidRPr="00B428C2">
        <w:rPr>
          <w:rFonts w:hint="cs"/>
          <w:rtl/>
        </w:rPr>
        <w:t xml:space="preserve"> דכן ביאר </w:t>
      </w:r>
      <w:r w:rsidRPr="00B428C2">
        <w:rPr>
          <w:rStyle w:val="af9"/>
          <w:rFonts w:hint="cs"/>
          <w:rtl/>
        </w:rPr>
        <w:t>החזו"א</w:t>
      </w:r>
      <w:r w:rsidRPr="00B428C2">
        <w:rPr>
          <w:rFonts w:hint="cs"/>
          <w:rtl/>
        </w:rPr>
        <w:t xml:space="preserve"> </w:t>
      </w:r>
      <w:r w:rsidRPr="00B428C2">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Ref4871884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כג)</w:t>
      </w:r>
      <w:r>
        <w:rPr>
          <w:rStyle w:val="af7"/>
          <w:rFonts w:eastAsia="Guttman Hodes"/>
          <w:rtl/>
        </w:rPr>
        <w:fldChar w:fldCharType="end"/>
      </w:r>
      <w:r w:rsidRPr="00B428C2">
        <w:rPr>
          <w:rStyle w:val="af7"/>
          <w:rFonts w:eastAsia="Guttman Hodes" w:hint="cs"/>
          <w:rtl/>
        </w:rPr>
        <w:t xml:space="preserve"> </w:t>
      </w:r>
      <w:r w:rsidRPr="00B428C2">
        <w:rPr>
          <w:rFonts w:hint="cs"/>
          <w:rtl/>
        </w:rPr>
        <w:t xml:space="preserve">בדברי </w:t>
      </w:r>
      <w:r w:rsidRPr="00B428C2">
        <w:rPr>
          <w:rStyle w:val="af9"/>
          <w:rFonts w:hint="cs"/>
          <w:rtl/>
        </w:rPr>
        <w:t>רש"י בביצה</w:t>
      </w:r>
      <w:r w:rsidRPr="00B428C2">
        <w:rPr>
          <w:rFonts w:hint="cs"/>
          <w:rtl/>
        </w:rPr>
        <w:t xml:space="preserve"> </w:t>
      </w:r>
      <w:r w:rsidRPr="00B428C2">
        <w:rPr>
          <w:rStyle w:val="af7"/>
          <w:rFonts w:eastAsia="Guttman Hodes" w:hint="cs"/>
          <w:rtl/>
        </w:rPr>
        <w:t xml:space="preserve">(עי' אות </w:t>
      </w:r>
      <w:r w:rsidRPr="00B428C2">
        <w:rPr>
          <w:rStyle w:val="af7"/>
          <w:rFonts w:eastAsia="Guttman Hodes"/>
          <w:rtl/>
        </w:rPr>
        <w:fldChar w:fldCharType="begin"/>
      </w:r>
      <w:r w:rsidRPr="00B428C2">
        <w:rPr>
          <w:rStyle w:val="af7"/>
          <w:rFonts w:eastAsia="Guttman Hodes"/>
          <w:rtl/>
        </w:rPr>
        <w:instrText xml:space="preserve"> </w:instrText>
      </w:r>
      <w:r w:rsidRPr="00B428C2">
        <w:rPr>
          <w:rStyle w:val="af7"/>
          <w:rFonts w:eastAsia="Guttman Hodes" w:hint="cs"/>
        </w:rPr>
        <w:instrText>REF</w:instrText>
      </w:r>
      <w:r w:rsidRPr="00B428C2">
        <w:rPr>
          <w:rStyle w:val="af7"/>
          <w:rFonts w:eastAsia="Guttman Hodes" w:hint="cs"/>
          <w:rtl/>
        </w:rPr>
        <w:instrText xml:space="preserve"> _</w:instrText>
      </w:r>
      <w:r w:rsidRPr="00B428C2">
        <w:rPr>
          <w:rStyle w:val="af7"/>
          <w:rFonts w:eastAsia="Guttman Hodes" w:hint="cs"/>
        </w:rPr>
        <w:instrText>Ref4428980 \r \h</w:instrText>
      </w:r>
      <w:r w:rsidRPr="00B428C2">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428C2">
        <w:rPr>
          <w:rStyle w:val="af7"/>
          <w:rFonts w:eastAsia="Guttman Hodes"/>
          <w:rtl/>
        </w:rPr>
      </w:r>
      <w:r w:rsidRPr="00B428C2">
        <w:rPr>
          <w:rStyle w:val="af7"/>
          <w:rFonts w:eastAsia="Guttman Hodes"/>
          <w:rtl/>
        </w:rPr>
        <w:fldChar w:fldCharType="separate"/>
      </w:r>
      <w:r w:rsidR="00345400">
        <w:rPr>
          <w:rStyle w:val="af7"/>
          <w:rFonts w:eastAsia="Guttman Hodes"/>
          <w:cs/>
        </w:rPr>
        <w:t>‎</w:t>
      </w:r>
      <w:r w:rsidR="00345400">
        <w:rPr>
          <w:rStyle w:val="af7"/>
          <w:rFonts w:eastAsia="Guttman Hodes"/>
          <w:rtl/>
        </w:rPr>
        <w:t>א)</w:t>
      </w:r>
      <w:r w:rsidRPr="00B428C2">
        <w:rPr>
          <w:rStyle w:val="af7"/>
          <w:rFonts w:eastAsia="Guttman Hodes"/>
          <w:rtl/>
        </w:rPr>
        <w:fldChar w:fldCharType="end"/>
      </w:r>
      <w:r w:rsidRPr="00B428C2">
        <w:rPr>
          <w:rFonts w:hint="cs"/>
          <w:rtl/>
        </w:rPr>
        <w:t>.</w:t>
      </w:r>
      <w:bookmarkEnd w:id="26486"/>
    </w:p>
    <w:p w14:paraId="79B917C5" w14:textId="77777777" w:rsidR="003D504D" w:rsidRDefault="003D504D" w:rsidP="003D504D">
      <w:pPr>
        <w:pStyle w:val="a3"/>
        <w:rPr>
          <w:rtl/>
        </w:rPr>
      </w:pPr>
      <w:bookmarkStart w:id="26487" w:name="_Toc4877702"/>
      <w:bookmarkStart w:id="26488" w:name="_Toc4877999"/>
      <w:bookmarkStart w:id="26489" w:name="_Toc4878143"/>
      <w:bookmarkStart w:id="26490" w:name="_Toc19392258"/>
      <w:bookmarkStart w:id="26491" w:name="_Toc19395755"/>
      <w:r>
        <w:rPr>
          <w:rFonts w:hint="cs"/>
          <w:rtl/>
        </w:rPr>
        <w:t>דברי הקה"י דכוונת הרמב"ם דבן ח' כאבר דאמו דאי מותר בשחיטת אמו הוא טריפה כאמו</w:t>
      </w:r>
      <w:bookmarkEnd w:id="26487"/>
      <w:bookmarkEnd w:id="26488"/>
      <w:bookmarkEnd w:id="26489"/>
      <w:bookmarkEnd w:id="26490"/>
      <w:bookmarkEnd w:id="26491"/>
    </w:p>
    <w:p w14:paraId="4CD1DB86" w14:textId="77777777" w:rsidR="003D504D" w:rsidRDefault="003D504D" w:rsidP="00223668">
      <w:pPr>
        <w:pStyle w:val="a0"/>
        <w:rPr>
          <w:rtl/>
        </w:rPr>
      </w:pPr>
      <w:bookmarkStart w:id="26492" w:name="_Ref4876231"/>
      <w:r>
        <w:rPr>
          <w:rFonts w:hint="cs"/>
          <w:rtl/>
        </w:rPr>
        <w:t xml:space="preserve">וכתב </w:t>
      </w:r>
      <w:r w:rsidRPr="00AB0270">
        <w:rPr>
          <w:rStyle w:val="af9"/>
          <w:rFonts w:hint="cs"/>
          <w:rtl/>
        </w:rPr>
        <w:t>הקה"י</w:t>
      </w:r>
      <w:r>
        <w:rPr>
          <w:rFonts w:hint="cs"/>
          <w:rtl/>
        </w:rPr>
        <w:t xml:space="preserve"> דכן מבואר בדברי </w:t>
      </w:r>
      <w:r w:rsidRPr="00670673">
        <w:rPr>
          <w:rStyle w:val="af9"/>
          <w:rFonts w:hint="cs"/>
          <w:rtl/>
        </w:rPr>
        <w:t xml:space="preserve">הרמב"ם </w:t>
      </w:r>
      <w:r w:rsidRPr="00D94C5B">
        <w:rPr>
          <w:rStyle w:val="af7"/>
          <w:rFonts w:eastAsia="Guttman Hodes" w:hint="cs"/>
          <w:rtl/>
        </w:rPr>
        <w:t xml:space="preserve">(עי' אות </w:t>
      </w:r>
      <w:r w:rsidRPr="00D94C5B">
        <w:rPr>
          <w:rStyle w:val="af7"/>
          <w:rFonts w:eastAsia="Guttman Hodes"/>
          <w:rtl/>
        </w:rPr>
        <w:fldChar w:fldCharType="begin"/>
      </w:r>
      <w:r w:rsidRPr="00D94C5B">
        <w:rPr>
          <w:rStyle w:val="af7"/>
          <w:rFonts w:eastAsia="Guttman Hodes"/>
          <w:rtl/>
        </w:rPr>
        <w:instrText xml:space="preserve"> </w:instrText>
      </w:r>
      <w:r w:rsidRPr="00D94C5B">
        <w:rPr>
          <w:rStyle w:val="af7"/>
          <w:rFonts w:eastAsia="Guttman Hodes" w:hint="cs"/>
        </w:rPr>
        <w:instrText>REF</w:instrText>
      </w:r>
      <w:r w:rsidRPr="00D94C5B">
        <w:rPr>
          <w:rStyle w:val="af7"/>
          <w:rFonts w:eastAsia="Guttman Hodes" w:hint="cs"/>
          <w:rtl/>
        </w:rPr>
        <w:instrText xml:space="preserve"> _</w:instrText>
      </w:r>
      <w:r w:rsidRPr="00D94C5B">
        <w:rPr>
          <w:rStyle w:val="af7"/>
          <w:rFonts w:eastAsia="Guttman Hodes" w:hint="cs"/>
        </w:rPr>
        <w:instrText>Ref4606067 \r \h</w:instrText>
      </w:r>
      <w:r w:rsidRPr="00D94C5B">
        <w:rPr>
          <w:rStyle w:val="af7"/>
          <w:rFonts w:eastAsia="Guttman Hodes"/>
          <w:rtl/>
        </w:rPr>
        <w:instrText xml:space="preserve"> </w:instrText>
      </w:r>
      <w:r w:rsidRPr="00D94C5B">
        <w:rPr>
          <w:rStyle w:val="af7"/>
          <w:rFonts w:eastAsia="Guttman Hodes"/>
          <w:rtl/>
        </w:rPr>
      </w:r>
      <w:r w:rsidRPr="00D94C5B">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D94C5B">
        <w:rPr>
          <w:rStyle w:val="af7"/>
          <w:rFonts w:eastAsia="Guttman Hodes"/>
          <w:rtl/>
        </w:rPr>
        <w:fldChar w:fldCharType="end"/>
      </w:r>
      <w:r>
        <w:rPr>
          <w:rFonts w:hint="cs"/>
          <w:rtl/>
        </w:rPr>
        <w:t xml:space="preserve"> דכתב דבן ח' שנמצא במעי טריפה, </w:t>
      </w:r>
      <w:r w:rsidRPr="00BE1F36">
        <w:rPr>
          <w:rStyle w:val="afb"/>
          <w:rFonts w:hint="cs"/>
          <w:rtl/>
        </w:rPr>
        <w:t>[שאין לו ד' סימנים</w:t>
      </w:r>
      <w:r>
        <w:rPr>
          <w:rStyle w:val="afb"/>
          <w:rFonts w:hint="cs"/>
          <w:rtl/>
        </w:rPr>
        <w:t>,</w:t>
      </w:r>
      <w:r w:rsidRPr="00BE1F36">
        <w:rPr>
          <w:rStyle w:val="afb"/>
          <w:rFonts w:hint="cs"/>
          <w:rtl/>
        </w:rPr>
        <w:t xml:space="preserve"> ולא מהני בו השחיטה מצד עצמו],</w:t>
      </w:r>
      <w:r>
        <w:rPr>
          <w:rFonts w:hint="cs"/>
          <w:rtl/>
        </w:rPr>
        <w:t xml:space="preserve"> דהוא אסור כיון שהוא כאבר של אמו, וביאר </w:t>
      </w:r>
      <w:r w:rsidRPr="00670673">
        <w:rPr>
          <w:rStyle w:val="af9"/>
          <w:rFonts w:hint="cs"/>
          <w:rtl/>
        </w:rPr>
        <w:t>הקה"י</w:t>
      </w:r>
      <w:r>
        <w:rPr>
          <w:rFonts w:hint="cs"/>
          <w:rtl/>
        </w:rPr>
        <w:t xml:space="preserve"> דכוונת </w:t>
      </w:r>
      <w:r w:rsidRPr="00670673">
        <w:rPr>
          <w:rStyle w:val="af9"/>
          <w:rFonts w:hint="cs"/>
          <w:rtl/>
        </w:rPr>
        <w:t>הרמב"ם</w:t>
      </w:r>
      <w:r>
        <w:rPr>
          <w:rFonts w:hint="cs"/>
          <w:rtl/>
        </w:rPr>
        <w:t xml:space="preserve"> לומר שאם אנו מתירים אותו ע"י שחיטת אמו, א"כ אנו מחשיבים אותו כאבר דאמו, ולכן הוא אסור באיסור הטריפה של אמו, וכ"כ </w:t>
      </w:r>
      <w:r w:rsidRPr="001025A1">
        <w:rPr>
          <w:rStyle w:val="af9"/>
          <w:rFonts w:hint="cs"/>
          <w:rtl/>
        </w:rPr>
        <w:t>בקה"י בב"ק</w:t>
      </w:r>
      <w:r>
        <w:rPr>
          <w:rFonts w:hint="cs"/>
          <w:rtl/>
        </w:rPr>
        <w:t xml:space="preserve"> </w:t>
      </w:r>
      <w:r w:rsidRPr="001025A1">
        <w:rPr>
          <w:rStyle w:val="af7"/>
          <w:rFonts w:eastAsia="Guttman Hodes" w:hint="cs"/>
          <w:rtl/>
        </w:rPr>
        <w:t xml:space="preserve">(עי' אות </w:t>
      </w:r>
      <w:r w:rsidRPr="001025A1">
        <w:rPr>
          <w:rStyle w:val="af7"/>
          <w:rFonts w:eastAsia="Guttman Hodes"/>
          <w:rtl/>
        </w:rPr>
        <w:fldChar w:fldCharType="begin"/>
      </w:r>
      <w:r w:rsidRPr="001025A1">
        <w:rPr>
          <w:rStyle w:val="af7"/>
          <w:rFonts w:eastAsia="Guttman Hodes"/>
          <w:rtl/>
        </w:rPr>
        <w:instrText xml:space="preserve"> </w:instrText>
      </w:r>
      <w:r w:rsidRPr="001025A1">
        <w:rPr>
          <w:rStyle w:val="af7"/>
          <w:rFonts w:eastAsia="Guttman Hodes" w:hint="cs"/>
        </w:rPr>
        <w:instrText>REF</w:instrText>
      </w:r>
      <w:r w:rsidRPr="001025A1">
        <w:rPr>
          <w:rStyle w:val="af7"/>
          <w:rFonts w:eastAsia="Guttman Hodes" w:hint="cs"/>
          <w:rtl/>
        </w:rPr>
        <w:instrText xml:space="preserve"> _</w:instrText>
      </w:r>
      <w:r w:rsidRPr="001025A1">
        <w:rPr>
          <w:rStyle w:val="af7"/>
          <w:rFonts w:eastAsia="Guttman Hodes" w:hint="cs"/>
        </w:rPr>
        <w:instrText>Ref4876202 \r \h</w:instrText>
      </w:r>
      <w:r w:rsidRPr="001025A1">
        <w:rPr>
          <w:rStyle w:val="af7"/>
          <w:rFonts w:eastAsia="Guttman Hodes"/>
          <w:rtl/>
        </w:rPr>
        <w:instrText xml:space="preserve"> </w:instrText>
      </w:r>
      <w:r w:rsidRPr="001025A1">
        <w:rPr>
          <w:rStyle w:val="af7"/>
          <w:rFonts w:eastAsia="Guttman Hodes"/>
          <w:rtl/>
        </w:rPr>
      </w:r>
      <w:r w:rsidRPr="001025A1">
        <w:rPr>
          <w:rStyle w:val="af7"/>
          <w:rFonts w:eastAsia="Guttman Hodes"/>
          <w:rtl/>
        </w:rPr>
        <w:fldChar w:fldCharType="separate"/>
      </w:r>
      <w:r w:rsidR="00345400">
        <w:rPr>
          <w:rStyle w:val="af7"/>
          <w:rFonts w:eastAsia="Guttman Hodes"/>
          <w:cs/>
        </w:rPr>
        <w:t>‎</w:t>
      </w:r>
      <w:r w:rsidR="00345400">
        <w:rPr>
          <w:rStyle w:val="af7"/>
          <w:rFonts w:eastAsia="Guttman Hodes"/>
          <w:rtl/>
        </w:rPr>
        <w:t>עה)</w:t>
      </w:r>
      <w:r w:rsidRPr="001025A1">
        <w:rPr>
          <w:rStyle w:val="af7"/>
          <w:rFonts w:eastAsia="Guttman Hodes"/>
          <w:rtl/>
        </w:rPr>
        <w:fldChar w:fldCharType="end"/>
      </w:r>
      <w:r>
        <w:rPr>
          <w:rFonts w:hint="cs"/>
          <w:rtl/>
        </w:rPr>
        <w:t>.</w:t>
      </w:r>
      <w:bookmarkEnd w:id="26492"/>
    </w:p>
    <w:p w14:paraId="29DF805E" w14:textId="77777777" w:rsidR="003D504D" w:rsidRDefault="003D504D" w:rsidP="00BF39B2">
      <w:pPr>
        <w:pStyle w:val="1"/>
        <w:rPr>
          <w:rtl/>
        </w:rPr>
      </w:pPr>
      <w:bookmarkStart w:id="26493" w:name="_Toc4877703"/>
      <w:bookmarkStart w:id="26494" w:name="_Toc4878000"/>
      <w:bookmarkStart w:id="26495" w:name="_Toc4878144"/>
      <w:bookmarkStart w:id="26496" w:name="_Toc19392259"/>
      <w:bookmarkStart w:id="26497" w:name="_Toc19395756"/>
      <w:r w:rsidRPr="009A5496">
        <w:rPr>
          <w:rFonts w:hint="cs"/>
          <w:rtl/>
        </w:rPr>
        <w:t>ביאור הקה"י ברמב"ם</w:t>
      </w:r>
      <w:r>
        <w:rPr>
          <w:rFonts w:hint="cs"/>
          <w:rtl/>
        </w:rPr>
        <w:t xml:space="preserve"> דהולד אסור מדין טריפה</w:t>
      </w:r>
      <w:bookmarkEnd w:id="26493"/>
      <w:bookmarkEnd w:id="26494"/>
      <w:bookmarkEnd w:id="26495"/>
      <w:bookmarkEnd w:id="26496"/>
      <w:bookmarkEnd w:id="26497"/>
    </w:p>
    <w:p w14:paraId="7E4C6412" w14:textId="77777777" w:rsidR="003D504D" w:rsidRDefault="003D504D" w:rsidP="003D504D">
      <w:pPr>
        <w:pStyle w:val="a3"/>
        <w:rPr>
          <w:rtl/>
        </w:rPr>
      </w:pPr>
      <w:bookmarkStart w:id="26498" w:name="_Toc4877704"/>
      <w:bookmarkStart w:id="26499" w:name="_Toc4878001"/>
      <w:bookmarkStart w:id="26500" w:name="_Toc4878145"/>
      <w:bookmarkStart w:id="26501" w:name="_Toc19392260"/>
      <w:bookmarkStart w:id="26502" w:name="_Toc19395757"/>
      <w:r>
        <w:rPr>
          <w:rFonts w:hint="cs"/>
          <w:rtl/>
        </w:rPr>
        <w:t>קושית הקה"י על דברי הרמב"ם דבן ח' אסור בטריפה הא בלא"ה אינו מותר בשחיטת אמו דהוא נפל</w:t>
      </w:r>
      <w:bookmarkEnd w:id="26498"/>
      <w:bookmarkEnd w:id="26499"/>
      <w:bookmarkEnd w:id="26500"/>
      <w:bookmarkEnd w:id="26501"/>
      <w:bookmarkEnd w:id="26502"/>
    </w:p>
    <w:p w14:paraId="53A80325" w14:textId="77777777" w:rsidR="003D504D" w:rsidRDefault="003D504D" w:rsidP="00223668">
      <w:pPr>
        <w:pStyle w:val="a0"/>
        <w:rPr>
          <w:rtl/>
        </w:rPr>
      </w:pPr>
      <w:bookmarkStart w:id="26503" w:name="_Ref4877483"/>
      <w:r>
        <w:rPr>
          <w:rFonts w:hint="cs"/>
          <w:rtl/>
        </w:rPr>
        <w:t xml:space="preserve">עוד הביא </w:t>
      </w:r>
      <w:r w:rsidRPr="00992C08">
        <w:rPr>
          <w:rStyle w:val="af9"/>
          <w:rFonts w:hint="cs"/>
          <w:rtl/>
        </w:rPr>
        <w:t>הקה"י בב"ק</w:t>
      </w:r>
      <w:r>
        <w:rPr>
          <w:rFonts w:hint="cs"/>
          <w:rtl/>
        </w:rPr>
        <w:t xml:space="preserve"> </w:t>
      </w:r>
      <w:r w:rsidRPr="00992C08">
        <w:rPr>
          <w:rStyle w:val="af7"/>
          <w:rFonts w:eastAsia="Guttman Hodes" w:hint="cs"/>
          <w:rtl/>
        </w:rPr>
        <w:t xml:space="preserve">(סי' ל"ד אות ג') </w:t>
      </w:r>
      <w:r>
        <w:rPr>
          <w:rFonts w:hint="cs"/>
          <w:rtl/>
        </w:rPr>
        <w:t xml:space="preserve">את דברי </w:t>
      </w:r>
      <w:r w:rsidRPr="00992C08">
        <w:rPr>
          <w:rStyle w:val="af9"/>
          <w:rFonts w:hint="cs"/>
          <w:rtl/>
        </w:rPr>
        <w:t>הרמב"ם</w:t>
      </w:r>
      <w:r>
        <w:rPr>
          <w:rFonts w:hint="cs"/>
          <w:rtl/>
        </w:rPr>
        <w:t xml:space="preserve"> </w:t>
      </w:r>
      <w:r w:rsidRPr="00B71B6D">
        <w:rPr>
          <w:rStyle w:val="af7"/>
          <w:rFonts w:eastAsia="Guttman Hodes" w:hint="cs"/>
          <w:rtl/>
        </w:rPr>
        <w:t xml:space="preserve">(עי' אות </w:t>
      </w:r>
      <w:r w:rsidRPr="00B71B6D">
        <w:rPr>
          <w:rStyle w:val="af7"/>
          <w:rFonts w:eastAsia="Guttman Hodes"/>
          <w:rtl/>
        </w:rPr>
        <w:fldChar w:fldCharType="begin"/>
      </w:r>
      <w:r w:rsidRPr="00B71B6D">
        <w:rPr>
          <w:rStyle w:val="af7"/>
          <w:rFonts w:eastAsia="Guttman Hodes"/>
          <w:rtl/>
        </w:rPr>
        <w:instrText xml:space="preserve"> </w:instrText>
      </w:r>
      <w:r w:rsidRPr="00B71B6D">
        <w:rPr>
          <w:rStyle w:val="af7"/>
          <w:rFonts w:eastAsia="Guttman Hodes" w:hint="cs"/>
        </w:rPr>
        <w:instrText>REF</w:instrText>
      </w:r>
      <w:r w:rsidRPr="00B71B6D">
        <w:rPr>
          <w:rStyle w:val="af7"/>
          <w:rFonts w:eastAsia="Guttman Hodes" w:hint="cs"/>
          <w:rtl/>
        </w:rPr>
        <w:instrText xml:space="preserve"> _</w:instrText>
      </w:r>
      <w:r w:rsidRPr="00B71B6D">
        <w:rPr>
          <w:rStyle w:val="af7"/>
          <w:rFonts w:eastAsia="Guttman Hodes" w:hint="cs"/>
        </w:rPr>
        <w:instrText>Ref4606067 \r \h</w:instrText>
      </w:r>
      <w:r w:rsidRPr="00B71B6D">
        <w:rPr>
          <w:rStyle w:val="af7"/>
          <w:rFonts w:eastAsia="Guttman Hodes"/>
          <w:rtl/>
        </w:rPr>
        <w:instrText xml:space="preserve"> </w:instrText>
      </w:r>
      <w:r w:rsidRPr="00B71B6D">
        <w:rPr>
          <w:rStyle w:val="af7"/>
          <w:rFonts w:eastAsia="Guttman Hodes"/>
          <w:rtl/>
        </w:rPr>
      </w:r>
      <w:r w:rsidRPr="00B71B6D">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B71B6D">
        <w:rPr>
          <w:rStyle w:val="af7"/>
          <w:rFonts w:eastAsia="Guttman Hodes"/>
          <w:rtl/>
        </w:rPr>
        <w:fldChar w:fldCharType="end"/>
      </w:r>
      <w:r>
        <w:rPr>
          <w:rFonts w:hint="cs"/>
          <w:rtl/>
        </w:rPr>
        <w:t xml:space="preserve"> דכתב דקרע טריפה או שחטה ומצא בה בן ט' חי דהוא טעון שחיטה, וכתב </w:t>
      </w:r>
      <w:r w:rsidRPr="00992C08">
        <w:rPr>
          <w:rStyle w:val="af9"/>
          <w:rFonts w:hint="cs"/>
          <w:rtl/>
        </w:rPr>
        <w:t>הקה"י</w:t>
      </w:r>
      <w:r>
        <w:rPr>
          <w:rFonts w:hint="cs"/>
          <w:rtl/>
        </w:rPr>
        <w:t xml:space="preserve"> דמבואר מדברי </w:t>
      </w:r>
      <w:r w:rsidRPr="00992C08">
        <w:rPr>
          <w:rStyle w:val="af9"/>
          <w:rFonts w:hint="cs"/>
          <w:rtl/>
        </w:rPr>
        <w:t>הרמב"ם</w:t>
      </w:r>
      <w:r>
        <w:rPr>
          <w:rFonts w:hint="cs"/>
          <w:rtl/>
        </w:rPr>
        <w:t xml:space="preserve"> דלא נאסר העובר מחמת אמו הטריפה, ומהני שחיטת עצמו להתירו, דאינו כאבר מאבריה, כיון שיש לו חיות בפנ"ע, אך הביא </w:t>
      </w:r>
      <w:r w:rsidRPr="00992C08">
        <w:rPr>
          <w:rStyle w:val="af9"/>
          <w:rFonts w:hint="cs"/>
          <w:rtl/>
        </w:rPr>
        <w:t>הקה"י</w:t>
      </w:r>
      <w:r>
        <w:rPr>
          <w:rFonts w:hint="cs"/>
          <w:rtl/>
        </w:rPr>
        <w:t xml:space="preserve"> את דברי </w:t>
      </w:r>
      <w:r w:rsidRPr="00992C08">
        <w:rPr>
          <w:rStyle w:val="af9"/>
          <w:rFonts w:hint="cs"/>
          <w:rtl/>
        </w:rPr>
        <w:t>הרמב"ם</w:t>
      </w:r>
      <w:r>
        <w:rPr>
          <w:rFonts w:hint="cs"/>
          <w:rtl/>
        </w:rPr>
        <w:t xml:space="preserve"> </w:t>
      </w:r>
      <w:r w:rsidRPr="00B71B6D">
        <w:rPr>
          <w:rStyle w:val="af7"/>
          <w:rFonts w:eastAsia="Guttman Hodes" w:hint="cs"/>
          <w:rtl/>
        </w:rPr>
        <w:t xml:space="preserve">(עי' אות </w:t>
      </w:r>
      <w:r w:rsidRPr="00B71B6D">
        <w:rPr>
          <w:rStyle w:val="af7"/>
          <w:rFonts w:eastAsia="Guttman Hodes"/>
          <w:rtl/>
        </w:rPr>
        <w:fldChar w:fldCharType="begin"/>
      </w:r>
      <w:r w:rsidRPr="00B71B6D">
        <w:rPr>
          <w:rStyle w:val="af7"/>
          <w:rFonts w:eastAsia="Guttman Hodes"/>
          <w:rtl/>
        </w:rPr>
        <w:instrText xml:space="preserve"> </w:instrText>
      </w:r>
      <w:r w:rsidRPr="00B71B6D">
        <w:rPr>
          <w:rStyle w:val="af7"/>
          <w:rFonts w:eastAsia="Guttman Hodes" w:hint="cs"/>
        </w:rPr>
        <w:instrText>REF</w:instrText>
      </w:r>
      <w:r w:rsidRPr="00B71B6D">
        <w:rPr>
          <w:rStyle w:val="af7"/>
          <w:rFonts w:eastAsia="Guttman Hodes" w:hint="cs"/>
          <w:rtl/>
        </w:rPr>
        <w:instrText xml:space="preserve"> _</w:instrText>
      </w:r>
      <w:r w:rsidRPr="00B71B6D">
        <w:rPr>
          <w:rStyle w:val="af7"/>
          <w:rFonts w:eastAsia="Guttman Hodes" w:hint="cs"/>
        </w:rPr>
        <w:instrText>Ref4606067 \r \h</w:instrText>
      </w:r>
      <w:r w:rsidRPr="00B71B6D">
        <w:rPr>
          <w:rStyle w:val="af7"/>
          <w:rFonts w:eastAsia="Guttman Hodes"/>
          <w:rtl/>
        </w:rPr>
        <w:instrText xml:space="preserve"> </w:instrText>
      </w:r>
      <w:r w:rsidRPr="00B71B6D">
        <w:rPr>
          <w:rStyle w:val="af7"/>
          <w:rFonts w:eastAsia="Guttman Hodes"/>
          <w:rtl/>
        </w:rPr>
      </w:r>
      <w:r w:rsidRPr="00B71B6D">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B71B6D">
        <w:rPr>
          <w:rStyle w:val="af7"/>
          <w:rFonts w:eastAsia="Guttman Hodes"/>
          <w:rtl/>
        </w:rPr>
        <w:fldChar w:fldCharType="end"/>
      </w:r>
      <w:r>
        <w:rPr>
          <w:rFonts w:hint="cs"/>
          <w:rtl/>
        </w:rPr>
        <w:t xml:space="preserve"> דכתב דאם מצא בה בן ח' חי או בן ט' מת הוא אסור כיון שהוא אבר מאברי אמו, והקשה </w:t>
      </w:r>
      <w:r w:rsidRPr="00992C08">
        <w:rPr>
          <w:rStyle w:val="af9"/>
          <w:rFonts w:hint="cs"/>
          <w:rtl/>
        </w:rPr>
        <w:t>הקה"י</w:t>
      </w:r>
      <w:r>
        <w:rPr>
          <w:rFonts w:hint="cs"/>
          <w:rtl/>
        </w:rPr>
        <w:t xml:space="preserve"> דאמאי הוצרך </w:t>
      </w:r>
      <w:r w:rsidRPr="00B71B6D">
        <w:rPr>
          <w:rStyle w:val="af9"/>
          <w:rFonts w:hint="cs"/>
          <w:rtl/>
        </w:rPr>
        <w:t>הרמב"ם</w:t>
      </w:r>
      <w:r>
        <w:rPr>
          <w:rFonts w:hint="cs"/>
          <w:rtl/>
        </w:rPr>
        <w:t xml:space="preserve"> לומר שאיסורו הוא מחמת דחשיב כאבר דאמו, הא אף אי נימא דאינו אבר דאמו, מ"מ הוא אסור, דהרי שחיטת אמו הטריפה לא התירתו, ובו אין דין שחיטה דהוא נפל.</w:t>
      </w:r>
      <w:bookmarkEnd w:id="26503"/>
    </w:p>
    <w:p w14:paraId="6F8D7EFA" w14:textId="77777777" w:rsidR="003D504D" w:rsidRDefault="003D504D" w:rsidP="003D504D">
      <w:pPr>
        <w:pStyle w:val="a3"/>
        <w:rPr>
          <w:rtl/>
        </w:rPr>
      </w:pPr>
      <w:bookmarkStart w:id="26504" w:name="_Toc4877705"/>
      <w:bookmarkStart w:id="26505" w:name="_Toc4878002"/>
      <w:bookmarkStart w:id="26506" w:name="_Toc4878146"/>
      <w:bookmarkStart w:id="26507" w:name="_Toc19392261"/>
      <w:bookmarkStart w:id="26508" w:name="_Toc19395758"/>
      <w:r>
        <w:rPr>
          <w:rFonts w:hint="cs"/>
          <w:rtl/>
        </w:rPr>
        <w:t>ביאור הקה"י ברמב"ם דשחיטת טריפה היא ראויה ולכן הולד אסור רק מדין טריפה</w:t>
      </w:r>
      <w:bookmarkEnd w:id="26504"/>
      <w:bookmarkEnd w:id="26505"/>
      <w:bookmarkEnd w:id="26506"/>
      <w:bookmarkEnd w:id="26507"/>
      <w:bookmarkEnd w:id="26508"/>
    </w:p>
    <w:p w14:paraId="224D232D" w14:textId="77777777" w:rsidR="003D504D" w:rsidRDefault="003D504D" w:rsidP="00223668">
      <w:pPr>
        <w:pStyle w:val="a0"/>
        <w:rPr>
          <w:rtl/>
        </w:rPr>
      </w:pPr>
      <w:bookmarkStart w:id="26509" w:name="_Ref4872220"/>
      <w:r>
        <w:rPr>
          <w:rFonts w:hint="cs"/>
          <w:rtl/>
        </w:rPr>
        <w:t xml:space="preserve">וכתב </w:t>
      </w:r>
      <w:r w:rsidRPr="00992C08">
        <w:rPr>
          <w:rStyle w:val="af9"/>
          <w:rFonts w:hint="cs"/>
          <w:rtl/>
        </w:rPr>
        <w:t>הקה"י</w:t>
      </w:r>
      <w:r>
        <w:rPr>
          <w:rFonts w:hint="cs"/>
          <w:rtl/>
        </w:rPr>
        <w:t xml:space="preserve"> </w:t>
      </w:r>
      <w:r w:rsidRPr="00992C08">
        <w:rPr>
          <w:rStyle w:val="af9"/>
          <w:rFonts w:hint="cs"/>
          <w:rtl/>
        </w:rPr>
        <w:t>בב"ק</w:t>
      </w:r>
      <w:r>
        <w:rPr>
          <w:rFonts w:hint="cs"/>
          <w:rtl/>
        </w:rPr>
        <w:t xml:space="preserve"> דמבואר דשחיטת אמו הטריפה היא שחיטה מעולה, דהיא חלה בין על האם ובין על הולד להתירם לענין נבילה, </w:t>
      </w:r>
      <w:r w:rsidRPr="00B966D3">
        <w:rPr>
          <w:rStyle w:val="afb"/>
          <w:rFonts w:hint="cs"/>
          <w:rtl/>
        </w:rPr>
        <w:t xml:space="preserve">[וכדביאר </w:t>
      </w:r>
      <w:r w:rsidRPr="00B966D3">
        <w:rPr>
          <w:rStyle w:val="affa"/>
          <w:rFonts w:hint="cs"/>
          <w:rtl/>
        </w:rPr>
        <w:t>הגר"ח</w:t>
      </w:r>
      <w:r w:rsidRPr="00B966D3">
        <w:rPr>
          <w:rStyle w:val="afb"/>
          <w:rFonts w:hint="cs"/>
          <w:rtl/>
        </w:rPr>
        <w:t xml:space="preserve"> </w:t>
      </w:r>
      <w:r w:rsidRPr="00B966D3">
        <w:rPr>
          <w:rStyle w:val="aff6"/>
          <w:rFonts w:hint="cs"/>
          <w:rtl/>
        </w:rPr>
        <w:t xml:space="preserve">(עי' אות </w:t>
      </w:r>
      <w:r w:rsidRPr="00B966D3">
        <w:rPr>
          <w:rStyle w:val="aff6"/>
          <w:rtl/>
        </w:rPr>
        <w:fldChar w:fldCharType="begin"/>
      </w:r>
      <w:r w:rsidRPr="00B966D3">
        <w:rPr>
          <w:rStyle w:val="aff6"/>
          <w:rtl/>
        </w:rPr>
        <w:instrText xml:space="preserve"> </w:instrText>
      </w:r>
      <w:r w:rsidRPr="00B966D3">
        <w:rPr>
          <w:rStyle w:val="aff6"/>
          <w:rFonts w:hint="cs"/>
        </w:rPr>
        <w:instrText>REF</w:instrText>
      </w:r>
      <w:r w:rsidRPr="00B966D3">
        <w:rPr>
          <w:rStyle w:val="aff6"/>
          <w:rFonts w:hint="cs"/>
          <w:rtl/>
        </w:rPr>
        <w:instrText xml:space="preserve"> _</w:instrText>
      </w:r>
      <w:r w:rsidRPr="00B966D3">
        <w:rPr>
          <w:rStyle w:val="aff6"/>
          <w:rFonts w:hint="cs"/>
        </w:rPr>
        <w:instrText>Ref4666209 \r \h</w:instrText>
      </w:r>
      <w:r w:rsidRPr="00B966D3">
        <w:rPr>
          <w:rStyle w:val="aff6"/>
          <w:rtl/>
        </w:rPr>
        <w:instrText xml:space="preserve"> </w:instrText>
      </w:r>
      <w:r w:rsidRPr="00B966D3">
        <w:rPr>
          <w:rStyle w:val="aff6"/>
          <w:rtl/>
        </w:rPr>
      </w:r>
      <w:r w:rsidRPr="00B966D3">
        <w:rPr>
          <w:rStyle w:val="aff6"/>
          <w:rtl/>
        </w:rPr>
        <w:fldChar w:fldCharType="separate"/>
      </w:r>
      <w:r w:rsidR="00345400">
        <w:rPr>
          <w:rStyle w:val="aff6"/>
          <w:cs/>
        </w:rPr>
        <w:t>‎</w:t>
      </w:r>
      <w:r w:rsidR="00345400">
        <w:rPr>
          <w:rStyle w:val="aff6"/>
          <w:rtl/>
        </w:rPr>
        <w:t>לט)</w:t>
      </w:r>
      <w:r w:rsidRPr="00B966D3">
        <w:rPr>
          <w:rStyle w:val="aff6"/>
          <w:rtl/>
        </w:rPr>
        <w:fldChar w:fldCharType="end"/>
      </w:r>
      <w:r w:rsidRPr="00B966D3">
        <w:rPr>
          <w:rStyle w:val="afb"/>
          <w:rFonts w:hint="cs"/>
          <w:rtl/>
        </w:rPr>
        <w:t>],</w:t>
      </w:r>
      <w:r>
        <w:rPr>
          <w:rFonts w:hint="cs"/>
          <w:rtl/>
        </w:rPr>
        <w:t xml:space="preserve"> אלא שעל האם יש איסור אחר שהיא טריפה, ולכן אם לא היה העובר נחשב כאבר דאמו, הייתה שחיטת אמו מתירתו, דהא אין בו איסור טריפה, ושם השחיטה חל גם על הטריפה, ולכן ביאר </w:t>
      </w:r>
      <w:r w:rsidRPr="00B966D3">
        <w:rPr>
          <w:rStyle w:val="af9"/>
          <w:rFonts w:hint="cs"/>
          <w:rtl/>
        </w:rPr>
        <w:t>הרמב"ם</w:t>
      </w:r>
      <w:r>
        <w:rPr>
          <w:rFonts w:hint="cs"/>
          <w:rtl/>
        </w:rPr>
        <w:t xml:space="preserve"> דאיסורו הוא כיון דחשיב כאבר דאמו, וכל שלא נולד ואין לו חיות בפנ"ע הוא אסור באיסור הטריפה של אמו.</w:t>
      </w:r>
      <w:bookmarkEnd w:id="26509"/>
    </w:p>
    <w:p w14:paraId="044B2D9F" w14:textId="77777777" w:rsidR="003D504D" w:rsidRDefault="003D504D" w:rsidP="003D504D">
      <w:pPr>
        <w:pStyle w:val="a3"/>
        <w:rPr>
          <w:rtl/>
        </w:rPr>
      </w:pPr>
      <w:bookmarkStart w:id="26510" w:name="_Toc4877706"/>
      <w:bookmarkStart w:id="26511" w:name="_Toc4878003"/>
      <w:bookmarkStart w:id="26512" w:name="_Toc4878147"/>
      <w:bookmarkStart w:id="26513" w:name="_Toc19392262"/>
      <w:bookmarkStart w:id="26514" w:name="_Toc19395759"/>
      <w:r>
        <w:rPr>
          <w:rFonts w:hint="cs"/>
          <w:rtl/>
        </w:rPr>
        <w:t>דחיית הקה"י דבן ט' חי אינו מותר בשחיטת הטריפה אף דאינו טריפה כאמו</w:t>
      </w:r>
      <w:bookmarkEnd w:id="26510"/>
      <w:bookmarkEnd w:id="26511"/>
      <w:bookmarkEnd w:id="26512"/>
      <w:bookmarkEnd w:id="26513"/>
      <w:bookmarkEnd w:id="26514"/>
    </w:p>
    <w:p w14:paraId="5321F00C" w14:textId="77777777" w:rsidR="003D504D" w:rsidRDefault="003D504D" w:rsidP="00223668">
      <w:pPr>
        <w:pStyle w:val="a0"/>
        <w:rPr>
          <w:rtl/>
        </w:rPr>
      </w:pPr>
      <w:r>
        <w:rPr>
          <w:rFonts w:hint="cs"/>
          <w:rtl/>
        </w:rPr>
        <w:t xml:space="preserve">אך דחה </w:t>
      </w:r>
      <w:r w:rsidRPr="00113798">
        <w:rPr>
          <w:rStyle w:val="af9"/>
          <w:rFonts w:hint="cs"/>
          <w:rtl/>
        </w:rPr>
        <w:t>הקה"י בב"ק</w:t>
      </w:r>
      <w:r>
        <w:rPr>
          <w:rFonts w:hint="cs"/>
          <w:rtl/>
        </w:rPr>
        <w:t xml:space="preserve"> </w:t>
      </w:r>
      <w:r w:rsidRPr="00113798">
        <w:rPr>
          <w:rStyle w:val="af7"/>
          <w:rFonts w:eastAsia="Guttman Hodes" w:hint="cs"/>
          <w:rtl/>
        </w:rPr>
        <w:t>(סי' ל"ד אות ג' ד"ה אבל)</w:t>
      </w:r>
      <w:r>
        <w:rPr>
          <w:rFonts w:hint="cs"/>
          <w:rtl/>
        </w:rPr>
        <w:t xml:space="preserve"> דהא בן ט' חי אינו מותר בשחיטת אמו הטריפה, אעפ"י שיש לו חיות בפנ"ע, כדמוכח מהא דהוא מותר בשחיטת עצמו, ואין בו איסור טריפה, </w:t>
      </w:r>
      <w:r w:rsidRPr="00FB3881">
        <w:rPr>
          <w:rStyle w:val="afb"/>
          <w:rFonts w:hint="cs"/>
          <w:rtl/>
        </w:rPr>
        <w:t xml:space="preserve">[דהא יש לו חיות בפנ"ע אינו כאבר דאמו], </w:t>
      </w:r>
      <w:r>
        <w:rPr>
          <w:rFonts w:hint="cs"/>
          <w:rtl/>
        </w:rPr>
        <w:t xml:space="preserve">ומבואר בגמ' לקמן </w:t>
      </w:r>
      <w:r w:rsidRPr="00113798">
        <w:rPr>
          <w:rStyle w:val="af7"/>
          <w:rFonts w:eastAsia="Guttman Hodes" w:hint="cs"/>
          <w:rtl/>
        </w:rPr>
        <w:t>(פה:)</w:t>
      </w:r>
      <w:r>
        <w:rPr>
          <w:rFonts w:hint="cs"/>
          <w:rtl/>
        </w:rPr>
        <w:t xml:space="preserve"> דהא דלא מהני לו שחיטת אמו הוא מחמת דשחיטתה היא שחיטה שאינה ראויה, ולא שמה שחיטה, ואף לדעת ר"מ דשמה שחיטה, ג"כ לא מהני שחיטת הטריפה להתיר את הולד, וכתב </w:t>
      </w:r>
      <w:r w:rsidRPr="00113798">
        <w:rPr>
          <w:rStyle w:val="af9"/>
          <w:rFonts w:hint="cs"/>
          <w:rtl/>
        </w:rPr>
        <w:t>הקה"י בב"ק</w:t>
      </w:r>
      <w:r>
        <w:rPr>
          <w:rFonts w:hint="cs"/>
          <w:rtl/>
        </w:rPr>
        <w:t xml:space="preserve"> דצ"ב אמאי לא מהני שחיטת האם להתיר את הולד לדעת ר"מ, הרי אינו אסור באיסור טריפה.</w:t>
      </w:r>
    </w:p>
    <w:p w14:paraId="5802DA8B" w14:textId="77777777" w:rsidR="003D504D" w:rsidRDefault="003D504D" w:rsidP="003D504D">
      <w:pPr>
        <w:pStyle w:val="a3"/>
        <w:rPr>
          <w:rtl/>
        </w:rPr>
      </w:pPr>
      <w:bookmarkStart w:id="26515" w:name="_Toc4877707"/>
      <w:bookmarkStart w:id="26516" w:name="_Toc4878004"/>
      <w:bookmarkStart w:id="26517" w:name="_Toc4878148"/>
      <w:bookmarkStart w:id="26518" w:name="_Toc19392263"/>
      <w:bookmarkStart w:id="26519" w:name="_Toc19395760"/>
      <w:r>
        <w:rPr>
          <w:rFonts w:hint="cs"/>
          <w:rtl/>
        </w:rPr>
        <w:t>ביאור הקה"י בגרעק"א דכל שלא  נשחט בשחיטת עצמו אסור בטריפה</w:t>
      </w:r>
      <w:bookmarkEnd w:id="26515"/>
      <w:bookmarkEnd w:id="26516"/>
      <w:bookmarkEnd w:id="26517"/>
      <w:bookmarkEnd w:id="26518"/>
      <w:bookmarkEnd w:id="26519"/>
    </w:p>
    <w:p w14:paraId="0086ECB4" w14:textId="77777777" w:rsidR="003D504D" w:rsidRDefault="003D504D" w:rsidP="00223668">
      <w:pPr>
        <w:pStyle w:val="a0"/>
        <w:rPr>
          <w:rtl/>
        </w:rPr>
      </w:pPr>
      <w:bookmarkStart w:id="26520" w:name="_Ref4874227"/>
      <w:r>
        <w:rPr>
          <w:rFonts w:hint="cs"/>
          <w:rtl/>
        </w:rPr>
        <w:t xml:space="preserve">והביא </w:t>
      </w:r>
      <w:r w:rsidRPr="00992C08">
        <w:rPr>
          <w:rStyle w:val="af9"/>
          <w:rFonts w:hint="cs"/>
          <w:rtl/>
        </w:rPr>
        <w:t>הקה"י בב"ק</w:t>
      </w:r>
      <w:r>
        <w:rPr>
          <w:rFonts w:hint="cs"/>
          <w:rtl/>
        </w:rPr>
        <w:t xml:space="preserve"> את דברי </w:t>
      </w:r>
      <w:r w:rsidRPr="00992C08">
        <w:rPr>
          <w:rStyle w:val="af9"/>
          <w:rFonts w:hint="cs"/>
          <w:rtl/>
        </w:rPr>
        <w:t>הגרעק"א</w:t>
      </w:r>
      <w:r>
        <w:rPr>
          <w:rFonts w:hint="cs"/>
          <w:rtl/>
        </w:rPr>
        <w:t xml:space="preserve"> </w:t>
      </w:r>
      <w:r w:rsidRPr="004A39C2">
        <w:rPr>
          <w:rStyle w:val="af7"/>
          <w:rFonts w:eastAsia="Guttman Hodes" w:hint="cs"/>
          <w:rtl/>
        </w:rPr>
        <w:t xml:space="preserve">(עי' אות </w:t>
      </w:r>
      <w:r w:rsidRPr="004A39C2">
        <w:rPr>
          <w:rStyle w:val="af7"/>
          <w:rFonts w:eastAsia="Guttman Hodes"/>
          <w:rtl/>
        </w:rPr>
        <w:fldChar w:fldCharType="begin"/>
      </w:r>
      <w:r w:rsidRPr="004A39C2">
        <w:rPr>
          <w:rStyle w:val="af7"/>
          <w:rFonts w:eastAsia="Guttman Hodes"/>
          <w:rtl/>
        </w:rPr>
        <w:instrText xml:space="preserve"> </w:instrText>
      </w:r>
      <w:r w:rsidRPr="004A39C2">
        <w:rPr>
          <w:rStyle w:val="af7"/>
          <w:rFonts w:eastAsia="Guttman Hodes" w:hint="cs"/>
        </w:rPr>
        <w:instrText>REF</w:instrText>
      </w:r>
      <w:r w:rsidRPr="004A39C2">
        <w:rPr>
          <w:rStyle w:val="af7"/>
          <w:rFonts w:eastAsia="Guttman Hodes" w:hint="cs"/>
          <w:rtl/>
        </w:rPr>
        <w:instrText xml:space="preserve"> _</w:instrText>
      </w:r>
      <w:r w:rsidRPr="004A39C2">
        <w:rPr>
          <w:rStyle w:val="af7"/>
          <w:rFonts w:eastAsia="Guttman Hodes" w:hint="cs"/>
        </w:rPr>
        <w:instrText>Ref4528268 \r \h</w:instrText>
      </w:r>
      <w:r w:rsidRPr="004A39C2">
        <w:rPr>
          <w:rStyle w:val="af7"/>
          <w:rFonts w:eastAsia="Guttman Hodes"/>
          <w:rtl/>
        </w:rPr>
        <w:instrText xml:space="preserve"> </w:instrText>
      </w:r>
      <w:r w:rsidRPr="004A39C2">
        <w:rPr>
          <w:rStyle w:val="af7"/>
          <w:rFonts w:eastAsia="Guttman Hodes"/>
          <w:rtl/>
        </w:rPr>
      </w:r>
      <w:r w:rsidRPr="004A39C2">
        <w:rPr>
          <w:rStyle w:val="af7"/>
          <w:rFonts w:eastAsia="Guttman Hodes"/>
          <w:rtl/>
        </w:rPr>
        <w:fldChar w:fldCharType="separate"/>
      </w:r>
      <w:r w:rsidR="00345400">
        <w:rPr>
          <w:rStyle w:val="af7"/>
          <w:rFonts w:eastAsia="Guttman Hodes"/>
          <w:cs/>
        </w:rPr>
        <w:t>‎</w:t>
      </w:r>
      <w:r w:rsidR="00345400">
        <w:rPr>
          <w:rStyle w:val="af7"/>
          <w:rFonts w:eastAsia="Guttman Hodes"/>
          <w:rtl/>
        </w:rPr>
        <w:t>יז)</w:t>
      </w:r>
      <w:r w:rsidRPr="004A39C2">
        <w:rPr>
          <w:rStyle w:val="af7"/>
          <w:rFonts w:eastAsia="Guttman Hodes"/>
          <w:rtl/>
        </w:rPr>
        <w:fldChar w:fldCharType="end"/>
      </w:r>
      <w:r>
        <w:rPr>
          <w:rFonts w:hint="cs"/>
          <w:rtl/>
        </w:rPr>
        <w:t xml:space="preserve"> וביאר </w:t>
      </w:r>
      <w:r w:rsidRPr="00992C08">
        <w:rPr>
          <w:rStyle w:val="af9"/>
          <w:rFonts w:hint="cs"/>
          <w:rtl/>
        </w:rPr>
        <w:t>הקה"י בב"ק</w:t>
      </w:r>
      <w:r>
        <w:rPr>
          <w:rFonts w:hint="cs"/>
          <w:rtl/>
        </w:rPr>
        <w:t xml:space="preserve"> דכוונת </w:t>
      </w:r>
      <w:r w:rsidRPr="00992C08">
        <w:rPr>
          <w:rStyle w:val="af9"/>
          <w:rFonts w:hint="cs"/>
          <w:rtl/>
        </w:rPr>
        <w:t>הגרעק"א</w:t>
      </w:r>
      <w:r>
        <w:rPr>
          <w:rFonts w:hint="cs"/>
          <w:rtl/>
        </w:rPr>
        <w:t xml:space="preserve"> לומר דכל שאנו באים להכשירו מכח "שחיטת אמו", יש לו גם את דין "טריפה דאמו", ורק כשנשחט והיתרו מצד עצמו, אין לו דין טריפה מכח אמו, וכתב </w:t>
      </w:r>
      <w:r w:rsidRPr="00992C08">
        <w:rPr>
          <w:rStyle w:val="af9"/>
          <w:rFonts w:hint="cs"/>
          <w:rtl/>
        </w:rPr>
        <w:t>הקה"י בב"ק</w:t>
      </w:r>
      <w:r>
        <w:rPr>
          <w:rFonts w:hint="cs"/>
          <w:rtl/>
        </w:rPr>
        <w:t xml:space="preserve"> דמבואר </w:t>
      </w:r>
      <w:r w:rsidRPr="00992C08">
        <w:rPr>
          <w:rStyle w:val="af9"/>
          <w:rFonts w:hint="cs"/>
          <w:rtl/>
        </w:rPr>
        <w:t>בגרעק"א</w:t>
      </w:r>
      <w:r>
        <w:rPr>
          <w:rFonts w:hint="cs"/>
          <w:rtl/>
        </w:rPr>
        <w:t xml:space="preserve"> דכל שלא נשחט איסורו הוא מדין טריפה ולא מדין אבר מן החי, וע"ע במה שביאר </w:t>
      </w:r>
      <w:r w:rsidRPr="0090741A">
        <w:rPr>
          <w:rStyle w:val="af9"/>
          <w:rFonts w:hint="cs"/>
          <w:rtl/>
        </w:rPr>
        <w:t xml:space="preserve">הקה"י </w:t>
      </w:r>
      <w:r>
        <w:rPr>
          <w:rStyle w:val="af9"/>
          <w:rFonts w:hint="cs"/>
          <w:rtl/>
        </w:rPr>
        <w:t>בסוגיין</w:t>
      </w:r>
      <w:r>
        <w:rPr>
          <w:rFonts w:hint="cs"/>
          <w:rtl/>
        </w:rPr>
        <w:t xml:space="preserve"> </w:t>
      </w:r>
      <w:r w:rsidRPr="00E50F9D">
        <w:rPr>
          <w:rStyle w:val="af7"/>
          <w:rFonts w:eastAsia="Guttman Hodes" w:hint="cs"/>
          <w:rtl/>
        </w:rPr>
        <w:t xml:space="preserve">(עי' אות </w:t>
      </w:r>
      <w:r w:rsidRPr="00E50F9D">
        <w:rPr>
          <w:rStyle w:val="af7"/>
          <w:rFonts w:eastAsia="Guttman Hodes"/>
          <w:rtl/>
        </w:rPr>
        <w:fldChar w:fldCharType="begin"/>
      </w:r>
      <w:r w:rsidRPr="00E50F9D">
        <w:rPr>
          <w:rStyle w:val="af7"/>
          <w:rFonts w:eastAsia="Guttman Hodes"/>
          <w:rtl/>
        </w:rPr>
        <w:instrText xml:space="preserve"> </w:instrText>
      </w:r>
      <w:r w:rsidRPr="00E50F9D">
        <w:rPr>
          <w:rStyle w:val="af7"/>
          <w:rFonts w:eastAsia="Guttman Hodes" w:hint="cs"/>
        </w:rPr>
        <w:instrText>REF</w:instrText>
      </w:r>
      <w:r w:rsidRPr="00E50F9D">
        <w:rPr>
          <w:rStyle w:val="af7"/>
          <w:rFonts w:eastAsia="Guttman Hodes" w:hint="cs"/>
          <w:rtl/>
        </w:rPr>
        <w:instrText xml:space="preserve"> _</w:instrText>
      </w:r>
      <w:r w:rsidRPr="00E50F9D">
        <w:rPr>
          <w:rStyle w:val="af7"/>
          <w:rFonts w:eastAsia="Guttman Hodes" w:hint="cs"/>
        </w:rPr>
        <w:instrText>Ref4491685 \r \h</w:instrText>
      </w:r>
      <w:r w:rsidRPr="00E50F9D">
        <w:rPr>
          <w:rStyle w:val="af7"/>
          <w:rFonts w:eastAsia="Guttman Hodes"/>
          <w:rtl/>
        </w:rPr>
        <w:instrText xml:space="preserve"> </w:instrText>
      </w:r>
      <w:r w:rsidRPr="00E50F9D">
        <w:rPr>
          <w:rStyle w:val="af7"/>
          <w:rFonts w:eastAsia="Guttman Hodes"/>
          <w:rtl/>
        </w:rPr>
      </w:r>
      <w:r w:rsidRPr="00E50F9D">
        <w:rPr>
          <w:rStyle w:val="af7"/>
          <w:rFonts w:eastAsia="Guttman Hodes"/>
          <w:rtl/>
        </w:rPr>
        <w:fldChar w:fldCharType="separate"/>
      </w:r>
      <w:r w:rsidR="00345400">
        <w:rPr>
          <w:rStyle w:val="af7"/>
          <w:rFonts w:eastAsia="Guttman Hodes"/>
          <w:cs/>
        </w:rPr>
        <w:t>‎</w:t>
      </w:r>
      <w:r w:rsidR="00345400">
        <w:rPr>
          <w:rStyle w:val="af7"/>
          <w:rFonts w:eastAsia="Guttman Hodes"/>
          <w:rtl/>
        </w:rPr>
        <w:t>סג)</w:t>
      </w:r>
      <w:r w:rsidRPr="00E50F9D">
        <w:rPr>
          <w:rStyle w:val="af7"/>
          <w:rFonts w:eastAsia="Guttman Hodes"/>
          <w:rtl/>
        </w:rPr>
        <w:fldChar w:fldCharType="end"/>
      </w:r>
      <w:r>
        <w:rPr>
          <w:rFonts w:hint="cs"/>
          <w:rtl/>
        </w:rPr>
        <w:t xml:space="preserve"> בדברי </w:t>
      </w:r>
      <w:r w:rsidRPr="0090741A">
        <w:rPr>
          <w:rStyle w:val="af9"/>
          <w:rFonts w:hint="cs"/>
          <w:rtl/>
        </w:rPr>
        <w:t>הגרעק"א</w:t>
      </w:r>
      <w:r>
        <w:rPr>
          <w:rFonts w:hint="cs"/>
          <w:rtl/>
        </w:rPr>
        <w:t>.</w:t>
      </w:r>
      <w:bookmarkEnd w:id="26520"/>
    </w:p>
    <w:p w14:paraId="53335F93" w14:textId="77777777" w:rsidR="003D504D" w:rsidRDefault="003D504D" w:rsidP="00BF39B2">
      <w:pPr>
        <w:pStyle w:val="1"/>
        <w:rPr>
          <w:rtl/>
        </w:rPr>
      </w:pPr>
      <w:bookmarkStart w:id="26521" w:name="_Toc4877708"/>
      <w:bookmarkStart w:id="26522" w:name="_Toc4878005"/>
      <w:bookmarkStart w:id="26523" w:name="_Toc4878149"/>
      <w:bookmarkStart w:id="26524" w:name="_Toc19392264"/>
      <w:bookmarkStart w:id="26525" w:name="_Toc19395761"/>
      <w:r>
        <w:rPr>
          <w:rFonts w:hint="cs"/>
          <w:rtl/>
        </w:rPr>
        <w:t>קושית הקה"י דלמ"ד דעובר לאו ירך אמו א"א לאוסרו בטריפה</w:t>
      </w:r>
      <w:bookmarkEnd w:id="26521"/>
      <w:bookmarkEnd w:id="26522"/>
      <w:bookmarkEnd w:id="26523"/>
      <w:bookmarkEnd w:id="26524"/>
      <w:bookmarkEnd w:id="26525"/>
    </w:p>
    <w:p w14:paraId="74E66E5B" w14:textId="77777777" w:rsidR="003D504D" w:rsidRDefault="003D504D" w:rsidP="003D504D">
      <w:pPr>
        <w:pStyle w:val="a3"/>
        <w:rPr>
          <w:rtl/>
        </w:rPr>
      </w:pPr>
      <w:bookmarkStart w:id="26526" w:name="_Toc4877709"/>
      <w:bookmarkStart w:id="26527" w:name="_Toc4878006"/>
      <w:bookmarkStart w:id="26528" w:name="_Toc4878150"/>
      <w:bookmarkStart w:id="26529" w:name="_Toc19392265"/>
      <w:bookmarkStart w:id="26530" w:name="_Toc19395762"/>
      <w:r>
        <w:rPr>
          <w:rFonts w:hint="cs"/>
          <w:rtl/>
        </w:rPr>
        <w:t>קושית הקה"י דביאור הגרעק"א הוא רק למ"ד דעובר ירך אמו ואי אינו ירך אמו צ"ב מהו איסורו</w:t>
      </w:r>
      <w:bookmarkEnd w:id="26526"/>
      <w:bookmarkEnd w:id="26527"/>
      <w:bookmarkEnd w:id="26528"/>
      <w:bookmarkEnd w:id="26529"/>
      <w:bookmarkEnd w:id="26530"/>
    </w:p>
    <w:p w14:paraId="47248A33" w14:textId="77777777" w:rsidR="003D504D" w:rsidRDefault="003D504D" w:rsidP="00223668">
      <w:pPr>
        <w:pStyle w:val="a0"/>
        <w:rPr>
          <w:rtl/>
        </w:rPr>
      </w:pPr>
      <w:r>
        <w:rPr>
          <w:rFonts w:hint="cs"/>
          <w:rtl/>
        </w:rPr>
        <w:t xml:space="preserve">אך הקשה </w:t>
      </w:r>
      <w:r w:rsidRPr="00992C08">
        <w:rPr>
          <w:rStyle w:val="af9"/>
          <w:rFonts w:hint="cs"/>
          <w:rtl/>
        </w:rPr>
        <w:t>הקה"י בב"ק</w:t>
      </w:r>
      <w:r>
        <w:rPr>
          <w:rFonts w:hint="cs"/>
          <w:rtl/>
        </w:rPr>
        <w:t xml:space="preserve"> דכל ביאור </w:t>
      </w:r>
      <w:r w:rsidRPr="00992C08">
        <w:rPr>
          <w:rStyle w:val="af9"/>
          <w:rFonts w:hint="cs"/>
          <w:rtl/>
        </w:rPr>
        <w:t>הגרעק"א</w:t>
      </w:r>
      <w:r>
        <w:rPr>
          <w:rFonts w:hint="cs"/>
          <w:rtl/>
        </w:rPr>
        <w:t xml:space="preserve"> שייך רק למ"ד דעובר ירך אמו, דכיון שכשהיה עובר חל עליו איסור הטריפה של אמו, והאיסור פוקע ממנו רק כשיש לו חיות בפנ"ע, לכן כשאנו באים להחשיבו כשחוט מכח אמו, עדיין נשאר בו האיסור טריפה שהיה עליו כשהיה עובר, ורק כשאנו מחשיבים אותו כחי בפנ"ע, ואין לו שייכות לאמו, ממילא פוקע ממנו האיסור שהיה עליו מדין ירך אמו, אבל למ"ד דעובר לאו ירך אמו, שאף בזמן שהיה עובר לא היה בו איסור  טריפה מכח אמו, ואיסורו הוא רק מחמת שלא נשחט, א"כ אחר שנשחטה אמו הטריפה, קשה אמאי אינו מותר בשחיטתה, לר"מ דשחיטה שאינה ראויה שמה שחיטה, דהרי שחיטת אמו חלה עליו, ואין בו איסור טריפה. </w:t>
      </w:r>
    </w:p>
    <w:p w14:paraId="5FD6AB28" w14:textId="77777777" w:rsidR="003D504D" w:rsidRDefault="003D504D" w:rsidP="00BF39B2">
      <w:pPr>
        <w:pStyle w:val="1"/>
        <w:rPr>
          <w:rtl/>
        </w:rPr>
      </w:pPr>
      <w:bookmarkStart w:id="26531" w:name="_Toc4877710"/>
      <w:bookmarkStart w:id="26532" w:name="_Toc4878007"/>
      <w:bookmarkStart w:id="26533" w:name="_Toc4878151"/>
      <w:bookmarkStart w:id="26534" w:name="_Toc19392266"/>
      <w:bookmarkStart w:id="26535" w:name="_Toc19395763"/>
      <w:r>
        <w:rPr>
          <w:rFonts w:hint="cs"/>
          <w:rtl/>
        </w:rPr>
        <w:t>ביאור הקה"י דאסור באינו זבוח מחמת שלא הותר בשחיטה</w:t>
      </w:r>
      <w:bookmarkEnd w:id="26531"/>
      <w:bookmarkEnd w:id="26532"/>
      <w:bookmarkEnd w:id="26533"/>
      <w:bookmarkEnd w:id="26534"/>
      <w:bookmarkEnd w:id="26535"/>
    </w:p>
    <w:p w14:paraId="4970F532" w14:textId="77777777" w:rsidR="003D504D" w:rsidRDefault="003D504D" w:rsidP="003D504D">
      <w:pPr>
        <w:pStyle w:val="a3"/>
      </w:pPr>
      <w:bookmarkStart w:id="26536" w:name="_Toc4877711"/>
      <w:bookmarkStart w:id="26537" w:name="_Toc4878008"/>
      <w:bookmarkStart w:id="26538" w:name="_Toc4878152"/>
      <w:bookmarkStart w:id="26539" w:name="_Toc19392267"/>
      <w:bookmarkStart w:id="26540" w:name="_Toc19395764"/>
      <w:r>
        <w:rPr>
          <w:rFonts w:hint="cs"/>
          <w:rtl/>
        </w:rPr>
        <w:t>דברי הקה"י דמודה ר"מ דשחיטת טריפה אינה שחיטה כלל לענין היתר אכילה</w:t>
      </w:r>
      <w:bookmarkEnd w:id="26536"/>
      <w:bookmarkEnd w:id="26537"/>
      <w:bookmarkEnd w:id="26538"/>
      <w:bookmarkEnd w:id="26539"/>
      <w:bookmarkEnd w:id="26540"/>
    </w:p>
    <w:p w14:paraId="0D7B6CF0" w14:textId="77777777" w:rsidR="003D504D" w:rsidRDefault="003D504D" w:rsidP="00223668">
      <w:pPr>
        <w:pStyle w:val="a0"/>
        <w:rPr>
          <w:rtl/>
        </w:rPr>
      </w:pPr>
      <w:r>
        <w:rPr>
          <w:rFonts w:hint="cs"/>
          <w:rtl/>
        </w:rPr>
        <w:t xml:space="preserve">וכתב </w:t>
      </w:r>
      <w:r w:rsidRPr="00992C08">
        <w:rPr>
          <w:rStyle w:val="af9"/>
          <w:rFonts w:hint="cs"/>
          <w:rtl/>
        </w:rPr>
        <w:t>הקה"י בב"ק</w:t>
      </w:r>
      <w:r>
        <w:rPr>
          <w:rFonts w:hint="cs"/>
          <w:rtl/>
        </w:rPr>
        <w:t xml:space="preserve"> </w:t>
      </w:r>
      <w:r w:rsidRPr="00992C08">
        <w:rPr>
          <w:rStyle w:val="af7"/>
          <w:rFonts w:eastAsia="Guttman Hodes" w:hint="cs"/>
          <w:rtl/>
        </w:rPr>
        <w:t xml:space="preserve">(סי' ל"ד אות ג' ד"ה והנראה) </w:t>
      </w:r>
      <w:r>
        <w:rPr>
          <w:rFonts w:hint="cs"/>
          <w:rtl/>
        </w:rPr>
        <w:t>דודאי שבשחיטת טריפה הוא דין מיוחד, דמודה ר"מ דשחיטה שאינה ראויה לא שמה שחיטה, דהא דחשיבא כשחיטה הוא רק לענין איסור אותו ואת בנו וכיסוי הדם, דסגי בזה בשחיטה שמטהרת מנבילה, אבל לענין היתר אכילה מודה ר"מ דשחיטת טריפה אינה שחיטה כלל.</w:t>
      </w:r>
    </w:p>
    <w:p w14:paraId="530EEAA2" w14:textId="77777777" w:rsidR="003D504D" w:rsidRPr="00E054C5" w:rsidRDefault="003D504D" w:rsidP="003D504D">
      <w:pPr>
        <w:pStyle w:val="a3"/>
      </w:pPr>
      <w:bookmarkStart w:id="26541" w:name="_Toc4877712"/>
      <w:bookmarkStart w:id="26542" w:name="_Toc4878009"/>
      <w:bookmarkStart w:id="26543" w:name="_Toc4878153"/>
      <w:bookmarkStart w:id="26544" w:name="_Toc19392268"/>
      <w:bookmarkStart w:id="26545" w:name="_Toc19395765"/>
      <w:r>
        <w:rPr>
          <w:rFonts w:hint="cs"/>
          <w:rtl/>
        </w:rPr>
        <w:t>קושית הקה"י דאף שחסר בהיתר שחיטה של הולד מ"מ צ"ב מהו איסורו</w:t>
      </w:r>
      <w:bookmarkEnd w:id="26541"/>
      <w:bookmarkEnd w:id="26542"/>
      <w:bookmarkEnd w:id="26543"/>
      <w:bookmarkEnd w:id="26544"/>
      <w:bookmarkEnd w:id="26545"/>
    </w:p>
    <w:p w14:paraId="7E4C3292" w14:textId="77777777" w:rsidR="003D504D" w:rsidRPr="00EE0E76" w:rsidRDefault="003D504D" w:rsidP="00223668">
      <w:pPr>
        <w:pStyle w:val="a0"/>
        <w:rPr>
          <w:rtl/>
        </w:rPr>
      </w:pPr>
      <w:r>
        <w:rPr>
          <w:rFonts w:hint="cs"/>
          <w:rtl/>
        </w:rPr>
        <w:t xml:space="preserve">אך הקשה </w:t>
      </w:r>
      <w:r w:rsidRPr="00992C08">
        <w:rPr>
          <w:rStyle w:val="af9"/>
          <w:rFonts w:hint="cs"/>
          <w:rtl/>
        </w:rPr>
        <w:t>הקה"י בב"ק</w:t>
      </w:r>
      <w:r>
        <w:rPr>
          <w:rFonts w:hint="cs"/>
          <w:rtl/>
        </w:rPr>
        <w:t xml:space="preserve"> </w:t>
      </w:r>
      <w:r w:rsidRPr="00992C08">
        <w:rPr>
          <w:rStyle w:val="af7"/>
          <w:rFonts w:eastAsia="Guttman Hodes" w:hint="cs"/>
          <w:rtl/>
        </w:rPr>
        <w:t>(סי' ל"ד אות ג' ד"ה</w:t>
      </w:r>
      <w:r>
        <w:rPr>
          <w:rStyle w:val="af7"/>
          <w:rFonts w:eastAsia="Guttman Hodes" w:hint="cs"/>
          <w:rtl/>
        </w:rPr>
        <w:t xml:space="preserve"> אך מ"מ)</w:t>
      </w:r>
      <w:r w:rsidRPr="00992C08">
        <w:rPr>
          <w:rStyle w:val="af7"/>
          <w:rFonts w:eastAsia="Guttman Hodes" w:hint="cs"/>
          <w:rtl/>
        </w:rPr>
        <w:t xml:space="preserve"> </w:t>
      </w:r>
      <w:r>
        <w:rPr>
          <w:rFonts w:hint="cs"/>
          <w:rtl/>
        </w:rPr>
        <w:t xml:space="preserve">דאף שחסר לו ההיתר שחיטה, מ"מ צ"ב מהו איסורו של בן ח' חי ובן ט' מת, הרי ואיסור טריפה אין בו למ"ד דעובר לאו ירך אמו, ולענין אבר מן החי ונבילה ביאר </w:t>
      </w:r>
      <w:r w:rsidRPr="00992C08">
        <w:rPr>
          <w:rStyle w:val="af9"/>
          <w:rFonts w:hint="cs"/>
          <w:rtl/>
        </w:rPr>
        <w:t>הגרעק"א</w:t>
      </w:r>
      <w:r>
        <w:rPr>
          <w:rFonts w:hint="cs"/>
          <w:rtl/>
        </w:rPr>
        <w:t xml:space="preserve"> </w:t>
      </w:r>
      <w:r w:rsidRPr="009C3FB1">
        <w:rPr>
          <w:rStyle w:val="af7"/>
          <w:rFonts w:eastAsia="Guttman Hodes" w:hint="cs"/>
          <w:rtl/>
        </w:rPr>
        <w:t xml:space="preserve">(עי' אות </w:t>
      </w:r>
      <w:r w:rsidRPr="009C3FB1">
        <w:rPr>
          <w:rStyle w:val="af7"/>
          <w:rFonts w:eastAsia="Guttman Hodes"/>
          <w:rtl/>
        </w:rPr>
        <w:fldChar w:fldCharType="begin"/>
      </w:r>
      <w:r w:rsidRPr="009C3FB1">
        <w:rPr>
          <w:rStyle w:val="af7"/>
          <w:rFonts w:eastAsia="Guttman Hodes"/>
          <w:rtl/>
        </w:rPr>
        <w:instrText xml:space="preserve"> </w:instrText>
      </w:r>
      <w:r w:rsidRPr="009C3FB1">
        <w:rPr>
          <w:rStyle w:val="af7"/>
          <w:rFonts w:eastAsia="Guttman Hodes" w:hint="cs"/>
        </w:rPr>
        <w:instrText>REF</w:instrText>
      </w:r>
      <w:r w:rsidRPr="009C3FB1">
        <w:rPr>
          <w:rStyle w:val="af7"/>
          <w:rFonts w:eastAsia="Guttman Hodes" w:hint="cs"/>
          <w:rtl/>
        </w:rPr>
        <w:instrText xml:space="preserve"> _</w:instrText>
      </w:r>
      <w:r w:rsidRPr="009C3FB1">
        <w:rPr>
          <w:rStyle w:val="af7"/>
          <w:rFonts w:eastAsia="Guttman Hodes" w:hint="cs"/>
        </w:rPr>
        <w:instrText>Ref4605710 \r \h</w:instrText>
      </w:r>
      <w:r w:rsidRPr="009C3FB1">
        <w:rPr>
          <w:rStyle w:val="af7"/>
          <w:rFonts w:eastAsia="Guttman Hodes"/>
          <w:rtl/>
        </w:rPr>
        <w:instrText xml:space="preserve"> </w:instrText>
      </w:r>
      <w:r w:rsidRPr="009C3FB1">
        <w:rPr>
          <w:rStyle w:val="af7"/>
          <w:rFonts w:eastAsia="Guttman Hodes"/>
          <w:rtl/>
        </w:rPr>
      </w:r>
      <w:r w:rsidRPr="009C3FB1">
        <w:rPr>
          <w:rStyle w:val="af7"/>
          <w:rFonts w:eastAsia="Guttman Hodes"/>
          <w:rtl/>
        </w:rPr>
        <w:fldChar w:fldCharType="separate"/>
      </w:r>
      <w:r w:rsidR="00345400">
        <w:rPr>
          <w:rStyle w:val="af7"/>
          <w:rFonts w:eastAsia="Guttman Hodes"/>
          <w:cs/>
        </w:rPr>
        <w:t>‎</w:t>
      </w:r>
      <w:r w:rsidR="00345400">
        <w:rPr>
          <w:rStyle w:val="af7"/>
          <w:rFonts w:eastAsia="Guttman Hodes"/>
          <w:rtl/>
        </w:rPr>
        <w:t>טז)</w:t>
      </w:r>
      <w:r w:rsidRPr="009C3FB1">
        <w:rPr>
          <w:rStyle w:val="af7"/>
          <w:rFonts w:eastAsia="Guttman Hodes"/>
          <w:rtl/>
        </w:rPr>
        <w:fldChar w:fldCharType="end"/>
      </w:r>
      <w:r>
        <w:rPr>
          <w:rFonts w:hint="cs"/>
          <w:rtl/>
        </w:rPr>
        <w:t xml:space="preserve"> דשחיטת אמו הטריפה מתירתו, כמו שמועילה השחיטה להתיר את האם עצמה.</w:t>
      </w:r>
    </w:p>
    <w:p w14:paraId="4C3D168E" w14:textId="77777777" w:rsidR="003D504D" w:rsidRDefault="003D504D" w:rsidP="003D504D">
      <w:pPr>
        <w:pStyle w:val="a3"/>
        <w:rPr>
          <w:rtl/>
        </w:rPr>
      </w:pPr>
      <w:bookmarkStart w:id="26546" w:name="_Toc4877713"/>
      <w:bookmarkStart w:id="26547" w:name="_Toc4878010"/>
      <w:bookmarkStart w:id="26548" w:name="_Toc4878154"/>
      <w:bookmarkStart w:id="26549" w:name="_Toc19392269"/>
      <w:bookmarkStart w:id="26550" w:name="_Toc19395766"/>
      <w:r>
        <w:rPr>
          <w:rFonts w:hint="cs"/>
          <w:rtl/>
        </w:rPr>
        <w:t>דברי הקה"י דהולד אסור באיסור עשה דאינו זבוח</w:t>
      </w:r>
      <w:bookmarkEnd w:id="26546"/>
      <w:bookmarkEnd w:id="26547"/>
      <w:bookmarkEnd w:id="26548"/>
      <w:bookmarkEnd w:id="26549"/>
      <w:bookmarkEnd w:id="26550"/>
    </w:p>
    <w:p w14:paraId="5E9727D1" w14:textId="77777777" w:rsidR="003D504D" w:rsidRDefault="003D504D" w:rsidP="00223668">
      <w:pPr>
        <w:pStyle w:val="a0"/>
        <w:rPr>
          <w:sz w:val="12"/>
          <w:szCs w:val="14"/>
          <w:rtl/>
        </w:rPr>
      </w:pPr>
      <w:bookmarkStart w:id="26551" w:name="_Ref4876037"/>
      <w:r>
        <w:rPr>
          <w:rFonts w:hint="cs"/>
          <w:rtl/>
        </w:rPr>
        <w:t xml:space="preserve">אלא ביאר </w:t>
      </w:r>
      <w:r w:rsidRPr="00992C08">
        <w:rPr>
          <w:rStyle w:val="af9"/>
          <w:rFonts w:hint="cs"/>
          <w:rtl/>
        </w:rPr>
        <w:t>הקה"י בב"ק</w:t>
      </w:r>
      <w:r>
        <w:rPr>
          <w:rFonts w:hint="cs"/>
          <w:rtl/>
        </w:rPr>
        <w:t xml:space="preserve"> </w:t>
      </w:r>
      <w:r w:rsidRPr="00992C08">
        <w:rPr>
          <w:rStyle w:val="af7"/>
          <w:rFonts w:eastAsia="Guttman Hodes" w:hint="cs"/>
          <w:rtl/>
        </w:rPr>
        <w:t>(סי' ל"ד אות ג' ד"ה</w:t>
      </w:r>
      <w:r>
        <w:rPr>
          <w:rStyle w:val="af7"/>
          <w:rFonts w:eastAsia="Guttman Hodes" w:hint="cs"/>
          <w:rtl/>
        </w:rPr>
        <w:t xml:space="preserve"> ונראה דאית)</w:t>
      </w:r>
      <w:r w:rsidRPr="00992C08">
        <w:rPr>
          <w:rStyle w:val="af7"/>
          <w:rFonts w:eastAsia="Guttman Hodes" w:hint="cs"/>
          <w:rtl/>
        </w:rPr>
        <w:t xml:space="preserve"> </w:t>
      </w:r>
      <w:r>
        <w:rPr>
          <w:rFonts w:hint="cs"/>
          <w:rtl/>
        </w:rPr>
        <w:t xml:space="preserve">דכיון שחסר בהיתר שחיטה של הולד, א"כ  אסור מדין אינו זבוח, כדכתבו </w:t>
      </w:r>
      <w:r>
        <w:rPr>
          <w:rStyle w:val="af9"/>
          <w:rFonts w:hint="cs"/>
          <w:rtl/>
        </w:rPr>
        <w:t>ה</w:t>
      </w:r>
      <w:r w:rsidRPr="007750D6">
        <w:rPr>
          <w:rStyle w:val="af9"/>
          <w:rFonts w:hint="cs"/>
          <w:rtl/>
        </w:rPr>
        <w:t>תוס' בשבועות</w:t>
      </w:r>
      <w:r>
        <w:rPr>
          <w:rFonts w:hint="cs"/>
          <w:rtl/>
        </w:rPr>
        <w:t xml:space="preserve"> </w:t>
      </w:r>
      <w:r w:rsidRPr="007750D6">
        <w:rPr>
          <w:rStyle w:val="af7"/>
          <w:rFonts w:eastAsia="Guttman Hodes" w:hint="cs"/>
          <w:rtl/>
        </w:rPr>
        <w:t>(כד. ד"ה האוכל)</w:t>
      </w:r>
      <w:r>
        <w:rPr>
          <w:rFonts w:hint="cs"/>
          <w:rtl/>
        </w:rPr>
        <w:t xml:space="preserve"> דבהמה שלא נשחטה אסורה באיסור עשה דאינו זבוח, וכ"כ </w:t>
      </w:r>
      <w:r w:rsidRPr="001025A1">
        <w:rPr>
          <w:rStyle w:val="af9"/>
          <w:rFonts w:hint="cs"/>
          <w:rtl/>
        </w:rPr>
        <w:t>האמרי משה</w:t>
      </w:r>
      <w:r>
        <w:rPr>
          <w:rFonts w:hint="cs"/>
          <w:rtl/>
        </w:rPr>
        <w:t xml:space="preserve"> </w:t>
      </w:r>
      <w:r w:rsidRPr="001025A1">
        <w:rPr>
          <w:rStyle w:val="af7"/>
          <w:rFonts w:eastAsia="Guttman Hodes" w:hint="cs"/>
          <w:rtl/>
        </w:rPr>
        <w:t xml:space="preserve">(עי' אות </w:t>
      </w:r>
      <w:r w:rsidRPr="001025A1">
        <w:rPr>
          <w:rStyle w:val="af7"/>
          <w:rFonts w:eastAsia="Guttman Hodes"/>
          <w:rtl/>
        </w:rPr>
        <w:fldChar w:fldCharType="begin"/>
      </w:r>
      <w:r w:rsidRPr="001025A1">
        <w:rPr>
          <w:rStyle w:val="af7"/>
          <w:rFonts w:eastAsia="Guttman Hodes"/>
          <w:rtl/>
        </w:rPr>
        <w:instrText xml:space="preserve"> </w:instrText>
      </w:r>
      <w:r w:rsidRPr="001025A1">
        <w:rPr>
          <w:rStyle w:val="af7"/>
          <w:rFonts w:eastAsia="Guttman Hodes" w:hint="cs"/>
        </w:rPr>
        <w:instrText>REF</w:instrText>
      </w:r>
      <w:r w:rsidRPr="001025A1">
        <w:rPr>
          <w:rStyle w:val="af7"/>
          <w:rFonts w:eastAsia="Guttman Hodes" w:hint="cs"/>
          <w:rtl/>
        </w:rPr>
        <w:instrText xml:space="preserve"> _</w:instrText>
      </w:r>
      <w:r w:rsidRPr="001025A1">
        <w:rPr>
          <w:rStyle w:val="af7"/>
          <w:rFonts w:eastAsia="Guttman Hodes" w:hint="cs"/>
        </w:rPr>
        <w:instrText>Ref4687019 \r \h</w:instrText>
      </w:r>
      <w:r w:rsidRPr="001025A1">
        <w:rPr>
          <w:rStyle w:val="af7"/>
          <w:rFonts w:eastAsia="Guttman Hodes"/>
          <w:rtl/>
        </w:rPr>
        <w:instrText xml:space="preserve"> </w:instrText>
      </w:r>
      <w:r w:rsidRPr="001025A1">
        <w:rPr>
          <w:rStyle w:val="af7"/>
          <w:rFonts w:eastAsia="Guttman Hodes"/>
          <w:rtl/>
        </w:rPr>
      </w:r>
      <w:r w:rsidRPr="001025A1">
        <w:rPr>
          <w:rStyle w:val="af7"/>
          <w:rFonts w:eastAsia="Guttman Hodes"/>
          <w:rtl/>
        </w:rPr>
        <w:fldChar w:fldCharType="separate"/>
      </w:r>
      <w:r w:rsidR="00345400">
        <w:rPr>
          <w:rStyle w:val="af7"/>
          <w:rFonts w:eastAsia="Guttman Hodes"/>
          <w:cs/>
        </w:rPr>
        <w:t>‎</w:t>
      </w:r>
      <w:r w:rsidR="00345400">
        <w:rPr>
          <w:rStyle w:val="af7"/>
          <w:rFonts w:eastAsia="Guttman Hodes"/>
          <w:rtl/>
        </w:rPr>
        <w:t>נו)</w:t>
      </w:r>
      <w:r w:rsidRPr="001025A1">
        <w:rPr>
          <w:rStyle w:val="af7"/>
          <w:rFonts w:eastAsia="Guttman Hodes"/>
          <w:rtl/>
        </w:rPr>
        <w:fldChar w:fldCharType="end"/>
      </w:r>
      <w:r>
        <w:rPr>
          <w:rFonts w:hint="cs"/>
          <w:rtl/>
        </w:rPr>
        <w:t>.</w:t>
      </w:r>
      <w:bookmarkEnd w:id="26551"/>
    </w:p>
    <w:p w14:paraId="67DF5BC8" w14:textId="77777777" w:rsidR="003D504D" w:rsidRPr="00196AF4" w:rsidRDefault="003D504D" w:rsidP="003D504D">
      <w:pPr>
        <w:pStyle w:val="a3"/>
      </w:pPr>
      <w:bookmarkStart w:id="26552" w:name="_Toc4877714"/>
      <w:bookmarkStart w:id="26553" w:name="_Toc4878011"/>
      <w:bookmarkStart w:id="26554" w:name="_Toc4878155"/>
      <w:bookmarkStart w:id="26555" w:name="_Toc19392270"/>
      <w:bookmarkStart w:id="26556" w:name="_Toc19395767"/>
      <w:r>
        <w:rPr>
          <w:rFonts w:hint="cs"/>
          <w:rtl/>
        </w:rPr>
        <w:t>דברי הקה"י דלדעת הריצב"א דאין איסור אינו זבוח צ"ל דלר"מ השחיטה אינה מתירה באכילה כלל</w:t>
      </w:r>
      <w:bookmarkEnd w:id="26552"/>
      <w:bookmarkEnd w:id="26553"/>
      <w:bookmarkEnd w:id="26554"/>
      <w:bookmarkEnd w:id="26555"/>
      <w:bookmarkEnd w:id="26556"/>
    </w:p>
    <w:p w14:paraId="7ED10635" w14:textId="77777777" w:rsidR="003D504D" w:rsidRPr="00113798" w:rsidRDefault="003D504D" w:rsidP="00223668">
      <w:pPr>
        <w:pStyle w:val="a0"/>
        <w:rPr>
          <w:rStyle w:val="afb"/>
          <w:rtl/>
        </w:rPr>
      </w:pPr>
      <w:r>
        <w:rPr>
          <w:rFonts w:hint="cs"/>
          <w:rtl/>
        </w:rPr>
        <w:t xml:space="preserve">אך הקשה </w:t>
      </w:r>
      <w:r w:rsidRPr="00992C08">
        <w:rPr>
          <w:rStyle w:val="af9"/>
          <w:rFonts w:hint="cs"/>
          <w:rtl/>
        </w:rPr>
        <w:t>הקה"י בב"ק</w:t>
      </w:r>
      <w:r>
        <w:rPr>
          <w:rFonts w:hint="cs"/>
          <w:rtl/>
        </w:rPr>
        <w:t xml:space="preserve"> על דעת </w:t>
      </w:r>
      <w:r w:rsidRPr="007750D6">
        <w:rPr>
          <w:rStyle w:val="af9"/>
          <w:rFonts w:hint="cs"/>
          <w:rtl/>
        </w:rPr>
        <w:t>הריצב"א בתוס' בשבועות</w:t>
      </w:r>
      <w:r>
        <w:rPr>
          <w:rFonts w:hint="cs"/>
          <w:rtl/>
        </w:rPr>
        <w:t xml:space="preserve"> דס"ל דאין איסור עשה דאינו זבוח, דא"כ מהו איסורו של הולד, וכתב </w:t>
      </w:r>
      <w:r w:rsidRPr="00992C08">
        <w:rPr>
          <w:rStyle w:val="af9"/>
          <w:rFonts w:hint="cs"/>
          <w:rtl/>
        </w:rPr>
        <w:t>הקה"י</w:t>
      </w:r>
      <w:r>
        <w:rPr>
          <w:rFonts w:hint="cs"/>
          <w:rtl/>
        </w:rPr>
        <w:t xml:space="preserve"> דצ"ל </w:t>
      </w:r>
      <w:r w:rsidRPr="00992C08">
        <w:rPr>
          <w:rStyle w:val="af9"/>
          <w:rFonts w:hint="cs"/>
          <w:rtl/>
        </w:rPr>
        <w:t>להריצב"א</w:t>
      </w:r>
      <w:r>
        <w:rPr>
          <w:rFonts w:hint="cs"/>
          <w:rtl/>
        </w:rPr>
        <w:t xml:space="preserve"> דס"ל לר"מ דשחיטת הטריפה אינה מתירה לאיסור אכילה כלל. </w:t>
      </w:r>
      <w:r w:rsidRPr="00113798">
        <w:rPr>
          <w:rStyle w:val="afb"/>
          <w:rFonts w:hint="cs"/>
          <w:rtl/>
        </w:rPr>
        <w:t>[והיינו דהולד עדיין נשאר באיסור אבר מן החי].</w:t>
      </w:r>
    </w:p>
    <w:p w14:paraId="33E81771" w14:textId="77777777" w:rsidR="003D504D" w:rsidRDefault="003D504D" w:rsidP="00BF39B2">
      <w:pPr>
        <w:pStyle w:val="1"/>
        <w:rPr>
          <w:rtl/>
        </w:rPr>
      </w:pPr>
      <w:bookmarkStart w:id="26557" w:name="_Toc4877715"/>
      <w:bookmarkStart w:id="26558" w:name="_Toc4878012"/>
      <w:bookmarkStart w:id="26559" w:name="_Toc4878156"/>
      <w:bookmarkStart w:id="26560" w:name="_Toc19392271"/>
      <w:bookmarkStart w:id="26561" w:name="_Toc19395768"/>
      <w:r>
        <w:rPr>
          <w:rFonts w:hint="cs"/>
          <w:rtl/>
        </w:rPr>
        <w:t>ביאור הקה"י ברמב"ם דאף שלא נשחט הוי טריפה כאבר דאמו</w:t>
      </w:r>
      <w:bookmarkEnd w:id="26557"/>
      <w:bookmarkEnd w:id="26558"/>
      <w:bookmarkEnd w:id="26559"/>
      <w:bookmarkEnd w:id="26560"/>
      <w:bookmarkEnd w:id="26561"/>
    </w:p>
    <w:p w14:paraId="69D80B03" w14:textId="77777777" w:rsidR="003D504D" w:rsidRDefault="003D504D" w:rsidP="003D504D">
      <w:pPr>
        <w:pStyle w:val="a3"/>
        <w:rPr>
          <w:rtl/>
        </w:rPr>
      </w:pPr>
      <w:bookmarkStart w:id="26562" w:name="_Toc4877716"/>
      <w:bookmarkStart w:id="26563" w:name="_Toc4878013"/>
      <w:bookmarkStart w:id="26564" w:name="_Toc4878157"/>
      <w:bookmarkStart w:id="26565" w:name="_Toc19392272"/>
      <w:bookmarkStart w:id="26566" w:name="_Toc19395769"/>
      <w:r>
        <w:rPr>
          <w:rFonts w:hint="cs"/>
          <w:rtl/>
        </w:rPr>
        <w:t>קושית הקה"י על הרמב"ם דאי שחיטת האם אינה מתירה את הולד אמאי כתב דהוא כירך אמו</w:t>
      </w:r>
      <w:bookmarkEnd w:id="26562"/>
      <w:bookmarkEnd w:id="26563"/>
      <w:bookmarkEnd w:id="26564"/>
      <w:bookmarkEnd w:id="26565"/>
      <w:bookmarkEnd w:id="26566"/>
    </w:p>
    <w:p w14:paraId="202B5E70" w14:textId="77777777" w:rsidR="003D504D" w:rsidRDefault="003D504D" w:rsidP="00223668">
      <w:pPr>
        <w:pStyle w:val="a0"/>
        <w:rPr>
          <w:rtl/>
        </w:rPr>
      </w:pPr>
      <w:bookmarkStart w:id="26567" w:name="_Ref4876202"/>
      <w:r>
        <w:rPr>
          <w:rFonts w:hint="cs"/>
          <w:rtl/>
        </w:rPr>
        <w:t xml:space="preserve">והקשה </w:t>
      </w:r>
      <w:r w:rsidRPr="00113798">
        <w:rPr>
          <w:rStyle w:val="af9"/>
          <w:rFonts w:hint="cs"/>
          <w:rtl/>
        </w:rPr>
        <w:t>הקה"י בב"ק</w:t>
      </w:r>
      <w:r w:rsidRPr="00113798">
        <w:rPr>
          <w:rStyle w:val="af7"/>
          <w:rFonts w:eastAsia="Guttman Hodes" w:hint="cs"/>
          <w:rtl/>
        </w:rPr>
        <w:t xml:space="preserve"> (סי' ל"ד אות ג' ד"ה ועכ"פ) </w:t>
      </w:r>
      <w:r>
        <w:rPr>
          <w:rFonts w:hint="cs"/>
          <w:rtl/>
        </w:rPr>
        <w:t xml:space="preserve">דכיון דמבואר דשחיטת האם הטריפה אינה מתירה את הולד, אמאי הוצרך </w:t>
      </w:r>
      <w:r w:rsidRPr="00113798">
        <w:rPr>
          <w:rStyle w:val="af9"/>
          <w:rFonts w:hint="cs"/>
          <w:rtl/>
        </w:rPr>
        <w:t>הרמב"ם</w:t>
      </w:r>
      <w:r>
        <w:rPr>
          <w:rFonts w:hint="cs"/>
          <w:rtl/>
        </w:rPr>
        <w:t xml:space="preserve"> </w:t>
      </w:r>
      <w:r w:rsidRPr="00B71B6D">
        <w:rPr>
          <w:rStyle w:val="af7"/>
          <w:rFonts w:eastAsia="Guttman Hodes" w:hint="cs"/>
          <w:rtl/>
        </w:rPr>
        <w:t xml:space="preserve">(עי' אות </w:t>
      </w:r>
      <w:r w:rsidRPr="00B71B6D">
        <w:rPr>
          <w:rStyle w:val="af7"/>
          <w:rFonts w:eastAsia="Guttman Hodes"/>
          <w:rtl/>
        </w:rPr>
        <w:fldChar w:fldCharType="begin"/>
      </w:r>
      <w:r w:rsidRPr="00B71B6D">
        <w:rPr>
          <w:rStyle w:val="af7"/>
          <w:rFonts w:eastAsia="Guttman Hodes"/>
          <w:rtl/>
        </w:rPr>
        <w:instrText xml:space="preserve"> </w:instrText>
      </w:r>
      <w:r w:rsidRPr="00B71B6D">
        <w:rPr>
          <w:rStyle w:val="af7"/>
          <w:rFonts w:eastAsia="Guttman Hodes" w:hint="cs"/>
        </w:rPr>
        <w:instrText>REF</w:instrText>
      </w:r>
      <w:r w:rsidRPr="00B71B6D">
        <w:rPr>
          <w:rStyle w:val="af7"/>
          <w:rFonts w:eastAsia="Guttman Hodes" w:hint="cs"/>
          <w:rtl/>
        </w:rPr>
        <w:instrText xml:space="preserve"> _</w:instrText>
      </w:r>
      <w:r w:rsidRPr="00B71B6D">
        <w:rPr>
          <w:rStyle w:val="af7"/>
          <w:rFonts w:eastAsia="Guttman Hodes" w:hint="cs"/>
        </w:rPr>
        <w:instrText>Ref4606067 \r \h</w:instrText>
      </w:r>
      <w:r w:rsidRPr="00B71B6D">
        <w:rPr>
          <w:rStyle w:val="af7"/>
          <w:rFonts w:eastAsia="Guttman Hodes"/>
          <w:rtl/>
        </w:rPr>
        <w:instrText xml:space="preserve"> </w:instrText>
      </w:r>
      <w:r w:rsidRPr="00B71B6D">
        <w:rPr>
          <w:rStyle w:val="af7"/>
          <w:rFonts w:eastAsia="Guttman Hodes"/>
          <w:rtl/>
        </w:rPr>
      </w:r>
      <w:r w:rsidRPr="00B71B6D">
        <w:rPr>
          <w:rStyle w:val="af7"/>
          <w:rFonts w:eastAsia="Guttman Hodes"/>
          <w:rtl/>
        </w:rPr>
        <w:fldChar w:fldCharType="separate"/>
      </w:r>
      <w:r w:rsidR="00345400">
        <w:rPr>
          <w:rStyle w:val="af7"/>
          <w:rFonts w:eastAsia="Guttman Hodes"/>
          <w:cs/>
        </w:rPr>
        <w:t>‎</w:t>
      </w:r>
      <w:r w:rsidR="00345400">
        <w:rPr>
          <w:rStyle w:val="af7"/>
          <w:rFonts w:eastAsia="Guttman Hodes"/>
          <w:rtl/>
        </w:rPr>
        <w:t>כד)</w:t>
      </w:r>
      <w:r w:rsidRPr="00B71B6D">
        <w:rPr>
          <w:rStyle w:val="af7"/>
          <w:rFonts w:eastAsia="Guttman Hodes"/>
          <w:rtl/>
        </w:rPr>
        <w:fldChar w:fldCharType="end"/>
      </w:r>
      <w:r>
        <w:rPr>
          <w:rFonts w:hint="cs"/>
          <w:rtl/>
        </w:rPr>
        <w:t xml:space="preserve"> לכתוב דהולד אסור כיון שהוא ירך אמו, הרי בלא"ה הוא אסור, כיון שלא הועילה לו השחיטה.</w:t>
      </w:r>
      <w:bookmarkEnd w:id="26567"/>
    </w:p>
    <w:p w14:paraId="3AD2BB31" w14:textId="77777777" w:rsidR="003D504D" w:rsidRDefault="003D504D" w:rsidP="003D504D">
      <w:pPr>
        <w:pStyle w:val="a3"/>
        <w:rPr>
          <w:rtl/>
        </w:rPr>
      </w:pPr>
      <w:bookmarkStart w:id="26568" w:name="_Toc4877717"/>
      <w:bookmarkStart w:id="26569" w:name="_Toc4878014"/>
      <w:bookmarkStart w:id="26570" w:name="_Toc4878158"/>
      <w:bookmarkStart w:id="26571" w:name="_Toc19392273"/>
      <w:bookmarkStart w:id="26572" w:name="_Toc19395770"/>
      <w:r>
        <w:rPr>
          <w:rFonts w:hint="cs"/>
          <w:rtl/>
        </w:rPr>
        <w:t>ביאור הקה"י ברמב"ם דאיסור הולד הוא מדין טריפה כיון שהוא ירך אמו ובלא"ה היה רק אינו זבוח</w:t>
      </w:r>
      <w:bookmarkEnd w:id="26568"/>
      <w:bookmarkEnd w:id="26569"/>
      <w:bookmarkEnd w:id="26570"/>
      <w:bookmarkEnd w:id="26571"/>
      <w:bookmarkEnd w:id="26572"/>
    </w:p>
    <w:p w14:paraId="41640BBC" w14:textId="77777777" w:rsidR="003D504D" w:rsidRDefault="003D504D" w:rsidP="00223668">
      <w:pPr>
        <w:pStyle w:val="a0"/>
        <w:rPr>
          <w:rtl/>
        </w:rPr>
      </w:pPr>
      <w:r>
        <w:rPr>
          <w:rFonts w:hint="cs"/>
          <w:rtl/>
        </w:rPr>
        <w:t xml:space="preserve">ותירץ </w:t>
      </w:r>
      <w:r w:rsidRPr="00113798">
        <w:rPr>
          <w:rStyle w:val="af9"/>
          <w:rFonts w:hint="cs"/>
          <w:rtl/>
        </w:rPr>
        <w:t>הקה"י</w:t>
      </w:r>
      <w:r>
        <w:rPr>
          <w:rFonts w:hint="cs"/>
          <w:rtl/>
        </w:rPr>
        <w:t xml:space="preserve"> דכוונת </w:t>
      </w:r>
      <w:r w:rsidRPr="00113798">
        <w:rPr>
          <w:rStyle w:val="af9"/>
          <w:rFonts w:hint="cs"/>
          <w:rtl/>
        </w:rPr>
        <w:t>הרמב"ם</w:t>
      </w:r>
      <w:r>
        <w:rPr>
          <w:rFonts w:hint="cs"/>
          <w:rtl/>
        </w:rPr>
        <w:t xml:space="preserve"> לומר דגדר האיסור של הולד הוא מדין טריפה, כיון שהוא כאבר דאמו, אבל אם לא היה נחשב כאבר דאמו, היה בו רק איסור עשה דאינו זבוח, ולא היה אסור באיסור טריפה, וכדכתב </w:t>
      </w:r>
      <w:r w:rsidRPr="001025A1">
        <w:rPr>
          <w:rStyle w:val="af9"/>
          <w:rFonts w:hint="cs"/>
          <w:rtl/>
        </w:rPr>
        <w:t xml:space="preserve">הקה"י בסוגיין </w:t>
      </w:r>
      <w:r w:rsidRPr="001025A1">
        <w:rPr>
          <w:rStyle w:val="af7"/>
          <w:rFonts w:eastAsia="Guttman Hodes" w:hint="cs"/>
          <w:rtl/>
        </w:rPr>
        <w:t xml:space="preserve">(עי' אות </w:t>
      </w:r>
      <w:r w:rsidRPr="001025A1">
        <w:rPr>
          <w:rStyle w:val="af7"/>
          <w:rFonts w:eastAsia="Guttman Hodes"/>
          <w:rtl/>
        </w:rPr>
        <w:fldChar w:fldCharType="begin"/>
      </w:r>
      <w:r w:rsidRPr="001025A1">
        <w:rPr>
          <w:rStyle w:val="af7"/>
          <w:rFonts w:eastAsia="Guttman Hodes"/>
          <w:rtl/>
        </w:rPr>
        <w:instrText xml:space="preserve"> </w:instrText>
      </w:r>
      <w:r w:rsidRPr="001025A1">
        <w:rPr>
          <w:rStyle w:val="af7"/>
          <w:rFonts w:eastAsia="Guttman Hodes" w:hint="cs"/>
        </w:rPr>
        <w:instrText>REF</w:instrText>
      </w:r>
      <w:r w:rsidRPr="001025A1">
        <w:rPr>
          <w:rStyle w:val="af7"/>
          <w:rFonts w:eastAsia="Guttman Hodes" w:hint="cs"/>
          <w:rtl/>
        </w:rPr>
        <w:instrText xml:space="preserve"> _</w:instrText>
      </w:r>
      <w:r w:rsidRPr="001025A1">
        <w:rPr>
          <w:rStyle w:val="af7"/>
          <w:rFonts w:eastAsia="Guttman Hodes" w:hint="cs"/>
        </w:rPr>
        <w:instrText>Ref4876231 \r \h</w:instrText>
      </w:r>
      <w:r w:rsidRPr="001025A1">
        <w:rPr>
          <w:rStyle w:val="af7"/>
          <w:rFonts w:eastAsia="Guttman Hodes"/>
          <w:rtl/>
        </w:rPr>
        <w:instrText xml:space="preserve"> </w:instrText>
      </w:r>
      <w:r w:rsidRPr="001025A1">
        <w:rPr>
          <w:rStyle w:val="af7"/>
          <w:rFonts w:eastAsia="Guttman Hodes"/>
          <w:rtl/>
        </w:rPr>
      </w:r>
      <w:r w:rsidRPr="001025A1">
        <w:rPr>
          <w:rStyle w:val="af7"/>
          <w:rFonts w:eastAsia="Guttman Hodes"/>
          <w:rtl/>
        </w:rPr>
        <w:fldChar w:fldCharType="separate"/>
      </w:r>
      <w:r w:rsidR="00345400">
        <w:rPr>
          <w:rStyle w:val="af7"/>
          <w:rFonts w:eastAsia="Guttman Hodes"/>
          <w:cs/>
        </w:rPr>
        <w:t>‎</w:t>
      </w:r>
      <w:r w:rsidR="00345400">
        <w:rPr>
          <w:rStyle w:val="af7"/>
          <w:rFonts w:eastAsia="Guttman Hodes"/>
          <w:rtl/>
        </w:rPr>
        <w:t>סה)</w:t>
      </w:r>
      <w:r w:rsidRPr="001025A1">
        <w:rPr>
          <w:rStyle w:val="af7"/>
          <w:rFonts w:eastAsia="Guttman Hodes"/>
          <w:rtl/>
        </w:rPr>
        <w:fldChar w:fldCharType="end"/>
      </w:r>
      <w:r>
        <w:rPr>
          <w:rFonts w:hint="cs"/>
          <w:rtl/>
        </w:rPr>
        <w:t>.</w:t>
      </w:r>
    </w:p>
    <w:p w14:paraId="36230955" w14:textId="77777777" w:rsidR="003D504D" w:rsidRDefault="003D504D" w:rsidP="00BF39B2">
      <w:pPr>
        <w:pStyle w:val="1"/>
        <w:rPr>
          <w:rtl/>
        </w:rPr>
      </w:pPr>
      <w:bookmarkStart w:id="26573" w:name="_Toc4878015"/>
      <w:bookmarkStart w:id="26574" w:name="_Toc4878159"/>
      <w:bookmarkStart w:id="26575" w:name="_Toc19392274"/>
      <w:bookmarkStart w:id="26576" w:name="_Toc19395771"/>
      <w:r w:rsidRPr="00DB7829">
        <w:rPr>
          <w:rtl/>
        </w:rPr>
        <w:t>בביאור דעת הרשב"א באיסור הולד</w:t>
      </w:r>
      <w:bookmarkEnd w:id="26449"/>
      <w:bookmarkEnd w:id="26573"/>
      <w:bookmarkEnd w:id="26574"/>
      <w:bookmarkEnd w:id="26575"/>
      <w:bookmarkEnd w:id="26576"/>
    </w:p>
    <w:p w14:paraId="7929DA24" w14:textId="77777777" w:rsidR="003D504D" w:rsidRDefault="003D504D" w:rsidP="00BF39B2">
      <w:pPr>
        <w:pStyle w:val="1"/>
        <w:rPr>
          <w:rtl/>
        </w:rPr>
      </w:pPr>
      <w:bookmarkStart w:id="26577" w:name="_Toc4877666"/>
      <w:bookmarkStart w:id="26578" w:name="_Toc4878016"/>
      <w:bookmarkStart w:id="26579" w:name="_Toc4878160"/>
      <w:bookmarkStart w:id="26580" w:name="_Toc19392275"/>
      <w:bookmarkStart w:id="26581" w:name="_Toc19395772"/>
      <w:bookmarkStart w:id="26582" w:name="_Toc4761958"/>
      <w:bookmarkEnd w:id="26450"/>
      <w:bookmarkEnd w:id="26451"/>
      <w:bookmarkEnd w:id="26452"/>
      <w:bookmarkEnd w:id="26453"/>
      <w:bookmarkEnd w:id="26454"/>
      <w:bookmarkEnd w:id="26455"/>
      <w:r>
        <w:rPr>
          <w:rFonts w:hint="cs"/>
          <w:rtl/>
        </w:rPr>
        <w:t xml:space="preserve">דברי </w:t>
      </w:r>
      <w:r w:rsidRPr="00A42FB3">
        <w:rPr>
          <w:rtl/>
        </w:rPr>
        <w:t>השער"י ברשב"א דהשחיטה באם ראויה ובולד אינה ראויה</w:t>
      </w:r>
      <w:bookmarkEnd w:id="26577"/>
      <w:bookmarkEnd w:id="26578"/>
      <w:bookmarkEnd w:id="26579"/>
      <w:bookmarkEnd w:id="26580"/>
      <w:bookmarkEnd w:id="26581"/>
      <w:r w:rsidRPr="00A42FB3">
        <w:rPr>
          <w:rtl/>
        </w:rPr>
        <w:t xml:space="preserve"> </w:t>
      </w:r>
    </w:p>
    <w:p w14:paraId="55A2963B" w14:textId="77777777" w:rsidR="003D504D" w:rsidRPr="00AC3EAD" w:rsidRDefault="003D504D" w:rsidP="003D504D">
      <w:pPr>
        <w:pStyle w:val="a3"/>
        <w:rPr>
          <w:rtl/>
        </w:rPr>
      </w:pPr>
      <w:bookmarkStart w:id="26583" w:name="_Toc4877667"/>
      <w:bookmarkStart w:id="26584" w:name="_Toc4878017"/>
      <w:bookmarkStart w:id="26585" w:name="_Toc4878161"/>
      <w:bookmarkStart w:id="26586" w:name="_Toc19392276"/>
      <w:bookmarkStart w:id="26587" w:name="_Toc19395773"/>
      <w:r>
        <w:rPr>
          <w:rFonts w:hint="cs"/>
          <w:rtl/>
        </w:rPr>
        <w:t>דברי השער"י דמקושית הרשב"א דשחיטת טריפה היא שחיטה ראויה מבואר דמתירה באכילה</w:t>
      </w:r>
      <w:bookmarkEnd w:id="26582"/>
      <w:bookmarkEnd w:id="26583"/>
      <w:bookmarkEnd w:id="26584"/>
      <w:bookmarkEnd w:id="26585"/>
      <w:bookmarkEnd w:id="26586"/>
      <w:bookmarkEnd w:id="26587"/>
    </w:p>
    <w:p w14:paraId="596A38B6" w14:textId="77777777" w:rsidR="003D504D" w:rsidRDefault="003D504D" w:rsidP="00223668">
      <w:pPr>
        <w:pStyle w:val="a0"/>
        <w:rPr>
          <w:rtl/>
        </w:rPr>
      </w:pPr>
      <w:bookmarkStart w:id="26588" w:name="_Ref4358936"/>
      <w:bookmarkStart w:id="26589" w:name="_Ref4752000"/>
      <w:r>
        <w:rPr>
          <w:rFonts w:hint="cs"/>
          <w:rtl/>
        </w:rPr>
        <w:t xml:space="preserve">בקושית </w:t>
      </w:r>
      <w:r w:rsidRPr="00AC3EAD">
        <w:rPr>
          <w:rStyle w:val="af9"/>
          <w:rFonts w:hint="cs"/>
          <w:rtl/>
        </w:rPr>
        <w:t>הרשב"א</w:t>
      </w:r>
      <w:r w:rsidRPr="006301BE">
        <w:rPr>
          <w:rStyle w:val="af7"/>
          <w:rFonts w:eastAsia="Guttman Hodes" w:hint="cs"/>
          <w:rtl/>
        </w:rPr>
        <w:t xml:space="preserve"> </w:t>
      </w:r>
      <w:r w:rsidRPr="00AC3EAD">
        <w:rPr>
          <w:rStyle w:val="af7"/>
          <w:rFonts w:eastAsia="Guttman Hodes" w:hint="cs"/>
          <w:rtl/>
        </w:rPr>
        <w:t xml:space="preserve">(עי' אות </w:t>
      </w:r>
      <w:r w:rsidRPr="00AC3EAD">
        <w:rPr>
          <w:rStyle w:val="af7"/>
          <w:rFonts w:eastAsia="Guttman Hodes"/>
          <w:rtl/>
        </w:rPr>
        <w:fldChar w:fldCharType="begin"/>
      </w:r>
      <w:r w:rsidRPr="00AC3EAD">
        <w:rPr>
          <w:rStyle w:val="af7"/>
          <w:rFonts w:eastAsia="Guttman Hodes"/>
          <w:rtl/>
        </w:rPr>
        <w:instrText xml:space="preserve"> </w:instrText>
      </w:r>
      <w:r w:rsidRPr="00AC3EAD">
        <w:rPr>
          <w:rStyle w:val="af7"/>
          <w:rFonts w:eastAsia="Guttman Hodes" w:hint="cs"/>
        </w:rPr>
        <w:instrText>REF</w:instrText>
      </w:r>
      <w:r w:rsidRPr="00AC3EAD">
        <w:rPr>
          <w:rStyle w:val="af7"/>
          <w:rFonts w:eastAsia="Guttman Hodes" w:hint="cs"/>
          <w:rtl/>
        </w:rPr>
        <w:instrText xml:space="preserve"> _</w:instrText>
      </w:r>
      <w:r w:rsidRPr="00AC3EAD">
        <w:rPr>
          <w:rStyle w:val="af7"/>
          <w:rFonts w:eastAsia="Guttman Hodes" w:hint="cs"/>
        </w:rPr>
        <w:instrText>Ref4358755 \r \h</w:instrText>
      </w:r>
      <w:r w:rsidRPr="00AC3EAD">
        <w:rPr>
          <w:rStyle w:val="af7"/>
          <w:rFonts w:eastAsia="Guttman Hodes"/>
          <w:rtl/>
        </w:rPr>
        <w:instrText xml:space="preserve"> </w:instrText>
      </w:r>
      <w:r w:rsidRPr="00AC3EAD">
        <w:rPr>
          <w:rStyle w:val="af7"/>
          <w:rFonts w:eastAsia="Guttman Hodes"/>
          <w:rtl/>
        </w:rPr>
      </w:r>
      <w:r w:rsidRPr="00AC3EAD">
        <w:rPr>
          <w:rStyle w:val="af7"/>
          <w:rFonts w:eastAsia="Guttman Hodes"/>
          <w:rtl/>
        </w:rPr>
        <w:fldChar w:fldCharType="separate"/>
      </w:r>
      <w:r w:rsidR="00345400">
        <w:rPr>
          <w:rStyle w:val="af7"/>
          <w:rFonts w:eastAsia="Guttman Hodes"/>
          <w:cs/>
        </w:rPr>
        <w:t>‎</w:t>
      </w:r>
      <w:r w:rsidR="00345400">
        <w:rPr>
          <w:rStyle w:val="af7"/>
          <w:rFonts w:eastAsia="Guttman Hodes"/>
          <w:rtl/>
        </w:rPr>
        <w:t>ה)</w:t>
      </w:r>
      <w:r w:rsidRPr="00AC3EAD">
        <w:rPr>
          <w:rStyle w:val="af7"/>
          <w:rFonts w:eastAsia="Guttman Hodes"/>
          <w:rtl/>
        </w:rPr>
        <w:fldChar w:fldCharType="end"/>
      </w:r>
      <w:r w:rsidRPr="006301BE">
        <w:rPr>
          <w:rStyle w:val="af7"/>
          <w:rFonts w:eastAsia="Guttman Hodes" w:hint="cs"/>
          <w:rtl/>
        </w:rPr>
        <w:t xml:space="preserve"> </w:t>
      </w:r>
      <w:r>
        <w:rPr>
          <w:rFonts w:hint="cs"/>
          <w:rtl/>
        </w:rPr>
        <w:t xml:space="preserve">דאמאי אין הולד מותר בשחיטת הטריפה, הרי שחיטתה היא שחיטה ראויה, כתב </w:t>
      </w:r>
      <w:r w:rsidRPr="00AC3EAD">
        <w:rPr>
          <w:rStyle w:val="af9"/>
          <w:rFonts w:hint="cs"/>
          <w:rtl/>
        </w:rPr>
        <w:t>השער"י</w:t>
      </w:r>
      <w:r>
        <w:rPr>
          <w:rFonts w:hint="cs"/>
          <w:rtl/>
        </w:rPr>
        <w:t xml:space="preserve"> </w:t>
      </w:r>
      <w:r w:rsidRPr="00AC3EAD">
        <w:rPr>
          <w:rStyle w:val="af7"/>
          <w:rFonts w:eastAsia="Guttman Hodes" w:hint="cs"/>
          <w:rtl/>
        </w:rPr>
        <w:t xml:space="preserve">(שער </w:t>
      </w:r>
      <w:r w:rsidRPr="007E5D56">
        <w:rPr>
          <w:rStyle w:val="af7"/>
          <w:rFonts w:eastAsia="Guttman Hodes" w:hint="cs"/>
          <w:rtl/>
        </w:rPr>
        <w:t xml:space="preserve">החזקות פכ"ב ד"ה </w:t>
      </w:r>
      <w:r>
        <w:rPr>
          <w:rStyle w:val="af7"/>
          <w:rFonts w:eastAsia="Guttman Hodes" w:hint="cs"/>
          <w:rtl/>
        </w:rPr>
        <w:t>ומצאתי</w:t>
      </w:r>
      <w:r w:rsidRPr="007E5D56">
        <w:rPr>
          <w:rStyle w:val="af7"/>
          <w:rFonts w:eastAsia="Guttman Hodes" w:hint="cs"/>
          <w:rtl/>
        </w:rPr>
        <w:t xml:space="preserve">) </w:t>
      </w:r>
      <w:r w:rsidRPr="007E5D56">
        <w:rPr>
          <w:rFonts w:hint="cs"/>
          <w:rtl/>
        </w:rPr>
        <w:t>דמבואר</w:t>
      </w:r>
      <w:r>
        <w:rPr>
          <w:rFonts w:hint="cs"/>
          <w:rtl/>
        </w:rPr>
        <w:t xml:space="preserve"> מקושית</w:t>
      </w:r>
      <w:r>
        <w:rPr>
          <w:rStyle w:val="af9"/>
          <w:rFonts w:hint="cs"/>
          <w:rtl/>
        </w:rPr>
        <w:t xml:space="preserve"> </w:t>
      </w:r>
      <w:r w:rsidRPr="00AC3EAD">
        <w:rPr>
          <w:rStyle w:val="af9"/>
          <w:rFonts w:hint="cs"/>
          <w:rtl/>
        </w:rPr>
        <w:t>הרשב"א</w:t>
      </w:r>
      <w:r>
        <w:rPr>
          <w:rFonts w:hint="cs"/>
          <w:rtl/>
        </w:rPr>
        <w:t xml:space="preserve"> דבשחיטת טריפה אין כל חסרון במעשה ההכשר של השחיטה, דכל החיות של הבהמה ניטלה רק ע"י השחיטה, ולא ע"י דבר אחר, אלא שיש איסור טריפה שהוא איסור בפנ"ע, והוא אוסר אותה באכילה. </w:t>
      </w:r>
      <w:r w:rsidRPr="00AC3EAD">
        <w:rPr>
          <w:rStyle w:val="afb"/>
          <w:rFonts w:hint="cs"/>
          <w:rtl/>
        </w:rPr>
        <w:t xml:space="preserve">[ולכן הוקשה </w:t>
      </w:r>
      <w:r w:rsidRPr="00CB7F7B">
        <w:rPr>
          <w:rStyle w:val="affa"/>
          <w:rFonts w:hint="cs"/>
          <w:rtl/>
        </w:rPr>
        <w:t xml:space="preserve">לרשב"א </w:t>
      </w:r>
      <w:r w:rsidRPr="00AC3EAD">
        <w:rPr>
          <w:rStyle w:val="afb"/>
          <w:rFonts w:hint="cs"/>
          <w:rtl/>
        </w:rPr>
        <w:t>דשחיטת האם צריכה להתיר את הולד דהיא שחיטה ראויה]</w:t>
      </w:r>
      <w:bookmarkEnd w:id="26588"/>
      <w:r>
        <w:rPr>
          <w:rStyle w:val="afb"/>
          <w:rFonts w:hint="cs"/>
          <w:rtl/>
        </w:rPr>
        <w:t xml:space="preserve">, </w:t>
      </w:r>
      <w:r w:rsidRPr="00826E24">
        <w:rPr>
          <w:rFonts w:hint="cs"/>
          <w:rtl/>
        </w:rPr>
        <w:t>ועי' ב</w:t>
      </w:r>
      <w:r>
        <w:rPr>
          <w:rFonts w:hint="cs"/>
          <w:rtl/>
        </w:rPr>
        <w:t xml:space="preserve">דברי </w:t>
      </w:r>
      <w:r w:rsidRPr="00826E24">
        <w:rPr>
          <w:rStyle w:val="af9"/>
          <w:rFonts w:hint="cs"/>
          <w:rtl/>
        </w:rPr>
        <w:t>המשנת ר"א</w:t>
      </w:r>
      <w:r>
        <w:rPr>
          <w:rFonts w:hint="cs"/>
          <w:rtl/>
        </w:rPr>
        <w:t xml:space="preserve"> </w:t>
      </w:r>
      <w:r w:rsidRPr="00EF45D6">
        <w:rPr>
          <w:rStyle w:val="af7"/>
          <w:rFonts w:eastAsia="Guttman Hodes" w:hint="cs"/>
          <w:rtl/>
        </w:rPr>
        <w:t xml:space="preserve">(עי' אות </w:t>
      </w:r>
      <w:r w:rsidRPr="00EF45D6">
        <w:rPr>
          <w:rStyle w:val="af7"/>
          <w:rFonts w:eastAsia="Guttman Hodes"/>
          <w:rtl/>
        </w:rPr>
        <w:fldChar w:fldCharType="begin"/>
      </w:r>
      <w:r w:rsidRPr="00EF45D6">
        <w:rPr>
          <w:rStyle w:val="af7"/>
          <w:rFonts w:eastAsia="Guttman Hodes"/>
          <w:rtl/>
        </w:rPr>
        <w:instrText xml:space="preserve"> </w:instrText>
      </w:r>
      <w:r w:rsidRPr="00EF45D6">
        <w:rPr>
          <w:rStyle w:val="af7"/>
          <w:rFonts w:eastAsia="Guttman Hodes" w:hint="cs"/>
        </w:rPr>
        <w:instrText>REF</w:instrText>
      </w:r>
      <w:r w:rsidRPr="00EF45D6">
        <w:rPr>
          <w:rStyle w:val="af7"/>
          <w:rFonts w:eastAsia="Guttman Hodes" w:hint="cs"/>
          <w:rtl/>
        </w:rPr>
        <w:instrText xml:space="preserve"> _</w:instrText>
      </w:r>
      <w:r w:rsidRPr="00EF45D6">
        <w:rPr>
          <w:rStyle w:val="af7"/>
          <w:rFonts w:eastAsia="Guttman Hodes" w:hint="cs"/>
        </w:rPr>
        <w:instrText>Ref4701383 \r \h</w:instrText>
      </w:r>
      <w:r w:rsidRPr="00EF45D6">
        <w:rPr>
          <w:rStyle w:val="af7"/>
          <w:rFonts w:eastAsia="Guttman Hodes"/>
          <w:rtl/>
        </w:rPr>
        <w:instrText xml:space="preserve"> </w:instrText>
      </w:r>
      <w:r w:rsidRPr="00EF45D6">
        <w:rPr>
          <w:rStyle w:val="af7"/>
          <w:rFonts w:eastAsia="Guttman Hodes"/>
          <w:rtl/>
        </w:rPr>
      </w:r>
      <w:r w:rsidRPr="00EF45D6">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EF45D6">
        <w:rPr>
          <w:rStyle w:val="af7"/>
          <w:rFonts w:eastAsia="Guttman Hodes"/>
          <w:rtl/>
        </w:rPr>
        <w:fldChar w:fldCharType="end"/>
      </w:r>
      <w:r>
        <w:rPr>
          <w:rFonts w:hint="cs"/>
          <w:rtl/>
        </w:rPr>
        <w:t xml:space="preserve"> דהוכיח כן מדברי </w:t>
      </w:r>
      <w:r w:rsidRPr="00826E24">
        <w:rPr>
          <w:rStyle w:val="af9"/>
          <w:rFonts w:hint="cs"/>
          <w:rtl/>
        </w:rPr>
        <w:t>הש"ך</w:t>
      </w:r>
      <w:r>
        <w:rPr>
          <w:rFonts w:hint="cs"/>
          <w:rtl/>
        </w:rPr>
        <w:t xml:space="preserve"> בדעת </w:t>
      </w:r>
      <w:r w:rsidRPr="00826E24">
        <w:rPr>
          <w:rStyle w:val="af9"/>
          <w:rFonts w:hint="cs"/>
          <w:rtl/>
        </w:rPr>
        <w:t>הרשב"א</w:t>
      </w:r>
      <w:r>
        <w:rPr>
          <w:rFonts w:hint="cs"/>
          <w:rtl/>
        </w:rPr>
        <w:t xml:space="preserve"> בענין היתר שחיטת טריפה מאיסור אבר מן החי.</w:t>
      </w:r>
      <w:bookmarkEnd w:id="26589"/>
    </w:p>
    <w:p w14:paraId="5B0E91CE" w14:textId="77777777" w:rsidR="003D504D" w:rsidRPr="000229F6" w:rsidRDefault="003D504D" w:rsidP="003D504D">
      <w:pPr>
        <w:pStyle w:val="a3"/>
        <w:rPr>
          <w:rtl/>
        </w:rPr>
      </w:pPr>
    </w:p>
    <w:p w14:paraId="58FC770F" w14:textId="77777777" w:rsidR="003D504D" w:rsidRPr="00CB7F7B" w:rsidRDefault="003D504D" w:rsidP="003D504D">
      <w:pPr>
        <w:pStyle w:val="a3"/>
      </w:pPr>
      <w:bookmarkStart w:id="26590" w:name="_Toc4761959"/>
      <w:bookmarkStart w:id="26591" w:name="_Toc4877668"/>
      <w:bookmarkStart w:id="26592" w:name="_Toc4878018"/>
      <w:bookmarkStart w:id="26593" w:name="_Toc4878162"/>
      <w:bookmarkStart w:id="26594" w:name="_Toc19392277"/>
      <w:bookmarkStart w:id="26595" w:name="_Toc19395774"/>
      <w:r>
        <w:rPr>
          <w:rFonts w:hint="cs"/>
          <w:rtl/>
        </w:rPr>
        <w:t>ביאור השער"י ברשב"א דאף שהשחיטה מתירה באכילה כל שלא חל היתר באם אסור הולד</w:t>
      </w:r>
      <w:bookmarkEnd w:id="26590"/>
      <w:bookmarkEnd w:id="26591"/>
      <w:bookmarkEnd w:id="26592"/>
      <w:bookmarkEnd w:id="26593"/>
      <w:bookmarkEnd w:id="26594"/>
      <w:bookmarkEnd w:id="26595"/>
    </w:p>
    <w:p w14:paraId="68705184" w14:textId="77777777" w:rsidR="003D504D" w:rsidRDefault="003D504D" w:rsidP="00223668">
      <w:pPr>
        <w:pStyle w:val="a0"/>
        <w:rPr>
          <w:rtl/>
        </w:rPr>
      </w:pPr>
      <w:bookmarkStart w:id="26596" w:name="_Ref4358967"/>
      <w:r>
        <w:rPr>
          <w:rFonts w:hint="cs"/>
          <w:rtl/>
        </w:rPr>
        <w:t xml:space="preserve">ובתירוץ </w:t>
      </w:r>
      <w:r w:rsidRPr="00AC3EAD">
        <w:rPr>
          <w:rStyle w:val="af9"/>
          <w:rFonts w:hint="cs"/>
          <w:rtl/>
        </w:rPr>
        <w:t>הרשב"א</w:t>
      </w:r>
      <w:r>
        <w:rPr>
          <w:rFonts w:hint="cs"/>
          <w:rtl/>
        </w:rPr>
        <w:t xml:space="preserve"> </w:t>
      </w:r>
      <w:r w:rsidRPr="00AC3EAD">
        <w:rPr>
          <w:rStyle w:val="af7"/>
          <w:rFonts w:eastAsia="Guttman Hodes" w:hint="cs"/>
          <w:rtl/>
        </w:rPr>
        <w:t xml:space="preserve">(עי' אות </w:t>
      </w:r>
      <w:r w:rsidRPr="00AC3EAD">
        <w:rPr>
          <w:rStyle w:val="af7"/>
          <w:rFonts w:eastAsia="Guttman Hodes"/>
          <w:rtl/>
        </w:rPr>
        <w:fldChar w:fldCharType="begin"/>
      </w:r>
      <w:r w:rsidRPr="00AC3EAD">
        <w:rPr>
          <w:rStyle w:val="af7"/>
          <w:rFonts w:eastAsia="Guttman Hodes"/>
          <w:rtl/>
        </w:rPr>
        <w:instrText xml:space="preserve"> </w:instrText>
      </w:r>
      <w:r w:rsidRPr="00AC3EAD">
        <w:rPr>
          <w:rStyle w:val="af7"/>
          <w:rFonts w:eastAsia="Guttman Hodes" w:hint="cs"/>
        </w:rPr>
        <w:instrText>REF</w:instrText>
      </w:r>
      <w:r w:rsidRPr="00AC3EAD">
        <w:rPr>
          <w:rStyle w:val="af7"/>
          <w:rFonts w:eastAsia="Guttman Hodes" w:hint="cs"/>
          <w:rtl/>
        </w:rPr>
        <w:instrText xml:space="preserve"> _</w:instrText>
      </w:r>
      <w:r w:rsidRPr="00AC3EAD">
        <w:rPr>
          <w:rStyle w:val="af7"/>
          <w:rFonts w:eastAsia="Guttman Hodes" w:hint="cs"/>
        </w:rPr>
        <w:instrText>Ref4358766 \r \h</w:instrText>
      </w:r>
      <w:r w:rsidRPr="00AC3EAD">
        <w:rPr>
          <w:rStyle w:val="af7"/>
          <w:rFonts w:eastAsia="Guttman Hodes"/>
          <w:rtl/>
        </w:rPr>
        <w:instrText xml:space="preserve"> </w:instrText>
      </w:r>
      <w:r w:rsidRPr="00AC3EAD">
        <w:rPr>
          <w:rStyle w:val="af7"/>
          <w:rFonts w:eastAsia="Guttman Hodes"/>
          <w:rtl/>
        </w:rPr>
      </w:r>
      <w:r w:rsidRPr="00AC3EAD">
        <w:rPr>
          <w:rStyle w:val="af7"/>
          <w:rFonts w:eastAsia="Guttman Hodes"/>
          <w:rtl/>
        </w:rPr>
        <w:fldChar w:fldCharType="separate"/>
      </w:r>
      <w:r w:rsidR="00345400">
        <w:rPr>
          <w:rStyle w:val="af7"/>
          <w:rFonts w:eastAsia="Guttman Hodes"/>
          <w:cs/>
        </w:rPr>
        <w:t>‎</w:t>
      </w:r>
      <w:r w:rsidR="00345400">
        <w:rPr>
          <w:rStyle w:val="af7"/>
          <w:rFonts w:eastAsia="Guttman Hodes"/>
          <w:rtl/>
        </w:rPr>
        <w:t>ז)</w:t>
      </w:r>
      <w:r w:rsidRPr="00AC3EAD">
        <w:rPr>
          <w:rStyle w:val="af7"/>
          <w:rFonts w:eastAsia="Guttman Hodes"/>
          <w:rtl/>
        </w:rPr>
        <w:fldChar w:fldCharType="end"/>
      </w:r>
      <w:r>
        <w:rPr>
          <w:rFonts w:hint="cs"/>
          <w:rtl/>
        </w:rPr>
        <w:t xml:space="preserve"> דכתב דשחיטת האם אינה מתירה בעובר יותר ממה שמתירה בעצמה, ביאר </w:t>
      </w:r>
      <w:r w:rsidRPr="00AC3EAD">
        <w:rPr>
          <w:rStyle w:val="af9"/>
          <w:rFonts w:hint="cs"/>
          <w:rtl/>
        </w:rPr>
        <w:t>השער"י</w:t>
      </w:r>
      <w:r>
        <w:rPr>
          <w:rFonts w:hint="cs"/>
          <w:rtl/>
        </w:rPr>
        <w:t xml:space="preserve"> דאף שבחיטת הטריפה אין חסרון במעשה ההכשר של השחיטה, מ"מ לא מהני שחיטת האם להתיר את הולד, דכיון שלגבי האם לא הועילה השחיטה להתירה באכילה, ממילא לגבי היתר הולד באכילה, חשיבא כשחיטה שאינה ראויה שאינה שחיטה, כיון שסימני האם שאין בכחם להתיר את האם עצמה, אין בכחם להתיר את העובר דחשיב כשחיטה שאינה ראויה, ועי' בדברי </w:t>
      </w:r>
      <w:r w:rsidRPr="00470B38">
        <w:rPr>
          <w:rStyle w:val="af9"/>
          <w:rFonts w:hint="cs"/>
          <w:rtl/>
        </w:rPr>
        <w:t>הגרי"ז</w:t>
      </w:r>
      <w:r>
        <w:rPr>
          <w:rFonts w:hint="cs"/>
          <w:rtl/>
        </w:rPr>
        <w:t xml:space="preserve"> </w:t>
      </w:r>
      <w:r w:rsidRPr="00470B38">
        <w:rPr>
          <w:rStyle w:val="af7"/>
          <w:rFonts w:eastAsia="Guttman Hodes" w:hint="cs"/>
          <w:rtl/>
        </w:rPr>
        <w:t xml:space="preserve">(עי' אות </w:t>
      </w:r>
      <w:r w:rsidRPr="00470B38">
        <w:rPr>
          <w:rStyle w:val="af7"/>
          <w:rFonts w:eastAsia="Guttman Hodes"/>
          <w:rtl/>
        </w:rPr>
        <w:fldChar w:fldCharType="begin"/>
      </w:r>
      <w:r w:rsidRPr="00470B38">
        <w:rPr>
          <w:rStyle w:val="af7"/>
          <w:rFonts w:eastAsia="Guttman Hodes"/>
          <w:rtl/>
        </w:rPr>
        <w:instrText xml:space="preserve"> </w:instrText>
      </w:r>
      <w:r w:rsidRPr="00470B38">
        <w:rPr>
          <w:rStyle w:val="af7"/>
          <w:rFonts w:eastAsia="Guttman Hodes" w:hint="cs"/>
        </w:rPr>
        <w:instrText>REF</w:instrText>
      </w:r>
      <w:r w:rsidRPr="00470B38">
        <w:rPr>
          <w:rStyle w:val="af7"/>
          <w:rFonts w:eastAsia="Guttman Hodes" w:hint="cs"/>
          <w:rtl/>
        </w:rPr>
        <w:instrText xml:space="preserve"> _</w:instrText>
      </w:r>
      <w:r w:rsidRPr="00470B38">
        <w:rPr>
          <w:rStyle w:val="af7"/>
          <w:rFonts w:eastAsia="Guttman Hodes" w:hint="cs"/>
        </w:rPr>
        <w:instrText>Ref4752104 \r \h</w:instrText>
      </w:r>
      <w:r w:rsidRPr="00470B38">
        <w:rPr>
          <w:rStyle w:val="af7"/>
          <w:rFonts w:eastAsia="Guttman Hodes"/>
          <w:rtl/>
        </w:rPr>
        <w:instrText xml:space="preserve"> </w:instrText>
      </w:r>
      <w:r w:rsidRPr="00470B38">
        <w:rPr>
          <w:rStyle w:val="af7"/>
          <w:rFonts w:eastAsia="Guttman Hodes"/>
          <w:rtl/>
        </w:rPr>
      </w:r>
      <w:r w:rsidRPr="00470B38">
        <w:rPr>
          <w:rStyle w:val="af7"/>
          <w:rFonts w:eastAsia="Guttman Hodes"/>
          <w:rtl/>
        </w:rPr>
        <w:fldChar w:fldCharType="separate"/>
      </w:r>
      <w:r w:rsidR="00345400">
        <w:rPr>
          <w:rStyle w:val="af7"/>
          <w:rFonts w:eastAsia="Guttman Hodes"/>
          <w:cs/>
        </w:rPr>
        <w:t>‎</w:t>
      </w:r>
      <w:r w:rsidR="00345400">
        <w:rPr>
          <w:rStyle w:val="af7"/>
          <w:rFonts w:eastAsia="Guttman Hodes"/>
          <w:rtl/>
        </w:rPr>
        <w:t>מה)</w:t>
      </w:r>
      <w:r w:rsidRPr="00470B38">
        <w:rPr>
          <w:rStyle w:val="af7"/>
          <w:rFonts w:eastAsia="Guttman Hodes"/>
          <w:rtl/>
        </w:rPr>
        <w:fldChar w:fldCharType="end"/>
      </w:r>
      <w:r>
        <w:rPr>
          <w:rFonts w:hint="cs"/>
          <w:rtl/>
        </w:rPr>
        <w:t>.</w:t>
      </w:r>
      <w:bookmarkEnd w:id="26596"/>
    </w:p>
    <w:p w14:paraId="37F41157" w14:textId="77777777" w:rsidR="003D504D" w:rsidRDefault="003D504D" w:rsidP="003D504D">
      <w:pPr>
        <w:pStyle w:val="a3"/>
        <w:rPr>
          <w:rtl/>
        </w:rPr>
      </w:pPr>
      <w:bookmarkStart w:id="26597" w:name="_Toc4761960"/>
      <w:bookmarkStart w:id="26598" w:name="_Toc4877669"/>
      <w:bookmarkStart w:id="26599" w:name="_Toc4878019"/>
      <w:bookmarkStart w:id="26600" w:name="_Toc4878163"/>
      <w:bookmarkStart w:id="26601" w:name="_Toc19392278"/>
      <w:bookmarkStart w:id="26602" w:name="_Toc19395775"/>
      <w:r>
        <w:rPr>
          <w:rFonts w:hint="cs"/>
          <w:rtl/>
        </w:rPr>
        <w:t>ביאור השער"י דהשחיטה בטריפה מתירה כל מה שאפשר והוי שחיטה ראויה ואין בה אינו זבוח</w:t>
      </w:r>
      <w:bookmarkEnd w:id="26597"/>
      <w:bookmarkEnd w:id="26598"/>
      <w:bookmarkEnd w:id="26599"/>
      <w:bookmarkEnd w:id="26600"/>
      <w:bookmarkEnd w:id="26601"/>
      <w:bookmarkEnd w:id="26602"/>
    </w:p>
    <w:p w14:paraId="294A0F06" w14:textId="77777777" w:rsidR="003D504D" w:rsidRDefault="003D504D" w:rsidP="00223668">
      <w:pPr>
        <w:pStyle w:val="a0"/>
        <w:rPr>
          <w:rtl/>
        </w:rPr>
      </w:pPr>
      <w:r>
        <w:rPr>
          <w:rFonts w:hint="cs"/>
          <w:rtl/>
        </w:rPr>
        <w:t xml:space="preserve">וכתב </w:t>
      </w:r>
      <w:r w:rsidRPr="000256BC">
        <w:rPr>
          <w:rStyle w:val="af9"/>
          <w:rFonts w:hint="cs"/>
          <w:rtl/>
        </w:rPr>
        <w:t>השער"י</w:t>
      </w:r>
      <w:r>
        <w:rPr>
          <w:rFonts w:hint="cs"/>
          <w:rtl/>
        </w:rPr>
        <w:t xml:space="preserve"> דלפי דברי </w:t>
      </w:r>
      <w:r w:rsidRPr="000256BC">
        <w:rPr>
          <w:rStyle w:val="af9"/>
          <w:rFonts w:hint="cs"/>
          <w:rtl/>
        </w:rPr>
        <w:t>הרשב"א</w:t>
      </w:r>
      <w:r>
        <w:rPr>
          <w:rFonts w:hint="cs"/>
          <w:rtl/>
        </w:rPr>
        <w:t xml:space="preserve"> טריפה שנשחטה אין בה איסור אינו זבוח, דלגבי הטריפה עצמה, א"א לומר דשחיטה היא שחיטה שאינה ראויה, דהא כל מה ששייכא שחיטה בטריפה הוא בכדי להתירה מנבילה, אבל לענין אכילה לא שייכא בה שחיטה כלל, דהא היא אסורה באיסור טריפה, וא"כ השחיטה שהייתה בה היא שחיטה ראויה, דהתירה השחיטה את כל מה שצריכה להתיר בטריפה.</w:t>
      </w:r>
    </w:p>
    <w:p w14:paraId="192F198C" w14:textId="77777777" w:rsidR="003D504D" w:rsidRPr="003C4AB1" w:rsidRDefault="003D504D" w:rsidP="003D504D">
      <w:pPr>
        <w:pStyle w:val="a3"/>
        <w:rPr>
          <w:rtl/>
        </w:rPr>
      </w:pPr>
      <w:bookmarkStart w:id="26603" w:name="_Toc4761961"/>
      <w:bookmarkStart w:id="26604" w:name="_Toc4877670"/>
      <w:bookmarkStart w:id="26605" w:name="_Toc4878020"/>
      <w:bookmarkStart w:id="26606" w:name="_Toc4878164"/>
      <w:bookmarkStart w:id="26607" w:name="_Toc19392279"/>
      <w:bookmarkStart w:id="26608" w:name="_Toc19395776"/>
      <w:r>
        <w:rPr>
          <w:rFonts w:hint="cs"/>
          <w:rtl/>
        </w:rPr>
        <w:t>ביאור השער"י ברשב"א דבעובר שצריך היתר לאכילה חשיבא שחיטת אמו הטריפה כאינה ראויה</w:t>
      </w:r>
      <w:bookmarkEnd w:id="26603"/>
      <w:bookmarkEnd w:id="26604"/>
      <w:bookmarkEnd w:id="26605"/>
      <w:bookmarkEnd w:id="26606"/>
      <w:bookmarkEnd w:id="26607"/>
      <w:bookmarkEnd w:id="26608"/>
    </w:p>
    <w:p w14:paraId="3EF3C476" w14:textId="77777777" w:rsidR="003D504D" w:rsidRDefault="003D504D" w:rsidP="00223668">
      <w:pPr>
        <w:pStyle w:val="a0"/>
        <w:rPr>
          <w:rtl/>
        </w:rPr>
      </w:pPr>
      <w:r>
        <w:rPr>
          <w:rFonts w:hint="cs"/>
          <w:rtl/>
        </w:rPr>
        <w:t xml:space="preserve">אבל בעובר שאין בו איסור טריפה, כתב </w:t>
      </w:r>
      <w:r w:rsidRPr="000256BC">
        <w:rPr>
          <w:rStyle w:val="af9"/>
          <w:rFonts w:hint="cs"/>
          <w:rtl/>
        </w:rPr>
        <w:t>השער"י</w:t>
      </w:r>
      <w:r>
        <w:rPr>
          <w:rFonts w:hint="cs"/>
          <w:rtl/>
        </w:rPr>
        <w:t xml:space="preserve"> דכיון דהעובר צריך שחיטה לענין היתר אכילה, א"כ שחיטת סימני אמו הטריפה, חשיבא כשחיטה שאינה ראויה לגביו, דכיון דסימני האם אינם מתירים אותה באכילה, א"כ עצם השחיטה חשיבא כאינה ראויה לענין היתר אכילה, וכיון שהעובר צריך שחיטה ראויה להיתר אכילה, א"כ שחיטת אמו היא לגביו כשחיטה שאינה ראויה.</w:t>
      </w:r>
    </w:p>
    <w:p w14:paraId="28C4A9FA" w14:textId="77777777" w:rsidR="003D504D" w:rsidRDefault="003D504D" w:rsidP="003D504D">
      <w:pPr>
        <w:pStyle w:val="a3"/>
        <w:rPr>
          <w:rtl/>
        </w:rPr>
      </w:pPr>
      <w:bookmarkStart w:id="26609" w:name="_Toc4761962"/>
      <w:bookmarkStart w:id="26610" w:name="_Toc4877671"/>
      <w:bookmarkStart w:id="26611" w:name="_Toc4878021"/>
      <w:bookmarkStart w:id="26612" w:name="_Toc4878165"/>
      <w:bookmarkStart w:id="26613" w:name="_Toc19392280"/>
      <w:bookmarkStart w:id="26614" w:name="_Toc19395777"/>
      <w:r>
        <w:rPr>
          <w:rFonts w:hint="cs"/>
          <w:rtl/>
        </w:rPr>
        <w:t>דברי השער"י דאף דבאם אין אינו זבוח מ"מ הולד נשאר אינו זבוח אף שהותר מנבילה</w:t>
      </w:r>
      <w:bookmarkEnd w:id="26609"/>
      <w:bookmarkEnd w:id="26610"/>
      <w:bookmarkEnd w:id="26611"/>
      <w:bookmarkEnd w:id="26612"/>
      <w:bookmarkEnd w:id="26613"/>
      <w:bookmarkEnd w:id="26614"/>
    </w:p>
    <w:p w14:paraId="1BB99DC2" w14:textId="77777777" w:rsidR="003D504D" w:rsidRDefault="003D504D" w:rsidP="00223668">
      <w:pPr>
        <w:pStyle w:val="a0"/>
        <w:rPr>
          <w:rtl/>
        </w:rPr>
      </w:pPr>
      <w:r>
        <w:rPr>
          <w:rFonts w:hint="cs"/>
          <w:rtl/>
        </w:rPr>
        <w:t xml:space="preserve">וכתב </w:t>
      </w:r>
      <w:r w:rsidRPr="00743DC3">
        <w:rPr>
          <w:rStyle w:val="af9"/>
          <w:rFonts w:hint="cs"/>
          <w:rtl/>
        </w:rPr>
        <w:t>השער"</w:t>
      </w:r>
      <w:r w:rsidRPr="000256BC">
        <w:rPr>
          <w:rStyle w:val="af9"/>
          <w:rFonts w:hint="cs"/>
          <w:rtl/>
        </w:rPr>
        <w:t>י</w:t>
      </w:r>
      <w:r>
        <w:rPr>
          <w:rFonts w:hint="cs"/>
          <w:rtl/>
        </w:rPr>
        <w:t xml:space="preserve"> דא"כ מבואר דלדעת </w:t>
      </w:r>
      <w:r w:rsidRPr="000256BC">
        <w:rPr>
          <w:rStyle w:val="af9"/>
          <w:rFonts w:hint="cs"/>
          <w:rtl/>
        </w:rPr>
        <w:t>הרשב"א</w:t>
      </w:r>
      <w:r>
        <w:rPr>
          <w:rFonts w:hint="cs"/>
          <w:rtl/>
        </w:rPr>
        <w:t xml:space="preserve"> אף דהאם הותרה מאיסור אינו זבוח, דלגבי האם הוי שחיטה ראויה, דהשחיטה התירה את כל מה ששייך להתיר בטריפה, מ"מ הולד נשאר באיסור אינו זבוח, דלגביו חשיב כשחיטה שאינה ראויה, וכשמת הולד נשאר עליו איסור אינו זבוח, שהיה עליו מחיי האם, אך מ"מ אינו אסור באיסור נבילה, כיון דלענין נבילה הועילה שחיטת אמו הטריפה להתיר את עצמה, וכל שהועילה שחיטתה לעצמה, הועילה גם לולד, ולענין זה א"צ שתהיה שחיטה ראויה.</w:t>
      </w:r>
    </w:p>
    <w:p w14:paraId="3AE5EF52" w14:textId="77777777" w:rsidR="00B07C71" w:rsidRPr="00B07C71" w:rsidRDefault="00B07C71" w:rsidP="00B07C71">
      <w:pPr>
        <w:pStyle w:val="a3"/>
        <w:rPr>
          <w:rtl/>
        </w:rPr>
      </w:pPr>
    </w:p>
    <w:p w14:paraId="221B0072" w14:textId="77777777" w:rsidR="00B07C71" w:rsidRPr="00B07C71" w:rsidRDefault="00B07C71" w:rsidP="00B07C71">
      <w:pPr>
        <w:pStyle w:val="a3"/>
        <w:rPr>
          <w:rtl/>
        </w:rPr>
      </w:pPr>
    </w:p>
    <w:p w14:paraId="00ECDF39" w14:textId="77777777" w:rsidR="003D504D" w:rsidRPr="001C089B" w:rsidRDefault="003D504D" w:rsidP="003D504D">
      <w:pPr>
        <w:pStyle w:val="a3"/>
        <w:rPr>
          <w:rtl/>
        </w:rPr>
      </w:pPr>
      <w:bookmarkStart w:id="26615" w:name="_Toc4761963"/>
      <w:bookmarkStart w:id="26616" w:name="_Toc4877672"/>
      <w:bookmarkStart w:id="26617" w:name="_Toc4878022"/>
      <w:bookmarkStart w:id="26618" w:name="_Toc4878166"/>
      <w:bookmarkStart w:id="26619" w:name="_Toc19392281"/>
      <w:bookmarkStart w:id="26620" w:name="_Toc19395778"/>
      <w:r>
        <w:rPr>
          <w:rFonts w:hint="cs"/>
          <w:rtl/>
        </w:rPr>
        <w:t>ביאור השער"י דהרשב"א הוכיח מרב חסדא דלולד אינה שחיטה ראויה אף דלאם היא ראויה</w:t>
      </w:r>
      <w:bookmarkEnd w:id="26615"/>
      <w:bookmarkEnd w:id="26616"/>
      <w:bookmarkEnd w:id="26617"/>
      <w:bookmarkEnd w:id="26618"/>
      <w:bookmarkEnd w:id="26619"/>
      <w:bookmarkEnd w:id="26620"/>
    </w:p>
    <w:p w14:paraId="1A3C3DF7" w14:textId="77777777" w:rsidR="003D504D" w:rsidRDefault="003D504D" w:rsidP="00223668">
      <w:pPr>
        <w:pStyle w:val="a0"/>
        <w:rPr>
          <w:rtl/>
        </w:rPr>
      </w:pPr>
      <w:bookmarkStart w:id="26621" w:name="_Ref4515004"/>
      <w:r>
        <w:rPr>
          <w:rFonts w:hint="cs"/>
          <w:rtl/>
        </w:rPr>
        <w:t xml:space="preserve">ובמ"ש </w:t>
      </w:r>
      <w:r w:rsidRPr="00F4297F">
        <w:rPr>
          <w:rStyle w:val="af9"/>
          <w:rFonts w:hint="cs"/>
          <w:rtl/>
        </w:rPr>
        <w:t>הרשב"א</w:t>
      </w:r>
      <w:r>
        <w:rPr>
          <w:rFonts w:hint="cs"/>
          <w:rtl/>
        </w:rPr>
        <w:t xml:space="preserve"> </w:t>
      </w:r>
      <w:r w:rsidRPr="00F4297F">
        <w:rPr>
          <w:rStyle w:val="af7"/>
          <w:rFonts w:eastAsia="Guttman Hodes" w:hint="cs"/>
          <w:rtl/>
        </w:rPr>
        <w:t xml:space="preserve">(עי' אות </w:t>
      </w:r>
      <w:r w:rsidRPr="00F4297F">
        <w:rPr>
          <w:rStyle w:val="af7"/>
          <w:rFonts w:eastAsia="Guttman Hodes"/>
          <w:rtl/>
        </w:rPr>
        <w:fldChar w:fldCharType="begin"/>
      </w:r>
      <w:r w:rsidRPr="00F4297F">
        <w:rPr>
          <w:rStyle w:val="af7"/>
          <w:rFonts w:eastAsia="Guttman Hodes"/>
          <w:rtl/>
        </w:rPr>
        <w:instrText xml:space="preserve"> </w:instrText>
      </w:r>
      <w:r w:rsidRPr="00F4297F">
        <w:rPr>
          <w:rStyle w:val="af7"/>
          <w:rFonts w:eastAsia="Guttman Hodes" w:hint="cs"/>
        </w:rPr>
        <w:instrText>REF</w:instrText>
      </w:r>
      <w:r w:rsidRPr="00F4297F">
        <w:rPr>
          <w:rStyle w:val="af7"/>
          <w:rFonts w:eastAsia="Guttman Hodes" w:hint="cs"/>
          <w:rtl/>
        </w:rPr>
        <w:instrText xml:space="preserve"> _</w:instrText>
      </w:r>
      <w:r w:rsidRPr="00F4297F">
        <w:rPr>
          <w:rStyle w:val="af7"/>
          <w:rFonts w:eastAsia="Guttman Hodes" w:hint="cs"/>
        </w:rPr>
        <w:instrText>Ref4514990 \r \h</w:instrText>
      </w:r>
      <w:r w:rsidRPr="00F4297F">
        <w:rPr>
          <w:rStyle w:val="af7"/>
          <w:rFonts w:eastAsia="Guttman Hodes"/>
          <w:rtl/>
        </w:rPr>
        <w:instrText xml:space="preserve"> </w:instrText>
      </w:r>
      <w:r w:rsidRPr="00F4297F">
        <w:rPr>
          <w:rStyle w:val="af7"/>
          <w:rFonts w:eastAsia="Guttman Hodes"/>
          <w:rtl/>
        </w:rPr>
      </w:r>
      <w:r w:rsidRPr="00F4297F">
        <w:rPr>
          <w:rStyle w:val="af7"/>
          <w:rFonts w:eastAsia="Guttman Hodes"/>
          <w:rtl/>
        </w:rPr>
        <w:fldChar w:fldCharType="separate"/>
      </w:r>
      <w:r w:rsidR="00345400">
        <w:rPr>
          <w:rStyle w:val="af7"/>
          <w:rFonts w:eastAsia="Guttman Hodes"/>
          <w:cs/>
        </w:rPr>
        <w:t>‎</w:t>
      </w:r>
      <w:r w:rsidR="00345400">
        <w:rPr>
          <w:rStyle w:val="af7"/>
          <w:rFonts w:eastAsia="Guttman Hodes"/>
          <w:rtl/>
        </w:rPr>
        <w:t>יא)</w:t>
      </w:r>
      <w:r w:rsidRPr="00F4297F">
        <w:rPr>
          <w:rStyle w:val="af7"/>
          <w:rFonts w:eastAsia="Guttman Hodes"/>
          <w:rtl/>
        </w:rPr>
        <w:fldChar w:fldCharType="end"/>
      </w:r>
      <w:r>
        <w:rPr>
          <w:rFonts w:hint="cs"/>
          <w:rtl/>
        </w:rPr>
        <w:t xml:space="preserve"> דבדברי רב חסדא מבואר אף יותר, דמהני שחיטת האם לעובר, לענין נבילה אעפ"י דלא מהני לענין היתר אכילה, ביאר </w:t>
      </w:r>
      <w:r w:rsidRPr="00F4297F">
        <w:rPr>
          <w:rStyle w:val="af9"/>
          <w:rFonts w:hint="cs"/>
          <w:rtl/>
        </w:rPr>
        <w:t>השער"י</w:t>
      </w:r>
      <w:r>
        <w:rPr>
          <w:rFonts w:hint="cs"/>
          <w:rtl/>
        </w:rPr>
        <w:t xml:space="preserve"> דכוונת </w:t>
      </w:r>
      <w:r w:rsidRPr="00F4297F">
        <w:rPr>
          <w:rStyle w:val="af9"/>
          <w:rFonts w:hint="cs"/>
          <w:rtl/>
        </w:rPr>
        <w:t>הרשב"א</w:t>
      </w:r>
      <w:r>
        <w:rPr>
          <w:rFonts w:hint="cs"/>
          <w:rtl/>
        </w:rPr>
        <w:t xml:space="preserve"> להקשות היאך אפש"ל שלגבי העובר חשיב שיש חסרון בשחיטה, הרי בשחיטה עצמה אין כל חסרון אף לגבי האם, ורק דבר אחר גרם לה להאסר דהיא טריפה, ומוכח דלעובר היא שחיטה מעולה דהא מתירתו מידי נבילה, וע"ז תירץ </w:t>
      </w:r>
      <w:r w:rsidRPr="00F4297F">
        <w:rPr>
          <w:rStyle w:val="af9"/>
          <w:rFonts w:hint="cs"/>
          <w:rtl/>
        </w:rPr>
        <w:t>הרשב"א</w:t>
      </w:r>
      <w:r>
        <w:rPr>
          <w:rFonts w:hint="cs"/>
          <w:rtl/>
        </w:rPr>
        <w:t xml:space="preserve"> דלגבי האם חשיבא כשחיטה מעולה כיון שכל מה ששייך שחיטה באם הוא רק לענין נבילה, אבל לגבי העובר אינה שחיטה ראויה, כיון שהוא צריך שחיטה אף להתירו באכילה.</w:t>
      </w:r>
      <w:bookmarkEnd w:id="26621"/>
    </w:p>
    <w:p w14:paraId="1421DF50" w14:textId="77777777" w:rsidR="003D504D" w:rsidRDefault="003D504D" w:rsidP="00BF39B2">
      <w:pPr>
        <w:pStyle w:val="1"/>
        <w:rPr>
          <w:rtl/>
        </w:rPr>
      </w:pPr>
      <w:bookmarkStart w:id="26622" w:name="_Toc4761964"/>
      <w:bookmarkStart w:id="26623" w:name="_Toc4877673"/>
      <w:bookmarkStart w:id="26624" w:name="_Toc4878023"/>
      <w:bookmarkStart w:id="26625" w:name="_Toc4878167"/>
      <w:bookmarkStart w:id="26626" w:name="_Toc19392282"/>
      <w:bookmarkStart w:id="26627" w:name="_Toc19395779"/>
      <w:r>
        <w:rPr>
          <w:rFonts w:hint="cs"/>
          <w:rtl/>
        </w:rPr>
        <w:t>דברי השער"י דלרשב"א אף דאם זבוחה הולד אסור באינו זבוח</w:t>
      </w:r>
      <w:bookmarkEnd w:id="26622"/>
      <w:bookmarkEnd w:id="26623"/>
      <w:bookmarkEnd w:id="26624"/>
      <w:bookmarkEnd w:id="26625"/>
      <w:bookmarkEnd w:id="26626"/>
      <w:bookmarkEnd w:id="26627"/>
      <w:r>
        <w:rPr>
          <w:rFonts w:hint="cs"/>
          <w:rtl/>
        </w:rPr>
        <w:t xml:space="preserve"> </w:t>
      </w:r>
    </w:p>
    <w:p w14:paraId="7280AFFA" w14:textId="77777777" w:rsidR="003D504D" w:rsidRDefault="003D504D" w:rsidP="003D504D">
      <w:pPr>
        <w:pStyle w:val="a3"/>
        <w:rPr>
          <w:rtl/>
        </w:rPr>
      </w:pPr>
      <w:bookmarkStart w:id="26628" w:name="_Toc4761965"/>
      <w:bookmarkStart w:id="26629" w:name="_Toc4877674"/>
      <w:bookmarkStart w:id="26630" w:name="_Toc4878024"/>
      <w:bookmarkStart w:id="26631" w:name="_Toc4878168"/>
      <w:bookmarkStart w:id="26632" w:name="_Toc19392283"/>
      <w:bookmarkStart w:id="26633" w:name="_Toc19395780"/>
      <w:r>
        <w:rPr>
          <w:rFonts w:hint="cs"/>
          <w:rtl/>
        </w:rPr>
        <w:t>דברי השער"י דכל טריפה מותרת מאיסור זבוח דהועילה השחיטה לכל מה שאפשר בטריפה</w:t>
      </w:r>
      <w:bookmarkEnd w:id="26628"/>
      <w:bookmarkEnd w:id="26629"/>
      <w:bookmarkEnd w:id="26630"/>
      <w:bookmarkEnd w:id="26631"/>
      <w:bookmarkEnd w:id="26632"/>
      <w:bookmarkEnd w:id="26633"/>
    </w:p>
    <w:p w14:paraId="4DEBFCF2" w14:textId="77777777" w:rsidR="003D504D" w:rsidRDefault="003D504D" w:rsidP="00223668">
      <w:pPr>
        <w:pStyle w:val="a0"/>
        <w:rPr>
          <w:rStyle w:val="afb"/>
          <w:rtl/>
        </w:rPr>
      </w:pPr>
      <w:r>
        <w:rPr>
          <w:rFonts w:hint="cs"/>
          <w:rtl/>
        </w:rPr>
        <w:t xml:space="preserve">וכתב </w:t>
      </w:r>
      <w:r w:rsidRPr="00F4297F">
        <w:rPr>
          <w:rStyle w:val="af9"/>
          <w:rFonts w:hint="cs"/>
          <w:rtl/>
        </w:rPr>
        <w:t>השער"י</w:t>
      </w:r>
      <w:r>
        <w:rPr>
          <w:rFonts w:hint="cs"/>
          <w:rtl/>
        </w:rPr>
        <w:t xml:space="preserve"> דלפי"ז מבואר דבכל טריפה שחוטה, אין איסור אינו זבוח, דכיון שהשחיטה שלה הועילה לכל מה שהיא צריכה שחיטה, ולענין אכילה א"צ שחיטה כלל, ולכן חשיבא כזבוחה בכל מה ששייך בה שחיטה. </w:t>
      </w:r>
      <w:r w:rsidRPr="00F4297F">
        <w:rPr>
          <w:rStyle w:val="afb"/>
          <w:rFonts w:hint="cs"/>
          <w:rtl/>
        </w:rPr>
        <w:t>[היינו דאיסור אינו זבוח הוא בבהמה שלא נשחטה, וכיון דכל מה שהטריפה צריכה שחיטה, הועילה בה השחיטה, היא חשיבא כזבוחה לגמרי].</w:t>
      </w:r>
    </w:p>
    <w:p w14:paraId="7153C087" w14:textId="77777777" w:rsidR="003D504D" w:rsidRPr="007750D6" w:rsidRDefault="003D504D" w:rsidP="003D504D">
      <w:pPr>
        <w:pStyle w:val="a3"/>
        <w:rPr>
          <w:rtl/>
        </w:rPr>
      </w:pPr>
      <w:bookmarkStart w:id="26634" w:name="_Toc4761966"/>
      <w:bookmarkStart w:id="26635" w:name="_Toc4877675"/>
      <w:bookmarkStart w:id="26636" w:name="_Toc4878025"/>
      <w:bookmarkStart w:id="26637" w:name="_Toc4878169"/>
      <w:bookmarkStart w:id="26638" w:name="_Toc19392284"/>
      <w:bookmarkStart w:id="26639" w:name="_Toc19395781"/>
      <w:r>
        <w:rPr>
          <w:rFonts w:hint="cs"/>
          <w:rtl/>
        </w:rPr>
        <w:t>דברי השער"י דלהרשב"א הולד אסור באינו זבוח</w:t>
      </w:r>
      <w:bookmarkEnd w:id="26634"/>
      <w:bookmarkEnd w:id="26635"/>
      <w:bookmarkEnd w:id="26636"/>
      <w:bookmarkEnd w:id="26637"/>
      <w:bookmarkEnd w:id="26638"/>
      <w:bookmarkEnd w:id="26639"/>
    </w:p>
    <w:p w14:paraId="350DFB79" w14:textId="77777777" w:rsidR="003D504D" w:rsidRDefault="003D504D" w:rsidP="00223668">
      <w:pPr>
        <w:pStyle w:val="a0"/>
        <w:rPr>
          <w:rtl/>
        </w:rPr>
      </w:pPr>
      <w:r>
        <w:rPr>
          <w:rFonts w:hint="cs"/>
          <w:rtl/>
        </w:rPr>
        <w:t xml:space="preserve">וכתב </w:t>
      </w:r>
      <w:r w:rsidRPr="007750D6">
        <w:rPr>
          <w:rStyle w:val="af9"/>
          <w:rFonts w:hint="cs"/>
          <w:rtl/>
        </w:rPr>
        <w:t>השער"י</w:t>
      </w:r>
      <w:r>
        <w:rPr>
          <w:rFonts w:hint="cs"/>
          <w:rtl/>
        </w:rPr>
        <w:t xml:space="preserve"> דא"כ מבואר דהאיסור של העובר, הוא דלגביו לא הייתה שחיטת אמו שחיטה ראויה, דהוא צריך היתר אכילה ולזה לא הועילה השחיטה, וא"כ נשאר על העובר איסור אינו זבוח.</w:t>
      </w:r>
    </w:p>
    <w:p w14:paraId="74751151" w14:textId="77777777" w:rsidR="003D504D" w:rsidRDefault="003D504D" w:rsidP="00BF39B2">
      <w:pPr>
        <w:pStyle w:val="1"/>
        <w:rPr>
          <w:rtl/>
        </w:rPr>
      </w:pPr>
      <w:bookmarkStart w:id="26640" w:name="_Toc4761967"/>
      <w:bookmarkStart w:id="26641" w:name="_Toc4877676"/>
      <w:bookmarkStart w:id="26642" w:name="_Toc4878026"/>
      <w:bookmarkStart w:id="26643" w:name="_Toc4878170"/>
      <w:bookmarkStart w:id="26644" w:name="_Toc19392285"/>
      <w:bookmarkStart w:id="26645" w:name="_Toc19395782"/>
      <w:r>
        <w:rPr>
          <w:rFonts w:hint="cs"/>
          <w:rtl/>
        </w:rPr>
        <w:t>ביאור השער"י בריצב"א דהולד כטריפה דנבילה היא גם טריפה</w:t>
      </w:r>
      <w:bookmarkEnd w:id="26640"/>
      <w:bookmarkEnd w:id="26641"/>
      <w:bookmarkEnd w:id="26642"/>
      <w:bookmarkEnd w:id="26643"/>
      <w:bookmarkEnd w:id="26644"/>
      <w:bookmarkEnd w:id="26645"/>
      <w:r>
        <w:rPr>
          <w:rFonts w:hint="cs"/>
          <w:rtl/>
        </w:rPr>
        <w:t xml:space="preserve"> </w:t>
      </w:r>
    </w:p>
    <w:p w14:paraId="4A2651C0" w14:textId="77777777" w:rsidR="003D504D" w:rsidRPr="00956619" w:rsidRDefault="003D504D" w:rsidP="003D504D">
      <w:pPr>
        <w:pStyle w:val="a3"/>
        <w:rPr>
          <w:rtl/>
        </w:rPr>
      </w:pPr>
      <w:bookmarkStart w:id="26646" w:name="_Toc4761968"/>
      <w:bookmarkStart w:id="26647" w:name="_Toc4877677"/>
      <w:bookmarkStart w:id="26648" w:name="_Toc4878027"/>
      <w:bookmarkStart w:id="26649" w:name="_Toc4878171"/>
      <w:bookmarkStart w:id="26650" w:name="_Toc19392286"/>
      <w:bookmarkStart w:id="26651" w:name="_Toc19395783"/>
      <w:r>
        <w:rPr>
          <w:rFonts w:hint="cs"/>
          <w:rtl/>
        </w:rPr>
        <w:t>קושית השער"י על הריצב"א במה אסור הולד דהא ס"ל דאין איסור עשה דאינו זבוח</w:t>
      </w:r>
      <w:bookmarkEnd w:id="26646"/>
      <w:bookmarkEnd w:id="26647"/>
      <w:bookmarkEnd w:id="26648"/>
      <w:bookmarkEnd w:id="26649"/>
      <w:bookmarkEnd w:id="26650"/>
      <w:bookmarkEnd w:id="26651"/>
      <w:r>
        <w:rPr>
          <w:rFonts w:hint="cs"/>
          <w:rtl/>
        </w:rPr>
        <w:t xml:space="preserve"> </w:t>
      </w:r>
    </w:p>
    <w:p w14:paraId="3B1B205F" w14:textId="77777777" w:rsidR="003D504D" w:rsidRDefault="003D504D" w:rsidP="00223668">
      <w:pPr>
        <w:pStyle w:val="a0"/>
        <w:rPr>
          <w:rtl/>
        </w:rPr>
      </w:pPr>
      <w:r>
        <w:rPr>
          <w:rFonts w:hint="cs"/>
          <w:rtl/>
        </w:rPr>
        <w:t xml:space="preserve">והביא </w:t>
      </w:r>
      <w:r w:rsidRPr="007750D6">
        <w:rPr>
          <w:rStyle w:val="af9"/>
          <w:rFonts w:hint="cs"/>
          <w:rtl/>
        </w:rPr>
        <w:t>השער"י</w:t>
      </w:r>
      <w:r>
        <w:rPr>
          <w:rFonts w:hint="cs"/>
          <w:rtl/>
        </w:rPr>
        <w:t xml:space="preserve"> את דברי </w:t>
      </w:r>
      <w:r w:rsidRPr="007750D6">
        <w:rPr>
          <w:rStyle w:val="af9"/>
          <w:rFonts w:hint="cs"/>
          <w:rtl/>
        </w:rPr>
        <w:t>הריצב"א בתוס' בשבועות</w:t>
      </w:r>
      <w:r>
        <w:rPr>
          <w:rFonts w:hint="cs"/>
          <w:rtl/>
        </w:rPr>
        <w:t xml:space="preserve"> </w:t>
      </w:r>
      <w:r w:rsidRPr="007750D6">
        <w:rPr>
          <w:rStyle w:val="af7"/>
          <w:rFonts w:eastAsia="Guttman Hodes" w:hint="cs"/>
          <w:rtl/>
        </w:rPr>
        <w:t xml:space="preserve">(כד. ד"ה האוכל) </w:t>
      </w:r>
      <w:r>
        <w:rPr>
          <w:rFonts w:hint="cs"/>
          <w:rtl/>
        </w:rPr>
        <w:t xml:space="preserve">דס"ל דאין איסור עשה דאינו זבוח, והקשה </w:t>
      </w:r>
      <w:r w:rsidRPr="007750D6">
        <w:rPr>
          <w:rStyle w:val="af9"/>
          <w:rFonts w:hint="cs"/>
          <w:rtl/>
        </w:rPr>
        <w:t>השער"י</w:t>
      </w:r>
      <w:r>
        <w:rPr>
          <w:rFonts w:hint="cs"/>
          <w:rtl/>
        </w:rPr>
        <w:t xml:space="preserve"> על </w:t>
      </w:r>
      <w:r w:rsidRPr="007750D6">
        <w:rPr>
          <w:rStyle w:val="af9"/>
          <w:rFonts w:hint="cs"/>
          <w:rtl/>
        </w:rPr>
        <w:t>הריצב"א</w:t>
      </w:r>
      <w:r>
        <w:rPr>
          <w:rFonts w:hint="cs"/>
          <w:rtl/>
        </w:rPr>
        <w:t xml:space="preserve"> במה אסור העובר, דבשעה שהוא עדיין חי הוא אסור מדין אבר מן החי, אבל אחר שמת שפקע איסור אבר מן החי, ולא חל עליו איסור נבילה, דלענין נבילה מהני לו שחיטת אמו, כיון שאמו לא הייתה אסורה בנבילה, ואילו איסור טריפה שהיה באמו לא חל על העובר, וא"כ קשה מהו איסורו.</w:t>
      </w:r>
    </w:p>
    <w:p w14:paraId="1AB5AC63" w14:textId="77777777" w:rsidR="003D504D" w:rsidRDefault="003D504D" w:rsidP="003D504D">
      <w:pPr>
        <w:pStyle w:val="a3"/>
        <w:rPr>
          <w:rtl/>
        </w:rPr>
      </w:pPr>
      <w:bookmarkStart w:id="26652" w:name="_Toc4761969"/>
      <w:bookmarkStart w:id="26653" w:name="_Toc4877678"/>
      <w:bookmarkStart w:id="26654" w:name="_Toc4878028"/>
      <w:bookmarkStart w:id="26655" w:name="_Toc4878172"/>
      <w:bookmarkStart w:id="26656" w:name="_Toc19392287"/>
      <w:bookmarkStart w:id="26657" w:name="_Toc19395784"/>
      <w:r>
        <w:rPr>
          <w:rFonts w:hint="cs"/>
          <w:rtl/>
        </w:rPr>
        <w:t>ביאור השער"י דכל נבילה יש בה גם איסור טריפה ואף דהותר מנבילה לא הותר משחיטה</w:t>
      </w:r>
      <w:bookmarkEnd w:id="26652"/>
      <w:bookmarkEnd w:id="26653"/>
      <w:bookmarkEnd w:id="26654"/>
      <w:bookmarkEnd w:id="26655"/>
      <w:bookmarkEnd w:id="26656"/>
      <w:bookmarkEnd w:id="26657"/>
    </w:p>
    <w:p w14:paraId="46A31D91" w14:textId="77777777" w:rsidR="003D504D" w:rsidRDefault="003D504D" w:rsidP="00223668">
      <w:pPr>
        <w:pStyle w:val="a0"/>
        <w:rPr>
          <w:rtl/>
        </w:rPr>
      </w:pPr>
      <w:r>
        <w:rPr>
          <w:rFonts w:hint="cs"/>
          <w:rtl/>
        </w:rPr>
        <w:t xml:space="preserve">ותירץ </w:t>
      </w:r>
      <w:r w:rsidRPr="007750D6">
        <w:rPr>
          <w:rStyle w:val="af9"/>
          <w:rFonts w:hint="cs"/>
          <w:rtl/>
        </w:rPr>
        <w:t>השער"י</w:t>
      </w:r>
      <w:r>
        <w:rPr>
          <w:rFonts w:hint="cs"/>
          <w:rtl/>
        </w:rPr>
        <w:t xml:space="preserve"> דכל נבילה היא גם טריפה, שהרי יש בה את כל סימני הטריפה, רק שיש בה איסור נוסף דהיא נבילה, אך מ"מ יש לה גם את דיני טריפה, וא"כ בעובר אחר שמת דהותר בשחיטת אמו לענין שלא יחול עליו דין נבילה, מ"מ הוא לא הותר מדין טריפה, דהרי לענין איסור טריפה לא הועילה שחיטת אמו, ולכן אסור העובר אחר מיתתו באיסור טריפה.</w:t>
      </w:r>
    </w:p>
    <w:p w14:paraId="7AB22814" w14:textId="77777777" w:rsidR="003D504D" w:rsidRPr="0054327E" w:rsidRDefault="003D504D" w:rsidP="003D504D">
      <w:pPr>
        <w:pStyle w:val="a3"/>
        <w:rPr>
          <w:rtl/>
        </w:rPr>
      </w:pPr>
      <w:bookmarkStart w:id="26658" w:name="_Toc4877679"/>
      <w:bookmarkStart w:id="26659" w:name="_Toc4878029"/>
      <w:bookmarkStart w:id="26660" w:name="_Toc4878173"/>
      <w:bookmarkStart w:id="26661" w:name="_Toc19392288"/>
      <w:bookmarkStart w:id="26662" w:name="_Toc19395785"/>
      <w:r>
        <w:rPr>
          <w:rFonts w:hint="cs"/>
          <w:rtl/>
        </w:rPr>
        <w:t>דברי השער"י דאפש"ל דכוונת הרשב"א דהועבר טריפה דנשאר עליו איסור טריפה</w:t>
      </w:r>
      <w:bookmarkEnd w:id="26658"/>
      <w:bookmarkEnd w:id="26659"/>
      <w:bookmarkEnd w:id="26660"/>
      <w:bookmarkEnd w:id="26661"/>
      <w:bookmarkEnd w:id="26662"/>
    </w:p>
    <w:p w14:paraId="1FB87064" w14:textId="77777777" w:rsidR="003D504D" w:rsidRPr="00501677" w:rsidRDefault="003D504D" w:rsidP="00223668">
      <w:pPr>
        <w:pStyle w:val="a0"/>
        <w:rPr>
          <w:rtl/>
        </w:rPr>
      </w:pPr>
      <w:bookmarkStart w:id="26663" w:name="_Ref4515714"/>
      <w:r>
        <w:rPr>
          <w:rFonts w:hint="cs"/>
          <w:rtl/>
        </w:rPr>
        <w:t xml:space="preserve">והוסיף </w:t>
      </w:r>
      <w:r w:rsidRPr="007750D6">
        <w:rPr>
          <w:rStyle w:val="af9"/>
          <w:rFonts w:hint="cs"/>
          <w:rtl/>
        </w:rPr>
        <w:t>השער"י</w:t>
      </w:r>
      <w:r>
        <w:rPr>
          <w:rFonts w:hint="cs"/>
          <w:rtl/>
        </w:rPr>
        <w:t xml:space="preserve"> דיתכן לומר שזו כוונת </w:t>
      </w:r>
      <w:r w:rsidRPr="007750D6">
        <w:rPr>
          <w:rStyle w:val="af9"/>
          <w:rFonts w:hint="cs"/>
          <w:rtl/>
        </w:rPr>
        <w:t>הרשב"א</w:t>
      </w:r>
      <w:r>
        <w:rPr>
          <w:rFonts w:hint="cs"/>
          <w:rtl/>
        </w:rPr>
        <w:t xml:space="preserve"> </w:t>
      </w:r>
      <w:r w:rsidRPr="00F4297F">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Ref4617408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Pr>
          <w:rStyle w:val="af7"/>
          <w:rFonts w:eastAsia="Guttman Hodes"/>
          <w:rtl/>
        </w:rPr>
        <w:fldChar w:fldCharType="end"/>
      </w:r>
      <w:r w:rsidRPr="00F4297F">
        <w:rPr>
          <w:rStyle w:val="af7"/>
          <w:rFonts w:eastAsia="Guttman Hodes" w:hint="cs"/>
          <w:rtl/>
        </w:rPr>
        <w:t xml:space="preserve"> </w:t>
      </w:r>
      <w:r>
        <w:rPr>
          <w:rFonts w:hint="cs"/>
          <w:rtl/>
        </w:rPr>
        <w:t>במה שהוסיף בסוף דבריו דהעובר הוא טריפה, דהיינו שבמיתתו חל עליו שם טריפה, ולא חל עליו שם נבילה.</w:t>
      </w:r>
      <w:bookmarkEnd w:id="26663"/>
    </w:p>
    <w:p w14:paraId="01BC802D" w14:textId="77777777" w:rsidR="003D504D" w:rsidRPr="00C76EAF" w:rsidRDefault="003D504D" w:rsidP="00BF39B2">
      <w:pPr>
        <w:pStyle w:val="1"/>
        <w:rPr>
          <w:rtl/>
        </w:rPr>
      </w:pPr>
      <w:bookmarkStart w:id="26664" w:name="_Toc4704797"/>
      <w:bookmarkStart w:id="26665" w:name="_Toc4761970"/>
      <w:bookmarkStart w:id="26666" w:name="_Toc4877680"/>
      <w:bookmarkStart w:id="26667" w:name="_Toc4878030"/>
      <w:bookmarkStart w:id="26668" w:name="_Toc4878174"/>
      <w:bookmarkStart w:id="26669" w:name="_Toc19392289"/>
      <w:bookmarkStart w:id="26670" w:name="_Toc19395786"/>
      <w:bookmarkStart w:id="26671" w:name="_Toc4540595"/>
      <w:bookmarkStart w:id="26672" w:name="_Toc4606385"/>
      <w:bookmarkStart w:id="26673" w:name="_Toc4618180"/>
      <w:bookmarkStart w:id="26674" w:name="_Toc4704800"/>
      <w:r>
        <w:rPr>
          <w:rFonts w:hint="cs"/>
          <w:rtl/>
        </w:rPr>
        <w:t>דברי המשנת ר"א</w:t>
      </w:r>
      <w:bookmarkEnd w:id="26664"/>
      <w:r>
        <w:rPr>
          <w:rFonts w:hint="cs"/>
          <w:rtl/>
        </w:rPr>
        <w:t xml:space="preserve"> ברמב"ם דבשחיטת טריפה אין היתר אכילה</w:t>
      </w:r>
      <w:bookmarkEnd w:id="26665"/>
      <w:bookmarkEnd w:id="26666"/>
      <w:bookmarkEnd w:id="26667"/>
      <w:bookmarkEnd w:id="26668"/>
      <w:bookmarkEnd w:id="26669"/>
      <w:bookmarkEnd w:id="26670"/>
    </w:p>
    <w:p w14:paraId="378DFBA4" w14:textId="77777777" w:rsidR="003D504D" w:rsidRDefault="003D504D" w:rsidP="003D504D">
      <w:pPr>
        <w:pStyle w:val="a3"/>
        <w:rPr>
          <w:rtl/>
        </w:rPr>
      </w:pPr>
      <w:bookmarkStart w:id="26675" w:name="_Toc4761971"/>
      <w:bookmarkStart w:id="26676" w:name="_Toc4877681"/>
      <w:bookmarkStart w:id="26677" w:name="_Toc4878031"/>
      <w:bookmarkStart w:id="26678" w:name="_Toc4878175"/>
      <w:bookmarkStart w:id="26679" w:name="_Toc19392290"/>
      <w:bookmarkStart w:id="26680" w:name="_Toc19395787"/>
      <w:r>
        <w:rPr>
          <w:rFonts w:hint="cs"/>
          <w:rtl/>
        </w:rPr>
        <w:t>דברי המשנת ר"א דהולד אינו מותר בשחיטת הטריפה כיון דבשחיטת טריפה אין היתר אכילה</w:t>
      </w:r>
      <w:bookmarkEnd w:id="26675"/>
      <w:bookmarkEnd w:id="26676"/>
      <w:bookmarkEnd w:id="26677"/>
      <w:bookmarkEnd w:id="26678"/>
      <w:bookmarkEnd w:id="26679"/>
      <w:bookmarkEnd w:id="26680"/>
    </w:p>
    <w:p w14:paraId="5CFB8C62" w14:textId="77777777" w:rsidR="003D504D" w:rsidRDefault="003D504D" w:rsidP="00223668">
      <w:pPr>
        <w:pStyle w:val="a0"/>
        <w:rPr>
          <w:rtl/>
        </w:rPr>
      </w:pPr>
      <w:r>
        <w:rPr>
          <w:rFonts w:hint="cs"/>
          <w:rtl/>
        </w:rPr>
        <w:t xml:space="preserve">כתב </w:t>
      </w:r>
      <w:r w:rsidRPr="001F1795">
        <w:rPr>
          <w:rStyle w:val="af9"/>
          <w:rFonts w:hint="cs"/>
          <w:rtl/>
        </w:rPr>
        <w:t>המשנת ר"א</w:t>
      </w:r>
      <w:r>
        <w:rPr>
          <w:rFonts w:hint="cs"/>
          <w:rtl/>
        </w:rPr>
        <w:t xml:space="preserve"> </w:t>
      </w:r>
      <w:r w:rsidRPr="003B4736">
        <w:rPr>
          <w:rStyle w:val="af7"/>
          <w:rFonts w:eastAsia="Guttman Hodes" w:hint="cs"/>
          <w:rtl/>
        </w:rPr>
        <w:t>(סי' ד' אות ב' ד"ה אמנם)</w:t>
      </w:r>
      <w:r>
        <w:rPr>
          <w:rFonts w:hint="cs"/>
          <w:rtl/>
        </w:rPr>
        <w:t xml:space="preserve"> דמהא דאין הולד מותר בשחיטת אמו, מוכח דשחיטת טריפה אינה מתירה באכילה, וכ"כ </w:t>
      </w:r>
      <w:r w:rsidRPr="001F1795">
        <w:rPr>
          <w:rStyle w:val="af9"/>
          <w:rFonts w:hint="cs"/>
          <w:rtl/>
        </w:rPr>
        <w:t>הגרי"ז</w:t>
      </w:r>
      <w:r>
        <w:rPr>
          <w:rFonts w:hint="cs"/>
          <w:rtl/>
        </w:rPr>
        <w:t xml:space="preserve"> </w:t>
      </w:r>
      <w:r w:rsidRPr="003B4736">
        <w:rPr>
          <w:rStyle w:val="af7"/>
          <w:rFonts w:eastAsia="Guttman Hodes" w:hint="cs"/>
          <w:rtl/>
        </w:rPr>
        <w:t xml:space="preserve">(עי' אות </w:t>
      </w:r>
      <w:r w:rsidRPr="003B4736">
        <w:rPr>
          <w:rStyle w:val="af7"/>
          <w:rFonts w:eastAsia="Guttman Hodes"/>
          <w:rtl/>
        </w:rPr>
        <w:fldChar w:fldCharType="begin"/>
      </w:r>
      <w:r w:rsidRPr="003B4736">
        <w:rPr>
          <w:rStyle w:val="af7"/>
          <w:rFonts w:eastAsia="Guttman Hodes"/>
          <w:rtl/>
        </w:rPr>
        <w:instrText xml:space="preserve"> </w:instrText>
      </w:r>
      <w:r w:rsidRPr="003B4736">
        <w:rPr>
          <w:rStyle w:val="af7"/>
          <w:rFonts w:eastAsia="Guttman Hodes" w:hint="cs"/>
        </w:rPr>
        <w:instrText>REF</w:instrText>
      </w:r>
      <w:r w:rsidRPr="003B4736">
        <w:rPr>
          <w:rStyle w:val="af7"/>
          <w:rFonts w:eastAsia="Guttman Hodes" w:hint="cs"/>
          <w:rtl/>
        </w:rPr>
        <w:instrText xml:space="preserve"> _</w:instrText>
      </w:r>
      <w:r w:rsidRPr="003B4736">
        <w:rPr>
          <w:rStyle w:val="af7"/>
          <w:rFonts w:eastAsia="Guttman Hodes" w:hint="cs"/>
        </w:rPr>
        <w:instrText>Ref4667187 \r \h</w:instrText>
      </w:r>
      <w:r w:rsidRPr="003B4736">
        <w:rPr>
          <w:rStyle w:val="af7"/>
          <w:rFonts w:eastAsia="Guttman Hodes"/>
          <w:rtl/>
        </w:rPr>
        <w:instrText xml:space="preserve"> </w:instrText>
      </w:r>
      <w:r w:rsidRPr="003B4736">
        <w:rPr>
          <w:rStyle w:val="af7"/>
          <w:rFonts w:eastAsia="Guttman Hodes"/>
          <w:rtl/>
        </w:rPr>
      </w:r>
      <w:r w:rsidRPr="003B4736">
        <w:rPr>
          <w:rStyle w:val="af7"/>
          <w:rFonts w:eastAsia="Guttman Hodes"/>
          <w:rtl/>
        </w:rPr>
        <w:fldChar w:fldCharType="separate"/>
      </w:r>
      <w:r w:rsidR="00345400">
        <w:rPr>
          <w:rStyle w:val="af7"/>
          <w:rFonts w:eastAsia="Guttman Hodes"/>
          <w:cs/>
        </w:rPr>
        <w:t>‎</w:t>
      </w:r>
      <w:r w:rsidR="00345400">
        <w:rPr>
          <w:rStyle w:val="af7"/>
          <w:rFonts w:eastAsia="Guttman Hodes"/>
          <w:rtl/>
        </w:rPr>
        <w:t>מ)</w:t>
      </w:r>
      <w:r w:rsidRPr="003B4736">
        <w:rPr>
          <w:rStyle w:val="af7"/>
          <w:rFonts w:eastAsia="Guttman Hodes"/>
          <w:rtl/>
        </w:rPr>
        <w:fldChar w:fldCharType="end"/>
      </w:r>
      <w:r>
        <w:rPr>
          <w:rFonts w:hint="cs"/>
          <w:rtl/>
        </w:rPr>
        <w:t xml:space="preserve"> </w:t>
      </w:r>
      <w:r w:rsidRPr="001F1795">
        <w:rPr>
          <w:rStyle w:val="af9"/>
          <w:rFonts w:hint="cs"/>
          <w:rtl/>
        </w:rPr>
        <w:t>והאמרי משה</w:t>
      </w:r>
      <w:r>
        <w:rPr>
          <w:rFonts w:hint="cs"/>
          <w:rtl/>
        </w:rPr>
        <w:t xml:space="preserve"> </w:t>
      </w:r>
      <w:r w:rsidRPr="003B4736">
        <w:rPr>
          <w:rStyle w:val="af7"/>
          <w:rFonts w:eastAsia="Guttman Hodes" w:hint="cs"/>
          <w:rtl/>
        </w:rPr>
        <w:t xml:space="preserve">(עי' אות </w:t>
      </w:r>
      <w:r w:rsidRPr="003B4736">
        <w:rPr>
          <w:rStyle w:val="af7"/>
          <w:rFonts w:eastAsia="Guttman Hodes"/>
          <w:rtl/>
        </w:rPr>
        <w:fldChar w:fldCharType="begin"/>
      </w:r>
      <w:r w:rsidRPr="003B4736">
        <w:rPr>
          <w:rStyle w:val="af7"/>
          <w:rFonts w:eastAsia="Guttman Hodes"/>
          <w:rtl/>
        </w:rPr>
        <w:instrText xml:space="preserve"> </w:instrText>
      </w:r>
      <w:r w:rsidRPr="003B4736">
        <w:rPr>
          <w:rStyle w:val="af7"/>
          <w:rFonts w:eastAsia="Guttman Hodes" w:hint="cs"/>
        </w:rPr>
        <w:instrText>REF</w:instrText>
      </w:r>
      <w:r w:rsidRPr="003B4736">
        <w:rPr>
          <w:rStyle w:val="af7"/>
          <w:rFonts w:eastAsia="Guttman Hodes" w:hint="cs"/>
          <w:rtl/>
        </w:rPr>
        <w:instrText xml:space="preserve"> _</w:instrText>
      </w:r>
      <w:r w:rsidRPr="003B4736">
        <w:rPr>
          <w:rStyle w:val="af7"/>
          <w:rFonts w:eastAsia="Guttman Hodes" w:hint="cs"/>
        </w:rPr>
        <w:instrText>Ref4691262 \r \h</w:instrText>
      </w:r>
      <w:r w:rsidRPr="003B4736">
        <w:rPr>
          <w:rStyle w:val="af7"/>
          <w:rFonts w:eastAsia="Guttman Hodes"/>
          <w:rtl/>
        </w:rPr>
        <w:instrText xml:space="preserve"> </w:instrText>
      </w:r>
      <w:r w:rsidRPr="003B4736">
        <w:rPr>
          <w:rStyle w:val="af7"/>
          <w:rFonts w:eastAsia="Guttman Hodes"/>
          <w:rtl/>
        </w:rPr>
      </w:r>
      <w:r w:rsidRPr="003B4736">
        <w:rPr>
          <w:rStyle w:val="af7"/>
          <w:rFonts w:eastAsia="Guttman Hodes"/>
          <w:rtl/>
        </w:rPr>
        <w:fldChar w:fldCharType="separate"/>
      </w:r>
      <w:r w:rsidR="00345400">
        <w:rPr>
          <w:rStyle w:val="af7"/>
          <w:rFonts w:eastAsia="Guttman Hodes"/>
          <w:cs/>
        </w:rPr>
        <w:t>‎</w:t>
      </w:r>
      <w:r w:rsidR="00345400">
        <w:rPr>
          <w:rStyle w:val="af7"/>
          <w:rFonts w:eastAsia="Guttman Hodes"/>
          <w:rtl/>
        </w:rPr>
        <w:t>נז)</w:t>
      </w:r>
      <w:r w:rsidRPr="003B4736">
        <w:rPr>
          <w:rStyle w:val="af7"/>
          <w:rFonts w:eastAsia="Guttman Hodes"/>
          <w:rtl/>
        </w:rPr>
        <w:fldChar w:fldCharType="end"/>
      </w:r>
      <w:r>
        <w:rPr>
          <w:rFonts w:hint="cs"/>
          <w:rtl/>
        </w:rPr>
        <w:t>.</w:t>
      </w:r>
    </w:p>
    <w:p w14:paraId="39457939" w14:textId="77777777" w:rsidR="003D504D" w:rsidRPr="00D61ED7" w:rsidRDefault="003D504D" w:rsidP="003D504D">
      <w:pPr>
        <w:pStyle w:val="a3"/>
        <w:rPr>
          <w:rtl/>
        </w:rPr>
      </w:pPr>
      <w:bookmarkStart w:id="26681" w:name="_Toc4761972"/>
      <w:bookmarkStart w:id="26682" w:name="_Toc4877682"/>
      <w:bookmarkStart w:id="26683" w:name="_Toc4878032"/>
      <w:bookmarkStart w:id="26684" w:name="_Toc4878176"/>
      <w:bookmarkStart w:id="26685" w:name="_Toc19392291"/>
      <w:bookmarkStart w:id="26686" w:name="_Toc19395788"/>
      <w:r>
        <w:rPr>
          <w:rFonts w:hint="cs"/>
          <w:rtl/>
        </w:rPr>
        <w:t>דברי המשנת ר"א דמדדימה הרמב"ם שחיטת טריפה לשחיטת נכרי דאין בה היתר אכילה</w:t>
      </w:r>
      <w:bookmarkEnd w:id="26681"/>
      <w:bookmarkEnd w:id="26682"/>
      <w:bookmarkEnd w:id="26683"/>
      <w:bookmarkEnd w:id="26684"/>
      <w:bookmarkEnd w:id="26685"/>
      <w:bookmarkEnd w:id="26686"/>
    </w:p>
    <w:p w14:paraId="39484F95" w14:textId="77777777" w:rsidR="003D504D" w:rsidRDefault="003D504D" w:rsidP="00223668">
      <w:pPr>
        <w:pStyle w:val="a0"/>
        <w:rPr>
          <w:rtl/>
        </w:rPr>
      </w:pPr>
      <w:bookmarkStart w:id="26687" w:name="_Ref4702504"/>
      <w:r>
        <w:rPr>
          <w:rFonts w:hint="cs"/>
          <w:rtl/>
        </w:rPr>
        <w:t xml:space="preserve">וכתב </w:t>
      </w:r>
      <w:r w:rsidRPr="001F1795">
        <w:rPr>
          <w:rStyle w:val="af9"/>
          <w:rFonts w:hint="cs"/>
          <w:rtl/>
        </w:rPr>
        <w:t>המשנת ר"א</w:t>
      </w:r>
      <w:r>
        <w:rPr>
          <w:rFonts w:hint="cs"/>
          <w:rtl/>
        </w:rPr>
        <w:t xml:space="preserve">  </w:t>
      </w:r>
      <w:r w:rsidRPr="001F1795">
        <w:rPr>
          <w:rStyle w:val="af7"/>
          <w:rFonts w:eastAsia="Guttman Hodes" w:hint="cs"/>
          <w:rtl/>
        </w:rPr>
        <w:t>(סי' ד' אות ב' ד"ה אלא דכ"ז)</w:t>
      </w:r>
      <w:r>
        <w:rPr>
          <w:rFonts w:hint="cs"/>
          <w:rtl/>
        </w:rPr>
        <w:t xml:space="preserve"> דכן מדברי </w:t>
      </w:r>
      <w:r w:rsidRPr="001F1795">
        <w:rPr>
          <w:rStyle w:val="af9"/>
          <w:rFonts w:hint="cs"/>
          <w:rtl/>
        </w:rPr>
        <w:t>הרמב"ם</w:t>
      </w:r>
      <w:r>
        <w:rPr>
          <w:rFonts w:hint="cs"/>
          <w:rtl/>
        </w:rPr>
        <w:t xml:space="preserve"> </w:t>
      </w:r>
      <w:r w:rsidRPr="001F1795">
        <w:rPr>
          <w:rStyle w:val="af7"/>
          <w:rFonts w:eastAsia="Guttman Hodes" w:hint="cs"/>
          <w:rtl/>
        </w:rPr>
        <w:t xml:space="preserve">(עי' אות </w:t>
      </w:r>
      <w:r w:rsidRPr="001F1795">
        <w:rPr>
          <w:rStyle w:val="af7"/>
          <w:rFonts w:eastAsia="Guttman Hodes"/>
          <w:rtl/>
        </w:rPr>
        <w:fldChar w:fldCharType="begin"/>
      </w:r>
      <w:r w:rsidRPr="001F1795">
        <w:rPr>
          <w:rStyle w:val="af7"/>
          <w:rFonts w:eastAsia="Guttman Hodes"/>
          <w:rtl/>
        </w:rPr>
        <w:instrText xml:space="preserve"> </w:instrText>
      </w:r>
      <w:r w:rsidRPr="001F1795">
        <w:rPr>
          <w:rStyle w:val="af7"/>
          <w:rFonts w:eastAsia="Guttman Hodes" w:hint="cs"/>
        </w:rPr>
        <w:instrText>REF</w:instrText>
      </w:r>
      <w:r w:rsidRPr="001F1795">
        <w:rPr>
          <w:rStyle w:val="af7"/>
          <w:rFonts w:eastAsia="Guttman Hodes" w:hint="cs"/>
          <w:rtl/>
        </w:rPr>
        <w:instrText xml:space="preserve"> _</w:instrText>
      </w:r>
      <w:r w:rsidRPr="001F1795">
        <w:rPr>
          <w:rStyle w:val="af7"/>
          <w:rFonts w:eastAsia="Guttman Hodes" w:hint="cs"/>
        </w:rPr>
        <w:instrText>Ref4699889 \r \h</w:instrText>
      </w:r>
      <w:r w:rsidRPr="001F1795">
        <w:rPr>
          <w:rStyle w:val="af7"/>
          <w:rFonts w:eastAsia="Guttman Hodes"/>
          <w:rtl/>
        </w:rPr>
        <w:instrText xml:space="preserve"> </w:instrText>
      </w:r>
      <w:r w:rsidRPr="001F1795">
        <w:rPr>
          <w:rStyle w:val="af7"/>
          <w:rFonts w:eastAsia="Guttman Hodes"/>
          <w:rtl/>
        </w:rPr>
      </w:r>
      <w:r w:rsidRPr="001F1795">
        <w:rPr>
          <w:rStyle w:val="af7"/>
          <w:rFonts w:eastAsia="Guttman Hodes"/>
          <w:rtl/>
        </w:rPr>
        <w:fldChar w:fldCharType="separate"/>
      </w:r>
      <w:r w:rsidR="00345400">
        <w:rPr>
          <w:rStyle w:val="af7"/>
          <w:rFonts w:eastAsia="Guttman Hodes"/>
          <w:cs/>
        </w:rPr>
        <w:t>‎</w:t>
      </w:r>
      <w:r w:rsidR="00345400">
        <w:rPr>
          <w:rStyle w:val="af7"/>
          <w:rFonts w:eastAsia="Guttman Hodes"/>
          <w:rtl/>
        </w:rPr>
        <w:t>לח)</w:t>
      </w:r>
      <w:r w:rsidRPr="001F1795">
        <w:rPr>
          <w:rStyle w:val="af7"/>
          <w:rFonts w:eastAsia="Guttman Hodes"/>
          <w:rtl/>
        </w:rPr>
        <w:fldChar w:fldCharType="end"/>
      </w:r>
      <w:r>
        <w:rPr>
          <w:rFonts w:hint="cs"/>
          <w:rtl/>
        </w:rPr>
        <w:t xml:space="preserve"> מבואר דהשחיטה אינה מתרת באכילה, </w:t>
      </w:r>
      <w:r w:rsidRPr="001F1795">
        <w:rPr>
          <w:rStyle w:val="afb"/>
          <w:rFonts w:hint="cs"/>
          <w:rtl/>
        </w:rPr>
        <w:t xml:space="preserve">[כדהוכיח </w:t>
      </w:r>
      <w:r w:rsidRPr="001F1795">
        <w:rPr>
          <w:rStyle w:val="affa"/>
          <w:rFonts w:hint="cs"/>
          <w:rtl/>
        </w:rPr>
        <w:t>הגר"ח</w:t>
      </w:r>
      <w:r w:rsidRPr="001F1795">
        <w:rPr>
          <w:rStyle w:val="afb"/>
          <w:rFonts w:hint="cs"/>
          <w:rtl/>
        </w:rPr>
        <w:t xml:space="preserve"> </w:t>
      </w:r>
      <w:r w:rsidRPr="001F1795">
        <w:rPr>
          <w:rStyle w:val="aff6"/>
          <w:rFonts w:hint="cs"/>
          <w:rtl/>
        </w:rPr>
        <w:t xml:space="preserve">(עי' אות </w:t>
      </w:r>
      <w:r w:rsidRPr="001F1795">
        <w:rPr>
          <w:rStyle w:val="aff6"/>
          <w:rtl/>
        </w:rPr>
        <w:fldChar w:fldCharType="begin"/>
      </w:r>
      <w:r w:rsidRPr="001F1795">
        <w:rPr>
          <w:rStyle w:val="aff6"/>
          <w:rtl/>
        </w:rPr>
        <w:instrText xml:space="preserve"> </w:instrText>
      </w:r>
      <w:r w:rsidRPr="001F1795">
        <w:rPr>
          <w:rStyle w:val="aff6"/>
          <w:rFonts w:hint="cs"/>
        </w:rPr>
        <w:instrText>REF</w:instrText>
      </w:r>
      <w:r w:rsidRPr="001F1795">
        <w:rPr>
          <w:rStyle w:val="aff6"/>
          <w:rFonts w:hint="cs"/>
          <w:rtl/>
        </w:rPr>
        <w:instrText xml:space="preserve"> _</w:instrText>
      </w:r>
      <w:r w:rsidRPr="001F1795">
        <w:rPr>
          <w:rStyle w:val="aff6"/>
          <w:rFonts w:hint="cs"/>
        </w:rPr>
        <w:instrText>Ref4666209 \r \h</w:instrText>
      </w:r>
      <w:r w:rsidRPr="001F1795">
        <w:rPr>
          <w:rStyle w:val="aff6"/>
          <w:rtl/>
        </w:rPr>
        <w:instrText xml:space="preserve"> </w:instrText>
      </w:r>
      <w:r w:rsidRPr="001F1795">
        <w:rPr>
          <w:rStyle w:val="aff6"/>
          <w:rtl/>
        </w:rPr>
      </w:r>
      <w:r w:rsidRPr="001F1795">
        <w:rPr>
          <w:rStyle w:val="aff6"/>
          <w:rtl/>
        </w:rPr>
        <w:fldChar w:fldCharType="separate"/>
      </w:r>
      <w:r w:rsidR="00345400">
        <w:rPr>
          <w:rStyle w:val="aff6"/>
          <w:cs/>
        </w:rPr>
        <w:t>‎</w:t>
      </w:r>
      <w:r w:rsidR="00345400">
        <w:rPr>
          <w:rStyle w:val="aff6"/>
          <w:rtl/>
        </w:rPr>
        <w:t>לט)</w:t>
      </w:r>
      <w:r w:rsidRPr="001F1795">
        <w:rPr>
          <w:rStyle w:val="aff6"/>
          <w:rtl/>
        </w:rPr>
        <w:fldChar w:fldCharType="end"/>
      </w:r>
      <w:r w:rsidRPr="001F1795">
        <w:rPr>
          <w:rStyle w:val="afb"/>
          <w:rFonts w:hint="cs"/>
          <w:rtl/>
        </w:rPr>
        <w:t>],</w:t>
      </w:r>
      <w:r>
        <w:rPr>
          <w:rFonts w:hint="cs"/>
          <w:rtl/>
        </w:rPr>
        <w:t xml:space="preserve"> דהא </w:t>
      </w:r>
      <w:r w:rsidRPr="001F1795">
        <w:rPr>
          <w:rStyle w:val="af9"/>
          <w:rFonts w:hint="cs"/>
          <w:rtl/>
        </w:rPr>
        <w:t>הרמב"ם</w:t>
      </w:r>
      <w:r>
        <w:rPr>
          <w:rFonts w:hint="cs"/>
          <w:rtl/>
        </w:rPr>
        <w:t xml:space="preserve"> דימה את שחיטת נכרי לשחיטת טריפה, דכמו דשחיטת טריפה אסורה באכילה ומטהרת מטומאת נבילה, אף שחיטת נכרי דאסורה באכילה, מדאו' היא מטהרת מנבילה, וכתב </w:t>
      </w:r>
      <w:r w:rsidRPr="001F1795">
        <w:rPr>
          <w:rStyle w:val="af9"/>
          <w:rFonts w:hint="cs"/>
          <w:rtl/>
        </w:rPr>
        <w:t>המשנת ר"א</w:t>
      </w:r>
      <w:r>
        <w:rPr>
          <w:rFonts w:hint="cs"/>
          <w:rtl/>
        </w:rPr>
        <w:t xml:space="preserve"> דאי שחיטת טריפה מהני להתיר אף באכילה, והאיסור בטריפה הוא רק כיון שאינה שחיטה גמורה לכל החיות של הבהמה, א"כ לא דמי כלל לשחיטת נכרי שאינה שחיטה כלל, אלא כתב </w:t>
      </w:r>
      <w:r w:rsidRPr="002914FA">
        <w:rPr>
          <w:rStyle w:val="af9"/>
          <w:rFonts w:hint="cs"/>
          <w:rtl/>
        </w:rPr>
        <w:t>המשנת ר"א</w:t>
      </w:r>
      <w:r>
        <w:rPr>
          <w:rFonts w:hint="cs"/>
          <w:rtl/>
        </w:rPr>
        <w:t xml:space="preserve"> דמבואר מדברי </w:t>
      </w:r>
      <w:r w:rsidRPr="002914FA">
        <w:rPr>
          <w:rStyle w:val="af9"/>
          <w:rFonts w:hint="cs"/>
          <w:rtl/>
        </w:rPr>
        <w:t>הרמב"ם</w:t>
      </w:r>
      <w:r>
        <w:rPr>
          <w:rFonts w:hint="cs"/>
          <w:rtl/>
        </w:rPr>
        <w:t xml:space="preserve"> דשחיטת טריפה אינה מתירה באכילה, ולכן דמי לשחיטת עכו"ם.</w:t>
      </w:r>
      <w:bookmarkEnd w:id="26687"/>
    </w:p>
    <w:p w14:paraId="2621D2BC" w14:textId="77777777" w:rsidR="003D504D" w:rsidRPr="0003545B" w:rsidRDefault="003D504D" w:rsidP="00BF39B2">
      <w:pPr>
        <w:pStyle w:val="1"/>
        <w:rPr>
          <w:rtl/>
        </w:rPr>
      </w:pPr>
      <w:bookmarkStart w:id="26688" w:name="_Toc4761973"/>
      <w:bookmarkStart w:id="26689" w:name="_Toc4877683"/>
      <w:bookmarkStart w:id="26690" w:name="_Toc4878033"/>
      <w:bookmarkStart w:id="26691" w:name="_Toc4878177"/>
      <w:bookmarkStart w:id="26692" w:name="_Toc19392292"/>
      <w:bookmarkStart w:id="26693" w:name="_Toc19395789"/>
      <w:r>
        <w:rPr>
          <w:rFonts w:hint="cs"/>
          <w:rtl/>
        </w:rPr>
        <w:t>דברי המשנת ר"א דלהרשב"א יש בשחיטת טריפה היתר אכילה</w:t>
      </w:r>
      <w:bookmarkEnd w:id="26688"/>
      <w:bookmarkEnd w:id="26689"/>
      <w:bookmarkEnd w:id="26690"/>
      <w:bookmarkEnd w:id="26691"/>
      <w:bookmarkEnd w:id="26692"/>
      <w:bookmarkEnd w:id="26693"/>
    </w:p>
    <w:p w14:paraId="7A9E3456" w14:textId="77777777" w:rsidR="003D504D" w:rsidRPr="0031207D" w:rsidRDefault="003D504D" w:rsidP="003D504D">
      <w:pPr>
        <w:pStyle w:val="a3"/>
      </w:pPr>
      <w:bookmarkStart w:id="26694" w:name="_Toc4761974"/>
      <w:bookmarkStart w:id="26695" w:name="_Toc4877684"/>
      <w:bookmarkStart w:id="26696" w:name="_Toc4878034"/>
      <w:bookmarkStart w:id="26697" w:name="_Toc4878178"/>
      <w:bookmarkStart w:id="26698" w:name="_Toc19392293"/>
      <w:bookmarkStart w:id="26699" w:name="_Toc19395790"/>
      <w:r>
        <w:rPr>
          <w:rFonts w:hint="cs"/>
          <w:rtl/>
        </w:rPr>
        <w:t>דברי המשנת ר"א דמבואר ברשב"א דשחיטת נכרי מתירה מאבמה"ח ומוכח דמתירה באכילה</w:t>
      </w:r>
      <w:bookmarkEnd w:id="26694"/>
      <w:bookmarkEnd w:id="26695"/>
      <w:bookmarkEnd w:id="26696"/>
      <w:bookmarkEnd w:id="26697"/>
      <w:bookmarkEnd w:id="26698"/>
      <w:bookmarkEnd w:id="26699"/>
    </w:p>
    <w:p w14:paraId="224AB05E" w14:textId="77777777" w:rsidR="003D504D" w:rsidRDefault="003D504D" w:rsidP="00223668">
      <w:pPr>
        <w:pStyle w:val="a0"/>
      </w:pPr>
      <w:r>
        <w:rPr>
          <w:rFonts w:hint="cs"/>
          <w:rtl/>
        </w:rPr>
        <w:t xml:space="preserve">אך הביא </w:t>
      </w:r>
      <w:r w:rsidRPr="001F1795">
        <w:rPr>
          <w:rStyle w:val="af9"/>
          <w:rFonts w:hint="cs"/>
          <w:rtl/>
        </w:rPr>
        <w:t>המשנת ר"א</w:t>
      </w:r>
      <w:r>
        <w:rPr>
          <w:rFonts w:hint="cs"/>
          <w:rtl/>
        </w:rPr>
        <w:t xml:space="preserve"> </w:t>
      </w:r>
      <w:r w:rsidRPr="003B4736">
        <w:rPr>
          <w:rStyle w:val="af7"/>
          <w:rFonts w:eastAsia="Guttman Hodes" w:hint="cs"/>
          <w:rtl/>
        </w:rPr>
        <w:t>(סי' ד' אות ב' ד"ה אכן)</w:t>
      </w:r>
      <w:r>
        <w:rPr>
          <w:rFonts w:hint="cs"/>
          <w:rtl/>
        </w:rPr>
        <w:t xml:space="preserve"> את דברי </w:t>
      </w:r>
      <w:r w:rsidRPr="001F1795">
        <w:rPr>
          <w:rStyle w:val="af9"/>
          <w:rFonts w:hint="cs"/>
          <w:rtl/>
        </w:rPr>
        <w:t>הש"ך</w:t>
      </w:r>
      <w:r>
        <w:rPr>
          <w:rFonts w:hint="cs"/>
          <w:rtl/>
        </w:rPr>
        <w:t xml:space="preserve"> </w:t>
      </w:r>
      <w:r w:rsidRPr="003B4736">
        <w:rPr>
          <w:rStyle w:val="af7"/>
          <w:rFonts w:eastAsia="Guttman Hodes" w:hint="cs"/>
          <w:rtl/>
        </w:rPr>
        <w:t>(סי' כ"ז סק"ב)</w:t>
      </w:r>
      <w:r>
        <w:rPr>
          <w:rFonts w:hint="cs"/>
          <w:rtl/>
        </w:rPr>
        <w:t xml:space="preserve"> מבואר דלדעת </w:t>
      </w:r>
      <w:r w:rsidRPr="0009517A">
        <w:rPr>
          <w:rStyle w:val="af9"/>
          <w:rFonts w:hint="cs"/>
          <w:rtl/>
        </w:rPr>
        <w:t>הרשב"א</w:t>
      </w:r>
      <w:r>
        <w:rPr>
          <w:rStyle w:val="af9"/>
          <w:rFonts w:hint="cs"/>
          <w:rtl/>
        </w:rPr>
        <w:t xml:space="preserve"> בתוה"ב</w:t>
      </w:r>
      <w:r>
        <w:rPr>
          <w:rFonts w:hint="cs"/>
          <w:rtl/>
        </w:rPr>
        <w:t xml:space="preserve"> </w:t>
      </w:r>
      <w:r w:rsidRPr="00451BDE">
        <w:rPr>
          <w:rStyle w:val="af7"/>
          <w:rFonts w:eastAsia="Guttman Hodes" w:hint="cs"/>
          <w:rtl/>
        </w:rPr>
        <w:t>(ב"ב ש"ג דף ל. מדה"ס)</w:t>
      </w:r>
      <w:r>
        <w:rPr>
          <w:rFonts w:hint="cs"/>
          <w:rtl/>
        </w:rPr>
        <w:t xml:space="preserve"> שחיטת טריפה מתירה את איסור אבר מן החי, </w:t>
      </w:r>
      <w:r w:rsidRPr="003B4736">
        <w:rPr>
          <w:rStyle w:val="afb"/>
          <w:rFonts w:hint="cs"/>
          <w:rtl/>
        </w:rPr>
        <w:t xml:space="preserve">[לענין להתירו לאכילת נכרי], </w:t>
      </w:r>
      <w:r>
        <w:rPr>
          <w:rFonts w:hint="cs"/>
          <w:rtl/>
        </w:rPr>
        <w:t xml:space="preserve">וכתב </w:t>
      </w:r>
      <w:r w:rsidRPr="001F1795">
        <w:rPr>
          <w:rStyle w:val="af9"/>
          <w:rFonts w:hint="cs"/>
          <w:rtl/>
        </w:rPr>
        <w:t>המשנת ר"א</w:t>
      </w:r>
      <w:r>
        <w:rPr>
          <w:rFonts w:hint="cs"/>
          <w:rtl/>
        </w:rPr>
        <w:t xml:space="preserve"> דמוכח דלדעת </w:t>
      </w:r>
      <w:r w:rsidRPr="0009517A">
        <w:rPr>
          <w:rStyle w:val="af9"/>
          <w:rFonts w:hint="cs"/>
          <w:rtl/>
        </w:rPr>
        <w:t>הרשב"א</w:t>
      </w:r>
      <w:r>
        <w:rPr>
          <w:rStyle w:val="af9"/>
          <w:rFonts w:hint="cs"/>
          <w:rtl/>
        </w:rPr>
        <w:t xml:space="preserve"> </w:t>
      </w:r>
      <w:r>
        <w:rPr>
          <w:rFonts w:hint="cs"/>
          <w:rtl/>
        </w:rPr>
        <w:t xml:space="preserve">אין חסרון בהיתר השחיטה של הטריפה, והיא מתירה אף לענין אכילה, דאי שחיטת טריפה אינה מתירה באכילה, א"כ הייתה הטריפה אסורה באיסור אבר מן החי, עיי"ש בדברי </w:t>
      </w:r>
      <w:r w:rsidRPr="001F1795">
        <w:rPr>
          <w:rStyle w:val="af9"/>
          <w:rFonts w:hint="cs"/>
          <w:rtl/>
        </w:rPr>
        <w:t>המשנת ר"א</w:t>
      </w:r>
      <w:r>
        <w:rPr>
          <w:rFonts w:hint="cs"/>
          <w:rtl/>
        </w:rPr>
        <w:t>.</w:t>
      </w:r>
    </w:p>
    <w:p w14:paraId="265CD9FF" w14:textId="77777777" w:rsidR="003D504D" w:rsidRDefault="003D504D" w:rsidP="00BF39B2">
      <w:pPr>
        <w:pStyle w:val="1"/>
        <w:rPr>
          <w:rtl/>
        </w:rPr>
      </w:pPr>
      <w:bookmarkStart w:id="26700" w:name="_Toc4761975"/>
      <w:bookmarkStart w:id="26701" w:name="_Toc4877685"/>
      <w:bookmarkStart w:id="26702" w:name="_Toc4878035"/>
      <w:bookmarkStart w:id="26703" w:name="_Toc4878179"/>
      <w:bookmarkStart w:id="26704" w:name="_Toc19392294"/>
      <w:bookmarkStart w:id="26705" w:name="_Toc19395791"/>
      <w:r>
        <w:rPr>
          <w:rFonts w:hint="cs"/>
          <w:rtl/>
        </w:rPr>
        <w:t>ביאור המשנת ר"א ברשב"א דיש חלק בטריפה שהוא כנבילה</w:t>
      </w:r>
      <w:bookmarkEnd w:id="26700"/>
      <w:bookmarkEnd w:id="26701"/>
      <w:bookmarkEnd w:id="26702"/>
      <w:bookmarkEnd w:id="26703"/>
      <w:bookmarkEnd w:id="26704"/>
      <w:bookmarkEnd w:id="26705"/>
    </w:p>
    <w:p w14:paraId="5323C8ED" w14:textId="77777777" w:rsidR="003D504D" w:rsidRDefault="003D504D" w:rsidP="003D504D">
      <w:pPr>
        <w:pStyle w:val="a3"/>
        <w:rPr>
          <w:rtl/>
        </w:rPr>
      </w:pPr>
      <w:bookmarkStart w:id="26706" w:name="_Toc4761976"/>
      <w:bookmarkStart w:id="26707" w:name="_Toc4877686"/>
      <w:bookmarkStart w:id="26708" w:name="_Toc4878036"/>
      <w:bookmarkStart w:id="26709" w:name="_Toc4878180"/>
      <w:bookmarkStart w:id="26710" w:name="_Toc19392295"/>
      <w:bookmarkStart w:id="26711" w:name="_Toc19395792"/>
      <w:r>
        <w:rPr>
          <w:rFonts w:hint="cs"/>
          <w:rtl/>
        </w:rPr>
        <w:t>ביאור המשנת ר"א דבטריפה ניטלה מקצת חיות ובחלק זה הי אכנבילה ולא שייכא שחיטה בחלק זה</w:t>
      </w:r>
      <w:bookmarkEnd w:id="26706"/>
      <w:bookmarkEnd w:id="26707"/>
      <w:bookmarkEnd w:id="26708"/>
      <w:bookmarkEnd w:id="26709"/>
      <w:bookmarkEnd w:id="26710"/>
      <w:bookmarkEnd w:id="26711"/>
      <w:r>
        <w:rPr>
          <w:rFonts w:hint="cs"/>
          <w:rtl/>
        </w:rPr>
        <w:t xml:space="preserve"> </w:t>
      </w:r>
    </w:p>
    <w:p w14:paraId="1EE01C45" w14:textId="77777777" w:rsidR="003D504D" w:rsidRDefault="003D504D" w:rsidP="00223668">
      <w:pPr>
        <w:pStyle w:val="a0"/>
        <w:rPr>
          <w:rtl/>
        </w:rPr>
      </w:pPr>
      <w:bookmarkStart w:id="26712" w:name="_Ref4701383"/>
      <w:r>
        <w:rPr>
          <w:rFonts w:hint="cs"/>
          <w:rtl/>
        </w:rPr>
        <w:t xml:space="preserve">אלא ביאר </w:t>
      </w:r>
      <w:r w:rsidRPr="001F1795">
        <w:rPr>
          <w:rStyle w:val="af9"/>
          <w:rFonts w:hint="cs"/>
          <w:rtl/>
        </w:rPr>
        <w:t>המשנת ר"א</w:t>
      </w:r>
      <w:r>
        <w:rPr>
          <w:rFonts w:hint="cs"/>
          <w:rtl/>
        </w:rPr>
        <w:t xml:space="preserve"> </w:t>
      </w:r>
      <w:r w:rsidRPr="003B4736">
        <w:rPr>
          <w:rStyle w:val="af7"/>
          <w:rFonts w:eastAsia="Guttman Hodes" w:hint="cs"/>
          <w:rtl/>
        </w:rPr>
        <w:t>(סי' ד' אות ב' ד"ה ואשר נראה)</w:t>
      </w:r>
      <w:r>
        <w:rPr>
          <w:rFonts w:hint="cs"/>
          <w:rtl/>
        </w:rPr>
        <w:t xml:space="preserve"> דלדעת </w:t>
      </w:r>
      <w:r w:rsidRPr="0009517A">
        <w:rPr>
          <w:rStyle w:val="af9"/>
          <w:rFonts w:hint="cs"/>
          <w:rtl/>
        </w:rPr>
        <w:t>הרשב"א</w:t>
      </w:r>
      <w:r>
        <w:rPr>
          <w:rStyle w:val="af9"/>
          <w:rFonts w:hint="cs"/>
          <w:rtl/>
        </w:rPr>
        <w:t xml:space="preserve"> </w:t>
      </w:r>
      <w:r>
        <w:rPr>
          <w:rFonts w:hint="cs"/>
          <w:rtl/>
        </w:rPr>
        <w:t xml:space="preserve">גדר איסור טריפה הוא שניטלה מקצת מהחיות של הבהמה, וחסרון החיות בטריפה הוא כמו חסרון החיות בנבילה, אלא דבנבילה ניטלה כל החיות דהיא מתה לגמרי, ובטריפה ניטלה רק מקצת מהחיות, ולכן בחלק שניטלה החיות ממנה לא שייכא שחיטה כלל, ולכן צריך פסוק מיוחד לומר דטריפה מטהרת מטומאת נבילה, דלולי הפסוק הו"א דלא מהני שחיטה בטריפה כלל, ועי' בדברי </w:t>
      </w:r>
      <w:r w:rsidRPr="00EF45D6">
        <w:rPr>
          <w:rStyle w:val="af9"/>
          <w:rFonts w:hint="cs"/>
          <w:rtl/>
        </w:rPr>
        <w:t>השער"י</w:t>
      </w:r>
      <w:r>
        <w:rPr>
          <w:rFonts w:hint="cs"/>
          <w:rtl/>
        </w:rPr>
        <w:t xml:space="preserve"> </w:t>
      </w:r>
      <w:r w:rsidRPr="00EF45D6">
        <w:rPr>
          <w:rStyle w:val="af7"/>
          <w:rFonts w:eastAsia="Guttman Hodes" w:hint="cs"/>
          <w:rtl/>
        </w:rPr>
        <w:t xml:space="preserve">(עי' אות </w:t>
      </w:r>
      <w:r w:rsidRPr="00EF45D6">
        <w:rPr>
          <w:rStyle w:val="af7"/>
          <w:rFonts w:eastAsia="Guttman Hodes"/>
          <w:rtl/>
        </w:rPr>
        <w:fldChar w:fldCharType="begin"/>
      </w:r>
      <w:r w:rsidRPr="00EF45D6">
        <w:rPr>
          <w:rStyle w:val="af7"/>
          <w:rFonts w:eastAsia="Guttman Hodes"/>
          <w:rtl/>
        </w:rPr>
        <w:instrText xml:space="preserve"> </w:instrText>
      </w:r>
      <w:r w:rsidRPr="00EF45D6">
        <w:rPr>
          <w:rStyle w:val="af7"/>
          <w:rFonts w:eastAsia="Guttman Hodes" w:hint="cs"/>
        </w:rPr>
        <w:instrText>REF</w:instrText>
      </w:r>
      <w:r w:rsidRPr="00EF45D6">
        <w:rPr>
          <w:rStyle w:val="af7"/>
          <w:rFonts w:eastAsia="Guttman Hodes" w:hint="cs"/>
          <w:rtl/>
        </w:rPr>
        <w:instrText xml:space="preserve"> _</w:instrText>
      </w:r>
      <w:r w:rsidRPr="00EF45D6">
        <w:rPr>
          <w:rStyle w:val="af7"/>
          <w:rFonts w:eastAsia="Guttman Hodes" w:hint="cs"/>
        </w:rPr>
        <w:instrText>Ref4752000 \r \h</w:instrText>
      </w:r>
      <w:r w:rsidRPr="00EF45D6">
        <w:rPr>
          <w:rStyle w:val="af7"/>
          <w:rFonts w:eastAsia="Guttman Hodes"/>
          <w:rtl/>
        </w:rPr>
        <w:instrText xml:space="preserve"> </w:instrText>
      </w:r>
      <w:r w:rsidRPr="00EF45D6">
        <w:rPr>
          <w:rStyle w:val="af7"/>
          <w:rFonts w:eastAsia="Guttman Hodes"/>
          <w:rtl/>
        </w:rPr>
      </w:r>
      <w:r w:rsidRPr="00EF45D6">
        <w:rPr>
          <w:rStyle w:val="af7"/>
          <w:rFonts w:eastAsia="Guttman Hodes"/>
          <w:rtl/>
        </w:rPr>
        <w:fldChar w:fldCharType="separate"/>
      </w:r>
      <w:r w:rsidR="00345400">
        <w:rPr>
          <w:rStyle w:val="af7"/>
          <w:rFonts w:eastAsia="Guttman Hodes"/>
          <w:cs/>
        </w:rPr>
        <w:t>‎</w:t>
      </w:r>
      <w:r w:rsidR="00345400">
        <w:rPr>
          <w:rStyle w:val="af7"/>
          <w:rFonts w:eastAsia="Guttman Hodes"/>
          <w:rtl/>
        </w:rPr>
        <w:t>עז)</w:t>
      </w:r>
      <w:r w:rsidRPr="00EF45D6">
        <w:rPr>
          <w:rStyle w:val="af7"/>
          <w:rFonts w:eastAsia="Guttman Hodes"/>
          <w:rtl/>
        </w:rPr>
        <w:fldChar w:fldCharType="end"/>
      </w:r>
      <w:r>
        <w:rPr>
          <w:rFonts w:hint="cs"/>
          <w:rtl/>
        </w:rPr>
        <w:t xml:space="preserve"> דהוכיח כן מדברי </w:t>
      </w:r>
      <w:r w:rsidRPr="00EF45D6">
        <w:rPr>
          <w:rStyle w:val="af9"/>
          <w:rFonts w:hint="cs"/>
          <w:rtl/>
        </w:rPr>
        <w:t>הרשב"א</w:t>
      </w:r>
      <w:r>
        <w:rPr>
          <w:rFonts w:hint="cs"/>
          <w:rtl/>
        </w:rPr>
        <w:t xml:space="preserve"> בסוגיין.</w:t>
      </w:r>
      <w:bookmarkEnd w:id="26712"/>
    </w:p>
    <w:p w14:paraId="16A93353" w14:textId="77777777" w:rsidR="003D504D" w:rsidRDefault="003D504D" w:rsidP="003D504D">
      <w:pPr>
        <w:pStyle w:val="a3"/>
        <w:rPr>
          <w:rtl/>
        </w:rPr>
      </w:pPr>
      <w:bookmarkStart w:id="26713" w:name="_Toc4761977"/>
      <w:bookmarkStart w:id="26714" w:name="_Toc4877687"/>
      <w:bookmarkStart w:id="26715" w:name="_Toc4878037"/>
      <w:bookmarkStart w:id="26716" w:name="_Toc4878181"/>
      <w:bookmarkStart w:id="26717" w:name="_Toc19392296"/>
      <w:bookmarkStart w:id="26718" w:name="_Toc19395793"/>
      <w:r>
        <w:rPr>
          <w:rFonts w:hint="cs"/>
          <w:rtl/>
        </w:rPr>
        <w:t>דברי המשנת ר"א דאף דהשחיטה מתירה באכילה יש בה איסור אכילה מחמת החלק שלא נשחט</w:t>
      </w:r>
      <w:bookmarkEnd w:id="26713"/>
      <w:bookmarkEnd w:id="26714"/>
      <w:bookmarkEnd w:id="26715"/>
      <w:bookmarkEnd w:id="26716"/>
      <w:bookmarkEnd w:id="26717"/>
      <w:bookmarkEnd w:id="26718"/>
    </w:p>
    <w:p w14:paraId="7422A9BA" w14:textId="77777777" w:rsidR="003D504D" w:rsidRDefault="003D504D" w:rsidP="00223668">
      <w:pPr>
        <w:pStyle w:val="a0"/>
        <w:rPr>
          <w:rtl/>
        </w:rPr>
      </w:pPr>
      <w:r>
        <w:rPr>
          <w:rFonts w:hint="cs"/>
          <w:rtl/>
        </w:rPr>
        <w:t xml:space="preserve">וכתב </w:t>
      </w:r>
      <w:r w:rsidRPr="001F1795">
        <w:rPr>
          <w:rStyle w:val="af9"/>
          <w:rFonts w:hint="cs"/>
          <w:rtl/>
        </w:rPr>
        <w:t>המשנת ר"א</w:t>
      </w:r>
      <w:r>
        <w:rPr>
          <w:rFonts w:hint="cs"/>
          <w:rtl/>
        </w:rPr>
        <w:t xml:space="preserve"> בדעת </w:t>
      </w:r>
      <w:r w:rsidRPr="0009517A">
        <w:rPr>
          <w:rStyle w:val="af9"/>
          <w:rFonts w:hint="cs"/>
          <w:rtl/>
        </w:rPr>
        <w:t>הרשב"א</w:t>
      </w:r>
      <w:r>
        <w:rPr>
          <w:rStyle w:val="af9"/>
          <w:rFonts w:hint="cs"/>
          <w:rtl/>
        </w:rPr>
        <w:t xml:space="preserve"> </w:t>
      </w:r>
      <w:r>
        <w:rPr>
          <w:rFonts w:hint="cs"/>
          <w:rtl/>
        </w:rPr>
        <w:t>דאחר דילפינן דמהני שחיטת טריפה לטהרה מטומאת נבילה, ה"ה דמהני שחיטת הטריפה אף להתירה באכילה, אלא דכיון שחלק מהטריפה אסור דניטלה מקצת החיות שלה, א"כ בחלק הזה לא שייכא שחיטה כלל, ולכן היא אסורה דהחלק הזה לא הועילה לו שחיטה כלל,</w:t>
      </w:r>
      <w:r w:rsidRPr="00CE5732">
        <w:rPr>
          <w:rFonts w:hint="cs"/>
          <w:rtl/>
        </w:rPr>
        <w:t xml:space="preserve"> </w:t>
      </w:r>
      <w:r>
        <w:rPr>
          <w:rFonts w:hint="cs"/>
          <w:rtl/>
        </w:rPr>
        <w:t>אף שבעצם השחיטה בטריפה יש היתר אכילה.</w:t>
      </w:r>
    </w:p>
    <w:p w14:paraId="70D635B6" w14:textId="77777777" w:rsidR="003D504D" w:rsidRPr="00A121DC" w:rsidRDefault="003D504D" w:rsidP="003D504D">
      <w:pPr>
        <w:pStyle w:val="a3"/>
        <w:rPr>
          <w:rtl/>
        </w:rPr>
      </w:pPr>
      <w:bookmarkStart w:id="26719" w:name="_Toc4761978"/>
      <w:bookmarkStart w:id="26720" w:name="_Toc4877688"/>
      <w:bookmarkStart w:id="26721" w:name="_Toc4878038"/>
      <w:bookmarkStart w:id="26722" w:name="_Toc4878182"/>
      <w:bookmarkStart w:id="26723" w:name="_Toc19392297"/>
      <w:bookmarkStart w:id="26724" w:name="_Toc19395794"/>
      <w:r>
        <w:rPr>
          <w:rFonts w:hint="cs"/>
          <w:rtl/>
        </w:rPr>
        <w:t>ביאור המשנת ר"א דבחלק שנשחטה הותר אבמה"ח ובחלק שחסר חיות היא כנבילה ואין אבמה"ח</w:t>
      </w:r>
      <w:bookmarkEnd w:id="26719"/>
      <w:bookmarkEnd w:id="26720"/>
      <w:bookmarkEnd w:id="26721"/>
      <w:bookmarkEnd w:id="26722"/>
      <w:bookmarkEnd w:id="26723"/>
      <w:bookmarkEnd w:id="26724"/>
    </w:p>
    <w:p w14:paraId="64D76BBE" w14:textId="77777777" w:rsidR="003D504D" w:rsidRDefault="003D504D" w:rsidP="00223668">
      <w:pPr>
        <w:pStyle w:val="a0"/>
        <w:rPr>
          <w:rtl/>
        </w:rPr>
      </w:pPr>
      <w:bookmarkStart w:id="26725" w:name="_Ref4701398"/>
      <w:r>
        <w:rPr>
          <w:rFonts w:hint="cs"/>
          <w:rtl/>
        </w:rPr>
        <w:t xml:space="preserve">וכתב </w:t>
      </w:r>
      <w:r w:rsidRPr="001F1795">
        <w:rPr>
          <w:rStyle w:val="af9"/>
          <w:rFonts w:hint="cs"/>
          <w:rtl/>
        </w:rPr>
        <w:t>המשנת ר"א</w:t>
      </w:r>
      <w:r>
        <w:rPr>
          <w:rFonts w:hint="cs"/>
          <w:rtl/>
        </w:rPr>
        <w:t xml:space="preserve"> דלפי"ז מבואר אמאי מותרת הטריפה מאיסור אבר מן החי, דבחלק של החיות של הטריפה הועילה השחיטה להתירה אף לאכילה, ואין בה אבר מן החי, והחלק שחסר בו חיות, הוא מצד עצמו חשיב כנבילה, וא"כ אין בה כל חלק שאסור באבר מן החי, אבל לענין אכילה היא עדיין אסורה מחמת החלק שחסר בו חיות, אך אין בה מלקות דנבילה, כיון שאינה נבילה גמורה, דהא הועילה בה השחיטה במקצת.</w:t>
      </w:r>
      <w:bookmarkEnd w:id="26725"/>
    </w:p>
    <w:p w14:paraId="374D5621" w14:textId="77777777" w:rsidR="003D504D" w:rsidRPr="00504E87" w:rsidRDefault="003D504D" w:rsidP="00BF39B2">
      <w:pPr>
        <w:pStyle w:val="1"/>
        <w:rPr>
          <w:rtl/>
        </w:rPr>
      </w:pPr>
      <w:bookmarkStart w:id="26726" w:name="_Toc4761979"/>
      <w:bookmarkStart w:id="26727" w:name="_Toc4877689"/>
      <w:bookmarkStart w:id="26728" w:name="_Toc4878039"/>
      <w:bookmarkStart w:id="26729" w:name="_Toc4878183"/>
      <w:bookmarkStart w:id="26730" w:name="_Toc19392298"/>
      <w:bookmarkStart w:id="26731" w:name="_Toc19395795"/>
      <w:r>
        <w:rPr>
          <w:rFonts w:hint="cs"/>
          <w:rtl/>
        </w:rPr>
        <w:t>דברי המשנת ר"א דבטריפה אין אבמה"ח אך בולד יש אבמה"ח</w:t>
      </w:r>
      <w:bookmarkEnd w:id="26726"/>
      <w:bookmarkEnd w:id="26727"/>
      <w:bookmarkEnd w:id="26728"/>
      <w:bookmarkEnd w:id="26729"/>
      <w:bookmarkEnd w:id="26730"/>
      <w:bookmarkEnd w:id="26731"/>
    </w:p>
    <w:p w14:paraId="2CEDFE5D" w14:textId="77777777" w:rsidR="003D504D" w:rsidRPr="00BA2546" w:rsidRDefault="003D504D" w:rsidP="003D504D">
      <w:pPr>
        <w:pStyle w:val="a3"/>
        <w:rPr>
          <w:rtl/>
        </w:rPr>
      </w:pPr>
      <w:bookmarkStart w:id="26732" w:name="_Toc4761980"/>
      <w:bookmarkStart w:id="26733" w:name="_Toc4877690"/>
      <w:bookmarkStart w:id="26734" w:name="_Toc4878040"/>
      <w:bookmarkStart w:id="26735" w:name="_Toc4878184"/>
      <w:bookmarkStart w:id="26736" w:name="_Toc19392299"/>
      <w:bookmarkStart w:id="26737" w:name="_Toc19395796"/>
      <w:r>
        <w:rPr>
          <w:rFonts w:hint="cs"/>
          <w:rtl/>
        </w:rPr>
        <w:t>דברי המשנת ר"א דהולד אסור באמה"ח ואף למ"ד ד' סימנים היתרו הוא רק ע"י שחיטת עצמו</w:t>
      </w:r>
      <w:bookmarkEnd w:id="26732"/>
      <w:bookmarkEnd w:id="26733"/>
      <w:bookmarkEnd w:id="26734"/>
      <w:bookmarkEnd w:id="26735"/>
      <w:bookmarkEnd w:id="26736"/>
      <w:bookmarkEnd w:id="26737"/>
    </w:p>
    <w:p w14:paraId="41440F79" w14:textId="77777777" w:rsidR="003D504D" w:rsidRDefault="003D504D" w:rsidP="00223668">
      <w:pPr>
        <w:pStyle w:val="a0"/>
        <w:rPr>
          <w:rtl/>
        </w:rPr>
      </w:pPr>
      <w:r>
        <w:rPr>
          <w:rFonts w:hint="cs"/>
          <w:rtl/>
        </w:rPr>
        <w:t xml:space="preserve">אך כתב </w:t>
      </w:r>
      <w:r w:rsidRPr="0009517A">
        <w:rPr>
          <w:rStyle w:val="af9"/>
          <w:rFonts w:hint="cs"/>
          <w:rtl/>
        </w:rPr>
        <w:t>המשנת ר"א</w:t>
      </w:r>
      <w:r>
        <w:rPr>
          <w:rFonts w:hint="cs"/>
          <w:rtl/>
        </w:rPr>
        <w:t xml:space="preserve"> </w:t>
      </w:r>
      <w:r w:rsidRPr="0009517A">
        <w:rPr>
          <w:rStyle w:val="af7"/>
          <w:rFonts w:eastAsia="Guttman Hodes" w:hint="cs"/>
          <w:rtl/>
        </w:rPr>
        <w:t>(סי' ד' אות ב' ד"ה ובזה יש)</w:t>
      </w:r>
      <w:r>
        <w:rPr>
          <w:rFonts w:hint="cs"/>
          <w:rtl/>
        </w:rPr>
        <w:t xml:space="preserve"> דבסוגיין מבואר דאף דמהני שחיטת הטריפה לטהר את הולד דאינו מטמא בנבילה, מ"מ יש עליו איסור אבר מן החי, דשחיטת אמו אינה מתירתו באכילה, ואף לרבא דד' סימנים אכשר ביה רחמנא, היינו דמותר בשחיטת עצמו, אבל בין לרב אמי ובין לרבא לא אמרינן דהותר איסור אבר מן החי שבו, דאי הותר האיסור, א"כ אפשר לחתוך ממנו אבר ולאוכלו.</w:t>
      </w:r>
    </w:p>
    <w:p w14:paraId="6B127F0E" w14:textId="77777777" w:rsidR="003D504D" w:rsidRPr="00BD3848" w:rsidRDefault="003D504D" w:rsidP="003D504D">
      <w:pPr>
        <w:pStyle w:val="a3"/>
      </w:pPr>
      <w:bookmarkStart w:id="26738" w:name="_Toc4761981"/>
      <w:bookmarkStart w:id="26739" w:name="_Toc4877691"/>
      <w:bookmarkStart w:id="26740" w:name="_Toc4878041"/>
      <w:bookmarkStart w:id="26741" w:name="_Toc4878185"/>
      <w:bookmarkStart w:id="26742" w:name="_Toc19392300"/>
      <w:bookmarkStart w:id="26743" w:name="_Toc19395797"/>
      <w:r>
        <w:rPr>
          <w:rFonts w:hint="cs"/>
          <w:rtl/>
        </w:rPr>
        <w:t>קושית המשנת ר"א דלהרשב"א שהטריפה מותרת מאבמה"ח היאך אפש"ל דהולד אסור באבמה"ח</w:t>
      </w:r>
      <w:bookmarkEnd w:id="26738"/>
      <w:bookmarkEnd w:id="26739"/>
      <w:bookmarkEnd w:id="26740"/>
      <w:bookmarkEnd w:id="26741"/>
      <w:bookmarkEnd w:id="26742"/>
      <w:bookmarkEnd w:id="26743"/>
    </w:p>
    <w:p w14:paraId="3FA11DB8" w14:textId="77777777" w:rsidR="003D504D" w:rsidRDefault="003D504D" w:rsidP="00223668">
      <w:pPr>
        <w:pStyle w:val="a0"/>
        <w:rPr>
          <w:rtl/>
        </w:rPr>
      </w:pPr>
      <w:r>
        <w:rPr>
          <w:rFonts w:hint="cs"/>
          <w:rtl/>
        </w:rPr>
        <w:t xml:space="preserve">והקשה </w:t>
      </w:r>
      <w:r w:rsidRPr="0009517A">
        <w:rPr>
          <w:rStyle w:val="af9"/>
          <w:rFonts w:hint="cs"/>
          <w:rtl/>
        </w:rPr>
        <w:t>המשנת ר"א</w:t>
      </w:r>
      <w:r>
        <w:rPr>
          <w:rFonts w:hint="cs"/>
          <w:rtl/>
        </w:rPr>
        <w:t xml:space="preserve"> דלפי ביאורו בדעת </w:t>
      </w:r>
      <w:r w:rsidRPr="0009517A">
        <w:rPr>
          <w:rStyle w:val="af9"/>
          <w:rFonts w:hint="cs"/>
          <w:rtl/>
        </w:rPr>
        <w:t>הרשב"א</w:t>
      </w:r>
      <w:r>
        <w:rPr>
          <w:rStyle w:val="af9"/>
          <w:rFonts w:hint="cs"/>
          <w:rtl/>
        </w:rPr>
        <w:t xml:space="preserve"> </w:t>
      </w:r>
      <w:r>
        <w:rPr>
          <w:rFonts w:hint="cs"/>
          <w:rtl/>
        </w:rPr>
        <w:t>דשחיטת טריפה מתירה את איסור אבר מן החי שבה, א"כ אמאי לא מהני שחיטת האם הטריפה להתיר את הולד מאיסור אבר מן החי, והיאך אפש"ל דבטריפה עצמה השחיטה מתירה את איסור אבר מן החי, והולד עדיין נשאר אסור באבר מן החי.</w:t>
      </w:r>
      <w:r w:rsidRPr="00460E7B">
        <w:rPr>
          <w:rFonts w:hint="cs"/>
          <w:rtl/>
        </w:rPr>
        <w:t xml:space="preserve"> </w:t>
      </w:r>
    </w:p>
    <w:p w14:paraId="22FDE966" w14:textId="77777777" w:rsidR="003D504D" w:rsidRDefault="003D504D" w:rsidP="003D504D">
      <w:pPr>
        <w:pStyle w:val="a3"/>
        <w:rPr>
          <w:rtl/>
        </w:rPr>
      </w:pPr>
      <w:bookmarkStart w:id="26744" w:name="_Toc4761982"/>
      <w:bookmarkStart w:id="26745" w:name="_Toc4877692"/>
      <w:bookmarkStart w:id="26746" w:name="_Toc4878042"/>
      <w:bookmarkStart w:id="26747" w:name="_Toc4878186"/>
      <w:bookmarkStart w:id="26748" w:name="_Toc19392301"/>
      <w:bookmarkStart w:id="26749" w:name="_Toc19395798"/>
      <w:r>
        <w:rPr>
          <w:rFonts w:hint="cs"/>
          <w:rtl/>
        </w:rPr>
        <w:t>ביאור המשנת ר"א דבולד יש חיות גמורה ויש בו חלק שלא הותר בשחיטה חלק זה הוא אבמה"ח</w:t>
      </w:r>
      <w:bookmarkEnd w:id="26744"/>
      <w:bookmarkEnd w:id="26745"/>
      <w:bookmarkEnd w:id="26746"/>
      <w:bookmarkEnd w:id="26747"/>
      <w:bookmarkEnd w:id="26748"/>
      <w:bookmarkEnd w:id="26749"/>
    </w:p>
    <w:p w14:paraId="01EFA176" w14:textId="77777777" w:rsidR="003D504D" w:rsidRDefault="003D504D" w:rsidP="00223668">
      <w:pPr>
        <w:pStyle w:val="a0"/>
        <w:rPr>
          <w:rtl/>
        </w:rPr>
      </w:pPr>
      <w:r>
        <w:rPr>
          <w:rFonts w:hint="cs"/>
          <w:rtl/>
        </w:rPr>
        <w:t xml:space="preserve">וביאר </w:t>
      </w:r>
      <w:r w:rsidRPr="0009517A">
        <w:rPr>
          <w:rStyle w:val="af9"/>
          <w:rFonts w:hint="cs"/>
          <w:rtl/>
        </w:rPr>
        <w:t>המשנת ר"א</w:t>
      </w:r>
      <w:r>
        <w:rPr>
          <w:rFonts w:hint="cs"/>
          <w:rtl/>
        </w:rPr>
        <w:t xml:space="preserve"> דכיון דס"ל </w:t>
      </w:r>
      <w:r w:rsidRPr="0009517A">
        <w:rPr>
          <w:rStyle w:val="af9"/>
          <w:rFonts w:hint="cs"/>
          <w:rtl/>
        </w:rPr>
        <w:t>להרשב"א</w:t>
      </w:r>
      <w:r>
        <w:rPr>
          <w:rStyle w:val="af9"/>
          <w:rFonts w:hint="cs"/>
          <w:rtl/>
        </w:rPr>
        <w:t xml:space="preserve"> </w:t>
      </w:r>
      <w:r w:rsidRPr="0009517A">
        <w:rPr>
          <w:rStyle w:val="af7"/>
          <w:rFonts w:eastAsia="Guttman Hodes" w:hint="cs"/>
          <w:rtl/>
        </w:rPr>
        <w:t xml:space="preserve">(עי' אות </w:t>
      </w:r>
      <w:r w:rsidRPr="0009517A">
        <w:rPr>
          <w:rStyle w:val="af7"/>
          <w:rFonts w:eastAsia="Guttman Hodes"/>
          <w:rtl/>
        </w:rPr>
        <w:fldChar w:fldCharType="begin"/>
      </w:r>
      <w:r w:rsidRPr="0009517A">
        <w:rPr>
          <w:rStyle w:val="af7"/>
          <w:rFonts w:eastAsia="Guttman Hodes"/>
          <w:rtl/>
        </w:rPr>
        <w:instrText xml:space="preserve"> </w:instrText>
      </w:r>
      <w:r w:rsidRPr="0009517A">
        <w:rPr>
          <w:rStyle w:val="af7"/>
          <w:rFonts w:eastAsia="Guttman Hodes" w:hint="cs"/>
        </w:rPr>
        <w:instrText>REF</w:instrText>
      </w:r>
      <w:r w:rsidRPr="0009517A">
        <w:rPr>
          <w:rStyle w:val="af7"/>
          <w:rFonts w:eastAsia="Guttman Hodes" w:hint="cs"/>
          <w:rtl/>
        </w:rPr>
        <w:instrText xml:space="preserve"> _</w:instrText>
      </w:r>
      <w:r w:rsidRPr="0009517A">
        <w:rPr>
          <w:rStyle w:val="af7"/>
          <w:rFonts w:eastAsia="Guttman Hodes" w:hint="cs"/>
        </w:rPr>
        <w:instrText>Ref4701383 \r \h</w:instrText>
      </w:r>
      <w:r w:rsidRPr="0009517A">
        <w:rPr>
          <w:rStyle w:val="af7"/>
          <w:rFonts w:eastAsia="Guttman Hodes"/>
          <w:rtl/>
        </w:rPr>
        <w:instrText xml:space="preserve"> </w:instrText>
      </w:r>
      <w:r w:rsidRPr="0009517A">
        <w:rPr>
          <w:rStyle w:val="af7"/>
          <w:rFonts w:eastAsia="Guttman Hodes"/>
          <w:rtl/>
        </w:rPr>
      </w:r>
      <w:r w:rsidRPr="0009517A">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09517A">
        <w:rPr>
          <w:rStyle w:val="af7"/>
          <w:rFonts w:eastAsia="Guttman Hodes"/>
          <w:rtl/>
        </w:rPr>
        <w:fldChar w:fldCharType="end"/>
      </w:r>
      <w:r>
        <w:rPr>
          <w:rFonts w:hint="cs"/>
          <w:rtl/>
        </w:rPr>
        <w:t xml:space="preserve"> דשחיטת טריפה יש בה היתר אף לענין אכילה, וכ"מ דהטריפה אסורה באכילה הוא כיון שבחלק שניטלה החיות שלה לא מהני השחיטה, וחשיבא בחלק זה כנבילה, ובחלק שנשארה בה החיות מהני השחיטה, ולכן אין בה חלק שנשאר באיסור אבר מן החי, </w:t>
      </w:r>
      <w:r w:rsidRPr="00E01865">
        <w:rPr>
          <w:rStyle w:val="afb"/>
          <w:rFonts w:hint="cs"/>
          <w:rtl/>
        </w:rPr>
        <w:t xml:space="preserve">[כדביאר </w:t>
      </w:r>
      <w:r w:rsidRPr="0009517A">
        <w:rPr>
          <w:rStyle w:val="affa"/>
          <w:rFonts w:hint="cs"/>
          <w:rtl/>
        </w:rPr>
        <w:t>המשנת ר"א</w:t>
      </w:r>
      <w:r w:rsidRPr="00E01865">
        <w:rPr>
          <w:rStyle w:val="afb"/>
          <w:rFonts w:hint="cs"/>
          <w:rtl/>
        </w:rPr>
        <w:t xml:space="preserve"> </w:t>
      </w:r>
      <w:r w:rsidRPr="0009517A">
        <w:rPr>
          <w:rStyle w:val="aff6"/>
          <w:rFonts w:hint="cs"/>
          <w:rtl/>
        </w:rPr>
        <w:t xml:space="preserve">(עי' אות </w:t>
      </w:r>
      <w:r w:rsidRPr="0009517A">
        <w:rPr>
          <w:rStyle w:val="aff6"/>
          <w:rtl/>
        </w:rPr>
        <w:fldChar w:fldCharType="begin"/>
      </w:r>
      <w:r w:rsidRPr="0009517A">
        <w:rPr>
          <w:rStyle w:val="aff6"/>
          <w:rtl/>
        </w:rPr>
        <w:instrText xml:space="preserve"> </w:instrText>
      </w:r>
      <w:r w:rsidRPr="0009517A">
        <w:rPr>
          <w:rStyle w:val="aff6"/>
          <w:rFonts w:hint="cs"/>
        </w:rPr>
        <w:instrText>REF</w:instrText>
      </w:r>
      <w:r w:rsidRPr="0009517A">
        <w:rPr>
          <w:rStyle w:val="aff6"/>
          <w:rFonts w:hint="cs"/>
          <w:rtl/>
        </w:rPr>
        <w:instrText xml:space="preserve"> _</w:instrText>
      </w:r>
      <w:r w:rsidRPr="0009517A">
        <w:rPr>
          <w:rStyle w:val="aff6"/>
          <w:rFonts w:hint="cs"/>
        </w:rPr>
        <w:instrText>Ref4701398 \r \h</w:instrText>
      </w:r>
      <w:r w:rsidRPr="0009517A">
        <w:rPr>
          <w:rStyle w:val="aff6"/>
          <w:rtl/>
        </w:rPr>
        <w:instrText xml:space="preserve"> </w:instrText>
      </w:r>
      <w:r w:rsidRPr="0009517A">
        <w:rPr>
          <w:rStyle w:val="aff6"/>
          <w:rtl/>
        </w:rPr>
      </w:r>
      <w:r w:rsidRPr="0009517A">
        <w:rPr>
          <w:rStyle w:val="aff6"/>
          <w:rtl/>
        </w:rPr>
        <w:fldChar w:fldCharType="separate"/>
      </w:r>
      <w:r w:rsidR="00345400">
        <w:rPr>
          <w:rStyle w:val="aff6"/>
          <w:cs/>
        </w:rPr>
        <w:t>‎</w:t>
      </w:r>
      <w:r w:rsidR="00345400">
        <w:rPr>
          <w:rStyle w:val="aff6"/>
          <w:rtl/>
        </w:rPr>
        <w:t>צג)</w:t>
      </w:r>
      <w:r w:rsidRPr="0009517A">
        <w:rPr>
          <w:rStyle w:val="aff6"/>
          <w:rtl/>
        </w:rPr>
        <w:fldChar w:fldCharType="end"/>
      </w:r>
      <w:r w:rsidRPr="00E01865">
        <w:rPr>
          <w:rStyle w:val="afb"/>
          <w:rFonts w:hint="cs"/>
          <w:rtl/>
        </w:rPr>
        <w:t>],</w:t>
      </w:r>
      <w:r>
        <w:rPr>
          <w:rFonts w:hint="cs"/>
          <w:rtl/>
        </w:rPr>
        <w:t xml:space="preserve"> אבל העובר הרי יש לו חיות גמורה, וכיון שיש באמו חלק שלא הותר בשחיטתה, א"כ יש חסרון בשחיטה גם לגבי העובר, אך כיון דהחסרון שבעובר אינו בחלק שחסר בו חיות, </w:t>
      </w:r>
      <w:r w:rsidRPr="00E01865">
        <w:rPr>
          <w:rStyle w:val="afb"/>
          <w:rFonts w:hint="cs"/>
          <w:rtl/>
        </w:rPr>
        <w:t>[כמו באמו דהחסרון הוא בחלק דחשיבא כנבילה],</w:t>
      </w:r>
      <w:r>
        <w:rPr>
          <w:rFonts w:hint="cs"/>
          <w:rtl/>
        </w:rPr>
        <w:t xml:space="preserve"> דהא בכולו יש חיות גמורה, לכן אף לדעת </w:t>
      </w:r>
      <w:r w:rsidRPr="0009517A">
        <w:rPr>
          <w:rStyle w:val="af9"/>
          <w:rFonts w:hint="cs"/>
          <w:rtl/>
        </w:rPr>
        <w:t>הרשב"א</w:t>
      </w:r>
      <w:r>
        <w:rPr>
          <w:rStyle w:val="af9"/>
          <w:rFonts w:hint="cs"/>
          <w:rtl/>
        </w:rPr>
        <w:t xml:space="preserve"> </w:t>
      </w:r>
      <w:r>
        <w:rPr>
          <w:rFonts w:hint="cs"/>
          <w:rtl/>
        </w:rPr>
        <w:t>העובר אסור באבר מן החי, ולא מהני שחיטת אמו הטריפה להתירו.</w:t>
      </w:r>
    </w:p>
    <w:p w14:paraId="6111D035" w14:textId="77777777" w:rsidR="003D504D" w:rsidRDefault="003D504D" w:rsidP="003D504D">
      <w:pPr>
        <w:pStyle w:val="a3"/>
        <w:rPr>
          <w:rtl/>
        </w:rPr>
      </w:pPr>
      <w:bookmarkStart w:id="26750" w:name="_Toc4761983"/>
      <w:bookmarkStart w:id="26751" w:name="_Toc4877693"/>
      <w:bookmarkStart w:id="26752" w:name="_Toc4878043"/>
      <w:bookmarkStart w:id="26753" w:name="_Toc4878187"/>
      <w:bookmarkStart w:id="26754" w:name="_Toc19392302"/>
      <w:bookmarkStart w:id="26755" w:name="_Toc19395799"/>
      <w:r>
        <w:rPr>
          <w:rFonts w:hint="cs"/>
          <w:rtl/>
        </w:rPr>
        <w:t>דברי המשנת ר"א דכיון שהאם אסורה באכילה אין הולד בכלל היתר "כל בבהמה תאכלו"</w:t>
      </w:r>
      <w:bookmarkEnd w:id="26750"/>
      <w:bookmarkEnd w:id="26751"/>
      <w:bookmarkEnd w:id="26752"/>
      <w:bookmarkEnd w:id="26753"/>
      <w:bookmarkEnd w:id="26754"/>
      <w:bookmarkEnd w:id="26755"/>
    </w:p>
    <w:p w14:paraId="036D5EC5" w14:textId="77777777" w:rsidR="003D504D" w:rsidRDefault="003D504D" w:rsidP="00223668">
      <w:pPr>
        <w:pStyle w:val="a0"/>
        <w:rPr>
          <w:rtl/>
        </w:rPr>
      </w:pPr>
      <w:bookmarkStart w:id="26756" w:name="_Ref4750935"/>
      <w:r>
        <w:rPr>
          <w:rFonts w:hint="cs"/>
          <w:rtl/>
        </w:rPr>
        <w:t xml:space="preserve">והוסיף </w:t>
      </w:r>
      <w:r w:rsidRPr="005016D8">
        <w:rPr>
          <w:rStyle w:val="af9"/>
          <w:rFonts w:hint="cs"/>
          <w:rtl/>
        </w:rPr>
        <w:t>המשנת ר"א</w:t>
      </w:r>
      <w:r>
        <w:rPr>
          <w:rFonts w:hint="cs"/>
          <w:rtl/>
        </w:rPr>
        <w:t xml:space="preserve"> </w:t>
      </w:r>
      <w:r w:rsidRPr="005016D8">
        <w:rPr>
          <w:rStyle w:val="af7"/>
          <w:rFonts w:eastAsia="Guttman Hodes" w:hint="cs"/>
          <w:rtl/>
        </w:rPr>
        <w:t>(סי' ד' אות ד' ד"ה ונראה עוד)</w:t>
      </w:r>
      <w:r>
        <w:rPr>
          <w:rFonts w:hint="cs"/>
          <w:rtl/>
        </w:rPr>
        <w:t xml:space="preserve"> דכיון דההיתר של העובר בשחיטת אמו הוא מדין "כל בבהמה תאכלו", א"כ שחיטת האם הטריפה לא מהני להתיר את העובר לאכילה כלל, ואף דמהני להתירו לענין נבילה אם מת העובר אח"כ, מ"מ לענין היתר אכילה אין בו כל צד היתר, ולוקין עליו מדין אבר מן החי, ועי' בדברי </w:t>
      </w:r>
      <w:r w:rsidRPr="006B5381">
        <w:rPr>
          <w:rStyle w:val="af9"/>
          <w:rFonts w:hint="cs"/>
          <w:rtl/>
        </w:rPr>
        <w:t>החזון יחזקאל</w:t>
      </w:r>
      <w:r>
        <w:rPr>
          <w:rFonts w:hint="cs"/>
          <w:rtl/>
        </w:rPr>
        <w:t xml:space="preserve"> </w:t>
      </w:r>
      <w:r w:rsidRPr="006B5381">
        <w:rPr>
          <w:rStyle w:val="af7"/>
          <w:rFonts w:eastAsia="Guttman Hodes" w:hint="cs"/>
          <w:rtl/>
        </w:rPr>
        <w:t xml:space="preserve">(עי' אות </w:t>
      </w:r>
      <w:r w:rsidRPr="006B5381">
        <w:rPr>
          <w:rStyle w:val="af7"/>
          <w:rFonts w:eastAsia="Guttman Hodes"/>
          <w:rtl/>
        </w:rPr>
        <w:fldChar w:fldCharType="begin"/>
      </w:r>
      <w:r w:rsidRPr="006B5381">
        <w:rPr>
          <w:rStyle w:val="af7"/>
          <w:rFonts w:eastAsia="Guttman Hodes"/>
          <w:rtl/>
        </w:rPr>
        <w:instrText xml:space="preserve"> </w:instrText>
      </w:r>
      <w:r w:rsidRPr="006B5381">
        <w:rPr>
          <w:rStyle w:val="af7"/>
          <w:rFonts w:eastAsia="Guttman Hodes" w:hint="cs"/>
        </w:rPr>
        <w:instrText>REF</w:instrText>
      </w:r>
      <w:r w:rsidRPr="006B5381">
        <w:rPr>
          <w:rStyle w:val="af7"/>
          <w:rFonts w:eastAsia="Guttman Hodes" w:hint="cs"/>
          <w:rtl/>
        </w:rPr>
        <w:instrText xml:space="preserve"> _</w:instrText>
      </w:r>
      <w:r w:rsidRPr="006B5381">
        <w:rPr>
          <w:rStyle w:val="af7"/>
          <w:rFonts w:eastAsia="Guttman Hodes" w:hint="cs"/>
        </w:rPr>
        <w:instrText>Ref4750956 \r \h</w:instrText>
      </w:r>
      <w:r w:rsidRPr="006B5381">
        <w:rPr>
          <w:rStyle w:val="af7"/>
          <w:rFonts w:eastAsia="Guttman Hodes"/>
          <w:rtl/>
        </w:rPr>
        <w:instrText xml:space="preserve"> </w:instrText>
      </w:r>
      <w:r w:rsidRPr="006B5381">
        <w:rPr>
          <w:rStyle w:val="af7"/>
          <w:rFonts w:eastAsia="Guttman Hodes"/>
          <w:rtl/>
        </w:rPr>
      </w:r>
      <w:r w:rsidRPr="006B5381">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6B5381">
        <w:rPr>
          <w:rStyle w:val="af7"/>
          <w:rFonts w:eastAsia="Guttman Hodes"/>
          <w:rtl/>
        </w:rPr>
        <w:fldChar w:fldCharType="end"/>
      </w:r>
      <w:r>
        <w:rPr>
          <w:rFonts w:hint="cs"/>
          <w:rtl/>
        </w:rPr>
        <w:t>.</w:t>
      </w:r>
      <w:bookmarkEnd w:id="26756"/>
      <w:r>
        <w:rPr>
          <w:rFonts w:hint="cs"/>
          <w:rtl/>
        </w:rPr>
        <w:t xml:space="preserve"> </w:t>
      </w:r>
    </w:p>
    <w:p w14:paraId="15D96A0F" w14:textId="77777777" w:rsidR="003D504D" w:rsidRPr="00FC3E12" w:rsidRDefault="003D504D" w:rsidP="00BF39B2">
      <w:pPr>
        <w:pStyle w:val="1"/>
        <w:rPr>
          <w:rtl/>
        </w:rPr>
      </w:pPr>
      <w:bookmarkStart w:id="26757" w:name="_Toc4761984"/>
      <w:bookmarkStart w:id="26758" w:name="_Toc4877694"/>
      <w:bookmarkStart w:id="26759" w:name="_Toc4878044"/>
      <w:bookmarkStart w:id="26760" w:name="_Toc4878188"/>
      <w:bookmarkStart w:id="26761" w:name="_Toc19392303"/>
      <w:bookmarkStart w:id="26762" w:name="_Toc19395800"/>
      <w:r>
        <w:rPr>
          <w:rFonts w:hint="cs"/>
          <w:rtl/>
        </w:rPr>
        <w:t>דברי המשנת ר"א דרש"י ותוס' פליגי בגדר שחיטת טריפה</w:t>
      </w:r>
      <w:bookmarkEnd w:id="26757"/>
      <w:bookmarkEnd w:id="26758"/>
      <w:bookmarkEnd w:id="26759"/>
      <w:bookmarkEnd w:id="26760"/>
      <w:bookmarkEnd w:id="26761"/>
      <w:bookmarkEnd w:id="26762"/>
    </w:p>
    <w:p w14:paraId="50C687A8" w14:textId="77777777" w:rsidR="003D504D" w:rsidRPr="00B16C8A" w:rsidRDefault="003D504D" w:rsidP="003D504D">
      <w:pPr>
        <w:pStyle w:val="a3"/>
      </w:pPr>
      <w:bookmarkStart w:id="26763" w:name="_Toc4761985"/>
      <w:bookmarkStart w:id="26764" w:name="_Toc4877695"/>
      <w:bookmarkStart w:id="26765" w:name="_Toc4878045"/>
      <w:bookmarkStart w:id="26766" w:name="_Toc4878189"/>
      <w:bookmarkStart w:id="26767" w:name="_Toc19392304"/>
      <w:bookmarkStart w:id="26768" w:name="_Toc19395801"/>
      <w:r>
        <w:rPr>
          <w:rFonts w:hint="cs"/>
          <w:rtl/>
        </w:rPr>
        <w:t>דברי המשנת ר"א דבפלוגתת הרמב"ם ורש"י בהיתר אכילה בשחיטת טריפה נחלקו רש"י ותוס'</w:t>
      </w:r>
      <w:bookmarkEnd w:id="26763"/>
      <w:bookmarkEnd w:id="26764"/>
      <w:bookmarkEnd w:id="26765"/>
      <w:bookmarkEnd w:id="26766"/>
      <w:bookmarkEnd w:id="26767"/>
      <w:bookmarkEnd w:id="26768"/>
    </w:p>
    <w:p w14:paraId="6B4F1970" w14:textId="77777777" w:rsidR="003D504D" w:rsidRPr="00D70A9B" w:rsidRDefault="003D504D" w:rsidP="00223668">
      <w:pPr>
        <w:pStyle w:val="a0"/>
        <w:rPr>
          <w:rtl/>
        </w:rPr>
        <w:sectPr w:rsidR="003D504D" w:rsidRPr="00D70A9B" w:rsidSect="005049E2">
          <w:type w:val="continuous"/>
          <w:pgSz w:w="11906" w:h="16838"/>
          <w:pgMar w:top="720" w:right="720" w:bottom="720" w:left="720" w:header="283" w:footer="283" w:gutter="0"/>
          <w:cols w:num="2" w:space="567"/>
          <w:titlePg/>
          <w:bidi/>
          <w:rtlGutter/>
          <w:docGrid w:linePitch="299"/>
        </w:sectPr>
      </w:pPr>
      <w:r>
        <w:rPr>
          <w:rFonts w:hint="cs"/>
          <w:rtl/>
        </w:rPr>
        <w:t xml:space="preserve">וע"ע בדברי </w:t>
      </w:r>
      <w:r w:rsidRPr="0009517A">
        <w:rPr>
          <w:rStyle w:val="af9"/>
          <w:rFonts w:hint="cs"/>
          <w:rtl/>
        </w:rPr>
        <w:t>המשנת ר"א</w:t>
      </w:r>
      <w:r>
        <w:rPr>
          <w:rFonts w:hint="cs"/>
          <w:rtl/>
        </w:rPr>
        <w:t xml:space="preserve"> </w:t>
      </w:r>
      <w:r w:rsidRPr="0009517A">
        <w:rPr>
          <w:rStyle w:val="af7"/>
          <w:rFonts w:eastAsia="Guttman Hodes" w:hint="cs"/>
          <w:rtl/>
        </w:rPr>
        <w:t xml:space="preserve">(סי' ד' אות ב' ד"ה </w:t>
      </w:r>
      <w:r>
        <w:rPr>
          <w:rStyle w:val="af7"/>
          <w:rFonts w:eastAsia="Guttman Hodes" w:hint="cs"/>
          <w:rtl/>
        </w:rPr>
        <w:t>ונראה דבפלוגתא</w:t>
      </w:r>
      <w:r w:rsidRPr="0009517A">
        <w:rPr>
          <w:rStyle w:val="af7"/>
          <w:rFonts w:eastAsia="Guttman Hodes" w:hint="cs"/>
          <w:rtl/>
        </w:rPr>
        <w:t>)</w:t>
      </w:r>
      <w:r>
        <w:rPr>
          <w:rFonts w:hint="cs"/>
          <w:rtl/>
        </w:rPr>
        <w:t xml:space="preserve"> דכתב דבפלוגתת </w:t>
      </w:r>
      <w:r w:rsidRPr="00B16C8A">
        <w:rPr>
          <w:rStyle w:val="af9"/>
          <w:rFonts w:hint="cs"/>
          <w:rtl/>
        </w:rPr>
        <w:t>הרמב"ם</w:t>
      </w:r>
      <w:r w:rsidRPr="00B16C8A">
        <w:rPr>
          <w:rStyle w:val="af7"/>
          <w:rFonts w:eastAsia="Guttman Hodes" w:hint="cs"/>
          <w:rtl/>
        </w:rPr>
        <w:t xml:space="preserve"> (עי' אות </w:t>
      </w:r>
      <w:r w:rsidRPr="00B16C8A">
        <w:rPr>
          <w:rStyle w:val="af7"/>
          <w:rFonts w:eastAsia="Guttman Hodes"/>
          <w:rtl/>
        </w:rPr>
        <w:fldChar w:fldCharType="begin"/>
      </w:r>
      <w:r w:rsidRPr="00B16C8A">
        <w:rPr>
          <w:rStyle w:val="af7"/>
          <w:rFonts w:eastAsia="Guttman Hodes"/>
          <w:rtl/>
        </w:rPr>
        <w:instrText xml:space="preserve"> </w:instrText>
      </w:r>
      <w:r w:rsidRPr="00B16C8A">
        <w:rPr>
          <w:rStyle w:val="af7"/>
          <w:rFonts w:eastAsia="Guttman Hodes" w:hint="cs"/>
        </w:rPr>
        <w:instrText>REF</w:instrText>
      </w:r>
      <w:r w:rsidRPr="00B16C8A">
        <w:rPr>
          <w:rStyle w:val="af7"/>
          <w:rFonts w:eastAsia="Guttman Hodes" w:hint="cs"/>
          <w:rtl/>
        </w:rPr>
        <w:instrText xml:space="preserve"> _</w:instrText>
      </w:r>
      <w:r w:rsidRPr="00B16C8A">
        <w:rPr>
          <w:rStyle w:val="af7"/>
          <w:rFonts w:eastAsia="Guttman Hodes" w:hint="cs"/>
        </w:rPr>
        <w:instrText>Ref4702504 \r \h</w:instrText>
      </w:r>
      <w:r w:rsidRPr="00B16C8A">
        <w:rPr>
          <w:rStyle w:val="af7"/>
          <w:rFonts w:eastAsia="Guttman Hodes"/>
          <w:rtl/>
        </w:rPr>
        <w:instrText xml:space="preserve"> </w:instrText>
      </w:r>
      <w:r w:rsidRPr="00B16C8A">
        <w:rPr>
          <w:rStyle w:val="af7"/>
          <w:rFonts w:eastAsia="Guttman Hodes"/>
          <w:rtl/>
        </w:rPr>
      </w:r>
      <w:r w:rsidRPr="00B16C8A">
        <w:rPr>
          <w:rStyle w:val="af7"/>
          <w:rFonts w:eastAsia="Guttman Hodes"/>
          <w:rtl/>
        </w:rPr>
        <w:fldChar w:fldCharType="separate"/>
      </w:r>
      <w:r w:rsidR="00345400">
        <w:rPr>
          <w:rStyle w:val="af7"/>
          <w:rFonts w:eastAsia="Guttman Hodes"/>
          <w:cs/>
        </w:rPr>
        <w:t>‎</w:t>
      </w:r>
      <w:r w:rsidR="00345400">
        <w:rPr>
          <w:rStyle w:val="af7"/>
          <w:rFonts w:eastAsia="Guttman Hodes"/>
          <w:rtl/>
        </w:rPr>
        <w:t>פט)</w:t>
      </w:r>
      <w:r w:rsidRPr="00B16C8A">
        <w:rPr>
          <w:rStyle w:val="af7"/>
          <w:rFonts w:eastAsia="Guttman Hodes"/>
          <w:rtl/>
        </w:rPr>
        <w:fldChar w:fldCharType="end"/>
      </w:r>
      <w:r>
        <w:rPr>
          <w:rFonts w:hint="cs"/>
          <w:rtl/>
        </w:rPr>
        <w:t xml:space="preserve"> </w:t>
      </w:r>
      <w:r w:rsidRPr="00B16C8A">
        <w:rPr>
          <w:rStyle w:val="af9"/>
          <w:rFonts w:hint="cs"/>
          <w:rtl/>
        </w:rPr>
        <w:t>והרשב"א</w:t>
      </w:r>
      <w:r>
        <w:rPr>
          <w:rFonts w:hint="cs"/>
          <w:rtl/>
        </w:rPr>
        <w:t xml:space="preserve"> </w:t>
      </w:r>
      <w:r w:rsidRPr="00B16C8A">
        <w:rPr>
          <w:rStyle w:val="af7"/>
          <w:rFonts w:eastAsia="Guttman Hodes" w:hint="cs"/>
          <w:rtl/>
        </w:rPr>
        <w:t xml:space="preserve">(עי' אות </w:t>
      </w:r>
      <w:r w:rsidRPr="00B16C8A">
        <w:rPr>
          <w:rStyle w:val="af7"/>
          <w:rFonts w:eastAsia="Guttman Hodes"/>
          <w:rtl/>
        </w:rPr>
        <w:fldChar w:fldCharType="begin"/>
      </w:r>
      <w:r w:rsidRPr="00B16C8A">
        <w:rPr>
          <w:rStyle w:val="af7"/>
          <w:rFonts w:eastAsia="Guttman Hodes"/>
          <w:rtl/>
        </w:rPr>
        <w:instrText xml:space="preserve"> </w:instrText>
      </w:r>
      <w:r w:rsidRPr="00B16C8A">
        <w:rPr>
          <w:rStyle w:val="af7"/>
          <w:rFonts w:eastAsia="Guttman Hodes" w:hint="cs"/>
        </w:rPr>
        <w:instrText>REF</w:instrText>
      </w:r>
      <w:r w:rsidRPr="00B16C8A">
        <w:rPr>
          <w:rStyle w:val="af7"/>
          <w:rFonts w:eastAsia="Guttman Hodes" w:hint="cs"/>
          <w:rtl/>
        </w:rPr>
        <w:instrText xml:space="preserve"> _</w:instrText>
      </w:r>
      <w:r w:rsidRPr="00B16C8A">
        <w:rPr>
          <w:rStyle w:val="af7"/>
          <w:rFonts w:eastAsia="Guttman Hodes" w:hint="cs"/>
        </w:rPr>
        <w:instrText>Ref4701383 \r \h</w:instrText>
      </w:r>
      <w:r w:rsidRPr="00B16C8A">
        <w:rPr>
          <w:rStyle w:val="af7"/>
          <w:rFonts w:eastAsia="Guttman Hodes"/>
          <w:rtl/>
        </w:rPr>
        <w:instrText xml:space="preserve"> </w:instrText>
      </w:r>
      <w:r w:rsidRPr="00B16C8A">
        <w:rPr>
          <w:rStyle w:val="af7"/>
          <w:rFonts w:eastAsia="Guttman Hodes"/>
          <w:rtl/>
        </w:rPr>
      </w:r>
      <w:r w:rsidRPr="00B16C8A">
        <w:rPr>
          <w:rStyle w:val="af7"/>
          <w:rFonts w:eastAsia="Guttman Hodes"/>
          <w:rtl/>
        </w:rPr>
        <w:fldChar w:fldCharType="separate"/>
      </w:r>
      <w:r w:rsidR="00345400">
        <w:rPr>
          <w:rStyle w:val="af7"/>
          <w:rFonts w:eastAsia="Guttman Hodes"/>
          <w:cs/>
        </w:rPr>
        <w:t>‎</w:t>
      </w:r>
      <w:r w:rsidR="00345400">
        <w:rPr>
          <w:rStyle w:val="af7"/>
          <w:rFonts w:eastAsia="Guttman Hodes"/>
          <w:rtl/>
        </w:rPr>
        <w:t>צא)</w:t>
      </w:r>
      <w:r w:rsidRPr="00B16C8A">
        <w:rPr>
          <w:rStyle w:val="af7"/>
          <w:rFonts w:eastAsia="Guttman Hodes"/>
          <w:rtl/>
        </w:rPr>
        <w:fldChar w:fldCharType="end"/>
      </w:r>
      <w:r w:rsidRPr="00B16C8A">
        <w:rPr>
          <w:rStyle w:val="af7"/>
          <w:rFonts w:eastAsia="Guttman Hodes" w:hint="cs"/>
          <w:rtl/>
        </w:rPr>
        <w:t xml:space="preserve"> </w:t>
      </w:r>
      <w:r>
        <w:rPr>
          <w:rFonts w:hint="cs"/>
          <w:rtl/>
        </w:rPr>
        <w:t xml:space="preserve">בגדר היתר שחיטה בטריפה, אי מתירה השחיטה אף לענין אכילה, נחלקו </w:t>
      </w:r>
      <w:r w:rsidRPr="00B16C8A">
        <w:rPr>
          <w:rStyle w:val="af9"/>
          <w:rFonts w:hint="cs"/>
          <w:rtl/>
        </w:rPr>
        <w:t>רש"י ותוס'</w:t>
      </w:r>
      <w:r>
        <w:rPr>
          <w:rFonts w:hint="cs"/>
          <w:rtl/>
        </w:rPr>
        <w:t xml:space="preserve"> בגדר דין ד' סימנים אכשר ביה רחמנא, עיי"ש בדבריו.</w:t>
      </w:r>
      <w:bookmarkEnd w:id="26671"/>
      <w:bookmarkEnd w:id="26672"/>
      <w:bookmarkEnd w:id="26673"/>
      <w:bookmarkEnd w:id="26674"/>
    </w:p>
    <w:p w14:paraId="548FBC9F" w14:textId="77777777" w:rsidR="003D504D" w:rsidRPr="007E3507" w:rsidRDefault="003D504D" w:rsidP="003D504D">
      <w:pPr>
        <w:pStyle w:val="a3"/>
        <w:jc w:val="both"/>
      </w:pPr>
    </w:p>
    <w:p w14:paraId="2943FEFF" w14:textId="77777777" w:rsidR="003D504D" w:rsidRPr="00600FE1" w:rsidRDefault="003D504D" w:rsidP="003D504D">
      <w:pPr>
        <w:tabs>
          <w:tab w:val="left" w:pos="1163"/>
        </w:tabs>
        <w:spacing w:after="120" w:line="240" w:lineRule="auto"/>
        <w:ind w:left="0"/>
        <w:rPr>
          <w:rFonts w:ascii="Guttman Hodes" w:eastAsia="Guttman Hodes" w:hAnsi="Guttman Hodes" w:cs="Guttman Hodes"/>
          <w:noProof/>
          <w:sz w:val="18"/>
          <w:szCs w:val="18"/>
        </w:rPr>
        <w:sectPr w:rsidR="003D504D" w:rsidRPr="00600FE1" w:rsidSect="003D504D">
          <w:footerReference w:type="default" r:id="rId150"/>
          <w:type w:val="continuous"/>
          <w:pgSz w:w="11906" w:h="16838"/>
          <w:pgMar w:top="720" w:right="720" w:bottom="720" w:left="720" w:header="283" w:footer="283" w:gutter="0"/>
          <w:cols w:space="567"/>
          <w:bidi/>
          <w:rtlGutter/>
          <w:docGrid w:linePitch="299"/>
        </w:sectPr>
      </w:pPr>
    </w:p>
    <w:p w14:paraId="309A514F" w14:textId="77777777" w:rsidR="003D504D" w:rsidRPr="002A56BB" w:rsidRDefault="004B65FC" w:rsidP="003D504D">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w14:anchorId="6867A6A0">
          <v:shape id="_x0000_i1056" type="#_x0000_t75" style="width:404.55pt;height:6.8pt" o:hrpct="0" o:hralign="center" o:hr="t">
            <v:imagedata r:id="rId21" o:title="BD14845_"/>
          </v:shape>
        </w:pict>
      </w:r>
    </w:p>
    <w:p w14:paraId="2B2E00EB" w14:textId="77777777" w:rsidR="003D504D" w:rsidRPr="00512139" w:rsidRDefault="003D504D" w:rsidP="003D504D">
      <w:pPr>
        <w:pStyle w:val="afe"/>
        <w:rPr>
          <w:rFonts w:ascii="Cambria" w:hAnsi="Cambria"/>
          <w:rtl/>
        </w:rPr>
      </w:pPr>
      <w:bookmarkStart w:id="26769" w:name="_Toc4305440"/>
      <w:bookmarkStart w:id="26770" w:name="_Toc4316307"/>
      <w:bookmarkStart w:id="26771" w:name="_Toc4330774"/>
      <w:bookmarkStart w:id="26772" w:name="_Toc19436489"/>
      <w:bookmarkStart w:id="26773" w:name="_Toc20081595"/>
      <w:r w:rsidRPr="002A56BB">
        <w:rPr>
          <w:rFonts w:hint="cs"/>
          <w:rtl/>
        </w:rPr>
        <w:t>ביאורי ראשי הישיבות על ה</w:t>
      </w:r>
      <w:r>
        <w:rPr>
          <w:rFonts w:hint="cs"/>
          <w:rtl/>
        </w:rPr>
        <w:t>רמב"ם</w:t>
      </w:r>
      <w:bookmarkEnd w:id="26769"/>
      <w:bookmarkEnd w:id="26770"/>
      <w:bookmarkEnd w:id="26771"/>
      <w:bookmarkEnd w:id="26772"/>
      <w:bookmarkEnd w:id="26773"/>
    </w:p>
    <w:p w14:paraId="1EE5FA36" w14:textId="77777777" w:rsidR="003D504D" w:rsidRPr="002A56BB" w:rsidRDefault="003D504D" w:rsidP="003D504D">
      <w:pPr>
        <w:pStyle w:val="afe"/>
        <w:rPr>
          <w:rtl/>
        </w:rPr>
        <w:sectPr w:rsidR="003D504D" w:rsidRPr="002A56BB" w:rsidSect="003D504D">
          <w:pgSz w:w="11906" w:h="16838"/>
          <w:pgMar w:top="720" w:right="720" w:bottom="720" w:left="720" w:header="283" w:footer="283" w:gutter="0"/>
          <w:cols w:space="567"/>
          <w:bidi/>
          <w:rtlGutter/>
          <w:docGrid w:linePitch="299"/>
        </w:sectPr>
      </w:pPr>
    </w:p>
    <w:p w14:paraId="77BC9DFD" w14:textId="77777777" w:rsidR="003D504D" w:rsidRDefault="003D504D" w:rsidP="00223668">
      <w:pPr>
        <w:pStyle w:val="a0"/>
        <w:numPr>
          <w:ilvl w:val="0"/>
          <w:numId w:val="0"/>
        </w:numPr>
      </w:pPr>
    </w:p>
    <w:p w14:paraId="1A05F1D7" w14:textId="77777777" w:rsidR="003D504D" w:rsidRDefault="003D504D" w:rsidP="003D504D">
      <w:pPr>
        <w:pStyle w:val="afe"/>
        <w:rPr>
          <w:rtl/>
        </w:rPr>
      </w:pPr>
      <w:bookmarkStart w:id="26774" w:name="_Toc2723917"/>
      <w:bookmarkStart w:id="26775" w:name="_Toc4305441"/>
      <w:bookmarkStart w:id="26776" w:name="_Toc4316308"/>
      <w:bookmarkStart w:id="26777" w:name="_Toc4330775"/>
      <w:bookmarkStart w:id="26778" w:name="_Toc19436490"/>
      <w:bookmarkStart w:id="26779" w:name="_Toc20081596"/>
      <w:r>
        <w:rPr>
          <w:rtl/>
        </w:rPr>
        <w:t xml:space="preserve">בדעת הרמב"ם </w:t>
      </w:r>
      <w:r>
        <w:rPr>
          <w:rFonts w:hint="cs"/>
          <w:rtl/>
        </w:rPr>
        <w:t>בחיוב כרת בדם ה</w:t>
      </w:r>
      <w:r>
        <w:rPr>
          <w:rtl/>
        </w:rPr>
        <w:t>שליל</w:t>
      </w:r>
      <w:bookmarkEnd w:id="25674"/>
      <w:bookmarkEnd w:id="25675"/>
      <w:bookmarkEnd w:id="26774"/>
      <w:bookmarkEnd w:id="26775"/>
      <w:bookmarkEnd w:id="26776"/>
      <w:bookmarkEnd w:id="26777"/>
      <w:bookmarkEnd w:id="26778"/>
      <w:bookmarkEnd w:id="26779"/>
    </w:p>
    <w:p w14:paraId="711B938D" w14:textId="77777777" w:rsidR="003D504D" w:rsidRDefault="003D504D" w:rsidP="00BF39B2">
      <w:pPr>
        <w:pStyle w:val="1"/>
        <w:rPr>
          <w:rtl/>
        </w:rPr>
      </w:pPr>
      <w:bookmarkStart w:id="26780" w:name="_Toc2618576"/>
      <w:bookmarkStart w:id="26781" w:name="_Toc2628219"/>
      <w:bookmarkStart w:id="26782" w:name="_Toc2723918"/>
      <w:bookmarkStart w:id="26783" w:name="_Toc4305442"/>
      <w:bookmarkStart w:id="26784" w:name="_Toc4316309"/>
      <w:bookmarkStart w:id="26785" w:name="_Toc4330776"/>
      <w:bookmarkStart w:id="26786" w:name="_Toc19392305"/>
      <w:bookmarkStart w:id="26787" w:name="_Toc19395802"/>
      <w:r>
        <w:rPr>
          <w:rFonts w:hint="cs"/>
          <w:rtl/>
        </w:rPr>
        <w:t>ביאור הגרש"ר בדעת הרמב"ם</w:t>
      </w:r>
      <w:bookmarkEnd w:id="25676"/>
      <w:bookmarkEnd w:id="26780"/>
      <w:bookmarkEnd w:id="26781"/>
      <w:bookmarkEnd w:id="26782"/>
      <w:bookmarkEnd w:id="26783"/>
      <w:bookmarkEnd w:id="26784"/>
      <w:bookmarkEnd w:id="26785"/>
      <w:bookmarkEnd w:id="26786"/>
      <w:bookmarkEnd w:id="26787"/>
    </w:p>
    <w:p w14:paraId="49F88F3E" w14:textId="77777777" w:rsidR="003D504D" w:rsidRDefault="003D504D" w:rsidP="003D504D">
      <w:pPr>
        <w:pStyle w:val="a3"/>
      </w:pPr>
      <w:bookmarkStart w:id="26788" w:name="_Toc4330777"/>
      <w:bookmarkStart w:id="26789" w:name="_Toc19392306"/>
      <w:bookmarkStart w:id="26790" w:name="_Toc19395803"/>
      <w:r>
        <w:rPr>
          <w:rFonts w:hint="cs"/>
          <w:rtl/>
        </w:rPr>
        <w:t>דברי הגרש"ר דלהרמב"ם חייב כרת על הדם אף בבבן ח' דיש לו דם הנפש אף דאין לו שם שור</w:t>
      </w:r>
      <w:bookmarkEnd w:id="26788"/>
      <w:bookmarkEnd w:id="26789"/>
      <w:bookmarkEnd w:id="26790"/>
    </w:p>
    <w:p w14:paraId="5F9C23A6" w14:textId="77777777" w:rsidR="003D504D" w:rsidRDefault="003D504D" w:rsidP="00223668">
      <w:pPr>
        <w:pStyle w:val="a0"/>
        <w:rPr>
          <w:rtl/>
        </w:rPr>
      </w:pPr>
      <w:bookmarkStart w:id="26791" w:name="_Ref4324147"/>
      <w:r>
        <w:rPr>
          <w:rFonts w:hint="cs"/>
          <w:rtl/>
        </w:rPr>
        <w:t xml:space="preserve">בביאור </w:t>
      </w:r>
      <w:r w:rsidRPr="008E4F63">
        <w:rPr>
          <w:rStyle w:val="af9"/>
          <w:rFonts w:hint="cs"/>
          <w:rtl/>
        </w:rPr>
        <w:t>הלח"מ</w:t>
      </w:r>
      <w:r>
        <w:rPr>
          <w:rFonts w:hint="cs"/>
          <w:rtl/>
        </w:rPr>
        <w:t xml:space="preserve"> </w:t>
      </w:r>
      <w:r w:rsidRPr="008E4F63">
        <w:rPr>
          <w:rStyle w:val="af7"/>
          <w:rFonts w:eastAsia="Guttman Hodes" w:hint="cs"/>
          <w:rtl/>
        </w:rPr>
        <w:t xml:space="preserve">(עי' אות </w:t>
      </w:r>
      <w:r w:rsidRPr="008E4F63">
        <w:rPr>
          <w:rStyle w:val="af7"/>
          <w:rFonts w:eastAsia="Guttman Hodes"/>
          <w:rtl/>
        </w:rPr>
        <w:fldChar w:fldCharType="begin"/>
      </w:r>
      <w:r w:rsidRPr="008E4F63">
        <w:rPr>
          <w:rStyle w:val="af7"/>
          <w:rFonts w:eastAsia="Guttman Hodes"/>
          <w:rtl/>
        </w:rPr>
        <w:instrText xml:space="preserve"> </w:instrText>
      </w:r>
      <w:r w:rsidRPr="008E4F63">
        <w:rPr>
          <w:rStyle w:val="af7"/>
          <w:rFonts w:eastAsia="Guttman Hodes" w:hint="cs"/>
        </w:rPr>
        <w:instrText>REF</w:instrText>
      </w:r>
      <w:r w:rsidRPr="008E4F63">
        <w:rPr>
          <w:rStyle w:val="af7"/>
          <w:rFonts w:eastAsia="Guttman Hodes" w:hint="cs"/>
          <w:rtl/>
        </w:rPr>
        <w:instrText xml:space="preserve"> _</w:instrText>
      </w:r>
      <w:r w:rsidRPr="008E4F63">
        <w:rPr>
          <w:rStyle w:val="af7"/>
          <w:rFonts w:eastAsia="Guttman Hodes" w:hint="cs"/>
        </w:rPr>
        <w:instrText>Ref4321206 \r \h</w:instrText>
      </w:r>
      <w:r w:rsidRPr="008E4F63">
        <w:rPr>
          <w:rStyle w:val="af7"/>
          <w:rFonts w:eastAsia="Guttman Hodes"/>
          <w:rtl/>
        </w:rPr>
        <w:instrText xml:space="preserve"> </w:instrText>
      </w:r>
      <w:r w:rsidRPr="008E4F63">
        <w:rPr>
          <w:rStyle w:val="af7"/>
          <w:rFonts w:eastAsia="Guttman Hodes"/>
          <w:rtl/>
        </w:rPr>
      </w:r>
      <w:r w:rsidRPr="008E4F63">
        <w:rPr>
          <w:rStyle w:val="af7"/>
          <w:rFonts w:eastAsia="Guttman Hodes"/>
          <w:rtl/>
        </w:rPr>
        <w:fldChar w:fldCharType="separate"/>
      </w:r>
      <w:r w:rsidR="00345400">
        <w:rPr>
          <w:rStyle w:val="af7"/>
          <w:rFonts w:eastAsia="Guttman Hodes"/>
          <w:cs/>
        </w:rPr>
        <w:t>‎</w:t>
      </w:r>
      <w:r w:rsidR="00345400">
        <w:rPr>
          <w:rStyle w:val="af7"/>
          <w:rFonts w:eastAsia="Guttman Hodes"/>
          <w:rtl/>
        </w:rPr>
        <w:t>סד)</w:t>
      </w:r>
      <w:r w:rsidRPr="008E4F63">
        <w:rPr>
          <w:rStyle w:val="af7"/>
          <w:rFonts w:eastAsia="Guttman Hodes"/>
          <w:rtl/>
        </w:rPr>
        <w:fldChar w:fldCharType="end"/>
      </w:r>
      <w:r>
        <w:rPr>
          <w:rFonts w:hint="cs"/>
          <w:rtl/>
        </w:rPr>
        <w:t xml:space="preserve"> בדעת </w:t>
      </w:r>
      <w:r w:rsidRPr="008E4F63">
        <w:rPr>
          <w:rStyle w:val="af9"/>
          <w:rFonts w:hint="cs"/>
          <w:rtl/>
        </w:rPr>
        <w:t>הרמב"ם</w:t>
      </w:r>
      <w:r>
        <w:rPr>
          <w:rFonts w:hint="cs"/>
          <w:rtl/>
        </w:rPr>
        <w:t xml:space="preserve"> דאף בבן ח' יש חיוב כרת בדם הכנוס בלבו, כמבואר מדברי </w:t>
      </w:r>
      <w:r w:rsidRPr="009B29DC">
        <w:rPr>
          <w:rStyle w:val="af9"/>
          <w:rFonts w:hint="cs"/>
          <w:rtl/>
        </w:rPr>
        <w:t>הרמב"ם</w:t>
      </w:r>
      <w:r w:rsidRPr="009B29DC">
        <w:rPr>
          <w:rStyle w:val="af7"/>
          <w:rFonts w:eastAsia="Guttman Hodes" w:hint="cs"/>
          <w:rtl/>
        </w:rPr>
        <w:t xml:space="preserve"> (עי'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Ref4305445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Pr>
          <w:rStyle w:val="af7"/>
          <w:rFonts w:eastAsia="Guttman Hodes"/>
          <w:rtl/>
        </w:rPr>
        <w:fldChar w:fldCharType="end"/>
      </w:r>
      <w:r w:rsidRPr="009B29DC">
        <w:rPr>
          <w:rStyle w:val="af7"/>
          <w:rFonts w:eastAsia="Guttman Hodes" w:hint="cs"/>
          <w:rtl/>
        </w:rPr>
        <w:t xml:space="preserve"> </w:t>
      </w:r>
      <w:r>
        <w:rPr>
          <w:rFonts w:hint="cs"/>
          <w:rtl/>
        </w:rPr>
        <w:t xml:space="preserve">דכתב בסתמא דהדם הכנוס בלבו של השליל יש בו חיוב כרת, ולא חילק בין בן ח' לבן ט', כתב </w:t>
      </w:r>
      <w:r w:rsidRPr="005B5D9E">
        <w:rPr>
          <w:rStyle w:val="af9"/>
          <w:rtl/>
        </w:rPr>
        <w:t>הגרש"ר</w:t>
      </w:r>
      <w:r w:rsidRPr="0051620D">
        <w:rPr>
          <w:rtl/>
        </w:rPr>
        <w:t xml:space="preserve"> </w:t>
      </w:r>
      <w:r w:rsidRPr="005B5D9E">
        <w:rPr>
          <w:rStyle w:val="af7"/>
          <w:rFonts w:eastAsia="Guttman Hodes"/>
          <w:rtl/>
        </w:rPr>
        <w:t>(זכרון שמואל סי' ע"ד אות ב' ד"ה</w:t>
      </w:r>
      <w:r w:rsidRPr="005B5D9E">
        <w:rPr>
          <w:rStyle w:val="af7"/>
          <w:rFonts w:eastAsia="Guttman Hodes" w:hint="cs"/>
          <w:rtl/>
        </w:rPr>
        <w:t xml:space="preserve"> ועפ"ז) </w:t>
      </w:r>
      <w:r>
        <w:rPr>
          <w:rFonts w:hint="cs"/>
          <w:rtl/>
        </w:rPr>
        <w:t xml:space="preserve">דס"ל </w:t>
      </w:r>
      <w:r w:rsidRPr="004374CA">
        <w:rPr>
          <w:rStyle w:val="af9"/>
          <w:rFonts w:hint="cs"/>
          <w:rtl/>
        </w:rPr>
        <w:t>להרמב"ם</w:t>
      </w:r>
      <w:r>
        <w:rPr>
          <w:rFonts w:hint="cs"/>
          <w:rtl/>
        </w:rPr>
        <w:t xml:space="preserve"> דאף שאין לו שם "שור" חשיב דמו כדם הנפש, </w:t>
      </w:r>
      <w:r w:rsidRPr="009B29DC">
        <w:rPr>
          <w:rStyle w:val="afb"/>
          <w:rFonts w:hint="cs"/>
          <w:rtl/>
        </w:rPr>
        <w:t>[ופליג על הסברא שביאר</w:t>
      </w:r>
      <w:r w:rsidRPr="009B29DC">
        <w:rPr>
          <w:rStyle w:val="affa"/>
          <w:rFonts w:hint="cs"/>
          <w:rtl/>
        </w:rPr>
        <w:t xml:space="preserve"> הגרש"ר </w:t>
      </w:r>
      <w:r w:rsidRPr="009B29DC">
        <w:rPr>
          <w:rStyle w:val="afb"/>
          <w:rFonts w:hint="cs"/>
          <w:rtl/>
        </w:rPr>
        <w:t xml:space="preserve">בדעת </w:t>
      </w:r>
      <w:r w:rsidRPr="009B29DC">
        <w:rPr>
          <w:rStyle w:val="affa"/>
          <w:rFonts w:hint="cs"/>
          <w:rtl/>
        </w:rPr>
        <w:t xml:space="preserve">הר"ן </w:t>
      </w:r>
      <w:r w:rsidRPr="005516F3">
        <w:rPr>
          <w:rStyle w:val="aff6"/>
          <w:rFonts w:hint="cs"/>
          <w:rtl/>
        </w:rPr>
        <w:t xml:space="preserve">(עי' אות </w:t>
      </w:r>
      <w:r w:rsidRPr="005516F3">
        <w:rPr>
          <w:rStyle w:val="aff6"/>
          <w:rtl/>
        </w:rPr>
        <w:fldChar w:fldCharType="begin"/>
      </w:r>
      <w:r w:rsidRPr="005516F3">
        <w:rPr>
          <w:rStyle w:val="aff6"/>
          <w:rtl/>
        </w:rPr>
        <w:instrText xml:space="preserve"> </w:instrText>
      </w:r>
      <w:r w:rsidRPr="005516F3">
        <w:rPr>
          <w:rStyle w:val="aff6"/>
          <w:rFonts w:hint="cs"/>
        </w:rPr>
        <w:instrText>REF</w:instrText>
      </w:r>
      <w:r w:rsidRPr="005516F3">
        <w:rPr>
          <w:rStyle w:val="aff6"/>
          <w:rFonts w:hint="cs"/>
          <w:rtl/>
        </w:rPr>
        <w:instrText xml:space="preserve"> _</w:instrText>
      </w:r>
      <w:r w:rsidRPr="005516F3">
        <w:rPr>
          <w:rStyle w:val="aff6"/>
          <w:rFonts w:hint="cs"/>
        </w:rPr>
        <w:instrText>Ref4324161 \r \h</w:instrText>
      </w:r>
      <w:r w:rsidRPr="005516F3">
        <w:rPr>
          <w:rStyle w:val="aff6"/>
          <w:rtl/>
        </w:rPr>
        <w:instrText xml:space="preserve"> </w:instrText>
      </w:r>
      <w:r w:rsidRPr="005516F3">
        <w:rPr>
          <w:rStyle w:val="aff6"/>
          <w:rtl/>
        </w:rPr>
      </w:r>
      <w:r w:rsidRPr="005516F3">
        <w:rPr>
          <w:rStyle w:val="aff6"/>
          <w:rtl/>
        </w:rPr>
        <w:fldChar w:fldCharType="separate"/>
      </w:r>
      <w:r w:rsidR="00345400">
        <w:rPr>
          <w:rStyle w:val="aff6"/>
          <w:cs/>
        </w:rPr>
        <w:t>‎</w:t>
      </w:r>
      <w:r w:rsidR="00345400">
        <w:rPr>
          <w:rStyle w:val="aff6"/>
          <w:rtl/>
        </w:rPr>
        <w:t>לח)</w:t>
      </w:r>
      <w:r w:rsidRPr="005516F3">
        <w:rPr>
          <w:rStyle w:val="aff6"/>
          <w:rtl/>
        </w:rPr>
        <w:fldChar w:fldCharType="end"/>
      </w:r>
      <w:r w:rsidRPr="009B29DC">
        <w:rPr>
          <w:rStyle w:val="afb"/>
          <w:rFonts w:hint="cs"/>
          <w:rtl/>
        </w:rPr>
        <w:t>]</w:t>
      </w:r>
      <w:r>
        <w:rPr>
          <w:rFonts w:hint="cs"/>
          <w:rtl/>
        </w:rPr>
        <w:t xml:space="preserve"> ולכן לדעת </w:t>
      </w:r>
      <w:r w:rsidRPr="009B29DC">
        <w:rPr>
          <w:rStyle w:val="af9"/>
          <w:rFonts w:hint="cs"/>
          <w:rtl/>
        </w:rPr>
        <w:t>הרמב"ם</w:t>
      </w:r>
      <w:r>
        <w:rPr>
          <w:rFonts w:hint="cs"/>
          <w:rtl/>
        </w:rPr>
        <w:t xml:space="preserve"> אף בבן ח' יש דם הנפש וחייב כרת.</w:t>
      </w:r>
      <w:bookmarkEnd w:id="26791"/>
    </w:p>
    <w:p w14:paraId="04108740" w14:textId="77777777" w:rsidR="003D504D" w:rsidRDefault="003D504D" w:rsidP="003D504D">
      <w:pPr>
        <w:pStyle w:val="a3"/>
        <w:rPr>
          <w:rtl/>
        </w:rPr>
      </w:pPr>
      <w:bookmarkStart w:id="26792" w:name="_Toc4330778"/>
      <w:bookmarkStart w:id="26793" w:name="_Toc19392307"/>
      <w:bookmarkStart w:id="26794" w:name="_Toc19395804"/>
      <w:r>
        <w:rPr>
          <w:rFonts w:hint="cs"/>
          <w:rtl/>
        </w:rPr>
        <w:t>דברי הגרש"ר דהרמב"ם ס"ל דהא דתני בתוספתא דדמו בלאו היינו בשאר האיברים ולא בלב</w:t>
      </w:r>
      <w:bookmarkEnd w:id="26792"/>
      <w:bookmarkEnd w:id="26793"/>
      <w:bookmarkEnd w:id="26794"/>
    </w:p>
    <w:p w14:paraId="092163F7" w14:textId="77777777" w:rsidR="003D504D" w:rsidRDefault="003D504D" w:rsidP="00223668">
      <w:pPr>
        <w:pStyle w:val="a0"/>
        <w:rPr>
          <w:rtl/>
        </w:rPr>
      </w:pPr>
      <w:r>
        <w:rPr>
          <w:rFonts w:hint="cs"/>
          <w:rtl/>
        </w:rPr>
        <w:t xml:space="preserve">ובמה שהקשה </w:t>
      </w:r>
      <w:r w:rsidRPr="009B29DC">
        <w:rPr>
          <w:rStyle w:val="af9"/>
          <w:rFonts w:hint="cs"/>
          <w:rtl/>
        </w:rPr>
        <w:t>הרמב"ן</w:t>
      </w:r>
      <w:r>
        <w:rPr>
          <w:rFonts w:hint="cs"/>
          <w:rtl/>
        </w:rPr>
        <w:t xml:space="preserve"> </w:t>
      </w:r>
      <w:r w:rsidRPr="009B29DC">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Ref4316466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יג)</w:t>
      </w:r>
      <w:r>
        <w:rPr>
          <w:rStyle w:val="af7"/>
          <w:rFonts w:eastAsia="Guttman Hodes"/>
          <w:rtl/>
        </w:rPr>
        <w:fldChar w:fldCharType="end"/>
      </w:r>
      <w:r w:rsidRPr="009B29DC">
        <w:rPr>
          <w:rStyle w:val="af7"/>
          <w:rFonts w:eastAsia="Guttman Hodes" w:hint="cs"/>
          <w:rtl/>
        </w:rPr>
        <w:t xml:space="preserve"> </w:t>
      </w:r>
      <w:r>
        <w:rPr>
          <w:rFonts w:hint="cs"/>
          <w:rtl/>
        </w:rPr>
        <w:t xml:space="preserve">מהא דאיתא בתוספתא דדמו כדם האברים ואין בו חיוב כרת, ומבואר דס"ל לרבנן דאין חיוב כרת </w:t>
      </w:r>
      <w:r w:rsidRPr="00F75AF1">
        <w:rPr>
          <w:rFonts w:hint="cs"/>
          <w:rtl/>
        </w:rPr>
        <w:t xml:space="preserve">בדם השליל, כתב </w:t>
      </w:r>
      <w:r w:rsidRPr="00F75AF1">
        <w:rPr>
          <w:rStyle w:val="af9"/>
          <w:rFonts w:hint="cs"/>
          <w:rtl/>
        </w:rPr>
        <w:t>הגרש"ר דהרמב"ם</w:t>
      </w:r>
      <w:r w:rsidRPr="00F75AF1">
        <w:rPr>
          <w:rFonts w:hint="cs"/>
          <w:rtl/>
        </w:rPr>
        <w:t xml:space="preserve"> יתרץ דהתוספתא איירי בשאר דמו של השליל שאינו כנוס בלבו, שהוא כדם האברים לדעת </w:t>
      </w:r>
      <w:r w:rsidRPr="00F75AF1">
        <w:rPr>
          <w:rStyle w:val="af9"/>
          <w:rFonts w:hint="cs"/>
          <w:rtl/>
        </w:rPr>
        <w:t>הרמב"ם</w:t>
      </w:r>
      <w:r>
        <w:rPr>
          <w:rFonts w:hint="cs"/>
          <w:rtl/>
        </w:rPr>
        <w:t>,</w:t>
      </w:r>
      <w:r w:rsidRPr="00F75AF1">
        <w:rPr>
          <w:rFonts w:hint="cs"/>
          <w:rtl/>
        </w:rPr>
        <w:t xml:space="preserve"> וכדביאר </w:t>
      </w:r>
      <w:r w:rsidRPr="00F75AF1">
        <w:rPr>
          <w:rStyle w:val="af9"/>
          <w:rFonts w:hint="cs"/>
          <w:rtl/>
        </w:rPr>
        <w:t>המ"מ</w:t>
      </w:r>
      <w:r w:rsidRPr="00F75AF1">
        <w:rPr>
          <w:rStyle w:val="af7"/>
          <w:rFonts w:eastAsia="Guttman Hodes" w:hint="cs"/>
          <w:rtl/>
        </w:rPr>
        <w:t xml:space="preserve"> (עי' אות </w:t>
      </w:r>
      <w:r w:rsidRPr="00F75AF1">
        <w:rPr>
          <w:rStyle w:val="af7"/>
          <w:rFonts w:eastAsia="Guttman Hodes"/>
          <w:rtl/>
        </w:rPr>
        <w:fldChar w:fldCharType="begin"/>
      </w:r>
      <w:r w:rsidRPr="00F75AF1">
        <w:rPr>
          <w:rStyle w:val="af7"/>
          <w:rFonts w:eastAsia="Guttman Hodes"/>
          <w:rtl/>
        </w:rPr>
        <w:instrText xml:space="preserve"> </w:instrText>
      </w:r>
      <w:r w:rsidRPr="00F75AF1">
        <w:rPr>
          <w:rStyle w:val="af7"/>
          <w:rFonts w:eastAsia="Guttman Hodes" w:hint="cs"/>
        </w:rPr>
        <w:instrText>REF</w:instrText>
      </w:r>
      <w:r w:rsidRPr="00F75AF1">
        <w:rPr>
          <w:rStyle w:val="af7"/>
          <w:rFonts w:eastAsia="Guttman Hodes" w:hint="cs"/>
          <w:rtl/>
        </w:rPr>
        <w:instrText xml:space="preserve"> _</w:instrText>
      </w:r>
      <w:r w:rsidRPr="00F75AF1">
        <w:rPr>
          <w:rStyle w:val="af7"/>
          <w:rFonts w:eastAsia="Guttman Hodes" w:hint="cs"/>
        </w:rPr>
        <w:instrText>Ref2543189 \r \h</w:instrText>
      </w:r>
      <w:r w:rsidRPr="00F75AF1">
        <w:rPr>
          <w:rStyle w:val="af7"/>
          <w:rFonts w:eastAsia="Guttman Hodes"/>
          <w:rtl/>
        </w:rPr>
        <w:instrText xml:space="preserve"> </w:instrText>
      </w:r>
      <w:r w:rsidRPr="00F75AF1">
        <w:rPr>
          <w:rStyle w:val="af7"/>
          <w:rFonts w:eastAsia="Guttman Hodes"/>
          <w:rtl/>
        </w:rPr>
      </w:r>
      <w:r w:rsidRPr="00F75AF1">
        <w:rPr>
          <w:rStyle w:val="af7"/>
          <w:rFonts w:eastAsia="Guttman Hodes"/>
          <w:rtl/>
        </w:rPr>
        <w:fldChar w:fldCharType="separate"/>
      </w:r>
      <w:r w:rsidR="00345400">
        <w:rPr>
          <w:rStyle w:val="af7"/>
          <w:rFonts w:eastAsia="Guttman Hodes"/>
          <w:cs/>
        </w:rPr>
        <w:t>‎</w:t>
      </w:r>
      <w:r w:rsidR="00345400">
        <w:rPr>
          <w:rStyle w:val="af7"/>
          <w:rFonts w:eastAsia="Guttman Hodes"/>
          <w:rtl/>
        </w:rPr>
        <w:t>נח)</w:t>
      </w:r>
      <w:r w:rsidRPr="00F75AF1">
        <w:rPr>
          <w:rStyle w:val="af7"/>
          <w:rFonts w:eastAsia="Guttman Hodes"/>
          <w:rtl/>
        </w:rPr>
        <w:fldChar w:fldCharType="end"/>
      </w:r>
      <w:r>
        <w:rPr>
          <w:rFonts w:hint="cs"/>
          <w:rtl/>
        </w:rPr>
        <w:t>.</w:t>
      </w:r>
    </w:p>
    <w:p w14:paraId="6104B9AB" w14:textId="77777777" w:rsidR="003D504D" w:rsidRDefault="003D504D" w:rsidP="003D504D">
      <w:pPr>
        <w:pStyle w:val="a3"/>
        <w:rPr>
          <w:rtl/>
        </w:rPr>
      </w:pPr>
      <w:bookmarkStart w:id="26795" w:name="_Toc4330779"/>
      <w:bookmarkStart w:id="26796" w:name="_Toc19392308"/>
      <w:bookmarkStart w:id="26797" w:name="_Toc19395805"/>
      <w:r>
        <w:rPr>
          <w:rFonts w:hint="cs"/>
          <w:rtl/>
        </w:rPr>
        <w:t>דברי הגרש"ר דלביאורו בדעת הר"ן אין כל ראיה מקושית ריו"ח שיש כרב בבן ח'</w:t>
      </w:r>
      <w:bookmarkEnd w:id="26795"/>
      <w:bookmarkEnd w:id="26796"/>
      <w:bookmarkEnd w:id="26797"/>
    </w:p>
    <w:p w14:paraId="0D53C524" w14:textId="77777777" w:rsidR="003D504D" w:rsidRDefault="003D504D" w:rsidP="00223668">
      <w:pPr>
        <w:pStyle w:val="a0"/>
      </w:pPr>
      <w:r>
        <w:rPr>
          <w:rFonts w:hint="cs"/>
          <w:rtl/>
        </w:rPr>
        <w:t xml:space="preserve">והביא </w:t>
      </w:r>
      <w:r w:rsidRPr="003D751C">
        <w:rPr>
          <w:rStyle w:val="af9"/>
          <w:rFonts w:hint="cs"/>
          <w:rtl/>
        </w:rPr>
        <w:t>הגרש"ר</w:t>
      </w:r>
      <w:r>
        <w:rPr>
          <w:rFonts w:hint="cs"/>
          <w:rtl/>
        </w:rPr>
        <w:t xml:space="preserve"> את דברי </w:t>
      </w:r>
      <w:r w:rsidRPr="003D751C">
        <w:rPr>
          <w:rStyle w:val="af9"/>
          <w:rFonts w:hint="cs"/>
          <w:rtl/>
        </w:rPr>
        <w:t>הלח"מ</w:t>
      </w:r>
      <w:r>
        <w:rPr>
          <w:rFonts w:hint="cs"/>
          <w:rtl/>
        </w:rPr>
        <w:t xml:space="preserve"> </w:t>
      </w:r>
      <w:r w:rsidRPr="00802C23">
        <w:rPr>
          <w:rStyle w:val="af7"/>
          <w:rFonts w:eastAsia="Guttman Hodes" w:hint="cs"/>
          <w:rtl/>
        </w:rPr>
        <w:t xml:space="preserve">(מאכ"א פ"ו ה"ה) </w:t>
      </w:r>
      <w:r>
        <w:rPr>
          <w:rFonts w:hint="cs"/>
          <w:rtl/>
        </w:rPr>
        <w:t xml:space="preserve">דהביא את קושית </w:t>
      </w:r>
      <w:r>
        <w:rPr>
          <w:rStyle w:val="af9"/>
          <w:rtl/>
        </w:rPr>
        <w:t xml:space="preserve">הר"י ששפורטש בתשב"ץ </w:t>
      </w:r>
      <w:r w:rsidRPr="008A3D6A">
        <w:rPr>
          <w:rStyle w:val="af7"/>
          <w:rFonts w:eastAsia="Guttman Hodes" w:hint="cs"/>
          <w:rtl/>
        </w:rPr>
        <w:t xml:space="preserve">(ח"ה מכת"י תשו' קנ"ה, </w:t>
      </w:r>
      <w:r w:rsidR="00AC7E32">
        <w:rPr>
          <w:rStyle w:val="af7"/>
          <w:rFonts w:eastAsia="Guttman Hodes" w:hint="cs"/>
          <w:rtl/>
        </w:rPr>
        <w:t>הובא בסימן</w:t>
      </w:r>
      <w:r>
        <w:rPr>
          <w:rStyle w:val="af7"/>
          <w:rFonts w:eastAsia="Guttman Hodes" w:hint="cs"/>
          <w:rtl/>
        </w:rPr>
        <w:t xml:space="preserve"> ו' אות נח</w:t>
      </w:r>
      <w:r w:rsidRPr="008A3D6A">
        <w:rPr>
          <w:rStyle w:val="af7"/>
          <w:rFonts w:eastAsia="Guttman Hodes" w:hint="cs"/>
          <w:rtl/>
        </w:rPr>
        <w:t>)</w:t>
      </w:r>
      <w:r>
        <w:rPr>
          <w:rFonts w:hint="cs"/>
          <w:rtl/>
        </w:rPr>
        <w:t xml:space="preserve"> על </w:t>
      </w:r>
      <w:r w:rsidRPr="003D751C">
        <w:rPr>
          <w:rStyle w:val="af9"/>
          <w:rFonts w:hint="cs"/>
          <w:rtl/>
        </w:rPr>
        <w:t>הרמב"ם</w:t>
      </w:r>
      <w:r>
        <w:rPr>
          <w:rFonts w:hint="cs"/>
          <w:rtl/>
        </w:rPr>
        <w:t xml:space="preserve"> דאמאי בדם מבואר מדברי </w:t>
      </w:r>
      <w:r w:rsidRPr="003D751C">
        <w:rPr>
          <w:rStyle w:val="af9"/>
          <w:rFonts w:hint="cs"/>
          <w:rtl/>
        </w:rPr>
        <w:t>הרמב"ם</w:t>
      </w:r>
      <w:r>
        <w:rPr>
          <w:rFonts w:hint="cs"/>
          <w:rtl/>
        </w:rPr>
        <w:t xml:space="preserve"> דאף בבן ח' יש חיוב כרת, ואילו בחלב כתב </w:t>
      </w:r>
      <w:r w:rsidRPr="003D751C">
        <w:rPr>
          <w:rStyle w:val="af9"/>
          <w:rFonts w:hint="cs"/>
          <w:rtl/>
        </w:rPr>
        <w:t>הרמב"ם</w:t>
      </w:r>
      <w:r>
        <w:rPr>
          <w:rFonts w:hint="cs"/>
          <w:rtl/>
        </w:rPr>
        <w:t xml:space="preserve"> </w:t>
      </w:r>
      <w:r w:rsidRPr="004508C9">
        <w:rPr>
          <w:rStyle w:val="af7"/>
          <w:rFonts w:eastAsia="Guttman Hodes" w:hint="cs"/>
          <w:rtl/>
        </w:rPr>
        <w:t xml:space="preserve">(עי' אות </w:t>
      </w:r>
      <w:r w:rsidRPr="004508C9">
        <w:rPr>
          <w:rStyle w:val="af7"/>
          <w:rFonts w:eastAsia="Guttman Hodes"/>
          <w:rtl/>
        </w:rPr>
        <w:fldChar w:fldCharType="begin"/>
      </w:r>
      <w:r w:rsidRPr="004508C9">
        <w:rPr>
          <w:rStyle w:val="af7"/>
          <w:rFonts w:eastAsia="Guttman Hodes"/>
          <w:rtl/>
        </w:rPr>
        <w:instrText xml:space="preserve"> </w:instrText>
      </w:r>
      <w:r w:rsidRPr="004508C9">
        <w:rPr>
          <w:rStyle w:val="af7"/>
          <w:rFonts w:eastAsia="Guttman Hodes" w:hint="cs"/>
        </w:rPr>
        <w:instrText>REF</w:instrText>
      </w:r>
      <w:r w:rsidRPr="004508C9">
        <w:rPr>
          <w:rStyle w:val="af7"/>
          <w:rFonts w:eastAsia="Guttman Hodes" w:hint="cs"/>
          <w:rtl/>
        </w:rPr>
        <w:instrText xml:space="preserve"> _</w:instrText>
      </w:r>
      <w:r w:rsidRPr="004508C9">
        <w:rPr>
          <w:rStyle w:val="af7"/>
          <w:rFonts w:eastAsia="Guttman Hodes" w:hint="cs"/>
        </w:rPr>
        <w:instrText>Ref3145560 \r \h</w:instrText>
      </w:r>
      <w:r w:rsidRPr="004508C9">
        <w:rPr>
          <w:rStyle w:val="af7"/>
          <w:rFonts w:eastAsia="Guttman Hodes"/>
          <w:rtl/>
        </w:rPr>
        <w:instrText xml:space="preserve"> </w:instrText>
      </w:r>
      <w:r w:rsidRPr="004508C9">
        <w:rPr>
          <w:rStyle w:val="af7"/>
          <w:rFonts w:eastAsia="Guttman Hodes"/>
          <w:rtl/>
        </w:rPr>
      </w:r>
      <w:r w:rsidRPr="004508C9">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4508C9">
        <w:rPr>
          <w:rStyle w:val="af7"/>
          <w:rFonts w:eastAsia="Guttman Hodes"/>
          <w:rtl/>
        </w:rPr>
        <w:fldChar w:fldCharType="end"/>
      </w:r>
      <w:r>
        <w:rPr>
          <w:rFonts w:hint="cs"/>
          <w:rtl/>
        </w:rPr>
        <w:t xml:space="preserve"> דבבן ח' אין חיוב חלב, ותירץ </w:t>
      </w:r>
      <w:r w:rsidRPr="003D751C">
        <w:rPr>
          <w:rStyle w:val="af9"/>
          <w:rFonts w:hint="cs"/>
          <w:rtl/>
        </w:rPr>
        <w:t>הלח"מ</w:t>
      </w:r>
      <w:r>
        <w:rPr>
          <w:rFonts w:hint="cs"/>
          <w:rtl/>
        </w:rPr>
        <w:t xml:space="preserve"> </w:t>
      </w:r>
      <w:r w:rsidRPr="004508C9">
        <w:rPr>
          <w:rStyle w:val="af7"/>
          <w:rFonts w:eastAsia="Guttman Hodes" w:hint="cs"/>
          <w:rtl/>
        </w:rPr>
        <w:t xml:space="preserve">(עי' אות </w:t>
      </w:r>
      <w:r w:rsidRPr="004508C9">
        <w:rPr>
          <w:rStyle w:val="af7"/>
          <w:rFonts w:eastAsia="Guttman Hodes"/>
          <w:rtl/>
        </w:rPr>
        <w:fldChar w:fldCharType="begin"/>
      </w:r>
      <w:r w:rsidRPr="004508C9">
        <w:rPr>
          <w:rStyle w:val="af7"/>
          <w:rFonts w:eastAsia="Guttman Hodes"/>
          <w:rtl/>
        </w:rPr>
        <w:instrText xml:space="preserve"> </w:instrText>
      </w:r>
      <w:r w:rsidRPr="004508C9">
        <w:rPr>
          <w:rStyle w:val="af7"/>
          <w:rFonts w:eastAsia="Guttman Hodes" w:hint="cs"/>
        </w:rPr>
        <w:instrText>REF</w:instrText>
      </w:r>
      <w:r w:rsidRPr="004508C9">
        <w:rPr>
          <w:rStyle w:val="af7"/>
          <w:rFonts w:eastAsia="Guttman Hodes" w:hint="cs"/>
          <w:rtl/>
        </w:rPr>
        <w:instrText xml:space="preserve"> _</w:instrText>
      </w:r>
      <w:r w:rsidRPr="004508C9">
        <w:rPr>
          <w:rStyle w:val="af7"/>
          <w:rFonts w:eastAsia="Guttman Hodes" w:hint="cs"/>
        </w:rPr>
        <w:instrText>Ref2543325 \r \h</w:instrText>
      </w:r>
      <w:r w:rsidRPr="004508C9">
        <w:rPr>
          <w:rStyle w:val="af7"/>
          <w:rFonts w:eastAsia="Guttman Hodes"/>
          <w:rtl/>
        </w:rPr>
        <w:instrText xml:space="preserve"> </w:instrText>
      </w:r>
      <w:r w:rsidRPr="004508C9">
        <w:rPr>
          <w:rStyle w:val="af7"/>
          <w:rFonts w:eastAsia="Guttman Hodes"/>
          <w:rtl/>
        </w:rPr>
      </w:r>
      <w:r w:rsidRPr="004508C9">
        <w:rPr>
          <w:rStyle w:val="af7"/>
          <w:rFonts w:eastAsia="Guttman Hodes"/>
          <w:rtl/>
        </w:rPr>
        <w:fldChar w:fldCharType="separate"/>
      </w:r>
      <w:r w:rsidR="00345400">
        <w:rPr>
          <w:rStyle w:val="af7"/>
          <w:rFonts w:eastAsia="Guttman Hodes"/>
          <w:cs/>
        </w:rPr>
        <w:t>‎</w:t>
      </w:r>
      <w:r w:rsidR="00345400">
        <w:rPr>
          <w:rStyle w:val="af7"/>
          <w:rFonts w:eastAsia="Guttman Hodes"/>
          <w:rtl/>
        </w:rPr>
        <w:t>סה)</w:t>
      </w:r>
      <w:r w:rsidRPr="004508C9">
        <w:rPr>
          <w:rStyle w:val="af7"/>
          <w:rFonts w:eastAsia="Guttman Hodes"/>
          <w:rtl/>
        </w:rPr>
        <w:fldChar w:fldCharType="end"/>
      </w:r>
      <w:r>
        <w:rPr>
          <w:rFonts w:hint="cs"/>
          <w:rtl/>
        </w:rPr>
        <w:t xml:space="preserve"> דכן מוכח בגמ' דהקשה ריו"ח לר"ל בדין הדם מהרישא דמתני' דאיירי בבן ח', וכתב </w:t>
      </w:r>
      <w:r w:rsidRPr="003D751C">
        <w:rPr>
          <w:rStyle w:val="af9"/>
          <w:rFonts w:hint="cs"/>
          <w:rtl/>
        </w:rPr>
        <w:t>הגרש"ר</w:t>
      </w:r>
      <w:r>
        <w:rPr>
          <w:rFonts w:hint="cs"/>
          <w:rtl/>
        </w:rPr>
        <w:t xml:space="preserve"> דלפי ביאורו בדעת </w:t>
      </w:r>
      <w:r w:rsidRPr="003D751C">
        <w:rPr>
          <w:rStyle w:val="af9"/>
          <w:rFonts w:hint="cs"/>
          <w:rtl/>
        </w:rPr>
        <w:t>הר"ן</w:t>
      </w:r>
      <w:r>
        <w:rPr>
          <w:rFonts w:hint="cs"/>
          <w:rtl/>
        </w:rPr>
        <w:t xml:space="preserve"> </w:t>
      </w:r>
      <w:r w:rsidRPr="003D751C">
        <w:rPr>
          <w:rStyle w:val="af7"/>
          <w:rFonts w:eastAsia="Guttman Hodes" w:hint="cs"/>
          <w:rtl/>
        </w:rPr>
        <w:t xml:space="preserve">(עי' אות </w:t>
      </w:r>
      <w:r w:rsidRPr="003D751C">
        <w:rPr>
          <w:rStyle w:val="af7"/>
          <w:rFonts w:eastAsia="Guttman Hodes"/>
          <w:rtl/>
        </w:rPr>
        <w:fldChar w:fldCharType="begin"/>
      </w:r>
      <w:r w:rsidRPr="003D751C">
        <w:rPr>
          <w:rStyle w:val="af7"/>
          <w:rFonts w:eastAsia="Guttman Hodes"/>
          <w:rtl/>
        </w:rPr>
        <w:instrText xml:space="preserve"> </w:instrText>
      </w:r>
      <w:r w:rsidRPr="003D751C">
        <w:rPr>
          <w:rStyle w:val="af7"/>
          <w:rFonts w:eastAsia="Guttman Hodes" w:hint="cs"/>
        </w:rPr>
        <w:instrText>REF</w:instrText>
      </w:r>
      <w:r w:rsidRPr="003D751C">
        <w:rPr>
          <w:rStyle w:val="af7"/>
          <w:rFonts w:eastAsia="Guttman Hodes" w:hint="cs"/>
          <w:rtl/>
        </w:rPr>
        <w:instrText xml:space="preserve"> _</w:instrText>
      </w:r>
      <w:r w:rsidRPr="003D751C">
        <w:rPr>
          <w:rStyle w:val="af7"/>
          <w:rFonts w:eastAsia="Guttman Hodes" w:hint="cs"/>
        </w:rPr>
        <w:instrText>Ref2527481 \r \h</w:instrText>
      </w:r>
      <w:r w:rsidRPr="003D751C">
        <w:rPr>
          <w:rStyle w:val="af7"/>
          <w:rFonts w:eastAsia="Guttman Hodes"/>
          <w:rtl/>
        </w:rPr>
        <w:instrText xml:space="preserve"> </w:instrText>
      </w:r>
      <w:r w:rsidRPr="003D751C">
        <w:rPr>
          <w:rStyle w:val="af7"/>
          <w:rFonts w:eastAsia="Guttman Hodes"/>
          <w:rtl/>
        </w:rPr>
      </w:r>
      <w:r w:rsidRPr="003D751C">
        <w:rPr>
          <w:rStyle w:val="af7"/>
          <w:rFonts w:eastAsia="Guttman Hodes"/>
          <w:rtl/>
        </w:rPr>
        <w:fldChar w:fldCharType="separate"/>
      </w:r>
      <w:r w:rsidR="00345400">
        <w:rPr>
          <w:rStyle w:val="af7"/>
          <w:rFonts w:eastAsia="Guttman Hodes"/>
          <w:cs/>
        </w:rPr>
        <w:t>‎</w:t>
      </w:r>
      <w:r w:rsidR="00345400">
        <w:rPr>
          <w:rStyle w:val="af7"/>
          <w:rFonts w:eastAsia="Guttman Hodes"/>
          <w:rtl/>
        </w:rPr>
        <w:t>לז)</w:t>
      </w:r>
      <w:r w:rsidRPr="003D751C">
        <w:rPr>
          <w:rStyle w:val="af7"/>
          <w:rFonts w:eastAsia="Guttman Hodes"/>
          <w:rtl/>
        </w:rPr>
        <w:fldChar w:fldCharType="end"/>
      </w:r>
      <w:r>
        <w:rPr>
          <w:rFonts w:hint="cs"/>
          <w:rtl/>
        </w:rPr>
        <w:t xml:space="preserve"> מבוארת קושית </w:t>
      </w:r>
      <w:r>
        <w:rPr>
          <w:rStyle w:val="af9"/>
          <w:rtl/>
        </w:rPr>
        <w:t xml:space="preserve">הר"י ששפורטש בתשב"ץ </w:t>
      </w:r>
      <w:r>
        <w:rPr>
          <w:rStyle w:val="af7"/>
          <w:rFonts w:eastAsia="Guttman Hodes" w:hint="cs"/>
          <w:rtl/>
        </w:rPr>
        <w:t xml:space="preserve"> </w:t>
      </w:r>
      <w:r>
        <w:rPr>
          <w:rFonts w:hint="cs"/>
          <w:rtl/>
        </w:rPr>
        <w:t>דמקושית ריו"ח אין כל ראיה שיש חיוב כרת בבן ח', דאפש"ל דכ"מ שהביא ריו"ח ראיה ממתני' היינו שכל שחל איסור על הדם אינו בכלל היתר "כל בבהמה תאכלו", וא"כ בן ט' שדמו חשיב כדם הנפש יש בו חיוב כרת, אבל בבן ח' אפש"ל דאין דמו כדם הנפש, כיון שלא נקרא שור.</w:t>
      </w:r>
    </w:p>
    <w:p w14:paraId="61BEBEC2" w14:textId="77777777" w:rsidR="003D504D" w:rsidRDefault="003D504D" w:rsidP="00BF39B2">
      <w:pPr>
        <w:pStyle w:val="1"/>
        <w:rPr>
          <w:rtl/>
        </w:rPr>
      </w:pPr>
      <w:bookmarkStart w:id="26798" w:name="_Toc2597323"/>
      <w:bookmarkStart w:id="26799" w:name="_Toc2618577"/>
      <w:bookmarkStart w:id="26800" w:name="_Toc2628220"/>
      <w:bookmarkStart w:id="26801" w:name="_Toc2723919"/>
      <w:bookmarkStart w:id="26802" w:name="_Toc4305443"/>
      <w:bookmarkStart w:id="26803" w:name="_Toc4316310"/>
      <w:bookmarkStart w:id="26804" w:name="_Toc4330780"/>
      <w:bookmarkStart w:id="26805" w:name="_Toc19392309"/>
      <w:bookmarkStart w:id="26806" w:name="_Toc19395806"/>
      <w:r>
        <w:rPr>
          <w:rFonts w:hint="cs"/>
          <w:rtl/>
        </w:rPr>
        <w:t>ביאור האבי עזרי בפלוגתת ריו"ח ור"ל לדעת הרמב"ם</w:t>
      </w:r>
      <w:bookmarkEnd w:id="26798"/>
      <w:bookmarkEnd w:id="26799"/>
      <w:bookmarkEnd w:id="26800"/>
      <w:bookmarkEnd w:id="26801"/>
      <w:bookmarkEnd w:id="26802"/>
      <w:bookmarkEnd w:id="26803"/>
      <w:bookmarkEnd w:id="26804"/>
      <w:bookmarkEnd w:id="26805"/>
      <w:bookmarkEnd w:id="26806"/>
    </w:p>
    <w:p w14:paraId="6DA8F9A8" w14:textId="77777777" w:rsidR="003D504D" w:rsidRDefault="003D504D" w:rsidP="003D504D">
      <w:pPr>
        <w:pStyle w:val="a3"/>
        <w:rPr>
          <w:rtl/>
        </w:rPr>
      </w:pPr>
      <w:bookmarkStart w:id="26807" w:name="_Toc4330781"/>
      <w:bookmarkStart w:id="26808" w:name="_Toc19392310"/>
      <w:bookmarkStart w:id="26809" w:name="_Toc19395807"/>
      <w:r>
        <w:rPr>
          <w:rFonts w:hint="cs"/>
          <w:rtl/>
        </w:rPr>
        <w:t>דברי האבי עזרי דכיון דריו"ח ור"ל לא נחלקו להדיא בדעת ר"י מבואר דלכו"ע מחייב ריו"ח כרת</w:t>
      </w:r>
      <w:bookmarkEnd w:id="26807"/>
      <w:bookmarkEnd w:id="26808"/>
      <w:bookmarkEnd w:id="26809"/>
    </w:p>
    <w:p w14:paraId="067E926D" w14:textId="77777777" w:rsidR="003D504D" w:rsidRDefault="003D504D" w:rsidP="00223668">
      <w:pPr>
        <w:pStyle w:val="a0"/>
        <w:rPr>
          <w:rtl/>
        </w:rPr>
      </w:pPr>
      <w:r>
        <w:rPr>
          <w:rFonts w:hint="cs"/>
          <w:rtl/>
        </w:rPr>
        <w:t xml:space="preserve">הביא </w:t>
      </w:r>
      <w:r w:rsidRPr="0010462C">
        <w:rPr>
          <w:rStyle w:val="af9"/>
          <w:rFonts w:hint="cs"/>
          <w:rtl/>
        </w:rPr>
        <w:t>האבי עזרי</w:t>
      </w:r>
      <w:r>
        <w:rPr>
          <w:rFonts w:hint="cs"/>
          <w:rtl/>
        </w:rPr>
        <w:t xml:space="preserve"> </w:t>
      </w:r>
      <w:r w:rsidRPr="0010462C">
        <w:rPr>
          <w:rStyle w:val="af7"/>
          <w:rFonts w:eastAsia="Guttman Hodes" w:hint="cs"/>
          <w:rtl/>
        </w:rPr>
        <w:t>(מאכ"א פ"ז ה"ג ד"ה והנה בפ')</w:t>
      </w:r>
      <w:r>
        <w:rPr>
          <w:rFonts w:hint="cs"/>
          <w:rtl/>
        </w:rPr>
        <w:t xml:space="preserve"> את קושית </w:t>
      </w:r>
      <w:r w:rsidRPr="0010462C">
        <w:rPr>
          <w:rStyle w:val="af9"/>
          <w:rFonts w:hint="cs"/>
          <w:rtl/>
        </w:rPr>
        <w:t>הר"ן</w:t>
      </w:r>
      <w:r>
        <w:rPr>
          <w:rFonts w:hint="cs"/>
          <w:rtl/>
        </w:rPr>
        <w:t xml:space="preserve"> </w:t>
      </w:r>
      <w:r w:rsidRPr="0042174C">
        <w:rPr>
          <w:rStyle w:val="af7"/>
          <w:rFonts w:eastAsia="Guttman Hodes" w:hint="cs"/>
          <w:rtl/>
        </w:rPr>
        <w:t xml:space="preserve">(עי' אות </w:t>
      </w:r>
      <w:r w:rsidRPr="0042174C">
        <w:rPr>
          <w:rStyle w:val="af7"/>
          <w:rFonts w:eastAsia="Guttman Hodes"/>
          <w:rtl/>
        </w:rPr>
        <w:fldChar w:fldCharType="begin"/>
      </w:r>
      <w:r w:rsidRPr="0042174C">
        <w:rPr>
          <w:rStyle w:val="af7"/>
          <w:rFonts w:eastAsia="Guttman Hodes"/>
          <w:rtl/>
        </w:rPr>
        <w:instrText xml:space="preserve"> </w:instrText>
      </w:r>
      <w:r w:rsidRPr="0042174C">
        <w:rPr>
          <w:rStyle w:val="af7"/>
          <w:rFonts w:eastAsia="Guttman Hodes" w:hint="cs"/>
        </w:rPr>
        <w:instrText>REF</w:instrText>
      </w:r>
      <w:r w:rsidRPr="0042174C">
        <w:rPr>
          <w:rStyle w:val="af7"/>
          <w:rFonts w:eastAsia="Guttman Hodes" w:hint="cs"/>
          <w:rtl/>
        </w:rPr>
        <w:instrText xml:space="preserve"> _</w:instrText>
      </w:r>
      <w:r w:rsidRPr="0042174C">
        <w:rPr>
          <w:rStyle w:val="af7"/>
          <w:rFonts w:eastAsia="Guttman Hodes" w:hint="cs"/>
        </w:rPr>
        <w:instrText>Ref4318826 \r \h</w:instrText>
      </w:r>
      <w:r w:rsidRPr="0042174C">
        <w:rPr>
          <w:rStyle w:val="af7"/>
          <w:rFonts w:eastAsia="Guttman Hodes"/>
          <w:rtl/>
        </w:rPr>
        <w:instrText xml:space="preserve"> </w:instrText>
      </w:r>
      <w:r w:rsidRPr="0042174C">
        <w:rPr>
          <w:rStyle w:val="af7"/>
          <w:rFonts w:eastAsia="Guttman Hodes"/>
          <w:rtl/>
        </w:rPr>
      </w:r>
      <w:r w:rsidRPr="0042174C">
        <w:rPr>
          <w:rStyle w:val="af7"/>
          <w:rFonts w:eastAsia="Guttman Hodes"/>
          <w:rtl/>
        </w:rPr>
        <w:fldChar w:fldCharType="separate"/>
      </w:r>
      <w:r w:rsidR="00345400">
        <w:rPr>
          <w:rStyle w:val="af7"/>
          <w:rFonts w:eastAsia="Guttman Hodes"/>
          <w:cs/>
        </w:rPr>
        <w:t>‎</w:t>
      </w:r>
      <w:r w:rsidR="00345400">
        <w:rPr>
          <w:rStyle w:val="af7"/>
          <w:rFonts w:eastAsia="Guttman Hodes"/>
          <w:rtl/>
        </w:rPr>
        <w:t>ח)</w:t>
      </w:r>
      <w:r w:rsidRPr="0042174C">
        <w:rPr>
          <w:rStyle w:val="af7"/>
          <w:rFonts w:eastAsia="Guttman Hodes"/>
          <w:rtl/>
        </w:rPr>
        <w:fldChar w:fldCharType="end"/>
      </w:r>
      <w:r>
        <w:rPr>
          <w:rFonts w:hint="cs"/>
          <w:rtl/>
        </w:rPr>
        <w:t xml:space="preserve"> על </w:t>
      </w:r>
      <w:r w:rsidRPr="009B29DC">
        <w:rPr>
          <w:rStyle w:val="af9"/>
          <w:rFonts w:hint="cs"/>
          <w:rtl/>
        </w:rPr>
        <w:t>הרמב"ם</w:t>
      </w:r>
      <w:r w:rsidRPr="009B29DC">
        <w:rPr>
          <w:rStyle w:val="af7"/>
          <w:rFonts w:eastAsia="Guttman Hodes" w:hint="cs"/>
          <w:rtl/>
        </w:rPr>
        <w:t xml:space="preserve"> (עי'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Ref4305445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Pr>
          <w:rStyle w:val="af7"/>
          <w:rFonts w:eastAsia="Guttman Hodes"/>
          <w:rtl/>
        </w:rPr>
        <w:fldChar w:fldCharType="end"/>
      </w:r>
      <w:r w:rsidRPr="009B29DC">
        <w:rPr>
          <w:rStyle w:val="af7"/>
          <w:rFonts w:eastAsia="Guttman Hodes" w:hint="cs"/>
          <w:rtl/>
        </w:rPr>
        <w:t xml:space="preserve"> </w:t>
      </w:r>
      <w:r>
        <w:rPr>
          <w:rFonts w:hint="cs"/>
          <w:rtl/>
        </w:rPr>
        <w:t xml:space="preserve">דהיאך פסק שיש חיוב כרת בדם השליל, הא קיי"ל דאין חיוב כרת בדם האברים, ובסוגיין משמע כדברי </w:t>
      </w:r>
      <w:r w:rsidRPr="0010462C">
        <w:rPr>
          <w:rStyle w:val="af9"/>
          <w:rFonts w:hint="cs"/>
          <w:rtl/>
        </w:rPr>
        <w:t>הרמב"ן</w:t>
      </w:r>
      <w:r>
        <w:rPr>
          <w:rFonts w:hint="cs"/>
          <w:rtl/>
        </w:rPr>
        <w:t xml:space="preserve"> </w:t>
      </w:r>
      <w:r w:rsidRPr="0042174C">
        <w:rPr>
          <w:rStyle w:val="af7"/>
          <w:rFonts w:eastAsia="Guttman Hodes" w:hint="cs"/>
          <w:rtl/>
        </w:rPr>
        <w:t xml:space="preserve">(עי' אות </w:t>
      </w:r>
      <w:r w:rsidRPr="0042174C">
        <w:rPr>
          <w:rStyle w:val="af7"/>
          <w:rFonts w:eastAsia="Guttman Hodes"/>
          <w:rtl/>
        </w:rPr>
        <w:fldChar w:fldCharType="begin"/>
      </w:r>
      <w:r w:rsidRPr="0042174C">
        <w:rPr>
          <w:rStyle w:val="af7"/>
          <w:rFonts w:eastAsia="Guttman Hodes"/>
          <w:rtl/>
        </w:rPr>
        <w:instrText xml:space="preserve"> </w:instrText>
      </w:r>
      <w:r w:rsidRPr="0042174C">
        <w:rPr>
          <w:rStyle w:val="af7"/>
          <w:rFonts w:eastAsia="Guttman Hodes" w:hint="cs"/>
        </w:rPr>
        <w:instrText>REF</w:instrText>
      </w:r>
      <w:r w:rsidRPr="0042174C">
        <w:rPr>
          <w:rStyle w:val="af7"/>
          <w:rFonts w:eastAsia="Guttman Hodes" w:hint="cs"/>
          <w:rtl/>
        </w:rPr>
        <w:instrText xml:space="preserve"> _</w:instrText>
      </w:r>
      <w:r w:rsidRPr="0042174C">
        <w:rPr>
          <w:rStyle w:val="af7"/>
          <w:rFonts w:eastAsia="Guttman Hodes" w:hint="cs"/>
        </w:rPr>
        <w:instrText>Ref4271076 \r \h</w:instrText>
      </w:r>
      <w:r w:rsidRPr="0042174C">
        <w:rPr>
          <w:rStyle w:val="af7"/>
          <w:rFonts w:eastAsia="Guttman Hodes"/>
          <w:rtl/>
        </w:rPr>
        <w:instrText xml:space="preserve"> </w:instrText>
      </w:r>
      <w:r w:rsidRPr="0042174C">
        <w:rPr>
          <w:rStyle w:val="af7"/>
          <w:rFonts w:eastAsia="Guttman Hodes"/>
          <w:rtl/>
        </w:rPr>
      </w:r>
      <w:r w:rsidRPr="0042174C">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42174C">
        <w:rPr>
          <w:rStyle w:val="af7"/>
          <w:rFonts w:eastAsia="Guttman Hodes"/>
          <w:rtl/>
        </w:rPr>
        <w:fldChar w:fldCharType="end"/>
      </w:r>
      <w:r>
        <w:rPr>
          <w:rFonts w:hint="cs"/>
          <w:rtl/>
        </w:rPr>
        <w:t xml:space="preserve"> דכ"מ דמחייב ריו"ח כרת הוא אליבא דר"י דס"ל דבדם האברים יש חיוב כרת, וביאר </w:t>
      </w:r>
      <w:r w:rsidRPr="0010462C">
        <w:rPr>
          <w:rStyle w:val="af9"/>
          <w:rFonts w:hint="cs"/>
          <w:rtl/>
        </w:rPr>
        <w:t>האבי עזרי</w:t>
      </w:r>
      <w:r>
        <w:rPr>
          <w:rFonts w:hint="cs"/>
          <w:rtl/>
        </w:rPr>
        <w:t xml:space="preserve"> דס"ל </w:t>
      </w:r>
      <w:r w:rsidRPr="0010462C">
        <w:rPr>
          <w:rStyle w:val="af9"/>
          <w:rFonts w:hint="cs"/>
          <w:rtl/>
        </w:rPr>
        <w:t>להרמב"ם</w:t>
      </w:r>
      <w:r>
        <w:rPr>
          <w:rFonts w:hint="cs"/>
          <w:rtl/>
        </w:rPr>
        <w:t xml:space="preserve"> דכיון דריו"ח ור"ל לא אמרו דדבריהם הם רק אליבא דר"י דמחייב כרת בדם האברים, א"כ מבואר דנחלקו ריו"ח ור"ל אליבא דכו"ע, וריו"ח אמר בפירוש דלדברי המתיר בחלבו אוסר בדמו, והיינו שיש בדם השליל חיוב כרת, וכוונת ריו"ח לומר דלדעת ר"י שיש חיוב כרת אף בדם האברים, א"כ גם על דם האברים של השליל חייב כרת, ולרבנן דרק בדם הנפש יש כרת ודם האברים הוא בלאו, כוונת ריו"ח לומר דלרבנן חייב כרת על דם הנפש של השליל.</w:t>
      </w:r>
    </w:p>
    <w:p w14:paraId="40C424C2" w14:textId="77777777" w:rsidR="003D504D" w:rsidRPr="005C317B" w:rsidRDefault="003D504D" w:rsidP="003D504D">
      <w:pPr>
        <w:pStyle w:val="a3"/>
        <w:rPr>
          <w:rtl/>
        </w:rPr>
      </w:pPr>
    </w:p>
    <w:p w14:paraId="3FC2F30E" w14:textId="77777777" w:rsidR="003D504D" w:rsidRPr="005C317B" w:rsidRDefault="003D504D" w:rsidP="003D504D">
      <w:pPr>
        <w:pStyle w:val="a3"/>
        <w:rPr>
          <w:rtl/>
        </w:rPr>
      </w:pPr>
    </w:p>
    <w:p w14:paraId="34F32BFD" w14:textId="77777777" w:rsidR="003D504D" w:rsidRDefault="003D504D" w:rsidP="003D504D">
      <w:pPr>
        <w:pStyle w:val="a3"/>
      </w:pPr>
      <w:bookmarkStart w:id="26810" w:name="_Toc4330782"/>
      <w:bookmarkStart w:id="26811" w:name="_Toc19392311"/>
      <w:bookmarkStart w:id="26812" w:name="_Toc19395808"/>
      <w:r>
        <w:rPr>
          <w:rFonts w:hint="cs"/>
          <w:rtl/>
        </w:rPr>
        <w:t>ביאור האבי עזרי ברמב"ם דלר"ל לכו"ע אין כרת בשליל ולר"י החידוש בכל דמו ולרבנן בדם הנפש</w:t>
      </w:r>
      <w:bookmarkEnd w:id="26810"/>
      <w:bookmarkEnd w:id="26811"/>
      <w:bookmarkEnd w:id="26812"/>
    </w:p>
    <w:p w14:paraId="6FEB62D2" w14:textId="77777777" w:rsidR="003D504D" w:rsidRDefault="003D504D" w:rsidP="00223668">
      <w:pPr>
        <w:pStyle w:val="a0"/>
        <w:rPr>
          <w:rtl/>
        </w:rPr>
      </w:pPr>
      <w:r>
        <w:rPr>
          <w:rFonts w:hint="cs"/>
          <w:rtl/>
        </w:rPr>
        <w:t xml:space="preserve">ובדעת ר"ל כתב </w:t>
      </w:r>
      <w:r w:rsidRPr="0010462C">
        <w:rPr>
          <w:rStyle w:val="af9"/>
          <w:rFonts w:hint="cs"/>
          <w:rtl/>
        </w:rPr>
        <w:t>האבי עזרי</w:t>
      </w:r>
      <w:r>
        <w:rPr>
          <w:rFonts w:hint="cs"/>
          <w:rtl/>
        </w:rPr>
        <w:t xml:space="preserve"> דביאר </w:t>
      </w:r>
      <w:r w:rsidRPr="0010462C">
        <w:rPr>
          <w:rStyle w:val="af9"/>
          <w:rFonts w:hint="cs"/>
          <w:rtl/>
        </w:rPr>
        <w:t>הרמב"ם</w:t>
      </w:r>
      <w:r>
        <w:rPr>
          <w:rFonts w:hint="cs"/>
          <w:rtl/>
        </w:rPr>
        <w:t xml:space="preserve"> דכוונת ר"ל לומר דלכו"ע אין חיוב כרת בדם השליל, ולדעת ר"י חידש ר"ל דבכל דמו אין חיוב כרת, אף דס"ל לר"י דבדם האברים חייב כרת, ולדעת רבנן חידש ר"ל דעל דם הנפש שלו אין חיוב כרת, ואף דר"ל אמר דלדברי המתיר בחלבו מתיר בדמו, והמתיר בחלבו הוא ר"י, מ"מ אין כל הכרח לומר דפלוגתת ר"מ ור"י בחלב דהשליל, תלויה בפלוגתת ר"י ורבנן בדם האברים, דהרי לדידן קיי"ל כר"י בחלב דהשליל, ולא קיי"ל כר"י בדם האברים.</w:t>
      </w:r>
    </w:p>
    <w:p w14:paraId="343B114B" w14:textId="77777777" w:rsidR="003D504D" w:rsidRPr="000B45A0" w:rsidRDefault="003D504D" w:rsidP="003D504D">
      <w:pPr>
        <w:pStyle w:val="a3"/>
        <w:rPr>
          <w:rtl/>
        </w:rPr>
      </w:pPr>
      <w:bookmarkStart w:id="26813" w:name="_Toc4330783"/>
      <w:bookmarkStart w:id="26814" w:name="_Toc19392312"/>
      <w:bookmarkStart w:id="26815" w:name="_Toc19395809"/>
      <w:r>
        <w:rPr>
          <w:rFonts w:hint="cs"/>
          <w:rtl/>
        </w:rPr>
        <w:t>דברי האבי עזרי דלהרמב"ם כוונת ריו"ח לבן ח' ונקט לישנא דמתיר כיון דר"ל מתיר בחלב אף בבן ח'</w:t>
      </w:r>
      <w:bookmarkEnd w:id="26813"/>
      <w:bookmarkEnd w:id="26814"/>
      <w:bookmarkEnd w:id="26815"/>
    </w:p>
    <w:p w14:paraId="59133F97" w14:textId="77777777" w:rsidR="003D504D" w:rsidRPr="009E7BCB" w:rsidRDefault="003D504D" w:rsidP="00223668">
      <w:pPr>
        <w:pStyle w:val="a0"/>
      </w:pPr>
      <w:r>
        <w:rPr>
          <w:rFonts w:hint="cs"/>
          <w:rtl/>
        </w:rPr>
        <w:t xml:space="preserve">והוסיף </w:t>
      </w:r>
      <w:r w:rsidRPr="0010462C">
        <w:rPr>
          <w:rStyle w:val="af9"/>
          <w:rFonts w:hint="cs"/>
          <w:rtl/>
        </w:rPr>
        <w:t>האבי עזרי</w:t>
      </w:r>
      <w:r>
        <w:rPr>
          <w:rFonts w:hint="cs"/>
          <w:rtl/>
        </w:rPr>
        <w:t xml:space="preserve"> דהרי </w:t>
      </w:r>
      <w:r w:rsidRPr="003D751C">
        <w:rPr>
          <w:rStyle w:val="af9"/>
          <w:rFonts w:hint="cs"/>
          <w:rtl/>
        </w:rPr>
        <w:t>הרמב"ם</w:t>
      </w:r>
      <w:r>
        <w:rPr>
          <w:rFonts w:hint="cs"/>
          <w:rtl/>
        </w:rPr>
        <w:t xml:space="preserve"> </w:t>
      </w:r>
      <w:r w:rsidRPr="004508C9">
        <w:rPr>
          <w:rStyle w:val="af7"/>
          <w:rFonts w:eastAsia="Guttman Hodes" w:hint="cs"/>
          <w:rtl/>
        </w:rPr>
        <w:t xml:space="preserve">(עי' אות </w:t>
      </w:r>
      <w:r w:rsidRPr="004508C9">
        <w:rPr>
          <w:rStyle w:val="af7"/>
          <w:rFonts w:eastAsia="Guttman Hodes"/>
          <w:rtl/>
        </w:rPr>
        <w:fldChar w:fldCharType="begin"/>
      </w:r>
      <w:r w:rsidRPr="004508C9">
        <w:rPr>
          <w:rStyle w:val="af7"/>
          <w:rFonts w:eastAsia="Guttman Hodes"/>
          <w:rtl/>
        </w:rPr>
        <w:instrText xml:space="preserve"> </w:instrText>
      </w:r>
      <w:r w:rsidRPr="004508C9">
        <w:rPr>
          <w:rStyle w:val="af7"/>
          <w:rFonts w:eastAsia="Guttman Hodes" w:hint="cs"/>
        </w:rPr>
        <w:instrText>REF</w:instrText>
      </w:r>
      <w:r w:rsidRPr="004508C9">
        <w:rPr>
          <w:rStyle w:val="af7"/>
          <w:rFonts w:eastAsia="Guttman Hodes" w:hint="cs"/>
          <w:rtl/>
        </w:rPr>
        <w:instrText xml:space="preserve"> _</w:instrText>
      </w:r>
      <w:r w:rsidRPr="004508C9">
        <w:rPr>
          <w:rStyle w:val="af7"/>
          <w:rFonts w:eastAsia="Guttman Hodes" w:hint="cs"/>
        </w:rPr>
        <w:instrText>Ref3145560 \r \h</w:instrText>
      </w:r>
      <w:r w:rsidRPr="004508C9">
        <w:rPr>
          <w:rStyle w:val="af7"/>
          <w:rFonts w:eastAsia="Guttman Hodes"/>
          <w:rtl/>
        </w:rPr>
        <w:instrText xml:space="preserve"> </w:instrText>
      </w:r>
      <w:r w:rsidRPr="004508C9">
        <w:rPr>
          <w:rStyle w:val="af7"/>
          <w:rFonts w:eastAsia="Guttman Hodes"/>
          <w:rtl/>
        </w:rPr>
      </w:r>
      <w:r w:rsidRPr="004508C9">
        <w:rPr>
          <w:rStyle w:val="af7"/>
          <w:rFonts w:eastAsia="Guttman Hodes"/>
          <w:rtl/>
        </w:rPr>
        <w:fldChar w:fldCharType="separate"/>
      </w:r>
      <w:r w:rsidR="00345400">
        <w:rPr>
          <w:rStyle w:val="af7"/>
          <w:rFonts w:eastAsia="Guttman Hodes"/>
          <w:cs/>
        </w:rPr>
        <w:t>‎</w:t>
      </w:r>
      <w:r w:rsidR="00345400">
        <w:rPr>
          <w:rStyle w:val="af7"/>
          <w:rFonts w:eastAsia="Guttman Hodes"/>
          <w:rtl/>
        </w:rPr>
        <w:t>ד)</w:t>
      </w:r>
      <w:r w:rsidRPr="004508C9">
        <w:rPr>
          <w:rStyle w:val="af7"/>
          <w:rFonts w:eastAsia="Guttman Hodes"/>
          <w:rtl/>
        </w:rPr>
        <w:fldChar w:fldCharType="end"/>
      </w:r>
      <w:r>
        <w:rPr>
          <w:rFonts w:hint="cs"/>
          <w:rtl/>
        </w:rPr>
        <w:t xml:space="preserve"> פסק דבן ט' חי חלבו אסור, וא"כ מוכח דלדעת </w:t>
      </w:r>
      <w:r w:rsidRPr="0010462C">
        <w:rPr>
          <w:rStyle w:val="af9"/>
          <w:rFonts w:hint="cs"/>
          <w:rtl/>
        </w:rPr>
        <w:t>הרמב"ם</w:t>
      </w:r>
      <w:r>
        <w:rPr>
          <w:rFonts w:hint="cs"/>
          <w:rtl/>
        </w:rPr>
        <w:t xml:space="preserve"> כ"מ דאמר ריו"ח דלדברי המתיר בחלבו אוסר בדמו, איירי רק בבן ח', ואף דבבן ח' חלבו מותר לכו"ע מ"מ נקט ריו"ח לישנא דלדברי המתיר ולדברי האוסר, כיון דלדעת ר"</w:t>
      </w:r>
      <w:r w:rsidRPr="0042174C">
        <w:rPr>
          <w:rFonts w:hint="cs"/>
          <w:rtl/>
        </w:rPr>
        <w:t xml:space="preserve">ל איירי אף בבן ט' דחלבו מותר, </w:t>
      </w:r>
      <w:r w:rsidRPr="00D43B17">
        <w:rPr>
          <w:rStyle w:val="afb"/>
          <w:rFonts w:hint="cs"/>
          <w:rtl/>
        </w:rPr>
        <w:t xml:space="preserve">[כדביאר </w:t>
      </w:r>
      <w:r w:rsidRPr="00D43B17">
        <w:rPr>
          <w:rStyle w:val="affa"/>
          <w:rFonts w:hint="cs"/>
          <w:rtl/>
        </w:rPr>
        <w:t>האבי עזרי</w:t>
      </w:r>
      <w:r w:rsidRPr="00D43B17">
        <w:rPr>
          <w:rStyle w:val="afb"/>
          <w:rFonts w:hint="cs"/>
          <w:rtl/>
        </w:rPr>
        <w:t xml:space="preserve"> </w:t>
      </w:r>
      <w:r w:rsidRPr="00D43B17">
        <w:rPr>
          <w:rStyle w:val="aff6"/>
          <w:rFonts w:hint="cs"/>
          <w:rtl/>
        </w:rPr>
        <w:t xml:space="preserve">(מאכ"א פ"ז ה"ג ד"ה </w:t>
      </w:r>
      <w:r>
        <w:rPr>
          <w:rStyle w:val="aff6"/>
          <w:rFonts w:hint="cs"/>
          <w:rtl/>
        </w:rPr>
        <w:t>ואשר יראה</w:t>
      </w:r>
      <w:r w:rsidRPr="00D43B17">
        <w:rPr>
          <w:rStyle w:val="aff6"/>
          <w:rFonts w:hint="cs"/>
          <w:rtl/>
        </w:rPr>
        <w:t xml:space="preserve">) </w:t>
      </w:r>
      <w:r w:rsidRPr="00D43B17">
        <w:rPr>
          <w:rStyle w:val="afb"/>
          <w:rFonts w:hint="cs"/>
          <w:rtl/>
        </w:rPr>
        <w:t xml:space="preserve">בדעת ר"ל בדין חלב דס"ל דכיון דחדשים ואוירא גרמי כל שלא נולד לא חשיב בהמה בפנ"ע ולכן חלבו מותר], </w:t>
      </w:r>
      <w:r w:rsidRPr="0042174C">
        <w:rPr>
          <w:rFonts w:hint="cs"/>
          <w:rtl/>
        </w:rPr>
        <w:t>ולכן אמר ר"ל לדברי המתיר בחלבו, דהיינו</w:t>
      </w:r>
      <w:r>
        <w:rPr>
          <w:rFonts w:hint="cs"/>
          <w:rtl/>
        </w:rPr>
        <w:t xml:space="preserve"> בבן ט' חי לדעת ר"י, אך מ"מ כתב </w:t>
      </w:r>
      <w:r w:rsidRPr="0010462C">
        <w:rPr>
          <w:rStyle w:val="af9"/>
          <w:rFonts w:hint="cs"/>
          <w:rtl/>
        </w:rPr>
        <w:t>האבי עזרי</w:t>
      </w:r>
      <w:r>
        <w:rPr>
          <w:rFonts w:hint="cs"/>
          <w:rtl/>
        </w:rPr>
        <w:t xml:space="preserve"> דעיקר פלוגתת ריו"ח ור"ל היא </w:t>
      </w:r>
      <w:r w:rsidRPr="009E7BCB">
        <w:rPr>
          <w:rFonts w:hint="cs"/>
          <w:rtl/>
        </w:rPr>
        <w:t>אליבא דכו"ע</w:t>
      </w:r>
      <w:r>
        <w:rPr>
          <w:rFonts w:hint="cs"/>
          <w:rtl/>
        </w:rPr>
        <w:t>.</w:t>
      </w:r>
    </w:p>
    <w:p w14:paraId="527B596C" w14:textId="77777777" w:rsidR="003D504D" w:rsidRPr="00A6044D" w:rsidRDefault="003D504D" w:rsidP="003D504D">
      <w:pPr>
        <w:pStyle w:val="a3"/>
      </w:pPr>
      <w:bookmarkStart w:id="26816" w:name="_Toc4330784"/>
      <w:bookmarkStart w:id="26817" w:name="_Toc19392313"/>
      <w:bookmarkStart w:id="26818" w:name="_Toc19395810"/>
      <w:r>
        <w:rPr>
          <w:rFonts w:hint="cs"/>
          <w:rtl/>
        </w:rPr>
        <w:t>דברי האבי עזרי דקושית הגמ' מדברי ר"י היא דנחלקו אף לר"י אך פלוגתתם היא לכו"ע</w:t>
      </w:r>
      <w:bookmarkEnd w:id="26816"/>
      <w:bookmarkEnd w:id="26817"/>
      <w:bookmarkEnd w:id="26818"/>
    </w:p>
    <w:p w14:paraId="61226EB5" w14:textId="77777777" w:rsidR="003D504D" w:rsidRDefault="003D504D" w:rsidP="00223668">
      <w:pPr>
        <w:pStyle w:val="a0"/>
        <w:rPr>
          <w:rtl/>
        </w:rPr>
      </w:pPr>
      <w:r>
        <w:rPr>
          <w:rFonts w:hint="cs"/>
          <w:rtl/>
        </w:rPr>
        <w:t xml:space="preserve">ובהא דמקשה הגמ' דכל דברי ריו"ח ור"ל הם לדעת ר"י דהוא המתיר בחלבו, ור"י ס"ל דדם האברים בכרת, ביאר </w:t>
      </w:r>
      <w:r w:rsidRPr="0061312E">
        <w:rPr>
          <w:rStyle w:val="af9"/>
          <w:rFonts w:hint="cs"/>
          <w:rtl/>
        </w:rPr>
        <w:t>האבי עזרי</w:t>
      </w:r>
      <w:r>
        <w:rPr>
          <w:rFonts w:hint="cs"/>
          <w:rtl/>
        </w:rPr>
        <w:t xml:space="preserve"> דכוונת הגמ' להקשות דכיון שאמרו את דבריהם אף אליבא דר"י, א"כ קשה אמאי לר"י אין חיוב כרת, אך כתב </w:t>
      </w:r>
      <w:r w:rsidRPr="0061312E">
        <w:rPr>
          <w:rStyle w:val="af9"/>
          <w:rFonts w:hint="cs"/>
          <w:rtl/>
        </w:rPr>
        <w:t>האבי עזרי</w:t>
      </w:r>
      <w:r>
        <w:rPr>
          <w:rFonts w:hint="cs"/>
          <w:rtl/>
        </w:rPr>
        <w:t xml:space="preserve"> דריו"ח ור"ל נחלקו אליבא דכו"ע, וא"כ </w:t>
      </w:r>
      <w:r w:rsidRPr="00903546">
        <w:rPr>
          <w:rFonts w:hint="cs"/>
          <w:rtl/>
        </w:rPr>
        <w:t>כיון דקיי"ל כרבנן שאין חיוב כרת בדם האברים ודלא כר"י, ואף אליבא דרבנן אמר ריו"ח שיש כרת בדם הנפש של השליל</w:t>
      </w:r>
      <w:r>
        <w:rPr>
          <w:rFonts w:hint="cs"/>
          <w:rtl/>
        </w:rPr>
        <w:t xml:space="preserve"> אף בבן ח'.</w:t>
      </w:r>
    </w:p>
    <w:p w14:paraId="00FDF3DE" w14:textId="77777777" w:rsidR="003D504D" w:rsidRPr="00A203F9" w:rsidRDefault="003D504D" w:rsidP="003D504D">
      <w:pPr>
        <w:pStyle w:val="a3"/>
        <w:rPr>
          <w:rtl/>
        </w:rPr>
      </w:pPr>
      <w:bookmarkStart w:id="26819" w:name="_Toc4330785"/>
      <w:bookmarkStart w:id="26820" w:name="_Toc19392314"/>
      <w:bookmarkStart w:id="26821" w:name="_Toc19395811"/>
      <w:r>
        <w:rPr>
          <w:rFonts w:hint="cs"/>
          <w:rtl/>
        </w:rPr>
        <w:t>דברי האבי עזר ברמב"ם דלר"ל אין בשליל דם הנפש כלל ולכן אין כרת לרבנן ולר"י</w:t>
      </w:r>
      <w:bookmarkEnd w:id="26819"/>
      <w:bookmarkEnd w:id="26820"/>
      <w:bookmarkEnd w:id="26821"/>
    </w:p>
    <w:p w14:paraId="29814485" w14:textId="77777777" w:rsidR="003D504D" w:rsidRDefault="003D504D" w:rsidP="00223668">
      <w:pPr>
        <w:pStyle w:val="a0"/>
        <w:rPr>
          <w:rtl/>
        </w:rPr>
      </w:pPr>
      <w:r w:rsidRPr="00903546">
        <w:rPr>
          <w:rFonts w:hint="cs"/>
          <w:rtl/>
        </w:rPr>
        <w:t>ו</w:t>
      </w:r>
      <w:r>
        <w:rPr>
          <w:rFonts w:hint="cs"/>
          <w:rtl/>
        </w:rPr>
        <w:t xml:space="preserve">בדעת </w:t>
      </w:r>
      <w:r w:rsidRPr="00903546">
        <w:rPr>
          <w:rFonts w:hint="cs"/>
          <w:rtl/>
        </w:rPr>
        <w:t>ר"ל</w:t>
      </w:r>
      <w:r>
        <w:rPr>
          <w:rFonts w:hint="cs"/>
          <w:rtl/>
        </w:rPr>
        <w:t xml:space="preserve"> דאמר שאין בו חיוב כרת, ביאר </w:t>
      </w:r>
      <w:r w:rsidRPr="0061312E">
        <w:rPr>
          <w:rStyle w:val="af9"/>
          <w:rFonts w:hint="cs"/>
          <w:rtl/>
        </w:rPr>
        <w:t>האבי עזרי</w:t>
      </w:r>
      <w:r>
        <w:rPr>
          <w:rFonts w:hint="cs"/>
          <w:rtl/>
        </w:rPr>
        <w:t xml:space="preserve"> דס"ל לר"ל דאין בשליל דם הנפש כלל, ולכן לרבנן לא שייך בו חיוב כרת, ואף לר"י שיש חיוב כרת אף בדם האברים, ביאר ר"ל דס"ל לר"י דחיוב כרת בדם האברים, הוא רק במקום שיש דם הנפש, וכיון שאין בשליל דם הנפש, אין בו כרת בדם האיברים.</w:t>
      </w:r>
    </w:p>
    <w:p w14:paraId="5F2E76FC" w14:textId="77777777" w:rsidR="003D504D" w:rsidRDefault="003D504D" w:rsidP="003D504D">
      <w:pPr>
        <w:pStyle w:val="a3"/>
        <w:rPr>
          <w:rtl/>
        </w:rPr>
      </w:pPr>
      <w:bookmarkStart w:id="26822" w:name="_Toc4330786"/>
      <w:bookmarkStart w:id="26823" w:name="_Toc19392315"/>
      <w:bookmarkStart w:id="26824" w:name="_Toc19395812"/>
      <w:r>
        <w:rPr>
          <w:rFonts w:hint="cs"/>
          <w:rtl/>
        </w:rPr>
        <w:t>דברי האבי עזרי דכיון דנחלקו ריו"ח ור"ל אליבא דכו"ע פסק הרמב"ם כריו"ח דמחייב כרת</w:t>
      </w:r>
      <w:bookmarkEnd w:id="26822"/>
      <w:bookmarkEnd w:id="26823"/>
      <w:bookmarkEnd w:id="26824"/>
    </w:p>
    <w:p w14:paraId="149790A2" w14:textId="77777777" w:rsidR="003D504D" w:rsidRDefault="003D504D" w:rsidP="00223668">
      <w:pPr>
        <w:pStyle w:val="a0"/>
        <w:rPr>
          <w:rtl/>
        </w:rPr>
      </w:pPr>
      <w:r>
        <w:rPr>
          <w:rFonts w:hint="cs"/>
          <w:rtl/>
        </w:rPr>
        <w:t>וכתב ה</w:t>
      </w:r>
      <w:r w:rsidRPr="0061312E">
        <w:rPr>
          <w:rStyle w:val="af9"/>
          <w:rFonts w:hint="cs"/>
          <w:rtl/>
        </w:rPr>
        <w:t>אבי עזרי</w:t>
      </w:r>
      <w:r>
        <w:rPr>
          <w:rFonts w:hint="cs"/>
          <w:rtl/>
        </w:rPr>
        <w:t xml:space="preserve"> דלפי"ז מבוארים דברי </w:t>
      </w:r>
      <w:r w:rsidRPr="0061312E">
        <w:rPr>
          <w:rStyle w:val="af9"/>
          <w:rFonts w:hint="cs"/>
          <w:rtl/>
        </w:rPr>
        <w:t>הרמב"ם,</w:t>
      </w:r>
      <w:r>
        <w:rPr>
          <w:rFonts w:hint="cs"/>
          <w:rtl/>
        </w:rPr>
        <w:t xml:space="preserve"> דכיון דריו"ח ור"ל נחלקו לכו"ע, פסק </w:t>
      </w:r>
      <w:r w:rsidRPr="0061312E">
        <w:rPr>
          <w:rStyle w:val="af9"/>
          <w:rFonts w:hint="cs"/>
          <w:rtl/>
        </w:rPr>
        <w:t>הרמב"ם</w:t>
      </w:r>
      <w:r>
        <w:rPr>
          <w:rFonts w:hint="cs"/>
          <w:rtl/>
        </w:rPr>
        <w:t xml:space="preserve"> כריו"ח שיש חיוב כרת על דם הנפש של השליל, שהוא הדם הכנוס בלבו.</w:t>
      </w:r>
    </w:p>
    <w:p w14:paraId="15944203" w14:textId="77777777" w:rsidR="003D504D" w:rsidRDefault="003D504D" w:rsidP="00BF39B2">
      <w:pPr>
        <w:pStyle w:val="1"/>
        <w:rPr>
          <w:rtl/>
        </w:rPr>
      </w:pPr>
      <w:bookmarkStart w:id="26825" w:name="_Toc4330787"/>
      <w:bookmarkStart w:id="26826" w:name="_Toc19392316"/>
      <w:bookmarkStart w:id="26827" w:name="_Toc19395813"/>
      <w:r>
        <w:rPr>
          <w:rFonts w:hint="cs"/>
          <w:rtl/>
        </w:rPr>
        <w:t>מסקנת האבי עזרי דלרמב"ם הדם אסור מדין האם שיש לה נפש</w:t>
      </w:r>
      <w:bookmarkEnd w:id="26825"/>
      <w:bookmarkEnd w:id="26826"/>
      <w:bookmarkEnd w:id="26827"/>
    </w:p>
    <w:p w14:paraId="73B5388A" w14:textId="77777777" w:rsidR="003D504D" w:rsidRDefault="003D504D" w:rsidP="003D504D">
      <w:pPr>
        <w:pStyle w:val="a3"/>
        <w:rPr>
          <w:rtl/>
        </w:rPr>
      </w:pPr>
      <w:bookmarkStart w:id="26828" w:name="_Toc4330788"/>
      <w:bookmarkStart w:id="26829" w:name="_Toc19392317"/>
      <w:bookmarkStart w:id="26830" w:name="_Toc19395814"/>
      <w:r>
        <w:rPr>
          <w:rFonts w:hint="cs"/>
          <w:rtl/>
        </w:rPr>
        <w:t>דחיית האבי עזרי דא"א לומר דחייב כרת בבן ח' דהוא חשיב כמת ואינו בהמה ואין לו דם הנפש</w:t>
      </w:r>
      <w:bookmarkEnd w:id="26828"/>
      <w:bookmarkEnd w:id="26829"/>
      <w:bookmarkEnd w:id="26830"/>
    </w:p>
    <w:p w14:paraId="0A4702F8" w14:textId="77777777" w:rsidR="003D504D" w:rsidRDefault="003D504D" w:rsidP="00223668">
      <w:pPr>
        <w:pStyle w:val="a0"/>
        <w:rPr>
          <w:rStyle w:val="a8"/>
          <w:rtl/>
        </w:rPr>
      </w:pPr>
      <w:r w:rsidRPr="004D451D">
        <w:rPr>
          <w:rStyle w:val="a8"/>
          <w:rFonts w:hint="cs"/>
          <w:rtl/>
        </w:rPr>
        <w:t xml:space="preserve">אך </w:t>
      </w:r>
      <w:r>
        <w:rPr>
          <w:rStyle w:val="a8"/>
          <w:rFonts w:hint="cs"/>
          <w:rtl/>
        </w:rPr>
        <w:t>דחה</w:t>
      </w:r>
      <w:r>
        <w:rPr>
          <w:rFonts w:hint="cs"/>
          <w:rtl/>
        </w:rPr>
        <w:t xml:space="preserve"> </w:t>
      </w:r>
      <w:r w:rsidRPr="0010462C">
        <w:rPr>
          <w:rStyle w:val="af9"/>
          <w:rFonts w:hint="cs"/>
          <w:rtl/>
        </w:rPr>
        <w:t>האבי עזרי</w:t>
      </w:r>
      <w:r>
        <w:rPr>
          <w:rFonts w:hint="cs"/>
          <w:rtl/>
        </w:rPr>
        <w:t xml:space="preserve"> </w:t>
      </w:r>
      <w:r w:rsidRPr="0010462C">
        <w:rPr>
          <w:rStyle w:val="af7"/>
          <w:rFonts w:eastAsia="Guttman Hodes" w:hint="cs"/>
          <w:rtl/>
        </w:rPr>
        <w:t>(מאכ"א פ"ז ה"ג ד"ה</w:t>
      </w:r>
      <w:r>
        <w:rPr>
          <w:rStyle w:val="af7"/>
          <w:rFonts w:eastAsiaTheme="minorEastAsia" w:hint="cs"/>
          <w:rtl/>
        </w:rPr>
        <w:t xml:space="preserve"> אולם נראה)</w:t>
      </w:r>
      <w:r w:rsidRPr="004D451D">
        <w:rPr>
          <w:rStyle w:val="a8"/>
          <w:rFonts w:hint="cs"/>
          <w:rtl/>
        </w:rPr>
        <w:t xml:space="preserve"> </w:t>
      </w:r>
      <w:r>
        <w:rPr>
          <w:rStyle w:val="a8"/>
          <w:rFonts w:hint="cs"/>
          <w:rtl/>
        </w:rPr>
        <w:t xml:space="preserve">דא"א לומר דריו"ח מחייב כרת אף בבן ח', מחמת דהוי דם הנפש של השליל, דהא כיון שבן ח' לא חשיב בהמה והרי הוא כמת, ואף ר"מ מתיר את הבן ח' בשחיטת אמו, כיון שאינו בהמה בפנ"ע, </w:t>
      </w:r>
      <w:r w:rsidRPr="0061312E">
        <w:rPr>
          <w:rStyle w:val="afb"/>
          <w:rFonts w:hint="cs"/>
          <w:rtl/>
        </w:rPr>
        <w:t xml:space="preserve">[כדכתב </w:t>
      </w:r>
      <w:r w:rsidRPr="0061312E">
        <w:rPr>
          <w:rStyle w:val="affa"/>
          <w:rFonts w:hint="cs"/>
          <w:rtl/>
        </w:rPr>
        <w:t>רש"י</w:t>
      </w:r>
      <w:r w:rsidRPr="0061312E">
        <w:rPr>
          <w:rStyle w:val="afb"/>
          <w:rFonts w:hint="cs"/>
          <w:rtl/>
        </w:rPr>
        <w:t xml:space="preserve"> </w:t>
      </w:r>
      <w:r w:rsidRPr="0061312E">
        <w:rPr>
          <w:rStyle w:val="aff6"/>
          <w:rFonts w:hint="cs"/>
          <w:rtl/>
        </w:rPr>
        <w:t>(עד. ד"ה קורעו</w:t>
      </w:r>
      <w:r>
        <w:rPr>
          <w:rStyle w:val="aff6"/>
          <w:rFonts w:hint="cs"/>
          <w:rtl/>
        </w:rPr>
        <w:t>)</w:t>
      </w:r>
      <w:r w:rsidRPr="0061312E">
        <w:rPr>
          <w:rStyle w:val="afb"/>
          <w:rFonts w:hint="cs"/>
          <w:rtl/>
        </w:rPr>
        <w:t>],</w:t>
      </w:r>
      <w:r>
        <w:rPr>
          <w:rStyle w:val="a8"/>
          <w:rFonts w:hint="cs"/>
          <w:rtl/>
        </w:rPr>
        <w:t xml:space="preserve"> וא"כ לא יתכן לומר דדמו הוא דם הנפש.</w:t>
      </w:r>
    </w:p>
    <w:p w14:paraId="614988E2" w14:textId="77777777" w:rsidR="003D504D" w:rsidRDefault="003D504D" w:rsidP="003D504D">
      <w:pPr>
        <w:pStyle w:val="a3"/>
        <w:rPr>
          <w:rtl/>
        </w:rPr>
      </w:pPr>
      <w:bookmarkStart w:id="26831" w:name="_Toc4330789"/>
      <w:bookmarkStart w:id="26832" w:name="_Toc19392318"/>
      <w:bookmarkStart w:id="26833" w:name="_Toc19395815"/>
      <w:r>
        <w:rPr>
          <w:rFonts w:hint="cs"/>
          <w:rtl/>
        </w:rPr>
        <w:t>דברי האבי עזרי דכיון שאין ילפותא להתיר את הדם אסור מדין דם הבהמה שיש לה דם הנפש</w:t>
      </w:r>
      <w:bookmarkEnd w:id="26831"/>
      <w:bookmarkEnd w:id="26832"/>
      <w:bookmarkEnd w:id="26833"/>
    </w:p>
    <w:p w14:paraId="5D15270F" w14:textId="77777777" w:rsidR="003D504D" w:rsidRDefault="003D504D" w:rsidP="00223668">
      <w:pPr>
        <w:pStyle w:val="a0"/>
        <w:rPr>
          <w:rtl/>
        </w:rPr>
      </w:pPr>
      <w:r>
        <w:rPr>
          <w:rFonts w:hint="cs"/>
          <w:rtl/>
        </w:rPr>
        <w:t xml:space="preserve">אלא ביאר </w:t>
      </w:r>
      <w:r w:rsidRPr="0061312E">
        <w:rPr>
          <w:rStyle w:val="af9"/>
          <w:rFonts w:hint="cs"/>
          <w:rtl/>
        </w:rPr>
        <w:t>האבי עזרי</w:t>
      </w:r>
      <w:r>
        <w:rPr>
          <w:rFonts w:hint="cs"/>
          <w:rtl/>
        </w:rPr>
        <w:t xml:space="preserve"> עפ"י דבריו</w:t>
      </w:r>
      <w:r w:rsidRPr="00E96B50">
        <w:rPr>
          <w:rStyle w:val="af9"/>
          <w:rFonts w:hint="cs"/>
          <w:rtl/>
        </w:rPr>
        <w:t xml:space="preserve"> </w:t>
      </w:r>
      <w:r>
        <w:rPr>
          <w:rFonts w:hint="cs"/>
          <w:rtl/>
        </w:rPr>
        <w:t xml:space="preserve">בדין החלב, דהוכיח </w:t>
      </w:r>
      <w:r w:rsidRPr="0010462C">
        <w:rPr>
          <w:rStyle w:val="af9"/>
          <w:rFonts w:hint="cs"/>
          <w:rtl/>
        </w:rPr>
        <w:t>האבי עזרי</w:t>
      </w:r>
      <w:r>
        <w:rPr>
          <w:rFonts w:hint="cs"/>
          <w:rtl/>
        </w:rPr>
        <w:t xml:space="preserve"> </w:t>
      </w:r>
      <w:r w:rsidRPr="0010462C">
        <w:rPr>
          <w:rStyle w:val="af7"/>
          <w:rFonts w:eastAsia="Guttman Hodes" w:hint="cs"/>
          <w:rtl/>
        </w:rPr>
        <w:t>(מאכ"א פ"ז ה"ג ד"ה</w:t>
      </w:r>
      <w:r w:rsidRPr="00F70133">
        <w:rPr>
          <w:rStyle w:val="af7"/>
          <w:rFonts w:eastAsia="Guttman Hodes" w:hint="cs"/>
          <w:rtl/>
        </w:rPr>
        <w:t xml:space="preserve"> והנה שם</w:t>
      </w:r>
      <w:r>
        <w:rPr>
          <w:rStyle w:val="af7"/>
          <w:rFonts w:eastAsia="Guttman Hodes" w:hint="cs"/>
          <w:rtl/>
        </w:rPr>
        <w:t xml:space="preserve"> בחולין דף עה)</w:t>
      </w:r>
      <w:r>
        <w:rPr>
          <w:rFonts w:hint="cs"/>
          <w:rtl/>
        </w:rPr>
        <w:t xml:space="preserve"> מדברי התורת כהנים, דמעיקר הדין החלב של העובר חשיב כחלב של הבהמה עצמה, אלא שיש ילפותא להתיר את החלב, וא"כ בדם שאין ילפותא להתירו, אפש"ל דהדם הכנוס בלב של השליל, חשיב כדם הנפש של הבהמה עצמה, ולכן ס"ל לריו"ח שיש בו חיוב כרת.</w:t>
      </w:r>
    </w:p>
    <w:p w14:paraId="0F8845F1" w14:textId="77777777" w:rsidR="003D504D" w:rsidRDefault="003D504D" w:rsidP="003D504D">
      <w:pPr>
        <w:pStyle w:val="afe"/>
        <w:rPr>
          <w:rtl/>
        </w:rPr>
      </w:pPr>
      <w:bookmarkStart w:id="26834" w:name="_Toc19436491"/>
      <w:bookmarkStart w:id="26835" w:name="_Toc20081597"/>
      <w:bookmarkStart w:id="26836" w:name="_Toc4330790"/>
      <w:r>
        <w:rPr>
          <w:rFonts w:hint="cs"/>
          <w:rtl/>
        </w:rPr>
        <w:t>בדין דם השחיטה בשליל להרמב"ם</w:t>
      </w:r>
      <w:bookmarkEnd w:id="26834"/>
      <w:bookmarkEnd w:id="26835"/>
    </w:p>
    <w:p w14:paraId="79EFD9B5" w14:textId="77777777" w:rsidR="003D504D" w:rsidRDefault="003D504D" w:rsidP="00BF39B2">
      <w:pPr>
        <w:pStyle w:val="1"/>
        <w:rPr>
          <w:rtl/>
        </w:rPr>
      </w:pPr>
      <w:bookmarkStart w:id="26837" w:name="_Toc19392319"/>
      <w:bookmarkStart w:id="26838" w:name="_Toc19395816"/>
      <w:r>
        <w:rPr>
          <w:rFonts w:hint="cs"/>
          <w:rtl/>
        </w:rPr>
        <w:t>ביאור האבי עזרי בפלוגתת הרמב"ם והראב"ד</w:t>
      </w:r>
      <w:bookmarkEnd w:id="26836"/>
      <w:bookmarkEnd w:id="26837"/>
      <w:bookmarkEnd w:id="26838"/>
    </w:p>
    <w:p w14:paraId="017FE693" w14:textId="77777777" w:rsidR="003D504D" w:rsidRDefault="003D504D" w:rsidP="003D504D">
      <w:pPr>
        <w:pStyle w:val="a3"/>
        <w:rPr>
          <w:rtl/>
        </w:rPr>
      </w:pPr>
      <w:bookmarkStart w:id="26839" w:name="_Toc4330791"/>
      <w:bookmarkStart w:id="26840" w:name="_Toc19392320"/>
      <w:bookmarkStart w:id="26841" w:name="_Toc19395817"/>
      <w:r>
        <w:rPr>
          <w:rFonts w:hint="cs"/>
          <w:rtl/>
        </w:rPr>
        <w:t>דברי האבי עזרי דלהרמב"ם שליל חשיב שנשחט כבר ואין בו דם הנפש דלא שייך ב' שחיטות</w:t>
      </w:r>
      <w:bookmarkEnd w:id="26839"/>
      <w:bookmarkEnd w:id="26840"/>
      <w:bookmarkEnd w:id="26841"/>
    </w:p>
    <w:p w14:paraId="22BD4595" w14:textId="77777777" w:rsidR="003D504D" w:rsidRDefault="003D504D" w:rsidP="00223668">
      <w:pPr>
        <w:pStyle w:val="a0"/>
        <w:rPr>
          <w:rtl/>
        </w:rPr>
      </w:pPr>
      <w:bookmarkStart w:id="26842" w:name="_Toc2723920"/>
      <w:bookmarkStart w:id="26843" w:name="_Toc4305444"/>
      <w:bookmarkStart w:id="26844" w:name="_Toc4316311"/>
      <w:r w:rsidRPr="00081DF5">
        <w:rPr>
          <w:rtl/>
        </w:rPr>
        <w:t xml:space="preserve">ובפלוגתת </w:t>
      </w:r>
      <w:r w:rsidRPr="00E87A2E">
        <w:rPr>
          <w:rStyle w:val="af9"/>
          <w:rtl/>
        </w:rPr>
        <w:t>הרמב"ם</w:t>
      </w:r>
      <w:r w:rsidRPr="00081DF5">
        <w:rPr>
          <w:rtl/>
        </w:rPr>
        <w:t xml:space="preserve"> </w:t>
      </w:r>
      <w:r w:rsidRPr="00A81B9B">
        <w:rPr>
          <w:rStyle w:val="af7"/>
          <w:rFonts w:eastAsia="Guttman Hodes"/>
          <w:rtl/>
        </w:rPr>
        <w:t xml:space="preserve">(עי' אות </w:t>
      </w:r>
      <w:r w:rsidRPr="00A81B9B">
        <w:rPr>
          <w:rStyle w:val="af7"/>
          <w:rFonts w:eastAsia="Guttman Hodes"/>
          <w:rtl/>
        </w:rPr>
        <w:fldChar w:fldCharType="begin"/>
      </w:r>
      <w:r w:rsidRPr="00A81B9B">
        <w:rPr>
          <w:rStyle w:val="af7"/>
          <w:rFonts w:eastAsia="Guttman Hodes"/>
          <w:rtl/>
        </w:rPr>
        <w:instrText xml:space="preserve"> </w:instrText>
      </w:r>
      <w:r w:rsidRPr="00A81B9B">
        <w:rPr>
          <w:rStyle w:val="af7"/>
          <w:rFonts w:eastAsia="Guttman Hodes"/>
        </w:rPr>
        <w:instrText>REF</w:instrText>
      </w:r>
      <w:r w:rsidRPr="00A81B9B">
        <w:rPr>
          <w:rStyle w:val="af7"/>
          <w:rFonts w:eastAsia="Guttman Hodes"/>
          <w:rtl/>
        </w:rPr>
        <w:instrText xml:space="preserve"> _</w:instrText>
      </w:r>
      <w:r w:rsidRPr="00A81B9B">
        <w:rPr>
          <w:rStyle w:val="af7"/>
          <w:rFonts w:eastAsia="Guttman Hodes"/>
        </w:rPr>
        <w:instrText>Ref4305445 \r \h</w:instrText>
      </w:r>
      <w:r w:rsidRPr="00A81B9B">
        <w:rPr>
          <w:rStyle w:val="af7"/>
          <w:rFonts w:eastAsia="Guttman Hodes"/>
          <w:rtl/>
        </w:rPr>
        <w:instrText xml:space="preserve"> </w:instrText>
      </w:r>
      <w:r w:rsidRPr="00A81B9B">
        <w:rPr>
          <w:rStyle w:val="af7"/>
          <w:rFonts w:eastAsia="Guttman Hodes"/>
          <w:rtl/>
        </w:rPr>
      </w:r>
      <w:r w:rsidRPr="00A81B9B">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A81B9B">
        <w:rPr>
          <w:rStyle w:val="af7"/>
          <w:rFonts w:eastAsia="Guttman Hodes"/>
          <w:rtl/>
        </w:rPr>
        <w:fldChar w:fldCharType="end"/>
      </w:r>
      <w:r w:rsidRPr="00081DF5">
        <w:rPr>
          <w:rtl/>
        </w:rPr>
        <w:t xml:space="preserve"> </w:t>
      </w:r>
      <w:r w:rsidRPr="00E87A2E">
        <w:rPr>
          <w:rStyle w:val="af9"/>
          <w:rtl/>
        </w:rPr>
        <w:t>והראב"ד</w:t>
      </w:r>
      <w:r w:rsidRPr="00081DF5">
        <w:rPr>
          <w:rtl/>
        </w:rPr>
        <w:t xml:space="preserve"> </w:t>
      </w:r>
      <w:r w:rsidRPr="00A81B9B">
        <w:rPr>
          <w:rStyle w:val="af7"/>
          <w:rFonts w:eastAsia="Guttman Hodes" w:hint="cs"/>
          <w:rtl/>
        </w:rPr>
        <w:t xml:space="preserve">(עי' אות </w:t>
      </w:r>
      <w:r w:rsidRPr="00A81B9B">
        <w:rPr>
          <w:rStyle w:val="af7"/>
          <w:rFonts w:eastAsia="Guttman Hodes"/>
          <w:rtl/>
        </w:rPr>
        <w:fldChar w:fldCharType="begin"/>
      </w:r>
      <w:r w:rsidRPr="00A81B9B">
        <w:rPr>
          <w:rStyle w:val="af7"/>
          <w:rFonts w:eastAsia="Guttman Hodes"/>
          <w:rtl/>
        </w:rPr>
        <w:instrText xml:space="preserve"> </w:instrText>
      </w:r>
      <w:r w:rsidRPr="00A81B9B">
        <w:rPr>
          <w:rStyle w:val="af7"/>
          <w:rFonts w:eastAsia="Guttman Hodes" w:hint="cs"/>
        </w:rPr>
        <w:instrText>REF</w:instrText>
      </w:r>
      <w:r w:rsidRPr="00A81B9B">
        <w:rPr>
          <w:rStyle w:val="af7"/>
          <w:rFonts w:eastAsia="Guttman Hodes" w:hint="cs"/>
          <w:rtl/>
        </w:rPr>
        <w:instrText xml:space="preserve"> _</w:instrText>
      </w:r>
      <w:r w:rsidRPr="00A81B9B">
        <w:rPr>
          <w:rStyle w:val="af7"/>
          <w:rFonts w:eastAsia="Guttman Hodes" w:hint="cs"/>
        </w:rPr>
        <w:instrText>Ref4320784 \r \h</w:instrText>
      </w:r>
      <w:r w:rsidRPr="00A81B9B">
        <w:rPr>
          <w:rStyle w:val="af7"/>
          <w:rFonts w:eastAsia="Guttman Hodes"/>
          <w:rtl/>
        </w:rPr>
        <w:instrText xml:space="preserve"> </w:instrText>
      </w:r>
      <w:r w:rsidRPr="00A81B9B">
        <w:rPr>
          <w:rStyle w:val="af7"/>
          <w:rFonts w:eastAsia="Guttman Hodes"/>
          <w:rtl/>
        </w:rPr>
      </w:r>
      <w:r w:rsidRPr="00A81B9B">
        <w:rPr>
          <w:rStyle w:val="af7"/>
          <w:rFonts w:eastAsia="Guttman Hodes"/>
          <w:rtl/>
        </w:rPr>
        <w:fldChar w:fldCharType="separate"/>
      </w:r>
      <w:r w:rsidR="00345400">
        <w:rPr>
          <w:rStyle w:val="af7"/>
          <w:rFonts w:eastAsia="Guttman Hodes"/>
          <w:cs/>
        </w:rPr>
        <w:t>‎</w:t>
      </w:r>
      <w:r w:rsidR="00345400">
        <w:rPr>
          <w:rStyle w:val="af7"/>
          <w:rFonts w:eastAsia="Guttman Hodes"/>
          <w:rtl/>
        </w:rPr>
        <w:t>נד)</w:t>
      </w:r>
      <w:r w:rsidRPr="00A81B9B">
        <w:rPr>
          <w:rStyle w:val="af7"/>
          <w:rFonts w:eastAsia="Guttman Hodes"/>
          <w:rtl/>
        </w:rPr>
        <w:fldChar w:fldCharType="end"/>
      </w:r>
      <w:r>
        <w:rPr>
          <w:rFonts w:hint="cs"/>
          <w:rtl/>
        </w:rPr>
        <w:t xml:space="preserve"> </w:t>
      </w:r>
      <w:r w:rsidRPr="00081DF5">
        <w:rPr>
          <w:rtl/>
        </w:rPr>
        <w:t xml:space="preserve">אם חייב כרת אף על דם השחיטה, </w:t>
      </w:r>
      <w:r w:rsidRPr="00A81B9B">
        <w:rPr>
          <w:rStyle w:val="afb"/>
          <w:rFonts w:hint="cs"/>
          <w:rtl/>
        </w:rPr>
        <w:t>[</w:t>
      </w:r>
      <w:r w:rsidRPr="00A81B9B">
        <w:rPr>
          <w:rStyle w:val="affa"/>
          <w:rFonts w:hint="cs"/>
          <w:rtl/>
        </w:rPr>
        <w:t>לביאור הב' במ"מ</w:t>
      </w:r>
      <w:r w:rsidRPr="00A81B9B">
        <w:rPr>
          <w:rStyle w:val="afb"/>
          <w:rFonts w:hint="cs"/>
          <w:rtl/>
        </w:rPr>
        <w:t xml:space="preserve"> </w:t>
      </w:r>
      <w:r w:rsidRPr="00A81B9B">
        <w:rPr>
          <w:rStyle w:val="aff6"/>
          <w:rtl/>
        </w:rPr>
        <w:t xml:space="preserve">(עי' אות </w:t>
      </w:r>
      <w:r w:rsidRPr="00A81B9B">
        <w:rPr>
          <w:rStyle w:val="aff6"/>
          <w:rtl/>
        </w:rPr>
        <w:fldChar w:fldCharType="begin"/>
      </w:r>
      <w:r w:rsidRPr="00A81B9B">
        <w:rPr>
          <w:rStyle w:val="aff6"/>
          <w:rtl/>
        </w:rPr>
        <w:instrText xml:space="preserve"> </w:instrText>
      </w:r>
      <w:r w:rsidRPr="00A81B9B">
        <w:rPr>
          <w:rStyle w:val="aff6"/>
        </w:rPr>
        <w:instrText>REF</w:instrText>
      </w:r>
      <w:r w:rsidRPr="00A81B9B">
        <w:rPr>
          <w:rStyle w:val="aff6"/>
          <w:rtl/>
        </w:rPr>
        <w:instrText xml:space="preserve"> _</w:instrText>
      </w:r>
      <w:r w:rsidRPr="00A81B9B">
        <w:rPr>
          <w:rStyle w:val="aff6"/>
        </w:rPr>
        <w:instrText>Ref4317356 \r \h</w:instrText>
      </w:r>
      <w:r w:rsidRPr="00A81B9B">
        <w:rPr>
          <w:rStyle w:val="aff6"/>
          <w:rtl/>
        </w:rPr>
        <w:instrText xml:space="preserve"> </w:instrText>
      </w:r>
      <w:r w:rsidRPr="00A81B9B">
        <w:rPr>
          <w:rStyle w:val="aff6"/>
          <w:rtl/>
        </w:rPr>
      </w:r>
      <w:r w:rsidRPr="00A81B9B">
        <w:rPr>
          <w:rStyle w:val="aff6"/>
          <w:rtl/>
        </w:rPr>
        <w:fldChar w:fldCharType="separate"/>
      </w:r>
      <w:r w:rsidR="00345400">
        <w:rPr>
          <w:rStyle w:val="aff6"/>
          <w:cs/>
        </w:rPr>
        <w:t>‎</w:t>
      </w:r>
      <w:r w:rsidR="00345400">
        <w:rPr>
          <w:rStyle w:val="aff6"/>
          <w:rtl/>
        </w:rPr>
        <w:t>נה)</w:t>
      </w:r>
      <w:r w:rsidRPr="00A81B9B">
        <w:rPr>
          <w:rStyle w:val="aff6"/>
          <w:rtl/>
        </w:rPr>
        <w:fldChar w:fldCharType="end"/>
      </w:r>
      <w:r w:rsidRPr="00A81B9B">
        <w:rPr>
          <w:rStyle w:val="afb"/>
          <w:rFonts w:hint="cs"/>
          <w:rtl/>
        </w:rPr>
        <w:t>]</w:t>
      </w:r>
      <w:r>
        <w:rPr>
          <w:rFonts w:hint="cs"/>
          <w:rtl/>
        </w:rPr>
        <w:t xml:space="preserve"> </w:t>
      </w:r>
      <w:r w:rsidRPr="00081DF5">
        <w:rPr>
          <w:rtl/>
        </w:rPr>
        <w:t xml:space="preserve">ביאר </w:t>
      </w:r>
      <w:r w:rsidRPr="00E87A2E">
        <w:rPr>
          <w:rStyle w:val="af9"/>
          <w:rtl/>
        </w:rPr>
        <w:t>האבי עזרי</w:t>
      </w:r>
      <w:r w:rsidRPr="00E87A2E">
        <w:rPr>
          <w:rStyle w:val="af7"/>
          <w:rFonts w:eastAsia="Guttman Hodes"/>
          <w:rtl/>
        </w:rPr>
        <w:t xml:space="preserve"> </w:t>
      </w:r>
      <w:r w:rsidRPr="00E87A2E">
        <w:rPr>
          <w:rStyle w:val="af7"/>
          <w:rFonts w:eastAsia="Guttman Rashi"/>
          <w:rtl/>
        </w:rPr>
        <w:t>(מאכ"א פ"ז ה"ג ד"ה אולם נראה)</w:t>
      </w:r>
      <w:r w:rsidRPr="00E87A2E">
        <w:rPr>
          <w:rStyle w:val="af7"/>
          <w:rFonts w:eastAsia="Guttman Hodes"/>
          <w:rtl/>
        </w:rPr>
        <w:t xml:space="preserve"> </w:t>
      </w:r>
      <w:r w:rsidRPr="00081DF5">
        <w:rPr>
          <w:rtl/>
        </w:rPr>
        <w:t xml:space="preserve">דלדעת </w:t>
      </w:r>
      <w:r w:rsidRPr="00E87A2E">
        <w:rPr>
          <w:rStyle w:val="af9"/>
          <w:rtl/>
        </w:rPr>
        <w:t>הרמב"ם</w:t>
      </w:r>
      <w:r w:rsidRPr="00081DF5">
        <w:rPr>
          <w:rtl/>
        </w:rPr>
        <w:t xml:space="preserve"> אין בשליל דם הנפש והוא כשחוט, אף בבן ט' חי וכ"ש בבן ח', וא"כ א"א לחייב על דם השחיטה מדין דם הנפש, דהוא כבר חשיב כשחוט, ואין ב' שחיטות בבהמה אחת</w:t>
      </w:r>
      <w:r>
        <w:rPr>
          <w:rFonts w:hint="cs"/>
          <w:rtl/>
        </w:rPr>
        <w:t>.</w:t>
      </w:r>
    </w:p>
    <w:p w14:paraId="5223371A" w14:textId="77777777" w:rsidR="003D504D" w:rsidRPr="00E87A2E" w:rsidRDefault="003D504D" w:rsidP="003D504D">
      <w:pPr>
        <w:pStyle w:val="a3"/>
      </w:pPr>
      <w:bookmarkStart w:id="26845" w:name="_Toc4330792"/>
      <w:bookmarkStart w:id="26846" w:name="_Toc19392321"/>
      <w:bookmarkStart w:id="26847" w:name="_Toc19395818"/>
      <w:r>
        <w:rPr>
          <w:rFonts w:hint="cs"/>
          <w:rtl/>
        </w:rPr>
        <w:t>ביאור האבי עזרי דהשחיטה עצמה אינה מחשיבה את הדם כנפש אלא היא הוכחה דבא מהנפש</w:t>
      </w:r>
      <w:bookmarkEnd w:id="26845"/>
      <w:bookmarkEnd w:id="26846"/>
      <w:bookmarkEnd w:id="26847"/>
      <w:r>
        <w:rPr>
          <w:rFonts w:hint="cs"/>
          <w:rtl/>
        </w:rPr>
        <w:t xml:space="preserve"> </w:t>
      </w:r>
    </w:p>
    <w:p w14:paraId="2C05BAD9" w14:textId="77777777" w:rsidR="003D504D" w:rsidRDefault="003D504D" w:rsidP="00223668">
      <w:pPr>
        <w:pStyle w:val="a0"/>
      </w:pPr>
      <w:r w:rsidRPr="00081DF5">
        <w:rPr>
          <w:rtl/>
        </w:rPr>
        <w:t>אבל</w:t>
      </w:r>
      <w:r>
        <w:rPr>
          <w:rFonts w:hint="cs"/>
          <w:rtl/>
        </w:rPr>
        <w:t xml:space="preserve"> בדעת</w:t>
      </w:r>
      <w:r w:rsidRPr="00081DF5">
        <w:rPr>
          <w:rtl/>
        </w:rPr>
        <w:t xml:space="preserve"> </w:t>
      </w:r>
      <w:r w:rsidRPr="00E87A2E">
        <w:rPr>
          <w:rStyle w:val="af9"/>
          <w:rtl/>
        </w:rPr>
        <w:t>הראב"ד</w:t>
      </w:r>
      <w:r w:rsidRPr="00081DF5">
        <w:rPr>
          <w:rtl/>
        </w:rPr>
        <w:t xml:space="preserve"> ביאר </w:t>
      </w:r>
      <w:r w:rsidRPr="00E87A2E">
        <w:rPr>
          <w:rStyle w:val="af9"/>
          <w:rtl/>
        </w:rPr>
        <w:t>האבי עזרי</w:t>
      </w:r>
      <w:r w:rsidRPr="00E87A2E">
        <w:rPr>
          <w:rStyle w:val="af7"/>
          <w:rFonts w:eastAsia="Guttman Hodes"/>
          <w:rtl/>
        </w:rPr>
        <w:t xml:space="preserve"> </w:t>
      </w:r>
      <w:r>
        <w:rPr>
          <w:rFonts w:hint="cs"/>
          <w:rtl/>
        </w:rPr>
        <w:t>ד</w:t>
      </w:r>
      <w:r w:rsidRPr="00081DF5">
        <w:rPr>
          <w:rtl/>
        </w:rPr>
        <w:t xml:space="preserve">ס"ל דאף דאין השחיטה גורמת לאיסור הדם דיחשב דם הנפש, אלא דדם הכבר והריאה הוא גם דם הנפש, וחיוב דם השחיטה הוא כיון שהדם בא מהריאה והכבד, </w:t>
      </w:r>
      <w:r>
        <w:rPr>
          <w:rtl/>
        </w:rPr>
        <w:t>והשחיטה היא הוכחה מהיכן בא הדם.</w:t>
      </w:r>
    </w:p>
    <w:p w14:paraId="72DDE342" w14:textId="77777777" w:rsidR="003D504D" w:rsidRPr="00CB1B91" w:rsidRDefault="003D504D" w:rsidP="00BF39B2">
      <w:pPr>
        <w:pStyle w:val="1"/>
      </w:pPr>
      <w:bookmarkStart w:id="26848" w:name="_Toc4330793"/>
      <w:bookmarkStart w:id="26849" w:name="_Toc19392322"/>
      <w:bookmarkStart w:id="26850" w:name="_Toc19395819"/>
      <w:r w:rsidRPr="00EC09FE">
        <w:rPr>
          <w:rFonts w:hint="cs"/>
          <w:rtl/>
        </w:rPr>
        <w:t>ביאור הגר"א גורדון</w:t>
      </w:r>
      <w:bookmarkEnd w:id="26842"/>
      <w:bookmarkEnd w:id="26843"/>
      <w:bookmarkEnd w:id="26844"/>
      <w:r>
        <w:rPr>
          <w:rFonts w:hint="cs"/>
          <w:rtl/>
        </w:rPr>
        <w:t xml:space="preserve"> בהא דלהרמב"ם אין כרת על דם השחיטה</w:t>
      </w:r>
      <w:bookmarkEnd w:id="26848"/>
      <w:bookmarkEnd w:id="26849"/>
      <w:bookmarkEnd w:id="26850"/>
    </w:p>
    <w:p w14:paraId="45643F4E" w14:textId="77777777" w:rsidR="003D504D" w:rsidRDefault="003D504D" w:rsidP="003D504D">
      <w:pPr>
        <w:pStyle w:val="a3"/>
      </w:pPr>
      <w:bookmarkStart w:id="26851" w:name="_Toc4330794"/>
      <w:bookmarkStart w:id="26852" w:name="_Toc19392323"/>
      <w:bookmarkStart w:id="26853" w:name="_Toc19395820"/>
      <w:r>
        <w:rPr>
          <w:rFonts w:hint="cs"/>
          <w:rtl/>
        </w:rPr>
        <w:t>דברי הגר"א גורדון דמדלא כתב הרמב"ם דשאר הדם הוא בלאו מבואר דאף דם השחיטה בלאו</w:t>
      </w:r>
      <w:bookmarkEnd w:id="26851"/>
      <w:bookmarkEnd w:id="26852"/>
      <w:bookmarkEnd w:id="26853"/>
    </w:p>
    <w:p w14:paraId="31DD7591" w14:textId="77777777" w:rsidR="003D504D" w:rsidRDefault="003D504D" w:rsidP="00223668">
      <w:pPr>
        <w:pStyle w:val="a0"/>
        <w:rPr>
          <w:rtl/>
        </w:rPr>
      </w:pPr>
      <w:r>
        <w:rPr>
          <w:rFonts w:hint="cs"/>
          <w:rtl/>
        </w:rPr>
        <w:t xml:space="preserve">הביא </w:t>
      </w:r>
      <w:r w:rsidRPr="00C71744">
        <w:rPr>
          <w:rStyle w:val="af9"/>
          <w:rFonts w:hint="cs"/>
          <w:rtl/>
        </w:rPr>
        <w:t>הגר"א גורדון</w:t>
      </w:r>
      <w:r>
        <w:rPr>
          <w:rFonts w:hint="cs"/>
          <w:rtl/>
        </w:rPr>
        <w:t xml:space="preserve"> </w:t>
      </w:r>
      <w:r w:rsidRPr="00C71744">
        <w:rPr>
          <w:rStyle w:val="af7"/>
          <w:rFonts w:eastAsia="Guttman Hodes" w:hint="cs"/>
          <w:rtl/>
        </w:rPr>
        <w:t xml:space="preserve">(בתשו' רבי אליעזר ח"ב סי' י' עמ' 52) </w:t>
      </w:r>
      <w:r>
        <w:rPr>
          <w:rFonts w:hint="cs"/>
          <w:rtl/>
        </w:rPr>
        <w:t xml:space="preserve">את ביאור </w:t>
      </w:r>
      <w:r w:rsidRPr="00C71744">
        <w:rPr>
          <w:rStyle w:val="af9"/>
          <w:rFonts w:hint="cs"/>
          <w:rtl/>
        </w:rPr>
        <w:t xml:space="preserve">המ"מ </w:t>
      </w:r>
      <w:r w:rsidRPr="00C71744">
        <w:rPr>
          <w:rStyle w:val="af7"/>
          <w:rFonts w:eastAsia="Guttman Hodes" w:hint="cs"/>
          <w:rtl/>
        </w:rPr>
        <w:t xml:space="preserve">(עי' אות </w:t>
      </w:r>
      <w:r w:rsidRPr="00C71744">
        <w:rPr>
          <w:rStyle w:val="af7"/>
          <w:rFonts w:eastAsia="Guttman Hodes"/>
          <w:rtl/>
        </w:rPr>
        <w:fldChar w:fldCharType="begin"/>
      </w:r>
      <w:r w:rsidRPr="00C71744">
        <w:rPr>
          <w:rStyle w:val="af7"/>
          <w:rFonts w:eastAsia="Guttman Hodes"/>
          <w:rtl/>
        </w:rPr>
        <w:instrText xml:space="preserve"> </w:instrText>
      </w:r>
      <w:r w:rsidRPr="00C71744">
        <w:rPr>
          <w:rStyle w:val="af7"/>
          <w:rFonts w:eastAsia="Guttman Hodes" w:hint="cs"/>
        </w:rPr>
        <w:instrText>REF</w:instrText>
      </w:r>
      <w:r w:rsidRPr="00C71744">
        <w:rPr>
          <w:rStyle w:val="af7"/>
          <w:rFonts w:eastAsia="Guttman Hodes" w:hint="cs"/>
          <w:rtl/>
        </w:rPr>
        <w:instrText xml:space="preserve"> _</w:instrText>
      </w:r>
      <w:r w:rsidRPr="00C71744">
        <w:rPr>
          <w:rStyle w:val="af7"/>
          <w:rFonts w:eastAsia="Guttman Hodes" w:hint="cs"/>
        </w:rPr>
        <w:instrText>Ref4320641 \r \h</w:instrText>
      </w:r>
      <w:r w:rsidRPr="00C71744">
        <w:rPr>
          <w:rStyle w:val="af7"/>
          <w:rFonts w:eastAsia="Guttman Hodes"/>
          <w:rtl/>
        </w:rPr>
        <w:instrText xml:space="preserve"> </w:instrText>
      </w:r>
      <w:r w:rsidRPr="00C71744">
        <w:rPr>
          <w:rStyle w:val="af7"/>
          <w:rFonts w:eastAsia="Guttman Hodes"/>
          <w:rtl/>
        </w:rPr>
      </w:r>
      <w:r w:rsidRPr="00C71744">
        <w:rPr>
          <w:rStyle w:val="af7"/>
          <w:rFonts w:eastAsia="Guttman Hodes"/>
          <w:rtl/>
        </w:rPr>
        <w:fldChar w:fldCharType="separate"/>
      </w:r>
      <w:r w:rsidR="00345400">
        <w:rPr>
          <w:rStyle w:val="af7"/>
          <w:rFonts w:eastAsia="Guttman Hodes"/>
          <w:cs/>
        </w:rPr>
        <w:t>‎</w:t>
      </w:r>
      <w:r w:rsidR="00345400">
        <w:rPr>
          <w:rStyle w:val="af7"/>
          <w:rFonts w:eastAsia="Guttman Hodes"/>
          <w:rtl/>
        </w:rPr>
        <w:t>נט)</w:t>
      </w:r>
      <w:r w:rsidRPr="00C71744">
        <w:rPr>
          <w:rStyle w:val="af7"/>
          <w:rFonts w:eastAsia="Guttman Hodes"/>
          <w:rtl/>
        </w:rPr>
        <w:fldChar w:fldCharType="end"/>
      </w:r>
      <w:r>
        <w:rPr>
          <w:rFonts w:hint="cs"/>
          <w:rtl/>
        </w:rPr>
        <w:t xml:space="preserve"> בדעת </w:t>
      </w:r>
      <w:r w:rsidRPr="00C71744">
        <w:rPr>
          <w:rStyle w:val="af9"/>
          <w:rFonts w:hint="cs"/>
          <w:rtl/>
        </w:rPr>
        <w:t>הרמב"ם</w:t>
      </w:r>
      <w:r w:rsidRPr="00C71744">
        <w:rPr>
          <w:rStyle w:val="af7"/>
          <w:rFonts w:eastAsia="Guttman Hodes" w:hint="cs"/>
          <w:rtl/>
        </w:rPr>
        <w:t xml:space="preserve"> (עי' אות </w:t>
      </w:r>
      <w:r w:rsidRPr="00C71744">
        <w:rPr>
          <w:rStyle w:val="af7"/>
          <w:rFonts w:eastAsia="Guttman Hodes"/>
          <w:rtl/>
        </w:rPr>
        <w:fldChar w:fldCharType="begin"/>
      </w:r>
      <w:r w:rsidRPr="00C71744">
        <w:rPr>
          <w:rStyle w:val="af7"/>
          <w:rFonts w:eastAsia="Guttman Hodes"/>
          <w:rtl/>
        </w:rPr>
        <w:instrText xml:space="preserve"> </w:instrText>
      </w:r>
      <w:r w:rsidRPr="00C71744">
        <w:rPr>
          <w:rStyle w:val="af7"/>
          <w:rFonts w:eastAsia="Guttman Hodes" w:hint="cs"/>
        </w:rPr>
        <w:instrText>REF</w:instrText>
      </w:r>
      <w:r w:rsidRPr="00C71744">
        <w:rPr>
          <w:rStyle w:val="af7"/>
          <w:rFonts w:eastAsia="Guttman Hodes" w:hint="cs"/>
          <w:rtl/>
        </w:rPr>
        <w:instrText xml:space="preserve"> _</w:instrText>
      </w:r>
      <w:r w:rsidRPr="00C71744">
        <w:rPr>
          <w:rStyle w:val="af7"/>
          <w:rFonts w:eastAsia="Guttman Hodes" w:hint="cs"/>
        </w:rPr>
        <w:instrText>Ref4305445 \r \h</w:instrText>
      </w:r>
      <w:r w:rsidRPr="00C71744">
        <w:rPr>
          <w:rStyle w:val="af7"/>
          <w:rFonts w:eastAsia="Guttman Hodes"/>
          <w:rtl/>
        </w:rPr>
        <w:instrText xml:space="preserve"> </w:instrText>
      </w:r>
      <w:r w:rsidRPr="00C71744">
        <w:rPr>
          <w:rStyle w:val="af7"/>
          <w:rFonts w:eastAsia="Guttman Hodes"/>
          <w:rtl/>
        </w:rPr>
      </w:r>
      <w:r w:rsidRPr="00C71744">
        <w:rPr>
          <w:rStyle w:val="af7"/>
          <w:rFonts w:eastAsia="Guttman Hodes"/>
          <w:rtl/>
        </w:rPr>
        <w:fldChar w:fldCharType="separate"/>
      </w:r>
      <w:r w:rsidR="00345400">
        <w:rPr>
          <w:rStyle w:val="af7"/>
          <w:rFonts w:eastAsia="Guttman Hodes"/>
          <w:cs/>
        </w:rPr>
        <w:t>‎</w:t>
      </w:r>
      <w:r w:rsidR="00345400">
        <w:rPr>
          <w:rStyle w:val="af7"/>
          <w:rFonts w:eastAsia="Guttman Hodes"/>
          <w:rtl/>
        </w:rPr>
        <w:t>נב)</w:t>
      </w:r>
      <w:r w:rsidRPr="00C71744">
        <w:rPr>
          <w:rStyle w:val="af7"/>
          <w:rFonts w:eastAsia="Guttman Hodes"/>
          <w:rtl/>
        </w:rPr>
        <w:fldChar w:fldCharType="end"/>
      </w:r>
      <w:r w:rsidRPr="00C71744">
        <w:rPr>
          <w:rStyle w:val="af7"/>
          <w:rFonts w:eastAsia="Guttman Hodes" w:hint="cs"/>
          <w:rtl/>
        </w:rPr>
        <w:t xml:space="preserve"> </w:t>
      </w:r>
      <w:r>
        <w:rPr>
          <w:rFonts w:hint="cs"/>
          <w:rtl/>
        </w:rPr>
        <w:t xml:space="preserve">דחיוב הכרת הוא רק על הדם הכנוס בלבו, אבל הדם היוצא מהשחיטה הוא בלאו, וכתב </w:t>
      </w:r>
      <w:r w:rsidRPr="00C71744">
        <w:rPr>
          <w:rStyle w:val="af9"/>
          <w:rFonts w:hint="cs"/>
          <w:rtl/>
        </w:rPr>
        <w:t>הגר"א גורדון</w:t>
      </w:r>
      <w:r>
        <w:rPr>
          <w:rFonts w:hint="cs"/>
          <w:rtl/>
        </w:rPr>
        <w:t xml:space="preserve"> דכן מוכח מדברי </w:t>
      </w:r>
      <w:r w:rsidRPr="00C71744">
        <w:rPr>
          <w:rStyle w:val="af9"/>
          <w:rFonts w:hint="cs"/>
          <w:rtl/>
        </w:rPr>
        <w:t>הרמב"ם</w:t>
      </w:r>
      <w:r>
        <w:rPr>
          <w:rFonts w:hint="cs"/>
          <w:rtl/>
        </w:rPr>
        <w:t xml:space="preserve"> דכתב דשאר דמו הוא כדם האיברים, ואי דם השחיטה אינו כדם האברים, היה </w:t>
      </w:r>
      <w:r w:rsidRPr="00C71744">
        <w:rPr>
          <w:rStyle w:val="af9"/>
          <w:rFonts w:hint="cs"/>
          <w:rtl/>
        </w:rPr>
        <w:t>להרמב"ם</w:t>
      </w:r>
      <w:r>
        <w:rPr>
          <w:rFonts w:hint="cs"/>
          <w:rtl/>
        </w:rPr>
        <w:t xml:space="preserve"> לומר דהדם הכנוס בלב בכרת אבל שאר דמו שהוא דם האיברים הוא בלאו, ומדכתב דהדם הוא כדם האברים, מבואר דכוונתו לכל הדם ואף לדם השחיטה, והוסיף </w:t>
      </w:r>
      <w:r w:rsidRPr="00C71744">
        <w:rPr>
          <w:rStyle w:val="af9"/>
          <w:rFonts w:hint="cs"/>
          <w:rtl/>
        </w:rPr>
        <w:t>הגר"א גורדון</w:t>
      </w:r>
      <w:r>
        <w:rPr>
          <w:rFonts w:hint="cs"/>
          <w:rtl/>
        </w:rPr>
        <w:t xml:space="preserve"> דאי אין כוונת </w:t>
      </w:r>
      <w:r w:rsidRPr="00C71744">
        <w:rPr>
          <w:rStyle w:val="af9"/>
          <w:rFonts w:hint="cs"/>
          <w:rtl/>
        </w:rPr>
        <w:t>הרמב"ם</w:t>
      </w:r>
      <w:r>
        <w:rPr>
          <w:rFonts w:hint="cs"/>
          <w:rtl/>
        </w:rPr>
        <w:t xml:space="preserve"> לומר דדם השחיטה הוא כדם האיברים, א"כ אין כל חידוש בדבריו, דהא פשיטא שאין חיוב כרת על דם האיברים שלו.</w:t>
      </w:r>
    </w:p>
    <w:p w14:paraId="17F41A8A" w14:textId="77777777" w:rsidR="003D504D" w:rsidRDefault="003D504D" w:rsidP="003D504D">
      <w:pPr>
        <w:pStyle w:val="a3"/>
        <w:rPr>
          <w:rtl/>
        </w:rPr>
      </w:pPr>
      <w:bookmarkStart w:id="26854" w:name="_Toc4330795"/>
      <w:bookmarkStart w:id="26855" w:name="_Toc19392324"/>
      <w:bookmarkStart w:id="26856" w:name="_Toc19395821"/>
      <w:r>
        <w:rPr>
          <w:rFonts w:hint="cs"/>
          <w:rtl/>
        </w:rPr>
        <w:t>קושית הגר"א גורדון דכיון שחייב כרת על דם הלב יש לו חיות ואף בדם השחיטה יוצאת החיות</w:t>
      </w:r>
      <w:bookmarkEnd w:id="26854"/>
      <w:bookmarkEnd w:id="26855"/>
      <w:bookmarkEnd w:id="26856"/>
    </w:p>
    <w:p w14:paraId="0AAAD1F7" w14:textId="77777777" w:rsidR="003D504D" w:rsidRDefault="003D504D" w:rsidP="00223668">
      <w:pPr>
        <w:pStyle w:val="a0"/>
        <w:rPr>
          <w:rtl/>
        </w:rPr>
      </w:pPr>
      <w:r>
        <w:rPr>
          <w:rFonts w:hint="cs"/>
          <w:rtl/>
        </w:rPr>
        <w:t xml:space="preserve">אך הקשה </w:t>
      </w:r>
      <w:r w:rsidRPr="00C71744">
        <w:rPr>
          <w:rStyle w:val="af9"/>
          <w:rFonts w:hint="cs"/>
          <w:rtl/>
        </w:rPr>
        <w:t>הגר"א גורדון</w:t>
      </w:r>
      <w:r>
        <w:rPr>
          <w:rFonts w:hint="cs"/>
          <w:rtl/>
        </w:rPr>
        <w:t xml:space="preserve"> דכיון דכתב</w:t>
      </w:r>
      <w:r w:rsidRPr="00C71744">
        <w:rPr>
          <w:rStyle w:val="af9"/>
          <w:rFonts w:hint="cs"/>
          <w:rtl/>
        </w:rPr>
        <w:t xml:space="preserve"> הרמב"ם</w:t>
      </w:r>
      <w:r>
        <w:rPr>
          <w:rFonts w:hint="cs"/>
          <w:rtl/>
        </w:rPr>
        <w:t xml:space="preserve"> דחייב כרת על הדם הכנוס בלבו, א"כ מוכח דאף שאינו צריך שחיטה וחשיב כאחד מאברי אמו, מ"מ חייב עליו כרת כיון שיש לו חיות בפנ"ע, ובדם של הלב יוצאת הנפש, וא"כ אף דם שחיטתו יוצאת בו החיות, ואמאי אין בו חיוב כרת,</w:t>
      </w:r>
      <w:r w:rsidRPr="00E760C7">
        <w:rPr>
          <w:rFonts w:hint="cs"/>
          <w:rtl/>
        </w:rPr>
        <w:t xml:space="preserve"> </w:t>
      </w:r>
      <w:r>
        <w:rPr>
          <w:rFonts w:hint="cs"/>
          <w:rtl/>
        </w:rPr>
        <w:t xml:space="preserve">ואי ס"ל </w:t>
      </w:r>
      <w:r w:rsidRPr="00592D2F">
        <w:rPr>
          <w:rStyle w:val="af9"/>
          <w:rFonts w:hint="cs"/>
          <w:rtl/>
        </w:rPr>
        <w:t>להרמב"ם</w:t>
      </w:r>
      <w:r>
        <w:rPr>
          <w:rFonts w:hint="cs"/>
          <w:rtl/>
        </w:rPr>
        <w:t xml:space="preserve"> דבדם שחיטתו אין כרת אף שיוצאת בו הנפש, א"כ היה לו לומר </w:t>
      </w:r>
      <w:r w:rsidRPr="00592D2F">
        <w:rPr>
          <w:rStyle w:val="af9"/>
          <w:rFonts w:hint="cs"/>
          <w:rtl/>
        </w:rPr>
        <w:t>כרמב"ן</w:t>
      </w:r>
      <w:r>
        <w:rPr>
          <w:rFonts w:hint="cs"/>
          <w:rtl/>
        </w:rPr>
        <w:t xml:space="preserve"> </w:t>
      </w:r>
      <w:r w:rsidRPr="00592D2F">
        <w:rPr>
          <w:rStyle w:val="af7"/>
          <w:rFonts w:eastAsia="Guttman Hodes" w:hint="cs"/>
          <w:rtl/>
        </w:rPr>
        <w:t xml:space="preserve">(עי' אות </w:t>
      </w:r>
      <w:r w:rsidRPr="00592D2F">
        <w:rPr>
          <w:rStyle w:val="af7"/>
          <w:rFonts w:eastAsia="Guttman Hodes"/>
          <w:rtl/>
        </w:rPr>
        <w:fldChar w:fldCharType="begin"/>
      </w:r>
      <w:r w:rsidRPr="00592D2F">
        <w:rPr>
          <w:rStyle w:val="af7"/>
          <w:rFonts w:eastAsia="Guttman Hodes"/>
          <w:rtl/>
        </w:rPr>
        <w:instrText xml:space="preserve"> </w:instrText>
      </w:r>
      <w:r w:rsidRPr="00592D2F">
        <w:rPr>
          <w:rStyle w:val="af7"/>
          <w:rFonts w:eastAsia="Guttman Hodes" w:hint="cs"/>
        </w:rPr>
        <w:instrText>REF</w:instrText>
      </w:r>
      <w:r w:rsidRPr="00592D2F">
        <w:rPr>
          <w:rStyle w:val="af7"/>
          <w:rFonts w:eastAsia="Guttman Hodes" w:hint="cs"/>
          <w:rtl/>
        </w:rPr>
        <w:instrText xml:space="preserve"> _</w:instrText>
      </w:r>
      <w:r w:rsidRPr="00592D2F">
        <w:rPr>
          <w:rStyle w:val="af7"/>
          <w:rFonts w:eastAsia="Guttman Hodes" w:hint="cs"/>
        </w:rPr>
        <w:instrText>Ref4271076 \r \h</w:instrText>
      </w:r>
      <w:r w:rsidRPr="00592D2F">
        <w:rPr>
          <w:rStyle w:val="af7"/>
          <w:rFonts w:eastAsia="Guttman Hodes"/>
          <w:rtl/>
        </w:rPr>
        <w:instrText xml:space="preserve"> </w:instrText>
      </w:r>
      <w:r w:rsidRPr="00592D2F">
        <w:rPr>
          <w:rStyle w:val="af7"/>
          <w:rFonts w:eastAsia="Guttman Hodes"/>
          <w:rtl/>
        </w:rPr>
      </w:r>
      <w:r w:rsidRPr="00592D2F">
        <w:rPr>
          <w:rStyle w:val="af7"/>
          <w:rFonts w:eastAsia="Guttman Hodes"/>
          <w:rtl/>
        </w:rPr>
        <w:fldChar w:fldCharType="separate"/>
      </w:r>
      <w:r w:rsidR="00345400">
        <w:rPr>
          <w:rStyle w:val="af7"/>
          <w:rFonts w:eastAsia="Guttman Hodes"/>
          <w:cs/>
        </w:rPr>
        <w:t>‎</w:t>
      </w:r>
      <w:r w:rsidR="00345400">
        <w:rPr>
          <w:rStyle w:val="af7"/>
          <w:rFonts w:eastAsia="Guttman Hodes"/>
          <w:rtl/>
        </w:rPr>
        <w:t>יב)</w:t>
      </w:r>
      <w:r w:rsidRPr="00592D2F">
        <w:rPr>
          <w:rStyle w:val="af7"/>
          <w:rFonts w:eastAsia="Guttman Hodes"/>
          <w:rtl/>
        </w:rPr>
        <w:fldChar w:fldCharType="end"/>
      </w:r>
      <w:r>
        <w:rPr>
          <w:rFonts w:hint="cs"/>
          <w:rtl/>
        </w:rPr>
        <w:t xml:space="preserve"> דאף על דם הכנוס בלבו אין חיוב כרת.</w:t>
      </w:r>
    </w:p>
    <w:p w14:paraId="56459C30" w14:textId="77777777" w:rsidR="003D504D" w:rsidRPr="009718D6" w:rsidRDefault="003D504D" w:rsidP="003D504D">
      <w:pPr>
        <w:pStyle w:val="a3"/>
      </w:pPr>
      <w:bookmarkStart w:id="26857" w:name="_Toc4330796"/>
      <w:bookmarkStart w:id="26858" w:name="_Toc19392325"/>
      <w:bookmarkStart w:id="26859" w:name="_Toc19395822"/>
      <w:r>
        <w:rPr>
          <w:rFonts w:hint="cs"/>
          <w:rtl/>
        </w:rPr>
        <w:t>דברי הגר"א גורדון דחיוב כרת על דם השחיטה דהוא ראוי לכפרה ובשליל שחיטתו בסימני אמו</w:t>
      </w:r>
      <w:bookmarkEnd w:id="26857"/>
      <w:bookmarkEnd w:id="26858"/>
      <w:bookmarkEnd w:id="26859"/>
    </w:p>
    <w:p w14:paraId="4785C4C3" w14:textId="77777777" w:rsidR="003D504D" w:rsidRDefault="003D504D" w:rsidP="00223668">
      <w:pPr>
        <w:pStyle w:val="a0"/>
        <w:rPr>
          <w:rtl/>
        </w:rPr>
      </w:pPr>
      <w:r>
        <w:rPr>
          <w:rFonts w:hint="cs"/>
          <w:rtl/>
        </w:rPr>
        <w:t xml:space="preserve">אלא ביאר </w:t>
      </w:r>
      <w:r w:rsidRPr="00C71744">
        <w:rPr>
          <w:rStyle w:val="af9"/>
          <w:rFonts w:hint="cs"/>
          <w:rtl/>
        </w:rPr>
        <w:t>הגר"א גורדון</w:t>
      </w:r>
      <w:r>
        <w:rPr>
          <w:rFonts w:hint="cs"/>
          <w:rtl/>
        </w:rPr>
        <w:t xml:space="preserve"> דכל האיסור בדם השחיטה הוא כיון דהוא ראוי לכפרה ע"ג המזבח, </w:t>
      </w:r>
      <w:r w:rsidRPr="00C71744">
        <w:rPr>
          <w:rStyle w:val="afb"/>
          <w:rFonts w:hint="cs"/>
          <w:rtl/>
        </w:rPr>
        <w:t xml:space="preserve">[ואף בחולין ובבהמה בטמאה אסרה תורה את הדם השחיטה בכרת כיון שהדם שכנגדו בטהורה ראוי לכפרה, כיון שהדם עצמו יוצא ממקום שחיטה ואין בו חסרון מצד עצמו, אלא החסרון הוא בבהמה שהיא חולין או טמאה], </w:t>
      </w:r>
      <w:r>
        <w:rPr>
          <w:rFonts w:hint="cs"/>
          <w:rtl/>
        </w:rPr>
        <w:t xml:space="preserve">אבל דם שאינו ראוי לכפרה, כדם שבישלו לא אסרתו תורה בכרת, ובזה ביאר </w:t>
      </w:r>
      <w:r w:rsidRPr="00C71744">
        <w:rPr>
          <w:rStyle w:val="af9"/>
          <w:rFonts w:hint="cs"/>
          <w:rtl/>
        </w:rPr>
        <w:t>הגר"א גורדון</w:t>
      </w:r>
      <w:r>
        <w:rPr>
          <w:rFonts w:hint="cs"/>
          <w:rtl/>
        </w:rPr>
        <w:t xml:space="preserve"> דבשליל הדם היוצא משחיטתו אינו ראוי לכפרה כיון דשחיטתו היא בסימני אמו, וכ"מ דאמרינן דד' סימנים אכשר ביה רחמנא, היינו כשלא שחט את אמו, אבל בנשחטה אמו, דם שחיטתו הוא כדם התמצית ולכן אין בו כרת, עיי"ש במה שביאר </w:t>
      </w:r>
      <w:r w:rsidRPr="002509E3">
        <w:rPr>
          <w:rStyle w:val="af9"/>
          <w:rFonts w:hint="cs"/>
          <w:rtl/>
        </w:rPr>
        <w:t>הגר"א גורדון</w:t>
      </w:r>
      <w:r>
        <w:rPr>
          <w:rFonts w:hint="cs"/>
          <w:rtl/>
        </w:rPr>
        <w:t xml:space="preserve"> בזה.</w:t>
      </w:r>
    </w:p>
    <w:p w14:paraId="71DA592F" w14:textId="77777777" w:rsidR="003D504D" w:rsidRDefault="003D504D" w:rsidP="00BF39B2">
      <w:pPr>
        <w:pStyle w:val="1"/>
        <w:rPr>
          <w:rtl/>
        </w:rPr>
      </w:pPr>
      <w:bookmarkStart w:id="26860" w:name="_Toc4330797"/>
      <w:bookmarkStart w:id="26861" w:name="_Toc19392326"/>
      <w:bookmarkStart w:id="26862" w:name="_Toc19395823"/>
      <w:r>
        <w:rPr>
          <w:rFonts w:hint="cs"/>
          <w:rtl/>
        </w:rPr>
        <w:t>ביאור הגר"א גורדון דלענין הדם השליל חשיב בהמה כאמו</w:t>
      </w:r>
      <w:bookmarkEnd w:id="26860"/>
      <w:bookmarkEnd w:id="26861"/>
      <w:bookmarkEnd w:id="26862"/>
    </w:p>
    <w:p w14:paraId="609C52F0" w14:textId="77777777" w:rsidR="003D504D" w:rsidRDefault="003D504D" w:rsidP="003D504D">
      <w:pPr>
        <w:pStyle w:val="a3"/>
      </w:pPr>
      <w:bookmarkStart w:id="26863" w:name="_Toc4330798"/>
      <w:bookmarkStart w:id="26864" w:name="_Toc19392327"/>
      <w:bookmarkStart w:id="26865" w:name="_Toc19395824"/>
      <w:r>
        <w:rPr>
          <w:rFonts w:hint="cs"/>
          <w:rtl/>
        </w:rPr>
        <w:t>דברי הגר"א גורדון דכיון דלר"י חייב כרת בדם התמצית מוכח שיש לו חיות בפנ"ע ואינו אבר דאמו</w:t>
      </w:r>
      <w:bookmarkEnd w:id="26863"/>
      <w:bookmarkEnd w:id="26864"/>
      <w:bookmarkEnd w:id="26865"/>
    </w:p>
    <w:p w14:paraId="6826AC8F" w14:textId="77777777" w:rsidR="003D504D" w:rsidRDefault="003D504D" w:rsidP="00223668">
      <w:pPr>
        <w:pStyle w:val="a0"/>
        <w:rPr>
          <w:rtl/>
        </w:rPr>
      </w:pPr>
      <w:r>
        <w:rPr>
          <w:rFonts w:hint="cs"/>
          <w:rtl/>
        </w:rPr>
        <w:t xml:space="preserve">וכתב </w:t>
      </w:r>
      <w:r w:rsidRPr="00895864">
        <w:rPr>
          <w:rStyle w:val="af9"/>
          <w:rFonts w:hint="cs"/>
          <w:rtl/>
        </w:rPr>
        <w:t>הגר"א גורדון</w:t>
      </w:r>
      <w:r>
        <w:rPr>
          <w:rFonts w:hint="cs"/>
          <w:rtl/>
        </w:rPr>
        <w:t xml:space="preserve"> </w:t>
      </w:r>
      <w:r w:rsidRPr="00C71744">
        <w:rPr>
          <w:rStyle w:val="af7"/>
          <w:rFonts w:eastAsia="Guttman Hodes" w:hint="cs"/>
          <w:rtl/>
        </w:rPr>
        <w:t xml:space="preserve">(בתשו' רבי </w:t>
      </w:r>
      <w:r w:rsidRPr="00895864">
        <w:rPr>
          <w:rStyle w:val="af7"/>
          <w:rFonts w:eastAsia="Guttman Hodes" w:hint="cs"/>
          <w:rtl/>
        </w:rPr>
        <w:t>אליעזר ח"ב סי' י' ד"ה ולפי"ז)</w:t>
      </w:r>
      <w:r>
        <w:rPr>
          <w:rFonts w:hint="cs"/>
          <w:rtl/>
        </w:rPr>
        <w:t xml:space="preserve"> דמוכח מזה כביאור </w:t>
      </w:r>
      <w:r w:rsidRPr="00835856">
        <w:rPr>
          <w:rStyle w:val="af9"/>
          <w:rFonts w:hint="cs"/>
          <w:rtl/>
        </w:rPr>
        <w:t>הרמב"ם</w:t>
      </w:r>
      <w:r>
        <w:rPr>
          <w:rFonts w:hint="cs"/>
          <w:rtl/>
        </w:rPr>
        <w:t xml:space="preserve"> דריו"ח מחייב כרת בדם הלב של השליל, שיש לו דם הנפש, דהרי בדם השחיטה של השליל חייב ריו"ח כרת לדעת ר"י דמחייב בדם התמצית, </w:t>
      </w:r>
      <w:r w:rsidRPr="00835856">
        <w:rPr>
          <w:rStyle w:val="afb"/>
          <w:rFonts w:hint="cs"/>
          <w:rtl/>
        </w:rPr>
        <w:t xml:space="preserve">[אף לדעת </w:t>
      </w:r>
      <w:r w:rsidRPr="00835856">
        <w:rPr>
          <w:rStyle w:val="affa"/>
          <w:rFonts w:hint="cs"/>
          <w:rtl/>
        </w:rPr>
        <w:t>הרמב"ן</w:t>
      </w:r>
      <w:r w:rsidRPr="00835856">
        <w:rPr>
          <w:rStyle w:val="afb"/>
          <w:rFonts w:hint="cs"/>
          <w:rtl/>
        </w:rPr>
        <w:t xml:space="preserve"> </w:t>
      </w:r>
      <w:r w:rsidRPr="00835856">
        <w:rPr>
          <w:rStyle w:val="aff6"/>
          <w:rFonts w:hint="cs"/>
          <w:rtl/>
        </w:rPr>
        <w:t xml:space="preserve">(עי' אות </w:t>
      </w:r>
      <w:r w:rsidRPr="00835856">
        <w:rPr>
          <w:rStyle w:val="aff6"/>
          <w:rtl/>
        </w:rPr>
        <w:fldChar w:fldCharType="begin"/>
      </w:r>
      <w:r w:rsidRPr="00835856">
        <w:rPr>
          <w:rStyle w:val="aff6"/>
          <w:rtl/>
        </w:rPr>
        <w:instrText xml:space="preserve"> </w:instrText>
      </w:r>
      <w:r w:rsidRPr="00835856">
        <w:rPr>
          <w:rStyle w:val="aff6"/>
          <w:rFonts w:hint="cs"/>
        </w:rPr>
        <w:instrText>REF</w:instrText>
      </w:r>
      <w:r w:rsidRPr="00835856">
        <w:rPr>
          <w:rStyle w:val="aff6"/>
          <w:rFonts w:hint="cs"/>
          <w:rtl/>
        </w:rPr>
        <w:instrText xml:space="preserve"> _</w:instrText>
      </w:r>
      <w:r w:rsidRPr="00835856">
        <w:rPr>
          <w:rStyle w:val="aff6"/>
          <w:rFonts w:hint="cs"/>
        </w:rPr>
        <w:instrText>Ref4271076 \r \h</w:instrText>
      </w:r>
      <w:r w:rsidRPr="00835856">
        <w:rPr>
          <w:rStyle w:val="aff6"/>
          <w:rtl/>
        </w:rPr>
        <w:instrText xml:space="preserve"> </w:instrText>
      </w:r>
      <w:r w:rsidRPr="00835856">
        <w:rPr>
          <w:rStyle w:val="aff6"/>
          <w:rtl/>
        </w:rPr>
      </w:r>
      <w:r w:rsidRPr="00835856">
        <w:rPr>
          <w:rStyle w:val="aff6"/>
          <w:rtl/>
        </w:rPr>
        <w:fldChar w:fldCharType="separate"/>
      </w:r>
      <w:r w:rsidR="00345400">
        <w:rPr>
          <w:rStyle w:val="aff6"/>
          <w:cs/>
        </w:rPr>
        <w:t>‎</w:t>
      </w:r>
      <w:r w:rsidR="00345400">
        <w:rPr>
          <w:rStyle w:val="aff6"/>
          <w:rtl/>
        </w:rPr>
        <w:t>יב)</w:t>
      </w:r>
      <w:r w:rsidRPr="00835856">
        <w:rPr>
          <w:rStyle w:val="aff6"/>
          <w:rtl/>
        </w:rPr>
        <w:fldChar w:fldCharType="end"/>
      </w:r>
      <w:r w:rsidRPr="00835856">
        <w:rPr>
          <w:rStyle w:val="afb"/>
          <w:rFonts w:hint="cs"/>
          <w:rtl/>
        </w:rPr>
        <w:t>],</w:t>
      </w:r>
      <w:r>
        <w:rPr>
          <w:rFonts w:hint="cs"/>
          <w:rtl/>
        </w:rPr>
        <w:t xml:space="preserve"> ואעפ"י דהשליל נחשב כאבר מאברי אמו, ואיל לסימניו דין סימנים, מ"מ אמרינן דלר"י הוא בכרת כדם התמצית ואינו כדם האיברים שהוא בלאו, ומוכח שיש לשליל חיות וחשיב כבהמה בפנ"ע, ולכן יש לסימנים שלו דין דם התמצית כסימני הבהמה.</w:t>
      </w:r>
    </w:p>
    <w:p w14:paraId="2EB6CEF4" w14:textId="77777777" w:rsidR="003D504D" w:rsidRDefault="003D504D" w:rsidP="003D504D">
      <w:pPr>
        <w:pStyle w:val="a3"/>
        <w:rPr>
          <w:rtl/>
        </w:rPr>
      </w:pPr>
      <w:bookmarkStart w:id="26866" w:name="_Toc4330799"/>
      <w:bookmarkStart w:id="26867" w:name="_Toc19392328"/>
      <w:bookmarkStart w:id="26868" w:name="_Toc19395825"/>
      <w:r>
        <w:rPr>
          <w:rFonts w:hint="cs"/>
          <w:rtl/>
        </w:rPr>
        <w:t>ביאור הגר"א גורדון דסימניו כשחוטים בשחיטת האם ולכן דם הסימנים אינו דם שחיטה</w:t>
      </w:r>
      <w:bookmarkEnd w:id="26866"/>
      <w:bookmarkEnd w:id="26867"/>
      <w:bookmarkEnd w:id="26868"/>
    </w:p>
    <w:p w14:paraId="362E3AC9" w14:textId="77777777" w:rsidR="003D504D" w:rsidRPr="002125FB" w:rsidRDefault="003D504D" w:rsidP="00223668">
      <w:pPr>
        <w:pStyle w:val="a0"/>
      </w:pPr>
      <w:r>
        <w:rPr>
          <w:rFonts w:hint="cs"/>
          <w:rtl/>
        </w:rPr>
        <w:t xml:space="preserve">אלא ביאר </w:t>
      </w:r>
      <w:r w:rsidRPr="00835856">
        <w:rPr>
          <w:rStyle w:val="af9"/>
          <w:rFonts w:hint="cs"/>
          <w:rtl/>
        </w:rPr>
        <w:t>הגר"א גורדון</w:t>
      </w:r>
      <w:r>
        <w:rPr>
          <w:rFonts w:hint="cs"/>
          <w:rtl/>
        </w:rPr>
        <w:t xml:space="preserve"> דמ"מ כיון שע"י שחיטת סימני אמו חשיבי סימניו כשחוטים, לכן כשאח"כ שוחט או נוחר את סימני העובר, חשיב כדם התמצית שיוצא מהסימנים ולא כדם השחיטה, דהוא בלאו ולא בכרת.</w:t>
      </w:r>
    </w:p>
    <w:p w14:paraId="26920A30" w14:textId="77777777" w:rsidR="003D504D" w:rsidRDefault="003D504D" w:rsidP="003D504D">
      <w:pPr>
        <w:pStyle w:val="a3"/>
      </w:pPr>
      <w:bookmarkStart w:id="26869" w:name="_Toc4330800"/>
      <w:bookmarkStart w:id="26870" w:name="_Toc19392329"/>
      <w:bookmarkStart w:id="26871" w:name="_Toc19395826"/>
      <w:r>
        <w:rPr>
          <w:rFonts w:hint="cs"/>
          <w:rtl/>
        </w:rPr>
        <w:t>ביאור הגר"א גורדון ברמב"ם דמוכח דדין סימני השליל כסימני אמו ואף דם לבו כדם אמו דבכרת</w:t>
      </w:r>
      <w:bookmarkEnd w:id="26869"/>
      <w:bookmarkEnd w:id="26870"/>
      <w:bookmarkEnd w:id="26871"/>
    </w:p>
    <w:p w14:paraId="4B9D8CC2" w14:textId="77777777" w:rsidR="003D504D" w:rsidRDefault="003D504D" w:rsidP="00223668">
      <w:pPr>
        <w:pStyle w:val="a0"/>
        <w:rPr>
          <w:rtl/>
        </w:rPr>
      </w:pPr>
      <w:r>
        <w:rPr>
          <w:rFonts w:hint="cs"/>
          <w:rtl/>
        </w:rPr>
        <w:t xml:space="preserve">ובזה ביאר </w:t>
      </w:r>
      <w:r w:rsidRPr="00835856">
        <w:rPr>
          <w:rStyle w:val="af9"/>
          <w:rFonts w:hint="cs"/>
          <w:rtl/>
        </w:rPr>
        <w:t>הגר"א גורדון</w:t>
      </w:r>
      <w:r>
        <w:rPr>
          <w:rFonts w:hint="cs"/>
          <w:rtl/>
        </w:rPr>
        <w:t xml:space="preserve"> את דברי </w:t>
      </w:r>
      <w:r w:rsidRPr="00835856">
        <w:rPr>
          <w:rStyle w:val="af9"/>
          <w:rFonts w:hint="cs"/>
          <w:rtl/>
        </w:rPr>
        <w:t>הרמב"ם</w:t>
      </w:r>
      <w:r>
        <w:rPr>
          <w:rFonts w:hint="cs"/>
          <w:rtl/>
        </w:rPr>
        <w:t xml:space="preserve"> דס"ל דלריו"ח בדם הכנוס בלבו יש חיוב כרת אליבא דרבנן, דכיון דמוכח דסימניו אינם כאבר מהבהמה, אלא דין סימני השליל כדין סימני הבהמה עצמה, א"כ ה"ה בדם הכנסו בלבו דדינו כדם הכנוס בלבה של הבהמה עצמה שהוא בכרת, דבו יוצאת נפשו של השליל שיש לו חיות בפנ"ע, ולכן לגבי איסור הדם דינו כבהמה בפנ"ע.</w:t>
      </w:r>
    </w:p>
    <w:p w14:paraId="762DC697" w14:textId="77777777" w:rsidR="003D504D" w:rsidRDefault="003D504D" w:rsidP="00223668">
      <w:pPr>
        <w:pStyle w:val="a0"/>
        <w:numPr>
          <w:ilvl w:val="0"/>
          <w:numId w:val="0"/>
        </w:numPr>
        <w:rPr>
          <w:rtl/>
        </w:rPr>
        <w:sectPr w:rsidR="003D504D" w:rsidSect="005049E2">
          <w:type w:val="continuous"/>
          <w:pgSz w:w="11906" w:h="16838"/>
          <w:pgMar w:top="720" w:right="720" w:bottom="720" w:left="720" w:header="283" w:footer="283" w:gutter="0"/>
          <w:cols w:num="2" w:space="567"/>
          <w:titlePg/>
          <w:bidi/>
          <w:rtlGutter/>
          <w:docGrid w:linePitch="299"/>
        </w:sectPr>
      </w:pPr>
    </w:p>
    <w:p w14:paraId="55288012" w14:textId="77777777" w:rsidR="00F648BE" w:rsidRPr="00F648BE" w:rsidRDefault="00F648BE" w:rsidP="00223668">
      <w:pPr>
        <w:pStyle w:val="a0"/>
        <w:numPr>
          <w:ilvl w:val="0"/>
          <w:numId w:val="0"/>
        </w:numPr>
        <w:rPr>
          <w:rtl/>
        </w:rPr>
      </w:pPr>
    </w:p>
    <w:sectPr w:rsidR="00F648BE" w:rsidRPr="00F648BE" w:rsidSect="005049E2">
      <w:type w:val="continuous"/>
      <w:pgSz w:w="11906" w:h="16838"/>
      <w:pgMar w:top="720" w:right="720" w:bottom="720" w:left="720" w:header="283" w:footer="283" w:gutter="0"/>
      <w:cols w:num="2" w:space="567"/>
      <w:titlePg/>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5B7C1" w14:textId="77777777" w:rsidR="009B00E6" w:rsidRDefault="009B00E6" w:rsidP="00F35477">
      <w:pPr>
        <w:spacing w:line="240" w:lineRule="auto"/>
      </w:pPr>
      <w:r>
        <w:separator/>
      </w:r>
    </w:p>
    <w:p w14:paraId="2BE72C0D" w14:textId="77777777" w:rsidR="009B00E6" w:rsidRDefault="009B00E6"/>
  </w:endnote>
  <w:endnote w:type="continuationSeparator" w:id="0">
    <w:p w14:paraId="14A948F6" w14:textId="77777777" w:rsidR="009B00E6" w:rsidRDefault="009B00E6" w:rsidP="00F35477">
      <w:pPr>
        <w:spacing w:line="240" w:lineRule="auto"/>
      </w:pPr>
      <w:r>
        <w:continuationSeparator/>
      </w:r>
    </w:p>
    <w:p w14:paraId="3D60B7CB" w14:textId="77777777" w:rsidR="009B00E6" w:rsidRDefault="009B00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ttman Adii-Light">
    <w:panose1 w:val="02010401010101010101"/>
    <w:charset w:val="B1"/>
    <w:family w:val="auto"/>
    <w:pitch w:val="variable"/>
    <w:sig w:usb0="00000801" w:usb1="40000000" w:usb2="00000000" w:usb3="00000000" w:csb0="0000002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uttman Rashi">
    <w:panose1 w:val="02010401010101010101"/>
    <w:charset w:val="B1"/>
    <w:family w:val="auto"/>
    <w:pitch w:val="variable"/>
    <w:sig w:usb0="00000801" w:usb1="40000000" w:usb2="00000000" w:usb3="00000000" w:csb0="00000020" w:csb1="00000000"/>
  </w:font>
  <w:font w:name="David">
    <w:panose1 w:val="020E0502060401010101"/>
    <w:charset w:val="00"/>
    <w:family w:val="swiss"/>
    <w:pitch w:val="variable"/>
    <w:sig w:usb0="00000803" w:usb1="00000000" w:usb2="00000000" w:usb3="00000000" w:csb0="00000021" w:csb1="00000000"/>
  </w:font>
  <w:font w:name="FrankRuehl">
    <w:panose1 w:val="020E050306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5C01" w14:textId="77777777" w:rsidR="00345400" w:rsidRPr="00FB1EA5" w:rsidRDefault="00345400" w:rsidP="00852065">
    <w:pPr>
      <w:pStyle w:val="ab"/>
      <w:ind w:left="0"/>
      <w:rPr>
        <w:rFonts w:cs="Guttman Hodes"/>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2139D" w14:textId="77777777" w:rsidR="00345400" w:rsidRPr="006B0BD2" w:rsidRDefault="00345400" w:rsidP="00413DD0">
    <w:pPr>
      <w:pStyle w:val="ab"/>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76EFCC9" wp14:editId="17E46B03">
              <wp:simplePos x="0" y="0"/>
              <wp:positionH relativeFrom="margin">
                <wp:posOffset>5003083</wp:posOffset>
              </wp:positionH>
              <wp:positionV relativeFrom="paragraph">
                <wp:posOffset>-50718</wp:posOffset>
              </wp:positionV>
              <wp:extent cx="1511935" cy="460375"/>
              <wp:effectExtent l="0" t="0" r="0" b="0"/>
              <wp:wrapNone/>
              <wp:docPr id="3" name="תיבת טקסט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BC9FD" w14:textId="77777777" w:rsidR="00345400" w:rsidRDefault="00345400" w:rsidP="00413DD0">
                          <w:pPr>
                            <w:ind w:left="0"/>
                            <w:jc w:val="center"/>
                            <w:rPr>
                              <w:b/>
                              <w:bCs/>
                              <w:sz w:val="16"/>
                              <w:szCs w:val="16"/>
                            </w:rPr>
                          </w:pPr>
                          <w:r>
                            <w:rPr>
                              <w:b/>
                              <w:bCs/>
                              <w:sz w:val="16"/>
                              <w:szCs w:val="16"/>
                              <w:rtl/>
                            </w:rPr>
                            <w:t>שלמה הנדל - בית הלל</w:t>
                          </w:r>
                        </w:p>
                        <w:p w14:paraId="3C10ACE0" w14:textId="77777777" w:rsidR="00345400" w:rsidRDefault="00345400" w:rsidP="00413DD0">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FE6D593" id="_x0000_t202" coordsize="21600,21600" o:spt="202" path="m,l,21600r21600,l21600,xe">
              <v:stroke joinstyle="miter"/>
              <v:path gradientshapeok="t" o:connecttype="rect"/>
            </v:shapetype>
            <v:shape id="תיבת טקסט 3" o:spid="_x0000_s1034" type="#_x0000_t202" style="position:absolute;left:0;text-align:left;margin-left:393.95pt;margin-top:-4pt;width:119.05pt;height:36.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" stroked="f">
              <v:textbox>
                <w:txbxContent>
                  <w:p w:rsidR="00345400" w:rsidRDefault="00345400" w:rsidP="00413DD0">
                    <w:pPr>
                      <w:ind w:left="0"/>
                      <w:jc w:val="center"/>
                      <w:rPr>
                        <w:b/>
                        <w:bCs/>
                        <w:sz w:val="16"/>
                        <w:szCs w:val="16"/>
                      </w:rPr>
                    </w:pPr>
                    <w:r>
                      <w:rPr>
                        <w:b/>
                        <w:bCs/>
                        <w:sz w:val="16"/>
                        <w:szCs w:val="16"/>
                        <w:rtl/>
                      </w:rPr>
                      <w:t>שלמה הנדל - בית הלל</w:t>
                    </w:r>
                  </w:p>
                  <w:p w:rsidR="00345400" w:rsidRDefault="00345400" w:rsidP="00413DD0">
                    <w:pPr>
                      <w:ind w:left="0"/>
                      <w:jc w:val="center"/>
                      <w:rPr>
                        <w:sz w:val="16"/>
                        <w:szCs w:val="16"/>
                      </w:rPr>
                    </w:pPr>
                    <w:r>
                      <w:rPr>
                        <w:b/>
                        <w:bCs/>
                        <w:sz w:val="16"/>
                        <w:szCs w:val="16"/>
                        <w:rtl/>
                      </w:rPr>
                      <w:t>052-7676412</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0EA0A36" wp14:editId="1D969555">
              <wp:simplePos x="0" y="0"/>
              <wp:positionH relativeFrom="margin">
                <wp:posOffset>-218092</wp:posOffset>
              </wp:positionH>
              <wp:positionV relativeFrom="paragraph">
                <wp:posOffset>-73803</wp:posOffset>
              </wp:positionV>
              <wp:extent cx="1002665" cy="264160"/>
              <wp:effectExtent l="0" t="0" r="26035" b="21590"/>
              <wp:wrapNone/>
              <wp:docPr id="4"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C260C4C" w14:textId="77777777" w:rsidR="00345400" w:rsidRDefault="00345400" w:rsidP="00413DD0">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41A63C" id="תיבת טקסט 4" o:spid="_x0000_s1035" type="#_x0000_t202" style="position:absolute;left:0;text-align:left;margin-left:-17.15pt;margin-top:-5.8pt;width:78.95pt;height:20.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jHRAIAAGE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" strokeweight="1.25pt">
              <v:textbox>
                <w:txbxContent>
                  <w:p w:rsidR="00345400" w:rsidRDefault="00345400" w:rsidP="00413DD0">
                    <w:pPr>
                      <w:ind w:left="0"/>
                      <w:rPr>
                        <w:b/>
                        <w:bCs/>
                        <w:sz w:val="18"/>
                        <w:szCs w:val="18"/>
                      </w:rPr>
                    </w:pPr>
                    <w:r>
                      <w:rPr>
                        <w:b/>
                        <w:bCs/>
                        <w:sz w:val="18"/>
                        <w:szCs w:val="18"/>
                        <w:rtl/>
                      </w:rPr>
                      <w:t>המשך בעמ' הבא</w:t>
                    </w:r>
                  </w:p>
                </w:txbxContent>
              </v:textbox>
              <w10:wrap anchorx="margin"/>
            </v:shape>
          </w:pict>
        </mc:Fallback>
      </mc:AlternateContent>
    </w:r>
  </w:p>
  <w:p w14:paraId="1CF75FC7" w14:textId="77777777" w:rsidR="00345400" w:rsidRDefault="00345400">
    <w:pPr>
      <w:pStyle w:val="ab"/>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37A6" w14:textId="77777777" w:rsidR="00345400" w:rsidRDefault="00345400">
    <w:pPr>
      <w:pStyle w:val="ab"/>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26BEF" w14:textId="77777777" w:rsidR="00345400" w:rsidRDefault="00345400" w:rsidP="00533768">
    <w:pPr>
      <w:pStyle w:val="ab"/>
    </w:pPr>
    <w:r>
      <w:rPr>
        <w:noProof/>
      </w:rPr>
      <mc:AlternateContent>
        <mc:Choice Requires="wps">
          <w:drawing>
            <wp:anchor distT="0" distB="0" distL="114300" distR="114300" simplePos="0" relativeHeight="251664384" behindDoc="0" locked="0" layoutInCell="1" allowOverlap="1" wp14:anchorId="34EB9DF2" wp14:editId="4E170C01">
              <wp:simplePos x="0" y="0"/>
              <wp:positionH relativeFrom="margin">
                <wp:align>left</wp:align>
              </wp:positionH>
              <wp:positionV relativeFrom="paragraph">
                <wp:posOffset>7327</wp:posOffset>
              </wp:positionV>
              <wp:extent cx="1002665" cy="264160"/>
              <wp:effectExtent l="0" t="0" r="26035" b="21590"/>
              <wp:wrapNone/>
              <wp:docPr id="7" name="תיבת טקסט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1147E2F" w14:textId="77777777" w:rsidR="00345400" w:rsidRDefault="00345400" w:rsidP="00533768">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F927416" id="_x0000_t202" coordsize="21600,21600" o:spt="202" path="m,l,21600r21600,l21600,xe">
              <v:stroke joinstyle="miter"/>
              <v:path gradientshapeok="t" o:connecttype="rect"/>
            </v:shapetype>
            <v:shape id="תיבת טקסט 7" o:spid="_x0000_s1036" type="#_x0000_t202" style="position:absolute;left:0;text-align:left;margin-left:0;margin-top:.6pt;width:78.95pt;height:20.8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" strokeweight="1.25pt">
              <v:textbox>
                <w:txbxContent>
                  <w:p w:rsidR="00345400" w:rsidRDefault="00345400" w:rsidP="00533768">
                    <w:pPr>
                      <w:ind w:left="0"/>
                      <w:rPr>
                        <w:b/>
                        <w:bCs/>
                        <w:sz w:val="18"/>
                        <w:szCs w:val="18"/>
                      </w:rPr>
                    </w:pPr>
                    <w:r>
                      <w:rPr>
                        <w:b/>
                        <w:bCs/>
                        <w:sz w:val="18"/>
                        <w:szCs w:val="18"/>
                        <w:rtl/>
                      </w:rPr>
                      <w:t>המשך בעמ' הבא</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653459F4" wp14:editId="246BCC72">
              <wp:simplePos x="0" y="0"/>
              <wp:positionH relativeFrom="margin">
                <wp:posOffset>3969727</wp:posOffset>
              </wp:positionH>
              <wp:positionV relativeFrom="paragraph">
                <wp:posOffset>7327</wp:posOffset>
              </wp:positionV>
              <wp:extent cx="1511935" cy="460375"/>
              <wp:effectExtent l="0" t="0" r="0" b="0"/>
              <wp:wrapNone/>
              <wp:docPr id="8"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2B698A" w14:textId="77777777" w:rsidR="00345400" w:rsidRDefault="00345400" w:rsidP="00533768">
                          <w:pPr>
                            <w:ind w:left="0"/>
                            <w:jc w:val="center"/>
                            <w:rPr>
                              <w:b/>
                              <w:bCs/>
                              <w:sz w:val="16"/>
                              <w:szCs w:val="16"/>
                            </w:rPr>
                          </w:pPr>
                          <w:r>
                            <w:rPr>
                              <w:b/>
                              <w:bCs/>
                              <w:sz w:val="16"/>
                              <w:szCs w:val="16"/>
                              <w:rtl/>
                            </w:rPr>
                            <w:t>שלמה הנדל - בית הלל</w:t>
                          </w:r>
                        </w:p>
                        <w:p w14:paraId="027C9DC4" w14:textId="77777777" w:rsidR="00345400" w:rsidRDefault="00345400" w:rsidP="00533768">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92EF3A" id="תיבת טקסט 8" o:spid="_x0000_s1037" type="#_x0000_t202" style="position:absolute;left:0;text-align:left;margin-left:312.6pt;margin-top:.6pt;width:119.05pt;height:36.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" stroked="f">
              <v:textbox>
                <w:txbxContent>
                  <w:p w:rsidR="00345400" w:rsidRDefault="00345400" w:rsidP="00533768">
                    <w:pPr>
                      <w:ind w:left="0"/>
                      <w:jc w:val="center"/>
                      <w:rPr>
                        <w:b/>
                        <w:bCs/>
                        <w:sz w:val="16"/>
                        <w:szCs w:val="16"/>
                      </w:rPr>
                    </w:pPr>
                    <w:r>
                      <w:rPr>
                        <w:b/>
                        <w:bCs/>
                        <w:sz w:val="16"/>
                        <w:szCs w:val="16"/>
                        <w:rtl/>
                      </w:rPr>
                      <w:t>שלמה הנדל - בית הלל</w:t>
                    </w:r>
                  </w:p>
                  <w:p w:rsidR="00345400" w:rsidRDefault="00345400" w:rsidP="00533768">
                    <w:pPr>
                      <w:ind w:left="0"/>
                      <w:jc w:val="center"/>
                      <w:rPr>
                        <w:sz w:val="16"/>
                        <w:szCs w:val="16"/>
                      </w:rPr>
                    </w:pPr>
                    <w:r>
                      <w:rPr>
                        <w:b/>
                        <w:bCs/>
                        <w:sz w:val="16"/>
                        <w:szCs w:val="16"/>
                        <w:rtl/>
                      </w:rPr>
                      <w:t>052-7676412</w:t>
                    </w:r>
                  </w:p>
                </w:txbxContent>
              </v:textbox>
              <w10:wrap anchorx="margin"/>
            </v:shape>
          </w:pict>
        </mc:Fallback>
      </mc:AlternateContent>
    </w:r>
  </w:p>
  <w:p w14:paraId="7EA39593" w14:textId="77777777" w:rsidR="00345400" w:rsidRDefault="00345400">
    <w:pPr>
      <w:pStyle w:val="ab"/>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756635220"/>
      <w:docPartObj>
        <w:docPartGallery w:val="Page Numbers (Bottom of Page)"/>
        <w:docPartUnique/>
      </w:docPartObj>
    </w:sdtPr>
    <w:sdtEndPr>
      <w:rPr>
        <w:cs/>
      </w:rPr>
    </w:sdtEndPr>
    <w:sdtContent>
      <w:p w14:paraId="10F75BD4" w14:textId="77777777" w:rsidR="00345400" w:rsidRPr="003324B3" w:rsidRDefault="00345400" w:rsidP="003324B3">
        <w:pPr>
          <w:pStyle w:val="ab"/>
          <w:ind w:left="0"/>
          <w:jc w:val="center"/>
          <w:rPr>
            <w:rFonts w:cs="Guttman Hodes"/>
            <w:rtl/>
            <w:cs/>
          </w:rPr>
        </w:pPr>
        <w:r w:rsidRPr="003324B3">
          <w:rPr>
            <w:rFonts w:cs="Guttman Hodes"/>
          </w:rPr>
          <w:fldChar w:fldCharType="begin"/>
        </w:r>
        <w:r w:rsidRPr="003324B3">
          <w:rPr>
            <w:rFonts w:cs="Guttman Hodes"/>
            <w:rtl/>
            <w:cs/>
          </w:rPr>
          <w:instrText>PAGE   \* MERGEFORMAT</w:instrText>
        </w:r>
        <w:r w:rsidRPr="003324B3">
          <w:rPr>
            <w:rFonts w:cs="Guttman Hodes"/>
          </w:rPr>
          <w:fldChar w:fldCharType="separate"/>
        </w:r>
        <w:r w:rsidR="00017240" w:rsidRPr="00017240">
          <w:rPr>
            <w:rFonts w:cs="Guttman Hodes"/>
            <w:noProof/>
            <w:rtl/>
            <w:lang w:val="he-IL"/>
          </w:rPr>
          <w:t>7</w:t>
        </w:r>
        <w:r w:rsidR="00017240" w:rsidRPr="00017240">
          <w:rPr>
            <w:rFonts w:cs="Guttman Hodes"/>
            <w:noProof/>
            <w:rtl/>
            <w:lang w:val="he-IL"/>
          </w:rPr>
          <w:t>8</w:t>
        </w:r>
        <w:r w:rsidRPr="003324B3">
          <w:rPr>
            <w:rFonts w:cs="Guttman Hodes"/>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2002265389"/>
      <w:docPartObj>
        <w:docPartGallery w:val="Page Numbers (Bottom of Page)"/>
        <w:docPartUnique/>
      </w:docPartObj>
    </w:sdtPr>
    <w:sdtEndPr/>
    <w:sdtContent>
      <w:p w14:paraId="50E801D7" w14:textId="77777777" w:rsidR="00345400" w:rsidRPr="00EF7287" w:rsidRDefault="00345400" w:rsidP="00FC2F89">
        <w:pPr>
          <w:pStyle w:val="ab"/>
          <w:ind w:left="0"/>
          <w:jc w:val="center"/>
          <w:rPr>
            <w:rFonts w:cs="Guttman Hodes"/>
            <w:rtl/>
          </w:rPr>
        </w:pPr>
        <w:r w:rsidRPr="00EF7287">
          <w:rPr>
            <w:rFonts w:cs="Guttman Hodes"/>
          </w:rPr>
          <w:fldChar w:fldCharType="begin"/>
        </w:r>
        <w:r w:rsidRPr="00EF7287">
          <w:rPr>
            <w:rFonts w:cs="Guttman Hodes"/>
            <w:rtl/>
            <w:cs/>
          </w:rPr>
          <w:instrText>PAGE   \* MERGEFORMAT</w:instrText>
        </w:r>
        <w:r w:rsidRPr="00EF7287">
          <w:rPr>
            <w:rFonts w:cs="Guttman Hodes"/>
          </w:rPr>
          <w:fldChar w:fldCharType="separate"/>
        </w:r>
        <w:r w:rsidR="00017240" w:rsidRPr="00017240">
          <w:rPr>
            <w:rFonts w:cs="Guttman Hodes"/>
            <w:noProof/>
            <w:rtl/>
            <w:lang w:val="he-IL"/>
          </w:rPr>
          <w:t>10</w:t>
        </w:r>
        <w:r w:rsidR="00017240" w:rsidRPr="00017240">
          <w:rPr>
            <w:rFonts w:cs="Guttman Hodes"/>
            <w:noProof/>
            <w:rtl/>
            <w:lang w:val="he-IL"/>
          </w:rPr>
          <w:t>6</w:t>
        </w:r>
        <w:r w:rsidRPr="00EF7287">
          <w:rPr>
            <w:rFonts w:cs="Guttman Hodes"/>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27123979"/>
      <w:docPartObj>
        <w:docPartGallery w:val="Page Numbers (Bottom of Page)"/>
        <w:docPartUnique/>
      </w:docPartObj>
    </w:sdtPr>
    <w:sdtEndPr>
      <w:rPr>
        <w:cs/>
      </w:rPr>
    </w:sdtEndPr>
    <w:sdtContent>
      <w:p w14:paraId="71DE1F7B" w14:textId="77777777" w:rsidR="00345400" w:rsidRDefault="00345400">
        <w:pPr>
          <w:pStyle w:val="ab"/>
          <w:jc w:val="right"/>
          <w:rPr>
            <w:rtl/>
            <w:cs/>
          </w:rPr>
        </w:pPr>
        <w:r>
          <w:fldChar w:fldCharType="begin"/>
        </w:r>
        <w:r>
          <w:rPr>
            <w:rtl/>
            <w:cs/>
          </w:rPr>
          <w:instrText>PAGE   \* MERGEFORMAT</w:instrText>
        </w:r>
        <w:r>
          <w:fldChar w:fldCharType="separate"/>
        </w:r>
        <w:r w:rsidRPr="0065529E">
          <w:rPr>
            <w:noProof/>
            <w:rtl/>
            <w:lang w:val="he-IL"/>
          </w:rPr>
          <w:t>1</w:t>
        </w:r>
        <w:r>
          <w:fldChar w:fldCharType="end"/>
        </w:r>
      </w:p>
    </w:sdtContent>
  </w:sdt>
  <w:p w14:paraId="716AB195" w14:textId="77777777" w:rsidR="00345400" w:rsidRDefault="00345400">
    <w:pPr>
      <w:pStyle w:val="ab"/>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6E811" w14:textId="77777777" w:rsidR="00345400" w:rsidRDefault="00345400" w:rsidP="00BC7F90">
    <w:pPr>
      <w:pStyle w:val="ab"/>
    </w:pPr>
    <w:r>
      <w:rPr>
        <w:noProof/>
      </w:rPr>
      <mc:AlternateContent>
        <mc:Choice Requires="wps">
          <w:drawing>
            <wp:anchor distT="0" distB="0" distL="114300" distR="114300" simplePos="0" relativeHeight="251667456" behindDoc="0" locked="0" layoutInCell="1" allowOverlap="1" wp14:anchorId="568EECFB" wp14:editId="44264288">
              <wp:simplePos x="0" y="0"/>
              <wp:positionH relativeFrom="margin">
                <wp:posOffset>537927</wp:posOffset>
              </wp:positionH>
              <wp:positionV relativeFrom="paragraph">
                <wp:posOffset>-194986</wp:posOffset>
              </wp:positionV>
              <wp:extent cx="1002665" cy="264160"/>
              <wp:effectExtent l="0" t="0" r="26035" b="21590"/>
              <wp:wrapNone/>
              <wp:docPr id="5" name="תיבת טקסט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E5D3993" w14:textId="77777777" w:rsidR="00345400" w:rsidRDefault="00345400" w:rsidP="00BC7F90">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522AB49" id="_x0000_t202" coordsize="21600,21600" o:spt="202" path="m,l,21600r21600,l21600,xe">
              <v:stroke joinstyle="miter"/>
              <v:path gradientshapeok="t" o:connecttype="rect"/>
            </v:shapetype>
            <v:shape id="תיבת טקסט 5" o:spid="_x0000_s1038" type="#_x0000_t202" style="position:absolute;left:0;text-align:left;margin-left:42.35pt;margin-top:-15.35pt;width:78.95pt;height:20.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" strokeweight="1.25pt">
              <v:textbox>
                <w:txbxContent>
                  <w:p w:rsidR="00345400" w:rsidRDefault="00345400" w:rsidP="00BC7F90">
                    <w:pPr>
                      <w:ind w:left="0"/>
                      <w:rPr>
                        <w:b/>
                        <w:bCs/>
                        <w:sz w:val="18"/>
                        <w:szCs w:val="18"/>
                      </w:rPr>
                    </w:pPr>
                    <w:r>
                      <w:rPr>
                        <w:b/>
                        <w:bCs/>
                        <w:sz w:val="18"/>
                        <w:szCs w:val="18"/>
                        <w:rtl/>
                      </w:rPr>
                      <w:t>המשך בעמ' הבא</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0AD34416" wp14:editId="65E7A9F3">
              <wp:simplePos x="0" y="0"/>
              <wp:positionH relativeFrom="margin">
                <wp:posOffset>4466938</wp:posOffset>
              </wp:positionH>
              <wp:positionV relativeFrom="paragraph">
                <wp:posOffset>-191872</wp:posOffset>
              </wp:positionV>
              <wp:extent cx="1511935" cy="460375"/>
              <wp:effectExtent l="0" t="0" r="0" b="0"/>
              <wp:wrapNone/>
              <wp:docPr id="6" name="תיבת טקסט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D375F" w14:textId="77777777" w:rsidR="00345400" w:rsidRDefault="00345400" w:rsidP="00BC7F90">
                          <w:pPr>
                            <w:ind w:left="0"/>
                            <w:jc w:val="center"/>
                            <w:rPr>
                              <w:b/>
                              <w:bCs/>
                              <w:sz w:val="16"/>
                              <w:szCs w:val="16"/>
                            </w:rPr>
                          </w:pPr>
                          <w:r>
                            <w:rPr>
                              <w:b/>
                              <w:bCs/>
                              <w:sz w:val="16"/>
                              <w:szCs w:val="16"/>
                              <w:rtl/>
                            </w:rPr>
                            <w:t>שלמה הנדל בית הלל</w:t>
                          </w:r>
                        </w:p>
                        <w:p w14:paraId="5281F15B" w14:textId="77777777" w:rsidR="00345400" w:rsidRDefault="00345400" w:rsidP="00BC7F90">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F534EC" id="תיבת טקסט 6" o:spid="_x0000_s1039" type="#_x0000_t202" style="position:absolute;left:0;text-align:left;margin-left:351.75pt;margin-top:-15.1pt;width:119.05pt;height:36.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" stroked="f">
              <v:textbox>
                <w:txbxContent>
                  <w:p w:rsidR="00345400" w:rsidRDefault="00345400" w:rsidP="00BC7F90">
                    <w:pPr>
                      <w:ind w:left="0"/>
                      <w:jc w:val="center"/>
                      <w:rPr>
                        <w:b/>
                        <w:bCs/>
                        <w:sz w:val="16"/>
                        <w:szCs w:val="16"/>
                      </w:rPr>
                    </w:pPr>
                    <w:r>
                      <w:rPr>
                        <w:b/>
                        <w:bCs/>
                        <w:sz w:val="16"/>
                        <w:szCs w:val="16"/>
                        <w:rtl/>
                      </w:rPr>
                      <w:t>שלמה הנדל בית הלל</w:t>
                    </w:r>
                  </w:p>
                  <w:p w:rsidR="00345400" w:rsidRDefault="00345400" w:rsidP="00BC7F90">
                    <w:pPr>
                      <w:ind w:left="0"/>
                      <w:jc w:val="center"/>
                      <w:rPr>
                        <w:sz w:val="16"/>
                        <w:szCs w:val="16"/>
                      </w:rPr>
                    </w:pPr>
                    <w:r>
                      <w:rPr>
                        <w:b/>
                        <w:bCs/>
                        <w:sz w:val="16"/>
                        <w:szCs w:val="16"/>
                        <w:rtl/>
                      </w:rPr>
                      <w:t>052-7676412</w:t>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44F7F" w14:textId="77777777" w:rsidR="00345400" w:rsidRPr="006032B5" w:rsidRDefault="00345400" w:rsidP="006032B5">
    <w:pPr>
      <w:pStyle w:val="ab"/>
      <w:rPr>
        <w:rtl/>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EBDAA" w14:textId="77777777" w:rsidR="00345400" w:rsidRDefault="00345400" w:rsidP="00FB0353">
    <w:pPr>
      <w:pStyle w:val="ab"/>
    </w:pPr>
    <w:r>
      <w:rPr>
        <w:noProof/>
      </w:rPr>
      <mc:AlternateContent>
        <mc:Choice Requires="wps">
          <w:drawing>
            <wp:anchor distT="0" distB="0" distL="114300" distR="114300" simplePos="0" relativeHeight="251670528" behindDoc="0" locked="0" layoutInCell="1" allowOverlap="1" wp14:anchorId="036FC4B2" wp14:editId="71D985FA">
              <wp:simplePos x="0" y="0"/>
              <wp:positionH relativeFrom="margin">
                <wp:posOffset>186874</wp:posOffset>
              </wp:positionH>
              <wp:positionV relativeFrom="paragraph">
                <wp:posOffset>-206232</wp:posOffset>
              </wp:positionV>
              <wp:extent cx="1002665" cy="264160"/>
              <wp:effectExtent l="0" t="0" r="26035" b="21590"/>
              <wp:wrapNone/>
              <wp:docPr id="11"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976FF39" w14:textId="77777777" w:rsidR="00345400" w:rsidRDefault="00345400" w:rsidP="00FB0353">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A64941" id="_x0000_t202" coordsize="21600,21600" o:spt="202" path="m,l,21600r21600,l21600,xe">
              <v:stroke joinstyle="miter"/>
              <v:path gradientshapeok="t" o:connecttype="rect"/>
            </v:shapetype>
            <v:shape id="תיבת טקסט 11" o:spid="_x0000_s1040" type="#_x0000_t202" style="position:absolute;left:0;text-align:left;margin-left:14.7pt;margin-top:-16.25pt;width:78.95pt;height:20.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" strokeweight="1.25pt">
              <v:textbox>
                <w:txbxContent>
                  <w:p w:rsidR="00345400" w:rsidRDefault="00345400" w:rsidP="00FB0353">
                    <w:pPr>
                      <w:ind w:left="0"/>
                      <w:rPr>
                        <w:b/>
                        <w:bCs/>
                        <w:sz w:val="18"/>
                        <w:szCs w:val="18"/>
                      </w:rPr>
                    </w:pPr>
                    <w:r>
                      <w:rPr>
                        <w:b/>
                        <w:bCs/>
                        <w:sz w:val="18"/>
                        <w:szCs w:val="18"/>
                        <w:rtl/>
                      </w:rPr>
                      <w:t>המשך בעמ' הבא</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0F5B331" wp14:editId="2CE843E1">
              <wp:simplePos x="0" y="0"/>
              <wp:positionH relativeFrom="margin">
                <wp:posOffset>4952385</wp:posOffset>
              </wp:positionH>
              <wp:positionV relativeFrom="paragraph">
                <wp:posOffset>-299126</wp:posOffset>
              </wp:positionV>
              <wp:extent cx="1511935" cy="460375"/>
              <wp:effectExtent l="0" t="0" r="0" b="0"/>
              <wp:wrapNone/>
              <wp:docPr id="12"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78749E" w14:textId="77777777" w:rsidR="00345400" w:rsidRDefault="00345400" w:rsidP="00FB0353">
                          <w:pPr>
                            <w:ind w:left="0"/>
                            <w:jc w:val="center"/>
                            <w:rPr>
                              <w:b/>
                              <w:bCs/>
                              <w:sz w:val="16"/>
                              <w:szCs w:val="16"/>
                            </w:rPr>
                          </w:pPr>
                          <w:r>
                            <w:rPr>
                              <w:b/>
                              <w:bCs/>
                              <w:sz w:val="16"/>
                              <w:szCs w:val="16"/>
                              <w:rtl/>
                            </w:rPr>
                            <w:t>שלמה הנדל - בית הלל</w:t>
                          </w:r>
                        </w:p>
                        <w:p w14:paraId="271E8447" w14:textId="77777777" w:rsidR="00345400" w:rsidRDefault="00345400" w:rsidP="00FB0353">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5A4C0C" id="תיבת טקסט 12" o:spid="_x0000_s1041" type="#_x0000_t202" style="position:absolute;left:0;text-align:left;margin-left:389.95pt;margin-top:-23.55pt;width:119.05pt;height:36.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" stroked="f">
              <v:textbox>
                <w:txbxContent>
                  <w:p w:rsidR="00345400" w:rsidRDefault="00345400" w:rsidP="00FB0353">
                    <w:pPr>
                      <w:ind w:left="0"/>
                      <w:jc w:val="center"/>
                      <w:rPr>
                        <w:b/>
                        <w:bCs/>
                        <w:sz w:val="16"/>
                        <w:szCs w:val="16"/>
                      </w:rPr>
                    </w:pPr>
                    <w:r>
                      <w:rPr>
                        <w:b/>
                        <w:bCs/>
                        <w:sz w:val="16"/>
                        <w:szCs w:val="16"/>
                        <w:rtl/>
                      </w:rPr>
                      <w:t>שלמה הנדל - בית הלל</w:t>
                    </w:r>
                  </w:p>
                  <w:p w:rsidR="00345400" w:rsidRDefault="00345400" w:rsidP="00FB0353">
                    <w:pPr>
                      <w:ind w:left="0"/>
                      <w:jc w:val="center"/>
                      <w:rPr>
                        <w:sz w:val="16"/>
                        <w:szCs w:val="16"/>
                      </w:rPr>
                    </w:pPr>
                    <w:r>
                      <w:rPr>
                        <w:b/>
                        <w:bCs/>
                        <w:sz w:val="16"/>
                        <w:szCs w:val="16"/>
                        <w:rtl/>
                      </w:rPr>
                      <w:t>052-7676412</w:t>
                    </w:r>
                  </w:p>
                </w:txbxContent>
              </v:textbox>
              <w10:wrap anchorx="margin"/>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322123493"/>
      <w:docPartObj>
        <w:docPartGallery w:val="Page Numbers (Bottom of Page)"/>
        <w:docPartUnique/>
      </w:docPartObj>
    </w:sdtPr>
    <w:sdtEndPr>
      <w:rPr>
        <w:cs/>
      </w:rPr>
    </w:sdtEndPr>
    <w:sdtContent>
      <w:p w14:paraId="568C0C07" w14:textId="77777777" w:rsidR="00345400" w:rsidRPr="008661E6" w:rsidRDefault="00345400" w:rsidP="008661E6">
        <w:pPr>
          <w:pStyle w:val="ab"/>
          <w:ind w:left="0"/>
          <w:jc w:val="center"/>
          <w:rPr>
            <w:rFonts w:cs="Guttman Hodes"/>
            <w:rtl/>
            <w:cs/>
          </w:rPr>
        </w:pPr>
        <w:r w:rsidRPr="008661E6">
          <w:rPr>
            <w:rFonts w:cs="Guttman Hodes"/>
          </w:rPr>
          <w:fldChar w:fldCharType="begin"/>
        </w:r>
        <w:r w:rsidRPr="008661E6">
          <w:rPr>
            <w:rFonts w:cs="Guttman Hodes"/>
            <w:rtl/>
            <w:cs/>
          </w:rPr>
          <w:instrText>PAGE   \* MERGEFORMAT</w:instrText>
        </w:r>
        <w:r w:rsidRPr="008661E6">
          <w:rPr>
            <w:rFonts w:cs="Guttman Hodes"/>
          </w:rPr>
          <w:fldChar w:fldCharType="separate"/>
        </w:r>
        <w:r w:rsidR="00017240" w:rsidRPr="00017240">
          <w:rPr>
            <w:rFonts w:cs="Guttman Hodes"/>
            <w:noProof/>
            <w:rtl/>
            <w:lang w:val="he-IL"/>
          </w:rPr>
          <w:t>13</w:t>
        </w:r>
        <w:r w:rsidR="00017240" w:rsidRPr="00017240">
          <w:rPr>
            <w:rFonts w:cs="Guttman Hodes"/>
            <w:noProof/>
            <w:rtl/>
            <w:lang w:val="he-IL"/>
          </w:rPr>
          <w:t>4</w:t>
        </w:r>
        <w:r w:rsidRPr="008661E6">
          <w:rPr>
            <w:rFonts w:cs="Guttman Hodes"/>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365056011"/>
      <w:docPartObj>
        <w:docPartGallery w:val="Page Numbers (Bottom of Page)"/>
        <w:docPartUnique/>
      </w:docPartObj>
    </w:sdtPr>
    <w:sdtEndPr>
      <w:rPr>
        <w:cs/>
      </w:rPr>
    </w:sdtEndPr>
    <w:sdtContent>
      <w:p w14:paraId="39D8B319" w14:textId="77777777" w:rsidR="00345400" w:rsidRPr="00A409A4" w:rsidRDefault="00345400" w:rsidP="00852065">
        <w:pPr>
          <w:pStyle w:val="ab"/>
          <w:ind w:left="0"/>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00017240" w:rsidRPr="00017240">
          <w:rPr>
            <w:rFonts w:cs="Guttman Hodes"/>
            <w:noProof/>
            <w:rtl/>
            <w:lang w:val="he-IL"/>
          </w:rPr>
          <w:t>2</w:t>
        </w:r>
        <w:r w:rsidR="00017240" w:rsidRPr="00017240">
          <w:rPr>
            <w:rFonts w:cs="Guttman Hodes"/>
            <w:noProof/>
            <w:rtl/>
            <w:lang w:val="he-IL"/>
          </w:rPr>
          <w:t>9</w:t>
        </w:r>
        <w:r w:rsidRPr="00A409A4">
          <w:rPr>
            <w:rFonts w:cs="Guttman Hodes"/>
          </w:rPr>
          <w:fldChar w:fldCharType="end"/>
        </w:r>
      </w:p>
    </w:sdtContent>
  </w:sdt>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16057400"/>
      <w:docPartObj>
        <w:docPartGallery w:val="Page Numbers (Bottom of Page)"/>
        <w:docPartUnique/>
      </w:docPartObj>
    </w:sdtPr>
    <w:sdtEndPr>
      <w:rPr>
        <w:cs/>
      </w:rPr>
    </w:sdtEndPr>
    <w:sdtContent>
      <w:p w14:paraId="4FC0D15F" w14:textId="77777777" w:rsidR="00345400" w:rsidRDefault="00345400">
        <w:pPr>
          <w:pStyle w:val="ab"/>
          <w:jc w:val="right"/>
          <w:rPr>
            <w:rtl/>
            <w:cs/>
          </w:rPr>
        </w:pPr>
        <w:r>
          <w:fldChar w:fldCharType="begin"/>
        </w:r>
        <w:r>
          <w:rPr>
            <w:rtl/>
            <w:cs/>
          </w:rPr>
          <w:instrText>PAGE   \* MERGEFORMAT</w:instrText>
        </w:r>
        <w:r>
          <w:fldChar w:fldCharType="separate"/>
        </w:r>
        <w:r w:rsidRPr="005801CA">
          <w:rPr>
            <w:rFonts w:hint="eastAsia"/>
            <w:noProof/>
            <w:rtl/>
            <w:lang w:val="he-IL"/>
          </w:rPr>
          <w:t>ק</w:t>
        </w:r>
        <w:r w:rsidRPr="005801CA">
          <w:rPr>
            <w:rFonts w:hint="eastAsia"/>
            <w:noProof/>
            <w:rtl/>
            <w:lang w:val="he-IL"/>
          </w:rPr>
          <w:t>כ</w:t>
        </w:r>
        <w:r>
          <w:fldChar w:fldCharType="end"/>
        </w:r>
      </w:p>
    </w:sdtContent>
  </w:sdt>
  <w:p w14:paraId="332D0A65" w14:textId="77777777" w:rsidR="00345400" w:rsidRDefault="00345400">
    <w:pPr>
      <w:pStyle w:val="ab"/>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EF2D0" w14:textId="77777777" w:rsidR="00345400" w:rsidRDefault="00345400" w:rsidP="00064C97">
    <w:pPr>
      <w:pStyle w:val="ab"/>
    </w:pPr>
    <w:r>
      <w:rPr>
        <w:noProof/>
      </w:rPr>
      <mc:AlternateContent>
        <mc:Choice Requires="wps">
          <w:drawing>
            <wp:anchor distT="0" distB="0" distL="114300" distR="114300" simplePos="0" relativeHeight="251673600" behindDoc="0" locked="0" layoutInCell="1" allowOverlap="1" wp14:anchorId="6580E9D9" wp14:editId="1D98253E">
              <wp:simplePos x="0" y="0"/>
              <wp:positionH relativeFrom="margin">
                <wp:posOffset>537927</wp:posOffset>
              </wp:positionH>
              <wp:positionV relativeFrom="paragraph">
                <wp:posOffset>-194986</wp:posOffset>
              </wp:positionV>
              <wp:extent cx="1002665" cy="264160"/>
              <wp:effectExtent l="0" t="0" r="26035" b="21590"/>
              <wp:wrapNone/>
              <wp:docPr id="19" name="תיבת טקסט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5D0F1A0" w14:textId="77777777" w:rsidR="00345400" w:rsidRDefault="00345400" w:rsidP="00064C97">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18BE4A" id="_x0000_t202" coordsize="21600,21600" o:spt="202" path="m,l,21600r21600,l21600,xe">
              <v:stroke joinstyle="miter"/>
              <v:path gradientshapeok="t" o:connecttype="rect"/>
            </v:shapetype>
            <v:shape id="תיבת טקסט 19" o:spid="_x0000_s1042" type="#_x0000_t202" style="position:absolute;left:0;text-align:left;margin-left:42.35pt;margin-top:-15.35pt;width:78.95pt;height:20.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" strokeweight="1.25pt">
              <v:textbox>
                <w:txbxContent>
                  <w:p w:rsidR="00345400" w:rsidRDefault="00345400" w:rsidP="00064C97">
                    <w:pPr>
                      <w:ind w:left="0"/>
                      <w:rPr>
                        <w:b/>
                        <w:bCs/>
                        <w:sz w:val="18"/>
                        <w:szCs w:val="18"/>
                      </w:rPr>
                    </w:pPr>
                    <w:r>
                      <w:rPr>
                        <w:b/>
                        <w:bCs/>
                        <w:sz w:val="18"/>
                        <w:szCs w:val="18"/>
                        <w:rtl/>
                      </w:rPr>
                      <w:t>המשך בעמ' הבא</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70D97537" wp14:editId="6172B9F0">
              <wp:simplePos x="0" y="0"/>
              <wp:positionH relativeFrom="margin">
                <wp:posOffset>4466938</wp:posOffset>
              </wp:positionH>
              <wp:positionV relativeFrom="paragraph">
                <wp:posOffset>-191872</wp:posOffset>
              </wp:positionV>
              <wp:extent cx="1511935" cy="460375"/>
              <wp:effectExtent l="0" t="0" r="0" b="0"/>
              <wp:wrapNone/>
              <wp:docPr id="20" name="תיבת טקסט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AE2E9F" w14:textId="77777777" w:rsidR="00345400" w:rsidRDefault="00345400" w:rsidP="00064C97">
                          <w:pPr>
                            <w:ind w:left="0"/>
                            <w:jc w:val="center"/>
                            <w:rPr>
                              <w:b/>
                              <w:bCs/>
                              <w:sz w:val="16"/>
                              <w:szCs w:val="16"/>
                            </w:rPr>
                          </w:pPr>
                          <w:r>
                            <w:rPr>
                              <w:b/>
                              <w:bCs/>
                              <w:sz w:val="16"/>
                              <w:szCs w:val="16"/>
                              <w:rtl/>
                            </w:rPr>
                            <w:t>שלמה הנדל - בית הלל</w:t>
                          </w:r>
                        </w:p>
                        <w:p w14:paraId="6B3F6120" w14:textId="77777777" w:rsidR="00345400" w:rsidRDefault="00345400" w:rsidP="00064C97">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36B400" id="תיבת טקסט 20" o:spid="_x0000_s1043" type="#_x0000_t202" style="position:absolute;left:0;text-align:left;margin-left:351.75pt;margin-top:-15.1pt;width:119.05pt;height:36.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" stroked="f">
              <v:textbox>
                <w:txbxContent>
                  <w:p w:rsidR="00345400" w:rsidRDefault="00345400" w:rsidP="00064C97">
                    <w:pPr>
                      <w:ind w:left="0"/>
                      <w:jc w:val="center"/>
                      <w:rPr>
                        <w:b/>
                        <w:bCs/>
                        <w:sz w:val="16"/>
                        <w:szCs w:val="16"/>
                      </w:rPr>
                    </w:pPr>
                    <w:r>
                      <w:rPr>
                        <w:b/>
                        <w:bCs/>
                        <w:sz w:val="16"/>
                        <w:szCs w:val="16"/>
                        <w:rtl/>
                      </w:rPr>
                      <w:t>שלמה הנדל - בית הלל</w:t>
                    </w:r>
                  </w:p>
                  <w:p w:rsidR="00345400" w:rsidRDefault="00345400" w:rsidP="00064C97">
                    <w:pPr>
                      <w:ind w:left="0"/>
                      <w:jc w:val="center"/>
                      <w:rPr>
                        <w:sz w:val="16"/>
                        <w:szCs w:val="16"/>
                      </w:rPr>
                    </w:pPr>
                    <w:r>
                      <w:rPr>
                        <w:b/>
                        <w:bCs/>
                        <w:sz w:val="16"/>
                        <w:szCs w:val="16"/>
                        <w:rtl/>
                      </w:rPr>
                      <w:t>052-7676412</w:t>
                    </w:r>
                  </w:p>
                </w:txbxContent>
              </v:textbox>
              <w10:wrap anchorx="margin"/>
            </v:shape>
          </w:pict>
        </mc:Fallback>
      </mc:AlternateContent>
    </w:r>
  </w:p>
  <w:p w14:paraId="5165C717" w14:textId="77777777" w:rsidR="00345400" w:rsidRDefault="00345400">
    <w:pPr>
      <w:pStyle w:val="ab"/>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15062303"/>
      <w:docPartObj>
        <w:docPartGallery w:val="Page Numbers (Bottom of Page)"/>
        <w:docPartUnique/>
      </w:docPartObj>
    </w:sdtPr>
    <w:sdtEndPr>
      <w:rPr>
        <w:cs/>
      </w:rPr>
    </w:sdtEndPr>
    <w:sdtContent>
      <w:p w14:paraId="3C324635" w14:textId="77777777" w:rsidR="00345400" w:rsidRDefault="00345400">
        <w:pPr>
          <w:pStyle w:val="ab"/>
          <w:jc w:val="right"/>
          <w:rPr>
            <w:rtl/>
            <w:cs/>
          </w:rPr>
        </w:pPr>
        <w:r>
          <w:fldChar w:fldCharType="begin"/>
        </w:r>
        <w:r>
          <w:rPr>
            <w:rtl/>
            <w:cs/>
          </w:rPr>
          <w:instrText>PAGE   \* MERGEFORMAT</w:instrText>
        </w:r>
        <w:r>
          <w:fldChar w:fldCharType="separate"/>
        </w:r>
        <w:r w:rsidRPr="0071325B">
          <w:rPr>
            <w:noProof/>
            <w:rtl/>
            <w:lang w:val="he-IL"/>
          </w:rPr>
          <w:t>1</w:t>
        </w:r>
        <w:r w:rsidRPr="0071325B">
          <w:rPr>
            <w:noProof/>
            <w:rtl/>
            <w:lang w:val="he-IL"/>
          </w:rPr>
          <w:t>2</w:t>
        </w:r>
        <w:r>
          <w:fldChar w:fldCharType="end"/>
        </w:r>
      </w:p>
    </w:sdtContent>
  </w:sdt>
  <w:p w14:paraId="6FBC3139" w14:textId="77777777" w:rsidR="00345400" w:rsidRDefault="00345400">
    <w:pPr>
      <w:pStyle w:val="ab"/>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613884383"/>
      <w:docPartObj>
        <w:docPartGallery w:val="Page Numbers (Bottom of Page)"/>
        <w:docPartUnique/>
      </w:docPartObj>
    </w:sdtPr>
    <w:sdtEndPr/>
    <w:sdtContent>
      <w:p w14:paraId="184BF7E0" w14:textId="77777777" w:rsidR="00345400" w:rsidRPr="00F31B7C" w:rsidRDefault="00345400" w:rsidP="00706E8B">
        <w:pPr>
          <w:pStyle w:val="ab"/>
          <w:ind w:left="0"/>
          <w:jc w:val="center"/>
          <w:rPr>
            <w:rFonts w:cs="Guttman Hodes"/>
            <w:rtl/>
            <w:cs/>
          </w:rPr>
        </w:pPr>
        <w:r w:rsidRPr="00F31B7C">
          <w:rPr>
            <w:rFonts w:cs="Guttman Hodes"/>
          </w:rPr>
          <w:fldChar w:fldCharType="begin"/>
        </w:r>
        <w:r w:rsidRPr="00F31B7C">
          <w:rPr>
            <w:rFonts w:cs="Guttman Hodes"/>
            <w:rtl/>
            <w:cs/>
          </w:rPr>
          <w:instrText>PAGE   \* MERGEFORMAT</w:instrText>
        </w:r>
        <w:r w:rsidRPr="00F31B7C">
          <w:rPr>
            <w:rFonts w:cs="Guttman Hodes"/>
          </w:rPr>
          <w:fldChar w:fldCharType="separate"/>
        </w:r>
        <w:r w:rsidR="00017240" w:rsidRPr="00017240">
          <w:rPr>
            <w:rFonts w:cs="Guttman Hodes"/>
            <w:noProof/>
            <w:rtl/>
            <w:lang w:val="he-IL"/>
          </w:rPr>
          <w:t>13</w:t>
        </w:r>
        <w:r w:rsidR="00017240" w:rsidRPr="00017240">
          <w:rPr>
            <w:rFonts w:cs="Guttman Hodes"/>
            <w:noProof/>
            <w:rtl/>
            <w:lang w:val="he-IL"/>
          </w:rPr>
          <w:t>6</w:t>
        </w:r>
        <w:r w:rsidRPr="00F31B7C">
          <w:rPr>
            <w:rFonts w:cs="Guttman Hodes"/>
          </w:rPr>
          <w:fldChar w:fldCharType="end"/>
        </w:r>
      </w:p>
    </w:sdtContent>
  </w:sdt>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E2F74" w14:textId="77777777" w:rsidR="00345400" w:rsidRDefault="00345400" w:rsidP="006027E4">
    <w:pPr>
      <w:pStyle w:val="ab"/>
    </w:pPr>
    <w:r>
      <w:rPr>
        <w:noProof/>
      </w:rPr>
      <mc:AlternateContent>
        <mc:Choice Requires="wps">
          <w:drawing>
            <wp:anchor distT="0" distB="0" distL="114300" distR="114300" simplePos="0" relativeHeight="251677696" behindDoc="0" locked="0" layoutInCell="1" allowOverlap="1" wp14:anchorId="095408E1" wp14:editId="77E5474C">
              <wp:simplePos x="0" y="0"/>
              <wp:positionH relativeFrom="margin">
                <wp:posOffset>4449543</wp:posOffset>
              </wp:positionH>
              <wp:positionV relativeFrom="paragraph">
                <wp:posOffset>9867</wp:posOffset>
              </wp:positionV>
              <wp:extent cx="1511935" cy="460375"/>
              <wp:effectExtent l="0" t="0" r="0" b="0"/>
              <wp:wrapNone/>
              <wp:docPr id="21" name="תיבת טקסט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F4CC78" w14:textId="77777777" w:rsidR="00345400" w:rsidRDefault="00345400" w:rsidP="006027E4">
                          <w:pPr>
                            <w:ind w:left="0"/>
                            <w:jc w:val="center"/>
                            <w:rPr>
                              <w:b/>
                              <w:bCs/>
                              <w:sz w:val="16"/>
                              <w:szCs w:val="16"/>
                            </w:rPr>
                          </w:pPr>
                          <w:r>
                            <w:rPr>
                              <w:b/>
                              <w:bCs/>
                              <w:sz w:val="16"/>
                              <w:szCs w:val="16"/>
                              <w:rtl/>
                            </w:rPr>
                            <w:t>שלמה הנדל - בית הלל</w:t>
                          </w:r>
                        </w:p>
                        <w:p w14:paraId="575506DC" w14:textId="77777777" w:rsidR="00345400" w:rsidRDefault="00345400" w:rsidP="006027E4">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27F6BE6" id="_x0000_t202" coordsize="21600,21600" o:spt="202" path="m,l,21600r21600,l21600,xe">
              <v:stroke joinstyle="miter"/>
              <v:path gradientshapeok="t" o:connecttype="rect"/>
            </v:shapetype>
            <v:shape id="תיבת טקסט 21" o:spid="_x0000_s1044" type="#_x0000_t202" style="position:absolute;left:0;text-align:left;margin-left:350.35pt;margin-top:.8pt;width:119.05pt;height:36.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" stroked="f">
              <v:textbox>
                <w:txbxContent>
                  <w:p w:rsidR="00345400" w:rsidRDefault="00345400" w:rsidP="006027E4">
                    <w:pPr>
                      <w:ind w:left="0"/>
                      <w:jc w:val="center"/>
                      <w:rPr>
                        <w:b/>
                        <w:bCs/>
                        <w:sz w:val="16"/>
                        <w:szCs w:val="16"/>
                      </w:rPr>
                    </w:pPr>
                    <w:r>
                      <w:rPr>
                        <w:b/>
                        <w:bCs/>
                        <w:sz w:val="16"/>
                        <w:szCs w:val="16"/>
                        <w:rtl/>
                      </w:rPr>
                      <w:t>שלמה הנדל - בית הלל</w:t>
                    </w:r>
                  </w:p>
                  <w:p w:rsidR="00345400" w:rsidRDefault="00345400" w:rsidP="006027E4">
                    <w:pPr>
                      <w:ind w:left="0"/>
                      <w:jc w:val="center"/>
                      <w:rPr>
                        <w:sz w:val="16"/>
                        <w:szCs w:val="16"/>
                      </w:rPr>
                    </w:pPr>
                    <w:r>
                      <w:rPr>
                        <w:b/>
                        <w:bCs/>
                        <w:sz w:val="16"/>
                        <w:szCs w:val="16"/>
                        <w:rtl/>
                      </w:rPr>
                      <w:t>052-7676412</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31ED2B37" wp14:editId="729FB984">
              <wp:simplePos x="0" y="0"/>
              <wp:positionH relativeFrom="margin">
                <wp:align>left</wp:align>
              </wp:positionH>
              <wp:positionV relativeFrom="paragraph">
                <wp:posOffset>7327</wp:posOffset>
              </wp:positionV>
              <wp:extent cx="1002665" cy="264160"/>
              <wp:effectExtent l="0" t="0" r="26035" b="21590"/>
              <wp:wrapNone/>
              <wp:docPr id="22" name="תיבת טקסט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D433CA1" w14:textId="77777777" w:rsidR="00345400" w:rsidRDefault="00345400" w:rsidP="006027E4">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9F2F6E" id="תיבת טקסט 22" o:spid="_x0000_s1045" type="#_x0000_t202" style="position:absolute;left:0;text-align:left;margin-left:0;margin-top:.6pt;width:78.95pt;height:20.8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" strokeweight="1.25pt">
              <v:textbox>
                <w:txbxContent>
                  <w:p w:rsidR="00345400" w:rsidRDefault="00345400" w:rsidP="006027E4">
                    <w:pPr>
                      <w:ind w:left="0"/>
                      <w:rPr>
                        <w:b/>
                        <w:bCs/>
                        <w:sz w:val="18"/>
                        <w:szCs w:val="18"/>
                      </w:rPr>
                    </w:pPr>
                    <w:r>
                      <w:rPr>
                        <w:b/>
                        <w:bCs/>
                        <w:sz w:val="18"/>
                        <w:szCs w:val="18"/>
                        <w:rtl/>
                      </w:rPr>
                      <w:t>המשך בעמ' הבא</w:t>
                    </w:r>
                  </w:p>
                </w:txbxContent>
              </v:textbox>
              <w10:wrap anchorx="margin"/>
            </v:shape>
          </w:pict>
        </mc:Fallback>
      </mc:AlternateContent>
    </w:r>
  </w:p>
  <w:p w14:paraId="63BF40AB" w14:textId="77777777" w:rsidR="00345400" w:rsidRDefault="00345400" w:rsidP="006027E4">
    <w:pPr>
      <w:pStyle w:val="ab"/>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933269309"/>
      <w:docPartObj>
        <w:docPartGallery w:val="Page Numbers (Bottom of Page)"/>
        <w:docPartUnique/>
      </w:docPartObj>
    </w:sdtPr>
    <w:sdtEndPr>
      <w:rPr>
        <w:cs/>
      </w:rPr>
    </w:sdtEndPr>
    <w:sdtContent>
      <w:p w14:paraId="7214DDD4" w14:textId="77777777" w:rsidR="00345400" w:rsidRPr="0008550B" w:rsidRDefault="00345400" w:rsidP="0008550B">
        <w:pPr>
          <w:pStyle w:val="ab"/>
          <w:ind w:left="0"/>
          <w:jc w:val="center"/>
          <w:rPr>
            <w:rFonts w:cs="Guttman Hodes"/>
            <w:rtl/>
            <w:cs/>
          </w:rPr>
        </w:pPr>
        <w:r w:rsidRPr="0008550B">
          <w:rPr>
            <w:rFonts w:cs="Guttman Hodes"/>
          </w:rPr>
          <w:fldChar w:fldCharType="begin"/>
        </w:r>
        <w:r w:rsidRPr="0008550B">
          <w:rPr>
            <w:rFonts w:cs="Guttman Hodes"/>
            <w:rtl/>
            <w:cs/>
          </w:rPr>
          <w:instrText>PAGE   \* MERGEFORMAT</w:instrText>
        </w:r>
        <w:r w:rsidRPr="0008550B">
          <w:rPr>
            <w:rFonts w:cs="Guttman Hodes"/>
          </w:rPr>
          <w:fldChar w:fldCharType="separate"/>
        </w:r>
        <w:r w:rsidR="00017240" w:rsidRPr="00017240">
          <w:rPr>
            <w:rFonts w:cs="Guttman Hodes"/>
            <w:noProof/>
            <w:rtl/>
            <w:lang w:val="he-IL"/>
          </w:rPr>
          <w:t>14</w:t>
        </w:r>
        <w:r w:rsidR="00017240" w:rsidRPr="00017240">
          <w:rPr>
            <w:rFonts w:cs="Guttman Hodes"/>
            <w:noProof/>
            <w:rtl/>
            <w:lang w:val="he-IL"/>
          </w:rPr>
          <w:t>8</w:t>
        </w:r>
        <w:r w:rsidRPr="0008550B">
          <w:rPr>
            <w:rFonts w:cs="Guttman Hodes"/>
          </w:rPr>
          <w:fldChar w:fldCharType="end"/>
        </w:r>
      </w:p>
    </w:sdtContent>
  </w:sdt>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9B9F5" w14:textId="77777777" w:rsidR="00345400" w:rsidRDefault="00345400">
    <w:pPr>
      <w:pStyle w:val="ab"/>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4E371" w14:textId="77777777" w:rsidR="00345400" w:rsidRPr="006B0BD2" w:rsidRDefault="00345400" w:rsidP="003D04E6">
    <w:pPr>
      <w:pStyle w:val="ab"/>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749CE34D" wp14:editId="41C905F8">
              <wp:simplePos x="0" y="0"/>
              <wp:positionH relativeFrom="margin">
                <wp:posOffset>46209</wp:posOffset>
              </wp:positionH>
              <wp:positionV relativeFrom="paragraph">
                <wp:posOffset>34583</wp:posOffset>
              </wp:positionV>
              <wp:extent cx="1002665" cy="264160"/>
              <wp:effectExtent l="0" t="0" r="26035" b="21590"/>
              <wp:wrapNone/>
              <wp:docPr id="9" name="תיבת טקסט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22DFF0E" w14:textId="77777777" w:rsidR="00345400" w:rsidRDefault="00345400" w:rsidP="003D04E6">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F9C632" id="_x0000_t202" coordsize="21600,21600" o:spt="202" path="m,l,21600r21600,l21600,xe">
              <v:stroke joinstyle="miter"/>
              <v:path gradientshapeok="t" o:connecttype="rect"/>
            </v:shapetype>
            <v:shape id="תיבת טקסט 9" o:spid="_x0000_s1046" type="#_x0000_t202" style="position:absolute;left:0;text-align:left;margin-left:3.65pt;margin-top:2.7pt;width:78.95pt;height:20.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bHe9pRQIAAGIE&#10;AAAOAAAAAAAAAAAAAAAAAC4CAABkcnMvZTJvRG9jLnhtbFBLAQItABQABgAIAAAAIQDVUvA93AAA&#10;AAYBAAAPAAAAAAAAAAAAAAAAAJ8EAABkcnMvZG93bnJldi54bWxQSwUGAAAAAAQABADzAAAAqAUA&#10;AAAA&#10;" strokeweight="1.25pt">
              <v:textbox>
                <w:txbxContent>
                  <w:p w:rsidR="00345400" w:rsidRDefault="00345400" w:rsidP="003D04E6">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57F6E4D1" wp14:editId="35B50B14">
              <wp:simplePos x="0" y="0"/>
              <wp:positionH relativeFrom="margin">
                <wp:posOffset>4290778</wp:posOffset>
              </wp:positionH>
              <wp:positionV relativeFrom="paragraph">
                <wp:posOffset>-53403</wp:posOffset>
              </wp:positionV>
              <wp:extent cx="1511935" cy="460375"/>
              <wp:effectExtent l="0" t="0" r="0" b="0"/>
              <wp:wrapNone/>
              <wp:docPr id="10"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8BB2A" w14:textId="77777777" w:rsidR="00345400" w:rsidRDefault="00345400" w:rsidP="003D04E6">
                          <w:pPr>
                            <w:ind w:left="0"/>
                            <w:jc w:val="center"/>
                            <w:rPr>
                              <w:b/>
                              <w:bCs/>
                              <w:sz w:val="16"/>
                              <w:szCs w:val="16"/>
                            </w:rPr>
                          </w:pPr>
                          <w:r>
                            <w:rPr>
                              <w:b/>
                              <w:bCs/>
                              <w:sz w:val="16"/>
                              <w:szCs w:val="16"/>
                              <w:rtl/>
                            </w:rPr>
                            <w:t>שלמה הנדל - בית הלל</w:t>
                          </w:r>
                        </w:p>
                        <w:p w14:paraId="0F812CAD" w14:textId="77777777" w:rsidR="00345400" w:rsidRDefault="00345400" w:rsidP="003D04E6">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74FE67" id="תיבת טקסט 10" o:spid="_x0000_s1047" type="#_x0000_t202" style="position:absolute;left:0;text-align:left;margin-left:337.85pt;margin-top:-4.2pt;width:119.05pt;height:36.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" stroked="f">
              <v:textbox>
                <w:txbxContent>
                  <w:p w:rsidR="00345400" w:rsidRDefault="00345400" w:rsidP="003D04E6">
                    <w:pPr>
                      <w:ind w:left="0"/>
                      <w:jc w:val="center"/>
                      <w:rPr>
                        <w:b/>
                        <w:bCs/>
                        <w:sz w:val="16"/>
                        <w:szCs w:val="16"/>
                      </w:rPr>
                    </w:pPr>
                    <w:r>
                      <w:rPr>
                        <w:b/>
                        <w:bCs/>
                        <w:sz w:val="16"/>
                        <w:szCs w:val="16"/>
                        <w:rtl/>
                      </w:rPr>
                      <w:t>שלמה הנדל - בית הלל</w:t>
                    </w:r>
                  </w:p>
                  <w:p w:rsidR="00345400" w:rsidRDefault="00345400" w:rsidP="003D04E6">
                    <w:pPr>
                      <w:ind w:left="0"/>
                      <w:jc w:val="center"/>
                      <w:rPr>
                        <w:sz w:val="16"/>
                        <w:szCs w:val="16"/>
                      </w:rPr>
                    </w:pPr>
                    <w:r>
                      <w:rPr>
                        <w:b/>
                        <w:bCs/>
                        <w:sz w:val="16"/>
                        <w:szCs w:val="16"/>
                        <w:rtl/>
                      </w:rPr>
                      <w:t>052-7676412</w:t>
                    </w:r>
                  </w:p>
                </w:txbxContent>
              </v:textbox>
              <w10:wrap anchorx="margin"/>
            </v:shape>
          </w:pict>
        </mc:Fallback>
      </mc:AlternateContent>
    </w:r>
  </w:p>
  <w:p w14:paraId="11B6278B" w14:textId="77777777" w:rsidR="00345400" w:rsidRDefault="00345400">
    <w:pPr>
      <w:pStyle w:val="ab"/>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noProof/>
        <w:rtl/>
        <w:lang w:val="he-IL"/>
      </w:rPr>
      <w:id w:val="-82688748"/>
      <w:docPartObj>
        <w:docPartGallery w:val="Page Numbers (Bottom of Page)"/>
        <w:docPartUnique/>
      </w:docPartObj>
    </w:sdtPr>
    <w:sdtEndPr>
      <w:rPr>
        <w:cs/>
      </w:rPr>
    </w:sdtEndPr>
    <w:sdtContent>
      <w:p w14:paraId="3A008F4E" w14:textId="77777777" w:rsidR="00345400" w:rsidRPr="00A26A20" w:rsidRDefault="00345400" w:rsidP="00175E3B">
        <w:pPr>
          <w:pStyle w:val="ab"/>
          <w:ind w:left="0"/>
          <w:jc w:val="center"/>
          <w:rPr>
            <w:rFonts w:cs="Guttman Hodes"/>
            <w:noProof/>
            <w:rtl/>
            <w:cs/>
            <w:lang w:val="he-IL"/>
          </w:rPr>
        </w:pPr>
        <w:r w:rsidRPr="00A26A20">
          <w:rPr>
            <w:rFonts w:cs="Guttman Hodes"/>
            <w:noProof/>
            <w:lang w:val="he-IL"/>
          </w:rPr>
          <w:fldChar w:fldCharType="begin"/>
        </w:r>
        <w:r w:rsidRPr="00A26A20">
          <w:rPr>
            <w:rFonts w:cs="Guttman Hodes"/>
            <w:noProof/>
            <w:rtl/>
            <w:cs/>
            <w:lang w:val="he-IL"/>
          </w:rPr>
          <w:instrText>PAGE   \* MERGEFORMAT</w:instrText>
        </w:r>
        <w:r w:rsidRPr="00A26A20">
          <w:rPr>
            <w:rFonts w:cs="Guttman Hodes"/>
            <w:noProof/>
            <w:lang w:val="he-IL"/>
          </w:rPr>
          <w:fldChar w:fldCharType="separate"/>
        </w:r>
        <w:r w:rsidR="00017240">
          <w:rPr>
            <w:rFonts w:cs="Guttman Hodes"/>
            <w:noProof/>
            <w:rtl/>
            <w:lang w:val="he-IL"/>
          </w:rPr>
          <w:t>15</w:t>
        </w:r>
        <w:r w:rsidR="00017240">
          <w:rPr>
            <w:rFonts w:cs="Guttman Hodes"/>
            <w:noProof/>
            <w:rtl/>
            <w:lang w:val="he-IL"/>
          </w:rPr>
          <w:t>6</w:t>
        </w:r>
        <w:r w:rsidRPr="00A26A20">
          <w:rPr>
            <w:rFonts w:cs="Guttman Hodes"/>
            <w:noProof/>
            <w:lang w:val="he-IL"/>
          </w:rPr>
          <w:fldChar w:fldCharType="end"/>
        </w:r>
      </w:p>
    </w:sdtContent>
  </w:sdt>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86826781"/>
      <w:docPartObj>
        <w:docPartGallery w:val="Page Numbers (Bottom of Page)"/>
        <w:docPartUnique/>
      </w:docPartObj>
    </w:sdtPr>
    <w:sdtEndPr>
      <w:rPr>
        <w:rFonts w:cs="Guttman Hodes"/>
        <w:cs/>
      </w:rPr>
    </w:sdtEndPr>
    <w:sdtContent>
      <w:p w14:paraId="3BEBCF97" w14:textId="77777777" w:rsidR="00345400" w:rsidRPr="00D53B7D" w:rsidRDefault="00345400" w:rsidP="00D53B7D">
        <w:pPr>
          <w:pStyle w:val="ab"/>
          <w:ind w:left="0"/>
          <w:jc w:val="center"/>
          <w:rPr>
            <w:rFonts w:cs="Guttman Hodes"/>
            <w:rtl/>
            <w:cs/>
          </w:rPr>
        </w:pPr>
        <w:r w:rsidRPr="00D53B7D">
          <w:rPr>
            <w:rFonts w:cs="Guttman Hodes"/>
          </w:rPr>
          <w:fldChar w:fldCharType="begin"/>
        </w:r>
        <w:r w:rsidRPr="00D53B7D">
          <w:rPr>
            <w:rFonts w:cs="Guttman Hodes"/>
            <w:rtl/>
            <w:cs/>
          </w:rPr>
          <w:instrText>PAGE   \* MERGEFORMAT</w:instrText>
        </w:r>
        <w:r w:rsidRPr="00D53B7D">
          <w:rPr>
            <w:rFonts w:cs="Guttman Hodes"/>
          </w:rPr>
          <w:fldChar w:fldCharType="separate"/>
        </w:r>
        <w:r w:rsidR="00017240" w:rsidRPr="00017240">
          <w:rPr>
            <w:rFonts w:cs="Guttman Hodes"/>
            <w:noProof/>
            <w:rtl/>
            <w:lang w:val="he-IL"/>
          </w:rPr>
          <w:t>15</w:t>
        </w:r>
        <w:r w:rsidR="00017240" w:rsidRPr="00017240">
          <w:rPr>
            <w:rFonts w:cs="Guttman Hodes"/>
            <w:noProof/>
            <w:rtl/>
            <w:lang w:val="he-IL"/>
          </w:rPr>
          <w:t>7</w:t>
        </w:r>
        <w:r w:rsidRPr="00D53B7D">
          <w:rPr>
            <w:rFonts w:cs="Guttman Hode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A805B" w14:textId="77777777" w:rsidR="00345400" w:rsidRDefault="00345400" w:rsidP="009D6D1F">
    <w:pPr>
      <w:pStyle w:val="ab"/>
      <w:ind w:left="0"/>
      <w:jc w:val="center"/>
      <w:rPr>
        <w:rtl/>
        <w:cs/>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6AB0D" w14:textId="77777777" w:rsidR="00345400" w:rsidRDefault="00345400" w:rsidP="00715924">
    <w:pPr>
      <w:pStyle w:val="ab"/>
    </w:pPr>
    <w:r>
      <w:rPr>
        <w:noProof/>
      </w:rPr>
      <mc:AlternateContent>
        <mc:Choice Requires="wps">
          <w:drawing>
            <wp:anchor distT="0" distB="0" distL="114300" distR="114300" simplePos="0" relativeHeight="251682816" behindDoc="0" locked="0" layoutInCell="1" allowOverlap="1" wp14:anchorId="7D76E058" wp14:editId="54898741">
              <wp:simplePos x="0" y="0"/>
              <wp:positionH relativeFrom="margin">
                <wp:posOffset>500974</wp:posOffset>
              </wp:positionH>
              <wp:positionV relativeFrom="paragraph">
                <wp:posOffset>-69584</wp:posOffset>
              </wp:positionV>
              <wp:extent cx="1002665" cy="264160"/>
              <wp:effectExtent l="0" t="0" r="26035" b="21590"/>
              <wp:wrapNone/>
              <wp:docPr id="13" name="תיבת טקסט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3E275A5" w14:textId="77777777" w:rsidR="00345400" w:rsidRDefault="00345400" w:rsidP="00715924">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52A2EF" id="_x0000_t202" coordsize="21600,21600" o:spt="202" path="m,l,21600r21600,l21600,xe">
              <v:stroke joinstyle="miter"/>
              <v:path gradientshapeok="t" o:connecttype="rect"/>
            </v:shapetype>
            <v:shape id="תיבת טקסט 13" o:spid="_x0000_s1048" type="#_x0000_t202" style="position:absolute;left:0;text-align:left;margin-left:39.45pt;margin-top:-5.5pt;width:78.95pt;height:20.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" strokeweight="1.25pt">
              <v:textbox>
                <w:txbxContent>
                  <w:p w:rsidR="00345400" w:rsidRDefault="00345400" w:rsidP="00715924">
                    <w:pPr>
                      <w:ind w:left="0"/>
                      <w:rPr>
                        <w:b/>
                        <w:bCs/>
                        <w:sz w:val="18"/>
                        <w:szCs w:val="18"/>
                      </w:rPr>
                    </w:pPr>
                    <w:r>
                      <w:rPr>
                        <w:b/>
                        <w:bCs/>
                        <w:sz w:val="18"/>
                        <w:szCs w:val="18"/>
                        <w:rtl/>
                      </w:rPr>
                      <w:t>המשך בעמ' הבא</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3B16A90C" wp14:editId="6F60026E">
              <wp:simplePos x="0" y="0"/>
              <wp:positionH relativeFrom="margin">
                <wp:posOffset>4414971</wp:posOffset>
              </wp:positionH>
              <wp:positionV relativeFrom="paragraph">
                <wp:posOffset>-7415</wp:posOffset>
              </wp:positionV>
              <wp:extent cx="1511935" cy="460375"/>
              <wp:effectExtent l="0" t="0" r="0" b="0"/>
              <wp:wrapNone/>
              <wp:docPr id="14" name="תיבת טקסט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7FB724" w14:textId="77777777" w:rsidR="00345400" w:rsidRDefault="00345400" w:rsidP="00715924">
                          <w:pPr>
                            <w:ind w:left="0"/>
                            <w:jc w:val="center"/>
                            <w:rPr>
                              <w:b/>
                              <w:bCs/>
                              <w:sz w:val="16"/>
                              <w:szCs w:val="16"/>
                            </w:rPr>
                          </w:pPr>
                          <w:r>
                            <w:rPr>
                              <w:b/>
                              <w:bCs/>
                              <w:sz w:val="16"/>
                              <w:szCs w:val="16"/>
                              <w:rtl/>
                            </w:rPr>
                            <w:t>שלמה הנדל - בית הלל</w:t>
                          </w:r>
                        </w:p>
                        <w:p w14:paraId="47A1A589" w14:textId="77777777" w:rsidR="00345400" w:rsidRDefault="00345400" w:rsidP="00715924">
                          <w:pPr>
                            <w:ind w:left="0"/>
                            <w:jc w:val="center"/>
                            <w:rPr>
                              <w:sz w:val="16"/>
                              <w:szCs w:val="16"/>
                              <w:rtl/>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3FA93E" id="תיבת טקסט 14" o:spid="_x0000_s1049" type="#_x0000_t202" style="position:absolute;left:0;text-align:left;margin-left:347.65pt;margin-top:-.6pt;width:119.05pt;height:36.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" stroked="f">
              <v:textbox>
                <w:txbxContent>
                  <w:p w:rsidR="00345400" w:rsidRDefault="00345400" w:rsidP="00715924">
                    <w:pPr>
                      <w:ind w:left="0"/>
                      <w:jc w:val="center"/>
                      <w:rPr>
                        <w:b/>
                        <w:bCs/>
                        <w:sz w:val="16"/>
                        <w:szCs w:val="16"/>
                      </w:rPr>
                    </w:pPr>
                    <w:r>
                      <w:rPr>
                        <w:b/>
                        <w:bCs/>
                        <w:sz w:val="16"/>
                        <w:szCs w:val="16"/>
                        <w:rtl/>
                      </w:rPr>
                      <w:t>שלמה הנדל - בית הלל</w:t>
                    </w:r>
                  </w:p>
                  <w:p w:rsidR="00345400" w:rsidRDefault="00345400" w:rsidP="00715924">
                    <w:pPr>
                      <w:ind w:left="0"/>
                      <w:jc w:val="center"/>
                      <w:rPr>
                        <w:sz w:val="16"/>
                        <w:szCs w:val="16"/>
                        <w:rtl/>
                      </w:rPr>
                    </w:pPr>
                    <w:r>
                      <w:rPr>
                        <w:b/>
                        <w:bCs/>
                        <w:sz w:val="16"/>
                        <w:szCs w:val="16"/>
                        <w:rtl/>
                      </w:rPr>
                      <w:t>052-7676412</w:t>
                    </w:r>
                  </w:p>
                </w:txbxContent>
              </v:textbox>
              <w10:wrap anchorx="margin"/>
            </v:shape>
          </w:pict>
        </mc:Fallback>
      </mc:AlternateContent>
    </w:r>
  </w:p>
  <w:p w14:paraId="79FCD2D5" w14:textId="77777777" w:rsidR="00345400" w:rsidRDefault="00345400" w:rsidP="00715924">
    <w:pPr>
      <w:pStyle w:val="ab"/>
    </w:pPr>
  </w:p>
  <w:p w14:paraId="73312FA9" w14:textId="77777777" w:rsidR="00345400" w:rsidRDefault="00345400" w:rsidP="00715924">
    <w:pPr>
      <w:pStyle w:val="ab"/>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77644612"/>
      <w:docPartObj>
        <w:docPartGallery w:val="Page Numbers (Bottom of Page)"/>
        <w:docPartUnique/>
      </w:docPartObj>
    </w:sdtPr>
    <w:sdtEndPr>
      <w:rPr>
        <w:rFonts w:cs="Guttman Hodes"/>
        <w:cs/>
      </w:rPr>
    </w:sdtEndPr>
    <w:sdtContent>
      <w:p w14:paraId="7776F292" w14:textId="77777777" w:rsidR="00345400" w:rsidRPr="00D53B7D" w:rsidRDefault="00345400" w:rsidP="00D53B7D">
        <w:pPr>
          <w:pStyle w:val="ab"/>
          <w:ind w:left="0"/>
          <w:jc w:val="center"/>
          <w:rPr>
            <w:rFonts w:cs="Guttman Hodes"/>
            <w:rtl/>
            <w:cs/>
          </w:rPr>
        </w:pPr>
        <w:r w:rsidRPr="00D53B7D">
          <w:rPr>
            <w:rFonts w:cs="Guttman Hodes"/>
          </w:rPr>
          <w:fldChar w:fldCharType="begin"/>
        </w:r>
        <w:r w:rsidRPr="00D53B7D">
          <w:rPr>
            <w:rFonts w:cs="Guttman Hodes"/>
            <w:rtl/>
            <w:cs/>
          </w:rPr>
          <w:instrText>PAGE   \* MERGEFORMAT</w:instrText>
        </w:r>
        <w:r w:rsidRPr="00D53B7D">
          <w:rPr>
            <w:rFonts w:cs="Guttman Hodes"/>
          </w:rPr>
          <w:fldChar w:fldCharType="separate"/>
        </w:r>
        <w:r w:rsidR="00017240" w:rsidRPr="00017240">
          <w:rPr>
            <w:rFonts w:cs="Guttman Hodes"/>
            <w:noProof/>
            <w:rtl/>
            <w:lang w:val="he-IL"/>
          </w:rPr>
          <w:t>18</w:t>
        </w:r>
        <w:r w:rsidR="00017240" w:rsidRPr="00017240">
          <w:rPr>
            <w:rFonts w:cs="Guttman Hodes"/>
            <w:noProof/>
            <w:rtl/>
            <w:lang w:val="he-IL"/>
          </w:rPr>
          <w:t>5</w:t>
        </w:r>
        <w:r w:rsidRPr="00D53B7D">
          <w:rPr>
            <w:rFonts w:cs="Guttman Hodes"/>
          </w:rPr>
          <w:fldChar w:fldCharType="end"/>
        </w:r>
      </w:p>
    </w:sdtContent>
  </w:sdt>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F1BB2" w14:textId="77777777" w:rsidR="00345400" w:rsidRPr="006B0BD2" w:rsidRDefault="00345400" w:rsidP="00436F39">
    <w:pPr>
      <w:pStyle w:val="ab"/>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514A2454" wp14:editId="246099C9">
              <wp:simplePos x="0" y="0"/>
              <wp:positionH relativeFrom="margin">
                <wp:posOffset>46209</wp:posOffset>
              </wp:positionH>
              <wp:positionV relativeFrom="paragraph">
                <wp:posOffset>34583</wp:posOffset>
              </wp:positionV>
              <wp:extent cx="1002665" cy="264160"/>
              <wp:effectExtent l="0" t="0" r="26035" b="21590"/>
              <wp:wrapNone/>
              <wp:docPr id="17" name="תיבת טקסט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C968321" w14:textId="77777777" w:rsidR="00345400" w:rsidRDefault="00345400" w:rsidP="00436F39">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B203B5D" id="_x0000_t202" coordsize="21600,21600" o:spt="202" path="m,l,21600r21600,l21600,xe">
              <v:stroke joinstyle="miter"/>
              <v:path gradientshapeok="t" o:connecttype="rect"/>
            </v:shapetype>
            <v:shape id="תיבת טקסט 17" o:spid="_x0000_s1050" type="#_x0000_t202" style="position:absolute;left:0;text-align:left;margin-left:3.65pt;margin-top:2.7pt;width:78.95pt;height:20.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4nT3HUMCAABkBAAA&#10;DgAAAAAAAAAAAAAAAAAuAgAAZHJzL2Uyb0RvYy54bWxQSwECLQAUAAYACAAAACEA1VLwPdwAAAAG&#10;AQAADwAAAAAAAAAAAAAAAACdBAAAZHJzL2Rvd25yZXYueG1sUEsFBgAAAAAEAAQA8wAAAKYFAAAA&#10;AA==&#10;" strokeweight="1.25pt">
              <v:textbox>
                <w:txbxContent>
                  <w:p w:rsidR="00345400" w:rsidRDefault="00345400" w:rsidP="00436F39">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28F883BF" wp14:editId="60E2F40D">
              <wp:simplePos x="0" y="0"/>
              <wp:positionH relativeFrom="margin">
                <wp:posOffset>4290778</wp:posOffset>
              </wp:positionH>
              <wp:positionV relativeFrom="paragraph">
                <wp:posOffset>-53403</wp:posOffset>
              </wp:positionV>
              <wp:extent cx="1511935" cy="460375"/>
              <wp:effectExtent l="0" t="0" r="0" b="0"/>
              <wp:wrapNone/>
              <wp:docPr id="18" name="תיבת טקסט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25D02F" w14:textId="77777777" w:rsidR="00345400" w:rsidRDefault="00345400" w:rsidP="00436F39">
                          <w:pPr>
                            <w:ind w:left="0"/>
                            <w:jc w:val="center"/>
                            <w:rPr>
                              <w:b/>
                              <w:bCs/>
                              <w:sz w:val="16"/>
                              <w:szCs w:val="16"/>
                            </w:rPr>
                          </w:pPr>
                          <w:r>
                            <w:rPr>
                              <w:b/>
                              <w:bCs/>
                              <w:sz w:val="16"/>
                              <w:szCs w:val="16"/>
                              <w:rtl/>
                            </w:rPr>
                            <w:t>שלמה הנדל - בית הלל</w:t>
                          </w:r>
                        </w:p>
                        <w:p w14:paraId="0EB09104" w14:textId="77777777" w:rsidR="00345400" w:rsidRDefault="00345400" w:rsidP="00436F39">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D74724" id="תיבת טקסט 18" o:spid="_x0000_s1051" type="#_x0000_t202" style="position:absolute;left:0;text-align:left;margin-left:337.85pt;margin-top:-4.2pt;width:119.05pt;height:36.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" stroked="f">
              <v:textbox>
                <w:txbxContent>
                  <w:p w:rsidR="00345400" w:rsidRDefault="00345400" w:rsidP="00436F39">
                    <w:pPr>
                      <w:ind w:left="0"/>
                      <w:jc w:val="center"/>
                      <w:rPr>
                        <w:b/>
                        <w:bCs/>
                        <w:sz w:val="16"/>
                        <w:szCs w:val="16"/>
                      </w:rPr>
                    </w:pPr>
                    <w:r>
                      <w:rPr>
                        <w:b/>
                        <w:bCs/>
                        <w:sz w:val="16"/>
                        <w:szCs w:val="16"/>
                        <w:rtl/>
                      </w:rPr>
                      <w:t>שלמה הנדל - בית הלל</w:t>
                    </w:r>
                  </w:p>
                  <w:p w:rsidR="00345400" w:rsidRDefault="00345400" w:rsidP="00436F39">
                    <w:pPr>
                      <w:ind w:left="0"/>
                      <w:jc w:val="center"/>
                      <w:rPr>
                        <w:sz w:val="16"/>
                        <w:szCs w:val="16"/>
                      </w:rPr>
                    </w:pPr>
                    <w:r>
                      <w:rPr>
                        <w:b/>
                        <w:bCs/>
                        <w:sz w:val="16"/>
                        <w:szCs w:val="16"/>
                        <w:rtl/>
                      </w:rPr>
                      <w:t>052-7676412</w:t>
                    </w:r>
                  </w:p>
                </w:txbxContent>
              </v:textbox>
              <w10:wrap anchorx="margin"/>
            </v:shape>
          </w:pict>
        </mc:Fallback>
      </mc:AlternateContent>
    </w:r>
  </w:p>
  <w:p w14:paraId="4956398E" w14:textId="77777777" w:rsidR="00345400" w:rsidRPr="00FF38F2" w:rsidRDefault="00345400" w:rsidP="00436F39">
    <w:pPr>
      <w:pStyle w:val="ab"/>
      <w:rPr>
        <w:rtl/>
        <w:cs/>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B2DE9" w14:textId="77777777" w:rsidR="00345400" w:rsidRPr="006B0BD2" w:rsidRDefault="00345400" w:rsidP="00436F39">
    <w:pPr>
      <w:pStyle w:val="ab"/>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7DB9835E" wp14:editId="50F19586">
              <wp:simplePos x="0" y="0"/>
              <wp:positionH relativeFrom="margin">
                <wp:posOffset>46209</wp:posOffset>
              </wp:positionH>
              <wp:positionV relativeFrom="paragraph">
                <wp:posOffset>34583</wp:posOffset>
              </wp:positionV>
              <wp:extent cx="1002665" cy="264160"/>
              <wp:effectExtent l="0" t="0" r="26035" b="21590"/>
              <wp:wrapNone/>
              <wp:docPr id="24" name="תיבת טקסט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A6C3799" w14:textId="77777777" w:rsidR="00345400" w:rsidRDefault="00345400" w:rsidP="00436F39">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DCB9F91" id="_x0000_t202" coordsize="21600,21600" o:spt="202" path="m,l,21600r21600,l21600,xe">
              <v:stroke joinstyle="miter"/>
              <v:path gradientshapeok="t" o:connecttype="rect"/>
            </v:shapetype>
            <v:shape id="תיבת טקסט 24" o:spid="_x0000_s1052" type="#_x0000_t202" style="position:absolute;left:0;text-align:left;margin-left:3.65pt;margin-top:2.7pt;width:78.95pt;height:20.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JwqTXJEAgAAZAQA&#10;AA4AAAAAAAAAAAAAAAAALgIAAGRycy9lMm9Eb2MueG1sUEsBAi0AFAAGAAgAAAAhANVS8D3cAAAA&#10;BgEAAA8AAAAAAAAAAAAAAAAAngQAAGRycy9kb3ducmV2LnhtbFBLBQYAAAAABAAEAPMAAACnBQAA&#10;AAA=&#10;" strokeweight="1.25pt">
              <v:textbox>
                <w:txbxContent>
                  <w:p w:rsidR="00345400" w:rsidRDefault="00345400" w:rsidP="00436F39">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5F021091" wp14:editId="6D42712D">
              <wp:simplePos x="0" y="0"/>
              <wp:positionH relativeFrom="margin">
                <wp:posOffset>4290778</wp:posOffset>
              </wp:positionH>
              <wp:positionV relativeFrom="paragraph">
                <wp:posOffset>-53403</wp:posOffset>
              </wp:positionV>
              <wp:extent cx="1511935" cy="460375"/>
              <wp:effectExtent l="0" t="0" r="0" b="0"/>
              <wp:wrapNone/>
              <wp:docPr id="25" name="תיבת טקסט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9632F" w14:textId="77777777" w:rsidR="00345400" w:rsidRDefault="00345400" w:rsidP="00436F39">
                          <w:pPr>
                            <w:ind w:left="0"/>
                            <w:jc w:val="center"/>
                            <w:rPr>
                              <w:b/>
                              <w:bCs/>
                              <w:sz w:val="16"/>
                              <w:szCs w:val="16"/>
                            </w:rPr>
                          </w:pPr>
                          <w:r>
                            <w:rPr>
                              <w:b/>
                              <w:bCs/>
                              <w:sz w:val="16"/>
                              <w:szCs w:val="16"/>
                              <w:rtl/>
                            </w:rPr>
                            <w:t>שלמה הנדל - בית הלל</w:t>
                          </w:r>
                        </w:p>
                        <w:p w14:paraId="7B6EEB6C" w14:textId="77777777" w:rsidR="00345400" w:rsidRDefault="00345400" w:rsidP="00436F39">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B44010" id="תיבת טקסט 25" o:spid="_x0000_s1053" type="#_x0000_t202" style="position:absolute;left:0;text-align:left;margin-left:337.85pt;margin-top:-4.2pt;width:119.05pt;height:36.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" stroked="f">
              <v:textbox>
                <w:txbxContent>
                  <w:p w:rsidR="00345400" w:rsidRDefault="00345400" w:rsidP="00436F39">
                    <w:pPr>
                      <w:ind w:left="0"/>
                      <w:jc w:val="center"/>
                      <w:rPr>
                        <w:b/>
                        <w:bCs/>
                        <w:sz w:val="16"/>
                        <w:szCs w:val="16"/>
                      </w:rPr>
                    </w:pPr>
                    <w:r>
                      <w:rPr>
                        <w:b/>
                        <w:bCs/>
                        <w:sz w:val="16"/>
                        <w:szCs w:val="16"/>
                        <w:rtl/>
                      </w:rPr>
                      <w:t>שלמה הנדל - בית הלל</w:t>
                    </w:r>
                  </w:p>
                  <w:p w:rsidR="00345400" w:rsidRDefault="00345400" w:rsidP="00436F39">
                    <w:pPr>
                      <w:ind w:left="0"/>
                      <w:jc w:val="center"/>
                      <w:rPr>
                        <w:sz w:val="16"/>
                        <w:szCs w:val="16"/>
                      </w:rPr>
                    </w:pPr>
                    <w:r>
                      <w:rPr>
                        <w:b/>
                        <w:bCs/>
                        <w:sz w:val="16"/>
                        <w:szCs w:val="16"/>
                        <w:rtl/>
                      </w:rPr>
                      <w:t>052-7676412</w:t>
                    </w:r>
                  </w:p>
                </w:txbxContent>
              </v:textbox>
              <w10:wrap anchorx="margin"/>
            </v:shape>
          </w:pict>
        </mc:Fallback>
      </mc:AlternateContent>
    </w:r>
  </w:p>
  <w:p w14:paraId="31BD214E" w14:textId="77777777" w:rsidR="00345400" w:rsidRPr="00FF38F2" w:rsidRDefault="00345400" w:rsidP="00436F39">
    <w:pPr>
      <w:pStyle w:val="ab"/>
      <w:rPr>
        <w:rtl/>
        <w:cs/>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noProof/>
        <w:rtl/>
        <w:lang w:val="he-IL"/>
      </w:rPr>
      <w:id w:val="-745802291"/>
      <w:docPartObj>
        <w:docPartGallery w:val="Page Numbers (Bottom of Page)"/>
        <w:docPartUnique/>
      </w:docPartObj>
    </w:sdtPr>
    <w:sdtEndPr>
      <w:rPr>
        <w:cs/>
      </w:rPr>
    </w:sdtEndPr>
    <w:sdtContent>
      <w:p w14:paraId="32212CC1" w14:textId="77777777" w:rsidR="00345400" w:rsidRPr="00022784" w:rsidRDefault="00345400" w:rsidP="003D504D">
        <w:pPr>
          <w:pStyle w:val="ab"/>
          <w:ind w:left="0"/>
          <w:jc w:val="center"/>
          <w:rPr>
            <w:rFonts w:cs="Guttman Hodes"/>
            <w:noProof/>
            <w:rtl/>
            <w:cs/>
            <w:lang w:val="he-IL"/>
          </w:rPr>
        </w:pPr>
        <w:r w:rsidRPr="00022784">
          <w:rPr>
            <w:rFonts w:cs="Guttman Hodes"/>
            <w:noProof/>
            <w:lang w:val="he-IL"/>
          </w:rPr>
          <w:fldChar w:fldCharType="begin"/>
        </w:r>
        <w:r w:rsidRPr="00022784">
          <w:rPr>
            <w:rFonts w:cs="Guttman Hodes"/>
            <w:noProof/>
            <w:rtl/>
            <w:cs/>
            <w:lang w:val="he-IL"/>
          </w:rPr>
          <w:instrText>PAGE   \* MERGEFORMAT</w:instrText>
        </w:r>
        <w:r w:rsidRPr="00022784">
          <w:rPr>
            <w:rFonts w:cs="Guttman Hodes"/>
            <w:noProof/>
            <w:lang w:val="he-IL"/>
          </w:rPr>
          <w:fldChar w:fldCharType="separate"/>
        </w:r>
        <w:r w:rsidR="00017240">
          <w:rPr>
            <w:rFonts w:cs="Guttman Hodes"/>
            <w:noProof/>
            <w:rtl/>
            <w:lang w:val="he-IL"/>
          </w:rPr>
          <w:t>20</w:t>
        </w:r>
        <w:r w:rsidR="00017240">
          <w:rPr>
            <w:rFonts w:cs="Guttman Hodes"/>
            <w:noProof/>
            <w:rtl/>
            <w:lang w:val="he-IL"/>
          </w:rPr>
          <w:t>0</w:t>
        </w:r>
        <w:r w:rsidRPr="00022784">
          <w:rPr>
            <w:rFonts w:cs="Guttman Hodes"/>
            <w:noProof/>
            <w:lang w:val="he-IL"/>
          </w:rPr>
          <w:fldChar w:fldCharType="end"/>
        </w:r>
      </w:p>
    </w:sdtContent>
  </w:sdt>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1678" w14:textId="77777777" w:rsidR="00345400" w:rsidRPr="006B0BD2" w:rsidRDefault="00345400" w:rsidP="003D504D">
    <w:pPr>
      <w:pStyle w:val="ab"/>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8FCB7C5" wp14:editId="0222D41E">
              <wp:simplePos x="0" y="0"/>
              <wp:positionH relativeFrom="margin">
                <wp:posOffset>46209</wp:posOffset>
              </wp:positionH>
              <wp:positionV relativeFrom="paragraph">
                <wp:posOffset>34583</wp:posOffset>
              </wp:positionV>
              <wp:extent cx="1002665" cy="264160"/>
              <wp:effectExtent l="0" t="0" r="26035" b="21590"/>
              <wp:wrapNone/>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8C0990A" w14:textId="77777777" w:rsidR="00345400" w:rsidRDefault="00345400" w:rsidP="003D504D">
                          <w:pPr>
                            <w:ind w:left="0"/>
                            <w:rPr>
                              <w:b/>
                              <w:bCs/>
                              <w:sz w:val="18"/>
                              <w:szCs w:val="18"/>
                              <w:rtl/>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748E16B" id="_x0000_t202" coordsize="21600,21600" o:spt="202" path="m,l,21600r21600,l21600,xe">
              <v:stroke joinstyle="miter"/>
              <v:path gradientshapeok="t" o:connecttype="rect"/>
            </v:shapetype>
            <v:shape id="תיבת טקסט 26" o:spid="_x0000_s1054" type="#_x0000_t202" style="position:absolute;left:0;text-align:left;margin-left:3.65pt;margin-top:2.7pt;width:78.95pt;height:20.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Fd0sDpEAgAAZAQA&#10;AA4AAAAAAAAAAAAAAAAALgIAAGRycy9lMm9Eb2MueG1sUEsBAi0AFAAGAAgAAAAhANVS8D3cAAAA&#10;BgEAAA8AAAAAAAAAAAAAAAAAngQAAGRycy9kb3ducmV2LnhtbFBLBQYAAAAABAAEAPMAAACnBQAA&#10;AAA=&#10;" strokeweight="1.25pt">
              <v:textbox>
                <w:txbxContent>
                  <w:p w:rsidR="00345400" w:rsidRDefault="00345400" w:rsidP="003D504D">
                    <w:pPr>
                      <w:ind w:left="0"/>
                      <w:rPr>
                        <w:b/>
                        <w:bCs/>
                        <w:sz w:val="18"/>
                        <w:szCs w:val="18"/>
                        <w:rtl/>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0D302452" wp14:editId="0AEE11B8">
              <wp:simplePos x="0" y="0"/>
              <wp:positionH relativeFrom="margin">
                <wp:posOffset>4290778</wp:posOffset>
              </wp:positionH>
              <wp:positionV relativeFrom="paragraph">
                <wp:posOffset>-53403</wp:posOffset>
              </wp:positionV>
              <wp:extent cx="1511935" cy="460375"/>
              <wp:effectExtent l="0" t="0" r="0" b="0"/>
              <wp:wrapNone/>
              <wp:docPr id="27" name="תיבת טקסט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8E03" w14:textId="77777777" w:rsidR="00345400" w:rsidRDefault="00345400" w:rsidP="003D504D">
                          <w:pPr>
                            <w:ind w:left="0"/>
                            <w:jc w:val="center"/>
                            <w:rPr>
                              <w:b/>
                              <w:bCs/>
                              <w:sz w:val="16"/>
                              <w:szCs w:val="16"/>
                            </w:rPr>
                          </w:pPr>
                          <w:r>
                            <w:rPr>
                              <w:b/>
                              <w:bCs/>
                              <w:sz w:val="16"/>
                              <w:szCs w:val="16"/>
                              <w:rtl/>
                            </w:rPr>
                            <w:t>שלמה הנדל - בית הלל</w:t>
                          </w:r>
                        </w:p>
                        <w:p w14:paraId="7D85CE78" w14:textId="77777777" w:rsidR="00345400" w:rsidRDefault="00345400" w:rsidP="003D504D">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BE7854" id="תיבת טקסט 27" o:spid="_x0000_s1055" type="#_x0000_t202" style="position:absolute;left:0;text-align:left;margin-left:337.85pt;margin-top:-4.2pt;width:119.05pt;height:36.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" stroked="f">
              <v:textbox>
                <w:txbxContent>
                  <w:p w:rsidR="00345400" w:rsidRDefault="00345400" w:rsidP="003D504D">
                    <w:pPr>
                      <w:ind w:left="0"/>
                      <w:jc w:val="center"/>
                      <w:rPr>
                        <w:b/>
                        <w:bCs/>
                        <w:sz w:val="16"/>
                        <w:szCs w:val="16"/>
                      </w:rPr>
                    </w:pPr>
                    <w:r>
                      <w:rPr>
                        <w:b/>
                        <w:bCs/>
                        <w:sz w:val="16"/>
                        <w:szCs w:val="16"/>
                        <w:rtl/>
                      </w:rPr>
                      <w:t>שלמה הנדל - בית הלל</w:t>
                    </w:r>
                  </w:p>
                  <w:p w:rsidR="00345400" w:rsidRDefault="00345400" w:rsidP="003D504D">
                    <w:pPr>
                      <w:ind w:left="0"/>
                      <w:jc w:val="center"/>
                      <w:rPr>
                        <w:sz w:val="16"/>
                        <w:szCs w:val="16"/>
                      </w:rPr>
                    </w:pPr>
                    <w:r>
                      <w:rPr>
                        <w:b/>
                        <w:bCs/>
                        <w:sz w:val="16"/>
                        <w:szCs w:val="16"/>
                        <w:rtl/>
                      </w:rPr>
                      <w:t>052-7676412</w:t>
                    </w:r>
                  </w:p>
                </w:txbxContent>
              </v:textbox>
              <w10:wrap anchorx="margin"/>
            </v:shape>
          </w:pict>
        </mc:Fallback>
      </mc:AlternateContent>
    </w:r>
  </w:p>
  <w:p w14:paraId="3B0BD202" w14:textId="77777777" w:rsidR="00345400" w:rsidRDefault="00345400" w:rsidP="003D504D">
    <w:pPr>
      <w:pStyle w:val="ab"/>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880591415"/>
      <w:docPartObj>
        <w:docPartGallery w:val="Page Numbers (Bottom of Page)"/>
        <w:docPartUnique/>
      </w:docPartObj>
    </w:sdtPr>
    <w:sdtEndPr>
      <w:rPr>
        <w:cs/>
      </w:rPr>
    </w:sdtEndPr>
    <w:sdtContent>
      <w:p w14:paraId="447DF0F9" w14:textId="77777777" w:rsidR="00345400" w:rsidRPr="00FD601D" w:rsidRDefault="00345400" w:rsidP="003D504D">
        <w:pPr>
          <w:pStyle w:val="ab"/>
          <w:ind w:left="0"/>
          <w:jc w:val="center"/>
          <w:rPr>
            <w:rFonts w:cs="Guttman Hodes"/>
            <w:rtl/>
            <w:cs/>
          </w:rPr>
        </w:pPr>
        <w:r w:rsidRPr="00FD601D">
          <w:rPr>
            <w:rFonts w:cs="Guttman Hodes"/>
          </w:rPr>
          <w:fldChar w:fldCharType="begin"/>
        </w:r>
        <w:r w:rsidRPr="00FD601D">
          <w:rPr>
            <w:rFonts w:cs="Guttman Hodes"/>
            <w:rtl/>
            <w:cs/>
          </w:rPr>
          <w:instrText>PAGE   \* MERGEFORMAT</w:instrText>
        </w:r>
        <w:r w:rsidRPr="00FD601D">
          <w:rPr>
            <w:rFonts w:cs="Guttman Hodes"/>
          </w:rPr>
          <w:fldChar w:fldCharType="separate"/>
        </w:r>
        <w:r w:rsidRPr="00000100">
          <w:rPr>
            <w:rFonts w:cs="Guttman Hodes" w:hint="eastAsia"/>
            <w:noProof/>
            <w:rtl/>
            <w:lang w:val="he-IL"/>
          </w:rPr>
          <w:t>י</w:t>
        </w:r>
        <w:r w:rsidRPr="00000100">
          <w:rPr>
            <w:rFonts w:cs="Guttman Hodes" w:hint="eastAsia"/>
            <w:noProof/>
            <w:rtl/>
            <w:lang w:val="he-IL"/>
          </w:rPr>
          <w:t>ד</w:t>
        </w:r>
        <w:r w:rsidRPr="00FD601D">
          <w:rPr>
            <w:rFonts w:cs="Guttman Hodes"/>
          </w:rPr>
          <w:fldChar w:fldCharType="end"/>
        </w:r>
      </w:p>
    </w:sdtContent>
  </w:sdt>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719480273"/>
      <w:docPartObj>
        <w:docPartGallery w:val="Page Numbers (Bottom of Page)"/>
        <w:docPartUnique/>
      </w:docPartObj>
    </w:sdtPr>
    <w:sdtEndPr>
      <w:rPr>
        <w:cs/>
      </w:rPr>
    </w:sdtEndPr>
    <w:sdtContent>
      <w:p w14:paraId="77A42062" w14:textId="77777777" w:rsidR="00345400" w:rsidRPr="00C97937" w:rsidRDefault="00345400" w:rsidP="003D504D">
        <w:pPr>
          <w:pStyle w:val="ab"/>
          <w:ind w:left="0"/>
          <w:jc w:val="center"/>
          <w:rPr>
            <w:rFonts w:cs="Guttman Hodes"/>
            <w:rtl/>
            <w:cs/>
          </w:rPr>
        </w:pPr>
        <w:r w:rsidRPr="00C97937">
          <w:rPr>
            <w:rFonts w:cs="Guttman Hodes"/>
          </w:rPr>
          <w:fldChar w:fldCharType="begin"/>
        </w:r>
        <w:r w:rsidRPr="00C97937">
          <w:rPr>
            <w:rFonts w:cs="Guttman Hodes"/>
            <w:rtl/>
            <w:cs/>
          </w:rPr>
          <w:instrText>PAGE   \* MERGEFORMAT</w:instrText>
        </w:r>
        <w:r w:rsidRPr="00C97937">
          <w:rPr>
            <w:rFonts w:cs="Guttman Hodes"/>
          </w:rPr>
          <w:fldChar w:fldCharType="separate"/>
        </w:r>
        <w:r w:rsidR="00017240" w:rsidRPr="00017240">
          <w:rPr>
            <w:rFonts w:cs="Guttman Hodes"/>
            <w:noProof/>
            <w:rtl/>
            <w:lang w:val="he-IL"/>
          </w:rPr>
          <w:t>21</w:t>
        </w:r>
        <w:r w:rsidR="00017240" w:rsidRPr="00017240">
          <w:rPr>
            <w:rFonts w:cs="Guttman Hodes"/>
            <w:noProof/>
            <w:rtl/>
            <w:lang w:val="he-IL"/>
          </w:rPr>
          <w:t>4</w:t>
        </w:r>
        <w:r w:rsidRPr="00C97937">
          <w:rPr>
            <w:rFonts w:cs="Guttman Hodes"/>
          </w:rPr>
          <w:fldChar w:fldCharType="end"/>
        </w:r>
      </w:p>
    </w:sdtContent>
  </w:sdt>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53E7" w14:textId="77777777" w:rsidR="00345400" w:rsidRPr="006B0BD2" w:rsidRDefault="00345400" w:rsidP="003D504D">
    <w:pPr>
      <w:pStyle w:val="ab"/>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6A2A8597" wp14:editId="7C53E6EB">
              <wp:simplePos x="0" y="0"/>
              <wp:positionH relativeFrom="margin">
                <wp:posOffset>4267097</wp:posOffset>
              </wp:positionH>
              <wp:positionV relativeFrom="paragraph">
                <wp:posOffset>-118232</wp:posOffset>
              </wp:positionV>
              <wp:extent cx="1511935" cy="460375"/>
              <wp:effectExtent l="0" t="0" r="0" b="0"/>
              <wp:wrapNone/>
              <wp:docPr id="28" name="תיבת טקסט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F883AB" w14:textId="77777777" w:rsidR="00345400" w:rsidRDefault="00345400" w:rsidP="003D504D">
                          <w:pPr>
                            <w:ind w:left="0"/>
                            <w:jc w:val="center"/>
                            <w:rPr>
                              <w:b/>
                              <w:bCs/>
                              <w:sz w:val="16"/>
                              <w:szCs w:val="16"/>
                            </w:rPr>
                          </w:pPr>
                          <w:r>
                            <w:rPr>
                              <w:b/>
                              <w:bCs/>
                              <w:sz w:val="16"/>
                              <w:szCs w:val="16"/>
                              <w:rtl/>
                            </w:rPr>
                            <w:t>שלמה הנדל - בית הלל</w:t>
                          </w:r>
                        </w:p>
                        <w:p w14:paraId="10DFF2C4" w14:textId="77777777" w:rsidR="00345400" w:rsidRDefault="00345400" w:rsidP="003D504D">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8E7E02" id="_x0000_t202" coordsize="21600,21600" o:spt="202" path="m,l,21600r21600,l21600,xe">
              <v:stroke joinstyle="miter"/>
              <v:path gradientshapeok="t" o:connecttype="rect"/>
            </v:shapetype>
            <v:shape id="תיבת טקסט 28" o:spid="_x0000_s1056" type="#_x0000_t202" style="position:absolute;left:0;text-align:left;margin-left:336pt;margin-top:-9.3pt;width:119.05pt;height:3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" stroked="f">
              <v:textbox>
                <w:txbxContent>
                  <w:p w:rsidR="00345400" w:rsidRDefault="00345400" w:rsidP="003D504D">
                    <w:pPr>
                      <w:ind w:left="0"/>
                      <w:jc w:val="center"/>
                      <w:rPr>
                        <w:b/>
                        <w:bCs/>
                        <w:sz w:val="16"/>
                        <w:szCs w:val="16"/>
                      </w:rPr>
                    </w:pPr>
                    <w:r>
                      <w:rPr>
                        <w:b/>
                        <w:bCs/>
                        <w:sz w:val="16"/>
                        <w:szCs w:val="16"/>
                        <w:rtl/>
                      </w:rPr>
                      <w:t>שלמה הנדל - בית הלל</w:t>
                    </w:r>
                  </w:p>
                  <w:p w:rsidR="00345400" w:rsidRDefault="00345400" w:rsidP="003D504D">
                    <w:pPr>
                      <w:ind w:left="0"/>
                      <w:jc w:val="center"/>
                      <w:rPr>
                        <w:sz w:val="16"/>
                        <w:szCs w:val="16"/>
                      </w:rPr>
                    </w:pPr>
                    <w:r>
                      <w:rPr>
                        <w:b/>
                        <w:bCs/>
                        <w:sz w:val="16"/>
                        <w:szCs w:val="16"/>
                        <w:rtl/>
                      </w:rPr>
                      <w:t>052-7676412</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9CEC25A" wp14:editId="4C02CFA3">
              <wp:simplePos x="0" y="0"/>
              <wp:positionH relativeFrom="margin">
                <wp:posOffset>-36871</wp:posOffset>
              </wp:positionH>
              <wp:positionV relativeFrom="paragraph">
                <wp:posOffset>-166289</wp:posOffset>
              </wp:positionV>
              <wp:extent cx="1002665" cy="264160"/>
              <wp:effectExtent l="0" t="0" r="26035" b="21590"/>
              <wp:wrapNone/>
              <wp:docPr id="29" name="תיבת טקסט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EF8CA15" w14:textId="77777777" w:rsidR="00345400" w:rsidRDefault="00345400" w:rsidP="003D504D">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D34F96" id="תיבת טקסט 29" o:spid="_x0000_s1057" type="#_x0000_t202" style="position:absolute;left:0;text-align:left;margin-left:-2.9pt;margin-top:-13.1pt;width:78.95pt;height:20.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" strokeweight="1.25pt">
              <v:textbox>
                <w:txbxContent>
                  <w:p w:rsidR="00345400" w:rsidRDefault="00345400" w:rsidP="003D504D">
                    <w:pPr>
                      <w:ind w:left="0"/>
                      <w:rPr>
                        <w:b/>
                        <w:bCs/>
                        <w:sz w:val="18"/>
                        <w:szCs w:val="18"/>
                      </w:rPr>
                    </w:pPr>
                    <w:r>
                      <w:rPr>
                        <w:b/>
                        <w:bCs/>
                        <w:sz w:val="18"/>
                        <w:szCs w:val="18"/>
                        <w:rtl/>
                      </w:rPr>
                      <w:t>המשך בעמ' הבא</w:t>
                    </w:r>
                  </w:p>
                </w:txbxContent>
              </v:textbox>
              <w10:wrap anchorx="margin"/>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00813405"/>
      <w:docPartObj>
        <w:docPartGallery w:val="Page Numbers (Bottom of Page)"/>
        <w:docPartUnique/>
      </w:docPartObj>
    </w:sdtPr>
    <w:sdtEndPr>
      <w:rPr>
        <w:cs/>
      </w:rPr>
    </w:sdtEndPr>
    <w:sdtContent>
      <w:p w14:paraId="3B9CE591" w14:textId="77777777" w:rsidR="00345400" w:rsidRDefault="00345400" w:rsidP="003D504D">
        <w:pPr>
          <w:pStyle w:val="ab"/>
          <w:ind w:left="0"/>
          <w:jc w:val="center"/>
          <w:rPr>
            <w:rtl/>
            <w:cs/>
          </w:rPr>
        </w:pPr>
        <w:r>
          <w:fldChar w:fldCharType="begin"/>
        </w:r>
        <w:r>
          <w:rPr>
            <w:rtl/>
            <w:cs/>
          </w:rPr>
          <w:instrText>PAGE   \* MERGEFORMAT</w:instrText>
        </w:r>
        <w:r>
          <w:fldChar w:fldCharType="separate"/>
        </w:r>
        <w:r w:rsidR="00017240" w:rsidRPr="00017240">
          <w:rPr>
            <w:noProof/>
            <w:rtl/>
            <w:lang w:val="he-IL"/>
          </w:rPr>
          <w:t>22</w:t>
        </w:r>
        <w:r w:rsidR="00017240" w:rsidRPr="00017240">
          <w:rPr>
            <w:noProof/>
            <w:rtl/>
            <w:lang w:val="he-IL"/>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52311109"/>
      <w:docPartObj>
        <w:docPartGallery w:val="Page Numbers (Bottom of Page)"/>
        <w:docPartUnique/>
      </w:docPartObj>
    </w:sdtPr>
    <w:sdtEndPr>
      <w:rPr>
        <w:cs/>
      </w:rPr>
    </w:sdtEndPr>
    <w:sdtContent>
      <w:p w14:paraId="3B5FAEC2" w14:textId="77777777" w:rsidR="00345400" w:rsidRDefault="00345400" w:rsidP="009D6D1F">
        <w:pPr>
          <w:pStyle w:val="ab"/>
          <w:ind w:left="0"/>
          <w:jc w:val="center"/>
          <w:rPr>
            <w:rtl/>
            <w:cs/>
          </w:rPr>
        </w:pPr>
        <w:r>
          <w:fldChar w:fldCharType="begin"/>
        </w:r>
        <w:r>
          <w:rPr>
            <w:rtl/>
            <w:cs/>
          </w:rPr>
          <w:instrText>PAGE   \* MERGEFORMAT</w:instrText>
        </w:r>
        <w:r>
          <w:fldChar w:fldCharType="separate"/>
        </w:r>
        <w:r w:rsidR="00017240" w:rsidRPr="00017240">
          <w:rPr>
            <w:noProof/>
            <w:rtl/>
            <w:lang w:val="he-IL"/>
          </w:rPr>
          <w:t>1</w:t>
        </w:r>
        <w:r w:rsidR="00017240" w:rsidRPr="00017240">
          <w:rPr>
            <w:noProof/>
            <w:rtl/>
            <w:lang w:val="he-IL"/>
          </w:rPr>
          <w:t>4</w:t>
        </w:r>
        <w:r>
          <w:fldChar w:fldCharType="end"/>
        </w:r>
      </w:p>
    </w:sdtContent>
  </w:sdt>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42474486"/>
      <w:docPartObj>
        <w:docPartGallery w:val="Page Numbers (Bottom of Page)"/>
        <w:docPartUnique/>
      </w:docPartObj>
    </w:sdtPr>
    <w:sdtEndPr/>
    <w:sdtContent>
      <w:p w14:paraId="46A5D313" w14:textId="77777777" w:rsidR="00345400" w:rsidRDefault="00345400" w:rsidP="003D504D">
        <w:pPr>
          <w:pStyle w:val="ab"/>
          <w:ind w:left="0"/>
          <w:jc w:val="center"/>
          <w:rPr>
            <w:rtl/>
            <w:cs/>
          </w:rPr>
        </w:pPr>
        <w:r>
          <w:fldChar w:fldCharType="begin"/>
        </w:r>
        <w:r>
          <w:rPr>
            <w:rtl/>
            <w:cs/>
          </w:rPr>
          <w:instrText>PAGE   \* MERGEFORMAT</w:instrText>
        </w:r>
        <w:r>
          <w:fldChar w:fldCharType="separate"/>
        </w:r>
        <w:r w:rsidR="00017240" w:rsidRPr="00017240">
          <w:rPr>
            <w:noProof/>
            <w:rtl/>
            <w:lang w:val="he-IL"/>
          </w:rPr>
          <w:t>22</w:t>
        </w:r>
        <w:r w:rsidR="00017240" w:rsidRPr="00017240">
          <w:rPr>
            <w:noProof/>
            <w:rtl/>
            <w:lang w:val="he-IL"/>
          </w:rPr>
          <w:t>7</w:t>
        </w:r>
        <w:r>
          <w:fldChar w:fldCharType="end"/>
        </w:r>
      </w:p>
    </w:sdtContent>
  </w:sdt>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46372637"/>
      <w:docPartObj>
        <w:docPartGallery w:val="Page Numbers (Bottom of Page)"/>
        <w:docPartUnique/>
      </w:docPartObj>
    </w:sdtPr>
    <w:sdtEndPr/>
    <w:sdtContent>
      <w:p w14:paraId="158D87D9" w14:textId="77777777" w:rsidR="00345400" w:rsidRDefault="00345400" w:rsidP="003D504D">
        <w:pPr>
          <w:pStyle w:val="ab"/>
          <w:ind w:left="0"/>
          <w:jc w:val="center"/>
          <w:rPr>
            <w:rtl/>
            <w:cs/>
          </w:rPr>
        </w:pPr>
        <w:r>
          <w:fldChar w:fldCharType="begin"/>
        </w:r>
        <w:r>
          <w:rPr>
            <w:rtl/>
            <w:cs/>
          </w:rPr>
          <w:instrText>PAGE   \* MERGEFORMAT</w:instrText>
        </w:r>
        <w:r>
          <w:fldChar w:fldCharType="separate"/>
        </w:r>
        <w:r w:rsidR="00017240" w:rsidRPr="00017240">
          <w:rPr>
            <w:noProof/>
            <w:rtl/>
            <w:lang w:val="he-IL"/>
          </w:rPr>
          <w:t>23</w:t>
        </w:r>
        <w:r w:rsidR="00017240" w:rsidRPr="00017240">
          <w:rPr>
            <w:noProof/>
            <w:rtl/>
            <w:lang w:val="he-IL"/>
          </w:rPr>
          <w:t>4</w:t>
        </w:r>
        <w:r>
          <w:fldChar w:fldCharType="end"/>
        </w:r>
      </w:p>
    </w:sdtContent>
  </w:sdt>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CCF2D" w14:textId="77777777" w:rsidR="00345400" w:rsidRPr="006B0BD2" w:rsidRDefault="00345400" w:rsidP="003D504D">
    <w:pPr>
      <w:pStyle w:val="ab"/>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22E46AFF" wp14:editId="2FE976C1">
              <wp:simplePos x="0" y="0"/>
              <wp:positionH relativeFrom="margin">
                <wp:posOffset>46209</wp:posOffset>
              </wp:positionH>
              <wp:positionV relativeFrom="paragraph">
                <wp:posOffset>34583</wp:posOffset>
              </wp:positionV>
              <wp:extent cx="1002665" cy="264160"/>
              <wp:effectExtent l="0" t="0" r="26035" b="21590"/>
              <wp:wrapNone/>
              <wp:docPr id="31" name="תיבת טקסט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8A7D792" w14:textId="77777777" w:rsidR="00345400" w:rsidRDefault="00345400" w:rsidP="003D504D">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F689727" id="_x0000_t202" coordsize="21600,21600" o:spt="202" path="m,l,21600r21600,l21600,xe">
              <v:stroke joinstyle="miter"/>
              <v:path gradientshapeok="t" o:connecttype="rect"/>
            </v:shapetype>
            <v:shape id="תיבת טקסט 31" o:spid="_x0000_s1058" type="#_x0000_t202" style="position:absolute;left:0;text-align:left;margin-left:3.65pt;margin-top:2.7pt;width:78.95pt;height:20.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" strokeweight="1.25pt">
              <v:textbox>
                <w:txbxContent>
                  <w:p w:rsidR="00345400" w:rsidRDefault="00345400" w:rsidP="003D504D">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A7D93D8" wp14:editId="2E9D951E">
              <wp:simplePos x="0" y="0"/>
              <wp:positionH relativeFrom="margin">
                <wp:posOffset>4290778</wp:posOffset>
              </wp:positionH>
              <wp:positionV relativeFrom="paragraph">
                <wp:posOffset>-53403</wp:posOffset>
              </wp:positionV>
              <wp:extent cx="1511935" cy="460375"/>
              <wp:effectExtent l="0" t="0" r="0" b="0"/>
              <wp:wrapNone/>
              <wp:docPr id="32" name="תיבת טקסט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38B26D" w14:textId="77777777" w:rsidR="00345400" w:rsidRDefault="00345400" w:rsidP="003D504D">
                          <w:pPr>
                            <w:ind w:left="0"/>
                            <w:jc w:val="center"/>
                            <w:rPr>
                              <w:b/>
                              <w:bCs/>
                              <w:sz w:val="16"/>
                              <w:szCs w:val="16"/>
                            </w:rPr>
                          </w:pPr>
                          <w:r>
                            <w:rPr>
                              <w:b/>
                              <w:bCs/>
                              <w:sz w:val="16"/>
                              <w:szCs w:val="16"/>
                              <w:rtl/>
                            </w:rPr>
                            <w:t>שלמה הנדל - בית הלל</w:t>
                          </w:r>
                        </w:p>
                        <w:p w14:paraId="2621F251" w14:textId="77777777" w:rsidR="00345400" w:rsidRDefault="00345400" w:rsidP="003D504D">
                          <w:pPr>
                            <w:ind w:left="0"/>
                            <w:jc w:val="center"/>
                            <w:rPr>
                              <w:sz w:val="16"/>
                              <w:szCs w:val="16"/>
                            </w:rPr>
                          </w:pPr>
                          <w:r>
                            <w:rPr>
                              <w:b/>
                              <w:bCs/>
                              <w:sz w:val="16"/>
                              <w:szCs w:val="16"/>
                              <w:rtl/>
                            </w:rPr>
                            <w:t xml:space="preserve"> </w:t>
                          </w:r>
                          <w:r>
                            <w:rPr>
                              <w:rFonts w:hint="cs"/>
                              <w:b/>
                              <w:bCs/>
                              <w:sz w:val="16"/>
                              <w:szCs w:val="16"/>
                              <w:rtl/>
                            </w:rPr>
                            <w:t>0</w:t>
                          </w:r>
                          <w:r>
                            <w:rPr>
                              <w:b/>
                              <w:bCs/>
                              <w:sz w:val="16"/>
                              <w:szCs w:val="16"/>
                              <w:rtl/>
                            </w:rPr>
                            <w:t>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9B3A5F" id="תיבת טקסט 32" o:spid="_x0000_s1059" type="#_x0000_t202" style="position:absolute;left:0;text-align:left;margin-left:337.85pt;margin-top:-4.2pt;width:119.05pt;height:36.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" stroked="f">
              <v:textbox>
                <w:txbxContent>
                  <w:p w:rsidR="00345400" w:rsidRDefault="00345400" w:rsidP="003D504D">
                    <w:pPr>
                      <w:ind w:left="0"/>
                      <w:jc w:val="center"/>
                      <w:rPr>
                        <w:b/>
                        <w:bCs/>
                        <w:sz w:val="16"/>
                        <w:szCs w:val="16"/>
                      </w:rPr>
                    </w:pPr>
                    <w:r>
                      <w:rPr>
                        <w:b/>
                        <w:bCs/>
                        <w:sz w:val="16"/>
                        <w:szCs w:val="16"/>
                        <w:rtl/>
                      </w:rPr>
                      <w:t>שלמה הנדל - בית הלל</w:t>
                    </w:r>
                  </w:p>
                  <w:p w:rsidR="00345400" w:rsidRDefault="00345400" w:rsidP="003D504D">
                    <w:pPr>
                      <w:ind w:left="0"/>
                      <w:jc w:val="center"/>
                      <w:rPr>
                        <w:sz w:val="16"/>
                        <w:szCs w:val="16"/>
                      </w:rPr>
                    </w:pPr>
                    <w:r>
                      <w:rPr>
                        <w:b/>
                        <w:bCs/>
                        <w:sz w:val="16"/>
                        <w:szCs w:val="16"/>
                        <w:rtl/>
                      </w:rPr>
                      <w:t xml:space="preserve"> </w:t>
                    </w:r>
                    <w:r>
                      <w:rPr>
                        <w:rFonts w:hint="cs"/>
                        <w:b/>
                        <w:bCs/>
                        <w:sz w:val="16"/>
                        <w:szCs w:val="16"/>
                        <w:rtl/>
                      </w:rPr>
                      <w:t>0</w:t>
                    </w:r>
                    <w:r>
                      <w:rPr>
                        <w:b/>
                        <w:bCs/>
                        <w:sz w:val="16"/>
                        <w:szCs w:val="16"/>
                        <w:rtl/>
                      </w:rPr>
                      <w:t>52-7676412</w:t>
                    </w:r>
                  </w:p>
                </w:txbxContent>
              </v:textbox>
              <w10:wrap anchorx="margin"/>
            </v:shape>
          </w:pict>
        </mc:Fallback>
      </mc:AlternateContent>
    </w:r>
  </w:p>
  <w:p w14:paraId="6034A738" w14:textId="77777777" w:rsidR="00345400" w:rsidRPr="00FF38F2" w:rsidRDefault="00345400" w:rsidP="003D504D">
    <w:pPr>
      <w:pStyle w:val="ab"/>
      <w:rPr>
        <w:rtl/>
        <w:cs/>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9795235"/>
      <w:docPartObj>
        <w:docPartGallery w:val="Page Numbers (Bottom of Page)"/>
        <w:docPartUnique/>
      </w:docPartObj>
    </w:sdtPr>
    <w:sdtEndPr/>
    <w:sdtContent>
      <w:p w14:paraId="01DDB705" w14:textId="77777777" w:rsidR="00345400" w:rsidRDefault="00345400">
        <w:pPr>
          <w:pStyle w:val="ab"/>
          <w:jc w:val="right"/>
          <w:rPr>
            <w:rtl/>
            <w:cs/>
          </w:rPr>
        </w:pPr>
        <w:r>
          <w:fldChar w:fldCharType="begin"/>
        </w:r>
        <w:r>
          <w:rPr>
            <w:rtl/>
            <w:cs/>
          </w:rPr>
          <w:instrText>PAGE   \* MERGEFORMAT</w:instrText>
        </w:r>
        <w:r>
          <w:fldChar w:fldCharType="separate"/>
        </w:r>
        <w:r w:rsidRPr="001B58EB">
          <w:rPr>
            <w:noProof/>
            <w:rtl/>
            <w:lang w:val="he-IL"/>
          </w:rPr>
          <w:t>5</w:t>
        </w:r>
        <w:r>
          <w:fldChar w:fldCharType="end"/>
        </w:r>
      </w:p>
    </w:sdtContent>
  </w:sdt>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21859050"/>
      <w:docPartObj>
        <w:docPartGallery w:val="Page Numbers (Bottom of Page)"/>
        <w:docPartUnique/>
      </w:docPartObj>
    </w:sdtPr>
    <w:sdtEndPr>
      <w:rPr>
        <w:cs/>
      </w:rPr>
    </w:sdtEndPr>
    <w:sdtContent>
      <w:p w14:paraId="1D6D8E3C" w14:textId="77777777" w:rsidR="00345400" w:rsidRDefault="00345400" w:rsidP="003D504D">
        <w:pPr>
          <w:pStyle w:val="ab"/>
          <w:ind w:left="0"/>
          <w:jc w:val="center"/>
          <w:rPr>
            <w:rtl/>
            <w:cs/>
          </w:rPr>
        </w:pPr>
        <w:r>
          <w:fldChar w:fldCharType="begin"/>
        </w:r>
        <w:r>
          <w:rPr>
            <w:rtl/>
            <w:cs/>
          </w:rPr>
          <w:instrText>PAGE   \* MERGEFORMAT</w:instrText>
        </w:r>
        <w:r>
          <w:fldChar w:fldCharType="separate"/>
        </w:r>
        <w:r w:rsidR="00017240" w:rsidRPr="00017240">
          <w:rPr>
            <w:noProof/>
            <w:rtl/>
            <w:lang w:val="he-IL"/>
          </w:rPr>
          <w:t>23</w:t>
        </w:r>
        <w:r w:rsidR="00017240" w:rsidRPr="00017240">
          <w:rPr>
            <w:noProof/>
            <w:rtl/>
            <w:lang w:val="he-IL"/>
          </w:rPr>
          <w:t>9</w:t>
        </w:r>
        <w:r>
          <w:fldChar w:fldCharType="end"/>
        </w:r>
      </w:p>
    </w:sdtContent>
  </w:sdt>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C83D5" w14:textId="77777777" w:rsidR="00345400" w:rsidRPr="006B0BD2" w:rsidRDefault="00345400" w:rsidP="003D504D">
    <w:pPr>
      <w:pStyle w:val="ab"/>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6E6E7CF5" wp14:editId="1FBCB3C6">
              <wp:simplePos x="0" y="0"/>
              <wp:positionH relativeFrom="margin">
                <wp:posOffset>4290778</wp:posOffset>
              </wp:positionH>
              <wp:positionV relativeFrom="paragraph">
                <wp:posOffset>-53403</wp:posOffset>
              </wp:positionV>
              <wp:extent cx="1511935" cy="460375"/>
              <wp:effectExtent l="0" t="0" r="0" b="0"/>
              <wp:wrapNone/>
              <wp:docPr id="35" name="תיבת טקסט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D42962" w14:textId="77777777" w:rsidR="00345400" w:rsidRDefault="00345400" w:rsidP="003D504D">
                          <w:pPr>
                            <w:ind w:left="0"/>
                            <w:jc w:val="center"/>
                            <w:rPr>
                              <w:b/>
                              <w:bCs/>
                              <w:sz w:val="16"/>
                              <w:szCs w:val="16"/>
                            </w:rPr>
                          </w:pPr>
                          <w:r>
                            <w:rPr>
                              <w:b/>
                              <w:bCs/>
                              <w:sz w:val="16"/>
                              <w:szCs w:val="16"/>
                              <w:rtl/>
                            </w:rPr>
                            <w:t>שלמה הנדל - בית הלל</w:t>
                          </w:r>
                        </w:p>
                        <w:p w14:paraId="33446826" w14:textId="77777777" w:rsidR="00345400" w:rsidRDefault="00345400" w:rsidP="003D504D">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58B57FA" id="_x0000_t202" coordsize="21600,21600" o:spt="202" path="m,l,21600r21600,l21600,xe">
              <v:stroke joinstyle="miter"/>
              <v:path gradientshapeok="t" o:connecttype="rect"/>
            </v:shapetype>
            <v:shape id="תיבת טקסט 35" o:spid="_x0000_s1060" type="#_x0000_t202" style="position:absolute;left:0;text-align:left;margin-left:337.85pt;margin-top:-4.2pt;width:119.05pt;height:36.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" stroked="f">
              <v:textbox>
                <w:txbxContent>
                  <w:p w:rsidR="00345400" w:rsidRDefault="00345400" w:rsidP="003D504D">
                    <w:pPr>
                      <w:ind w:left="0"/>
                      <w:jc w:val="center"/>
                      <w:rPr>
                        <w:b/>
                        <w:bCs/>
                        <w:sz w:val="16"/>
                        <w:szCs w:val="16"/>
                      </w:rPr>
                    </w:pPr>
                    <w:r>
                      <w:rPr>
                        <w:b/>
                        <w:bCs/>
                        <w:sz w:val="16"/>
                        <w:szCs w:val="16"/>
                        <w:rtl/>
                      </w:rPr>
                      <w:t>שלמה הנדל - בית הלל</w:t>
                    </w:r>
                  </w:p>
                  <w:p w:rsidR="00345400" w:rsidRDefault="00345400" w:rsidP="003D504D">
                    <w:pPr>
                      <w:ind w:left="0"/>
                      <w:jc w:val="center"/>
                      <w:rPr>
                        <w:sz w:val="16"/>
                        <w:szCs w:val="16"/>
                      </w:rPr>
                    </w:pPr>
                    <w:r>
                      <w:rPr>
                        <w:b/>
                        <w:bCs/>
                        <w:sz w:val="16"/>
                        <w:szCs w:val="16"/>
                        <w:rtl/>
                      </w:rPr>
                      <w:t>052-7676412</w:t>
                    </w:r>
                  </w:p>
                </w:txbxContent>
              </v:textbox>
              <w10:wrap anchorx="margin"/>
            </v:shape>
          </w:pict>
        </mc:Fallback>
      </mc:AlternateContent>
    </w:r>
  </w:p>
  <w:p w14:paraId="4A6A5014" w14:textId="77777777" w:rsidR="00345400" w:rsidRPr="00FF38F2" w:rsidRDefault="00345400" w:rsidP="003D504D">
    <w:pPr>
      <w:pStyle w:val="ab"/>
      <w:rPr>
        <w:rtl/>
        <w:cs/>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1439C" w14:textId="77777777" w:rsidR="00345400" w:rsidRPr="006B0BD2" w:rsidRDefault="00345400" w:rsidP="003D504D">
    <w:pPr>
      <w:pStyle w:val="ab"/>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254974A5" wp14:editId="0E0C9CE2">
              <wp:simplePos x="0" y="0"/>
              <wp:positionH relativeFrom="margin">
                <wp:posOffset>46209</wp:posOffset>
              </wp:positionH>
              <wp:positionV relativeFrom="paragraph">
                <wp:posOffset>34583</wp:posOffset>
              </wp:positionV>
              <wp:extent cx="1002665" cy="264160"/>
              <wp:effectExtent l="0" t="0" r="26035" b="21590"/>
              <wp:wrapNone/>
              <wp:docPr id="36" name="תיבת טקסט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84CF1C9" w14:textId="77777777" w:rsidR="00345400" w:rsidRDefault="00345400" w:rsidP="003D504D">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579D4E1" id="_x0000_t202" coordsize="21600,21600" o:spt="202" path="m,l,21600r21600,l21600,xe">
              <v:stroke joinstyle="miter"/>
              <v:path gradientshapeok="t" o:connecttype="rect"/>
            </v:shapetype>
            <v:shape id="תיבת טקסט 36" o:spid="_x0000_s1061" type="#_x0000_t202" style="position:absolute;left:0;text-align:left;margin-left:3.65pt;margin-top:2.7pt;width:78.95pt;height:20.8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PUORgIAAGQEAAAOAAAAZHJzL2Uyb0RvYy54bWysVM2O0zAQviPxDpbvNGlpu92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Z+j1DkYCAABk&#10;BAAADgAAAAAAAAAAAAAAAAAuAgAAZHJzL2Uyb0RvYy54bWxQSwECLQAUAAYACAAAACEA1VLwPdwA&#10;AAAGAQAADwAAAAAAAAAAAAAAAACgBAAAZHJzL2Rvd25yZXYueG1sUEsFBgAAAAAEAAQA8wAAAKkF&#10;AAAAAA==&#10;" strokeweight="1.25pt">
              <v:textbox>
                <w:txbxContent>
                  <w:p w:rsidR="00345400" w:rsidRDefault="00345400" w:rsidP="003D504D">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14EB53C2" wp14:editId="22F90229">
              <wp:simplePos x="0" y="0"/>
              <wp:positionH relativeFrom="margin">
                <wp:posOffset>4290778</wp:posOffset>
              </wp:positionH>
              <wp:positionV relativeFrom="paragraph">
                <wp:posOffset>-53403</wp:posOffset>
              </wp:positionV>
              <wp:extent cx="1511935" cy="460375"/>
              <wp:effectExtent l="0" t="0" r="0" b="0"/>
              <wp:wrapNone/>
              <wp:docPr id="37" name="תיבת טקסט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B44F4" w14:textId="77777777" w:rsidR="00345400" w:rsidRDefault="00345400" w:rsidP="003D504D">
                          <w:pPr>
                            <w:ind w:left="0"/>
                            <w:jc w:val="center"/>
                            <w:rPr>
                              <w:b/>
                              <w:bCs/>
                              <w:sz w:val="16"/>
                              <w:szCs w:val="16"/>
                            </w:rPr>
                          </w:pPr>
                          <w:r>
                            <w:rPr>
                              <w:b/>
                              <w:bCs/>
                              <w:sz w:val="16"/>
                              <w:szCs w:val="16"/>
                              <w:rtl/>
                            </w:rPr>
                            <w:t>שלמה הנדל - בית הלל</w:t>
                          </w:r>
                        </w:p>
                        <w:p w14:paraId="15113B7B" w14:textId="77777777" w:rsidR="00345400" w:rsidRDefault="00345400" w:rsidP="003D504D">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7A238A" id="תיבת טקסט 37" o:spid="_x0000_s1062" type="#_x0000_t202" style="position:absolute;left:0;text-align:left;margin-left:337.85pt;margin-top:-4.2pt;width:119.05pt;height:36.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" stroked="f">
              <v:textbox>
                <w:txbxContent>
                  <w:p w:rsidR="00345400" w:rsidRDefault="00345400" w:rsidP="003D504D">
                    <w:pPr>
                      <w:ind w:left="0"/>
                      <w:jc w:val="center"/>
                      <w:rPr>
                        <w:b/>
                        <w:bCs/>
                        <w:sz w:val="16"/>
                        <w:szCs w:val="16"/>
                      </w:rPr>
                    </w:pPr>
                    <w:r>
                      <w:rPr>
                        <w:b/>
                        <w:bCs/>
                        <w:sz w:val="16"/>
                        <w:szCs w:val="16"/>
                        <w:rtl/>
                      </w:rPr>
                      <w:t>שלמה הנדל - בית הלל</w:t>
                    </w:r>
                  </w:p>
                  <w:p w:rsidR="00345400" w:rsidRDefault="00345400" w:rsidP="003D504D">
                    <w:pPr>
                      <w:ind w:left="0"/>
                      <w:jc w:val="center"/>
                      <w:rPr>
                        <w:sz w:val="16"/>
                        <w:szCs w:val="16"/>
                      </w:rPr>
                    </w:pPr>
                    <w:r>
                      <w:rPr>
                        <w:b/>
                        <w:bCs/>
                        <w:sz w:val="16"/>
                        <w:szCs w:val="16"/>
                        <w:rtl/>
                      </w:rPr>
                      <w:t>052-7676412</w:t>
                    </w:r>
                  </w:p>
                </w:txbxContent>
              </v:textbox>
              <w10:wrap anchorx="margin"/>
            </v:shape>
          </w:pict>
        </mc:Fallback>
      </mc:AlternateContent>
    </w:r>
  </w:p>
  <w:p w14:paraId="346B7BB5" w14:textId="77777777" w:rsidR="00345400" w:rsidRDefault="00345400" w:rsidP="003D504D">
    <w:pPr>
      <w:pStyle w:val="ab"/>
    </w:pPr>
  </w:p>
  <w:p w14:paraId="1A75A5E6" w14:textId="77777777" w:rsidR="00345400" w:rsidRDefault="00345400">
    <w:pPr>
      <w:pStyle w:val="ab"/>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74117" w14:textId="77777777" w:rsidR="00345400" w:rsidRPr="006B0BD2" w:rsidRDefault="00345400" w:rsidP="003D504D">
    <w:pPr>
      <w:pStyle w:val="ab"/>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45D499B7" wp14:editId="0819CB83">
              <wp:simplePos x="0" y="0"/>
              <wp:positionH relativeFrom="margin">
                <wp:posOffset>46209</wp:posOffset>
              </wp:positionH>
              <wp:positionV relativeFrom="paragraph">
                <wp:posOffset>34583</wp:posOffset>
              </wp:positionV>
              <wp:extent cx="1002665" cy="264160"/>
              <wp:effectExtent l="0" t="0" r="26035" b="21590"/>
              <wp:wrapNone/>
              <wp:docPr id="38" name="תיבת טקסט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D031DE0" w14:textId="77777777" w:rsidR="00345400" w:rsidRDefault="00345400" w:rsidP="003D504D">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A6842B4" id="_x0000_t202" coordsize="21600,21600" o:spt="202" path="m,l,21600r21600,l21600,xe">
              <v:stroke joinstyle="miter"/>
              <v:path gradientshapeok="t" o:connecttype="rect"/>
            </v:shapetype>
            <v:shape id="תיבת טקסט 38" o:spid="_x0000_s1063" type="#_x0000_t202" style="position:absolute;left:0;text-align:left;margin-left:3.65pt;margin-top:2.7pt;width:78.95pt;height:20.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PKN4P5EAgAAZAQA&#10;AA4AAAAAAAAAAAAAAAAALgIAAGRycy9lMm9Eb2MueG1sUEsBAi0AFAAGAAgAAAAhANVS8D3cAAAA&#10;BgEAAA8AAAAAAAAAAAAAAAAAngQAAGRycy9kb3ducmV2LnhtbFBLBQYAAAAABAAEAPMAAACnBQAA&#10;AAA=&#10;" strokeweight="1.25pt">
              <v:textbox>
                <w:txbxContent>
                  <w:p w:rsidR="00345400" w:rsidRDefault="00345400" w:rsidP="003D504D">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0A125BF" wp14:editId="21320354">
              <wp:simplePos x="0" y="0"/>
              <wp:positionH relativeFrom="margin">
                <wp:posOffset>4290778</wp:posOffset>
              </wp:positionH>
              <wp:positionV relativeFrom="paragraph">
                <wp:posOffset>-53403</wp:posOffset>
              </wp:positionV>
              <wp:extent cx="1511935" cy="460375"/>
              <wp:effectExtent l="0" t="0" r="0" b="0"/>
              <wp:wrapNone/>
              <wp:docPr id="39" name="תיבת טקסט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2FE252" w14:textId="77777777" w:rsidR="00345400" w:rsidRDefault="00345400" w:rsidP="003D504D">
                          <w:pPr>
                            <w:ind w:left="0"/>
                            <w:jc w:val="center"/>
                            <w:rPr>
                              <w:b/>
                              <w:bCs/>
                              <w:sz w:val="16"/>
                              <w:szCs w:val="16"/>
                            </w:rPr>
                          </w:pPr>
                          <w:r>
                            <w:rPr>
                              <w:b/>
                              <w:bCs/>
                              <w:sz w:val="16"/>
                              <w:szCs w:val="16"/>
                              <w:rtl/>
                            </w:rPr>
                            <w:t>שלמה הנדל - בית הלל</w:t>
                          </w:r>
                        </w:p>
                        <w:p w14:paraId="630A5468" w14:textId="77777777" w:rsidR="00345400" w:rsidRDefault="00345400" w:rsidP="003D504D">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CF4328" id="תיבת טקסט 39" o:spid="_x0000_s1064" type="#_x0000_t202" style="position:absolute;left:0;text-align:left;margin-left:337.85pt;margin-top:-4.2pt;width:119.05pt;height:36.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" stroked="f">
              <v:textbox>
                <w:txbxContent>
                  <w:p w:rsidR="00345400" w:rsidRDefault="00345400" w:rsidP="003D504D">
                    <w:pPr>
                      <w:ind w:left="0"/>
                      <w:jc w:val="center"/>
                      <w:rPr>
                        <w:b/>
                        <w:bCs/>
                        <w:sz w:val="16"/>
                        <w:szCs w:val="16"/>
                      </w:rPr>
                    </w:pPr>
                    <w:r>
                      <w:rPr>
                        <w:b/>
                        <w:bCs/>
                        <w:sz w:val="16"/>
                        <w:szCs w:val="16"/>
                        <w:rtl/>
                      </w:rPr>
                      <w:t>שלמה הנדל - בית הלל</w:t>
                    </w:r>
                  </w:p>
                  <w:p w:rsidR="00345400" w:rsidRDefault="00345400" w:rsidP="003D504D">
                    <w:pPr>
                      <w:ind w:left="0"/>
                      <w:jc w:val="center"/>
                      <w:rPr>
                        <w:sz w:val="16"/>
                        <w:szCs w:val="16"/>
                      </w:rPr>
                    </w:pPr>
                    <w:r>
                      <w:rPr>
                        <w:b/>
                        <w:bCs/>
                        <w:sz w:val="16"/>
                        <w:szCs w:val="16"/>
                        <w:rtl/>
                      </w:rPr>
                      <w:t>052-7676412</w:t>
                    </w:r>
                  </w:p>
                </w:txbxContent>
              </v:textbox>
              <w10:wrap anchorx="margin"/>
            </v:shape>
          </w:pict>
        </mc:Fallback>
      </mc:AlternateContent>
    </w:r>
  </w:p>
  <w:p w14:paraId="4258F987" w14:textId="77777777" w:rsidR="00345400" w:rsidRPr="00FF38F2" w:rsidRDefault="00345400" w:rsidP="003D504D">
    <w:pPr>
      <w:pStyle w:val="ab"/>
      <w:rPr>
        <w:rtl/>
        <w:cs/>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93941406"/>
      <w:docPartObj>
        <w:docPartGallery w:val="Page Numbers (Bottom of Page)"/>
        <w:docPartUnique/>
      </w:docPartObj>
    </w:sdtPr>
    <w:sdtEndPr>
      <w:rPr>
        <w:cs/>
      </w:rPr>
    </w:sdtEndPr>
    <w:sdtContent>
      <w:p w14:paraId="7011BB4B" w14:textId="77777777" w:rsidR="00345400" w:rsidRDefault="00345400" w:rsidP="003D504D">
        <w:pPr>
          <w:pStyle w:val="ab"/>
          <w:ind w:left="0"/>
          <w:jc w:val="center"/>
          <w:rPr>
            <w:rtl/>
            <w:cs/>
          </w:rPr>
        </w:pPr>
        <w:r>
          <w:fldChar w:fldCharType="begin"/>
        </w:r>
        <w:r>
          <w:rPr>
            <w:rtl/>
            <w:cs/>
          </w:rPr>
          <w:instrText>PAGE   \* MERGEFORMAT</w:instrText>
        </w:r>
        <w:r>
          <w:fldChar w:fldCharType="separate"/>
        </w:r>
        <w:r w:rsidR="00017240" w:rsidRPr="00017240">
          <w:rPr>
            <w:noProof/>
            <w:rtl/>
            <w:lang w:val="he-IL"/>
          </w:rPr>
          <w:t>24</w:t>
        </w:r>
        <w:r w:rsidR="00017240" w:rsidRPr="00017240">
          <w:rPr>
            <w:noProof/>
            <w:rtl/>
            <w:lang w:val="he-IL"/>
          </w:rPr>
          <w:t>2</w:t>
        </w:r>
        <w:r>
          <w:fldChar w:fldCharType="end"/>
        </w:r>
      </w:p>
    </w:sdtContent>
  </w:sdt>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35349242"/>
      <w:docPartObj>
        <w:docPartGallery w:val="Page Numbers (Bottom of Page)"/>
        <w:docPartUnique/>
      </w:docPartObj>
    </w:sdtPr>
    <w:sdtEndPr>
      <w:rPr>
        <w:cs/>
      </w:rPr>
    </w:sdtEndPr>
    <w:sdtContent>
      <w:p w14:paraId="67CA32B1" w14:textId="77777777" w:rsidR="00345400" w:rsidRDefault="00345400" w:rsidP="003D504D">
        <w:pPr>
          <w:pStyle w:val="ab"/>
          <w:ind w:left="0"/>
          <w:jc w:val="center"/>
          <w:rPr>
            <w:rtl/>
            <w:cs/>
          </w:rPr>
        </w:pPr>
        <w:r>
          <w:fldChar w:fldCharType="begin"/>
        </w:r>
        <w:r>
          <w:rPr>
            <w:rtl/>
            <w:cs/>
          </w:rPr>
          <w:instrText>PAGE   \* MERGEFORMAT</w:instrText>
        </w:r>
        <w:r>
          <w:fldChar w:fldCharType="separate"/>
        </w:r>
        <w:r w:rsidR="00017240" w:rsidRPr="00017240">
          <w:rPr>
            <w:noProof/>
            <w:rtl/>
            <w:lang w:val="he-IL"/>
          </w:rPr>
          <w:t>28</w:t>
        </w:r>
        <w:r w:rsidR="00017240" w:rsidRPr="00017240">
          <w:rPr>
            <w:noProof/>
            <w:rtl/>
            <w:lang w:val="he-IL"/>
          </w:rPr>
          <w:t>1</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91473128"/>
      <w:docPartObj>
        <w:docPartGallery w:val="Page Numbers (Bottom of Page)"/>
        <w:docPartUnique/>
      </w:docPartObj>
    </w:sdtPr>
    <w:sdtEndPr>
      <w:rPr>
        <w:rFonts w:cs="Guttman Hodes"/>
        <w:cs/>
      </w:rPr>
    </w:sdtEndPr>
    <w:sdtContent>
      <w:p w14:paraId="057A7A87" w14:textId="77777777" w:rsidR="00345400" w:rsidRPr="00806082" w:rsidRDefault="00345400" w:rsidP="00852065">
        <w:pPr>
          <w:pStyle w:val="ab"/>
          <w:ind w:left="0"/>
          <w:jc w:val="center"/>
          <w:rPr>
            <w:rFonts w:cs="Guttman Hodes"/>
            <w:rtl/>
            <w:cs/>
          </w:rPr>
        </w:pPr>
        <w:r w:rsidRPr="00806082">
          <w:rPr>
            <w:rFonts w:cs="Guttman Hodes"/>
          </w:rPr>
          <w:fldChar w:fldCharType="begin"/>
        </w:r>
        <w:r w:rsidRPr="00806082">
          <w:rPr>
            <w:rFonts w:cs="Guttman Hodes"/>
            <w:rtl/>
            <w:cs/>
          </w:rPr>
          <w:instrText>PAGE   \* MERGEFORMAT</w:instrText>
        </w:r>
        <w:r w:rsidRPr="00806082">
          <w:rPr>
            <w:rFonts w:cs="Guttman Hodes"/>
          </w:rPr>
          <w:fldChar w:fldCharType="separate"/>
        </w:r>
        <w:r w:rsidR="00017240" w:rsidRPr="00017240">
          <w:rPr>
            <w:rFonts w:cs="Guttman Hodes"/>
            <w:noProof/>
            <w:rtl/>
            <w:lang w:val="he-IL"/>
          </w:rPr>
          <w:t>1</w:t>
        </w:r>
        <w:r w:rsidR="00017240" w:rsidRPr="00017240">
          <w:rPr>
            <w:rFonts w:cs="Guttman Hodes"/>
            <w:noProof/>
            <w:rtl/>
            <w:lang w:val="he-IL"/>
          </w:rPr>
          <w:t>6</w:t>
        </w:r>
        <w:r w:rsidRPr="00806082">
          <w:rPr>
            <w:rFonts w:cs="Guttman Hodes"/>
          </w:rPr>
          <w:fldChar w:fldCharType="end"/>
        </w:r>
      </w:p>
    </w:sdtContent>
  </w:sdt>
  <w:p w14:paraId="46BB3042" w14:textId="77777777" w:rsidR="00345400" w:rsidRDefault="00345400">
    <w:pPr>
      <w:pStyle w:val="ab"/>
      <w:jc w:val="right"/>
      <w:rPr>
        <w:rtl/>
        <w:cs/>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BDEBE" w14:textId="77777777" w:rsidR="00345400" w:rsidRPr="006B0BD2" w:rsidRDefault="00345400" w:rsidP="003D504D">
    <w:pPr>
      <w:pStyle w:val="ab"/>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16B6796C" wp14:editId="715CD7C8">
              <wp:simplePos x="0" y="0"/>
              <wp:positionH relativeFrom="margin">
                <wp:posOffset>46209</wp:posOffset>
              </wp:positionH>
              <wp:positionV relativeFrom="paragraph">
                <wp:posOffset>34583</wp:posOffset>
              </wp:positionV>
              <wp:extent cx="1002665" cy="264160"/>
              <wp:effectExtent l="0" t="0" r="26035" b="21590"/>
              <wp:wrapNone/>
              <wp:docPr id="41" name="תיבת טקסט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C1B8C0C" w14:textId="77777777" w:rsidR="00345400" w:rsidRDefault="00345400" w:rsidP="003D504D">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55BFC4" id="_x0000_t202" coordsize="21600,21600" o:spt="202" path="m,l,21600r21600,l21600,xe">
              <v:stroke joinstyle="miter"/>
              <v:path gradientshapeok="t" o:connecttype="rect"/>
            </v:shapetype>
            <v:shape id="תיבת טקסט 41" o:spid="_x0000_s1065" type="#_x0000_t202" style="position:absolute;left:0;text-align:left;margin-left:3.65pt;margin-top:2.7pt;width:78.95pt;height:20.8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" strokeweight="1.25pt">
              <v:textbox>
                <w:txbxContent>
                  <w:p w:rsidR="00345400" w:rsidRDefault="00345400" w:rsidP="003D504D">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11CF12AA" wp14:editId="500BB2BD">
              <wp:simplePos x="0" y="0"/>
              <wp:positionH relativeFrom="margin">
                <wp:posOffset>4290778</wp:posOffset>
              </wp:positionH>
              <wp:positionV relativeFrom="paragraph">
                <wp:posOffset>-53403</wp:posOffset>
              </wp:positionV>
              <wp:extent cx="1511935" cy="460375"/>
              <wp:effectExtent l="0" t="0" r="0" b="0"/>
              <wp:wrapNone/>
              <wp:docPr id="42" name="תיבת טקסט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1C2651" w14:textId="77777777" w:rsidR="00345400" w:rsidRDefault="00345400" w:rsidP="003D504D">
                          <w:pPr>
                            <w:ind w:left="0"/>
                            <w:jc w:val="center"/>
                            <w:rPr>
                              <w:b/>
                              <w:bCs/>
                              <w:sz w:val="16"/>
                              <w:szCs w:val="16"/>
                            </w:rPr>
                          </w:pPr>
                          <w:r>
                            <w:rPr>
                              <w:b/>
                              <w:bCs/>
                              <w:sz w:val="16"/>
                              <w:szCs w:val="16"/>
                              <w:rtl/>
                            </w:rPr>
                            <w:t>שלמה הנדל - בית הלל</w:t>
                          </w:r>
                        </w:p>
                        <w:p w14:paraId="50F6B29D" w14:textId="77777777" w:rsidR="00345400" w:rsidRDefault="00345400" w:rsidP="003D504D">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54D2B0" id="תיבת טקסט 42" o:spid="_x0000_s1066" type="#_x0000_t202" style="position:absolute;left:0;text-align:left;margin-left:337.85pt;margin-top:-4.2pt;width:119.05pt;height:36.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" stroked="f">
              <v:textbox>
                <w:txbxContent>
                  <w:p w:rsidR="00345400" w:rsidRDefault="00345400" w:rsidP="003D504D">
                    <w:pPr>
                      <w:ind w:left="0"/>
                      <w:jc w:val="center"/>
                      <w:rPr>
                        <w:b/>
                        <w:bCs/>
                        <w:sz w:val="16"/>
                        <w:szCs w:val="16"/>
                      </w:rPr>
                    </w:pPr>
                    <w:r>
                      <w:rPr>
                        <w:b/>
                        <w:bCs/>
                        <w:sz w:val="16"/>
                        <w:szCs w:val="16"/>
                        <w:rtl/>
                      </w:rPr>
                      <w:t>שלמה הנדל - בית הלל</w:t>
                    </w:r>
                  </w:p>
                  <w:p w:rsidR="00345400" w:rsidRDefault="00345400" w:rsidP="003D504D">
                    <w:pPr>
                      <w:ind w:left="0"/>
                      <w:jc w:val="center"/>
                      <w:rPr>
                        <w:sz w:val="16"/>
                        <w:szCs w:val="16"/>
                      </w:rPr>
                    </w:pPr>
                    <w:r>
                      <w:rPr>
                        <w:b/>
                        <w:bCs/>
                        <w:sz w:val="16"/>
                        <w:szCs w:val="16"/>
                        <w:rtl/>
                      </w:rPr>
                      <w:t>052-7676412</w:t>
                    </w:r>
                  </w:p>
                </w:txbxContent>
              </v:textbox>
              <w10:wrap anchorx="margin"/>
            </v:shape>
          </w:pict>
        </mc:Fallback>
      </mc:AlternateContent>
    </w:r>
  </w:p>
  <w:p w14:paraId="19FD0ED2" w14:textId="77777777" w:rsidR="00345400" w:rsidRPr="00FF38F2" w:rsidRDefault="00345400" w:rsidP="003D504D">
    <w:pPr>
      <w:pStyle w:val="ab"/>
      <w:rPr>
        <w:rtl/>
        <w:cs/>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CDAA6" w14:textId="77777777" w:rsidR="00345400" w:rsidRPr="006B0BD2" w:rsidRDefault="00345400" w:rsidP="003D504D">
    <w:pPr>
      <w:pStyle w:val="ab"/>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6BD4D23A" wp14:editId="5E91E58B">
              <wp:simplePos x="0" y="0"/>
              <wp:positionH relativeFrom="margin">
                <wp:posOffset>46209</wp:posOffset>
              </wp:positionH>
              <wp:positionV relativeFrom="paragraph">
                <wp:posOffset>34583</wp:posOffset>
              </wp:positionV>
              <wp:extent cx="1002665" cy="264160"/>
              <wp:effectExtent l="0" t="0" r="26035" b="21590"/>
              <wp:wrapNone/>
              <wp:docPr id="43" name="תיבת טקסט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EE9433C" w14:textId="77777777" w:rsidR="00345400" w:rsidRDefault="00345400" w:rsidP="003D504D">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5873EC" id="_x0000_t202" coordsize="21600,21600" o:spt="202" path="m,l,21600r21600,l21600,xe">
              <v:stroke joinstyle="miter"/>
              <v:path gradientshapeok="t" o:connecttype="rect"/>
            </v:shapetype>
            <v:shape id="תיבת טקסט 43" o:spid="_x0000_s1067" type="#_x0000_t202" style="position:absolute;left:0;text-align:left;margin-left:3.65pt;margin-top:2.7pt;width:78.95pt;height:20.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A6RgIAAGQEAAAOAAAAZHJzL2Uyb0RvYy54bWysVM2O0zAQviPxDpbvNGm37Za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nv8gOkYCAABk&#10;BAAADgAAAAAAAAAAAAAAAAAuAgAAZHJzL2Uyb0RvYy54bWxQSwECLQAUAAYACAAAACEA1VLwPdwA&#10;AAAGAQAADwAAAAAAAAAAAAAAAACgBAAAZHJzL2Rvd25yZXYueG1sUEsFBgAAAAAEAAQA8wAAAKkF&#10;AAAAAA==&#10;" strokeweight="1.25pt">
              <v:textbox>
                <w:txbxContent>
                  <w:p w:rsidR="00345400" w:rsidRDefault="00345400" w:rsidP="003D504D">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1E1FE3AF" wp14:editId="486E706A">
              <wp:simplePos x="0" y="0"/>
              <wp:positionH relativeFrom="margin">
                <wp:posOffset>4290778</wp:posOffset>
              </wp:positionH>
              <wp:positionV relativeFrom="paragraph">
                <wp:posOffset>-53403</wp:posOffset>
              </wp:positionV>
              <wp:extent cx="1511935" cy="460375"/>
              <wp:effectExtent l="0" t="0" r="0" b="0"/>
              <wp:wrapNone/>
              <wp:docPr id="44" name="תיבת טקסט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63D4D0" w14:textId="77777777" w:rsidR="00345400" w:rsidRDefault="00345400" w:rsidP="003D504D">
                          <w:pPr>
                            <w:ind w:left="0"/>
                            <w:jc w:val="center"/>
                            <w:rPr>
                              <w:b/>
                              <w:bCs/>
                              <w:sz w:val="16"/>
                              <w:szCs w:val="16"/>
                            </w:rPr>
                          </w:pPr>
                          <w:r>
                            <w:rPr>
                              <w:b/>
                              <w:bCs/>
                              <w:sz w:val="16"/>
                              <w:szCs w:val="16"/>
                              <w:rtl/>
                            </w:rPr>
                            <w:t>שלמה הנדל בית הלל</w:t>
                          </w:r>
                        </w:p>
                        <w:p w14:paraId="6FE816BC" w14:textId="77777777" w:rsidR="00345400" w:rsidRDefault="00345400" w:rsidP="003D504D">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4ECF5B" id="תיבת טקסט 44" o:spid="_x0000_s1068" type="#_x0000_t202" style="position:absolute;left:0;text-align:left;margin-left:337.85pt;margin-top:-4.2pt;width:119.05pt;height:36.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" stroked="f">
              <v:textbox>
                <w:txbxContent>
                  <w:p w:rsidR="00345400" w:rsidRDefault="00345400" w:rsidP="003D504D">
                    <w:pPr>
                      <w:ind w:left="0"/>
                      <w:jc w:val="center"/>
                      <w:rPr>
                        <w:b/>
                        <w:bCs/>
                        <w:sz w:val="16"/>
                        <w:szCs w:val="16"/>
                      </w:rPr>
                    </w:pPr>
                    <w:r>
                      <w:rPr>
                        <w:b/>
                        <w:bCs/>
                        <w:sz w:val="16"/>
                        <w:szCs w:val="16"/>
                        <w:rtl/>
                      </w:rPr>
                      <w:t>שלמה הנדל בית הלל</w:t>
                    </w:r>
                  </w:p>
                  <w:p w:rsidR="00345400" w:rsidRDefault="00345400" w:rsidP="003D504D">
                    <w:pPr>
                      <w:ind w:left="0"/>
                      <w:jc w:val="center"/>
                      <w:rPr>
                        <w:sz w:val="16"/>
                        <w:szCs w:val="16"/>
                      </w:rPr>
                    </w:pPr>
                    <w:r>
                      <w:rPr>
                        <w:b/>
                        <w:bCs/>
                        <w:sz w:val="16"/>
                        <w:szCs w:val="16"/>
                        <w:rtl/>
                      </w:rPr>
                      <w:t>052-7676412</w:t>
                    </w:r>
                  </w:p>
                </w:txbxContent>
              </v:textbox>
              <w10:wrap anchorx="margin"/>
            </v:shape>
          </w:pict>
        </mc:Fallback>
      </mc:AlternateContent>
    </w:r>
  </w:p>
  <w:p w14:paraId="619CF728" w14:textId="77777777" w:rsidR="00345400" w:rsidRPr="00FF38F2" w:rsidRDefault="00345400" w:rsidP="003D504D">
    <w:pPr>
      <w:pStyle w:val="ab"/>
      <w:rPr>
        <w:rtl/>
        <w:cs/>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B60EB" w14:textId="77777777" w:rsidR="00345400" w:rsidRPr="006B0BD2" w:rsidRDefault="00345400" w:rsidP="003D504D">
    <w:pPr>
      <w:pStyle w:val="ab"/>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FDB630E" wp14:editId="2E73F40B">
              <wp:simplePos x="0" y="0"/>
              <wp:positionH relativeFrom="margin">
                <wp:posOffset>46209</wp:posOffset>
              </wp:positionH>
              <wp:positionV relativeFrom="paragraph">
                <wp:posOffset>34583</wp:posOffset>
              </wp:positionV>
              <wp:extent cx="1002665" cy="264160"/>
              <wp:effectExtent l="0" t="0" r="26035" b="21590"/>
              <wp:wrapNone/>
              <wp:docPr id="45" name="תיבת טקסט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5C67A3B" w14:textId="77777777" w:rsidR="00345400" w:rsidRDefault="00345400" w:rsidP="003D504D">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2CA74B" id="_x0000_t202" coordsize="21600,21600" o:spt="202" path="m,l,21600r21600,l21600,xe">
              <v:stroke joinstyle="miter"/>
              <v:path gradientshapeok="t" o:connecttype="rect"/>
            </v:shapetype>
            <v:shape id="תיבת טקסט 45" o:spid="_x0000_s1069" type="#_x0000_t202" style="position:absolute;left:0;text-align:left;margin-left:3.65pt;margin-top:2.7pt;width:78.95pt;height:20.8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DmRgIAAGQ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wSoQ5kYCAABk&#10;BAAADgAAAAAAAAAAAAAAAAAuAgAAZHJzL2Uyb0RvYy54bWxQSwECLQAUAAYACAAAACEA1VLwPdwA&#10;AAAGAQAADwAAAAAAAAAAAAAAAACgBAAAZHJzL2Rvd25yZXYueG1sUEsFBgAAAAAEAAQA8wAAAKkF&#10;AAAAAA==&#10;" strokeweight="1.25pt">
              <v:textbox>
                <w:txbxContent>
                  <w:p w:rsidR="00345400" w:rsidRDefault="00345400" w:rsidP="003D504D">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31660950" wp14:editId="32800832">
              <wp:simplePos x="0" y="0"/>
              <wp:positionH relativeFrom="margin">
                <wp:posOffset>4290778</wp:posOffset>
              </wp:positionH>
              <wp:positionV relativeFrom="paragraph">
                <wp:posOffset>-53403</wp:posOffset>
              </wp:positionV>
              <wp:extent cx="1511935" cy="460375"/>
              <wp:effectExtent l="0" t="0" r="0" b="0"/>
              <wp:wrapNone/>
              <wp:docPr id="46" name="תיבת טקסט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54E68F" w14:textId="77777777" w:rsidR="00345400" w:rsidRDefault="00345400" w:rsidP="003D504D">
                          <w:pPr>
                            <w:ind w:left="0"/>
                            <w:jc w:val="center"/>
                            <w:rPr>
                              <w:b/>
                              <w:bCs/>
                              <w:sz w:val="16"/>
                              <w:szCs w:val="16"/>
                            </w:rPr>
                          </w:pPr>
                          <w:r>
                            <w:rPr>
                              <w:b/>
                              <w:bCs/>
                              <w:sz w:val="16"/>
                              <w:szCs w:val="16"/>
                              <w:rtl/>
                            </w:rPr>
                            <w:t>שלמה הנדל - בית הלל</w:t>
                          </w:r>
                        </w:p>
                        <w:p w14:paraId="4A1DFA47" w14:textId="77777777" w:rsidR="00345400" w:rsidRDefault="00345400" w:rsidP="003D504D">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35E771" id="תיבת טקסט 46" o:spid="_x0000_s1070" type="#_x0000_t202" style="position:absolute;left:0;text-align:left;margin-left:337.85pt;margin-top:-4.2pt;width:119.05pt;height:36.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" stroked="f">
              <v:textbox>
                <w:txbxContent>
                  <w:p w:rsidR="00345400" w:rsidRDefault="00345400" w:rsidP="003D504D">
                    <w:pPr>
                      <w:ind w:left="0"/>
                      <w:jc w:val="center"/>
                      <w:rPr>
                        <w:b/>
                        <w:bCs/>
                        <w:sz w:val="16"/>
                        <w:szCs w:val="16"/>
                      </w:rPr>
                    </w:pPr>
                    <w:r>
                      <w:rPr>
                        <w:b/>
                        <w:bCs/>
                        <w:sz w:val="16"/>
                        <w:szCs w:val="16"/>
                        <w:rtl/>
                      </w:rPr>
                      <w:t>שלמה הנדל - בית הלל</w:t>
                    </w:r>
                  </w:p>
                  <w:p w:rsidR="00345400" w:rsidRDefault="00345400" w:rsidP="003D504D">
                    <w:pPr>
                      <w:ind w:left="0"/>
                      <w:jc w:val="center"/>
                      <w:rPr>
                        <w:sz w:val="16"/>
                        <w:szCs w:val="16"/>
                      </w:rPr>
                    </w:pPr>
                    <w:r>
                      <w:rPr>
                        <w:b/>
                        <w:bCs/>
                        <w:sz w:val="16"/>
                        <w:szCs w:val="16"/>
                        <w:rtl/>
                      </w:rPr>
                      <w:t>052-7676412</w:t>
                    </w:r>
                  </w:p>
                </w:txbxContent>
              </v:textbox>
              <w10:wrap anchorx="margin"/>
            </v:shape>
          </w:pict>
        </mc:Fallback>
      </mc:AlternateContent>
    </w:r>
  </w:p>
  <w:p w14:paraId="34E1D556" w14:textId="77777777" w:rsidR="00345400" w:rsidRPr="00FF38F2" w:rsidRDefault="00345400" w:rsidP="003D504D">
    <w:pPr>
      <w:pStyle w:val="ab"/>
      <w:rPr>
        <w:rtl/>
        <w:cs/>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689C" w14:textId="77777777" w:rsidR="00345400" w:rsidRPr="006B0BD2" w:rsidRDefault="00345400" w:rsidP="003D504D">
    <w:pPr>
      <w:pStyle w:val="ab"/>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74C7409A" wp14:editId="1B063701">
              <wp:simplePos x="0" y="0"/>
              <wp:positionH relativeFrom="margin">
                <wp:posOffset>46209</wp:posOffset>
              </wp:positionH>
              <wp:positionV relativeFrom="paragraph">
                <wp:posOffset>34583</wp:posOffset>
              </wp:positionV>
              <wp:extent cx="1002665" cy="264160"/>
              <wp:effectExtent l="0" t="0" r="26035" b="21590"/>
              <wp:wrapNone/>
              <wp:docPr id="47" name="תיבת טקסט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9C6BAF8" w14:textId="77777777" w:rsidR="00345400" w:rsidRDefault="00345400" w:rsidP="003D504D">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18144C" id="_x0000_t202" coordsize="21600,21600" o:spt="202" path="m,l,21600r21600,l21600,xe">
              <v:stroke joinstyle="miter"/>
              <v:path gradientshapeok="t" o:connecttype="rect"/>
            </v:shapetype>
            <v:shape id="תיבת טקסט 47" o:spid="_x0000_s1071" type="#_x0000_t202" style="position:absolute;left:0;text-align:left;margin-left:3.65pt;margin-top:2.7pt;width:78.95pt;height:20.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ShRgIAAGQEAAAOAAAAZHJzL2Uyb0RvYy54bWysVM2O0zAQviPxDpbvNGlpu92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DC60oUYCAABk&#10;BAAADgAAAAAAAAAAAAAAAAAuAgAAZHJzL2Uyb0RvYy54bWxQSwECLQAUAAYACAAAACEA1VLwPdwA&#10;AAAGAQAADwAAAAAAAAAAAAAAAACgBAAAZHJzL2Rvd25yZXYueG1sUEsFBgAAAAAEAAQA8wAAAKkF&#10;AAAAAA==&#10;" strokeweight="1.25pt">
              <v:textbox>
                <w:txbxContent>
                  <w:p w:rsidR="00345400" w:rsidRDefault="00345400" w:rsidP="003D504D">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5878D9EF" wp14:editId="2F4D84FC">
              <wp:simplePos x="0" y="0"/>
              <wp:positionH relativeFrom="margin">
                <wp:posOffset>4290778</wp:posOffset>
              </wp:positionH>
              <wp:positionV relativeFrom="paragraph">
                <wp:posOffset>-53403</wp:posOffset>
              </wp:positionV>
              <wp:extent cx="1511935" cy="460375"/>
              <wp:effectExtent l="0" t="0" r="0" b="0"/>
              <wp:wrapNone/>
              <wp:docPr id="48" name="תיבת טקסט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8C3375" w14:textId="77777777" w:rsidR="00345400" w:rsidRDefault="00345400" w:rsidP="003D504D">
                          <w:pPr>
                            <w:ind w:left="0"/>
                            <w:jc w:val="center"/>
                            <w:rPr>
                              <w:b/>
                              <w:bCs/>
                              <w:sz w:val="16"/>
                              <w:szCs w:val="16"/>
                            </w:rPr>
                          </w:pPr>
                          <w:r>
                            <w:rPr>
                              <w:b/>
                              <w:bCs/>
                              <w:sz w:val="16"/>
                              <w:szCs w:val="16"/>
                              <w:rtl/>
                            </w:rPr>
                            <w:t>שלמה הנדל - בית הלל</w:t>
                          </w:r>
                        </w:p>
                        <w:p w14:paraId="219F02F8" w14:textId="77777777" w:rsidR="00345400" w:rsidRDefault="00345400" w:rsidP="003D504D">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52E539" id="תיבת טקסט 48" o:spid="_x0000_s1072" type="#_x0000_t202" style="position:absolute;left:0;text-align:left;margin-left:337.85pt;margin-top:-4.2pt;width:119.05pt;height:36.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" stroked="f">
              <v:textbox>
                <w:txbxContent>
                  <w:p w:rsidR="00345400" w:rsidRDefault="00345400" w:rsidP="003D504D">
                    <w:pPr>
                      <w:ind w:left="0"/>
                      <w:jc w:val="center"/>
                      <w:rPr>
                        <w:b/>
                        <w:bCs/>
                        <w:sz w:val="16"/>
                        <w:szCs w:val="16"/>
                      </w:rPr>
                    </w:pPr>
                    <w:r>
                      <w:rPr>
                        <w:b/>
                        <w:bCs/>
                        <w:sz w:val="16"/>
                        <w:szCs w:val="16"/>
                        <w:rtl/>
                      </w:rPr>
                      <w:t>שלמה הנדל - בית הלל</w:t>
                    </w:r>
                  </w:p>
                  <w:p w:rsidR="00345400" w:rsidRDefault="00345400" w:rsidP="003D504D">
                    <w:pPr>
                      <w:ind w:left="0"/>
                      <w:jc w:val="center"/>
                      <w:rPr>
                        <w:sz w:val="16"/>
                        <w:szCs w:val="16"/>
                      </w:rPr>
                    </w:pPr>
                    <w:r>
                      <w:rPr>
                        <w:b/>
                        <w:bCs/>
                        <w:sz w:val="16"/>
                        <w:szCs w:val="16"/>
                        <w:rtl/>
                      </w:rPr>
                      <w:t>052-7676412</w:t>
                    </w:r>
                  </w:p>
                </w:txbxContent>
              </v:textbox>
              <w10:wrap anchorx="margin"/>
            </v:shape>
          </w:pict>
        </mc:Fallback>
      </mc:AlternateContent>
    </w:r>
  </w:p>
  <w:p w14:paraId="0E9FE84A" w14:textId="77777777" w:rsidR="00345400" w:rsidRPr="00FF38F2" w:rsidRDefault="00345400" w:rsidP="003D504D">
    <w:pPr>
      <w:pStyle w:val="ab"/>
      <w:rPr>
        <w:rtl/>
        <w:cs/>
      </w:rP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86620294"/>
      <w:docPartObj>
        <w:docPartGallery w:val="Page Numbers (Bottom of Page)"/>
        <w:docPartUnique/>
      </w:docPartObj>
    </w:sdtPr>
    <w:sdtEndPr>
      <w:rPr>
        <w:cs/>
      </w:rPr>
    </w:sdtEndPr>
    <w:sdtContent>
      <w:p w14:paraId="1DC97700" w14:textId="77777777" w:rsidR="00345400" w:rsidRDefault="00345400" w:rsidP="003D504D">
        <w:pPr>
          <w:pStyle w:val="ab"/>
          <w:ind w:left="0"/>
          <w:jc w:val="center"/>
          <w:rPr>
            <w:rtl/>
            <w:cs/>
          </w:rPr>
        </w:pPr>
        <w:r>
          <w:fldChar w:fldCharType="begin"/>
        </w:r>
        <w:r>
          <w:rPr>
            <w:rtl/>
            <w:cs/>
          </w:rPr>
          <w:instrText>PAGE   \* MERGEFORMAT</w:instrText>
        </w:r>
        <w:r>
          <w:fldChar w:fldCharType="separate"/>
        </w:r>
        <w:r w:rsidR="00017240" w:rsidRPr="00017240">
          <w:rPr>
            <w:noProof/>
            <w:rtl/>
            <w:lang w:val="he-IL"/>
          </w:rPr>
          <w:t>28</w:t>
        </w:r>
        <w:r w:rsidR="00017240" w:rsidRPr="00017240">
          <w:rPr>
            <w:noProof/>
            <w:rtl/>
            <w:lang w:val="he-IL"/>
          </w:rPr>
          <w:t>5</w:t>
        </w:r>
        <w:r>
          <w:fldChar w:fldCharType="end"/>
        </w:r>
      </w:p>
    </w:sdtContent>
  </w:sdt>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35343239"/>
      <w:docPartObj>
        <w:docPartGallery w:val="Page Numbers (Bottom of Page)"/>
        <w:docPartUnique/>
      </w:docPartObj>
    </w:sdtPr>
    <w:sdtEndPr>
      <w:rPr>
        <w:cs/>
      </w:rPr>
    </w:sdtEndPr>
    <w:sdtContent>
      <w:p w14:paraId="3BF29D80" w14:textId="77777777" w:rsidR="00345400" w:rsidRDefault="00345400" w:rsidP="003D504D">
        <w:pPr>
          <w:pStyle w:val="ab"/>
          <w:ind w:left="0"/>
          <w:jc w:val="center"/>
          <w:rPr>
            <w:rtl/>
            <w:cs/>
          </w:rPr>
        </w:pPr>
        <w:r>
          <w:fldChar w:fldCharType="begin"/>
        </w:r>
        <w:r>
          <w:rPr>
            <w:rtl/>
            <w:cs/>
          </w:rPr>
          <w:instrText>PAGE   \* MERGEFORMAT</w:instrText>
        </w:r>
        <w:r>
          <w:fldChar w:fldCharType="separate"/>
        </w:r>
        <w:r w:rsidR="00017240" w:rsidRPr="00017240">
          <w:rPr>
            <w:noProof/>
            <w:rtl/>
            <w:lang w:val="he-IL"/>
          </w:rPr>
          <w:t>28</w:t>
        </w:r>
        <w:r w:rsidR="00017240" w:rsidRPr="00017240">
          <w:rPr>
            <w:noProof/>
            <w:rtl/>
            <w:lang w:val="he-IL"/>
          </w:rPr>
          <w:t>9</w:t>
        </w:r>
        <w:r>
          <w:fldChar w:fldCharType="end"/>
        </w:r>
      </w:p>
    </w:sdtContent>
  </w:sdt>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44011765"/>
      <w:docPartObj>
        <w:docPartGallery w:val="Page Numbers (Bottom of Page)"/>
        <w:docPartUnique/>
      </w:docPartObj>
    </w:sdtPr>
    <w:sdtEndPr>
      <w:rPr>
        <w:cs/>
      </w:rPr>
    </w:sdtEndPr>
    <w:sdtContent>
      <w:p w14:paraId="76CC0C50" w14:textId="77777777" w:rsidR="00345400" w:rsidRDefault="00345400" w:rsidP="003D504D">
        <w:pPr>
          <w:pStyle w:val="ab"/>
          <w:ind w:left="0"/>
          <w:jc w:val="center"/>
          <w:rPr>
            <w:rtl/>
            <w:cs/>
          </w:rPr>
        </w:pPr>
        <w:r>
          <w:fldChar w:fldCharType="begin"/>
        </w:r>
        <w:r>
          <w:rPr>
            <w:rtl/>
            <w:cs/>
          </w:rPr>
          <w:instrText>PAGE   \* MERGEFORMAT</w:instrText>
        </w:r>
        <w:r>
          <w:fldChar w:fldCharType="separate"/>
        </w:r>
        <w:r w:rsidR="00017240" w:rsidRPr="00017240">
          <w:rPr>
            <w:noProof/>
            <w:rtl/>
            <w:lang w:val="he-IL"/>
          </w:rPr>
          <w:t>30</w:t>
        </w:r>
        <w:r w:rsidR="00017240" w:rsidRPr="00017240">
          <w:rPr>
            <w:noProof/>
            <w:rtl/>
            <w:lang w:val="he-IL"/>
          </w:rPr>
          <w:t>0</w:t>
        </w:r>
        <w:r>
          <w:fldChar w:fldCharType="end"/>
        </w:r>
      </w:p>
    </w:sdtContent>
  </w:sdt>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3D1A4" w14:textId="77777777" w:rsidR="00345400" w:rsidRPr="006B0BD2" w:rsidRDefault="00345400" w:rsidP="003D504D">
    <w:pPr>
      <w:pStyle w:val="ab"/>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4BF3853F" wp14:editId="584BA996">
              <wp:simplePos x="0" y="0"/>
              <wp:positionH relativeFrom="margin">
                <wp:posOffset>46209</wp:posOffset>
              </wp:positionH>
              <wp:positionV relativeFrom="paragraph">
                <wp:posOffset>34583</wp:posOffset>
              </wp:positionV>
              <wp:extent cx="1002665" cy="264160"/>
              <wp:effectExtent l="0" t="0" r="26035" b="21590"/>
              <wp:wrapNone/>
              <wp:docPr id="49" name="תיבת טקסט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0993193" w14:textId="77777777" w:rsidR="00345400" w:rsidRDefault="00345400" w:rsidP="003D504D">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70C0E0" id="_x0000_t202" coordsize="21600,21600" o:spt="202" path="m,l,21600r21600,l21600,xe">
              <v:stroke joinstyle="miter"/>
              <v:path gradientshapeok="t" o:connecttype="rect"/>
            </v:shapetype>
            <v:shape id="תיבת טקסט 49" o:spid="_x0000_s1073" type="#_x0000_t202" style="position:absolute;left:0;text-align:left;margin-left:3.65pt;margin-top:2.7pt;width:78.95pt;height:20.8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I62r8hEAgAAZAQA&#10;AA4AAAAAAAAAAAAAAAAALgIAAGRycy9lMm9Eb2MueG1sUEsBAi0AFAAGAAgAAAAhANVS8D3cAAAA&#10;BgEAAA8AAAAAAAAAAAAAAAAAngQAAGRycy9kb3ducmV2LnhtbFBLBQYAAAAABAAEAPMAAACnBQAA&#10;AAA=&#10;" strokeweight="1.25pt">
              <v:textbox>
                <w:txbxContent>
                  <w:p w:rsidR="00345400" w:rsidRDefault="00345400" w:rsidP="003D504D">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69B5C851" wp14:editId="7DD2A9AF">
              <wp:simplePos x="0" y="0"/>
              <wp:positionH relativeFrom="margin">
                <wp:posOffset>4290778</wp:posOffset>
              </wp:positionH>
              <wp:positionV relativeFrom="paragraph">
                <wp:posOffset>-53403</wp:posOffset>
              </wp:positionV>
              <wp:extent cx="1511935" cy="460375"/>
              <wp:effectExtent l="0" t="0" r="0" b="0"/>
              <wp:wrapNone/>
              <wp:docPr id="50" name="תיבת טקסט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D5CF9B" w14:textId="77777777" w:rsidR="00345400" w:rsidRDefault="00345400" w:rsidP="003D504D">
                          <w:pPr>
                            <w:ind w:left="0"/>
                            <w:jc w:val="center"/>
                            <w:rPr>
                              <w:b/>
                              <w:bCs/>
                              <w:sz w:val="16"/>
                              <w:szCs w:val="16"/>
                            </w:rPr>
                          </w:pPr>
                          <w:r>
                            <w:rPr>
                              <w:b/>
                              <w:bCs/>
                              <w:sz w:val="16"/>
                              <w:szCs w:val="16"/>
                              <w:rtl/>
                            </w:rPr>
                            <w:t>שלמה הנדל - בית הלל</w:t>
                          </w:r>
                        </w:p>
                        <w:p w14:paraId="498A675E" w14:textId="77777777" w:rsidR="00345400" w:rsidRDefault="00345400" w:rsidP="003D504D">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0126D6" id="תיבת טקסט 50" o:spid="_x0000_s1074" type="#_x0000_t202" style="position:absolute;left:0;text-align:left;margin-left:337.85pt;margin-top:-4.2pt;width:119.05pt;height:36.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" stroked="f">
              <v:textbox>
                <w:txbxContent>
                  <w:p w:rsidR="00345400" w:rsidRDefault="00345400" w:rsidP="003D504D">
                    <w:pPr>
                      <w:ind w:left="0"/>
                      <w:jc w:val="center"/>
                      <w:rPr>
                        <w:b/>
                        <w:bCs/>
                        <w:sz w:val="16"/>
                        <w:szCs w:val="16"/>
                      </w:rPr>
                    </w:pPr>
                    <w:r>
                      <w:rPr>
                        <w:b/>
                        <w:bCs/>
                        <w:sz w:val="16"/>
                        <w:szCs w:val="16"/>
                        <w:rtl/>
                      </w:rPr>
                      <w:t>שלמה הנדל - בית הלל</w:t>
                    </w:r>
                  </w:p>
                  <w:p w:rsidR="00345400" w:rsidRDefault="00345400" w:rsidP="003D504D">
                    <w:pPr>
                      <w:ind w:left="0"/>
                      <w:jc w:val="center"/>
                      <w:rPr>
                        <w:sz w:val="16"/>
                        <w:szCs w:val="16"/>
                      </w:rPr>
                    </w:pPr>
                    <w:r>
                      <w:rPr>
                        <w:b/>
                        <w:bCs/>
                        <w:sz w:val="16"/>
                        <w:szCs w:val="16"/>
                        <w:rtl/>
                      </w:rPr>
                      <w:t>052-7676412</w:t>
                    </w:r>
                  </w:p>
                </w:txbxContent>
              </v:textbox>
              <w10:wrap anchorx="margin"/>
            </v:shape>
          </w:pict>
        </mc:Fallback>
      </mc:AlternateContent>
    </w:r>
  </w:p>
  <w:p w14:paraId="3F1E46A3" w14:textId="77777777" w:rsidR="00345400" w:rsidRPr="00FF38F2" w:rsidRDefault="00345400" w:rsidP="003D504D">
    <w:pPr>
      <w:pStyle w:val="ab"/>
      <w:rPr>
        <w:rtl/>
        <w:cs/>
      </w:rP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96457072"/>
      <w:docPartObj>
        <w:docPartGallery w:val="Page Numbers (Bottom of Page)"/>
        <w:docPartUnique/>
      </w:docPartObj>
    </w:sdtPr>
    <w:sdtEndPr/>
    <w:sdtContent>
      <w:p w14:paraId="21A256C1" w14:textId="77777777" w:rsidR="00345400" w:rsidRDefault="00345400" w:rsidP="003D504D">
        <w:pPr>
          <w:pStyle w:val="ab"/>
          <w:ind w:left="0"/>
          <w:jc w:val="center"/>
          <w:rPr>
            <w:rtl/>
            <w:cs/>
          </w:rPr>
        </w:pPr>
        <w:r>
          <w:fldChar w:fldCharType="begin"/>
        </w:r>
        <w:r>
          <w:rPr>
            <w:rtl/>
            <w:cs/>
          </w:rPr>
          <w:instrText>PAGE   \* MERGEFORMAT</w:instrText>
        </w:r>
        <w:r>
          <w:fldChar w:fldCharType="separate"/>
        </w:r>
        <w:r w:rsidR="00017240" w:rsidRPr="00017240">
          <w:rPr>
            <w:noProof/>
            <w:rtl/>
            <w:lang w:val="he-IL"/>
          </w:rPr>
          <w:t>30</w:t>
        </w:r>
        <w:r w:rsidR="00017240" w:rsidRPr="00017240">
          <w:rPr>
            <w:noProof/>
            <w:rtl/>
            <w:lang w:val="he-IL"/>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898590948"/>
      <w:docPartObj>
        <w:docPartGallery w:val="Page Numbers (Bottom of Page)"/>
        <w:docPartUnique/>
      </w:docPartObj>
    </w:sdtPr>
    <w:sdtEndPr>
      <w:rPr>
        <w:cs/>
      </w:rPr>
    </w:sdtEndPr>
    <w:sdtContent>
      <w:p w14:paraId="5F6BEF00" w14:textId="77777777" w:rsidR="00345400" w:rsidRPr="009D31CB" w:rsidRDefault="00345400" w:rsidP="00852065">
        <w:pPr>
          <w:pStyle w:val="ab"/>
          <w:ind w:left="0"/>
          <w:jc w:val="center"/>
          <w:rPr>
            <w:rFonts w:cs="Guttman Hodes"/>
            <w:rtl/>
            <w:cs/>
          </w:rPr>
        </w:pPr>
        <w:r w:rsidRPr="009D31CB">
          <w:rPr>
            <w:rFonts w:cs="Guttman Hodes"/>
          </w:rPr>
          <w:fldChar w:fldCharType="begin"/>
        </w:r>
        <w:r w:rsidRPr="009D31CB">
          <w:rPr>
            <w:rFonts w:cs="Guttman Hodes"/>
            <w:rtl/>
            <w:cs/>
          </w:rPr>
          <w:instrText>PAGE   \* MERGEFORMAT</w:instrText>
        </w:r>
        <w:r w:rsidRPr="009D31CB">
          <w:rPr>
            <w:rFonts w:cs="Guttman Hodes"/>
          </w:rPr>
          <w:fldChar w:fldCharType="separate"/>
        </w:r>
        <w:r w:rsidR="00017240" w:rsidRPr="00017240">
          <w:rPr>
            <w:rFonts w:cs="Guttman Hodes"/>
            <w:noProof/>
            <w:rtl/>
            <w:lang w:val="he-IL"/>
          </w:rPr>
          <w:t>5</w:t>
        </w:r>
        <w:r w:rsidR="00017240" w:rsidRPr="00017240">
          <w:rPr>
            <w:rFonts w:cs="Guttman Hodes"/>
            <w:noProof/>
            <w:rtl/>
            <w:lang w:val="he-IL"/>
          </w:rPr>
          <w:t>5</w:t>
        </w:r>
        <w:r w:rsidRPr="009D31CB">
          <w:rPr>
            <w:rFonts w:cs="Guttman Hodes"/>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B6A65" w14:textId="77777777" w:rsidR="00345400" w:rsidRDefault="00345400">
    <w:pPr>
      <w:pStyle w:val="ab"/>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D213ED7" wp14:editId="4F7483CA">
              <wp:simplePos x="0" y="0"/>
              <wp:positionH relativeFrom="margin">
                <wp:posOffset>35979</wp:posOffset>
              </wp:positionH>
              <wp:positionV relativeFrom="paragraph">
                <wp:posOffset>-45816</wp:posOffset>
              </wp:positionV>
              <wp:extent cx="1002665" cy="264160"/>
              <wp:effectExtent l="0" t="0" r="26035" b="21590"/>
              <wp:wrapNone/>
              <wp:docPr id="1"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B0A36AC" w14:textId="77777777" w:rsidR="00345400" w:rsidRDefault="00345400" w:rsidP="00413DD0">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F7960D" id="_x0000_t202" coordsize="21600,21600" o:spt="202" path="m,l,21600r21600,l21600,xe">
              <v:stroke joinstyle="miter"/>
              <v:path gradientshapeok="t" o:connecttype="rect"/>
            </v:shapetype>
            <v:shape id="תיבת טקסט 1" o:spid="_x0000_s1032" type="#_x0000_t202" style="position:absolute;left:0;text-align:left;margin-left:2.85pt;margin-top:-3.6pt;width:78.95pt;height:2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" strokeweight="1.25pt">
              <v:textbox>
                <w:txbxContent>
                  <w:p w:rsidR="00345400" w:rsidRDefault="00345400" w:rsidP="00413DD0">
                    <w:pPr>
                      <w:ind w:left="0"/>
                      <w:rPr>
                        <w:b/>
                        <w:bCs/>
                        <w:sz w:val="18"/>
                        <w:szCs w:val="18"/>
                      </w:rPr>
                    </w:pPr>
                    <w:r>
                      <w:rPr>
                        <w:b/>
                        <w:bCs/>
                        <w:sz w:val="18"/>
                        <w:szCs w:val="18"/>
                        <w:rtl/>
                      </w:rPr>
                      <w:t>המשך בעמ' הבא</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3F0B360" wp14:editId="041E3F4C">
              <wp:simplePos x="0" y="0"/>
              <wp:positionH relativeFrom="margin">
                <wp:posOffset>5081250</wp:posOffset>
              </wp:positionH>
              <wp:positionV relativeFrom="paragraph">
                <wp:posOffset>-120200</wp:posOffset>
              </wp:positionV>
              <wp:extent cx="1511935" cy="460375"/>
              <wp:effectExtent l="0" t="0" r="0" b="0"/>
              <wp:wrapNone/>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F72E8E" w14:textId="77777777" w:rsidR="00345400" w:rsidRDefault="00345400" w:rsidP="00413DD0">
                          <w:pPr>
                            <w:ind w:left="0"/>
                            <w:jc w:val="center"/>
                            <w:rPr>
                              <w:b/>
                              <w:bCs/>
                              <w:sz w:val="16"/>
                              <w:szCs w:val="16"/>
                            </w:rPr>
                          </w:pPr>
                          <w:r>
                            <w:rPr>
                              <w:b/>
                              <w:bCs/>
                              <w:sz w:val="16"/>
                              <w:szCs w:val="16"/>
                              <w:rtl/>
                            </w:rPr>
                            <w:t>שלמה הנדל - בית הלל</w:t>
                          </w:r>
                        </w:p>
                        <w:p w14:paraId="39C1B57C" w14:textId="77777777" w:rsidR="00345400" w:rsidRDefault="00345400" w:rsidP="00413DD0">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E581EC" id="_x0000_s1033" type="#_x0000_t202" style="position:absolute;left:0;text-align:left;margin-left:400.1pt;margin-top:-9.45pt;width:119.05pt;height:36.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" stroked="f">
              <v:textbox>
                <w:txbxContent>
                  <w:p w:rsidR="00345400" w:rsidRDefault="00345400" w:rsidP="00413DD0">
                    <w:pPr>
                      <w:ind w:left="0"/>
                      <w:jc w:val="center"/>
                      <w:rPr>
                        <w:b/>
                        <w:bCs/>
                        <w:sz w:val="16"/>
                        <w:szCs w:val="16"/>
                      </w:rPr>
                    </w:pPr>
                    <w:r>
                      <w:rPr>
                        <w:b/>
                        <w:bCs/>
                        <w:sz w:val="16"/>
                        <w:szCs w:val="16"/>
                        <w:rtl/>
                      </w:rPr>
                      <w:t>שלמה הנדל - בית הלל</w:t>
                    </w:r>
                  </w:p>
                  <w:p w:rsidR="00345400" w:rsidRDefault="00345400" w:rsidP="00413DD0">
                    <w:pPr>
                      <w:ind w:left="0"/>
                      <w:jc w:val="center"/>
                      <w:rPr>
                        <w:sz w:val="16"/>
                        <w:szCs w:val="16"/>
                      </w:rPr>
                    </w:pPr>
                    <w:r>
                      <w:rPr>
                        <w:b/>
                        <w:bCs/>
                        <w:sz w:val="16"/>
                        <w:szCs w:val="16"/>
                        <w:rtl/>
                      </w:rPr>
                      <w:t>052-7676412</w:t>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A30B0" w14:textId="77777777" w:rsidR="00345400" w:rsidRDefault="00345400">
    <w:pPr>
      <w:pStyle w:val="ab"/>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423615849"/>
      <w:docPartObj>
        <w:docPartGallery w:val="Page Numbers (Bottom of Page)"/>
        <w:docPartUnique/>
      </w:docPartObj>
    </w:sdtPr>
    <w:sdtEndPr>
      <w:rPr>
        <w:cs/>
      </w:rPr>
    </w:sdtEndPr>
    <w:sdtContent>
      <w:p w14:paraId="56F3AFEE" w14:textId="77777777" w:rsidR="00345400" w:rsidRPr="00354408" w:rsidRDefault="00345400" w:rsidP="00354408">
        <w:pPr>
          <w:pStyle w:val="ab"/>
          <w:ind w:left="0"/>
          <w:jc w:val="center"/>
          <w:rPr>
            <w:rFonts w:cs="Guttman Hodes"/>
            <w:rtl/>
            <w:cs/>
          </w:rPr>
        </w:pPr>
        <w:r w:rsidRPr="00354408">
          <w:rPr>
            <w:rFonts w:cs="Guttman Hodes"/>
          </w:rPr>
          <w:fldChar w:fldCharType="begin"/>
        </w:r>
        <w:r w:rsidRPr="00354408">
          <w:rPr>
            <w:rFonts w:cs="Guttman Hodes"/>
            <w:rtl/>
            <w:cs/>
          </w:rPr>
          <w:instrText>PAGE   \* MERGEFORMAT</w:instrText>
        </w:r>
        <w:r w:rsidRPr="00354408">
          <w:rPr>
            <w:rFonts w:cs="Guttman Hodes"/>
          </w:rPr>
          <w:fldChar w:fldCharType="separate"/>
        </w:r>
        <w:r w:rsidR="00017240" w:rsidRPr="00017240">
          <w:rPr>
            <w:rFonts w:cs="Guttman Hodes"/>
            <w:noProof/>
            <w:rtl/>
            <w:lang w:val="he-IL"/>
          </w:rPr>
          <w:t>7</w:t>
        </w:r>
        <w:r w:rsidR="00017240" w:rsidRPr="00017240">
          <w:rPr>
            <w:rFonts w:cs="Guttman Hodes"/>
            <w:noProof/>
            <w:rtl/>
            <w:lang w:val="he-IL"/>
          </w:rPr>
          <w:t>7</w:t>
        </w:r>
        <w:r w:rsidRPr="00354408">
          <w:rPr>
            <w:rFonts w:cs="Guttman Hod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0373E" w14:textId="77777777" w:rsidR="009B00E6" w:rsidRDefault="009B00E6" w:rsidP="00F35477">
      <w:pPr>
        <w:spacing w:line="240" w:lineRule="auto"/>
      </w:pPr>
      <w:r>
        <w:separator/>
      </w:r>
    </w:p>
    <w:p w14:paraId="4B042DAC" w14:textId="77777777" w:rsidR="009B00E6" w:rsidRDefault="009B00E6"/>
  </w:footnote>
  <w:footnote w:type="continuationSeparator" w:id="0">
    <w:p w14:paraId="452A96C0" w14:textId="77777777" w:rsidR="009B00E6" w:rsidRDefault="009B00E6" w:rsidP="00F35477">
      <w:pPr>
        <w:spacing w:line="240" w:lineRule="auto"/>
      </w:pPr>
      <w:r>
        <w:continuationSeparator/>
      </w:r>
    </w:p>
    <w:p w14:paraId="0DE62B14" w14:textId="77777777" w:rsidR="009B00E6" w:rsidRDefault="009B00E6"/>
  </w:footnote>
  <w:footnote w:id="1">
    <w:p w14:paraId="15C48BBF" w14:textId="77777777" w:rsidR="00345400" w:rsidRDefault="00345400" w:rsidP="00852065">
      <w:pPr>
        <w:pStyle w:val="af"/>
      </w:pPr>
      <w:r>
        <w:rPr>
          <w:rStyle w:val="af1"/>
        </w:rPr>
        <w:footnoteRef/>
      </w:r>
      <w:r>
        <w:rPr>
          <w:rtl/>
        </w:rPr>
        <w:t xml:space="preserve"> </w:t>
      </w:r>
      <w:r>
        <w:rPr>
          <w:rFonts w:hint="cs"/>
          <w:rtl/>
        </w:rPr>
        <w:t>כת</w:t>
      </w:r>
      <w:r w:rsidRPr="00FB7C6F">
        <w:rPr>
          <w:rStyle w:val="afb"/>
          <w:rFonts w:hint="cs"/>
          <w:rtl/>
        </w:rPr>
        <w:t xml:space="preserve">ב </w:t>
      </w:r>
      <w:r w:rsidRPr="00FB7C6F">
        <w:rPr>
          <w:rStyle w:val="affa"/>
          <w:rFonts w:hint="cs"/>
          <w:rtl/>
        </w:rPr>
        <w:t>הרא"ש</w:t>
      </w:r>
      <w:r w:rsidRPr="0099765E">
        <w:rPr>
          <w:rStyle w:val="af9"/>
          <w:rFonts w:hint="cs"/>
          <w:rtl/>
        </w:rPr>
        <w:t xml:space="preserve"> </w:t>
      </w:r>
      <w:r w:rsidRPr="00FB7C6F">
        <w:rPr>
          <w:rStyle w:val="aff6"/>
          <w:rFonts w:hint="cs"/>
          <w:rtl/>
        </w:rPr>
        <w:t>(סי' י"ד)</w:t>
      </w:r>
      <w:r>
        <w:rPr>
          <w:rFonts w:hint="cs"/>
          <w:rtl/>
        </w:rPr>
        <w:t xml:space="preserve"> דהבהמה בחזקת איסור כיון שבחייה היא אסורה משום אבר מן החי, ומשום שאינה זבוחה, וכל שלא נתברר שנשחטה כראוי היא בחזקת שאינה זבוחה וכמתה מאליה</w:t>
      </w:r>
      <w:r>
        <w:rPr>
          <w:rStyle w:val="afb"/>
          <w:rFonts w:hint="cs"/>
          <w:rtl/>
        </w:rPr>
        <w:t xml:space="preserve">. </w:t>
      </w:r>
      <w:r w:rsidRPr="00FB7C6F">
        <w:rPr>
          <w:rStyle w:val="afb"/>
          <w:rFonts w:hint="cs"/>
          <w:rtl/>
        </w:rPr>
        <w:t xml:space="preserve">וביאר </w:t>
      </w:r>
      <w:r w:rsidRPr="00116416">
        <w:rPr>
          <w:rStyle w:val="affa"/>
          <w:rFonts w:hint="cs"/>
          <w:rtl/>
        </w:rPr>
        <w:t>המעדני יו"ט</w:t>
      </w:r>
      <w:r w:rsidRPr="00FB7C6F">
        <w:rPr>
          <w:rStyle w:val="afb"/>
          <w:rFonts w:hint="cs"/>
          <w:rtl/>
        </w:rPr>
        <w:t xml:space="preserve"> </w:t>
      </w:r>
      <w:r w:rsidRPr="00116416">
        <w:rPr>
          <w:rStyle w:val="aff6"/>
          <w:rFonts w:hint="cs"/>
          <w:rtl/>
        </w:rPr>
        <w:t>(אות ו')</w:t>
      </w:r>
      <w:r w:rsidRPr="00FB7C6F">
        <w:rPr>
          <w:rStyle w:val="afb"/>
          <w:rFonts w:hint="cs"/>
          <w:rtl/>
        </w:rPr>
        <w:t xml:space="preserve"> דהא דכתב </w:t>
      </w:r>
      <w:r w:rsidRPr="00116416">
        <w:rPr>
          <w:rStyle w:val="affa"/>
          <w:rFonts w:hint="cs"/>
          <w:rtl/>
        </w:rPr>
        <w:t>הרא"ש</w:t>
      </w:r>
      <w:r w:rsidRPr="00FB7C6F">
        <w:rPr>
          <w:rStyle w:val="afb"/>
          <w:rFonts w:hint="cs"/>
          <w:rtl/>
        </w:rPr>
        <w:t xml:space="preserve"> דהיא באיסור אבר מן החי הוא </w:t>
      </w:r>
      <w:r w:rsidRPr="00116416">
        <w:rPr>
          <w:rStyle w:val="affa"/>
          <w:rFonts w:hint="cs"/>
          <w:rtl/>
        </w:rPr>
        <w:t>כרש"י</w:t>
      </w:r>
      <w:r w:rsidRPr="00FB7C6F">
        <w:rPr>
          <w:rStyle w:val="afb"/>
          <w:rFonts w:hint="cs"/>
          <w:rtl/>
        </w:rPr>
        <w:t xml:space="preserve"> </w:t>
      </w:r>
      <w:r w:rsidRPr="0008506D">
        <w:rPr>
          <w:rStyle w:val="aff6"/>
          <w:rFonts w:hint="cs"/>
          <w:rtl/>
        </w:rPr>
        <w:t>(</w:t>
      </w:r>
      <w:r w:rsidRPr="00BB3A68">
        <w:rPr>
          <w:rStyle w:val="aff6"/>
          <w:rFonts w:hint="cs"/>
          <w:rtl/>
        </w:rPr>
        <w:t xml:space="preserve">עי' אות </w:t>
      </w:r>
      <w:r w:rsidRPr="00BB3A68">
        <w:rPr>
          <w:rStyle w:val="aff6"/>
          <w:rtl/>
        </w:rPr>
        <w:fldChar w:fldCharType="begin"/>
      </w:r>
      <w:r w:rsidRPr="00BB3A68">
        <w:rPr>
          <w:rStyle w:val="aff6"/>
          <w:rtl/>
        </w:rPr>
        <w:instrText xml:space="preserve"> </w:instrText>
      </w:r>
      <w:r w:rsidRPr="00BB3A68">
        <w:rPr>
          <w:rStyle w:val="aff6"/>
          <w:rFonts w:hint="cs"/>
        </w:rPr>
        <w:instrText>REF</w:instrText>
      </w:r>
      <w:r w:rsidRPr="00BB3A68">
        <w:rPr>
          <w:rStyle w:val="aff6"/>
          <w:rFonts w:hint="cs"/>
          <w:rtl/>
        </w:rPr>
        <w:instrText xml:space="preserve"> _</w:instrText>
      </w:r>
      <w:r w:rsidRPr="00BB3A68">
        <w:rPr>
          <w:rStyle w:val="aff6"/>
          <w:rFonts w:hint="cs"/>
        </w:rPr>
        <w:instrText>Ref522100076 \r \h</w:instrText>
      </w:r>
      <w:r w:rsidRPr="00BB3A68">
        <w:rPr>
          <w:rStyle w:val="aff6"/>
          <w:rtl/>
        </w:rPr>
        <w:instrText xml:space="preserve"> </w:instrText>
      </w:r>
      <w:r w:rsidRPr="00BB3A68">
        <w:rPr>
          <w:rStyle w:val="aff6"/>
          <w:rtl/>
        </w:rPr>
      </w:r>
      <w:r w:rsidRPr="00BB3A68">
        <w:rPr>
          <w:rStyle w:val="aff6"/>
          <w:rtl/>
        </w:rPr>
        <w:fldChar w:fldCharType="separate"/>
      </w:r>
      <w:r>
        <w:rPr>
          <w:rStyle w:val="aff6"/>
          <w:cs/>
        </w:rPr>
        <w:t>‎</w:t>
      </w:r>
      <w:r>
        <w:rPr>
          <w:rStyle w:val="aff6"/>
          <w:rtl/>
        </w:rPr>
        <w:t>ט)</w:t>
      </w:r>
      <w:r w:rsidRPr="00BB3A68">
        <w:rPr>
          <w:rStyle w:val="aff6"/>
          <w:rtl/>
        </w:rPr>
        <w:fldChar w:fldCharType="end"/>
      </w:r>
      <w:r w:rsidRPr="00BB3A68">
        <w:rPr>
          <w:rStyle w:val="aff6"/>
          <w:rtl/>
        </w:rPr>
        <w:fldChar w:fldCharType="begin"/>
      </w:r>
      <w:r w:rsidRPr="00BB3A68">
        <w:rPr>
          <w:rStyle w:val="aff6"/>
          <w:rtl/>
        </w:rPr>
        <w:instrText xml:space="preserve"> </w:instrText>
      </w:r>
      <w:r w:rsidRPr="00BB3A68">
        <w:rPr>
          <w:rStyle w:val="aff6"/>
          <w:rFonts w:hint="cs"/>
        </w:rPr>
        <w:instrText>REF</w:instrText>
      </w:r>
      <w:r w:rsidRPr="00BB3A68">
        <w:rPr>
          <w:rStyle w:val="aff6"/>
          <w:rFonts w:hint="cs"/>
          <w:rtl/>
        </w:rPr>
        <w:instrText xml:space="preserve"> _</w:instrText>
      </w:r>
      <w:r w:rsidRPr="00BB3A68">
        <w:rPr>
          <w:rStyle w:val="aff6"/>
          <w:rFonts w:hint="cs"/>
        </w:rPr>
        <w:instrText>Ref522100765 \r \h</w:instrText>
      </w:r>
      <w:r w:rsidRPr="00BB3A68">
        <w:rPr>
          <w:rStyle w:val="aff6"/>
          <w:rtl/>
        </w:rPr>
        <w:instrText xml:space="preserve"> </w:instrText>
      </w:r>
      <w:r w:rsidRPr="00BB3A68">
        <w:rPr>
          <w:rStyle w:val="aff6"/>
          <w:rtl/>
        </w:rPr>
      </w:r>
      <w:r w:rsidRPr="00BB3A68">
        <w:rPr>
          <w:rStyle w:val="aff6"/>
          <w:rtl/>
        </w:rPr>
        <w:fldChar w:fldCharType="separate"/>
      </w:r>
      <w:r>
        <w:rPr>
          <w:rStyle w:val="aff6"/>
          <w:cs/>
        </w:rPr>
        <w:t>‎</w:t>
      </w:r>
      <w:r>
        <w:rPr>
          <w:rStyle w:val="aff6"/>
          <w:rtl/>
        </w:rPr>
        <w:t>ט)</w:t>
      </w:r>
      <w:r w:rsidRPr="00BB3A68">
        <w:rPr>
          <w:rStyle w:val="aff6"/>
          <w:rtl/>
        </w:rPr>
        <w:fldChar w:fldCharType="end"/>
      </w:r>
      <w:r w:rsidRPr="00FB7C6F">
        <w:rPr>
          <w:rStyle w:val="afb"/>
          <w:rFonts w:hint="cs"/>
          <w:rtl/>
        </w:rPr>
        <w:t xml:space="preserve">, והא דכתב </w:t>
      </w:r>
      <w:r w:rsidRPr="00116416">
        <w:rPr>
          <w:rStyle w:val="affa"/>
          <w:rFonts w:hint="cs"/>
          <w:rtl/>
        </w:rPr>
        <w:t>הרא"ש</w:t>
      </w:r>
      <w:r w:rsidRPr="00FB7C6F">
        <w:rPr>
          <w:rStyle w:val="afb"/>
          <w:rFonts w:hint="cs"/>
          <w:rtl/>
        </w:rPr>
        <w:t xml:space="preserve"> דהיא בחזקת שאינה זבוחה הוא </w:t>
      </w:r>
      <w:r w:rsidRPr="00116416">
        <w:rPr>
          <w:rStyle w:val="affa"/>
          <w:rFonts w:hint="cs"/>
          <w:rtl/>
        </w:rPr>
        <w:t xml:space="preserve">כתוס' </w:t>
      </w:r>
      <w:r w:rsidRPr="0008506D">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Ref522100783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יא)</w:t>
      </w:r>
      <w:r>
        <w:rPr>
          <w:rStyle w:val="aff6"/>
          <w:rtl/>
        </w:rPr>
        <w:fldChar w:fldCharType="end"/>
      </w:r>
      <w:r w:rsidRPr="00FB7C6F">
        <w:rPr>
          <w:rStyle w:val="afb"/>
          <w:rFonts w:hint="cs"/>
          <w:rtl/>
        </w:rPr>
        <w:t xml:space="preserve">. </w:t>
      </w:r>
    </w:p>
  </w:footnote>
  <w:footnote w:id="2">
    <w:p w14:paraId="3031EAE4" w14:textId="77777777" w:rsidR="00345400" w:rsidRDefault="00345400" w:rsidP="00852065">
      <w:pPr>
        <w:pStyle w:val="af"/>
        <w:rPr>
          <w:rtl/>
        </w:rPr>
      </w:pPr>
      <w:r>
        <w:rPr>
          <w:rStyle w:val="af1"/>
        </w:rPr>
        <w:footnoteRef/>
      </w:r>
      <w:r>
        <w:rPr>
          <w:rtl/>
        </w:rPr>
        <w:t xml:space="preserve"> </w:t>
      </w:r>
      <w:r>
        <w:rPr>
          <w:rFonts w:hint="cs"/>
          <w:rtl/>
        </w:rPr>
        <w:t xml:space="preserve">ועוי' </w:t>
      </w:r>
      <w:r w:rsidRPr="00D84B8D">
        <w:rPr>
          <w:rStyle w:val="affa"/>
          <w:rFonts w:hint="cs"/>
          <w:rtl/>
        </w:rPr>
        <w:t>בפמ"ג</w:t>
      </w:r>
      <w:r>
        <w:rPr>
          <w:rFonts w:hint="cs"/>
          <w:rtl/>
        </w:rPr>
        <w:t xml:space="preserve"> </w:t>
      </w:r>
      <w:r w:rsidRPr="00D84B8D">
        <w:rPr>
          <w:rStyle w:val="aff6"/>
          <w:rFonts w:hint="cs"/>
          <w:rtl/>
        </w:rPr>
        <w:t>(</w:t>
      </w:r>
      <w:r>
        <w:rPr>
          <w:rStyle w:val="aff6"/>
          <w:rFonts w:hint="cs"/>
          <w:rtl/>
        </w:rPr>
        <w:t>שפתי דעת</w:t>
      </w:r>
      <w:r w:rsidRPr="00D84B8D">
        <w:rPr>
          <w:rStyle w:val="aff6"/>
          <w:rFonts w:hint="cs"/>
          <w:rtl/>
        </w:rPr>
        <w:t xml:space="preserve"> כ"ה א')</w:t>
      </w:r>
      <w:r>
        <w:rPr>
          <w:rFonts w:hint="cs"/>
          <w:rtl/>
        </w:rPr>
        <w:t xml:space="preserve"> דהביא בשם </w:t>
      </w:r>
      <w:r w:rsidRPr="00D84B8D">
        <w:rPr>
          <w:rStyle w:val="affa"/>
          <w:rFonts w:hint="cs"/>
          <w:rtl/>
        </w:rPr>
        <w:t>המרדכי בתירוצו השני</w:t>
      </w:r>
      <w:r>
        <w:rPr>
          <w:rFonts w:hint="cs"/>
          <w:rtl/>
        </w:rPr>
        <w:t xml:space="preserve"> דרוב אין שוחטים רוב, ומשמע דביאר </w:t>
      </w:r>
      <w:r w:rsidRPr="0042660F">
        <w:rPr>
          <w:rStyle w:val="affa"/>
          <w:rFonts w:hint="cs"/>
          <w:rtl/>
        </w:rPr>
        <w:t>הפמ"ג במרדכי</w:t>
      </w:r>
      <w:r>
        <w:rPr>
          <w:rFonts w:hint="cs"/>
          <w:rtl/>
        </w:rPr>
        <w:t xml:space="preserve"> דיש רוב להיפך שלא נשחטו רוב הסימנים, ויל"ע.</w:t>
      </w:r>
    </w:p>
  </w:footnote>
  <w:footnote w:id="3">
    <w:p w14:paraId="060CF1C4" w14:textId="77777777" w:rsidR="00345400" w:rsidRDefault="00345400" w:rsidP="00852065">
      <w:pPr>
        <w:pStyle w:val="af"/>
        <w:rPr>
          <w:rtl/>
        </w:rPr>
      </w:pPr>
      <w:r>
        <w:rPr>
          <w:rStyle w:val="af1"/>
        </w:rPr>
        <w:footnoteRef/>
      </w:r>
      <w:r>
        <w:rPr>
          <w:rtl/>
        </w:rPr>
        <w:t xml:space="preserve"> </w:t>
      </w:r>
      <w:r>
        <w:rPr>
          <w:rFonts w:hint="cs"/>
          <w:rtl/>
        </w:rPr>
        <w:t xml:space="preserve">וכתב </w:t>
      </w:r>
      <w:r w:rsidRPr="00EC2343">
        <w:rPr>
          <w:rStyle w:val="affa"/>
          <w:rFonts w:hint="cs"/>
          <w:rtl/>
        </w:rPr>
        <w:t>הברכ"ש</w:t>
      </w:r>
      <w:r>
        <w:rPr>
          <w:rFonts w:hint="cs"/>
          <w:rtl/>
        </w:rPr>
        <w:t xml:space="preserve"> דלא דמי לגמ' בכתובות </w:t>
      </w:r>
      <w:r w:rsidRPr="00EC2343">
        <w:rPr>
          <w:rStyle w:val="aff6"/>
          <w:rFonts w:hint="cs"/>
          <w:rtl/>
        </w:rPr>
        <w:t>(יג:)</w:t>
      </w:r>
      <w:r>
        <w:rPr>
          <w:rFonts w:hint="cs"/>
          <w:rtl/>
        </w:rPr>
        <w:t xml:space="preserve"> בנבעלה לספק ולמ"ד דיש לה חזקת היתר ואינה חללה, נחלקו בגמ' אי חזקת האם מהני לבת. דהתם הפסול של החללות אינו ע"י מעשה ביאה שפוסל בעצמותו את הבת, אלא דולד שבא מפסול, אך אין חלות פסול במעשה ביאה עצמו. ולכן החזקת היתר שיש לאם שלא נעשה בה מעשה ביאה של פסול, אינו שייך לספק של הבת, ולא שייך לדון בספק של הבת חזקת איסור והיתר כלל.</w:t>
      </w:r>
    </w:p>
  </w:footnote>
  <w:footnote w:id="4">
    <w:p w14:paraId="39A3A3E0" w14:textId="77777777" w:rsidR="00345400" w:rsidRPr="007A6AFC" w:rsidRDefault="00345400" w:rsidP="00852065">
      <w:pPr>
        <w:pStyle w:val="af"/>
        <w:rPr>
          <w:rtl/>
        </w:rPr>
      </w:pPr>
      <w:r>
        <w:rPr>
          <w:rStyle w:val="af1"/>
        </w:rPr>
        <w:footnoteRef/>
      </w:r>
      <w:r>
        <w:rPr>
          <w:rtl/>
        </w:rPr>
        <w:t xml:space="preserve"> </w:t>
      </w:r>
      <w:r>
        <w:rPr>
          <w:rFonts w:hint="cs"/>
          <w:rtl/>
        </w:rPr>
        <w:t>כת</w:t>
      </w:r>
      <w:r w:rsidRPr="00FB7C6F">
        <w:rPr>
          <w:rStyle w:val="afb"/>
          <w:rFonts w:hint="cs"/>
          <w:rtl/>
        </w:rPr>
        <w:t xml:space="preserve">ב </w:t>
      </w:r>
      <w:r w:rsidRPr="00FB7C6F">
        <w:rPr>
          <w:rStyle w:val="affa"/>
          <w:rFonts w:hint="cs"/>
          <w:rtl/>
        </w:rPr>
        <w:t>הרא"ש</w:t>
      </w:r>
      <w:r w:rsidRPr="0099765E">
        <w:rPr>
          <w:rStyle w:val="af9"/>
          <w:rFonts w:hint="cs"/>
          <w:rtl/>
        </w:rPr>
        <w:t xml:space="preserve"> </w:t>
      </w:r>
      <w:r w:rsidRPr="00FB7C6F">
        <w:rPr>
          <w:rStyle w:val="aff6"/>
          <w:rFonts w:hint="cs"/>
          <w:rtl/>
        </w:rPr>
        <w:t>(סי' י"ד)</w:t>
      </w:r>
      <w:r>
        <w:rPr>
          <w:rFonts w:hint="cs"/>
          <w:rtl/>
        </w:rPr>
        <w:t xml:space="preserve"> דהבהמה בחזקת איסור כיון שבחייה אסורה משום אבר מן החי, ומשום שאינה זבוחה, וכל שלא נתברר שנשחטה כראוי היא בחזקת שאינה זבוחה וכמתה מאליה</w:t>
      </w:r>
      <w:r w:rsidRPr="00FB7C6F">
        <w:rPr>
          <w:rStyle w:val="afb"/>
          <w:rFonts w:hint="cs"/>
          <w:rtl/>
        </w:rPr>
        <w:t xml:space="preserve">, וביאר </w:t>
      </w:r>
      <w:r w:rsidRPr="00246976">
        <w:rPr>
          <w:rStyle w:val="affa"/>
          <w:rFonts w:hint="cs"/>
          <w:rtl/>
        </w:rPr>
        <w:t>המעדני יו"ט</w:t>
      </w:r>
      <w:r w:rsidRPr="00FB7C6F">
        <w:rPr>
          <w:rStyle w:val="afb"/>
          <w:rFonts w:hint="cs"/>
          <w:rtl/>
        </w:rPr>
        <w:t xml:space="preserve"> </w:t>
      </w:r>
      <w:r w:rsidRPr="00246976">
        <w:rPr>
          <w:rStyle w:val="aff6"/>
          <w:rFonts w:hint="cs"/>
          <w:rtl/>
        </w:rPr>
        <w:t>(אות ו')</w:t>
      </w:r>
      <w:r w:rsidRPr="00FB7C6F">
        <w:rPr>
          <w:rStyle w:val="afb"/>
          <w:rFonts w:hint="cs"/>
          <w:rtl/>
        </w:rPr>
        <w:t xml:space="preserve"> דהא דכתב </w:t>
      </w:r>
      <w:r w:rsidRPr="00246976">
        <w:rPr>
          <w:rStyle w:val="affa"/>
          <w:rFonts w:hint="cs"/>
          <w:rtl/>
        </w:rPr>
        <w:t>הרא"ש</w:t>
      </w:r>
      <w:r w:rsidRPr="00FB7C6F">
        <w:rPr>
          <w:rStyle w:val="afb"/>
          <w:rFonts w:hint="cs"/>
          <w:rtl/>
        </w:rPr>
        <w:t xml:space="preserve"> דהיא באיסור אבר מן החי הוא </w:t>
      </w:r>
      <w:r w:rsidRPr="00B83584">
        <w:rPr>
          <w:rStyle w:val="affa"/>
          <w:rFonts w:hint="cs"/>
          <w:rtl/>
        </w:rPr>
        <w:t>כרש"י</w:t>
      </w:r>
      <w:r w:rsidRPr="00FB7C6F">
        <w:rPr>
          <w:rStyle w:val="afb"/>
          <w:rFonts w:hint="cs"/>
          <w:rtl/>
        </w:rPr>
        <w:t xml:space="preserve"> </w:t>
      </w:r>
      <w:r w:rsidRPr="00246976">
        <w:rPr>
          <w:rStyle w:val="aff6"/>
          <w:rFonts w:hint="cs"/>
          <w:rtl/>
        </w:rPr>
        <w:t>(</w:t>
      </w:r>
      <w:r w:rsidRPr="00FC4CB0">
        <w:rPr>
          <w:rStyle w:val="aff6"/>
          <w:rFonts w:hint="cs"/>
          <w:rtl/>
        </w:rPr>
        <w:t xml:space="preserve">עי' אות </w:t>
      </w:r>
      <w:r w:rsidRPr="00FC4CB0">
        <w:rPr>
          <w:rStyle w:val="aff6"/>
          <w:rtl/>
        </w:rPr>
        <w:fldChar w:fldCharType="begin"/>
      </w:r>
      <w:r w:rsidRPr="00FC4CB0">
        <w:rPr>
          <w:rStyle w:val="aff6"/>
          <w:rtl/>
        </w:rPr>
        <w:instrText xml:space="preserve"> </w:instrText>
      </w:r>
      <w:r w:rsidRPr="00FC4CB0">
        <w:rPr>
          <w:rStyle w:val="aff6"/>
          <w:rFonts w:hint="cs"/>
        </w:rPr>
        <w:instrText>REF</w:instrText>
      </w:r>
      <w:r w:rsidRPr="00FC4CB0">
        <w:rPr>
          <w:rStyle w:val="aff6"/>
          <w:rFonts w:hint="cs"/>
          <w:rtl/>
        </w:rPr>
        <w:instrText xml:space="preserve"> _</w:instrText>
      </w:r>
      <w:r w:rsidRPr="00FC4CB0">
        <w:rPr>
          <w:rStyle w:val="aff6"/>
          <w:rFonts w:hint="cs"/>
        </w:rPr>
        <w:instrText>Ref522200597 \r \h</w:instrText>
      </w:r>
      <w:r w:rsidRPr="00FC4CB0">
        <w:rPr>
          <w:rStyle w:val="aff6"/>
          <w:rtl/>
        </w:rPr>
        <w:instrText xml:space="preserve"> </w:instrText>
      </w:r>
      <w:r w:rsidRPr="00FC4CB0">
        <w:rPr>
          <w:rStyle w:val="aff6"/>
          <w:rtl/>
        </w:rPr>
      </w:r>
      <w:r w:rsidRPr="00FC4CB0">
        <w:rPr>
          <w:rStyle w:val="aff6"/>
          <w:rtl/>
        </w:rPr>
        <w:fldChar w:fldCharType="separate"/>
      </w:r>
      <w:r>
        <w:rPr>
          <w:rStyle w:val="aff6"/>
          <w:rFonts w:hint="cs"/>
          <w:b/>
          <w:bCs/>
          <w:rtl/>
        </w:rPr>
        <w:t>שגיאה! מקור ההפניה לא נמצא.</w:t>
      </w:r>
      <w:r w:rsidRPr="00FC4CB0">
        <w:rPr>
          <w:rStyle w:val="aff6"/>
          <w:rtl/>
        </w:rPr>
        <w:fldChar w:fldCharType="end"/>
      </w:r>
      <w:r w:rsidRPr="00FB7C6F">
        <w:rPr>
          <w:rStyle w:val="afb"/>
          <w:rFonts w:hint="cs"/>
          <w:rtl/>
        </w:rPr>
        <w:t xml:space="preserve"> , והא דכתב </w:t>
      </w:r>
      <w:r w:rsidRPr="00246976">
        <w:rPr>
          <w:rStyle w:val="affa"/>
          <w:rFonts w:hint="cs"/>
          <w:rtl/>
        </w:rPr>
        <w:t>הרא"ש</w:t>
      </w:r>
      <w:r w:rsidRPr="00FB7C6F">
        <w:rPr>
          <w:rStyle w:val="afb"/>
          <w:rFonts w:hint="cs"/>
          <w:rtl/>
        </w:rPr>
        <w:t xml:space="preserve"> דהיא בחזקת שאינה זבוחה הוא </w:t>
      </w:r>
      <w:r w:rsidRPr="00246976">
        <w:rPr>
          <w:rStyle w:val="affa"/>
          <w:rFonts w:hint="cs"/>
          <w:rtl/>
        </w:rPr>
        <w:t>כתוס'</w:t>
      </w:r>
      <w:r w:rsidRPr="00246976">
        <w:rPr>
          <w:rStyle w:val="aff6"/>
          <w:rFonts w:hint="cs"/>
          <w:rtl/>
        </w:rPr>
        <w:t xml:space="preserve"> (עי' </w:t>
      </w:r>
      <w:r w:rsidRPr="00FC4CB0">
        <w:rPr>
          <w:rStyle w:val="aff6"/>
          <w:rFonts w:hint="cs"/>
          <w:rtl/>
        </w:rPr>
        <w:t xml:space="preserve">אות </w:t>
      </w:r>
      <w:r w:rsidRPr="00FC4CB0">
        <w:rPr>
          <w:rStyle w:val="aff6"/>
          <w:rtl/>
        </w:rPr>
        <w:fldChar w:fldCharType="begin"/>
      </w:r>
      <w:r w:rsidRPr="00FC4CB0">
        <w:rPr>
          <w:rStyle w:val="aff6"/>
          <w:rtl/>
        </w:rPr>
        <w:instrText xml:space="preserve"> </w:instrText>
      </w:r>
      <w:r w:rsidRPr="00FC4CB0">
        <w:rPr>
          <w:rStyle w:val="aff6"/>
          <w:rFonts w:hint="cs"/>
        </w:rPr>
        <w:instrText>REF</w:instrText>
      </w:r>
      <w:r w:rsidRPr="00FC4CB0">
        <w:rPr>
          <w:rStyle w:val="aff6"/>
          <w:rFonts w:hint="cs"/>
          <w:rtl/>
        </w:rPr>
        <w:instrText xml:space="preserve"> _</w:instrText>
      </w:r>
      <w:r w:rsidRPr="00FC4CB0">
        <w:rPr>
          <w:rStyle w:val="aff6"/>
          <w:rFonts w:hint="cs"/>
        </w:rPr>
        <w:instrText>Ref522200619 \r \h</w:instrText>
      </w:r>
      <w:r w:rsidRPr="00FC4CB0">
        <w:rPr>
          <w:rStyle w:val="aff6"/>
          <w:rtl/>
        </w:rPr>
        <w:instrText xml:space="preserve"> </w:instrText>
      </w:r>
      <w:r w:rsidRPr="00FC4CB0">
        <w:rPr>
          <w:rStyle w:val="aff6"/>
          <w:rtl/>
        </w:rPr>
      </w:r>
      <w:r w:rsidRPr="00FC4CB0">
        <w:rPr>
          <w:rStyle w:val="aff6"/>
          <w:rtl/>
        </w:rPr>
        <w:fldChar w:fldCharType="separate"/>
      </w:r>
      <w:r>
        <w:rPr>
          <w:rStyle w:val="aff6"/>
          <w:rFonts w:hint="cs"/>
          <w:b/>
          <w:bCs/>
          <w:rtl/>
        </w:rPr>
        <w:t>שגיאה! מקור ההפניה לא נמצא.</w:t>
      </w:r>
      <w:r w:rsidRPr="00FC4CB0">
        <w:rPr>
          <w:rStyle w:val="aff6"/>
          <w:rtl/>
        </w:rPr>
        <w:fldChar w:fldCharType="end"/>
      </w:r>
      <w:r w:rsidRPr="00FB7C6F">
        <w:rPr>
          <w:rStyle w:val="afb"/>
          <w:rFonts w:hint="cs"/>
          <w:rtl/>
        </w:rPr>
        <w:t xml:space="preserve">. </w:t>
      </w:r>
    </w:p>
  </w:footnote>
  <w:footnote w:id="5">
    <w:p w14:paraId="55D2A0A4" w14:textId="77777777" w:rsidR="00345400" w:rsidRDefault="00345400" w:rsidP="00852065">
      <w:pPr>
        <w:pStyle w:val="af"/>
        <w:rPr>
          <w:rtl/>
        </w:rPr>
      </w:pPr>
      <w:r>
        <w:rPr>
          <w:rStyle w:val="af1"/>
        </w:rPr>
        <w:footnoteRef/>
      </w:r>
      <w:r>
        <w:rPr>
          <w:rtl/>
        </w:rPr>
        <w:t xml:space="preserve"> </w:t>
      </w:r>
      <w:r w:rsidRPr="001125DD">
        <w:rPr>
          <w:rtl/>
        </w:rPr>
        <w:t xml:space="preserve">והנה בביאור דעת ר"א ב"ר ינאי דאינה מטמאה בנבילה, כתבו </w:t>
      </w:r>
      <w:r w:rsidRPr="003E1D14">
        <w:rPr>
          <w:rStyle w:val="affa"/>
          <w:rtl/>
        </w:rPr>
        <w:t>התוס'</w:t>
      </w:r>
      <w:r w:rsidRPr="001125DD">
        <w:rPr>
          <w:rtl/>
        </w:rPr>
        <w:t xml:space="preserve"> </w:t>
      </w:r>
      <w:r w:rsidRPr="003E1D14">
        <w:rPr>
          <w:rStyle w:val="aff6"/>
          <w:rtl/>
        </w:rPr>
        <w:t>(ד"ה ואסורה</w:t>
      </w:r>
      <w:r w:rsidRPr="003E1D14">
        <w:rPr>
          <w:rStyle w:val="aff6"/>
          <w:rFonts w:hint="cs"/>
          <w:rtl/>
        </w:rPr>
        <w:t xml:space="preserve">, הובאו לעיל סימן </w:t>
      </w:r>
      <w:r w:rsidRPr="00CE1259">
        <w:rPr>
          <w:rStyle w:val="aff6"/>
          <w:rFonts w:hint="cs"/>
          <w:rtl/>
        </w:rPr>
        <w:t xml:space="preserve">א' אות </w:t>
      </w:r>
      <w:r w:rsidRPr="00CE1259">
        <w:rPr>
          <w:rStyle w:val="aff6"/>
          <w:rtl/>
        </w:rPr>
        <w:fldChar w:fldCharType="begin"/>
      </w:r>
      <w:r w:rsidRPr="00CE1259">
        <w:rPr>
          <w:rStyle w:val="aff6"/>
          <w:rtl/>
        </w:rPr>
        <w:instrText xml:space="preserve"> </w:instrText>
      </w:r>
      <w:r w:rsidRPr="00CE1259">
        <w:rPr>
          <w:rStyle w:val="aff6"/>
        </w:rPr>
        <w:instrText>REF</w:instrText>
      </w:r>
      <w:r w:rsidRPr="00CE1259">
        <w:rPr>
          <w:rStyle w:val="aff6"/>
          <w:rtl/>
        </w:rPr>
        <w:instrText xml:space="preserve"> _</w:instrText>
      </w:r>
      <w:r w:rsidRPr="00CE1259">
        <w:rPr>
          <w:rStyle w:val="aff6"/>
        </w:rPr>
        <w:instrText>Ref522101098 \r \h</w:instrText>
      </w:r>
      <w:r w:rsidRPr="00CE1259">
        <w:rPr>
          <w:rStyle w:val="aff6"/>
          <w:rtl/>
        </w:rPr>
        <w:instrText xml:space="preserve"> </w:instrText>
      </w:r>
      <w:r w:rsidRPr="00CE1259">
        <w:rPr>
          <w:rStyle w:val="aff6"/>
          <w:rtl/>
        </w:rPr>
      </w:r>
      <w:r w:rsidRPr="00CE1259">
        <w:rPr>
          <w:rStyle w:val="aff6"/>
          <w:rtl/>
        </w:rPr>
        <w:fldChar w:fldCharType="separate"/>
      </w:r>
      <w:r>
        <w:rPr>
          <w:rStyle w:val="aff6"/>
          <w:cs/>
        </w:rPr>
        <w:t>‎</w:t>
      </w:r>
      <w:r>
        <w:rPr>
          <w:rStyle w:val="aff6"/>
          <w:rtl/>
        </w:rPr>
        <w:t>כה)</w:t>
      </w:r>
      <w:r w:rsidRPr="00CE1259">
        <w:rPr>
          <w:rStyle w:val="aff6"/>
          <w:rtl/>
        </w:rPr>
        <w:fldChar w:fldCharType="end"/>
      </w:r>
      <w:r w:rsidRPr="001125DD">
        <w:rPr>
          <w:rtl/>
        </w:rPr>
        <w:t xml:space="preserve"> </w:t>
      </w:r>
      <w:r>
        <w:rPr>
          <w:rtl/>
        </w:rPr>
        <w:t xml:space="preserve">דכיון שיש רוב ששחט כראוי, </w:t>
      </w:r>
      <w:r w:rsidRPr="001125DD">
        <w:rPr>
          <w:rtl/>
        </w:rPr>
        <w:t xml:space="preserve">מדאו' אינה אסורה </w:t>
      </w:r>
      <w:r>
        <w:rPr>
          <w:rFonts w:hint="cs"/>
          <w:rtl/>
        </w:rPr>
        <w:t>ו</w:t>
      </w:r>
      <w:r w:rsidRPr="001125DD">
        <w:rPr>
          <w:rtl/>
        </w:rPr>
        <w:t xml:space="preserve">החמירו רבנן להחשיבה כנבילה </w:t>
      </w:r>
      <w:r>
        <w:rPr>
          <w:rFonts w:hint="cs"/>
          <w:rtl/>
        </w:rPr>
        <w:t>רק לאכילה ולא</w:t>
      </w:r>
      <w:r w:rsidRPr="001125DD">
        <w:rPr>
          <w:rtl/>
        </w:rPr>
        <w:t xml:space="preserve"> </w:t>
      </w:r>
      <w:r>
        <w:rPr>
          <w:rFonts w:hint="cs"/>
          <w:rtl/>
        </w:rPr>
        <w:t>ל</w:t>
      </w:r>
      <w:r w:rsidRPr="001125DD">
        <w:rPr>
          <w:rtl/>
        </w:rPr>
        <w:t xml:space="preserve">טומאה. וביאר </w:t>
      </w:r>
      <w:r w:rsidRPr="003E1D14">
        <w:rPr>
          <w:rStyle w:val="affa"/>
          <w:rtl/>
        </w:rPr>
        <w:t>השיטמ"ק</w:t>
      </w:r>
      <w:r w:rsidRPr="003E1D14">
        <w:rPr>
          <w:rStyle w:val="aff6"/>
          <w:rtl/>
        </w:rPr>
        <w:t xml:space="preserve"> (</w:t>
      </w:r>
      <w:r w:rsidRPr="003E1D14">
        <w:rPr>
          <w:rStyle w:val="aff6"/>
          <w:rFonts w:hint="cs"/>
          <w:rtl/>
        </w:rPr>
        <w:t xml:space="preserve">הובא לעיל סימן </w:t>
      </w:r>
      <w:r w:rsidRPr="00CE1259">
        <w:rPr>
          <w:rStyle w:val="aff6"/>
          <w:rFonts w:hint="cs"/>
          <w:rtl/>
        </w:rPr>
        <w:t xml:space="preserve">א' אות </w:t>
      </w:r>
      <w:r w:rsidRPr="00CE1259">
        <w:rPr>
          <w:rStyle w:val="aff6"/>
          <w:rtl/>
        </w:rPr>
        <w:fldChar w:fldCharType="begin"/>
      </w:r>
      <w:r w:rsidRPr="00CE1259">
        <w:rPr>
          <w:rStyle w:val="aff6"/>
          <w:rtl/>
        </w:rPr>
        <w:instrText xml:space="preserve"> </w:instrText>
      </w:r>
      <w:r w:rsidRPr="00CE1259">
        <w:rPr>
          <w:rStyle w:val="aff6"/>
        </w:rPr>
        <w:instrText>REF</w:instrText>
      </w:r>
      <w:r w:rsidRPr="00CE1259">
        <w:rPr>
          <w:rStyle w:val="aff6"/>
          <w:rtl/>
        </w:rPr>
        <w:instrText xml:space="preserve"> _</w:instrText>
      </w:r>
      <w:r w:rsidRPr="00CE1259">
        <w:rPr>
          <w:rStyle w:val="aff6"/>
        </w:rPr>
        <w:instrText>Ref522262426 \r \h</w:instrText>
      </w:r>
      <w:r w:rsidRPr="00CE1259">
        <w:rPr>
          <w:rStyle w:val="aff6"/>
          <w:rtl/>
        </w:rPr>
        <w:instrText xml:space="preserve"> </w:instrText>
      </w:r>
      <w:r w:rsidRPr="00CE1259">
        <w:rPr>
          <w:rStyle w:val="aff6"/>
          <w:rtl/>
        </w:rPr>
      </w:r>
      <w:r w:rsidRPr="00CE1259">
        <w:rPr>
          <w:rStyle w:val="aff6"/>
          <w:rtl/>
        </w:rPr>
        <w:fldChar w:fldCharType="separate"/>
      </w:r>
      <w:r>
        <w:rPr>
          <w:rStyle w:val="aff6"/>
          <w:cs/>
        </w:rPr>
        <w:t>‎</w:t>
      </w:r>
      <w:r>
        <w:rPr>
          <w:rStyle w:val="aff6"/>
          <w:rtl/>
        </w:rPr>
        <w:t>כז)</w:t>
      </w:r>
      <w:r w:rsidRPr="00CE1259">
        <w:rPr>
          <w:rStyle w:val="aff6"/>
          <w:rtl/>
        </w:rPr>
        <w:fldChar w:fldCharType="end"/>
      </w:r>
      <w:r w:rsidRPr="00CE1259">
        <w:rPr>
          <w:rStyle w:val="aff6"/>
          <w:rFonts w:hint="cs"/>
          <w:rtl/>
        </w:rPr>
        <w:t xml:space="preserve"> </w:t>
      </w:r>
      <w:r w:rsidRPr="001125DD">
        <w:rPr>
          <w:rtl/>
        </w:rPr>
        <w:t xml:space="preserve">דס"ל להתוס' דלכו"ע מדאו' הבהמה מותרת, וגזרו רבנן דאסורה, ולר"א ב"ר ינאי גזרו רק לאכילה, ולברייתא גזרו אף לטומאה, [ומבואר מדבריהם דמדינא אינה כנבילה גמורה, ומשמע דאין מחזיקין מאיסור לאיסור אבל </w:t>
      </w:r>
      <w:r w:rsidRPr="003E1D14">
        <w:rPr>
          <w:rStyle w:val="affa"/>
          <w:rtl/>
        </w:rPr>
        <w:t>הפרמ"ג</w:t>
      </w:r>
      <w:r w:rsidRPr="001125DD">
        <w:rPr>
          <w:rtl/>
        </w:rPr>
        <w:t xml:space="preserve"> </w:t>
      </w:r>
      <w:r w:rsidRPr="003E1D14">
        <w:rPr>
          <w:rStyle w:val="aff6"/>
          <w:rtl/>
        </w:rPr>
        <w:t>(</w:t>
      </w:r>
      <w:r w:rsidRPr="003E1D14">
        <w:rPr>
          <w:rStyle w:val="aff6"/>
          <w:rFonts w:hint="cs"/>
          <w:rtl/>
        </w:rPr>
        <w:t xml:space="preserve">הובא לעיל סימן </w:t>
      </w:r>
      <w:r w:rsidRPr="00CE1259">
        <w:rPr>
          <w:rStyle w:val="aff6"/>
          <w:rFonts w:hint="cs"/>
          <w:rtl/>
        </w:rPr>
        <w:t xml:space="preserve">א' אות </w:t>
      </w:r>
      <w:r w:rsidRPr="00CE1259">
        <w:rPr>
          <w:rStyle w:val="aff6"/>
          <w:rtl/>
        </w:rPr>
        <w:fldChar w:fldCharType="begin"/>
      </w:r>
      <w:r w:rsidRPr="00CE1259">
        <w:rPr>
          <w:rStyle w:val="aff6"/>
          <w:rtl/>
        </w:rPr>
        <w:instrText xml:space="preserve"> </w:instrText>
      </w:r>
      <w:r w:rsidRPr="00CE1259">
        <w:rPr>
          <w:rStyle w:val="aff6"/>
          <w:rFonts w:hint="cs"/>
        </w:rPr>
        <w:instrText>REF</w:instrText>
      </w:r>
      <w:r w:rsidRPr="00CE1259">
        <w:rPr>
          <w:rStyle w:val="aff6"/>
          <w:rFonts w:hint="cs"/>
          <w:rtl/>
        </w:rPr>
        <w:instrText xml:space="preserve"> _</w:instrText>
      </w:r>
      <w:r w:rsidRPr="00CE1259">
        <w:rPr>
          <w:rStyle w:val="aff6"/>
          <w:rFonts w:hint="cs"/>
        </w:rPr>
        <w:instrText>Ref522262457 \r \h</w:instrText>
      </w:r>
      <w:r w:rsidRPr="00CE1259">
        <w:rPr>
          <w:rStyle w:val="aff6"/>
          <w:rtl/>
        </w:rPr>
        <w:instrText xml:space="preserve"> </w:instrText>
      </w:r>
      <w:r w:rsidRPr="00CE1259">
        <w:rPr>
          <w:rStyle w:val="aff6"/>
          <w:rtl/>
        </w:rPr>
      </w:r>
      <w:r w:rsidRPr="00CE1259">
        <w:rPr>
          <w:rStyle w:val="aff6"/>
          <w:rtl/>
        </w:rPr>
        <w:fldChar w:fldCharType="separate"/>
      </w:r>
      <w:r>
        <w:rPr>
          <w:rStyle w:val="aff6"/>
          <w:rFonts w:hint="cs"/>
          <w:b/>
          <w:bCs/>
          <w:rtl/>
        </w:rPr>
        <w:t>שגיאה! מקור ההפניה לא נמצא.</w:t>
      </w:r>
      <w:r w:rsidRPr="00CE1259">
        <w:rPr>
          <w:rStyle w:val="aff6"/>
          <w:rtl/>
        </w:rPr>
        <w:fldChar w:fldCharType="end"/>
      </w:r>
      <w:r>
        <w:rPr>
          <w:rFonts w:hint="cs"/>
          <w:rtl/>
        </w:rPr>
        <w:t xml:space="preserve"> כתב </w:t>
      </w:r>
      <w:r w:rsidRPr="00633D96">
        <w:rPr>
          <w:rStyle w:val="affa"/>
          <w:rFonts w:hint="cs"/>
          <w:rtl/>
        </w:rPr>
        <w:t>דהתוס'</w:t>
      </w:r>
      <w:r>
        <w:rPr>
          <w:rFonts w:hint="cs"/>
          <w:rtl/>
        </w:rPr>
        <w:t xml:space="preserve"> כתבו כן רק לדעת ר"א ב"ר ינאי.</w:t>
      </w:r>
    </w:p>
  </w:footnote>
  <w:footnote w:id="6">
    <w:p w14:paraId="0C698C5F" w14:textId="77777777" w:rsidR="00345400" w:rsidRDefault="00345400" w:rsidP="009E6908">
      <w:pPr>
        <w:pStyle w:val="af"/>
        <w:rPr>
          <w:rtl/>
        </w:rPr>
      </w:pPr>
      <w:r>
        <w:rPr>
          <w:rStyle w:val="af1"/>
        </w:rPr>
        <w:footnoteRef/>
      </w:r>
      <w:r>
        <w:rPr>
          <w:rtl/>
        </w:rPr>
        <w:t xml:space="preserve"> </w:t>
      </w:r>
      <w:r>
        <w:rPr>
          <w:rStyle w:val="affa"/>
          <w:rFonts w:hint="cs"/>
          <w:rtl/>
        </w:rPr>
        <w:t>גמ</w:t>
      </w:r>
      <w:r w:rsidRPr="00E15D0F">
        <w:rPr>
          <w:rStyle w:val="affa"/>
          <w:rFonts w:hint="cs"/>
          <w:rtl/>
        </w:rPr>
        <w:t>'</w:t>
      </w:r>
      <w:r w:rsidRPr="00E15D0F">
        <w:rPr>
          <w:rStyle w:val="affa"/>
          <w:rtl/>
        </w:rPr>
        <w:t xml:space="preserve"> יבמות </w:t>
      </w:r>
      <w:r>
        <w:rPr>
          <w:rStyle w:val="affa"/>
          <w:rFonts w:hint="cs"/>
          <w:rtl/>
        </w:rPr>
        <w:t>דף ל ע"ב:</w:t>
      </w:r>
      <w:r>
        <w:rPr>
          <w:rFonts w:hint="cs"/>
          <w:rtl/>
        </w:rPr>
        <w:t xml:space="preserve"> </w:t>
      </w:r>
      <w:r>
        <w:rPr>
          <w:rtl/>
        </w:rPr>
        <w:t xml:space="preserve">מתני'. וכולן </w:t>
      </w:r>
      <w:r w:rsidRPr="00E66095">
        <w:rPr>
          <w:rStyle w:val="aff6"/>
          <w:rFonts w:hint="cs"/>
          <w:rtl/>
        </w:rPr>
        <w:t>(</w:t>
      </w:r>
      <w:r w:rsidRPr="00E66095">
        <w:rPr>
          <w:rStyle w:val="aff6"/>
          <w:rtl/>
        </w:rPr>
        <w:t>ט"ו עריות</w:t>
      </w:r>
      <w:r w:rsidRPr="00E66095">
        <w:rPr>
          <w:rStyle w:val="aff6"/>
          <w:rFonts w:hint="cs"/>
          <w:rtl/>
        </w:rPr>
        <w:t xml:space="preserve">) </w:t>
      </w:r>
      <w:r>
        <w:rPr>
          <w:rtl/>
        </w:rPr>
        <w:t xml:space="preserve">שהיו בהן </w:t>
      </w:r>
      <w:r w:rsidRPr="00E66095">
        <w:rPr>
          <w:rStyle w:val="aff6"/>
          <w:rFonts w:hint="cs"/>
          <w:rtl/>
        </w:rPr>
        <w:t>(</w:t>
      </w:r>
      <w:r w:rsidRPr="00E66095">
        <w:rPr>
          <w:rStyle w:val="aff6"/>
          <w:rtl/>
        </w:rPr>
        <w:t>לאחיו המת</w:t>
      </w:r>
      <w:r w:rsidRPr="00E66095">
        <w:rPr>
          <w:rStyle w:val="aff6"/>
          <w:rFonts w:hint="cs"/>
          <w:rtl/>
        </w:rPr>
        <w:t>)</w:t>
      </w:r>
      <w:r>
        <w:rPr>
          <w:rtl/>
        </w:rPr>
        <w:t xml:space="preserve"> קדושין או גרושין בספק</w:t>
      </w:r>
      <w:r w:rsidRPr="00E66095">
        <w:rPr>
          <w:rtl/>
        </w:rPr>
        <w:t xml:space="preserve"> </w:t>
      </w:r>
      <w:r>
        <w:rPr>
          <w:rStyle w:val="aff6"/>
          <w:rFonts w:hint="cs"/>
          <w:rtl/>
        </w:rPr>
        <w:t>(</w:t>
      </w:r>
      <w:r w:rsidRPr="00E66095">
        <w:rPr>
          <w:rStyle w:val="aff6"/>
          <w:rtl/>
        </w:rPr>
        <w:t>הויא צרתה ספק צרת ערוה דלמא איגרשה ערוה ולגבי קידושין דלמא לא מיקדשה</w:t>
      </w:r>
      <w:r>
        <w:rPr>
          <w:rStyle w:val="aff6"/>
          <w:rFonts w:hint="cs"/>
          <w:rtl/>
        </w:rPr>
        <w:t>)</w:t>
      </w:r>
      <w:r>
        <w:rPr>
          <w:rtl/>
        </w:rPr>
        <w:t>, הרי אלו הצרות חולצות</w:t>
      </w:r>
      <w:r w:rsidRPr="00007BF4">
        <w:rPr>
          <w:rStyle w:val="aff6"/>
          <w:rtl/>
        </w:rPr>
        <w:t xml:space="preserve"> </w:t>
      </w:r>
      <w:r>
        <w:rPr>
          <w:rStyle w:val="aff6"/>
          <w:rFonts w:hint="cs"/>
          <w:rtl/>
        </w:rPr>
        <w:t>(</w:t>
      </w:r>
      <w:r w:rsidRPr="002521F5">
        <w:rPr>
          <w:rStyle w:val="aff6"/>
          <w:rtl/>
        </w:rPr>
        <w:t>ולא מפטרן בולא כלום דלמא לאו צרת ערוה היא</w:t>
      </w:r>
      <w:r>
        <w:rPr>
          <w:rStyle w:val="aff6"/>
          <w:rFonts w:hint="cs"/>
          <w:rtl/>
        </w:rPr>
        <w:t>)</w:t>
      </w:r>
      <w:r>
        <w:rPr>
          <w:rtl/>
        </w:rPr>
        <w:t xml:space="preserve"> ולא מתייבמות</w:t>
      </w:r>
      <w:r w:rsidRPr="00E66095">
        <w:rPr>
          <w:rtl/>
        </w:rPr>
        <w:t xml:space="preserve"> </w:t>
      </w:r>
      <w:r>
        <w:rPr>
          <w:rStyle w:val="aff6"/>
          <w:rFonts w:hint="cs"/>
          <w:rtl/>
        </w:rPr>
        <w:t>(</w:t>
      </w:r>
      <w:r w:rsidRPr="002521F5">
        <w:rPr>
          <w:rStyle w:val="aff6"/>
          <w:rtl/>
        </w:rPr>
        <w:t>דלמא צרת ערוה היא</w:t>
      </w:r>
      <w:r>
        <w:rPr>
          <w:rStyle w:val="aff6"/>
          <w:rFonts w:hint="cs"/>
          <w:rtl/>
        </w:rPr>
        <w:t>)</w:t>
      </w:r>
      <w:r>
        <w:rPr>
          <w:rtl/>
        </w:rPr>
        <w:t xml:space="preserve">. כיצד ספק קדושין </w:t>
      </w:r>
      <w:r>
        <w:rPr>
          <w:rFonts w:hint="cs"/>
          <w:rtl/>
        </w:rPr>
        <w:t>ז</w:t>
      </w:r>
      <w:r>
        <w:rPr>
          <w:rtl/>
        </w:rPr>
        <w:t>רק לה קדושין ספק קרוב לו ספק קרוב לה</w:t>
      </w:r>
      <w:r>
        <w:rPr>
          <w:rStyle w:val="aff6"/>
          <w:rFonts w:hint="cs"/>
          <w:rtl/>
        </w:rPr>
        <w:t xml:space="preserve"> (</w:t>
      </w:r>
      <w:r w:rsidRPr="007D0FDE">
        <w:rPr>
          <w:rStyle w:val="aff6"/>
          <w:rtl/>
        </w:rPr>
        <w:t>שהיו ח' אמות מצומצמות ביניהן בר"ה וד' אמות קונות שם וזרקו ספק בד' אמות הקרוב לה ספק בד' אמות הקרוב לו</w:t>
      </w:r>
      <w:r>
        <w:rPr>
          <w:rStyle w:val="aff6"/>
          <w:rFonts w:hint="cs"/>
          <w:rtl/>
        </w:rPr>
        <w:t>)</w:t>
      </w:r>
      <w:r>
        <w:rPr>
          <w:rtl/>
        </w:rPr>
        <w:t xml:space="preserve"> זהו ספק קדושין. ספק גרושין כתב בכתב ידו ואין עליו עדים</w:t>
      </w:r>
      <w:r w:rsidRPr="007D0FDE">
        <w:rPr>
          <w:rtl/>
        </w:rPr>
        <w:t xml:space="preserve"> </w:t>
      </w:r>
      <w:r>
        <w:rPr>
          <w:rStyle w:val="aff6"/>
          <w:rFonts w:hint="cs"/>
          <w:rtl/>
        </w:rPr>
        <w:t>(</w:t>
      </w:r>
      <w:r w:rsidRPr="007D0FDE">
        <w:rPr>
          <w:rStyle w:val="aff6"/>
          <w:rtl/>
        </w:rPr>
        <w:t>דקי"ל הוציא עליו כתב ידו שהוא חייב לו גובה מנכסים בני חורין אלמא כתב ידו בלא עדים מילתא היא</w:t>
      </w:r>
      <w:r>
        <w:rPr>
          <w:rStyle w:val="aff6"/>
          <w:rFonts w:hint="cs"/>
          <w:rtl/>
        </w:rPr>
        <w:t>)</w:t>
      </w:r>
      <w:r>
        <w:rPr>
          <w:rtl/>
        </w:rPr>
        <w:t xml:space="preserve">, יש עליו עדים ואין בו זמן, יש בו זמן ואין בו אלא עד אחד זהו ספק גרושין. </w:t>
      </w:r>
    </w:p>
    <w:p w14:paraId="483AD55A" w14:textId="77777777" w:rsidR="00345400" w:rsidRDefault="00345400" w:rsidP="009E6908">
      <w:pPr>
        <w:pStyle w:val="af"/>
        <w:rPr>
          <w:rtl/>
        </w:rPr>
      </w:pPr>
      <w:r>
        <w:rPr>
          <w:rtl/>
        </w:rPr>
        <w:t>גמ'. ואילו בגרושין ספק קרוב לו ספק קרוב לה לא קתני</w:t>
      </w:r>
      <w:r w:rsidRPr="005C01EA">
        <w:rPr>
          <w:rtl/>
        </w:rPr>
        <w:t xml:space="preserve"> </w:t>
      </w:r>
      <w:r>
        <w:rPr>
          <w:rStyle w:val="aff6"/>
          <w:rFonts w:hint="cs"/>
          <w:rtl/>
        </w:rPr>
        <w:t>(</w:t>
      </w:r>
      <w:r w:rsidRPr="005C01EA">
        <w:rPr>
          <w:rStyle w:val="aff6"/>
          <w:rtl/>
        </w:rPr>
        <w:t>דהתם אפי' חליצה נמי לא בעיא צרתה מ"ט</w:t>
      </w:r>
      <w:r>
        <w:rPr>
          <w:rStyle w:val="aff6"/>
          <w:rFonts w:hint="cs"/>
          <w:rtl/>
        </w:rPr>
        <w:t>)</w:t>
      </w:r>
      <w:r>
        <w:rPr>
          <w:rtl/>
        </w:rPr>
        <w:t>, מאי טעמא</w:t>
      </w:r>
      <w:r>
        <w:rPr>
          <w:rFonts w:hint="cs"/>
          <w:rtl/>
        </w:rPr>
        <w:t>,</w:t>
      </w:r>
      <w:r>
        <w:rPr>
          <w:rtl/>
        </w:rPr>
        <w:t xml:space="preserve"> אמר רבה אשה זו בחזקת היתר לשוק עומדת</w:t>
      </w:r>
      <w:r w:rsidRPr="005C01EA">
        <w:rPr>
          <w:rtl/>
        </w:rPr>
        <w:t xml:space="preserve"> </w:t>
      </w:r>
      <w:r>
        <w:rPr>
          <w:rStyle w:val="aff6"/>
          <w:rFonts w:hint="cs"/>
          <w:rtl/>
        </w:rPr>
        <w:t>(</w:t>
      </w:r>
      <w:r w:rsidRPr="005C01EA">
        <w:rPr>
          <w:rStyle w:val="aff6"/>
          <w:rtl/>
        </w:rPr>
        <w:t>קודם לכן אם ימות בעלה שהרי צרת ערוה היא</w:t>
      </w:r>
      <w:r>
        <w:rPr>
          <w:rStyle w:val="aff6"/>
          <w:rFonts w:hint="cs"/>
          <w:rtl/>
        </w:rPr>
        <w:t>)</w:t>
      </w:r>
      <w:r>
        <w:rPr>
          <w:rtl/>
        </w:rPr>
        <w:t>, ומספק אתה בא לאוסרה</w:t>
      </w:r>
      <w:r w:rsidRPr="005C01EA">
        <w:rPr>
          <w:rtl/>
        </w:rPr>
        <w:t xml:space="preserve"> </w:t>
      </w:r>
      <w:r>
        <w:rPr>
          <w:rStyle w:val="aff6"/>
          <w:rFonts w:hint="cs"/>
          <w:rtl/>
        </w:rPr>
        <w:t>(</w:t>
      </w:r>
      <w:r w:rsidRPr="005C01EA">
        <w:rPr>
          <w:rStyle w:val="aff6"/>
          <w:rtl/>
        </w:rPr>
        <w:t>שמא נתגרשה הערוה</w:t>
      </w:r>
      <w:r>
        <w:rPr>
          <w:rStyle w:val="aff6"/>
          <w:rFonts w:hint="cs"/>
          <w:rtl/>
        </w:rPr>
        <w:t>)</w:t>
      </w:r>
      <w:r>
        <w:rPr>
          <w:rtl/>
        </w:rPr>
        <w:t>, אל תאסרנה מספק</w:t>
      </w:r>
      <w:r w:rsidRPr="00290E59">
        <w:rPr>
          <w:rtl/>
        </w:rPr>
        <w:t xml:space="preserve"> </w:t>
      </w:r>
      <w:r>
        <w:rPr>
          <w:rStyle w:val="aff6"/>
          <w:rFonts w:hint="cs"/>
          <w:rtl/>
        </w:rPr>
        <w:t>(</w:t>
      </w:r>
      <w:r w:rsidRPr="00290E59">
        <w:rPr>
          <w:rStyle w:val="aff6"/>
          <w:rtl/>
        </w:rPr>
        <w:t>אבל בהנך ג' גיטין לאו מספק אסרינן לה דהא גיטא הוא אלא שאין מן המובחר</w:t>
      </w:r>
      <w:r>
        <w:rPr>
          <w:rStyle w:val="aff6"/>
          <w:rFonts w:hint="cs"/>
          <w:rtl/>
        </w:rPr>
        <w:t>)</w:t>
      </w:r>
      <w:r>
        <w:rPr>
          <w:rtl/>
        </w:rPr>
        <w:t>. אמר ליה אביי</w:t>
      </w:r>
      <w:r>
        <w:rPr>
          <w:rFonts w:hint="cs"/>
          <w:rtl/>
        </w:rPr>
        <w:t xml:space="preserve"> </w:t>
      </w:r>
      <w:r>
        <w:rPr>
          <w:rtl/>
        </w:rPr>
        <w:t>אי הכי, בקדושין נמי נימא: אשה זו בחזקת היתר ליבם עומדת, ומספק אתה בא לאוסרה, אל תאסרנה מספק</w:t>
      </w:r>
      <w:r w:rsidRPr="00290E59">
        <w:rPr>
          <w:rtl/>
        </w:rPr>
        <w:t xml:space="preserve"> </w:t>
      </w:r>
      <w:r>
        <w:rPr>
          <w:rStyle w:val="aff6"/>
          <w:rFonts w:hint="cs"/>
          <w:rtl/>
        </w:rPr>
        <w:t>(</w:t>
      </w:r>
      <w:r w:rsidRPr="00290E59">
        <w:rPr>
          <w:rStyle w:val="aff6"/>
          <w:rtl/>
        </w:rPr>
        <w:t xml:space="preserve">אמאי אסרינן לה לייבומי לימא אשה זו קודם שקידש בעלה את בת אחיו בחזקת היתר ליבום עומדת כשימות ומספק אתה בא </w:t>
      </w:r>
      <w:r>
        <w:rPr>
          <w:rStyle w:val="aff6"/>
          <w:rFonts w:hint="cs"/>
          <w:rtl/>
        </w:rPr>
        <w:t>ו</w:t>
      </w:r>
      <w:r w:rsidRPr="00290E59">
        <w:rPr>
          <w:rStyle w:val="aff6"/>
          <w:rtl/>
        </w:rPr>
        <w:t>כו</w:t>
      </w:r>
      <w:r>
        <w:rPr>
          <w:rStyle w:val="aff6"/>
          <w:rFonts w:hint="cs"/>
          <w:rtl/>
        </w:rPr>
        <w:t>')</w:t>
      </w:r>
      <w:r>
        <w:rPr>
          <w:rtl/>
        </w:rPr>
        <w:t xml:space="preserve"> התם לחומרא</w:t>
      </w:r>
      <w:r w:rsidRPr="00290E59">
        <w:rPr>
          <w:rtl/>
        </w:rPr>
        <w:t xml:space="preserve"> </w:t>
      </w:r>
      <w:r w:rsidRPr="00290E59">
        <w:rPr>
          <w:rStyle w:val="aff6"/>
          <w:rFonts w:hint="cs"/>
          <w:rtl/>
        </w:rPr>
        <w:t>(</w:t>
      </w:r>
      <w:r w:rsidRPr="00290E59">
        <w:rPr>
          <w:rStyle w:val="aff6"/>
          <w:rtl/>
        </w:rPr>
        <w:t>שנויא הוא</w:t>
      </w:r>
      <w:r w:rsidRPr="00290E59">
        <w:rPr>
          <w:rStyle w:val="aff6"/>
          <w:rFonts w:hint="cs"/>
          <w:rtl/>
        </w:rPr>
        <w:t xml:space="preserve"> – רש"י)</w:t>
      </w:r>
      <w:r>
        <w:rPr>
          <w:rtl/>
        </w:rPr>
        <w:t>.</w:t>
      </w:r>
    </w:p>
  </w:footnote>
  <w:footnote w:id="7">
    <w:p w14:paraId="1417CA6B" w14:textId="77777777" w:rsidR="00345400" w:rsidRDefault="00345400" w:rsidP="00852065">
      <w:pPr>
        <w:pStyle w:val="af"/>
        <w:rPr>
          <w:rtl/>
        </w:rPr>
      </w:pPr>
      <w:r>
        <w:rPr>
          <w:rStyle w:val="af1"/>
        </w:rPr>
        <w:footnoteRef/>
      </w:r>
      <w:r>
        <w:rPr>
          <w:rtl/>
        </w:rPr>
        <w:t xml:space="preserve"> </w:t>
      </w:r>
      <w:r w:rsidRPr="00753BC9">
        <w:rPr>
          <w:rStyle w:val="affa"/>
          <w:rtl/>
        </w:rPr>
        <w:t>ובתוס' ישנים ביבמות</w:t>
      </w:r>
      <w:r w:rsidRPr="002600CB">
        <w:rPr>
          <w:rtl/>
        </w:rPr>
        <w:t xml:space="preserve"> </w:t>
      </w:r>
      <w:r w:rsidRPr="00753BC9">
        <w:rPr>
          <w:rStyle w:val="aff6"/>
          <w:rtl/>
        </w:rPr>
        <w:t>(ל: ד"ה בחזקת)</w:t>
      </w:r>
      <w:r w:rsidRPr="002600CB">
        <w:rPr>
          <w:rtl/>
        </w:rPr>
        <w:t xml:space="preserve"> תירצו דבספק צרת ערוה לא מוקמינן לה בחזקת אשת איש, כיון שסופו למות והוא מת, ולכן חשיב שהאשה בחזקת היתר לשוק. אבל בספק דרוסה אף שיש לה חזקת היתר דסופה להשחט,  מ"מ אפש"ל דחיישינן שמא תמות הבהמה, ולא תשחט. </w:t>
      </w:r>
      <w:r>
        <w:rPr>
          <w:rtl/>
        </w:rPr>
        <w:t>ו</w:t>
      </w:r>
      <w:r>
        <w:rPr>
          <w:rFonts w:hint="cs"/>
          <w:rtl/>
        </w:rPr>
        <w:t xml:space="preserve">ביאר </w:t>
      </w:r>
      <w:r w:rsidRPr="00753BC9">
        <w:rPr>
          <w:rStyle w:val="affa"/>
          <w:rtl/>
        </w:rPr>
        <w:t>רבי ראובן</w:t>
      </w:r>
      <w:r>
        <w:rPr>
          <w:rtl/>
        </w:rPr>
        <w:t xml:space="preserve"> </w:t>
      </w:r>
      <w:r w:rsidRPr="00753BC9">
        <w:rPr>
          <w:rStyle w:val="aff6"/>
          <w:rtl/>
        </w:rPr>
        <w:t>(יבמות סי' כ"ז אות ד')</w:t>
      </w:r>
      <w:r>
        <w:rPr>
          <w:rtl/>
        </w:rPr>
        <w:t xml:space="preserve"> </w:t>
      </w:r>
      <w:r>
        <w:rPr>
          <w:rFonts w:hint="cs"/>
          <w:rtl/>
        </w:rPr>
        <w:t xml:space="preserve">את דברי </w:t>
      </w:r>
      <w:r w:rsidRPr="00753BC9">
        <w:rPr>
          <w:rStyle w:val="affa"/>
          <w:rFonts w:hint="cs"/>
          <w:rtl/>
        </w:rPr>
        <w:t>התוס' ישנים</w:t>
      </w:r>
      <w:r>
        <w:rPr>
          <w:rFonts w:hint="cs"/>
          <w:rtl/>
        </w:rPr>
        <w:t xml:space="preserve"> </w:t>
      </w:r>
      <w:r>
        <w:rPr>
          <w:rtl/>
        </w:rPr>
        <w:t xml:space="preserve">עפ"י ביאורו בדעת </w:t>
      </w:r>
      <w:r w:rsidRPr="0017159D">
        <w:rPr>
          <w:rStyle w:val="affa"/>
          <w:rtl/>
        </w:rPr>
        <w:t xml:space="preserve">התוס' </w:t>
      </w:r>
      <w:r w:rsidRPr="005811EA">
        <w:rPr>
          <w:rStyle w:val="aff6"/>
          <w:rFonts w:hint="cs"/>
          <w:rtl/>
        </w:rPr>
        <w:t xml:space="preserve">(עי' אות </w:t>
      </w:r>
      <w:r w:rsidRPr="005811EA">
        <w:rPr>
          <w:rStyle w:val="aff6"/>
          <w:rtl/>
        </w:rPr>
        <w:fldChar w:fldCharType="begin"/>
      </w:r>
      <w:r w:rsidRPr="005811EA">
        <w:rPr>
          <w:rStyle w:val="aff6"/>
          <w:rtl/>
        </w:rPr>
        <w:instrText xml:space="preserve"> </w:instrText>
      </w:r>
      <w:r w:rsidRPr="005811EA">
        <w:rPr>
          <w:rStyle w:val="aff6"/>
          <w:rFonts w:hint="cs"/>
        </w:rPr>
        <w:instrText>REF</w:instrText>
      </w:r>
      <w:r w:rsidRPr="005811EA">
        <w:rPr>
          <w:rStyle w:val="aff6"/>
          <w:rFonts w:hint="cs"/>
          <w:rtl/>
        </w:rPr>
        <w:instrText xml:space="preserve"> _</w:instrText>
      </w:r>
      <w:r w:rsidRPr="005811EA">
        <w:rPr>
          <w:rStyle w:val="aff6"/>
          <w:rFonts w:hint="cs"/>
        </w:rPr>
        <w:instrText>Ref522198656 \r \h</w:instrText>
      </w:r>
      <w:r w:rsidRPr="005811EA">
        <w:rPr>
          <w:rStyle w:val="aff6"/>
          <w:rtl/>
        </w:rPr>
        <w:instrText xml:space="preserve"> </w:instrText>
      </w:r>
      <w:r w:rsidRPr="005811EA">
        <w:rPr>
          <w:rStyle w:val="aff6"/>
          <w:rtl/>
        </w:rPr>
      </w:r>
      <w:r w:rsidRPr="005811EA">
        <w:rPr>
          <w:rStyle w:val="aff6"/>
          <w:rtl/>
        </w:rPr>
        <w:fldChar w:fldCharType="separate"/>
      </w:r>
      <w:r>
        <w:rPr>
          <w:rStyle w:val="aff6"/>
          <w:cs/>
        </w:rPr>
        <w:t>‎</w:t>
      </w:r>
      <w:r>
        <w:rPr>
          <w:rStyle w:val="aff6"/>
          <w:rtl/>
        </w:rPr>
        <w:t>צה)</w:t>
      </w:r>
      <w:r w:rsidRPr="005811EA">
        <w:rPr>
          <w:rStyle w:val="aff6"/>
          <w:rtl/>
        </w:rPr>
        <w:fldChar w:fldCharType="end"/>
      </w:r>
      <w:r>
        <w:rPr>
          <w:rFonts w:hint="cs"/>
          <w:rtl/>
        </w:rPr>
        <w:t xml:space="preserve"> </w:t>
      </w:r>
      <w:r>
        <w:rPr>
          <w:rtl/>
        </w:rPr>
        <w:t>דכמו שיש לספק צרת ערוה חזקת היתר על המצב שלאחר מיתת הבעל, כן בספק בשחיטה יש לבהמה חזקת היתר על המצב שלאחר השחיטה.</w:t>
      </w:r>
      <w:r>
        <w:rPr>
          <w:rFonts w:hint="cs"/>
          <w:rtl/>
        </w:rPr>
        <w:t xml:space="preserve"> </w:t>
      </w:r>
      <w:r>
        <w:rPr>
          <w:rtl/>
        </w:rPr>
        <w:t xml:space="preserve">אך כתב </w:t>
      </w:r>
      <w:r w:rsidRPr="00753BC9">
        <w:rPr>
          <w:rStyle w:val="affa"/>
          <w:rtl/>
        </w:rPr>
        <w:t>רבי ראובן</w:t>
      </w:r>
      <w:r>
        <w:rPr>
          <w:rtl/>
        </w:rPr>
        <w:t xml:space="preserve"> דמ"מ ס"ל </w:t>
      </w:r>
      <w:r w:rsidRPr="00753BC9">
        <w:rPr>
          <w:rStyle w:val="affa"/>
          <w:rtl/>
        </w:rPr>
        <w:t>להתוס' ישנים</w:t>
      </w:r>
      <w:r>
        <w:rPr>
          <w:rtl/>
        </w:rPr>
        <w:t xml:space="preserve"> דהא דבספק צרת ערוה יש לה חזקת היתר לאחר שימות הבעל, הוא כיון שסופו למות, והחיים הם מצב זמני, אבל בספק בשחיטה שאין ודאי סופה להשחטה לא שייך לומר שיש לה חזקה מעכשיו, על תנאי שאם תשחט תהיה מותרת.</w:t>
      </w:r>
    </w:p>
  </w:footnote>
  <w:footnote w:id="8">
    <w:p w14:paraId="6FBD33D9" w14:textId="77777777" w:rsidR="00345400" w:rsidRDefault="00345400" w:rsidP="00852065">
      <w:pPr>
        <w:pStyle w:val="af"/>
      </w:pPr>
      <w:r>
        <w:rPr>
          <w:rStyle w:val="af1"/>
        </w:rPr>
        <w:footnoteRef/>
      </w:r>
      <w:r>
        <w:rPr>
          <w:rtl/>
        </w:rPr>
        <w:t xml:space="preserve"> </w:t>
      </w:r>
      <w:r w:rsidRPr="00DC3232">
        <w:rPr>
          <w:rtl/>
        </w:rPr>
        <w:t xml:space="preserve">ובמה שכתב </w:t>
      </w:r>
      <w:r w:rsidRPr="00DC3232">
        <w:rPr>
          <w:rStyle w:val="affa"/>
          <w:rtl/>
        </w:rPr>
        <w:t>הרשב"א ביבמות</w:t>
      </w:r>
      <w:r w:rsidRPr="00DC3232">
        <w:rPr>
          <w:rtl/>
        </w:rPr>
        <w:t xml:space="preserve"> </w:t>
      </w:r>
      <w:r w:rsidRPr="00FC4CB0">
        <w:rPr>
          <w:rStyle w:val="aff6"/>
          <w:rtl/>
        </w:rPr>
        <w:t xml:space="preserve">(עי' אות </w:t>
      </w:r>
      <w:r w:rsidRPr="00FC4CB0">
        <w:rPr>
          <w:rStyle w:val="aff6"/>
          <w:rtl/>
        </w:rPr>
        <w:fldChar w:fldCharType="begin"/>
      </w:r>
      <w:r w:rsidRPr="00FC4CB0">
        <w:rPr>
          <w:rStyle w:val="aff6"/>
          <w:rtl/>
        </w:rPr>
        <w:instrText xml:space="preserve"> </w:instrText>
      </w:r>
      <w:r w:rsidRPr="00FC4CB0">
        <w:rPr>
          <w:rStyle w:val="aff6"/>
        </w:rPr>
        <w:instrText>REF</w:instrText>
      </w:r>
      <w:r w:rsidRPr="00FC4CB0">
        <w:rPr>
          <w:rStyle w:val="aff6"/>
          <w:rtl/>
        </w:rPr>
        <w:instrText xml:space="preserve"> _</w:instrText>
      </w:r>
      <w:r w:rsidRPr="00FC4CB0">
        <w:rPr>
          <w:rStyle w:val="aff6"/>
        </w:rPr>
        <w:instrText>Ref522200671 \r \h</w:instrText>
      </w:r>
      <w:r w:rsidRPr="00FC4CB0">
        <w:rPr>
          <w:rStyle w:val="aff6"/>
          <w:rtl/>
        </w:rPr>
        <w:instrText xml:space="preserve"> </w:instrText>
      </w:r>
      <w:r w:rsidRPr="00FC4CB0">
        <w:rPr>
          <w:rStyle w:val="aff6"/>
          <w:rtl/>
        </w:rPr>
      </w:r>
      <w:r w:rsidRPr="00FC4CB0">
        <w:rPr>
          <w:rStyle w:val="aff6"/>
          <w:rtl/>
        </w:rPr>
        <w:fldChar w:fldCharType="separate"/>
      </w:r>
      <w:r>
        <w:rPr>
          <w:rStyle w:val="aff6"/>
          <w:rFonts w:hint="cs"/>
          <w:b/>
          <w:bCs/>
          <w:rtl/>
        </w:rPr>
        <w:t>שגיאה! מקור ההפניה לא נמצא.</w:t>
      </w:r>
      <w:r w:rsidRPr="00FC4CB0">
        <w:rPr>
          <w:rStyle w:val="aff6"/>
          <w:rtl/>
        </w:rPr>
        <w:fldChar w:fldCharType="end"/>
      </w:r>
      <w:r w:rsidRPr="00DC3232">
        <w:rPr>
          <w:rtl/>
        </w:rPr>
        <w:t xml:space="preserve"> דה"ה בספק קידושין, [היינו בספק אם נתקדשה הערוה למת</w:t>
      </w:r>
      <w:r>
        <w:rPr>
          <w:rFonts w:hint="cs"/>
          <w:rtl/>
        </w:rPr>
        <w:t>,</w:t>
      </w:r>
      <w:r w:rsidRPr="00DC3232">
        <w:rPr>
          <w:rtl/>
        </w:rPr>
        <w:t xml:space="preserve"> וע"י הקידושין נאסרה צרתה ליבם], ביאר </w:t>
      </w:r>
      <w:r w:rsidRPr="00DC3232">
        <w:rPr>
          <w:rStyle w:val="affa"/>
          <w:rtl/>
        </w:rPr>
        <w:t>השער"י</w:t>
      </w:r>
      <w:r w:rsidRPr="00DC3232">
        <w:rPr>
          <w:rtl/>
        </w:rPr>
        <w:t xml:space="preserve"> דסיבת ההיתר ליבם היא סיבה ודאית, ולכן מעמידים עושה בחזקת היתר, דאף שאם נימא דהערוה נתקדשה, עדיין הסיבה המתרת לא נגרעה כלל, דקברו של המת מוכיח עליו, אלא דמספקינן אם סיבה אחרת לאוסרה ע"י קידושי הערוה, ולכן בספק קידושין היא בחזקת היתר.</w:t>
      </w:r>
    </w:p>
  </w:footnote>
  <w:footnote w:id="9">
    <w:p w14:paraId="487B08E3" w14:textId="77777777" w:rsidR="00345400" w:rsidRDefault="00345400" w:rsidP="00852065">
      <w:pPr>
        <w:pStyle w:val="af"/>
        <w:rPr>
          <w:rtl/>
        </w:rPr>
      </w:pPr>
      <w:r>
        <w:rPr>
          <w:rStyle w:val="af1"/>
        </w:rPr>
        <w:footnoteRef/>
      </w:r>
      <w:r>
        <w:rPr>
          <w:rtl/>
        </w:rPr>
        <w:t xml:space="preserve"> </w:t>
      </w:r>
      <w:r>
        <w:rPr>
          <w:rFonts w:hint="cs"/>
          <w:rtl/>
        </w:rPr>
        <w:t xml:space="preserve">וכתב </w:t>
      </w:r>
      <w:r w:rsidRPr="00CF2498">
        <w:rPr>
          <w:rStyle w:val="affa"/>
          <w:rFonts w:hint="cs"/>
          <w:rtl/>
        </w:rPr>
        <w:t>בחו"ש הגרב"ב</w:t>
      </w:r>
      <w:r>
        <w:rPr>
          <w:rFonts w:hint="cs"/>
          <w:rtl/>
        </w:rPr>
        <w:t xml:space="preserve"> דלא דמי לגמ' בכתובות </w:t>
      </w:r>
      <w:r w:rsidRPr="00CF2498">
        <w:rPr>
          <w:rStyle w:val="aff6"/>
          <w:rFonts w:hint="cs"/>
          <w:rtl/>
        </w:rPr>
        <w:t xml:space="preserve">(יג:) </w:t>
      </w:r>
      <w:r>
        <w:rPr>
          <w:rFonts w:hint="cs"/>
          <w:rtl/>
        </w:rPr>
        <w:t>למאן דמכשיר בה מכשיר בבתה, דבספק חללה החזקה שמעמידים את האם בחזקת היתר דהבועל היה כשר, מהני גם לבת דזה גופא הספק גם בבת מי היה הבועל, וכיון דלענין האם אמרינן מחמת החזקה דהבועל היה כשר, ממילא מהני גם לבת, אבל בערוה הספק אם נתגרשה הוא לענין אשת איש, והספק של הצרה הוא בדיני יבום ואינו שייך לנדון של האשת איש. וא"א לומר דכיון שמוקמינן לערוה בחזקת אשת איש ממילא הצרה היא בחזקת צרת ערוה דנימא שודאי נפלה עם הערוה ליבום.</w:t>
      </w:r>
    </w:p>
  </w:footnote>
  <w:footnote w:id="10">
    <w:p w14:paraId="3310CC73" w14:textId="77777777" w:rsidR="00345400" w:rsidRDefault="00345400" w:rsidP="00852065">
      <w:pPr>
        <w:pStyle w:val="af"/>
        <w:rPr>
          <w:rtl/>
        </w:rPr>
      </w:pPr>
      <w:r>
        <w:rPr>
          <w:rStyle w:val="af1"/>
        </w:rPr>
        <w:footnoteRef/>
      </w:r>
      <w:r>
        <w:rPr>
          <w:rtl/>
        </w:rPr>
        <w:t xml:space="preserve"> </w:t>
      </w:r>
      <w:r>
        <w:rPr>
          <w:rFonts w:hint="cs"/>
          <w:rtl/>
        </w:rPr>
        <w:t xml:space="preserve">אך הוסיף </w:t>
      </w:r>
      <w:r w:rsidRPr="007C14CE">
        <w:rPr>
          <w:rStyle w:val="affa"/>
          <w:rFonts w:hint="cs"/>
          <w:rtl/>
        </w:rPr>
        <w:t>בחו"ש הגרב"ב</w:t>
      </w:r>
      <w:r>
        <w:rPr>
          <w:rFonts w:hint="cs"/>
          <w:rtl/>
        </w:rPr>
        <w:t xml:space="preserve"> דאפש"ל </w:t>
      </w:r>
      <w:r w:rsidRPr="00CE7360">
        <w:rPr>
          <w:rtl/>
        </w:rPr>
        <w:t xml:space="preserve">שחזקת אשת איש שיש לערוה, מבררת לגמרי שלא נתגרשה הערוה כלל, דכיון שאינו חזקת דין אלא החזקה מבררת, שלא הייתה כל ריעותא בגירושין, לכן מהני אף לצרה דהיא בחזקת שנפלה יחד עם הערוה, אף שהספק בצרת ערוה אינו שייך כלל לספק אשת איש שבערוה, אך כתב </w:t>
      </w:r>
      <w:r w:rsidRPr="007C14CE">
        <w:rPr>
          <w:rStyle w:val="affa"/>
          <w:rtl/>
        </w:rPr>
        <w:t>בחו"ש הגרב"ב</w:t>
      </w:r>
      <w:r w:rsidRPr="00CE7360">
        <w:rPr>
          <w:rtl/>
        </w:rPr>
        <w:t xml:space="preserve"> דצ"ע אם אפש"ל כן, כיון שהחזקה היא רק לערוה ולא לצרה.</w:t>
      </w:r>
    </w:p>
  </w:footnote>
  <w:footnote w:id="11">
    <w:p w14:paraId="26802568" w14:textId="77777777" w:rsidR="00345400" w:rsidRDefault="00345400" w:rsidP="00852065">
      <w:pPr>
        <w:pStyle w:val="af"/>
        <w:rPr>
          <w:rtl/>
        </w:rPr>
      </w:pPr>
      <w:r>
        <w:rPr>
          <w:rStyle w:val="af1"/>
        </w:rPr>
        <w:footnoteRef/>
      </w:r>
      <w:r>
        <w:rPr>
          <w:rtl/>
        </w:rPr>
        <w:t xml:space="preserve"> </w:t>
      </w:r>
      <w:r w:rsidRPr="00BC4239">
        <w:rPr>
          <w:rStyle w:val="affa"/>
          <w:rtl/>
        </w:rPr>
        <w:t>ובחידושי רבי נחום</w:t>
      </w:r>
      <w:r w:rsidRPr="001547E2">
        <w:rPr>
          <w:rtl/>
        </w:rPr>
        <w:t xml:space="preserve"> </w:t>
      </w:r>
      <w:r w:rsidRPr="00BC4239">
        <w:rPr>
          <w:rStyle w:val="aff6"/>
          <w:rtl/>
        </w:rPr>
        <w:t>(יבמות ל: אות תקכ"ב)</w:t>
      </w:r>
      <w:r w:rsidRPr="001547E2">
        <w:rPr>
          <w:rtl/>
        </w:rPr>
        <w:t xml:space="preserve"> ביאר </w:t>
      </w:r>
      <w:r w:rsidRPr="00BC4239">
        <w:rPr>
          <w:rStyle w:val="affa"/>
          <w:rtl/>
        </w:rPr>
        <w:t>דהתוס' ביבמות</w:t>
      </w:r>
      <w:r w:rsidRPr="001547E2">
        <w:rPr>
          <w:rtl/>
        </w:rPr>
        <w:t xml:space="preserve"> </w:t>
      </w:r>
      <w:r>
        <w:rPr>
          <w:rFonts w:hint="cs"/>
          <w:rtl/>
        </w:rPr>
        <w:t>ס"ל דאין מחזיקין מאיסור לאיסור, ו</w:t>
      </w:r>
      <w:r w:rsidRPr="001547E2">
        <w:rPr>
          <w:rtl/>
        </w:rPr>
        <w:t>הקשו רק בספק דרוסה שאין בה חזקת איסור, והאיסור בספק דרוסה הוא מדין ספק דאו' לחומרא, וא"כ היאך אמר רבה ביבמות דבספק צרת ערוה היא בחזקת היתר לשוק לאחר שימות בעלה, ובספק דרוסה לא אמרינן דהיא בחזקת היתר לכשתשחט.</w:t>
      </w:r>
    </w:p>
  </w:footnote>
  <w:footnote w:id="12">
    <w:p w14:paraId="1D27C127" w14:textId="77777777" w:rsidR="00345400" w:rsidRDefault="00345400" w:rsidP="00852065">
      <w:pPr>
        <w:pStyle w:val="af"/>
        <w:rPr>
          <w:rtl/>
        </w:rPr>
      </w:pPr>
      <w:r>
        <w:rPr>
          <w:rStyle w:val="af1"/>
        </w:rPr>
        <w:footnoteRef/>
      </w:r>
      <w:r>
        <w:rPr>
          <w:rtl/>
        </w:rPr>
        <w:t xml:space="preserve"> </w:t>
      </w:r>
      <w:r w:rsidRPr="00E229BC">
        <w:rPr>
          <w:rtl/>
        </w:rPr>
        <w:t xml:space="preserve">וע"ע </w:t>
      </w:r>
      <w:r w:rsidRPr="00E229BC">
        <w:rPr>
          <w:rStyle w:val="affa"/>
          <w:rtl/>
        </w:rPr>
        <w:t>בחידושי רבי נחום בגיטין</w:t>
      </w:r>
      <w:r w:rsidRPr="00E229BC">
        <w:rPr>
          <w:rtl/>
        </w:rPr>
        <w:t xml:space="preserve"> </w:t>
      </w:r>
      <w:r w:rsidRPr="00E229BC">
        <w:rPr>
          <w:rStyle w:val="aff6"/>
          <w:rtl/>
        </w:rPr>
        <w:t>(ב: אות מ' ד"ה ומצינו)</w:t>
      </w:r>
      <w:r w:rsidRPr="00E229BC">
        <w:rPr>
          <w:rtl/>
        </w:rPr>
        <w:t xml:space="preserve"> דכתב חלק בין דינא דאין מחזיקין מאיסור לאיסור לדינא דאיתחזק איסורא.</w:t>
      </w:r>
    </w:p>
  </w:footnote>
  <w:footnote w:id="13">
    <w:p w14:paraId="1929BBC1" w14:textId="77777777" w:rsidR="00345400" w:rsidRDefault="00345400" w:rsidP="00852065">
      <w:pPr>
        <w:pStyle w:val="af"/>
        <w:rPr>
          <w:rtl/>
        </w:rPr>
      </w:pPr>
      <w:r>
        <w:rPr>
          <w:rStyle w:val="af1"/>
        </w:rPr>
        <w:footnoteRef/>
      </w:r>
      <w:r>
        <w:rPr>
          <w:rtl/>
        </w:rPr>
        <w:t xml:space="preserve"> </w:t>
      </w:r>
      <w:r>
        <w:rPr>
          <w:rFonts w:hint="cs"/>
          <w:rtl/>
        </w:rPr>
        <w:t>נד' גם בספר קובץ ענינים עמ"ס פסחים, חולין, ב"ב.</w:t>
      </w:r>
    </w:p>
  </w:footnote>
  <w:footnote w:id="14">
    <w:p w14:paraId="711492A2" w14:textId="77777777" w:rsidR="00345400" w:rsidRDefault="00345400" w:rsidP="00852065">
      <w:pPr>
        <w:pStyle w:val="af"/>
      </w:pPr>
      <w:r>
        <w:rPr>
          <w:rStyle w:val="af1"/>
        </w:rPr>
        <w:footnoteRef/>
      </w:r>
      <w:r>
        <w:rPr>
          <w:rtl/>
        </w:rPr>
        <w:t xml:space="preserve"> </w:t>
      </w:r>
      <w:r>
        <w:rPr>
          <w:rFonts w:hint="cs"/>
          <w:rtl/>
        </w:rPr>
        <w:t xml:space="preserve">ויעוי' בדברי </w:t>
      </w:r>
      <w:r w:rsidRPr="005F55BF">
        <w:rPr>
          <w:rStyle w:val="affa"/>
          <w:rFonts w:hint="cs"/>
          <w:rtl/>
        </w:rPr>
        <w:t>הרשב"א בתוה"ב</w:t>
      </w:r>
      <w:r>
        <w:rPr>
          <w:rFonts w:hint="cs"/>
          <w:rtl/>
        </w:rPr>
        <w:t xml:space="preserve"> </w:t>
      </w:r>
      <w:r w:rsidRPr="005F55BF">
        <w:rPr>
          <w:rStyle w:val="aff6"/>
          <w:rFonts w:hint="cs"/>
          <w:rtl/>
        </w:rPr>
        <w:t>(</w:t>
      </w:r>
      <w:r w:rsidRPr="005F55BF">
        <w:rPr>
          <w:rStyle w:val="aff6"/>
          <w:rtl/>
        </w:rPr>
        <w:t>ב</w:t>
      </w:r>
      <w:r w:rsidRPr="005F55BF">
        <w:rPr>
          <w:rStyle w:val="aff6"/>
          <w:rFonts w:hint="cs"/>
          <w:rtl/>
        </w:rPr>
        <w:t>'</w:t>
      </w:r>
      <w:r w:rsidRPr="005F55BF">
        <w:rPr>
          <w:rStyle w:val="aff6"/>
          <w:rtl/>
        </w:rPr>
        <w:t xml:space="preserve"> ג</w:t>
      </w:r>
      <w:r w:rsidRPr="005F55BF">
        <w:rPr>
          <w:rStyle w:val="aff6"/>
          <w:rFonts w:hint="cs"/>
          <w:rtl/>
        </w:rPr>
        <w:t>' ד"ה הכרס הפנימית סוף דף לח:)</w:t>
      </w:r>
      <w:r>
        <w:rPr>
          <w:rFonts w:hint="cs"/>
          <w:rtl/>
        </w:rPr>
        <w:t xml:space="preserve"> דמשמע מדבריו דהתליה בזאב היא מדין רוב, וכתב דאזלינן בתר רובא רק במקום שיש במה לתלות כזאב, או בידא דטבחא וכדו'.</w:t>
      </w:r>
    </w:p>
  </w:footnote>
  <w:footnote w:id="15">
    <w:p w14:paraId="3D4A418B" w14:textId="77777777" w:rsidR="00345400" w:rsidRDefault="00345400" w:rsidP="00852065">
      <w:pPr>
        <w:pStyle w:val="af"/>
        <w:rPr>
          <w:rtl/>
        </w:rPr>
      </w:pPr>
      <w:r>
        <w:rPr>
          <w:rStyle w:val="af1"/>
        </w:rPr>
        <w:footnoteRef/>
      </w:r>
      <w:r>
        <w:rPr>
          <w:rtl/>
        </w:rPr>
        <w:t xml:space="preserve"> </w:t>
      </w:r>
      <w:r>
        <w:rPr>
          <w:rFonts w:hint="cs"/>
          <w:rtl/>
        </w:rPr>
        <w:t xml:space="preserve">אך כתב </w:t>
      </w:r>
      <w:r w:rsidRPr="00700F61">
        <w:rPr>
          <w:rStyle w:val="affa"/>
          <w:rFonts w:hint="cs"/>
          <w:rtl/>
        </w:rPr>
        <w:t>הרשב"א</w:t>
      </w:r>
      <w:r>
        <w:rPr>
          <w:rFonts w:hint="cs"/>
          <w:rtl/>
        </w:rPr>
        <w:t xml:space="preserve"> דזה דוקא במקום שיתכן שהבהמה נטרפה סמוך לשחיטה, אבל בסירכא וכדומה שא"א לתלותה בשעת השחיטה, דהגבינות אסורות, כיון שא"א להעמיד את הבהמה על חזקתה, דהא מחיים היא כבר הייתה טריפה ויצאה מחזקתה, ולא ידוע מתי נטרפה ומתי יצאה מחזקתה, וכיון שא"א לתלות בזמן ידוע, היא אסורה למפרע, כמו שמצינו בכתמים</w:t>
      </w:r>
      <w:r w:rsidRPr="00700F61">
        <w:rPr>
          <w:rStyle w:val="aff6"/>
          <w:rFonts w:hint="cs"/>
          <w:rtl/>
        </w:rPr>
        <w:t xml:space="preserve"> (נדה נו.) </w:t>
      </w:r>
      <w:r>
        <w:rPr>
          <w:rFonts w:hint="cs"/>
          <w:rtl/>
        </w:rPr>
        <w:t xml:space="preserve">דבכתם יבש האשה טמאה משעת כיבוס, כיון שא"א לומר שראתה עכשיו, וא"א להעמידה את האשה על חזקתה. ועי' במ"ש בזה </w:t>
      </w:r>
      <w:r w:rsidRPr="005F6F96">
        <w:rPr>
          <w:rStyle w:val="affa"/>
          <w:rFonts w:hint="cs"/>
          <w:rtl/>
        </w:rPr>
        <w:t>הרא"ה בב</w:t>
      </w:r>
      <w:r w:rsidRPr="005F6F96">
        <w:rPr>
          <w:rStyle w:val="affa"/>
          <w:rtl/>
        </w:rPr>
        <w:t>דק הבית</w:t>
      </w:r>
      <w:r w:rsidRPr="00300F62">
        <w:rPr>
          <w:rtl/>
        </w:rPr>
        <w:t xml:space="preserve"> </w:t>
      </w:r>
      <w:r w:rsidRPr="005F6F96">
        <w:rPr>
          <w:rStyle w:val="aff6"/>
          <w:rFonts w:hint="cs"/>
          <w:rtl/>
        </w:rPr>
        <w:t>(</w:t>
      </w:r>
      <w:r w:rsidRPr="005F6F96">
        <w:rPr>
          <w:rStyle w:val="aff6"/>
          <w:rtl/>
        </w:rPr>
        <w:t>ג</w:t>
      </w:r>
      <w:r w:rsidRPr="005F6F96">
        <w:rPr>
          <w:rStyle w:val="aff6"/>
          <w:rFonts w:hint="cs"/>
          <w:rtl/>
        </w:rPr>
        <w:t xml:space="preserve">' </w:t>
      </w:r>
      <w:r w:rsidRPr="005F6F96">
        <w:rPr>
          <w:rStyle w:val="aff6"/>
          <w:rtl/>
        </w:rPr>
        <w:t>ו</w:t>
      </w:r>
      <w:r w:rsidRPr="005F6F96">
        <w:rPr>
          <w:rStyle w:val="aff6"/>
          <w:rFonts w:hint="cs"/>
          <w:rtl/>
        </w:rPr>
        <w:t>' ד"ה עוד כתב דף צא.)</w:t>
      </w:r>
      <w:r>
        <w:rPr>
          <w:rFonts w:hint="cs"/>
          <w:rtl/>
        </w:rPr>
        <w:t xml:space="preserve"> ובדברי </w:t>
      </w:r>
      <w:r w:rsidRPr="005F6F96">
        <w:rPr>
          <w:rStyle w:val="affa"/>
          <w:rFonts w:hint="cs"/>
          <w:rtl/>
        </w:rPr>
        <w:t>הרשב"א במשמרת הבית</w:t>
      </w:r>
      <w:r>
        <w:rPr>
          <w:rFonts w:hint="cs"/>
          <w:rtl/>
        </w:rPr>
        <w:t>.</w:t>
      </w:r>
    </w:p>
  </w:footnote>
  <w:footnote w:id="16">
    <w:p w14:paraId="64C15287" w14:textId="77777777" w:rsidR="00345400" w:rsidRPr="00E71949" w:rsidRDefault="00345400" w:rsidP="00852065">
      <w:pPr>
        <w:pStyle w:val="af"/>
      </w:pPr>
      <w:r>
        <w:rPr>
          <w:rStyle w:val="af1"/>
        </w:rPr>
        <w:footnoteRef/>
      </w:r>
      <w:r>
        <w:rPr>
          <w:rtl/>
        </w:rPr>
        <w:t xml:space="preserve"> </w:t>
      </w:r>
      <w:r w:rsidRPr="007C2CC4">
        <w:rPr>
          <w:rFonts w:hint="cs"/>
          <w:rtl/>
        </w:rPr>
        <w:t>איתא בגמ' ביבמות</w:t>
      </w:r>
      <w:r>
        <w:rPr>
          <w:rFonts w:hint="cs"/>
          <w:rtl/>
        </w:rPr>
        <w:t xml:space="preserve"> </w:t>
      </w:r>
      <w:r w:rsidRPr="007C2CC4">
        <w:rPr>
          <w:rFonts w:hint="cs"/>
          <w:rtl/>
        </w:rPr>
        <w:t>דאשה שנפלה לפני יבם, ויש לה צרה שהיא ערוה על היבם שפוטרת את כל צרותיה מיבום, דאם יש באותה ערוה ספק אם נתגרשה מהמת</w:t>
      </w:r>
      <w:r>
        <w:rPr>
          <w:rFonts w:hint="cs"/>
          <w:rtl/>
        </w:rPr>
        <w:t xml:space="preserve">, </w:t>
      </w:r>
      <w:r w:rsidRPr="00042F96">
        <w:rPr>
          <w:rFonts w:hint="cs"/>
          <w:rtl/>
        </w:rPr>
        <w:t>דהגט הוא ספק קרוב לו ספק קרוב לה</w:t>
      </w:r>
      <w:r>
        <w:rPr>
          <w:rFonts w:hint="cs"/>
          <w:rtl/>
        </w:rPr>
        <w:t xml:space="preserve">, ואם חלו הגירושין בערוה </w:t>
      </w:r>
      <w:r w:rsidRPr="007C2CC4">
        <w:rPr>
          <w:rFonts w:hint="cs"/>
          <w:rtl/>
        </w:rPr>
        <w:t>אינה צרתה כלל,</w:t>
      </w:r>
      <w:r>
        <w:rPr>
          <w:rFonts w:hint="cs"/>
          <w:rtl/>
        </w:rPr>
        <w:t xml:space="preserve"> והצרה נופלת ליבום,</w:t>
      </w:r>
      <w:r w:rsidRPr="007C2CC4">
        <w:rPr>
          <w:rFonts w:hint="cs"/>
          <w:rtl/>
        </w:rPr>
        <w:t xml:space="preserve"> דאמר רבה דהצרה פטורה אף מחליצה, כיון שהיא בחזקת היתר לשוק דהיא בחזקת צרת ערוה, ומספק שמא נתגרשה הערוה ואינה צרתה, א"א לאוסרה</w:t>
      </w:r>
      <w:r>
        <w:rPr>
          <w:rFonts w:hint="cs"/>
          <w:rtl/>
        </w:rPr>
        <w:t>.</w:t>
      </w:r>
    </w:p>
  </w:footnote>
  <w:footnote w:id="17">
    <w:p w14:paraId="6787E77F" w14:textId="77777777" w:rsidR="00345400" w:rsidRDefault="00345400" w:rsidP="00852065">
      <w:pPr>
        <w:pStyle w:val="af"/>
        <w:rPr>
          <w:rtl/>
        </w:rPr>
      </w:pPr>
      <w:r>
        <w:rPr>
          <w:rStyle w:val="af1"/>
        </w:rPr>
        <w:footnoteRef/>
      </w:r>
      <w:r>
        <w:rPr>
          <w:rtl/>
        </w:rPr>
        <w:t xml:space="preserve"> </w:t>
      </w:r>
      <w:r>
        <w:rPr>
          <w:rFonts w:hint="cs"/>
          <w:rtl/>
        </w:rPr>
        <w:t>וכן הקשה</w:t>
      </w:r>
      <w:r w:rsidRPr="00832BB4">
        <w:rPr>
          <w:rStyle w:val="af9"/>
          <w:rFonts w:hint="cs"/>
          <w:rtl/>
        </w:rPr>
        <w:t xml:space="preserve"> </w:t>
      </w:r>
      <w:r w:rsidRPr="00112F46">
        <w:rPr>
          <w:rStyle w:val="affa"/>
          <w:rFonts w:hint="cs"/>
          <w:rtl/>
        </w:rPr>
        <w:t xml:space="preserve">הפליתי </w:t>
      </w:r>
      <w:r>
        <w:rPr>
          <w:rFonts w:hint="cs"/>
          <w:rtl/>
        </w:rPr>
        <w:t xml:space="preserve">על </w:t>
      </w:r>
      <w:r w:rsidRPr="00112F46">
        <w:rPr>
          <w:rStyle w:val="affa"/>
          <w:rFonts w:hint="cs"/>
          <w:rtl/>
        </w:rPr>
        <w:t xml:space="preserve">הרמ"א </w:t>
      </w:r>
      <w:r w:rsidRPr="00112F46">
        <w:rPr>
          <w:rStyle w:val="aff6"/>
          <w:rFonts w:hint="cs"/>
          <w:rtl/>
        </w:rPr>
        <w:t xml:space="preserve">(עי' אות </w:t>
      </w:r>
      <w:r w:rsidRPr="00112F46">
        <w:rPr>
          <w:rStyle w:val="aff6"/>
          <w:rtl/>
        </w:rPr>
        <w:fldChar w:fldCharType="begin"/>
      </w:r>
      <w:r w:rsidRPr="00112F46">
        <w:rPr>
          <w:rStyle w:val="aff6"/>
          <w:rtl/>
        </w:rPr>
        <w:instrText xml:space="preserve"> </w:instrText>
      </w:r>
      <w:r w:rsidRPr="00112F46">
        <w:rPr>
          <w:rStyle w:val="aff6"/>
          <w:rFonts w:hint="cs"/>
        </w:rPr>
        <w:instrText>REF</w:instrText>
      </w:r>
      <w:r w:rsidRPr="00112F46">
        <w:rPr>
          <w:rStyle w:val="aff6"/>
          <w:rFonts w:hint="cs"/>
          <w:rtl/>
        </w:rPr>
        <w:instrText xml:space="preserve"> _</w:instrText>
      </w:r>
      <w:r w:rsidRPr="00112F46">
        <w:rPr>
          <w:rStyle w:val="aff6"/>
          <w:rFonts w:hint="cs"/>
        </w:rPr>
        <w:instrText>Ref522527197 \r \h</w:instrText>
      </w:r>
      <w:r w:rsidRPr="00112F46">
        <w:rPr>
          <w:rStyle w:val="aff6"/>
          <w:rtl/>
        </w:rPr>
        <w:instrText xml:space="preserve"> </w:instrText>
      </w:r>
      <w:r w:rsidRPr="00112F46">
        <w:rPr>
          <w:rStyle w:val="aff6"/>
          <w:rtl/>
        </w:rPr>
      </w:r>
      <w:r w:rsidRPr="00112F46">
        <w:rPr>
          <w:rStyle w:val="aff6"/>
          <w:rtl/>
        </w:rPr>
        <w:fldChar w:fldCharType="separate"/>
      </w:r>
      <w:r>
        <w:rPr>
          <w:rStyle w:val="aff6"/>
          <w:cs/>
        </w:rPr>
        <w:t>‎</w:t>
      </w:r>
      <w:r>
        <w:rPr>
          <w:rStyle w:val="aff6"/>
          <w:rtl/>
        </w:rPr>
        <w:t>עח)</w:t>
      </w:r>
      <w:r w:rsidRPr="00112F46">
        <w:rPr>
          <w:rStyle w:val="aff6"/>
          <w:rtl/>
        </w:rPr>
        <w:fldChar w:fldCharType="end"/>
      </w:r>
      <w:r w:rsidRPr="00112F46">
        <w:rPr>
          <w:rStyle w:val="aff6"/>
          <w:rFonts w:hint="cs"/>
          <w:rtl/>
        </w:rPr>
        <w:t xml:space="preserve"> </w:t>
      </w:r>
      <w:r>
        <w:rPr>
          <w:rFonts w:hint="cs"/>
          <w:rtl/>
        </w:rPr>
        <w:t xml:space="preserve">דס"ל דבמקום ריעותא לא מעמידים על החזקה, וא"כ היאך פסק </w:t>
      </w:r>
      <w:r w:rsidRPr="00112F46">
        <w:rPr>
          <w:rStyle w:val="affa"/>
          <w:rFonts w:hint="cs"/>
          <w:rtl/>
        </w:rPr>
        <w:t>הרמ"א</w:t>
      </w:r>
      <w:r>
        <w:rPr>
          <w:rFonts w:hint="cs"/>
          <w:rtl/>
        </w:rPr>
        <w:t xml:space="preserve"> </w:t>
      </w:r>
      <w:r w:rsidRPr="00112F46">
        <w:rPr>
          <w:rStyle w:val="aff6"/>
          <w:rFonts w:hint="cs"/>
          <w:rtl/>
        </w:rPr>
        <w:t>(פ"א ב')</w:t>
      </w:r>
      <w:r w:rsidRPr="00832BB4">
        <w:rPr>
          <w:rStyle w:val="af7"/>
          <w:rFonts w:eastAsia="Guttman Hodes" w:hint="cs"/>
          <w:rtl/>
        </w:rPr>
        <w:t xml:space="preserve"> </w:t>
      </w:r>
      <w:r>
        <w:rPr>
          <w:rFonts w:hint="cs"/>
          <w:rtl/>
        </w:rPr>
        <w:t>דבמקום שהוגלד פי המכה,</w:t>
      </w:r>
      <w:r w:rsidRPr="00F1315A">
        <w:rPr>
          <w:rFonts w:hint="cs"/>
          <w:rtl/>
        </w:rPr>
        <w:t xml:space="preserve"> </w:t>
      </w:r>
      <w:r>
        <w:rPr>
          <w:rFonts w:hint="cs"/>
          <w:rtl/>
        </w:rPr>
        <w:t>הגבינות דלפני ג' ימים מהשחיטה מותרות מדין חזקה, אף שבהוגלדה המכה יש בה ריעותא מחיים.</w:t>
      </w:r>
    </w:p>
  </w:footnote>
  <w:footnote w:id="18">
    <w:p w14:paraId="63C8E6E6" w14:textId="77777777" w:rsidR="00345400" w:rsidRDefault="00345400" w:rsidP="00852065">
      <w:pPr>
        <w:pStyle w:val="af"/>
        <w:rPr>
          <w:rtl/>
        </w:rPr>
      </w:pPr>
      <w:r>
        <w:rPr>
          <w:rStyle w:val="af1"/>
        </w:rPr>
        <w:footnoteRef/>
      </w:r>
      <w:r>
        <w:rPr>
          <w:rtl/>
        </w:rPr>
        <w:t xml:space="preserve"> </w:t>
      </w:r>
      <w:r>
        <w:rPr>
          <w:rFonts w:hint="cs"/>
          <w:rtl/>
        </w:rPr>
        <w:t xml:space="preserve">וכתב </w:t>
      </w:r>
      <w:r w:rsidRPr="00C07B02">
        <w:rPr>
          <w:rStyle w:val="affa"/>
          <w:rFonts w:hint="cs"/>
          <w:rtl/>
        </w:rPr>
        <w:t>הקוה"ע</w:t>
      </w:r>
      <w:r>
        <w:rPr>
          <w:rFonts w:hint="cs"/>
          <w:rtl/>
        </w:rPr>
        <w:t xml:space="preserve"> דצ</w:t>
      </w:r>
      <w:r>
        <w:rPr>
          <w:rFonts w:cstheme="minorBidi" w:hint="cs"/>
          <w:rtl/>
        </w:rPr>
        <w:t>"</w:t>
      </w:r>
      <w:r>
        <w:rPr>
          <w:rFonts w:hint="cs"/>
          <w:rtl/>
        </w:rPr>
        <w:t>ל דלא קיי</w:t>
      </w:r>
      <w:r>
        <w:rPr>
          <w:rFonts w:cstheme="minorBidi" w:hint="cs"/>
          <w:rtl/>
        </w:rPr>
        <w:t>"</w:t>
      </w:r>
      <w:r>
        <w:rPr>
          <w:rFonts w:hint="cs"/>
          <w:rtl/>
        </w:rPr>
        <w:t>ל כרבי יהושע דס</w:t>
      </w:r>
      <w:r>
        <w:rPr>
          <w:rFonts w:cstheme="minorBidi" w:hint="cs"/>
          <w:rtl/>
        </w:rPr>
        <w:t>"</w:t>
      </w:r>
      <w:r>
        <w:rPr>
          <w:rFonts w:hint="cs"/>
          <w:rtl/>
        </w:rPr>
        <w:t>ל דחזקת הגוף עדיף משאר חזקות.</w:t>
      </w:r>
    </w:p>
  </w:footnote>
  <w:footnote w:id="19">
    <w:p w14:paraId="2D4EF7BF" w14:textId="77777777" w:rsidR="00345400" w:rsidRDefault="00345400" w:rsidP="00FC47D4">
      <w:pPr>
        <w:pStyle w:val="af"/>
      </w:pPr>
      <w:r>
        <w:rPr>
          <w:rStyle w:val="af1"/>
        </w:rPr>
        <w:footnoteRef/>
      </w:r>
      <w:r>
        <w:rPr>
          <w:rtl/>
        </w:rPr>
        <w:t xml:space="preserve"> </w:t>
      </w:r>
      <w:r w:rsidRPr="00D50B5C">
        <w:rPr>
          <w:rtl/>
        </w:rPr>
        <w:t xml:space="preserve">וכתב </w:t>
      </w:r>
      <w:r w:rsidRPr="00D50B5C">
        <w:rPr>
          <w:rStyle w:val="affa"/>
          <w:rtl/>
        </w:rPr>
        <w:t>הפרמ"ג</w:t>
      </w:r>
      <w:r w:rsidRPr="00D50B5C">
        <w:rPr>
          <w:rtl/>
        </w:rPr>
        <w:t xml:space="preserve"> </w:t>
      </w:r>
      <w:r w:rsidRPr="00D50B5C">
        <w:rPr>
          <w:rStyle w:val="aff6"/>
          <w:rtl/>
        </w:rPr>
        <w:t>(פתיחה להל' שחיטה השורש הד')</w:t>
      </w:r>
      <w:r w:rsidRPr="00D50B5C">
        <w:rPr>
          <w:rtl/>
        </w:rPr>
        <w:t xml:space="preserve"> דמדברי </w:t>
      </w:r>
      <w:r w:rsidRPr="00D50B5C">
        <w:rPr>
          <w:rStyle w:val="affa"/>
          <w:rtl/>
        </w:rPr>
        <w:t>הש"ך</w:t>
      </w:r>
      <w:r w:rsidRPr="00D50B5C">
        <w:rPr>
          <w:rtl/>
        </w:rPr>
        <w:t xml:space="preserve"> משמע </w:t>
      </w:r>
      <w:r w:rsidRPr="00D50B5C">
        <w:rPr>
          <w:rStyle w:val="affa"/>
          <w:rtl/>
        </w:rPr>
        <w:t>דהב"ח</w:t>
      </w:r>
      <w:r w:rsidRPr="00D50B5C">
        <w:rPr>
          <w:rtl/>
        </w:rPr>
        <w:t xml:space="preserve"> ס"ל דהיא ודאי נבילה כיון שמעמידים את הבהמה בחזקת איסור, אך וכתב </w:t>
      </w:r>
      <w:r w:rsidRPr="00D50B5C">
        <w:rPr>
          <w:rStyle w:val="affa"/>
          <w:rtl/>
        </w:rPr>
        <w:t>הפרמ"ג</w:t>
      </w:r>
      <w:r w:rsidRPr="00D50B5C">
        <w:rPr>
          <w:rtl/>
        </w:rPr>
        <w:t xml:space="preserve"> </w:t>
      </w:r>
      <w:r>
        <w:rPr>
          <w:rFonts w:hint="cs"/>
          <w:rtl/>
        </w:rPr>
        <w:t>ד</w:t>
      </w:r>
      <w:r w:rsidRPr="00D50B5C">
        <w:rPr>
          <w:rtl/>
        </w:rPr>
        <w:t xml:space="preserve">מדברי </w:t>
      </w:r>
      <w:r w:rsidRPr="00D50B5C">
        <w:rPr>
          <w:rStyle w:val="affa"/>
          <w:rtl/>
        </w:rPr>
        <w:t>הב"ח</w:t>
      </w:r>
      <w:r w:rsidRPr="00D50B5C">
        <w:rPr>
          <w:rtl/>
        </w:rPr>
        <w:t xml:space="preserve"> מבואר דהוא מודה דמדינא היא ספק נבילה, אלא דכיון דמחמת החזקה לא קרינן ביה "אשר יאכל" ולכן פטורה מכיסוי</w:t>
      </w:r>
      <w:r>
        <w:rPr>
          <w:rFonts w:hint="cs"/>
          <w:rtl/>
        </w:rPr>
        <w:t>, עיי"ש במה שהאריך בזה.</w:t>
      </w:r>
    </w:p>
  </w:footnote>
  <w:footnote w:id="20">
    <w:p w14:paraId="49832D55" w14:textId="77777777" w:rsidR="00345400" w:rsidRDefault="00345400" w:rsidP="00775410">
      <w:pPr>
        <w:pStyle w:val="af"/>
        <w:rPr>
          <w:rtl/>
        </w:rPr>
      </w:pPr>
      <w:r>
        <w:rPr>
          <w:rStyle w:val="af1"/>
        </w:rPr>
        <w:footnoteRef/>
      </w:r>
      <w:r>
        <w:rPr>
          <w:rtl/>
        </w:rPr>
        <w:t xml:space="preserve"> </w:t>
      </w:r>
      <w:r>
        <w:rPr>
          <w:rFonts w:hint="cs"/>
          <w:rtl/>
        </w:rPr>
        <w:t xml:space="preserve">נד' גם </w:t>
      </w:r>
      <w:r w:rsidRPr="00AD567D">
        <w:rPr>
          <w:rStyle w:val="affa"/>
          <w:rFonts w:hint="cs"/>
          <w:rtl/>
        </w:rPr>
        <w:t>בקובץ ענינים</w:t>
      </w:r>
      <w:r>
        <w:rPr>
          <w:rFonts w:hint="cs"/>
          <w:rtl/>
        </w:rPr>
        <w:t xml:space="preserve"> </w:t>
      </w:r>
      <w:r w:rsidRPr="00AD567D">
        <w:rPr>
          <w:rStyle w:val="aff6"/>
          <w:rFonts w:hint="cs"/>
          <w:rtl/>
        </w:rPr>
        <w:t>(חולין סי' ב' אות ז')</w:t>
      </w:r>
      <w:r>
        <w:rPr>
          <w:rFonts w:hint="cs"/>
          <w:rtl/>
        </w:rPr>
        <w:t>.</w:t>
      </w:r>
    </w:p>
  </w:footnote>
  <w:footnote w:id="21">
    <w:p w14:paraId="486EF2A4" w14:textId="77777777" w:rsidR="00345400" w:rsidRDefault="00345400" w:rsidP="00413DD0">
      <w:pPr>
        <w:pStyle w:val="af"/>
        <w:rPr>
          <w:rtl/>
        </w:rPr>
      </w:pPr>
      <w:r>
        <w:rPr>
          <w:rStyle w:val="af1"/>
        </w:rPr>
        <w:footnoteRef/>
      </w:r>
      <w:r>
        <w:rPr>
          <w:rtl/>
        </w:rPr>
        <w:t xml:space="preserve"> </w:t>
      </w:r>
      <w:r w:rsidRPr="00045C89">
        <w:rPr>
          <w:rStyle w:val="afb"/>
          <w:rFonts w:hint="cs"/>
          <w:rtl/>
        </w:rPr>
        <w:t xml:space="preserve">עפ"י הגהת </w:t>
      </w:r>
      <w:r w:rsidRPr="00045C89">
        <w:rPr>
          <w:rStyle w:val="affa"/>
          <w:rFonts w:hint="cs"/>
          <w:rtl/>
        </w:rPr>
        <w:t>החשק שלמה</w:t>
      </w:r>
      <w:r w:rsidRPr="00045C89">
        <w:rPr>
          <w:rStyle w:val="afb"/>
          <w:rFonts w:hint="cs"/>
          <w:rtl/>
        </w:rPr>
        <w:t xml:space="preserve"> ברבינו גרשום</w:t>
      </w:r>
      <w:r>
        <w:rPr>
          <w:rFonts w:hint="cs"/>
          <w:rtl/>
        </w:rPr>
        <w:t>.</w:t>
      </w:r>
    </w:p>
  </w:footnote>
  <w:footnote w:id="22">
    <w:p w14:paraId="635F5278" w14:textId="77777777" w:rsidR="00345400" w:rsidRDefault="00345400" w:rsidP="00413DD0">
      <w:pPr>
        <w:pStyle w:val="af"/>
        <w:rPr>
          <w:rtl/>
        </w:rPr>
      </w:pPr>
      <w:r>
        <w:rPr>
          <w:rStyle w:val="af1"/>
        </w:rPr>
        <w:footnoteRef/>
      </w:r>
      <w:r>
        <w:rPr>
          <w:rtl/>
        </w:rPr>
        <w:t xml:space="preserve"> </w:t>
      </w:r>
      <w:r w:rsidRPr="006311CE">
        <w:rPr>
          <w:rStyle w:val="afb"/>
          <w:rFonts w:hint="cs"/>
          <w:rtl/>
        </w:rPr>
        <w:t xml:space="preserve">ועי' </w:t>
      </w:r>
      <w:r w:rsidRPr="006311CE">
        <w:rPr>
          <w:rStyle w:val="affa"/>
          <w:rFonts w:hint="cs"/>
          <w:rtl/>
        </w:rPr>
        <w:t>בפנ"י</w:t>
      </w:r>
      <w:r w:rsidRPr="006311CE">
        <w:rPr>
          <w:rStyle w:val="afb"/>
          <w:rFonts w:hint="cs"/>
          <w:rtl/>
        </w:rPr>
        <w:t xml:space="preserve"> </w:t>
      </w:r>
      <w:r w:rsidRPr="006311CE">
        <w:rPr>
          <w:rStyle w:val="aff6"/>
          <w:rFonts w:hint="cs"/>
          <w:rtl/>
        </w:rPr>
        <w:t>(ד"ה אלא ע"כ)</w:t>
      </w:r>
      <w:r>
        <w:rPr>
          <w:rStyle w:val="afb"/>
          <w:rFonts w:hint="cs"/>
          <w:rtl/>
        </w:rPr>
        <w:t xml:space="preserve"> </w:t>
      </w:r>
      <w:r w:rsidRPr="006311CE">
        <w:rPr>
          <w:rStyle w:val="afb"/>
          <w:rFonts w:hint="cs"/>
          <w:rtl/>
        </w:rPr>
        <w:t>במה שהעיר</w:t>
      </w:r>
      <w:r>
        <w:rPr>
          <w:rStyle w:val="afb"/>
          <w:rFonts w:hint="cs"/>
          <w:rtl/>
        </w:rPr>
        <w:t xml:space="preserve"> </w:t>
      </w:r>
      <w:r>
        <w:rPr>
          <w:rStyle w:val="affa"/>
          <w:rFonts w:hint="cs"/>
          <w:rtl/>
        </w:rPr>
        <w:t>ד</w:t>
      </w:r>
      <w:r w:rsidRPr="006311CE">
        <w:rPr>
          <w:rStyle w:val="affa"/>
          <w:rFonts w:hint="cs"/>
          <w:rtl/>
        </w:rPr>
        <w:t>בתוס'</w:t>
      </w:r>
      <w:r w:rsidRPr="006311CE">
        <w:rPr>
          <w:rStyle w:val="afb"/>
          <w:rFonts w:hint="cs"/>
          <w:rtl/>
        </w:rPr>
        <w:t xml:space="preserve"> משמע שיש כמה ספיקות ולא רק ס"ס, וכמפורש </w:t>
      </w:r>
      <w:r w:rsidRPr="006311CE">
        <w:rPr>
          <w:rStyle w:val="affa"/>
          <w:rFonts w:hint="cs"/>
          <w:rtl/>
        </w:rPr>
        <w:t>בתוס' בנדה</w:t>
      </w:r>
      <w:r w:rsidRPr="006311CE">
        <w:rPr>
          <w:rStyle w:val="afb"/>
          <w:rFonts w:hint="cs"/>
          <w:rtl/>
        </w:rPr>
        <w:t xml:space="preserve"> </w:t>
      </w:r>
      <w:r w:rsidRPr="006311CE">
        <w:rPr>
          <w:rStyle w:val="aff6"/>
          <w:rFonts w:hint="cs"/>
          <w:rtl/>
        </w:rPr>
        <w:t>(ב: ד"ה התם</w:t>
      </w:r>
      <w:r>
        <w:rPr>
          <w:rStyle w:val="aff6"/>
          <w:rFonts w:hint="cs"/>
          <w:rtl/>
        </w:rPr>
        <w:t>)</w:t>
      </w:r>
      <w:r>
        <w:rPr>
          <w:rStyle w:val="afb"/>
          <w:rFonts w:hint="cs"/>
          <w:rtl/>
        </w:rPr>
        <w:t xml:space="preserve"> </w:t>
      </w:r>
      <w:r>
        <w:rPr>
          <w:rFonts w:hint="cs"/>
          <w:rtl/>
        </w:rPr>
        <w:t>דכתבו שיש ספק שמא נפגם בעצם, ואף את"ל דנפגם</w:t>
      </w:r>
      <w:r w:rsidRPr="00AE1CD1">
        <w:rPr>
          <w:rFonts w:hint="cs"/>
          <w:rtl/>
        </w:rPr>
        <w:t xml:space="preserve"> </w:t>
      </w:r>
      <w:r>
        <w:rPr>
          <w:rFonts w:hint="cs"/>
          <w:rtl/>
        </w:rPr>
        <w:t xml:space="preserve">בעור, יש ספק שמא נפגם במיעוט בתרא, ואף את"ל דנפגם במיעוט קמא, עדיין יש ספק שמא לא שחט כנגד הפגימה, אבל </w:t>
      </w:r>
      <w:r w:rsidRPr="00FB3CB2">
        <w:rPr>
          <w:rStyle w:val="affa"/>
          <w:rFonts w:hint="cs"/>
          <w:rtl/>
        </w:rPr>
        <w:t>הרשב"א</w:t>
      </w:r>
      <w:r>
        <w:rPr>
          <w:rFonts w:hint="cs"/>
          <w:rtl/>
        </w:rPr>
        <w:t xml:space="preserve"> </w:t>
      </w:r>
      <w:r>
        <w:rPr>
          <w:rStyle w:val="afb"/>
          <w:rFonts w:hint="cs"/>
          <w:rtl/>
        </w:rPr>
        <w:t xml:space="preserve">כתב רק ב' ספיקות, </w:t>
      </w:r>
      <w:r>
        <w:rPr>
          <w:rFonts w:hint="cs"/>
          <w:rtl/>
        </w:rPr>
        <w:t>והשמיט את הספק דנשחט במיעוט בתרא, ולכן כתב הרשב"א דאיירי בסכין ארוך, כיון שאין את הספק דנפגם במיעוט בתרא.</w:t>
      </w:r>
    </w:p>
  </w:footnote>
  <w:footnote w:id="23">
    <w:p w14:paraId="5AEBBE14" w14:textId="77777777" w:rsidR="00345400" w:rsidRDefault="00345400" w:rsidP="00413DD0">
      <w:pPr>
        <w:pStyle w:val="af"/>
      </w:pPr>
      <w:r>
        <w:rPr>
          <w:rStyle w:val="af1"/>
        </w:rPr>
        <w:footnoteRef/>
      </w:r>
      <w:r>
        <w:rPr>
          <w:rtl/>
        </w:rPr>
        <w:t xml:space="preserve"> </w:t>
      </w:r>
      <w:r>
        <w:rPr>
          <w:rFonts w:hint="cs"/>
          <w:rtl/>
        </w:rPr>
        <w:t xml:space="preserve">וע"ע בדברי </w:t>
      </w:r>
      <w:r w:rsidRPr="00F969CB">
        <w:rPr>
          <w:rStyle w:val="affa"/>
          <w:rFonts w:hint="cs"/>
          <w:rtl/>
        </w:rPr>
        <w:t>הפליתי</w:t>
      </w:r>
      <w:r>
        <w:rPr>
          <w:rFonts w:hint="cs"/>
          <w:rtl/>
        </w:rPr>
        <w:t xml:space="preserve"> </w:t>
      </w:r>
      <w:r w:rsidRPr="00F969CB">
        <w:rPr>
          <w:rStyle w:val="aff6"/>
          <w:rFonts w:hint="cs"/>
          <w:rtl/>
        </w:rPr>
        <w:t>(סי' א' סק"ו)</w:t>
      </w:r>
      <w:r>
        <w:rPr>
          <w:rFonts w:hint="cs"/>
          <w:rtl/>
        </w:rPr>
        <w:t xml:space="preserve"> דכתב בתו"ד </w:t>
      </w:r>
      <w:r w:rsidRPr="00F969CB">
        <w:rPr>
          <w:rStyle w:val="affa"/>
          <w:rFonts w:hint="cs"/>
          <w:rtl/>
        </w:rPr>
        <w:t>דבתוס' בנדה</w:t>
      </w:r>
      <w:r>
        <w:rPr>
          <w:rFonts w:hint="cs"/>
          <w:rtl/>
        </w:rPr>
        <w:t xml:space="preserve"> </w:t>
      </w:r>
      <w:r w:rsidRPr="00F969CB">
        <w:rPr>
          <w:rStyle w:val="aff6"/>
          <w:rFonts w:hint="cs"/>
          <w:rtl/>
        </w:rPr>
        <w:t>(ב: ד"ה התם)</w:t>
      </w:r>
      <w:r>
        <w:rPr>
          <w:rFonts w:hint="cs"/>
          <w:rtl/>
        </w:rPr>
        <w:t xml:space="preserve"> כתבו רק שיש ספיקא טובא, ולא כתבו דהוא ספק ספיקא, עיי"ש בדבריו.</w:t>
      </w:r>
    </w:p>
  </w:footnote>
  <w:footnote w:id="24">
    <w:p w14:paraId="20E7E21B" w14:textId="77777777" w:rsidR="00345400" w:rsidRDefault="00345400" w:rsidP="00413DD0">
      <w:pPr>
        <w:pStyle w:val="af"/>
      </w:pPr>
      <w:r>
        <w:rPr>
          <w:rStyle w:val="af1"/>
        </w:rPr>
        <w:footnoteRef/>
      </w:r>
      <w:r>
        <w:rPr>
          <w:rtl/>
        </w:rPr>
        <w:t xml:space="preserve"> </w:t>
      </w:r>
      <w:r>
        <w:rPr>
          <w:rFonts w:hint="cs"/>
          <w:rtl/>
        </w:rPr>
        <w:t xml:space="preserve">ויעוי' </w:t>
      </w:r>
      <w:r w:rsidRPr="00834FAD">
        <w:rPr>
          <w:rStyle w:val="affa"/>
          <w:rtl/>
        </w:rPr>
        <w:t>בשיעורי המקדש דוד</w:t>
      </w:r>
      <w:r w:rsidRPr="00834FAD">
        <w:rPr>
          <w:rtl/>
        </w:rPr>
        <w:t xml:space="preserve">  </w:t>
      </w:r>
      <w:r w:rsidRPr="00120E52">
        <w:rPr>
          <w:rStyle w:val="aff6"/>
          <w:rtl/>
        </w:rPr>
        <w:t xml:space="preserve">(חולין סי' ב' אות </w:t>
      </w:r>
      <w:r w:rsidRPr="00120E52">
        <w:rPr>
          <w:rStyle w:val="aff6"/>
          <w:rFonts w:hint="cs"/>
          <w:rtl/>
        </w:rPr>
        <w:t>ט</w:t>
      </w:r>
      <w:r w:rsidRPr="00120E52">
        <w:rPr>
          <w:rStyle w:val="aff6"/>
          <w:rtl/>
        </w:rPr>
        <w:t>'</w:t>
      </w:r>
      <w:r w:rsidRPr="00120E52">
        <w:rPr>
          <w:rStyle w:val="aff6"/>
          <w:rFonts w:hint="cs"/>
          <w:rtl/>
        </w:rPr>
        <w:t>,</w:t>
      </w:r>
      <w:r w:rsidRPr="00120E52">
        <w:rPr>
          <w:rStyle w:val="aff6"/>
          <w:rtl/>
        </w:rPr>
        <w:t xml:space="preserve"> נד' גם בקובץ ענינים</w:t>
      </w:r>
      <w:r w:rsidRPr="00120E52">
        <w:rPr>
          <w:rStyle w:val="aff6"/>
          <w:rFonts w:hint="cs"/>
          <w:rtl/>
        </w:rPr>
        <w:t>)</w:t>
      </w:r>
      <w:r w:rsidRPr="00120E52">
        <w:rPr>
          <w:rStyle w:val="aff6"/>
          <w:rtl/>
        </w:rPr>
        <w:t xml:space="preserve"> </w:t>
      </w:r>
      <w:r>
        <w:rPr>
          <w:rFonts w:hint="cs"/>
          <w:rtl/>
        </w:rPr>
        <w:t xml:space="preserve">דביאר את דברי </w:t>
      </w:r>
      <w:r w:rsidRPr="00A27812">
        <w:rPr>
          <w:rStyle w:val="affa"/>
          <w:rFonts w:hint="cs"/>
          <w:rtl/>
        </w:rPr>
        <w:t xml:space="preserve">התוס' </w:t>
      </w:r>
      <w:r>
        <w:rPr>
          <w:rFonts w:hint="cs"/>
          <w:rtl/>
        </w:rPr>
        <w:t xml:space="preserve">דכתבו דבסוגיין הוי ספק ספיקא, דאף דלב' הצדדים בספק השחיטה כשרה מ"מ אי"ז נחשב כספק אחד, דכ"מ דאמרינן בספק ספיקא שב' הצדדים להיתר או להאיסור דחשיב ספק אחד, הוא דוקא במקום שיש ב' אופנים במציאות הספק, אך אינם ב' צדדים נפרדים להיתר או לאיסור, דטעם ההיתר או האיסור בב' האופנים הוא אותו הטעם, ולכן  חשיבי כספק אחד, </w:t>
      </w:r>
      <w:r>
        <w:rPr>
          <w:rtl/>
        </w:rPr>
        <w:t>ו</w:t>
      </w:r>
      <w:r>
        <w:rPr>
          <w:rFonts w:hint="cs"/>
          <w:rtl/>
        </w:rPr>
        <w:t>ב</w:t>
      </w:r>
      <w:r>
        <w:rPr>
          <w:rtl/>
        </w:rPr>
        <w:t>כה"ג לא מיקרי ס"ס</w:t>
      </w:r>
      <w:r>
        <w:rPr>
          <w:rFonts w:hint="cs"/>
          <w:rtl/>
        </w:rPr>
        <w:t xml:space="preserve"> </w:t>
      </w:r>
      <w:r w:rsidRPr="00453B12">
        <w:rPr>
          <w:rFonts w:hint="cs"/>
          <w:sz w:val="16"/>
          <w:szCs w:val="12"/>
          <w:rtl/>
        </w:rPr>
        <w:t xml:space="preserve">[כגון </w:t>
      </w:r>
      <w:r w:rsidRPr="00453B12">
        <w:rPr>
          <w:rStyle w:val="affa"/>
          <w:rFonts w:hint="cs"/>
          <w:sz w:val="16"/>
          <w:szCs w:val="12"/>
          <w:rtl/>
        </w:rPr>
        <w:t>בתוס' בכתובות</w:t>
      </w:r>
      <w:r w:rsidRPr="00453B12">
        <w:rPr>
          <w:rFonts w:hint="cs"/>
          <w:sz w:val="14"/>
          <w:szCs w:val="10"/>
          <w:rtl/>
        </w:rPr>
        <w:t xml:space="preserve"> </w:t>
      </w:r>
      <w:r w:rsidRPr="00453B12">
        <w:rPr>
          <w:rStyle w:val="aff6"/>
          <w:rFonts w:hint="cs"/>
          <w:rtl/>
        </w:rPr>
        <w:t>(ט. ד"ה ואבע"א)</w:t>
      </w:r>
      <w:r w:rsidRPr="00453B12">
        <w:rPr>
          <w:rFonts w:hint="cs"/>
          <w:sz w:val="16"/>
          <w:szCs w:val="12"/>
          <w:rtl/>
        </w:rPr>
        <w:t xml:space="preserve"> בספק נאנסה באונס ספק ברצון, ואת"ל ברצון ספק נאנסה כשהיא קטנה ופיתוי קטנה אונס הוא, דצד ההיתר הוא אחד דהוי אנוסה]</w:t>
      </w:r>
      <w:r>
        <w:rPr>
          <w:rFonts w:hint="cs"/>
          <w:sz w:val="16"/>
          <w:szCs w:val="12"/>
          <w:rtl/>
        </w:rPr>
        <w:t xml:space="preserve">, </w:t>
      </w:r>
      <w:r>
        <w:rPr>
          <w:rFonts w:hint="cs"/>
          <w:rtl/>
        </w:rPr>
        <w:t>עיי"ש בדבריו. אבל בסוגיין דהספק בסכין הוא האם נפגם בעור או שלא נפגם בעור ולא שחט בסכין פגום כלל, ויש ספק נוסף דאף אם שחט בסכין פגום, מ"מ לא שחט במקום הפגימה, דבכה"ג חשיב ספק ספיקא, עיי"ש בדבריו.</w:t>
      </w:r>
    </w:p>
  </w:footnote>
  <w:footnote w:id="25">
    <w:p w14:paraId="7AD9DB4E" w14:textId="77777777" w:rsidR="00345400" w:rsidRDefault="00345400" w:rsidP="00413DD0">
      <w:pPr>
        <w:pStyle w:val="af"/>
      </w:pPr>
      <w:r>
        <w:rPr>
          <w:rStyle w:val="af1"/>
        </w:rPr>
        <w:footnoteRef/>
      </w:r>
      <w:r>
        <w:rPr>
          <w:rtl/>
        </w:rPr>
        <w:t xml:space="preserve"> </w:t>
      </w:r>
      <w:r w:rsidRPr="00CA1EB7">
        <w:rPr>
          <w:rStyle w:val="affa"/>
          <w:rFonts w:hint="cs"/>
          <w:rtl/>
        </w:rPr>
        <w:t>ובתוס' בסוגיין</w:t>
      </w:r>
      <w:r>
        <w:rPr>
          <w:rFonts w:hint="cs"/>
          <w:rtl/>
        </w:rPr>
        <w:t xml:space="preserve"> כתבו רק שלא נשחטו הסימנים כנגד הפגימה, ומשמע דכוונת </w:t>
      </w:r>
      <w:r w:rsidRPr="00CA1EB7">
        <w:rPr>
          <w:rStyle w:val="affa"/>
          <w:rFonts w:hint="cs"/>
          <w:rtl/>
        </w:rPr>
        <w:t>הפנ"י</w:t>
      </w:r>
      <w:r>
        <w:rPr>
          <w:rFonts w:hint="cs"/>
          <w:rtl/>
        </w:rPr>
        <w:t xml:space="preserve"> לומר דמדברי</w:t>
      </w:r>
      <w:r w:rsidRPr="00CA1EB7">
        <w:rPr>
          <w:rStyle w:val="affa"/>
          <w:rFonts w:hint="cs"/>
          <w:rtl/>
        </w:rPr>
        <w:t xml:space="preserve"> התוס' בסוגיין</w:t>
      </w:r>
      <w:r>
        <w:rPr>
          <w:rFonts w:hint="cs"/>
          <w:rtl/>
        </w:rPr>
        <w:t xml:space="preserve"> אין סתירא </w:t>
      </w:r>
      <w:r w:rsidRPr="00CA1EB7">
        <w:rPr>
          <w:rStyle w:val="affa"/>
          <w:rFonts w:hint="cs"/>
          <w:rtl/>
        </w:rPr>
        <w:t>לש"ך</w:t>
      </w:r>
      <w:r>
        <w:rPr>
          <w:rFonts w:hint="cs"/>
          <w:rtl/>
        </w:rPr>
        <w:t xml:space="preserve"> דאפש"ל שהוליך את הסכין על פני כל השחיטה, אלא דהסימנים עצמם לא נשחטו בפגימה.</w:t>
      </w:r>
    </w:p>
  </w:footnote>
  <w:footnote w:id="26">
    <w:p w14:paraId="12BF33B4" w14:textId="77777777" w:rsidR="00345400" w:rsidRDefault="00345400" w:rsidP="00413DD0">
      <w:pPr>
        <w:pStyle w:val="af"/>
      </w:pPr>
      <w:r>
        <w:rPr>
          <w:rStyle w:val="af1"/>
        </w:rPr>
        <w:footnoteRef/>
      </w:r>
      <w:r>
        <w:rPr>
          <w:rtl/>
        </w:rPr>
        <w:t xml:space="preserve"> </w:t>
      </w:r>
      <w:r w:rsidRPr="000D402F">
        <w:rPr>
          <w:rtl/>
        </w:rPr>
        <w:t xml:space="preserve">אך הקשה </w:t>
      </w:r>
      <w:r w:rsidRPr="000D402F">
        <w:rPr>
          <w:rStyle w:val="affa"/>
          <w:rtl/>
        </w:rPr>
        <w:t>החזו"א</w:t>
      </w:r>
      <w:r w:rsidRPr="000D402F">
        <w:rPr>
          <w:rtl/>
        </w:rPr>
        <w:t xml:space="preserve"> דא"כ מה תירצה הגמ' על הקושיה מספק שהייה, שיש שם ריעותא בגוף הבהמה, הא סגי לאסור מחמת שאין שם את חזקת הסכין שמתירה בסכין שנפגם, ובשלמא לתירוץ </w:t>
      </w:r>
      <w:r w:rsidRPr="000D402F">
        <w:rPr>
          <w:rStyle w:val="affa"/>
          <w:rtl/>
        </w:rPr>
        <w:t>הא' והב' בתוס'</w:t>
      </w:r>
      <w:r w:rsidRPr="000D402F">
        <w:rPr>
          <w:rtl/>
        </w:rPr>
        <w:t xml:space="preserve"> כתב </w:t>
      </w:r>
      <w:r w:rsidRPr="000D402F">
        <w:rPr>
          <w:rStyle w:val="affa"/>
          <w:rtl/>
        </w:rPr>
        <w:t>החזו"א</w:t>
      </w:r>
      <w:r w:rsidRPr="000D402F">
        <w:rPr>
          <w:rtl/>
        </w:rPr>
        <w:t xml:space="preserve"> הגמ' תירצה אליבא דאמת, דאף אם היה חזקה שמתנגדת לחזקת איסור [כחזקת סכין] לא היה בכחה להתיר כיון שיש ריעותא בגוף הבהמה, אבל </w:t>
      </w:r>
      <w:r w:rsidRPr="000D402F">
        <w:rPr>
          <w:rStyle w:val="affa"/>
          <w:rtl/>
        </w:rPr>
        <w:t>לתירוץ הג' בתוס'</w:t>
      </w:r>
      <w:r w:rsidRPr="000D402F">
        <w:rPr>
          <w:rtl/>
        </w:rPr>
        <w:t xml:space="preserve"> הקשה </w:t>
      </w:r>
      <w:r w:rsidRPr="000D402F">
        <w:rPr>
          <w:rStyle w:val="affa"/>
          <w:rtl/>
        </w:rPr>
        <w:t>החזו"א</w:t>
      </w:r>
      <w:r w:rsidRPr="000D402F">
        <w:rPr>
          <w:rtl/>
        </w:rPr>
        <w:t xml:space="preserve"> דכיון שיש רוב ששוחטין בלא לשהות אם הייתה חזקה שמתנגדת לחזקת האיסור, היא הייתה מועילה. ו</w:t>
      </w:r>
      <w:r>
        <w:rPr>
          <w:rFonts w:hint="cs"/>
          <w:rtl/>
        </w:rPr>
        <w:t>תירץ</w:t>
      </w:r>
      <w:r w:rsidRPr="000D402F">
        <w:rPr>
          <w:rtl/>
        </w:rPr>
        <w:t xml:space="preserve"> </w:t>
      </w:r>
      <w:r w:rsidRPr="000D402F">
        <w:rPr>
          <w:rStyle w:val="affa"/>
          <w:rtl/>
        </w:rPr>
        <w:t>החזו"א</w:t>
      </w:r>
      <w:r w:rsidRPr="000D402F">
        <w:rPr>
          <w:rtl/>
        </w:rPr>
        <w:t xml:space="preserve"> דמשמע  לגמ' דספק שהיה גרע יותר מהספק אם נפגם הסכין.</w:t>
      </w:r>
    </w:p>
  </w:footnote>
  <w:footnote w:id="27">
    <w:p w14:paraId="4C2F3750" w14:textId="77777777" w:rsidR="00345400" w:rsidRDefault="00345400" w:rsidP="00E92937">
      <w:pPr>
        <w:pStyle w:val="af"/>
        <w:rPr>
          <w:rtl/>
        </w:rPr>
      </w:pPr>
      <w:r>
        <w:rPr>
          <w:rStyle w:val="af1"/>
        </w:rPr>
        <w:footnoteRef/>
      </w:r>
      <w:r>
        <w:rPr>
          <w:rtl/>
        </w:rPr>
        <w:t xml:space="preserve"> </w:t>
      </w:r>
      <w:r>
        <w:rPr>
          <w:rFonts w:hint="cs"/>
          <w:rtl/>
        </w:rPr>
        <w:t xml:space="preserve">נד' גם </w:t>
      </w:r>
      <w:r w:rsidRPr="00AD567D">
        <w:rPr>
          <w:rStyle w:val="affa"/>
          <w:rFonts w:hint="cs"/>
          <w:rtl/>
        </w:rPr>
        <w:t>בקובץ ענינים</w:t>
      </w:r>
      <w:r>
        <w:rPr>
          <w:rFonts w:hint="cs"/>
          <w:rtl/>
        </w:rPr>
        <w:t xml:space="preserve"> </w:t>
      </w:r>
      <w:r w:rsidRPr="00AD567D">
        <w:rPr>
          <w:rStyle w:val="aff6"/>
          <w:rFonts w:hint="cs"/>
          <w:rtl/>
        </w:rPr>
        <w:t xml:space="preserve">(חולין סי' ב' אות </w:t>
      </w:r>
      <w:r>
        <w:rPr>
          <w:rStyle w:val="aff6"/>
          <w:rFonts w:hint="cs"/>
          <w:rtl/>
        </w:rPr>
        <w:t>ח</w:t>
      </w:r>
      <w:r w:rsidRPr="00AD567D">
        <w:rPr>
          <w:rStyle w:val="aff6"/>
          <w:rFonts w:hint="cs"/>
          <w:rtl/>
        </w:rPr>
        <w:t>')</w:t>
      </w:r>
      <w:r>
        <w:rPr>
          <w:rFonts w:hint="cs"/>
          <w:rtl/>
        </w:rPr>
        <w:t>.</w:t>
      </w:r>
    </w:p>
  </w:footnote>
  <w:footnote w:id="28">
    <w:p w14:paraId="4A69D75F" w14:textId="77777777" w:rsidR="00345400" w:rsidRDefault="00345400" w:rsidP="00E92937">
      <w:pPr>
        <w:pStyle w:val="af"/>
      </w:pPr>
      <w:r>
        <w:rPr>
          <w:rStyle w:val="af1"/>
        </w:rPr>
        <w:footnoteRef/>
      </w:r>
      <w:r>
        <w:rPr>
          <w:rtl/>
        </w:rPr>
        <w:t xml:space="preserve"> </w:t>
      </w:r>
      <w:r>
        <w:rPr>
          <w:rFonts w:hint="cs"/>
          <w:rtl/>
        </w:rPr>
        <w:t xml:space="preserve">נד' גם </w:t>
      </w:r>
      <w:r w:rsidRPr="005C3976">
        <w:rPr>
          <w:rStyle w:val="affa"/>
          <w:rFonts w:hint="cs"/>
          <w:rtl/>
        </w:rPr>
        <w:t>באבי עזרי על הש"ס</w:t>
      </w:r>
      <w:r>
        <w:rPr>
          <w:rFonts w:hint="cs"/>
          <w:rtl/>
        </w:rPr>
        <w:t xml:space="preserve"> </w:t>
      </w:r>
      <w:r w:rsidRPr="005C3976">
        <w:rPr>
          <w:rStyle w:val="aff6"/>
          <w:rFonts w:hint="cs"/>
          <w:rtl/>
        </w:rPr>
        <w:t>(כתובות סי' ט"ז)</w:t>
      </w:r>
      <w:r>
        <w:rPr>
          <w:rFonts w:hint="cs"/>
          <w:rtl/>
        </w:rPr>
        <w:t>.</w:t>
      </w:r>
    </w:p>
  </w:footnote>
  <w:footnote w:id="29">
    <w:p w14:paraId="59783326" w14:textId="77777777" w:rsidR="00345400" w:rsidRDefault="00345400" w:rsidP="00533768">
      <w:pPr>
        <w:pStyle w:val="af"/>
      </w:pPr>
      <w:r>
        <w:rPr>
          <w:rStyle w:val="af1"/>
        </w:rPr>
        <w:footnoteRef/>
      </w:r>
      <w:r>
        <w:rPr>
          <w:rtl/>
        </w:rPr>
        <w:t xml:space="preserve"> </w:t>
      </w:r>
      <w:r w:rsidRPr="00F2101E">
        <w:rPr>
          <w:rStyle w:val="affa"/>
          <w:rFonts w:hint="cs"/>
          <w:rtl/>
        </w:rPr>
        <w:t>במרדכי</w:t>
      </w:r>
      <w:r w:rsidRPr="00D9480A">
        <w:rPr>
          <w:rFonts w:hint="cs"/>
          <w:rtl/>
        </w:rPr>
        <w:t xml:space="preserve"> </w:t>
      </w:r>
      <w:r w:rsidRPr="00F2101E">
        <w:rPr>
          <w:rStyle w:val="aff6"/>
          <w:rFonts w:hint="cs"/>
          <w:rtl/>
        </w:rPr>
        <w:t>(תקפ"ח)</w:t>
      </w:r>
      <w:r w:rsidRPr="00D9480A">
        <w:rPr>
          <w:rFonts w:hint="cs"/>
          <w:rtl/>
        </w:rPr>
        <w:t xml:space="preserve"> כתב דרב חסדא ד</w:t>
      </w:r>
      <w:r>
        <w:rPr>
          <w:rFonts w:hint="cs"/>
          <w:rtl/>
        </w:rPr>
        <w:t xml:space="preserve">התיר בספק אם נגע הסכין במפרקת, והביא ע"ז את דברי </w:t>
      </w:r>
      <w:r w:rsidRPr="00F2101E">
        <w:rPr>
          <w:rStyle w:val="affa"/>
          <w:rFonts w:hint="cs"/>
          <w:rtl/>
        </w:rPr>
        <w:t>רש"י</w:t>
      </w:r>
      <w:r>
        <w:rPr>
          <w:rFonts w:hint="cs"/>
          <w:rtl/>
        </w:rPr>
        <w:t xml:space="preserve"> </w:t>
      </w:r>
      <w:r w:rsidRPr="00F2101E">
        <w:rPr>
          <w:rStyle w:val="aff6"/>
          <w:rFonts w:hint="cs"/>
          <w:rtl/>
        </w:rPr>
        <w:t xml:space="preserve">(עי' אות </w:t>
      </w:r>
      <w:r w:rsidRPr="00F2101E">
        <w:rPr>
          <w:rStyle w:val="aff6"/>
          <w:rtl/>
        </w:rPr>
        <w:fldChar w:fldCharType="begin"/>
      </w:r>
      <w:r w:rsidRPr="00F2101E">
        <w:rPr>
          <w:rStyle w:val="aff6"/>
          <w:rtl/>
        </w:rPr>
        <w:instrText xml:space="preserve"> </w:instrText>
      </w:r>
      <w:r w:rsidRPr="00F2101E">
        <w:rPr>
          <w:rStyle w:val="aff6"/>
          <w:rFonts w:hint="cs"/>
        </w:rPr>
        <w:instrText>REF</w:instrText>
      </w:r>
      <w:r w:rsidRPr="00F2101E">
        <w:rPr>
          <w:rStyle w:val="aff6"/>
          <w:rFonts w:hint="cs"/>
          <w:rtl/>
        </w:rPr>
        <w:instrText xml:space="preserve"> _</w:instrText>
      </w:r>
      <w:r w:rsidRPr="00F2101E">
        <w:rPr>
          <w:rStyle w:val="aff6"/>
          <w:rFonts w:hint="cs"/>
        </w:rPr>
        <w:instrText>Ref526496439 \r \h</w:instrText>
      </w:r>
      <w:r w:rsidRPr="00F2101E">
        <w:rPr>
          <w:rStyle w:val="aff6"/>
          <w:rtl/>
        </w:rPr>
        <w:instrText xml:space="preserve"> </w:instrText>
      </w:r>
      <w:r w:rsidRPr="00F2101E">
        <w:rPr>
          <w:rStyle w:val="aff6"/>
          <w:rtl/>
        </w:rPr>
      </w:r>
      <w:r w:rsidRPr="00F2101E">
        <w:rPr>
          <w:rStyle w:val="aff6"/>
          <w:rtl/>
        </w:rPr>
        <w:fldChar w:fldCharType="separate"/>
      </w:r>
      <w:r>
        <w:rPr>
          <w:rStyle w:val="aff6"/>
          <w:cs/>
        </w:rPr>
        <w:t>‎</w:t>
      </w:r>
      <w:r>
        <w:rPr>
          <w:rStyle w:val="aff6"/>
          <w:rtl/>
        </w:rPr>
        <w:t>ב)</w:t>
      </w:r>
      <w:r w:rsidRPr="00F2101E">
        <w:rPr>
          <w:rStyle w:val="aff6"/>
          <w:rtl/>
        </w:rPr>
        <w:fldChar w:fldCharType="end"/>
      </w:r>
      <w:r>
        <w:rPr>
          <w:rFonts w:hint="cs"/>
          <w:rtl/>
        </w:rPr>
        <w:t xml:space="preserve"> דכתב דלדידן לא תלינן בפגימת המפרקת כיון שאינה פוגמת יותר מהעור, ורק בדשבירת עצמות בכח תלינן, </w:t>
      </w:r>
      <w:r w:rsidRPr="00F2101E">
        <w:rPr>
          <w:rFonts w:hint="cs"/>
          <w:sz w:val="16"/>
          <w:szCs w:val="12"/>
          <w:rtl/>
        </w:rPr>
        <w:t xml:space="preserve">[ומשמע מדברי </w:t>
      </w:r>
      <w:r w:rsidRPr="00F2101E">
        <w:rPr>
          <w:rStyle w:val="affa"/>
          <w:rFonts w:hint="cs"/>
          <w:sz w:val="16"/>
          <w:szCs w:val="12"/>
          <w:rtl/>
        </w:rPr>
        <w:t xml:space="preserve">המרדכי </w:t>
      </w:r>
      <w:r w:rsidRPr="00F2101E">
        <w:rPr>
          <w:rFonts w:hint="cs"/>
          <w:sz w:val="16"/>
          <w:szCs w:val="12"/>
          <w:rtl/>
        </w:rPr>
        <w:t xml:space="preserve">דאף בדברי </w:t>
      </w:r>
      <w:r w:rsidRPr="00F2101E">
        <w:rPr>
          <w:rStyle w:val="affa"/>
          <w:rFonts w:hint="cs"/>
          <w:sz w:val="16"/>
          <w:szCs w:val="12"/>
          <w:rtl/>
        </w:rPr>
        <w:t>רש"י</w:t>
      </w:r>
      <w:r w:rsidRPr="00F2101E">
        <w:rPr>
          <w:rFonts w:hint="cs"/>
          <w:sz w:val="16"/>
          <w:szCs w:val="12"/>
          <w:rtl/>
        </w:rPr>
        <w:t xml:space="preserve"> ביאר דיש ספק אם נגע הסכין במפרקת], </w:t>
      </w:r>
      <w:r>
        <w:rPr>
          <w:rFonts w:hint="cs"/>
          <w:rtl/>
        </w:rPr>
        <w:t xml:space="preserve">אך דחה </w:t>
      </w:r>
      <w:r w:rsidRPr="00F2101E">
        <w:rPr>
          <w:rStyle w:val="affa"/>
          <w:rFonts w:hint="cs"/>
          <w:rtl/>
        </w:rPr>
        <w:t>המרדכי</w:t>
      </w:r>
      <w:r>
        <w:rPr>
          <w:rFonts w:hint="cs"/>
          <w:rtl/>
        </w:rPr>
        <w:t xml:space="preserve"> דאפש"ל דרב חסדא איירי כשנגע הסכין במפרקת ולא נכנס בתוך העצם.</w:t>
      </w:r>
    </w:p>
  </w:footnote>
  <w:footnote w:id="30">
    <w:p w14:paraId="734F1843" w14:textId="77777777" w:rsidR="00345400" w:rsidRDefault="00345400" w:rsidP="00533768">
      <w:pPr>
        <w:pStyle w:val="af"/>
      </w:pPr>
      <w:r>
        <w:rPr>
          <w:rStyle w:val="af1"/>
        </w:rPr>
        <w:footnoteRef/>
      </w:r>
      <w:r>
        <w:rPr>
          <w:rtl/>
        </w:rPr>
        <w:t xml:space="preserve"> </w:t>
      </w:r>
      <w:r>
        <w:rPr>
          <w:rFonts w:hint="cs"/>
          <w:rtl/>
        </w:rPr>
        <w:t>וע"</w:t>
      </w:r>
      <w:r w:rsidRPr="00B3620F">
        <w:rPr>
          <w:rStyle w:val="afb"/>
          <w:rFonts w:hint="cs"/>
          <w:rtl/>
        </w:rPr>
        <w:t xml:space="preserve">ע בדברי </w:t>
      </w:r>
      <w:r w:rsidRPr="00B3620F">
        <w:rPr>
          <w:rStyle w:val="affa"/>
          <w:rFonts w:hint="cs"/>
          <w:rtl/>
        </w:rPr>
        <w:t>הרשב"א בתוה"ב</w:t>
      </w:r>
      <w:r w:rsidRPr="00B3620F">
        <w:rPr>
          <w:rStyle w:val="afb"/>
          <w:rFonts w:hint="cs"/>
          <w:rtl/>
        </w:rPr>
        <w:t xml:space="preserve"> </w:t>
      </w:r>
      <w:r w:rsidRPr="00B3620F">
        <w:rPr>
          <w:rStyle w:val="aff6"/>
          <w:rFonts w:hint="cs"/>
          <w:rtl/>
        </w:rPr>
        <w:t>(ב"א ש"ב דף טז: מדה"ס)</w:t>
      </w:r>
      <w:r w:rsidRPr="00B3620F">
        <w:rPr>
          <w:rStyle w:val="afb"/>
          <w:rFonts w:hint="cs"/>
          <w:rtl/>
        </w:rPr>
        <w:t xml:space="preserve"> דהקשה אמאי בשיבר בה עצמות קיי"ל כרב חסדא ולא כרב הונא, הרי הבהמה בחזקת איסור, וצריך להעמידה על חזקתה, ותירץ </w:t>
      </w:r>
      <w:r w:rsidRPr="00B3620F">
        <w:rPr>
          <w:rStyle w:val="affa"/>
          <w:rFonts w:hint="cs"/>
          <w:rtl/>
        </w:rPr>
        <w:t>הרשב"א בתוה"ב</w:t>
      </w:r>
      <w:r w:rsidRPr="00B3620F">
        <w:rPr>
          <w:rStyle w:val="afb"/>
          <w:rFonts w:hint="cs"/>
          <w:rtl/>
        </w:rPr>
        <w:t xml:space="preserve"> דכיון דלפני השחיטה בדק את הסכין, והבהמה שחוטה לפניך, לכן מעמידים את הסכין על חזקתו שהוא בדוק, ואמרינן דהעצמות פגמו את הסכין.</w:t>
      </w:r>
    </w:p>
  </w:footnote>
  <w:footnote w:id="31">
    <w:p w14:paraId="3C62ABEA" w14:textId="77777777" w:rsidR="00345400" w:rsidRDefault="00345400" w:rsidP="00533768">
      <w:pPr>
        <w:pStyle w:val="af"/>
      </w:pPr>
      <w:r>
        <w:rPr>
          <w:rStyle w:val="af1"/>
        </w:rPr>
        <w:footnoteRef/>
      </w:r>
      <w:r>
        <w:rPr>
          <w:rtl/>
        </w:rPr>
        <w:t xml:space="preserve"> </w:t>
      </w:r>
      <w:r>
        <w:rPr>
          <w:rFonts w:hint="cs"/>
          <w:rtl/>
        </w:rPr>
        <w:t xml:space="preserve">ועי' </w:t>
      </w:r>
      <w:r w:rsidRPr="00742E7B">
        <w:rPr>
          <w:rStyle w:val="affa"/>
          <w:rFonts w:hint="cs"/>
          <w:rtl/>
        </w:rPr>
        <w:t>בחי' אנשי שם</w:t>
      </w:r>
      <w:r>
        <w:rPr>
          <w:rFonts w:hint="cs"/>
          <w:rtl/>
        </w:rPr>
        <w:t xml:space="preserve"> </w:t>
      </w:r>
      <w:r w:rsidRPr="0079622F">
        <w:rPr>
          <w:rStyle w:val="aff6"/>
          <w:rFonts w:hint="cs"/>
          <w:rtl/>
        </w:rPr>
        <w:t>(ג. מדפי הרי"ף אות א', מהדו' "עוז והדר" הג' ציונים אות י')</w:t>
      </w:r>
      <w:r>
        <w:rPr>
          <w:rFonts w:hint="cs"/>
          <w:rtl/>
        </w:rPr>
        <w:t xml:space="preserve"> דכתב </w:t>
      </w:r>
      <w:r w:rsidRPr="00DB6777">
        <w:rPr>
          <w:rStyle w:val="affa"/>
          <w:rFonts w:hint="cs"/>
          <w:rtl/>
        </w:rPr>
        <w:t>דהמרדכי</w:t>
      </w:r>
      <w:r>
        <w:rPr>
          <w:rFonts w:hint="cs"/>
          <w:rtl/>
        </w:rPr>
        <w:t xml:space="preserve"> ס"ל </w:t>
      </w:r>
      <w:r w:rsidRPr="00DB6777">
        <w:rPr>
          <w:rStyle w:val="affa"/>
          <w:rFonts w:hint="cs"/>
          <w:rtl/>
        </w:rPr>
        <w:t>כהרשב"א</w:t>
      </w:r>
      <w:r>
        <w:rPr>
          <w:rFonts w:hint="cs"/>
          <w:rtl/>
        </w:rPr>
        <w:t xml:space="preserve"> </w:t>
      </w:r>
      <w:r w:rsidRPr="00DB6777">
        <w:rPr>
          <w:rStyle w:val="aff6"/>
          <w:rFonts w:hint="cs"/>
          <w:rtl/>
        </w:rPr>
        <w:t xml:space="preserve">(עי' אות </w:t>
      </w:r>
      <w:r w:rsidRPr="00DB6777">
        <w:rPr>
          <w:rStyle w:val="aff6"/>
          <w:rtl/>
        </w:rPr>
        <w:fldChar w:fldCharType="begin"/>
      </w:r>
      <w:r w:rsidRPr="00DB6777">
        <w:rPr>
          <w:rStyle w:val="aff6"/>
          <w:rtl/>
        </w:rPr>
        <w:instrText xml:space="preserve"> </w:instrText>
      </w:r>
      <w:r w:rsidRPr="00DB6777">
        <w:rPr>
          <w:rStyle w:val="aff6"/>
          <w:rFonts w:hint="cs"/>
        </w:rPr>
        <w:instrText>REF</w:instrText>
      </w:r>
      <w:r w:rsidRPr="00DB6777">
        <w:rPr>
          <w:rStyle w:val="aff6"/>
          <w:rFonts w:hint="cs"/>
          <w:rtl/>
        </w:rPr>
        <w:instrText xml:space="preserve"> _</w:instrText>
      </w:r>
      <w:r w:rsidRPr="00DB6777">
        <w:rPr>
          <w:rStyle w:val="aff6"/>
          <w:rFonts w:hint="cs"/>
        </w:rPr>
        <w:instrText>Ref526850040 \r \h</w:instrText>
      </w:r>
      <w:r w:rsidRPr="00DB6777">
        <w:rPr>
          <w:rStyle w:val="aff6"/>
          <w:rtl/>
        </w:rPr>
        <w:instrText xml:space="preserve"> </w:instrText>
      </w:r>
      <w:r w:rsidRPr="00DB6777">
        <w:rPr>
          <w:rStyle w:val="aff6"/>
          <w:rtl/>
        </w:rPr>
      </w:r>
      <w:r w:rsidRPr="00DB6777">
        <w:rPr>
          <w:rStyle w:val="aff6"/>
          <w:rtl/>
        </w:rPr>
        <w:fldChar w:fldCharType="separate"/>
      </w:r>
      <w:r>
        <w:rPr>
          <w:rStyle w:val="aff6"/>
          <w:cs/>
        </w:rPr>
        <w:t>‎</w:t>
      </w:r>
      <w:r>
        <w:rPr>
          <w:rStyle w:val="aff6"/>
          <w:rtl/>
        </w:rPr>
        <w:t>כד)</w:t>
      </w:r>
      <w:r w:rsidRPr="00DB6777">
        <w:rPr>
          <w:rStyle w:val="aff6"/>
          <w:rtl/>
        </w:rPr>
        <w:fldChar w:fldCharType="end"/>
      </w:r>
      <w:r>
        <w:rPr>
          <w:rFonts w:hint="cs"/>
          <w:rtl/>
        </w:rPr>
        <w:t xml:space="preserve"> ודלא </w:t>
      </w:r>
      <w:r w:rsidRPr="00DB6777">
        <w:rPr>
          <w:rStyle w:val="affa"/>
          <w:rFonts w:hint="cs"/>
          <w:rtl/>
        </w:rPr>
        <w:t>כהרמב"ן</w:t>
      </w:r>
      <w:r>
        <w:rPr>
          <w:rFonts w:hint="cs"/>
          <w:rtl/>
        </w:rPr>
        <w:t xml:space="preserve"> </w:t>
      </w:r>
      <w:r w:rsidRPr="00DB6777">
        <w:rPr>
          <w:rStyle w:val="aff6"/>
          <w:rFonts w:hint="cs"/>
          <w:rtl/>
        </w:rPr>
        <w:t xml:space="preserve">(עי' אות </w:t>
      </w:r>
      <w:r w:rsidRPr="00DB6777">
        <w:rPr>
          <w:rStyle w:val="aff6"/>
          <w:rtl/>
        </w:rPr>
        <w:fldChar w:fldCharType="begin"/>
      </w:r>
      <w:r w:rsidRPr="00DB6777">
        <w:rPr>
          <w:rStyle w:val="aff6"/>
          <w:rtl/>
        </w:rPr>
        <w:instrText xml:space="preserve"> </w:instrText>
      </w:r>
      <w:r w:rsidRPr="00DB6777">
        <w:rPr>
          <w:rStyle w:val="aff6"/>
          <w:rFonts w:hint="cs"/>
        </w:rPr>
        <w:instrText>REF</w:instrText>
      </w:r>
      <w:r w:rsidRPr="00DB6777">
        <w:rPr>
          <w:rStyle w:val="aff6"/>
          <w:rFonts w:hint="cs"/>
          <w:rtl/>
        </w:rPr>
        <w:instrText xml:space="preserve"> _</w:instrText>
      </w:r>
      <w:r w:rsidRPr="00DB6777">
        <w:rPr>
          <w:rStyle w:val="aff6"/>
          <w:rFonts w:hint="cs"/>
        </w:rPr>
        <w:instrText>Ref526850048 \r \h</w:instrText>
      </w:r>
      <w:r w:rsidRPr="00DB6777">
        <w:rPr>
          <w:rStyle w:val="aff6"/>
          <w:rtl/>
        </w:rPr>
        <w:instrText xml:space="preserve"> </w:instrText>
      </w:r>
      <w:r w:rsidRPr="00DB6777">
        <w:rPr>
          <w:rStyle w:val="aff6"/>
          <w:rtl/>
        </w:rPr>
      </w:r>
      <w:r w:rsidRPr="00DB6777">
        <w:rPr>
          <w:rStyle w:val="aff6"/>
          <w:rtl/>
        </w:rPr>
        <w:fldChar w:fldCharType="separate"/>
      </w:r>
      <w:r>
        <w:rPr>
          <w:rStyle w:val="aff6"/>
          <w:cs/>
        </w:rPr>
        <w:t>‎</w:t>
      </w:r>
      <w:r>
        <w:rPr>
          <w:rStyle w:val="aff6"/>
          <w:rtl/>
        </w:rPr>
        <w:t>כג)</w:t>
      </w:r>
      <w:r w:rsidRPr="00DB6777">
        <w:rPr>
          <w:rStyle w:val="aff6"/>
          <w:rtl/>
        </w:rPr>
        <w:fldChar w:fldCharType="end"/>
      </w:r>
      <w:r>
        <w:rPr>
          <w:rFonts w:hint="cs"/>
          <w:rtl/>
        </w:rPr>
        <w:t>.</w:t>
      </w:r>
    </w:p>
  </w:footnote>
  <w:footnote w:id="32">
    <w:p w14:paraId="306A074D" w14:textId="77777777" w:rsidR="00345400" w:rsidRDefault="00345400" w:rsidP="00533768">
      <w:pPr>
        <w:pStyle w:val="af"/>
      </w:pPr>
      <w:r>
        <w:rPr>
          <w:rStyle w:val="af1"/>
        </w:rPr>
        <w:footnoteRef/>
      </w:r>
      <w:r>
        <w:rPr>
          <w:rtl/>
        </w:rPr>
        <w:t xml:space="preserve"> </w:t>
      </w:r>
      <w:r>
        <w:rPr>
          <w:rFonts w:hint="cs"/>
          <w:rtl/>
        </w:rPr>
        <w:t>וכעין סברא זו הביא</w:t>
      </w:r>
      <w:r w:rsidRPr="001C5E76">
        <w:rPr>
          <w:rStyle w:val="affa"/>
          <w:rFonts w:hint="cs"/>
          <w:rtl/>
        </w:rPr>
        <w:t xml:space="preserve"> הטור </w:t>
      </w:r>
      <w:r w:rsidRPr="001C5E76">
        <w:rPr>
          <w:rStyle w:val="aff6"/>
          <w:rFonts w:hint="cs"/>
          <w:rtl/>
        </w:rPr>
        <w:t>(י"ח ט"ו)</w:t>
      </w:r>
      <w:r w:rsidRPr="001C5E76">
        <w:rPr>
          <w:rStyle w:val="affa"/>
          <w:rFonts w:hint="cs"/>
          <w:rtl/>
        </w:rPr>
        <w:t xml:space="preserve"> </w:t>
      </w:r>
      <w:r>
        <w:rPr>
          <w:rFonts w:hint="cs"/>
          <w:rtl/>
        </w:rPr>
        <w:t xml:space="preserve">בשם </w:t>
      </w:r>
      <w:r w:rsidRPr="001C5E76">
        <w:rPr>
          <w:rStyle w:val="affa"/>
          <w:rFonts w:hint="cs"/>
          <w:rtl/>
        </w:rPr>
        <w:t xml:space="preserve">העיטור </w:t>
      </w:r>
      <w:r w:rsidRPr="001C5E76">
        <w:rPr>
          <w:rStyle w:val="aff6"/>
          <w:rFonts w:hint="cs"/>
          <w:rtl/>
        </w:rPr>
        <w:t xml:space="preserve">(ש"ב הלכות שחיטה ח"ב עמ' כד:, הועתק בקובץ שיטות קמאי חולין ח"א עמ' ר"ג) </w:t>
      </w:r>
      <w:r>
        <w:rPr>
          <w:rFonts w:hint="cs"/>
          <w:rtl/>
        </w:rPr>
        <w:t xml:space="preserve">דכתב דאף אם נמצאת המפרקת פגומה השחיטה פסולה, דכיון שנפגמה המפרקת בדרך שחיטה לא דמי לשיבר בה </w:t>
      </w:r>
      <w:r w:rsidRPr="001C5E76">
        <w:rPr>
          <w:rStyle w:val="afb"/>
          <w:rFonts w:hint="cs"/>
          <w:rtl/>
        </w:rPr>
        <w:t>עצמות, וכתב</w:t>
      </w:r>
      <w:r w:rsidRPr="001C5E76">
        <w:rPr>
          <w:rStyle w:val="affa"/>
          <w:rFonts w:hint="cs"/>
          <w:rtl/>
        </w:rPr>
        <w:t xml:space="preserve"> העיטור דרבותיו</w:t>
      </w:r>
      <w:r>
        <w:rPr>
          <w:rFonts w:hint="cs"/>
          <w:rtl/>
        </w:rPr>
        <w:t xml:space="preserve"> נחלקו עליו בזה.</w:t>
      </w:r>
      <w:r w:rsidRPr="00567EB1">
        <w:rPr>
          <w:rFonts w:hint="cs"/>
          <w:rtl/>
        </w:rPr>
        <w:t xml:space="preserve"> </w:t>
      </w:r>
      <w:r>
        <w:rPr>
          <w:rFonts w:hint="cs"/>
          <w:rtl/>
        </w:rPr>
        <w:t xml:space="preserve">וכתב  </w:t>
      </w:r>
      <w:r w:rsidRPr="001C5E76">
        <w:rPr>
          <w:rStyle w:val="affa"/>
          <w:rFonts w:hint="cs"/>
          <w:rtl/>
        </w:rPr>
        <w:t>הב"י</w:t>
      </w:r>
      <w:r>
        <w:rPr>
          <w:rFonts w:hint="cs"/>
          <w:rtl/>
        </w:rPr>
        <w:t xml:space="preserve"> </w:t>
      </w:r>
      <w:r w:rsidRPr="001C5E76">
        <w:rPr>
          <w:rStyle w:val="aff6"/>
          <w:rFonts w:hint="cs"/>
          <w:rtl/>
        </w:rPr>
        <w:t>(י"ח ט"ו)</w:t>
      </w:r>
      <w:r>
        <w:rPr>
          <w:rFonts w:hint="cs"/>
          <w:rtl/>
        </w:rPr>
        <w:t xml:space="preserve"> דנראה </w:t>
      </w:r>
      <w:r w:rsidRPr="001C5E76">
        <w:rPr>
          <w:rStyle w:val="affa"/>
          <w:rFonts w:hint="cs"/>
          <w:rtl/>
        </w:rPr>
        <w:t>דהעיטור</w:t>
      </w:r>
      <w:r>
        <w:rPr>
          <w:rFonts w:hint="cs"/>
          <w:rtl/>
        </w:rPr>
        <w:t xml:space="preserve"> לא פליג על </w:t>
      </w:r>
      <w:r w:rsidRPr="00EA79A8">
        <w:rPr>
          <w:rStyle w:val="affa"/>
          <w:rFonts w:hint="cs"/>
          <w:rtl/>
        </w:rPr>
        <w:t xml:space="preserve">המרדכי </w:t>
      </w:r>
      <w:r w:rsidRPr="00533EFA">
        <w:rPr>
          <w:rStyle w:val="aff6"/>
          <w:rFonts w:hint="cs"/>
          <w:rtl/>
        </w:rPr>
        <w:t xml:space="preserve">(עי' אות </w:t>
      </w:r>
      <w:r w:rsidRPr="00533EFA">
        <w:rPr>
          <w:rStyle w:val="aff6"/>
          <w:rtl/>
        </w:rPr>
        <w:fldChar w:fldCharType="begin"/>
      </w:r>
      <w:r w:rsidRPr="00533EFA">
        <w:rPr>
          <w:rStyle w:val="aff6"/>
          <w:rtl/>
        </w:rPr>
        <w:instrText xml:space="preserve"> </w:instrText>
      </w:r>
      <w:r w:rsidRPr="00533EFA">
        <w:rPr>
          <w:rStyle w:val="aff6"/>
          <w:rFonts w:hint="cs"/>
        </w:rPr>
        <w:instrText>REF</w:instrText>
      </w:r>
      <w:r w:rsidRPr="00533EFA">
        <w:rPr>
          <w:rStyle w:val="aff6"/>
          <w:rFonts w:hint="cs"/>
          <w:rtl/>
        </w:rPr>
        <w:instrText xml:space="preserve"> _</w:instrText>
      </w:r>
      <w:r w:rsidRPr="00533EFA">
        <w:rPr>
          <w:rStyle w:val="aff6"/>
          <w:rFonts w:hint="cs"/>
        </w:rPr>
        <w:instrText>Ref526848950 \r \h</w:instrText>
      </w:r>
      <w:r w:rsidRPr="00533EFA">
        <w:rPr>
          <w:rStyle w:val="aff6"/>
          <w:rtl/>
        </w:rPr>
        <w:instrText xml:space="preserve"> </w:instrText>
      </w:r>
      <w:r w:rsidRPr="00533EFA">
        <w:rPr>
          <w:rStyle w:val="aff6"/>
          <w:rtl/>
        </w:rPr>
      </w:r>
      <w:r w:rsidRPr="00533EFA">
        <w:rPr>
          <w:rStyle w:val="aff6"/>
          <w:rtl/>
        </w:rPr>
        <w:fldChar w:fldCharType="separate"/>
      </w:r>
      <w:r>
        <w:rPr>
          <w:rStyle w:val="aff6"/>
          <w:cs/>
        </w:rPr>
        <w:t>‎</w:t>
      </w:r>
      <w:r>
        <w:rPr>
          <w:rStyle w:val="aff6"/>
          <w:rtl/>
        </w:rPr>
        <w:t>כ)</w:t>
      </w:r>
      <w:r w:rsidRPr="00533EFA">
        <w:rPr>
          <w:rStyle w:val="aff6"/>
          <w:rtl/>
        </w:rPr>
        <w:fldChar w:fldCharType="end"/>
      </w:r>
      <w:r>
        <w:rPr>
          <w:rFonts w:hint="cs"/>
          <w:rtl/>
        </w:rPr>
        <w:t xml:space="preserve">, ובסו"ד כתב </w:t>
      </w:r>
      <w:r w:rsidRPr="00EA79A8">
        <w:rPr>
          <w:rStyle w:val="affa"/>
          <w:rFonts w:hint="cs"/>
          <w:rtl/>
        </w:rPr>
        <w:t>הב"י</w:t>
      </w:r>
      <w:r>
        <w:rPr>
          <w:rFonts w:hint="cs"/>
          <w:rtl/>
        </w:rPr>
        <w:t xml:space="preserve"> דס"ל </w:t>
      </w:r>
      <w:r>
        <w:rPr>
          <w:rStyle w:val="affa"/>
          <w:rFonts w:hint="cs"/>
          <w:rtl/>
        </w:rPr>
        <w:t xml:space="preserve">להעיטור </w:t>
      </w:r>
      <w:r w:rsidRPr="001C5E76">
        <w:rPr>
          <w:rStyle w:val="affa"/>
          <w:rFonts w:hint="cs"/>
          <w:rtl/>
        </w:rPr>
        <w:t>כהרשב"א</w:t>
      </w:r>
      <w:r>
        <w:rPr>
          <w:rFonts w:hint="cs"/>
          <w:rtl/>
        </w:rPr>
        <w:t xml:space="preserve">, וכתב </w:t>
      </w:r>
      <w:r w:rsidRPr="00EA79A8">
        <w:rPr>
          <w:rStyle w:val="affa"/>
          <w:rFonts w:hint="cs"/>
          <w:rtl/>
        </w:rPr>
        <w:t>הב"ח</w:t>
      </w:r>
      <w:r>
        <w:rPr>
          <w:rFonts w:hint="cs"/>
          <w:rtl/>
        </w:rPr>
        <w:t xml:space="preserve"> </w:t>
      </w:r>
      <w:r w:rsidRPr="00EA79A8">
        <w:rPr>
          <w:rStyle w:val="aff6"/>
          <w:rFonts w:hint="cs"/>
          <w:rtl/>
        </w:rPr>
        <w:t>(י"ח כ')</w:t>
      </w:r>
      <w:r>
        <w:rPr>
          <w:rFonts w:hint="cs"/>
          <w:rtl/>
        </w:rPr>
        <w:t xml:space="preserve"> דלמסקנת </w:t>
      </w:r>
      <w:r w:rsidRPr="00EA79A8">
        <w:rPr>
          <w:rStyle w:val="affa"/>
          <w:rFonts w:hint="cs"/>
          <w:rtl/>
        </w:rPr>
        <w:t>הב"י העיטור</w:t>
      </w:r>
      <w:r>
        <w:rPr>
          <w:rFonts w:hint="cs"/>
          <w:rtl/>
        </w:rPr>
        <w:t xml:space="preserve"> פליג על </w:t>
      </w:r>
      <w:r w:rsidRPr="00EA79A8">
        <w:rPr>
          <w:rStyle w:val="affa"/>
          <w:rFonts w:hint="cs"/>
          <w:rtl/>
        </w:rPr>
        <w:t>המרדכי</w:t>
      </w:r>
      <w:r>
        <w:rPr>
          <w:rFonts w:hint="cs"/>
          <w:rtl/>
        </w:rPr>
        <w:t>.</w:t>
      </w:r>
    </w:p>
  </w:footnote>
  <w:footnote w:id="33">
    <w:p w14:paraId="6EA6DFE6" w14:textId="77777777" w:rsidR="00345400" w:rsidRDefault="00345400" w:rsidP="00533768">
      <w:pPr>
        <w:pStyle w:val="af"/>
        <w:rPr>
          <w:rtl/>
        </w:rPr>
      </w:pPr>
      <w:r>
        <w:rPr>
          <w:rStyle w:val="af1"/>
        </w:rPr>
        <w:footnoteRef/>
      </w:r>
      <w:r>
        <w:rPr>
          <w:rtl/>
        </w:rPr>
        <w:t xml:space="preserve"> </w:t>
      </w:r>
      <w:r>
        <w:rPr>
          <w:rFonts w:hint="cs"/>
          <w:rtl/>
        </w:rPr>
        <w:t xml:space="preserve">ועי' </w:t>
      </w:r>
      <w:r w:rsidRPr="00742E7B">
        <w:rPr>
          <w:rStyle w:val="affa"/>
          <w:rFonts w:hint="cs"/>
          <w:rtl/>
        </w:rPr>
        <w:t>בחי' אנשי שם</w:t>
      </w:r>
      <w:r>
        <w:rPr>
          <w:rFonts w:hint="cs"/>
          <w:rtl/>
        </w:rPr>
        <w:t xml:space="preserve"> </w:t>
      </w:r>
      <w:r w:rsidRPr="0079622F">
        <w:rPr>
          <w:rStyle w:val="aff6"/>
          <w:rFonts w:hint="cs"/>
          <w:rtl/>
        </w:rPr>
        <w:t>(ג. מדפי הרי"ף אות א', מהדו' "עוז והדר" הג' ציונים אות י')</w:t>
      </w:r>
      <w:r>
        <w:rPr>
          <w:rFonts w:hint="cs"/>
          <w:rtl/>
        </w:rPr>
        <w:t xml:space="preserve"> דכתב דיתכן דכוונת </w:t>
      </w:r>
      <w:r w:rsidRPr="0079622F">
        <w:rPr>
          <w:rStyle w:val="affa"/>
          <w:rFonts w:hint="cs"/>
          <w:rtl/>
        </w:rPr>
        <w:t>הרא"ש</w:t>
      </w:r>
      <w:r>
        <w:rPr>
          <w:rFonts w:hint="cs"/>
          <w:rtl/>
        </w:rPr>
        <w:t xml:space="preserve"> דאף בנמצא חתך במפרקת לא תלינן שפגמה את הסכין, ודלא </w:t>
      </w:r>
      <w:r>
        <w:rPr>
          <w:rStyle w:val="affa"/>
          <w:rFonts w:hint="cs"/>
          <w:rtl/>
        </w:rPr>
        <w:t>כ</w:t>
      </w:r>
      <w:r w:rsidRPr="00EA79A8">
        <w:rPr>
          <w:rStyle w:val="affa"/>
          <w:rFonts w:hint="cs"/>
          <w:rtl/>
        </w:rPr>
        <w:t xml:space="preserve">המרדכי </w:t>
      </w:r>
      <w:r w:rsidRPr="00533EFA">
        <w:rPr>
          <w:rStyle w:val="aff6"/>
          <w:rFonts w:hint="cs"/>
          <w:rtl/>
        </w:rPr>
        <w:t xml:space="preserve">(עי' אות </w:t>
      </w:r>
      <w:r w:rsidRPr="00533EFA">
        <w:rPr>
          <w:rStyle w:val="aff6"/>
          <w:rtl/>
        </w:rPr>
        <w:fldChar w:fldCharType="begin"/>
      </w:r>
      <w:r w:rsidRPr="00533EFA">
        <w:rPr>
          <w:rStyle w:val="aff6"/>
          <w:rtl/>
        </w:rPr>
        <w:instrText xml:space="preserve"> </w:instrText>
      </w:r>
      <w:r w:rsidRPr="00533EFA">
        <w:rPr>
          <w:rStyle w:val="aff6"/>
          <w:rFonts w:hint="cs"/>
        </w:rPr>
        <w:instrText>REF</w:instrText>
      </w:r>
      <w:r w:rsidRPr="00533EFA">
        <w:rPr>
          <w:rStyle w:val="aff6"/>
          <w:rFonts w:hint="cs"/>
          <w:rtl/>
        </w:rPr>
        <w:instrText xml:space="preserve"> _</w:instrText>
      </w:r>
      <w:r w:rsidRPr="00533EFA">
        <w:rPr>
          <w:rStyle w:val="aff6"/>
          <w:rFonts w:hint="cs"/>
        </w:rPr>
        <w:instrText>Ref526848950 \r \h</w:instrText>
      </w:r>
      <w:r w:rsidRPr="00533EFA">
        <w:rPr>
          <w:rStyle w:val="aff6"/>
          <w:rtl/>
        </w:rPr>
        <w:instrText xml:space="preserve"> </w:instrText>
      </w:r>
      <w:r w:rsidRPr="00533EFA">
        <w:rPr>
          <w:rStyle w:val="aff6"/>
          <w:rtl/>
        </w:rPr>
      </w:r>
      <w:r w:rsidRPr="00533EFA">
        <w:rPr>
          <w:rStyle w:val="aff6"/>
          <w:rtl/>
        </w:rPr>
        <w:fldChar w:fldCharType="separate"/>
      </w:r>
      <w:r>
        <w:rPr>
          <w:rStyle w:val="aff6"/>
          <w:cs/>
        </w:rPr>
        <w:t>‎</w:t>
      </w:r>
      <w:r>
        <w:rPr>
          <w:rStyle w:val="aff6"/>
          <w:rtl/>
        </w:rPr>
        <w:t>כ)</w:t>
      </w:r>
      <w:r w:rsidRPr="00533EFA">
        <w:rPr>
          <w:rStyle w:val="aff6"/>
          <w:rtl/>
        </w:rPr>
        <w:fldChar w:fldCharType="end"/>
      </w:r>
      <w:r>
        <w:rPr>
          <w:rFonts w:hint="cs"/>
          <w:rtl/>
        </w:rPr>
        <w:t>.</w:t>
      </w:r>
    </w:p>
  </w:footnote>
  <w:footnote w:id="34">
    <w:p w14:paraId="12E86CF9" w14:textId="77777777" w:rsidR="00345400" w:rsidRDefault="00345400" w:rsidP="00533768">
      <w:pPr>
        <w:pStyle w:val="af"/>
        <w:rPr>
          <w:rStyle w:val="aff6"/>
        </w:rPr>
      </w:pPr>
      <w:r>
        <w:rPr>
          <w:rStyle w:val="af1"/>
        </w:rPr>
        <w:footnoteRef/>
      </w:r>
      <w:r>
        <w:rPr>
          <w:rFonts w:hint="cs"/>
          <w:rtl/>
        </w:rPr>
        <w:t xml:space="preserve"> </w:t>
      </w:r>
      <w:r>
        <w:rPr>
          <w:rFonts w:hint="cs"/>
          <w:rtl/>
        </w:rPr>
        <w:t xml:space="preserve">נד' בקובץ של כמה ספרי קדמונים על שחיטה, כשהספר הראשון הוא </w:t>
      </w:r>
      <w:r>
        <w:rPr>
          <w:rFonts w:cstheme="minorBidi"/>
          <w:rtl/>
        </w:rPr>
        <w:t>"</w:t>
      </w:r>
      <w:r>
        <w:rPr>
          <w:rFonts w:hint="cs"/>
          <w:rtl/>
        </w:rPr>
        <w:t>ספר ראומה</w:t>
      </w:r>
      <w:r>
        <w:rPr>
          <w:rFonts w:cstheme="minorBidi"/>
          <w:rtl/>
        </w:rPr>
        <w:t>"</w:t>
      </w:r>
      <w:r>
        <w:rPr>
          <w:rFonts w:hint="cs"/>
          <w:rtl/>
        </w:rPr>
        <w:t xml:space="preserve">. </w:t>
      </w:r>
      <w:r>
        <w:rPr>
          <w:rStyle w:val="aff6"/>
          <w:rtl/>
        </w:rPr>
        <w:t>[ספר קטן בכריכה כחולה כששמות כל הספרים מודפסים על הכריכה].</w:t>
      </w:r>
    </w:p>
  </w:footnote>
  <w:footnote w:id="35">
    <w:p w14:paraId="79A94E04" w14:textId="77777777" w:rsidR="00345400" w:rsidRDefault="00345400" w:rsidP="00533768">
      <w:pPr>
        <w:pStyle w:val="af"/>
        <w:rPr>
          <w:rStyle w:val="aff6"/>
        </w:rPr>
      </w:pPr>
      <w:r>
        <w:rPr>
          <w:rStyle w:val="af1"/>
        </w:rPr>
        <w:footnoteRef/>
      </w:r>
      <w:r>
        <w:rPr>
          <w:rFonts w:hint="cs"/>
          <w:rtl/>
        </w:rPr>
        <w:t xml:space="preserve"> </w:t>
      </w:r>
      <w:r>
        <w:rPr>
          <w:rFonts w:hint="cs"/>
          <w:rtl/>
        </w:rPr>
        <w:t xml:space="preserve">נד' בקובץ של כמה ספרי קדמונים על שחיטה, כשהספר הראשון הוא </w:t>
      </w:r>
      <w:r>
        <w:rPr>
          <w:rFonts w:cstheme="minorBidi"/>
          <w:rtl/>
        </w:rPr>
        <w:t>"</w:t>
      </w:r>
      <w:r>
        <w:rPr>
          <w:rFonts w:hint="cs"/>
          <w:rtl/>
        </w:rPr>
        <w:t>ספר ראומה</w:t>
      </w:r>
      <w:r>
        <w:rPr>
          <w:rFonts w:cstheme="minorBidi"/>
          <w:rtl/>
        </w:rPr>
        <w:t>"</w:t>
      </w:r>
      <w:r>
        <w:rPr>
          <w:rFonts w:hint="cs"/>
          <w:rtl/>
        </w:rPr>
        <w:t xml:space="preserve">. </w:t>
      </w:r>
      <w:r>
        <w:rPr>
          <w:rStyle w:val="aff6"/>
          <w:rtl/>
        </w:rPr>
        <w:t>[ספר קטן בכריכה כחולה כששמות כל הספרים מודפסים על הכריכה].</w:t>
      </w:r>
    </w:p>
  </w:footnote>
  <w:footnote w:id="36">
    <w:p w14:paraId="6F22ED2E" w14:textId="77777777" w:rsidR="00345400" w:rsidRDefault="00345400" w:rsidP="00533768">
      <w:pPr>
        <w:pStyle w:val="af"/>
        <w:rPr>
          <w:rtl/>
        </w:rPr>
      </w:pPr>
      <w:r>
        <w:rPr>
          <w:rStyle w:val="af1"/>
        </w:rPr>
        <w:footnoteRef/>
      </w:r>
      <w:r>
        <w:rPr>
          <w:rtl/>
        </w:rPr>
        <w:t xml:space="preserve"> </w:t>
      </w:r>
      <w:r>
        <w:rPr>
          <w:rFonts w:hint="cs"/>
          <w:rtl/>
        </w:rPr>
        <w:t xml:space="preserve">ועי' </w:t>
      </w:r>
      <w:r w:rsidRPr="00742E7B">
        <w:rPr>
          <w:rStyle w:val="affa"/>
          <w:rFonts w:hint="cs"/>
          <w:rtl/>
        </w:rPr>
        <w:t>בחי' אנשי שם</w:t>
      </w:r>
      <w:r>
        <w:rPr>
          <w:rFonts w:hint="cs"/>
          <w:rtl/>
        </w:rPr>
        <w:t xml:space="preserve"> </w:t>
      </w:r>
      <w:r w:rsidRPr="0079622F">
        <w:rPr>
          <w:rStyle w:val="aff6"/>
          <w:rFonts w:hint="cs"/>
          <w:rtl/>
        </w:rPr>
        <w:t>(ג. מדפי הרי"ף אות א', מהדו' "עוז והדר" הג' ציונים אות י')</w:t>
      </w:r>
      <w:r>
        <w:rPr>
          <w:rFonts w:hint="cs"/>
          <w:rtl/>
        </w:rPr>
        <w:t xml:space="preserve"> דכתב דיתכן דכוונת </w:t>
      </w:r>
      <w:r w:rsidRPr="0079622F">
        <w:rPr>
          <w:rStyle w:val="affa"/>
          <w:rFonts w:hint="cs"/>
          <w:rtl/>
        </w:rPr>
        <w:t>הרא"ש</w:t>
      </w:r>
      <w:r>
        <w:rPr>
          <w:rFonts w:hint="cs"/>
          <w:rtl/>
        </w:rPr>
        <w:t xml:space="preserve"> דאף בנמצא חתך במפרקת לא תלינן שפגמה את הסכין, ודלא </w:t>
      </w:r>
      <w:r>
        <w:rPr>
          <w:rStyle w:val="affa"/>
          <w:rFonts w:hint="cs"/>
          <w:rtl/>
        </w:rPr>
        <w:t>כ</w:t>
      </w:r>
      <w:r w:rsidRPr="00EA79A8">
        <w:rPr>
          <w:rStyle w:val="affa"/>
          <w:rFonts w:hint="cs"/>
          <w:rtl/>
        </w:rPr>
        <w:t xml:space="preserve">המרדכי </w:t>
      </w:r>
      <w:r w:rsidRPr="00533EFA">
        <w:rPr>
          <w:rStyle w:val="aff6"/>
          <w:rFonts w:hint="cs"/>
          <w:rtl/>
        </w:rPr>
        <w:t xml:space="preserve">(עי' אות </w:t>
      </w:r>
      <w:r w:rsidRPr="00533EFA">
        <w:rPr>
          <w:rStyle w:val="aff6"/>
          <w:rtl/>
        </w:rPr>
        <w:fldChar w:fldCharType="begin"/>
      </w:r>
      <w:r w:rsidRPr="00533EFA">
        <w:rPr>
          <w:rStyle w:val="aff6"/>
          <w:rtl/>
        </w:rPr>
        <w:instrText xml:space="preserve"> </w:instrText>
      </w:r>
      <w:r w:rsidRPr="00533EFA">
        <w:rPr>
          <w:rStyle w:val="aff6"/>
          <w:rFonts w:hint="cs"/>
        </w:rPr>
        <w:instrText>REF</w:instrText>
      </w:r>
      <w:r w:rsidRPr="00533EFA">
        <w:rPr>
          <w:rStyle w:val="aff6"/>
          <w:rFonts w:hint="cs"/>
          <w:rtl/>
        </w:rPr>
        <w:instrText xml:space="preserve"> _</w:instrText>
      </w:r>
      <w:r w:rsidRPr="00533EFA">
        <w:rPr>
          <w:rStyle w:val="aff6"/>
          <w:rFonts w:hint="cs"/>
        </w:rPr>
        <w:instrText>Ref526848950 \r \h</w:instrText>
      </w:r>
      <w:r w:rsidRPr="00533EFA">
        <w:rPr>
          <w:rStyle w:val="aff6"/>
          <w:rtl/>
        </w:rPr>
        <w:instrText xml:space="preserve"> </w:instrText>
      </w:r>
      <w:r w:rsidRPr="00533EFA">
        <w:rPr>
          <w:rStyle w:val="aff6"/>
          <w:rtl/>
        </w:rPr>
      </w:r>
      <w:r w:rsidRPr="00533EFA">
        <w:rPr>
          <w:rStyle w:val="aff6"/>
          <w:rtl/>
        </w:rPr>
        <w:fldChar w:fldCharType="separate"/>
      </w:r>
      <w:r>
        <w:rPr>
          <w:rStyle w:val="aff6"/>
          <w:cs/>
        </w:rPr>
        <w:t>‎</w:t>
      </w:r>
      <w:r>
        <w:rPr>
          <w:rStyle w:val="aff6"/>
          <w:rtl/>
        </w:rPr>
        <w:t>כ)</w:t>
      </w:r>
      <w:r w:rsidRPr="00533EFA">
        <w:rPr>
          <w:rStyle w:val="aff6"/>
          <w:rtl/>
        </w:rPr>
        <w:fldChar w:fldCharType="end"/>
      </w:r>
      <w:r>
        <w:rPr>
          <w:rFonts w:hint="cs"/>
          <w:rtl/>
        </w:rPr>
        <w:t>.</w:t>
      </w:r>
    </w:p>
  </w:footnote>
  <w:footnote w:id="37">
    <w:p w14:paraId="29F1F61F" w14:textId="77777777" w:rsidR="00345400" w:rsidRDefault="00345400" w:rsidP="00045367">
      <w:pPr>
        <w:pStyle w:val="af"/>
        <w:rPr>
          <w:rtl/>
        </w:rPr>
      </w:pPr>
      <w:r>
        <w:rPr>
          <w:rStyle w:val="af1"/>
        </w:rPr>
        <w:footnoteRef/>
      </w:r>
      <w:r>
        <w:rPr>
          <w:rtl/>
        </w:rPr>
        <w:t xml:space="preserve"> </w:t>
      </w:r>
      <w:r>
        <w:rPr>
          <w:rStyle w:val="afb"/>
          <w:rFonts w:hint="cs"/>
          <w:rtl/>
        </w:rPr>
        <w:t xml:space="preserve">והיינו </w:t>
      </w:r>
      <w:r w:rsidRPr="00B47789">
        <w:rPr>
          <w:rStyle w:val="affa"/>
          <w:rFonts w:hint="cs"/>
          <w:rtl/>
        </w:rPr>
        <w:t>כתירוץ ה</w:t>
      </w:r>
      <w:r>
        <w:rPr>
          <w:rStyle w:val="affa"/>
          <w:rFonts w:hint="cs"/>
          <w:rtl/>
        </w:rPr>
        <w:t>ב'</w:t>
      </w:r>
      <w:r w:rsidRPr="00B47789">
        <w:rPr>
          <w:rStyle w:val="affa"/>
          <w:rFonts w:hint="cs"/>
          <w:rtl/>
        </w:rPr>
        <w:t xml:space="preserve"> בתוס'</w:t>
      </w:r>
      <w:r w:rsidRPr="00B47789">
        <w:rPr>
          <w:rStyle w:val="afb"/>
          <w:rFonts w:hint="cs"/>
          <w:rtl/>
        </w:rPr>
        <w:t xml:space="preserve"> </w:t>
      </w:r>
      <w:r w:rsidRPr="002D5983">
        <w:rPr>
          <w:rStyle w:val="aff6"/>
          <w:rFonts w:hint="cs"/>
          <w:rtl/>
        </w:rPr>
        <w:t xml:space="preserve">(י. </w:t>
      </w:r>
      <w:r>
        <w:rPr>
          <w:rStyle w:val="aff6"/>
          <w:rFonts w:hint="cs"/>
          <w:rtl/>
        </w:rPr>
        <w:t>ד"ה ה"נ, הובא לעיל סימן ה' אות יח</w:t>
      </w:r>
      <w:r w:rsidRPr="002D5983">
        <w:rPr>
          <w:rStyle w:val="aff6"/>
          <w:rFonts w:hint="cs"/>
          <w:rtl/>
        </w:rPr>
        <w:t xml:space="preserve">) </w:t>
      </w:r>
      <w:r w:rsidRPr="007E4CEB">
        <w:rPr>
          <w:rStyle w:val="afb"/>
          <w:rFonts w:hint="cs"/>
          <w:rtl/>
        </w:rPr>
        <w:t xml:space="preserve">ולא </w:t>
      </w:r>
      <w:r w:rsidRPr="00B47789">
        <w:rPr>
          <w:rStyle w:val="affa"/>
          <w:rFonts w:hint="cs"/>
          <w:rtl/>
        </w:rPr>
        <w:t>כתירוץ הא</w:t>
      </w:r>
      <w:r>
        <w:rPr>
          <w:rStyle w:val="affa"/>
          <w:rFonts w:hint="cs"/>
          <w:rtl/>
        </w:rPr>
        <w:t>'</w:t>
      </w:r>
      <w:r w:rsidRPr="00B47789">
        <w:rPr>
          <w:rStyle w:val="affa"/>
          <w:rFonts w:hint="cs"/>
          <w:rtl/>
        </w:rPr>
        <w:t xml:space="preserve"> בתוס'</w:t>
      </w:r>
      <w:r w:rsidRPr="00B47789">
        <w:rPr>
          <w:rStyle w:val="afb"/>
          <w:rFonts w:hint="cs"/>
          <w:rtl/>
        </w:rPr>
        <w:t xml:space="preserve"> </w:t>
      </w:r>
      <w:r w:rsidRPr="002D5983">
        <w:rPr>
          <w:rStyle w:val="aff6"/>
          <w:rFonts w:hint="cs"/>
          <w:rtl/>
        </w:rPr>
        <w:t xml:space="preserve">(י. </w:t>
      </w:r>
      <w:r>
        <w:rPr>
          <w:rStyle w:val="aff6"/>
          <w:rFonts w:hint="cs"/>
          <w:rtl/>
        </w:rPr>
        <w:t>ד"ה ה"נ, הובא לעיל סימן ה' אות כו</w:t>
      </w:r>
      <w:r w:rsidRPr="002D5983">
        <w:rPr>
          <w:rStyle w:val="aff6"/>
          <w:rFonts w:hint="cs"/>
          <w:rtl/>
        </w:rPr>
        <w:t>)</w:t>
      </w:r>
      <w:r>
        <w:rPr>
          <w:rStyle w:val="af7"/>
          <w:rFonts w:eastAsia="Guttman Hodes" w:hint="cs"/>
          <w:rtl/>
        </w:rPr>
        <w:t xml:space="preserve"> </w:t>
      </w:r>
      <w:r w:rsidRPr="007E4CEB">
        <w:rPr>
          <w:rStyle w:val="afb"/>
          <w:rFonts w:hint="cs"/>
          <w:rtl/>
        </w:rPr>
        <w:t>דאין בסכין חסר ואתאי</w:t>
      </w:r>
      <w:r>
        <w:rPr>
          <w:rFonts w:hint="cs"/>
          <w:rtl/>
        </w:rPr>
        <w:t>.</w:t>
      </w:r>
    </w:p>
  </w:footnote>
  <w:footnote w:id="38">
    <w:p w14:paraId="427BD934" w14:textId="77777777" w:rsidR="00345400" w:rsidRDefault="00345400" w:rsidP="00FF5773">
      <w:pPr>
        <w:pStyle w:val="af"/>
      </w:pPr>
      <w:r>
        <w:rPr>
          <w:rStyle w:val="af1"/>
        </w:rPr>
        <w:footnoteRef/>
      </w:r>
      <w:r>
        <w:rPr>
          <w:rtl/>
        </w:rPr>
        <w:t xml:space="preserve"> </w:t>
      </w:r>
      <w:r w:rsidRPr="002421AB">
        <w:rPr>
          <w:rStyle w:val="afb"/>
          <w:rFonts w:hint="cs"/>
          <w:rtl/>
        </w:rPr>
        <w:t xml:space="preserve">עי' </w:t>
      </w:r>
      <w:r w:rsidRPr="002421AB">
        <w:rPr>
          <w:rStyle w:val="affa"/>
          <w:rFonts w:hint="cs"/>
          <w:rtl/>
        </w:rPr>
        <w:t>בנחל"ד</w:t>
      </w:r>
      <w:r w:rsidRPr="002421AB">
        <w:rPr>
          <w:rStyle w:val="afb"/>
          <w:rFonts w:hint="cs"/>
          <w:rtl/>
        </w:rPr>
        <w:t xml:space="preserve"> </w:t>
      </w:r>
      <w:r w:rsidRPr="002421AB">
        <w:rPr>
          <w:rStyle w:val="aff6"/>
          <w:rFonts w:hint="cs"/>
          <w:rtl/>
        </w:rPr>
        <w:t>(על תוד"ה אלא)</w:t>
      </w:r>
      <w:r>
        <w:rPr>
          <w:rStyle w:val="afb"/>
          <w:rFonts w:hint="cs"/>
          <w:rtl/>
        </w:rPr>
        <w:t xml:space="preserve"> </w:t>
      </w:r>
      <w:r w:rsidRPr="002421AB">
        <w:rPr>
          <w:rStyle w:val="afb"/>
          <w:rFonts w:hint="cs"/>
          <w:rtl/>
        </w:rPr>
        <w:t xml:space="preserve">דכתב דמשמע </w:t>
      </w:r>
      <w:r w:rsidRPr="002421AB">
        <w:rPr>
          <w:rStyle w:val="affa"/>
          <w:rFonts w:hint="cs"/>
          <w:rtl/>
        </w:rPr>
        <w:t>מהתוס'</w:t>
      </w:r>
      <w:r w:rsidRPr="002421AB">
        <w:rPr>
          <w:rStyle w:val="afb"/>
          <w:rFonts w:hint="cs"/>
          <w:rtl/>
        </w:rPr>
        <w:t xml:space="preserve"> דספק דאו' לחומרא הוא מדרבנן, עיי"ש במה שהאריך בזה</w:t>
      </w:r>
      <w:r>
        <w:rPr>
          <w:rStyle w:val="afb"/>
          <w:rFonts w:hint="cs"/>
          <w:rtl/>
        </w:rPr>
        <w:t>, ועי' במ</w:t>
      </w:r>
      <w:r w:rsidRPr="002B409C">
        <w:rPr>
          <w:rStyle w:val="afb"/>
          <w:rFonts w:hint="cs"/>
          <w:rtl/>
        </w:rPr>
        <w:t>"ש</w:t>
      </w:r>
      <w:r w:rsidRPr="00BE0FE6">
        <w:rPr>
          <w:rStyle w:val="affa"/>
          <w:rFonts w:hint="cs"/>
          <w:rtl/>
        </w:rPr>
        <w:t xml:space="preserve"> הבכור שור </w:t>
      </w:r>
      <w:r w:rsidRPr="00BE0FE6">
        <w:rPr>
          <w:rStyle w:val="aff6"/>
          <w:rFonts w:hint="cs"/>
          <w:rtl/>
        </w:rPr>
        <w:t>(על תוד"ה ודילמא)</w:t>
      </w:r>
      <w:r w:rsidRPr="002421AB">
        <w:rPr>
          <w:rStyle w:val="afb"/>
          <w:rFonts w:hint="cs"/>
          <w:rtl/>
        </w:rPr>
        <w:t>.</w:t>
      </w:r>
    </w:p>
  </w:footnote>
  <w:footnote w:id="39">
    <w:p w14:paraId="244886D8" w14:textId="77777777" w:rsidR="00345400" w:rsidRDefault="00345400" w:rsidP="00FF5773">
      <w:pPr>
        <w:pStyle w:val="af"/>
      </w:pPr>
      <w:r>
        <w:rPr>
          <w:rStyle w:val="af1"/>
        </w:rPr>
        <w:footnoteRef/>
      </w:r>
      <w:r>
        <w:rPr>
          <w:rtl/>
        </w:rPr>
        <w:t xml:space="preserve"> </w:t>
      </w:r>
      <w:r w:rsidRPr="007C75EA">
        <w:rPr>
          <w:rtl/>
        </w:rPr>
        <w:t>וע"ע בביאור</w:t>
      </w:r>
      <w:r w:rsidRPr="007C75EA">
        <w:rPr>
          <w:rStyle w:val="affa"/>
          <w:rtl/>
        </w:rPr>
        <w:t xml:space="preserve"> המהר"ם</w:t>
      </w:r>
      <w:r w:rsidRPr="007C75EA">
        <w:rPr>
          <w:rtl/>
        </w:rPr>
        <w:t xml:space="preserve"> </w:t>
      </w:r>
      <w:r w:rsidRPr="007C75EA">
        <w:rPr>
          <w:rStyle w:val="aff6"/>
          <w:rtl/>
        </w:rPr>
        <w:t xml:space="preserve">(עי' אות  </w:t>
      </w:r>
      <w:r w:rsidRPr="007C75EA">
        <w:rPr>
          <w:rStyle w:val="aff6"/>
          <w:cs/>
        </w:rPr>
        <w:t>‎</w:t>
      </w:r>
      <w:r w:rsidRPr="007C75EA">
        <w:rPr>
          <w:rStyle w:val="aff6"/>
          <w:rtl/>
        </w:rPr>
        <w:t>לד)</w:t>
      </w:r>
      <w:r w:rsidRPr="007C75EA">
        <w:rPr>
          <w:rtl/>
        </w:rPr>
        <w:t xml:space="preserve"> בדעת </w:t>
      </w:r>
      <w:r w:rsidRPr="00D975BD">
        <w:rPr>
          <w:rStyle w:val="affa"/>
          <w:rtl/>
        </w:rPr>
        <w:t xml:space="preserve">התוס' </w:t>
      </w:r>
      <w:r w:rsidRPr="00D975BD">
        <w:rPr>
          <w:rStyle w:val="aff6"/>
          <w:rtl/>
        </w:rPr>
        <w:t xml:space="preserve">(עי' אות </w:t>
      </w:r>
      <w:r w:rsidRPr="00D975BD">
        <w:rPr>
          <w:rStyle w:val="aff6"/>
          <w:cs/>
        </w:rPr>
        <w:t>‎</w:t>
      </w:r>
      <w:r w:rsidRPr="00D975BD">
        <w:rPr>
          <w:rStyle w:val="aff6"/>
          <w:rtl/>
        </w:rPr>
        <w:t>יט)</w:t>
      </w:r>
      <w:r w:rsidRPr="007C75EA">
        <w:rPr>
          <w:rtl/>
        </w:rPr>
        <w:t xml:space="preserve"> </w:t>
      </w:r>
      <w:r>
        <w:rPr>
          <w:rFonts w:hint="cs"/>
          <w:rtl/>
        </w:rPr>
        <w:t xml:space="preserve">דביאר </w:t>
      </w:r>
      <w:r w:rsidRPr="007C75EA">
        <w:rPr>
          <w:rtl/>
        </w:rPr>
        <w:t xml:space="preserve">דהנדון בגמ' מנלן דמעמידים על החזקה הוא אף לענין חומרא, בהא דרב הונא אסר בסכין שנפגם אף שיש ריעותא בחזקה, </w:t>
      </w:r>
      <w:r>
        <w:rPr>
          <w:rFonts w:hint="cs"/>
          <w:rtl/>
        </w:rPr>
        <w:t>ועי' במ"ש</w:t>
      </w:r>
      <w:r w:rsidRPr="007C75EA">
        <w:rPr>
          <w:rtl/>
        </w:rPr>
        <w:t xml:space="preserve"> </w:t>
      </w:r>
      <w:r w:rsidRPr="00D975BD">
        <w:rPr>
          <w:rStyle w:val="affa"/>
          <w:rtl/>
        </w:rPr>
        <w:t>המהרש"א</w:t>
      </w:r>
      <w:r w:rsidRPr="007C75EA">
        <w:rPr>
          <w:rtl/>
        </w:rPr>
        <w:t xml:space="preserve"> </w:t>
      </w:r>
      <w:r w:rsidRPr="00D975BD">
        <w:rPr>
          <w:rStyle w:val="aff6"/>
          <w:rtl/>
        </w:rPr>
        <w:t xml:space="preserve">(עי' אות </w:t>
      </w:r>
      <w:r w:rsidRPr="00D975BD">
        <w:rPr>
          <w:rStyle w:val="aff6"/>
          <w:cs/>
        </w:rPr>
        <w:t>‎</w:t>
      </w:r>
      <w:r w:rsidRPr="00D975BD">
        <w:rPr>
          <w:rStyle w:val="aff6"/>
          <w:rtl/>
        </w:rPr>
        <w:t>לו)</w:t>
      </w:r>
      <w:r w:rsidRPr="007C75EA">
        <w:rPr>
          <w:rtl/>
        </w:rPr>
        <w:t>.</w:t>
      </w:r>
    </w:p>
  </w:footnote>
  <w:footnote w:id="40">
    <w:p w14:paraId="0D69D5FA" w14:textId="77777777" w:rsidR="00345400" w:rsidRDefault="00345400" w:rsidP="00FF5773">
      <w:pPr>
        <w:pStyle w:val="af"/>
        <w:rPr>
          <w:rtl/>
        </w:rPr>
      </w:pPr>
      <w:r>
        <w:rPr>
          <w:rStyle w:val="af1"/>
        </w:rPr>
        <w:footnoteRef/>
      </w:r>
      <w:r>
        <w:rPr>
          <w:rtl/>
        </w:rPr>
        <w:t xml:space="preserve"> </w:t>
      </w:r>
      <w:r w:rsidRPr="00606607">
        <w:rPr>
          <w:rStyle w:val="afb"/>
          <w:rFonts w:hint="cs"/>
          <w:rtl/>
        </w:rPr>
        <w:t xml:space="preserve">וישב </w:t>
      </w:r>
      <w:r w:rsidRPr="00606607">
        <w:rPr>
          <w:rStyle w:val="affa"/>
          <w:rFonts w:hint="cs"/>
          <w:rtl/>
        </w:rPr>
        <w:t>השער המלך</w:t>
      </w:r>
      <w:r w:rsidRPr="00606607">
        <w:rPr>
          <w:rStyle w:val="afb"/>
          <w:rFonts w:hint="cs"/>
          <w:rtl/>
        </w:rPr>
        <w:t xml:space="preserve"> בזה את קושית </w:t>
      </w:r>
      <w:r w:rsidRPr="00606607">
        <w:rPr>
          <w:rStyle w:val="affa"/>
          <w:rFonts w:hint="cs"/>
          <w:rtl/>
        </w:rPr>
        <w:t>המהרי"ט</w:t>
      </w:r>
      <w:r w:rsidRPr="00606607">
        <w:rPr>
          <w:rStyle w:val="afb"/>
          <w:rFonts w:hint="cs"/>
          <w:rtl/>
        </w:rPr>
        <w:t xml:space="preserve"> </w:t>
      </w:r>
      <w:r w:rsidRPr="00606607">
        <w:rPr>
          <w:rStyle w:val="aff6"/>
          <w:rFonts w:hint="cs"/>
          <w:rtl/>
        </w:rPr>
        <w:t>(ח"א סי מ"א ד"ה מיהו נראה)</w:t>
      </w:r>
      <w:r w:rsidRPr="00606607">
        <w:rPr>
          <w:rStyle w:val="afb"/>
          <w:rFonts w:hint="cs"/>
          <w:rtl/>
        </w:rPr>
        <w:t xml:space="preserve"> דהקשה על </w:t>
      </w:r>
      <w:r w:rsidRPr="00606607">
        <w:rPr>
          <w:rStyle w:val="affa"/>
          <w:rFonts w:hint="cs"/>
          <w:rtl/>
        </w:rPr>
        <w:t>התוס' ביבמות</w:t>
      </w:r>
      <w:r>
        <w:rPr>
          <w:rStyle w:val="afb"/>
          <w:rFonts w:hint="cs"/>
          <w:rtl/>
        </w:rPr>
        <w:t xml:space="preserve"> </w:t>
      </w:r>
      <w:r w:rsidRPr="00606607">
        <w:rPr>
          <w:rStyle w:val="afb"/>
          <w:rFonts w:hint="cs"/>
          <w:rtl/>
        </w:rPr>
        <w:t>ד</w:t>
      </w:r>
      <w:r>
        <w:rPr>
          <w:rStyle w:val="afb"/>
          <w:rFonts w:hint="cs"/>
          <w:rtl/>
        </w:rPr>
        <w:t xml:space="preserve">הא </w:t>
      </w:r>
      <w:r w:rsidRPr="00606607">
        <w:rPr>
          <w:rStyle w:val="afb"/>
          <w:rFonts w:hint="cs"/>
          <w:rtl/>
        </w:rPr>
        <w:t xml:space="preserve">במקוה שנמצא חסר דאם לא היה תרתי לריעותא מעמידים את המקוה על חזקתו, ואף שיש בו ריעותא דחסר לפניך, ותירץ </w:t>
      </w:r>
      <w:r w:rsidRPr="00606607">
        <w:rPr>
          <w:rStyle w:val="affa"/>
          <w:rFonts w:hint="cs"/>
          <w:rtl/>
        </w:rPr>
        <w:t>השער המלך</w:t>
      </w:r>
      <w:r w:rsidRPr="00606607">
        <w:rPr>
          <w:rStyle w:val="afb"/>
          <w:rFonts w:hint="cs"/>
          <w:rtl/>
        </w:rPr>
        <w:t xml:space="preserve"> דלולי התרתי לריעותא אין מעמידים על החזקה מספק, וע"י התרתי לריעותא הוא ודאי טמא, עיי"ש שהאריך בזה</w:t>
      </w:r>
      <w:r>
        <w:rPr>
          <w:rFonts w:hint="cs"/>
          <w:rtl/>
        </w:rPr>
        <w:t>.</w:t>
      </w:r>
    </w:p>
  </w:footnote>
  <w:footnote w:id="41">
    <w:p w14:paraId="30429291" w14:textId="77777777" w:rsidR="00345400" w:rsidRDefault="00345400" w:rsidP="00FF5773">
      <w:pPr>
        <w:pStyle w:val="af"/>
        <w:rPr>
          <w:rtl/>
        </w:rPr>
      </w:pPr>
      <w:r>
        <w:rPr>
          <w:rStyle w:val="af1"/>
        </w:rPr>
        <w:footnoteRef/>
      </w:r>
      <w:r>
        <w:rPr>
          <w:rtl/>
        </w:rPr>
        <w:t xml:space="preserve"> </w:t>
      </w:r>
      <w:r>
        <w:rPr>
          <w:rFonts w:hint="cs"/>
          <w:rtl/>
        </w:rPr>
        <w:t xml:space="preserve">וע"ע בדברי </w:t>
      </w:r>
      <w:r w:rsidRPr="00F37B46">
        <w:rPr>
          <w:rStyle w:val="affa"/>
          <w:rFonts w:hint="cs"/>
          <w:rtl/>
        </w:rPr>
        <w:t>החזו"א</w:t>
      </w:r>
      <w:r w:rsidRPr="00F37B46">
        <w:rPr>
          <w:rStyle w:val="aff6"/>
          <w:rFonts w:hint="cs"/>
          <w:rtl/>
        </w:rPr>
        <w:t xml:space="preserve"> (אה"ע פ"ב י"ב) </w:t>
      </w:r>
      <w:r>
        <w:rPr>
          <w:rFonts w:hint="cs"/>
          <w:rtl/>
        </w:rPr>
        <w:t xml:space="preserve">במ"ש על דברי </w:t>
      </w:r>
      <w:r w:rsidRPr="00F37B46">
        <w:rPr>
          <w:rStyle w:val="affa"/>
          <w:rFonts w:hint="cs"/>
          <w:rtl/>
        </w:rPr>
        <w:t>הש"ש</w:t>
      </w:r>
      <w:r>
        <w:rPr>
          <w:rFonts w:hint="cs"/>
          <w:rtl/>
        </w:rPr>
        <w:t xml:space="preserve"> בגדר חזקת הגוף. וכן יעוי' במ"ש </w:t>
      </w:r>
      <w:r w:rsidRPr="00F37B46">
        <w:rPr>
          <w:rStyle w:val="affa"/>
          <w:rFonts w:hint="cs"/>
          <w:rtl/>
        </w:rPr>
        <w:t>התוס' הרא"ש בכתובות</w:t>
      </w:r>
      <w:r>
        <w:rPr>
          <w:rFonts w:hint="cs"/>
          <w:rtl/>
        </w:rPr>
        <w:t xml:space="preserve"> </w:t>
      </w:r>
      <w:r w:rsidRPr="00F37B46">
        <w:rPr>
          <w:rStyle w:val="aff6"/>
          <w:rFonts w:hint="cs"/>
          <w:rtl/>
        </w:rPr>
        <w:t>(עה: ד"ה אבל)</w:t>
      </w:r>
      <w:r w:rsidRPr="008764AE">
        <w:rPr>
          <w:rtl/>
        </w:rPr>
        <w:t xml:space="preserve"> </w:t>
      </w:r>
      <w:r>
        <w:rPr>
          <w:rFonts w:hint="cs"/>
          <w:rtl/>
        </w:rPr>
        <w:t xml:space="preserve">דהא דאיתא התם דחזקת הגוף עדיפא מחזקת פנויה, היינו כיון שעומדת לינשא, </w:t>
      </w:r>
      <w:r w:rsidRPr="00CD7F11">
        <w:rPr>
          <w:rFonts w:hint="cs"/>
          <w:sz w:val="16"/>
          <w:szCs w:val="12"/>
          <w:rtl/>
        </w:rPr>
        <w:t xml:space="preserve">[ומשמע דהוא סברא בסוגיא שם, ודלא כהש"ש דהוא מעלה בכל חזקת הגוף], </w:t>
      </w:r>
      <w:r>
        <w:rPr>
          <w:rFonts w:hint="cs"/>
          <w:rtl/>
        </w:rPr>
        <w:t>וע"ע בדברי</w:t>
      </w:r>
      <w:r w:rsidRPr="00C51F5F">
        <w:rPr>
          <w:rStyle w:val="af9"/>
          <w:rFonts w:hint="cs"/>
          <w:rtl/>
        </w:rPr>
        <w:t xml:space="preserve"> </w:t>
      </w:r>
      <w:r w:rsidRPr="00FD3FD5">
        <w:rPr>
          <w:rStyle w:val="affa"/>
          <w:rFonts w:hint="cs"/>
          <w:rtl/>
        </w:rPr>
        <w:t>המשנת ר"א</w:t>
      </w:r>
      <w:r>
        <w:rPr>
          <w:rFonts w:hint="cs"/>
          <w:rtl/>
        </w:rPr>
        <w:t xml:space="preserve"> בזה</w:t>
      </w:r>
      <w:r w:rsidRPr="00FD3FD5">
        <w:rPr>
          <w:rStyle w:val="aff6"/>
          <w:rFonts w:hint="cs"/>
          <w:rtl/>
        </w:rPr>
        <w:t xml:space="preserve"> (עי' בהערה </w:t>
      </w:r>
      <w:r w:rsidRPr="00FD3FD5">
        <w:rPr>
          <w:rStyle w:val="aff6"/>
          <w:rtl/>
        </w:rPr>
        <w:fldChar w:fldCharType="begin"/>
      </w:r>
      <w:r w:rsidRPr="00FD3FD5">
        <w:rPr>
          <w:rStyle w:val="aff6"/>
          <w:rtl/>
        </w:rPr>
        <w:instrText xml:space="preserve"> </w:instrText>
      </w:r>
      <w:r w:rsidRPr="00FD3FD5">
        <w:rPr>
          <w:rStyle w:val="aff6"/>
          <w:rFonts w:hint="cs"/>
        </w:rPr>
        <w:instrText>NOTEREF</w:instrText>
      </w:r>
      <w:r w:rsidRPr="00FD3FD5">
        <w:rPr>
          <w:rStyle w:val="aff6"/>
          <w:rFonts w:hint="cs"/>
          <w:rtl/>
        </w:rPr>
        <w:instrText xml:space="preserve"> _</w:instrText>
      </w:r>
      <w:r w:rsidRPr="00FD3FD5">
        <w:rPr>
          <w:rStyle w:val="aff6"/>
          <w:rFonts w:hint="cs"/>
        </w:rPr>
        <w:instrText>Ref527883111 \h</w:instrText>
      </w:r>
      <w:r w:rsidRPr="00FD3FD5">
        <w:rPr>
          <w:rStyle w:val="aff6"/>
          <w:rtl/>
        </w:rPr>
        <w:instrText xml:space="preserve">  \* </w:instrText>
      </w:r>
      <w:r w:rsidRPr="00FD3FD5">
        <w:rPr>
          <w:rStyle w:val="aff6"/>
        </w:rPr>
        <w:instrText>MERGEFORMAT</w:instrText>
      </w:r>
      <w:r w:rsidRPr="00FD3FD5">
        <w:rPr>
          <w:rStyle w:val="aff6"/>
          <w:rtl/>
        </w:rPr>
        <w:instrText xml:space="preserve"> </w:instrText>
      </w:r>
      <w:r w:rsidRPr="00FD3FD5">
        <w:rPr>
          <w:rStyle w:val="aff6"/>
          <w:rtl/>
        </w:rPr>
      </w:r>
      <w:r w:rsidRPr="00FD3FD5">
        <w:rPr>
          <w:rStyle w:val="aff6"/>
          <w:rtl/>
        </w:rPr>
        <w:fldChar w:fldCharType="separate"/>
      </w:r>
      <w:r>
        <w:rPr>
          <w:rStyle w:val="aff6"/>
          <w:rtl/>
        </w:rPr>
        <w:t>44</w:t>
      </w:r>
      <w:r w:rsidRPr="00FD3FD5">
        <w:rPr>
          <w:rStyle w:val="aff6"/>
          <w:rtl/>
        </w:rPr>
        <w:fldChar w:fldCharType="end"/>
      </w:r>
      <w:r w:rsidRPr="00FD3FD5">
        <w:rPr>
          <w:rStyle w:val="aff6"/>
          <w:rFonts w:hint="cs"/>
          <w:rtl/>
        </w:rPr>
        <w:t>)</w:t>
      </w:r>
      <w:r>
        <w:rPr>
          <w:rFonts w:hint="cs"/>
          <w:rtl/>
        </w:rPr>
        <w:t>.</w:t>
      </w:r>
    </w:p>
  </w:footnote>
  <w:footnote w:id="42">
    <w:p w14:paraId="04FD87BE" w14:textId="77777777" w:rsidR="00345400" w:rsidRDefault="00345400" w:rsidP="00FF5773">
      <w:pPr>
        <w:pStyle w:val="af"/>
      </w:pPr>
      <w:r>
        <w:rPr>
          <w:rStyle w:val="af1"/>
        </w:rPr>
        <w:footnoteRef/>
      </w:r>
      <w:r>
        <w:rPr>
          <w:rtl/>
        </w:rPr>
        <w:t xml:space="preserve"> </w:t>
      </w:r>
      <w:r>
        <w:rPr>
          <w:rFonts w:hint="cs"/>
          <w:rtl/>
        </w:rPr>
        <w:t xml:space="preserve">ח"ג בחוט המשולש הוא תשובות </w:t>
      </w:r>
      <w:r>
        <w:rPr>
          <w:rtl/>
        </w:rPr>
        <w:t xml:space="preserve">רבי אליעזר </w:t>
      </w:r>
      <w:r>
        <w:rPr>
          <w:rFonts w:hint="cs"/>
          <w:rtl/>
        </w:rPr>
        <w:t>יצחק מוולאזין</w:t>
      </w:r>
      <w:r>
        <w:rPr>
          <w:rtl/>
        </w:rPr>
        <w:t>.</w:t>
      </w:r>
    </w:p>
  </w:footnote>
  <w:footnote w:id="43">
    <w:p w14:paraId="0D4D26F2" w14:textId="77777777" w:rsidR="00345400" w:rsidRDefault="00345400" w:rsidP="00566B58">
      <w:pPr>
        <w:pStyle w:val="af"/>
      </w:pPr>
      <w:r>
        <w:rPr>
          <w:rStyle w:val="af1"/>
        </w:rPr>
        <w:footnoteRef/>
      </w:r>
      <w:r>
        <w:rPr>
          <w:rtl/>
        </w:rPr>
        <w:t xml:space="preserve"> </w:t>
      </w:r>
      <w:r>
        <w:rPr>
          <w:rFonts w:hint="cs"/>
          <w:rtl/>
        </w:rPr>
        <w:t xml:space="preserve">ועיי"ש </w:t>
      </w:r>
      <w:r w:rsidRPr="000D2781">
        <w:rPr>
          <w:rStyle w:val="affa"/>
          <w:rFonts w:hint="cs"/>
          <w:rtl/>
        </w:rPr>
        <w:t>בשער"י</w:t>
      </w:r>
      <w:r>
        <w:rPr>
          <w:rFonts w:hint="cs"/>
          <w:rtl/>
        </w:rPr>
        <w:t xml:space="preserve"> דכתב דאף דבגמ' בכתובות מבואר בנגעי אדם דהוא חזקת הגוף, מ"מ א"א לחלק בין נגעי הגוף באדם לנגעי בתים, עיי"ש במה שביאר.</w:t>
      </w:r>
    </w:p>
  </w:footnote>
  <w:footnote w:id="44">
    <w:p w14:paraId="63DBB7C0" w14:textId="77777777" w:rsidR="00345400" w:rsidRDefault="00345400" w:rsidP="00566B58">
      <w:pPr>
        <w:pStyle w:val="af"/>
        <w:rPr>
          <w:rtl/>
        </w:rPr>
      </w:pPr>
      <w:r>
        <w:rPr>
          <w:rStyle w:val="af1"/>
        </w:rPr>
        <w:footnoteRef/>
      </w:r>
      <w:r>
        <w:rPr>
          <w:rtl/>
        </w:rPr>
        <w:t xml:space="preserve"> </w:t>
      </w:r>
      <w:r>
        <w:rPr>
          <w:rtl/>
        </w:rPr>
        <w:t xml:space="preserve">בדברי </w:t>
      </w:r>
      <w:r w:rsidRPr="00F77406">
        <w:rPr>
          <w:rStyle w:val="affa"/>
          <w:rtl/>
        </w:rPr>
        <w:t>התוס'</w:t>
      </w:r>
      <w:r>
        <w:rPr>
          <w:rtl/>
        </w:rPr>
        <w:t xml:space="preserve"> </w:t>
      </w:r>
      <w:r w:rsidRPr="00F77406">
        <w:rPr>
          <w:rStyle w:val="aff6"/>
          <w:rtl/>
        </w:rPr>
        <w:t xml:space="preserve">(עי' אות </w:t>
      </w:r>
      <w:r w:rsidRPr="00F77406">
        <w:rPr>
          <w:rStyle w:val="aff6"/>
          <w:cs/>
        </w:rPr>
        <w:t>‎</w:t>
      </w:r>
      <w:r w:rsidRPr="00F77406">
        <w:rPr>
          <w:rStyle w:val="aff6"/>
          <w:rtl/>
        </w:rPr>
        <w:t>מה)</w:t>
      </w:r>
      <w:r>
        <w:rPr>
          <w:rtl/>
        </w:rPr>
        <w:t xml:space="preserve"> דהקשו דבבית המנוגע יש תרתי לריעותא דהעמד את האדם הנכנס בחזקת טהרה והרי חסר לפניך, כמו במקוה שנמצא חסר, הביא </w:t>
      </w:r>
      <w:r w:rsidRPr="00F77406">
        <w:rPr>
          <w:rStyle w:val="affa"/>
          <w:rtl/>
        </w:rPr>
        <w:t>במשנת ר"א</w:t>
      </w:r>
      <w:r>
        <w:rPr>
          <w:rtl/>
        </w:rPr>
        <w:t xml:space="preserve"> </w:t>
      </w:r>
      <w:r>
        <w:rPr>
          <w:rStyle w:val="aff6"/>
          <w:rFonts w:hint="cs"/>
          <w:rtl/>
        </w:rPr>
        <w:t xml:space="preserve">(חולין </w:t>
      </w:r>
      <w:r w:rsidRPr="00F77406">
        <w:rPr>
          <w:rStyle w:val="aff6"/>
          <w:rtl/>
        </w:rPr>
        <w:t>סי' א' אות ד')</w:t>
      </w:r>
      <w:r>
        <w:rPr>
          <w:rtl/>
        </w:rPr>
        <w:t xml:space="preserve"> את דברי </w:t>
      </w:r>
      <w:r w:rsidRPr="00F77406">
        <w:rPr>
          <w:rStyle w:val="affa"/>
          <w:rtl/>
        </w:rPr>
        <w:t>התוס' בכתובות</w:t>
      </w:r>
      <w:r w:rsidRPr="00AA7123">
        <w:rPr>
          <w:rStyle w:val="af7"/>
          <w:rFonts w:eastAsiaTheme="minorHAnsi"/>
          <w:rtl/>
        </w:rPr>
        <w:t xml:space="preserve"> (עה: ד"ה אבל) </w:t>
      </w:r>
      <w:r>
        <w:rPr>
          <w:rtl/>
        </w:rPr>
        <w:t xml:space="preserve">דכתבו דחזקת הגוף עדיפא על חזקת פנויה, והקשה המשנת ר"א דא"כ אף בבית המנוגע חזקת הגוף דטומאה עדיפא על החזקת טהרה של הגברא שהיא חזקת דין, ומבואר </w:t>
      </w:r>
      <w:r w:rsidRPr="00AA7123">
        <w:rPr>
          <w:rStyle w:val="affa"/>
          <w:rtl/>
        </w:rPr>
        <w:t>דהתוס' בסוגיין</w:t>
      </w:r>
      <w:r>
        <w:rPr>
          <w:rtl/>
        </w:rPr>
        <w:t xml:space="preserve"> פליגי על </w:t>
      </w:r>
      <w:r w:rsidRPr="00AA7123">
        <w:rPr>
          <w:rStyle w:val="affa"/>
          <w:rtl/>
        </w:rPr>
        <w:t>התוס' בכתובות</w:t>
      </w:r>
      <w:r>
        <w:rPr>
          <w:rtl/>
        </w:rPr>
        <w:t>.</w:t>
      </w:r>
    </w:p>
    <w:p w14:paraId="7F253689" w14:textId="77777777" w:rsidR="00345400" w:rsidRDefault="00345400" w:rsidP="00566B58">
      <w:pPr>
        <w:pStyle w:val="af"/>
        <w:rPr>
          <w:rtl/>
        </w:rPr>
      </w:pPr>
      <w:r>
        <w:rPr>
          <w:rtl/>
        </w:rPr>
        <w:t xml:space="preserve">אך הקשה </w:t>
      </w:r>
      <w:r w:rsidRPr="00AA7123">
        <w:rPr>
          <w:rStyle w:val="affa"/>
          <w:rtl/>
        </w:rPr>
        <w:t>המשנת ר"א</w:t>
      </w:r>
      <w:r>
        <w:rPr>
          <w:rtl/>
        </w:rPr>
        <w:t xml:space="preserve"> על </w:t>
      </w:r>
      <w:r w:rsidRPr="00AA7123">
        <w:rPr>
          <w:rStyle w:val="affa"/>
          <w:rtl/>
        </w:rPr>
        <w:t>התוס' בכתובות</w:t>
      </w:r>
      <w:r>
        <w:rPr>
          <w:rtl/>
        </w:rPr>
        <w:t xml:space="preserve"> דהיאך ילפינן מבית המנוגע לשאר החזקות, הא חזקת הגוף עדיפא, ויותר קשה לפי דברי </w:t>
      </w:r>
      <w:r w:rsidRPr="00AA7123">
        <w:rPr>
          <w:rStyle w:val="affa"/>
          <w:rtl/>
        </w:rPr>
        <w:t>הש"ש והפנ"י</w:t>
      </w:r>
      <w:r>
        <w:rPr>
          <w:rtl/>
        </w:rPr>
        <w:t xml:space="preserve"> </w:t>
      </w:r>
      <w:r w:rsidRPr="00AA7123">
        <w:rPr>
          <w:rStyle w:val="aff6"/>
          <w:rtl/>
        </w:rPr>
        <w:t xml:space="preserve">(עי' אות </w:t>
      </w:r>
      <w:r w:rsidRPr="00AA7123">
        <w:rPr>
          <w:rStyle w:val="aff6"/>
          <w:cs/>
        </w:rPr>
        <w:t>‎</w:t>
      </w:r>
      <w:r w:rsidRPr="00AA7123">
        <w:rPr>
          <w:rStyle w:val="aff6"/>
          <w:rtl/>
        </w:rPr>
        <w:t>סא)</w:t>
      </w:r>
      <w:r>
        <w:rPr>
          <w:rtl/>
        </w:rPr>
        <w:t xml:space="preserve"> דכתבו דחזקת הגוף עדיפא אף מרוב.</w:t>
      </w:r>
    </w:p>
    <w:p w14:paraId="51AA144A" w14:textId="77777777" w:rsidR="00345400" w:rsidRDefault="00345400" w:rsidP="00566B58">
      <w:pPr>
        <w:pStyle w:val="af"/>
        <w:rPr>
          <w:sz w:val="16"/>
          <w:szCs w:val="12"/>
          <w:rtl/>
        </w:rPr>
      </w:pPr>
      <w:r>
        <w:rPr>
          <w:rtl/>
        </w:rPr>
        <w:t xml:space="preserve">אלא כתב </w:t>
      </w:r>
      <w:r w:rsidRPr="00AA7123">
        <w:rPr>
          <w:rStyle w:val="affa"/>
          <w:rtl/>
        </w:rPr>
        <w:t>המשנת ר"א</w:t>
      </w:r>
      <w:r>
        <w:rPr>
          <w:rtl/>
        </w:rPr>
        <w:t xml:space="preserve"> </w:t>
      </w:r>
      <w:r w:rsidRPr="00AA7123">
        <w:rPr>
          <w:rStyle w:val="aff6"/>
          <w:rtl/>
        </w:rPr>
        <w:t>(ד"ה אכן נראה)</w:t>
      </w:r>
      <w:r>
        <w:rPr>
          <w:rtl/>
        </w:rPr>
        <w:t xml:space="preserve"> דאין כוונת </w:t>
      </w:r>
      <w:r w:rsidRPr="00776432">
        <w:rPr>
          <w:rStyle w:val="affa"/>
          <w:rtl/>
        </w:rPr>
        <w:t>התוס' בכתובות</w:t>
      </w:r>
      <w:r>
        <w:rPr>
          <w:rtl/>
        </w:rPr>
        <w:t xml:space="preserve"> לומר דחזקת הגוף אלימא מחזקת פנויה שהיא חזקת דין, אלא דהתם יש מעלה בחזקת מומין על פני החזקת פנויה. </w:t>
      </w:r>
      <w:r w:rsidRPr="00AA7123">
        <w:rPr>
          <w:sz w:val="16"/>
          <w:szCs w:val="12"/>
          <w:rtl/>
        </w:rPr>
        <w:t>[עיי"ש דהאריך לבאר דבדין חזקה דרבה מבואר דהחזקת הגוף דמומין אומרת שאם תתקדש לא תהיה פנויה, ולכן א"א לדון את חזקת פנויה כנגד החזקת הגוף, משא"כ במקוה דהנדון אינו בגברא הטובל, אלא בחזקת המקוה, ולא שייך בזה חזקה דרבה, ואכמ"ל].</w:t>
      </w:r>
    </w:p>
    <w:p w14:paraId="04D931BB" w14:textId="77777777" w:rsidR="00345400" w:rsidRDefault="00345400" w:rsidP="00566B58">
      <w:pPr>
        <w:pStyle w:val="af"/>
      </w:pPr>
      <w:r>
        <w:rPr>
          <w:rtl/>
        </w:rPr>
        <w:t xml:space="preserve">וכתב </w:t>
      </w:r>
      <w:r w:rsidRPr="00932E1C">
        <w:rPr>
          <w:rStyle w:val="affa"/>
          <w:rtl/>
        </w:rPr>
        <w:t>המשנת ר"א</w:t>
      </w:r>
      <w:r>
        <w:rPr>
          <w:rtl/>
        </w:rPr>
        <w:t xml:space="preserve"> </w:t>
      </w:r>
      <w:r w:rsidRPr="00932E1C">
        <w:rPr>
          <w:rStyle w:val="aff6"/>
          <w:rtl/>
        </w:rPr>
        <w:t xml:space="preserve">(סי' א' ד' ד"ה ולפי"ז הרי) </w:t>
      </w:r>
      <w:r>
        <w:rPr>
          <w:rtl/>
        </w:rPr>
        <w:t xml:space="preserve">דלכן ילפינן מבית המנוגע שהוא חזקת הגוף לשאר החזקות אף שהם חזקה דמעיקרא, כיון שאין כל מעלה בחזקת הגוף על פני שאר החזקות. </w:t>
      </w:r>
      <w:r w:rsidRPr="00932E1C">
        <w:rPr>
          <w:sz w:val="16"/>
          <w:szCs w:val="12"/>
          <w:rtl/>
        </w:rPr>
        <w:t xml:space="preserve">[ועיי"ש במה שישב בזה </w:t>
      </w:r>
      <w:r w:rsidRPr="00932E1C">
        <w:rPr>
          <w:b/>
          <w:bCs/>
          <w:sz w:val="16"/>
          <w:szCs w:val="12"/>
          <w:rtl/>
        </w:rPr>
        <w:t>המשנת ר"א</w:t>
      </w:r>
      <w:r w:rsidRPr="00932E1C">
        <w:rPr>
          <w:sz w:val="16"/>
          <w:szCs w:val="12"/>
          <w:rtl/>
        </w:rPr>
        <w:t xml:space="preserve"> את קושייתו על </w:t>
      </w:r>
      <w:r w:rsidRPr="00932E1C">
        <w:rPr>
          <w:b/>
          <w:bCs/>
          <w:sz w:val="16"/>
          <w:szCs w:val="12"/>
          <w:rtl/>
        </w:rPr>
        <w:t xml:space="preserve">התוס' </w:t>
      </w:r>
      <w:r w:rsidRPr="00932E1C">
        <w:rPr>
          <w:sz w:val="16"/>
          <w:szCs w:val="12"/>
          <w:rtl/>
        </w:rPr>
        <w:t>דמה הקשו דנטהר מחמת חזקת הטהרה של הגברא בצירוף הא דחסר לפניך, הרי חזקת הנגע היא חזקת הגוף, ואכמ"ל].</w:t>
      </w:r>
    </w:p>
  </w:footnote>
  <w:footnote w:id="45">
    <w:p w14:paraId="1B55740E" w14:textId="77777777" w:rsidR="00345400" w:rsidRDefault="00345400" w:rsidP="00566B58">
      <w:pPr>
        <w:pStyle w:val="af"/>
      </w:pPr>
      <w:r>
        <w:rPr>
          <w:rStyle w:val="af1"/>
        </w:rPr>
        <w:footnoteRef/>
      </w:r>
      <w:r>
        <w:rPr>
          <w:rtl/>
        </w:rPr>
        <w:t xml:space="preserve"> </w:t>
      </w:r>
      <w:r w:rsidRPr="00877ADF">
        <w:rPr>
          <w:rStyle w:val="afb"/>
          <w:rFonts w:hint="cs"/>
          <w:rtl/>
        </w:rPr>
        <w:t xml:space="preserve">כדביאר </w:t>
      </w:r>
      <w:r w:rsidRPr="00877ADF">
        <w:rPr>
          <w:rStyle w:val="affa"/>
          <w:rtl/>
        </w:rPr>
        <w:t>השער"י</w:t>
      </w:r>
      <w:r w:rsidRPr="00877ADF">
        <w:rPr>
          <w:rStyle w:val="afb"/>
          <w:rtl/>
        </w:rPr>
        <w:t xml:space="preserve"> </w:t>
      </w:r>
      <w:r w:rsidRPr="00877ADF">
        <w:rPr>
          <w:rStyle w:val="aff6"/>
          <w:rtl/>
        </w:rPr>
        <w:t>(שער החזקות פי"ז ד"ה ונלענ"ד בביאור</w:t>
      </w:r>
      <w:r w:rsidRPr="00877ADF">
        <w:rPr>
          <w:rStyle w:val="aff6"/>
          <w:rFonts w:hint="cs"/>
          <w:rtl/>
        </w:rPr>
        <w:t>, הובא בסימן ג' אות קטז</w:t>
      </w:r>
      <w:r w:rsidRPr="00877ADF">
        <w:rPr>
          <w:rStyle w:val="aff6"/>
          <w:rtl/>
        </w:rPr>
        <w:t>)</w:t>
      </w:r>
      <w:r w:rsidRPr="00877ADF">
        <w:rPr>
          <w:rStyle w:val="afb"/>
          <w:rtl/>
        </w:rPr>
        <w:t xml:space="preserve"> </w:t>
      </w:r>
      <w:r w:rsidRPr="001440AB">
        <w:rPr>
          <w:rStyle w:val="afb"/>
          <w:rtl/>
        </w:rPr>
        <w:t xml:space="preserve">דבכל דבר שיש בו שינוי קצת, חשיב שיצא מחזקתו הראשונה, אף אם השינוי אינו מטריף את הבהמה, וכן בספק מתי נולדה הריעותא ס"ל </w:t>
      </w:r>
      <w:r w:rsidRPr="00425B72">
        <w:rPr>
          <w:rStyle w:val="affa"/>
          <w:rtl/>
        </w:rPr>
        <w:t>לרבינו יונה</w:t>
      </w:r>
      <w:r w:rsidRPr="001440AB">
        <w:rPr>
          <w:rStyle w:val="afb"/>
          <w:rtl/>
        </w:rPr>
        <w:t xml:space="preserve"> דכיון שיצאה מחזקתה שעה אחת א"א לחלק את החזקה, ולומר שרק לאחר השחיטה נעשה השינוי, דכל מה שאפשר להעמיד את החזקה, הוא במקום שמעמידים דעכשיו נעשה השינוי.</w:t>
      </w:r>
      <w:r>
        <w:rPr>
          <w:rStyle w:val="afb"/>
          <w:rFonts w:hint="cs"/>
          <w:rtl/>
        </w:rPr>
        <w:t xml:space="preserve"> </w:t>
      </w:r>
      <w:r w:rsidRPr="001440AB">
        <w:rPr>
          <w:rStyle w:val="afb"/>
          <w:rtl/>
        </w:rPr>
        <w:t xml:space="preserve">וביאר </w:t>
      </w:r>
      <w:r w:rsidRPr="00425B72">
        <w:rPr>
          <w:rStyle w:val="affa"/>
          <w:rtl/>
        </w:rPr>
        <w:t>השער"י</w:t>
      </w:r>
      <w:r w:rsidRPr="001440AB">
        <w:rPr>
          <w:rStyle w:val="afb"/>
          <w:rtl/>
        </w:rPr>
        <w:t xml:space="preserve"> דגדר חזקה אינה על העתיד אלא על זמן החזקה עכשיו, ובכל שעה מחזיקים שנשאר כמו שהיה קודם, וכיש עכשיו ספק על הזמן שהיה אם השתנה, מעמידים על החזקה שלא השתנה, אבל במקום שודאי כבר היה שינוי, נתבטלה כל החזקה על הזמן שעבר, דא"א לחלק את הזמן שעבר, ולומר דבחלקו נשארה החזקה ובחלקו היה שינוי, ועיי"ש </w:t>
      </w:r>
      <w:r w:rsidRPr="00425B72">
        <w:rPr>
          <w:rStyle w:val="affa"/>
          <w:rtl/>
        </w:rPr>
        <w:t>בשער"י</w:t>
      </w:r>
      <w:r w:rsidRPr="001440AB">
        <w:rPr>
          <w:rStyle w:val="afb"/>
          <w:rtl/>
        </w:rPr>
        <w:t xml:space="preserve"> שהאריך בביאור דברי </w:t>
      </w:r>
      <w:r w:rsidRPr="00425B72">
        <w:rPr>
          <w:rStyle w:val="affa"/>
          <w:rtl/>
        </w:rPr>
        <w:t>רבינו יונה</w:t>
      </w:r>
      <w:r w:rsidRPr="001440AB">
        <w:rPr>
          <w:rStyle w:val="afb"/>
          <w:rtl/>
        </w:rPr>
        <w:t>.</w:t>
      </w:r>
    </w:p>
  </w:footnote>
  <w:footnote w:id="46">
    <w:p w14:paraId="3851FB81" w14:textId="77777777" w:rsidR="00345400" w:rsidRDefault="00345400" w:rsidP="009A2997">
      <w:pPr>
        <w:pStyle w:val="af"/>
        <w:rPr>
          <w:rtl/>
        </w:rPr>
      </w:pPr>
      <w:r>
        <w:rPr>
          <w:rStyle w:val="af1"/>
        </w:rPr>
        <w:footnoteRef/>
      </w:r>
      <w:r>
        <w:rPr>
          <w:rtl/>
        </w:rPr>
        <w:t xml:space="preserve"> </w:t>
      </w:r>
      <w:r>
        <w:rPr>
          <w:rFonts w:hint="cs"/>
          <w:rtl/>
        </w:rPr>
        <w:t xml:space="preserve">וכתב </w:t>
      </w:r>
      <w:r w:rsidRPr="006E79AD">
        <w:rPr>
          <w:rStyle w:val="affa"/>
          <w:rFonts w:hint="cs"/>
          <w:rtl/>
        </w:rPr>
        <w:t>הריב"ש</w:t>
      </w:r>
      <w:r>
        <w:rPr>
          <w:rFonts w:hint="cs"/>
          <w:rtl/>
        </w:rPr>
        <w:t xml:space="preserve"> </w:t>
      </w:r>
      <w:r w:rsidRPr="006E79AD">
        <w:rPr>
          <w:rStyle w:val="aff6"/>
          <w:rFonts w:hint="cs"/>
          <w:rtl/>
        </w:rPr>
        <w:t>(שע"ב ד"ה אבל עדיין)</w:t>
      </w:r>
      <w:r>
        <w:rPr>
          <w:rFonts w:hint="cs"/>
          <w:rtl/>
        </w:rPr>
        <w:t xml:space="preserve"> דאף שיש חזקה שמסייעת לרוב, דהבהמה בחזקת שאינה טריפה כשנולדה, מ"מ אינה חזקה דהא לא נתבררה בשעתה, כדכתבו </w:t>
      </w:r>
      <w:r w:rsidRPr="00886416">
        <w:rPr>
          <w:rStyle w:val="affa"/>
          <w:rFonts w:hint="cs"/>
          <w:rtl/>
        </w:rPr>
        <w:t>התוס'</w:t>
      </w:r>
      <w:r>
        <w:rPr>
          <w:rFonts w:hint="cs"/>
          <w:rtl/>
        </w:rPr>
        <w:t xml:space="preserve"> </w:t>
      </w:r>
      <w:r w:rsidRPr="00886416">
        <w:rPr>
          <w:rStyle w:val="aff6"/>
          <w:rFonts w:hint="cs"/>
          <w:rtl/>
        </w:rPr>
        <w:t>(ד"ה אתיא)</w:t>
      </w:r>
      <w:r>
        <w:rPr>
          <w:rFonts w:hint="cs"/>
          <w:rtl/>
        </w:rPr>
        <w:t xml:space="preserve">, וכ"כ </w:t>
      </w:r>
      <w:r w:rsidRPr="009170EF">
        <w:rPr>
          <w:rStyle w:val="affa"/>
          <w:rFonts w:hint="cs"/>
          <w:rtl/>
        </w:rPr>
        <w:t>המהרש"א</w:t>
      </w:r>
      <w:r>
        <w:rPr>
          <w:rFonts w:hint="cs"/>
          <w:rtl/>
        </w:rPr>
        <w:t xml:space="preserve"> </w:t>
      </w:r>
      <w:r w:rsidRPr="009170EF">
        <w:rPr>
          <w:rStyle w:val="aff6"/>
          <w:rFonts w:hint="cs"/>
          <w:rtl/>
        </w:rPr>
        <w:t>(</w:t>
      </w:r>
      <w:r w:rsidRPr="00886416">
        <w:rPr>
          <w:rStyle w:val="aff6"/>
          <w:rtl/>
        </w:rPr>
        <w:t>ד"ה בא"ד אלא</w:t>
      </w:r>
      <w:r>
        <w:rPr>
          <w:rStyle w:val="aff6"/>
          <w:rFonts w:hint="cs"/>
          <w:rtl/>
        </w:rPr>
        <w:t>)</w:t>
      </w:r>
      <w:r>
        <w:rPr>
          <w:rFonts w:hint="cs"/>
          <w:rtl/>
        </w:rPr>
        <w:t>.</w:t>
      </w:r>
    </w:p>
  </w:footnote>
  <w:footnote w:id="47">
    <w:p w14:paraId="3C2A431A" w14:textId="77777777" w:rsidR="00345400" w:rsidRDefault="00345400" w:rsidP="009A2997">
      <w:pPr>
        <w:pStyle w:val="af"/>
      </w:pPr>
      <w:r>
        <w:rPr>
          <w:rStyle w:val="af1"/>
        </w:rPr>
        <w:footnoteRef/>
      </w:r>
      <w:r>
        <w:rPr>
          <w:rtl/>
        </w:rPr>
        <w:t xml:space="preserve"> </w:t>
      </w:r>
      <w:r>
        <w:rPr>
          <w:rFonts w:hint="cs"/>
          <w:rtl/>
        </w:rPr>
        <w:t xml:space="preserve">ועי' </w:t>
      </w:r>
      <w:r w:rsidRPr="00B8663E">
        <w:rPr>
          <w:rStyle w:val="affa"/>
          <w:rFonts w:hint="cs"/>
          <w:rtl/>
        </w:rPr>
        <w:t>בש"ש</w:t>
      </w:r>
      <w:r>
        <w:rPr>
          <w:rFonts w:hint="cs"/>
          <w:rtl/>
        </w:rPr>
        <w:t xml:space="preserve"> </w:t>
      </w:r>
      <w:r w:rsidRPr="00B8663E">
        <w:rPr>
          <w:rStyle w:val="aff6"/>
          <w:rFonts w:hint="cs"/>
          <w:rtl/>
        </w:rPr>
        <w:t>(ש"ד פ"א ד"ה ובזה)</w:t>
      </w:r>
      <w:r>
        <w:rPr>
          <w:rFonts w:hint="cs"/>
          <w:rtl/>
        </w:rPr>
        <w:t xml:space="preserve"> דביאר את דברי </w:t>
      </w:r>
      <w:r w:rsidRPr="00B8663E">
        <w:rPr>
          <w:rStyle w:val="affa"/>
          <w:rFonts w:hint="cs"/>
          <w:rtl/>
        </w:rPr>
        <w:t>התוס'</w:t>
      </w:r>
      <w:r>
        <w:rPr>
          <w:rFonts w:hint="cs"/>
          <w:rtl/>
        </w:rPr>
        <w:t xml:space="preserve"> </w:t>
      </w:r>
      <w:r w:rsidRPr="00B8663E">
        <w:rPr>
          <w:rStyle w:val="affa"/>
          <w:rFonts w:hint="cs"/>
          <w:rtl/>
        </w:rPr>
        <w:t>בב"ב</w:t>
      </w:r>
      <w:r>
        <w:rPr>
          <w:rFonts w:hint="cs"/>
          <w:rtl/>
        </w:rPr>
        <w:t xml:space="preserve"> אמאי התם הוא רובא דליתא קמן, ולא רובא דאיתא קמן, ובמה שביאר בזה </w:t>
      </w:r>
      <w:r w:rsidRPr="00EF5F7B">
        <w:rPr>
          <w:rStyle w:val="affa"/>
          <w:rFonts w:hint="cs"/>
          <w:rtl/>
        </w:rPr>
        <w:t xml:space="preserve">בשיעורי הגרש"ר </w:t>
      </w:r>
      <w:r w:rsidRPr="00EF5F7B">
        <w:rPr>
          <w:rStyle w:val="aff6"/>
          <w:rFonts w:hint="cs"/>
          <w:rtl/>
        </w:rPr>
        <w:t>(ב"ב כד. אות ס"ח)</w:t>
      </w:r>
      <w:r>
        <w:rPr>
          <w:rFonts w:hint="cs"/>
          <w:rtl/>
        </w:rPr>
        <w:t>.</w:t>
      </w:r>
    </w:p>
  </w:footnote>
  <w:footnote w:id="48">
    <w:p w14:paraId="3C5D21F9" w14:textId="77777777" w:rsidR="00345400" w:rsidRDefault="00345400" w:rsidP="009A2997">
      <w:pPr>
        <w:pStyle w:val="af"/>
        <w:rPr>
          <w:rtl/>
        </w:rPr>
      </w:pPr>
      <w:r>
        <w:rPr>
          <w:rStyle w:val="af1"/>
        </w:rPr>
        <w:footnoteRef/>
      </w:r>
      <w:r>
        <w:rPr>
          <w:rtl/>
        </w:rPr>
        <w:t xml:space="preserve"> </w:t>
      </w:r>
      <w:r w:rsidRPr="00AC4B87">
        <w:rPr>
          <w:rtl/>
        </w:rPr>
        <w:t xml:space="preserve">וע"ע בדברי </w:t>
      </w:r>
      <w:r w:rsidRPr="00AC4B87">
        <w:rPr>
          <w:rStyle w:val="affa"/>
          <w:rtl/>
        </w:rPr>
        <w:t>רבינו יונה בב"ב</w:t>
      </w:r>
      <w:r w:rsidRPr="00AC4B87">
        <w:rPr>
          <w:rtl/>
        </w:rPr>
        <w:t xml:space="preserve"> </w:t>
      </w:r>
      <w:r w:rsidRPr="00AC4B87">
        <w:rPr>
          <w:rStyle w:val="aff6"/>
          <w:rtl/>
        </w:rPr>
        <w:t>(כד. ד"ה וש"מ)</w:t>
      </w:r>
      <w:r w:rsidRPr="00AC4B87">
        <w:rPr>
          <w:rtl/>
        </w:rPr>
        <w:t xml:space="preserve"> דכתב דמכמה משניות שמעינן דרובא דאו' כגון מההיא דט' חנויות, וכוונת רבא לומר דרוב שיש קרוב כנגדו הוא גם מדאו'</w:t>
      </w:r>
      <w:r>
        <w:rPr>
          <w:rFonts w:hint="cs"/>
          <w:rtl/>
        </w:rPr>
        <w:t xml:space="preserve">, וע"ע </w:t>
      </w:r>
      <w:r w:rsidRPr="009B2E26">
        <w:rPr>
          <w:rStyle w:val="affa"/>
          <w:rFonts w:hint="cs"/>
          <w:rtl/>
        </w:rPr>
        <w:t>בהג' הפורת יוסף</w:t>
      </w:r>
      <w:r>
        <w:rPr>
          <w:rFonts w:hint="cs"/>
          <w:rtl/>
        </w:rPr>
        <w:t xml:space="preserve"> </w:t>
      </w:r>
      <w:r w:rsidRPr="009B2E26">
        <w:rPr>
          <w:rStyle w:val="aff6"/>
          <w:rFonts w:hint="cs"/>
          <w:rtl/>
        </w:rPr>
        <w:t xml:space="preserve">(בב"ב כד. ד"ה ש"מ) </w:t>
      </w:r>
      <w:r>
        <w:rPr>
          <w:rFonts w:hint="cs"/>
          <w:rtl/>
        </w:rPr>
        <w:t>דכתב כוונת רבא לומר דמהני הרוב אף כנגד החזקת טהרה של האשה</w:t>
      </w:r>
      <w:r w:rsidRPr="00AC4B87">
        <w:rPr>
          <w:rtl/>
        </w:rPr>
        <w:t>.</w:t>
      </w:r>
    </w:p>
  </w:footnote>
  <w:footnote w:id="49">
    <w:p w14:paraId="5BED2C04" w14:textId="77777777" w:rsidR="00345400" w:rsidRDefault="00345400" w:rsidP="009A2997">
      <w:pPr>
        <w:pStyle w:val="af"/>
        <w:rPr>
          <w:rStyle w:val="afb"/>
          <w:rtl/>
        </w:rPr>
      </w:pPr>
      <w:r>
        <w:rPr>
          <w:rStyle w:val="af1"/>
        </w:rPr>
        <w:footnoteRef/>
      </w:r>
      <w:r>
        <w:rPr>
          <w:rtl/>
        </w:rPr>
        <w:t xml:space="preserve"> </w:t>
      </w:r>
      <w:r w:rsidRPr="00E72DA2">
        <w:rPr>
          <w:rStyle w:val="afb"/>
          <w:rFonts w:hint="cs"/>
          <w:rtl/>
        </w:rPr>
        <w:t xml:space="preserve">וכתב </w:t>
      </w:r>
      <w:r w:rsidRPr="00001B54">
        <w:rPr>
          <w:rStyle w:val="affa"/>
          <w:rFonts w:hint="cs"/>
          <w:rtl/>
        </w:rPr>
        <w:t>החוו"ד</w:t>
      </w:r>
      <w:r w:rsidRPr="00E72DA2">
        <w:rPr>
          <w:rStyle w:val="afb"/>
          <w:rFonts w:hint="cs"/>
          <w:rtl/>
        </w:rPr>
        <w:t xml:space="preserve"> דכן מבואר </w:t>
      </w:r>
      <w:r w:rsidRPr="00001B54">
        <w:rPr>
          <w:rStyle w:val="affa"/>
          <w:rFonts w:hint="cs"/>
          <w:rtl/>
        </w:rPr>
        <w:t>ברא"ש לקמן</w:t>
      </w:r>
      <w:r w:rsidRPr="00E72DA2">
        <w:rPr>
          <w:rStyle w:val="afb"/>
          <w:rFonts w:hint="cs"/>
          <w:rtl/>
        </w:rPr>
        <w:t xml:space="preserve"> </w:t>
      </w:r>
      <w:r w:rsidRPr="00001B54">
        <w:rPr>
          <w:rStyle w:val="aff6"/>
          <w:rFonts w:hint="cs"/>
          <w:rtl/>
        </w:rPr>
        <w:t xml:space="preserve">(סי' ט"ז) </w:t>
      </w:r>
      <w:r w:rsidRPr="00E72DA2">
        <w:rPr>
          <w:rStyle w:val="afb"/>
          <w:rFonts w:hint="cs"/>
          <w:rtl/>
        </w:rPr>
        <w:t>דכתב דמיעוט שחוטין שאינם מומחין אינו שכיח, ולכן א"א לצרפו לחזקתו אינו זבוח, ואפילו ר"מ מודה דלא חיישינן למיעוט זה שאינו שכיח וא"א לצרפו.</w:t>
      </w:r>
    </w:p>
    <w:p w14:paraId="34BE7822" w14:textId="77777777" w:rsidR="00345400" w:rsidRDefault="00345400" w:rsidP="009A2997">
      <w:pPr>
        <w:pStyle w:val="af"/>
        <w:rPr>
          <w:rtl/>
        </w:rPr>
      </w:pPr>
      <w:r w:rsidRPr="00E72DA2">
        <w:rPr>
          <w:rStyle w:val="afb"/>
          <w:rFonts w:hint="cs"/>
          <w:rtl/>
        </w:rPr>
        <w:t xml:space="preserve">והקשה </w:t>
      </w:r>
      <w:r w:rsidRPr="00001B54">
        <w:rPr>
          <w:rStyle w:val="affa"/>
          <w:rFonts w:hint="cs"/>
          <w:rtl/>
        </w:rPr>
        <w:t>החוו"ד</w:t>
      </w:r>
      <w:r w:rsidRPr="00E72DA2">
        <w:rPr>
          <w:rStyle w:val="afb"/>
          <w:rFonts w:hint="cs"/>
          <w:rtl/>
        </w:rPr>
        <w:t xml:space="preserve"> על </w:t>
      </w:r>
      <w:r w:rsidRPr="00001B54">
        <w:rPr>
          <w:rStyle w:val="affa"/>
          <w:rFonts w:hint="cs"/>
          <w:rtl/>
        </w:rPr>
        <w:t>הרא"ש</w:t>
      </w:r>
      <w:r w:rsidRPr="00E72DA2">
        <w:rPr>
          <w:rStyle w:val="afb"/>
          <w:rFonts w:hint="cs"/>
          <w:rtl/>
        </w:rPr>
        <w:t xml:space="preserve"> דא"כ ברוב טבחי ישראל ומיעוט טבחי עכו"ם נצרף את המיעוט לחזקת אינו זבוח, וכתב </w:t>
      </w:r>
      <w:r w:rsidRPr="00001B54">
        <w:rPr>
          <w:rStyle w:val="affa"/>
          <w:rFonts w:hint="cs"/>
          <w:rtl/>
        </w:rPr>
        <w:t>החוו"ד</w:t>
      </w:r>
      <w:r w:rsidRPr="00E72DA2">
        <w:rPr>
          <w:rStyle w:val="afb"/>
          <w:rFonts w:hint="cs"/>
          <w:rtl/>
        </w:rPr>
        <w:t xml:space="preserve"> דמוכח דברובא דאיתא קמן א"א לצרף את המיעוט, ולכן ברוב טבחי ישראל דהוא רובא דאיתא קמן המיעוט הוא כמאן דליתא</w:t>
      </w:r>
      <w:r>
        <w:rPr>
          <w:rStyle w:val="afb"/>
          <w:rFonts w:hint="cs"/>
          <w:rtl/>
        </w:rPr>
        <w:t>.</w:t>
      </w:r>
    </w:p>
  </w:footnote>
  <w:footnote w:id="50">
    <w:p w14:paraId="0A1392A9" w14:textId="77777777" w:rsidR="00345400" w:rsidRDefault="00345400" w:rsidP="009A2997">
      <w:pPr>
        <w:pStyle w:val="af"/>
        <w:rPr>
          <w:rtl/>
        </w:rPr>
      </w:pPr>
      <w:r>
        <w:rPr>
          <w:rStyle w:val="af1"/>
        </w:rPr>
        <w:footnoteRef/>
      </w:r>
      <w:r>
        <w:rPr>
          <w:rtl/>
        </w:rPr>
        <w:t xml:space="preserve"> </w:t>
      </w:r>
      <w:r>
        <w:rPr>
          <w:rFonts w:hint="cs"/>
          <w:rtl/>
        </w:rPr>
        <w:t xml:space="preserve">וע"ע בדברי </w:t>
      </w:r>
      <w:r>
        <w:rPr>
          <w:rStyle w:val="affa"/>
          <w:rFonts w:hint="cs"/>
          <w:rtl/>
        </w:rPr>
        <w:t>ה</w:t>
      </w:r>
      <w:r w:rsidRPr="00473E40">
        <w:rPr>
          <w:rStyle w:val="affa"/>
          <w:rtl/>
        </w:rPr>
        <w:t>ריטב"א בקידושין</w:t>
      </w:r>
      <w:r w:rsidRPr="00FC21FB">
        <w:rPr>
          <w:rtl/>
        </w:rPr>
        <w:t xml:space="preserve"> </w:t>
      </w:r>
      <w:r w:rsidRPr="00473E40">
        <w:rPr>
          <w:rStyle w:val="aff6"/>
          <w:rtl/>
        </w:rPr>
        <w:t>(נ: ד"ה א"ר פפא)</w:t>
      </w:r>
      <w:r w:rsidRPr="00FC21FB">
        <w:rPr>
          <w:rtl/>
        </w:rPr>
        <w:t xml:space="preserve"> </w:t>
      </w:r>
      <w:r>
        <w:rPr>
          <w:rFonts w:hint="cs"/>
          <w:rtl/>
        </w:rPr>
        <w:t xml:space="preserve">דכתב </w:t>
      </w:r>
      <w:r w:rsidRPr="00FC21FB">
        <w:rPr>
          <w:rtl/>
        </w:rPr>
        <w:t>דרוב קטנים אינם סריסים, וכן רוב מעוברות יולדות, הם רוב בטבע שאינו תלוי ברצון, ואף לחומרא לא חיישינן למיעוט. אבל רוב שתלוי במנהג שאי"ז חיוב, כרוב מקדשין ואח"כ שולחין סבלונות, ומיעוט שולחין סבלונות ואח"כ מקדשין, אף לרבנן חיישינן למיעוט לחומרא, שמא שלח סבלונות, דכיון שהוא שתלוי בדעת האדם, ואדם שרוצה יכול לנהוג כמיעוט, אף לרבנן חיישינן לחומרא שמא נהג כמיעוט</w:t>
      </w:r>
      <w:r>
        <w:rPr>
          <w:rFonts w:hint="cs"/>
          <w:rtl/>
        </w:rPr>
        <w:t xml:space="preserve">, וע"ע </w:t>
      </w:r>
      <w:r>
        <w:rPr>
          <w:rStyle w:val="affa"/>
          <w:rFonts w:hint="cs"/>
          <w:rtl/>
        </w:rPr>
        <w:t>ב</w:t>
      </w:r>
      <w:r w:rsidRPr="002D6EF8">
        <w:rPr>
          <w:rStyle w:val="affa"/>
          <w:rtl/>
        </w:rPr>
        <w:t>רמב"ן במלחמות בקידושין</w:t>
      </w:r>
      <w:r w:rsidRPr="007676EC">
        <w:rPr>
          <w:rtl/>
        </w:rPr>
        <w:t xml:space="preserve"> </w:t>
      </w:r>
      <w:r w:rsidRPr="002D6EF8">
        <w:rPr>
          <w:rStyle w:val="aff6"/>
          <w:rtl/>
        </w:rPr>
        <w:t xml:space="preserve">(דף </w:t>
      </w:r>
      <w:r w:rsidRPr="002D6EF8">
        <w:rPr>
          <w:rStyle w:val="aff6"/>
          <w:rFonts w:hint="cs"/>
          <w:rtl/>
        </w:rPr>
        <w:t>כא:</w:t>
      </w:r>
      <w:r w:rsidRPr="002D6EF8">
        <w:rPr>
          <w:rStyle w:val="aff6"/>
          <w:rtl/>
        </w:rPr>
        <w:t xml:space="preserve"> מדפי הרי"ף)</w:t>
      </w:r>
      <w:r w:rsidRPr="007676EC">
        <w:rPr>
          <w:rtl/>
        </w:rPr>
        <w:t>.</w:t>
      </w:r>
    </w:p>
  </w:footnote>
  <w:footnote w:id="51">
    <w:p w14:paraId="2BEE1CDC" w14:textId="77777777" w:rsidR="00345400" w:rsidRDefault="00345400" w:rsidP="009A2997">
      <w:pPr>
        <w:pStyle w:val="af"/>
        <w:rPr>
          <w:rtl/>
        </w:rPr>
      </w:pPr>
      <w:r>
        <w:rPr>
          <w:rStyle w:val="af1"/>
        </w:rPr>
        <w:footnoteRef/>
      </w:r>
      <w:r>
        <w:rPr>
          <w:rtl/>
        </w:rPr>
        <w:t xml:space="preserve"> </w:t>
      </w:r>
      <w:r>
        <w:rPr>
          <w:rFonts w:hint="cs"/>
          <w:rtl/>
        </w:rPr>
        <w:t xml:space="preserve">הביא </w:t>
      </w:r>
      <w:r w:rsidRPr="000F4C51">
        <w:rPr>
          <w:rStyle w:val="affa"/>
          <w:rFonts w:hint="cs"/>
          <w:rtl/>
        </w:rPr>
        <w:t>בתרוה"ד</w:t>
      </w:r>
      <w:r w:rsidRPr="00604B1F">
        <w:rPr>
          <w:rStyle w:val="aff6"/>
          <w:rFonts w:hint="cs"/>
          <w:rtl/>
        </w:rPr>
        <w:t xml:space="preserve"> </w:t>
      </w:r>
      <w:r>
        <w:rPr>
          <w:rFonts w:hint="cs"/>
          <w:rtl/>
        </w:rPr>
        <w:t xml:space="preserve">את דברי </w:t>
      </w:r>
      <w:r w:rsidRPr="000F4C51">
        <w:rPr>
          <w:rStyle w:val="affa"/>
          <w:rFonts w:hint="cs"/>
          <w:rtl/>
        </w:rPr>
        <w:t>המהר"ם מרונטבורג</w:t>
      </w:r>
      <w:r>
        <w:rPr>
          <w:rFonts w:hint="cs"/>
          <w:rtl/>
        </w:rPr>
        <w:t xml:space="preserve"> </w:t>
      </w:r>
      <w:r w:rsidRPr="0021011D">
        <w:rPr>
          <w:rStyle w:val="af7"/>
          <w:rFonts w:eastAsia="Guttman Hodes" w:hint="cs"/>
          <w:rtl/>
        </w:rPr>
        <w:t>(</w:t>
      </w:r>
      <w:r w:rsidRPr="00055848">
        <w:rPr>
          <w:rStyle w:val="aff6"/>
          <w:rFonts w:hint="cs"/>
          <w:rtl/>
        </w:rPr>
        <w:t>נד' בסוף הרמב"ם ב</w:t>
      </w:r>
      <w:r w:rsidRPr="00055848">
        <w:rPr>
          <w:rStyle w:val="aff6"/>
          <w:rtl/>
        </w:rPr>
        <w:t xml:space="preserve">תשו' מיימוניות </w:t>
      </w:r>
      <w:r w:rsidRPr="00055848">
        <w:rPr>
          <w:rStyle w:val="aff6"/>
          <w:rFonts w:hint="cs"/>
          <w:rtl/>
        </w:rPr>
        <w:t xml:space="preserve">על הל' שאילה ופקדון </w:t>
      </w:r>
      <w:r>
        <w:rPr>
          <w:rStyle w:val="aff6"/>
          <w:rFonts w:hint="cs"/>
          <w:rtl/>
        </w:rPr>
        <w:t xml:space="preserve">סי' </w:t>
      </w:r>
      <w:r w:rsidRPr="00055848">
        <w:rPr>
          <w:rStyle w:val="aff6"/>
          <w:rFonts w:hint="cs"/>
          <w:rtl/>
        </w:rPr>
        <w:t>פ"ה, ובשו"ת מהר"ם מרוטנבורג תתקצ"א)</w:t>
      </w:r>
      <w:r w:rsidRPr="0021011D">
        <w:rPr>
          <w:rStyle w:val="af7"/>
          <w:rFonts w:eastAsia="Guttman Hodes" w:hint="cs"/>
          <w:rtl/>
        </w:rPr>
        <w:t xml:space="preserve"> </w:t>
      </w:r>
      <w:r>
        <w:rPr>
          <w:rFonts w:hint="cs"/>
          <w:rtl/>
        </w:rPr>
        <w:t xml:space="preserve">בשם </w:t>
      </w:r>
      <w:r w:rsidRPr="00055848">
        <w:rPr>
          <w:rStyle w:val="affa"/>
          <w:rFonts w:hint="cs"/>
          <w:rtl/>
        </w:rPr>
        <w:t>הריצב"א</w:t>
      </w:r>
      <w:r>
        <w:rPr>
          <w:rFonts w:hint="cs"/>
          <w:rtl/>
        </w:rPr>
        <w:t xml:space="preserve"> </w:t>
      </w:r>
      <w:r w:rsidRPr="000E3BC4">
        <w:rPr>
          <w:rStyle w:val="afb"/>
          <w:rFonts w:hint="cs"/>
          <w:rtl/>
        </w:rPr>
        <w:t>[וכ"ה</w:t>
      </w:r>
      <w:r w:rsidRPr="0021011D">
        <w:rPr>
          <w:rStyle w:val="af7"/>
          <w:rFonts w:eastAsia="Guttman Hodes" w:hint="cs"/>
          <w:rtl/>
        </w:rPr>
        <w:t xml:space="preserve"> </w:t>
      </w:r>
      <w:r w:rsidRPr="00055848">
        <w:rPr>
          <w:rStyle w:val="affa"/>
          <w:rFonts w:hint="cs"/>
          <w:rtl/>
        </w:rPr>
        <w:t>בתשו' הרשב"א</w:t>
      </w:r>
      <w:r w:rsidRPr="000359BC">
        <w:rPr>
          <w:rStyle w:val="aff6"/>
          <w:rFonts w:hint="cs"/>
          <w:rtl/>
        </w:rPr>
        <w:t xml:space="preserve"> </w:t>
      </w:r>
      <w:r w:rsidRPr="00055848">
        <w:rPr>
          <w:rStyle w:val="aff6"/>
          <w:rFonts w:hint="cs"/>
          <w:rtl/>
        </w:rPr>
        <w:t>(ח"א סי' תתס"ד)</w:t>
      </w:r>
      <w:r w:rsidRPr="000E544B">
        <w:rPr>
          <w:rStyle w:val="afb"/>
          <w:rFonts w:hint="cs"/>
          <w:rtl/>
        </w:rPr>
        <w:t>] דכת</w:t>
      </w:r>
      <w:r>
        <w:rPr>
          <w:rFonts w:hint="cs"/>
          <w:rtl/>
        </w:rPr>
        <w:t>ב דבמעות של כמה אנשים שהיו בתיבה ונטלו מהם חלק, ואינו ידוע של מי נטלו, דלא אזלינן בתר רוב המעות כיון דהוא קבוע, וכל קבוע כמחצה על מחצה דמי, והקשה</w:t>
      </w:r>
      <w:r w:rsidRPr="000359BC">
        <w:rPr>
          <w:rStyle w:val="af9"/>
          <w:rFonts w:hint="cs"/>
          <w:rtl/>
        </w:rPr>
        <w:t xml:space="preserve"> </w:t>
      </w:r>
      <w:r w:rsidRPr="00055848">
        <w:rPr>
          <w:rStyle w:val="affa"/>
          <w:rFonts w:hint="cs"/>
          <w:rtl/>
        </w:rPr>
        <w:t>התרוה"ד</w:t>
      </w:r>
      <w:r w:rsidRPr="000359BC">
        <w:rPr>
          <w:rStyle w:val="af9"/>
          <w:rFonts w:hint="cs"/>
          <w:rtl/>
        </w:rPr>
        <w:t xml:space="preserve"> </w:t>
      </w:r>
      <w:r>
        <w:rPr>
          <w:rFonts w:hint="cs"/>
          <w:rtl/>
        </w:rPr>
        <w:t xml:space="preserve">דמשמע דאם לא היה קבוע אזלינן בתר הרוב, והרי קיי"ל דלא אזלינן בממון בתר רובא. </w:t>
      </w:r>
    </w:p>
    <w:p w14:paraId="68D5F7FD" w14:textId="77777777" w:rsidR="00345400" w:rsidRDefault="00345400" w:rsidP="009A2997">
      <w:pPr>
        <w:pStyle w:val="af"/>
        <w:rPr>
          <w:rtl/>
        </w:rPr>
      </w:pPr>
      <w:r>
        <w:rPr>
          <w:rFonts w:hint="cs"/>
          <w:rtl/>
        </w:rPr>
        <w:t xml:space="preserve">וביאר </w:t>
      </w:r>
      <w:r w:rsidRPr="00055848">
        <w:rPr>
          <w:rStyle w:val="affa"/>
          <w:rFonts w:hint="cs"/>
          <w:rtl/>
        </w:rPr>
        <w:t>התרוה"ד</w:t>
      </w:r>
      <w:r>
        <w:rPr>
          <w:rFonts w:hint="cs"/>
          <w:rtl/>
        </w:rPr>
        <w:t xml:space="preserve"> דדעת </w:t>
      </w:r>
      <w:r w:rsidRPr="000A25B2">
        <w:rPr>
          <w:rStyle w:val="affa"/>
          <w:rFonts w:hint="cs"/>
          <w:rtl/>
        </w:rPr>
        <w:t>המהר"ם</w:t>
      </w:r>
      <w:r>
        <w:rPr>
          <w:rStyle w:val="affa"/>
          <w:rFonts w:hint="cs"/>
          <w:rtl/>
        </w:rPr>
        <w:t xml:space="preserve"> מרוטנבורג</w:t>
      </w:r>
      <w:r>
        <w:rPr>
          <w:rFonts w:hint="cs"/>
          <w:rtl/>
        </w:rPr>
        <w:t xml:space="preserve"> דהא דלא אזלינן בממון בתר רובא,</w:t>
      </w:r>
      <w:r w:rsidRPr="007647B5">
        <w:rPr>
          <w:rFonts w:hint="cs"/>
          <w:rtl/>
        </w:rPr>
        <w:t xml:space="preserve"> </w:t>
      </w:r>
      <w:r>
        <w:rPr>
          <w:rFonts w:hint="cs"/>
          <w:rtl/>
        </w:rPr>
        <w:t>היינו דוקא ברובא דליתא קמן, אבל ברובא דאיתא קמן, אף בממון אזלינן בתר רובא.</w:t>
      </w:r>
    </w:p>
    <w:p w14:paraId="73979D78" w14:textId="77777777" w:rsidR="00345400" w:rsidRDefault="00345400" w:rsidP="009A2997">
      <w:pPr>
        <w:pStyle w:val="af"/>
        <w:rPr>
          <w:rtl/>
        </w:rPr>
      </w:pPr>
      <w:r>
        <w:rPr>
          <w:rFonts w:hint="cs"/>
          <w:rtl/>
        </w:rPr>
        <w:t xml:space="preserve">אך כתב </w:t>
      </w:r>
      <w:r w:rsidRPr="00055848">
        <w:rPr>
          <w:rStyle w:val="affa"/>
          <w:rFonts w:hint="cs"/>
          <w:rtl/>
        </w:rPr>
        <w:t>התרוה"ד</w:t>
      </w:r>
      <w:r>
        <w:rPr>
          <w:rFonts w:hint="cs"/>
          <w:rtl/>
        </w:rPr>
        <w:t xml:space="preserve"> דמדברי </w:t>
      </w:r>
      <w:r w:rsidRPr="00055848">
        <w:rPr>
          <w:rStyle w:val="affa"/>
          <w:rFonts w:hint="cs"/>
          <w:rtl/>
        </w:rPr>
        <w:t>המרדכי בכתובות</w:t>
      </w:r>
      <w:r>
        <w:rPr>
          <w:rFonts w:hint="cs"/>
          <w:rtl/>
        </w:rPr>
        <w:t xml:space="preserve"> </w:t>
      </w:r>
      <w:r w:rsidRPr="00055848">
        <w:rPr>
          <w:rStyle w:val="aff6"/>
          <w:rFonts w:hint="cs"/>
          <w:rtl/>
        </w:rPr>
        <w:t>(דף טו. רמז קמ"א)</w:t>
      </w:r>
      <w:r w:rsidRPr="0021011D">
        <w:rPr>
          <w:rStyle w:val="af7"/>
          <w:rFonts w:eastAsia="Guttman Hodes" w:hint="cs"/>
          <w:rtl/>
        </w:rPr>
        <w:t xml:space="preserve"> </w:t>
      </w:r>
      <w:r>
        <w:rPr>
          <w:rFonts w:hint="cs"/>
          <w:rtl/>
        </w:rPr>
        <w:t xml:space="preserve">בשם </w:t>
      </w:r>
      <w:r w:rsidRPr="00055848">
        <w:rPr>
          <w:rStyle w:val="affa"/>
          <w:rFonts w:hint="cs"/>
          <w:rtl/>
        </w:rPr>
        <w:t>ר"י</w:t>
      </w:r>
      <w:r>
        <w:rPr>
          <w:rFonts w:hint="cs"/>
          <w:rtl/>
        </w:rPr>
        <w:t xml:space="preserve"> מבואר דאף ברובא דאיתא קמן לא אזלינן בממון בתר רובא, דכתב דתינוק שנמצא בעיר שרובא ישראל מחזירין לו אבידתו, ומה שמוציאין מיד המוצא אף דקיי"ל דלא אזלינן בממון בתר רובא, לא חשיב שע"י הרוב מוציאין מהמוחזק, דכיון שיתכן שהמוצא זכה בה שלא כדין לכו"ע אזלינן בתר רובא, וכתב </w:t>
      </w:r>
      <w:r w:rsidRPr="00055848">
        <w:rPr>
          <w:rStyle w:val="affa"/>
          <w:rFonts w:hint="cs"/>
          <w:rtl/>
        </w:rPr>
        <w:t>התרוה"ד</w:t>
      </w:r>
      <w:r>
        <w:rPr>
          <w:rFonts w:hint="cs"/>
          <w:rtl/>
        </w:rPr>
        <w:t xml:space="preserve"> דמבואר מדברי</w:t>
      </w:r>
      <w:r w:rsidRPr="00055848">
        <w:rPr>
          <w:rStyle w:val="affa"/>
          <w:rFonts w:hint="cs"/>
          <w:rtl/>
        </w:rPr>
        <w:t xml:space="preserve"> ר"י</w:t>
      </w:r>
      <w:r>
        <w:rPr>
          <w:rFonts w:hint="cs"/>
          <w:rtl/>
        </w:rPr>
        <w:t xml:space="preserve"> דבממון לא אזלינן בתר רובא אף ברובא דאיתא קמן, עיי"ש שהאריך בזה.</w:t>
      </w:r>
    </w:p>
  </w:footnote>
  <w:footnote w:id="52">
    <w:p w14:paraId="1A80E867" w14:textId="77777777" w:rsidR="00345400" w:rsidRDefault="00345400" w:rsidP="009A2997">
      <w:pPr>
        <w:pStyle w:val="af"/>
        <w:rPr>
          <w:rtl/>
        </w:rPr>
      </w:pPr>
      <w:r>
        <w:rPr>
          <w:rStyle w:val="af1"/>
        </w:rPr>
        <w:footnoteRef/>
      </w:r>
      <w:r>
        <w:rPr>
          <w:rtl/>
        </w:rPr>
        <w:t xml:space="preserve"> </w:t>
      </w:r>
      <w:r w:rsidRPr="00054ED3">
        <w:rPr>
          <w:rtl/>
        </w:rPr>
        <w:t xml:space="preserve">וכתב </w:t>
      </w:r>
      <w:r w:rsidRPr="00054ED3">
        <w:rPr>
          <w:rStyle w:val="affa"/>
          <w:rtl/>
        </w:rPr>
        <w:t>בשיעורי הגרש"ר</w:t>
      </w:r>
      <w:r w:rsidRPr="00054ED3">
        <w:rPr>
          <w:rtl/>
        </w:rPr>
        <w:t xml:space="preserve"> </w:t>
      </w:r>
      <w:r w:rsidRPr="00054ED3">
        <w:rPr>
          <w:rStyle w:val="aff6"/>
          <w:rtl/>
        </w:rPr>
        <w:t>(ב"ב כד. אות ס"ט)</w:t>
      </w:r>
      <w:r w:rsidRPr="00054ED3">
        <w:rPr>
          <w:rtl/>
        </w:rPr>
        <w:t xml:space="preserve"> דלפי דברי </w:t>
      </w:r>
      <w:r w:rsidRPr="00054ED3">
        <w:rPr>
          <w:rStyle w:val="affa"/>
          <w:rtl/>
        </w:rPr>
        <w:t>השער"י</w:t>
      </w:r>
      <w:r w:rsidRPr="00054ED3">
        <w:rPr>
          <w:rtl/>
        </w:rPr>
        <w:t xml:space="preserve"> מבואר דהא דהוצרכה הגמ' בב"ב </w:t>
      </w:r>
      <w:r w:rsidRPr="00054ED3">
        <w:rPr>
          <w:rStyle w:val="aff6"/>
          <w:rtl/>
        </w:rPr>
        <w:t>(כד.)</w:t>
      </w:r>
      <w:r w:rsidRPr="00054ED3">
        <w:rPr>
          <w:rtl/>
        </w:rPr>
        <w:t xml:space="preserve"> לומר דרוב עדיף מקרוב, הוא רק ברובא דאיתא קמן, דכיון שהוא הכרעה בספק ואינו מבררו, הו"א דההכרעה דקרוב עדיפא ממנו, אבל ברובא דליתא קמן שהוא בירור, פשיטא דעדיף על קרוב, שאינו מברר את הספק, והוא רק דין הנהגה בספיקות.</w:t>
      </w:r>
    </w:p>
    <w:p w14:paraId="5E6068CB" w14:textId="77777777" w:rsidR="00345400" w:rsidRDefault="00345400" w:rsidP="009A2997">
      <w:pPr>
        <w:pStyle w:val="af"/>
        <w:rPr>
          <w:rtl/>
        </w:rPr>
      </w:pPr>
      <w:r w:rsidRPr="00054ED3">
        <w:rPr>
          <w:rtl/>
        </w:rPr>
        <w:t xml:space="preserve">והוסיף </w:t>
      </w:r>
      <w:r w:rsidRPr="00054ED3">
        <w:rPr>
          <w:rStyle w:val="affa"/>
          <w:rtl/>
        </w:rPr>
        <w:t>בשיעורי הגרש"ר</w:t>
      </w:r>
      <w:r w:rsidRPr="00054ED3">
        <w:rPr>
          <w:rtl/>
        </w:rPr>
        <w:t xml:space="preserve"> דאף דבסוגיין משמע דרובא דאיתא קמן פשיטא יותר מרובא דליתא קמן, הייינו להו"א דמקשה הגמ' מהו המקור לרובא דליתא קמן, אבל למסקנא דאזלינן בתר רובא דליתא קמן, א"כ פשיטא דעדיף מקרוב.</w:t>
      </w:r>
    </w:p>
  </w:footnote>
  <w:footnote w:id="53">
    <w:p w14:paraId="33A1287C" w14:textId="77777777" w:rsidR="00345400" w:rsidRDefault="00345400" w:rsidP="009A2997">
      <w:pPr>
        <w:pStyle w:val="af"/>
      </w:pPr>
      <w:r>
        <w:rPr>
          <w:rStyle w:val="af1"/>
        </w:rPr>
        <w:footnoteRef/>
      </w:r>
      <w:r>
        <w:rPr>
          <w:rtl/>
        </w:rPr>
        <w:t xml:space="preserve"> </w:t>
      </w:r>
      <w:r>
        <w:rPr>
          <w:rFonts w:hint="cs"/>
          <w:rtl/>
        </w:rPr>
        <w:t xml:space="preserve">דכתב </w:t>
      </w:r>
      <w:r w:rsidRPr="00DF669E">
        <w:rPr>
          <w:rStyle w:val="affa"/>
          <w:rFonts w:hint="cs"/>
          <w:rtl/>
        </w:rPr>
        <w:t>הרא"ש</w:t>
      </w:r>
      <w:r>
        <w:rPr>
          <w:rFonts w:hint="cs"/>
          <w:rtl/>
        </w:rPr>
        <w:t xml:space="preserve"> בענין איסור דאותו ואת בנו, דבגדיים שרוצה לשוחטם ונשחטה אמו של א' מהם באותו היום ונתערב באחרות, ואסור לשחוט את כולם מספק שמא הוא בנה של הבהמה ששחט היום, דמכה את כולם וטורדן, וכל הפורש מרובא פריש ומותרים, אבל השנים הנשארים אסור לשוחטן באותו היום.</w:t>
      </w:r>
    </w:p>
  </w:footnote>
  <w:footnote w:id="54">
    <w:p w14:paraId="489AF6BC" w14:textId="77777777" w:rsidR="00345400" w:rsidRDefault="00345400" w:rsidP="009A2997">
      <w:pPr>
        <w:pStyle w:val="af"/>
        <w:rPr>
          <w:rtl/>
        </w:rPr>
      </w:pPr>
      <w:r>
        <w:rPr>
          <w:rStyle w:val="af1"/>
        </w:rPr>
        <w:footnoteRef/>
      </w:r>
      <w:r>
        <w:rPr>
          <w:rtl/>
        </w:rPr>
        <w:t xml:space="preserve"> </w:t>
      </w:r>
      <w:r w:rsidRPr="006407C0">
        <w:rPr>
          <w:rtl/>
        </w:rPr>
        <w:t>ו</w:t>
      </w:r>
      <w:r>
        <w:rPr>
          <w:rFonts w:hint="cs"/>
          <w:rtl/>
        </w:rPr>
        <w:t>כתב</w:t>
      </w:r>
      <w:r w:rsidRPr="006407C0">
        <w:rPr>
          <w:rtl/>
        </w:rPr>
        <w:t xml:space="preserve"> </w:t>
      </w:r>
      <w:r w:rsidRPr="006407C0">
        <w:rPr>
          <w:rStyle w:val="affa"/>
          <w:rtl/>
        </w:rPr>
        <w:t>הקוב"ש</w:t>
      </w:r>
      <w:r w:rsidRPr="006407C0">
        <w:rPr>
          <w:rtl/>
        </w:rPr>
        <w:t xml:space="preserve"> דזהו החילוק בין כל דפריש לקבוע, דדבר קבוע הוא נפרד מהרוב ועומד בפנ"ע, וכל קבוע הוא כמו השניים האחרונים</w:t>
      </w:r>
      <w:r>
        <w:rPr>
          <w:rFonts w:hint="cs"/>
          <w:rtl/>
        </w:rPr>
        <w:t>.</w:t>
      </w:r>
    </w:p>
    <w:p w14:paraId="7BF87464" w14:textId="77777777" w:rsidR="00345400" w:rsidRDefault="00345400" w:rsidP="009A2997">
      <w:pPr>
        <w:pStyle w:val="af"/>
        <w:rPr>
          <w:rtl/>
        </w:rPr>
      </w:pPr>
      <w:r w:rsidRPr="006407C0">
        <w:rPr>
          <w:rtl/>
        </w:rPr>
        <w:t xml:space="preserve">והוסיף </w:t>
      </w:r>
      <w:r w:rsidRPr="006407C0">
        <w:rPr>
          <w:rStyle w:val="affa"/>
          <w:rtl/>
        </w:rPr>
        <w:t>הקוב"ש</w:t>
      </w:r>
      <w:r w:rsidRPr="006407C0">
        <w:rPr>
          <w:rtl/>
        </w:rPr>
        <w:t xml:space="preserve"> דהא ברובא דליתא קמן השניים האחרונים מותרים, היינו דוקא בהכ"ג שהוא רוב בטבע, כיון שהרוב הוא בדבר עצמו שלפנינו, ולא בדבר אחר שמחוצה לו, ולכן אף קבוע מותר בכה"ג, אבל אם</w:t>
      </w:r>
      <w:r>
        <w:rPr>
          <w:rtl/>
        </w:rPr>
        <w:t xml:space="preserve"> </w:t>
      </w:r>
      <w:r w:rsidRPr="006407C0">
        <w:rPr>
          <w:rtl/>
        </w:rPr>
        <w:t xml:space="preserve">הוא רוב במקרה אף ברובא דליתא קמן, שייך בו דין קבוע, והשניים האחרונים אסורים. [כגון גר עמוני דאיתא בברכות </w:t>
      </w:r>
      <w:r w:rsidRPr="00C04E6B">
        <w:rPr>
          <w:rStyle w:val="aff6"/>
          <w:rtl/>
        </w:rPr>
        <w:t>(כח.)</w:t>
      </w:r>
      <w:r w:rsidRPr="006407C0">
        <w:rPr>
          <w:rtl/>
        </w:rPr>
        <w:t xml:space="preserve"> דאחר שבלבל סנחריב את האומות, אמרינן כל דפריש מרובא פריש].</w:t>
      </w:r>
    </w:p>
  </w:footnote>
  <w:footnote w:id="55">
    <w:p w14:paraId="05962854" w14:textId="77777777" w:rsidR="00345400" w:rsidRDefault="00345400" w:rsidP="009A2997">
      <w:pPr>
        <w:pStyle w:val="af"/>
        <w:rPr>
          <w:rtl/>
        </w:rPr>
      </w:pPr>
      <w:r>
        <w:rPr>
          <w:rStyle w:val="af1"/>
        </w:rPr>
        <w:footnoteRef/>
      </w:r>
      <w:r>
        <w:rPr>
          <w:rtl/>
        </w:rPr>
        <w:t xml:space="preserve"> </w:t>
      </w:r>
      <w:r>
        <w:rPr>
          <w:rFonts w:hint="cs"/>
          <w:rtl/>
        </w:rPr>
        <w:t>ו</w:t>
      </w:r>
      <w:r w:rsidRPr="000473F7">
        <w:rPr>
          <w:rtl/>
        </w:rPr>
        <w:t xml:space="preserve">הוסיף </w:t>
      </w:r>
      <w:r w:rsidRPr="000473F7">
        <w:rPr>
          <w:rStyle w:val="affa"/>
          <w:rtl/>
        </w:rPr>
        <w:t>בחי' הגר"ח מטעלז</w:t>
      </w:r>
      <w:r w:rsidRPr="000473F7">
        <w:rPr>
          <w:rtl/>
        </w:rPr>
        <w:t xml:space="preserve"> </w:t>
      </w:r>
      <w:r w:rsidRPr="000473F7">
        <w:rPr>
          <w:rStyle w:val="aff6"/>
          <w:rtl/>
        </w:rPr>
        <w:t>(ב"</w:t>
      </w:r>
      <w:r w:rsidRPr="000473F7">
        <w:rPr>
          <w:rStyle w:val="aff6"/>
          <w:rFonts w:hint="cs"/>
          <w:rtl/>
        </w:rPr>
        <w:t>ב</w:t>
      </w:r>
      <w:r w:rsidRPr="000473F7">
        <w:rPr>
          <w:rStyle w:val="aff6"/>
          <w:rtl/>
        </w:rPr>
        <w:t xml:space="preserve"> סי' ט' בענין רוב וקרוב עמ' ר"ז ד"ה מתבאר)</w:t>
      </w:r>
      <w:r w:rsidRPr="000473F7">
        <w:rPr>
          <w:rtl/>
        </w:rPr>
        <w:t xml:space="preserve"> דברובא דליתא קמן, לא נחלקו בגמ' בב"ב </w:t>
      </w:r>
      <w:r w:rsidRPr="0068114D">
        <w:rPr>
          <w:rStyle w:val="aff6"/>
          <w:rtl/>
        </w:rPr>
        <w:t>(כד.)</w:t>
      </w:r>
      <w:r w:rsidRPr="000473F7">
        <w:rPr>
          <w:rtl/>
        </w:rPr>
        <w:t xml:space="preserve"> בדין רוב וקרוב, דכיון שהוא בירור כו"ע מודו דהוא שווה בבירורו לקורבא דמוכח, והמחלוקת בגמ' בב"ב היא רק ברובא דאיתא קמן שהוא בגדר של דין ופסק.</w:t>
      </w:r>
    </w:p>
  </w:footnote>
  <w:footnote w:id="56">
    <w:p w14:paraId="6C95C5B3" w14:textId="77777777" w:rsidR="00345400" w:rsidRDefault="00345400" w:rsidP="00D95C52">
      <w:pPr>
        <w:pStyle w:val="af"/>
      </w:pPr>
      <w:r>
        <w:rPr>
          <w:rStyle w:val="af1"/>
        </w:rPr>
        <w:footnoteRef/>
      </w:r>
      <w:r>
        <w:rPr>
          <w:rtl/>
        </w:rPr>
        <w:t xml:space="preserve"> </w:t>
      </w:r>
      <w:r>
        <w:rPr>
          <w:rFonts w:hint="cs"/>
          <w:rtl/>
        </w:rPr>
        <w:t xml:space="preserve">ועי' </w:t>
      </w:r>
      <w:r w:rsidRPr="00D241A2">
        <w:rPr>
          <w:rStyle w:val="affa"/>
          <w:rFonts w:hint="cs"/>
          <w:rtl/>
        </w:rPr>
        <w:t>בשיטמ"ק ובגרעק"א</w:t>
      </w:r>
      <w:r>
        <w:rPr>
          <w:rFonts w:hint="cs"/>
          <w:rtl/>
        </w:rPr>
        <w:t xml:space="preserve"> </w:t>
      </w:r>
      <w:r w:rsidRPr="00D241A2">
        <w:rPr>
          <w:rStyle w:val="aff6"/>
          <w:rFonts w:hint="cs"/>
          <w:rtl/>
        </w:rPr>
        <w:t>(הובאו לעיל סימן ח' אות ט"ו)</w:t>
      </w:r>
      <w:r>
        <w:rPr>
          <w:rFonts w:hint="cs"/>
          <w:rtl/>
        </w:rPr>
        <w:t xml:space="preserve"> שתמהו דהנדון הוא בפרה, והרוב הכריע את הספק, והיאך יכולה החזקה של האדם להוציא מהרוב שאינו בשורש הספק.</w:t>
      </w:r>
    </w:p>
  </w:footnote>
  <w:footnote w:id="57">
    <w:p w14:paraId="48CE6428" w14:textId="77777777" w:rsidR="00345400" w:rsidRDefault="00345400" w:rsidP="00D95C52">
      <w:pPr>
        <w:pStyle w:val="af"/>
        <w:rPr>
          <w:rtl/>
        </w:rPr>
      </w:pPr>
      <w:r>
        <w:rPr>
          <w:rStyle w:val="af1"/>
        </w:rPr>
        <w:footnoteRef/>
      </w:r>
      <w:r>
        <w:rPr>
          <w:rtl/>
        </w:rPr>
        <w:t xml:space="preserve"> </w:t>
      </w:r>
      <w:r w:rsidRPr="00F97C8C">
        <w:rPr>
          <w:rStyle w:val="affa"/>
          <w:rtl/>
        </w:rPr>
        <w:t>בפליתי</w:t>
      </w:r>
      <w:r>
        <w:rPr>
          <w:rtl/>
        </w:rPr>
        <w:t xml:space="preserve"> </w:t>
      </w:r>
      <w:r w:rsidRPr="00A644B9">
        <w:rPr>
          <w:rStyle w:val="aff6"/>
          <w:rtl/>
        </w:rPr>
        <w:t>(סי' נ' ס"ק א')</w:t>
      </w:r>
      <w:r>
        <w:rPr>
          <w:rtl/>
        </w:rPr>
        <w:t xml:space="preserve"> הקשה על </w:t>
      </w:r>
      <w:r w:rsidRPr="00F97C8C">
        <w:rPr>
          <w:rStyle w:val="affa"/>
          <w:rtl/>
        </w:rPr>
        <w:t>התוס'</w:t>
      </w:r>
      <w:r>
        <w:rPr>
          <w:rtl/>
        </w:rPr>
        <w:t xml:space="preserve"> למה כתבו את הדין בגבינות בהרבה בהמות, ולא כתבו בפשיטות דבהמה אחת שנעשו ממנה גבינות ונמצאת טריפה, דהגבינות אסורות, וכדכתבו </w:t>
      </w:r>
      <w:r w:rsidRPr="00F97C8C">
        <w:rPr>
          <w:rStyle w:val="affa"/>
          <w:rtl/>
        </w:rPr>
        <w:t>התוס' בנדה</w:t>
      </w:r>
      <w:r>
        <w:rPr>
          <w:rtl/>
        </w:rPr>
        <w:t xml:space="preserve"> </w:t>
      </w:r>
      <w:r w:rsidRPr="00A644B9">
        <w:rPr>
          <w:rStyle w:val="aff6"/>
          <w:rtl/>
        </w:rPr>
        <w:t>(ב: ד"ה דאיכא)</w:t>
      </w:r>
      <w:r>
        <w:rPr>
          <w:rtl/>
        </w:rPr>
        <w:t xml:space="preserve"> בגבינות של בהמה אחת.</w:t>
      </w:r>
    </w:p>
    <w:p w14:paraId="30E51D63" w14:textId="77777777" w:rsidR="00345400" w:rsidRDefault="00345400" w:rsidP="00D95C52">
      <w:pPr>
        <w:pStyle w:val="af"/>
        <w:rPr>
          <w:rtl/>
        </w:rPr>
      </w:pPr>
      <w:r>
        <w:rPr>
          <w:rtl/>
        </w:rPr>
        <w:t xml:space="preserve">ותירץ </w:t>
      </w:r>
      <w:r w:rsidRPr="00F97C8C">
        <w:rPr>
          <w:rStyle w:val="affa"/>
          <w:rtl/>
        </w:rPr>
        <w:t>הפליתי</w:t>
      </w:r>
      <w:r>
        <w:rPr>
          <w:rtl/>
        </w:rPr>
        <w:t xml:space="preserve"> </w:t>
      </w:r>
      <w:r w:rsidRPr="00A644B9">
        <w:rPr>
          <w:rStyle w:val="aff6"/>
          <w:rtl/>
        </w:rPr>
        <w:t>(סי' נ' ס"ק א' ד"ה וא"כ י"ל)</w:t>
      </w:r>
      <w:r>
        <w:rPr>
          <w:rtl/>
        </w:rPr>
        <w:t xml:space="preserve"> דס"ל </w:t>
      </w:r>
      <w:r w:rsidRPr="004F2FED">
        <w:rPr>
          <w:rStyle w:val="affa"/>
          <w:rtl/>
        </w:rPr>
        <w:t xml:space="preserve">להתוס' </w:t>
      </w:r>
      <w:r>
        <w:rPr>
          <w:rtl/>
        </w:rPr>
        <w:t xml:space="preserve">דא"א להתיר את הגבינות מכח חזקה, כיון שנולדה בה ריעותא דנמצאת טריפה, וס"ל </w:t>
      </w:r>
      <w:r w:rsidRPr="00F97C8C">
        <w:rPr>
          <w:rStyle w:val="affa"/>
          <w:rtl/>
        </w:rPr>
        <w:t>להתוס'</w:t>
      </w:r>
      <w:r>
        <w:rPr>
          <w:rtl/>
        </w:rPr>
        <w:t xml:space="preserve"> דמדרבנן לא אזלינן בתר חזקה כשנולדה ריעותא מחיים, אלא דבהרבה בהמות אפשר להתיר מדאו' ע"י ביטול ברוב, ורק מדרבנן אסור דלח בלח לא בטיל, וכיון שהוא תרתי דרבנן</w:t>
      </w:r>
      <w:r>
        <w:rPr>
          <w:rFonts w:hint="cs"/>
          <w:rtl/>
        </w:rPr>
        <w:t>,</w:t>
      </w:r>
      <w:r>
        <w:rPr>
          <w:rtl/>
        </w:rPr>
        <w:t xml:space="preserve"> סברו </w:t>
      </w:r>
      <w:r w:rsidRPr="00F97C8C">
        <w:rPr>
          <w:rStyle w:val="affa"/>
          <w:rtl/>
        </w:rPr>
        <w:t>התוס'</w:t>
      </w:r>
      <w:r>
        <w:rPr>
          <w:rtl/>
        </w:rPr>
        <w:t xml:space="preserve"> דאפשר להתיר, וע"ז כתבו דכיון שהחזקה לא נתבררה בשעתה א"א להתיר, ועיי"ש במה שהאריך בזה.</w:t>
      </w:r>
    </w:p>
    <w:p w14:paraId="60A5240C" w14:textId="77777777" w:rsidR="00345400" w:rsidRDefault="00345400" w:rsidP="00D95C52">
      <w:pPr>
        <w:pStyle w:val="af"/>
        <w:rPr>
          <w:rtl/>
        </w:rPr>
      </w:pPr>
      <w:r w:rsidRPr="004F2FED">
        <w:rPr>
          <w:rStyle w:val="afb"/>
          <w:rFonts w:hint="cs"/>
          <w:rtl/>
        </w:rPr>
        <w:t xml:space="preserve">אבל </w:t>
      </w:r>
      <w:r w:rsidRPr="00F97C8C">
        <w:rPr>
          <w:rStyle w:val="affa"/>
          <w:rtl/>
        </w:rPr>
        <w:t>באיסור והיתר הארוך</w:t>
      </w:r>
      <w:r>
        <w:rPr>
          <w:rtl/>
        </w:rPr>
        <w:t xml:space="preserve"> </w:t>
      </w:r>
      <w:r w:rsidRPr="00A644B9">
        <w:rPr>
          <w:rStyle w:val="aff6"/>
          <w:rtl/>
        </w:rPr>
        <w:t>(מ"ט א')</w:t>
      </w:r>
      <w:r>
        <w:rPr>
          <w:rtl/>
        </w:rPr>
        <w:t xml:space="preserve"> הביא את דברי </w:t>
      </w:r>
      <w:r w:rsidRPr="00F97C8C">
        <w:rPr>
          <w:rStyle w:val="affa"/>
          <w:rtl/>
        </w:rPr>
        <w:t>התוס'</w:t>
      </w:r>
      <w:r>
        <w:rPr>
          <w:rtl/>
        </w:rPr>
        <w:t xml:space="preserve"> דגבינות שנחלבו מהרבה בהמות אסורות, וביאר </w:t>
      </w:r>
      <w:r w:rsidRPr="00F97C8C">
        <w:rPr>
          <w:rStyle w:val="affa"/>
          <w:rtl/>
        </w:rPr>
        <w:t>באיסור והיתר הארוך</w:t>
      </w:r>
      <w:r>
        <w:rPr>
          <w:rtl/>
        </w:rPr>
        <w:t xml:space="preserve"> דבין בגבינות שנעשו מבהמה אחת, ובין בגבינות שנעשו ממאה בהמות, אם החלב לא נתערב יחד, ואח"כ נתערבו הגבינות, אינם בטלות דיבש ביבש לא בטיל והם חתיכה הראויה להתכבד, ואי"ז ספק ספיקא שמא הגבינה הזו אינה מהטריפה, ואת"ל שהיא מהטריפה שמא נטרפה בג' ימים שלפני השחיטה, דכיון שהייתה טריפה בג' ימים האחרונים חשיב ספק אחד.</w:t>
      </w:r>
    </w:p>
    <w:p w14:paraId="3A64CC55" w14:textId="77777777" w:rsidR="00345400" w:rsidRDefault="00345400" w:rsidP="00D95C52">
      <w:pPr>
        <w:pStyle w:val="af"/>
      </w:pPr>
      <w:r>
        <w:rPr>
          <w:rtl/>
        </w:rPr>
        <w:t>והביא</w:t>
      </w:r>
      <w:r w:rsidRPr="00F97C8C">
        <w:rPr>
          <w:rStyle w:val="affa"/>
          <w:rtl/>
        </w:rPr>
        <w:t xml:space="preserve"> באיסור והיתר הארוך</w:t>
      </w:r>
      <w:r>
        <w:rPr>
          <w:rtl/>
        </w:rPr>
        <w:t xml:space="preserve"> </w:t>
      </w:r>
      <w:r w:rsidRPr="00A644B9">
        <w:rPr>
          <w:rStyle w:val="aff6"/>
          <w:rtl/>
        </w:rPr>
        <w:t>(מ"ט ב' ד"ה וכתב רשב"א)</w:t>
      </w:r>
      <w:r>
        <w:rPr>
          <w:rtl/>
        </w:rPr>
        <w:t xml:space="preserve"> את דברי </w:t>
      </w:r>
      <w:r w:rsidRPr="00F97C8C">
        <w:rPr>
          <w:rStyle w:val="affa"/>
          <w:rtl/>
        </w:rPr>
        <w:t>הרשב"א בתוה"ב</w:t>
      </w:r>
      <w:r>
        <w:rPr>
          <w:rtl/>
        </w:rPr>
        <w:t xml:space="preserve"> </w:t>
      </w:r>
      <w:r w:rsidRPr="00A644B9">
        <w:rPr>
          <w:rStyle w:val="aff6"/>
          <w:rtl/>
        </w:rPr>
        <w:t>(ב"ג ש"ו דף צא. מדה"ס ד"ה ולענין)</w:t>
      </w:r>
      <w:r>
        <w:rPr>
          <w:rtl/>
        </w:rPr>
        <w:t xml:space="preserve"> דכתב דאיירי בגבינות שנעשו משישים בהמות, </w:t>
      </w:r>
      <w:r w:rsidRPr="00F80FC0">
        <w:rPr>
          <w:rStyle w:val="affa"/>
          <w:rtl/>
        </w:rPr>
        <w:t>והרשב"א בתשו'</w:t>
      </w:r>
      <w:r w:rsidRPr="00F80FC0">
        <w:rPr>
          <w:rtl/>
        </w:rPr>
        <w:t xml:space="preserve"> </w:t>
      </w:r>
      <w:r w:rsidRPr="00F80FC0">
        <w:rPr>
          <w:rStyle w:val="aff6"/>
          <w:rtl/>
        </w:rPr>
        <w:t>(ח"א תקי"ח, הביאו הב"י פ"א ב' ד"ה ומ"ש רבינו)</w:t>
      </w:r>
      <w:r w:rsidRPr="00F80FC0">
        <w:rPr>
          <w:rtl/>
        </w:rPr>
        <w:t xml:space="preserve"> ביאר את דבריו </w:t>
      </w:r>
      <w:r w:rsidRPr="00F80FC0">
        <w:rPr>
          <w:rStyle w:val="affa"/>
          <w:rFonts w:hint="cs"/>
          <w:rtl/>
        </w:rPr>
        <w:t>בתוה"ב</w:t>
      </w:r>
      <w:r>
        <w:rPr>
          <w:rFonts w:hint="cs"/>
          <w:rtl/>
        </w:rPr>
        <w:t xml:space="preserve"> </w:t>
      </w:r>
      <w:r w:rsidRPr="00F80FC0">
        <w:rPr>
          <w:rtl/>
        </w:rPr>
        <w:t>דאם החלב נתערב, הוא בטל בשישים, אבל אם נתערבה הגבינה</w:t>
      </w:r>
      <w:r>
        <w:rPr>
          <w:rFonts w:hint="cs"/>
          <w:rtl/>
        </w:rPr>
        <w:t>,</w:t>
      </w:r>
      <w:r w:rsidRPr="00F80FC0">
        <w:rPr>
          <w:rtl/>
        </w:rPr>
        <w:t xml:space="preserve"> היא חשובה ואינה בטלה.</w:t>
      </w:r>
      <w:r>
        <w:rPr>
          <w:rFonts w:hint="cs"/>
          <w:rtl/>
        </w:rPr>
        <w:t xml:space="preserve"> </w:t>
      </w:r>
      <w:r>
        <w:rPr>
          <w:rtl/>
        </w:rPr>
        <w:t>ו</w:t>
      </w:r>
      <w:r>
        <w:rPr>
          <w:rFonts w:hint="cs"/>
          <w:rtl/>
        </w:rPr>
        <w:t>ביאר</w:t>
      </w:r>
      <w:r>
        <w:rPr>
          <w:rtl/>
        </w:rPr>
        <w:t xml:space="preserve"> </w:t>
      </w:r>
      <w:r w:rsidRPr="00F97C8C">
        <w:rPr>
          <w:rStyle w:val="affa"/>
          <w:rtl/>
        </w:rPr>
        <w:t>באיסור והיתר הארוך</w:t>
      </w:r>
      <w:r>
        <w:rPr>
          <w:rtl/>
        </w:rPr>
        <w:t xml:space="preserve"> </w:t>
      </w:r>
      <w:r w:rsidRPr="008E6E07">
        <w:rPr>
          <w:rStyle w:val="affa"/>
          <w:rtl/>
        </w:rPr>
        <w:t>ד</w:t>
      </w:r>
      <w:r w:rsidRPr="008E6E07">
        <w:rPr>
          <w:rStyle w:val="affa"/>
          <w:rFonts w:hint="cs"/>
          <w:rtl/>
        </w:rPr>
        <w:t>הרשב"א בתוה"ב</w:t>
      </w:r>
      <w:r>
        <w:rPr>
          <w:rFonts w:hint="cs"/>
          <w:rtl/>
        </w:rPr>
        <w:t xml:space="preserve"> </w:t>
      </w:r>
      <w:r>
        <w:rPr>
          <w:rtl/>
        </w:rPr>
        <w:t>איירי שהחלב של הבהמות נתערב לפני שעשו ממנו את הגבינות, וכיון דהוא לח בלח, הוא מתבטל בשישים.</w:t>
      </w:r>
    </w:p>
  </w:footnote>
  <w:footnote w:id="58">
    <w:p w14:paraId="47FFA8E7" w14:textId="77777777" w:rsidR="00345400" w:rsidRDefault="00345400" w:rsidP="00D95C52">
      <w:pPr>
        <w:pStyle w:val="af"/>
      </w:pPr>
      <w:r>
        <w:rPr>
          <w:rStyle w:val="af1"/>
        </w:rPr>
        <w:footnoteRef/>
      </w:r>
      <w:r>
        <w:rPr>
          <w:rtl/>
        </w:rPr>
        <w:t xml:space="preserve"> </w:t>
      </w:r>
      <w:r w:rsidRPr="0065464A">
        <w:rPr>
          <w:rtl/>
        </w:rPr>
        <w:t xml:space="preserve">וע"ע בדברי </w:t>
      </w:r>
      <w:r w:rsidRPr="00D42015">
        <w:rPr>
          <w:rStyle w:val="affa"/>
          <w:rtl/>
        </w:rPr>
        <w:t>השערי תורה</w:t>
      </w:r>
      <w:r w:rsidRPr="0065464A">
        <w:rPr>
          <w:rtl/>
        </w:rPr>
        <w:t xml:space="preserve"> </w:t>
      </w:r>
      <w:r w:rsidRPr="00D42015">
        <w:rPr>
          <w:rStyle w:val="aff6"/>
          <w:rtl/>
        </w:rPr>
        <w:t>(ענייני חזקות ח"ב כלל ל"ז אות י' ד"ה ובדברינו)</w:t>
      </w:r>
      <w:r w:rsidRPr="0065464A">
        <w:rPr>
          <w:rtl/>
        </w:rPr>
        <w:t xml:space="preserve"> דהקשה </w:t>
      </w:r>
      <w:r w:rsidRPr="00D42015">
        <w:rPr>
          <w:rStyle w:val="affa"/>
          <w:rtl/>
        </w:rPr>
        <w:t>דברש"י במסקנת הסוגיא</w:t>
      </w:r>
      <w:r w:rsidRPr="0065464A">
        <w:rPr>
          <w:rtl/>
        </w:rPr>
        <w:t xml:space="preserve"> </w:t>
      </w:r>
      <w:r w:rsidRPr="00D42015">
        <w:rPr>
          <w:rStyle w:val="aff6"/>
          <w:rtl/>
        </w:rPr>
        <w:t>(יב: ד"ה פסח)</w:t>
      </w:r>
      <w:r w:rsidRPr="0065464A">
        <w:rPr>
          <w:rtl/>
        </w:rPr>
        <w:t xml:space="preserve"> משמע דס"ל דחזקה שלא נתבררה בשעתה הוי חזקה, וביאר </w:t>
      </w:r>
      <w:r w:rsidRPr="00D42015">
        <w:rPr>
          <w:rStyle w:val="affa"/>
          <w:rtl/>
        </w:rPr>
        <w:t>השערי תורה</w:t>
      </w:r>
      <w:r w:rsidRPr="0065464A">
        <w:rPr>
          <w:rtl/>
        </w:rPr>
        <w:t xml:space="preserve"> דכוונת </w:t>
      </w:r>
      <w:r w:rsidRPr="00D42015">
        <w:rPr>
          <w:rStyle w:val="affa"/>
          <w:rtl/>
        </w:rPr>
        <w:t>רש"י</w:t>
      </w:r>
      <w:r w:rsidRPr="0065464A">
        <w:rPr>
          <w:rtl/>
        </w:rPr>
        <w:t xml:space="preserve"> שיש חזקה מכח הרוב, וכדעת </w:t>
      </w:r>
      <w:r w:rsidRPr="00D42015">
        <w:rPr>
          <w:rStyle w:val="affa"/>
          <w:rtl/>
        </w:rPr>
        <w:t>הרשב"א</w:t>
      </w:r>
      <w:r w:rsidRPr="0065464A">
        <w:rPr>
          <w:rtl/>
        </w:rPr>
        <w:t xml:space="preserve"> </w:t>
      </w:r>
      <w:r w:rsidRPr="00D42015">
        <w:rPr>
          <w:rStyle w:val="aff6"/>
          <w:rtl/>
        </w:rPr>
        <w:t>(עי' אות אא</w:t>
      </w:r>
      <w:r w:rsidRPr="0065464A">
        <w:rPr>
          <w:rtl/>
        </w:rPr>
        <w:t xml:space="preserve"> .</w:t>
      </w:r>
    </w:p>
  </w:footnote>
  <w:footnote w:id="59">
    <w:p w14:paraId="35FF7F75" w14:textId="77777777" w:rsidR="00345400" w:rsidRDefault="00345400" w:rsidP="00D95C52">
      <w:pPr>
        <w:pStyle w:val="af"/>
      </w:pPr>
      <w:r>
        <w:rPr>
          <w:rStyle w:val="af1"/>
        </w:rPr>
        <w:footnoteRef/>
      </w:r>
      <w:r>
        <w:rPr>
          <w:rtl/>
        </w:rPr>
        <w:t xml:space="preserve"> </w:t>
      </w:r>
      <w:r>
        <w:rPr>
          <w:rFonts w:hint="cs"/>
          <w:rtl/>
        </w:rPr>
        <w:t xml:space="preserve">אמנם בשיעורי </w:t>
      </w:r>
      <w:r w:rsidRPr="00040BEC">
        <w:rPr>
          <w:rStyle w:val="affa"/>
          <w:rFonts w:hint="cs"/>
          <w:rtl/>
        </w:rPr>
        <w:t>הגר"י מפונביז'</w:t>
      </w:r>
      <w:r>
        <w:rPr>
          <w:rFonts w:hint="cs"/>
          <w:rtl/>
        </w:rPr>
        <w:t xml:space="preserve"> </w:t>
      </w:r>
      <w:r w:rsidRPr="00040BEC">
        <w:rPr>
          <w:rStyle w:val="aff6"/>
          <w:rFonts w:hint="cs"/>
          <w:rtl/>
        </w:rPr>
        <w:t xml:space="preserve">(יבמות סי' ז' ד"ה והנה, נד' בספר שיעורי רבי יעקב יצחק רבינוביץ) </w:t>
      </w:r>
      <w:r>
        <w:rPr>
          <w:rFonts w:hint="cs"/>
          <w:rtl/>
        </w:rPr>
        <w:t xml:space="preserve">כתב </w:t>
      </w:r>
      <w:r w:rsidRPr="00040BEC">
        <w:rPr>
          <w:rStyle w:val="affa"/>
          <w:rFonts w:hint="cs"/>
          <w:rtl/>
        </w:rPr>
        <w:t>דבדברי חמודות</w:t>
      </w:r>
      <w:r>
        <w:rPr>
          <w:rFonts w:hint="cs"/>
          <w:rtl/>
        </w:rPr>
        <w:t xml:space="preserve"> ביאר </w:t>
      </w:r>
      <w:r w:rsidRPr="00040BEC">
        <w:rPr>
          <w:rStyle w:val="affa"/>
          <w:rFonts w:hint="cs"/>
          <w:rtl/>
        </w:rPr>
        <w:t>דהרא"ש</w:t>
      </w:r>
      <w:r>
        <w:rPr>
          <w:rFonts w:hint="cs"/>
          <w:rtl/>
        </w:rPr>
        <w:t xml:space="preserve"> ס"ל </w:t>
      </w:r>
      <w:r w:rsidRPr="00040BEC">
        <w:rPr>
          <w:rStyle w:val="affa"/>
          <w:rFonts w:hint="cs"/>
          <w:rtl/>
        </w:rPr>
        <w:t>כהרשב"א</w:t>
      </w:r>
      <w:r>
        <w:rPr>
          <w:rFonts w:hint="cs"/>
          <w:rtl/>
        </w:rPr>
        <w:t xml:space="preserve"> דההיתר הוא ע"י חזקה מכח רוב ולא ע"י הרוב, ויל"ע היכן מצא כן </w:t>
      </w:r>
      <w:r w:rsidRPr="004F5493">
        <w:rPr>
          <w:rStyle w:val="affa"/>
          <w:rFonts w:hint="cs"/>
          <w:rtl/>
        </w:rPr>
        <w:t>בדברי חמודות</w:t>
      </w:r>
      <w:r>
        <w:rPr>
          <w:rFonts w:hint="cs"/>
          <w:rtl/>
        </w:rPr>
        <w:t xml:space="preserve">. </w:t>
      </w:r>
    </w:p>
  </w:footnote>
  <w:footnote w:id="60">
    <w:p w14:paraId="25C987AB" w14:textId="77777777" w:rsidR="00345400" w:rsidRPr="00703D10" w:rsidRDefault="00345400" w:rsidP="00D95C52">
      <w:pPr>
        <w:pStyle w:val="af"/>
        <w:rPr>
          <w:rtl/>
        </w:rPr>
      </w:pPr>
      <w:r>
        <w:rPr>
          <w:rStyle w:val="af1"/>
        </w:rPr>
        <w:footnoteRef/>
      </w:r>
      <w:r>
        <w:rPr>
          <w:rtl/>
        </w:rPr>
        <w:t xml:space="preserve"> </w:t>
      </w:r>
      <w:r w:rsidRPr="00703D10">
        <w:rPr>
          <w:rtl/>
        </w:rPr>
        <w:t xml:space="preserve">ועו"כ </w:t>
      </w:r>
      <w:r w:rsidRPr="00703D10">
        <w:rPr>
          <w:rStyle w:val="affa"/>
          <w:rtl/>
        </w:rPr>
        <w:t>הגרעק"א</w:t>
      </w:r>
      <w:r w:rsidRPr="00703D10">
        <w:rPr>
          <w:rtl/>
        </w:rPr>
        <w:t xml:space="preserve"> </w:t>
      </w:r>
      <w:r w:rsidRPr="00703D10">
        <w:rPr>
          <w:rStyle w:val="aff6"/>
          <w:rtl/>
        </w:rPr>
        <w:t>(מג: ד"ה בדרך אחר)</w:t>
      </w:r>
      <w:r w:rsidRPr="00703D10">
        <w:rPr>
          <w:rtl/>
        </w:rPr>
        <w:t xml:space="preserve"> בשם </w:t>
      </w:r>
      <w:r w:rsidRPr="00703D10">
        <w:rPr>
          <w:rStyle w:val="affa"/>
          <w:rtl/>
        </w:rPr>
        <w:t>התפארת למשה</w:t>
      </w:r>
      <w:r w:rsidRPr="00703D10">
        <w:rPr>
          <w:rtl/>
        </w:rPr>
        <w:t xml:space="preserve"> </w:t>
      </w:r>
      <w:r w:rsidRPr="00703D10">
        <w:rPr>
          <w:rStyle w:val="aff6"/>
          <w:rtl/>
        </w:rPr>
        <w:t>(על הב"י סי' נ"ט)</w:t>
      </w:r>
      <w:r w:rsidRPr="00703D10">
        <w:rPr>
          <w:rtl/>
        </w:rPr>
        <w:t xml:space="preserve"> דבאמת בקוץ בושט לא חשיב חזקה שנתבררה בשעתה, דיתכן שכך נבראה, עיי"ש.</w:t>
      </w:r>
    </w:p>
  </w:footnote>
  <w:footnote w:id="61">
    <w:p w14:paraId="3F666EA2" w14:textId="77777777" w:rsidR="00345400" w:rsidRPr="00A50551" w:rsidRDefault="00345400" w:rsidP="00D95C52">
      <w:pPr>
        <w:pStyle w:val="af"/>
        <w:rPr>
          <w:rFonts w:ascii="Guttman Hodes" w:eastAsia="Guttman Hodes" w:hAnsi="Guttman Hodes"/>
          <w:noProof/>
          <w:sz w:val="10"/>
        </w:rPr>
      </w:pPr>
      <w:r>
        <w:rPr>
          <w:rStyle w:val="af1"/>
        </w:rPr>
        <w:footnoteRef/>
      </w:r>
      <w:r>
        <w:rPr>
          <w:rtl/>
        </w:rPr>
        <w:t xml:space="preserve"> </w:t>
      </w:r>
      <w:r w:rsidRPr="00DB7DB7">
        <w:rPr>
          <w:rStyle w:val="affa"/>
          <w:rFonts w:hint="cs"/>
          <w:rtl/>
        </w:rPr>
        <w:t>בספר התרומה</w:t>
      </w:r>
      <w:r>
        <w:rPr>
          <w:rFonts w:hint="cs"/>
          <w:rtl/>
        </w:rPr>
        <w:t xml:space="preserve"> כתב בפירוש דאף שהחזקה לא נתבררה בשעתה, מ"מ התיר </w:t>
      </w:r>
      <w:r w:rsidRPr="004F5493">
        <w:rPr>
          <w:rStyle w:val="affa"/>
          <w:rFonts w:hint="cs"/>
          <w:rtl/>
        </w:rPr>
        <w:t>הרשב"ם</w:t>
      </w:r>
      <w:r>
        <w:rPr>
          <w:rFonts w:hint="cs"/>
          <w:rtl/>
        </w:rPr>
        <w:t xml:space="preserve">, אך בסימנים </w:t>
      </w:r>
      <w:r w:rsidRPr="00DB7DB7">
        <w:rPr>
          <w:rStyle w:val="affa"/>
          <w:rFonts w:hint="cs"/>
          <w:rtl/>
        </w:rPr>
        <w:t>בספר</w:t>
      </w:r>
      <w:r>
        <w:rPr>
          <w:rStyle w:val="affa"/>
          <w:rFonts w:hint="cs"/>
          <w:rtl/>
        </w:rPr>
        <w:t xml:space="preserve"> התרומה</w:t>
      </w:r>
      <w:r w:rsidRPr="00DB7DB7">
        <w:rPr>
          <w:rStyle w:val="affa"/>
          <w:rFonts w:hint="cs"/>
          <w:rtl/>
        </w:rPr>
        <w:t xml:space="preserve"> </w:t>
      </w:r>
      <w:r>
        <w:rPr>
          <w:rFonts w:hint="cs"/>
          <w:rtl/>
        </w:rPr>
        <w:t xml:space="preserve">כתב בקצרה </w:t>
      </w:r>
      <w:r w:rsidRPr="00DB7DB7">
        <w:rPr>
          <w:rStyle w:val="aff6"/>
          <w:rFonts w:hint="cs"/>
          <w:rtl/>
        </w:rPr>
        <w:t>(</w:t>
      </w:r>
      <w:r w:rsidRPr="00FE271B">
        <w:rPr>
          <w:rStyle w:val="aff6"/>
          <w:rFonts w:hint="cs"/>
          <w:rtl/>
        </w:rPr>
        <w:t>ריש הספר</w:t>
      </w:r>
      <w:r>
        <w:rPr>
          <w:rFonts w:hint="cs"/>
          <w:rtl/>
        </w:rPr>
        <w:t xml:space="preserve"> </w:t>
      </w:r>
      <w:r w:rsidRPr="00DB7DB7">
        <w:rPr>
          <w:rStyle w:val="aff6"/>
          <w:rFonts w:hint="cs"/>
          <w:rtl/>
        </w:rPr>
        <w:t>סי' ע"ג)</w:t>
      </w:r>
      <w:r>
        <w:rPr>
          <w:rFonts w:hint="cs"/>
          <w:rtl/>
        </w:rPr>
        <w:t xml:space="preserve"> </w:t>
      </w:r>
      <w:r>
        <w:rPr>
          <w:rStyle w:val="affa"/>
          <w:rFonts w:hint="cs"/>
          <w:rtl/>
        </w:rPr>
        <w:t>ד</w:t>
      </w:r>
      <w:r w:rsidRPr="00F15E99">
        <w:rPr>
          <w:rStyle w:val="affa"/>
          <w:rFonts w:hint="cs"/>
          <w:rtl/>
        </w:rPr>
        <w:t>הרשב"ם</w:t>
      </w:r>
      <w:r w:rsidRPr="00F15E99">
        <w:rPr>
          <w:rStyle w:val="afb"/>
          <w:rFonts w:hint="cs"/>
          <w:rtl/>
        </w:rPr>
        <w:t xml:space="preserve"> התיר מדין חזקה,</w:t>
      </w:r>
      <w:r>
        <w:rPr>
          <w:rStyle w:val="afb"/>
          <w:rFonts w:hint="cs"/>
          <w:rtl/>
        </w:rPr>
        <w:t xml:space="preserve"> וכן העתיקו</w:t>
      </w:r>
      <w:r w:rsidRPr="00F15E99">
        <w:rPr>
          <w:rStyle w:val="afb"/>
          <w:rFonts w:hint="cs"/>
          <w:rtl/>
        </w:rPr>
        <w:t xml:space="preserve"> </w:t>
      </w:r>
      <w:r>
        <w:rPr>
          <w:rStyle w:val="affa"/>
          <w:rFonts w:hint="cs"/>
          <w:rtl/>
        </w:rPr>
        <w:t>הג' מיימוניות</w:t>
      </w:r>
      <w:r w:rsidRPr="00C814E1">
        <w:rPr>
          <w:rStyle w:val="af9"/>
          <w:rFonts w:hint="cs"/>
          <w:rtl/>
        </w:rPr>
        <w:t xml:space="preserve"> </w:t>
      </w:r>
      <w:r w:rsidRPr="00DB2E9F">
        <w:rPr>
          <w:rStyle w:val="aff6"/>
          <w:rFonts w:hint="cs"/>
          <w:rtl/>
        </w:rPr>
        <w:t>(מאכ"א פ"ג אות ח')</w:t>
      </w:r>
      <w:r>
        <w:rPr>
          <w:rFonts w:hint="cs"/>
          <w:rtl/>
        </w:rPr>
        <w:t xml:space="preserve"> </w:t>
      </w:r>
      <w:r>
        <w:rPr>
          <w:rStyle w:val="affa"/>
          <w:rFonts w:hint="cs"/>
          <w:rtl/>
        </w:rPr>
        <w:t>ו</w:t>
      </w:r>
      <w:r w:rsidRPr="00F15E99">
        <w:rPr>
          <w:rStyle w:val="affa"/>
          <w:rFonts w:hint="cs"/>
          <w:rtl/>
        </w:rPr>
        <w:t>המחזור ויטרי</w:t>
      </w:r>
      <w:r w:rsidRPr="00F15E99">
        <w:rPr>
          <w:rStyle w:val="afb"/>
          <w:rFonts w:hint="cs"/>
          <w:rtl/>
        </w:rPr>
        <w:t xml:space="preserve"> </w:t>
      </w:r>
      <w:r w:rsidRPr="00F15E99">
        <w:rPr>
          <w:rStyle w:val="aff6"/>
          <w:rFonts w:hint="cs"/>
          <w:rtl/>
        </w:rPr>
        <w:t>(הל' איסור והיתר ס"ז,</w:t>
      </w:r>
      <w:r w:rsidRPr="00F15E99">
        <w:rPr>
          <w:rStyle w:val="aff6"/>
          <w:rtl/>
        </w:rPr>
        <w:t xml:space="preserve"> </w:t>
      </w:r>
      <w:r w:rsidRPr="00F15E99">
        <w:rPr>
          <w:rStyle w:val="aff6"/>
          <w:rFonts w:hint="cs"/>
          <w:rtl/>
        </w:rPr>
        <w:t>הועתק</w:t>
      </w:r>
      <w:r w:rsidRPr="00F15E99">
        <w:rPr>
          <w:rStyle w:val="aff6"/>
          <w:rtl/>
        </w:rPr>
        <w:t xml:space="preserve"> בקובץ שיטות קמאי חולין ח"א עמ' ר</w:t>
      </w:r>
      <w:r w:rsidRPr="00F15E99">
        <w:rPr>
          <w:rStyle w:val="aff6"/>
          <w:rFonts w:hint="cs"/>
          <w:rtl/>
        </w:rPr>
        <w:t>כ"ז)</w:t>
      </w:r>
      <w:r w:rsidRPr="00F15E99">
        <w:rPr>
          <w:rStyle w:val="afb"/>
          <w:rFonts w:hint="cs"/>
          <w:rtl/>
        </w:rPr>
        <w:t xml:space="preserve"> </w:t>
      </w:r>
      <w:r w:rsidRPr="00F15E99">
        <w:rPr>
          <w:rStyle w:val="affa"/>
          <w:rFonts w:hint="cs"/>
          <w:rtl/>
        </w:rPr>
        <w:t>והכל בו</w:t>
      </w:r>
      <w:r w:rsidRPr="00F15E99">
        <w:rPr>
          <w:rStyle w:val="afb"/>
          <w:rFonts w:hint="cs"/>
          <w:rtl/>
        </w:rPr>
        <w:t xml:space="preserve"> </w:t>
      </w:r>
      <w:r w:rsidRPr="00883303">
        <w:rPr>
          <w:rStyle w:val="aff6"/>
          <w:rFonts w:hint="cs"/>
          <w:rtl/>
        </w:rPr>
        <w:t>(קמ"ה,</w:t>
      </w:r>
      <w:r w:rsidRPr="00883303">
        <w:rPr>
          <w:rStyle w:val="aff6"/>
          <w:rtl/>
        </w:rPr>
        <w:t xml:space="preserve"> </w:t>
      </w:r>
      <w:r w:rsidRPr="00883303">
        <w:rPr>
          <w:rStyle w:val="aff6"/>
          <w:rFonts w:hint="cs"/>
          <w:rtl/>
        </w:rPr>
        <w:t>הועתק</w:t>
      </w:r>
      <w:r w:rsidRPr="00883303">
        <w:rPr>
          <w:rStyle w:val="aff6"/>
          <w:rtl/>
        </w:rPr>
        <w:t xml:space="preserve"> בקובץ שיטות קמאי חולין ח"א עמ' ר</w:t>
      </w:r>
      <w:r w:rsidRPr="00883303">
        <w:rPr>
          <w:rStyle w:val="aff6"/>
          <w:rFonts w:hint="cs"/>
          <w:rtl/>
        </w:rPr>
        <w:t>ל</w:t>
      </w:r>
      <w:r w:rsidRPr="00883303">
        <w:rPr>
          <w:rStyle w:val="aff6"/>
          <w:rtl/>
        </w:rPr>
        <w:t>"</w:t>
      </w:r>
      <w:r w:rsidRPr="00883303">
        <w:rPr>
          <w:rStyle w:val="aff6"/>
          <w:rFonts w:hint="cs"/>
          <w:rtl/>
        </w:rPr>
        <w:t>ג</w:t>
      </w:r>
      <w:r>
        <w:rPr>
          <w:rStyle w:val="aff6"/>
          <w:rFonts w:hint="cs"/>
          <w:rtl/>
        </w:rPr>
        <w:t xml:space="preserve">), </w:t>
      </w:r>
      <w:r w:rsidRPr="0017102B">
        <w:rPr>
          <w:rStyle w:val="afb"/>
          <w:rFonts w:hint="cs"/>
          <w:rtl/>
        </w:rPr>
        <w:t>ו</w:t>
      </w:r>
      <w:r>
        <w:rPr>
          <w:rStyle w:val="afb"/>
          <w:rFonts w:hint="cs"/>
          <w:rtl/>
        </w:rPr>
        <w:t xml:space="preserve">מדבריהם אין כל ראיה דס"ל </w:t>
      </w:r>
      <w:r w:rsidRPr="00FE271B">
        <w:rPr>
          <w:rStyle w:val="affa"/>
          <w:rFonts w:hint="cs"/>
          <w:rtl/>
        </w:rPr>
        <w:t>לרשב"ם</w:t>
      </w:r>
      <w:r>
        <w:rPr>
          <w:rStyle w:val="afb"/>
          <w:rFonts w:hint="cs"/>
          <w:rtl/>
        </w:rPr>
        <w:t xml:space="preserve"> דאזלינן בתר חזקה שלא נתבררה בשעתה, ואפשר לבאר דכוונתו לחזקה מכח רוב, </w:t>
      </w:r>
      <w:r w:rsidRPr="00A50551">
        <w:rPr>
          <w:rStyle w:val="afb"/>
          <w:rFonts w:hint="cs"/>
          <w:rtl/>
        </w:rPr>
        <w:t xml:space="preserve">וכדביארו </w:t>
      </w:r>
      <w:r w:rsidRPr="00F743BA">
        <w:rPr>
          <w:rStyle w:val="affa"/>
          <w:rFonts w:hint="cs"/>
          <w:rtl/>
        </w:rPr>
        <w:t>האחרונים</w:t>
      </w:r>
      <w:r w:rsidRPr="00F743BA">
        <w:rPr>
          <w:rStyle w:val="afb"/>
          <w:rFonts w:hint="cs"/>
          <w:rtl/>
        </w:rPr>
        <w:t xml:space="preserve"> </w:t>
      </w:r>
      <w:r w:rsidRPr="00F743BA">
        <w:rPr>
          <w:rStyle w:val="aff6"/>
          <w:rFonts w:hint="cs"/>
          <w:rtl/>
        </w:rPr>
        <w:t xml:space="preserve">(עי' אות </w:t>
      </w:r>
      <w:r w:rsidRPr="00F743BA">
        <w:rPr>
          <w:rStyle w:val="aff6"/>
          <w:rtl/>
        </w:rPr>
        <w:fldChar w:fldCharType="begin"/>
      </w:r>
      <w:r w:rsidRPr="00F743BA">
        <w:rPr>
          <w:rStyle w:val="aff6"/>
          <w:rtl/>
        </w:rPr>
        <w:instrText xml:space="preserve"> </w:instrText>
      </w:r>
      <w:r w:rsidRPr="00F743BA">
        <w:rPr>
          <w:rStyle w:val="aff6"/>
          <w:rFonts w:hint="cs"/>
        </w:rPr>
        <w:instrText>REF</w:instrText>
      </w:r>
      <w:r w:rsidRPr="00F743BA">
        <w:rPr>
          <w:rStyle w:val="aff6"/>
          <w:rFonts w:hint="cs"/>
          <w:rtl/>
        </w:rPr>
        <w:instrText xml:space="preserve"> _</w:instrText>
      </w:r>
      <w:r w:rsidRPr="00F743BA">
        <w:rPr>
          <w:rStyle w:val="aff6"/>
          <w:rFonts w:hint="cs"/>
        </w:rPr>
        <w:instrText>Ref529702639 \r \h</w:instrText>
      </w:r>
      <w:r w:rsidRPr="00F743BA">
        <w:rPr>
          <w:rStyle w:val="aff6"/>
          <w:rtl/>
        </w:rPr>
        <w:instrText xml:space="preserve"> </w:instrText>
      </w:r>
      <w:r w:rsidRPr="00F743BA">
        <w:rPr>
          <w:rStyle w:val="aff6"/>
          <w:rtl/>
        </w:rPr>
      </w:r>
      <w:r w:rsidRPr="00F743BA">
        <w:rPr>
          <w:rStyle w:val="aff6"/>
          <w:rtl/>
        </w:rPr>
        <w:fldChar w:fldCharType="separate"/>
      </w:r>
      <w:r>
        <w:rPr>
          <w:rStyle w:val="aff6"/>
          <w:cs/>
        </w:rPr>
        <w:t>‎</w:t>
      </w:r>
      <w:r>
        <w:rPr>
          <w:rStyle w:val="aff6"/>
          <w:rtl/>
        </w:rPr>
        <w:t>נב)</w:t>
      </w:r>
      <w:r w:rsidRPr="00F743BA">
        <w:rPr>
          <w:rStyle w:val="aff6"/>
          <w:rtl/>
        </w:rPr>
        <w:fldChar w:fldCharType="end"/>
      </w:r>
      <w:r w:rsidRPr="00F743BA">
        <w:rPr>
          <w:rStyle w:val="afb"/>
          <w:rFonts w:hint="cs"/>
          <w:rtl/>
        </w:rPr>
        <w:t xml:space="preserve"> בדברי</w:t>
      </w:r>
      <w:r>
        <w:rPr>
          <w:rStyle w:val="afb"/>
          <w:rFonts w:hint="cs"/>
          <w:rtl/>
        </w:rPr>
        <w:t xml:space="preserve"> </w:t>
      </w:r>
      <w:r w:rsidRPr="00940A39">
        <w:rPr>
          <w:rStyle w:val="affa"/>
          <w:rFonts w:hint="cs"/>
          <w:rtl/>
        </w:rPr>
        <w:t>השערי דורא</w:t>
      </w:r>
      <w:r>
        <w:rPr>
          <w:rStyle w:val="afb"/>
          <w:rFonts w:hint="cs"/>
          <w:rtl/>
        </w:rPr>
        <w:t xml:space="preserve"> בדעת </w:t>
      </w:r>
      <w:r w:rsidRPr="00940A39">
        <w:rPr>
          <w:rStyle w:val="affa"/>
          <w:rFonts w:hint="cs"/>
          <w:rtl/>
        </w:rPr>
        <w:t>הרשב"ם</w:t>
      </w:r>
      <w:r>
        <w:rPr>
          <w:rStyle w:val="afb"/>
          <w:rFonts w:hint="cs"/>
          <w:rtl/>
        </w:rPr>
        <w:t>.</w:t>
      </w:r>
    </w:p>
  </w:footnote>
  <w:footnote w:id="62">
    <w:p w14:paraId="57AF0994" w14:textId="77777777" w:rsidR="00345400" w:rsidRDefault="00345400" w:rsidP="00D95C52">
      <w:pPr>
        <w:pStyle w:val="af"/>
        <w:rPr>
          <w:rtl/>
        </w:rPr>
      </w:pPr>
      <w:r>
        <w:rPr>
          <w:rStyle w:val="af1"/>
        </w:rPr>
        <w:footnoteRef/>
      </w:r>
      <w:r>
        <w:rPr>
          <w:rtl/>
        </w:rPr>
        <w:t xml:space="preserve"> </w:t>
      </w:r>
      <w:r w:rsidRPr="00C97CE9">
        <w:rPr>
          <w:rFonts w:hint="cs"/>
          <w:rtl/>
        </w:rPr>
        <w:t>וכן מבואר בדברי</w:t>
      </w:r>
      <w:r w:rsidRPr="00C97CE9">
        <w:rPr>
          <w:rStyle w:val="af9"/>
          <w:rFonts w:hint="cs"/>
          <w:rtl/>
        </w:rPr>
        <w:t xml:space="preserve"> </w:t>
      </w:r>
      <w:r w:rsidRPr="00D96433">
        <w:rPr>
          <w:rStyle w:val="affa"/>
          <w:rFonts w:hint="cs"/>
          <w:rtl/>
        </w:rPr>
        <w:t>הסמ"ג</w:t>
      </w:r>
      <w:r w:rsidRPr="00C97CE9">
        <w:rPr>
          <w:rStyle w:val="af9"/>
          <w:rFonts w:hint="cs"/>
          <w:rtl/>
        </w:rPr>
        <w:t xml:space="preserve"> </w:t>
      </w:r>
      <w:r w:rsidRPr="00B665EB">
        <w:rPr>
          <w:rStyle w:val="aff6"/>
          <w:rFonts w:hint="cs"/>
          <w:rtl/>
        </w:rPr>
        <w:t>(לאוין סוף קמ"א,</w:t>
      </w:r>
      <w:r w:rsidRPr="00B665EB">
        <w:rPr>
          <w:rStyle w:val="aff6"/>
          <w:rtl/>
        </w:rPr>
        <w:t xml:space="preserve"> </w:t>
      </w:r>
      <w:r w:rsidRPr="00B665EB">
        <w:rPr>
          <w:rStyle w:val="aff6"/>
          <w:rFonts w:hint="cs"/>
          <w:rtl/>
        </w:rPr>
        <w:t>הועתק</w:t>
      </w:r>
      <w:r w:rsidRPr="00B665EB">
        <w:rPr>
          <w:rStyle w:val="aff6"/>
          <w:rtl/>
        </w:rPr>
        <w:t xml:space="preserve"> בקובץ שיטות קמאי חולין ח"א עמ' רכ"ט</w:t>
      </w:r>
      <w:r w:rsidRPr="00B665EB">
        <w:rPr>
          <w:rStyle w:val="aff6"/>
          <w:rFonts w:hint="cs"/>
          <w:rtl/>
        </w:rPr>
        <w:t xml:space="preserve">) </w:t>
      </w:r>
      <w:r w:rsidRPr="00D96433">
        <w:rPr>
          <w:rStyle w:val="affa"/>
          <w:rFonts w:hint="cs"/>
          <w:rtl/>
        </w:rPr>
        <w:t>דהרשב"ם</w:t>
      </w:r>
      <w:r w:rsidRPr="00C97CE9">
        <w:rPr>
          <w:rFonts w:hint="cs"/>
          <w:rtl/>
        </w:rPr>
        <w:t xml:space="preserve"> ס"ל דאזלינן בתר חזקה שלא נתבררה בשעת, דבתחילת דבריו הביא את דברי </w:t>
      </w:r>
      <w:r w:rsidRPr="00D96433">
        <w:rPr>
          <w:rStyle w:val="affa"/>
          <w:rFonts w:hint="cs"/>
          <w:rtl/>
        </w:rPr>
        <w:t>הרשב"ם</w:t>
      </w:r>
      <w:r w:rsidRPr="00C97CE9">
        <w:rPr>
          <w:rFonts w:hint="cs"/>
          <w:rtl/>
        </w:rPr>
        <w:t xml:space="preserve"> דהגבינות מותרות, וראיית הגמ' מפרה אדומה היא למ"ד דטריפה חיה, ואח"כ הביא את דעת</w:t>
      </w:r>
      <w:r w:rsidRPr="00D96433">
        <w:rPr>
          <w:rStyle w:val="affa"/>
          <w:rFonts w:hint="cs"/>
          <w:rtl/>
        </w:rPr>
        <w:t xml:space="preserve"> התוס'</w:t>
      </w:r>
      <w:r w:rsidRPr="00C97CE9">
        <w:rPr>
          <w:rStyle w:val="af9"/>
          <w:rFonts w:hint="cs"/>
          <w:rtl/>
        </w:rPr>
        <w:t xml:space="preserve"> </w:t>
      </w:r>
      <w:r w:rsidRPr="00B665EB">
        <w:rPr>
          <w:rStyle w:val="aff6"/>
          <w:rFonts w:hint="cs"/>
          <w:rtl/>
        </w:rPr>
        <w:t xml:space="preserve">(עי' אות </w:t>
      </w:r>
      <w:r w:rsidRPr="00B665EB">
        <w:rPr>
          <w:rStyle w:val="aff6"/>
          <w:rtl/>
        </w:rPr>
        <w:fldChar w:fldCharType="begin"/>
      </w:r>
      <w:r w:rsidRPr="00B665EB">
        <w:rPr>
          <w:rStyle w:val="aff6"/>
          <w:rtl/>
        </w:rPr>
        <w:instrText xml:space="preserve"> </w:instrText>
      </w:r>
      <w:r w:rsidRPr="00B665EB">
        <w:rPr>
          <w:rStyle w:val="aff6"/>
          <w:rFonts w:hint="cs"/>
        </w:rPr>
        <w:instrText>REF</w:instrText>
      </w:r>
      <w:r w:rsidRPr="00B665EB">
        <w:rPr>
          <w:rStyle w:val="aff6"/>
          <w:rFonts w:hint="cs"/>
          <w:rtl/>
        </w:rPr>
        <w:instrText xml:space="preserve"> _</w:instrText>
      </w:r>
      <w:r w:rsidRPr="00B665EB">
        <w:rPr>
          <w:rStyle w:val="aff6"/>
          <w:rFonts w:hint="cs"/>
        </w:rPr>
        <w:instrText>Ref529121640 \r \h</w:instrText>
      </w:r>
      <w:r w:rsidRPr="00B665EB">
        <w:rPr>
          <w:rStyle w:val="aff6"/>
          <w:rtl/>
        </w:rPr>
        <w:instrText xml:space="preserve">  \* </w:instrText>
      </w:r>
      <w:r w:rsidRPr="00B665EB">
        <w:rPr>
          <w:rStyle w:val="aff6"/>
        </w:rPr>
        <w:instrText>MERGEFORMAT</w:instrText>
      </w:r>
      <w:r w:rsidRPr="00B665EB">
        <w:rPr>
          <w:rStyle w:val="aff6"/>
          <w:rtl/>
        </w:rPr>
        <w:instrText xml:space="preserve"> </w:instrText>
      </w:r>
      <w:r w:rsidRPr="00B665EB">
        <w:rPr>
          <w:rStyle w:val="aff6"/>
          <w:rtl/>
        </w:rPr>
      </w:r>
      <w:r w:rsidRPr="00B665EB">
        <w:rPr>
          <w:rStyle w:val="aff6"/>
          <w:rtl/>
        </w:rPr>
        <w:fldChar w:fldCharType="separate"/>
      </w:r>
      <w:r>
        <w:rPr>
          <w:rStyle w:val="aff6"/>
          <w:cs/>
        </w:rPr>
        <w:t>‎</w:t>
      </w:r>
      <w:r>
        <w:rPr>
          <w:rStyle w:val="aff6"/>
          <w:rtl/>
        </w:rPr>
        <w:t>ז)</w:t>
      </w:r>
      <w:r w:rsidRPr="00B665EB">
        <w:rPr>
          <w:rStyle w:val="aff6"/>
          <w:rtl/>
        </w:rPr>
        <w:fldChar w:fldCharType="end"/>
      </w:r>
      <w:r w:rsidRPr="00C97CE9">
        <w:rPr>
          <w:rFonts w:hint="cs"/>
          <w:rtl/>
        </w:rPr>
        <w:t xml:space="preserve"> דחזקה שלא נתבררה בשעתה אינה חזקה, ועוד הביא </w:t>
      </w:r>
      <w:r w:rsidRPr="00D96433">
        <w:rPr>
          <w:rStyle w:val="affa"/>
          <w:rFonts w:hint="cs"/>
          <w:rtl/>
        </w:rPr>
        <w:t>הסמ"ג</w:t>
      </w:r>
      <w:r w:rsidRPr="00C97CE9">
        <w:rPr>
          <w:rStyle w:val="af9"/>
          <w:rFonts w:hint="cs"/>
          <w:rtl/>
        </w:rPr>
        <w:t xml:space="preserve"> </w:t>
      </w:r>
      <w:r w:rsidRPr="00C97CE9">
        <w:rPr>
          <w:rFonts w:hint="cs"/>
          <w:rtl/>
        </w:rPr>
        <w:t xml:space="preserve">בשם </w:t>
      </w:r>
      <w:r w:rsidRPr="00D96433">
        <w:rPr>
          <w:rStyle w:val="affa"/>
          <w:rFonts w:hint="cs"/>
          <w:rtl/>
        </w:rPr>
        <w:t>רבינו יוסף</w:t>
      </w:r>
      <w:r w:rsidRPr="00C97CE9">
        <w:rPr>
          <w:rStyle w:val="af9"/>
          <w:rFonts w:hint="cs"/>
          <w:rtl/>
        </w:rPr>
        <w:t xml:space="preserve"> </w:t>
      </w:r>
      <w:r w:rsidRPr="00C97CE9">
        <w:rPr>
          <w:rFonts w:hint="cs"/>
          <w:rtl/>
        </w:rPr>
        <w:t xml:space="preserve">דהגבינות מותרות מדין חזקה מכח רוב, </w:t>
      </w:r>
      <w:r>
        <w:rPr>
          <w:rFonts w:hint="cs"/>
          <w:rtl/>
        </w:rPr>
        <w:t>דע"י החזקה מתברר הרוב.</w:t>
      </w:r>
      <w:r w:rsidRPr="00C97CE9">
        <w:rPr>
          <w:rFonts w:hint="cs"/>
          <w:rtl/>
        </w:rPr>
        <w:t xml:space="preserve"> ומשמע דבדעת </w:t>
      </w:r>
      <w:r w:rsidRPr="00D96433">
        <w:rPr>
          <w:rStyle w:val="affa"/>
          <w:rFonts w:hint="cs"/>
          <w:rtl/>
        </w:rPr>
        <w:t>הרשב"ם</w:t>
      </w:r>
      <w:r w:rsidRPr="00C97CE9">
        <w:rPr>
          <w:rFonts w:hint="cs"/>
          <w:rtl/>
        </w:rPr>
        <w:t xml:space="preserve"> ביאר </w:t>
      </w:r>
      <w:r w:rsidRPr="00D96433">
        <w:rPr>
          <w:rStyle w:val="affa"/>
          <w:rFonts w:hint="cs"/>
          <w:rtl/>
        </w:rPr>
        <w:t>הסמ"ג</w:t>
      </w:r>
      <w:r w:rsidRPr="00C97CE9">
        <w:rPr>
          <w:rStyle w:val="af9"/>
          <w:rFonts w:hint="cs"/>
          <w:rtl/>
        </w:rPr>
        <w:t xml:space="preserve"> </w:t>
      </w:r>
      <w:r w:rsidRPr="00C97CE9">
        <w:rPr>
          <w:rFonts w:hint="cs"/>
          <w:rtl/>
        </w:rPr>
        <w:t xml:space="preserve">דההיתר הוא  מדין חזקה בלבד, אעפ"י שלא נתבררה בשעתה. אמנם </w:t>
      </w:r>
      <w:r w:rsidRPr="00D96433">
        <w:rPr>
          <w:rStyle w:val="affa"/>
          <w:rFonts w:hint="cs"/>
          <w:rtl/>
        </w:rPr>
        <w:t>במהרי"ק</w:t>
      </w:r>
      <w:r w:rsidRPr="00C97CE9">
        <w:rPr>
          <w:rStyle w:val="af9"/>
          <w:rFonts w:hint="cs"/>
          <w:rtl/>
        </w:rPr>
        <w:t xml:space="preserve"> </w:t>
      </w:r>
      <w:r w:rsidRPr="00B665EB">
        <w:rPr>
          <w:rStyle w:val="aff6"/>
          <w:rFonts w:hint="cs"/>
          <w:rtl/>
        </w:rPr>
        <w:t xml:space="preserve">(שו"ת חדשות ריש סי' כ"ד) </w:t>
      </w:r>
      <w:r w:rsidRPr="00C97CE9">
        <w:rPr>
          <w:rFonts w:hint="cs"/>
          <w:rtl/>
        </w:rPr>
        <w:t xml:space="preserve">ביאר בדברי </w:t>
      </w:r>
      <w:r w:rsidRPr="00D96433">
        <w:rPr>
          <w:rStyle w:val="affa"/>
          <w:rFonts w:hint="cs"/>
          <w:rtl/>
        </w:rPr>
        <w:t>הסמ"ג דרשב"ם</w:t>
      </w:r>
      <w:r w:rsidRPr="00C97CE9">
        <w:rPr>
          <w:rStyle w:val="af9"/>
          <w:rFonts w:hint="cs"/>
          <w:rtl/>
        </w:rPr>
        <w:t xml:space="preserve"> </w:t>
      </w:r>
      <w:r w:rsidRPr="00C97CE9">
        <w:rPr>
          <w:rFonts w:hint="cs"/>
          <w:rtl/>
        </w:rPr>
        <w:t>התיר מדין חזקה מכח רוב</w:t>
      </w:r>
      <w:r>
        <w:rPr>
          <w:rFonts w:hint="cs"/>
          <w:rtl/>
        </w:rPr>
        <w:t>.</w:t>
      </w:r>
    </w:p>
    <w:p w14:paraId="710F4C9A" w14:textId="77777777" w:rsidR="00345400" w:rsidRDefault="00345400" w:rsidP="00D95C52">
      <w:pPr>
        <w:pStyle w:val="af"/>
        <w:rPr>
          <w:rtl/>
        </w:rPr>
      </w:pPr>
      <w:bookmarkStart w:id="8801" w:name="_Ref529219152"/>
      <w:r w:rsidRPr="00E61862">
        <w:rPr>
          <w:rStyle w:val="affa"/>
          <w:rFonts w:hint="cs"/>
          <w:rtl/>
        </w:rPr>
        <w:t>והרוקח</w:t>
      </w:r>
      <w:r w:rsidRPr="00881F33">
        <w:rPr>
          <w:rStyle w:val="af9"/>
          <w:rFonts w:hint="cs"/>
          <w:rtl/>
        </w:rPr>
        <w:t xml:space="preserve"> </w:t>
      </w:r>
      <w:r w:rsidRPr="00B665EB">
        <w:rPr>
          <w:rStyle w:val="aff6"/>
          <w:rFonts w:hint="cs"/>
          <w:rtl/>
        </w:rPr>
        <w:t>(הל</w:t>
      </w:r>
      <w:r w:rsidRPr="00B665EB">
        <w:rPr>
          <w:rStyle w:val="aff6"/>
          <w:rtl/>
        </w:rPr>
        <w:t>'</w:t>
      </w:r>
      <w:r w:rsidRPr="00B665EB">
        <w:rPr>
          <w:rStyle w:val="aff6"/>
          <w:rFonts w:hint="cs"/>
          <w:rtl/>
        </w:rPr>
        <w:t xml:space="preserve"> טריפות שפ"ו, הועתק בקובץ שיטות קמאי חולין ח"א עמ' רכ"ח)</w:t>
      </w:r>
      <w:r w:rsidRPr="00881F33">
        <w:rPr>
          <w:rStyle w:val="af7"/>
          <w:rFonts w:eastAsia="Guttman Hodes" w:hint="cs"/>
          <w:rtl/>
        </w:rPr>
        <w:t xml:space="preserve"> </w:t>
      </w:r>
      <w:r>
        <w:rPr>
          <w:rFonts w:hint="cs"/>
          <w:rtl/>
        </w:rPr>
        <w:t xml:space="preserve">כתב </w:t>
      </w:r>
      <w:r w:rsidRPr="00881F33">
        <w:rPr>
          <w:rFonts w:hint="cs"/>
          <w:rtl/>
        </w:rPr>
        <w:t xml:space="preserve">בשם </w:t>
      </w:r>
      <w:r w:rsidRPr="00E61862">
        <w:rPr>
          <w:rStyle w:val="affa"/>
          <w:rFonts w:hint="cs"/>
          <w:rtl/>
        </w:rPr>
        <w:t>ר"ת</w:t>
      </w:r>
      <w:r w:rsidRPr="00881F33">
        <w:rPr>
          <w:rStyle w:val="af9"/>
          <w:rFonts w:hint="cs"/>
          <w:rtl/>
        </w:rPr>
        <w:t xml:space="preserve"> </w:t>
      </w:r>
      <w:r w:rsidRPr="00881F33">
        <w:rPr>
          <w:rFonts w:hint="cs"/>
          <w:rtl/>
        </w:rPr>
        <w:t>ד</w:t>
      </w:r>
      <w:r>
        <w:rPr>
          <w:rFonts w:hint="cs"/>
          <w:rtl/>
        </w:rPr>
        <w:t xml:space="preserve">הגבינות שנחלבו מהבהמה </w:t>
      </w:r>
      <w:r w:rsidRPr="00881F33">
        <w:rPr>
          <w:rFonts w:hint="cs"/>
          <w:rtl/>
        </w:rPr>
        <w:t xml:space="preserve">ג' ימים לפני </w:t>
      </w:r>
      <w:r>
        <w:rPr>
          <w:rFonts w:hint="cs"/>
          <w:rtl/>
        </w:rPr>
        <w:t>שנשחטה מותרות, ד</w:t>
      </w:r>
      <w:r w:rsidRPr="00881F33">
        <w:rPr>
          <w:rFonts w:hint="cs"/>
          <w:rtl/>
        </w:rPr>
        <w:t>מעמידים את הגוף בחזקת בריאותו</w:t>
      </w:r>
      <w:r>
        <w:rPr>
          <w:rFonts w:hint="cs"/>
          <w:rtl/>
        </w:rPr>
        <w:t>,</w:t>
      </w:r>
      <w:r w:rsidRPr="00881F33">
        <w:rPr>
          <w:rFonts w:hint="cs"/>
          <w:rtl/>
        </w:rPr>
        <w:t xml:space="preserve"> ו</w:t>
      </w:r>
      <w:r>
        <w:rPr>
          <w:rFonts w:hint="cs"/>
          <w:rtl/>
        </w:rPr>
        <w:t>כתבו</w:t>
      </w:r>
      <w:r w:rsidRPr="00881F33">
        <w:rPr>
          <w:rFonts w:hint="cs"/>
          <w:rtl/>
        </w:rPr>
        <w:t xml:space="preserve"> </w:t>
      </w:r>
      <w:r w:rsidRPr="00E61862">
        <w:rPr>
          <w:rStyle w:val="affa"/>
          <w:rFonts w:hint="cs"/>
          <w:rtl/>
        </w:rPr>
        <w:t>הרוקח</w:t>
      </w:r>
      <w:r w:rsidRPr="00881F33">
        <w:rPr>
          <w:rStyle w:val="af9"/>
          <w:rFonts w:hint="cs"/>
          <w:rtl/>
        </w:rPr>
        <w:t xml:space="preserve"> </w:t>
      </w:r>
      <w:r w:rsidRPr="00881F33">
        <w:rPr>
          <w:rFonts w:hint="cs"/>
          <w:rtl/>
        </w:rPr>
        <w:t xml:space="preserve">בשם </w:t>
      </w:r>
      <w:r w:rsidRPr="00E61862">
        <w:rPr>
          <w:rStyle w:val="affa"/>
          <w:rFonts w:hint="cs"/>
          <w:rtl/>
        </w:rPr>
        <w:t>ר"ת והשערי דורא</w:t>
      </w:r>
      <w:r>
        <w:rPr>
          <w:rFonts w:hint="cs"/>
          <w:rtl/>
        </w:rPr>
        <w:t xml:space="preserve"> דכן מוכח </w:t>
      </w:r>
      <w:r w:rsidRPr="00881F33">
        <w:rPr>
          <w:rFonts w:hint="cs"/>
          <w:rtl/>
        </w:rPr>
        <w:t xml:space="preserve">מהמשנה בכתובות </w:t>
      </w:r>
      <w:r w:rsidRPr="00B665EB">
        <w:rPr>
          <w:rStyle w:val="aff6"/>
          <w:rFonts w:hint="cs"/>
          <w:rtl/>
        </w:rPr>
        <w:t>(יב:)</w:t>
      </w:r>
      <w:r>
        <w:rPr>
          <w:rFonts w:hint="cs"/>
          <w:rtl/>
        </w:rPr>
        <w:t xml:space="preserve"> דמעמידים בחזקת הגוף, עי' בדבריהם </w:t>
      </w:r>
      <w:r w:rsidRPr="00B665EB">
        <w:rPr>
          <w:rStyle w:val="aff6"/>
          <w:rFonts w:hint="cs"/>
          <w:rtl/>
        </w:rPr>
        <w:t xml:space="preserve">(עי' אות </w:t>
      </w:r>
      <w:r w:rsidRPr="00B665EB">
        <w:rPr>
          <w:rStyle w:val="aff6"/>
          <w:rtl/>
        </w:rPr>
        <w:fldChar w:fldCharType="begin"/>
      </w:r>
      <w:r w:rsidRPr="00B665EB">
        <w:rPr>
          <w:rStyle w:val="aff6"/>
          <w:rtl/>
        </w:rPr>
        <w:instrText xml:space="preserve"> </w:instrText>
      </w:r>
      <w:r w:rsidRPr="00B665EB">
        <w:rPr>
          <w:rStyle w:val="aff6"/>
          <w:rFonts w:hint="cs"/>
        </w:rPr>
        <w:instrText>REF</w:instrText>
      </w:r>
      <w:r w:rsidRPr="00B665EB">
        <w:rPr>
          <w:rStyle w:val="aff6"/>
          <w:rFonts w:hint="cs"/>
          <w:rtl/>
        </w:rPr>
        <w:instrText xml:space="preserve"> _</w:instrText>
      </w:r>
      <w:r w:rsidRPr="00B665EB">
        <w:rPr>
          <w:rStyle w:val="aff6"/>
          <w:rFonts w:hint="cs"/>
        </w:rPr>
        <w:instrText>Ref529435712 \r \h</w:instrText>
      </w:r>
      <w:r w:rsidRPr="00B665EB">
        <w:rPr>
          <w:rStyle w:val="aff6"/>
          <w:rtl/>
        </w:rPr>
        <w:instrText xml:space="preserve"> </w:instrText>
      </w:r>
      <w:r w:rsidRPr="00B665EB">
        <w:rPr>
          <w:rStyle w:val="aff6"/>
          <w:rtl/>
        </w:rPr>
      </w:r>
      <w:r w:rsidRPr="00B665EB">
        <w:rPr>
          <w:rStyle w:val="aff6"/>
          <w:rtl/>
        </w:rPr>
        <w:fldChar w:fldCharType="separate"/>
      </w:r>
      <w:r>
        <w:rPr>
          <w:rStyle w:val="aff6"/>
          <w:cs/>
        </w:rPr>
        <w:t>‎</w:t>
      </w:r>
      <w:r>
        <w:rPr>
          <w:rStyle w:val="aff6"/>
          <w:rtl/>
        </w:rPr>
        <w:t>פח)</w:t>
      </w:r>
      <w:r w:rsidRPr="00B665EB">
        <w:rPr>
          <w:rStyle w:val="aff6"/>
          <w:rtl/>
        </w:rPr>
        <w:fldChar w:fldCharType="end"/>
      </w:r>
      <w:r>
        <w:rPr>
          <w:rFonts w:hint="cs"/>
          <w:rtl/>
        </w:rPr>
        <w:t xml:space="preserve">, וע"ע במה שדחה </w:t>
      </w:r>
      <w:r w:rsidRPr="00E61862">
        <w:rPr>
          <w:rStyle w:val="affa"/>
          <w:rFonts w:hint="cs"/>
          <w:rtl/>
        </w:rPr>
        <w:t>הרוקח</w:t>
      </w:r>
      <w:r>
        <w:rPr>
          <w:rFonts w:hint="cs"/>
          <w:rtl/>
        </w:rPr>
        <w:t xml:space="preserve"> </w:t>
      </w:r>
      <w:r w:rsidRPr="00B665EB">
        <w:rPr>
          <w:rStyle w:val="aff6"/>
          <w:rFonts w:hint="cs"/>
          <w:rtl/>
        </w:rPr>
        <w:t xml:space="preserve">(עי' אות </w:t>
      </w:r>
      <w:r w:rsidRPr="00B665EB">
        <w:rPr>
          <w:rStyle w:val="aff6"/>
          <w:rtl/>
        </w:rPr>
        <w:fldChar w:fldCharType="begin"/>
      </w:r>
      <w:r w:rsidRPr="00B665EB">
        <w:rPr>
          <w:rStyle w:val="aff6"/>
          <w:rtl/>
        </w:rPr>
        <w:instrText xml:space="preserve"> </w:instrText>
      </w:r>
      <w:r w:rsidRPr="00B665EB">
        <w:rPr>
          <w:rStyle w:val="aff6"/>
          <w:rFonts w:hint="cs"/>
        </w:rPr>
        <w:instrText>REF</w:instrText>
      </w:r>
      <w:r w:rsidRPr="00B665EB">
        <w:rPr>
          <w:rStyle w:val="aff6"/>
          <w:rFonts w:hint="cs"/>
          <w:rtl/>
        </w:rPr>
        <w:instrText xml:space="preserve"> _</w:instrText>
      </w:r>
      <w:r w:rsidRPr="00B665EB">
        <w:rPr>
          <w:rStyle w:val="aff6"/>
          <w:rFonts w:hint="cs"/>
        </w:rPr>
        <w:instrText>Ref529376058 \r \h</w:instrText>
      </w:r>
      <w:r w:rsidRPr="00B665EB">
        <w:rPr>
          <w:rStyle w:val="aff6"/>
          <w:rtl/>
        </w:rPr>
        <w:instrText xml:space="preserve"> </w:instrText>
      </w:r>
      <w:r w:rsidRPr="00B665EB">
        <w:rPr>
          <w:rStyle w:val="aff6"/>
          <w:rtl/>
        </w:rPr>
      </w:r>
      <w:r w:rsidRPr="00B665EB">
        <w:rPr>
          <w:rStyle w:val="aff6"/>
          <w:rtl/>
        </w:rPr>
        <w:fldChar w:fldCharType="separate"/>
      </w:r>
      <w:r>
        <w:rPr>
          <w:rStyle w:val="aff6"/>
          <w:cs/>
        </w:rPr>
        <w:t>‎</w:t>
      </w:r>
      <w:r>
        <w:rPr>
          <w:rStyle w:val="aff6"/>
          <w:rtl/>
        </w:rPr>
        <w:t>פט)</w:t>
      </w:r>
      <w:r w:rsidRPr="00B665EB">
        <w:rPr>
          <w:rStyle w:val="aff6"/>
          <w:rtl/>
        </w:rPr>
        <w:fldChar w:fldCharType="end"/>
      </w:r>
      <w:r w:rsidRPr="00592AC7">
        <w:rPr>
          <w:rStyle w:val="af7"/>
          <w:rFonts w:eastAsia="Guttman Hodes" w:hint="cs"/>
          <w:rtl/>
        </w:rPr>
        <w:t xml:space="preserve"> </w:t>
      </w:r>
      <w:r>
        <w:rPr>
          <w:rFonts w:hint="cs"/>
          <w:rtl/>
        </w:rPr>
        <w:t xml:space="preserve">ראיה זו, וכתב </w:t>
      </w:r>
      <w:r w:rsidRPr="00E61862">
        <w:rPr>
          <w:rStyle w:val="affa"/>
          <w:rFonts w:hint="cs"/>
          <w:rtl/>
        </w:rPr>
        <w:t>הרוקח</w:t>
      </w:r>
      <w:r>
        <w:rPr>
          <w:rFonts w:hint="cs"/>
          <w:rtl/>
        </w:rPr>
        <w:t xml:space="preserve"> דכיון ד</w:t>
      </w:r>
      <w:r w:rsidRPr="00881F33">
        <w:rPr>
          <w:rFonts w:hint="cs"/>
          <w:rtl/>
        </w:rPr>
        <w:t xml:space="preserve">החלב עומד בחזקת היתר </w:t>
      </w:r>
      <w:r>
        <w:rPr>
          <w:rFonts w:hint="cs"/>
          <w:rtl/>
        </w:rPr>
        <w:t xml:space="preserve">עד שתמצא ודאי טריפה, </w:t>
      </w:r>
      <w:r w:rsidRPr="00881F33">
        <w:rPr>
          <w:rFonts w:hint="cs"/>
          <w:rtl/>
        </w:rPr>
        <w:t>לכן סגי במה שאוסרים את הגבינות של הג' ימים האחרונים</w:t>
      </w:r>
      <w:r>
        <w:rPr>
          <w:rFonts w:hint="cs"/>
          <w:rtl/>
        </w:rPr>
        <w:t xml:space="preserve">, וע"ע במה שהאריך בזה </w:t>
      </w:r>
      <w:r w:rsidRPr="00E61862">
        <w:rPr>
          <w:rStyle w:val="affa"/>
          <w:rFonts w:hint="cs"/>
          <w:rtl/>
        </w:rPr>
        <w:t>הראבי"ה</w:t>
      </w:r>
      <w:r>
        <w:rPr>
          <w:rFonts w:hint="cs"/>
          <w:rtl/>
        </w:rPr>
        <w:t xml:space="preserve"> </w:t>
      </w:r>
      <w:r w:rsidRPr="00B665EB">
        <w:rPr>
          <w:rStyle w:val="aff6"/>
          <w:rFonts w:hint="cs"/>
          <w:rtl/>
        </w:rPr>
        <w:t>(סי' אלף קכ"ד, הועתק בקובץ שיטות קמאי חולין ח"א עמ' רכ"ז)</w:t>
      </w:r>
      <w:r w:rsidRPr="00881F33">
        <w:rPr>
          <w:rFonts w:hint="cs"/>
          <w:rtl/>
        </w:rPr>
        <w:t>.</w:t>
      </w:r>
      <w:bookmarkEnd w:id="8801"/>
    </w:p>
  </w:footnote>
  <w:footnote w:id="63">
    <w:p w14:paraId="72FAA7FA" w14:textId="77777777" w:rsidR="00345400" w:rsidRDefault="00345400" w:rsidP="00D95C52">
      <w:pPr>
        <w:pStyle w:val="af"/>
      </w:pPr>
      <w:r>
        <w:rPr>
          <w:rStyle w:val="af1"/>
        </w:rPr>
        <w:footnoteRef/>
      </w:r>
      <w:r>
        <w:rPr>
          <w:rtl/>
        </w:rPr>
        <w:t xml:space="preserve"> </w:t>
      </w:r>
      <w:r w:rsidRPr="00AE4BED">
        <w:rPr>
          <w:rtl/>
        </w:rPr>
        <w:t xml:space="preserve">הקשה </w:t>
      </w:r>
      <w:r w:rsidRPr="00AE4BED">
        <w:rPr>
          <w:rStyle w:val="affa"/>
          <w:rtl/>
        </w:rPr>
        <w:t xml:space="preserve">הבינת אדם </w:t>
      </w:r>
      <w:r w:rsidRPr="00AE4BED">
        <w:rPr>
          <w:rStyle w:val="aff6"/>
          <w:rtl/>
        </w:rPr>
        <w:t>(שער רוב וחזקה י"ד)</w:t>
      </w:r>
      <w:r w:rsidRPr="00AE4BED">
        <w:rPr>
          <w:rtl/>
        </w:rPr>
        <w:t xml:space="preserve"> למה לא כתבו </w:t>
      </w:r>
      <w:r w:rsidRPr="00AE4BED">
        <w:rPr>
          <w:rStyle w:val="affa"/>
          <w:rtl/>
        </w:rPr>
        <w:t xml:space="preserve">התוס' </w:t>
      </w:r>
      <w:r w:rsidRPr="00AE4BED">
        <w:rPr>
          <w:rtl/>
        </w:rPr>
        <w:t>בסתמא, דבכל ספק טריפה אפשר להתיר ע"י ספק ספיקא</w:t>
      </w:r>
      <w:r>
        <w:rPr>
          <w:rFonts w:hint="cs"/>
          <w:rtl/>
        </w:rPr>
        <w:t>.</w:t>
      </w:r>
      <w:r w:rsidRPr="00AE4BED">
        <w:rPr>
          <w:rtl/>
        </w:rPr>
        <w:t xml:space="preserve"> </w:t>
      </w:r>
      <w:r>
        <w:rPr>
          <w:rFonts w:hint="cs"/>
          <w:rtl/>
        </w:rPr>
        <w:t>ותירץ</w:t>
      </w:r>
      <w:r w:rsidRPr="00AE4BED">
        <w:rPr>
          <w:rtl/>
        </w:rPr>
        <w:t xml:space="preserve"> </w:t>
      </w:r>
      <w:r w:rsidRPr="00AE4BED">
        <w:rPr>
          <w:rStyle w:val="affa"/>
          <w:rtl/>
        </w:rPr>
        <w:t xml:space="preserve">הבינת אדם </w:t>
      </w:r>
      <w:r w:rsidRPr="00AE4BED">
        <w:rPr>
          <w:rtl/>
        </w:rPr>
        <w:t xml:space="preserve">דבכל ספק טריפה, החזקה מתירה גם את הבהמה עצמה, משא"כ בסירכא דאיתא בגמ' להדיא שצריך בדיקה, והבהמה טריפה ויצאה מחזקתה מחיים, ואפ"ה ס"ל </w:t>
      </w:r>
      <w:r w:rsidRPr="00AE4BED">
        <w:rPr>
          <w:rStyle w:val="affa"/>
          <w:rtl/>
        </w:rPr>
        <w:t>להתוס'</w:t>
      </w:r>
      <w:r w:rsidRPr="00AE4BED">
        <w:rPr>
          <w:rtl/>
        </w:rPr>
        <w:t xml:space="preserve"> דהחלב מותר, מדין ספק ספיקא, ועיי"ש במה שהוכיח </w:t>
      </w:r>
      <w:r w:rsidRPr="00AE4BED">
        <w:rPr>
          <w:rStyle w:val="affa"/>
          <w:rtl/>
        </w:rPr>
        <w:t>הבינת אדם</w:t>
      </w:r>
      <w:r w:rsidRPr="00AE4BED">
        <w:rPr>
          <w:rtl/>
        </w:rPr>
        <w:t xml:space="preserve"> לפי"ז בדעת </w:t>
      </w:r>
      <w:r w:rsidRPr="00AE4BED">
        <w:rPr>
          <w:rStyle w:val="affa"/>
          <w:rtl/>
        </w:rPr>
        <w:t>התוס'</w:t>
      </w:r>
      <w:r w:rsidRPr="00AE4BED">
        <w:rPr>
          <w:rtl/>
        </w:rPr>
        <w:t>.</w:t>
      </w:r>
    </w:p>
  </w:footnote>
  <w:footnote w:id="64">
    <w:p w14:paraId="150B21BA" w14:textId="77777777" w:rsidR="00345400" w:rsidRDefault="00345400" w:rsidP="00D95C52">
      <w:pPr>
        <w:pStyle w:val="af"/>
      </w:pPr>
      <w:r>
        <w:rPr>
          <w:rStyle w:val="af1"/>
        </w:rPr>
        <w:footnoteRef/>
      </w:r>
      <w:r>
        <w:rPr>
          <w:rtl/>
        </w:rPr>
        <w:t xml:space="preserve"> </w:t>
      </w:r>
      <w:r w:rsidRPr="003A2E6A">
        <w:rPr>
          <w:rStyle w:val="affa"/>
          <w:rFonts w:hint="cs"/>
          <w:rtl/>
        </w:rPr>
        <w:t>השער"י</w:t>
      </w:r>
      <w:r>
        <w:rPr>
          <w:rFonts w:hint="cs"/>
          <w:rtl/>
        </w:rPr>
        <w:t xml:space="preserve"> כתב דכן מבואר </w:t>
      </w:r>
      <w:r w:rsidRPr="003A2E6A">
        <w:rPr>
          <w:rStyle w:val="affa"/>
          <w:rFonts w:hint="cs"/>
          <w:rtl/>
        </w:rPr>
        <w:t>בתוס'</w:t>
      </w:r>
      <w:r>
        <w:rPr>
          <w:rFonts w:hint="cs"/>
          <w:rtl/>
        </w:rPr>
        <w:t>, ואולי כוונתו דבמקום שאינה ודאי טריפה כזאב, מבואר ב</w:t>
      </w:r>
      <w:r w:rsidRPr="003A2E6A">
        <w:rPr>
          <w:rStyle w:val="affa"/>
          <w:rFonts w:hint="cs"/>
          <w:rtl/>
        </w:rPr>
        <w:t>תוס'</w:t>
      </w:r>
      <w:r>
        <w:rPr>
          <w:rFonts w:hint="cs"/>
          <w:rtl/>
        </w:rPr>
        <w:t xml:space="preserve"> דאזלינן בתר חזקה מכח רוב, וכדכתב </w:t>
      </w:r>
      <w:r w:rsidRPr="003A2E6A">
        <w:rPr>
          <w:rStyle w:val="affa"/>
          <w:rFonts w:hint="cs"/>
          <w:rtl/>
        </w:rPr>
        <w:t>השער"י</w:t>
      </w:r>
      <w:r>
        <w:rPr>
          <w:rFonts w:hint="cs"/>
          <w:rtl/>
        </w:rPr>
        <w:t xml:space="preserve"> </w:t>
      </w:r>
      <w:r w:rsidRPr="00D52338">
        <w:rPr>
          <w:rStyle w:val="aff6"/>
          <w:rFonts w:hint="cs"/>
          <w:rtl/>
        </w:rPr>
        <w:t xml:space="preserve">(עי' אות </w:t>
      </w:r>
      <w:r w:rsidRPr="00D52338">
        <w:rPr>
          <w:rStyle w:val="aff6"/>
          <w:rtl/>
        </w:rPr>
        <w:fldChar w:fldCharType="begin"/>
      </w:r>
      <w:r w:rsidRPr="00D52338">
        <w:rPr>
          <w:rStyle w:val="aff6"/>
          <w:rtl/>
        </w:rPr>
        <w:instrText xml:space="preserve"> </w:instrText>
      </w:r>
      <w:r w:rsidRPr="00D52338">
        <w:rPr>
          <w:rStyle w:val="aff6"/>
          <w:rFonts w:hint="cs"/>
        </w:rPr>
        <w:instrText>REF</w:instrText>
      </w:r>
      <w:r w:rsidRPr="00D52338">
        <w:rPr>
          <w:rStyle w:val="aff6"/>
          <w:rFonts w:hint="cs"/>
          <w:rtl/>
        </w:rPr>
        <w:instrText xml:space="preserve"> _</w:instrText>
      </w:r>
      <w:r w:rsidRPr="00D52338">
        <w:rPr>
          <w:rStyle w:val="aff6"/>
          <w:rFonts w:hint="cs"/>
        </w:rPr>
        <w:instrText>Ref529478745 \r \h</w:instrText>
      </w:r>
      <w:r w:rsidRPr="00D52338">
        <w:rPr>
          <w:rStyle w:val="aff6"/>
          <w:rtl/>
        </w:rPr>
        <w:instrText xml:space="preserve"> </w:instrText>
      </w:r>
      <w:r w:rsidRPr="00D52338">
        <w:rPr>
          <w:rStyle w:val="aff6"/>
          <w:rtl/>
        </w:rPr>
      </w:r>
      <w:r w:rsidRPr="00D52338">
        <w:rPr>
          <w:rStyle w:val="aff6"/>
          <w:rtl/>
        </w:rPr>
        <w:fldChar w:fldCharType="separate"/>
      </w:r>
      <w:r>
        <w:rPr>
          <w:rStyle w:val="aff6"/>
          <w:cs/>
        </w:rPr>
        <w:t>‎</w:t>
      </w:r>
      <w:r>
        <w:rPr>
          <w:rStyle w:val="aff6"/>
          <w:rtl/>
        </w:rPr>
        <w:t>צט)</w:t>
      </w:r>
      <w:r w:rsidRPr="00D52338">
        <w:rPr>
          <w:rStyle w:val="aff6"/>
          <w:rtl/>
        </w:rPr>
        <w:fldChar w:fldCharType="end"/>
      </w:r>
      <w:r>
        <w:rPr>
          <w:rFonts w:hint="cs"/>
          <w:rtl/>
        </w:rPr>
        <w:t xml:space="preserve">, ובזה חילק </w:t>
      </w:r>
      <w:r w:rsidRPr="003A2E6A">
        <w:rPr>
          <w:rStyle w:val="affa"/>
          <w:rFonts w:hint="cs"/>
          <w:rtl/>
        </w:rPr>
        <w:t>השער"י</w:t>
      </w:r>
      <w:r>
        <w:rPr>
          <w:rFonts w:hint="cs"/>
          <w:rtl/>
        </w:rPr>
        <w:t xml:space="preserve"> בין חזקת גבינות בספק טריפה דהוחזקו בפועל בהיתר, לבין חזקת הבשר שלא הוחזק בפועל בהיתר.</w:t>
      </w:r>
    </w:p>
  </w:footnote>
  <w:footnote w:id="65">
    <w:p w14:paraId="67199271" w14:textId="77777777" w:rsidR="00345400" w:rsidRPr="00127866" w:rsidRDefault="00345400" w:rsidP="00D95C52">
      <w:pPr>
        <w:pStyle w:val="af"/>
        <w:rPr>
          <w:rStyle w:val="afb"/>
          <w:rtl/>
        </w:rPr>
      </w:pPr>
      <w:r>
        <w:rPr>
          <w:rStyle w:val="af1"/>
        </w:rPr>
        <w:footnoteRef/>
      </w:r>
      <w:r>
        <w:rPr>
          <w:rtl/>
        </w:rPr>
        <w:t xml:space="preserve"> </w:t>
      </w:r>
      <w:r w:rsidRPr="00127866">
        <w:rPr>
          <w:rStyle w:val="afb"/>
          <w:rFonts w:hint="cs"/>
          <w:rtl/>
        </w:rPr>
        <w:t xml:space="preserve">וכתב </w:t>
      </w:r>
      <w:r w:rsidRPr="007350BF">
        <w:rPr>
          <w:rStyle w:val="affa"/>
          <w:rFonts w:hint="cs"/>
          <w:rtl/>
        </w:rPr>
        <w:t>השער"י</w:t>
      </w:r>
      <w:r w:rsidRPr="00127866">
        <w:rPr>
          <w:rStyle w:val="afb"/>
          <w:rFonts w:hint="cs"/>
          <w:rtl/>
        </w:rPr>
        <w:t xml:space="preserve"> דלפי"ז בהמה שהיא ספק דרוסה, ונחלבו ממנה גבינות, וזמן החליבה ידוע, והספק הוא מתי הייתה הדריסה לפני החליבה או לאחריה, דאף לדעת </w:t>
      </w:r>
      <w:r w:rsidRPr="007350BF">
        <w:rPr>
          <w:rStyle w:val="affa"/>
          <w:rFonts w:hint="cs"/>
          <w:rtl/>
        </w:rPr>
        <w:t>התוס'</w:t>
      </w:r>
      <w:r w:rsidRPr="00127866">
        <w:rPr>
          <w:rStyle w:val="afb"/>
          <w:rFonts w:hint="cs"/>
          <w:rtl/>
        </w:rPr>
        <w:t xml:space="preserve"> החלב מותר, דכיון שמעשה הדריסה ידוע מעמידים אותה בחזקת כשרות, שלא הייתה דרוסה, אעפ"י שהריעותא לפנינו, [אלא דכתבו </w:t>
      </w:r>
      <w:r w:rsidRPr="007350BF">
        <w:rPr>
          <w:rStyle w:val="affa"/>
          <w:rFonts w:hint="cs"/>
          <w:rtl/>
        </w:rPr>
        <w:t>התוס' לקמן</w:t>
      </w:r>
      <w:r w:rsidRPr="00127866">
        <w:rPr>
          <w:rStyle w:val="afb"/>
          <w:rFonts w:hint="cs"/>
          <w:rtl/>
        </w:rPr>
        <w:t xml:space="preserve"> </w:t>
      </w:r>
      <w:r w:rsidRPr="007350BF">
        <w:rPr>
          <w:rStyle w:val="aff6"/>
          <w:rFonts w:hint="cs"/>
          <w:rtl/>
        </w:rPr>
        <w:t>(מג: ד"ה קסבר)</w:t>
      </w:r>
      <w:r>
        <w:rPr>
          <w:rFonts w:hint="cs"/>
          <w:rtl/>
        </w:rPr>
        <w:t xml:space="preserve"> </w:t>
      </w:r>
      <w:r w:rsidRPr="00127866">
        <w:rPr>
          <w:rStyle w:val="afb"/>
          <w:rFonts w:hint="cs"/>
          <w:rtl/>
        </w:rPr>
        <w:t>דדרוסה שכיח לאיסורא], ולכן מהני החזקה הזו גם להתיר את החלב.</w:t>
      </w:r>
    </w:p>
  </w:footnote>
  <w:footnote w:id="66">
    <w:p w14:paraId="5B13E9E4" w14:textId="77777777" w:rsidR="00345400" w:rsidRDefault="00345400" w:rsidP="00D95C52">
      <w:pPr>
        <w:pStyle w:val="af"/>
        <w:rPr>
          <w:rtl/>
        </w:rPr>
      </w:pPr>
      <w:r>
        <w:rPr>
          <w:rStyle w:val="af1"/>
        </w:rPr>
        <w:footnoteRef/>
      </w:r>
      <w:r>
        <w:rPr>
          <w:rtl/>
        </w:rPr>
        <w:t xml:space="preserve"> </w:t>
      </w:r>
      <w:r>
        <w:rPr>
          <w:rFonts w:hint="cs"/>
          <w:rtl/>
        </w:rPr>
        <w:t xml:space="preserve">נד' גם </w:t>
      </w:r>
      <w:r w:rsidRPr="00625138">
        <w:rPr>
          <w:rStyle w:val="affa"/>
          <w:rFonts w:hint="cs"/>
          <w:rtl/>
        </w:rPr>
        <w:t>בקובץ עניינים</w:t>
      </w:r>
      <w:r>
        <w:rPr>
          <w:rFonts w:hint="cs"/>
          <w:rtl/>
        </w:rPr>
        <w:t xml:space="preserve"> </w:t>
      </w:r>
      <w:r w:rsidRPr="00625138">
        <w:rPr>
          <w:rStyle w:val="aff6"/>
          <w:rFonts w:hint="cs"/>
          <w:rtl/>
        </w:rPr>
        <w:t>(חולין סי' ב' אות י' ד"ה והנה בגמ')</w:t>
      </w:r>
      <w:r>
        <w:rPr>
          <w:rFonts w:hint="cs"/>
          <w:rtl/>
        </w:rPr>
        <w:t>.</w:t>
      </w:r>
    </w:p>
  </w:footnote>
  <w:footnote w:id="67">
    <w:p w14:paraId="2600BECD" w14:textId="77777777" w:rsidR="00345400" w:rsidRDefault="00345400" w:rsidP="00064C97">
      <w:pPr>
        <w:pStyle w:val="af"/>
        <w:rPr>
          <w:rtl/>
        </w:rPr>
      </w:pPr>
      <w:r>
        <w:rPr>
          <w:rStyle w:val="af1"/>
        </w:rPr>
        <w:footnoteRef/>
      </w:r>
      <w:r>
        <w:rPr>
          <w:rtl/>
        </w:rPr>
        <w:t xml:space="preserve"> </w:t>
      </w:r>
      <w:r>
        <w:rPr>
          <w:rFonts w:hint="cs"/>
          <w:rtl/>
        </w:rPr>
        <w:t>דאיתא בירושלמי "</w:t>
      </w:r>
      <w:r>
        <w:rPr>
          <w:rtl/>
        </w:rPr>
        <w:t>ומניין שהורגין על החזקות</w:t>
      </w:r>
      <w:r>
        <w:rPr>
          <w:rFonts w:hint="cs"/>
          <w:rtl/>
        </w:rPr>
        <w:t>,</w:t>
      </w:r>
      <w:r>
        <w:rPr>
          <w:rtl/>
        </w:rPr>
        <w:t xml:space="preserve"> ר' שמואל בריה דרבי יוסי בי ר' בון אמר כתיב ומכה אביו ואמו מות יומת</w:t>
      </w:r>
      <w:r>
        <w:rPr>
          <w:rFonts w:hint="cs"/>
          <w:rtl/>
        </w:rPr>
        <w:t>,</w:t>
      </w:r>
      <w:r>
        <w:rPr>
          <w:rtl/>
        </w:rPr>
        <w:t xml:space="preserve"> וכי דבר בריא הוא שזה הוא אביו</w:t>
      </w:r>
      <w:r>
        <w:rPr>
          <w:rFonts w:hint="cs"/>
          <w:rtl/>
        </w:rPr>
        <w:t>,</w:t>
      </w:r>
      <w:r>
        <w:rPr>
          <w:rtl/>
        </w:rPr>
        <w:t xml:space="preserve"> והלא חזקה היא שהוא אביו</w:t>
      </w:r>
      <w:r>
        <w:rPr>
          <w:rFonts w:hint="cs"/>
          <w:rtl/>
        </w:rPr>
        <w:t>,</w:t>
      </w:r>
      <w:r>
        <w:rPr>
          <w:rtl/>
        </w:rPr>
        <w:t xml:space="preserve"> ואת אמר הורגין אף הכא הורגין</w:t>
      </w:r>
      <w:r>
        <w:rPr>
          <w:rFonts w:hint="cs"/>
          <w:rtl/>
        </w:rPr>
        <w:t>".</w:t>
      </w:r>
    </w:p>
  </w:footnote>
  <w:footnote w:id="68">
    <w:p w14:paraId="05A47254" w14:textId="77777777" w:rsidR="00345400" w:rsidRDefault="00345400" w:rsidP="00064C97">
      <w:pPr>
        <w:pStyle w:val="af"/>
      </w:pPr>
      <w:r>
        <w:rPr>
          <w:rStyle w:val="af1"/>
        </w:rPr>
        <w:footnoteRef/>
      </w:r>
      <w:r>
        <w:rPr>
          <w:rtl/>
        </w:rPr>
        <w:t xml:space="preserve"> </w:t>
      </w:r>
      <w:r w:rsidRPr="00B403D9">
        <w:rPr>
          <w:rtl/>
        </w:rPr>
        <w:t xml:space="preserve">ועי' בדברי </w:t>
      </w:r>
      <w:r w:rsidRPr="00B403D9">
        <w:rPr>
          <w:rStyle w:val="affa"/>
          <w:rtl/>
        </w:rPr>
        <w:t>הנתיה"מ בתשו'</w:t>
      </w:r>
      <w:r>
        <w:rPr>
          <w:rFonts w:hint="cs"/>
          <w:rtl/>
        </w:rPr>
        <w:t xml:space="preserve"> </w:t>
      </w:r>
      <w:r w:rsidRPr="00B403D9">
        <w:rPr>
          <w:rtl/>
        </w:rPr>
        <w:t xml:space="preserve">שהאריך לבאר דס"ל </w:t>
      </w:r>
      <w:r w:rsidRPr="00B403D9">
        <w:rPr>
          <w:rStyle w:val="affa"/>
          <w:rtl/>
        </w:rPr>
        <w:t>להרמב"ם</w:t>
      </w:r>
      <w:r w:rsidRPr="00B403D9">
        <w:rPr>
          <w:rtl/>
        </w:rPr>
        <w:t xml:space="preserve"> דבגמ' בסוגיין ובגמ' בסנהדרין </w:t>
      </w:r>
      <w:r w:rsidRPr="00B403D9">
        <w:rPr>
          <w:rStyle w:val="aff6"/>
          <w:rtl/>
        </w:rPr>
        <w:t>(סט.)</w:t>
      </w:r>
      <w:r w:rsidRPr="00B403D9">
        <w:rPr>
          <w:rtl/>
        </w:rPr>
        <w:t xml:space="preserve"> מוכח דמדין רוב לבד או מדין חזקה לבד, א"א לסקול על החזקות, ורק בצירוף דין רוב ודין חזקה אמרינן דסוקלין על החזקות</w:t>
      </w:r>
      <w:r>
        <w:rPr>
          <w:rFonts w:hint="cs"/>
          <w:rtl/>
        </w:rPr>
        <w:t>.</w:t>
      </w:r>
    </w:p>
  </w:footnote>
  <w:footnote w:id="69">
    <w:p w14:paraId="10C2A84E" w14:textId="77777777" w:rsidR="00345400" w:rsidRDefault="00345400" w:rsidP="00064C97">
      <w:pPr>
        <w:pStyle w:val="af"/>
      </w:pPr>
      <w:r>
        <w:rPr>
          <w:rStyle w:val="af1"/>
        </w:rPr>
        <w:footnoteRef/>
      </w:r>
      <w:r>
        <w:rPr>
          <w:rtl/>
        </w:rPr>
        <w:t xml:space="preserve"> </w:t>
      </w:r>
      <w:r w:rsidRPr="00826125">
        <w:rPr>
          <w:rStyle w:val="affa"/>
          <w:rtl/>
        </w:rPr>
        <w:t>ובחידושי רבי שלמה</w:t>
      </w:r>
      <w:r w:rsidRPr="00826125">
        <w:rPr>
          <w:rtl/>
        </w:rPr>
        <w:t xml:space="preserve"> </w:t>
      </w:r>
      <w:r w:rsidRPr="00826125">
        <w:rPr>
          <w:rStyle w:val="aff6"/>
          <w:rtl/>
        </w:rPr>
        <w:t>(ח"ב סי' נ"ה)</w:t>
      </w:r>
      <w:r w:rsidRPr="00826125">
        <w:rPr>
          <w:rtl/>
        </w:rPr>
        <w:t xml:space="preserve"> ביאר את דברי </w:t>
      </w:r>
      <w:r w:rsidRPr="00826125">
        <w:rPr>
          <w:rStyle w:val="affa"/>
          <w:rtl/>
        </w:rPr>
        <w:t>הבכור שור</w:t>
      </w:r>
      <w:r w:rsidRPr="00826125">
        <w:rPr>
          <w:rtl/>
        </w:rPr>
        <w:t xml:space="preserve"> דבכדי לומר שהוא אביו, צריך גם את דין רוב וגם את דין חזקה, דע"י הרוב אמרינן דהאם לא זינתה ואף אם זינתה הבן הוא מבעלה, וע"י דין חזקה אמרינן דלא נתחלף באחר, ורק מכח ב' דינים אלו אמרינן דסוקלין על החזקות.</w:t>
      </w:r>
    </w:p>
  </w:footnote>
  <w:footnote w:id="70">
    <w:p w14:paraId="16BF7D1F" w14:textId="77777777" w:rsidR="00345400" w:rsidRDefault="00345400" w:rsidP="00064C97">
      <w:pPr>
        <w:pStyle w:val="af"/>
      </w:pPr>
      <w:r>
        <w:rPr>
          <w:rStyle w:val="af1"/>
        </w:rPr>
        <w:footnoteRef/>
      </w:r>
      <w:r>
        <w:rPr>
          <w:rtl/>
        </w:rPr>
        <w:t xml:space="preserve"> </w:t>
      </w:r>
      <w:r w:rsidRPr="007D649D">
        <w:rPr>
          <w:rtl/>
        </w:rPr>
        <w:t xml:space="preserve">וכעי"ז ביאר </w:t>
      </w:r>
      <w:r w:rsidRPr="007D649D">
        <w:rPr>
          <w:rStyle w:val="affa"/>
          <w:rtl/>
        </w:rPr>
        <w:t>השער"י</w:t>
      </w:r>
      <w:r w:rsidRPr="007D649D">
        <w:rPr>
          <w:rtl/>
        </w:rPr>
        <w:t xml:space="preserve"> </w:t>
      </w:r>
      <w:r w:rsidRPr="007D649D">
        <w:rPr>
          <w:rStyle w:val="aff6"/>
          <w:rtl/>
        </w:rPr>
        <w:t>(ש"ו פ"ח ד"ה והנה בעיקר)</w:t>
      </w:r>
      <w:r w:rsidRPr="007D649D">
        <w:rPr>
          <w:rtl/>
        </w:rPr>
        <w:t xml:space="preserve"> דס"ל </w:t>
      </w:r>
      <w:r w:rsidRPr="007D649D">
        <w:rPr>
          <w:rStyle w:val="affa"/>
          <w:rtl/>
        </w:rPr>
        <w:t>להרמב"ם</w:t>
      </w:r>
      <w:r w:rsidRPr="007D649D">
        <w:rPr>
          <w:rtl/>
        </w:rPr>
        <w:t xml:space="preserve"> שאין חילוק בין הבבלי לירושלמי בזה, דבין הטעם של חזקה ובין הטעם של רוב הוא טעם אחד, דדבר שהרגילות דמוכח שכך היה קרינן ליה חזקה, אך הוא רובא דליתא קמן, כחזקה דאין אדם פורע תוך זמנו, וחזקה אין אשה מעיזה פניה בפני בעלה.</w:t>
      </w:r>
    </w:p>
  </w:footnote>
  <w:footnote w:id="71">
    <w:p w14:paraId="4B2FDE5C" w14:textId="77777777" w:rsidR="00345400" w:rsidRDefault="00345400" w:rsidP="00064C97">
      <w:pPr>
        <w:pStyle w:val="af"/>
      </w:pPr>
      <w:r>
        <w:rPr>
          <w:rStyle w:val="af1"/>
        </w:rPr>
        <w:footnoteRef/>
      </w:r>
      <w:r>
        <w:rPr>
          <w:rtl/>
        </w:rPr>
        <w:t xml:space="preserve"> </w:t>
      </w:r>
      <w:r>
        <w:rPr>
          <w:rFonts w:hint="cs"/>
          <w:rtl/>
        </w:rPr>
        <w:t xml:space="preserve">אמנם יעוי' </w:t>
      </w:r>
      <w:r w:rsidRPr="00EE7643">
        <w:rPr>
          <w:rStyle w:val="affa"/>
          <w:rFonts w:hint="cs"/>
          <w:rtl/>
        </w:rPr>
        <w:t>ברש"י ביבמות</w:t>
      </w:r>
      <w:r>
        <w:rPr>
          <w:rFonts w:hint="cs"/>
          <w:rtl/>
        </w:rPr>
        <w:t xml:space="preserve"> </w:t>
      </w:r>
      <w:r w:rsidRPr="00EE7643">
        <w:rPr>
          <w:rStyle w:val="aff6"/>
          <w:rFonts w:hint="cs"/>
          <w:rtl/>
        </w:rPr>
        <w:t>(לא: ד"ה להצלה)</w:t>
      </w:r>
      <w:r>
        <w:rPr>
          <w:rFonts w:hint="cs"/>
          <w:rtl/>
        </w:rPr>
        <w:t xml:space="preserve"> דמשמע דס"ל דבספק גירושין אזלינן בתר חזקת אשת איש, אף לדיני נפשות.</w:t>
      </w:r>
    </w:p>
  </w:footnote>
  <w:footnote w:id="72">
    <w:p w14:paraId="06724FEF" w14:textId="77777777" w:rsidR="00345400" w:rsidRDefault="00345400" w:rsidP="00064C97">
      <w:pPr>
        <w:pStyle w:val="af"/>
        <w:rPr>
          <w:rtl/>
        </w:rPr>
      </w:pPr>
      <w:r>
        <w:rPr>
          <w:rStyle w:val="af1"/>
        </w:rPr>
        <w:footnoteRef/>
      </w:r>
      <w:r>
        <w:rPr>
          <w:rtl/>
        </w:rPr>
        <w:t xml:space="preserve"> </w:t>
      </w:r>
      <w:r w:rsidRPr="007D5A9E">
        <w:rPr>
          <w:rStyle w:val="affa"/>
          <w:rtl/>
        </w:rPr>
        <w:t>ברשב"א בתשו'</w:t>
      </w:r>
      <w:r>
        <w:rPr>
          <w:rtl/>
        </w:rPr>
        <w:t xml:space="preserve"> </w:t>
      </w:r>
      <w:r w:rsidRPr="007D5A9E">
        <w:rPr>
          <w:rStyle w:val="aff6"/>
          <w:rtl/>
        </w:rPr>
        <w:t>(ח"א סי' כ"ז)</w:t>
      </w:r>
      <w:r>
        <w:rPr>
          <w:rtl/>
        </w:rPr>
        <w:t xml:space="preserve"> הביא השואל </w:t>
      </w:r>
      <w:r w:rsidRPr="007D5A9E">
        <w:rPr>
          <w:rStyle w:val="affa"/>
          <w:rtl/>
        </w:rPr>
        <w:t>הר"י צרפתי</w:t>
      </w:r>
      <w:r>
        <w:rPr>
          <w:rtl/>
        </w:rPr>
        <w:t xml:space="preserve"> דאיתא בתו"כ </w:t>
      </w:r>
      <w:r w:rsidRPr="007D5A9E">
        <w:rPr>
          <w:rStyle w:val="aff6"/>
          <w:rtl/>
        </w:rPr>
        <w:t>(ספרא אמור פרשה א' ד')</w:t>
      </w:r>
      <w:r>
        <w:rPr>
          <w:rtl/>
        </w:rPr>
        <w:t xml:space="preserve"> דילפ</w:t>
      </w:r>
      <w:r>
        <w:rPr>
          <w:rFonts w:hint="cs"/>
          <w:rtl/>
        </w:rPr>
        <w:t xml:space="preserve">ינן </w:t>
      </w:r>
      <w:r>
        <w:rPr>
          <w:rtl/>
        </w:rPr>
        <w:t xml:space="preserve">דכמו שכהן נטמא לאמו שהיא ודאי אמו, כך מותר להטמא לאביו, אף אם הוא אביו רק ע"י חזקה, והקשו </w:t>
      </w:r>
      <w:r w:rsidRPr="007D5A9E">
        <w:rPr>
          <w:rStyle w:val="affa"/>
          <w:rtl/>
        </w:rPr>
        <w:t>חכמי פורבינצה</w:t>
      </w:r>
      <w:r>
        <w:rPr>
          <w:rtl/>
        </w:rPr>
        <w:t xml:space="preserve"> דממנפ"ש מותר להטמא לו דאם אינו אביו</w:t>
      </w:r>
      <w:r>
        <w:rPr>
          <w:rFonts w:hint="cs"/>
          <w:rtl/>
        </w:rPr>
        <w:t>,</w:t>
      </w:r>
      <w:r>
        <w:rPr>
          <w:rtl/>
        </w:rPr>
        <w:t xml:space="preserve"> הוא ממזר ואינו כהן</w:t>
      </w:r>
      <w:r>
        <w:rPr>
          <w:rFonts w:hint="cs"/>
          <w:rtl/>
        </w:rPr>
        <w:t>.</w:t>
      </w:r>
    </w:p>
    <w:p w14:paraId="6A713580" w14:textId="77777777" w:rsidR="00345400" w:rsidRDefault="00345400" w:rsidP="00064C97">
      <w:pPr>
        <w:pStyle w:val="af"/>
        <w:rPr>
          <w:rtl/>
        </w:rPr>
      </w:pPr>
      <w:r>
        <w:rPr>
          <w:rtl/>
        </w:rPr>
        <w:t xml:space="preserve">ותירץ </w:t>
      </w:r>
      <w:r w:rsidRPr="007D5A9E">
        <w:rPr>
          <w:rStyle w:val="affa"/>
          <w:rtl/>
        </w:rPr>
        <w:t>הר"י צרפתי</w:t>
      </w:r>
      <w:r>
        <w:rPr>
          <w:rtl/>
        </w:rPr>
        <w:t xml:space="preserve"> דאיירי בכהן שמוחזק ע"י עדים בכהונה, ואח"כ בא אחד ואמר שהוא אביו, ונוהג עמו כאביו, דהוא מוחזק כאביו מדין סוקלין על החזקות, וע"ז ילפינן בתורת כהנים דמותר להטמאות לו.</w:t>
      </w:r>
    </w:p>
    <w:p w14:paraId="141E59C0" w14:textId="77777777" w:rsidR="00345400" w:rsidRDefault="00345400" w:rsidP="00064C97">
      <w:pPr>
        <w:pStyle w:val="af"/>
        <w:rPr>
          <w:rtl/>
        </w:rPr>
      </w:pPr>
      <w:r>
        <w:rPr>
          <w:rtl/>
        </w:rPr>
        <w:t xml:space="preserve">והשיב לו </w:t>
      </w:r>
      <w:r w:rsidRPr="007D5A9E">
        <w:rPr>
          <w:rStyle w:val="affa"/>
          <w:rtl/>
        </w:rPr>
        <w:t>הרשב"א בתשו'</w:t>
      </w:r>
      <w:r>
        <w:rPr>
          <w:rtl/>
        </w:rPr>
        <w:t xml:space="preserve"> דבכל דיני התורה אין כל חילוק בין אמו בודאי</w:t>
      </w:r>
      <w:r>
        <w:rPr>
          <w:rFonts w:hint="cs"/>
          <w:rtl/>
        </w:rPr>
        <w:t>,</w:t>
      </w:r>
      <w:r>
        <w:rPr>
          <w:rtl/>
        </w:rPr>
        <w:t xml:space="preserve"> לאמו או אביו ע"י חזקה, עיי"ש בדבריו</w:t>
      </w:r>
      <w:r>
        <w:rPr>
          <w:rFonts w:hint="cs"/>
          <w:rtl/>
        </w:rPr>
        <w:t xml:space="preserve"> באריכות.</w:t>
      </w:r>
      <w:r>
        <w:rPr>
          <w:rtl/>
        </w:rPr>
        <w:t xml:space="preserve"> וביאר </w:t>
      </w:r>
      <w:r w:rsidRPr="007D5A9E">
        <w:rPr>
          <w:rStyle w:val="affa"/>
          <w:rtl/>
        </w:rPr>
        <w:t>הרשב"א בתשו'</w:t>
      </w:r>
      <w:r>
        <w:rPr>
          <w:rtl/>
        </w:rPr>
        <w:t xml:space="preserve"> דהילפותא בתורת כהנים היא כיון שיש חידוש בטומאת כהן שיש מצוה להטמאות לקרוביו, ומטמאין אותו בע"כ, ולכן הו"א דאין לך בו אלא חידושו, ודוקא באמו ודאית נאמר דין זה, ולכן צריך ילפותא לאביו ע"י חזקה, וה"ה לאמו ע"י חזקה</w:t>
      </w:r>
      <w:r>
        <w:rPr>
          <w:rFonts w:hint="cs"/>
          <w:rtl/>
        </w:rPr>
        <w:t>.</w:t>
      </w:r>
    </w:p>
    <w:p w14:paraId="6B65E3F4" w14:textId="77777777" w:rsidR="00345400" w:rsidRDefault="00345400" w:rsidP="00064C97">
      <w:pPr>
        <w:pStyle w:val="af"/>
      </w:pPr>
      <w:r>
        <w:rPr>
          <w:rtl/>
        </w:rPr>
        <w:t xml:space="preserve">והוסיף </w:t>
      </w:r>
      <w:r w:rsidRPr="007D5A9E">
        <w:rPr>
          <w:rStyle w:val="affa"/>
          <w:rtl/>
        </w:rPr>
        <w:t>הרשב"א בתשו'</w:t>
      </w:r>
      <w:r>
        <w:rPr>
          <w:rtl/>
        </w:rPr>
        <w:t xml:space="preserve"> דאי לא כתיב להדיא </w:t>
      </w:r>
      <w:r>
        <w:rPr>
          <w:rFonts w:hint="cs"/>
          <w:rtl/>
        </w:rPr>
        <w:t>דמותר להטמא</w:t>
      </w:r>
      <w:r>
        <w:rPr>
          <w:rtl/>
        </w:rPr>
        <w:t xml:space="preserve"> לאביו, לעולם היה אסור להטמא</w:t>
      </w:r>
      <w:r>
        <w:rPr>
          <w:rFonts w:hint="cs"/>
          <w:rtl/>
        </w:rPr>
        <w:t>ות</w:t>
      </w:r>
      <w:r>
        <w:rPr>
          <w:rtl/>
        </w:rPr>
        <w:t xml:space="preserve"> לאביו, כיון ש</w:t>
      </w:r>
      <w:r>
        <w:rPr>
          <w:rFonts w:hint="cs"/>
          <w:rtl/>
        </w:rPr>
        <w:t xml:space="preserve">לעולם </w:t>
      </w:r>
      <w:r>
        <w:rPr>
          <w:rtl/>
        </w:rPr>
        <w:t>אין אביו שהוא ידוע בודאי, כדאיתא בסוגיין דאף בחבושין בבית האסורין אמרינן דאין אפוטרפוס לעריות, ורק מכח חזקה ילפינן שהוא אביו</w:t>
      </w:r>
      <w:r>
        <w:rPr>
          <w:rFonts w:hint="cs"/>
          <w:rtl/>
        </w:rPr>
        <w:t>,</w:t>
      </w:r>
      <w:r>
        <w:rPr>
          <w:rtl/>
        </w:rPr>
        <w:t xml:space="preserve"> [ע"י במה שביאר </w:t>
      </w:r>
      <w:r w:rsidRPr="007D5A9E">
        <w:rPr>
          <w:rStyle w:val="affa"/>
          <w:rtl/>
        </w:rPr>
        <w:t>הפרמ"ג</w:t>
      </w:r>
      <w:r>
        <w:rPr>
          <w:rtl/>
        </w:rPr>
        <w:t xml:space="preserve"> </w:t>
      </w:r>
      <w:r w:rsidRPr="007D5A9E">
        <w:rPr>
          <w:rStyle w:val="aff6"/>
          <w:rtl/>
        </w:rPr>
        <w:t xml:space="preserve">(עי' אות </w:t>
      </w:r>
      <w:r w:rsidRPr="007D5A9E">
        <w:rPr>
          <w:rStyle w:val="aff6"/>
          <w:rtl/>
        </w:rPr>
        <w:fldChar w:fldCharType="begin"/>
      </w:r>
      <w:r w:rsidRPr="007D5A9E">
        <w:rPr>
          <w:rStyle w:val="aff6"/>
          <w:rtl/>
        </w:rPr>
        <w:instrText xml:space="preserve"> </w:instrText>
      </w:r>
      <w:r w:rsidRPr="007D5A9E">
        <w:rPr>
          <w:rStyle w:val="aff6"/>
        </w:rPr>
        <w:instrText>REF</w:instrText>
      </w:r>
      <w:r w:rsidRPr="007D5A9E">
        <w:rPr>
          <w:rStyle w:val="aff6"/>
          <w:rtl/>
        </w:rPr>
        <w:instrText xml:space="preserve"> _</w:instrText>
      </w:r>
      <w:r w:rsidRPr="007D5A9E">
        <w:rPr>
          <w:rStyle w:val="aff6"/>
        </w:rPr>
        <w:instrText>Ref529896891 \r \h</w:instrText>
      </w:r>
      <w:r w:rsidRPr="007D5A9E">
        <w:rPr>
          <w:rStyle w:val="aff6"/>
          <w:rtl/>
        </w:rPr>
        <w:instrText xml:space="preserve"> </w:instrText>
      </w:r>
      <w:r w:rsidRPr="007D5A9E">
        <w:rPr>
          <w:rStyle w:val="aff6"/>
          <w:rtl/>
        </w:rPr>
      </w:r>
      <w:r w:rsidRPr="007D5A9E">
        <w:rPr>
          <w:rStyle w:val="aff6"/>
          <w:rtl/>
        </w:rPr>
        <w:fldChar w:fldCharType="separate"/>
      </w:r>
      <w:r>
        <w:rPr>
          <w:rStyle w:val="aff6"/>
          <w:cs/>
        </w:rPr>
        <w:t>‎</w:t>
      </w:r>
      <w:r>
        <w:rPr>
          <w:rStyle w:val="aff6"/>
          <w:rtl/>
        </w:rPr>
        <w:t>ט)</w:t>
      </w:r>
      <w:r w:rsidRPr="007D5A9E">
        <w:rPr>
          <w:rStyle w:val="aff6"/>
          <w:rtl/>
        </w:rPr>
        <w:fldChar w:fldCharType="end"/>
      </w:r>
      <w:r>
        <w:rPr>
          <w:rtl/>
        </w:rPr>
        <w:t xml:space="preserve"> לשון חזקה].</w:t>
      </w:r>
    </w:p>
  </w:footnote>
  <w:footnote w:id="73">
    <w:p w14:paraId="3EE6F33D" w14:textId="77777777" w:rsidR="00345400" w:rsidRDefault="00345400" w:rsidP="00064C97">
      <w:pPr>
        <w:pStyle w:val="af"/>
        <w:rPr>
          <w:rtl/>
        </w:rPr>
      </w:pPr>
      <w:r>
        <w:rPr>
          <w:rStyle w:val="af1"/>
        </w:rPr>
        <w:footnoteRef/>
      </w:r>
      <w:r>
        <w:rPr>
          <w:rtl/>
        </w:rPr>
        <w:t xml:space="preserve"> </w:t>
      </w:r>
      <w:r w:rsidRPr="00085CDB">
        <w:rPr>
          <w:rtl/>
        </w:rPr>
        <w:t xml:space="preserve">הביא </w:t>
      </w:r>
      <w:r w:rsidRPr="00085CDB">
        <w:rPr>
          <w:rStyle w:val="affa"/>
          <w:rtl/>
        </w:rPr>
        <w:t>החת"ס בתשו'</w:t>
      </w:r>
      <w:r w:rsidRPr="00085CDB">
        <w:rPr>
          <w:rtl/>
        </w:rPr>
        <w:t xml:space="preserve"> </w:t>
      </w:r>
      <w:r w:rsidRPr="00085CDB">
        <w:rPr>
          <w:rStyle w:val="aff6"/>
          <w:rtl/>
        </w:rPr>
        <w:t>(אבהע"ז ח"א סי' ע"ו ד"ה ואחר כותבי)</w:t>
      </w:r>
      <w:r w:rsidRPr="00085CDB">
        <w:rPr>
          <w:rtl/>
        </w:rPr>
        <w:t xml:space="preserve"> בשם ספר </w:t>
      </w:r>
      <w:r w:rsidRPr="00085CDB">
        <w:rPr>
          <w:rStyle w:val="affa"/>
          <w:rtl/>
        </w:rPr>
        <w:t>עצי ארזים</w:t>
      </w:r>
      <w:r w:rsidRPr="00085CDB">
        <w:rPr>
          <w:rtl/>
        </w:rPr>
        <w:t xml:space="preserve"> שהקשה דהיאך ילפינן ממכה אביו ע"י רוב בעילות אחר הבעל, דא"כ היאך משכחת לה בתו מאנוסתו, דהא בזה לא שייך לומר רוב בעילות אחר האונס, דיתכן שנבעלה גם לאחרים באונס או ברצון.</w:t>
      </w:r>
    </w:p>
    <w:p w14:paraId="3D0E3EB5" w14:textId="77777777" w:rsidR="00345400" w:rsidRDefault="00345400" w:rsidP="00064C97">
      <w:pPr>
        <w:pStyle w:val="af"/>
        <w:rPr>
          <w:rtl/>
        </w:rPr>
      </w:pPr>
      <w:r w:rsidRPr="00085CDB">
        <w:rPr>
          <w:rtl/>
        </w:rPr>
        <w:t xml:space="preserve">ותירץ </w:t>
      </w:r>
      <w:r w:rsidRPr="00085CDB">
        <w:rPr>
          <w:rStyle w:val="affa"/>
          <w:rtl/>
        </w:rPr>
        <w:t>החת"ס בתשו'</w:t>
      </w:r>
      <w:r w:rsidRPr="00085CDB">
        <w:rPr>
          <w:rtl/>
        </w:rPr>
        <w:t xml:space="preserve"> דבהו"א דילפינן רוב ממכה אביו דיש רוב בעילות אחר הבעל, הגמ' הייתה יכולה לדחות דלפי"ז לא משכחת לה בתו מאנוסתו, אבל למסקנא דדוחה הגמ' דאף בחבושים בבית האסורים אין אפוטרופוס לעריות, ואפ"ה קיי"ל דאזלינן בתר רובא, א"כ שייך לומר דבתו מאנוסתו איירי באיש ואשה חבושים בבית האסורים, דאף שאינו בעלה, מ"מ רוב הבעילות הם ממנו, דחזקה שאין אדם מעמיד את עצמו, ובפרט כשיש עדים שאנס או פיתה אותה קודם לכן, דלבו גס בה.</w:t>
      </w:r>
    </w:p>
  </w:footnote>
  <w:footnote w:id="74">
    <w:p w14:paraId="66886D88" w14:textId="77777777" w:rsidR="00345400" w:rsidRDefault="00345400" w:rsidP="00064C97">
      <w:pPr>
        <w:pStyle w:val="af"/>
        <w:rPr>
          <w:rtl/>
        </w:rPr>
      </w:pPr>
      <w:r>
        <w:rPr>
          <w:rStyle w:val="af1"/>
        </w:rPr>
        <w:footnoteRef/>
      </w:r>
      <w:r>
        <w:rPr>
          <w:rtl/>
        </w:rPr>
        <w:t xml:space="preserve"> </w:t>
      </w:r>
      <w:r>
        <w:rPr>
          <w:rFonts w:hint="cs"/>
          <w:rtl/>
        </w:rPr>
        <w:t xml:space="preserve">ועי' </w:t>
      </w:r>
      <w:r w:rsidRPr="00FE1CFC">
        <w:rPr>
          <w:rStyle w:val="affa"/>
          <w:rFonts w:hint="cs"/>
          <w:rtl/>
        </w:rPr>
        <w:t>בחי' רבי שלמה</w:t>
      </w:r>
      <w:r>
        <w:rPr>
          <w:rFonts w:hint="cs"/>
          <w:rtl/>
        </w:rPr>
        <w:t xml:space="preserve"> </w:t>
      </w:r>
      <w:r w:rsidRPr="00FE1CFC">
        <w:rPr>
          <w:rStyle w:val="aff6"/>
          <w:rFonts w:hint="cs"/>
          <w:rtl/>
        </w:rPr>
        <w:t xml:space="preserve">(ח"ב סי' נ"ו ד"ה איתא) </w:t>
      </w:r>
      <w:r>
        <w:rPr>
          <w:rFonts w:hint="cs"/>
          <w:rtl/>
        </w:rPr>
        <w:t xml:space="preserve">דביאר </w:t>
      </w:r>
      <w:r w:rsidRPr="00FE1CFC">
        <w:rPr>
          <w:rStyle w:val="affa"/>
          <w:rFonts w:hint="cs"/>
          <w:rtl/>
        </w:rPr>
        <w:t>דהר"ן</w:t>
      </w:r>
      <w:r>
        <w:rPr>
          <w:rFonts w:hint="cs"/>
          <w:rtl/>
        </w:rPr>
        <w:t xml:space="preserve"> הקשה מהא דברוצח לא חיישינן שהרג טריפה, ולא הקשה ממכה אביו, כיון דבמכה אביו הוחזק ע"י הרוב שהוא אביו לדברים אחרים כדביאר </w:t>
      </w:r>
      <w:r w:rsidRPr="00FE1CFC">
        <w:rPr>
          <w:rStyle w:val="affa"/>
          <w:rFonts w:hint="cs"/>
          <w:rtl/>
        </w:rPr>
        <w:t>הגרעק"א</w:t>
      </w:r>
      <w:r>
        <w:rPr>
          <w:rFonts w:hint="cs"/>
          <w:rtl/>
        </w:rPr>
        <w:t xml:space="preserve"> </w:t>
      </w:r>
      <w:r w:rsidRPr="00FE1CFC">
        <w:rPr>
          <w:rStyle w:val="aff6"/>
          <w:rFonts w:hint="cs"/>
          <w:rtl/>
        </w:rPr>
        <w:t xml:space="preserve">(עי' אות </w:t>
      </w:r>
      <w:r w:rsidRPr="00FE1CFC">
        <w:rPr>
          <w:rStyle w:val="aff6"/>
          <w:rtl/>
        </w:rPr>
        <w:fldChar w:fldCharType="begin"/>
      </w:r>
      <w:r w:rsidRPr="00FE1CFC">
        <w:rPr>
          <w:rStyle w:val="aff6"/>
          <w:rtl/>
        </w:rPr>
        <w:instrText xml:space="preserve"> </w:instrText>
      </w:r>
      <w:r w:rsidRPr="00FE1CFC">
        <w:rPr>
          <w:rStyle w:val="aff6"/>
          <w:rFonts w:hint="cs"/>
        </w:rPr>
        <w:instrText>REF</w:instrText>
      </w:r>
      <w:r w:rsidRPr="00FE1CFC">
        <w:rPr>
          <w:rStyle w:val="aff6"/>
          <w:rFonts w:hint="cs"/>
          <w:rtl/>
        </w:rPr>
        <w:instrText xml:space="preserve"> _</w:instrText>
      </w:r>
      <w:r w:rsidRPr="00FE1CFC">
        <w:rPr>
          <w:rStyle w:val="aff6"/>
          <w:rFonts w:hint="cs"/>
        </w:rPr>
        <w:instrText>Ref530418898 \r \h</w:instrText>
      </w:r>
      <w:r w:rsidRPr="00FE1CFC">
        <w:rPr>
          <w:rStyle w:val="aff6"/>
          <w:rtl/>
        </w:rPr>
        <w:instrText xml:space="preserve"> </w:instrText>
      </w:r>
      <w:r w:rsidRPr="00FE1CFC">
        <w:rPr>
          <w:rStyle w:val="aff6"/>
          <w:rtl/>
        </w:rPr>
      </w:r>
      <w:r w:rsidRPr="00FE1CFC">
        <w:rPr>
          <w:rStyle w:val="aff6"/>
          <w:rtl/>
        </w:rPr>
        <w:fldChar w:fldCharType="separate"/>
      </w:r>
      <w:r>
        <w:rPr>
          <w:rStyle w:val="aff6"/>
          <w:cs/>
        </w:rPr>
        <w:t>‎</w:t>
      </w:r>
      <w:r>
        <w:rPr>
          <w:rStyle w:val="aff6"/>
          <w:rtl/>
        </w:rPr>
        <w:t>נב)</w:t>
      </w:r>
      <w:r w:rsidRPr="00FE1CFC">
        <w:rPr>
          <w:rStyle w:val="aff6"/>
          <w:rtl/>
        </w:rPr>
        <w:fldChar w:fldCharType="end"/>
      </w:r>
      <w:r>
        <w:rPr>
          <w:rFonts w:hint="cs"/>
          <w:rtl/>
        </w:rPr>
        <w:t xml:space="preserve">, וא"כ א"א ללמוד מזה לרוב שלא הוחזק לדברים אחרים, וכתב </w:t>
      </w:r>
      <w:r w:rsidRPr="00FE1CFC">
        <w:rPr>
          <w:rStyle w:val="affa"/>
          <w:rFonts w:hint="cs"/>
          <w:rtl/>
        </w:rPr>
        <w:t>בחי' רבי שלמה</w:t>
      </w:r>
      <w:r>
        <w:rPr>
          <w:rFonts w:hint="cs"/>
          <w:rtl/>
        </w:rPr>
        <w:t xml:space="preserve"> דלכן הקשה </w:t>
      </w:r>
      <w:r w:rsidRPr="00FE1CFC">
        <w:rPr>
          <w:rStyle w:val="affa"/>
          <w:rFonts w:hint="cs"/>
          <w:rtl/>
        </w:rPr>
        <w:t>הר"ן</w:t>
      </w:r>
      <w:r>
        <w:rPr>
          <w:rFonts w:hint="cs"/>
          <w:rtl/>
        </w:rPr>
        <w:t xml:space="preserve"> מרוצח שלפני הרציחה לא היה נדון של רוב האם הנרצח הוא טריפה, או לא.</w:t>
      </w:r>
    </w:p>
  </w:footnote>
  <w:footnote w:id="75">
    <w:p w14:paraId="1ADEFB10" w14:textId="77777777" w:rsidR="00345400" w:rsidRDefault="00345400" w:rsidP="00064C97">
      <w:pPr>
        <w:pStyle w:val="af"/>
      </w:pPr>
      <w:r>
        <w:rPr>
          <w:rStyle w:val="af1"/>
        </w:rPr>
        <w:footnoteRef/>
      </w:r>
      <w:r>
        <w:rPr>
          <w:rFonts w:hint="cs"/>
          <w:rtl/>
        </w:rPr>
        <w:t xml:space="preserve"> </w:t>
      </w:r>
      <w:r>
        <w:rPr>
          <w:rFonts w:hint="cs"/>
          <w:rtl/>
        </w:rPr>
        <w:t xml:space="preserve">במ"ש </w:t>
      </w:r>
      <w:r w:rsidRPr="00F00455">
        <w:rPr>
          <w:rStyle w:val="affa"/>
          <w:rFonts w:hint="cs"/>
          <w:rtl/>
        </w:rPr>
        <w:t>הש"ש</w:t>
      </w:r>
      <w:r>
        <w:rPr>
          <w:rFonts w:hint="cs"/>
          <w:rtl/>
        </w:rPr>
        <w:t xml:space="preserve"> דרוב לא מהני בנפשות כיון שצריך עדות של ב' עדים,</w:t>
      </w:r>
      <w:r w:rsidRPr="00A94AE3">
        <w:rPr>
          <w:rFonts w:hint="cs"/>
          <w:rtl/>
        </w:rPr>
        <w:t xml:space="preserve"> </w:t>
      </w:r>
      <w:r>
        <w:rPr>
          <w:rFonts w:hint="cs"/>
          <w:rtl/>
        </w:rPr>
        <w:t xml:space="preserve">עי' </w:t>
      </w:r>
      <w:r w:rsidRPr="00F00455">
        <w:rPr>
          <w:rStyle w:val="affa"/>
          <w:rFonts w:hint="cs"/>
          <w:rtl/>
        </w:rPr>
        <w:t>בשער"י</w:t>
      </w:r>
      <w:r>
        <w:rPr>
          <w:rFonts w:hint="cs"/>
          <w:rtl/>
        </w:rPr>
        <w:t xml:space="preserve"> </w:t>
      </w:r>
      <w:r w:rsidRPr="00F00455">
        <w:rPr>
          <w:rStyle w:val="aff6"/>
          <w:rFonts w:hint="cs"/>
          <w:rtl/>
        </w:rPr>
        <w:t>(ש"ג פ"ב ד"ה ומה שתומך)</w:t>
      </w:r>
      <w:r>
        <w:rPr>
          <w:rFonts w:hint="cs"/>
          <w:rtl/>
        </w:rPr>
        <w:t xml:space="preserve"> במה שדחה את דבריו.</w:t>
      </w:r>
    </w:p>
  </w:footnote>
  <w:footnote w:id="76">
    <w:p w14:paraId="77524391" w14:textId="77777777" w:rsidR="00345400" w:rsidRDefault="00345400" w:rsidP="00064C97">
      <w:pPr>
        <w:pStyle w:val="af"/>
        <w:rPr>
          <w:rtl/>
        </w:rPr>
      </w:pPr>
      <w:r>
        <w:rPr>
          <w:rStyle w:val="af1"/>
        </w:rPr>
        <w:footnoteRef/>
      </w:r>
      <w:r>
        <w:rPr>
          <w:rtl/>
        </w:rPr>
        <w:t xml:space="preserve"> </w:t>
      </w:r>
      <w:r w:rsidRPr="00C14C28">
        <w:rPr>
          <w:rtl/>
        </w:rPr>
        <w:t xml:space="preserve">וע"ע בדברי </w:t>
      </w:r>
      <w:r w:rsidRPr="00C14C28">
        <w:rPr>
          <w:rStyle w:val="affa"/>
          <w:rtl/>
        </w:rPr>
        <w:t>הגרעק"א</w:t>
      </w:r>
      <w:r w:rsidRPr="00C14C28">
        <w:rPr>
          <w:rtl/>
        </w:rPr>
        <w:t xml:space="preserve"> </w:t>
      </w:r>
      <w:r w:rsidRPr="00C14C28">
        <w:rPr>
          <w:rStyle w:val="aff6"/>
          <w:rtl/>
        </w:rPr>
        <w:t>(ב"ב צג. ד"ה ת"ש)</w:t>
      </w:r>
      <w:r w:rsidRPr="00C14C28">
        <w:rPr>
          <w:rtl/>
        </w:rPr>
        <w:t xml:space="preserve"> דהקשה לענין שור שנגח פרה ומת עוברה, אמאי חייב בעל השור לשלם, הא יתכן שהיה הוולד נפל, דדוקא כשנגח בהמה אינו יכול לטעון שהייתה טריפה, כיון שכבר דנו עליה שאינה טריפה לענין אכילה, דרוב בהמות אינם טריפות והחזקנו אותה לכשרה, אבל בעובר שלא דנו עליו כלל, ואף עכשיו כל הנדון הוא לענין התשלומין, ובלא"ה לא היינו דנים עליו כלל, אמאי אין בעל השור יכול לטעון שהוא נפל</w:t>
      </w:r>
      <w:r>
        <w:rPr>
          <w:rFonts w:hint="cs"/>
          <w:rtl/>
        </w:rPr>
        <w:t>.</w:t>
      </w:r>
    </w:p>
    <w:p w14:paraId="29F6F8B4" w14:textId="77777777" w:rsidR="00345400" w:rsidRDefault="00345400" w:rsidP="00064C97">
      <w:pPr>
        <w:pStyle w:val="af"/>
      </w:pPr>
      <w:r w:rsidRPr="00C14C28">
        <w:rPr>
          <w:rtl/>
        </w:rPr>
        <w:t xml:space="preserve">ועוד הוסיף </w:t>
      </w:r>
      <w:r w:rsidRPr="00C14C28">
        <w:rPr>
          <w:rStyle w:val="affa"/>
          <w:rtl/>
        </w:rPr>
        <w:t>הגרעק"א</w:t>
      </w:r>
      <w:r w:rsidRPr="00C14C28">
        <w:rPr>
          <w:rtl/>
        </w:rPr>
        <w:t xml:space="preserve"> להקשות דבהמית בהמה טמאה</w:t>
      </w:r>
      <w:r>
        <w:rPr>
          <w:rFonts w:hint="cs"/>
          <w:rtl/>
        </w:rPr>
        <w:t>,</w:t>
      </w:r>
      <w:r w:rsidRPr="00C14C28">
        <w:rPr>
          <w:rtl/>
        </w:rPr>
        <w:t xml:space="preserve"> שלא היה נדון עליה לשום דבר, אם היא כשרה או טריפה, אמאי אין בעל השור יכול לטעון שהייתה טריפה.</w:t>
      </w:r>
    </w:p>
  </w:footnote>
  <w:footnote w:id="77">
    <w:p w14:paraId="02AFE1F1" w14:textId="77777777" w:rsidR="00345400" w:rsidRPr="00377F27" w:rsidRDefault="00345400" w:rsidP="00064C97">
      <w:pPr>
        <w:pStyle w:val="af"/>
      </w:pPr>
      <w:r>
        <w:rPr>
          <w:rStyle w:val="af1"/>
        </w:rPr>
        <w:footnoteRef/>
      </w:r>
      <w:r>
        <w:rPr>
          <w:rtl/>
        </w:rPr>
        <w:t xml:space="preserve"> </w:t>
      </w:r>
      <w:r w:rsidRPr="00791AC1">
        <w:rPr>
          <w:rStyle w:val="affa"/>
          <w:rtl/>
        </w:rPr>
        <w:t>ובחי' הגרעק"א בכתובות</w:t>
      </w:r>
      <w:r w:rsidRPr="00791AC1">
        <w:rPr>
          <w:rStyle w:val="aff6"/>
          <w:rtl/>
        </w:rPr>
        <w:t xml:space="preserve"> (החדש טו. אות ד') </w:t>
      </w:r>
      <w:r>
        <w:rPr>
          <w:rFonts w:hint="cs"/>
          <w:rtl/>
        </w:rPr>
        <w:t xml:space="preserve">הובא מספר </w:t>
      </w:r>
      <w:r w:rsidRPr="00377F27">
        <w:rPr>
          <w:rStyle w:val="affa"/>
          <w:rtl/>
        </w:rPr>
        <w:t>הכתב והקבלה</w:t>
      </w:r>
      <w:r w:rsidRPr="00377F27">
        <w:rPr>
          <w:rtl/>
        </w:rPr>
        <w:t xml:space="preserve"> </w:t>
      </w:r>
      <w:r w:rsidRPr="00377F27">
        <w:rPr>
          <w:rStyle w:val="aff6"/>
          <w:rtl/>
        </w:rPr>
        <w:t>(פרשת בחקותי ויקרא כ"ז ל"ב)</w:t>
      </w:r>
      <w:r w:rsidRPr="00377F27">
        <w:rPr>
          <w:rtl/>
        </w:rPr>
        <w:t xml:space="preserve"> </w:t>
      </w:r>
      <w:r w:rsidRPr="00EC4F6C">
        <w:rPr>
          <w:rFonts w:hint="cs"/>
          <w:sz w:val="16"/>
          <w:szCs w:val="12"/>
          <w:rtl/>
        </w:rPr>
        <w:t xml:space="preserve">[הובאו דבריו בקצרה </w:t>
      </w:r>
      <w:r w:rsidRPr="00EC4F6C">
        <w:rPr>
          <w:rStyle w:val="affa"/>
          <w:rFonts w:hint="cs"/>
          <w:sz w:val="16"/>
          <w:szCs w:val="12"/>
          <w:rtl/>
        </w:rPr>
        <w:t>בשער"י</w:t>
      </w:r>
      <w:r w:rsidRPr="00EC4F6C">
        <w:rPr>
          <w:rFonts w:hint="cs"/>
          <w:sz w:val="16"/>
          <w:szCs w:val="12"/>
          <w:rtl/>
        </w:rPr>
        <w:t xml:space="preserve"> </w:t>
      </w:r>
      <w:r w:rsidRPr="00CF4B28">
        <w:rPr>
          <w:rStyle w:val="aff6"/>
          <w:rFonts w:hint="cs"/>
          <w:rtl/>
        </w:rPr>
        <w:t>(שער הספ</w:t>
      </w:r>
      <w:r>
        <w:rPr>
          <w:rStyle w:val="aff6"/>
          <w:rFonts w:hint="cs"/>
          <w:rtl/>
        </w:rPr>
        <w:t>י</w:t>
      </w:r>
      <w:r w:rsidRPr="00CF4B28">
        <w:rPr>
          <w:rStyle w:val="aff6"/>
          <w:rFonts w:hint="cs"/>
          <w:rtl/>
        </w:rPr>
        <w:t>קות פ"ה ד"ה ועפ"ז)</w:t>
      </w:r>
      <w:r w:rsidRPr="00EC4F6C">
        <w:rPr>
          <w:rFonts w:hint="cs"/>
          <w:sz w:val="16"/>
          <w:szCs w:val="12"/>
          <w:rtl/>
        </w:rPr>
        <w:t>]</w:t>
      </w:r>
      <w:r>
        <w:rPr>
          <w:rFonts w:hint="cs"/>
          <w:rtl/>
        </w:rPr>
        <w:t xml:space="preserve"> ד</w:t>
      </w:r>
      <w:r w:rsidRPr="00377F27">
        <w:rPr>
          <w:rtl/>
        </w:rPr>
        <w:t xml:space="preserve">הביא </w:t>
      </w:r>
      <w:r>
        <w:rPr>
          <w:rFonts w:hint="cs"/>
          <w:rtl/>
        </w:rPr>
        <w:t>את דברי</w:t>
      </w:r>
      <w:r w:rsidRPr="00377F27">
        <w:rPr>
          <w:rtl/>
        </w:rPr>
        <w:t xml:space="preserve"> </w:t>
      </w:r>
      <w:r w:rsidRPr="00377F27">
        <w:rPr>
          <w:rStyle w:val="affa"/>
          <w:rtl/>
        </w:rPr>
        <w:t>הגרעק"א</w:t>
      </w:r>
      <w:r w:rsidRPr="00377F27">
        <w:rPr>
          <w:rtl/>
        </w:rPr>
        <w:t xml:space="preserve"> דהוסיף דכל שוחט שניבל בהמה חייב לשלם, ואינו יכול לטעון דבמקום נקב שחט, </w:t>
      </w:r>
      <w:r>
        <w:rPr>
          <w:rFonts w:hint="cs"/>
          <w:rtl/>
        </w:rPr>
        <w:t xml:space="preserve">ובדיני </w:t>
      </w:r>
      <w:r w:rsidRPr="00377F27">
        <w:rPr>
          <w:rtl/>
        </w:rPr>
        <w:t>ממונות לא אזלינן בתר רוב בהמות כשרות, דכיון שדנו כבר על בהמה זו שהיא כשרה, לענין חלב וכדומה, ממילא היא בחזקת שהיא מרוב ב</w:t>
      </w:r>
      <w:r>
        <w:rPr>
          <w:rtl/>
        </w:rPr>
        <w:t>המות כשרות אף לענין דיני ממונות</w:t>
      </w:r>
      <w:r>
        <w:rPr>
          <w:rFonts w:hint="cs"/>
          <w:rtl/>
        </w:rPr>
        <w:t>.</w:t>
      </w:r>
    </w:p>
  </w:footnote>
  <w:footnote w:id="78">
    <w:p w14:paraId="307B9825" w14:textId="77777777" w:rsidR="00345400" w:rsidRDefault="00345400" w:rsidP="00064C97">
      <w:pPr>
        <w:pStyle w:val="af"/>
        <w:rPr>
          <w:rtl/>
        </w:rPr>
      </w:pPr>
      <w:r>
        <w:rPr>
          <w:rStyle w:val="af1"/>
        </w:rPr>
        <w:footnoteRef/>
      </w:r>
      <w:r>
        <w:rPr>
          <w:rtl/>
        </w:rPr>
        <w:t xml:space="preserve"> </w:t>
      </w:r>
      <w:r w:rsidRPr="00582FC9">
        <w:rPr>
          <w:rStyle w:val="affa"/>
          <w:rtl/>
        </w:rPr>
        <w:t xml:space="preserve">והעונג יו"ט </w:t>
      </w:r>
      <w:r w:rsidRPr="00582FC9">
        <w:rPr>
          <w:rStyle w:val="aff6"/>
          <w:rtl/>
        </w:rPr>
        <w:t>(סי' ד' ד"ה ומיושב)</w:t>
      </w:r>
      <w:r w:rsidRPr="00582FC9">
        <w:rPr>
          <w:rtl/>
        </w:rPr>
        <w:t xml:space="preserve"> תירץ דכ"מ דכתבו ה</w:t>
      </w:r>
      <w:r w:rsidRPr="00582FC9">
        <w:rPr>
          <w:rStyle w:val="affa"/>
          <w:rtl/>
        </w:rPr>
        <w:t xml:space="preserve">תוס' </w:t>
      </w:r>
      <w:r w:rsidRPr="00582FC9">
        <w:rPr>
          <w:rtl/>
        </w:rPr>
        <w:t>דאין דנים ברוב ממיתה קלה למיתה חמורה, בנתערבו נסקלין בנשרפין, הוא כיון שצריך לזה גמר דין של ב"ד של כ"ג, וכיון שהב"ד אינם דנים בזה, דדנוהו למיתה שנתחייב בה, וא"א לחייב מיתה חמורה ע"י רוב בלא גמר דין, אבל בבת כהן כיון שנגמר דינה בב"ד של כ"ג, אף דהגמר דין הוא מכח הרוב שהיא בתו של אביה הכהן, מ"מ מהני בזה הרוב, כיון שיש גמר דין בב"ד של כ"ג.</w:t>
      </w:r>
    </w:p>
  </w:footnote>
  <w:footnote w:id="79">
    <w:p w14:paraId="108882C3" w14:textId="77777777" w:rsidR="00345400" w:rsidRPr="005F2619" w:rsidRDefault="00345400" w:rsidP="00FF73EE">
      <w:pPr>
        <w:pStyle w:val="11"/>
        <w:rPr>
          <w:rStyle w:val="afb"/>
          <w:rtl/>
        </w:rPr>
      </w:pPr>
      <w:r>
        <w:rPr>
          <w:rStyle w:val="af1"/>
        </w:rPr>
        <w:footnoteRef/>
      </w:r>
      <w:r>
        <w:rPr>
          <w:rtl/>
        </w:rPr>
        <w:t xml:space="preserve"> </w:t>
      </w:r>
      <w:r w:rsidRPr="005F2619">
        <w:rPr>
          <w:rStyle w:val="afb"/>
          <w:rFonts w:hint="cs"/>
          <w:rtl/>
        </w:rPr>
        <w:t>ועי' בדברי</w:t>
      </w:r>
      <w:r w:rsidRPr="005F2619">
        <w:rPr>
          <w:rStyle w:val="afb"/>
          <w:rtl/>
        </w:rPr>
        <w:t xml:space="preserve"> </w:t>
      </w:r>
      <w:r w:rsidRPr="005F2619">
        <w:rPr>
          <w:rStyle w:val="affa"/>
          <w:rtl/>
        </w:rPr>
        <w:t>הגר"א</w:t>
      </w:r>
      <w:r w:rsidRPr="005F2619">
        <w:rPr>
          <w:rStyle w:val="afb"/>
          <w:rtl/>
        </w:rPr>
        <w:t xml:space="preserve"> </w:t>
      </w:r>
      <w:r w:rsidRPr="005F2619">
        <w:rPr>
          <w:rStyle w:val="aff6"/>
          <w:rFonts w:hint="cs"/>
          <w:rtl/>
        </w:rPr>
        <w:t>(</w:t>
      </w:r>
      <w:r w:rsidRPr="005F2619">
        <w:rPr>
          <w:rStyle w:val="aff6"/>
          <w:rtl/>
        </w:rPr>
        <w:t>אבהע</w:t>
      </w:r>
      <w:r w:rsidRPr="005F2619">
        <w:rPr>
          <w:rStyle w:val="aff6"/>
          <w:rFonts w:hint="cs"/>
          <w:rtl/>
        </w:rPr>
        <w:t>"</w:t>
      </w:r>
      <w:r w:rsidRPr="005F2619">
        <w:rPr>
          <w:rStyle w:val="aff6"/>
          <w:rtl/>
        </w:rPr>
        <w:t>ז סי</w:t>
      </w:r>
      <w:r w:rsidRPr="005F2619">
        <w:rPr>
          <w:rStyle w:val="aff6"/>
          <w:rFonts w:hint="cs"/>
          <w:rtl/>
        </w:rPr>
        <w:t>'</w:t>
      </w:r>
      <w:r w:rsidRPr="005F2619">
        <w:rPr>
          <w:rStyle w:val="aff6"/>
          <w:rtl/>
        </w:rPr>
        <w:t xml:space="preserve"> ד</w:t>
      </w:r>
      <w:r w:rsidRPr="005F2619">
        <w:rPr>
          <w:rStyle w:val="aff6"/>
          <w:rFonts w:hint="cs"/>
          <w:rtl/>
        </w:rPr>
        <w:t xml:space="preserve">' ס"ק צ"ח) </w:t>
      </w:r>
      <w:r w:rsidRPr="005F2619">
        <w:rPr>
          <w:rStyle w:val="afb"/>
          <w:rFonts w:hint="cs"/>
          <w:rtl/>
        </w:rPr>
        <w:t xml:space="preserve">דתירץ את קושית </w:t>
      </w:r>
      <w:r w:rsidRPr="005F2619">
        <w:rPr>
          <w:rStyle w:val="affa"/>
          <w:rFonts w:hint="cs"/>
          <w:rtl/>
        </w:rPr>
        <w:t>הראב"ד</w:t>
      </w:r>
      <w:r w:rsidRPr="005F2619">
        <w:rPr>
          <w:rStyle w:val="afb"/>
          <w:rFonts w:hint="cs"/>
          <w:rtl/>
        </w:rPr>
        <w:t xml:space="preserve"> דאף דבנפשות אזלינן בתר רובא, מ"מ ביוחסין ס"ל </w:t>
      </w:r>
      <w:r w:rsidRPr="005F2619">
        <w:rPr>
          <w:rStyle w:val="affa"/>
          <w:rFonts w:hint="cs"/>
          <w:rtl/>
        </w:rPr>
        <w:t>להרמב"ם</w:t>
      </w:r>
      <w:r w:rsidRPr="005F2619">
        <w:rPr>
          <w:rStyle w:val="afb"/>
          <w:rFonts w:hint="cs"/>
          <w:rtl/>
        </w:rPr>
        <w:t xml:space="preserve"> דלא אזלינן בתר רובא.</w:t>
      </w:r>
    </w:p>
  </w:footnote>
  <w:footnote w:id="80">
    <w:p w14:paraId="600D299C" w14:textId="77777777" w:rsidR="00345400" w:rsidRDefault="00345400" w:rsidP="005E1F6B">
      <w:pPr>
        <w:pStyle w:val="af"/>
        <w:rPr>
          <w:rtl/>
        </w:rPr>
      </w:pPr>
      <w:r>
        <w:rPr>
          <w:rStyle w:val="af1"/>
        </w:rPr>
        <w:footnoteRef/>
      </w:r>
      <w:r>
        <w:rPr>
          <w:rtl/>
        </w:rPr>
        <w:t xml:space="preserve"> </w:t>
      </w:r>
      <w:r>
        <w:rPr>
          <w:rFonts w:hint="cs"/>
          <w:rtl/>
        </w:rPr>
        <w:t>עו"כ</w:t>
      </w:r>
      <w:r w:rsidRPr="002810EA">
        <w:rPr>
          <w:rtl/>
        </w:rPr>
        <w:t xml:space="preserve"> </w:t>
      </w:r>
      <w:r w:rsidRPr="004F15DC">
        <w:rPr>
          <w:rStyle w:val="affa"/>
          <w:rtl/>
        </w:rPr>
        <w:t>המרדכי לקמן</w:t>
      </w:r>
      <w:r w:rsidRPr="002810EA">
        <w:rPr>
          <w:rtl/>
        </w:rPr>
        <w:t xml:space="preserve"> </w:t>
      </w:r>
      <w:r w:rsidRPr="004F15DC">
        <w:rPr>
          <w:rStyle w:val="af7"/>
          <w:rFonts w:eastAsiaTheme="minorHAnsi"/>
          <w:rtl/>
        </w:rPr>
        <w:t>(רמז תשל"ז)</w:t>
      </w:r>
      <w:r w:rsidRPr="002810EA">
        <w:rPr>
          <w:rtl/>
        </w:rPr>
        <w:t xml:space="preserve"> דאף דר"מ חייש למיעוטא, מ"מ לא מצינו דר"מ פליג על דינא דחזקה אף במקום שיש לחוש למיעוט, וכן מבואר בגמ' ביבמות </w:t>
      </w:r>
      <w:r w:rsidRPr="004F15DC">
        <w:rPr>
          <w:rStyle w:val="af7"/>
          <w:rFonts w:eastAsiaTheme="minorHAnsi"/>
          <w:rtl/>
        </w:rPr>
        <w:t>(קיט:)</w:t>
      </w:r>
      <w:r w:rsidRPr="002810EA">
        <w:rPr>
          <w:rtl/>
        </w:rPr>
        <w:t xml:space="preserve"> וכתב </w:t>
      </w:r>
      <w:r w:rsidRPr="004F15DC">
        <w:rPr>
          <w:rStyle w:val="affa"/>
          <w:rtl/>
        </w:rPr>
        <w:t>בהג' הרמ"א</w:t>
      </w:r>
      <w:r w:rsidRPr="002810EA">
        <w:rPr>
          <w:rtl/>
        </w:rPr>
        <w:t xml:space="preserve"> </w:t>
      </w:r>
      <w:r w:rsidRPr="00F85751">
        <w:rPr>
          <w:rtl/>
        </w:rPr>
        <w:t xml:space="preserve">דלדברי </w:t>
      </w:r>
      <w:r w:rsidRPr="00F85751">
        <w:rPr>
          <w:rStyle w:val="affa"/>
          <w:rtl/>
        </w:rPr>
        <w:t>המרדכי</w:t>
      </w:r>
      <w:r w:rsidRPr="00F85751">
        <w:rPr>
          <w:rtl/>
        </w:rPr>
        <w:t xml:space="preserve"> דמודה</w:t>
      </w:r>
      <w:r w:rsidRPr="002810EA">
        <w:rPr>
          <w:rtl/>
        </w:rPr>
        <w:t xml:space="preserve"> ר"מ לרבנן ברובא דאיתא קמן דלא חיישינן למיעוטא, ולכן חזקה לא עדיפא מרובא דאיתא קמן, ולכן אף בחזקה מודה ר"מ, ובזה מבואר בגמ' ביבמות דברובא דאיתא קמן ס"ל לר"מ דאזלינן בתר חזקה, אף במקום שאפשר לחוש למיעוט כנגד החזקה, אך כתב </w:t>
      </w:r>
      <w:r w:rsidRPr="004F15DC">
        <w:rPr>
          <w:rStyle w:val="affa"/>
          <w:rtl/>
        </w:rPr>
        <w:t>בהג' הרמ"א</w:t>
      </w:r>
      <w:r w:rsidRPr="002810EA">
        <w:rPr>
          <w:rtl/>
        </w:rPr>
        <w:t xml:space="preserve"> דכיון דברובא דליתא קמן פליג ר"מ וחייש למיעוטא, א"כ חיישינן למיעוטא אף במקום חזקה.</w:t>
      </w:r>
    </w:p>
  </w:footnote>
  <w:footnote w:id="81">
    <w:p w14:paraId="74023D68" w14:textId="77777777" w:rsidR="00345400" w:rsidRDefault="00345400" w:rsidP="005E1F6B">
      <w:pPr>
        <w:pStyle w:val="af"/>
        <w:rPr>
          <w:rtl/>
        </w:rPr>
      </w:pPr>
      <w:r>
        <w:rPr>
          <w:rStyle w:val="af1"/>
        </w:rPr>
        <w:footnoteRef/>
      </w:r>
      <w:r>
        <w:rPr>
          <w:rtl/>
        </w:rPr>
        <w:t xml:space="preserve"> </w:t>
      </w:r>
      <w:r w:rsidRPr="0056364A">
        <w:rPr>
          <w:rtl/>
        </w:rPr>
        <w:t xml:space="preserve">וע"ע בדברי </w:t>
      </w:r>
      <w:r w:rsidRPr="0056364A">
        <w:rPr>
          <w:rStyle w:val="affa"/>
          <w:rtl/>
        </w:rPr>
        <w:t>התוס' הרא"ש בנדה</w:t>
      </w:r>
      <w:r w:rsidRPr="0056364A">
        <w:rPr>
          <w:rtl/>
        </w:rPr>
        <w:t xml:space="preserve"> </w:t>
      </w:r>
      <w:r w:rsidRPr="0056364A">
        <w:rPr>
          <w:rStyle w:val="af7"/>
          <w:rFonts w:eastAsiaTheme="minorHAnsi"/>
          <w:rtl/>
        </w:rPr>
        <w:t>(לב. ד"ה מיעוטא)</w:t>
      </w:r>
      <w:r w:rsidRPr="0056364A">
        <w:rPr>
          <w:rtl/>
        </w:rPr>
        <w:t xml:space="preserve"> דהקש</w:t>
      </w:r>
      <w:r>
        <w:rPr>
          <w:rFonts w:hint="cs"/>
          <w:rtl/>
        </w:rPr>
        <w:t>ה</w:t>
      </w:r>
      <w:r w:rsidRPr="0056364A">
        <w:rPr>
          <w:rtl/>
        </w:rPr>
        <w:t xml:space="preserve"> דכיון </w:t>
      </w:r>
      <w:r>
        <w:rPr>
          <w:rFonts w:hint="cs"/>
          <w:rtl/>
        </w:rPr>
        <w:t>דב</w:t>
      </w:r>
      <w:r w:rsidRPr="0056364A">
        <w:rPr>
          <w:rtl/>
        </w:rPr>
        <w:t xml:space="preserve">בנות כותים חייש ר"מ למיעוט שרואות, א"כ אמאי בתינוקת ישראל לא חיישינן שמא ראתה, וא"א לומר דכיון שלא ראינו דם בבגדה של התינוקת לא שכיח כלל שראתה דם, דעדיין יתכן שראתה מיד בשעת הלידה, כשהיא מלוכלת בדם לידה. ותירץ </w:t>
      </w:r>
      <w:r w:rsidRPr="0056364A">
        <w:rPr>
          <w:rStyle w:val="affa"/>
          <w:rtl/>
        </w:rPr>
        <w:t>התוס' הרא"ש בנדה</w:t>
      </w:r>
      <w:r w:rsidRPr="0056364A">
        <w:rPr>
          <w:rtl/>
        </w:rPr>
        <w:t xml:space="preserve"> דהמיעוט שתראה מיד בשעת הלידה הוא מיעוט דלא שכיח כלל, ואף לר"מ לא חיישינן ליה.</w:t>
      </w:r>
    </w:p>
  </w:footnote>
  <w:footnote w:id="82">
    <w:p w14:paraId="14FAA2AA" w14:textId="77777777" w:rsidR="00345400" w:rsidRDefault="00345400" w:rsidP="005E1F6B">
      <w:pPr>
        <w:pStyle w:val="af"/>
      </w:pPr>
      <w:r>
        <w:rPr>
          <w:rStyle w:val="af1"/>
        </w:rPr>
        <w:footnoteRef/>
      </w:r>
      <w:r>
        <w:rPr>
          <w:rtl/>
        </w:rPr>
        <w:t xml:space="preserve"> </w:t>
      </w:r>
      <w:r>
        <w:rPr>
          <w:rFonts w:hint="cs"/>
          <w:rtl/>
        </w:rPr>
        <w:t xml:space="preserve">יעויי"ש בדברי </w:t>
      </w:r>
      <w:r w:rsidRPr="00E714C6">
        <w:rPr>
          <w:rStyle w:val="affa"/>
          <w:rFonts w:hint="cs"/>
          <w:rtl/>
        </w:rPr>
        <w:t>השעה"מ</w:t>
      </w:r>
      <w:r>
        <w:rPr>
          <w:rFonts w:hint="cs"/>
          <w:rtl/>
        </w:rPr>
        <w:t xml:space="preserve"> דהביא את קושייית </w:t>
      </w:r>
      <w:r w:rsidRPr="00E714C6">
        <w:rPr>
          <w:rStyle w:val="affa"/>
          <w:rFonts w:hint="cs"/>
          <w:rtl/>
        </w:rPr>
        <w:t>המחנ"א</w:t>
      </w:r>
      <w:r>
        <w:rPr>
          <w:rFonts w:hint="cs"/>
          <w:rtl/>
        </w:rPr>
        <w:t xml:space="preserve"> </w:t>
      </w:r>
      <w:r w:rsidRPr="00631605">
        <w:rPr>
          <w:rStyle w:val="aff6"/>
          <w:rFonts w:hint="cs"/>
          <w:rtl/>
        </w:rPr>
        <w:t xml:space="preserve">(עי' אות </w:t>
      </w:r>
      <w:r w:rsidRPr="00631605">
        <w:rPr>
          <w:rStyle w:val="aff6"/>
          <w:rtl/>
        </w:rPr>
        <w:fldChar w:fldCharType="begin"/>
      </w:r>
      <w:r w:rsidRPr="00631605">
        <w:rPr>
          <w:rStyle w:val="aff6"/>
          <w:rtl/>
        </w:rPr>
        <w:instrText xml:space="preserve"> </w:instrText>
      </w:r>
      <w:r w:rsidRPr="00631605">
        <w:rPr>
          <w:rStyle w:val="aff6"/>
          <w:rFonts w:hint="cs"/>
        </w:rPr>
        <w:instrText>REF</w:instrText>
      </w:r>
      <w:r w:rsidRPr="00631605">
        <w:rPr>
          <w:rStyle w:val="aff6"/>
          <w:rFonts w:hint="cs"/>
          <w:rtl/>
        </w:rPr>
        <w:instrText xml:space="preserve"> _</w:instrText>
      </w:r>
      <w:r w:rsidRPr="00631605">
        <w:rPr>
          <w:rStyle w:val="aff6"/>
          <w:rFonts w:hint="cs"/>
        </w:rPr>
        <w:instrText>Ref531170813 \r \h</w:instrText>
      </w:r>
      <w:r w:rsidRPr="00631605">
        <w:rPr>
          <w:rStyle w:val="aff6"/>
          <w:rtl/>
        </w:rPr>
        <w:instrText xml:space="preserve"> </w:instrText>
      </w:r>
      <w:r w:rsidRPr="00631605">
        <w:rPr>
          <w:rStyle w:val="aff6"/>
          <w:rtl/>
        </w:rPr>
      </w:r>
      <w:r w:rsidRPr="00631605">
        <w:rPr>
          <w:rStyle w:val="aff6"/>
          <w:rtl/>
        </w:rPr>
        <w:fldChar w:fldCharType="separate"/>
      </w:r>
      <w:r>
        <w:rPr>
          <w:rStyle w:val="aff6"/>
          <w:cs/>
        </w:rPr>
        <w:t>‎</w:t>
      </w:r>
      <w:r>
        <w:rPr>
          <w:rStyle w:val="aff6"/>
          <w:rtl/>
        </w:rPr>
        <w:t>נה)</w:t>
      </w:r>
      <w:r w:rsidRPr="00631605">
        <w:rPr>
          <w:rStyle w:val="aff6"/>
          <w:rtl/>
        </w:rPr>
        <w:fldChar w:fldCharType="end"/>
      </w:r>
      <w:r>
        <w:rPr>
          <w:rFonts w:hint="cs"/>
          <w:rtl/>
        </w:rPr>
        <w:t xml:space="preserve"> על דעת </w:t>
      </w:r>
      <w:r w:rsidRPr="00E714C6">
        <w:rPr>
          <w:rStyle w:val="affa"/>
          <w:rFonts w:hint="cs"/>
          <w:rtl/>
        </w:rPr>
        <w:t>הרמב"ן בשם רה"ג</w:t>
      </w:r>
      <w:r>
        <w:rPr>
          <w:rFonts w:hint="cs"/>
          <w:rtl/>
        </w:rPr>
        <w:t xml:space="preserve"> </w:t>
      </w:r>
      <w:r w:rsidRPr="00631605">
        <w:rPr>
          <w:rStyle w:val="aff6"/>
          <w:rFonts w:hint="cs"/>
          <w:rtl/>
        </w:rPr>
        <w:t xml:space="preserve">(עי' אות </w:t>
      </w:r>
      <w:r w:rsidRPr="00631605">
        <w:rPr>
          <w:rStyle w:val="aff6"/>
          <w:rtl/>
        </w:rPr>
        <w:fldChar w:fldCharType="begin"/>
      </w:r>
      <w:r w:rsidRPr="00631605">
        <w:rPr>
          <w:rStyle w:val="aff6"/>
          <w:rtl/>
        </w:rPr>
        <w:instrText xml:space="preserve"> </w:instrText>
      </w:r>
      <w:r w:rsidRPr="00631605">
        <w:rPr>
          <w:rStyle w:val="aff6"/>
          <w:rFonts w:hint="cs"/>
        </w:rPr>
        <w:instrText>REF</w:instrText>
      </w:r>
      <w:r w:rsidRPr="00631605">
        <w:rPr>
          <w:rStyle w:val="aff6"/>
          <w:rFonts w:hint="cs"/>
          <w:rtl/>
        </w:rPr>
        <w:instrText xml:space="preserve"> _</w:instrText>
      </w:r>
      <w:r w:rsidRPr="00631605">
        <w:rPr>
          <w:rStyle w:val="aff6"/>
          <w:rFonts w:hint="cs"/>
        </w:rPr>
        <w:instrText>Ref531170841 \r \h</w:instrText>
      </w:r>
      <w:r w:rsidRPr="00631605">
        <w:rPr>
          <w:rStyle w:val="aff6"/>
          <w:rtl/>
        </w:rPr>
        <w:instrText xml:space="preserve"> </w:instrText>
      </w:r>
      <w:r w:rsidRPr="00631605">
        <w:rPr>
          <w:rStyle w:val="aff6"/>
          <w:rtl/>
        </w:rPr>
      </w:r>
      <w:r w:rsidRPr="00631605">
        <w:rPr>
          <w:rStyle w:val="aff6"/>
          <w:rtl/>
        </w:rPr>
        <w:fldChar w:fldCharType="separate"/>
      </w:r>
      <w:r>
        <w:rPr>
          <w:rStyle w:val="aff6"/>
          <w:cs/>
        </w:rPr>
        <w:t>‎</w:t>
      </w:r>
      <w:r>
        <w:rPr>
          <w:rStyle w:val="aff6"/>
          <w:rtl/>
        </w:rPr>
        <w:t>מג)</w:t>
      </w:r>
      <w:r w:rsidRPr="00631605">
        <w:rPr>
          <w:rStyle w:val="aff6"/>
          <w:rtl/>
        </w:rPr>
        <w:fldChar w:fldCharType="end"/>
      </w:r>
      <w:r>
        <w:rPr>
          <w:rFonts w:hint="cs"/>
          <w:rtl/>
        </w:rPr>
        <w:t xml:space="preserve">, אבל </w:t>
      </w:r>
      <w:r w:rsidRPr="00E714C6">
        <w:rPr>
          <w:rStyle w:val="affa"/>
          <w:rFonts w:hint="cs"/>
          <w:rtl/>
        </w:rPr>
        <w:t>במחנ"א</w:t>
      </w:r>
      <w:r>
        <w:rPr>
          <w:rFonts w:hint="cs"/>
          <w:rtl/>
        </w:rPr>
        <w:t xml:space="preserve"> לפנינו הקשה על דעת </w:t>
      </w:r>
      <w:r w:rsidRPr="00E714C6">
        <w:rPr>
          <w:rStyle w:val="affa"/>
          <w:rFonts w:hint="cs"/>
          <w:rtl/>
        </w:rPr>
        <w:t>התוס' והרא"ש</w:t>
      </w:r>
      <w:r>
        <w:rPr>
          <w:rFonts w:hint="cs"/>
          <w:rtl/>
        </w:rPr>
        <w:t xml:space="preserve">, ומשמע דכוונתו לדברי </w:t>
      </w:r>
      <w:r w:rsidRPr="00E714C6">
        <w:rPr>
          <w:rStyle w:val="affa"/>
          <w:rFonts w:hint="cs"/>
          <w:rtl/>
        </w:rPr>
        <w:t>הרא"ש</w:t>
      </w:r>
      <w:r>
        <w:rPr>
          <w:rFonts w:hint="cs"/>
          <w:rtl/>
        </w:rPr>
        <w:t xml:space="preserve"> בשם </w:t>
      </w:r>
      <w:r w:rsidRPr="00E714C6">
        <w:rPr>
          <w:rStyle w:val="affa"/>
          <w:rFonts w:hint="cs"/>
          <w:rtl/>
        </w:rPr>
        <w:t>ר"ת</w:t>
      </w:r>
      <w:r>
        <w:rPr>
          <w:rFonts w:hint="cs"/>
          <w:rtl/>
        </w:rPr>
        <w:t xml:space="preserve"> </w:t>
      </w:r>
      <w:r w:rsidRPr="00631605">
        <w:rPr>
          <w:rStyle w:val="aff6"/>
          <w:rFonts w:hint="cs"/>
          <w:rtl/>
        </w:rPr>
        <w:t xml:space="preserve">(עי' אות </w:t>
      </w:r>
      <w:r w:rsidRPr="00631605">
        <w:rPr>
          <w:rStyle w:val="aff6"/>
          <w:rtl/>
        </w:rPr>
        <w:fldChar w:fldCharType="begin"/>
      </w:r>
      <w:r w:rsidRPr="00631605">
        <w:rPr>
          <w:rStyle w:val="aff6"/>
          <w:rtl/>
        </w:rPr>
        <w:instrText xml:space="preserve"> </w:instrText>
      </w:r>
      <w:r w:rsidRPr="00631605">
        <w:rPr>
          <w:rStyle w:val="aff6"/>
          <w:rFonts w:hint="cs"/>
        </w:rPr>
        <w:instrText>REF</w:instrText>
      </w:r>
      <w:r w:rsidRPr="00631605">
        <w:rPr>
          <w:rStyle w:val="aff6"/>
          <w:rFonts w:hint="cs"/>
          <w:rtl/>
        </w:rPr>
        <w:instrText xml:space="preserve"> _</w:instrText>
      </w:r>
      <w:r w:rsidRPr="00631605">
        <w:rPr>
          <w:rStyle w:val="aff6"/>
          <w:rFonts w:hint="cs"/>
        </w:rPr>
        <w:instrText>Ref531121179 \r \h</w:instrText>
      </w:r>
      <w:r w:rsidRPr="00631605">
        <w:rPr>
          <w:rStyle w:val="aff6"/>
          <w:rtl/>
        </w:rPr>
        <w:instrText xml:space="preserve"> </w:instrText>
      </w:r>
      <w:r w:rsidRPr="00631605">
        <w:rPr>
          <w:rStyle w:val="aff6"/>
          <w:rtl/>
        </w:rPr>
      </w:r>
      <w:r w:rsidRPr="00631605">
        <w:rPr>
          <w:rStyle w:val="aff6"/>
          <w:rtl/>
        </w:rPr>
        <w:fldChar w:fldCharType="separate"/>
      </w:r>
      <w:r>
        <w:rPr>
          <w:rStyle w:val="aff6"/>
          <w:cs/>
        </w:rPr>
        <w:t>‎</w:t>
      </w:r>
      <w:r>
        <w:rPr>
          <w:rStyle w:val="aff6"/>
          <w:rtl/>
        </w:rPr>
        <w:t>מו)</w:t>
      </w:r>
      <w:r w:rsidRPr="00631605">
        <w:rPr>
          <w:rStyle w:val="aff6"/>
          <w:rtl/>
        </w:rPr>
        <w:fldChar w:fldCharType="end"/>
      </w:r>
      <w:r>
        <w:rPr>
          <w:rFonts w:hint="cs"/>
          <w:rtl/>
        </w:rPr>
        <w:t xml:space="preserve">, דהוא </w:t>
      </w:r>
      <w:r>
        <w:rPr>
          <w:rStyle w:val="affa"/>
          <w:rFonts w:hint="cs"/>
          <w:rtl/>
        </w:rPr>
        <w:t>ב</w:t>
      </w:r>
      <w:r w:rsidRPr="00E714C6">
        <w:rPr>
          <w:rStyle w:val="affa"/>
          <w:rFonts w:hint="cs"/>
          <w:rtl/>
        </w:rPr>
        <w:t>תוס' בבכורות</w:t>
      </w:r>
      <w:r>
        <w:rPr>
          <w:rFonts w:hint="cs"/>
          <w:rtl/>
        </w:rPr>
        <w:t xml:space="preserve">, ומשמע דהבין </w:t>
      </w:r>
      <w:r w:rsidRPr="00E714C6">
        <w:rPr>
          <w:rStyle w:val="affa"/>
          <w:rFonts w:hint="cs"/>
          <w:rtl/>
        </w:rPr>
        <w:t>המחנ"א בתוס' בבכורות</w:t>
      </w:r>
      <w:r>
        <w:rPr>
          <w:rFonts w:hint="cs"/>
          <w:rtl/>
        </w:rPr>
        <w:t xml:space="preserve"> דס"ל דמדאו' אמרינן סמוך מיעוטא לחזקה, ויל"ע.</w:t>
      </w:r>
    </w:p>
  </w:footnote>
  <w:footnote w:id="83">
    <w:p w14:paraId="6E3F0C2D" w14:textId="77777777" w:rsidR="00345400" w:rsidRDefault="00345400" w:rsidP="005E1F6B">
      <w:pPr>
        <w:pStyle w:val="af"/>
        <w:rPr>
          <w:rtl/>
        </w:rPr>
      </w:pPr>
      <w:r>
        <w:rPr>
          <w:rStyle w:val="af1"/>
        </w:rPr>
        <w:footnoteRef/>
      </w:r>
      <w:r>
        <w:rPr>
          <w:rtl/>
        </w:rPr>
        <w:t xml:space="preserve"> </w:t>
      </w:r>
      <w:r w:rsidRPr="0077080B">
        <w:rPr>
          <w:rStyle w:val="affa"/>
          <w:rtl/>
        </w:rPr>
        <w:t>והגרעק"א</w:t>
      </w:r>
      <w:r>
        <w:rPr>
          <w:rtl/>
        </w:rPr>
        <w:t xml:space="preserve"> </w:t>
      </w:r>
      <w:r w:rsidRPr="0077080B">
        <w:rPr>
          <w:rStyle w:val="aff6"/>
          <w:rtl/>
        </w:rPr>
        <w:t>(יא: ד"ה רב אשי</w:t>
      </w:r>
      <w:r>
        <w:rPr>
          <w:rStyle w:val="aff6"/>
          <w:rFonts w:hint="cs"/>
          <w:rtl/>
        </w:rPr>
        <w:t>, שו"ת מהדו"ת ק"ג</w:t>
      </w:r>
      <w:r w:rsidRPr="0077080B">
        <w:rPr>
          <w:rStyle w:val="aff6"/>
          <w:rtl/>
        </w:rPr>
        <w:t>)</w:t>
      </w:r>
      <w:r>
        <w:rPr>
          <w:rtl/>
        </w:rPr>
        <w:t xml:space="preserve"> כתב דאפש"ל דרב אשי ס"ל כתירוץ הראשון בגמ' ביבמות </w:t>
      </w:r>
      <w:r w:rsidRPr="0077080B">
        <w:rPr>
          <w:rStyle w:val="aff6"/>
          <w:rtl/>
        </w:rPr>
        <w:t>(קי</w:t>
      </w:r>
      <w:r>
        <w:rPr>
          <w:rStyle w:val="aff6"/>
          <w:rFonts w:hint="cs"/>
          <w:rtl/>
        </w:rPr>
        <w:t>ט</w:t>
      </w:r>
      <w:r w:rsidRPr="0077080B">
        <w:rPr>
          <w:rStyle w:val="aff6"/>
          <w:rtl/>
        </w:rPr>
        <w:t>.)</w:t>
      </w:r>
      <w:r>
        <w:rPr>
          <w:rtl/>
        </w:rPr>
        <w:t xml:space="preserve"> דאף לר"מ לא אמרינן סמוך מיעוטא לחזקה</w:t>
      </w:r>
      <w:r>
        <w:rPr>
          <w:rFonts w:hint="cs"/>
          <w:rtl/>
        </w:rPr>
        <w:t xml:space="preserve">, עיי"ש במה שביאר </w:t>
      </w:r>
      <w:r w:rsidRPr="00181482">
        <w:rPr>
          <w:rStyle w:val="affa"/>
          <w:rFonts w:hint="cs"/>
          <w:rtl/>
        </w:rPr>
        <w:t>הגרעק"א</w:t>
      </w:r>
      <w:r>
        <w:rPr>
          <w:rFonts w:hint="cs"/>
          <w:rtl/>
        </w:rPr>
        <w:t xml:space="preserve"> </w:t>
      </w:r>
      <w:r w:rsidRPr="00181482">
        <w:rPr>
          <w:rStyle w:val="aff6"/>
          <w:rFonts w:hint="cs"/>
          <w:rtl/>
        </w:rPr>
        <w:t>(יא: אות א')</w:t>
      </w:r>
      <w:r>
        <w:rPr>
          <w:rtl/>
        </w:rPr>
        <w:t>.</w:t>
      </w:r>
    </w:p>
    <w:p w14:paraId="03C311F0" w14:textId="77777777" w:rsidR="00345400" w:rsidRDefault="00345400" w:rsidP="005E1F6B">
      <w:pPr>
        <w:pStyle w:val="af"/>
        <w:rPr>
          <w:rtl/>
        </w:rPr>
      </w:pPr>
      <w:r>
        <w:rPr>
          <w:rFonts w:hint="cs"/>
          <w:rtl/>
        </w:rPr>
        <w:t>ועו"</w:t>
      </w:r>
      <w:r>
        <w:rPr>
          <w:rtl/>
        </w:rPr>
        <w:t xml:space="preserve">כ </w:t>
      </w:r>
      <w:r w:rsidRPr="0077080B">
        <w:rPr>
          <w:rStyle w:val="affa"/>
          <w:rtl/>
        </w:rPr>
        <w:t>הגרעק"א</w:t>
      </w:r>
      <w:r>
        <w:rPr>
          <w:rtl/>
        </w:rPr>
        <w:t xml:space="preserve"> </w:t>
      </w:r>
      <w:r w:rsidRPr="0077080B">
        <w:rPr>
          <w:rStyle w:val="aff6"/>
          <w:rtl/>
        </w:rPr>
        <w:t>(יא: ד"ה רב אשי</w:t>
      </w:r>
      <w:r>
        <w:rPr>
          <w:rStyle w:val="aff6"/>
          <w:rFonts w:hint="cs"/>
          <w:rtl/>
        </w:rPr>
        <w:t>, שו"ת מהדו"ת ק"ג</w:t>
      </w:r>
      <w:r w:rsidRPr="0077080B">
        <w:rPr>
          <w:rStyle w:val="aff6"/>
          <w:rtl/>
        </w:rPr>
        <w:t>)</w:t>
      </w:r>
      <w:r>
        <w:rPr>
          <w:rtl/>
        </w:rPr>
        <w:t xml:space="preserve"> ד</w:t>
      </w:r>
      <w:r>
        <w:rPr>
          <w:rFonts w:hint="cs"/>
          <w:rtl/>
        </w:rPr>
        <w:t xml:space="preserve">את </w:t>
      </w:r>
      <w:r>
        <w:rPr>
          <w:rtl/>
        </w:rPr>
        <w:t xml:space="preserve">עיקר קושית </w:t>
      </w:r>
      <w:r w:rsidRPr="0077080B">
        <w:rPr>
          <w:rStyle w:val="affa"/>
          <w:rtl/>
        </w:rPr>
        <w:t>הרשב"א במשה"ב</w:t>
      </w:r>
      <w:r>
        <w:rPr>
          <w:rtl/>
        </w:rPr>
        <w:t xml:space="preserve"> אפשר ליישב, דאי לר"מ חיישינן למיעוטא מדאו', א"כ אף לדעת רב אשי אפש"ל דבדרבנן יש חילוק בין אפשר ללא אפשר, והא דמבואר ברב אשי דאין חילוק בין אפשר לא אפשר היינו מדאו', ולכן הוכיח רב אשי משחיטה עצמה שהוא מדאו', דאזלינן בתר רובא, וא"א להקשות דנימא סמוך מיעוטא לחזקה, דכיון דדינא דסמוך מיעוטא לחזקה, הוא רק דרבנן, א"כ בדרבנן אפשר לחלק בין אפשר ללא אפשר, דהיכא דא"א לא החמירו רבנן, ולכן מקשה הגמ' דר"מ שחייש למיעוטא מדאו', היאך אכיל בישרא, ומוכח דאף בדאו' יש חילוק בין אפשר ללא אפשר.</w:t>
      </w:r>
    </w:p>
    <w:p w14:paraId="6D93D3C4" w14:textId="77777777" w:rsidR="00345400" w:rsidRDefault="00345400" w:rsidP="005E1F6B">
      <w:pPr>
        <w:pStyle w:val="af"/>
        <w:rPr>
          <w:rtl/>
        </w:rPr>
      </w:pPr>
      <w:r>
        <w:rPr>
          <w:rFonts w:hint="cs"/>
          <w:rtl/>
        </w:rPr>
        <w:t xml:space="preserve">והוסיף </w:t>
      </w:r>
      <w:r w:rsidRPr="006D316C">
        <w:rPr>
          <w:rStyle w:val="affa"/>
          <w:rFonts w:hint="cs"/>
          <w:rtl/>
        </w:rPr>
        <w:t>הגרעק"א</w:t>
      </w:r>
      <w:r>
        <w:rPr>
          <w:rFonts w:hint="cs"/>
          <w:rtl/>
        </w:rPr>
        <w:t xml:space="preserve"> </w:t>
      </w:r>
      <w:r w:rsidRPr="00181482">
        <w:rPr>
          <w:rStyle w:val="aff6"/>
          <w:rFonts w:hint="cs"/>
          <w:rtl/>
        </w:rPr>
        <w:t>(יא: אות א' ד"ה גם י"ל</w:t>
      </w:r>
      <w:r>
        <w:rPr>
          <w:rStyle w:val="aff6"/>
          <w:rFonts w:hint="cs"/>
          <w:rtl/>
        </w:rPr>
        <w:t>, שו"ת מהדו"ת ק"ג</w:t>
      </w:r>
      <w:r w:rsidRPr="00181482">
        <w:rPr>
          <w:rStyle w:val="aff6"/>
          <w:rFonts w:hint="cs"/>
          <w:rtl/>
        </w:rPr>
        <w:t>)</w:t>
      </w:r>
      <w:r>
        <w:rPr>
          <w:rFonts w:hint="cs"/>
          <w:rtl/>
        </w:rPr>
        <w:t xml:space="preserve"> דאף אי נימא כדעת </w:t>
      </w:r>
      <w:r w:rsidRPr="006D316C">
        <w:rPr>
          <w:rStyle w:val="affa"/>
          <w:rFonts w:hint="cs"/>
          <w:rtl/>
        </w:rPr>
        <w:t>התוס'</w:t>
      </w:r>
      <w:r>
        <w:rPr>
          <w:rFonts w:hint="cs"/>
          <w:rtl/>
        </w:rPr>
        <w:t xml:space="preserve"> </w:t>
      </w:r>
      <w:r w:rsidRPr="00181482">
        <w:rPr>
          <w:rStyle w:val="aff6"/>
          <w:rFonts w:hint="cs"/>
          <w:rtl/>
        </w:rPr>
        <w:t xml:space="preserve">(עי' אות </w:t>
      </w:r>
      <w:r w:rsidRPr="00181482">
        <w:rPr>
          <w:rStyle w:val="aff6"/>
          <w:rtl/>
        </w:rPr>
        <w:fldChar w:fldCharType="begin"/>
      </w:r>
      <w:r w:rsidRPr="00181482">
        <w:rPr>
          <w:rStyle w:val="aff6"/>
          <w:rtl/>
        </w:rPr>
        <w:instrText xml:space="preserve"> </w:instrText>
      </w:r>
      <w:r w:rsidRPr="00181482">
        <w:rPr>
          <w:rStyle w:val="aff6"/>
          <w:rFonts w:hint="cs"/>
        </w:rPr>
        <w:instrText>REF</w:instrText>
      </w:r>
      <w:r w:rsidRPr="00181482">
        <w:rPr>
          <w:rStyle w:val="aff6"/>
          <w:rFonts w:hint="cs"/>
          <w:rtl/>
        </w:rPr>
        <w:instrText xml:space="preserve"> _</w:instrText>
      </w:r>
      <w:r w:rsidRPr="00181482">
        <w:rPr>
          <w:rStyle w:val="aff6"/>
          <w:rFonts w:hint="cs"/>
        </w:rPr>
        <w:instrText>Ref530936362 \r \h</w:instrText>
      </w:r>
      <w:r w:rsidRPr="00181482">
        <w:rPr>
          <w:rStyle w:val="aff6"/>
          <w:rtl/>
        </w:rPr>
        <w:instrText xml:space="preserve"> </w:instrText>
      </w:r>
      <w:r w:rsidRPr="00181482">
        <w:rPr>
          <w:rStyle w:val="aff6"/>
          <w:rtl/>
        </w:rPr>
      </w:r>
      <w:r w:rsidRPr="00181482">
        <w:rPr>
          <w:rStyle w:val="aff6"/>
          <w:rtl/>
        </w:rPr>
        <w:fldChar w:fldCharType="separate"/>
      </w:r>
      <w:r>
        <w:rPr>
          <w:rStyle w:val="aff6"/>
          <w:cs/>
        </w:rPr>
        <w:t>‎</w:t>
      </w:r>
      <w:r>
        <w:rPr>
          <w:rStyle w:val="aff6"/>
          <w:rtl/>
        </w:rPr>
        <w:t>ב)</w:t>
      </w:r>
      <w:r w:rsidRPr="00181482">
        <w:rPr>
          <w:rStyle w:val="aff6"/>
          <w:rtl/>
        </w:rPr>
        <w:fldChar w:fldCharType="end"/>
      </w:r>
      <w:r>
        <w:rPr>
          <w:rFonts w:hint="cs"/>
          <w:rtl/>
        </w:rPr>
        <w:t xml:space="preserve"> דר"מ חייש למיעוטא רק מדרבנן, מ"מ במקום שהמיעוט מסייע לחזקה, ס"ל לר"מ דמדאו' חיישינן למיעוטא.</w:t>
      </w:r>
    </w:p>
    <w:p w14:paraId="5B2FED27" w14:textId="77777777" w:rsidR="00345400" w:rsidRDefault="00345400" w:rsidP="005E1F6B">
      <w:pPr>
        <w:pStyle w:val="af"/>
      </w:pPr>
      <w:r>
        <w:rPr>
          <w:rFonts w:hint="cs"/>
          <w:rtl/>
        </w:rPr>
        <w:t xml:space="preserve">וכתב </w:t>
      </w:r>
      <w:r w:rsidRPr="006D316C">
        <w:rPr>
          <w:rStyle w:val="affa"/>
          <w:rFonts w:hint="cs"/>
          <w:rtl/>
        </w:rPr>
        <w:t>הגרעק"א</w:t>
      </w:r>
      <w:r>
        <w:rPr>
          <w:rFonts w:hint="cs"/>
          <w:rtl/>
        </w:rPr>
        <w:t xml:space="preserve"> דכן מוכח בגמ' בקידושין </w:t>
      </w:r>
      <w:r w:rsidRPr="00181482">
        <w:rPr>
          <w:rStyle w:val="aff6"/>
          <w:rFonts w:hint="cs"/>
          <w:rtl/>
        </w:rPr>
        <w:t>(פ.)</w:t>
      </w:r>
      <w:r>
        <w:rPr>
          <w:rFonts w:hint="cs"/>
          <w:rtl/>
        </w:rPr>
        <w:t xml:space="preserve"> דאמר ר"מ דבתינוק שנמצא בצד העיסה אמרינן סמוך מיעוטא לחזקה, והו"ל כפלגא ופלגא וטהור, וביאר </w:t>
      </w:r>
      <w:r w:rsidRPr="006D316C">
        <w:rPr>
          <w:rStyle w:val="affa"/>
          <w:rFonts w:hint="cs"/>
          <w:rtl/>
        </w:rPr>
        <w:t>הגרעק"א</w:t>
      </w:r>
      <w:r>
        <w:rPr>
          <w:rFonts w:hint="cs"/>
          <w:rtl/>
        </w:rPr>
        <w:t xml:space="preserve"> דלכן מקשה הגמ' היאך אכיל בישרא כשיש מיעוט טריפות והבהמה בחזקת איסור, דאף מדאו' אמרינן סמוך מיעוטא לחזקה, ומדאו' חיישינן בזה למיעוטא לר"מ.</w:t>
      </w:r>
    </w:p>
  </w:footnote>
  <w:footnote w:id="84">
    <w:p w14:paraId="58A9E12F" w14:textId="77777777" w:rsidR="00345400" w:rsidRDefault="00345400" w:rsidP="005E1F6B">
      <w:pPr>
        <w:pStyle w:val="af"/>
        <w:rPr>
          <w:rStyle w:val="afb"/>
          <w:rtl/>
        </w:rPr>
      </w:pPr>
      <w:r>
        <w:rPr>
          <w:rStyle w:val="af1"/>
        </w:rPr>
        <w:footnoteRef/>
      </w:r>
      <w:r>
        <w:rPr>
          <w:rtl/>
        </w:rPr>
        <w:t xml:space="preserve"> </w:t>
      </w:r>
      <w:r w:rsidRPr="00E72DA2">
        <w:rPr>
          <w:rStyle w:val="afb"/>
          <w:rFonts w:hint="cs"/>
          <w:rtl/>
        </w:rPr>
        <w:t xml:space="preserve">וכתב </w:t>
      </w:r>
      <w:r w:rsidRPr="00001B54">
        <w:rPr>
          <w:rStyle w:val="affa"/>
          <w:rFonts w:hint="cs"/>
          <w:rtl/>
        </w:rPr>
        <w:t>החוו"ד</w:t>
      </w:r>
      <w:r w:rsidRPr="00E72DA2">
        <w:rPr>
          <w:rStyle w:val="afb"/>
          <w:rFonts w:hint="cs"/>
          <w:rtl/>
        </w:rPr>
        <w:t xml:space="preserve"> דכן מבואר </w:t>
      </w:r>
      <w:r w:rsidRPr="004E08D4">
        <w:rPr>
          <w:rStyle w:val="affa"/>
          <w:rFonts w:hint="cs"/>
          <w:rtl/>
        </w:rPr>
        <w:t>ברא"ש לקמן</w:t>
      </w:r>
      <w:r w:rsidRPr="00E72DA2">
        <w:rPr>
          <w:rStyle w:val="afb"/>
          <w:rFonts w:hint="cs"/>
          <w:rtl/>
        </w:rPr>
        <w:t xml:space="preserve"> </w:t>
      </w:r>
      <w:r w:rsidRPr="00001B54">
        <w:rPr>
          <w:rStyle w:val="aff6"/>
          <w:rFonts w:hint="cs"/>
          <w:rtl/>
        </w:rPr>
        <w:t xml:space="preserve">(סי' ט"ז) </w:t>
      </w:r>
      <w:r w:rsidRPr="00E72DA2">
        <w:rPr>
          <w:rStyle w:val="afb"/>
          <w:rFonts w:hint="cs"/>
          <w:rtl/>
        </w:rPr>
        <w:t>דכתב דמיעוט שחוטין שאינם מומחין אינו שכיח, ולכן א"א לצרפו לחזקתו אינו זבוח, ואפילו ר"מ מודה דלא חיישינן למיעוט זה שאינו שכיח וא"א לצרפו.</w:t>
      </w:r>
    </w:p>
    <w:p w14:paraId="0830B71F" w14:textId="77777777" w:rsidR="00345400" w:rsidRDefault="00345400" w:rsidP="005E1F6B">
      <w:pPr>
        <w:pStyle w:val="af"/>
        <w:rPr>
          <w:rtl/>
        </w:rPr>
      </w:pPr>
      <w:r w:rsidRPr="00E72DA2">
        <w:rPr>
          <w:rStyle w:val="afb"/>
          <w:rFonts w:hint="cs"/>
          <w:rtl/>
        </w:rPr>
        <w:t xml:space="preserve">והקשה </w:t>
      </w:r>
      <w:r w:rsidRPr="00001B54">
        <w:rPr>
          <w:rStyle w:val="affa"/>
          <w:rFonts w:hint="cs"/>
          <w:rtl/>
        </w:rPr>
        <w:t>החוו"ד</w:t>
      </w:r>
      <w:r w:rsidRPr="00E72DA2">
        <w:rPr>
          <w:rStyle w:val="afb"/>
          <w:rFonts w:hint="cs"/>
          <w:rtl/>
        </w:rPr>
        <w:t xml:space="preserve"> על </w:t>
      </w:r>
      <w:r w:rsidRPr="00001B54">
        <w:rPr>
          <w:rStyle w:val="affa"/>
          <w:rFonts w:hint="cs"/>
          <w:rtl/>
        </w:rPr>
        <w:t>הרא"ש</w:t>
      </w:r>
      <w:r w:rsidRPr="00E72DA2">
        <w:rPr>
          <w:rStyle w:val="afb"/>
          <w:rFonts w:hint="cs"/>
          <w:rtl/>
        </w:rPr>
        <w:t xml:space="preserve"> דא"כ ברוב טבחי ישראל ומיעוט טבחי עכו"ם נצרף את המיעוט לחזקת אינו זבוח, וכתב </w:t>
      </w:r>
      <w:r w:rsidRPr="00001B54">
        <w:rPr>
          <w:rStyle w:val="affa"/>
          <w:rFonts w:hint="cs"/>
          <w:rtl/>
        </w:rPr>
        <w:t>החוו"ד</w:t>
      </w:r>
      <w:r w:rsidRPr="00E72DA2">
        <w:rPr>
          <w:rStyle w:val="afb"/>
          <w:rFonts w:hint="cs"/>
          <w:rtl/>
        </w:rPr>
        <w:t xml:space="preserve"> דמוכח דברובא דאיתא קמן א"א לצרף את המיעוט, ולכן ברוב טבחי ישראל דהוא רובא דאיתא קמן המיעוט הוא כמאן דליתא</w:t>
      </w:r>
      <w:r>
        <w:rPr>
          <w:rStyle w:val="afb"/>
          <w:rFonts w:hint="cs"/>
          <w:rtl/>
        </w:rPr>
        <w:t>.</w:t>
      </w:r>
    </w:p>
  </w:footnote>
  <w:footnote w:id="85">
    <w:p w14:paraId="4FEDDB14" w14:textId="77777777" w:rsidR="00345400" w:rsidRDefault="00345400" w:rsidP="005E1F6B">
      <w:pPr>
        <w:pStyle w:val="af"/>
        <w:rPr>
          <w:rtl/>
        </w:rPr>
      </w:pPr>
      <w:r>
        <w:rPr>
          <w:rStyle w:val="af1"/>
        </w:rPr>
        <w:footnoteRef/>
      </w:r>
      <w:r>
        <w:rPr>
          <w:rtl/>
        </w:rPr>
        <w:t xml:space="preserve"> </w:t>
      </w:r>
      <w:r>
        <w:rPr>
          <w:rFonts w:hint="cs"/>
          <w:rtl/>
        </w:rPr>
        <w:t xml:space="preserve">וע"ע בדברי </w:t>
      </w:r>
      <w:r>
        <w:rPr>
          <w:rStyle w:val="affa"/>
          <w:rFonts w:hint="cs"/>
          <w:rtl/>
        </w:rPr>
        <w:t>ה</w:t>
      </w:r>
      <w:r w:rsidRPr="00473E40">
        <w:rPr>
          <w:rStyle w:val="affa"/>
          <w:rtl/>
        </w:rPr>
        <w:t>ריטב"א בקידושין</w:t>
      </w:r>
      <w:r w:rsidRPr="00FC21FB">
        <w:rPr>
          <w:rtl/>
        </w:rPr>
        <w:t xml:space="preserve"> </w:t>
      </w:r>
      <w:r w:rsidRPr="00473E40">
        <w:rPr>
          <w:rStyle w:val="aff6"/>
          <w:rtl/>
        </w:rPr>
        <w:t>(נ: ד"ה א"ר פפא)</w:t>
      </w:r>
      <w:r w:rsidRPr="00FC21FB">
        <w:rPr>
          <w:rtl/>
        </w:rPr>
        <w:t xml:space="preserve"> </w:t>
      </w:r>
      <w:r>
        <w:rPr>
          <w:rFonts w:hint="cs"/>
          <w:rtl/>
        </w:rPr>
        <w:t xml:space="preserve">דכתב </w:t>
      </w:r>
      <w:r w:rsidRPr="00FC21FB">
        <w:rPr>
          <w:rtl/>
        </w:rPr>
        <w:t>דרוב קטנים אינם סריסים, וכן רוב מעוברות יולדות, הם רוב בטבע שאינו תלוי ברצון, ואף לחומרא לא חיישינן למיעוט. אבל רוב שתלוי במנהג שאי"ז חיוב, כרוב מקדשין ואח"כ שולחין סבלונות, ומיעוט שולחין סבלונות ואח"כ מקדשין, אף לרבנן חיישינן למיעוט לחומרא, שמא שלח סבלונות, דכיון שהוא שתלוי בדעת האדם, ואדם שרוצה יכול לנהוג כמיעוט, אף לרבנן חיישינן לחומרא שמא נהג כמיעוט</w:t>
      </w:r>
      <w:r>
        <w:rPr>
          <w:rFonts w:hint="cs"/>
          <w:rtl/>
        </w:rPr>
        <w:t xml:space="preserve">, וע"ע </w:t>
      </w:r>
      <w:r>
        <w:rPr>
          <w:rStyle w:val="affa"/>
          <w:rFonts w:hint="cs"/>
          <w:rtl/>
        </w:rPr>
        <w:t>ב</w:t>
      </w:r>
      <w:r w:rsidRPr="002D6EF8">
        <w:rPr>
          <w:rStyle w:val="affa"/>
          <w:rtl/>
        </w:rPr>
        <w:t>רמב"ן במלחמות בקידושין</w:t>
      </w:r>
      <w:r w:rsidRPr="007676EC">
        <w:rPr>
          <w:rtl/>
        </w:rPr>
        <w:t xml:space="preserve"> </w:t>
      </w:r>
      <w:r w:rsidRPr="002D6EF8">
        <w:rPr>
          <w:rStyle w:val="aff6"/>
          <w:rtl/>
        </w:rPr>
        <w:t xml:space="preserve">(דף </w:t>
      </w:r>
      <w:r w:rsidRPr="002D6EF8">
        <w:rPr>
          <w:rStyle w:val="aff6"/>
          <w:rFonts w:hint="cs"/>
          <w:rtl/>
        </w:rPr>
        <w:t>כא:</w:t>
      </w:r>
      <w:r w:rsidRPr="002D6EF8">
        <w:rPr>
          <w:rStyle w:val="aff6"/>
          <w:rtl/>
        </w:rPr>
        <w:t xml:space="preserve"> מדפי הרי"ף)</w:t>
      </w:r>
      <w:r w:rsidRPr="007676EC">
        <w:rPr>
          <w:rtl/>
        </w:rPr>
        <w:t>.</w:t>
      </w:r>
    </w:p>
  </w:footnote>
  <w:footnote w:id="86">
    <w:p w14:paraId="72FA7EA8" w14:textId="77777777" w:rsidR="00345400" w:rsidRDefault="00345400" w:rsidP="003D04E6">
      <w:pPr>
        <w:pStyle w:val="af"/>
        <w:rPr>
          <w:rtl/>
        </w:rPr>
      </w:pPr>
      <w:r>
        <w:rPr>
          <w:rStyle w:val="af1"/>
        </w:rPr>
        <w:footnoteRef/>
      </w:r>
      <w:r>
        <w:rPr>
          <w:rtl/>
        </w:rPr>
        <w:t xml:space="preserve"> </w:t>
      </w:r>
      <w:r>
        <w:rPr>
          <w:rFonts w:hint="cs"/>
          <w:rtl/>
        </w:rPr>
        <w:t xml:space="preserve">ועי' </w:t>
      </w:r>
      <w:r w:rsidRPr="005C31A1">
        <w:rPr>
          <w:rStyle w:val="affa"/>
          <w:rFonts w:hint="cs"/>
          <w:rtl/>
        </w:rPr>
        <w:t>בתבו"ש</w:t>
      </w:r>
      <w:r>
        <w:rPr>
          <w:rFonts w:hint="cs"/>
          <w:rtl/>
        </w:rPr>
        <w:t xml:space="preserve"> </w:t>
      </w:r>
      <w:r w:rsidRPr="005C31A1">
        <w:rPr>
          <w:rStyle w:val="aff6"/>
          <w:rFonts w:hint="cs"/>
          <w:rtl/>
        </w:rPr>
        <w:t>(סי' כ"</w:t>
      </w:r>
      <w:r>
        <w:rPr>
          <w:rStyle w:val="aff6"/>
          <w:rFonts w:hint="cs"/>
          <w:rtl/>
        </w:rPr>
        <w:t>א</w:t>
      </w:r>
      <w:r w:rsidRPr="005C31A1">
        <w:rPr>
          <w:rStyle w:val="aff6"/>
          <w:rFonts w:hint="cs"/>
          <w:rtl/>
        </w:rPr>
        <w:t xml:space="preserve"> ס"ק </w:t>
      </w:r>
      <w:r>
        <w:rPr>
          <w:rStyle w:val="aff6"/>
          <w:rFonts w:hint="cs"/>
          <w:rtl/>
        </w:rPr>
        <w:t>ג</w:t>
      </w:r>
      <w:r w:rsidRPr="005C31A1">
        <w:rPr>
          <w:rStyle w:val="aff6"/>
          <w:rFonts w:hint="cs"/>
          <w:rtl/>
        </w:rPr>
        <w:t>')</w:t>
      </w:r>
      <w:r>
        <w:rPr>
          <w:rFonts w:hint="cs"/>
          <w:rtl/>
        </w:rPr>
        <w:t xml:space="preserve"> דהוכיח מדברי </w:t>
      </w:r>
      <w:r w:rsidRPr="005C31A1">
        <w:rPr>
          <w:rStyle w:val="affa"/>
          <w:rFonts w:hint="cs"/>
          <w:rtl/>
        </w:rPr>
        <w:t>רבינו ירוחם והרשב"א</w:t>
      </w:r>
      <w:r>
        <w:rPr>
          <w:rFonts w:hint="cs"/>
          <w:rtl/>
        </w:rPr>
        <w:t>, דאף דלענין טריפות אם נפסק רוב החלל היא טריפה אף שלא נפסק רוב העובי היינו לחומרא, אבל בשחיטה צריך לשחוט גם את רוב החלל וגם את רוב העובי, אלא דממילא כששוחט את רוב החלל ודאי ששחט את רוב העובי, והנ"מ היא רק אם התהפך הסימן.</w:t>
      </w:r>
    </w:p>
  </w:footnote>
  <w:footnote w:id="87">
    <w:p w14:paraId="0ED9DE8F" w14:textId="77777777" w:rsidR="00345400" w:rsidRPr="00AC072F" w:rsidRDefault="00345400" w:rsidP="00D53B7D">
      <w:pPr>
        <w:pStyle w:val="af"/>
        <w:rPr>
          <w:rStyle w:val="afb"/>
        </w:rPr>
      </w:pPr>
      <w:r>
        <w:rPr>
          <w:rStyle w:val="af1"/>
        </w:rPr>
        <w:footnoteRef/>
      </w:r>
      <w:r>
        <w:rPr>
          <w:rtl/>
        </w:rPr>
        <w:t xml:space="preserve"> </w:t>
      </w:r>
      <w:r w:rsidRPr="00AC072F">
        <w:rPr>
          <w:rStyle w:val="afb"/>
          <w:rFonts w:hint="cs"/>
          <w:rtl/>
        </w:rPr>
        <w:t xml:space="preserve">ויעוי' בדברי </w:t>
      </w:r>
      <w:r w:rsidRPr="0084258D">
        <w:rPr>
          <w:rStyle w:val="affa"/>
          <w:rFonts w:hint="cs"/>
          <w:rtl/>
        </w:rPr>
        <w:t>הרמב"ן במלחמות לקמן</w:t>
      </w:r>
      <w:r w:rsidRPr="00AC072F">
        <w:rPr>
          <w:rStyle w:val="afb"/>
          <w:rFonts w:hint="cs"/>
          <w:rtl/>
        </w:rPr>
        <w:t xml:space="preserve"> </w:t>
      </w:r>
      <w:r w:rsidRPr="0084258D">
        <w:rPr>
          <w:rStyle w:val="aff6"/>
          <w:rFonts w:hint="cs"/>
          <w:rtl/>
        </w:rPr>
        <w:t>(מו: מדפי הרי"ף)</w:t>
      </w:r>
      <w:r w:rsidRPr="00AC072F">
        <w:rPr>
          <w:rStyle w:val="afb"/>
          <w:rFonts w:hint="cs"/>
          <w:rtl/>
        </w:rPr>
        <w:t xml:space="preserve"> ד</w:t>
      </w:r>
      <w:r>
        <w:rPr>
          <w:rStyle w:val="afb"/>
          <w:rFonts w:hint="cs"/>
          <w:rtl/>
        </w:rPr>
        <w:t xml:space="preserve">כתב דלרחב"א </w:t>
      </w:r>
      <w:r w:rsidRPr="00AC072F">
        <w:rPr>
          <w:rStyle w:val="afb"/>
          <w:rFonts w:hint="cs"/>
          <w:rtl/>
        </w:rPr>
        <w:t xml:space="preserve">כל הצואר כולו כשר לשחיטה, ולמעלה מהשיפוי כובע אינו נקרא צואר אלא לחי, ורבנן ס"ל דאין כל הצואר כשר לשחיטה, </w:t>
      </w:r>
      <w:r>
        <w:rPr>
          <w:rStyle w:val="afb"/>
          <w:rFonts w:hint="cs"/>
          <w:rtl/>
        </w:rPr>
        <w:t>ומבואר מדבריו דלדברי רחב"א מקום ההגרמה</w:t>
      </w:r>
      <w:r w:rsidRPr="00AC072F">
        <w:rPr>
          <w:rStyle w:val="afb"/>
          <w:rFonts w:hint="cs"/>
          <w:rtl/>
        </w:rPr>
        <w:t xml:space="preserve"> אינו מקום שחיטה</w:t>
      </w:r>
      <w:r>
        <w:rPr>
          <w:rStyle w:val="afb"/>
          <w:rFonts w:hint="cs"/>
          <w:rtl/>
        </w:rPr>
        <w:t>, ולא כתב דהוא תלוי בפלוגתת רב הונא ורב יהודה.</w:t>
      </w:r>
    </w:p>
  </w:footnote>
  <w:footnote w:id="88">
    <w:p w14:paraId="573BBA3D" w14:textId="77777777" w:rsidR="00345400" w:rsidRDefault="00345400" w:rsidP="00D53B7D">
      <w:pPr>
        <w:pStyle w:val="af"/>
      </w:pPr>
      <w:r>
        <w:rPr>
          <w:rStyle w:val="af1"/>
        </w:rPr>
        <w:footnoteRef/>
      </w:r>
      <w:r>
        <w:rPr>
          <w:rtl/>
        </w:rPr>
        <w:t xml:space="preserve"> </w:t>
      </w:r>
      <w:r w:rsidRPr="00CB7984">
        <w:rPr>
          <w:rStyle w:val="afb"/>
          <w:rtl/>
        </w:rPr>
        <w:t xml:space="preserve">וביאר </w:t>
      </w:r>
      <w:r w:rsidRPr="00CB7984">
        <w:rPr>
          <w:rStyle w:val="affa"/>
          <w:rtl/>
        </w:rPr>
        <w:t>הריב"ש</w:t>
      </w:r>
      <w:r w:rsidRPr="00CB7984">
        <w:rPr>
          <w:rStyle w:val="afb"/>
          <w:rtl/>
        </w:rPr>
        <w:t xml:space="preserve"> </w:t>
      </w:r>
      <w:r w:rsidRPr="00CB7984">
        <w:rPr>
          <w:rStyle w:val="aff6"/>
          <w:rtl/>
        </w:rPr>
        <w:t>(סי' קצ"ב)</w:t>
      </w:r>
      <w:r w:rsidRPr="00CB7984">
        <w:rPr>
          <w:rStyle w:val="afb"/>
          <w:rtl/>
        </w:rPr>
        <w:t xml:space="preserve"> דאף שלענין טריפה דנקובת הושט נקב כל שהוא מטריף, אין הכוונה שיוצאת החיות בזה, אלא שהוא מעשה מטריף, ויציאת החיות היא רק ברוב סימן.</w:t>
      </w:r>
    </w:p>
  </w:footnote>
  <w:footnote w:id="89">
    <w:p w14:paraId="29648908" w14:textId="77777777" w:rsidR="00345400" w:rsidRDefault="00345400" w:rsidP="00D53B7D">
      <w:pPr>
        <w:pStyle w:val="af"/>
        <w:rPr>
          <w:rtl/>
        </w:rPr>
      </w:pPr>
      <w:r>
        <w:rPr>
          <w:rStyle w:val="af1"/>
        </w:rPr>
        <w:footnoteRef/>
      </w:r>
      <w:r>
        <w:rPr>
          <w:rtl/>
        </w:rPr>
        <w:t xml:space="preserve"> </w:t>
      </w:r>
      <w:r>
        <w:rPr>
          <w:rFonts w:hint="cs"/>
          <w:rtl/>
        </w:rPr>
        <w:t xml:space="preserve">הועתק בקובץ שיטות קמאי </w:t>
      </w:r>
      <w:r w:rsidRPr="00736A8C">
        <w:rPr>
          <w:rStyle w:val="aff6"/>
          <w:rFonts w:hint="cs"/>
          <w:rtl/>
        </w:rPr>
        <w:t>(חולין ח"א עמ' שפ"ו)</w:t>
      </w:r>
      <w:r>
        <w:rPr>
          <w:rFonts w:hint="cs"/>
          <w:rtl/>
        </w:rPr>
        <w:t>.</w:t>
      </w:r>
    </w:p>
  </w:footnote>
  <w:footnote w:id="90">
    <w:p w14:paraId="10E9CDB4" w14:textId="77777777" w:rsidR="00345400" w:rsidRDefault="00345400" w:rsidP="00436F39">
      <w:pPr>
        <w:pStyle w:val="af"/>
        <w:rPr>
          <w:rtl/>
        </w:rPr>
      </w:pPr>
      <w:r>
        <w:rPr>
          <w:rStyle w:val="af1"/>
        </w:rPr>
        <w:footnoteRef/>
      </w:r>
      <w:r>
        <w:rPr>
          <w:rtl/>
        </w:rPr>
        <w:t xml:space="preserve"> </w:t>
      </w:r>
      <w:r w:rsidRPr="00132B93">
        <w:rPr>
          <w:rStyle w:val="afb"/>
          <w:rFonts w:hint="cs"/>
          <w:rtl/>
        </w:rPr>
        <w:t xml:space="preserve">הועתק בקובץ שיטות קמאי </w:t>
      </w:r>
      <w:r w:rsidRPr="00132B93">
        <w:rPr>
          <w:rStyle w:val="aff6"/>
          <w:rFonts w:hint="cs"/>
          <w:rtl/>
        </w:rPr>
        <w:t>(חולין ח"א עמ' תק"</w:t>
      </w:r>
      <w:r>
        <w:rPr>
          <w:rStyle w:val="aff6"/>
          <w:rFonts w:hint="cs"/>
          <w:rtl/>
        </w:rPr>
        <w:t>ס</w:t>
      </w:r>
      <w:r w:rsidRPr="00132B93">
        <w:rPr>
          <w:rStyle w:val="aff6"/>
          <w:rFonts w:hint="cs"/>
          <w:rtl/>
        </w:rPr>
        <w:t>)</w:t>
      </w:r>
      <w:r w:rsidRPr="00132B93">
        <w:rPr>
          <w:rStyle w:val="afb"/>
          <w:rFonts w:hint="cs"/>
          <w:rtl/>
        </w:rPr>
        <w:t>.</w:t>
      </w:r>
    </w:p>
  </w:footnote>
  <w:footnote w:id="91">
    <w:p w14:paraId="7485250A" w14:textId="77777777" w:rsidR="00345400" w:rsidRDefault="00345400" w:rsidP="00436F39">
      <w:pPr>
        <w:pStyle w:val="af"/>
        <w:rPr>
          <w:rtl/>
        </w:rPr>
      </w:pPr>
      <w:r>
        <w:rPr>
          <w:rStyle w:val="af1"/>
        </w:rPr>
        <w:footnoteRef/>
      </w:r>
      <w:r>
        <w:rPr>
          <w:rtl/>
        </w:rPr>
        <w:t xml:space="preserve"> </w:t>
      </w:r>
      <w:r w:rsidRPr="00132B93">
        <w:rPr>
          <w:rStyle w:val="afb"/>
          <w:rFonts w:hint="cs"/>
          <w:rtl/>
        </w:rPr>
        <w:t xml:space="preserve">הועתק בקובץ שיטות קמאי </w:t>
      </w:r>
      <w:r w:rsidRPr="00132B93">
        <w:rPr>
          <w:rStyle w:val="aff6"/>
          <w:rFonts w:hint="cs"/>
          <w:rtl/>
        </w:rPr>
        <w:t>(חולין ח"א עמ' תק"פ)</w:t>
      </w:r>
      <w:r w:rsidRPr="00132B93">
        <w:rPr>
          <w:rStyle w:val="afb"/>
          <w:rFonts w:hint="cs"/>
          <w:rtl/>
        </w:rPr>
        <w:t>.</w:t>
      </w:r>
    </w:p>
  </w:footnote>
  <w:footnote w:id="92">
    <w:p w14:paraId="32EAE8BE" w14:textId="77777777" w:rsidR="00345400" w:rsidRDefault="00345400" w:rsidP="00436F39">
      <w:pPr>
        <w:pStyle w:val="af"/>
        <w:rPr>
          <w:rtl/>
        </w:rPr>
      </w:pPr>
      <w:r>
        <w:rPr>
          <w:rStyle w:val="af1"/>
        </w:rPr>
        <w:footnoteRef/>
      </w:r>
      <w:r>
        <w:rPr>
          <w:rtl/>
        </w:rPr>
        <w:t xml:space="preserve"> </w:t>
      </w:r>
      <w:r>
        <w:rPr>
          <w:rFonts w:hint="cs"/>
          <w:rtl/>
        </w:rPr>
        <w:t xml:space="preserve">הועתק בקובץ שיטות קמאי </w:t>
      </w:r>
      <w:r w:rsidRPr="00EE4AE7">
        <w:rPr>
          <w:rStyle w:val="aff6"/>
          <w:rFonts w:hint="cs"/>
          <w:rtl/>
        </w:rPr>
        <w:t>(חולין ח"א עמ' תקפ"א)</w:t>
      </w:r>
      <w:r>
        <w:rPr>
          <w:rFonts w:hint="cs"/>
          <w:rtl/>
        </w:rPr>
        <w:t>.</w:t>
      </w:r>
    </w:p>
  </w:footnote>
  <w:footnote w:id="93">
    <w:p w14:paraId="78EFA174" w14:textId="77777777" w:rsidR="00345400" w:rsidRDefault="00345400" w:rsidP="00436F39">
      <w:pPr>
        <w:pStyle w:val="af"/>
        <w:rPr>
          <w:rtl/>
        </w:rPr>
      </w:pPr>
      <w:r>
        <w:rPr>
          <w:rStyle w:val="af1"/>
        </w:rPr>
        <w:footnoteRef/>
      </w:r>
      <w:r>
        <w:rPr>
          <w:rtl/>
        </w:rPr>
        <w:t xml:space="preserve"> </w:t>
      </w:r>
      <w:r>
        <w:rPr>
          <w:rFonts w:hint="cs"/>
          <w:rtl/>
        </w:rPr>
        <w:t xml:space="preserve">הועתק בקובץ שיטות קמאי </w:t>
      </w:r>
      <w:r w:rsidRPr="00EE4AE7">
        <w:rPr>
          <w:rStyle w:val="aff6"/>
          <w:rFonts w:hint="cs"/>
          <w:rtl/>
        </w:rPr>
        <w:t>(חולין ח"א עמ' תקפ"א)</w:t>
      </w:r>
      <w:r>
        <w:rPr>
          <w:rFonts w:hint="cs"/>
          <w:rtl/>
        </w:rPr>
        <w:t>.</w:t>
      </w:r>
    </w:p>
  </w:footnote>
  <w:footnote w:id="94">
    <w:p w14:paraId="1C11D694" w14:textId="77777777" w:rsidR="00345400" w:rsidRDefault="00345400" w:rsidP="00436F39">
      <w:pPr>
        <w:pStyle w:val="af"/>
        <w:rPr>
          <w:rtl/>
        </w:rPr>
      </w:pPr>
      <w:r>
        <w:rPr>
          <w:rStyle w:val="af1"/>
        </w:rPr>
        <w:footnoteRef/>
      </w:r>
      <w:r>
        <w:rPr>
          <w:rtl/>
        </w:rPr>
        <w:t xml:space="preserve"> </w:t>
      </w:r>
      <w:r w:rsidRPr="00132B93">
        <w:rPr>
          <w:rStyle w:val="afb"/>
          <w:rFonts w:hint="cs"/>
          <w:rtl/>
        </w:rPr>
        <w:t xml:space="preserve">הועתק בקובץ שיטות קמאי </w:t>
      </w:r>
      <w:r w:rsidRPr="00132B93">
        <w:rPr>
          <w:rStyle w:val="aff6"/>
          <w:rFonts w:hint="cs"/>
          <w:rtl/>
        </w:rPr>
        <w:t>(חולין ח"א עמ' תק"פ)</w:t>
      </w:r>
      <w:r w:rsidRPr="00132B93">
        <w:rPr>
          <w:rStyle w:val="afb"/>
          <w:rFonts w:hint="cs"/>
          <w:rtl/>
        </w:rPr>
        <w:t>.</w:t>
      </w:r>
    </w:p>
  </w:footnote>
  <w:footnote w:id="95">
    <w:p w14:paraId="7361B3EB" w14:textId="77777777" w:rsidR="00345400" w:rsidRDefault="00345400" w:rsidP="00436F39">
      <w:pPr>
        <w:pStyle w:val="af"/>
        <w:rPr>
          <w:rtl/>
        </w:rPr>
      </w:pPr>
      <w:r>
        <w:rPr>
          <w:rStyle w:val="af1"/>
        </w:rPr>
        <w:footnoteRef/>
      </w:r>
      <w:r>
        <w:rPr>
          <w:rtl/>
        </w:rPr>
        <w:t xml:space="preserve"> </w:t>
      </w:r>
      <w:r w:rsidRPr="00132B93">
        <w:rPr>
          <w:rStyle w:val="afb"/>
          <w:rFonts w:hint="cs"/>
          <w:rtl/>
        </w:rPr>
        <w:t xml:space="preserve">הועתק בקובץ שיטות קמאי </w:t>
      </w:r>
      <w:r w:rsidRPr="00132B93">
        <w:rPr>
          <w:rStyle w:val="aff6"/>
          <w:rFonts w:hint="cs"/>
          <w:rtl/>
        </w:rPr>
        <w:t>(חולין ח"א עמ' תק"פ)</w:t>
      </w:r>
      <w:r w:rsidRPr="00132B93">
        <w:rPr>
          <w:rStyle w:val="afb"/>
          <w:rFonts w:hint="cs"/>
          <w:rtl/>
        </w:rPr>
        <w:t>.</w:t>
      </w:r>
    </w:p>
  </w:footnote>
  <w:footnote w:id="96">
    <w:p w14:paraId="06403B81" w14:textId="77777777" w:rsidR="00345400" w:rsidRDefault="00345400" w:rsidP="00436F39">
      <w:pPr>
        <w:pStyle w:val="af"/>
        <w:rPr>
          <w:rtl/>
        </w:rPr>
      </w:pPr>
      <w:r>
        <w:rPr>
          <w:rStyle w:val="af1"/>
        </w:rPr>
        <w:footnoteRef/>
      </w:r>
      <w:r>
        <w:rPr>
          <w:rtl/>
        </w:rPr>
        <w:t xml:space="preserve"> </w:t>
      </w:r>
      <w:r>
        <w:rPr>
          <w:rFonts w:hint="cs"/>
          <w:rtl/>
        </w:rPr>
        <w:t>וכתב</w:t>
      </w:r>
      <w:r w:rsidRPr="006038A1">
        <w:rPr>
          <w:rStyle w:val="afb"/>
          <w:rFonts w:hint="cs"/>
          <w:rtl/>
        </w:rPr>
        <w:t xml:space="preserve"> </w:t>
      </w:r>
      <w:r w:rsidRPr="006038A1">
        <w:rPr>
          <w:rStyle w:val="affa"/>
          <w:rFonts w:hint="cs"/>
          <w:rtl/>
        </w:rPr>
        <w:t>הזכר יצחק</w:t>
      </w:r>
      <w:r>
        <w:rPr>
          <w:rFonts w:hint="cs"/>
          <w:rtl/>
        </w:rPr>
        <w:t xml:space="preserve"> דלכן פסול שהייה הוא דוקא אם שהה שיעור שהייה, אבל בפחות משיעור שהייה, איתא בגמ' לקמן </w:t>
      </w:r>
      <w:r w:rsidRPr="006038A1">
        <w:rPr>
          <w:rStyle w:val="aff6"/>
          <w:rFonts w:hint="cs"/>
          <w:rtl/>
        </w:rPr>
        <w:t>(לב.)</w:t>
      </w:r>
      <w:r w:rsidRPr="00257A45">
        <w:rPr>
          <w:rStyle w:val="af7"/>
          <w:rFonts w:eastAsia="Guttman Hodes" w:hint="cs"/>
          <w:rtl/>
        </w:rPr>
        <w:t xml:space="preserve"> </w:t>
      </w:r>
      <w:r>
        <w:rPr>
          <w:rFonts w:hint="cs"/>
          <w:rtl/>
        </w:rPr>
        <w:t>דכשר, והיינו כיון שבפחות משיעור שהייה, אפשר לצרף את ב' השחיטות לשחיטה אחת.</w:t>
      </w:r>
    </w:p>
  </w:footnote>
  <w:footnote w:id="97">
    <w:p w14:paraId="69378486" w14:textId="77777777" w:rsidR="00345400" w:rsidRDefault="00345400" w:rsidP="00436F39">
      <w:pPr>
        <w:pStyle w:val="af"/>
        <w:rPr>
          <w:rtl/>
        </w:rPr>
      </w:pPr>
      <w:r>
        <w:rPr>
          <w:rStyle w:val="af1"/>
        </w:rPr>
        <w:footnoteRef/>
      </w:r>
      <w:r>
        <w:rPr>
          <w:rtl/>
        </w:rPr>
        <w:t xml:space="preserve"> </w:t>
      </w:r>
      <w:bookmarkStart w:id="14853" w:name="_Ref533329449"/>
      <w:r>
        <w:rPr>
          <w:rFonts w:hint="cs"/>
          <w:rtl/>
        </w:rPr>
        <w:t xml:space="preserve">וכתב </w:t>
      </w:r>
      <w:r w:rsidRPr="0094290A">
        <w:rPr>
          <w:rStyle w:val="affa"/>
          <w:rFonts w:hint="cs"/>
          <w:rtl/>
        </w:rPr>
        <w:t xml:space="preserve">הקוב"ש </w:t>
      </w:r>
      <w:r>
        <w:rPr>
          <w:rFonts w:hint="cs"/>
          <w:rtl/>
        </w:rPr>
        <w:t xml:space="preserve">דמשמע </w:t>
      </w:r>
      <w:r w:rsidRPr="0094290A">
        <w:rPr>
          <w:rStyle w:val="affa"/>
          <w:rFonts w:hint="cs"/>
          <w:rtl/>
        </w:rPr>
        <w:t xml:space="preserve">ברש"י </w:t>
      </w:r>
      <w:r>
        <w:rPr>
          <w:rFonts w:hint="cs"/>
          <w:rtl/>
        </w:rPr>
        <w:t xml:space="preserve">דהשהייה אינה פסול מצד עצמו, מדכתב </w:t>
      </w:r>
      <w:r w:rsidRPr="0094290A">
        <w:rPr>
          <w:rStyle w:val="affa"/>
          <w:rFonts w:hint="cs"/>
          <w:rtl/>
        </w:rPr>
        <w:t xml:space="preserve">רש"י לקמן </w:t>
      </w:r>
      <w:r w:rsidRPr="0094290A">
        <w:rPr>
          <w:rStyle w:val="aff6"/>
          <w:rFonts w:hint="cs"/>
          <w:rtl/>
        </w:rPr>
        <w:t>(כ: ד"ה וכי)</w:t>
      </w:r>
      <w:r w:rsidRPr="00C1124E">
        <w:rPr>
          <w:rStyle w:val="af7"/>
          <w:rFonts w:eastAsia="Guttman Hodes" w:hint="cs"/>
          <w:rtl/>
        </w:rPr>
        <w:t xml:space="preserve"> </w:t>
      </w:r>
      <w:r>
        <w:rPr>
          <w:rFonts w:hint="cs"/>
          <w:rtl/>
        </w:rPr>
        <w:t>דבכל שחיטה יש בתחילה מעשה טריפה דניקב הושט, אלא שבגמר השחיטה הוא מכשירו, אא"כ שהה בשחיטה דהנקב פוסל, ומשמע דגדר הפסול בשהייה הוא שא"א לצרף את תחילת השחיטה שנקב בה את הושט להמשך שגמר את כל השחיטה, ולכן נשאר האיסור הראשון דנקובת הושט והמשך השחיטה אינו מכשירו, אך אין פסול בשחיטה מצד עצם השהייה כמו דריסה וחלדה.</w:t>
      </w:r>
      <w:bookmarkEnd w:id="14853"/>
    </w:p>
    <w:p w14:paraId="11E3FF85" w14:textId="77777777" w:rsidR="00345400" w:rsidRDefault="00345400" w:rsidP="00436F39">
      <w:pPr>
        <w:pStyle w:val="af"/>
        <w:rPr>
          <w:rtl/>
        </w:rPr>
      </w:pPr>
      <w:r>
        <w:rPr>
          <w:rFonts w:hint="cs"/>
          <w:rtl/>
        </w:rPr>
        <w:t xml:space="preserve">אך כתב </w:t>
      </w:r>
      <w:r w:rsidRPr="0094290A">
        <w:rPr>
          <w:rStyle w:val="affa"/>
          <w:rFonts w:hint="cs"/>
          <w:rtl/>
        </w:rPr>
        <w:t>הקוב"ש</w:t>
      </w:r>
      <w:r>
        <w:rPr>
          <w:rFonts w:hint="cs"/>
          <w:rtl/>
        </w:rPr>
        <w:t xml:space="preserve"> דבדין בן פקועה דשהייה הוא פסול מצד עצמו, דכתב </w:t>
      </w:r>
      <w:r w:rsidRPr="0094290A">
        <w:rPr>
          <w:rStyle w:val="affa"/>
          <w:rFonts w:hint="cs"/>
          <w:rtl/>
        </w:rPr>
        <w:t>רש"י לקמן</w:t>
      </w:r>
      <w:r w:rsidRPr="0094290A">
        <w:rPr>
          <w:rStyle w:val="aff6"/>
          <w:rFonts w:hint="cs"/>
          <w:rtl/>
        </w:rPr>
        <w:t xml:space="preserve"> (עה: ד"ה אין לו) </w:t>
      </w:r>
      <w:r>
        <w:rPr>
          <w:rFonts w:hint="cs"/>
          <w:rtl/>
        </w:rPr>
        <w:t>דבן פקועה שאינו צריך שחיטה, ובא על סתם בהמה שחייבת שחיטה, דהולד אין לו תקנה, דחשיב שיש לו רק סימן אחד מצד אמו, דהסימן השני שמצד אביו הוא כשחוט ועומד, וא"א להכשירו ע"י שחיטת הסימן השני, דהסימן השני אינו מצטרף לראשון, דאין לך שהייה גדולה מזו, שהסימן הראשון כשחוט משעה שנולד.</w:t>
      </w:r>
    </w:p>
    <w:p w14:paraId="72CE47F0" w14:textId="77777777" w:rsidR="00345400" w:rsidRDefault="00345400" w:rsidP="00436F39">
      <w:pPr>
        <w:pStyle w:val="af"/>
      </w:pPr>
      <w:r>
        <w:rPr>
          <w:rFonts w:hint="cs"/>
          <w:rtl/>
        </w:rPr>
        <w:t xml:space="preserve">וכתב </w:t>
      </w:r>
      <w:r w:rsidRPr="00026836">
        <w:rPr>
          <w:rStyle w:val="affa"/>
          <w:rFonts w:hint="cs"/>
          <w:rtl/>
        </w:rPr>
        <w:t>הקוב"ש</w:t>
      </w:r>
      <w:r>
        <w:rPr>
          <w:rFonts w:hint="cs"/>
          <w:rtl/>
        </w:rPr>
        <w:t xml:space="preserve"> דמבואר </w:t>
      </w:r>
      <w:r w:rsidRPr="00026836">
        <w:rPr>
          <w:rStyle w:val="affa"/>
          <w:rFonts w:hint="cs"/>
          <w:rtl/>
        </w:rPr>
        <w:t>ברש"י</w:t>
      </w:r>
      <w:r>
        <w:rPr>
          <w:rFonts w:hint="cs"/>
          <w:rtl/>
        </w:rPr>
        <w:t xml:space="preserve"> דשהייה הוא פסול מצד עצמו, דהרי אין כל חסרן בצירוף השחיטה, דהסימן הראשון אין בו כל איסור מצד עצמו, </w:t>
      </w:r>
      <w:r w:rsidRPr="002E4C14">
        <w:rPr>
          <w:rStyle w:val="afb"/>
          <w:rFonts w:hint="cs"/>
          <w:rtl/>
        </w:rPr>
        <w:t xml:space="preserve">[כנקב בושט </w:t>
      </w:r>
      <w:r>
        <w:rPr>
          <w:rStyle w:val="afb"/>
          <w:rFonts w:hint="cs"/>
          <w:rtl/>
        </w:rPr>
        <w:t xml:space="preserve">דכתב </w:t>
      </w:r>
      <w:r w:rsidRPr="00474CF9">
        <w:rPr>
          <w:rStyle w:val="affa"/>
          <w:rFonts w:hint="cs"/>
          <w:rtl/>
        </w:rPr>
        <w:t>רש"י</w:t>
      </w:r>
      <w:r>
        <w:rPr>
          <w:rStyle w:val="afb"/>
          <w:rFonts w:hint="cs"/>
          <w:rtl/>
        </w:rPr>
        <w:t xml:space="preserve"> </w:t>
      </w:r>
      <w:r w:rsidRPr="0094290A">
        <w:rPr>
          <w:rStyle w:val="aff6"/>
          <w:rFonts w:hint="cs"/>
          <w:rtl/>
        </w:rPr>
        <w:t>(כ: ד"ה וכי)</w:t>
      </w:r>
      <w:r w:rsidRPr="00474CF9">
        <w:rPr>
          <w:rStyle w:val="aff6"/>
          <w:rFonts w:hint="cs"/>
          <w:rtl/>
        </w:rPr>
        <w:t xml:space="preserve"> </w:t>
      </w:r>
      <w:r w:rsidRPr="002E4C14">
        <w:rPr>
          <w:rStyle w:val="afb"/>
          <w:rFonts w:hint="cs"/>
          <w:rtl/>
        </w:rPr>
        <w:t>שצריך להתירו ע"י המשך השחיטה]</w:t>
      </w:r>
      <w:r>
        <w:rPr>
          <w:rFonts w:hint="cs"/>
          <w:rtl/>
        </w:rPr>
        <w:t>.</w:t>
      </w:r>
    </w:p>
  </w:footnote>
  <w:footnote w:id="98">
    <w:p w14:paraId="6EAAABFC" w14:textId="77777777" w:rsidR="00345400" w:rsidRDefault="00345400" w:rsidP="003D504D">
      <w:pPr>
        <w:pStyle w:val="af"/>
        <w:rPr>
          <w:rtl/>
        </w:rPr>
      </w:pPr>
      <w:r w:rsidRPr="000E76AA">
        <w:rPr>
          <w:rStyle w:val="af1"/>
        </w:rPr>
        <w:footnoteRef/>
      </w:r>
      <w:r w:rsidRPr="000E76AA">
        <w:rPr>
          <w:rtl/>
        </w:rPr>
        <w:t xml:space="preserve"> </w:t>
      </w:r>
      <w:r w:rsidRPr="000E76AA">
        <w:rPr>
          <w:rStyle w:val="affa"/>
          <w:rFonts w:hint="cs"/>
          <w:rtl/>
        </w:rPr>
        <w:t>נדון זה תלוי בהרבה ראיות בכל הפרק, ואין כאן מקום להאריך בזה כלל</w:t>
      </w:r>
      <w:r w:rsidRPr="000E76AA">
        <w:rPr>
          <w:rFonts w:hint="cs"/>
          <w:rtl/>
        </w:rPr>
        <w:t>, ובסימן</w:t>
      </w:r>
      <w:r>
        <w:rPr>
          <w:rFonts w:hint="cs"/>
          <w:rtl/>
        </w:rPr>
        <w:t xml:space="preserve"> זה הובאה חקירה זו, רק לענין היתר חותך מעובר שבמעיה, וכן לענין איסור אבר היוצא.</w:t>
      </w:r>
    </w:p>
  </w:footnote>
  <w:footnote w:id="99">
    <w:p w14:paraId="2494CEAC" w14:textId="77777777" w:rsidR="00345400" w:rsidRDefault="00345400" w:rsidP="003D504D">
      <w:pPr>
        <w:pStyle w:val="af"/>
      </w:pPr>
      <w:r>
        <w:rPr>
          <w:rStyle w:val="af1"/>
        </w:rPr>
        <w:footnoteRef/>
      </w:r>
      <w:r>
        <w:rPr>
          <w:rtl/>
        </w:rPr>
        <w:t xml:space="preserve"> </w:t>
      </w:r>
      <w:r>
        <w:rPr>
          <w:rFonts w:hint="cs"/>
          <w:rtl/>
        </w:rPr>
        <w:t xml:space="preserve">והוסיף </w:t>
      </w:r>
      <w:r w:rsidRPr="00C41490">
        <w:rPr>
          <w:rStyle w:val="affa"/>
          <w:rFonts w:hint="cs"/>
          <w:rtl/>
        </w:rPr>
        <w:t>הנאות יעקב</w:t>
      </w:r>
      <w:r w:rsidRPr="00C41490">
        <w:rPr>
          <w:rStyle w:val="aff6"/>
          <w:rFonts w:hint="cs"/>
          <w:rtl/>
        </w:rPr>
        <w:t xml:space="preserve"> (סי' כ"ב ס"ק ו' בהגה"ה) </w:t>
      </w:r>
      <w:r>
        <w:rPr>
          <w:rFonts w:hint="cs"/>
          <w:rtl/>
        </w:rPr>
        <w:t xml:space="preserve">דלמ"ד דעובר ירך אמו לכאו' מסברא א"צ ילפותא להתיר בן פקועה, דהוא כאחד  מאבריה, וכל שהאם הותרה בשחיטה אף העובר מותר, ולפי דברי </w:t>
      </w:r>
      <w:r w:rsidRPr="00C41490">
        <w:rPr>
          <w:rStyle w:val="affa"/>
          <w:rFonts w:hint="cs"/>
          <w:rtl/>
        </w:rPr>
        <w:t>הרא"ש</w:t>
      </w:r>
      <w:r>
        <w:rPr>
          <w:rFonts w:hint="cs"/>
          <w:rtl/>
        </w:rPr>
        <w:t xml:space="preserve"> אפש"ל דבאמת א"צ ילפותא כלל לעיקר ההיתר דבן פקועה, והילפותא דהיתר </w:t>
      </w:r>
      <w:r>
        <w:rPr>
          <w:rtl/>
        </w:rPr>
        <w:t>"</w:t>
      </w:r>
      <w:r>
        <w:rPr>
          <w:rFonts w:hint="cs"/>
          <w:rtl/>
        </w:rPr>
        <w:t>כל בבהמה</w:t>
      </w:r>
      <w:r>
        <w:rPr>
          <w:rtl/>
        </w:rPr>
        <w:t>"</w:t>
      </w:r>
      <w:r>
        <w:rPr>
          <w:rFonts w:hint="cs"/>
          <w:rtl/>
        </w:rPr>
        <w:t xml:space="preserve"> היא להתיר את החותך מעובר שבמעיה, דאף דהחותך מהבהמה עצמה אסור, מ"מ אם חתך מהעובר מותר. </w:t>
      </w:r>
      <w:r w:rsidRPr="00284264">
        <w:rPr>
          <w:rStyle w:val="afb"/>
          <w:rFonts w:hint="cs"/>
          <w:rtl/>
        </w:rPr>
        <w:t xml:space="preserve">אך עיי"ש במה שדחה </w:t>
      </w:r>
      <w:r w:rsidRPr="00284264">
        <w:rPr>
          <w:rStyle w:val="affa"/>
          <w:rFonts w:hint="cs"/>
          <w:rtl/>
        </w:rPr>
        <w:t>הנאות יעקב</w:t>
      </w:r>
      <w:r>
        <w:rPr>
          <w:rStyle w:val="afb"/>
          <w:rFonts w:hint="cs"/>
          <w:rtl/>
        </w:rPr>
        <w:t xml:space="preserve"> </w:t>
      </w:r>
      <w:r w:rsidRPr="00284264">
        <w:rPr>
          <w:rStyle w:val="afb"/>
          <w:rFonts w:hint="cs"/>
          <w:rtl/>
        </w:rPr>
        <w:t>דאחר שנולד חי והוא בריה בפנ"ע</w:t>
      </w:r>
      <w:r>
        <w:rPr>
          <w:rStyle w:val="afb"/>
          <w:rFonts w:hint="cs"/>
          <w:rtl/>
        </w:rPr>
        <w:t>,</w:t>
      </w:r>
      <w:r w:rsidRPr="00284264">
        <w:rPr>
          <w:rStyle w:val="afb"/>
          <w:rFonts w:hint="cs"/>
          <w:rtl/>
        </w:rPr>
        <w:t xml:space="preserve"> א"א להתירו מחמת שהיה ירך אמו</w:t>
      </w:r>
      <w:r>
        <w:rPr>
          <w:rStyle w:val="afb"/>
          <w:rFonts w:hint="cs"/>
          <w:rtl/>
        </w:rPr>
        <w:t xml:space="preserve"> בזמן שנשחטה</w:t>
      </w:r>
      <w:r w:rsidRPr="00284264">
        <w:rPr>
          <w:rStyle w:val="afb"/>
          <w:rFonts w:hint="cs"/>
          <w:rtl/>
        </w:rPr>
        <w:t xml:space="preserve">, </w:t>
      </w:r>
      <w:r>
        <w:rPr>
          <w:rStyle w:val="afb"/>
          <w:rFonts w:hint="cs"/>
          <w:rtl/>
        </w:rPr>
        <w:t xml:space="preserve">וא"כ אף למ"ד דעובר ירך אמו צריך ילפותא לעיקר היתר בן פקועה, </w:t>
      </w:r>
      <w:r w:rsidRPr="00284264">
        <w:rPr>
          <w:rStyle w:val="afb"/>
          <w:rFonts w:hint="cs"/>
          <w:rtl/>
        </w:rPr>
        <w:t xml:space="preserve">ועיי"ש במה שהביא </w:t>
      </w:r>
      <w:r w:rsidRPr="00284264">
        <w:rPr>
          <w:rStyle w:val="affa"/>
          <w:rFonts w:hint="cs"/>
          <w:rtl/>
        </w:rPr>
        <w:t>הנאות יעקב</w:t>
      </w:r>
      <w:r>
        <w:rPr>
          <w:rStyle w:val="afb"/>
          <w:rFonts w:hint="cs"/>
          <w:rtl/>
        </w:rPr>
        <w:t xml:space="preserve"> </w:t>
      </w:r>
      <w:r w:rsidRPr="00284264">
        <w:rPr>
          <w:rStyle w:val="afb"/>
          <w:rFonts w:hint="cs"/>
          <w:rtl/>
        </w:rPr>
        <w:t xml:space="preserve">בשם </w:t>
      </w:r>
      <w:r w:rsidRPr="00284264">
        <w:rPr>
          <w:rStyle w:val="affa"/>
          <w:rFonts w:hint="cs"/>
          <w:rtl/>
        </w:rPr>
        <w:t>הגר"ח</w:t>
      </w:r>
      <w:r w:rsidRPr="00284264">
        <w:rPr>
          <w:rStyle w:val="afb"/>
          <w:rFonts w:hint="cs"/>
          <w:rtl/>
        </w:rPr>
        <w:t xml:space="preserve"> ראיה לסברא זו</w:t>
      </w:r>
      <w:r>
        <w:rPr>
          <w:rStyle w:val="afb"/>
          <w:rFonts w:hint="cs"/>
          <w:rtl/>
        </w:rPr>
        <w:t xml:space="preserve"> מדברי </w:t>
      </w:r>
      <w:r w:rsidRPr="00284264">
        <w:rPr>
          <w:rStyle w:val="affa"/>
          <w:rFonts w:hint="cs"/>
          <w:rtl/>
        </w:rPr>
        <w:t>הרמב"ם</w:t>
      </w:r>
      <w:r>
        <w:rPr>
          <w:rStyle w:val="afb"/>
          <w:rFonts w:hint="cs"/>
          <w:rtl/>
        </w:rPr>
        <w:t xml:space="preserve">, וע"ע במ"ש </w:t>
      </w:r>
      <w:r w:rsidRPr="009A1AD0">
        <w:rPr>
          <w:rStyle w:val="affa"/>
          <w:rtl/>
        </w:rPr>
        <w:t>השער"י</w:t>
      </w:r>
      <w:r>
        <w:rPr>
          <w:rtl/>
        </w:rPr>
        <w:t xml:space="preserve"> </w:t>
      </w:r>
      <w:r w:rsidRPr="009A1AD0">
        <w:rPr>
          <w:rStyle w:val="aff6"/>
          <w:rtl/>
        </w:rPr>
        <w:t>(שער החזקות פכ"ב ד"ה</w:t>
      </w:r>
      <w:r w:rsidRPr="009A1AD0">
        <w:rPr>
          <w:rStyle w:val="aff6"/>
          <w:rFonts w:hint="cs"/>
          <w:rtl/>
        </w:rPr>
        <w:t xml:space="preserve"> ומה"ט)</w:t>
      </w:r>
      <w:r w:rsidRPr="00284264">
        <w:rPr>
          <w:rStyle w:val="afb"/>
          <w:rFonts w:hint="cs"/>
          <w:rtl/>
        </w:rPr>
        <w:t>.</w:t>
      </w:r>
    </w:p>
  </w:footnote>
  <w:footnote w:id="100">
    <w:p w14:paraId="7BC95427" w14:textId="77777777" w:rsidR="00345400" w:rsidRDefault="00345400" w:rsidP="003D504D">
      <w:pPr>
        <w:pStyle w:val="af"/>
        <w:rPr>
          <w:rtl/>
        </w:rPr>
      </w:pPr>
      <w:r>
        <w:rPr>
          <w:rStyle w:val="af1"/>
        </w:rPr>
        <w:footnoteRef/>
      </w:r>
      <w:r>
        <w:rPr>
          <w:rtl/>
        </w:rPr>
        <w:t xml:space="preserve"> </w:t>
      </w:r>
      <w:r>
        <w:rPr>
          <w:rFonts w:hint="cs"/>
          <w:rtl/>
        </w:rPr>
        <w:t xml:space="preserve">נד' גם בספר </w:t>
      </w:r>
      <w:r w:rsidRPr="003471EF">
        <w:rPr>
          <w:rStyle w:val="affa"/>
          <w:rFonts w:hint="cs"/>
          <w:rtl/>
        </w:rPr>
        <w:t>פירות גינוסר</w:t>
      </w:r>
      <w:r>
        <w:rPr>
          <w:rFonts w:hint="cs"/>
          <w:rtl/>
        </w:rPr>
        <w:t>.</w:t>
      </w:r>
    </w:p>
  </w:footnote>
  <w:footnote w:id="101">
    <w:p w14:paraId="75AE5ACB" w14:textId="77777777" w:rsidR="00345400" w:rsidRDefault="00345400" w:rsidP="003D504D">
      <w:pPr>
        <w:pStyle w:val="af"/>
        <w:rPr>
          <w:rtl/>
        </w:rPr>
      </w:pPr>
      <w:r>
        <w:rPr>
          <w:rStyle w:val="af1"/>
        </w:rPr>
        <w:footnoteRef/>
      </w:r>
      <w:r>
        <w:rPr>
          <w:rtl/>
        </w:rPr>
        <w:t xml:space="preserve"> </w:t>
      </w:r>
      <w:r w:rsidRPr="00124F30">
        <w:rPr>
          <w:rtl/>
        </w:rPr>
        <w:t xml:space="preserve">ועיי"ש בדברי </w:t>
      </w:r>
      <w:r w:rsidRPr="00124F30">
        <w:rPr>
          <w:rStyle w:val="affa"/>
          <w:rtl/>
        </w:rPr>
        <w:t>התבו"ש</w:t>
      </w:r>
      <w:r w:rsidRPr="00124F30">
        <w:rPr>
          <w:rtl/>
        </w:rPr>
        <w:t xml:space="preserve"> דכתב דאף דמפשטות הגמ' לקמן </w:t>
      </w:r>
      <w:r w:rsidRPr="00124F30">
        <w:rPr>
          <w:rStyle w:val="aff6"/>
          <w:rtl/>
        </w:rPr>
        <w:t>(סח:)</w:t>
      </w:r>
      <w:r w:rsidRPr="00124F30">
        <w:rPr>
          <w:rtl/>
        </w:rPr>
        <w:t xml:space="preserve"> בספק ביצאו אברים וחתכם עד שהשלים לרוב, משמע דההיתר דחותך מעובר שבמעיה, הוא אף אם נולד העובר ונשארו החתיכות במעי אמו, דשחיטת האם מתירתם, מ"מ דחה </w:t>
      </w:r>
      <w:r w:rsidRPr="00124F30">
        <w:rPr>
          <w:rStyle w:val="affa"/>
          <w:rtl/>
        </w:rPr>
        <w:t>התבו"ש</w:t>
      </w:r>
      <w:r w:rsidRPr="00124F30">
        <w:rPr>
          <w:rtl/>
        </w:rPr>
        <w:t xml:space="preserve"> דמדברי </w:t>
      </w:r>
      <w:r w:rsidRPr="00124F30">
        <w:rPr>
          <w:rStyle w:val="affa"/>
          <w:rtl/>
        </w:rPr>
        <w:t>רש"י לקמן</w:t>
      </w:r>
      <w:r w:rsidRPr="00124F30">
        <w:rPr>
          <w:rtl/>
        </w:rPr>
        <w:t xml:space="preserve"> </w:t>
      </w:r>
      <w:r w:rsidRPr="00124F30">
        <w:rPr>
          <w:rStyle w:val="aff6"/>
          <w:rtl/>
        </w:rPr>
        <w:t>(סט. ד"ה לאתויי)</w:t>
      </w:r>
      <w:r w:rsidRPr="00124F30">
        <w:rPr>
          <w:rtl/>
        </w:rPr>
        <w:t xml:space="preserve"> וכן מדברי </w:t>
      </w:r>
      <w:r w:rsidRPr="00124F30">
        <w:rPr>
          <w:rStyle w:val="affa"/>
          <w:rtl/>
        </w:rPr>
        <w:t>התוס' לקמן</w:t>
      </w:r>
      <w:r w:rsidRPr="00124F30">
        <w:rPr>
          <w:rtl/>
        </w:rPr>
        <w:t xml:space="preserve"> </w:t>
      </w:r>
      <w:r w:rsidRPr="00124F30">
        <w:rPr>
          <w:rStyle w:val="aff6"/>
          <w:rtl/>
        </w:rPr>
        <w:t>(סח: ד"ה הוציא)</w:t>
      </w:r>
      <w:r w:rsidRPr="00124F30">
        <w:rPr>
          <w:rtl/>
        </w:rPr>
        <w:t xml:space="preserve"> מבואר דכל שיצא רוב העובר נאסר המיעוט שבפנים, עיי"ש בדבריו.</w:t>
      </w:r>
    </w:p>
  </w:footnote>
  <w:footnote w:id="102">
    <w:p w14:paraId="3CDE1D0D" w14:textId="77777777" w:rsidR="00345400" w:rsidRDefault="00345400" w:rsidP="003D504D">
      <w:pPr>
        <w:pStyle w:val="af"/>
        <w:rPr>
          <w:rtl/>
        </w:rPr>
      </w:pPr>
      <w:r>
        <w:rPr>
          <w:rStyle w:val="af1"/>
        </w:rPr>
        <w:footnoteRef/>
      </w:r>
      <w:r>
        <w:rPr>
          <w:rtl/>
        </w:rPr>
        <w:t xml:space="preserve"> </w:t>
      </w:r>
      <w:r>
        <w:rPr>
          <w:rFonts w:hint="cs"/>
          <w:rtl/>
        </w:rPr>
        <w:t xml:space="preserve">הועתק בקובץ שיטות קמאי </w:t>
      </w:r>
      <w:r w:rsidRPr="005427C3">
        <w:rPr>
          <w:rStyle w:val="aff6"/>
          <w:rFonts w:hint="cs"/>
          <w:rtl/>
        </w:rPr>
        <w:t>(חולין ח"ב עמ' אלף תרל"ט)</w:t>
      </w:r>
      <w:r>
        <w:rPr>
          <w:rFonts w:hint="cs"/>
          <w:rtl/>
        </w:rPr>
        <w:t>.</w:t>
      </w:r>
    </w:p>
  </w:footnote>
  <w:footnote w:id="103">
    <w:p w14:paraId="300D4694" w14:textId="77777777" w:rsidR="00345400" w:rsidRDefault="00345400" w:rsidP="003D504D">
      <w:pPr>
        <w:pStyle w:val="af"/>
        <w:rPr>
          <w:rtl/>
        </w:rPr>
      </w:pPr>
      <w:r>
        <w:rPr>
          <w:rStyle w:val="af1"/>
        </w:rPr>
        <w:footnoteRef/>
      </w:r>
      <w:r>
        <w:rPr>
          <w:rtl/>
        </w:rPr>
        <w:t xml:space="preserve"> </w:t>
      </w:r>
      <w:r>
        <w:rPr>
          <w:rFonts w:hint="cs"/>
          <w:rtl/>
        </w:rPr>
        <w:t xml:space="preserve">הועתק בקובץ שיטות קמאי </w:t>
      </w:r>
      <w:r w:rsidRPr="005427C3">
        <w:rPr>
          <w:rStyle w:val="aff6"/>
          <w:rFonts w:hint="cs"/>
          <w:rtl/>
        </w:rPr>
        <w:t xml:space="preserve">(חולין ח"ב עמ' אלף </w:t>
      </w:r>
      <w:r w:rsidRPr="00A9083A">
        <w:rPr>
          <w:rStyle w:val="aff6"/>
          <w:rFonts w:hint="cs"/>
          <w:rtl/>
        </w:rPr>
        <w:t>תרל"ח)</w:t>
      </w:r>
      <w:r>
        <w:rPr>
          <w:rFonts w:hint="cs"/>
          <w:rtl/>
        </w:rPr>
        <w:t>.</w:t>
      </w:r>
    </w:p>
  </w:footnote>
  <w:footnote w:id="104">
    <w:p w14:paraId="085960DA" w14:textId="77777777" w:rsidR="00345400" w:rsidRDefault="00345400" w:rsidP="003D504D">
      <w:pPr>
        <w:pStyle w:val="af"/>
        <w:rPr>
          <w:rtl/>
        </w:rPr>
      </w:pPr>
      <w:r>
        <w:rPr>
          <w:rStyle w:val="af1"/>
        </w:rPr>
        <w:footnoteRef/>
      </w:r>
      <w:r>
        <w:rPr>
          <w:rtl/>
        </w:rPr>
        <w:t xml:space="preserve"> </w:t>
      </w:r>
      <w:r w:rsidRPr="000E32F5">
        <w:rPr>
          <w:rStyle w:val="affa"/>
          <w:rFonts w:hint="cs"/>
          <w:rtl/>
        </w:rPr>
        <w:t xml:space="preserve">הרדב"ז </w:t>
      </w:r>
      <w:r>
        <w:rPr>
          <w:rStyle w:val="afb"/>
          <w:rFonts w:hint="cs"/>
          <w:rtl/>
        </w:rPr>
        <w:t xml:space="preserve">הביא רק את דברי </w:t>
      </w:r>
      <w:r w:rsidRPr="000E32F5">
        <w:rPr>
          <w:rStyle w:val="affa"/>
          <w:rFonts w:hint="cs"/>
          <w:rtl/>
        </w:rPr>
        <w:t xml:space="preserve">ההג' אשר"י </w:t>
      </w:r>
      <w:r>
        <w:rPr>
          <w:rStyle w:val="afb"/>
          <w:rFonts w:hint="cs"/>
          <w:rtl/>
        </w:rPr>
        <w:t xml:space="preserve">בשם </w:t>
      </w:r>
      <w:r w:rsidRPr="000E32F5">
        <w:rPr>
          <w:rStyle w:val="affa"/>
          <w:rFonts w:hint="cs"/>
          <w:rtl/>
        </w:rPr>
        <w:t>הראבי"ה</w:t>
      </w:r>
      <w:r>
        <w:rPr>
          <w:rStyle w:val="afb"/>
          <w:rFonts w:hint="cs"/>
          <w:rtl/>
        </w:rPr>
        <w:t xml:space="preserve">, אבל </w:t>
      </w:r>
      <w:r w:rsidRPr="000E32F5">
        <w:rPr>
          <w:rStyle w:val="affa"/>
          <w:rFonts w:hint="cs"/>
          <w:rtl/>
        </w:rPr>
        <w:t>בראבי"ה</w:t>
      </w:r>
      <w:r>
        <w:rPr>
          <w:rStyle w:val="afb"/>
          <w:rFonts w:hint="cs"/>
          <w:rtl/>
        </w:rPr>
        <w:t xml:space="preserve"> לפנינו כתב להדיא דההיתר הוא רק לענין שחיטה.</w:t>
      </w:r>
    </w:p>
  </w:footnote>
  <w:footnote w:id="105">
    <w:p w14:paraId="67E550CD" w14:textId="77777777" w:rsidR="00345400" w:rsidRDefault="00345400" w:rsidP="003D504D">
      <w:pPr>
        <w:pStyle w:val="af"/>
        <w:rPr>
          <w:rtl/>
        </w:rPr>
      </w:pPr>
      <w:r>
        <w:rPr>
          <w:rStyle w:val="af1"/>
        </w:rPr>
        <w:footnoteRef/>
      </w:r>
      <w:r>
        <w:rPr>
          <w:rtl/>
        </w:rPr>
        <w:t xml:space="preserve"> </w:t>
      </w:r>
      <w:r>
        <w:rPr>
          <w:rFonts w:hint="cs"/>
          <w:rtl/>
        </w:rPr>
        <w:t xml:space="preserve">הועתק בקובץ שיטות קמאי </w:t>
      </w:r>
      <w:r w:rsidRPr="005427C3">
        <w:rPr>
          <w:rStyle w:val="aff6"/>
          <w:rFonts w:hint="cs"/>
          <w:rtl/>
        </w:rPr>
        <w:t xml:space="preserve">(חולין ח"ב עמ' אלף </w:t>
      </w:r>
      <w:r>
        <w:rPr>
          <w:rStyle w:val="aff6"/>
          <w:rFonts w:hint="cs"/>
          <w:rtl/>
        </w:rPr>
        <w:t>תקפ"ז</w:t>
      </w:r>
      <w:r w:rsidRPr="00A9083A">
        <w:rPr>
          <w:rStyle w:val="aff6"/>
          <w:rFonts w:hint="cs"/>
          <w:rtl/>
        </w:rPr>
        <w:t>)</w:t>
      </w:r>
      <w:r>
        <w:rPr>
          <w:rFonts w:hint="cs"/>
          <w:rtl/>
        </w:rPr>
        <w:t>.</w:t>
      </w:r>
    </w:p>
  </w:footnote>
  <w:footnote w:id="106">
    <w:p w14:paraId="6359BEDC" w14:textId="77777777" w:rsidR="00345400" w:rsidRDefault="00345400" w:rsidP="003D504D">
      <w:pPr>
        <w:pStyle w:val="af"/>
        <w:rPr>
          <w:rtl/>
        </w:rPr>
      </w:pPr>
      <w:r>
        <w:rPr>
          <w:rStyle w:val="af1"/>
        </w:rPr>
        <w:footnoteRef/>
      </w:r>
      <w:r>
        <w:rPr>
          <w:rtl/>
        </w:rPr>
        <w:t xml:space="preserve"> </w:t>
      </w:r>
      <w:r>
        <w:rPr>
          <w:rFonts w:hint="cs"/>
          <w:rtl/>
        </w:rPr>
        <w:t xml:space="preserve">הועתק בקובץ שיטות קמאי </w:t>
      </w:r>
      <w:r w:rsidRPr="005427C3">
        <w:rPr>
          <w:rStyle w:val="aff6"/>
          <w:rFonts w:hint="cs"/>
          <w:rtl/>
        </w:rPr>
        <w:t xml:space="preserve">(חולין ח"ב עמ' אלף </w:t>
      </w:r>
      <w:r>
        <w:rPr>
          <w:rStyle w:val="aff6"/>
          <w:rFonts w:hint="cs"/>
          <w:rtl/>
        </w:rPr>
        <w:t>תקצ"ז, ח"ג עמ' ב' אלף תי"ח</w:t>
      </w:r>
      <w:r w:rsidRPr="005427C3">
        <w:rPr>
          <w:rStyle w:val="aff6"/>
          <w:rFonts w:hint="cs"/>
          <w:rtl/>
        </w:rPr>
        <w:t>)</w:t>
      </w:r>
      <w:r>
        <w:rPr>
          <w:rFonts w:hint="cs"/>
          <w:rtl/>
        </w:rPr>
        <w:t>.</w:t>
      </w:r>
    </w:p>
  </w:footnote>
  <w:footnote w:id="107">
    <w:p w14:paraId="04FBD777" w14:textId="77777777" w:rsidR="00345400" w:rsidRDefault="00345400" w:rsidP="003D504D">
      <w:pPr>
        <w:pStyle w:val="af"/>
        <w:rPr>
          <w:rtl/>
        </w:rPr>
      </w:pPr>
      <w:r>
        <w:rPr>
          <w:rStyle w:val="af1"/>
        </w:rPr>
        <w:footnoteRef/>
      </w:r>
      <w:r>
        <w:rPr>
          <w:rtl/>
        </w:rPr>
        <w:t xml:space="preserve"> </w:t>
      </w:r>
      <w:r w:rsidRPr="00132B93">
        <w:rPr>
          <w:rStyle w:val="afb"/>
          <w:rFonts w:hint="cs"/>
          <w:rtl/>
        </w:rPr>
        <w:t xml:space="preserve">הועתק בקובץ שיטות קמאי </w:t>
      </w:r>
      <w:r w:rsidRPr="00132B93">
        <w:rPr>
          <w:rStyle w:val="aff6"/>
          <w:rFonts w:hint="cs"/>
          <w:rtl/>
        </w:rPr>
        <w:t>(חולין ח"</w:t>
      </w:r>
      <w:r>
        <w:rPr>
          <w:rStyle w:val="aff6"/>
          <w:rFonts w:hint="cs"/>
          <w:rtl/>
        </w:rPr>
        <w:t>ב</w:t>
      </w:r>
      <w:r w:rsidRPr="00132B93">
        <w:rPr>
          <w:rStyle w:val="aff6"/>
          <w:rFonts w:hint="cs"/>
          <w:rtl/>
        </w:rPr>
        <w:t xml:space="preserve"> עמ' </w:t>
      </w:r>
      <w:r>
        <w:rPr>
          <w:rStyle w:val="aff6"/>
          <w:rFonts w:hint="cs"/>
          <w:rtl/>
        </w:rPr>
        <w:t xml:space="preserve">אלף </w:t>
      </w:r>
      <w:r w:rsidRPr="00132B93">
        <w:rPr>
          <w:rStyle w:val="aff6"/>
          <w:rFonts w:hint="cs"/>
          <w:rtl/>
        </w:rPr>
        <w:t>תק</w:t>
      </w:r>
      <w:r>
        <w:rPr>
          <w:rStyle w:val="aff6"/>
          <w:rFonts w:hint="cs"/>
          <w:rtl/>
        </w:rPr>
        <w:t>צ</w:t>
      </w:r>
      <w:r w:rsidRPr="00132B93">
        <w:rPr>
          <w:rStyle w:val="aff6"/>
          <w:rFonts w:hint="cs"/>
          <w:rtl/>
        </w:rPr>
        <w:t>"</w:t>
      </w:r>
      <w:r>
        <w:rPr>
          <w:rStyle w:val="aff6"/>
          <w:rFonts w:hint="cs"/>
          <w:rtl/>
        </w:rPr>
        <w:t>ו</w:t>
      </w:r>
      <w:r w:rsidRPr="00132B93">
        <w:rPr>
          <w:rStyle w:val="aff6"/>
          <w:rFonts w:hint="cs"/>
          <w:rtl/>
        </w:rPr>
        <w:t>)</w:t>
      </w:r>
      <w:r w:rsidRPr="00132B93">
        <w:rPr>
          <w:rStyle w:val="afb"/>
          <w:rFonts w:hint="cs"/>
          <w:rtl/>
        </w:rPr>
        <w:t>.</w:t>
      </w:r>
    </w:p>
  </w:footnote>
  <w:footnote w:id="108">
    <w:p w14:paraId="4C85A607" w14:textId="77777777" w:rsidR="00345400" w:rsidRDefault="00345400" w:rsidP="003D504D">
      <w:pPr>
        <w:pStyle w:val="af"/>
        <w:rPr>
          <w:rtl/>
        </w:rPr>
      </w:pPr>
      <w:r>
        <w:rPr>
          <w:rStyle w:val="af1"/>
        </w:rPr>
        <w:footnoteRef/>
      </w:r>
      <w:r>
        <w:rPr>
          <w:rtl/>
        </w:rPr>
        <w:t xml:space="preserve"> </w:t>
      </w:r>
      <w:r w:rsidRPr="00132B93">
        <w:rPr>
          <w:rStyle w:val="afb"/>
          <w:rFonts w:hint="cs"/>
          <w:rtl/>
        </w:rPr>
        <w:t xml:space="preserve">הועתק בקובץ שיטות קמאי </w:t>
      </w:r>
      <w:r w:rsidRPr="00132B93">
        <w:rPr>
          <w:rStyle w:val="aff6"/>
          <w:rFonts w:hint="cs"/>
          <w:rtl/>
        </w:rPr>
        <w:t>(חולין ח"</w:t>
      </w:r>
      <w:r>
        <w:rPr>
          <w:rStyle w:val="aff6"/>
          <w:rFonts w:hint="cs"/>
          <w:rtl/>
        </w:rPr>
        <w:t>ב</w:t>
      </w:r>
      <w:r w:rsidRPr="00132B93">
        <w:rPr>
          <w:rStyle w:val="aff6"/>
          <w:rFonts w:hint="cs"/>
          <w:rtl/>
        </w:rPr>
        <w:t xml:space="preserve"> עמ' </w:t>
      </w:r>
      <w:r>
        <w:rPr>
          <w:rStyle w:val="aff6"/>
          <w:rFonts w:hint="cs"/>
          <w:rtl/>
        </w:rPr>
        <w:t xml:space="preserve">אלף </w:t>
      </w:r>
      <w:r w:rsidRPr="00132B93">
        <w:rPr>
          <w:rStyle w:val="aff6"/>
          <w:rFonts w:hint="cs"/>
          <w:rtl/>
        </w:rPr>
        <w:t>תק</w:t>
      </w:r>
      <w:r>
        <w:rPr>
          <w:rStyle w:val="aff6"/>
          <w:rFonts w:hint="cs"/>
          <w:rtl/>
        </w:rPr>
        <w:t>צ</w:t>
      </w:r>
      <w:r w:rsidRPr="00132B93">
        <w:rPr>
          <w:rStyle w:val="aff6"/>
          <w:rFonts w:hint="cs"/>
          <w:rtl/>
        </w:rPr>
        <w:t>"</w:t>
      </w:r>
      <w:r>
        <w:rPr>
          <w:rStyle w:val="aff6"/>
          <w:rFonts w:hint="cs"/>
          <w:rtl/>
        </w:rPr>
        <w:t>ו</w:t>
      </w:r>
      <w:r w:rsidRPr="00132B93">
        <w:rPr>
          <w:rStyle w:val="aff6"/>
          <w:rFonts w:hint="cs"/>
          <w:rtl/>
        </w:rPr>
        <w:t>)</w:t>
      </w:r>
      <w:r w:rsidRPr="00132B93">
        <w:rPr>
          <w:rStyle w:val="afb"/>
          <w:rFonts w:hint="cs"/>
          <w:rtl/>
        </w:rPr>
        <w:t>.</w:t>
      </w:r>
    </w:p>
  </w:footnote>
  <w:footnote w:id="109">
    <w:p w14:paraId="3E3F446B" w14:textId="77777777" w:rsidR="00345400" w:rsidRDefault="00345400" w:rsidP="003D504D">
      <w:pPr>
        <w:pStyle w:val="af"/>
        <w:rPr>
          <w:rtl/>
        </w:rPr>
      </w:pPr>
      <w:r>
        <w:rPr>
          <w:rStyle w:val="af1"/>
        </w:rPr>
        <w:footnoteRef/>
      </w:r>
      <w:r>
        <w:rPr>
          <w:rtl/>
        </w:rPr>
        <w:t xml:space="preserve"> </w:t>
      </w:r>
      <w:r>
        <w:rPr>
          <w:rFonts w:hint="cs"/>
          <w:rtl/>
        </w:rPr>
        <w:t xml:space="preserve">הועתק בקובץ שיטות קמאי </w:t>
      </w:r>
      <w:r w:rsidRPr="005427C3">
        <w:rPr>
          <w:rStyle w:val="aff6"/>
          <w:rFonts w:hint="cs"/>
          <w:rtl/>
        </w:rPr>
        <w:t xml:space="preserve">(חולין ח"ב עמ' אלף </w:t>
      </w:r>
      <w:r>
        <w:rPr>
          <w:rStyle w:val="aff6"/>
          <w:rFonts w:hint="cs"/>
          <w:rtl/>
        </w:rPr>
        <w:t>תקפ"ז</w:t>
      </w:r>
      <w:r w:rsidRPr="00A9083A">
        <w:rPr>
          <w:rStyle w:val="aff6"/>
          <w:rFonts w:hint="cs"/>
          <w:rtl/>
        </w:rPr>
        <w:t>)</w:t>
      </w:r>
      <w:r>
        <w:rPr>
          <w:rFonts w:hint="cs"/>
          <w:rtl/>
        </w:rPr>
        <w:t>.</w:t>
      </w:r>
    </w:p>
  </w:footnote>
  <w:footnote w:id="110">
    <w:p w14:paraId="1C30899A" w14:textId="77777777" w:rsidR="00345400" w:rsidRDefault="00345400" w:rsidP="003D504D">
      <w:pPr>
        <w:pStyle w:val="af"/>
        <w:rPr>
          <w:rtl/>
        </w:rPr>
      </w:pPr>
      <w:r>
        <w:rPr>
          <w:rStyle w:val="af1"/>
        </w:rPr>
        <w:footnoteRef/>
      </w:r>
      <w:r>
        <w:rPr>
          <w:rtl/>
        </w:rPr>
        <w:t xml:space="preserve"> </w:t>
      </w:r>
      <w:r w:rsidRPr="00132B93">
        <w:rPr>
          <w:rStyle w:val="afb"/>
          <w:rFonts w:hint="cs"/>
          <w:rtl/>
        </w:rPr>
        <w:t xml:space="preserve">הועתק בקובץ שיטות קמאי </w:t>
      </w:r>
      <w:r w:rsidRPr="00132B93">
        <w:rPr>
          <w:rStyle w:val="aff6"/>
          <w:rFonts w:hint="cs"/>
          <w:rtl/>
        </w:rPr>
        <w:t>(חולין ח"</w:t>
      </w:r>
      <w:r>
        <w:rPr>
          <w:rStyle w:val="aff6"/>
          <w:rFonts w:hint="cs"/>
          <w:rtl/>
        </w:rPr>
        <w:t>ב</w:t>
      </w:r>
      <w:r w:rsidRPr="00132B93">
        <w:rPr>
          <w:rStyle w:val="aff6"/>
          <w:rFonts w:hint="cs"/>
          <w:rtl/>
        </w:rPr>
        <w:t xml:space="preserve"> עמ' </w:t>
      </w:r>
      <w:r>
        <w:rPr>
          <w:rStyle w:val="aff6"/>
          <w:rFonts w:hint="cs"/>
          <w:rtl/>
        </w:rPr>
        <w:t xml:space="preserve">אלף </w:t>
      </w:r>
      <w:r w:rsidRPr="00132B93">
        <w:rPr>
          <w:rStyle w:val="aff6"/>
          <w:rFonts w:hint="cs"/>
          <w:rtl/>
        </w:rPr>
        <w:t>תק</w:t>
      </w:r>
      <w:r>
        <w:rPr>
          <w:rStyle w:val="aff6"/>
          <w:rFonts w:hint="cs"/>
          <w:rtl/>
        </w:rPr>
        <w:t>צ</w:t>
      </w:r>
      <w:r w:rsidRPr="00132B93">
        <w:rPr>
          <w:rStyle w:val="aff6"/>
          <w:rFonts w:hint="cs"/>
          <w:rtl/>
        </w:rPr>
        <w:t>"</w:t>
      </w:r>
      <w:r>
        <w:rPr>
          <w:rStyle w:val="aff6"/>
          <w:rFonts w:hint="cs"/>
          <w:rtl/>
        </w:rPr>
        <w:t>ו</w:t>
      </w:r>
      <w:r w:rsidRPr="00132B93">
        <w:rPr>
          <w:rStyle w:val="aff6"/>
          <w:rFonts w:hint="cs"/>
          <w:rtl/>
        </w:rPr>
        <w:t>)</w:t>
      </w:r>
      <w:r w:rsidRPr="00132B93">
        <w:rPr>
          <w:rStyle w:val="afb"/>
          <w:rFonts w:hint="cs"/>
          <w:rtl/>
        </w:rPr>
        <w:t>.</w:t>
      </w:r>
    </w:p>
  </w:footnote>
  <w:footnote w:id="111">
    <w:p w14:paraId="0D1B8C6D" w14:textId="77777777" w:rsidR="00345400" w:rsidRDefault="00345400" w:rsidP="003D504D">
      <w:pPr>
        <w:pStyle w:val="af"/>
        <w:rPr>
          <w:rtl/>
        </w:rPr>
      </w:pPr>
      <w:r>
        <w:rPr>
          <w:rStyle w:val="af1"/>
        </w:rPr>
        <w:footnoteRef/>
      </w:r>
      <w:r>
        <w:rPr>
          <w:rtl/>
        </w:rPr>
        <w:t xml:space="preserve"> </w:t>
      </w:r>
      <w:r>
        <w:rPr>
          <w:rFonts w:hint="cs"/>
          <w:rtl/>
        </w:rPr>
        <w:t xml:space="preserve">נד' גם בספר </w:t>
      </w:r>
      <w:r w:rsidRPr="003471EF">
        <w:rPr>
          <w:rStyle w:val="affa"/>
          <w:rFonts w:hint="cs"/>
          <w:rtl/>
        </w:rPr>
        <w:t>פירות גינוסר</w:t>
      </w:r>
      <w:r>
        <w:rPr>
          <w:rFonts w:hint="cs"/>
          <w:rtl/>
        </w:rPr>
        <w:t>.</w:t>
      </w:r>
    </w:p>
  </w:footnote>
  <w:footnote w:id="112">
    <w:p w14:paraId="74E6DCE7" w14:textId="77777777" w:rsidR="00345400" w:rsidRDefault="00345400" w:rsidP="003D504D">
      <w:pPr>
        <w:pStyle w:val="af"/>
      </w:pPr>
      <w:r>
        <w:rPr>
          <w:rStyle w:val="af1"/>
        </w:rPr>
        <w:footnoteRef/>
      </w:r>
      <w:r>
        <w:rPr>
          <w:rtl/>
        </w:rPr>
        <w:t xml:space="preserve"> </w:t>
      </w:r>
      <w:r>
        <w:rPr>
          <w:rFonts w:hint="cs"/>
          <w:rtl/>
        </w:rPr>
        <w:t xml:space="preserve">ועי' בדברי </w:t>
      </w:r>
      <w:r w:rsidRPr="00C04108">
        <w:rPr>
          <w:rStyle w:val="affa"/>
          <w:rFonts w:hint="cs"/>
          <w:rtl/>
        </w:rPr>
        <w:t>הצפנת פענח</w:t>
      </w:r>
      <w:r>
        <w:rPr>
          <w:rFonts w:hint="cs"/>
          <w:rtl/>
        </w:rPr>
        <w:t xml:space="preserve"> </w:t>
      </w:r>
      <w:r w:rsidRPr="00C04108">
        <w:rPr>
          <w:rStyle w:val="aff6"/>
          <w:rFonts w:hint="cs"/>
          <w:rtl/>
        </w:rPr>
        <w:t>(זרעים פ"ט ה"ה עמ' 20)</w:t>
      </w:r>
      <w:r>
        <w:rPr>
          <w:rFonts w:hint="cs"/>
          <w:rtl/>
        </w:rPr>
        <w:t xml:space="preserve"> דכתב דיש לחקור בגדר האיסור בהוציא העובר את ראשו, אי חשיב דהוי לידה, [דהיינו דאף ששאר האברים עדיין בפנים, מ"מ כיון שיצא ראשו דינו כילוד וכבהמה בפנ"ע], או דחשיב שאף שאר האברים יצאו, [וכיון דחשיב שיצא כולו, לכן דינו כילוד].</w:t>
      </w:r>
    </w:p>
  </w:footnote>
  <w:footnote w:id="113">
    <w:p w14:paraId="57B589AB" w14:textId="77777777" w:rsidR="00345400" w:rsidRDefault="00345400" w:rsidP="003D504D">
      <w:pPr>
        <w:pStyle w:val="af"/>
        <w:rPr>
          <w:rtl/>
        </w:rPr>
      </w:pPr>
      <w:r>
        <w:rPr>
          <w:rStyle w:val="af1"/>
        </w:rPr>
        <w:footnoteRef/>
      </w:r>
      <w:r>
        <w:rPr>
          <w:rtl/>
        </w:rPr>
        <w:t xml:space="preserve"> </w:t>
      </w:r>
      <w:r>
        <w:rPr>
          <w:rFonts w:hint="cs"/>
          <w:rtl/>
        </w:rPr>
        <w:t xml:space="preserve">נד' גם בספר </w:t>
      </w:r>
      <w:r w:rsidRPr="003471EF">
        <w:rPr>
          <w:rStyle w:val="affa"/>
          <w:rFonts w:hint="cs"/>
          <w:rtl/>
        </w:rPr>
        <w:t>פירות גינוסר</w:t>
      </w:r>
      <w:r>
        <w:rPr>
          <w:rFonts w:hint="cs"/>
          <w:rtl/>
        </w:rPr>
        <w:t>.</w:t>
      </w:r>
    </w:p>
  </w:footnote>
  <w:footnote w:id="114">
    <w:p w14:paraId="6A6F59C8" w14:textId="77777777" w:rsidR="00345400" w:rsidRDefault="00345400" w:rsidP="003D504D">
      <w:pPr>
        <w:pStyle w:val="af"/>
        <w:rPr>
          <w:rtl/>
        </w:rPr>
      </w:pPr>
      <w:r>
        <w:rPr>
          <w:rStyle w:val="af1"/>
        </w:rPr>
        <w:footnoteRef/>
      </w:r>
      <w:r>
        <w:rPr>
          <w:rtl/>
        </w:rPr>
        <w:t xml:space="preserve"> </w:t>
      </w:r>
      <w:r>
        <w:rPr>
          <w:rFonts w:hint="cs"/>
          <w:rtl/>
        </w:rPr>
        <w:t xml:space="preserve">נד' גם בספר </w:t>
      </w:r>
      <w:r w:rsidRPr="008E7B1C">
        <w:rPr>
          <w:rStyle w:val="affa"/>
          <w:rFonts w:hint="cs"/>
          <w:rtl/>
        </w:rPr>
        <w:t>פירות גינוסר</w:t>
      </w:r>
      <w:r>
        <w:rPr>
          <w:rFonts w:hint="cs"/>
          <w:rtl/>
        </w:rPr>
        <w:t>.</w:t>
      </w:r>
    </w:p>
  </w:footnote>
  <w:footnote w:id="115">
    <w:p w14:paraId="4CD446BD" w14:textId="77777777" w:rsidR="00345400" w:rsidRDefault="00345400" w:rsidP="003D504D">
      <w:pPr>
        <w:pStyle w:val="af"/>
        <w:rPr>
          <w:rtl/>
        </w:rPr>
      </w:pPr>
      <w:r>
        <w:rPr>
          <w:rStyle w:val="af1"/>
        </w:rPr>
        <w:footnoteRef/>
      </w:r>
      <w:r>
        <w:rPr>
          <w:rtl/>
        </w:rPr>
        <w:t xml:space="preserve"> </w:t>
      </w:r>
      <w:r>
        <w:rPr>
          <w:rStyle w:val="afb"/>
          <w:rtl/>
        </w:rPr>
        <w:t>נד' גם</w:t>
      </w:r>
      <w:r>
        <w:rPr>
          <w:rtl/>
        </w:rPr>
        <w:t xml:space="preserve"> </w:t>
      </w:r>
      <w:r>
        <w:rPr>
          <w:rStyle w:val="affa"/>
          <w:rtl/>
        </w:rPr>
        <w:t>בספר קובץ ענינים</w:t>
      </w:r>
      <w:r>
        <w:rPr>
          <w:rtl/>
        </w:rPr>
        <w:t xml:space="preserve"> </w:t>
      </w:r>
      <w:r>
        <w:rPr>
          <w:rFonts w:hint="cs"/>
          <w:rtl/>
        </w:rPr>
        <w:t xml:space="preserve">בשיעורי הגר"ד רפפורט </w:t>
      </w:r>
      <w:r>
        <w:rPr>
          <w:rStyle w:val="aff6"/>
          <w:rtl/>
        </w:rPr>
        <w:t>(חולין סי' א' אות ט')</w:t>
      </w:r>
      <w:r>
        <w:rPr>
          <w:rStyle w:val="afb"/>
          <w:rtl/>
        </w:rPr>
        <w:t>.</w:t>
      </w:r>
    </w:p>
  </w:footnote>
  <w:footnote w:id="116">
    <w:p w14:paraId="06AAAEE2" w14:textId="77777777" w:rsidR="00345400" w:rsidRDefault="00345400" w:rsidP="003D504D">
      <w:pPr>
        <w:pStyle w:val="af"/>
      </w:pPr>
      <w:r>
        <w:rPr>
          <w:rStyle w:val="af1"/>
        </w:rPr>
        <w:footnoteRef/>
      </w:r>
      <w:r>
        <w:rPr>
          <w:rtl/>
        </w:rPr>
        <w:t xml:space="preserve"> </w:t>
      </w:r>
      <w:r w:rsidRPr="00AE65B5">
        <w:rPr>
          <w:rtl/>
        </w:rPr>
        <w:t xml:space="preserve">כתב </w:t>
      </w:r>
      <w:r w:rsidRPr="001E2D5E">
        <w:rPr>
          <w:rStyle w:val="affa"/>
          <w:rtl/>
        </w:rPr>
        <w:t>האבנ"מ</w:t>
      </w:r>
      <w:r w:rsidRPr="00AE65B5">
        <w:rPr>
          <w:rtl/>
        </w:rPr>
        <w:t xml:space="preserve"> </w:t>
      </w:r>
      <w:r w:rsidRPr="001E2D5E">
        <w:rPr>
          <w:rStyle w:val="aff6"/>
          <w:rtl/>
        </w:rPr>
        <w:t>(שו"ת סי' ז' ד"ה ובתוס' חולין)</w:t>
      </w:r>
      <w:r w:rsidRPr="00AE65B5">
        <w:rPr>
          <w:rtl/>
        </w:rPr>
        <w:t xml:space="preserve"> דמבואר מדברי </w:t>
      </w:r>
      <w:r w:rsidRPr="001E2D5E">
        <w:rPr>
          <w:rStyle w:val="affa"/>
          <w:rtl/>
        </w:rPr>
        <w:t>התוס' לעיל</w:t>
      </w:r>
      <w:r w:rsidRPr="00AE65B5">
        <w:rPr>
          <w:rtl/>
        </w:rPr>
        <w:t xml:space="preserve"> דלא כדברי </w:t>
      </w:r>
      <w:r w:rsidRPr="001E2D5E">
        <w:rPr>
          <w:rStyle w:val="affa"/>
          <w:rtl/>
        </w:rPr>
        <w:t xml:space="preserve">הר"ן </w:t>
      </w:r>
      <w:r>
        <w:rPr>
          <w:rStyle w:val="affa"/>
          <w:rFonts w:hint="cs"/>
          <w:rtl/>
        </w:rPr>
        <w:t xml:space="preserve">על הרי"ף בע"ז </w:t>
      </w:r>
      <w:r w:rsidRPr="00D42B2D">
        <w:rPr>
          <w:rStyle w:val="aff6"/>
          <w:rFonts w:hint="cs"/>
          <w:rtl/>
        </w:rPr>
        <w:t>(לה: מדפי הרי"ף)</w:t>
      </w:r>
      <w:r w:rsidRPr="00AE65B5">
        <w:rPr>
          <w:rtl/>
        </w:rPr>
        <w:t xml:space="preserve"> דכתב דדין זה וזה גורם הוא מדין ביטול, דאי הוא מדין ביטול אין כל חילוק אם שניהם היתר או דאחד הוא איסור, כמו בכלאים דמהני ביטול בצמר רחלים שנתערב בצמר גמלים, דצמר הרחלים בטל ברוב ומותר לערב עמו פשתן, וא"כ אף בזה וזה גורם אמאי לא </w:t>
      </w:r>
      <w:r w:rsidRPr="005F4DD8">
        <w:rPr>
          <w:rtl/>
        </w:rPr>
        <w:t>מהני כששניהם היתר</w:t>
      </w:r>
      <w:r w:rsidRPr="005F4DD8">
        <w:rPr>
          <w:rFonts w:hint="cs"/>
          <w:rtl/>
        </w:rPr>
        <w:t xml:space="preserve">, </w:t>
      </w:r>
      <w:r w:rsidRPr="005F4DD8">
        <w:rPr>
          <w:rStyle w:val="afb"/>
          <w:rFonts w:hint="cs"/>
          <w:rtl/>
        </w:rPr>
        <w:t xml:space="preserve">ועי' בדברי </w:t>
      </w:r>
      <w:r w:rsidRPr="005F4DD8">
        <w:rPr>
          <w:rStyle w:val="affa"/>
          <w:rFonts w:hint="cs"/>
          <w:rtl/>
        </w:rPr>
        <w:t>המהר"ץ חיות</w:t>
      </w:r>
      <w:r w:rsidRPr="005F4DD8">
        <w:rPr>
          <w:rStyle w:val="afb"/>
          <w:rFonts w:hint="cs"/>
          <w:rtl/>
        </w:rPr>
        <w:t xml:space="preserve"> </w:t>
      </w:r>
      <w:r w:rsidRPr="005F4DD8">
        <w:rPr>
          <w:rStyle w:val="aff6"/>
          <w:rFonts w:hint="cs"/>
          <w:rtl/>
        </w:rPr>
        <w:t>(על תוד"ה תלתא)</w:t>
      </w:r>
      <w:r w:rsidRPr="005F4DD8">
        <w:rPr>
          <w:rStyle w:val="afb"/>
          <w:rFonts w:hint="cs"/>
          <w:rtl/>
        </w:rPr>
        <w:t xml:space="preserve"> דכתב דהכא לא שייך לומר דדין זה וזה גורם הוא מדין ביטול ברוב, ועיי"ש במה שהביא דיש מבארים שזהו גדר ההיתר בזה וזה גורם</w:t>
      </w:r>
      <w:r w:rsidRPr="005F4DD8">
        <w:rPr>
          <w:rFonts w:hint="cs"/>
          <w:rtl/>
        </w:rPr>
        <w:t xml:space="preserve"> </w:t>
      </w:r>
      <w:r>
        <w:rPr>
          <w:rFonts w:hint="cs"/>
          <w:rtl/>
        </w:rPr>
        <w:t>וע"ע</w:t>
      </w:r>
      <w:r w:rsidRPr="005F4DD8">
        <w:rPr>
          <w:rFonts w:hint="cs"/>
          <w:rtl/>
        </w:rPr>
        <w:t xml:space="preserve"> </w:t>
      </w:r>
      <w:r w:rsidRPr="00D60546">
        <w:rPr>
          <w:rStyle w:val="affa"/>
          <w:rFonts w:hint="cs"/>
          <w:rtl/>
        </w:rPr>
        <w:t>בשער"י</w:t>
      </w:r>
      <w:r w:rsidRPr="005F4DD8">
        <w:rPr>
          <w:rFonts w:hint="cs"/>
          <w:rtl/>
        </w:rPr>
        <w:t xml:space="preserve"> </w:t>
      </w:r>
      <w:r w:rsidRPr="00685415">
        <w:rPr>
          <w:rStyle w:val="aff6"/>
          <w:rFonts w:hint="cs"/>
          <w:rtl/>
        </w:rPr>
        <w:t xml:space="preserve">(עי' אות </w:t>
      </w:r>
      <w:r w:rsidRPr="00685415">
        <w:rPr>
          <w:rStyle w:val="aff6"/>
          <w:rtl/>
        </w:rPr>
        <w:fldChar w:fldCharType="begin"/>
      </w:r>
      <w:r w:rsidRPr="00685415">
        <w:rPr>
          <w:rStyle w:val="aff6"/>
          <w:rtl/>
        </w:rPr>
        <w:instrText xml:space="preserve"> </w:instrText>
      </w:r>
      <w:r w:rsidRPr="00685415">
        <w:rPr>
          <w:rStyle w:val="aff6"/>
        </w:rPr>
        <w:instrText>REF</w:instrText>
      </w:r>
      <w:r w:rsidRPr="00685415">
        <w:rPr>
          <w:rStyle w:val="aff6"/>
          <w:rtl/>
        </w:rPr>
        <w:instrText xml:space="preserve"> _</w:instrText>
      </w:r>
      <w:r w:rsidRPr="00685415">
        <w:rPr>
          <w:rStyle w:val="aff6"/>
        </w:rPr>
        <w:instrText>Ref859993 \r \h</w:instrText>
      </w:r>
      <w:r w:rsidRPr="00685415">
        <w:rPr>
          <w:rStyle w:val="aff6"/>
          <w:rtl/>
        </w:rPr>
        <w:instrText xml:space="preserve">  \* </w:instrText>
      </w:r>
      <w:r w:rsidRPr="00685415">
        <w:rPr>
          <w:rStyle w:val="aff6"/>
        </w:rPr>
        <w:instrText>MERGEFORMAT</w:instrText>
      </w:r>
      <w:r w:rsidRPr="00685415">
        <w:rPr>
          <w:rStyle w:val="aff6"/>
          <w:rtl/>
        </w:rPr>
        <w:instrText xml:space="preserve"> </w:instrText>
      </w:r>
      <w:r w:rsidRPr="00685415">
        <w:rPr>
          <w:rStyle w:val="aff6"/>
          <w:rtl/>
        </w:rPr>
      </w:r>
      <w:r w:rsidRPr="00685415">
        <w:rPr>
          <w:rStyle w:val="aff6"/>
          <w:rtl/>
        </w:rPr>
        <w:fldChar w:fldCharType="separate"/>
      </w:r>
      <w:r>
        <w:rPr>
          <w:rStyle w:val="aff6"/>
          <w:cs/>
        </w:rPr>
        <w:t>‎</w:t>
      </w:r>
      <w:r>
        <w:rPr>
          <w:rStyle w:val="aff6"/>
          <w:rtl/>
        </w:rPr>
        <w:t>עז)</w:t>
      </w:r>
      <w:r w:rsidRPr="00685415">
        <w:rPr>
          <w:rStyle w:val="aff6"/>
          <w:rtl/>
        </w:rPr>
        <w:fldChar w:fldCharType="end"/>
      </w:r>
      <w:r w:rsidRPr="00AE65B5">
        <w:rPr>
          <w:rtl/>
        </w:rPr>
        <w:t>.</w:t>
      </w:r>
    </w:p>
  </w:footnote>
  <w:footnote w:id="117">
    <w:p w14:paraId="5D03CEFE" w14:textId="77777777" w:rsidR="00345400" w:rsidRDefault="00345400" w:rsidP="003D504D">
      <w:pPr>
        <w:pStyle w:val="af"/>
        <w:rPr>
          <w:rtl/>
        </w:rPr>
      </w:pPr>
      <w:r>
        <w:rPr>
          <w:rStyle w:val="af1"/>
        </w:rPr>
        <w:footnoteRef/>
      </w:r>
      <w:r>
        <w:rPr>
          <w:rtl/>
        </w:rPr>
        <w:t xml:space="preserve"> </w:t>
      </w:r>
      <w:r>
        <w:rPr>
          <w:rStyle w:val="afb"/>
          <w:rtl/>
        </w:rPr>
        <w:t>נד' גם</w:t>
      </w:r>
      <w:r>
        <w:rPr>
          <w:rtl/>
        </w:rPr>
        <w:t xml:space="preserve"> </w:t>
      </w:r>
      <w:r>
        <w:rPr>
          <w:rStyle w:val="affa"/>
          <w:rtl/>
        </w:rPr>
        <w:t>בספר קובץ ענינים</w:t>
      </w:r>
      <w:r>
        <w:rPr>
          <w:rtl/>
        </w:rPr>
        <w:t xml:space="preserve"> </w:t>
      </w:r>
      <w:r>
        <w:rPr>
          <w:rFonts w:hint="cs"/>
          <w:rtl/>
        </w:rPr>
        <w:t xml:space="preserve">בשיעורי הגר"ד רפפורט </w:t>
      </w:r>
      <w:r>
        <w:rPr>
          <w:rStyle w:val="aff6"/>
          <w:rtl/>
        </w:rPr>
        <w:t xml:space="preserve">(חולין סי' א' אות </w:t>
      </w:r>
      <w:r>
        <w:rPr>
          <w:rStyle w:val="aff6"/>
          <w:rFonts w:hint="cs"/>
          <w:rtl/>
        </w:rPr>
        <w:t>י</w:t>
      </w:r>
      <w:r>
        <w:rPr>
          <w:rStyle w:val="aff6"/>
          <w:rtl/>
        </w:rPr>
        <w:t>')</w:t>
      </w:r>
      <w:r>
        <w:rPr>
          <w:rStyle w:val="afb"/>
          <w:rtl/>
        </w:rPr>
        <w:t>.</w:t>
      </w:r>
    </w:p>
  </w:footnote>
  <w:footnote w:id="118">
    <w:p w14:paraId="7628DDA2" w14:textId="77777777" w:rsidR="00345400" w:rsidRDefault="00345400" w:rsidP="003D504D">
      <w:pPr>
        <w:pStyle w:val="af"/>
        <w:rPr>
          <w:rtl/>
        </w:rPr>
      </w:pPr>
      <w:r>
        <w:rPr>
          <w:rStyle w:val="af1"/>
        </w:rPr>
        <w:footnoteRef/>
      </w:r>
      <w:r>
        <w:rPr>
          <w:rtl/>
        </w:rPr>
        <w:t xml:space="preserve"> </w:t>
      </w:r>
      <w:r w:rsidRPr="00CB35F8">
        <w:rPr>
          <w:rtl/>
        </w:rPr>
        <w:t xml:space="preserve">הקשה </w:t>
      </w:r>
      <w:r w:rsidRPr="00716955">
        <w:rPr>
          <w:rStyle w:val="affa"/>
          <w:rtl/>
        </w:rPr>
        <w:t xml:space="preserve">הגרא"ו </w:t>
      </w:r>
      <w:r w:rsidRPr="00716955">
        <w:rPr>
          <w:rStyle w:val="aff6"/>
          <w:rtl/>
        </w:rPr>
        <w:t>(בספר קובץ ענינים בסוגיין ד"ה אבל)</w:t>
      </w:r>
      <w:r w:rsidRPr="00CB35F8">
        <w:rPr>
          <w:rtl/>
        </w:rPr>
        <w:t xml:space="preserve"> דכיון דסברת ר"מ דלא מהני שחיטת האם לבן ט' חי, הוא כיון דחשיב בהמה גמורה, א"כ אמאי לא מהני לו שחיטה במעי אמו, הרי הוא בהמה בפנ"ע, וכתב </w:t>
      </w:r>
      <w:r w:rsidRPr="00716955">
        <w:rPr>
          <w:rStyle w:val="affa"/>
          <w:rtl/>
        </w:rPr>
        <w:t xml:space="preserve">הגרא"ו </w:t>
      </w:r>
      <w:r w:rsidRPr="00CB35F8">
        <w:rPr>
          <w:rtl/>
        </w:rPr>
        <w:t xml:space="preserve">דמ"ש </w:t>
      </w:r>
      <w:r w:rsidRPr="00716955">
        <w:rPr>
          <w:rStyle w:val="affa"/>
          <w:rtl/>
        </w:rPr>
        <w:t>הלבוש</w:t>
      </w:r>
      <w:r w:rsidRPr="00CB35F8">
        <w:rPr>
          <w:rtl/>
        </w:rPr>
        <w:t xml:space="preserve"> </w:t>
      </w:r>
      <w:r w:rsidRPr="00716955">
        <w:rPr>
          <w:rStyle w:val="aff6"/>
          <w:rtl/>
        </w:rPr>
        <w:t>(עי' אות</w:t>
      </w:r>
      <w:r w:rsidRPr="00716955">
        <w:rPr>
          <w:rStyle w:val="aff6"/>
          <w:rFonts w:hint="cs"/>
          <w:rtl/>
        </w:rPr>
        <w:t xml:space="preserve"> </w:t>
      </w:r>
      <w:r w:rsidRPr="00716955">
        <w:rPr>
          <w:rStyle w:val="aff6"/>
          <w:rtl/>
        </w:rPr>
        <w:fldChar w:fldCharType="begin"/>
      </w:r>
      <w:r w:rsidRPr="00716955">
        <w:rPr>
          <w:rStyle w:val="aff6"/>
          <w:rtl/>
        </w:rPr>
        <w:instrText xml:space="preserve"> </w:instrText>
      </w:r>
      <w:r w:rsidRPr="00716955">
        <w:rPr>
          <w:rStyle w:val="aff6"/>
          <w:rFonts w:hint="cs"/>
        </w:rPr>
        <w:instrText>REF</w:instrText>
      </w:r>
      <w:r w:rsidRPr="00716955">
        <w:rPr>
          <w:rStyle w:val="aff6"/>
          <w:rFonts w:hint="cs"/>
          <w:rtl/>
        </w:rPr>
        <w:instrText xml:space="preserve"> _</w:instrText>
      </w:r>
      <w:r w:rsidRPr="00716955">
        <w:rPr>
          <w:rStyle w:val="aff6"/>
          <w:rFonts w:hint="cs"/>
        </w:rPr>
        <w:instrText>Ref1716763 \r \h</w:instrText>
      </w:r>
      <w:r w:rsidRPr="00716955">
        <w:rPr>
          <w:rStyle w:val="aff6"/>
          <w:rtl/>
        </w:rPr>
        <w:instrText xml:space="preserve"> </w:instrText>
      </w:r>
      <w:r w:rsidRPr="00716955">
        <w:rPr>
          <w:rStyle w:val="aff6"/>
          <w:rtl/>
        </w:rPr>
      </w:r>
      <w:r w:rsidRPr="00716955">
        <w:rPr>
          <w:rStyle w:val="aff6"/>
          <w:rtl/>
        </w:rPr>
        <w:fldChar w:fldCharType="separate"/>
      </w:r>
      <w:r>
        <w:rPr>
          <w:rStyle w:val="aff6"/>
          <w:cs/>
        </w:rPr>
        <w:t>‎</w:t>
      </w:r>
      <w:r>
        <w:rPr>
          <w:rStyle w:val="aff6"/>
          <w:rtl/>
        </w:rPr>
        <w:t>כא)</w:t>
      </w:r>
      <w:r w:rsidRPr="00716955">
        <w:rPr>
          <w:rStyle w:val="aff6"/>
          <w:rtl/>
        </w:rPr>
        <w:fldChar w:fldCharType="end"/>
      </w:r>
      <w:r>
        <w:rPr>
          <w:rFonts w:hint="cs"/>
          <w:rtl/>
        </w:rPr>
        <w:t xml:space="preserve"> </w:t>
      </w:r>
      <w:r w:rsidRPr="00CB35F8">
        <w:rPr>
          <w:rtl/>
        </w:rPr>
        <w:t>דפסול מדין חלדה, לא משמע כן בגמ'.</w:t>
      </w:r>
    </w:p>
    <w:p w14:paraId="18CB7741" w14:textId="77777777" w:rsidR="00345400" w:rsidRDefault="00345400" w:rsidP="003D504D">
      <w:pPr>
        <w:pStyle w:val="af"/>
        <w:rPr>
          <w:rtl/>
        </w:rPr>
      </w:pPr>
      <w:r>
        <w:rPr>
          <w:rFonts w:hint="cs"/>
          <w:rtl/>
        </w:rPr>
        <w:t xml:space="preserve">וע"ע בדברי </w:t>
      </w:r>
      <w:r w:rsidRPr="001B0680">
        <w:rPr>
          <w:rStyle w:val="affa"/>
          <w:rFonts w:hint="cs"/>
          <w:rtl/>
        </w:rPr>
        <w:t>הגרא"ו</w:t>
      </w:r>
      <w:r>
        <w:rPr>
          <w:rFonts w:hint="cs"/>
          <w:rtl/>
        </w:rPr>
        <w:t xml:space="preserve"> </w:t>
      </w:r>
      <w:r w:rsidRPr="00691392">
        <w:rPr>
          <w:rStyle w:val="aff6"/>
          <w:rFonts w:hint="cs"/>
          <w:rtl/>
        </w:rPr>
        <w:t>(בספר קובץ ענינים לעיל סח: ד"ה ה"מ)</w:t>
      </w:r>
      <w:r w:rsidRPr="001B0680">
        <w:rPr>
          <w:rFonts w:hint="cs"/>
          <w:rtl/>
        </w:rPr>
        <w:t xml:space="preserve"> </w:t>
      </w:r>
      <w:r>
        <w:rPr>
          <w:rFonts w:hint="cs"/>
          <w:rtl/>
        </w:rPr>
        <w:t xml:space="preserve">דכתב דאף להצד דמהני השחיטה במעי אמו, מ"מ לקלוט לא מהני השחיטה, כיון שלא מהני שחיטה בקלוט שיצא לאויר העולם, וכתב </w:t>
      </w:r>
      <w:r w:rsidRPr="001B0680">
        <w:rPr>
          <w:rStyle w:val="affa"/>
          <w:rFonts w:hint="cs"/>
          <w:rtl/>
        </w:rPr>
        <w:t>הגרא"ו</w:t>
      </w:r>
      <w:r>
        <w:rPr>
          <w:rFonts w:hint="cs"/>
          <w:rtl/>
        </w:rPr>
        <w:t xml:space="preserve"> דמוכח מזה דההיתר בבן פקועה, אינו מחמת דחשיב שהעובר נשחט בשחיטת אמו, דא"כ קלוט לא היה מותר בהיתר בן פקועה, ומוכח דהוא גזיה"כ שיש בו היתר "בהמה בבהמה", ואף קלוט בכלל ההיתר.</w:t>
      </w:r>
    </w:p>
  </w:footnote>
  <w:footnote w:id="119">
    <w:p w14:paraId="50AAC590" w14:textId="77777777" w:rsidR="00345400" w:rsidRDefault="00345400" w:rsidP="003D504D">
      <w:pPr>
        <w:pStyle w:val="af"/>
        <w:rPr>
          <w:rtl/>
        </w:rPr>
      </w:pPr>
      <w:r>
        <w:rPr>
          <w:rStyle w:val="af1"/>
        </w:rPr>
        <w:footnoteRef/>
      </w:r>
      <w:r>
        <w:rPr>
          <w:rtl/>
        </w:rPr>
        <w:t xml:space="preserve"> </w:t>
      </w:r>
      <w:r w:rsidRPr="00DF044E">
        <w:rPr>
          <w:rtl/>
        </w:rPr>
        <w:t xml:space="preserve">ועיי"ש בדברי </w:t>
      </w:r>
      <w:r w:rsidRPr="00F41B09">
        <w:rPr>
          <w:rStyle w:val="affa"/>
          <w:rtl/>
        </w:rPr>
        <w:t>השבות יעקב</w:t>
      </w:r>
      <w:r w:rsidRPr="00DF044E">
        <w:rPr>
          <w:rtl/>
        </w:rPr>
        <w:t xml:space="preserve"> ד</w:t>
      </w:r>
      <w:r>
        <w:rPr>
          <w:rFonts w:hint="cs"/>
          <w:rtl/>
        </w:rPr>
        <w:t xml:space="preserve">בתחילת דבריו </w:t>
      </w:r>
      <w:r w:rsidRPr="00DF044E">
        <w:rPr>
          <w:rtl/>
        </w:rPr>
        <w:t xml:space="preserve">רצה לבאר </w:t>
      </w:r>
      <w:r w:rsidRPr="00F41B09">
        <w:rPr>
          <w:rStyle w:val="affa"/>
          <w:rtl/>
        </w:rPr>
        <w:t>דהרמב"ם</w:t>
      </w:r>
      <w:r w:rsidRPr="00DF044E">
        <w:rPr>
          <w:rtl/>
        </w:rPr>
        <w:t xml:space="preserve"> השמיט את בעיא דרב </w:t>
      </w:r>
      <w:r>
        <w:rPr>
          <w:rtl/>
        </w:rPr>
        <w:t>הושעיא</w:t>
      </w:r>
      <w:r w:rsidRPr="00DF044E">
        <w:rPr>
          <w:rtl/>
        </w:rPr>
        <w:t xml:space="preserve"> כיון דס"ל דקיי"ל כמ"ד דהחליד תחת העור כשרה, [וכדהקשו </w:t>
      </w:r>
      <w:r w:rsidRPr="00F41B09">
        <w:rPr>
          <w:rStyle w:val="affa"/>
          <w:rtl/>
        </w:rPr>
        <w:t>הט"ז</w:t>
      </w:r>
      <w:r w:rsidRPr="00DF044E">
        <w:rPr>
          <w:rtl/>
        </w:rPr>
        <w:t xml:space="preserve"> </w:t>
      </w:r>
      <w:r w:rsidRPr="00B16AAB">
        <w:rPr>
          <w:rStyle w:val="aff6"/>
          <w:rtl/>
        </w:rPr>
        <w:t>(סי' כ"ד ד')</w:t>
      </w:r>
      <w:r w:rsidRPr="00DF044E">
        <w:rPr>
          <w:rtl/>
        </w:rPr>
        <w:t xml:space="preserve"> </w:t>
      </w:r>
      <w:r w:rsidRPr="00F41B09">
        <w:rPr>
          <w:rStyle w:val="affa"/>
          <w:rtl/>
        </w:rPr>
        <w:t>והש"ך בנקודות הכסף</w:t>
      </w:r>
      <w:r w:rsidRPr="00DF044E">
        <w:rPr>
          <w:rtl/>
        </w:rPr>
        <w:t xml:space="preserve"> </w:t>
      </w:r>
      <w:r w:rsidRPr="00B16AAB">
        <w:rPr>
          <w:rStyle w:val="aff6"/>
          <w:rtl/>
        </w:rPr>
        <w:t>(סי' כ"ד ח')</w:t>
      </w:r>
      <w:r w:rsidRPr="00DF044E">
        <w:rPr>
          <w:rtl/>
        </w:rPr>
        <w:t xml:space="preserve">] וא"כ לדידן דלא פסקינן </w:t>
      </w:r>
      <w:r w:rsidRPr="00F41B09">
        <w:rPr>
          <w:rStyle w:val="affa"/>
          <w:rtl/>
        </w:rPr>
        <w:t>כהרמב"ם</w:t>
      </w:r>
      <w:r w:rsidRPr="00DF044E">
        <w:rPr>
          <w:rtl/>
        </w:rPr>
        <w:t xml:space="preserve"> ופסלינן בהחליד תחת העור, א"כ מבואר כדברי</w:t>
      </w:r>
      <w:r w:rsidRPr="00F41B09">
        <w:rPr>
          <w:rStyle w:val="affa"/>
          <w:rtl/>
        </w:rPr>
        <w:t xml:space="preserve"> הלבוש</w:t>
      </w:r>
      <w:r w:rsidRPr="00DF044E">
        <w:rPr>
          <w:rtl/>
        </w:rPr>
        <w:t xml:space="preserve"> </w:t>
      </w:r>
      <w:r w:rsidRPr="00991E70">
        <w:rPr>
          <w:rStyle w:val="aff6"/>
          <w:rFonts w:hint="cs"/>
          <w:rtl/>
        </w:rPr>
        <w:t xml:space="preserve">(עי' אות </w:t>
      </w:r>
      <w:r w:rsidRPr="00991E70">
        <w:rPr>
          <w:rStyle w:val="aff6"/>
          <w:rtl/>
        </w:rPr>
        <w:fldChar w:fldCharType="begin"/>
      </w:r>
      <w:r w:rsidRPr="00991E70">
        <w:rPr>
          <w:rStyle w:val="aff6"/>
          <w:rtl/>
        </w:rPr>
        <w:instrText xml:space="preserve"> </w:instrText>
      </w:r>
      <w:r w:rsidRPr="00991E70">
        <w:rPr>
          <w:rStyle w:val="aff6"/>
          <w:rFonts w:hint="cs"/>
        </w:rPr>
        <w:instrText>REF</w:instrText>
      </w:r>
      <w:r w:rsidRPr="00991E70">
        <w:rPr>
          <w:rStyle w:val="aff6"/>
          <w:rFonts w:hint="cs"/>
          <w:rtl/>
        </w:rPr>
        <w:instrText xml:space="preserve"> _</w:instrText>
      </w:r>
      <w:r w:rsidRPr="00991E70">
        <w:rPr>
          <w:rStyle w:val="aff6"/>
          <w:rFonts w:hint="cs"/>
        </w:rPr>
        <w:instrText>Ref1716763 \r \h</w:instrText>
      </w:r>
      <w:r w:rsidRPr="00991E70">
        <w:rPr>
          <w:rStyle w:val="aff6"/>
          <w:rtl/>
        </w:rPr>
        <w:instrText xml:space="preserve"> </w:instrText>
      </w:r>
      <w:r w:rsidRPr="00991E70">
        <w:rPr>
          <w:rStyle w:val="aff6"/>
          <w:rtl/>
        </w:rPr>
      </w:r>
      <w:r w:rsidRPr="00991E70">
        <w:rPr>
          <w:rStyle w:val="aff6"/>
          <w:rtl/>
        </w:rPr>
        <w:fldChar w:fldCharType="separate"/>
      </w:r>
      <w:r>
        <w:rPr>
          <w:rStyle w:val="aff6"/>
          <w:cs/>
        </w:rPr>
        <w:t>‎</w:t>
      </w:r>
      <w:r>
        <w:rPr>
          <w:rStyle w:val="aff6"/>
          <w:rtl/>
        </w:rPr>
        <w:t>כא)</w:t>
      </w:r>
      <w:r w:rsidRPr="00991E70">
        <w:rPr>
          <w:rStyle w:val="aff6"/>
          <w:rtl/>
        </w:rPr>
        <w:fldChar w:fldCharType="end"/>
      </w:r>
      <w:r w:rsidRPr="00DF044E">
        <w:rPr>
          <w:rtl/>
        </w:rPr>
        <w:t xml:space="preserve">, דלדידן השחיטה פסולה מדין חלדה, אך דחה השבות יעקב דהא </w:t>
      </w:r>
      <w:r w:rsidRPr="00F41B09">
        <w:rPr>
          <w:rStyle w:val="affa"/>
          <w:rtl/>
        </w:rPr>
        <w:t>הרי"ף והרא"ש</w:t>
      </w:r>
      <w:r w:rsidRPr="00DF044E">
        <w:rPr>
          <w:rtl/>
        </w:rPr>
        <w:t xml:space="preserve"> לא פסקו </w:t>
      </w:r>
      <w:r w:rsidRPr="00F41B09">
        <w:rPr>
          <w:rStyle w:val="affa"/>
          <w:rtl/>
        </w:rPr>
        <w:t>כהרמב"ם</w:t>
      </w:r>
      <w:r w:rsidRPr="00DF044E">
        <w:rPr>
          <w:rtl/>
        </w:rPr>
        <w:t xml:space="preserve"> בדין חלדה, ואפ"ה השמיטו את ספיקא דרב </w:t>
      </w:r>
      <w:r>
        <w:rPr>
          <w:rtl/>
        </w:rPr>
        <w:t>הושעיא</w:t>
      </w:r>
      <w:r w:rsidRPr="00DF044E">
        <w:rPr>
          <w:rtl/>
        </w:rPr>
        <w:t>, וא"כ א"א לומר דס"ל דהטעם בזה הוא מדין חלדה.</w:t>
      </w:r>
    </w:p>
  </w:footnote>
  <w:footnote w:id="120">
    <w:p w14:paraId="426A140F" w14:textId="77777777" w:rsidR="00345400" w:rsidRDefault="00345400" w:rsidP="003D504D">
      <w:pPr>
        <w:pStyle w:val="af"/>
        <w:rPr>
          <w:rtl/>
        </w:rPr>
      </w:pPr>
      <w:r>
        <w:rPr>
          <w:rStyle w:val="af1"/>
        </w:rPr>
        <w:footnoteRef/>
      </w:r>
      <w:r>
        <w:rPr>
          <w:rFonts w:hint="cs"/>
          <w:rtl/>
        </w:rPr>
        <w:t xml:space="preserve"> </w:t>
      </w:r>
      <w:r>
        <w:rPr>
          <w:rFonts w:hint="cs"/>
          <w:rtl/>
        </w:rPr>
        <w:t xml:space="preserve">וכתב </w:t>
      </w:r>
      <w:r>
        <w:rPr>
          <w:rStyle w:val="affa"/>
          <w:rtl/>
        </w:rPr>
        <w:t>התורת יקותיאל</w:t>
      </w:r>
      <w:r>
        <w:rPr>
          <w:rFonts w:hint="cs"/>
          <w:rtl/>
        </w:rPr>
        <w:t xml:space="preserve"> דהיה אפש"ל דהא דמהני סימני העובר בטריפה, הוא דוקא לאחר שנשחטה האם ונמצאת טריפה, דכיון שאין לו את סימני אמו יש לו את סימני עצמו, אבל בחיי האם אף שהיא טריפה, מ"מ אין לו את סימני עצמו, וא"כ בחיי אמו לא מהני לו שחיטה במעי אמו.</w:t>
      </w:r>
    </w:p>
    <w:p w14:paraId="7A9048C1" w14:textId="77777777" w:rsidR="00345400" w:rsidRDefault="00345400" w:rsidP="003D504D">
      <w:pPr>
        <w:pStyle w:val="af"/>
        <w:rPr>
          <w:rtl/>
        </w:rPr>
      </w:pPr>
      <w:r>
        <w:rPr>
          <w:rFonts w:hint="cs"/>
          <w:rtl/>
        </w:rPr>
        <w:t xml:space="preserve">אך דחה </w:t>
      </w:r>
      <w:r>
        <w:rPr>
          <w:rStyle w:val="affa"/>
          <w:rtl/>
        </w:rPr>
        <w:t>התורת יקותיאל</w:t>
      </w:r>
      <w:r>
        <w:rPr>
          <w:rFonts w:hint="cs"/>
          <w:rtl/>
        </w:rPr>
        <w:t xml:space="preserve"> דכיון דכשהאם טריפה ושחיטתה אינה מתירה, לא את האם ולא את העובר, פשיטא לן שיש לעובר את סימני עצמו, א"כ אין כל סברא לומר דבחיי האם אין לעובר את סימני עצמו, דהא האם טריפה ואין לו את סימני האם להכשירו בהם.</w:t>
      </w:r>
    </w:p>
  </w:footnote>
  <w:footnote w:id="121">
    <w:p w14:paraId="0C4414FE" w14:textId="77777777" w:rsidR="00345400" w:rsidRDefault="00345400" w:rsidP="003D504D">
      <w:pPr>
        <w:pStyle w:val="af"/>
        <w:rPr>
          <w:rtl/>
        </w:rPr>
      </w:pPr>
      <w:r>
        <w:rPr>
          <w:rStyle w:val="af1"/>
        </w:rPr>
        <w:footnoteRef/>
      </w:r>
      <w:r>
        <w:rPr>
          <w:rtl/>
        </w:rPr>
        <w:t xml:space="preserve"> </w:t>
      </w:r>
      <w:r w:rsidRPr="00BD1EAC">
        <w:rPr>
          <w:rStyle w:val="afb"/>
          <w:rFonts w:hint="cs"/>
          <w:rtl/>
        </w:rPr>
        <w:t>הועתק בקובץ שיטות קמאי</w:t>
      </w:r>
      <w:r>
        <w:rPr>
          <w:rFonts w:hint="cs"/>
          <w:rtl/>
        </w:rPr>
        <w:t xml:space="preserve"> </w:t>
      </w:r>
      <w:r w:rsidRPr="005427C3">
        <w:rPr>
          <w:rStyle w:val="aff6"/>
          <w:rFonts w:hint="cs"/>
          <w:rtl/>
        </w:rPr>
        <w:t xml:space="preserve">(חולין ח"ב עמ' אלף </w:t>
      </w:r>
      <w:r w:rsidRPr="00A9083A">
        <w:rPr>
          <w:rStyle w:val="aff6"/>
          <w:rFonts w:hint="cs"/>
          <w:rtl/>
        </w:rPr>
        <w:t>תרל"ח)</w:t>
      </w:r>
      <w:r>
        <w:rPr>
          <w:rFonts w:hint="cs"/>
          <w:rtl/>
        </w:rPr>
        <w:t xml:space="preserve">, </w:t>
      </w:r>
      <w:r w:rsidRPr="00BD1EAC">
        <w:rPr>
          <w:rStyle w:val="afb"/>
          <w:rFonts w:hint="cs"/>
          <w:rtl/>
        </w:rPr>
        <w:t xml:space="preserve">והובא </w:t>
      </w:r>
      <w:r w:rsidRPr="008C399C">
        <w:rPr>
          <w:rStyle w:val="affa"/>
          <w:rFonts w:hint="cs"/>
          <w:rtl/>
        </w:rPr>
        <w:t>ב</w:t>
      </w:r>
      <w:r w:rsidRPr="008C399C">
        <w:rPr>
          <w:rStyle w:val="affa"/>
          <w:rtl/>
        </w:rPr>
        <w:t>או"ז</w:t>
      </w:r>
      <w:r w:rsidRPr="00BC2C4E">
        <w:rPr>
          <w:rtl/>
        </w:rPr>
        <w:t xml:space="preserve"> </w:t>
      </w:r>
      <w:r w:rsidRPr="008C399C">
        <w:rPr>
          <w:rStyle w:val="aff6"/>
          <w:rtl/>
        </w:rPr>
        <w:t>(ח"א סי' ת"מ הועתק בקובץ שיטות קמאי חולין ח"ב עמ' אלף תרל"ט)</w:t>
      </w:r>
      <w:r>
        <w:rPr>
          <w:rFonts w:hint="cs"/>
          <w:rtl/>
        </w:rPr>
        <w:t>.</w:t>
      </w:r>
    </w:p>
  </w:footnote>
  <w:footnote w:id="122">
    <w:p w14:paraId="2AE617EF" w14:textId="77777777" w:rsidR="00345400" w:rsidRDefault="00345400" w:rsidP="003D504D">
      <w:pPr>
        <w:pStyle w:val="af"/>
        <w:rPr>
          <w:rtl/>
        </w:rPr>
      </w:pPr>
      <w:r>
        <w:rPr>
          <w:rStyle w:val="af1"/>
        </w:rPr>
        <w:footnoteRef/>
      </w:r>
      <w:r>
        <w:rPr>
          <w:rtl/>
        </w:rPr>
        <w:t xml:space="preserve"> </w:t>
      </w:r>
      <w:r w:rsidRPr="00FD7211">
        <w:rPr>
          <w:rStyle w:val="afb"/>
          <w:rFonts w:hint="cs"/>
          <w:rtl/>
        </w:rPr>
        <w:t xml:space="preserve">והוסיף </w:t>
      </w:r>
      <w:r w:rsidRPr="00FD7211">
        <w:rPr>
          <w:rStyle w:val="affa"/>
          <w:rFonts w:hint="cs"/>
          <w:rtl/>
        </w:rPr>
        <w:t>הבכור שור</w:t>
      </w:r>
      <w:r w:rsidRPr="00FD7211">
        <w:rPr>
          <w:rStyle w:val="afb"/>
          <w:rFonts w:hint="cs"/>
          <w:rtl/>
        </w:rPr>
        <w:t xml:space="preserve"> דבנמצא מת לא חיישינן שהיה חי בשעת שחיטה והיה טריפה דמעמידים אותו על חזקתו, וכדביאר </w:t>
      </w:r>
      <w:r w:rsidRPr="00FD7211">
        <w:rPr>
          <w:rStyle w:val="affa"/>
          <w:rFonts w:hint="cs"/>
          <w:rtl/>
        </w:rPr>
        <w:t>הבכור שור</w:t>
      </w:r>
      <w:r w:rsidRPr="00FD7211">
        <w:rPr>
          <w:rStyle w:val="afb"/>
          <w:rFonts w:hint="cs"/>
          <w:rtl/>
        </w:rPr>
        <w:t xml:space="preserve"> </w:t>
      </w:r>
      <w:r w:rsidRPr="00FD7211">
        <w:rPr>
          <w:rStyle w:val="aff6"/>
          <w:rFonts w:hint="cs"/>
          <w:rtl/>
        </w:rPr>
        <w:t xml:space="preserve">(עי' אות </w:t>
      </w:r>
      <w:r w:rsidRPr="00FD7211">
        <w:rPr>
          <w:rStyle w:val="aff6"/>
          <w:rtl/>
        </w:rPr>
        <w:fldChar w:fldCharType="begin"/>
      </w:r>
      <w:r w:rsidRPr="00FD7211">
        <w:rPr>
          <w:rStyle w:val="aff6"/>
          <w:rtl/>
        </w:rPr>
        <w:instrText xml:space="preserve"> </w:instrText>
      </w:r>
      <w:r w:rsidRPr="00FD7211">
        <w:rPr>
          <w:rStyle w:val="aff6"/>
          <w:rFonts w:hint="cs"/>
        </w:rPr>
        <w:instrText>REF</w:instrText>
      </w:r>
      <w:r w:rsidRPr="00FD7211">
        <w:rPr>
          <w:rStyle w:val="aff6"/>
          <w:rFonts w:hint="cs"/>
          <w:rtl/>
        </w:rPr>
        <w:instrText xml:space="preserve"> _</w:instrText>
      </w:r>
      <w:r w:rsidRPr="00FD7211">
        <w:rPr>
          <w:rStyle w:val="aff6"/>
          <w:rFonts w:hint="cs"/>
        </w:rPr>
        <w:instrText>Ref2161819 \r \h</w:instrText>
      </w:r>
      <w:r w:rsidRPr="00FD7211">
        <w:rPr>
          <w:rStyle w:val="aff6"/>
          <w:rtl/>
        </w:rPr>
        <w:instrText xml:space="preserve"> </w:instrText>
      </w:r>
      <w:r w:rsidRPr="00FD7211">
        <w:rPr>
          <w:rStyle w:val="aff6"/>
          <w:rtl/>
        </w:rPr>
      </w:r>
      <w:r w:rsidRPr="00FD7211">
        <w:rPr>
          <w:rStyle w:val="aff6"/>
          <w:rtl/>
        </w:rPr>
        <w:fldChar w:fldCharType="separate"/>
      </w:r>
      <w:r>
        <w:rPr>
          <w:rStyle w:val="aff6"/>
          <w:cs/>
        </w:rPr>
        <w:t>‎</w:t>
      </w:r>
      <w:r>
        <w:rPr>
          <w:rStyle w:val="aff6"/>
          <w:rtl/>
        </w:rPr>
        <w:t>כה)</w:t>
      </w:r>
      <w:r w:rsidRPr="00FD7211">
        <w:rPr>
          <w:rStyle w:val="aff6"/>
          <w:rtl/>
        </w:rPr>
        <w:fldChar w:fldCharType="end"/>
      </w:r>
      <w:r w:rsidRPr="00FD7211">
        <w:rPr>
          <w:rStyle w:val="afb"/>
          <w:rFonts w:hint="cs"/>
          <w:rtl/>
        </w:rPr>
        <w:t xml:space="preserve"> בדעת </w:t>
      </w:r>
      <w:r w:rsidRPr="00FD7211">
        <w:rPr>
          <w:rStyle w:val="affa"/>
          <w:rFonts w:hint="cs"/>
          <w:rtl/>
        </w:rPr>
        <w:t>רש"י</w:t>
      </w:r>
      <w:r w:rsidRPr="00FD7211">
        <w:rPr>
          <w:rStyle w:val="afb"/>
          <w:rFonts w:hint="cs"/>
          <w:rtl/>
        </w:rPr>
        <w:t>, עיי"ש בדבריו</w:t>
      </w:r>
      <w:r>
        <w:rPr>
          <w:rFonts w:hint="cs"/>
          <w:rtl/>
        </w:rPr>
        <w:t>.</w:t>
      </w:r>
    </w:p>
  </w:footnote>
  <w:footnote w:id="123">
    <w:p w14:paraId="5831067C" w14:textId="77777777" w:rsidR="00345400" w:rsidRDefault="00345400" w:rsidP="003D504D">
      <w:pPr>
        <w:pStyle w:val="af"/>
        <w:rPr>
          <w:rtl/>
        </w:rPr>
      </w:pPr>
      <w:r w:rsidRPr="00C77EB7">
        <w:rPr>
          <w:rStyle w:val="af1"/>
        </w:rPr>
        <w:footnoteRef/>
      </w:r>
      <w:r w:rsidRPr="00C77EB7">
        <w:rPr>
          <w:rtl/>
        </w:rPr>
        <w:t xml:space="preserve"> </w:t>
      </w:r>
      <w:r w:rsidRPr="00C77EB7">
        <w:rPr>
          <w:rFonts w:hint="cs"/>
          <w:rtl/>
        </w:rPr>
        <w:t>וע</w:t>
      </w:r>
      <w:r>
        <w:rPr>
          <w:rFonts w:hint="cs"/>
          <w:rtl/>
        </w:rPr>
        <w:t>י'</w:t>
      </w:r>
      <w:r w:rsidRPr="00C77EB7">
        <w:rPr>
          <w:rFonts w:hint="cs"/>
          <w:rtl/>
        </w:rPr>
        <w:t xml:space="preserve"> </w:t>
      </w:r>
      <w:r w:rsidRPr="00C77EB7">
        <w:rPr>
          <w:rStyle w:val="affa"/>
          <w:rFonts w:hint="cs"/>
          <w:rtl/>
        </w:rPr>
        <w:t xml:space="preserve">בקבא דקשייתא [להחלקת יואב] </w:t>
      </w:r>
      <w:r w:rsidRPr="00C77EB7">
        <w:rPr>
          <w:rStyle w:val="aff6"/>
          <w:rFonts w:hint="cs"/>
          <w:rtl/>
        </w:rPr>
        <w:t>(ח"א קושיא כ' עמ' רי"ח ד"ה והנה בחולין)</w:t>
      </w:r>
      <w:r w:rsidRPr="00C77EB7">
        <w:rPr>
          <w:rFonts w:hint="cs"/>
          <w:rtl/>
        </w:rPr>
        <w:t xml:space="preserve"> דביאר דלדעת </w:t>
      </w:r>
      <w:r w:rsidRPr="00C77EB7">
        <w:rPr>
          <w:rStyle w:val="affa"/>
          <w:rFonts w:hint="cs"/>
          <w:rtl/>
        </w:rPr>
        <w:t xml:space="preserve">הרמב"ן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Ref2094389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כב)</w:t>
      </w:r>
      <w:r>
        <w:rPr>
          <w:rStyle w:val="aff6"/>
          <w:rtl/>
        </w:rPr>
        <w:fldChar w:fldCharType="end"/>
      </w:r>
      <w:r>
        <w:rPr>
          <w:rStyle w:val="aff6"/>
          <w:rFonts w:hint="cs"/>
          <w:rtl/>
        </w:rPr>
        <w:t xml:space="preserve"> </w:t>
      </w:r>
      <w:r w:rsidRPr="00C77EB7">
        <w:rPr>
          <w:rFonts w:hint="cs"/>
          <w:rtl/>
        </w:rPr>
        <w:t>אף אם היה חי בשעת שחיטה, מ"מ כשיצא מת, מודה ר"מ דהוא בכלל היתר "כל בבהמה תאכלו", כיון דלא מהני ליה שחיטה, ול</w:t>
      </w:r>
      <w:r>
        <w:rPr>
          <w:rFonts w:hint="cs"/>
          <w:rtl/>
        </w:rPr>
        <w:t>ביאור</w:t>
      </w:r>
      <w:r w:rsidRPr="00C77EB7">
        <w:rPr>
          <w:rFonts w:hint="cs"/>
          <w:rtl/>
        </w:rPr>
        <w:t xml:space="preserve"> </w:t>
      </w:r>
      <w:r w:rsidRPr="00C77EB7">
        <w:rPr>
          <w:rStyle w:val="affa"/>
          <w:rFonts w:hint="cs"/>
          <w:rtl/>
        </w:rPr>
        <w:t xml:space="preserve">הרמב"ן והרשב"א </w:t>
      </w:r>
      <w:r w:rsidRPr="00C77EB7">
        <w:rPr>
          <w:rFonts w:hint="cs"/>
          <w:rtl/>
        </w:rPr>
        <w:t xml:space="preserve">בשם </w:t>
      </w:r>
      <w:r w:rsidRPr="00C77EB7">
        <w:rPr>
          <w:rStyle w:val="affa"/>
          <w:rFonts w:hint="cs"/>
          <w:rtl/>
        </w:rPr>
        <w:t>התוס'</w:t>
      </w:r>
      <w:r w:rsidRPr="00C77EB7">
        <w:rPr>
          <w:rFonts w:hint="cs"/>
          <w:rtl/>
        </w:rPr>
        <w:t xml:space="preserve"> </w:t>
      </w:r>
      <w:r w:rsidRPr="00C77EB7">
        <w:rPr>
          <w:rStyle w:val="aff6"/>
          <w:rFonts w:hint="cs"/>
          <w:rtl/>
        </w:rPr>
        <w:t xml:space="preserve">(עי' אות </w:t>
      </w:r>
      <w:r w:rsidRPr="00C77EB7">
        <w:rPr>
          <w:rStyle w:val="aff6"/>
          <w:rtl/>
        </w:rPr>
        <w:fldChar w:fldCharType="begin"/>
      </w:r>
      <w:r w:rsidRPr="00C77EB7">
        <w:rPr>
          <w:rStyle w:val="aff6"/>
          <w:rtl/>
        </w:rPr>
        <w:instrText xml:space="preserve"> </w:instrText>
      </w:r>
      <w:r w:rsidRPr="00C77EB7">
        <w:rPr>
          <w:rStyle w:val="aff6"/>
          <w:rFonts w:hint="cs"/>
        </w:rPr>
        <w:instrText>REF</w:instrText>
      </w:r>
      <w:r w:rsidRPr="00C77EB7">
        <w:rPr>
          <w:rStyle w:val="aff6"/>
          <w:rFonts w:hint="cs"/>
          <w:rtl/>
        </w:rPr>
        <w:instrText xml:space="preserve"> _</w:instrText>
      </w:r>
      <w:r w:rsidRPr="00C77EB7">
        <w:rPr>
          <w:rStyle w:val="aff6"/>
          <w:rFonts w:hint="cs"/>
        </w:rPr>
        <w:instrText>Ref1467235 \r \h</w:instrText>
      </w:r>
      <w:r w:rsidRPr="00C77EB7">
        <w:rPr>
          <w:rStyle w:val="aff6"/>
          <w:rtl/>
        </w:rPr>
        <w:instrText xml:space="preserve">  \* </w:instrText>
      </w:r>
      <w:r w:rsidRPr="00C77EB7">
        <w:rPr>
          <w:rStyle w:val="aff6"/>
        </w:rPr>
        <w:instrText>MERGEFORMAT</w:instrText>
      </w:r>
      <w:r w:rsidRPr="00C77EB7">
        <w:rPr>
          <w:rStyle w:val="aff6"/>
          <w:rtl/>
        </w:rPr>
        <w:instrText xml:space="preserve"> </w:instrText>
      </w:r>
      <w:r w:rsidRPr="00C77EB7">
        <w:rPr>
          <w:rStyle w:val="aff6"/>
          <w:rtl/>
        </w:rPr>
      </w:r>
      <w:r w:rsidRPr="00C77EB7">
        <w:rPr>
          <w:rStyle w:val="aff6"/>
          <w:rtl/>
        </w:rPr>
        <w:fldChar w:fldCharType="separate"/>
      </w:r>
      <w:r>
        <w:rPr>
          <w:rStyle w:val="aff6"/>
          <w:cs/>
        </w:rPr>
        <w:t>‎</w:t>
      </w:r>
      <w:r>
        <w:rPr>
          <w:rStyle w:val="aff6"/>
          <w:rtl/>
        </w:rPr>
        <w:t>כו)</w:t>
      </w:r>
      <w:r w:rsidRPr="00C77EB7">
        <w:rPr>
          <w:rStyle w:val="aff6"/>
          <w:rtl/>
        </w:rPr>
        <w:fldChar w:fldCharType="end"/>
      </w:r>
      <w:r w:rsidRPr="00C77EB7">
        <w:rPr>
          <w:rFonts w:hint="cs"/>
          <w:rtl/>
        </w:rPr>
        <w:t xml:space="preserve"> כל שלא יצא חי הוברר למפרע דהחדשים</w:t>
      </w:r>
      <w:r w:rsidRPr="00CB2AC6">
        <w:rPr>
          <w:rFonts w:hint="cs"/>
          <w:rtl/>
        </w:rPr>
        <w:t xml:space="preserve"> </w:t>
      </w:r>
      <w:r w:rsidRPr="00C77EB7">
        <w:rPr>
          <w:rFonts w:hint="cs"/>
          <w:rtl/>
        </w:rPr>
        <w:t>לא גרמי.</w:t>
      </w:r>
    </w:p>
  </w:footnote>
  <w:footnote w:id="124">
    <w:p w14:paraId="6BD2BB01" w14:textId="77777777" w:rsidR="00345400" w:rsidRDefault="00345400" w:rsidP="003D504D">
      <w:pPr>
        <w:pStyle w:val="af"/>
      </w:pPr>
      <w:r>
        <w:rPr>
          <w:rStyle w:val="af1"/>
        </w:rPr>
        <w:footnoteRef/>
      </w:r>
      <w:r>
        <w:rPr>
          <w:rtl/>
        </w:rPr>
        <w:t xml:space="preserve"> </w:t>
      </w:r>
      <w:r w:rsidRPr="004156FF">
        <w:rPr>
          <w:rtl/>
        </w:rPr>
        <w:t xml:space="preserve">וכתב </w:t>
      </w:r>
      <w:r w:rsidRPr="004156FF">
        <w:rPr>
          <w:rStyle w:val="affa"/>
          <w:rtl/>
        </w:rPr>
        <w:t>הראש יוסף</w:t>
      </w:r>
      <w:r w:rsidRPr="004156FF">
        <w:rPr>
          <w:rtl/>
        </w:rPr>
        <w:t xml:space="preserve"> דהיה אפש"ל </w:t>
      </w:r>
      <w:r w:rsidRPr="004156FF">
        <w:rPr>
          <w:rStyle w:val="affa"/>
          <w:rtl/>
        </w:rPr>
        <w:t>דרש"י</w:t>
      </w:r>
      <w:r w:rsidRPr="004156FF">
        <w:rPr>
          <w:rtl/>
        </w:rPr>
        <w:t xml:space="preserve"> ס"ל </w:t>
      </w:r>
      <w:r w:rsidRPr="004156FF">
        <w:rPr>
          <w:rStyle w:val="affa"/>
          <w:rtl/>
        </w:rPr>
        <w:t>כהרמב"ם</w:t>
      </w:r>
      <w:r w:rsidRPr="004156FF">
        <w:rPr>
          <w:rtl/>
        </w:rPr>
        <w:t xml:space="preserve"> </w:t>
      </w:r>
      <w:r w:rsidRPr="008D5F0C">
        <w:rPr>
          <w:rStyle w:val="aff6"/>
          <w:rtl/>
        </w:rPr>
        <w:t>(</w:t>
      </w:r>
      <w:r w:rsidRPr="008D5F0C">
        <w:rPr>
          <w:rStyle w:val="aff6"/>
          <w:rFonts w:hint="cs"/>
          <w:rtl/>
        </w:rPr>
        <w:t>מאכ"א פ"ד ה"ז)</w:t>
      </w:r>
      <w:r w:rsidRPr="004156FF">
        <w:rPr>
          <w:rtl/>
        </w:rPr>
        <w:t xml:space="preserve"> דריו"ח ור"ל דנחלקו בתלש חלב מבן ט' חי, פליגי בפלוגתת ר"מ ור"י, דריו"ח ס"ל כר"מ דחדשים גרמי, ואינו יכול לסבור כר"י דא"א לומר שהעובר יהיה מותר בשחיטת אמו, יותר ממה שהיא עצמה מותרת בשחיטה, וא"כ ס"ל לר"י דאוירא גרים, ולכן הוצרך </w:t>
      </w:r>
      <w:r w:rsidRPr="004156FF">
        <w:rPr>
          <w:rStyle w:val="affa"/>
          <w:rtl/>
        </w:rPr>
        <w:t>רש"י</w:t>
      </w:r>
      <w:r w:rsidRPr="004156FF">
        <w:rPr>
          <w:rtl/>
        </w:rPr>
        <w:t xml:space="preserve"> לפרש דהחלב מותר מהילפותא מאשם, לל"ק דריו"ח ס"ל דתלש חלב מבן ח' חי אסור דאוירא גרים, אך דחה </w:t>
      </w:r>
      <w:r w:rsidRPr="004156FF">
        <w:rPr>
          <w:rStyle w:val="affa"/>
          <w:rtl/>
        </w:rPr>
        <w:t>הראש יוסף</w:t>
      </w:r>
      <w:r w:rsidRPr="004156FF">
        <w:rPr>
          <w:rtl/>
        </w:rPr>
        <w:t xml:space="preserve"> דא"א לומר כן דהרי </w:t>
      </w:r>
      <w:r w:rsidRPr="004156FF">
        <w:rPr>
          <w:rStyle w:val="affa"/>
          <w:rtl/>
        </w:rPr>
        <w:t>רש"י לקמן</w:t>
      </w:r>
      <w:r w:rsidRPr="004156FF">
        <w:rPr>
          <w:rtl/>
        </w:rPr>
        <w:t xml:space="preserve"> </w:t>
      </w:r>
      <w:r w:rsidRPr="008D5F0C">
        <w:rPr>
          <w:rStyle w:val="aff6"/>
          <w:rtl/>
        </w:rPr>
        <w:t>(עה. ד"ה דהושיט)</w:t>
      </w:r>
      <w:r w:rsidRPr="004156FF">
        <w:rPr>
          <w:rtl/>
        </w:rPr>
        <w:t xml:space="preserve"> כתב להדיא דריו"ח יכול לסבור כר"י, וכדפירש </w:t>
      </w:r>
      <w:r w:rsidRPr="004156FF">
        <w:rPr>
          <w:rStyle w:val="affa"/>
          <w:rtl/>
        </w:rPr>
        <w:t>הרא"ש</w:t>
      </w:r>
      <w:r>
        <w:rPr>
          <w:rtl/>
        </w:rPr>
        <w:t xml:space="preserve"> </w:t>
      </w:r>
      <w:r w:rsidRPr="008D5F0C">
        <w:rPr>
          <w:rStyle w:val="aff6"/>
          <w:rFonts w:hint="cs"/>
          <w:rtl/>
        </w:rPr>
        <w:t>(סי' ה')</w:t>
      </w:r>
      <w:r>
        <w:rPr>
          <w:rFonts w:hint="cs"/>
          <w:rtl/>
        </w:rPr>
        <w:t xml:space="preserve"> </w:t>
      </w:r>
      <w:r w:rsidRPr="004156FF">
        <w:rPr>
          <w:rtl/>
        </w:rPr>
        <w:t>דשאני התם דנשחטה אמו.</w:t>
      </w:r>
    </w:p>
  </w:footnote>
  <w:footnote w:id="125">
    <w:p w14:paraId="0E5D0E27" w14:textId="77777777" w:rsidR="00345400" w:rsidRDefault="00345400" w:rsidP="003D504D">
      <w:pPr>
        <w:pStyle w:val="af"/>
      </w:pPr>
      <w:r>
        <w:rPr>
          <w:rStyle w:val="af1"/>
        </w:rPr>
        <w:footnoteRef/>
      </w:r>
      <w:r>
        <w:rPr>
          <w:rtl/>
        </w:rPr>
        <w:t xml:space="preserve"> </w:t>
      </w:r>
      <w:r>
        <w:rPr>
          <w:rFonts w:hint="cs"/>
          <w:rtl/>
        </w:rPr>
        <w:t xml:space="preserve">הועתק בקובץ שיטות קמאי </w:t>
      </w:r>
      <w:r w:rsidRPr="00E46CF5">
        <w:rPr>
          <w:rStyle w:val="aff6"/>
          <w:rFonts w:hint="cs"/>
          <w:rtl/>
        </w:rPr>
        <w:t>(חולין ח"ב עמ' אלף תרל"ח)</w:t>
      </w:r>
      <w:r>
        <w:rPr>
          <w:rFonts w:hint="cs"/>
          <w:rtl/>
        </w:rPr>
        <w:t>.</w:t>
      </w:r>
    </w:p>
  </w:footnote>
  <w:footnote w:id="126">
    <w:p w14:paraId="22F49A27" w14:textId="77777777" w:rsidR="00345400" w:rsidRDefault="00345400" w:rsidP="003D504D">
      <w:pPr>
        <w:pStyle w:val="af"/>
        <w:rPr>
          <w:rtl/>
        </w:rPr>
      </w:pPr>
      <w:r>
        <w:rPr>
          <w:rStyle w:val="af1"/>
        </w:rPr>
        <w:footnoteRef/>
      </w:r>
      <w:r>
        <w:rPr>
          <w:rtl/>
        </w:rPr>
        <w:t xml:space="preserve"> </w:t>
      </w:r>
      <w:r w:rsidRPr="00243848">
        <w:rPr>
          <w:rStyle w:val="affa"/>
          <w:rtl/>
        </w:rPr>
        <w:t xml:space="preserve">והפרישה </w:t>
      </w:r>
      <w:r w:rsidRPr="00243848">
        <w:rPr>
          <w:rStyle w:val="aff6"/>
          <w:rtl/>
        </w:rPr>
        <w:t>(סי' י"ג ח')</w:t>
      </w:r>
      <w:r w:rsidRPr="00243848">
        <w:rPr>
          <w:rtl/>
        </w:rPr>
        <w:t xml:space="preserve"> כתב עוד טעם לאסור את דמו, דכיון שאין הדם בעין אינו נכלל בהיתר "בבהמה".</w:t>
      </w:r>
    </w:p>
  </w:footnote>
  <w:footnote w:id="127">
    <w:p w14:paraId="1CCA958C" w14:textId="77777777" w:rsidR="00345400" w:rsidRDefault="00345400" w:rsidP="003D504D">
      <w:pPr>
        <w:pStyle w:val="af"/>
        <w:rPr>
          <w:rtl/>
        </w:rPr>
      </w:pPr>
      <w:r>
        <w:rPr>
          <w:rStyle w:val="af1"/>
        </w:rPr>
        <w:footnoteRef/>
      </w:r>
      <w:r>
        <w:rPr>
          <w:rtl/>
        </w:rPr>
        <w:t xml:space="preserve"> </w:t>
      </w:r>
      <w:r w:rsidRPr="00BD1EAC">
        <w:rPr>
          <w:rStyle w:val="afb"/>
          <w:rFonts w:hint="cs"/>
          <w:rtl/>
        </w:rPr>
        <w:t>הועתק בקובץ שיטות קמאי</w:t>
      </w:r>
      <w:r>
        <w:rPr>
          <w:rFonts w:hint="cs"/>
          <w:rtl/>
        </w:rPr>
        <w:t xml:space="preserve"> </w:t>
      </w:r>
      <w:r w:rsidRPr="005427C3">
        <w:rPr>
          <w:rStyle w:val="aff6"/>
          <w:rFonts w:hint="cs"/>
          <w:rtl/>
        </w:rPr>
        <w:t xml:space="preserve">(חולין ח"ב עמ' אלף </w:t>
      </w:r>
      <w:r w:rsidRPr="00A9083A">
        <w:rPr>
          <w:rStyle w:val="aff6"/>
          <w:rFonts w:hint="cs"/>
          <w:rtl/>
        </w:rPr>
        <w:t>תרל"ח)</w:t>
      </w:r>
      <w:r>
        <w:rPr>
          <w:rFonts w:hint="cs"/>
          <w:rtl/>
        </w:rPr>
        <w:t xml:space="preserve">, </w:t>
      </w:r>
      <w:r w:rsidRPr="00BD1EAC">
        <w:rPr>
          <w:rStyle w:val="afb"/>
          <w:rFonts w:hint="cs"/>
          <w:rtl/>
        </w:rPr>
        <w:t xml:space="preserve">והובא </w:t>
      </w:r>
      <w:r w:rsidRPr="008C399C">
        <w:rPr>
          <w:rStyle w:val="affa"/>
          <w:rFonts w:hint="cs"/>
          <w:rtl/>
        </w:rPr>
        <w:t>ב</w:t>
      </w:r>
      <w:r w:rsidRPr="008C399C">
        <w:rPr>
          <w:rStyle w:val="affa"/>
          <w:rtl/>
        </w:rPr>
        <w:t>או"ז</w:t>
      </w:r>
      <w:r w:rsidRPr="00BC2C4E">
        <w:rPr>
          <w:rtl/>
        </w:rPr>
        <w:t xml:space="preserve"> </w:t>
      </w:r>
      <w:r w:rsidRPr="008C399C">
        <w:rPr>
          <w:rStyle w:val="aff6"/>
          <w:rtl/>
        </w:rPr>
        <w:t>(ח"א סי' ת"מ הועתק בקובץ שיטות קמאי חולין ח"ב עמ' אלף תרל"ט)</w:t>
      </w:r>
      <w:r>
        <w:rPr>
          <w:rFonts w:hint="cs"/>
          <w:rtl/>
        </w:rPr>
        <w:t>.</w:t>
      </w:r>
    </w:p>
  </w:footnote>
  <w:footnote w:id="128">
    <w:p w14:paraId="22D7EB5C" w14:textId="77777777" w:rsidR="00345400" w:rsidRDefault="00345400" w:rsidP="003D504D">
      <w:pPr>
        <w:pStyle w:val="af"/>
        <w:rPr>
          <w:rtl/>
        </w:rPr>
      </w:pPr>
      <w:r>
        <w:rPr>
          <w:rStyle w:val="af1"/>
        </w:rPr>
        <w:footnoteRef/>
      </w:r>
      <w:r>
        <w:rPr>
          <w:rtl/>
        </w:rPr>
        <w:t xml:space="preserve"> </w:t>
      </w:r>
      <w:r>
        <w:rPr>
          <w:rFonts w:hint="cs"/>
          <w:rtl/>
        </w:rPr>
        <w:t xml:space="preserve">עיי"ש </w:t>
      </w:r>
      <w:r w:rsidRPr="00040B6C">
        <w:rPr>
          <w:rStyle w:val="affa"/>
          <w:rFonts w:hint="cs"/>
          <w:rtl/>
        </w:rPr>
        <w:t>באמרי משה</w:t>
      </w:r>
      <w:r>
        <w:rPr>
          <w:rFonts w:hint="cs"/>
          <w:rtl/>
        </w:rPr>
        <w:t xml:space="preserve"> דהוכיח כן </w:t>
      </w:r>
      <w:r>
        <w:rPr>
          <w:rtl/>
        </w:rPr>
        <w:t xml:space="preserve">מהא דאיתא במתני' לעיל </w:t>
      </w:r>
      <w:r w:rsidRPr="00040B6C">
        <w:rPr>
          <w:rStyle w:val="aff6"/>
          <w:rtl/>
        </w:rPr>
        <w:t>(עב:)</w:t>
      </w:r>
      <w:r>
        <w:rPr>
          <w:rtl/>
        </w:rPr>
        <w:t xml:space="preserve"> דלדעת רבנן שחיטת</w:t>
      </w:r>
      <w:r>
        <w:rPr>
          <w:rFonts w:hint="cs"/>
          <w:rtl/>
        </w:rPr>
        <w:t xml:space="preserve"> האם מטהרת את ה</w:t>
      </w:r>
      <w:r>
        <w:rPr>
          <w:rtl/>
        </w:rPr>
        <w:t>אבר היוצא מידי נבילה, מבואר דחלה עליו שחיטה, דהא האבר היוצא לא היה במחיצת הבהמה, ואין בו את היתר "כל בבהמה תאכלו", ומוכח דכיון דשחיטת אמו חלה עליו, וכיון שהעובר כשחוט, שחיטתו מטהרת את האבר היוצא מאיסור נבילה, ואסור באכילה רק מדין אבר היוצא.</w:t>
      </w:r>
    </w:p>
    <w:p w14:paraId="506CF78C" w14:textId="77777777" w:rsidR="00345400" w:rsidRDefault="00345400" w:rsidP="003D504D">
      <w:pPr>
        <w:pStyle w:val="af"/>
        <w:rPr>
          <w:rtl/>
        </w:rPr>
      </w:pPr>
    </w:p>
    <w:p w14:paraId="7F618880" w14:textId="77777777" w:rsidR="00345400" w:rsidRDefault="00345400" w:rsidP="003D504D">
      <w:pPr>
        <w:pStyle w:val="af"/>
      </w:pPr>
      <w:r>
        <w:rPr>
          <w:rtl/>
        </w:rPr>
        <w:t xml:space="preserve">ועוד הוכיח </w:t>
      </w:r>
      <w:r w:rsidRPr="00040B6C">
        <w:rPr>
          <w:rStyle w:val="affa"/>
          <w:rtl/>
        </w:rPr>
        <w:t xml:space="preserve">האמרי משה </w:t>
      </w:r>
      <w:r>
        <w:rPr>
          <w:rtl/>
        </w:rPr>
        <w:t xml:space="preserve">מהא דאיתא בגמ' </w:t>
      </w:r>
      <w:r w:rsidRPr="00040B6C">
        <w:rPr>
          <w:rStyle w:val="aff6"/>
          <w:rtl/>
        </w:rPr>
        <w:t>(עה.)</w:t>
      </w:r>
      <w:r>
        <w:rPr>
          <w:rtl/>
        </w:rPr>
        <w:t xml:space="preserve"> דהכשירה תורה </w:t>
      </w:r>
      <w:r>
        <w:rPr>
          <w:rFonts w:hint="cs"/>
          <w:rtl/>
        </w:rPr>
        <w:t xml:space="preserve">בבן פקועה </w:t>
      </w:r>
      <w:r>
        <w:rPr>
          <w:rtl/>
        </w:rPr>
        <w:t>ד' סימנים, ומותר ע"י שחיטת אמו, ובאמו טריפה שא"א להתירו בשחיטת אמו, אפשר להתירו ע"י שחיטת עצמו, ומוכח דההיתר דבן פקועה בלא שחיטה, הוא מחמת דסימניו כשחוטים, דשחיטת האם חלה גם עליו.</w:t>
      </w:r>
    </w:p>
  </w:footnote>
  <w:footnote w:id="129">
    <w:p w14:paraId="5BBEA41D" w14:textId="77777777" w:rsidR="00345400" w:rsidRPr="00FC2DD8" w:rsidRDefault="00345400" w:rsidP="003D504D">
      <w:pPr>
        <w:pStyle w:val="af"/>
        <w:rPr>
          <w:sz w:val="16"/>
          <w:szCs w:val="12"/>
          <w:rtl/>
        </w:rPr>
      </w:pPr>
      <w:r>
        <w:rPr>
          <w:rStyle w:val="af1"/>
        </w:rPr>
        <w:footnoteRef/>
      </w:r>
      <w:r>
        <w:rPr>
          <w:rtl/>
        </w:rPr>
        <w:t xml:space="preserve"> </w:t>
      </w:r>
      <w:r w:rsidRPr="002F2AA2">
        <w:rPr>
          <w:rtl/>
        </w:rPr>
        <w:t xml:space="preserve">וכתב </w:t>
      </w:r>
      <w:r w:rsidRPr="002F2AA2">
        <w:rPr>
          <w:rStyle w:val="affa"/>
          <w:rtl/>
        </w:rPr>
        <w:t>האבהא"ז</w:t>
      </w:r>
      <w:r w:rsidRPr="002F2AA2">
        <w:rPr>
          <w:rtl/>
        </w:rPr>
        <w:t xml:space="preserve"> </w:t>
      </w:r>
      <w:r w:rsidRPr="002F2AA2">
        <w:rPr>
          <w:rStyle w:val="aff6"/>
          <w:rtl/>
        </w:rPr>
        <w:t xml:space="preserve">(מאכ"א פ"ח ה"א ד"ה </w:t>
      </w:r>
      <w:r w:rsidRPr="00947839">
        <w:rPr>
          <w:rStyle w:val="aff6"/>
          <w:rtl/>
        </w:rPr>
        <w:t>והנה מש"כ)</w:t>
      </w:r>
      <w:r w:rsidRPr="002F2AA2">
        <w:rPr>
          <w:rtl/>
        </w:rPr>
        <w:t xml:space="preserve"> דאפש</w:t>
      </w:r>
      <w:r>
        <w:rPr>
          <w:rFonts w:hint="cs"/>
          <w:rtl/>
        </w:rPr>
        <w:t xml:space="preserve">ר לבאר את דברי </w:t>
      </w:r>
      <w:r w:rsidRPr="002F2AA2">
        <w:rPr>
          <w:rStyle w:val="affa"/>
          <w:rFonts w:hint="cs"/>
          <w:rtl/>
        </w:rPr>
        <w:t>המ"מ</w:t>
      </w:r>
      <w:r w:rsidRPr="002F2AA2">
        <w:rPr>
          <w:rtl/>
        </w:rPr>
        <w:t xml:space="preserve"> שיש חילוק בין חלב לגיד, כדביאר </w:t>
      </w:r>
      <w:r w:rsidRPr="002F2AA2">
        <w:rPr>
          <w:rStyle w:val="affa"/>
          <w:rtl/>
        </w:rPr>
        <w:t>הראש יוסף</w:t>
      </w:r>
      <w:r w:rsidRPr="002F2AA2">
        <w:rPr>
          <w:rtl/>
        </w:rPr>
        <w:t xml:space="preserve"> </w:t>
      </w:r>
      <w:r w:rsidRPr="00947839">
        <w:rPr>
          <w:rStyle w:val="aff6"/>
          <w:rFonts w:hint="cs"/>
          <w:rtl/>
        </w:rPr>
        <w:t xml:space="preserve">(עי' אות </w:t>
      </w:r>
      <w:r w:rsidRPr="00947839">
        <w:rPr>
          <w:rStyle w:val="aff6"/>
          <w:rtl/>
        </w:rPr>
        <w:fldChar w:fldCharType="begin"/>
      </w:r>
      <w:r w:rsidRPr="00947839">
        <w:rPr>
          <w:rStyle w:val="aff6"/>
          <w:rtl/>
        </w:rPr>
        <w:instrText xml:space="preserve"> </w:instrText>
      </w:r>
      <w:r w:rsidRPr="00947839">
        <w:rPr>
          <w:rStyle w:val="aff6"/>
        </w:rPr>
        <w:instrText>REF</w:instrText>
      </w:r>
      <w:r w:rsidRPr="00947839">
        <w:rPr>
          <w:rStyle w:val="aff6"/>
          <w:rtl/>
        </w:rPr>
        <w:instrText xml:space="preserve"> _</w:instrText>
      </w:r>
      <w:r w:rsidRPr="00947839">
        <w:rPr>
          <w:rStyle w:val="aff6"/>
        </w:rPr>
        <w:instrText>Ref3887953 \r \h</w:instrText>
      </w:r>
      <w:r w:rsidRPr="00947839">
        <w:rPr>
          <w:rStyle w:val="aff6"/>
          <w:rtl/>
        </w:rPr>
        <w:instrText xml:space="preserve"> </w:instrText>
      </w:r>
      <w:r w:rsidRPr="00947839">
        <w:rPr>
          <w:rStyle w:val="aff6"/>
          <w:rtl/>
        </w:rPr>
      </w:r>
      <w:r w:rsidRPr="00947839">
        <w:rPr>
          <w:rStyle w:val="aff6"/>
          <w:rtl/>
        </w:rPr>
        <w:fldChar w:fldCharType="separate"/>
      </w:r>
      <w:r>
        <w:rPr>
          <w:rStyle w:val="aff6"/>
          <w:cs/>
        </w:rPr>
        <w:t>‎</w:t>
      </w:r>
      <w:r>
        <w:rPr>
          <w:rStyle w:val="aff6"/>
          <w:rtl/>
        </w:rPr>
        <w:t>מד)</w:t>
      </w:r>
      <w:r w:rsidRPr="00947839">
        <w:rPr>
          <w:rStyle w:val="aff6"/>
          <w:rtl/>
        </w:rPr>
        <w:fldChar w:fldCharType="end"/>
      </w:r>
      <w:r>
        <w:rPr>
          <w:rFonts w:hint="cs"/>
          <w:rtl/>
        </w:rPr>
        <w:t xml:space="preserve"> </w:t>
      </w:r>
      <w:r w:rsidRPr="002F2AA2">
        <w:rPr>
          <w:rtl/>
        </w:rPr>
        <w:t xml:space="preserve">דבחלב אחר שחל עליו איסור חלב א"א להתירו מדין "כל בבהמה תאכלו", א"כ אפש"ל דבחלב חל האיסור רק בבן ט', ולכן חלב של בן ח' מותר בשחיטת האם, אבל גיד שנאסר משעת יצירתו, לא מהני שחיטת האם להתירו, </w:t>
      </w:r>
      <w:r w:rsidRPr="00FC2DD8">
        <w:rPr>
          <w:rFonts w:hint="cs"/>
          <w:sz w:val="16"/>
          <w:szCs w:val="12"/>
          <w:rtl/>
        </w:rPr>
        <w:t>[</w:t>
      </w:r>
      <w:r w:rsidRPr="00FC2DD8">
        <w:rPr>
          <w:sz w:val="16"/>
          <w:szCs w:val="12"/>
          <w:rtl/>
        </w:rPr>
        <w:t xml:space="preserve">אך דחה </w:t>
      </w:r>
      <w:r w:rsidRPr="00FC2DD8">
        <w:rPr>
          <w:rStyle w:val="affa"/>
          <w:sz w:val="16"/>
          <w:szCs w:val="12"/>
          <w:rtl/>
        </w:rPr>
        <w:t>האבאה"ז</w:t>
      </w:r>
      <w:r w:rsidRPr="00FC2DD8">
        <w:rPr>
          <w:sz w:val="16"/>
          <w:szCs w:val="12"/>
          <w:rtl/>
        </w:rPr>
        <w:t xml:space="preserve"> [בהגה"ה מכת"י] דא"א לומר דפשיטא ליה </w:t>
      </w:r>
      <w:r w:rsidRPr="00FC2DD8">
        <w:rPr>
          <w:rStyle w:val="affa"/>
          <w:sz w:val="16"/>
          <w:szCs w:val="12"/>
          <w:rtl/>
        </w:rPr>
        <w:t>להמ"מ</w:t>
      </w:r>
      <w:r w:rsidRPr="00FC2DD8">
        <w:rPr>
          <w:sz w:val="16"/>
          <w:szCs w:val="12"/>
          <w:rtl/>
        </w:rPr>
        <w:t xml:space="preserve"> דא"א להתיר את החלב אחר שחל עליו האיסור, דהא לדעת ר"י מהני לו ההיתר</w:t>
      </w:r>
      <w:r w:rsidRPr="00FC2DD8">
        <w:rPr>
          <w:rFonts w:hint="cs"/>
          <w:sz w:val="16"/>
          <w:szCs w:val="12"/>
          <w:rtl/>
        </w:rPr>
        <w:t>]</w:t>
      </w:r>
      <w:r w:rsidRPr="00FC2DD8">
        <w:rPr>
          <w:sz w:val="16"/>
          <w:szCs w:val="12"/>
          <w:rtl/>
        </w:rPr>
        <w:t>.</w:t>
      </w:r>
    </w:p>
    <w:p w14:paraId="3BAAD210" w14:textId="77777777" w:rsidR="00345400" w:rsidRPr="00FC2DD8" w:rsidRDefault="00345400" w:rsidP="003D504D">
      <w:pPr>
        <w:pStyle w:val="af"/>
        <w:rPr>
          <w:sz w:val="16"/>
          <w:szCs w:val="12"/>
          <w:rtl/>
        </w:rPr>
      </w:pPr>
      <w:r w:rsidRPr="00FC2DD8">
        <w:rPr>
          <w:rtl/>
        </w:rPr>
        <w:t xml:space="preserve">וכתב </w:t>
      </w:r>
      <w:r w:rsidRPr="00B93E0B">
        <w:rPr>
          <w:rStyle w:val="affa"/>
          <w:rtl/>
        </w:rPr>
        <w:t xml:space="preserve">האבהא"ז </w:t>
      </w:r>
      <w:r w:rsidRPr="00FC2DD8">
        <w:rPr>
          <w:rtl/>
        </w:rPr>
        <w:t xml:space="preserve">דלפי"ז אין הכרח לומר כביאור </w:t>
      </w:r>
      <w:r w:rsidRPr="00B93E0B">
        <w:rPr>
          <w:rStyle w:val="affa"/>
          <w:rtl/>
        </w:rPr>
        <w:t xml:space="preserve">הרא"ש </w:t>
      </w:r>
      <w:r w:rsidRPr="001B2DF0">
        <w:rPr>
          <w:rStyle w:val="aff6"/>
          <w:rtl/>
        </w:rPr>
        <w:t xml:space="preserve">(עי' אות </w:t>
      </w:r>
      <w:r w:rsidRPr="001B2DF0">
        <w:rPr>
          <w:rStyle w:val="aff6"/>
          <w:rtl/>
        </w:rPr>
        <w:fldChar w:fldCharType="begin"/>
      </w:r>
      <w:r w:rsidRPr="001B2DF0">
        <w:rPr>
          <w:rStyle w:val="aff6"/>
          <w:rtl/>
        </w:rPr>
        <w:instrText xml:space="preserve"> </w:instrText>
      </w:r>
      <w:r w:rsidRPr="001B2DF0">
        <w:rPr>
          <w:rStyle w:val="aff6"/>
        </w:rPr>
        <w:instrText>REF</w:instrText>
      </w:r>
      <w:r w:rsidRPr="001B2DF0">
        <w:rPr>
          <w:rStyle w:val="aff6"/>
          <w:rtl/>
        </w:rPr>
        <w:instrText xml:space="preserve"> _</w:instrText>
      </w:r>
      <w:r w:rsidRPr="001B2DF0">
        <w:rPr>
          <w:rStyle w:val="aff6"/>
        </w:rPr>
        <w:instrText>Ref3921945 \r \h</w:instrText>
      </w:r>
      <w:r w:rsidRPr="001B2DF0">
        <w:rPr>
          <w:rStyle w:val="aff6"/>
          <w:rtl/>
        </w:rPr>
        <w:instrText xml:space="preserve"> </w:instrText>
      </w:r>
      <w:r w:rsidRPr="001B2DF0">
        <w:rPr>
          <w:rStyle w:val="aff6"/>
          <w:rtl/>
        </w:rPr>
      </w:r>
      <w:r w:rsidRPr="001B2DF0">
        <w:rPr>
          <w:rStyle w:val="aff6"/>
          <w:rtl/>
        </w:rPr>
        <w:fldChar w:fldCharType="separate"/>
      </w:r>
      <w:r>
        <w:rPr>
          <w:rStyle w:val="aff6"/>
          <w:cs/>
        </w:rPr>
        <w:t>‎</w:t>
      </w:r>
      <w:r>
        <w:rPr>
          <w:rStyle w:val="aff6"/>
          <w:rtl/>
        </w:rPr>
        <w:t>ה)</w:t>
      </w:r>
      <w:r w:rsidRPr="001B2DF0">
        <w:rPr>
          <w:rStyle w:val="aff6"/>
          <w:rtl/>
        </w:rPr>
        <w:fldChar w:fldCharType="end"/>
      </w:r>
      <w:r w:rsidRPr="00FC2DD8">
        <w:rPr>
          <w:rtl/>
        </w:rPr>
        <w:t xml:space="preserve"> </w:t>
      </w:r>
      <w:r w:rsidRPr="00B93E0B">
        <w:rPr>
          <w:rStyle w:val="affa"/>
          <w:rtl/>
        </w:rPr>
        <w:t>ברמב"ם</w:t>
      </w:r>
      <w:r w:rsidRPr="00FC2DD8">
        <w:rPr>
          <w:rtl/>
        </w:rPr>
        <w:t xml:space="preserve"> דריו"ח ור"ל נחלקו בפלוגתת ר"י ור"מ, דהא אפש"ל דס"ל </w:t>
      </w:r>
      <w:r w:rsidRPr="00B93E0B">
        <w:rPr>
          <w:rStyle w:val="affa"/>
          <w:rtl/>
        </w:rPr>
        <w:t xml:space="preserve">להרמב"ם </w:t>
      </w:r>
      <w:r w:rsidRPr="00FC2DD8">
        <w:rPr>
          <w:rtl/>
        </w:rPr>
        <w:t xml:space="preserve">כדעת </w:t>
      </w:r>
      <w:r>
        <w:rPr>
          <w:rStyle w:val="affa"/>
          <w:rtl/>
        </w:rPr>
        <w:t>התוס'</w:t>
      </w:r>
      <w:r>
        <w:rPr>
          <w:rStyle w:val="afb"/>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Ref4143378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יד)</w:t>
      </w:r>
      <w:r>
        <w:rPr>
          <w:rStyle w:val="aff6"/>
          <w:rtl/>
        </w:rPr>
        <w:fldChar w:fldCharType="end"/>
      </w:r>
      <w:r w:rsidRPr="00FC2DD8">
        <w:rPr>
          <w:rtl/>
        </w:rPr>
        <w:t xml:space="preserve"> דלריו"ח אף דלא בעינן אוירא דלידה מ"מ אויר העולם בעינן, וכל שלא יצא החלב לאויר לא נאסר כלל, וא"כ אפש"ל דריו"ח ס"ל כר"י דמהני השחיטה להתירו, כיון שלא חל עליו איסור כלל, וכשנולד אח"כ ויש לו שם "שור ושה" הוא כבר כבישרא בדיקולא ומותר, ור"ל מתיר בתלש אף לר"מ, דס"ל דר"מ אסר רק במקום שיש חדשים ואוירא דלידה, אבל בלא חדשים ולידה אינו נקרא "שור ושה" ואין חלבו אסור, ולפי"ז </w:t>
      </w:r>
      <w:r w:rsidRPr="00DB3B16">
        <w:rPr>
          <w:rStyle w:val="affa"/>
          <w:rtl/>
        </w:rPr>
        <w:t>הרמב"ם</w:t>
      </w:r>
      <w:r w:rsidRPr="00FC2DD8">
        <w:rPr>
          <w:rtl/>
        </w:rPr>
        <w:t xml:space="preserve"> פסק כר"י בחלב וגיד כסתמא דמתני' לקמן </w:t>
      </w:r>
      <w:r w:rsidRPr="00B93E0B">
        <w:rPr>
          <w:rStyle w:val="aff6"/>
          <w:rtl/>
        </w:rPr>
        <w:t>(פט:)</w:t>
      </w:r>
      <w:r w:rsidRPr="00FC2DD8">
        <w:rPr>
          <w:rtl/>
        </w:rPr>
        <w:t xml:space="preserve">. </w:t>
      </w:r>
      <w:r w:rsidRPr="00FC2DD8">
        <w:rPr>
          <w:sz w:val="16"/>
          <w:szCs w:val="12"/>
          <w:rtl/>
        </w:rPr>
        <w:t xml:space="preserve">[אך דחה </w:t>
      </w:r>
      <w:r w:rsidRPr="00FC2DD8">
        <w:rPr>
          <w:rStyle w:val="affa"/>
          <w:sz w:val="16"/>
          <w:szCs w:val="12"/>
          <w:rtl/>
        </w:rPr>
        <w:t>האבהא"ז</w:t>
      </w:r>
      <w:r w:rsidRPr="00FC2DD8">
        <w:rPr>
          <w:sz w:val="16"/>
          <w:szCs w:val="12"/>
          <w:rtl/>
        </w:rPr>
        <w:t xml:space="preserve"> [בהגה"ה מכת"י] דלפי"ז קשה מהי סברת ר"י דמתיר בגיד, הרי בגיד לא משמע דבעינן אויר העולם, אלא מבואר דאחר שחל עליו היתר בשחיטה שוב לא חוזר ונאסר].</w:t>
      </w:r>
    </w:p>
  </w:footnote>
  <w:footnote w:id="130">
    <w:p w14:paraId="23498E60" w14:textId="77777777" w:rsidR="00345400" w:rsidRDefault="00345400" w:rsidP="003D504D">
      <w:pPr>
        <w:pStyle w:val="af"/>
        <w:rPr>
          <w:rtl/>
        </w:rPr>
      </w:pPr>
      <w:r>
        <w:rPr>
          <w:rStyle w:val="af1"/>
        </w:rPr>
        <w:footnoteRef/>
      </w:r>
      <w:r>
        <w:rPr>
          <w:rtl/>
        </w:rPr>
        <w:t xml:space="preserve"> </w:t>
      </w:r>
      <w:r w:rsidRPr="00A16624">
        <w:rPr>
          <w:rStyle w:val="affa"/>
          <w:rFonts w:hint="cs"/>
          <w:rtl/>
        </w:rPr>
        <w:t>במ"מ</w:t>
      </w:r>
      <w:r>
        <w:rPr>
          <w:rStyle w:val="afb"/>
          <w:rFonts w:hint="cs"/>
          <w:rtl/>
        </w:rPr>
        <w:t xml:space="preserve"> לפנינו הגירסא היא דהשגת </w:t>
      </w:r>
      <w:r w:rsidRPr="00A16624">
        <w:rPr>
          <w:rStyle w:val="affa"/>
          <w:rFonts w:hint="cs"/>
          <w:rtl/>
        </w:rPr>
        <w:t>הראב"ד</w:t>
      </w:r>
      <w:r>
        <w:rPr>
          <w:rStyle w:val="afb"/>
          <w:rFonts w:hint="cs"/>
          <w:rtl/>
        </w:rPr>
        <w:t xml:space="preserve"> היא על מ"ש </w:t>
      </w:r>
      <w:r w:rsidRPr="00584ED3">
        <w:rPr>
          <w:rStyle w:val="affa"/>
          <w:rFonts w:hint="cs"/>
          <w:rtl/>
        </w:rPr>
        <w:t>הרמב"ם</w:t>
      </w:r>
      <w:r>
        <w:rPr>
          <w:rStyle w:val="afb"/>
          <w:rFonts w:hint="cs"/>
          <w:rtl/>
        </w:rPr>
        <w:t xml:space="preserve"> דשאר דמו כדם האיברים, וע"ז כתב </w:t>
      </w:r>
      <w:r w:rsidRPr="00A16624">
        <w:rPr>
          <w:rStyle w:val="affa"/>
          <w:rFonts w:hint="cs"/>
          <w:rtl/>
        </w:rPr>
        <w:t>הראב"ד</w:t>
      </w:r>
      <w:r w:rsidRPr="00CF78C3">
        <w:rPr>
          <w:rFonts w:hint="cs"/>
          <w:rtl/>
        </w:rPr>
        <w:t xml:space="preserve"> </w:t>
      </w:r>
      <w:r>
        <w:rPr>
          <w:rFonts w:hint="cs"/>
          <w:rtl/>
        </w:rPr>
        <w:t xml:space="preserve">דכן הדם היוצא מבית השחיטה שהוא מן הריאה והכבד, </w:t>
      </w:r>
      <w:r>
        <w:rPr>
          <w:rStyle w:val="afb"/>
          <w:rFonts w:hint="cs"/>
          <w:rtl/>
        </w:rPr>
        <w:t xml:space="preserve">וכתב </w:t>
      </w:r>
      <w:r w:rsidRPr="00A16624">
        <w:rPr>
          <w:rStyle w:val="affa"/>
          <w:rFonts w:hint="cs"/>
          <w:rtl/>
        </w:rPr>
        <w:t>הלח"מ</w:t>
      </w:r>
      <w:r>
        <w:rPr>
          <w:rStyle w:val="afb"/>
          <w:rFonts w:hint="cs"/>
          <w:rtl/>
        </w:rPr>
        <w:t xml:space="preserve"> דלפי גירסא זו ודאי דכוונת </w:t>
      </w:r>
      <w:r w:rsidRPr="00A16624">
        <w:rPr>
          <w:rStyle w:val="affa"/>
          <w:rFonts w:hint="cs"/>
          <w:rtl/>
        </w:rPr>
        <w:t>הראב"ד</w:t>
      </w:r>
      <w:r>
        <w:rPr>
          <w:rStyle w:val="afb"/>
          <w:rFonts w:hint="cs"/>
          <w:rtl/>
        </w:rPr>
        <w:t xml:space="preserve"> לבאר את דברי </w:t>
      </w:r>
      <w:r w:rsidRPr="00A16624">
        <w:rPr>
          <w:rStyle w:val="affa"/>
          <w:rFonts w:hint="cs"/>
          <w:rtl/>
        </w:rPr>
        <w:t>הרמב"ם</w:t>
      </w:r>
      <w:r>
        <w:rPr>
          <w:rStyle w:val="afb"/>
          <w:rFonts w:hint="cs"/>
          <w:rtl/>
        </w:rPr>
        <w:t xml:space="preserve">, דכל שאר דמו הוא בלאו, ואף הדם של בית השחיטה, כיון שהוא בא מהריאה והכבד, וכתב </w:t>
      </w:r>
      <w:r w:rsidRPr="00A16624">
        <w:rPr>
          <w:rStyle w:val="affa"/>
          <w:rFonts w:hint="cs"/>
          <w:rtl/>
        </w:rPr>
        <w:t>הלח"מ</w:t>
      </w:r>
      <w:r>
        <w:rPr>
          <w:rStyle w:val="afb"/>
          <w:rFonts w:hint="cs"/>
          <w:rtl/>
        </w:rPr>
        <w:t xml:space="preserve"> דכיון </w:t>
      </w:r>
      <w:r w:rsidRPr="00A16624">
        <w:rPr>
          <w:rStyle w:val="affa"/>
          <w:rFonts w:hint="cs"/>
          <w:rtl/>
        </w:rPr>
        <w:t>דהמ"מ</w:t>
      </w:r>
      <w:r>
        <w:rPr>
          <w:rStyle w:val="afb"/>
          <w:rFonts w:hint="cs"/>
          <w:rtl/>
        </w:rPr>
        <w:t xml:space="preserve"> </w:t>
      </w:r>
      <w:r w:rsidRPr="00A16624">
        <w:rPr>
          <w:rStyle w:val="aff6"/>
          <w:rFonts w:hint="cs"/>
          <w:rtl/>
        </w:rPr>
        <w:t xml:space="preserve">(עי' אות </w:t>
      </w:r>
      <w:r w:rsidRPr="00A16624">
        <w:rPr>
          <w:rStyle w:val="aff6"/>
          <w:rtl/>
        </w:rPr>
        <w:fldChar w:fldCharType="begin"/>
      </w:r>
      <w:r w:rsidRPr="00A16624">
        <w:rPr>
          <w:rStyle w:val="aff6"/>
          <w:rtl/>
        </w:rPr>
        <w:instrText xml:space="preserve"> </w:instrText>
      </w:r>
      <w:r w:rsidRPr="00A16624">
        <w:rPr>
          <w:rStyle w:val="aff6"/>
          <w:rFonts w:hint="cs"/>
        </w:rPr>
        <w:instrText>REF</w:instrText>
      </w:r>
      <w:r w:rsidRPr="00A16624">
        <w:rPr>
          <w:rStyle w:val="aff6"/>
          <w:rFonts w:hint="cs"/>
          <w:rtl/>
        </w:rPr>
        <w:instrText xml:space="preserve"> _</w:instrText>
      </w:r>
      <w:r w:rsidRPr="00A16624">
        <w:rPr>
          <w:rStyle w:val="aff6"/>
          <w:rFonts w:hint="cs"/>
        </w:rPr>
        <w:instrText>Ref4317356 \r \h</w:instrText>
      </w:r>
      <w:r w:rsidRPr="00A16624">
        <w:rPr>
          <w:rStyle w:val="aff6"/>
          <w:rtl/>
        </w:rPr>
        <w:instrText xml:space="preserve"> </w:instrText>
      </w:r>
      <w:r w:rsidRPr="00A16624">
        <w:rPr>
          <w:rStyle w:val="aff6"/>
          <w:rtl/>
        </w:rPr>
      </w:r>
      <w:r w:rsidRPr="00A16624">
        <w:rPr>
          <w:rStyle w:val="aff6"/>
          <w:rtl/>
        </w:rPr>
        <w:fldChar w:fldCharType="separate"/>
      </w:r>
      <w:r>
        <w:rPr>
          <w:rStyle w:val="aff6"/>
          <w:cs/>
        </w:rPr>
        <w:t>‎</w:t>
      </w:r>
      <w:r>
        <w:rPr>
          <w:rStyle w:val="aff6"/>
          <w:rtl/>
        </w:rPr>
        <w:t>נה)</w:t>
      </w:r>
      <w:r w:rsidRPr="00A16624">
        <w:rPr>
          <w:rStyle w:val="aff6"/>
          <w:rtl/>
        </w:rPr>
        <w:fldChar w:fldCharType="end"/>
      </w:r>
      <w:r>
        <w:rPr>
          <w:rStyle w:val="afb"/>
          <w:rFonts w:hint="cs"/>
          <w:rtl/>
        </w:rPr>
        <w:t xml:space="preserve"> מסתפק אי כוונת </w:t>
      </w:r>
      <w:r w:rsidRPr="00A16624">
        <w:rPr>
          <w:rStyle w:val="affa"/>
          <w:rFonts w:hint="cs"/>
          <w:rtl/>
        </w:rPr>
        <w:t>הראב"ד</w:t>
      </w:r>
      <w:r>
        <w:rPr>
          <w:rStyle w:val="afb"/>
          <w:rFonts w:hint="cs"/>
          <w:rtl/>
        </w:rPr>
        <w:t xml:space="preserve"> לחלוק על </w:t>
      </w:r>
      <w:r w:rsidRPr="00A16624">
        <w:rPr>
          <w:rStyle w:val="affa"/>
          <w:rFonts w:hint="cs"/>
          <w:rtl/>
        </w:rPr>
        <w:t>הרמב"ם</w:t>
      </w:r>
      <w:r>
        <w:rPr>
          <w:rStyle w:val="afb"/>
          <w:rFonts w:hint="cs"/>
          <w:rtl/>
        </w:rPr>
        <w:t xml:space="preserve">, או לבאר את דבריו, א"כ מוכח דהוא ט"ס בדברי </w:t>
      </w:r>
      <w:r w:rsidRPr="00A16624">
        <w:rPr>
          <w:rStyle w:val="affa"/>
          <w:rFonts w:hint="cs"/>
          <w:rtl/>
        </w:rPr>
        <w:t>המ"מ</w:t>
      </w:r>
      <w:r>
        <w:rPr>
          <w:rStyle w:val="afb"/>
          <w:rFonts w:hint="cs"/>
          <w:rtl/>
        </w:rPr>
        <w:t xml:space="preserve">, ואף הוא גרס כגירסת </w:t>
      </w:r>
      <w:r w:rsidRPr="00A16624">
        <w:rPr>
          <w:rStyle w:val="affa"/>
          <w:rFonts w:hint="cs"/>
          <w:rtl/>
        </w:rPr>
        <w:t>המגד"ע</w:t>
      </w:r>
      <w:r>
        <w:rPr>
          <w:rStyle w:val="afb"/>
          <w:rFonts w:hint="cs"/>
          <w:rtl/>
        </w:rPr>
        <w:t xml:space="preserve"> דהשגת </w:t>
      </w:r>
      <w:r w:rsidRPr="00A16624">
        <w:rPr>
          <w:rStyle w:val="affa"/>
          <w:rFonts w:hint="cs"/>
          <w:rtl/>
        </w:rPr>
        <w:t>הראב"ד</w:t>
      </w:r>
      <w:r>
        <w:rPr>
          <w:rStyle w:val="afb"/>
          <w:rFonts w:hint="cs"/>
          <w:rtl/>
        </w:rPr>
        <w:t xml:space="preserve"> היא על דברי </w:t>
      </w:r>
      <w:r w:rsidRPr="00A16624">
        <w:rPr>
          <w:rStyle w:val="affa"/>
          <w:rFonts w:hint="cs"/>
          <w:rtl/>
        </w:rPr>
        <w:t>הרמב"ם</w:t>
      </w:r>
      <w:r>
        <w:rPr>
          <w:rStyle w:val="afb"/>
          <w:rFonts w:hint="cs"/>
          <w:rtl/>
        </w:rPr>
        <w:t xml:space="preserve"> דמחייב כרת בדם הכנוס בלב.</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E57E1" w14:textId="77777777" w:rsidR="00345400" w:rsidRPr="00A96632" w:rsidRDefault="00345400" w:rsidP="00852065">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3CDE0C49" w14:textId="77777777" w:rsidR="00345400" w:rsidRDefault="00345400" w:rsidP="00852065">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2D8A132E" w14:textId="77777777" w:rsidR="00345400" w:rsidRDefault="00345400" w:rsidP="00852065">
    <w:pPr>
      <w:pStyle w:val="a9"/>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sidRPr="003F64F2">
      <w:rPr>
        <w:rFonts w:cs="Guttman Hodes" w:hint="cs"/>
        <w:sz w:val="14"/>
        <w:szCs w:val="14"/>
        <w:rtl/>
      </w:rPr>
      <w:t xml:space="preserve"> </w:t>
    </w:r>
    <w:r>
      <w:rPr>
        <w:rFonts w:cs="Guttman Hodes"/>
        <w:sz w:val="14"/>
        <w:szCs w:val="14"/>
        <w:rtl/>
      </w:rPr>
      <w:t>–</w:t>
    </w:r>
    <w:r w:rsidRPr="003F64F2">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27A74" w14:textId="77777777" w:rsidR="00345400" w:rsidRDefault="00345400" w:rsidP="00852065">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45208E0E" w14:textId="77777777" w:rsidR="00345400" w:rsidRDefault="00345400" w:rsidP="00852065">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0CF687BB" w14:textId="77777777" w:rsidR="00345400" w:rsidRPr="00A96632" w:rsidRDefault="00345400" w:rsidP="00852065">
    <w:pPr>
      <w:pStyle w:val="a9"/>
      <w:ind w:left="0"/>
      <w:jc w:val="center"/>
      <w:rPr>
        <w:rFonts w:cs="Guttman Hodes"/>
        <w:sz w:val="14"/>
        <w:szCs w:val="14"/>
        <w:rtl/>
      </w:rPr>
    </w:pPr>
    <w:r w:rsidRPr="003F64F2">
      <w:rPr>
        <w:rFonts w:cs="Guttman Hodes"/>
        <w:sz w:val="14"/>
        <w:szCs w:val="14"/>
        <w:rtl/>
      </w:rPr>
      <w:t xml:space="preserve">סימן </w:t>
    </w:r>
    <w:r>
      <w:rPr>
        <w:rFonts w:cs="Guttman Hodes" w:hint="cs"/>
        <w:sz w:val="14"/>
        <w:szCs w:val="14"/>
        <w:rtl/>
      </w:rPr>
      <w:t>ג</w:t>
    </w:r>
    <w:r w:rsidRPr="003F64F2">
      <w:rPr>
        <w:rFonts w:cs="Guttman Hodes"/>
        <w:sz w:val="14"/>
        <w:szCs w:val="14"/>
        <w:rtl/>
      </w:rPr>
      <w:t>'</w:t>
    </w:r>
    <w:r w:rsidRPr="003F64F2">
      <w:rPr>
        <w:rFonts w:cs="Guttman Hodes" w:hint="cs"/>
        <w:sz w:val="14"/>
        <w:szCs w:val="14"/>
        <w:rtl/>
      </w:rPr>
      <w:t xml:space="preserve"> </w:t>
    </w:r>
    <w:r>
      <w:rPr>
        <w:rFonts w:cs="Guttman Hodes"/>
        <w:sz w:val="14"/>
        <w:szCs w:val="14"/>
        <w:rtl/>
      </w:rPr>
      <w:t>–</w:t>
    </w:r>
    <w:r w:rsidRPr="003F64F2">
      <w:rPr>
        <w:rFonts w:cs="Guttman Hodes" w:hint="cs"/>
        <w:sz w:val="14"/>
        <w:szCs w:val="14"/>
        <w:rtl/>
      </w:rPr>
      <w:t xml:space="preserve"> </w:t>
    </w:r>
    <w:r w:rsidRPr="005E2CA3">
      <w:rPr>
        <w:rFonts w:cs="Guttman Hodes"/>
        <w:sz w:val="14"/>
        <w:szCs w:val="14"/>
        <w:rtl/>
      </w:rPr>
      <w:t>בענין חזקת היתר בספק טריפה</w:t>
    </w:r>
  </w:p>
  <w:p w14:paraId="68C1BFD6" w14:textId="77777777" w:rsidR="00345400" w:rsidRPr="00465B97" w:rsidRDefault="00345400" w:rsidP="00852065">
    <w:pPr>
      <w:pStyle w:val="a9"/>
      <w:rPr>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90CFB" w14:textId="77777777" w:rsidR="00345400" w:rsidRDefault="00345400" w:rsidP="00852065">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48C3FD48" w14:textId="77777777" w:rsidR="00345400" w:rsidRDefault="00345400" w:rsidP="00852065">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21D895FD" w14:textId="77777777" w:rsidR="00345400" w:rsidRPr="00A96632" w:rsidRDefault="00345400" w:rsidP="00852065">
    <w:pPr>
      <w:pStyle w:val="a9"/>
      <w:ind w:left="0"/>
      <w:jc w:val="center"/>
      <w:rPr>
        <w:rFonts w:cs="Guttman Hodes"/>
        <w:sz w:val="14"/>
        <w:szCs w:val="14"/>
        <w:rtl/>
      </w:rPr>
    </w:pPr>
    <w:r w:rsidRPr="003F64F2">
      <w:rPr>
        <w:rFonts w:cs="Guttman Hodes"/>
        <w:sz w:val="14"/>
        <w:szCs w:val="14"/>
        <w:rtl/>
      </w:rPr>
      <w:t xml:space="preserve">סימן </w:t>
    </w:r>
    <w:r>
      <w:rPr>
        <w:rFonts w:cs="Guttman Hodes" w:hint="cs"/>
        <w:sz w:val="14"/>
        <w:szCs w:val="14"/>
        <w:rtl/>
      </w:rPr>
      <w:t>ג</w:t>
    </w:r>
    <w:r w:rsidRPr="003F64F2">
      <w:rPr>
        <w:rFonts w:cs="Guttman Hodes"/>
        <w:sz w:val="14"/>
        <w:szCs w:val="14"/>
        <w:rtl/>
      </w:rPr>
      <w:t>'</w:t>
    </w:r>
    <w:r w:rsidRPr="003F64F2">
      <w:rPr>
        <w:rFonts w:cs="Guttman Hodes" w:hint="cs"/>
        <w:sz w:val="14"/>
        <w:szCs w:val="14"/>
        <w:rtl/>
      </w:rPr>
      <w:t xml:space="preserve"> </w:t>
    </w:r>
    <w:r>
      <w:rPr>
        <w:rFonts w:cs="Guttman Hodes"/>
        <w:sz w:val="14"/>
        <w:szCs w:val="14"/>
        <w:rtl/>
      </w:rPr>
      <w:t>–</w:t>
    </w:r>
    <w:r w:rsidRPr="003F64F2">
      <w:rPr>
        <w:rFonts w:cs="Guttman Hodes" w:hint="cs"/>
        <w:sz w:val="14"/>
        <w:szCs w:val="14"/>
        <w:rtl/>
      </w:rPr>
      <w:t xml:space="preserve"> </w:t>
    </w:r>
    <w:r w:rsidRPr="005E2CA3">
      <w:rPr>
        <w:rFonts w:cs="Guttman Hodes"/>
        <w:sz w:val="14"/>
        <w:szCs w:val="14"/>
        <w:rtl/>
      </w:rPr>
      <w:t>בענין חזקת היתר בספק טריפה</w:t>
    </w:r>
  </w:p>
  <w:p w14:paraId="0CFED4CB" w14:textId="77777777" w:rsidR="00345400" w:rsidRPr="00465B97" w:rsidRDefault="00345400" w:rsidP="00852065">
    <w:pPr>
      <w:pStyle w:val="a9"/>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1CCE9" w14:textId="77777777" w:rsidR="00345400" w:rsidRDefault="00345400" w:rsidP="00431D23">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w:t>
    </w:r>
    <w:r w:rsidRPr="00A96632">
      <w:rPr>
        <w:rFonts w:cs="Guttman Hodes" w:hint="cs"/>
        <w:sz w:val="14"/>
        <w:szCs w:val="14"/>
        <w:rtl/>
      </w:rPr>
      <w:t xml:space="preserve"> ע"א</w:t>
    </w:r>
  </w:p>
  <w:p w14:paraId="059EF82A" w14:textId="77777777" w:rsidR="00345400" w:rsidRDefault="00345400" w:rsidP="009D31CB">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3EA31DDA" w14:textId="77777777" w:rsidR="00345400" w:rsidRDefault="00345400" w:rsidP="009D31CB">
    <w:pPr>
      <w:pStyle w:val="a9"/>
      <w:ind w:left="0"/>
      <w:jc w:val="center"/>
      <w:rPr>
        <w:rFonts w:cs="Guttman Hodes"/>
        <w:sz w:val="14"/>
        <w:szCs w:val="14"/>
        <w:rtl/>
      </w:rPr>
    </w:pPr>
    <w:r w:rsidRPr="003F64F2">
      <w:rPr>
        <w:rFonts w:cs="Guttman Hodes"/>
        <w:sz w:val="14"/>
        <w:szCs w:val="14"/>
        <w:rtl/>
      </w:rPr>
      <w:t xml:space="preserve">סימן </w:t>
    </w:r>
    <w:r>
      <w:rPr>
        <w:rFonts w:cs="Guttman Hodes" w:hint="cs"/>
        <w:sz w:val="14"/>
        <w:szCs w:val="14"/>
        <w:rtl/>
      </w:rPr>
      <w:t>ד</w:t>
    </w:r>
    <w:r w:rsidRPr="003F64F2">
      <w:rPr>
        <w:rFonts w:cs="Guttman Hodes"/>
        <w:sz w:val="14"/>
        <w:szCs w:val="14"/>
        <w:rtl/>
      </w:rPr>
      <w:t>'</w:t>
    </w:r>
    <w:r w:rsidRPr="003F64F2">
      <w:rPr>
        <w:rFonts w:cs="Guttman Hodes" w:hint="cs"/>
        <w:sz w:val="14"/>
        <w:szCs w:val="14"/>
        <w:rtl/>
      </w:rPr>
      <w:t xml:space="preserve"> </w:t>
    </w:r>
    <w:r>
      <w:rPr>
        <w:rFonts w:cs="Guttman Hodes"/>
        <w:sz w:val="14"/>
        <w:szCs w:val="14"/>
        <w:rtl/>
      </w:rPr>
      <w:t>–</w:t>
    </w:r>
    <w:r w:rsidRPr="003F64F2">
      <w:rPr>
        <w:rFonts w:cs="Guttman Hodes" w:hint="cs"/>
        <w:sz w:val="14"/>
        <w:szCs w:val="14"/>
        <w:rtl/>
      </w:rPr>
      <w:t xml:space="preserve"> </w:t>
    </w:r>
    <w:r w:rsidRPr="00653CB0">
      <w:rPr>
        <w:rFonts w:cs="Guttman Hodes"/>
        <w:sz w:val="14"/>
        <w:szCs w:val="14"/>
        <w:rtl/>
      </w:rPr>
      <w:t>ב</w:t>
    </w:r>
    <w:r>
      <w:rPr>
        <w:rFonts w:cs="Guttman Hodes" w:hint="cs"/>
        <w:sz w:val="14"/>
        <w:szCs w:val="14"/>
        <w:rtl/>
      </w:rPr>
      <w:t>סוגיא ד</w:t>
    </w:r>
    <w:r w:rsidRPr="00653CB0">
      <w:rPr>
        <w:rFonts w:cs="Guttman Hodes"/>
        <w:sz w:val="14"/>
        <w:szCs w:val="14"/>
        <w:rtl/>
      </w:rPr>
      <w:t xml:space="preserve">השוחט </w:t>
    </w:r>
    <w:r w:rsidRPr="00DA1EAD">
      <w:rPr>
        <w:rFonts w:cs="Guttman Hodes"/>
        <w:sz w:val="14"/>
        <w:szCs w:val="14"/>
        <w:rtl/>
      </w:rPr>
      <w:t>בסכין ונמצאת פגומה</w:t>
    </w:r>
    <w:r>
      <w:rPr>
        <w:rFonts w:cs="Guttman Hodes" w:hint="cs"/>
        <w:sz w:val="14"/>
        <w:szCs w:val="14"/>
        <w:rtl/>
      </w:rPr>
      <w:t xml:space="preserve"> (א') - </w:t>
    </w:r>
    <w:r w:rsidRPr="007A3CC3">
      <w:rPr>
        <w:rFonts w:cs="Guttman Hodes"/>
        <w:sz w:val="14"/>
        <w:szCs w:val="14"/>
        <w:rtl/>
      </w:rPr>
      <w:t xml:space="preserve">בחיוב הבדיקה ובדין </w:t>
    </w:r>
    <w:r>
      <w:rPr>
        <w:rFonts w:cs="Guttman Hodes"/>
        <w:sz w:val="14"/>
        <w:szCs w:val="14"/>
        <w:rtl/>
      </w:rPr>
      <w:t>אבד</w:t>
    </w:r>
    <w:r w:rsidRPr="007A3CC3">
      <w:rPr>
        <w:rFonts w:cs="Guttman Hodes"/>
        <w:sz w:val="14"/>
        <w:szCs w:val="14"/>
        <w:rtl/>
      </w:rPr>
      <w:t xml:space="preserve"> הסכין</w:t>
    </w:r>
  </w:p>
  <w:p w14:paraId="12BD0FB0" w14:textId="77777777" w:rsidR="00345400" w:rsidRPr="003D0726" w:rsidRDefault="00345400" w:rsidP="009D31CB">
    <w:pPr>
      <w:pStyle w:val="a9"/>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5089" w14:textId="77777777" w:rsidR="00345400" w:rsidRDefault="00345400" w:rsidP="003D0726">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2CCF6E50" w14:textId="77777777" w:rsidR="00345400" w:rsidRDefault="00345400" w:rsidP="003D0726">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2CC7C509" w14:textId="77777777" w:rsidR="00345400" w:rsidRDefault="00345400" w:rsidP="003D0726">
    <w:pPr>
      <w:pStyle w:val="a9"/>
      <w:ind w:left="0"/>
      <w:jc w:val="center"/>
      <w:rPr>
        <w:rFonts w:cs="Guttman Hodes"/>
        <w:sz w:val="14"/>
        <w:szCs w:val="14"/>
        <w:rtl/>
      </w:rPr>
    </w:pPr>
    <w:r w:rsidRPr="003F64F2">
      <w:rPr>
        <w:rFonts w:cs="Guttman Hodes"/>
        <w:sz w:val="14"/>
        <w:szCs w:val="14"/>
        <w:rtl/>
      </w:rPr>
      <w:t xml:space="preserve">סימן </w:t>
    </w:r>
    <w:r>
      <w:rPr>
        <w:rFonts w:cs="Guttman Hodes" w:hint="cs"/>
        <w:sz w:val="14"/>
        <w:szCs w:val="14"/>
        <w:rtl/>
      </w:rPr>
      <w:t>ד</w:t>
    </w:r>
    <w:r w:rsidRPr="003F64F2">
      <w:rPr>
        <w:rFonts w:cs="Guttman Hodes"/>
        <w:sz w:val="14"/>
        <w:szCs w:val="14"/>
        <w:rtl/>
      </w:rPr>
      <w:t>'</w:t>
    </w:r>
    <w:r w:rsidRPr="003F64F2">
      <w:rPr>
        <w:rFonts w:cs="Guttman Hodes" w:hint="cs"/>
        <w:sz w:val="14"/>
        <w:szCs w:val="14"/>
        <w:rtl/>
      </w:rPr>
      <w:t xml:space="preserve"> </w:t>
    </w:r>
    <w:r>
      <w:rPr>
        <w:rFonts w:cs="Guttman Hodes"/>
        <w:sz w:val="14"/>
        <w:szCs w:val="14"/>
        <w:rtl/>
      </w:rPr>
      <w:t>–</w:t>
    </w:r>
    <w:r w:rsidRPr="003F64F2">
      <w:rPr>
        <w:rFonts w:cs="Guttman Hodes" w:hint="cs"/>
        <w:sz w:val="14"/>
        <w:szCs w:val="14"/>
        <w:rtl/>
      </w:rPr>
      <w:t xml:space="preserve"> </w:t>
    </w:r>
    <w:r w:rsidRPr="00653CB0">
      <w:rPr>
        <w:rFonts w:cs="Guttman Hodes"/>
        <w:sz w:val="14"/>
        <w:szCs w:val="14"/>
        <w:rtl/>
      </w:rPr>
      <w:t>ב</w:t>
    </w:r>
    <w:r>
      <w:rPr>
        <w:rFonts w:cs="Guttman Hodes" w:hint="cs"/>
        <w:sz w:val="14"/>
        <w:szCs w:val="14"/>
        <w:rtl/>
      </w:rPr>
      <w:t>סוגיא ד</w:t>
    </w:r>
    <w:r w:rsidRPr="00653CB0">
      <w:rPr>
        <w:rFonts w:cs="Guttman Hodes"/>
        <w:sz w:val="14"/>
        <w:szCs w:val="14"/>
        <w:rtl/>
      </w:rPr>
      <w:t xml:space="preserve">השוחט </w:t>
    </w:r>
    <w:r w:rsidRPr="00DA1EAD">
      <w:rPr>
        <w:rFonts w:cs="Guttman Hodes"/>
        <w:sz w:val="14"/>
        <w:szCs w:val="14"/>
        <w:rtl/>
      </w:rPr>
      <w:t>בסכין ונמצאת פגומה</w:t>
    </w:r>
    <w:r>
      <w:rPr>
        <w:rFonts w:cs="Guttman Hodes" w:hint="cs"/>
        <w:sz w:val="14"/>
        <w:szCs w:val="14"/>
        <w:rtl/>
      </w:rPr>
      <w:t xml:space="preserve"> (א') - </w:t>
    </w:r>
    <w:r w:rsidRPr="007A3CC3">
      <w:rPr>
        <w:rFonts w:cs="Guttman Hodes"/>
        <w:sz w:val="14"/>
        <w:szCs w:val="14"/>
        <w:rtl/>
      </w:rPr>
      <w:t xml:space="preserve">בחיוב הבדיקה ובדין </w:t>
    </w:r>
    <w:r>
      <w:rPr>
        <w:rFonts w:cs="Guttman Hodes"/>
        <w:sz w:val="14"/>
        <w:szCs w:val="14"/>
        <w:rtl/>
      </w:rPr>
      <w:t>אבד</w:t>
    </w:r>
    <w:r w:rsidRPr="007A3CC3">
      <w:rPr>
        <w:rFonts w:cs="Guttman Hodes"/>
        <w:sz w:val="14"/>
        <w:szCs w:val="14"/>
        <w:rtl/>
      </w:rPr>
      <w:t xml:space="preserve"> הסכין</w:t>
    </w:r>
  </w:p>
  <w:p w14:paraId="06DEB92C" w14:textId="77777777" w:rsidR="00345400" w:rsidRPr="003D0726" w:rsidRDefault="00345400" w:rsidP="003D0726">
    <w:pPr>
      <w:pStyle w:val="a9"/>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0CED3" w14:textId="77777777" w:rsidR="00345400" w:rsidRPr="001E3224" w:rsidRDefault="00345400" w:rsidP="001E3224">
    <w:pPr>
      <w:pStyle w:val="a9"/>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ED9AF" w14:textId="77777777" w:rsidR="00345400" w:rsidRDefault="00345400" w:rsidP="00431D23">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w:t>
    </w:r>
    <w:r w:rsidRPr="00A96632">
      <w:rPr>
        <w:rFonts w:cs="Guttman Hodes" w:hint="cs"/>
        <w:sz w:val="14"/>
        <w:szCs w:val="14"/>
        <w:rtl/>
      </w:rPr>
      <w:t xml:space="preserve"> ע"א</w:t>
    </w:r>
  </w:p>
  <w:p w14:paraId="6E51EA95" w14:textId="77777777" w:rsidR="00345400" w:rsidRDefault="00345400" w:rsidP="009D31CB">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57A1586E" w14:textId="77777777" w:rsidR="00345400" w:rsidRDefault="00345400" w:rsidP="009D31CB">
    <w:pPr>
      <w:pStyle w:val="a9"/>
      <w:ind w:left="0"/>
      <w:jc w:val="center"/>
      <w:rPr>
        <w:rFonts w:cs="Guttman Hodes"/>
        <w:sz w:val="14"/>
        <w:szCs w:val="14"/>
        <w:rtl/>
      </w:rPr>
    </w:pPr>
    <w:r w:rsidRPr="003F64F2">
      <w:rPr>
        <w:rFonts w:cs="Guttman Hodes"/>
        <w:sz w:val="14"/>
        <w:szCs w:val="14"/>
        <w:rtl/>
      </w:rPr>
      <w:t xml:space="preserve">סימן </w:t>
    </w:r>
    <w:r>
      <w:rPr>
        <w:rFonts w:cs="Guttman Hodes" w:hint="cs"/>
        <w:sz w:val="14"/>
        <w:szCs w:val="14"/>
        <w:rtl/>
      </w:rPr>
      <w:t>ד</w:t>
    </w:r>
    <w:r w:rsidRPr="003F64F2">
      <w:rPr>
        <w:rFonts w:cs="Guttman Hodes"/>
        <w:sz w:val="14"/>
        <w:szCs w:val="14"/>
        <w:rtl/>
      </w:rPr>
      <w:t>'</w:t>
    </w:r>
    <w:r w:rsidRPr="003F64F2">
      <w:rPr>
        <w:rFonts w:cs="Guttman Hodes" w:hint="cs"/>
        <w:sz w:val="14"/>
        <w:szCs w:val="14"/>
        <w:rtl/>
      </w:rPr>
      <w:t xml:space="preserve"> </w:t>
    </w:r>
    <w:r>
      <w:rPr>
        <w:rFonts w:cs="Guttman Hodes"/>
        <w:sz w:val="14"/>
        <w:szCs w:val="14"/>
        <w:rtl/>
      </w:rPr>
      <w:t>–</w:t>
    </w:r>
    <w:r w:rsidRPr="003F64F2">
      <w:rPr>
        <w:rFonts w:cs="Guttman Hodes" w:hint="cs"/>
        <w:sz w:val="14"/>
        <w:szCs w:val="14"/>
        <w:rtl/>
      </w:rPr>
      <w:t xml:space="preserve"> </w:t>
    </w:r>
    <w:r w:rsidRPr="00653CB0">
      <w:rPr>
        <w:rFonts w:cs="Guttman Hodes"/>
        <w:sz w:val="14"/>
        <w:szCs w:val="14"/>
        <w:rtl/>
      </w:rPr>
      <w:t>ב</w:t>
    </w:r>
    <w:r>
      <w:rPr>
        <w:rFonts w:cs="Guttman Hodes" w:hint="cs"/>
        <w:sz w:val="14"/>
        <w:szCs w:val="14"/>
        <w:rtl/>
      </w:rPr>
      <w:t>סוגיא ד</w:t>
    </w:r>
    <w:r w:rsidRPr="00653CB0">
      <w:rPr>
        <w:rFonts w:cs="Guttman Hodes"/>
        <w:sz w:val="14"/>
        <w:szCs w:val="14"/>
        <w:rtl/>
      </w:rPr>
      <w:t xml:space="preserve">השוחט </w:t>
    </w:r>
    <w:r w:rsidRPr="00DA1EAD">
      <w:rPr>
        <w:rFonts w:cs="Guttman Hodes"/>
        <w:sz w:val="14"/>
        <w:szCs w:val="14"/>
        <w:rtl/>
      </w:rPr>
      <w:t>בסכין ונמצאת פגומה</w:t>
    </w:r>
    <w:r>
      <w:rPr>
        <w:rFonts w:cs="Guttman Hodes" w:hint="cs"/>
        <w:sz w:val="14"/>
        <w:szCs w:val="14"/>
        <w:rtl/>
      </w:rPr>
      <w:t xml:space="preserve"> (א') - </w:t>
    </w:r>
    <w:r w:rsidRPr="007A3CC3">
      <w:rPr>
        <w:rFonts w:cs="Guttman Hodes"/>
        <w:sz w:val="14"/>
        <w:szCs w:val="14"/>
        <w:rtl/>
      </w:rPr>
      <w:t xml:space="preserve">בחיוב הבדיקה ובדין </w:t>
    </w:r>
    <w:r>
      <w:rPr>
        <w:rFonts w:cs="Guttman Hodes"/>
        <w:sz w:val="14"/>
        <w:szCs w:val="14"/>
        <w:rtl/>
      </w:rPr>
      <w:t>אבד</w:t>
    </w:r>
    <w:r w:rsidRPr="007A3CC3">
      <w:rPr>
        <w:rFonts w:cs="Guttman Hodes"/>
        <w:sz w:val="14"/>
        <w:szCs w:val="14"/>
        <w:rtl/>
      </w:rPr>
      <w:t xml:space="preserve"> הסכין</w:t>
    </w:r>
  </w:p>
  <w:p w14:paraId="63CA4901" w14:textId="77777777" w:rsidR="00345400" w:rsidRDefault="00345400" w:rsidP="009D31CB">
    <w:pPr>
      <w:pStyle w:val="a9"/>
      <w:ind w:left="0"/>
      <w:jc w:val="center"/>
      <w:rPr>
        <w:rFonts w:cs="Guttman Hodes"/>
        <w:sz w:val="14"/>
        <w:szCs w:val="1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482D5" w14:textId="77777777" w:rsidR="00345400" w:rsidRDefault="00345400" w:rsidP="00413DD0">
    <w:pPr>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 ע"א</w:t>
    </w:r>
  </w:p>
  <w:p w14:paraId="3ECBDBA1" w14:textId="77777777" w:rsidR="00345400" w:rsidRDefault="00345400" w:rsidP="00EC6E8F">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2DB57672" w14:textId="77777777" w:rsidR="00345400" w:rsidRPr="00F96B5E" w:rsidRDefault="00345400" w:rsidP="00413DD0">
    <w:pPr>
      <w:ind w:left="0"/>
      <w:jc w:val="center"/>
      <w:rPr>
        <w:rFonts w:cs="Guttman Hodes"/>
        <w:sz w:val="14"/>
        <w:szCs w:val="14"/>
        <w:rtl/>
      </w:rPr>
    </w:pPr>
    <w:r w:rsidRPr="00F96B5E">
      <w:rPr>
        <w:rFonts w:cs="Guttman Hodes"/>
        <w:sz w:val="14"/>
        <w:szCs w:val="14"/>
        <w:rtl/>
      </w:rPr>
      <w:t xml:space="preserve">סימן ה' </w:t>
    </w:r>
    <w:r>
      <w:rPr>
        <w:rFonts w:cs="Guttman Hodes"/>
        <w:sz w:val="14"/>
        <w:szCs w:val="14"/>
        <w:rtl/>
      </w:rPr>
      <w:t>–</w:t>
    </w:r>
    <w:r>
      <w:rPr>
        <w:rFonts w:cs="Guttman Hodes" w:hint="cs"/>
        <w:sz w:val="14"/>
        <w:szCs w:val="14"/>
        <w:rtl/>
      </w:rPr>
      <w:t xml:space="preserve"> </w:t>
    </w:r>
    <w:r w:rsidRPr="00F96B5E">
      <w:rPr>
        <w:rFonts w:cs="Guttman Hodes"/>
        <w:sz w:val="14"/>
        <w:szCs w:val="14"/>
        <w:rtl/>
      </w:rPr>
      <w:t>ב</w:t>
    </w:r>
    <w:r>
      <w:rPr>
        <w:rFonts w:cs="Guttman Hodes" w:hint="cs"/>
        <w:sz w:val="14"/>
        <w:szCs w:val="14"/>
        <w:rtl/>
      </w:rPr>
      <w:t>סוגיא ד</w:t>
    </w:r>
    <w:r w:rsidRPr="00F96B5E">
      <w:rPr>
        <w:rFonts w:cs="Guttman Hodes"/>
        <w:sz w:val="14"/>
        <w:szCs w:val="14"/>
        <w:rtl/>
      </w:rPr>
      <w:t>השוחט בסכין ונמצאת פגומה (ב')</w:t>
    </w:r>
    <w:r>
      <w:rPr>
        <w:rFonts w:cs="Guttman Hodes" w:hint="cs"/>
        <w:sz w:val="14"/>
        <w:szCs w:val="14"/>
        <w:rtl/>
      </w:rPr>
      <w:t xml:space="preserve"> -</w:t>
    </w:r>
    <w:r w:rsidRPr="00F96B5E">
      <w:rPr>
        <w:rFonts w:cs="Guttman Hodes"/>
        <w:sz w:val="14"/>
        <w:szCs w:val="14"/>
        <w:rtl/>
      </w:rPr>
      <w:t xml:space="preserve"> </w:t>
    </w:r>
    <w:r w:rsidRPr="00EB6F1E">
      <w:rPr>
        <w:rFonts w:cs="Guttman Hodes"/>
        <w:sz w:val="14"/>
        <w:szCs w:val="14"/>
        <w:rtl/>
      </w:rPr>
      <w:t>בביאור סברת ההיתר לרב חסדא</w:t>
    </w:r>
  </w:p>
  <w:p w14:paraId="258DCDC8" w14:textId="77777777" w:rsidR="00345400" w:rsidRPr="00A96632" w:rsidRDefault="00345400" w:rsidP="00AA3004">
    <w:pPr>
      <w:ind w:left="0"/>
      <w:jc w:val="center"/>
      <w:rPr>
        <w:rFonts w:cs="Guttman Hodes"/>
        <w:sz w:val="14"/>
        <w:szCs w:val="14"/>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F9724" w14:textId="77777777" w:rsidR="00345400" w:rsidRDefault="00345400" w:rsidP="00413DD0">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w:t>
    </w:r>
    <w:r w:rsidRPr="00A96632">
      <w:rPr>
        <w:rFonts w:cs="Guttman Hodes" w:hint="cs"/>
        <w:sz w:val="14"/>
        <w:szCs w:val="14"/>
        <w:rtl/>
      </w:rPr>
      <w:t xml:space="preserve"> ע"א</w:t>
    </w:r>
  </w:p>
  <w:p w14:paraId="29F6374A" w14:textId="77777777" w:rsidR="00345400" w:rsidRDefault="00345400" w:rsidP="00413DD0">
    <w:pPr>
      <w:pStyle w:val="a9"/>
      <w:ind w:left="0"/>
      <w:jc w:val="center"/>
      <w:rPr>
        <w:rFonts w:cs="Guttman Hodes"/>
        <w:b/>
        <w:bCs/>
        <w:sz w:val="28"/>
        <w:szCs w:val="28"/>
        <w:rtl/>
      </w:rPr>
    </w:pPr>
    <w:r w:rsidRPr="00C05FC5">
      <w:rPr>
        <w:rFonts w:cs="Guttman Hodes" w:hint="cs"/>
        <w:b/>
        <w:bCs/>
        <w:sz w:val="28"/>
        <w:szCs w:val="28"/>
        <w:rtl/>
      </w:rPr>
      <w:t>מראי</w:t>
    </w:r>
    <w:r>
      <w:rPr>
        <w:rFonts w:cs="Guttman Hodes" w:hint="cs"/>
        <w:b/>
        <w:bCs/>
        <w:sz w:val="28"/>
        <w:szCs w:val="28"/>
        <w:rtl/>
      </w:rPr>
      <w:t xml:space="preserve"> </w:t>
    </w:r>
    <w:r w:rsidRPr="00C05FC5">
      <w:rPr>
        <w:rFonts w:cs="Guttman Hodes" w:hint="cs"/>
        <w:b/>
        <w:bCs/>
        <w:sz w:val="28"/>
        <w:szCs w:val="28"/>
        <w:rtl/>
      </w:rPr>
      <w:t>מקומות</w:t>
    </w:r>
    <w:r>
      <w:rPr>
        <w:rFonts w:cs="Guttman Hodes" w:hint="cs"/>
        <w:b/>
        <w:bCs/>
        <w:sz w:val="28"/>
        <w:szCs w:val="28"/>
        <w:rtl/>
      </w:rPr>
      <w:t xml:space="preserve"> </w:t>
    </w:r>
    <w:r w:rsidRPr="00C05FC5">
      <w:rPr>
        <w:rFonts w:cs="Guttman Hodes" w:hint="cs"/>
        <w:b/>
        <w:bCs/>
        <w:sz w:val="28"/>
        <w:szCs w:val="28"/>
        <w:rtl/>
      </w:rPr>
      <w:t>וביאורים</w:t>
    </w:r>
    <w:r w:rsidRPr="005A2ACD">
      <w:rPr>
        <w:rFonts w:cs="Guttman Hodes"/>
        <w:b/>
        <w:bCs/>
        <w:color w:val="FFFFFF" w:themeColor="background1"/>
        <w:sz w:val="28"/>
        <w:szCs w:val="28"/>
        <w:rtl/>
      </w:rPr>
      <w:ptab w:relativeTo="indent" w:alignment="center" w:leader="middleDo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sidRPr="00C05FC5">
      <w:rPr>
        <w:rFonts w:cs="Guttman Hodes" w:hint="cs"/>
        <w:b/>
        <w:bCs/>
        <w:sz w:val="28"/>
        <w:szCs w:val="28"/>
        <w:rtl/>
      </w:rPr>
      <w:t>על</w:t>
    </w:r>
    <w:r>
      <w:rPr>
        <w:rFonts w:cs="Guttman Hodes" w:hint="cs"/>
        <w:b/>
        <w:bCs/>
        <w:sz w:val="28"/>
        <w:szCs w:val="28"/>
        <w:rtl/>
      </w:rPr>
      <w:t xml:space="preserve"> </w:t>
    </w:r>
    <w:r w:rsidRPr="00C05FC5">
      <w:rPr>
        <w:rFonts w:cs="Guttman Hodes" w:hint="cs"/>
        <w:b/>
        <w:bCs/>
        <w:sz w:val="28"/>
        <w:szCs w:val="28"/>
        <w:rtl/>
      </w:rPr>
      <w:t>הסוגיא</w:t>
    </w:r>
    <w:r>
      <w:rPr>
        <w:rFonts w:cs="Guttman Hodes" w:hint="cs"/>
        <w:b/>
        <w:bCs/>
        <w:sz w:val="28"/>
        <w:szCs w:val="28"/>
        <w:rtl/>
      </w:rPr>
      <w:t xml:space="preserve"> </w:t>
    </w:r>
    <w:r w:rsidRPr="00C05FC5">
      <w:rPr>
        <w:rFonts w:cs="Guttman Hodes" w:hint="cs"/>
        <w:b/>
        <w:bCs/>
        <w:sz w:val="28"/>
        <w:szCs w:val="28"/>
        <w:rtl/>
      </w:rPr>
      <w:t>ועל</w:t>
    </w:r>
    <w:r>
      <w:rPr>
        <w:rFonts w:cs="Guttman Hodes" w:hint="cs"/>
        <w:b/>
        <w:bCs/>
        <w:sz w:val="28"/>
        <w:szCs w:val="28"/>
        <w:rtl/>
      </w:rPr>
      <w:t xml:space="preserve"> </w:t>
    </w:r>
    <w:r w:rsidRPr="00C05FC5">
      <w:rPr>
        <w:rFonts w:cs="Guttman Hodes" w:hint="cs"/>
        <w:b/>
        <w:bCs/>
        <w:sz w:val="28"/>
        <w:szCs w:val="28"/>
        <w:rtl/>
      </w:rPr>
      <w:t>הרמב</w:t>
    </w:r>
    <w:r w:rsidRPr="00C05FC5">
      <w:rPr>
        <w:rFonts w:cs="Guttman Hodes"/>
        <w:b/>
        <w:bCs/>
        <w:sz w:val="28"/>
        <w:szCs w:val="28"/>
        <w:rtl/>
      </w:rPr>
      <w:t>"</w:t>
    </w:r>
    <w:r w:rsidRPr="00C05FC5">
      <w:rPr>
        <w:rFonts w:cs="Guttman Hodes" w:hint="cs"/>
        <w:b/>
        <w:bCs/>
        <w:sz w:val="28"/>
        <w:szCs w:val="28"/>
        <w:rtl/>
      </w:rPr>
      <w:t>ם</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31D67" w14:textId="77777777" w:rsidR="00345400" w:rsidRDefault="00345400">
    <w:pPr>
      <w:pStyle w:val="a9"/>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DFFA6" w14:textId="77777777" w:rsidR="00345400" w:rsidRDefault="00345400" w:rsidP="00413DD0">
    <w:pPr>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 ע"א</w:t>
    </w:r>
  </w:p>
  <w:p w14:paraId="40B55CB2" w14:textId="77777777" w:rsidR="00345400" w:rsidRDefault="00345400" w:rsidP="00354408">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08B1E6E5" w14:textId="77777777" w:rsidR="00345400" w:rsidRDefault="00345400" w:rsidP="003E5A59">
    <w:pPr>
      <w:ind w:left="0"/>
      <w:jc w:val="center"/>
      <w:rPr>
        <w:rFonts w:cs="Guttman Hodes"/>
        <w:sz w:val="14"/>
        <w:szCs w:val="14"/>
        <w:rtl/>
      </w:rPr>
    </w:pPr>
    <w:r w:rsidRPr="00F96B5E">
      <w:rPr>
        <w:rFonts w:cs="Guttman Hodes"/>
        <w:sz w:val="14"/>
        <w:szCs w:val="14"/>
        <w:rtl/>
      </w:rPr>
      <w:t xml:space="preserve">סימן ה' </w:t>
    </w:r>
    <w:r>
      <w:rPr>
        <w:rFonts w:cs="Guttman Hodes"/>
        <w:sz w:val="14"/>
        <w:szCs w:val="14"/>
        <w:rtl/>
      </w:rPr>
      <w:t>–</w:t>
    </w:r>
    <w:r>
      <w:rPr>
        <w:rFonts w:cs="Guttman Hodes" w:hint="cs"/>
        <w:sz w:val="14"/>
        <w:szCs w:val="14"/>
        <w:rtl/>
      </w:rPr>
      <w:t xml:space="preserve"> </w:t>
    </w:r>
    <w:r w:rsidRPr="00F96B5E">
      <w:rPr>
        <w:rFonts w:cs="Guttman Hodes"/>
        <w:sz w:val="14"/>
        <w:szCs w:val="14"/>
        <w:rtl/>
      </w:rPr>
      <w:t>ב</w:t>
    </w:r>
    <w:r>
      <w:rPr>
        <w:rFonts w:cs="Guttman Hodes" w:hint="cs"/>
        <w:sz w:val="14"/>
        <w:szCs w:val="14"/>
        <w:rtl/>
      </w:rPr>
      <w:t>סוגיא ד</w:t>
    </w:r>
    <w:r w:rsidRPr="00F96B5E">
      <w:rPr>
        <w:rFonts w:cs="Guttman Hodes"/>
        <w:sz w:val="14"/>
        <w:szCs w:val="14"/>
        <w:rtl/>
      </w:rPr>
      <w:t>השוחט בסכין ונמצאת פגומה (ב')</w:t>
    </w:r>
    <w:r>
      <w:rPr>
        <w:rFonts w:cs="Guttman Hodes" w:hint="cs"/>
        <w:sz w:val="14"/>
        <w:szCs w:val="14"/>
        <w:rtl/>
      </w:rPr>
      <w:t xml:space="preserve"> -</w:t>
    </w:r>
    <w:r w:rsidRPr="00F96B5E">
      <w:rPr>
        <w:rFonts w:cs="Guttman Hodes"/>
        <w:sz w:val="14"/>
        <w:szCs w:val="14"/>
        <w:rtl/>
      </w:rPr>
      <w:t xml:space="preserve"> </w:t>
    </w:r>
    <w:r>
      <w:rPr>
        <w:rFonts w:cs="Guttman Hodes"/>
        <w:sz w:val="14"/>
        <w:szCs w:val="14"/>
        <w:rtl/>
      </w:rPr>
      <w:t>בביאור סברת ההיתר לרב חסד</w:t>
    </w:r>
    <w:r>
      <w:rPr>
        <w:rFonts w:cs="Guttman Hodes" w:hint="cs"/>
        <w:sz w:val="14"/>
        <w:szCs w:val="14"/>
        <w:rtl/>
      </w:rPr>
      <w:t>א</w:t>
    </w:r>
  </w:p>
  <w:p w14:paraId="2BF38495" w14:textId="77777777" w:rsidR="00345400" w:rsidRPr="00A96632" w:rsidRDefault="00345400" w:rsidP="003E5A59">
    <w:pPr>
      <w:ind w:left="0"/>
      <w:jc w:val="center"/>
      <w:rPr>
        <w:rFonts w:cs="Guttman Hodes"/>
        <w:sz w:val="14"/>
        <w:szCs w:val="14"/>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54558" w14:textId="77777777" w:rsidR="00345400" w:rsidRDefault="00345400" w:rsidP="00FF765F">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02B22022" w14:textId="77777777" w:rsidR="00345400" w:rsidRDefault="00345400" w:rsidP="00FF765F">
    <w:pPr>
      <w:pStyle w:val="a9"/>
      <w:ind w:left="0"/>
      <w:jc w:val="center"/>
      <w:rPr>
        <w:rFonts w:cs="Guttman Hodes"/>
        <w:sz w:val="14"/>
        <w:szCs w:val="14"/>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40DC6" w14:textId="77777777" w:rsidR="00345400" w:rsidRPr="00A96632" w:rsidRDefault="00345400" w:rsidP="00413DD0">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w:t>
    </w:r>
    <w:r w:rsidRPr="00A96632">
      <w:rPr>
        <w:rFonts w:cs="Guttman Hodes" w:hint="cs"/>
        <w:sz w:val="14"/>
        <w:szCs w:val="14"/>
        <w:rtl/>
      </w:rPr>
      <w:t xml:space="preserve"> ע"א</w:t>
    </w:r>
  </w:p>
  <w:p w14:paraId="267166C8" w14:textId="77777777" w:rsidR="00345400" w:rsidRDefault="00345400" w:rsidP="00413DD0">
    <w:pPr>
      <w:pStyle w:val="a9"/>
      <w:ind w:left="0"/>
      <w:jc w:val="center"/>
      <w:rPr>
        <w:rFonts w:cs="Guttman Hodes"/>
        <w:b/>
        <w:bCs/>
        <w:sz w:val="28"/>
        <w:szCs w:val="28"/>
        <w:rtl/>
      </w:rPr>
    </w:pPr>
    <w:r w:rsidRPr="00C05FC5">
      <w:rPr>
        <w:rFonts w:cs="Guttman Hodes" w:hint="cs"/>
        <w:b/>
        <w:bCs/>
        <w:sz w:val="28"/>
        <w:szCs w:val="28"/>
        <w:rtl/>
      </w:rPr>
      <w:t>מראי</w:t>
    </w:r>
    <w:r>
      <w:rPr>
        <w:rFonts w:cs="Guttman Hodes" w:hint="cs"/>
        <w:b/>
        <w:bCs/>
        <w:sz w:val="28"/>
        <w:szCs w:val="28"/>
        <w:rtl/>
      </w:rPr>
      <w:t xml:space="preserve"> </w:t>
    </w:r>
    <w:r w:rsidRPr="00C05FC5">
      <w:rPr>
        <w:rFonts w:cs="Guttman Hodes" w:hint="cs"/>
        <w:b/>
        <w:bCs/>
        <w:sz w:val="28"/>
        <w:szCs w:val="28"/>
        <w:rtl/>
      </w:rPr>
      <w:t>מקומות</w:t>
    </w:r>
    <w:r>
      <w:rPr>
        <w:rFonts w:cs="Guttman Hodes" w:hint="cs"/>
        <w:b/>
        <w:bCs/>
        <w:sz w:val="28"/>
        <w:szCs w:val="28"/>
        <w:rtl/>
      </w:rPr>
      <w:t xml:space="preserve"> </w:t>
    </w:r>
    <w:r w:rsidRPr="00C05FC5">
      <w:rPr>
        <w:rFonts w:cs="Guttman Hodes" w:hint="cs"/>
        <w:b/>
        <w:bCs/>
        <w:sz w:val="28"/>
        <w:szCs w:val="28"/>
        <w:rtl/>
      </w:rPr>
      <w:t>וביאורים</w:t>
    </w:r>
    <w:r w:rsidRPr="005A2ACD">
      <w:rPr>
        <w:rFonts w:cs="Guttman Hodes"/>
        <w:b/>
        <w:bCs/>
        <w:color w:val="FFFFFF" w:themeColor="background1"/>
        <w:sz w:val="28"/>
        <w:szCs w:val="28"/>
        <w:rtl/>
      </w:rPr>
      <w:ptab w:relativeTo="indent" w:alignment="center" w:leader="middleDo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sidRPr="00C05FC5">
      <w:rPr>
        <w:rFonts w:cs="Guttman Hodes" w:hint="cs"/>
        <w:b/>
        <w:bCs/>
        <w:sz w:val="28"/>
        <w:szCs w:val="28"/>
        <w:rtl/>
      </w:rPr>
      <w:t>על</w:t>
    </w:r>
    <w:r>
      <w:rPr>
        <w:rFonts w:cs="Guttman Hodes" w:hint="cs"/>
        <w:b/>
        <w:bCs/>
        <w:sz w:val="28"/>
        <w:szCs w:val="28"/>
        <w:rtl/>
      </w:rPr>
      <w:t xml:space="preserve"> </w:t>
    </w:r>
    <w:r w:rsidRPr="00C05FC5">
      <w:rPr>
        <w:rFonts w:cs="Guttman Hodes" w:hint="cs"/>
        <w:b/>
        <w:bCs/>
        <w:sz w:val="28"/>
        <w:szCs w:val="28"/>
        <w:rtl/>
      </w:rPr>
      <w:t>הסוגיא</w:t>
    </w:r>
    <w:r>
      <w:rPr>
        <w:rFonts w:cs="Guttman Hodes" w:hint="cs"/>
        <w:b/>
        <w:bCs/>
        <w:sz w:val="28"/>
        <w:szCs w:val="28"/>
        <w:rtl/>
      </w:rPr>
      <w:t xml:space="preserve"> </w:t>
    </w:r>
    <w:r w:rsidRPr="00C05FC5">
      <w:rPr>
        <w:rFonts w:cs="Guttman Hodes" w:hint="cs"/>
        <w:b/>
        <w:bCs/>
        <w:sz w:val="28"/>
        <w:szCs w:val="28"/>
        <w:rtl/>
      </w:rPr>
      <w:t>ועל</w:t>
    </w:r>
    <w:r>
      <w:rPr>
        <w:rFonts w:cs="Guttman Hodes" w:hint="cs"/>
        <w:b/>
        <w:bCs/>
        <w:sz w:val="28"/>
        <w:szCs w:val="28"/>
        <w:rtl/>
      </w:rPr>
      <w:t xml:space="preserve"> </w:t>
    </w:r>
    <w:r w:rsidRPr="00C05FC5">
      <w:rPr>
        <w:rFonts w:cs="Guttman Hodes" w:hint="cs"/>
        <w:b/>
        <w:bCs/>
        <w:sz w:val="28"/>
        <w:szCs w:val="28"/>
        <w:rtl/>
      </w:rPr>
      <w:t>הרמב</w:t>
    </w:r>
    <w:r w:rsidRPr="00C05FC5">
      <w:rPr>
        <w:rFonts w:cs="Guttman Hodes"/>
        <w:b/>
        <w:bCs/>
        <w:sz w:val="28"/>
        <w:szCs w:val="28"/>
        <w:rtl/>
      </w:rPr>
      <w:t>"</w:t>
    </w:r>
    <w:r w:rsidRPr="00C05FC5">
      <w:rPr>
        <w:rFonts w:cs="Guttman Hodes" w:hint="cs"/>
        <w:b/>
        <w:bCs/>
        <w:sz w:val="28"/>
        <w:szCs w:val="28"/>
        <w:rtl/>
      </w:rPr>
      <w:t>ם</w:t>
    </w:r>
  </w:p>
  <w:p w14:paraId="6780D840" w14:textId="77777777" w:rsidR="00345400" w:rsidRPr="000D7DE9" w:rsidRDefault="00345400">
    <w:pPr>
      <w:pStyle w:val="a9"/>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A4EE0" w14:textId="77777777" w:rsidR="00345400" w:rsidRDefault="00345400">
    <w:pPr>
      <w:pStyle w:val="a9"/>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D7B48" w14:textId="77777777" w:rsidR="00345400" w:rsidRDefault="00345400" w:rsidP="00A02DFC">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w:t>
    </w:r>
    <w:r w:rsidRPr="00A96632">
      <w:rPr>
        <w:rFonts w:cs="Guttman Hodes" w:hint="cs"/>
        <w:sz w:val="14"/>
        <w:szCs w:val="14"/>
        <w:rtl/>
      </w:rPr>
      <w:t xml:space="preserve"> </w:t>
    </w:r>
    <w:r>
      <w:rPr>
        <w:rFonts w:cs="Guttman Hodes" w:hint="cs"/>
        <w:sz w:val="14"/>
        <w:szCs w:val="14"/>
        <w:rtl/>
      </w:rPr>
      <w:t>ע"ב</w:t>
    </w:r>
  </w:p>
  <w:p w14:paraId="38BF5EAF" w14:textId="77777777" w:rsidR="00345400" w:rsidRDefault="00345400" w:rsidP="00A02DFC">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20A03E36" w14:textId="77777777" w:rsidR="00345400" w:rsidRPr="00653CB0" w:rsidRDefault="00345400" w:rsidP="00A02DFC">
    <w:pPr>
      <w:pStyle w:val="a9"/>
      <w:ind w:left="0"/>
      <w:jc w:val="center"/>
      <w:rPr>
        <w:rFonts w:cs="Guttman Hodes"/>
        <w:sz w:val="14"/>
        <w:szCs w:val="14"/>
        <w:rtl/>
      </w:rPr>
    </w:pPr>
    <w:r w:rsidRPr="00653CB0">
      <w:rPr>
        <w:rFonts w:cs="Guttman Hodes"/>
        <w:sz w:val="14"/>
        <w:szCs w:val="14"/>
        <w:rtl/>
      </w:rPr>
      <w:t xml:space="preserve">סימן ו' </w:t>
    </w:r>
    <w:r>
      <w:rPr>
        <w:rFonts w:cs="Guttman Hodes"/>
        <w:sz w:val="14"/>
        <w:szCs w:val="14"/>
        <w:rtl/>
      </w:rPr>
      <w:t>–</w:t>
    </w:r>
    <w:r w:rsidRPr="00653CB0">
      <w:rPr>
        <w:rFonts w:cs="Guttman Hodes"/>
        <w:sz w:val="14"/>
        <w:szCs w:val="14"/>
        <w:rtl/>
      </w:rPr>
      <w:t xml:space="preserve"> ב</w:t>
    </w:r>
    <w:r>
      <w:rPr>
        <w:rFonts w:cs="Guttman Hodes" w:hint="cs"/>
        <w:sz w:val="14"/>
        <w:szCs w:val="14"/>
        <w:rtl/>
      </w:rPr>
      <w:t>סוגיא ד</w:t>
    </w:r>
    <w:r w:rsidRPr="00653CB0">
      <w:rPr>
        <w:rFonts w:cs="Guttman Hodes"/>
        <w:sz w:val="14"/>
        <w:szCs w:val="14"/>
        <w:rtl/>
      </w:rPr>
      <w:t>השוחט בסכין ונמצאת פגומה (ג') - בענין תליה במפרקת ובבדיקה בין שחיטה לשחיטה</w:t>
    </w:r>
  </w:p>
  <w:p w14:paraId="3E7F60E7" w14:textId="77777777" w:rsidR="00345400" w:rsidRPr="00A96632" w:rsidRDefault="00345400" w:rsidP="00A02DFC">
    <w:pPr>
      <w:pStyle w:val="a9"/>
      <w:ind w:left="0"/>
      <w:jc w:val="center"/>
      <w:rPr>
        <w:rFonts w:cs="Guttman Hodes"/>
        <w:sz w:val="14"/>
        <w:szCs w:val="14"/>
        <w:rtl/>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7AE26" w14:textId="77777777" w:rsidR="00345400" w:rsidRDefault="00345400" w:rsidP="00533768">
    <w:pPr>
      <w:pStyle w:val="a9"/>
      <w:ind w:left="0"/>
      <w:jc w:val="right"/>
      <w:rPr>
        <w:rFonts w:cs="Guttman Hodes"/>
        <w:sz w:val="14"/>
        <w:szCs w:val="14"/>
      </w:rPr>
    </w:pPr>
    <w:r>
      <w:rPr>
        <w:rFonts w:cs="Guttman Hodes" w:hint="cs"/>
        <w:sz w:val="14"/>
        <w:szCs w:val="14"/>
        <w:rtl/>
      </w:rPr>
      <w:t>חולין דף י ע"ב</w:t>
    </w:r>
  </w:p>
  <w:p w14:paraId="1B60CD7C" w14:textId="77777777" w:rsidR="00345400" w:rsidRDefault="00345400" w:rsidP="00533768">
    <w:pPr>
      <w:pStyle w:val="a9"/>
      <w:ind w:left="0"/>
      <w:jc w:val="center"/>
      <w:rPr>
        <w:rFonts w:cs="Guttman Hodes"/>
        <w:b/>
        <w:bCs/>
        <w:sz w:val="28"/>
        <w:szCs w:val="28"/>
        <w:rtl/>
      </w:rPr>
    </w:pPr>
    <w:r>
      <w:rPr>
        <w:rFonts w:cs="Guttman Hodes" w:hint="cs"/>
        <w:b/>
        <w:bCs/>
        <w:sz w:val="28"/>
        <w:szCs w:val="28"/>
        <w:rtl/>
      </w:rPr>
      <w:t>מראי מקומות וביאורים</w:t>
    </w:r>
    <w:r>
      <w:rPr>
        <w:rFonts w:cs="Guttman Hodes" w:hint="cs"/>
        <w:b/>
        <w:bCs/>
        <w:color w:val="FFFFFF" w:themeColor="background1"/>
        <w:sz w:val="28"/>
        <w:szCs w:val="28"/>
        <w:rtl/>
      </w:rPr>
      <w:ptab w:relativeTo="indent" w:alignment="center" w:leader="middleDo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על הסוגיא ועל הרמב"ם</w:t>
    </w:r>
  </w:p>
  <w:p w14:paraId="6BB7D42D" w14:textId="77777777" w:rsidR="00345400" w:rsidRDefault="00345400" w:rsidP="00533768">
    <w:pPr>
      <w:pStyle w:val="a9"/>
      <w:rPr>
        <w:rtl/>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FEA0B" w14:textId="77777777" w:rsidR="00345400" w:rsidRDefault="00345400" w:rsidP="00533768">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w:t>
    </w:r>
    <w:r w:rsidRPr="00A96632">
      <w:rPr>
        <w:rFonts w:cs="Guttman Hodes" w:hint="cs"/>
        <w:sz w:val="14"/>
        <w:szCs w:val="14"/>
        <w:rtl/>
      </w:rPr>
      <w:t xml:space="preserve"> </w:t>
    </w:r>
    <w:r>
      <w:rPr>
        <w:rFonts w:cs="Guttman Hodes" w:hint="cs"/>
        <w:sz w:val="14"/>
        <w:szCs w:val="14"/>
        <w:rtl/>
      </w:rPr>
      <w:t>ע"ב</w:t>
    </w:r>
  </w:p>
  <w:p w14:paraId="0E726C09" w14:textId="77777777" w:rsidR="00345400" w:rsidRDefault="00345400" w:rsidP="009D2FC8">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56A7460C" w14:textId="77777777" w:rsidR="00345400" w:rsidRPr="00653CB0" w:rsidRDefault="00345400" w:rsidP="00533768">
    <w:pPr>
      <w:pStyle w:val="a9"/>
      <w:ind w:left="0"/>
      <w:jc w:val="center"/>
      <w:rPr>
        <w:rFonts w:cs="Guttman Hodes"/>
        <w:sz w:val="14"/>
        <w:szCs w:val="14"/>
        <w:rtl/>
      </w:rPr>
    </w:pPr>
    <w:r w:rsidRPr="00653CB0">
      <w:rPr>
        <w:rFonts w:cs="Guttman Hodes"/>
        <w:sz w:val="14"/>
        <w:szCs w:val="14"/>
        <w:rtl/>
      </w:rPr>
      <w:t xml:space="preserve">סימן ו' </w:t>
    </w:r>
    <w:r>
      <w:rPr>
        <w:rFonts w:cs="Guttman Hodes"/>
        <w:sz w:val="14"/>
        <w:szCs w:val="14"/>
        <w:rtl/>
      </w:rPr>
      <w:t>–</w:t>
    </w:r>
    <w:r w:rsidRPr="00653CB0">
      <w:rPr>
        <w:rFonts w:cs="Guttman Hodes"/>
        <w:sz w:val="14"/>
        <w:szCs w:val="14"/>
        <w:rtl/>
      </w:rPr>
      <w:t xml:space="preserve"> ב</w:t>
    </w:r>
    <w:r>
      <w:rPr>
        <w:rFonts w:cs="Guttman Hodes" w:hint="cs"/>
        <w:sz w:val="14"/>
        <w:szCs w:val="14"/>
        <w:rtl/>
      </w:rPr>
      <w:t>סוגיא ד</w:t>
    </w:r>
    <w:r w:rsidRPr="00653CB0">
      <w:rPr>
        <w:rFonts w:cs="Guttman Hodes"/>
        <w:sz w:val="14"/>
        <w:szCs w:val="14"/>
        <w:rtl/>
      </w:rPr>
      <w:t>השוחט בסכין ונמצאת פגומה (ג') - בענין תליה במפרקת ובבדיקה בין שחיטה לשחיטה</w:t>
    </w:r>
  </w:p>
  <w:p w14:paraId="6A371DB6" w14:textId="77777777" w:rsidR="00345400" w:rsidRPr="00A96632" w:rsidRDefault="00345400" w:rsidP="00AA3004">
    <w:pPr>
      <w:pStyle w:val="a9"/>
      <w:ind w:left="0"/>
      <w:jc w:val="center"/>
      <w:rPr>
        <w:rFonts w:cs="Guttman Hodes"/>
        <w:sz w:val="14"/>
        <w:szCs w:val="14"/>
        <w:rtl/>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89808" w14:textId="77777777" w:rsidR="00345400" w:rsidRDefault="00345400" w:rsidP="00431D23">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w:t>
    </w:r>
    <w:r w:rsidRPr="00A96632">
      <w:rPr>
        <w:rFonts w:cs="Guttman Hodes" w:hint="cs"/>
        <w:sz w:val="14"/>
        <w:szCs w:val="14"/>
        <w:rtl/>
      </w:rPr>
      <w:t xml:space="preserve"> ע"א</w:t>
    </w:r>
  </w:p>
  <w:p w14:paraId="1DED425A" w14:textId="77777777" w:rsidR="00345400" w:rsidRDefault="00345400" w:rsidP="009D31CB">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32172933" w14:textId="77777777" w:rsidR="00345400" w:rsidRDefault="00345400" w:rsidP="009D31CB">
    <w:pPr>
      <w:pStyle w:val="a9"/>
      <w:ind w:left="0"/>
      <w:jc w:val="center"/>
      <w:rPr>
        <w:rFonts w:cs="Guttman Hodes"/>
        <w:sz w:val="14"/>
        <w:szCs w:val="14"/>
        <w:rtl/>
      </w:rPr>
    </w:pPr>
    <w:r w:rsidRPr="003F64F2">
      <w:rPr>
        <w:rFonts w:cs="Guttman Hodes"/>
        <w:sz w:val="14"/>
        <w:szCs w:val="14"/>
        <w:rtl/>
      </w:rPr>
      <w:t xml:space="preserve">סימן </w:t>
    </w:r>
    <w:r>
      <w:rPr>
        <w:rFonts w:cs="Guttman Hodes" w:hint="cs"/>
        <w:sz w:val="14"/>
        <w:szCs w:val="14"/>
        <w:rtl/>
      </w:rPr>
      <w:t>ד</w:t>
    </w:r>
    <w:r w:rsidRPr="003F64F2">
      <w:rPr>
        <w:rFonts w:cs="Guttman Hodes"/>
        <w:sz w:val="14"/>
        <w:szCs w:val="14"/>
        <w:rtl/>
      </w:rPr>
      <w:t>'</w:t>
    </w:r>
    <w:r w:rsidRPr="003F64F2">
      <w:rPr>
        <w:rFonts w:cs="Guttman Hodes" w:hint="cs"/>
        <w:sz w:val="14"/>
        <w:szCs w:val="14"/>
        <w:rtl/>
      </w:rPr>
      <w:t xml:space="preserve"> </w:t>
    </w:r>
    <w:r>
      <w:rPr>
        <w:rFonts w:cs="Guttman Hodes"/>
        <w:sz w:val="14"/>
        <w:szCs w:val="14"/>
        <w:rtl/>
      </w:rPr>
      <w:t>–</w:t>
    </w:r>
    <w:r w:rsidRPr="003F64F2">
      <w:rPr>
        <w:rFonts w:cs="Guttman Hodes" w:hint="cs"/>
        <w:sz w:val="14"/>
        <w:szCs w:val="14"/>
        <w:rtl/>
      </w:rPr>
      <w:t xml:space="preserve"> </w:t>
    </w:r>
    <w:r w:rsidRPr="00653CB0">
      <w:rPr>
        <w:rFonts w:cs="Guttman Hodes"/>
        <w:sz w:val="14"/>
        <w:szCs w:val="14"/>
        <w:rtl/>
      </w:rPr>
      <w:t>ב</w:t>
    </w:r>
    <w:r>
      <w:rPr>
        <w:rFonts w:cs="Guttman Hodes" w:hint="cs"/>
        <w:sz w:val="14"/>
        <w:szCs w:val="14"/>
        <w:rtl/>
      </w:rPr>
      <w:t>סוגיא ד</w:t>
    </w:r>
    <w:r w:rsidRPr="00653CB0">
      <w:rPr>
        <w:rFonts w:cs="Guttman Hodes"/>
        <w:sz w:val="14"/>
        <w:szCs w:val="14"/>
        <w:rtl/>
      </w:rPr>
      <w:t xml:space="preserve">השוחט </w:t>
    </w:r>
    <w:r w:rsidRPr="00DA1EAD">
      <w:rPr>
        <w:rFonts w:cs="Guttman Hodes"/>
        <w:sz w:val="14"/>
        <w:szCs w:val="14"/>
        <w:rtl/>
      </w:rPr>
      <w:t>בסכין ונמצאת פגומה</w:t>
    </w:r>
    <w:r>
      <w:rPr>
        <w:rFonts w:cs="Guttman Hodes" w:hint="cs"/>
        <w:sz w:val="14"/>
        <w:szCs w:val="14"/>
        <w:rtl/>
      </w:rPr>
      <w:t xml:space="preserve"> (א') - </w:t>
    </w:r>
    <w:r w:rsidRPr="007A3CC3">
      <w:rPr>
        <w:rFonts w:cs="Guttman Hodes"/>
        <w:sz w:val="14"/>
        <w:szCs w:val="14"/>
        <w:rtl/>
      </w:rPr>
      <w:t xml:space="preserve">בחיוב הבדיקה ובדין </w:t>
    </w:r>
    <w:r>
      <w:rPr>
        <w:rFonts w:cs="Guttman Hodes"/>
        <w:sz w:val="14"/>
        <w:szCs w:val="14"/>
        <w:rtl/>
      </w:rPr>
      <w:t>אבד</w:t>
    </w:r>
    <w:r w:rsidRPr="007A3CC3">
      <w:rPr>
        <w:rFonts w:cs="Guttman Hodes"/>
        <w:sz w:val="14"/>
        <w:szCs w:val="14"/>
        <w:rtl/>
      </w:rPr>
      <w:t xml:space="preserve"> הסכין</w:t>
    </w:r>
  </w:p>
  <w:p w14:paraId="3D944D57" w14:textId="77777777" w:rsidR="00345400" w:rsidRDefault="00345400" w:rsidP="009D31CB">
    <w:pPr>
      <w:pStyle w:val="a9"/>
      <w:ind w:left="0"/>
      <w:jc w:val="center"/>
      <w:rPr>
        <w:rFonts w:cs="Guttman Hodes"/>
        <w:sz w:val="14"/>
        <w:szCs w:val="14"/>
        <w:rtl/>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FC9D3" w14:textId="77777777" w:rsidR="00345400" w:rsidRDefault="00345400" w:rsidP="003324B3">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w:t>
    </w:r>
    <w:r w:rsidRPr="00A96632">
      <w:rPr>
        <w:rFonts w:cs="Guttman Hodes" w:hint="cs"/>
        <w:sz w:val="14"/>
        <w:szCs w:val="14"/>
        <w:rtl/>
      </w:rPr>
      <w:t xml:space="preserve"> </w:t>
    </w:r>
    <w:r>
      <w:rPr>
        <w:rFonts w:cs="Guttman Hodes" w:hint="cs"/>
        <w:sz w:val="14"/>
        <w:szCs w:val="14"/>
        <w:rtl/>
      </w:rPr>
      <w:t>ע"ב</w:t>
    </w:r>
  </w:p>
  <w:p w14:paraId="096E8E94" w14:textId="77777777" w:rsidR="00345400" w:rsidRDefault="00345400" w:rsidP="003324B3">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71607EF5" w14:textId="77777777" w:rsidR="00345400" w:rsidRPr="00653CB0" w:rsidRDefault="00345400" w:rsidP="003324B3">
    <w:pPr>
      <w:pStyle w:val="a9"/>
      <w:ind w:left="0"/>
      <w:jc w:val="center"/>
      <w:rPr>
        <w:rFonts w:cs="Guttman Hodes"/>
        <w:sz w:val="14"/>
        <w:szCs w:val="14"/>
        <w:rtl/>
      </w:rPr>
    </w:pPr>
    <w:r w:rsidRPr="00653CB0">
      <w:rPr>
        <w:rFonts w:cs="Guttman Hodes"/>
        <w:sz w:val="14"/>
        <w:szCs w:val="14"/>
        <w:rtl/>
      </w:rPr>
      <w:t xml:space="preserve">סימן ו' </w:t>
    </w:r>
    <w:r>
      <w:rPr>
        <w:rFonts w:cs="Guttman Hodes"/>
        <w:sz w:val="14"/>
        <w:szCs w:val="14"/>
        <w:rtl/>
      </w:rPr>
      <w:t>–</w:t>
    </w:r>
    <w:r w:rsidRPr="00653CB0">
      <w:rPr>
        <w:rFonts w:cs="Guttman Hodes"/>
        <w:sz w:val="14"/>
        <w:szCs w:val="14"/>
        <w:rtl/>
      </w:rPr>
      <w:t xml:space="preserve"> ב</w:t>
    </w:r>
    <w:r>
      <w:rPr>
        <w:rFonts w:cs="Guttman Hodes" w:hint="cs"/>
        <w:sz w:val="14"/>
        <w:szCs w:val="14"/>
        <w:rtl/>
      </w:rPr>
      <w:t>סוגיא ד</w:t>
    </w:r>
    <w:r w:rsidRPr="00653CB0">
      <w:rPr>
        <w:rFonts w:cs="Guttman Hodes"/>
        <w:sz w:val="14"/>
        <w:szCs w:val="14"/>
        <w:rtl/>
      </w:rPr>
      <w:t>השוחט בסכין ונמצאת פגומה (ג') - בענין תליה במפרקת ובבדיקה בין שחיטה לשחיטה</w:t>
    </w:r>
  </w:p>
  <w:p w14:paraId="1DF369E1" w14:textId="77777777" w:rsidR="00345400" w:rsidRPr="00A96632" w:rsidRDefault="00345400" w:rsidP="003324B3">
    <w:pPr>
      <w:pStyle w:val="a9"/>
      <w:ind w:left="0"/>
      <w:jc w:val="center"/>
      <w:rPr>
        <w:rFonts w:cs="Guttman Hodes"/>
        <w:sz w:val="14"/>
        <w:szCs w:val="14"/>
        <w:rtl/>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92490" w14:textId="77777777" w:rsidR="00345400" w:rsidRDefault="00345400" w:rsidP="00D616D4">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w:t>
    </w:r>
    <w:r w:rsidRPr="00A96632">
      <w:rPr>
        <w:rFonts w:cs="Guttman Hodes" w:hint="cs"/>
        <w:sz w:val="14"/>
        <w:szCs w:val="14"/>
        <w:rtl/>
      </w:rPr>
      <w:t xml:space="preserve"> ע"</w:t>
    </w:r>
    <w:r>
      <w:rPr>
        <w:rFonts w:cs="Guttman Hodes" w:hint="cs"/>
        <w:sz w:val="14"/>
        <w:szCs w:val="14"/>
        <w:rtl/>
      </w:rPr>
      <w:t>ב</w:t>
    </w:r>
  </w:p>
  <w:p w14:paraId="6FCCAB36" w14:textId="77777777" w:rsidR="00345400" w:rsidRDefault="00345400" w:rsidP="00FC2F89">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19D11D0C" w14:textId="77777777" w:rsidR="00345400" w:rsidRDefault="00345400" w:rsidP="00FF5773">
    <w:pPr>
      <w:pStyle w:val="a9"/>
      <w:ind w:left="0"/>
      <w:jc w:val="center"/>
      <w:rPr>
        <w:rFonts w:cs="Guttman Hodes"/>
        <w:sz w:val="14"/>
        <w:szCs w:val="14"/>
        <w:rtl/>
      </w:rPr>
    </w:pPr>
    <w:r w:rsidRPr="003F64F2">
      <w:rPr>
        <w:rFonts w:cs="Guttman Hodes"/>
        <w:sz w:val="14"/>
        <w:szCs w:val="14"/>
        <w:rtl/>
      </w:rPr>
      <w:t xml:space="preserve">סימן </w:t>
    </w:r>
    <w:r>
      <w:rPr>
        <w:rFonts w:cs="Guttman Hodes" w:hint="cs"/>
        <w:sz w:val="14"/>
        <w:szCs w:val="14"/>
        <w:rtl/>
      </w:rPr>
      <w:t>ז</w:t>
    </w:r>
    <w:r w:rsidRPr="003F64F2">
      <w:rPr>
        <w:rFonts w:cs="Guttman Hodes"/>
        <w:sz w:val="14"/>
        <w:szCs w:val="14"/>
        <w:rtl/>
      </w:rPr>
      <w:t>'</w:t>
    </w:r>
    <w:r w:rsidRPr="003F64F2">
      <w:rPr>
        <w:rFonts w:cs="Guttman Hodes" w:hint="cs"/>
        <w:sz w:val="14"/>
        <w:szCs w:val="14"/>
        <w:rtl/>
      </w:rPr>
      <w:t xml:space="preserve"> </w:t>
    </w:r>
    <w:r>
      <w:rPr>
        <w:rFonts w:cs="Guttman Hodes"/>
        <w:sz w:val="14"/>
        <w:szCs w:val="14"/>
        <w:rtl/>
      </w:rPr>
      <w:t>–</w:t>
    </w:r>
    <w:r w:rsidRPr="003F64F2">
      <w:rPr>
        <w:rFonts w:cs="Guttman Hodes" w:hint="cs"/>
        <w:sz w:val="14"/>
        <w:szCs w:val="14"/>
        <w:rtl/>
      </w:rPr>
      <w:t xml:space="preserve"> </w:t>
    </w:r>
    <w:r w:rsidRPr="00521BCF">
      <w:rPr>
        <w:rFonts w:cs="Guttman Hodes"/>
        <w:sz w:val="14"/>
        <w:szCs w:val="14"/>
        <w:rtl/>
      </w:rPr>
      <w:t>בילפותא דחזקה מבית המנוגע</w:t>
    </w:r>
  </w:p>
  <w:p w14:paraId="06541487" w14:textId="77777777" w:rsidR="00345400" w:rsidRDefault="00345400" w:rsidP="00FF5773">
    <w:pPr>
      <w:pStyle w:val="a9"/>
      <w:ind w:left="0"/>
      <w:jc w:val="center"/>
      <w:rPr>
        <w:rFonts w:cs="Guttman Hodes"/>
        <w:sz w:val="14"/>
        <w:szCs w:val="14"/>
        <w:rtl/>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0DCF9" w14:textId="77777777" w:rsidR="00345400" w:rsidRDefault="00345400" w:rsidP="00FF5773">
    <w:pPr>
      <w:pStyle w:val="a9"/>
      <w:ind w:left="0"/>
      <w:jc w:val="right"/>
      <w:rPr>
        <w:rFonts w:cs="Guttman Hodes"/>
        <w:sz w:val="14"/>
        <w:szCs w:val="14"/>
      </w:rPr>
    </w:pPr>
    <w:r>
      <w:rPr>
        <w:rFonts w:cs="Guttman Hodes" w:hint="cs"/>
        <w:sz w:val="14"/>
        <w:szCs w:val="14"/>
        <w:rtl/>
      </w:rPr>
      <w:t>חולין דף י ע"ב</w:t>
    </w:r>
  </w:p>
  <w:p w14:paraId="656A1099" w14:textId="77777777" w:rsidR="00345400" w:rsidRDefault="00345400" w:rsidP="00FF5773">
    <w:pPr>
      <w:pStyle w:val="a9"/>
      <w:ind w:left="0"/>
      <w:jc w:val="center"/>
      <w:rPr>
        <w:rFonts w:cs="Guttman Hodes"/>
        <w:b/>
        <w:bCs/>
        <w:sz w:val="28"/>
        <w:szCs w:val="28"/>
        <w:rtl/>
      </w:rPr>
    </w:pPr>
    <w:r>
      <w:rPr>
        <w:rFonts w:cs="Guttman Hodes" w:hint="cs"/>
        <w:b/>
        <w:bCs/>
        <w:sz w:val="28"/>
        <w:szCs w:val="28"/>
        <w:rtl/>
      </w:rPr>
      <w:t>מראי מקומות וביאורים</w:t>
    </w:r>
    <w:r>
      <w:rPr>
        <w:rFonts w:cs="Guttman Hodes" w:hint="cs"/>
        <w:b/>
        <w:bCs/>
        <w:color w:val="FFFFFF" w:themeColor="background1"/>
        <w:sz w:val="28"/>
        <w:szCs w:val="28"/>
        <w:rtl/>
      </w:rPr>
      <w:ptab w:relativeTo="indent" w:alignment="center" w:leader="middleDo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על הסוגיא ועל הרמב"ם</w:t>
    </w:r>
  </w:p>
  <w:p w14:paraId="310BBD1C" w14:textId="77777777" w:rsidR="00345400" w:rsidRDefault="00345400" w:rsidP="00FF5773">
    <w:pPr>
      <w:pStyle w:val="a9"/>
      <w:rPr>
        <w:rtl/>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73BAD" w14:textId="77777777" w:rsidR="00345400" w:rsidRDefault="00345400" w:rsidP="00FF5773">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w:t>
    </w:r>
    <w:r w:rsidRPr="00A96632">
      <w:rPr>
        <w:rFonts w:cs="Guttman Hodes" w:hint="cs"/>
        <w:sz w:val="14"/>
        <w:szCs w:val="14"/>
        <w:rtl/>
      </w:rPr>
      <w:t xml:space="preserve"> ע"</w:t>
    </w:r>
    <w:r>
      <w:rPr>
        <w:rFonts w:cs="Guttman Hodes" w:hint="cs"/>
        <w:sz w:val="14"/>
        <w:szCs w:val="14"/>
        <w:rtl/>
      </w:rPr>
      <w:t>ב</w:t>
    </w:r>
  </w:p>
  <w:p w14:paraId="32A926B4" w14:textId="77777777" w:rsidR="00345400" w:rsidRDefault="00345400" w:rsidP="00FF5773">
    <w:pPr>
      <w:pStyle w:val="a9"/>
      <w:ind w:left="0"/>
      <w:jc w:val="center"/>
      <w:rPr>
        <w:rFonts w:cs="Guttman Hodes"/>
        <w:sz w:val="14"/>
        <w:szCs w:val="14"/>
        <w:rtl/>
      </w:rPr>
    </w:pPr>
    <w:r w:rsidRPr="003F64F2">
      <w:rPr>
        <w:rFonts w:cs="Guttman Hodes"/>
        <w:sz w:val="14"/>
        <w:szCs w:val="14"/>
        <w:rtl/>
      </w:rPr>
      <w:t xml:space="preserve">סימן </w:t>
    </w:r>
    <w:r>
      <w:rPr>
        <w:rFonts w:cs="Guttman Hodes" w:hint="cs"/>
        <w:sz w:val="14"/>
        <w:szCs w:val="14"/>
        <w:rtl/>
      </w:rPr>
      <w:t>ז</w:t>
    </w:r>
    <w:r w:rsidRPr="003F64F2">
      <w:rPr>
        <w:rFonts w:cs="Guttman Hodes"/>
        <w:sz w:val="14"/>
        <w:szCs w:val="14"/>
        <w:rtl/>
      </w:rPr>
      <w:t>'</w:t>
    </w:r>
    <w:r w:rsidRPr="003F64F2">
      <w:rPr>
        <w:rFonts w:cs="Guttman Hodes" w:hint="cs"/>
        <w:sz w:val="14"/>
        <w:szCs w:val="14"/>
        <w:rtl/>
      </w:rPr>
      <w:t xml:space="preserve"> </w:t>
    </w:r>
    <w:r>
      <w:rPr>
        <w:rFonts w:cs="Guttman Hodes"/>
        <w:sz w:val="14"/>
        <w:szCs w:val="14"/>
        <w:rtl/>
      </w:rPr>
      <w:t>–</w:t>
    </w:r>
    <w:r w:rsidRPr="003F64F2">
      <w:rPr>
        <w:rFonts w:cs="Guttman Hodes" w:hint="cs"/>
        <w:sz w:val="14"/>
        <w:szCs w:val="14"/>
        <w:rtl/>
      </w:rPr>
      <w:t xml:space="preserve"> </w:t>
    </w:r>
    <w:r w:rsidRPr="00521BCF">
      <w:rPr>
        <w:rFonts w:cs="Guttman Hodes"/>
        <w:sz w:val="14"/>
        <w:szCs w:val="14"/>
        <w:rtl/>
      </w:rPr>
      <w:t>בילפותא דחזקה מבית המנוגע</w:t>
    </w:r>
  </w:p>
  <w:p w14:paraId="1E3E8C7A" w14:textId="77777777" w:rsidR="00345400" w:rsidRDefault="00345400" w:rsidP="00FF5773">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ECAA5" w14:textId="77777777" w:rsidR="00345400" w:rsidRDefault="00345400" w:rsidP="00CC60B1">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3F60CF09" w14:textId="77777777" w:rsidR="00345400" w:rsidRDefault="00345400">
    <w:pPr>
      <w:pStyle w:val="a9"/>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5077D" w14:textId="77777777" w:rsidR="00345400" w:rsidRDefault="00345400" w:rsidP="00DF3EF1">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יא</w:t>
    </w:r>
    <w:r w:rsidRPr="00A96632">
      <w:rPr>
        <w:rFonts w:cs="Guttman Hodes" w:hint="cs"/>
        <w:sz w:val="14"/>
        <w:szCs w:val="14"/>
        <w:rtl/>
      </w:rPr>
      <w:t xml:space="preserve"> ע"</w:t>
    </w:r>
    <w:r>
      <w:rPr>
        <w:rFonts w:cs="Guttman Hodes" w:hint="cs"/>
        <w:sz w:val="14"/>
        <w:szCs w:val="14"/>
        <w:rtl/>
      </w:rPr>
      <w:t>א</w:t>
    </w:r>
  </w:p>
  <w:p w14:paraId="0B6D15FD" w14:textId="77777777" w:rsidR="00345400" w:rsidRDefault="00345400" w:rsidP="0001284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72F13AA3" w14:textId="77777777" w:rsidR="00345400" w:rsidRDefault="00345400" w:rsidP="00BC7F90">
    <w:pPr>
      <w:pStyle w:val="a9"/>
      <w:ind w:left="0"/>
      <w:jc w:val="center"/>
      <w:rPr>
        <w:rFonts w:cs="Guttman Hodes"/>
        <w:sz w:val="14"/>
        <w:szCs w:val="14"/>
        <w:rtl/>
      </w:rPr>
    </w:pPr>
    <w:r w:rsidRPr="003F64F2">
      <w:rPr>
        <w:rFonts w:cs="Guttman Hodes"/>
        <w:sz w:val="14"/>
        <w:szCs w:val="14"/>
        <w:rtl/>
      </w:rPr>
      <w:t xml:space="preserve">סימן </w:t>
    </w:r>
    <w:r>
      <w:rPr>
        <w:rFonts w:cs="Guttman Hodes" w:hint="cs"/>
        <w:sz w:val="14"/>
        <w:szCs w:val="14"/>
        <w:rtl/>
      </w:rPr>
      <w:t>ח</w:t>
    </w:r>
    <w:r w:rsidRPr="003F64F2">
      <w:rPr>
        <w:rFonts w:cs="Guttman Hodes"/>
        <w:sz w:val="14"/>
        <w:szCs w:val="14"/>
        <w:rtl/>
      </w:rPr>
      <w:t>'</w:t>
    </w:r>
    <w:r>
      <w:rPr>
        <w:rFonts w:cs="Guttman Hodes" w:hint="cs"/>
        <w:sz w:val="14"/>
        <w:szCs w:val="14"/>
        <w:rtl/>
      </w:rPr>
      <w:t xml:space="preserve"> </w:t>
    </w:r>
    <w:r w:rsidRPr="004C7557">
      <w:rPr>
        <w:rFonts w:cs="Guttman Hodes"/>
        <w:sz w:val="14"/>
        <w:szCs w:val="14"/>
        <w:rtl/>
      </w:rPr>
      <w:t>בסוגיא דרוב (א')</w:t>
    </w:r>
    <w:r>
      <w:rPr>
        <w:rFonts w:cs="Guttman Hodes"/>
        <w:sz w:val="14"/>
        <w:szCs w:val="14"/>
        <w:rtl/>
      </w:rPr>
      <w:t xml:space="preserve"> </w:t>
    </w:r>
    <w:r w:rsidRPr="004C7557">
      <w:rPr>
        <w:rFonts w:cs="Guttman Hodes"/>
        <w:sz w:val="14"/>
        <w:szCs w:val="14"/>
        <w:rtl/>
      </w:rPr>
      <w:t>בביאור הילפותא וגדר הדין ברובא דאיתא קמן וליתא קמן</w:t>
    </w:r>
  </w:p>
  <w:p w14:paraId="2B63741B" w14:textId="77777777" w:rsidR="00345400" w:rsidRDefault="00345400" w:rsidP="00BC7F90">
    <w:pPr>
      <w:pStyle w:val="a9"/>
      <w:ind w:left="0"/>
      <w:jc w:val="center"/>
      <w:rPr>
        <w:rFonts w:cs="Guttman Hodes"/>
        <w:sz w:val="14"/>
        <w:szCs w:val="14"/>
        <w:rtl/>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2164" w14:textId="77777777" w:rsidR="00345400" w:rsidRPr="00A96632" w:rsidRDefault="00345400" w:rsidP="00BC7F90">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יא</w:t>
    </w:r>
    <w:r w:rsidRPr="00A96632">
      <w:rPr>
        <w:rFonts w:cs="Guttman Hodes" w:hint="cs"/>
        <w:sz w:val="14"/>
        <w:szCs w:val="14"/>
        <w:rtl/>
      </w:rPr>
      <w:t xml:space="preserve"> ע"א</w:t>
    </w:r>
  </w:p>
  <w:p w14:paraId="01D80214" w14:textId="77777777" w:rsidR="00345400" w:rsidRDefault="00345400" w:rsidP="00BC7F90">
    <w:pPr>
      <w:pStyle w:val="a9"/>
      <w:ind w:left="0"/>
      <w:jc w:val="center"/>
      <w:rPr>
        <w:rFonts w:cs="Guttman Hodes"/>
        <w:b/>
        <w:bCs/>
        <w:sz w:val="28"/>
        <w:szCs w:val="28"/>
        <w:rtl/>
      </w:rPr>
    </w:pPr>
    <w:r w:rsidRPr="00C05FC5">
      <w:rPr>
        <w:rFonts w:cs="Guttman Hodes" w:hint="cs"/>
        <w:b/>
        <w:bCs/>
        <w:sz w:val="28"/>
        <w:szCs w:val="28"/>
        <w:rtl/>
      </w:rPr>
      <w:t>מראי</w:t>
    </w:r>
    <w:r>
      <w:rPr>
        <w:rFonts w:cs="Guttman Hodes" w:hint="cs"/>
        <w:b/>
        <w:bCs/>
        <w:sz w:val="28"/>
        <w:szCs w:val="28"/>
        <w:rtl/>
      </w:rPr>
      <w:t xml:space="preserve"> </w:t>
    </w:r>
    <w:r w:rsidRPr="00C05FC5">
      <w:rPr>
        <w:rFonts w:cs="Guttman Hodes" w:hint="cs"/>
        <w:b/>
        <w:bCs/>
        <w:sz w:val="28"/>
        <w:szCs w:val="28"/>
        <w:rtl/>
      </w:rPr>
      <w:t>מקומות</w:t>
    </w:r>
    <w:r>
      <w:rPr>
        <w:rFonts w:cs="Guttman Hodes" w:hint="cs"/>
        <w:b/>
        <w:bCs/>
        <w:sz w:val="28"/>
        <w:szCs w:val="28"/>
        <w:rtl/>
      </w:rPr>
      <w:t xml:space="preserve"> </w:t>
    </w:r>
    <w:r w:rsidRPr="00C05FC5">
      <w:rPr>
        <w:rFonts w:cs="Guttman Hodes" w:hint="cs"/>
        <w:b/>
        <w:bCs/>
        <w:sz w:val="28"/>
        <w:szCs w:val="28"/>
        <w:rtl/>
      </w:rPr>
      <w:t>וביאורים</w:t>
    </w:r>
    <w:r w:rsidRPr="005A2ACD">
      <w:rPr>
        <w:rFonts w:cs="Guttman Hodes"/>
        <w:b/>
        <w:bCs/>
        <w:color w:val="FFFFFF" w:themeColor="background1"/>
        <w:sz w:val="28"/>
        <w:szCs w:val="28"/>
        <w:rtl/>
      </w:rPr>
      <w:ptab w:relativeTo="indent" w:alignment="center" w:leader="middleDo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sidRPr="00C05FC5">
      <w:rPr>
        <w:rFonts w:cs="Guttman Hodes" w:hint="cs"/>
        <w:b/>
        <w:bCs/>
        <w:sz w:val="28"/>
        <w:szCs w:val="28"/>
        <w:rtl/>
      </w:rPr>
      <w:t>על</w:t>
    </w:r>
    <w:r>
      <w:rPr>
        <w:rFonts w:cs="Guttman Hodes" w:hint="cs"/>
        <w:b/>
        <w:bCs/>
        <w:sz w:val="28"/>
        <w:szCs w:val="28"/>
        <w:rtl/>
      </w:rPr>
      <w:t xml:space="preserve"> </w:t>
    </w:r>
    <w:r w:rsidRPr="00C05FC5">
      <w:rPr>
        <w:rFonts w:cs="Guttman Hodes" w:hint="cs"/>
        <w:b/>
        <w:bCs/>
        <w:sz w:val="28"/>
        <w:szCs w:val="28"/>
        <w:rtl/>
      </w:rPr>
      <w:t>הסוגיא</w:t>
    </w:r>
    <w:r>
      <w:rPr>
        <w:rFonts w:cs="Guttman Hodes" w:hint="cs"/>
        <w:b/>
        <w:bCs/>
        <w:sz w:val="28"/>
        <w:szCs w:val="28"/>
        <w:rtl/>
      </w:rPr>
      <w:t xml:space="preserve"> </w:t>
    </w:r>
    <w:r w:rsidRPr="00C05FC5">
      <w:rPr>
        <w:rFonts w:cs="Guttman Hodes" w:hint="cs"/>
        <w:b/>
        <w:bCs/>
        <w:sz w:val="28"/>
        <w:szCs w:val="28"/>
        <w:rtl/>
      </w:rPr>
      <w:t>ועל</w:t>
    </w:r>
    <w:r>
      <w:rPr>
        <w:rFonts w:cs="Guttman Hodes" w:hint="cs"/>
        <w:b/>
        <w:bCs/>
        <w:sz w:val="28"/>
        <w:szCs w:val="28"/>
        <w:rtl/>
      </w:rPr>
      <w:t xml:space="preserve"> </w:t>
    </w:r>
    <w:r w:rsidRPr="00C05FC5">
      <w:rPr>
        <w:rFonts w:cs="Guttman Hodes" w:hint="cs"/>
        <w:b/>
        <w:bCs/>
        <w:sz w:val="28"/>
        <w:szCs w:val="28"/>
        <w:rtl/>
      </w:rPr>
      <w:t>הרמב</w:t>
    </w:r>
    <w:r w:rsidRPr="00C05FC5">
      <w:rPr>
        <w:rFonts w:cs="Guttman Hodes"/>
        <w:b/>
        <w:bCs/>
        <w:sz w:val="28"/>
        <w:szCs w:val="28"/>
        <w:rtl/>
      </w:rPr>
      <w:t>"</w:t>
    </w:r>
    <w:r w:rsidRPr="00C05FC5">
      <w:rPr>
        <w:rFonts w:cs="Guttman Hodes" w:hint="cs"/>
        <w:b/>
        <w:bCs/>
        <w:sz w:val="28"/>
        <w:szCs w:val="28"/>
        <w:rtl/>
      </w:rPr>
      <w:t>ם</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6F4C" w14:textId="77777777" w:rsidR="00345400" w:rsidRDefault="00345400" w:rsidP="009A2997">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יא</w:t>
    </w:r>
    <w:r w:rsidRPr="00A96632">
      <w:rPr>
        <w:rFonts w:cs="Guttman Hodes" w:hint="cs"/>
        <w:sz w:val="14"/>
        <w:szCs w:val="14"/>
        <w:rtl/>
      </w:rPr>
      <w:t xml:space="preserve"> ע"</w:t>
    </w:r>
    <w:r>
      <w:rPr>
        <w:rFonts w:cs="Guttman Hodes" w:hint="cs"/>
        <w:sz w:val="14"/>
        <w:szCs w:val="14"/>
        <w:rtl/>
      </w:rPr>
      <w:t>א</w:t>
    </w:r>
  </w:p>
  <w:p w14:paraId="5299770C" w14:textId="77777777" w:rsidR="00345400" w:rsidRDefault="00345400" w:rsidP="00EA1253">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6478E94A" w14:textId="77777777" w:rsidR="00345400" w:rsidRDefault="00345400" w:rsidP="009A2997">
    <w:pPr>
      <w:pStyle w:val="a9"/>
      <w:ind w:left="0"/>
      <w:jc w:val="center"/>
      <w:rPr>
        <w:rFonts w:cs="Guttman Hodes"/>
        <w:sz w:val="14"/>
        <w:szCs w:val="14"/>
        <w:rtl/>
      </w:rPr>
    </w:pPr>
    <w:r w:rsidRPr="003F64F2">
      <w:rPr>
        <w:rFonts w:cs="Guttman Hodes"/>
        <w:sz w:val="14"/>
        <w:szCs w:val="14"/>
        <w:rtl/>
      </w:rPr>
      <w:t xml:space="preserve">סימן </w:t>
    </w:r>
    <w:r>
      <w:rPr>
        <w:rFonts w:cs="Guttman Hodes" w:hint="cs"/>
        <w:sz w:val="14"/>
        <w:szCs w:val="14"/>
        <w:rtl/>
      </w:rPr>
      <w:t>ח</w:t>
    </w:r>
    <w:r w:rsidRPr="003F64F2">
      <w:rPr>
        <w:rFonts w:cs="Guttman Hodes"/>
        <w:sz w:val="14"/>
        <w:szCs w:val="14"/>
        <w:rtl/>
      </w:rPr>
      <w:t>'</w:t>
    </w:r>
    <w:r>
      <w:rPr>
        <w:rFonts w:cs="Guttman Hodes" w:hint="cs"/>
        <w:sz w:val="14"/>
        <w:szCs w:val="14"/>
        <w:rtl/>
      </w:rPr>
      <w:t xml:space="preserve"> </w:t>
    </w:r>
    <w:r w:rsidRPr="004C7557">
      <w:rPr>
        <w:rFonts w:cs="Guttman Hodes"/>
        <w:sz w:val="14"/>
        <w:szCs w:val="14"/>
        <w:rtl/>
      </w:rPr>
      <w:t>בסוגיא דרוב (א')</w:t>
    </w:r>
    <w:r>
      <w:rPr>
        <w:rFonts w:cs="Guttman Hodes"/>
        <w:sz w:val="14"/>
        <w:szCs w:val="14"/>
        <w:rtl/>
      </w:rPr>
      <w:t xml:space="preserve"> </w:t>
    </w:r>
    <w:r w:rsidRPr="004C7557">
      <w:rPr>
        <w:rFonts w:cs="Guttman Hodes"/>
        <w:sz w:val="14"/>
        <w:szCs w:val="14"/>
        <w:rtl/>
      </w:rPr>
      <w:t>בביאור הילפותא וגדר הדין ברובא דאיתא קמן וליתא קמן</w:t>
    </w:r>
  </w:p>
  <w:p w14:paraId="0D9AA53C" w14:textId="77777777" w:rsidR="00345400" w:rsidRDefault="00345400" w:rsidP="009A2997">
    <w:pPr>
      <w:pStyle w:val="a9"/>
      <w:ind w:left="0"/>
      <w:jc w:val="center"/>
      <w:rPr>
        <w:rFonts w:cs="Guttman Hodes"/>
        <w:sz w:val="14"/>
        <w:szCs w:val="14"/>
        <w:rtl/>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42A9E" w14:textId="77777777" w:rsidR="00345400" w:rsidRDefault="00345400" w:rsidP="009A2997">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יא</w:t>
    </w:r>
    <w:r w:rsidRPr="00A96632">
      <w:rPr>
        <w:rFonts w:cs="Guttman Hodes" w:hint="cs"/>
        <w:sz w:val="14"/>
        <w:szCs w:val="14"/>
        <w:rtl/>
      </w:rPr>
      <w:t xml:space="preserve"> ע"</w:t>
    </w:r>
    <w:r>
      <w:rPr>
        <w:rFonts w:cs="Guttman Hodes" w:hint="cs"/>
        <w:sz w:val="14"/>
        <w:szCs w:val="14"/>
        <w:rtl/>
      </w:rPr>
      <w:t>א</w:t>
    </w:r>
  </w:p>
  <w:p w14:paraId="4493C30E" w14:textId="77777777" w:rsidR="00345400" w:rsidRDefault="00345400" w:rsidP="009A2997">
    <w:pPr>
      <w:pStyle w:val="a9"/>
      <w:jc w:val="center"/>
      <w:rPr>
        <w:rtl/>
      </w:rPr>
    </w:pPr>
    <w:r w:rsidRPr="00C76BAE">
      <w:rPr>
        <w:rFonts w:cs="Guttman Hodes"/>
        <w:sz w:val="14"/>
        <w:szCs w:val="14"/>
        <w:rtl/>
      </w:rPr>
      <w:t>סימן ח'</w:t>
    </w:r>
    <w:r>
      <w:rPr>
        <w:rFonts w:cs="Guttman Hodes"/>
        <w:sz w:val="14"/>
        <w:szCs w:val="14"/>
        <w:rtl/>
      </w:rPr>
      <w:t xml:space="preserve"> </w:t>
    </w:r>
    <w:r w:rsidRPr="00C76BAE">
      <w:rPr>
        <w:rFonts w:cs="Guttman Hodes"/>
        <w:sz w:val="14"/>
        <w:szCs w:val="14"/>
        <w:rtl/>
      </w:rPr>
      <w:t>בסוגיא דרוב (א')</w:t>
    </w:r>
    <w:r>
      <w:rPr>
        <w:rFonts w:cs="Guttman Hodes"/>
        <w:sz w:val="14"/>
        <w:szCs w:val="14"/>
        <w:rtl/>
      </w:rPr>
      <w:t xml:space="preserve"> </w:t>
    </w:r>
    <w:r w:rsidRPr="00C76BAE">
      <w:rPr>
        <w:rFonts w:cs="Guttman Hodes"/>
        <w:sz w:val="14"/>
        <w:szCs w:val="14"/>
        <w:rtl/>
      </w:rPr>
      <w:t>בביאור הילפותא וגדר הדין ברובא דאיתא קמן וליתא קמן</w:t>
    </w:r>
  </w:p>
  <w:p w14:paraId="73AED589" w14:textId="77777777" w:rsidR="00345400" w:rsidRDefault="00345400" w:rsidP="009A2997">
    <w:pPr>
      <w:pStyle w:val="a9"/>
      <w:jc w:val="cent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A2E15" w14:textId="77777777" w:rsidR="00345400" w:rsidRDefault="00345400" w:rsidP="00DF3EF1">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יא</w:t>
    </w:r>
    <w:r w:rsidRPr="00A96632">
      <w:rPr>
        <w:rFonts w:cs="Guttman Hodes" w:hint="cs"/>
        <w:sz w:val="14"/>
        <w:szCs w:val="14"/>
        <w:rtl/>
      </w:rPr>
      <w:t xml:space="preserve"> ע"</w:t>
    </w:r>
    <w:r>
      <w:rPr>
        <w:rFonts w:cs="Guttman Hodes" w:hint="cs"/>
        <w:sz w:val="14"/>
        <w:szCs w:val="14"/>
        <w:rtl/>
      </w:rPr>
      <w:t>א</w:t>
    </w:r>
  </w:p>
  <w:p w14:paraId="2FE6C488" w14:textId="77777777" w:rsidR="00345400" w:rsidRDefault="00345400" w:rsidP="00E12B13">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430E5445" w14:textId="77777777" w:rsidR="00345400" w:rsidRPr="00DE7455" w:rsidRDefault="00345400" w:rsidP="00DE7455">
    <w:pPr>
      <w:pStyle w:val="a9"/>
      <w:jc w:val="center"/>
      <w:rPr>
        <w:rFonts w:cs="Guttman Hodes"/>
        <w:sz w:val="14"/>
        <w:szCs w:val="14"/>
        <w:rtl/>
      </w:rPr>
    </w:pPr>
    <w:r w:rsidRPr="00DE7455">
      <w:rPr>
        <w:rFonts w:cs="Guttman Hodes"/>
        <w:sz w:val="14"/>
        <w:szCs w:val="14"/>
        <w:rtl/>
      </w:rPr>
      <w:t>סימן ט' בסוגיא דרוב (ב') בענין חזקה שלא נתבררה בשעתה וחזקה מכח רוב</w:t>
    </w:r>
  </w:p>
  <w:p w14:paraId="17C3C41E" w14:textId="77777777" w:rsidR="00345400" w:rsidRPr="00DE7455" w:rsidRDefault="00345400" w:rsidP="00DE7455">
    <w:pPr>
      <w:pStyle w:val="a9"/>
      <w:jc w:val="center"/>
      <w:rPr>
        <w:rFonts w:cs="Guttman Hodes"/>
        <w:sz w:val="14"/>
        <w:szCs w:val="14"/>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AD6D5" w14:textId="77777777" w:rsidR="00345400" w:rsidRPr="00A96632" w:rsidRDefault="00345400" w:rsidP="00FB0353">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יא</w:t>
    </w:r>
    <w:r w:rsidRPr="00A96632">
      <w:rPr>
        <w:rFonts w:cs="Guttman Hodes" w:hint="cs"/>
        <w:sz w:val="14"/>
        <w:szCs w:val="14"/>
        <w:rtl/>
      </w:rPr>
      <w:t xml:space="preserve"> ע"א</w:t>
    </w:r>
  </w:p>
  <w:p w14:paraId="4B109D4B" w14:textId="77777777" w:rsidR="00345400" w:rsidRDefault="00345400" w:rsidP="00FB0353">
    <w:pPr>
      <w:pStyle w:val="a9"/>
      <w:ind w:left="0"/>
      <w:jc w:val="center"/>
      <w:rPr>
        <w:rFonts w:cs="Guttman Hodes"/>
        <w:b/>
        <w:bCs/>
        <w:sz w:val="28"/>
        <w:szCs w:val="28"/>
        <w:rtl/>
      </w:rPr>
    </w:pPr>
    <w:r w:rsidRPr="00C05FC5">
      <w:rPr>
        <w:rFonts w:cs="Guttman Hodes" w:hint="cs"/>
        <w:b/>
        <w:bCs/>
        <w:sz w:val="28"/>
        <w:szCs w:val="28"/>
        <w:rtl/>
      </w:rPr>
      <w:t>מראי</w:t>
    </w:r>
    <w:r>
      <w:rPr>
        <w:rFonts w:cs="Guttman Hodes" w:hint="cs"/>
        <w:b/>
        <w:bCs/>
        <w:sz w:val="28"/>
        <w:szCs w:val="28"/>
        <w:rtl/>
      </w:rPr>
      <w:t xml:space="preserve"> </w:t>
    </w:r>
    <w:r w:rsidRPr="00C05FC5">
      <w:rPr>
        <w:rFonts w:cs="Guttman Hodes" w:hint="cs"/>
        <w:b/>
        <w:bCs/>
        <w:sz w:val="28"/>
        <w:szCs w:val="28"/>
        <w:rtl/>
      </w:rPr>
      <w:t>מקומות</w:t>
    </w:r>
    <w:r>
      <w:rPr>
        <w:rFonts w:cs="Guttman Hodes" w:hint="cs"/>
        <w:b/>
        <w:bCs/>
        <w:sz w:val="28"/>
        <w:szCs w:val="28"/>
        <w:rtl/>
      </w:rPr>
      <w:t xml:space="preserve"> </w:t>
    </w:r>
    <w:r w:rsidRPr="00C05FC5">
      <w:rPr>
        <w:rFonts w:cs="Guttman Hodes" w:hint="cs"/>
        <w:b/>
        <w:bCs/>
        <w:sz w:val="28"/>
        <w:szCs w:val="28"/>
        <w:rtl/>
      </w:rPr>
      <w:t>וביאורים</w:t>
    </w:r>
    <w:r w:rsidRPr="005A2ACD">
      <w:rPr>
        <w:rFonts w:cs="Guttman Hodes"/>
        <w:b/>
        <w:bCs/>
        <w:color w:val="FFFFFF" w:themeColor="background1"/>
        <w:sz w:val="28"/>
        <w:szCs w:val="28"/>
        <w:rtl/>
      </w:rPr>
      <w:ptab w:relativeTo="indent" w:alignment="center" w:leader="middleDo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sidRPr="00C05FC5">
      <w:rPr>
        <w:rFonts w:cs="Guttman Hodes" w:hint="cs"/>
        <w:b/>
        <w:bCs/>
        <w:sz w:val="28"/>
        <w:szCs w:val="28"/>
        <w:rtl/>
      </w:rPr>
      <w:t>על</w:t>
    </w:r>
    <w:r>
      <w:rPr>
        <w:rFonts w:cs="Guttman Hodes" w:hint="cs"/>
        <w:b/>
        <w:bCs/>
        <w:sz w:val="28"/>
        <w:szCs w:val="28"/>
        <w:rtl/>
      </w:rPr>
      <w:t xml:space="preserve"> </w:t>
    </w:r>
    <w:r w:rsidRPr="00C05FC5">
      <w:rPr>
        <w:rFonts w:cs="Guttman Hodes" w:hint="cs"/>
        <w:b/>
        <w:bCs/>
        <w:sz w:val="28"/>
        <w:szCs w:val="28"/>
        <w:rtl/>
      </w:rPr>
      <w:t>הסוגיא</w:t>
    </w:r>
    <w:r>
      <w:rPr>
        <w:rFonts w:cs="Guttman Hodes" w:hint="cs"/>
        <w:b/>
        <w:bCs/>
        <w:sz w:val="28"/>
        <w:szCs w:val="28"/>
        <w:rtl/>
      </w:rPr>
      <w:t xml:space="preserve"> </w:t>
    </w:r>
    <w:r w:rsidRPr="00C05FC5">
      <w:rPr>
        <w:rFonts w:cs="Guttman Hodes" w:hint="cs"/>
        <w:b/>
        <w:bCs/>
        <w:sz w:val="28"/>
        <w:szCs w:val="28"/>
        <w:rtl/>
      </w:rPr>
      <w:t>ועל</w:t>
    </w:r>
    <w:r>
      <w:rPr>
        <w:rFonts w:cs="Guttman Hodes" w:hint="cs"/>
        <w:b/>
        <w:bCs/>
        <w:sz w:val="28"/>
        <w:szCs w:val="28"/>
        <w:rtl/>
      </w:rPr>
      <w:t xml:space="preserve"> </w:t>
    </w:r>
    <w:r w:rsidRPr="00C05FC5">
      <w:rPr>
        <w:rFonts w:cs="Guttman Hodes" w:hint="cs"/>
        <w:b/>
        <w:bCs/>
        <w:sz w:val="28"/>
        <w:szCs w:val="28"/>
        <w:rtl/>
      </w:rPr>
      <w:t>הרמב</w:t>
    </w:r>
    <w:r w:rsidRPr="00C05FC5">
      <w:rPr>
        <w:rFonts w:cs="Guttman Hodes"/>
        <w:b/>
        <w:bCs/>
        <w:sz w:val="28"/>
        <w:szCs w:val="28"/>
        <w:rtl/>
      </w:rPr>
      <w:t>"</w:t>
    </w:r>
    <w:r w:rsidRPr="00C05FC5">
      <w:rPr>
        <w:rFonts w:cs="Guttman Hodes" w:hint="cs"/>
        <w:b/>
        <w:bCs/>
        <w:sz w:val="28"/>
        <w:szCs w:val="28"/>
        <w:rtl/>
      </w:rPr>
      <w:t>ם</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8242" w14:textId="77777777" w:rsidR="00345400" w:rsidRDefault="00345400" w:rsidP="00832F30">
    <w:pPr>
      <w:pStyle w:val="a9"/>
      <w:ind w:left="0"/>
      <w:jc w:val="right"/>
      <w:rPr>
        <w:rFonts w:cs="Guttman Hodes"/>
        <w:sz w:val="14"/>
        <w:szCs w:val="14"/>
      </w:rPr>
    </w:pPr>
    <w:r>
      <w:rPr>
        <w:rFonts w:cs="Guttman Hodes" w:hint="cs"/>
        <w:sz w:val="14"/>
        <w:szCs w:val="14"/>
        <w:rtl/>
      </w:rPr>
      <w:t>חולין דף יא ע"ב</w:t>
    </w:r>
  </w:p>
  <w:p w14:paraId="31E00F6B" w14:textId="77777777" w:rsidR="00345400" w:rsidRDefault="00345400" w:rsidP="005E238E">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7BBC5602" w14:textId="77777777" w:rsidR="00345400" w:rsidRPr="00553A5C" w:rsidRDefault="00345400" w:rsidP="00832F30">
    <w:pPr>
      <w:pStyle w:val="a9"/>
      <w:ind w:left="0"/>
      <w:jc w:val="center"/>
      <w:rPr>
        <w:rFonts w:cs="Guttman Hodes"/>
        <w:sz w:val="14"/>
        <w:szCs w:val="14"/>
        <w:rtl/>
      </w:rPr>
    </w:pPr>
    <w:r>
      <w:rPr>
        <w:rFonts w:cs="Guttman Hodes" w:hint="cs"/>
        <w:sz w:val="14"/>
        <w:szCs w:val="14"/>
        <w:rtl/>
      </w:rPr>
      <w:t>סימן י' בסוגיא דרוב (ג') בילפותא ממכה אביו ובענין רוב בדיני נפשות</w:t>
    </w:r>
  </w:p>
  <w:p w14:paraId="033C7847" w14:textId="77777777" w:rsidR="00345400" w:rsidRPr="00553A5C" w:rsidRDefault="00345400" w:rsidP="00832F30">
    <w:pPr>
      <w:pStyle w:val="a9"/>
      <w:ind w:left="0"/>
      <w:jc w:val="center"/>
      <w:rPr>
        <w:rFonts w:cs="Guttman Hodes"/>
        <w:sz w:val="14"/>
        <w:szCs w:val="14"/>
        <w:rtl/>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A18B6" w14:textId="77777777" w:rsidR="00345400" w:rsidRPr="00A96632" w:rsidRDefault="00345400" w:rsidP="00064C97">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יא</w:t>
    </w:r>
    <w:r w:rsidRPr="00A96632">
      <w:rPr>
        <w:rFonts w:cs="Guttman Hodes" w:hint="cs"/>
        <w:sz w:val="14"/>
        <w:szCs w:val="14"/>
        <w:rtl/>
      </w:rPr>
      <w:t xml:space="preserve"> ע"</w:t>
    </w:r>
    <w:r>
      <w:rPr>
        <w:rFonts w:cs="Guttman Hodes" w:hint="cs"/>
        <w:sz w:val="14"/>
        <w:szCs w:val="14"/>
        <w:rtl/>
      </w:rPr>
      <w:t>ב</w:t>
    </w:r>
  </w:p>
  <w:p w14:paraId="0462CA8C" w14:textId="77777777" w:rsidR="00345400" w:rsidRDefault="00345400" w:rsidP="00064C97">
    <w:pPr>
      <w:pStyle w:val="a9"/>
      <w:ind w:left="0"/>
      <w:jc w:val="center"/>
      <w:rPr>
        <w:rFonts w:cs="Guttman Hodes"/>
        <w:b/>
        <w:bCs/>
        <w:sz w:val="28"/>
        <w:szCs w:val="28"/>
        <w:rtl/>
      </w:rPr>
    </w:pPr>
    <w:r w:rsidRPr="00C05FC5">
      <w:rPr>
        <w:rFonts w:cs="Guttman Hodes" w:hint="cs"/>
        <w:b/>
        <w:bCs/>
        <w:sz w:val="28"/>
        <w:szCs w:val="28"/>
        <w:rtl/>
      </w:rPr>
      <w:t>מראי</w:t>
    </w:r>
    <w:r>
      <w:rPr>
        <w:rFonts w:cs="Guttman Hodes" w:hint="cs"/>
        <w:b/>
        <w:bCs/>
        <w:sz w:val="28"/>
        <w:szCs w:val="28"/>
        <w:rtl/>
      </w:rPr>
      <w:t xml:space="preserve"> </w:t>
    </w:r>
    <w:r w:rsidRPr="00C05FC5">
      <w:rPr>
        <w:rFonts w:cs="Guttman Hodes" w:hint="cs"/>
        <w:b/>
        <w:bCs/>
        <w:sz w:val="28"/>
        <w:szCs w:val="28"/>
        <w:rtl/>
      </w:rPr>
      <w:t>מקומות</w:t>
    </w:r>
    <w:r>
      <w:rPr>
        <w:rFonts w:cs="Guttman Hodes" w:hint="cs"/>
        <w:b/>
        <w:bCs/>
        <w:sz w:val="28"/>
        <w:szCs w:val="28"/>
        <w:rtl/>
      </w:rPr>
      <w:t xml:space="preserve"> </w:t>
    </w:r>
    <w:r w:rsidRPr="00C05FC5">
      <w:rPr>
        <w:rFonts w:cs="Guttman Hodes" w:hint="cs"/>
        <w:b/>
        <w:bCs/>
        <w:sz w:val="28"/>
        <w:szCs w:val="28"/>
        <w:rtl/>
      </w:rPr>
      <w:t>וביאורים</w:t>
    </w:r>
    <w:r w:rsidRPr="005A2ACD">
      <w:rPr>
        <w:rFonts w:cs="Guttman Hodes"/>
        <w:b/>
        <w:bCs/>
        <w:color w:val="FFFFFF" w:themeColor="background1"/>
        <w:sz w:val="28"/>
        <w:szCs w:val="28"/>
        <w:rtl/>
      </w:rPr>
      <w:ptab w:relativeTo="indent" w:alignment="center" w:leader="middleDo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sidRPr="00C05FC5">
      <w:rPr>
        <w:rFonts w:cs="Guttman Hodes" w:hint="cs"/>
        <w:b/>
        <w:bCs/>
        <w:sz w:val="28"/>
        <w:szCs w:val="28"/>
        <w:rtl/>
      </w:rPr>
      <w:t>על</w:t>
    </w:r>
    <w:r>
      <w:rPr>
        <w:rFonts w:cs="Guttman Hodes" w:hint="cs"/>
        <w:b/>
        <w:bCs/>
        <w:sz w:val="28"/>
        <w:szCs w:val="28"/>
        <w:rtl/>
      </w:rPr>
      <w:t xml:space="preserve"> </w:t>
    </w:r>
    <w:r w:rsidRPr="00C05FC5">
      <w:rPr>
        <w:rFonts w:cs="Guttman Hodes" w:hint="cs"/>
        <w:b/>
        <w:bCs/>
        <w:sz w:val="28"/>
        <w:szCs w:val="28"/>
        <w:rtl/>
      </w:rPr>
      <w:t>הסוגיא</w:t>
    </w:r>
    <w:r>
      <w:rPr>
        <w:rFonts w:cs="Guttman Hodes" w:hint="cs"/>
        <w:b/>
        <w:bCs/>
        <w:sz w:val="28"/>
        <w:szCs w:val="28"/>
        <w:rtl/>
      </w:rPr>
      <w:t xml:space="preserve"> </w:t>
    </w:r>
    <w:r w:rsidRPr="00C05FC5">
      <w:rPr>
        <w:rFonts w:cs="Guttman Hodes" w:hint="cs"/>
        <w:b/>
        <w:bCs/>
        <w:sz w:val="28"/>
        <w:szCs w:val="28"/>
        <w:rtl/>
      </w:rPr>
      <w:t>ועל</w:t>
    </w:r>
    <w:r>
      <w:rPr>
        <w:rFonts w:cs="Guttman Hodes" w:hint="cs"/>
        <w:b/>
        <w:bCs/>
        <w:sz w:val="28"/>
        <w:szCs w:val="28"/>
        <w:rtl/>
      </w:rPr>
      <w:t xml:space="preserve"> </w:t>
    </w:r>
    <w:r w:rsidRPr="00C05FC5">
      <w:rPr>
        <w:rFonts w:cs="Guttman Hodes" w:hint="cs"/>
        <w:b/>
        <w:bCs/>
        <w:sz w:val="28"/>
        <w:szCs w:val="28"/>
        <w:rtl/>
      </w:rPr>
      <w:t>הרמב</w:t>
    </w:r>
    <w:r w:rsidRPr="00C05FC5">
      <w:rPr>
        <w:rFonts w:cs="Guttman Hodes"/>
        <w:b/>
        <w:bCs/>
        <w:sz w:val="28"/>
        <w:szCs w:val="28"/>
        <w:rtl/>
      </w:rPr>
      <w:t>"</w:t>
    </w:r>
    <w:r w:rsidRPr="00C05FC5">
      <w:rPr>
        <w:rFonts w:cs="Guttman Hodes" w:hint="cs"/>
        <w:b/>
        <w:bCs/>
        <w:sz w:val="28"/>
        <w:szCs w:val="28"/>
        <w:rtl/>
      </w:rPr>
      <w:t>ם</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B0691" w14:textId="77777777" w:rsidR="00345400" w:rsidRDefault="00345400" w:rsidP="00064C97">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יא</w:t>
    </w:r>
    <w:r w:rsidRPr="00A96632">
      <w:rPr>
        <w:rFonts w:cs="Guttman Hodes" w:hint="cs"/>
        <w:sz w:val="14"/>
        <w:szCs w:val="14"/>
        <w:rtl/>
      </w:rPr>
      <w:t xml:space="preserve"> ע"</w:t>
    </w:r>
    <w:r>
      <w:rPr>
        <w:rFonts w:cs="Guttman Hodes" w:hint="cs"/>
        <w:sz w:val="14"/>
        <w:szCs w:val="14"/>
        <w:rtl/>
      </w:rPr>
      <w:t>ב</w:t>
    </w:r>
  </w:p>
  <w:p w14:paraId="47B7D386" w14:textId="77777777" w:rsidR="00345400" w:rsidRDefault="00345400" w:rsidP="00064C97">
    <w:pPr>
      <w:pStyle w:val="a9"/>
      <w:ind w:left="0"/>
      <w:jc w:val="center"/>
      <w:rPr>
        <w:rFonts w:cs="Guttman Hodes"/>
        <w:sz w:val="14"/>
        <w:szCs w:val="14"/>
        <w:rtl/>
      </w:rPr>
    </w:pPr>
    <w:r w:rsidRPr="005B7344">
      <w:rPr>
        <w:rFonts w:cs="Guttman Hodes"/>
        <w:sz w:val="14"/>
        <w:szCs w:val="14"/>
        <w:rtl/>
      </w:rPr>
      <w:t xml:space="preserve">סימן י' בסוגיא דרוב (ג') </w:t>
    </w:r>
    <w:r>
      <w:rPr>
        <w:rFonts w:cs="Guttman Hodes"/>
        <w:sz w:val="14"/>
        <w:szCs w:val="14"/>
        <w:rtl/>
      </w:rPr>
      <w:t>בדיני הרוב בילפותא ממכה אביו</w:t>
    </w:r>
  </w:p>
  <w:p w14:paraId="723A9644" w14:textId="77777777" w:rsidR="00345400" w:rsidRDefault="00345400" w:rsidP="00064C97">
    <w:pPr>
      <w:pStyle w:val="a9"/>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AAA45" w14:textId="77777777" w:rsidR="00345400" w:rsidRDefault="00345400" w:rsidP="00064C97">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יא</w:t>
    </w:r>
    <w:r w:rsidRPr="00A96632">
      <w:rPr>
        <w:rFonts w:cs="Guttman Hodes" w:hint="cs"/>
        <w:sz w:val="14"/>
        <w:szCs w:val="14"/>
        <w:rtl/>
      </w:rPr>
      <w:t xml:space="preserve"> ע"</w:t>
    </w:r>
    <w:r>
      <w:rPr>
        <w:rFonts w:cs="Guttman Hodes" w:hint="cs"/>
        <w:sz w:val="14"/>
        <w:szCs w:val="14"/>
        <w:rtl/>
      </w:rPr>
      <w:t>א</w:t>
    </w:r>
  </w:p>
  <w:p w14:paraId="65F313A6" w14:textId="77777777" w:rsidR="00345400" w:rsidRDefault="00345400" w:rsidP="00064C97">
    <w:pPr>
      <w:pStyle w:val="a9"/>
      <w:jc w:val="center"/>
      <w:rPr>
        <w:rtl/>
      </w:rPr>
    </w:pPr>
    <w:r w:rsidRPr="00C76BAE">
      <w:rPr>
        <w:rFonts w:cs="Guttman Hodes"/>
        <w:sz w:val="14"/>
        <w:szCs w:val="14"/>
        <w:rtl/>
      </w:rPr>
      <w:t>סימן ח'  בסוגיא דרוב (א') - בביאור הילפותא וגדר הדין ברובא דאיתא קמן וליתא קמן</w:t>
    </w:r>
  </w:p>
  <w:p w14:paraId="3945A770" w14:textId="77777777" w:rsidR="00345400" w:rsidRDefault="00345400" w:rsidP="00064C97">
    <w:pPr>
      <w:pStyle w:val="a9"/>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5E425" w14:textId="77777777" w:rsidR="00345400" w:rsidRDefault="00345400" w:rsidP="00F65810">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5B2E231A" w14:textId="77777777" w:rsidR="00345400" w:rsidRDefault="00345400" w:rsidP="00F65810">
    <w:pPr>
      <w:pStyle w:val="a9"/>
      <w:ind w:left="0"/>
      <w:jc w:val="center"/>
      <w:rPr>
        <w:rFonts w:cs="Guttman Hodes"/>
        <w:b/>
        <w:bCs/>
        <w:sz w:val="28"/>
        <w:szCs w:val="28"/>
        <w:rtl/>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22BD" w14:textId="77777777" w:rsidR="00345400" w:rsidRDefault="00345400" w:rsidP="0035357B">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Pr>
        <w:rFonts w:cs="Guttman Hodes" w:hint="cs"/>
        <w:sz w:val="14"/>
        <w:szCs w:val="14"/>
        <w:rtl/>
      </w:rPr>
      <w:t>יא</w:t>
    </w:r>
    <w:r w:rsidRPr="00A96632">
      <w:rPr>
        <w:rFonts w:cs="Guttman Hodes" w:hint="cs"/>
        <w:sz w:val="14"/>
        <w:szCs w:val="14"/>
        <w:rtl/>
      </w:rPr>
      <w:t xml:space="preserve"> ע"</w:t>
    </w:r>
    <w:r>
      <w:rPr>
        <w:rFonts w:cs="Guttman Hodes" w:hint="cs"/>
        <w:sz w:val="14"/>
        <w:szCs w:val="14"/>
        <w:rtl/>
      </w:rPr>
      <w:t>ב</w:t>
    </w:r>
  </w:p>
  <w:p w14:paraId="7CF79A5A" w14:textId="77777777" w:rsidR="00345400" w:rsidRDefault="00345400" w:rsidP="00FB3ECF">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41E96BE7" w14:textId="77777777" w:rsidR="00345400" w:rsidRDefault="00345400" w:rsidP="006027E4">
    <w:pPr>
      <w:pStyle w:val="a9"/>
      <w:ind w:left="0"/>
      <w:jc w:val="center"/>
      <w:rPr>
        <w:rFonts w:cs="Guttman Hodes"/>
        <w:sz w:val="14"/>
        <w:szCs w:val="14"/>
        <w:rtl/>
      </w:rPr>
    </w:pPr>
    <w:r w:rsidRPr="00D139BA">
      <w:rPr>
        <w:rFonts w:cs="Guttman Hodes"/>
        <w:sz w:val="14"/>
        <w:szCs w:val="14"/>
        <w:rtl/>
      </w:rPr>
      <w:t xml:space="preserve">סימן י"א בסוגיא דרוב (ד') בפלוגתת ר"מ ורבנן אי חיישינן למיעוטא </w:t>
    </w:r>
    <w:r w:rsidRPr="006F4389">
      <w:rPr>
        <w:rFonts w:cs="Guttman Hodes"/>
        <w:sz w:val="14"/>
        <w:szCs w:val="14"/>
        <w:rtl/>
      </w:rPr>
      <w:t>וב</w:t>
    </w:r>
    <w:r w:rsidRPr="00D139BA">
      <w:rPr>
        <w:rFonts w:cs="Guttman Hodes"/>
        <w:sz w:val="14"/>
        <w:szCs w:val="14"/>
        <w:rtl/>
      </w:rPr>
      <w:t>סמוך מיעוטא לחזקה</w:t>
    </w:r>
  </w:p>
  <w:p w14:paraId="32DD447A" w14:textId="77777777" w:rsidR="00345400" w:rsidRDefault="00345400" w:rsidP="0035357B">
    <w:pPr>
      <w:pStyle w:val="a9"/>
      <w:ind w:left="0"/>
      <w:jc w:val="center"/>
      <w:rPr>
        <w:rFonts w:cs="Guttman Hodes"/>
        <w:sz w:val="14"/>
        <w:szCs w:val="14"/>
        <w:rtl/>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5CAEA" w14:textId="77777777" w:rsidR="00345400" w:rsidRDefault="00345400" w:rsidP="006027E4">
    <w:pPr>
      <w:pStyle w:val="a9"/>
      <w:ind w:left="0"/>
      <w:jc w:val="right"/>
      <w:rPr>
        <w:rFonts w:cs="Guttman Hodes"/>
        <w:sz w:val="14"/>
        <w:szCs w:val="14"/>
      </w:rPr>
    </w:pPr>
    <w:r>
      <w:rPr>
        <w:rFonts w:cs="Guttman Hodes" w:hint="cs"/>
        <w:sz w:val="14"/>
        <w:szCs w:val="14"/>
        <w:rtl/>
      </w:rPr>
      <w:t>חולין דף יא ע"ב</w:t>
    </w:r>
  </w:p>
  <w:p w14:paraId="26A66354" w14:textId="77777777" w:rsidR="00345400" w:rsidRDefault="00345400" w:rsidP="003B3C9F">
    <w:pPr>
      <w:pStyle w:val="a9"/>
      <w:ind w:left="0"/>
      <w:jc w:val="center"/>
      <w:rPr>
        <w:rFonts w:cs="Guttman Hodes"/>
        <w:b/>
        <w:bCs/>
        <w:sz w:val="28"/>
        <w:szCs w:val="28"/>
        <w:rtl/>
      </w:rPr>
    </w:pPr>
    <w:r>
      <w:rPr>
        <w:rFonts w:cs="Guttman Hodes" w:hint="cs"/>
        <w:b/>
        <w:bCs/>
        <w:sz w:val="28"/>
        <w:szCs w:val="28"/>
        <w:rtl/>
      </w:rPr>
      <w:t>מראי מקומות וביאורים</w:t>
    </w:r>
    <w:r>
      <w:rPr>
        <w:rFonts w:cs="Guttman Hodes" w:hint="cs"/>
        <w:b/>
        <w:bCs/>
        <w:color w:val="FFFFFF" w:themeColor="background1"/>
        <w:sz w:val="28"/>
        <w:szCs w:val="28"/>
        <w:rtl/>
      </w:rPr>
      <w:ptab w:relativeTo="indent" w:alignment="center" w:leader="middleDo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על הסוגיא ועל הרמב"ם</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A1736" w14:textId="77777777" w:rsidR="00345400" w:rsidRPr="00045367" w:rsidRDefault="00345400" w:rsidP="00045367">
    <w:pPr>
      <w:pStyle w:val="a9"/>
      <w:rPr>
        <w:rtl/>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FBB25" w14:textId="77777777" w:rsidR="00345400" w:rsidRDefault="00345400" w:rsidP="00852065">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451B68E3" w14:textId="77777777" w:rsidR="00345400" w:rsidRDefault="00345400" w:rsidP="00852065">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47939C6A" w14:textId="77777777" w:rsidR="00345400" w:rsidRPr="00A96632" w:rsidRDefault="00345400" w:rsidP="00852065">
    <w:pPr>
      <w:pStyle w:val="a9"/>
      <w:ind w:left="0"/>
      <w:jc w:val="center"/>
      <w:rPr>
        <w:rFonts w:cs="Guttman Hodes"/>
        <w:sz w:val="14"/>
        <w:szCs w:val="14"/>
        <w:rtl/>
      </w:rPr>
    </w:pPr>
    <w:r w:rsidRPr="003F64F2">
      <w:rPr>
        <w:rFonts w:cs="Guttman Hodes"/>
        <w:sz w:val="14"/>
        <w:szCs w:val="14"/>
        <w:rtl/>
      </w:rPr>
      <w:t xml:space="preserve">סימן </w:t>
    </w:r>
    <w:r>
      <w:rPr>
        <w:rFonts w:cs="Guttman Hodes" w:hint="cs"/>
        <w:sz w:val="14"/>
        <w:szCs w:val="14"/>
        <w:rtl/>
      </w:rPr>
      <w:t>ג</w:t>
    </w:r>
    <w:r w:rsidRPr="003F64F2">
      <w:rPr>
        <w:rFonts w:cs="Guttman Hodes"/>
        <w:sz w:val="14"/>
        <w:szCs w:val="14"/>
        <w:rtl/>
      </w:rPr>
      <w:t>'</w:t>
    </w:r>
    <w:r w:rsidRPr="003F64F2">
      <w:rPr>
        <w:rFonts w:cs="Guttman Hodes" w:hint="cs"/>
        <w:sz w:val="14"/>
        <w:szCs w:val="14"/>
        <w:rtl/>
      </w:rPr>
      <w:t xml:space="preserve"> </w:t>
    </w:r>
    <w:r>
      <w:rPr>
        <w:rFonts w:cs="Guttman Hodes"/>
        <w:sz w:val="14"/>
        <w:szCs w:val="14"/>
        <w:rtl/>
      </w:rPr>
      <w:t>–</w:t>
    </w:r>
    <w:r w:rsidRPr="003F64F2">
      <w:rPr>
        <w:rFonts w:cs="Guttman Hodes" w:hint="cs"/>
        <w:sz w:val="14"/>
        <w:szCs w:val="14"/>
        <w:rtl/>
      </w:rPr>
      <w:t xml:space="preserve"> </w:t>
    </w:r>
    <w:r w:rsidRPr="005E2CA3">
      <w:rPr>
        <w:rFonts w:cs="Guttman Hodes"/>
        <w:sz w:val="14"/>
        <w:szCs w:val="14"/>
        <w:rtl/>
      </w:rPr>
      <w:t>בענין חזקת היתר בספק טריפה</w:t>
    </w:r>
  </w:p>
  <w:p w14:paraId="04E46115" w14:textId="77777777" w:rsidR="00345400" w:rsidRPr="00465B97" w:rsidRDefault="00345400" w:rsidP="00852065">
    <w:pPr>
      <w:pStyle w:val="a9"/>
      <w:rPr>
        <w:rtl/>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D105C" w14:textId="77777777" w:rsidR="00345400" w:rsidRDefault="00345400">
    <w:pPr>
      <w:pStyle w:val="a9"/>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7B392" w14:textId="77777777" w:rsidR="00345400" w:rsidRPr="00AC4846" w:rsidRDefault="00345400" w:rsidP="00AC4846">
    <w:pPr>
      <w:pStyle w:val="a9"/>
      <w:rPr>
        <w:rtl/>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96A03" w14:textId="77777777" w:rsidR="00345400" w:rsidRDefault="00345400" w:rsidP="004F280F">
    <w:pPr>
      <w:pStyle w:val="a9"/>
      <w:ind w:left="0"/>
      <w:jc w:val="right"/>
      <w:rPr>
        <w:rFonts w:cs="Guttman Hodes"/>
        <w:sz w:val="14"/>
        <w:szCs w:val="14"/>
      </w:rPr>
    </w:pPr>
    <w:r>
      <w:rPr>
        <w:rFonts w:cs="Guttman Hodes" w:hint="cs"/>
        <w:sz w:val="14"/>
        <w:szCs w:val="14"/>
        <w:rtl/>
      </w:rPr>
      <w:t xml:space="preserve">חולין דף יח ע"א </w:t>
    </w:r>
    <w:r>
      <w:rPr>
        <w:rFonts w:cs="Guttman Hodes"/>
        <w:sz w:val="14"/>
        <w:szCs w:val="14"/>
        <w:rtl/>
      </w:rPr>
      <w:t>–</w:t>
    </w:r>
    <w:r>
      <w:rPr>
        <w:rFonts w:cs="Guttman Hodes" w:hint="cs"/>
        <w:sz w:val="14"/>
        <w:szCs w:val="14"/>
        <w:rtl/>
      </w:rPr>
      <w:t xml:space="preserve"> יח ע"ב</w:t>
    </w:r>
  </w:p>
  <w:p w14:paraId="28E4A605" w14:textId="77777777" w:rsidR="00345400" w:rsidRDefault="00345400" w:rsidP="003B3C9F">
    <w:pPr>
      <w:pStyle w:val="a9"/>
      <w:ind w:left="0"/>
      <w:jc w:val="center"/>
      <w:rPr>
        <w:rFonts w:cs="Guttman Hodes"/>
        <w:b/>
        <w:bCs/>
        <w:sz w:val="28"/>
        <w:szCs w:val="28"/>
        <w:rtl/>
      </w:rPr>
    </w:pPr>
    <w:r>
      <w:rPr>
        <w:rFonts w:cs="Guttman Hodes" w:hint="cs"/>
        <w:b/>
        <w:bCs/>
        <w:sz w:val="28"/>
        <w:szCs w:val="28"/>
        <w:rtl/>
      </w:rPr>
      <w:t>מראי מקומות וביאורים</w:t>
    </w:r>
    <w:r>
      <w:rPr>
        <w:rFonts w:cs="Guttman Hodes" w:hint="cs"/>
        <w:b/>
        <w:bCs/>
        <w:color w:val="FFFFFF" w:themeColor="background1"/>
        <w:sz w:val="28"/>
        <w:szCs w:val="28"/>
        <w:rtl/>
      </w:rPr>
      <w:ptab w:relativeTo="indent" w:alignment="center" w:leader="middleDo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על הסוגיא ועל הרמב"ם</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F9C6C" w14:textId="77777777" w:rsidR="00345400" w:rsidRPr="00181149" w:rsidRDefault="00345400" w:rsidP="00181149">
    <w:pPr>
      <w:pStyle w:val="a9"/>
      <w:ind w:left="0"/>
      <w:jc w:val="right"/>
      <w:rPr>
        <w:rFonts w:cs="Guttman Hodes"/>
        <w:sz w:val="14"/>
        <w:szCs w:val="14"/>
        <w:rtl/>
      </w:rPr>
    </w:pPr>
    <w:r w:rsidRPr="00181149">
      <w:rPr>
        <w:rFonts w:cs="Guttman Hodes" w:hint="cs"/>
        <w:sz w:val="14"/>
        <w:szCs w:val="14"/>
        <w:rtl/>
      </w:rPr>
      <w:t>חולין דף יח ע"</w:t>
    </w:r>
    <w:r>
      <w:rPr>
        <w:rFonts w:cs="Guttman Hodes" w:hint="cs"/>
        <w:sz w:val="14"/>
        <w:szCs w:val="14"/>
        <w:rtl/>
      </w:rPr>
      <w:t xml:space="preserve">א </w:t>
    </w:r>
    <w:r>
      <w:rPr>
        <w:rFonts w:cs="Guttman Hodes"/>
        <w:sz w:val="14"/>
        <w:szCs w:val="14"/>
        <w:rtl/>
      </w:rPr>
      <w:t>–</w:t>
    </w:r>
    <w:r>
      <w:rPr>
        <w:rFonts w:cs="Guttman Hodes" w:hint="cs"/>
        <w:sz w:val="14"/>
        <w:szCs w:val="14"/>
        <w:rtl/>
      </w:rPr>
      <w:t xml:space="preserve"> יח ע"ב</w:t>
    </w:r>
  </w:p>
  <w:p w14:paraId="39B0C928" w14:textId="77777777" w:rsidR="00345400" w:rsidRDefault="00345400" w:rsidP="003D04E6">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4E21C8FD" w14:textId="77777777" w:rsidR="00345400" w:rsidRDefault="00345400" w:rsidP="003D04E6">
    <w:pPr>
      <w:pStyle w:val="a9"/>
      <w:ind w:left="0"/>
      <w:jc w:val="center"/>
      <w:rPr>
        <w:rFonts w:cs="Guttman Hodes"/>
        <w:sz w:val="14"/>
        <w:szCs w:val="14"/>
        <w:rtl/>
      </w:rPr>
    </w:pPr>
    <w:r w:rsidRPr="00181149">
      <w:rPr>
        <w:rFonts w:cs="Guttman Hodes"/>
        <w:sz w:val="14"/>
        <w:szCs w:val="14"/>
        <w:rtl/>
      </w:rPr>
      <w:t xml:space="preserve">סימן י"ב </w:t>
    </w:r>
    <w:r w:rsidRPr="00337983">
      <w:rPr>
        <w:rFonts w:cs="Guttman Hodes"/>
        <w:sz w:val="14"/>
        <w:szCs w:val="14"/>
        <w:rtl/>
      </w:rPr>
      <w:t>סוגיא דהגרמה (</w:t>
    </w:r>
    <w:r>
      <w:rPr>
        <w:rFonts w:cs="Guttman Hodes" w:hint="cs"/>
        <w:sz w:val="14"/>
        <w:szCs w:val="14"/>
        <w:rtl/>
      </w:rPr>
      <w:t>א</w:t>
    </w:r>
    <w:r w:rsidRPr="00337983">
      <w:rPr>
        <w:rFonts w:cs="Guttman Hodes"/>
        <w:sz w:val="14"/>
        <w:szCs w:val="14"/>
        <w:rtl/>
      </w:rPr>
      <w:t xml:space="preserve">') </w:t>
    </w:r>
    <w:r w:rsidRPr="00E1175C">
      <w:rPr>
        <w:rFonts w:cs="Guttman Hodes"/>
        <w:sz w:val="14"/>
        <w:szCs w:val="14"/>
        <w:rtl/>
      </w:rPr>
      <w:t>בפלוגתת רבנן וריבר"י ברוב סימן בהגרמה ובשחיטה</w:t>
    </w:r>
  </w:p>
  <w:p w14:paraId="01287A5D" w14:textId="77777777" w:rsidR="00345400" w:rsidRDefault="00345400" w:rsidP="003D04E6">
    <w:pPr>
      <w:pStyle w:val="a9"/>
      <w:ind w:left="0"/>
      <w:jc w:val="center"/>
      <w:rPr>
        <w:rFonts w:cs="Guttman Hodes"/>
        <w:sz w:val="14"/>
        <w:szCs w:val="14"/>
        <w:rtl/>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5382F" w14:textId="77777777" w:rsidR="00345400" w:rsidRPr="004E5ACF" w:rsidRDefault="00345400" w:rsidP="004E5ACF">
    <w:pPr>
      <w:pStyle w:val="a9"/>
      <w:rPr>
        <w:rtl/>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51C92" w14:textId="77777777" w:rsidR="00345400" w:rsidRDefault="00345400" w:rsidP="00715924">
    <w:pPr>
      <w:pStyle w:val="a9"/>
      <w:ind w:left="0"/>
      <w:jc w:val="right"/>
      <w:rPr>
        <w:rFonts w:cs="Guttman Hodes"/>
        <w:sz w:val="14"/>
        <w:szCs w:val="14"/>
      </w:rPr>
    </w:pPr>
    <w:r>
      <w:rPr>
        <w:rFonts w:cs="Guttman Hodes" w:hint="cs"/>
        <w:sz w:val="14"/>
        <w:szCs w:val="14"/>
        <w:rtl/>
      </w:rPr>
      <w:t>חולין דף יט ע"א</w:t>
    </w:r>
  </w:p>
  <w:p w14:paraId="31A60B72" w14:textId="77777777" w:rsidR="00345400" w:rsidRDefault="00345400" w:rsidP="003B3C9F">
    <w:pPr>
      <w:pStyle w:val="a9"/>
      <w:ind w:left="0"/>
      <w:jc w:val="center"/>
      <w:rPr>
        <w:rFonts w:cs="Guttman Hodes"/>
        <w:b/>
        <w:bCs/>
        <w:sz w:val="28"/>
        <w:szCs w:val="28"/>
        <w:rtl/>
      </w:rPr>
    </w:pPr>
    <w:r>
      <w:rPr>
        <w:rFonts w:cs="Guttman Hodes" w:hint="cs"/>
        <w:b/>
        <w:bCs/>
        <w:sz w:val="28"/>
        <w:szCs w:val="28"/>
        <w:rtl/>
      </w:rPr>
      <w:t>מראי מקומות וביאורים</w:t>
    </w:r>
    <w:r>
      <w:rPr>
        <w:rFonts w:cs="Guttman Hodes" w:hint="cs"/>
        <w:b/>
        <w:bCs/>
        <w:color w:val="FFFFFF" w:themeColor="background1"/>
        <w:sz w:val="28"/>
        <w:szCs w:val="28"/>
        <w:rtl/>
      </w:rPr>
      <w:ptab w:relativeTo="indent" w:alignment="center" w:leader="middleDo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על הסוגיא ועל הרמב"ם</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3EC5" w14:textId="77777777" w:rsidR="00345400" w:rsidRDefault="00345400" w:rsidP="00852065">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00EFDDFE" w14:textId="77777777" w:rsidR="00345400" w:rsidRPr="00B6033E" w:rsidRDefault="00345400" w:rsidP="00852065">
    <w:pPr>
      <w:pStyle w:val="a9"/>
      <w:ind w:left="0"/>
      <w:jc w:val="center"/>
      <w:rPr>
        <w:rFonts w:cs="Guttman Hodes"/>
        <w:sz w:val="14"/>
        <w:szCs w:val="14"/>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3F43B" w14:textId="77777777" w:rsidR="00345400" w:rsidRPr="00181149" w:rsidRDefault="00345400" w:rsidP="00436F39">
    <w:pPr>
      <w:pStyle w:val="a9"/>
      <w:ind w:left="0"/>
      <w:jc w:val="right"/>
      <w:rPr>
        <w:rFonts w:cs="Guttman Hodes"/>
        <w:sz w:val="14"/>
        <w:szCs w:val="14"/>
        <w:rtl/>
      </w:rPr>
    </w:pPr>
    <w:r w:rsidRPr="00181149">
      <w:rPr>
        <w:rFonts w:cs="Guttman Hodes" w:hint="cs"/>
        <w:sz w:val="14"/>
        <w:szCs w:val="14"/>
        <w:rtl/>
      </w:rPr>
      <w:t>חולין דף י</w:t>
    </w:r>
    <w:r>
      <w:rPr>
        <w:rFonts w:cs="Guttman Hodes" w:hint="cs"/>
        <w:sz w:val="14"/>
        <w:szCs w:val="14"/>
        <w:rtl/>
      </w:rPr>
      <w:t>ט</w:t>
    </w:r>
    <w:r w:rsidRPr="00181149">
      <w:rPr>
        <w:rFonts w:cs="Guttman Hodes" w:hint="cs"/>
        <w:sz w:val="14"/>
        <w:szCs w:val="14"/>
        <w:rtl/>
      </w:rPr>
      <w:t xml:space="preserve"> ע"</w:t>
    </w:r>
    <w:r>
      <w:rPr>
        <w:rFonts w:cs="Guttman Hodes" w:hint="cs"/>
        <w:sz w:val="14"/>
        <w:szCs w:val="14"/>
        <w:rtl/>
      </w:rPr>
      <w:t xml:space="preserve">א </w:t>
    </w:r>
    <w:r>
      <w:rPr>
        <w:rFonts w:cs="Guttman Hodes"/>
        <w:sz w:val="14"/>
        <w:szCs w:val="14"/>
        <w:rtl/>
      </w:rPr>
      <w:t>–</w:t>
    </w:r>
    <w:r>
      <w:rPr>
        <w:rFonts w:cs="Guttman Hodes" w:hint="cs"/>
        <w:sz w:val="14"/>
        <w:szCs w:val="14"/>
        <w:rtl/>
      </w:rPr>
      <w:t xml:space="preserve"> ל ע"ב</w:t>
    </w:r>
  </w:p>
  <w:p w14:paraId="114D6649" w14:textId="77777777" w:rsidR="00345400" w:rsidRDefault="00345400" w:rsidP="00436F39">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6159B2BE" w14:textId="77777777" w:rsidR="00345400" w:rsidRDefault="00345400" w:rsidP="00181149">
    <w:pPr>
      <w:pStyle w:val="a9"/>
      <w:ind w:left="0"/>
      <w:jc w:val="center"/>
      <w:rPr>
        <w:rFonts w:cs="Guttman Hodes"/>
        <w:sz w:val="14"/>
        <w:szCs w:val="14"/>
        <w:rtl/>
      </w:rPr>
    </w:pPr>
    <w:r w:rsidRPr="002D2DBD">
      <w:rPr>
        <w:rFonts w:cs="Guttman Hodes"/>
        <w:sz w:val="14"/>
        <w:szCs w:val="14"/>
        <w:rtl/>
      </w:rPr>
      <w:t xml:space="preserve">סימן י"ד סוגיא דהגרמה (ג')  בענין </w:t>
    </w:r>
    <w:r w:rsidRPr="00F56EA0">
      <w:rPr>
        <w:rFonts w:cs="Guttman Hodes"/>
        <w:sz w:val="14"/>
        <w:szCs w:val="14"/>
        <w:rtl/>
      </w:rPr>
      <w:t xml:space="preserve">הגרמה ושאר </w:t>
    </w:r>
    <w:r w:rsidRPr="002D2DBD">
      <w:rPr>
        <w:rFonts w:cs="Guttman Hodes"/>
        <w:sz w:val="14"/>
        <w:szCs w:val="14"/>
        <w:rtl/>
      </w:rPr>
      <w:t>פסולי שחיטה במיעוט בתרא</w:t>
    </w:r>
  </w:p>
  <w:p w14:paraId="492B1404" w14:textId="77777777" w:rsidR="00345400" w:rsidRDefault="00345400" w:rsidP="00181149">
    <w:pPr>
      <w:pStyle w:val="a9"/>
      <w:ind w:left="0"/>
      <w:jc w:val="center"/>
      <w:rPr>
        <w:rFonts w:cs="Guttman Hodes"/>
        <w:sz w:val="14"/>
        <w:szCs w:val="14"/>
        <w:rtl/>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50F9C" w14:textId="77777777" w:rsidR="00345400" w:rsidRDefault="00345400" w:rsidP="00436F39">
    <w:pPr>
      <w:pStyle w:val="a9"/>
      <w:ind w:left="0"/>
      <w:jc w:val="right"/>
      <w:rPr>
        <w:rFonts w:cs="Guttman Hodes"/>
        <w:sz w:val="14"/>
        <w:szCs w:val="14"/>
      </w:rPr>
    </w:pPr>
    <w:r w:rsidRPr="00181149">
      <w:rPr>
        <w:rFonts w:cs="Guttman Hodes" w:hint="cs"/>
        <w:sz w:val="14"/>
        <w:szCs w:val="14"/>
        <w:rtl/>
      </w:rPr>
      <w:t>חולין דף י</w:t>
    </w:r>
    <w:r>
      <w:rPr>
        <w:rFonts w:cs="Guttman Hodes" w:hint="cs"/>
        <w:sz w:val="14"/>
        <w:szCs w:val="14"/>
        <w:rtl/>
      </w:rPr>
      <w:t>ט</w:t>
    </w:r>
    <w:r w:rsidRPr="00181149">
      <w:rPr>
        <w:rFonts w:cs="Guttman Hodes" w:hint="cs"/>
        <w:sz w:val="14"/>
        <w:szCs w:val="14"/>
        <w:rtl/>
      </w:rPr>
      <w:t xml:space="preserve"> ע"</w:t>
    </w:r>
    <w:r>
      <w:rPr>
        <w:rFonts w:cs="Guttman Hodes" w:hint="cs"/>
        <w:sz w:val="14"/>
        <w:szCs w:val="14"/>
        <w:rtl/>
      </w:rPr>
      <w:t xml:space="preserve">א </w:t>
    </w:r>
    <w:r>
      <w:rPr>
        <w:rFonts w:cs="Guttman Hodes"/>
        <w:sz w:val="14"/>
        <w:szCs w:val="14"/>
        <w:rtl/>
      </w:rPr>
      <w:t>–</w:t>
    </w:r>
    <w:r>
      <w:rPr>
        <w:rFonts w:cs="Guttman Hodes" w:hint="cs"/>
        <w:sz w:val="14"/>
        <w:szCs w:val="14"/>
        <w:rtl/>
      </w:rPr>
      <w:t xml:space="preserve"> ל ע"ב</w:t>
    </w:r>
  </w:p>
  <w:p w14:paraId="1AD4A293" w14:textId="77777777" w:rsidR="00345400" w:rsidRDefault="00345400" w:rsidP="003B3C9F">
    <w:pPr>
      <w:pStyle w:val="a9"/>
      <w:ind w:left="0"/>
      <w:jc w:val="center"/>
      <w:rPr>
        <w:rFonts w:cs="Guttman Hodes"/>
        <w:b/>
        <w:bCs/>
        <w:sz w:val="28"/>
        <w:szCs w:val="28"/>
        <w:rtl/>
      </w:rPr>
    </w:pPr>
    <w:r>
      <w:rPr>
        <w:rFonts w:cs="Guttman Hodes" w:hint="cs"/>
        <w:b/>
        <w:bCs/>
        <w:sz w:val="28"/>
        <w:szCs w:val="28"/>
        <w:rtl/>
      </w:rPr>
      <w:t>מראי מקומות וביאורים</w:t>
    </w:r>
    <w:r>
      <w:rPr>
        <w:rFonts w:cs="Guttman Hodes" w:hint="cs"/>
        <w:b/>
        <w:bCs/>
        <w:color w:val="FFFFFF" w:themeColor="background1"/>
        <w:sz w:val="28"/>
        <w:szCs w:val="28"/>
        <w:rtl/>
      </w:rPr>
      <w:ptab w:relativeTo="indent" w:alignment="center" w:leader="middleDo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על הסוגיא ועל הרמב"ם</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4A2F1" w14:textId="77777777" w:rsidR="00345400" w:rsidRPr="00181149" w:rsidRDefault="00345400" w:rsidP="00436F39">
    <w:pPr>
      <w:pStyle w:val="a9"/>
      <w:ind w:left="0"/>
      <w:jc w:val="right"/>
      <w:rPr>
        <w:rFonts w:cs="Guttman Hodes"/>
        <w:sz w:val="14"/>
        <w:szCs w:val="14"/>
        <w:rtl/>
      </w:rPr>
    </w:pPr>
    <w:r w:rsidRPr="00181149">
      <w:rPr>
        <w:rFonts w:cs="Guttman Hodes" w:hint="cs"/>
        <w:sz w:val="14"/>
        <w:szCs w:val="14"/>
        <w:rtl/>
      </w:rPr>
      <w:t>חולין דף י</w:t>
    </w:r>
    <w:r>
      <w:rPr>
        <w:rFonts w:cs="Guttman Hodes" w:hint="cs"/>
        <w:sz w:val="14"/>
        <w:szCs w:val="14"/>
        <w:rtl/>
      </w:rPr>
      <w:t>ט</w:t>
    </w:r>
    <w:r w:rsidRPr="00181149">
      <w:rPr>
        <w:rFonts w:cs="Guttman Hodes" w:hint="cs"/>
        <w:sz w:val="14"/>
        <w:szCs w:val="14"/>
        <w:rtl/>
      </w:rPr>
      <w:t xml:space="preserve"> ע"</w:t>
    </w:r>
    <w:r>
      <w:rPr>
        <w:rFonts w:cs="Guttman Hodes" w:hint="cs"/>
        <w:sz w:val="14"/>
        <w:szCs w:val="14"/>
        <w:rtl/>
      </w:rPr>
      <w:t xml:space="preserve">א </w:t>
    </w:r>
    <w:r>
      <w:rPr>
        <w:rFonts w:cs="Guttman Hodes"/>
        <w:sz w:val="14"/>
        <w:szCs w:val="14"/>
        <w:rtl/>
      </w:rPr>
      <w:t>–</w:t>
    </w:r>
    <w:r>
      <w:rPr>
        <w:rFonts w:cs="Guttman Hodes" w:hint="cs"/>
        <w:sz w:val="14"/>
        <w:szCs w:val="14"/>
        <w:rtl/>
      </w:rPr>
      <w:t xml:space="preserve"> ל ע"ב</w:t>
    </w:r>
  </w:p>
  <w:p w14:paraId="6ECBD37C" w14:textId="77777777" w:rsidR="00345400" w:rsidRDefault="00345400" w:rsidP="00436F39">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1C7D3762" w14:textId="77777777" w:rsidR="00345400" w:rsidRDefault="00345400" w:rsidP="00181149">
    <w:pPr>
      <w:pStyle w:val="a9"/>
      <w:ind w:left="0"/>
      <w:jc w:val="center"/>
      <w:rPr>
        <w:rFonts w:cs="Guttman Hodes"/>
        <w:sz w:val="14"/>
        <w:szCs w:val="14"/>
        <w:rtl/>
      </w:rPr>
    </w:pPr>
    <w:r w:rsidRPr="002D2DBD">
      <w:rPr>
        <w:rFonts w:cs="Guttman Hodes"/>
        <w:sz w:val="14"/>
        <w:szCs w:val="14"/>
        <w:rtl/>
      </w:rPr>
      <w:t xml:space="preserve">סימן י"ד סוגיא דהגרמה (ג')  בענין </w:t>
    </w:r>
    <w:r w:rsidRPr="00F56EA0">
      <w:rPr>
        <w:rFonts w:cs="Guttman Hodes"/>
        <w:sz w:val="14"/>
        <w:szCs w:val="14"/>
        <w:rtl/>
      </w:rPr>
      <w:t xml:space="preserve">הגרמה ושאר </w:t>
    </w:r>
    <w:r w:rsidRPr="002D2DBD">
      <w:rPr>
        <w:rFonts w:cs="Guttman Hodes"/>
        <w:sz w:val="14"/>
        <w:szCs w:val="14"/>
        <w:rtl/>
      </w:rPr>
      <w:t>פסולי שחיטה במיעוט בתרא</w:t>
    </w:r>
  </w:p>
  <w:p w14:paraId="0AC25D7B" w14:textId="77777777" w:rsidR="00345400" w:rsidRDefault="00345400" w:rsidP="00181149">
    <w:pPr>
      <w:pStyle w:val="a9"/>
      <w:ind w:left="0"/>
      <w:jc w:val="center"/>
      <w:rPr>
        <w:rFonts w:cs="Guttman Hodes"/>
        <w:sz w:val="14"/>
        <w:szCs w:val="14"/>
        <w:rtl/>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DF73" w14:textId="77777777" w:rsidR="00345400" w:rsidRPr="00472DB3" w:rsidRDefault="00345400" w:rsidP="00472DB3">
    <w:pPr>
      <w:pStyle w:val="a9"/>
      <w:rPr>
        <w:rtl/>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66E14" w14:textId="77777777" w:rsidR="00345400" w:rsidRPr="003D504D" w:rsidRDefault="00345400" w:rsidP="003D504D">
    <w:pPr>
      <w:pStyle w:val="a9"/>
      <w:rPr>
        <w:rtl/>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C76F7" w14:textId="77777777" w:rsidR="00345400" w:rsidRPr="00181149" w:rsidRDefault="00345400" w:rsidP="003D504D">
    <w:pPr>
      <w:pStyle w:val="a9"/>
      <w:ind w:left="0"/>
      <w:jc w:val="right"/>
      <w:rPr>
        <w:rFonts w:cs="Guttman Hodes"/>
        <w:sz w:val="14"/>
        <w:szCs w:val="14"/>
        <w:rtl/>
      </w:rPr>
    </w:pPr>
    <w:r w:rsidRPr="00181149">
      <w:rPr>
        <w:rFonts w:cs="Guttman Hodes" w:hint="cs"/>
        <w:sz w:val="14"/>
        <w:szCs w:val="14"/>
        <w:rtl/>
      </w:rPr>
      <w:t>חולין דף</w:t>
    </w:r>
    <w:r>
      <w:rPr>
        <w:rFonts w:cs="Guttman Hodes" w:hint="cs"/>
        <w:sz w:val="14"/>
        <w:szCs w:val="14"/>
        <w:rtl/>
      </w:rPr>
      <w:t xml:space="preserve"> סח.</w:t>
    </w:r>
    <w:r w:rsidRPr="00181149">
      <w:rPr>
        <w:rFonts w:cs="Guttman Hodes" w:hint="cs"/>
        <w:sz w:val="14"/>
        <w:szCs w:val="14"/>
        <w:rtl/>
      </w:rPr>
      <w:t xml:space="preserve"> </w:t>
    </w:r>
  </w:p>
  <w:p w14:paraId="1C6CA9AA" w14:textId="77777777" w:rsidR="00345400" w:rsidRDefault="00345400" w:rsidP="003D504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0FB5A0A0" w14:textId="77777777" w:rsidR="00345400" w:rsidRDefault="00345400" w:rsidP="003D504D">
    <w:pPr>
      <w:pStyle w:val="a9"/>
      <w:ind w:left="0"/>
      <w:jc w:val="center"/>
      <w:rPr>
        <w:rFonts w:cs="Guttman Hodes"/>
        <w:sz w:val="14"/>
        <w:szCs w:val="14"/>
        <w:rtl/>
      </w:rPr>
    </w:pPr>
    <w:r>
      <w:rPr>
        <w:rFonts w:cs="Guttman Hodes"/>
        <w:sz w:val="14"/>
        <w:szCs w:val="14"/>
        <w:rtl/>
      </w:rPr>
      <w:t>סימן</w:t>
    </w:r>
    <w:r>
      <w:rPr>
        <w:rFonts w:cs="Guttman Hodes" w:hint="cs"/>
        <w:sz w:val="14"/>
        <w:szCs w:val="14"/>
        <w:rtl/>
      </w:rPr>
      <w:t xml:space="preserve"> א' </w:t>
    </w:r>
    <w:r w:rsidRPr="002B0D0B">
      <w:rPr>
        <w:rFonts w:cs="Guttman Hodes"/>
        <w:sz w:val="14"/>
        <w:szCs w:val="14"/>
        <w:rtl/>
      </w:rPr>
      <w:t>סוגיא דאבר היוצא (א')</w:t>
    </w:r>
    <w:r>
      <w:rPr>
        <w:rFonts w:cs="Guttman Hodes" w:hint="cs"/>
        <w:sz w:val="14"/>
        <w:szCs w:val="14"/>
        <w:rtl/>
      </w:rPr>
      <w:t xml:space="preserve"> - </w:t>
    </w:r>
    <w:r w:rsidRPr="00FB7CB5">
      <w:rPr>
        <w:rFonts w:cs="Guttman Hodes"/>
        <w:sz w:val="14"/>
        <w:szCs w:val="14"/>
        <w:rtl/>
      </w:rPr>
      <w:t>בהיתר חותך מעובר שבמעיה ובאיסור אבר היוצא ומקום חתך</w:t>
    </w:r>
  </w:p>
  <w:p w14:paraId="45DFC0A3" w14:textId="77777777" w:rsidR="00345400" w:rsidRDefault="00345400" w:rsidP="003D504D">
    <w:pPr>
      <w:pStyle w:val="a9"/>
      <w:ind w:left="0"/>
      <w:jc w:val="center"/>
      <w:rPr>
        <w:rFonts w:cs="Guttman Hodes"/>
        <w:sz w:val="14"/>
        <w:szCs w:val="14"/>
        <w:rtl/>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81DB4" w14:textId="77777777" w:rsidR="00345400" w:rsidRDefault="00345400" w:rsidP="00436F39">
    <w:pPr>
      <w:pStyle w:val="a9"/>
      <w:ind w:left="0"/>
      <w:jc w:val="right"/>
      <w:rPr>
        <w:rFonts w:cs="Guttman Hodes"/>
        <w:sz w:val="14"/>
        <w:szCs w:val="14"/>
      </w:rPr>
    </w:pPr>
    <w:r w:rsidRPr="00181149">
      <w:rPr>
        <w:rFonts w:cs="Guttman Hodes" w:hint="cs"/>
        <w:sz w:val="14"/>
        <w:szCs w:val="14"/>
        <w:rtl/>
      </w:rPr>
      <w:t>חולין דף י</w:t>
    </w:r>
    <w:r>
      <w:rPr>
        <w:rFonts w:cs="Guttman Hodes" w:hint="cs"/>
        <w:sz w:val="14"/>
        <w:szCs w:val="14"/>
        <w:rtl/>
      </w:rPr>
      <w:t>ט</w:t>
    </w:r>
    <w:r w:rsidRPr="00181149">
      <w:rPr>
        <w:rFonts w:cs="Guttman Hodes" w:hint="cs"/>
        <w:sz w:val="14"/>
        <w:szCs w:val="14"/>
        <w:rtl/>
      </w:rPr>
      <w:t xml:space="preserve"> ע"</w:t>
    </w:r>
    <w:r>
      <w:rPr>
        <w:rFonts w:cs="Guttman Hodes" w:hint="cs"/>
        <w:sz w:val="14"/>
        <w:szCs w:val="14"/>
        <w:rtl/>
      </w:rPr>
      <w:t xml:space="preserve">א </w:t>
    </w:r>
    <w:r>
      <w:rPr>
        <w:rFonts w:cs="Guttman Hodes"/>
        <w:sz w:val="14"/>
        <w:szCs w:val="14"/>
        <w:rtl/>
      </w:rPr>
      <w:t>–</w:t>
    </w:r>
    <w:r>
      <w:rPr>
        <w:rFonts w:cs="Guttman Hodes" w:hint="cs"/>
        <w:sz w:val="14"/>
        <w:szCs w:val="14"/>
        <w:rtl/>
      </w:rPr>
      <w:t xml:space="preserve"> ל ע"ב</w:t>
    </w:r>
  </w:p>
  <w:p w14:paraId="7F885C87" w14:textId="77777777" w:rsidR="00345400" w:rsidRDefault="00345400" w:rsidP="003B3C9F">
    <w:pPr>
      <w:pStyle w:val="a9"/>
      <w:ind w:left="0"/>
      <w:jc w:val="center"/>
      <w:rPr>
        <w:rFonts w:cs="Guttman Hodes"/>
        <w:b/>
        <w:bCs/>
        <w:sz w:val="28"/>
        <w:szCs w:val="28"/>
        <w:rtl/>
      </w:rPr>
    </w:pPr>
    <w:r>
      <w:rPr>
        <w:rFonts w:cs="Guttman Hodes" w:hint="cs"/>
        <w:b/>
        <w:bCs/>
        <w:sz w:val="28"/>
        <w:szCs w:val="28"/>
        <w:rtl/>
      </w:rPr>
      <w:t>מראי מקומות וביאורים</w:t>
    </w:r>
    <w:r>
      <w:rPr>
        <w:rFonts w:cs="Guttman Hodes" w:hint="cs"/>
        <w:b/>
        <w:bCs/>
        <w:color w:val="FFFFFF" w:themeColor="background1"/>
        <w:sz w:val="28"/>
        <w:szCs w:val="28"/>
        <w:rtl/>
      </w:rPr>
      <w:ptab w:relativeTo="indent" w:alignment="center" w:leader="middleDo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על הסוגיא ועל הרמב"ם</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057A8" w14:textId="77777777" w:rsidR="00345400" w:rsidRPr="003C298A" w:rsidRDefault="00345400" w:rsidP="003C298A">
    <w:pPr>
      <w:pStyle w:val="a9"/>
      <w:rPr>
        <w:rtl/>
      </w:rPr>
    </w:pPr>
    <w:r w:rsidRPr="003C298A">
      <w:rPr>
        <w:rtl/>
      </w:rPr>
      <w:t xml:space="preserve"> </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DF13B" w14:textId="77777777" w:rsidR="00345400" w:rsidRDefault="00345400" w:rsidP="003D504D">
    <w:pPr>
      <w:pStyle w:val="a9"/>
      <w:ind w:left="0"/>
      <w:jc w:val="right"/>
      <w:rPr>
        <w:rFonts w:cs="Guttman Hodes"/>
        <w:sz w:val="14"/>
        <w:szCs w:val="14"/>
      </w:rPr>
    </w:pPr>
    <w:r w:rsidRPr="00181149">
      <w:rPr>
        <w:rFonts w:cs="Guttman Hodes" w:hint="cs"/>
        <w:sz w:val="14"/>
        <w:szCs w:val="14"/>
        <w:rtl/>
      </w:rPr>
      <w:t xml:space="preserve">חולין דף </w:t>
    </w:r>
    <w:r>
      <w:rPr>
        <w:rFonts w:cs="Guttman Hodes" w:hint="cs"/>
        <w:sz w:val="14"/>
        <w:szCs w:val="14"/>
        <w:rtl/>
      </w:rPr>
      <w:t>סח.</w:t>
    </w:r>
  </w:p>
  <w:p w14:paraId="58AC4FA8" w14:textId="77777777" w:rsidR="00345400" w:rsidRDefault="00345400" w:rsidP="003B3C9F">
    <w:pPr>
      <w:pStyle w:val="a9"/>
      <w:ind w:left="0"/>
      <w:jc w:val="center"/>
      <w:rPr>
        <w:rFonts w:cs="Guttman Hodes"/>
        <w:b/>
        <w:bCs/>
        <w:sz w:val="28"/>
        <w:szCs w:val="28"/>
        <w:rtl/>
      </w:rPr>
    </w:pPr>
    <w:r>
      <w:rPr>
        <w:rFonts w:cs="Guttman Hodes" w:hint="cs"/>
        <w:b/>
        <w:bCs/>
        <w:sz w:val="28"/>
        <w:szCs w:val="28"/>
        <w:rtl/>
      </w:rPr>
      <w:t>מראי מקומות וביאורים</w:t>
    </w:r>
    <w:r>
      <w:rPr>
        <w:rFonts w:cs="Guttman Hodes" w:hint="cs"/>
        <w:b/>
        <w:bCs/>
        <w:color w:val="FFFFFF" w:themeColor="background1"/>
        <w:sz w:val="28"/>
        <w:szCs w:val="28"/>
        <w:rtl/>
      </w:rPr>
      <w:ptab w:relativeTo="indent" w:alignment="center" w:leader="middleDo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על הסוגיא ועל הרמב"ם</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DA61B" w14:textId="77777777" w:rsidR="00345400" w:rsidRPr="00181149" w:rsidRDefault="00345400" w:rsidP="003D504D">
    <w:pPr>
      <w:pStyle w:val="a9"/>
      <w:ind w:left="0"/>
      <w:jc w:val="right"/>
      <w:rPr>
        <w:rFonts w:cs="Guttman Hodes"/>
        <w:sz w:val="14"/>
        <w:szCs w:val="14"/>
        <w:rtl/>
      </w:rPr>
    </w:pPr>
    <w:r w:rsidRPr="00181149">
      <w:rPr>
        <w:rFonts w:cs="Guttman Hodes" w:hint="cs"/>
        <w:sz w:val="14"/>
        <w:szCs w:val="14"/>
        <w:rtl/>
      </w:rPr>
      <w:t>חולין דף</w:t>
    </w:r>
    <w:r>
      <w:rPr>
        <w:rFonts w:cs="Guttman Hodes" w:hint="cs"/>
        <w:sz w:val="14"/>
        <w:szCs w:val="14"/>
        <w:rtl/>
      </w:rPr>
      <w:t xml:space="preserve"> סח ע"א</w:t>
    </w:r>
    <w:r w:rsidRPr="00181149">
      <w:rPr>
        <w:rFonts w:cs="Guttman Hodes" w:hint="cs"/>
        <w:sz w:val="14"/>
        <w:szCs w:val="14"/>
        <w:rtl/>
      </w:rPr>
      <w:t xml:space="preserve"> </w:t>
    </w:r>
  </w:p>
  <w:p w14:paraId="746A20EA" w14:textId="77777777" w:rsidR="00345400" w:rsidRDefault="00345400" w:rsidP="003D504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267D994F" w14:textId="77777777" w:rsidR="00345400" w:rsidRDefault="00345400" w:rsidP="00472DB3">
    <w:pPr>
      <w:pStyle w:val="a9"/>
      <w:ind w:left="0"/>
      <w:jc w:val="center"/>
      <w:rPr>
        <w:rFonts w:cs="Guttman Hodes"/>
        <w:sz w:val="14"/>
        <w:szCs w:val="14"/>
        <w:rtl/>
      </w:rPr>
    </w:pPr>
    <w:r>
      <w:rPr>
        <w:rFonts w:cs="Guttman Hodes"/>
        <w:sz w:val="14"/>
        <w:szCs w:val="14"/>
        <w:rtl/>
      </w:rPr>
      <w:t>סימן</w:t>
    </w:r>
    <w:r>
      <w:rPr>
        <w:rFonts w:cs="Guttman Hodes" w:hint="cs"/>
        <w:sz w:val="14"/>
        <w:szCs w:val="14"/>
        <w:rtl/>
      </w:rPr>
      <w:t xml:space="preserve"> ט"ו </w:t>
    </w:r>
    <w:r w:rsidRPr="002B0D0B">
      <w:rPr>
        <w:rFonts w:cs="Guttman Hodes"/>
        <w:sz w:val="14"/>
        <w:szCs w:val="14"/>
        <w:rtl/>
      </w:rPr>
      <w:t>סוגיא דאבר היוצא (א')</w:t>
    </w:r>
    <w:r>
      <w:rPr>
        <w:rFonts w:cs="Guttman Hodes" w:hint="cs"/>
        <w:sz w:val="14"/>
        <w:szCs w:val="14"/>
        <w:rtl/>
      </w:rPr>
      <w:t xml:space="preserve"> - </w:t>
    </w:r>
    <w:r w:rsidRPr="00FB7CB5">
      <w:rPr>
        <w:rFonts w:cs="Guttman Hodes"/>
        <w:sz w:val="14"/>
        <w:szCs w:val="14"/>
        <w:rtl/>
      </w:rPr>
      <w:t>בהיתר חותך מעובר שבמעיה ובאיסור אבר היוצא ומקום חתך</w:t>
    </w:r>
  </w:p>
  <w:p w14:paraId="3B6F3F8B" w14:textId="77777777" w:rsidR="00345400" w:rsidRDefault="00345400" w:rsidP="003D504D">
    <w:pPr>
      <w:pStyle w:val="a9"/>
      <w:ind w:left="0"/>
      <w:jc w:val="center"/>
      <w:rPr>
        <w:rFonts w:cs="Guttman Hodes"/>
        <w:sz w:val="14"/>
        <w:szCs w:val="14"/>
        <w:rtl/>
      </w:rPr>
    </w:pPr>
    <w:r>
      <w:rPr>
        <w:rFonts w:cs="Guttman Hodes"/>
        <w:sz w:val="14"/>
        <w:szCs w:val="14"/>
        <w:rt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16342" w14:textId="77777777" w:rsidR="00345400" w:rsidRPr="00A96632" w:rsidRDefault="00345400" w:rsidP="00852065">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5C49C4B3" w14:textId="77777777" w:rsidR="00345400" w:rsidRDefault="00345400" w:rsidP="00852065">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150BEC42" w14:textId="77777777" w:rsidR="00345400" w:rsidRPr="00B6033E" w:rsidRDefault="00345400" w:rsidP="00852065">
    <w:pPr>
      <w:pStyle w:val="a9"/>
      <w:ind w:left="0"/>
      <w:jc w:val="center"/>
      <w:rPr>
        <w:rFonts w:cs="Guttman Hodes"/>
        <w:sz w:val="14"/>
        <w:szCs w:val="14"/>
        <w:rtl/>
      </w:rP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sidRPr="003F64F2">
      <w:rPr>
        <w:rFonts w:cs="Guttman Hodes" w:hint="cs"/>
        <w:sz w:val="14"/>
        <w:szCs w:val="14"/>
        <w:rtl/>
      </w:rPr>
      <w:t xml:space="preserve"> </w:t>
    </w:r>
    <w:r>
      <w:rPr>
        <w:rFonts w:cs="Guttman Hodes"/>
        <w:sz w:val="14"/>
        <w:szCs w:val="14"/>
        <w:rtl/>
      </w:rPr>
      <w:t>–</w:t>
    </w:r>
    <w:r w:rsidRPr="003F64F2">
      <w:rPr>
        <w:rFonts w:cs="Guttman Hodes" w:hint="cs"/>
        <w:sz w:val="14"/>
        <w:szCs w:val="14"/>
        <w:rtl/>
      </w:rPr>
      <w:t xml:space="preserve"> </w:t>
    </w:r>
    <w:r w:rsidRPr="00D87A29">
      <w:rPr>
        <w:rFonts w:cs="Guttman Hodes"/>
        <w:sz w:val="14"/>
        <w:szCs w:val="14"/>
        <w:rtl/>
      </w:rPr>
      <w:t>בענין בהמה בחייה בחזקת איסור עומדת</w:t>
    </w:r>
  </w:p>
  <w:p w14:paraId="057362AB" w14:textId="77777777" w:rsidR="00345400" w:rsidRPr="00B6033E" w:rsidRDefault="00345400" w:rsidP="00852065">
    <w:pPr>
      <w:pStyle w:val="a9"/>
      <w:ind w:left="0"/>
      <w:jc w:val="center"/>
      <w:rPr>
        <w:rFonts w:cs="Guttman Hodes"/>
        <w:sz w:val="14"/>
        <w:szCs w:val="14"/>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4CD8" w14:textId="77777777" w:rsidR="00345400" w:rsidRDefault="00345400" w:rsidP="003D504D">
    <w:pPr>
      <w:pStyle w:val="a9"/>
      <w:ind w:left="0"/>
      <w:jc w:val="right"/>
      <w:rPr>
        <w:rFonts w:cs="Guttman Hodes"/>
        <w:sz w:val="14"/>
        <w:szCs w:val="14"/>
      </w:rPr>
    </w:pPr>
    <w:r w:rsidRPr="00181149">
      <w:rPr>
        <w:rFonts w:cs="Guttman Hodes" w:hint="cs"/>
        <w:sz w:val="14"/>
        <w:szCs w:val="14"/>
        <w:rtl/>
      </w:rPr>
      <w:t xml:space="preserve">חולין דף </w:t>
    </w:r>
    <w:r>
      <w:rPr>
        <w:rFonts w:cs="Guttman Hodes" w:hint="cs"/>
        <w:sz w:val="14"/>
        <w:szCs w:val="14"/>
        <w:rtl/>
      </w:rPr>
      <w:t xml:space="preserve">סח. </w:t>
    </w:r>
    <w:r>
      <w:rPr>
        <w:rFonts w:cs="Guttman Hodes"/>
        <w:sz w:val="14"/>
        <w:szCs w:val="14"/>
        <w:rtl/>
      </w:rPr>
      <w:t>–</w:t>
    </w:r>
    <w:r>
      <w:rPr>
        <w:rFonts w:cs="Guttman Hodes" w:hint="cs"/>
        <w:sz w:val="14"/>
        <w:szCs w:val="14"/>
        <w:rtl/>
      </w:rPr>
      <w:t xml:space="preserve"> סח: - סט.</w:t>
    </w:r>
  </w:p>
  <w:p w14:paraId="4847C53F" w14:textId="77777777" w:rsidR="00345400" w:rsidRDefault="00345400" w:rsidP="003D504D">
    <w:pPr>
      <w:pStyle w:val="a9"/>
      <w:ind w:left="0"/>
      <w:jc w:val="center"/>
      <w:rPr>
        <w:rFonts w:cs="Guttman Hodes"/>
        <w:sz w:val="14"/>
        <w:szCs w:val="14"/>
        <w:rtl/>
      </w:rPr>
    </w:pPr>
    <w:r>
      <w:rPr>
        <w:rFonts w:cs="Guttman Hodes"/>
        <w:sz w:val="14"/>
        <w:szCs w:val="14"/>
        <w:rtl/>
      </w:rPr>
      <w:t>סימן</w:t>
    </w:r>
    <w:r>
      <w:rPr>
        <w:rFonts w:cs="Guttman Hodes" w:hint="cs"/>
        <w:sz w:val="14"/>
        <w:szCs w:val="14"/>
        <w:rtl/>
      </w:rPr>
      <w:t xml:space="preserve"> ב' </w:t>
    </w:r>
    <w:r w:rsidRPr="00DB53F0">
      <w:rPr>
        <w:rFonts w:cs="Guttman Hodes"/>
        <w:sz w:val="14"/>
        <w:szCs w:val="14"/>
        <w:rtl/>
      </w:rPr>
      <w:t>סוגיא דאבר היוצא (</w:t>
    </w:r>
    <w:r>
      <w:rPr>
        <w:rFonts w:cs="Guttman Hodes" w:hint="cs"/>
        <w:sz w:val="14"/>
        <w:szCs w:val="14"/>
        <w:rtl/>
      </w:rPr>
      <w:t>ב</w:t>
    </w:r>
    <w:r w:rsidRPr="00DB53F0">
      <w:rPr>
        <w:rFonts w:cs="Guttman Hodes"/>
        <w:sz w:val="14"/>
        <w:szCs w:val="14"/>
        <w:rtl/>
      </w:rPr>
      <w:t>')</w:t>
    </w:r>
    <w:r>
      <w:rPr>
        <w:rFonts w:cs="Guttman Hodes" w:hint="cs"/>
        <w:sz w:val="14"/>
        <w:szCs w:val="14"/>
        <w:rtl/>
      </w:rPr>
      <w:t xml:space="preserve"> </w:t>
    </w:r>
    <w:r w:rsidRPr="00776AA3">
      <w:rPr>
        <w:rFonts w:cs="Guttman Hodes"/>
        <w:sz w:val="14"/>
        <w:szCs w:val="14"/>
        <w:rtl/>
      </w:rPr>
      <w:t>ב</w:t>
    </w:r>
    <w:r>
      <w:rPr>
        <w:rFonts w:cs="Guttman Hodes" w:hint="cs"/>
        <w:sz w:val="14"/>
        <w:szCs w:val="14"/>
        <w:rtl/>
      </w:rPr>
      <w:t>ד</w:t>
    </w:r>
    <w:r w:rsidRPr="00776AA3">
      <w:rPr>
        <w:rFonts w:cs="Guttman Hodes"/>
        <w:sz w:val="14"/>
        <w:szCs w:val="14"/>
        <w:rtl/>
      </w:rPr>
      <w:t xml:space="preserve">ין </w:t>
    </w:r>
    <w:r>
      <w:rPr>
        <w:rFonts w:cs="Guttman Hodes" w:hint="cs"/>
        <w:sz w:val="14"/>
        <w:szCs w:val="14"/>
        <w:rtl/>
      </w:rPr>
      <w:t>לידה ב</w:t>
    </w:r>
    <w:r w:rsidRPr="00776AA3">
      <w:rPr>
        <w:rFonts w:cs="Guttman Hodes"/>
        <w:sz w:val="14"/>
        <w:szCs w:val="14"/>
        <w:rtl/>
      </w:rPr>
      <w:t>הוציא ראשו ובסוגיא דלידה דאברים</w:t>
    </w:r>
  </w:p>
  <w:p w14:paraId="0466E65F" w14:textId="77777777" w:rsidR="00345400" w:rsidRDefault="00345400" w:rsidP="003D504D">
    <w:pPr>
      <w:pStyle w:val="a9"/>
      <w:ind w:left="0"/>
      <w:jc w:val="center"/>
      <w:rPr>
        <w:rFonts w:cs="Guttman Hodes"/>
        <w:sz w:val="14"/>
        <w:szCs w:val="14"/>
        <w:rtl/>
      </w:rPr>
    </w:pPr>
    <w:r>
      <w:rPr>
        <w:rFonts w:cs="Guttman Hodes"/>
        <w:sz w:val="14"/>
        <w:szCs w:val="14"/>
        <w:rtl/>
      </w:rPr>
      <w:t xml:space="preserve"> </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FDDE5" w14:textId="77777777" w:rsidR="00345400" w:rsidRDefault="00345400" w:rsidP="00AA5AB1">
    <w:pPr>
      <w:pStyle w:val="a9"/>
      <w:ind w:left="0"/>
      <w:jc w:val="right"/>
      <w:rPr>
        <w:rFonts w:cs="Guttman Hodes"/>
        <w:sz w:val="14"/>
        <w:szCs w:val="14"/>
      </w:rPr>
    </w:pPr>
    <w:r>
      <w:rPr>
        <w:rFonts w:cs="Guttman Hodes" w:hint="cs"/>
        <w:sz w:val="14"/>
        <w:szCs w:val="14"/>
        <w:rtl/>
      </w:rPr>
      <w:t>חולין דף סח. – סח: - סט.</w:t>
    </w:r>
  </w:p>
  <w:p w14:paraId="23605EC1" w14:textId="77777777" w:rsidR="00345400" w:rsidRDefault="00345400" w:rsidP="003D504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431FCD4F" w14:textId="77777777" w:rsidR="00345400" w:rsidRDefault="00345400" w:rsidP="00AA5AB1">
    <w:pPr>
      <w:pStyle w:val="a9"/>
      <w:ind w:left="0"/>
      <w:jc w:val="center"/>
      <w:rPr>
        <w:rFonts w:cs="Guttman Hodes"/>
        <w:sz w:val="14"/>
        <w:szCs w:val="14"/>
      </w:rPr>
    </w:pPr>
    <w:r w:rsidRPr="00A0637E">
      <w:rPr>
        <w:rFonts w:cs="Guttman Hodes"/>
        <w:sz w:val="14"/>
        <w:szCs w:val="14"/>
        <w:rtl/>
      </w:rPr>
      <w:t xml:space="preserve">סימן </w:t>
    </w:r>
    <w:r>
      <w:rPr>
        <w:rFonts w:cs="Guttman Hodes" w:hint="cs"/>
        <w:sz w:val="14"/>
        <w:szCs w:val="14"/>
        <w:rtl/>
      </w:rPr>
      <w:t>ט"ז</w:t>
    </w:r>
    <w:r w:rsidRPr="00A0637E">
      <w:rPr>
        <w:rFonts w:cs="Guttman Hodes"/>
        <w:sz w:val="14"/>
        <w:szCs w:val="14"/>
        <w:rtl/>
      </w:rPr>
      <w:t xml:space="preserve"> </w:t>
    </w:r>
    <w:r>
      <w:rPr>
        <w:rFonts w:cs="Guttman Hodes" w:hint="cs"/>
        <w:sz w:val="14"/>
        <w:szCs w:val="14"/>
        <w:rtl/>
      </w:rPr>
      <w:t>סוגיא דאבר היוצא (ב') בדין לידה בהוציא ראשו ובסוגיא דלידה דאברים</w:t>
    </w:r>
  </w:p>
  <w:p w14:paraId="36141635" w14:textId="77777777" w:rsidR="00345400" w:rsidRDefault="00345400" w:rsidP="003D504D">
    <w:pPr>
      <w:pStyle w:val="a9"/>
      <w:ind w:left="0"/>
      <w:jc w:val="center"/>
      <w:rPr>
        <w:rFonts w:cs="Guttman Hodes"/>
        <w:sz w:val="14"/>
        <w:szCs w:val="14"/>
        <w:rtl/>
      </w:rPr>
    </w:pPr>
    <w:r>
      <w:rPr>
        <w:rFonts w:cs="Guttman Hodes"/>
        <w:sz w:val="14"/>
        <w:szCs w:val="14"/>
        <w:rtl/>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3546F" w14:textId="77777777" w:rsidR="00345400" w:rsidRDefault="00345400" w:rsidP="003D504D">
    <w:pPr>
      <w:pStyle w:val="a9"/>
      <w:ind w:left="0"/>
      <w:jc w:val="right"/>
      <w:rPr>
        <w:rFonts w:cs="Guttman Hodes"/>
        <w:sz w:val="14"/>
        <w:szCs w:val="14"/>
      </w:rPr>
    </w:pPr>
    <w:r w:rsidRPr="00181149">
      <w:rPr>
        <w:rFonts w:cs="Guttman Hodes" w:hint="cs"/>
        <w:sz w:val="14"/>
        <w:szCs w:val="14"/>
        <w:rtl/>
      </w:rPr>
      <w:t xml:space="preserve">חולין דף </w:t>
    </w:r>
    <w:r>
      <w:rPr>
        <w:rFonts w:cs="Guttman Hodes" w:hint="cs"/>
        <w:sz w:val="14"/>
        <w:szCs w:val="14"/>
        <w:rtl/>
      </w:rPr>
      <w:t xml:space="preserve">סח. </w:t>
    </w:r>
    <w:r>
      <w:rPr>
        <w:rFonts w:cs="Guttman Hodes"/>
        <w:sz w:val="14"/>
        <w:szCs w:val="14"/>
        <w:rtl/>
      </w:rPr>
      <w:t>–</w:t>
    </w:r>
    <w:r>
      <w:rPr>
        <w:rFonts w:cs="Guttman Hodes" w:hint="cs"/>
        <w:sz w:val="14"/>
        <w:szCs w:val="14"/>
        <w:rtl/>
      </w:rPr>
      <w:t xml:space="preserve"> סח: - סט.</w:t>
    </w:r>
  </w:p>
  <w:p w14:paraId="06DB06FC" w14:textId="77777777" w:rsidR="00345400" w:rsidRDefault="00345400" w:rsidP="003D504D">
    <w:pPr>
      <w:pStyle w:val="a9"/>
      <w:ind w:left="0"/>
      <w:jc w:val="center"/>
      <w:rPr>
        <w:rFonts w:cs="Guttman Hodes"/>
        <w:b/>
        <w:bCs/>
        <w:sz w:val="28"/>
        <w:szCs w:val="28"/>
        <w:rtl/>
      </w:rPr>
    </w:pPr>
    <w:r>
      <w:rPr>
        <w:rFonts w:cs="Guttman Hodes" w:hint="cs"/>
        <w:b/>
        <w:bCs/>
        <w:sz w:val="28"/>
        <w:szCs w:val="28"/>
        <w:rtl/>
      </w:rPr>
      <w:t>מראי מקומות וביאורים</w:t>
    </w:r>
    <w:r>
      <w:rPr>
        <w:rFonts w:cs="Guttman Hodes" w:hint="cs"/>
        <w:b/>
        <w:bCs/>
        <w:color w:val="FFFFFF" w:themeColor="background1"/>
        <w:sz w:val="28"/>
        <w:szCs w:val="28"/>
        <w:rtl/>
      </w:rPr>
      <w:ptab w:relativeTo="indent" w:alignment="center" w:leader="middleDo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על הסוגיא ועל הרמב"ם</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A7A68" w14:textId="77777777" w:rsidR="00345400" w:rsidRPr="00181149" w:rsidRDefault="00345400" w:rsidP="003D504D">
    <w:pPr>
      <w:pStyle w:val="a9"/>
      <w:ind w:left="0"/>
      <w:jc w:val="right"/>
      <w:rPr>
        <w:rFonts w:cs="Guttman Hodes"/>
        <w:sz w:val="14"/>
        <w:szCs w:val="14"/>
        <w:rtl/>
      </w:rPr>
    </w:pPr>
    <w:r w:rsidRPr="00181149">
      <w:rPr>
        <w:rFonts w:cs="Guttman Hodes" w:hint="cs"/>
        <w:sz w:val="14"/>
        <w:szCs w:val="14"/>
        <w:rtl/>
      </w:rPr>
      <w:t>חולין דף</w:t>
    </w:r>
    <w:r>
      <w:rPr>
        <w:rFonts w:cs="Guttman Hodes" w:hint="cs"/>
        <w:sz w:val="14"/>
        <w:szCs w:val="14"/>
        <w:rtl/>
      </w:rPr>
      <w:t xml:space="preserve"> סט ע"א</w:t>
    </w:r>
  </w:p>
  <w:p w14:paraId="7C869EDA" w14:textId="77777777" w:rsidR="00345400" w:rsidRDefault="00345400" w:rsidP="003D504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5388FE71" w14:textId="77777777" w:rsidR="00345400" w:rsidRDefault="00345400" w:rsidP="0060097B">
    <w:pPr>
      <w:pStyle w:val="a9"/>
      <w:ind w:left="0"/>
      <w:jc w:val="center"/>
      <w:rPr>
        <w:rFonts w:cs="Guttman Hodes"/>
        <w:sz w:val="14"/>
        <w:szCs w:val="14"/>
        <w:rtl/>
      </w:rPr>
    </w:pPr>
    <w:r w:rsidRPr="00A0637E">
      <w:rPr>
        <w:rFonts w:cs="Guttman Hodes"/>
        <w:sz w:val="14"/>
        <w:szCs w:val="14"/>
        <w:rtl/>
      </w:rPr>
      <w:t xml:space="preserve">סימן </w:t>
    </w:r>
    <w:r>
      <w:rPr>
        <w:rFonts w:cs="Guttman Hodes" w:hint="cs"/>
        <w:sz w:val="14"/>
        <w:szCs w:val="14"/>
        <w:rtl/>
      </w:rPr>
      <w:t>י"ז</w:t>
    </w:r>
    <w:r w:rsidRPr="00A0637E">
      <w:rPr>
        <w:rFonts w:cs="Guttman Hodes"/>
        <w:sz w:val="14"/>
        <w:szCs w:val="14"/>
        <w:rtl/>
      </w:rPr>
      <w:t xml:space="preserve"> </w:t>
    </w:r>
    <w:r w:rsidRPr="007A1D01">
      <w:rPr>
        <w:rFonts w:cs="Guttman Hodes"/>
        <w:sz w:val="14"/>
        <w:szCs w:val="14"/>
        <w:rtl/>
      </w:rPr>
      <w:t>סוגיא דאבר היוצא (</w:t>
    </w:r>
    <w:r>
      <w:rPr>
        <w:rFonts w:cs="Guttman Hodes" w:hint="cs"/>
        <w:sz w:val="14"/>
        <w:szCs w:val="14"/>
        <w:rtl/>
      </w:rPr>
      <w:t>ג</w:t>
    </w:r>
    <w:r w:rsidRPr="007A1D01">
      <w:rPr>
        <w:rFonts w:cs="Guttman Hodes"/>
        <w:sz w:val="14"/>
        <w:szCs w:val="14"/>
        <w:rtl/>
      </w:rPr>
      <w:t>')</w:t>
    </w:r>
    <w:r>
      <w:rPr>
        <w:rFonts w:cs="Guttman Hodes" w:hint="cs"/>
        <w:sz w:val="14"/>
        <w:szCs w:val="14"/>
        <w:rtl/>
      </w:rPr>
      <w:t xml:space="preserve"> - </w:t>
    </w:r>
    <w:r w:rsidRPr="00DA2558">
      <w:rPr>
        <w:rFonts w:cs="Guttman Hodes"/>
        <w:sz w:val="14"/>
        <w:szCs w:val="14"/>
        <w:rtl/>
      </w:rPr>
      <w:t xml:space="preserve">בדין בן פקועה הבא על בהמה מעלמא </w:t>
    </w:r>
    <w:r w:rsidRPr="00073048">
      <w:rPr>
        <w:rFonts w:cs="Guttman Hodes"/>
        <w:sz w:val="14"/>
        <w:szCs w:val="14"/>
        <w:rtl/>
      </w:rPr>
      <w:t>ובדין חלב הבא מכח אבר היוצא</w:t>
    </w:r>
  </w:p>
  <w:p w14:paraId="49960898" w14:textId="77777777" w:rsidR="00345400" w:rsidRDefault="00345400" w:rsidP="003D504D">
    <w:pPr>
      <w:pStyle w:val="a9"/>
      <w:ind w:left="0"/>
      <w:jc w:val="center"/>
      <w:rPr>
        <w:rFonts w:cs="Guttman Hodes"/>
        <w:sz w:val="14"/>
        <w:szCs w:val="14"/>
        <w:rtl/>
      </w:rPr>
    </w:pPr>
    <w:r>
      <w:rPr>
        <w:rFonts w:cs="Guttman Hodes"/>
        <w:sz w:val="14"/>
        <w:szCs w:val="14"/>
        <w:rtl/>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8AF89" w14:textId="77777777" w:rsidR="00345400" w:rsidRPr="000A5C93" w:rsidRDefault="00345400" w:rsidP="000A5C93">
    <w:pPr>
      <w:pStyle w:val="a9"/>
      <w:rPr>
        <w:rtl/>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FAAC" w14:textId="77777777" w:rsidR="00345400" w:rsidRDefault="00345400" w:rsidP="003D504D">
    <w:pPr>
      <w:pStyle w:val="a9"/>
      <w:ind w:left="0"/>
      <w:jc w:val="right"/>
      <w:rPr>
        <w:rFonts w:cs="Guttman Hodes"/>
        <w:sz w:val="14"/>
        <w:szCs w:val="14"/>
      </w:rPr>
    </w:pPr>
    <w:r w:rsidRPr="00181149">
      <w:rPr>
        <w:rFonts w:cs="Guttman Hodes" w:hint="cs"/>
        <w:sz w:val="14"/>
        <w:szCs w:val="14"/>
        <w:rtl/>
      </w:rPr>
      <w:t>חולין דף</w:t>
    </w:r>
    <w:r>
      <w:rPr>
        <w:rFonts w:cs="Guttman Hodes" w:hint="cs"/>
        <w:sz w:val="14"/>
        <w:szCs w:val="14"/>
        <w:rtl/>
      </w:rPr>
      <w:t xml:space="preserve"> סט.</w:t>
    </w:r>
    <w:r w:rsidRPr="00181149">
      <w:rPr>
        <w:rFonts w:cs="Guttman Hodes" w:hint="cs"/>
        <w:sz w:val="14"/>
        <w:szCs w:val="14"/>
        <w:rtl/>
      </w:rPr>
      <w:t xml:space="preserve"> </w:t>
    </w:r>
  </w:p>
  <w:p w14:paraId="722E4BF5" w14:textId="77777777" w:rsidR="00345400" w:rsidRDefault="00345400" w:rsidP="003D504D">
    <w:pPr>
      <w:pStyle w:val="a9"/>
      <w:ind w:left="0"/>
      <w:jc w:val="center"/>
      <w:rPr>
        <w:rFonts w:cs="Guttman Hodes"/>
        <w:b/>
        <w:bCs/>
        <w:sz w:val="28"/>
        <w:szCs w:val="28"/>
        <w:rtl/>
      </w:rPr>
    </w:pPr>
    <w:r>
      <w:rPr>
        <w:rFonts w:cs="Guttman Hodes" w:hint="cs"/>
        <w:b/>
        <w:bCs/>
        <w:sz w:val="28"/>
        <w:szCs w:val="28"/>
        <w:rtl/>
      </w:rPr>
      <w:t>מראי מקומות וביאורים</w:t>
    </w:r>
    <w:r>
      <w:rPr>
        <w:rFonts w:cs="Guttman Hodes" w:hint="cs"/>
        <w:b/>
        <w:bCs/>
        <w:color w:val="FFFFFF" w:themeColor="background1"/>
        <w:sz w:val="28"/>
        <w:szCs w:val="28"/>
        <w:rtl/>
      </w:rPr>
      <w:ptab w:relativeTo="indent" w:alignment="center" w:leader="middleDo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על הסוגיא ועל הרמב"ם</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3FA0C" w14:textId="77777777" w:rsidR="00345400" w:rsidRPr="00181149" w:rsidRDefault="00345400" w:rsidP="003D504D">
    <w:pPr>
      <w:pStyle w:val="a9"/>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סט ע"א</w:t>
    </w:r>
  </w:p>
  <w:p w14:paraId="7F6C5235" w14:textId="77777777" w:rsidR="00345400" w:rsidRDefault="00345400" w:rsidP="003D504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799AAFC4" w14:textId="77777777" w:rsidR="00345400" w:rsidRDefault="00345400" w:rsidP="0030259F">
    <w:pPr>
      <w:pStyle w:val="a9"/>
      <w:ind w:left="0"/>
      <w:jc w:val="center"/>
      <w:rPr>
        <w:rFonts w:cs="Guttman Hodes"/>
        <w:sz w:val="14"/>
        <w:szCs w:val="14"/>
        <w:rtl/>
      </w:rPr>
    </w:pPr>
    <w:r w:rsidRPr="00E23578">
      <w:rPr>
        <w:rFonts w:cs="Guttman Hodes"/>
        <w:sz w:val="14"/>
        <w:szCs w:val="14"/>
        <w:rtl/>
      </w:rPr>
      <w:t xml:space="preserve">סימן </w:t>
    </w:r>
    <w:r>
      <w:rPr>
        <w:rFonts w:cs="Guttman Hodes" w:hint="cs"/>
        <w:sz w:val="14"/>
        <w:szCs w:val="14"/>
        <w:rtl/>
      </w:rPr>
      <w:t>י"ח</w:t>
    </w:r>
    <w:r w:rsidRPr="00E23578">
      <w:rPr>
        <w:rFonts w:cs="Guttman Hodes"/>
        <w:sz w:val="14"/>
        <w:szCs w:val="14"/>
        <w:rtl/>
      </w:rPr>
      <w:t xml:space="preserve"> סוגיא דאבר היוצא (ד') </w:t>
    </w:r>
    <w:r w:rsidRPr="00A158A8">
      <w:rPr>
        <w:rFonts w:cs="Guttman Hodes"/>
        <w:sz w:val="14"/>
        <w:szCs w:val="14"/>
        <w:rtl/>
      </w:rPr>
      <w:t xml:space="preserve">בביאור הספק בבא על בן פקועה דכוותיה </w:t>
    </w:r>
    <w:r w:rsidRPr="00E23578">
      <w:rPr>
        <w:rFonts w:cs="Guttman Hodes"/>
        <w:sz w:val="14"/>
        <w:szCs w:val="14"/>
        <w:rtl/>
      </w:rPr>
      <w:t xml:space="preserve">ובגדר זה וזה גורם </w:t>
    </w:r>
    <w:r w:rsidRPr="00E33CB5">
      <w:rPr>
        <w:rFonts w:cs="Guttman Hodes"/>
        <w:sz w:val="14"/>
        <w:szCs w:val="14"/>
        <w:rtl/>
      </w:rPr>
      <w:t>וחוששין לזרע האב</w:t>
    </w:r>
  </w:p>
  <w:p w14:paraId="3E55DD6D" w14:textId="77777777" w:rsidR="00345400" w:rsidRDefault="00345400" w:rsidP="003D504D">
    <w:pPr>
      <w:pStyle w:val="a9"/>
      <w:ind w:left="0"/>
      <w:jc w:val="center"/>
      <w:rPr>
        <w:rFonts w:cs="Guttman Hodes"/>
        <w:sz w:val="14"/>
        <w:szCs w:val="14"/>
        <w:rtl/>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364C4" w14:textId="77777777" w:rsidR="00345400" w:rsidRPr="00181149" w:rsidRDefault="00345400" w:rsidP="003D504D">
    <w:pPr>
      <w:pStyle w:val="a9"/>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עד ע"א</w:t>
    </w:r>
  </w:p>
  <w:p w14:paraId="066D70CC" w14:textId="77777777" w:rsidR="00345400" w:rsidRDefault="00345400" w:rsidP="003D504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2F8D016D" w14:textId="77777777" w:rsidR="00345400" w:rsidRPr="00130630" w:rsidRDefault="00345400" w:rsidP="00DC2A42">
    <w:pPr>
      <w:pStyle w:val="a9"/>
      <w:ind w:left="0"/>
      <w:jc w:val="center"/>
      <w:rPr>
        <w:rFonts w:cs="Guttman Hodes"/>
        <w:sz w:val="14"/>
        <w:szCs w:val="14"/>
        <w:rtl/>
      </w:rPr>
    </w:pPr>
    <w:r w:rsidRPr="00E65C78">
      <w:rPr>
        <w:rFonts w:cs="Guttman Hodes"/>
        <w:sz w:val="14"/>
        <w:szCs w:val="14"/>
        <w:rtl/>
      </w:rPr>
      <w:t xml:space="preserve">סימן </w:t>
    </w:r>
    <w:r>
      <w:rPr>
        <w:rFonts w:cs="Guttman Hodes" w:hint="cs"/>
        <w:sz w:val="14"/>
        <w:szCs w:val="14"/>
        <w:rtl/>
      </w:rPr>
      <w:t>י"ט</w:t>
    </w:r>
    <w:r w:rsidRPr="00E65C78">
      <w:rPr>
        <w:rFonts w:cs="Guttman Hodes"/>
        <w:sz w:val="14"/>
        <w:szCs w:val="14"/>
        <w:rtl/>
      </w:rPr>
      <w:t xml:space="preserve"> </w:t>
    </w:r>
    <w:r w:rsidRPr="00130630">
      <w:rPr>
        <w:rFonts w:cs="Guttman Hodes"/>
        <w:sz w:val="14"/>
        <w:szCs w:val="14"/>
        <w:rtl/>
      </w:rPr>
      <w:t xml:space="preserve">בספיקא דרב </w:t>
    </w:r>
    <w:r>
      <w:rPr>
        <w:rFonts w:cs="Guttman Hodes"/>
        <w:sz w:val="14"/>
        <w:szCs w:val="14"/>
        <w:rtl/>
      </w:rPr>
      <w:t>הושעיא</w:t>
    </w:r>
    <w:r w:rsidRPr="00130630">
      <w:rPr>
        <w:rFonts w:cs="Guttman Hodes"/>
        <w:sz w:val="14"/>
        <w:szCs w:val="14"/>
        <w:rtl/>
      </w:rPr>
      <w:t xml:space="preserve"> בשחט עובר במעי אמו</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0785E" w14:textId="77777777" w:rsidR="00345400" w:rsidRDefault="00345400" w:rsidP="003D504D">
    <w:pPr>
      <w:pStyle w:val="a9"/>
      <w:ind w:left="0"/>
      <w:jc w:val="right"/>
      <w:rPr>
        <w:rFonts w:cs="Guttman Hodes"/>
        <w:sz w:val="14"/>
        <w:szCs w:val="14"/>
      </w:rPr>
    </w:pPr>
    <w:r w:rsidRPr="00181149">
      <w:rPr>
        <w:rFonts w:cs="Guttman Hodes" w:hint="cs"/>
        <w:sz w:val="14"/>
        <w:szCs w:val="14"/>
        <w:rtl/>
      </w:rPr>
      <w:t xml:space="preserve">חולין דף </w:t>
    </w:r>
    <w:r>
      <w:rPr>
        <w:rFonts w:cs="Guttman Hodes" w:hint="cs"/>
        <w:sz w:val="14"/>
        <w:szCs w:val="14"/>
        <w:rtl/>
      </w:rPr>
      <w:t>עד.</w:t>
    </w:r>
  </w:p>
  <w:p w14:paraId="5F86B791" w14:textId="77777777" w:rsidR="00345400" w:rsidRDefault="00345400" w:rsidP="003B3C9F">
    <w:pPr>
      <w:pStyle w:val="a9"/>
      <w:ind w:left="0"/>
      <w:jc w:val="center"/>
      <w:rPr>
        <w:rFonts w:cs="Guttman Hodes"/>
        <w:b/>
        <w:bCs/>
        <w:sz w:val="28"/>
        <w:szCs w:val="28"/>
        <w:rtl/>
      </w:rPr>
    </w:pPr>
    <w:r>
      <w:rPr>
        <w:rFonts w:cs="Guttman Hodes" w:hint="cs"/>
        <w:b/>
        <w:bCs/>
        <w:sz w:val="28"/>
        <w:szCs w:val="28"/>
        <w:rtl/>
      </w:rPr>
      <w:t>מראי מקומות וביאורים</w:t>
    </w:r>
    <w:r>
      <w:rPr>
        <w:rFonts w:cs="Guttman Hodes" w:hint="cs"/>
        <w:b/>
        <w:bCs/>
        <w:color w:val="FFFFFF" w:themeColor="background1"/>
        <w:sz w:val="28"/>
        <w:szCs w:val="28"/>
        <w:rtl/>
      </w:rPr>
      <w:ptab w:relativeTo="indent" w:alignment="center" w:leader="middleDo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על הסוגיא ועל הרמב"ם</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54A8E" w14:textId="77777777" w:rsidR="00345400" w:rsidRPr="00181149" w:rsidRDefault="00345400" w:rsidP="003D504D">
    <w:pPr>
      <w:pStyle w:val="a9"/>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עד ע"א</w:t>
    </w:r>
  </w:p>
  <w:p w14:paraId="6E2A07EB" w14:textId="77777777" w:rsidR="00345400" w:rsidRDefault="00345400" w:rsidP="003D504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5D7EB682" w14:textId="77777777" w:rsidR="00345400" w:rsidRDefault="00345400" w:rsidP="003D504D">
    <w:pPr>
      <w:pStyle w:val="a9"/>
      <w:ind w:left="0"/>
      <w:jc w:val="center"/>
      <w:rPr>
        <w:rFonts w:cs="Guttman Hodes"/>
        <w:sz w:val="14"/>
        <w:szCs w:val="14"/>
        <w:rtl/>
      </w:rPr>
    </w:pPr>
    <w:r w:rsidRPr="00E65C78">
      <w:rPr>
        <w:rFonts w:cs="Guttman Hodes"/>
        <w:sz w:val="14"/>
        <w:szCs w:val="14"/>
        <w:rtl/>
      </w:rPr>
      <w:t xml:space="preserve">סימן ה' </w:t>
    </w:r>
    <w:r w:rsidRPr="00130630">
      <w:rPr>
        <w:rFonts w:cs="Guttman Hodes"/>
        <w:sz w:val="14"/>
        <w:szCs w:val="14"/>
        <w:rtl/>
      </w:rPr>
      <w:t xml:space="preserve">בספיקא דרב </w:t>
    </w:r>
    <w:r>
      <w:rPr>
        <w:rFonts w:cs="Guttman Hodes"/>
        <w:sz w:val="14"/>
        <w:szCs w:val="14"/>
        <w:rtl/>
      </w:rPr>
      <w:t>הושעיא</w:t>
    </w:r>
    <w:r w:rsidRPr="00130630">
      <w:rPr>
        <w:rFonts w:cs="Guttman Hodes"/>
        <w:sz w:val="14"/>
        <w:szCs w:val="14"/>
        <w:rtl/>
      </w:rPr>
      <w:t xml:space="preserve"> בשחט עובר במעי אמו</w:t>
    </w:r>
  </w:p>
  <w:p w14:paraId="612C880B" w14:textId="77777777" w:rsidR="00345400" w:rsidRPr="00130630" w:rsidRDefault="00345400" w:rsidP="003D504D">
    <w:pPr>
      <w:pStyle w:val="a9"/>
      <w:ind w:left="0"/>
      <w:jc w:val="center"/>
      <w:rPr>
        <w:rFonts w:cs="Guttman Hodes"/>
        <w:sz w:val="14"/>
        <w:szCs w:val="14"/>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E44F" w14:textId="77777777" w:rsidR="00345400" w:rsidRPr="00D006F7" w:rsidRDefault="00345400" w:rsidP="00D006F7">
    <w:pPr>
      <w:pStyle w:val="a9"/>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F4028" w14:textId="77777777" w:rsidR="00345400" w:rsidRDefault="00345400" w:rsidP="003D504D">
    <w:pPr>
      <w:pStyle w:val="a9"/>
      <w:ind w:left="0"/>
      <w:jc w:val="right"/>
      <w:rPr>
        <w:rFonts w:cs="Guttman Hodes"/>
        <w:sz w:val="14"/>
        <w:szCs w:val="14"/>
      </w:rPr>
    </w:pPr>
    <w:r w:rsidRPr="00181149">
      <w:rPr>
        <w:rFonts w:cs="Guttman Hodes" w:hint="cs"/>
        <w:sz w:val="14"/>
        <w:szCs w:val="14"/>
        <w:rtl/>
      </w:rPr>
      <w:t xml:space="preserve">חולין דף </w:t>
    </w:r>
    <w:r>
      <w:rPr>
        <w:rFonts w:cs="Guttman Hodes" w:hint="cs"/>
        <w:sz w:val="14"/>
        <w:szCs w:val="14"/>
        <w:rtl/>
      </w:rPr>
      <w:t>עד.</w:t>
    </w:r>
  </w:p>
  <w:p w14:paraId="64BCFF44" w14:textId="77777777" w:rsidR="00345400" w:rsidRDefault="00345400" w:rsidP="003B3C9F">
    <w:pPr>
      <w:pStyle w:val="a9"/>
      <w:ind w:left="0"/>
      <w:jc w:val="center"/>
      <w:rPr>
        <w:rFonts w:cs="Guttman Hodes"/>
        <w:b/>
        <w:bCs/>
        <w:sz w:val="28"/>
        <w:szCs w:val="28"/>
        <w:rtl/>
      </w:rPr>
    </w:pPr>
    <w:r>
      <w:rPr>
        <w:rFonts w:cs="Guttman Hodes" w:hint="cs"/>
        <w:b/>
        <w:bCs/>
        <w:sz w:val="28"/>
        <w:szCs w:val="28"/>
        <w:rtl/>
      </w:rPr>
      <w:t>מראי מקומות וביאורים</w:t>
    </w:r>
    <w:r>
      <w:rPr>
        <w:rFonts w:cs="Guttman Hodes" w:hint="cs"/>
        <w:b/>
        <w:bCs/>
        <w:color w:val="FFFFFF" w:themeColor="background1"/>
        <w:sz w:val="28"/>
        <w:szCs w:val="28"/>
        <w:rtl/>
      </w:rPr>
      <w:ptab w:relativeTo="indent" w:alignment="center" w:leader="middleDo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על הסוגיא ועל הרמב"ם</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5351C" w14:textId="77777777" w:rsidR="00345400" w:rsidRPr="00181149" w:rsidRDefault="00345400" w:rsidP="00745A5C">
    <w:pPr>
      <w:pStyle w:val="a9"/>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עד ע"א</w:t>
    </w:r>
  </w:p>
  <w:p w14:paraId="6E0349B6" w14:textId="77777777" w:rsidR="00345400" w:rsidRDefault="00345400" w:rsidP="00745A5C">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0F2FC375" w14:textId="77777777" w:rsidR="00345400" w:rsidRDefault="00345400" w:rsidP="00745A5C">
    <w:pPr>
      <w:pStyle w:val="a9"/>
      <w:ind w:left="0"/>
      <w:jc w:val="center"/>
      <w:rPr>
        <w:rFonts w:cs="Guttman Hodes"/>
        <w:sz w:val="14"/>
        <w:szCs w:val="14"/>
        <w:rtl/>
      </w:rPr>
    </w:pPr>
    <w:r w:rsidRPr="00E65C78">
      <w:rPr>
        <w:rFonts w:cs="Guttman Hodes"/>
        <w:sz w:val="14"/>
        <w:szCs w:val="14"/>
        <w:rtl/>
      </w:rPr>
      <w:t xml:space="preserve">סימן </w:t>
    </w:r>
    <w:r>
      <w:rPr>
        <w:rFonts w:cs="Guttman Hodes" w:hint="cs"/>
        <w:sz w:val="14"/>
        <w:szCs w:val="14"/>
        <w:rtl/>
      </w:rPr>
      <w:t>י"ט</w:t>
    </w:r>
    <w:r w:rsidRPr="00E65C78">
      <w:rPr>
        <w:rFonts w:cs="Guttman Hodes"/>
        <w:sz w:val="14"/>
        <w:szCs w:val="14"/>
        <w:rtl/>
      </w:rPr>
      <w:t xml:space="preserve"> </w:t>
    </w:r>
    <w:r w:rsidRPr="00130630">
      <w:rPr>
        <w:rFonts w:cs="Guttman Hodes"/>
        <w:sz w:val="14"/>
        <w:szCs w:val="14"/>
        <w:rtl/>
      </w:rPr>
      <w:t xml:space="preserve">בספיקא דרב </w:t>
    </w:r>
    <w:r>
      <w:rPr>
        <w:rFonts w:cs="Guttman Hodes"/>
        <w:sz w:val="14"/>
        <w:szCs w:val="14"/>
        <w:rtl/>
      </w:rPr>
      <w:t>הושעיא</w:t>
    </w:r>
    <w:r w:rsidRPr="00130630">
      <w:rPr>
        <w:rFonts w:cs="Guttman Hodes"/>
        <w:sz w:val="14"/>
        <w:szCs w:val="14"/>
        <w:rtl/>
      </w:rPr>
      <w:t xml:space="preserve"> בשחט עובר במעי אמו</w:t>
    </w:r>
  </w:p>
  <w:p w14:paraId="366A0831" w14:textId="77777777" w:rsidR="00345400" w:rsidRPr="00130630" w:rsidRDefault="00345400" w:rsidP="00745A5C">
    <w:pPr>
      <w:pStyle w:val="a9"/>
      <w:ind w:left="0"/>
      <w:jc w:val="center"/>
      <w:rPr>
        <w:rFonts w:cs="Guttman Hodes"/>
        <w:sz w:val="14"/>
        <w:szCs w:val="14"/>
        <w:rtl/>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7A57A" w14:textId="77777777" w:rsidR="00345400" w:rsidRPr="00181149" w:rsidRDefault="00345400" w:rsidP="003D504D">
    <w:pPr>
      <w:pStyle w:val="a9"/>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עד ע"א</w:t>
    </w:r>
  </w:p>
  <w:p w14:paraId="0B9438DA" w14:textId="77777777" w:rsidR="00345400" w:rsidRDefault="00345400" w:rsidP="003D504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5055BC84" w14:textId="77777777" w:rsidR="00345400" w:rsidRDefault="00345400" w:rsidP="00BF0B39">
    <w:pPr>
      <w:pStyle w:val="a9"/>
      <w:ind w:left="0"/>
      <w:jc w:val="center"/>
      <w:rPr>
        <w:rFonts w:cs="Guttman Hodes"/>
        <w:sz w:val="14"/>
        <w:szCs w:val="14"/>
        <w:rtl/>
      </w:rPr>
    </w:pPr>
    <w:r w:rsidRPr="00E65C78">
      <w:rPr>
        <w:rFonts w:cs="Guttman Hodes"/>
        <w:sz w:val="14"/>
        <w:szCs w:val="14"/>
        <w:rtl/>
      </w:rPr>
      <w:t xml:space="preserve">סימן </w:t>
    </w:r>
    <w:r>
      <w:rPr>
        <w:rFonts w:cs="Guttman Hodes" w:hint="cs"/>
        <w:sz w:val="14"/>
        <w:szCs w:val="14"/>
        <w:rtl/>
      </w:rPr>
      <w:t>כ</w:t>
    </w:r>
    <w:r w:rsidRPr="00E65C78">
      <w:rPr>
        <w:rFonts w:cs="Guttman Hodes"/>
        <w:sz w:val="14"/>
        <w:szCs w:val="14"/>
        <w:rtl/>
      </w:rPr>
      <w:t xml:space="preserve">' </w:t>
    </w:r>
    <w:r w:rsidRPr="00B7607B">
      <w:rPr>
        <w:rFonts w:cs="Guttman Hodes"/>
        <w:sz w:val="14"/>
        <w:szCs w:val="14"/>
        <w:rtl/>
      </w:rPr>
      <w:t>בהיתר בן ח' ובן ט' מת לכו"ע ובפלוגתת ר"מ ורבנן בבן ט' חי</w:t>
    </w:r>
  </w:p>
  <w:p w14:paraId="042DEC13" w14:textId="77777777" w:rsidR="00345400" w:rsidRDefault="00345400" w:rsidP="003D504D">
    <w:pPr>
      <w:pStyle w:val="a9"/>
      <w:ind w:left="0"/>
      <w:jc w:val="center"/>
      <w:rPr>
        <w:rFonts w:cs="Guttman Hodes"/>
        <w:sz w:val="14"/>
        <w:szCs w:val="14"/>
        <w:rtl/>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49CC6" w14:textId="77777777" w:rsidR="00345400" w:rsidRDefault="00345400" w:rsidP="003D504D">
    <w:pPr>
      <w:pStyle w:val="a9"/>
      <w:ind w:left="0"/>
      <w:jc w:val="right"/>
      <w:rPr>
        <w:rFonts w:cs="Guttman Hodes"/>
        <w:sz w:val="14"/>
        <w:szCs w:val="14"/>
      </w:rPr>
    </w:pPr>
    <w:r w:rsidRPr="00181149">
      <w:rPr>
        <w:rFonts w:cs="Guttman Hodes" w:hint="cs"/>
        <w:sz w:val="14"/>
        <w:szCs w:val="14"/>
        <w:rtl/>
      </w:rPr>
      <w:t xml:space="preserve">חולין דף </w:t>
    </w:r>
  </w:p>
  <w:p w14:paraId="034F440E" w14:textId="77777777" w:rsidR="00345400" w:rsidRDefault="00345400" w:rsidP="003B3C9F">
    <w:pPr>
      <w:pStyle w:val="a9"/>
      <w:ind w:left="0"/>
      <w:jc w:val="center"/>
      <w:rPr>
        <w:rFonts w:cs="Guttman Hodes"/>
        <w:b/>
        <w:bCs/>
        <w:sz w:val="28"/>
        <w:szCs w:val="28"/>
        <w:rtl/>
      </w:rPr>
    </w:pPr>
    <w:r>
      <w:rPr>
        <w:rFonts w:cs="Guttman Hodes" w:hint="cs"/>
        <w:b/>
        <w:bCs/>
        <w:sz w:val="28"/>
        <w:szCs w:val="28"/>
        <w:rtl/>
      </w:rPr>
      <w:t>מראי מקומות וביאורים</w:t>
    </w:r>
    <w:r>
      <w:rPr>
        <w:rFonts w:cs="Guttman Hodes" w:hint="cs"/>
        <w:b/>
        <w:bCs/>
        <w:color w:val="FFFFFF" w:themeColor="background1"/>
        <w:sz w:val="28"/>
        <w:szCs w:val="28"/>
        <w:rtl/>
      </w:rPr>
      <w:ptab w:relativeTo="indent" w:alignment="center" w:leader="middleDo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על הסוגיא ועל הרמב"ם</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4D5C" w14:textId="77777777" w:rsidR="00345400" w:rsidRDefault="00345400" w:rsidP="003D504D">
    <w:pPr>
      <w:pStyle w:val="a9"/>
      <w:ind w:left="0"/>
      <w:jc w:val="right"/>
      <w:rPr>
        <w:rFonts w:cs="Guttman Hodes"/>
        <w:sz w:val="14"/>
        <w:szCs w:val="14"/>
      </w:rPr>
    </w:pPr>
    <w:r w:rsidRPr="00181149">
      <w:rPr>
        <w:rFonts w:cs="Guttman Hodes" w:hint="cs"/>
        <w:sz w:val="14"/>
        <w:szCs w:val="14"/>
        <w:rtl/>
      </w:rPr>
      <w:t>חולין דף</w:t>
    </w:r>
    <w:r>
      <w:rPr>
        <w:rFonts w:cs="Guttman Hodes" w:hint="cs"/>
        <w:sz w:val="14"/>
        <w:szCs w:val="14"/>
        <w:rtl/>
      </w:rPr>
      <w:t xml:space="preserve"> עד ע"ב </w:t>
    </w:r>
    <w:r>
      <w:rPr>
        <w:rFonts w:cs="Guttman Hodes"/>
        <w:sz w:val="14"/>
        <w:szCs w:val="14"/>
        <w:rtl/>
      </w:rPr>
      <w:t>–</w:t>
    </w:r>
    <w:r>
      <w:rPr>
        <w:rFonts w:cs="Guttman Hodes" w:hint="cs"/>
        <w:sz w:val="14"/>
        <w:szCs w:val="14"/>
        <w:rtl/>
      </w:rPr>
      <w:t xml:space="preserve"> עה ע"א</w:t>
    </w:r>
  </w:p>
  <w:p w14:paraId="3B098B54" w14:textId="77777777" w:rsidR="00345400" w:rsidRDefault="00345400" w:rsidP="003D504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7832E53C" w14:textId="77777777" w:rsidR="00345400" w:rsidRDefault="00345400" w:rsidP="00313A86">
    <w:pPr>
      <w:pStyle w:val="a9"/>
      <w:ind w:left="0"/>
      <w:jc w:val="center"/>
      <w:rPr>
        <w:rFonts w:cs="Guttman Hodes"/>
        <w:sz w:val="14"/>
        <w:szCs w:val="14"/>
        <w:rtl/>
      </w:rPr>
    </w:pPr>
    <w:r>
      <w:rPr>
        <w:rFonts w:cs="Guttman Hodes"/>
        <w:sz w:val="14"/>
        <w:szCs w:val="14"/>
        <w:rtl/>
      </w:rPr>
      <w:t xml:space="preserve">סימן </w:t>
    </w:r>
    <w:r>
      <w:rPr>
        <w:rFonts w:cs="Guttman Hodes" w:hint="cs"/>
        <w:sz w:val="14"/>
        <w:szCs w:val="14"/>
        <w:rtl/>
      </w:rPr>
      <w:t>כ"א</w:t>
    </w:r>
    <w:r w:rsidRPr="006574B9">
      <w:rPr>
        <w:rFonts w:cs="Guttman Hodes"/>
        <w:sz w:val="14"/>
        <w:szCs w:val="14"/>
        <w:rtl/>
      </w:rPr>
      <w:t xml:space="preserve"> </w:t>
    </w:r>
    <w:r w:rsidRPr="007D0319">
      <w:rPr>
        <w:rFonts w:cs="Guttman Hodes"/>
        <w:sz w:val="14"/>
        <w:szCs w:val="14"/>
        <w:rtl/>
      </w:rPr>
      <w:t>בדברי רב הושעיא דר"מ ור"י הלכו לשיטתם ובפלוגתת ריו"ח ור"ל בחלב</w:t>
    </w:r>
  </w:p>
  <w:p w14:paraId="53913930" w14:textId="77777777" w:rsidR="00345400" w:rsidRDefault="00345400" w:rsidP="003D504D">
    <w:pPr>
      <w:pStyle w:val="a9"/>
      <w:ind w:left="0"/>
      <w:jc w:val="center"/>
      <w:rPr>
        <w:rFonts w:cs="Guttman Hodes"/>
        <w:sz w:val="14"/>
        <w:szCs w:val="14"/>
        <w:rtl/>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094E0" w14:textId="77777777" w:rsidR="00345400" w:rsidRDefault="00345400" w:rsidP="003D504D">
    <w:pPr>
      <w:pStyle w:val="a9"/>
      <w:ind w:left="0"/>
      <w:jc w:val="right"/>
      <w:rPr>
        <w:rFonts w:cs="Guttman Hodes"/>
        <w:sz w:val="14"/>
        <w:szCs w:val="14"/>
      </w:rPr>
    </w:pPr>
    <w:r w:rsidRPr="00181149">
      <w:rPr>
        <w:rFonts w:cs="Guttman Hodes" w:hint="cs"/>
        <w:sz w:val="14"/>
        <w:szCs w:val="14"/>
        <w:rtl/>
      </w:rPr>
      <w:t>חולין דף</w:t>
    </w:r>
    <w:r>
      <w:rPr>
        <w:rFonts w:cs="Guttman Hodes" w:hint="cs"/>
        <w:sz w:val="14"/>
        <w:szCs w:val="14"/>
        <w:rtl/>
      </w:rPr>
      <w:t xml:space="preserve"> עד: עה.</w:t>
    </w:r>
    <w:r w:rsidRPr="00181149">
      <w:rPr>
        <w:rFonts w:cs="Guttman Hodes" w:hint="cs"/>
        <w:sz w:val="14"/>
        <w:szCs w:val="14"/>
        <w:rtl/>
      </w:rPr>
      <w:t xml:space="preserve"> </w:t>
    </w:r>
  </w:p>
  <w:p w14:paraId="508C2C11" w14:textId="77777777" w:rsidR="00345400" w:rsidRDefault="00345400" w:rsidP="003B3C9F">
    <w:pPr>
      <w:pStyle w:val="a9"/>
      <w:ind w:left="0"/>
      <w:jc w:val="center"/>
      <w:rPr>
        <w:rFonts w:cs="Guttman Hodes"/>
        <w:b/>
        <w:bCs/>
        <w:sz w:val="28"/>
        <w:szCs w:val="28"/>
        <w:rtl/>
      </w:rPr>
    </w:pPr>
    <w:r>
      <w:rPr>
        <w:rFonts w:cs="Guttman Hodes" w:hint="cs"/>
        <w:b/>
        <w:bCs/>
        <w:sz w:val="28"/>
        <w:szCs w:val="28"/>
        <w:rtl/>
      </w:rPr>
      <w:t>מראי מקומות וביאורים</w:t>
    </w:r>
    <w:r>
      <w:rPr>
        <w:rFonts w:cs="Guttman Hodes" w:hint="cs"/>
        <w:b/>
        <w:bCs/>
        <w:color w:val="FFFFFF" w:themeColor="background1"/>
        <w:sz w:val="28"/>
        <w:szCs w:val="28"/>
        <w:rtl/>
      </w:rPr>
      <w:ptab w:relativeTo="indent" w:alignment="center" w:leader="middleDo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על הסוגיא ועל הרמב"ם</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14DB" w14:textId="77777777" w:rsidR="00345400" w:rsidRPr="00181149" w:rsidRDefault="00345400" w:rsidP="003D504D">
    <w:pPr>
      <w:pStyle w:val="a9"/>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 xml:space="preserve">עד ע"ב </w:t>
    </w:r>
    <w:r>
      <w:rPr>
        <w:rFonts w:cs="Guttman Hodes"/>
        <w:sz w:val="14"/>
        <w:szCs w:val="14"/>
        <w:rtl/>
      </w:rPr>
      <w:t>–</w:t>
    </w:r>
    <w:r>
      <w:rPr>
        <w:rFonts w:cs="Guttman Hodes" w:hint="cs"/>
        <w:sz w:val="14"/>
        <w:szCs w:val="14"/>
        <w:rtl/>
      </w:rPr>
      <w:t xml:space="preserve"> עה ע"א</w:t>
    </w:r>
  </w:p>
  <w:p w14:paraId="1A0BCE22" w14:textId="77777777" w:rsidR="00345400" w:rsidRDefault="00345400" w:rsidP="003D504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51EFA725" w14:textId="77777777" w:rsidR="00345400" w:rsidRDefault="00345400" w:rsidP="003D504D">
    <w:pPr>
      <w:pStyle w:val="a9"/>
      <w:ind w:left="0"/>
      <w:jc w:val="center"/>
      <w:rPr>
        <w:rFonts w:cs="Guttman Hodes"/>
        <w:sz w:val="14"/>
        <w:szCs w:val="14"/>
        <w:rtl/>
      </w:rPr>
    </w:pPr>
    <w:r>
      <w:rPr>
        <w:rFonts w:cs="Guttman Hodes"/>
        <w:sz w:val="14"/>
        <w:szCs w:val="14"/>
        <w:rtl/>
      </w:rPr>
      <w:t xml:space="preserve">סימן </w:t>
    </w:r>
    <w:r>
      <w:rPr>
        <w:rFonts w:cs="Guttman Hodes" w:hint="cs"/>
        <w:sz w:val="14"/>
        <w:szCs w:val="14"/>
        <w:rtl/>
      </w:rPr>
      <w:t xml:space="preserve">כ"ב </w:t>
    </w:r>
    <w:r w:rsidRPr="00BF2F8C">
      <w:rPr>
        <w:rFonts w:cs="Guttman Hodes"/>
        <w:sz w:val="14"/>
        <w:szCs w:val="14"/>
        <w:rtl/>
      </w:rPr>
      <w:t>בשיטת הרמב"ם בפלוגתת ר"מ ור"י וריו"ח ור"ל בחלב וגיד ובגדר היתר בן פקועה</w:t>
    </w:r>
  </w:p>
  <w:p w14:paraId="71EC2A81" w14:textId="77777777" w:rsidR="00345400" w:rsidRDefault="00345400" w:rsidP="003D504D">
    <w:pPr>
      <w:pStyle w:val="a9"/>
      <w:ind w:left="0"/>
      <w:jc w:val="center"/>
      <w:rPr>
        <w:rFonts w:cs="Guttman Hodes"/>
        <w:sz w:val="14"/>
        <w:szCs w:val="14"/>
        <w:rtl/>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F4323" w14:textId="77777777" w:rsidR="00345400" w:rsidRDefault="00345400" w:rsidP="003D504D">
    <w:pPr>
      <w:pStyle w:val="a9"/>
      <w:ind w:left="0"/>
      <w:jc w:val="right"/>
      <w:rPr>
        <w:rFonts w:cs="Guttman Hodes"/>
        <w:sz w:val="14"/>
        <w:szCs w:val="14"/>
      </w:rPr>
    </w:pPr>
    <w:r w:rsidRPr="00181149">
      <w:rPr>
        <w:rFonts w:cs="Guttman Hodes" w:hint="cs"/>
        <w:sz w:val="14"/>
        <w:szCs w:val="14"/>
        <w:rtl/>
      </w:rPr>
      <w:t xml:space="preserve">חולין דף </w:t>
    </w:r>
  </w:p>
  <w:p w14:paraId="4A2F73F9" w14:textId="77777777" w:rsidR="00345400" w:rsidRDefault="00345400" w:rsidP="003B3C9F">
    <w:pPr>
      <w:pStyle w:val="a9"/>
      <w:ind w:left="0"/>
      <w:jc w:val="center"/>
      <w:rPr>
        <w:rFonts w:cs="Guttman Hodes"/>
        <w:b/>
        <w:bCs/>
        <w:sz w:val="28"/>
        <w:szCs w:val="28"/>
        <w:rtl/>
      </w:rPr>
    </w:pPr>
    <w:r>
      <w:rPr>
        <w:rFonts w:cs="Guttman Hodes" w:hint="cs"/>
        <w:b/>
        <w:bCs/>
        <w:sz w:val="28"/>
        <w:szCs w:val="28"/>
        <w:rtl/>
      </w:rPr>
      <w:t>מראי מקומות וביאורים</w:t>
    </w:r>
    <w:r>
      <w:rPr>
        <w:rFonts w:cs="Guttman Hodes" w:hint="cs"/>
        <w:b/>
        <w:bCs/>
        <w:color w:val="FFFFFF" w:themeColor="background1"/>
        <w:sz w:val="28"/>
        <w:szCs w:val="28"/>
        <w:rtl/>
      </w:rPr>
      <w:ptab w:relativeTo="indent" w:alignment="center" w:leader="middleDo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על הסוגיא ועל הרמב"ם</w: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7EEF1" w14:textId="77777777" w:rsidR="00345400" w:rsidRPr="00181149" w:rsidRDefault="00345400" w:rsidP="003D504D">
    <w:pPr>
      <w:pStyle w:val="a9"/>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עד ע"ב</w:t>
    </w:r>
  </w:p>
  <w:p w14:paraId="6FA69639" w14:textId="77777777" w:rsidR="00345400" w:rsidRDefault="00345400" w:rsidP="003D504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64DE0084" w14:textId="77777777" w:rsidR="00345400" w:rsidRDefault="00345400" w:rsidP="00FD0A61">
    <w:pPr>
      <w:pStyle w:val="a9"/>
      <w:ind w:left="0"/>
      <w:jc w:val="center"/>
      <w:rPr>
        <w:rFonts w:cs="Guttman Hodes"/>
        <w:sz w:val="14"/>
        <w:szCs w:val="14"/>
        <w:rtl/>
      </w:rPr>
    </w:pPr>
    <w:r w:rsidRPr="002B42DD">
      <w:rPr>
        <w:rFonts w:cs="Guttman Hodes"/>
        <w:sz w:val="14"/>
        <w:szCs w:val="14"/>
        <w:rtl/>
      </w:rPr>
      <w:t xml:space="preserve">סימן </w:t>
    </w:r>
    <w:r>
      <w:rPr>
        <w:rFonts w:cs="Guttman Hodes" w:hint="cs"/>
        <w:sz w:val="14"/>
        <w:szCs w:val="14"/>
        <w:rtl/>
      </w:rPr>
      <w:t xml:space="preserve">כ"ג </w:t>
    </w:r>
    <w:r w:rsidRPr="002B42DD">
      <w:rPr>
        <w:rFonts w:cs="Guttman Hodes"/>
        <w:sz w:val="14"/>
        <w:szCs w:val="14"/>
        <w:rtl/>
      </w:rPr>
      <w:t>בפלוגתת ריו"ח ור"ל בדם הנפש בשליל</w:t>
    </w:r>
  </w:p>
  <w:p w14:paraId="33C6B2E0" w14:textId="77777777" w:rsidR="00345400" w:rsidRDefault="00345400" w:rsidP="003D504D">
    <w:pPr>
      <w:pStyle w:val="a9"/>
      <w:ind w:left="0"/>
      <w:jc w:val="center"/>
      <w:rPr>
        <w:rFonts w:cs="Guttman Hodes"/>
        <w:sz w:val="14"/>
        <w:szCs w:val="14"/>
        <w:rtl/>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7C356" w14:textId="77777777" w:rsidR="00345400" w:rsidRDefault="00345400" w:rsidP="003D504D">
    <w:pPr>
      <w:pStyle w:val="a9"/>
      <w:ind w:left="0"/>
      <w:jc w:val="right"/>
      <w:rPr>
        <w:rFonts w:cs="Guttman Hodes"/>
        <w:sz w:val="14"/>
        <w:szCs w:val="14"/>
      </w:rPr>
    </w:pPr>
    <w:r w:rsidRPr="00181149">
      <w:rPr>
        <w:rFonts w:cs="Guttman Hodes" w:hint="cs"/>
        <w:sz w:val="14"/>
        <w:szCs w:val="14"/>
        <w:rtl/>
      </w:rPr>
      <w:t xml:space="preserve">חולין דף </w:t>
    </w:r>
  </w:p>
  <w:p w14:paraId="55BD6ACB" w14:textId="77777777" w:rsidR="00345400" w:rsidRDefault="00345400" w:rsidP="003B3C9F">
    <w:pPr>
      <w:pStyle w:val="a9"/>
      <w:ind w:left="0"/>
      <w:jc w:val="center"/>
      <w:rPr>
        <w:rFonts w:cs="Guttman Hodes"/>
        <w:b/>
        <w:bCs/>
        <w:sz w:val="28"/>
        <w:szCs w:val="28"/>
        <w:rtl/>
      </w:rPr>
    </w:pPr>
    <w:r>
      <w:rPr>
        <w:rFonts w:cs="Guttman Hodes" w:hint="cs"/>
        <w:b/>
        <w:bCs/>
        <w:sz w:val="28"/>
        <w:szCs w:val="28"/>
        <w:rtl/>
      </w:rPr>
      <w:t>מראי מקומות וביאורים</w:t>
    </w:r>
    <w:r>
      <w:rPr>
        <w:rFonts w:cs="Guttman Hodes" w:hint="cs"/>
        <w:b/>
        <w:bCs/>
        <w:color w:val="FFFFFF" w:themeColor="background1"/>
        <w:sz w:val="28"/>
        <w:szCs w:val="28"/>
        <w:rtl/>
      </w:rPr>
      <w:ptab w:relativeTo="indent" w:alignment="center" w:leader="middleDo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על הסוגיא ועל הרמב"ם</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CCDEE" w14:textId="77777777" w:rsidR="00345400" w:rsidRPr="00A96632" w:rsidRDefault="00345400" w:rsidP="00852065">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3694F150" w14:textId="77777777" w:rsidR="00345400" w:rsidRDefault="00345400" w:rsidP="00852065">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0AFA5957" w14:textId="77777777" w:rsidR="00345400" w:rsidRPr="00A96632" w:rsidRDefault="00345400" w:rsidP="00852065">
    <w:pPr>
      <w:pStyle w:val="a9"/>
      <w:ind w:left="0"/>
      <w:jc w:val="center"/>
      <w:rPr>
        <w:rFonts w:cs="Guttman Hodes"/>
        <w:sz w:val="14"/>
        <w:szCs w:val="14"/>
        <w:rtl/>
      </w:rPr>
    </w:pPr>
    <w:r w:rsidRPr="003F64F2">
      <w:rPr>
        <w:rFonts w:cs="Guttman Hodes"/>
        <w:sz w:val="14"/>
        <w:szCs w:val="14"/>
        <w:rtl/>
      </w:rPr>
      <w:t xml:space="preserve">סימן </w:t>
    </w:r>
    <w:r>
      <w:rPr>
        <w:rFonts w:cs="Guttman Hodes" w:hint="cs"/>
        <w:sz w:val="14"/>
        <w:szCs w:val="14"/>
        <w:rtl/>
      </w:rPr>
      <w:t>ב</w:t>
    </w:r>
    <w:r w:rsidRPr="003F64F2">
      <w:rPr>
        <w:rFonts w:cs="Guttman Hodes"/>
        <w:sz w:val="14"/>
        <w:szCs w:val="14"/>
        <w:rtl/>
      </w:rPr>
      <w:t>'</w:t>
    </w:r>
    <w:r w:rsidRPr="003F64F2">
      <w:rPr>
        <w:rFonts w:cs="Guttman Hodes" w:hint="cs"/>
        <w:sz w:val="14"/>
        <w:szCs w:val="14"/>
        <w:rtl/>
      </w:rPr>
      <w:t xml:space="preserve"> - </w:t>
    </w:r>
    <w:r w:rsidRPr="003F64F2">
      <w:rPr>
        <w:rFonts w:cs="Guttman Hodes"/>
        <w:sz w:val="14"/>
        <w:szCs w:val="14"/>
        <w:rtl/>
      </w:rPr>
      <w:t>בענין מחזיקין מאיסור לאיסור</w:t>
    </w:r>
  </w:p>
  <w:p w14:paraId="414218D3" w14:textId="77777777" w:rsidR="00345400" w:rsidRPr="00021A42" w:rsidRDefault="00345400" w:rsidP="00852065">
    <w:pPr>
      <w:pStyle w:val="a9"/>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E00FB" w14:textId="77777777" w:rsidR="00345400" w:rsidRPr="00181149" w:rsidRDefault="00345400" w:rsidP="003D504D">
    <w:pPr>
      <w:pStyle w:val="a9"/>
      <w:ind w:left="0"/>
      <w:jc w:val="right"/>
      <w:rPr>
        <w:rFonts w:cs="Guttman Hodes"/>
        <w:sz w:val="14"/>
        <w:szCs w:val="14"/>
        <w:rtl/>
      </w:rPr>
    </w:pPr>
    <w:r w:rsidRPr="00181149">
      <w:rPr>
        <w:rFonts w:cs="Guttman Hodes" w:hint="cs"/>
        <w:sz w:val="14"/>
        <w:szCs w:val="14"/>
        <w:rtl/>
      </w:rPr>
      <w:t xml:space="preserve">חולין דף </w:t>
    </w:r>
    <w:r>
      <w:rPr>
        <w:rFonts w:cs="Guttman Hodes" w:hint="cs"/>
        <w:sz w:val="14"/>
        <w:szCs w:val="14"/>
        <w:rtl/>
      </w:rPr>
      <w:t xml:space="preserve">עה ע"א </w:t>
    </w:r>
    <w:r>
      <w:rPr>
        <w:rFonts w:cs="Guttman Hodes"/>
        <w:sz w:val="14"/>
        <w:szCs w:val="14"/>
        <w:rtl/>
      </w:rPr>
      <w:t>–</w:t>
    </w:r>
    <w:r>
      <w:rPr>
        <w:rFonts w:cs="Guttman Hodes" w:hint="cs"/>
        <w:sz w:val="14"/>
        <w:szCs w:val="14"/>
        <w:rtl/>
      </w:rPr>
      <w:t xml:space="preserve"> ע"ב</w:t>
    </w:r>
  </w:p>
  <w:p w14:paraId="0AE86412" w14:textId="77777777" w:rsidR="00345400" w:rsidRDefault="00345400" w:rsidP="003D504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1053B393" w14:textId="77777777" w:rsidR="00345400" w:rsidRDefault="00345400" w:rsidP="005077A7">
    <w:pPr>
      <w:pStyle w:val="a9"/>
      <w:ind w:left="0"/>
      <w:jc w:val="center"/>
      <w:rPr>
        <w:rFonts w:cs="Guttman Hodes"/>
        <w:sz w:val="14"/>
        <w:szCs w:val="14"/>
        <w:rtl/>
      </w:rPr>
    </w:pPr>
    <w:r w:rsidRPr="009B4210">
      <w:rPr>
        <w:rFonts w:cs="Guttman Hodes"/>
        <w:sz w:val="14"/>
        <w:szCs w:val="14"/>
        <w:rtl/>
      </w:rPr>
      <w:t xml:space="preserve">סימן </w:t>
    </w:r>
    <w:r>
      <w:rPr>
        <w:rFonts w:cs="Guttman Hodes" w:hint="cs"/>
        <w:sz w:val="14"/>
        <w:szCs w:val="14"/>
        <w:rtl/>
      </w:rPr>
      <w:t>כ"ד</w:t>
    </w:r>
    <w:r w:rsidRPr="009B4210">
      <w:rPr>
        <w:rFonts w:cs="Guttman Hodes"/>
        <w:sz w:val="14"/>
        <w:szCs w:val="14"/>
        <w:rtl/>
      </w:rPr>
      <w:t xml:space="preserve"> בענין בן פקועה הנמצא במעי טריפה</w:t>
    </w:r>
  </w:p>
  <w:p w14:paraId="761CC83E" w14:textId="77777777" w:rsidR="00345400" w:rsidRDefault="00345400" w:rsidP="003D504D">
    <w:pPr>
      <w:pStyle w:val="a9"/>
      <w:ind w:left="0"/>
      <w:jc w:val="center"/>
      <w:rPr>
        <w:rFonts w:cs="Guttman Hodes"/>
        <w:sz w:val="14"/>
        <w:szCs w:val="14"/>
        <w:rtl/>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E0ACC" w14:textId="77777777" w:rsidR="00345400" w:rsidRDefault="00345400" w:rsidP="003D504D">
    <w:pPr>
      <w:pStyle w:val="a9"/>
      <w:ind w:left="0"/>
      <w:jc w:val="right"/>
      <w:rPr>
        <w:rFonts w:cs="Guttman Hodes"/>
        <w:sz w:val="14"/>
        <w:szCs w:val="14"/>
      </w:rPr>
    </w:pPr>
    <w:r w:rsidRPr="00181149">
      <w:rPr>
        <w:rFonts w:cs="Guttman Hodes" w:hint="cs"/>
        <w:sz w:val="14"/>
        <w:szCs w:val="14"/>
        <w:rtl/>
      </w:rPr>
      <w:t xml:space="preserve">חולין דף </w:t>
    </w:r>
  </w:p>
  <w:p w14:paraId="4990F54C" w14:textId="77777777" w:rsidR="00345400" w:rsidRDefault="00345400" w:rsidP="003B3C9F">
    <w:pPr>
      <w:pStyle w:val="a9"/>
      <w:ind w:left="0"/>
      <w:jc w:val="center"/>
      <w:rPr>
        <w:rFonts w:cs="Guttman Hodes"/>
        <w:b/>
        <w:bCs/>
        <w:sz w:val="28"/>
        <w:szCs w:val="28"/>
        <w:rtl/>
      </w:rPr>
    </w:pPr>
    <w:r>
      <w:rPr>
        <w:rFonts w:cs="Guttman Hodes" w:hint="cs"/>
        <w:b/>
        <w:bCs/>
        <w:sz w:val="28"/>
        <w:szCs w:val="28"/>
        <w:rtl/>
      </w:rPr>
      <w:t>מראי מקומות וביאורים</w:t>
    </w:r>
    <w:r>
      <w:rPr>
        <w:rFonts w:cs="Guttman Hodes" w:hint="cs"/>
        <w:b/>
        <w:bCs/>
        <w:color w:val="FFFFFF" w:themeColor="background1"/>
        <w:sz w:val="28"/>
        <w:szCs w:val="28"/>
        <w:rtl/>
      </w:rPr>
      <w:ptab w:relativeTo="indent" w:alignment="center" w:leader="middleDo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על הסוגיא ועל הרמב"ם</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7A406" w14:textId="77777777" w:rsidR="00345400" w:rsidRPr="00A96632" w:rsidRDefault="00345400" w:rsidP="00852065">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202C6A33" w14:textId="77777777" w:rsidR="00345400" w:rsidRDefault="00345400" w:rsidP="00852065">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62F2EF35" w14:textId="77777777" w:rsidR="00345400" w:rsidRPr="00A96632" w:rsidRDefault="00345400" w:rsidP="00852065">
    <w:pPr>
      <w:pStyle w:val="a9"/>
      <w:ind w:left="0"/>
      <w:jc w:val="center"/>
      <w:rPr>
        <w:rFonts w:cs="Guttman Hodes"/>
        <w:sz w:val="14"/>
        <w:szCs w:val="14"/>
        <w:rtl/>
      </w:rPr>
    </w:pPr>
    <w:r w:rsidRPr="003F64F2">
      <w:rPr>
        <w:rFonts w:cs="Guttman Hodes"/>
        <w:sz w:val="14"/>
        <w:szCs w:val="14"/>
        <w:rtl/>
      </w:rPr>
      <w:t xml:space="preserve">סימן </w:t>
    </w:r>
    <w:r>
      <w:rPr>
        <w:rFonts w:cs="Guttman Hodes" w:hint="cs"/>
        <w:sz w:val="14"/>
        <w:szCs w:val="14"/>
        <w:rtl/>
      </w:rPr>
      <w:t>ב</w:t>
    </w:r>
    <w:r w:rsidRPr="003F64F2">
      <w:rPr>
        <w:rFonts w:cs="Guttman Hodes"/>
        <w:sz w:val="14"/>
        <w:szCs w:val="14"/>
        <w:rtl/>
      </w:rPr>
      <w:t>'</w:t>
    </w:r>
    <w:r w:rsidRPr="003F64F2">
      <w:rPr>
        <w:rFonts w:cs="Guttman Hodes" w:hint="cs"/>
        <w:sz w:val="14"/>
        <w:szCs w:val="14"/>
        <w:rtl/>
      </w:rPr>
      <w:t xml:space="preserve"> - </w:t>
    </w:r>
    <w:r w:rsidRPr="003F64F2">
      <w:rPr>
        <w:rFonts w:cs="Guttman Hodes"/>
        <w:sz w:val="14"/>
        <w:szCs w:val="14"/>
        <w:rtl/>
      </w:rPr>
      <w:t>בענין מחזיקין מאיסור לאיסור</w:t>
    </w:r>
  </w:p>
  <w:p w14:paraId="1CCFA570" w14:textId="77777777" w:rsidR="00345400" w:rsidRPr="00021A42" w:rsidRDefault="00345400" w:rsidP="00852065">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C5B56"/>
    <w:multiLevelType w:val="hybridMultilevel"/>
    <w:tmpl w:val="2EA4BEDA"/>
    <w:lvl w:ilvl="0" w:tplc="482E58B2">
      <w:start w:val="1"/>
      <w:numFmt w:val="hebrew1"/>
      <w:pStyle w:val="a"/>
      <w:suff w:val="space"/>
      <w:lvlText w:val="%1)"/>
      <w:lvlJc w:val="left"/>
      <w:pPr>
        <w:ind w:left="567" w:hanging="567"/>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8E6754"/>
    <w:multiLevelType w:val="hybridMultilevel"/>
    <w:tmpl w:val="268AC448"/>
    <w:lvl w:ilvl="0" w:tplc="B84A9F3A">
      <w:start w:val="1"/>
      <w:numFmt w:val="hebrew1"/>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5763DF"/>
    <w:multiLevelType w:val="hybridMultilevel"/>
    <w:tmpl w:val="2EBA14EA"/>
    <w:lvl w:ilvl="0" w:tplc="9CEC703E">
      <w:start w:val="1"/>
      <w:numFmt w:val="hebrew1"/>
      <w:pStyle w:val="a0"/>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 w15:restartNumberingAfterBreak="0">
    <w:nsid w:val="5F4F2948"/>
    <w:multiLevelType w:val="hybridMultilevel"/>
    <w:tmpl w:val="BDC48624"/>
    <w:lvl w:ilvl="0" w:tplc="79C4BC42">
      <w:start w:val="1"/>
      <w:numFmt w:val="hebrew1"/>
      <w:pStyle w:val="a1"/>
      <w:suff w:val="space"/>
      <w:lvlText w:val="%1)"/>
      <w:lvlJc w:val="left"/>
      <w:pPr>
        <w:ind w:left="0" w:firstLine="0"/>
      </w:pPr>
      <w:rPr>
        <w:rFonts w:cs="Guttman Hodes"/>
        <w:b w:val="0"/>
        <w:bCs w:val="0"/>
        <w:sz w:val="16"/>
        <w:szCs w:val="18"/>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lvlOverride w:ilvl="0">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0"/>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 w:numId="31">
    <w:abstractNumId w:val="0"/>
    <w:lvlOverride w:ilvl="0">
      <w:startOverride w:val="1"/>
    </w:lvlOverride>
  </w:num>
  <w:num w:numId="32">
    <w:abstractNumId w:val="0"/>
    <w:lvlOverride w:ilvl="0">
      <w:startOverride w:val="1"/>
    </w:lvlOverride>
  </w:num>
  <w:num w:numId="33">
    <w:abstractNumId w:val="2"/>
    <w:lvlOverride w:ilvl="0">
      <w:startOverride w:val="1"/>
    </w:lvlOverride>
  </w:num>
  <w:num w:numId="34">
    <w:abstractNumId w:val="0"/>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0"/>
    <w:lvlOverride w:ilvl="0">
      <w:startOverride w:val="1"/>
    </w:lvlOverride>
  </w:num>
  <w:num w:numId="40">
    <w:abstractNumId w:val="0"/>
    <w:lvlOverride w:ilvl="0">
      <w:startOverride w:val="1"/>
    </w:lvlOverride>
  </w:num>
  <w:num w:numId="41">
    <w:abstractNumId w:val="0"/>
    <w:lvlOverride w:ilvl="0">
      <w:startOverride w:val="1"/>
    </w:lvlOverride>
  </w:num>
  <w:num w:numId="42">
    <w:abstractNumId w:val="2"/>
    <w:lvlOverride w:ilvl="0">
      <w:startOverride w:val="1"/>
    </w:lvlOverride>
  </w:num>
  <w:num w:numId="43">
    <w:abstractNumId w:val="0"/>
    <w:lvlOverride w:ilvl="0">
      <w:startOverride w:val="1"/>
    </w:lvlOverride>
  </w:num>
  <w:num w:numId="44">
    <w:abstractNumId w:val="2"/>
    <w:lvlOverride w:ilvl="0">
      <w:startOverride w:val="1"/>
    </w:lvlOverride>
  </w:num>
  <w:num w:numId="45">
    <w:abstractNumId w:val="0"/>
    <w:lvlOverride w:ilvl="0">
      <w:startOverride w:val="1"/>
    </w:lvlOverride>
  </w:num>
  <w:num w:numId="46">
    <w:abstractNumId w:val="2"/>
    <w:lvlOverride w:ilvl="0">
      <w:startOverride w:val="1"/>
    </w:lvlOverride>
  </w:num>
  <w:num w:numId="47">
    <w:abstractNumId w:val="0"/>
    <w:lvlOverride w:ilvl="0">
      <w:startOverride w:val="1"/>
    </w:lvlOverride>
  </w:num>
  <w:num w:numId="48">
    <w:abstractNumId w:val="2"/>
    <w:lvlOverride w:ilvl="0">
      <w:startOverride w:val="1"/>
    </w:lvlOverride>
  </w:num>
  <w:num w:numId="49">
    <w:abstractNumId w:val="0"/>
    <w:lvlOverride w:ilvl="0">
      <w:startOverride w:val="1"/>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proofState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77"/>
    <w:rsid w:val="0000063D"/>
    <w:rsid w:val="0000195E"/>
    <w:rsid w:val="000019F6"/>
    <w:rsid w:val="00001B54"/>
    <w:rsid w:val="00001BE6"/>
    <w:rsid w:val="00001F3B"/>
    <w:rsid w:val="0000238C"/>
    <w:rsid w:val="00002727"/>
    <w:rsid w:val="000027C8"/>
    <w:rsid w:val="00002D86"/>
    <w:rsid w:val="00003212"/>
    <w:rsid w:val="00003284"/>
    <w:rsid w:val="000036C0"/>
    <w:rsid w:val="000039FE"/>
    <w:rsid w:val="00003A32"/>
    <w:rsid w:val="00004055"/>
    <w:rsid w:val="000040D7"/>
    <w:rsid w:val="00004C83"/>
    <w:rsid w:val="00004D84"/>
    <w:rsid w:val="00004E05"/>
    <w:rsid w:val="00005CBB"/>
    <w:rsid w:val="00005F41"/>
    <w:rsid w:val="00006213"/>
    <w:rsid w:val="000063EE"/>
    <w:rsid w:val="000066BF"/>
    <w:rsid w:val="000066CF"/>
    <w:rsid w:val="0000676E"/>
    <w:rsid w:val="0000684C"/>
    <w:rsid w:val="00006980"/>
    <w:rsid w:val="00006C9D"/>
    <w:rsid w:val="00006FC7"/>
    <w:rsid w:val="0000700F"/>
    <w:rsid w:val="000072A5"/>
    <w:rsid w:val="00007B2B"/>
    <w:rsid w:val="00007BF4"/>
    <w:rsid w:val="0001009A"/>
    <w:rsid w:val="000102E4"/>
    <w:rsid w:val="00010313"/>
    <w:rsid w:val="0001067D"/>
    <w:rsid w:val="000107DC"/>
    <w:rsid w:val="00010C96"/>
    <w:rsid w:val="0001100A"/>
    <w:rsid w:val="0001199C"/>
    <w:rsid w:val="000122BB"/>
    <w:rsid w:val="00012312"/>
    <w:rsid w:val="00012623"/>
    <w:rsid w:val="00012717"/>
    <w:rsid w:val="0001284D"/>
    <w:rsid w:val="00012980"/>
    <w:rsid w:val="00012C0D"/>
    <w:rsid w:val="000130D1"/>
    <w:rsid w:val="0001389A"/>
    <w:rsid w:val="00013A06"/>
    <w:rsid w:val="00013A1F"/>
    <w:rsid w:val="00013BF5"/>
    <w:rsid w:val="00013DCA"/>
    <w:rsid w:val="00014461"/>
    <w:rsid w:val="000145F9"/>
    <w:rsid w:val="000148E0"/>
    <w:rsid w:val="00014A86"/>
    <w:rsid w:val="00015064"/>
    <w:rsid w:val="0001514D"/>
    <w:rsid w:val="000155E8"/>
    <w:rsid w:val="00015728"/>
    <w:rsid w:val="0001580B"/>
    <w:rsid w:val="0001596B"/>
    <w:rsid w:val="00015EFA"/>
    <w:rsid w:val="00015FCA"/>
    <w:rsid w:val="0001608C"/>
    <w:rsid w:val="00016194"/>
    <w:rsid w:val="00016816"/>
    <w:rsid w:val="00016819"/>
    <w:rsid w:val="000168F7"/>
    <w:rsid w:val="00016E66"/>
    <w:rsid w:val="00017240"/>
    <w:rsid w:val="00017270"/>
    <w:rsid w:val="00017723"/>
    <w:rsid w:val="0001775A"/>
    <w:rsid w:val="00017CAA"/>
    <w:rsid w:val="00017D85"/>
    <w:rsid w:val="00020427"/>
    <w:rsid w:val="000204E6"/>
    <w:rsid w:val="00020653"/>
    <w:rsid w:val="00020755"/>
    <w:rsid w:val="00020C71"/>
    <w:rsid w:val="00021006"/>
    <w:rsid w:val="00021067"/>
    <w:rsid w:val="00021885"/>
    <w:rsid w:val="00022299"/>
    <w:rsid w:val="000238C5"/>
    <w:rsid w:val="000239C5"/>
    <w:rsid w:val="00023A81"/>
    <w:rsid w:val="00023B18"/>
    <w:rsid w:val="00023C7A"/>
    <w:rsid w:val="00024338"/>
    <w:rsid w:val="000245BF"/>
    <w:rsid w:val="00024841"/>
    <w:rsid w:val="00024D06"/>
    <w:rsid w:val="0002513B"/>
    <w:rsid w:val="00025569"/>
    <w:rsid w:val="00025608"/>
    <w:rsid w:val="00025619"/>
    <w:rsid w:val="000257C7"/>
    <w:rsid w:val="0002595F"/>
    <w:rsid w:val="00026578"/>
    <w:rsid w:val="00026995"/>
    <w:rsid w:val="00027451"/>
    <w:rsid w:val="000274B9"/>
    <w:rsid w:val="0002794C"/>
    <w:rsid w:val="00027E93"/>
    <w:rsid w:val="00027F26"/>
    <w:rsid w:val="0003012F"/>
    <w:rsid w:val="00030871"/>
    <w:rsid w:val="00031035"/>
    <w:rsid w:val="0003138F"/>
    <w:rsid w:val="0003160D"/>
    <w:rsid w:val="000318E1"/>
    <w:rsid w:val="00031C60"/>
    <w:rsid w:val="00031D04"/>
    <w:rsid w:val="00031D51"/>
    <w:rsid w:val="00032DBC"/>
    <w:rsid w:val="00032E9C"/>
    <w:rsid w:val="00033FA9"/>
    <w:rsid w:val="000343AC"/>
    <w:rsid w:val="000349F3"/>
    <w:rsid w:val="00034F66"/>
    <w:rsid w:val="00035507"/>
    <w:rsid w:val="0003574B"/>
    <w:rsid w:val="00036147"/>
    <w:rsid w:val="00036198"/>
    <w:rsid w:val="000363DA"/>
    <w:rsid w:val="000364B5"/>
    <w:rsid w:val="0003656A"/>
    <w:rsid w:val="00036BB9"/>
    <w:rsid w:val="00036C79"/>
    <w:rsid w:val="00036E7E"/>
    <w:rsid w:val="000371DC"/>
    <w:rsid w:val="0003725D"/>
    <w:rsid w:val="00037416"/>
    <w:rsid w:val="000379BE"/>
    <w:rsid w:val="000379DE"/>
    <w:rsid w:val="00037C0F"/>
    <w:rsid w:val="000403E0"/>
    <w:rsid w:val="00040497"/>
    <w:rsid w:val="00040515"/>
    <w:rsid w:val="00040698"/>
    <w:rsid w:val="00040E78"/>
    <w:rsid w:val="000410CD"/>
    <w:rsid w:val="00041227"/>
    <w:rsid w:val="00041242"/>
    <w:rsid w:val="00041586"/>
    <w:rsid w:val="000415B8"/>
    <w:rsid w:val="00041D4D"/>
    <w:rsid w:val="000424D0"/>
    <w:rsid w:val="00042651"/>
    <w:rsid w:val="00042A46"/>
    <w:rsid w:val="00042C98"/>
    <w:rsid w:val="00042F32"/>
    <w:rsid w:val="00042F96"/>
    <w:rsid w:val="00043108"/>
    <w:rsid w:val="00043480"/>
    <w:rsid w:val="0004448C"/>
    <w:rsid w:val="000444B9"/>
    <w:rsid w:val="00044A09"/>
    <w:rsid w:val="00045367"/>
    <w:rsid w:val="00046F3A"/>
    <w:rsid w:val="000472D9"/>
    <w:rsid w:val="00047916"/>
    <w:rsid w:val="00047D1E"/>
    <w:rsid w:val="000501CC"/>
    <w:rsid w:val="00050AC9"/>
    <w:rsid w:val="00050BA8"/>
    <w:rsid w:val="00050BC0"/>
    <w:rsid w:val="00050CA1"/>
    <w:rsid w:val="00051974"/>
    <w:rsid w:val="00052647"/>
    <w:rsid w:val="000527AE"/>
    <w:rsid w:val="000528DD"/>
    <w:rsid w:val="00052C5B"/>
    <w:rsid w:val="000535EB"/>
    <w:rsid w:val="0005421A"/>
    <w:rsid w:val="0005527F"/>
    <w:rsid w:val="000554A3"/>
    <w:rsid w:val="00055B50"/>
    <w:rsid w:val="000560AA"/>
    <w:rsid w:val="000565E7"/>
    <w:rsid w:val="00056748"/>
    <w:rsid w:val="000573B7"/>
    <w:rsid w:val="00057409"/>
    <w:rsid w:val="000578D6"/>
    <w:rsid w:val="00060219"/>
    <w:rsid w:val="0006069A"/>
    <w:rsid w:val="00060B3E"/>
    <w:rsid w:val="00061038"/>
    <w:rsid w:val="00061203"/>
    <w:rsid w:val="00061351"/>
    <w:rsid w:val="00061429"/>
    <w:rsid w:val="00062219"/>
    <w:rsid w:val="000624B7"/>
    <w:rsid w:val="000624CF"/>
    <w:rsid w:val="0006285E"/>
    <w:rsid w:val="00062A33"/>
    <w:rsid w:val="00062AD9"/>
    <w:rsid w:val="00062BB2"/>
    <w:rsid w:val="00062E39"/>
    <w:rsid w:val="000631FA"/>
    <w:rsid w:val="0006335F"/>
    <w:rsid w:val="00063492"/>
    <w:rsid w:val="0006388F"/>
    <w:rsid w:val="00063CC2"/>
    <w:rsid w:val="00063DE1"/>
    <w:rsid w:val="00063FD5"/>
    <w:rsid w:val="00064030"/>
    <w:rsid w:val="00064117"/>
    <w:rsid w:val="000641D5"/>
    <w:rsid w:val="00064A3B"/>
    <w:rsid w:val="00064C1D"/>
    <w:rsid w:val="00064C89"/>
    <w:rsid w:val="00064C97"/>
    <w:rsid w:val="00064E15"/>
    <w:rsid w:val="00064FC9"/>
    <w:rsid w:val="0006518D"/>
    <w:rsid w:val="0006537B"/>
    <w:rsid w:val="00065828"/>
    <w:rsid w:val="0006583C"/>
    <w:rsid w:val="00065D58"/>
    <w:rsid w:val="00066808"/>
    <w:rsid w:val="00066C85"/>
    <w:rsid w:val="00067D36"/>
    <w:rsid w:val="00067D9B"/>
    <w:rsid w:val="00067EC3"/>
    <w:rsid w:val="00070491"/>
    <w:rsid w:val="0007085E"/>
    <w:rsid w:val="000709E4"/>
    <w:rsid w:val="00071E87"/>
    <w:rsid w:val="00072C37"/>
    <w:rsid w:val="00072DA9"/>
    <w:rsid w:val="00072F68"/>
    <w:rsid w:val="00073485"/>
    <w:rsid w:val="0007366C"/>
    <w:rsid w:val="00073C90"/>
    <w:rsid w:val="00073DAB"/>
    <w:rsid w:val="00074210"/>
    <w:rsid w:val="0007439F"/>
    <w:rsid w:val="00074413"/>
    <w:rsid w:val="00074918"/>
    <w:rsid w:val="00074B41"/>
    <w:rsid w:val="00074C60"/>
    <w:rsid w:val="0007532A"/>
    <w:rsid w:val="00075ECC"/>
    <w:rsid w:val="00076010"/>
    <w:rsid w:val="00076370"/>
    <w:rsid w:val="00076833"/>
    <w:rsid w:val="00076B04"/>
    <w:rsid w:val="00076CF9"/>
    <w:rsid w:val="0007716F"/>
    <w:rsid w:val="00077721"/>
    <w:rsid w:val="00077A1A"/>
    <w:rsid w:val="00077F94"/>
    <w:rsid w:val="00080153"/>
    <w:rsid w:val="000802A0"/>
    <w:rsid w:val="00080545"/>
    <w:rsid w:val="00080AB7"/>
    <w:rsid w:val="00080B69"/>
    <w:rsid w:val="00080C61"/>
    <w:rsid w:val="00080D82"/>
    <w:rsid w:val="0008102D"/>
    <w:rsid w:val="000815A7"/>
    <w:rsid w:val="00081606"/>
    <w:rsid w:val="000816CA"/>
    <w:rsid w:val="000817ED"/>
    <w:rsid w:val="00081BF6"/>
    <w:rsid w:val="00081E45"/>
    <w:rsid w:val="000820B2"/>
    <w:rsid w:val="000822A3"/>
    <w:rsid w:val="00083342"/>
    <w:rsid w:val="00083A73"/>
    <w:rsid w:val="00084F4F"/>
    <w:rsid w:val="0008550B"/>
    <w:rsid w:val="00085603"/>
    <w:rsid w:val="00085E02"/>
    <w:rsid w:val="00085E60"/>
    <w:rsid w:val="0008604D"/>
    <w:rsid w:val="00086331"/>
    <w:rsid w:val="00086889"/>
    <w:rsid w:val="00086D50"/>
    <w:rsid w:val="0008707C"/>
    <w:rsid w:val="000874A3"/>
    <w:rsid w:val="00087787"/>
    <w:rsid w:val="0008796E"/>
    <w:rsid w:val="00087D85"/>
    <w:rsid w:val="00087ECC"/>
    <w:rsid w:val="000900FD"/>
    <w:rsid w:val="00090344"/>
    <w:rsid w:val="000903B3"/>
    <w:rsid w:val="000903C9"/>
    <w:rsid w:val="00090533"/>
    <w:rsid w:val="00090677"/>
    <w:rsid w:val="00090806"/>
    <w:rsid w:val="00090A04"/>
    <w:rsid w:val="00090AFD"/>
    <w:rsid w:val="00090F19"/>
    <w:rsid w:val="0009110D"/>
    <w:rsid w:val="0009136E"/>
    <w:rsid w:val="00091549"/>
    <w:rsid w:val="00091550"/>
    <w:rsid w:val="0009193D"/>
    <w:rsid w:val="00091B6E"/>
    <w:rsid w:val="00091D51"/>
    <w:rsid w:val="00091EBE"/>
    <w:rsid w:val="00092F26"/>
    <w:rsid w:val="0009302F"/>
    <w:rsid w:val="0009314A"/>
    <w:rsid w:val="000936DE"/>
    <w:rsid w:val="000937E4"/>
    <w:rsid w:val="00093F13"/>
    <w:rsid w:val="00093FEC"/>
    <w:rsid w:val="00094339"/>
    <w:rsid w:val="00094946"/>
    <w:rsid w:val="00094A3B"/>
    <w:rsid w:val="000951E2"/>
    <w:rsid w:val="00096220"/>
    <w:rsid w:val="00096561"/>
    <w:rsid w:val="00096CC0"/>
    <w:rsid w:val="00096D5A"/>
    <w:rsid w:val="0009729B"/>
    <w:rsid w:val="00097360"/>
    <w:rsid w:val="000976AE"/>
    <w:rsid w:val="00097850"/>
    <w:rsid w:val="00097D47"/>
    <w:rsid w:val="00097D7A"/>
    <w:rsid w:val="000A0101"/>
    <w:rsid w:val="000A0657"/>
    <w:rsid w:val="000A0C31"/>
    <w:rsid w:val="000A0CC5"/>
    <w:rsid w:val="000A0EA5"/>
    <w:rsid w:val="000A1144"/>
    <w:rsid w:val="000A1477"/>
    <w:rsid w:val="000A1645"/>
    <w:rsid w:val="000A196F"/>
    <w:rsid w:val="000A200A"/>
    <w:rsid w:val="000A200F"/>
    <w:rsid w:val="000A21E2"/>
    <w:rsid w:val="000A2A27"/>
    <w:rsid w:val="000A2D6D"/>
    <w:rsid w:val="000A3287"/>
    <w:rsid w:val="000A39E3"/>
    <w:rsid w:val="000A3AAF"/>
    <w:rsid w:val="000A3F69"/>
    <w:rsid w:val="000A46AF"/>
    <w:rsid w:val="000A516A"/>
    <w:rsid w:val="000A5C64"/>
    <w:rsid w:val="000A5C93"/>
    <w:rsid w:val="000A61A2"/>
    <w:rsid w:val="000A66FC"/>
    <w:rsid w:val="000A6DFB"/>
    <w:rsid w:val="000A7357"/>
    <w:rsid w:val="000A791D"/>
    <w:rsid w:val="000A7BD7"/>
    <w:rsid w:val="000B007B"/>
    <w:rsid w:val="000B00EB"/>
    <w:rsid w:val="000B0204"/>
    <w:rsid w:val="000B023C"/>
    <w:rsid w:val="000B0686"/>
    <w:rsid w:val="000B0C8E"/>
    <w:rsid w:val="000B0D3C"/>
    <w:rsid w:val="000B0DF4"/>
    <w:rsid w:val="000B14FC"/>
    <w:rsid w:val="000B1750"/>
    <w:rsid w:val="000B1DA9"/>
    <w:rsid w:val="000B1EEC"/>
    <w:rsid w:val="000B2068"/>
    <w:rsid w:val="000B213F"/>
    <w:rsid w:val="000B2674"/>
    <w:rsid w:val="000B2769"/>
    <w:rsid w:val="000B27DE"/>
    <w:rsid w:val="000B2804"/>
    <w:rsid w:val="000B2BBA"/>
    <w:rsid w:val="000B2C44"/>
    <w:rsid w:val="000B2F4C"/>
    <w:rsid w:val="000B31AA"/>
    <w:rsid w:val="000B3440"/>
    <w:rsid w:val="000B3518"/>
    <w:rsid w:val="000B3C5D"/>
    <w:rsid w:val="000B3E35"/>
    <w:rsid w:val="000B4794"/>
    <w:rsid w:val="000B4A24"/>
    <w:rsid w:val="000B4C22"/>
    <w:rsid w:val="000B4DCC"/>
    <w:rsid w:val="000B5624"/>
    <w:rsid w:val="000B5774"/>
    <w:rsid w:val="000B57B2"/>
    <w:rsid w:val="000B5C14"/>
    <w:rsid w:val="000B5FB4"/>
    <w:rsid w:val="000B6603"/>
    <w:rsid w:val="000B6ACF"/>
    <w:rsid w:val="000B6F08"/>
    <w:rsid w:val="000B7917"/>
    <w:rsid w:val="000B7EEE"/>
    <w:rsid w:val="000C06DA"/>
    <w:rsid w:val="000C09A5"/>
    <w:rsid w:val="000C0A9F"/>
    <w:rsid w:val="000C0DA4"/>
    <w:rsid w:val="000C0FB7"/>
    <w:rsid w:val="000C13B7"/>
    <w:rsid w:val="000C14BD"/>
    <w:rsid w:val="000C190D"/>
    <w:rsid w:val="000C1D74"/>
    <w:rsid w:val="000C1DE0"/>
    <w:rsid w:val="000C216E"/>
    <w:rsid w:val="000C26BA"/>
    <w:rsid w:val="000C2F88"/>
    <w:rsid w:val="000C3869"/>
    <w:rsid w:val="000C3B3B"/>
    <w:rsid w:val="000C3EB0"/>
    <w:rsid w:val="000C3F88"/>
    <w:rsid w:val="000C475C"/>
    <w:rsid w:val="000C5019"/>
    <w:rsid w:val="000C5537"/>
    <w:rsid w:val="000C5F81"/>
    <w:rsid w:val="000C6078"/>
    <w:rsid w:val="000C63F8"/>
    <w:rsid w:val="000C64C9"/>
    <w:rsid w:val="000C652B"/>
    <w:rsid w:val="000C65E0"/>
    <w:rsid w:val="000C683F"/>
    <w:rsid w:val="000C71A5"/>
    <w:rsid w:val="000C78C5"/>
    <w:rsid w:val="000C79C3"/>
    <w:rsid w:val="000C7BD5"/>
    <w:rsid w:val="000C7CF5"/>
    <w:rsid w:val="000D020B"/>
    <w:rsid w:val="000D09DF"/>
    <w:rsid w:val="000D0BF6"/>
    <w:rsid w:val="000D0F7E"/>
    <w:rsid w:val="000D10F8"/>
    <w:rsid w:val="000D11F7"/>
    <w:rsid w:val="000D13EF"/>
    <w:rsid w:val="000D17D4"/>
    <w:rsid w:val="000D1B7A"/>
    <w:rsid w:val="000D1D1A"/>
    <w:rsid w:val="000D228C"/>
    <w:rsid w:val="000D254A"/>
    <w:rsid w:val="000D2749"/>
    <w:rsid w:val="000D2781"/>
    <w:rsid w:val="000D2A6E"/>
    <w:rsid w:val="000D2A8D"/>
    <w:rsid w:val="000D3249"/>
    <w:rsid w:val="000D354C"/>
    <w:rsid w:val="000D36B4"/>
    <w:rsid w:val="000D39E0"/>
    <w:rsid w:val="000D3B17"/>
    <w:rsid w:val="000D3F98"/>
    <w:rsid w:val="000D3FC1"/>
    <w:rsid w:val="000D402F"/>
    <w:rsid w:val="000D4154"/>
    <w:rsid w:val="000D473D"/>
    <w:rsid w:val="000D48E7"/>
    <w:rsid w:val="000D4A33"/>
    <w:rsid w:val="000D4AC3"/>
    <w:rsid w:val="000D4C35"/>
    <w:rsid w:val="000D4D26"/>
    <w:rsid w:val="000D4FBB"/>
    <w:rsid w:val="000D51BE"/>
    <w:rsid w:val="000D5AD5"/>
    <w:rsid w:val="000D5EBE"/>
    <w:rsid w:val="000D5F94"/>
    <w:rsid w:val="000D695D"/>
    <w:rsid w:val="000D6BE1"/>
    <w:rsid w:val="000D6D83"/>
    <w:rsid w:val="000D6DC4"/>
    <w:rsid w:val="000D6DFF"/>
    <w:rsid w:val="000D7F87"/>
    <w:rsid w:val="000D7FBA"/>
    <w:rsid w:val="000E0A4E"/>
    <w:rsid w:val="000E0E2A"/>
    <w:rsid w:val="000E17F6"/>
    <w:rsid w:val="000E1B62"/>
    <w:rsid w:val="000E1B97"/>
    <w:rsid w:val="000E1D8F"/>
    <w:rsid w:val="000E209B"/>
    <w:rsid w:val="000E25CD"/>
    <w:rsid w:val="000E2613"/>
    <w:rsid w:val="000E2F75"/>
    <w:rsid w:val="000E351F"/>
    <w:rsid w:val="000E3BFC"/>
    <w:rsid w:val="000E3C6A"/>
    <w:rsid w:val="000E43F7"/>
    <w:rsid w:val="000E4689"/>
    <w:rsid w:val="000E4862"/>
    <w:rsid w:val="000E4ACF"/>
    <w:rsid w:val="000E4B60"/>
    <w:rsid w:val="000E5250"/>
    <w:rsid w:val="000E5380"/>
    <w:rsid w:val="000E55AF"/>
    <w:rsid w:val="000E5B99"/>
    <w:rsid w:val="000E5DDB"/>
    <w:rsid w:val="000E5E3F"/>
    <w:rsid w:val="000E6309"/>
    <w:rsid w:val="000E6368"/>
    <w:rsid w:val="000E68A9"/>
    <w:rsid w:val="000E6909"/>
    <w:rsid w:val="000E6C87"/>
    <w:rsid w:val="000E6F91"/>
    <w:rsid w:val="000E7362"/>
    <w:rsid w:val="000E7AAA"/>
    <w:rsid w:val="000E7C5A"/>
    <w:rsid w:val="000F0650"/>
    <w:rsid w:val="000F0F46"/>
    <w:rsid w:val="000F126A"/>
    <w:rsid w:val="000F148D"/>
    <w:rsid w:val="000F1531"/>
    <w:rsid w:val="000F1BE6"/>
    <w:rsid w:val="000F1EA3"/>
    <w:rsid w:val="000F1FF0"/>
    <w:rsid w:val="000F211D"/>
    <w:rsid w:val="000F2179"/>
    <w:rsid w:val="000F26A2"/>
    <w:rsid w:val="000F2D6C"/>
    <w:rsid w:val="000F309E"/>
    <w:rsid w:val="000F3807"/>
    <w:rsid w:val="000F3C0B"/>
    <w:rsid w:val="000F456E"/>
    <w:rsid w:val="000F4A6B"/>
    <w:rsid w:val="000F4B79"/>
    <w:rsid w:val="000F4BC6"/>
    <w:rsid w:val="000F4C40"/>
    <w:rsid w:val="000F4F90"/>
    <w:rsid w:val="000F4FF6"/>
    <w:rsid w:val="000F5111"/>
    <w:rsid w:val="000F513E"/>
    <w:rsid w:val="000F5240"/>
    <w:rsid w:val="000F52DA"/>
    <w:rsid w:val="000F5527"/>
    <w:rsid w:val="000F5561"/>
    <w:rsid w:val="000F57E0"/>
    <w:rsid w:val="000F5B69"/>
    <w:rsid w:val="000F5D31"/>
    <w:rsid w:val="000F5F64"/>
    <w:rsid w:val="000F62B9"/>
    <w:rsid w:val="000F6721"/>
    <w:rsid w:val="000F692B"/>
    <w:rsid w:val="000F6B51"/>
    <w:rsid w:val="000F6C12"/>
    <w:rsid w:val="000F6C4D"/>
    <w:rsid w:val="000F6E00"/>
    <w:rsid w:val="000F6FCB"/>
    <w:rsid w:val="000F76C8"/>
    <w:rsid w:val="000F771A"/>
    <w:rsid w:val="000F779D"/>
    <w:rsid w:val="000F77C3"/>
    <w:rsid w:val="000F7A5A"/>
    <w:rsid w:val="0010005C"/>
    <w:rsid w:val="00100206"/>
    <w:rsid w:val="001002D1"/>
    <w:rsid w:val="001004EB"/>
    <w:rsid w:val="001007BE"/>
    <w:rsid w:val="00100AC5"/>
    <w:rsid w:val="00100C0F"/>
    <w:rsid w:val="00100F21"/>
    <w:rsid w:val="00101C30"/>
    <w:rsid w:val="00102282"/>
    <w:rsid w:val="00102440"/>
    <w:rsid w:val="00102762"/>
    <w:rsid w:val="00102EE5"/>
    <w:rsid w:val="00102F91"/>
    <w:rsid w:val="00102FD8"/>
    <w:rsid w:val="00103432"/>
    <w:rsid w:val="001037F7"/>
    <w:rsid w:val="00103EA6"/>
    <w:rsid w:val="00104562"/>
    <w:rsid w:val="00105314"/>
    <w:rsid w:val="0010544D"/>
    <w:rsid w:val="001065E3"/>
    <w:rsid w:val="001066AA"/>
    <w:rsid w:val="001066D3"/>
    <w:rsid w:val="0010694B"/>
    <w:rsid w:val="00106A46"/>
    <w:rsid w:val="00106D02"/>
    <w:rsid w:val="00106E6A"/>
    <w:rsid w:val="00107025"/>
    <w:rsid w:val="001071DE"/>
    <w:rsid w:val="00107348"/>
    <w:rsid w:val="001076E7"/>
    <w:rsid w:val="00107A1D"/>
    <w:rsid w:val="00107AE7"/>
    <w:rsid w:val="00107B84"/>
    <w:rsid w:val="0011009C"/>
    <w:rsid w:val="00110196"/>
    <w:rsid w:val="0011031E"/>
    <w:rsid w:val="0011034C"/>
    <w:rsid w:val="00110883"/>
    <w:rsid w:val="00110C0D"/>
    <w:rsid w:val="0011100F"/>
    <w:rsid w:val="00111073"/>
    <w:rsid w:val="001112D4"/>
    <w:rsid w:val="00111720"/>
    <w:rsid w:val="001117C1"/>
    <w:rsid w:val="00111986"/>
    <w:rsid w:val="00111B82"/>
    <w:rsid w:val="00111C24"/>
    <w:rsid w:val="00111C83"/>
    <w:rsid w:val="001123B6"/>
    <w:rsid w:val="00112500"/>
    <w:rsid w:val="001125DD"/>
    <w:rsid w:val="001126B0"/>
    <w:rsid w:val="00112708"/>
    <w:rsid w:val="00112735"/>
    <w:rsid w:val="00112D71"/>
    <w:rsid w:val="00113049"/>
    <w:rsid w:val="00113476"/>
    <w:rsid w:val="001135EA"/>
    <w:rsid w:val="001137E7"/>
    <w:rsid w:val="001141DB"/>
    <w:rsid w:val="001142CA"/>
    <w:rsid w:val="001146E5"/>
    <w:rsid w:val="001147C0"/>
    <w:rsid w:val="00114AE9"/>
    <w:rsid w:val="00115457"/>
    <w:rsid w:val="00115D00"/>
    <w:rsid w:val="0011614A"/>
    <w:rsid w:val="0011626A"/>
    <w:rsid w:val="0011660F"/>
    <w:rsid w:val="0011670A"/>
    <w:rsid w:val="00116787"/>
    <w:rsid w:val="00116E46"/>
    <w:rsid w:val="0011716D"/>
    <w:rsid w:val="00117BF9"/>
    <w:rsid w:val="00117C0A"/>
    <w:rsid w:val="001202A6"/>
    <w:rsid w:val="0012102B"/>
    <w:rsid w:val="001214A0"/>
    <w:rsid w:val="001214F8"/>
    <w:rsid w:val="001219E1"/>
    <w:rsid w:val="00122144"/>
    <w:rsid w:val="001227AF"/>
    <w:rsid w:val="00122846"/>
    <w:rsid w:val="00123158"/>
    <w:rsid w:val="00123995"/>
    <w:rsid w:val="00123EA5"/>
    <w:rsid w:val="0012408D"/>
    <w:rsid w:val="0012432E"/>
    <w:rsid w:val="00124643"/>
    <w:rsid w:val="00124C8A"/>
    <w:rsid w:val="00124E96"/>
    <w:rsid w:val="00125212"/>
    <w:rsid w:val="00125232"/>
    <w:rsid w:val="00125CA4"/>
    <w:rsid w:val="00125E54"/>
    <w:rsid w:val="001260FC"/>
    <w:rsid w:val="001261C5"/>
    <w:rsid w:val="0012625F"/>
    <w:rsid w:val="001269E9"/>
    <w:rsid w:val="00126FAF"/>
    <w:rsid w:val="0012751E"/>
    <w:rsid w:val="00127B1D"/>
    <w:rsid w:val="00127D37"/>
    <w:rsid w:val="00130614"/>
    <w:rsid w:val="001306E4"/>
    <w:rsid w:val="00130709"/>
    <w:rsid w:val="00130C72"/>
    <w:rsid w:val="0013101E"/>
    <w:rsid w:val="0013110A"/>
    <w:rsid w:val="001314CB"/>
    <w:rsid w:val="00131D8B"/>
    <w:rsid w:val="00132381"/>
    <w:rsid w:val="0013273F"/>
    <w:rsid w:val="00132E84"/>
    <w:rsid w:val="00132F86"/>
    <w:rsid w:val="0013320D"/>
    <w:rsid w:val="00133777"/>
    <w:rsid w:val="00133A9F"/>
    <w:rsid w:val="00134404"/>
    <w:rsid w:val="00134433"/>
    <w:rsid w:val="0013463C"/>
    <w:rsid w:val="001346EC"/>
    <w:rsid w:val="001348A2"/>
    <w:rsid w:val="00136AE2"/>
    <w:rsid w:val="00136CC7"/>
    <w:rsid w:val="00136EDF"/>
    <w:rsid w:val="001371E3"/>
    <w:rsid w:val="001374DD"/>
    <w:rsid w:val="001378F0"/>
    <w:rsid w:val="001400F4"/>
    <w:rsid w:val="001404D8"/>
    <w:rsid w:val="001405C5"/>
    <w:rsid w:val="0014091D"/>
    <w:rsid w:val="00140D98"/>
    <w:rsid w:val="00141BE5"/>
    <w:rsid w:val="00141D03"/>
    <w:rsid w:val="001423C8"/>
    <w:rsid w:val="00142531"/>
    <w:rsid w:val="00142729"/>
    <w:rsid w:val="0014286A"/>
    <w:rsid w:val="001428A4"/>
    <w:rsid w:val="00142BD7"/>
    <w:rsid w:val="00142E8E"/>
    <w:rsid w:val="001432FD"/>
    <w:rsid w:val="00143C1B"/>
    <w:rsid w:val="0014454F"/>
    <w:rsid w:val="001445DE"/>
    <w:rsid w:val="001448BA"/>
    <w:rsid w:val="0014559F"/>
    <w:rsid w:val="00145DCD"/>
    <w:rsid w:val="00146201"/>
    <w:rsid w:val="00146C84"/>
    <w:rsid w:val="00146FA7"/>
    <w:rsid w:val="00147592"/>
    <w:rsid w:val="001476BA"/>
    <w:rsid w:val="00147B59"/>
    <w:rsid w:val="00150669"/>
    <w:rsid w:val="001508B3"/>
    <w:rsid w:val="00150DBF"/>
    <w:rsid w:val="0015145D"/>
    <w:rsid w:val="001526B6"/>
    <w:rsid w:val="0015283A"/>
    <w:rsid w:val="001528AA"/>
    <w:rsid w:val="00153269"/>
    <w:rsid w:val="001532C5"/>
    <w:rsid w:val="0015399C"/>
    <w:rsid w:val="00153F85"/>
    <w:rsid w:val="00154741"/>
    <w:rsid w:val="001547E2"/>
    <w:rsid w:val="00154E9E"/>
    <w:rsid w:val="0015545C"/>
    <w:rsid w:val="001554F5"/>
    <w:rsid w:val="001555B6"/>
    <w:rsid w:val="00155CAA"/>
    <w:rsid w:val="00156166"/>
    <w:rsid w:val="001568A4"/>
    <w:rsid w:val="00156F6E"/>
    <w:rsid w:val="00157194"/>
    <w:rsid w:val="00157232"/>
    <w:rsid w:val="001577CA"/>
    <w:rsid w:val="001578DA"/>
    <w:rsid w:val="001578E3"/>
    <w:rsid w:val="001579E5"/>
    <w:rsid w:val="00160212"/>
    <w:rsid w:val="00160223"/>
    <w:rsid w:val="001604FF"/>
    <w:rsid w:val="0016089F"/>
    <w:rsid w:val="00160E91"/>
    <w:rsid w:val="001610D1"/>
    <w:rsid w:val="00161186"/>
    <w:rsid w:val="001614DA"/>
    <w:rsid w:val="00161A41"/>
    <w:rsid w:val="00161CB9"/>
    <w:rsid w:val="00162170"/>
    <w:rsid w:val="001624BC"/>
    <w:rsid w:val="001624E8"/>
    <w:rsid w:val="00162A29"/>
    <w:rsid w:val="00163B21"/>
    <w:rsid w:val="00163B78"/>
    <w:rsid w:val="001641BC"/>
    <w:rsid w:val="00164B4C"/>
    <w:rsid w:val="00164B96"/>
    <w:rsid w:val="00164CB1"/>
    <w:rsid w:val="00164DFC"/>
    <w:rsid w:val="00165476"/>
    <w:rsid w:val="001655FB"/>
    <w:rsid w:val="001656D5"/>
    <w:rsid w:val="00165961"/>
    <w:rsid w:val="001659F0"/>
    <w:rsid w:val="00165B54"/>
    <w:rsid w:val="00165BC1"/>
    <w:rsid w:val="00166459"/>
    <w:rsid w:val="001665FB"/>
    <w:rsid w:val="001667F0"/>
    <w:rsid w:val="00167000"/>
    <w:rsid w:val="001671CC"/>
    <w:rsid w:val="0016726C"/>
    <w:rsid w:val="001673DD"/>
    <w:rsid w:val="00167869"/>
    <w:rsid w:val="00167A29"/>
    <w:rsid w:val="00167AE5"/>
    <w:rsid w:val="00167B20"/>
    <w:rsid w:val="00167D7D"/>
    <w:rsid w:val="00170060"/>
    <w:rsid w:val="00170421"/>
    <w:rsid w:val="00170F3F"/>
    <w:rsid w:val="00171179"/>
    <w:rsid w:val="00171458"/>
    <w:rsid w:val="00171465"/>
    <w:rsid w:val="001714B8"/>
    <w:rsid w:val="0017159D"/>
    <w:rsid w:val="00171604"/>
    <w:rsid w:val="00171979"/>
    <w:rsid w:val="001719D4"/>
    <w:rsid w:val="00171F85"/>
    <w:rsid w:val="001720F9"/>
    <w:rsid w:val="001722EF"/>
    <w:rsid w:val="001726C6"/>
    <w:rsid w:val="001728B1"/>
    <w:rsid w:val="00172DE2"/>
    <w:rsid w:val="00172E33"/>
    <w:rsid w:val="00172F33"/>
    <w:rsid w:val="001734F1"/>
    <w:rsid w:val="001736E0"/>
    <w:rsid w:val="0017387D"/>
    <w:rsid w:val="0017395A"/>
    <w:rsid w:val="0017400A"/>
    <w:rsid w:val="001741F8"/>
    <w:rsid w:val="001744A3"/>
    <w:rsid w:val="00174C62"/>
    <w:rsid w:val="00174E85"/>
    <w:rsid w:val="00174E99"/>
    <w:rsid w:val="0017515C"/>
    <w:rsid w:val="00175746"/>
    <w:rsid w:val="00175758"/>
    <w:rsid w:val="00175A83"/>
    <w:rsid w:val="00175DF5"/>
    <w:rsid w:val="00175E3B"/>
    <w:rsid w:val="00176231"/>
    <w:rsid w:val="00176669"/>
    <w:rsid w:val="00176853"/>
    <w:rsid w:val="00177028"/>
    <w:rsid w:val="00177043"/>
    <w:rsid w:val="001770EF"/>
    <w:rsid w:val="00177225"/>
    <w:rsid w:val="00177381"/>
    <w:rsid w:val="0017775A"/>
    <w:rsid w:val="001777CF"/>
    <w:rsid w:val="0017799F"/>
    <w:rsid w:val="00177C1A"/>
    <w:rsid w:val="00177FA7"/>
    <w:rsid w:val="001802EE"/>
    <w:rsid w:val="001806C8"/>
    <w:rsid w:val="001807D6"/>
    <w:rsid w:val="00181149"/>
    <w:rsid w:val="0018163E"/>
    <w:rsid w:val="00181681"/>
    <w:rsid w:val="001816FD"/>
    <w:rsid w:val="00181994"/>
    <w:rsid w:val="00181D3E"/>
    <w:rsid w:val="00181E0D"/>
    <w:rsid w:val="00182191"/>
    <w:rsid w:val="001823E1"/>
    <w:rsid w:val="0018249C"/>
    <w:rsid w:val="00182590"/>
    <w:rsid w:val="00182632"/>
    <w:rsid w:val="0018294F"/>
    <w:rsid w:val="001829B1"/>
    <w:rsid w:val="00182C4D"/>
    <w:rsid w:val="001830B3"/>
    <w:rsid w:val="001833BC"/>
    <w:rsid w:val="001835C0"/>
    <w:rsid w:val="00183DC3"/>
    <w:rsid w:val="0018414B"/>
    <w:rsid w:val="001843F3"/>
    <w:rsid w:val="00184781"/>
    <w:rsid w:val="001847AC"/>
    <w:rsid w:val="00184898"/>
    <w:rsid w:val="00185041"/>
    <w:rsid w:val="001858D2"/>
    <w:rsid w:val="001858EE"/>
    <w:rsid w:val="0018598C"/>
    <w:rsid w:val="00185DFB"/>
    <w:rsid w:val="00185F74"/>
    <w:rsid w:val="00186468"/>
    <w:rsid w:val="00186AEB"/>
    <w:rsid w:val="00187234"/>
    <w:rsid w:val="001873E3"/>
    <w:rsid w:val="00187995"/>
    <w:rsid w:val="00187DE6"/>
    <w:rsid w:val="001903BC"/>
    <w:rsid w:val="0019053C"/>
    <w:rsid w:val="00190F59"/>
    <w:rsid w:val="001916FF"/>
    <w:rsid w:val="00192357"/>
    <w:rsid w:val="001930AD"/>
    <w:rsid w:val="0019319F"/>
    <w:rsid w:val="00193320"/>
    <w:rsid w:val="0019366A"/>
    <w:rsid w:val="001936FC"/>
    <w:rsid w:val="001939BB"/>
    <w:rsid w:val="00193A69"/>
    <w:rsid w:val="00193E3D"/>
    <w:rsid w:val="0019409D"/>
    <w:rsid w:val="00194530"/>
    <w:rsid w:val="001955A5"/>
    <w:rsid w:val="00195CB0"/>
    <w:rsid w:val="00195CD3"/>
    <w:rsid w:val="00195F2E"/>
    <w:rsid w:val="00195F3E"/>
    <w:rsid w:val="00196366"/>
    <w:rsid w:val="00196C92"/>
    <w:rsid w:val="00197E3D"/>
    <w:rsid w:val="001A02E0"/>
    <w:rsid w:val="001A063F"/>
    <w:rsid w:val="001A07A0"/>
    <w:rsid w:val="001A0CB7"/>
    <w:rsid w:val="001A0EA7"/>
    <w:rsid w:val="001A0F96"/>
    <w:rsid w:val="001A114B"/>
    <w:rsid w:val="001A1250"/>
    <w:rsid w:val="001A1B32"/>
    <w:rsid w:val="001A25B1"/>
    <w:rsid w:val="001A2613"/>
    <w:rsid w:val="001A2622"/>
    <w:rsid w:val="001A27E5"/>
    <w:rsid w:val="001A28CF"/>
    <w:rsid w:val="001A28D3"/>
    <w:rsid w:val="001A3140"/>
    <w:rsid w:val="001A323B"/>
    <w:rsid w:val="001A3329"/>
    <w:rsid w:val="001A35C6"/>
    <w:rsid w:val="001A3A15"/>
    <w:rsid w:val="001A4474"/>
    <w:rsid w:val="001A4B7E"/>
    <w:rsid w:val="001A5253"/>
    <w:rsid w:val="001A5285"/>
    <w:rsid w:val="001A5C64"/>
    <w:rsid w:val="001A60C5"/>
    <w:rsid w:val="001A60D3"/>
    <w:rsid w:val="001A6CA4"/>
    <w:rsid w:val="001A6CF4"/>
    <w:rsid w:val="001A6F9A"/>
    <w:rsid w:val="001A6FF5"/>
    <w:rsid w:val="001A7244"/>
    <w:rsid w:val="001A78F3"/>
    <w:rsid w:val="001B0012"/>
    <w:rsid w:val="001B0702"/>
    <w:rsid w:val="001B073E"/>
    <w:rsid w:val="001B0B1F"/>
    <w:rsid w:val="001B0D1F"/>
    <w:rsid w:val="001B1189"/>
    <w:rsid w:val="001B1568"/>
    <w:rsid w:val="001B15B6"/>
    <w:rsid w:val="001B1802"/>
    <w:rsid w:val="001B1F40"/>
    <w:rsid w:val="001B2012"/>
    <w:rsid w:val="001B2021"/>
    <w:rsid w:val="001B20DC"/>
    <w:rsid w:val="001B21C2"/>
    <w:rsid w:val="001B21D8"/>
    <w:rsid w:val="001B25A0"/>
    <w:rsid w:val="001B26C0"/>
    <w:rsid w:val="001B2AB8"/>
    <w:rsid w:val="001B2DFE"/>
    <w:rsid w:val="001B2FF9"/>
    <w:rsid w:val="001B32F0"/>
    <w:rsid w:val="001B35C4"/>
    <w:rsid w:val="001B365A"/>
    <w:rsid w:val="001B3693"/>
    <w:rsid w:val="001B3746"/>
    <w:rsid w:val="001B39E6"/>
    <w:rsid w:val="001B3A46"/>
    <w:rsid w:val="001B3BBD"/>
    <w:rsid w:val="001B3DDF"/>
    <w:rsid w:val="001B41C6"/>
    <w:rsid w:val="001B433D"/>
    <w:rsid w:val="001B4602"/>
    <w:rsid w:val="001B4A29"/>
    <w:rsid w:val="001B4AA1"/>
    <w:rsid w:val="001B4DA2"/>
    <w:rsid w:val="001B4E79"/>
    <w:rsid w:val="001B639E"/>
    <w:rsid w:val="001B6E1E"/>
    <w:rsid w:val="001B72A8"/>
    <w:rsid w:val="001B77F7"/>
    <w:rsid w:val="001B78B5"/>
    <w:rsid w:val="001B7D1F"/>
    <w:rsid w:val="001C0FA9"/>
    <w:rsid w:val="001C152D"/>
    <w:rsid w:val="001C16F9"/>
    <w:rsid w:val="001C1F57"/>
    <w:rsid w:val="001C219D"/>
    <w:rsid w:val="001C24B8"/>
    <w:rsid w:val="001C27AA"/>
    <w:rsid w:val="001C2DEF"/>
    <w:rsid w:val="001C2F29"/>
    <w:rsid w:val="001C397C"/>
    <w:rsid w:val="001C3D86"/>
    <w:rsid w:val="001C43A0"/>
    <w:rsid w:val="001C44BB"/>
    <w:rsid w:val="001C4A5E"/>
    <w:rsid w:val="001C4F62"/>
    <w:rsid w:val="001C5212"/>
    <w:rsid w:val="001C52FF"/>
    <w:rsid w:val="001C5649"/>
    <w:rsid w:val="001C581D"/>
    <w:rsid w:val="001C606D"/>
    <w:rsid w:val="001C60DE"/>
    <w:rsid w:val="001C64D7"/>
    <w:rsid w:val="001C6692"/>
    <w:rsid w:val="001C6803"/>
    <w:rsid w:val="001C68BD"/>
    <w:rsid w:val="001C693C"/>
    <w:rsid w:val="001C6987"/>
    <w:rsid w:val="001C74C5"/>
    <w:rsid w:val="001C76F1"/>
    <w:rsid w:val="001C78B1"/>
    <w:rsid w:val="001C78B6"/>
    <w:rsid w:val="001C7CD0"/>
    <w:rsid w:val="001D066E"/>
    <w:rsid w:val="001D0758"/>
    <w:rsid w:val="001D0B55"/>
    <w:rsid w:val="001D0C2B"/>
    <w:rsid w:val="001D0ECD"/>
    <w:rsid w:val="001D11AA"/>
    <w:rsid w:val="001D1201"/>
    <w:rsid w:val="001D3840"/>
    <w:rsid w:val="001D38B3"/>
    <w:rsid w:val="001D394C"/>
    <w:rsid w:val="001D3B8A"/>
    <w:rsid w:val="001D3ECA"/>
    <w:rsid w:val="001D404C"/>
    <w:rsid w:val="001D40DD"/>
    <w:rsid w:val="001D4316"/>
    <w:rsid w:val="001D431A"/>
    <w:rsid w:val="001D4AA9"/>
    <w:rsid w:val="001D4D6A"/>
    <w:rsid w:val="001D4DAD"/>
    <w:rsid w:val="001D50BC"/>
    <w:rsid w:val="001D5300"/>
    <w:rsid w:val="001D5440"/>
    <w:rsid w:val="001D54F6"/>
    <w:rsid w:val="001D5D29"/>
    <w:rsid w:val="001D5D64"/>
    <w:rsid w:val="001D62F6"/>
    <w:rsid w:val="001D76AC"/>
    <w:rsid w:val="001D7715"/>
    <w:rsid w:val="001D7734"/>
    <w:rsid w:val="001D798E"/>
    <w:rsid w:val="001D7A7F"/>
    <w:rsid w:val="001D7D95"/>
    <w:rsid w:val="001D7F91"/>
    <w:rsid w:val="001E0263"/>
    <w:rsid w:val="001E02C6"/>
    <w:rsid w:val="001E071E"/>
    <w:rsid w:val="001E0B33"/>
    <w:rsid w:val="001E0FD4"/>
    <w:rsid w:val="001E103D"/>
    <w:rsid w:val="001E116D"/>
    <w:rsid w:val="001E1654"/>
    <w:rsid w:val="001E170D"/>
    <w:rsid w:val="001E183F"/>
    <w:rsid w:val="001E1CBA"/>
    <w:rsid w:val="001E207A"/>
    <w:rsid w:val="001E2233"/>
    <w:rsid w:val="001E29E2"/>
    <w:rsid w:val="001E3224"/>
    <w:rsid w:val="001E37FA"/>
    <w:rsid w:val="001E3B76"/>
    <w:rsid w:val="001E3E31"/>
    <w:rsid w:val="001E490A"/>
    <w:rsid w:val="001E4A91"/>
    <w:rsid w:val="001E5583"/>
    <w:rsid w:val="001E5930"/>
    <w:rsid w:val="001E59E0"/>
    <w:rsid w:val="001E5AAE"/>
    <w:rsid w:val="001E5D5C"/>
    <w:rsid w:val="001E648F"/>
    <w:rsid w:val="001E737B"/>
    <w:rsid w:val="001E7AC4"/>
    <w:rsid w:val="001E7B6D"/>
    <w:rsid w:val="001F0084"/>
    <w:rsid w:val="001F0ED9"/>
    <w:rsid w:val="001F0F18"/>
    <w:rsid w:val="001F0F39"/>
    <w:rsid w:val="001F0F5A"/>
    <w:rsid w:val="001F0FAC"/>
    <w:rsid w:val="001F1026"/>
    <w:rsid w:val="001F1426"/>
    <w:rsid w:val="001F14BC"/>
    <w:rsid w:val="001F15AC"/>
    <w:rsid w:val="001F1799"/>
    <w:rsid w:val="001F1AFA"/>
    <w:rsid w:val="001F1C60"/>
    <w:rsid w:val="001F1FC2"/>
    <w:rsid w:val="001F2096"/>
    <w:rsid w:val="001F21BE"/>
    <w:rsid w:val="001F2F7A"/>
    <w:rsid w:val="001F35EB"/>
    <w:rsid w:val="001F3977"/>
    <w:rsid w:val="001F3EE5"/>
    <w:rsid w:val="001F450F"/>
    <w:rsid w:val="001F4795"/>
    <w:rsid w:val="001F499C"/>
    <w:rsid w:val="001F4AF0"/>
    <w:rsid w:val="001F4B93"/>
    <w:rsid w:val="001F536D"/>
    <w:rsid w:val="001F5988"/>
    <w:rsid w:val="001F5D15"/>
    <w:rsid w:val="001F5ED6"/>
    <w:rsid w:val="001F6001"/>
    <w:rsid w:val="001F62F4"/>
    <w:rsid w:val="001F6D0C"/>
    <w:rsid w:val="001F6D67"/>
    <w:rsid w:val="001F6DD8"/>
    <w:rsid w:val="001F6F76"/>
    <w:rsid w:val="001F759F"/>
    <w:rsid w:val="001F7AF3"/>
    <w:rsid w:val="001F7EC7"/>
    <w:rsid w:val="001F7F8B"/>
    <w:rsid w:val="00200375"/>
    <w:rsid w:val="00200634"/>
    <w:rsid w:val="002008FE"/>
    <w:rsid w:val="00200A86"/>
    <w:rsid w:val="00200EDA"/>
    <w:rsid w:val="0020102B"/>
    <w:rsid w:val="00201793"/>
    <w:rsid w:val="00201B64"/>
    <w:rsid w:val="00202063"/>
    <w:rsid w:val="0020213C"/>
    <w:rsid w:val="0020239E"/>
    <w:rsid w:val="00204194"/>
    <w:rsid w:val="002045CC"/>
    <w:rsid w:val="00204A71"/>
    <w:rsid w:val="0020523C"/>
    <w:rsid w:val="00205271"/>
    <w:rsid w:val="0020536F"/>
    <w:rsid w:val="002057DE"/>
    <w:rsid w:val="00205B05"/>
    <w:rsid w:val="00205C9C"/>
    <w:rsid w:val="00205CB5"/>
    <w:rsid w:val="00205CD3"/>
    <w:rsid w:val="00206FF9"/>
    <w:rsid w:val="002070F7"/>
    <w:rsid w:val="0020743A"/>
    <w:rsid w:val="00207BCB"/>
    <w:rsid w:val="00207E09"/>
    <w:rsid w:val="00210031"/>
    <w:rsid w:val="0021006B"/>
    <w:rsid w:val="002104BC"/>
    <w:rsid w:val="0021075F"/>
    <w:rsid w:val="00210CDC"/>
    <w:rsid w:val="00210F26"/>
    <w:rsid w:val="00211DC6"/>
    <w:rsid w:val="00211F1B"/>
    <w:rsid w:val="00211FB7"/>
    <w:rsid w:val="00212093"/>
    <w:rsid w:val="00212370"/>
    <w:rsid w:val="002128B6"/>
    <w:rsid w:val="002128E9"/>
    <w:rsid w:val="0021309C"/>
    <w:rsid w:val="00213267"/>
    <w:rsid w:val="002136B0"/>
    <w:rsid w:val="00213F88"/>
    <w:rsid w:val="00214676"/>
    <w:rsid w:val="0021489F"/>
    <w:rsid w:val="002149EC"/>
    <w:rsid w:val="002152F0"/>
    <w:rsid w:val="00215645"/>
    <w:rsid w:val="00215D7D"/>
    <w:rsid w:val="00215F8E"/>
    <w:rsid w:val="0021619C"/>
    <w:rsid w:val="0021621F"/>
    <w:rsid w:val="002162AA"/>
    <w:rsid w:val="00216E0C"/>
    <w:rsid w:val="00216FBF"/>
    <w:rsid w:val="0021705C"/>
    <w:rsid w:val="002174C8"/>
    <w:rsid w:val="00217BA3"/>
    <w:rsid w:val="002200A7"/>
    <w:rsid w:val="002202F9"/>
    <w:rsid w:val="00220374"/>
    <w:rsid w:val="0022068B"/>
    <w:rsid w:val="00220730"/>
    <w:rsid w:val="002208A2"/>
    <w:rsid w:val="00220B78"/>
    <w:rsid w:val="00220E56"/>
    <w:rsid w:val="002213B8"/>
    <w:rsid w:val="00221688"/>
    <w:rsid w:val="00221B1E"/>
    <w:rsid w:val="00221C96"/>
    <w:rsid w:val="00221D11"/>
    <w:rsid w:val="0022237B"/>
    <w:rsid w:val="00222385"/>
    <w:rsid w:val="00222619"/>
    <w:rsid w:val="00222CD7"/>
    <w:rsid w:val="00222D24"/>
    <w:rsid w:val="00223234"/>
    <w:rsid w:val="00223668"/>
    <w:rsid w:val="00223C08"/>
    <w:rsid w:val="00223DE6"/>
    <w:rsid w:val="00223E5C"/>
    <w:rsid w:val="002242A9"/>
    <w:rsid w:val="00224A65"/>
    <w:rsid w:val="00224EDD"/>
    <w:rsid w:val="00225A7F"/>
    <w:rsid w:val="00225DB0"/>
    <w:rsid w:val="00225E29"/>
    <w:rsid w:val="00226CA5"/>
    <w:rsid w:val="00227042"/>
    <w:rsid w:val="002270BD"/>
    <w:rsid w:val="00227397"/>
    <w:rsid w:val="00227526"/>
    <w:rsid w:val="0022755E"/>
    <w:rsid w:val="0022781A"/>
    <w:rsid w:val="00227BE4"/>
    <w:rsid w:val="00230DEB"/>
    <w:rsid w:val="002312C2"/>
    <w:rsid w:val="00231605"/>
    <w:rsid w:val="00231ABE"/>
    <w:rsid w:val="00231CC1"/>
    <w:rsid w:val="00232285"/>
    <w:rsid w:val="002326C3"/>
    <w:rsid w:val="00232BD1"/>
    <w:rsid w:val="00232FB6"/>
    <w:rsid w:val="00233507"/>
    <w:rsid w:val="002336C2"/>
    <w:rsid w:val="00233F6A"/>
    <w:rsid w:val="002343A3"/>
    <w:rsid w:val="00234C06"/>
    <w:rsid w:val="00234E88"/>
    <w:rsid w:val="00235041"/>
    <w:rsid w:val="0023511E"/>
    <w:rsid w:val="00235151"/>
    <w:rsid w:val="002357BC"/>
    <w:rsid w:val="002358D6"/>
    <w:rsid w:val="00235953"/>
    <w:rsid w:val="00235C20"/>
    <w:rsid w:val="00235C71"/>
    <w:rsid w:val="00235DE4"/>
    <w:rsid w:val="00235F2D"/>
    <w:rsid w:val="00235FD2"/>
    <w:rsid w:val="002362D6"/>
    <w:rsid w:val="002363A0"/>
    <w:rsid w:val="00236734"/>
    <w:rsid w:val="00236F2C"/>
    <w:rsid w:val="00237002"/>
    <w:rsid w:val="002373F4"/>
    <w:rsid w:val="002375E9"/>
    <w:rsid w:val="002377C2"/>
    <w:rsid w:val="00237AF3"/>
    <w:rsid w:val="00240500"/>
    <w:rsid w:val="00240E7A"/>
    <w:rsid w:val="00241071"/>
    <w:rsid w:val="002412F4"/>
    <w:rsid w:val="002413DC"/>
    <w:rsid w:val="00241D05"/>
    <w:rsid w:val="002425C0"/>
    <w:rsid w:val="00242D32"/>
    <w:rsid w:val="00242E7E"/>
    <w:rsid w:val="002433E5"/>
    <w:rsid w:val="00243705"/>
    <w:rsid w:val="0024379C"/>
    <w:rsid w:val="00243B86"/>
    <w:rsid w:val="00244091"/>
    <w:rsid w:val="00244629"/>
    <w:rsid w:val="002448FA"/>
    <w:rsid w:val="00245308"/>
    <w:rsid w:val="002455AD"/>
    <w:rsid w:val="0024570C"/>
    <w:rsid w:val="0024599A"/>
    <w:rsid w:val="00245F38"/>
    <w:rsid w:val="00246256"/>
    <w:rsid w:val="002466FB"/>
    <w:rsid w:val="00246976"/>
    <w:rsid w:val="00246D4D"/>
    <w:rsid w:val="00246D9F"/>
    <w:rsid w:val="00247692"/>
    <w:rsid w:val="0024781D"/>
    <w:rsid w:val="002479BF"/>
    <w:rsid w:val="00250993"/>
    <w:rsid w:val="00250D00"/>
    <w:rsid w:val="00250F9B"/>
    <w:rsid w:val="00251839"/>
    <w:rsid w:val="00251BA6"/>
    <w:rsid w:val="002521F5"/>
    <w:rsid w:val="002528CF"/>
    <w:rsid w:val="00252928"/>
    <w:rsid w:val="002530E8"/>
    <w:rsid w:val="00253A56"/>
    <w:rsid w:val="00253A7C"/>
    <w:rsid w:val="002541AD"/>
    <w:rsid w:val="00255165"/>
    <w:rsid w:val="002552E5"/>
    <w:rsid w:val="002569E3"/>
    <w:rsid w:val="00256F8B"/>
    <w:rsid w:val="002575E9"/>
    <w:rsid w:val="002576EC"/>
    <w:rsid w:val="002600CB"/>
    <w:rsid w:val="00260416"/>
    <w:rsid w:val="00260492"/>
    <w:rsid w:val="0026058A"/>
    <w:rsid w:val="00261314"/>
    <w:rsid w:val="00261319"/>
    <w:rsid w:val="002613A5"/>
    <w:rsid w:val="0026179E"/>
    <w:rsid w:val="00261868"/>
    <w:rsid w:val="00261B64"/>
    <w:rsid w:val="00261C9D"/>
    <w:rsid w:val="0026210A"/>
    <w:rsid w:val="002626E2"/>
    <w:rsid w:val="00262AF1"/>
    <w:rsid w:val="00263181"/>
    <w:rsid w:val="00263332"/>
    <w:rsid w:val="0026373D"/>
    <w:rsid w:val="0026389F"/>
    <w:rsid w:val="00263934"/>
    <w:rsid w:val="00264131"/>
    <w:rsid w:val="0026469F"/>
    <w:rsid w:val="00264827"/>
    <w:rsid w:val="00264DD9"/>
    <w:rsid w:val="00264F34"/>
    <w:rsid w:val="0026502E"/>
    <w:rsid w:val="00265093"/>
    <w:rsid w:val="002653F5"/>
    <w:rsid w:val="00265E11"/>
    <w:rsid w:val="0026613E"/>
    <w:rsid w:val="0026618C"/>
    <w:rsid w:val="002666BE"/>
    <w:rsid w:val="00267FDB"/>
    <w:rsid w:val="002704FD"/>
    <w:rsid w:val="002705B9"/>
    <w:rsid w:val="00270ACA"/>
    <w:rsid w:val="00270C8F"/>
    <w:rsid w:val="00270DBA"/>
    <w:rsid w:val="00270F25"/>
    <w:rsid w:val="0027103C"/>
    <w:rsid w:val="00271723"/>
    <w:rsid w:val="00271813"/>
    <w:rsid w:val="00271AA6"/>
    <w:rsid w:val="002722A0"/>
    <w:rsid w:val="002723FA"/>
    <w:rsid w:val="00272555"/>
    <w:rsid w:val="0027269C"/>
    <w:rsid w:val="00272C24"/>
    <w:rsid w:val="00273179"/>
    <w:rsid w:val="0027344B"/>
    <w:rsid w:val="00273573"/>
    <w:rsid w:val="00273619"/>
    <w:rsid w:val="0027388F"/>
    <w:rsid w:val="002739E8"/>
    <w:rsid w:val="00273D68"/>
    <w:rsid w:val="00273FB9"/>
    <w:rsid w:val="00274036"/>
    <w:rsid w:val="0027419B"/>
    <w:rsid w:val="002743CC"/>
    <w:rsid w:val="002749E3"/>
    <w:rsid w:val="00274A61"/>
    <w:rsid w:val="00274A94"/>
    <w:rsid w:val="00274B96"/>
    <w:rsid w:val="00274FA6"/>
    <w:rsid w:val="00275182"/>
    <w:rsid w:val="00275544"/>
    <w:rsid w:val="002759E6"/>
    <w:rsid w:val="00275E5B"/>
    <w:rsid w:val="00275E99"/>
    <w:rsid w:val="00275FED"/>
    <w:rsid w:val="00276421"/>
    <w:rsid w:val="0027698B"/>
    <w:rsid w:val="002771CD"/>
    <w:rsid w:val="002772FD"/>
    <w:rsid w:val="00277CC2"/>
    <w:rsid w:val="00277D45"/>
    <w:rsid w:val="00277E49"/>
    <w:rsid w:val="00280075"/>
    <w:rsid w:val="0028032F"/>
    <w:rsid w:val="00281CD6"/>
    <w:rsid w:val="00281DED"/>
    <w:rsid w:val="00282113"/>
    <w:rsid w:val="002824E0"/>
    <w:rsid w:val="00282745"/>
    <w:rsid w:val="0028277A"/>
    <w:rsid w:val="00283934"/>
    <w:rsid w:val="00283A85"/>
    <w:rsid w:val="00283BD3"/>
    <w:rsid w:val="00283C76"/>
    <w:rsid w:val="00283CB0"/>
    <w:rsid w:val="00284673"/>
    <w:rsid w:val="0028491A"/>
    <w:rsid w:val="00284A00"/>
    <w:rsid w:val="00284ABB"/>
    <w:rsid w:val="00284DC4"/>
    <w:rsid w:val="0028514D"/>
    <w:rsid w:val="002852C1"/>
    <w:rsid w:val="0028556A"/>
    <w:rsid w:val="002857DD"/>
    <w:rsid w:val="002857F8"/>
    <w:rsid w:val="0028580B"/>
    <w:rsid w:val="00285833"/>
    <w:rsid w:val="002859B6"/>
    <w:rsid w:val="00285CBC"/>
    <w:rsid w:val="0028652D"/>
    <w:rsid w:val="0028692A"/>
    <w:rsid w:val="0028693C"/>
    <w:rsid w:val="00286EE7"/>
    <w:rsid w:val="00286F7D"/>
    <w:rsid w:val="00286F8A"/>
    <w:rsid w:val="002873AB"/>
    <w:rsid w:val="00287A67"/>
    <w:rsid w:val="00287D16"/>
    <w:rsid w:val="00287D3D"/>
    <w:rsid w:val="0029001B"/>
    <w:rsid w:val="00290E59"/>
    <w:rsid w:val="002911A8"/>
    <w:rsid w:val="002911AF"/>
    <w:rsid w:val="0029154B"/>
    <w:rsid w:val="00292159"/>
    <w:rsid w:val="00292165"/>
    <w:rsid w:val="002923D7"/>
    <w:rsid w:val="00292AF4"/>
    <w:rsid w:val="00293420"/>
    <w:rsid w:val="00293517"/>
    <w:rsid w:val="002939B0"/>
    <w:rsid w:val="002939D5"/>
    <w:rsid w:val="00293C20"/>
    <w:rsid w:val="00293C25"/>
    <w:rsid w:val="00293DBF"/>
    <w:rsid w:val="00293FD7"/>
    <w:rsid w:val="00294098"/>
    <w:rsid w:val="002940C9"/>
    <w:rsid w:val="00294E2E"/>
    <w:rsid w:val="002954DB"/>
    <w:rsid w:val="00295A57"/>
    <w:rsid w:val="00295AAB"/>
    <w:rsid w:val="00295D0A"/>
    <w:rsid w:val="00295E0D"/>
    <w:rsid w:val="00295E51"/>
    <w:rsid w:val="002963AA"/>
    <w:rsid w:val="002967AA"/>
    <w:rsid w:val="002968AD"/>
    <w:rsid w:val="00296A8D"/>
    <w:rsid w:val="00296C15"/>
    <w:rsid w:val="00296E75"/>
    <w:rsid w:val="00296FBD"/>
    <w:rsid w:val="0029717C"/>
    <w:rsid w:val="002972C3"/>
    <w:rsid w:val="00297E11"/>
    <w:rsid w:val="00297E8A"/>
    <w:rsid w:val="002A05F5"/>
    <w:rsid w:val="002A06FA"/>
    <w:rsid w:val="002A096E"/>
    <w:rsid w:val="002A0B44"/>
    <w:rsid w:val="002A101F"/>
    <w:rsid w:val="002A145D"/>
    <w:rsid w:val="002A1EF1"/>
    <w:rsid w:val="002A2026"/>
    <w:rsid w:val="002A241D"/>
    <w:rsid w:val="002A24E0"/>
    <w:rsid w:val="002A26A0"/>
    <w:rsid w:val="002A2C2B"/>
    <w:rsid w:val="002A2E7A"/>
    <w:rsid w:val="002A3029"/>
    <w:rsid w:val="002A3092"/>
    <w:rsid w:val="002A35C8"/>
    <w:rsid w:val="002A35E3"/>
    <w:rsid w:val="002A3FA2"/>
    <w:rsid w:val="002A4BB7"/>
    <w:rsid w:val="002A587F"/>
    <w:rsid w:val="002A6977"/>
    <w:rsid w:val="002A6C82"/>
    <w:rsid w:val="002A6D68"/>
    <w:rsid w:val="002A6D75"/>
    <w:rsid w:val="002A6E87"/>
    <w:rsid w:val="002A7224"/>
    <w:rsid w:val="002A7868"/>
    <w:rsid w:val="002A7CD8"/>
    <w:rsid w:val="002B0082"/>
    <w:rsid w:val="002B0137"/>
    <w:rsid w:val="002B0BF6"/>
    <w:rsid w:val="002B11E1"/>
    <w:rsid w:val="002B1420"/>
    <w:rsid w:val="002B1597"/>
    <w:rsid w:val="002B191E"/>
    <w:rsid w:val="002B22F6"/>
    <w:rsid w:val="002B2963"/>
    <w:rsid w:val="002B30EF"/>
    <w:rsid w:val="002B3431"/>
    <w:rsid w:val="002B34C8"/>
    <w:rsid w:val="002B37BC"/>
    <w:rsid w:val="002B45A9"/>
    <w:rsid w:val="002B4702"/>
    <w:rsid w:val="002B4BEA"/>
    <w:rsid w:val="002B58D1"/>
    <w:rsid w:val="002B58E5"/>
    <w:rsid w:val="002B629E"/>
    <w:rsid w:val="002B676A"/>
    <w:rsid w:val="002B681F"/>
    <w:rsid w:val="002B68F5"/>
    <w:rsid w:val="002B69C4"/>
    <w:rsid w:val="002B6E1F"/>
    <w:rsid w:val="002B712D"/>
    <w:rsid w:val="002B7371"/>
    <w:rsid w:val="002B739B"/>
    <w:rsid w:val="002B78F1"/>
    <w:rsid w:val="002B7E50"/>
    <w:rsid w:val="002B7FB6"/>
    <w:rsid w:val="002C05F6"/>
    <w:rsid w:val="002C05FD"/>
    <w:rsid w:val="002C064B"/>
    <w:rsid w:val="002C0E85"/>
    <w:rsid w:val="002C1285"/>
    <w:rsid w:val="002C12BB"/>
    <w:rsid w:val="002C1871"/>
    <w:rsid w:val="002C1A57"/>
    <w:rsid w:val="002C1AB2"/>
    <w:rsid w:val="002C1C0F"/>
    <w:rsid w:val="002C1FBF"/>
    <w:rsid w:val="002C22BA"/>
    <w:rsid w:val="002C235A"/>
    <w:rsid w:val="002C25D4"/>
    <w:rsid w:val="002C2A0F"/>
    <w:rsid w:val="002C2AF7"/>
    <w:rsid w:val="002C3017"/>
    <w:rsid w:val="002C316B"/>
    <w:rsid w:val="002C31A4"/>
    <w:rsid w:val="002C3599"/>
    <w:rsid w:val="002C3AC7"/>
    <w:rsid w:val="002C3E5B"/>
    <w:rsid w:val="002C3F43"/>
    <w:rsid w:val="002C3F5B"/>
    <w:rsid w:val="002C4AAD"/>
    <w:rsid w:val="002C5783"/>
    <w:rsid w:val="002C58A7"/>
    <w:rsid w:val="002C5C9B"/>
    <w:rsid w:val="002C5F25"/>
    <w:rsid w:val="002C66E1"/>
    <w:rsid w:val="002C6983"/>
    <w:rsid w:val="002C6EB6"/>
    <w:rsid w:val="002C70D7"/>
    <w:rsid w:val="002C7119"/>
    <w:rsid w:val="002C72D7"/>
    <w:rsid w:val="002C7D1C"/>
    <w:rsid w:val="002D01ED"/>
    <w:rsid w:val="002D0219"/>
    <w:rsid w:val="002D06CD"/>
    <w:rsid w:val="002D0F74"/>
    <w:rsid w:val="002D100F"/>
    <w:rsid w:val="002D11D7"/>
    <w:rsid w:val="002D126D"/>
    <w:rsid w:val="002D18A2"/>
    <w:rsid w:val="002D1C98"/>
    <w:rsid w:val="002D1CE5"/>
    <w:rsid w:val="002D1D73"/>
    <w:rsid w:val="002D1E59"/>
    <w:rsid w:val="002D1F28"/>
    <w:rsid w:val="002D1F2C"/>
    <w:rsid w:val="002D2147"/>
    <w:rsid w:val="002D21F3"/>
    <w:rsid w:val="002D2E1F"/>
    <w:rsid w:val="002D2E5A"/>
    <w:rsid w:val="002D30BF"/>
    <w:rsid w:val="002D35FC"/>
    <w:rsid w:val="002D3906"/>
    <w:rsid w:val="002D3F85"/>
    <w:rsid w:val="002D4136"/>
    <w:rsid w:val="002D49D5"/>
    <w:rsid w:val="002D5015"/>
    <w:rsid w:val="002D5506"/>
    <w:rsid w:val="002D558E"/>
    <w:rsid w:val="002D55F6"/>
    <w:rsid w:val="002D588A"/>
    <w:rsid w:val="002D58AE"/>
    <w:rsid w:val="002D5F56"/>
    <w:rsid w:val="002D65FE"/>
    <w:rsid w:val="002D6E9B"/>
    <w:rsid w:val="002D74C6"/>
    <w:rsid w:val="002E0025"/>
    <w:rsid w:val="002E03B8"/>
    <w:rsid w:val="002E085F"/>
    <w:rsid w:val="002E0AB3"/>
    <w:rsid w:val="002E1134"/>
    <w:rsid w:val="002E14F3"/>
    <w:rsid w:val="002E1639"/>
    <w:rsid w:val="002E2321"/>
    <w:rsid w:val="002E299A"/>
    <w:rsid w:val="002E29DB"/>
    <w:rsid w:val="002E2A3E"/>
    <w:rsid w:val="002E324E"/>
    <w:rsid w:val="002E33D7"/>
    <w:rsid w:val="002E43EE"/>
    <w:rsid w:val="002E45B6"/>
    <w:rsid w:val="002E4634"/>
    <w:rsid w:val="002E477D"/>
    <w:rsid w:val="002E4965"/>
    <w:rsid w:val="002E4BD9"/>
    <w:rsid w:val="002E5526"/>
    <w:rsid w:val="002E56EE"/>
    <w:rsid w:val="002E56FE"/>
    <w:rsid w:val="002E5ABA"/>
    <w:rsid w:val="002E5DF1"/>
    <w:rsid w:val="002E5EBA"/>
    <w:rsid w:val="002E6045"/>
    <w:rsid w:val="002E64B7"/>
    <w:rsid w:val="002E650A"/>
    <w:rsid w:val="002E669F"/>
    <w:rsid w:val="002E6737"/>
    <w:rsid w:val="002E67BA"/>
    <w:rsid w:val="002E6940"/>
    <w:rsid w:val="002E698F"/>
    <w:rsid w:val="002E76A0"/>
    <w:rsid w:val="002E7868"/>
    <w:rsid w:val="002E7E42"/>
    <w:rsid w:val="002F0196"/>
    <w:rsid w:val="002F05CF"/>
    <w:rsid w:val="002F0727"/>
    <w:rsid w:val="002F0E32"/>
    <w:rsid w:val="002F0F20"/>
    <w:rsid w:val="002F1170"/>
    <w:rsid w:val="002F18C4"/>
    <w:rsid w:val="002F1ECE"/>
    <w:rsid w:val="002F24E5"/>
    <w:rsid w:val="002F271B"/>
    <w:rsid w:val="002F2E07"/>
    <w:rsid w:val="002F31AF"/>
    <w:rsid w:val="002F31D0"/>
    <w:rsid w:val="002F32A8"/>
    <w:rsid w:val="002F35BE"/>
    <w:rsid w:val="002F38F0"/>
    <w:rsid w:val="002F4597"/>
    <w:rsid w:val="002F4D1D"/>
    <w:rsid w:val="002F5253"/>
    <w:rsid w:val="002F5387"/>
    <w:rsid w:val="002F5927"/>
    <w:rsid w:val="002F5988"/>
    <w:rsid w:val="002F5BEA"/>
    <w:rsid w:val="002F5D47"/>
    <w:rsid w:val="002F6AC6"/>
    <w:rsid w:val="002F6AE5"/>
    <w:rsid w:val="002F6BB7"/>
    <w:rsid w:val="002F756C"/>
    <w:rsid w:val="002F75A2"/>
    <w:rsid w:val="002F783B"/>
    <w:rsid w:val="002F7B41"/>
    <w:rsid w:val="003000F9"/>
    <w:rsid w:val="00300982"/>
    <w:rsid w:val="00300FF8"/>
    <w:rsid w:val="003013FB"/>
    <w:rsid w:val="00301607"/>
    <w:rsid w:val="003018BA"/>
    <w:rsid w:val="00301948"/>
    <w:rsid w:val="00301CD9"/>
    <w:rsid w:val="0030221F"/>
    <w:rsid w:val="00302475"/>
    <w:rsid w:val="0030259F"/>
    <w:rsid w:val="00302A4E"/>
    <w:rsid w:val="00302DCB"/>
    <w:rsid w:val="00303F3F"/>
    <w:rsid w:val="00303FAF"/>
    <w:rsid w:val="0030405D"/>
    <w:rsid w:val="00304480"/>
    <w:rsid w:val="003047F8"/>
    <w:rsid w:val="00304E25"/>
    <w:rsid w:val="00304E4C"/>
    <w:rsid w:val="003051B4"/>
    <w:rsid w:val="0030568E"/>
    <w:rsid w:val="003056B8"/>
    <w:rsid w:val="00305BDC"/>
    <w:rsid w:val="00305C4E"/>
    <w:rsid w:val="00305E07"/>
    <w:rsid w:val="00305FAF"/>
    <w:rsid w:val="00306775"/>
    <w:rsid w:val="00306AE0"/>
    <w:rsid w:val="00307148"/>
    <w:rsid w:val="00307630"/>
    <w:rsid w:val="0030772A"/>
    <w:rsid w:val="00307869"/>
    <w:rsid w:val="00307BA0"/>
    <w:rsid w:val="00310155"/>
    <w:rsid w:val="00310260"/>
    <w:rsid w:val="003102A3"/>
    <w:rsid w:val="003102E1"/>
    <w:rsid w:val="003104A6"/>
    <w:rsid w:val="00310AF0"/>
    <w:rsid w:val="00311AC5"/>
    <w:rsid w:val="00312063"/>
    <w:rsid w:val="0031291B"/>
    <w:rsid w:val="00312A30"/>
    <w:rsid w:val="00312D73"/>
    <w:rsid w:val="0031334F"/>
    <w:rsid w:val="0031354E"/>
    <w:rsid w:val="00313605"/>
    <w:rsid w:val="00313A86"/>
    <w:rsid w:val="00313B1B"/>
    <w:rsid w:val="00313B5C"/>
    <w:rsid w:val="00313C3C"/>
    <w:rsid w:val="00314326"/>
    <w:rsid w:val="00314C1E"/>
    <w:rsid w:val="003150D4"/>
    <w:rsid w:val="003159E3"/>
    <w:rsid w:val="00315A16"/>
    <w:rsid w:val="00315BFC"/>
    <w:rsid w:val="00315CC1"/>
    <w:rsid w:val="00315D6C"/>
    <w:rsid w:val="00315E29"/>
    <w:rsid w:val="00315F15"/>
    <w:rsid w:val="00315F59"/>
    <w:rsid w:val="00316083"/>
    <w:rsid w:val="003162BD"/>
    <w:rsid w:val="0031644D"/>
    <w:rsid w:val="00316B36"/>
    <w:rsid w:val="00316D55"/>
    <w:rsid w:val="00316DA0"/>
    <w:rsid w:val="00316E87"/>
    <w:rsid w:val="003177B5"/>
    <w:rsid w:val="0031783D"/>
    <w:rsid w:val="0031789C"/>
    <w:rsid w:val="00317A4B"/>
    <w:rsid w:val="00317ABB"/>
    <w:rsid w:val="00317C5F"/>
    <w:rsid w:val="00317CBF"/>
    <w:rsid w:val="00320C5C"/>
    <w:rsid w:val="00320D33"/>
    <w:rsid w:val="00320E1B"/>
    <w:rsid w:val="003210B0"/>
    <w:rsid w:val="00321346"/>
    <w:rsid w:val="00321CB4"/>
    <w:rsid w:val="00322110"/>
    <w:rsid w:val="00322579"/>
    <w:rsid w:val="0032261B"/>
    <w:rsid w:val="00323366"/>
    <w:rsid w:val="00323CF2"/>
    <w:rsid w:val="00323FDD"/>
    <w:rsid w:val="003244C4"/>
    <w:rsid w:val="0032455B"/>
    <w:rsid w:val="003246F9"/>
    <w:rsid w:val="00324898"/>
    <w:rsid w:val="00324E94"/>
    <w:rsid w:val="00325033"/>
    <w:rsid w:val="00325140"/>
    <w:rsid w:val="00325146"/>
    <w:rsid w:val="00325494"/>
    <w:rsid w:val="00325692"/>
    <w:rsid w:val="00325774"/>
    <w:rsid w:val="003259C7"/>
    <w:rsid w:val="00325C19"/>
    <w:rsid w:val="00325FBC"/>
    <w:rsid w:val="00326538"/>
    <w:rsid w:val="00326DCF"/>
    <w:rsid w:val="003272F4"/>
    <w:rsid w:val="00327755"/>
    <w:rsid w:val="003277E7"/>
    <w:rsid w:val="003278CC"/>
    <w:rsid w:val="003278EF"/>
    <w:rsid w:val="00327952"/>
    <w:rsid w:val="00327A26"/>
    <w:rsid w:val="00327F3B"/>
    <w:rsid w:val="0033073D"/>
    <w:rsid w:val="0033093D"/>
    <w:rsid w:val="003313C9"/>
    <w:rsid w:val="00331447"/>
    <w:rsid w:val="0033153E"/>
    <w:rsid w:val="00331805"/>
    <w:rsid w:val="003323F7"/>
    <w:rsid w:val="003324B3"/>
    <w:rsid w:val="0033339D"/>
    <w:rsid w:val="00333E32"/>
    <w:rsid w:val="00334344"/>
    <w:rsid w:val="003345CF"/>
    <w:rsid w:val="00334E47"/>
    <w:rsid w:val="003353EE"/>
    <w:rsid w:val="00336148"/>
    <w:rsid w:val="00336549"/>
    <w:rsid w:val="00336930"/>
    <w:rsid w:val="00336A83"/>
    <w:rsid w:val="00336DCD"/>
    <w:rsid w:val="003373F9"/>
    <w:rsid w:val="003374EB"/>
    <w:rsid w:val="00337723"/>
    <w:rsid w:val="00337BF0"/>
    <w:rsid w:val="00340183"/>
    <w:rsid w:val="0034052C"/>
    <w:rsid w:val="0034076A"/>
    <w:rsid w:val="003409B3"/>
    <w:rsid w:val="00340BB1"/>
    <w:rsid w:val="00341147"/>
    <w:rsid w:val="003411FA"/>
    <w:rsid w:val="0034133F"/>
    <w:rsid w:val="003418A8"/>
    <w:rsid w:val="00341D6F"/>
    <w:rsid w:val="003421FB"/>
    <w:rsid w:val="0034227B"/>
    <w:rsid w:val="00342404"/>
    <w:rsid w:val="003425DB"/>
    <w:rsid w:val="00342A2A"/>
    <w:rsid w:val="00342A9C"/>
    <w:rsid w:val="00343992"/>
    <w:rsid w:val="00343E6F"/>
    <w:rsid w:val="00344184"/>
    <w:rsid w:val="00344C7A"/>
    <w:rsid w:val="00344D02"/>
    <w:rsid w:val="00344E87"/>
    <w:rsid w:val="00344F1D"/>
    <w:rsid w:val="003452DD"/>
    <w:rsid w:val="00345400"/>
    <w:rsid w:val="003459E0"/>
    <w:rsid w:val="00345A36"/>
    <w:rsid w:val="00345AB6"/>
    <w:rsid w:val="00345C73"/>
    <w:rsid w:val="003468D9"/>
    <w:rsid w:val="00346AB5"/>
    <w:rsid w:val="00346F88"/>
    <w:rsid w:val="003479F7"/>
    <w:rsid w:val="00347B2D"/>
    <w:rsid w:val="00347D2E"/>
    <w:rsid w:val="0035093A"/>
    <w:rsid w:val="00350EDE"/>
    <w:rsid w:val="00351476"/>
    <w:rsid w:val="00351AF4"/>
    <w:rsid w:val="00351B9E"/>
    <w:rsid w:val="00351D94"/>
    <w:rsid w:val="00352532"/>
    <w:rsid w:val="003526C3"/>
    <w:rsid w:val="00352D24"/>
    <w:rsid w:val="00352DAC"/>
    <w:rsid w:val="00352DE9"/>
    <w:rsid w:val="003532DF"/>
    <w:rsid w:val="003532F2"/>
    <w:rsid w:val="0035357B"/>
    <w:rsid w:val="00353853"/>
    <w:rsid w:val="00353B11"/>
    <w:rsid w:val="00353B39"/>
    <w:rsid w:val="00354408"/>
    <w:rsid w:val="00354438"/>
    <w:rsid w:val="003548D4"/>
    <w:rsid w:val="003548F4"/>
    <w:rsid w:val="00354B25"/>
    <w:rsid w:val="00354D26"/>
    <w:rsid w:val="00355B02"/>
    <w:rsid w:val="00356BB5"/>
    <w:rsid w:val="003571A8"/>
    <w:rsid w:val="003573EB"/>
    <w:rsid w:val="0035792E"/>
    <w:rsid w:val="00357DEB"/>
    <w:rsid w:val="00357E3D"/>
    <w:rsid w:val="00357E56"/>
    <w:rsid w:val="00357E75"/>
    <w:rsid w:val="00357FA1"/>
    <w:rsid w:val="00360206"/>
    <w:rsid w:val="00360663"/>
    <w:rsid w:val="00360D69"/>
    <w:rsid w:val="00360DE3"/>
    <w:rsid w:val="00361133"/>
    <w:rsid w:val="00361165"/>
    <w:rsid w:val="003613FC"/>
    <w:rsid w:val="003617FF"/>
    <w:rsid w:val="003619F7"/>
    <w:rsid w:val="00361E28"/>
    <w:rsid w:val="0036247D"/>
    <w:rsid w:val="00362B10"/>
    <w:rsid w:val="00363027"/>
    <w:rsid w:val="0036392A"/>
    <w:rsid w:val="00363B95"/>
    <w:rsid w:val="00364137"/>
    <w:rsid w:val="00364351"/>
    <w:rsid w:val="00364BA9"/>
    <w:rsid w:val="00364E41"/>
    <w:rsid w:val="003658B8"/>
    <w:rsid w:val="00365EDD"/>
    <w:rsid w:val="00365F06"/>
    <w:rsid w:val="0036604F"/>
    <w:rsid w:val="003664F3"/>
    <w:rsid w:val="00366A29"/>
    <w:rsid w:val="00366A9F"/>
    <w:rsid w:val="00366B87"/>
    <w:rsid w:val="00367060"/>
    <w:rsid w:val="003670C6"/>
    <w:rsid w:val="00367AA3"/>
    <w:rsid w:val="00367F9F"/>
    <w:rsid w:val="00370122"/>
    <w:rsid w:val="003702FC"/>
    <w:rsid w:val="003704A9"/>
    <w:rsid w:val="00370D79"/>
    <w:rsid w:val="00371877"/>
    <w:rsid w:val="003718E5"/>
    <w:rsid w:val="00372200"/>
    <w:rsid w:val="003723CE"/>
    <w:rsid w:val="00372680"/>
    <w:rsid w:val="003726BF"/>
    <w:rsid w:val="003726E9"/>
    <w:rsid w:val="00372C99"/>
    <w:rsid w:val="00372F7F"/>
    <w:rsid w:val="003733C1"/>
    <w:rsid w:val="00373849"/>
    <w:rsid w:val="00373E42"/>
    <w:rsid w:val="00373E55"/>
    <w:rsid w:val="00373E77"/>
    <w:rsid w:val="00374002"/>
    <w:rsid w:val="0037418F"/>
    <w:rsid w:val="003741AC"/>
    <w:rsid w:val="003741CF"/>
    <w:rsid w:val="003744FC"/>
    <w:rsid w:val="003748AA"/>
    <w:rsid w:val="00374DC1"/>
    <w:rsid w:val="0037515B"/>
    <w:rsid w:val="003753DC"/>
    <w:rsid w:val="0037548C"/>
    <w:rsid w:val="00375AE1"/>
    <w:rsid w:val="00375C10"/>
    <w:rsid w:val="00375D1E"/>
    <w:rsid w:val="00375E11"/>
    <w:rsid w:val="00375EA8"/>
    <w:rsid w:val="00375EF6"/>
    <w:rsid w:val="0037606E"/>
    <w:rsid w:val="003764F6"/>
    <w:rsid w:val="00376687"/>
    <w:rsid w:val="00376F78"/>
    <w:rsid w:val="00377752"/>
    <w:rsid w:val="00377B1D"/>
    <w:rsid w:val="00377C82"/>
    <w:rsid w:val="00380361"/>
    <w:rsid w:val="0038037C"/>
    <w:rsid w:val="00380426"/>
    <w:rsid w:val="003809A0"/>
    <w:rsid w:val="00380C79"/>
    <w:rsid w:val="003813C8"/>
    <w:rsid w:val="0038191B"/>
    <w:rsid w:val="00381947"/>
    <w:rsid w:val="00381A70"/>
    <w:rsid w:val="00381D74"/>
    <w:rsid w:val="0038211E"/>
    <w:rsid w:val="00382501"/>
    <w:rsid w:val="003825ED"/>
    <w:rsid w:val="0038269F"/>
    <w:rsid w:val="00382E74"/>
    <w:rsid w:val="00383B45"/>
    <w:rsid w:val="0038449D"/>
    <w:rsid w:val="00384583"/>
    <w:rsid w:val="00384970"/>
    <w:rsid w:val="00385B1F"/>
    <w:rsid w:val="00385CEE"/>
    <w:rsid w:val="00385EFB"/>
    <w:rsid w:val="003860EA"/>
    <w:rsid w:val="00386469"/>
    <w:rsid w:val="00386512"/>
    <w:rsid w:val="00386538"/>
    <w:rsid w:val="003868E0"/>
    <w:rsid w:val="0038712E"/>
    <w:rsid w:val="003876FC"/>
    <w:rsid w:val="00387839"/>
    <w:rsid w:val="00387D31"/>
    <w:rsid w:val="00387F89"/>
    <w:rsid w:val="0039068F"/>
    <w:rsid w:val="00390A69"/>
    <w:rsid w:val="0039108D"/>
    <w:rsid w:val="003916FA"/>
    <w:rsid w:val="00391FD5"/>
    <w:rsid w:val="00392134"/>
    <w:rsid w:val="0039296F"/>
    <w:rsid w:val="00392F25"/>
    <w:rsid w:val="003937A7"/>
    <w:rsid w:val="00393BE2"/>
    <w:rsid w:val="00393EA3"/>
    <w:rsid w:val="003945BB"/>
    <w:rsid w:val="00394690"/>
    <w:rsid w:val="00394870"/>
    <w:rsid w:val="003949FB"/>
    <w:rsid w:val="00394A02"/>
    <w:rsid w:val="00394A44"/>
    <w:rsid w:val="00394AD1"/>
    <w:rsid w:val="00394FEC"/>
    <w:rsid w:val="0039632D"/>
    <w:rsid w:val="00396379"/>
    <w:rsid w:val="00396B1E"/>
    <w:rsid w:val="00397393"/>
    <w:rsid w:val="00397520"/>
    <w:rsid w:val="003977C3"/>
    <w:rsid w:val="00397A7C"/>
    <w:rsid w:val="00397FCB"/>
    <w:rsid w:val="003A00A5"/>
    <w:rsid w:val="003A03D1"/>
    <w:rsid w:val="003A04C3"/>
    <w:rsid w:val="003A0504"/>
    <w:rsid w:val="003A06D6"/>
    <w:rsid w:val="003A0ABE"/>
    <w:rsid w:val="003A0F03"/>
    <w:rsid w:val="003A10CA"/>
    <w:rsid w:val="003A115E"/>
    <w:rsid w:val="003A163C"/>
    <w:rsid w:val="003A16AC"/>
    <w:rsid w:val="003A1877"/>
    <w:rsid w:val="003A1A39"/>
    <w:rsid w:val="003A2297"/>
    <w:rsid w:val="003A239A"/>
    <w:rsid w:val="003A251A"/>
    <w:rsid w:val="003A254A"/>
    <w:rsid w:val="003A2969"/>
    <w:rsid w:val="003A2EA2"/>
    <w:rsid w:val="003A384B"/>
    <w:rsid w:val="003A3E2B"/>
    <w:rsid w:val="003A3E58"/>
    <w:rsid w:val="003A4A8F"/>
    <w:rsid w:val="003A4C9D"/>
    <w:rsid w:val="003A4E89"/>
    <w:rsid w:val="003A4F47"/>
    <w:rsid w:val="003A54C3"/>
    <w:rsid w:val="003A56C3"/>
    <w:rsid w:val="003A56DD"/>
    <w:rsid w:val="003A571C"/>
    <w:rsid w:val="003A580C"/>
    <w:rsid w:val="003A5B4F"/>
    <w:rsid w:val="003A5D5F"/>
    <w:rsid w:val="003A5E88"/>
    <w:rsid w:val="003A60AB"/>
    <w:rsid w:val="003A6737"/>
    <w:rsid w:val="003A6754"/>
    <w:rsid w:val="003A6A14"/>
    <w:rsid w:val="003A702B"/>
    <w:rsid w:val="003A741E"/>
    <w:rsid w:val="003A74AD"/>
    <w:rsid w:val="003A77D8"/>
    <w:rsid w:val="003A7968"/>
    <w:rsid w:val="003A7DAC"/>
    <w:rsid w:val="003B0120"/>
    <w:rsid w:val="003B05FC"/>
    <w:rsid w:val="003B0D0D"/>
    <w:rsid w:val="003B0F80"/>
    <w:rsid w:val="003B13AA"/>
    <w:rsid w:val="003B1456"/>
    <w:rsid w:val="003B1B13"/>
    <w:rsid w:val="003B217F"/>
    <w:rsid w:val="003B26BF"/>
    <w:rsid w:val="003B2AE9"/>
    <w:rsid w:val="003B2CA1"/>
    <w:rsid w:val="003B2E69"/>
    <w:rsid w:val="003B2E9D"/>
    <w:rsid w:val="003B3085"/>
    <w:rsid w:val="003B379C"/>
    <w:rsid w:val="003B3BB2"/>
    <w:rsid w:val="003B3C9F"/>
    <w:rsid w:val="003B3CD6"/>
    <w:rsid w:val="003B43E2"/>
    <w:rsid w:val="003B4601"/>
    <w:rsid w:val="003B46A1"/>
    <w:rsid w:val="003B4988"/>
    <w:rsid w:val="003B49E4"/>
    <w:rsid w:val="003B4E9D"/>
    <w:rsid w:val="003B5192"/>
    <w:rsid w:val="003B526E"/>
    <w:rsid w:val="003B5496"/>
    <w:rsid w:val="003B5708"/>
    <w:rsid w:val="003B5794"/>
    <w:rsid w:val="003B58D0"/>
    <w:rsid w:val="003B59ED"/>
    <w:rsid w:val="003B5B35"/>
    <w:rsid w:val="003B6223"/>
    <w:rsid w:val="003B6530"/>
    <w:rsid w:val="003B66E0"/>
    <w:rsid w:val="003B6931"/>
    <w:rsid w:val="003B6979"/>
    <w:rsid w:val="003B6A0B"/>
    <w:rsid w:val="003B6ABA"/>
    <w:rsid w:val="003B6F72"/>
    <w:rsid w:val="003B70B5"/>
    <w:rsid w:val="003B7304"/>
    <w:rsid w:val="003B7367"/>
    <w:rsid w:val="003B73CF"/>
    <w:rsid w:val="003B75D6"/>
    <w:rsid w:val="003B78A9"/>
    <w:rsid w:val="003C06A9"/>
    <w:rsid w:val="003C13CA"/>
    <w:rsid w:val="003C145A"/>
    <w:rsid w:val="003C15C5"/>
    <w:rsid w:val="003C173F"/>
    <w:rsid w:val="003C2031"/>
    <w:rsid w:val="003C2098"/>
    <w:rsid w:val="003C2902"/>
    <w:rsid w:val="003C298A"/>
    <w:rsid w:val="003C2CD3"/>
    <w:rsid w:val="003C2E14"/>
    <w:rsid w:val="003C32B8"/>
    <w:rsid w:val="003C34F9"/>
    <w:rsid w:val="003C35FA"/>
    <w:rsid w:val="003C387A"/>
    <w:rsid w:val="003C3B09"/>
    <w:rsid w:val="003C3C3C"/>
    <w:rsid w:val="003C3C98"/>
    <w:rsid w:val="003C3EEE"/>
    <w:rsid w:val="003C4FB5"/>
    <w:rsid w:val="003C5151"/>
    <w:rsid w:val="003C5BF8"/>
    <w:rsid w:val="003C5C3B"/>
    <w:rsid w:val="003C5CF9"/>
    <w:rsid w:val="003C62E1"/>
    <w:rsid w:val="003C676B"/>
    <w:rsid w:val="003C6ADF"/>
    <w:rsid w:val="003C70BB"/>
    <w:rsid w:val="003C7231"/>
    <w:rsid w:val="003C73D1"/>
    <w:rsid w:val="003C7EF1"/>
    <w:rsid w:val="003D02E8"/>
    <w:rsid w:val="003D04E6"/>
    <w:rsid w:val="003D0726"/>
    <w:rsid w:val="003D0910"/>
    <w:rsid w:val="003D09D1"/>
    <w:rsid w:val="003D0A4E"/>
    <w:rsid w:val="003D0DD4"/>
    <w:rsid w:val="003D184C"/>
    <w:rsid w:val="003D19A9"/>
    <w:rsid w:val="003D1A58"/>
    <w:rsid w:val="003D1B51"/>
    <w:rsid w:val="003D1E73"/>
    <w:rsid w:val="003D20BE"/>
    <w:rsid w:val="003D226A"/>
    <w:rsid w:val="003D305E"/>
    <w:rsid w:val="003D32E7"/>
    <w:rsid w:val="003D34A7"/>
    <w:rsid w:val="003D37D5"/>
    <w:rsid w:val="003D37F9"/>
    <w:rsid w:val="003D3A0A"/>
    <w:rsid w:val="003D3BB6"/>
    <w:rsid w:val="003D3D8E"/>
    <w:rsid w:val="003D4320"/>
    <w:rsid w:val="003D504D"/>
    <w:rsid w:val="003D561F"/>
    <w:rsid w:val="003D58ED"/>
    <w:rsid w:val="003D5A09"/>
    <w:rsid w:val="003D5BBB"/>
    <w:rsid w:val="003D5EFA"/>
    <w:rsid w:val="003D647F"/>
    <w:rsid w:val="003D65E4"/>
    <w:rsid w:val="003D667A"/>
    <w:rsid w:val="003D69E5"/>
    <w:rsid w:val="003D6E1D"/>
    <w:rsid w:val="003D703C"/>
    <w:rsid w:val="003D74D3"/>
    <w:rsid w:val="003D77B1"/>
    <w:rsid w:val="003D7A3E"/>
    <w:rsid w:val="003D7ADE"/>
    <w:rsid w:val="003D7FE3"/>
    <w:rsid w:val="003E03DF"/>
    <w:rsid w:val="003E0693"/>
    <w:rsid w:val="003E0C06"/>
    <w:rsid w:val="003E0EC7"/>
    <w:rsid w:val="003E154D"/>
    <w:rsid w:val="003E16D2"/>
    <w:rsid w:val="003E1D14"/>
    <w:rsid w:val="003E1D8D"/>
    <w:rsid w:val="003E1DCE"/>
    <w:rsid w:val="003E2113"/>
    <w:rsid w:val="003E25CF"/>
    <w:rsid w:val="003E27A4"/>
    <w:rsid w:val="003E29D6"/>
    <w:rsid w:val="003E2C4B"/>
    <w:rsid w:val="003E33D8"/>
    <w:rsid w:val="003E3525"/>
    <w:rsid w:val="003E37B3"/>
    <w:rsid w:val="003E46C6"/>
    <w:rsid w:val="003E46EC"/>
    <w:rsid w:val="003E4839"/>
    <w:rsid w:val="003E487E"/>
    <w:rsid w:val="003E4C98"/>
    <w:rsid w:val="003E54F6"/>
    <w:rsid w:val="003E5845"/>
    <w:rsid w:val="003E5940"/>
    <w:rsid w:val="003E5A59"/>
    <w:rsid w:val="003E5BFC"/>
    <w:rsid w:val="003E5FB0"/>
    <w:rsid w:val="003E651A"/>
    <w:rsid w:val="003E667B"/>
    <w:rsid w:val="003E6F3A"/>
    <w:rsid w:val="003E7153"/>
    <w:rsid w:val="003E7444"/>
    <w:rsid w:val="003E75F7"/>
    <w:rsid w:val="003E785A"/>
    <w:rsid w:val="003E7FF3"/>
    <w:rsid w:val="003F019E"/>
    <w:rsid w:val="003F02ED"/>
    <w:rsid w:val="003F0346"/>
    <w:rsid w:val="003F057A"/>
    <w:rsid w:val="003F076C"/>
    <w:rsid w:val="003F0F25"/>
    <w:rsid w:val="003F1182"/>
    <w:rsid w:val="003F12AF"/>
    <w:rsid w:val="003F138F"/>
    <w:rsid w:val="003F13E4"/>
    <w:rsid w:val="003F1BB0"/>
    <w:rsid w:val="003F1F72"/>
    <w:rsid w:val="003F21BD"/>
    <w:rsid w:val="003F245D"/>
    <w:rsid w:val="003F2463"/>
    <w:rsid w:val="003F2BF4"/>
    <w:rsid w:val="003F3136"/>
    <w:rsid w:val="003F33FC"/>
    <w:rsid w:val="003F3A7A"/>
    <w:rsid w:val="003F3BD3"/>
    <w:rsid w:val="003F4266"/>
    <w:rsid w:val="003F4278"/>
    <w:rsid w:val="003F462D"/>
    <w:rsid w:val="003F46B2"/>
    <w:rsid w:val="003F46CE"/>
    <w:rsid w:val="003F49F7"/>
    <w:rsid w:val="003F4E94"/>
    <w:rsid w:val="003F5341"/>
    <w:rsid w:val="003F5466"/>
    <w:rsid w:val="003F557F"/>
    <w:rsid w:val="003F5886"/>
    <w:rsid w:val="003F5B64"/>
    <w:rsid w:val="003F5DFF"/>
    <w:rsid w:val="003F64F2"/>
    <w:rsid w:val="003F66A1"/>
    <w:rsid w:val="003F6789"/>
    <w:rsid w:val="003F6AB9"/>
    <w:rsid w:val="003F6D97"/>
    <w:rsid w:val="003F6DBB"/>
    <w:rsid w:val="003F6E42"/>
    <w:rsid w:val="003F71BD"/>
    <w:rsid w:val="003F7469"/>
    <w:rsid w:val="003F74BA"/>
    <w:rsid w:val="003F7795"/>
    <w:rsid w:val="003F7A8C"/>
    <w:rsid w:val="00400678"/>
    <w:rsid w:val="004007B6"/>
    <w:rsid w:val="00400903"/>
    <w:rsid w:val="00400AC3"/>
    <w:rsid w:val="00400B33"/>
    <w:rsid w:val="00400D16"/>
    <w:rsid w:val="004011C8"/>
    <w:rsid w:val="00401465"/>
    <w:rsid w:val="00401753"/>
    <w:rsid w:val="004019BD"/>
    <w:rsid w:val="00401ED7"/>
    <w:rsid w:val="004020A1"/>
    <w:rsid w:val="00402BED"/>
    <w:rsid w:val="00402C09"/>
    <w:rsid w:val="00402C17"/>
    <w:rsid w:val="00402D53"/>
    <w:rsid w:val="00402E00"/>
    <w:rsid w:val="00403719"/>
    <w:rsid w:val="0040434E"/>
    <w:rsid w:val="004046B9"/>
    <w:rsid w:val="004046E3"/>
    <w:rsid w:val="00404F4E"/>
    <w:rsid w:val="0040520D"/>
    <w:rsid w:val="00405388"/>
    <w:rsid w:val="00405531"/>
    <w:rsid w:val="004059D9"/>
    <w:rsid w:val="00405CD8"/>
    <w:rsid w:val="00405E1E"/>
    <w:rsid w:val="00405EFC"/>
    <w:rsid w:val="004069C6"/>
    <w:rsid w:val="00406A12"/>
    <w:rsid w:val="00406FA8"/>
    <w:rsid w:val="00407297"/>
    <w:rsid w:val="004077C7"/>
    <w:rsid w:val="00410CE7"/>
    <w:rsid w:val="00411275"/>
    <w:rsid w:val="004112EC"/>
    <w:rsid w:val="00411A39"/>
    <w:rsid w:val="00411B2B"/>
    <w:rsid w:val="00411E2A"/>
    <w:rsid w:val="0041211B"/>
    <w:rsid w:val="004124AC"/>
    <w:rsid w:val="004125E1"/>
    <w:rsid w:val="00412C80"/>
    <w:rsid w:val="00412D5C"/>
    <w:rsid w:val="00413150"/>
    <w:rsid w:val="00413305"/>
    <w:rsid w:val="00413442"/>
    <w:rsid w:val="00413514"/>
    <w:rsid w:val="004135A9"/>
    <w:rsid w:val="00413AAA"/>
    <w:rsid w:val="00413B20"/>
    <w:rsid w:val="00413BD2"/>
    <w:rsid w:val="00413DD0"/>
    <w:rsid w:val="00414896"/>
    <w:rsid w:val="00414F83"/>
    <w:rsid w:val="004151F8"/>
    <w:rsid w:val="004151F9"/>
    <w:rsid w:val="00415386"/>
    <w:rsid w:val="004159FC"/>
    <w:rsid w:val="00415A45"/>
    <w:rsid w:val="00415A6F"/>
    <w:rsid w:val="00415E7E"/>
    <w:rsid w:val="00415FF9"/>
    <w:rsid w:val="004165C7"/>
    <w:rsid w:val="004166E4"/>
    <w:rsid w:val="0041679D"/>
    <w:rsid w:val="00416BE2"/>
    <w:rsid w:val="00416F76"/>
    <w:rsid w:val="0041728D"/>
    <w:rsid w:val="004172DF"/>
    <w:rsid w:val="0041750B"/>
    <w:rsid w:val="004175A2"/>
    <w:rsid w:val="00417646"/>
    <w:rsid w:val="0041783E"/>
    <w:rsid w:val="00417B72"/>
    <w:rsid w:val="00417CDC"/>
    <w:rsid w:val="00417FA9"/>
    <w:rsid w:val="00420048"/>
    <w:rsid w:val="004201D7"/>
    <w:rsid w:val="004204BB"/>
    <w:rsid w:val="0042060B"/>
    <w:rsid w:val="004207BE"/>
    <w:rsid w:val="0042086C"/>
    <w:rsid w:val="0042095B"/>
    <w:rsid w:val="00420EB2"/>
    <w:rsid w:val="00421059"/>
    <w:rsid w:val="004213EC"/>
    <w:rsid w:val="0042164B"/>
    <w:rsid w:val="004217D6"/>
    <w:rsid w:val="00421D91"/>
    <w:rsid w:val="00421FE3"/>
    <w:rsid w:val="00422391"/>
    <w:rsid w:val="004225EE"/>
    <w:rsid w:val="004228F9"/>
    <w:rsid w:val="00422ED5"/>
    <w:rsid w:val="00423220"/>
    <w:rsid w:val="004232BE"/>
    <w:rsid w:val="00423676"/>
    <w:rsid w:val="0042369C"/>
    <w:rsid w:val="00423D28"/>
    <w:rsid w:val="0042419F"/>
    <w:rsid w:val="00424248"/>
    <w:rsid w:val="004244B0"/>
    <w:rsid w:val="004244D1"/>
    <w:rsid w:val="00424A8F"/>
    <w:rsid w:val="00424BDC"/>
    <w:rsid w:val="00424DEA"/>
    <w:rsid w:val="00425051"/>
    <w:rsid w:val="00425377"/>
    <w:rsid w:val="00425CFB"/>
    <w:rsid w:val="004261CF"/>
    <w:rsid w:val="00426725"/>
    <w:rsid w:val="00427749"/>
    <w:rsid w:val="0042775F"/>
    <w:rsid w:val="00427E61"/>
    <w:rsid w:val="00427FFB"/>
    <w:rsid w:val="00430107"/>
    <w:rsid w:val="004307C4"/>
    <w:rsid w:val="00430F44"/>
    <w:rsid w:val="00431CB0"/>
    <w:rsid w:val="00431D23"/>
    <w:rsid w:val="00431D9C"/>
    <w:rsid w:val="0043254B"/>
    <w:rsid w:val="0043289C"/>
    <w:rsid w:val="00433094"/>
    <w:rsid w:val="004339BB"/>
    <w:rsid w:val="00433A97"/>
    <w:rsid w:val="0043447A"/>
    <w:rsid w:val="00434586"/>
    <w:rsid w:val="004345AF"/>
    <w:rsid w:val="004345DF"/>
    <w:rsid w:val="004347BD"/>
    <w:rsid w:val="00434836"/>
    <w:rsid w:val="00434CFA"/>
    <w:rsid w:val="00435029"/>
    <w:rsid w:val="00435162"/>
    <w:rsid w:val="0043596B"/>
    <w:rsid w:val="0043598F"/>
    <w:rsid w:val="00435B5A"/>
    <w:rsid w:val="00436F39"/>
    <w:rsid w:val="00436FA5"/>
    <w:rsid w:val="004376A0"/>
    <w:rsid w:val="00437940"/>
    <w:rsid w:val="00437B27"/>
    <w:rsid w:val="00437B41"/>
    <w:rsid w:val="0044050A"/>
    <w:rsid w:val="004406C9"/>
    <w:rsid w:val="00440786"/>
    <w:rsid w:val="00440977"/>
    <w:rsid w:val="0044100F"/>
    <w:rsid w:val="0044150E"/>
    <w:rsid w:val="004415CE"/>
    <w:rsid w:val="00441982"/>
    <w:rsid w:val="00441CC5"/>
    <w:rsid w:val="00441D20"/>
    <w:rsid w:val="00441F10"/>
    <w:rsid w:val="00441FA6"/>
    <w:rsid w:val="0044297E"/>
    <w:rsid w:val="004429FC"/>
    <w:rsid w:val="00442CE4"/>
    <w:rsid w:val="00442D3E"/>
    <w:rsid w:val="00442DD3"/>
    <w:rsid w:val="00442E7C"/>
    <w:rsid w:val="00442F7C"/>
    <w:rsid w:val="00443116"/>
    <w:rsid w:val="0044324C"/>
    <w:rsid w:val="0044332E"/>
    <w:rsid w:val="00443C41"/>
    <w:rsid w:val="00443D1C"/>
    <w:rsid w:val="00443D80"/>
    <w:rsid w:val="004447D2"/>
    <w:rsid w:val="004448F0"/>
    <w:rsid w:val="00444ADF"/>
    <w:rsid w:val="00444DD5"/>
    <w:rsid w:val="00445047"/>
    <w:rsid w:val="004455A5"/>
    <w:rsid w:val="004457C3"/>
    <w:rsid w:val="00445D67"/>
    <w:rsid w:val="00446399"/>
    <w:rsid w:val="00446513"/>
    <w:rsid w:val="0044693A"/>
    <w:rsid w:val="004469A0"/>
    <w:rsid w:val="00446C11"/>
    <w:rsid w:val="004475C4"/>
    <w:rsid w:val="00447C83"/>
    <w:rsid w:val="00450139"/>
    <w:rsid w:val="0045026C"/>
    <w:rsid w:val="00450441"/>
    <w:rsid w:val="00450644"/>
    <w:rsid w:val="00451523"/>
    <w:rsid w:val="004522A7"/>
    <w:rsid w:val="0045283A"/>
    <w:rsid w:val="00452ABE"/>
    <w:rsid w:val="00452E40"/>
    <w:rsid w:val="00453C24"/>
    <w:rsid w:val="00454122"/>
    <w:rsid w:val="004546AC"/>
    <w:rsid w:val="00454914"/>
    <w:rsid w:val="0045515C"/>
    <w:rsid w:val="004553CE"/>
    <w:rsid w:val="004554F9"/>
    <w:rsid w:val="0045566B"/>
    <w:rsid w:val="00455A52"/>
    <w:rsid w:val="00455BE2"/>
    <w:rsid w:val="00455EF6"/>
    <w:rsid w:val="0045606F"/>
    <w:rsid w:val="0045638D"/>
    <w:rsid w:val="00456398"/>
    <w:rsid w:val="004569A4"/>
    <w:rsid w:val="00456A15"/>
    <w:rsid w:val="00456C67"/>
    <w:rsid w:val="00457248"/>
    <w:rsid w:val="0045726B"/>
    <w:rsid w:val="0045732A"/>
    <w:rsid w:val="00457428"/>
    <w:rsid w:val="00457595"/>
    <w:rsid w:val="00457CAB"/>
    <w:rsid w:val="004600FB"/>
    <w:rsid w:val="004602CE"/>
    <w:rsid w:val="0046030E"/>
    <w:rsid w:val="00460709"/>
    <w:rsid w:val="0046109A"/>
    <w:rsid w:val="004615A6"/>
    <w:rsid w:val="00461BCA"/>
    <w:rsid w:val="00461D27"/>
    <w:rsid w:val="00461E79"/>
    <w:rsid w:val="00462200"/>
    <w:rsid w:val="00462219"/>
    <w:rsid w:val="00462431"/>
    <w:rsid w:val="00462465"/>
    <w:rsid w:val="004625D1"/>
    <w:rsid w:val="0046293E"/>
    <w:rsid w:val="00462B32"/>
    <w:rsid w:val="00462BAA"/>
    <w:rsid w:val="00463352"/>
    <w:rsid w:val="004633F4"/>
    <w:rsid w:val="00463BAD"/>
    <w:rsid w:val="00464892"/>
    <w:rsid w:val="0046490F"/>
    <w:rsid w:val="00464B22"/>
    <w:rsid w:val="00465313"/>
    <w:rsid w:val="0046557D"/>
    <w:rsid w:val="004656EC"/>
    <w:rsid w:val="004700A0"/>
    <w:rsid w:val="004711A9"/>
    <w:rsid w:val="00471221"/>
    <w:rsid w:val="0047159C"/>
    <w:rsid w:val="0047174D"/>
    <w:rsid w:val="00471AB1"/>
    <w:rsid w:val="00471CA3"/>
    <w:rsid w:val="00471DC9"/>
    <w:rsid w:val="00471EDE"/>
    <w:rsid w:val="0047222A"/>
    <w:rsid w:val="00472379"/>
    <w:rsid w:val="004727DA"/>
    <w:rsid w:val="004729A0"/>
    <w:rsid w:val="00472DB3"/>
    <w:rsid w:val="00473794"/>
    <w:rsid w:val="00473E8A"/>
    <w:rsid w:val="004747B0"/>
    <w:rsid w:val="004749E8"/>
    <w:rsid w:val="00474B7B"/>
    <w:rsid w:val="00474E98"/>
    <w:rsid w:val="00475052"/>
    <w:rsid w:val="00475847"/>
    <w:rsid w:val="00475BAF"/>
    <w:rsid w:val="00475C77"/>
    <w:rsid w:val="004762EF"/>
    <w:rsid w:val="0047676A"/>
    <w:rsid w:val="00476D30"/>
    <w:rsid w:val="0047746A"/>
    <w:rsid w:val="00477565"/>
    <w:rsid w:val="00477A60"/>
    <w:rsid w:val="00481AE4"/>
    <w:rsid w:val="00481EEE"/>
    <w:rsid w:val="00481F63"/>
    <w:rsid w:val="00482050"/>
    <w:rsid w:val="004821D7"/>
    <w:rsid w:val="0048248A"/>
    <w:rsid w:val="0048248F"/>
    <w:rsid w:val="00482792"/>
    <w:rsid w:val="0048338E"/>
    <w:rsid w:val="00483787"/>
    <w:rsid w:val="00483D69"/>
    <w:rsid w:val="00483DCD"/>
    <w:rsid w:val="00483F2B"/>
    <w:rsid w:val="004840BA"/>
    <w:rsid w:val="00484A0C"/>
    <w:rsid w:val="00484C8F"/>
    <w:rsid w:val="00484E3F"/>
    <w:rsid w:val="004853AA"/>
    <w:rsid w:val="0048573B"/>
    <w:rsid w:val="0048587F"/>
    <w:rsid w:val="00485B2F"/>
    <w:rsid w:val="00486442"/>
    <w:rsid w:val="004877FB"/>
    <w:rsid w:val="00487FE2"/>
    <w:rsid w:val="004900B9"/>
    <w:rsid w:val="00490201"/>
    <w:rsid w:val="004903BA"/>
    <w:rsid w:val="004907A8"/>
    <w:rsid w:val="00490E66"/>
    <w:rsid w:val="00491576"/>
    <w:rsid w:val="00491647"/>
    <w:rsid w:val="004925DB"/>
    <w:rsid w:val="00492910"/>
    <w:rsid w:val="004929AA"/>
    <w:rsid w:val="00492B04"/>
    <w:rsid w:val="00492E4D"/>
    <w:rsid w:val="0049310F"/>
    <w:rsid w:val="0049336B"/>
    <w:rsid w:val="00493E3A"/>
    <w:rsid w:val="004944CA"/>
    <w:rsid w:val="0049455A"/>
    <w:rsid w:val="00494B06"/>
    <w:rsid w:val="004953C6"/>
    <w:rsid w:val="0049544F"/>
    <w:rsid w:val="00495515"/>
    <w:rsid w:val="00495974"/>
    <w:rsid w:val="0049617C"/>
    <w:rsid w:val="00496A63"/>
    <w:rsid w:val="00496B02"/>
    <w:rsid w:val="00496DD4"/>
    <w:rsid w:val="00496E05"/>
    <w:rsid w:val="0049737B"/>
    <w:rsid w:val="00497D3A"/>
    <w:rsid w:val="00497DF9"/>
    <w:rsid w:val="004A0187"/>
    <w:rsid w:val="004A01F4"/>
    <w:rsid w:val="004A02F7"/>
    <w:rsid w:val="004A0429"/>
    <w:rsid w:val="004A069B"/>
    <w:rsid w:val="004A0712"/>
    <w:rsid w:val="004A08AF"/>
    <w:rsid w:val="004A08F8"/>
    <w:rsid w:val="004A0A39"/>
    <w:rsid w:val="004A0FEA"/>
    <w:rsid w:val="004A113D"/>
    <w:rsid w:val="004A147D"/>
    <w:rsid w:val="004A20F2"/>
    <w:rsid w:val="004A20F9"/>
    <w:rsid w:val="004A23DE"/>
    <w:rsid w:val="004A2975"/>
    <w:rsid w:val="004A2AA0"/>
    <w:rsid w:val="004A2B72"/>
    <w:rsid w:val="004A2D36"/>
    <w:rsid w:val="004A2E86"/>
    <w:rsid w:val="004A3004"/>
    <w:rsid w:val="004A3450"/>
    <w:rsid w:val="004A3CBD"/>
    <w:rsid w:val="004A3EB2"/>
    <w:rsid w:val="004A46D3"/>
    <w:rsid w:val="004A50BB"/>
    <w:rsid w:val="004A5458"/>
    <w:rsid w:val="004A5AB8"/>
    <w:rsid w:val="004A5DFB"/>
    <w:rsid w:val="004A6048"/>
    <w:rsid w:val="004A610A"/>
    <w:rsid w:val="004A61AF"/>
    <w:rsid w:val="004A6359"/>
    <w:rsid w:val="004A6506"/>
    <w:rsid w:val="004A6939"/>
    <w:rsid w:val="004A6B1B"/>
    <w:rsid w:val="004A6C91"/>
    <w:rsid w:val="004A71AF"/>
    <w:rsid w:val="004A7910"/>
    <w:rsid w:val="004A7DB8"/>
    <w:rsid w:val="004A7F72"/>
    <w:rsid w:val="004B0434"/>
    <w:rsid w:val="004B078E"/>
    <w:rsid w:val="004B16A3"/>
    <w:rsid w:val="004B16E7"/>
    <w:rsid w:val="004B178F"/>
    <w:rsid w:val="004B1F22"/>
    <w:rsid w:val="004B20FF"/>
    <w:rsid w:val="004B2511"/>
    <w:rsid w:val="004B27D8"/>
    <w:rsid w:val="004B2B52"/>
    <w:rsid w:val="004B2EBB"/>
    <w:rsid w:val="004B3405"/>
    <w:rsid w:val="004B347E"/>
    <w:rsid w:val="004B374A"/>
    <w:rsid w:val="004B3B26"/>
    <w:rsid w:val="004B3C2B"/>
    <w:rsid w:val="004B4200"/>
    <w:rsid w:val="004B42FF"/>
    <w:rsid w:val="004B4332"/>
    <w:rsid w:val="004B4418"/>
    <w:rsid w:val="004B4954"/>
    <w:rsid w:val="004B4B99"/>
    <w:rsid w:val="004B51DA"/>
    <w:rsid w:val="004B53E4"/>
    <w:rsid w:val="004B5579"/>
    <w:rsid w:val="004B5662"/>
    <w:rsid w:val="004B56FF"/>
    <w:rsid w:val="004B5D3D"/>
    <w:rsid w:val="004B5F62"/>
    <w:rsid w:val="004B5FB6"/>
    <w:rsid w:val="004B63E4"/>
    <w:rsid w:val="004B65FC"/>
    <w:rsid w:val="004B6652"/>
    <w:rsid w:val="004B668B"/>
    <w:rsid w:val="004B6819"/>
    <w:rsid w:val="004B68DB"/>
    <w:rsid w:val="004B6909"/>
    <w:rsid w:val="004B6A84"/>
    <w:rsid w:val="004B6CD6"/>
    <w:rsid w:val="004B70F4"/>
    <w:rsid w:val="004B7121"/>
    <w:rsid w:val="004B785D"/>
    <w:rsid w:val="004B798E"/>
    <w:rsid w:val="004B79A0"/>
    <w:rsid w:val="004B79BE"/>
    <w:rsid w:val="004B7A5F"/>
    <w:rsid w:val="004B7AE8"/>
    <w:rsid w:val="004B7B74"/>
    <w:rsid w:val="004B7C8A"/>
    <w:rsid w:val="004B7E61"/>
    <w:rsid w:val="004C051C"/>
    <w:rsid w:val="004C1821"/>
    <w:rsid w:val="004C1B2F"/>
    <w:rsid w:val="004C1B3D"/>
    <w:rsid w:val="004C246F"/>
    <w:rsid w:val="004C24B5"/>
    <w:rsid w:val="004C2EC3"/>
    <w:rsid w:val="004C2FCB"/>
    <w:rsid w:val="004C3142"/>
    <w:rsid w:val="004C361A"/>
    <w:rsid w:val="004C3919"/>
    <w:rsid w:val="004C3CB2"/>
    <w:rsid w:val="004C3ED7"/>
    <w:rsid w:val="004C487B"/>
    <w:rsid w:val="004C4E92"/>
    <w:rsid w:val="004C53F3"/>
    <w:rsid w:val="004C55A6"/>
    <w:rsid w:val="004C5A58"/>
    <w:rsid w:val="004C5A7B"/>
    <w:rsid w:val="004C5D00"/>
    <w:rsid w:val="004C6550"/>
    <w:rsid w:val="004C669B"/>
    <w:rsid w:val="004C6968"/>
    <w:rsid w:val="004C6E8D"/>
    <w:rsid w:val="004C75D8"/>
    <w:rsid w:val="004C7808"/>
    <w:rsid w:val="004C7A05"/>
    <w:rsid w:val="004C7D40"/>
    <w:rsid w:val="004C7EF9"/>
    <w:rsid w:val="004C7F7E"/>
    <w:rsid w:val="004D00BB"/>
    <w:rsid w:val="004D0201"/>
    <w:rsid w:val="004D027E"/>
    <w:rsid w:val="004D02A4"/>
    <w:rsid w:val="004D09A0"/>
    <w:rsid w:val="004D0E0E"/>
    <w:rsid w:val="004D0E7A"/>
    <w:rsid w:val="004D1415"/>
    <w:rsid w:val="004D14C8"/>
    <w:rsid w:val="004D172E"/>
    <w:rsid w:val="004D1767"/>
    <w:rsid w:val="004D1839"/>
    <w:rsid w:val="004D278E"/>
    <w:rsid w:val="004D2AD9"/>
    <w:rsid w:val="004D2D32"/>
    <w:rsid w:val="004D30BA"/>
    <w:rsid w:val="004D3167"/>
    <w:rsid w:val="004D31DB"/>
    <w:rsid w:val="004D324C"/>
    <w:rsid w:val="004D3965"/>
    <w:rsid w:val="004D43E5"/>
    <w:rsid w:val="004D4B52"/>
    <w:rsid w:val="004D4D81"/>
    <w:rsid w:val="004D5025"/>
    <w:rsid w:val="004D5121"/>
    <w:rsid w:val="004D5267"/>
    <w:rsid w:val="004D5390"/>
    <w:rsid w:val="004D56E5"/>
    <w:rsid w:val="004D5714"/>
    <w:rsid w:val="004D5855"/>
    <w:rsid w:val="004D58C9"/>
    <w:rsid w:val="004D5B50"/>
    <w:rsid w:val="004D5F32"/>
    <w:rsid w:val="004D6491"/>
    <w:rsid w:val="004D7365"/>
    <w:rsid w:val="004D7815"/>
    <w:rsid w:val="004D7BC7"/>
    <w:rsid w:val="004E00DC"/>
    <w:rsid w:val="004E08D4"/>
    <w:rsid w:val="004E0AD3"/>
    <w:rsid w:val="004E0C80"/>
    <w:rsid w:val="004E11C8"/>
    <w:rsid w:val="004E1310"/>
    <w:rsid w:val="004E1436"/>
    <w:rsid w:val="004E1C13"/>
    <w:rsid w:val="004E1DA8"/>
    <w:rsid w:val="004E1EBC"/>
    <w:rsid w:val="004E2650"/>
    <w:rsid w:val="004E2AAF"/>
    <w:rsid w:val="004E2CC2"/>
    <w:rsid w:val="004E2CD0"/>
    <w:rsid w:val="004E2DCA"/>
    <w:rsid w:val="004E2E9B"/>
    <w:rsid w:val="004E3099"/>
    <w:rsid w:val="004E3A98"/>
    <w:rsid w:val="004E3C83"/>
    <w:rsid w:val="004E42D1"/>
    <w:rsid w:val="004E42E5"/>
    <w:rsid w:val="004E43E9"/>
    <w:rsid w:val="004E4836"/>
    <w:rsid w:val="004E4A7B"/>
    <w:rsid w:val="004E4B1E"/>
    <w:rsid w:val="004E4CEC"/>
    <w:rsid w:val="004E4F8B"/>
    <w:rsid w:val="004E53C8"/>
    <w:rsid w:val="004E54E6"/>
    <w:rsid w:val="004E5969"/>
    <w:rsid w:val="004E5ACF"/>
    <w:rsid w:val="004E5B0E"/>
    <w:rsid w:val="004E64D5"/>
    <w:rsid w:val="004E6755"/>
    <w:rsid w:val="004E682F"/>
    <w:rsid w:val="004E6BA8"/>
    <w:rsid w:val="004E6C30"/>
    <w:rsid w:val="004E7045"/>
    <w:rsid w:val="004E7508"/>
    <w:rsid w:val="004F0018"/>
    <w:rsid w:val="004F00F3"/>
    <w:rsid w:val="004F0240"/>
    <w:rsid w:val="004F037A"/>
    <w:rsid w:val="004F054C"/>
    <w:rsid w:val="004F07F4"/>
    <w:rsid w:val="004F0A9F"/>
    <w:rsid w:val="004F0B34"/>
    <w:rsid w:val="004F0D40"/>
    <w:rsid w:val="004F0F97"/>
    <w:rsid w:val="004F140D"/>
    <w:rsid w:val="004F1BF7"/>
    <w:rsid w:val="004F1C7E"/>
    <w:rsid w:val="004F280F"/>
    <w:rsid w:val="004F2A6B"/>
    <w:rsid w:val="004F2CB1"/>
    <w:rsid w:val="004F2F01"/>
    <w:rsid w:val="004F2FED"/>
    <w:rsid w:val="004F309A"/>
    <w:rsid w:val="004F3477"/>
    <w:rsid w:val="004F353D"/>
    <w:rsid w:val="004F370F"/>
    <w:rsid w:val="004F4018"/>
    <w:rsid w:val="004F4534"/>
    <w:rsid w:val="004F46E0"/>
    <w:rsid w:val="004F4B22"/>
    <w:rsid w:val="004F50E3"/>
    <w:rsid w:val="004F5351"/>
    <w:rsid w:val="004F56DF"/>
    <w:rsid w:val="004F58CC"/>
    <w:rsid w:val="004F5984"/>
    <w:rsid w:val="004F5A89"/>
    <w:rsid w:val="004F5A97"/>
    <w:rsid w:val="004F61DE"/>
    <w:rsid w:val="004F673B"/>
    <w:rsid w:val="004F6D11"/>
    <w:rsid w:val="004F7444"/>
    <w:rsid w:val="004F785F"/>
    <w:rsid w:val="004F7A15"/>
    <w:rsid w:val="004F7E2D"/>
    <w:rsid w:val="004F7FB1"/>
    <w:rsid w:val="005000A6"/>
    <w:rsid w:val="005002FB"/>
    <w:rsid w:val="005004F8"/>
    <w:rsid w:val="00500DAB"/>
    <w:rsid w:val="00501089"/>
    <w:rsid w:val="005021B5"/>
    <w:rsid w:val="00502886"/>
    <w:rsid w:val="00502D9F"/>
    <w:rsid w:val="005036DF"/>
    <w:rsid w:val="00503AEF"/>
    <w:rsid w:val="00503CE1"/>
    <w:rsid w:val="0050467E"/>
    <w:rsid w:val="005046BB"/>
    <w:rsid w:val="0050489B"/>
    <w:rsid w:val="005049E2"/>
    <w:rsid w:val="00504AE7"/>
    <w:rsid w:val="005051F2"/>
    <w:rsid w:val="00505203"/>
    <w:rsid w:val="0050525A"/>
    <w:rsid w:val="005057F9"/>
    <w:rsid w:val="00505984"/>
    <w:rsid w:val="00505A71"/>
    <w:rsid w:val="00505EC5"/>
    <w:rsid w:val="00505F84"/>
    <w:rsid w:val="00505FE1"/>
    <w:rsid w:val="00505FE5"/>
    <w:rsid w:val="005064DC"/>
    <w:rsid w:val="00506733"/>
    <w:rsid w:val="00506784"/>
    <w:rsid w:val="00506A6D"/>
    <w:rsid w:val="00507041"/>
    <w:rsid w:val="005072E0"/>
    <w:rsid w:val="0050744C"/>
    <w:rsid w:val="005077A7"/>
    <w:rsid w:val="00507AD7"/>
    <w:rsid w:val="00507B4E"/>
    <w:rsid w:val="00507B67"/>
    <w:rsid w:val="00507F90"/>
    <w:rsid w:val="005100DE"/>
    <w:rsid w:val="0051095A"/>
    <w:rsid w:val="00510D65"/>
    <w:rsid w:val="00510E8C"/>
    <w:rsid w:val="00511019"/>
    <w:rsid w:val="005114BE"/>
    <w:rsid w:val="0051158B"/>
    <w:rsid w:val="005118D3"/>
    <w:rsid w:val="00511A85"/>
    <w:rsid w:val="005126FF"/>
    <w:rsid w:val="00512934"/>
    <w:rsid w:val="005130A6"/>
    <w:rsid w:val="00513834"/>
    <w:rsid w:val="0051387B"/>
    <w:rsid w:val="00513CDF"/>
    <w:rsid w:val="0051426E"/>
    <w:rsid w:val="005147B2"/>
    <w:rsid w:val="0051508C"/>
    <w:rsid w:val="005159A1"/>
    <w:rsid w:val="0051604B"/>
    <w:rsid w:val="0051668B"/>
    <w:rsid w:val="00516DD5"/>
    <w:rsid w:val="005172C7"/>
    <w:rsid w:val="0052109E"/>
    <w:rsid w:val="005213B2"/>
    <w:rsid w:val="00521BCF"/>
    <w:rsid w:val="00521D97"/>
    <w:rsid w:val="00521E7D"/>
    <w:rsid w:val="00522F76"/>
    <w:rsid w:val="00523388"/>
    <w:rsid w:val="00523A75"/>
    <w:rsid w:val="00523E35"/>
    <w:rsid w:val="00523F92"/>
    <w:rsid w:val="00523FFE"/>
    <w:rsid w:val="00524252"/>
    <w:rsid w:val="005242C3"/>
    <w:rsid w:val="00524538"/>
    <w:rsid w:val="005247E0"/>
    <w:rsid w:val="00524962"/>
    <w:rsid w:val="00524D67"/>
    <w:rsid w:val="00524DB6"/>
    <w:rsid w:val="00524F5A"/>
    <w:rsid w:val="00524FB8"/>
    <w:rsid w:val="00525158"/>
    <w:rsid w:val="00526646"/>
    <w:rsid w:val="00526CA5"/>
    <w:rsid w:val="00526DD5"/>
    <w:rsid w:val="00526E81"/>
    <w:rsid w:val="00527107"/>
    <w:rsid w:val="005274EE"/>
    <w:rsid w:val="0052765B"/>
    <w:rsid w:val="00527D04"/>
    <w:rsid w:val="00527D97"/>
    <w:rsid w:val="00527FAA"/>
    <w:rsid w:val="0053075F"/>
    <w:rsid w:val="00530AA8"/>
    <w:rsid w:val="00530E97"/>
    <w:rsid w:val="005314CF"/>
    <w:rsid w:val="0053150F"/>
    <w:rsid w:val="00531D9B"/>
    <w:rsid w:val="00532736"/>
    <w:rsid w:val="005335FF"/>
    <w:rsid w:val="00533768"/>
    <w:rsid w:val="00533CF0"/>
    <w:rsid w:val="00534093"/>
    <w:rsid w:val="0053461B"/>
    <w:rsid w:val="00534D54"/>
    <w:rsid w:val="00534F73"/>
    <w:rsid w:val="00535470"/>
    <w:rsid w:val="005355C0"/>
    <w:rsid w:val="005356E2"/>
    <w:rsid w:val="00535C44"/>
    <w:rsid w:val="0053624E"/>
    <w:rsid w:val="0053635E"/>
    <w:rsid w:val="00536551"/>
    <w:rsid w:val="00536604"/>
    <w:rsid w:val="00536DE9"/>
    <w:rsid w:val="00537280"/>
    <w:rsid w:val="0053770C"/>
    <w:rsid w:val="00537A48"/>
    <w:rsid w:val="0054069C"/>
    <w:rsid w:val="00541759"/>
    <w:rsid w:val="0054195C"/>
    <w:rsid w:val="00541CCE"/>
    <w:rsid w:val="00541E00"/>
    <w:rsid w:val="0054205C"/>
    <w:rsid w:val="0054234E"/>
    <w:rsid w:val="00542D7C"/>
    <w:rsid w:val="005432DA"/>
    <w:rsid w:val="005437E2"/>
    <w:rsid w:val="0054382D"/>
    <w:rsid w:val="00543831"/>
    <w:rsid w:val="00543F55"/>
    <w:rsid w:val="005441FE"/>
    <w:rsid w:val="005445A7"/>
    <w:rsid w:val="00544F2D"/>
    <w:rsid w:val="00545434"/>
    <w:rsid w:val="00545691"/>
    <w:rsid w:val="00545B76"/>
    <w:rsid w:val="00545EEC"/>
    <w:rsid w:val="00546079"/>
    <w:rsid w:val="00546244"/>
    <w:rsid w:val="005463E6"/>
    <w:rsid w:val="005464AC"/>
    <w:rsid w:val="00546AE9"/>
    <w:rsid w:val="00546C8D"/>
    <w:rsid w:val="00546E5F"/>
    <w:rsid w:val="00546ED7"/>
    <w:rsid w:val="0054743F"/>
    <w:rsid w:val="0054782C"/>
    <w:rsid w:val="00547FE6"/>
    <w:rsid w:val="005503B5"/>
    <w:rsid w:val="005508A1"/>
    <w:rsid w:val="005508D9"/>
    <w:rsid w:val="00550C6B"/>
    <w:rsid w:val="00550CDE"/>
    <w:rsid w:val="00550DB4"/>
    <w:rsid w:val="00550DD3"/>
    <w:rsid w:val="005511EE"/>
    <w:rsid w:val="00551BB6"/>
    <w:rsid w:val="00551EF9"/>
    <w:rsid w:val="005522AC"/>
    <w:rsid w:val="005525F7"/>
    <w:rsid w:val="00552649"/>
    <w:rsid w:val="00552CD6"/>
    <w:rsid w:val="00552DD9"/>
    <w:rsid w:val="00553801"/>
    <w:rsid w:val="00553A5C"/>
    <w:rsid w:val="00553B07"/>
    <w:rsid w:val="005543BB"/>
    <w:rsid w:val="00554510"/>
    <w:rsid w:val="005546E5"/>
    <w:rsid w:val="0055474E"/>
    <w:rsid w:val="005547B4"/>
    <w:rsid w:val="005547F8"/>
    <w:rsid w:val="005548CF"/>
    <w:rsid w:val="0055495C"/>
    <w:rsid w:val="00555259"/>
    <w:rsid w:val="0055558C"/>
    <w:rsid w:val="0055563A"/>
    <w:rsid w:val="00555996"/>
    <w:rsid w:val="00555A8F"/>
    <w:rsid w:val="00555B8C"/>
    <w:rsid w:val="005568ED"/>
    <w:rsid w:val="005570AD"/>
    <w:rsid w:val="005573CE"/>
    <w:rsid w:val="005576C4"/>
    <w:rsid w:val="00557CA9"/>
    <w:rsid w:val="0056087B"/>
    <w:rsid w:val="00560E06"/>
    <w:rsid w:val="00560E65"/>
    <w:rsid w:val="005610E6"/>
    <w:rsid w:val="00561FF2"/>
    <w:rsid w:val="00562557"/>
    <w:rsid w:val="00562883"/>
    <w:rsid w:val="005629E6"/>
    <w:rsid w:val="0056364A"/>
    <w:rsid w:val="00563D89"/>
    <w:rsid w:val="00564ED3"/>
    <w:rsid w:val="00564F4B"/>
    <w:rsid w:val="0056555E"/>
    <w:rsid w:val="0056575D"/>
    <w:rsid w:val="005659A6"/>
    <w:rsid w:val="005659C0"/>
    <w:rsid w:val="0056602C"/>
    <w:rsid w:val="00566B58"/>
    <w:rsid w:val="00566D5E"/>
    <w:rsid w:val="0056726F"/>
    <w:rsid w:val="00567848"/>
    <w:rsid w:val="005705D1"/>
    <w:rsid w:val="005709AE"/>
    <w:rsid w:val="00570A8F"/>
    <w:rsid w:val="00570B71"/>
    <w:rsid w:val="00571E5D"/>
    <w:rsid w:val="00572751"/>
    <w:rsid w:val="00572AF5"/>
    <w:rsid w:val="00572DCA"/>
    <w:rsid w:val="0057321E"/>
    <w:rsid w:val="00573254"/>
    <w:rsid w:val="005735EA"/>
    <w:rsid w:val="0057365D"/>
    <w:rsid w:val="005737A5"/>
    <w:rsid w:val="005739FD"/>
    <w:rsid w:val="00573FEE"/>
    <w:rsid w:val="005741EF"/>
    <w:rsid w:val="005741F5"/>
    <w:rsid w:val="0057465E"/>
    <w:rsid w:val="005754C3"/>
    <w:rsid w:val="005754FC"/>
    <w:rsid w:val="005759CB"/>
    <w:rsid w:val="00575D35"/>
    <w:rsid w:val="00575E95"/>
    <w:rsid w:val="00576292"/>
    <w:rsid w:val="005764BE"/>
    <w:rsid w:val="005765B0"/>
    <w:rsid w:val="005767BE"/>
    <w:rsid w:val="00576AFB"/>
    <w:rsid w:val="00576E7E"/>
    <w:rsid w:val="00577082"/>
    <w:rsid w:val="00577172"/>
    <w:rsid w:val="0057794F"/>
    <w:rsid w:val="005801CA"/>
    <w:rsid w:val="005803B5"/>
    <w:rsid w:val="0058051E"/>
    <w:rsid w:val="005806AC"/>
    <w:rsid w:val="0058082C"/>
    <w:rsid w:val="005813CC"/>
    <w:rsid w:val="005817CF"/>
    <w:rsid w:val="005829AB"/>
    <w:rsid w:val="005831FC"/>
    <w:rsid w:val="005833C3"/>
    <w:rsid w:val="0058386A"/>
    <w:rsid w:val="0058389A"/>
    <w:rsid w:val="00583F28"/>
    <w:rsid w:val="005843E6"/>
    <w:rsid w:val="00584856"/>
    <w:rsid w:val="00584A0C"/>
    <w:rsid w:val="00584BE6"/>
    <w:rsid w:val="00584E5C"/>
    <w:rsid w:val="00584F05"/>
    <w:rsid w:val="00584F27"/>
    <w:rsid w:val="00585186"/>
    <w:rsid w:val="005854EE"/>
    <w:rsid w:val="00585A89"/>
    <w:rsid w:val="00585ECD"/>
    <w:rsid w:val="0058656E"/>
    <w:rsid w:val="005870DC"/>
    <w:rsid w:val="00587110"/>
    <w:rsid w:val="00590352"/>
    <w:rsid w:val="00590564"/>
    <w:rsid w:val="00590DB8"/>
    <w:rsid w:val="00590E50"/>
    <w:rsid w:val="00590EE6"/>
    <w:rsid w:val="00591668"/>
    <w:rsid w:val="0059170D"/>
    <w:rsid w:val="00592656"/>
    <w:rsid w:val="00592BAA"/>
    <w:rsid w:val="00592BD5"/>
    <w:rsid w:val="00593276"/>
    <w:rsid w:val="005940F6"/>
    <w:rsid w:val="00594136"/>
    <w:rsid w:val="00594174"/>
    <w:rsid w:val="005944F2"/>
    <w:rsid w:val="00594DA9"/>
    <w:rsid w:val="0059512D"/>
    <w:rsid w:val="005953AA"/>
    <w:rsid w:val="00595460"/>
    <w:rsid w:val="005957FA"/>
    <w:rsid w:val="0059585C"/>
    <w:rsid w:val="00595AE8"/>
    <w:rsid w:val="00595BC1"/>
    <w:rsid w:val="00595D10"/>
    <w:rsid w:val="005960DB"/>
    <w:rsid w:val="005965AD"/>
    <w:rsid w:val="00596865"/>
    <w:rsid w:val="00596F97"/>
    <w:rsid w:val="0059772B"/>
    <w:rsid w:val="00597E54"/>
    <w:rsid w:val="005A05C5"/>
    <w:rsid w:val="005A07E7"/>
    <w:rsid w:val="005A0AAF"/>
    <w:rsid w:val="005A133E"/>
    <w:rsid w:val="005A191A"/>
    <w:rsid w:val="005A1C55"/>
    <w:rsid w:val="005A1D43"/>
    <w:rsid w:val="005A2415"/>
    <w:rsid w:val="005A2686"/>
    <w:rsid w:val="005A2893"/>
    <w:rsid w:val="005A2ACD"/>
    <w:rsid w:val="005A3694"/>
    <w:rsid w:val="005A3729"/>
    <w:rsid w:val="005A3D9D"/>
    <w:rsid w:val="005A3FAA"/>
    <w:rsid w:val="005A3FC0"/>
    <w:rsid w:val="005A3FF7"/>
    <w:rsid w:val="005A443C"/>
    <w:rsid w:val="005A4CE5"/>
    <w:rsid w:val="005A4DB4"/>
    <w:rsid w:val="005A5037"/>
    <w:rsid w:val="005A518E"/>
    <w:rsid w:val="005A5540"/>
    <w:rsid w:val="005A5C26"/>
    <w:rsid w:val="005A5EB6"/>
    <w:rsid w:val="005A6119"/>
    <w:rsid w:val="005A6613"/>
    <w:rsid w:val="005A6A7F"/>
    <w:rsid w:val="005A6C12"/>
    <w:rsid w:val="005A713E"/>
    <w:rsid w:val="005A7324"/>
    <w:rsid w:val="005A766C"/>
    <w:rsid w:val="005A7A58"/>
    <w:rsid w:val="005A7EEF"/>
    <w:rsid w:val="005B0920"/>
    <w:rsid w:val="005B0DD5"/>
    <w:rsid w:val="005B0E7A"/>
    <w:rsid w:val="005B0F4D"/>
    <w:rsid w:val="005B11B4"/>
    <w:rsid w:val="005B17E5"/>
    <w:rsid w:val="005B1FDA"/>
    <w:rsid w:val="005B228C"/>
    <w:rsid w:val="005B2298"/>
    <w:rsid w:val="005B2423"/>
    <w:rsid w:val="005B2649"/>
    <w:rsid w:val="005B289E"/>
    <w:rsid w:val="005B2AF3"/>
    <w:rsid w:val="005B35C8"/>
    <w:rsid w:val="005B41BC"/>
    <w:rsid w:val="005B48CE"/>
    <w:rsid w:val="005B4CA4"/>
    <w:rsid w:val="005B4CED"/>
    <w:rsid w:val="005B550B"/>
    <w:rsid w:val="005B5639"/>
    <w:rsid w:val="005B564C"/>
    <w:rsid w:val="005B572A"/>
    <w:rsid w:val="005B5B5F"/>
    <w:rsid w:val="005B633C"/>
    <w:rsid w:val="005B6A5D"/>
    <w:rsid w:val="005B6F2F"/>
    <w:rsid w:val="005B7049"/>
    <w:rsid w:val="005B74FF"/>
    <w:rsid w:val="005B7650"/>
    <w:rsid w:val="005B7955"/>
    <w:rsid w:val="005B7BEA"/>
    <w:rsid w:val="005C01EA"/>
    <w:rsid w:val="005C0247"/>
    <w:rsid w:val="005C02CA"/>
    <w:rsid w:val="005C0366"/>
    <w:rsid w:val="005C0CA2"/>
    <w:rsid w:val="005C114F"/>
    <w:rsid w:val="005C1183"/>
    <w:rsid w:val="005C1374"/>
    <w:rsid w:val="005C1521"/>
    <w:rsid w:val="005C1963"/>
    <w:rsid w:val="005C1994"/>
    <w:rsid w:val="005C30EE"/>
    <w:rsid w:val="005C31CE"/>
    <w:rsid w:val="005C3290"/>
    <w:rsid w:val="005C396C"/>
    <w:rsid w:val="005C3976"/>
    <w:rsid w:val="005C3A9E"/>
    <w:rsid w:val="005C3BA2"/>
    <w:rsid w:val="005C3FD2"/>
    <w:rsid w:val="005C3FEE"/>
    <w:rsid w:val="005C4684"/>
    <w:rsid w:val="005C49ED"/>
    <w:rsid w:val="005C4A15"/>
    <w:rsid w:val="005C506E"/>
    <w:rsid w:val="005C50CC"/>
    <w:rsid w:val="005C522E"/>
    <w:rsid w:val="005C5311"/>
    <w:rsid w:val="005C5FEF"/>
    <w:rsid w:val="005C6106"/>
    <w:rsid w:val="005C612E"/>
    <w:rsid w:val="005C626E"/>
    <w:rsid w:val="005C66EE"/>
    <w:rsid w:val="005C6AB2"/>
    <w:rsid w:val="005C71AD"/>
    <w:rsid w:val="005C7698"/>
    <w:rsid w:val="005C77AF"/>
    <w:rsid w:val="005D00EC"/>
    <w:rsid w:val="005D0172"/>
    <w:rsid w:val="005D03E8"/>
    <w:rsid w:val="005D0EF6"/>
    <w:rsid w:val="005D108C"/>
    <w:rsid w:val="005D11D5"/>
    <w:rsid w:val="005D1274"/>
    <w:rsid w:val="005D129D"/>
    <w:rsid w:val="005D1700"/>
    <w:rsid w:val="005D1719"/>
    <w:rsid w:val="005D199E"/>
    <w:rsid w:val="005D1D49"/>
    <w:rsid w:val="005D2259"/>
    <w:rsid w:val="005D23AE"/>
    <w:rsid w:val="005D29C2"/>
    <w:rsid w:val="005D2FB9"/>
    <w:rsid w:val="005D41FA"/>
    <w:rsid w:val="005D4D04"/>
    <w:rsid w:val="005D59D3"/>
    <w:rsid w:val="005D5DA7"/>
    <w:rsid w:val="005D5DD8"/>
    <w:rsid w:val="005D5DF1"/>
    <w:rsid w:val="005D6024"/>
    <w:rsid w:val="005D669F"/>
    <w:rsid w:val="005D6743"/>
    <w:rsid w:val="005D6AE3"/>
    <w:rsid w:val="005D6C77"/>
    <w:rsid w:val="005D6C99"/>
    <w:rsid w:val="005D6CDC"/>
    <w:rsid w:val="005D72AE"/>
    <w:rsid w:val="005D74EC"/>
    <w:rsid w:val="005D753A"/>
    <w:rsid w:val="005D763C"/>
    <w:rsid w:val="005D7F1B"/>
    <w:rsid w:val="005E03E3"/>
    <w:rsid w:val="005E0420"/>
    <w:rsid w:val="005E0962"/>
    <w:rsid w:val="005E1295"/>
    <w:rsid w:val="005E1466"/>
    <w:rsid w:val="005E15A3"/>
    <w:rsid w:val="005E1689"/>
    <w:rsid w:val="005E1874"/>
    <w:rsid w:val="005E196C"/>
    <w:rsid w:val="005E1B23"/>
    <w:rsid w:val="005E1F6B"/>
    <w:rsid w:val="005E2288"/>
    <w:rsid w:val="005E2292"/>
    <w:rsid w:val="005E238E"/>
    <w:rsid w:val="005E29E0"/>
    <w:rsid w:val="005E2B22"/>
    <w:rsid w:val="005E2E8E"/>
    <w:rsid w:val="005E3194"/>
    <w:rsid w:val="005E39E5"/>
    <w:rsid w:val="005E3C1D"/>
    <w:rsid w:val="005E3C80"/>
    <w:rsid w:val="005E3D58"/>
    <w:rsid w:val="005E3EEC"/>
    <w:rsid w:val="005E40E7"/>
    <w:rsid w:val="005E4B5C"/>
    <w:rsid w:val="005E4C24"/>
    <w:rsid w:val="005E4C2A"/>
    <w:rsid w:val="005E5E27"/>
    <w:rsid w:val="005E63FD"/>
    <w:rsid w:val="005E6939"/>
    <w:rsid w:val="005E6ABC"/>
    <w:rsid w:val="005E6BBF"/>
    <w:rsid w:val="005E6CD6"/>
    <w:rsid w:val="005E6ED1"/>
    <w:rsid w:val="005E7769"/>
    <w:rsid w:val="005E7781"/>
    <w:rsid w:val="005E7AEF"/>
    <w:rsid w:val="005E7D42"/>
    <w:rsid w:val="005F0020"/>
    <w:rsid w:val="005F02BF"/>
    <w:rsid w:val="005F043A"/>
    <w:rsid w:val="005F1037"/>
    <w:rsid w:val="005F130E"/>
    <w:rsid w:val="005F1344"/>
    <w:rsid w:val="005F1566"/>
    <w:rsid w:val="005F16D5"/>
    <w:rsid w:val="005F2146"/>
    <w:rsid w:val="005F21D6"/>
    <w:rsid w:val="005F2895"/>
    <w:rsid w:val="005F28F6"/>
    <w:rsid w:val="005F2E53"/>
    <w:rsid w:val="005F2F63"/>
    <w:rsid w:val="005F3F18"/>
    <w:rsid w:val="005F472F"/>
    <w:rsid w:val="005F4ACC"/>
    <w:rsid w:val="005F4FC7"/>
    <w:rsid w:val="005F4FCD"/>
    <w:rsid w:val="005F566C"/>
    <w:rsid w:val="005F581C"/>
    <w:rsid w:val="005F5D1A"/>
    <w:rsid w:val="005F5EAA"/>
    <w:rsid w:val="005F5F66"/>
    <w:rsid w:val="005F6394"/>
    <w:rsid w:val="005F682E"/>
    <w:rsid w:val="005F6838"/>
    <w:rsid w:val="005F68B8"/>
    <w:rsid w:val="005F6BFE"/>
    <w:rsid w:val="005F6E2C"/>
    <w:rsid w:val="005F6FA1"/>
    <w:rsid w:val="005F6FFD"/>
    <w:rsid w:val="005F7811"/>
    <w:rsid w:val="005F7E49"/>
    <w:rsid w:val="006002BE"/>
    <w:rsid w:val="0060097B"/>
    <w:rsid w:val="006009E7"/>
    <w:rsid w:val="00601DDE"/>
    <w:rsid w:val="00602057"/>
    <w:rsid w:val="0060246A"/>
    <w:rsid w:val="00602562"/>
    <w:rsid w:val="006027E4"/>
    <w:rsid w:val="00602B87"/>
    <w:rsid w:val="0060325C"/>
    <w:rsid w:val="006032B5"/>
    <w:rsid w:val="00603C34"/>
    <w:rsid w:val="00604A17"/>
    <w:rsid w:val="00604D47"/>
    <w:rsid w:val="00604E65"/>
    <w:rsid w:val="00605636"/>
    <w:rsid w:val="006056FA"/>
    <w:rsid w:val="00605F08"/>
    <w:rsid w:val="006063AA"/>
    <w:rsid w:val="00606A14"/>
    <w:rsid w:val="00606D13"/>
    <w:rsid w:val="00607220"/>
    <w:rsid w:val="0060797B"/>
    <w:rsid w:val="00607A3E"/>
    <w:rsid w:val="00607D44"/>
    <w:rsid w:val="00610543"/>
    <w:rsid w:val="00610703"/>
    <w:rsid w:val="006109D1"/>
    <w:rsid w:val="00610C08"/>
    <w:rsid w:val="00611022"/>
    <w:rsid w:val="006112CA"/>
    <w:rsid w:val="006115E0"/>
    <w:rsid w:val="00611711"/>
    <w:rsid w:val="0061207D"/>
    <w:rsid w:val="0061266B"/>
    <w:rsid w:val="00612710"/>
    <w:rsid w:val="00612D37"/>
    <w:rsid w:val="006131C2"/>
    <w:rsid w:val="006132D9"/>
    <w:rsid w:val="0061344C"/>
    <w:rsid w:val="006134AC"/>
    <w:rsid w:val="00613681"/>
    <w:rsid w:val="006139D0"/>
    <w:rsid w:val="00613C32"/>
    <w:rsid w:val="00613D5F"/>
    <w:rsid w:val="0061401B"/>
    <w:rsid w:val="0061454E"/>
    <w:rsid w:val="00614BFB"/>
    <w:rsid w:val="0061505F"/>
    <w:rsid w:val="006152F7"/>
    <w:rsid w:val="006159AF"/>
    <w:rsid w:val="00615EB1"/>
    <w:rsid w:val="00616085"/>
    <w:rsid w:val="00616235"/>
    <w:rsid w:val="00616342"/>
    <w:rsid w:val="006176D1"/>
    <w:rsid w:val="00617E0C"/>
    <w:rsid w:val="0062076E"/>
    <w:rsid w:val="0062084A"/>
    <w:rsid w:val="00620F92"/>
    <w:rsid w:val="006211C0"/>
    <w:rsid w:val="00621A84"/>
    <w:rsid w:val="00621C4F"/>
    <w:rsid w:val="00621C9C"/>
    <w:rsid w:val="00622C56"/>
    <w:rsid w:val="00622F5F"/>
    <w:rsid w:val="006236DE"/>
    <w:rsid w:val="00623BD3"/>
    <w:rsid w:val="00624108"/>
    <w:rsid w:val="006243C0"/>
    <w:rsid w:val="00624592"/>
    <w:rsid w:val="006245CB"/>
    <w:rsid w:val="006245D2"/>
    <w:rsid w:val="006247FB"/>
    <w:rsid w:val="00624CDF"/>
    <w:rsid w:val="00624E41"/>
    <w:rsid w:val="00624EB5"/>
    <w:rsid w:val="00625138"/>
    <w:rsid w:val="0062539B"/>
    <w:rsid w:val="00625564"/>
    <w:rsid w:val="00626221"/>
    <w:rsid w:val="006263C0"/>
    <w:rsid w:val="00626A51"/>
    <w:rsid w:val="00627AB4"/>
    <w:rsid w:val="0063057B"/>
    <w:rsid w:val="00630C47"/>
    <w:rsid w:val="0063106C"/>
    <w:rsid w:val="006311CE"/>
    <w:rsid w:val="00631B4D"/>
    <w:rsid w:val="00631BDE"/>
    <w:rsid w:val="006325B5"/>
    <w:rsid w:val="0063288D"/>
    <w:rsid w:val="00632D2C"/>
    <w:rsid w:val="00632FA8"/>
    <w:rsid w:val="00632FB6"/>
    <w:rsid w:val="006336D3"/>
    <w:rsid w:val="00633A5B"/>
    <w:rsid w:val="00633D96"/>
    <w:rsid w:val="00633E4E"/>
    <w:rsid w:val="00633E9E"/>
    <w:rsid w:val="006340AE"/>
    <w:rsid w:val="006344D9"/>
    <w:rsid w:val="00634712"/>
    <w:rsid w:val="006349BB"/>
    <w:rsid w:val="00635113"/>
    <w:rsid w:val="0063536D"/>
    <w:rsid w:val="00635E8C"/>
    <w:rsid w:val="00635ECB"/>
    <w:rsid w:val="00636063"/>
    <w:rsid w:val="006364BC"/>
    <w:rsid w:val="00636BB5"/>
    <w:rsid w:val="00636C81"/>
    <w:rsid w:val="0063715E"/>
    <w:rsid w:val="006371D9"/>
    <w:rsid w:val="006373BB"/>
    <w:rsid w:val="0063755D"/>
    <w:rsid w:val="006376FA"/>
    <w:rsid w:val="00637A90"/>
    <w:rsid w:val="00637CF0"/>
    <w:rsid w:val="00640440"/>
    <w:rsid w:val="00640D85"/>
    <w:rsid w:val="00640ECC"/>
    <w:rsid w:val="006410D0"/>
    <w:rsid w:val="006411F3"/>
    <w:rsid w:val="00641565"/>
    <w:rsid w:val="00641577"/>
    <w:rsid w:val="006419AC"/>
    <w:rsid w:val="00641A46"/>
    <w:rsid w:val="00641B6C"/>
    <w:rsid w:val="00641F40"/>
    <w:rsid w:val="00642347"/>
    <w:rsid w:val="0064263B"/>
    <w:rsid w:val="006428A1"/>
    <w:rsid w:val="00642A2B"/>
    <w:rsid w:val="0064314D"/>
    <w:rsid w:val="0064325A"/>
    <w:rsid w:val="006434EE"/>
    <w:rsid w:val="0064383B"/>
    <w:rsid w:val="00643B6B"/>
    <w:rsid w:val="00644086"/>
    <w:rsid w:val="006441D6"/>
    <w:rsid w:val="006441E5"/>
    <w:rsid w:val="006442A1"/>
    <w:rsid w:val="00644418"/>
    <w:rsid w:val="0064441A"/>
    <w:rsid w:val="00645076"/>
    <w:rsid w:val="00645521"/>
    <w:rsid w:val="00645778"/>
    <w:rsid w:val="00645A7C"/>
    <w:rsid w:val="00645CFD"/>
    <w:rsid w:val="00645D34"/>
    <w:rsid w:val="00645F27"/>
    <w:rsid w:val="00645FDC"/>
    <w:rsid w:val="006460CA"/>
    <w:rsid w:val="00646329"/>
    <w:rsid w:val="006463B8"/>
    <w:rsid w:val="006464CC"/>
    <w:rsid w:val="00646873"/>
    <w:rsid w:val="00646A61"/>
    <w:rsid w:val="00646FC4"/>
    <w:rsid w:val="0064722C"/>
    <w:rsid w:val="0064797E"/>
    <w:rsid w:val="00650D7F"/>
    <w:rsid w:val="0065105E"/>
    <w:rsid w:val="006514FF"/>
    <w:rsid w:val="00651527"/>
    <w:rsid w:val="006519C4"/>
    <w:rsid w:val="00651AA8"/>
    <w:rsid w:val="00651B45"/>
    <w:rsid w:val="00651C0E"/>
    <w:rsid w:val="0065206C"/>
    <w:rsid w:val="00652280"/>
    <w:rsid w:val="00652443"/>
    <w:rsid w:val="0065280C"/>
    <w:rsid w:val="0065280D"/>
    <w:rsid w:val="00652D4A"/>
    <w:rsid w:val="00652DF1"/>
    <w:rsid w:val="00652F14"/>
    <w:rsid w:val="00652F4F"/>
    <w:rsid w:val="0065318E"/>
    <w:rsid w:val="0065321B"/>
    <w:rsid w:val="006534E0"/>
    <w:rsid w:val="00653ADF"/>
    <w:rsid w:val="00653D34"/>
    <w:rsid w:val="00654430"/>
    <w:rsid w:val="0065473B"/>
    <w:rsid w:val="00654784"/>
    <w:rsid w:val="00654B2B"/>
    <w:rsid w:val="00654DBC"/>
    <w:rsid w:val="0065529E"/>
    <w:rsid w:val="006553ED"/>
    <w:rsid w:val="0065564A"/>
    <w:rsid w:val="006558AC"/>
    <w:rsid w:val="0065620B"/>
    <w:rsid w:val="00656420"/>
    <w:rsid w:val="006569D2"/>
    <w:rsid w:val="00656D04"/>
    <w:rsid w:val="0065737D"/>
    <w:rsid w:val="00657B56"/>
    <w:rsid w:val="00660440"/>
    <w:rsid w:val="00660537"/>
    <w:rsid w:val="0066210B"/>
    <w:rsid w:val="006623B6"/>
    <w:rsid w:val="006629E5"/>
    <w:rsid w:val="006630BE"/>
    <w:rsid w:val="00663E7A"/>
    <w:rsid w:val="00664013"/>
    <w:rsid w:val="006643F4"/>
    <w:rsid w:val="00664416"/>
    <w:rsid w:val="00664561"/>
    <w:rsid w:val="006646D4"/>
    <w:rsid w:val="0066488A"/>
    <w:rsid w:val="00664D27"/>
    <w:rsid w:val="00664DF1"/>
    <w:rsid w:val="00665074"/>
    <w:rsid w:val="006656B7"/>
    <w:rsid w:val="0066646E"/>
    <w:rsid w:val="006665D5"/>
    <w:rsid w:val="0066661A"/>
    <w:rsid w:val="0066662E"/>
    <w:rsid w:val="00667909"/>
    <w:rsid w:val="00667E50"/>
    <w:rsid w:val="006703B1"/>
    <w:rsid w:val="00670411"/>
    <w:rsid w:val="00670BB6"/>
    <w:rsid w:val="0067141E"/>
    <w:rsid w:val="00671C34"/>
    <w:rsid w:val="00671F17"/>
    <w:rsid w:val="00671F98"/>
    <w:rsid w:val="00672568"/>
    <w:rsid w:val="00672806"/>
    <w:rsid w:val="006728ED"/>
    <w:rsid w:val="00672AA8"/>
    <w:rsid w:val="00672EF3"/>
    <w:rsid w:val="00673064"/>
    <w:rsid w:val="006730A9"/>
    <w:rsid w:val="00673576"/>
    <w:rsid w:val="006736A2"/>
    <w:rsid w:val="006738FB"/>
    <w:rsid w:val="0067421E"/>
    <w:rsid w:val="00674C64"/>
    <w:rsid w:val="00674D26"/>
    <w:rsid w:val="00675252"/>
    <w:rsid w:val="0067538B"/>
    <w:rsid w:val="00675463"/>
    <w:rsid w:val="00675464"/>
    <w:rsid w:val="00675695"/>
    <w:rsid w:val="006759D6"/>
    <w:rsid w:val="00675C57"/>
    <w:rsid w:val="00676348"/>
    <w:rsid w:val="006763BB"/>
    <w:rsid w:val="00676E97"/>
    <w:rsid w:val="006776B3"/>
    <w:rsid w:val="00677717"/>
    <w:rsid w:val="00677990"/>
    <w:rsid w:val="006804D8"/>
    <w:rsid w:val="006804DB"/>
    <w:rsid w:val="0068066C"/>
    <w:rsid w:val="00680684"/>
    <w:rsid w:val="0068122A"/>
    <w:rsid w:val="00681271"/>
    <w:rsid w:val="00681B81"/>
    <w:rsid w:val="00681D72"/>
    <w:rsid w:val="00682252"/>
    <w:rsid w:val="006822BE"/>
    <w:rsid w:val="00682389"/>
    <w:rsid w:val="00682719"/>
    <w:rsid w:val="00682A61"/>
    <w:rsid w:val="006831E7"/>
    <w:rsid w:val="006836D7"/>
    <w:rsid w:val="0068392C"/>
    <w:rsid w:val="00683AC5"/>
    <w:rsid w:val="00683C85"/>
    <w:rsid w:val="006841CB"/>
    <w:rsid w:val="0068439C"/>
    <w:rsid w:val="006844E0"/>
    <w:rsid w:val="006845B5"/>
    <w:rsid w:val="00684D27"/>
    <w:rsid w:val="00684D75"/>
    <w:rsid w:val="006854B5"/>
    <w:rsid w:val="00685658"/>
    <w:rsid w:val="00685AF7"/>
    <w:rsid w:val="00685C66"/>
    <w:rsid w:val="006862A4"/>
    <w:rsid w:val="006864B8"/>
    <w:rsid w:val="00686781"/>
    <w:rsid w:val="00687235"/>
    <w:rsid w:val="006878A2"/>
    <w:rsid w:val="006879A3"/>
    <w:rsid w:val="00687CD8"/>
    <w:rsid w:val="006903AF"/>
    <w:rsid w:val="00690477"/>
    <w:rsid w:val="006907F7"/>
    <w:rsid w:val="0069101C"/>
    <w:rsid w:val="00691540"/>
    <w:rsid w:val="00691737"/>
    <w:rsid w:val="00691CBB"/>
    <w:rsid w:val="00691F38"/>
    <w:rsid w:val="0069205D"/>
    <w:rsid w:val="006921A3"/>
    <w:rsid w:val="00692260"/>
    <w:rsid w:val="0069238E"/>
    <w:rsid w:val="00692AD0"/>
    <w:rsid w:val="00692B0F"/>
    <w:rsid w:val="0069320B"/>
    <w:rsid w:val="006936CE"/>
    <w:rsid w:val="00693831"/>
    <w:rsid w:val="0069398D"/>
    <w:rsid w:val="006940D6"/>
    <w:rsid w:val="006943B4"/>
    <w:rsid w:val="00694528"/>
    <w:rsid w:val="00694681"/>
    <w:rsid w:val="00694A6E"/>
    <w:rsid w:val="00694EA6"/>
    <w:rsid w:val="00694F2D"/>
    <w:rsid w:val="00695135"/>
    <w:rsid w:val="00695EE2"/>
    <w:rsid w:val="00696446"/>
    <w:rsid w:val="00696756"/>
    <w:rsid w:val="00696AA0"/>
    <w:rsid w:val="00696B1F"/>
    <w:rsid w:val="00696CFE"/>
    <w:rsid w:val="00696EE6"/>
    <w:rsid w:val="006A0572"/>
    <w:rsid w:val="006A0665"/>
    <w:rsid w:val="006A09D7"/>
    <w:rsid w:val="006A0CCF"/>
    <w:rsid w:val="006A10C6"/>
    <w:rsid w:val="006A153D"/>
    <w:rsid w:val="006A160C"/>
    <w:rsid w:val="006A186C"/>
    <w:rsid w:val="006A19C2"/>
    <w:rsid w:val="006A1B81"/>
    <w:rsid w:val="006A1C29"/>
    <w:rsid w:val="006A1F32"/>
    <w:rsid w:val="006A2354"/>
    <w:rsid w:val="006A24F8"/>
    <w:rsid w:val="006A2633"/>
    <w:rsid w:val="006A2937"/>
    <w:rsid w:val="006A2C57"/>
    <w:rsid w:val="006A2EC2"/>
    <w:rsid w:val="006A3190"/>
    <w:rsid w:val="006A3908"/>
    <w:rsid w:val="006A406B"/>
    <w:rsid w:val="006A439D"/>
    <w:rsid w:val="006A44D0"/>
    <w:rsid w:val="006A4986"/>
    <w:rsid w:val="006A4B4E"/>
    <w:rsid w:val="006A4CD8"/>
    <w:rsid w:val="006A4FCB"/>
    <w:rsid w:val="006A50C8"/>
    <w:rsid w:val="006A50CD"/>
    <w:rsid w:val="006A589F"/>
    <w:rsid w:val="006A5913"/>
    <w:rsid w:val="006A61F7"/>
    <w:rsid w:val="006A68D2"/>
    <w:rsid w:val="006A6D8E"/>
    <w:rsid w:val="006A70BF"/>
    <w:rsid w:val="006A7174"/>
    <w:rsid w:val="006A7249"/>
    <w:rsid w:val="006A78D4"/>
    <w:rsid w:val="006A7A65"/>
    <w:rsid w:val="006A7EF9"/>
    <w:rsid w:val="006B03AF"/>
    <w:rsid w:val="006B0486"/>
    <w:rsid w:val="006B0C88"/>
    <w:rsid w:val="006B0E3D"/>
    <w:rsid w:val="006B17B1"/>
    <w:rsid w:val="006B1960"/>
    <w:rsid w:val="006B1DE7"/>
    <w:rsid w:val="006B1E47"/>
    <w:rsid w:val="006B2428"/>
    <w:rsid w:val="006B243B"/>
    <w:rsid w:val="006B29BD"/>
    <w:rsid w:val="006B2D21"/>
    <w:rsid w:val="006B2E76"/>
    <w:rsid w:val="006B3486"/>
    <w:rsid w:val="006B3661"/>
    <w:rsid w:val="006B3706"/>
    <w:rsid w:val="006B3C37"/>
    <w:rsid w:val="006B4027"/>
    <w:rsid w:val="006B4096"/>
    <w:rsid w:val="006B4CBF"/>
    <w:rsid w:val="006B54E4"/>
    <w:rsid w:val="006B5A74"/>
    <w:rsid w:val="006B6B99"/>
    <w:rsid w:val="006B6BAB"/>
    <w:rsid w:val="006B6F39"/>
    <w:rsid w:val="006B7026"/>
    <w:rsid w:val="006B74AB"/>
    <w:rsid w:val="006B776C"/>
    <w:rsid w:val="006B7B0D"/>
    <w:rsid w:val="006B7CAB"/>
    <w:rsid w:val="006C05B0"/>
    <w:rsid w:val="006C077E"/>
    <w:rsid w:val="006C07F1"/>
    <w:rsid w:val="006C1D1C"/>
    <w:rsid w:val="006C242E"/>
    <w:rsid w:val="006C2605"/>
    <w:rsid w:val="006C2857"/>
    <w:rsid w:val="006C2B78"/>
    <w:rsid w:val="006C2DCE"/>
    <w:rsid w:val="006C3B33"/>
    <w:rsid w:val="006C4019"/>
    <w:rsid w:val="006C4687"/>
    <w:rsid w:val="006C46C2"/>
    <w:rsid w:val="006C4B13"/>
    <w:rsid w:val="006C4D15"/>
    <w:rsid w:val="006C4D67"/>
    <w:rsid w:val="006C4EFB"/>
    <w:rsid w:val="006C52BA"/>
    <w:rsid w:val="006C567A"/>
    <w:rsid w:val="006C6503"/>
    <w:rsid w:val="006C6C40"/>
    <w:rsid w:val="006C6D57"/>
    <w:rsid w:val="006C7036"/>
    <w:rsid w:val="006C7140"/>
    <w:rsid w:val="006C7780"/>
    <w:rsid w:val="006D0F21"/>
    <w:rsid w:val="006D17FF"/>
    <w:rsid w:val="006D1954"/>
    <w:rsid w:val="006D19A0"/>
    <w:rsid w:val="006D1B6B"/>
    <w:rsid w:val="006D1C29"/>
    <w:rsid w:val="006D1CD3"/>
    <w:rsid w:val="006D2494"/>
    <w:rsid w:val="006D29BC"/>
    <w:rsid w:val="006D2F58"/>
    <w:rsid w:val="006D30C9"/>
    <w:rsid w:val="006D3341"/>
    <w:rsid w:val="006D36AA"/>
    <w:rsid w:val="006D36FB"/>
    <w:rsid w:val="006D3D14"/>
    <w:rsid w:val="006D46E2"/>
    <w:rsid w:val="006D4FBE"/>
    <w:rsid w:val="006D500E"/>
    <w:rsid w:val="006D5056"/>
    <w:rsid w:val="006D51E8"/>
    <w:rsid w:val="006D52A8"/>
    <w:rsid w:val="006D5E41"/>
    <w:rsid w:val="006D601C"/>
    <w:rsid w:val="006D632C"/>
    <w:rsid w:val="006D64E4"/>
    <w:rsid w:val="006D651E"/>
    <w:rsid w:val="006D6554"/>
    <w:rsid w:val="006D6686"/>
    <w:rsid w:val="006D6BF1"/>
    <w:rsid w:val="006D6D32"/>
    <w:rsid w:val="006D75FD"/>
    <w:rsid w:val="006D78F3"/>
    <w:rsid w:val="006D78F8"/>
    <w:rsid w:val="006D7EAB"/>
    <w:rsid w:val="006D7F9C"/>
    <w:rsid w:val="006E019E"/>
    <w:rsid w:val="006E045E"/>
    <w:rsid w:val="006E051F"/>
    <w:rsid w:val="006E0C7F"/>
    <w:rsid w:val="006E1223"/>
    <w:rsid w:val="006E1BC3"/>
    <w:rsid w:val="006E20F9"/>
    <w:rsid w:val="006E23AB"/>
    <w:rsid w:val="006E2432"/>
    <w:rsid w:val="006E24A0"/>
    <w:rsid w:val="006E26C2"/>
    <w:rsid w:val="006E2AD0"/>
    <w:rsid w:val="006E2CDD"/>
    <w:rsid w:val="006E3755"/>
    <w:rsid w:val="006E37E5"/>
    <w:rsid w:val="006E3A63"/>
    <w:rsid w:val="006E3D1F"/>
    <w:rsid w:val="006E4194"/>
    <w:rsid w:val="006E4222"/>
    <w:rsid w:val="006E4372"/>
    <w:rsid w:val="006E444A"/>
    <w:rsid w:val="006E45A0"/>
    <w:rsid w:val="006E45ED"/>
    <w:rsid w:val="006E48B0"/>
    <w:rsid w:val="006E4AA0"/>
    <w:rsid w:val="006E4AAE"/>
    <w:rsid w:val="006E5B9F"/>
    <w:rsid w:val="006E5F50"/>
    <w:rsid w:val="006E6A0C"/>
    <w:rsid w:val="006E6ACC"/>
    <w:rsid w:val="006E6FC3"/>
    <w:rsid w:val="006E72AB"/>
    <w:rsid w:val="006E799E"/>
    <w:rsid w:val="006E79AD"/>
    <w:rsid w:val="006E7C97"/>
    <w:rsid w:val="006E7F3B"/>
    <w:rsid w:val="006F0239"/>
    <w:rsid w:val="006F0353"/>
    <w:rsid w:val="006F066C"/>
    <w:rsid w:val="006F087F"/>
    <w:rsid w:val="006F0C21"/>
    <w:rsid w:val="006F1691"/>
    <w:rsid w:val="006F1F25"/>
    <w:rsid w:val="006F2583"/>
    <w:rsid w:val="006F308C"/>
    <w:rsid w:val="006F33DB"/>
    <w:rsid w:val="006F3D61"/>
    <w:rsid w:val="006F4D93"/>
    <w:rsid w:val="006F4F2C"/>
    <w:rsid w:val="006F5135"/>
    <w:rsid w:val="006F576E"/>
    <w:rsid w:val="006F5829"/>
    <w:rsid w:val="006F5833"/>
    <w:rsid w:val="006F668D"/>
    <w:rsid w:val="006F675A"/>
    <w:rsid w:val="006F6B64"/>
    <w:rsid w:val="006F6BD5"/>
    <w:rsid w:val="006F6F23"/>
    <w:rsid w:val="006F706B"/>
    <w:rsid w:val="006F7269"/>
    <w:rsid w:val="006F72CA"/>
    <w:rsid w:val="006F746D"/>
    <w:rsid w:val="006F778F"/>
    <w:rsid w:val="006F7886"/>
    <w:rsid w:val="007000D0"/>
    <w:rsid w:val="00700238"/>
    <w:rsid w:val="00700755"/>
    <w:rsid w:val="00700B0B"/>
    <w:rsid w:val="00701091"/>
    <w:rsid w:val="00701369"/>
    <w:rsid w:val="007015A7"/>
    <w:rsid w:val="007020AA"/>
    <w:rsid w:val="007020FE"/>
    <w:rsid w:val="00702711"/>
    <w:rsid w:val="00702906"/>
    <w:rsid w:val="00702FB1"/>
    <w:rsid w:val="007030D8"/>
    <w:rsid w:val="00703209"/>
    <w:rsid w:val="00703AFA"/>
    <w:rsid w:val="00703D10"/>
    <w:rsid w:val="0070457F"/>
    <w:rsid w:val="00704825"/>
    <w:rsid w:val="00704898"/>
    <w:rsid w:val="007049C1"/>
    <w:rsid w:val="00704A98"/>
    <w:rsid w:val="00705040"/>
    <w:rsid w:val="00705149"/>
    <w:rsid w:val="0070531E"/>
    <w:rsid w:val="00705B2B"/>
    <w:rsid w:val="00706098"/>
    <w:rsid w:val="00706276"/>
    <w:rsid w:val="007063D4"/>
    <w:rsid w:val="00706E8B"/>
    <w:rsid w:val="00706F76"/>
    <w:rsid w:val="007072F7"/>
    <w:rsid w:val="00707783"/>
    <w:rsid w:val="007079F1"/>
    <w:rsid w:val="00707D65"/>
    <w:rsid w:val="007100F4"/>
    <w:rsid w:val="007108DE"/>
    <w:rsid w:val="007109FD"/>
    <w:rsid w:val="00710E30"/>
    <w:rsid w:val="00710F87"/>
    <w:rsid w:val="007111BB"/>
    <w:rsid w:val="007115C9"/>
    <w:rsid w:val="007117DE"/>
    <w:rsid w:val="00711D37"/>
    <w:rsid w:val="007127A9"/>
    <w:rsid w:val="007128A2"/>
    <w:rsid w:val="00712F7F"/>
    <w:rsid w:val="0071313A"/>
    <w:rsid w:val="007137CC"/>
    <w:rsid w:val="00713991"/>
    <w:rsid w:val="00713C56"/>
    <w:rsid w:val="00713E55"/>
    <w:rsid w:val="0071448C"/>
    <w:rsid w:val="0071576A"/>
    <w:rsid w:val="00715924"/>
    <w:rsid w:val="00715B97"/>
    <w:rsid w:val="00715D4E"/>
    <w:rsid w:val="00715F25"/>
    <w:rsid w:val="00715FF5"/>
    <w:rsid w:val="007169B5"/>
    <w:rsid w:val="00716DD5"/>
    <w:rsid w:val="00717514"/>
    <w:rsid w:val="007175C3"/>
    <w:rsid w:val="00717630"/>
    <w:rsid w:val="00717828"/>
    <w:rsid w:val="007179C8"/>
    <w:rsid w:val="00717C6F"/>
    <w:rsid w:val="00717CAF"/>
    <w:rsid w:val="0072047F"/>
    <w:rsid w:val="00720706"/>
    <w:rsid w:val="00720721"/>
    <w:rsid w:val="007210FF"/>
    <w:rsid w:val="0072133C"/>
    <w:rsid w:val="0072148E"/>
    <w:rsid w:val="007214AE"/>
    <w:rsid w:val="007215BC"/>
    <w:rsid w:val="00721971"/>
    <w:rsid w:val="00721BEC"/>
    <w:rsid w:val="00722200"/>
    <w:rsid w:val="00722699"/>
    <w:rsid w:val="00722D4E"/>
    <w:rsid w:val="00722E5F"/>
    <w:rsid w:val="00723064"/>
    <w:rsid w:val="007237AF"/>
    <w:rsid w:val="00723C9F"/>
    <w:rsid w:val="00724B93"/>
    <w:rsid w:val="00724C89"/>
    <w:rsid w:val="0072517E"/>
    <w:rsid w:val="00725B1E"/>
    <w:rsid w:val="00725C63"/>
    <w:rsid w:val="0072652D"/>
    <w:rsid w:val="00726621"/>
    <w:rsid w:val="007277C8"/>
    <w:rsid w:val="00727BE8"/>
    <w:rsid w:val="00727D56"/>
    <w:rsid w:val="007301CE"/>
    <w:rsid w:val="0073030A"/>
    <w:rsid w:val="007304AA"/>
    <w:rsid w:val="007305D5"/>
    <w:rsid w:val="007306F4"/>
    <w:rsid w:val="00730DC4"/>
    <w:rsid w:val="00730DE8"/>
    <w:rsid w:val="00730FDD"/>
    <w:rsid w:val="00731317"/>
    <w:rsid w:val="0073223D"/>
    <w:rsid w:val="00732385"/>
    <w:rsid w:val="0073240A"/>
    <w:rsid w:val="007328AA"/>
    <w:rsid w:val="00732A23"/>
    <w:rsid w:val="00733131"/>
    <w:rsid w:val="0073324E"/>
    <w:rsid w:val="00733505"/>
    <w:rsid w:val="00733760"/>
    <w:rsid w:val="00733924"/>
    <w:rsid w:val="00733ACA"/>
    <w:rsid w:val="00733C06"/>
    <w:rsid w:val="00733D44"/>
    <w:rsid w:val="00733F61"/>
    <w:rsid w:val="007344D6"/>
    <w:rsid w:val="00734B64"/>
    <w:rsid w:val="00735132"/>
    <w:rsid w:val="007353D7"/>
    <w:rsid w:val="00735614"/>
    <w:rsid w:val="0073572D"/>
    <w:rsid w:val="00735B5B"/>
    <w:rsid w:val="00736AC1"/>
    <w:rsid w:val="00736BBE"/>
    <w:rsid w:val="00736EE1"/>
    <w:rsid w:val="00737344"/>
    <w:rsid w:val="0073795B"/>
    <w:rsid w:val="00737A44"/>
    <w:rsid w:val="00737E97"/>
    <w:rsid w:val="0074028B"/>
    <w:rsid w:val="00740F17"/>
    <w:rsid w:val="00740F67"/>
    <w:rsid w:val="00740FF9"/>
    <w:rsid w:val="007410CC"/>
    <w:rsid w:val="007411AC"/>
    <w:rsid w:val="00741374"/>
    <w:rsid w:val="00741483"/>
    <w:rsid w:val="00741F57"/>
    <w:rsid w:val="00742408"/>
    <w:rsid w:val="00742756"/>
    <w:rsid w:val="007428CC"/>
    <w:rsid w:val="00743638"/>
    <w:rsid w:val="007437D6"/>
    <w:rsid w:val="00743E0E"/>
    <w:rsid w:val="00743EE5"/>
    <w:rsid w:val="00744111"/>
    <w:rsid w:val="007442FD"/>
    <w:rsid w:val="00744353"/>
    <w:rsid w:val="00744647"/>
    <w:rsid w:val="00744A1E"/>
    <w:rsid w:val="00744B7C"/>
    <w:rsid w:val="00744C92"/>
    <w:rsid w:val="00744F25"/>
    <w:rsid w:val="007452E4"/>
    <w:rsid w:val="0074545A"/>
    <w:rsid w:val="0074574A"/>
    <w:rsid w:val="00745886"/>
    <w:rsid w:val="007459EA"/>
    <w:rsid w:val="00745A5C"/>
    <w:rsid w:val="00745E59"/>
    <w:rsid w:val="0074615F"/>
    <w:rsid w:val="00746328"/>
    <w:rsid w:val="0074672B"/>
    <w:rsid w:val="0074692B"/>
    <w:rsid w:val="00746B3E"/>
    <w:rsid w:val="00747343"/>
    <w:rsid w:val="00747679"/>
    <w:rsid w:val="00747716"/>
    <w:rsid w:val="0074779F"/>
    <w:rsid w:val="0075013A"/>
    <w:rsid w:val="007504D1"/>
    <w:rsid w:val="007504F3"/>
    <w:rsid w:val="007505CE"/>
    <w:rsid w:val="00750771"/>
    <w:rsid w:val="00750ADA"/>
    <w:rsid w:val="00750BAA"/>
    <w:rsid w:val="00750E72"/>
    <w:rsid w:val="00750FCA"/>
    <w:rsid w:val="00751948"/>
    <w:rsid w:val="0075204C"/>
    <w:rsid w:val="00752395"/>
    <w:rsid w:val="00752430"/>
    <w:rsid w:val="00752644"/>
    <w:rsid w:val="00752695"/>
    <w:rsid w:val="00752BDC"/>
    <w:rsid w:val="00753A47"/>
    <w:rsid w:val="00753BC9"/>
    <w:rsid w:val="0075419C"/>
    <w:rsid w:val="0075427E"/>
    <w:rsid w:val="007544F8"/>
    <w:rsid w:val="00755031"/>
    <w:rsid w:val="007550AB"/>
    <w:rsid w:val="007553DF"/>
    <w:rsid w:val="007553F8"/>
    <w:rsid w:val="0075542D"/>
    <w:rsid w:val="00756081"/>
    <w:rsid w:val="007560D5"/>
    <w:rsid w:val="007562DF"/>
    <w:rsid w:val="00756E0B"/>
    <w:rsid w:val="007570DE"/>
    <w:rsid w:val="00757B4E"/>
    <w:rsid w:val="00757C06"/>
    <w:rsid w:val="00757DC7"/>
    <w:rsid w:val="0076030A"/>
    <w:rsid w:val="0076092C"/>
    <w:rsid w:val="0076095E"/>
    <w:rsid w:val="00760D47"/>
    <w:rsid w:val="007612F1"/>
    <w:rsid w:val="00761499"/>
    <w:rsid w:val="00761CED"/>
    <w:rsid w:val="00761D15"/>
    <w:rsid w:val="00761D7A"/>
    <w:rsid w:val="00761E71"/>
    <w:rsid w:val="00762023"/>
    <w:rsid w:val="00762AC9"/>
    <w:rsid w:val="00762E11"/>
    <w:rsid w:val="00762EE1"/>
    <w:rsid w:val="00763029"/>
    <w:rsid w:val="00763647"/>
    <w:rsid w:val="007636D1"/>
    <w:rsid w:val="00764381"/>
    <w:rsid w:val="007644F5"/>
    <w:rsid w:val="0076477D"/>
    <w:rsid w:val="00764CEE"/>
    <w:rsid w:val="00764D81"/>
    <w:rsid w:val="00765093"/>
    <w:rsid w:val="00765491"/>
    <w:rsid w:val="0076586F"/>
    <w:rsid w:val="00765DDB"/>
    <w:rsid w:val="00766333"/>
    <w:rsid w:val="0076650F"/>
    <w:rsid w:val="00766F2D"/>
    <w:rsid w:val="007672D1"/>
    <w:rsid w:val="00767782"/>
    <w:rsid w:val="00767B97"/>
    <w:rsid w:val="00767FE4"/>
    <w:rsid w:val="007702A7"/>
    <w:rsid w:val="00770502"/>
    <w:rsid w:val="007705C0"/>
    <w:rsid w:val="00770717"/>
    <w:rsid w:val="00771085"/>
    <w:rsid w:val="007711DB"/>
    <w:rsid w:val="0077140C"/>
    <w:rsid w:val="0077155B"/>
    <w:rsid w:val="007715D4"/>
    <w:rsid w:val="00771657"/>
    <w:rsid w:val="00771D95"/>
    <w:rsid w:val="00772142"/>
    <w:rsid w:val="0077230D"/>
    <w:rsid w:val="0077257D"/>
    <w:rsid w:val="00772761"/>
    <w:rsid w:val="007727CD"/>
    <w:rsid w:val="00772C66"/>
    <w:rsid w:val="00773D44"/>
    <w:rsid w:val="00775410"/>
    <w:rsid w:val="0077545B"/>
    <w:rsid w:val="00775823"/>
    <w:rsid w:val="007758FF"/>
    <w:rsid w:val="00775987"/>
    <w:rsid w:val="00775BB0"/>
    <w:rsid w:val="00775BCF"/>
    <w:rsid w:val="00775E77"/>
    <w:rsid w:val="007763FA"/>
    <w:rsid w:val="00776439"/>
    <w:rsid w:val="0077645A"/>
    <w:rsid w:val="0077656B"/>
    <w:rsid w:val="007766A4"/>
    <w:rsid w:val="00776A26"/>
    <w:rsid w:val="00776B87"/>
    <w:rsid w:val="00776FE8"/>
    <w:rsid w:val="00777025"/>
    <w:rsid w:val="0077728E"/>
    <w:rsid w:val="007775FF"/>
    <w:rsid w:val="00780124"/>
    <w:rsid w:val="0078043A"/>
    <w:rsid w:val="007806B4"/>
    <w:rsid w:val="007806E5"/>
    <w:rsid w:val="00780C47"/>
    <w:rsid w:val="00780F68"/>
    <w:rsid w:val="0078116A"/>
    <w:rsid w:val="007812A0"/>
    <w:rsid w:val="007812FD"/>
    <w:rsid w:val="0078188A"/>
    <w:rsid w:val="00781F2C"/>
    <w:rsid w:val="007823C4"/>
    <w:rsid w:val="007824D0"/>
    <w:rsid w:val="0078268A"/>
    <w:rsid w:val="00782FBE"/>
    <w:rsid w:val="0078321B"/>
    <w:rsid w:val="00783303"/>
    <w:rsid w:val="007840DF"/>
    <w:rsid w:val="0078414B"/>
    <w:rsid w:val="00784988"/>
    <w:rsid w:val="00784B34"/>
    <w:rsid w:val="00784FDD"/>
    <w:rsid w:val="007853E3"/>
    <w:rsid w:val="0078579C"/>
    <w:rsid w:val="00785962"/>
    <w:rsid w:val="0078660D"/>
    <w:rsid w:val="0078682C"/>
    <w:rsid w:val="00786A49"/>
    <w:rsid w:val="00786FF3"/>
    <w:rsid w:val="00786FFA"/>
    <w:rsid w:val="00787AA6"/>
    <w:rsid w:val="00787D8E"/>
    <w:rsid w:val="007901CD"/>
    <w:rsid w:val="007905C9"/>
    <w:rsid w:val="00790983"/>
    <w:rsid w:val="00790FAF"/>
    <w:rsid w:val="007911F2"/>
    <w:rsid w:val="007919BD"/>
    <w:rsid w:val="00791A32"/>
    <w:rsid w:val="00791A99"/>
    <w:rsid w:val="00792C90"/>
    <w:rsid w:val="007930AA"/>
    <w:rsid w:val="00793455"/>
    <w:rsid w:val="0079361E"/>
    <w:rsid w:val="0079388D"/>
    <w:rsid w:val="00793A06"/>
    <w:rsid w:val="00793BCE"/>
    <w:rsid w:val="00794092"/>
    <w:rsid w:val="00794296"/>
    <w:rsid w:val="00794FD4"/>
    <w:rsid w:val="007956B9"/>
    <w:rsid w:val="00795C85"/>
    <w:rsid w:val="00795EFD"/>
    <w:rsid w:val="00795F8B"/>
    <w:rsid w:val="00796094"/>
    <w:rsid w:val="0079713E"/>
    <w:rsid w:val="00797161"/>
    <w:rsid w:val="00797278"/>
    <w:rsid w:val="00797AA6"/>
    <w:rsid w:val="00797E64"/>
    <w:rsid w:val="007A017F"/>
    <w:rsid w:val="007A0FAA"/>
    <w:rsid w:val="007A110F"/>
    <w:rsid w:val="007A175F"/>
    <w:rsid w:val="007A21C0"/>
    <w:rsid w:val="007A2551"/>
    <w:rsid w:val="007A2A6A"/>
    <w:rsid w:val="007A3762"/>
    <w:rsid w:val="007A3BF1"/>
    <w:rsid w:val="007A410C"/>
    <w:rsid w:val="007A4964"/>
    <w:rsid w:val="007A5418"/>
    <w:rsid w:val="007A5E80"/>
    <w:rsid w:val="007A64F5"/>
    <w:rsid w:val="007A663C"/>
    <w:rsid w:val="007A6AFC"/>
    <w:rsid w:val="007A706F"/>
    <w:rsid w:val="007A70C9"/>
    <w:rsid w:val="007A730F"/>
    <w:rsid w:val="007A7A95"/>
    <w:rsid w:val="007A7BCC"/>
    <w:rsid w:val="007A7F10"/>
    <w:rsid w:val="007B00B3"/>
    <w:rsid w:val="007B0874"/>
    <w:rsid w:val="007B1291"/>
    <w:rsid w:val="007B1804"/>
    <w:rsid w:val="007B289A"/>
    <w:rsid w:val="007B2A6E"/>
    <w:rsid w:val="007B2ABF"/>
    <w:rsid w:val="007B33D3"/>
    <w:rsid w:val="007B3583"/>
    <w:rsid w:val="007B4182"/>
    <w:rsid w:val="007B43A3"/>
    <w:rsid w:val="007B485D"/>
    <w:rsid w:val="007B49C5"/>
    <w:rsid w:val="007B4CD6"/>
    <w:rsid w:val="007B5C9A"/>
    <w:rsid w:val="007B5E31"/>
    <w:rsid w:val="007B60E4"/>
    <w:rsid w:val="007B621C"/>
    <w:rsid w:val="007B72B8"/>
    <w:rsid w:val="007B731E"/>
    <w:rsid w:val="007B7C71"/>
    <w:rsid w:val="007B7F3A"/>
    <w:rsid w:val="007C0645"/>
    <w:rsid w:val="007C14CE"/>
    <w:rsid w:val="007C1520"/>
    <w:rsid w:val="007C1814"/>
    <w:rsid w:val="007C1883"/>
    <w:rsid w:val="007C1ECB"/>
    <w:rsid w:val="007C2560"/>
    <w:rsid w:val="007C2CC4"/>
    <w:rsid w:val="007C2F34"/>
    <w:rsid w:val="007C30DF"/>
    <w:rsid w:val="007C30EE"/>
    <w:rsid w:val="007C33E6"/>
    <w:rsid w:val="007C3497"/>
    <w:rsid w:val="007C3884"/>
    <w:rsid w:val="007C38B9"/>
    <w:rsid w:val="007C390C"/>
    <w:rsid w:val="007C3F7A"/>
    <w:rsid w:val="007C3FE8"/>
    <w:rsid w:val="007C44A4"/>
    <w:rsid w:val="007C4C99"/>
    <w:rsid w:val="007C518C"/>
    <w:rsid w:val="007C5338"/>
    <w:rsid w:val="007C5536"/>
    <w:rsid w:val="007C5780"/>
    <w:rsid w:val="007C6A7B"/>
    <w:rsid w:val="007C6CC7"/>
    <w:rsid w:val="007C7458"/>
    <w:rsid w:val="007C7779"/>
    <w:rsid w:val="007C7927"/>
    <w:rsid w:val="007C7C51"/>
    <w:rsid w:val="007C7E53"/>
    <w:rsid w:val="007C7E5A"/>
    <w:rsid w:val="007D0994"/>
    <w:rsid w:val="007D0ABC"/>
    <w:rsid w:val="007D0FDE"/>
    <w:rsid w:val="007D110F"/>
    <w:rsid w:val="007D176C"/>
    <w:rsid w:val="007D1F6C"/>
    <w:rsid w:val="007D205A"/>
    <w:rsid w:val="007D2084"/>
    <w:rsid w:val="007D21F8"/>
    <w:rsid w:val="007D2359"/>
    <w:rsid w:val="007D2563"/>
    <w:rsid w:val="007D2C5B"/>
    <w:rsid w:val="007D39FB"/>
    <w:rsid w:val="007D39FE"/>
    <w:rsid w:val="007D3AFB"/>
    <w:rsid w:val="007D3C9A"/>
    <w:rsid w:val="007D4154"/>
    <w:rsid w:val="007D47DB"/>
    <w:rsid w:val="007D5A15"/>
    <w:rsid w:val="007D5A61"/>
    <w:rsid w:val="007D5A9E"/>
    <w:rsid w:val="007D5ACB"/>
    <w:rsid w:val="007D6723"/>
    <w:rsid w:val="007D67E7"/>
    <w:rsid w:val="007D6F51"/>
    <w:rsid w:val="007D7266"/>
    <w:rsid w:val="007D75E8"/>
    <w:rsid w:val="007D7EA9"/>
    <w:rsid w:val="007E0A48"/>
    <w:rsid w:val="007E0E98"/>
    <w:rsid w:val="007E0EC0"/>
    <w:rsid w:val="007E1207"/>
    <w:rsid w:val="007E13E7"/>
    <w:rsid w:val="007E1BB5"/>
    <w:rsid w:val="007E1CC6"/>
    <w:rsid w:val="007E2865"/>
    <w:rsid w:val="007E2E7A"/>
    <w:rsid w:val="007E3020"/>
    <w:rsid w:val="007E32AB"/>
    <w:rsid w:val="007E33B0"/>
    <w:rsid w:val="007E3543"/>
    <w:rsid w:val="007E35AA"/>
    <w:rsid w:val="007E3AEC"/>
    <w:rsid w:val="007E3C2E"/>
    <w:rsid w:val="007E3FB1"/>
    <w:rsid w:val="007E4684"/>
    <w:rsid w:val="007E47F0"/>
    <w:rsid w:val="007E4CEB"/>
    <w:rsid w:val="007E4F6E"/>
    <w:rsid w:val="007E53DA"/>
    <w:rsid w:val="007E53E5"/>
    <w:rsid w:val="007E5574"/>
    <w:rsid w:val="007E5647"/>
    <w:rsid w:val="007E578E"/>
    <w:rsid w:val="007E5871"/>
    <w:rsid w:val="007E5A2D"/>
    <w:rsid w:val="007E5F4A"/>
    <w:rsid w:val="007E5FDB"/>
    <w:rsid w:val="007E6383"/>
    <w:rsid w:val="007E6D56"/>
    <w:rsid w:val="007E6FFF"/>
    <w:rsid w:val="007E7036"/>
    <w:rsid w:val="007E7164"/>
    <w:rsid w:val="007E76B5"/>
    <w:rsid w:val="007E7782"/>
    <w:rsid w:val="007F0B4D"/>
    <w:rsid w:val="007F0C65"/>
    <w:rsid w:val="007F0CA3"/>
    <w:rsid w:val="007F0CE0"/>
    <w:rsid w:val="007F0DAD"/>
    <w:rsid w:val="007F0DE0"/>
    <w:rsid w:val="007F0F1E"/>
    <w:rsid w:val="007F0F22"/>
    <w:rsid w:val="007F10C0"/>
    <w:rsid w:val="007F1A3A"/>
    <w:rsid w:val="007F21B8"/>
    <w:rsid w:val="007F29A5"/>
    <w:rsid w:val="007F3147"/>
    <w:rsid w:val="007F3297"/>
    <w:rsid w:val="007F34C4"/>
    <w:rsid w:val="007F3574"/>
    <w:rsid w:val="007F358E"/>
    <w:rsid w:val="007F36A4"/>
    <w:rsid w:val="007F422A"/>
    <w:rsid w:val="007F4444"/>
    <w:rsid w:val="007F46E0"/>
    <w:rsid w:val="007F48D5"/>
    <w:rsid w:val="007F4D31"/>
    <w:rsid w:val="007F4D4F"/>
    <w:rsid w:val="007F55DB"/>
    <w:rsid w:val="007F562C"/>
    <w:rsid w:val="007F59CA"/>
    <w:rsid w:val="007F5C1A"/>
    <w:rsid w:val="007F5CA4"/>
    <w:rsid w:val="007F62B0"/>
    <w:rsid w:val="007F67E2"/>
    <w:rsid w:val="007F6E7B"/>
    <w:rsid w:val="007F6EE7"/>
    <w:rsid w:val="007F6F9D"/>
    <w:rsid w:val="007F714B"/>
    <w:rsid w:val="007F719B"/>
    <w:rsid w:val="007F751A"/>
    <w:rsid w:val="007F7ED1"/>
    <w:rsid w:val="0080020B"/>
    <w:rsid w:val="0080025D"/>
    <w:rsid w:val="00800742"/>
    <w:rsid w:val="00800A96"/>
    <w:rsid w:val="00801123"/>
    <w:rsid w:val="008017CD"/>
    <w:rsid w:val="00801EC4"/>
    <w:rsid w:val="0080228B"/>
    <w:rsid w:val="0080285F"/>
    <w:rsid w:val="00803799"/>
    <w:rsid w:val="008043C4"/>
    <w:rsid w:val="00804CF8"/>
    <w:rsid w:val="00805456"/>
    <w:rsid w:val="008057AD"/>
    <w:rsid w:val="00805A8D"/>
    <w:rsid w:val="008062D0"/>
    <w:rsid w:val="008065F2"/>
    <w:rsid w:val="00806B9A"/>
    <w:rsid w:val="00806BD2"/>
    <w:rsid w:val="0080770F"/>
    <w:rsid w:val="00807C00"/>
    <w:rsid w:val="00807CBE"/>
    <w:rsid w:val="00807F52"/>
    <w:rsid w:val="00807F58"/>
    <w:rsid w:val="0081003D"/>
    <w:rsid w:val="008100C9"/>
    <w:rsid w:val="00810411"/>
    <w:rsid w:val="00810508"/>
    <w:rsid w:val="00810797"/>
    <w:rsid w:val="00810C19"/>
    <w:rsid w:val="008114B8"/>
    <w:rsid w:val="00811863"/>
    <w:rsid w:val="0081186A"/>
    <w:rsid w:val="008121A8"/>
    <w:rsid w:val="00812BD6"/>
    <w:rsid w:val="00813207"/>
    <w:rsid w:val="008134A6"/>
    <w:rsid w:val="00814124"/>
    <w:rsid w:val="008141B2"/>
    <w:rsid w:val="008147E2"/>
    <w:rsid w:val="008152CE"/>
    <w:rsid w:val="008155D7"/>
    <w:rsid w:val="00815B06"/>
    <w:rsid w:val="00815FBF"/>
    <w:rsid w:val="00816124"/>
    <w:rsid w:val="008167A4"/>
    <w:rsid w:val="008167D3"/>
    <w:rsid w:val="0081685A"/>
    <w:rsid w:val="008169B6"/>
    <w:rsid w:val="00816BBB"/>
    <w:rsid w:val="00816EE7"/>
    <w:rsid w:val="00817075"/>
    <w:rsid w:val="008172AE"/>
    <w:rsid w:val="0081764C"/>
    <w:rsid w:val="008201B5"/>
    <w:rsid w:val="00820416"/>
    <w:rsid w:val="00820AE3"/>
    <w:rsid w:val="00821078"/>
    <w:rsid w:val="0082163C"/>
    <w:rsid w:val="0082165C"/>
    <w:rsid w:val="00821A13"/>
    <w:rsid w:val="00821AC1"/>
    <w:rsid w:val="00821B80"/>
    <w:rsid w:val="00821EBD"/>
    <w:rsid w:val="00822261"/>
    <w:rsid w:val="0082232B"/>
    <w:rsid w:val="00822375"/>
    <w:rsid w:val="00822620"/>
    <w:rsid w:val="008229B8"/>
    <w:rsid w:val="00822DB6"/>
    <w:rsid w:val="00823954"/>
    <w:rsid w:val="00823C6A"/>
    <w:rsid w:val="00823DE1"/>
    <w:rsid w:val="00824514"/>
    <w:rsid w:val="008245A4"/>
    <w:rsid w:val="00824A91"/>
    <w:rsid w:val="00824CAB"/>
    <w:rsid w:val="0082507C"/>
    <w:rsid w:val="00825DC2"/>
    <w:rsid w:val="0082616B"/>
    <w:rsid w:val="0082644E"/>
    <w:rsid w:val="008266B0"/>
    <w:rsid w:val="00827140"/>
    <w:rsid w:val="008279BE"/>
    <w:rsid w:val="00827F5C"/>
    <w:rsid w:val="008309CB"/>
    <w:rsid w:val="00830EE8"/>
    <w:rsid w:val="008316BF"/>
    <w:rsid w:val="008316E1"/>
    <w:rsid w:val="00832874"/>
    <w:rsid w:val="00832908"/>
    <w:rsid w:val="00832F30"/>
    <w:rsid w:val="008331BF"/>
    <w:rsid w:val="008334C3"/>
    <w:rsid w:val="00833A03"/>
    <w:rsid w:val="008347CB"/>
    <w:rsid w:val="00834C78"/>
    <w:rsid w:val="00835211"/>
    <w:rsid w:val="00835221"/>
    <w:rsid w:val="00835326"/>
    <w:rsid w:val="008356CE"/>
    <w:rsid w:val="00835F1E"/>
    <w:rsid w:val="008365CF"/>
    <w:rsid w:val="00837058"/>
    <w:rsid w:val="008372D4"/>
    <w:rsid w:val="00837A74"/>
    <w:rsid w:val="008404CB"/>
    <w:rsid w:val="00840B11"/>
    <w:rsid w:val="00840C73"/>
    <w:rsid w:val="00840EBD"/>
    <w:rsid w:val="00841593"/>
    <w:rsid w:val="008417E7"/>
    <w:rsid w:val="00841A47"/>
    <w:rsid w:val="00841E40"/>
    <w:rsid w:val="008421D5"/>
    <w:rsid w:val="00842306"/>
    <w:rsid w:val="0084296D"/>
    <w:rsid w:val="00842987"/>
    <w:rsid w:val="00843B53"/>
    <w:rsid w:val="00843D99"/>
    <w:rsid w:val="00844316"/>
    <w:rsid w:val="00844833"/>
    <w:rsid w:val="008448BD"/>
    <w:rsid w:val="00844AAB"/>
    <w:rsid w:val="00844C54"/>
    <w:rsid w:val="00845742"/>
    <w:rsid w:val="00845DD9"/>
    <w:rsid w:val="00845FB9"/>
    <w:rsid w:val="008461E8"/>
    <w:rsid w:val="0084641E"/>
    <w:rsid w:val="0084679E"/>
    <w:rsid w:val="00846D73"/>
    <w:rsid w:val="00850076"/>
    <w:rsid w:val="0085069F"/>
    <w:rsid w:val="00850874"/>
    <w:rsid w:val="00850F5F"/>
    <w:rsid w:val="00850FF0"/>
    <w:rsid w:val="00850FF8"/>
    <w:rsid w:val="00851553"/>
    <w:rsid w:val="00851C71"/>
    <w:rsid w:val="00851D60"/>
    <w:rsid w:val="00852065"/>
    <w:rsid w:val="0085236E"/>
    <w:rsid w:val="00852852"/>
    <w:rsid w:val="008528B6"/>
    <w:rsid w:val="00853774"/>
    <w:rsid w:val="0085390E"/>
    <w:rsid w:val="00853B95"/>
    <w:rsid w:val="00853E17"/>
    <w:rsid w:val="00853F75"/>
    <w:rsid w:val="008545CE"/>
    <w:rsid w:val="00854A3F"/>
    <w:rsid w:val="00854B01"/>
    <w:rsid w:val="00854B32"/>
    <w:rsid w:val="00854B97"/>
    <w:rsid w:val="0085500F"/>
    <w:rsid w:val="008556CB"/>
    <w:rsid w:val="0085613F"/>
    <w:rsid w:val="0085694F"/>
    <w:rsid w:val="008569E4"/>
    <w:rsid w:val="00857053"/>
    <w:rsid w:val="00857485"/>
    <w:rsid w:val="00857B65"/>
    <w:rsid w:val="008603FE"/>
    <w:rsid w:val="0086060E"/>
    <w:rsid w:val="00860740"/>
    <w:rsid w:val="00860B0C"/>
    <w:rsid w:val="00860B3B"/>
    <w:rsid w:val="0086134C"/>
    <w:rsid w:val="008618FC"/>
    <w:rsid w:val="00861CB2"/>
    <w:rsid w:val="008620D7"/>
    <w:rsid w:val="008621D5"/>
    <w:rsid w:val="008624B3"/>
    <w:rsid w:val="00862500"/>
    <w:rsid w:val="0086267D"/>
    <w:rsid w:val="008627C2"/>
    <w:rsid w:val="008627F4"/>
    <w:rsid w:val="00862CF4"/>
    <w:rsid w:val="00862E4F"/>
    <w:rsid w:val="00862E66"/>
    <w:rsid w:val="00863BE6"/>
    <w:rsid w:val="00864802"/>
    <w:rsid w:val="00864B60"/>
    <w:rsid w:val="00865AD4"/>
    <w:rsid w:val="00865D1E"/>
    <w:rsid w:val="008661E6"/>
    <w:rsid w:val="00866271"/>
    <w:rsid w:val="008663AA"/>
    <w:rsid w:val="00866474"/>
    <w:rsid w:val="00866514"/>
    <w:rsid w:val="0086669A"/>
    <w:rsid w:val="00866ADF"/>
    <w:rsid w:val="00867305"/>
    <w:rsid w:val="00867498"/>
    <w:rsid w:val="0086789C"/>
    <w:rsid w:val="008678B1"/>
    <w:rsid w:val="008679B4"/>
    <w:rsid w:val="00870200"/>
    <w:rsid w:val="008702C1"/>
    <w:rsid w:val="0087058F"/>
    <w:rsid w:val="00870618"/>
    <w:rsid w:val="0087065E"/>
    <w:rsid w:val="0087086B"/>
    <w:rsid w:val="008708A3"/>
    <w:rsid w:val="00870FB0"/>
    <w:rsid w:val="0087111F"/>
    <w:rsid w:val="008713F2"/>
    <w:rsid w:val="00871402"/>
    <w:rsid w:val="0087161F"/>
    <w:rsid w:val="00871A0B"/>
    <w:rsid w:val="00871C63"/>
    <w:rsid w:val="00872099"/>
    <w:rsid w:val="008723DC"/>
    <w:rsid w:val="00872795"/>
    <w:rsid w:val="00873282"/>
    <w:rsid w:val="0087343B"/>
    <w:rsid w:val="0087384B"/>
    <w:rsid w:val="00873D56"/>
    <w:rsid w:val="00875153"/>
    <w:rsid w:val="00875278"/>
    <w:rsid w:val="008753A7"/>
    <w:rsid w:val="008753EF"/>
    <w:rsid w:val="00875A63"/>
    <w:rsid w:val="008762EA"/>
    <w:rsid w:val="00876969"/>
    <w:rsid w:val="00876AE1"/>
    <w:rsid w:val="00876B3C"/>
    <w:rsid w:val="00876F65"/>
    <w:rsid w:val="00877185"/>
    <w:rsid w:val="008771C4"/>
    <w:rsid w:val="00877EA3"/>
    <w:rsid w:val="00880286"/>
    <w:rsid w:val="008802B8"/>
    <w:rsid w:val="008806BC"/>
    <w:rsid w:val="00880853"/>
    <w:rsid w:val="008808AF"/>
    <w:rsid w:val="00880B99"/>
    <w:rsid w:val="00880F3A"/>
    <w:rsid w:val="008812F5"/>
    <w:rsid w:val="0088180F"/>
    <w:rsid w:val="00881CF4"/>
    <w:rsid w:val="00881D3B"/>
    <w:rsid w:val="00881F33"/>
    <w:rsid w:val="00882FB2"/>
    <w:rsid w:val="00883069"/>
    <w:rsid w:val="008833F9"/>
    <w:rsid w:val="008839B3"/>
    <w:rsid w:val="00883F36"/>
    <w:rsid w:val="008841C1"/>
    <w:rsid w:val="0088458F"/>
    <w:rsid w:val="00884599"/>
    <w:rsid w:val="008854BA"/>
    <w:rsid w:val="00885FD7"/>
    <w:rsid w:val="00885FD8"/>
    <w:rsid w:val="00886416"/>
    <w:rsid w:val="008871F3"/>
    <w:rsid w:val="00887C4B"/>
    <w:rsid w:val="00887E67"/>
    <w:rsid w:val="00890359"/>
    <w:rsid w:val="00890383"/>
    <w:rsid w:val="008919BB"/>
    <w:rsid w:val="00891F39"/>
    <w:rsid w:val="00892489"/>
    <w:rsid w:val="008924DA"/>
    <w:rsid w:val="008928B6"/>
    <w:rsid w:val="00892BEE"/>
    <w:rsid w:val="00892C4A"/>
    <w:rsid w:val="00892D03"/>
    <w:rsid w:val="00892EC0"/>
    <w:rsid w:val="00892EF0"/>
    <w:rsid w:val="00893668"/>
    <w:rsid w:val="00893AED"/>
    <w:rsid w:val="00893BA4"/>
    <w:rsid w:val="00893D9E"/>
    <w:rsid w:val="00894001"/>
    <w:rsid w:val="00894654"/>
    <w:rsid w:val="008948D7"/>
    <w:rsid w:val="00894E29"/>
    <w:rsid w:val="0089542D"/>
    <w:rsid w:val="00895492"/>
    <w:rsid w:val="008954A8"/>
    <w:rsid w:val="00895562"/>
    <w:rsid w:val="0089587B"/>
    <w:rsid w:val="00896523"/>
    <w:rsid w:val="0089660E"/>
    <w:rsid w:val="00896634"/>
    <w:rsid w:val="00896663"/>
    <w:rsid w:val="008A000A"/>
    <w:rsid w:val="008A065B"/>
    <w:rsid w:val="008A06AA"/>
    <w:rsid w:val="008A085C"/>
    <w:rsid w:val="008A10D9"/>
    <w:rsid w:val="008A11B6"/>
    <w:rsid w:val="008A1778"/>
    <w:rsid w:val="008A1F6E"/>
    <w:rsid w:val="008A2034"/>
    <w:rsid w:val="008A215A"/>
    <w:rsid w:val="008A220E"/>
    <w:rsid w:val="008A230B"/>
    <w:rsid w:val="008A234C"/>
    <w:rsid w:val="008A2763"/>
    <w:rsid w:val="008A2FB3"/>
    <w:rsid w:val="008A3436"/>
    <w:rsid w:val="008A3678"/>
    <w:rsid w:val="008A3DC5"/>
    <w:rsid w:val="008A3F95"/>
    <w:rsid w:val="008A49F9"/>
    <w:rsid w:val="008A54C1"/>
    <w:rsid w:val="008A5AE3"/>
    <w:rsid w:val="008A6119"/>
    <w:rsid w:val="008A6331"/>
    <w:rsid w:val="008A6612"/>
    <w:rsid w:val="008A66FF"/>
    <w:rsid w:val="008A6F76"/>
    <w:rsid w:val="008A72A4"/>
    <w:rsid w:val="008A7E25"/>
    <w:rsid w:val="008A7ED5"/>
    <w:rsid w:val="008B094F"/>
    <w:rsid w:val="008B0F91"/>
    <w:rsid w:val="008B110F"/>
    <w:rsid w:val="008B11D7"/>
    <w:rsid w:val="008B219C"/>
    <w:rsid w:val="008B31A7"/>
    <w:rsid w:val="008B385E"/>
    <w:rsid w:val="008B3A0D"/>
    <w:rsid w:val="008B3ABF"/>
    <w:rsid w:val="008B4172"/>
    <w:rsid w:val="008B42BD"/>
    <w:rsid w:val="008B4700"/>
    <w:rsid w:val="008B4798"/>
    <w:rsid w:val="008B4863"/>
    <w:rsid w:val="008B4935"/>
    <w:rsid w:val="008B4A7A"/>
    <w:rsid w:val="008B505F"/>
    <w:rsid w:val="008B5094"/>
    <w:rsid w:val="008B52B7"/>
    <w:rsid w:val="008B539E"/>
    <w:rsid w:val="008B557E"/>
    <w:rsid w:val="008B5EFF"/>
    <w:rsid w:val="008B6546"/>
    <w:rsid w:val="008B677C"/>
    <w:rsid w:val="008B78DC"/>
    <w:rsid w:val="008B791E"/>
    <w:rsid w:val="008B7998"/>
    <w:rsid w:val="008B7C20"/>
    <w:rsid w:val="008B7F8C"/>
    <w:rsid w:val="008C0212"/>
    <w:rsid w:val="008C10BD"/>
    <w:rsid w:val="008C172B"/>
    <w:rsid w:val="008C198F"/>
    <w:rsid w:val="008C1BE4"/>
    <w:rsid w:val="008C219A"/>
    <w:rsid w:val="008C3096"/>
    <w:rsid w:val="008C3111"/>
    <w:rsid w:val="008C3128"/>
    <w:rsid w:val="008C3238"/>
    <w:rsid w:val="008C344B"/>
    <w:rsid w:val="008C3807"/>
    <w:rsid w:val="008C39F7"/>
    <w:rsid w:val="008C3D5F"/>
    <w:rsid w:val="008C3EDE"/>
    <w:rsid w:val="008C3F3B"/>
    <w:rsid w:val="008C3FA5"/>
    <w:rsid w:val="008C49E0"/>
    <w:rsid w:val="008C4B07"/>
    <w:rsid w:val="008C5185"/>
    <w:rsid w:val="008C5543"/>
    <w:rsid w:val="008C598C"/>
    <w:rsid w:val="008C6035"/>
    <w:rsid w:val="008C624A"/>
    <w:rsid w:val="008C63BB"/>
    <w:rsid w:val="008C6B13"/>
    <w:rsid w:val="008C6BD3"/>
    <w:rsid w:val="008C7020"/>
    <w:rsid w:val="008C7352"/>
    <w:rsid w:val="008C765C"/>
    <w:rsid w:val="008C7AA2"/>
    <w:rsid w:val="008D0165"/>
    <w:rsid w:val="008D01F9"/>
    <w:rsid w:val="008D035E"/>
    <w:rsid w:val="008D0DC2"/>
    <w:rsid w:val="008D11E8"/>
    <w:rsid w:val="008D19C8"/>
    <w:rsid w:val="008D1B3A"/>
    <w:rsid w:val="008D2A58"/>
    <w:rsid w:val="008D2D3F"/>
    <w:rsid w:val="008D2EBB"/>
    <w:rsid w:val="008D31CE"/>
    <w:rsid w:val="008D33D6"/>
    <w:rsid w:val="008D3775"/>
    <w:rsid w:val="008D3928"/>
    <w:rsid w:val="008D3BE0"/>
    <w:rsid w:val="008D3BEF"/>
    <w:rsid w:val="008D40BE"/>
    <w:rsid w:val="008D467C"/>
    <w:rsid w:val="008D4AC1"/>
    <w:rsid w:val="008D4B34"/>
    <w:rsid w:val="008D4D57"/>
    <w:rsid w:val="008D4D73"/>
    <w:rsid w:val="008D5011"/>
    <w:rsid w:val="008D50E3"/>
    <w:rsid w:val="008D5253"/>
    <w:rsid w:val="008D5C5A"/>
    <w:rsid w:val="008D667A"/>
    <w:rsid w:val="008D6984"/>
    <w:rsid w:val="008D6AA4"/>
    <w:rsid w:val="008D7014"/>
    <w:rsid w:val="008D71A4"/>
    <w:rsid w:val="008D7578"/>
    <w:rsid w:val="008D788A"/>
    <w:rsid w:val="008D7B06"/>
    <w:rsid w:val="008E00C2"/>
    <w:rsid w:val="008E08B3"/>
    <w:rsid w:val="008E1408"/>
    <w:rsid w:val="008E179C"/>
    <w:rsid w:val="008E1F04"/>
    <w:rsid w:val="008E20C9"/>
    <w:rsid w:val="008E2330"/>
    <w:rsid w:val="008E2428"/>
    <w:rsid w:val="008E26BF"/>
    <w:rsid w:val="008E27B4"/>
    <w:rsid w:val="008E3040"/>
    <w:rsid w:val="008E3076"/>
    <w:rsid w:val="008E31CA"/>
    <w:rsid w:val="008E33DF"/>
    <w:rsid w:val="008E342E"/>
    <w:rsid w:val="008E3441"/>
    <w:rsid w:val="008E42E2"/>
    <w:rsid w:val="008E4493"/>
    <w:rsid w:val="008E44EC"/>
    <w:rsid w:val="008E4538"/>
    <w:rsid w:val="008E45CE"/>
    <w:rsid w:val="008E465B"/>
    <w:rsid w:val="008E4CCD"/>
    <w:rsid w:val="008E5B19"/>
    <w:rsid w:val="008E5C43"/>
    <w:rsid w:val="008E65E4"/>
    <w:rsid w:val="008E6E07"/>
    <w:rsid w:val="008E72FE"/>
    <w:rsid w:val="008E7409"/>
    <w:rsid w:val="008E7C11"/>
    <w:rsid w:val="008F027B"/>
    <w:rsid w:val="008F0F05"/>
    <w:rsid w:val="008F1294"/>
    <w:rsid w:val="008F15D6"/>
    <w:rsid w:val="008F185C"/>
    <w:rsid w:val="008F1C90"/>
    <w:rsid w:val="008F2216"/>
    <w:rsid w:val="008F22CD"/>
    <w:rsid w:val="008F2601"/>
    <w:rsid w:val="008F27F8"/>
    <w:rsid w:val="008F2DB6"/>
    <w:rsid w:val="008F2E84"/>
    <w:rsid w:val="008F3177"/>
    <w:rsid w:val="008F36C0"/>
    <w:rsid w:val="008F38BB"/>
    <w:rsid w:val="008F3E1E"/>
    <w:rsid w:val="008F41BC"/>
    <w:rsid w:val="008F460B"/>
    <w:rsid w:val="008F47C6"/>
    <w:rsid w:val="008F4935"/>
    <w:rsid w:val="008F4952"/>
    <w:rsid w:val="008F49CB"/>
    <w:rsid w:val="008F4B19"/>
    <w:rsid w:val="008F511D"/>
    <w:rsid w:val="008F5251"/>
    <w:rsid w:val="008F54A3"/>
    <w:rsid w:val="008F5562"/>
    <w:rsid w:val="008F5641"/>
    <w:rsid w:val="008F586F"/>
    <w:rsid w:val="008F5F20"/>
    <w:rsid w:val="008F5F50"/>
    <w:rsid w:val="008F5F74"/>
    <w:rsid w:val="008F70CC"/>
    <w:rsid w:val="008F7887"/>
    <w:rsid w:val="008F796C"/>
    <w:rsid w:val="008F7A34"/>
    <w:rsid w:val="00900216"/>
    <w:rsid w:val="00900325"/>
    <w:rsid w:val="00900742"/>
    <w:rsid w:val="0090097A"/>
    <w:rsid w:val="00900D87"/>
    <w:rsid w:val="00901049"/>
    <w:rsid w:val="0090150B"/>
    <w:rsid w:val="00901813"/>
    <w:rsid w:val="009037C8"/>
    <w:rsid w:val="0090384B"/>
    <w:rsid w:val="00903A9A"/>
    <w:rsid w:val="00903CB6"/>
    <w:rsid w:val="00904524"/>
    <w:rsid w:val="009049A2"/>
    <w:rsid w:val="00904DC8"/>
    <w:rsid w:val="00904F42"/>
    <w:rsid w:val="00904FA7"/>
    <w:rsid w:val="00904FEF"/>
    <w:rsid w:val="009050BA"/>
    <w:rsid w:val="00905702"/>
    <w:rsid w:val="00905874"/>
    <w:rsid w:val="0090599F"/>
    <w:rsid w:val="00905AD8"/>
    <w:rsid w:val="00905D5D"/>
    <w:rsid w:val="0090616D"/>
    <w:rsid w:val="00906892"/>
    <w:rsid w:val="00906B96"/>
    <w:rsid w:val="00906C62"/>
    <w:rsid w:val="00906E3C"/>
    <w:rsid w:val="00906F15"/>
    <w:rsid w:val="00906FD7"/>
    <w:rsid w:val="00907284"/>
    <w:rsid w:val="00907565"/>
    <w:rsid w:val="009076C7"/>
    <w:rsid w:val="0090778E"/>
    <w:rsid w:val="00907811"/>
    <w:rsid w:val="00907CF6"/>
    <w:rsid w:val="00907D02"/>
    <w:rsid w:val="00907D37"/>
    <w:rsid w:val="00907F78"/>
    <w:rsid w:val="0091019F"/>
    <w:rsid w:val="0091071B"/>
    <w:rsid w:val="00910763"/>
    <w:rsid w:val="00910C3F"/>
    <w:rsid w:val="0091155D"/>
    <w:rsid w:val="00911A51"/>
    <w:rsid w:val="00911FB9"/>
    <w:rsid w:val="00911FD0"/>
    <w:rsid w:val="00912370"/>
    <w:rsid w:val="00912488"/>
    <w:rsid w:val="0091257A"/>
    <w:rsid w:val="00912899"/>
    <w:rsid w:val="0091298E"/>
    <w:rsid w:val="00912DC5"/>
    <w:rsid w:val="00913118"/>
    <w:rsid w:val="00913579"/>
    <w:rsid w:val="009137DA"/>
    <w:rsid w:val="00913F28"/>
    <w:rsid w:val="0091415C"/>
    <w:rsid w:val="009145D0"/>
    <w:rsid w:val="00914728"/>
    <w:rsid w:val="009155AC"/>
    <w:rsid w:val="00915A0D"/>
    <w:rsid w:val="00915BC9"/>
    <w:rsid w:val="00915D9A"/>
    <w:rsid w:val="00916CBE"/>
    <w:rsid w:val="00916F1D"/>
    <w:rsid w:val="009170EF"/>
    <w:rsid w:val="00917D88"/>
    <w:rsid w:val="0092018E"/>
    <w:rsid w:val="00920305"/>
    <w:rsid w:val="00920EDF"/>
    <w:rsid w:val="0092130A"/>
    <w:rsid w:val="0092146B"/>
    <w:rsid w:val="0092208F"/>
    <w:rsid w:val="009221C8"/>
    <w:rsid w:val="00922506"/>
    <w:rsid w:val="009225C2"/>
    <w:rsid w:val="009226D1"/>
    <w:rsid w:val="0092278D"/>
    <w:rsid w:val="009227A5"/>
    <w:rsid w:val="0092296F"/>
    <w:rsid w:val="00922C63"/>
    <w:rsid w:val="0092318E"/>
    <w:rsid w:val="0092398D"/>
    <w:rsid w:val="00923DCB"/>
    <w:rsid w:val="009242FD"/>
    <w:rsid w:val="00924727"/>
    <w:rsid w:val="009248F6"/>
    <w:rsid w:val="00924C3B"/>
    <w:rsid w:val="009252FC"/>
    <w:rsid w:val="009253C7"/>
    <w:rsid w:val="009256E1"/>
    <w:rsid w:val="00925B0E"/>
    <w:rsid w:val="00925F37"/>
    <w:rsid w:val="0092620B"/>
    <w:rsid w:val="00926249"/>
    <w:rsid w:val="00926A26"/>
    <w:rsid w:val="00926F64"/>
    <w:rsid w:val="00927296"/>
    <w:rsid w:val="00927808"/>
    <w:rsid w:val="009304F8"/>
    <w:rsid w:val="009306B4"/>
    <w:rsid w:val="00930739"/>
    <w:rsid w:val="009308C3"/>
    <w:rsid w:val="009310E5"/>
    <w:rsid w:val="0093124A"/>
    <w:rsid w:val="00931D82"/>
    <w:rsid w:val="00931DDC"/>
    <w:rsid w:val="00932600"/>
    <w:rsid w:val="00932620"/>
    <w:rsid w:val="00932EE2"/>
    <w:rsid w:val="009335BD"/>
    <w:rsid w:val="0093368B"/>
    <w:rsid w:val="009339A2"/>
    <w:rsid w:val="00933CE8"/>
    <w:rsid w:val="00933D20"/>
    <w:rsid w:val="00933FCA"/>
    <w:rsid w:val="009344E6"/>
    <w:rsid w:val="00934DD4"/>
    <w:rsid w:val="00934F15"/>
    <w:rsid w:val="00935688"/>
    <w:rsid w:val="00936112"/>
    <w:rsid w:val="009369EC"/>
    <w:rsid w:val="00936A1F"/>
    <w:rsid w:val="00936CC8"/>
    <w:rsid w:val="00936DD3"/>
    <w:rsid w:val="00937514"/>
    <w:rsid w:val="009376DC"/>
    <w:rsid w:val="00937771"/>
    <w:rsid w:val="0093777E"/>
    <w:rsid w:val="00937A68"/>
    <w:rsid w:val="00937EE5"/>
    <w:rsid w:val="00940089"/>
    <w:rsid w:val="00940372"/>
    <w:rsid w:val="00940975"/>
    <w:rsid w:val="0094097A"/>
    <w:rsid w:val="00940A89"/>
    <w:rsid w:val="00940D0E"/>
    <w:rsid w:val="00940EE4"/>
    <w:rsid w:val="009413B9"/>
    <w:rsid w:val="00941438"/>
    <w:rsid w:val="009414B2"/>
    <w:rsid w:val="00941D06"/>
    <w:rsid w:val="00942188"/>
    <w:rsid w:val="00942AB9"/>
    <w:rsid w:val="00943918"/>
    <w:rsid w:val="0094392E"/>
    <w:rsid w:val="009440F9"/>
    <w:rsid w:val="0094480B"/>
    <w:rsid w:val="00944B88"/>
    <w:rsid w:val="00944C84"/>
    <w:rsid w:val="00945765"/>
    <w:rsid w:val="009458FE"/>
    <w:rsid w:val="00945B0F"/>
    <w:rsid w:val="009460C6"/>
    <w:rsid w:val="00946415"/>
    <w:rsid w:val="00946C23"/>
    <w:rsid w:val="00946E10"/>
    <w:rsid w:val="009475D8"/>
    <w:rsid w:val="009508C7"/>
    <w:rsid w:val="00950D16"/>
    <w:rsid w:val="00950E2D"/>
    <w:rsid w:val="00950F09"/>
    <w:rsid w:val="00951499"/>
    <w:rsid w:val="009517B8"/>
    <w:rsid w:val="00951809"/>
    <w:rsid w:val="00951A4A"/>
    <w:rsid w:val="00951D3F"/>
    <w:rsid w:val="00952124"/>
    <w:rsid w:val="0095268C"/>
    <w:rsid w:val="00952A58"/>
    <w:rsid w:val="00952ABB"/>
    <w:rsid w:val="00952B3D"/>
    <w:rsid w:val="00952E6F"/>
    <w:rsid w:val="00953932"/>
    <w:rsid w:val="00953CFF"/>
    <w:rsid w:val="00953E51"/>
    <w:rsid w:val="009548A2"/>
    <w:rsid w:val="00954A46"/>
    <w:rsid w:val="009550ED"/>
    <w:rsid w:val="00955181"/>
    <w:rsid w:val="00955461"/>
    <w:rsid w:val="009554D9"/>
    <w:rsid w:val="0095587E"/>
    <w:rsid w:val="00955C70"/>
    <w:rsid w:val="00955CF1"/>
    <w:rsid w:val="00955E1F"/>
    <w:rsid w:val="0095673D"/>
    <w:rsid w:val="00956FEF"/>
    <w:rsid w:val="009570A8"/>
    <w:rsid w:val="009571C7"/>
    <w:rsid w:val="009573FA"/>
    <w:rsid w:val="009577BD"/>
    <w:rsid w:val="009578A4"/>
    <w:rsid w:val="009579E7"/>
    <w:rsid w:val="00957D52"/>
    <w:rsid w:val="0096021E"/>
    <w:rsid w:val="00960433"/>
    <w:rsid w:val="00960DD0"/>
    <w:rsid w:val="00960DEE"/>
    <w:rsid w:val="00961142"/>
    <w:rsid w:val="00961775"/>
    <w:rsid w:val="00961817"/>
    <w:rsid w:val="009619C2"/>
    <w:rsid w:val="00961A93"/>
    <w:rsid w:val="00961EA8"/>
    <w:rsid w:val="00962163"/>
    <w:rsid w:val="00962B71"/>
    <w:rsid w:val="009632E6"/>
    <w:rsid w:val="00963596"/>
    <w:rsid w:val="00963968"/>
    <w:rsid w:val="0096413E"/>
    <w:rsid w:val="00964229"/>
    <w:rsid w:val="009655DD"/>
    <w:rsid w:val="00965C76"/>
    <w:rsid w:val="00965D4B"/>
    <w:rsid w:val="00965E31"/>
    <w:rsid w:val="009664D9"/>
    <w:rsid w:val="00966A14"/>
    <w:rsid w:val="00966CA6"/>
    <w:rsid w:val="00967088"/>
    <w:rsid w:val="009679EC"/>
    <w:rsid w:val="00967BC7"/>
    <w:rsid w:val="00967C72"/>
    <w:rsid w:val="00967CD8"/>
    <w:rsid w:val="00970215"/>
    <w:rsid w:val="00970565"/>
    <w:rsid w:val="00970ABA"/>
    <w:rsid w:val="00970DE6"/>
    <w:rsid w:val="0097188E"/>
    <w:rsid w:val="00971A4E"/>
    <w:rsid w:val="00971AB1"/>
    <w:rsid w:val="00971D47"/>
    <w:rsid w:val="00972001"/>
    <w:rsid w:val="0097202A"/>
    <w:rsid w:val="00972253"/>
    <w:rsid w:val="00972283"/>
    <w:rsid w:val="009728C9"/>
    <w:rsid w:val="00972B10"/>
    <w:rsid w:val="00972C05"/>
    <w:rsid w:val="00972FD5"/>
    <w:rsid w:val="00973486"/>
    <w:rsid w:val="00973687"/>
    <w:rsid w:val="00974473"/>
    <w:rsid w:val="009745E6"/>
    <w:rsid w:val="00974857"/>
    <w:rsid w:val="0097493C"/>
    <w:rsid w:val="00974BA7"/>
    <w:rsid w:val="00975033"/>
    <w:rsid w:val="0097526C"/>
    <w:rsid w:val="009755E5"/>
    <w:rsid w:val="0097572B"/>
    <w:rsid w:val="00975949"/>
    <w:rsid w:val="00975997"/>
    <w:rsid w:val="00975ADA"/>
    <w:rsid w:val="00975CEC"/>
    <w:rsid w:val="00975DBE"/>
    <w:rsid w:val="00975F18"/>
    <w:rsid w:val="00976628"/>
    <w:rsid w:val="00976915"/>
    <w:rsid w:val="00976C13"/>
    <w:rsid w:val="00976F82"/>
    <w:rsid w:val="009771C8"/>
    <w:rsid w:val="00977363"/>
    <w:rsid w:val="009773FB"/>
    <w:rsid w:val="009774E2"/>
    <w:rsid w:val="0097760C"/>
    <w:rsid w:val="00977A3F"/>
    <w:rsid w:val="00977F00"/>
    <w:rsid w:val="009801BF"/>
    <w:rsid w:val="00980390"/>
    <w:rsid w:val="009806E8"/>
    <w:rsid w:val="00980891"/>
    <w:rsid w:val="00980AB2"/>
    <w:rsid w:val="00980E2A"/>
    <w:rsid w:val="00980EAF"/>
    <w:rsid w:val="00980F1D"/>
    <w:rsid w:val="00980FBB"/>
    <w:rsid w:val="009812D6"/>
    <w:rsid w:val="0098239D"/>
    <w:rsid w:val="0098277E"/>
    <w:rsid w:val="00982A73"/>
    <w:rsid w:val="00982BD1"/>
    <w:rsid w:val="00982C05"/>
    <w:rsid w:val="00983041"/>
    <w:rsid w:val="00983121"/>
    <w:rsid w:val="00983237"/>
    <w:rsid w:val="009836A0"/>
    <w:rsid w:val="009837F5"/>
    <w:rsid w:val="00983A4D"/>
    <w:rsid w:val="00983ADA"/>
    <w:rsid w:val="00983E08"/>
    <w:rsid w:val="009847BB"/>
    <w:rsid w:val="00984A15"/>
    <w:rsid w:val="00985998"/>
    <w:rsid w:val="00985A83"/>
    <w:rsid w:val="00985CA8"/>
    <w:rsid w:val="00985ED5"/>
    <w:rsid w:val="00986089"/>
    <w:rsid w:val="00986540"/>
    <w:rsid w:val="00986878"/>
    <w:rsid w:val="00986A49"/>
    <w:rsid w:val="00986AD1"/>
    <w:rsid w:val="00987320"/>
    <w:rsid w:val="00987858"/>
    <w:rsid w:val="00987D8B"/>
    <w:rsid w:val="009905AB"/>
    <w:rsid w:val="00990606"/>
    <w:rsid w:val="0099065D"/>
    <w:rsid w:val="00990882"/>
    <w:rsid w:val="0099092E"/>
    <w:rsid w:val="00990C7A"/>
    <w:rsid w:val="00991030"/>
    <w:rsid w:val="009915B3"/>
    <w:rsid w:val="009915FF"/>
    <w:rsid w:val="009916A8"/>
    <w:rsid w:val="0099178E"/>
    <w:rsid w:val="009917E9"/>
    <w:rsid w:val="00991C26"/>
    <w:rsid w:val="00992002"/>
    <w:rsid w:val="00992774"/>
    <w:rsid w:val="0099315D"/>
    <w:rsid w:val="0099397E"/>
    <w:rsid w:val="00993C30"/>
    <w:rsid w:val="00995291"/>
    <w:rsid w:val="009952D2"/>
    <w:rsid w:val="00995301"/>
    <w:rsid w:val="0099584A"/>
    <w:rsid w:val="00995BC5"/>
    <w:rsid w:val="00995D38"/>
    <w:rsid w:val="00996197"/>
    <w:rsid w:val="00996D4B"/>
    <w:rsid w:val="009970CB"/>
    <w:rsid w:val="0099765E"/>
    <w:rsid w:val="009A087E"/>
    <w:rsid w:val="009A0B6B"/>
    <w:rsid w:val="009A0B74"/>
    <w:rsid w:val="009A0E40"/>
    <w:rsid w:val="009A1036"/>
    <w:rsid w:val="009A120F"/>
    <w:rsid w:val="009A1307"/>
    <w:rsid w:val="009A16E7"/>
    <w:rsid w:val="009A1AC1"/>
    <w:rsid w:val="009A2084"/>
    <w:rsid w:val="009A2997"/>
    <w:rsid w:val="009A2C25"/>
    <w:rsid w:val="009A2DA1"/>
    <w:rsid w:val="009A2EAB"/>
    <w:rsid w:val="009A2F31"/>
    <w:rsid w:val="009A3C2F"/>
    <w:rsid w:val="009A448B"/>
    <w:rsid w:val="009A460D"/>
    <w:rsid w:val="009A4691"/>
    <w:rsid w:val="009A4DBB"/>
    <w:rsid w:val="009A4EFD"/>
    <w:rsid w:val="009A50F6"/>
    <w:rsid w:val="009A597F"/>
    <w:rsid w:val="009A66AC"/>
    <w:rsid w:val="009A6A9E"/>
    <w:rsid w:val="009A73DC"/>
    <w:rsid w:val="009A782A"/>
    <w:rsid w:val="009A7FD7"/>
    <w:rsid w:val="009B00E6"/>
    <w:rsid w:val="009B05C1"/>
    <w:rsid w:val="009B05C9"/>
    <w:rsid w:val="009B115C"/>
    <w:rsid w:val="009B11D6"/>
    <w:rsid w:val="009B120E"/>
    <w:rsid w:val="009B14F9"/>
    <w:rsid w:val="009B165E"/>
    <w:rsid w:val="009B1DE9"/>
    <w:rsid w:val="009B1F1B"/>
    <w:rsid w:val="009B1F26"/>
    <w:rsid w:val="009B2D19"/>
    <w:rsid w:val="009B2F6D"/>
    <w:rsid w:val="009B3967"/>
    <w:rsid w:val="009B39A3"/>
    <w:rsid w:val="009B401C"/>
    <w:rsid w:val="009B43D4"/>
    <w:rsid w:val="009B43F4"/>
    <w:rsid w:val="009B4F1B"/>
    <w:rsid w:val="009B625B"/>
    <w:rsid w:val="009B6B17"/>
    <w:rsid w:val="009B6E2B"/>
    <w:rsid w:val="009B716C"/>
    <w:rsid w:val="009B7664"/>
    <w:rsid w:val="009B7B80"/>
    <w:rsid w:val="009C0364"/>
    <w:rsid w:val="009C03D5"/>
    <w:rsid w:val="009C06FD"/>
    <w:rsid w:val="009C0C2A"/>
    <w:rsid w:val="009C0CCE"/>
    <w:rsid w:val="009C0EE1"/>
    <w:rsid w:val="009C0EEB"/>
    <w:rsid w:val="009C1497"/>
    <w:rsid w:val="009C14C3"/>
    <w:rsid w:val="009C184B"/>
    <w:rsid w:val="009C24BC"/>
    <w:rsid w:val="009C25D1"/>
    <w:rsid w:val="009C25FE"/>
    <w:rsid w:val="009C2C64"/>
    <w:rsid w:val="009C2C65"/>
    <w:rsid w:val="009C3637"/>
    <w:rsid w:val="009C3991"/>
    <w:rsid w:val="009C3A65"/>
    <w:rsid w:val="009C3B51"/>
    <w:rsid w:val="009C3CA4"/>
    <w:rsid w:val="009C456B"/>
    <w:rsid w:val="009C46FA"/>
    <w:rsid w:val="009C47C0"/>
    <w:rsid w:val="009C47DA"/>
    <w:rsid w:val="009C4B2D"/>
    <w:rsid w:val="009C4ECC"/>
    <w:rsid w:val="009C532D"/>
    <w:rsid w:val="009C546A"/>
    <w:rsid w:val="009C571B"/>
    <w:rsid w:val="009C589D"/>
    <w:rsid w:val="009C6118"/>
    <w:rsid w:val="009C6471"/>
    <w:rsid w:val="009C664C"/>
    <w:rsid w:val="009C67AC"/>
    <w:rsid w:val="009C6AE6"/>
    <w:rsid w:val="009C6C36"/>
    <w:rsid w:val="009C70A3"/>
    <w:rsid w:val="009C7642"/>
    <w:rsid w:val="009C778D"/>
    <w:rsid w:val="009D016B"/>
    <w:rsid w:val="009D0C7B"/>
    <w:rsid w:val="009D0DB5"/>
    <w:rsid w:val="009D0F0A"/>
    <w:rsid w:val="009D1332"/>
    <w:rsid w:val="009D1385"/>
    <w:rsid w:val="009D1853"/>
    <w:rsid w:val="009D18A2"/>
    <w:rsid w:val="009D1947"/>
    <w:rsid w:val="009D1D3C"/>
    <w:rsid w:val="009D1F8D"/>
    <w:rsid w:val="009D23BE"/>
    <w:rsid w:val="009D26D9"/>
    <w:rsid w:val="009D2FC8"/>
    <w:rsid w:val="009D31BD"/>
    <w:rsid w:val="009D31CB"/>
    <w:rsid w:val="009D356E"/>
    <w:rsid w:val="009D3629"/>
    <w:rsid w:val="009D4271"/>
    <w:rsid w:val="009D44F6"/>
    <w:rsid w:val="009D4646"/>
    <w:rsid w:val="009D472A"/>
    <w:rsid w:val="009D4D60"/>
    <w:rsid w:val="009D551A"/>
    <w:rsid w:val="009D59E9"/>
    <w:rsid w:val="009D5B92"/>
    <w:rsid w:val="009D6026"/>
    <w:rsid w:val="009D614B"/>
    <w:rsid w:val="009D6212"/>
    <w:rsid w:val="009D6615"/>
    <w:rsid w:val="009D697A"/>
    <w:rsid w:val="009D6B16"/>
    <w:rsid w:val="009D6C60"/>
    <w:rsid w:val="009D6D1F"/>
    <w:rsid w:val="009D7602"/>
    <w:rsid w:val="009D77E7"/>
    <w:rsid w:val="009D7946"/>
    <w:rsid w:val="009D7CB9"/>
    <w:rsid w:val="009E0121"/>
    <w:rsid w:val="009E02E3"/>
    <w:rsid w:val="009E05E7"/>
    <w:rsid w:val="009E0757"/>
    <w:rsid w:val="009E0835"/>
    <w:rsid w:val="009E0918"/>
    <w:rsid w:val="009E0A71"/>
    <w:rsid w:val="009E0C74"/>
    <w:rsid w:val="009E1AEF"/>
    <w:rsid w:val="009E1B4B"/>
    <w:rsid w:val="009E1D4A"/>
    <w:rsid w:val="009E1F03"/>
    <w:rsid w:val="009E21B3"/>
    <w:rsid w:val="009E3685"/>
    <w:rsid w:val="009E3863"/>
    <w:rsid w:val="009E45AA"/>
    <w:rsid w:val="009E47BA"/>
    <w:rsid w:val="009E47DD"/>
    <w:rsid w:val="009E4C96"/>
    <w:rsid w:val="009E501F"/>
    <w:rsid w:val="009E521F"/>
    <w:rsid w:val="009E5A33"/>
    <w:rsid w:val="009E5E2A"/>
    <w:rsid w:val="009E6427"/>
    <w:rsid w:val="009E6908"/>
    <w:rsid w:val="009E6C1C"/>
    <w:rsid w:val="009E6E59"/>
    <w:rsid w:val="009E7035"/>
    <w:rsid w:val="009E72F1"/>
    <w:rsid w:val="009E75AA"/>
    <w:rsid w:val="009E7B31"/>
    <w:rsid w:val="009E7B54"/>
    <w:rsid w:val="009F018C"/>
    <w:rsid w:val="009F0ADD"/>
    <w:rsid w:val="009F0C98"/>
    <w:rsid w:val="009F0CB2"/>
    <w:rsid w:val="009F0FDE"/>
    <w:rsid w:val="009F1245"/>
    <w:rsid w:val="009F13E7"/>
    <w:rsid w:val="009F140B"/>
    <w:rsid w:val="009F145D"/>
    <w:rsid w:val="009F1784"/>
    <w:rsid w:val="009F1E89"/>
    <w:rsid w:val="009F2239"/>
    <w:rsid w:val="009F24CC"/>
    <w:rsid w:val="009F2552"/>
    <w:rsid w:val="009F27E2"/>
    <w:rsid w:val="009F27E4"/>
    <w:rsid w:val="009F2A3F"/>
    <w:rsid w:val="009F2C3B"/>
    <w:rsid w:val="009F2F2D"/>
    <w:rsid w:val="009F358B"/>
    <w:rsid w:val="009F4014"/>
    <w:rsid w:val="009F43D3"/>
    <w:rsid w:val="009F47E5"/>
    <w:rsid w:val="009F49BA"/>
    <w:rsid w:val="009F4B67"/>
    <w:rsid w:val="009F5B8C"/>
    <w:rsid w:val="009F625B"/>
    <w:rsid w:val="009F63AE"/>
    <w:rsid w:val="009F6842"/>
    <w:rsid w:val="009F6DFE"/>
    <w:rsid w:val="009F6E1A"/>
    <w:rsid w:val="009F6F25"/>
    <w:rsid w:val="009F73A5"/>
    <w:rsid w:val="009F79EA"/>
    <w:rsid w:val="00A0067C"/>
    <w:rsid w:val="00A0072A"/>
    <w:rsid w:val="00A00AB0"/>
    <w:rsid w:val="00A00DDA"/>
    <w:rsid w:val="00A00FC5"/>
    <w:rsid w:val="00A013F2"/>
    <w:rsid w:val="00A02DE5"/>
    <w:rsid w:val="00A02DFC"/>
    <w:rsid w:val="00A0308E"/>
    <w:rsid w:val="00A032B9"/>
    <w:rsid w:val="00A03425"/>
    <w:rsid w:val="00A03B1F"/>
    <w:rsid w:val="00A04096"/>
    <w:rsid w:val="00A043A5"/>
    <w:rsid w:val="00A044C3"/>
    <w:rsid w:val="00A04620"/>
    <w:rsid w:val="00A04810"/>
    <w:rsid w:val="00A048E1"/>
    <w:rsid w:val="00A04A79"/>
    <w:rsid w:val="00A051C2"/>
    <w:rsid w:val="00A051E7"/>
    <w:rsid w:val="00A052B7"/>
    <w:rsid w:val="00A0576D"/>
    <w:rsid w:val="00A05C9A"/>
    <w:rsid w:val="00A05FA2"/>
    <w:rsid w:val="00A06773"/>
    <w:rsid w:val="00A06AAE"/>
    <w:rsid w:val="00A07715"/>
    <w:rsid w:val="00A0798F"/>
    <w:rsid w:val="00A10ACD"/>
    <w:rsid w:val="00A10B03"/>
    <w:rsid w:val="00A10CF3"/>
    <w:rsid w:val="00A10D2A"/>
    <w:rsid w:val="00A111F7"/>
    <w:rsid w:val="00A1165C"/>
    <w:rsid w:val="00A11EFE"/>
    <w:rsid w:val="00A13146"/>
    <w:rsid w:val="00A1336A"/>
    <w:rsid w:val="00A14881"/>
    <w:rsid w:val="00A14A13"/>
    <w:rsid w:val="00A14A96"/>
    <w:rsid w:val="00A14D4B"/>
    <w:rsid w:val="00A15753"/>
    <w:rsid w:val="00A15D11"/>
    <w:rsid w:val="00A15DA2"/>
    <w:rsid w:val="00A15DEB"/>
    <w:rsid w:val="00A15E48"/>
    <w:rsid w:val="00A15FDA"/>
    <w:rsid w:val="00A1698B"/>
    <w:rsid w:val="00A16BB2"/>
    <w:rsid w:val="00A17372"/>
    <w:rsid w:val="00A17BB9"/>
    <w:rsid w:val="00A17E8A"/>
    <w:rsid w:val="00A20159"/>
    <w:rsid w:val="00A20166"/>
    <w:rsid w:val="00A201C9"/>
    <w:rsid w:val="00A20B3E"/>
    <w:rsid w:val="00A20B7D"/>
    <w:rsid w:val="00A20CFA"/>
    <w:rsid w:val="00A2111E"/>
    <w:rsid w:val="00A214A1"/>
    <w:rsid w:val="00A21B0C"/>
    <w:rsid w:val="00A2219A"/>
    <w:rsid w:val="00A221B2"/>
    <w:rsid w:val="00A221B9"/>
    <w:rsid w:val="00A2229B"/>
    <w:rsid w:val="00A223EF"/>
    <w:rsid w:val="00A226DE"/>
    <w:rsid w:val="00A22826"/>
    <w:rsid w:val="00A23155"/>
    <w:rsid w:val="00A23242"/>
    <w:rsid w:val="00A235C5"/>
    <w:rsid w:val="00A235F0"/>
    <w:rsid w:val="00A24B6B"/>
    <w:rsid w:val="00A24EE7"/>
    <w:rsid w:val="00A24F11"/>
    <w:rsid w:val="00A2527E"/>
    <w:rsid w:val="00A25327"/>
    <w:rsid w:val="00A25462"/>
    <w:rsid w:val="00A254D7"/>
    <w:rsid w:val="00A257CE"/>
    <w:rsid w:val="00A259E6"/>
    <w:rsid w:val="00A25DDA"/>
    <w:rsid w:val="00A26363"/>
    <w:rsid w:val="00A263FE"/>
    <w:rsid w:val="00A2647E"/>
    <w:rsid w:val="00A265E1"/>
    <w:rsid w:val="00A26A20"/>
    <w:rsid w:val="00A26B58"/>
    <w:rsid w:val="00A26CE3"/>
    <w:rsid w:val="00A27514"/>
    <w:rsid w:val="00A27685"/>
    <w:rsid w:val="00A30232"/>
    <w:rsid w:val="00A30727"/>
    <w:rsid w:val="00A30D0B"/>
    <w:rsid w:val="00A315BF"/>
    <w:rsid w:val="00A3215E"/>
    <w:rsid w:val="00A32237"/>
    <w:rsid w:val="00A324E9"/>
    <w:rsid w:val="00A32915"/>
    <w:rsid w:val="00A3292D"/>
    <w:rsid w:val="00A329FB"/>
    <w:rsid w:val="00A32B5C"/>
    <w:rsid w:val="00A32E8F"/>
    <w:rsid w:val="00A332CD"/>
    <w:rsid w:val="00A33576"/>
    <w:rsid w:val="00A33754"/>
    <w:rsid w:val="00A33B18"/>
    <w:rsid w:val="00A33F7D"/>
    <w:rsid w:val="00A3442E"/>
    <w:rsid w:val="00A34A08"/>
    <w:rsid w:val="00A34C24"/>
    <w:rsid w:val="00A34CD4"/>
    <w:rsid w:val="00A34EFC"/>
    <w:rsid w:val="00A350CB"/>
    <w:rsid w:val="00A355DD"/>
    <w:rsid w:val="00A356A4"/>
    <w:rsid w:val="00A35745"/>
    <w:rsid w:val="00A358BF"/>
    <w:rsid w:val="00A35C9A"/>
    <w:rsid w:val="00A35EA5"/>
    <w:rsid w:val="00A35F32"/>
    <w:rsid w:val="00A35F5F"/>
    <w:rsid w:val="00A35FFC"/>
    <w:rsid w:val="00A36DF6"/>
    <w:rsid w:val="00A371CC"/>
    <w:rsid w:val="00A37524"/>
    <w:rsid w:val="00A40333"/>
    <w:rsid w:val="00A409A4"/>
    <w:rsid w:val="00A409F6"/>
    <w:rsid w:val="00A40C40"/>
    <w:rsid w:val="00A40E97"/>
    <w:rsid w:val="00A40F7B"/>
    <w:rsid w:val="00A4184A"/>
    <w:rsid w:val="00A41A1D"/>
    <w:rsid w:val="00A41D95"/>
    <w:rsid w:val="00A4236B"/>
    <w:rsid w:val="00A424D7"/>
    <w:rsid w:val="00A424D9"/>
    <w:rsid w:val="00A427AD"/>
    <w:rsid w:val="00A4290F"/>
    <w:rsid w:val="00A42AEB"/>
    <w:rsid w:val="00A42C6A"/>
    <w:rsid w:val="00A42E68"/>
    <w:rsid w:val="00A4332D"/>
    <w:rsid w:val="00A43AF3"/>
    <w:rsid w:val="00A440C0"/>
    <w:rsid w:val="00A44145"/>
    <w:rsid w:val="00A44282"/>
    <w:rsid w:val="00A442D7"/>
    <w:rsid w:val="00A445C6"/>
    <w:rsid w:val="00A44719"/>
    <w:rsid w:val="00A44D4D"/>
    <w:rsid w:val="00A4664E"/>
    <w:rsid w:val="00A46678"/>
    <w:rsid w:val="00A46BB6"/>
    <w:rsid w:val="00A46BBD"/>
    <w:rsid w:val="00A46CDB"/>
    <w:rsid w:val="00A46E41"/>
    <w:rsid w:val="00A46F4D"/>
    <w:rsid w:val="00A4779E"/>
    <w:rsid w:val="00A47858"/>
    <w:rsid w:val="00A478D1"/>
    <w:rsid w:val="00A47984"/>
    <w:rsid w:val="00A47A87"/>
    <w:rsid w:val="00A47E9A"/>
    <w:rsid w:val="00A503B8"/>
    <w:rsid w:val="00A5045C"/>
    <w:rsid w:val="00A50720"/>
    <w:rsid w:val="00A513AF"/>
    <w:rsid w:val="00A513EC"/>
    <w:rsid w:val="00A513FC"/>
    <w:rsid w:val="00A5249C"/>
    <w:rsid w:val="00A52538"/>
    <w:rsid w:val="00A5253D"/>
    <w:rsid w:val="00A52D69"/>
    <w:rsid w:val="00A52F52"/>
    <w:rsid w:val="00A53041"/>
    <w:rsid w:val="00A530CE"/>
    <w:rsid w:val="00A532E5"/>
    <w:rsid w:val="00A53657"/>
    <w:rsid w:val="00A53C84"/>
    <w:rsid w:val="00A53F3C"/>
    <w:rsid w:val="00A5438D"/>
    <w:rsid w:val="00A54466"/>
    <w:rsid w:val="00A5446A"/>
    <w:rsid w:val="00A545A4"/>
    <w:rsid w:val="00A547B8"/>
    <w:rsid w:val="00A5500D"/>
    <w:rsid w:val="00A5604D"/>
    <w:rsid w:val="00A56AD1"/>
    <w:rsid w:val="00A56C07"/>
    <w:rsid w:val="00A56D48"/>
    <w:rsid w:val="00A571BE"/>
    <w:rsid w:val="00A57F72"/>
    <w:rsid w:val="00A60025"/>
    <w:rsid w:val="00A602B9"/>
    <w:rsid w:val="00A60D4F"/>
    <w:rsid w:val="00A612D2"/>
    <w:rsid w:val="00A61364"/>
    <w:rsid w:val="00A61923"/>
    <w:rsid w:val="00A61AF9"/>
    <w:rsid w:val="00A61BAB"/>
    <w:rsid w:val="00A61E90"/>
    <w:rsid w:val="00A6201C"/>
    <w:rsid w:val="00A622D0"/>
    <w:rsid w:val="00A627D9"/>
    <w:rsid w:val="00A627EA"/>
    <w:rsid w:val="00A62A0B"/>
    <w:rsid w:val="00A62E08"/>
    <w:rsid w:val="00A6311A"/>
    <w:rsid w:val="00A633F2"/>
    <w:rsid w:val="00A63DE9"/>
    <w:rsid w:val="00A63E70"/>
    <w:rsid w:val="00A63EAD"/>
    <w:rsid w:val="00A642E2"/>
    <w:rsid w:val="00A644B9"/>
    <w:rsid w:val="00A64B36"/>
    <w:rsid w:val="00A64B59"/>
    <w:rsid w:val="00A64E04"/>
    <w:rsid w:val="00A64E54"/>
    <w:rsid w:val="00A6520C"/>
    <w:rsid w:val="00A654C0"/>
    <w:rsid w:val="00A659E2"/>
    <w:rsid w:val="00A65ACF"/>
    <w:rsid w:val="00A65E09"/>
    <w:rsid w:val="00A660FE"/>
    <w:rsid w:val="00A66533"/>
    <w:rsid w:val="00A66A3F"/>
    <w:rsid w:val="00A66F6B"/>
    <w:rsid w:val="00A672C5"/>
    <w:rsid w:val="00A673A2"/>
    <w:rsid w:val="00A677E0"/>
    <w:rsid w:val="00A700D3"/>
    <w:rsid w:val="00A7064F"/>
    <w:rsid w:val="00A708CF"/>
    <w:rsid w:val="00A70A5F"/>
    <w:rsid w:val="00A70B28"/>
    <w:rsid w:val="00A70CDD"/>
    <w:rsid w:val="00A71163"/>
    <w:rsid w:val="00A7137C"/>
    <w:rsid w:val="00A71573"/>
    <w:rsid w:val="00A71894"/>
    <w:rsid w:val="00A71CA0"/>
    <w:rsid w:val="00A71EC0"/>
    <w:rsid w:val="00A7245B"/>
    <w:rsid w:val="00A72527"/>
    <w:rsid w:val="00A72753"/>
    <w:rsid w:val="00A727F2"/>
    <w:rsid w:val="00A728C7"/>
    <w:rsid w:val="00A72EAE"/>
    <w:rsid w:val="00A72FC3"/>
    <w:rsid w:val="00A73047"/>
    <w:rsid w:val="00A7324A"/>
    <w:rsid w:val="00A73363"/>
    <w:rsid w:val="00A733E5"/>
    <w:rsid w:val="00A73CB3"/>
    <w:rsid w:val="00A74042"/>
    <w:rsid w:val="00A747E0"/>
    <w:rsid w:val="00A74877"/>
    <w:rsid w:val="00A74879"/>
    <w:rsid w:val="00A7509D"/>
    <w:rsid w:val="00A7578B"/>
    <w:rsid w:val="00A75A93"/>
    <w:rsid w:val="00A75BC5"/>
    <w:rsid w:val="00A75C7D"/>
    <w:rsid w:val="00A76107"/>
    <w:rsid w:val="00A765BC"/>
    <w:rsid w:val="00A76775"/>
    <w:rsid w:val="00A768FE"/>
    <w:rsid w:val="00A76B5C"/>
    <w:rsid w:val="00A76D0B"/>
    <w:rsid w:val="00A7723D"/>
    <w:rsid w:val="00A77A39"/>
    <w:rsid w:val="00A77D21"/>
    <w:rsid w:val="00A80316"/>
    <w:rsid w:val="00A8061A"/>
    <w:rsid w:val="00A80F78"/>
    <w:rsid w:val="00A813D3"/>
    <w:rsid w:val="00A81ADC"/>
    <w:rsid w:val="00A81C1F"/>
    <w:rsid w:val="00A82176"/>
    <w:rsid w:val="00A82ACB"/>
    <w:rsid w:val="00A82D94"/>
    <w:rsid w:val="00A834C9"/>
    <w:rsid w:val="00A83855"/>
    <w:rsid w:val="00A83DCF"/>
    <w:rsid w:val="00A83F48"/>
    <w:rsid w:val="00A8402D"/>
    <w:rsid w:val="00A840B3"/>
    <w:rsid w:val="00A8445E"/>
    <w:rsid w:val="00A84571"/>
    <w:rsid w:val="00A84BC0"/>
    <w:rsid w:val="00A84BD1"/>
    <w:rsid w:val="00A84FE2"/>
    <w:rsid w:val="00A853D8"/>
    <w:rsid w:val="00A854E8"/>
    <w:rsid w:val="00A8629B"/>
    <w:rsid w:val="00A8673E"/>
    <w:rsid w:val="00A86A61"/>
    <w:rsid w:val="00A86D15"/>
    <w:rsid w:val="00A8726E"/>
    <w:rsid w:val="00A87BA0"/>
    <w:rsid w:val="00A905FD"/>
    <w:rsid w:val="00A90653"/>
    <w:rsid w:val="00A90B69"/>
    <w:rsid w:val="00A90C1B"/>
    <w:rsid w:val="00A911AB"/>
    <w:rsid w:val="00A918C8"/>
    <w:rsid w:val="00A92151"/>
    <w:rsid w:val="00A92286"/>
    <w:rsid w:val="00A92680"/>
    <w:rsid w:val="00A92A7B"/>
    <w:rsid w:val="00A92C38"/>
    <w:rsid w:val="00A92CEF"/>
    <w:rsid w:val="00A930BD"/>
    <w:rsid w:val="00A93207"/>
    <w:rsid w:val="00A9346E"/>
    <w:rsid w:val="00A93C83"/>
    <w:rsid w:val="00A945D1"/>
    <w:rsid w:val="00A946FB"/>
    <w:rsid w:val="00A947B1"/>
    <w:rsid w:val="00A94E10"/>
    <w:rsid w:val="00A9643E"/>
    <w:rsid w:val="00A96632"/>
    <w:rsid w:val="00A9671B"/>
    <w:rsid w:val="00A96A89"/>
    <w:rsid w:val="00A9775D"/>
    <w:rsid w:val="00A97EF5"/>
    <w:rsid w:val="00AA0239"/>
    <w:rsid w:val="00AA0659"/>
    <w:rsid w:val="00AA08EC"/>
    <w:rsid w:val="00AA15E2"/>
    <w:rsid w:val="00AA1614"/>
    <w:rsid w:val="00AA1621"/>
    <w:rsid w:val="00AA1CCC"/>
    <w:rsid w:val="00AA256F"/>
    <w:rsid w:val="00AA25AE"/>
    <w:rsid w:val="00AA2901"/>
    <w:rsid w:val="00AA2AE6"/>
    <w:rsid w:val="00AA2C3A"/>
    <w:rsid w:val="00AA3004"/>
    <w:rsid w:val="00AA3519"/>
    <w:rsid w:val="00AA3612"/>
    <w:rsid w:val="00AA3ACA"/>
    <w:rsid w:val="00AA3D37"/>
    <w:rsid w:val="00AA41BA"/>
    <w:rsid w:val="00AA4DA5"/>
    <w:rsid w:val="00AA4EC9"/>
    <w:rsid w:val="00AA5310"/>
    <w:rsid w:val="00AA53D2"/>
    <w:rsid w:val="00AA55EF"/>
    <w:rsid w:val="00AA560C"/>
    <w:rsid w:val="00AA5AB1"/>
    <w:rsid w:val="00AA5D3E"/>
    <w:rsid w:val="00AA60E7"/>
    <w:rsid w:val="00AA6454"/>
    <w:rsid w:val="00AA6942"/>
    <w:rsid w:val="00AA6C34"/>
    <w:rsid w:val="00AA6E7F"/>
    <w:rsid w:val="00AA7336"/>
    <w:rsid w:val="00AA7626"/>
    <w:rsid w:val="00AA7979"/>
    <w:rsid w:val="00AA798C"/>
    <w:rsid w:val="00AA7DE2"/>
    <w:rsid w:val="00AB086A"/>
    <w:rsid w:val="00AB0C16"/>
    <w:rsid w:val="00AB0E43"/>
    <w:rsid w:val="00AB1223"/>
    <w:rsid w:val="00AB1452"/>
    <w:rsid w:val="00AB15E9"/>
    <w:rsid w:val="00AB18B3"/>
    <w:rsid w:val="00AB1D98"/>
    <w:rsid w:val="00AB1DED"/>
    <w:rsid w:val="00AB21AF"/>
    <w:rsid w:val="00AB220B"/>
    <w:rsid w:val="00AB2853"/>
    <w:rsid w:val="00AB2AB2"/>
    <w:rsid w:val="00AB2B7A"/>
    <w:rsid w:val="00AB332A"/>
    <w:rsid w:val="00AB3742"/>
    <w:rsid w:val="00AB3C3F"/>
    <w:rsid w:val="00AB3D2B"/>
    <w:rsid w:val="00AB3E69"/>
    <w:rsid w:val="00AB3E76"/>
    <w:rsid w:val="00AB3F3B"/>
    <w:rsid w:val="00AB410C"/>
    <w:rsid w:val="00AB4393"/>
    <w:rsid w:val="00AB4520"/>
    <w:rsid w:val="00AB4BEB"/>
    <w:rsid w:val="00AB58A4"/>
    <w:rsid w:val="00AB594D"/>
    <w:rsid w:val="00AB5D48"/>
    <w:rsid w:val="00AB6054"/>
    <w:rsid w:val="00AB6086"/>
    <w:rsid w:val="00AB6210"/>
    <w:rsid w:val="00AB6A04"/>
    <w:rsid w:val="00AB6BFA"/>
    <w:rsid w:val="00AB7DE9"/>
    <w:rsid w:val="00AC035E"/>
    <w:rsid w:val="00AC0495"/>
    <w:rsid w:val="00AC05DA"/>
    <w:rsid w:val="00AC0B08"/>
    <w:rsid w:val="00AC0D78"/>
    <w:rsid w:val="00AC0EED"/>
    <w:rsid w:val="00AC1094"/>
    <w:rsid w:val="00AC12C0"/>
    <w:rsid w:val="00AC1E27"/>
    <w:rsid w:val="00AC20AF"/>
    <w:rsid w:val="00AC2248"/>
    <w:rsid w:val="00AC232F"/>
    <w:rsid w:val="00AC2514"/>
    <w:rsid w:val="00AC2566"/>
    <w:rsid w:val="00AC2C12"/>
    <w:rsid w:val="00AC2C6B"/>
    <w:rsid w:val="00AC2D65"/>
    <w:rsid w:val="00AC2DA2"/>
    <w:rsid w:val="00AC3153"/>
    <w:rsid w:val="00AC3439"/>
    <w:rsid w:val="00AC34A0"/>
    <w:rsid w:val="00AC358C"/>
    <w:rsid w:val="00AC35FF"/>
    <w:rsid w:val="00AC40F9"/>
    <w:rsid w:val="00AC410E"/>
    <w:rsid w:val="00AC427F"/>
    <w:rsid w:val="00AC442D"/>
    <w:rsid w:val="00AC46BB"/>
    <w:rsid w:val="00AC4846"/>
    <w:rsid w:val="00AC5116"/>
    <w:rsid w:val="00AC594F"/>
    <w:rsid w:val="00AC59B9"/>
    <w:rsid w:val="00AC5C3F"/>
    <w:rsid w:val="00AC6008"/>
    <w:rsid w:val="00AC645B"/>
    <w:rsid w:val="00AC6B8D"/>
    <w:rsid w:val="00AC6F38"/>
    <w:rsid w:val="00AC6F4A"/>
    <w:rsid w:val="00AC6F89"/>
    <w:rsid w:val="00AC7090"/>
    <w:rsid w:val="00AC716B"/>
    <w:rsid w:val="00AC7444"/>
    <w:rsid w:val="00AC7E14"/>
    <w:rsid w:val="00AC7E32"/>
    <w:rsid w:val="00AC7F6D"/>
    <w:rsid w:val="00AD0223"/>
    <w:rsid w:val="00AD0231"/>
    <w:rsid w:val="00AD02A1"/>
    <w:rsid w:val="00AD0B26"/>
    <w:rsid w:val="00AD0BAA"/>
    <w:rsid w:val="00AD0E92"/>
    <w:rsid w:val="00AD1375"/>
    <w:rsid w:val="00AD1873"/>
    <w:rsid w:val="00AD188F"/>
    <w:rsid w:val="00AD1A99"/>
    <w:rsid w:val="00AD1EAA"/>
    <w:rsid w:val="00AD2731"/>
    <w:rsid w:val="00AD2A0D"/>
    <w:rsid w:val="00AD2DD4"/>
    <w:rsid w:val="00AD31AE"/>
    <w:rsid w:val="00AD31DC"/>
    <w:rsid w:val="00AD34B6"/>
    <w:rsid w:val="00AD3679"/>
    <w:rsid w:val="00AD3D3C"/>
    <w:rsid w:val="00AD3E57"/>
    <w:rsid w:val="00AD42EF"/>
    <w:rsid w:val="00AD4C47"/>
    <w:rsid w:val="00AD548E"/>
    <w:rsid w:val="00AD56CB"/>
    <w:rsid w:val="00AD6DD4"/>
    <w:rsid w:val="00AD7063"/>
    <w:rsid w:val="00AD7859"/>
    <w:rsid w:val="00AD7BC1"/>
    <w:rsid w:val="00AE01DF"/>
    <w:rsid w:val="00AE0347"/>
    <w:rsid w:val="00AE076F"/>
    <w:rsid w:val="00AE0848"/>
    <w:rsid w:val="00AE0A42"/>
    <w:rsid w:val="00AE1626"/>
    <w:rsid w:val="00AE16BA"/>
    <w:rsid w:val="00AE18CB"/>
    <w:rsid w:val="00AE1CD1"/>
    <w:rsid w:val="00AE1CF1"/>
    <w:rsid w:val="00AE366D"/>
    <w:rsid w:val="00AE389A"/>
    <w:rsid w:val="00AE3B97"/>
    <w:rsid w:val="00AE408C"/>
    <w:rsid w:val="00AE4919"/>
    <w:rsid w:val="00AE4A07"/>
    <w:rsid w:val="00AE4FB7"/>
    <w:rsid w:val="00AE5083"/>
    <w:rsid w:val="00AE5416"/>
    <w:rsid w:val="00AE5941"/>
    <w:rsid w:val="00AE6013"/>
    <w:rsid w:val="00AE6115"/>
    <w:rsid w:val="00AE681A"/>
    <w:rsid w:val="00AE692E"/>
    <w:rsid w:val="00AE6C20"/>
    <w:rsid w:val="00AE6E24"/>
    <w:rsid w:val="00AE706B"/>
    <w:rsid w:val="00AE7643"/>
    <w:rsid w:val="00AE7ACC"/>
    <w:rsid w:val="00AE7BA2"/>
    <w:rsid w:val="00AE7D94"/>
    <w:rsid w:val="00AF038A"/>
    <w:rsid w:val="00AF0464"/>
    <w:rsid w:val="00AF075B"/>
    <w:rsid w:val="00AF0C22"/>
    <w:rsid w:val="00AF0EBD"/>
    <w:rsid w:val="00AF1D51"/>
    <w:rsid w:val="00AF1F8A"/>
    <w:rsid w:val="00AF2339"/>
    <w:rsid w:val="00AF2678"/>
    <w:rsid w:val="00AF26E8"/>
    <w:rsid w:val="00AF2863"/>
    <w:rsid w:val="00AF2C50"/>
    <w:rsid w:val="00AF3035"/>
    <w:rsid w:val="00AF3494"/>
    <w:rsid w:val="00AF3B61"/>
    <w:rsid w:val="00AF3D21"/>
    <w:rsid w:val="00AF3DFE"/>
    <w:rsid w:val="00AF425D"/>
    <w:rsid w:val="00AF441D"/>
    <w:rsid w:val="00AF444A"/>
    <w:rsid w:val="00AF496E"/>
    <w:rsid w:val="00AF4F2A"/>
    <w:rsid w:val="00AF516B"/>
    <w:rsid w:val="00AF5175"/>
    <w:rsid w:val="00AF52C2"/>
    <w:rsid w:val="00AF5671"/>
    <w:rsid w:val="00AF56E6"/>
    <w:rsid w:val="00AF57B7"/>
    <w:rsid w:val="00AF5CFA"/>
    <w:rsid w:val="00AF5E68"/>
    <w:rsid w:val="00AF5E79"/>
    <w:rsid w:val="00AF651E"/>
    <w:rsid w:val="00AF6560"/>
    <w:rsid w:val="00AF7349"/>
    <w:rsid w:val="00AF7CEF"/>
    <w:rsid w:val="00B000B6"/>
    <w:rsid w:val="00B00963"/>
    <w:rsid w:val="00B00D6A"/>
    <w:rsid w:val="00B013C8"/>
    <w:rsid w:val="00B01590"/>
    <w:rsid w:val="00B015A1"/>
    <w:rsid w:val="00B01713"/>
    <w:rsid w:val="00B017CD"/>
    <w:rsid w:val="00B01B1B"/>
    <w:rsid w:val="00B01BCA"/>
    <w:rsid w:val="00B020A4"/>
    <w:rsid w:val="00B02438"/>
    <w:rsid w:val="00B0283A"/>
    <w:rsid w:val="00B02C48"/>
    <w:rsid w:val="00B02E62"/>
    <w:rsid w:val="00B03043"/>
    <w:rsid w:val="00B03195"/>
    <w:rsid w:val="00B0333E"/>
    <w:rsid w:val="00B039FC"/>
    <w:rsid w:val="00B03C44"/>
    <w:rsid w:val="00B05494"/>
    <w:rsid w:val="00B0569B"/>
    <w:rsid w:val="00B05993"/>
    <w:rsid w:val="00B05DF4"/>
    <w:rsid w:val="00B060F4"/>
    <w:rsid w:val="00B0762E"/>
    <w:rsid w:val="00B079FA"/>
    <w:rsid w:val="00B07AC9"/>
    <w:rsid w:val="00B07B00"/>
    <w:rsid w:val="00B07C13"/>
    <w:rsid w:val="00B07C71"/>
    <w:rsid w:val="00B07E93"/>
    <w:rsid w:val="00B07EC9"/>
    <w:rsid w:val="00B104F8"/>
    <w:rsid w:val="00B10B24"/>
    <w:rsid w:val="00B10BD1"/>
    <w:rsid w:val="00B10CD3"/>
    <w:rsid w:val="00B113C8"/>
    <w:rsid w:val="00B1154F"/>
    <w:rsid w:val="00B118F9"/>
    <w:rsid w:val="00B11CF2"/>
    <w:rsid w:val="00B1202D"/>
    <w:rsid w:val="00B124CD"/>
    <w:rsid w:val="00B12505"/>
    <w:rsid w:val="00B12AED"/>
    <w:rsid w:val="00B13E65"/>
    <w:rsid w:val="00B13EB4"/>
    <w:rsid w:val="00B143CA"/>
    <w:rsid w:val="00B14BFA"/>
    <w:rsid w:val="00B14C28"/>
    <w:rsid w:val="00B154DF"/>
    <w:rsid w:val="00B1557E"/>
    <w:rsid w:val="00B15906"/>
    <w:rsid w:val="00B16007"/>
    <w:rsid w:val="00B1651B"/>
    <w:rsid w:val="00B16554"/>
    <w:rsid w:val="00B16707"/>
    <w:rsid w:val="00B16B26"/>
    <w:rsid w:val="00B16BD7"/>
    <w:rsid w:val="00B20532"/>
    <w:rsid w:val="00B21530"/>
    <w:rsid w:val="00B21A19"/>
    <w:rsid w:val="00B21A46"/>
    <w:rsid w:val="00B21AD6"/>
    <w:rsid w:val="00B22094"/>
    <w:rsid w:val="00B22682"/>
    <w:rsid w:val="00B22CE4"/>
    <w:rsid w:val="00B22E49"/>
    <w:rsid w:val="00B235EC"/>
    <w:rsid w:val="00B23BA3"/>
    <w:rsid w:val="00B23F95"/>
    <w:rsid w:val="00B247B0"/>
    <w:rsid w:val="00B24964"/>
    <w:rsid w:val="00B24E0B"/>
    <w:rsid w:val="00B24E63"/>
    <w:rsid w:val="00B25207"/>
    <w:rsid w:val="00B2520D"/>
    <w:rsid w:val="00B254BC"/>
    <w:rsid w:val="00B2563E"/>
    <w:rsid w:val="00B256D0"/>
    <w:rsid w:val="00B2586F"/>
    <w:rsid w:val="00B25A5E"/>
    <w:rsid w:val="00B25DCB"/>
    <w:rsid w:val="00B25E6B"/>
    <w:rsid w:val="00B25FDA"/>
    <w:rsid w:val="00B262DC"/>
    <w:rsid w:val="00B2685A"/>
    <w:rsid w:val="00B26A8E"/>
    <w:rsid w:val="00B27349"/>
    <w:rsid w:val="00B27417"/>
    <w:rsid w:val="00B274ED"/>
    <w:rsid w:val="00B276F2"/>
    <w:rsid w:val="00B27EC0"/>
    <w:rsid w:val="00B30859"/>
    <w:rsid w:val="00B30A55"/>
    <w:rsid w:val="00B312B1"/>
    <w:rsid w:val="00B319CC"/>
    <w:rsid w:val="00B31D30"/>
    <w:rsid w:val="00B31D61"/>
    <w:rsid w:val="00B32AED"/>
    <w:rsid w:val="00B3357B"/>
    <w:rsid w:val="00B33641"/>
    <w:rsid w:val="00B33A36"/>
    <w:rsid w:val="00B33F2A"/>
    <w:rsid w:val="00B34687"/>
    <w:rsid w:val="00B349D9"/>
    <w:rsid w:val="00B34EAD"/>
    <w:rsid w:val="00B35214"/>
    <w:rsid w:val="00B354B1"/>
    <w:rsid w:val="00B35647"/>
    <w:rsid w:val="00B357F4"/>
    <w:rsid w:val="00B35AE0"/>
    <w:rsid w:val="00B35D31"/>
    <w:rsid w:val="00B35DC4"/>
    <w:rsid w:val="00B35E6B"/>
    <w:rsid w:val="00B36235"/>
    <w:rsid w:val="00B36298"/>
    <w:rsid w:val="00B365B5"/>
    <w:rsid w:val="00B366EB"/>
    <w:rsid w:val="00B370C4"/>
    <w:rsid w:val="00B3731B"/>
    <w:rsid w:val="00B37EBB"/>
    <w:rsid w:val="00B37FE3"/>
    <w:rsid w:val="00B40133"/>
    <w:rsid w:val="00B402BE"/>
    <w:rsid w:val="00B403FF"/>
    <w:rsid w:val="00B40412"/>
    <w:rsid w:val="00B404E1"/>
    <w:rsid w:val="00B409BC"/>
    <w:rsid w:val="00B40FAD"/>
    <w:rsid w:val="00B41B61"/>
    <w:rsid w:val="00B41C35"/>
    <w:rsid w:val="00B41D8B"/>
    <w:rsid w:val="00B41DDB"/>
    <w:rsid w:val="00B423CB"/>
    <w:rsid w:val="00B42B16"/>
    <w:rsid w:val="00B42BF7"/>
    <w:rsid w:val="00B42CA3"/>
    <w:rsid w:val="00B4318A"/>
    <w:rsid w:val="00B431AC"/>
    <w:rsid w:val="00B433C2"/>
    <w:rsid w:val="00B433D0"/>
    <w:rsid w:val="00B438ED"/>
    <w:rsid w:val="00B43EC5"/>
    <w:rsid w:val="00B44B82"/>
    <w:rsid w:val="00B44D6B"/>
    <w:rsid w:val="00B45060"/>
    <w:rsid w:val="00B4512C"/>
    <w:rsid w:val="00B45229"/>
    <w:rsid w:val="00B4525F"/>
    <w:rsid w:val="00B45B20"/>
    <w:rsid w:val="00B45B64"/>
    <w:rsid w:val="00B45EE4"/>
    <w:rsid w:val="00B473FA"/>
    <w:rsid w:val="00B47532"/>
    <w:rsid w:val="00B47626"/>
    <w:rsid w:val="00B47789"/>
    <w:rsid w:val="00B47C0F"/>
    <w:rsid w:val="00B47E5B"/>
    <w:rsid w:val="00B47E69"/>
    <w:rsid w:val="00B5005B"/>
    <w:rsid w:val="00B5025D"/>
    <w:rsid w:val="00B50510"/>
    <w:rsid w:val="00B50514"/>
    <w:rsid w:val="00B50582"/>
    <w:rsid w:val="00B507CF"/>
    <w:rsid w:val="00B514DC"/>
    <w:rsid w:val="00B518D0"/>
    <w:rsid w:val="00B51AA7"/>
    <w:rsid w:val="00B5276A"/>
    <w:rsid w:val="00B53329"/>
    <w:rsid w:val="00B537A9"/>
    <w:rsid w:val="00B54185"/>
    <w:rsid w:val="00B5464B"/>
    <w:rsid w:val="00B547BC"/>
    <w:rsid w:val="00B548C6"/>
    <w:rsid w:val="00B54EE1"/>
    <w:rsid w:val="00B55274"/>
    <w:rsid w:val="00B55418"/>
    <w:rsid w:val="00B5560A"/>
    <w:rsid w:val="00B55DF7"/>
    <w:rsid w:val="00B56196"/>
    <w:rsid w:val="00B5631C"/>
    <w:rsid w:val="00B56963"/>
    <w:rsid w:val="00B56F39"/>
    <w:rsid w:val="00B57639"/>
    <w:rsid w:val="00B57873"/>
    <w:rsid w:val="00B57CFD"/>
    <w:rsid w:val="00B57D94"/>
    <w:rsid w:val="00B57E0E"/>
    <w:rsid w:val="00B57E6F"/>
    <w:rsid w:val="00B606D4"/>
    <w:rsid w:val="00B609D5"/>
    <w:rsid w:val="00B60B33"/>
    <w:rsid w:val="00B60F67"/>
    <w:rsid w:val="00B61292"/>
    <w:rsid w:val="00B61454"/>
    <w:rsid w:val="00B61549"/>
    <w:rsid w:val="00B6181E"/>
    <w:rsid w:val="00B61937"/>
    <w:rsid w:val="00B61E8E"/>
    <w:rsid w:val="00B6260B"/>
    <w:rsid w:val="00B62618"/>
    <w:rsid w:val="00B62651"/>
    <w:rsid w:val="00B628F9"/>
    <w:rsid w:val="00B62C08"/>
    <w:rsid w:val="00B62EFE"/>
    <w:rsid w:val="00B633B6"/>
    <w:rsid w:val="00B63417"/>
    <w:rsid w:val="00B63544"/>
    <w:rsid w:val="00B63A87"/>
    <w:rsid w:val="00B63DC8"/>
    <w:rsid w:val="00B63E73"/>
    <w:rsid w:val="00B64430"/>
    <w:rsid w:val="00B6484E"/>
    <w:rsid w:val="00B64DA9"/>
    <w:rsid w:val="00B65369"/>
    <w:rsid w:val="00B6543A"/>
    <w:rsid w:val="00B654AC"/>
    <w:rsid w:val="00B656B0"/>
    <w:rsid w:val="00B65716"/>
    <w:rsid w:val="00B65FD7"/>
    <w:rsid w:val="00B6650F"/>
    <w:rsid w:val="00B66D33"/>
    <w:rsid w:val="00B67600"/>
    <w:rsid w:val="00B67981"/>
    <w:rsid w:val="00B67CAC"/>
    <w:rsid w:val="00B67F0F"/>
    <w:rsid w:val="00B70297"/>
    <w:rsid w:val="00B70318"/>
    <w:rsid w:val="00B7047E"/>
    <w:rsid w:val="00B704CD"/>
    <w:rsid w:val="00B70FDF"/>
    <w:rsid w:val="00B713AE"/>
    <w:rsid w:val="00B7154C"/>
    <w:rsid w:val="00B7167D"/>
    <w:rsid w:val="00B71689"/>
    <w:rsid w:val="00B71867"/>
    <w:rsid w:val="00B71DEA"/>
    <w:rsid w:val="00B71F31"/>
    <w:rsid w:val="00B72349"/>
    <w:rsid w:val="00B72F0B"/>
    <w:rsid w:val="00B73A4D"/>
    <w:rsid w:val="00B73C9B"/>
    <w:rsid w:val="00B73DC7"/>
    <w:rsid w:val="00B74127"/>
    <w:rsid w:val="00B7432A"/>
    <w:rsid w:val="00B7433D"/>
    <w:rsid w:val="00B7451B"/>
    <w:rsid w:val="00B74601"/>
    <w:rsid w:val="00B747BA"/>
    <w:rsid w:val="00B7496B"/>
    <w:rsid w:val="00B7513D"/>
    <w:rsid w:val="00B75361"/>
    <w:rsid w:val="00B753C3"/>
    <w:rsid w:val="00B7558D"/>
    <w:rsid w:val="00B755B8"/>
    <w:rsid w:val="00B75CE3"/>
    <w:rsid w:val="00B75D72"/>
    <w:rsid w:val="00B75EF7"/>
    <w:rsid w:val="00B76623"/>
    <w:rsid w:val="00B76822"/>
    <w:rsid w:val="00B7682B"/>
    <w:rsid w:val="00B768A2"/>
    <w:rsid w:val="00B76926"/>
    <w:rsid w:val="00B76C96"/>
    <w:rsid w:val="00B76E9E"/>
    <w:rsid w:val="00B77714"/>
    <w:rsid w:val="00B7772A"/>
    <w:rsid w:val="00B77859"/>
    <w:rsid w:val="00B77D30"/>
    <w:rsid w:val="00B8008B"/>
    <w:rsid w:val="00B8044F"/>
    <w:rsid w:val="00B80784"/>
    <w:rsid w:val="00B809FD"/>
    <w:rsid w:val="00B80B1C"/>
    <w:rsid w:val="00B81649"/>
    <w:rsid w:val="00B81ADA"/>
    <w:rsid w:val="00B82652"/>
    <w:rsid w:val="00B82A2F"/>
    <w:rsid w:val="00B82FD2"/>
    <w:rsid w:val="00B83584"/>
    <w:rsid w:val="00B83593"/>
    <w:rsid w:val="00B83A62"/>
    <w:rsid w:val="00B83B8B"/>
    <w:rsid w:val="00B83CC0"/>
    <w:rsid w:val="00B8412C"/>
    <w:rsid w:val="00B846E9"/>
    <w:rsid w:val="00B8490A"/>
    <w:rsid w:val="00B84F7F"/>
    <w:rsid w:val="00B854CB"/>
    <w:rsid w:val="00B854F7"/>
    <w:rsid w:val="00B85AE5"/>
    <w:rsid w:val="00B85E0F"/>
    <w:rsid w:val="00B865B4"/>
    <w:rsid w:val="00B866BF"/>
    <w:rsid w:val="00B8672D"/>
    <w:rsid w:val="00B86A55"/>
    <w:rsid w:val="00B86F7E"/>
    <w:rsid w:val="00B871FD"/>
    <w:rsid w:val="00B872F9"/>
    <w:rsid w:val="00B8732D"/>
    <w:rsid w:val="00B8750B"/>
    <w:rsid w:val="00B87B37"/>
    <w:rsid w:val="00B87DA1"/>
    <w:rsid w:val="00B87EB3"/>
    <w:rsid w:val="00B90145"/>
    <w:rsid w:val="00B90209"/>
    <w:rsid w:val="00B90538"/>
    <w:rsid w:val="00B90658"/>
    <w:rsid w:val="00B91195"/>
    <w:rsid w:val="00B91756"/>
    <w:rsid w:val="00B91CA8"/>
    <w:rsid w:val="00B91F48"/>
    <w:rsid w:val="00B91FDC"/>
    <w:rsid w:val="00B9206F"/>
    <w:rsid w:val="00B92465"/>
    <w:rsid w:val="00B924C7"/>
    <w:rsid w:val="00B92718"/>
    <w:rsid w:val="00B928B7"/>
    <w:rsid w:val="00B92D10"/>
    <w:rsid w:val="00B92E24"/>
    <w:rsid w:val="00B92E2D"/>
    <w:rsid w:val="00B93073"/>
    <w:rsid w:val="00B9322A"/>
    <w:rsid w:val="00B93756"/>
    <w:rsid w:val="00B9382A"/>
    <w:rsid w:val="00B93AA0"/>
    <w:rsid w:val="00B9427D"/>
    <w:rsid w:val="00B94322"/>
    <w:rsid w:val="00B94461"/>
    <w:rsid w:val="00B94AA3"/>
    <w:rsid w:val="00B94EC9"/>
    <w:rsid w:val="00B95B0A"/>
    <w:rsid w:val="00B95EB0"/>
    <w:rsid w:val="00B96160"/>
    <w:rsid w:val="00B961DD"/>
    <w:rsid w:val="00B96351"/>
    <w:rsid w:val="00B966F4"/>
    <w:rsid w:val="00B96B74"/>
    <w:rsid w:val="00B97481"/>
    <w:rsid w:val="00B974ED"/>
    <w:rsid w:val="00B9752F"/>
    <w:rsid w:val="00B97C91"/>
    <w:rsid w:val="00BA015E"/>
    <w:rsid w:val="00BA02B0"/>
    <w:rsid w:val="00BA08F4"/>
    <w:rsid w:val="00BA10A1"/>
    <w:rsid w:val="00BA10DE"/>
    <w:rsid w:val="00BA11A4"/>
    <w:rsid w:val="00BA1360"/>
    <w:rsid w:val="00BA19C9"/>
    <w:rsid w:val="00BA1A86"/>
    <w:rsid w:val="00BA211B"/>
    <w:rsid w:val="00BA21D8"/>
    <w:rsid w:val="00BA238D"/>
    <w:rsid w:val="00BA2416"/>
    <w:rsid w:val="00BA2A75"/>
    <w:rsid w:val="00BA4348"/>
    <w:rsid w:val="00BA4401"/>
    <w:rsid w:val="00BA446C"/>
    <w:rsid w:val="00BA4478"/>
    <w:rsid w:val="00BA451F"/>
    <w:rsid w:val="00BA4577"/>
    <w:rsid w:val="00BA4BE6"/>
    <w:rsid w:val="00BA4BFF"/>
    <w:rsid w:val="00BA4EFB"/>
    <w:rsid w:val="00BA52B8"/>
    <w:rsid w:val="00BA54AC"/>
    <w:rsid w:val="00BA558E"/>
    <w:rsid w:val="00BA594D"/>
    <w:rsid w:val="00BA5AEB"/>
    <w:rsid w:val="00BA5C7B"/>
    <w:rsid w:val="00BA6139"/>
    <w:rsid w:val="00BA6EB6"/>
    <w:rsid w:val="00BA7042"/>
    <w:rsid w:val="00BB0B95"/>
    <w:rsid w:val="00BB0DC6"/>
    <w:rsid w:val="00BB1403"/>
    <w:rsid w:val="00BB15FF"/>
    <w:rsid w:val="00BB171E"/>
    <w:rsid w:val="00BB1EDE"/>
    <w:rsid w:val="00BB1F58"/>
    <w:rsid w:val="00BB2245"/>
    <w:rsid w:val="00BB24B7"/>
    <w:rsid w:val="00BB2767"/>
    <w:rsid w:val="00BB3214"/>
    <w:rsid w:val="00BB322A"/>
    <w:rsid w:val="00BB33D0"/>
    <w:rsid w:val="00BB36BB"/>
    <w:rsid w:val="00BB38C2"/>
    <w:rsid w:val="00BB3939"/>
    <w:rsid w:val="00BB3A32"/>
    <w:rsid w:val="00BB45C8"/>
    <w:rsid w:val="00BB46D0"/>
    <w:rsid w:val="00BB4A27"/>
    <w:rsid w:val="00BB4D25"/>
    <w:rsid w:val="00BB53B1"/>
    <w:rsid w:val="00BB5543"/>
    <w:rsid w:val="00BB6014"/>
    <w:rsid w:val="00BB632A"/>
    <w:rsid w:val="00BB6450"/>
    <w:rsid w:val="00BB6647"/>
    <w:rsid w:val="00BB68D1"/>
    <w:rsid w:val="00BB6C70"/>
    <w:rsid w:val="00BB6EAB"/>
    <w:rsid w:val="00BB719B"/>
    <w:rsid w:val="00BB73A6"/>
    <w:rsid w:val="00BB759D"/>
    <w:rsid w:val="00BB7A7C"/>
    <w:rsid w:val="00BB7FBA"/>
    <w:rsid w:val="00BC27B7"/>
    <w:rsid w:val="00BC289C"/>
    <w:rsid w:val="00BC2A12"/>
    <w:rsid w:val="00BC2CF8"/>
    <w:rsid w:val="00BC2DEE"/>
    <w:rsid w:val="00BC3BD9"/>
    <w:rsid w:val="00BC4239"/>
    <w:rsid w:val="00BC4CAE"/>
    <w:rsid w:val="00BC4EE9"/>
    <w:rsid w:val="00BC5144"/>
    <w:rsid w:val="00BC5FC0"/>
    <w:rsid w:val="00BC62F2"/>
    <w:rsid w:val="00BC6712"/>
    <w:rsid w:val="00BC677A"/>
    <w:rsid w:val="00BC6854"/>
    <w:rsid w:val="00BC6BFB"/>
    <w:rsid w:val="00BC6C3B"/>
    <w:rsid w:val="00BC724F"/>
    <w:rsid w:val="00BC73FA"/>
    <w:rsid w:val="00BC7849"/>
    <w:rsid w:val="00BC787B"/>
    <w:rsid w:val="00BC7A77"/>
    <w:rsid w:val="00BC7F90"/>
    <w:rsid w:val="00BD0120"/>
    <w:rsid w:val="00BD012A"/>
    <w:rsid w:val="00BD0784"/>
    <w:rsid w:val="00BD081C"/>
    <w:rsid w:val="00BD0DC1"/>
    <w:rsid w:val="00BD0F1E"/>
    <w:rsid w:val="00BD0F33"/>
    <w:rsid w:val="00BD1310"/>
    <w:rsid w:val="00BD14EF"/>
    <w:rsid w:val="00BD1856"/>
    <w:rsid w:val="00BD1875"/>
    <w:rsid w:val="00BD24DD"/>
    <w:rsid w:val="00BD2768"/>
    <w:rsid w:val="00BD29FC"/>
    <w:rsid w:val="00BD2DDC"/>
    <w:rsid w:val="00BD2FFB"/>
    <w:rsid w:val="00BD3066"/>
    <w:rsid w:val="00BD3519"/>
    <w:rsid w:val="00BD3872"/>
    <w:rsid w:val="00BD3A1D"/>
    <w:rsid w:val="00BD3D9A"/>
    <w:rsid w:val="00BD4116"/>
    <w:rsid w:val="00BD4350"/>
    <w:rsid w:val="00BD45AD"/>
    <w:rsid w:val="00BD4C38"/>
    <w:rsid w:val="00BD5E19"/>
    <w:rsid w:val="00BD6078"/>
    <w:rsid w:val="00BD610A"/>
    <w:rsid w:val="00BD6909"/>
    <w:rsid w:val="00BD6A8C"/>
    <w:rsid w:val="00BD741D"/>
    <w:rsid w:val="00BD7770"/>
    <w:rsid w:val="00BD787D"/>
    <w:rsid w:val="00BD7898"/>
    <w:rsid w:val="00BD78EC"/>
    <w:rsid w:val="00BD7A50"/>
    <w:rsid w:val="00BD7AF9"/>
    <w:rsid w:val="00BE01C5"/>
    <w:rsid w:val="00BE01CE"/>
    <w:rsid w:val="00BE040A"/>
    <w:rsid w:val="00BE0918"/>
    <w:rsid w:val="00BE09EF"/>
    <w:rsid w:val="00BE12A1"/>
    <w:rsid w:val="00BE12AD"/>
    <w:rsid w:val="00BE1642"/>
    <w:rsid w:val="00BE18DC"/>
    <w:rsid w:val="00BE19CA"/>
    <w:rsid w:val="00BE1A83"/>
    <w:rsid w:val="00BE1D63"/>
    <w:rsid w:val="00BE1DC1"/>
    <w:rsid w:val="00BE20E3"/>
    <w:rsid w:val="00BE2964"/>
    <w:rsid w:val="00BE33FE"/>
    <w:rsid w:val="00BE3755"/>
    <w:rsid w:val="00BE422F"/>
    <w:rsid w:val="00BE462C"/>
    <w:rsid w:val="00BE4747"/>
    <w:rsid w:val="00BE4B5A"/>
    <w:rsid w:val="00BE4C37"/>
    <w:rsid w:val="00BE5E7D"/>
    <w:rsid w:val="00BE6057"/>
    <w:rsid w:val="00BE6358"/>
    <w:rsid w:val="00BE63F0"/>
    <w:rsid w:val="00BE6655"/>
    <w:rsid w:val="00BE6716"/>
    <w:rsid w:val="00BE7166"/>
    <w:rsid w:val="00BE724B"/>
    <w:rsid w:val="00BE7EDC"/>
    <w:rsid w:val="00BE7EED"/>
    <w:rsid w:val="00BF070E"/>
    <w:rsid w:val="00BF0860"/>
    <w:rsid w:val="00BF0B39"/>
    <w:rsid w:val="00BF14DE"/>
    <w:rsid w:val="00BF161E"/>
    <w:rsid w:val="00BF1814"/>
    <w:rsid w:val="00BF1A94"/>
    <w:rsid w:val="00BF235A"/>
    <w:rsid w:val="00BF247A"/>
    <w:rsid w:val="00BF25B8"/>
    <w:rsid w:val="00BF2CE3"/>
    <w:rsid w:val="00BF3034"/>
    <w:rsid w:val="00BF3773"/>
    <w:rsid w:val="00BF39B2"/>
    <w:rsid w:val="00BF4671"/>
    <w:rsid w:val="00BF4864"/>
    <w:rsid w:val="00BF48EE"/>
    <w:rsid w:val="00BF48EF"/>
    <w:rsid w:val="00BF4983"/>
    <w:rsid w:val="00BF4E40"/>
    <w:rsid w:val="00BF4E65"/>
    <w:rsid w:val="00BF4EBC"/>
    <w:rsid w:val="00BF5194"/>
    <w:rsid w:val="00BF569B"/>
    <w:rsid w:val="00BF5A3F"/>
    <w:rsid w:val="00BF5B3E"/>
    <w:rsid w:val="00BF5E4C"/>
    <w:rsid w:val="00BF5F22"/>
    <w:rsid w:val="00BF5FDD"/>
    <w:rsid w:val="00BF612D"/>
    <w:rsid w:val="00BF6243"/>
    <w:rsid w:val="00BF6591"/>
    <w:rsid w:val="00BF6664"/>
    <w:rsid w:val="00BF6948"/>
    <w:rsid w:val="00BF69E2"/>
    <w:rsid w:val="00BF742A"/>
    <w:rsid w:val="00BF7679"/>
    <w:rsid w:val="00BF7884"/>
    <w:rsid w:val="00BF78CF"/>
    <w:rsid w:val="00BF7EEB"/>
    <w:rsid w:val="00C0038C"/>
    <w:rsid w:val="00C00811"/>
    <w:rsid w:val="00C0099E"/>
    <w:rsid w:val="00C009BB"/>
    <w:rsid w:val="00C00DC4"/>
    <w:rsid w:val="00C00ED6"/>
    <w:rsid w:val="00C0180C"/>
    <w:rsid w:val="00C01883"/>
    <w:rsid w:val="00C01A7C"/>
    <w:rsid w:val="00C020AB"/>
    <w:rsid w:val="00C0262B"/>
    <w:rsid w:val="00C026B2"/>
    <w:rsid w:val="00C02810"/>
    <w:rsid w:val="00C02D7A"/>
    <w:rsid w:val="00C02EC4"/>
    <w:rsid w:val="00C03510"/>
    <w:rsid w:val="00C03F15"/>
    <w:rsid w:val="00C0401C"/>
    <w:rsid w:val="00C04447"/>
    <w:rsid w:val="00C0448D"/>
    <w:rsid w:val="00C045C0"/>
    <w:rsid w:val="00C04604"/>
    <w:rsid w:val="00C04643"/>
    <w:rsid w:val="00C04AFD"/>
    <w:rsid w:val="00C04C4A"/>
    <w:rsid w:val="00C04DED"/>
    <w:rsid w:val="00C04E3B"/>
    <w:rsid w:val="00C0581E"/>
    <w:rsid w:val="00C05B85"/>
    <w:rsid w:val="00C05FC5"/>
    <w:rsid w:val="00C06567"/>
    <w:rsid w:val="00C065F0"/>
    <w:rsid w:val="00C067D6"/>
    <w:rsid w:val="00C06D63"/>
    <w:rsid w:val="00C07054"/>
    <w:rsid w:val="00C10118"/>
    <w:rsid w:val="00C10368"/>
    <w:rsid w:val="00C10454"/>
    <w:rsid w:val="00C10508"/>
    <w:rsid w:val="00C107FE"/>
    <w:rsid w:val="00C108F5"/>
    <w:rsid w:val="00C10B5C"/>
    <w:rsid w:val="00C10CFB"/>
    <w:rsid w:val="00C11112"/>
    <w:rsid w:val="00C11390"/>
    <w:rsid w:val="00C1167B"/>
    <w:rsid w:val="00C117AD"/>
    <w:rsid w:val="00C11D55"/>
    <w:rsid w:val="00C12458"/>
    <w:rsid w:val="00C12868"/>
    <w:rsid w:val="00C12C8B"/>
    <w:rsid w:val="00C133B1"/>
    <w:rsid w:val="00C14000"/>
    <w:rsid w:val="00C14278"/>
    <w:rsid w:val="00C14375"/>
    <w:rsid w:val="00C144D4"/>
    <w:rsid w:val="00C1450A"/>
    <w:rsid w:val="00C14630"/>
    <w:rsid w:val="00C15FFE"/>
    <w:rsid w:val="00C163C8"/>
    <w:rsid w:val="00C16480"/>
    <w:rsid w:val="00C16506"/>
    <w:rsid w:val="00C1652F"/>
    <w:rsid w:val="00C16FBB"/>
    <w:rsid w:val="00C17363"/>
    <w:rsid w:val="00C1741D"/>
    <w:rsid w:val="00C177CC"/>
    <w:rsid w:val="00C2040D"/>
    <w:rsid w:val="00C20A6E"/>
    <w:rsid w:val="00C210F2"/>
    <w:rsid w:val="00C21D35"/>
    <w:rsid w:val="00C220F2"/>
    <w:rsid w:val="00C224B2"/>
    <w:rsid w:val="00C224CB"/>
    <w:rsid w:val="00C22DBC"/>
    <w:rsid w:val="00C22FA1"/>
    <w:rsid w:val="00C23CD0"/>
    <w:rsid w:val="00C24061"/>
    <w:rsid w:val="00C24296"/>
    <w:rsid w:val="00C24BFA"/>
    <w:rsid w:val="00C24CA1"/>
    <w:rsid w:val="00C24D6D"/>
    <w:rsid w:val="00C24EC0"/>
    <w:rsid w:val="00C2516A"/>
    <w:rsid w:val="00C2562B"/>
    <w:rsid w:val="00C258EE"/>
    <w:rsid w:val="00C260C4"/>
    <w:rsid w:val="00C26C32"/>
    <w:rsid w:val="00C26D1D"/>
    <w:rsid w:val="00C273D6"/>
    <w:rsid w:val="00C27922"/>
    <w:rsid w:val="00C27AAB"/>
    <w:rsid w:val="00C27C5A"/>
    <w:rsid w:val="00C27E60"/>
    <w:rsid w:val="00C30066"/>
    <w:rsid w:val="00C301A2"/>
    <w:rsid w:val="00C302EF"/>
    <w:rsid w:val="00C303B0"/>
    <w:rsid w:val="00C3060B"/>
    <w:rsid w:val="00C308BE"/>
    <w:rsid w:val="00C3097C"/>
    <w:rsid w:val="00C30B46"/>
    <w:rsid w:val="00C3149A"/>
    <w:rsid w:val="00C316A9"/>
    <w:rsid w:val="00C31BE3"/>
    <w:rsid w:val="00C31CBD"/>
    <w:rsid w:val="00C31D10"/>
    <w:rsid w:val="00C31F81"/>
    <w:rsid w:val="00C32354"/>
    <w:rsid w:val="00C32455"/>
    <w:rsid w:val="00C325CB"/>
    <w:rsid w:val="00C329FA"/>
    <w:rsid w:val="00C33659"/>
    <w:rsid w:val="00C336C5"/>
    <w:rsid w:val="00C3388D"/>
    <w:rsid w:val="00C33A36"/>
    <w:rsid w:val="00C33D84"/>
    <w:rsid w:val="00C34106"/>
    <w:rsid w:val="00C34502"/>
    <w:rsid w:val="00C347DF"/>
    <w:rsid w:val="00C34B67"/>
    <w:rsid w:val="00C34EEF"/>
    <w:rsid w:val="00C34F17"/>
    <w:rsid w:val="00C3525B"/>
    <w:rsid w:val="00C354ED"/>
    <w:rsid w:val="00C35764"/>
    <w:rsid w:val="00C35932"/>
    <w:rsid w:val="00C35BF3"/>
    <w:rsid w:val="00C35D10"/>
    <w:rsid w:val="00C35DE4"/>
    <w:rsid w:val="00C36138"/>
    <w:rsid w:val="00C36188"/>
    <w:rsid w:val="00C3799B"/>
    <w:rsid w:val="00C37C09"/>
    <w:rsid w:val="00C37CB5"/>
    <w:rsid w:val="00C37E1B"/>
    <w:rsid w:val="00C4031B"/>
    <w:rsid w:val="00C403E6"/>
    <w:rsid w:val="00C40450"/>
    <w:rsid w:val="00C408B7"/>
    <w:rsid w:val="00C40A34"/>
    <w:rsid w:val="00C40D66"/>
    <w:rsid w:val="00C40EE3"/>
    <w:rsid w:val="00C41439"/>
    <w:rsid w:val="00C41572"/>
    <w:rsid w:val="00C41CDE"/>
    <w:rsid w:val="00C420D5"/>
    <w:rsid w:val="00C42E2A"/>
    <w:rsid w:val="00C4441C"/>
    <w:rsid w:val="00C44850"/>
    <w:rsid w:val="00C44EFE"/>
    <w:rsid w:val="00C45431"/>
    <w:rsid w:val="00C45885"/>
    <w:rsid w:val="00C459EE"/>
    <w:rsid w:val="00C45A33"/>
    <w:rsid w:val="00C46371"/>
    <w:rsid w:val="00C466F0"/>
    <w:rsid w:val="00C46A45"/>
    <w:rsid w:val="00C46DBA"/>
    <w:rsid w:val="00C47377"/>
    <w:rsid w:val="00C47566"/>
    <w:rsid w:val="00C47875"/>
    <w:rsid w:val="00C47C06"/>
    <w:rsid w:val="00C47ED3"/>
    <w:rsid w:val="00C502F7"/>
    <w:rsid w:val="00C503B3"/>
    <w:rsid w:val="00C50690"/>
    <w:rsid w:val="00C50890"/>
    <w:rsid w:val="00C5096E"/>
    <w:rsid w:val="00C50CAB"/>
    <w:rsid w:val="00C50DAE"/>
    <w:rsid w:val="00C51299"/>
    <w:rsid w:val="00C51761"/>
    <w:rsid w:val="00C5226B"/>
    <w:rsid w:val="00C52347"/>
    <w:rsid w:val="00C5307D"/>
    <w:rsid w:val="00C53246"/>
    <w:rsid w:val="00C53437"/>
    <w:rsid w:val="00C53480"/>
    <w:rsid w:val="00C538EA"/>
    <w:rsid w:val="00C53A41"/>
    <w:rsid w:val="00C543CE"/>
    <w:rsid w:val="00C545FD"/>
    <w:rsid w:val="00C550D1"/>
    <w:rsid w:val="00C55186"/>
    <w:rsid w:val="00C55226"/>
    <w:rsid w:val="00C557CB"/>
    <w:rsid w:val="00C5597E"/>
    <w:rsid w:val="00C55FA4"/>
    <w:rsid w:val="00C5613E"/>
    <w:rsid w:val="00C561D1"/>
    <w:rsid w:val="00C562B2"/>
    <w:rsid w:val="00C563AE"/>
    <w:rsid w:val="00C56485"/>
    <w:rsid w:val="00C5675F"/>
    <w:rsid w:val="00C56B0B"/>
    <w:rsid w:val="00C56D52"/>
    <w:rsid w:val="00C57617"/>
    <w:rsid w:val="00C57BEB"/>
    <w:rsid w:val="00C60029"/>
    <w:rsid w:val="00C60FF0"/>
    <w:rsid w:val="00C61135"/>
    <w:rsid w:val="00C6181D"/>
    <w:rsid w:val="00C6190F"/>
    <w:rsid w:val="00C622AB"/>
    <w:rsid w:val="00C62E1A"/>
    <w:rsid w:val="00C63A41"/>
    <w:rsid w:val="00C63A5B"/>
    <w:rsid w:val="00C64130"/>
    <w:rsid w:val="00C6443E"/>
    <w:rsid w:val="00C6453E"/>
    <w:rsid w:val="00C64D96"/>
    <w:rsid w:val="00C64ED3"/>
    <w:rsid w:val="00C6560E"/>
    <w:rsid w:val="00C658E7"/>
    <w:rsid w:val="00C65CE3"/>
    <w:rsid w:val="00C65DFF"/>
    <w:rsid w:val="00C66550"/>
    <w:rsid w:val="00C6667E"/>
    <w:rsid w:val="00C66738"/>
    <w:rsid w:val="00C6753C"/>
    <w:rsid w:val="00C67692"/>
    <w:rsid w:val="00C67873"/>
    <w:rsid w:val="00C67911"/>
    <w:rsid w:val="00C67979"/>
    <w:rsid w:val="00C67ECD"/>
    <w:rsid w:val="00C67FB8"/>
    <w:rsid w:val="00C705B0"/>
    <w:rsid w:val="00C70714"/>
    <w:rsid w:val="00C70C1B"/>
    <w:rsid w:val="00C71507"/>
    <w:rsid w:val="00C71525"/>
    <w:rsid w:val="00C717E4"/>
    <w:rsid w:val="00C71828"/>
    <w:rsid w:val="00C71F9F"/>
    <w:rsid w:val="00C71FBB"/>
    <w:rsid w:val="00C72305"/>
    <w:rsid w:val="00C723CC"/>
    <w:rsid w:val="00C72D1F"/>
    <w:rsid w:val="00C72DF4"/>
    <w:rsid w:val="00C72F67"/>
    <w:rsid w:val="00C72F7C"/>
    <w:rsid w:val="00C73437"/>
    <w:rsid w:val="00C7380E"/>
    <w:rsid w:val="00C73868"/>
    <w:rsid w:val="00C73AC0"/>
    <w:rsid w:val="00C73B92"/>
    <w:rsid w:val="00C73E92"/>
    <w:rsid w:val="00C74096"/>
    <w:rsid w:val="00C74B63"/>
    <w:rsid w:val="00C74DBF"/>
    <w:rsid w:val="00C74F66"/>
    <w:rsid w:val="00C75263"/>
    <w:rsid w:val="00C75335"/>
    <w:rsid w:val="00C75560"/>
    <w:rsid w:val="00C759A3"/>
    <w:rsid w:val="00C75DBA"/>
    <w:rsid w:val="00C75F81"/>
    <w:rsid w:val="00C76179"/>
    <w:rsid w:val="00C76365"/>
    <w:rsid w:val="00C766A9"/>
    <w:rsid w:val="00C76B2E"/>
    <w:rsid w:val="00C77253"/>
    <w:rsid w:val="00C77C11"/>
    <w:rsid w:val="00C77CF9"/>
    <w:rsid w:val="00C77D71"/>
    <w:rsid w:val="00C77DC7"/>
    <w:rsid w:val="00C80445"/>
    <w:rsid w:val="00C8046D"/>
    <w:rsid w:val="00C806B8"/>
    <w:rsid w:val="00C80A22"/>
    <w:rsid w:val="00C80B0A"/>
    <w:rsid w:val="00C80CD5"/>
    <w:rsid w:val="00C8112F"/>
    <w:rsid w:val="00C811D0"/>
    <w:rsid w:val="00C812DE"/>
    <w:rsid w:val="00C814E1"/>
    <w:rsid w:val="00C81C9C"/>
    <w:rsid w:val="00C82065"/>
    <w:rsid w:val="00C82458"/>
    <w:rsid w:val="00C825F1"/>
    <w:rsid w:val="00C827A5"/>
    <w:rsid w:val="00C82C7A"/>
    <w:rsid w:val="00C82D2A"/>
    <w:rsid w:val="00C82DA4"/>
    <w:rsid w:val="00C82E23"/>
    <w:rsid w:val="00C835C6"/>
    <w:rsid w:val="00C83E6E"/>
    <w:rsid w:val="00C83F33"/>
    <w:rsid w:val="00C83FAB"/>
    <w:rsid w:val="00C8417A"/>
    <w:rsid w:val="00C841BC"/>
    <w:rsid w:val="00C84252"/>
    <w:rsid w:val="00C844E3"/>
    <w:rsid w:val="00C8456B"/>
    <w:rsid w:val="00C851D0"/>
    <w:rsid w:val="00C854BE"/>
    <w:rsid w:val="00C85601"/>
    <w:rsid w:val="00C85E57"/>
    <w:rsid w:val="00C861C1"/>
    <w:rsid w:val="00C86305"/>
    <w:rsid w:val="00C866D2"/>
    <w:rsid w:val="00C86A6C"/>
    <w:rsid w:val="00C86A98"/>
    <w:rsid w:val="00C86C95"/>
    <w:rsid w:val="00C87018"/>
    <w:rsid w:val="00C87B1F"/>
    <w:rsid w:val="00C87D96"/>
    <w:rsid w:val="00C87D9F"/>
    <w:rsid w:val="00C87F14"/>
    <w:rsid w:val="00C87F6A"/>
    <w:rsid w:val="00C908A9"/>
    <w:rsid w:val="00C908FC"/>
    <w:rsid w:val="00C91242"/>
    <w:rsid w:val="00C91625"/>
    <w:rsid w:val="00C916F6"/>
    <w:rsid w:val="00C91DC3"/>
    <w:rsid w:val="00C91EB4"/>
    <w:rsid w:val="00C922A9"/>
    <w:rsid w:val="00C926F5"/>
    <w:rsid w:val="00C9297B"/>
    <w:rsid w:val="00C92A8F"/>
    <w:rsid w:val="00C92BE5"/>
    <w:rsid w:val="00C92BE7"/>
    <w:rsid w:val="00C93863"/>
    <w:rsid w:val="00C93880"/>
    <w:rsid w:val="00C938FB"/>
    <w:rsid w:val="00C93A0F"/>
    <w:rsid w:val="00C93B2B"/>
    <w:rsid w:val="00C93D20"/>
    <w:rsid w:val="00C942C2"/>
    <w:rsid w:val="00C946B2"/>
    <w:rsid w:val="00C947E8"/>
    <w:rsid w:val="00C94D92"/>
    <w:rsid w:val="00C94E80"/>
    <w:rsid w:val="00C95099"/>
    <w:rsid w:val="00C95203"/>
    <w:rsid w:val="00C952BE"/>
    <w:rsid w:val="00C95A86"/>
    <w:rsid w:val="00C95AC4"/>
    <w:rsid w:val="00C95B18"/>
    <w:rsid w:val="00C95C35"/>
    <w:rsid w:val="00C960D1"/>
    <w:rsid w:val="00C9618C"/>
    <w:rsid w:val="00C9627A"/>
    <w:rsid w:val="00C962F6"/>
    <w:rsid w:val="00C96620"/>
    <w:rsid w:val="00C969B3"/>
    <w:rsid w:val="00C96B8A"/>
    <w:rsid w:val="00C96CB9"/>
    <w:rsid w:val="00C979C7"/>
    <w:rsid w:val="00C97B52"/>
    <w:rsid w:val="00C97F8B"/>
    <w:rsid w:val="00CA03BD"/>
    <w:rsid w:val="00CA0535"/>
    <w:rsid w:val="00CA05A8"/>
    <w:rsid w:val="00CA0A09"/>
    <w:rsid w:val="00CA170C"/>
    <w:rsid w:val="00CA17F6"/>
    <w:rsid w:val="00CA1812"/>
    <w:rsid w:val="00CA18F6"/>
    <w:rsid w:val="00CA1E58"/>
    <w:rsid w:val="00CA1EF6"/>
    <w:rsid w:val="00CA21D3"/>
    <w:rsid w:val="00CA2538"/>
    <w:rsid w:val="00CA285B"/>
    <w:rsid w:val="00CA294A"/>
    <w:rsid w:val="00CA2B7A"/>
    <w:rsid w:val="00CA35E4"/>
    <w:rsid w:val="00CA3EEE"/>
    <w:rsid w:val="00CA3F48"/>
    <w:rsid w:val="00CA46FE"/>
    <w:rsid w:val="00CA507C"/>
    <w:rsid w:val="00CA5254"/>
    <w:rsid w:val="00CA53EE"/>
    <w:rsid w:val="00CA58B4"/>
    <w:rsid w:val="00CA59DB"/>
    <w:rsid w:val="00CA5AB7"/>
    <w:rsid w:val="00CA5C83"/>
    <w:rsid w:val="00CA5C86"/>
    <w:rsid w:val="00CA5EB1"/>
    <w:rsid w:val="00CA5F36"/>
    <w:rsid w:val="00CA6A99"/>
    <w:rsid w:val="00CA6C25"/>
    <w:rsid w:val="00CA6CE9"/>
    <w:rsid w:val="00CA7807"/>
    <w:rsid w:val="00CA7976"/>
    <w:rsid w:val="00CA79BE"/>
    <w:rsid w:val="00CA79EE"/>
    <w:rsid w:val="00CA7B15"/>
    <w:rsid w:val="00CA7DD9"/>
    <w:rsid w:val="00CA7EE2"/>
    <w:rsid w:val="00CB0174"/>
    <w:rsid w:val="00CB02EF"/>
    <w:rsid w:val="00CB04C9"/>
    <w:rsid w:val="00CB0D1B"/>
    <w:rsid w:val="00CB1F0A"/>
    <w:rsid w:val="00CB21C3"/>
    <w:rsid w:val="00CB22A9"/>
    <w:rsid w:val="00CB23A8"/>
    <w:rsid w:val="00CB23BE"/>
    <w:rsid w:val="00CB2660"/>
    <w:rsid w:val="00CB274E"/>
    <w:rsid w:val="00CB27C6"/>
    <w:rsid w:val="00CB2983"/>
    <w:rsid w:val="00CB29C8"/>
    <w:rsid w:val="00CB2CBD"/>
    <w:rsid w:val="00CB35CB"/>
    <w:rsid w:val="00CB38E9"/>
    <w:rsid w:val="00CB3B98"/>
    <w:rsid w:val="00CB3EB0"/>
    <w:rsid w:val="00CB4294"/>
    <w:rsid w:val="00CB448B"/>
    <w:rsid w:val="00CB4635"/>
    <w:rsid w:val="00CB4B72"/>
    <w:rsid w:val="00CB4DD1"/>
    <w:rsid w:val="00CB51FD"/>
    <w:rsid w:val="00CB52D1"/>
    <w:rsid w:val="00CB5362"/>
    <w:rsid w:val="00CB57BB"/>
    <w:rsid w:val="00CB61C3"/>
    <w:rsid w:val="00CB67AE"/>
    <w:rsid w:val="00CB70CB"/>
    <w:rsid w:val="00CB72EF"/>
    <w:rsid w:val="00CB7379"/>
    <w:rsid w:val="00CC0007"/>
    <w:rsid w:val="00CC0626"/>
    <w:rsid w:val="00CC09D1"/>
    <w:rsid w:val="00CC0CD1"/>
    <w:rsid w:val="00CC0D9C"/>
    <w:rsid w:val="00CC0ED5"/>
    <w:rsid w:val="00CC10BC"/>
    <w:rsid w:val="00CC117B"/>
    <w:rsid w:val="00CC1316"/>
    <w:rsid w:val="00CC1A07"/>
    <w:rsid w:val="00CC1AD6"/>
    <w:rsid w:val="00CC227B"/>
    <w:rsid w:val="00CC23DA"/>
    <w:rsid w:val="00CC2A8F"/>
    <w:rsid w:val="00CC2B03"/>
    <w:rsid w:val="00CC2D84"/>
    <w:rsid w:val="00CC2ED4"/>
    <w:rsid w:val="00CC4088"/>
    <w:rsid w:val="00CC4309"/>
    <w:rsid w:val="00CC4370"/>
    <w:rsid w:val="00CC479A"/>
    <w:rsid w:val="00CC493F"/>
    <w:rsid w:val="00CC4973"/>
    <w:rsid w:val="00CC4C61"/>
    <w:rsid w:val="00CC5940"/>
    <w:rsid w:val="00CC5D0B"/>
    <w:rsid w:val="00CC5D3E"/>
    <w:rsid w:val="00CC5DC4"/>
    <w:rsid w:val="00CC5E30"/>
    <w:rsid w:val="00CC60B1"/>
    <w:rsid w:val="00CC6102"/>
    <w:rsid w:val="00CC627C"/>
    <w:rsid w:val="00CC65C1"/>
    <w:rsid w:val="00CC7132"/>
    <w:rsid w:val="00CC71CD"/>
    <w:rsid w:val="00CC77A7"/>
    <w:rsid w:val="00CC788F"/>
    <w:rsid w:val="00CC78C9"/>
    <w:rsid w:val="00CC7E41"/>
    <w:rsid w:val="00CD00B0"/>
    <w:rsid w:val="00CD0410"/>
    <w:rsid w:val="00CD072E"/>
    <w:rsid w:val="00CD1074"/>
    <w:rsid w:val="00CD12DB"/>
    <w:rsid w:val="00CD1344"/>
    <w:rsid w:val="00CD2AFA"/>
    <w:rsid w:val="00CD3000"/>
    <w:rsid w:val="00CD31A3"/>
    <w:rsid w:val="00CD3438"/>
    <w:rsid w:val="00CD3E9A"/>
    <w:rsid w:val="00CD40AD"/>
    <w:rsid w:val="00CD4425"/>
    <w:rsid w:val="00CD46DF"/>
    <w:rsid w:val="00CD4B99"/>
    <w:rsid w:val="00CD4C7F"/>
    <w:rsid w:val="00CD4E62"/>
    <w:rsid w:val="00CD4E96"/>
    <w:rsid w:val="00CD4FCC"/>
    <w:rsid w:val="00CD52DF"/>
    <w:rsid w:val="00CD545B"/>
    <w:rsid w:val="00CD6510"/>
    <w:rsid w:val="00CD6B07"/>
    <w:rsid w:val="00CD7489"/>
    <w:rsid w:val="00CD7516"/>
    <w:rsid w:val="00CD77A8"/>
    <w:rsid w:val="00CD7B63"/>
    <w:rsid w:val="00CD7E53"/>
    <w:rsid w:val="00CE0059"/>
    <w:rsid w:val="00CE0581"/>
    <w:rsid w:val="00CE0AEE"/>
    <w:rsid w:val="00CE11A1"/>
    <w:rsid w:val="00CE16EF"/>
    <w:rsid w:val="00CE1830"/>
    <w:rsid w:val="00CE1A26"/>
    <w:rsid w:val="00CE2505"/>
    <w:rsid w:val="00CE2966"/>
    <w:rsid w:val="00CE2B8D"/>
    <w:rsid w:val="00CE2D97"/>
    <w:rsid w:val="00CE3079"/>
    <w:rsid w:val="00CE35C9"/>
    <w:rsid w:val="00CE366C"/>
    <w:rsid w:val="00CE3E2E"/>
    <w:rsid w:val="00CE3F23"/>
    <w:rsid w:val="00CE3F73"/>
    <w:rsid w:val="00CE4353"/>
    <w:rsid w:val="00CE4FD7"/>
    <w:rsid w:val="00CE5180"/>
    <w:rsid w:val="00CE529C"/>
    <w:rsid w:val="00CE58E9"/>
    <w:rsid w:val="00CE5CFD"/>
    <w:rsid w:val="00CE6F61"/>
    <w:rsid w:val="00CE7099"/>
    <w:rsid w:val="00CE70CB"/>
    <w:rsid w:val="00CE7360"/>
    <w:rsid w:val="00CE7FCE"/>
    <w:rsid w:val="00CF0688"/>
    <w:rsid w:val="00CF0713"/>
    <w:rsid w:val="00CF07CC"/>
    <w:rsid w:val="00CF0ADC"/>
    <w:rsid w:val="00CF0D32"/>
    <w:rsid w:val="00CF18A0"/>
    <w:rsid w:val="00CF1D03"/>
    <w:rsid w:val="00CF2498"/>
    <w:rsid w:val="00CF29C2"/>
    <w:rsid w:val="00CF2AF4"/>
    <w:rsid w:val="00CF3080"/>
    <w:rsid w:val="00CF30C8"/>
    <w:rsid w:val="00CF34FB"/>
    <w:rsid w:val="00CF3526"/>
    <w:rsid w:val="00CF359A"/>
    <w:rsid w:val="00CF3989"/>
    <w:rsid w:val="00CF3DA6"/>
    <w:rsid w:val="00CF4190"/>
    <w:rsid w:val="00CF4753"/>
    <w:rsid w:val="00CF4AF5"/>
    <w:rsid w:val="00CF4EF6"/>
    <w:rsid w:val="00CF51FC"/>
    <w:rsid w:val="00CF54BA"/>
    <w:rsid w:val="00CF54BD"/>
    <w:rsid w:val="00CF55D0"/>
    <w:rsid w:val="00CF56DF"/>
    <w:rsid w:val="00CF5896"/>
    <w:rsid w:val="00CF5B2D"/>
    <w:rsid w:val="00CF5BA2"/>
    <w:rsid w:val="00CF673A"/>
    <w:rsid w:val="00CF68AD"/>
    <w:rsid w:val="00CF7038"/>
    <w:rsid w:val="00CF776F"/>
    <w:rsid w:val="00CF77D1"/>
    <w:rsid w:val="00CF7B81"/>
    <w:rsid w:val="00CF7FC7"/>
    <w:rsid w:val="00D0009D"/>
    <w:rsid w:val="00D006F7"/>
    <w:rsid w:val="00D0075F"/>
    <w:rsid w:val="00D00BCB"/>
    <w:rsid w:val="00D00EB3"/>
    <w:rsid w:val="00D01317"/>
    <w:rsid w:val="00D01732"/>
    <w:rsid w:val="00D01788"/>
    <w:rsid w:val="00D01B80"/>
    <w:rsid w:val="00D01F32"/>
    <w:rsid w:val="00D0220F"/>
    <w:rsid w:val="00D02458"/>
    <w:rsid w:val="00D025C6"/>
    <w:rsid w:val="00D025E4"/>
    <w:rsid w:val="00D025F2"/>
    <w:rsid w:val="00D02B17"/>
    <w:rsid w:val="00D02FF3"/>
    <w:rsid w:val="00D03079"/>
    <w:rsid w:val="00D034BA"/>
    <w:rsid w:val="00D034C9"/>
    <w:rsid w:val="00D03676"/>
    <w:rsid w:val="00D0379C"/>
    <w:rsid w:val="00D03960"/>
    <w:rsid w:val="00D03AD5"/>
    <w:rsid w:val="00D04661"/>
    <w:rsid w:val="00D048FB"/>
    <w:rsid w:val="00D04931"/>
    <w:rsid w:val="00D04A92"/>
    <w:rsid w:val="00D04A9B"/>
    <w:rsid w:val="00D04BDE"/>
    <w:rsid w:val="00D04E55"/>
    <w:rsid w:val="00D05012"/>
    <w:rsid w:val="00D05601"/>
    <w:rsid w:val="00D05FF9"/>
    <w:rsid w:val="00D060D7"/>
    <w:rsid w:val="00D063C0"/>
    <w:rsid w:val="00D069F3"/>
    <w:rsid w:val="00D06A4C"/>
    <w:rsid w:val="00D06ECA"/>
    <w:rsid w:val="00D070BA"/>
    <w:rsid w:val="00D078F5"/>
    <w:rsid w:val="00D1001C"/>
    <w:rsid w:val="00D103BD"/>
    <w:rsid w:val="00D10F18"/>
    <w:rsid w:val="00D113F6"/>
    <w:rsid w:val="00D11D01"/>
    <w:rsid w:val="00D124FC"/>
    <w:rsid w:val="00D127C0"/>
    <w:rsid w:val="00D12DDE"/>
    <w:rsid w:val="00D12E8E"/>
    <w:rsid w:val="00D139BA"/>
    <w:rsid w:val="00D13BC9"/>
    <w:rsid w:val="00D13D68"/>
    <w:rsid w:val="00D13DA3"/>
    <w:rsid w:val="00D14009"/>
    <w:rsid w:val="00D142B8"/>
    <w:rsid w:val="00D1482D"/>
    <w:rsid w:val="00D149F3"/>
    <w:rsid w:val="00D15D05"/>
    <w:rsid w:val="00D15FAD"/>
    <w:rsid w:val="00D162CF"/>
    <w:rsid w:val="00D16332"/>
    <w:rsid w:val="00D16601"/>
    <w:rsid w:val="00D170A6"/>
    <w:rsid w:val="00D17800"/>
    <w:rsid w:val="00D178FD"/>
    <w:rsid w:val="00D17D40"/>
    <w:rsid w:val="00D200E0"/>
    <w:rsid w:val="00D20435"/>
    <w:rsid w:val="00D204BF"/>
    <w:rsid w:val="00D207DA"/>
    <w:rsid w:val="00D20994"/>
    <w:rsid w:val="00D20A8E"/>
    <w:rsid w:val="00D20D32"/>
    <w:rsid w:val="00D20D8C"/>
    <w:rsid w:val="00D20F7D"/>
    <w:rsid w:val="00D20FB4"/>
    <w:rsid w:val="00D210C6"/>
    <w:rsid w:val="00D2148B"/>
    <w:rsid w:val="00D214F4"/>
    <w:rsid w:val="00D21555"/>
    <w:rsid w:val="00D215AD"/>
    <w:rsid w:val="00D21601"/>
    <w:rsid w:val="00D21986"/>
    <w:rsid w:val="00D21B29"/>
    <w:rsid w:val="00D21F07"/>
    <w:rsid w:val="00D22075"/>
    <w:rsid w:val="00D2258E"/>
    <w:rsid w:val="00D22631"/>
    <w:rsid w:val="00D2276E"/>
    <w:rsid w:val="00D22D03"/>
    <w:rsid w:val="00D23305"/>
    <w:rsid w:val="00D23420"/>
    <w:rsid w:val="00D234EA"/>
    <w:rsid w:val="00D236C4"/>
    <w:rsid w:val="00D236D0"/>
    <w:rsid w:val="00D23A8D"/>
    <w:rsid w:val="00D23C68"/>
    <w:rsid w:val="00D241A2"/>
    <w:rsid w:val="00D242CB"/>
    <w:rsid w:val="00D24834"/>
    <w:rsid w:val="00D24D74"/>
    <w:rsid w:val="00D24DBF"/>
    <w:rsid w:val="00D24E0F"/>
    <w:rsid w:val="00D25222"/>
    <w:rsid w:val="00D256CD"/>
    <w:rsid w:val="00D25F32"/>
    <w:rsid w:val="00D263B0"/>
    <w:rsid w:val="00D265DC"/>
    <w:rsid w:val="00D26636"/>
    <w:rsid w:val="00D266D1"/>
    <w:rsid w:val="00D26961"/>
    <w:rsid w:val="00D26A29"/>
    <w:rsid w:val="00D26F71"/>
    <w:rsid w:val="00D27535"/>
    <w:rsid w:val="00D305EE"/>
    <w:rsid w:val="00D306DE"/>
    <w:rsid w:val="00D30EF5"/>
    <w:rsid w:val="00D31164"/>
    <w:rsid w:val="00D319DF"/>
    <w:rsid w:val="00D31E02"/>
    <w:rsid w:val="00D31EB9"/>
    <w:rsid w:val="00D3201B"/>
    <w:rsid w:val="00D325C0"/>
    <w:rsid w:val="00D32776"/>
    <w:rsid w:val="00D327DB"/>
    <w:rsid w:val="00D32B6E"/>
    <w:rsid w:val="00D33C0C"/>
    <w:rsid w:val="00D34099"/>
    <w:rsid w:val="00D342AC"/>
    <w:rsid w:val="00D3483E"/>
    <w:rsid w:val="00D34B11"/>
    <w:rsid w:val="00D34D8F"/>
    <w:rsid w:val="00D34EBC"/>
    <w:rsid w:val="00D34FDC"/>
    <w:rsid w:val="00D35D77"/>
    <w:rsid w:val="00D35F5C"/>
    <w:rsid w:val="00D3653E"/>
    <w:rsid w:val="00D3680E"/>
    <w:rsid w:val="00D3692E"/>
    <w:rsid w:val="00D36EAB"/>
    <w:rsid w:val="00D37112"/>
    <w:rsid w:val="00D37445"/>
    <w:rsid w:val="00D374CA"/>
    <w:rsid w:val="00D37E2C"/>
    <w:rsid w:val="00D37E2E"/>
    <w:rsid w:val="00D37F3A"/>
    <w:rsid w:val="00D40A38"/>
    <w:rsid w:val="00D40B3C"/>
    <w:rsid w:val="00D40B90"/>
    <w:rsid w:val="00D40C24"/>
    <w:rsid w:val="00D413B8"/>
    <w:rsid w:val="00D41E86"/>
    <w:rsid w:val="00D4217A"/>
    <w:rsid w:val="00D42528"/>
    <w:rsid w:val="00D426A2"/>
    <w:rsid w:val="00D42ABF"/>
    <w:rsid w:val="00D42B3B"/>
    <w:rsid w:val="00D42CA9"/>
    <w:rsid w:val="00D42EBE"/>
    <w:rsid w:val="00D42F76"/>
    <w:rsid w:val="00D43240"/>
    <w:rsid w:val="00D43456"/>
    <w:rsid w:val="00D437A2"/>
    <w:rsid w:val="00D43A18"/>
    <w:rsid w:val="00D43AB2"/>
    <w:rsid w:val="00D44617"/>
    <w:rsid w:val="00D44AD9"/>
    <w:rsid w:val="00D44BE5"/>
    <w:rsid w:val="00D454FF"/>
    <w:rsid w:val="00D45868"/>
    <w:rsid w:val="00D458EB"/>
    <w:rsid w:val="00D45977"/>
    <w:rsid w:val="00D45A21"/>
    <w:rsid w:val="00D460BD"/>
    <w:rsid w:val="00D4622C"/>
    <w:rsid w:val="00D468AC"/>
    <w:rsid w:val="00D46ACC"/>
    <w:rsid w:val="00D46F3A"/>
    <w:rsid w:val="00D4711B"/>
    <w:rsid w:val="00D474CB"/>
    <w:rsid w:val="00D47B56"/>
    <w:rsid w:val="00D47CCB"/>
    <w:rsid w:val="00D47F9C"/>
    <w:rsid w:val="00D50AB8"/>
    <w:rsid w:val="00D50B33"/>
    <w:rsid w:val="00D50B5C"/>
    <w:rsid w:val="00D50BB8"/>
    <w:rsid w:val="00D50FC6"/>
    <w:rsid w:val="00D51075"/>
    <w:rsid w:val="00D51289"/>
    <w:rsid w:val="00D5132A"/>
    <w:rsid w:val="00D51C01"/>
    <w:rsid w:val="00D522BC"/>
    <w:rsid w:val="00D522BD"/>
    <w:rsid w:val="00D524DA"/>
    <w:rsid w:val="00D5271C"/>
    <w:rsid w:val="00D52C1E"/>
    <w:rsid w:val="00D52CC2"/>
    <w:rsid w:val="00D53358"/>
    <w:rsid w:val="00D533DA"/>
    <w:rsid w:val="00D534AB"/>
    <w:rsid w:val="00D53B7D"/>
    <w:rsid w:val="00D53BAA"/>
    <w:rsid w:val="00D5430D"/>
    <w:rsid w:val="00D54615"/>
    <w:rsid w:val="00D54C27"/>
    <w:rsid w:val="00D550C3"/>
    <w:rsid w:val="00D55334"/>
    <w:rsid w:val="00D558E0"/>
    <w:rsid w:val="00D559BB"/>
    <w:rsid w:val="00D55A5F"/>
    <w:rsid w:val="00D56174"/>
    <w:rsid w:val="00D569FF"/>
    <w:rsid w:val="00D56E62"/>
    <w:rsid w:val="00D5706B"/>
    <w:rsid w:val="00D57188"/>
    <w:rsid w:val="00D574FC"/>
    <w:rsid w:val="00D57D02"/>
    <w:rsid w:val="00D60488"/>
    <w:rsid w:val="00D6079E"/>
    <w:rsid w:val="00D60F16"/>
    <w:rsid w:val="00D61083"/>
    <w:rsid w:val="00D610C7"/>
    <w:rsid w:val="00D6160F"/>
    <w:rsid w:val="00D616D4"/>
    <w:rsid w:val="00D61B41"/>
    <w:rsid w:val="00D61D22"/>
    <w:rsid w:val="00D61D2E"/>
    <w:rsid w:val="00D62A99"/>
    <w:rsid w:val="00D63286"/>
    <w:rsid w:val="00D63B09"/>
    <w:rsid w:val="00D63E2D"/>
    <w:rsid w:val="00D64097"/>
    <w:rsid w:val="00D6471B"/>
    <w:rsid w:val="00D6472B"/>
    <w:rsid w:val="00D64AC4"/>
    <w:rsid w:val="00D64BE2"/>
    <w:rsid w:val="00D65203"/>
    <w:rsid w:val="00D66044"/>
    <w:rsid w:val="00D661B5"/>
    <w:rsid w:val="00D66E70"/>
    <w:rsid w:val="00D671D4"/>
    <w:rsid w:val="00D676AC"/>
    <w:rsid w:val="00D676E5"/>
    <w:rsid w:val="00D67D56"/>
    <w:rsid w:val="00D70136"/>
    <w:rsid w:val="00D708FC"/>
    <w:rsid w:val="00D71A22"/>
    <w:rsid w:val="00D71B98"/>
    <w:rsid w:val="00D71D67"/>
    <w:rsid w:val="00D723A0"/>
    <w:rsid w:val="00D72AAB"/>
    <w:rsid w:val="00D72D4C"/>
    <w:rsid w:val="00D72F4B"/>
    <w:rsid w:val="00D73811"/>
    <w:rsid w:val="00D742AE"/>
    <w:rsid w:val="00D742B9"/>
    <w:rsid w:val="00D74C2A"/>
    <w:rsid w:val="00D74E52"/>
    <w:rsid w:val="00D74F46"/>
    <w:rsid w:val="00D751AB"/>
    <w:rsid w:val="00D75A35"/>
    <w:rsid w:val="00D75E4B"/>
    <w:rsid w:val="00D76241"/>
    <w:rsid w:val="00D76264"/>
    <w:rsid w:val="00D7636A"/>
    <w:rsid w:val="00D76B0A"/>
    <w:rsid w:val="00D76C99"/>
    <w:rsid w:val="00D7751D"/>
    <w:rsid w:val="00D77856"/>
    <w:rsid w:val="00D77A3C"/>
    <w:rsid w:val="00D801E7"/>
    <w:rsid w:val="00D805C8"/>
    <w:rsid w:val="00D81171"/>
    <w:rsid w:val="00D81929"/>
    <w:rsid w:val="00D81F5C"/>
    <w:rsid w:val="00D8217E"/>
    <w:rsid w:val="00D8231B"/>
    <w:rsid w:val="00D82566"/>
    <w:rsid w:val="00D82E81"/>
    <w:rsid w:val="00D83207"/>
    <w:rsid w:val="00D836CF"/>
    <w:rsid w:val="00D83851"/>
    <w:rsid w:val="00D839D8"/>
    <w:rsid w:val="00D83DFE"/>
    <w:rsid w:val="00D8467E"/>
    <w:rsid w:val="00D84A01"/>
    <w:rsid w:val="00D84D9E"/>
    <w:rsid w:val="00D85454"/>
    <w:rsid w:val="00D85817"/>
    <w:rsid w:val="00D8582F"/>
    <w:rsid w:val="00D85916"/>
    <w:rsid w:val="00D85C05"/>
    <w:rsid w:val="00D85CD9"/>
    <w:rsid w:val="00D85F2E"/>
    <w:rsid w:val="00D85FC3"/>
    <w:rsid w:val="00D86148"/>
    <w:rsid w:val="00D86607"/>
    <w:rsid w:val="00D86662"/>
    <w:rsid w:val="00D8677E"/>
    <w:rsid w:val="00D86C43"/>
    <w:rsid w:val="00D87175"/>
    <w:rsid w:val="00D90045"/>
    <w:rsid w:val="00D90112"/>
    <w:rsid w:val="00D90145"/>
    <w:rsid w:val="00D902B6"/>
    <w:rsid w:val="00D904D5"/>
    <w:rsid w:val="00D9088E"/>
    <w:rsid w:val="00D90CFD"/>
    <w:rsid w:val="00D91189"/>
    <w:rsid w:val="00D91334"/>
    <w:rsid w:val="00D917B2"/>
    <w:rsid w:val="00D919FA"/>
    <w:rsid w:val="00D92142"/>
    <w:rsid w:val="00D921C6"/>
    <w:rsid w:val="00D92A89"/>
    <w:rsid w:val="00D92A8B"/>
    <w:rsid w:val="00D92A9A"/>
    <w:rsid w:val="00D93070"/>
    <w:rsid w:val="00D9360E"/>
    <w:rsid w:val="00D93DC3"/>
    <w:rsid w:val="00D93F15"/>
    <w:rsid w:val="00D9487A"/>
    <w:rsid w:val="00D9493C"/>
    <w:rsid w:val="00D94A5A"/>
    <w:rsid w:val="00D94DA3"/>
    <w:rsid w:val="00D95095"/>
    <w:rsid w:val="00D9510F"/>
    <w:rsid w:val="00D951D8"/>
    <w:rsid w:val="00D95478"/>
    <w:rsid w:val="00D9597F"/>
    <w:rsid w:val="00D95C52"/>
    <w:rsid w:val="00D96088"/>
    <w:rsid w:val="00D965AC"/>
    <w:rsid w:val="00D968F4"/>
    <w:rsid w:val="00D96A7D"/>
    <w:rsid w:val="00D96C76"/>
    <w:rsid w:val="00D96CAC"/>
    <w:rsid w:val="00D9788D"/>
    <w:rsid w:val="00D97899"/>
    <w:rsid w:val="00DA001D"/>
    <w:rsid w:val="00DA031C"/>
    <w:rsid w:val="00DA044E"/>
    <w:rsid w:val="00DA05BE"/>
    <w:rsid w:val="00DA0BBE"/>
    <w:rsid w:val="00DA0D3B"/>
    <w:rsid w:val="00DA1E0E"/>
    <w:rsid w:val="00DA2141"/>
    <w:rsid w:val="00DA21F8"/>
    <w:rsid w:val="00DA268C"/>
    <w:rsid w:val="00DA291D"/>
    <w:rsid w:val="00DA3458"/>
    <w:rsid w:val="00DA34D3"/>
    <w:rsid w:val="00DA37DB"/>
    <w:rsid w:val="00DA39FD"/>
    <w:rsid w:val="00DA3E99"/>
    <w:rsid w:val="00DA3F4F"/>
    <w:rsid w:val="00DA480C"/>
    <w:rsid w:val="00DA4835"/>
    <w:rsid w:val="00DA49CE"/>
    <w:rsid w:val="00DA4E87"/>
    <w:rsid w:val="00DA4F6D"/>
    <w:rsid w:val="00DA5195"/>
    <w:rsid w:val="00DA54AA"/>
    <w:rsid w:val="00DA5994"/>
    <w:rsid w:val="00DA59BF"/>
    <w:rsid w:val="00DA5B17"/>
    <w:rsid w:val="00DA5B32"/>
    <w:rsid w:val="00DA5DB1"/>
    <w:rsid w:val="00DA5EC6"/>
    <w:rsid w:val="00DA6020"/>
    <w:rsid w:val="00DA637F"/>
    <w:rsid w:val="00DA678B"/>
    <w:rsid w:val="00DA6938"/>
    <w:rsid w:val="00DA6B70"/>
    <w:rsid w:val="00DA6DA7"/>
    <w:rsid w:val="00DA7309"/>
    <w:rsid w:val="00DA76F4"/>
    <w:rsid w:val="00DA7868"/>
    <w:rsid w:val="00DA7981"/>
    <w:rsid w:val="00DB00C8"/>
    <w:rsid w:val="00DB1038"/>
    <w:rsid w:val="00DB130F"/>
    <w:rsid w:val="00DB1721"/>
    <w:rsid w:val="00DB1A0B"/>
    <w:rsid w:val="00DB1D00"/>
    <w:rsid w:val="00DB2233"/>
    <w:rsid w:val="00DB23E7"/>
    <w:rsid w:val="00DB28EE"/>
    <w:rsid w:val="00DB2D40"/>
    <w:rsid w:val="00DB2DF4"/>
    <w:rsid w:val="00DB2E64"/>
    <w:rsid w:val="00DB3292"/>
    <w:rsid w:val="00DB3D10"/>
    <w:rsid w:val="00DB40BF"/>
    <w:rsid w:val="00DB4CFE"/>
    <w:rsid w:val="00DB4EDD"/>
    <w:rsid w:val="00DB527A"/>
    <w:rsid w:val="00DB5AF1"/>
    <w:rsid w:val="00DB5C24"/>
    <w:rsid w:val="00DB5DB7"/>
    <w:rsid w:val="00DB605D"/>
    <w:rsid w:val="00DB616F"/>
    <w:rsid w:val="00DB66F5"/>
    <w:rsid w:val="00DB6968"/>
    <w:rsid w:val="00DB6DCB"/>
    <w:rsid w:val="00DB704B"/>
    <w:rsid w:val="00DB7B99"/>
    <w:rsid w:val="00DC069D"/>
    <w:rsid w:val="00DC0AD0"/>
    <w:rsid w:val="00DC0EC4"/>
    <w:rsid w:val="00DC0EE8"/>
    <w:rsid w:val="00DC130F"/>
    <w:rsid w:val="00DC1839"/>
    <w:rsid w:val="00DC21A0"/>
    <w:rsid w:val="00DC22E3"/>
    <w:rsid w:val="00DC2771"/>
    <w:rsid w:val="00DC2A42"/>
    <w:rsid w:val="00DC2C80"/>
    <w:rsid w:val="00DC2CAA"/>
    <w:rsid w:val="00DC2D16"/>
    <w:rsid w:val="00DC2D8D"/>
    <w:rsid w:val="00DC2E30"/>
    <w:rsid w:val="00DC3232"/>
    <w:rsid w:val="00DC350A"/>
    <w:rsid w:val="00DC3BC8"/>
    <w:rsid w:val="00DC3C12"/>
    <w:rsid w:val="00DC430B"/>
    <w:rsid w:val="00DC45D9"/>
    <w:rsid w:val="00DC4663"/>
    <w:rsid w:val="00DC4719"/>
    <w:rsid w:val="00DC4956"/>
    <w:rsid w:val="00DC4999"/>
    <w:rsid w:val="00DC4A72"/>
    <w:rsid w:val="00DC4DE5"/>
    <w:rsid w:val="00DC522A"/>
    <w:rsid w:val="00DC534B"/>
    <w:rsid w:val="00DC538C"/>
    <w:rsid w:val="00DC5C03"/>
    <w:rsid w:val="00DC5E34"/>
    <w:rsid w:val="00DC5EEA"/>
    <w:rsid w:val="00DC6163"/>
    <w:rsid w:val="00DC6198"/>
    <w:rsid w:val="00DC637D"/>
    <w:rsid w:val="00DC64A9"/>
    <w:rsid w:val="00DC6AC5"/>
    <w:rsid w:val="00DC6F74"/>
    <w:rsid w:val="00DC72FA"/>
    <w:rsid w:val="00DC7416"/>
    <w:rsid w:val="00DD0014"/>
    <w:rsid w:val="00DD03D2"/>
    <w:rsid w:val="00DD0558"/>
    <w:rsid w:val="00DD055A"/>
    <w:rsid w:val="00DD0831"/>
    <w:rsid w:val="00DD088C"/>
    <w:rsid w:val="00DD1021"/>
    <w:rsid w:val="00DD121E"/>
    <w:rsid w:val="00DD142E"/>
    <w:rsid w:val="00DD14F5"/>
    <w:rsid w:val="00DD159B"/>
    <w:rsid w:val="00DD172D"/>
    <w:rsid w:val="00DD1E85"/>
    <w:rsid w:val="00DD29D2"/>
    <w:rsid w:val="00DD2F07"/>
    <w:rsid w:val="00DD31CF"/>
    <w:rsid w:val="00DD3390"/>
    <w:rsid w:val="00DD341A"/>
    <w:rsid w:val="00DD34D8"/>
    <w:rsid w:val="00DD3C19"/>
    <w:rsid w:val="00DD3CD4"/>
    <w:rsid w:val="00DD46F3"/>
    <w:rsid w:val="00DD5084"/>
    <w:rsid w:val="00DD5286"/>
    <w:rsid w:val="00DD568F"/>
    <w:rsid w:val="00DD5EE1"/>
    <w:rsid w:val="00DD635C"/>
    <w:rsid w:val="00DD65CF"/>
    <w:rsid w:val="00DD6687"/>
    <w:rsid w:val="00DD693A"/>
    <w:rsid w:val="00DD69B2"/>
    <w:rsid w:val="00DD7219"/>
    <w:rsid w:val="00DD7480"/>
    <w:rsid w:val="00DD76DB"/>
    <w:rsid w:val="00DD78DA"/>
    <w:rsid w:val="00DD799A"/>
    <w:rsid w:val="00DD7E34"/>
    <w:rsid w:val="00DD7EB6"/>
    <w:rsid w:val="00DD7F86"/>
    <w:rsid w:val="00DE0133"/>
    <w:rsid w:val="00DE052D"/>
    <w:rsid w:val="00DE06D5"/>
    <w:rsid w:val="00DE0DC8"/>
    <w:rsid w:val="00DE0F54"/>
    <w:rsid w:val="00DE1517"/>
    <w:rsid w:val="00DE1D70"/>
    <w:rsid w:val="00DE1EBC"/>
    <w:rsid w:val="00DE20A1"/>
    <w:rsid w:val="00DE2932"/>
    <w:rsid w:val="00DE29B2"/>
    <w:rsid w:val="00DE305C"/>
    <w:rsid w:val="00DE3148"/>
    <w:rsid w:val="00DE329B"/>
    <w:rsid w:val="00DE339A"/>
    <w:rsid w:val="00DE367E"/>
    <w:rsid w:val="00DE386B"/>
    <w:rsid w:val="00DE3A33"/>
    <w:rsid w:val="00DE40A9"/>
    <w:rsid w:val="00DE43A0"/>
    <w:rsid w:val="00DE46B8"/>
    <w:rsid w:val="00DE48DE"/>
    <w:rsid w:val="00DE4D0B"/>
    <w:rsid w:val="00DE4D60"/>
    <w:rsid w:val="00DE4DF6"/>
    <w:rsid w:val="00DE50A9"/>
    <w:rsid w:val="00DE5445"/>
    <w:rsid w:val="00DE5A7B"/>
    <w:rsid w:val="00DE65C0"/>
    <w:rsid w:val="00DE671B"/>
    <w:rsid w:val="00DE6C21"/>
    <w:rsid w:val="00DE70A3"/>
    <w:rsid w:val="00DE71BB"/>
    <w:rsid w:val="00DE7378"/>
    <w:rsid w:val="00DE7455"/>
    <w:rsid w:val="00DE7646"/>
    <w:rsid w:val="00DE778F"/>
    <w:rsid w:val="00DE77BB"/>
    <w:rsid w:val="00DE7DDB"/>
    <w:rsid w:val="00DF09EA"/>
    <w:rsid w:val="00DF0A47"/>
    <w:rsid w:val="00DF0D78"/>
    <w:rsid w:val="00DF1098"/>
    <w:rsid w:val="00DF1872"/>
    <w:rsid w:val="00DF26EB"/>
    <w:rsid w:val="00DF29FB"/>
    <w:rsid w:val="00DF2D6D"/>
    <w:rsid w:val="00DF30B2"/>
    <w:rsid w:val="00DF3384"/>
    <w:rsid w:val="00DF36FA"/>
    <w:rsid w:val="00DF3AFD"/>
    <w:rsid w:val="00DF3EC3"/>
    <w:rsid w:val="00DF3EF1"/>
    <w:rsid w:val="00DF40AD"/>
    <w:rsid w:val="00DF40E0"/>
    <w:rsid w:val="00DF412A"/>
    <w:rsid w:val="00DF44AB"/>
    <w:rsid w:val="00DF4DA7"/>
    <w:rsid w:val="00DF5208"/>
    <w:rsid w:val="00DF5893"/>
    <w:rsid w:val="00DF58BC"/>
    <w:rsid w:val="00DF622C"/>
    <w:rsid w:val="00DF64FF"/>
    <w:rsid w:val="00DF6728"/>
    <w:rsid w:val="00DF6839"/>
    <w:rsid w:val="00DF6F4B"/>
    <w:rsid w:val="00DF71BD"/>
    <w:rsid w:val="00DF72C7"/>
    <w:rsid w:val="00DF7ECE"/>
    <w:rsid w:val="00E00761"/>
    <w:rsid w:val="00E009BB"/>
    <w:rsid w:val="00E009EA"/>
    <w:rsid w:val="00E00D0C"/>
    <w:rsid w:val="00E00EA5"/>
    <w:rsid w:val="00E01157"/>
    <w:rsid w:val="00E013B8"/>
    <w:rsid w:val="00E02122"/>
    <w:rsid w:val="00E02295"/>
    <w:rsid w:val="00E0274C"/>
    <w:rsid w:val="00E027BE"/>
    <w:rsid w:val="00E02976"/>
    <w:rsid w:val="00E0308F"/>
    <w:rsid w:val="00E03ACA"/>
    <w:rsid w:val="00E03D6F"/>
    <w:rsid w:val="00E048EA"/>
    <w:rsid w:val="00E04B6B"/>
    <w:rsid w:val="00E050C5"/>
    <w:rsid w:val="00E05559"/>
    <w:rsid w:val="00E062BF"/>
    <w:rsid w:val="00E0640D"/>
    <w:rsid w:val="00E068DE"/>
    <w:rsid w:val="00E06A6B"/>
    <w:rsid w:val="00E06EED"/>
    <w:rsid w:val="00E07167"/>
    <w:rsid w:val="00E07400"/>
    <w:rsid w:val="00E075F7"/>
    <w:rsid w:val="00E07A6E"/>
    <w:rsid w:val="00E07F73"/>
    <w:rsid w:val="00E100B1"/>
    <w:rsid w:val="00E1020A"/>
    <w:rsid w:val="00E105FD"/>
    <w:rsid w:val="00E108FA"/>
    <w:rsid w:val="00E109A2"/>
    <w:rsid w:val="00E10C2C"/>
    <w:rsid w:val="00E11617"/>
    <w:rsid w:val="00E1176E"/>
    <w:rsid w:val="00E119CA"/>
    <w:rsid w:val="00E11AF7"/>
    <w:rsid w:val="00E11B33"/>
    <w:rsid w:val="00E12476"/>
    <w:rsid w:val="00E12649"/>
    <w:rsid w:val="00E128B8"/>
    <w:rsid w:val="00E12979"/>
    <w:rsid w:val="00E12B13"/>
    <w:rsid w:val="00E12E2A"/>
    <w:rsid w:val="00E1331A"/>
    <w:rsid w:val="00E13901"/>
    <w:rsid w:val="00E14335"/>
    <w:rsid w:val="00E1455F"/>
    <w:rsid w:val="00E145B9"/>
    <w:rsid w:val="00E14822"/>
    <w:rsid w:val="00E14904"/>
    <w:rsid w:val="00E14C46"/>
    <w:rsid w:val="00E151C8"/>
    <w:rsid w:val="00E154A5"/>
    <w:rsid w:val="00E156CA"/>
    <w:rsid w:val="00E15A2E"/>
    <w:rsid w:val="00E15D0F"/>
    <w:rsid w:val="00E15E5D"/>
    <w:rsid w:val="00E16996"/>
    <w:rsid w:val="00E16AF1"/>
    <w:rsid w:val="00E171EA"/>
    <w:rsid w:val="00E174CC"/>
    <w:rsid w:val="00E17AB0"/>
    <w:rsid w:val="00E17D96"/>
    <w:rsid w:val="00E20250"/>
    <w:rsid w:val="00E2037C"/>
    <w:rsid w:val="00E205BA"/>
    <w:rsid w:val="00E206F7"/>
    <w:rsid w:val="00E20916"/>
    <w:rsid w:val="00E20E50"/>
    <w:rsid w:val="00E20F9D"/>
    <w:rsid w:val="00E214A8"/>
    <w:rsid w:val="00E218FF"/>
    <w:rsid w:val="00E219D6"/>
    <w:rsid w:val="00E21A6C"/>
    <w:rsid w:val="00E21BBB"/>
    <w:rsid w:val="00E21C22"/>
    <w:rsid w:val="00E21C7B"/>
    <w:rsid w:val="00E229BC"/>
    <w:rsid w:val="00E22BDA"/>
    <w:rsid w:val="00E232F0"/>
    <w:rsid w:val="00E23346"/>
    <w:rsid w:val="00E23610"/>
    <w:rsid w:val="00E239E4"/>
    <w:rsid w:val="00E23B6D"/>
    <w:rsid w:val="00E23CD9"/>
    <w:rsid w:val="00E23F53"/>
    <w:rsid w:val="00E240D0"/>
    <w:rsid w:val="00E24180"/>
    <w:rsid w:val="00E241FF"/>
    <w:rsid w:val="00E24280"/>
    <w:rsid w:val="00E24B5F"/>
    <w:rsid w:val="00E25010"/>
    <w:rsid w:val="00E252F7"/>
    <w:rsid w:val="00E25581"/>
    <w:rsid w:val="00E25DC7"/>
    <w:rsid w:val="00E264AE"/>
    <w:rsid w:val="00E266E1"/>
    <w:rsid w:val="00E26844"/>
    <w:rsid w:val="00E26D55"/>
    <w:rsid w:val="00E27448"/>
    <w:rsid w:val="00E278AB"/>
    <w:rsid w:val="00E27B81"/>
    <w:rsid w:val="00E3044D"/>
    <w:rsid w:val="00E3080D"/>
    <w:rsid w:val="00E309EC"/>
    <w:rsid w:val="00E30B60"/>
    <w:rsid w:val="00E30B72"/>
    <w:rsid w:val="00E30C46"/>
    <w:rsid w:val="00E312FC"/>
    <w:rsid w:val="00E31B05"/>
    <w:rsid w:val="00E31BE1"/>
    <w:rsid w:val="00E31DC1"/>
    <w:rsid w:val="00E31DFF"/>
    <w:rsid w:val="00E31F61"/>
    <w:rsid w:val="00E32199"/>
    <w:rsid w:val="00E323D4"/>
    <w:rsid w:val="00E32F55"/>
    <w:rsid w:val="00E3312F"/>
    <w:rsid w:val="00E33BC2"/>
    <w:rsid w:val="00E33D3A"/>
    <w:rsid w:val="00E33FDB"/>
    <w:rsid w:val="00E342DF"/>
    <w:rsid w:val="00E344FC"/>
    <w:rsid w:val="00E35D0F"/>
    <w:rsid w:val="00E361D6"/>
    <w:rsid w:val="00E36354"/>
    <w:rsid w:val="00E365C5"/>
    <w:rsid w:val="00E366AF"/>
    <w:rsid w:val="00E36710"/>
    <w:rsid w:val="00E3694A"/>
    <w:rsid w:val="00E3724E"/>
    <w:rsid w:val="00E373D6"/>
    <w:rsid w:val="00E3775C"/>
    <w:rsid w:val="00E379F4"/>
    <w:rsid w:val="00E37A20"/>
    <w:rsid w:val="00E4104C"/>
    <w:rsid w:val="00E4127E"/>
    <w:rsid w:val="00E41567"/>
    <w:rsid w:val="00E419FE"/>
    <w:rsid w:val="00E41DD4"/>
    <w:rsid w:val="00E42193"/>
    <w:rsid w:val="00E42429"/>
    <w:rsid w:val="00E427EA"/>
    <w:rsid w:val="00E429BF"/>
    <w:rsid w:val="00E42BCB"/>
    <w:rsid w:val="00E432E8"/>
    <w:rsid w:val="00E4356C"/>
    <w:rsid w:val="00E43AE9"/>
    <w:rsid w:val="00E43EE2"/>
    <w:rsid w:val="00E43F2E"/>
    <w:rsid w:val="00E44183"/>
    <w:rsid w:val="00E44599"/>
    <w:rsid w:val="00E4463F"/>
    <w:rsid w:val="00E446F2"/>
    <w:rsid w:val="00E44B19"/>
    <w:rsid w:val="00E44F37"/>
    <w:rsid w:val="00E452EF"/>
    <w:rsid w:val="00E45572"/>
    <w:rsid w:val="00E45CA7"/>
    <w:rsid w:val="00E45E27"/>
    <w:rsid w:val="00E46194"/>
    <w:rsid w:val="00E461A7"/>
    <w:rsid w:val="00E46311"/>
    <w:rsid w:val="00E46388"/>
    <w:rsid w:val="00E46B8A"/>
    <w:rsid w:val="00E46F0A"/>
    <w:rsid w:val="00E47649"/>
    <w:rsid w:val="00E5114B"/>
    <w:rsid w:val="00E5121D"/>
    <w:rsid w:val="00E51497"/>
    <w:rsid w:val="00E5264D"/>
    <w:rsid w:val="00E528AC"/>
    <w:rsid w:val="00E53405"/>
    <w:rsid w:val="00E5395C"/>
    <w:rsid w:val="00E53A7C"/>
    <w:rsid w:val="00E53B66"/>
    <w:rsid w:val="00E544F0"/>
    <w:rsid w:val="00E547B9"/>
    <w:rsid w:val="00E548A9"/>
    <w:rsid w:val="00E54B72"/>
    <w:rsid w:val="00E54F31"/>
    <w:rsid w:val="00E55647"/>
    <w:rsid w:val="00E558EF"/>
    <w:rsid w:val="00E560D2"/>
    <w:rsid w:val="00E560E3"/>
    <w:rsid w:val="00E562F9"/>
    <w:rsid w:val="00E5662A"/>
    <w:rsid w:val="00E568BB"/>
    <w:rsid w:val="00E5694B"/>
    <w:rsid w:val="00E56AFB"/>
    <w:rsid w:val="00E56CA6"/>
    <w:rsid w:val="00E56CBF"/>
    <w:rsid w:val="00E56ECA"/>
    <w:rsid w:val="00E570C8"/>
    <w:rsid w:val="00E57682"/>
    <w:rsid w:val="00E57683"/>
    <w:rsid w:val="00E579B1"/>
    <w:rsid w:val="00E57D36"/>
    <w:rsid w:val="00E57F8C"/>
    <w:rsid w:val="00E606D2"/>
    <w:rsid w:val="00E607AA"/>
    <w:rsid w:val="00E60991"/>
    <w:rsid w:val="00E60F98"/>
    <w:rsid w:val="00E619C8"/>
    <w:rsid w:val="00E6201F"/>
    <w:rsid w:val="00E620C3"/>
    <w:rsid w:val="00E622BC"/>
    <w:rsid w:val="00E62549"/>
    <w:rsid w:val="00E628DD"/>
    <w:rsid w:val="00E62AAA"/>
    <w:rsid w:val="00E62FA6"/>
    <w:rsid w:val="00E639C0"/>
    <w:rsid w:val="00E63D42"/>
    <w:rsid w:val="00E644CD"/>
    <w:rsid w:val="00E64571"/>
    <w:rsid w:val="00E645CD"/>
    <w:rsid w:val="00E64B40"/>
    <w:rsid w:val="00E64E82"/>
    <w:rsid w:val="00E65278"/>
    <w:rsid w:val="00E655AA"/>
    <w:rsid w:val="00E6579A"/>
    <w:rsid w:val="00E66095"/>
    <w:rsid w:val="00E660A7"/>
    <w:rsid w:val="00E66628"/>
    <w:rsid w:val="00E668F2"/>
    <w:rsid w:val="00E66D1B"/>
    <w:rsid w:val="00E67044"/>
    <w:rsid w:val="00E67104"/>
    <w:rsid w:val="00E67598"/>
    <w:rsid w:val="00E67686"/>
    <w:rsid w:val="00E6791C"/>
    <w:rsid w:val="00E71045"/>
    <w:rsid w:val="00E71212"/>
    <w:rsid w:val="00E713E9"/>
    <w:rsid w:val="00E7144C"/>
    <w:rsid w:val="00E7167E"/>
    <w:rsid w:val="00E71EB4"/>
    <w:rsid w:val="00E7213A"/>
    <w:rsid w:val="00E7229B"/>
    <w:rsid w:val="00E72DA2"/>
    <w:rsid w:val="00E72EA8"/>
    <w:rsid w:val="00E73116"/>
    <w:rsid w:val="00E73462"/>
    <w:rsid w:val="00E739B3"/>
    <w:rsid w:val="00E73ACE"/>
    <w:rsid w:val="00E740B4"/>
    <w:rsid w:val="00E74146"/>
    <w:rsid w:val="00E7417B"/>
    <w:rsid w:val="00E74526"/>
    <w:rsid w:val="00E74699"/>
    <w:rsid w:val="00E74C20"/>
    <w:rsid w:val="00E75B72"/>
    <w:rsid w:val="00E75D9A"/>
    <w:rsid w:val="00E761D8"/>
    <w:rsid w:val="00E765B7"/>
    <w:rsid w:val="00E76E9A"/>
    <w:rsid w:val="00E7720A"/>
    <w:rsid w:val="00E77379"/>
    <w:rsid w:val="00E814BC"/>
    <w:rsid w:val="00E8197E"/>
    <w:rsid w:val="00E819D7"/>
    <w:rsid w:val="00E820D7"/>
    <w:rsid w:val="00E821C6"/>
    <w:rsid w:val="00E82273"/>
    <w:rsid w:val="00E831F8"/>
    <w:rsid w:val="00E83467"/>
    <w:rsid w:val="00E83A2D"/>
    <w:rsid w:val="00E83E16"/>
    <w:rsid w:val="00E83FFB"/>
    <w:rsid w:val="00E845FD"/>
    <w:rsid w:val="00E84761"/>
    <w:rsid w:val="00E8488B"/>
    <w:rsid w:val="00E84A0C"/>
    <w:rsid w:val="00E84CF7"/>
    <w:rsid w:val="00E84F77"/>
    <w:rsid w:val="00E85254"/>
    <w:rsid w:val="00E852F0"/>
    <w:rsid w:val="00E85494"/>
    <w:rsid w:val="00E863C1"/>
    <w:rsid w:val="00E86824"/>
    <w:rsid w:val="00E86A9F"/>
    <w:rsid w:val="00E86CBF"/>
    <w:rsid w:val="00E877B4"/>
    <w:rsid w:val="00E90148"/>
    <w:rsid w:val="00E90566"/>
    <w:rsid w:val="00E90E24"/>
    <w:rsid w:val="00E90E2B"/>
    <w:rsid w:val="00E90E60"/>
    <w:rsid w:val="00E91DE9"/>
    <w:rsid w:val="00E92171"/>
    <w:rsid w:val="00E924DD"/>
    <w:rsid w:val="00E92761"/>
    <w:rsid w:val="00E92937"/>
    <w:rsid w:val="00E929FC"/>
    <w:rsid w:val="00E92A6A"/>
    <w:rsid w:val="00E9351E"/>
    <w:rsid w:val="00E936D7"/>
    <w:rsid w:val="00E939EB"/>
    <w:rsid w:val="00E93E73"/>
    <w:rsid w:val="00E943BD"/>
    <w:rsid w:val="00E944D4"/>
    <w:rsid w:val="00E947E9"/>
    <w:rsid w:val="00E94829"/>
    <w:rsid w:val="00E94839"/>
    <w:rsid w:val="00E94F91"/>
    <w:rsid w:val="00E95160"/>
    <w:rsid w:val="00E95195"/>
    <w:rsid w:val="00E9643C"/>
    <w:rsid w:val="00E96AE9"/>
    <w:rsid w:val="00E97224"/>
    <w:rsid w:val="00E9759E"/>
    <w:rsid w:val="00E97612"/>
    <w:rsid w:val="00E97797"/>
    <w:rsid w:val="00E97856"/>
    <w:rsid w:val="00E97C6F"/>
    <w:rsid w:val="00EA00C1"/>
    <w:rsid w:val="00EA028F"/>
    <w:rsid w:val="00EA04AF"/>
    <w:rsid w:val="00EA0BC6"/>
    <w:rsid w:val="00EA0D90"/>
    <w:rsid w:val="00EA11A8"/>
    <w:rsid w:val="00EA1253"/>
    <w:rsid w:val="00EA14E0"/>
    <w:rsid w:val="00EA154D"/>
    <w:rsid w:val="00EA1742"/>
    <w:rsid w:val="00EA219E"/>
    <w:rsid w:val="00EA2249"/>
    <w:rsid w:val="00EA24D3"/>
    <w:rsid w:val="00EA2682"/>
    <w:rsid w:val="00EA2875"/>
    <w:rsid w:val="00EA2973"/>
    <w:rsid w:val="00EA3184"/>
    <w:rsid w:val="00EA3439"/>
    <w:rsid w:val="00EA3613"/>
    <w:rsid w:val="00EA4764"/>
    <w:rsid w:val="00EA4833"/>
    <w:rsid w:val="00EA487D"/>
    <w:rsid w:val="00EA4A32"/>
    <w:rsid w:val="00EA584F"/>
    <w:rsid w:val="00EA6087"/>
    <w:rsid w:val="00EA60C2"/>
    <w:rsid w:val="00EA65D0"/>
    <w:rsid w:val="00EA67C8"/>
    <w:rsid w:val="00EA6B89"/>
    <w:rsid w:val="00EA72C6"/>
    <w:rsid w:val="00EA7597"/>
    <w:rsid w:val="00EA7AB6"/>
    <w:rsid w:val="00EA7CE0"/>
    <w:rsid w:val="00EB01A6"/>
    <w:rsid w:val="00EB0209"/>
    <w:rsid w:val="00EB0502"/>
    <w:rsid w:val="00EB072A"/>
    <w:rsid w:val="00EB0888"/>
    <w:rsid w:val="00EB0F68"/>
    <w:rsid w:val="00EB11BD"/>
    <w:rsid w:val="00EB12B1"/>
    <w:rsid w:val="00EB1B91"/>
    <w:rsid w:val="00EB2784"/>
    <w:rsid w:val="00EB2933"/>
    <w:rsid w:val="00EB2D87"/>
    <w:rsid w:val="00EB2F6B"/>
    <w:rsid w:val="00EB314A"/>
    <w:rsid w:val="00EB3420"/>
    <w:rsid w:val="00EB3856"/>
    <w:rsid w:val="00EB3F32"/>
    <w:rsid w:val="00EB41B9"/>
    <w:rsid w:val="00EB4375"/>
    <w:rsid w:val="00EB49B5"/>
    <w:rsid w:val="00EB4F86"/>
    <w:rsid w:val="00EB5330"/>
    <w:rsid w:val="00EB5842"/>
    <w:rsid w:val="00EB61B1"/>
    <w:rsid w:val="00EB6B0C"/>
    <w:rsid w:val="00EB6C3E"/>
    <w:rsid w:val="00EB76B2"/>
    <w:rsid w:val="00EB7DB2"/>
    <w:rsid w:val="00EB7DCF"/>
    <w:rsid w:val="00EB7EE8"/>
    <w:rsid w:val="00EC00BE"/>
    <w:rsid w:val="00EC03AE"/>
    <w:rsid w:val="00EC092B"/>
    <w:rsid w:val="00EC138E"/>
    <w:rsid w:val="00EC1794"/>
    <w:rsid w:val="00EC22BB"/>
    <w:rsid w:val="00EC268E"/>
    <w:rsid w:val="00EC27C8"/>
    <w:rsid w:val="00EC30EE"/>
    <w:rsid w:val="00EC31A6"/>
    <w:rsid w:val="00EC3278"/>
    <w:rsid w:val="00EC3561"/>
    <w:rsid w:val="00EC36E6"/>
    <w:rsid w:val="00EC3DA2"/>
    <w:rsid w:val="00EC3E57"/>
    <w:rsid w:val="00EC40F7"/>
    <w:rsid w:val="00EC49FA"/>
    <w:rsid w:val="00EC4CCC"/>
    <w:rsid w:val="00EC4D55"/>
    <w:rsid w:val="00EC556D"/>
    <w:rsid w:val="00EC55DC"/>
    <w:rsid w:val="00EC5A51"/>
    <w:rsid w:val="00EC5BA3"/>
    <w:rsid w:val="00EC5FFC"/>
    <w:rsid w:val="00EC6533"/>
    <w:rsid w:val="00EC659D"/>
    <w:rsid w:val="00EC6895"/>
    <w:rsid w:val="00EC6BFF"/>
    <w:rsid w:val="00EC6D90"/>
    <w:rsid w:val="00EC6E8F"/>
    <w:rsid w:val="00EC6EFE"/>
    <w:rsid w:val="00EC70FD"/>
    <w:rsid w:val="00EC7355"/>
    <w:rsid w:val="00EC754C"/>
    <w:rsid w:val="00EC7882"/>
    <w:rsid w:val="00EC7A1C"/>
    <w:rsid w:val="00ED069F"/>
    <w:rsid w:val="00ED0A5D"/>
    <w:rsid w:val="00ED1077"/>
    <w:rsid w:val="00ED1C3C"/>
    <w:rsid w:val="00ED1D84"/>
    <w:rsid w:val="00ED24DB"/>
    <w:rsid w:val="00ED29F2"/>
    <w:rsid w:val="00ED2B52"/>
    <w:rsid w:val="00ED2D31"/>
    <w:rsid w:val="00ED2D76"/>
    <w:rsid w:val="00ED3563"/>
    <w:rsid w:val="00ED39C7"/>
    <w:rsid w:val="00ED3A3D"/>
    <w:rsid w:val="00ED3AEB"/>
    <w:rsid w:val="00ED3AFF"/>
    <w:rsid w:val="00ED3B89"/>
    <w:rsid w:val="00ED3F13"/>
    <w:rsid w:val="00ED40F6"/>
    <w:rsid w:val="00ED4718"/>
    <w:rsid w:val="00ED4995"/>
    <w:rsid w:val="00ED4E38"/>
    <w:rsid w:val="00ED4EBA"/>
    <w:rsid w:val="00ED4F22"/>
    <w:rsid w:val="00ED5199"/>
    <w:rsid w:val="00ED5BBF"/>
    <w:rsid w:val="00ED62A2"/>
    <w:rsid w:val="00ED6905"/>
    <w:rsid w:val="00ED6BF4"/>
    <w:rsid w:val="00ED6DB9"/>
    <w:rsid w:val="00ED6E04"/>
    <w:rsid w:val="00ED73AD"/>
    <w:rsid w:val="00ED7656"/>
    <w:rsid w:val="00ED7E85"/>
    <w:rsid w:val="00EE078B"/>
    <w:rsid w:val="00EE090B"/>
    <w:rsid w:val="00EE099B"/>
    <w:rsid w:val="00EE0A96"/>
    <w:rsid w:val="00EE0EE4"/>
    <w:rsid w:val="00EE1123"/>
    <w:rsid w:val="00EE1291"/>
    <w:rsid w:val="00EE16C9"/>
    <w:rsid w:val="00EE1B05"/>
    <w:rsid w:val="00EE2091"/>
    <w:rsid w:val="00EE20F7"/>
    <w:rsid w:val="00EE21B1"/>
    <w:rsid w:val="00EE22BA"/>
    <w:rsid w:val="00EE269D"/>
    <w:rsid w:val="00EE2D14"/>
    <w:rsid w:val="00EE3460"/>
    <w:rsid w:val="00EE36C7"/>
    <w:rsid w:val="00EE37F8"/>
    <w:rsid w:val="00EE397A"/>
    <w:rsid w:val="00EE3DF5"/>
    <w:rsid w:val="00EE4396"/>
    <w:rsid w:val="00EE4718"/>
    <w:rsid w:val="00EE4E5F"/>
    <w:rsid w:val="00EE4EA8"/>
    <w:rsid w:val="00EE50C6"/>
    <w:rsid w:val="00EE564B"/>
    <w:rsid w:val="00EE569E"/>
    <w:rsid w:val="00EE5B33"/>
    <w:rsid w:val="00EE6089"/>
    <w:rsid w:val="00EE61A6"/>
    <w:rsid w:val="00EE6C16"/>
    <w:rsid w:val="00EE6D1A"/>
    <w:rsid w:val="00EE6FCB"/>
    <w:rsid w:val="00EE7832"/>
    <w:rsid w:val="00EF00C4"/>
    <w:rsid w:val="00EF046F"/>
    <w:rsid w:val="00EF0520"/>
    <w:rsid w:val="00EF0986"/>
    <w:rsid w:val="00EF0BBC"/>
    <w:rsid w:val="00EF10CB"/>
    <w:rsid w:val="00EF14DB"/>
    <w:rsid w:val="00EF1751"/>
    <w:rsid w:val="00EF199B"/>
    <w:rsid w:val="00EF1AB5"/>
    <w:rsid w:val="00EF1BE1"/>
    <w:rsid w:val="00EF1ED4"/>
    <w:rsid w:val="00EF255D"/>
    <w:rsid w:val="00EF2B88"/>
    <w:rsid w:val="00EF2E0E"/>
    <w:rsid w:val="00EF2F6B"/>
    <w:rsid w:val="00EF3127"/>
    <w:rsid w:val="00EF3CBD"/>
    <w:rsid w:val="00EF3FA3"/>
    <w:rsid w:val="00EF4245"/>
    <w:rsid w:val="00EF43EA"/>
    <w:rsid w:val="00EF44D6"/>
    <w:rsid w:val="00EF4630"/>
    <w:rsid w:val="00EF4ADC"/>
    <w:rsid w:val="00EF4DD4"/>
    <w:rsid w:val="00EF5153"/>
    <w:rsid w:val="00EF5D01"/>
    <w:rsid w:val="00EF5F11"/>
    <w:rsid w:val="00EF6329"/>
    <w:rsid w:val="00EF6D94"/>
    <w:rsid w:val="00EF6EF8"/>
    <w:rsid w:val="00EF6F12"/>
    <w:rsid w:val="00EF6F1D"/>
    <w:rsid w:val="00EF7287"/>
    <w:rsid w:val="00EF7A58"/>
    <w:rsid w:val="00EF7B77"/>
    <w:rsid w:val="00EF7E9E"/>
    <w:rsid w:val="00EF7FE4"/>
    <w:rsid w:val="00F002C5"/>
    <w:rsid w:val="00F01885"/>
    <w:rsid w:val="00F01AA3"/>
    <w:rsid w:val="00F01B1B"/>
    <w:rsid w:val="00F02324"/>
    <w:rsid w:val="00F0275F"/>
    <w:rsid w:val="00F02966"/>
    <w:rsid w:val="00F02C74"/>
    <w:rsid w:val="00F02F56"/>
    <w:rsid w:val="00F02FAC"/>
    <w:rsid w:val="00F034E0"/>
    <w:rsid w:val="00F03AA6"/>
    <w:rsid w:val="00F03B2F"/>
    <w:rsid w:val="00F03F19"/>
    <w:rsid w:val="00F04956"/>
    <w:rsid w:val="00F04D89"/>
    <w:rsid w:val="00F054C6"/>
    <w:rsid w:val="00F05DEB"/>
    <w:rsid w:val="00F06371"/>
    <w:rsid w:val="00F067C0"/>
    <w:rsid w:val="00F06A8D"/>
    <w:rsid w:val="00F06E68"/>
    <w:rsid w:val="00F07037"/>
    <w:rsid w:val="00F07A96"/>
    <w:rsid w:val="00F07AC5"/>
    <w:rsid w:val="00F07DC3"/>
    <w:rsid w:val="00F1007C"/>
    <w:rsid w:val="00F10315"/>
    <w:rsid w:val="00F1032B"/>
    <w:rsid w:val="00F1083F"/>
    <w:rsid w:val="00F10844"/>
    <w:rsid w:val="00F10BEE"/>
    <w:rsid w:val="00F10D65"/>
    <w:rsid w:val="00F10E95"/>
    <w:rsid w:val="00F10FDA"/>
    <w:rsid w:val="00F11657"/>
    <w:rsid w:val="00F11B3A"/>
    <w:rsid w:val="00F1210D"/>
    <w:rsid w:val="00F1219E"/>
    <w:rsid w:val="00F121BC"/>
    <w:rsid w:val="00F12312"/>
    <w:rsid w:val="00F12A64"/>
    <w:rsid w:val="00F132FA"/>
    <w:rsid w:val="00F13663"/>
    <w:rsid w:val="00F13ABC"/>
    <w:rsid w:val="00F13E04"/>
    <w:rsid w:val="00F13E10"/>
    <w:rsid w:val="00F143CD"/>
    <w:rsid w:val="00F14675"/>
    <w:rsid w:val="00F14A0B"/>
    <w:rsid w:val="00F14A63"/>
    <w:rsid w:val="00F14D27"/>
    <w:rsid w:val="00F150A6"/>
    <w:rsid w:val="00F150B9"/>
    <w:rsid w:val="00F15611"/>
    <w:rsid w:val="00F15B3C"/>
    <w:rsid w:val="00F15BEE"/>
    <w:rsid w:val="00F15DCE"/>
    <w:rsid w:val="00F16692"/>
    <w:rsid w:val="00F16AB5"/>
    <w:rsid w:val="00F16D29"/>
    <w:rsid w:val="00F171FB"/>
    <w:rsid w:val="00F17329"/>
    <w:rsid w:val="00F17619"/>
    <w:rsid w:val="00F1780C"/>
    <w:rsid w:val="00F178A2"/>
    <w:rsid w:val="00F17974"/>
    <w:rsid w:val="00F2025F"/>
    <w:rsid w:val="00F208C4"/>
    <w:rsid w:val="00F20DF9"/>
    <w:rsid w:val="00F21123"/>
    <w:rsid w:val="00F211C1"/>
    <w:rsid w:val="00F213A0"/>
    <w:rsid w:val="00F21B32"/>
    <w:rsid w:val="00F21E84"/>
    <w:rsid w:val="00F222DB"/>
    <w:rsid w:val="00F2246E"/>
    <w:rsid w:val="00F2253B"/>
    <w:rsid w:val="00F225F9"/>
    <w:rsid w:val="00F22992"/>
    <w:rsid w:val="00F22A4E"/>
    <w:rsid w:val="00F22C29"/>
    <w:rsid w:val="00F23BAB"/>
    <w:rsid w:val="00F23D50"/>
    <w:rsid w:val="00F23DE1"/>
    <w:rsid w:val="00F23DF7"/>
    <w:rsid w:val="00F23E05"/>
    <w:rsid w:val="00F24076"/>
    <w:rsid w:val="00F2419B"/>
    <w:rsid w:val="00F244EE"/>
    <w:rsid w:val="00F24F3D"/>
    <w:rsid w:val="00F24FCF"/>
    <w:rsid w:val="00F251DB"/>
    <w:rsid w:val="00F253A1"/>
    <w:rsid w:val="00F255D3"/>
    <w:rsid w:val="00F256BE"/>
    <w:rsid w:val="00F256C2"/>
    <w:rsid w:val="00F25B8A"/>
    <w:rsid w:val="00F25E71"/>
    <w:rsid w:val="00F263A2"/>
    <w:rsid w:val="00F265FA"/>
    <w:rsid w:val="00F26676"/>
    <w:rsid w:val="00F2667C"/>
    <w:rsid w:val="00F266BD"/>
    <w:rsid w:val="00F2685C"/>
    <w:rsid w:val="00F26D64"/>
    <w:rsid w:val="00F26E83"/>
    <w:rsid w:val="00F272F9"/>
    <w:rsid w:val="00F277B0"/>
    <w:rsid w:val="00F277FA"/>
    <w:rsid w:val="00F27832"/>
    <w:rsid w:val="00F27AB0"/>
    <w:rsid w:val="00F27B5F"/>
    <w:rsid w:val="00F27B92"/>
    <w:rsid w:val="00F30104"/>
    <w:rsid w:val="00F305A9"/>
    <w:rsid w:val="00F308FC"/>
    <w:rsid w:val="00F30CC9"/>
    <w:rsid w:val="00F30E8C"/>
    <w:rsid w:val="00F31155"/>
    <w:rsid w:val="00F3141D"/>
    <w:rsid w:val="00F3153D"/>
    <w:rsid w:val="00F31AA3"/>
    <w:rsid w:val="00F31B39"/>
    <w:rsid w:val="00F31B7C"/>
    <w:rsid w:val="00F3289E"/>
    <w:rsid w:val="00F32CD7"/>
    <w:rsid w:val="00F32DCE"/>
    <w:rsid w:val="00F32FDA"/>
    <w:rsid w:val="00F334BA"/>
    <w:rsid w:val="00F33A4E"/>
    <w:rsid w:val="00F33D4B"/>
    <w:rsid w:val="00F3403C"/>
    <w:rsid w:val="00F344CE"/>
    <w:rsid w:val="00F345F2"/>
    <w:rsid w:val="00F34B18"/>
    <w:rsid w:val="00F34FC0"/>
    <w:rsid w:val="00F35477"/>
    <w:rsid w:val="00F35661"/>
    <w:rsid w:val="00F35E93"/>
    <w:rsid w:val="00F36042"/>
    <w:rsid w:val="00F36155"/>
    <w:rsid w:val="00F36291"/>
    <w:rsid w:val="00F3699A"/>
    <w:rsid w:val="00F36E21"/>
    <w:rsid w:val="00F37253"/>
    <w:rsid w:val="00F37266"/>
    <w:rsid w:val="00F37D2A"/>
    <w:rsid w:val="00F37E51"/>
    <w:rsid w:val="00F407AD"/>
    <w:rsid w:val="00F407F1"/>
    <w:rsid w:val="00F4080F"/>
    <w:rsid w:val="00F40956"/>
    <w:rsid w:val="00F41610"/>
    <w:rsid w:val="00F41EC7"/>
    <w:rsid w:val="00F4244D"/>
    <w:rsid w:val="00F42838"/>
    <w:rsid w:val="00F42C81"/>
    <w:rsid w:val="00F42D97"/>
    <w:rsid w:val="00F43003"/>
    <w:rsid w:val="00F43027"/>
    <w:rsid w:val="00F430AA"/>
    <w:rsid w:val="00F441ED"/>
    <w:rsid w:val="00F447DD"/>
    <w:rsid w:val="00F447E6"/>
    <w:rsid w:val="00F454C2"/>
    <w:rsid w:val="00F4555D"/>
    <w:rsid w:val="00F459A9"/>
    <w:rsid w:val="00F463FD"/>
    <w:rsid w:val="00F46468"/>
    <w:rsid w:val="00F4651F"/>
    <w:rsid w:val="00F46A62"/>
    <w:rsid w:val="00F46D84"/>
    <w:rsid w:val="00F471B0"/>
    <w:rsid w:val="00F50DED"/>
    <w:rsid w:val="00F50EE2"/>
    <w:rsid w:val="00F5111C"/>
    <w:rsid w:val="00F51B17"/>
    <w:rsid w:val="00F51DDD"/>
    <w:rsid w:val="00F51E46"/>
    <w:rsid w:val="00F528A0"/>
    <w:rsid w:val="00F52D57"/>
    <w:rsid w:val="00F5335C"/>
    <w:rsid w:val="00F53367"/>
    <w:rsid w:val="00F535D6"/>
    <w:rsid w:val="00F537F5"/>
    <w:rsid w:val="00F538EF"/>
    <w:rsid w:val="00F539C3"/>
    <w:rsid w:val="00F539CC"/>
    <w:rsid w:val="00F53E32"/>
    <w:rsid w:val="00F53E39"/>
    <w:rsid w:val="00F53F48"/>
    <w:rsid w:val="00F54464"/>
    <w:rsid w:val="00F5450F"/>
    <w:rsid w:val="00F54876"/>
    <w:rsid w:val="00F549BA"/>
    <w:rsid w:val="00F54A0E"/>
    <w:rsid w:val="00F55059"/>
    <w:rsid w:val="00F55382"/>
    <w:rsid w:val="00F553AE"/>
    <w:rsid w:val="00F554FB"/>
    <w:rsid w:val="00F55535"/>
    <w:rsid w:val="00F556B0"/>
    <w:rsid w:val="00F55B7D"/>
    <w:rsid w:val="00F56124"/>
    <w:rsid w:val="00F5623B"/>
    <w:rsid w:val="00F5644A"/>
    <w:rsid w:val="00F564B3"/>
    <w:rsid w:val="00F566E7"/>
    <w:rsid w:val="00F569E1"/>
    <w:rsid w:val="00F5714C"/>
    <w:rsid w:val="00F572CF"/>
    <w:rsid w:val="00F573A8"/>
    <w:rsid w:val="00F5747A"/>
    <w:rsid w:val="00F5752E"/>
    <w:rsid w:val="00F5766E"/>
    <w:rsid w:val="00F57F9F"/>
    <w:rsid w:val="00F60476"/>
    <w:rsid w:val="00F604ED"/>
    <w:rsid w:val="00F6081C"/>
    <w:rsid w:val="00F60C2A"/>
    <w:rsid w:val="00F60D04"/>
    <w:rsid w:val="00F61612"/>
    <w:rsid w:val="00F617C9"/>
    <w:rsid w:val="00F620BC"/>
    <w:rsid w:val="00F62A0F"/>
    <w:rsid w:val="00F62E28"/>
    <w:rsid w:val="00F63866"/>
    <w:rsid w:val="00F63BBA"/>
    <w:rsid w:val="00F63BC2"/>
    <w:rsid w:val="00F63DA4"/>
    <w:rsid w:val="00F645A5"/>
    <w:rsid w:val="00F645EA"/>
    <w:rsid w:val="00F64790"/>
    <w:rsid w:val="00F6485E"/>
    <w:rsid w:val="00F648BE"/>
    <w:rsid w:val="00F64B98"/>
    <w:rsid w:val="00F6501D"/>
    <w:rsid w:val="00F65315"/>
    <w:rsid w:val="00F65810"/>
    <w:rsid w:val="00F65B31"/>
    <w:rsid w:val="00F65B63"/>
    <w:rsid w:val="00F6638D"/>
    <w:rsid w:val="00F663BD"/>
    <w:rsid w:val="00F664EC"/>
    <w:rsid w:val="00F666F6"/>
    <w:rsid w:val="00F66703"/>
    <w:rsid w:val="00F66A8C"/>
    <w:rsid w:val="00F675CA"/>
    <w:rsid w:val="00F67E74"/>
    <w:rsid w:val="00F7001F"/>
    <w:rsid w:val="00F70750"/>
    <w:rsid w:val="00F708D9"/>
    <w:rsid w:val="00F70DAE"/>
    <w:rsid w:val="00F714CA"/>
    <w:rsid w:val="00F717A4"/>
    <w:rsid w:val="00F71AC7"/>
    <w:rsid w:val="00F727D1"/>
    <w:rsid w:val="00F729DF"/>
    <w:rsid w:val="00F72A75"/>
    <w:rsid w:val="00F72ABB"/>
    <w:rsid w:val="00F72AC6"/>
    <w:rsid w:val="00F72C13"/>
    <w:rsid w:val="00F72EF1"/>
    <w:rsid w:val="00F73001"/>
    <w:rsid w:val="00F73C40"/>
    <w:rsid w:val="00F73DA3"/>
    <w:rsid w:val="00F7403C"/>
    <w:rsid w:val="00F740D1"/>
    <w:rsid w:val="00F74433"/>
    <w:rsid w:val="00F748C2"/>
    <w:rsid w:val="00F74BBB"/>
    <w:rsid w:val="00F74BD5"/>
    <w:rsid w:val="00F7530A"/>
    <w:rsid w:val="00F757F0"/>
    <w:rsid w:val="00F75A70"/>
    <w:rsid w:val="00F75FFE"/>
    <w:rsid w:val="00F769D5"/>
    <w:rsid w:val="00F76FD8"/>
    <w:rsid w:val="00F77482"/>
    <w:rsid w:val="00F7751C"/>
    <w:rsid w:val="00F77937"/>
    <w:rsid w:val="00F77993"/>
    <w:rsid w:val="00F80370"/>
    <w:rsid w:val="00F80799"/>
    <w:rsid w:val="00F8097B"/>
    <w:rsid w:val="00F80E28"/>
    <w:rsid w:val="00F80FC0"/>
    <w:rsid w:val="00F811FD"/>
    <w:rsid w:val="00F8170C"/>
    <w:rsid w:val="00F81D3B"/>
    <w:rsid w:val="00F8229C"/>
    <w:rsid w:val="00F822EB"/>
    <w:rsid w:val="00F82828"/>
    <w:rsid w:val="00F82AE2"/>
    <w:rsid w:val="00F83906"/>
    <w:rsid w:val="00F83C6F"/>
    <w:rsid w:val="00F83D61"/>
    <w:rsid w:val="00F84116"/>
    <w:rsid w:val="00F842A7"/>
    <w:rsid w:val="00F84407"/>
    <w:rsid w:val="00F8443B"/>
    <w:rsid w:val="00F8528B"/>
    <w:rsid w:val="00F85346"/>
    <w:rsid w:val="00F8552A"/>
    <w:rsid w:val="00F856D4"/>
    <w:rsid w:val="00F85ADB"/>
    <w:rsid w:val="00F86004"/>
    <w:rsid w:val="00F8610C"/>
    <w:rsid w:val="00F864B5"/>
    <w:rsid w:val="00F8685D"/>
    <w:rsid w:val="00F86CA0"/>
    <w:rsid w:val="00F877E8"/>
    <w:rsid w:val="00F87903"/>
    <w:rsid w:val="00F87ED3"/>
    <w:rsid w:val="00F902F8"/>
    <w:rsid w:val="00F904E8"/>
    <w:rsid w:val="00F91929"/>
    <w:rsid w:val="00F91EE9"/>
    <w:rsid w:val="00F925EA"/>
    <w:rsid w:val="00F92827"/>
    <w:rsid w:val="00F92B5C"/>
    <w:rsid w:val="00F92D0F"/>
    <w:rsid w:val="00F92EB7"/>
    <w:rsid w:val="00F9384F"/>
    <w:rsid w:val="00F93E01"/>
    <w:rsid w:val="00F9439A"/>
    <w:rsid w:val="00F9463D"/>
    <w:rsid w:val="00F9468F"/>
    <w:rsid w:val="00F94AB7"/>
    <w:rsid w:val="00F9536C"/>
    <w:rsid w:val="00F95751"/>
    <w:rsid w:val="00F95CB1"/>
    <w:rsid w:val="00F95F20"/>
    <w:rsid w:val="00F95F27"/>
    <w:rsid w:val="00F9631F"/>
    <w:rsid w:val="00F96CC4"/>
    <w:rsid w:val="00F97562"/>
    <w:rsid w:val="00F97A5C"/>
    <w:rsid w:val="00F97C8C"/>
    <w:rsid w:val="00FA00FE"/>
    <w:rsid w:val="00FA034B"/>
    <w:rsid w:val="00FA086F"/>
    <w:rsid w:val="00FA0F63"/>
    <w:rsid w:val="00FA10B1"/>
    <w:rsid w:val="00FA11DA"/>
    <w:rsid w:val="00FA1211"/>
    <w:rsid w:val="00FA1216"/>
    <w:rsid w:val="00FA143D"/>
    <w:rsid w:val="00FA161A"/>
    <w:rsid w:val="00FA174C"/>
    <w:rsid w:val="00FA1FDD"/>
    <w:rsid w:val="00FA267D"/>
    <w:rsid w:val="00FA290C"/>
    <w:rsid w:val="00FA2A4F"/>
    <w:rsid w:val="00FA33D6"/>
    <w:rsid w:val="00FA34CD"/>
    <w:rsid w:val="00FA364A"/>
    <w:rsid w:val="00FA39A9"/>
    <w:rsid w:val="00FA40D4"/>
    <w:rsid w:val="00FA4259"/>
    <w:rsid w:val="00FA4A5A"/>
    <w:rsid w:val="00FA4C36"/>
    <w:rsid w:val="00FA4DBF"/>
    <w:rsid w:val="00FA547C"/>
    <w:rsid w:val="00FA55DC"/>
    <w:rsid w:val="00FA574E"/>
    <w:rsid w:val="00FA599F"/>
    <w:rsid w:val="00FA5B57"/>
    <w:rsid w:val="00FA5D75"/>
    <w:rsid w:val="00FA620A"/>
    <w:rsid w:val="00FA709D"/>
    <w:rsid w:val="00FA78DD"/>
    <w:rsid w:val="00FA7EDB"/>
    <w:rsid w:val="00FA7F23"/>
    <w:rsid w:val="00FB0353"/>
    <w:rsid w:val="00FB13B4"/>
    <w:rsid w:val="00FB1B27"/>
    <w:rsid w:val="00FB1E3F"/>
    <w:rsid w:val="00FB1EE6"/>
    <w:rsid w:val="00FB219D"/>
    <w:rsid w:val="00FB221F"/>
    <w:rsid w:val="00FB237F"/>
    <w:rsid w:val="00FB2724"/>
    <w:rsid w:val="00FB27DF"/>
    <w:rsid w:val="00FB288A"/>
    <w:rsid w:val="00FB2FCF"/>
    <w:rsid w:val="00FB31A2"/>
    <w:rsid w:val="00FB36F9"/>
    <w:rsid w:val="00FB3889"/>
    <w:rsid w:val="00FB39C0"/>
    <w:rsid w:val="00FB3ECF"/>
    <w:rsid w:val="00FB43B7"/>
    <w:rsid w:val="00FB442D"/>
    <w:rsid w:val="00FB461C"/>
    <w:rsid w:val="00FB48AD"/>
    <w:rsid w:val="00FB4A11"/>
    <w:rsid w:val="00FB5052"/>
    <w:rsid w:val="00FB509F"/>
    <w:rsid w:val="00FB5475"/>
    <w:rsid w:val="00FB5831"/>
    <w:rsid w:val="00FB5C92"/>
    <w:rsid w:val="00FB5CA2"/>
    <w:rsid w:val="00FB6D5F"/>
    <w:rsid w:val="00FB6E76"/>
    <w:rsid w:val="00FB7700"/>
    <w:rsid w:val="00FB7C6F"/>
    <w:rsid w:val="00FC00CD"/>
    <w:rsid w:val="00FC03EB"/>
    <w:rsid w:val="00FC0B39"/>
    <w:rsid w:val="00FC0C1D"/>
    <w:rsid w:val="00FC0C6E"/>
    <w:rsid w:val="00FC0FD6"/>
    <w:rsid w:val="00FC187A"/>
    <w:rsid w:val="00FC1A45"/>
    <w:rsid w:val="00FC2181"/>
    <w:rsid w:val="00FC237B"/>
    <w:rsid w:val="00FC253E"/>
    <w:rsid w:val="00FC2F89"/>
    <w:rsid w:val="00FC397D"/>
    <w:rsid w:val="00FC3B92"/>
    <w:rsid w:val="00FC3FCC"/>
    <w:rsid w:val="00FC47D4"/>
    <w:rsid w:val="00FC47ED"/>
    <w:rsid w:val="00FC53DE"/>
    <w:rsid w:val="00FC544F"/>
    <w:rsid w:val="00FC547C"/>
    <w:rsid w:val="00FC5A52"/>
    <w:rsid w:val="00FC6285"/>
    <w:rsid w:val="00FC6CEA"/>
    <w:rsid w:val="00FC76A3"/>
    <w:rsid w:val="00FC78DE"/>
    <w:rsid w:val="00FC794E"/>
    <w:rsid w:val="00FC7AB8"/>
    <w:rsid w:val="00FC7C3D"/>
    <w:rsid w:val="00FD05EA"/>
    <w:rsid w:val="00FD0739"/>
    <w:rsid w:val="00FD08DE"/>
    <w:rsid w:val="00FD099F"/>
    <w:rsid w:val="00FD0A61"/>
    <w:rsid w:val="00FD0B45"/>
    <w:rsid w:val="00FD0C7E"/>
    <w:rsid w:val="00FD10F1"/>
    <w:rsid w:val="00FD1222"/>
    <w:rsid w:val="00FD15A3"/>
    <w:rsid w:val="00FD1A75"/>
    <w:rsid w:val="00FD1C87"/>
    <w:rsid w:val="00FD20B9"/>
    <w:rsid w:val="00FD2689"/>
    <w:rsid w:val="00FD296E"/>
    <w:rsid w:val="00FD3180"/>
    <w:rsid w:val="00FD3181"/>
    <w:rsid w:val="00FD35C5"/>
    <w:rsid w:val="00FD3A17"/>
    <w:rsid w:val="00FD4848"/>
    <w:rsid w:val="00FD4951"/>
    <w:rsid w:val="00FD49BA"/>
    <w:rsid w:val="00FD4ABF"/>
    <w:rsid w:val="00FD5246"/>
    <w:rsid w:val="00FD5375"/>
    <w:rsid w:val="00FD54DA"/>
    <w:rsid w:val="00FD5C0D"/>
    <w:rsid w:val="00FD5D79"/>
    <w:rsid w:val="00FD5D7B"/>
    <w:rsid w:val="00FD602F"/>
    <w:rsid w:val="00FD647C"/>
    <w:rsid w:val="00FD6585"/>
    <w:rsid w:val="00FD665A"/>
    <w:rsid w:val="00FD66A8"/>
    <w:rsid w:val="00FD73CD"/>
    <w:rsid w:val="00FD74C5"/>
    <w:rsid w:val="00FD75F0"/>
    <w:rsid w:val="00FD7DB2"/>
    <w:rsid w:val="00FE02D7"/>
    <w:rsid w:val="00FE073D"/>
    <w:rsid w:val="00FE096C"/>
    <w:rsid w:val="00FE09F6"/>
    <w:rsid w:val="00FE0B5A"/>
    <w:rsid w:val="00FE0CB4"/>
    <w:rsid w:val="00FE1165"/>
    <w:rsid w:val="00FE1C02"/>
    <w:rsid w:val="00FE1D34"/>
    <w:rsid w:val="00FE1E11"/>
    <w:rsid w:val="00FE2036"/>
    <w:rsid w:val="00FE2223"/>
    <w:rsid w:val="00FE2B96"/>
    <w:rsid w:val="00FE2BF7"/>
    <w:rsid w:val="00FE2F2C"/>
    <w:rsid w:val="00FE2F59"/>
    <w:rsid w:val="00FE3143"/>
    <w:rsid w:val="00FE31E2"/>
    <w:rsid w:val="00FE3D48"/>
    <w:rsid w:val="00FE3D77"/>
    <w:rsid w:val="00FE3FAA"/>
    <w:rsid w:val="00FE41C1"/>
    <w:rsid w:val="00FE42D3"/>
    <w:rsid w:val="00FE4430"/>
    <w:rsid w:val="00FE478D"/>
    <w:rsid w:val="00FE47E8"/>
    <w:rsid w:val="00FE4AC6"/>
    <w:rsid w:val="00FE4AFE"/>
    <w:rsid w:val="00FE4B1B"/>
    <w:rsid w:val="00FE4F0C"/>
    <w:rsid w:val="00FE6164"/>
    <w:rsid w:val="00FE6A64"/>
    <w:rsid w:val="00FE6C52"/>
    <w:rsid w:val="00FE6ED2"/>
    <w:rsid w:val="00FE7D73"/>
    <w:rsid w:val="00FE7E28"/>
    <w:rsid w:val="00FE7F3E"/>
    <w:rsid w:val="00FF02D8"/>
    <w:rsid w:val="00FF0594"/>
    <w:rsid w:val="00FF072C"/>
    <w:rsid w:val="00FF087F"/>
    <w:rsid w:val="00FF0FB2"/>
    <w:rsid w:val="00FF1085"/>
    <w:rsid w:val="00FF123A"/>
    <w:rsid w:val="00FF131D"/>
    <w:rsid w:val="00FF155F"/>
    <w:rsid w:val="00FF2789"/>
    <w:rsid w:val="00FF2A53"/>
    <w:rsid w:val="00FF2A6F"/>
    <w:rsid w:val="00FF2E27"/>
    <w:rsid w:val="00FF34CA"/>
    <w:rsid w:val="00FF36CC"/>
    <w:rsid w:val="00FF38AA"/>
    <w:rsid w:val="00FF4739"/>
    <w:rsid w:val="00FF4A3B"/>
    <w:rsid w:val="00FF4C36"/>
    <w:rsid w:val="00FF4F77"/>
    <w:rsid w:val="00FF500E"/>
    <w:rsid w:val="00FF50E3"/>
    <w:rsid w:val="00FF55DD"/>
    <w:rsid w:val="00FF5773"/>
    <w:rsid w:val="00FF57F2"/>
    <w:rsid w:val="00FF611B"/>
    <w:rsid w:val="00FF6463"/>
    <w:rsid w:val="00FF665E"/>
    <w:rsid w:val="00FF6BCD"/>
    <w:rsid w:val="00FF6EFD"/>
    <w:rsid w:val="00FF72BC"/>
    <w:rsid w:val="00FF73EE"/>
    <w:rsid w:val="00FF762B"/>
    <w:rsid w:val="00FF765F"/>
    <w:rsid w:val="00FF7ACD"/>
    <w:rsid w:val="00FF7B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4FC47F"/>
  <w15:docId w15:val="{9DFB422F-CBAD-47B3-995D-BBEDCF0A0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line="360" w:lineRule="auto"/>
        <w:ind w:left="851"/>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rsid w:val="00BC2DEE"/>
    <w:pPr>
      <w:bidi/>
    </w:pPr>
  </w:style>
  <w:style w:type="paragraph" w:styleId="1">
    <w:name w:val="heading 1"/>
    <w:aliases w:val="כות גד"/>
    <w:basedOn w:val="a2"/>
    <w:next w:val="a3"/>
    <w:link w:val="10"/>
    <w:autoRedefine/>
    <w:uiPriority w:val="9"/>
    <w:qFormat/>
    <w:rsid w:val="00BF39B2"/>
    <w:pPr>
      <w:keepNext/>
      <w:keepLines/>
      <w:spacing w:before="480"/>
      <w:ind w:left="0"/>
      <w:jc w:val="center"/>
      <w:outlineLvl w:val="0"/>
    </w:pPr>
    <w:rPr>
      <w:rFonts w:ascii="Guttman Hodes" w:eastAsia="Guttman Hodes" w:hAnsi="Guttman Hodes" w:cs="Guttman Hodes"/>
      <w:b/>
      <w:bCs/>
      <w:noProof/>
      <w:sz w:val="18"/>
      <w:szCs w:val="18"/>
    </w:rPr>
  </w:style>
  <w:style w:type="paragraph" w:styleId="2">
    <w:name w:val="heading 2"/>
    <w:basedOn w:val="a2"/>
    <w:next w:val="a2"/>
    <w:link w:val="20"/>
    <w:autoRedefine/>
    <w:uiPriority w:val="9"/>
    <w:unhideWhenUsed/>
    <w:qFormat/>
    <w:rsid w:val="0065318E"/>
    <w:pPr>
      <w:keepNext/>
      <w:keepLines/>
      <w:ind w:left="0"/>
      <w:jc w:val="center"/>
      <w:outlineLvl w:val="1"/>
    </w:pPr>
    <w:rPr>
      <w:rFonts w:ascii="Guttman Adii-Light" w:eastAsia="Guttman Adii-Light" w:hAnsi="Guttman Adii-Light" w:cs="Guttman Adii-Light"/>
      <w:sz w:val="24"/>
      <w:szCs w:val="24"/>
    </w:rPr>
  </w:style>
  <w:style w:type="paragraph" w:styleId="3">
    <w:name w:val="heading 3"/>
    <w:basedOn w:val="a2"/>
    <w:next w:val="a2"/>
    <w:link w:val="30"/>
    <w:uiPriority w:val="9"/>
    <w:semiHidden/>
    <w:unhideWhenUsed/>
    <w:rsid w:val="0080020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2"/>
    <w:next w:val="a2"/>
    <w:link w:val="40"/>
    <w:uiPriority w:val="9"/>
    <w:semiHidden/>
    <w:unhideWhenUsed/>
    <w:qFormat/>
    <w:rsid w:val="00503CE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2"/>
    <w:next w:val="a2"/>
    <w:link w:val="50"/>
    <w:uiPriority w:val="9"/>
    <w:semiHidden/>
    <w:unhideWhenUsed/>
    <w:qFormat/>
    <w:rsid w:val="00303F3F"/>
    <w:pPr>
      <w:keepNext/>
      <w:keepLines/>
      <w:spacing w:before="40"/>
      <w:outlineLvl w:val="4"/>
    </w:pPr>
    <w:rPr>
      <w:rFonts w:asciiTheme="majorHAnsi" w:eastAsiaTheme="majorEastAsia" w:hAnsiTheme="majorHAnsi" w:cstheme="majorBidi"/>
      <w:color w:val="365F91"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כות קט"/>
    <w:basedOn w:val="a2"/>
    <w:next w:val="a0"/>
    <w:link w:val="a7"/>
    <w:autoRedefine/>
    <w:qFormat/>
    <w:rsid w:val="006D6D32"/>
    <w:pPr>
      <w:spacing w:before="200"/>
      <w:ind w:left="0"/>
      <w:jc w:val="center"/>
      <w:outlineLvl w:val="1"/>
    </w:pPr>
    <w:rPr>
      <w:rFonts w:ascii="Guttman Hodes" w:eastAsia="Guttman Hodes" w:hAnsi="Guttman Hodes" w:cs="Guttman Hodes"/>
      <w:sz w:val="12"/>
      <w:szCs w:val="12"/>
    </w:rPr>
  </w:style>
  <w:style w:type="paragraph" w:customStyle="1" w:styleId="a0">
    <w:name w:val="קטע רגיל"/>
    <w:basedOn w:val="a2"/>
    <w:next w:val="a3"/>
    <w:link w:val="a8"/>
    <w:autoRedefine/>
    <w:qFormat/>
    <w:rsid w:val="00223668"/>
    <w:pPr>
      <w:numPr>
        <w:numId w:val="1"/>
      </w:numPr>
      <w:tabs>
        <w:tab w:val="left" w:pos="1163"/>
      </w:tabs>
      <w:spacing w:after="120" w:line="240" w:lineRule="auto"/>
    </w:pPr>
    <w:rPr>
      <w:rFonts w:ascii="Guttman Hodes" w:eastAsia="Guttman Hodes" w:hAnsi="Guttman Hodes" w:cs="Guttman Hodes"/>
      <w:noProof/>
      <w:sz w:val="18"/>
      <w:szCs w:val="18"/>
    </w:rPr>
  </w:style>
  <w:style w:type="character" w:customStyle="1" w:styleId="a8">
    <w:name w:val="קטע רגיל תו"/>
    <w:basedOn w:val="a4"/>
    <w:link w:val="a0"/>
    <w:rsid w:val="00223668"/>
    <w:rPr>
      <w:rFonts w:ascii="Guttman Hodes" w:eastAsia="Guttman Hodes" w:hAnsi="Guttman Hodes" w:cs="Guttman Hodes"/>
      <w:noProof/>
      <w:sz w:val="18"/>
      <w:szCs w:val="18"/>
    </w:rPr>
  </w:style>
  <w:style w:type="character" w:customStyle="1" w:styleId="a7">
    <w:name w:val="כות קט תו"/>
    <w:basedOn w:val="a4"/>
    <w:link w:val="a3"/>
    <w:rsid w:val="006D6D32"/>
    <w:rPr>
      <w:rFonts w:ascii="Guttman Hodes" w:eastAsia="Guttman Hodes" w:hAnsi="Guttman Hodes" w:cs="Guttman Hodes"/>
      <w:sz w:val="12"/>
      <w:szCs w:val="12"/>
    </w:rPr>
  </w:style>
  <w:style w:type="character" w:customStyle="1" w:styleId="10">
    <w:name w:val="כותרת 1 תו"/>
    <w:aliases w:val="כות גד תו"/>
    <w:basedOn w:val="a4"/>
    <w:link w:val="1"/>
    <w:uiPriority w:val="9"/>
    <w:rsid w:val="00BF39B2"/>
    <w:rPr>
      <w:rFonts w:ascii="Guttman Hodes" w:eastAsia="Guttman Hodes" w:hAnsi="Guttman Hodes" w:cs="Guttman Hodes"/>
      <w:b/>
      <w:bCs/>
      <w:noProof/>
      <w:sz w:val="18"/>
      <w:szCs w:val="18"/>
    </w:rPr>
  </w:style>
  <w:style w:type="character" w:customStyle="1" w:styleId="20">
    <w:name w:val="כותרת 2 תו"/>
    <w:basedOn w:val="a4"/>
    <w:link w:val="2"/>
    <w:uiPriority w:val="9"/>
    <w:rsid w:val="0065318E"/>
    <w:rPr>
      <w:rFonts w:ascii="Guttman Adii-Light" w:eastAsia="Guttman Adii-Light" w:hAnsi="Guttman Adii-Light" w:cs="Guttman Adii-Light"/>
      <w:sz w:val="24"/>
      <w:szCs w:val="24"/>
    </w:rPr>
  </w:style>
  <w:style w:type="character" w:customStyle="1" w:styleId="30">
    <w:name w:val="כותרת 3 תו"/>
    <w:basedOn w:val="a4"/>
    <w:link w:val="3"/>
    <w:uiPriority w:val="9"/>
    <w:semiHidden/>
    <w:rsid w:val="0080020B"/>
    <w:rPr>
      <w:rFonts w:asciiTheme="majorHAnsi" w:eastAsiaTheme="majorEastAsia" w:hAnsiTheme="majorHAnsi" w:cstheme="majorBidi"/>
      <w:color w:val="243F60" w:themeColor="accent1" w:themeShade="7F"/>
      <w:sz w:val="24"/>
      <w:szCs w:val="24"/>
    </w:rPr>
  </w:style>
  <w:style w:type="character" w:customStyle="1" w:styleId="40">
    <w:name w:val="כותרת 4 תו"/>
    <w:basedOn w:val="a4"/>
    <w:link w:val="4"/>
    <w:uiPriority w:val="9"/>
    <w:semiHidden/>
    <w:rsid w:val="00503CE1"/>
    <w:rPr>
      <w:rFonts w:asciiTheme="majorHAnsi" w:eastAsiaTheme="majorEastAsia" w:hAnsiTheme="majorHAnsi" w:cstheme="majorBidi"/>
      <w:i/>
      <w:iCs/>
      <w:color w:val="365F91" w:themeColor="accent1" w:themeShade="BF"/>
    </w:rPr>
  </w:style>
  <w:style w:type="character" w:customStyle="1" w:styleId="50">
    <w:name w:val="כותרת 5 תו"/>
    <w:basedOn w:val="a4"/>
    <w:link w:val="5"/>
    <w:uiPriority w:val="9"/>
    <w:semiHidden/>
    <w:rsid w:val="00303F3F"/>
    <w:rPr>
      <w:rFonts w:asciiTheme="majorHAnsi" w:eastAsiaTheme="majorEastAsia" w:hAnsiTheme="majorHAnsi" w:cstheme="majorBidi"/>
      <w:color w:val="365F91" w:themeColor="accent1" w:themeShade="BF"/>
    </w:rPr>
  </w:style>
  <w:style w:type="paragraph" w:styleId="a9">
    <w:name w:val="header"/>
    <w:basedOn w:val="a2"/>
    <w:link w:val="aa"/>
    <w:uiPriority w:val="99"/>
    <w:unhideWhenUsed/>
    <w:rsid w:val="00F35477"/>
    <w:pPr>
      <w:tabs>
        <w:tab w:val="center" w:pos="4153"/>
        <w:tab w:val="right" w:pos="8306"/>
      </w:tabs>
      <w:spacing w:line="240" w:lineRule="auto"/>
    </w:pPr>
  </w:style>
  <w:style w:type="character" w:customStyle="1" w:styleId="aa">
    <w:name w:val="כותרת עליונה תו"/>
    <w:basedOn w:val="a4"/>
    <w:link w:val="a9"/>
    <w:uiPriority w:val="99"/>
    <w:rsid w:val="00F35477"/>
  </w:style>
  <w:style w:type="paragraph" w:styleId="ab">
    <w:name w:val="footer"/>
    <w:basedOn w:val="a2"/>
    <w:link w:val="ac"/>
    <w:uiPriority w:val="99"/>
    <w:unhideWhenUsed/>
    <w:rsid w:val="00F35477"/>
    <w:pPr>
      <w:tabs>
        <w:tab w:val="center" w:pos="4153"/>
        <w:tab w:val="right" w:pos="8306"/>
      </w:tabs>
      <w:spacing w:line="240" w:lineRule="auto"/>
    </w:pPr>
  </w:style>
  <w:style w:type="character" w:customStyle="1" w:styleId="ac">
    <w:name w:val="כותרת תחתונה תו"/>
    <w:basedOn w:val="a4"/>
    <w:link w:val="ab"/>
    <w:uiPriority w:val="99"/>
    <w:rsid w:val="00F35477"/>
  </w:style>
  <w:style w:type="paragraph" w:styleId="ad">
    <w:name w:val="List Paragraph"/>
    <w:basedOn w:val="a2"/>
    <w:link w:val="ae"/>
    <w:uiPriority w:val="34"/>
    <w:qFormat/>
    <w:rsid w:val="00F35477"/>
    <w:pPr>
      <w:ind w:left="720"/>
      <w:contextualSpacing/>
    </w:pPr>
  </w:style>
  <w:style w:type="character" w:customStyle="1" w:styleId="ae">
    <w:name w:val="פיסקת רשימה תו"/>
    <w:basedOn w:val="a4"/>
    <w:link w:val="ad"/>
    <w:uiPriority w:val="34"/>
    <w:rsid w:val="00743EE5"/>
  </w:style>
  <w:style w:type="paragraph" w:styleId="af">
    <w:name w:val="footnote text"/>
    <w:basedOn w:val="a2"/>
    <w:link w:val="af0"/>
    <w:autoRedefine/>
    <w:uiPriority w:val="99"/>
    <w:unhideWhenUsed/>
    <w:rsid w:val="00E47649"/>
    <w:pPr>
      <w:widowControl w:val="0"/>
      <w:spacing w:line="240" w:lineRule="auto"/>
      <w:ind w:left="0"/>
    </w:pPr>
    <w:rPr>
      <w:rFonts w:cs="Guttman Hodes"/>
      <w:sz w:val="18"/>
      <w:szCs w:val="14"/>
    </w:rPr>
  </w:style>
  <w:style w:type="character" w:customStyle="1" w:styleId="af0">
    <w:name w:val="טקסט הערת שוליים תו"/>
    <w:basedOn w:val="a4"/>
    <w:link w:val="af"/>
    <w:uiPriority w:val="99"/>
    <w:rsid w:val="00E47649"/>
    <w:rPr>
      <w:rFonts w:cs="Guttman Hodes"/>
      <w:sz w:val="18"/>
      <w:szCs w:val="14"/>
    </w:rPr>
  </w:style>
  <w:style w:type="character" w:styleId="af1">
    <w:name w:val="footnote reference"/>
    <w:basedOn w:val="a4"/>
    <w:uiPriority w:val="99"/>
    <w:unhideWhenUsed/>
    <w:rsid w:val="00572DCA"/>
    <w:rPr>
      <w:vertAlign w:val="superscript"/>
    </w:rPr>
  </w:style>
  <w:style w:type="paragraph" w:styleId="af2">
    <w:name w:val="Balloon Text"/>
    <w:basedOn w:val="a2"/>
    <w:link w:val="af3"/>
    <w:uiPriority w:val="99"/>
    <w:semiHidden/>
    <w:unhideWhenUsed/>
    <w:rsid w:val="00C6753C"/>
    <w:pPr>
      <w:spacing w:line="240" w:lineRule="auto"/>
    </w:pPr>
    <w:rPr>
      <w:rFonts w:ascii="Tahoma" w:hAnsi="Tahoma" w:cs="Tahoma"/>
      <w:sz w:val="16"/>
      <w:szCs w:val="16"/>
    </w:rPr>
  </w:style>
  <w:style w:type="character" w:customStyle="1" w:styleId="af3">
    <w:name w:val="טקסט בלונים תו"/>
    <w:basedOn w:val="a4"/>
    <w:link w:val="af2"/>
    <w:uiPriority w:val="99"/>
    <w:semiHidden/>
    <w:rsid w:val="00C6753C"/>
    <w:rPr>
      <w:rFonts w:ascii="Tahoma" w:hAnsi="Tahoma" w:cs="Tahoma"/>
      <w:sz w:val="16"/>
      <w:szCs w:val="16"/>
    </w:rPr>
  </w:style>
  <w:style w:type="paragraph" w:customStyle="1" w:styleId="af4">
    <w:name w:val="כות מש רהי"/>
    <w:basedOn w:val="ad"/>
    <w:link w:val="af5"/>
    <w:rsid w:val="009773FB"/>
    <w:pPr>
      <w:widowControl w:val="0"/>
      <w:spacing w:line="240" w:lineRule="auto"/>
      <w:ind w:left="0"/>
      <w:jc w:val="center"/>
    </w:pPr>
    <w:rPr>
      <w:rFonts w:ascii="Arial" w:eastAsia="Times New Roman" w:hAnsi="Arial" w:cs="Guttman Hodes"/>
      <w:sz w:val="12"/>
      <w:szCs w:val="12"/>
    </w:rPr>
  </w:style>
  <w:style w:type="character" w:customStyle="1" w:styleId="af5">
    <w:name w:val="כות מש רהי תו"/>
    <w:basedOn w:val="a4"/>
    <w:link w:val="af4"/>
    <w:rsid w:val="009773FB"/>
    <w:rPr>
      <w:rFonts w:ascii="Arial" w:eastAsia="Times New Roman" w:hAnsi="Arial" w:cs="Guttman Hodes"/>
      <w:sz w:val="12"/>
      <w:szCs w:val="12"/>
    </w:rPr>
  </w:style>
  <w:style w:type="paragraph" w:customStyle="1" w:styleId="af6">
    <w:name w:val="מ&quot;מ"/>
    <w:basedOn w:val="a2"/>
    <w:link w:val="af7"/>
    <w:qFormat/>
    <w:rsid w:val="000D4A33"/>
    <w:pPr>
      <w:tabs>
        <w:tab w:val="left" w:pos="1163"/>
      </w:tabs>
      <w:spacing w:after="120" w:line="240" w:lineRule="auto"/>
      <w:ind w:left="0"/>
    </w:pPr>
    <w:rPr>
      <w:rFonts w:ascii="Calibri" w:eastAsia="Times New Roman" w:hAnsi="Calibri" w:cs="Guttman Rashi"/>
      <w:sz w:val="10"/>
      <w:szCs w:val="12"/>
    </w:rPr>
  </w:style>
  <w:style w:type="character" w:customStyle="1" w:styleId="af7">
    <w:name w:val="מ&quot;מ תו"/>
    <w:basedOn w:val="a4"/>
    <w:link w:val="af6"/>
    <w:rsid w:val="00E5694B"/>
    <w:rPr>
      <w:rFonts w:ascii="Calibri" w:eastAsia="Times New Roman" w:hAnsi="Calibri" w:cs="Guttman Rashi"/>
      <w:sz w:val="10"/>
      <w:szCs w:val="12"/>
    </w:rPr>
  </w:style>
  <w:style w:type="paragraph" w:customStyle="1" w:styleId="af8">
    <w:name w:val="מודגש"/>
    <w:basedOn w:val="a0"/>
    <w:link w:val="af9"/>
    <w:qFormat/>
    <w:rsid w:val="00D3653E"/>
    <w:rPr>
      <w:b/>
      <w:bCs/>
    </w:rPr>
  </w:style>
  <w:style w:type="character" w:customStyle="1" w:styleId="af9">
    <w:name w:val="מודגש תו"/>
    <w:basedOn w:val="a8"/>
    <w:link w:val="af8"/>
    <w:rsid w:val="00D3653E"/>
    <w:rPr>
      <w:rFonts w:ascii="Guttman Hodes" w:eastAsia="Guttman Hodes" w:hAnsi="Guttman Hodes" w:cs="Guttman Hodes"/>
      <w:b/>
      <w:bCs/>
      <w:noProof/>
      <w:sz w:val="18"/>
      <w:szCs w:val="18"/>
    </w:rPr>
  </w:style>
  <w:style w:type="paragraph" w:customStyle="1" w:styleId="afa">
    <w:name w:val="מוקטן"/>
    <w:basedOn w:val="a0"/>
    <w:link w:val="afb"/>
    <w:autoRedefine/>
    <w:qFormat/>
    <w:rsid w:val="000B7917"/>
    <w:rPr>
      <w:sz w:val="10"/>
      <w:szCs w:val="14"/>
    </w:rPr>
  </w:style>
  <w:style w:type="character" w:customStyle="1" w:styleId="afb">
    <w:name w:val="מוקטן תו"/>
    <w:basedOn w:val="a8"/>
    <w:link w:val="afa"/>
    <w:rsid w:val="000B7917"/>
    <w:rPr>
      <w:rFonts w:ascii="Guttman Hodes" w:eastAsia="Guttman Hodes" w:hAnsi="Guttman Hodes" w:cs="Guttman Hodes"/>
      <w:noProof/>
      <w:sz w:val="10"/>
      <w:szCs w:val="14"/>
    </w:rPr>
  </w:style>
  <w:style w:type="paragraph" w:styleId="afc">
    <w:name w:val="TOC Heading"/>
    <w:basedOn w:val="1"/>
    <w:next w:val="a2"/>
    <w:uiPriority w:val="39"/>
    <w:unhideWhenUsed/>
    <w:rsid w:val="00490201"/>
    <w:p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tl/>
      <w:cs/>
    </w:rPr>
  </w:style>
  <w:style w:type="paragraph" w:styleId="TOC1">
    <w:name w:val="toc 1"/>
    <w:basedOn w:val="a2"/>
    <w:next w:val="a2"/>
    <w:autoRedefine/>
    <w:uiPriority w:val="39"/>
    <w:unhideWhenUsed/>
    <w:rsid w:val="00490201"/>
    <w:pPr>
      <w:spacing w:before="240" w:after="120"/>
      <w:ind w:left="0"/>
      <w:jc w:val="left"/>
    </w:pPr>
    <w:rPr>
      <w:rFonts w:cstheme="minorHAnsi"/>
      <w:b/>
      <w:bCs/>
      <w:sz w:val="20"/>
      <w:szCs w:val="20"/>
    </w:rPr>
  </w:style>
  <w:style w:type="paragraph" w:styleId="TOC2">
    <w:name w:val="toc 2"/>
    <w:basedOn w:val="a2"/>
    <w:next w:val="a2"/>
    <w:autoRedefine/>
    <w:uiPriority w:val="39"/>
    <w:unhideWhenUsed/>
    <w:rsid w:val="00490201"/>
    <w:pPr>
      <w:spacing w:before="120"/>
      <w:ind w:left="220"/>
      <w:jc w:val="left"/>
    </w:pPr>
    <w:rPr>
      <w:rFonts w:cstheme="minorHAnsi"/>
      <w:i/>
      <w:iCs/>
      <w:sz w:val="20"/>
      <w:szCs w:val="20"/>
    </w:rPr>
  </w:style>
  <w:style w:type="character" w:styleId="Hyperlink">
    <w:name w:val="Hyperlink"/>
    <w:basedOn w:val="a4"/>
    <w:uiPriority w:val="99"/>
    <w:unhideWhenUsed/>
    <w:rsid w:val="00490201"/>
    <w:rPr>
      <w:color w:val="0000FF" w:themeColor="hyperlink"/>
      <w:u w:val="single"/>
    </w:rPr>
  </w:style>
  <w:style w:type="paragraph" w:customStyle="1" w:styleId="afd">
    <w:name w:val="כות מקטע"/>
    <w:basedOn w:val="afe"/>
    <w:next w:val="afe"/>
    <w:link w:val="aff"/>
    <w:autoRedefine/>
    <w:qFormat/>
    <w:rsid w:val="0011670A"/>
    <w:pPr>
      <w:spacing w:after="240" w:line="240" w:lineRule="auto"/>
    </w:pPr>
    <w:rPr>
      <w:bCs/>
    </w:rPr>
  </w:style>
  <w:style w:type="paragraph" w:customStyle="1" w:styleId="afe">
    <w:name w:val="כות מק פנ"/>
    <w:basedOn w:val="a3"/>
    <w:next w:val="1"/>
    <w:link w:val="aff0"/>
    <w:autoRedefine/>
    <w:qFormat/>
    <w:rsid w:val="0036247D"/>
    <w:pPr>
      <w:spacing w:before="480"/>
    </w:pPr>
    <w:rPr>
      <w:rFonts w:ascii="Guttman Adii-Light" w:eastAsia="Guttman Adii-Light" w:hAnsi="Guttman Adii-Light" w:cs="Guttman Adii-Light"/>
      <w:b/>
      <w:noProof/>
      <w:sz w:val="22"/>
      <w:szCs w:val="28"/>
    </w:rPr>
  </w:style>
  <w:style w:type="character" w:customStyle="1" w:styleId="aff0">
    <w:name w:val="כות מק פנ תו"/>
    <w:basedOn w:val="10"/>
    <w:link w:val="afe"/>
    <w:rsid w:val="0036247D"/>
    <w:rPr>
      <w:rFonts w:ascii="Guttman Adii-Light" w:eastAsia="Guttman Adii-Light" w:hAnsi="Guttman Adii-Light" w:cs="Guttman Adii-Light"/>
      <w:b/>
      <w:bCs w:val="0"/>
      <w:noProof/>
      <w:sz w:val="18"/>
      <w:szCs w:val="28"/>
    </w:rPr>
  </w:style>
  <w:style w:type="character" w:customStyle="1" w:styleId="aff">
    <w:name w:val="כות מקטע תו"/>
    <w:basedOn w:val="ae"/>
    <w:link w:val="afd"/>
    <w:rsid w:val="0011670A"/>
    <w:rPr>
      <w:rFonts w:ascii="Guttman Adii-Light" w:eastAsia="Guttman Adii-Light" w:hAnsi="Guttman Adii-Light" w:cs="Guttman Adii-Light"/>
      <w:b/>
      <w:bCs/>
      <w:noProof/>
      <w:szCs w:val="28"/>
    </w:rPr>
  </w:style>
  <w:style w:type="paragraph" w:customStyle="1" w:styleId="aff1">
    <w:name w:val="מ&quot;מ מוקטן"/>
    <w:basedOn w:val="a0"/>
    <w:next w:val="a0"/>
    <w:link w:val="aff2"/>
    <w:autoRedefine/>
    <w:qFormat/>
    <w:rsid w:val="00312A30"/>
    <w:rPr>
      <w:rFonts w:ascii="Guttman Rashi" w:eastAsia="Guttman Rashi" w:hAnsi="Guttman Rashi" w:cs="Guttman Rashi"/>
      <w:sz w:val="10"/>
      <w:szCs w:val="10"/>
    </w:rPr>
  </w:style>
  <w:style w:type="character" w:customStyle="1" w:styleId="aff2">
    <w:name w:val="מ&quot;מ מוקטן תו"/>
    <w:basedOn w:val="a8"/>
    <w:link w:val="aff1"/>
    <w:rsid w:val="00312A30"/>
    <w:rPr>
      <w:rFonts w:ascii="Guttman Rashi" w:eastAsia="Guttman Rashi" w:hAnsi="Guttman Rashi" w:cs="Guttman Rashi"/>
      <w:noProof/>
      <w:sz w:val="10"/>
      <w:szCs w:val="10"/>
    </w:rPr>
  </w:style>
  <w:style w:type="paragraph" w:styleId="TOC3">
    <w:name w:val="toc 3"/>
    <w:basedOn w:val="a2"/>
    <w:next w:val="a2"/>
    <w:autoRedefine/>
    <w:uiPriority w:val="39"/>
    <w:unhideWhenUsed/>
    <w:rsid w:val="0080020B"/>
    <w:pPr>
      <w:ind w:left="440"/>
      <w:jc w:val="left"/>
    </w:pPr>
    <w:rPr>
      <w:rFonts w:cstheme="minorHAnsi"/>
      <w:sz w:val="20"/>
      <w:szCs w:val="20"/>
    </w:rPr>
  </w:style>
  <w:style w:type="paragraph" w:styleId="TOC4">
    <w:name w:val="toc 4"/>
    <w:basedOn w:val="a2"/>
    <w:next w:val="a2"/>
    <w:autoRedefine/>
    <w:uiPriority w:val="39"/>
    <w:unhideWhenUsed/>
    <w:rsid w:val="0080020B"/>
    <w:pPr>
      <w:ind w:left="660"/>
      <w:jc w:val="left"/>
    </w:pPr>
    <w:rPr>
      <w:rFonts w:cstheme="minorHAnsi"/>
      <w:sz w:val="20"/>
      <w:szCs w:val="20"/>
    </w:rPr>
  </w:style>
  <w:style w:type="paragraph" w:styleId="TOC5">
    <w:name w:val="toc 5"/>
    <w:basedOn w:val="a2"/>
    <w:next w:val="a2"/>
    <w:autoRedefine/>
    <w:uiPriority w:val="39"/>
    <w:unhideWhenUsed/>
    <w:rsid w:val="0080020B"/>
    <w:pPr>
      <w:ind w:left="880"/>
      <w:jc w:val="left"/>
    </w:pPr>
    <w:rPr>
      <w:rFonts w:cstheme="minorHAnsi"/>
      <w:sz w:val="20"/>
      <w:szCs w:val="20"/>
    </w:rPr>
  </w:style>
  <w:style w:type="paragraph" w:styleId="TOC6">
    <w:name w:val="toc 6"/>
    <w:basedOn w:val="a2"/>
    <w:next w:val="a2"/>
    <w:autoRedefine/>
    <w:uiPriority w:val="39"/>
    <w:unhideWhenUsed/>
    <w:rsid w:val="0080020B"/>
    <w:pPr>
      <w:ind w:left="1100"/>
      <w:jc w:val="left"/>
    </w:pPr>
    <w:rPr>
      <w:rFonts w:cstheme="minorHAnsi"/>
      <w:sz w:val="20"/>
      <w:szCs w:val="20"/>
    </w:rPr>
  </w:style>
  <w:style w:type="paragraph" w:styleId="TOC7">
    <w:name w:val="toc 7"/>
    <w:basedOn w:val="a2"/>
    <w:next w:val="a2"/>
    <w:autoRedefine/>
    <w:uiPriority w:val="39"/>
    <w:unhideWhenUsed/>
    <w:rsid w:val="0080020B"/>
    <w:pPr>
      <w:ind w:left="1320"/>
      <w:jc w:val="left"/>
    </w:pPr>
    <w:rPr>
      <w:rFonts w:cstheme="minorHAnsi"/>
      <w:sz w:val="20"/>
      <w:szCs w:val="20"/>
    </w:rPr>
  </w:style>
  <w:style w:type="paragraph" w:styleId="TOC8">
    <w:name w:val="toc 8"/>
    <w:basedOn w:val="a2"/>
    <w:next w:val="a2"/>
    <w:autoRedefine/>
    <w:uiPriority w:val="39"/>
    <w:unhideWhenUsed/>
    <w:rsid w:val="0080020B"/>
    <w:pPr>
      <w:ind w:left="1540"/>
      <w:jc w:val="left"/>
    </w:pPr>
    <w:rPr>
      <w:rFonts w:cstheme="minorHAnsi"/>
      <w:sz w:val="20"/>
      <w:szCs w:val="20"/>
    </w:rPr>
  </w:style>
  <w:style w:type="paragraph" w:styleId="TOC9">
    <w:name w:val="toc 9"/>
    <w:basedOn w:val="a2"/>
    <w:next w:val="a2"/>
    <w:autoRedefine/>
    <w:uiPriority w:val="39"/>
    <w:unhideWhenUsed/>
    <w:rsid w:val="0091415C"/>
    <w:pPr>
      <w:ind w:left="1760"/>
      <w:jc w:val="left"/>
    </w:pPr>
    <w:rPr>
      <w:rFonts w:cstheme="minorHAnsi"/>
      <w:sz w:val="20"/>
      <w:szCs w:val="20"/>
    </w:rPr>
  </w:style>
  <w:style w:type="paragraph" w:customStyle="1" w:styleId="a">
    <w:name w:val="תוכן"/>
    <w:basedOn w:val="ad"/>
    <w:link w:val="aff3"/>
    <w:autoRedefine/>
    <w:qFormat/>
    <w:rsid w:val="005077A7"/>
    <w:pPr>
      <w:numPr>
        <w:numId w:val="18"/>
      </w:numPr>
      <w:contextualSpacing w:val="0"/>
      <w:jc w:val="left"/>
    </w:pPr>
    <w:rPr>
      <w:rFonts w:ascii="Guttman Hodes" w:eastAsia="Guttman Hodes" w:hAnsi="Guttman Hodes" w:cs="Guttman Hodes"/>
      <w:sz w:val="12"/>
      <w:szCs w:val="12"/>
    </w:rPr>
  </w:style>
  <w:style w:type="character" w:customStyle="1" w:styleId="aff3">
    <w:name w:val="תוכן תו"/>
    <w:basedOn w:val="a4"/>
    <w:link w:val="a"/>
    <w:rsid w:val="005077A7"/>
    <w:rPr>
      <w:rFonts w:ascii="Guttman Hodes" w:eastAsia="Guttman Hodes" w:hAnsi="Guttman Hodes" w:cs="Guttman Hodes"/>
      <w:sz w:val="12"/>
      <w:szCs w:val="12"/>
    </w:rPr>
  </w:style>
  <w:style w:type="paragraph" w:customStyle="1" w:styleId="aff4">
    <w:name w:val="כות תוכן"/>
    <w:basedOn w:val="a2"/>
    <w:link w:val="aff5"/>
    <w:autoRedefine/>
    <w:qFormat/>
    <w:rsid w:val="001D5300"/>
    <w:pPr>
      <w:spacing w:after="120" w:line="240" w:lineRule="auto"/>
      <w:ind w:left="0"/>
      <w:jc w:val="center"/>
      <w:outlineLvl w:val="2"/>
    </w:pPr>
    <w:rPr>
      <w:rFonts w:ascii="Guttman Hodes" w:eastAsia="Guttman Hodes" w:hAnsi="Guttman Hodes" w:cs="Guttman Hodes"/>
      <w:b/>
      <w:bCs/>
      <w:sz w:val="18"/>
      <w:szCs w:val="18"/>
    </w:rPr>
  </w:style>
  <w:style w:type="character" w:customStyle="1" w:styleId="aff5">
    <w:name w:val="כות תוכן תו"/>
    <w:basedOn w:val="a4"/>
    <w:link w:val="aff4"/>
    <w:rsid w:val="001D5300"/>
    <w:rPr>
      <w:rFonts w:ascii="Guttman Hodes" w:eastAsia="Guttman Hodes" w:hAnsi="Guttman Hodes" w:cs="Guttman Hodes"/>
      <w:b/>
      <w:bCs/>
      <w:sz w:val="18"/>
      <w:szCs w:val="18"/>
    </w:rPr>
  </w:style>
  <w:style w:type="paragraph" w:customStyle="1" w:styleId="a1">
    <w:name w:val="מ''מ מוקטן"/>
    <w:basedOn w:val="a0"/>
    <w:next w:val="a3"/>
    <w:link w:val="aff6"/>
    <w:autoRedefine/>
    <w:qFormat/>
    <w:rsid w:val="00161186"/>
    <w:pPr>
      <w:numPr>
        <w:numId w:val="2"/>
      </w:numPr>
    </w:pPr>
    <w:rPr>
      <w:rFonts w:ascii="Guttman Rashi" w:eastAsia="Guttman Rashi" w:hAnsi="Guttman Rashi" w:cs="Guttman Rashi"/>
      <w:sz w:val="10"/>
      <w:szCs w:val="10"/>
    </w:rPr>
  </w:style>
  <w:style w:type="character" w:customStyle="1" w:styleId="aff6">
    <w:name w:val="מ''מ מוקטן תו"/>
    <w:basedOn w:val="a8"/>
    <w:link w:val="a1"/>
    <w:rsid w:val="00161186"/>
    <w:rPr>
      <w:rFonts w:ascii="Guttman Rashi" w:eastAsia="Guttman Rashi" w:hAnsi="Guttman Rashi" w:cs="Guttman Rashi"/>
      <w:noProof/>
      <w:sz w:val="10"/>
      <w:szCs w:val="10"/>
    </w:rPr>
  </w:style>
  <w:style w:type="paragraph" w:customStyle="1" w:styleId="aff7">
    <w:name w:val="מפרשים מועתק"/>
    <w:basedOn w:val="a2"/>
    <w:link w:val="aff8"/>
    <w:autoRedefine/>
    <w:qFormat/>
    <w:rsid w:val="00D210C6"/>
    <w:pPr>
      <w:spacing w:line="240" w:lineRule="auto"/>
      <w:ind w:left="0"/>
    </w:pPr>
    <w:rPr>
      <w:rFonts w:ascii="Guttman Hodes" w:eastAsia="Guttman Hodes" w:hAnsi="Guttman Hodes" w:cs="Guttman Hodes"/>
      <w:color w:val="7030A0"/>
      <w:sz w:val="16"/>
      <w:szCs w:val="16"/>
    </w:rPr>
  </w:style>
  <w:style w:type="character" w:customStyle="1" w:styleId="aff8">
    <w:name w:val="מפרשים מועתק תו"/>
    <w:basedOn w:val="a4"/>
    <w:link w:val="aff7"/>
    <w:rsid w:val="00D210C6"/>
    <w:rPr>
      <w:rFonts w:ascii="Guttman Hodes" w:eastAsia="Guttman Hodes" w:hAnsi="Guttman Hodes" w:cs="Guttman Hodes"/>
      <w:color w:val="7030A0"/>
      <w:sz w:val="16"/>
      <w:szCs w:val="16"/>
    </w:rPr>
  </w:style>
  <w:style w:type="paragraph" w:customStyle="1" w:styleId="aff9">
    <w:name w:val="מוקט מודגש"/>
    <w:basedOn w:val="a0"/>
    <w:link w:val="affa"/>
    <w:autoRedefine/>
    <w:qFormat/>
    <w:rsid w:val="006B1960"/>
    <w:pPr>
      <w:numPr>
        <w:numId w:val="0"/>
      </w:numPr>
    </w:pPr>
    <w:rPr>
      <w:b/>
      <w:bCs/>
      <w:szCs w:val="14"/>
    </w:rPr>
  </w:style>
  <w:style w:type="character" w:customStyle="1" w:styleId="affa">
    <w:name w:val="מוקט מודגש תו"/>
    <w:basedOn w:val="a8"/>
    <w:link w:val="aff9"/>
    <w:rsid w:val="006B1960"/>
    <w:rPr>
      <w:rFonts w:ascii="Guttman Hodes" w:eastAsia="Guttman Hodes" w:hAnsi="Guttman Hodes" w:cs="Guttman Hodes"/>
      <w:b/>
      <w:bCs/>
      <w:noProof/>
      <w:sz w:val="18"/>
      <w:szCs w:val="14"/>
    </w:rPr>
  </w:style>
  <w:style w:type="paragraph" w:customStyle="1" w:styleId="affb">
    <w:name w:val="מועתק"/>
    <w:basedOn w:val="a0"/>
    <w:link w:val="affc"/>
    <w:autoRedefine/>
    <w:qFormat/>
    <w:rsid w:val="00434836"/>
    <w:pPr>
      <w:numPr>
        <w:numId w:val="0"/>
      </w:numPr>
    </w:pPr>
    <w:rPr>
      <w:color w:val="7030A0"/>
      <w:sz w:val="12"/>
      <w:szCs w:val="12"/>
    </w:rPr>
  </w:style>
  <w:style w:type="character" w:customStyle="1" w:styleId="affc">
    <w:name w:val="מועתק תו"/>
    <w:basedOn w:val="a8"/>
    <w:link w:val="affb"/>
    <w:rsid w:val="00434836"/>
    <w:rPr>
      <w:rFonts w:ascii="Guttman Hodes" w:eastAsia="Guttman Hodes" w:hAnsi="Guttman Hodes" w:cs="Guttman Hodes"/>
      <w:noProof/>
      <w:color w:val="7030A0"/>
      <w:sz w:val="12"/>
      <w:szCs w:val="12"/>
    </w:rPr>
  </w:style>
  <w:style w:type="paragraph" w:customStyle="1" w:styleId="affd">
    <w:name w:val="כותרת מקטעים"/>
    <w:basedOn w:val="a9"/>
    <w:next w:val="1"/>
    <w:autoRedefine/>
    <w:qFormat/>
    <w:rsid w:val="00434836"/>
    <w:pPr>
      <w:spacing w:before="360"/>
      <w:ind w:left="0"/>
      <w:jc w:val="center"/>
    </w:pPr>
    <w:rPr>
      <w:rFonts w:ascii="Guttman Hodes" w:eastAsia="Guttman Hodes" w:hAnsi="Guttman Hodes" w:cs="Guttman Hodes"/>
      <w:b/>
      <w:bCs/>
      <w:sz w:val="23"/>
      <w:szCs w:val="23"/>
    </w:rPr>
  </w:style>
  <w:style w:type="paragraph" w:customStyle="1" w:styleId="11">
    <w:name w:val="מפרשים 1"/>
    <w:basedOn w:val="a2"/>
    <w:link w:val="12"/>
    <w:autoRedefine/>
    <w:qFormat/>
    <w:rsid w:val="00797161"/>
    <w:pPr>
      <w:spacing w:line="240" w:lineRule="auto"/>
      <w:ind w:left="0"/>
    </w:pPr>
    <w:rPr>
      <w:rFonts w:ascii="Guttman Hodes" w:eastAsia="Guttman Hodes" w:hAnsi="Guttman Hodes" w:cs="Guttman Hodes"/>
      <w:sz w:val="16"/>
      <w:szCs w:val="16"/>
    </w:rPr>
  </w:style>
  <w:style w:type="character" w:customStyle="1" w:styleId="12">
    <w:name w:val="מפרשים 1 תו"/>
    <w:basedOn w:val="a4"/>
    <w:link w:val="11"/>
    <w:rsid w:val="00797161"/>
    <w:rPr>
      <w:rFonts w:ascii="Guttman Hodes" w:eastAsia="Guttman Hodes" w:hAnsi="Guttman Hodes" w:cs="Guttman Hodes"/>
      <w:sz w:val="16"/>
      <w:szCs w:val="16"/>
    </w:rPr>
  </w:style>
  <w:style w:type="character" w:styleId="FollowedHyperlink">
    <w:name w:val="FollowedHyperlink"/>
    <w:basedOn w:val="a4"/>
    <w:uiPriority w:val="99"/>
    <w:semiHidden/>
    <w:unhideWhenUsed/>
    <w:rsid w:val="00FF73EE"/>
    <w:rPr>
      <w:color w:val="800080" w:themeColor="followedHyperlink"/>
      <w:u w:val="single"/>
    </w:rPr>
  </w:style>
  <w:style w:type="character" w:customStyle="1" w:styleId="affe">
    <w:name w:val="טקסט הערה תו"/>
    <w:basedOn w:val="a4"/>
    <w:link w:val="afff"/>
    <w:uiPriority w:val="99"/>
    <w:semiHidden/>
    <w:rsid w:val="003D504D"/>
    <w:rPr>
      <w:sz w:val="20"/>
      <w:szCs w:val="20"/>
    </w:rPr>
  </w:style>
  <w:style w:type="paragraph" w:styleId="afff">
    <w:name w:val="annotation text"/>
    <w:basedOn w:val="a2"/>
    <w:link w:val="affe"/>
    <w:uiPriority w:val="99"/>
    <w:semiHidden/>
    <w:unhideWhenUsed/>
    <w:rsid w:val="003D504D"/>
    <w:pPr>
      <w:spacing w:line="240" w:lineRule="auto"/>
    </w:pPr>
    <w:rPr>
      <w:sz w:val="20"/>
      <w:szCs w:val="20"/>
    </w:rPr>
  </w:style>
  <w:style w:type="character" w:customStyle="1" w:styleId="13">
    <w:name w:val="טקסט הערה תו1"/>
    <w:basedOn w:val="a4"/>
    <w:uiPriority w:val="99"/>
    <w:semiHidden/>
    <w:rsid w:val="003D504D"/>
    <w:rPr>
      <w:sz w:val="20"/>
      <w:szCs w:val="20"/>
    </w:rPr>
  </w:style>
  <w:style w:type="character" w:customStyle="1" w:styleId="afff0">
    <w:name w:val="נושא הערה תו"/>
    <w:basedOn w:val="affe"/>
    <w:link w:val="afff1"/>
    <w:uiPriority w:val="99"/>
    <w:semiHidden/>
    <w:rsid w:val="003D504D"/>
    <w:rPr>
      <w:b/>
      <w:bCs/>
      <w:sz w:val="20"/>
      <w:szCs w:val="20"/>
    </w:rPr>
  </w:style>
  <w:style w:type="paragraph" w:styleId="afff1">
    <w:name w:val="annotation subject"/>
    <w:basedOn w:val="afff"/>
    <w:next w:val="afff"/>
    <w:link w:val="afff0"/>
    <w:uiPriority w:val="99"/>
    <w:semiHidden/>
    <w:unhideWhenUsed/>
    <w:rsid w:val="003D504D"/>
    <w:rPr>
      <w:b/>
      <w:bCs/>
    </w:rPr>
  </w:style>
  <w:style w:type="character" w:customStyle="1" w:styleId="14">
    <w:name w:val="נושא הערה תו1"/>
    <w:basedOn w:val="13"/>
    <w:uiPriority w:val="99"/>
    <w:semiHidden/>
    <w:rsid w:val="003D504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722">
      <w:bodyDiv w:val="1"/>
      <w:marLeft w:val="0"/>
      <w:marRight w:val="0"/>
      <w:marTop w:val="0"/>
      <w:marBottom w:val="0"/>
      <w:divBdr>
        <w:top w:val="none" w:sz="0" w:space="0" w:color="auto"/>
        <w:left w:val="none" w:sz="0" w:space="0" w:color="auto"/>
        <w:bottom w:val="none" w:sz="0" w:space="0" w:color="auto"/>
        <w:right w:val="none" w:sz="0" w:space="0" w:color="auto"/>
      </w:divBdr>
    </w:div>
    <w:div w:id="12920946">
      <w:bodyDiv w:val="1"/>
      <w:marLeft w:val="0"/>
      <w:marRight w:val="0"/>
      <w:marTop w:val="0"/>
      <w:marBottom w:val="0"/>
      <w:divBdr>
        <w:top w:val="none" w:sz="0" w:space="0" w:color="auto"/>
        <w:left w:val="none" w:sz="0" w:space="0" w:color="auto"/>
        <w:bottom w:val="none" w:sz="0" w:space="0" w:color="auto"/>
        <w:right w:val="none" w:sz="0" w:space="0" w:color="auto"/>
      </w:divBdr>
    </w:div>
    <w:div w:id="19166609">
      <w:bodyDiv w:val="1"/>
      <w:marLeft w:val="0"/>
      <w:marRight w:val="0"/>
      <w:marTop w:val="0"/>
      <w:marBottom w:val="0"/>
      <w:divBdr>
        <w:top w:val="none" w:sz="0" w:space="0" w:color="auto"/>
        <w:left w:val="none" w:sz="0" w:space="0" w:color="auto"/>
        <w:bottom w:val="none" w:sz="0" w:space="0" w:color="auto"/>
        <w:right w:val="none" w:sz="0" w:space="0" w:color="auto"/>
      </w:divBdr>
    </w:div>
    <w:div w:id="22901043">
      <w:bodyDiv w:val="1"/>
      <w:marLeft w:val="0"/>
      <w:marRight w:val="0"/>
      <w:marTop w:val="0"/>
      <w:marBottom w:val="0"/>
      <w:divBdr>
        <w:top w:val="none" w:sz="0" w:space="0" w:color="auto"/>
        <w:left w:val="none" w:sz="0" w:space="0" w:color="auto"/>
        <w:bottom w:val="none" w:sz="0" w:space="0" w:color="auto"/>
        <w:right w:val="none" w:sz="0" w:space="0" w:color="auto"/>
      </w:divBdr>
    </w:div>
    <w:div w:id="22942462">
      <w:bodyDiv w:val="1"/>
      <w:marLeft w:val="0"/>
      <w:marRight w:val="0"/>
      <w:marTop w:val="0"/>
      <w:marBottom w:val="0"/>
      <w:divBdr>
        <w:top w:val="none" w:sz="0" w:space="0" w:color="auto"/>
        <w:left w:val="none" w:sz="0" w:space="0" w:color="auto"/>
        <w:bottom w:val="none" w:sz="0" w:space="0" w:color="auto"/>
        <w:right w:val="none" w:sz="0" w:space="0" w:color="auto"/>
      </w:divBdr>
    </w:div>
    <w:div w:id="51543579">
      <w:bodyDiv w:val="1"/>
      <w:marLeft w:val="0"/>
      <w:marRight w:val="0"/>
      <w:marTop w:val="0"/>
      <w:marBottom w:val="0"/>
      <w:divBdr>
        <w:top w:val="none" w:sz="0" w:space="0" w:color="auto"/>
        <w:left w:val="none" w:sz="0" w:space="0" w:color="auto"/>
        <w:bottom w:val="none" w:sz="0" w:space="0" w:color="auto"/>
        <w:right w:val="none" w:sz="0" w:space="0" w:color="auto"/>
      </w:divBdr>
    </w:div>
    <w:div w:id="62726618">
      <w:bodyDiv w:val="1"/>
      <w:marLeft w:val="0"/>
      <w:marRight w:val="0"/>
      <w:marTop w:val="0"/>
      <w:marBottom w:val="0"/>
      <w:divBdr>
        <w:top w:val="none" w:sz="0" w:space="0" w:color="auto"/>
        <w:left w:val="none" w:sz="0" w:space="0" w:color="auto"/>
        <w:bottom w:val="none" w:sz="0" w:space="0" w:color="auto"/>
        <w:right w:val="none" w:sz="0" w:space="0" w:color="auto"/>
      </w:divBdr>
    </w:div>
    <w:div w:id="62997140">
      <w:bodyDiv w:val="1"/>
      <w:marLeft w:val="0"/>
      <w:marRight w:val="0"/>
      <w:marTop w:val="0"/>
      <w:marBottom w:val="0"/>
      <w:divBdr>
        <w:top w:val="none" w:sz="0" w:space="0" w:color="auto"/>
        <w:left w:val="none" w:sz="0" w:space="0" w:color="auto"/>
        <w:bottom w:val="none" w:sz="0" w:space="0" w:color="auto"/>
        <w:right w:val="none" w:sz="0" w:space="0" w:color="auto"/>
      </w:divBdr>
    </w:div>
    <w:div w:id="75901827">
      <w:bodyDiv w:val="1"/>
      <w:marLeft w:val="0"/>
      <w:marRight w:val="0"/>
      <w:marTop w:val="0"/>
      <w:marBottom w:val="0"/>
      <w:divBdr>
        <w:top w:val="none" w:sz="0" w:space="0" w:color="auto"/>
        <w:left w:val="none" w:sz="0" w:space="0" w:color="auto"/>
        <w:bottom w:val="none" w:sz="0" w:space="0" w:color="auto"/>
        <w:right w:val="none" w:sz="0" w:space="0" w:color="auto"/>
      </w:divBdr>
    </w:div>
    <w:div w:id="76483138">
      <w:bodyDiv w:val="1"/>
      <w:marLeft w:val="0"/>
      <w:marRight w:val="0"/>
      <w:marTop w:val="0"/>
      <w:marBottom w:val="0"/>
      <w:divBdr>
        <w:top w:val="none" w:sz="0" w:space="0" w:color="auto"/>
        <w:left w:val="none" w:sz="0" w:space="0" w:color="auto"/>
        <w:bottom w:val="none" w:sz="0" w:space="0" w:color="auto"/>
        <w:right w:val="none" w:sz="0" w:space="0" w:color="auto"/>
      </w:divBdr>
    </w:div>
    <w:div w:id="77214971">
      <w:bodyDiv w:val="1"/>
      <w:marLeft w:val="0"/>
      <w:marRight w:val="0"/>
      <w:marTop w:val="0"/>
      <w:marBottom w:val="0"/>
      <w:divBdr>
        <w:top w:val="none" w:sz="0" w:space="0" w:color="auto"/>
        <w:left w:val="none" w:sz="0" w:space="0" w:color="auto"/>
        <w:bottom w:val="none" w:sz="0" w:space="0" w:color="auto"/>
        <w:right w:val="none" w:sz="0" w:space="0" w:color="auto"/>
      </w:divBdr>
    </w:div>
    <w:div w:id="78792984">
      <w:bodyDiv w:val="1"/>
      <w:marLeft w:val="0"/>
      <w:marRight w:val="0"/>
      <w:marTop w:val="0"/>
      <w:marBottom w:val="0"/>
      <w:divBdr>
        <w:top w:val="none" w:sz="0" w:space="0" w:color="auto"/>
        <w:left w:val="none" w:sz="0" w:space="0" w:color="auto"/>
        <w:bottom w:val="none" w:sz="0" w:space="0" w:color="auto"/>
        <w:right w:val="none" w:sz="0" w:space="0" w:color="auto"/>
      </w:divBdr>
    </w:div>
    <w:div w:id="80151800">
      <w:bodyDiv w:val="1"/>
      <w:marLeft w:val="0"/>
      <w:marRight w:val="0"/>
      <w:marTop w:val="0"/>
      <w:marBottom w:val="0"/>
      <w:divBdr>
        <w:top w:val="none" w:sz="0" w:space="0" w:color="auto"/>
        <w:left w:val="none" w:sz="0" w:space="0" w:color="auto"/>
        <w:bottom w:val="none" w:sz="0" w:space="0" w:color="auto"/>
        <w:right w:val="none" w:sz="0" w:space="0" w:color="auto"/>
      </w:divBdr>
    </w:div>
    <w:div w:id="83035543">
      <w:bodyDiv w:val="1"/>
      <w:marLeft w:val="0"/>
      <w:marRight w:val="0"/>
      <w:marTop w:val="0"/>
      <w:marBottom w:val="0"/>
      <w:divBdr>
        <w:top w:val="none" w:sz="0" w:space="0" w:color="auto"/>
        <w:left w:val="none" w:sz="0" w:space="0" w:color="auto"/>
        <w:bottom w:val="none" w:sz="0" w:space="0" w:color="auto"/>
        <w:right w:val="none" w:sz="0" w:space="0" w:color="auto"/>
      </w:divBdr>
    </w:div>
    <w:div w:id="86123290">
      <w:bodyDiv w:val="1"/>
      <w:marLeft w:val="0"/>
      <w:marRight w:val="0"/>
      <w:marTop w:val="0"/>
      <w:marBottom w:val="0"/>
      <w:divBdr>
        <w:top w:val="none" w:sz="0" w:space="0" w:color="auto"/>
        <w:left w:val="none" w:sz="0" w:space="0" w:color="auto"/>
        <w:bottom w:val="none" w:sz="0" w:space="0" w:color="auto"/>
        <w:right w:val="none" w:sz="0" w:space="0" w:color="auto"/>
      </w:divBdr>
    </w:div>
    <w:div w:id="87584375">
      <w:bodyDiv w:val="1"/>
      <w:marLeft w:val="0"/>
      <w:marRight w:val="0"/>
      <w:marTop w:val="0"/>
      <w:marBottom w:val="0"/>
      <w:divBdr>
        <w:top w:val="none" w:sz="0" w:space="0" w:color="auto"/>
        <w:left w:val="none" w:sz="0" w:space="0" w:color="auto"/>
        <w:bottom w:val="none" w:sz="0" w:space="0" w:color="auto"/>
        <w:right w:val="none" w:sz="0" w:space="0" w:color="auto"/>
      </w:divBdr>
    </w:div>
    <w:div w:id="94448725">
      <w:bodyDiv w:val="1"/>
      <w:marLeft w:val="0"/>
      <w:marRight w:val="0"/>
      <w:marTop w:val="0"/>
      <w:marBottom w:val="0"/>
      <w:divBdr>
        <w:top w:val="none" w:sz="0" w:space="0" w:color="auto"/>
        <w:left w:val="none" w:sz="0" w:space="0" w:color="auto"/>
        <w:bottom w:val="none" w:sz="0" w:space="0" w:color="auto"/>
        <w:right w:val="none" w:sz="0" w:space="0" w:color="auto"/>
      </w:divBdr>
    </w:div>
    <w:div w:id="94600550">
      <w:bodyDiv w:val="1"/>
      <w:marLeft w:val="0"/>
      <w:marRight w:val="0"/>
      <w:marTop w:val="0"/>
      <w:marBottom w:val="0"/>
      <w:divBdr>
        <w:top w:val="none" w:sz="0" w:space="0" w:color="auto"/>
        <w:left w:val="none" w:sz="0" w:space="0" w:color="auto"/>
        <w:bottom w:val="none" w:sz="0" w:space="0" w:color="auto"/>
        <w:right w:val="none" w:sz="0" w:space="0" w:color="auto"/>
      </w:divBdr>
      <w:divsChild>
        <w:div w:id="1282348297">
          <w:marLeft w:val="0"/>
          <w:marRight w:val="0"/>
          <w:marTop w:val="0"/>
          <w:marBottom w:val="120"/>
          <w:divBdr>
            <w:top w:val="none" w:sz="0" w:space="0" w:color="auto"/>
            <w:left w:val="none" w:sz="0" w:space="0" w:color="auto"/>
            <w:bottom w:val="none" w:sz="0" w:space="0" w:color="auto"/>
            <w:right w:val="none" w:sz="0" w:space="0" w:color="auto"/>
          </w:divBdr>
        </w:div>
      </w:divsChild>
    </w:div>
    <w:div w:id="96949648">
      <w:bodyDiv w:val="1"/>
      <w:marLeft w:val="0"/>
      <w:marRight w:val="0"/>
      <w:marTop w:val="0"/>
      <w:marBottom w:val="0"/>
      <w:divBdr>
        <w:top w:val="none" w:sz="0" w:space="0" w:color="auto"/>
        <w:left w:val="none" w:sz="0" w:space="0" w:color="auto"/>
        <w:bottom w:val="none" w:sz="0" w:space="0" w:color="auto"/>
        <w:right w:val="none" w:sz="0" w:space="0" w:color="auto"/>
      </w:divBdr>
    </w:div>
    <w:div w:id="98646878">
      <w:bodyDiv w:val="1"/>
      <w:marLeft w:val="0"/>
      <w:marRight w:val="0"/>
      <w:marTop w:val="0"/>
      <w:marBottom w:val="0"/>
      <w:divBdr>
        <w:top w:val="none" w:sz="0" w:space="0" w:color="auto"/>
        <w:left w:val="none" w:sz="0" w:space="0" w:color="auto"/>
        <w:bottom w:val="none" w:sz="0" w:space="0" w:color="auto"/>
        <w:right w:val="none" w:sz="0" w:space="0" w:color="auto"/>
      </w:divBdr>
    </w:div>
    <w:div w:id="101539037">
      <w:bodyDiv w:val="1"/>
      <w:marLeft w:val="0"/>
      <w:marRight w:val="0"/>
      <w:marTop w:val="0"/>
      <w:marBottom w:val="0"/>
      <w:divBdr>
        <w:top w:val="none" w:sz="0" w:space="0" w:color="auto"/>
        <w:left w:val="none" w:sz="0" w:space="0" w:color="auto"/>
        <w:bottom w:val="none" w:sz="0" w:space="0" w:color="auto"/>
        <w:right w:val="none" w:sz="0" w:space="0" w:color="auto"/>
      </w:divBdr>
    </w:div>
    <w:div w:id="102068788">
      <w:bodyDiv w:val="1"/>
      <w:marLeft w:val="0"/>
      <w:marRight w:val="0"/>
      <w:marTop w:val="0"/>
      <w:marBottom w:val="0"/>
      <w:divBdr>
        <w:top w:val="none" w:sz="0" w:space="0" w:color="auto"/>
        <w:left w:val="none" w:sz="0" w:space="0" w:color="auto"/>
        <w:bottom w:val="none" w:sz="0" w:space="0" w:color="auto"/>
        <w:right w:val="none" w:sz="0" w:space="0" w:color="auto"/>
      </w:divBdr>
    </w:div>
    <w:div w:id="105858735">
      <w:bodyDiv w:val="1"/>
      <w:marLeft w:val="0"/>
      <w:marRight w:val="0"/>
      <w:marTop w:val="0"/>
      <w:marBottom w:val="0"/>
      <w:divBdr>
        <w:top w:val="none" w:sz="0" w:space="0" w:color="auto"/>
        <w:left w:val="none" w:sz="0" w:space="0" w:color="auto"/>
        <w:bottom w:val="none" w:sz="0" w:space="0" w:color="auto"/>
        <w:right w:val="none" w:sz="0" w:space="0" w:color="auto"/>
      </w:divBdr>
    </w:div>
    <w:div w:id="106581970">
      <w:bodyDiv w:val="1"/>
      <w:marLeft w:val="0"/>
      <w:marRight w:val="0"/>
      <w:marTop w:val="0"/>
      <w:marBottom w:val="0"/>
      <w:divBdr>
        <w:top w:val="none" w:sz="0" w:space="0" w:color="auto"/>
        <w:left w:val="none" w:sz="0" w:space="0" w:color="auto"/>
        <w:bottom w:val="none" w:sz="0" w:space="0" w:color="auto"/>
        <w:right w:val="none" w:sz="0" w:space="0" w:color="auto"/>
      </w:divBdr>
    </w:div>
    <w:div w:id="112284870">
      <w:bodyDiv w:val="1"/>
      <w:marLeft w:val="0"/>
      <w:marRight w:val="0"/>
      <w:marTop w:val="0"/>
      <w:marBottom w:val="0"/>
      <w:divBdr>
        <w:top w:val="none" w:sz="0" w:space="0" w:color="auto"/>
        <w:left w:val="none" w:sz="0" w:space="0" w:color="auto"/>
        <w:bottom w:val="none" w:sz="0" w:space="0" w:color="auto"/>
        <w:right w:val="none" w:sz="0" w:space="0" w:color="auto"/>
      </w:divBdr>
    </w:div>
    <w:div w:id="113258751">
      <w:bodyDiv w:val="1"/>
      <w:marLeft w:val="0"/>
      <w:marRight w:val="0"/>
      <w:marTop w:val="0"/>
      <w:marBottom w:val="0"/>
      <w:divBdr>
        <w:top w:val="none" w:sz="0" w:space="0" w:color="auto"/>
        <w:left w:val="none" w:sz="0" w:space="0" w:color="auto"/>
        <w:bottom w:val="none" w:sz="0" w:space="0" w:color="auto"/>
        <w:right w:val="none" w:sz="0" w:space="0" w:color="auto"/>
      </w:divBdr>
    </w:div>
    <w:div w:id="130103540">
      <w:bodyDiv w:val="1"/>
      <w:marLeft w:val="0"/>
      <w:marRight w:val="0"/>
      <w:marTop w:val="0"/>
      <w:marBottom w:val="0"/>
      <w:divBdr>
        <w:top w:val="none" w:sz="0" w:space="0" w:color="auto"/>
        <w:left w:val="none" w:sz="0" w:space="0" w:color="auto"/>
        <w:bottom w:val="none" w:sz="0" w:space="0" w:color="auto"/>
        <w:right w:val="none" w:sz="0" w:space="0" w:color="auto"/>
      </w:divBdr>
    </w:div>
    <w:div w:id="133917128">
      <w:bodyDiv w:val="1"/>
      <w:marLeft w:val="0"/>
      <w:marRight w:val="0"/>
      <w:marTop w:val="0"/>
      <w:marBottom w:val="0"/>
      <w:divBdr>
        <w:top w:val="none" w:sz="0" w:space="0" w:color="auto"/>
        <w:left w:val="none" w:sz="0" w:space="0" w:color="auto"/>
        <w:bottom w:val="none" w:sz="0" w:space="0" w:color="auto"/>
        <w:right w:val="none" w:sz="0" w:space="0" w:color="auto"/>
      </w:divBdr>
    </w:div>
    <w:div w:id="141778401">
      <w:bodyDiv w:val="1"/>
      <w:marLeft w:val="0"/>
      <w:marRight w:val="0"/>
      <w:marTop w:val="0"/>
      <w:marBottom w:val="0"/>
      <w:divBdr>
        <w:top w:val="none" w:sz="0" w:space="0" w:color="auto"/>
        <w:left w:val="none" w:sz="0" w:space="0" w:color="auto"/>
        <w:bottom w:val="none" w:sz="0" w:space="0" w:color="auto"/>
        <w:right w:val="none" w:sz="0" w:space="0" w:color="auto"/>
      </w:divBdr>
    </w:div>
    <w:div w:id="144199319">
      <w:bodyDiv w:val="1"/>
      <w:marLeft w:val="0"/>
      <w:marRight w:val="0"/>
      <w:marTop w:val="0"/>
      <w:marBottom w:val="0"/>
      <w:divBdr>
        <w:top w:val="none" w:sz="0" w:space="0" w:color="auto"/>
        <w:left w:val="none" w:sz="0" w:space="0" w:color="auto"/>
        <w:bottom w:val="none" w:sz="0" w:space="0" w:color="auto"/>
        <w:right w:val="none" w:sz="0" w:space="0" w:color="auto"/>
      </w:divBdr>
    </w:div>
    <w:div w:id="161968927">
      <w:bodyDiv w:val="1"/>
      <w:marLeft w:val="0"/>
      <w:marRight w:val="0"/>
      <w:marTop w:val="0"/>
      <w:marBottom w:val="0"/>
      <w:divBdr>
        <w:top w:val="none" w:sz="0" w:space="0" w:color="auto"/>
        <w:left w:val="none" w:sz="0" w:space="0" w:color="auto"/>
        <w:bottom w:val="none" w:sz="0" w:space="0" w:color="auto"/>
        <w:right w:val="none" w:sz="0" w:space="0" w:color="auto"/>
      </w:divBdr>
    </w:div>
    <w:div w:id="164173129">
      <w:bodyDiv w:val="1"/>
      <w:marLeft w:val="0"/>
      <w:marRight w:val="0"/>
      <w:marTop w:val="0"/>
      <w:marBottom w:val="0"/>
      <w:divBdr>
        <w:top w:val="none" w:sz="0" w:space="0" w:color="auto"/>
        <w:left w:val="none" w:sz="0" w:space="0" w:color="auto"/>
        <w:bottom w:val="none" w:sz="0" w:space="0" w:color="auto"/>
        <w:right w:val="none" w:sz="0" w:space="0" w:color="auto"/>
      </w:divBdr>
    </w:div>
    <w:div w:id="179245791">
      <w:bodyDiv w:val="1"/>
      <w:marLeft w:val="0"/>
      <w:marRight w:val="0"/>
      <w:marTop w:val="0"/>
      <w:marBottom w:val="0"/>
      <w:divBdr>
        <w:top w:val="none" w:sz="0" w:space="0" w:color="auto"/>
        <w:left w:val="none" w:sz="0" w:space="0" w:color="auto"/>
        <w:bottom w:val="none" w:sz="0" w:space="0" w:color="auto"/>
        <w:right w:val="none" w:sz="0" w:space="0" w:color="auto"/>
      </w:divBdr>
    </w:div>
    <w:div w:id="182403655">
      <w:bodyDiv w:val="1"/>
      <w:marLeft w:val="0"/>
      <w:marRight w:val="0"/>
      <w:marTop w:val="0"/>
      <w:marBottom w:val="0"/>
      <w:divBdr>
        <w:top w:val="none" w:sz="0" w:space="0" w:color="auto"/>
        <w:left w:val="none" w:sz="0" w:space="0" w:color="auto"/>
        <w:bottom w:val="none" w:sz="0" w:space="0" w:color="auto"/>
        <w:right w:val="none" w:sz="0" w:space="0" w:color="auto"/>
      </w:divBdr>
    </w:div>
    <w:div w:id="183714465">
      <w:bodyDiv w:val="1"/>
      <w:marLeft w:val="0"/>
      <w:marRight w:val="0"/>
      <w:marTop w:val="0"/>
      <w:marBottom w:val="0"/>
      <w:divBdr>
        <w:top w:val="none" w:sz="0" w:space="0" w:color="auto"/>
        <w:left w:val="none" w:sz="0" w:space="0" w:color="auto"/>
        <w:bottom w:val="none" w:sz="0" w:space="0" w:color="auto"/>
        <w:right w:val="none" w:sz="0" w:space="0" w:color="auto"/>
      </w:divBdr>
    </w:div>
    <w:div w:id="196353218">
      <w:bodyDiv w:val="1"/>
      <w:marLeft w:val="0"/>
      <w:marRight w:val="0"/>
      <w:marTop w:val="0"/>
      <w:marBottom w:val="0"/>
      <w:divBdr>
        <w:top w:val="none" w:sz="0" w:space="0" w:color="auto"/>
        <w:left w:val="none" w:sz="0" w:space="0" w:color="auto"/>
        <w:bottom w:val="none" w:sz="0" w:space="0" w:color="auto"/>
        <w:right w:val="none" w:sz="0" w:space="0" w:color="auto"/>
      </w:divBdr>
    </w:div>
    <w:div w:id="208958152">
      <w:bodyDiv w:val="1"/>
      <w:marLeft w:val="0"/>
      <w:marRight w:val="0"/>
      <w:marTop w:val="0"/>
      <w:marBottom w:val="0"/>
      <w:divBdr>
        <w:top w:val="none" w:sz="0" w:space="0" w:color="auto"/>
        <w:left w:val="none" w:sz="0" w:space="0" w:color="auto"/>
        <w:bottom w:val="none" w:sz="0" w:space="0" w:color="auto"/>
        <w:right w:val="none" w:sz="0" w:space="0" w:color="auto"/>
      </w:divBdr>
    </w:div>
    <w:div w:id="215895799">
      <w:bodyDiv w:val="1"/>
      <w:marLeft w:val="0"/>
      <w:marRight w:val="0"/>
      <w:marTop w:val="0"/>
      <w:marBottom w:val="0"/>
      <w:divBdr>
        <w:top w:val="none" w:sz="0" w:space="0" w:color="auto"/>
        <w:left w:val="none" w:sz="0" w:space="0" w:color="auto"/>
        <w:bottom w:val="none" w:sz="0" w:space="0" w:color="auto"/>
        <w:right w:val="none" w:sz="0" w:space="0" w:color="auto"/>
      </w:divBdr>
    </w:div>
    <w:div w:id="217403432">
      <w:bodyDiv w:val="1"/>
      <w:marLeft w:val="0"/>
      <w:marRight w:val="0"/>
      <w:marTop w:val="0"/>
      <w:marBottom w:val="0"/>
      <w:divBdr>
        <w:top w:val="none" w:sz="0" w:space="0" w:color="auto"/>
        <w:left w:val="none" w:sz="0" w:space="0" w:color="auto"/>
        <w:bottom w:val="none" w:sz="0" w:space="0" w:color="auto"/>
        <w:right w:val="none" w:sz="0" w:space="0" w:color="auto"/>
      </w:divBdr>
    </w:div>
    <w:div w:id="225576682">
      <w:bodyDiv w:val="1"/>
      <w:marLeft w:val="0"/>
      <w:marRight w:val="0"/>
      <w:marTop w:val="0"/>
      <w:marBottom w:val="0"/>
      <w:divBdr>
        <w:top w:val="none" w:sz="0" w:space="0" w:color="auto"/>
        <w:left w:val="none" w:sz="0" w:space="0" w:color="auto"/>
        <w:bottom w:val="none" w:sz="0" w:space="0" w:color="auto"/>
        <w:right w:val="none" w:sz="0" w:space="0" w:color="auto"/>
      </w:divBdr>
    </w:div>
    <w:div w:id="226303557">
      <w:bodyDiv w:val="1"/>
      <w:marLeft w:val="0"/>
      <w:marRight w:val="0"/>
      <w:marTop w:val="0"/>
      <w:marBottom w:val="0"/>
      <w:divBdr>
        <w:top w:val="none" w:sz="0" w:space="0" w:color="auto"/>
        <w:left w:val="none" w:sz="0" w:space="0" w:color="auto"/>
        <w:bottom w:val="none" w:sz="0" w:space="0" w:color="auto"/>
        <w:right w:val="none" w:sz="0" w:space="0" w:color="auto"/>
      </w:divBdr>
    </w:div>
    <w:div w:id="246964360">
      <w:bodyDiv w:val="1"/>
      <w:marLeft w:val="0"/>
      <w:marRight w:val="0"/>
      <w:marTop w:val="0"/>
      <w:marBottom w:val="0"/>
      <w:divBdr>
        <w:top w:val="none" w:sz="0" w:space="0" w:color="auto"/>
        <w:left w:val="none" w:sz="0" w:space="0" w:color="auto"/>
        <w:bottom w:val="none" w:sz="0" w:space="0" w:color="auto"/>
        <w:right w:val="none" w:sz="0" w:space="0" w:color="auto"/>
      </w:divBdr>
    </w:div>
    <w:div w:id="250623813">
      <w:bodyDiv w:val="1"/>
      <w:marLeft w:val="0"/>
      <w:marRight w:val="0"/>
      <w:marTop w:val="0"/>
      <w:marBottom w:val="0"/>
      <w:divBdr>
        <w:top w:val="none" w:sz="0" w:space="0" w:color="auto"/>
        <w:left w:val="none" w:sz="0" w:space="0" w:color="auto"/>
        <w:bottom w:val="none" w:sz="0" w:space="0" w:color="auto"/>
        <w:right w:val="none" w:sz="0" w:space="0" w:color="auto"/>
      </w:divBdr>
    </w:div>
    <w:div w:id="251205878">
      <w:bodyDiv w:val="1"/>
      <w:marLeft w:val="0"/>
      <w:marRight w:val="0"/>
      <w:marTop w:val="0"/>
      <w:marBottom w:val="0"/>
      <w:divBdr>
        <w:top w:val="none" w:sz="0" w:space="0" w:color="auto"/>
        <w:left w:val="none" w:sz="0" w:space="0" w:color="auto"/>
        <w:bottom w:val="none" w:sz="0" w:space="0" w:color="auto"/>
        <w:right w:val="none" w:sz="0" w:space="0" w:color="auto"/>
      </w:divBdr>
    </w:div>
    <w:div w:id="251360520">
      <w:bodyDiv w:val="1"/>
      <w:marLeft w:val="0"/>
      <w:marRight w:val="0"/>
      <w:marTop w:val="0"/>
      <w:marBottom w:val="0"/>
      <w:divBdr>
        <w:top w:val="none" w:sz="0" w:space="0" w:color="auto"/>
        <w:left w:val="none" w:sz="0" w:space="0" w:color="auto"/>
        <w:bottom w:val="none" w:sz="0" w:space="0" w:color="auto"/>
        <w:right w:val="none" w:sz="0" w:space="0" w:color="auto"/>
      </w:divBdr>
    </w:div>
    <w:div w:id="258681471">
      <w:bodyDiv w:val="1"/>
      <w:marLeft w:val="0"/>
      <w:marRight w:val="0"/>
      <w:marTop w:val="0"/>
      <w:marBottom w:val="0"/>
      <w:divBdr>
        <w:top w:val="none" w:sz="0" w:space="0" w:color="auto"/>
        <w:left w:val="none" w:sz="0" w:space="0" w:color="auto"/>
        <w:bottom w:val="none" w:sz="0" w:space="0" w:color="auto"/>
        <w:right w:val="none" w:sz="0" w:space="0" w:color="auto"/>
      </w:divBdr>
    </w:div>
    <w:div w:id="261498275">
      <w:bodyDiv w:val="1"/>
      <w:marLeft w:val="0"/>
      <w:marRight w:val="0"/>
      <w:marTop w:val="0"/>
      <w:marBottom w:val="0"/>
      <w:divBdr>
        <w:top w:val="none" w:sz="0" w:space="0" w:color="auto"/>
        <w:left w:val="none" w:sz="0" w:space="0" w:color="auto"/>
        <w:bottom w:val="none" w:sz="0" w:space="0" w:color="auto"/>
        <w:right w:val="none" w:sz="0" w:space="0" w:color="auto"/>
      </w:divBdr>
    </w:div>
    <w:div w:id="263660739">
      <w:bodyDiv w:val="1"/>
      <w:marLeft w:val="0"/>
      <w:marRight w:val="0"/>
      <w:marTop w:val="0"/>
      <w:marBottom w:val="0"/>
      <w:divBdr>
        <w:top w:val="none" w:sz="0" w:space="0" w:color="auto"/>
        <w:left w:val="none" w:sz="0" w:space="0" w:color="auto"/>
        <w:bottom w:val="none" w:sz="0" w:space="0" w:color="auto"/>
        <w:right w:val="none" w:sz="0" w:space="0" w:color="auto"/>
      </w:divBdr>
    </w:div>
    <w:div w:id="265310569">
      <w:bodyDiv w:val="1"/>
      <w:marLeft w:val="0"/>
      <w:marRight w:val="0"/>
      <w:marTop w:val="0"/>
      <w:marBottom w:val="0"/>
      <w:divBdr>
        <w:top w:val="none" w:sz="0" w:space="0" w:color="auto"/>
        <w:left w:val="none" w:sz="0" w:space="0" w:color="auto"/>
        <w:bottom w:val="none" w:sz="0" w:space="0" w:color="auto"/>
        <w:right w:val="none" w:sz="0" w:space="0" w:color="auto"/>
      </w:divBdr>
    </w:div>
    <w:div w:id="266545424">
      <w:bodyDiv w:val="1"/>
      <w:marLeft w:val="0"/>
      <w:marRight w:val="0"/>
      <w:marTop w:val="0"/>
      <w:marBottom w:val="0"/>
      <w:divBdr>
        <w:top w:val="none" w:sz="0" w:space="0" w:color="auto"/>
        <w:left w:val="none" w:sz="0" w:space="0" w:color="auto"/>
        <w:bottom w:val="none" w:sz="0" w:space="0" w:color="auto"/>
        <w:right w:val="none" w:sz="0" w:space="0" w:color="auto"/>
      </w:divBdr>
    </w:div>
    <w:div w:id="270666233">
      <w:bodyDiv w:val="1"/>
      <w:marLeft w:val="0"/>
      <w:marRight w:val="0"/>
      <w:marTop w:val="0"/>
      <w:marBottom w:val="0"/>
      <w:divBdr>
        <w:top w:val="none" w:sz="0" w:space="0" w:color="auto"/>
        <w:left w:val="none" w:sz="0" w:space="0" w:color="auto"/>
        <w:bottom w:val="none" w:sz="0" w:space="0" w:color="auto"/>
        <w:right w:val="none" w:sz="0" w:space="0" w:color="auto"/>
      </w:divBdr>
    </w:div>
    <w:div w:id="272132226">
      <w:bodyDiv w:val="1"/>
      <w:marLeft w:val="0"/>
      <w:marRight w:val="0"/>
      <w:marTop w:val="0"/>
      <w:marBottom w:val="0"/>
      <w:divBdr>
        <w:top w:val="none" w:sz="0" w:space="0" w:color="auto"/>
        <w:left w:val="none" w:sz="0" w:space="0" w:color="auto"/>
        <w:bottom w:val="none" w:sz="0" w:space="0" w:color="auto"/>
        <w:right w:val="none" w:sz="0" w:space="0" w:color="auto"/>
      </w:divBdr>
    </w:div>
    <w:div w:id="275984177">
      <w:bodyDiv w:val="1"/>
      <w:marLeft w:val="0"/>
      <w:marRight w:val="0"/>
      <w:marTop w:val="0"/>
      <w:marBottom w:val="0"/>
      <w:divBdr>
        <w:top w:val="none" w:sz="0" w:space="0" w:color="auto"/>
        <w:left w:val="none" w:sz="0" w:space="0" w:color="auto"/>
        <w:bottom w:val="none" w:sz="0" w:space="0" w:color="auto"/>
        <w:right w:val="none" w:sz="0" w:space="0" w:color="auto"/>
      </w:divBdr>
    </w:div>
    <w:div w:id="276497142">
      <w:bodyDiv w:val="1"/>
      <w:marLeft w:val="0"/>
      <w:marRight w:val="0"/>
      <w:marTop w:val="0"/>
      <w:marBottom w:val="0"/>
      <w:divBdr>
        <w:top w:val="none" w:sz="0" w:space="0" w:color="auto"/>
        <w:left w:val="none" w:sz="0" w:space="0" w:color="auto"/>
        <w:bottom w:val="none" w:sz="0" w:space="0" w:color="auto"/>
        <w:right w:val="none" w:sz="0" w:space="0" w:color="auto"/>
      </w:divBdr>
    </w:div>
    <w:div w:id="285812563">
      <w:bodyDiv w:val="1"/>
      <w:marLeft w:val="0"/>
      <w:marRight w:val="0"/>
      <w:marTop w:val="0"/>
      <w:marBottom w:val="0"/>
      <w:divBdr>
        <w:top w:val="none" w:sz="0" w:space="0" w:color="auto"/>
        <w:left w:val="none" w:sz="0" w:space="0" w:color="auto"/>
        <w:bottom w:val="none" w:sz="0" w:space="0" w:color="auto"/>
        <w:right w:val="none" w:sz="0" w:space="0" w:color="auto"/>
      </w:divBdr>
    </w:div>
    <w:div w:id="308367974">
      <w:bodyDiv w:val="1"/>
      <w:marLeft w:val="0"/>
      <w:marRight w:val="0"/>
      <w:marTop w:val="0"/>
      <w:marBottom w:val="0"/>
      <w:divBdr>
        <w:top w:val="none" w:sz="0" w:space="0" w:color="auto"/>
        <w:left w:val="none" w:sz="0" w:space="0" w:color="auto"/>
        <w:bottom w:val="none" w:sz="0" w:space="0" w:color="auto"/>
        <w:right w:val="none" w:sz="0" w:space="0" w:color="auto"/>
      </w:divBdr>
    </w:div>
    <w:div w:id="308754937">
      <w:bodyDiv w:val="1"/>
      <w:marLeft w:val="0"/>
      <w:marRight w:val="0"/>
      <w:marTop w:val="0"/>
      <w:marBottom w:val="0"/>
      <w:divBdr>
        <w:top w:val="none" w:sz="0" w:space="0" w:color="auto"/>
        <w:left w:val="none" w:sz="0" w:space="0" w:color="auto"/>
        <w:bottom w:val="none" w:sz="0" w:space="0" w:color="auto"/>
        <w:right w:val="none" w:sz="0" w:space="0" w:color="auto"/>
      </w:divBdr>
    </w:div>
    <w:div w:id="318656949">
      <w:bodyDiv w:val="1"/>
      <w:marLeft w:val="0"/>
      <w:marRight w:val="0"/>
      <w:marTop w:val="0"/>
      <w:marBottom w:val="0"/>
      <w:divBdr>
        <w:top w:val="none" w:sz="0" w:space="0" w:color="auto"/>
        <w:left w:val="none" w:sz="0" w:space="0" w:color="auto"/>
        <w:bottom w:val="none" w:sz="0" w:space="0" w:color="auto"/>
        <w:right w:val="none" w:sz="0" w:space="0" w:color="auto"/>
      </w:divBdr>
    </w:div>
    <w:div w:id="319427279">
      <w:bodyDiv w:val="1"/>
      <w:marLeft w:val="0"/>
      <w:marRight w:val="0"/>
      <w:marTop w:val="0"/>
      <w:marBottom w:val="0"/>
      <w:divBdr>
        <w:top w:val="none" w:sz="0" w:space="0" w:color="auto"/>
        <w:left w:val="none" w:sz="0" w:space="0" w:color="auto"/>
        <w:bottom w:val="none" w:sz="0" w:space="0" w:color="auto"/>
        <w:right w:val="none" w:sz="0" w:space="0" w:color="auto"/>
      </w:divBdr>
    </w:div>
    <w:div w:id="334916167">
      <w:bodyDiv w:val="1"/>
      <w:marLeft w:val="0"/>
      <w:marRight w:val="0"/>
      <w:marTop w:val="0"/>
      <w:marBottom w:val="0"/>
      <w:divBdr>
        <w:top w:val="none" w:sz="0" w:space="0" w:color="auto"/>
        <w:left w:val="none" w:sz="0" w:space="0" w:color="auto"/>
        <w:bottom w:val="none" w:sz="0" w:space="0" w:color="auto"/>
        <w:right w:val="none" w:sz="0" w:space="0" w:color="auto"/>
      </w:divBdr>
    </w:div>
    <w:div w:id="343945530">
      <w:bodyDiv w:val="1"/>
      <w:marLeft w:val="0"/>
      <w:marRight w:val="0"/>
      <w:marTop w:val="0"/>
      <w:marBottom w:val="0"/>
      <w:divBdr>
        <w:top w:val="none" w:sz="0" w:space="0" w:color="auto"/>
        <w:left w:val="none" w:sz="0" w:space="0" w:color="auto"/>
        <w:bottom w:val="none" w:sz="0" w:space="0" w:color="auto"/>
        <w:right w:val="none" w:sz="0" w:space="0" w:color="auto"/>
      </w:divBdr>
    </w:div>
    <w:div w:id="360325964">
      <w:bodyDiv w:val="1"/>
      <w:marLeft w:val="0"/>
      <w:marRight w:val="0"/>
      <w:marTop w:val="0"/>
      <w:marBottom w:val="0"/>
      <w:divBdr>
        <w:top w:val="none" w:sz="0" w:space="0" w:color="auto"/>
        <w:left w:val="none" w:sz="0" w:space="0" w:color="auto"/>
        <w:bottom w:val="none" w:sz="0" w:space="0" w:color="auto"/>
        <w:right w:val="none" w:sz="0" w:space="0" w:color="auto"/>
      </w:divBdr>
    </w:div>
    <w:div w:id="360398311">
      <w:bodyDiv w:val="1"/>
      <w:marLeft w:val="0"/>
      <w:marRight w:val="0"/>
      <w:marTop w:val="0"/>
      <w:marBottom w:val="0"/>
      <w:divBdr>
        <w:top w:val="none" w:sz="0" w:space="0" w:color="auto"/>
        <w:left w:val="none" w:sz="0" w:space="0" w:color="auto"/>
        <w:bottom w:val="none" w:sz="0" w:space="0" w:color="auto"/>
        <w:right w:val="none" w:sz="0" w:space="0" w:color="auto"/>
      </w:divBdr>
    </w:div>
    <w:div w:id="362635222">
      <w:bodyDiv w:val="1"/>
      <w:marLeft w:val="0"/>
      <w:marRight w:val="0"/>
      <w:marTop w:val="0"/>
      <w:marBottom w:val="0"/>
      <w:divBdr>
        <w:top w:val="none" w:sz="0" w:space="0" w:color="auto"/>
        <w:left w:val="none" w:sz="0" w:space="0" w:color="auto"/>
        <w:bottom w:val="none" w:sz="0" w:space="0" w:color="auto"/>
        <w:right w:val="none" w:sz="0" w:space="0" w:color="auto"/>
      </w:divBdr>
    </w:div>
    <w:div w:id="370543443">
      <w:bodyDiv w:val="1"/>
      <w:marLeft w:val="0"/>
      <w:marRight w:val="0"/>
      <w:marTop w:val="0"/>
      <w:marBottom w:val="0"/>
      <w:divBdr>
        <w:top w:val="none" w:sz="0" w:space="0" w:color="auto"/>
        <w:left w:val="none" w:sz="0" w:space="0" w:color="auto"/>
        <w:bottom w:val="none" w:sz="0" w:space="0" w:color="auto"/>
        <w:right w:val="none" w:sz="0" w:space="0" w:color="auto"/>
      </w:divBdr>
    </w:div>
    <w:div w:id="370957876">
      <w:bodyDiv w:val="1"/>
      <w:marLeft w:val="0"/>
      <w:marRight w:val="0"/>
      <w:marTop w:val="0"/>
      <w:marBottom w:val="0"/>
      <w:divBdr>
        <w:top w:val="none" w:sz="0" w:space="0" w:color="auto"/>
        <w:left w:val="none" w:sz="0" w:space="0" w:color="auto"/>
        <w:bottom w:val="none" w:sz="0" w:space="0" w:color="auto"/>
        <w:right w:val="none" w:sz="0" w:space="0" w:color="auto"/>
      </w:divBdr>
    </w:div>
    <w:div w:id="376394520">
      <w:bodyDiv w:val="1"/>
      <w:marLeft w:val="0"/>
      <w:marRight w:val="0"/>
      <w:marTop w:val="0"/>
      <w:marBottom w:val="0"/>
      <w:divBdr>
        <w:top w:val="none" w:sz="0" w:space="0" w:color="auto"/>
        <w:left w:val="none" w:sz="0" w:space="0" w:color="auto"/>
        <w:bottom w:val="none" w:sz="0" w:space="0" w:color="auto"/>
        <w:right w:val="none" w:sz="0" w:space="0" w:color="auto"/>
      </w:divBdr>
    </w:div>
    <w:div w:id="377095805">
      <w:bodyDiv w:val="1"/>
      <w:marLeft w:val="0"/>
      <w:marRight w:val="0"/>
      <w:marTop w:val="0"/>
      <w:marBottom w:val="0"/>
      <w:divBdr>
        <w:top w:val="none" w:sz="0" w:space="0" w:color="auto"/>
        <w:left w:val="none" w:sz="0" w:space="0" w:color="auto"/>
        <w:bottom w:val="none" w:sz="0" w:space="0" w:color="auto"/>
        <w:right w:val="none" w:sz="0" w:space="0" w:color="auto"/>
      </w:divBdr>
    </w:div>
    <w:div w:id="378894783">
      <w:bodyDiv w:val="1"/>
      <w:marLeft w:val="0"/>
      <w:marRight w:val="0"/>
      <w:marTop w:val="0"/>
      <w:marBottom w:val="0"/>
      <w:divBdr>
        <w:top w:val="none" w:sz="0" w:space="0" w:color="auto"/>
        <w:left w:val="none" w:sz="0" w:space="0" w:color="auto"/>
        <w:bottom w:val="none" w:sz="0" w:space="0" w:color="auto"/>
        <w:right w:val="none" w:sz="0" w:space="0" w:color="auto"/>
      </w:divBdr>
    </w:div>
    <w:div w:id="382297091">
      <w:bodyDiv w:val="1"/>
      <w:marLeft w:val="0"/>
      <w:marRight w:val="0"/>
      <w:marTop w:val="0"/>
      <w:marBottom w:val="0"/>
      <w:divBdr>
        <w:top w:val="none" w:sz="0" w:space="0" w:color="auto"/>
        <w:left w:val="none" w:sz="0" w:space="0" w:color="auto"/>
        <w:bottom w:val="none" w:sz="0" w:space="0" w:color="auto"/>
        <w:right w:val="none" w:sz="0" w:space="0" w:color="auto"/>
      </w:divBdr>
    </w:div>
    <w:div w:id="391731641">
      <w:bodyDiv w:val="1"/>
      <w:marLeft w:val="0"/>
      <w:marRight w:val="0"/>
      <w:marTop w:val="0"/>
      <w:marBottom w:val="0"/>
      <w:divBdr>
        <w:top w:val="none" w:sz="0" w:space="0" w:color="auto"/>
        <w:left w:val="none" w:sz="0" w:space="0" w:color="auto"/>
        <w:bottom w:val="none" w:sz="0" w:space="0" w:color="auto"/>
        <w:right w:val="none" w:sz="0" w:space="0" w:color="auto"/>
      </w:divBdr>
    </w:div>
    <w:div w:id="397169944">
      <w:bodyDiv w:val="1"/>
      <w:marLeft w:val="0"/>
      <w:marRight w:val="0"/>
      <w:marTop w:val="0"/>
      <w:marBottom w:val="0"/>
      <w:divBdr>
        <w:top w:val="none" w:sz="0" w:space="0" w:color="auto"/>
        <w:left w:val="none" w:sz="0" w:space="0" w:color="auto"/>
        <w:bottom w:val="none" w:sz="0" w:space="0" w:color="auto"/>
        <w:right w:val="none" w:sz="0" w:space="0" w:color="auto"/>
      </w:divBdr>
    </w:div>
    <w:div w:id="400061844">
      <w:bodyDiv w:val="1"/>
      <w:marLeft w:val="0"/>
      <w:marRight w:val="0"/>
      <w:marTop w:val="0"/>
      <w:marBottom w:val="0"/>
      <w:divBdr>
        <w:top w:val="none" w:sz="0" w:space="0" w:color="auto"/>
        <w:left w:val="none" w:sz="0" w:space="0" w:color="auto"/>
        <w:bottom w:val="none" w:sz="0" w:space="0" w:color="auto"/>
        <w:right w:val="none" w:sz="0" w:space="0" w:color="auto"/>
      </w:divBdr>
    </w:div>
    <w:div w:id="403917852">
      <w:bodyDiv w:val="1"/>
      <w:marLeft w:val="0"/>
      <w:marRight w:val="0"/>
      <w:marTop w:val="0"/>
      <w:marBottom w:val="0"/>
      <w:divBdr>
        <w:top w:val="none" w:sz="0" w:space="0" w:color="auto"/>
        <w:left w:val="none" w:sz="0" w:space="0" w:color="auto"/>
        <w:bottom w:val="none" w:sz="0" w:space="0" w:color="auto"/>
        <w:right w:val="none" w:sz="0" w:space="0" w:color="auto"/>
      </w:divBdr>
    </w:div>
    <w:div w:id="414666748">
      <w:bodyDiv w:val="1"/>
      <w:marLeft w:val="0"/>
      <w:marRight w:val="0"/>
      <w:marTop w:val="0"/>
      <w:marBottom w:val="0"/>
      <w:divBdr>
        <w:top w:val="none" w:sz="0" w:space="0" w:color="auto"/>
        <w:left w:val="none" w:sz="0" w:space="0" w:color="auto"/>
        <w:bottom w:val="none" w:sz="0" w:space="0" w:color="auto"/>
        <w:right w:val="none" w:sz="0" w:space="0" w:color="auto"/>
      </w:divBdr>
    </w:div>
    <w:div w:id="415057796">
      <w:bodyDiv w:val="1"/>
      <w:marLeft w:val="0"/>
      <w:marRight w:val="0"/>
      <w:marTop w:val="0"/>
      <w:marBottom w:val="0"/>
      <w:divBdr>
        <w:top w:val="none" w:sz="0" w:space="0" w:color="auto"/>
        <w:left w:val="none" w:sz="0" w:space="0" w:color="auto"/>
        <w:bottom w:val="none" w:sz="0" w:space="0" w:color="auto"/>
        <w:right w:val="none" w:sz="0" w:space="0" w:color="auto"/>
      </w:divBdr>
    </w:div>
    <w:div w:id="426120195">
      <w:bodyDiv w:val="1"/>
      <w:marLeft w:val="0"/>
      <w:marRight w:val="0"/>
      <w:marTop w:val="0"/>
      <w:marBottom w:val="0"/>
      <w:divBdr>
        <w:top w:val="none" w:sz="0" w:space="0" w:color="auto"/>
        <w:left w:val="none" w:sz="0" w:space="0" w:color="auto"/>
        <w:bottom w:val="none" w:sz="0" w:space="0" w:color="auto"/>
        <w:right w:val="none" w:sz="0" w:space="0" w:color="auto"/>
      </w:divBdr>
    </w:div>
    <w:div w:id="435831262">
      <w:bodyDiv w:val="1"/>
      <w:marLeft w:val="0"/>
      <w:marRight w:val="0"/>
      <w:marTop w:val="0"/>
      <w:marBottom w:val="0"/>
      <w:divBdr>
        <w:top w:val="none" w:sz="0" w:space="0" w:color="auto"/>
        <w:left w:val="none" w:sz="0" w:space="0" w:color="auto"/>
        <w:bottom w:val="none" w:sz="0" w:space="0" w:color="auto"/>
        <w:right w:val="none" w:sz="0" w:space="0" w:color="auto"/>
      </w:divBdr>
    </w:div>
    <w:div w:id="442268548">
      <w:bodyDiv w:val="1"/>
      <w:marLeft w:val="0"/>
      <w:marRight w:val="0"/>
      <w:marTop w:val="0"/>
      <w:marBottom w:val="0"/>
      <w:divBdr>
        <w:top w:val="none" w:sz="0" w:space="0" w:color="auto"/>
        <w:left w:val="none" w:sz="0" w:space="0" w:color="auto"/>
        <w:bottom w:val="none" w:sz="0" w:space="0" w:color="auto"/>
        <w:right w:val="none" w:sz="0" w:space="0" w:color="auto"/>
      </w:divBdr>
    </w:div>
    <w:div w:id="444495881">
      <w:bodyDiv w:val="1"/>
      <w:marLeft w:val="0"/>
      <w:marRight w:val="0"/>
      <w:marTop w:val="0"/>
      <w:marBottom w:val="0"/>
      <w:divBdr>
        <w:top w:val="none" w:sz="0" w:space="0" w:color="auto"/>
        <w:left w:val="none" w:sz="0" w:space="0" w:color="auto"/>
        <w:bottom w:val="none" w:sz="0" w:space="0" w:color="auto"/>
        <w:right w:val="none" w:sz="0" w:space="0" w:color="auto"/>
      </w:divBdr>
    </w:div>
    <w:div w:id="446589006">
      <w:bodyDiv w:val="1"/>
      <w:marLeft w:val="0"/>
      <w:marRight w:val="0"/>
      <w:marTop w:val="0"/>
      <w:marBottom w:val="0"/>
      <w:divBdr>
        <w:top w:val="none" w:sz="0" w:space="0" w:color="auto"/>
        <w:left w:val="none" w:sz="0" w:space="0" w:color="auto"/>
        <w:bottom w:val="none" w:sz="0" w:space="0" w:color="auto"/>
        <w:right w:val="none" w:sz="0" w:space="0" w:color="auto"/>
      </w:divBdr>
    </w:div>
    <w:div w:id="449130071">
      <w:bodyDiv w:val="1"/>
      <w:marLeft w:val="0"/>
      <w:marRight w:val="0"/>
      <w:marTop w:val="0"/>
      <w:marBottom w:val="0"/>
      <w:divBdr>
        <w:top w:val="none" w:sz="0" w:space="0" w:color="auto"/>
        <w:left w:val="none" w:sz="0" w:space="0" w:color="auto"/>
        <w:bottom w:val="none" w:sz="0" w:space="0" w:color="auto"/>
        <w:right w:val="none" w:sz="0" w:space="0" w:color="auto"/>
      </w:divBdr>
    </w:div>
    <w:div w:id="449512655">
      <w:bodyDiv w:val="1"/>
      <w:marLeft w:val="0"/>
      <w:marRight w:val="0"/>
      <w:marTop w:val="0"/>
      <w:marBottom w:val="0"/>
      <w:divBdr>
        <w:top w:val="none" w:sz="0" w:space="0" w:color="auto"/>
        <w:left w:val="none" w:sz="0" w:space="0" w:color="auto"/>
        <w:bottom w:val="none" w:sz="0" w:space="0" w:color="auto"/>
        <w:right w:val="none" w:sz="0" w:space="0" w:color="auto"/>
      </w:divBdr>
    </w:div>
    <w:div w:id="453865694">
      <w:bodyDiv w:val="1"/>
      <w:marLeft w:val="0"/>
      <w:marRight w:val="0"/>
      <w:marTop w:val="0"/>
      <w:marBottom w:val="0"/>
      <w:divBdr>
        <w:top w:val="none" w:sz="0" w:space="0" w:color="auto"/>
        <w:left w:val="none" w:sz="0" w:space="0" w:color="auto"/>
        <w:bottom w:val="none" w:sz="0" w:space="0" w:color="auto"/>
        <w:right w:val="none" w:sz="0" w:space="0" w:color="auto"/>
      </w:divBdr>
    </w:div>
    <w:div w:id="457915981">
      <w:bodyDiv w:val="1"/>
      <w:marLeft w:val="0"/>
      <w:marRight w:val="0"/>
      <w:marTop w:val="0"/>
      <w:marBottom w:val="0"/>
      <w:divBdr>
        <w:top w:val="none" w:sz="0" w:space="0" w:color="auto"/>
        <w:left w:val="none" w:sz="0" w:space="0" w:color="auto"/>
        <w:bottom w:val="none" w:sz="0" w:space="0" w:color="auto"/>
        <w:right w:val="none" w:sz="0" w:space="0" w:color="auto"/>
      </w:divBdr>
    </w:div>
    <w:div w:id="459107295">
      <w:bodyDiv w:val="1"/>
      <w:marLeft w:val="0"/>
      <w:marRight w:val="0"/>
      <w:marTop w:val="0"/>
      <w:marBottom w:val="0"/>
      <w:divBdr>
        <w:top w:val="none" w:sz="0" w:space="0" w:color="auto"/>
        <w:left w:val="none" w:sz="0" w:space="0" w:color="auto"/>
        <w:bottom w:val="none" w:sz="0" w:space="0" w:color="auto"/>
        <w:right w:val="none" w:sz="0" w:space="0" w:color="auto"/>
      </w:divBdr>
    </w:div>
    <w:div w:id="474684680">
      <w:bodyDiv w:val="1"/>
      <w:marLeft w:val="0"/>
      <w:marRight w:val="0"/>
      <w:marTop w:val="0"/>
      <w:marBottom w:val="0"/>
      <w:divBdr>
        <w:top w:val="none" w:sz="0" w:space="0" w:color="auto"/>
        <w:left w:val="none" w:sz="0" w:space="0" w:color="auto"/>
        <w:bottom w:val="none" w:sz="0" w:space="0" w:color="auto"/>
        <w:right w:val="none" w:sz="0" w:space="0" w:color="auto"/>
      </w:divBdr>
    </w:div>
    <w:div w:id="482164069">
      <w:bodyDiv w:val="1"/>
      <w:marLeft w:val="0"/>
      <w:marRight w:val="0"/>
      <w:marTop w:val="0"/>
      <w:marBottom w:val="0"/>
      <w:divBdr>
        <w:top w:val="none" w:sz="0" w:space="0" w:color="auto"/>
        <w:left w:val="none" w:sz="0" w:space="0" w:color="auto"/>
        <w:bottom w:val="none" w:sz="0" w:space="0" w:color="auto"/>
        <w:right w:val="none" w:sz="0" w:space="0" w:color="auto"/>
      </w:divBdr>
    </w:div>
    <w:div w:id="482624217">
      <w:bodyDiv w:val="1"/>
      <w:marLeft w:val="0"/>
      <w:marRight w:val="0"/>
      <w:marTop w:val="0"/>
      <w:marBottom w:val="0"/>
      <w:divBdr>
        <w:top w:val="none" w:sz="0" w:space="0" w:color="auto"/>
        <w:left w:val="none" w:sz="0" w:space="0" w:color="auto"/>
        <w:bottom w:val="none" w:sz="0" w:space="0" w:color="auto"/>
        <w:right w:val="none" w:sz="0" w:space="0" w:color="auto"/>
      </w:divBdr>
    </w:div>
    <w:div w:id="483864045">
      <w:bodyDiv w:val="1"/>
      <w:marLeft w:val="0"/>
      <w:marRight w:val="0"/>
      <w:marTop w:val="0"/>
      <w:marBottom w:val="0"/>
      <w:divBdr>
        <w:top w:val="none" w:sz="0" w:space="0" w:color="auto"/>
        <w:left w:val="none" w:sz="0" w:space="0" w:color="auto"/>
        <w:bottom w:val="none" w:sz="0" w:space="0" w:color="auto"/>
        <w:right w:val="none" w:sz="0" w:space="0" w:color="auto"/>
      </w:divBdr>
    </w:div>
    <w:div w:id="485240718">
      <w:bodyDiv w:val="1"/>
      <w:marLeft w:val="0"/>
      <w:marRight w:val="0"/>
      <w:marTop w:val="0"/>
      <w:marBottom w:val="0"/>
      <w:divBdr>
        <w:top w:val="none" w:sz="0" w:space="0" w:color="auto"/>
        <w:left w:val="none" w:sz="0" w:space="0" w:color="auto"/>
        <w:bottom w:val="none" w:sz="0" w:space="0" w:color="auto"/>
        <w:right w:val="none" w:sz="0" w:space="0" w:color="auto"/>
      </w:divBdr>
    </w:div>
    <w:div w:id="493306285">
      <w:bodyDiv w:val="1"/>
      <w:marLeft w:val="0"/>
      <w:marRight w:val="0"/>
      <w:marTop w:val="0"/>
      <w:marBottom w:val="0"/>
      <w:divBdr>
        <w:top w:val="none" w:sz="0" w:space="0" w:color="auto"/>
        <w:left w:val="none" w:sz="0" w:space="0" w:color="auto"/>
        <w:bottom w:val="none" w:sz="0" w:space="0" w:color="auto"/>
        <w:right w:val="none" w:sz="0" w:space="0" w:color="auto"/>
      </w:divBdr>
    </w:div>
    <w:div w:id="510416583">
      <w:bodyDiv w:val="1"/>
      <w:marLeft w:val="0"/>
      <w:marRight w:val="0"/>
      <w:marTop w:val="0"/>
      <w:marBottom w:val="0"/>
      <w:divBdr>
        <w:top w:val="none" w:sz="0" w:space="0" w:color="auto"/>
        <w:left w:val="none" w:sz="0" w:space="0" w:color="auto"/>
        <w:bottom w:val="none" w:sz="0" w:space="0" w:color="auto"/>
        <w:right w:val="none" w:sz="0" w:space="0" w:color="auto"/>
      </w:divBdr>
    </w:div>
    <w:div w:id="514879054">
      <w:bodyDiv w:val="1"/>
      <w:marLeft w:val="0"/>
      <w:marRight w:val="0"/>
      <w:marTop w:val="0"/>
      <w:marBottom w:val="0"/>
      <w:divBdr>
        <w:top w:val="none" w:sz="0" w:space="0" w:color="auto"/>
        <w:left w:val="none" w:sz="0" w:space="0" w:color="auto"/>
        <w:bottom w:val="none" w:sz="0" w:space="0" w:color="auto"/>
        <w:right w:val="none" w:sz="0" w:space="0" w:color="auto"/>
      </w:divBdr>
    </w:div>
    <w:div w:id="535889552">
      <w:bodyDiv w:val="1"/>
      <w:marLeft w:val="0"/>
      <w:marRight w:val="0"/>
      <w:marTop w:val="0"/>
      <w:marBottom w:val="0"/>
      <w:divBdr>
        <w:top w:val="none" w:sz="0" w:space="0" w:color="auto"/>
        <w:left w:val="none" w:sz="0" w:space="0" w:color="auto"/>
        <w:bottom w:val="none" w:sz="0" w:space="0" w:color="auto"/>
        <w:right w:val="none" w:sz="0" w:space="0" w:color="auto"/>
      </w:divBdr>
    </w:div>
    <w:div w:id="539125511">
      <w:bodyDiv w:val="1"/>
      <w:marLeft w:val="0"/>
      <w:marRight w:val="0"/>
      <w:marTop w:val="0"/>
      <w:marBottom w:val="0"/>
      <w:divBdr>
        <w:top w:val="none" w:sz="0" w:space="0" w:color="auto"/>
        <w:left w:val="none" w:sz="0" w:space="0" w:color="auto"/>
        <w:bottom w:val="none" w:sz="0" w:space="0" w:color="auto"/>
        <w:right w:val="none" w:sz="0" w:space="0" w:color="auto"/>
      </w:divBdr>
    </w:div>
    <w:div w:id="539786994">
      <w:bodyDiv w:val="1"/>
      <w:marLeft w:val="0"/>
      <w:marRight w:val="0"/>
      <w:marTop w:val="0"/>
      <w:marBottom w:val="0"/>
      <w:divBdr>
        <w:top w:val="none" w:sz="0" w:space="0" w:color="auto"/>
        <w:left w:val="none" w:sz="0" w:space="0" w:color="auto"/>
        <w:bottom w:val="none" w:sz="0" w:space="0" w:color="auto"/>
        <w:right w:val="none" w:sz="0" w:space="0" w:color="auto"/>
      </w:divBdr>
    </w:div>
    <w:div w:id="543635779">
      <w:bodyDiv w:val="1"/>
      <w:marLeft w:val="0"/>
      <w:marRight w:val="0"/>
      <w:marTop w:val="0"/>
      <w:marBottom w:val="0"/>
      <w:divBdr>
        <w:top w:val="none" w:sz="0" w:space="0" w:color="auto"/>
        <w:left w:val="none" w:sz="0" w:space="0" w:color="auto"/>
        <w:bottom w:val="none" w:sz="0" w:space="0" w:color="auto"/>
        <w:right w:val="none" w:sz="0" w:space="0" w:color="auto"/>
      </w:divBdr>
    </w:div>
    <w:div w:id="547839918">
      <w:bodyDiv w:val="1"/>
      <w:marLeft w:val="0"/>
      <w:marRight w:val="0"/>
      <w:marTop w:val="0"/>
      <w:marBottom w:val="0"/>
      <w:divBdr>
        <w:top w:val="none" w:sz="0" w:space="0" w:color="auto"/>
        <w:left w:val="none" w:sz="0" w:space="0" w:color="auto"/>
        <w:bottom w:val="none" w:sz="0" w:space="0" w:color="auto"/>
        <w:right w:val="none" w:sz="0" w:space="0" w:color="auto"/>
      </w:divBdr>
      <w:divsChild>
        <w:div w:id="1633829610">
          <w:marLeft w:val="0"/>
          <w:marRight w:val="0"/>
          <w:marTop w:val="0"/>
          <w:marBottom w:val="120"/>
          <w:divBdr>
            <w:top w:val="none" w:sz="0" w:space="0" w:color="auto"/>
            <w:left w:val="none" w:sz="0" w:space="0" w:color="auto"/>
            <w:bottom w:val="none" w:sz="0" w:space="0" w:color="auto"/>
            <w:right w:val="none" w:sz="0" w:space="0" w:color="auto"/>
          </w:divBdr>
        </w:div>
      </w:divsChild>
    </w:div>
    <w:div w:id="554894116">
      <w:bodyDiv w:val="1"/>
      <w:marLeft w:val="0"/>
      <w:marRight w:val="0"/>
      <w:marTop w:val="0"/>
      <w:marBottom w:val="0"/>
      <w:divBdr>
        <w:top w:val="none" w:sz="0" w:space="0" w:color="auto"/>
        <w:left w:val="none" w:sz="0" w:space="0" w:color="auto"/>
        <w:bottom w:val="none" w:sz="0" w:space="0" w:color="auto"/>
        <w:right w:val="none" w:sz="0" w:space="0" w:color="auto"/>
      </w:divBdr>
    </w:div>
    <w:div w:id="568540402">
      <w:bodyDiv w:val="1"/>
      <w:marLeft w:val="0"/>
      <w:marRight w:val="0"/>
      <w:marTop w:val="0"/>
      <w:marBottom w:val="0"/>
      <w:divBdr>
        <w:top w:val="none" w:sz="0" w:space="0" w:color="auto"/>
        <w:left w:val="none" w:sz="0" w:space="0" w:color="auto"/>
        <w:bottom w:val="none" w:sz="0" w:space="0" w:color="auto"/>
        <w:right w:val="none" w:sz="0" w:space="0" w:color="auto"/>
      </w:divBdr>
    </w:div>
    <w:div w:id="581329036">
      <w:bodyDiv w:val="1"/>
      <w:marLeft w:val="0"/>
      <w:marRight w:val="0"/>
      <w:marTop w:val="0"/>
      <w:marBottom w:val="0"/>
      <w:divBdr>
        <w:top w:val="none" w:sz="0" w:space="0" w:color="auto"/>
        <w:left w:val="none" w:sz="0" w:space="0" w:color="auto"/>
        <w:bottom w:val="none" w:sz="0" w:space="0" w:color="auto"/>
        <w:right w:val="none" w:sz="0" w:space="0" w:color="auto"/>
      </w:divBdr>
    </w:div>
    <w:div w:id="581722686">
      <w:bodyDiv w:val="1"/>
      <w:marLeft w:val="0"/>
      <w:marRight w:val="0"/>
      <w:marTop w:val="0"/>
      <w:marBottom w:val="0"/>
      <w:divBdr>
        <w:top w:val="none" w:sz="0" w:space="0" w:color="auto"/>
        <w:left w:val="none" w:sz="0" w:space="0" w:color="auto"/>
        <w:bottom w:val="none" w:sz="0" w:space="0" w:color="auto"/>
        <w:right w:val="none" w:sz="0" w:space="0" w:color="auto"/>
      </w:divBdr>
    </w:div>
    <w:div w:id="582497872">
      <w:bodyDiv w:val="1"/>
      <w:marLeft w:val="0"/>
      <w:marRight w:val="0"/>
      <w:marTop w:val="0"/>
      <w:marBottom w:val="0"/>
      <w:divBdr>
        <w:top w:val="none" w:sz="0" w:space="0" w:color="auto"/>
        <w:left w:val="none" w:sz="0" w:space="0" w:color="auto"/>
        <w:bottom w:val="none" w:sz="0" w:space="0" w:color="auto"/>
        <w:right w:val="none" w:sz="0" w:space="0" w:color="auto"/>
      </w:divBdr>
    </w:div>
    <w:div w:id="585918212">
      <w:bodyDiv w:val="1"/>
      <w:marLeft w:val="0"/>
      <w:marRight w:val="0"/>
      <w:marTop w:val="0"/>
      <w:marBottom w:val="0"/>
      <w:divBdr>
        <w:top w:val="none" w:sz="0" w:space="0" w:color="auto"/>
        <w:left w:val="none" w:sz="0" w:space="0" w:color="auto"/>
        <w:bottom w:val="none" w:sz="0" w:space="0" w:color="auto"/>
        <w:right w:val="none" w:sz="0" w:space="0" w:color="auto"/>
      </w:divBdr>
    </w:div>
    <w:div w:id="586810347">
      <w:bodyDiv w:val="1"/>
      <w:marLeft w:val="0"/>
      <w:marRight w:val="0"/>
      <w:marTop w:val="0"/>
      <w:marBottom w:val="0"/>
      <w:divBdr>
        <w:top w:val="none" w:sz="0" w:space="0" w:color="auto"/>
        <w:left w:val="none" w:sz="0" w:space="0" w:color="auto"/>
        <w:bottom w:val="none" w:sz="0" w:space="0" w:color="auto"/>
        <w:right w:val="none" w:sz="0" w:space="0" w:color="auto"/>
      </w:divBdr>
    </w:div>
    <w:div w:id="596326713">
      <w:bodyDiv w:val="1"/>
      <w:marLeft w:val="0"/>
      <w:marRight w:val="0"/>
      <w:marTop w:val="0"/>
      <w:marBottom w:val="0"/>
      <w:divBdr>
        <w:top w:val="none" w:sz="0" w:space="0" w:color="auto"/>
        <w:left w:val="none" w:sz="0" w:space="0" w:color="auto"/>
        <w:bottom w:val="none" w:sz="0" w:space="0" w:color="auto"/>
        <w:right w:val="none" w:sz="0" w:space="0" w:color="auto"/>
      </w:divBdr>
    </w:div>
    <w:div w:id="599072731">
      <w:bodyDiv w:val="1"/>
      <w:marLeft w:val="0"/>
      <w:marRight w:val="0"/>
      <w:marTop w:val="0"/>
      <w:marBottom w:val="0"/>
      <w:divBdr>
        <w:top w:val="none" w:sz="0" w:space="0" w:color="auto"/>
        <w:left w:val="none" w:sz="0" w:space="0" w:color="auto"/>
        <w:bottom w:val="none" w:sz="0" w:space="0" w:color="auto"/>
        <w:right w:val="none" w:sz="0" w:space="0" w:color="auto"/>
      </w:divBdr>
    </w:div>
    <w:div w:id="608243067">
      <w:bodyDiv w:val="1"/>
      <w:marLeft w:val="0"/>
      <w:marRight w:val="0"/>
      <w:marTop w:val="0"/>
      <w:marBottom w:val="0"/>
      <w:divBdr>
        <w:top w:val="none" w:sz="0" w:space="0" w:color="auto"/>
        <w:left w:val="none" w:sz="0" w:space="0" w:color="auto"/>
        <w:bottom w:val="none" w:sz="0" w:space="0" w:color="auto"/>
        <w:right w:val="none" w:sz="0" w:space="0" w:color="auto"/>
      </w:divBdr>
    </w:div>
    <w:div w:id="611742004">
      <w:bodyDiv w:val="1"/>
      <w:marLeft w:val="0"/>
      <w:marRight w:val="0"/>
      <w:marTop w:val="0"/>
      <w:marBottom w:val="0"/>
      <w:divBdr>
        <w:top w:val="none" w:sz="0" w:space="0" w:color="auto"/>
        <w:left w:val="none" w:sz="0" w:space="0" w:color="auto"/>
        <w:bottom w:val="none" w:sz="0" w:space="0" w:color="auto"/>
        <w:right w:val="none" w:sz="0" w:space="0" w:color="auto"/>
      </w:divBdr>
    </w:div>
    <w:div w:id="616331233">
      <w:bodyDiv w:val="1"/>
      <w:marLeft w:val="0"/>
      <w:marRight w:val="0"/>
      <w:marTop w:val="0"/>
      <w:marBottom w:val="0"/>
      <w:divBdr>
        <w:top w:val="none" w:sz="0" w:space="0" w:color="auto"/>
        <w:left w:val="none" w:sz="0" w:space="0" w:color="auto"/>
        <w:bottom w:val="none" w:sz="0" w:space="0" w:color="auto"/>
        <w:right w:val="none" w:sz="0" w:space="0" w:color="auto"/>
      </w:divBdr>
    </w:div>
    <w:div w:id="617831563">
      <w:bodyDiv w:val="1"/>
      <w:marLeft w:val="0"/>
      <w:marRight w:val="0"/>
      <w:marTop w:val="0"/>
      <w:marBottom w:val="0"/>
      <w:divBdr>
        <w:top w:val="none" w:sz="0" w:space="0" w:color="auto"/>
        <w:left w:val="none" w:sz="0" w:space="0" w:color="auto"/>
        <w:bottom w:val="none" w:sz="0" w:space="0" w:color="auto"/>
        <w:right w:val="none" w:sz="0" w:space="0" w:color="auto"/>
      </w:divBdr>
    </w:div>
    <w:div w:id="621573307">
      <w:bodyDiv w:val="1"/>
      <w:marLeft w:val="0"/>
      <w:marRight w:val="0"/>
      <w:marTop w:val="0"/>
      <w:marBottom w:val="0"/>
      <w:divBdr>
        <w:top w:val="none" w:sz="0" w:space="0" w:color="auto"/>
        <w:left w:val="none" w:sz="0" w:space="0" w:color="auto"/>
        <w:bottom w:val="none" w:sz="0" w:space="0" w:color="auto"/>
        <w:right w:val="none" w:sz="0" w:space="0" w:color="auto"/>
      </w:divBdr>
    </w:div>
    <w:div w:id="623073398">
      <w:bodyDiv w:val="1"/>
      <w:marLeft w:val="0"/>
      <w:marRight w:val="0"/>
      <w:marTop w:val="0"/>
      <w:marBottom w:val="0"/>
      <w:divBdr>
        <w:top w:val="none" w:sz="0" w:space="0" w:color="auto"/>
        <w:left w:val="none" w:sz="0" w:space="0" w:color="auto"/>
        <w:bottom w:val="none" w:sz="0" w:space="0" w:color="auto"/>
        <w:right w:val="none" w:sz="0" w:space="0" w:color="auto"/>
      </w:divBdr>
    </w:div>
    <w:div w:id="624039910">
      <w:bodyDiv w:val="1"/>
      <w:marLeft w:val="0"/>
      <w:marRight w:val="0"/>
      <w:marTop w:val="0"/>
      <w:marBottom w:val="0"/>
      <w:divBdr>
        <w:top w:val="none" w:sz="0" w:space="0" w:color="auto"/>
        <w:left w:val="none" w:sz="0" w:space="0" w:color="auto"/>
        <w:bottom w:val="none" w:sz="0" w:space="0" w:color="auto"/>
        <w:right w:val="none" w:sz="0" w:space="0" w:color="auto"/>
      </w:divBdr>
    </w:div>
    <w:div w:id="624115226">
      <w:bodyDiv w:val="1"/>
      <w:marLeft w:val="0"/>
      <w:marRight w:val="0"/>
      <w:marTop w:val="0"/>
      <w:marBottom w:val="0"/>
      <w:divBdr>
        <w:top w:val="none" w:sz="0" w:space="0" w:color="auto"/>
        <w:left w:val="none" w:sz="0" w:space="0" w:color="auto"/>
        <w:bottom w:val="none" w:sz="0" w:space="0" w:color="auto"/>
        <w:right w:val="none" w:sz="0" w:space="0" w:color="auto"/>
      </w:divBdr>
    </w:div>
    <w:div w:id="626861403">
      <w:bodyDiv w:val="1"/>
      <w:marLeft w:val="0"/>
      <w:marRight w:val="0"/>
      <w:marTop w:val="0"/>
      <w:marBottom w:val="0"/>
      <w:divBdr>
        <w:top w:val="none" w:sz="0" w:space="0" w:color="auto"/>
        <w:left w:val="none" w:sz="0" w:space="0" w:color="auto"/>
        <w:bottom w:val="none" w:sz="0" w:space="0" w:color="auto"/>
        <w:right w:val="none" w:sz="0" w:space="0" w:color="auto"/>
      </w:divBdr>
    </w:div>
    <w:div w:id="631785633">
      <w:bodyDiv w:val="1"/>
      <w:marLeft w:val="0"/>
      <w:marRight w:val="0"/>
      <w:marTop w:val="0"/>
      <w:marBottom w:val="0"/>
      <w:divBdr>
        <w:top w:val="none" w:sz="0" w:space="0" w:color="auto"/>
        <w:left w:val="none" w:sz="0" w:space="0" w:color="auto"/>
        <w:bottom w:val="none" w:sz="0" w:space="0" w:color="auto"/>
        <w:right w:val="none" w:sz="0" w:space="0" w:color="auto"/>
      </w:divBdr>
    </w:div>
    <w:div w:id="640038723">
      <w:bodyDiv w:val="1"/>
      <w:marLeft w:val="0"/>
      <w:marRight w:val="0"/>
      <w:marTop w:val="0"/>
      <w:marBottom w:val="0"/>
      <w:divBdr>
        <w:top w:val="none" w:sz="0" w:space="0" w:color="auto"/>
        <w:left w:val="none" w:sz="0" w:space="0" w:color="auto"/>
        <w:bottom w:val="none" w:sz="0" w:space="0" w:color="auto"/>
        <w:right w:val="none" w:sz="0" w:space="0" w:color="auto"/>
      </w:divBdr>
    </w:div>
    <w:div w:id="642930069">
      <w:bodyDiv w:val="1"/>
      <w:marLeft w:val="0"/>
      <w:marRight w:val="0"/>
      <w:marTop w:val="0"/>
      <w:marBottom w:val="0"/>
      <w:divBdr>
        <w:top w:val="none" w:sz="0" w:space="0" w:color="auto"/>
        <w:left w:val="none" w:sz="0" w:space="0" w:color="auto"/>
        <w:bottom w:val="none" w:sz="0" w:space="0" w:color="auto"/>
        <w:right w:val="none" w:sz="0" w:space="0" w:color="auto"/>
      </w:divBdr>
    </w:div>
    <w:div w:id="644820063">
      <w:bodyDiv w:val="1"/>
      <w:marLeft w:val="0"/>
      <w:marRight w:val="0"/>
      <w:marTop w:val="0"/>
      <w:marBottom w:val="0"/>
      <w:divBdr>
        <w:top w:val="none" w:sz="0" w:space="0" w:color="auto"/>
        <w:left w:val="none" w:sz="0" w:space="0" w:color="auto"/>
        <w:bottom w:val="none" w:sz="0" w:space="0" w:color="auto"/>
        <w:right w:val="none" w:sz="0" w:space="0" w:color="auto"/>
      </w:divBdr>
    </w:div>
    <w:div w:id="649945019">
      <w:bodyDiv w:val="1"/>
      <w:marLeft w:val="0"/>
      <w:marRight w:val="0"/>
      <w:marTop w:val="0"/>
      <w:marBottom w:val="0"/>
      <w:divBdr>
        <w:top w:val="none" w:sz="0" w:space="0" w:color="auto"/>
        <w:left w:val="none" w:sz="0" w:space="0" w:color="auto"/>
        <w:bottom w:val="none" w:sz="0" w:space="0" w:color="auto"/>
        <w:right w:val="none" w:sz="0" w:space="0" w:color="auto"/>
      </w:divBdr>
    </w:div>
    <w:div w:id="651297614">
      <w:bodyDiv w:val="1"/>
      <w:marLeft w:val="0"/>
      <w:marRight w:val="0"/>
      <w:marTop w:val="0"/>
      <w:marBottom w:val="0"/>
      <w:divBdr>
        <w:top w:val="none" w:sz="0" w:space="0" w:color="auto"/>
        <w:left w:val="none" w:sz="0" w:space="0" w:color="auto"/>
        <w:bottom w:val="none" w:sz="0" w:space="0" w:color="auto"/>
        <w:right w:val="none" w:sz="0" w:space="0" w:color="auto"/>
      </w:divBdr>
    </w:div>
    <w:div w:id="652296523">
      <w:bodyDiv w:val="1"/>
      <w:marLeft w:val="0"/>
      <w:marRight w:val="0"/>
      <w:marTop w:val="0"/>
      <w:marBottom w:val="0"/>
      <w:divBdr>
        <w:top w:val="none" w:sz="0" w:space="0" w:color="auto"/>
        <w:left w:val="none" w:sz="0" w:space="0" w:color="auto"/>
        <w:bottom w:val="none" w:sz="0" w:space="0" w:color="auto"/>
        <w:right w:val="none" w:sz="0" w:space="0" w:color="auto"/>
      </w:divBdr>
    </w:div>
    <w:div w:id="653608217">
      <w:bodyDiv w:val="1"/>
      <w:marLeft w:val="0"/>
      <w:marRight w:val="0"/>
      <w:marTop w:val="0"/>
      <w:marBottom w:val="0"/>
      <w:divBdr>
        <w:top w:val="none" w:sz="0" w:space="0" w:color="auto"/>
        <w:left w:val="none" w:sz="0" w:space="0" w:color="auto"/>
        <w:bottom w:val="none" w:sz="0" w:space="0" w:color="auto"/>
        <w:right w:val="none" w:sz="0" w:space="0" w:color="auto"/>
      </w:divBdr>
    </w:div>
    <w:div w:id="655306811">
      <w:bodyDiv w:val="1"/>
      <w:marLeft w:val="0"/>
      <w:marRight w:val="0"/>
      <w:marTop w:val="0"/>
      <w:marBottom w:val="0"/>
      <w:divBdr>
        <w:top w:val="none" w:sz="0" w:space="0" w:color="auto"/>
        <w:left w:val="none" w:sz="0" w:space="0" w:color="auto"/>
        <w:bottom w:val="none" w:sz="0" w:space="0" w:color="auto"/>
        <w:right w:val="none" w:sz="0" w:space="0" w:color="auto"/>
      </w:divBdr>
    </w:div>
    <w:div w:id="661157113">
      <w:bodyDiv w:val="1"/>
      <w:marLeft w:val="0"/>
      <w:marRight w:val="0"/>
      <w:marTop w:val="0"/>
      <w:marBottom w:val="0"/>
      <w:divBdr>
        <w:top w:val="none" w:sz="0" w:space="0" w:color="auto"/>
        <w:left w:val="none" w:sz="0" w:space="0" w:color="auto"/>
        <w:bottom w:val="none" w:sz="0" w:space="0" w:color="auto"/>
        <w:right w:val="none" w:sz="0" w:space="0" w:color="auto"/>
      </w:divBdr>
    </w:div>
    <w:div w:id="668483031">
      <w:bodyDiv w:val="1"/>
      <w:marLeft w:val="0"/>
      <w:marRight w:val="0"/>
      <w:marTop w:val="0"/>
      <w:marBottom w:val="0"/>
      <w:divBdr>
        <w:top w:val="none" w:sz="0" w:space="0" w:color="auto"/>
        <w:left w:val="none" w:sz="0" w:space="0" w:color="auto"/>
        <w:bottom w:val="none" w:sz="0" w:space="0" w:color="auto"/>
        <w:right w:val="none" w:sz="0" w:space="0" w:color="auto"/>
      </w:divBdr>
    </w:div>
    <w:div w:id="668867404">
      <w:bodyDiv w:val="1"/>
      <w:marLeft w:val="0"/>
      <w:marRight w:val="0"/>
      <w:marTop w:val="0"/>
      <w:marBottom w:val="0"/>
      <w:divBdr>
        <w:top w:val="none" w:sz="0" w:space="0" w:color="auto"/>
        <w:left w:val="none" w:sz="0" w:space="0" w:color="auto"/>
        <w:bottom w:val="none" w:sz="0" w:space="0" w:color="auto"/>
        <w:right w:val="none" w:sz="0" w:space="0" w:color="auto"/>
      </w:divBdr>
    </w:div>
    <w:div w:id="670723437">
      <w:bodyDiv w:val="1"/>
      <w:marLeft w:val="0"/>
      <w:marRight w:val="0"/>
      <w:marTop w:val="0"/>
      <w:marBottom w:val="0"/>
      <w:divBdr>
        <w:top w:val="none" w:sz="0" w:space="0" w:color="auto"/>
        <w:left w:val="none" w:sz="0" w:space="0" w:color="auto"/>
        <w:bottom w:val="none" w:sz="0" w:space="0" w:color="auto"/>
        <w:right w:val="none" w:sz="0" w:space="0" w:color="auto"/>
      </w:divBdr>
    </w:div>
    <w:div w:id="672613567">
      <w:bodyDiv w:val="1"/>
      <w:marLeft w:val="0"/>
      <w:marRight w:val="0"/>
      <w:marTop w:val="0"/>
      <w:marBottom w:val="0"/>
      <w:divBdr>
        <w:top w:val="none" w:sz="0" w:space="0" w:color="auto"/>
        <w:left w:val="none" w:sz="0" w:space="0" w:color="auto"/>
        <w:bottom w:val="none" w:sz="0" w:space="0" w:color="auto"/>
        <w:right w:val="none" w:sz="0" w:space="0" w:color="auto"/>
      </w:divBdr>
    </w:div>
    <w:div w:id="682367783">
      <w:bodyDiv w:val="1"/>
      <w:marLeft w:val="0"/>
      <w:marRight w:val="0"/>
      <w:marTop w:val="0"/>
      <w:marBottom w:val="0"/>
      <w:divBdr>
        <w:top w:val="none" w:sz="0" w:space="0" w:color="auto"/>
        <w:left w:val="none" w:sz="0" w:space="0" w:color="auto"/>
        <w:bottom w:val="none" w:sz="0" w:space="0" w:color="auto"/>
        <w:right w:val="none" w:sz="0" w:space="0" w:color="auto"/>
      </w:divBdr>
    </w:div>
    <w:div w:id="683433605">
      <w:bodyDiv w:val="1"/>
      <w:marLeft w:val="0"/>
      <w:marRight w:val="0"/>
      <w:marTop w:val="0"/>
      <w:marBottom w:val="0"/>
      <w:divBdr>
        <w:top w:val="none" w:sz="0" w:space="0" w:color="auto"/>
        <w:left w:val="none" w:sz="0" w:space="0" w:color="auto"/>
        <w:bottom w:val="none" w:sz="0" w:space="0" w:color="auto"/>
        <w:right w:val="none" w:sz="0" w:space="0" w:color="auto"/>
      </w:divBdr>
    </w:div>
    <w:div w:id="684864734">
      <w:bodyDiv w:val="1"/>
      <w:marLeft w:val="0"/>
      <w:marRight w:val="0"/>
      <w:marTop w:val="0"/>
      <w:marBottom w:val="0"/>
      <w:divBdr>
        <w:top w:val="none" w:sz="0" w:space="0" w:color="auto"/>
        <w:left w:val="none" w:sz="0" w:space="0" w:color="auto"/>
        <w:bottom w:val="none" w:sz="0" w:space="0" w:color="auto"/>
        <w:right w:val="none" w:sz="0" w:space="0" w:color="auto"/>
      </w:divBdr>
    </w:div>
    <w:div w:id="689456838">
      <w:bodyDiv w:val="1"/>
      <w:marLeft w:val="0"/>
      <w:marRight w:val="0"/>
      <w:marTop w:val="0"/>
      <w:marBottom w:val="0"/>
      <w:divBdr>
        <w:top w:val="none" w:sz="0" w:space="0" w:color="auto"/>
        <w:left w:val="none" w:sz="0" w:space="0" w:color="auto"/>
        <w:bottom w:val="none" w:sz="0" w:space="0" w:color="auto"/>
        <w:right w:val="none" w:sz="0" w:space="0" w:color="auto"/>
      </w:divBdr>
    </w:div>
    <w:div w:id="689523732">
      <w:bodyDiv w:val="1"/>
      <w:marLeft w:val="0"/>
      <w:marRight w:val="0"/>
      <w:marTop w:val="0"/>
      <w:marBottom w:val="0"/>
      <w:divBdr>
        <w:top w:val="none" w:sz="0" w:space="0" w:color="auto"/>
        <w:left w:val="none" w:sz="0" w:space="0" w:color="auto"/>
        <w:bottom w:val="none" w:sz="0" w:space="0" w:color="auto"/>
        <w:right w:val="none" w:sz="0" w:space="0" w:color="auto"/>
      </w:divBdr>
    </w:div>
    <w:div w:id="691222745">
      <w:bodyDiv w:val="1"/>
      <w:marLeft w:val="0"/>
      <w:marRight w:val="0"/>
      <w:marTop w:val="0"/>
      <w:marBottom w:val="0"/>
      <w:divBdr>
        <w:top w:val="none" w:sz="0" w:space="0" w:color="auto"/>
        <w:left w:val="none" w:sz="0" w:space="0" w:color="auto"/>
        <w:bottom w:val="none" w:sz="0" w:space="0" w:color="auto"/>
        <w:right w:val="none" w:sz="0" w:space="0" w:color="auto"/>
      </w:divBdr>
    </w:div>
    <w:div w:id="692073870">
      <w:bodyDiv w:val="1"/>
      <w:marLeft w:val="0"/>
      <w:marRight w:val="0"/>
      <w:marTop w:val="0"/>
      <w:marBottom w:val="0"/>
      <w:divBdr>
        <w:top w:val="none" w:sz="0" w:space="0" w:color="auto"/>
        <w:left w:val="none" w:sz="0" w:space="0" w:color="auto"/>
        <w:bottom w:val="none" w:sz="0" w:space="0" w:color="auto"/>
        <w:right w:val="none" w:sz="0" w:space="0" w:color="auto"/>
      </w:divBdr>
    </w:div>
    <w:div w:id="694114720">
      <w:bodyDiv w:val="1"/>
      <w:marLeft w:val="0"/>
      <w:marRight w:val="0"/>
      <w:marTop w:val="0"/>
      <w:marBottom w:val="0"/>
      <w:divBdr>
        <w:top w:val="none" w:sz="0" w:space="0" w:color="auto"/>
        <w:left w:val="none" w:sz="0" w:space="0" w:color="auto"/>
        <w:bottom w:val="none" w:sz="0" w:space="0" w:color="auto"/>
        <w:right w:val="none" w:sz="0" w:space="0" w:color="auto"/>
      </w:divBdr>
    </w:div>
    <w:div w:id="698121347">
      <w:bodyDiv w:val="1"/>
      <w:marLeft w:val="0"/>
      <w:marRight w:val="0"/>
      <w:marTop w:val="0"/>
      <w:marBottom w:val="0"/>
      <w:divBdr>
        <w:top w:val="none" w:sz="0" w:space="0" w:color="auto"/>
        <w:left w:val="none" w:sz="0" w:space="0" w:color="auto"/>
        <w:bottom w:val="none" w:sz="0" w:space="0" w:color="auto"/>
        <w:right w:val="none" w:sz="0" w:space="0" w:color="auto"/>
      </w:divBdr>
    </w:div>
    <w:div w:id="701132878">
      <w:bodyDiv w:val="1"/>
      <w:marLeft w:val="0"/>
      <w:marRight w:val="0"/>
      <w:marTop w:val="0"/>
      <w:marBottom w:val="0"/>
      <w:divBdr>
        <w:top w:val="none" w:sz="0" w:space="0" w:color="auto"/>
        <w:left w:val="none" w:sz="0" w:space="0" w:color="auto"/>
        <w:bottom w:val="none" w:sz="0" w:space="0" w:color="auto"/>
        <w:right w:val="none" w:sz="0" w:space="0" w:color="auto"/>
      </w:divBdr>
    </w:div>
    <w:div w:id="701902086">
      <w:bodyDiv w:val="1"/>
      <w:marLeft w:val="0"/>
      <w:marRight w:val="0"/>
      <w:marTop w:val="0"/>
      <w:marBottom w:val="0"/>
      <w:divBdr>
        <w:top w:val="none" w:sz="0" w:space="0" w:color="auto"/>
        <w:left w:val="none" w:sz="0" w:space="0" w:color="auto"/>
        <w:bottom w:val="none" w:sz="0" w:space="0" w:color="auto"/>
        <w:right w:val="none" w:sz="0" w:space="0" w:color="auto"/>
      </w:divBdr>
    </w:div>
    <w:div w:id="709498719">
      <w:bodyDiv w:val="1"/>
      <w:marLeft w:val="0"/>
      <w:marRight w:val="0"/>
      <w:marTop w:val="0"/>
      <w:marBottom w:val="0"/>
      <w:divBdr>
        <w:top w:val="none" w:sz="0" w:space="0" w:color="auto"/>
        <w:left w:val="none" w:sz="0" w:space="0" w:color="auto"/>
        <w:bottom w:val="none" w:sz="0" w:space="0" w:color="auto"/>
        <w:right w:val="none" w:sz="0" w:space="0" w:color="auto"/>
      </w:divBdr>
    </w:div>
    <w:div w:id="710568521">
      <w:bodyDiv w:val="1"/>
      <w:marLeft w:val="0"/>
      <w:marRight w:val="0"/>
      <w:marTop w:val="0"/>
      <w:marBottom w:val="0"/>
      <w:divBdr>
        <w:top w:val="none" w:sz="0" w:space="0" w:color="auto"/>
        <w:left w:val="none" w:sz="0" w:space="0" w:color="auto"/>
        <w:bottom w:val="none" w:sz="0" w:space="0" w:color="auto"/>
        <w:right w:val="none" w:sz="0" w:space="0" w:color="auto"/>
      </w:divBdr>
    </w:div>
    <w:div w:id="719401051">
      <w:bodyDiv w:val="1"/>
      <w:marLeft w:val="0"/>
      <w:marRight w:val="0"/>
      <w:marTop w:val="0"/>
      <w:marBottom w:val="0"/>
      <w:divBdr>
        <w:top w:val="none" w:sz="0" w:space="0" w:color="auto"/>
        <w:left w:val="none" w:sz="0" w:space="0" w:color="auto"/>
        <w:bottom w:val="none" w:sz="0" w:space="0" w:color="auto"/>
        <w:right w:val="none" w:sz="0" w:space="0" w:color="auto"/>
      </w:divBdr>
    </w:div>
    <w:div w:id="723061615">
      <w:bodyDiv w:val="1"/>
      <w:marLeft w:val="0"/>
      <w:marRight w:val="0"/>
      <w:marTop w:val="0"/>
      <w:marBottom w:val="0"/>
      <w:divBdr>
        <w:top w:val="none" w:sz="0" w:space="0" w:color="auto"/>
        <w:left w:val="none" w:sz="0" w:space="0" w:color="auto"/>
        <w:bottom w:val="none" w:sz="0" w:space="0" w:color="auto"/>
        <w:right w:val="none" w:sz="0" w:space="0" w:color="auto"/>
      </w:divBdr>
    </w:div>
    <w:div w:id="723064500">
      <w:bodyDiv w:val="1"/>
      <w:marLeft w:val="0"/>
      <w:marRight w:val="0"/>
      <w:marTop w:val="0"/>
      <w:marBottom w:val="0"/>
      <w:divBdr>
        <w:top w:val="none" w:sz="0" w:space="0" w:color="auto"/>
        <w:left w:val="none" w:sz="0" w:space="0" w:color="auto"/>
        <w:bottom w:val="none" w:sz="0" w:space="0" w:color="auto"/>
        <w:right w:val="none" w:sz="0" w:space="0" w:color="auto"/>
      </w:divBdr>
    </w:div>
    <w:div w:id="723674821">
      <w:bodyDiv w:val="1"/>
      <w:marLeft w:val="0"/>
      <w:marRight w:val="0"/>
      <w:marTop w:val="0"/>
      <w:marBottom w:val="0"/>
      <w:divBdr>
        <w:top w:val="none" w:sz="0" w:space="0" w:color="auto"/>
        <w:left w:val="none" w:sz="0" w:space="0" w:color="auto"/>
        <w:bottom w:val="none" w:sz="0" w:space="0" w:color="auto"/>
        <w:right w:val="none" w:sz="0" w:space="0" w:color="auto"/>
      </w:divBdr>
    </w:div>
    <w:div w:id="723912026">
      <w:bodyDiv w:val="1"/>
      <w:marLeft w:val="0"/>
      <w:marRight w:val="0"/>
      <w:marTop w:val="0"/>
      <w:marBottom w:val="0"/>
      <w:divBdr>
        <w:top w:val="none" w:sz="0" w:space="0" w:color="auto"/>
        <w:left w:val="none" w:sz="0" w:space="0" w:color="auto"/>
        <w:bottom w:val="none" w:sz="0" w:space="0" w:color="auto"/>
        <w:right w:val="none" w:sz="0" w:space="0" w:color="auto"/>
      </w:divBdr>
    </w:div>
    <w:div w:id="737900967">
      <w:bodyDiv w:val="1"/>
      <w:marLeft w:val="0"/>
      <w:marRight w:val="0"/>
      <w:marTop w:val="0"/>
      <w:marBottom w:val="0"/>
      <w:divBdr>
        <w:top w:val="none" w:sz="0" w:space="0" w:color="auto"/>
        <w:left w:val="none" w:sz="0" w:space="0" w:color="auto"/>
        <w:bottom w:val="none" w:sz="0" w:space="0" w:color="auto"/>
        <w:right w:val="none" w:sz="0" w:space="0" w:color="auto"/>
      </w:divBdr>
    </w:div>
    <w:div w:id="738210800">
      <w:bodyDiv w:val="1"/>
      <w:marLeft w:val="0"/>
      <w:marRight w:val="0"/>
      <w:marTop w:val="0"/>
      <w:marBottom w:val="0"/>
      <w:divBdr>
        <w:top w:val="none" w:sz="0" w:space="0" w:color="auto"/>
        <w:left w:val="none" w:sz="0" w:space="0" w:color="auto"/>
        <w:bottom w:val="none" w:sz="0" w:space="0" w:color="auto"/>
        <w:right w:val="none" w:sz="0" w:space="0" w:color="auto"/>
      </w:divBdr>
    </w:div>
    <w:div w:id="738791864">
      <w:bodyDiv w:val="1"/>
      <w:marLeft w:val="0"/>
      <w:marRight w:val="0"/>
      <w:marTop w:val="0"/>
      <w:marBottom w:val="0"/>
      <w:divBdr>
        <w:top w:val="none" w:sz="0" w:space="0" w:color="auto"/>
        <w:left w:val="none" w:sz="0" w:space="0" w:color="auto"/>
        <w:bottom w:val="none" w:sz="0" w:space="0" w:color="auto"/>
        <w:right w:val="none" w:sz="0" w:space="0" w:color="auto"/>
      </w:divBdr>
    </w:div>
    <w:div w:id="738986539">
      <w:bodyDiv w:val="1"/>
      <w:marLeft w:val="0"/>
      <w:marRight w:val="0"/>
      <w:marTop w:val="0"/>
      <w:marBottom w:val="0"/>
      <w:divBdr>
        <w:top w:val="none" w:sz="0" w:space="0" w:color="auto"/>
        <w:left w:val="none" w:sz="0" w:space="0" w:color="auto"/>
        <w:bottom w:val="none" w:sz="0" w:space="0" w:color="auto"/>
        <w:right w:val="none" w:sz="0" w:space="0" w:color="auto"/>
      </w:divBdr>
    </w:div>
    <w:div w:id="742143795">
      <w:bodyDiv w:val="1"/>
      <w:marLeft w:val="0"/>
      <w:marRight w:val="0"/>
      <w:marTop w:val="0"/>
      <w:marBottom w:val="0"/>
      <w:divBdr>
        <w:top w:val="none" w:sz="0" w:space="0" w:color="auto"/>
        <w:left w:val="none" w:sz="0" w:space="0" w:color="auto"/>
        <w:bottom w:val="none" w:sz="0" w:space="0" w:color="auto"/>
        <w:right w:val="none" w:sz="0" w:space="0" w:color="auto"/>
      </w:divBdr>
    </w:div>
    <w:div w:id="755635823">
      <w:bodyDiv w:val="1"/>
      <w:marLeft w:val="0"/>
      <w:marRight w:val="0"/>
      <w:marTop w:val="0"/>
      <w:marBottom w:val="0"/>
      <w:divBdr>
        <w:top w:val="none" w:sz="0" w:space="0" w:color="auto"/>
        <w:left w:val="none" w:sz="0" w:space="0" w:color="auto"/>
        <w:bottom w:val="none" w:sz="0" w:space="0" w:color="auto"/>
        <w:right w:val="none" w:sz="0" w:space="0" w:color="auto"/>
      </w:divBdr>
    </w:div>
    <w:div w:id="761294547">
      <w:bodyDiv w:val="1"/>
      <w:marLeft w:val="0"/>
      <w:marRight w:val="0"/>
      <w:marTop w:val="0"/>
      <w:marBottom w:val="0"/>
      <w:divBdr>
        <w:top w:val="none" w:sz="0" w:space="0" w:color="auto"/>
        <w:left w:val="none" w:sz="0" w:space="0" w:color="auto"/>
        <w:bottom w:val="none" w:sz="0" w:space="0" w:color="auto"/>
        <w:right w:val="none" w:sz="0" w:space="0" w:color="auto"/>
      </w:divBdr>
    </w:div>
    <w:div w:id="763841408">
      <w:bodyDiv w:val="1"/>
      <w:marLeft w:val="0"/>
      <w:marRight w:val="0"/>
      <w:marTop w:val="0"/>
      <w:marBottom w:val="0"/>
      <w:divBdr>
        <w:top w:val="none" w:sz="0" w:space="0" w:color="auto"/>
        <w:left w:val="none" w:sz="0" w:space="0" w:color="auto"/>
        <w:bottom w:val="none" w:sz="0" w:space="0" w:color="auto"/>
        <w:right w:val="none" w:sz="0" w:space="0" w:color="auto"/>
      </w:divBdr>
    </w:div>
    <w:div w:id="767503270">
      <w:bodyDiv w:val="1"/>
      <w:marLeft w:val="0"/>
      <w:marRight w:val="0"/>
      <w:marTop w:val="0"/>
      <w:marBottom w:val="0"/>
      <w:divBdr>
        <w:top w:val="none" w:sz="0" w:space="0" w:color="auto"/>
        <w:left w:val="none" w:sz="0" w:space="0" w:color="auto"/>
        <w:bottom w:val="none" w:sz="0" w:space="0" w:color="auto"/>
        <w:right w:val="none" w:sz="0" w:space="0" w:color="auto"/>
      </w:divBdr>
    </w:div>
    <w:div w:id="772213840">
      <w:bodyDiv w:val="1"/>
      <w:marLeft w:val="0"/>
      <w:marRight w:val="0"/>
      <w:marTop w:val="0"/>
      <w:marBottom w:val="0"/>
      <w:divBdr>
        <w:top w:val="none" w:sz="0" w:space="0" w:color="auto"/>
        <w:left w:val="none" w:sz="0" w:space="0" w:color="auto"/>
        <w:bottom w:val="none" w:sz="0" w:space="0" w:color="auto"/>
        <w:right w:val="none" w:sz="0" w:space="0" w:color="auto"/>
      </w:divBdr>
    </w:div>
    <w:div w:id="782381537">
      <w:bodyDiv w:val="1"/>
      <w:marLeft w:val="0"/>
      <w:marRight w:val="0"/>
      <w:marTop w:val="0"/>
      <w:marBottom w:val="0"/>
      <w:divBdr>
        <w:top w:val="none" w:sz="0" w:space="0" w:color="auto"/>
        <w:left w:val="none" w:sz="0" w:space="0" w:color="auto"/>
        <w:bottom w:val="none" w:sz="0" w:space="0" w:color="auto"/>
        <w:right w:val="none" w:sz="0" w:space="0" w:color="auto"/>
      </w:divBdr>
    </w:div>
    <w:div w:id="783039230">
      <w:bodyDiv w:val="1"/>
      <w:marLeft w:val="0"/>
      <w:marRight w:val="0"/>
      <w:marTop w:val="0"/>
      <w:marBottom w:val="0"/>
      <w:divBdr>
        <w:top w:val="none" w:sz="0" w:space="0" w:color="auto"/>
        <w:left w:val="none" w:sz="0" w:space="0" w:color="auto"/>
        <w:bottom w:val="none" w:sz="0" w:space="0" w:color="auto"/>
        <w:right w:val="none" w:sz="0" w:space="0" w:color="auto"/>
      </w:divBdr>
    </w:div>
    <w:div w:id="783615747">
      <w:bodyDiv w:val="1"/>
      <w:marLeft w:val="0"/>
      <w:marRight w:val="0"/>
      <w:marTop w:val="0"/>
      <w:marBottom w:val="0"/>
      <w:divBdr>
        <w:top w:val="none" w:sz="0" w:space="0" w:color="auto"/>
        <w:left w:val="none" w:sz="0" w:space="0" w:color="auto"/>
        <w:bottom w:val="none" w:sz="0" w:space="0" w:color="auto"/>
        <w:right w:val="none" w:sz="0" w:space="0" w:color="auto"/>
      </w:divBdr>
    </w:div>
    <w:div w:id="785345752">
      <w:bodyDiv w:val="1"/>
      <w:marLeft w:val="0"/>
      <w:marRight w:val="0"/>
      <w:marTop w:val="0"/>
      <w:marBottom w:val="0"/>
      <w:divBdr>
        <w:top w:val="none" w:sz="0" w:space="0" w:color="auto"/>
        <w:left w:val="none" w:sz="0" w:space="0" w:color="auto"/>
        <w:bottom w:val="none" w:sz="0" w:space="0" w:color="auto"/>
        <w:right w:val="none" w:sz="0" w:space="0" w:color="auto"/>
      </w:divBdr>
    </w:div>
    <w:div w:id="790250353">
      <w:bodyDiv w:val="1"/>
      <w:marLeft w:val="0"/>
      <w:marRight w:val="0"/>
      <w:marTop w:val="0"/>
      <w:marBottom w:val="0"/>
      <w:divBdr>
        <w:top w:val="none" w:sz="0" w:space="0" w:color="auto"/>
        <w:left w:val="none" w:sz="0" w:space="0" w:color="auto"/>
        <w:bottom w:val="none" w:sz="0" w:space="0" w:color="auto"/>
        <w:right w:val="none" w:sz="0" w:space="0" w:color="auto"/>
      </w:divBdr>
    </w:div>
    <w:div w:id="801774934">
      <w:bodyDiv w:val="1"/>
      <w:marLeft w:val="0"/>
      <w:marRight w:val="0"/>
      <w:marTop w:val="0"/>
      <w:marBottom w:val="0"/>
      <w:divBdr>
        <w:top w:val="none" w:sz="0" w:space="0" w:color="auto"/>
        <w:left w:val="none" w:sz="0" w:space="0" w:color="auto"/>
        <w:bottom w:val="none" w:sz="0" w:space="0" w:color="auto"/>
        <w:right w:val="none" w:sz="0" w:space="0" w:color="auto"/>
      </w:divBdr>
    </w:div>
    <w:div w:id="801923729">
      <w:bodyDiv w:val="1"/>
      <w:marLeft w:val="0"/>
      <w:marRight w:val="0"/>
      <w:marTop w:val="0"/>
      <w:marBottom w:val="0"/>
      <w:divBdr>
        <w:top w:val="none" w:sz="0" w:space="0" w:color="auto"/>
        <w:left w:val="none" w:sz="0" w:space="0" w:color="auto"/>
        <w:bottom w:val="none" w:sz="0" w:space="0" w:color="auto"/>
        <w:right w:val="none" w:sz="0" w:space="0" w:color="auto"/>
      </w:divBdr>
    </w:div>
    <w:div w:id="820077135">
      <w:bodyDiv w:val="1"/>
      <w:marLeft w:val="0"/>
      <w:marRight w:val="0"/>
      <w:marTop w:val="0"/>
      <w:marBottom w:val="0"/>
      <w:divBdr>
        <w:top w:val="none" w:sz="0" w:space="0" w:color="auto"/>
        <w:left w:val="none" w:sz="0" w:space="0" w:color="auto"/>
        <w:bottom w:val="none" w:sz="0" w:space="0" w:color="auto"/>
        <w:right w:val="none" w:sz="0" w:space="0" w:color="auto"/>
      </w:divBdr>
    </w:div>
    <w:div w:id="823591045">
      <w:bodyDiv w:val="1"/>
      <w:marLeft w:val="0"/>
      <w:marRight w:val="0"/>
      <w:marTop w:val="0"/>
      <w:marBottom w:val="0"/>
      <w:divBdr>
        <w:top w:val="none" w:sz="0" w:space="0" w:color="auto"/>
        <w:left w:val="none" w:sz="0" w:space="0" w:color="auto"/>
        <w:bottom w:val="none" w:sz="0" w:space="0" w:color="auto"/>
        <w:right w:val="none" w:sz="0" w:space="0" w:color="auto"/>
      </w:divBdr>
    </w:div>
    <w:div w:id="824661085">
      <w:bodyDiv w:val="1"/>
      <w:marLeft w:val="0"/>
      <w:marRight w:val="0"/>
      <w:marTop w:val="0"/>
      <w:marBottom w:val="0"/>
      <w:divBdr>
        <w:top w:val="none" w:sz="0" w:space="0" w:color="auto"/>
        <w:left w:val="none" w:sz="0" w:space="0" w:color="auto"/>
        <w:bottom w:val="none" w:sz="0" w:space="0" w:color="auto"/>
        <w:right w:val="none" w:sz="0" w:space="0" w:color="auto"/>
      </w:divBdr>
    </w:div>
    <w:div w:id="829948379">
      <w:bodyDiv w:val="1"/>
      <w:marLeft w:val="0"/>
      <w:marRight w:val="0"/>
      <w:marTop w:val="0"/>
      <w:marBottom w:val="0"/>
      <w:divBdr>
        <w:top w:val="none" w:sz="0" w:space="0" w:color="auto"/>
        <w:left w:val="none" w:sz="0" w:space="0" w:color="auto"/>
        <w:bottom w:val="none" w:sz="0" w:space="0" w:color="auto"/>
        <w:right w:val="none" w:sz="0" w:space="0" w:color="auto"/>
      </w:divBdr>
    </w:div>
    <w:div w:id="830295796">
      <w:bodyDiv w:val="1"/>
      <w:marLeft w:val="0"/>
      <w:marRight w:val="0"/>
      <w:marTop w:val="0"/>
      <w:marBottom w:val="0"/>
      <w:divBdr>
        <w:top w:val="none" w:sz="0" w:space="0" w:color="auto"/>
        <w:left w:val="none" w:sz="0" w:space="0" w:color="auto"/>
        <w:bottom w:val="none" w:sz="0" w:space="0" w:color="auto"/>
        <w:right w:val="none" w:sz="0" w:space="0" w:color="auto"/>
      </w:divBdr>
    </w:div>
    <w:div w:id="830682782">
      <w:bodyDiv w:val="1"/>
      <w:marLeft w:val="0"/>
      <w:marRight w:val="0"/>
      <w:marTop w:val="0"/>
      <w:marBottom w:val="0"/>
      <w:divBdr>
        <w:top w:val="none" w:sz="0" w:space="0" w:color="auto"/>
        <w:left w:val="none" w:sz="0" w:space="0" w:color="auto"/>
        <w:bottom w:val="none" w:sz="0" w:space="0" w:color="auto"/>
        <w:right w:val="none" w:sz="0" w:space="0" w:color="auto"/>
      </w:divBdr>
    </w:div>
    <w:div w:id="832262798">
      <w:bodyDiv w:val="1"/>
      <w:marLeft w:val="0"/>
      <w:marRight w:val="0"/>
      <w:marTop w:val="0"/>
      <w:marBottom w:val="0"/>
      <w:divBdr>
        <w:top w:val="none" w:sz="0" w:space="0" w:color="auto"/>
        <w:left w:val="none" w:sz="0" w:space="0" w:color="auto"/>
        <w:bottom w:val="none" w:sz="0" w:space="0" w:color="auto"/>
        <w:right w:val="none" w:sz="0" w:space="0" w:color="auto"/>
      </w:divBdr>
    </w:div>
    <w:div w:id="844519383">
      <w:bodyDiv w:val="1"/>
      <w:marLeft w:val="0"/>
      <w:marRight w:val="0"/>
      <w:marTop w:val="0"/>
      <w:marBottom w:val="0"/>
      <w:divBdr>
        <w:top w:val="none" w:sz="0" w:space="0" w:color="auto"/>
        <w:left w:val="none" w:sz="0" w:space="0" w:color="auto"/>
        <w:bottom w:val="none" w:sz="0" w:space="0" w:color="auto"/>
        <w:right w:val="none" w:sz="0" w:space="0" w:color="auto"/>
      </w:divBdr>
    </w:div>
    <w:div w:id="849830537">
      <w:bodyDiv w:val="1"/>
      <w:marLeft w:val="0"/>
      <w:marRight w:val="0"/>
      <w:marTop w:val="0"/>
      <w:marBottom w:val="0"/>
      <w:divBdr>
        <w:top w:val="none" w:sz="0" w:space="0" w:color="auto"/>
        <w:left w:val="none" w:sz="0" w:space="0" w:color="auto"/>
        <w:bottom w:val="none" w:sz="0" w:space="0" w:color="auto"/>
        <w:right w:val="none" w:sz="0" w:space="0" w:color="auto"/>
      </w:divBdr>
    </w:div>
    <w:div w:id="853038273">
      <w:bodyDiv w:val="1"/>
      <w:marLeft w:val="0"/>
      <w:marRight w:val="0"/>
      <w:marTop w:val="0"/>
      <w:marBottom w:val="0"/>
      <w:divBdr>
        <w:top w:val="none" w:sz="0" w:space="0" w:color="auto"/>
        <w:left w:val="none" w:sz="0" w:space="0" w:color="auto"/>
        <w:bottom w:val="none" w:sz="0" w:space="0" w:color="auto"/>
        <w:right w:val="none" w:sz="0" w:space="0" w:color="auto"/>
      </w:divBdr>
    </w:div>
    <w:div w:id="873226761">
      <w:bodyDiv w:val="1"/>
      <w:marLeft w:val="0"/>
      <w:marRight w:val="0"/>
      <w:marTop w:val="0"/>
      <w:marBottom w:val="0"/>
      <w:divBdr>
        <w:top w:val="none" w:sz="0" w:space="0" w:color="auto"/>
        <w:left w:val="none" w:sz="0" w:space="0" w:color="auto"/>
        <w:bottom w:val="none" w:sz="0" w:space="0" w:color="auto"/>
        <w:right w:val="none" w:sz="0" w:space="0" w:color="auto"/>
      </w:divBdr>
    </w:div>
    <w:div w:id="878860987">
      <w:bodyDiv w:val="1"/>
      <w:marLeft w:val="0"/>
      <w:marRight w:val="0"/>
      <w:marTop w:val="0"/>
      <w:marBottom w:val="0"/>
      <w:divBdr>
        <w:top w:val="none" w:sz="0" w:space="0" w:color="auto"/>
        <w:left w:val="none" w:sz="0" w:space="0" w:color="auto"/>
        <w:bottom w:val="none" w:sz="0" w:space="0" w:color="auto"/>
        <w:right w:val="none" w:sz="0" w:space="0" w:color="auto"/>
      </w:divBdr>
    </w:div>
    <w:div w:id="880169882">
      <w:bodyDiv w:val="1"/>
      <w:marLeft w:val="0"/>
      <w:marRight w:val="0"/>
      <w:marTop w:val="0"/>
      <w:marBottom w:val="0"/>
      <w:divBdr>
        <w:top w:val="none" w:sz="0" w:space="0" w:color="auto"/>
        <w:left w:val="none" w:sz="0" w:space="0" w:color="auto"/>
        <w:bottom w:val="none" w:sz="0" w:space="0" w:color="auto"/>
        <w:right w:val="none" w:sz="0" w:space="0" w:color="auto"/>
      </w:divBdr>
    </w:div>
    <w:div w:id="884876604">
      <w:bodyDiv w:val="1"/>
      <w:marLeft w:val="0"/>
      <w:marRight w:val="0"/>
      <w:marTop w:val="0"/>
      <w:marBottom w:val="0"/>
      <w:divBdr>
        <w:top w:val="none" w:sz="0" w:space="0" w:color="auto"/>
        <w:left w:val="none" w:sz="0" w:space="0" w:color="auto"/>
        <w:bottom w:val="none" w:sz="0" w:space="0" w:color="auto"/>
        <w:right w:val="none" w:sz="0" w:space="0" w:color="auto"/>
      </w:divBdr>
    </w:div>
    <w:div w:id="885525304">
      <w:bodyDiv w:val="1"/>
      <w:marLeft w:val="0"/>
      <w:marRight w:val="0"/>
      <w:marTop w:val="0"/>
      <w:marBottom w:val="0"/>
      <w:divBdr>
        <w:top w:val="none" w:sz="0" w:space="0" w:color="auto"/>
        <w:left w:val="none" w:sz="0" w:space="0" w:color="auto"/>
        <w:bottom w:val="none" w:sz="0" w:space="0" w:color="auto"/>
        <w:right w:val="none" w:sz="0" w:space="0" w:color="auto"/>
      </w:divBdr>
    </w:div>
    <w:div w:id="893853480">
      <w:bodyDiv w:val="1"/>
      <w:marLeft w:val="0"/>
      <w:marRight w:val="0"/>
      <w:marTop w:val="0"/>
      <w:marBottom w:val="0"/>
      <w:divBdr>
        <w:top w:val="none" w:sz="0" w:space="0" w:color="auto"/>
        <w:left w:val="none" w:sz="0" w:space="0" w:color="auto"/>
        <w:bottom w:val="none" w:sz="0" w:space="0" w:color="auto"/>
        <w:right w:val="none" w:sz="0" w:space="0" w:color="auto"/>
      </w:divBdr>
    </w:div>
    <w:div w:id="899752369">
      <w:bodyDiv w:val="1"/>
      <w:marLeft w:val="0"/>
      <w:marRight w:val="0"/>
      <w:marTop w:val="0"/>
      <w:marBottom w:val="0"/>
      <w:divBdr>
        <w:top w:val="none" w:sz="0" w:space="0" w:color="auto"/>
        <w:left w:val="none" w:sz="0" w:space="0" w:color="auto"/>
        <w:bottom w:val="none" w:sz="0" w:space="0" w:color="auto"/>
        <w:right w:val="none" w:sz="0" w:space="0" w:color="auto"/>
      </w:divBdr>
    </w:div>
    <w:div w:id="900284468">
      <w:bodyDiv w:val="1"/>
      <w:marLeft w:val="0"/>
      <w:marRight w:val="0"/>
      <w:marTop w:val="0"/>
      <w:marBottom w:val="0"/>
      <w:divBdr>
        <w:top w:val="none" w:sz="0" w:space="0" w:color="auto"/>
        <w:left w:val="none" w:sz="0" w:space="0" w:color="auto"/>
        <w:bottom w:val="none" w:sz="0" w:space="0" w:color="auto"/>
        <w:right w:val="none" w:sz="0" w:space="0" w:color="auto"/>
      </w:divBdr>
    </w:div>
    <w:div w:id="905798321">
      <w:bodyDiv w:val="1"/>
      <w:marLeft w:val="0"/>
      <w:marRight w:val="0"/>
      <w:marTop w:val="0"/>
      <w:marBottom w:val="0"/>
      <w:divBdr>
        <w:top w:val="none" w:sz="0" w:space="0" w:color="auto"/>
        <w:left w:val="none" w:sz="0" w:space="0" w:color="auto"/>
        <w:bottom w:val="none" w:sz="0" w:space="0" w:color="auto"/>
        <w:right w:val="none" w:sz="0" w:space="0" w:color="auto"/>
      </w:divBdr>
    </w:div>
    <w:div w:id="911888787">
      <w:bodyDiv w:val="1"/>
      <w:marLeft w:val="0"/>
      <w:marRight w:val="0"/>
      <w:marTop w:val="0"/>
      <w:marBottom w:val="0"/>
      <w:divBdr>
        <w:top w:val="none" w:sz="0" w:space="0" w:color="auto"/>
        <w:left w:val="none" w:sz="0" w:space="0" w:color="auto"/>
        <w:bottom w:val="none" w:sz="0" w:space="0" w:color="auto"/>
        <w:right w:val="none" w:sz="0" w:space="0" w:color="auto"/>
      </w:divBdr>
    </w:div>
    <w:div w:id="912548997">
      <w:bodyDiv w:val="1"/>
      <w:marLeft w:val="0"/>
      <w:marRight w:val="0"/>
      <w:marTop w:val="0"/>
      <w:marBottom w:val="0"/>
      <w:divBdr>
        <w:top w:val="none" w:sz="0" w:space="0" w:color="auto"/>
        <w:left w:val="none" w:sz="0" w:space="0" w:color="auto"/>
        <w:bottom w:val="none" w:sz="0" w:space="0" w:color="auto"/>
        <w:right w:val="none" w:sz="0" w:space="0" w:color="auto"/>
      </w:divBdr>
    </w:div>
    <w:div w:id="928149753">
      <w:bodyDiv w:val="1"/>
      <w:marLeft w:val="0"/>
      <w:marRight w:val="0"/>
      <w:marTop w:val="0"/>
      <w:marBottom w:val="0"/>
      <w:divBdr>
        <w:top w:val="none" w:sz="0" w:space="0" w:color="auto"/>
        <w:left w:val="none" w:sz="0" w:space="0" w:color="auto"/>
        <w:bottom w:val="none" w:sz="0" w:space="0" w:color="auto"/>
        <w:right w:val="none" w:sz="0" w:space="0" w:color="auto"/>
      </w:divBdr>
    </w:div>
    <w:div w:id="929660084">
      <w:bodyDiv w:val="1"/>
      <w:marLeft w:val="0"/>
      <w:marRight w:val="0"/>
      <w:marTop w:val="0"/>
      <w:marBottom w:val="0"/>
      <w:divBdr>
        <w:top w:val="none" w:sz="0" w:space="0" w:color="auto"/>
        <w:left w:val="none" w:sz="0" w:space="0" w:color="auto"/>
        <w:bottom w:val="none" w:sz="0" w:space="0" w:color="auto"/>
        <w:right w:val="none" w:sz="0" w:space="0" w:color="auto"/>
      </w:divBdr>
    </w:div>
    <w:div w:id="931161306">
      <w:bodyDiv w:val="1"/>
      <w:marLeft w:val="0"/>
      <w:marRight w:val="0"/>
      <w:marTop w:val="0"/>
      <w:marBottom w:val="0"/>
      <w:divBdr>
        <w:top w:val="none" w:sz="0" w:space="0" w:color="auto"/>
        <w:left w:val="none" w:sz="0" w:space="0" w:color="auto"/>
        <w:bottom w:val="none" w:sz="0" w:space="0" w:color="auto"/>
        <w:right w:val="none" w:sz="0" w:space="0" w:color="auto"/>
      </w:divBdr>
    </w:div>
    <w:div w:id="932929928">
      <w:bodyDiv w:val="1"/>
      <w:marLeft w:val="0"/>
      <w:marRight w:val="0"/>
      <w:marTop w:val="0"/>
      <w:marBottom w:val="0"/>
      <w:divBdr>
        <w:top w:val="none" w:sz="0" w:space="0" w:color="auto"/>
        <w:left w:val="none" w:sz="0" w:space="0" w:color="auto"/>
        <w:bottom w:val="none" w:sz="0" w:space="0" w:color="auto"/>
        <w:right w:val="none" w:sz="0" w:space="0" w:color="auto"/>
      </w:divBdr>
    </w:div>
    <w:div w:id="936979412">
      <w:bodyDiv w:val="1"/>
      <w:marLeft w:val="0"/>
      <w:marRight w:val="0"/>
      <w:marTop w:val="0"/>
      <w:marBottom w:val="0"/>
      <w:divBdr>
        <w:top w:val="none" w:sz="0" w:space="0" w:color="auto"/>
        <w:left w:val="none" w:sz="0" w:space="0" w:color="auto"/>
        <w:bottom w:val="none" w:sz="0" w:space="0" w:color="auto"/>
        <w:right w:val="none" w:sz="0" w:space="0" w:color="auto"/>
      </w:divBdr>
    </w:div>
    <w:div w:id="958027310">
      <w:bodyDiv w:val="1"/>
      <w:marLeft w:val="0"/>
      <w:marRight w:val="0"/>
      <w:marTop w:val="0"/>
      <w:marBottom w:val="0"/>
      <w:divBdr>
        <w:top w:val="none" w:sz="0" w:space="0" w:color="auto"/>
        <w:left w:val="none" w:sz="0" w:space="0" w:color="auto"/>
        <w:bottom w:val="none" w:sz="0" w:space="0" w:color="auto"/>
        <w:right w:val="none" w:sz="0" w:space="0" w:color="auto"/>
      </w:divBdr>
    </w:div>
    <w:div w:id="958874031">
      <w:bodyDiv w:val="1"/>
      <w:marLeft w:val="0"/>
      <w:marRight w:val="0"/>
      <w:marTop w:val="0"/>
      <w:marBottom w:val="0"/>
      <w:divBdr>
        <w:top w:val="none" w:sz="0" w:space="0" w:color="auto"/>
        <w:left w:val="none" w:sz="0" w:space="0" w:color="auto"/>
        <w:bottom w:val="none" w:sz="0" w:space="0" w:color="auto"/>
        <w:right w:val="none" w:sz="0" w:space="0" w:color="auto"/>
      </w:divBdr>
    </w:div>
    <w:div w:id="960569161">
      <w:bodyDiv w:val="1"/>
      <w:marLeft w:val="0"/>
      <w:marRight w:val="0"/>
      <w:marTop w:val="0"/>
      <w:marBottom w:val="0"/>
      <w:divBdr>
        <w:top w:val="none" w:sz="0" w:space="0" w:color="auto"/>
        <w:left w:val="none" w:sz="0" w:space="0" w:color="auto"/>
        <w:bottom w:val="none" w:sz="0" w:space="0" w:color="auto"/>
        <w:right w:val="none" w:sz="0" w:space="0" w:color="auto"/>
      </w:divBdr>
    </w:div>
    <w:div w:id="989674013">
      <w:bodyDiv w:val="1"/>
      <w:marLeft w:val="0"/>
      <w:marRight w:val="0"/>
      <w:marTop w:val="0"/>
      <w:marBottom w:val="0"/>
      <w:divBdr>
        <w:top w:val="none" w:sz="0" w:space="0" w:color="auto"/>
        <w:left w:val="none" w:sz="0" w:space="0" w:color="auto"/>
        <w:bottom w:val="none" w:sz="0" w:space="0" w:color="auto"/>
        <w:right w:val="none" w:sz="0" w:space="0" w:color="auto"/>
      </w:divBdr>
    </w:div>
    <w:div w:id="991371833">
      <w:bodyDiv w:val="1"/>
      <w:marLeft w:val="0"/>
      <w:marRight w:val="0"/>
      <w:marTop w:val="0"/>
      <w:marBottom w:val="0"/>
      <w:divBdr>
        <w:top w:val="none" w:sz="0" w:space="0" w:color="auto"/>
        <w:left w:val="none" w:sz="0" w:space="0" w:color="auto"/>
        <w:bottom w:val="none" w:sz="0" w:space="0" w:color="auto"/>
        <w:right w:val="none" w:sz="0" w:space="0" w:color="auto"/>
      </w:divBdr>
    </w:div>
    <w:div w:id="994799691">
      <w:bodyDiv w:val="1"/>
      <w:marLeft w:val="0"/>
      <w:marRight w:val="0"/>
      <w:marTop w:val="0"/>
      <w:marBottom w:val="0"/>
      <w:divBdr>
        <w:top w:val="none" w:sz="0" w:space="0" w:color="auto"/>
        <w:left w:val="none" w:sz="0" w:space="0" w:color="auto"/>
        <w:bottom w:val="none" w:sz="0" w:space="0" w:color="auto"/>
        <w:right w:val="none" w:sz="0" w:space="0" w:color="auto"/>
      </w:divBdr>
    </w:div>
    <w:div w:id="1003167978">
      <w:bodyDiv w:val="1"/>
      <w:marLeft w:val="0"/>
      <w:marRight w:val="0"/>
      <w:marTop w:val="0"/>
      <w:marBottom w:val="0"/>
      <w:divBdr>
        <w:top w:val="none" w:sz="0" w:space="0" w:color="auto"/>
        <w:left w:val="none" w:sz="0" w:space="0" w:color="auto"/>
        <w:bottom w:val="none" w:sz="0" w:space="0" w:color="auto"/>
        <w:right w:val="none" w:sz="0" w:space="0" w:color="auto"/>
      </w:divBdr>
    </w:div>
    <w:div w:id="1006786419">
      <w:bodyDiv w:val="1"/>
      <w:marLeft w:val="0"/>
      <w:marRight w:val="0"/>
      <w:marTop w:val="0"/>
      <w:marBottom w:val="0"/>
      <w:divBdr>
        <w:top w:val="none" w:sz="0" w:space="0" w:color="auto"/>
        <w:left w:val="none" w:sz="0" w:space="0" w:color="auto"/>
        <w:bottom w:val="none" w:sz="0" w:space="0" w:color="auto"/>
        <w:right w:val="none" w:sz="0" w:space="0" w:color="auto"/>
      </w:divBdr>
    </w:div>
    <w:div w:id="1013148207">
      <w:bodyDiv w:val="1"/>
      <w:marLeft w:val="0"/>
      <w:marRight w:val="0"/>
      <w:marTop w:val="0"/>
      <w:marBottom w:val="0"/>
      <w:divBdr>
        <w:top w:val="none" w:sz="0" w:space="0" w:color="auto"/>
        <w:left w:val="none" w:sz="0" w:space="0" w:color="auto"/>
        <w:bottom w:val="none" w:sz="0" w:space="0" w:color="auto"/>
        <w:right w:val="none" w:sz="0" w:space="0" w:color="auto"/>
      </w:divBdr>
    </w:div>
    <w:div w:id="1013268537">
      <w:bodyDiv w:val="1"/>
      <w:marLeft w:val="0"/>
      <w:marRight w:val="0"/>
      <w:marTop w:val="0"/>
      <w:marBottom w:val="0"/>
      <w:divBdr>
        <w:top w:val="none" w:sz="0" w:space="0" w:color="auto"/>
        <w:left w:val="none" w:sz="0" w:space="0" w:color="auto"/>
        <w:bottom w:val="none" w:sz="0" w:space="0" w:color="auto"/>
        <w:right w:val="none" w:sz="0" w:space="0" w:color="auto"/>
      </w:divBdr>
    </w:div>
    <w:div w:id="1015688784">
      <w:bodyDiv w:val="1"/>
      <w:marLeft w:val="0"/>
      <w:marRight w:val="0"/>
      <w:marTop w:val="0"/>
      <w:marBottom w:val="0"/>
      <w:divBdr>
        <w:top w:val="none" w:sz="0" w:space="0" w:color="auto"/>
        <w:left w:val="none" w:sz="0" w:space="0" w:color="auto"/>
        <w:bottom w:val="none" w:sz="0" w:space="0" w:color="auto"/>
        <w:right w:val="none" w:sz="0" w:space="0" w:color="auto"/>
      </w:divBdr>
    </w:div>
    <w:div w:id="1025711253">
      <w:bodyDiv w:val="1"/>
      <w:marLeft w:val="0"/>
      <w:marRight w:val="0"/>
      <w:marTop w:val="0"/>
      <w:marBottom w:val="0"/>
      <w:divBdr>
        <w:top w:val="none" w:sz="0" w:space="0" w:color="auto"/>
        <w:left w:val="none" w:sz="0" w:space="0" w:color="auto"/>
        <w:bottom w:val="none" w:sz="0" w:space="0" w:color="auto"/>
        <w:right w:val="none" w:sz="0" w:space="0" w:color="auto"/>
      </w:divBdr>
    </w:div>
    <w:div w:id="1026905366">
      <w:bodyDiv w:val="1"/>
      <w:marLeft w:val="0"/>
      <w:marRight w:val="0"/>
      <w:marTop w:val="0"/>
      <w:marBottom w:val="0"/>
      <w:divBdr>
        <w:top w:val="none" w:sz="0" w:space="0" w:color="auto"/>
        <w:left w:val="none" w:sz="0" w:space="0" w:color="auto"/>
        <w:bottom w:val="none" w:sz="0" w:space="0" w:color="auto"/>
        <w:right w:val="none" w:sz="0" w:space="0" w:color="auto"/>
      </w:divBdr>
    </w:div>
    <w:div w:id="1049651831">
      <w:bodyDiv w:val="1"/>
      <w:marLeft w:val="0"/>
      <w:marRight w:val="0"/>
      <w:marTop w:val="0"/>
      <w:marBottom w:val="0"/>
      <w:divBdr>
        <w:top w:val="none" w:sz="0" w:space="0" w:color="auto"/>
        <w:left w:val="none" w:sz="0" w:space="0" w:color="auto"/>
        <w:bottom w:val="none" w:sz="0" w:space="0" w:color="auto"/>
        <w:right w:val="none" w:sz="0" w:space="0" w:color="auto"/>
      </w:divBdr>
    </w:div>
    <w:div w:id="1058436064">
      <w:bodyDiv w:val="1"/>
      <w:marLeft w:val="0"/>
      <w:marRight w:val="0"/>
      <w:marTop w:val="0"/>
      <w:marBottom w:val="0"/>
      <w:divBdr>
        <w:top w:val="none" w:sz="0" w:space="0" w:color="auto"/>
        <w:left w:val="none" w:sz="0" w:space="0" w:color="auto"/>
        <w:bottom w:val="none" w:sz="0" w:space="0" w:color="auto"/>
        <w:right w:val="none" w:sz="0" w:space="0" w:color="auto"/>
      </w:divBdr>
    </w:div>
    <w:div w:id="1063870782">
      <w:bodyDiv w:val="1"/>
      <w:marLeft w:val="0"/>
      <w:marRight w:val="0"/>
      <w:marTop w:val="0"/>
      <w:marBottom w:val="0"/>
      <w:divBdr>
        <w:top w:val="none" w:sz="0" w:space="0" w:color="auto"/>
        <w:left w:val="none" w:sz="0" w:space="0" w:color="auto"/>
        <w:bottom w:val="none" w:sz="0" w:space="0" w:color="auto"/>
        <w:right w:val="none" w:sz="0" w:space="0" w:color="auto"/>
      </w:divBdr>
    </w:div>
    <w:div w:id="1073627488">
      <w:bodyDiv w:val="1"/>
      <w:marLeft w:val="0"/>
      <w:marRight w:val="0"/>
      <w:marTop w:val="0"/>
      <w:marBottom w:val="0"/>
      <w:divBdr>
        <w:top w:val="none" w:sz="0" w:space="0" w:color="auto"/>
        <w:left w:val="none" w:sz="0" w:space="0" w:color="auto"/>
        <w:bottom w:val="none" w:sz="0" w:space="0" w:color="auto"/>
        <w:right w:val="none" w:sz="0" w:space="0" w:color="auto"/>
      </w:divBdr>
    </w:div>
    <w:div w:id="1078407409">
      <w:bodyDiv w:val="1"/>
      <w:marLeft w:val="0"/>
      <w:marRight w:val="0"/>
      <w:marTop w:val="0"/>
      <w:marBottom w:val="0"/>
      <w:divBdr>
        <w:top w:val="none" w:sz="0" w:space="0" w:color="auto"/>
        <w:left w:val="none" w:sz="0" w:space="0" w:color="auto"/>
        <w:bottom w:val="none" w:sz="0" w:space="0" w:color="auto"/>
        <w:right w:val="none" w:sz="0" w:space="0" w:color="auto"/>
      </w:divBdr>
    </w:div>
    <w:div w:id="1079329006">
      <w:bodyDiv w:val="1"/>
      <w:marLeft w:val="0"/>
      <w:marRight w:val="0"/>
      <w:marTop w:val="0"/>
      <w:marBottom w:val="0"/>
      <w:divBdr>
        <w:top w:val="none" w:sz="0" w:space="0" w:color="auto"/>
        <w:left w:val="none" w:sz="0" w:space="0" w:color="auto"/>
        <w:bottom w:val="none" w:sz="0" w:space="0" w:color="auto"/>
        <w:right w:val="none" w:sz="0" w:space="0" w:color="auto"/>
      </w:divBdr>
    </w:div>
    <w:div w:id="1081559743">
      <w:bodyDiv w:val="1"/>
      <w:marLeft w:val="0"/>
      <w:marRight w:val="0"/>
      <w:marTop w:val="0"/>
      <w:marBottom w:val="0"/>
      <w:divBdr>
        <w:top w:val="none" w:sz="0" w:space="0" w:color="auto"/>
        <w:left w:val="none" w:sz="0" w:space="0" w:color="auto"/>
        <w:bottom w:val="none" w:sz="0" w:space="0" w:color="auto"/>
        <w:right w:val="none" w:sz="0" w:space="0" w:color="auto"/>
      </w:divBdr>
    </w:div>
    <w:div w:id="1083450295">
      <w:bodyDiv w:val="1"/>
      <w:marLeft w:val="0"/>
      <w:marRight w:val="0"/>
      <w:marTop w:val="0"/>
      <w:marBottom w:val="0"/>
      <w:divBdr>
        <w:top w:val="none" w:sz="0" w:space="0" w:color="auto"/>
        <w:left w:val="none" w:sz="0" w:space="0" w:color="auto"/>
        <w:bottom w:val="none" w:sz="0" w:space="0" w:color="auto"/>
        <w:right w:val="none" w:sz="0" w:space="0" w:color="auto"/>
      </w:divBdr>
    </w:div>
    <w:div w:id="1087000310">
      <w:bodyDiv w:val="1"/>
      <w:marLeft w:val="0"/>
      <w:marRight w:val="0"/>
      <w:marTop w:val="0"/>
      <w:marBottom w:val="0"/>
      <w:divBdr>
        <w:top w:val="none" w:sz="0" w:space="0" w:color="auto"/>
        <w:left w:val="none" w:sz="0" w:space="0" w:color="auto"/>
        <w:bottom w:val="none" w:sz="0" w:space="0" w:color="auto"/>
        <w:right w:val="none" w:sz="0" w:space="0" w:color="auto"/>
      </w:divBdr>
    </w:div>
    <w:div w:id="1096318256">
      <w:bodyDiv w:val="1"/>
      <w:marLeft w:val="0"/>
      <w:marRight w:val="0"/>
      <w:marTop w:val="0"/>
      <w:marBottom w:val="0"/>
      <w:divBdr>
        <w:top w:val="none" w:sz="0" w:space="0" w:color="auto"/>
        <w:left w:val="none" w:sz="0" w:space="0" w:color="auto"/>
        <w:bottom w:val="none" w:sz="0" w:space="0" w:color="auto"/>
        <w:right w:val="none" w:sz="0" w:space="0" w:color="auto"/>
      </w:divBdr>
    </w:div>
    <w:div w:id="1103842140">
      <w:bodyDiv w:val="1"/>
      <w:marLeft w:val="0"/>
      <w:marRight w:val="0"/>
      <w:marTop w:val="0"/>
      <w:marBottom w:val="0"/>
      <w:divBdr>
        <w:top w:val="none" w:sz="0" w:space="0" w:color="auto"/>
        <w:left w:val="none" w:sz="0" w:space="0" w:color="auto"/>
        <w:bottom w:val="none" w:sz="0" w:space="0" w:color="auto"/>
        <w:right w:val="none" w:sz="0" w:space="0" w:color="auto"/>
      </w:divBdr>
    </w:div>
    <w:div w:id="1104421661">
      <w:bodyDiv w:val="1"/>
      <w:marLeft w:val="0"/>
      <w:marRight w:val="0"/>
      <w:marTop w:val="0"/>
      <w:marBottom w:val="0"/>
      <w:divBdr>
        <w:top w:val="none" w:sz="0" w:space="0" w:color="auto"/>
        <w:left w:val="none" w:sz="0" w:space="0" w:color="auto"/>
        <w:bottom w:val="none" w:sz="0" w:space="0" w:color="auto"/>
        <w:right w:val="none" w:sz="0" w:space="0" w:color="auto"/>
      </w:divBdr>
    </w:div>
    <w:div w:id="1111440201">
      <w:bodyDiv w:val="1"/>
      <w:marLeft w:val="0"/>
      <w:marRight w:val="0"/>
      <w:marTop w:val="0"/>
      <w:marBottom w:val="0"/>
      <w:divBdr>
        <w:top w:val="none" w:sz="0" w:space="0" w:color="auto"/>
        <w:left w:val="none" w:sz="0" w:space="0" w:color="auto"/>
        <w:bottom w:val="none" w:sz="0" w:space="0" w:color="auto"/>
        <w:right w:val="none" w:sz="0" w:space="0" w:color="auto"/>
      </w:divBdr>
    </w:div>
    <w:div w:id="1117792047">
      <w:bodyDiv w:val="1"/>
      <w:marLeft w:val="0"/>
      <w:marRight w:val="0"/>
      <w:marTop w:val="0"/>
      <w:marBottom w:val="0"/>
      <w:divBdr>
        <w:top w:val="none" w:sz="0" w:space="0" w:color="auto"/>
        <w:left w:val="none" w:sz="0" w:space="0" w:color="auto"/>
        <w:bottom w:val="none" w:sz="0" w:space="0" w:color="auto"/>
        <w:right w:val="none" w:sz="0" w:space="0" w:color="auto"/>
      </w:divBdr>
    </w:div>
    <w:div w:id="1126460235">
      <w:bodyDiv w:val="1"/>
      <w:marLeft w:val="0"/>
      <w:marRight w:val="0"/>
      <w:marTop w:val="0"/>
      <w:marBottom w:val="0"/>
      <w:divBdr>
        <w:top w:val="none" w:sz="0" w:space="0" w:color="auto"/>
        <w:left w:val="none" w:sz="0" w:space="0" w:color="auto"/>
        <w:bottom w:val="none" w:sz="0" w:space="0" w:color="auto"/>
        <w:right w:val="none" w:sz="0" w:space="0" w:color="auto"/>
      </w:divBdr>
    </w:div>
    <w:div w:id="1127502258">
      <w:bodyDiv w:val="1"/>
      <w:marLeft w:val="0"/>
      <w:marRight w:val="0"/>
      <w:marTop w:val="0"/>
      <w:marBottom w:val="0"/>
      <w:divBdr>
        <w:top w:val="none" w:sz="0" w:space="0" w:color="auto"/>
        <w:left w:val="none" w:sz="0" w:space="0" w:color="auto"/>
        <w:bottom w:val="none" w:sz="0" w:space="0" w:color="auto"/>
        <w:right w:val="none" w:sz="0" w:space="0" w:color="auto"/>
      </w:divBdr>
    </w:div>
    <w:div w:id="1130517584">
      <w:bodyDiv w:val="1"/>
      <w:marLeft w:val="0"/>
      <w:marRight w:val="0"/>
      <w:marTop w:val="0"/>
      <w:marBottom w:val="0"/>
      <w:divBdr>
        <w:top w:val="none" w:sz="0" w:space="0" w:color="auto"/>
        <w:left w:val="none" w:sz="0" w:space="0" w:color="auto"/>
        <w:bottom w:val="none" w:sz="0" w:space="0" w:color="auto"/>
        <w:right w:val="none" w:sz="0" w:space="0" w:color="auto"/>
      </w:divBdr>
    </w:div>
    <w:div w:id="1137644883">
      <w:bodyDiv w:val="1"/>
      <w:marLeft w:val="0"/>
      <w:marRight w:val="0"/>
      <w:marTop w:val="0"/>
      <w:marBottom w:val="0"/>
      <w:divBdr>
        <w:top w:val="none" w:sz="0" w:space="0" w:color="auto"/>
        <w:left w:val="none" w:sz="0" w:space="0" w:color="auto"/>
        <w:bottom w:val="none" w:sz="0" w:space="0" w:color="auto"/>
        <w:right w:val="none" w:sz="0" w:space="0" w:color="auto"/>
      </w:divBdr>
    </w:div>
    <w:div w:id="1145858637">
      <w:bodyDiv w:val="1"/>
      <w:marLeft w:val="0"/>
      <w:marRight w:val="0"/>
      <w:marTop w:val="0"/>
      <w:marBottom w:val="0"/>
      <w:divBdr>
        <w:top w:val="none" w:sz="0" w:space="0" w:color="auto"/>
        <w:left w:val="none" w:sz="0" w:space="0" w:color="auto"/>
        <w:bottom w:val="none" w:sz="0" w:space="0" w:color="auto"/>
        <w:right w:val="none" w:sz="0" w:space="0" w:color="auto"/>
      </w:divBdr>
    </w:div>
    <w:div w:id="1154754807">
      <w:bodyDiv w:val="1"/>
      <w:marLeft w:val="0"/>
      <w:marRight w:val="0"/>
      <w:marTop w:val="0"/>
      <w:marBottom w:val="0"/>
      <w:divBdr>
        <w:top w:val="none" w:sz="0" w:space="0" w:color="auto"/>
        <w:left w:val="none" w:sz="0" w:space="0" w:color="auto"/>
        <w:bottom w:val="none" w:sz="0" w:space="0" w:color="auto"/>
        <w:right w:val="none" w:sz="0" w:space="0" w:color="auto"/>
      </w:divBdr>
    </w:div>
    <w:div w:id="1155488319">
      <w:bodyDiv w:val="1"/>
      <w:marLeft w:val="0"/>
      <w:marRight w:val="0"/>
      <w:marTop w:val="0"/>
      <w:marBottom w:val="0"/>
      <w:divBdr>
        <w:top w:val="none" w:sz="0" w:space="0" w:color="auto"/>
        <w:left w:val="none" w:sz="0" w:space="0" w:color="auto"/>
        <w:bottom w:val="none" w:sz="0" w:space="0" w:color="auto"/>
        <w:right w:val="none" w:sz="0" w:space="0" w:color="auto"/>
      </w:divBdr>
    </w:div>
    <w:div w:id="1158036268">
      <w:bodyDiv w:val="1"/>
      <w:marLeft w:val="0"/>
      <w:marRight w:val="0"/>
      <w:marTop w:val="0"/>
      <w:marBottom w:val="0"/>
      <w:divBdr>
        <w:top w:val="none" w:sz="0" w:space="0" w:color="auto"/>
        <w:left w:val="none" w:sz="0" w:space="0" w:color="auto"/>
        <w:bottom w:val="none" w:sz="0" w:space="0" w:color="auto"/>
        <w:right w:val="none" w:sz="0" w:space="0" w:color="auto"/>
      </w:divBdr>
    </w:div>
    <w:div w:id="1159232543">
      <w:bodyDiv w:val="1"/>
      <w:marLeft w:val="0"/>
      <w:marRight w:val="0"/>
      <w:marTop w:val="0"/>
      <w:marBottom w:val="0"/>
      <w:divBdr>
        <w:top w:val="none" w:sz="0" w:space="0" w:color="auto"/>
        <w:left w:val="none" w:sz="0" w:space="0" w:color="auto"/>
        <w:bottom w:val="none" w:sz="0" w:space="0" w:color="auto"/>
        <w:right w:val="none" w:sz="0" w:space="0" w:color="auto"/>
      </w:divBdr>
    </w:div>
    <w:div w:id="1162696358">
      <w:bodyDiv w:val="1"/>
      <w:marLeft w:val="0"/>
      <w:marRight w:val="0"/>
      <w:marTop w:val="0"/>
      <w:marBottom w:val="0"/>
      <w:divBdr>
        <w:top w:val="none" w:sz="0" w:space="0" w:color="auto"/>
        <w:left w:val="none" w:sz="0" w:space="0" w:color="auto"/>
        <w:bottom w:val="none" w:sz="0" w:space="0" w:color="auto"/>
        <w:right w:val="none" w:sz="0" w:space="0" w:color="auto"/>
      </w:divBdr>
    </w:div>
    <w:div w:id="1172600934">
      <w:bodyDiv w:val="1"/>
      <w:marLeft w:val="0"/>
      <w:marRight w:val="0"/>
      <w:marTop w:val="0"/>
      <w:marBottom w:val="0"/>
      <w:divBdr>
        <w:top w:val="none" w:sz="0" w:space="0" w:color="auto"/>
        <w:left w:val="none" w:sz="0" w:space="0" w:color="auto"/>
        <w:bottom w:val="none" w:sz="0" w:space="0" w:color="auto"/>
        <w:right w:val="none" w:sz="0" w:space="0" w:color="auto"/>
      </w:divBdr>
    </w:div>
    <w:div w:id="1181317828">
      <w:bodyDiv w:val="1"/>
      <w:marLeft w:val="0"/>
      <w:marRight w:val="0"/>
      <w:marTop w:val="0"/>
      <w:marBottom w:val="0"/>
      <w:divBdr>
        <w:top w:val="none" w:sz="0" w:space="0" w:color="auto"/>
        <w:left w:val="none" w:sz="0" w:space="0" w:color="auto"/>
        <w:bottom w:val="none" w:sz="0" w:space="0" w:color="auto"/>
        <w:right w:val="none" w:sz="0" w:space="0" w:color="auto"/>
      </w:divBdr>
    </w:div>
    <w:div w:id="1185359263">
      <w:bodyDiv w:val="1"/>
      <w:marLeft w:val="0"/>
      <w:marRight w:val="0"/>
      <w:marTop w:val="0"/>
      <w:marBottom w:val="0"/>
      <w:divBdr>
        <w:top w:val="none" w:sz="0" w:space="0" w:color="auto"/>
        <w:left w:val="none" w:sz="0" w:space="0" w:color="auto"/>
        <w:bottom w:val="none" w:sz="0" w:space="0" w:color="auto"/>
        <w:right w:val="none" w:sz="0" w:space="0" w:color="auto"/>
      </w:divBdr>
    </w:div>
    <w:div w:id="1185367652">
      <w:bodyDiv w:val="1"/>
      <w:marLeft w:val="0"/>
      <w:marRight w:val="0"/>
      <w:marTop w:val="0"/>
      <w:marBottom w:val="0"/>
      <w:divBdr>
        <w:top w:val="none" w:sz="0" w:space="0" w:color="auto"/>
        <w:left w:val="none" w:sz="0" w:space="0" w:color="auto"/>
        <w:bottom w:val="none" w:sz="0" w:space="0" w:color="auto"/>
        <w:right w:val="none" w:sz="0" w:space="0" w:color="auto"/>
      </w:divBdr>
    </w:div>
    <w:div w:id="1186215330">
      <w:bodyDiv w:val="1"/>
      <w:marLeft w:val="0"/>
      <w:marRight w:val="0"/>
      <w:marTop w:val="0"/>
      <w:marBottom w:val="0"/>
      <w:divBdr>
        <w:top w:val="none" w:sz="0" w:space="0" w:color="auto"/>
        <w:left w:val="none" w:sz="0" w:space="0" w:color="auto"/>
        <w:bottom w:val="none" w:sz="0" w:space="0" w:color="auto"/>
        <w:right w:val="none" w:sz="0" w:space="0" w:color="auto"/>
      </w:divBdr>
    </w:div>
    <w:div w:id="1187140762">
      <w:bodyDiv w:val="1"/>
      <w:marLeft w:val="0"/>
      <w:marRight w:val="0"/>
      <w:marTop w:val="0"/>
      <w:marBottom w:val="0"/>
      <w:divBdr>
        <w:top w:val="none" w:sz="0" w:space="0" w:color="auto"/>
        <w:left w:val="none" w:sz="0" w:space="0" w:color="auto"/>
        <w:bottom w:val="none" w:sz="0" w:space="0" w:color="auto"/>
        <w:right w:val="none" w:sz="0" w:space="0" w:color="auto"/>
      </w:divBdr>
    </w:div>
    <w:div w:id="1187869804">
      <w:bodyDiv w:val="1"/>
      <w:marLeft w:val="0"/>
      <w:marRight w:val="0"/>
      <w:marTop w:val="0"/>
      <w:marBottom w:val="0"/>
      <w:divBdr>
        <w:top w:val="none" w:sz="0" w:space="0" w:color="auto"/>
        <w:left w:val="none" w:sz="0" w:space="0" w:color="auto"/>
        <w:bottom w:val="none" w:sz="0" w:space="0" w:color="auto"/>
        <w:right w:val="none" w:sz="0" w:space="0" w:color="auto"/>
      </w:divBdr>
    </w:div>
    <w:div w:id="1190409875">
      <w:bodyDiv w:val="1"/>
      <w:marLeft w:val="0"/>
      <w:marRight w:val="0"/>
      <w:marTop w:val="0"/>
      <w:marBottom w:val="0"/>
      <w:divBdr>
        <w:top w:val="none" w:sz="0" w:space="0" w:color="auto"/>
        <w:left w:val="none" w:sz="0" w:space="0" w:color="auto"/>
        <w:bottom w:val="none" w:sz="0" w:space="0" w:color="auto"/>
        <w:right w:val="none" w:sz="0" w:space="0" w:color="auto"/>
      </w:divBdr>
    </w:div>
    <w:div w:id="1201741585">
      <w:bodyDiv w:val="1"/>
      <w:marLeft w:val="0"/>
      <w:marRight w:val="0"/>
      <w:marTop w:val="0"/>
      <w:marBottom w:val="0"/>
      <w:divBdr>
        <w:top w:val="none" w:sz="0" w:space="0" w:color="auto"/>
        <w:left w:val="none" w:sz="0" w:space="0" w:color="auto"/>
        <w:bottom w:val="none" w:sz="0" w:space="0" w:color="auto"/>
        <w:right w:val="none" w:sz="0" w:space="0" w:color="auto"/>
      </w:divBdr>
    </w:div>
    <w:div w:id="1204250944">
      <w:bodyDiv w:val="1"/>
      <w:marLeft w:val="0"/>
      <w:marRight w:val="0"/>
      <w:marTop w:val="0"/>
      <w:marBottom w:val="0"/>
      <w:divBdr>
        <w:top w:val="none" w:sz="0" w:space="0" w:color="auto"/>
        <w:left w:val="none" w:sz="0" w:space="0" w:color="auto"/>
        <w:bottom w:val="none" w:sz="0" w:space="0" w:color="auto"/>
        <w:right w:val="none" w:sz="0" w:space="0" w:color="auto"/>
      </w:divBdr>
    </w:div>
    <w:div w:id="1220018720">
      <w:bodyDiv w:val="1"/>
      <w:marLeft w:val="0"/>
      <w:marRight w:val="0"/>
      <w:marTop w:val="0"/>
      <w:marBottom w:val="0"/>
      <w:divBdr>
        <w:top w:val="none" w:sz="0" w:space="0" w:color="auto"/>
        <w:left w:val="none" w:sz="0" w:space="0" w:color="auto"/>
        <w:bottom w:val="none" w:sz="0" w:space="0" w:color="auto"/>
        <w:right w:val="none" w:sz="0" w:space="0" w:color="auto"/>
      </w:divBdr>
    </w:div>
    <w:div w:id="1220937184">
      <w:bodyDiv w:val="1"/>
      <w:marLeft w:val="0"/>
      <w:marRight w:val="0"/>
      <w:marTop w:val="0"/>
      <w:marBottom w:val="0"/>
      <w:divBdr>
        <w:top w:val="none" w:sz="0" w:space="0" w:color="auto"/>
        <w:left w:val="none" w:sz="0" w:space="0" w:color="auto"/>
        <w:bottom w:val="none" w:sz="0" w:space="0" w:color="auto"/>
        <w:right w:val="none" w:sz="0" w:space="0" w:color="auto"/>
      </w:divBdr>
    </w:div>
    <w:div w:id="1240793500">
      <w:bodyDiv w:val="1"/>
      <w:marLeft w:val="0"/>
      <w:marRight w:val="0"/>
      <w:marTop w:val="0"/>
      <w:marBottom w:val="0"/>
      <w:divBdr>
        <w:top w:val="none" w:sz="0" w:space="0" w:color="auto"/>
        <w:left w:val="none" w:sz="0" w:space="0" w:color="auto"/>
        <w:bottom w:val="none" w:sz="0" w:space="0" w:color="auto"/>
        <w:right w:val="none" w:sz="0" w:space="0" w:color="auto"/>
      </w:divBdr>
    </w:div>
    <w:div w:id="1244948921">
      <w:bodyDiv w:val="1"/>
      <w:marLeft w:val="0"/>
      <w:marRight w:val="0"/>
      <w:marTop w:val="0"/>
      <w:marBottom w:val="0"/>
      <w:divBdr>
        <w:top w:val="none" w:sz="0" w:space="0" w:color="auto"/>
        <w:left w:val="none" w:sz="0" w:space="0" w:color="auto"/>
        <w:bottom w:val="none" w:sz="0" w:space="0" w:color="auto"/>
        <w:right w:val="none" w:sz="0" w:space="0" w:color="auto"/>
      </w:divBdr>
    </w:div>
    <w:div w:id="1245525925">
      <w:bodyDiv w:val="1"/>
      <w:marLeft w:val="0"/>
      <w:marRight w:val="0"/>
      <w:marTop w:val="0"/>
      <w:marBottom w:val="0"/>
      <w:divBdr>
        <w:top w:val="none" w:sz="0" w:space="0" w:color="auto"/>
        <w:left w:val="none" w:sz="0" w:space="0" w:color="auto"/>
        <w:bottom w:val="none" w:sz="0" w:space="0" w:color="auto"/>
        <w:right w:val="none" w:sz="0" w:space="0" w:color="auto"/>
      </w:divBdr>
    </w:div>
    <w:div w:id="1278559855">
      <w:bodyDiv w:val="1"/>
      <w:marLeft w:val="0"/>
      <w:marRight w:val="0"/>
      <w:marTop w:val="0"/>
      <w:marBottom w:val="0"/>
      <w:divBdr>
        <w:top w:val="none" w:sz="0" w:space="0" w:color="auto"/>
        <w:left w:val="none" w:sz="0" w:space="0" w:color="auto"/>
        <w:bottom w:val="none" w:sz="0" w:space="0" w:color="auto"/>
        <w:right w:val="none" w:sz="0" w:space="0" w:color="auto"/>
      </w:divBdr>
    </w:div>
    <w:div w:id="1287587036">
      <w:bodyDiv w:val="1"/>
      <w:marLeft w:val="0"/>
      <w:marRight w:val="0"/>
      <w:marTop w:val="0"/>
      <w:marBottom w:val="0"/>
      <w:divBdr>
        <w:top w:val="none" w:sz="0" w:space="0" w:color="auto"/>
        <w:left w:val="none" w:sz="0" w:space="0" w:color="auto"/>
        <w:bottom w:val="none" w:sz="0" w:space="0" w:color="auto"/>
        <w:right w:val="none" w:sz="0" w:space="0" w:color="auto"/>
      </w:divBdr>
    </w:div>
    <w:div w:id="1288972680">
      <w:bodyDiv w:val="1"/>
      <w:marLeft w:val="0"/>
      <w:marRight w:val="0"/>
      <w:marTop w:val="0"/>
      <w:marBottom w:val="0"/>
      <w:divBdr>
        <w:top w:val="none" w:sz="0" w:space="0" w:color="auto"/>
        <w:left w:val="none" w:sz="0" w:space="0" w:color="auto"/>
        <w:bottom w:val="none" w:sz="0" w:space="0" w:color="auto"/>
        <w:right w:val="none" w:sz="0" w:space="0" w:color="auto"/>
      </w:divBdr>
    </w:div>
    <w:div w:id="1290822666">
      <w:bodyDiv w:val="1"/>
      <w:marLeft w:val="0"/>
      <w:marRight w:val="0"/>
      <w:marTop w:val="0"/>
      <w:marBottom w:val="0"/>
      <w:divBdr>
        <w:top w:val="none" w:sz="0" w:space="0" w:color="auto"/>
        <w:left w:val="none" w:sz="0" w:space="0" w:color="auto"/>
        <w:bottom w:val="none" w:sz="0" w:space="0" w:color="auto"/>
        <w:right w:val="none" w:sz="0" w:space="0" w:color="auto"/>
      </w:divBdr>
    </w:div>
    <w:div w:id="1291127051">
      <w:bodyDiv w:val="1"/>
      <w:marLeft w:val="0"/>
      <w:marRight w:val="0"/>
      <w:marTop w:val="0"/>
      <w:marBottom w:val="0"/>
      <w:divBdr>
        <w:top w:val="none" w:sz="0" w:space="0" w:color="auto"/>
        <w:left w:val="none" w:sz="0" w:space="0" w:color="auto"/>
        <w:bottom w:val="none" w:sz="0" w:space="0" w:color="auto"/>
        <w:right w:val="none" w:sz="0" w:space="0" w:color="auto"/>
      </w:divBdr>
    </w:div>
    <w:div w:id="1311786679">
      <w:bodyDiv w:val="1"/>
      <w:marLeft w:val="0"/>
      <w:marRight w:val="0"/>
      <w:marTop w:val="0"/>
      <w:marBottom w:val="0"/>
      <w:divBdr>
        <w:top w:val="none" w:sz="0" w:space="0" w:color="auto"/>
        <w:left w:val="none" w:sz="0" w:space="0" w:color="auto"/>
        <w:bottom w:val="none" w:sz="0" w:space="0" w:color="auto"/>
        <w:right w:val="none" w:sz="0" w:space="0" w:color="auto"/>
      </w:divBdr>
    </w:div>
    <w:div w:id="1329408363">
      <w:bodyDiv w:val="1"/>
      <w:marLeft w:val="0"/>
      <w:marRight w:val="0"/>
      <w:marTop w:val="0"/>
      <w:marBottom w:val="0"/>
      <w:divBdr>
        <w:top w:val="none" w:sz="0" w:space="0" w:color="auto"/>
        <w:left w:val="none" w:sz="0" w:space="0" w:color="auto"/>
        <w:bottom w:val="none" w:sz="0" w:space="0" w:color="auto"/>
        <w:right w:val="none" w:sz="0" w:space="0" w:color="auto"/>
      </w:divBdr>
    </w:div>
    <w:div w:id="1330711731">
      <w:bodyDiv w:val="1"/>
      <w:marLeft w:val="0"/>
      <w:marRight w:val="0"/>
      <w:marTop w:val="0"/>
      <w:marBottom w:val="0"/>
      <w:divBdr>
        <w:top w:val="none" w:sz="0" w:space="0" w:color="auto"/>
        <w:left w:val="none" w:sz="0" w:space="0" w:color="auto"/>
        <w:bottom w:val="none" w:sz="0" w:space="0" w:color="auto"/>
        <w:right w:val="none" w:sz="0" w:space="0" w:color="auto"/>
      </w:divBdr>
    </w:div>
    <w:div w:id="1332903053">
      <w:bodyDiv w:val="1"/>
      <w:marLeft w:val="0"/>
      <w:marRight w:val="0"/>
      <w:marTop w:val="0"/>
      <w:marBottom w:val="0"/>
      <w:divBdr>
        <w:top w:val="none" w:sz="0" w:space="0" w:color="auto"/>
        <w:left w:val="none" w:sz="0" w:space="0" w:color="auto"/>
        <w:bottom w:val="none" w:sz="0" w:space="0" w:color="auto"/>
        <w:right w:val="none" w:sz="0" w:space="0" w:color="auto"/>
      </w:divBdr>
    </w:div>
    <w:div w:id="1340350036">
      <w:bodyDiv w:val="1"/>
      <w:marLeft w:val="0"/>
      <w:marRight w:val="0"/>
      <w:marTop w:val="0"/>
      <w:marBottom w:val="0"/>
      <w:divBdr>
        <w:top w:val="none" w:sz="0" w:space="0" w:color="auto"/>
        <w:left w:val="none" w:sz="0" w:space="0" w:color="auto"/>
        <w:bottom w:val="none" w:sz="0" w:space="0" w:color="auto"/>
        <w:right w:val="none" w:sz="0" w:space="0" w:color="auto"/>
      </w:divBdr>
    </w:div>
    <w:div w:id="1348822827">
      <w:bodyDiv w:val="1"/>
      <w:marLeft w:val="0"/>
      <w:marRight w:val="0"/>
      <w:marTop w:val="0"/>
      <w:marBottom w:val="0"/>
      <w:divBdr>
        <w:top w:val="none" w:sz="0" w:space="0" w:color="auto"/>
        <w:left w:val="none" w:sz="0" w:space="0" w:color="auto"/>
        <w:bottom w:val="none" w:sz="0" w:space="0" w:color="auto"/>
        <w:right w:val="none" w:sz="0" w:space="0" w:color="auto"/>
      </w:divBdr>
    </w:div>
    <w:div w:id="1350721905">
      <w:bodyDiv w:val="1"/>
      <w:marLeft w:val="0"/>
      <w:marRight w:val="0"/>
      <w:marTop w:val="0"/>
      <w:marBottom w:val="0"/>
      <w:divBdr>
        <w:top w:val="none" w:sz="0" w:space="0" w:color="auto"/>
        <w:left w:val="none" w:sz="0" w:space="0" w:color="auto"/>
        <w:bottom w:val="none" w:sz="0" w:space="0" w:color="auto"/>
        <w:right w:val="none" w:sz="0" w:space="0" w:color="auto"/>
      </w:divBdr>
    </w:div>
    <w:div w:id="1374503694">
      <w:bodyDiv w:val="1"/>
      <w:marLeft w:val="0"/>
      <w:marRight w:val="0"/>
      <w:marTop w:val="0"/>
      <w:marBottom w:val="0"/>
      <w:divBdr>
        <w:top w:val="none" w:sz="0" w:space="0" w:color="auto"/>
        <w:left w:val="none" w:sz="0" w:space="0" w:color="auto"/>
        <w:bottom w:val="none" w:sz="0" w:space="0" w:color="auto"/>
        <w:right w:val="none" w:sz="0" w:space="0" w:color="auto"/>
      </w:divBdr>
    </w:div>
    <w:div w:id="1377124924">
      <w:bodyDiv w:val="1"/>
      <w:marLeft w:val="0"/>
      <w:marRight w:val="0"/>
      <w:marTop w:val="0"/>
      <w:marBottom w:val="0"/>
      <w:divBdr>
        <w:top w:val="none" w:sz="0" w:space="0" w:color="auto"/>
        <w:left w:val="none" w:sz="0" w:space="0" w:color="auto"/>
        <w:bottom w:val="none" w:sz="0" w:space="0" w:color="auto"/>
        <w:right w:val="none" w:sz="0" w:space="0" w:color="auto"/>
      </w:divBdr>
    </w:div>
    <w:div w:id="1380283946">
      <w:bodyDiv w:val="1"/>
      <w:marLeft w:val="0"/>
      <w:marRight w:val="0"/>
      <w:marTop w:val="0"/>
      <w:marBottom w:val="0"/>
      <w:divBdr>
        <w:top w:val="none" w:sz="0" w:space="0" w:color="auto"/>
        <w:left w:val="none" w:sz="0" w:space="0" w:color="auto"/>
        <w:bottom w:val="none" w:sz="0" w:space="0" w:color="auto"/>
        <w:right w:val="none" w:sz="0" w:space="0" w:color="auto"/>
      </w:divBdr>
    </w:div>
    <w:div w:id="1381588834">
      <w:bodyDiv w:val="1"/>
      <w:marLeft w:val="0"/>
      <w:marRight w:val="0"/>
      <w:marTop w:val="0"/>
      <w:marBottom w:val="0"/>
      <w:divBdr>
        <w:top w:val="none" w:sz="0" w:space="0" w:color="auto"/>
        <w:left w:val="none" w:sz="0" w:space="0" w:color="auto"/>
        <w:bottom w:val="none" w:sz="0" w:space="0" w:color="auto"/>
        <w:right w:val="none" w:sz="0" w:space="0" w:color="auto"/>
      </w:divBdr>
    </w:div>
    <w:div w:id="1387756335">
      <w:bodyDiv w:val="1"/>
      <w:marLeft w:val="0"/>
      <w:marRight w:val="0"/>
      <w:marTop w:val="0"/>
      <w:marBottom w:val="0"/>
      <w:divBdr>
        <w:top w:val="none" w:sz="0" w:space="0" w:color="auto"/>
        <w:left w:val="none" w:sz="0" w:space="0" w:color="auto"/>
        <w:bottom w:val="none" w:sz="0" w:space="0" w:color="auto"/>
        <w:right w:val="none" w:sz="0" w:space="0" w:color="auto"/>
      </w:divBdr>
    </w:div>
    <w:div w:id="1397774968">
      <w:bodyDiv w:val="1"/>
      <w:marLeft w:val="0"/>
      <w:marRight w:val="0"/>
      <w:marTop w:val="0"/>
      <w:marBottom w:val="0"/>
      <w:divBdr>
        <w:top w:val="none" w:sz="0" w:space="0" w:color="auto"/>
        <w:left w:val="none" w:sz="0" w:space="0" w:color="auto"/>
        <w:bottom w:val="none" w:sz="0" w:space="0" w:color="auto"/>
        <w:right w:val="none" w:sz="0" w:space="0" w:color="auto"/>
      </w:divBdr>
    </w:div>
    <w:div w:id="1400903634">
      <w:bodyDiv w:val="1"/>
      <w:marLeft w:val="0"/>
      <w:marRight w:val="0"/>
      <w:marTop w:val="0"/>
      <w:marBottom w:val="0"/>
      <w:divBdr>
        <w:top w:val="none" w:sz="0" w:space="0" w:color="auto"/>
        <w:left w:val="none" w:sz="0" w:space="0" w:color="auto"/>
        <w:bottom w:val="none" w:sz="0" w:space="0" w:color="auto"/>
        <w:right w:val="none" w:sz="0" w:space="0" w:color="auto"/>
      </w:divBdr>
    </w:div>
    <w:div w:id="1406075180">
      <w:bodyDiv w:val="1"/>
      <w:marLeft w:val="0"/>
      <w:marRight w:val="0"/>
      <w:marTop w:val="0"/>
      <w:marBottom w:val="0"/>
      <w:divBdr>
        <w:top w:val="none" w:sz="0" w:space="0" w:color="auto"/>
        <w:left w:val="none" w:sz="0" w:space="0" w:color="auto"/>
        <w:bottom w:val="none" w:sz="0" w:space="0" w:color="auto"/>
        <w:right w:val="none" w:sz="0" w:space="0" w:color="auto"/>
      </w:divBdr>
    </w:div>
    <w:div w:id="1412969614">
      <w:bodyDiv w:val="1"/>
      <w:marLeft w:val="0"/>
      <w:marRight w:val="0"/>
      <w:marTop w:val="0"/>
      <w:marBottom w:val="0"/>
      <w:divBdr>
        <w:top w:val="none" w:sz="0" w:space="0" w:color="auto"/>
        <w:left w:val="none" w:sz="0" w:space="0" w:color="auto"/>
        <w:bottom w:val="none" w:sz="0" w:space="0" w:color="auto"/>
        <w:right w:val="none" w:sz="0" w:space="0" w:color="auto"/>
      </w:divBdr>
    </w:div>
    <w:div w:id="1427385874">
      <w:bodyDiv w:val="1"/>
      <w:marLeft w:val="0"/>
      <w:marRight w:val="0"/>
      <w:marTop w:val="0"/>
      <w:marBottom w:val="0"/>
      <w:divBdr>
        <w:top w:val="none" w:sz="0" w:space="0" w:color="auto"/>
        <w:left w:val="none" w:sz="0" w:space="0" w:color="auto"/>
        <w:bottom w:val="none" w:sz="0" w:space="0" w:color="auto"/>
        <w:right w:val="none" w:sz="0" w:space="0" w:color="auto"/>
      </w:divBdr>
    </w:div>
    <w:div w:id="1430544396">
      <w:bodyDiv w:val="1"/>
      <w:marLeft w:val="0"/>
      <w:marRight w:val="0"/>
      <w:marTop w:val="0"/>
      <w:marBottom w:val="0"/>
      <w:divBdr>
        <w:top w:val="none" w:sz="0" w:space="0" w:color="auto"/>
        <w:left w:val="none" w:sz="0" w:space="0" w:color="auto"/>
        <w:bottom w:val="none" w:sz="0" w:space="0" w:color="auto"/>
        <w:right w:val="none" w:sz="0" w:space="0" w:color="auto"/>
      </w:divBdr>
    </w:div>
    <w:div w:id="1434982614">
      <w:bodyDiv w:val="1"/>
      <w:marLeft w:val="0"/>
      <w:marRight w:val="0"/>
      <w:marTop w:val="0"/>
      <w:marBottom w:val="0"/>
      <w:divBdr>
        <w:top w:val="none" w:sz="0" w:space="0" w:color="auto"/>
        <w:left w:val="none" w:sz="0" w:space="0" w:color="auto"/>
        <w:bottom w:val="none" w:sz="0" w:space="0" w:color="auto"/>
        <w:right w:val="none" w:sz="0" w:space="0" w:color="auto"/>
      </w:divBdr>
    </w:div>
    <w:div w:id="1457024737">
      <w:bodyDiv w:val="1"/>
      <w:marLeft w:val="0"/>
      <w:marRight w:val="0"/>
      <w:marTop w:val="0"/>
      <w:marBottom w:val="0"/>
      <w:divBdr>
        <w:top w:val="none" w:sz="0" w:space="0" w:color="auto"/>
        <w:left w:val="none" w:sz="0" w:space="0" w:color="auto"/>
        <w:bottom w:val="none" w:sz="0" w:space="0" w:color="auto"/>
        <w:right w:val="none" w:sz="0" w:space="0" w:color="auto"/>
      </w:divBdr>
    </w:div>
    <w:div w:id="1466778662">
      <w:bodyDiv w:val="1"/>
      <w:marLeft w:val="0"/>
      <w:marRight w:val="0"/>
      <w:marTop w:val="0"/>
      <w:marBottom w:val="0"/>
      <w:divBdr>
        <w:top w:val="none" w:sz="0" w:space="0" w:color="auto"/>
        <w:left w:val="none" w:sz="0" w:space="0" w:color="auto"/>
        <w:bottom w:val="none" w:sz="0" w:space="0" w:color="auto"/>
        <w:right w:val="none" w:sz="0" w:space="0" w:color="auto"/>
      </w:divBdr>
    </w:div>
    <w:div w:id="1472751696">
      <w:bodyDiv w:val="1"/>
      <w:marLeft w:val="0"/>
      <w:marRight w:val="0"/>
      <w:marTop w:val="0"/>
      <w:marBottom w:val="0"/>
      <w:divBdr>
        <w:top w:val="none" w:sz="0" w:space="0" w:color="auto"/>
        <w:left w:val="none" w:sz="0" w:space="0" w:color="auto"/>
        <w:bottom w:val="none" w:sz="0" w:space="0" w:color="auto"/>
        <w:right w:val="none" w:sz="0" w:space="0" w:color="auto"/>
      </w:divBdr>
    </w:div>
    <w:div w:id="1473600427">
      <w:bodyDiv w:val="1"/>
      <w:marLeft w:val="0"/>
      <w:marRight w:val="0"/>
      <w:marTop w:val="0"/>
      <w:marBottom w:val="0"/>
      <w:divBdr>
        <w:top w:val="none" w:sz="0" w:space="0" w:color="auto"/>
        <w:left w:val="none" w:sz="0" w:space="0" w:color="auto"/>
        <w:bottom w:val="none" w:sz="0" w:space="0" w:color="auto"/>
        <w:right w:val="none" w:sz="0" w:space="0" w:color="auto"/>
      </w:divBdr>
    </w:div>
    <w:div w:id="1487434212">
      <w:bodyDiv w:val="1"/>
      <w:marLeft w:val="0"/>
      <w:marRight w:val="0"/>
      <w:marTop w:val="0"/>
      <w:marBottom w:val="0"/>
      <w:divBdr>
        <w:top w:val="none" w:sz="0" w:space="0" w:color="auto"/>
        <w:left w:val="none" w:sz="0" w:space="0" w:color="auto"/>
        <w:bottom w:val="none" w:sz="0" w:space="0" w:color="auto"/>
        <w:right w:val="none" w:sz="0" w:space="0" w:color="auto"/>
      </w:divBdr>
    </w:div>
    <w:div w:id="1495612100">
      <w:bodyDiv w:val="1"/>
      <w:marLeft w:val="0"/>
      <w:marRight w:val="0"/>
      <w:marTop w:val="0"/>
      <w:marBottom w:val="0"/>
      <w:divBdr>
        <w:top w:val="none" w:sz="0" w:space="0" w:color="auto"/>
        <w:left w:val="none" w:sz="0" w:space="0" w:color="auto"/>
        <w:bottom w:val="none" w:sz="0" w:space="0" w:color="auto"/>
        <w:right w:val="none" w:sz="0" w:space="0" w:color="auto"/>
      </w:divBdr>
    </w:div>
    <w:div w:id="1498501072">
      <w:bodyDiv w:val="1"/>
      <w:marLeft w:val="0"/>
      <w:marRight w:val="0"/>
      <w:marTop w:val="0"/>
      <w:marBottom w:val="0"/>
      <w:divBdr>
        <w:top w:val="none" w:sz="0" w:space="0" w:color="auto"/>
        <w:left w:val="none" w:sz="0" w:space="0" w:color="auto"/>
        <w:bottom w:val="none" w:sz="0" w:space="0" w:color="auto"/>
        <w:right w:val="none" w:sz="0" w:space="0" w:color="auto"/>
      </w:divBdr>
    </w:div>
    <w:div w:id="1501892449">
      <w:bodyDiv w:val="1"/>
      <w:marLeft w:val="0"/>
      <w:marRight w:val="0"/>
      <w:marTop w:val="0"/>
      <w:marBottom w:val="0"/>
      <w:divBdr>
        <w:top w:val="none" w:sz="0" w:space="0" w:color="auto"/>
        <w:left w:val="none" w:sz="0" w:space="0" w:color="auto"/>
        <w:bottom w:val="none" w:sz="0" w:space="0" w:color="auto"/>
        <w:right w:val="none" w:sz="0" w:space="0" w:color="auto"/>
      </w:divBdr>
    </w:div>
    <w:div w:id="1502626747">
      <w:bodyDiv w:val="1"/>
      <w:marLeft w:val="0"/>
      <w:marRight w:val="0"/>
      <w:marTop w:val="0"/>
      <w:marBottom w:val="0"/>
      <w:divBdr>
        <w:top w:val="none" w:sz="0" w:space="0" w:color="auto"/>
        <w:left w:val="none" w:sz="0" w:space="0" w:color="auto"/>
        <w:bottom w:val="none" w:sz="0" w:space="0" w:color="auto"/>
        <w:right w:val="none" w:sz="0" w:space="0" w:color="auto"/>
      </w:divBdr>
    </w:div>
    <w:div w:id="1504130653">
      <w:bodyDiv w:val="1"/>
      <w:marLeft w:val="0"/>
      <w:marRight w:val="0"/>
      <w:marTop w:val="0"/>
      <w:marBottom w:val="0"/>
      <w:divBdr>
        <w:top w:val="none" w:sz="0" w:space="0" w:color="auto"/>
        <w:left w:val="none" w:sz="0" w:space="0" w:color="auto"/>
        <w:bottom w:val="none" w:sz="0" w:space="0" w:color="auto"/>
        <w:right w:val="none" w:sz="0" w:space="0" w:color="auto"/>
      </w:divBdr>
    </w:div>
    <w:div w:id="1513446500">
      <w:bodyDiv w:val="1"/>
      <w:marLeft w:val="0"/>
      <w:marRight w:val="0"/>
      <w:marTop w:val="0"/>
      <w:marBottom w:val="0"/>
      <w:divBdr>
        <w:top w:val="none" w:sz="0" w:space="0" w:color="auto"/>
        <w:left w:val="none" w:sz="0" w:space="0" w:color="auto"/>
        <w:bottom w:val="none" w:sz="0" w:space="0" w:color="auto"/>
        <w:right w:val="none" w:sz="0" w:space="0" w:color="auto"/>
      </w:divBdr>
    </w:div>
    <w:div w:id="1514298768">
      <w:bodyDiv w:val="1"/>
      <w:marLeft w:val="0"/>
      <w:marRight w:val="0"/>
      <w:marTop w:val="0"/>
      <w:marBottom w:val="0"/>
      <w:divBdr>
        <w:top w:val="none" w:sz="0" w:space="0" w:color="auto"/>
        <w:left w:val="none" w:sz="0" w:space="0" w:color="auto"/>
        <w:bottom w:val="none" w:sz="0" w:space="0" w:color="auto"/>
        <w:right w:val="none" w:sz="0" w:space="0" w:color="auto"/>
      </w:divBdr>
    </w:div>
    <w:div w:id="1522818224">
      <w:bodyDiv w:val="1"/>
      <w:marLeft w:val="0"/>
      <w:marRight w:val="0"/>
      <w:marTop w:val="0"/>
      <w:marBottom w:val="0"/>
      <w:divBdr>
        <w:top w:val="none" w:sz="0" w:space="0" w:color="auto"/>
        <w:left w:val="none" w:sz="0" w:space="0" w:color="auto"/>
        <w:bottom w:val="none" w:sz="0" w:space="0" w:color="auto"/>
        <w:right w:val="none" w:sz="0" w:space="0" w:color="auto"/>
      </w:divBdr>
    </w:div>
    <w:div w:id="1524903271">
      <w:bodyDiv w:val="1"/>
      <w:marLeft w:val="0"/>
      <w:marRight w:val="0"/>
      <w:marTop w:val="0"/>
      <w:marBottom w:val="0"/>
      <w:divBdr>
        <w:top w:val="none" w:sz="0" w:space="0" w:color="auto"/>
        <w:left w:val="none" w:sz="0" w:space="0" w:color="auto"/>
        <w:bottom w:val="none" w:sz="0" w:space="0" w:color="auto"/>
        <w:right w:val="none" w:sz="0" w:space="0" w:color="auto"/>
      </w:divBdr>
    </w:div>
    <w:div w:id="1534927748">
      <w:bodyDiv w:val="1"/>
      <w:marLeft w:val="0"/>
      <w:marRight w:val="0"/>
      <w:marTop w:val="0"/>
      <w:marBottom w:val="0"/>
      <w:divBdr>
        <w:top w:val="none" w:sz="0" w:space="0" w:color="auto"/>
        <w:left w:val="none" w:sz="0" w:space="0" w:color="auto"/>
        <w:bottom w:val="none" w:sz="0" w:space="0" w:color="auto"/>
        <w:right w:val="none" w:sz="0" w:space="0" w:color="auto"/>
      </w:divBdr>
    </w:div>
    <w:div w:id="1556890761">
      <w:bodyDiv w:val="1"/>
      <w:marLeft w:val="0"/>
      <w:marRight w:val="0"/>
      <w:marTop w:val="0"/>
      <w:marBottom w:val="0"/>
      <w:divBdr>
        <w:top w:val="none" w:sz="0" w:space="0" w:color="auto"/>
        <w:left w:val="none" w:sz="0" w:space="0" w:color="auto"/>
        <w:bottom w:val="none" w:sz="0" w:space="0" w:color="auto"/>
        <w:right w:val="none" w:sz="0" w:space="0" w:color="auto"/>
      </w:divBdr>
    </w:div>
    <w:div w:id="1563130733">
      <w:bodyDiv w:val="1"/>
      <w:marLeft w:val="0"/>
      <w:marRight w:val="0"/>
      <w:marTop w:val="0"/>
      <w:marBottom w:val="0"/>
      <w:divBdr>
        <w:top w:val="none" w:sz="0" w:space="0" w:color="auto"/>
        <w:left w:val="none" w:sz="0" w:space="0" w:color="auto"/>
        <w:bottom w:val="none" w:sz="0" w:space="0" w:color="auto"/>
        <w:right w:val="none" w:sz="0" w:space="0" w:color="auto"/>
      </w:divBdr>
    </w:div>
    <w:div w:id="1563368030">
      <w:bodyDiv w:val="1"/>
      <w:marLeft w:val="0"/>
      <w:marRight w:val="0"/>
      <w:marTop w:val="0"/>
      <w:marBottom w:val="0"/>
      <w:divBdr>
        <w:top w:val="none" w:sz="0" w:space="0" w:color="auto"/>
        <w:left w:val="none" w:sz="0" w:space="0" w:color="auto"/>
        <w:bottom w:val="none" w:sz="0" w:space="0" w:color="auto"/>
        <w:right w:val="none" w:sz="0" w:space="0" w:color="auto"/>
      </w:divBdr>
    </w:div>
    <w:div w:id="1573002705">
      <w:bodyDiv w:val="1"/>
      <w:marLeft w:val="0"/>
      <w:marRight w:val="0"/>
      <w:marTop w:val="0"/>
      <w:marBottom w:val="0"/>
      <w:divBdr>
        <w:top w:val="none" w:sz="0" w:space="0" w:color="auto"/>
        <w:left w:val="none" w:sz="0" w:space="0" w:color="auto"/>
        <w:bottom w:val="none" w:sz="0" w:space="0" w:color="auto"/>
        <w:right w:val="none" w:sz="0" w:space="0" w:color="auto"/>
      </w:divBdr>
    </w:div>
    <w:div w:id="1580364860">
      <w:bodyDiv w:val="1"/>
      <w:marLeft w:val="0"/>
      <w:marRight w:val="0"/>
      <w:marTop w:val="0"/>
      <w:marBottom w:val="0"/>
      <w:divBdr>
        <w:top w:val="none" w:sz="0" w:space="0" w:color="auto"/>
        <w:left w:val="none" w:sz="0" w:space="0" w:color="auto"/>
        <w:bottom w:val="none" w:sz="0" w:space="0" w:color="auto"/>
        <w:right w:val="none" w:sz="0" w:space="0" w:color="auto"/>
      </w:divBdr>
    </w:div>
    <w:div w:id="1581403614">
      <w:bodyDiv w:val="1"/>
      <w:marLeft w:val="0"/>
      <w:marRight w:val="0"/>
      <w:marTop w:val="0"/>
      <w:marBottom w:val="0"/>
      <w:divBdr>
        <w:top w:val="none" w:sz="0" w:space="0" w:color="auto"/>
        <w:left w:val="none" w:sz="0" w:space="0" w:color="auto"/>
        <w:bottom w:val="none" w:sz="0" w:space="0" w:color="auto"/>
        <w:right w:val="none" w:sz="0" w:space="0" w:color="auto"/>
      </w:divBdr>
    </w:div>
    <w:div w:id="1593124806">
      <w:bodyDiv w:val="1"/>
      <w:marLeft w:val="0"/>
      <w:marRight w:val="0"/>
      <w:marTop w:val="0"/>
      <w:marBottom w:val="0"/>
      <w:divBdr>
        <w:top w:val="none" w:sz="0" w:space="0" w:color="auto"/>
        <w:left w:val="none" w:sz="0" w:space="0" w:color="auto"/>
        <w:bottom w:val="none" w:sz="0" w:space="0" w:color="auto"/>
        <w:right w:val="none" w:sz="0" w:space="0" w:color="auto"/>
      </w:divBdr>
    </w:div>
    <w:div w:id="1597861725">
      <w:bodyDiv w:val="1"/>
      <w:marLeft w:val="0"/>
      <w:marRight w:val="0"/>
      <w:marTop w:val="0"/>
      <w:marBottom w:val="0"/>
      <w:divBdr>
        <w:top w:val="none" w:sz="0" w:space="0" w:color="auto"/>
        <w:left w:val="none" w:sz="0" w:space="0" w:color="auto"/>
        <w:bottom w:val="none" w:sz="0" w:space="0" w:color="auto"/>
        <w:right w:val="none" w:sz="0" w:space="0" w:color="auto"/>
      </w:divBdr>
    </w:div>
    <w:div w:id="1599409005">
      <w:bodyDiv w:val="1"/>
      <w:marLeft w:val="0"/>
      <w:marRight w:val="0"/>
      <w:marTop w:val="0"/>
      <w:marBottom w:val="0"/>
      <w:divBdr>
        <w:top w:val="none" w:sz="0" w:space="0" w:color="auto"/>
        <w:left w:val="none" w:sz="0" w:space="0" w:color="auto"/>
        <w:bottom w:val="none" w:sz="0" w:space="0" w:color="auto"/>
        <w:right w:val="none" w:sz="0" w:space="0" w:color="auto"/>
      </w:divBdr>
    </w:div>
    <w:div w:id="1601912043">
      <w:bodyDiv w:val="1"/>
      <w:marLeft w:val="0"/>
      <w:marRight w:val="0"/>
      <w:marTop w:val="0"/>
      <w:marBottom w:val="0"/>
      <w:divBdr>
        <w:top w:val="none" w:sz="0" w:space="0" w:color="auto"/>
        <w:left w:val="none" w:sz="0" w:space="0" w:color="auto"/>
        <w:bottom w:val="none" w:sz="0" w:space="0" w:color="auto"/>
        <w:right w:val="none" w:sz="0" w:space="0" w:color="auto"/>
      </w:divBdr>
    </w:div>
    <w:div w:id="1607616833">
      <w:bodyDiv w:val="1"/>
      <w:marLeft w:val="0"/>
      <w:marRight w:val="0"/>
      <w:marTop w:val="0"/>
      <w:marBottom w:val="0"/>
      <w:divBdr>
        <w:top w:val="none" w:sz="0" w:space="0" w:color="auto"/>
        <w:left w:val="none" w:sz="0" w:space="0" w:color="auto"/>
        <w:bottom w:val="none" w:sz="0" w:space="0" w:color="auto"/>
        <w:right w:val="none" w:sz="0" w:space="0" w:color="auto"/>
      </w:divBdr>
    </w:div>
    <w:div w:id="1630744337">
      <w:bodyDiv w:val="1"/>
      <w:marLeft w:val="0"/>
      <w:marRight w:val="0"/>
      <w:marTop w:val="0"/>
      <w:marBottom w:val="0"/>
      <w:divBdr>
        <w:top w:val="none" w:sz="0" w:space="0" w:color="auto"/>
        <w:left w:val="none" w:sz="0" w:space="0" w:color="auto"/>
        <w:bottom w:val="none" w:sz="0" w:space="0" w:color="auto"/>
        <w:right w:val="none" w:sz="0" w:space="0" w:color="auto"/>
      </w:divBdr>
    </w:div>
    <w:div w:id="1631934900">
      <w:bodyDiv w:val="1"/>
      <w:marLeft w:val="0"/>
      <w:marRight w:val="0"/>
      <w:marTop w:val="0"/>
      <w:marBottom w:val="0"/>
      <w:divBdr>
        <w:top w:val="none" w:sz="0" w:space="0" w:color="auto"/>
        <w:left w:val="none" w:sz="0" w:space="0" w:color="auto"/>
        <w:bottom w:val="none" w:sz="0" w:space="0" w:color="auto"/>
        <w:right w:val="none" w:sz="0" w:space="0" w:color="auto"/>
      </w:divBdr>
    </w:div>
    <w:div w:id="1633560090">
      <w:bodyDiv w:val="1"/>
      <w:marLeft w:val="0"/>
      <w:marRight w:val="0"/>
      <w:marTop w:val="0"/>
      <w:marBottom w:val="0"/>
      <w:divBdr>
        <w:top w:val="none" w:sz="0" w:space="0" w:color="auto"/>
        <w:left w:val="none" w:sz="0" w:space="0" w:color="auto"/>
        <w:bottom w:val="none" w:sz="0" w:space="0" w:color="auto"/>
        <w:right w:val="none" w:sz="0" w:space="0" w:color="auto"/>
      </w:divBdr>
    </w:div>
    <w:div w:id="1641692965">
      <w:bodyDiv w:val="1"/>
      <w:marLeft w:val="0"/>
      <w:marRight w:val="0"/>
      <w:marTop w:val="0"/>
      <w:marBottom w:val="0"/>
      <w:divBdr>
        <w:top w:val="none" w:sz="0" w:space="0" w:color="auto"/>
        <w:left w:val="none" w:sz="0" w:space="0" w:color="auto"/>
        <w:bottom w:val="none" w:sz="0" w:space="0" w:color="auto"/>
        <w:right w:val="none" w:sz="0" w:space="0" w:color="auto"/>
      </w:divBdr>
    </w:div>
    <w:div w:id="1645311912">
      <w:bodyDiv w:val="1"/>
      <w:marLeft w:val="0"/>
      <w:marRight w:val="0"/>
      <w:marTop w:val="0"/>
      <w:marBottom w:val="0"/>
      <w:divBdr>
        <w:top w:val="none" w:sz="0" w:space="0" w:color="auto"/>
        <w:left w:val="none" w:sz="0" w:space="0" w:color="auto"/>
        <w:bottom w:val="none" w:sz="0" w:space="0" w:color="auto"/>
        <w:right w:val="none" w:sz="0" w:space="0" w:color="auto"/>
      </w:divBdr>
    </w:div>
    <w:div w:id="1654026732">
      <w:bodyDiv w:val="1"/>
      <w:marLeft w:val="0"/>
      <w:marRight w:val="0"/>
      <w:marTop w:val="0"/>
      <w:marBottom w:val="0"/>
      <w:divBdr>
        <w:top w:val="none" w:sz="0" w:space="0" w:color="auto"/>
        <w:left w:val="none" w:sz="0" w:space="0" w:color="auto"/>
        <w:bottom w:val="none" w:sz="0" w:space="0" w:color="auto"/>
        <w:right w:val="none" w:sz="0" w:space="0" w:color="auto"/>
      </w:divBdr>
    </w:div>
    <w:div w:id="1658730342">
      <w:bodyDiv w:val="1"/>
      <w:marLeft w:val="0"/>
      <w:marRight w:val="0"/>
      <w:marTop w:val="0"/>
      <w:marBottom w:val="0"/>
      <w:divBdr>
        <w:top w:val="none" w:sz="0" w:space="0" w:color="auto"/>
        <w:left w:val="none" w:sz="0" w:space="0" w:color="auto"/>
        <w:bottom w:val="none" w:sz="0" w:space="0" w:color="auto"/>
        <w:right w:val="none" w:sz="0" w:space="0" w:color="auto"/>
      </w:divBdr>
    </w:div>
    <w:div w:id="1668358418">
      <w:bodyDiv w:val="1"/>
      <w:marLeft w:val="0"/>
      <w:marRight w:val="0"/>
      <w:marTop w:val="0"/>
      <w:marBottom w:val="0"/>
      <w:divBdr>
        <w:top w:val="none" w:sz="0" w:space="0" w:color="auto"/>
        <w:left w:val="none" w:sz="0" w:space="0" w:color="auto"/>
        <w:bottom w:val="none" w:sz="0" w:space="0" w:color="auto"/>
        <w:right w:val="none" w:sz="0" w:space="0" w:color="auto"/>
      </w:divBdr>
    </w:div>
    <w:div w:id="1670281580">
      <w:bodyDiv w:val="1"/>
      <w:marLeft w:val="0"/>
      <w:marRight w:val="0"/>
      <w:marTop w:val="0"/>
      <w:marBottom w:val="0"/>
      <w:divBdr>
        <w:top w:val="none" w:sz="0" w:space="0" w:color="auto"/>
        <w:left w:val="none" w:sz="0" w:space="0" w:color="auto"/>
        <w:bottom w:val="none" w:sz="0" w:space="0" w:color="auto"/>
        <w:right w:val="none" w:sz="0" w:space="0" w:color="auto"/>
      </w:divBdr>
    </w:div>
    <w:div w:id="1671984070">
      <w:bodyDiv w:val="1"/>
      <w:marLeft w:val="0"/>
      <w:marRight w:val="0"/>
      <w:marTop w:val="0"/>
      <w:marBottom w:val="0"/>
      <w:divBdr>
        <w:top w:val="none" w:sz="0" w:space="0" w:color="auto"/>
        <w:left w:val="none" w:sz="0" w:space="0" w:color="auto"/>
        <w:bottom w:val="none" w:sz="0" w:space="0" w:color="auto"/>
        <w:right w:val="none" w:sz="0" w:space="0" w:color="auto"/>
      </w:divBdr>
    </w:div>
    <w:div w:id="1673023136">
      <w:bodyDiv w:val="1"/>
      <w:marLeft w:val="0"/>
      <w:marRight w:val="0"/>
      <w:marTop w:val="0"/>
      <w:marBottom w:val="0"/>
      <w:divBdr>
        <w:top w:val="none" w:sz="0" w:space="0" w:color="auto"/>
        <w:left w:val="none" w:sz="0" w:space="0" w:color="auto"/>
        <w:bottom w:val="none" w:sz="0" w:space="0" w:color="auto"/>
        <w:right w:val="none" w:sz="0" w:space="0" w:color="auto"/>
      </w:divBdr>
    </w:div>
    <w:div w:id="1698120568">
      <w:bodyDiv w:val="1"/>
      <w:marLeft w:val="0"/>
      <w:marRight w:val="0"/>
      <w:marTop w:val="0"/>
      <w:marBottom w:val="0"/>
      <w:divBdr>
        <w:top w:val="none" w:sz="0" w:space="0" w:color="auto"/>
        <w:left w:val="none" w:sz="0" w:space="0" w:color="auto"/>
        <w:bottom w:val="none" w:sz="0" w:space="0" w:color="auto"/>
        <w:right w:val="none" w:sz="0" w:space="0" w:color="auto"/>
      </w:divBdr>
    </w:div>
    <w:div w:id="1701927804">
      <w:bodyDiv w:val="1"/>
      <w:marLeft w:val="0"/>
      <w:marRight w:val="0"/>
      <w:marTop w:val="0"/>
      <w:marBottom w:val="0"/>
      <w:divBdr>
        <w:top w:val="none" w:sz="0" w:space="0" w:color="auto"/>
        <w:left w:val="none" w:sz="0" w:space="0" w:color="auto"/>
        <w:bottom w:val="none" w:sz="0" w:space="0" w:color="auto"/>
        <w:right w:val="none" w:sz="0" w:space="0" w:color="auto"/>
      </w:divBdr>
    </w:div>
    <w:div w:id="1719011774">
      <w:bodyDiv w:val="1"/>
      <w:marLeft w:val="0"/>
      <w:marRight w:val="0"/>
      <w:marTop w:val="0"/>
      <w:marBottom w:val="0"/>
      <w:divBdr>
        <w:top w:val="none" w:sz="0" w:space="0" w:color="auto"/>
        <w:left w:val="none" w:sz="0" w:space="0" w:color="auto"/>
        <w:bottom w:val="none" w:sz="0" w:space="0" w:color="auto"/>
        <w:right w:val="none" w:sz="0" w:space="0" w:color="auto"/>
      </w:divBdr>
    </w:div>
    <w:div w:id="1719236096">
      <w:bodyDiv w:val="1"/>
      <w:marLeft w:val="0"/>
      <w:marRight w:val="0"/>
      <w:marTop w:val="0"/>
      <w:marBottom w:val="0"/>
      <w:divBdr>
        <w:top w:val="none" w:sz="0" w:space="0" w:color="auto"/>
        <w:left w:val="none" w:sz="0" w:space="0" w:color="auto"/>
        <w:bottom w:val="none" w:sz="0" w:space="0" w:color="auto"/>
        <w:right w:val="none" w:sz="0" w:space="0" w:color="auto"/>
      </w:divBdr>
    </w:div>
    <w:div w:id="1731074898">
      <w:bodyDiv w:val="1"/>
      <w:marLeft w:val="0"/>
      <w:marRight w:val="0"/>
      <w:marTop w:val="0"/>
      <w:marBottom w:val="0"/>
      <w:divBdr>
        <w:top w:val="none" w:sz="0" w:space="0" w:color="auto"/>
        <w:left w:val="none" w:sz="0" w:space="0" w:color="auto"/>
        <w:bottom w:val="none" w:sz="0" w:space="0" w:color="auto"/>
        <w:right w:val="none" w:sz="0" w:space="0" w:color="auto"/>
      </w:divBdr>
    </w:div>
    <w:div w:id="1733693060">
      <w:bodyDiv w:val="1"/>
      <w:marLeft w:val="0"/>
      <w:marRight w:val="0"/>
      <w:marTop w:val="0"/>
      <w:marBottom w:val="0"/>
      <w:divBdr>
        <w:top w:val="none" w:sz="0" w:space="0" w:color="auto"/>
        <w:left w:val="none" w:sz="0" w:space="0" w:color="auto"/>
        <w:bottom w:val="none" w:sz="0" w:space="0" w:color="auto"/>
        <w:right w:val="none" w:sz="0" w:space="0" w:color="auto"/>
      </w:divBdr>
    </w:div>
    <w:div w:id="1733698471">
      <w:bodyDiv w:val="1"/>
      <w:marLeft w:val="0"/>
      <w:marRight w:val="0"/>
      <w:marTop w:val="0"/>
      <w:marBottom w:val="0"/>
      <w:divBdr>
        <w:top w:val="none" w:sz="0" w:space="0" w:color="auto"/>
        <w:left w:val="none" w:sz="0" w:space="0" w:color="auto"/>
        <w:bottom w:val="none" w:sz="0" w:space="0" w:color="auto"/>
        <w:right w:val="none" w:sz="0" w:space="0" w:color="auto"/>
      </w:divBdr>
    </w:div>
    <w:div w:id="1735228969">
      <w:bodyDiv w:val="1"/>
      <w:marLeft w:val="0"/>
      <w:marRight w:val="0"/>
      <w:marTop w:val="0"/>
      <w:marBottom w:val="0"/>
      <w:divBdr>
        <w:top w:val="none" w:sz="0" w:space="0" w:color="auto"/>
        <w:left w:val="none" w:sz="0" w:space="0" w:color="auto"/>
        <w:bottom w:val="none" w:sz="0" w:space="0" w:color="auto"/>
        <w:right w:val="none" w:sz="0" w:space="0" w:color="auto"/>
      </w:divBdr>
    </w:div>
    <w:div w:id="1746996460">
      <w:bodyDiv w:val="1"/>
      <w:marLeft w:val="0"/>
      <w:marRight w:val="0"/>
      <w:marTop w:val="0"/>
      <w:marBottom w:val="0"/>
      <w:divBdr>
        <w:top w:val="none" w:sz="0" w:space="0" w:color="auto"/>
        <w:left w:val="none" w:sz="0" w:space="0" w:color="auto"/>
        <w:bottom w:val="none" w:sz="0" w:space="0" w:color="auto"/>
        <w:right w:val="none" w:sz="0" w:space="0" w:color="auto"/>
      </w:divBdr>
    </w:div>
    <w:div w:id="1759669118">
      <w:bodyDiv w:val="1"/>
      <w:marLeft w:val="0"/>
      <w:marRight w:val="0"/>
      <w:marTop w:val="0"/>
      <w:marBottom w:val="0"/>
      <w:divBdr>
        <w:top w:val="none" w:sz="0" w:space="0" w:color="auto"/>
        <w:left w:val="none" w:sz="0" w:space="0" w:color="auto"/>
        <w:bottom w:val="none" w:sz="0" w:space="0" w:color="auto"/>
        <w:right w:val="none" w:sz="0" w:space="0" w:color="auto"/>
      </w:divBdr>
    </w:div>
    <w:div w:id="1761756949">
      <w:bodyDiv w:val="1"/>
      <w:marLeft w:val="0"/>
      <w:marRight w:val="0"/>
      <w:marTop w:val="0"/>
      <w:marBottom w:val="0"/>
      <w:divBdr>
        <w:top w:val="none" w:sz="0" w:space="0" w:color="auto"/>
        <w:left w:val="none" w:sz="0" w:space="0" w:color="auto"/>
        <w:bottom w:val="none" w:sz="0" w:space="0" w:color="auto"/>
        <w:right w:val="none" w:sz="0" w:space="0" w:color="auto"/>
      </w:divBdr>
    </w:div>
    <w:div w:id="1764111072">
      <w:bodyDiv w:val="1"/>
      <w:marLeft w:val="0"/>
      <w:marRight w:val="0"/>
      <w:marTop w:val="0"/>
      <w:marBottom w:val="0"/>
      <w:divBdr>
        <w:top w:val="none" w:sz="0" w:space="0" w:color="auto"/>
        <w:left w:val="none" w:sz="0" w:space="0" w:color="auto"/>
        <w:bottom w:val="none" w:sz="0" w:space="0" w:color="auto"/>
        <w:right w:val="none" w:sz="0" w:space="0" w:color="auto"/>
      </w:divBdr>
    </w:div>
    <w:div w:id="1765832985">
      <w:bodyDiv w:val="1"/>
      <w:marLeft w:val="0"/>
      <w:marRight w:val="0"/>
      <w:marTop w:val="0"/>
      <w:marBottom w:val="0"/>
      <w:divBdr>
        <w:top w:val="none" w:sz="0" w:space="0" w:color="auto"/>
        <w:left w:val="none" w:sz="0" w:space="0" w:color="auto"/>
        <w:bottom w:val="none" w:sz="0" w:space="0" w:color="auto"/>
        <w:right w:val="none" w:sz="0" w:space="0" w:color="auto"/>
      </w:divBdr>
    </w:div>
    <w:div w:id="1767193677">
      <w:bodyDiv w:val="1"/>
      <w:marLeft w:val="0"/>
      <w:marRight w:val="0"/>
      <w:marTop w:val="0"/>
      <w:marBottom w:val="0"/>
      <w:divBdr>
        <w:top w:val="none" w:sz="0" w:space="0" w:color="auto"/>
        <w:left w:val="none" w:sz="0" w:space="0" w:color="auto"/>
        <w:bottom w:val="none" w:sz="0" w:space="0" w:color="auto"/>
        <w:right w:val="none" w:sz="0" w:space="0" w:color="auto"/>
      </w:divBdr>
    </w:div>
    <w:div w:id="1777746668">
      <w:bodyDiv w:val="1"/>
      <w:marLeft w:val="0"/>
      <w:marRight w:val="0"/>
      <w:marTop w:val="0"/>
      <w:marBottom w:val="0"/>
      <w:divBdr>
        <w:top w:val="none" w:sz="0" w:space="0" w:color="auto"/>
        <w:left w:val="none" w:sz="0" w:space="0" w:color="auto"/>
        <w:bottom w:val="none" w:sz="0" w:space="0" w:color="auto"/>
        <w:right w:val="none" w:sz="0" w:space="0" w:color="auto"/>
      </w:divBdr>
    </w:div>
    <w:div w:id="1779718426">
      <w:bodyDiv w:val="1"/>
      <w:marLeft w:val="0"/>
      <w:marRight w:val="0"/>
      <w:marTop w:val="0"/>
      <w:marBottom w:val="0"/>
      <w:divBdr>
        <w:top w:val="none" w:sz="0" w:space="0" w:color="auto"/>
        <w:left w:val="none" w:sz="0" w:space="0" w:color="auto"/>
        <w:bottom w:val="none" w:sz="0" w:space="0" w:color="auto"/>
        <w:right w:val="none" w:sz="0" w:space="0" w:color="auto"/>
      </w:divBdr>
    </w:div>
    <w:div w:id="1780951645">
      <w:bodyDiv w:val="1"/>
      <w:marLeft w:val="0"/>
      <w:marRight w:val="0"/>
      <w:marTop w:val="0"/>
      <w:marBottom w:val="0"/>
      <w:divBdr>
        <w:top w:val="none" w:sz="0" w:space="0" w:color="auto"/>
        <w:left w:val="none" w:sz="0" w:space="0" w:color="auto"/>
        <w:bottom w:val="none" w:sz="0" w:space="0" w:color="auto"/>
        <w:right w:val="none" w:sz="0" w:space="0" w:color="auto"/>
      </w:divBdr>
    </w:div>
    <w:div w:id="1792823283">
      <w:bodyDiv w:val="1"/>
      <w:marLeft w:val="0"/>
      <w:marRight w:val="0"/>
      <w:marTop w:val="0"/>
      <w:marBottom w:val="0"/>
      <w:divBdr>
        <w:top w:val="none" w:sz="0" w:space="0" w:color="auto"/>
        <w:left w:val="none" w:sz="0" w:space="0" w:color="auto"/>
        <w:bottom w:val="none" w:sz="0" w:space="0" w:color="auto"/>
        <w:right w:val="none" w:sz="0" w:space="0" w:color="auto"/>
      </w:divBdr>
    </w:div>
    <w:div w:id="1795754920">
      <w:bodyDiv w:val="1"/>
      <w:marLeft w:val="0"/>
      <w:marRight w:val="0"/>
      <w:marTop w:val="0"/>
      <w:marBottom w:val="0"/>
      <w:divBdr>
        <w:top w:val="none" w:sz="0" w:space="0" w:color="auto"/>
        <w:left w:val="none" w:sz="0" w:space="0" w:color="auto"/>
        <w:bottom w:val="none" w:sz="0" w:space="0" w:color="auto"/>
        <w:right w:val="none" w:sz="0" w:space="0" w:color="auto"/>
      </w:divBdr>
    </w:div>
    <w:div w:id="1810171931">
      <w:bodyDiv w:val="1"/>
      <w:marLeft w:val="0"/>
      <w:marRight w:val="0"/>
      <w:marTop w:val="0"/>
      <w:marBottom w:val="0"/>
      <w:divBdr>
        <w:top w:val="none" w:sz="0" w:space="0" w:color="auto"/>
        <w:left w:val="none" w:sz="0" w:space="0" w:color="auto"/>
        <w:bottom w:val="none" w:sz="0" w:space="0" w:color="auto"/>
        <w:right w:val="none" w:sz="0" w:space="0" w:color="auto"/>
      </w:divBdr>
    </w:div>
    <w:div w:id="1815565889">
      <w:bodyDiv w:val="1"/>
      <w:marLeft w:val="0"/>
      <w:marRight w:val="0"/>
      <w:marTop w:val="0"/>
      <w:marBottom w:val="0"/>
      <w:divBdr>
        <w:top w:val="none" w:sz="0" w:space="0" w:color="auto"/>
        <w:left w:val="none" w:sz="0" w:space="0" w:color="auto"/>
        <w:bottom w:val="none" w:sz="0" w:space="0" w:color="auto"/>
        <w:right w:val="none" w:sz="0" w:space="0" w:color="auto"/>
      </w:divBdr>
    </w:div>
    <w:div w:id="1830095168">
      <w:bodyDiv w:val="1"/>
      <w:marLeft w:val="0"/>
      <w:marRight w:val="0"/>
      <w:marTop w:val="0"/>
      <w:marBottom w:val="0"/>
      <w:divBdr>
        <w:top w:val="none" w:sz="0" w:space="0" w:color="auto"/>
        <w:left w:val="none" w:sz="0" w:space="0" w:color="auto"/>
        <w:bottom w:val="none" w:sz="0" w:space="0" w:color="auto"/>
        <w:right w:val="none" w:sz="0" w:space="0" w:color="auto"/>
      </w:divBdr>
    </w:div>
    <w:div w:id="1836678181">
      <w:bodyDiv w:val="1"/>
      <w:marLeft w:val="0"/>
      <w:marRight w:val="0"/>
      <w:marTop w:val="0"/>
      <w:marBottom w:val="0"/>
      <w:divBdr>
        <w:top w:val="none" w:sz="0" w:space="0" w:color="auto"/>
        <w:left w:val="none" w:sz="0" w:space="0" w:color="auto"/>
        <w:bottom w:val="none" w:sz="0" w:space="0" w:color="auto"/>
        <w:right w:val="none" w:sz="0" w:space="0" w:color="auto"/>
      </w:divBdr>
    </w:div>
    <w:div w:id="1841963960">
      <w:bodyDiv w:val="1"/>
      <w:marLeft w:val="0"/>
      <w:marRight w:val="0"/>
      <w:marTop w:val="0"/>
      <w:marBottom w:val="0"/>
      <w:divBdr>
        <w:top w:val="none" w:sz="0" w:space="0" w:color="auto"/>
        <w:left w:val="none" w:sz="0" w:space="0" w:color="auto"/>
        <w:bottom w:val="none" w:sz="0" w:space="0" w:color="auto"/>
        <w:right w:val="none" w:sz="0" w:space="0" w:color="auto"/>
      </w:divBdr>
    </w:div>
    <w:div w:id="1845591309">
      <w:bodyDiv w:val="1"/>
      <w:marLeft w:val="0"/>
      <w:marRight w:val="0"/>
      <w:marTop w:val="0"/>
      <w:marBottom w:val="0"/>
      <w:divBdr>
        <w:top w:val="none" w:sz="0" w:space="0" w:color="auto"/>
        <w:left w:val="none" w:sz="0" w:space="0" w:color="auto"/>
        <w:bottom w:val="none" w:sz="0" w:space="0" w:color="auto"/>
        <w:right w:val="none" w:sz="0" w:space="0" w:color="auto"/>
      </w:divBdr>
    </w:div>
    <w:div w:id="1857888400">
      <w:bodyDiv w:val="1"/>
      <w:marLeft w:val="0"/>
      <w:marRight w:val="0"/>
      <w:marTop w:val="0"/>
      <w:marBottom w:val="0"/>
      <w:divBdr>
        <w:top w:val="none" w:sz="0" w:space="0" w:color="auto"/>
        <w:left w:val="none" w:sz="0" w:space="0" w:color="auto"/>
        <w:bottom w:val="none" w:sz="0" w:space="0" w:color="auto"/>
        <w:right w:val="none" w:sz="0" w:space="0" w:color="auto"/>
      </w:divBdr>
    </w:div>
    <w:div w:id="1858231685">
      <w:bodyDiv w:val="1"/>
      <w:marLeft w:val="0"/>
      <w:marRight w:val="0"/>
      <w:marTop w:val="0"/>
      <w:marBottom w:val="0"/>
      <w:divBdr>
        <w:top w:val="none" w:sz="0" w:space="0" w:color="auto"/>
        <w:left w:val="none" w:sz="0" w:space="0" w:color="auto"/>
        <w:bottom w:val="none" w:sz="0" w:space="0" w:color="auto"/>
        <w:right w:val="none" w:sz="0" w:space="0" w:color="auto"/>
      </w:divBdr>
    </w:div>
    <w:div w:id="1861624510">
      <w:bodyDiv w:val="1"/>
      <w:marLeft w:val="0"/>
      <w:marRight w:val="0"/>
      <w:marTop w:val="0"/>
      <w:marBottom w:val="0"/>
      <w:divBdr>
        <w:top w:val="none" w:sz="0" w:space="0" w:color="auto"/>
        <w:left w:val="none" w:sz="0" w:space="0" w:color="auto"/>
        <w:bottom w:val="none" w:sz="0" w:space="0" w:color="auto"/>
        <w:right w:val="none" w:sz="0" w:space="0" w:color="auto"/>
      </w:divBdr>
    </w:div>
    <w:div w:id="1861968035">
      <w:bodyDiv w:val="1"/>
      <w:marLeft w:val="0"/>
      <w:marRight w:val="0"/>
      <w:marTop w:val="0"/>
      <w:marBottom w:val="0"/>
      <w:divBdr>
        <w:top w:val="none" w:sz="0" w:space="0" w:color="auto"/>
        <w:left w:val="none" w:sz="0" w:space="0" w:color="auto"/>
        <w:bottom w:val="none" w:sz="0" w:space="0" w:color="auto"/>
        <w:right w:val="none" w:sz="0" w:space="0" w:color="auto"/>
      </w:divBdr>
    </w:div>
    <w:div w:id="1863545249">
      <w:bodyDiv w:val="1"/>
      <w:marLeft w:val="0"/>
      <w:marRight w:val="0"/>
      <w:marTop w:val="0"/>
      <w:marBottom w:val="0"/>
      <w:divBdr>
        <w:top w:val="none" w:sz="0" w:space="0" w:color="auto"/>
        <w:left w:val="none" w:sz="0" w:space="0" w:color="auto"/>
        <w:bottom w:val="none" w:sz="0" w:space="0" w:color="auto"/>
        <w:right w:val="none" w:sz="0" w:space="0" w:color="auto"/>
      </w:divBdr>
    </w:div>
    <w:div w:id="1885747891">
      <w:bodyDiv w:val="1"/>
      <w:marLeft w:val="0"/>
      <w:marRight w:val="0"/>
      <w:marTop w:val="0"/>
      <w:marBottom w:val="0"/>
      <w:divBdr>
        <w:top w:val="none" w:sz="0" w:space="0" w:color="auto"/>
        <w:left w:val="none" w:sz="0" w:space="0" w:color="auto"/>
        <w:bottom w:val="none" w:sz="0" w:space="0" w:color="auto"/>
        <w:right w:val="none" w:sz="0" w:space="0" w:color="auto"/>
      </w:divBdr>
    </w:div>
    <w:div w:id="1889680422">
      <w:bodyDiv w:val="1"/>
      <w:marLeft w:val="0"/>
      <w:marRight w:val="0"/>
      <w:marTop w:val="0"/>
      <w:marBottom w:val="0"/>
      <w:divBdr>
        <w:top w:val="none" w:sz="0" w:space="0" w:color="auto"/>
        <w:left w:val="none" w:sz="0" w:space="0" w:color="auto"/>
        <w:bottom w:val="none" w:sz="0" w:space="0" w:color="auto"/>
        <w:right w:val="none" w:sz="0" w:space="0" w:color="auto"/>
      </w:divBdr>
    </w:div>
    <w:div w:id="1891843582">
      <w:bodyDiv w:val="1"/>
      <w:marLeft w:val="0"/>
      <w:marRight w:val="0"/>
      <w:marTop w:val="0"/>
      <w:marBottom w:val="0"/>
      <w:divBdr>
        <w:top w:val="none" w:sz="0" w:space="0" w:color="auto"/>
        <w:left w:val="none" w:sz="0" w:space="0" w:color="auto"/>
        <w:bottom w:val="none" w:sz="0" w:space="0" w:color="auto"/>
        <w:right w:val="none" w:sz="0" w:space="0" w:color="auto"/>
      </w:divBdr>
    </w:div>
    <w:div w:id="1898279755">
      <w:bodyDiv w:val="1"/>
      <w:marLeft w:val="0"/>
      <w:marRight w:val="0"/>
      <w:marTop w:val="0"/>
      <w:marBottom w:val="0"/>
      <w:divBdr>
        <w:top w:val="none" w:sz="0" w:space="0" w:color="auto"/>
        <w:left w:val="none" w:sz="0" w:space="0" w:color="auto"/>
        <w:bottom w:val="none" w:sz="0" w:space="0" w:color="auto"/>
        <w:right w:val="none" w:sz="0" w:space="0" w:color="auto"/>
      </w:divBdr>
    </w:div>
    <w:div w:id="1901549512">
      <w:bodyDiv w:val="1"/>
      <w:marLeft w:val="0"/>
      <w:marRight w:val="0"/>
      <w:marTop w:val="0"/>
      <w:marBottom w:val="0"/>
      <w:divBdr>
        <w:top w:val="none" w:sz="0" w:space="0" w:color="auto"/>
        <w:left w:val="none" w:sz="0" w:space="0" w:color="auto"/>
        <w:bottom w:val="none" w:sz="0" w:space="0" w:color="auto"/>
        <w:right w:val="none" w:sz="0" w:space="0" w:color="auto"/>
      </w:divBdr>
    </w:div>
    <w:div w:id="1909613293">
      <w:bodyDiv w:val="1"/>
      <w:marLeft w:val="0"/>
      <w:marRight w:val="0"/>
      <w:marTop w:val="0"/>
      <w:marBottom w:val="0"/>
      <w:divBdr>
        <w:top w:val="none" w:sz="0" w:space="0" w:color="auto"/>
        <w:left w:val="none" w:sz="0" w:space="0" w:color="auto"/>
        <w:bottom w:val="none" w:sz="0" w:space="0" w:color="auto"/>
        <w:right w:val="none" w:sz="0" w:space="0" w:color="auto"/>
      </w:divBdr>
    </w:div>
    <w:div w:id="1910185763">
      <w:bodyDiv w:val="1"/>
      <w:marLeft w:val="0"/>
      <w:marRight w:val="0"/>
      <w:marTop w:val="0"/>
      <w:marBottom w:val="0"/>
      <w:divBdr>
        <w:top w:val="none" w:sz="0" w:space="0" w:color="auto"/>
        <w:left w:val="none" w:sz="0" w:space="0" w:color="auto"/>
        <w:bottom w:val="none" w:sz="0" w:space="0" w:color="auto"/>
        <w:right w:val="none" w:sz="0" w:space="0" w:color="auto"/>
      </w:divBdr>
    </w:div>
    <w:div w:id="1925215655">
      <w:bodyDiv w:val="1"/>
      <w:marLeft w:val="0"/>
      <w:marRight w:val="0"/>
      <w:marTop w:val="0"/>
      <w:marBottom w:val="0"/>
      <w:divBdr>
        <w:top w:val="none" w:sz="0" w:space="0" w:color="auto"/>
        <w:left w:val="none" w:sz="0" w:space="0" w:color="auto"/>
        <w:bottom w:val="none" w:sz="0" w:space="0" w:color="auto"/>
        <w:right w:val="none" w:sz="0" w:space="0" w:color="auto"/>
      </w:divBdr>
    </w:div>
    <w:div w:id="1928223557">
      <w:bodyDiv w:val="1"/>
      <w:marLeft w:val="0"/>
      <w:marRight w:val="0"/>
      <w:marTop w:val="0"/>
      <w:marBottom w:val="0"/>
      <w:divBdr>
        <w:top w:val="none" w:sz="0" w:space="0" w:color="auto"/>
        <w:left w:val="none" w:sz="0" w:space="0" w:color="auto"/>
        <w:bottom w:val="none" w:sz="0" w:space="0" w:color="auto"/>
        <w:right w:val="none" w:sz="0" w:space="0" w:color="auto"/>
      </w:divBdr>
    </w:div>
    <w:div w:id="1943418236">
      <w:bodyDiv w:val="1"/>
      <w:marLeft w:val="0"/>
      <w:marRight w:val="0"/>
      <w:marTop w:val="0"/>
      <w:marBottom w:val="0"/>
      <w:divBdr>
        <w:top w:val="none" w:sz="0" w:space="0" w:color="auto"/>
        <w:left w:val="none" w:sz="0" w:space="0" w:color="auto"/>
        <w:bottom w:val="none" w:sz="0" w:space="0" w:color="auto"/>
        <w:right w:val="none" w:sz="0" w:space="0" w:color="auto"/>
      </w:divBdr>
    </w:div>
    <w:div w:id="1948080593">
      <w:bodyDiv w:val="1"/>
      <w:marLeft w:val="0"/>
      <w:marRight w:val="0"/>
      <w:marTop w:val="0"/>
      <w:marBottom w:val="0"/>
      <w:divBdr>
        <w:top w:val="none" w:sz="0" w:space="0" w:color="auto"/>
        <w:left w:val="none" w:sz="0" w:space="0" w:color="auto"/>
        <w:bottom w:val="none" w:sz="0" w:space="0" w:color="auto"/>
        <w:right w:val="none" w:sz="0" w:space="0" w:color="auto"/>
      </w:divBdr>
    </w:div>
    <w:div w:id="1953897154">
      <w:bodyDiv w:val="1"/>
      <w:marLeft w:val="0"/>
      <w:marRight w:val="0"/>
      <w:marTop w:val="0"/>
      <w:marBottom w:val="0"/>
      <w:divBdr>
        <w:top w:val="none" w:sz="0" w:space="0" w:color="auto"/>
        <w:left w:val="none" w:sz="0" w:space="0" w:color="auto"/>
        <w:bottom w:val="none" w:sz="0" w:space="0" w:color="auto"/>
        <w:right w:val="none" w:sz="0" w:space="0" w:color="auto"/>
      </w:divBdr>
    </w:div>
    <w:div w:id="1964001027">
      <w:bodyDiv w:val="1"/>
      <w:marLeft w:val="0"/>
      <w:marRight w:val="0"/>
      <w:marTop w:val="0"/>
      <w:marBottom w:val="0"/>
      <w:divBdr>
        <w:top w:val="none" w:sz="0" w:space="0" w:color="auto"/>
        <w:left w:val="none" w:sz="0" w:space="0" w:color="auto"/>
        <w:bottom w:val="none" w:sz="0" w:space="0" w:color="auto"/>
        <w:right w:val="none" w:sz="0" w:space="0" w:color="auto"/>
      </w:divBdr>
    </w:div>
    <w:div w:id="1967814686">
      <w:bodyDiv w:val="1"/>
      <w:marLeft w:val="0"/>
      <w:marRight w:val="0"/>
      <w:marTop w:val="0"/>
      <w:marBottom w:val="0"/>
      <w:divBdr>
        <w:top w:val="none" w:sz="0" w:space="0" w:color="auto"/>
        <w:left w:val="none" w:sz="0" w:space="0" w:color="auto"/>
        <w:bottom w:val="none" w:sz="0" w:space="0" w:color="auto"/>
        <w:right w:val="none" w:sz="0" w:space="0" w:color="auto"/>
      </w:divBdr>
    </w:div>
    <w:div w:id="1972396037">
      <w:bodyDiv w:val="1"/>
      <w:marLeft w:val="0"/>
      <w:marRight w:val="0"/>
      <w:marTop w:val="0"/>
      <w:marBottom w:val="0"/>
      <w:divBdr>
        <w:top w:val="none" w:sz="0" w:space="0" w:color="auto"/>
        <w:left w:val="none" w:sz="0" w:space="0" w:color="auto"/>
        <w:bottom w:val="none" w:sz="0" w:space="0" w:color="auto"/>
        <w:right w:val="none" w:sz="0" w:space="0" w:color="auto"/>
      </w:divBdr>
    </w:div>
    <w:div w:id="1973511346">
      <w:bodyDiv w:val="1"/>
      <w:marLeft w:val="0"/>
      <w:marRight w:val="0"/>
      <w:marTop w:val="0"/>
      <w:marBottom w:val="0"/>
      <w:divBdr>
        <w:top w:val="none" w:sz="0" w:space="0" w:color="auto"/>
        <w:left w:val="none" w:sz="0" w:space="0" w:color="auto"/>
        <w:bottom w:val="none" w:sz="0" w:space="0" w:color="auto"/>
        <w:right w:val="none" w:sz="0" w:space="0" w:color="auto"/>
      </w:divBdr>
    </w:div>
    <w:div w:id="1973559263">
      <w:bodyDiv w:val="1"/>
      <w:marLeft w:val="0"/>
      <w:marRight w:val="0"/>
      <w:marTop w:val="0"/>
      <w:marBottom w:val="0"/>
      <w:divBdr>
        <w:top w:val="none" w:sz="0" w:space="0" w:color="auto"/>
        <w:left w:val="none" w:sz="0" w:space="0" w:color="auto"/>
        <w:bottom w:val="none" w:sz="0" w:space="0" w:color="auto"/>
        <w:right w:val="none" w:sz="0" w:space="0" w:color="auto"/>
      </w:divBdr>
    </w:div>
    <w:div w:id="1976904885">
      <w:bodyDiv w:val="1"/>
      <w:marLeft w:val="0"/>
      <w:marRight w:val="0"/>
      <w:marTop w:val="0"/>
      <w:marBottom w:val="0"/>
      <w:divBdr>
        <w:top w:val="none" w:sz="0" w:space="0" w:color="auto"/>
        <w:left w:val="none" w:sz="0" w:space="0" w:color="auto"/>
        <w:bottom w:val="none" w:sz="0" w:space="0" w:color="auto"/>
        <w:right w:val="none" w:sz="0" w:space="0" w:color="auto"/>
      </w:divBdr>
    </w:div>
    <w:div w:id="1983266174">
      <w:bodyDiv w:val="1"/>
      <w:marLeft w:val="0"/>
      <w:marRight w:val="0"/>
      <w:marTop w:val="0"/>
      <w:marBottom w:val="0"/>
      <w:divBdr>
        <w:top w:val="none" w:sz="0" w:space="0" w:color="auto"/>
        <w:left w:val="none" w:sz="0" w:space="0" w:color="auto"/>
        <w:bottom w:val="none" w:sz="0" w:space="0" w:color="auto"/>
        <w:right w:val="none" w:sz="0" w:space="0" w:color="auto"/>
      </w:divBdr>
    </w:div>
    <w:div w:id="1988047709">
      <w:bodyDiv w:val="1"/>
      <w:marLeft w:val="0"/>
      <w:marRight w:val="0"/>
      <w:marTop w:val="0"/>
      <w:marBottom w:val="0"/>
      <w:divBdr>
        <w:top w:val="none" w:sz="0" w:space="0" w:color="auto"/>
        <w:left w:val="none" w:sz="0" w:space="0" w:color="auto"/>
        <w:bottom w:val="none" w:sz="0" w:space="0" w:color="auto"/>
        <w:right w:val="none" w:sz="0" w:space="0" w:color="auto"/>
      </w:divBdr>
    </w:div>
    <w:div w:id="1995835471">
      <w:bodyDiv w:val="1"/>
      <w:marLeft w:val="0"/>
      <w:marRight w:val="0"/>
      <w:marTop w:val="0"/>
      <w:marBottom w:val="0"/>
      <w:divBdr>
        <w:top w:val="none" w:sz="0" w:space="0" w:color="auto"/>
        <w:left w:val="none" w:sz="0" w:space="0" w:color="auto"/>
        <w:bottom w:val="none" w:sz="0" w:space="0" w:color="auto"/>
        <w:right w:val="none" w:sz="0" w:space="0" w:color="auto"/>
      </w:divBdr>
    </w:div>
    <w:div w:id="2000646254">
      <w:bodyDiv w:val="1"/>
      <w:marLeft w:val="0"/>
      <w:marRight w:val="0"/>
      <w:marTop w:val="0"/>
      <w:marBottom w:val="0"/>
      <w:divBdr>
        <w:top w:val="none" w:sz="0" w:space="0" w:color="auto"/>
        <w:left w:val="none" w:sz="0" w:space="0" w:color="auto"/>
        <w:bottom w:val="none" w:sz="0" w:space="0" w:color="auto"/>
        <w:right w:val="none" w:sz="0" w:space="0" w:color="auto"/>
      </w:divBdr>
    </w:div>
    <w:div w:id="2002997612">
      <w:bodyDiv w:val="1"/>
      <w:marLeft w:val="0"/>
      <w:marRight w:val="0"/>
      <w:marTop w:val="0"/>
      <w:marBottom w:val="0"/>
      <w:divBdr>
        <w:top w:val="none" w:sz="0" w:space="0" w:color="auto"/>
        <w:left w:val="none" w:sz="0" w:space="0" w:color="auto"/>
        <w:bottom w:val="none" w:sz="0" w:space="0" w:color="auto"/>
        <w:right w:val="none" w:sz="0" w:space="0" w:color="auto"/>
      </w:divBdr>
    </w:div>
    <w:div w:id="2009673594">
      <w:bodyDiv w:val="1"/>
      <w:marLeft w:val="0"/>
      <w:marRight w:val="0"/>
      <w:marTop w:val="0"/>
      <w:marBottom w:val="0"/>
      <w:divBdr>
        <w:top w:val="none" w:sz="0" w:space="0" w:color="auto"/>
        <w:left w:val="none" w:sz="0" w:space="0" w:color="auto"/>
        <w:bottom w:val="none" w:sz="0" w:space="0" w:color="auto"/>
        <w:right w:val="none" w:sz="0" w:space="0" w:color="auto"/>
      </w:divBdr>
    </w:div>
    <w:div w:id="2014917666">
      <w:bodyDiv w:val="1"/>
      <w:marLeft w:val="0"/>
      <w:marRight w:val="0"/>
      <w:marTop w:val="0"/>
      <w:marBottom w:val="0"/>
      <w:divBdr>
        <w:top w:val="none" w:sz="0" w:space="0" w:color="auto"/>
        <w:left w:val="none" w:sz="0" w:space="0" w:color="auto"/>
        <w:bottom w:val="none" w:sz="0" w:space="0" w:color="auto"/>
        <w:right w:val="none" w:sz="0" w:space="0" w:color="auto"/>
      </w:divBdr>
    </w:div>
    <w:div w:id="2018458924">
      <w:bodyDiv w:val="1"/>
      <w:marLeft w:val="0"/>
      <w:marRight w:val="0"/>
      <w:marTop w:val="0"/>
      <w:marBottom w:val="0"/>
      <w:divBdr>
        <w:top w:val="none" w:sz="0" w:space="0" w:color="auto"/>
        <w:left w:val="none" w:sz="0" w:space="0" w:color="auto"/>
        <w:bottom w:val="none" w:sz="0" w:space="0" w:color="auto"/>
        <w:right w:val="none" w:sz="0" w:space="0" w:color="auto"/>
      </w:divBdr>
    </w:div>
    <w:div w:id="2024475219">
      <w:bodyDiv w:val="1"/>
      <w:marLeft w:val="0"/>
      <w:marRight w:val="0"/>
      <w:marTop w:val="0"/>
      <w:marBottom w:val="0"/>
      <w:divBdr>
        <w:top w:val="none" w:sz="0" w:space="0" w:color="auto"/>
        <w:left w:val="none" w:sz="0" w:space="0" w:color="auto"/>
        <w:bottom w:val="none" w:sz="0" w:space="0" w:color="auto"/>
        <w:right w:val="none" w:sz="0" w:space="0" w:color="auto"/>
      </w:divBdr>
    </w:div>
    <w:div w:id="2027831392">
      <w:bodyDiv w:val="1"/>
      <w:marLeft w:val="0"/>
      <w:marRight w:val="0"/>
      <w:marTop w:val="0"/>
      <w:marBottom w:val="0"/>
      <w:divBdr>
        <w:top w:val="none" w:sz="0" w:space="0" w:color="auto"/>
        <w:left w:val="none" w:sz="0" w:space="0" w:color="auto"/>
        <w:bottom w:val="none" w:sz="0" w:space="0" w:color="auto"/>
        <w:right w:val="none" w:sz="0" w:space="0" w:color="auto"/>
      </w:divBdr>
    </w:div>
    <w:div w:id="2037344077">
      <w:bodyDiv w:val="1"/>
      <w:marLeft w:val="0"/>
      <w:marRight w:val="0"/>
      <w:marTop w:val="0"/>
      <w:marBottom w:val="0"/>
      <w:divBdr>
        <w:top w:val="none" w:sz="0" w:space="0" w:color="auto"/>
        <w:left w:val="none" w:sz="0" w:space="0" w:color="auto"/>
        <w:bottom w:val="none" w:sz="0" w:space="0" w:color="auto"/>
        <w:right w:val="none" w:sz="0" w:space="0" w:color="auto"/>
      </w:divBdr>
    </w:div>
    <w:div w:id="2039161669">
      <w:bodyDiv w:val="1"/>
      <w:marLeft w:val="0"/>
      <w:marRight w:val="0"/>
      <w:marTop w:val="0"/>
      <w:marBottom w:val="0"/>
      <w:divBdr>
        <w:top w:val="none" w:sz="0" w:space="0" w:color="auto"/>
        <w:left w:val="none" w:sz="0" w:space="0" w:color="auto"/>
        <w:bottom w:val="none" w:sz="0" w:space="0" w:color="auto"/>
        <w:right w:val="none" w:sz="0" w:space="0" w:color="auto"/>
      </w:divBdr>
    </w:div>
    <w:div w:id="2048950070">
      <w:bodyDiv w:val="1"/>
      <w:marLeft w:val="0"/>
      <w:marRight w:val="0"/>
      <w:marTop w:val="0"/>
      <w:marBottom w:val="0"/>
      <w:divBdr>
        <w:top w:val="none" w:sz="0" w:space="0" w:color="auto"/>
        <w:left w:val="none" w:sz="0" w:space="0" w:color="auto"/>
        <w:bottom w:val="none" w:sz="0" w:space="0" w:color="auto"/>
        <w:right w:val="none" w:sz="0" w:space="0" w:color="auto"/>
      </w:divBdr>
    </w:div>
    <w:div w:id="2049140459">
      <w:bodyDiv w:val="1"/>
      <w:marLeft w:val="0"/>
      <w:marRight w:val="0"/>
      <w:marTop w:val="0"/>
      <w:marBottom w:val="0"/>
      <w:divBdr>
        <w:top w:val="none" w:sz="0" w:space="0" w:color="auto"/>
        <w:left w:val="none" w:sz="0" w:space="0" w:color="auto"/>
        <w:bottom w:val="none" w:sz="0" w:space="0" w:color="auto"/>
        <w:right w:val="none" w:sz="0" w:space="0" w:color="auto"/>
      </w:divBdr>
    </w:div>
    <w:div w:id="2051806555">
      <w:bodyDiv w:val="1"/>
      <w:marLeft w:val="0"/>
      <w:marRight w:val="0"/>
      <w:marTop w:val="0"/>
      <w:marBottom w:val="0"/>
      <w:divBdr>
        <w:top w:val="none" w:sz="0" w:space="0" w:color="auto"/>
        <w:left w:val="none" w:sz="0" w:space="0" w:color="auto"/>
        <w:bottom w:val="none" w:sz="0" w:space="0" w:color="auto"/>
        <w:right w:val="none" w:sz="0" w:space="0" w:color="auto"/>
      </w:divBdr>
    </w:div>
    <w:div w:id="2051878747">
      <w:bodyDiv w:val="1"/>
      <w:marLeft w:val="0"/>
      <w:marRight w:val="0"/>
      <w:marTop w:val="0"/>
      <w:marBottom w:val="0"/>
      <w:divBdr>
        <w:top w:val="none" w:sz="0" w:space="0" w:color="auto"/>
        <w:left w:val="none" w:sz="0" w:space="0" w:color="auto"/>
        <w:bottom w:val="none" w:sz="0" w:space="0" w:color="auto"/>
        <w:right w:val="none" w:sz="0" w:space="0" w:color="auto"/>
      </w:divBdr>
    </w:div>
    <w:div w:id="2052722884">
      <w:bodyDiv w:val="1"/>
      <w:marLeft w:val="0"/>
      <w:marRight w:val="0"/>
      <w:marTop w:val="0"/>
      <w:marBottom w:val="0"/>
      <w:divBdr>
        <w:top w:val="none" w:sz="0" w:space="0" w:color="auto"/>
        <w:left w:val="none" w:sz="0" w:space="0" w:color="auto"/>
        <w:bottom w:val="none" w:sz="0" w:space="0" w:color="auto"/>
        <w:right w:val="none" w:sz="0" w:space="0" w:color="auto"/>
      </w:divBdr>
    </w:div>
    <w:div w:id="2061632280">
      <w:bodyDiv w:val="1"/>
      <w:marLeft w:val="0"/>
      <w:marRight w:val="0"/>
      <w:marTop w:val="0"/>
      <w:marBottom w:val="0"/>
      <w:divBdr>
        <w:top w:val="none" w:sz="0" w:space="0" w:color="auto"/>
        <w:left w:val="none" w:sz="0" w:space="0" w:color="auto"/>
        <w:bottom w:val="none" w:sz="0" w:space="0" w:color="auto"/>
        <w:right w:val="none" w:sz="0" w:space="0" w:color="auto"/>
      </w:divBdr>
    </w:div>
    <w:div w:id="2073962926">
      <w:bodyDiv w:val="1"/>
      <w:marLeft w:val="0"/>
      <w:marRight w:val="0"/>
      <w:marTop w:val="0"/>
      <w:marBottom w:val="0"/>
      <w:divBdr>
        <w:top w:val="none" w:sz="0" w:space="0" w:color="auto"/>
        <w:left w:val="none" w:sz="0" w:space="0" w:color="auto"/>
        <w:bottom w:val="none" w:sz="0" w:space="0" w:color="auto"/>
        <w:right w:val="none" w:sz="0" w:space="0" w:color="auto"/>
      </w:divBdr>
    </w:div>
    <w:div w:id="2086023725">
      <w:bodyDiv w:val="1"/>
      <w:marLeft w:val="0"/>
      <w:marRight w:val="0"/>
      <w:marTop w:val="0"/>
      <w:marBottom w:val="0"/>
      <w:divBdr>
        <w:top w:val="none" w:sz="0" w:space="0" w:color="auto"/>
        <w:left w:val="none" w:sz="0" w:space="0" w:color="auto"/>
        <w:bottom w:val="none" w:sz="0" w:space="0" w:color="auto"/>
        <w:right w:val="none" w:sz="0" w:space="0" w:color="auto"/>
      </w:divBdr>
    </w:div>
    <w:div w:id="2096121981">
      <w:bodyDiv w:val="1"/>
      <w:marLeft w:val="0"/>
      <w:marRight w:val="0"/>
      <w:marTop w:val="0"/>
      <w:marBottom w:val="0"/>
      <w:divBdr>
        <w:top w:val="none" w:sz="0" w:space="0" w:color="auto"/>
        <w:left w:val="none" w:sz="0" w:space="0" w:color="auto"/>
        <w:bottom w:val="none" w:sz="0" w:space="0" w:color="auto"/>
        <w:right w:val="none" w:sz="0" w:space="0" w:color="auto"/>
      </w:divBdr>
    </w:div>
    <w:div w:id="2098478248">
      <w:bodyDiv w:val="1"/>
      <w:marLeft w:val="0"/>
      <w:marRight w:val="0"/>
      <w:marTop w:val="0"/>
      <w:marBottom w:val="0"/>
      <w:divBdr>
        <w:top w:val="none" w:sz="0" w:space="0" w:color="auto"/>
        <w:left w:val="none" w:sz="0" w:space="0" w:color="auto"/>
        <w:bottom w:val="none" w:sz="0" w:space="0" w:color="auto"/>
        <w:right w:val="none" w:sz="0" w:space="0" w:color="auto"/>
      </w:divBdr>
    </w:div>
    <w:div w:id="2101095149">
      <w:bodyDiv w:val="1"/>
      <w:marLeft w:val="0"/>
      <w:marRight w:val="0"/>
      <w:marTop w:val="0"/>
      <w:marBottom w:val="0"/>
      <w:divBdr>
        <w:top w:val="none" w:sz="0" w:space="0" w:color="auto"/>
        <w:left w:val="none" w:sz="0" w:space="0" w:color="auto"/>
        <w:bottom w:val="none" w:sz="0" w:space="0" w:color="auto"/>
        <w:right w:val="none" w:sz="0" w:space="0" w:color="auto"/>
      </w:divBdr>
    </w:div>
    <w:div w:id="2101902386">
      <w:bodyDiv w:val="1"/>
      <w:marLeft w:val="0"/>
      <w:marRight w:val="0"/>
      <w:marTop w:val="0"/>
      <w:marBottom w:val="0"/>
      <w:divBdr>
        <w:top w:val="none" w:sz="0" w:space="0" w:color="auto"/>
        <w:left w:val="none" w:sz="0" w:space="0" w:color="auto"/>
        <w:bottom w:val="none" w:sz="0" w:space="0" w:color="auto"/>
        <w:right w:val="none" w:sz="0" w:space="0" w:color="auto"/>
      </w:divBdr>
    </w:div>
    <w:div w:id="2107917715">
      <w:bodyDiv w:val="1"/>
      <w:marLeft w:val="0"/>
      <w:marRight w:val="0"/>
      <w:marTop w:val="0"/>
      <w:marBottom w:val="0"/>
      <w:divBdr>
        <w:top w:val="none" w:sz="0" w:space="0" w:color="auto"/>
        <w:left w:val="none" w:sz="0" w:space="0" w:color="auto"/>
        <w:bottom w:val="none" w:sz="0" w:space="0" w:color="auto"/>
        <w:right w:val="none" w:sz="0" w:space="0" w:color="auto"/>
      </w:divBdr>
    </w:div>
    <w:div w:id="2122450863">
      <w:bodyDiv w:val="1"/>
      <w:marLeft w:val="0"/>
      <w:marRight w:val="0"/>
      <w:marTop w:val="0"/>
      <w:marBottom w:val="0"/>
      <w:divBdr>
        <w:top w:val="none" w:sz="0" w:space="0" w:color="auto"/>
        <w:left w:val="none" w:sz="0" w:space="0" w:color="auto"/>
        <w:bottom w:val="none" w:sz="0" w:space="0" w:color="auto"/>
        <w:right w:val="none" w:sz="0" w:space="0" w:color="auto"/>
      </w:divBdr>
    </w:div>
    <w:div w:id="2123064296">
      <w:bodyDiv w:val="1"/>
      <w:marLeft w:val="0"/>
      <w:marRight w:val="0"/>
      <w:marTop w:val="0"/>
      <w:marBottom w:val="0"/>
      <w:divBdr>
        <w:top w:val="none" w:sz="0" w:space="0" w:color="auto"/>
        <w:left w:val="none" w:sz="0" w:space="0" w:color="auto"/>
        <w:bottom w:val="none" w:sz="0" w:space="0" w:color="auto"/>
        <w:right w:val="none" w:sz="0" w:space="0" w:color="auto"/>
      </w:divBdr>
    </w:div>
    <w:div w:id="2126847962">
      <w:bodyDiv w:val="1"/>
      <w:marLeft w:val="0"/>
      <w:marRight w:val="0"/>
      <w:marTop w:val="0"/>
      <w:marBottom w:val="0"/>
      <w:divBdr>
        <w:top w:val="none" w:sz="0" w:space="0" w:color="auto"/>
        <w:left w:val="none" w:sz="0" w:space="0" w:color="auto"/>
        <w:bottom w:val="none" w:sz="0" w:space="0" w:color="auto"/>
        <w:right w:val="none" w:sz="0" w:space="0" w:color="auto"/>
      </w:divBdr>
    </w:div>
    <w:div w:id="2129006447">
      <w:bodyDiv w:val="1"/>
      <w:marLeft w:val="0"/>
      <w:marRight w:val="0"/>
      <w:marTop w:val="0"/>
      <w:marBottom w:val="0"/>
      <w:divBdr>
        <w:top w:val="none" w:sz="0" w:space="0" w:color="auto"/>
        <w:left w:val="none" w:sz="0" w:space="0" w:color="auto"/>
        <w:bottom w:val="none" w:sz="0" w:space="0" w:color="auto"/>
        <w:right w:val="none" w:sz="0" w:space="0" w:color="auto"/>
      </w:divBdr>
    </w:div>
    <w:div w:id="2130078230">
      <w:bodyDiv w:val="1"/>
      <w:marLeft w:val="0"/>
      <w:marRight w:val="0"/>
      <w:marTop w:val="0"/>
      <w:marBottom w:val="0"/>
      <w:divBdr>
        <w:top w:val="none" w:sz="0" w:space="0" w:color="auto"/>
        <w:left w:val="none" w:sz="0" w:space="0" w:color="auto"/>
        <w:bottom w:val="none" w:sz="0" w:space="0" w:color="auto"/>
        <w:right w:val="none" w:sz="0" w:space="0" w:color="auto"/>
      </w:divBdr>
    </w:div>
    <w:div w:id="2131052058">
      <w:bodyDiv w:val="1"/>
      <w:marLeft w:val="0"/>
      <w:marRight w:val="0"/>
      <w:marTop w:val="0"/>
      <w:marBottom w:val="0"/>
      <w:divBdr>
        <w:top w:val="none" w:sz="0" w:space="0" w:color="auto"/>
        <w:left w:val="none" w:sz="0" w:space="0" w:color="auto"/>
        <w:bottom w:val="none" w:sz="0" w:space="0" w:color="auto"/>
        <w:right w:val="none" w:sz="0" w:space="0" w:color="auto"/>
      </w:divBdr>
    </w:div>
    <w:div w:id="2133134781">
      <w:bodyDiv w:val="1"/>
      <w:marLeft w:val="0"/>
      <w:marRight w:val="0"/>
      <w:marTop w:val="0"/>
      <w:marBottom w:val="0"/>
      <w:divBdr>
        <w:top w:val="none" w:sz="0" w:space="0" w:color="auto"/>
        <w:left w:val="none" w:sz="0" w:space="0" w:color="auto"/>
        <w:bottom w:val="none" w:sz="0" w:space="0" w:color="auto"/>
        <w:right w:val="none" w:sz="0" w:space="0" w:color="auto"/>
      </w:divBdr>
    </w:div>
    <w:div w:id="2134515623">
      <w:bodyDiv w:val="1"/>
      <w:marLeft w:val="0"/>
      <w:marRight w:val="0"/>
      <w:marTop w:val="0"/>
      <w:marBottom w:val="0"/>
      <w:divBdr>
        <w:top w:val="none" w:sz="0" w:space="0" w:color="auto"/>
        <w:left w:val="none" w:sz="0" w:space="0" w:color="auto"/>
        <w:bottom w:val="none" w:sz="0" w:space="0" w:color="auto"/>
        <w:right w:val="none" w:sz="0" w:space="0" w:color="auto"/>
      </w:divBdr>
    </w:div>
    <w:div w:id="2137288366">
      <w:bodyDiv w:val="1"/>
      <w:marLeft w:val="0"/>
      <w:marRight w:val="0"/>
      <w:marTop w:val="0"/>
      <w:marBottom w:val="0"/>
      <w:divBdr>
        <w:top w:val="none" w:sz="0" w:space="0" w:color="auto"/>
        <w:left w:val="none" w:sz="0" w:space="0" w:color="auto"/>
        <w:bottom w:val="none" w:sz="0" w:space="0" w:color="auto"/>
        <w:right w:val="none" w:sz="0" w:space="0" w:color="auto"/>
      </w:divBdr>
    </w:div>
    <w:div w:id="213806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65.xml"/><Relationship Id="rId21" Type="http://schemas.openxmlformats.org/officeDocument/2006/relationships/image" Target="media/image4.png"/><Relationship Id="rId42" Type="http://schemas.openxmlformats.org/officeDocument/2006/relationships/header" Target="header21.xml"/><Relationship Id="rId63" Type="http://schemas.openxmlformats.org/officeDocument/2006/relationships/header" Target="header35.xml"/><Relationship Id="rId84" Type="http://schemas.openxmlformats.org/officeDocument/2006/relationships/footer" Target="footer27.xml"/><Relationship Id="rId138" Type="http://schemas.openxmlformats.org/officeDocument/2006/relationships/header" Target="header76.xml"/><Relationship Id="rId107" Type="http://schemas.openxmlformats.org/officeDocument/2006/relationships/header" Target="header60.xml"/><Relationship Id="rId11" Type="http://schemas.openxmlformats.org/officeDocument/2006/relationships/image" Target="media/image1.jpeg"/><Relationship Id="rId32" Type="http://schemas.openxmlformats.org/officeDocument/2006/relationships/header" Target="header15.xml"/><Relationship Id="rId53" Type="http://schemas.openxmlformats.org/officeDocument/2006/relationships/header" Target="header28.xml"/><Relationship Id="rId74" Type="http://schemas.openxmlformats.org/officeDocument/2006/relationships/footer" Target="footer23.xml"/><Relationship Id="rId128" Type="http://schemas.openxmlformats.org/officeDocument/2006/relationships/footer" Target="footer47.xml"/><Relationship Id="rId149" Type="http://schemas.openxmlformats.org/officeDocument/2006/relationships/footer" Target="footer57.xml"/><Relationship Id="rId5" Type="http://schemas.openxmlformats.org/officeDocument/2006/relationships/webSettings" Target="webSettings.xml"/><Relationship Id="rId95" Type="http://schemas.openxmlformats.org/officeDocument/2006/relationships/header" Target="header52.xml"/><Relationship Id="rId22" Type="http://schemas.openxmlformats.org/officeDocument/2006/relationships/header" Target="header7.xml"/><Relationship Id="rId27" Type="http://schemas.openxmlformats.org/officeDocument/2006/relationships/header" Target="header10.xml"/><Relationship Id="rId43" Type="http://schemas.openxmlformats.org/officeDocument/2006/relationships/header" Target="header22.xml"/><Relationship Id="rId48" Type="http://schemas.openxmlformats.org/officeDocument/2006/relationships/header" Target="header25.xml"/><Relationship Id="rId64" Type="http://schemas.openxmlformats.org/officeDocument/2006/relationships/footer" Target="footer18.xml"/><Relationship Id="rId69" Type="http://schemas.openxmlformats.org/officeDocument/2006/relationships/footer" Target="footer21.xml"/><Relationship Id="rId113" Type="http://schemas.openxmlformats.org/officeDocument/2006/relationships/header" Target="header63.xml"/><Relationship Id="rId118" Type="http://schemas.openxmlformats.org/officeDocument/2006/relationships/footer" Target="footer42.xml"/><Relationship Id="rId134" Type="http://schemas.openxmlformats.org/officeDocument/2006/relationships/footer" Target="footer50.xml"/><Relationship Id="rId139" Type="http://schemas.openxmlformats.org/officeDocument/2006/relationships/header" Target="header77.xml"/><Relationship Id="rId80" Type="http://schemas.openxmlformats.org/officeDocument/2006/relationships/header" Target="header44.xml"/><Relationship Id="rId85" Type="http://schemas.openxmlformats.org/officeDocument/2006/relationships/header" Target="header47.xml"/><Relationship Id="rId150" Type="http://schemas.openxmlformats.org/officeDocument/2006/relationships/footer" Target="footer58.xml"/><Relationship Id="rId12" Type="http://schemas.openxmlformats.org/officeDocument/2006/relationships/header" Target="header2.xml"/><Relationship Id="rId17" Type="http://schemas.openxmlformats.org/officeDocument/2006/relationships/header" Target="header5.xml"/><Relationship Id="rId33" Type="http://schemas.openxmlformats.org/officeDocument/2006/relationships/header" Target="header16.xml"/><Relationship Id="rId38" Type="http://schemas.openxmlformats.org/officeDocument/2006/relationships/footer" Target="footer8.xml"/><Relationship Id="rId59" Type="http://schemas.openxmlformats.org/officeDocument/2006/relationships/header" Target="header32.xml"/><Relationship Id="rId103" Type="http://schemas.openxmlformats.org/officeDocument/2006/relationships/header" Target="header58.xml"/><Relationship Id="rId108" Type="http://schemas.openxmlformats.org/officeDocument/2006/relationships/footer" Target="footer37.xml"/><Relationship Id="rId124" Type="http://schemas.openxmlformats.org/officeDocument/2006/relationships/footer" Target="footer45.xml"/><Relationship Id="rId129" Type="http://schemas.openxmlformats.org/officeDocument/2006/relationships/footer" Target="footer48.xml"/><Relationship Id="rId54" Type="http://schemas.openxmlformats.org/officeDocument/2006/relationships/header" Target="header29.xml"/><Relationship Id="rId70" Type="http://schemas.openxmlformats.org/officeDocument/2006/relationships/header" Target="header38.xml"/><Relationship Id="rId75" Type="http://schemas.openxmlformats.org/officeDocument/2006/relationships/header" Target="header41.xml"/><Relationship Id="rId91" Type="http://schemas.openxmlformats.org/officeDocument/2006/relationships/footer" Target="footer31.xml"/><Relationship Id="rId96" Type="http://schemas.openxmlformats.org/officeDocument/2006/relationships/header" Target="header53.xml"/><Relationship Id="rId140" Type="http://schemas.openxmlformats.org/officeDocument/2006/relationships/footer" Target="footer52.xml"/><Relationship Id="rId145" Type="http://schemas.openxmlformats.org/officeDocument/2006/relationships/footer" Target="footer5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8.xml"/><Relationship Id="rId28" Type="http://schemas.openxmlformats.org/officeDocument/2006/relationships/header" Target="header11.xml"/><Relationship Id="rId49" Type="http://schemas.openxmlformats.org/officeDocument/2006/relationships/footer" Target="footer13.xml"/><Relationship Id="rId114" Type="http://schemas.openxmlformats.org/officeDocument/2006/relationships/footer" Target="footer40.xml"/><Relationship Id="rId119" Type="http://schemas.openxmlformats.org/officeDocument/2006/relationships/header" Target="header66.xml"/><Relationship Id="rId44" Type="http://schemas.openxmlformats.org/officeDocument/2006/relationships/footer" Target="footer11.xml"/><Relationship Id="rId60" Type="http://schemas.openxmlformats.org/officeDocument/2006/relationships/footer" Target="footer17.xml"/><Relationship Id="rId65" Type="http://schemas.openxmlformats.org/officeDocument/2006/relationships/footer" Target="footer19.xml"/><Relationship Id="rId81" Type="http://schemas.openxmlformats.org/officeDocument/2006/relationships/header" Target="header45.xml"/><Relationship Id="rId86" Type="http://schemas.openxmlformats.org/officeDocument/2006/relationships/footer" Target="footer28.xml"/><Relationship Id="rId130" Type="http://schemas.openxmlformats.org/officeDocument/2006/relationships/header" Target="header71.xml"/><Relationship Id="rId135" Type="http://schemas.openxmlformats.org/officeDocument/2006/relationships/header" Target="header74.xml"/><Relationship Id="rId151"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footer" Target="footer3.xml"/><Relationship Id="rId39" Type="http://schemas.openxmlformats.org/officeDocument/2006/relationships/footer" Target="footer9.xml"/><Relationship Id="rId109" Type="http://schemas.openxmlformats.org/officeDocument/2006/relationships/header" Target="header61.xml"/><Relationship Id="rId34" Type="http://schemas.openxmlformats.org/officeDocument/2006/relationships/header" Target="header17.xml"/><Relationship Id="rId50" Type="http://schemas.openxmlformats.org/officeDocument/2006/relationships/header" Target="header26.xml"/><Relationship Id="rId55" Type="http://schemas.openxmlformats.org/officeDocument/2006/relationships/footer" Target="footer15.xml"/><Relationship Id="rId76" Type="http://schemas.openxmlformats.org/officeDocument/2006/relationships/footer" Target="footer24.xml"/><Relationship Id="rId97" Type="http://schemas.openxmlformats.org/officeDocument/2006/relationships/header" Target="header54.xml"/><Relationship Id="rId104" Type="http://schemas.openxmlformats.org/officeDocument/2006/relationships/footer" Target="footer35.xml"/><Relationship Id="rId120" Type="http://schemas.openxmlformats.org/officeDocument/2006/relationships/footer" Target="footer43.xml"/><Relationship Id="rId125" Type="http://schemas.openxmlformats.org/officeDocument/2006/relationships/header" Target="header69.xml"/><Relationship Id="rId141" Type="http://schemas.openxmlformats.org/officeDocument/2006/relationships/header" Target="header78.xml"/><Relationship Id="rId146" Type="http://schemas.openxmlformats.org/officeDocument/2006/relationships/header" Target="header80.xml"/><Relationship Id="rId7" Type="http://schemas.openxmlformats.org/officeDocument/2006/relationships/endnotes" Target="endnotes.xml"/><Relationship Id="rId71" Type="http://schemas.openxmlformats.org/officeDocument/2006/relationships/footer" Target="footer22.xml"/><Relationship Id="rId92" Type="http://schemas.openxmlformats.org/officeDocument/2006/relationships/header" Target="header50.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5.xml"/><Relationship Id="rId40" Type="http://schemas.openxmlformats.org/officeDocument/2006/relationships/header" Target="header20.xml"/><Relationship Id="rId45" Type="http://schemas.openxmlformats.org/officeDocument/2006/relationships/header" Target="header23.xml"/><Relationship Id="rId66" Type="http://schemas.openxmlformats.org/officeDocument/2006/relationships/footer" Target="footer20.xml"/><Relationship Id="rId87" Type="http://schemas.openxmlformats.org/officeDocument/2006/relationships/footer" Target="footer29.xml"/><Relationship Id="rId110" Type="http://schemas.openxmlformats.org/officeDocument/2006/relationships/header" Target="header62.xml"/><Relationship Id="rId115" Type="http://schemas.openxmlformats.org/officeDocument/2006/relationships/footer" Target="footer41.xml"/><Relationship Id="rId131" Type="http://schemas.openxmlformats.org/officeDocument/2006/relationships/footer" Target="footer49.xml"/><Relationship Id="rId136" Type="http://schemas.openxmlformats.org/officeDocument/2006/relationships/header" Target="header75.xml"/><Relationship Id="rId61" Type="http://schemas.openxmlformats.org/officeDocument/2006/relationships/header" Target="header33.xml"/><Relationship Id="rId82" Type="http://schemas.openxmlformats.org/officeDocument/2006/relationships/footer" Target="footer26.xml"/><Relationship Id="rId152"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image" Target="media/image3.png"/><Relationship Id="rId30" Type="http://schemas.openxmlformats.org/officeDocument/2006/relationships/header" Target="header13.xml"/><Relationship Id="rId35" Type="http://schemas.openxmlformats.org/officeDocument/2006/relationships/footer" Target="footer7.xml"/><Relationship Id="rId56" Type="http://schemas.openxmlformats.org/officeDocument/2006/relationships/header" Target="header30.xml"/><Relationship Id="rId77" Type="http://schemas.openxmlformats.org/officeDocument/2006/relationships/footer" Target="footer25.xml"/><Relationship Id="rId100" Type="http://schemas.openxmlformats.org/officeDocument/2006/relationships/footer" Target="footer33.xml"/><Relationship Id="rId105" Type="http://schemas.openxmlformats.org/officeDocument/2006/relationships/header" Target="header59.xml"/><Relationship Id="rId126" Type="http://schemas.openxmlformats.org/officeDocument/2006/relationships/footer" Target="footer46.xml"/><Relationship Id="rId147" Type="http://schemas.openxmlformats.org/officeDocument/2006/relationships/footer" Target="footer56.xml"/><Relationship Id="rId8" Type="http://schemas.openxmlformats.org/officeDocument/2006/relationships/footer" Target="footer1.xml"/><Relationship Id="rId51" Type="http://schemas.openxmlformats.org/officeDocument/2006/relationships/header" Target="header27.xml"/><Relationship Id="rId72" Type="http://schemas.openxmlformats.org/officeDocument/2006/relationships/header" Target="header39.xml"/><Relationship Id="rId93" Type="http://schemas.openxmlformats.org/officeDocument/2006/relationships/header" Target="header51.xml"/><Relationship Id="rId98" Type="http://schemas.openxmlformats.org/officeDocument/2006/relationships/header" Target="header55.xml"/><Relationship Id="rId121" Type="http://schemas.openxmlformats.org/officeDocument/2006/relationships/footer" Target="footer44.xml"/><Relationship Id="rId142" Type="http://schemas.openxmlformats.org/officeDocument/2006/relationships/header" Target="header79.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2.xml"/><Relationship Id="rId67" Type="http://schemas.openxmlformats.org/officeDocument/2006/relationships/header" Target="header36.xml"/><Relationship Id="rId116" Type="http://schemas.openxmlformats.org/officeDocument/2006/relationships/header" Target="header64.xml"/><Relationship Id="rId137" Type="http://schemas.openxmlformats.org/officeDocument/2006/relationships/footer" Target="footer51.xml"/><Relationship Id="rId20" Type="http://schemas.openxmlformats.org/officeDocument/2006/relationships/footer" Target="footer4.xml"/><Relationship Id="rId41" Type="http://schemas.openxmlformats.org/officeDocument/2006/relationships/footer" Target="footer10.xml"/><Relationship Id="rId62" Type="http://schemas.openxmlformats.org/officeDocument/2006/relationships/header" Target="header34.xml"/><Relationship Id="rId83" Type="http://schemas.openxmlformats.org/officeDocument/2006/relationships/header" Target="header46.xml"/><Relationship Id="rId88" Type="http://schemas.openxmlformats.org/officeDocument/2006/relationships/header" Target="header48.xml"/><Relationship Id="rId111" Type="http://schemas.openxmlformats.org/officeDocument/2006/relationships/footer" Target="footer38.xml"/><Relationship Id="rId132" Type="http://schemas.openxmlformats.org/officeDocument/2006/relationships/header" Target="header72.xml"/><Relationship Id="rId15" Type="http://schemas.openxmlformats.org/officeDocument/2006/relationships/header" Target="header3.xml"/><Relationship Id="rId36" Type="http://schemas.openxmlformats.org/officeDocument/2006/relationships/header" Target="header18.xml"/><Relationship Id="rId57" Type="http://schemas.openxmlformats.org/officeDocument/2006/relationships/header" Target="header31.xml"/><Relationship Id="rId106" Type="http://schemas.openxmlformats.org/officeDocument/2006/relationships/footer" Target="footer36.xml"/><Relationship Id="rId127" Type="http://schemas.openxmlformats.org/officeDocument/2006/relationships/header" Target="header70.xml"/><Relationship Id="rId10" Type="http://schemas.openxmlformats.org/officeDocument/2006/relationships/footer" Target="footer2.xml"/><Relationship Id="rId31" Type="http://schemas.openxmlformats.org/officeDocument/2006/relationships/header" Target="header14.xml"/><Relationship Id="rId52" Type="http://schemas.openxmlformats.org/officeDocument/2006/relationships/footer" Target="footer14.xml"/><Relationship Id="rId73" Type="http://schemas.openxmlformats.org/officeDocument/2006/relationships/header" Target="header40.xml"/><Relationship Id="rId78" Type="http://schemas.openxmlformats.org/officeDocument/2006/relationships/header" Target="header42.xml"/><Relationship Id="rId94" Type="http://schemas.openxmlformats.org/officeDocument/2006/relationships/footer" Target="footer32.xml"/><Relationship Id="rId99" Type="http://schemas.openxmlformats.org/officeDocument/2006/relationships/header" Target="header56.xml"/><Relationship Id="rId101" Type="http://schemas.openxmlformats.org/officeDocument/2006/relationships/header" Target="header57.xml"/><Relationship Id="rId122" Type="http://schemas.openxmlformats.org/officeDocument/2006/relationships/header" Target="header67.xml"/><Relationship Id="rId143" Type="http://schemas.openxmlformats.org/officeDocument/2006/relationships/footer" Target="footer53.xml"/><Relationship Id="rId148" Type="http://schemas.openxmlformats.org/officeDocument/2006/relationships/header" Target="header8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6.xml"/><Relationship Id="rId47" Type="http://schemas.openxmlformats.org/officeDocument/2006/relationships/header" Target="header24.xml"/><Relationship Id="rId68" Type="http://schemas.openxmlformats.org/officeDocument/2006/relationships/header" Target="header37.xml"/><Relationship Id="rId89" Type="http://schemas.openxmlformats.org/officeDocument/2006/relationships/header" Target="header49.xml"/><Relationship Id="rId112" Type="http://schemas.openxmlformats.org/officeDocument/2006/relationships/footer" Target="footer39.xml"/><Relationship Id="rId133" Type="http://schemas.openxmlformats.org/officeDocument/2006/relationships/header" Target="header73.xml"/><Relationship Id="rId16" Type="http://schemas.openxmlformats.org/officeDocument/2006/relationships/header" Target="header4.xml"/><Relationship Id="rId37" Type="http://schemas.openxmlformats.org/officeDocument/2006/relationships/header" Target="header19.xml"/><Relationship Id="rId58" Type="http://schemas.openxmlformats.org/officeDocument/2006/relationships/footer" Target="footer16.xml"/><Relationship Id="rId79" Type="http://schemas.openxmlformats.org/officeDocument/2006/relationships/header" Target="header43.xml"/><Relationship Id="rId102" Type="http://schemas.openxmlformats.org/officeDocument/2006/relationships/footer" Target="footer34.xml"/><Relationship Id="rId123" Type="http://schemas.openxmlformats.org/officeDocument/2006/relationships/header" Target="header68.xml"/><Relationship Id="rId144" Type="http://schemas.openxmlformats.org/officeDocument/2006/relationships/footer" Target="footer54.xml"/><Relationship Id="rId90" Type="http://schemas.openxmlformats.org/officeDocument/2006/relationships/footer" Target="footer30.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CDF662-61F8-4F63-8DEA-9891B228F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313</Pages>
  <Words>243269</Words>
  <Characters>1216346</Characters>
  <Application>Microsoft Office Word</Application>
  <DocSecurity>0</DocSecurity>
  <Lines>10136</Lines>
  <Paragraphs>2913</Paragraphs>
  <ScaleCrop>false</ScaleCrop>
  <HeadingPairs>
    <vt:vector size="2" baseType="variant">
      <vt:variant>
        <vt:lpstr>שם</vt:lpstr>
      </vt:variant>
      <vt:variant>
        <vt:i4>1</vt:i4>
      </vt:variant>
    </vt:vector>
  </HeadingPairs>
  <TitlesOfParts>
    <vt:vector size="1" baseType="lpstr">
      <vt:lpstr/>
    </vt:vector>
  </TitlesOfParts>
  <Company>Grizli777</Company>
  <LinksUpToDate>false</LinksUpToDate>
  <CharactersWithSpaces>1456702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שלמה הנדל</dc:creator>
  <cp:keywords/>
  <dc:description/>
  <cp:lastModifiedBy>שלמה הנדל</cp:lastModifiedBy>
  <cp:revision>7</cp:revision>
  <cp:lastPrinted>2019-12-19T19:14:00Z</cp:lastPrinted>
  <dcterms:created xsi:type="dcterms:W3CDTF">2019-10-27T07:12:00Z</dcterms:created>
  <dcterms:modified xsi:type="dcterms:W3CDTF">2023-10-29T22:56:00Z</dcterms:modified>
</cp:coreProperties>
</file>